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tiff" ContentType="image/tiff"/>
  <Default Extension="gif" ContentType="image/gi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7.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Toc527881978"/>
    <w:bookmarkStart w:id="1" w:name="_GoBack"/>
    <w:bookmarkEnd w:id="1"/>
    <w:p w:rsidR="007062AE" w:rsidRDefault="00A27CE1" w:rsidP="007062AE">
      <w:pPr>
        <w:spacing w:after="0"/>
      </w:pPr>
      <w:r>
        <w:rPr>
          <w:noProof/>
          <w:lang w:val="pt-PT" w:eastAsia="pt-PT"/>
        </w:rPr>
        <mc:AlternateContent>
          <mc:Choice Requires="wps">
            <w:drawing>
              <wp:anchor distT="0" distB="0" distL="114300" distR="114300" simplePos="0" relativeHeight="252306944" behindDoc="0" locked="0" layoutInCell="1" allowOverlap="1" wp14:anchorId="2731CDD5" wp14:editId="3CB22E1C">
                <wp:simplePos x="0" y="0"/>
                <wp:positionH relativeFrom="page">
                  <wp:posOffset>7499985</wp:posOffset>
                </wp:positionH>
                <wp:positionV relativeFrom="paragraph">
                  <wp:posOffset>-901700</wp:posOffset>
                </wp:positionV>
                <wp:extent cx="204716" cy="11091545"/>
                <wp:effectExtent l="0" t="0" r="43180" b="52705"/>
                <wp:wrapNone/>
                <wp:docPr id="489" name="Rectangle 4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4716" cy="11091545"/>
                        </a:xfrm>
                        <a:prstGeom prst="rect">
                          <a:avLst/>
                        </a:prstGeom>
                        <a:solidFill>
                          <a:schemeClr val="accent1">
                            <a:lumMod val="20000"/>
                            <a:lumOff val="80000"/>
                          </a:schemeClr>
                        </a:solidFill>
                        <a:ln w="12700">
                          <a:solidFill>
                            <a:schemeClr val="accent5">
                              <a:lumMod val="60000"/>
                              <a:lumOff val="40000"/>
                            </a:schemeClr>
                          </a:solidFill>
                          <a:miter lim="800000"/>
                          <a:headEnd/>
                          <a:tailEnd/>
                        </a:ln>
                        <a:effectLst>
                          <a:outerShdw dist="28398" dir="3806097" algn="ctr" rotWithShape="0">
                            <a:schemeClr val="accent5">
                              <a:lumMod val="50000"/>
                              <a:lumOff val="0"/>
                              <a:alpha val="50000"/>
                            </a:schemeClr>
                          </a:outerShdw>
                        </a:effectLst>
                      </wps:spPr>
                      <wps:bodyPr rot="0" vert="horz" wrap="square" lIns="91440" tIns="45720" rIns="91440" bIns="45720" anchor="t" anchorCtr="0" upright="1">
                        <a:noAutofit/>
                      </wps:bodyPr>
                    </wps:wsp>
                  </a:graphicData>
                </a:graphic>
                <wp14:sizeRelH relativeFrom="margin">
                  <wp14:pctWidth>0</wp14:pctWidth>
                </wp14:sizeRelH>
              </wp:anchor>
            </w:drawing>
          </mc:Choice>
          <mc:Fallback xmlns:cx1="http://schemas.microsoft.com/office/drawing/2015/9/8/chartex">
            <w:pict>
              <v:rect w14:anchorId="60942D28" id="Rectangle 460" o:spid="_x0000_s1026" style="position:absolute;margin-left:590.55pt;margin-top:-71pt;width:16.1pt;height:873.35pt;z-index:252306944;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" fillcolor="#deeaf6 [660]" strokecolor="#8eaadb [1944]" strokeweight="1pt">
                <v:shadow on="t" color="#1f3763 [1608]" opacity=".5" offset="1pt"/>
                <w10:wrap anchorx="page"/>
              </v:rect>
            </w:pict>
          </mc:Fallback>
        </mc:AlternateContent>
      </w:r>
      <w:r>
        <w:rPr>
          <w:noProof/>
          <w:lang w:val="pt-PT" w:eastAsia="pt-PT"/>
        </w:rPr>
        <mc:AlternateContent>
          <mc:Choice Requires="wps">
            <w:drawing>
              <wp:anchor distT="0" distB="0" distL="114300" distR="114300" simplePos="0" relativeHeight="252304896" behindDoc="0" locked="0" layoutInCell="1" allowOverlap="1" wp14:anchorId="1A9FB7D3" wp14:editId="7C5BD059">
                <wp:simplePos x="0" y="0"/>
                <wp:positionH relativeFrom="page">
                  <wp:posOffset>28575</wp:posOffset>
                </wp:positionH>
                <wp:positionV relativeFrom="paragraph">
                  <wp:posOffset>-868680</wp:posOffset>
                </wp:positionV>
                <wp:extent cx="204716" cy="11091545"/>
                <wp:effectExtent l="0" t="0" r="43180" b="52705"/>
                <wp:wrapNone/>
                <wp:docPr id="488" name="Rectangle 4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4716" cy="11091545"/>
                        </a:xfrm>
                        <a:prstGeom prst="rect">
                          <a:avLst/>
                        </a:prstGeom>
                        <a:solidFill>
                          <a:schemeClr val="accent1">
                            <a:lumMod val="20000"/>
                            <a:lumOff val="80000"/>
                          </a:schemeClr>
                        </a:solidFill>
                        <a:ln w="12700">
                          <a:solidFill>
                            <a:schemeClr val="accent5">
                              <a:lumMod val="60000"/>
                              <a:lumOff val="40000"/>
                            </a:schemeClr>
                          </a:solidFill>
                          <a:miter lim="800000"/>
                          <a:headEnd/>
                          <a:tailEnd/>
                        </a:ln>
                        <a:effectLst>
                          <a:outerShdw dist="28398" dir="3806097" algn="ctr" rotWithShape="0">
                            <a:schemeClr val="accent5">
                              <a:lumMod val="50000"/>
                              <a:lumOff val="0"/>
                              <a:alpha val="50000"/>
                            </a:schemeClr>
                          </a:outerShdw>
                        </a:effectLst>
                      </wps:spPr>
                      <wps:bodyPr rot="0" vert="horz" wrap="square" lIns="91440" tIns="45720" rIns="91440" bIns="45720" anchor="t" anchorCtr="0" upright="1">
                        <a:noAutofit/>
                      </wps:bodyPr>
                    </wps:wsp>
                  </a:graphicData>
                </a:graphic>
                <wp14:sizeRelH relativeFrom="margin">
                  <wp14:pctWidth>0</wp14:pctWidth>
                </wp14:sizeRelH>
              </wp:anchor>
            </w:drawing>
          </mc:Choice>
          <mc:Fallback xmlns:cx1="http://schemas.microsoft.com/office/drawing/2015/9/8/chartex">
            <w:pict>
              <v:rect w14:anchorId="421398DE" id="Rectangle 460" o:spid="_x0000_s1026" style="position:absolute;margin-left:2.25pt;margin-top:-68.4pt;width:16.1pt;height:873.35pt;z-index:252304896;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" fillcolor="#deeaf6 [660]" strokecolor="#8eaadb [1944]" strokeweight="1pt">
                <v:shadow on="t" color="#1f3763 [1608]" opacity=".5" offset="1pt"/>
                <w10:wrap anchorx="page"/>
              </v:rect>
            </w:pict>
          </mc:Fallback>
        </mc:AlternateContent>
      </w:r>
      <w:r w:rsidR="00C1080B">
        <w:rPr>
          <w:noProof/>
          <w:lang w:val="pt-PT" w:eastAsia="pt-PT"/>
        </w:rPr>
        <w:drawing>
          <wp:anchor distT="0" distB="0" distL="114300" distR="114300" simplePos="0" relativeHeight="251633663" behindDoc="1" locked="0" layoutInCell="1" allowOverlap="1" wp14:anchorId="6954D719" wp14:editId="76CCC228">
            <wp:simplePos x="0" y="0"/>
            <wp:positionH relativeFrom="page">
              <wp:posOffset>268605</wp:posOffset>
            </wp:positionH>
            <wp:positionV relativeFrom="paragraph">
              <wp:posOffset>-868680</wp:posOffset>
            </wp:positionV>
            <wp:extent cx="7534275" cy="10645254"/>
            <wp:effectExtent l="0" t="0" r="0" b="3810"/>
            <wp:wrapNone/>
            <wp:docPr id="486" name="Image 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6" name="AAA.jpg"/>
                    <pic:cNvPicPr/>
                  </pic:nvPicPr>
                  <pic:blipFill>
                    <a:blip r:embed="rId8" cstate="email">
                      <a:extLst>
                        <a:ext uri="{28A0092B-C50C-407E-A947-70E740481C1C}">
                          <a14:useLocalDpi xmlns:a14="http://schemas.microsoft.com/office/drawing/2010/main"/>
                        </a:ext>
                      </a:extLst>
                    </a:blip>
                    <a:stretch>
                      <a:fillRect/>
                    </a:stretch>
                  </pic:blipFill>
                  <pic:spPr>
                    <a:xfrm>
                      <a:off x="0" y="0"/>
                      <a:ext cx="7534275" cy="10645254"/>
                    </a:xfrm>
                    <a:prstGeom prst="rect">
                      <a:avLst/>
                    </a:prstGeom>
                  </pic:spPr>
                </pic:pic>
              </a:graphicData>
            </a:graphic>
            <wp14:sizeRelH relativeFrom="page">
              <wp14:pctWidth>0</wp14:pctWidth>
            </wp14:sizeRelH>
            <wp14:sizeRelV relativeFrom="page">
              <wp14:pctHeight>0</wp14:pctHeight>
            </wp14:sizeRelV>
          </wp:anchor>
        </w:drawing>
      </w:r>
      <w:r w:rsidR="007062AE">
        <w:rPr>
          <w:noProof/>
          <w:lang w:val="pt-PT" w:eastAsia="pt-PT"/>
        </w:rPr>
        <w:drawing>
          <wp:anchor distT="0" distB="0" distL="114300" distR="114300" simplePos="0" relativeHeight="252295680" behindDoc="1" locked="0" layoutInCell="1" allowOverlap="1" wp14:anchorId="28415DD6" wp14:editId="6EB9A465">
            <wp:simplePos x="0" y="0"/>
            <wp:positionH relativeFrom="column">
              <wp:posOffset>2719705</wp:posOffset>
            </wp:positionH>
            <wp:positionV relativeFrom="page">
              <wp:posOffset>361950</wp:posOffset>
            </wp:positionV>
            <wp:extent cx="786765" cy="704850"/>
            <wp:effectExtent l="0" t="0" r="0" b="0"/>
            <wp:wrapTight wrapText="bothSides">
              <wp:wrapPolygon edited="0">
                <wp:start x="6276" y="0"/>
                <wp:lineTo x="0" y="4086"/>
                <wp:lineTo x="0" y="20432"/>
                <wp:lineTo x="6799" y="21016"/>
                <wp:lineTo x="14121" y="21016"/>
                <wp:lineTo x="20920" y="20432"/>
                <wp:lineTo x="20920" y="4086"/>
                <wp:lineTo x="14644" y="0"/>
                <wp:lineTo x="6276" y="0"/>
              </wp:wrapPolygon>
            </wp:wrapTight>
            <wp:docPr id="56" name="Imag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pic:cNvPicPr>
                      <a:picLocks noChangeAspect="1" noChangeArrowheads="1"/>
                    </pic:cNvPicPr>
                  </pic:nvPicPr>
                  <pic:blipFill>
                    <a:blip r:embed="rId9" cstate="email">
                      <a:extLst>
                        <a:ext uri="{28A0092B-C50C-407E-A947-70E740481C1C}">
                          <a14:useLocalDpi xmlns:a14="http://schemas.microsoft.com/office/drawing/2010/main"/>
                        </a:ext>
                      </a:extLst>
                    </a:blip>
                    <a:srcRect/>
                    <a:stretch>
                      <a:fillRect/>
                    </a:stretch>
                  </pic:blipFill>
                  <pic:spPr bwMode="auto">
                    <a:xfrm>
                      <a:off x="0" y="0"/>
                      <a:ext cx="786765" cy="7048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062AE" w:rsidRDefault="007062AE" w:rsidP="007062AE">
      <w:pPr>
        <w:pStyle w:val="Cabealho"/>
        <w:tabs>
          <w:tab w:val="left" w:pos="708"/>
        </w:tabs>
        <w:jc w:val="center"/>
        <w:rPr>
          <w:rFonts w:ascii="Monotype Corsiva" w:hAnsi="Monotype Corsiva"/>
          <w:b/>
          <w:sz w:val="44"/>
          <w:szCs w:val="44"/>
          <w:lang w:val="pt-BR"/>
        </w:rPr>
      </w:pPr>
    </w:p>
    <w:p w:rsidR="007062AE" w:rsidRPr="005C29C5" w:rsidRDefault="007062AE" w:rsidP="007062AE">
      <w:pPr>
        <w:pStyle w:val="Cabealho"/>
        <w:tabs>
          <w:tab w:val="left" w:pos="708"/>
        </w:tabs>
        <w:ind w:left="-1417"/>
        <w:jc w:val="center"/>
        <w:rPr>
          <w:rFonts w:ascii="Monotype Corsiva" w:hAnsi="Monotype Corsiva"/>
          <w:b/>
          <w:sz w:val="44"/>
          <w:szCs w:val="44"/>
        </w:rPr>
      </w:pPr>
      <w:r w:rsidRPr="005C29C5">
        <w:rPr>
          <w:rFonts w:ascii="Monotype Corsiva" w:hAnsi="Monotype Corsiva"/>
          <w:b/>
          <w:sz w:val="44"/>
          <w:szCs w:val="44"/>
        </w:rPr>
        <w:t xml:space="preserve">                REPÚBLICA DA GUINÉ-BISSAU</w:t>
      </w:r>
    </w:p>
    <w:p w:rsidR="007062AE" w:rsidRPr="005C29C5" w:rsidRDefault="007062AE" w:rsidP="007062AE">
      <w:pPr>
        <w:spacing w:after="0"/>
        <w:jc w:val="center"/>
        <w:rPr>
          <w:b/>
          <w:color w:val="000000"/>
          <w:sz w:val="40"/>
          <w:szCs w:val="40"/>
        </w:rPr>
      </w:pPr>
      <w:r>
        <w:rPr>
          <w:b/>
          <w:bCs/>
          <w:noProof/>
          <w:u w:val="single"/>
          <w:lang w:val="pt-PT" w:eastAsia="pt-PT"/>
        </w:rPr>
        <mc:AlternateContent>
          <mc:Choice Requires="wps">
            <w:drawing>
              <wp:anchor distT="0" distB="0" distL="114300" distR="114300" simplePos="0" relativeHeight="251634688" behindDoc="0" locked="0" layoutInCell="1" allowOverlap="1" wp14:anchorId="62E4A5BC" wp14:editId="78B6FEA0">
                <wp:simplePos x="0" y="0"/>
                <wp:positionH relativeFrom="page">
                  <wp:posOffset>1543050</wp:posOffset>
                </wp:positionH>
                <wp:positionV relativeFrom="paragraph">
                  <wp:posOffset>167640</wp:posOffset>
                </wp:positionV>
                <wp:extent cx="4324350" cy="514350"/>
                <wp:effectExtent l="0" t="38100" r="19050" b="19050"/>
                <wp:wrapNone/>
                <wp:docPr id="1945" name="Parchemin horizontal 1945"/>
                <wp:cNvGraphicFramePr/>
                <a:graphic xmlns:a="http://schemas.openxmlformats.org/drawingml/2006/main">
                  <a:graphicData uri="http://schemas.microsoft.com/office/word/2010/wordprocessingShape">
                    <wps:wsp>
                      <wps:cNvSpPr/>
                      <wps:spPr>
                        <a:xfrm>
                          <a:off x="0" y="0"/>
                          <a:ext cx="4324350" cy="514350"/>
                        </a:xfrm>
                        <a:prstGeom prst="horizontalScroll">
                          <a:avLst/>
                        </a:prstGeom>
                        <a:ln/>
                      </wps:spPr>
                      <wps:style>
                        <a:lnRef idx="2">
                          <a:schemeClr val="accent5"/>
                        </a:lnRef>
                        <a:fillRef idx="1">
                          <a:schemeClr val="lt1"/>
                        </a:fillRef>
                        <a:effectRef idx="0">
                          <a:schemeClr val="accent5"/>
                        </a:effectRef>
                        <a:fontRef idx="minor">
                          <a:schemeClr val="dk1"/>
                        </a:fontRef>
                      </wps:style>
                      <wps:txbx>
                        <w:txbxContent>
                          <w:p w:rsidR="003C548E" w:rsidRPr="00872D6A" w:rsidRDefault="003C548E" w:rsidP="00872D6A">
                            <w:pPr>
                              <w:spacing w:after="0"/>
                              <w:jc w:val="center"/>
                              <w:rPr>
                                <w:rFonts w:ascii="Times New Roman" w:hAnsi="Times New Roman" w:cs="Times New Roman"/>
                                <w:b/>
                                <w:color w:val="000000" w:themeColor="text1"/>
                                <w:sz w:val="40"/>
                                <w:szCs w:val="40"/>
                                <w:lang w:val="pt-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72D6A">
                              <w:rPr>
                                <w:rFonts w:ascii="Times New Roman" w:hAnsi="Times New Roman" w:cs="Times New Roman"/>
                                <w:b/>
                                <w:color w:val="000000" w:themeColor="text1"/>
                                <w:sz w:val="40"/>
                                <w:szCs w:val="40"/>
                                <w:lang w:val="pt-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Ministério da Economia Finanças</w:t>
                            </w:r>
                          </w:p>
                          <w:p w:rsidR="003C548E" w:rsidRPr="00F829B5" w:rsidRDefault="003C548E" w:rsidP="00F829B5">
                            <w:pPr>
                              <w:spacing w:after="0"/>
                              <w:jc w:val="center"/>
                              <w:rPr>
                                <w:rFonts w:ascii="Times New Roman" w:hAnsi="Times New Roman" w:cs="Times New Roman"/>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type w14:anchorId="62E4A5BC"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Parchemin horizontal 1945" o:spid="_x0000_s1026" type="#_x0000_t98" style="position:absolute;left:0;text-align:left;margin-left:121.5pt;margin-top:13.2pt;width:340.5pt;height:40.5pt;z-index:2516346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" fillcolor="white [3201]" strokecolor="#4472c4 [3208]" strokeweight="1pt">
                <v:stroke joinstyle="miter"/>
                <v:textbox>
                  <w:txbxContent>
                    <w:p w:rsidR="003C548E" w:rsidRPr="00872D6A" w:rsidRDefault="003C548E" w:rsidP="00872D6A">
                      <w:pPr>
                        <w:spacing w:after="0"/>
                        <w:jc w:val="center"/>
                        <w:rPr>
                          <w:rFonts w:ascii="Times New Roman" w:hAnsi="Times New Roman" w:cs="Times New Roman"/>
                          <w:b/>
                          <w:color w:val="000000" w:themeColor="text1"/>
                          <w:sz w:val="40"/>
                          <w:szCs w:val="40"/>
                          <w:lang w:val="pt-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72D6A">
                        <w:rPr>
                          <w:rFonts w:ascii="Times New Roman" w:hAnsi="Times New Roman" w:cs="Times New Roman"/>
                          <w:b/>
                          <w:color w:val="000000" w:themeColor="text1"/>
                          <w:sz w:val="40"/>
                          <w:szCs w:val="40"/>
                          <w:lang w:val="pt-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Ministério da Economia Finanças</w:t>
                      </w:r>
                    </w:p>
                    <w:p w:rsidR="003C548E" w:rsidRPr="00F829B5" w:rsidRDefault="003C548E" w:rsidP="00F829B5">
                      <w:pPr>
                        <w:spacing w:after="0"/>
                        <w:jc w:val="center"/>
                        <w:rPr>
                          <w:rFonts w:ascii="Times New Roman" w:hAnsi="Times New Roman" w:cs="Times New Roman"/>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w10:wrap anchorx="page"/>
              </v:shape>
            </w:pict>
          </mc:Fallback>
        </mc:AlternateContent>
      </w:r>
      <w:r w:rsidRPr="005C29C5">
        <w:rPr>
          <w:b/>
          <w:color w:val="000000"/>
          <w:sz w:val="40"/>
          <w:szCs w:val="40"/>
        </w:rPr>
        <w:t>************</w:t>
      </w:r>
    </w:p>
    <w:p w:rsidR="007062AE" w:rsidRPr="005C29C5" w:rsidRDefault="007062AE" w:rsidP="007062AE">
      <w:pPr>
        <w:spacing w:after="0"/>
        <w:jc w:val="center"/>
        <w:rPr>
          <w:rFonts w:ascii="Monotype Corsiva" w:hAnsi="Monotype Corsiva"/>
          <w:b/>
          <w:noProof/>
          <w:sz w:val="44"/>
          <w:szCs w:val="44"/>
        </w:rPr>
      </w:pPr>
    </w:p>
    <w:p w:rsidR="007062AE" w:rsidRPr="005C29C5" w:rsidRDefault="007062AE" w:rsidP="007062AE">
      <w:pPr>
        <w:spacing w:after="0"/>
        <w:jc w:val="center"/>
        <w:rPr>
          <w:rFonts w:ascii="Monotype Corsiva" w:hAnsi="Monotype Corsiva"/>
          <w:b/>
          <w:noProof/>
          <w:sz w:val="44"/>
          <w:szCs w:val="44"/>
        </w:rPr>
      </w:pPr>
      <w:r>
        <w:rPr>
          <w:noProof/>
          <w:lang w:val="pt-PT" w:eastAsia="pt-PT"/>
        </w:rPr>
        <mc:AlternateContent>
          <mc:Choice Requires="wps">
            <w:drawing>
              <wp:anchor distT="0" distB="0" distL="114300" distR="114300" simplePos="0" relativeHeight="251636736" behindDoc="0" locked="0" layoutInCell="1" allowOverlap="1" wp14:anchorId="1F533E75" wp14:editId="578FCB92">
                <wp:simplePos x="0" y="0"/>
                <wp:positionH relativeFrom="margin">
                  <wp:align>left</wp:align>
                </wp:positionH>
                <wp:positionV relativeFrom="paragraph">
                  <wp:posOffset>266700</wp:posOffset>
                </wp:positionV>
                <wp:extent cx="6057900" cy="590550"/>
                <wp:effectExtent l="0" t="0" r="19050" b="19050"/>
                <wp:wrapNone/>
                <wp:docPr id="322" name="Rectangle à coins arrondis 322"/>
                <wp:cNvGraphicFramePr/>
                <a:graphic xmlns:a="http://schemas.openxmlformats.org/drawingml/2006/main">
                  <a:graphicData uri="http://schemas.microsoft.com/office/word/2010/wordprocessingShape">
                    <wps:wsp>
                      <wps:cNvSpPr/>
                      <wps:spPr>
                        <a:xfrm>
                          <a:off x="0" y="0"/>
                          <a:ext cx="6057900" cy="590550"/>
                        </a:xfrm>
                        <a:prstGeom prst="roundRect">
                          <a:avLst/>
                        </a:prstGeom>
                        <a:ln/>
                      </wps:spPr>
                      <wps:style>
                        <a:lnRef idx="2">
                          <a:schemeClr val="accent5"/>
                        </a:lnRef>
                        <a:fillRef idx="1">
                          <a:schemeClr val="lt1"/>
                        </a:fillRef>
                        <a:effectRef idx="0">
                          <a:schemeClr val="accent5"/>
                        </a:effectRef>
                        <a:fontRef idx="minor">
                          <a:schemeClr val="dk1"/>
                        </a:fontRef>
                      </wps:style>
                      <wps:txbx>
                        <w:txbxContent>
                          <w:p w:rsidR="003C548E" w:rsidRPr="00872D6A" w:rsidRDefault="003C548E" w:rsidP="007062AE">
                            <w:pPr>
                              <w:spacing w:after="0"/>
                              <w:ind w:right="-153"/>
                              <w:jc w:val="center"/>
                              <w:rPr>
                                <w:rFonts w:ascii="Bodoni MT" w:hAnsi="Bodoni MT"/>
                                <w:color w:val="2A2A2A"/>
                                <w:sz w:val="28"/>
                                <w:szCs w:val="28"/>
                                <w:lang w:val="pt-PT"/>
                              </w:rPr>
                            </w:pPr>
                            <w:r w:rsidRPr="00872D6A">
                              <w:rPr>
                                <w:rFonts w:ascii="Bodoni MT" w:hAnsi="Bodoni MT"/>
                                <w:color w:val="2A2A2A"/>
                                <w:sz w:val="28"/>
                                <w:szCs w:val="28"/>
                                <w:lang w:val="pt-PT"/>
                              </w:rPr>
                              <w:t>Unidade de Coordenação do Projecto de Urgência para Melhoria dos Serviços de Água e Electricidade</w:t>
                            </w:r>
                            <w:r>
                              <w:rPr>
                                <w:rFonts w:ascii="Bodoni MT" w:hAnsi="Bodoni MT"/>
                                <w:color w:val="2A2A2A"/>
                                <w:sz w:val="28"/>
                                <w:szCs w:val="28"/>
                                <w:lang w:val="pt-PT"/>
                              </w:rPr>
                              <w:t xml:space="preserve">  </w:t>
                            </w:r>
                            <w:r w:rsidRPr="00872D6A">
                              <w:rPr>
                                <w:rFonts w:ascii="Bodoni MT" w:hAnsi="Bodoni MT"/>
                                <w:color w:val="2A2A2A"/>
                                <w:sz w:val="28"/>
                                <w:szCs w:val="28"/>
                                <w:lang w:val="pt-PT"/>
                              </w:rPr>
                              <w:t>(PUASEE)</w:t>
                            </w:r>
                          </w:p>
                          <w:p w:rsidR="003C548E" w:rsidRPr="007062AE" w:rsidRDefault="003C548E" w:rsidP="00872D6A">
                            <w:pPr>
                              <w:ind w:right="-153"/>
                              <w:jc w:val="center"/>
                              <w:rPr>
                                <w:sz w:val="44"/>
                                <w:szCs w:val="44"/>
                                <w:lang w:val="pt-PT"/>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roundrect w14:anchorId="1F533E75" id="Rectangle à coins arrondis 322" o:spid="_x0000_s1027" style="position:absolute;left:0;text-align:left;margin-left:0;margin-top:21pt;width:477pt;height:46.5pt;z-index:25163673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" fillcolor="white [3201]" strokecolor="#4472c4 [3208]" strokeweight="1pt">
                <v:stroke joinstyle="miter"/>
                <v:textbox>
                  <w:txbxContent>
                    <w:p w:rsidR="003C548E" w:rsidRPr="00872D6A" w:rsidRDefault="003C548E" w:rsidP="007062AE">
                      <w:pPr>
                        <w:spacing w:after="0"/>
                        <w:ind w:right="-153"/>
                        <w:jc w:val="center"/>
                        <w:rPr>
                          <w:rFonts w:ascii="Bodoni MT" w:hAnsi="Bodoni MT"/>
                          <w:color w:val="2A2A2A"/>
                          <w:sz w:val="28"/>
                          <w:szCs w:val="28"/>
                          <w:lang w:val="pt-PT"/>
                        </w:rPr>
                      </w:pPr>
                      <w:r w:rsidRPr="00872D6A">
                        <w:rPr>
                          <w:rFonts w:ascii="Bodoni MT" w:hAnsi="Bodoni MT"/>
                          <w:color w:val="2A2A2A"/>
                          <w:sz w:val="28"/>
                          <w:szCs w:val="28"/>
                          <w:lang w:val="pt-PT"/>
                        </w:rPr>
                        <w:t>Unidade de Coordenação do Projecto de Urgência para Melhoria dos Serviços de Água e Electricidade</w:t>
                      </w:r>
                      <w:r>
                        <w:rPr>
                          <w:rFonts w:ascii="Bodoni MT" w:hAnsi="Bodoni MT"/>
                          <w:color w:val="2A2A2A"/>
                          <w:sz w:val="28"/>
                          <w:szCs w:val="28"/>
                          <w:lang w:val="pt-PT"/>
                        </w:rPr>
                        <w:t xml:space="preserve">  </w:t>
                      </w:r>
                      <w:r w:rsidRPr="00872D6A">
                        <w:rPr>
                          <w:rFonts w:ascii="Bodoni MT" w:hAnsi="Bodoni MT"/>
                          <w:color w:val="2A2A2A"/>
                          <w:sz w:val="28"/>
                          <w:szCs w:val="28"/>
                          <w:lang w:val="pt-PT"/>
                        </w:rPr>
                        <w:t>(PUASEE)</w:t>
                      </w:r>
                    </w:p>
                    <w:p w:rsidR="003C548E" w:rsidRPr="007062AE" w:rsidRDefault="003C548E" w:rsidP="00872D6A">
                      <w:pPr>
                        <w:ind w:right="-153"/>
                        <w:jc w:val="center"/>
                        <w:rPr>
                          <w:sz w:val="44"/>
                          <w:szCs w:val="44"/>
                          <w:lang w:val="pt-PT"/>
                        </w:rPr>
                      </w:pPr>
                    </w:p>
                  </w:txbxContent>
                </v:textbox>
                <w10:wrap anchorx="margin"/>
              </v:roundrect>
            </w:pict>
          </mc:Fallback>
        </mc:AlternateContent>
      </w:r>
      <w:r>
        <w:rPr>
          <w:noProof/>
          <w:lang w:val="pt-PT" w:eastAsia="pt-PT"/>
        </w:rPr>
        <mc:AlternateContent>
          <mc:Choice Requires="wps">
            <w:drawing>
              <wp:anchor distT="0" distB="0" distL="114300" distR="114300" simplePos="0" relativeHeight="252293632" behindDoc="0" locked="0" layoutInCell="1" allowOverlap="1" wp14:anchorId="42817B4D" wp14:editId="7C641BF3">
                <wp:simplePos x="0" y="0"/>
                <wp:positionH relativeFrom="page">
                  <wp:posOffset>2524125</wp:posOffset>
                </wp:positionH>
                <wp:positionV relativeFrom="paragraph">
                  <wp:posOffset>9965055</wp:posOffset>
                </wp:positionV>
                <wp:extent cx="2124075" cy="318135"/>
                <wp:effectExtent l="0" t="0" r="0" b="0"/>
                <wp:wrapNone/>
                <wp:docPr id="195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4075" cy="318135"/>
                        </a:xfrm>
                        <a:prstGeom prst="rect">
                          <a:avLst/>
                        </a:prstGeom>
                        <a:solidFill>
                          <a:srgbClr val="70AD47">
                            <a:alpha val="50000"/>
                          </a:srgbClr>
                        </a:solidFill>
                        <a:ln>
                          <a:noFill/>
                        </a:ln>
                        <a:effectLst/>
                      </wps:spPr>
                      <wps:txbx>
                        <w:txbxContent>
                          <w:p w:rsidR="003C548E" w:rsidRPr="007350CF" w:rsidRDefault="003C548E" w:rsidP="007062AE">
                            <w:pPr>
                              <w:jc w:val="center"/>
                              <w:rPr>
                                <w:b/>
                                <w:color w:val="000000"/>
                                <w:sz w:val="32"/>
                                <w:szCs w:val="32"/>
                              </w:rPr>
                            </w:pPr>
                            <w:r w:rsidRPr="007350CF">
                              <w:rPr>
                                <w:b/>
                                <w:color w:val="000000"/>
                                <w:sz w:val="32"/>
                                <w:szCs w:val="32"/>
                              </w:rPr>
                              <w:t>JUIN  2019</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type w14:anchorId="42817B4D" id="_x0000_t202" coordsize="21600,21600" o:spt="202" path="m,l,21600r21600,l21600,xe">
                <v:stroke joinstyle="miter"/>
                <v:path gradientshapeok="t" o:connecttype="rect"/>
              </v:shapetype>
              <v:shape id="Zone de texte 2" o:spid="_x0000_s1028" type="#_x0000_t202" style="position:absolute;left:0;text-align:left;margin-left:198.75pt;margin-top:784.65pt;width:167.25pt;height:25.05pt;z-index:2522936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" fillcolor="#70ad47" stroked="f">
                <v:fill opacity="32896f"/>
                <v:textbox>
                  <w:txbxContent>
                    <w:p w:rsidR="003C548E" w:rsidRPr="007350CF" w:rsidRDefault="003C548E" w:rsidP="007062AE">
                      <w:pPr>
                        <w:jc w:val="center"/>
                        <w:rPr>
                          <w:b/>
                          <w:color w:val="000000"/>
                          <w:sz w:val="32"/>
                          <w:szCs w:val="32"/>
                        </w:rPr>
                      </w:pPr>
                      <w:r w:rsidRPr="007350CF">
                        <w:rPr>
                          <w:b/>
                          <w:color w:val="000000"/>
                          <w:sz w:val="32"/>
                          <w:szCs w:val="32"/>
                        </w:rPr>
                        <w:t>JUIN  2019</w:t>
                      </w:r>
                    </w:p>
                  </w:txbxContent>
                </v:textbox>
                <w10:wrap anchorx="page"/>
              </v:shape>
            </w:pict>
          </mc:Fallback>
        </mc:AlternateContent>
      </w:r>
      <w:r w:rsidRPr="005C29C5">
        <w:rPr>
          <w:rFonts w:ascii="Monotype Corsiva" w:hAnsi="Monotype Corsiva"/>
          <w:b/>
          <w:noProof/>
          <w:sz w:val="44"/>
          <w:szCs w:val="44"/>
        </w:rPr>
        <w:t>******************</w:t>
      </w:r>
    </w:p>
    <w:p w:rsidR="004861E1" w:rsidRPr="005C29C5" w:rsidRDefault="004861E1" w:rsidP="00F829B5">
      <w:pPr>
        <w:jc w:val="right"/>
      </w:pPr>
    </w:p>
    <w:p w:rsidR="007062AE" w:rsidRPr="00AD3C6C" w:rsidRDefault="002F0DE8" w:rsidP="007062AE">
      <w:pPr>
        <w:spacing w:after="0" w:line="240" w:lineRule="auto"/>
        <w:jc w:val="right"/>
        <w:rPr>
          <w:rFonts w:ascii="Times New Roman" w:hAnsi="Times New Roman" w:cs="Times New Roman"/>
          <w:b/>
          <w:i/>
          <w:color w:val="2A2A2A"/>
          <w:sz w:val="24"/>
          <w:szCs w:val="24"/>
          <w:u w:val="single"/>
        </w:rPr>
      </w:pPr>
      <w:r>
        <w:rPr>
          <w:noProof/>
          <w:color w:val="000000" w:themeColor="text1"/>
          <w:sz w:val="32"/>
          <w:szCs w:val="32"/>
          <w:lang w:val="pt-PT" w:eastAsia="pt-PT"/>
        </w:rPr>
        <w:drawing>
          <wp:anchor distT="0" distB="0" distL="114300" distR="114300" simplePos="0" relativeHeight="252301824" behindDoc="1" locked="0" layoutInCell="1" allowOverlap="1" wp14:anchorId="27913775" wp14:editId="090958DA">
            <wp:simplePos x="0" y="0"/>
            <wp:positionH relativeFrom="column">
              <wp:posOffset>394970</wp:posOffset>
            </wp:positionH>
            <wp:positionV relativeFrom="margin">
              <wp:posOffset>7283450</wp:posOffset>
            </wp:positionV>
            <wp:extent cx="2077085" cy="1733550"/>
            <wp:effectExtent l="0" t="0" r="0" b="0"/>
            <wp:wrapTight wrapText="bothSides">
              <wp:wrapPolygon edited="0">
                <wp:start x="6736" y="475"/>
                <wp:lineTo x="2377" y="2611"/>
                <wp:lineTo x="1981" y="3798"/>
                <wp:lineTo x="2773" y="4747"/>
                <wp:lineTo x="991" y="8545"/>
                <wp:lineTo x="0" y="11631"/>
                <wp:lineTo x="0" y="13530"/>
                <wp:lineTo x="991" y="16141"/>
                <wp:lineTo x="991" y="16615"/>
                <wp:lineTo x="4755" y="19938"/>
                <wp:lineTo x="8122" y="20888"/>
                <wp:lineTo x="8717" y="21363"/>
                <wp:lineTo x="13075" y="21363"/>
                <wp:lineTo x="13669" y="20888"/>
                <wp:lineTo x="16839" y="19938"/>
                <wp:lineTo x="20207" y="16615"/>
                <wp:lineTo x="20207" y="16141"/>
                <wp:lineTo x="21197" y="13530"/>
                <wp:lineTo x="21395" y="13055"/>
                <wp:lineTo x="20405" y="8545"/>
                <wp:lineTo x="18424" y="4747"/>
                <wp:lineTo x="19216" y="1662"/>
                <wp:lineTo x="18226" y="1187"/>
                <wp:lineTo x="8320" y="475"/>
                <wp:lineTo x="6736" y="475"/>
              </wp:wrapPolygon>
            </wp:wrapTight>
            <wp:docPr id="483" name="Image 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3" name="LOGO.tif"/>
                    <pic:cNvPicPr/>
                  </pic:nvPicPr>
                  <pic:blipFill>
                    <a:blip r:embed="rId10" cstate="email">
                      <a:extLst>
                        <a:ext uri="{28A0092B-C50C-407E-A947-70E740481C1C}">
                          <a14:useLocalDpi xmlns:a14="http://schemas.microsoft.com/office/drawing/2010/main"/>
                        </a:ext>
                      </a:extLst>
                    </a:blip>
                    <a:stretch>
                      <a:fillRect/>
                    </a:stretch>
                  </pic:blipFill>
                  <pic:spPr>
                    <a:xfrm>
                      <a:off x="0" y="0"/>
                      <a:ext cx="2077085" cy="1733550"/>
                    </a:xfrm>
                    <a:prstGeom prst="rect">
                      <a:avLst/>
                    </a:prstGeom>
                  </pic:spPr>
                </pic:pic>
              </a:graphicData>
            </a:graphic>
            <wp14:sizeRelH relativeFrom="margin">
              <wp14:pctWidth>0</wp14:pctWidth>
            </wp14:sizeRelH>
            <wp14:sizeRelV relativeFrom="margin">
              <wp14:pctHeight>0</wp14:pctHeight>
            </wp14:sizeRelV>
          </wp:anchor>
        </w:drawing>
      </w:r>
      <w:r w:rsidRPr="005E5EBE">
        <w:rPr>
          <w:noProof/>
          <w:color w:val="000000" w:themeColor="text1"/>
          <w:sz w:val="32"/>
          <w:szCs w:val="32"/>
          <w:lang w:val="pt-PT" w:eastAsia="pt-PT"/>
        </w:rPr>
        <mc:AlternateContent>
          <mc:Choice Requires="wps">
            <w:drawing>
              <wp:anchor distT="0" distB="0" distL="114300" distR="114300" simplePos="0" relativeHeight="251648000" behindDoc="0" locked="0" layoutInCell="1" allowOverlap="1" wp14:anchorId="46A25266" wp14:editId="5C3FFD87">
                <wp:simplePos x="0" y="0"/>
                <wp:positionH relativeFrom="margin">
                  <wp:posOffset>3093085</wp:posOffset>
                </wp:positionH>
                <wp:positionV relativeFrom="paragraph">
                  <wp:posOffset>5730875</wp:posOffset>
                </wp:positionV>
                <wp:extent cx="3133725" cy="809625"/>
                <wp:effectExtent l="0" t="0" r="28575" b="28575"/>
                <wp:wrapNone/>
                <wp:docPr id="1955" name="Rectangle à coins arrondis 19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33725" cy="809625"/>
                        </a:xfrm>
                        <a:prstGeom prst="roundRect">
                          <a:avLst>
                            <a:gd name="adj" fmla="val 10759"/>
                          </a:avLst>
                        </a:prstGeom>
                        <a:ln/>
                        <a:extLst/>
                      </wps:spPr>
                      <wps:style>
                        <a:lnRef idx="2">
                          <a:schemeClr val="accent6"/>
                        </a:lnRef>
                        <a:fillRef idx="1">
                          <a:schemeClr val="lt1"/>
                        </a:fillRef>
                        <a:effectRef idx="0">
                          <a:schemeClr val="accent6"/>
                        </a:effectRef>
                        <a:fontRef idx="minor">
                          <a:schemeClr val="dk1"/>
                        </a:fontRef>
                      </wps:style>
                      <wps:txbx>
                        <w:txbxContent>
                          <w:p w:rsidR="003C548E" w:rsidRPr="000A01BA" w:rsidRDefault="003C548E" w:rsidP="0078657E">
                            <w:pPr>
                              <w:spacing w:after="0"/>
                              <w:rPr>
                                <w:b/>
                                <w:color w:val="943634"/>
                                <w:sz w:val="16"/>
                                <w:szCs w:val="16"/>
                              </w:rPr>
                            </w:pPr>
                            <w:r>
                              <w:rPr>
                                <w:b/>
                                <w:color w:val="943634"/>
                                <w:sz w:val="16"/>
                                <w:szCs w:val="16"/>
                              </w:rPr>
                              <w:t xml:space="preserve">            </w:t>
                            </w:r>
                            <w:r w:rsidRPr="000A01BA">
                              <w:rPr>
                                <w:b/>
                                <w:color w:val="943634"/>
                                <w:sz w:val="16"/>
                                <w:szCs w:val="16"/>
                              </w:rPr>
                              <w:t>Villa N° 190, La Linguère – Keur Massar</w:t>
                            </w:r>
                            <w:r>
                              <w:rPr>
                                <w:b/>
                                <w:color w:val="943634"/>
                                <w:sz w:val="16"/>
                                <w:szCs w:val="16"/>
                              </w:rPr>
                              <w:t xml:space="preserve"> - SENEGAL</w:t>
                            </w:r>
                          </w:p>
                          <w:p w:rsidR="003C548E" w:rsidRDefault="003C548E" w:rsidP="0078657E">
                            <w:pPr>
                              <w:spacing w:after="0"/>
                              <w:jc w:val="center"/>
                              <w:rPr>
                                <w:b/>
                                <w:color w:val="943634"/>
                                <w:sz w:val="16"/>
                                <w:szCs w:val="16"/>
                              </w:rPr>
                            </w:pPr>
                            <w:r w:rsidRPr="000A01BA">
                              <w:rPr>
                                <w:b/>
                                <w:color w:val="943634"/>
                                <w:sz w:val="16"/>
                                <w:szCs w:val="16"/>
                              </w:rPr>
                              <w:t>Tél. :</w:t>
                            </w:r>
                            <w:r>
                              <w:rPr>
                                <w:b/>
                                <w:color w:val="943634"/>
                                <w:sz w:val="16"/>
                                <w:szCs w:val="16"/>
                              </w:rPr>
                              <w:t xml:space="preserve"> </w:t>
                            </w:r>
                            <w:r w:rsidRPr="00C9614C">
                              <w:rPr>
                                <w:b/>
                                <w:color w:val="943634"/>
                                <w:sz w:val="16"/>
                                <w:szCs w:val="16"/>
                              </w:rPr>
                              <w:t xml:space="preserve">+221 33 837 80 36 </w:t>
                            </w:r>
                            <w:r>
                              <w:rPr>
                                <w:b/>
                                <w:color w:val="943634"/>
                                <w:sz w:val="16"/>
                                <w:szCs w:val="16"/>
                              </w:rPr>
                              <w:t xml:space="preserve">/  </w:t>
                            </w:r>
                            <w:r w:rsidRPr="000A01BA">
                              <w:rPr>
                                <w:b/>
                                <w:color w:val="943634"/>
                                <w:sz w:val="16"/>
                                <w:szCs w:val="16"/>
                              </w:rPr>
                              <w:t xml:space="preserve"> 77 648 95</w:t>
                            </w:r>
                            <w:r>
                              <w:rPr>
                                <w:b/>
                                <w:color w:val="943634"/>
                                <w:sz w:val="16"/>
                                <w:szCs w:val="16"/>
                              </w:rPr>
                              <w:t xml:space="preserve"> </w:t>
                            </w:r>
                            <w:r w:rsidRPr="000A01BA">
                              <w:rPr>
                                <w:b/>
                                <w:color w:val="943634"/>
                                <w:sz w:val="16"/>
                                <w:szCs w:val="16"/>
                              </w:rPr>
                              <w:t>33</w:t>
                            </w:r>
                          </w:p>
                          <w:p w:rsidR="003C548E" w:rsidRDefault="003C548E" w:rsidP="0078657E">
                            <w:pPr>
                              <w:spacing w:after="0"/>
                              <w:jc w:val="center"/>
                              <w:rPr>
                                <w:b/>
                                <w:color w:val="943634"/>
                                <w:sz w:val="16"/>
                                <w:szCs w:val="16"/>
                              </w:rPr>
                            </w:pPr>
                            <w:r>
                              <w:rPr>
                                <w:b/>
                                <w:color w:val="943634"/>
                                <w:sz w:val="16"/>
                                <w:szCs w:val="16"/>
                              </w:rPr>
                              <w:t>Rond –point Chapa, Immeuble R+3, en face Eco Bank, Guinée Bissau</w:t>
                            </w:r>
                          </w:p>
                          <w:p w:rsidR="003C548E" w:rsidRDefault="003C548E" w:rsidP="0078657E">
                            <w:pPr>
                              <w:spacing w:after="0"/>
                              <w:jc w:val="center"/>
                              <w:rPr>
                                <w:b/>
                                <w:color w:val="943634"/>
                                <w:sz w:val="16"/>
                                <w:szCs w:val="16"/>
                              </w:rPr>
                            </w:pPr>
                            <w:r w:rsidRPr="000A01BA">
                              <w:rPr>
                                <w:b/>
                                <w:color w:val="943634"/>
                                <w:sz w:val="16"/>
                                <w:szCs w:val="16"/>
                              </w:rPr>
                              <w:t>Tél. :</w:t>
                            </w:r>
                            <w:r>
                              <w:rPr>
                                <w:b/>
                                <w:color w:val="943634"/>
                                <w:sz w:val="16"/>
                                <w:szCs w:val="16"/>
                              </w:rPr>
                              <w:t xml:space="preserve"> +245 95 637 45 80  </w:t>
                            </w:r>
                            <w:r w:rsidRPr="00C9614C">
                              <w:rPr>
                                <w:b/>
                                <w:color w:val="943634"/>
                                <w:sz w:val="16"/>
                                <w:szCs w:val="16"/>
                              </w:rPr>
                              <w:t xml:space="preserve"> </w:t>
                            </w:r>
                            <w:r>
                              <w:rPr>
                                <w:b/>
                                <w:color w:val="943634"/>
                                <w:sz w:val="16"/>
                                <w:szCs w:val="16"/>
                              </w:rPr>
                              <w:t xml:space="preserve">/  </w:t>
                            </w:r>
                            <w:r w:rsidRPr="000A01BA">
                              <w:rPr>
                                <w:b/>
                                <w:color w:val="943634"/>
                                <w:sz w:val="16"/>
                                <w:szCs w:val="16"/>
                              </w:rPr>
                              <w:t xml:space="preserve"> </w:t>
                            </w:r>
                            <w:r>
                              <w:rPr>
                                <w:b/>
                                <w:color w:val="943634"/>
                                <w:sz w:val="16"/>
                                <w:szCs w:val="16"/>
                              </w:rPr>
                              <w:t>+245 96 660 39 17</w:t>
                            </w:r>
                          </w:p>
                          <w:p w:rsidR="003C548E" w:rsidRPr="000A01BA" w:rsidRDefault="003C548E" w:rsidP="0078657E">
                            <w:pPr>
                              <w:spacing w:after="0"/>
                              <w:jc w:val="center"/>
                              <w:rPr>
                                <w:b/>
                                <w:color w:val="943634"/>
                                <w:sz w:val="16"/>
                                <w:szCs w:val="16"/>
                              </w:rPr>
                            </w:pPr>
                            <w:r w:rsidRPr="00C9614C">
                              <w:rPr>
                                <w:b/>
                                <w:color w:val="943634"/>
                                <w:sz w:val="16"/>
                                <w:szCs w:val="16"/>
                              </w:rPr>
                              <w:t xml:space="preserve"> </w:t>
                            </w:r>
                            <w:r w:rsidRPr="000A01BA">
                              <w:rPr>
                                <w:b/>
                                <w:color w:val="943634"/>
                                <w:sz w:val="16"/>
                                <w:szCs w:val="16"/>
                              </w:rPr>
                              <w:t xml:space="preserve">Email : </w:t>
                            </w:r>
                            <w:hyperlink r:id="rId11" w:history="1">
                              <w:r w:rsidRPr="001E6215">
                                <w:rPr>
                                  <w:b/>
                                  <w:sz w:val="16"/>
                                  <w:szCs w:val="16"/>
                                </w:rPr>
                                <w:t>ecienvironnement@gmail.com</w:t>
                              </w:r>
                            </w:hyperlink>
                            <w:r>
                              <w:rPr>
                                <w:b/>
                                <w:color w:val="943634"/>
                                <w:sz w:val="16"/>
                                <w:szCs w:val="16"/>
                              </w:rPr>
                              <w:t xml:space="preserve">     </w:t>
                            </w:r>
                            <w:hyperlink r:id="rId12" w:history="1">
                              <w:r w:rsidRPr="00E26149">
                                <w:rPr>
                                  <w:b/>
                                  <w:sz w:val="16"/>
                                  <w:szCs w:val="16"/>
                                </w:rPr>
                                <w:t>beroubaguisse@yahoo.fr</w:t>
                              </w:r>
                            </w:hyperlink>
                          </w:p>
                          <w:p w:rsidR="003C548E" w:rsidRPr="000A01BA" w:rsidRDefault="003C548E" w:rsidP="0078657E">
                            <w:pPr>
                              <w:jc w:val="center"/>
                              <w:rPr>
                                <w:b/>
                                <w:color w:val="943634"/>
                                <w:sz w:val="16"/>
                                <w:szCs w:val="16"/>
                              </w:rPr>
                            </w:pPr>
                          </w:p>
                          <w:p w:rsidR="003C548E" w:rsidRDefault="003C548E" w:rsidP="0078657E">
                            <w:pPr>
                              <w:jc w:val="center"/>
                              <w:rPr>
                                <w:b/>
                                <w:color w:val="943634"/>
                              </w:rPr>
                            </w:pPr>
                          </w:p>
                          <w:p w:rsidR="003C548E" w:rsidRPr="00EA6A4C" w:rsidRDefault="003C548E" w:rsidP="0078657E">
                            <w:pPr>
                              <w:rPr>
                                <w:b/>
                                <w:color w:val="94363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roundrect w14:anchorId="46A25266" id="Rectangle à coins arrondis 1955" o:spid="_x0000_s1029" style="position:absolute;left:0;text-align:left;margin-left:243.55pt;margin-top:451.25pt;width:246.75pt;height:63.75pt;z-index:2516480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705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" fillcolor="white [3201]" strokecolor="#70ad47 [3209]" strokeweight="1pt">
                <v:stroke joinstyle="miter"/>
                <v:textbox>
                  <w:txbxContent>
                    <w:p w:rsidR="003C548E" w:rsidRPr="000A01BA" w:rsidRDefault="003C548E" w:rsidP="0078657E">
                      <w:pPr>
                        <w:spacing w:after="0"/>
                        <w:rPr>
                          <w:b/>
                          <w:color w:val="943634"/>
                          <w:sz w:val="16"/>
                          <w:szCs w:val="16"/>
                        </w:rPr>
                      </w:pPr>
                      <w:r>
                        <w:rPr>
                          <w:b/>
                          <w:color w:val="943634"/>
                          <w:sz w:val="16"/>
                          <w:szCs w:val="16"/>
                        </w:rPr>
                        <w:t xml:space="preserve">            </w:t>
                      </w:r>
                      <w:r w:rsidRPr="000A01BA">
                        <w:rPr>
                          <w:b/>
                          <w:color w:val="943634"/>
                          <w:sz w:val="16"/>
                          <w:szCs w:val="16"/>
                        </w:rPr>
                        <w:t>Villa N° 190, La Linguère – Keur Massar</w:t>
                      </w:r>
                      <w:r>
                        <w:rPr>
                          <w:b/>
                          <w:color w:val="943634"/>
                          <w:sz w:val="16"/>
                          <w:szCs w:val="16"/>
                        </w:rPr>
                        <w:t xml:space="preserve"> - SENEGAL</w:t>
                      </w:r>
                    </w:p>
                    <w:p w:rsidR="003C548E" w:rsidRDefault="003C548E" w:rsidP="0078657E">
                      <w:pPr>
                        <w:spacing w:after="0"/>
                        <w:jc w:val="center"/>
                        <w:rPr>
                          <w:b/>
                          <w:color w:val="943634"/>
                          <w:sz w:val="16"/>
                          <w:szCs w:val="16"/>
                        </w:rPr>
                      </w:pPr>
                      <w:r w:rsidRPr="000A01BA">
                        <w:rPr>
                          <w:b/>
                          <w:color w:val="943634"/>
                          <w:sz w:val="16"/>
                          <w:szCs w:val="16"/>
                        </w:rPr>
                        <w:t>Tél. :</w:t>
                      </w:r>
                      <w:r>
                        <w:rPr>
                          <w:b/>
                          <w:color w:val="943634"/>
                          <w:sz w:val="16"/>
                          <w:szCs w:val="16"/>
                        </w:rPr>
                        <w:t xml:space="preserve"> </w:t>
                      </w:r>
                      <w:r w:rsidRPr="00C9614C">
                        <w:rPr>
                          <w:b/>
                          <w:color w:val="943634"/>
                          <w:sz w:val="16"/>
                          <w:szCs w:val="16"/>
                        </w:rPr>
                        <w:t xml:space="preserve">+221 33 837 80 36 </w:t>
                      </w:r>
                      <w:r>
                        <w:rPr>
                          <w:b/>
                          <w:color w:val="943634"/>
                          <w:sz w:val="16"/>
                          <w:szCs w:val="16"/>
                        </w:rPr>
                        <w:t xml:space="preserve">/  </w:t>
                      </w:r>
                      <w:r w:rsidRPr="000A01BA">
                        <w:rPr>
                          <w:b/>
                          <w:color w:val="943634"/>
                          <w:sz w:val="16"/>
                          <w:szCs w:val="16"/>
                        </w:rPr>
                        <w:t xml:space="preserve"> 77 648 95</w:t>
                      </w:r>
                      <w:r>
                        <w:rPr>
                          <w:b/>
                          <w:color w:val="943634"/>
                          <w:sz w:val="16"/>
                          <w:szCs w:val="16"/>
                        </w:rPr>
                        <w:t xml:space="preserve"> </w:t>
                      </w:r>
                      <w:r w:rsidRPr="000A01BA">
                        <w:rPr>
                          <w:b/>
                          <w:color w:val="943634"/>
                          <w:sz w:val="16"/>
                          <w:szCs w:val="16"/>
                        </w:rPr>
                        <w:t>33</w:t>
                      </w:r>
                    </w:p>
                    <w:p w:rsidR="003C548E" w:rsidRDefault="003C548E" w:rsidP="0078657E">
                      <w:pPr>
                        <w:spacing w:after="0"/>
                        <w:jc w:val="center"/>
                        <w:rPr>
                          <w:b/>
                          <w:color w:val="943634"/>
                          <w:sz w:val="16"/>
                          <w:szCs w:val="16"/>
                        </w:rPr>
                      </w:pPr>
                      <w:r>
                        <w:rPr>
                          <w:b/>
                          <w:color w:val="943634"/>
                          <w:sz w:val="16"/>
                          <w:szCs w:val="16"/>
                        </w:rPr>
                        <w:t>Rond –point Chapa, Immeuble R+3, en face Eco Bank, Guinée Bissau</w:t>
                      </w:r>
                    </w:p>
                    <w:p w:rsidR="003C548E" w:rsidRDefault="003C548E" w:rsidP="0078657E">
                      <w:pPr>
                        <w:spacing w:after="0"/>
                        <w:jc w:val="center"/>
                        <w:rPr>
                          <w:b/>
                          <w:color w:val="943634"/>
                          <w:sz w:val="16"/>
                          <w:szCs w:val="16"/>
                        </w:rPr>
                      </w:pPr>
                      <w:r w:rsidRPr="000A01BA">
                        <w:rPr>
                          <w:b/>
                          <w:color w:val="943634"/>
                          <w:sz w:val="16"/>
                          <w:szCs w:val="16"/>
                        </w:rPr>
                        <w:t>Tél. :</w:t>
                      </w:r>
                      <w:r>
                        <w:rPr>
                          <w:b/>
                          <w:color w:val="943634"/>
                          <w:sz w:val="16"/>
                          <w:szCs w:val="16"/>
                        </w:rPr>
                        <w:t xml:space="preserve"> +245 95 637 45 80  </w:t>
                      </w:r>
                      <w:r w:rsidRPr="00C9614C">
                        <w:rPr>
                          <w:b/>
                          <w:color w:val="943634"/>
                          <w:sz w:val="16"/>
                          <w:szCs w:val="16"/>
                        </w:rPr>
                        <w:t xml:space="preserve"> </w:t>
                      </w:r>
                      <w:r>
                        <w:rPr>
                          <w:b/>
                          <w:color w:val="943634"/>
                          <w:sz w:val="16"/>
                          <w:szCs w:val="16"/>
                        </w:rPr>
                        <w:t xml:space="preserve">/  </w:t>
                      </w:r>
                      <w:r w:rsidRPr="000A01BA">
                        <w:rPr>
                          <w:b/>
                          <w:color w:val="943634"/>
                          <w:sz w:val="16"/>
                          <w:szCs w:val="16"/>
                        </w:rPr>
                        <w:t xml:space="preserve"> </w:t>
                      </w:r>
                      <w:r>
                        <w:rPr>
                          <w:b/>
                          <w:color w:val="943634"/>
                          <w:sz w:val="16"/>
                          <w:szCs w:val="16"/>
                        </w:rPr>
                        <w:t>+245 96 660 39 17</w:t>
                      </w:r>
                    </w:p>
                    <w:p w:rsidR="003C548E" w:rsidRPr="000A01BA" w:rsidRDefault="003C548E" w:rsidP="0078657E">
                      <w:pPr>
                        <w:spacing w:after="0"/>
                        <w:jc w:val="center"/>
                        <w:rPr>
                          <w:b/>
                          <w:color w:val="943634"/>
                          <w:sz w:val="16"/>
                          <w:szCs w:val="16"/>
                        </w:rPr>
                      </w:pPr>
                      <w:r w:rsidRPr="00C9614C">
                        <w:rPr>
                          <w:b/>
                          <w:color w:val="943634"/>
                          <w:sz w:val="16"/>
                          <w:szCs w:val="16"/>
                        </w:rPr>
                        <w:t xml:space="preserve"> </w:t>
                      </w:r>
                      <w:r w:rsidRPr="000A01BA">
                        <w:rPr>
                          <w:b/>
                          <w:color w:val="943634"/>
                          <w:sz w:val="16"/>
                          <w:szCs w:val="16"/>
                        </w:rPr>
                        <w:t xml:space="preserve">Email : </w:t>
                      </w:r>
                      <w:hyperlink r:id="rId13" w:history="1">
                        <w:r w:rsidRPr="001E6215">
                          <w:rPr>
                            <w:b/>
                            <w:sz w:val="16"/>
                            <w:szCs w:val="16"/>
                          </w:rPr>
                          <w:t>ecienvironnement@gmail.com</w:t>
                        </w:r>
                      </w:hyperlink>
                      <w:r>
                        <w:rPr>
                          <w:b/>
                          <w:color w:val="943634"/>
                          <w:sz w:val="16"/>
                          <w:szCs w:val="16"/>
                        </w:rPr>
                        <w:t xml:space="preserve">     </w:t>
                      </w:r>
                      <w:hyperlink r:id="rId14" w:history="1">
                        <w:r w:rsidRPr="00E26149">
                          <w:rPr>
                            <w:b/>
                            <w:sz w:val="16"/>
                            <w:szCs w:val="16"/>
                          </w:rPr>
                          <w:t>beroubaguisse@yahoo.fr</w:t>
                        </w:r>
                      </w:hyperlink>
                    </w:p>
                    <w:p w:rsidR="003C548E" w:rsidRPr="000A01BA" w:rsidRDefault="003C548E" w:rsidP="0078657E">
                      <w:pPr>
                        <w:jc w:val="center"/>
                        <w:rPr>
                          <w:b/>
                          <w:color w:val="943634"/>
                          <w:sz w:val="16"/>
                          <w:szCs w:val="16"/>
                        </w:rPr>
                      </w:pPr>
                    </w:p>
                    <w:p w:rsidR="003C548E" w:rsidRDefault="003C548E" w:rsidP="0078657E">
                      <w:pPr>
                        <w:jc w:val="center"/>
                        <w:rPr>
                          <w:b/>
                          <w:color w:val="943634"/>
                        </w:rPr>
                      </w:pPr>
                    </w:p>
                    <w:p w:rsidR="003C548E" w:rsidRPr="00EA6A4C" w:rsidRDefault="003C548E" w:rsidP="0078657E">
                      <w:pPr>
                        <w:rPr>
                          <w:b/>
                          <w:color w:val="943634"/>
                        </w:rPr>
                      </w:pPr>
                    </w:p>
                  </w:txbxContent>
                </v:textbox>
                <w10:wrap anchorx="margin"/>
              </v:roundrect>
            </w:pict>
          </mc:Fallback>
        </mc:AlternateContent>
      </w:r>
      <w:r w:rsidR="00C1080B">
        <w:rPr>
          <w:noProof/>
          <w:color w:val="000000" w:themeColor="text1"/>
          <w:sz w:val="32"/>
          <w:szCs w:val="32"/>
          <w:lang w:val="pt-PT" w:eastAsia="pt-PT"/>
        </w:rPr>
        <mc:AlternateContent>
          <mc:Choice Requires="wps">
            <w:drawing>
              <wp:anchor distT="0" distB="0" distL="114300" distR="114300" simplePos="0" relativeHeight="252307968" behindDoc="0" locked="0" layoutInCell="1" allowOverlap="1" wp14:anchorId="1DEE0228" wp14:editId="4ED57167">
                <wp:simplePos x="0" y="0"/>
                <wp:positionH relativeFrom="column">
                  <wp:posOffset>3985895</wp:posOffset>
                </wp:positionH>
                <wp:positionV relativeFrom="paragraph">
                  <wp:posOffset>6923708</wp:posOffset>
                </wp:positionV>
                <wp:extent cx="2579427" cy="518615"/>
                <wp:effectExtent l="0" t="0" r="11430" b="15240"/>
                <wp:wrapNone/>
                <wp:docPr id="490" name="Organigramme : Terminateur 490"/>
                <wp:cNvGraphicFramePr/>
                <a:graphic xmlns:a="http://schemas.openxmlformats.org/drawingml/2006/main">
                  <a:graphicData uri="http://schemas.microsoft.com/office/word/2010/wordprocessingShape">
                    <wps:wsp>
                      <wps:cNvSpPr/>
                      <wps:spPr>
                        <a:xfrm>
                          <a:off x="0" y="0"/>
                          <a:ext cx="2579427" cy="518615"/>
                        </a:xfrm>
                        <a:prstGeom prst="flowChartTerminator">
                          <a:avLst/>
                        </a:prstGeom>
                      </wps:spPr>
                      <wps:style>
                        <a:lnRef idx="2">
                          <a:schemeClr val="accent5"/>
                        </a:lnRef>
                        <a:fillRef idx="1">
                          <a:schemeClr val="lt1"/>
                        </a:fillRef>
                        <a:effectRef idx="0">
                          <a:schemeClr val="accent5"/>
                        </a:effectRef>
                        <a:fontRef idx="minor">
                          <a:schemeClr val="dk1"/>
                        </a:fontRef>
                      </wps:style>
                      <wps:txbx>
                        <w:txbxContent>
                          <w:p w:rsidR="003C548E" w:rsidRPr="00C1080B" w:rsidRDefault="003C548E" w:rsidP="00C1080B">
                            <w:pPr>
                              <w:jc w:val="center"/>
                              <w:rPr>
                                <w:rFonts w:ascii="Times New Roman" w:hAnsi="Times New Roman" w:cs="Times New Roman"/>
                                <w:sz w:val="40"/>
                                <w:szCs w:val="40"/>
                              </w:rPr>
                            </w:pPr>
                            <w:r>
                              <w:rPr>
                                <w:rFonts w:ascii="Times New Roman" w:hAnsi="Times New Roman" w:cs="Times New Roman"/>
                                <w:sz w:val="40"/>
                                <w:szCs w:val="40"/>
                              </w:rPr>
                              <w:t>SEPTEMBRE</w:t>
                            </w:r>
                            <w:r w:rsidRPr="00C1080B">
                              <w:rPr>
                                <w:rFonts w:ascii="Times New Roman" w:hAnsi="Times New Roman" w:cs="Times New Roman"/>
                                <w:sz w:val="40"/>
                                <w:szCs w:val="40"/>
                              </w:rPr>
                              <w:t xml:space="preserve"> 2020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cx1="http://schemas.microsoft.com/office/drawing/2015/9/8/chartex">
            <w:pict>
              <v:shapetype w14:anchorId="1DEE0228" id="_x0000_t116" coordsize="21600,21600" o:spt="116" path="m3475,qx,10800,3475,21600l18125,21600qx21600,10800,18125,xe">
                <v:stroke joinstyle="miter"/>
                <v:path gradientshapeok="t" o:connecttype="rect" textboxrect="1018,3163,20582,18437"/>
              </v:shapetype>
              <v:shape id="Organigramme : Terminateur 490" o:spid="_x0000_s1030" type="#_x0000_t116" style="position:absolute;left:0;text-align:left;margin-left:313.85pt;margin-top:545.15pt;width:203.1pt;height:40.85pt;z-index:2523079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" fillcolor="white [3201]" strokecolor="#4472c4 [3208]" strokeweight="1pt">
                <v:textbox>
                  <w:txbxContent>
                    <w:p w:rsidR="003C548E" w:rsidRPr="00C1080B" w:rsidRDefault="003C548E" w:rsidP="00C1080B">
                      <w:pPr>
                        <w:jc w:val="center"/>
                        <w:rPr>
                          <w:rFonts w:ascii="Times New Roman" w:hAnsi="Times New Roman" w:cs="Times New Roman"/>
                          <w:sz w:val="40"/>
                          <w:szCs w:val="40"/>
                        </w:rPr>
                      </w:pPr>
                      <w:r>
                        <w:rPr>
                          <w:rFonts w:ascii="Times New Roman" w:hAnsi="Times New Roman" w:cs="Times New Roman"/>
                          <w:sz w:val="40"/>
                          <w:szCs w:val="40"/>
                        </w:rPr>
                        <w:t>SEPTEMBRE</w:t>
                      </w:r>
                      <w:r w:rsidRPr="00C1080B">
                        <w:rPr>
                          <w:rFonts w:ascii="Times New Roman" w:hAnsi="Times New Roman" w:cs="Times New Roman"/>
                          <w:sz w:val="40"/>
                          <w:szCs w:val="40"/>
                        </w:rPr>
                        <w:t xml:space="preserve"> 2020</w:t>
                      </w:r>
                    </w:p>
                  </w:txbxContent>
                </v:textbox>
              </v:shape>
            </w:pict>
          </mc:Fallback>
        </mc:AlternateContent>
      </w:r>
      <w:r w:rsidR="00C1080B">
        <w:rPr>
          <w:noProof/>
          <w:color w:val="000000" w:themeColor="text1"/>
          <w:sz w:val="32"/>
          <w:szCs w:val="32"/>
          <w:lang w:val="pt-PT" w:eastAsia="pt-PT"/>
        </w:rPr>
        <mc:AlternateContent>
          <mc:Choice Requires="wps">
            <w:drawing>
              <wp:anchor distT="0" distB="0" distL="114300" distR="114300" simplePos="0" relativeHeight="252302848" behindDoc="0" locked="0" layoutInCell="1" allowOverlap="1" wp14:anchorId="6D6C5116" wp14:editId="6F6F9C92">
                <wp:simplePos x="0" y="0"/>
                <wp:positionH relativeFrom="column">
                  <wp:posOffset>3098999</wp:posOffset>
                </wp:positionH>
                <wp:positionV relativeFrom="paragraph">
                  <wp:posOffset>4712923</wp:posOffset>
                </wp:positionV>
                <wp:extent cx="3070746" cy="371475"/>
                <wp:effectExtent l="0" t="0" r="15875" b="28575"/>
                <wp:wrapNone/>
                <wp:docPr id="484" name="Rectangle à coins arrondis 484"/>
                <wp:cNvGraphicFramePr/>
                <a:graphic xmlns:a="http://schemas.openxmlformats.org/drawingml/2006/main">
                  <a:graphicData uri="http://schemas.microsoft.com/office/word/2010/wordprocessingShape">
                    <wps:wsp>
                      <wps:cNvSpPr/>
                      <wps:spPr>
                        <a:xfrm>
                          <a:off x="0" y="0"/>
                          <a:ext cx="3070746" cy="371475"/>
                        </a:xfrm>
                        <a:prstGeom prst="roundRect">
                          <a:avLst/>
                        </a:prstGeom>
                      </wps:spPr>
                      <wps:style>
                        <a:lnRef idx="2">
                          <a:schemeClr val="accent2"/>
                        </a:lnRef>
                        <a:fillRef idx="1">
                          <a:schemeClr val="lt1"/>
                        </a:fillRef>
                        <a:effectRef idx="0">
                          <a:schemeClr val="accent2"/>
                        </a:effectRef>
                        <a:fontRef idx="minor">
                          <a:schemeClr val="dk1"/>
                        </a:fontRef>
                      </wps:style>
                      <wps:txbx>
                        <w:txbxContent>
                          <w:p w:rsidR="003C548E" w:rsidRPr="00C1080B" w:rsidRDefault="003C548E" w:rsidP="00BC3F89">
                            <w:pPr>
                              <w:jc w:val="center"/>
                              <w:rPr>
                                <w:rFonts w:ascii="Times New Roman" w:hAnsi="Times New Roman" w:cs="Times New Roman"/>
                                <w:b/>
                                <w:color w:val="FF0000"/>
                                <w:sz w:val="36"/>
                                <w:szCs w:val="36"/>
                              </w:rPr>
                            </w:pPr>
                            <w:r>
                              <w:rPr>
                                <w:rFonts w:ascii="Times New Roman" w:hAnsi="Times New Roman" w:cs="Times New Roman"/>
                                <w:b/>
                                <w:color w:val="FF0000"/>
                                <w:sz w:val="36"/>
                                <w:szCs w:val="36"/>
                              </w:rPr>
                              <w:t>RAPPORT FINAL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cx1="http://schemas.microsoft.com/office/drawing/2015/9/8/chartex">
            <w:pict>
              <v:roundrect w14:anchorId="6D6C5116" id="Rectangle à coins arrondis 484" o:spid="_x0000_s1031" style="position:absolute;left:0;text-align:left;margin-left:244pt;margin-top:371.1pt;width:241.8pt;height:29.25pt;z-index:2523028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" fillcolor="white [3201]" strokecolor="#ed7d31 [3205]" strokeweight="1pt">
                <v:stroke joinstyle="miter"/>
                <v:textbox>
                  <w:txbxContent>
                    <w:p w:rsidR="003C548E" w:rsidRPr="00C1080B" w:rsidRDefault="003C548E" w:rsidP="00BC3F89">
                      <w:pPr>
                        <w:jc w:val="center"/>
                        <w:rPr>
                          <w:rFonts w:ascii="Times New Roman" w:hAnsi="Times New Roman" w:cs="Times New Roman"/>
                          <w:b/>
                          <w:color w:val="FF0000"/>
                          <w:sz w:val="36"/>
                          <w:szCs w:val="36"/>
                        </w:rPr>
                      </w:pPr>
                      <w:r>
                        <w:rPr>
                          <w:rFonts w:ascii="Times New Roman" w:hAnsi="Times New Roman" w:cs="Times New Roman"/>
                          <w:b/>
                          <w:color w:val="FF0000"/>
                          <w:sz w:val="36"/>
                          <w:szCs w:val="36"/>
                        </w:rPr>
                        <w:t>RAPPORT FINAL</w:t>
                      </w:r>
                    </w:p>
                  </w:txbxContent>
                </v:textbox>
              </v:roundrect>
            </w:pict>
          </mc:Fallback>
        </mc:AlternateContent>
      </w:r>
      <w:r w:rsidR="00C1080B">
        <w:rPr>
          <w:rFonts w:ascii="Calibri" w:eastAsia="Calibri" w:hAnsi="Calibri" w:cs="Times New Roman"/>
          <w:noProof/>
          <w:lang w:val="pt-PT" w:eastAsia="pt-PT"/>
        </w:rPr>
        <mc:AlternateContent>
          <mc:Choice Requires="wps">
            <w:drawing>
              <wp:anchor distT="0" distB="0" distL="114300" distR="114300" simplePos="0" relativeHeight="252300800" behindDoc="0" locked="0" layoutInCell="1" allowOverlap="1" wp14:anchorId="27D67651" wp14:editId="6985BCD7">
                <wp:simplePos x="0" y="0"/>
                <wp:positionH relativeFrom="margin">
                  <wp:posOffset>-531305</wp:posOffset>
                </wp:positionH>
                <wp:positionV relativeFrom="paragraph">
                  <wp:posOffset>3102486</wp:posOffset>
                </wp:positionV>
                <wp:extent cx="6819900" cy="1787857"/>
                <wp:effectExtent l="19050" t="19050" r="19050" b="22225"/>
                <wp:wrapNone/>
                <wp:docPr id="479" name="Organigramme : Bande perforée 479"/>
                <wp:cNvGraphicFramePr/>
                <a:graphic xmlns:a="http://schemas.openxmlformats.org/drawingml/2006/main">
                  <a:graphicData uri="http://schemas.microsoft.com/office/word/2010/wordprocessingShape">
                    <wps:wsp>
                      <wps:cNvSpPr/>
                      <wps:spPr>
                        <a:xfrm>
                          <a:off x="0" y="0"/>
                          <a:ext cx="6819900" cy="1787857"/>
                        </a:xfrm>
                        <a:prstGeom prst="flowChartPunchedTape">
                          <a:avLst/>
                        </a:prstGeom>
                        <a:noFill/>
                        <a:ln w="28575"/>
                      </wps:spPr>
                      <wps:style>
                        <a:lnRef idx="2">
                          <a:schemeClr val="accent1"/>
                        </a:lnRef>
                        <a:fillRef idx="1">
                          <a:schemeClr val="lt1"/>
                        </a:fillRef>
                        <a:effectRef idx="0">
                          <a:schemeClr val="accent1"/>
                        </a:effectRef>
                        <a:fontRef idx="minor">
                          <a:schemeClr val="dk1"/>
                        </a:fontRef>
                      </wps:style>
                      <wps:txbx>
                        <w:txbxContent>
                          <w:p w:rsidR="003C548E" w:rsidRPr="00BC3F89" w:rsidRDefault="003C548E" w:rsidP="00BC3F89">
                            <w:pPr>
                              <w:spacing w:after="0"/>
                              <w:jc w:val="center"/>
                              <w:rPr>
                                <w:rFonts w:ascii="Times New Roman" w:hAnsi="Times New Roman" w:cs="Times New Roman"/>
                                <w:b/>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C3F89">
                              <w:rPr>
                                <w:rFonts w:ascii="Times New Roman" w:hAnsi="Times New Roman" w:cs="Times New Roman"/>
                                <w:b/>
                                <w:color w:val="000000" w:themeColor="text1"/>
                                <w:sz w:val="40"/>
                                <w:szCs w:val="40"/>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SOUS-PROJET Nº 2</w:t>
                            </w:r>
                          </w:p>
                          <w:p w:rsidR="003C548E" w:rsidRPr="00BC3F89" w:rsidRDefault="003C548E" w:rsidP="00BC3F89">
                            <w:pPr>
                              <w:spacing w:after="0"/>
                              <w:jc w:val="center"/>
                              <w:rPr>
                                <w:b/>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C3F89">
                              <w:rPr>
                                <w:rFonts w:ascii="Times New Roman" w:hAnsi="Times New Roman" w:cs="Times New Roman"/>
                                <w:b/>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La Construction de trois nouveaux </w:t>
                            </w:r>
                            <w:r>
                              <w:rPr>
                                <w:rFonts w:ascii="Times New Roman" w:hAnsi="Times New Roman" w:cs="Times New Roman"/>
                                <w:b/>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châteaux d’eau (Prabis, Safim,</w:t>
                            </w:r>
                            <w:r w:rsidRPr="00BC3F89">
                              <w:rPr>
                                <w:rFonts w:ascii="Times New Roman" w:hAnsi="Times New Roman" w:cs="Times New Roman"/>
                                <w:b/>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Bor</w:t>
                            </w:r>
                            <w:r>
                              <w:rPr>
                                <w:rFonts w:ascii="Times New Roman" w:hAnsi="Times New Roman" w:cs="Times New Roman"/>
                                <w:b/>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et Antula-Pime</w:t>
                            </w:r>
                            <w:r w:rsidRPr="00BC3F89">
                              <w:rPr>
                                <w:rFonts w:ascii="Times New Roman" w:hAnsi="Times New Roman" w:cs="Times New Roman"/>
                                <w:b/>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et la réhabilitation des autres châteaux d’eau</w:t>
                            </w:r>
                            <w:r>
                              <w:rPr>
                                <w:rFonts w:ascii="Times New Roman" w:hAnsi="Times New Roman" w:cs="Times New Roman"/>
                                <w:b/>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BC3F89">
                              <w:rPr>
                                <w:rFonts w:ascii="Times New Roman" w:hAnsi="Times New Roman" w:cs="Times New Roman"/>
                                <w:b/>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existants.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type w14:anchorId="27D67651" id="_x0000_t122" coordsize="21600,21600" o:spt="122" path="m21597,19450v-225,-558,-750,-1073,-1650,-1545c18897,17605,17585,17347,16197,17260v-1500,87,-2700,345,-3787,645c11472,18377,10910,18892,10800,19450v-188,515,-750,1075,-1613,1460c8100,21210,6825,21425,5400,21597,3937,21425,2700,21210,1612,20910,675,20525,150,19965,,19450l,2147v150,558,675,1073,1612,1460c2700,3950,3937,4165,5400,4337,6825,4165,8100,3950,9187,3607v863,-387,1425,-902,1613,-1460c10910,1632,11472,1072,12410,600,13497,300,14697,85,16197,v1388,85,2700,300,3750,600c20847,1072,21372,1632,21597,2147xe">
                <v:stroke joinstyle="miter"/>
                <v:path o:connecttype="custom" o:connectlocs="10800,2147;0,10800;10800,19450;21600,10800" textboxrect="0,4337,21600,17260"/>
              </v:shapetype>
              <v:shape id="Organigramme : Bande perforée 479" o:spid="_x0000_s1032" type="#_x0000_t122" style="position:absolute;left:0;text-align:left;margin-left:-41.85pt;margin-top:244.3pt;width:537pt;height:140.8pt;z-index:2523008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" filled="f" strokecolor="#5b9bd5 [3204]" strokeweight="2.25pt">
                <v:textbox>
                  <w:txbxContent>
                    <w:p w:rsidR="003C548E" w:rsidRPr="00BC3F89" w:rsidRDefault="003C548E" w:rsidP="00BC3F89">
                      <w:pPr>
                        <w:spacing w:after="0"/>
                        <w:jc w:val="center"/>
                        <w:rPr>
                          <w:rFonts w:ascii="Times New Roman" w:hAnsi="Times New Roman" w:cs="Times New Roman"/>
                          <w:b/>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C3F89">
                        <w:rPr>
                          <w:rFonts w:ascii="Times New Roman" w:hAnsi="Times New Roman" w:cs="Times New Roman"/>
                          <w:b/>
                          <w:color w:val="000000" w:themeColor="text1"/>
                          <w:sz w:val="40"/>
                          <w:szCs w:val="40"/>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SOUS-PROJET Nº 2</w:t>
                      </w:r>
                    </w:p>
                    <w:p w:rsidR="003C548E" w:rsidRPr="00BC3F89" w:rsidRDefault="003C548E" w:rsidP="00BC3F89">
                      <w:pPr>
                        <w:spacing w:after="0"/>
                        <w:jc w:val="center"/>
                        <w:rPr>
                          <w:b/>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C3F89">
                        <w:rPr>
                          <w:rFonts w:ascii="Times New Roman" w:hAnsi="Times New Roman" w:cs="Times New Roman"/>
                          <w:b/>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La Construction de trois nouveaux </w:t>
                      </w:r>
                      <w:r>
                        <w:rPr>
                          <w:rFonts w:ascii="Times New Roman" w:hAnsi="Times New Roman" w:cs="Times New Roman"/>
                          <w:b/>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châteaux d’eau (Prabis, Safim,</w:t>
                      </w:r>
                      <w:r w:rsidRPr="00BC3F89">
                        <w:rPr>
                          <w:rFonts w:ascii="Times New Roman" w:hAnsi="Times New Roman" w:cs="Times New Roman"/>
                          <w:b/>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Bor</w:t>
                      </w:r>
                      <w:r>
                        <w:rPr>
                          <w:rFonts w:ascii="Times New Roman" w:hAnsi="Times New Roman" w:cs="Times New Roman"/>
                          <w:b/>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et Antula-Pime</w:t>
                      </w:r>
                      <w:r w:rsidRPr="00BC3F89">
                        <w:rPr>
                          <w:rFonts w:ascii="Times New Roman" w:hAnsi="Times New Roman" w:cs="Times New Roman"/>
                          <w:b/>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et la réhabilitation des autres châteaux d’eau</w:t>
                      </w:r>
                      <w:r>
                        <w:rPr>
                          <w:rFonts w:ascii="Times New Roman" w:hAnsi="Times New Roman" w:cs="Times New Roman"/>
                          <w:b/>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BC3F89">
                        <w:rPr>
                          <w:rFonts w:ascii="Times New Roman" w:hAnsi="Times New Roman" w:cs="Times New Roman"/>
                          <w:b/>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existants.</w:t>
                      </w:r>
                    </w:p>
                  </w:txbxContent>
                </v:textbox>
                <w10:wrap anchorx="margin"/>
              </v:shape>
            </w:pict>
          </mc:Fallback>
        </mc:AlternateContent>
      </w:r>
      <w:r w:rsidR="007062AE" w:rsidRPr="000058CD">
        <w:rPr>
          <w:rFonts w:ascii="Calibri" w:eastAsia="Calibri" w:hAnsi="Calibri" w:cs="Times New Roman"/>
          <w:noProof/>
          <w:lang w:val="pt-PT" w:eastAsia="pt-PT"/>
        </w:rPr>
        <mc:AlternateContent>
          <mc:Choice Requires="wps">
            <w:drawing>
              <wp:anchor distT="0" distB="0" distL="114300" distR="114300" simplePos="0" relativeHeight="251644928" behindDoc="0" locked="0" layoutInCell="1" allowOverlap="1" wp14:anchorId="4AAA85E2" wp14:editId="0ADEF9A9">
                <wp:simplePos x="0" y="0"/>
                <wp:positionH relativeFrom="margin">
                  <wp:align>center</wp:align>
                </wp:positionH>
                <wp:positionV relativeFrom="paragraph">
                  <wp:posOffset>2559685</wp:posOffset>
                </wp:positionV>
                <wp:extent cx="6886575" cy="441119"/>
                <wp:effectExtent l="0" t="0" r="28575" b="16510"/>
                <wp:wrapNone/>
                <wp:docPr id="1959" name="Organigramme : Alternative 1959"/>
                <wp:cNvGraphicFramePr/>
                <a:graphic xmlns:a="http://schemas.openxmlformats.org/drawingml/2006/main">
                  <a:graphicData uri="http://schemas.microsoft.com/office/word/2010/wordprocessingShape">
                    <wps:wsp>
                      <wps:cNvSpPr/>
                      <wps:spPr>
                        <a:xfrm>
                          <a:off x="0" y="0"/>
                          <a:ext cx="6886575" cy="441119"/>
                        </a:xfrm>
                        <a:prstGeom prst="flowChartAlternateProcess">
                          <a:avLst/>
                        </a:prstGeom>
                        <a:ln/>
                      </wps:spPr>
                      <wps:style>
                        <a:lnRef idx="2">
                          <a:schemeClr val="accent6"/>
                        </a:lnRef>
                        <a:fillRef idx="1">
                          <a:schemeClr val="lt1"/>
                        </a:fillRef>
                        <a:effectRef idx="0">
                          <a:schemeClr val="accent6"/>
                        </a:effectRef>
                        <a:fontRef idx="minor">
                          <a:schemeClr val="dk1"/>
                        </a:fontRef>
                      </wps:style>
                      <wps:txbx>
                        <w:txbxContent>
                          <w:p w:rsidR="003C548E" w:rsidRPr="009F3CB4" w:rsidRDefault="003C548E" w:rsidP="00AD3C6C">
                            <w:pPr>
                              <w:pStyle w:val="NormalWeb1"/>
                              <w:spacing w:before="0" w:beforeAutospacing="0" w:after="0" w:afterAutospacing="0"/>
                              <w:jc w:val="center"/>
                              <w:rPr>
                                <w:color w:val="000000" w:themeColor="text1"/>
                                <w:sz w:val="36"/>
                                <w:szCs w:val="36"/>
                                <w14:shadow w14:blurRad="50800" w14:dist="38100" w14:dir="5400000" w14:sx="100000" w14:sy="100000" w14:kx="0" w14:ky="0" w14:algn="t">
                                  <w14:srgbClr w14:val="000000">
                                    <w14:alpha w14:val="60000"/>
                                  </w14:srgbClr>
                                </w14:shadow>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pPr>
                            <w:r w:rsidRPr="009F3CB4">
                              <w:rPr>
                                <w:b/>
                                <w:bCs/>
                                <w:color w:val="000000" w:themeColor="text1"/>
                                <w:kern w:val="24"/>
                                <w:sz w:val="36"/>
                                <w:szCs w:val="36"/>
                                <w14:shadow w14:blurRad="50800" w14:dist="38100" w14:dir="5400000" w14:sx="100000" w14:sy="100000" w14:kx="0" w14:ky="0" w14:algn="t">
                                  <w14:srgbClr w14:val="000000">
                                    <w14:alpha w14:val="60000"/>
                                  </w14:srgbClr>
                                </w14:shadow>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 xml:space="preserve">ETUDES D’IMPACT ENVIRONNEMENTAL ET SOCIAL </w:t>
                            </w:r>
                            <w:r w:rsidRPr="009F3CB4">
                              <w:rPr>
                                <w:b/>
                                <w:bCs/>
                                <w:color w:val="000000" w:themeColor="text1"/>
                                <w:kern w:val="24"/>
                                <w:sz w:val="36"/>
                                <w:szCs w:val="36"/>
                                <w14:shadow w14:blurRad="50800" w14:dist="38100" w14:dir="5400000" w14:sx="100000" w14:sy="100000" w14:kx="0" w14:ky="0" w14:algn="t">
                                  <w14:srgbClr w14:val="000000">
                                    <w14:alpha w14:val="60000"/>
                                  </w14:srgbClr>
                                </w14:shadow>
                                <w14:reflection w14:blurRad="6350" w14:stA="53000" w14:stPos="0" w14:endA="300" w14:endPos="35500" w14:dist="0" w14:dir="5400000" w14:fadeDir="5400000" w14:sx="100000" w14:sy="-90000" w14:kx="0" w14:ky="0" w14:algn="bl"/>
                                <w14:textOutline w14:w="9525" w14:cap="flat" w14:cmpd="sng" w14:algn="ctr">
                                  <w14:solidFill>
                                    <w14:schemeClr w14:val="accent2"/>
                                  </w14:solid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(EIES)</w:t>
                            </w:r>
                            <w:r>
                              <w:rPr>
                                <w:b/>
                                <w:bCs/>
                                <w:color w:val="000000" w:themeColor="text1"/>
                                <w:kern w:val="24"/>
                                <w:sz w:val="36"/>
                                <w:szCs w:val="36"/>
                                <w14:shadow w14:blurRad="50800" w14:dist="38100" w14:dir="5400000" w14:sx="100000" w14:sy="100000" w14:kx="0" w14:ky="0" w14:algn="t">
                                  <w14:srgbClr w14:val="000000">
                                    <w14:alpha w14:val="60000"/>
                                  </w14:srgbClr>
                                </w14:shadow>
                                <w14:reflection w14:blurRad="6350" w14:stA="53000" w14:stPos="0" w14:endA="300" w14:endPos="35500" w14:dist="0" w14:dir="5400000" w14:fadeDir="5400000" w14:sx="100000" w14:sy="-90000" w14:kx="0" w14:ky="0" w14:algn="bl"/>
                                <w14:textOutline w14:w="9525" w14:cap="flat" w14:cmpd="sng" w14:algn="ctr">
                                  <w14:solidFill>
                                    <w14:schemeClr w14:val="accent2"/>
                                  </w14:solid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 xml:space="preserve"> </w:t>
                            </w:r>
                          </w:p>
                        </w:txbxContent>
                      </wps:txbx>
                      <wps:bodyPr wrap="square" numCol="1" rtlCol="0" anchor="ctr">
                        <a:prstTxWarp prst="textCanUp">
                          <a:avLst>
                            <a:gd name="adj" fmla="val 98826"/>
                          </a:avLst>
                        </a:prstTxWarp>
                        <a:noAutofit/>
                      </wps:bodyPr>
                    </wps:wsp>
                  </a:graphicData>
                </a:graphic>
                <wp14:sizeRelH relativeFrom="margin">
                  <wp14:pctWidth>0</wp14:pctWidth>
                </wp14:sizeRelH>
                <wp14:sizeRelV relativeFrom="page">
                  <wp14:pctHeight>0</wp14:pctHeight>
                </wp14:sizeRelV>
              </wp:anchor>
            </w:drawing>
          </mc:Choice>
          <mc:Fallback xmlns:cx1="http://schemas.microsoft.com/office/drawing/2015/9/8/chartex">
            <w:pict>
              <v:shapetype w14:anchorId="4AAA85E2"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Organigramme : Alternative 1959" o:spid="_x0000_s1033" type="#_x0000_t176" style="position:absolute;left:0;text-align:left;margin-left:0;margin-top:201.55pt;width:542.25pt;height:34.75pt;z-index:25164492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" fillcolor="white [3201]" strokecolor="#70ad47 [3209]" strokeweight="1pt">
                <v:textbox>
                  <w:txbxContent>
                    <w:p w:rsidR="003C548E" w:rsidRPr="009F3CB4" w:rsidRDefault="003C548E" w:rsidP="00AD3C6C">
                      <w:pPr>
                        <w:pStyle w:val="NormalWeb1"/>
                        <w:spacing w:before="0" w:beforeAutospacing="0" w:after="0" w:afterAutospacing="0"/>
                        <w:jc w:val="center"/>
                        <w:rPr>
                          <w:color w:val="000000" w:themeColor="text1"/>
                          <w:sz w:val="36"/>
                          <w:szCs w:val="36"/>
                          <w14:shadow w14:blurRad="50800" w14:dist="38100" w14:dir="5400000" w14:sx="100000" w14:sy="100000" w14:kx="0" w14:ky="0" w14:algn="t">
                            <w14:srgbClr w14:val="000000">
                              <w14:alpha w14:val="60000"/>
                            </w14:srgbClr>
                          </w14:shadow>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pPr>
                      <w:r w:rsidRPr="009F3CB4">
                        <w:rPr>
                          <w:b/>
                          <w:bCs/>
                          <w:color w:val="000000" w:themeColor="text1"/>
                          <w:kern w:val="24"/>
                          <w:sz w:val="36"/>
                          <w:szCs w:val="36"/>
                          <w14:shadow w14:blurRad="50800" w14:dist="38100" w14:dir="5400000" w14:sx="100000" w14:sy="100000" w14:kx="0" w14:ky="0" w14:algn="t">
                            <w14:srgbClr w14:val="000000">
                              <w14:alpha w14:val="60000"/>
                            </w14:srgbClr>
                          </w14:shadow>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 xml:space="preserve">ETUDES D’IMPACT ENVIRONNEMENTAL ET SOCIAL </w:t>
                      </w:r>
                      <w:r w:rsidRPr="009F3CB4">
                        <w:rPr>
                          <w:b/>
                          <w:bCs/>
                          <w:color w:val="000000" w:themeColor="text1"/>
                          <w:kern w:val="24"/>
                          <w:sz w:val="36"/>
                          <w:szCs w:val="36"/>
                          <w14:shadow w14:blurRad="50800" w14:dist="38100" w14:dir="5400000" w14:sx="100000" w14:sy="100000" w14:kx="0" w14:ky="0" w14:algn="t">
                            <w14:srgbClr w14:val="000000">
                              <w14:alpha w14:val="60000"/>
                            </w14:srgbClr>
                          </w14:shadow>
                          <w14:reflection w14:blurRad="6350" w14:stA="53000" w14:stPos="0" w14:endA="300" w14:endPos="35500" w14:dist="0" w14:dir="5400000" w14:fadeDir="5400000" w14:sx="100000" w14:sy="-90000" w14:kx="0" w14:ky="0" w14:algn="bl"/>
                          <w14:textOutline w14:w="9525" w14:cap="flat" w14:cmpd="sng" w14:algn="ctr">
                            <w14:solidFill>
                              <w14:schemeClr w14:val="accent2"/>
                            </w14:solid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(EIES)</w:t>
                      </w:r>
                      <w:r>
                        <w:rPr>
                          <w:b/>
                          <w:bCs/>
                          <w:color w:val="000000" w:themeColor="text1"/>
                          <w:kern w:val="24"/>
                          <w:sz w:val="36"/>
                          <w:szCs w:val="36"/>
                          <w14:shadow w14:blurRad="50800" w14:dist="38100" w14:dir="5400000" w14:sx="100000" w14:sy="100000" w14:kx="0" w14:ky="0" w14:algn="t">
                            <w14:srgbClr w14:val="000000">
                              <w14:alpha w14:val="60000"/>
                            </w14:srgbClr>
                          </w14:shadow>
                          <w14:reflection w14:blurRad="6350" w14:stA="53000" w14:stPos="0" w14:endA="300" w14:endPos="35500" w14:dist="0" w14:dir="5400000" w14:fadeDir="5400000" w14:sx="100000" w14:sy="-90000" w14:kx="0" w14:ky="0" w14:algn="bl"/>
                          <w14:textOutline w14:w="9525" w14:cap="flat" w14:cmpd="sng" w14:algn="ctr">
                            <w14:solidFill>
                              <w14:schemeClr w14:val="accent2"/>
                            </w14:solid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 xml:space="preserve"> </w:t>
                      </w:r>
                    </w:p>
                  </w:txbxContent>
                </v:textbox>
                <w10:wrap anchorx="margin"/>
              </v:shape>
            </w:pict>
          </mc:Fallback>
        </mc:AlternateContent>
      </w:r>
      <w:r w:rsidR="007062AE" w:rsidRPr="007062AE">
        <w:rPr>
          <w:noProof/>
          <w:lang w:val="pt-PT" w:eastAsia="pt-PT"/>
        </w:rPr>
        <mc:AlternateContent>
          <mc:Choice Requires="wps">
            <w:drawing>
              <wp:anchor distT="45720" distB="45720" distL="114300" distR="114300" simplePos="0" relativeHeight="252299776" behindDoc="0" locked="0" layoutInCell="1" allowOverlap="1" wp14:anchorId="271C719B" wp14:editId="093F1D68">
                <wp:simplePos x="0" y="0"/>
                <wp:positionH relativeFrom="column">
                  <wp:posOffset>1957070</wp:posOffset>
                </wp:positionH>
                <wp:positionV relativeFrom="paragraph">
                  <wp:posOffset>2002155</wp:posOffset>
                </wp:positionV>
                <wp:extent cx="2360930" cy="1404620"/>
                <wp:effectExtent l="0" t="0" r="22860" b="11430"/>
                <wp:wrapSquare wrapText="bothSides"/>
                <wp:docPr id="478"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rgbClr val="000000"/>
                          </a:solidFill>
                          <a:miter lim="800000"/>
                          <a:headEnd/>
                          <a:tailEnd/>
                        </a:ln>
                      </wps:spPr>
                      <wps:txbx>
                        <w:txbxContent>
                          <w:p w:rsidR="003C548E" w:rsidRPr="007062AE" w:rsidRDefault="003C548E" w:rsidP="007062AE">
                            <w:pPr>
                              <w:spacing w:after="0" w:line="240" w:lineRule="auto"/>
                              <w:jc w:val="right"/>
                              <w:rPr>
                                <w:rFonts w:ascii="Times New Roman" w:hAnsi="Times New Roman" w:cs="Times New Roman"/>
                                <w:b/>
                                <w:i/>
                                <w:color w:val="2A2A2A"/>
                                <w:sz w:val="24"/>
                                <w:szCs w:val="24"/>
                              </w:rPr>
                            </w:pPr>
                            <w:r w:rsidRPr="007062AE">
                              <w:rPr>
                                <w:rFonts w:ascii="Times New Roman" w:hAnsi="Times New Roman" w:cs="Times New Roman"/>
                                <w:b/>
                                <w:i/>
                                <w:color w:val="2A2A2A"/>
                                <w:sz w:val="24"/>
                                <w:szCs w:val="24"/>
                              </w:rPr>
                              <w:t>Financé par la Banque mondiale</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xmlns:cx1="http://schemas.microsoft.com/office/drawing/2015/9/8/chartex">
            <w:pict>
              <v:shape w14:anchorId="271C719B" id="_x0000_s1034" type="#_x0000_t202" style="position:absolute;left:0;text-align:left;margin-left:154.1pt;margin-top:157.65pt;width:185.9pt;height:110.6pt;z-index:252299776;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">
                <v:textbox style="mso-fit-shape-to-text:t">
                  <w:txbxContent>
                    <w:p w:rsidR="003C548E" w:rsidRPr="007062AE" w:rsidRDefault="003C548E" w:rsidP="007062AE">
                      <w:pPr>
                        <w:spacing w:after="0" w:line="240" w:lineRule="auto"/>
                        <w:jc w:val="right"/>
                        <w:rPr>
                          <w:rFonts w:ascii="Times New Roman" w:hAnsi="Times New Roman" w:cs="Times New Roman"/>
                          <w:b/>
                          <w:i/>
                          <w:color w:val="2A2A2A"/>
                          <w:sz w:val="24"/>
                          <w:szCs w:val="24"/>
                        </w:rPr>
                      </w:pPr>
                      <w:r w:rsidRPr="007062AE">
                        <w:rPr>
                          <w:rFonts w:ascii="Times New Roman" w:hAnsi="Times New Roman" w:cs="Times New Roman"/>
                          <w:b/>
                          <w:i/>
                          <w:color w:val="2A2A2A"/>
                          <w:sz w:val="24"/>
                          <w:szCs w:val="24"/>
                        </w:rPr>
                        <w:t>Financé par la Banque mondiale</w:t>
                      </w:r>
                    </w:p>
                  </w:txbxContent>
                </v:textbox>
                <w10:wrap type="square"/>
              </v:shape>
            </w:pict>
          </mc:Fallback>
        </mc:AlternateContent>
      </w:r>
      <w:r w:rsidR="007062AE">
        <w:rPr>
          <w:noProof/>
          <w:lang w:val="pt-PT" w:eastAsia="pt-PT"/>
        </w:rPr>
        <w:drawing>
          <wp:anchor distT="0" distB="0" distL="114300" distR="114300" simplePos="0" relativeHeight="251641856" behindDoc="0" locked="0" layoutInCell="1" allowOverlap="1" wp14:anchorId="5557C6F1" wp14:editId="2377F32E">
            <wp:simplePos x="0" y="0"/>
            <wp:positionH relativeFrom="margin">
              <wp:posOffset>4338955</wp:posOffset>
            </wp:positionH>
            <wp:positionV relativeFrom="margin">
              <wp:posOffset>3837940</wp:posOffset>
            </wp:positionV>
            <wp:extent cx="1590675" cy="795020"/>
            <wp:effectExtent l="19050" t="19050" r="28575" b="24130"/>
            <wp:wrapTight wrapText="bothSides">
              <wp:wrapPolygon edited="0">
                <wp:start x="-259" y="-518"/>
                <wp:lineTo x="-259" y="21738"/>
                <wp:lineTo x="21729" y="21738"/>
                <wp:lineTo x="21729" y="-518"/>
                <wp:lineTo x="-259" y="-518"/>
              </wp:wrapPolygon>
            </wp:wrapTight>
            <wp:docPr id="1946" name="Image 19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la-banque-mondiale.png"/>
                    <pic:cNvPicPr/>
                  </pic:nvPicPr>
                  <pic:blipFill>
                    <a:blip r:embed="rId15" cstate="email">
                      <a:extLst>
                        <a:ext uri="{28A0092B-C50C-407E-A947-70E740481C1C}">
                          <a14:useLocalDpi xmlns:a14="http://schemas.microsoft.com/office/drawing/2010/main"/>
                        </a:ext>
                      </a:extLst>
                    </a:blip>
                    <a:stretch>
                      <a:fillRect/>
                    </a:stretch>
                  </pic:blipFill>
                  <pic:spPr>
                    <a:xfrm>
                      <a:off x="0" y="0"/>
                      <a:ext cx="1590675" cy="795020"/>
                    </a:xfrm>
                    <a:prstGeom prst="rect">
                      <a:avLst/>
                    </a:prstGeom>
                    <a:ln>
                      <a:solidFill>
                        <a:schemeClr val="bg1"/>
                      </a:solidFill>
                    </a:ln>
                  </pic:spPr>
                </pic:pic>
              </a:graphicData>
            </a:graphic>
            <wp14:sizeRelH relativeFrom="margin">
              <wp14:pctWidth>0</wp14:pctWidth>
            </wp14:sizeRelH>
            <wp14:sizeRelV relativeFrom="margin">
              <wp14:pctHeight>0</wp14:pctHeight>
            </wp14:sizeRelV>
          </wp:anchor>
        </w:drawing>
      </w:r>
      <w:r w:rsidR="007062AE">
        <w:rPr>
          <w:noProof/>
          <w:lang w:val="pt-PT" w:eastAsia="pt-PT"/>
        </w:rPr>
        <mc:AlternateContent>
          <mc:Choice Requires="wps">
            <w:drawing>
              <wp:anchor distT="0" distB="0" distL="114300" distR="114300" simplePos="0" relativeHeight="251640832" behindDoc="0" locked="0" layoutInCell="1" allowOverlap="1" wp14:anchorId="4BB8E734" wp14:editId="0F8A9846">
                <wp:simplePos x="0" y="0"/>
                <wp:positionH relativeFrom="page">
                  <wp:posOffset>559435</wp:posOffset>
                </wp:positionH>
                <wp:positionV relativeFrom="paragraph">
                  <wp:posOffset>783590</wp:posOffset>
                </wp:positionV>
                <wp:extent cx="6953250" cy="1009650"/>
                <wp:effectExtent l="0" t="0" r="19050" b="19050"/>
                <wp:wrapNone/>
                <wp:docPr id="1947" name="Organigramme : Multidocument 1947"/>
                <wp:cNvGraphicFramePr/>
                <a:graphic xmlns:a="http://schemas.openxmlformats.org/drawingml/2006/main">
                  <a:graphicData uri="http://schemas.microsoft.com/office/word/2010/wordprocessingShape">
                    <wps:wsp>
                      <wps:cNvSpPr/>
                      <wps:spPr>
                        <a:xfrm>
                          <a:off x="0" y="0"/>
                          <a:ext cx="6953250" cy="1009650"/>
                        </a:xfrm>
                        <a:prstGeom prst="flowChartMultidocument">
                          <a:avLst/>
                        </a:prstGeom>
                        <a:ln/>
                      </wps:spPr>
                      <wps:style>
                        <a:lnRef idx="2">
                          <a:schemeClr val="accent1"/>
                        </a:lnRef>
                        <a:fillRef idx="1">
                          <a:schemeClr val="lt1"/>
                        </a:fillRef>
                        <a:effectRef idx="0">
                          <a:schemeClr val="accent1"/>
                        </a:effectRef>
                        <a:fontRef idx="minor">
                          <a:schemeClr val="dk1"/>
                        </a:fontRef>
                      </wps:style>
                      <wps:txbx>
                        <w:txbxContent>
                          <w:p w:rsidR="003C548E" w:rsidRPr="00AD3C6C" w:rsidRDefault="003C548E" w:rsidP="0040547A">
                            <w:pPr>
                              <w:spacing w:after="0"/>
                              <w:jc w:val="center"/>
                              <w:rPr>
                                <w:rFonts w:ascii="Lucida Handwriting" w:hAnsi="Lucida Handwriting"/>
                                <w:b/>
                                <w:color w:val="000000" w:themeColor="text1"/>
                                <w14:shadow w14:blurRad="50800" w14:dist="38100" w14:dir="0" w14:sx="100000" w14:sy="100000" w14:kx="0" w14:ky="0" w14:algn="l">
                                  <w14:srgbClr w14:val="000000">
                                    <w14:alpha w14:val="60000"/>
                                  </w14:srgbClr>
                                </w14:shadow>
                                <w14:textOutline w14:w="0" w14:cap="flat" w14:cmpd="sng" w14:algn="ctr">
                                  <w14:noFill/>
                                  <w14:prstDash w14:val="solid"/>
                                  <w14:round/>
                                </w14:textOutline>
                              </w:rPr>
                            </w:pPr>
                            <w:r w:rsidRPr="00AD3C6C">
                              <w:rPr>
                                <w:rFonts w:ascii="Lucida Handwriting" w:hAnsi="Lucida Handwriting"/>
                                <w:b/>
                                <w:color w:val="000000" w:themeColor="text1"/>
                                <w14:shadow w14:blurRad="50800" w14:dist="38100" w14:dir="0" w14:sx="100000" w14:sy="100000" w14:kx="0" w14:ky="0" w14:algn="l">
                                  <w14:srgbClr w14:val="000000">
                                    <w14:alpha w14:val="60000"/>
                                  </w14:srgbClr>
                                </w14:shadow>
                                <w14:textOutline w14:w="0" w14:cap="flat" w14:cmpd="sng" w14:algn="ctr">
                                  <w14:noFill/>
                                  <w14:prstDash w14:val="solid"/>
                                  <w14:round/>
                                </w14:textOutline>
                              </w:rPr>
                              <w:t>PROJET D’URGENCE POUR L’AMELIORATION DES SERVICES D’EAU POTABLE ET D’ELECTRICITÉ POUR LA VILLE DE BISSAU – FOND ADDITIONNEL (PUASEE- FA)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type w14:anchorId="4BB8E734" id="_x0000_t115" coordsize="21600,21600" o:spt="115" path="m,20465v810,317,1620,452,2397,725c3077,21325,3790,21417,4405,21597v1620,,2202,-180,2657,-272c7580,21280,8002,21010,8455,20917v422,-135,810,-405,1327,-542c10205,20150,10657,19967,11080,19742v517,-182,970,-407,1425,-590c13087,19017,13605,18745,14255,18610v615,-180,1262,-318,1942,-408c16975,18202,17785,18022,18595,18022r,-1670l19192,16252r808,l20000,14467r722,-75l21597,14392,21597,,2972,r,1815l1532,1815r,1860l,3675,,20465xem1532,3675nfl18595,3675r,12677em2972,1815nfl20000,1815r,12652e">
                <v:stroke joinstyle="miter"/>
                <v:path o:extrusionok="f" o:connecttype="custom" o:connectlocs="10800,0;0,10800;10800,19890;21600,10800" textboxrect="0,3675,18595,18022"/>
              </v:shapetype>
              <v:shape id="Organigramme : Multidocument 1947" o:spid="_x0000_s1035" type="#_x0000_t115" style="position:absolute;left:0;text-align:left;margin-left:44.05pt;margin-top:61.7pt;width:547.5pt;height:79.5pt;z-index:2516408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" fillcolor="white [3201]" strokecolor="#5b9bd5 [3204]" strokeweight="1pt">
                <v:textbox>
                  <w:txbxContent>
                    <w:p w:rsidR="003C548E" w:rsidRPr="00AD3C6C" w:rsidRDefault="003C548E" w:rsidP="0040547A">
                      <w:pPr>
                        <w:spacing w:after="0"/>
                        <w:jc w:val="center"/>
                        <w:rPr>
                          <w:rFonts w:ascii="Lucida Handwriting" w:hAnsi="Lucida Handwriting"/>
                          <w:b/>
                          <w:color w:val="000000" w:themeColor="text1"/>
                          <w14:shadow w14:blurRad="50800" w14:dist="38100" w14:dir="0" w14:sx="100000" w14:sy="100000" w14:kx="0" w14:ky="0" w14:algn="l">
                            <w14:srgbClr w14:val="000000">
                              <w14:alpha w14:val="60000"/>
                            </w14:srgbClr>
                          </w14:shadow>
                          <w14:textOutline w14:w="0" w14:cap="flat" w14:cmpd="sng" w14:algn="ctr">
                            <w14:noFill/>
                            <w14:prstDash w14:val="solid"/>
                            <w14:round/>
                          </w14:textOutline>
                        </w:rPr>
                      </w:pPr>
                      <w:r w:rsidRPr="00AD3C6C">
                        <w:rPr>
                          <w:rFonts w:ascii="Lucida Handwriting" w:hAnsi="Lucida Handwriting"/>
                          <w:b/>
                          <w:color w:val="000000" w:themeColor="text1"/>
                          <w14:shadow w14:blurRad="50800" w14:dist="38100" w14:dir="0" w14:sx="100000" w14:sy="100000" w14:kx="0" w14:ky="0" w14:algn="l">
                            <w14:srgbClr w14:val="000000">
                              <w14:alpha w14:val="60000"/>
                            </w14:srgbClr>
                          </w14:shadow>
                          <w14:textOutline w14:w="0" w14:cap="flat" w14:cmpd="sng" w14:algn="ctr">
                            <w14:noFill/>
                            <w14:prstDash w14:val="solid"/>
                            <w14:round/>
                          </w14:textOutline>
                        </w:rPr>
                        <w:t>PROJET D’URGENCE POUR L’AMELIORATION DES SERVICES D’EAU POTABLE ET D’ELECTRICITÉ POUR LA VILLE DE BISSAU – FOND ADDITIONNEL (PUASEE- FA)</w:t>
                      </w:r>
                    </w:p>
                  </w:txbxContent>
                </v:textbox>
                <w10:wrap anchorx="page"/>
              </v:shape>
            </w:pict>
          </mc:Fallback>
        </mc:AlternateContent>
      </w:r>
      <w:r w:rsidR="007062AE">
        <w:rPr>
          <w:b/>
          <w:bCs/>
          <w:noProof/>
          <w:u w:val="single"/>
          <w:lang w:val="pt-PT" w:eastAsia="pt-PT"/>
        </w:rPr>
        <mc:AlternateContent>
          <mc:Choice Requires="wps">
            <w:drawing>
              <wp:anchor distT="0" distB="0" distL="114300" distR="114300" simplePos="0" relativeHeight="252297728" behindDoc="0" locked="0" layoutInCell="1" allowOverlap="1" wp14:anchorId="53007BDD" wp14:editId="549C9D3C">
                <wp:simplePos x="0" y="0"/>
                <wp:positionH relativeFrom="column">
                  <wp:posOffset>3419475</wp:posOffset>
                </wp:positionH>
                <wp:positionV relativeFrom="paragraph">
                  <wp:posOffset>399415</wp:posOffset>
                </wp:positionV>
                <wp:extent cx="895350" cy="152400"/>
                <wp:effectExtent l="57150" t="38100" r="0" b="76200"/>
                <wp:wrapNone/>
                <wp:docPr id="477" name="Étoile à 4 branches 477"/>
                <wp:cNvGraphicFramePr/>
                <a:graphic xmlns:a="http://schemas.openxmlformats.org/drawingml/2006/main">
                  <a:graphicData uri="http://schemas.microsoft.com/office/word/2010/wordprocessingShape">
                    <wps:wsp>
                      <wps:cNvSpPr/>
                      <wps:spPr>
                        <a:xfrm>
                          <a:off x="0" y="0"/>
                          <a:ext cx="895350" cy="152400"/>
                        </a:xfrm>
                        <a:prstGeom prst="star4">
                          <a:avLst/>
                        </a:prstGeom>
                      </wps:spPr>
                      <wps:style>
                        <a:lnRef idx="0">
                          <a:schemeClr val="accent1"/>
                        </a:lnRef>
                        <a:fillRef idx="3">
                          <a:schemeClr val="accent1"/>
                        </a:fillRef>
                        <a:effectRef idx="3">
                          <a:schemeClr val="accent1"/>
                        </a:effectRef>
                        <a:fontRef idx="minor">
                          <a:schemeClr val="lt1"/>
                        </a:fontRef>
                      </wps:style>
                      <wps:txbx>
                        <w:txbxContent>
                          <w:p w:rsidR="003C548E" w:rsidRPr="00CA0FE3" w:rsidRDefault="003C548E" w:rsidP="007062AE">
                            <w:pPr>
                              <w:shd w:val="clear" w:color="auto" w:fill="92D050"/>
                              <w:jc w:val="center"/>
                              <w:rPr>
                                <w:b/>
                                <w:bCs/>
                                <w:iCs/>
                                <w:sz w:val="36"/>
                                <w:szCs w:val="36"/>
                                <w:lang w:eastAsia="zh-CN"/>
                              </w:rPr>
                            </w:pPr>
                            <w:r w:rsidRPr="00211B45">
                              <w:rPr>
                                <w:b/>
                                <w:bCs/>
                                <w:iCs/>
                                <w:sz w:val="36"/>
                                <w:szCs w:val="36"/>
                                <w:lang w:eastAsia="zh-CN"/>
                              </w:rPr>
                              <w:t>PROJET D’URGENCE POUR L’AMELIORATION DES SERVICES D’EAU POTABLE ET D’ELECTRICITÉ POUR LA VILLE DE BISSAU – FOND ADDITIONNEL (PUASEE- FA)</w:t>
                            </w:r>
                          </w:p>
                          <w:p w:rsidR="003C548E" w:rsidRDefault="003C548E" w:rsidP="007062A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cx1="http://schemas.microsoft.com/office/drawing/2015/9/8/chartex">
            <w:pict>
              <v:shapetype w14:anchorId="53007BDD" id="_x0000_t187" coordsize="21600,21600" o:spt="187" adj="8100" path="m21600,10800l@2@3,10800,0@3@3,,10800@3@2,10800,21600@2@2xe">
                <v:stroke joinstyle="miter"/>
                <v:formulas>
                  <v:f eqn="sum 10800 0 #0"/>
                  <v:f eqn="prod @0 23170 32768"/>
                  <v:f eqn="sum @1 10800 0"/>
                  <v:f eqn="sum 10800 0 @1"/>
                </v:formulas>
                <v:path gradientshapeok="t" o:connecttype="rect" textboxrect="@3,@3,@2,@2"/>
                <v:handles>
                  <v:h position="#0,center" xrange="0,10800"/>
                </v:handles>
              </v:shapetype>
              <v:shape id="Étoile à 4 branches 477" o:spid="_x0000_s1036" type="#_x0000_t187" style="position:absolute;left:0;text-align:left;margin-left:269.25pt;margin-top:31.45pt;width:70.5pt;height:12pt;z-index:2522977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" fillcolor="#65a0d7 [3028]" stroked="f">
                <v:fill color2="#5898d4 [3172]" rotate="t" colors="0 #71a6db;.5 #559bdb;1 #438ac9" focus="100%" type="gradient">
                  <o:fill v:ext="view" type="gradientUnscaled"/>
                </v:fill>
                <v:shadow on="t" color="black" opacity="41287f" offset="0,1.5pt"/>
                <v:textbox>
                  <w:txbxContent>
                    <w:p w:rsidR="003C548E" w:rsidRPr="00CA0FE3" w:rsidRDefault="003C548E" w:rsidP="007062AE">
                      <w:pPr>
                        <w:shd w:val="clear" w:color="auto" w:fill="92D050"/>
                        <w:jc w:val="center"/>
                        <w:rPr>
                          <w:b/>
                          <w:bCs/>
                          <w:iCs/>
                          <w:sz w:val="36"/>
                          <w:szCs w:val="36"/>
                          <w:lang w:eastAsia="zh-CN"/>
                        </w:rPr>
                      </w:pPr>
                      <w:r w:rsidRPr="00211B45">
                        <w:rPr>
                          <w:b/>
                          <w:bCs/>
                          <w:iCs/>
                          <w:sz w:val="36"/>
                          <w:szCs w:val="36"/>
                          <w:lang w:eastAsia="zh-CN"/>
                        </w:rPr>
                        <w:t>PROJET D’URGENCE POUR L’AMELIORATION DES SERVICES D’EAU POTABLE ET D’ELECTRICITÉ POUR LA VILLE DE BISSAU – FOND ADDITIONNEL (PUASEE- FA)</w:t>
                      </w:r>
                    </w:p>
                    <w:p w:rsidR="003C548E" w:rsidRDefault="003C548E" w:rsidP="007062AE">
                      <w:pPr>
                        <w:jc w:val="center"/>
                      </w:pPr>
                    </w:p>
                  </w:txbxContent>
                </v:textbox>
              </v:shape>
            </w:pict>
          </mc:Fallback>
        </mc:AlternateContent>
      </w:r>
      <w:r w:rsidR="007062AE">
        <w:rPr>
          <w:b/>
          <w:bCs/>
          <w:noProof/>
          <w:u w:val="single"/>
          <w:lang w:val="pt-PT" w:eastAsia="pt-PT"/>
        </w:rPr>
        <mc:AlternateContent>
          <mc:Choice Requires="wps">
            <w:drawing>
              <wp:anchor distT="0" distB="0" distL="114300" distR="114300" simplePos="0" relativeHeight="251637760" behindDoc="0" locked="0" layoutInCell="1" allowOverlap="1" wp14:anchorId="1748D95F" wp14:editId="60C7CB6E">
                <wp:simplePos x="0" y="0"/>
                <wp:positionH relativeFrom="column">
                  <wp:posOffset>1576070</wp:posOffset>
                </wp:positionH>
                <wp:positionV relativeFrom="paragraph">
                  <wp:posOffset>375920</wp:posOffset>
                </wp:positionV>
                <wp:extent cx="895350" cy="152400"/>
                <wp:effectExtent l="57150" t="38100" r="0" b="76200"/>
                <wp:wrapNone/>
                <wp:docPr id="1948" name="Étoile à 4 branches 1948"/>
                <wp:cNvGraphicFramePr/>
                <a:graphic xmlns:a="http://schemas.openxmlformats.org/drawingml/2006/main">
                  <a:graphicData uri="http://schemas.microsoft.com/office/word/2010/wordprocessingShape">
                    <wps:wsp>
                      <wps:cNvSpPr/>
                      <wps:spPr>
                        <a:xfrm>
                          <a:off x="0" y="0"/>
                          <a:ext cx="895350" cy="152400"/>
                        </a:xfrm>
                        <a:prstGeom prst="star4">
                          <a:avLst/>
                        </a:prstGeom>
                      </wps:spPr>
                      <wps:style>
                        <a:lnRef idx="0">
                          <a:schemeClr val="accent1"/>
                        </a:lnRef>
                        <a:fillRef idx="3">
                          <a:schemeClr val="accent1"/>
                        </a:fillRef>
                        <a:effectRef idx="3">
                          <a:schemeClr val="accent1"/>
                        </a:effectRef>
                        <a:fontRef idx="minor">
                          <a:schemeClr val="lt1"/>
                        </a:fontRef>
                      </wps:style>
                      <wps:txbx>
                        <w:txbxContent>
                          <w:p w:rsidR="003C548E" w:rsidRPr="00CA0FE3" w:rsidRDefault="003C548E" w:rsidP="0040547A">
                            <w:pPr>
                              <w:shd w:val="clear" w:color="auto" w:fill="92D050"/>
                              <w:jc w:val="center"/>
                              <w:rPr>
                                <w:b/>
                                <w:bCs/>
                                <w:iCs/>
                                <w:sz w:val="36"/>
                                <w:szCs w:val="36"/>
                                <w:lang w:eastAsia="zh-CN"/>
                              </w:rPr>
                            </w:pPr>
                            <w:r w:rsidRPr="00211B45">
                              <w:rPr>
                                <w:b/>
                                <w:bCs/>
                                <w:iCs/>
                                <w:sz w:val="36"/>
                                <w:szCs w:val="36"/>
                                <w:lang w:eastAsia="zh-CN"/>
                              </w:rPr>
                              <w:t>PROJET D’URGENCE POUR L’AMELIORATION DES SERVICES D’EAU POTABLE ET D’ELECTRICITÉ POUR LA VILLE DE BISSAU – FOND ADDITIONNEL (PUASEE- FA)</w:t>
                            </w:r>
                          </w:p>
                          <w:p w:rsidR="003C548E" w:rsidRDefault="003C548E" w:rsidP="0040547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cx1="http://schemas.microsoft.com/office/drawing/2015/9/8/chartex">
            <w:pict>
              <v:shape w14:anchorId="1748D95F" id="Étoile à 4 branches 1948" o:spid="_x0000_s1037" type="#_x0000_t187" style="position:absolute;left:0;text-align:left;margin-left:124.1pt;margin-top:29.6pt;width:70.5pt;height:12pt;z-index:2516377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" fillcolor="#65a0d7 [3028]" stroked="f">
                <v:fill color2="#5898d4 [3172]" rotate="t" colors="0 #71a6db;.5 #559bdb;1 #438ac9" focus="100%" type="gradient">
                  <o:fill v:ext="view" type="gradientUnscaled"/>
                </v:fill>
                <v:shadow on="t" color="black" opacity="41287f" offset="0,1.5pt"/>
                <v:textbox>
                  <w:txbxContent>
                    <w:p w:rsidR="003C548E" w:rsidRPr="00CA0FE3" w:rsidRDefault="003C548E" w:rsidP="0040547A">
                      <w:pPr>
                        <w:shd w:val="clear" w:color="auto" w:fill="92D050"/>
                        <w:jc w:val="center"/>
                        <w:rPr>
                          <w:b/>
                          <w:bCs/>
                          <w:iCs/>
                          <w:sz w:val="36"/>
                          <w:szCs w:val="36"/>
                          <w:lang w:eastAsia="zh-CN"/>
                        </w:rPr>
                      </w:pPr>
                      <w:r w:rsidRPr="00211B45">
                        <w:rPr>
                          <w:b/>
                          <w:bCs/>
                          <w:iCs/>
                          <w:sz w:val="36"/>
                          <w:szCs w:val="36"/>
                          <w:lang w:eastAsia="zh-CN"/>
                        </w:rPr>
                        <w:t>PROJET D’URGENCE POUR L’AMELIORATION DES SERVICES D’EAU POTABLE ET D’ELECTRICITÉ POUR LA VILLE DE BISSAU – FOND ADDITIONNEL (PUASEE- FA)</w:t>
                      </w:r>
                    </w:p>
                    <w:p w:rsidR="003C548E" w:rsidRDefault="003C548E" w:rsidP="0040547A">
                      <w:pPr>
                        <w:jc w:val="center"/>
                      </w:pPr>
                    </w:p>
                  </w:txbxContent>
                </v:textbox>
              </v:shape>
            </w:pict>
          </mc:Fallback>
        </mc:AlternateContent>
      </w:r>
      <w:r w:rsidR="007062AE">
        <w:rPr>
          <w:b/>
          <w:bCs/>
          <w:noProof/>
          <w:u w:val="single"/>
          <w:lang w:val="pt-PT" w:eastAsia="pt-PT"/>
        </w:rPr>
        <mc:AlternateContent>
          <mc:Choice Requires="wps">
            <w:drawing>
              <wp:anchor distT="0" distB="0" distL="114300" distR="114300" simplePos="0" relativeHeight="251638784" behindDoc="0" locked="0" layoutInCell="1" allowOverlap="1" wp14:anchorId="6BD42475" wp14:editId="4487931E">
                <wp:simplePos x="0" y="0"/>
                <wp:positionH relativeFrom="margin">
                  <wp:posOffset>2481580</wp:posOffset>
                </wp:positionH>
                <wp:positionV relativeFrom="paragraph">
                  <wp:posOffset>385445</wp:posOffset>
                </wp:positionV>
                <wp:extent cx="895350" cy="152400"/>
                <wp:effectExtent l="0" t="0" r="0" b="0"/>
                <wp:wrapNone/>
                <wp:docPr id="1949" name="Étoile à 4 branches 1949"/>
                <wp:cNvGraphicFramePr/>
                <a:graphic xmlns:a="http://schemas.openxmlformats.org/drawingml/2006/main">
                  <a:graphicData uri="http://schemas.microsoft.com/office/word/2010/wordprocessingShape">
                    <wps:wsp>
                      <wps:cNvSpPr/>
                      <wps:spPr>
                        <a:xfrm>
                          <a:off x="0" y="0"/>
                          <a:ext cx="895350" cy="152400"/>
                        </a:xfrm>
                        <a:prstGeom prst="star4">
                          <a:avLst/>
                        </a:prstGeom>
                        <a:gradFill flip="none" rotWithShape="1">
                          <a:gsLst>
                            <a:gs pos="0">
                              <a:schemeClr val="accent1">
                                <a:lumMod val="67000"/>
                              </a:schemeClr>
                            </a:gs>
                            <a:gs pos="48000">
                              <a:schemeClr val="accent1">
                                <a:lumMod val="97000"/>
                                <a:lumOff val="3000"/>
                              </a:schemeClr>
                            </a:gs>
                            <a:gs pos="100000">
                              <a:schemeClr val="accent1">
                                <a:lumMod val="60000"/>
                                <a:lumOff val="40000"/>
                              </a:schemeClr>
                            </a:gs>
                          </a:gsLst>
                          <a:lin ang="16200000" scaled="1"/>
                          <a:tileRect/>
                        </a:gradFill>
                        <a:ln>
                          <a:noFill/>
                        </a:ln>
                      </wps:spPr>
                      <wps:style>
                        <a:lnRef idx="0">
                          <a:scrgbClr r="0" g="0" b="0"/>
                        </a:lnRef>
                        <a:fillRef idx="0">
                          <a:scrgbClr r="0" g="0" b="0"/>
                        </a:fillRef>
                        <a:effectRef idx="0">
                          <a:scrgbClr r="0" g="0" b="0"/>
                        </a:effectRef>
                        <a:fontRef idx="minor">
                          <a:schemeClr val="lt1"/>
                        </a:fontRef>
                      </wps:style>
                      <wps:txbx>
                        <w:txbxContent>
                          <w:p w:rsidR="003C548E" w:rsidRPr="00CA0FE3" w:rsidRDefault="003C548E" w:rsidP="0040547A">
                            <w:pPr>
                              <w:shd w:val="clear" w:color="auto" w:fill="92D050"/>
                              <w:jc w:val="center"/>
                              <w:rPr>
                                <w:b/>
                                <w:bCs/>
                                <w:iCs/>
                                <w:sz w:val="36"/>
                                <w:szCs w:val="36"/>
                                <w:lang w:eastAsia="zh-CN"/>
                              </w:rPr>
                            </w:pPr>
                            <w:r w:rsidRPr="00211B45">
                              <w:rPr>
                                <w:b/>
                                <w:bCs/>
                                <w:iCs/>
                                <w:sz w:val="36"/>
                                <w:szCs w:val="36"/>
                                <w:lang w:eastAsia="zh-CN"/>
                              </w:rPr>
                              <w:t>PROJET D’URGENCE POUR L’AMELIORATION DES SERVICES D’EAU POTABLE ET D’ELECTRICITÉ POUR LA VILLE DE BISSAU – FOND ADDITIONNEL (PUASEE- FA)</w:t>
                            </w:r>
                          </w:p>
                          <w:p w:rsidR="003C548E" w:rsidRDefault="003C548E" w:rsidP="0040547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cx1="http://schemas.microsoft.com/office/drawing/2015/9/8/chartex">
            <w:pict>
              <v:shape w14:anchorId="6BD42475" id="Étoile à 4 branches 1949" o:spid="_x0000_s1038" type="#_x0000_t187" style="position:absolute;left:0;text-align:left;margin-left:195.4pt;margin-top:30.35pt;width:70.5pt;height:12pt;z-index:251638784;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" fillcolor="#2967a1 [2148]" stroked="f">
                <v:fill color2="#9cc2e5 [1940]" rotate="t" angle="180" colors="0 #2a69a2;31457f #609ed6;1 #9dc3e6" focus="100%" type="gradient"/>
                <v:textbox>
                  <w:txbxContent>
                    <w:p w:rsidR="003C548E" w:rsidRPr="00CA0FE3" w:rsidRDefault="003C548E" w:rsidP="0040547A">
                      <w:pPr>
                        <w:shd w:val="clear" w:color="auto" w:fill="92D050"/>
                        <w:jc w:val="center"/>
                        <w:rPr>
                          <w:b/>
                          <w:bCs/>
                          <w:iCs/>
                          <w:sz w:val="36"/>
                          <w:szCs w:val="36"/>
                          <w:lang w:eastAsia="zh-CN"/>
                        </w:rPr>
                      </w:pPr>
                      <w:r w:rsidRPr="00211B45">
                        <w:rPr>
                          <w:b/>
                          <w:bCs/>
                          <w:iCs/>
                          <w:sz w:val="36"/>
                          <w:szCs w:val="36"/>
                          <w:lang w:eastAsia="zh-CN"/>
                        </w:rPr>
                        <w:t>PROJET D’URGENCE POUR L’AMELIORATION DES SERVICES D’EAU POTABLE ET D’ELECTRICITÉ POUR LA VILLE DE BISSAU – FOND ADDITIONNEL (PUASEE- FA)</w:t>
                      </w:r>
                    </w:p>
                    <w:p w:rsidR="003C548E" w:rsidRDefault="003C548E" w:rsidP="0040547A">
                      <w:pPr>
                        <w:jc w:val="center"/>
                      </w:pPr>
                    </w:p>
                  </w:txbxContent>
                </v:textbox>
                <w10:wrap anchorx="margin"/>
              </v:shape>
            </w:pict>
          </mc:Fallback>
        </mc:AlternateContent>
      </w:r>
      <w:r w:rsidR="004861E1" w:rsidRPr="005C29C5">
        <w:br w:type="page"/>
      </w:r>
    </w:p>
    <w:p w:rsidR="0093770F" w:rsidRPr="00CD5496" w:rsidRDefault="0093770F" w:rsidP="00CD5496">
      <w:pPr>
        <w:keepNext/>
        <w:keepLines/>
        <w:pBdr>
          <w:top w:val="outset" w:sz="6" w:space="1" w:color="auto"/>
          <w:left w:val="outset" w:sz="6" w:space="4" w:color="auto"/>
          <w:bottom w:val="outset" w:sz="6" w:space="1" w:color="auto"/>
          <w:right w:val="outset" w:sz="6" w:space="4" w:color="auto"/>
        </w:pBdr>
        <w:shd w:val="clear" w:color="auto" w:fill="F2F2F2" w:themeFill="background1" w:themeFillShade="F2"/>
        <w:spacing w:after="0" w:line="240" w:lineRule="auto"/>
        <w:ind w:left="-1417" w:right="-566"/>
        <w:jc w:val="center"/>
        <w:outlineLvl w:val="0"/>
        <w:rPr>
          <w:rFonts w:ascii="Times New Roman" w:eastAsia="Calibri" w:hAnsi="Times New Roman" w:cs="Times New Roman"/>
          <w:b/>
          <w:sz w:val="32"/>
          <w:szCs w:val="32"/>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id="2" w:name="_Toc51072489"/>
      <w:r w:rsidRPr="00CD5496">
        <w:rPr>
          <w:rFonts w:ascii="Times New Roman" w:eastAsia="Calibri" w:hAnsi="Times New Roman" w:cs="Times New Roman"/>
          <w:b/>
          <w:sz w:val="32"/>
          <w:szCs w:val="32"/>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TABLE DES MATIERES</w:t>
      </w:r>
      <w:bookmarkEnd w:id="0"/>
      <w:bookmarkEnd w:id="2"/>
    </w:p>
    <w:sdt>
      <w:sdtPr>
        <w:rPr>
          <w:rFonts w:asciiTheme="minorHAnsi" w:hAnsiTheme="minorHAnsi" w:cstheme="minorBidi"/>
          <w:b w:val="0"/>
          <w:sz w:val="22"/>
          <w:szCs w:val="22"/>
        </w:rPr>
        <w:id w:val="-690679922"/>
        <w:docPartObj>
          <w:docPartGallery w:val="Table of Contents"/>
          <w:docPartUnique/>
        </w:docPartObj>
      </w:sdtPr>
      <w:sdtEndPr>
        <w:rPr>
          <w:bCs/>
        </w:rPr>
      </w:sdtEndPr>
      <w:sdtContent>
        <w:p w:rsidR="003E1B4A" w:rsidRPr="003E1B4A" w:rsidRDefault="003E1B4A" w:rsidP="003E1B4A">
          <w:pPr>
            <w:pStyle w:val="Cabealhodondice"/>
            <w:numPr>
              <w:ilvl w:val="0"/>
              <w:numId w:val="0"/>
            </w:numPr>
            <w:ind w:left="787"/>
            <w:jc w:val="center"/>
            <w:rPr>
              <w:sz w:val="36"/>
              <w:szCs w:val="36"/>
            </w:rPr>
          </w:pPr>
          <w:r w:rsidRPr="003E1B4A">
            <w:rPr>
              <w:sz w:val="36"/>
              <w:szCs w:val="36"/>
            </w:rPr>
            <w:t>TABLE DES MATIERES</w:t>
          </w:r>
        </w:p>
        <w:p w:rsidR="00D10B3E" w:rsidRDefault="003E1B4A">
          <w:pPr>
            <w:pStyle w:val="ndice1"/>
            <w:rPr>
              <w:rFonts w:asciiTheme="minorHAnsi" w:eastAsiaTheme="minorEastAsia" w:hAnsiTheme="minorHAnsi" w:cstheme="minorBidi"/>
              <w:b w:val="0"/>
              <w:bCs w:val="0"/>
              <w:caps w:val="0"/>
              <w:color w:val="auto"/>
              <w:sz w:val="22"/>
              <w:szCs w:val="22"/>
              <w:lang w:eastAsia="fr-FR"/>
              <w14:shadow w14:blurRad="0" w14:dist="0" w14:dir="0" w14:sx="0" w14:sy="0" w14:kx="0" w14:ky="0" w14:algn="none">
                <w14:srgbClr w14:val="000000"/>
              </w14:shadow>
              <w14:textOutline w14:w="0" w14:cap="rnd" w14:cmpd="sng" w14:algn="ctr">
                <w14:noFill/>
                <w14:prstDash w14:val="solid"/>
                <w14:bevel/>
              </w14:textOutline>
            </w:rPr>
          </w:pPr>
          <w:r>
            <w:fldChar w:fldCharType="begin"/>
          </w:r>
          <w:r>
            <w:instrText xml:space="preserve"> TOC \o "1-3" \h \z \u </w:instrText>
          </w:r>
          <w:r>
            <w:fldChar w:fldCharType="separate"/>
          </w:r>
          <w:hyperlink w:anchor="_Toc51072489" w:history="1">
            <w:r w:rsidR="00D10B3E" w:rsidRPr="009D7544">
              <w:rPr>
                <w:rStyle w:val="Hiperligao"/>
              </w:rPr>
              <w:t>TABLE DES MATIERES</w:t>
            </w:r>
            <w:r w:rsidR="00D10B3E">
              <w:rPr>
                <w:webHidden/>
              </w:rPr>
              <w:tab/>
            </w:r>
            <w:r w:rsidR="00D10B3E">
              <w:rPr>
                <w:webHidden/>
              </w:rPr>
              <w:fldChar w:fldCharType="begin"/>
            </w:r>
            <w:r w:rsidR="00D10B3E">
              <w:rPr>
                <w:webHidden/>
              </w:rPr>
              <w:instrText xml:space="preserve"> PAGEREF _Toc51072489 \h </w:instrText>
            </w:r>
            <w:r w:rsidR="00D10B3E">
              <w:rPr>
                <w:webHidden/>
              </w:rPr>
            </w:r>
            <w:r w:rsidR="00D10B3E">
              <w:rPr>
                <w:webHidden/>
              </w:rPr>
              <w:fldChar w:fldCharType="separate"/>
            </w:r>
            <w:r w:rsidR="00D10B3E">
              <w:rPr>
                <w:webHidden/>
              </w:rPr>
              <w:t>2</w:t>
            </w:r>
            <w:r w:rsidR="00D10B3E">
              <w:rPr>
                <w:webHidden/>
              </w:rPr>
              <w:fldChar w:fldCharType="end"/>
            </w:r>
          </w:hyperlink>
        </w:p>
        <w:p w:rsidR="00D10B3E" w:rsidRDefault="007055AF">
          <w:pPr>
            <w:pStyle w:val="ndice1"/>
            <w:rPr>
              <w:rFonts w:asciiTheme="minorHAnsi" w:eastAsiaTheme="minorEastAsia" w:hAnsiTheme="minorHAnsi" w:cstheme="minorBidi"/>
              <w:b w:val="0"/>
              <w:bCs w:val="0"/>
              <w:caps w:val="0"/>
              <w:color w:val="auto"/>
              <w:sz w:val="22"/>
              <w:szCs w:val="22"/>
              <w:lang w:eastAsia="fr-FR"/>
              <w14:shadow w14:blurRad="0" w14:dist="0" w14:dir="0" w14:sx="0" w14:sy="0" w14:kx="0" w14:ky="0" w14:algn="none">
                <w14:srgbClr w14:val="000000"/>
              </w14:shadow>
              <w14:textOutline w14:w="0" w14:cap="rnd" w14:cmpd="sng" w14:algn="ctr">
                <w14:noFill/>
                <w14:prstDash w14:val="solid"/>
                <w14:bevel/>
              </w14:textOutline>
            </w:rPr>
          </w:pPr>
          <w:hyperlink w:anchor="_Toc51072490" w:history="1">
            <w:r w:rsidR="00D10B3E" w:rsidRPr="009D7544">
              <w:rPr>
                <w:rStyle w:val="Hiperligao"/>
              </w:rPr>
              <w:t>LISTE DES TABLEAUX</w:t>
            </w:r>
            <w:r w:rsidR="00D10B3E">
              <w:rPr>
                <w:webHidden/>
              </w:rPr>
              <w:tab/>
            </w:r>
            <w:r w:rsidR="00D10B3E">
              <w:rPr>
                <w:webHidden/>
              </w:rPr>
              <w:fldChar w:fldCharType="begin"/>
            </w:r>
            <w:r w:rsidR="00D10B3E">
              <w:rPr>
                <w:webHidden/>
              </w:rPr>
              <w:instrText xml:space="preserve"> PAGEREF _Toc51072490 \h </w:instrText>
            </w:r>
            <w:r w:rsidR="00D10B3E">
              <w:rPr>
                <w:webHidden/>
              </w:rPr>
            </w:r>
            <w:r w:rsidR="00D10B3E">
              <w:rPr>
                <w:webHidden/>
              </w:rPr>
              <w:fldChar w:fldCharType="separate"/>
            </w:r>
            <w:r w:rsidR="00D10B3E">
              <w:rPr>
                <w:webHidden/>
              </w:rPr>
              <w:t>6</w:t>
            </w:r>
            <w:r w:rsidR="00D10B3E">
              <w:rPr>
                <w:webHidden/>
              </w:rPr>
              <w:fldChar w:fldCharType="end"/>
            </w:r>
          </w:hyperlink>
        </w:p>
        <w:p w:rsidR="00D10B3E" w:rsidRDefault="007055AF">
          <w:pPr>
            <w:pStyle w:val="ndice1"/>
            <w:rPr>
              <w:rFonts w:asciiTheme="minorHAnsi" w:eastAsiaTheme="minorEastAsia" w:hAnsiTheme="minorHAnsi" w:cstheme="minorBidi"/>
              <w:b w:val="0"/>
              <w:bCs w:val="0"/>
              <w:caps w:val="0"/>
              <w:color w:val="auto"/>
              <w:sz w:val="22"/>
              <w:szCs w:val="22"/>
              <w:lang w:eastAsia="fr-FR"/>
              <w14:shadow w14:blurRad="0" w14:dist="0" w14:dir="0" w14:sx="0" w14:sy="0" w14:kx="0" w14:ky="0" w14:algn="none">
                <w14:srgbClr w14:val="000000"/>
              </w14:shadow>
              <w14:textOutline w14:w="0" w14:cap="rnd" w14:cmpd="sng" w14:algn="ctr">
                <w14:noFill/>
                <w14:prstDash w14:val="solid"/>
                <w14:bevel/>
              </w14:textOutline>
            </w:rPr>
          </w:pPr>
          <w:hyperlink w:anchor="_Toc51072491" w:history="1">
            <w:r w:rsidR="00D10B3E" w:rsidRPr="009D7544">
              <w:rPr>
                <w:rStyle w:val="Hiperligao"/>
              </w:rPr>
              <w:t>LISTE DES FIGURES</w:t>
            </w:r>
            <w:r w:rsidR="00D10B3E">
              <w:rPr>
                <w:webHidden/>
              </w:rPr>
              <w:tab/>
            </w:r>
            <w:r w:rsidR="00D10B3E">
              <w:rPr>
                <w:webHidden/>
              </w:rPr>
              <w:fldChar w:fldCharType="begin"/>
            </w:r>
            <w:r w:rsidR="00D10B3E">
              <w:rPr>
                <w:webHidden/>
              </w:rPr>
              <w:instrText xml:space="preserve"> PAGEREF _Toc51072491 \h </w:instrText>
            </w:r>
            <w:r w:rsidR="00D10B3E">
              <w:rPr>
                <w:webHidden/>
              </w:rPr>
            </w:r>
            <w:r w:rsidR="00D10B3E">
              <w:rPr>
                <w:webHidden/>
              </w:rPr>
              <w:fldChar w:fldCharType="separate"/>
            </w:r>
            <w:r w:rsidR="00D10B3E">
              <w:rPr>
                <w:webHidden/>
              </w:rPr>
              <w:t>7</w:t>
            </w:r>
            <w:r w:rsidR="00D10B3E">
              <w:rPr>
                <w:webHidden/>
              </w:rPr>
              <w:fldChar w:fldCharType="end"/>
            </w:r>
          </w:hyperlink>
        </w:p>
        <w:p w:rsidR="00D10B3E" w:rsidRDefault="007055AF">
          <w:pPr>
            <w:pStyle w:val="ndice1"/>
            <w:rPr>
              <w:rFonts w:asciiTheme="minorHAnsi" w:eastAsiaTheme="minorEastAsia" w:hAnsiTheme="minorHAnsi" w:cstheme="minorBidi"/>
              <w:b w:val="0"/>
              <w:bCs w:val="0"/>
              <w:caps w:val="0"/>
              <w:color w:val="auto"/>
              <w:sz w:val="22"/>
              <w:szCs w:val="22"/>
              <w:lang w:eastAsia="fr-FR"/>
              <w14:shadow w14:blurRad="0" w14:dist="0" w14:dir="0" w14:sx="0" w14:sy="0" w14:kx="0" w14:ky="0" w14:algn="none">
                <w14:srgbClr w14:val="000000"/>
              </w14:shadow>
              <w14:textOutline w14:w="0" w14:cap="rnd" w14:cmpd="sng" w14:algn="ctr">
                <w14:noFill/>
                <w14:prstDash w14:val="solid"/>
                <w14:bevel/>
              </w14:textOutline>
            </w:rPr>
          </w:pPr>
          <w:hyperlink w:anchor="_Toc51072492" w:history="1">
            <w:r w:rsidR="00D10B3E" w:rsidRPr="009D7544">
              <w:rPr>
                <w:rStyle w:val="Hiperligao"/>
              </w:rPr>
              <w:t>LISTE DES PHOTOS</w:t>
            </w:r>
            <w:r w:rsidR="00D10B3E">
              <w:rPr>
                <w:webHidden/>
              </w:rPr>
              <w:tab/>
            </w:r>
            <w:r w:rsidR="00D10B3E">
              <w:rPr>
                <w:webHidden/>
              </w:rPr>
              <w:fldChar w:fldCharType="begin"/>
            </w:r>
            <w:r w:rsidR="00D10B3E">
              <w:rPr>
                <w:webHidden/>
              </w:rPr>
              <w:instrText xml:space="preserve"> PAGEREF _Toc51072492 \h </w:instrText>
            </w:r>
            <w:r w:rsidR="00D10B3E">
              <w:rPr>
                <w:webHidden/>
              </w:rPr>
            </w:r>
            <w:r w:rsidR="00D10B3E">
              <w:rPr>
                <w:webHidden/>
              </w:rPr>
              <w:fldChar w:fldCharType="separate"/>
            </w:r>
            <w:r w:rsidR="00D10B3E">
              <w:rPr>
                <w:webHidden/>
              </w:rPr>
              <w:t>8</w:t>
            </w:r>
            <w:r w:rsidR="00D10B3E">
              <w:rPr>
                <w:webHidden/>
              </w:rPr>
              <w:fldChar w:fldCharType="end"/>
            </w:r>
          </w:hyperlink>
        </w:p>
        <w:p w:rsidR="00D10B3E" w:rsidRDefault="007055AF">
          <w:pPr>
            <w:pStyle w:val="ndice1"/>
            <w:rPr>
              <w:rFonts w:asciiTheme="minorHAnsi" w:eastAsiaTheme="minorEastAsia" w:hAnsiTheme="minorHAnsi" w:cstheme="minorBidi"/>
              <w:b w:val="0"/>
              <w:bCs w:val="0"/>
              <w:caps w:val="0"/>
              <w:color w:val="auto"/>
              <w:sz w:val="22"/>
              <w:szCs w:val="22"/>
              <w:lang w:eastAsia="fr-FR"/>
              <w14:shadow w14:blurRad="0" w14:dist="0" w14:dir="0" w14:sx="0" w14:sy="0" w14:kx="0" w14:ky="0" w14:algn="none">
                <w14:srgbClr w14:val="000000"/>
              </w14:shadow>
              <w14:textOutline w14:w="0" w14:cap="rnd" w14:cmpd="sng" w14:algn="ctr">
                <w14:noFill/>
                <w14:prstDash w14:val="solid"/>
                <w14:bevel/>
              </w14:textOutline>
            </w:rPr>
          </w:pPr>
          <w:hyperlink w:anchor="_Toc51072493" w:history="1">
            <w:r w:rsidR="00D10B3E" w:rsidRPr="009D7544">
              <w:rPr>
                <w:rStyle w:val="Hiperligao"/>
              </w:rPr>
              <w:t>LISTE DES SIGLES ET ABREVIATIONS</w:t>
            </w:r>
            <w:r w:rsidR="00D10B3E">
              <w:rPr>
                <w:webHidden/>
              </w:rPr>
              <w:tab/>
            </w:r>
            <w:r w:rsidR="00D10B3E">
              <w:rPr>
                <w:webHidden/>
              </w:rPr>
              <w:fldChar w:fldCharType="begin"/>
            </w:r>
            <w:r w:rsidR="00D10B3E">
              <w:rPr>
                <w:webHidden/>
              </w:rPr>
              <w:instrText xml:space="preserve"> PAGEREF _Toc51072493 \h </w:instrText>
            </w:r>
            <w:r w:rsidR="00D10B3E">
              <w:rPr>
                <w:webHidden/>
              </w:rPr>
            </w:r>
            <w:r w:rsidR="00D10B3E">
              <w:rPr>
                <w:webHidden/>
              </w:rPr>
              <w:fldChar w:fldCharType="separate"/>
            </w:r>
            <w:r w:rsidR="00D10B3E">
              <w:rPr>
                <w:webHidden/>
              </w:rPr>
              <w:t>8</w:t>
            </w:r>
            <w:r w:rsidR="00D10B3E">
              <w:rPr>
                <w:webHidden/>
              </w:rPr>
              <w:fldChar w:fldCharType="end"/>
            </w:r>
          </w:hyperlink>
        </w:p>
        <w:p w:rsidR="00D10B3E" w:rsidRDefault="007055AF" w:rsidP="00D10B3E">
          <w:pPr>
            <w:pStyle w:val="ndice1"/>
            <w:ind w:left="708"/>
            <w:rPr>
              <w:rFonts w:asciiTheme="minorHAnsi" w:eastAsiaTheme="minorEastAsia" w:hAnsiTheme="minorHAnsi" w:cstheme="minorBidi"/>
              <w:b w:val="0"/>
              <w:bCs w:val="0"/>
              <w:caps w:val="0"/>
              <w:color w:val="auto"/>
              <w:sz w:val="22"/>
              <w:szCs w:val="22"/>
              <w:lang w:eastAsia="fr-FR"/>
              <w14:shadow w14:blurRad="0" w14:dist="0" w14:dir="0" w14:sx="0" w14:sy="0" w14:kx="0" w14:ky="0" w14:algn="none">
                <w14:srgbClr w14:val="000000"/>
              </w14:shadow>
              <w14:textOutline w14:w="0" w14:cap="rnd" w14:cmpd="sng" w14:algn="ctr">
                <w14:noFill/>
                <w14:prstDash w14:val="solid"/>
                <w14:bevel/>
              </w14:textOutline>
            </w:rPr>
          </w:pPr>
          <w:hyperlink w:anchor="_Toc51072494" w:history="1">
            <w:r w:rsidR="00D10B3E" w:rsidRPr="009D7544">
              <w:rPr>
                <w:rStyle w:val="Hiperligao"/>
                <w:lang w:val="en-US"/>
              </w:rPr>
              <w:t>EXECUTIVE SUMMARY</w:t>
            </w:r>
            <w:r w:rsidR="00D10B3E">
              <w:rPr>
                <w:webHidden/>
              </w:rPr>
              <w:tab/>
            </w:r>
            <w:r w:rsidR="00D10B3E">
              <w:rPr>
                <w:webHidden/>
              </w:rPr>
              <w:fldChar w:fldCharType="begin"/>
            </w:r>
            <w:r w:rsidR="00D10B3E">
              <w:rPr>
                <w:webHidden/>
              </w:rPr>
              <w:instrText xml:space="preserve"> PAGEREF _Toc51072494 \h </w:instrText>
            </w:r>
            <w:r w:rsidR="00D10B3E">
              <w:rPr>
                <w:webHidden/>
              </w:rPr>
            </w:r>
            <w:r w:rsidR="00D10B3E">
              <w:rPr>
                <w:webHidden/>
              </w:rPr>
              <w:fldChar w:fldCharType="separate"/>
            </w:r>
            <w:r w:rsidR="00D10B3E">
              <w:rPr>
                <w:webHidden/>
              </w:rPr>
              <w:t>9</w:t>
            </w:r>
            <w:r w:rsidR="00D10B3E">
              <w:rPr>
                <w:webHidden/>
              </w:rPr>
              <w:fldChar w:fldCharType="end"/>
            </w:r>
          </w:hyperlink>
        </w:p>
        <w:p w:rsidR="00D10B3E" w:rsidRDefault="007055AF" w:rsidP="00D10B3E">
          <w:pPr>
            <w:pStyle w:val="ndice1"/>
            <w:ind w:left="708"/>
            <w:rPr>
              <w:rFonts w:asciiTheme="minorHAnsi" w:eastAsiaTheme="minorEastAsia" w:hAnsiTheme="minorHAnsi" w:cstheme="minorBidi"/>
              <w:b w:val="0"/>
              <w:bCs w:val="0"/>
              <w:caps w:val="0"/>
              <w:color w:val="auto"/>
              <w:sz w:val="22"/>
              <w:szCs w:val="22"/>
              <w:lang w:eastAsia="fr-FR"/>
              <w14:shadow w14:blurRad="0" w14:dist="0" w14:dir="0" w14:sx="0" w14:sy="0" w14:kx="0" w14:ky="0" w14:algn="none">
                <w14:srgbClr w14:val="000000"/>
              </w14:shadow>
              <w14:textOutline w14:w="0" w14:cap="rnd" w14:cmpd="sng" w14:algn="ctr">
                <w14:noFill/>
                <w14:prstDash w14:val="solid"/>
                <w14:bevel/>
              </w14:textOutline>
            </w:rPr>
          </w:pPr>
          <w:hyperlink w:anchor="_Toc51072495" w:history="1">
            <w:r w:rsidR="00D10B3E" w:rsidRPr="009D7544">
              <w:rPr>
                <w:rStyle w:val="Hiperligao"/>
              </w:rPr>
              <w:t>SUMÁRIO EXECUTIVO</w:t>
            </w:r>
            <w:r w:rsidR="00D10B3E">
              <w:rPr>
                <w:webHidden/>
              </w:rPr>
              <w:tab/>
            </w:r>
            <w:r w:rsidR="00D10B3E">
              <w:rPr>
                <w:webHidden/>
              </w:rPr>
              <w:fldChar w:fldCharType="begin"/>
            </w:r>
            <w:r w:rsidR="00D10B3E">
              <w:rPr>
                <w:webHidden/>
              </w:rPr>
              <w:instrText xml:space="preserve"> PAGEREF _Toc51072495 \h </w:instrText>
            </w:r>
            <w:r w:rsidR="00D10B3E">
              <w:rPr>
                <w:webHidden/>
              </w:rPr>
            </w:r>
            <w:r w:rsidR="00D10B3E">
              <w:rPr>
                <w:webHidden/>
              </w:rPr>
              <w:fldChar w:fldCharType="separate"/>
            </w:r>
            <w:r w:rsidR="00D10B3E">
              <w:rPr>
                <w:webHidden/>
              </w:rPr>
              <w:t>24</w:t>
            </w:r>
            <w:r w:rsidR="00D10B3E">
              <w:rPr>
                <w:webHidden/>
              </w:rPr>
              <w:fldChar w:fldCharType="end"/>
            </w:r>
          </w:hyperlink>
        </w:p>
        <w:p w:rsidR="00D10B3E" w:rsidRDefault="007055AF" w:rsidP="00D10B3E">
          <w:pPr>
            <w:pStyle w:val="ndice1"/>
            <w:ind w:left="708"/>
            <w:rPr>
              <w:rFonts w:asciiTheme="minorHAnsi" w:eastAsiaTheme="minorEastAsia" w:hAnsiTheme="minorHAnsi" w:cstheme="minorBidi"/>
              <w:b w:val="0"/>
              <w:bCs w:val="0"/>
              <w:caps w:val="0"/>
              <w:color w:val="auto"/>
              <w:sz w:val="22"/>
              <w:szCs w:val="22"/>
              <w:lang w:eastAsia="fr-FR"/>
              <w14:shadow w14:blurRad="0" w14:dist="0" w14:dir="0" w14:sx="0" w14:sy="0" w14:kx="0" w14:ky="0" w14:algn="none">
                <w14:srgbClr w14:val="000000"/>
              </w14:shadow>
              <w14:textOutline w14:w="0" w14:cap="rnd" w14:cmpd="sng" w14:algn="ctr">
                <w14:noFill/>
                <w14:prstDash w14:val="solid"/>
                <w14:bevel/>
              </w14:textOutline>
            </w:rPr>
          </w:pPr>
          <w:hyperlink w:anchor="_Toc51072496" w:history="1">
            <w:r w:rsidR="00D10B3E" w:rsidRPr="009D7544">
              <w:rPr>
                <w:rStyle w:val="Hiperligao"/>
              </w:rPr>
              <w:t>RESUME EXECUTIF</w:t>
            </w:r>
            <w:r w:rsidR="00D10B3E">
              <w:rPr>
                <w:webHidden/>
              </w:rPr>
              <w:tab/>
            </w:r>
            <w:r w:rsidR="00D10B3E">
              <w:rPr>
                <w:webHidden/>
              </w:rPr>
              <w:fldChar w:fldCharType="begin"/>
            </w:r>
            <w:r w:rsidR="00D10B3E">
              <w:rPr>
                <w:webHidden/>
              </w:rPr>
              <w:instrText xml:space="preserve"> PAGEREF _Toc51072496 \h </w:instrText>
            </w:r>
            <w:r w:rsidR="00D10B3E">
              <w:rPr>
                <w:webHidden/>
              </w:rPr>
            </w:r>
            <w:r w:rsidR="00D10B3E">
              <w:rPr>
                <w:webHidden/>
              </w:rPr>
              <w:fldChar w:fldCharType="separate"/>
            </w:r>
            <w:r w:rsidR="00D10B3E">
              <w:rPr>
                <w:webHidden/>
              </w:rPr>
              <w:t>38</w:t>
            </w:r>
            <w:r w:rsidR="00D10B3E">
              <w:rPr>
                <w:webHidden/>
              </w:rPr>
              <w:fldChar w:fldCharType="end"/>
            </w:r>
          </w:hyperlink>
        </w:p>
        <w:p w:rsidR="00D10B3E" w:rsidRDefault="007055AF">
          <w:pPr>
            <w:pStyle w:val="ndice1"/>
            <w:rPr>
              <w:rFonts w:asciiTheme="minorHAnsi" w:eastAsiaTheme="minorEastAsia" w:hAnsiTheme="minorHAnsi" w:cstheme="minorBidi"/>
              <w:b w:val="0"/>
              <w:bCs w:val="0"/>
              <w:caps w:val="0"/>
              <w:color w:val="auto"/>
              <w:sz w:val="22"/>
              <w:szCs w:val="22"/>
              <w:lang w:eastAsia="fr-FR"/>
              <w14:shadow w14:blurRad="0" w14:dist="0" w14:dir="0" w14:sx="0" w14:sy="0" w14:kx="0" w14:ky="0" w14:algn="none">
                <w14:srgbClr w14:val="000000"/>
              </w14:shadow>
              <w14:textOutline w14:w="0" w14:cap="rnd" w14:cmpd="sng" w14:algn="ctr">
                <w14:noFill/>
                <w14:prstDash w14:val="solid"/>
                <w14:bevel/>
              </w14:textOutline>
            </w:rPr>
          </w:pPr>
          <w:hyperlink w:anchor="_Toc51072497" w:history="1">
            <w:r w:rsidR="00D10B3E" w:rsidRPr="009D7544">
              <w:rPr>
                <w:rStyle w:val="Hiperligao"/>
              </w:rPr>
              <w:t>1 *   INTRODUCTION   *</w:t>
            </w:r>
            <w:r w:rsidR="00D10B3E">
              <w:rPr>
                <w:webHidden/>
              </w:rPr>
              <w:tab/>
            </w:r>
            <w:r w:rsidR="00D10B3E">
              <w:rPr>
                <w:webHidden/>
              </w:rPr>
              <w:fldChar w:fldCharType="begin"/>
            </w:r>
            <w:r w:rsidR="00D10B3E">
              <w:rPr>
                <w:webHidden/>
              </w:rPr>
              <w:instrText xml:space="preserve"> PAGEREF _Toc51072497 \h </w:instrText>
            </w:r>
            <w:r w:rsidR="00D10B3E">
              <w:rPr>
                <w:webHidden/>
              </w:rPr>
            </w:r>
            <w:r w:rsidR="00D10B3E">
              <w:rPr>
                <w:webHidden/>
              </w:rPr>
              <w:fldChar w:fldCharType="separate"/>
            </w:r>
            <w:r w:rsidR="00D10B3E">
              <w:rPr>
                <w:webHidden/>
              </w:rPr>
              <w:t>52</w:t>
            </w:r>
            <w:r w:rsidR="00D10B3E">
              <w:rPr>
                <w:webHidden/>
              </w:rPr>
              <w:fldChar w:fldCharType="end"/>
            </w:r>
          </w:hyperlink>
        </w:p>
        <w:p w:rsidR="00D10B3E" w:rsidRDefault="007055AF" w:rsidP="00D10B3E">
          <w:pPr>
            <w:pStyle w:val="ndice2"/>
            <w:rPr>
              <w:rFonts w:asciiTheme="minorHAnsi" w:eastAsiaTheme="minorEastAsia" w:hAnsiTheme="minorHAnsi" w:cstheme="minorBidi"/>
              <w:sz w:val="22"/>
              <w:szCs w:val="22"/>
            </w:rPr>
          </w:pPr>
          <w:hyperlink w:anchor="_Toc51072498" w:history="1">
            <w:r w:rsidR="00D10B3E" w:rsidRPr="009D7544">
              <w:rPr>
                <w:rStyle w:val="Hiperligao"/>
              </w:rPr>
              <w:t>1.1. CONTEXTE ET JUSTIFICATION GENERALE</w:t>
            </w:r>
            <w:r w:rsidR="00D10B3E">
              <w:rPr>
                <w:webHidden/>
              </w:rPr>
              <w:tab/>
            </w:r>
            <w:r w:rsidR="00D10B3E">
              <w:rPr>
                <w:webHidden/>
              </w:rPr>
              <w:fldChar w:fldCharType="begin"/>
            </w:r>
            <w:r w:rsidR="00D10B3E">
              <w:rPr>
                <w:webHidden/>
              </w:rPr>
              <w:instrText xml:space="preserve"> PAGEREF _Toc51072498 \h </w:instrText>
            </w:r>
            <w:r w:rsidR="00D10B3E">
              <w:rPr>
                <w:webHidden/>
              </w:rPr>
            </w:r>
            <w:r w:rsidR="00D10B3E">
              <w:rPr>
                <w:webHidden/>
              </w:rPr>
              <w:fldChar w:fldCharType="separate"/>
            </w:r>
            <w:r w:rsidR="00D10B3E">
              <w:rPr>
                <w:webHidden/>
              </w:rPr>
              <w:t>52</w:t>
            </w:r>
            <w:r w:rsidR="00D10B3E">
              <w:rPr>
                <w:webHidden/>
              </w:rPr>
              <w:fldChar w:fldCharType="end"/>
            </w:r>
          </w:hyperlink>
        </w:p>
        <w:p w:rsidR="00D10B3E" w:rsidRDefault="007055AF" w:rsidP="00D10B3E">
          <w:pPr>
            <w:pStyle w:val="ndice2"/>
            <w:rPr>
              <w:rFonts w:asciiTheme="minorHAnsi" w:eastAsiaTheme="minorEastAsia" w:hAnsiTheme="minorHAnsi" w:cstheme="minorBidi"/>
              <w:sz w:val="22"/>
              <w:szCs w:val="22"/>
            </w:rPr>
          </w:pPr>
          <w:hyperlink w:anchor="_Toc51072499" w:history="1">
            <w:r w:rsidR="00D10B3E" w:rsidRPr="009D7544">
              <w:rPr>
                <w:rStyle w:val="Hiperligao"/>
              </w:rPr>
              <w:t>1.2. OBJECTIFS DE L’EIES</w:t>
            </w:r>
            <w:r w:rsidR="00D10B3E">
              <w:rPr>
                <w:webHidden/>
              </w:rPr>
              <w:tab/>
            </w:r>
            <w:r w:rsidR="00D10B3E">
              <w:rPr>
                <w:webHidden/>
              </w:rPr>
              <w:fldChar w:fldCharType="begin"/>
            </w:r>
            <w:r w:rsidR="00D10B3E">
              <w:rPr>
                <w:webHidden/>
              </w:rPr>
              <w:instrText xml:space="preserve"> PAGEREF _Toc51072499 \h </w:instrText>
            </w:r>
            <w:r w:rsidR="00D10B3E">
              <w:rPr>
                <w:webHidden/>
              </w:rPr>
            </w:r>
            <w:r w:rsidR="00D10B3E">
              <w:rPr>
                <w:webHidden/>
              </w:rPr>
              <w:fldChar w:fldCharType="separate"/>
            </w:r>
            <w:r w:rsidR="00D10B3E">
              <w:rPr>
                <w:webHidden/>
              </w:rPr>
              <w:t>52</w:t>
            </w:r>
            <w:r w:rsidR="00D10B3E">
              <w:rPr>
                <w:webHidden/>
              </w:rPr>
              <w:fldChar w:fldCharType="end"/>
            </w:r>
          </w:hyperlink>
        </w:p>
        <w:p w:rsidR="00D10B3E" w:rsidRDefault="007055AF" w:rsidP="00D10B3E">
          <w:pPr>
            <w:pStyle w:val="ndice2"/>
            <w:rPr>
              <w:rFonts w:asciiTheme="minorHAnsi" w:eastAsiaTheme="minorEastAsia" w:hAnsiTheme="minorHAnsi" w:cstheme="minorBidi"/>
              <w:sz w:val="22"/>
              <w:szCs w:val="22"/>
            </w:rPr>
          </w:pPr>
          <w:hyperlink w:anchor="_Toc51072500" w:history="1">
            <w:r w:rsidR="00D10B3E" w:rsidRPr="009D7544">
              <w:rPr>
                <w:rStyle w:val="Hiperligao"/>
              </w:rPr>
              <w:t>I.3. DEMARCHE METHODOLOGIQUE EIES</w:t>
            </w:r>
            <w:r w:rsidR="00D10B3E">
              <w:rPr>
                <w:webHidden/>
              </w:rPr>
              <w:tab/>
            </w:r>
            <w:r w:rsidR="00D10B3E">
              <w:rPr>
                <w:webHidden/>
              </w:rPr>
              <w:fldChar w:fldCharType="begin"/>
            </w:r>
            <w:r w:rsidR="00D10B3E">
              <w:rPr>
                <w:webHidden/>
              </w:rPr>
              <w:instrText xml:space="preserve"> PAGEREF _Toc51072500 \h </w:instrText>
            </w:r>
            <w:r w:rsidR="00D10B3E">
              <w:rPr>
                <w:webHidden/>
              </w:rPr>
            </w:r>
            <w:r w:rsidR="00D10B3E">
              <w:rPr>
                <w:webHidden/>
              </w:rPr>
              <w:fldChar w:fldCharType="separate"/>
            </w:r>
            <w:r w:rsidR="00D10B3E">
              <w:rPr>
                <w:webHidden/>
              </w:rPr>
              <w:t>53</w:t>
            </w:r>
            <w:r w:rsidR="00D10B3E">
              <w:rPr>
                <w:webHidden/>
              </w:rPr>
              <w:fldChar w:fldCharType="end"/>
            </w:r>
          </w:hyperlink>
        </w:p>
        <w:p w:rsidR="00D10B3E" w:rsidRPr="00D10B3E" w:rsidRDefault="007055AF" w:rsidP="00D10B3E">
          <w:pPr>
            <w:pStyle w:val="ndice3"/>
            <w:rPr>
              <w:rFonts w:asciiTheme="minorHAnsi" w:eastAsiaTheme="minorEastAsia" w:hAnsiTheme="minorHAnsi"/>
              <w:sz w:val="22"/>
              <w:szCs w:val="22"/>
            </w:rPr>
          </w:pPr>
          <w:hyperlink w:anchor="_Toc51072501" w:history="1">
            <w:r w:rsidR="00D10B3E" w:rsidRPr="00D10B3E">
              <w:rPr>
                <w:rStyle w:val="Hiperligao"/>
              </w:rPr>
              <w:t>1.3.1. Démarche méthodologique pour EIES</w:t>
            </w:r>
            <w:r w:rsidR="00D10B3E" w:rsidRPr="00D10B3E">
              <w:rPr>
                <w:webHidden/>
              </w:rPr>
              <w:tab/>
            </w:r>
            <w:r w:rsidR="00D10B3E" w:rsidRPr="00D10B3E">
              <w:rPr>
                <w:webHidden/>
              </w:rPr>
              <w:fldChar w:fldCharType="begin"/>
            </w:r>
            <w:r w:rsidR="00D10B3E" w:rsidRPr="00D10B3E">
              <w:rPr>
                <w:webHidden/>
              </w:rPr>
              <w:instrText xml:space="preserve"> PAGEREF _Toc51072501 \h </w:instrText>
            </w:r>
            <w:r w:rsidR="00D10B3E" w:rsidRPr="00D10B3E">
              <w:rPr>
                <w:webHidden/>
              </w:rPr>
            </w:r>
            <w:r w:rsidR="00D10B3E" w:rsidRPr="00D10B3E">
              <w:rPr>
                <w:webHidden/>
              </w:rPr>
              <w:fldChar w:fldCharType="separate"/>
            </w:r>
            <w:r w:rsidR="00D10B3E" w:rsidRPr="00D10B3E">
              <w:rPr>
                <w:webHidden/>
              </w:rPr>
              <w:t>53</w:t>
            </w:r>
            <w:r w:rsidR="00D10B3E" w:rsidRPr="00D10B3E">
              <w:rPr>
                <w:webHidden/>
              </w:rPr>
              <w:fldChar w:fldCharType="end"/>
            </w:r>
          </w:hyperlink>
        </w:p>
        <w:p w:rsidR="00D10B3E" w:rsidRPr="00D10B3E" w:rsidRDefault="007055AF" w:rsidP="00D10B3E">
          <w:pPr>
            <w:pStyle w:val="ndice3"/>
            <w:rPr>
              <w:rFonts w:asciiTheme="minorHAnsi" w:eastAsiaTheme="minorEastAsia" w:hAnsiTheme="minorHAnsi"/>
              <w:sz w:val="22"/>
              <w:szCs w:val="22"/>
            </w:rPr>
          </w:pPr>
          <w:hyperlink w:anchor="_Toc51072502" w:history="1">
            <w:r w:rsidR="00D10B3E" w:rsidRPr="00D10B3E">
              <w:rPr>
                <w:rStyle w:val="Hiperligao"/>
              </w:rPr>
              <w:t>1.3.2. Structuration de l’étude de l’EIES</w:t>
            </w:r>
            <w:r w:rsidR="00D10B3E" w:rsidRPr="00D10B3E">
              <w:rPr>
                <w:webHidden/>
              </w:rPr>
              <w:tab/>
            </w:r>
            <w:r w:rsidR="00D10B3E" w:rsidRPr="00D10B3E">
              <w:rPr>
                <w:webHidden/>
              </w:rPr>
              <w:fldChar w:fldCharType="begin"/>
            </w:r>
            <w:r w:rsidR="00D10B3E" w:rsidRPr="00D10B3E">
              <w:rPr>
                <w:webHidden/>
              </w:rPr>
              <w:instrText xml:space="preserve"> PAGEREF _Toc51072502 \h </w:instrText>
            </w:r>
            <w:r w:rsidR="00D10B3E" w:rsidRPr="00D10B3E">
              <w:rPr>
                <w:webHidden/>
              </w:rPr>
            </w:r>
            <w:r w:rsidR="00D10B3E" w:rsidRPr="00D10B3E">
              <w:rPr>
                <w:webHidden/>
              </w:rPr>
              <w:fldChar w:fldCharType="separate"/>
            </w:r>
            <w:r w:rsidR="00D10B3E" w:rsidRPr="00D10B3E">
              <w:rPr>
                <w:webHidden/>
              </w:rPr>
              <w:t>54</w:t>
            </w:r>
            <w:r w:rsidR="00D10B3E" w:rsidRPr="00D10B3E">
              <w:rPr>
                <w:webHidden/>
              </w:rPr>
              <w:fldChar w:fldCharType="end"/>
            </w:r>
          </w:hyperlink>
        </w:p>
        <w:p w:rsidR="00D10B3E" w:rsidRDefault="007055AF">
          <w:pPr>
            <w:pStyle w:val="ndice1"/>
            <w:rPr>
              <w:rFonts w:asciiTheme="minorHAnsi" w:eastAsiaTheme="minorEastAsia" w:hAnsiTheme="minorHAnsi" w:cstheme="minorBidi"/>
              <w:b w:val="0"/>
              <w:bCs w:val="0"/>
              <w:caps w:val="0"/>
              <w:color w:val="auto"/>
              <w:sz w:val="22"/>
              <w:szCs w:val="22"/>
              <w:lang w:eastAsia="fr-FR"/>
              <w14:shadow w14:blurRad="0" w14:dist="0" w14:dir="0" w14:sx="0" w14:sy="0" w14:kx="0" w14:ky="0" w14:algn="none">
                <w14:srgbClr w14:val="000000"/>
              </w14:shadow>
              <w14:textOutline w14:w="0" w14:cap="rnd" w14:cmpd="sng" w14:algn="ctr">
                <w14:noFill/>
                <w14:prstDash w14:val="solid"/>
                <w14:bevel/>
              </w14:textOutline>
            </w:rPr>
          </w:pPr>
          <w:hyperlink w:anchor="_Toc51072503" w:history="1">
            <w:r w:rsidR="00D10B3E" w:rsidRPr="009D7544">
              <w:rPr>
                <w:rStyle w:val="Hiperligao"/>
              </w:rPr>
              <w:t>2 * DESCRIPTION DU PROJET *</w:t>
            </w:r>
            <w:r w:rsidR="00D10B3E">
              <w:rPr>
                <w:webHidden/>
              </w:rPr>
              <w:tab/>
            </w:r>
            <w:r w:rsidR="00D10B3E">
              <w:rPr>
                <w:webHidden/>
              </w:rPr>
              <w:fldChar w:fldCharType="begin"/>
            </w:r>
            <w:r w:rsidR="00D10B3E">
              <w:rPr>
                <w:webHidden/>
              </w:rPr>
              <w:instrText xml:space="preserve"> PAGEREF _Toc51072503 \h </w:instrText>
            </w:r>
            <w:r w:rsidR="00D10B3E">
              <w:rPr>
                <w:webHidden/>
              </w:rPr>
            </w:r>
            <w:r w:rsidR="00D10B3E">
              <w:rPr>
                <w:webHidden/>
              </w:rPr>
              <w:fldChar w:fldCharType="separate"/>
            </w:r>
            <w:r w:rsidR="00D10B3E">
              <w:rPr>
                <w:webHidden/>
              </w:rPr>
              <w:t>56</w:t>
            </w:r>
            <w:r w:rsidR="00D10B3E">
              <w:rPr>
                <w:webHidden/>
              </w:rPr>
              <w:fldChar w:fldCharType="end"/>
            </w:r>
          </w:hyperlink>
        </w:p>
        <w:p w:rsidR="00D10B3E" w:rsidRDefault="007055AF" w:rsidP="00D10B3E">
          <w:pPr>
            <w:pStyle w:val="ndice2"/>
            <w:rPr>
              <w:rFonts w:asciiTheme="minorHAnsi" w:eastAsiaTheme="minorEastAsia" w:hAnsiTheme="minorHAnsi" w:cstheme="minorBidi"/>
              <w:sz w:val="22"/>
              <w:szCs w:val="22"/>
            </w:rPr>
          </w:pPr>
          <w:hyperlink w:anchor="_Toc51072504" w:history="1">
            <w:r w:rsidR="00D10B3E" w:rsidRPr="009D7544">
              <w:rPr>
                <w:rStyle w:val="Hiperligao"/>
              </w:rPr>
              <w:t>2.1. PRESENTATION DU PUASEE</w:t>
            </w:r>
            <w:r w:rsidR="00D10B3E">
              <w:rPr>
                <w:webHidden/>
              </w:rPr>
              <w:tab/>
            </w:r>
            <w:r w:rsidR="00D10B3E">
              <w:rPr>
                <w:webHidden/>
              </w:rPr>
              <w:fldChar w:fldCharType="begin"/>
            </w:r>
            <w:r w:rsidR="00D10B3E">
              <w:rPr>
                <w:webHidden/>
              </w:rPr>
              <w:instrText xml:space="preserve"> PAGEREF _Toc51072504 \h </w:instrText>
            </w:r>
            <w:r w:rsidR="00D10B3E">
              <w:rPr>
                <w:webHidden/>
              </w:rPr>
            </w:r>
            <w:r w:rsidR="00D10B3E">
              <w:rPr>
                <w:webHidden/>
              </w:rPr>
              <w:fldChar w:fldCharType="separate"/>
            </w:r>
            <w:r w:rsidR="00D10B3E">
              <w:rPr>
                <w:webHidden/>
              </w:rPr>
              <w:t>56</w:t>
            </w:r>
            <w:r w:rsidR="00D10B3E">
              <w:rPr>
                <w:webHidden/>
              </w:rPr>
              <w:fldChar w:fldCharType="end"/>
            </w:r>
          </w:hyperlink>
        </w:p>
        <w:p w:rsidR="00D10B3E" w:rsidRPr="00D10B3E" w:rsidRDefault="007055AF" w:rsidP="00D10B3E">
          <w:pPr>
            <w:pStyle w:val="ndice3"/>
            <w:rPr>
              <w:rFonts w:asciiTheme="minorHAnsi" w:eastAsiaTheme="minorEastAsia" w:hAnsiTheme="minorHAnsi"/>
              <w:sz w:val="22"/>
              <w:szCs w:val="22"/>
            </w:rPr>
          </w:pPr>
          <w:hyperlink w:anchor="_Toc51072505" w:history="1">
            <w:r w:rsidR="00D10B3E" w:rsidRPr="00D10B3E">
              <w:rPr>
                <w:rStyle w:val="Hiperligao"/>
              </w:rPr>
              <w:t>2.1.1. Composantes du PUASEE</w:t>
            </w:r>
            <w:r w:rsidR="00D10B3E" w:rsidRPr="00D10B3E">
              <w:rPr>
                <w:webHidden/>
              </w:rPr>
              <w:tab/>
            </w:r>
            <w:r w:rsidR="00D10B3E" w:rsidRPr="00D10B3E">
              <w:rPr>
                <w:webHidden/>
              </w:rPr>
              <w:fldChar w:fldCharType="begin"/>
            </w:r>
            <w:r w:rsidR="00D10B3E" w:rsidRPr="00D10B3E">
              <w:rPr>
                <w:webHidden/>
              </w:rPr>
              <w:instrText xml:space="preserve"> PAGEREF _Toc51072505 \h </w:instrText>
            </w:r>
            <w:r w:rsidR="00D10B3E" w:rsidRPr="00D10B3E">
              <w:rPr>
                <w:webHidden/>
              </w:rPr>
            </w:r>
            <w:r w:rsidR="00D10B3E" w:rsidRPr="00D10B3E">
              <w:rPr>
                <w:webHidden/>
              </w:rPr>
              <w:fldChar w:fldCharType="separate"/>
            </w:r>
            <w:r w:rsidR="00D10B3E" w:rsidRPr="00D10B3E">
              <w:rPr>
                <w:webHidden/>
              </w:rPr>
              <w:t>56</w:t>
            </w:r>
            <w:r w:rsidR="00D10B3E" w:rsidRPr="00D10B3E">
              <w:rPr>
                <w:webHidden/>
              </w:rPr>
              <w:fldChar w:fldCharType="end"/>
            </w:r>
          </w:hyperlink>
        </w:p>
        <w:p w:rsidR="00D10B3E" w:rsidRDefault="007055AF" w:rsidP="00D10B3E">
          <w:pPr>
            <w:pStyle w:val="ndice2"/>
            <w:rPr>
              <w:rFonts w:asciiTheme="minorHAnsi" w:eastAsiaTheme="minorEastAsia" w:hAnsiTheme="minorHAnsi" w:cstheme="minorBidi"/>
              <w:sz w:val="22"/>
              <w:szCs w:val="22"/>
            </w:rPr>
          </w:pPr>
          <w:hyperlink w:anchor="_Toc51072506" w:history="1">
            <w:r w:rsidR="00D10B3E" w:rsidRPr="009D7544">
              <w:rPr>
                <w:rStyle w:val="Hiperligao"/>
              </w:rPr>
              <w:t>2.2.  OBJECTIF DU PROJET PUASEE</w:t>
            </w:r>
            <w:r w:rsidR="00D10B3E">
              <w:rPr>
                <w:webHidden/>
              </w:rPr>
              <w:tab/>
            </w:r>
            <w:r w:rsidR="00D10B3E">
              <w:rPr>
                <w:webHidden/>
              </w:rPr>
              <w:fldChar w:fldCharType="begin"/>
            </w:r>
            <w:r w:rsidR="00D10B3E">
              <w:rPr>
                <w:webHidden/>
              </w:rPr>
              <w:instrText xml:space="preserve"> PAGEREF _Toc51072506 \h </w:instrText>
            </w:r>
            <w:r w:rsidR="00D10B3E">
              <w:rPr>
                <w:webHidden/>
              </w:rPr>
            </w:r>
            <w:r w:rsidR="00D10B3E">
              <w:rPr>
                <w:webHidden/>
              </w:rPr>
              <w:fldChar w:fldCharType="separate"/>
            </w:r>
            <w:r w:rsidR="00D10B3E">
              <w:rPr>
                <w:webHidden/>
              </w:rPr>
              <w:t>57</w:t>
            </w:r>
            <w:r w:rsidR="00D10B3E">
              <w:rPr>
                <w:webHidden/>
              </w:rPr>
              <w:fldChar w:fldCharType="end"/>
            </w:r>
          </w:hyperlink>
        </w:p>
        <w:p w:rsidR="00D10B3E" w:rsidRDefault="007055AF" w:rsidP="00D10B3E">
          <w:pPr>
            <w:pStyle w:val="ndice2"/>
            <w:rPr>
              <w:rFonts w:asciiTheme="minorHAnsi" w:eastAsiaTheme="minorEastAsia" w:hAnsiTheme="minorHAnsi" w:cstheme="minorBidi"/>
              <w:sz w:val="22"/>
              <w:szCs w:val="22"/>
            </w:rPr>
          </w:pPr>
          <w:hyperlink w:anchor="_Toc51072507" w:history="1">
            <w:r w:rsidR="00D10B3E" w:rsidRPr="009D7544">
              <w:rPr>
                <w:rStyle w:val="Hiperligao"/>
              </w:rPr>
              <w:t>2.3. OBJECTIF DU PROJET PUASEE-FA</w:t>
            </w:r>
            <w:r w:rsidR="00D10B3E">
              <w:rPr>
                <w:webHidden/>
              </w:rPr>
              <w:tab/>
            </w:r>
            <w:r w:rsidR="00D10B3E">
              <w:rPr>
                <w:webHidden/>
              </w:rPr>
              <w:fldChar w:fldCharType="begin"/>
            </w:r>
            <w:r w:rsidR="00D10B3E">
              <w:rPr>
                <w:webHidden/>
              </w:rPr>
              <w:instrText xml:space="preserve"> PAGEREF _Toc51072507 \h </w:instrText>
            </w:r>
            <w:r w:rsidR="00D10B3E">
              <w:rPr>
                <w:webHidden/>
              </w:rPr>
            </w:r>
            <w:r w:rsidR="00D10B3E">
              <w:rPr>
                <w:webHidden/>
              </w:rPr>
              <w:fldChar w:fldCharType="separate"/>
            </w:r>
            <w:r w:rsidR="00D10B3E">
              <w:rPr>
                <w:webHidden/>
              </w:rPr>
              <w:t>58</w:t>
            </w:r>
            <w:r w:rsidR="00D10B3E">
              <w:rPr>
                <w:webHidden/>
              </w:rPr>
              <w:fldChar w:fldCharType="end"/>
            </w:r>
          </w:hyperlink>
        </w:p>
        <w:p w:rsidR="00D10B3E" w:rsidRDefault="007055AF" w:rsidP="00D10B3E">
          <w:pPr>
            <w:pStyle w:val="ndice2"/>
            <w:rPr>
              <w:rFonts w:asciiTheme="minorHAnsi" w:eastAsiaTheme="minorEastAsia" w:hAnsiTheme="minorHAnsi" w:cstheme="minorBidi"/>
              <w:sz w:val="22"/>
              <w:szCs w:val="22"/>
            </w:rPr>
          </w:pPr>
          <w:hyperlink w:anchor="_Toc51072508" w:history="1">
            <w:r w:rsidR="00D10B3E" w:rsidRPr="009D7544">
              <w:rPr>
                <w:rStyle w:val="Hiperligao"/>
              </w:rPr>
              <w:t>2.4. LOCALISATION DU SOUS-PROJET N°2 DE PUASEE-FA</w:t>
            </w:r>
            <w:r w:rsidR="00D10B3E">
              <w:rPr>
                <w:webHidden/>
              </w:rPr>
              <w:tab/>
            </w:r>
            <w:r w:rsidR="00D10B3E">
              <w:rPr>
                <w:webHidden/>
              </w:rPr>
              <w:fldChar w:fldCharType="begin"/>
            </w:r>
            <w:r w:rsidR="00D10B3E">
              <w:rPr>
                <w:webHidden/>
              </w:rPr>
              <w:instrText xml:space="preserve"> PAGEREF _Toc51072508 \h </w:instrText>
            </w:r>
            <w:r w:rsidR="00D10B3E">
              <w:rPr>
                <w:webHidden/>
              </w:rPr>
            </w:r>
            <w:r w:rsidR="00D10B3E">
              <w:rPr>
                <w:webHidden/>
              </w:rPr>
              <w:fldChar w:fldCharType="separate"/>
            </w:r>
            <w:r w:rsidR="00D10B3E">
              <w:rPr>
                <w:webHidden/>
              </w:rPr>
              <w:t>58</w:t>
            </w:r>
            <w:r w:rsidR="00D10B3E">
              <w:rPr>
                <w:webHidden/>
              </w:rPr>
              <w:fldChar w:fldCharType="end"/>
            </w:r>
          </w:hyperlink>
        </w:p>
        <w:p w:rsidR="00D10B3E" w:rsidRPr="00D10B3E" w:rsidRDefault="007055AF" w:rsidP="00D10B3E">
          <w:pPr>
            <w:pStyle w:val="ndice3"/>
            <w:rPr>
              <w:rFonts w:asciiTheme="minorHAnsi" w:eastAsiaTheme="minorEastAsia" w:hAnsiTheme="minorHAnsi"/>
              <w:sz w:val="22"/>
              <w:szCs w:val="22"/>
            </w:rPr>
          </w:pPr>
          <w:hyperlink w:anchor="_Toc51072509" w:history="1">
            <w:r w:rsidR="00D10B3E" w:rsidRPr="00D10B3E">
              <w:rPr>
                <w:rStyle w:val="Hiperligao"/>
              </w:rPr>
              <w:t>2.4.1. Situation géographique de la région de Bissau</w:t>
            </w:r>
            <w:r w:rsidR="00D10B3E" w:rsidRPr="00D10B3E">
              <w:rPr>
                <w:webHidden/>
              </w:rPr>
              <w:tab/>
            </w:r>
            <w:r w:rsidR="00D10B3E" w:rsidRPr="00D10B3E">
              <w:rPr>
                <w:webHidden/>
              </w:rPr>
              <w:fldChar w:fldCharType="begin"/>
            </w:r>
            <w:r w:rsidR="00D10B3E" w:rsidRPr="00D10B3E">
              <w:rPr>
                <w:webHidden/>
              </w:rPr>
              <w:instrText xml:space="preserve"> PAGEREF _Toc51072509 \h </w:instrText>
            </w:r>
            <w:r w:rsidR="00D10B3E" w:rsidRPr="00D10B3E">
              <w:rPr>
                <w:webHidden/>
              </w:rPr>
            </w:r>
            <w:r w:rsidR="00D10B3E" w:rsidRPr="00D10B3E">
              <w:rPr>
                <w:webHidden/>
              </w:rPr>
              <w:fldChar w:fldCharType="separate"/>
            </w:r>
            <w:r w:rsidR="00D10B3E" w:rsidRPr="00D10B3E">
              <w:rPr>
                <w:webHidden/>
              </w:rPr>
              <w:t>59</w:t>
            </w:r>
            <w:r w:rsidR="00D10B3E" w:rsidRPr="00D10B3E">
              <w:rPr>
                <w:webHidden/>
              </w:rPr>
              <w:fldChar w:fldCharType="end"/>
            </w:r>
          </w:hyperlink>
        </w:p>
        <w:p w:rsidR="00D10B3E" w:rsidRPr="00D10B3E" w:rsidRDefault="007055AF" w:rsidP="00D10B3E">
          <w:pPr>
            <w:pStyle w:val="ndice3"/>
            <w:rPr>
              <w:rStyle w:val="Hiperligao"/>
            </w:rPr>
          </w:pPr>
          <w:hyperlink w:anchor="_Toc51072510" w:history="1">
            <w:r w:rsidR="00D10B3E" w:rsidRPr="00D10B3E">
              <w:rPr>
                <w:rStyle w:val="Hiperligao"/>
              </w:rPr>
              <w:t>2.4.2.</w:t>
            </w:r>
            <w:r w:rsidR="00D10B3E" w:rsidRPr="00D10B3E">
              <w:rPr>
                <w:rStyle w:val="Hiperligao"/>
              </w:rPr>
              <w:tab/>
              <w:t>Situation géographique de la région de Biombo</w:t>
            </w:r>
            <w:r w:rsidR="00D10B3E" w:rsidRPr="00D10B3E">
              <w:rPr>
                <w:rStyle w:val="Hiperligao"/>
                <w:webHidden/>
              </w:rPr>
              <w:tab/>
            </w:r>
            <w:r w:rsidR="00D10B3E" w:rsidRPr="00D10B3E">
              <w:rPr>
                <w:rStyle w:val="Hiperligao"/>
                <w:webHidden/>
              </w:rPr>
              <w:fldChar w:fldCharType="begin"/>
            </w:r>
            <w:r w:rsidR="00D10B3E" w:rsidRPr="00D10B3E">
              <w:rPr>
                <w:rStyle w:val="Hiperligao"/>
                <w:webHidden/>
              </w:rPr>
              <w:instrText xml:space="preserve"> PAGEREF _Toc51072510 \h </w:instrText>
            </w:r>
            <w:r w:rsidR="00D10B3E" w:rsidRPr="00D10B3E">
              <w:rPr>
                <w:rStyle w:val="Hiperligao"/>
                <w:webHidden/>
              </w:rPr>
            </w:r>
            <w:r w:rsidR="00D10B3E" w:rsidRPr="00D10B3E">
              <w:rPr>
                <w:rStyle w:val="Hiperligao"/>
                <w:webHidden/>
              </w:rPr>
              <w:fldChar w:fldCharType="separate"/>
            </w:r>
            <w:r w:rsidR="00D10B3E" w:rsidRPr="00D10B3E">
              <w:rPr>
                <w:rStyle w:val="Hiperligao"/>
                <w:webHidden/>
              </w:rPr>
              <w:t>61</w:t>
            </w:r>
            <w:r w:rsidR="00D10B3E" w:rsidRPr="00D10B3E">
              <w:rPr>
                <w:rStyle w:val="Hiperligao"/>
                <w:webHidden/>
              </w:rPr>
              <w:fldChar w:fldCharType="end"/>
            </w:r>
          </w:hyperlink>
        </w:p>
        <w:p w:rsidR="00D10B3E" w:rsidRDefault="007055AF" w:rsidP="00D10B3E">
          <w:pPr>
            <w:pStyle w:val="ndice2"/>
            <w:rPr>
              <w:rFonts w:asciiTheme="minorHAnsi" w:eastAsiaTheme="minorEastAsia" w:hAnsiTheme="minorHAnsi" w:cstheme="minorBidi"/>
              <w:sz w:val="22"/>
              <w:szCs w:val="22"/>
            </w:rPr>
          </w:pPr>
          <w:hyperlink w:anchor="_Toc51072511" w:history="1">
            <w:r w:rsidR="00D10B3E" w:rsidRPr="009D7544">
              <w:rPr>
                <w:rStyle w:val="Hiperligao"/>
              </w:rPr>
              <w:t>2.4.</w:t>
            </w:r>
            <w:r w:rsidR="00D10B3E">
              <w:rPr>
                <w:rFonts w:asciiTheme="minorHAnsi" w:eastAsiaTheme="minorEastAsia" w:hAnsiTheme="minorHAnsi" w:cstheme="minorBidi"/>
                <w:sz w:val="22"/>
                <w:szCs w:val="22"/>
              </w:rPr>
              <w:tab/>
            </w:r>
            <w:r w:rsidR="00D10B3E" w:rsidRPr="009D7544">
              <w:rPr>
                <w:rStyle w:val="Hiperligao"/>
              </w:rPr>
              <w:t>SITUATION ACTUELLE PAR RAPPORT A LA PRODUCTION D’EAU DANS LA ZONE D’INTERVENTION DU SOUS-PROJET N°2 DE PUASEE-FA</w:t>
            </w:r>
            <w:r w:rsidR="00D10B3E">
              <w:rPr>
                <w:webHidden/>
              </w:rPr>
              <w:tab/>
            </w:r>
            <w:r w:rsidR="00D10B3E">
              <w:rPr>
                <w:webHidden/>
              </w:rPr>
              <w:fldChar w:fldCharType="begin"/>
            </w:r>
            <w:r w:rsidR="00D10B3E">
              <w:rPr>
                <w:webHidden/>
              </w:rPr>
              <w:instrText xml:space="preserve"> PAGEREF _Toc51072511 \h </w:instrText>
            </w:r>
            <w:r w:rsidR="00D10B3E">
              <w:rPr>
                <w:webHidden/>
              </w:rPr>
            </w:r>
            <w:r w:rsidR="00D10B3E">
              <w:rPr>
                <w:webHidden/>
              </w:rPr>
              <w:fldChar w:fldCharType="separate"/>
            </w:r>
            <w:r w:rsidR="00D10B3E">
              <w:rPr>
                <w:webHidden/>
              </w:rPr>
              <w:t>63</w:t>
            </w:r>
            <w:r w:rsidR="00D10B3E">
              <w:rPr>
                <w:webHidden/>
              </w:rPr>
              <w:fldChar w:fldCharType="end"/>
            </w:r>
          </w:hyperlink>
        </w:p>
        <w:p w:rsidR="00D10B3E" w:rsidRDefault="007055AF" w:rsidP="00D10B3E">
          <w:pPr>
            <w:pStyle w:val="ndice2"/>
            <w:rPr>
              <w:rFonts w:asciiTheme="minorHAnsi" w:eastAsiaTheme="minorEastAsia" w:hAnsiTheme="minorHAnsi" w:cstheme="minorBidi"/>
              <w:sz w:val="22"/>
              <w:szCs w:val="22"/>
            </w:rPr>
          </w:pPr>
          <w:hyperlink w:anchor="_Toc51072512" w:history="1">
            <w:r w:rsidR="00D10B3E" w:rsidRPr="009D7544">
              <w:rPr>
                <w:rStyle w:val="Hiperligao"/>
              </w:rPr>
              <w:t>2.6. LES CARACTERISTIQUES DU SOUS-PROJET N°2 DE PUASEE-FA</w:t>
            </w:r>
            <w:r w:rsidR="00D10B3E">
              <w:rPr>
                <w:webHidden/>
              </w:rPr>
              <w:tab/>
            </w:r>
            <w:r w:rsidR="00D10B3E">
              <w:rPr>
                <w:webHidden/>
              </w:rPr>
              <w:fldChar w:fldCharType="begin"/>
            </w:r>
            <w:r w:rsidR="00D10B3E">
              <w:rPr>
                <w:webHidden/>
              </w:rPr>
              <w:instrText xml:space="preserve"> PAGEREF _Toc51072512 \h </w:instrText>
            </w:r>
            <w:r w:rsidR="00D10B3E">
              <w:rPr>
                <w:webHidden/>
              </w:rPr>
            </w:r>
            <w:r w:rsidR="00D10B3E">
              <w:rPr>
                <w:webHidden/>
              </w:rPr>
              <w:fldChar w:fldCharType="separate"/>
            </w:r>
            <w:r w:rsidR="00D10B3E">
              <w:rPr>
                <w:webHidden/>
              </w:rPr>
              <w:t>66</w:t>
            </w:r>
            <w:r w:rsidR="00D10B3E">
              <w:rPr>
                <w:webHidden/>
              </w:rPr>
              <w:fldChar w:fldCharType="end"/>
            </w:r>
          </w:hyperlink>
        </w:p>
        <w:p w:rsidR="00D10B3E" w:rsidRDefault="007055AF" w:rsidP="00D10B3E">
          <w:pPr>
            <w:pStyle w:val="ndice3"/>
            <w:rPr>
              <w:rFonts w:asciiTheme="minorHAnsi" w:eastAsiaTheme="minorEastAsia" w:hAnsiTheme="minorHAnsi"/>
              <w:sz w:val="22"/>
              <w:szCs w:val="22"/>
            </w:rPr>
          </w:pPr>
          <w:hyperlink w:anchor="_Toc51072513" w:history="1">
            <w:r w:rsidR="00D10B3E" w:rsidRPr="009D7544">
              <w:rPr>
                <w:rStyle w:val="Hiperligao"/>
                <w:b/>
              </w:rPr>
              <w:t>2.6.1. Consistance des travaux</w:t>
            </w:r>
            <w:r w:rsidR="00D10B3E">
              <w:rPr>
                <w:webHidden/>
              </w:rPr>
              <w:tab/>
            </w:r>
            <w:r w:rsidR="00D10B3E">
              <w:rPr>
                <w:webHidden/>
              </w:rPr>
              <w:fldChar w:fldCharType="begin"/>
            </w:r>
            <w:r w:rsidR="00D10B3E">
              <w:rPr>
                <w:webHidden/>
              </w:rPr>
              <w:instrText xml:space="preserve"> PAGEREF _Toc51072513 \h </w:instrText>
            </w:r>
            <w:r w:rsidR="00D10B3E">
              <w:rPr>
                <w:webHidden/>
              </w:rPr>
            </w:r>
            <w:r w:rsidR="00D10B3E">
              <w:rPr>
                <w:webHidden/>
              </w:rPr>
              <w:fldChar w:fldCharType="separate"/>
            </w:r>
            <w:r w:rsidR="00D10B3E">
              <w:rPr>
                <w:webHidden/>
              </w:rPr>
              <w:t>67</w:t>
            </w:r>
            <w:r w:rsidR="00D10B3E">
              <w:rPr>
                <w:webHidden/>
              </w:rPr>
              <w:fldChar w:fldCharType="end"/>
            </w:r>
          </w:hyperlink>
        </w:p>
        <w:p w:rsidR="00D10B3E" w:rsidRDefault="007055AF" w:rsidP="00D10B3E">
          <w:pPr>
            <w:pStyle w:val="ndice2"/>
            <w:rPr>
              <w:rFonts w:asciiTheme="minorHAnsi" w:eastAsiaTheme="minorEastAsia" w:hAnsiTheme="minorHAnsi" w:cstheme="minorBidi"/>
              <w:sz w:val="22"/>
              <w:szCs w:val="22"/>
            </w:rPr>
          </w:pPr>
          <w:hyperlink w:anchor="_Toc51072514" w:history="1">
            <w:r w:rsidR="00D10B3E" w:rsidRPr="009D7544">
              <w:rPr>
                <w:rStyle w:val="Hiperligao"/>
              </w:rPr>
              <w:t>2.7.DESCRIPTION DES ZONES IMPLANTATION DES RESERVOIRS</w:t>
            </w:r>
            <w:r w:rsidR="00D10B3E">
              <w:rPr>
                <w:webHidden/>
              </w:rPr>
              <w:tab/>
            </w:r>
            <w:r w:rsidR="00D10B3E">
              <w:rPr>
                <w:webHidden/>
              </w:rPr>
              <w:fldChar w:fldCharType="begin"/>
            </w:r>
            <w:r w:rsidR="00D10B3E">
              <w:rPr>
                <w:webHidden/>
              </w:rPr>
              <w:instrText xml:space="preserve"> PAGEREF _Toc51072514 \h </w:instrText>
            </w:r>
            <w:r w:rsidR="00D10B3E">
              <w:rPr>
                <w:webHidden/>
              </w:rPr>
            </w:r>
            <w:r w:rsidR="00D10B3E">
              <w:rPr>
                <w:webHidden/>
              </w:rPr>
              <w:fldChar w:fldCharType="separate"/>
            </w:r>
            <w:r w:rsidR="00D10B3E">
              <w:rPr>
                <w:webHidden/>
              </w:rPr>
              <w:t>68</w:t>
            </w:r>
            <w:r w:rsidR="00D10B3E">
              <w:rPr>
                <w:webHidden/>
              </w:rPr>
              <w:fldChar w:fldCharType="end"/>
            </w:r>
          </w:hyperlink>
        </w:p>
        <w:p w:rsidR="00D10B3E" w:rsidRPr="00D10B3E" w:rsidRDefault="007055AF" w:rsidP="00D10B3E">
          <w:pPr>
            <w:pStyle w:val="ndice3"/>
            <w:rPr>
              <w:rStyle w:val="Hiperligao"/>
            </w:rPr>
          </w:pPr>
          <w:hyperlink w:anchor="_Toc51072515" w:history="1">
            <w:r w:rsidR="00D10B3E" w:rsidRPr="00D10B3E">
              <w:rPr>
                <w:rStyle w:val="Hiperligao"/>
              </w:rPr>
              <w:t>2.7.1.</w:t>
            </w:r>
            <w:r w:rsidR="00D10B3E" w:rsidRPr="00D10B3E">
              <w:rPr>
                <w:rStyle w:val="Hiperligao"/>
              </w:rPr>
              <w:tab/>
              <w:t>Réhabilitation du réservoir 1 de Quartier de l'Aéroport</w:t>
            </w:r>
            <w:r w:rsidR="00D10B3E" w:rsidRPr="00D10B3E">
              <w:rPr>
                <w:rStyle w:val="Hiperligao"/>
                <w:webHidden/>
              </w:rPr>
              <w:tab/>
            </w:r>
            <w:r w:rsidR="00D10B3E" w:rsidRPr="00D10B3E">
              <w:rPr>
                <w:rStyle w:val="Hiperligao"/>
                <w:webHidden/>
              </w:rPr>
              <w:fldChar w:fldCharType="begin"/>
            </w:r>
            <w:r w:rsidR="00D10B3E" w:rsidRPr="00D10B3E">
              <w:rPr>
                <w:rStyle w:val="Hiperligao"/>
                <w:webHidden/>
              </w:rPr>
              <w:instrText xml:space="preserve"> PAGEREF _Toc51072515 \h </w:instrText>
            </w:r>
            <w:r w:rsidR="00D10B3E" w:rsidRPr="00D10B3E">
              <w:rPr>
                <w:rStyle w:val="Hiperligao"/>
                <w:webHidden/>
              </w:rPr>
            </w:r>
            <w:r w:rsidR="00D10B3E" w:rsidRPr="00D10B3E">
              <w:rPr>
                <w:rStyle w:val="Hiperligao"/>
                <w:webHidden/>
              </w:rPr>
              <w:fldChar w:fldCharType="separate"/>
            </w:r>
            <w:r w:rsidR="00D10B3E" w:rsidRPr="00D10B3E">
              <w:rPr>
                <w:rStyle w:val="Hiperligao"/>
                <w:webHidden/>
              </w:rPr>
              <w:t>68</w:t>
            </w:r>
            <w:r w:rsidR="00D10B3E" w:rsidRPr="00D10B3E">
              <w:rPr>
                <w:rStyle w:val="Hiperligao"/>
                <w:webHidden/>
              </w:rPr>
              <w:fldChar w:fldCharType="end"/>
            </w:r>
          </w:hyperlink>
        </w:p>
        <w:p w:rsidR="00D10B3E" w:rsidRPr="00D10B3E" w:rsidRDefault="007055AF" w:rsidP="00D10B3E">
          <w:pPr>
            <w:pStyle w:val="ndice3"/>
            <w:rPr>
              <w:rStyle w:val="Hiperligao"/>
            </w:rPr>
          </w:pPr>
          <w:hyperlink w:anchor="_Toc51072516" w:history="1">
            <w:r w:rsidR="00D10B3E" w:rsidRPr="00D10B3E">
              <w:rPr>
                <w:rStyle w:val="Hiperligao"/>
              </w:rPr>
              <w:t>2.7.2.</w:t>
            </w:r>
            <w:r w:rsidR="00D10B3E" w:rsidRPr="00D10B3E">
              <w:rPr>
                <w:rStyle w:val="Hiperligao"/>
              </w:rPr>
              <w:tab/>
              <w:t>Réhabilitation du réservoir 2 de Quartier de l'Aéroport</w:t>
            </w:r>
            <w:r w:rsidR="00D10B3E" w:rsidRPr="00D10B3E">
              <w:rPr>
                <w:rStyle w:val="Hiperligao"/>
                <w:webHidden/>
              </w:rPr>
              <w:tab/>
            </w:r>
            <w:r w:rsidR="00D10B3E" w:rsidRPr="00D10B3E">
              <w:rPr>
                <w:rStyle w:val="Hiperligao"/>
                <w:webHidden/>
              </w:rPr>
              <w:fldChar w:fldCharType="begin"/>
            </w:r>
            <w:r w:rsidR="00D10B3E" w:rsidRPr="00D10B3E">
              <w:rPr>
                <w:rStyle w:val="Hiperligao"/>
                <w:webHidden/>
              </w:rPr>
              <w:instrText xml:space="preserve"> PAGEREF _Toc51072516 \h </w:instrText>
            </w:r>
            <w:r w:rsidR="00D10B3E" w:rsidRPr="00D10B3E">
              <w:rPr>
                <w:rStyle w:val="Hiperligao"/>
                <w:webHidden/>
              </w:rPr>
            </w:r>
            <w:r w:rsidR="00D10B3E" w:rsidRPr="00D10B3E">
              <w:rPr>
                <w:rStyle w:val="Hiperligao"/>
                <w:webHidden/>
              </w:rPr>
              <w:fldChar w:fldCharType="separate"/>
            </w:r>
            <w:r w:rsidR="00D10B3E" w:rsidRPr="00D10B3E">
              <w:rPr>
                <w:rStyle w:val="Hiperligao"/>
                <w:webHidden/>
              </w:rPr>
              <w:t>69</w:t>
            </w:r>
            <w:r w:rsidR="00D10B3E" w:rsidRPr="00D10B3E">
              <w:rPr>
                <w:rStyle w:val="Hiperligao"/>
                <w:webHidden/>
              </w:rPr>
              <w:fldChar w:fldCharType="end"/>
            </w:r>
          </w:hyperlink>
        </w:p>
        <w:p w:rsidR="00D10B3E" w:rsidRPr="00D10B3E" w:rsidRDefault="007055AF" w:rsidP="00D10B3E">
          <w:pPr>
            <w:pStyle w:val="ndice3"/>
            <w:rPr>
              <w:rStyle w:val="Hiperligao"/>
            </w:rPr>
          </w:pPr>
          <w:hyperlink w:anchor="_Toc51072517" w:history="1">
            <w:r w:rsidR="00D10B3E" w:rsidRPr="00D10B3E">
              <w:rPr>
                <w:rStyle w:val="Hiperligao"/>
              </w:rPr>
              <w:t>2.7.3.</w:t>
            </w:r>
            <w:r w:rsidR="00D10B3E" w:rsidRPr="00D10B3E">
              <w:rPr>
                <w:rStyle w:val="Hiperligao"/>
              </w:rPr>
              <w:tab/>
              <w:t>Construction de nouveau réservoir de Bôr</w:t>
            </w:r>
            <w:r w:rsidR="00D10B3E" w:rsidRPr="00D10B3E">
              <w:rPr>
                <w:rStyle w:val="Hiperligao"/>
                <w:webHidden/>
              </w:rPr>
              <w:tab/>
            </w:r>
            <w:r w:rsidR="00D10B3E" w:rsidRPr="00D10B3E">
              <w:rPr>
                <w:rStyle w:val="Hiperligao"/>
                <w:webHidden/>
              </w:rPr>
              <w:fldChar w:fldCharType="begin"/>
            </w:r>
            <w:r w:rsidR="00D10B3E" w:rsidRPr="00D10B3E">
              <w:rPr>
                <w:rStyle w:val="Hiperligao"/>
                <w:webHidden/>
              </w:rPr>
              <w:instrText xml:space="preserve"> PAGEREF _Toc51072517 \h </w:instrText>
            </w:r>
            <w:r w:rsidR="00D10B3E" w:rsidRPr="00D10B3E">
              <w:rPr>
                <w:rStyle w:val="Hiperligao"/>
                <w:webHidden/>
              </w:rPr>
            </w:r>
            <w:r w:rsidR="00D10B3E" w:rsidRPr="00D10B3E">
              <w:rPr>
                <w:rStyle w:val="Hiperligao"/>
                <w:webHidden/>
              </w:rPr>
              <w:fldChar w:fldCharType="separate"/>
            </w:r>
            <w:r w:rsidR="00D10B3E" w:rsidRPr="00D10B3E">
              <w:rPr>
                <w:rStyle w:val="Hiperligao"/>
                <w:webHidden/>
              </w:rPr>
              <w:t>70</w:t>
            </w:r>
            <w:r w:rsidR="00D10B3E" w:rsidRPr="00D10B3E">
              <w:rPr>
                <w:rStyle w:val="Hiperligao"/>
                <w:webHidden/>
              </w:rPr>
              <w:fldChar w:fldCharType="end"/>
            </w:r>
          </w:hyperlink>
        </w:p>
        <w:p w:rsidR="00D10B3E" w:rsidRPr="00D10B3E" w:rsidRDefault="007055AF" w:rsidP="00D10B3E">
          <w:pPr>
            <w:pStyle w:val="ndice3"/>
            <w:rPr>
              <w:rStyle w:val="Hiperligao"/>
            </w:rPr>
          </w:pPr>
          <w:hyperlink w:anchor="_Toc51072518" w:history="1">
            <w:r w:rsidR="00D10B3E" w:rsidRPr="00D10B3E">
              <w:rPr>
                <w:rStyle w:val="Hiperligao"/>
              </w:rPr>
              <w:t>2.7.4.</w:t>
            </w:r>
            <w:r w:rsidR="00D10B3E" w:rsidRPr="00D10B3E">
              <w:rPr>
                <w:rStyle w:val="Hiperligao"/>
              </w:rPr>
              <w:tab/>
              <w:t>Construction de nouveau réservoir de Prabis</w:t>
            </w:r>
            <w:r w:rsidR="00D10B3E" w:rsidRPr="00D10B3E">
              <w:rPr>
                <w:rStyle w:val="Hiperligao"/>
                <w:webHidden/>
              </w:rPr>
              <w:tab/>
            </w:r>
            <w:r w:rsidR="00D10B3E" w:rsidRPr="00D10B3E">
              <w:rPr>
                <w:rStyle w:val="Hiperligao"/>
                <w:webHidden/>
              </w:rPr>
              <w:fldChar w:fldCharType="begin"/>
            </w:r>
            <w:r w:rsidR="00D10B3E" w:rsidRPr="00D10B3E">
              <w:rPr>
                <w:rStyle w:val="Hiperligao"/>
                <w:webHidden/>
              </w:rPr>
              <w:instrText xml:space="preserve"> PAGEREF _Toc51072518 \h </w:instrText>
            </w:r>
            <w:r w:rsidR="00D10B3E" w:rsidRPr="00D10B3E">
              <w:rPr>
                <w:rStyle w:val="Hiperligao"/>
                <w:webHidden/>
              </w:rPr>
            </w:r>
            <w:r w:rsidR="00D10B3E" w:rsidRPr="00D10B3E">
              <w:rPr>
                <w:rStyle w:val="Hiperligao"/>
                <w:webHidden/>
              </w:rPr>
              <w:fldChar w:fldCharType="separate"/>
            </w:r>
            <w:r w:rsidR="00D10B3E" w:rsidRPr="00D10B3E">
              <w:rPr>
                <w:rStyle w:val="Hiperligao"/>
                <w:webHidden/>
              </w:rPr>
              <w:t>71</w:t>
            </w:r>
            <w:r w:rsidR="00D10B3E" w:rsidRPr="00D10B3E">
              <w:rPr>
                <w:rStyle w:val="Hiperligao"/>
                <w:webHidden/>
              </w:rPr>
              <w:fldChar w:fldCharType="end"/>
            </w:r>
          </w:hyperlink>
        </w:p>
        <w:p w:rsidR="00D10B3E" w:rsidRPr="00D10B3E" w:rsidRDefault="007055AF" w:rsidP="00D10B3E">
          <w:pPr>
            <w:pStyle w:val="ndice3"/>
            <w:rPr>
              <w:rStyle w:val="Hiperligao"/>
            </w:rPr>
          </w:pPr>
          <w:hyperlink w:anchor="_Toc51072519" w:history="1">
            <w:r w:rsidR="00D10B3E" w:rsidRPr="00D10B3E">
              <w:rPr>
                <w:rStyle w:val="Hiperligao"/>
              </w:rPr>
              <w:t>2.7.5.</w:t>
            </w:r>
            <w:r w:rsidR="00D10B3E" w:rsidRPr="00D10B3E">
              <w:rPr>
                <w:rStyle w:val="Hiperligao"/>
              </w:rPr>
              <w:tab/>
              <w:t>Construction de nouveau réservoir de Safim</w:t>
            </w:r>
            <w:r w:rsidR="00D10B3E" w:rsidRPr="00D10B3E">
              <w:rPr>
                <w:rStyle w:val="Hiperligao"/>
                <w:webHidden/>
              </w:rPr>
              <w:tab/>
            </w:r>
            <w:r w:rsidR="00D10B3E" w:rsidRPr="00D10B3E">
              <w:rPr>
                <w:rStyle w:val="Hiperligao"/>
                <w:webHidden/>
              </w:rPr>
              <w:fldChar w:fldCharType="begin"/>
            </w:r>
            <w:r w:rsidR="00D10B3E" w:rsidRPr="00D10B3E">
              <w:rPr>
                <w:rStyle w:val="Hiperligao"/>
                <w:webHidden/>
              </w:rPr>
              <w:instrText xml:space="preserve"> PAGEREF _Toc51072519 \h </w:instrText>
            </w:r>
            <w:r w:rsidR="00D10B3E" w:rsidRPr="00D10B3E">
              <w:rPr>
                <w:rStyle w:val="Hiperligao"/>
                <w:webHidden/>
              </w:rPr>
            </w:r>
            <w:r w:rsidR="00D10B3E" w:rsidRPr="00D10B3E">
              <w:rPr>
                <w:rStyle w:val="Hiperligao"/>
                <w:webHidden/>
              </w:rPr>
              <w:fldChar w:fldCharType="separate"/>
            </w:r>
            <w:r w:rsidR="00D10B3E" w:rsidRPr="00D10B3E">
              <w:rPr>
                <w:rStyle w:val="Hiperligao"/>
                <w:webHidden/>
              </w:rPr>
              <w:t>73</w:t>
            </w:r>
            <w:r w:rsidR="00D10B3E" w:rsidRPr="00D10B3E">
              <w:rPr>
                <w:rStyle w:val="Hiperligao"/>
                <w:webHidden/>
              </w:rPr>
              <w:fldChar w:fldCharType="end"/>
            </w:r>
          </w:hyperlink>
        </w:p>
        <w:p w:rsidR="00D10B3E" w:rsidRPr="00D10B3E" w:rsidRDefault="007055AF" w:rsidP="00D10B3E">
          <w:pPr>
            <w:pStyle w:val="ndice3"/>
            <w:rPr>
              <w:rStyle w:val="Hiperligao"/>
            </w:rPr>
          </w:pPr>
          <w:hyperlink w:anchor="_Toc51072520" w:history="1">
            <w:r w:rsidR="00D10B3E" w:rsidRPr="00D10B3E">
              <w:rPr>
                <w:rStyle w:val="Hiperligao"/>
              </w:rPr>
              <w:t>2.7.6.</w:t>
            </w:r>
            <w:r w:rsidR="00D10B3E" w:rsidRPr="00D10B3E">
              <w:rPr>
                <w:rStyle w:val="Hiperligao"/>
              </w:rPr>
              <w:tab/>
              <w:t>Construction de nouveau réservoir de Antula-Pime</w:t>
            </w:r>
            <w:r w:rsidR="00D10B3E" w:rsidRPr="00D10B3E">
              <w:rPr>
                <w:rStyle w:val="Hiperligao"/>
                <w:webHidden/>
              </w:rPr>
              <w:tab/>
            </w:r>
            <w:r w:rsidR="00D10B3E" w:rsidRPr="00D10B3E">
              <w:rPr>
                <w:rStyle w:val="Hiperligao"/>
                <w:webHidden/>
              </w:rPr>
              <w:fldChar w:fldCharType="begin"/>
            </w:r>
            <w:r w:rsidR="00D10B3E" w:rsidRPr="00D10B3E">
              <w:rPr>
                <w:rStyle w:val="Hiperligao"/>
                <w:webHidden/>
              </w:rPr>
              <w:instrText xml:space="preserve"> PAGEREF _Toc51072520 \h </w:instrText>
            </w:r>
            <w:r w:rsidR="00D10B3E" w:rsidRPr="00D10B3E">
              <w:rPr>
                <w:rStyle w:val="Hiperligao"/>
                <w:webHidden/>
              </w:rPr>
            </w:r>
            <w:r w:rsidR="00D10B3E" w:rsidRPr="00D10B3E">
              <w:rPr>
                <w:rStyle w:val="Hiperligao"/>
                <w:webHidden/>
              </w:rPr>
              <w:fldChar w:fldCharType="separate"/>
            </w:r>
            <w:r w:rsidR="00D10B3E" w:rsidRPr="00D10B3E">
              <w:rPr>
                <w:rStyle w:val="Hiperligao"/>
                <w:webHidden/>
              </w:rPr>
              <w:t>74</w:t>
            </w:r>
            <w:r w:rsidR="00D10B3E" w:rsidRPr="00D10B3E">
              <w:rPr>
                <w:rStyle w:val="Hiperligao"/>
                <w:webHidden/>
              </w:rPr>
              <w:fldChar w:fldCharType="end"/>
            </w:r>
          </w:hyperlink>
        </w:p>
        <w:p w:rsidR="00D10B3E" w:rsidRDefault="007055AF">
          <w:pPr>
            <w:pStyle w:val="ndice1"/>
            <w:rPr>
              <w:rFonts w:asciiTheme="minorHAnsi" w:eastAsiaTheme="minorEastAsia" w:hAnsiTheme="minorHAnsi" w:cstheme="minorBidi"/>
              <w:b w:val="0"/>
              <w:bCs w:val="0"/>
              <w:caps w:val="0"/>
              <w:color w:val="auto"/>
              <w:sz w:val="22"/>
              <w:szCs w:val="22"/>
              <w:lang w:eastAsia="fr-FR"/>
              <w14:shadow w14:blurRad="0" w14:dist="0" w14:dir="0" w14:sx="0" w14:sy="0" w14:kx="0" w14:ky="0" w14:algn="none">
                <w14:srgbClr w14:val="000000"/>
              </w14:shadow>
              <w14:textOutline w14:w="0" w14:cap="rnd" w14:cmpd="sng" w14:algn="ctr">
                <w14:noFill/>
                <w14:prstDash w14:val="solid"/>
                <w14:bevel/>
              </w14:textOutline>
            </w:rPr>
          </w:pPr>
          <w:hyperlink w:anchor="_Toc51072521" w:history="1">
            <w:r w:rsidR="00D10B3E" w:rsidRPr="009D7544">
              <w:rPr>
                <w:rStyle w:val="Hiperligao"/>
              </w:rPr>
              <w:t>3 *CADRE POLITIQUE, JURIDIQUE ET INSTITUTIONNEL *</w:t>
            </w:r>
            <w:r w:rsidR="00D10B3E">
              <w:rPr>
                <w:webHidden/>
              </w:rPr>
              <w:tab/>
            </w:r>
            <w:r w:rsidR="00D10B3E">
              <w:rPr>
                <w:webHidden/>
              </w:rPr>
              <w:fldChar w:fldCharType="begin"/>
            </w:r>
            <w:r w:rsidR="00D10B3E">
              <w:rPr>
                <w:webHidden/>
              </w:rPr>
              <w:instrText xml:space="preserve"> PAGEREF _Toc51072521 \h </w:instrText>
            </w:r>
            <w:r w:rsidR="00D10B3E">
              <w:rPr>
                <w:webHidden/>
              </w:rPr>
            </w:r>
            <w:r w:rsidR="00D10B3E">
              <w:rPr>
                <w:webHidden/>
              </w:rPr>
              <w:fldChar w:fldCharType="separate"/>
            </w:r>
            <w:r w:rsidR="00D10B3E">
              <w:rPr>
                <w:webHidden/>
              </w:rPr>
              <w:t>75</w:t>
            </w:r>
            <w:r w:rsidR="00D10B3E">
              <w:rPr>
                <w:webHidden/>
              </w:rPr>
              <w:fldChar w:fldCharType="end"/>
            </w:r>
          </w:hyperlink>
        </w:p>
        <w:p w:rsidR="00D10B3E" w:rsidRDefault="007055AF" w:rsidP="00D10B3E">
          <w:pPr>
            <w:pStyle w:val="ndice2"/>
            <w:rPr>
              <w:rFonts w:asciiTheme="minorHAnsi" w:eastAsiaTheme="minorEastAsia" w:hAnsiTheme="minorHAnsi" w:cstheme="minorBidi"/>
              <w:sz w:val="22"/>
              <w:szCs w:val="22"/>
            </w:rPr>
          </w:pPr>
          <w:hyperlink w:anchor="_Toc51072522" w:history="1">
            <w:r w:rsidR="00D10B3E" w:rsidRPr="009D7544">
              <w:rPr>
                <w:rStyle w:val="Hiperligao"/>
              </w:rPr>
              <w:t>3.1. CADRE POLITIQUE</w:t>
            </w:r>
            <w:r w:rsidR="00D10B3E">
              <w:rPr>
                <w:webHidden/>
              </w:rPr>
              <w:tab/>
            </w:r>
            <w:r w:rsidR="00D10B3E">
              <w:rPr>
                <w:webHidden/>
              </w:rPr>
              <w:fldChar w:fldCharType="begin"/>
            </w:r>
            <w:r w:rsidR="00D10B3E">
              <w:rPr>
                <w:webHidden/>
              </w:rPr>
              <w:instrText xml:space="preserve"> PAGEREF _Toc51072522 \h </w:instrText>
            </w:r>
            <w:r w:rsidR="00D10B3E">
              <w:rPr>
                <w:webHidden/>
              </w:rPr>
            </w:r>
            <w:r w:rsidR="00D10B3E">
              <w:rPr>
                <w:webHidden/>
              </w:rPr>
              <w:fldChar w:fldCharType="separate"/>
            </w:r>
            <w:r w:rsidR="00D10B3E">
              <w:rPr>
                <w:webHidden/>
              </w:rPr>
              <w:t>75</w:t>
            </w:r>
            <w:r w:rsidR="00D10B3E">
              <w:rPr>
                <w:webHidden/>
              </w:rPr>
              <w:fldChar w:fldCharType="end"/>
            </w:r>
          </w:hyperlink>
        </w:p>
        <w:p w:rsidR="00D10B3E" w:rsidRPr="00D10B3E" w:rsidRDefault="007055AF" w:rsidP="00D10B3E">
          <w:pPr>
            <w:pStyle w:val="ndice3"/>
            <w:rPr>
              <w:rStyle w:val="Hiperligao"/>
            </w:rPr>
          </w:pPr>
          <w:hyperlink w:anchor="_Toc51072523" w:history="1">
            <w:r w:rsidR="00D10B3E" w:rsidRPr="00D10B3E">
              <w:rPr>
                <w:rStyle w:val="Hiperligao"/>
              </w:rPr>
              <w:t>3.1.1. Déclaration Politique sectorielle de l’eau</w:t>
            </w:r>
            <w:r w:rsidR="00D10B3E" w:rsidRPr="00D10B3E">
              <w:rPr>
                <w:rStyle w:val="Hiperligao"/>
                <w:webHidden/>
              </w:rPr>
              <w:tab/>
            </w:r>
            <w:r w:rsidR="00D10B3E" w:rsidRPr="00D10B3E">
              <w:rPr>
                <w:rStyle w:val="Hiperligao"/>
                <w:webHidden/>
              </w:rPr>
              <w:fldChar w:fldCharType="begin"/>
            </w:r>
            <w:r w:rsidR="00D10B3E" w:rsidRPr="00D10B3E">
              <w:rPr>
                <w:rStyle w:val="Hiperligao"/>
                <w:webHidden/>
              </w:rPr>
              <w:instrText xml:space="preserve"> PAGEREF _Toc51072523 \h </w:instrText>
            </w:r>
            <w:r w:rsidR="00D10B3E" w:rsidRPr="00D10B3E">
              <w:rPr>
                <w:rStyle w:val="Hiperligao"/>
                <w:webHidden/>
              </w:rPr>
            </w:r>
            <w:r w:rsidR="00D10B3E" w:rsidRPr="00D10B3E">
              <w:rPr>
                <w:rStyle w:val="Hiperligao"/>
                <w:webHidden/>
              </w:rPr>
              <w:fldChar w:fldCharType="separate"/>
            </w:r>
            <w:r w:rsidR="00D10B3E" w:rsidRPr="00D10B3E">
              <w:rPr>
                <w:rStyle w:val="Hiperligao"/>
                <w:webHidden/>
              </w:rPr>
              <w:t>75</w:t>
            </w:r>
            <w:r w:rsidR="00D10B3E" w:rsidRPr="00D10B3E">
              <w:rPr>
                <w:rStyle w:val="Hiperligao"/>
                <w:webHidden/>
              </w:rPr>
              <w:fldChar w:fldCharType="end"/>
            </w:r>
          </w:hyperlink>
        </w:p>
        <w:p w:rsidR="00D10B3E" w:rsidRPr="00D10B3E" w:rsidRDefault="007055AF" w:rsidP="00D10B3E">
          <w:pPr>
            <w:pStyle w:val="ndice3"/>
            <w:rPr>
              <w:rStyle w:val="Hiperligao"/>
            </w:rPr>
          </w:pPr>
          <w:hyperlink w:anchor="_Toc51072524" w:history="1">
            <w:r w:rsidR="00D10B3E" w:rsidRPr="00D10B3E">
              <w:rPr>
                <w:rStyle w:val="Hiperligao"/>
              </w:rPr>
              <w:t>3.1.2. Documents de Politiques et de Stratégies Environnementales et Sociales</w:t>
            </w:r>
            <w:r w:rsidR="00D10B3E" w:rsidRPr="00D10B3E">
              <w:rPr>
                <w:rStyle w:val="Hiperligao"/>
                <w:webHidden/>
              </w:rPr>
              <w:tab/>
            </w:r>
            <w:r w:rsidR="00D10B3E" w:rsidRPr="00D10B3E">
              <w:rPr>
                <w:rStyle w:val="Hiperligao"/>
                <w:webHidden/>
              </w:rPr>
              <w:fldChar w:fldCharType="begin"/>
            </w:r>
            <w:r w:rsidR="00D10B3E" w:rsidRPr="00D10B3E">
              <w:rPr>
                <w:rStyle w:val="Hiperligao"/>
                <w:webHidden/>
              </w:rPr>
              <w:instrText xml:space="preserve"> PAGEREF _Toc51072524 \h </w:instrText>
            </w:r>
            <w:r w:rsidR="00D10B3E" w:rsidRPr="00D10B3E">
              <w:rPr>
                <w:rStyle w:val="Hiperligao"/>
                <w:webHidden/>
              </w:rPr>
            </w:r>
            <w:r w:rsidR="00D10B3E" w:rsidRPr="00D10B3E">
              <w:rPr>
                <w:rStyle w:val="Hiperligao"/>
                <w:webHidden/>
              </w:rPr>
              <w:fldChar w:fldCharType="separate"/>
            </w:r>
            <w:r w:rsidR="00D10B3E" w:rsidRPr="00D10B3E">
              <w:rPr>
                <w:rStyle w:val="Hiperligao"/>
                <w:webHidden/>
              </w:rPr>
              <w:t>75</w:t>
            </w:r>
            <w:r w:rsidR="00D10B3E" w:rsidRPr="00D10B3E">
              <w:rPr>
                <w:rStyle w:val="Hiperligao"/>
                <w:webHidden/>
              </w:rPr>
              <w:fldChar w:fldCharType="end"/>
            </w:r>
          </w:hyperlink>
        </w:p>
        <w:p w:rsidR="00D10B3E" w:rsidRDefault="007055AF" w:rsidP="00D10B3E">
          <w:pPr>
            <w:pStyle w:val="ndice2"/>
            <w:rPr>
              <w:rFonts w:asciiTheme="minorHAnsi" w:eastAsiaTheme="minorEastAsia" w:hAnsiTheme="minorHAnsi" w:cstheme="minorBidi"/>
              <w:sz w:val="22"/>
              <w:szCs w:val="22"/>
            </w:rPr>
          </w:pPr>
          <w:hyperlink w:anchor="_Toc51072525" w:history="1">
            <w:r w:rsidR="00D10B3E" w:rsidRPr="009D7544">
              <w:rPr>
                <w:rStyle w:val="Hiperligao"/>
              </w:rPr>
              <w:t>3.2. CADRE JURIDIQUE</w:t>
            </w:r>
            <w:r w:rsidR="00D10B3E">
              <w:rPr>
                <w:webHidden/>
              </w:rPr>
              <w:tab/>
            </w:r>
            <w:r w:rsidR="00D10B3E">
              <w:rPr>
                <w:webHidden/>
              </w:rPr>
              <w:fldChar w:fldCharType="begin"/>
            </w:r>
            <w:r w:rsidR="00D10B3E">
              <w:rPr>
                <w:webHidden/>
              </w:rPr>
              <w:instrText xml:space="preserve"> PAGEREF _Toc51072525 \h </w:instrText>
            </w:r>
            <w:r w:rsidR="00D10B3E">
              <w:rPr>
                <w:webHidden/>
              </w:rPr>
            </w:r>
            <w:r w:rsidR="00D10B3E">
              <w:rPr>
                <w:webHidden/>
              </w:rPr>
              <w:fldChar w:fldCharType="separate"/>
            </w:r>
            <w:r w:rsidR="00D10B3E">
              <w:rPr>
                <w:webHidden/>
              </w:rPr>
              <w:t>78</w:t>
            </w:r>
            <w:r w:rsidR="00D10B3E">
              <w:rPr>
                <w:webHidden/>
              </w:rPr>
              <w:fldChar w:fldCharType="end"/>
            </w:r>
          </w:hyperlink>
        </w:p>
        <w:p w:rsidR="00D10B3E" w:rsidRDefault="007055AF" w:rsidP="00D10B3E">
          <w:pPr>
            <w:pStyle w:val="ndice2"/>
            <w:rPr>
              <w:rFonts w:asciiTheme="minorHAnsi" w:eastAsiaTheme="minorEastAsia" w:hAnsiTheme="minorHAnsi" w:cstheme="minorBidi"/>
              <w:sz w:val="22"/>
              <w:szCs w:val="22"/>
            </w:rPr>
          </w:pPr>
          <w:hyperlink w:anchor="_Toc51072526" w:history="1">
            <w:r w:rsidR="00D10B3E" w:rsidRPr="009D7544">
              <w:rPr>
                <w:rStyle w:val="Hiperligao"/>
                <w:bCs/>
              </w:rPr>
              <w:t>AU NIVEAU NATIONAL</w:t>
            </w:r>
            <w:r w:rsidR="00D10B3E">
              <w:rPr>
                <w:webHidden/>
              </w:rPr>
              <w:tab/>
            </w:r>
            <w:r w:rsidR="00D10B3E">
              <w:rPr>
                <w:webHidden/>
              </w:rPr>
              <w:fldChar w:fldCharType="begin"/>
            </w:r>
            <w:r w:rsidR="00D10B3E">
              <w:rPr>
                <w:webHidden/>
              </w:rPr>
              <w:instrText xml:space="preserve"> PAGEREF _Toc51072526 \h </w:instrText>
            </w:r>
            <w:r w:rsidR="00D10B3E">
              <w:rPr>
                <w:webHidden/>
              </w:rPr>
            </w:r>
            <w:r w:rsidR="00D10B3E">
              <w:rPr>
                <w:webHidden/>
              </w:rPr>
              <w:fldChar w:fldCharType="separate"/>
            </w:r>
            <w:r w:rsidR="00D10B3E">
              <w:rPr>
                <w:webHidden/>
              </w:rPr>
              <w:t>78</w:t>
            </w:r>
            <w:r w:rsidR="00D10B3E">
              <w:rPr>
                <w:webHidden/>
              </w:rPr>
              <w:fldChar w:fldCharType="end"/>
            </w:r>
          </w:hyperlink>
        </w:p>
        <w:p w:rsidR="00D10B3E" w:rsidRPr="00D10B3E" w:rsidRDefault="007055AF" w:rsidP="00D10B3E">
          <w:pPr>
            <w:pStyle w:val="ndice3"/>
            <w:rPr>
              <w:rStyle w:val="Hiperligao"/>
            </w:rPr>
          </w:pPr>
          <w:hyperlink w:anchor="_Toc51072527" w:history="1">
            <w:r w:rsidR="00D10B3E" w:rsidRPr="00D10B3E">
              <w:rPr>
                <w:rStyle w:val="Hiperligao"/>
              </w:rPr>
              <w:t>3.2.1. Cadre réglementaire du secteur de l’eau</w:t>
            </w:r>
            <w:r w:rsidR="00D10B3E" w:rsidRPr="00D10B3E">
              <w:rPr>
                <w:rStyle w:val="Hiperligao"/>
                <w:webHidden/>
              </w:rPr>
              <w:tab/>
            </w:r>
            <w:r w:rsidR="00D10B3E" w:rsidRPr="00D10B3E">
              <w:rPr>
                <w:rStyle w:val="Hiperligao"/>
                <w:webHidden/>
              </w:rPr>
              <w:fldChar w:fldCharType="begin"/>
            </w:r>
            <w:r w:rsidR="00D10B3E" w:rsidRPr="00D10B3E">
              <w:rPr>
                <w:rStyle w:val="Hiperligao"/>
                <w:webHidden/>
              </w:rPr>
              <w:instrText xml:space="preserve"> PAGEREF _Toc51072527 \h </w:instrText>
            </w:r>
            <w:r w:rsidR="00D10B3E" w:rsidRPr="00D10B3E">
              <w:rPr>
                <w:rStyle w:val="Hiperligao"/>
                <w:webHidden/>
              </w:rPr>
            </w:r>
            <w:r w:rsidR="00D10B3E" w:rsidRPr="00D10B3E">
              <w:rPr>
                <w:rStyle w:val="Hiperligao"/>
                <w:webHidden/>
              </w:rPr>
              <w:fldChar w:fldCharType="separate"/>
            </w:r>
            <w:r w:rsidR="00D10B3E" w:rsidRPr="00D10B3E">
              <w:rPr>
                <w:rStyle w:val="Hiperligao"/>
                <w:webHidden/>
              </w:rPr>
              <w:t>78</w:t>
            </w:r>
            <w:r w:rsidR="00D10B3E" w:rsidRPr="00D10B3E">
              <w:rPr>
                <w:rStyle w:val="Hiperligao"/>
                <w:webHidden/>
              </w:rPr>
              <w:fldChar w:fldCharType="end"/>
            </w:r>
          </w:hyperlink>
        </w:p>
        <w:p w:rsidR="00D10B3E" w:rsidRPr="00D10B3E" w:rsidRDefault="007055AF" w:rsidP="00D10B3E">
          <w:pPr>
            <w:pStyle w:val="ndice3"/>
            <w:rPr>
              <w:rStyle w:val="Hiperligao"/>
            </w:rPr>
          </w:pPr>
          <w:hyperlink w:anchor="_Toc51072528" w:history="1">
            <w:r w:rsidR="00D10B3E" w:rsidRPr="00D10B3E">
              <w:rPr>
                <w:rStyle w:val="Hiperligao"/>
              </w:rPr>
              <w:t>3.2.1. Loi de base sur l’environnement</w:t>
            </w:r>
            <w:r w:rsidR="00D10B3E" w:rsidRPr="00D10B3E">
              <w:rPr>
                <w:rStyle w:val="Hiperligao"/>
                <w:webHidden/>
              </w:rPr>
              <w:tab/>
            </w:r>
            <w:r w:rsidR="00D10B3E" w:rsidRPr="00D10B3E">
              <w:rPr>
                <w:rStyle w:val="Hiperligao"/>
                <w:webHidden/>
              </w:rPr>
              <w:fldChar w:fldCharType="begin"/>
            </w:r>
            <w:r w:rsidR="00D10B3E" w:rsidRPr="00D10B3E">
              <w:rPr>
                <w:rStyle w:val="Hiperligao"/>
                <w:webHidden/>
              </w:rPr>
              <w:instrText xml:space="preserve"> PAGEREF _Toc51072528 \h </w:instrText>
            </w:r>
            <w:r w:rsidR="00D10B3E" w:rsidRPr="00D10B3E">
              <w:rPr>
                <w:rStyle w:val="Hiperligao"/>
                <w:webHidden/>
              </w:rPr>
            </w:r>
            <w:r w:rsidR="00D10B3E" w:rsidRPr="00D10B3E">
              <w:rPr>
                <w:rStyle w:val="Hiperligao"/>
                <w:webHidden/>
              </w:rPr>
              <w:fldChar w:fldCharType="separate"/>
            </w:r>
            <w:r w:rsidR="00D10B3E" w:rsidRPr="00D10B3E">
              <w:rPr>
                <w:rStyle w:val="Hiperligao"/>
                <w:webHidden/>
              </w:rPr>
              <w:t>78</w:t>
            </w:r>
            <w:r w:rsidR="00D10B3E" w:rsidRPr="00D10B3E">
              <w:rPr>
                <w:rStyle w:val="Hiperligao"/>
                <w:webHidden/>
              </w:rPr>
              <w:fldChar w:fldCharType="end"/>
            </w:r>
          </w:hyperlink>
        </w:p>
        <w:p w:rsidR="00D10B3E" w:rsidRPr="00D10B3E" w:rsidRDefault="007055AF" w:rsidP="00D10B3E">
          <w:pPr>
            <w:pStyle w:val="ndice3"/>
            <w:rPr>
              <w:rStyle w:val="Hiperligao"/>
            </w:rPr>
          </w:pPr>
          <w:hyperlink w:anchor="_Toc51072529" w:history="1">
            <w:r w:rsidR="00D10B3E" w:rsidRPr="00D10B3E">
              <w:rPr>
                <w:rStyle w:val="Hiperligao"/>
              </w:rPr>
              <w:t>3.2.3. Autres dispositions réglementaires applicables dans la mise en œuvre de ce projet</w:t>
            </w:r>
            <w:r w:rsidR="00D10B3E" w:rsidRPr="00D10B3E">
              <w:rPr>
                <w:rStyle w:val="Hiperligao"/>
                <w:webHidden/>
              </w:rPr>
              <w:tab/>
            </w:r>
            <w:r w:rsidR="00D10B3E" w:rsidRPr="00D10B3E">
              <w:rPr>
                <w:rStyle w:val="Hiperligao"/>
                <w:webHidden/>
              </w:rPr>
              <w:fldChar w:fldCharType="begin"/>
            </w:r>
            <w:r w:rsidR="00D10B3E" w:rsidRPr="00D10B3E">
              <w:rPr>
                <w:rStyle w:val="Hiperligao"/>
                <w:webHidden/>
              </w:rPr>
              <w:instrText xml:space="preserve"> PAGEREF _Toc51072529 \h </w:instrText>
            </w:r>
            <w:r w:rsidR="00D10B3E" w:rsidRPr="00D10B3E">
              <w:rPr>
                <w:rStyle w:val="Hiperligao"/>
                <w:webHidden/>
              </w:rPr>
            </w:r>
            <w:r w:rsidR="00D10B3E" w:rsidRPr="00D10B3E">
              <w:rPr>
                <w:rStyle w:val="Hiperligao"/>
                <w:webHidden/>
              </w:rPr>
              <w:fldChar w:fldCharType="separate"/>
            </w:r>
            <w:r w:rsidR="00D10B3E" w:rsidRPr="00D10B3E">
              <w:rPr>
                <w:rStyle w:val="Hiperligao"/>
                <w:webHidden/>
              </w:rPr>
              <w:t>80</w:t>
            </w:r>
            <w:r w:rsidR="00D10B3E" w:rsidRPr="00D10B3E">
              <w:rPr>
                <w:rStyle w:val="Hiperligao"/>
                <w:webHidden/>
              </w:rPr>
              <w:fldChar w:fldCharType="end"/>
            </w:r>
          </w:hyperlink>
        </w:p>
        <w:p w:rsidR="00D10B3E" w:rsidRPr="00D10B3E" w:rsidRDefault="007055AF" w:rsidP="00D10B3E">
          <w:pPr>
            <w:pStyle w:val="ndice3"/>
            <w:rPr>
              <w:rStyle w:val="Hiperligao"/>
            </w:rPr>
          </w:pPr>
          <w:hyperlink w:anchor="_Toc51072530" w:history="1">
            <w:r w:rsidR="00D10B3E" w:rsidRPr="00D10B3E">
              <w:rPr>
                <w:rStyle w:val="Hiperligao"/>
              </w:rPr>
              <w:t>3.2.3. Dispositifs réglementaires environnemental et social applicables au PUASEE-FA</w:t>
            </w:r>
            <w:r w:rsidR="00D10B3E" w:rsidRPr="00D10B3E">
              <w:rPr>
                <w:rStyle w:val="Hiperligao"/>
                <w:webHidden/>
              </w:rPr>
              <w:tab/>
            </w:r>
            <w:r w:rsidR="00D10B3E" w:rsidRPr="00D10B3E">
              <w:rPr>
                <w:rStyle w:val="Hiperligao"/>
                <w:webHidden/>
              </w:rPr>
              <w:fldChar w:fldCharType="begin"/>
            </w:r>
            <w:r w:rsidR="00D10B3E" w:rsidRPr="00D10B3E">
              <w:rPr>
                <w:rStyle w:val="Hiperligao"/>
                <w:webHidden/>
              </w:rPr>
              <w:instrText xml:space="preserve"> PAGEREF _Toc51072530 \h </w:instrText>
            </w:r>
            <w:r w:rsidR="00D10B3E" w:rsidRPr="00D10B3E">
              <w:rPr>
                <w:rStyle w:val="Hiperligao"/>
                <w:webHidden/>
              </w:rPr>
            </w:r>
            <w:r w:rsidR="00D10B3E" w:rsidRPr="00D10B3E">
              <w:rPr>
                <w:rStyle w:val="Hiperligao"/>
                <w:webHidden/>
              </w:rPr>
              <w:fldChar w:fldCharType="separate"/>
            </w:r>
            <w:r w:rsidR="00D10B3E" w:rsidRPr="00D10B3E">
              <w:rPr>
                <w:rStyle w:val="Hiperligao"/>
                <w:webHidden/>
              </w:rPr>
              <w:t>82</w:t>
            </w:r>
            <w:r w:rsidR="00D10B3E" w:rsidRPr="00D10B3E">
              <w:rPr>
                <w:rStyle w:val="Hiperligao"/>
                <w:webHidden/>
              </w:rPr>
              <w:fldChar w:fldCharType="end"/>
            </w:r>
          </w:hyperlink>
        </w:p>
        <w:p w:rsidR="00D10B3E" w:rsidRDefault="007055AF" w:rsidP="00D10B3E">
          <w:pPr>
            <w:pStyle w:val="ndice2"/>
            <w:rPr>
              <w:rFonts w:asciiTheme="minorHAnsi" w:eastAsiaTheme="minorEastAsia" w:hAnsiTheme="minorHAnsi" w:cstheme="minorBidi"/>
              <w:sz w:val="22"/>
              <w:szCs w:val="22"/>
            </w:rPr>
          </w:pPr>
          <w:hyperlink w:anchor="_Toc51072531" w:history="1">
            <w:r w:rsidR="00D10B3E" w:rsidRPr="009D7544">
              <w:rPr>
                <w:rStyle w:val="Hiperligao"/>
                <w:bCs/>
              </w:rPr>
              <w:t>AU NIVEAU INTERNATIONAL</w:t>
            </w:r>
            <w:r w:rsidR="00D10B3E">
              <w:rPr>
                <w:webHidden/>
              </w:rPr>
              <w:tab/>
            </w:r>
            <w:r w:rsidR="00D10B3E">
              <w:rPr>
                <w:webHidden/>
              </w:rPr>
              <w:fldChar w:fldCharType="begin"/>
            </w:r>
            <w:r w:rsidR="00D10B3E">
              <w:rPr>
                <w:webHidden/>
              </w:rPr>
              <w:instrText xml:space="preserve"> PAGEREF _Toc51072531 \h </w:instrText>
            </w:r>
            <w:r w:rsidR="00D10B3E">
              <w:rPr>
                <w:webHidden/>
              </w:rPr>
            </w:r>
            <w:r w:rsidR="00D10B3E">
              <w:rPr>
                <w:webHidden/>
              </w:rPr>
              <w:fldChar w:fldCharType="separate"/>
            </w:r>
            <w:r w:rsidR="00D10B3E">
              <w:rPr>
                <w:webHidden/>
              </w:rPr>
              <w:t>82</w:t>
            </w:r>
            <w:r w:rsidR="00D10B3E">
              <w:rPr>
                <w:webHidden/>
              </w:rPr>
              <w:fldChar w:fldCharType="end"/>
            </w:r>
          </w:hyperlink>
        </w:p>
        <w:p w:rsidR="00D10B3E" w:rsidRPr="00D10B3E" w:rsidRDefault="007055AF" w:rsidP="00D10B3E">
          <w:pPr>
            <w:pStyle w:val="ndice3"/>
            <w:rPr>
              <w:rStyle w:val="Hiperligao"/>
            </w:rPr>
          </w:pPr>
          <w:hyperlink w:anchor="_Toc51072532" w:history="1">
            <w:r w:rsidR="00D10B3E" w:rsidRPr="00D10B3E">
              <w:rPr>
                <w:rStyle w:val="Hiperligao"/>
              </w:rPr>
              <w:t>3.2.4. Les textes et accords internationaux pertinents</w:t>
            </w:r>
            <w:r w:rsidR="00D10B3E" w:rsidRPr="00D10B3E">
              <w:rPr>
                <w:rStyle w:val="Hiperligao"/>
                <w:webHidden/>
              </w:rPr>
              <w:tab/>
            </w:r>
            <w:r w:rsidR="00D10B3E" w:rsidRPr="00D10B3E">
              <w:rPr>
                <w:rStyle w:val="Hiperligao"/>
                <w:webHidden/>
              </w:rPr>
              <w:fldChar w:fldCharType="begin"/>
            </w:r>
            <w:r w:rsidR="00D10B3E" w:rsidRPr="00D10B3E">
              <w:rPr>
                <w:rStyle w:val="Hiperligao"/>
                <w:webHidden/>
              </w:rPr>
              <w:instrText xml:space="preserve"> PAGEREF _Toc51072532 \h </w:instrText>
            </w:r>
            <w:r w:rsidR="00D10B3E" w:rsidRPr="00D10B3E">
              <w:rPr>
                <w:rStyle w:val="Hiperligao"/>
                <w:webHidden/>
              </w:rPr>
            </w:r>
            <w:r w:rsidR="00D10B3E" w:rsidRPr="00D10B3E">
              <w:rPr>
                <w:rStyle w:val="Hiperligao"/>
                <w:webHidden/>
              </w:rPr>
              <w:fldChar w:fldCharType="separate"/>
            </w:r>
            <w:r w:rsidR="00D10B3E" w:rsidRPr="00D10B3E">
              <w:rPr>
                <w:rStyle w:val="Hiperligao"/>
                <w:webHidden/>
              </w:rPr>
              <w:t>82</w:t>
            </w:r>
            <w:r w:rsidR="00D10B3E" w:rsidRPr="00D10B3E">
              <w:rPr>
                <w:rStyle w:val="Hiperligao"/>
                <w:webHidden/>
              </w:rPr>
              <w:fldChar w:fldCharType="end"/>
            </w:r>
          </w:hyperlink>
        </w:p>
        <w:p w:rsidR="00D10B3E" w:rsidRDefault="007055AF" w:rsidP="00D10B3E">
          <w:pPr>
            <w:pStyle w:val="ndice2"/>
            <w:rPr>
              <w:rFonts w:asciiTheme="minorHAnsi" w:eastAsiaTheme="minorEastAsia" w:hAnsiTheme="minorHAnsi" w:cstheme="minorBidi"/>
              <w:sz w:val="22"/>
              <w:szCs w:val="22"/>
            </w:rPr>
          </w:pPr>
          <w:hyperlink w:anchor="_Toc51072533" w:history="1">
            <w:r w:rsidR="00D10B3E" w:rsidRPr="009D7544">
              <w:rPr>
                <w:rStyle w:val="Hiperligao"/>
              </w:rPr>
              <w:t>3.3. CADRE INSTITUTIONNEL</w:t>
            </w:r>
            <w:r w:rsidR="00D10B3E">
              <w:rPr>
                <w:webHidden/>
              </w:rPr>
              <w:tab/>
            </w:r>
            <w:r w:rsidR="00D10B3E">
              <w:rPr>
                <w:webHidden/>
              </w:rPr>
              <w:fldChar w:fldCharType="begin"/>
            </w:r>
            <w:r w:rsidR="00D10B3E">
              <w:rPr>
                <w:webHidden/>
              </w:rPr>
              <w:instrText xml:space="preserve"> PAGEREF _Toc51072533 \h </w:instrText>
            </w:r>
            <w:r w:rsidR="00D10B3E">
              <w:rPr>
                <w:webHidden/>
              </w:rPr>
            </w:r>
            <w:r w:rsidR="00D10B3E">
              <w:rPr>
                <w:webHidden/>
              </w:rPr>
              <w:fldChar w:fldCharType="separate"/>
            </w:r>
            <w:r w:rsidR="00D10B3E">
              <w:rPr>
                <w:webHidden/>
              </w:rPr>
              <w:t>83</w:t>
            </w:r>
            <w:r w:rsidR="00D10B3E">
              <w:rPr>
                <w:webHidden/>
              </w:rPr>
              <w:fldChar w:fldCharType="end"/>
            </w:r>
          </w:hyperlink>
        </w:p>
        <w:p w:rsidR="00D10B3E" w:rsidRPr="00D10B3E" w:rsidRDefault="007055AF" w:rsidP="00D10B3E">
          <w:pPr>
            <w:pStyle w:val="ndice3"/>
            <w:rPr>
              <w:rStyle w:val="Hiperligao"/>
            </w:rPr>
          </w:pPr>
          <w:hyperlink w:anchor="_Toc51072534" w:history="1">
            <w:r w:rsidR="00D10B3E" w:rsidRPr="00D10B3E">
              <w:rPr>
                <w:rStyle w:val="Hiperligao"/>
              </w:rPr>
              <w:t>3.3.1. Cadre institutionnel du secteur de l’eau</w:t>
            </w:r>
            <w:r w:rsidR="00D10B3E" w:rsidRPr="00D10B3E">
              <w:rPr>
                <w:rStyle w:val="Hiperligao"/>
                <w:webHidden/>
              </w:rPr>
              <w:tab/>
            </w:r>
            <w:r w:rsidR="00D10B3E" w:rsidRPr="00D10B3E">
              <w:rPr>
                <w:rStyle w:val="Hiperligao"/>
                <w:webHidden/>
              </w:rPr>
              <w:fldChar w:fldCharType="begin"/>
            </w:r>
            <w:r w:rsidR="00D10B3E" w:rsidRPr="00D10B3E">
              <w:rPr>
                <w:rStyle w:val="Hiperligao"/>
                <w:webHidden/>
              </w:rPr>
              <w:instrText xml:space="preserve"> PAGEREF _Toc51072534 \h </w:instrText>
            </w:r>
            <w:r w:rsidR="00D10B3E" w:rsidRPr="00D10B3E">
              <w:rPr>
                <w:rStyle w:val="Hiperligao"/>
                <w:webHidden/>
              </w:rPr>
            </w:r>
            <w:r w:rsidR="00D10B3E" w:rsidRPr="00D10B3E">
              <w:rPr>
                <w:rStyle w:val="Hiperligao"/>
                <w:webHidden/>
              </w:rPr>
              <w:fldChar w:fldCharType="separate"/>
            </w:r>
            <w:r w:rsidR="00D10B3E" w:rsidRPr="00D10B3E">
              <w:rPr>
                <w:rStyle w:val="Hiperligao"/>
                <w:webHidden/>
              </w:rPr>
              <w:t>83</w:t>
            </w:r>
            <w:r w:rsidR="00D10B3E" w:rsidRPr="00D10B3E">
              <w:rPr>
                <w:rStyle w:val="Hiperligao"/>
                <w:webHidden/>
              </w:rPr>
              <w:fldChar w:fldCharType="end"/>
            </w:r>
          </w:hyperlink>
        </w:p>
        <w:p w:rsidR="00D10B3E" w:rsidRPr="00D10B3E" w:rsidRDefault="007055AF" w:rsidP="00D10B3E">
          <w:pPr>
            <w:pStyle w:val="ndice3"/>
            <w:rPr>
              <w:rStyle w:val="Hiperligao"/>
            </w:rPr>
          </w:pPr>
          <w:hyperlink w:anchor="_Toc51072535" w:history="1">
            <w:r w:rsidR="00D10B3E" w:rsidRPr="00D10B3E">
              <w:rPr>
                <w:rStyle w:val="Hiperligao"/>
              </w:rPr>
              <w:t>3.3.2. Cadre institutionnelle de gestion environnementale du projet</w:t>
            </w:r>
            <w:r w:rsidR="00D10B3E" w:rsidRPr="00D10B3E">
              <w:rPr>
                <w:rStyle w:val="Hiperligao"/>
                <w:webHidden/>
              </w:rPr>
              <w:tab/>
            </w:r>
            <w:r w:rsidR="00D10B3E" w:rsidRPr="00D10B3E">
              <w:rPr>
                <w:rStyle w:val="Hiperligao"/>
                <w:webHidden/>
              </w:rPr>
              <w:fldChar w:fldCharType="begin"/>
            </w:r>
            <w:r w:rsidR="00D10B3E" w:rsidRPr="00D10B3E">
              <w:rPr>
                <w:rStyle w:val="Hiperligao"/>
                <w:webHidden/>
              </w:rPr>
              <w:instrText xml:space="preserve"> PAGEREF _Toc51072535 \h </w:instrText>
            </w:r>
            <w:r w:rsidR="00D10B3E" w:rsidRPr="00D10B3E">
              <w:rPr>
                <w:rStyle w:val="Hiperligao"/>
                <w:webHidden/>
              </w:rPr>
            </w:r>
            <w:r w:rsidR="00D10B3E" w:rsidRPr="00D10B3E">
              <w:rPr>
                <w:rStyle w:val="Hiperligao"/>
                <w:webHidden/>
              </w:rPr>
              <w:fldChar w:fldCharType="separate"/>
            </w:r>
            <w:r w:rsidR="00D10B3E" w:rsidRPr="00D10B3E">
              <w:rPr>
                <w:rStyle w:val="Hiperligao"/>
                <w:webHidden/>
              </w:rPr>
              <w:t>84</w:t>
            </w:r>
            <w:r w:rsidR="00D10B3E" w:rsidRPr="00D10B3E">
              <w:rPr>
                <w:rStyle w:val="Hiperligao"/>
                <w:webHidden/>
              </w:rPr>
              <w:fldChar w:fldCharType="end"/>
            </w:r>
          </w:hyperlink>
        </w:p>
        <w:p w:rsidR="00D10B3E" w:rsidRPr="00D10B3E" w:rsidRDefault="007055AF" w:rsidP="00D10B3E">
          <w:pPr>
            <w:pStyle w:val="ndice3"/>
            <w:rPr>
              <w:rStyle w:val="Hiperligao"/>
            </w:rPr>
          </w:pPr>
          <w:hyperlink w:anchor="_Toc51072536" w:history="1">
            <w:r w:rsidR="00D10B3E" w:rsidRPr="00D10B3E">
              <w:rPr>
                <w:rStyle w:val="Hiperligao"/>
              </w:rPr>
              <w:t>3.3.3. Cadre Institutionnel de Mise en Œuvre du sous-projet n°2</w:t>
            </w:r>
            <w:r w:rsidR="00D10B3E" w:rsidRPr="00D10B3E">
              <w:rPr>
                <w:rStyle w:val="Hiperligao"/>
                <w:webHidden/>
              </w:rPr>
              <w:tab/>
            </w:r>
            <w:r w:rsidR="00D10B3E" w:rsidRPr="00D10B3E">
              <w:rPr>
                <w:rStyle w:val="Hiperligao"/>
                <w:webHidden/>
              </w:rPr>
              <w:fldChar w:fldCharType="begin"/>
            </w:r>
            <w:r w:rsidR="00D10B3E" w:rsidRPr="00D10B3E">
              <w:rPr>
                <w:rStyle w:val="Hiperligao"/>
                <w:webHidden/>
              </w:rPr>
              <w:instrText xml:space="preserve"> PAGEREF _Toc51072536 \h </w:instrText>
            </w:r>
            <w:r w:rsidR="00D10B3E" w:rsidRPr="00D10B3E">
              <w:rPr>
                <w:rStyle w:val="Hiperligao"/>
                <w:webHidden/>
              </w:rPr>
            </w:r>
            <w:r w:rsidR="00D10B3E" w:rsidRPr="00D10B3E">
              <w:rPr>
                <w:rStyle w:val="Hiperligao"/>
                <w:webHidden/>
              </w:rPr>
              <w:fldChar w:fldCharType="separate"/>
            </w:r>
            <w:r w:rsidR="00D10B3E" w:rsidRPr="00D10B3E">
              <w:rPr>
                <w:rStyle w:val="Hiperligao"/>
                <w:webHidden/>
              </w:rPr>
              <w:t>84</w:t>
            </w:r>
            <w:r w:rsidR="00D10B3E" w:rsidRPr="00D10B3E">
              <w:rPr>
                <w:rStyle w:val="Hiperligao"/>
                <w:webHidden/>
              </w:rPr>
              <w:fldChar w:fldCharType="end"/>
            </w:r>
          </w:hyperlink>
        </w:p>
        <w:p w:rsidR="00D10B3E" w:rsidRDefault="007055AF" w:rsidP="00D10B3E">
          <w:pPr>
            <w:pStyle w:val="ndice2"/>
            <w:rPr>
              <w:rFonts w:asciiTheme="minorHAnsi" w:eastAsiaTheme="minorEastAsia" w:hAnsiTheme="minorHAnsi" w:cstheme="minorBidi"/>
              <w:sz w:val="22"/>
              <w:szCs w:val="22"/>
            </w:rPr>
          </w:pPr>
          <w:hyperlink w:anchor="_Toc51072537" w:history="1">
            <w:r w:rsidR="00D10B3E" w:rsidRPr="009D7544">
              <w:rPr>
                <w:rStyle w:val="Hiperligao"/>
              </w:rPr>
              <w:t>3.4. POLITIQUE DE SAUVEGARDE DE LA BANQUE MONDIALE</w:t>
            </w:r>
            <w:r w:rsidR="00D10B3E">
              <w:rPr>
                <w:webHidden/>
              </w:rPr>
              <w:tab/>
            </w:r>
            <w:r w:rsidR="00D10B3E">
              <w:rPr>
                <w:webHidden/>
              </w:rPr>
              <w:fldChar w:fldCharType="begin"/>
            </w:r>
            <w:r w:rsidR="00D10B3E">
              <w:rPr>
                <w:webHidden/>
              </w:rPr>
              <w:instrText xml:space="preserve"> PAGEREF _Toc51072537 \h </w:instrText>
            </w:r>
            <w:r w:rsidR="00D10B3E">
              <w:rPr>
                <w:webHidden/>
              </w:rPr>
            </w:r>
            <w:r w:rsidR="00D10B3E">
              <w:rPr>
                <w:webHidden/>
              </w:rPr>
              <w:fldChar w:fldCharType="separate"/>
            </w:r>
            <w:r w:rsidR="00D10B3E">
              <w:rPr>
                <w:webHidden/>
              </w:rPr>
              <w:t>86</w:t>
            </w:r>
            <w:r w:rsidR="00D10B3E">
              <w:rPr>
                <w:webHidden/>
              </w:rPr>
              <w:fldChar w:fldCharType="end"/>
            </w:r>
          </w:hyperlink>
        </w:p>
        <w:p w:rsidR="00D10B3E" w:rsidRDefault="007055AF" w:rsidP="00D10B3E">
          <w:pPr>
            <w:pStyle w:val="ndice2"/>
            <w:rPr>
              <w:rFonts w:asciiTheme="minorHAnsi" w:eastAsiaTheme="minorEastAsia" w:hAnsiTheme="minorHAnsi" w:cstheme="minorBidi"/>
              <w:sz w:val="22"/>
              <w:szCs w:val="22"/>
            </w:rPr>
          </w:pPr>
          <w:hyperlink w:anchor="_Toc51072538" w:history="1">
            <w:r w:rsidR="00D10B3E" w:rsidRPr="009D7544">
              <w:rPr>
                <w:rStyle w:val="Hiperligao"/>
              </w:rPr>
              <w:t>3.5. LES DIRECTIVES ENVIRONNEMENTALES, SANITAIRES ET SECURITAIRES (EHS) GENERALES ET SPECIFIQUES DE LA BANQUE MONDIALE</w:t>
            </w:r>
            <w:r w:rsidR="00D10B3E">
              <w:rPr>
                <w:webHidden/>
              </w:rPr>
              <w:tab/>
            </w:r>
            <w:r w:rsidR="00D10B3E">
              <w:rPr>
                <w:webHidden/>
              </w:rPr>
              <w:fldChar w:fldCharType="begin"/>
            </w:r>
            <w:r w:rsidR="00D10B3E">
              <w:rPr>
                <w:webHidden/>
              </w:rPr>
              <w:instrText xml:space="preserve"> PAGEREF _Toc51072538 \h </w:instrText>
            </w:r>
            <w:r w:rsidR="00D10B3E">
              <w:rPr>
                <w:webHidden/>
              </w:rPr>
            </w:r>
            <w:r w:rsidR="00D10B3E">
              <w:rPr>
                <w:webHidden/>
              </w:rPr>
              <w:fldChar w:fldCharType="separate"/>
            </w:r>
            <w:r w:rsidR="00D10B3E">
              <w:rPr>
                <w:webHidden/>
              </w:rPr>
              <w:t>87</w:t>
            </w:r>
            <w:r w:rsidR="00D10B3E">
              <w:rPr>
                <w:webHidden/>
              </w:rPr>
              <w:fldChar w:fldCharType="end"/>
            </w:r>
          </w:hyperlink>
        </w:p>
        <w:p w:rsidR="00D10B3E" w:rsidRDefault="007055AF" w:rsidP="00D10B3E">
          <w:pPr>
            <w:pStyle w:val="ndice2"/>
            <w:rPr>
              <w:rFonts w:asciiTheme="minorHAnsi" w:eastAsiaTheme="minorEastAsia" w:hAnsiTheme="minorHAnsi" w:cstheme="minorBidi"/>
              <w:sz w:val="22"/>
              <w:szCs w:val="22"/>
            </w:rPr>
          </w:pPr>
          <w:hyperlink w:anchor="_Toc51072539" w:history="1">
            <w:r w:rsidR="00D10B3E" w:rsidRPr="009D7544">
              <w:rPr>
                <w:rStyle w:val="Hiperligao"/>
              </w:rPr>
              <w:t>3.6. DIRECTIVES DE QUALITÉ POUR L’EAU DE BOISSON DE l’OMS</w:t>
            </w:r>
            <w:r w:rsidR="00D10B3E">
              <w:rPr>
                <w:webHidden/>
              </w:rPr>
              <w:tab/>
            </w:r>
            <w:r w:rsidR="00D10B3E">
              <w:rPr>
                <w:webHidden/>
              </w:rPr>
              <w:fldChar w:fldCharType="begin"/>
            </w:r>
            <w:r w:rsidR="00D10B3E">
              <w:rPr>
                <w:webHidden/>
              </w:rPr>
              <w:instrText xml:space="preserve"> PAGEREF _Toc51072539 \h </w:instrText>
            </w:r>
            <w:r w:rsidR="00D10B3E">
              <w:rPr>
                <w:webHidden/>
              </w:rPr>
            </w:r>
            <w:r w:rsidR="00D10B3E">
              <w:rPr>
                <w:webHidden/>
              </w:rPr>
              <w:fldChar w:fldCharType="separate"/>
            </w:r>
            <w:r w:rsidR="00D10B3E">
              <w:rPr>
                <w:webHidden/>
              </w:rPr>
              <w:t>91</w:t>
            </w:r>
            <w:r w:rsidR="00D10B3E">
              <w:rPr>
                <w:webHidden/>
              </w:rPr>
              <w:fldChar w:fldCharType="end"/>
            </w:r>
          </w:hyperlink>
        </w:p>
        <w:p w:rsidR="00D10B3E" w:rsidRDefault="007055AF">
          <w:pPr>
            <w:pStyle w:val="ndice1"/>
            <w:rPr>
              <w:rFonts w:asciiTheme="minorHAnsi" w:eastAsiaTheme="minorEastAsia" w:hAnsiTheme="minorHAnsi" w:cstheme="minorBidi"/>
              <w:b w:val="0"/>
              <w:bCs w:val="0"/>
              <w:caps w:val="0"/>
              <w:color w:val="auto"/>
              <w:sz w:val="22"/>
              <w:szCs w:val="22"/>
              <w:lang w:eastAsia="fr-FR"/>
              <w14:shadow w14:blurRad="0" w14:dist="0" w14:dir="0" w14:sx="0" w14:sy="0" w14:kx="0" w14:ky="0" w14:algn="none">
                <w14:srgbClr w14:val="000000"/>
              </w14:shadow>
              <w14:textOutline w14:w="0" w14:cap="rnd" w14:cmpd="sng" w14:algn="ctr">
                <w14:noFill/>
                <w14:prstDash w14:val="solid"/>
                <w14:bevel/>
              </w14:textOutline>
            </w:rPr>
          </w:pPr>
          <w:hyperlink w:anchor="_Toc51072540" w:history="1">
            <w:r w:rsidR="00D10B3E" w:rsidRPr="009D7544">
              <w:rPr>
                <w:rStyle w:val="Hiperligao"/>
              </w:rPr>
              <w:t>4 * PRÉSENTATION ET ANALYSE DES ALTERNATIVES *</w:t>
            </w:r>
            <w:r w:rsidR="00D10B3E">
              <w:rPr>
                <w:webHidden/>
              </w:rPr>
              <w:tab/>
            </w:r>
            <w:r w:rsidR="00D10B3E">
              <w:rPr>
                <w:webHidden/>
              </w:rPr>
              <w:fldChar w:fldCharType="begin"/>
            </w:r>
            <w:r w:rsidR="00D10B3E">
              <w:rPr>
                <w:webHidden/>
              </w:rPr>
              <w:instrText xml:space="preserve"> PAGEREF _Toc51072540 \h </w:instrText>
            </w:r>
            <w:r w:rsidR="00D10B3E">
              <w:rPr>
                <w:webHidden/>
              </w:rPr>
            </w:r>
            <w:r w:rsidR="00D10B3E">
              <w:rPr>
                <w:webHidden/>
              </w:rPr>
              <w:fldChar w:fldCharType="separate"/>
            </w:r>
            <w:r w:rsidR="00D10B3E">
              <w:rPr>
                <w:webHidden/>
              </w:rPr>
              <w:t>92</w:t>
            </w:r>
            <w:r w:rsidR="00D10B3E">
              <w:rPr>
                <w:webHidden/>
              </w:rPr>
              <w:fldChar w:fldCharType="end"/>
            </w:r>
          </w:hyperlink>
        </w:p>
        <w:p w:rsidR="00D10B3E" w:rsidRDefault="007055AF" w:rsidP="00D10B3E">
          <w:pPr>
            <w:pStyle w:val="ndice2"/>
            <w:rPr>
              <w:rFonts w:asciiTheme="minorHAnsi" w:eastAsiaTheme="minorEastAsia" w:hAnsiTheme="minorHAnsi" w:cstheme="minorBidi"/>
              <w:sz w:val="22"/>
              <w:szCs w:val="22"/>
            </w:rPr>
          </w:pPr>
          <w:hyperlink w:anchor="_Toc51072541" w:history="1">
            <w:r w:rsidR="00D10B3E" w:rsidRPr="009D7544">
              <w:rPr>
                <w:rStyle w:val="Hiperligao"/>
              </w:rPr>
              <w:t>4.1. RAISONS DES CHOIX DU SOUS-PROJET N°2 ET DES DIFFERENTS SITES</w:t>
            </w:r>
            <w:r w:rsidR="00D10B3E">
              <w:rPr>
                <w:webHidden/>
              </w:rPr>
              <w:tab/>
            </w:r>
            <w:r w:rsidR="00D10B3E">
              <w:rPr>
                <w:webHidden/>
              </w:rPr>
              <w:fldChar w:fldCharType="begin"/>
            </w:r>
            <w:r w:rsidR="00D10B3E">
              <w:rPr>
                <w:webHidden/>
              </w:rPr>
              <w:instrText xml:space="preserve"> PAGEREF _Toc51072541 \h </w:instrText>
            </w:r>
            <w:r w:rsidR="00D10B3E">
              <w:rPr>
                <w:webHidden/>
              </w:rPr>
            </w:r>
            <w:r w:rsidR="00D10B3E">
              <w:rPr>
                <w:webHidden/>
              </w:rPr>
              <w:fldChar w:fldCharType="separate"/>
            </w:r>
            <w:r w:rsidR="00D10B3E">
              <w:rPr>
                <w:webHidden/>
              </w:rPr>
              <w:t>92</w:t>
            </w:r>
            <w:r w:rsidR="00D10B3E">
              <w:rPr>
                <w:webHidden/>
              </w:rPr>
              <w:fldChar w:fldCharType="end"/>
            </w:r>
          </w:hyperlink>
        </w:p>
        <w:p w:rsidR="00D10B3E" w:rsidRDefault="007055AF" w:rsidP="00D10B3E">
          <w:pPr>
            <w:pStyle w:val="ndice2"/>
            <w:rPr>
              <w:rFonts w:asciiTheme="minorHAnsi" w:eastAsiaTheme="minorEastAsia" w:hAnsiTheme="minorHAnsi" w:cstheme="minorBidi"/>
              <w:sz w:val="22"/>
              <w:szCs w:val="22"/>
            </w:rPr>
          </w:pPr>
          <w:hyperlink w:anchor="_Toc51072542" w:history="1">
            <w:r w:rsidR="00D10B3E" w:rsidRPr="009D7544">
              <w:rPr>
                <w:rStyle w:val="Hiperligao"/>
              </w:rPr>
              <w:t>4.2. PRESENTATION ET ANALYSE DES ALTERNATIVES</w:t>
            </w:r>
            <w:r w:rsidR="00D10B3E">
              <w:rPr>
                <w:webHidden/>
              </w:rPr>
              <w:tab/>
            </w:r>
            <w:r w:rsidR="00D10B3E">
              <w:rPr>
                <w:webHidden/>
              </w:rPr>
              <w:fldChar w:fldCharType="begin"/>
            </w:r>
            <w:r w:rsidR="00D10B3E">
              <w:rPr>
                <w:webHidden/>
              </w:rPr>
              <w:instrText xml:space="preserve"> PAGEREF _Toc51072542 \h </w:instrText>
            </w:r>
            <w:r w:rsidR="00D10B3E">
              <w:rPr>
                <w:webHidden/>
              </w:rPr>
            </w:r>
            <w:r w:rsidR="00D10B3E">
              <w:rPr>
                <w:webHidden/>
              </w:rPr>
              <w:fldChar w:fldCharType="separate"/>
            </w:r>
            <w:r w:rsidR="00D10B3E">
              <w:rPr>
                <w:webHidden/>
              </w:rPr>
              <w:t>92</w:t>
            </w:r>
            <w:r w:rsidR="00D10B3E">
              <w:rPr>
                <w:webHidden/>
              </w:rPr>
              <w:fldChar w:fldCharType="end"/>
            </w:r>
          </w:hyperlink>
        </w:p>
        <w:p w:rsidR="00D10B3E" w:rsidRDefault="007055AF" w:rsidP="00D10B3E">
          <w:pPr>
            <w:pStyle w:val="ndice2"/>
            <w:rPr>
              <w:rFonts w:asciiTheme="minorHAnsi" w:eastAsiaTheme="minorEastAsia" w:hAnsiTheme="minorHAnsi" w:cstheme="minorBidi"/>
              <w:sz w:val="22"/>
              <w:szCs w:val="22"/>
            </w:rPr>
          </w:pPr>
          <w:hyperlink w:anchor="_Toc51072543" w:history="1">
            <w:r w:rsidR="00D10B3E" w:rsidRPr="009D7544">
              <w:rPr>
                <w:rStyle w:val="Hiperligao"/>
              </w:rPr>
              <w:t>4.3. ANALYSE MULTICRITERE</w:t>
            </w:r>
            <w:r w:rsidR="00D10B3E">
              <w:rPr>
                <w:webHidden/>
              </w:rPr>
              <w:tab/>
            </w:r>
            <w:r w:rsidR="00D10B3E">
              <w:rPr>
                <w:webHidden/>
              </w:rPr>
              <w:fldChar w:fldCharType="begin"/>
            </w:r>
            <w:r w:rsidR="00D10B3E">
              <w:rPr>
                <w:webHidden/>
              </w:rPr>
              <w:instrText xml:space="preserve"> PAGEREF _Toc51072543 \h </w:instrText>
            </w:r>
            <w:r w:rsidR="00D10B3E">
              <w:rPr>
                <w:webHidden/>
              </w:rPr>
            </w:r>
            <w:r w:rsidR="00D10B3E">
              <w:rPr>
                <w:webHidden/>
              </w:rPr>
              <w:fldChar w:fldCharType="separate"/>
            </w:r>
            <w:r w:rsidR="00D10B3E">
              <w:rPr>
                <w:webHidden/>
              </w:rPr>
              <w:t>93</w:t>
            </w:r>
            <w:r w:rsidR="00D10B3E">
              <w:rPr>
                <w:webHidden/>
              </w:rPr>
              <w:fldChar w:fldCharType="end"/>
            </w:r>
          </w:hyperlink>
        </w:p>
        <w:p w:rsidR="00D10B3E" w:rsidRDefault="007055AF" w:rsidP="00D10B3E">
          <w:pPr>
            <w:pStyle w:val="ndice2"/>
            <w:rPr>
              <w:rFonts w:asciiTheme="minorHAnsi" w:eastAsiaTheme="minorEastAsia" w:hAnsiTheme="minorHAnsi" w:cstheme="minorBidi"/>
              <w:sz w:val="22"/>
              <w:szCs w:val="22"/>
            </w:rPr>
          </w:pPr>
          <w:hyperlink w:anchor="_Toc51072544" w:history="1">
            <w:r w:rsidR="00D10B3E" w:rsidRPr="009D7544">
              <w:rPr>
                <w:rStyle w:val="Hiperligao"/>
              </w:rPr>
              <w:t>4.4 RESULTATS DE L’ANALYSE</w:t>
            </w:r>
            <w:r w:rsidR="00D10B3E">
              <w:rPr>
                <w:webHidden/>
              </w:rPr>
              <w:tab/>
            </w:r>
            <w:r w:rsidR="00D10B3E">
              <w:rPr>
                <w:webHidden/>
              </w:rPr>
              <w:fldChar w:fldCharType="begin"/>
            </w:r>
            <w:r w:rsidR="00D10B3E">
              <w:rPr>
                <w:webHidden/>
              </w:rPr>
              <w:instrText xml:space="preserve"> PAGEREF _Toc51072544 \h </w:instrText>
            </w:r>
            <w:r w:rsidR="00D10B3E">
              <w:rPr>
                <w:webHidden/>
              </w:rPr>
            </w:r>
            <w:r w:rsidR="00D10B3E">
              <w:rPr>
                <w:webHidden/>
              </w:rPr>
              <w:fldChar w:fldCharType="separate"/>
            </w:r>
            <w:r w:rsidR="00D10B3E">
              <w:rPr>
                <w:webHidden/>
              </w:rPr>
              <w:t>99</w:t>
            </w:r>
            <w:r w:rsidR="00D10B3E">
              <w:rPr>
                <w:webHidden/>
              </w:rPr>
              <w:fldChar w:fldCharType="end"/>
            </w:r>
          </w:hyperlink>
        </w:p>
        <w:p w:rsidR="00D10B3E" w:rsidRDefault="007055AF">
          <w:pPr>
            <w:pStyle w:val="ndice1"/>
            <w:rPr>
              <w:rFonts w:asciiTheme="minorHAnsi" w:eastAsiaTheme="minorEastAsia" w:hAnsiTheme="minorHAnsi" w:cstheme="minorBidi"/>
              <w:b w:val="0"/>
              <w:bCs w:val="0"/>
              <w:caps w:val="0"/>
              <w:color w:val="auto"/>
              <w:sz w:val="22"/>
              <w:szCs w:val="22"/>
              <w:lang w:eastAsia="fr-FR"/>
              <w14:shadow w14:blurRad="0" w14:dist="0" w14:dir="0" w14:sx="0" w14:sy="0" w14:kx="0" w14:ky="0" w14:algn="none">
                <w14:srgbClr w14:val="000000"/>
              </w14:shadow>
              <w14:textOutline w14:w="0" w14:cap="rnd" w14:cmpd="sng" w14:algn="ctr">
                <w14:noFill/>
                <w14:prstDash w14:val="solid"/>
                <w14:bevel/>
              </w14:textOutline>
            </w:rPr>
          </w:pPr>
          <w:hyperlink w:anchor="_Toc51072545" w:history="1">
            <w:r w:rsidR="00D10B3E" w:rsidRPr="009D7544">
              <w:rPr>
                <w:rStyle w:val="Hiperligao"/>
              </w:rPr>
              <w:t>5 * DESCRIPTION DU MILIEU RECEPTEUR *</w:t>
            </w:r>
            <w:r w:rsidR="00D10B3E">
              <w:rPr>
                <w:webHidden/>
              </w:rPr>
              <w:tab/>
            </w:r>
            <w:r w:rsidR="00D10B3E">
              <w:rPr>
                <w:webHidden/>
              </w:rPr>
              <w:fldChar w:fldCharType="begin"/>
            </w:r>
            <w:r w:rsidR="00D10B3E">
              <w:rPr>
                <w:webHidden/>
              </w:rPr>
              <w:instrText xml:space="preserve"> PAGEREF _Toc51072545 \h </w:instrText>
            </w:r>
            <w:r w:rsidR="00D10B3E">
              <w:rPr>
                <w:webHidden/>
              </w:rPr>
            </w:r>
            <w:r w:rsidR="00D10B3E">
              <w:rPr>
                <w:webHidden/>
              </w:rPr>
              <w:fldChar w:fldCharType="separate"/>
            </w:r>
            <w:r w:rsidR="00D10B3E">
              <w:rPr>
                <w:webHidden/>
              </w:rPr>
              <w:t>100</w:t>
            </w:r>
            <w:r w:rsidR="00D10B3E">
              <w:rPr>
                <w:webHidden/>
              </w:rPr>
              <w:fldChar w:fldCharType="end"/>
            </w:r>
          </w:hyperlink>
        </w:p>
        <w:p w:rsidR="00D10B3E" w:rsidRDefault="007055AF" w:rsidP="00D10B3E">
          <w:pPr>
            <w:pStyle w:val="ndice2"/>
            <w:rPr>
              <w:rFonts w:asciiTheme="minorHAnsi" w:eastAsiaTheme="minorEastAsia" w:hAnsiTheme="minorHAnsi" w:cstheme="minorBidi"/>
              <w:sz w:val="22"/>
              <w:szCs w:val="22"/>
            </w:rPr>
          </w:pPr>
          <w:hyperlink w:anchor="_Toc51072546" w:history="1">
            <w:r w:rsidR="00D10B3E" w:rsidRPr="009D7544">
              <w:rPr>
                <w:rStyle w:val="Hiperligao"/>
              </w:rPr>
              <w:t>5.1. SITUATION GEOGRAPHIQUE</w:t>
            </w:r>
            <w:r w:rsidR="00D10B3E">
              <w:rPr>
                <w:webHidden/>
              </w:rPr>
              <w:tab/>
            </w:r>
            <w:r w:rsidR="00D10B3E">
              <w:rPr>
                <w:webHidden/>
              </w:rPr>
              <w:fldChar w:fldCharType="begin"/>
            </w:r>
            <w:r w:rsidR="00D10B3E">
              <w:rPr>
                <w:webHidden/>
              </w:rPr>
              <w:instrText xml:space="preserve"> PAGEREF _Toc51072546 \h </w:instrText>
            </w:r>
            <w:r w:rsidR="00D10B3E">
              <w:rPr>
                <w:webHidden/>
              </w:rPr>
            </w:r>
            <w:r w:rsidR="00D10B3E">
              <w:rPr>
                <w:webHidden/>
              </w:rPr>
              <w:fldChar w:fldCharType="separate"/>
            </w:r>
            <w:r w:rsidR="00D10B3E">
              <w:rPr>
                <w:webHidden/>
              </w:rPr>
              <w:t>100</w:t>
            </w:r>
            <w:r w:rsidR="00D10B3E">
              <w:rPr>
                <w:webHidden/>
              </w:rPr>
              <w:fldChar w:fldCharType="end"/>
            </w:r>
          </w:hyperlink>
        </w:p>
        <w:p w:rsidR="00D10B3E" w:rsidRDefault="007055AF" w:rsidP="00D10B3E">
          <w:pPr>
            <w:pStyle w:val="ndice3"/>
            <w:rPr>
              <w:rFonts w:asciiTheme="minorHAnsi" w:eastAsiaTheme="minorEastAsia" w:hAnsiTheme="minorHAnsi"/>
              <w:sz w:val="22"/>
              <w:szCs w:val="22"/>
            </w:rPr>
          </w:pPr>
          <w:hyperlink w:anchor="_Toc51072547" w:history="1">
            <w:r w:rsidR="00D10B3E" w:rsidRPr="009D7544">
              <w:rPr>
                <w:rStyle w:val="Hiperligao"/>
                <w:b/>
              </w:rPr>
              <w:t>5.1.1. Historique</w:t>
            </w:r>
            <w:r w:rsidR="00D10B3E">
              <w:rPr>
                <w:webHidden/>
              </w:rPr>
              <w:tab/>
            </w:r>
            <w:r w:rsidR="00D10B3E">
              <w:rPr>
                <w:webHidden/>
              </w:rPr>
              <w:fldChar w:fldCharType="begin"/>
            </w:r>
            <w:r w:rsidR="00D10B3E">
              <w:rPr>
                <w:webHidden/>
              </w:rPr>
              <w:instrText xml:space="preserve"> PAGEREF _Toc51072547 \h </w:instrText>
            </w:r>
            <w:r w:rsidR="00D10B3E">
              <w:rPr>
                <w:webHidden/>
              </w:rPr>
            </w:r>
            <w:r w:rsidR="00D10B3E">
              <w:rPr>
                <w:webHidden/>
              </w:rPr>
              <w:fldChar w:fldCharType="separate"/>
            </w:r>
            <w:r w:rsidR="00D10B3E">
              <w:rPr>
                <w:webHidden/>
              </w:rPr>
              <w:t>102</w:t>
            </w:r>
            <w:r w:rsidR="00D10B3E">
              <w:rPr>
                <w:webHidden/>
              </w:rPr>
              <w:fldChar w:fldCharType="end"/>
            </w:r>
          </w:hyperlink>
        </w:p>
        <w:p w:rsidR="00D10B3E" w:rsidRDefault="007055AF" w:rsidP="00D10B3E">
          <w:pPr>
            <w:pStyle w:val="ndice2"/>
            <w:rPr>
              <w:rFonts w:asciiTheme="minorHAnsi" w:eastAsiaTheme="minorEastAsia" w:hAnsiTheme="minorHAnsi" w:cstheme="minorBidi"/>
              <w:sz w:val="22"/>
              <w:szCs w:val="22"/>
            </w:rPr>
          </w:pPr>
          <w:hyperlink w:anchor="_Toc51072548" w:history="1">
            <w:r w:rsidR="00D10B3E" w:rsidRPr="009D7544">
              <w:rPr>
                <w:rStyle w:val="Hiperligao"/>
              </w:rPr>
              <w:t>5.3. ENVIRONNEMENT PHYSIQUE ET BIOPHYSIQUE DE LA ZONE D’INFLUENCE</w:t>
            </w:r>
            <w:r w:rsidR="00D10B3E">
              <w:rPr>
                <w:webHidden/>
              </w:rPr>
              <w:tab/>
            </w:r>
            <w:r w:rsidR="00D10B3E">
              <w:rPr>
                <w:webHidden/>
              </w:rPr>
              <w:fldChar w:fldCharType="begin"/>
            </w:r>
            <w:r w:rsidR="00D10B3E">
              <w:rPr>
                <w:webHidden/>
              </w:rPr>
              <w:instrText xml:space="preserve"> PAGEREF _Toc51072548 \h </w:instrText>
            </w:r>
            <w:r w:rsidR="00D10B3E">
              <w:rPr>
                <w:webHidden/>
              </w:rPr>
            </w:r>
            <w:r w:rsidR="00D10B3E">
              <w:rPr>
                <w:webHidden/>
              </w:rPr>
              <w:fldChar w:fldCharType="separate"/>
            </w:r>
            <w:r w:rsidR="00D10B3E">
              <w:rPr>
                <w:webHidden/>
              </w:rPr>
              <w:t>102</w:t>
            </w:r>
            <w:r w:rsidR="00D10B3E">
              <w:rPr>
                <w:webHidden/>
              </w:rPr>
              <w:fldChar w:fldCharType="end"/>
            </w:r>
          </w:hyperlink>
        </w:p>
        <w:p w:rsidR="00D10B3E" w:rsidRPr="00D10B3E" w:rsidRDefault="007055AF" w:rsidP="00D10B3E">
          <w:pPr>
            <w:pStyle w:val="ndice3"/>
            <w:rPr>
              <w:rStyle w:val="Hiperligao"/>
            </w:rPr>
          </w:pPr>
          <w:hyperlink w:anchor="_Toc51072549" w:history="1">
            <w:r w:rsidR="00D10B3E" w:rsidRPr="00D10B3E">
              <w:rPr>
                <w:rStyle w:val="Hiperligao"/>
              </w:rPr>
              <w:t>5.3.1. Le Climat</w:t>
            </w:r>
            <w:r w:rsidR="00D10B3E" w:rsidRPr="00D10B3E">
              <w:rPr>
                <w:rStyle w:val="Hiperligao"/>
                <w:webHidden/>
              </w:rPr>
              <w:tab/>
            </w:r>
            <w:r w:rsidR="00D10B3E" w:rsidRPr="00D10B3E">
              <w:rPr>
                <w:rStyle w:val="Hiperligao"/>
                <w:webHidden/>
              </w:rPr>
              <w:fldChar w:fldCharType="begin"/>
            </w:r>
            <w:r w:rsidR="00D10B3E" w:rsidRPr="00D10B3E">
              <w:rPr>
                <w:rStyle w:val="Hiperligao"/>
                <w:webHidden/>
              </w:rPr>
              <w:instrText xml:space="preserve"> PAGEREF _Toc51072549 \h </w:instrText>
            </w:r>
            <w:r w:rsidR="00D10B3E" w:rsidRPr="00D10B3E">
              <w:rPr>
                <w:rStyle w:val="Hiperligao"/>
                <w:webHidden/>
              </w:rPr>
            </w:r>
            <w:r w:rsidR="00D10B3E" w:rsidRPr="00D10B3E">
              <w:rPr>
                <w:rStyle w:val="Hiperligao"/>
                <w:webHidden/>
              </w:rPr>
              <w:fldChar w:fldCharType="separate"/>
            </w:r>
            <w:r w:rsidR="00D10B3E" w:rsidRPr="00D10B3E">
              <w:rPr>
                <w:rStyle w:val="Hiperligao"/>
                <w:webHidden/>
              </w:rPr>
              <w:t>102</w:t>
            </w:r>
            <w:r w:rsidR="00D10B3E" w:rsidRPr="00D10B3E">
              <w:rPr>
                <w:rStyle w:val="Hiperligao"/>
                <w:webHidden/>
              </w:rPr>
              <w:fldChar w:fldCharType="end"/>
            </w:r>
          </w:hyperlink>
        </w:p>
        <w:p w:rsidR="00D10B3E" w:rsidRPr="00D10B3E" w:rsidRDefault="007055AF" w:rsidP="00D10B3E">
          <w:pPr>
            <w:pStyle w:val="ndice3"/>
            <w:rPr>
              <w:rStyle w:val="Hiperligao"/>
            </w:rPr>
          </w:pPr>
          <w:hyperlink w:anchor="_Toc51072550" w:history="1">
            <w:r w:rsidR="00D10B3E" w:rsidRPr="00D10B3E">
              <w:rPr>
                <w:rStyle w:val="Hiperligao"/>
              </w:rPr>
              <w:t>5.3.2. Relief</w:t>
            </w:r>
            <w:r w:rsidR="00D10B3E" w:rsidRPr="00D10B3E">
              <w:rPr>
                <w:rStyle w:val="Hiperligao"/>
                <w:webHidden/>
              </w:rPr>
              <w:tab/>
            </w:r>
            <w:r w:rsidR="00D10B3E" w:rsidRPr="00D10B3E">
              <w:rPr>
                <w:rStyle w:val="Hiperligao"/>
                <w:webHidden/>
              </w:rPr>
              <w:fldChar w:fldCharType="begin"/>
            </w:r>
            <w:r w:rsidR="00D10B3E" w:rsidRPr="00D10B3E">
              <w:rPr>
                <w:rStyle w:val="Hiperligao"/>
                <w:webHidden/>
              </w:rPr>
              <w:instrText xml:space="preserve"> PAGEREF _Toc51072550 \h </w:instrText>
            </w:r>
            <w:r w:rsidR="00D10B3E" w:rsidRPr="00D10B3E">
              <w:rPr>
                <w:rStyle w:val="Hiperligao"/>
                <w:webHidden/>
              </w:rPr>
            </w:r>
            <w:r w:rsidR="00D10B3E" w:rsidRPr="00D10B3E">
              <w:rPr>
                <w:rStyle w:val="Hiperligao"/>
                <w:webHidden/>
              </w:rPr>
              <w:fldChar w:fldCharType="separate"/>
            </w:r>
            <w:r w:rsidR="00D10B3E" w:rsidRPr="00D10B3E">
              <w:rPr>
                <w:rStyle w:val="Hiperligao"/>
                <w:webHidden/>
              </w:rPr>
              <w:t>104</w:t>
            </w:r>
            <w:r w:rsidR="00D10B3E" w:rsidRPr="00D10B3E">
              <w:rPr>
                <w:rStyle w:val="Hiperligao"/>
                <w:webHidden/>
              </w:rPr>
              <w:fldChar w:fldCharType="end"/>
            </w:r>
          </w:hyperlink>
        </w:p>
        <w:p w:rsidR="00D10B3E" w:rsidRPr="00D10B3E" w:rsidRDefault="007055AF" w:rsidP="00D10B3E">
          <w:pPr>
            <w:pStyle w:val="ndice3"/>
            <w:rPr>
              <w:rStyle w:val="Hiperligao"/>
            </w:rPr>
          </w:pPr>
          <w:hyperlink w:anchor="_Toc51072551" w:history="1">
            <w:r w:rsidR="00D10B3E" w:rsidRPr="00D10B3E">
              <w:rPr>
                <w:rStyle w:val="Hiperligao"/>
              </w:rPr>
              <w:t>5.3.3. Géologie</w:t>
            </w:r>
            <w:r w:rsidR="00D10B3E" w:rsidRPr="00D10B3E">
              <w:rPr>
                <w:rStyle w:val="Hiperligao"/>
                <w:webHidden/>
              </w:rPr>
              <w:tab/>
            </w:r>
            <w:r w:rsidR="00D10B3E" w:rsidRPr="00D10B3E">
              <w:rPr>
                <w:rStyle w:val="Hiperligao"/>
                <w:webHidden/>
              </w:rPr>
              <w:fldChar w:fldCharType="begin"/>
            </w:r>
            <w:r w:rsidR="00D10B3E" w:rsidRPr="00D10B3E">
              <w:rPr>
                <w:rStyle w:val="Hiperligao"/>
                <w:webHidden/>
              </w:rPr>
              <w:instrText xml:space="preserve"> PAGEREF _Toc51072551 \h </w:instrText>
            </w:r>
            <w:r w:rsidR="00D10B3E" w:rsidRPr="00D10B3E">
              <w:rPr>
                <w:rStyle w:val="Hiperligao"/>
                <w:webHidden/>
              </w:rPr>
            </w:r>
            <w:r w:rsidR="00D10B3E" w:rsidRPr="00D10B3E">
              <w:rPr>
                <w:rStyle w:val="Hiperligao"/>
                <w:webHidden/>
              </w:rPr>
              <w:fldChar w:fldCharType="separate"/>
            </w:r>
            <w:r w:rsidR="00D10B3E" w:rsidRPr="00D10B3E">
              <w:rPr>
                <w:rStyle w:val="Hiperligao"/>
                <w:webHidden/>
              </w:rPr>
              <w:t>105</w:t>
            </w:r>
            <w:r w:rsidR="00D10B3E" w:rsidRPr="00D10B3E">
              <w:rPr>
                <w:rStyle w:val="Hiperligao"/>
                <w:webHidden/>
              </w:rPr>
              <w:fldChar w:fldCharType="end"/>
            </w:r>
          </w:hyperlink>
        </w:p>
        <w:p w:rsidR="00D10B3E" w:rsidRPr="00D10B3E" w:rsidRDefault="007055AF" w:rsidP="00D10B3E">
          <w:pPr>
            <w:pStyle w:val="ndice3"/>
            <w:rPr>
              <w:rStyle w:val="Hiperligao"/>
            </w:rPr>
          </w:pPr>
          <w:hyperlink w:anchor="_Toc51072552" w:history="1">
            <w:r w:rsidR="00D10B3E" w:rsidRPr="00D10B3E">
              <w:rPr>
                <w:rStyle w:val="Hiperligao"/>
              </w:rPr>
              <w:t>5.3.4. Le sol</w:t>
            </w:r>
            <w:r w:rsidR="00D10B3E" w:rsidRPr="00D10B3E">
              <w:rPr>
                <w:rStyle w:val="Hiperligao"/>
                <w:webHidden/>
              </w:rPr>
              <w:tab/>
            </w:r>
            <w:r w:rsidR="00D10B3E" w:rsidRPr="00D10B3E">
              <w:rPr>
                <w:rStyle w:val="Hiperligao"/>
                <w:webHidden/>
              </w:rPr>
              <w:fldChar w:fldCharType="begin"/>
            </w:r>
            <w:r w:rsidR="00D10B3E" w:rsidRPr="00D10B3E">
              <w:rPr>
                <w:rStyle w:val="Hiperligao"/>
                <w:webHidden/>
              </w:rPr>
              <w:instrText xml:space="preserve"> PAGEREF _Toc51072552 \h </w:instrText>
            </w:r>
            <w:r w:rsidR="00D10B3E" w:rsidRPr="00D10B3E">
              <w:rPr>
                <w:rStyle w:val="Hiperligao"/>
                <w:webHidden/>
              </w:rPr>
            </w:r>
            <w:r w:rsidR="00D10B3E" w:rsidRPr="00D10B3E">
              <w:rPr>
                <w:rStyle w:val="Hiperligao"/>
                <w:webHidden/>
              </w:rPr>
              <w:fldChar w:fldCharType="separate"/>
            </w:r>
            <w:r w:rsidR="00D10B3E" w:rsidRPr="00D10B3E">
              <w:rPr>
                <w:rStyle w:val="Hiperligao"/>
                <w:webHidden/>
              </w:rPr>
              <w:t>105</w:t>
            </w:r>
            <w:r w:rsidR="00D10B3E" w:rsidRPr="00D10B3E">
              <w:rPr>
                <w:rStyle w:val="Hiperligao"/>
                <w:webHidden/>
              </w:rPr>
              <w:fldChar w:fldCharType="end"/>
            </w:r>
          </w:hyperlink>
        </w:p>
        <w:p w:rsidR="00D10B3E" w:rsidRPr="00D10B3E" w:rsidRDefault="007055AF" w:rsidP="00D10B3E">
          <w:pPr>
            <w:pStyle w:val="ndice3"/>
            <w:rPr>
              <w:rStyle w:val="Hiperligao"/>
            </w:rPr>
          </w:pPr>
          <w:hyperlink w:anchor="_Toc51072553" w:history="1">
            <w:r w:rsidR="00D10B3E" w:rsidRPr="00D10B3E">
              <w:rPr>
                <w:rStyle w:val="Hiperligao"/>
              </w:rPr>
              <w:t>5.3.5. L’Air</w:t>
            </w:r>
            <w:r w:rsidR="00D10B3E" w:rsidRPr="00D10B3E">
              <w:rPr>
                <w:rStyle w:val="Hiperligao"/>
                <w:webHidden/>
              </w:rPr>
              <w:tab/>
            </w:r>
            <w:r w:rsidR="00D10B3E" w:rsidRPr="00D10B3E">
              <w:rPr>
                <w:rStyle w:val="Hiperligao"/>
                <w:webHidden/>
              </w:rPr>
              <w:fldChar w:fldCharType="begin"/>
            </w:r>
            <w:r w:rsidR="00D10B3E" w:rsidRPr="00D10B3E">
              <w:rPr>
                <w:rStyle w:val="Hiperligao"/>
                <w:webHidden/>
              </w:rPr>
              <w:instrText xml:space="preserve"> PAGEREF _Toc51072553 \h </w:instrText>
            </w:r>
            <w:r w:rsidR="00D10B3E" w:rsidRPr="00D10B3E">
              <w:rPr>
                <w:rStyle w:val="Hiperligao"/>
                <w:webHidden/>
              </w:rPr>
            </w:r>
            <w:r w:rsidR="00D10B3E" w:rsidRPr="00D10B3E">
              <w:rPr>
                <w:rStyle w:val="Hiperligao"/>
                <w:webHidden/>
              </w:rPr>
              <w:fldChar w:fldCharType="separate"/>
            </w:r>
            <w:r w:rsidR="00D10B3E" w:rsidRPr="00D10B3E">
              <w:rPr>
                <w:rStyle w:val="Hiperligao"/>
                <w:webHidden/>
              </w:rPr>
              <w:t>106</w:t>
            </w:r>
            <w:r w:rsidR="00D10B3E" w:rsidRPr="00D10B3E">
              <w:rPr>
                <w:rStyle w:val="Hiperligao"/>
                <w:webHidden/>
              </w:rPr>
              <w:fldChar w:fldCharType="end"/>
            </w:r>
          </w:hyperlink>
        </w:p>
        <w:p w:rsidR="00D10B3E" w:rsidRPr="00D10B3E" w:rsidRDefault="007055AF" w:rsidP="00D10B3E">
          <w:pPr>
            <w:pStyle w:val="ndice3"/>
            <w:rPr>
              <w:rStyle w:val="Hiperligao"/>
            </w:rPr>
          </w:pPr>
          <w:hyperlink w:anchor="_Toc51072554" w:history="1">
            <w:r w:rsidR="00D10B3E" w:rsidRPr="00D10B3E">
              <w:rPr>
                <w:rStyle w:val="Hiperligao"/>
              </w:rPr>
              <w:t>5.3.6. Hydrographie et Hydrogéologie</w:t>
            </w:r>
            <w:r w:rsidR="00D10B3E" w:rsidRPr="00D10B3E">
              <w:rPr>
                <w:rStyle w:val="Hiperligao"/>
                <w:webHidden/>
              </w:rPr>
              <w:tab/>
            </w:r>
            <w:r w:rsidR="00D10B3E" w:rsidRPr="00D10B3E">
              <w:rPr>
                <w:rStyle w:val="Hiperligao"/>
                <w:webHidden/>
              </w:rPr>
              <w:fldChar w:fldCharType="begin"/>
            </w:r>
            <w:r w:rsidR="00D10B3E" w:rsidRPr="00D10B3E">
              <w:rPr>
                <w:rStyle w:val="Hiperligao"/>
                <w:webHidden/>
              </w:rPr>
              <w:instrText xml:space="preserve"> PAGEREF _Toc51072554 \h </w:instrText>
            </w:r>
            <w:r w:rsidR="00D10B3E" w:rsidRPr="00D10B3E">
              <w:rPr>
                <w:rStyle w:val="Hiperligao"/>
                <w:webHidden/>
              </w:rPr>
            </w:r>
            <w:r w:rsidR="00D10B3E" w:rsidRPr="00D10B3E">
              <w:rPr>
                <w:rStyle w:val="Hiperligao"/>
                <w:webHidden/>
              </w:rPr>
              <w:fldChar w:fldCharType="separate"/>
            </w:r>
            <w:r w:rsidR="00D10B3E" w:rsidRPr="00D10B3E">
              <w:rPr>
                <w:rStyle w:val="Hiperligao"/>
                <w:webHidden/>
              </w:rPr>
              <w:t>106</w:t>
            </w:r>
            <w:r w:rsidR="00D10B3E" w:rsidRPr="00D10B3E">
              <w:rPr>
                <w:rStyle w:val="Hiperligao"/>
                <w:webHidden/>
              </w:rPr>
              <w:fldChar w:fldCharType="end"/>
            </w:r>
          </w:hyperlink>
        </w:p>
        <w:p w:rsidR="00D10B3E" w:rsidRPr="00D10B3E" w:rsidRDefault="007055AF" w:rsidP="00D10B3E">
          <w:pPr>
            <w:pStyle w:val="ndice3"/>
            <w:rPr>
              <w:rStyle w:val="Hiperligao"/>
            </w:rPr>
          </w:pPr>
          <w:hyperlink w:anchor="_Toc51072555" w:history="1">
            <w:r w:rsidR="00D10B3E" w:rsidRPr="00D10B3E">
              <w:rPr>
                <w:rStyle w:val="Hiperligao"/>
              </w:rPr>
              <w:t>5.3.7. Disponibilité de la ressource en Eau</w:t>
            </w:r>
            <w:r w:rsidR="00D10B3E" w:rsidRPr="00D10B3E">
              <w:rPr>
                <w:rStyle w:val="Hiperligao"/>
                <w:webHidden/>
              </w:rPr>
              <w:tab/>
            </w:r>
            <w:r w:rsidR="00D10B3E" w:rsidRPr="00D10B3E">
              <w:rPr>
                <w:rStyle w:val="Hiperligao"/>
                <w:webHidden/>
              </w:rPr>
              <w:fldChar w:fldCharType="begin"/>
            </w:r>
            <w:r w:rsidR="00D10B3E" w:rsidRPr="00D10B3E">
              <w:rPr>
                <w:rStyle w:val="Hiperligao"/>
                <w:webHidden/>
              </w:rPr>
              <w:instrText xml:space="preserve"> PAGEREF _Toc51072555 \h </w:instrText>
            </w:r>
            <w:r w:rsidR="00D10B3E" w:rsidRPr="00D10B3E">
              <w:rPr>
                <w:rStyle w:val="Hiperligao"/>
                <w:webHidden/>
              </w:rPr>
            </w:r>
            <w:r w:rsidR="00D10B3E" w:rsidRPr="00D10B3E">
              <w:rPr>
                <w:rStyle w:val="Hiperligao"/>
                <w:webHidden/>
              </w:rPr>
              <w:fldChar w:fldCharType="separate"/>
            </w:r>
            <w:r w:rsidR="00D10B3E" w:rsidRPr="00D10B3E">
              <w:rPr>
                <w:rStyle w:val="Hiperligao"/>
                <w:webHidden/>
              </w:rPr>
              <w:t>107</w:t>
            </w:r>
            <w:r w:rsidR="00D10B3E" w:rsidRPr="00D10B3E">
              <w:rPr>
                <w:rStyle w:val="Hiperligao"/>
                <w:webHidden/>
              </w:rPr>
              <w:fldChar w:fldCharType="end"/>
            </w:r>
          </w:hyperlink>
        </w:p>
        <w:p w:rsidR="00D10B3E" w:rsidRPr="00D10B3E" w:rsidRDefault="007055AF" w:rsidP="00D10B3E">
          <w:pPr>
            <w:pStyle w:val="ndice3"/>
            <w:rPr>
              <w:rStyle w:val="Hiperligao"/>
            </w:rPr>
          </w:pPr>
          <w:hyperlink w:anchor="_Toc51072556" w:history="1">
            <w:r w:rsidR="00D10B3E" w:rsidRPr="00D10B3E">
              <w:rPr>
                <w:rStyle w:val="Hiperligao"/>
              </w:rPr>
              <w:t>5.3.8. Couvertures végétales et ressources forestières</w:t>
            </w:r>
            <w:r w:rsidR="00D10B3E" w:rsidRPr="00D10B3E">
              <w:rPr>
                <w:rStyle w:val="Hiperligao"/>
                <w:webHidden/>
              </w:rPr>
              <w:tab/>
            </w:r>
            <w:r w:rsidR="00D10B3E" w:rsidRPr="00D10B3E">
              <w:rPr>
                <w:rStyle w:val="Hiperligao"/>
                <w:webHidden/>
              </w:rPr>
              <w:fldChar w:fldCharType="begin"/>
            </w:r>
            <w:r w:rsidR="00D10B3E" w:rsidRPr="00D10B3E">
              <w:rPr>
                <w:rStyle w:val="Hiperligao"/>
                <w:webHidden/>
              </w:rPr>
              <w:instrText xml:space="preserve"> PAGEREF _Toc51072556 \h </w:instrText>
            </w:r>
            <w:r w:rsidR="00D10B3E" w:rsidRPr="00D10B3E">
              <w:rPr>
                <w:rStyle w:val="Hiperligao"/>
                <w:webHidden/>
              </w:rPr>
            </w:r>
            <w:r w:rsidR="00D10B3E" w:rsidRPr="00D10B3E">
              <w:rPr>
                <w:rStyle w:val="Hiperligao"/>
                <w:webHidden/>
              </w:rPr>
              <w:fldChar w:fldCharType="separate"/>
            </w:r>
            <w:r w:rsidR="00D10B3E" w:rsidRPr="00D10B3E">
              <w:rPr>
                <w:rStyle w:val="Hiperligao"/>
                <w:webHidden/>
              </w:rPr>
              <w:t>108</w:t>
            </w:r>
            <w:r w:rsidR="00D10B3E" w:rsidRPr="00D10B3E">
              <w:rPr>
                <w:rStyle w:val="Hiperligao"/>
                <w:webHidden/>
              </w:rPr>
              <w:fldChar w:fldCharType="end"/>
            </w:r>
          </w:hyperlink>
        </w:p>
        <w:p w:rsidR="00D10B3E" w:rsidRPr="00D10B3E" w:rsidRDefault="007055AF" w:rsidP="00D10B3E">
          <w:pPr>
            <w:pStyle w:val="ndice3"/>
            <w:rPr>
              <w:rStyle w:val="Hiperligao"/>
            </w:rPr>
          </w:pPr>
          <w:hyperlink w:anchor="_Toc51072557" w:history="1">
            <w:r w:rsidR="00D10B3E" w:rsidRPr="00D10B3E">
              <w:rPr>
                <w:rStyle w:val="Hiperligao"/>
              </w:rPr>
              <w:t>5.3.9. Les aires protégées</w:t>
            </w:r>
            <w:r w:rsidR="00D10B3E" w:rsidRPr="00D10B3E">
              <w:rPr>
                <w:rStyle w:val="Hiperligao"/>
                <w:webHidden/>
              </w:rPr>
              <w:tab/>
            </w:r>
            <w:r w:rsidR="00D10B3E" w:rsidRPr="00D10B3E">
              <w:rPr>
                <w:rStyle w:val="Hiperligao"/>
                <w:webHidden/>
              </w:rPr>
              <w:fldChar w:fldCharType="begin"/>
            </w:r>
            <w:r w:rsidR="00D10B3E" w:rsidRPr="00D10B3E">
              <w:rPr>
                <w:rStyle w:val="Hiperligao"/>
                <w:webHidden/>
              </w:rPr>
              <w:instrText xml:space="preserve"> PAGEREF _Toc51072557 \h </w:instrText>
            </w:r>
            <w:r w:rsidR="00D10B3E" w:rsidRPr="00D10B3E">
              <w:rPr>
                <w:rStyle w:val="Hiperligao"/>
                <w:webHidden/>
              </w:rPr>
            </w:r>
            <w:r w:rsidR="00D10B3E" w:rsidRPr="00D10B3E">
              <w:rPr>
                <w:rStyle w:val="Hiperligao"/>
                <w:webHidden/>
              </w:rPr>
              <w:fldChar w:fldCharType="separate"/>
            </w:r>
            <w:r w:rsidR="00D10B3E" w:rsidRPr="00D10B3E">
              <w:rPr>
                <w:rStyle w:val="Hiperligao"/>
                <w:webHidden/>
              </w:rPr>
              <w:t>110</w:t>
            </w:r>
            <w:r w:rsidR="00D10B3E" w:rsidRPr="00D10B3E">
              <w:rPr>
                <w:rStyle w:val="Hiperligao"/>
                <w:webHidden/>
              </w:rPr>
              <w:fldChar w:fldCharType="end"/>
            </w:r>
          </w:hyperlink>
        </w:p>
        <w:p w:rsidR="00D10B3E" w:rsidRDefault="007055AF" w:rsidP="00D10B3E">
          <w:pPr>
            <w:pStyle w:val="ndice2"/>
            <w:rPr>
              <w:rFonts w:asciiTheme="minorHAnsi" w:eastAsiaTheme="minorEastAsia" w:hAnsiTheme="minorHAnsi" w:cstheme="minorBidi"/>
              <w:sz w:val="22"/>
              <w:szCs w:val="22"/>
            </w:rPr>
          </w:pPr>
          <w:hyperlink w:anchor="_Toc51072558" w:history="1">
            <w:r w:rsidR="00D10B3E" w:rsidRPr="009D7544">
              <w:rPr>
                <w:rStyle w:val="Hiperligao"/>
              </w:rPr>
              <w:t>5.4. Activités socio-économiques et culturelles de la zone d’implantation du projet</w:t>
            </w:r>
            <w:r w:rsidR="00D10B3E">
              <w:rPr>
                <w:webHidden/>
              </w:rPr>
              <w:tab/>
            </w:r>
            <w:r w:rsidR="00D10B3E">
              <w:rPr>
                <w:webHidden/>
              </w:rPr>
              <w:fldChar w:fldCharType="begin"/>
            </w:r>
            <w:r w:rsidR="00D10B3E">
              <w:rPr>
                <w:webHidden/>
              </w:rPr>
              <w:instrText xml:space="preserve"> PAGEREF _Toc51072558 \h </w:instrText>
            </w:r>
            <w:r w:rsidR="00D10B3E">
              <w:rPr>
                <w:webHidden/>
              </w:rPr>
            </w:r>
            <w:r w:rsidR="00D10B3E">
              <w:rPr>
                <w:webHidden/>
              </w:rPr>
              <w:fldChar w:fldCharType="separate"/>
            </w:r>
            <w:r w:rsidR="00D10B3E">
              <w:rPr>
                <w:webHidden/>
              </w:rPr>
              <w:t>111</w:t>
            </w:r>
            <w:r w:rsidR="00D10B3E">
              <w:rPr>
                <w:webHidden/>
              </w:rPr>
              <w:fldChar w:fldCharType="end"/>
            </w:r>
          </w:hyperlink>
        </w:p>
        <w:p w:rsidR="00D10B3E" w:rsidRPr="00D10B3E" w:rsidRDefault="007055AF" w:rsidP="00D10B3E">
          <w:pPr>
            <w:pStyle w:val="ndice3"/>
            <w:rPr>
              <w:rStyle w:val="Hiperligao"/>
            </w:rPr>
          </w:pPr>
          <w:hyperlink w:anchor="_Toc51072559" w:history="1">
            <w:r w:rsidR="00D10B3E" w:rsidRPr="00D10B3E">
              <w:rPr>
                <w:rStyle w:val="Hiperligao"/>
              </w:rPr>
              <w:t>5.4.1. Répartition Spatiale de la Population et Densité (Censo 2009)</w:t>
            </w:r>
            <w:r w:rsidR="00D10B3E" w:rsidRPr="00D10B3E">
              <w:rPr>
                <w:rStyle w:val="Hiperligao"/>
                <w:webHidden/>
              </w:rPr>
              <w:tab/>
            </w:r>
            <w:r w:rsidR="00D10B3E" w:rsidRPr="00D10B3E">
              <w:rPr>
                <w:rStyle w:val="Hiperligao"/>
                <w:webHidden/>
              </w:rPr>
              <w:fldChar w:fldCharType="begin"/>
            </w:r>
            <w:r w:rsidR="00D10B3E" w:rsidRPr="00D10B3E">
              <w:rPr>
                <w:rStyle w:val="Hiperligao"/>
                <w:webHidden/>
              </w:rPr>
              <w:instrText xml:space="preserve"> PAGEREF _Toc51072559 \h </w:instrText>
            </w:r>
            <w:r w:rsidR="00D10B3E" w:rsidRPr="00D10B3E">
              <w:rPr>
                <w:rStyle w:val="Hiperligao"/>
                <w:webHidden/>
              </w:rPr>
            </w:r>
            <w:r w:rsidR="00D10B3E" w:rsidRPr="00D10B3E">
              <w:rPr>
                <w:rStyle w:val="Hiperligao"/>
                <w:webHidden/>
              </w:rPr>
              <w:fldChar w:fldCharType="separate"/>
            </w:r>
            <w:r w:rsidR="00D10B3E" w:rsidRPr="00D10B3E">
              <w:rPr>
                <w:rStyle w:val="Hiperligao"/>
                <w:webHidden/>
              </w:rPr>
              <w:t>111</w:t>
            </w:r>
            <w:r w:rsidR="00D10B3E" w:rsidRPr="00D10B3E">
              <w:rPr>
                <w:rStyle w:val="Hiperligao"/>
                <w:webHidden/>
              </w:rPr>
              <w:fldChar w:fldCharType="end"/>
            </w:r>
          </w:hyperlink>
        </w:p>
        <w:p w:rsidR="00D10B3E" w:rsidRPr="00D10B3E" w:rsidRDefault="007055AF" w:rsidP="00D10B3E">
          <w:pPr>
            <w:pStyle w:val="ndice3"/>
            <w:rPr>
              <w:rStyle w:val="Hiperligao"/>
            </w:rPr>
          </w:pPr>
          <w:hyperlink w:anchor="_Toc51072560" w:history="1">
            <w:r w:rsidR="00D10B3E" w:rsidRPr="00D10B3E">
              <w:rPr>
                <w:rStyle w:val="Hiperligao"/>
              </w:rPr>
              <w:t>5.4.2.  Ethnies</w:t>
            </w:r>
            <w:r w:rsidR="00D10B3E" w:rsidRPr="00D10B3E">
              <w:rPr>
                <w:rStyle w:val="Hiperligao"/>
                <w:webHidden/>
              </w:rPr>
              <w:tab/>
            </w:r>
            <w:r w:rsidR="00D10B3E" w:rsidRPr="00D10B3E">
              <w:rPr>
                <w:rStyle w:val="Hiperligao"/>
                <w:webHidden/>
              </w:rPr>
              <w:fldChar w:fldCharType="begin"/>
            </w:r>
            <w:r w:rsidR="00D10B3E" w:rsidRPr="00D10B3E">
              <w:rPr>
                <w:rStyle w:val="Hiperligao"/>
                <w:webHidden/>
              </w:rPr>
              <w:instrText xml:space="preserve"> PAGEREF _Toc51072560 \h </w:instrText>
            </w:r>
            <w:r w:rsidR="00D10B3E" w:rsidRPr="00D10B3E">
              <w:rPr>
                <w:rStyle w:val="Hiperligao"/>
                <w:webHidden/>
              </w:rPr>
            </w:r>
            <w:r w:rsidR="00D10B3E" w:rsidRPr="00D10B3E">
              <w:rPr>
                <w:rStyle w:val="Hiperligao"/>
                <w:webHidden/>
              </w:rPr>
              <w:fldChar w:fldCharType="separate"/>
            </w:r>
            <w:r w:rsidR="00D10B3E" w:rsidRPr="00D10B3E">
              <w:rPr>
                <w:rStyle w:val="Hiperligao"/>
                <w:webHidden/>
              </w:rPr>
              <w:t>113</w:t>
            </w:r>
            <w:r w:rsidR="00D10B3E" w:rsidRPr="00D10B3E">
              <w:rPr>
                <w:rStyle w:val="Hiperligao"/>
                <w:webHidden/>
              </w:rPr>
              <w:fldChar w:fldCharType="end"/>
            </w:r>
          </w:hyperlink>
        </w:p>
        <w:p w:rsidR="00D10B3E" w:rsidRPr="00D10B3E" w:rsidRDefault="007055AF" w:rsidP="00D10B3E">
          <w:pPr>
            <w:pStyle w:val="ndice3"/>
            <w:rPr>
              <w:rStyle w:val="Hiperligao"/>
            </w:rPr>
          </w:pPr>
          <w:hyperlink w:anchor="_Toc51072561" w:history="1">
            <w:r w:rsidR="00D10B3E" w:rsidRPr="00D10B3E">
              <w:rPr>
                <w:rStyle w:val="Hiperligao"/>
              </w:rPr>
              <w:t>5.4.3.  Religions</w:t>
            </w:r>
            <w:r w:rsidR="00D10B3E" w:rsidRPr="00D10B3E">
              <w:rPr>
                <w:rStyle w:val="Hiperligao"/>
                <w:webHidden/>
              </w:rPr>
              <w:tab/>
            </w:r>
            <w:r w:rsidR="00D10B3E" w:rsidRPr="00D10B3E">
              <w:rPr>
                <w:rStyle w:val="Hiperligao"/>
                <w:webHidden/>
              </w:rPr>
              <w:fldChar w:fldCharType="begin"/>
            </w:r>
            <w:r w:rsidR="00D10B3E" w:rsidRPr="00D10B3E">
              <w:rPr>
                <w:rStyle w:val="Hiperligao"/>
                <w:webHidden/>
              </w:rPr>
              <w:instrText xml:space="preserve"> PAGEREF _Toc51072561 \h </w:instrText>
            </w:r>
            <w:r w:rsidR="00D10B3E" w:rsidRPr="00D10B3E">
              <w:rPr>
                <w:rStyle w:val="Hiperligao"/>
                <w:webHidden/>
              </w:rPr>
            </w:r>
            <w:r w:rsidR="00D10B3E" w:rsidRPr="00D10B3E">
              <w:rPr>
                <w:rStyle w:val="Hiperligao"/>
                <w:webHidden/>
              </w:rPr>
              <w:fldChar w:fldCharType="separate"/>
            </w:r>
            <w:r w:rsidR="00D10B3E" w:rsidRPr="00D10B3E">
              <w:rPr>
                <w:rStyle w:val="Hiperligao"/>
                <w:webHidden/>
              </w:rPr>
              <w:t>114</w:t>
            </w:r>
            <w:r w:rsidR="00D10B3E" w:rsidRPr="00D10B3E">
              <w:rPr>
                <w:rStyle w:val="Hiperligao"/>
                <w:webHidden/>
              </w:rPr>
              <w:fldChar w:fldCharType="end"/>
            </w:r>
          </w:hyperlink>
        </w:p>
        <w:p w:rsidR="00D10B3E" w:rsidRPr="00D10B3E" w:rsidRDefault="007055AF" w:rsidP="00D10B3E">
          <w:pPr>
            <w:pStyle w:val="ndice3"/>
            <w:rPr>
              <w:rStyle w:val="Hiperligao"/>
            </w:rPr>
          </w:pPr>
          <w:hyperlink w:anchor="_Toc51072562" w:history="1">
            <w:r w:rsidR="00D10B3E" w:rsidRPr="00D10B3E">
              <w:rPr>
                <w:rStyle w:val="Hiperligao"/>
              </w:rPr>
              <w:t>5.4.4. Ressources agricoles</w:t>
            </w:r>
            <w:r w:rsidR="00D10B3E" w:rsidRPr="00D10B3E">
              <w:rPr>
                <w:rStyle w:val="Hiperligao"/>
                <w:webHidden/>
              </w:rPr>
              <w:tab/>
            </w:r>
            <w:r w:rsidR="00D10B3E" w:rsidRPr="00D10B3E">
              <w:rPr>
                <w:rStyle w:val="Hiperligao"/>
                <w:webHidden/>
              </w:rPr>
              <w:fldChar w:fldCharType="begin"/>
            </w:r>
            <w:r w:rsidR="00D10B3E" w:rsidRPr="00D10B3E">
              <w:rPr>
                <w:rStyle w:val="Hiperligao"/>
                <w:webHidden/>
              </w:rPr>
              <w:instrText xml:space="preserve"> PAGEREF _Toc51072562 \h </w:instrText>
            </w:r>
            <w:r w:rsidR="00D10B3E" w:rsidRPr="00D10B3E">
              <w:rPr>
                <w:rStyle w:val="Hiperligao"/>
                <w:webHidden/>
              </w:rPr>
            </w:r>
            <w:r w:rsidR="00D10B3E" w:rsidRPr="00D10B3E">
              <w:rPr>
                <w:rStyle w:val="Hiperligao"/>
                <w:webHidden/>
              </w:rPr>
              <w:fldChar w:fldCharType="separate"/>
            </w:r>
            <w:r w:rsidR="00D10B3E" w:rsidRPr="00D10B3E">
              <w:rPr>
                <w:rStyle w:val="Hiperligao"/>
                <w:webHidden/>
              </w:rPr>
              <w:t>114</w:t>
            </w:r>
            <w:r w:rsidR="00D10B3E" w:rsidRPr="00D10B3E">
              <w:rPr>
                <w:rStyle w:val="Hiperligao"/>
                <w:webHidden/>
              </w:rPr>
              <w:fldChar w:fldCharType="end"/>
            </w:r>
          </w:hyperlink>
        </w:p>
        <w:p w:rsidR="00D10B3E" w:rsidRPr="00D10B3E" w:rsidRDefault="007055AF" w:rsidP="00D10B3E">
          <w:pPr>
            <w:pStyle w:val="ndice3"/>
            <w:rPr>
              <w:rStyle w:val="Hiperligao"/>
            </w:rPr>
          </w:pPr>
          <w:hyperlink w:anchor="_Toc51072563" w:history="1">
            <w:r w:rsidR="00D10B3E" w:rsidRPr="00D10B3E">
              <w:rPr>
                <w:rStyle w:val="Hiperligao"/>
              </w:rPr>
              <w:t>5.4.5.  Ressources halieutiques</w:t>
            </w:r>
            <w:r w:rsidR="00D10B3E" w:rsidRPr="00D10B3E">
              <w:rPr>
                <w:rStyle w:val="Hiperligao"/>
                <w:webHidden/>
              </w:rPr>
              <w:tab/>
            </w:r>
            <w:r w:rsidR="00D10B3E" w:rsidRPr="00D10B3E">
              <w:rPr>
                <w:rStyle w:val="Hiperligao"/>
                <w:webHidden/>
              </w:rPr>
              <w:fldChar w:fldCharType="begin"/>
            </w:r>
            <w:r w:rsidR="00D10B3E" w:rsidRPr="00D10B3E">
              <w:rPr>
                <w:rStyle w:val="Hiperligao"/>
                <w:webHidden/>
              </w:rPr>
              <w:instrText xml:space="preserve"> PAGEREF _Toc51072563 \h </w:instrText>
            </w:r>
            <w:r w:rsidR="00D10B3E" w:rsidRPr="00D10B3E">
              <w:rPr>
                <w:rStyle w:val="Hiperligao"/>
                <w:webHidden/>
              </w:rPr>
            </w:r>
            <w:r w:rsidR="00D10B3E" w:rsidRPr="00D10B3E">
              <w:rPr>
                <w:rStyle w:val="Hiperligao"/>
                <w:webHidden/>
              </w:rPr>
              <w:fldChar w:fldCharType="separate"/>
            </w:r>
            <w:r w:rsidR="00D10B3E" w:rsidRPr="00D10B3E">
              <w:rPr>
                <w:rStyle w:val="Hiperligao"/>
                <w:webHidden/>
              </w:rPr>
              <w:t>115</w:t>
            </w:r>
            <w:r w:rsidR="00D10B3E" w:rsidRPr="00D10B3E">
              <w:rPr>
                <w:rStyle w:val="Hiperligao"/>
                <w:webHidden/>
              </w:rPr>
              <w:fldChar w:fldCharType="end"/>
            </w:r>
          </w:hyperlink>
        </w:p>
        <w:p w:rsidR="00D10B3E" w:rsidRPr="00D10B3E" w:rsidRDefault="007055AF" w:rsidP="00D10B3E">
          <w:pPr>
            <w:pStyle w:val="ndice3"/>
            <w:rPr>
              <w:rStyle w:val="Hiperligao"/>
            </w:rPr>
          </w:pPr>
          <w:hyperlink w:anchor="_Toc51072564" w:history="1">
            <w:r w:rsidR="00D10B3E" w:rsidRPr="00D10B3E">
              <w:rPr>
                <w:rStyle w:val="Hiperligao"/>
              </w:rPr>
              <w:t>5.4.6. Santé</w:t>
            </w:r>
            <w:r w:rsidR="00D10B3E" w:rsidRPr="00D10B3E">
              <w:rPr>
                <w:rStyle w:val="Hiperligao"/>
                <w:webHidden/>
              </w:rPr>
              <w:tab/>
            </w:r>
            <w:r w:rsidR="00D10B3E" w:rsidRPr="00D10B3E">
              <w:rPr>
                <w:rStyle w:val="Hiperligao"/>
                <w:webHidden/>
              </w:rPr>
              <w:fldChar w:fldCharType="begin"/>
            </w:r>
            <w:r w:rsidR="00D10B3E" w:rsidRPr="00D10B3E">
              <w:rPr>
                <w:rStyle w:val="Hiperligao"/>
                <w:webHidden/>
              </w:rPr>
              <w:instrText xml:space="preserve"> PAGEREF _Toc51072564 \h </w:instrText>
            </w:r>
            <w:r w:rsidR="00D10B3E" w:rsidRPr="00D10B3E">
              <w:rPr>
                <w:rStyle w:val="Hiperligao"/>
                <w:webHidden/>
              </w:rPr>
            </w:r>
            <w:r w:rsidR="00D10B3E" w:rsidRPr="00D10B3E">
              <w:rPr>
                <w:rStyle w:val="Hiperligao"/>
                <w:webHidden/>
              </w:rPr>
              <w:fldChar w:fldCharType="separate"/>
            </w:r>
            <w:r w:rsidR="00D10B3E" w:rsidRPr="00D10B3E">
              <w:rPr>
                <w:rStyle w:val="Hiperligao"/>
                <w:webHidden/>
              </w:rPr>
              <w:t>116</w:t>
            </w:r>
            <w:r w:rsidR="00D10B3E" w:rsidRPr="00D10B3E">
              <w:rPr>
                <w:rStyle w:val="Hiperligao"/>
                <w:webHidden/>
              </w:rPr>
              <w:fldChar w:fldCharType="end"/>
            </w:r>
          </w:hyperlink>
        </w:p>
        <w:p w:rsidR="00D10B3E" w:rsidRPr="00D10B3E" w:rsidRDefault="007055AF" w:rsidP="00D10B3E">
          <w:pPr>
            <w:pStyle w:val="ndice3"/>
            <w:rPr>
              <w:rStyle w:val="Hiperligao"/>
            </w:rPr>
          </w:pPr>
          <w:hyperlink w:anchor="_Toc51072565" w:history="1">
            <w:r w:rsidR="00D10B3E" w:rsidRPr="00D10B3E">
              <w:rPr>
                <w:rStyle w:val="Hiperligao"/>
              </w:rPr>
              <w:t>5.4.7. Urbanisation</w:t>
            </w:r>
            <w:r w:rsidR="00D10B3E" w:rsidRPr="00D10B3E">
              <w:rPr>
                <w:rStyle w:val="Hiperligao"/>
                <w:webHidden/>
              </w:rPr>
              <w:tab/>
            </w:r>
            <w:r w:rsidR="00D10B3E" w:rsidRPr="00D10B3E">
              <w:rPr>
                <w:rStyle w:val="Hiperligao"/>
                <w:webHidden/>
              </w:rPr>
              <w:fldChar w:fldCharType="begin"/>
            </w:r>
            <w:r w:rsidR="00D10B3E" w:rsidRPr="00D10B3E">
              <w:rPr>
                <w:rStyle w:val="Hiperligao"/>
                <w:webHidden/>
              </w:rPr>
              <w:instrText xml:space="preserve"> PAGEREF _Toc51072565 \h </w:instrText>
            </w:r>
            <w:r w:rsidR="00D10B3E" w:rsidRPr="00D10B3E">
              <w:rPr>
                <w:rStyle w:val="Hiperligao"/>
                <w:webHidden/>
              </w:rPr>
            </w:r>
            <w:r w:rsidR="00D10B3E" w:rsidRPr="00D10B3E">
              <w:rPr>
                <w:rStyle w:val="Hiperligao"/>
                <w:webHidden/>
              </w:rPr>
              <w:fldChar w:fldCharType="separate"/>
            </w:r>
            <w:r w:rsidR="00D10B3E" w:rsidRPr="00D10B3E">
              <w:rPr>
                <w:rStyle w:val="Hiperligao"/>
                <w:webHidden/>
              </w:rPr>
              <w:t>117</w:t>
            </w:r>
            <w:r w:rsidR="00D10B3E" w:rsidRPr="00D10B3E">
              <w:rPr>
                <w:rStyle w:val="Hiperligao"/>
                <w:webHidden/>
              </w:rPr>
              <w:fldChar w:fldCharType="end"/>
            </w:r>
          </w:hyperlink>
        </w:p>
        <w:p w:rsidR="00D10B3E" w:rsidRDefault="007055AF">
          <w:pPr>
            <w:pStyle w:val="ndice1"/>
            <w:rPr>
              <w:rFonts w:asciiTheme="minorHAnsi" w:eastAsiaTheme="minorEastAsia" w:hAnsiTheme="minorHAnsi" w:cstheme="minorBidi"/>
              <w:b w:val="0"/>
              <w:bCs w:val="0"/>
              <w:caps w:val="0"/>
              <w:color w:val="auto"/>
              <w:sz w:val="22"/>
              <w:szCs w:val="22"/>
              <w:lang w:eastAsia="fr-FR"/>
              <w14:shadow w14:blurRad="0" w14:dist="0" w14:dir="0" w14:sx="0" w14:sy="0" w14:kx="0" w14:ky="0" w14:algn="none">
                <w14:srgbClr w14:val="000000"/>
              </w14:shadow>
              <w14:textOutline w14:w="0" w14:cap="rnd" w14:cmpd="sng" w14:algn="ctr">
                <w14:noFill/>
                <w14:prstDash w14:val="solid"/>
                <w14:bevel/>
              </w14:textOutline>
            </w:rPr>
          </w:pPr>
          <w:hyperlink w:anchor="_Toc51072566" w:history="1">
            <w:r w:rsidR="00D10B3E" w:rsidRPr="009D7544">
              <w:rPr>
                <w:rStyle w:val="Hiperligao"/>
              </w:rPr>
              <w:t>6 * IDENTIFICATION ET EVALUATION DES IMPACTS POTENTIELS</w:t>
            </w:r>
            <w:r w:rsidR="00D10B3E">
              <w:rPr>
                <w:webHidden/>
              </w:rPr>
              <w:tab/>
            </w:r>
            <w:r w:rsidR="00D10B3E">
              <w:rPr>
                <w:webHidden/>
              </w:rPr>
              <w:fldChar w:fldCharType="begin"/>
            </w:r>
            <w:r w:rsidR="00D10B3E">
              <w:rPr>
                <w:webHidden/>
              </w:rPr>
              <w:instrText xml:space="preserve"> PAGEREF _Toc51072566 \h </w:instrText>
            </w:r>
            <w:r w:rsidR="00D10B3E">
              <w:rPr>
                <w:webHidden/>
              </w:rPr>
            </w:r>
            <w:r w:rsidR="00D10B3E">
              <w:rPr>
                <w:webHidden/>
              </w:rPr>
              <w:fldChar w:fldCharType="separate"/>
            </w:r>
            <w:r w:rsidR="00D10B3E">
              <w:rPr>
                <w:webHidden/>
              </w:rPr>
              <w:t>119</w:t>
            </w:r>
            <w:r w:rsidR="00D10B3E">
              <w:rPr>
                <w:webHidden/>
              </w:rPr>
              <w:fldChar w:fldCharType="end"/>
            </w:r>
          </w:hyperlink>
        </w:p>
        <w:p w:rsidR="00D10B3E" w:rsidRDefault="007055AF" w:rsidP="00D10B3E">
          <w:pPr>
            <w:pStyle w:val="ndice2"/>
            <w:rPr>
              <w:rFonts w:asciiTheme="minorHAnsi" w:eastAsiaTheme="minorEastAsia" w:hAnsiTheme="minorHAnsi" w:cstheme="minorBidi"/>
              <w:sz w:val="22"/>
              <w:szCs w:val="22"/>
            </w:rPr>
          </w:pPr>
          <w:hyperlink w:anchor="_Toc51072567" w:history="1">
            <w:r w:rsidR="00D10B3E" w:rsidRPr="009D7544">
              <w:rPr>
                <w:rStyle w:val="Hiperligao"/>
              </w:rPr>
              <w:t>6.1. APPROCHE METHODOLOGIQUE</w:t>
            </w:r>
            <w:r w:rsidR="00D10B3E">
              <w:rPr>
                <w:webHidden/>
              </w:rPr>
              <w:tab/>
            </w:r>
            <w:r w:rsidR="00D10B3E">
              <w:rPr>
                <w:webHidden/>
              </w:rPr>
              <w:fldChar w:fldCharType="begin"/>
            </w:r>
            <w:r w:rsidR="00D10B3E">
              <w:rPr>
                <w:webHidden/>
              </w:rPr>
              <w:instrText xml:space="preserve"> PAGEREF _Toc51072567 \h </w:instrText>
            </w:r>
            <w:r w:rsidR="00D10B3E">
              <w:rPr>
                <w:webHidden/>
              </w:rPr>
            </w:r>
            <w:r w:rsidR="00D10B3E">
              <w:rPr>
                <w:webHidden/>
              </w:rPr>
              <w:fldChar w:fldCharType="separate"/>
            </w:r>
            <w:r w:rsidR="00D10B3E">
              <w:rPr>
                <w:webHidden/>
              </w:rPr>
              <w:t>119</w:t>
            </w:r>
            <w:r w:rsidR="00D10B3E">
              <w:rPr>
                <w:webHidden/>
              </w:rPr>
              <w:fldChar w:fldCharType="end"/>
            </w:r>
          </w:hyperlink>
        </w:p>
        <w:p w:rsidR="00D10B3E" w:rsidRPr="00D10B3E" w:rsidRDefault="007055AF" w:rsidP="00D10B3E">
          <w:pPr>
            <w:pStyle w:val="ndice3"/>
            <w:rPr>
              <w:rStyle w:val="Hiperligao"/>
            </w:rPr>
          </w:pPr>
          <w:hyperlink w:anchor="_Toc51072568" w:history="1">
            <w:r w:rsidR="00D10B3E" w:rsidRPr="00D10B3E">
              <w:rPr>
                <w:rStyle w:val="Hiperligao"/>
              </w:rPr>
              <w:t>6.1.1. Démarche d'identification des impacts</w:t>
            </w:r>
            <w:r w:rsidR="00D10B3E" w:rsidRPr="00D10B3E">
              <w:rPr>
                <w:rStyle w:val="Hiperligao"/>
                <w:webHidden/>
              </w:rPr>
              <w:tab/>
            </w:r>
            <w:r w:rsidR="00D10B3E" w:rsidRPr="00D10B3E">
              <w:rPr>
                <w:rStyle w:val="Hiperligao"/>
                <w:webHidden/>
              </w:rPr>
              <w:fldChar w:fldCharType="begin"/>
            </w:r>
            <w:r w:rsidR="00D10B3E" w:rsidRPr="00D10B3E">
              <w:rPr>
                <w:rStyle w:val="Hiperligao"/>
                <w:webHidden/>
              </w:rPr>
              <w:instrText xml:space="preserve"> PAGEREF _Toc51072568 \h </w:instrText>
            </w:r>
            <w:r w:rsidR="00D10B3E" w:rsidRPr="00D10B3E">
              <w:rPr>
                <w:rStyle w:val="Hiperligao"/>
                <w:webHidden/>
              </w:rPr>
            </w:r>
            <w:r w:rsidR="00D10B3E" w:rsidRPr="00D10B3E">
              <w:rPr>
                <w:rStyle w:val="Hiperligao"/>
                <w:webHidden/>
              </w:rPr>
              <w:fldChar w:fldCharType="separate"/>
            </w:r>
            <w:r w:rsidR="00D10B3E" w:rsidRPr="00D10B3E">
              <w:rPr>
                <w:rStyle w:val="Hiperligao"/>
                <w:webHidden/>
              </w:rPr>
              <w:t>119</w:t>
            </w:r>
            <w:r w:rsidR="00D10B3E" w:rsidRPr="00D10B3E">
              <w:rPr>
                <w:rStyle w:val="Hiperligao"/>
                <w:webHidden/>
              </w:rPr>
              <w:fldChar w:fldCharType="end"/>
            </w:r>
          </w:hyperlink>
        </w:p>
        <w:p w:rsidR="00D10B3E" w:rsidRPr="00D10B3E" w:rsidRDefault="007055AF" w:rsidP="00D10B3E">
          <w:pPr>
            <w:pStyle w:val="ndice3"/>
            <w:rPr>
              <w:rStyle w:val="Hiperligao"/>
            </w:rPr>
          </w:pPr>
          <w:hyperlink w:anchor="_Toc51072569" w:history="1">
            <w:r w:rsidR="00D10B3E" w:rsidRPr="00D10B3E">
              <w:rPr>
                <w:rStyle w:val="Hiperligao"/>
              </w:rPr>
              <w:t>6.1.2. Caractérisation des impacts</w:t>
            </w:r>
            <w:r w:rsidR="00D10B3E" w:rsidRPr="00D10B3E">
              <w:rPr>
                <w:rStyle w:val="Hiperligao"/>
                <w:webHidden/>
              </w:rPr>
              <w:tab/>
            </w:r>
            <w:r w:rsidR="00D10B3E" w:rsidRPr="00D10B3E">
              <w:rPr>
                <w:rStyle w:val="Hiperligao"/>
                <w:webHidden/>
              </w:rPr>
              <w:fldChar w:fldCharType="begin"/>
            </w:r>
            <w:r w:rsidR="00D10B3E" w:rsidRPr="00D10B3E">
              <w:rPr>
                <w:rStyle w:val="Hiperligao"/>
                <w:webHidden/>
              </w:rPr>
              <w:instrText xml:space="preserve"> PAGEREF _Toc51072569 \h </w:instrText>
            </w:r>
            <w:r w:rsidR="00D10B3E" w:rsidRPr="00D10B3E">
              <w:rPr>
                <w:rStyle w:val="Hiperligao"/>
                <w:webHidden/>
              </w:rPr>
            </w:r>
            <w:r w:rsidR="00D10B3E" w:rsidRPr="00D10B3E">
              <w:rPr>
                <w:rStyle w:val="Hiperligao"/>
                <w:webHidden/>
              </w:rPr>
              <w:fldChar w:fldCharType="separate"/>
            </w:r>
            <w:r w:rsidR="00D10B3E" w:rsidRPr="00D10B3E">
              <w:rPr>
                <w:rStyle w:val="Hiperligao"/>
                <w:webHidden/>
              </w:rPr>
              <w:t>122</w:t>
            </w:r>
            <w:r w:rsidR="00D10B3E" w:rsidRPr="00D10B3E">
              <w:rPr>
                <w:rStyle w:val="Hiperligao"/>
                <w:webHidden/>
              </w:rPr>
              <w:fldChar w:fldCharType="end"/>
            </w:r>
          </w:hyperlink>
        </w:p>
        <w:p w:rsidR="00D10B3E" w:rsidRPr="00D10B3E" w:rsidRDefault="007055AF" w:rsidP="00D10B3E">
          <w:pPr>
            <w:pStyle w:val="ndice3"/>
            <w:rPr>
              <w:rStyle w:val="Hiperligao"/>
            </w:rPr>
          </w:pPr>
          <w:hyperlink w:anchor="_Toc51072570" w:history="1">
            <w:r w:rsidR="00D10B3E" w:rsidRPr="00D10B3E">
              <w:rPr>
                <w:rStyle w:val="Hiperligao"/>
              </w:rPr>
              <w:t>6.1.3. Formulation de mesures d’atténuation</w:t>
            </w:r>
            <w:r w:rsidR="00D10B3E" w:rsidRPr="00D10B3E">
              <w:rPr>
                <w:rStyle w:val="Hiperligao"/>
                <w:webHidden/>
              </w:rPr>
              <w:tab/>
            </w:r>
            <w:r w:rsidR="00D10B3E" w:rsidRPr="00D10B3E">
              <w:rPr>
                <w:rStyle w:val="Hiperligao"/>
                <w:webHidden/>
              </w:rPr>
              <w:fldChar w:fldCharType="begin"/>
            </w:r>
            <w:r w:rsidR="00D10B3E" w:rsidRPr="00D10B3E">
              <w:rPr>
                <w:rStyle w:val="Hiperligao"/>
                <w:webHidden/>
              </w:rPr>
              <w:instrText xml:space="preserve"> PAGEREF _Toc51072570 \h </w:instrText>
            </w:r>
            <w:r w:rsidR="00D10B3E" w:rsidRPr="00D10B3E">
              <w:rPr>
                <w:rStyle w:val="Hiperligao"/>
                <w:webHidden/>
              </w:rPr>
            </w:r>
            <w:r w:rsidR="00D10B3E" w:rsidRPr="00D10B3E">
              <w:rPr>
                <w:rStyle w:val="Hiperligao"/>
                <w:webHidden/>
              </w:rPr>
              <w:fldChar w:fldCharType="separate"/>
            </w:r>
            <w:r w:rsidR="00D10B3E" w:rsidRPr="00D10B3E">
              <w:rPr>
                <w:rStyle w:val="Hiperligao"/>
                <w:webHidden/>
              </w:rPr>
              <w:t>124</w:t>
            </w:r>
            <w:r w:rsidR="00D10B3E" w:rsidRPr="00D10B3E">
              <w:rPr>
                <w:rStyle w:val="Hiperligao"/>
                <w:webHidden/>
              </w:rPr>
              <w:fldChar w:fldCharType="end"/>
            </w:r>
          </w:hyperlink>
        </w:p>
        <w:p w:rsidR="00D10B3E" w:rsidRDefault="007055AF" w:rsidP="00D10B3E">
          <w:pPr>
            <w:pStyle w:val="ndice2"/>
            <w:rPr>
              <w:rFonts w:asciiTheme="minorHAnsi" w:eastAsiaTheme="minorEastAsia" w:hAnsiTheme="minorHAnsi" w:cstheme="minorBidi"/>
              <w:sz w:val="22"/>
              <w:szCs w:val="22"/>
            </w:rPr>
          </w:pPr>
          <w:hyperlink w:anchor="_Toc51072571" w:history="1">
            <w:r w:rsidR="00D10B3E" w:rsidRPr="009D7544">
              <w:rPr>
                <w:rStyle w:val="Hiperligao"/>
              </w:rPr>
              <w:t>6.2. IDENTIFICATION ET CARACTERISATION DES IMPACTS ATTENDUS</w:t>
            </w:r>
            <w:r w:rsidR="00D10B3E">
              <w:rPr>
                <w:webHidden/>
              </w:rPr>
              <w:tab/>
            </w:r>
            <w:r w:rsidR="00D10B3E">
              <w:rPr>
                <w:webHidden/>
              </w:rPr>
              <w:fldChar w:fldCharType="begin"/>
            </w:r>
            <w:r w:rsidR="00D10B3E">
              <w:rPr>
                <w:webHidden/>
              </w:rPr>
              <w:instrText xml:space="preserve"> PAGEREF _Toc51072571 \h </w:instrText>
            </w:r>
            <w:r w:rsidR="00D10B3E">
              <w:rPr>
                <w:webHidden/>
              </w:rPr>
            </w:r>
            <w:r w:rsidR="00D10B3E">
              <w:rPr>
                <w:webHidden/>
              </w:rPr>
              <w:fldChar w:fldCharType="separate"/>
            </w:r>
            <w:r w:rsidR="00D10B3E">
              <w:rPr>
                <w:webHidden/>
              </w:rPr>
              <w:t>125</w:t>
            </w:r>
            <w:r w:rsidR="00D10B3E">
              <w:rPr>
                <w:webHidden/>
              </w:rPr>
              <w:fldChar w:fldCharType="end"/>
            </w:r>
          </w:hyperlink>
        </w:p>
        <w:p w:rsidR="00D10B3E" w:rsidRPr="00D10B3E" w:rsidRDefault="007055AF" w:rsidP="00D10B3E">
          <w:pPr>
            <w:pStyle w:val="ndice3"/>
            <w:rPr>
              <w:rStyle w:val="Hiperligao"/>
            </w:rPr>
          </w:pPr>
          <w:hyperlink w:anchor="_Toc51072572" w:history="1">
            <w:r w:rsidR="00D10B3E" w:rsidRPr="00D10B3E">
              <w:rPr>
                <w:rStyle w:val="Hiperligao"/>
              </w:rPr>
              <w:t>6.2.1 Impacts positifs attendus du projet</w:t>
            </w:r>
            <w:r w:rsidR="00D10B3E" w:rsidRPr="00D10B3E">
              <w:rPr>
                <w:rStyle w:val="Hiperligao"/>
                <w:webHidden/>
              </w:rPr>
              <w:tab/>
            </w:r>
            <w:r w:rsidR="00D10B3E" w:rsidRPr="00D10B3E">
              <w:rPr>
                <w:rStyle w:val="Hiperligao"/>
                <w:webHidden/>
              </w:rPr>
              <w:fldChar w:fldCharType="begin"/>
            </w:r>
            <w:r w:rsidR="00D10B3E" w:rsidRPr="00D10B3E">
              <w:rPr>
                <w:rStyle w:val="Hiperligao"/>
                <w:webHidden/>
              </w:rPr>
              <w:instrText xml:space="preserve"> PAGEREF _Toc51072572 \h </w:instrText>
            </w:r>
            <w:r w:rsidR="00D10B3E" w:rsidRPr="00D10B3E">
              <w:rPr>
                <w:rStyle w:val="Hiperligao"/>
                <w:webHidden/>
              </w:rPr>
            </w:r>
            <w:r w:rsidR="00D10B3E" w:rsidRPr="00D10B3E">
              <w:rPr>
                <w:rStyle w:val="Hiperligao"/>
                <w:webHidden/>
              </w:rPr>
              <w:fldChar w:fldCharType="separate"/>
            </w:r>
            <w:r w:rsidR="00D10B3E" w:rsidRPr="00D10B3E">
              <w:rPr>
                <w:rStyle w:val="Hiperligao"/>
                <w:webHidden/>
              </w:rPr>
              <w:t>125</w:t>
            </w:r>
            <w:r w:rsidR="00D10B3E" w:rsidRPr="00D10B3E">
              <w:rPr>
                <w:rStyle w:val="Hiperligao"/>
                <w:webHidden/>
              </w:rPr>
              <w:fldChar w:fldCharType="end"/>
            </w:r>
          </w:hyperlink>
        </w:p>
        <w:p w:rsidR="00D10B3E" w:rsidRPr="00D10B3E" w:rsidRDefault="007055AF" w:rsidP="00D10B3E">
          <w:pPr>
            <w:pStyle w:val="ndice3"/>
            <w:rPr>
              <w:rStyle w:val="Hiperligao"/>
            </w:rPr>
          </w:pPr>
          <w:hyperlink w:anchor="_Toc51072573" w:history="1">
            <w:r w:rsidR="00D10B3E" w:rsidRPr="00D10B3E">
              <w:rPr>
                <w:rStyle w:val="Hiperligao"/>
              </w:rPr>
              <w:t>6.2.1.1.  En phase de pré-construction et construction du projet</w:t>
            </w:r>
            <w:r w:rsidR="00D10B3E" w:rsidRPr="00D10B3E">
              <w:rPr>
                <w:rStyle w:val="Hiperligao"/>
                <w:webHidden/>
              </w:rPr>
              <w:tab/>
            </w:r>
            <w:r w:rsidR="00D10B3E" w:rsidRPr="00D10B3E">
              <w:rPr>
                <w:rStyle w:val="Hiperligao"/>
                <w:webHidden/>
              </w:rPr>
              <w:fldChar w:fldCharType="begin"/>
            </w:r>
            <w:r w:rsidR="00D10B3E" w:rsidRPr="00D10B3E">
              <w:rPr>
                <w:rStyle w:val="Hiperligao"/>
                <w:webHidden/>
              </w:rPr>
              <w:instrText xml:space="preserve"> PAGEREF _Toc51072573 \h </w:instrText>
            </w:r>
            <w:r w:rsidR="00D10B3E" w:rsidRPr="00D10B3E">
              <w:rPr>
                <w:rStyle w:val="Hiperligao"/>
                <w:webHidden/>
              </w:rPr>
            </w:r>
            <w:r w:rsidR="00D10B3E" w:rsidRPr="00D10B3E">
              <w:rPr>
                <w:rStyle w:val="Hiperligao"/>
                <w:webHidden/>
              </w:rPr>
              <w:fldChar w:fldCharType="separate"/>
            </w:r>
            <w:r w:rsidR="00D10B3E" w:rsidRPr="00D10B3E">
              <w:rPr>
                <w:rStyle w:val="Hiperligao"/>
                <w:webHidden/>
              </w:rPr>
              <w:t>125</w:t>
            </w:r>
            <w:r w:rsidR="00D10B3E" w:rsidRPr="00D10B3E">
              <w:rPr>
                <w:rStyle w:val="Hiperligao"/>
                <w:webHidden/>
              </w:rPr>
              <w:fldChar w:fldCharType="end"/>
            </w:r>
          </w:hyperlink>
        </w:p>
        <w:p w:rsidR="00D10B3E" w:rsidRDefault="007055AF" w:rsidP="00D10B3E">
          <w:pPr>
            <w:pStyle w:val="ndice3"/>
            <w:rPr>
              <w:rFonts w:asciiTheme="minorHAnsi" w:eastAsiaTheme="minorEastAsia" w:hAnsiTheme="minorHAnsi"/>
              <w:sz w:val="22"/>
              <w:szCs w:val="22"/>
            </w:rPr>
          </w:pPr>
          <w:hyperlink w:anchor="_Toc51072574" w:history="1">
            <w:r w:rsidR="00D10B3E" w:rsidRPr="009D7544">
              <w:rPr>
                <w:rStyle w:val="Hiperligao"/>
              </w:rPr>
              <w:t>6.2.1.2. En phase d’exploitation</w:t>
            </w:r>
            <w:r w:rsidR="00D10B3E">
              <w:rPr>
                <w:webHidden/>
              </w:rPr>
              <w:tab/>
            </w:r>
            <w:r w:rsidR="00D10B3E">
              <w:rPr>
                <w:webHidden/>
              </w:rPr>
              <w:fldChar w:fldCharType="begin"/>
            </w:r>
            <w:r w:rsidR="00D10B3E">
              <w:rPr>
                <w:webHidden/>
              </w:rPr>
              <w:instrText xml:space="preserve"> PAGEREF _Toc51072574 \h </w:instrText>
            </w:r>
            <w:r w:rsidR="00D10B3E">
              <w:rPr>
                <w:webHidden/>
              </w:rPr>
            </w:r>
            <w:r w:rsidR="00D10B3E">
              <w:rPr>
                <w:webHidden/>
              </w:rPr>
              <w:fldChar w:fldCharType="separate"/>
            </w:r>
            <w:r w:rsidR="00D10B3E">
              <w:rPr>
                <w:webHidden/>
              </w:rPr>
              <w:t>126</w:t>
            </w:r>
            <w:r w:rsidR="00D10B3E">
              <w:rPr>
                <w:webHidden/>
              </w:rPr>
              <w:fldChar w:fldCharType="end"/>
            </w:r>
          </w:hyperlink>
        </w:p>
        <w:p w:rsidR="00D10B3E" w:rsidRDefault="007055AF" w:rsidP="00D10B3E">
          <w:pPr>
            <w:pStyle w:val="ndice3"/>
            <w:rPr>
              <w:rFonts w:asciiTheme="minorHAnsi" w:eastAsiaTheme="minorEastAsia" w:hAnsiTheme="minorHAnsi"/>
              <w:sz w:val="22"/>
              <w:szCs w:val="22"/>
            </w:rPr>
          </w:pPr>
          <w:hyperlink w:anchor="_Toc51072575" w:history="1">
            <w:r w:rsidR="00D10B3E" w:rsidRPr="009D7544">
              <w:rPr>
                <w:rStyle w:val="Hiperligao"/>
              </w:rPr>
              <w:t>6.2.2. Impacts négatifs attendus du projet</w:t>
            </w:r>
            <w:r w:rsidR="00D10B3E">
              <w:rPr>
                <w:webHidden/>
              </w:rPr>
              <w:tab/>
            </w:r>
            <w:r w:rsidR="00D10B3E">
              <w:rPr>
                <w:webHidden/>
              </w:rPr>
              <w:fldChar w:fldCharType="begin"/>
            </w:r>
            <w:r w:rsidR="00D10B3E">
              <w:rPr>
                <w:webHidden/>
              </w:rPr>
              <w:instrText xml:space="preserve"> PAGEREF _Toc51072575 \h </w:instrText>
            </w:r>
            <w:r w:rsidR="00D10B3E">
              <w:rPr>
                <w:webHidden/>
              </w:rPr>
            </w:r>
            <w:r w:rsidR="00D10B3E">
              <w:rPr>
                <w:webHidden/>
              </w:rPr>
              <w:fldChar w:fldCharType="separate"/>
            </w:r>
            <w:r w:rsidR="00D10B3E">
              <w:rPr>
                <w:webHidden/>
              </w:rPr>
              <w:t>128</w:t>
            </w:r>
            <w:r w:rsidR="00D10B3E">
              <w:rPr>
                <w:webHidden/>
              </w:rPr>
              <w:fldChar w:fldCharType="end"/>
            </w:r>
          </w:hyperlink>
        </w:p>
        <w:p w:rsidR="00D10B3E" w:rsidRDefault="007055AF" w:rsidP="00D10B3E">
          <w:pPr>
            <w:pStyle w:val="ndice3"/>
            <w:rPr>
              <w:rFonts w:asciiTheme="minorHAnsi" w:eastAsiaTheme="minorEastAsia" w:hAnsiTheme="minorHAnsi"/>
              <w:sz w:val="22"/>
              <w:szCs w:val="22"/>
            </w:rPr>
          </w:pPr>
          <w:hyperlink w:anchor="_Toc51072576" w:history="1">
            <w:r w:rsidR="00D10B3E" w:rsidRPr="009D7544">
              <w:rPr>
                <w:rStyle w:val="Hiperligao"/>
              </w:rPr>
              <w:t>6.2.2.1. Impacts négatifs attendus en phase de pré-construction et de construction</w:t>
            </w:r>
            <w:r w:rsidR="00D10B3E">
              <w:rPr>
                <w:webHidden/>
              </w:rPr>
              <w:tab/>
            </w:r>
            <w:r w:rsidR="00D10B3E">
              <w:rPr>
                <w:webHidden/>
              </w:rPr>
              <w:fldChar w:fldCharType="begin"/>
            </w:r>
            <w:r w:rsidR="00D10B3E">
              <w:rPr>
                <w:webHidden/>
              </w:rPr>
              <w:instrText xml:space="preserve"> PAGEREF _Toc51072576 \h </w:instrText>
            </w:r>
            <w:r w:rsidR="00D10B3E">
              <w:rPr>
                <w:webHidden/>
              </w:rPr>
            </w:r>
            <w:r w:rsidR="00D10B3E">
              <w:rPr>
                <w:webHidden/>
              </w:rPr>
              <w:fldChar w:fldCharType="separate"/>
            </w:r>
            <w:r w:rsidR="00D10B3E">
              <w:rPr>
                <w:webHidden/>
              </w:rPr>
              <w:t>128</w:t>
            </w:r>
            <w:r w:rsidR="00D10B3E">
              <w:rPr>
                <w:webHidden/>
              </w:rPr>
              <w:fldChar w:fldCharType="end"/>
            </w:r>
          </w:hyperlink>
        </w:p>
        <w:p w:rsidR="00D10B3E" w:rsidRDefault="007055AF" w:rsidP="00D10B3E">
          <w:pPr>
            <w:pStyle w:val="ndice3"/>
            <w:rPr>
              <w:rFonts w:asciiTheme="minorHAnsi" w:eastAsiaTheme="minorEastAsia" w:hAnsiTheme="minorHAnsi"/>
              <w:sz w:val="22"/>
              <w:szCs w:val="22"/>
            </w:rPr>
          </w:pPr>
          <w:hyperlink w:anchor="_Toc51072577" w:history="1">
            <w:r w:rsidR="00D10B3E" w:rsidRPr="009D7544">
              <w:rPr>
                <w:rStyle w:val="Hiperligao"/>
              </w:rPr>
              <w:t>6.2.2.2. Impacts en phase d’exploitation</w:t>
            </w:r>
            <w:r w:rsidR="00D10B3E">
              <w:rPr>
                <w:webHidden/>
              </w:rPr>
              <w:tab/>
            </w:r>
            <w:r w:rsidR="00D10B3E">
              <w:rPr>
                <w:webHidden/>
              </w:rPr>
              <w:fldChar w:fldCharType="begin"/>
            </w:r>
            <w:r w:rsidR="00D10B3E">
              <w:rPr>
                <w:webHidden/>
              </w:rPr>
              <w:instrText xml:space="preserve"> PAGEREF _Toc51072577 \h </w:instrText>
            </w:r>
            <w:r w:rsidR="00D10B3E">
              <w:rPr>
                <w:webHidden/>
              </w:rPr>
            </w:r>
            <w:r w:rsidR="00D10B3E">
              <w:rPr>
                <w:webHidden/>
              </w:rPr>
              <w:fldChar w:fldCharType="separate"/>
            </w:r>
            <w:r w:rsidR="00D10B3E">
              <w:rPr>
                <w:webHidden/>
              </w:rPr>
              <w:t>133</w:t>
            </w:r>
            <w:r w:rsidR="00D10B3E">
              <w:rPr>
                <w:webHidden/>
              </w:rPr>
              <w:fldChar w:fldCharType="end"/>
            </w:r>
          </w:hyperlink>
        </w:p>
        <w:p w:rsidR="00D10B3E" w:rsidRDefault="007055AF">
          <w:pPr>
            <w:pStyle w:val="ndice1"/>
            <w:rPr>
              <w:rFonts w:asciiTheme="minorHAnsi" w:eastAsiaTheme="minorEastAsia" w:hAnsiTheme="minorHAnsi" w:cstheme="minorBidi"/>
              <w:b w:val="0"/>
              <w:bCs w:val="0"/>
              <w:caps w:val="0"/>
              <w:color w:val="auto"/>
              <w:sz w:val="22"/>
              <w:szCs w:val="22"/>
              <w:lang w:eastAsia="fr-FR"/>
              <w14:shadow w14:blurRad="0" w14:dist="0" w14:dir="0" w14:sx="0" w14:sy="0" w14:kx="0" w14:ky="0" w14:algn="none">
                <w14:srgbClr w14:val="000000"/>
              </w14:shadow>
              <w14:textOutline w14:w="0" w14:cap="rnd" w14:cmpd="sng" w14:algn="ctr">
                <w14:noFill/>
                <w14:prstDash w14:val="solid"/>
                <w14:bevel/>
              </w14:textOutline>
            </w:rPr>
          </w:pPr>
          <w:hyperlink w:anchor="_Toc51072578" w:history="1">
            <w:r w:rsidR="00D10B3E" w:rsidRPr="009D7544">
              <w:rPr>
                <w:rStyle w:val="Hiperligao"/>
              </w:rPr>
              <w:t>7 * ETUDE DES RISQUES *</w:t>
            </w:r>
            <w:r w:rsidR="00D10B3E">
              <w:rPr>
                <w:webHidden/>
              </w:rPr>
              <w:tab/>
            </w:r>
            <w:r w:rsidR="00D10B3E">
              <w:rPr>
                <w:webHidden/>
              </w:rPr>
              <w:fldChar w:fldCharType="begin"/>
            </w:r>
            <w:r w:rsidR="00D10B3E">
              <w:rPr>
                <w:webHidden/>
              </w:rPr>
              <w:instrText xml:space="preserve"> PAGEREF _Toc51072578 \h </w:instrText>
            </w:r>
            <w:r w:rsidR="00D10B3E">
              <w:rPr>
                <w:webHidden/>
              </w:rPr>
            </w:r>
            <w:r w:rsidR="00D10B3E">
              <w:rPr>
                <w:webHidden/>
              </w:rPr>
              <w:fldChar w:fldCharType="separate"/>
            </w:r>
            <w:r w:rsidR="00D10B3E">
              <w:rPr>
                <w:webHidden/>
              </w:rPr>
              <w:t>138</w:t>
            </w:r>
            <w:r w:rsidR="00D10B3E">
              <w:rPr>
                <w:webHidden/>
              </w:rPr>
              <w:fldChar w:fldCharType="end"/>
            </w:r>
          </w:hyperlink>
        </w:p>
        <w:p w:rsidR="00D10B3E" w:rsidRDefault="007055AF" w:rsidP="00D10B3E">
          <w:pPr>
            <w:pStyle w:val="ndice2"/>
            <w:rPr>
              <w:rFonts w:asciiTheme="minorHAnsi" w:eastAsiaTheme="minorEastAsia" w:hAnsiTheme="minorHAnsi" w:cstheme="minorBidi"/>
              <w:sz w:val="22"/>
              <w:szCs w:val="22"/>
            </w:rPr>
          </w:pPr>
          <w:hyperlink w:anchor="_Toc51072579" w:history="1">
            <w:r w:rsidR="00D10B3E" w:rsidRPr="009D7544">
              <w:rPr>
                <w:rStyle w:val="Hiperligao"/>
              </w:rPr>
              <w:t>7.1 IDENTIFICATION ET EVALUATION DES RISQUES D’ACCIDENTS</w:t>
            </w:r>
            <w:r w:rsidR="00D10B3E">
              <w:rPr>
                <w:webHidden/>
              </w:rPr>
              <w:tab/>
            </w:r>
            <w:r w:rsidR="00D10B3E">
              <w:rPr>
                <w:webHidden/>
              </w:rPr>
              <w:fldChar w:fldCharType="begin"/>
            </w:r>
            <w:r w:rsidR="00D10B3E">
              <w:rPr>
                <w:webHidden/>
              </w:rPr>
              <w:instrText xml:space="preserve"> PAGEREF _Toc51072579 \h </w:instrText>
            </w:r>
            <w:r w:rsidR="00D10B3E">
              <w:rPr>
                <w:webHidden/>
              </w:rPr>
            </w:r>
            <w:r w:rsidR="00D10B3E">
              <w:rPr>
                <w:webHidden/>
              </w:rPr>
              <w:fldChar w:fldCharType="separate"/>
            </w:r>
            <w:r w:rsidR="00D10B3E">
              <w:rPr>
                <w:webHidden/>
              </w:rPr>
              <w:t>138</w:t>
            </w:r>
            <w:r w:rsidR="00D10B3E">
              <w:rPr>
                <w:webHidden/>
              </w:rPr>
              <w:fldChar w:fldCharType="end"/>
            </w:r>
          </w:hyperlink>
        </w:p>
        <w:p w:rsidR="00D10B3E" w:rsidRDefault="007055AF" w:rsidP="00D10B3E">
          <w:pPr>
            <w:pStyle w:val="ndice3"/>
            <w:rPr>
              <w:rFonts w:asciiTheme="minorHAnsi" w:eastAsiaTheme="minorEastAsia" w:hAnsiTheme="minorHAnsi"/>
              <w:sz w:val="22"/>
              <w:szCs w:val="22"/>
            </w:rPr>
          </w:pPr>
          <w:hyperlink w:anchor="_Toc51072580" w:history="1">
            <w:r w:rsidR="00D10B3E" w:rsidRPr="009D7544">
              <w:rPr>
                <w:rStyle w:val="Hiperligao"/>
                <w:rFonts w:ascii="Wingdings" w:hAnsi="Wingdings"/>
              </w:rPr>
              <w:t></w:t>
            </w:r>
            <w:r w:rsidR="00D10B3E">
              <w:rPr>
                <w:rFonts w:asciiTheme="minorHAnsi" w:eastAsiaTheme="minorEastAsia" w:hAnsiTheme="minorHAnsi"/>
                <w:sz w:val="22"/>
                <w:szCs w:val="22"/>
              </w:rPr>
              <w:tab/>
            </w:r>
            <w:r w:rsidR="00D10B3E" w:rsidRPr="009D7544">
              <w:rPr>
                <w:rStyle w:val="Hiperligao"/>
              </w:rPr>
              <w:t>7.1.1. Conditions naturelles susceptibles de provoquer ou d’aggraver un accident</w:t>
            </w:r>
            <w:r w:rsidR="00D10B3E">
              <w:rPr>
                <w:webHidden/>
              </w:rPr>
              <w:tab/>
            </w:r>
            <w:r w:rsidR="00D10B3E">
              <w:rPr>
                <w:webHidden/>
              </w:rPr>
              <w:fldChar w:fldCharType="begin"/>
            </w:r>
            <w:r w:rsidR="00D10B3E">
              <w:rPr>
                <w:webHidden/>
              </w:rPr>
              <w:instrText xml:space="preserve"> PAGEREF _Toc51072580 \h </w:instrText>
            </w:r>
            <w:r w:rsidR="00D10B3E">
              <w:rPr>
                <w:webHidden/>
              </w:rPr>
            </w:r>
            <w:r w:rsidR="00D10B3E">
              <w:rPr>
                <w:webHidden/>
              </w:rPr>
              <w:fldChar w:fldCharType="separate"/>
            </w:r>
            <w:r w:rsidR="00D10B3E">
              <w:rPr>
                <w:webHidden/>
              </w:rPr>
              <w:t>138</w:t>
            </w:r>
            <w:r w:rsidR="00D10B3E">
              <w:rPr>
                <w:webHidden/>
              </w:rPr>
              <w:fldChar w:fldCharType="end"/>
            </w:r>
          </w:hyperlink>
        </w:p>
        <w:p w:rsidR="00D10B3E" w:rsidRDefault="007055AF" w:rsidP="00D10B3E">
          <w:pPr>
            <w:pStyle w:val="ndice3"/>
            <w:rPr>
              <w:rFonts w:asciiTheme="minorHAnsi" w:eastAsiaTheme="minorEastAsia" w:hAnsiTheme="minorHAnsi"/>
              <w:sz w:val="22"/>
              <w:szCs w:val="22"/>
            </w:rPr>
          </w:pPr>
          <w:hyperlink w:anchor="_Toc51072581" w:history="1">
            <w:r w:rsidR="00D10B3E" w:rsidRPr="009D7544">
              <w:rPr>
                <w:rStyle w:val="Hiperligao"/>
                <w:rFonts w:ascii="Wingdings" w:hAnsi="Wingdings"/>
              </w:rPr>
              <w:t></w:t>
            </w:r>
            <w:r w:rsidR="00D10B3E">
              <w:rPr>
                <w:rFonts w:asciiTheme="minorHAnsi" w:eastAsiaTheme="minorEastAsia" w:hAnsiTheme="minorHAnsi"/>
                <w:sz w:val="22"/>
                <w:szCs w:val="22"/>
              </w:rPr>
              <w:tab/>
            </w:r>
            <w:r w:rsidR="00D10B3E" w:rsidRPr="009D7544">
              <w:rPr>
                <w:rStyle w:val="Hiperligao"/>
              </w:rPr>
              <w:t>7.1.2. Identification des risques professionnels</w:t>
            </w:r>
            <w:r w:rsidR="00D10B3E">
              <w:rPr>
                <w:webHidden/>
              </w:rPr>
              <w:tab/>
            </w:r>
            <w:r w:rsidR="00D10B3E">
              <w:rPr>
                <w:webHidden/>
              </w:rPr>
              <w:fldChar w:fldCharType="begin"/>
            </w:r>
            <w:r w:rsidR="00D10B3E">
              <w:rPr>
                <w:webHidden/>
              </w:rPr>
              <w:instrText xml:space="preserve"> PAGEREF _Toc51072581 \h </w:instrText>
            </w:r>
            <w:r w:rsidR="00D10B3E">
              <w:rPr>
                <w:webHidden/>
              </w:rPr>
            </w:r>
            <w:r w:rsidR="00D10B3E">
              <w:rPr>
                <w:webHidden/>
              </w:rPr>
              <w:fldChar w:fldCharType="separate"/>
            </w:r>
            <w:r w:rsidR="00D10B3E">
              <w:rPr>
                <w:webHidden/>
              </w:rPr>
              <w:t>139</w:t>
            </w:r>
            <w:r w:rsidR="00D10B3E">
              <w:rPr>
                <w:webHidden/>
              </w:rPr>
              <w:fldChar w:fldCharType="end"/>
            </w:r>
          </w:hyperlink>
        </w:p>
        <w:p w:rsidR="00D10B3E" w:rsidRDefault="007055AF" w:rsidP="00D10B3E">
          <w:pPr>
            <w:pStyle w:val="ndice3"/>
            <w:rPr>
              <w:rFonts w:asciiTheme="minorHAnsi" w:eastAsiaTheme="minorEastAsia" w:hAnsiTheme="minorHAnsi"/>
              <w:sz w:val="22"/>
              <w:szCs w:val="22"/>
            </w:rPr>
          </w:pPr>
          <w:hyperlink w:anchor="_Toc51072582" w:history="1">
            <w:r w:rsidR="00D10B3E" w:rsidRPr="009D7544">
              <w:rPr>
                <w:rStyle w:val="Hiperligao"/>
              </w:rPr>
              <w:t>7.1.3.</w:t>
            </w:r>
            <w:r w:rsidR="00D10B3E">
              <w:rPr>
                <w:rFonts w:asciiTheme="minorHAnsi" w:eastAsiaTheme="minorEastAsia" w:hAnsiTheme="minorHAnsi"/>
                <w:sz w:val="22"/>
                <w:szCs w:val="22"/>
              </w:rPr>
              <w:tab/>
            </w:r>
            <w:r w:rsidR="00D10B3E" w:rsidRPr="009D7544">
              <w:rPr>
                <w:rStyle w:val="Hiperligao"/>
              </w:rPr>
              <w:t>Risques liés aux substances et/ou produits stockés en phase travaux et en phase exploitation</w:t>
            </w:r>
            <w:r w:rsidR="00D10B3E">
              <w:rPr>
                <w:webHidden/>
              </w:rPr>
              <w:tab/>
            </w:r>
            <w:r w:rsidR="00D10B3E">
              <w:rPr>
                <w:webHidden/>
              </w:rPr>
              <w:fldChar w:fldCharType="begin"/>
            </w:r>
            <w:r w:rsidR="00D10B3E">
              <w:rPr>
                <w:webHidden/>
              </w:rPr>
              <w:instrText xml:space="preserve"> PAGEREF _Toc51072582 \h </w:instrText>
            </w:r>
            <w:r w:rsidR="00D10B3E">
              <w:rPr>
                <w:webHidden/>
              </w:rPr>
            </w:r>
            <w:r w:rsidR="00D10B3E">
              <w:rPr>
                <w:webHidden/>
              </w:rPr>
              <w:fldChar w:fldCharType="separate"/>
            </w:r>
            <w:r w:rsidR="00D10B3E">
              <w:rPr>
                <w:webHidden/>
              </w:rPr>
              <w:t>144</w:t>
            </w:r>
            <w:r w:rsidR="00D10B3E">
              <w:rPr>
                <w:webHidden/>
              </w:rPr>
              <w:fldChar w:fldCharType="end"/>
            </w:r>
          </w:hyperlink>
        </w:p>
        <w:p w:rsidR="00D10B3E" w:rsidRDefault="007055AF" w:rsidP="00D10B3E">
          <w:pPr>
            <w:pStyle w:val="ndice3"/>
            <w:rPr>
              <w:rFonts w:asciiTheme="minorHAnsi" w:eastAsiaTheme="minorEastAsia" w:hAnsiTheme="minorHAnsi"/>
              <w:sz w:val="22"/>
              <w:szCs w:val="22"/>
            </w:rPr>
          </w:pPr>
          <w:hyperlink w:anchor="_Toc51072583" w:history="1">
            <w:r w:rsidR="00D10B3E" w:rsidRPr="009D7544">
              <w:rPr>
                <w:rStyle w:val="Hiperligao"/>
                <w:rFonts w:ascii="Wingdings" w:hAnsi="Wingdings"/>
              </w:rPr>
              <w:t></w:t>
            </w:r>
            <w:r w:rsidR="00D10B3E">
              <w:rPr>
                <w:rFonts w:asciiTheme="minorHAnsi" w:eastAsiaTheme="minorEastAsia" w:hAnsiTheme="minorHAnsi"/>
                <w:sz w:val="22"/>
                <w:szCs w:val="22"/>
              </w:rPr>
              <w:tab/>
            </w:r>
            <w:r w:rsidR="00D10B3E" w:rsidRPr="009D7544">
              <w:rPr>
                <w:rStyle w:val="Hiperligao"/>
              </w:rPr>
              <w:t>7.1.4. Risques liés aux groupes électrogènes</w:t>
            </w:r>
            <w:r w:rsidR="00D10B3E">
              <w:rPr>
                <w:webHidden/>
              </w:rPr>
              <w:tab/>
            </w:r>
            <w:r w:rsidR="00D10B3E">
              <w:rPr>
                <w:webHidden/>
              </w:rPr>
              <w:fldChar w:fldCharType="begin"/>
            </w:r>
            <w:r w:rsidR="00D10B3E">
              <w:rPr>
                <w:webHidden/>
              </w:rPr>
              <w:instrText xml:space="preserve"> PAGEREF _Toc51072583 \h </w:instrText>
            </w:r>
            <w:r w:rsidR="00D10B3E">
              <w:rPr>
                <w:webHidden/>
              </w:rPr>
            </w:r>
            <w:r w:rsidR="00D10B3E">
              <w:rPr>
                <w:webHidden/>
              </w:rPr>
              <w:fldChar w:fldCharType="separate"/>
            </w:r>
            <w:r w:rsidR="00D10B3E">
              <w:rPr>
                <w:webHidden/>
              </w:rPr>
              <w:t>146</w:t>
            </w:r>
            <w:r w:rsidR="00D10B3E">
              <w:rPr>
                <w:webHidden/>
              </w:rPr>
              <w:fldChar w:fldCharType="end"/>
            </w:r>
          </w:hyperlink>
        </w:p>
        <w:p w:rsidR="00D10B3E" w:rsidRDefault="007055AF" w:rsidP="00D10B3E">
          <w:pPr>
            <w:pStyle w:val="ndice2"/>
            <w:rPr>
              <w:rFonts w:asciiTheme="minorHAnsi" w:eastAsiaTheme="minorEastAsia" w:hAnsiTheme="minorHAnsi" w:cstheme="minorBidi"/>
              <w:sz w:val="22"/>
              <w:szCs w:val="22"/>
            </w:rPr>
          </w:pPr>
          <w:hyperlink w:anchor="_Toc51072584" w:history="1">
            <w:r w:rsidR="00D10B3E" w:rsidRPr="009D7544">
              <w:rPr>
                <w:rStyle w:val="Hiperligao"/>
              </w:rPr>
              <w:t>7.2. ÉVALUATION DES RISQUES PROFESSIONNELS</w:t>
            </w:r>
            <w:r w:rsidR="00D10B3E">
              <w:rPr>
                <w:webHidden/>
              </w:rPr>
              <w:tab/>
            </w:r>
            <w:r w:rsidR="00D10B3E">
              <w:rPr>
                <w:webHidden/>
              </w:rPr>
              <w:fldChar w:fldCharType="begin"/>
            </w:r>
            <w:r w:rsidR="00D10B3E">
              <w:rPr>
                <w:webHidden/>
              </w:rPr>
              <w:instrText xml:space="preserve"> PAGEREF _Toc51072584 \h </w:instrText>
            </w:r>
            <w:r w:rsidR="00D10B3E">
              <w:rPr>
                <w:webHidden/>
              </w:rPr>
            </w:r>
            <w:r w:rsidR="00D10B3E">
              <w:rPr>
                <w:webHidden/>
              </w:rPr>
              <w:fldChar w:fldCharType="separate"/>
            </w:r>
            <w:r w:rsidR="00D10B3E">
              <w:rPr>
                <w:webHidden/>
              </w:rPr>
              <w:t>146</w:t>
            </w:r>
            <w:r w:rsidR="00D10B3E">
              <w:rPr>
                <w:webHidden/>
              </w:rPr>
              <w:fldChar w:fldCharType="end"/>
            </w:r>
          </w:hyperlink>
        </w:p>
        <w:p w:rsidR="00D10B3E" w:rsidRDefault="007055AF" w:rsidP="00D10B3E">
          <w:pPr>
            <w:pStyle w:val="ndice3"/>
            <w:rPr>
              <w:rFonts w:asciiTheme="minorHAnsi" w:eastAsiaTheme="minorEastAsia" w:hAnsiTheme="minorHAnsi"/>
              <w:sz w:val="22"/>
              <w:szCs w:val="22"/>
            </w:rPr>
          </w:pPr>
          <w:hyperlink w:anchor="_Toc51072585" w:history="1">
            <w:r w:rsidR="00D10B3E" w:rsidRPr="009D7544">
              <w:rPr>
                <w:rStyle w:val="Hiperligao"/>
              </w:rPr>
              <w:t>7.2.1. Méthodologie</w:t>
            </w:r>
            <w:r w:rsidR="00D10B3E">
              <w:rPr>
                <w:webHidden/>
              </w:rPr>
              <w:tab/>
            </w:r>
            <w:r w:rsidR="00D10B3E">
              <w:rPr>
                <w:webHidden/>
              </w:rPr>
              <w:fldChar w:fldCharType="begin"/>
            </w:r>
            <w:r w:rsidR="00D10B3E">
              <w:rPr>
                <w:webHidden/>
              </w:rPr>
              <w:instrText xml:space="preserve"> PAGEREF _Toc51072585 \h </w:instrText>
            </w:r>
            <w:r w:rsidR="00D10B3E">
              <w:rPr>
                <w:webHidden/>
              </w:rPr>
            </w:r>
            <w:r w:rsidR="00D10B3E">
              <w:rPr>
                <w:webHidden/>
              </w:rPr>
              <w:fldChar w:fldCharType="separate"/>
            </w:r>
            <w:r w:rsidR="00D10B3E">
              <w:rPr>
                <w:webHidden/>
              </w:rPr>
              <w:t>147</w:t>
            </w:r>
            <w:r w:rsidR="00D10B3E">
              <w:rPr>
                <w:webHidden/>
              </w:rPr>
              <w:fldChar w:fldCharType="end"/>
            </w:r>
          </w:hyperlink>
        </w:p>
        <w:p w:rsidR="00D10B3E" w:rsidRDefault="007055AF" w:rsidP="00D10B3E">
          <w:pPr>
            <w:pStyle w:val="ndice3"/>
            <w:rPr>
              <w:rFonts w:asciiTheme="minorHAnsi" w:eastAsiaTheme="minorEastAsia" w:hAnsiTheme="minorHAnsi"/>
              <w:sz w:val="22"/>
              <w:szCs w:val="22"/>
            </w:rPr>
          </w:pPr>
          <w:hyperlink w:anchor="_Toc51072586" w:history="1">
            <w:r w:rsidR="00D10B3E" w:rsidRPr="009D7544">
              <w:rPr>
                <w:rStyle w:val="Hiperligao"/>
              </w:rPr>
              <w:t>7.2.2. Inventaire des unités de travail</w:t>
            </w:r>
            <w:r w:rsidR="00D10B3E">
              <w:rPr>
                <w:webHidden/>
              </w:rPr>
              <w:tab/>
            </w:r>
            <w:r w:rsidR="00D10B3E">
              <w:rPr>
                <w:webHidden/>
              </w:rPr>
              <w:fldChar w:fldCharType="begin"/>
            </w:r>
            <w:r w:rsidR="00D10B3E">
              <w:rPr>
                <w:webHidden/>
              </w:rPr>
              <w:instrText xml:space="preserve"> PAGEREF _Toc51072586 \h </w:instrText>
            </w:r>
            <w:r w:rsidR="00D10B3E">
              <w:rPr>
                <w:webHidden/>
              </w:rPr>
            </w:r>
            <w:r w:rsidR="00D10B3E">
              <w:rPr>
                <w:webHidden/>
              </w:rPr>
              <w:fldChar w:fldCharType="separate"/>
            </w:r>
            <w:r w:rsidR="00D10B3E">
              <w:rPr>
                <w:webHidden/>
              </w:rPr>
              <w:t>147</w:t>
            </w:r>
            <w:r w:rsidR="00D10B3E">
              <w:rPr>
                <w:webHidden/>
              </w:rPr>
              <w:fldChar w:fldCharType="end"/>
            </w:r>
          </w:hyperlink>
        </w:p>
        <w:p w:rsidR="00D10B3E" w:rsidRDefault="007055AF" w:rsidP="00D10B3E">
          <w:pPr>
            <w:pStyle w:val="ndice3"/>
            <w:rPr>
              <w:rFonts w:asciiTheme="minorHAnsi" w:eastAsiaTheme="minorEastAsia" w:hAnsiTheme="minorHAnsi"/>
              <w:sz w:val="22"/>
              <w:szCs w:val="22"/>
            </w:rPr>
          </w:pPr>
          <w:hyperlink w:anchor="_Toc51072587" w:history="1">
            <w:r w:rsidR="00D10B3E" w:rsidRPr="009D7544">
              <w:rPr>
                <w:rStyle w:val="Hiperligao"/>
              </w:rPr>
              <w:t>7.2.3. Identification et évaluation des risques</w:t>
            </w:r>
            <w:r w:rsidR="00D10B3E">
              <w:rPr>
                <w:webHidden/>
              </w:rPr>
              <w:tab/>
            </w:r>
            <w:r w:rsidR="00D10B3E">
              <w:rPr>
                <w:webHidden/>
              </w:rPr>
              <w:fldChar w:fldCharType="begin"/>
            </w:r>
            <w:r w:rsidR="00D10B3E">
              <w:rPr>
                <w:webHidden/>
              </w:rPr>
              <w:instrText xml:space="preserve"> PAGEREF _Toc51072587 \h </w:instrText>
            </w:r>
            <w:r w:rsidR="00D10B3E">
              <w:rPr>
                <w:webHidden/>
              </w:rPr>
            </w:r>
            <w:r w:rsidR="00D10B3E">
              <w:rPr>
                <w:webHidden/>
              </w:rPr>
              <w:fldChar w:fldCharType="separate"/>
            </w:r>
            <w:r w:rsidR="00D10B3E">
              <w:rPr>
                <w:webHidden/>
              </w:rPr>
              <w:t>147</w:t>
            </w:r>
            <w:r w:rsidR="00D10B3E">
              <w:rPr>
                <w:webHidden/>
              </w:rPr>
              <w:fldChar w:fldCharType="end"/>
            </w:r>
          </w:hyperlink>
        </w:p>
        <w:p w:rsidR="00D10B3E" w:rsidRDefault="007055AF" w:rsidP="00D10B3E">
          <w:pPr>
            <w:pStyle w:val="ndice3"/>
            <w:rPr>
              <w:rFonts w:asciiTheme="minorHAnsi" w:eastAsiaTheme="minorEastAsia" w:hAnsiTheme="minorHAnsi"/>
              <w:sz w:val="22"/>
              <w:szCs w:val="22"/>
            </w:rPr>
          </w:pPr>
          <w:hyperlink w:anchor="_Toc51072588" w:history="1">
            <w:r w:rsidR="00D10B3E" w:rsidRPr="009D7544">
              <w:rPr>
                <w:rStyle w:val="Hiperligao"/>
              </w:rPr>
              <w:t>7.2.4. Présentation des résultats</w:t>
            </w:r>
            <w:r w:rsidR="00D10B3E">
              <w:rPr>
                <w:webHidden/>
              </w:rPr>
              <w:tab/>
            </w:r>
            <w:r w:rsidR="00D10B3E">
              <w:rPr>
                <w:webHidden/>
              </w:rPr>
              <w:fldChar w:fldCharType="begin"/>
            </w:r>
            <w:r w:rsidR="00D10B3E">
              <w:rPr>
                <w:webHidden/>
              </w:rPr>
              <w:instrText xml:space="preserve"> PAGEREF _Toc51072588 \h </w:instrText>
            </w:r>
            <w:r w:rsidR="00D10B3E">
              <w:rPr>
                <w:webHidden/>
              </w:rPr>
            </w:r>
            <w:r w:rsidR="00D10B3E">
              <w:rPr>
                <w:webHidden/>
              </w:rPr>
              <w:fldChar w:fldCharType="separate"/>
            </w:r>
            <w:r w:rsidR="00D10B3E">
              <w:rPr>
                <w:webHidden/>
              </w:rPr>
              <w:t>148</w:t>
            </w:r>
            <w:r w:rsidR="00D10B3E">
              <w:rPr>
                <w:webHidden/>
              </w:rPr>
              <w:fldChar w:fldCharType="end"/>
            </w:r>
          </w:hyperlink>
        </w:p>
        <w:p w:rsidR="00D10B3E" w:rsidRDefault="007055AF" w:rsidP="00D10B3E">
          <w:pPr>
            <w:pStyle w:val="ndice2"/>
            <w:rPr>
              <w:rFonts w:asciiTheme="minorHAnsi" w:eastAsiaTheme="minorEastAsia" w:hAnsiTheme="minorHAnsi" w:cstheme="minorBidi"/>
              <w:sz w:val="22"/>
              <w:szCs w:val="22"/>
            </w:rPr>
          </w:pPr>
          <w:hyperlink w:anchor="_Toc51072589" w:history="1">
            <w:r w:rsidR="00D10B3E" w:rsidRPr="009D7544">
              <w:rPr>
                <w:rStyle w:val="Hiperligao"/>
              </w:rPr>
              <w:t>7.3. ACCIDENTOLOGIE</w:t>
            </w:r>
            <w:r w:rsidR="00D10B3E">
              <w:rPr>
                <w:webHidden/>
              </w:rPr>
              <w:tab/>
            </w:r>
            <w:r w:rsidR="00D10B3E">
              <w:rPr>
                <w:webHidden/>
              </w:rPr>
              <w:fldChar w:fldCharType="begin"/>
            </w:r>
            <w:r w:rsidR="00D10B3E">
              <w:rPr>
                <w:webHidden/>
              </w:rPr>
              <w:instrText xml:space="preserve"> PAGEREF _Toc51072589 \h </w:instrText>
            </w:r>
            <w:r w:rsidR="00D10B3E">
              <w:rPr>
                <w:webHidden/>
              </w:rPr>
            </w:r>
            <w:r w:rsidR="00D10B3E">
              <w:rPr>
                <w:webHidden/>
              </w:rPr>
              <w:fldChar w:fldCharType="separate"/>
            </w:r>
            <w:r w:rsidR="00D10B3E">
              <w:rPr>
                <w:webHidden/>
              </w:rPr>
              <w:t>153</w:t>
            </w:r>
            <w:r w:rsidR="00D10B3E">
              <w:rPr>
                <w:webHidden/>
              </w:rPr>
              <w:fldChar w:fldCharType="end"/>
            </w:r>
          </w:hyperlink>
        </w:p>
        <w:p w:rsidR="00D10B3E" w:rsidRDefault="007055AF" w:rsidP="00D10B3E">
          <w:pPr>
            <w:pStyle w:val="ndice3"/>
            <w:rPr>
              <w:rFonts w:asciiTheme="minorHAnsi" w:eastAsiaTheme="minorEastAsia" w:hAnsiTheme="minorHAnsi"/>
              <w:sz w:val="22"/>
              <w:szCs w:val="22"/>
            </w:rPr>
          </w:pPr>
          <w:hyperlink w:anchor="_Toc51072590" w:history="1">
            <w:r w:rsidR="00D10B3E" w:rsidRPr="009D7544">
              <w:rPr>
                <w:rStyle w:val="Hiperligao"/>
              </w:rPr>
              <w:t>7.3.1. Analyse de l’accidentologie</w:t>
            </w:r>
            <w:r w:rsidR="00D10B3E">
              <w:rPr>
                <w:webHidden/>
              </w:rPr>
              <w:tab/>
            </w:r>
            <w:r w:rsidR="00D10B3E">
              <w:rPr>
                <w:webHidden/>
              </w:rPr>
              <w:fldChar w:fldCharType="begin"/>
            </w:r>
            <w:r w:rsidR="00D10B3E">
              <w:rPr>
                <w:webHidden/>
              </w:rPr>
              <w:instrText xml:space="preserve"> PAGEREF _Toc51072590 \h </w:instrText>
            </w:r>
            <w:r w:rsidR="00D10B3E">
              <w:rPr>
                <w:webHidden/>
              </w:rPr>
            </w:r>
            <w:r w:rsidR="00D10B3E">
              <w:rPr>
                <w:webHidden/>
              </w:rPr>
              <w:fldChar w:fldCharType="separate"/>
            </w:r>
            <w:r w:rsidR="00D10B3E">
              <w:rPr>
                <w:webHidden/>
              </w:rPr>
              <w:t>153</w:t>
            </w:r>
            <w:r w:rsidR="00D10B3E">
              <w:rPr>
                <w:webHidden/>
              </w:rPr>
              <w:fldChar w:fldCharType="end"/>
            </w:r>
          </w:hyperlink>
        </w:p>
        <w:p w:rsidR="00D10B3E" w:rsidRDefault="007055AF" w:rsidP="00D10B3E">
          <w:pPr>
            <w:pStyle w:val="ndice2"/>
            <w:rPr>
              <w:rFonts w:asciiTheme="minorHAnsi" w:eastAsiaTheme="minorEastAsia" w:hAnsiTheme="minorHAnsi" w:cstheme="minorBidi"/>
              <w:sz w:val="22"/>
              <w:szCs w:val="22"/>
            </w:rPr>
          </w:pPr>
          <w:hyperlink w:anchor="_Toc51072591" w:history="1">
            <w:r w:rsidR="00D10B3E" w:rsidRPr="009D7544">
              <w:rPr>
                <w:rStyle w:val="Hiperligao"/>
              </w:rPr>
              <w:t>7.4. Mesures de gestion des risques liés à la santé et sécurité</w:t>
            </w:r>
            <w:r w:rsidR="00D10B3E">
              <w:rPr>
                <w:webHidden/>
              </w:rPr>
              <w:tab/>
            </w:r>
            <w:r w:rsidR="00D10B3E">
              <w:rPr>
                <w:webHidden/>
              </w:rPr>
              <w:fldChar w:fldCharType="begin"/>
            </w:r>
            <w:r w:rsidR="00D10B3E">
              <w:rPr>
                <w:webHidden/>
              </w:rPr>
              <w:instrText xml:space="preserve"> PAGEREF _Toc51072591 \h </w:instrText>
            </w:r>
            <w:r w:rsidR="00D10B3E">
              <w:rPr>
                <w:webHidden/>
              </w:rPr>
            </w:r>
            <w:r w:rsidR="00D10B3E">
              <w:rPr>
                <w:webHidden/>
              </w:rPr>
              <w:fldChar w:fldCharType="separate"/>
            </w:r>
            <w:r w:rsidR="00D10B3E">
              <w:rPr>
                <w:webHidden/>
              </w:rPr>
              <w:t>155</w:t>
            </w:r>
            <w:r w:rsidR="00D10B3E">
              <w:rPr>
                <w:webHidden/>
              </w:rPr>
              <w:fldChar w:fldCharType="end"/>
            </w:r>
          </w:hyperlink>
        </w:p>
        <w:p w:rsidR="00D10B3E" w:rsidRDefault="007055AF" w:rsidP="00D10B3E">
          <w:pPr>
            <w:pStyle w:val="ndice3"/>
            <w:rPr>
              <w:rFonts w:asciiTheme="minorHAnsi" w:eastAsiaTheme="minorEastAsia" w:hAnsiTheme="minorHAnsi"/>
              <w:sz w:val="22"/>
              <w:szCs w:val="22"/>
            </w:rPr>
          </w:pPr>
          <w:hyperlink w:anchor="_Toc51072592" w:history="1">
            <w:r w:rsidR="00D10B3E" w:rsidRPr="009D7544">
              <w:rPr>
                <w:rStyle w:val="Hiperligao"/>
              </w:rPr>
              <w:t>7.4.1. Mesures de Prévention</w:t>
            </w:r>
            <w:r w:rsidR="00D10B3E">
              <w:rPr>
                <w:webHidden/>
              </w:rPr>
              <w:tab/>
            </w:r>
            <w:r w:rsidR="00D10B3E">
              <w:rPr>
                <w:webHidden/>
              </w:rPr>
              <w:fldChar w:fldCharType="begin"/>
            </w:r>
            <w:r w:rsidR="00D10B3E">
              <w:rPr>
                <w:webHidden/>
              </w:rPr>
              <w:instrText xml:space="preserve"> PAGEREF _Toc51072592 \h </w:instrText>
            </w:r>
            <w:r w:rsidR="00D10B3E">
              <w:rPr>
                <w:webHidden/>
              </w:rPr>
            </w:r>
            <w:r w:rsidR="00D10B3E">
              <w:rPr>
                <w:webHidden/>
              </w:rPr>
              <w:fldChar w:fldCharType="separate"/>
            </w:r>
            <w:r w:rsidR="00D10B3E">
              <w:rPr>
                <w:webHidden/>
              </w:rPr>
              <w:t>155</w:t>
            </w:r>
            <w:r w:rsidR="00D10B3E">
              <w:rPr>
                <w:webHidden/>
              </w:rPr>
              <w:fldChar w:fldCharType="end"/>
            </w:r>
          </w:hyperlink>
        </w:p>
        <w:p w:rsidR="00D10B3E" w:rsidRDefault="007055AF" w:rsidP="00D10B3E">
          <w:pPr>
            <w:pStyle w:val="ndice3"/>
            <w:rPr>
              <w:rFonts w:asciiTheme="minorHAnsi" w:eastAsiaTheme="minorEastAsia" w:hAnsiTheme="minorHAnsi"/>
              <w:sz w:val="22"/>
              <w:szCs w:val="22"/>
            </w:rPr>
          </w:pPr>
          <w:hyperlink w:anchor="_Toc51072593" w:history="1">
            <w:r w:rsidR="00D10B3E" w:rsidRPr="009D7544">
              <w:rPr>
                <w:rStyle w:val="Hiperligao"/>
              </w:rPr>
              <w:t>7.4.2. Mesures générales de protection et d’intervention</w:t>
            </w:r>
            <w:r w:rsidR="00D10B3E">
              <w:rPr>
                <w:webHidden/>
              </w:rPr>
              <w:tab/>
            </w:r>
            <w:r w:rsidR="00D10B3E">
              <w:rPr>
                <w:webHidden/>
              </w:rPr>
              <w:fldChar w:fldCharType="begin"/>
            </w:r>
            <w:r w:rsidR="00D10B3E">
              <w:rPr>
                <w:webHidden/>
              </w:rPr>
              <w:instrText xml:space="preserve"> PAGEREF _Toc51072593 \h </w:instrText>
            </w:r>
            <w:r w:rsidR="00D10B3E">
              <w:rPr>
                <w:webHidden/>
              </w:rPr>
            </w:r>
            <w:r w:rsidR="00D10B3E">
              <w:rPr>
                <w:webHidden/>
              </w:rPr>
              <w:fldChar w:fldCharType="separate"/>
            </w:r>
            <w:r w:rsidR="00D10B3E">
              <w:rPr>
                <w:webHidden/>
              </w:rPr>
              <w:t>155</w:t>
            </w:r>
            <w:r w:rsidR="00D10B3E">
              <w:rPr>
                <w:webHidden/>
              </w:rPr>
              <w:fldChar w:fldCharType="end"/>
            </w:r>
          </w:hyperlink>
        </w:p>
        <w:p w:rsidR="00D10B3E" w:rsidRPr="00D10B3E" w:rsidRDefault="007055AF" w:rsidP="00D10B3E">
          <w:pPr>
            <w:pStyle w:val="ndice3"/>
            <w:rPr>
              <w:rStyle w:val="Hiperligao"/>
            </w:rPr>
          </w:pPr>
          <w:hyperlink w:anchor="_Toc51072594" w:history="1">
            <w:r w:rsidR="00D10B3E" w:rsidRPr="00D10B3E">
              <w:rPr>
                <w:rStyle w:val="Hiperligao"/>
              </w:rPr>
              <w:t>7.5. Mesures de sécurité et d’hygiène des risques Professionnels</w:t>
            </w:r>
            <w:r w:rsidR="00D10B3E" w:rsidRPr="00D10B3E">
              <w:rPr>
                <w:rStyle w:val="Hiperligao"/>
                <w:webHidden/>
              </w:rPr>
              <w:tab/>
            </w:r>
            <w:r w:rsidR="00D10B3E" w:rsidRPr="00D10B3E">
              <w:rPr>
                <w:rStyle w:val="Hiperligao"/>
                <w:webHidden/>
              </w:rPr>
              <w:fldChar w:fldCharType="begin"/>
            </w:r>
            <w:r w:rsidR="00D10B3E" w:rsidRPr="00D10B3E">
              <w:rPr>
                <w:rStyle w:val="Hiperligao"/>
                <w:webHidden/>
              </w:rPr>
              <w:instrText xml:space="preserve"> PAGEREF _Toc51072594 \h </w:instrText>
            </w:r>
            <w:r w:rsidR="00D10B3E" w:rsidRPr="00D10B3E">
              <w:rPr>
                <w:rStyle w:val="Hiperligao"/>
                <w:webHidden/>
              </w:rPr>
            </w:r>
            <w:r w:rsidR="00D10B3E" w:rsidRPr="00D10B3E">
              <w:rPr>
                <w:rStyle w:val="Hiperligao"/>
                <w:webHidden/>
              </w:rPr>
              <w:fldChar w:fldCharType="separate"/>
            </w:r>
            <w:r w:rsidR="00D10B3E" w:rsidRPr="00D10B3E">
              <w:rPr>
                <w:rStyle w:val="Hiperligao"/>
                <w:webHidden/>
              </w:rPr>
              <w:t>156</w:t>
            </w:r>
            <w:r w:rsidR="00D10B3E" w:rsidRPr="00D10B3E">
              <w:rPr>
                <w:rStyle w:val="Hiperligao"/>
                <w:webHidden/>
              </w:rPr>
              <w:fldChar w:fldCharType="end"/>
            </w:r>
          </w:hyperlink>
        </w:p>
        <w:p w:rsidR="00D10B3E" w:rsidRDefault="007055AF">
          <w:pPr>
            <w:pStyle w:val="ndice1"/>
            <w:rPr>
              <w:rFonts w:asciiTheme="minorHAnsi" w:eastAsiaTheme="minorEastAsia" w:hAnsiTheme="minorHAnsi" w:cstheme="minorBidi"/>
              <w:b w:val="0"/>
              <w:bCs w:val="0"/>
              <w:caps w:val="0"/>
              <w:color w:val="auto"/>
              <w:sz w:val="22"/>
              <w:szCs w:val="22"/>
              <w:lang w:eastAsia="fr-FR"/>
              <w14:shadow w14:blurRad="0" w14:dist="0" w14:dir="0" w14:sx="0" w14:sy="0" w14:kx="0" w14:ky="0" w14:algn="none">
                <w14:srgbClr w14:val="000000"/>
              </w14:shadow>
              <w14:textOutline w14:w="0" w14:cap="rnd" w14:cmpd="sng" w14:algn="ctr">
                <w14:noFill/>
                <w14:prstDash w14:val="solid"/>
                <w14:bevel/>
              </w14:textOutline>
            </w:rPr>
          </w:pPr>
          <w:hyperlink w:anchor="_Toc51072595" w:history="1">
            <w:r w:rsidR="00D10B3E" w:rsidRPr="009D7544">
              <w:rPr>
                <w:rStyle w:val="Hiperligao"/>
              </w:rPr>
              <w:t>8 * PLAN DE GESTION ENVIRONNEMENTALE ET SOCIALE *</w:t>
            </w:r>
            <w:r w:rsidR="00D10B3E">
              <w:rPr>
                <w:webHidden/>
              </w:rPr>
              <w:tab/>
            </w:r>
            <w:r w:rsidR="00D10B3E">
              <w:rPr>
                <w:webHidden/>
              </w:rPr>
              <w:fldChar w:fldCharType="begin"/>
            </w:r>
            <w:r w:rsidR="00D10B3E">
              <w:rPr>
                <w:webHidden/>
              </w:rPr>
              <w:instrText xml:space="preserve"> PAGEREF _Toc51072595 \h </w:instrText>
            </w:r>
            <w:r w:rsidR="00D10B3E">
              <w:rPr>
                <w:webHidden/>
              </w:rPr>
            </w:r>
            <w:r w:rsidR="00D10B3E">
              <w:rPr>
                <w:webHidden/>
              </w:rPr>
              <w:fldChar w:fldCharType="separate"/>
            </w:r>
            <w:r w:rsidR="00D10B3E">
              <w:rPr>
                <w:webHidden/>
              </w:rPr>
              <w:t>162</w:t>
            </w:r>
            <w:r w:rsidR="00D10B3E">
              <w:rPr>
                <w:webHidden/>
              </w:rPr>
              <w:fldChar w:fldCharType="end"/>
            </w:r>
          </w:hyperlink>
        </w:p>
        <w:p w:rsidR="00D10B3E" w:rsidRDefault="007055AF" w:rsidP="00D10B3E">
          <w:pPr>
            <w:pStyle w:val="ndice2"/>
            <w:rPr>
              <w:rFonts w:asciiTheme="minorHAnsi" w:eastAsiaTheme="minorEastAsia" w:hAnsiTheme="minorHAnsi" w:cstheme="minorBidi"/>
              <w:sz w:val="22"/>
              <w:szCs w:val="22"/>
            </w:rPr>
          </w:pPr>
          <w:hyperlink w:anchor="_Toc51072596" w:history="1">
            <w:r w:rsidR="00D10B3E" w:rsidRPr="009D7544">
              <w:rPr>
                <w:rStyle w:val="Hiperligao"/>
              </w:rPr>
              <w:t>8.1. PLAN D’ATTENUATION DES IMPACTS</w:t>
            </w:r>
            <w:r w:rsidR="00D10B3E">
              <w:rPr>
                <w:webHidden/>
              </w:rPr>
              <w:tab/>
            </w:r>
            <w:r w:rsidR="00D10B3E">
              <w:rPr>
                <w:webHidden/>
              </w:rPr>
              <w:fldChar w:fldCharType="begin"/>
            </w:r>
            <w:r w:rsidR="00D10B3E">
              <w:rPr>
                <w:webHidden/>
              </w:rPr>
              <w:instrText xml:space="preserve"> PAGEREF _Toc51072596 \h </w:instrText>
            </w:r>
            <w:r w:rsidR="00D10B3E">
              <w:rPr>
                <w:webHidden/>
              </w:rPr>
            </w:r>
            <w:r w:rsidR="00D10B3E">
              <w:rPr>
                <w:webHidden/>
              </w:rPr>
              <w:fldChar w:fldCharType="separate"/>
            </w:r>
            <w:r w:rsidR="00D10B3E">
              <w:rPr>
                <w:webHidden/>
              </w:rPr>
              <w:t>162</w:t>
            </w:r>
            <w:r w:rsidR="00D10B3E">
              <w:rPr>
                <w:webHidden/>
              </w:rPr>
              <w:fldChar w:fldCharType="end"/>
            </w:r>
          </w:hyperlink>
        </w:p>
        <w:p w:rsidR="00D10B3E" w:rsidRPr="00EB726E" w:rsidRDefault="007055AF" w:rsidP="00D10B3E">
          <w:pPr>
            <w:pStyle w:val="ndice3"/>
            <w:rPr>
              <w:rFonts w:asciiTheme="minorHAnsi" w:eastAsiaTheme="minorEastAsia" w:hAnsiTheme="minorHAnsi"/>
              <w:sz w:val="22"/>
              <w:szCs w:val="22"/>
            </w:rPr>
          </w:pPr>
          <w:hyperlink w:anchor="_Toc51072597" w:history="1">
            <w:r w:rsidR="00D10B3E" w:rsidRPr="00EB726E">
              <w:rPr>
                <w:rStyle w:val="Hiperligao"/>
              </w:rPr>
              <w:t>8.1.1. Mesures règlementaires</w:t>
            </w:r>
            <w:r w:rsidR="00D10B3E" w:rsidRPr="00EB726E">
              <w:rPr>
                <w:webHidden/>
              </w:rPr>
              <w:tab/>
            </w:r>
            <w:r w:rsidR="00D10B3E" w:rsidRPr="00EB726E">
              <w:rPr>
                <w:webHidden/>
              </w:rPr>
              <w:fldChar w:fldCharType="begin"/>
            </w:r>
            <w:r w:rsidR="00D10B3E" w:rsidRPr="00EB726E">
              <w:rPr>
                <w:webHidden/>
              </w:rPr>
              <w:instrText xml:space="preserve"> PAGEREF _Toc51072597 \h </w:instrText>
            </w:r>
            <w:r w:rsidR="00D10B3E" w:rsidRPr="00EB726E">
              <w:rPr>
                <w:webHidden/>
              </w:rPr>
            </w:r>
            <w:r w:rsidR="00D10B3E" w:rsidRPr="00EB726E">
              <w:rPr>
                <w:webHidden/>
              </w:rPr>
              <w:fldChar w:fldCharType="separate"/>
            </w:r>
            <w:r w:rsidR="00D10B3E" w:rsidRPr="00EB726E">
              <w:rPr>
                <w:webHidden/>
              </w:rPr>
              <w:t>162</w:t>
            </w:r>
            <w:r w:rsidR="00D10B3E" w:rsidRPr="00EB726E">
              <w:rPr>
                <w:webHidden/>
              </w:rPr>
              <w:fldChar w:fldCharType="end"/>
            </w:r>
          </w:hyperlink>
        </w:p>
        <w:p w:rsidR="00D10B3E" w:rsidRPr="00EB726E" w:rsidRDefault="007055AF" w:rsidP="00D10B3E">
          <w:pPr>
            <w:pStyle w:val="ndice3"/>
            <w:rPr>
              <w:rFonts w:asciiTheme="minorHAnsi" w:eastAsiaTheme="minorEastAsia" w:hAnsiTheme="minorHAnsi"/>
              <w:sz w:val="22"/>
              <w:szCs w:val="22"/>
            </w:rPr>
          </w:pPr>
          <w:hyperlink w:anchor="_Toc51072598" w:history="1">
            <w:r w:rsidR="00D10B3E" w:rsidRPr="00EB726E">
              <w:rPr>
                <w:rStyle w:val="Hiperligao"/>
              </w:rPr>
              <w:t>8.1.2. Mesures d’atténuation des impacts</w:t>
            </w:r>
            <w:r w:rsidR="00D10B3E" w:rsidRPr="00EB726E">
              <w:rPr>
                <w:webHidden/>
              </w:rPr>
              <w:tab/>
            </w:r>
            <w:r w:rsidR="00D10B3E" w:rsidRPr="00EB726E">
              <w:rPr>
                <w:webHidden/>
              </w:rPr>
              <w:fldChar w:fldCharType="begin"/>
            </w:r>
            <w:r w:rsidR="00D10B3E" w:rsidRPr="00EB726E">
              <w:rPr>
                <w:webHidden/>
              </w:rPr>
              <w:instrText xml:space="preserve"> PAGEREF _Toc51072598 \h </w:instrText>
            </w:r>
            <w:r w:rsidR="00D10B3E" w:rsidRPr="00EB726E">
              <w:rPr>
                <w:webHidden/>
              </w:rPr>
            </w:r>
            <w:r w:rsidR="00D10B3E" w:rsidRPr="00EB726E">
              <w:rPr>
                <w:webHidden/>
              </w:rPr>
              <w:fldChar w:fldCharType="separate"/>
            </w:r>
            <w:r w:rsidR="00D10B3E" w:rsidRPr="00EB726E">
              <w:rPr>
                <w:webHidden/>
              </w:rPr>
              <w:t>162</w:t>
            </w:r>
            <w:r w:rsidR="00D10B3E" w:rsidRPr="00EB726E">
              <w:rPr>
                <w:webHidden/>
              </w:rPr>
              <w:fldChar w:fldCharType="end"/>
            </w:r>
          </w:hyperlink>
        </w:p>
        <w:p w:rsidR="00D10B3E" w:rsidRDefault="007055AF" w:rsidP="00D10B3E">
          <w:pPr>
            <w:pStyle w:val="ndice2"/>
            <w:rPr>
              <w:rFonts w:asciiTheme="minorHAnsi" w:eastAsiaTheme="minorEastAsia" w:hAnsiTheme="minorHAnsi" w:cstheme="minorBidi"/>
              <w:sz w:val="22"/>
              <w:szCs w:val="22"/>
            </w:rPr>
          </w:pPr>
          <w:hyperlink w:anchor="_Toc51072599" w:history="1">
            <w:r w:rsidR="00D10B3E" w:rsidRPr="009D7544">
              <w:rPr>
                <w:rStyle w:val="Hiperligao"/>
              </w:rPr>
              <w:t>8.2. ROLES ET RESPONSABILITES INSTITUTIONNELLES DANS LA MISE EN ŒUVRE DU PGES ET LA GESTION DU PROJET</w:t>
            </w:r>
            <w:r w:rsidR="00D10B3E">
              <w:rPr>
                <w:webHidden/>
              </w:rPr>
              <w:tab/>
            </w:r>
            <w:r w:rsidR="00D10B3E">
              <w:rPr>
                <w:webHidden/>
              </w:rPr>
              <w:fldChar w:fldCharType="begin"/>
            </w:r>
            <w:r w:rsidR="00D10B3E">
              <w:rPr>
                <w:webHidden/>
              </w:rPr>
              <w:instrText xml:space="preserve"> PAGEREF _Toc51072599 \h </w:instrText>
            </w:r>
            <w:r w:rsidR="00D10B3E">
              <w:rPr>
                <w:webHidden/>
              </w:rPr>
            </w:r>
            <w:r w:rsidR="00D10B3E">
              <w:rPr>
                <w:webHidden/>
              </w:rPr>
              <w:fldChar w:fldCharType="separate"/>
            </w:r>
            <w:r w:rsidR="00D10B3E">
              <w:rPr>
                <w:webHidden/>
              </w:rPr>
              <w:t>180</w:t>
            </w:r>
            <w:r w:rsidR="00D10B3E">
              <w:rPr>
                <w:webHidden/>
              </w:rPr>
              <w:fldChar w:fldCharType="end"/>
            </w:r>
          </w:hyperlink>
        </w:p>
        <w:p w:rsidR="00D10B3E" w:rsidRDefault="007055AF" w:rsidP="00D10B3E">
          <w:pPr>
            <w:pStyle w:val="ndice2"/>
            <w:rPr>
              <w:rFonts w:asciiTheme="minorHAnsi" w:eastAsiaTheme="minorEastAsia" w:hAnsiTheme="minorHAnsi" w:cstheme="minorBidi"/>
              <w:sz w:val="22"/>
              <w:szCs w:val="22"/>
            </w:rPr>
          </w:pPr>
          <w:hyperlink w:anchor="_Toc51072600" w:history="1">
            <w:r w:rsidR="00D10B3E" w:rsidRPr="009D7544">
              <w:rPr>
                <w:rStyle w:val="Hiperligao"/>
              </w:rPr>
              <w:t>8.3. PLAN DE SURVEILLANCE ET DE SUIVI ENVIRONNEMENTAL</w:t>
            </w:r>
            <w:r w:rsidR="00D10B3E">
              <w:rPr>
                <w:webHidden/>
              </w:rPr>
              <w:tab/>
            </w:r>
            <w:r w:rsidR="00D10B3E">
              <w:rPr>
                <w:webHidden/>
              </w:rPr>
              <w:fldChar w:fldCharType="begin"/>
            </w:r>
            <w:r w:rsidR="00D10B3E">
              <w:rPr>
                <w:webHidden/>
              </w:rPr>
              <w:instrText xml:space="preserve"> PAGEREF _Toc51072600 \h </w:instrText>
            </w:r>
            <w:r w:rsidR="00D10B3E">
              <w:rPr>
                <w:webHidden/>
              </w:rPr>
            </w:r>
            <w:r w:rsidR="00D10B3E">
              <w:rPr>
                <w:webHidden/>
              </w:rPr>
              <w:fldChar w:fldCharType="separate"/>
            </w:r>
            <w:r w:rsidR="00D10B3E">
              <w:rPr>
                <w:webHidden/>
              </w:rPr>
              <w:t>182</w:t>
            </w:r>
            <w:r w:rsidR="00D10B3E">
              <w:rPr>
                <w:webHidden/>
              </w:rPr>
              <w:fldChar w:fldCharType="end"/>
            </w:r>
          </w:hyperlink>
        </w:p>
        <w:p w:rsidR="00D10B3E" w:rsidRPr="00EB726E" w:rsidRDefault="007055AF" w:rsidP="00D10B3E">
          <w:pPr>
            <w:pStyle w:val="ndice3"/>
            <w:rPr>
              <w:rFonts w:asciiTheme="minorHAnsi" w:eastAsiaTheme="minorEastAsia" w:hAnsiTheme="minorHAnsi"/>
              <w:sz w:val="22"/>
              <w:szCs w:val="22"/>
            </w:rPr>
          </w:pPr>
          <w:hyperlink w:anchor="_Toc51072601" w:history="1">
            <w:r w:rsidR="00D10B3E" w:rsidRPr="00EB726E">
              <w:rPr>
                <w:rStyle w:val="Hiperligao"/>
              </w:rPr>
              <w:t>8.3.1. SURVEILLANCE ENVIRONNEMENTALE ET SOCIALE</w:t>
            </w:r>
            <w:r w:rsidR="00D10B3E" w:rsidRPr="00EB726E">
              <w:rPr>
                <w:webHidden/>
              </w:rPr>
              <w:tab/>
            </w:r>
            <w:r w:rsidR="00D10B3E" w:rsidRPr="00EB726E">
              <w:rPr>
                <w:webHidden/>
              </w:rPr>
              <w:fldChar w:fldCharType="begin"/>
            </w:r>
            <w:r w:rsidR="00D10B3E" w:rsidRPr="00EB726E">
              <w:rPr>
                <w:webHidden/>
              </w:rPr>
              <w:instrText xml:space="preserve"> PAGEREF _Toc51072601 \h </w:instrText>
            </w:r>
            <w:r w:rsidR="00D10B3E" w:rsidRPr="00EB726E">
              <w:rPr>
                <w:webHidden/>
              </w:rPr>
            </w:r>
            <w:r w:rsidR="00D10B3E" w:rsidRPr="00EB726E">
              <w:rPr>
                <w:webHidden/>
              </w:rPr>
              <w:fldChar w:fldCharType="separate"/>
            </w:r>
            <w:r w:rsidR="00D10B3E" w:rsidRPr="00EB726E">
              <w:rPr>
                <w:webHidden/>
              </w:rPr>
              <w:t>183</w:t>
            </w:r>
            <w:r w:rsidR="00D10B3E" w:rsidRPr="00EB726E">
              <w:rPr>
                <w:webHidden/>
              </w:rPr>
              <w:fldChar w:fldCharType="end"/>
            </w:r>
          </w:hyperlink>
        </w:p>
        <w:p w:rsidR="00D10B3E" w:rsidRPr="00EB726E" w:rsidRDefault="007055AF" w:rsidP="00D10B3E">
          <w:pPr>
            <w:pStyle w:val="ndice3"/>
            <w:rPr>
              <w:rFonts w:asciiTheme="minorHAnsi" w:eastAsiaTheme="minorEastAsia" w:hAnsiTheme="minorHAnsi"/>
              <w:sz w:val="22"/>
              <w:szCs w:val="22"/>
            </w:rPr>
          </w:pPr>
          <w:hyperlink w:anchor="_Toc51072602" w:history="1">
            <w:r w:rsidR="00D10B3E" w:rsidRPr="00EB726E">
              <w:rPr>
                <w:rStyle w:val="Hiperligao"/>
              </w:rPr>
              <w:t>8.3.2. SUIVI ENVIRONNEMENTAL ET SOCIAL</w:t>
            </w:r>
            <w:r w:rsidR="00D10B3E" w:rsidRPr="00EB726E">
              <w:rPr>
                <w:webHidden/>
              </w:rPr>
              <w:tab/>
            </w:r>
            <w:r w:rsidR="00D10B3E" w:rsidRPr="00EB726E">
              <w:rPr>
                <w:webHidden/>
              </w:rPr>
              <w:fldChar w:fldCharType="begin"/>
            </w:r>
            <w:r w:rsidR="00D10B3E" w:rsidRPr="00EB726E">
              <w:rPr>
                <w:webHidden/>
              </w:rPr>
              <w:instrText xml:space="preserve"> PAGEREF _Toc51072602 \h </w:instrText>
            </w:r>
            <w:r w:rsidR="00D10B3E" w:rsidRPr="00EB726E">
              <w:rPr>
                <w:webHidden/>
              </w:rPr>
            </w:r>
            <w:r w:rsidR="00D10B3E" w:rsidRPr="00EB726E">
              <w:rPr>
                <w:webHidden/>
              </w:rPr>
              <w:fldChar w:fldCharType="separate"/>
            </w:r>
            <w:r w:rsidR="00D10B3E" w:rsidRPr="00EB726E">
              <w:rPr>
                <w:webHidden/>
              </w:rPr>
              <w:t>183</w:t>
            </w:r>
            <w:r w:rsidR="00D10B3E" w:rsidRPr="00EB726E">
              <w:rPr>
                <w:webHidden/>
              </w:rPr>
              <w:fldChar w:fldCharType="end"/>
            </w:r>
          </w:hyperlink>
        </w:p>
        <w:p w:rsidR="00D10B3E" w:rsidRPr="00EB726E" w:rsidRDefault="007055AF" w:rsidP="00D10B3E">
          <w:pPr>
            <w:pStyle w:val="ndice3"/>
            <w:rPr>
              <w:rFonts w:asciiTheme="minorHAnsi" w:eastAsiaTheme="minorEastAsia" w:hAnsiTheme="minorHAnsi"/>
              <w:sz w:val="22"/>
              <w:szCs w:val="22"/>
            </w:rPr>
          </w:pPr>
          <w:hyperlink w:anchor="_Toc51072603" w:history="1">
            <w:r w:rsidR="00D10B3E" w:rsidRPr="00EB726E">
              <w:rPr>
                <w:rStyle w:val="Hiperligao"/>
              </w:rPr>
              <w:t>8.3.3. INDICATEURS DE SUIVI ENVIRONNEMENTAL ET SOCIAL</w:t>
            </w:r>
            <w:r w:rsidR="00D10B3E" w:rsidRPr="00EB726E">
              <w:rPr>
                <w:webHidden/>
              </w:rPr>
              <w:tab/>
            </w:r>
            <w:r w:rsidR="00D10B3E" w:rsidRPr="00EB726E">
              <w:rPr>
                <w:webHidden/>
              </w:rPr>
              <w:fldChar w:fldCharType="begin"/>
            </w:r>
            <w:r w:rsidR="00D10B3E" w:rsidRPr="00EB726E">
              <w:rPr>
                <w:webHidden/>
              </w:rPr>
              <w:instrText xml:space="preserve"> PAGEREF _Toc51072603 \h </w:instrText>
            </w:r>
            <w:r w:rsidR="00D10B3E" w:rsidRPr="00EB726E">
              <w:rPr>
                <w:webHidden/>
              </w:rPr>
            </w:r>
            <w:r w:rsidR="00D10B3E" w:rsidRPr="00EB726E">
              <w:rPr>
                <w:webHidden/>
              </w:rPr>
              <w:fldChar w:fldCharType="separate"/>
            </w:r>
            <w:r w:rsidR="00D10B3E" w:rsidRPr="00EB726E">
              <w:rPr>
                <w:webHidden/>
              </w:rPr>
              <w:t>183</w:t>
            </w:r>
            <w:r w:rsidR="00D10B3E" w:rsidRPr="00EB726E">
              <w:rPr>
                <w:webHidden/>
              </w:rPr>
              <w:fldChar w:fldCharType="end"/>
            </w:r>
          </w:hyperlink>
        </w:p>
        <w:p w:rsidR="00D10B3E" w:rsidRDefault="007055AF" w:rsidP="00D10B3E">
          <w:pPr>
            <w:pStyle w:val="ndice2"/>
            <w:rPr>
              <w:rFonts w:asciiTheme="minorHAnsi" w:eastAsiaTheme="minorEastAsia" w:hAnsiTheme="minorHAnsi" w:cstheme="minorBidi"/>
              <w:sz w:val="22"/>
              <w:szCs w:val="22"/>
            </w:rPr>
          </w:pPr>
          <w:hyperlink w:anchor="_Toc51072608" w:history="1">
            <w:r w:rsidR="00D10B3E" w:rsidRPr="009D7544">
              <w:rPr>
                <w:rStyle w:val="Hiperligao"/>
              </w:rPr>
              <w:t>8.4. PROGRAMME DE RENFORCEMENT DES CAPACITES</w:t>
            </w:r>
            <w:r w:rsidR="00D10B3E">
              <w:rPr>
                <w:webHidden/>
              </w:rPr>
              <w:tab/>
            </w:r>
            <w:r w:rsidR="00D10B3E">
              <w:rPr>
                <w:webHidden/>
              </w:rPr>
              <w:fldChar w:fldCharType="begin"/>
            </w:r>
            <w:r w:rsidR="00D10B3E">
              <w:rPr>
                <w:webHidden/>
              </w:rPr>
              <w:instrText xml:space="preserve"> PAGEREF _Toc51072608 \h </w:instrText>
            </w:r>
            <w:r w:rsidR="00D10B3E">
              <w:rPr>
                <w:webHidden/>
              </w:rPr>
            </w:r>
            <w:r w:rsidR="00D10B3E">
              <w:rPr>
                <w:webHidden/>
              </w:rPr>
              <w:fldChar w:fldCharType="separate"/>
            </w:r>
            <w:r w:rsidR="00D10B3E">
              <w:rPr>
                <w:webHidden/>
              </w:rPr>
              <w:t>190</w:t>
            </w:r>
            <w:r w:rsidR="00D10B3E">
              <w:rPr>
                <w:webHidden/>
              </w:rPr>
              <w:fldChar w:fldCharType="end"/>
            </w:r>
          </w:hyperlink>
        </w:p>
        <w:p w:rsidR="00D10B3E" w:rsidRDefault="007055AF" w:rsidP="00D10B3E">
          <w:pPr>
            <w:pStyle w:val="ndice2"/>
            <w:rPr>
              <w:rFonts w:asciiTheme="minorHAnsi" w:eastAsiaTheme="minorEastAsia" w:hAnsiTheme="minorHAnsi" w:cstheme="minorBidi"/>
              <w:sz w:val="22"/>
              <w:szCs w:val="22"/>
            </w:rPr>
          </w:pPr>
          <w:hyperlink w:anchor="_Toc51072609" w:history="1">
            <w:r w:rsidR="00D10B3E" w:rsidRPr="009D7544">
              <w:rPr>
                <w:rStyle w:val="Hiperligao"/>
              </w:rPr>
              <w:t>8.5. ARRANGEMENTS ET RESPONSABILITES INSTITUTIONNELS DE MISE EN ŒUVRE DU PGES</w:t>
            </w:r>
            <w:r w:rsidR="00D10B3E">
              <w:rPr>
                <w:webHidden/>
              </w:rPr>
              <w:tab/>
            </w:r>
            <w:r w:rsidR="00D10B3E">
              <w:rPr>
                <w:webHidden/>
              </w:rPr>
              <w:fldChar w:fldCharType="begin"/>
            </w:r>
            <w:r w:rsidR="00D10B3E">
              <w:rPr>
                <w:webHidden/>
              </w:rPr>
              <w:instrText xml:space="preserve"> PAGEREF _Toc51072609 \h </w:instrText>
            </w:r>
            <w:r w:rsidR="00D10B3E">
              <w:rPr>
                <w:webHidden/>
              </w:rPr>
            </w:r>
            <w:r w:rsidR="00D10B3E">
              <w:rPr>
                <w:webHidden/>
              </w:rPr>
              <w:fldChar w:fldCharType="separate"/>
            </w:r>
            <w:r w:rsidR="00D10B3E">
              <w:rPr>
                <w:webHidden/>
              </w:rPr>
              <w:t>190</w:t>
            </w:r>
            <w:r w:rsidR="00D10B3E">
              <w:rPr>
                <w:webHidden/>
              </w:rPr>
              <w:fldChar w:fldCharType="end"/>
            </w:r>
          </w:hyperlink>
        </w:p>
        <w:p w:rsidR="00D10B3E" w:rsidRDefault="007055AF" w:rsidP="00D10B3E">
          <w:pPr>
            <w:pStyle w:val="ndice2"/>
            <w:rPr>
              <w:rFonts w:asciiTheme="minorHAnsi" w:eastAsiaTheme="minorEastAsia" w:hAnsiTheme="minorHAnsi" w:cstheme="minorBidi"/>
              <w:sz w:val="22"/>
              <w:szCs w:val="22"/>
            </w:rPr>
          </w:pPr>
          <w:hyperlink w:anchor="_Toc51072610" w:history="1">
            <w:r w:rsidR="00D10B3E" w:rsidRPr="009D7544">
              <w:rPr>
                <w:rStyle w:val="Hiperligao"/>
              </w:rPr>
              <w:t>8.6. CONSULTATIONS PUBLIQUES</w:t>
            </w:r>
            <w:r w:rsidR="00D10B3E">
              <w:rPr>
                <w:webHidden/>
              </w:rPr>
              <w:tab/>
            </w:r>
            <w:r w:rsidR="00D10B3E">
              <w:rPr>
                <w:webHidden/>
              </w:rPr>
              <w:fldChar w:fldCharType="begin"/>
            </w:r>
            <w:r w:rsidR="00D10B3E">
              <w:rPr>
                <w:webHidden/>
              </w:rPr>
              <w:instrText xml:space="preserve"> PAGEREF _Toc51072610 \h </w:instrText>
            </w:r>
            <w:r w:rsidR="00D10B3E">
              <w:rPr>
                <w:webHidden/>
              </w:rPr>
            </w:r>
            <w:r w:rsidR="00D10B3E">
              <w:rPr>
                <w:webHidden/>
              </w:rPr>
              <w:fldChar w:fldCharType="separate"/>
            </w:r>
            <w:r w:rsidR="00D10B3E">
              <w:rPr>
                <w:webHidden/>
              </w:rPr>
              <w:t>191</w:t>
            </w:r>
            <w:r w:rsidR="00D10B3E">
              <w:rPr>
                <w:webHidden/>
              </w:rPr>
              <w:fldChar w:fldCharType="end"/>
            </w:r>
          </w:hyperlink>
        </w:p>
        <w:p w:rsidR="00D10B3E" w:rsidRPr="00EB726E" w:rsidRDefault="007055AF" w:rsidP="00D10B3E">
          <w:pPr>
            <w:pStyle w:val="ndice3"/>
            <w:rPr>
              <w:rFonts w:asciiTheme="minorHAnsi" w:eastAsiaTheme="minorEastAsia" w:hAnsiTheme="minorHAnsi"/>
              <w:sz w:val="22"/>
              <w:szCs w:val="22"/>
            </w:rPr>
          </w:pPr>
          <w:hyperlink w:anchor="_Toc51072611" w:history="1">
            <w:r w:rsidR="00D10B3E" w:rsidRPr="00EB726E">
              <w:rPr>
                <w:rStyle w:val="Hiperligao"/>
              </w:rPr>
              <w:t>8.6.1. Principe de la consultation publique</w:t>
            </w:r>
            <w:r w:rsidR="00D10B3E" w:rsidRPr="00EB726E">
              <w:rPr>
                <w:webHidden/>
              </w:rPr>
              <w:tab/>
            </w:r>
            <w:r w:rsidR="00D10B3E" w:rsidRPr="00EB726E">
              <w:rPr>
                <w:webHidden/>
              </w:rPr>
              <w:fldChar w:fldCharType="begin"/>
            </w:r>
            <w:r w:rsidR="00D10B3E" w:rsidRPr="00EB726E">
              <w:rPr>
                <w:webHidden/>
              </w:rPr>
              <w:instrText xml:space="preserve"> PAGEREF _Toc51072611 \h </w:instrText>
            </w:r>
            <w:r w:rsidR="00D10B3E" w:rsidRPr="00EB726E">
              <w:rPr>
                <w:webHidden/>
              </w:rPr>
            </w:r>
            <w:r w:rsidR="00D10B3E" w:rsidRPr="00EB726E">
              <w:rPr>
                <w:webHidden/>
              </w:rPr>
              <w:fldChar w:fldCharType="separate"/>
            </w:r>
            <w:r w:rsidR="00D10B3E" w:rsidRPr="00EB726E">
              <w:rPr>
                <w:webHidden/>
              </w:rPr>
              <w:t>191</w:t>
            </w:r>
            <w:r w:rsidR="00D10B3E" w:rsidRPr="00EB726E">
              <w:rPr>
                <w:webHidden/>
              </w:rPr>
              <w:fldChar w:fldCharType="end"/>
            </w:r>
          </w:hyperlink>
        </w:p>
        <w:p w:rsidR="00D10B3E" w:rsidRPr="00EB726E" w:rsidRDefault="007055AF" w:rsidP="00D10B3E">
          <w:pPr>
            <w:pStyle w:val="ndice3"/>
            <w:rPr>
              <w:rFonts w:asciiTheme="minorHAnsi" w:eastAsiaTheme="minorEastAsia" w:hAnsiTheme="minorHAnsi"/>
              <w:sz w:val="22"/>
              <w:szCs w:val="22"/>
            </w:rPr>
          </w:pPr>
          <w:hyperlink w:anchor="_Toc51072612" w:history="1">
            <w:r w:rsidR="00D10B3E" w:rsidRPr="00EB726E">
              <w:rPr>
                <w:rStyle w:val="Hiperligao"/>
              </w:rPr>
              <w:t>8.6.2. Méthodologie et Mise en Œuvre de la Consultation</w:t>
            </w:r>
            <w:r w:rsidR="00D10B3E" w:rsidRPr="00EB726E">
              <w:rPr>
                <w:webHidden/>
              </w:rPr>
              <w:tab/>
            </w:r>
            <w:r w:rsidR="00D10B3E" w:rsidRPr="00EB726E">
              <w:rPr>
                <w:webHidden/>
              </w:rPr>
              <w:fldChar w:fldCharType="begin"/>
            </w:r>
            <w:r w:rsidR="00D10B3E" w:rsidRPr="00EB726E">
              <w:rPr>
                <w:webHidden/>
              </w:rPr>
              <w:instrText xml:space="preserve"> PAGEREF _Toc51072612 \h </w:instrText>
            </w:r>
            <w:r w:rsidR="00D10B3E" w:rsidRPr="00EB726E">
              <w:rPr>
                <w:webHidden/>
              </w:rPr>
            </w:r>
            <w:r w:rsidR="00D10B3E" w:rsidRPr="00EB726E">
              <w:rPr>
                <w:webHidden/>
              </w:rPr>
              <w:fldChar w:fldCharType="separate"/>
            </w:r>
            <w:r w:rsidR="00D10B3E" w:rsidRPr="00EB726E">
              <w:rPr>
                <w:webHidden/>
              </w:rPr>
              <w:t>192</w:t>
            </w:r>
            <w:r w:rsidR="00D10B3E" w:rsidRPr="00EB726E">
              <w:rPr>
                <w:webHidden/>
              </w:rPr>
              <w:fldChar w:fldCharType="end"/>
            </w:r>
          </w:hyperlink>
        </w:p>
        <w:p w:rsidR="00D10B3E" w:rsidRPr="00EB726E" w:rsidRDefault="007055AF" w:rsidP="00D10B3E">
          <w:pPr>
            <w:pStyle w:val="ndice3"/>
            <w:rPr>
              <w:rFonts w:asciiTheme="minorHAnsi" w:eastAsiaTheme="minorEastAsia" w:hAnsiTheme="minorHAnsi"/>
              <w:sz w:val="22"/>
              <w:szCs w:val="22"/>
            </w:rPr>
          </w:pPr>
          <w:hyperlink w:anchor="_Toc51072613" w:history="1">
            <w:r w:rsidR="00D10B3E" w:rsidRPr="00EB726E">
              <w:rPr>
                <w:rStyle w:val="Hiperligao"/>
              </w:rPr>
              <w:t>8.6.3. Déroulement de la consultation</w:t>
            </w:r>
            <w:r w:rsidR="00D10B3E" w:rsidRPr="00EB726E">
              <w:rPr>
                <w:webHidden/>
              </w:rPr>
              <w:tab/>
            </w:r>
            <w:r w:rsidR="00D10B3E" w:rsidRPr="00EB726E">
              <w:rPr>
                <w:webHidden/>
              </w:rPr>
              <w:fldChar w:fldCharType="begin"/>
            </w:r>
            <w:r w:rsidR="00D10B3E" w:rsidRPr="00EB726E">
              <w:rPr>
                <w:webHidden/>
              </w:rPr>
              <w:instrText xml:space="preserve"> PAGEREF _Toc51072613 \h </w:instrText>
            </w:r>
            <w:r w:rsidR="00D10B3E" w:rsidRPr="00EB726E">
              <w:rPr>
                <w:webHidden/>
              </w:rPr>
            </w:r>
            <w:r w:rsidR="00D10B3E" w:rsidRPr="00EB726E">
              <w:rPr>
                <w:webHidden/>
              </w:rPr>
              <w:fldChar w:fldCharType="separate"/>
            </w:r>
            <w:r w:rsidR="00D10B3E" w:rsidRPr="00EB726E">
              <w:rPr>
                <w:webHidden/>
              </w:rPr>
              <w:t>192</w:t>
            </w:r>
            <w:r w:rsidR="00D10B3E" w:rsidRPr="00EB726E">
              <w:rPr>
                <w:webHidden/>
              </w:rPr>
              <w:fldChar w:fldCharType="end"/>
            </w:r>
          </w:hyperlink>
        </w:p>
        <w:p w:rsidR="00D10B3E" w:rsidRPr="00EB726E" w:rsidRDefault="007055AF" w:rsidP="00D10B3E">
          <w:pPr>
            <w:pStyle w:val="ndice3"/>
            <w:rPr>
              <w:rFonts w:asciiTheme="minorHAnsi" w:eastAsiaTheme="minorEastAsia" w:hAnsiTheme="minorHAnsi"/>
              <w:sz w:val="22"/>
              <w:szCs w:val="22"/>
            </w:rPr>
          </w:pPr>
          <w:hyperlink w:anchor="_Toc51072614" w:history="1">
            <w:r w:rsidR="00D10B3E" w:rsidRPr="00EB726E">
              <w:rPr>
                <w:rStyle w:val="Hiperligao"/>
              </w:rPr>
              <w:t>8.6.4.  Acteurs consultés</w:t>
            </w:r>
            <w:r w:rsidR="00D10B3E" w:rsidRPr="00EB726E">
              <w:rPr>
                <w:webHidden/>
              </w:rPr>
              <w:tab/>
            </w:r>
            <w:r w:rsidR="00D10B3E" w:rsidRPr="00EB726E">
              <w:rPr>
                <w:webHidden/>
              </w:rPr>
              <w:fldChar w:fldCharType="begin"/>
            </w:r>
            <w:r w:rsidR="00D10B3E" w:rsidRPr="00EB726E">
              <w:rPr>
                <w:webHidden/>
              </w:rPr>
              <w:instrText xml:space="preserve"> PAGEREF _Toc51072614 \h </w:instrText>
            </w:r>
            <w:r w:rsidR="00D10B3E" w:rsidRPr="00EB726E">
              <w:rPr>
                <w:webHidden/>
              </w:rPr>
            </w:r>
            <w:r w:rsidR="00D10B3E" w:rsidRPr="00EB726E">
              <w:rPr>
                <w:webHidden/>
              </w:rPr>
              <w:fldChar w:fldCharType="separate"/>
            </w:r>
            <w:r w:rsidR="00D10B3E" w:rsidRPr="00EB726E">
              <w:rPr>
                <w:webHidden/>
              </w:rPr>
              <w:t>192</w:t>
            </w:r>
            <w:r w:rsidR="00D10B3E" w:rsidRPr="00EB726E">
              <w:rPr>
                <w:webHidden/>
              </w:rPr>
              <w:fldChar w:fldCharType="end"/>
            </w:r>
          </w:hyperlink>
        </w:p>
        <w:p w:rsidR="00D10B3E" w:rsidRPr="00EB726E" w:rsidRDefault="007055AF" w:rsidP="00D10B3E">
          <w:pPr>
            <w:pStyle w:val="ndice3"/>
            <w:rPr>
              <w:rFonts w:asciiTheme="minorHAnsi" w:eastAsiaTheme="minorEastAsia" w:hAnsiTheme="minorHAnsi"/>
              <w:sz w:val="22"/>
              <w:szCs w:val="22"/>
            </w:rPr>
          </w:pPr>
          <w:hyperlink w:anchor="_Toc51072615" w:history="1">
            <w:r w:rsidR="00D10B3E" w:rsidRPr="00EB726E">
              <w:rPr>
                <w:rStyle w:val="Hiperligao"/>
              </w:rPr>
              <w:t>8.6.5. Réunion de cadrage</w:t>
            </w:r>
            <w:r w:rsidR="00D10B3E" w:rsidRPr="00EB726E">
              <w:rPr>
                <w:webHidden/>
              </w:rPr>
              <w:tab/>
            </w:r>
            <w:r w:rsidR="00D10B3E" w:rsidRPr="00EB726E">
              <w:rPr>
                <w:webHidden/>
              </w:rPr>
              <w:fldChar w:fldCharType="begin"/>
            </w:r>
            <w:r w:rsidR="00D10B3E" w:rsidRPr="00EB726E">
              <w:rPr>
                <w:webHidden/>
              </w:rPr>
              <w:instrText xml:space="preserve"> PAGEREF _Toc51072615 \h </w:instrText>
            </w:r>
            <w:r w:rsidR="00D10B3E" w:rsidRPr="00EB726E">
              <w:rPr>
                <w:webHidden/>
              </w:rPr>
            </w:r>
            <w:r w:rsidR="00D10B3E" w:rsidRPr="00EB726E">
              <w:rPr>
                <w:webHidden/>
              </w:rPr>
              <w:fldChar w:fldCharType="separate"/>
            </w:r>
            <w:r w:rsidR="00D10B3E" w:rsidRPr="00EB726E">
              <w:rPr>
                <w:webHidden/>
              </w:rPr>
              <w:t>193</w:t>
            </w:r>
            <w:r w:rsidR="00D10B3E" w:rsidRPr="00EB726E">
              <w:rPr>
                <w:webHidden/>
              </w:rPr>
              <w:fldChar w:fldCharType="end"/>
            </w:r>
          </w:hyperlink>
        </w:p>
        <w:p w:rsidR="00D10B3E" w:rsidRPr="00EB726E" w:rsidRDefault="007055AF" w:rsidP="00D10B3E">
          <w:pPr>
            <w:pStyle w:val="ndice3"/>
            <w:rPr>
              <w:rFonts w:asciiTheme="minorHAnsi" w:eastAsiaTheme="minorEastAsia" w:hAnsiTheme="minorHAnsi"/>
              <w:sz w:val="22"/>
              <w:szCs w:val="22"/>
            </w:rPr>
          </w:pPr>
          <w:hyperlink w:anchor="_Toc51072616" w:history="1">
            <w:r w:rsidR="00D10B3E" w:rsidRPr="00EB726E">
              <w:rPr>
                <w:rStyle w:val="Hiperligao"/>
              </w:rPr>
              <w:t>8.6.7. Préoccupation et perception sur le projet</w:t>
            </w:r>
            <w:r w:rsidR="00D10B3E" w:rsidRPr="00EB726E">
              <w:rPr>
                <w:webHidden/>
              </w:rPr>
              <w:tab/>
            </w:r>
            <w:r w:rsidR="00D10B3E" w:rsidRPr="00EB726E">
              <w:rPr>
                <w:webHidden/>
              </w:rPr>
              <w:fldChar w:fldCharType="begin"/>
            </w:r>
            <w:r w:rsidR="00D10B3E" w:rsidRPr="00EB726E">
              <w:rPr>
                <w:webHidden/>
              </w:rPr>
              <w:instrText xml:space="preserve"> PAGEREF _Toc51072616 \h </w:instrText>
            </w:r>
            <w:r w:rsidR="00D10B3E" w:rsidRPr="00EB726E">
              <w:rPr>
                <w:webHidden/>
              </w:rPr>
            </w:r>
            <w:r w:rsidR="00D10B3E" w:rsidRPr="00EB726E">
              <w:rPr>
                <w:webHidden/>
              </w:rPr>
              <w:fldChar w:fldCharType="separate"/>
            </w:r>
            <w:r w:rsidR="00D10B3E" w:rsidRPr="00EB726E">
              <w:rPr>
                <w:webHidden/>
              </w:rPr>
              <w:t>199</w:t>
            </w:r>
            <w:r w:rsidR="00D10B3E" w:rsidRPr="00EB726E">
              <w:rPr>
                <w:webHidden/>
              </w:rPr>
              <w:fldChar w:fldCharType="end"/>
            </w:r>
          </w:hyperlink>
        </w:p>
        <w:p w:rsidR="00D10B3E" w:rsidRPr="00EB726E" w:rsidRDefault="007055AF" w:rsidP="00D10B3E">
          <w:pPr>
            <w:pStyle w:val="ndice3"/>
            <w:rPr>
              <w:rFonts w:asciiTheme="minorHAnsi" w:eastAsiaTheme="minorEastAsia" w:hAnsiTheme="minorHAnsi"/>
              <w:sz w:val="22"/>
              <w:szCs w:val="22"/>
            </w:rPr>
          </w:pPr>
          <w:hyperlink w:anchor="_Toc51072617" w:history="1">
            <w:r w:rsidR="00D10B3E" w:rsidRPr="00EB726E">
              <w:rPr>
                <w:rStyle w:val="Hiperligao"/>
              </w:rPr>
              <w:t>8.6.8. Analyse de la consultation</w:t>
            </w:r>
            <w:r w:rsidR="00D10B3E" w:rsidRPr="00EB726E">
              <w:rPr>
                <w:webHidden/>
              </w:rPr>
              <w:tab/>
            </w:r>
            <w:r w:rsidR="00D10B3E" w:rsidRPr="00EB726E">
              <w:rPr>
                <w:webHidden/>
              </w:rPr>
              <w:fldChar w:fldCharType="begin"/>
            </w:r>
            <w:r w:rsidR="00D10B3E" w:rsidRPr="00EB726E">
              <w:rPr>
                <w:webHidden/>
              </w:rPr>
              <w:instrText xml:space="preserve"> PAGEREF _Toc51072617 \h </w:instrText>
            </w:r>
            <w:r w:rsidR="00D10B3E" w:rsidRPr="00EB726E">
              <w:rPr>
                <w:webHidden/>
              </w:rPr>
            </w:r>
            <w:r w:rsidR="00D10B3E" w:rsidRPr="00EB726E">
              <w:rPr>
                <w:webHidden/>
              </w:rPr>
              <w:fldChar w:fldCharType="separate"/>
            </w:r>
            <w:r w:rsidR="00D10B3E" w:rsidRPr="00EB726E">
              <w:rPr>
                <w:webHidden/>
              </w:rPr>
              <w:t>199</w:t>
            </w:r>
            <w:r w:rsidR="00D10B3E" w:rsidRPr="00EB726E">
              <w:rPr>
                <w:webHidden/>
              </w:rPr>
              <w:fldChar w:fldCharType="end"/>
            </w:r>
          </w:hyperlink>
        </w:p>
        <w:p w:rsidR="00D10B3E" w:rsidRPr="00EB726E" w:rsidRDefault="007055AF" w:rsidP="00D10B3E">
          <w:pPr>
            <w:pStyle w:val="ndice3"/>
            <w:rPr>
              <w:rFonts w:asciiTheme="minorHAnsi" w:eastAsiaTheme="minorEastAsia" w:hAnsiTheme="minorHAnsi"/>
              <w:sz w:val="22"/>
              <w:szCs w:val="22"/>
            </w:rPr>
          </w:pPr>
          <w:hyperlink w:anchor="_Toc51072618" w:history="1">
            <w:r w:rsidR="00D10B3E" w:rsidRPr="00EB726E">
              <w:rPr>
                <w:rStyle w:val="Hiperligao"/>
              </w:rPr>
              <w:t>8.6.9. Conclusion</w:t>
            </w:r>
            <w:r w:rsidR="00D10B3E" w:rsidRPr="00EB726E">
              <w:rPr>
                <w:webHidden/>
              </w:rPr>
              <w:tab/>
            </w:r>
            <w:r w:rsidR="00D10B3E" w:rsidRPr="00EB726E">
              <w:rPr>
                <w:webHidden/>
              </w:rPr>
              <w:fldChar w:fldCharType="begin"/>
            </w:r>
            <w:r w:rsidR="00D10B3E" w:rsidRPr="00EB726E">
              <w:rPr>
                <w:webHidden/>
              </w:rPr>
              <w:instrText xml:space="preserve"> PAGEREF _Toc51072618 \h </w:instrText>
            </w:r>
            <w:r w:rsidR="00D10B3E" w:rsidRPr="00EB726E">
              <w:rPr>
                <w:webHidden/>
              </w:rPr>
            </w:r>
            <w:r w:rsidR="00D10B3E" w:rsidRPr="00EB726E">
              <w:rPr>
                <w:webHidden/>
              </w:rPr>
              <w:fldChar w:fldCharType="separate"/>
            </w:r>
            <w:r w:rsidR="00D10B3E" w:rsidRPr="00EB726E">
              <w:rPr>
                <w:webHidden/>
              </w:rPr>
              <w:t>202</w:t>
            </w:r>
            <w:r w:rsidR="00D10B3E" w:rsidRPr="00EB726E">
              <w:rPr>
                <w:webHidden/>
              </w:rPr>
              <w:fldChar w:fldCharType="end"/>
            </w:r>
          </w:hyperlink>
        </w:p>
        <w:p w:rsidR="00D10B3E" w:rsidRDefault="007055AF" w:rsidP="00D10B3E">
          <w:pPr>
            <w:pStyle w:val="ndice2"/>
            <w:rPr>
              <w:rFonts w:asciiTheme="minorHAnsi" w:eastAsiaTheme="minorEastAsia" w:hAnsiTheme="minorHAnsi" w:cstheme="minorBidi"/>
              <w:sz w:val="22"/>
              <w:szCs w:val="22"/>
            </w:rPr>
          </w:pPr>
          <w:hyperlink w:anchor="_Toc51072619" w:history="1">
            <w:r w:rsidR="00D10B3E" w:rsidRPr="009D7544">
              <w:rPr>
                <w:rStyle w:val="Hiperligao"/>
              </w:rPr>
              <w:t>8.7. GESTION DES VIOLENCES BASEES SUR LE GENRE (GBV)</w:t>
            </w:r>
            <w:r w:rsidR="00D10B3E">
              <w:rPr>
                <w:webHidden/>
              </w:rPr>
              <w:tab/>
            </w:r>
            <w:r w:rsidR="00D10B3E">
              <w:rPr>
                <w:webHidden/>
              </w:rPr>
              <w:fldChar w:fldCharType="begin"/>
            </w:r>
            <w:r w:rsidR="00D10B3E">
              <w:rPr>
                <w:webHidden/>
              </w:rPr>
              <w:instrText xml:space="preserve"> PAGEREF _Toc51072619 \h </w:instrText>
            </w:r>
            <w:r w:rsidR="00D10B3E">
              <w:rPr>
                <w:webHidden/>
              </w:rPr>
            </w:r>
            <w:r w:rsidR="00D10B3E">
              <w:rPr>
                <w:webHidden/>
              </w:rPr>
              <w:fldChar w:fldCharType="separate"/>
            </w:r>
            <w:r w:rsidR="00D10B3E">
              <w:rPr>
                <w:webHidden/>
              </w:rPr>
              <w:t>202</w:t>
            </w:r>
            <w:r w:rsidR="00D10B3E">
              <w:rPr>
                <w:webHidden/>
              </w:rPr>
              <w:fldChar w:fldCharType="end"/>
            </w:r>
          </w:hyperlink>
        </w:p>
        <w:p w:rsidR="00D10B3E" w:rsidRDefault="007055AF" w:rsidP="00D10B3E">
          <w:pPr>
            <w:pStyle w:val="ndice3"/>
            <w:rPr>
              <w:rFonts w:asciiTheme="minorHAnsi" w:eastAsiaTheme="minorEastAsia" w:hAnsiTheme="minorHAnsi"/>
              <w:sz w:val="22"/>
              <w:szCs w:val="22"/>
            </w:rPr>
          </w:pPr>
          <w:hyperlink w:anchor="_Toc51072620" w:history="1">
            <w:r w:rsidR="00D10B3E" w:rsidRPr="009D7544">
              <w:rPr>
                <w:rStyle w:val="Hiperligao"/>
              </w:rPr>
              <w:t>8.7.1 Du Harcèlement moral</w:t>
            </w:r>
            <w:r w:rsidR="00D10B3E">
              <w:rPr>
                <w:webHidden/>
              </w:rPr>
              <w:tab/>
            </w:r>
            <w:r w:rsidR="00D10B3E">
              <w:rPr>
                <w:webHidden/>
              </w:rPr>
              <w:fldChar w:fldCharType="begin"/>
            </w:r>
            <w:r w:rsidR="00D10B3E">
              <w:rPr>
                <w:webHidden/>
              </w:rPr>
              <w:instrText xml:space="preserve"> PAGEREF _Toc51072620 \h </w:instrText>
            </w:r>
            <w:r w:rsidR="00D10B3E">
              <w:rPr>
                <w:webHidden/>
              </w:rPr>
            </w:r>
            <w:r w:rsidR="00D10B3E">
              <w:rPr>
                <w:webHidden/>
              </w:rPr>
              <w:fldChar w:fldCharType="separate"/>
            </w:r>
            <w:r w:rsidR="00D10B3E">
              <w:rPr>
                <w:webHidden/>
              </w:rPr>
              <w:t>202</w:t>
            </w:r>
            <w:r w:rsidR="00D10B3E">
              <w:rPr>
                <w:webHidden/>
              </w:rPr>
              <w:fldChar w:fldCharType="end"/>
            </w:r>
          </w:hyperlink>
        </w:p>
        <w:p w:rsidR="00D10B3E" w:rsidRDefault="007055AF" w:rsidP="00D10B3E">
          <w:pPr>
            <w:pStyle w:val="ndice3"/>
            <w:rPr>
              <w:rFonts w:asciiTheme="minorHAnsi" w:eastAsiaTheme="minorEastAsia" w:hAnsiTheme="minorHAnsi"/>
              <w:sz w:val="22"/>
              <w:szCs w:val="22"/>
            </w:rPr>
          </w:pPr>
          <w:hyperlink w:anchor="_Toc51072621" w:history="1">
            <w:r w:rsidR="00D10B3E" w:rsidRPr="009D7544">
              <w:rPr>
                <w:rStyle w:val="Hiperligao"/>
              </w:rPr>
              <w:t>8.7.2 Des violences physiques</w:t>
            </w:r>
            <w:r w:rsidR="00D10B3E">
              <w:rPr>
                <w:webHidden/>
              </w:rPr>
              <w:tab/>
            </w:r>
            <w:r w:rsidR="00D10B3E">
              <w:rPr>
                <w:webHidden/>
              </w:rPr>
              <w:fldChar w:fldCharType="begin"/>
            </w:r>
            <w:r w:rsidR="00D10B3E">
              <w:rPr>
                <w:webHidden/>
              </w:rPr>
              <w:instrText xml:space="preserve"> PAGEREF _Toc51072621 \h </w:instrText>
            </w:r>
            <w:r w:rsidR="00D10B3E">
              <w:rPr>
                <w:webHidden/>
              </w:rPr>
            </w:r>
            <w:r w:rsidR="00D10B3E">
              <w:rPr>
                <w:webHidden/>
              </w:rPr>
              <w:fldChar w:fldCharType="separate"/>
            </w:r>
            <w:r w:rsidR="00D10B3E">
              <w:rPr>
                <w:webHidden/>
              </w:rPr>
              <w:t>202</w:t>
            </w:r>
            <w:r w:rsidR="00D10B3E">
              <w:rPr>
                <w:webHidden/>
              </w:rPr>
              <w:fldChar w:fldCharType="end"/>
            </w:r>
          </w:hyperlink>
        </w:p>
        <w:p w:rsidR="00D10B3E" w:rsidRDefault="007055AF" w:rsidP="00D10B3E">
          <w:pPr>
            <w:pStyle w:val="ndice3"/>
            <w:rPr>
              <w:rFonts w:asciiTheme="minorHAnsi" w:eastAsiaTheme="minorEastAsia" w:hAnsiTheme="minorHAnsi"/>
              <w:sz w:val="22"/>
              <w:szCs w:val="22"/>
            </w:rPr>
          </w:pPr>
          <w:hyperlink w:anchor="_Toc51072622" w:history="1">
            <w:r w:rsidR="00D10B3E" w:rsidRPr="009D7544">
              <w:rPr>
                <w:rStyle w:val="Hiperligao"/>
              </w:rPr>
              <w:t>8.7.3 De proxénétisme, harcèlement et violences sexuels et pédophilie</w:t>
            </w:r>
            <w:r w:rsidR="00D10B3E">
              <w:rPr>
                <w:webHidden/>
              </w:rPr>
              <w:tab/>
            </w:r>
            <w:r w:rsidR="00D10B3E">
              <w:rPr>
                <w:webHidden/>
              </w:rPr>
              <w:fldChar w:fldCharType="begin"/>
            </w:r>
            <w:r w:rsidR="00D10B3E">
              <w:rPr>
                <w:webHidden/>
              </w:rPr>
              <w:instrText xml:space="preserve"> PAGEREF _Toc51072622 \h </w:instrText>
            </w:r>
            <w:r w:rsidR="00D10B3E">
              <w:rPr>
                <w:webHidden/>
              </w:rPr>
            </w:r>
            <w:r w:rsidR="00D10B3E">
              <w:rPr>
                <w:webHidden/>
              </w:rPr>
              <w:fldChar w:fldCharType="separate"/>
            </w:r>
            <w:r w:rsidR="00D10B3E">
              <w:rPr>
                <w:webHidden/>
              </w:rPr>
              <w:t>202</w:t>
            </w:r>
            <w:r w:rsidR="00D10B3E">
              <w:rPr>
                <w:webHidden/>
              </w:rPr>
              <w:fldChar w:fldCharType="end"/>
            </w:r>
          </w:hyperlink>
        </w:p>
        <w:p w:rsidR="00D10B3E" w:rsidRDefault="007055AF" w:rsidP="00D10B3E">
          <w:pPr>
            <w:pStyle w:val="ndice3"/>
            <w:rPr>
              <w:rFonts w:asciiTheme="minorHAnsi" w:eastAsiaTheme="minorEastAsia" w:hAnsiTheme="minorHAnsi"/>
              <w:sz w:val="22"/>
              <w:szCs w:val="22"/>
            </w:rPr>
          </w:pPr>
          <w:hyperlink w:anchor="_Toc51072623" w:history="1">
            <w:r w:rsidR="00D10B3E" w:rsidRPr="009D7544">
              <w:rPr>
                <w:rStyle w:val="Hiperligao"/>
              </w:rPr>
              <w:t>8.7.4 De l’exploitation des enfants</w:t>
            </w:r>
            <w:r w:rsidR="00D10B3E">
              <w:rPr>
                <w:webHidden/>
              </w:rPr>
              <w:tab/>
            </w:r>
            <w:r w:rsidR="00D10B3E">
              <w:rPr>
                <w:webHidden/>
              </w:rPr>
              <w:fldChar w:fldCharType="begin"/>
            </w:r>
            <w:r w:rsidR="00D10B3E">
              <w:rPr>
                <w:webHidden/>
              </w:rPr>
              <w:instrText xml:space="preserve"> PAGEREF _Toc51072623 \h </w:instrText>
            </w:r>
            <w:r w:rsidR="00D10B3E">
              <w:rPr>
                <w:webHidden/>
              </w:rPr>
            </w:r>
            <w:r w:rsidR="00D10B3E">
              <w:rPr>
                <w:webHidden/>
              </w:rPr>
              <w:fldChar w:fldCharType="separate"/>
            </w:r>
            <w:r w:rsidR="00D10B3E">
              <w:rPr>
                <w:webHidden/>
              </w:rPr>
              <w:t>203</w:t>
            </w:r>
            <w:r w:rsidR="00D10B3E">
              <w:rPr>
                <w:webHidden/>
              </w:rPr>
              <w:fldChar w:fldCharType="end"/>
            </w:r>
          </w:hyperlink>
        </w:p>
        <w:p w:rsidR="00D10B3E" w:rsidRDefault="007055AF" w:rsidP="00D10B3E">
          <w:pPr>
            <w:pStyle w:val="ndice3"/>
            <w:rPr>
              <w:rFonts w:asciiTheme="minorHAnsi" w:eastAsiaTheme="minorEastAsia" w:hAnsiTheme="minorHAnsi"/>
              <w:sz w:val="22"/>
              <w:szCs w:val="22"/>
            </w:rPr>
          </w:pPr>
          <w:hyperlink w:anchor="_Toc51072624" w:history="1">
            <w:r w:rsidR="00D10B3E" w:rsidRPr="009D7544">
              <w:rPr>
                <w:rStyle w:val="Hiperligao"/>
              </w:rPr>
              <w:t>8.7.5 La violence à l'égard des femmes</w:t>
            </w:r>
            <w:r w:rsidR="00D10B3E">
              <w:rPr>
                <w:webHidden/>
              </w:rPr>
              <w:tab/>
            </w:r>
            <w:r w:rsidR="00D10B3E">
              <w:rPr>
                <w:webHidden/>
              </w:rPr>
              <w:fldChar w:fldCharType="begin"/>
            </w:r>
            <w:r w:rsidR="00D10B3E">
              <w:rPr>
                <w:webHidden/>
              </w:rPr>
              <w:instrText xml:space="preserve"> PAGEREF _Toc51072624 \h </w:instrText>
            </w:r>
            <w:r w:rsidR="00D10B3E">
              <w:rPr>
                <w:webHidden/>
              </w:rPr>
            </w:r>
            <w:r w:rsidR="00D10B3E">
              <w:rPr>
                <w:webHidden/>
              </w:rPr>
              <w:fldChar w:fldCharType="separate"/>
            </w:r>
            <w:r w:rsidR="00D10B3E">
              <w:rPr>
                <w:webHidden/>
              </w:rPr>
              <w:t>203</w:t>
            </w:r>
            <w:r w:rsidR="00D10B3E">
              <w:rPr>
                <w:webHidden/>
              </w:rPr>
              <w:fldChar w:fldCharType="end"/>
            </w:r>
          </w:hyperlink>
        </w:p>
        <w:p w:rsidR="00D10B3E" w:rsidRDefault="007055AF" w:rsidP="00D10B3E">
          <w:pPr>
            <w:pStyle w:val="ndice3"/>
            <w:rPr>
              <w:rFonts w:asciiTheme="minorHAnsi" w:eastAsiaTheme="minorEastAsia" w:hAnsiTheme="minorHAnsi"/>
              <w:sz w:val="22"/>
              <w:szCs w:val="22"/>
            </w:rPr>
          </w:pPr>
          <w:hyperlink w:anchor="_Toc51072625" w:history="1">
            <w:r w:rsidR="00D10B3E" w:rsidRPr="009D7544">
              <w:rPr>
                <w:rStyle w:val="Hiperligao"/>
              </w:rPr>
              <w:t>8.7.6 Normes Minimales pour la Prévention et la Réponse à la Violence basée sur le Genre dans les situations d’urgence.</w:t>
            </w:r>
            <w:r w:rsidR="00D10B3E">
              <w:rPr>
                <w:webHidden/>
              </w:rPr>
              <w:tab/>
            </w:r>
            <w:r w:rsidR="00D10B3E">
              <w:rPr>
                <w:webHidden/>
              </w:rPr>
              <w:fldChar w:fldCharType="begin"/>
            </w:r>
            <w:r w:rsidR="00D10B3E">
              <w:rPr>
                <w:webHidden/>
              </w:rPr>
              <w:instrText xml:space="preserve"> PAGEREF _Toc51072625 \h </w:instrText>
            </w:r>
            <w:r w:rsidR="00D10B3E">
              <w:rPr>
                <w:webHidden/>
              </w:rPr>
            </w:r>
            <w:r w:rsidR="00D10B3E">
              <w:rPr>
                <w:webHidden/>
              </w:rPr>
              <w:fldChar w:fldCharType="separate"/>
            </w:r>
            <w:r w:rsidR="00D10B3E">
              <w:rPr>
                <w:webHidden/>
              </w:rPr>
              <w:t>204</w:t>
            </w:r>
            <w:r w:rsidR="00D10B3E">
              <w:rPr>
                <w:webHidden/>
              </w:rPr>
              <w:fldChar w:fldCharType="end"/>
            </w:r>
          </w:hyperlink>
        </w:p>
        <w:p w:rsidR="00D10B3E" w:rsidRDefault="007055AF" w:rsidP="00D10B3E">
          <w:pPr>
            <w:pStyle w:val="ndice2"/>
            <w:rPr>
              <w:rFonts w:asciiTheme="minorHAnsi" w:eastAsiaTheme="minorEastAsia" w:hAnsiTheme="minorHAnsi" w:cstheme="minorBidi"/>
              <w:sz w:val="22"/>
              <w:szCs w:val="22"/>
            </w:rPr>
          </w:pPr>
          <w:hyperlink w:anchor="_Toc51072626" w:history="1">
            <w:r w:rsidR="00D10B3E" w:rsidRPr="009D7544">
              <w:rPr>
                <w:rStyle w:val="Hiperligao"/>
              </w:rPr>
              <w:t>8.8. FLUX DES TRAVAILLEURS, TRAVAIL DES ENFA</w:t>
            </w:r>
            <w:r w:rsidR="00EB726E">
              <w:rPr>
                <w:rStyle w:val="Hiperligao"/>
              </w:rPr>
              <w:t xml:space="preserve">NTS ET LES CONDITIONS </w:t>
            </w:r>
            <w:r w:rsidR="00D10B3E">
              <w:rPr>
                <w:webHidden/>
              </w:rPr>
              <w:tab/>
            </w:r>
            <w:r w:rsidR="00D10B3E">
              <w:rPr>
                <w:webHidden/>
              </w:rPr>
              <w:fldChar w:fldCharType="begin"/>
            </w:r>
            <w:r w:rsidR="00D10B3E">
              <w:rPr>
                <w:webHidden/>
              </w:rPr>
              <w:instrText xml:space="preserve"> PAGEREF _Toc51072626 \h </w:instrText>
            </w:r>
            <w:r w:rsidR="00D10B3E">
              <w:rPr>
                <w:webHidden/>
              </w:rPr>
            </w:r>
            <w:r w:rsidR="00D10B3E">
              <w:rPr>
                <w:webHidden/>
              </w:rPr>
              <w:fldChar w:fldCharType="separate"/>
            </w:r>
            <w:r w:rsidR="00D10B3E">
              <w:rPr>
                <w:webHidden/>
              </w:rPr>
              <w:t>204</w:t>
            </w:r>
            <w:r w:rsidR="00D10B3E">
              <w:rPr>
                <w:webHidden/>
              </w:rPr>
              <w:fldChar w:fldCharType="end"/>
            </w:r>
          </w:hyperlink>
        </w:p>
        <w:p w:rsidR="00D10B3E" w:rsidRDefault="007055AF" w:rsidP="00D10B3E">
          <w:pPr>
            <w:pStyle w:val="ndice3"/>
            <w:rPr>
              <w:rFonts w:asciiTheme="minorHAnsi" w:eastAsiaTheme="minorEastAsia" w:hAnsiTheme="minorHAnsi"/>
              <w:sz w:val="22"/>
              <w:szCs w:val="22"/>
            </w:rPr>
          </w:pPr>
          <w:hyperlink w:anchor="_Toc51072627" w:history="1">
            <w:r w:rsidR="00D10B3E" w:rsidRPr="009D7544">
              <w:rPr>
                <w:rStyle w:val="Hiperligao"/>
              </w:rPr>
              <w:t>8.8.1 Règles internationales</w:t>
            </w:r>
            <w:r w:rsidR="00D10B3E">
              <w:rPr>
                <w:webHidden/>
              </w:rPr>
              <w:tab/>
            </w:r>
            <w:r w:rsidR="00D10B3E">
              <w:rPr>
                <w:webHidden/>
              </w:rPr>
              <w:fldChar w:fldCharType="begin"/>
            </w:r>
            <w:r w:rsidR="00D10B3E">
              <w:rPr>
                <w:webHidden/>
              </w:rPr>
              <w:instrText xml:space="preserve"> PAGEREF _Toc51072627 \h </w:instrText>
            </w:r>
            <w:r w:rsidR="00D10B3E">
              <w:rPr>
                <w:webHidden/>
              </w:rPr>
            </w:r>
            <w:r w:rsidR="00D10B3E">
              <w:rPr>
                <w:webHidden/>
              </w:rPr>
              <w:fldChar w:fldCharType="separate"/>
            </w:r>
            <w:r w:rsidR="00D10B3E">
              <w:rPr>
                <w:webHidden/>
              </w:rPr>
              <w:t>205</w:t>
            </w:r>
            <w:r w:rsidR="00D10B3E">
              <w:rPr>
                <w:webHidden/>
              </w:rPr>
              <w:fldChar w:fldCharType="end"/>
            </w:r>
          </w:hyperlink>
        </w:p>
        <w:p w:rsidR="00D10B3E" w:rsidRDefault="007055AF" w:rsidP="00D10B3E">
          <w:pPr>
            <w:pStyle w:val="ndice3"/>
            <w:rPr>
              <w:rFonts w:asciiTheme="minorHAnsi" w:eastAsiaTheme="minorEastAsia" w:hAnsiTheme="minorHAnsi"/>
              <w:sz w:val="22"/>
              <w:szCs w:val="22"/>
            </w:rPr>
          </w:pPr>
          <w:hyperlink w:anchor="_Toc51072628" w:history="1">
            <w:r w:rsidR="00D10B3E" w:rsidRPr="009D7544">
              <w:rPr>
                <w:rStyle w:val="Hiperligao"/>
              </w:rPr>
              <w:t>8.8.2 Moyen de lutte et de prévention du travail des enfants</w:t>
            </w:r>
            <w:r w:rsidR="00D10B3E">
              <w:rPr>
                <w:webHidden/>
              </w:rPr>
              <w:tab/>
            </w:r>
            <w:r w:rsidR="00D10B3E">
              <w:rPr>
                <w:webHidden/>
              </w:rPr>
              <w:fldChar w:fldCharType="begin"/>
            </w:r>
            <w:r w:rsidR="00D10B3E">
              <w:rPr>
                <w:webHidden/>
              </w:rPr>
              <w:instrText xml:space="preserve"> PAGEREF _Toc51072628 \h </w:instrText>
            </w:r>
            <w:r w:rsidR="00D10B3E">
              <w:rPr>
                <w:webHidden/>
              </w:rPr>
            </w:r>
            <w:r w:rsidR="00D10B3E">
              <w:rPr>
                <w:webHidden/>
              </w:rPr>
              <w:fldChar w:fldCharType="separate"/>
            </w:r>
            <w:r w:rsidR="00D10B3E">
              <w:rPr>
                <w:webHidden/>
              </w:rPr>
              <w:t>206</w:t>
            </w:r>
            <w:r w:rsidR="00D10B3E">
              <w:rPr>
                <w:webHidden/>
              </w:rPr>
              <w:fldChar w:fldCharType="end"/>
            </w:r>
          </w:hyperlink>
        </w:p>
        <w:p w:rsidR="00D10B3E" w:rsidRDefault="007055AF" w:rsidP="00D10B3E">
          <w:pPr>
            <w:pStyle w:val="ndice2"/>
            <w:rPr>
              <w:rFonts w:asciiTheme="minorHAnsi" w:eastAsiaTheme="minorEastAsia" w:hAnsiTheme="minorHAnsi" w:cstheme="minorBidi"/>
              <w:sz w:val="22"/>
              <w:szCs w:val="22"/>
            </w:rPr>
          </w:pPr>
          <w:hyperlink w:anchor="_Toc51072629" w:history="1">
            <w:r w:rsidR="00D10B3E" w:rsidRPr="009D7544">
              <w:rPr>
                <w:rStyle w:val="Hiperligao"/>
              </w:rPr>
              <w:t>8.9 Plan de Gestion des Déchets</w:t>
            </w:r>
            <w:r w:rsidR="00D10B3E">
              <w:rPr>
                <w:webHidden/>
              </w:rPr>
              <w:tab/>
            </w:r>
            <w:r w:rsidR="00D10B3E">
              <w:rPr>
                <w:webHidden/>
              </w:rPr>
              <w:fldChar w:fldCharType="begin"/>
            </w:r>
            <w:r w:rsidR="00D10B3E">
              <w:rPr>
                <w:webHidden/>
              </w:rPr>
              <w:instrText xml:space="preserve"> PAGEREF _Toc51072629 \h </w:instrText>
            </w:r>
            <w:r w:rsidR="00D10B3E">
              <w:rPr>
                <w:webHidden/>
              </w:rPr>
            </w:r>
            <w:r w:rsidR="00D10B3E">
              <w:rPr>
                <w:webHidden/>
              </w:rPr>
              <w:fldChar w:fldCharType="separate"/>
            </w:r>
            <w:r w:rsidR="00D10B3E">
              <w:rPr>
                <w:webHidden/>
              </w:rPr>
              <w:t>208</w:t>
            </w:r>
            <w:r w:rsidR="00D10B3E">
              <w:rPr>
                <w:webHidden/>
              </w:rPr>
              <w:fldChar w:fldCharType="end"/>
            </w:r>
          </w:hyperlink>
        </w:p>
        <w:p w:rsidR="00D10B3E" w:rsidRDefault="007055AF" w:rsidP="00D10B3E">
          <w:pPr>
            <w:pStyle w:val="ndice2"/>
            <w:rPr>
              <w:rFonts w:asciiTheme="minorHAnsi" w:eastAsiaTheme="minorEastAsia" w:hAnsiTheme="minorHAnsi" w:cstheme="minorBidi"/>
              <w:sz w:val="22"/>
              <w:szCs w:val="22"/>
            </w:rPr>
          </w:pPr>
          <w:hyperlink w:anchor="_Toc51072630" w:history="1">
            <w:r w:rsidR="00D10B3E" w:rsidRPr="009D7544">
              <w:rPr>
                <w:rStyle w:val="Hiperligao"/>
              </w:rPr>
              <w:t>8.10. Mécanisme de Gestion des Plaintes</w:t>
            </w:r>
            <w:r w:rsidR="00D10B3E">
              <w:rPr>
                <w:webHidden/>
              </w:rPr>
              <w:tab/>
            </w:r>
            <w:r w:rsidR="00D10B3E">
              <w:rPr>
                <w:webHidden/>
              </w:rPr>
              <w:fldChar w:fldCharType="begin"/>
            </w:r>
            <w:r w:rsidR="00D10B3E">
              <w:rPr>
                <w:webHidden/>
              </w:rPr>
              <w:instrText xml:space="preserve"> PAGEREF _Toc51072630 \h </w:instrText>
            </w:r>
            <w:r w:rsidR="00D10B3E">
              <w:rPr>
                <w:webHidden/>
              </w:rPr>
            </w:r>
            <w:r w:rsidR="00D10B3E">
              <w:rPr>
                <w:webHidden/>
              </w:rPr>
              <w:fldChar w:fldCharType="separate"/>
            </w:r>
            <w:r w:rsidR="00D10B3E">
              <w:rPr>
                <w:webHidden/>
              </w:rPr>
              <w:t>211</w:t>
            </w:r>
            <w:r w:rsidR="00D10B3E">
              <w:rPr>
                <w:webHidden/>
              </w:rPr>
              <w:fldChar w:fldCharType="end"/>
            </w:r>
          </w:hyperlink>
        </w:p>
        <w:p w:rsidR="00D10B3E" w:rsidRDefault="007055AF" w:rsidP="00D10B3E">
          <w:pPr>
            <w:pStyle w:val="ndice3"/>
            <w:rPr>
              <w:rFonts w:asciiTheme="minorHAnsi" w:eastAsiaTheme="minorEastAsia" w:hAnsiTheme="minorHAnsi"/>
              <w:sz w:val="22"/>
              <w:szCs w:val="22"/>
            </w:rPr>
          </w:pPr>
          <w:hyperlink w:anchor="_Toc51072631" w:history="1">
            <w:r w:rsidR="00D10B3E" w:rsidRPr="009D7544">
              <w:rPr>
                <w:rStyle w:val="Hiperligao"/>
              </w:rPr>
              <w:t>8.10.1 Organisation du Mécanisme de Gestion des Plaintes</w:t>
            </w:r>
            <w:r w:rsidR="00D10B3E">
              <w:rPr>
                <w:webHidden/>
              </w:rPr>
              <w:tab/>
            </w:r>
            <w:r w:rsidR="00D10B3E">
              <w:rPr>
                <w:webHidden/>
              </w:rPr>
              <w:fldChar w:fldCharType="begin"/>
            </w:r>
            <w:r w:rsidR="00D10B3E">
              <w:rPr>
                <w:webHidden/>
              </w:rPr>
              <w:instrText xml:space="preserve"> PAGEREF _Toc51072631 \h </w:instrText>
            </w:r>
            <w:r w:rsidR="00D10B3E">
              <w:rPr>
                <w:webHidden/>
              </w:rPr>
            </w:r>
            <w:r w:rsidR="00D10B3E">
              <w:rPr>
                <w:webHidden/>
              </w:rPr>
              <w:fldChar w:fldCharType="separate"/>
            </w:r>
            <w:r w:rsidR="00D10B3E">
              <w:rPr>
                <w:webHidden/>
              </w:rPr>
              <w:t>212</w:t>
            </w:r>
            <w:r w:rsidR="00D10B3E">
              <w:rPr>
                <w:webHidden/>
              </w:rPr>
              <w:fldChar w:fldCharType="end"/>
            </w:r>
          </w:hyperlink>
        </w:p>
        <w:p w:rsidR="00D10B3E" w:rsidRDefault="007055AF" w:rsidP="00D10B3E">
          <w:pPr>
            <w:pStyle w:val="ndice3"/>
            <w:rPr>
              <w:rFonts w:asciiTheme="minorHAnsi" w:eastAsiaTheme="minorEastAsia" w:hAnsiTheme="minorHAnsi"/>
              <w:sz w:val="22"/>
              <w:szCs w:val="22"/>
            </w:rPr>
          </w:pPr>
          <w:hyperlink w:anchor="_Toc51072632" w:history="1">
            <w:r w:rsidR="00D10B3E" w:rsidRPr="009D7544">
              <w:rPr>
                <w:rStyle w:val="Hiperligao"/>
              </w:rPr>
              <w:t>8.10.2 Fonctionnement du mécanisme de gestion des plaintes</w:t>
            </w:r>
            <w:r w:rsidR="00D10B3E">
              <w:rPr>
                <w:webHidden/>
              </w:rPr>
              <w:tab/>
            </w:r>
            <w:r w:rsidR="00D10B3E">
              <w:rPr>
                <w:webHidden/>
              </w:rPr>
              <w:fldChar w:fldCharType="begin"/>
            </w:r>
            <w:r w:rsidR="00D10B3E">
              <w:rPr>
                <w:webHidden/>
              </w:rPr>
              <w:instrText xml:space="preserve"> PAGEREF _Toc51072632 \h </w:instrText>
            </w:r>
            <w:r w:rsidR="00D10B3E">
              <w:rPr>
                <w:webHidden/>
              </w:rPr>
            </w:r>
            <w:r w:rsidR="00D10B3E">
              <w:rPr>
                <w:webHidden/>
              </w:rPr>
              <w:fldChar w:fldCharType="separate"/>
            </w:r>
            <w:r w:rsidR="00D10B3E">
              <w:rPr>
                <w:webHidden/>
              </w:rPr>
              <w:t>212</w:t>
            </w:r>
            <w:r w:rsidR="00D10B3E">
              <w:rPr>
                <w:webHidden/>
              </w:rPr>
              <w:fldChar w:fldCharType="end"/>
            </w:r>
          </w:hyperlink>
        </w:p>
        <w:p w:rsidR="00D10B3E" w:rsidRDefault="007055AF" w:rsidP="00D10B3E">
          <w:pPr>
            <w:pStyle w:val="ndice3"/>
            <w:rPr>
              <w:rFonts w:asciiTheme="minorHAnsi" w:eastAsiaTheme="minorEastAsia" w:hAnsiTheme="minorHAnsi"/>
              <w:sz w:val="22"/>
              <w:szCs w:val="22"/>
            </w:rPr>
          </w:pPr>
          <w:hyperlink w:anchor="_Toc51072633" w:history="1">
            <w:r w:rsidR="00D10B3E" w:rsidRPr="009D7544">
              <w:rPr>
                <w:rStyle w:val="Hiperligao"/>
              </w:rPr>
              <w:t>8.10.3 Enregistrement des plaintes</w:t>
            </w:r>
            <w:r w:rsidR="00D10B3E">
              <w:rPr>
                <w:webHidden/>
              </w:rPr>
              <w:tab/>
            </w:r>
            <w:r w:rsidR="00D10B3E">
              <w:rPr>
                <w:webHidden/>
              </w:rPr>
              <w:fldChar w:fldCharType="begin"/>
            </w:r>
            <w:r w:rsidR="00D10B3E">
              <w:rPr>
                <w:webHidden/>
              </w:rPr>
              <w:instrText xml:space="preserve"> PAGEREF _Toc51072633 \h </w:instrText>
            </w:r>
            <w:r w:rsidR="00D10B3E">
              <w:rPr>
                <w:webHidden/>
              </w:rPr>
            </w:r>
            <w:r w:rsidR="00D10B3E">
              <w:rPr>
                <w:webHidden/>
              </w:rPr>
              <w:fldChar w:fldCharType="separate"/>
            </w:r>
            <w:r w:rsidR="00D10B3E">
              <w:rPr>
                <w:webHidden/>
              </w:rPr>
              <w:t>214</w:t>
            </w:r>
            <w:r w:rsidR="00D10B3E">
              <w:rPr>
                <w:webHidden/>
              </w:rPr>
              <w:fldChar w:fldCharType="end"/>
            </w:r>
          </w:hyperlink>
        </w:p>
        <w:p w:rsidR="00D10B3E" w:rsidRDefault="007055AF" w:rsidP="00D10B3E">
          <w:pPr>
            <w:pStyle w:val="ndice3"/>
            <w:rPr>
              <w:rFonts w:asciiTheme="minorHAnsi" w:eastAsiaTheme="minorEastAsia" w:hAnsiTheme="minorHAnsi"/>
              <w:sz w:val="22"/>
              <w:szCs w:val="22"/>
            </w:rPr>
          </w:pPr>
          <w:hyperlink w:anchor="_Toc51072634" w:history="1">
            <w:r w:rsidR="00D10B3E" w:rsidRPr="009D7544">
              <w:rPr>
                <w:rStyle w:val="Hiperligao"/>
              </w:rPr>
              <w:t>8.10.4 Dispositions administratives et recours à la justice</w:t>
            </w:r>
            <w:r w:rsidR="00D10B3E">
              <w:rPr>
                <w:webHidden/>
              </w:rPr>
              <w:tab/>
            </w:r>
            <w:r w:rsidR="00D10B3E">
              <w:rPr>
                <w:webHidden/>
              </w:rPr>
              <w:fldChar w:fldCharType="begin"/>
            </w:r>
            <w:r w:rsidR="00D10B3E">
              <w:rPr>
                <w:webHidden/>
              </w:rPr>
              <w:instrText xml:space="preserve"> PAGEREF _Toc51072634 \h </w:instrText>
            </w:r>
            <w:r w:rsidR="00D10B3E">
              <w:rPr>
                <w:webHidden/>
              </w:rPr>
            </w:r>
            <w:r w:rsidR="00D10B3E">
              <w:rPr>
                <w:webHidden/>
              </w:rPr>
              <w:fldChar w:fldCharType="separate"/>
            </w:r>
            <w:r w:rsidR="00D10B3E">
              <w:rPr>
                <w:webHidden/>
              </w:rPr>
              <w:t>214</w:t>
            </w:r>
            <w:r w:rsidR="00D10B3E">
              <w:rPr>
                <w:webHidden/>
              </w:rPr>
              <w:fldChar w:fldCharType="end"/>
            </w:r>
          </w:hyperlink>
        </w:p>
        <w:p w:rsidR="00D10B3E" w:rsidRDefault="007055AF">
          <w:pPr>
            <w:pStyle w:val="ndice1"/>
            <w:rPr>
              <w:rFonts w:asciiTheme="minorHAnsi" w:eastAsiaTheme="minorEastAsia" w:hAnsiTheme="minorHAnsi" w:cstheme="minorBidi"/>
              <w:b w:val="0"/>
              <w:bCs w:val="0"/>
              <w:caps w:val="0"/>
              <w:color w:val="auto"/>
              <w:sz w:val="22"/>
              <w:szCs w:val="22"/>
              <w:lang w:eastAsia="fr-FR"/>
              <w14:shadow w14:blurRad="0" w14:dist="0" w14:dir="0" w14:sx="0" w14:sy="0" w14:kx="0" w14:ky="0" w14:algn="none">
                <w14:srgbClr w14:val="000000"/>
              </w14:shadow>
              <w14:textOutline w14:w="0" w14:cap="rnd" w14:cmpd="sng" w14:algn="ctr">
                <w14:noFill/>
                <w14:prstDash w14:val="solid"/>
                <w14:bevel/>
              </w14:textOutline>
            </w:rPr>
          </w:pPr>
          <w:hyperlink w:anchor="_Toc51072635" w:history="1">
            <w:r w:rsidR="00D10B3E" w:rsidRPr="009D7544">
              <w:rPr>
                <w:rStyle w:val="Hiperligao"/>
              </w:rPr>
              <w:t>9* DIFFUSION DE L’INFORMATION</w:t>
            </w:r>
            <w:r w:rsidR="00D10B3E">
              <w:rPr>
                <w:webHidden/>
              </w:rPr>
              <w:tab/>
            </w:r>
            <w:r w:rsidR="00D10B3E">
              <w:rPr>
                <w:webHidden/>
              </w:rPr>
              <w:fldChar w:fldCharType="begin"/>
            </w:r>
            <w:r w:rsidR="00D10B3E">
              <w:rPr>
                <w:webHidden/>
              </w:rPr>
              <w:instrText xml:space="preserve"> PAGEREF _Toc51072635 \h </w:instrText>
            </w:r>
            <w:r w:rsidR="00D10B3E">
              <w:rPr>
                <w:webHidden/>
              </w:rPr>
            </w:r>
            <w:r w:rsidR="00D10B3E">
              <w:rPr>
                <w:webHidden/>
              </w:rPr>
              <w:fldChar w:fldCharType="separate"/>
            </w:r>
            <w:r w:rsidR="00D10B3E">
              <w:rPr>
                <w:webHidden/>
              </w:rPr>
              <w:t>215</w:t>
            </w:r>
            <w:r w:rsidR="00D10B3E">
              <w:rPr>
                <w:webHidden/>
              </w:rPr>
              <w:fldChar w:fldCharType="end"/>
            </w:r>
          </w:hyperlink>
        </w:p>
        <w:p w:rsidR="00D10B3E" w:rsidRDefault="007055AF">
          <w:pPr>
            <w:pStyle w:val="ndice1"/>
            <w:rPr>
              <w:rFonts w:asciiTheme="minorHAnsi" w:eastAsiaTheme="minorEastAsia" w:hAnsiTheme="minorHAnsi" w:cstheme="minorBidi"/>
              <w:b w:val="0"/>
              <w:bCs w:val="0"/>
              <w:caps w:val="0"/>
              <w:color w:val="auto"/>
              <w:sz w:val="22"/>
              <w:szCs w:val="22"/>
              <w:lang w:eastAsia="fr-FR"/>
              <w14:shadow w14:blurRad="0" w14:dist="0" w14:dir="0" w14:sx="0" w14:sy="0" w14:kx="0" w14:ky="0" w14:algn="none">
                <w14:srgbClr w14:val="000000"/>
              </w14:shadow>
              <w14:textOutline w14:w="0" w14:cap="rnd" w14:cmpd="sng" w14:algn="ctr">
                <w14:noFill/>
                <w14:prstDash w14:val="solid"/>
                <w14:bevel/>
              </w14:textOutline>
            </w:rPr>
          </w:pPr>
          <w:hyperlink w:anchor="_Toc51072636" w:history="1">
            <w:r w:rsidR="00D10B3E" w:rsidRPr="009D7544">
              <w:rPr>
                <w:rStyle w:val="Hiperligao"/>
              </w:rPr>
              <w:t>* CONCLUSION *</w:t>
            </w:r>
            <w:r w:rsidR="00D10B3E">
              <w:rPr>
                <w:webHidden/>
              </w:rPr>
              <w:tab/>
            </w:r>
            <w:r w:rsidR="00D10B3E">
              <w:rPr>
                <w:webHidden/>
              </w:rPr>
              <w:fldChar w:fldCharType="begin"/>
            </w:r>
            <w:r w:rsidR="00D10B3E">
              <w:rPr>
                <w:webHidden/>
              </w:rPr>
              <w:instrText xml:space="preserve"> PAGEREF _Toc51072636 \h </w:instrText>
            </w:r>
            <w:r w:rsidR="00D10B3E">
              <w:rPr>
                <w:webHidden/>
              </w:rPr>
            </w:r>
            <w:r w:rsidR="00D10B3E">
              <w:rPr>
                <w:webHidden/>
              </w:rPr>
              <w:fldChar w:fldCharType="separate"/>
            </w:r>
            <w:r w:rsidR="00D10B3E">
              <w:rPr>
                <w:webHidden/>
              </w:rPr>
              <w:t>216</w:t>
            </w:r>
            <w:r w:rsidR="00D10B3E">
              <w:rPr>
                <w:webHidden/>
              </w:rPr>
              <w:fldChar w:fldCharType="end"/>
            </w:r>
          </w:hyperlink>
        </w:p>
        <w:p w:rsidR="00D10B3E" w:rsidRDefault="007055AF" w:rsidP="00D10B3E">
          <w:pPr>
            <w:pStyle w:val="ndice2"/>
            <w:rPr>
              <w:rFonts w:asciiTheme="minorHAnsi" w:eastAsiaTheme="minorEastAsia" w:hAnsiTheme="minorHAnsi" w:cstheme="minorBidi"/>
              <w:sz w:val="22"/>
              <w:szCs w:val="22"/>
            </w:rPr>
          </w:pPr>
          <w:hyperlink w:anchor="_Toc51072637" w:history="1">
            <w:r w:rsidR="00D10B3E" w:rsidRPr="009D7544">
              <w:rPr>
                <w:rStyle w:val="Hiperligao"/>
              </w:rPr>
              <w:t>REFERENCES BIBLIOGRAPHIQUES</w:t>
            </w:r>
            <w:r w:rsidR="00D10B3E">
              <w:rPr>
                <w:webHidden/>
              </w:rPr>
              <w:tab/>
            </w:r>
            <w:r w:rsidR="00D10B3E">
              <w:rPr>
                <w:webHidden/>
              </w:rPr>
              <w:fldChar w:fldCharType="begin"/>
            </w:r>
            <w:r w:rsidR="00D10B3E">
              <w:rPr>
                <w:webHidden/>
              </w:rPr>
              <w:instrText xml:space="preserve"> PAGEREF _Toc51072637 \h </w:instrText>
            </w:r>
            <w:r w:rsidR="00D10B3E">
              <w:rPr>
                <w:webHidden/>
              </w:rPr>
            </w:r>
            <w:r w:rsidR="00D10B3E">
              <w:rPr>
                <w:webHidden/>
              </w:rPr>
              <w:fldChar w:fldCharType="separate"/>
            </w:r>
            <w:r w:rsidR="00D10B3E">
              <w:rPr>
                <w:webHidden/>
              </w:rPr>
              <w:t>217</w:t>
            </w:r>
            <w:r w:rsidR="00D10B3E">
              <w:rPr>
                <w:webHidden/>
              </w:rPr>
              <w:fldChar w:fldCharType="end"/>
            </w:r>
          </w:hyperlink>
        </w:p>
        <w:p w:rsidR="00D10B3E" w:rsidRDefault="007055AF">
          <w:pPr>
            <w:pStyle w:val="ndice1"/>
            <w:rPr>
              <w:rFonts w:asciiTheme="minorHAnsi" w:eastAsiaTheme="minorEastAsia" w:hAnsiTheme="minorHAnsi" w:cstheme="minorBidi"/>
              <w:b w:val="0"/>
              <w:bCs w:val="0"/>
              <w:caps w:val="0"/>
              <w:color w:val="auto"/>
              <w:sz w:val="22"/>
              <w:szCs w:val="22"/>
              <w:lang w:eastAsia="fr-FR"/>
              <w14:shadow w14:blurRad="0" w14:dist="0" w14:dir="0" w14:sx="0" w14:sy="0" w14:kx="0" w14:ky="0" w14:algn="none">
                <w14:srgbClr w14:val="000000"/>
              </w14:shadow>
              <w14:textOutline w14:w="0" w14:cap="rnd" w14:cmpd="sng" w14:algn="ctr">
                <w14:noFill/>
                <w14:prstDash w14:val="solid"/>
                <w14:bevel/>
              </w14:textOutline>
            </w:rPr>
          </w:pPr>
          <w:hyperlink w:anchor="_Toc51072638" w:history="1">
            <w:r w:rsidR="00D10B3E" w:rsidRPr="009D7544">
              <w:rPr>
                <w:rStyle w:val="Hiperligao"/>
              </w:rPr>
              <w:t>ANNEXE 1 : TDR VALIDE</w:t>
            </w:r>
            <w:r w:rsidR="00D10B3E">
              <w:rPr>
                <w:webHidden/>
              </w:rPr>
              <w:tab/>
            </w:r>
            <w:r w:rsidR="00D10B3E">
              <w:rPr>
                <w:webHidden/>
              </w:rPr>
              <w:fldChar w:fldCharType="begin"/>
            </w:r>
            <w:r w:rsidR="00D10B3E">
              <w:rPr>
                <w:webHidden/>
              </w:rPr>
              <w:instrText xml:space="preserve"> PAGEREF _Toc51072638 \h </w:instrText>
            </w:r>
            <w:r w:rsidR="00D10B3E">
              <w:rPr>
                <w:webHidden/>
              </w:rPr>
            </w:r>
            <w:r w:rsidR="00D10B3E">
              <w:rPr>
                <w:webHidden/>
              </w:rPr>
              <w:fldChar w:fldCharType="separate"/>
            </w:r>
            <w:r w:rsidR="00D10B3E">
              <w:rPr>
                <w:webHidden/>
              </w:rPr>
              <w:t>219</w:t>
            </w:r>
            <w:r w:rsidR="00D10B3E">
              <w:rPr>
                <w:webHidden/>
              </w:rPr>
              <w:fldChar w:fldCharType="end"/>
            </w:r>
          </w:hyperlink>
        </w:p>
        <w:p w:rsidR="00D10B3E" w:rsidRDefault="007055AF">
          <w:pPr>
            <w:pStyle w:val="ndice1"/>
            <w:rPr>
              <w:rFonts w:asciiTheme="minorHAnsi" w:eastAsiaTheme="minorEastAsia" w:hAnsiTheme="minorHAnsi" w:cstheme="minorBidi"/>
              <w:b w:val="0"/>
              <w:bCs w:val="0"/>
              <w:caps w:val="0"/>
              <w:color w:val="auto"/>
              <w:sz w:val="22"/>
              <w:szCs w:val="22"/>
              <w:lang w:eastAsia="fr-FR"/>
              <w14:shadow w14:blurRad="0" w14:dist="0" w14:dir="0" w14:sx="0" w14:sy="0" w14:kx="0" w14:ky="0" w14:algn="none">
                <w14:srgbClr w14:val="000000"/>
              </w14:shadow>
              <w14:textOutline w14:w="0" w14:cap="rnd" w14:cmpd="sng" w14:algn="ctr">
                <w14:noFill/>
                <w14:prstDash w14:val="solid"/>
                <w14:bevel/>
              </w14:textOutline>
            </w:rPr>
          </w:pPr>
          <w:hyperlink w:anchor="_Toc51072669" w:history="1">
            <w:r w:rsidR="00D10B3E" w:rsidRPr="009D7544">
              <w:rPr>
                <w:rStyle w:val="Hiperligao"/>
              </w:rPr>
              <w:t>ANNEXE 2 : CLAUSES ENVIRONNEMENTALES</w:t>
            </w:r>
            <w:r w:rsidR="00D10B3E">
              <w:rPr>
                <w:webHidden/>
              </w:rPr>
              <w:tab/>
            </w:r>
            <w:r w:rsidR="00D10B3E">
              <w:rPr>
                <w:webHidden/>
              </w:rPr>
              <w:fldChar w:fldCharType="begin"/>
            </w:r>
            <w:r w:rsidR="00D10B3E">
              <w:rPr>
                <w:webHidden/>
              </w:rPr>
              <w:instrText xml:space="preserve"> PAGEREF _Toc51072669 \h </w:instrText>
            </w:r>
            <w:r w:rsidR="00D10B3E">
              <w:rPr>
                <w:webHidden/>
              </w:rPr>
            </w:r>
            <w:r w:rsidR="00D10B3E">
              <w:rPr>
                <w:webHidden/>
              </w:rPr>
              <w:fldChar w:fldCharType="separate"/>
            </w:r>
            <w:r w:rsidR="00D10B3E">
              <w:rPr>
                <w:webHidden/>
              </w:rPr>
              <w:t>240</w:t>
            </w:r>
            <w:r w:rsidR="00D10B3E">
              <w:rPr>
                <w:webHidden/>
              </w:rPr>
              <w:fldChar w:fldCharType="end"/>
            </w:r>
          </w:hyperlink>
        </w:p>
        <w:p w:rsidR="00D10B3E" w:rsidRDefault="007055AF">
          <w:pPr>
            <w:pStyle w:val="ndice1"/>
            <w:rPr>
              <w:rFonts w:asciiTheme="minorHAnsi" w:eastAsiaTheme="minorEastAsia" w:hAnsiTheme="minorHAnsi" w:cstheme="minorBidi"/>
              <w:b w:val="0"/>
              <w:bCs w:val="0"/>
              <w:caps w:val="0"/>
              <w:color w:val="auto"/>
              <w:sz w:val="22"/>
              <w:szCs w:val="22"/>
              <w:lang w:eastAsia="fr-FR"/>
              <w14:shadow w14:blurRad="0" w14:dist="0" w14:dir="0" w14:sx="0" w14:sy="0" w14:kx="0" w14:ky="0" w14:algn="none">
                <w14:srgbClr w14:val="000000"/>
              </w14:shadow>
              <w14:textOutline w14:w="0" w14:cap="rnd" w14:cmpd="sng" w14:algn="ctr">
                <w14:noFill/>
                <w14:prstDash w14:val="solid"/>
                <w14:bevel/>
              </w14:textOutline>
            </w:rPr>
          </w:pPr>
          <w:hyperlink w:anchor="_Toc51072727" w:history="1">
            <w:r w:rsidR="00D10B3E" w:rsidRPr="009D7544">
              <w:rPr>
                <w:rStyle w:val="Hiperligao"/>
              </w:rPr>
              <w:t>ANNEXE 3 : COMPTE-RENDU DE LA REUNION DE CADRAGE</w:t>
            </w:r>
            <w:r w:rsidR="00D10B3E">
              <w:rPr>
                <w:webHidden/>
              </w:rPr>
              <w:tab/>
            </w:r>
            <w:r w:rsidR="00D10B3E">
              <w:rPr>
                <w:webHidden/>
              </w:rPr>
              <w:fldChar w:fldCharType="begin"/>
            </w:r>
            <w:r w:rsidR="00D10B3E">
              <w:rPr>
                <w:webHidden/>
              </w:rPr>
              <w:instrText xml:space="preserve"> PAGEREF _Toc51072727 \h </w:instrText>
            </w:r>
            <w:r w:rsidR="00D10B3E">
              <w:rPr>
                <w:webHidden/>
              </w:rPr>
            </w:r>
            <w:r w:rsidR="00D10B3E">
              <w:rPr>
                <w:webHidden/>
              </w:rPr>
              <w:fldChar w:fldCharType="separate"/>
            </w:r>
            <w:r w:rsidR="00D10B3E">
              <w:rPr>
                <w:webHidden/>
              </w:rPr>
              <w:t>257</w:t>
            </w:r>
            <w:r w:rsidR="00D10B3E">
              <w:rPr>
                <w:webHidden/>
              </w:rPr>
              <w:fldChar w:fldCharType="end"/>
            </w:r>
          </w:hyperlink>
        </w:p>
        <w:p w:rsidR="00D10B3E" w:rsidRDefault="007055AF">
          <w:pPr>
            <w:pStyle w:val="ndice1"/>
            <w:rPr>
              <w:rFonts w:asciiTheme="minorHAnsi" w:eastAsiaTheme="minorEastAsia" w:hAnsiTheme="minorHAnsi" w:cstheme="minorBidi"/>
              <w:b w:val="0"/>
              <w:bCs w:val="0"/>
              <w:caps w:val="0"/>
              <w:color w:val="auto"/>
              <w:sz w:val="22"/>
              <w:szCs w:val="22"/>
              <w:lang w:eastAsia="fr-FR"/>
              <w14:shadow w14:blurRad="0" w14:dist="0" w14:dir="0" w14:sx="0" w14:sy="0" w14:kx="0" w14:ky="0" w14:algn="none">
                <w14:srgbClr w14:val="000000"/>
              </w14:shadow>
              <w14:textOutline w14:w="0" w14:cap="rnd" w14:cmpd="sng" w14:algn="ctr">
                <w14:noFill/>
                <w14:prstDash w14:val="solid"/>
                <w14:bevel/>
              </w14:textOutline>
            </w:rPr>
          </w:pPr>
          <w:hyperlink w:anchor="_Toc51072728" w:history="1">
            <w:r w:rsidR="00D10B3E" w:rsidRPr="009D7544">
              <w:rPr>
                <w:rStyle w:val="Hiperligao"/>
              </w:rPr>
              <w:t>ANNEXE 5 : LISTE DES SERVICES TECHNIQUES CONSULTES</w:t>
            </w:r>
            <w:r w:rsidR="00D10B3E">
              <w:rPr>
                <w:webHidden/>
              </w:rPr>
              <w:tab/>
            </w:r>
            <w:r w:rsidR="00D10B3E">
              <w:rPr>
                <w:webHidden/>
              </w:rPr>
              <w:fldChar w:fldCharType="begin"/>
            </w:r>
            <w:r w:rsidR="00D10B3E">
              <w:rPr>
                <w:webHidden/>
              </w:rPr>
              <w:instrText xml:space="preserve"> PAGEREF _Toc51072728 \h </w:instrText>
            </w:r>
            <w:r w:rsidR="00D10B3E">
              <w:rPr>
                <w:webHidden/>
              </w:rPr>
            </w:r>
            <w:r w:rsidR="00D10B3E">
              <w:rPr>
                <w:webHidden/>
              </w:rPr>
              <w:fldChar w:fldCharType="separate"/>
            </w:r>
            <w:r w:rsidR="00D10B3E">
              <w:rPr>
                <w:webHidden/>
              </w:rPr>
              <w:t>260</w:t>
            </w:r>
            <w:r w:rsidR="00D10B3E">
              <w:rPr>
                <w:webHidden/>
              </w:rPr>
              <w:fldChar w:fldCharType="end"/>
            </w:r>
          </w:hyperlink>
        </w:p>
        <w:p w:rsidR="00D10B3E" w:rsidRDefault="007055AF">
          <w:pPr>
            <w:pStyle w:val="ndice1"/>
            <w:rPr>
              <w:rFonts w:asciiTheme="minorHAnsi" w:eastAsiaTheme="minorEastAsia" w:hAnsiTheme="minorHAnsi" w:cstheme="minorBidi"/>
              <w:b w:val="0"/>
              <w:bCs w:val="0"/>
              <w:caps w:val="0"/>
              <w:color w:val="auto"/>
              <w:sz w:val="22"/>
              <w:szCs w:val="22"/>
              <w:lang w:eastAsia="fr-FR"/>
              <w14:shadow w14:blurRad="0" w14:dist="0" w14:dir="0" w14:sx="0" w14:sy="0" w14:kx="0" w14:ky="0" w14:algn="none">
                <w14:srgbClr w14:val="000000"/>
              </w14:shadow>
              <w14:textOutline w14:w="0" w14:cap="rnd" w14:cmpd="sng" w14:algn="ctr">
                <w14:noFill/>
                <w14:prstDash w14:val="solid"/>
                <w14:bevel/>
              </w14:textOutline>
            </w:rPr>
          </w:pPr>
          <w:hyperlink w:anchor="_Toc51072729" w:history="1">
            <w:r w:rsidR="00D10B3E" w:rsidRPr="009D7544">
              <w:rPr>
                <w:rStyle w:val="Hiperligao"/>
              </w:rPr>
              <w:t>ANNEXE 6 : LISTE DE PRESENCE DE LA CONSULT</w:t>
            </w:r>
            <w:r w:rsidR="00EB726E">
              <w:rPr>
                <w:rStyle w:val="Hiperligao"/>
              </w:rPr>
              <w:t xml:space="preserve">ATION DES POPULATIONS </w:t>
            </w:r>
            <w:r w:rsidR="00D10B3E">
              <w:rPr>
                <w:webHidden/>
              </w:rPr>
              <w:tab/>
            </w:r>
            <w:r w:rsidR="00D10B3E">
              <w:rPr>
                <w:webHidden/>
              </w:rPr>
              <w:fldChar w:fldCharType="begin"/>
            </w:r>
            <w:r w:rsidR="00D10B3E">
              <w:rPr>
                <w:webHidden/>
              </w:rPr>
              <w:instrText xml:space="preserve"> PAGEREF _Toc51072729 \h </w:instrText>
            </w:r>
            <w:r w:rsidR="00D10B3E">
              <w:rPr>
                <w:webHidden/>
              </w:rPr>
            </w:r>
            <w:r w:rsidR="00D10B3E">
              <w:rPr>
                <w:webHidden/>
              </w:rPr>
              <w:fldChar w:fldCharType="separate"/>
            </w:r>
            <w:r w:rsidR="00D10B3E">
              <w:rPr>
                <w:webHidden/>
              </w:rPr>
              <w:t>262</w:t>
            </w:r>
            <w:r w:rsidR="00D10B3E">
              <w:rPr>
                <w:webHidden/>
              </w:rPr>
              <w:fldChar w:fldCharType="end"/>
            </w:r>
          </w:hyperlink>
        </w:p>
        <w:p w:rsidR="00D10B3E" w:rsidRDefault="007055AF">
          <w:pPr>
            <w:pStyle w:val="ndice1"/>
            <w:rPr>
              <w:rFonts w:asciiTheme="minorHAnsi" w:eastAsiaTheme="minorEastAsia" w:hAnsiTheme="minorHAnsi" w:cstheme="minorBidi"/>
              <w:b w:val="0"/>
              <w:bCs w:val="0"/>
              <w:caps w:val="0"/>
              <w:color w:val="auto"/>
              <w:sz w:val="22"/>
              <w:szCs w:val="22"/>
              <w:lang w:eastAsia="fr-FR"/>
              <w14:shadow w14:blurRad="0" w14:dist="0" w14:dir="0" w14:sx="0" w14:sy="0" w14:kx="0" w14:ky="0" w14:algn="none">
                <w14:srgbClr w14:val="000000"/>
              </w14:shadow>
              <w14:textOutline w14:w="0" w14:cap="rnd" w14:cmpd="sng" w14:algn="ctr">
                <w14:noFill/>
                <w14:prstDash w14:val="solid"/>
                <w14:bevel/>
              </w14:textOutline>
            </w:rPr>
          </w:pPr>
          <w:hyperlink w:anchor="_Toc51072730" w:history="1">
            <w:r w:rsidR="00D10B3E" w:rsidRPr="009D7544">
              <w:rPr>
                <w:rStyle w:val="Hiperligao"/>
              </w:rPr>
              <w:t>ANNEXE 7 : MODELE DE LA LETTRE DE MANIFESTATION DES PLAINTES</w:t>
            </w:r>
            <w:r w:rsidR="00D10B3E">
              <w:rPr>
                <w:webHidden/>
              </w:rPr>
              <w:tab/>
            </w:r>
            <w:r w:rsidR="00D10B3E">
              <w:rPr>
                <w:webHidden/>
              </w:rPr>
              <w:fldChar w:fldCharType="begin"/>
            </w:r>
            <w:r w:rsidR="00D10B3E">
              <w:rPr>
                <w:webHidden/>
              </w:rPr>
              <w:instrText xml:space="preserve"> PAGEREF _Toc51072730 \h </w:instrText>
            </w:r>
            <w:r w:rsidR="00D10B3E">
              <w:rPr>
                <w:webHidden/>
              </w:rPr>
            </w:r>
            <w:r w:rsidR="00D10B3E">
              <w:rPr>
                <w:webHidden/>
              </w:rPr>
              <w:fldChar w:fldCharType="separate"/>
            </w:r>
            <w:r w:rsidR="00D10B3E">
              <w:rPr>
                <w:webHidden/>
              </w:rPr>
              <w:t>274</w:t>
            </w:r>
            <w:r w:rsidR="00D10B3E">
              <w:rPr>
                <w:webHidden/>
              </w:rPr>
              <w:fldChar w:fldCharType="end"/>
            </w:r>
          </w:hyperlink>
        </w:p>
        <w:p w:rsidR="00D10B3E" w:rsidRDefault="007055AF">
          <w:pPr>
            <w:pStyle w:val="ndice1"/>
            <w:rPr>
              <w:rFonts w:asciiTheme="minorHAnsi" w:eastAsiaTheme="minorEastAsia" w:hAnsiTheme="minorHAnsi" w:cstheme="minorBidi"/>
              <w:b w:val="0"/>
              <w:bCs w:val="0"/>
              <w:caps w:val="0"/>
              <w:color w:val="auto"/>
              <w:sz w:val="22"/>
              <w:szCs w:val="22"/>
              <w:lang w:eastAsia="fr-FR"/>
              <w14:shadow w14:blurRad="0" w14:dist="0" w14:dir="0" w14:sx="0" w14:sy="0" w14:kx="0" w14:ky="0" w14:algn="none">
                <w14:srgbClr w14:val="000000"/>
              </w14:shadow>
              <w14:textOutline w14:w="0" w14:cap="rnd" w14:cmpd="sng" w14:algn="ctr">
                <w14:noFill/>
                <w14:prstDash w14:val="solid"/>
                <w14:bevel/>
              </w14:textOutline>
            </w:rPr>
          </w:pPr>
          <w:hyperlink w:anchor="_Toc51072731" w:history="1">
            <w:r w:rsidR="00D10B3E" w:rsidRPr="009D7544">
              <w:rPr>
                <w:rStyle w:val="Hiperligao"/>
              </w:rPr>
              <w:t>ANNEXE 8 : MODELE DE FICHE D'ENREGISTREMENT DES PLAINTES</w:t>
            </w:r>
            <w:r w:rsidR="00D10B3E">
              <w:rPr>
                <w:webHidden/>
              </w:rPr>
              <w:tab/>
            </w:r>
            <w:r w:rsidR="00D10B3E">
              <w:rPr>
                <w:webHidden/>
              </w:rPr>
              <w:fldChar w:fldCharType="begin"/>
            </w:r>
            <w:r w:rsidR="00D10B3E">
              <w:rPr>
                <w:webHidden/>
              </w:rPr>
              <w:instrText xml:space="preserve"> PAGEREF _Toc51072731 \h </w:instrText>
            </w:r>
            <w:r w:rsidR="00D10B3E">
              <w:rPr>
                <w:webHidden/>
              </w:rPr>
            </w:r>
            <w:r w:rsidR="00D10B3E">
              <w:rPr>
                <w:webHidden/>
              </w:rPr>
              <w:fldChar w:fldCharType="separate"/>
            </w:r>
            <w:r w:rsidR="00D10B3E">
              <w:rPr>
                <w:webHidden/>
              </w:rPr>
              <w:t>274</w:t>
            </w:r>
            <w:r w:rsidR="00D10B3E">
              <w:rPr>
                <w:webHidden/>
              </w:rPr>
              <w:fldChar w:fldCharType="end"/>
            </w:r>
          </w:hyperlink>
        </w:p>
        <w:p w:rsidR="00D10B3E" w:rsidRDefault="007055AF">
          <w:pPr>
            <w:pStyle w:val="ndice1"/>
            <w:rPr>
              <w:rFonts w:asciiTheme="minorHAnsi" w:eastAsiaTheme="minorEastAsia" w:hAnsiTheme="minorHAnsi" w:cstheme="minorBidi"/>
              <w:b w:val="0"/>
              <w:bCs w:val="0"/>
              <w:caps w:val="0"/>
              <w:color w:val="auto"/>
              <w:sz w:val="22"/>
              <w:szCs w:val="22"/>
              <w:lang w:eastAsia="fr-FR"/>
              <w14:shadow w14:blurRad="0" w14:dist="0" w14:dir="0" w14:sx="0" w14:sy="0" w14:kx="0" w14:ky="0" w14:algn="none">
                <w14:srgbClr w14:val="000000"/>
              </w14:shadow>
              <w14:textOutline w14:w="0" w14:cap="rnd" w14:cmpd="sng" w14:algn="ctr">
                <w14:noFill/>
                <w14:prstDash w14:val="solid"/>
                <w14:bevel/>
              </w14:textOutline>
            </w:rPr>
          </w:pPr>
          <w:hyperlink w:anchor="_Toc51072732" w:history="1">
            <w:r w:rsidR="00D10B3E" w:rsidRPr="009D7544">
              <w:rPr>
                <w:rStyle w:val="Hiperligao"/>
              </w:rPr>
              <w:t xml:space="preserve">ANNEXE 9 : MODELE DU TABLEAU PRESENTANT LES REPONSES </w:t>
            </w:r>
            <w:r w:rsidR="00EB726E">
              <w:rPr>
                <w:rStyle w:val="Hiperligao"/>
              </w:rPr>
              <w:t xml:space="preserve">DU PROJET </w:t>
            </w:r>
            <w:r w:rsidR="00D10B3E">
              <w:rPr>
                <w:webHidden/>
              </w:rPr>
              <w:tab/>
            </w:r>
            <w:r w:rsidR="00D10B3E">
              <w:rPr>
                <w:webHidden/>
              </w:rPr>
              <w:fldChar w:fldCharType="begin"/>
            </w:r>
            <w:r w:rsidR="00D10B3E">
              <w:rPr>
                <w:webHidden/>
              </w:rPr>
              <w:instrText xml:space="preserve"> PAGEREF _Toc51072732 \h </w:instrText>
            </w:r>
            <w:r w:rsidR="00D10B3E">
              <w:rPr>
                <w:webHidden/>
              </w:rPr>
            </w:r>
            <w:r w:rsidR="00D10B3E">
              <w:rPr>
                <w:webHidden/>
              </w:rPr>
              <w:fldChar w:fldCharType="separate"/>
            </w:r>
            <w:r w:rsidR="00D10B3E">
              <w:rPr>
                <w:webHidden/>
              </w:rPr>
              <w:t>274</w:t>
            </w:r>
            <w:r w:rsidR="00D10B3E">
              <w:rPr>
                <w:webHidden/>
              </w:rPr>
              <w:fldChar w:fldCharType="end"/>
            </w:r>
          </w:hyperlink>
        </w:p>
        <w:p w:rsidR="00D10B3E" w:rsidRDefault="007055AF">
          <w:pPr>
            <w:pStyle w:val="ndice1"/>
            <w:rPr>
              <w:rFonts w:asciiTheme="minorHAnsi" w:eastAsiaTheme="minorEastAsia" w:hAnsiTheme="minorHAnsi" w:cstheme="minorBidi"/>
              <w:b w:val="0"/>
              <w:bCs w:val="0"/>
              <w:caps w:val="0"/>
              <w:color w:val="auto"/>
              <w:sz w:val="22"/>
              <w:szCs w:val="22"/>
              <w:lang w:eastAsia="fr-FR"/>
              <w14:shadow w14:blurRad="0" w14:dist="0" w14:dir="0" w14:sx="0" w14:sy="0" w14:kx="0" w14:ky="0" w14:algn="none">
                <w14:srgbClr w14:val="000000"/>
              </w14:shadow>
              <w14:textOutline w14:w="0" w14:cap="rnd" w14:cmpd="sng" w14:algn="ctr">
                <w14:noFill/>
                <w14:prstDash w14:val="solid"/>
                <w14:bevel/>
              </w14:textOutline>
            </w:rPr>
          </w:pPr>
          <w:hyperlink w:anchor="_Toc51072733" w:history="1">
            <w:r w:rsidR="00D10B3E" w:rsidRPr="009D7544">
              <w:rPr>
                <w:rStyle w:val="Hiperligao"/>
              </w:rPr>
              <w:t>ANNEXE 10 : MODELE DE TABLEAU RELATIVE A LA DECISION FINALE A LA PLAINTE</w:t>
            </w:r>
            <w:r w:rsidR="00D10B3E">
              <w:rPr>
                <w:webHidden/>
              </w:rPr>
              <w:tab/>
            </w:r>
            <w:r w:rsidR="00D10B3E">
              <w:rPr>
                <w:webHidden/>
              </w:rPr>
              <w:fldChar w:fldCharType="begin"/>
            </w:r>
            <w:r w:rsidR="00D10B3E">
              <w:rPr>
                <w:webHidden/>
              </w:rPr>
              <w:instrText xml:space="preserve"> PAGEREF _Toc51072733 \h </w:instrText>
            </w:r>
            <w:r w:rsidR="00D10B3E">
              <w:rPr>
                <w:webHidden/>
              </w:rPr>
            </w:r>
            <w:r w:rsidR="00D10B3E">
              <w:rPr>
                <w:webHidden/>
              </w:rPr>
              <w:fldChar w:fldCharType="separate"/>
            </w:r>
            <w:r w:rsidR="00D10B3E">
              <w:rPr>
                <w:webHidden/>
              </w:rPr>
              <w:t>274</w:t>
            </w:r>
            <w:r w:rsidR="00D10B3E">
              <w:rPr>
                <w:webHidden/>
              </w:rPr>
              <w:fldChar w:fldCharType="end"/>
            </w:r>
          </w:hyperlink>
        </w:p>
        <w:p w:rsidR="00D10B3E" w:rsidRDefault="007055AF">
          <w:pPr>
            <w:pStyle w:val="ndice1"/>
            <w:rPr>
              <w:rFonts w:asciiTheme="minorHAnsi" w:eastAsiaTheme="minorEastAsia" w:hAnsiTheme="minorHAnsi" w:cstheme="minorBidi"/>
              <w:b w:val="0"/>
              <w:bCs w:val="0"/>
              <w:caps w:val="0"/>
              <w:color w:val="auto"/>
              <w:sz w:val="22"/>
              <w:szCs w:val="22"/>
              <w:lang w:eastAsia="fr-FR"/>
              <w14:shadow w14:blurRad="0" w14:dist="0" w14:dir="0" w14:sx="0" w14:sy="0" w14:kx="0" w14:ky="0" w14:algn="none">
                <w14:srgbClr w14:val="000000"/>
              </w14:shadow>
              <w14:textOutline w14:w="0" w14:cap="rnd" w14:cmpd="sng" w14:algn="ctr">
                <w14:noFill/>
                <w14:prstDash w14:val="solid"/>
                <w14:bevel/>
              </w14:textOutline>
            </w:rPr>
          </w:pPr>
          <w:hyperlink w:anchor="_Toc51072734" w:history="1">
            <w:r w:rsidR="00D10B3E" w:rsidRPr="009D7544">
              <w:rPr>
                <w:rStyle w:val="Hiperligao"/>
              </w:rPr>
              <w:t xml:space="preserve">ANNEXE 11 : MODELE DE TABLEAU REGISTRE DES PLAINTES (B) SUIVI </w:t>
            </w:r>
            <w:r w:rsidR="00D10B3E">
              <w:rPr>
                <w:webHidden/>
              </w:rPr>
              <w:tab/>
            </w:r>
            <w:r w:rsidR="00D10B3E">
              <w:rPr>
                <w:webHidden/>
              </w:rPr>
              <w:fldChar w:fldCharType="begin"/>
            </w:r>
            <w:r w:rsidR="00D10B3E">
              <w:rPr>
                <w:webHidden/>
              </w:rPr>
              <w:instrText xml:space="preserve"> PAGEREF _Toc51072734 \h </w:instrText>
            </w:r>
            <w:r w:rsidR="00D10B3E">
              <w:rPr>
                <w:webHidden/>
              </w:rPr>
            </w:r>
            <w:r w:rsidR="00D10B3E">
              <w:rPr>
                <w:webHidden/>
              </w:rPr>
              <w:fldChar w:fldCharType="separate"/>
            </w:r>
            <w:r w:rsidR="00D10B3E">
              <w:rPr>
                <w:webHidden/>
              </w:rPr>
              <w:t>275</w:t>
            </w:r>
            <w:r w:rsidR="00D10B3E">
              <w:rPr>
                <w:webHidden/>
              </w:rPr>
              <w:fldChar w:fldCharType="end"/>
            </w:r>
          </w:hyperlink>
        </w:p>
        <w:p w:rsidR="00D10B3E" w:rsidRDefault="007055AF">
          <w:pPr>
            <w:pStyle w:val="ndice1"/>
            <w:rPr>
              <w:rFonts w:asciiTheme="minorHAnsi" w:eastAsiaTheme="minorEastAsia" w:hAnsiTheme="minorHAnsi" w:cstheme="minorBidi"/>
              <w:b w:val="0"/>
              <w:bCs w:val="0"/>
              <w:caps w:val="0"/>
              <w:color w:val="auto"/>
              <w:sz w:val="22"/>
              <w:szCs w:val="22"/>
              <w:lang w:eastAsia="fr-FR"/>
              <w14:shadow w14:blurRad="0" w14:dist="0" w14:dir="0" w14:sx="0" w14:sy="0" w14:kx="0" w14:ky="0" w14:algn="none">
                <w14:srgbClr w14:val="000000"/>
              </w14:shadow>
              <w14:textOutline w14:w="0" w14:cap="rnd" w14:cmpd="sng" w14:algn="ctr">
                <w14:noFill/>
                <w14:prstDash w14:val="solid"/>
                <w14:bevel/>
              </w14:textOutline>
            </w:rPr>
          </w:pPr>
          <w:hyperlink w:anchor="_Toc51072735" w:history="1">
            <w:r w:rsidR="00D10B3E" w:rsidRPr="009D7544">
              <w:rPr>
                <w:rStyle w:val="Hiperligao"/>
              </w:rPr>
              <w:t>Annexe 11 : Modèle de tableau de Registre des plaintes</w:t>
            </w:r>
            <w:r w:rsidR="00EB726E">
              <w:rPr>
                <w:rStyle w:val="Hiperligao"/>
              </w:rPr>
              <w:t xml:space="preserve"> (a) </w:t>
            </w:r>
            <w:r w:rsidR="00D10B3E">
              <w:rPr>
                <w:webHidden/>
              </w:rPr>
              <w:tab/>
            </w:r>
            <w:r w:rsidR="00D10B3E">
              <w:rPr>
                <w:webHidden/>
              </w:rPr>
              <w:fldChar w:fldCharType="begin"/>
            </w:r>
            <w:r w:rsidR="00D10B3E">
              <w:rPr>
                <w:webHidden/>
              </w:rPr>
              <w:instrText xml:space="preserve"> PAGEREF _Toc51072735 \h </w:instrText>
            </w:r>
            <w:r w:rsidR="00D10B3E">
              <w:rPr>
                <w:webHidden/>
              </w:rPr>
            </w:r>
            <w:r w:rsidR="00D10B3E">
              <w:rPr>
                <w:webHidden/>
              </w:rPr>
              <w:fldChar w:fldCharType="separate"/>
            </w:r>
            <w:r w:rsidR="00D10B3E">
              <w:rPr>
                <w:webHidden/>
              </w:rPr>
              <w:t>275</w:t>
            </w:r>
            <w:r w:rsidR="00D10B3E">
              <w:rPr>
                <w:webHidden/>
              </w:rPr>
              <w:fldChar w:fldCharType="end"/>
            </w:r>
          </w:hyperlink>
        </w:p>
        <w:p w:rsidR="003313E3" w:rsidRDefault="003E1B4A" w:rsidP="0093770F">
          <w:pPr>
            <w:rPr>
              <w:b/>
              <w:bCs/>
            </w:rPr>
          </w:pPr>
          <w:r>
            <w:rPr>
              <w:b/>
              <w:bCs/>
            </w:rPr>
            <w:fldChar w:fldCharType="end"/>
          </w:r>
        </w:p>
        <w:p w:rsidR="0093770F" w:rsidRPr="003E1B4A" w:rsidRDefault="007055AF" w:rsidP="0093770F"/>
      </w:sdtContent>
    </w:sdt>
    <w:bookmarkStart w:id="3" w:name="_Toc493752546" w:displacedByCustomXml="prev"/>
    <w:p w:rsidR="0093770F" w:rsidRPr="00CD5496" w:rsidRDefault="0093770F" w:rsidP="00CD5496">
      <w:pPr>
        <w:keepNext/>
        <w:keepLines/>
        <w:pBdr>
          <w:top w:val="outset" w:sz="6" w:space="1" w:color="auto"/>
          <w:left w:val="outset" w:sz="6" w:space="4" w:color="auto"/>
          <w:bottom w:val="outset" w:sz="6" w:space="1" w:color="auto"/>
          <w:right w:val="outset" w:sz="6" w:space="4" w:color="auto"/>
        </w:pBdr>
        <w:shd w:val="clear" w:color="auto" w:fill="F2F2F2" w:themeFill="background1" w:themeFillShade="F2"/>
        <w:spacing w:after="0" w:line="240" w:lineRule="auto"/>
        <w:ind w:left="-1417" w:right="-566"/>
        <w:jc w:val="center"/>
        <w:outlineLvl w:val="0"/>
        <w:rPr>
          <w:rFonts w:ascii="Times New Roman" w:eastAsia="Calibri" w:hAnsi="Times New Roman" w:cs="Times New Roman"/>
          <w:b/>
          <w:sz w:val="32"/>
          <w:szCs w:val="32"/>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D5496">
        <w:rPr>
          <w:rFonts w:ascii="Times New Roman" w:eastAsia="Calibri" w:hAnsi="Times New Roman" w:cs="Times New Roman"/>
          <w:b/>
          <w:sz w:val="32"/>
          <w:szCs w:val="32"/>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bookmarkStart w:id="4" w:name="_Toc527881979"/>
      <w:bookmarkStart w:id="5" w:name="_Toc51072490"/>
      <w:r w:rsidRPr="00CD5496">
        <w:rPr>
          <w:rFonts w:ascii="Times New Roman" w:eastAsia="Calibri" w:hAnsi="Times New Roman" w:cs="Times New Roman"/>
          <w:b/>
          <w:sz w:val="32"/>
          <w:szCs w:val="32"/>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LISTE DES TABLEAUX</w:t>
      </w:r>
      <w:bookmarkEnd w:id="3"/>
      <w:bookmarkEnd w:id="4"/>
      <w:bookmarkEnd w:id="5"/>
    </w:p>
    <w:p w:rsidR="0093770F" w:rsidRPr="006C0C34" w:rsidRDefault="0093770F" w:rsidP="0093770F">
      <w:pPr>
        <w:pStyle w:val="ndicedeilustraes"/>
        <w:tabs>
          <w:tab w:val="right" w:leader="dot" w:pos="9062"/>
        </w:tabs>
        <w:rPr>
          <w:rFonts w:ascii="Times New Roman" w:eastAsia="Calibri" w:hAnsi="Times New Roman" w:cs="Times New Roman"/>
          <w:sz w:val="24"/>
          <w:szCs w:val="24"/>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pPr>
    </w:p>
    <w:p w:rsidR="00820701" w:rsidRPr="00820701" w:rsidRDefault="003E1B4A">
      <w:pPr>
        <w:pStyle w:val="ndicedeilustraes"/>
        <w:tabs>
          <w:tab w:val="right" w:leader="dot" w:pos="9060"/>
        </w:tabs>
        <w:rPr>
          <w:rStyle w:val="Hiperligao"/>
          <w:rFonts w:ascii="Times New Roman" w:hAnsi="Times New Roman" w:cs="Times New Roman"/>
        </w:rPr>
      </w:pPr>
      <w:r w:rsidRPr="00820701">
        <w:rPr>
          <w:rStyle w:val="Hiperligao"/>
          <w:noProof/>
          <w:sz w:val="22"/>
          <w:szCs w:val="22"/>
        </w:rPr>
        <w:fldChar w:fldCharType="begin"/>
      </w:r>
      <w:r w:rsidRPr="00820701">
        <w:rPr>
          <w:rStyle w:val="Hiperligao"/>
          <w:noProof/>
          <w:sz w:val="22"/>
          <w:szCs w:val="22"/>
        </w:rPr>
        <w:instrText xml:space="preserve"> TOC \h \z \c "Tableau" </w:instrText>
      </w:r>
      <w:r w:rsidRPr="00820701">
        <w:rPr>
          <w:rStyle w:val="Hiperligao"/>
          <w:noProof/>
          <w:sz w:val="22"/>
          <w:szCs w:val="22"/>
        </w:rPr>
        <w:fldChar w:fldCharType="separate"/>
      </w:r>
      <w:hyperlink w:anchor="_Toc51073992" w:history="1">
        <w:r w:rsidR="00820701" w:rsidRPr="00820701">
          <w:rPr>
            <w:rStyle w:val="Hiperligao"/>
            <w:rFonts w:ascii="Times New Roman" w:hAnsi="Times New Roman" w:cs="Times New Roman"/>
            <w:noProof/>
            <w:sz w:val="22"/>
            <w:szCs w:val="22"/>
          </w:rPr>
          <w:t>Tableau 1: Volume de stockage minimal pour le système d</w:t>
        </w:r>
        <w:r w:rsidR="00820701">
          <w:rPr>
            <w:rStyle w:val="Hiperligao"/>
            <w:rFonts w:ascii="Times New Roman" w:hAnsi="Times New Roman" w:cs="Times New Roman"/>
            <w:noProof/>
            <w:sz w:val="22"/>
            <w:szCs w:val="22"/>
          </w:rPr>
          <w:t xml:space="preserve">’AEP de Bissau / horizon </w:t>
        </w:r>
        <w:r w:rsidR="00820701" w:rsidRPr="00820701">
          <w:rPr>
            <w:rStyle w:val="Hiperligao"/>
            <w:rFonts w:ascii="Times New Roman" w:hAnsi="Times New Roman" w:cs="Times New Roman"/>
            <w:webHidden/>
            <w:sz w:val="22"/>
            <w:szCs w:val="22"/>
          </w:rPr>
          <w:tab/>
        </w:r>
        <w:r w:rsidR="00820701" w:rsidRPr="00820701">
          <w:rPr>
            <w:rStyle w:val="Hiperligao"/>
            <w:rFonts w:ascii="Times New Roman" w:hAnsi="Times New Roman" w:cs="Times New Roman"/>
            <w:webHidden/>
            <w:sz w:val="22"/>
            <w:szCs w:val="22"/>
          </w:rPr>
          <w:fldChar w:fldCharType="begin"/>
        </w:r>
        <w:r w:rsidR="00820701" w:rsidRPr="00820701">
          <w:rPr>
            <w:rStyle w:val="Hiperligao"/>
            <w:rFonts w:ascii="Times New Roman" w:hAnsi="Times New Roman" w:cs="Times New Roman"/>
            <w:webHidden/>
            <w:sz w:val="22"/>
            <w:szCs w:val="22"/>
          </w:rPr>
          <w:instrText xml:space="preserve"> PAGEREF _Toc51073992 \h </w:instrText>
        </w:r>
        <w:r w:rsidR="00820701" w:rsidRPr="00820701">
          <w:rPr>
            <w:rStyle w:val="Hiperligao"/>
            <w:rFonts w:ascii="Times New Roman" w:hAnsi="Times New Roman" w:cs="Times New Roman"/>
            <w:webHidden/>
            <w:sz w:val="22"/>
            <w:szCs w:val="22"/>
          </w:rPr>
        </w:r>
        <w:r w:rsidR="00820701" w:rsidRPr="00820701">
          <w:rPr>
            <w:rStyle w:val="Hiperligao"/>
            <w:rFonts w:ascii="Times New Roman" w:hAnsi="Times New Roman" w:cs="Times New Roman"/>
            <w:webHidden/>
            <w:sz w:val="22"/>
            <w:szCs w:val="22"/>
          </w:rPr>
          <w:fldChar w:fldCharType="separate"/>
        </w:r>
        <w:r w:rsidR="00820701" w:rsidRPr="00820701">
          <w:rPr>
            <w:rStyle w:val="Hiperligao"/>
            <w:rFonts w:ascii="Times New Roman" w:hAnsi="Times New Roman" w:cs="Times New Roman"/>
            <w:webHidden/>
            <w:sz w:val="22"/>
            <w:szCs w:val="22"/>
          </w:rPr>
          <w:t>63</w:t>
        </w:r>
        <w:r w:rsidR="00820701" w:rsidRPr="00820701">
          <w:rPr>
            <w:rStyle w:val="Hiperligao"/>
            <w:rFonts w:ascii="Times New Roman" w:hAnsi="Times New Roman" w:cs="Times New Roman"/>
            <w:webHidden/>
            <w:sz w:val="22"/>
            <w:szCs w:val="22"/>
          </w:rPr>
          <w:fldChar w:fldCharType="end"/>
        </w:r>
      </w:hyperlink>
    </w:p>
    <w:p w:rsidR="00820701" w:rsidRPr="00820701" w:rsidRDefault="007055AF">
      <w:pPr>
        <w:pStyle w:val="ndicedeilustraes"/>
        <w:tabs>
          <w:tab w:val="right" w:leader="dot" w:pos="9060"/>
        </w:tabs>
        <w:rPr>
          <w:rStyle w:val="Hiperligao"/>
          <w:rFonts w:ascii="Times New Roman" w:hAnsi="Times New Roman" w:cs="Times New Roman"/>
        </w:rPr>
      </w:pPr>
      <w:hyperlink w:anchor="_Toc51073993" w:history="1">
        <w:r w:rsidR="00820701" w:rsidRPr="00820701">
          <w:rPr>
            <w:rStyle w:val="Hiperligao"/>
            <w:rFonts w:ascii="Times New Roman" w:hAnsi="Times New Roman" w:cs="Times New Roman"/>
            <w:noProof/>
            <w:sz w:val="22"/>
            <w:szCs w:val="22"/>
          </w:rPr>
          <w:t>Tableau 2: Répartition des quartiers de la ville de Bissau par secteur</w:t>
        </w:r>
        <w:r w:rsidR="00820701" w:rsidRPr="00820701">
          <w:rPr>
            <w:rStyle w:val="Hiperligao"/>
            <w:rFonts w:ascii="Times New Roman" w:hAnsi="Times New Roman" w:cs="Times New Roman"/>
            <w:webHidden/>
            <w:sz w:val="22"/>
            <w:szCs w:val="22"/>
          </w:rPr>
          <w:tab/>
        </w:r>
        <w:r w:rsidR="00820701" w:rsidRPr="00820701">
          <w:rPr>
            <w:rStyle w:val="Hiperligao"/>
            <w:rFonts w:ascii="Times New Roman" w:hAnsi="Times New Roman" w:cs="Times New Roman"/>
            <w:webHidden/>
            <w:sz w:val="22"/>
            <w:szCs w:val="22"/>
          </w:rPr>
          <w:fldChar w:fldCharType="begin"/>
        </w:r>
        <w:r w:rsidR="00820701" w:rsidRPr="00820701">
          <w:rPr>
            <w:rStyle w:val="Hiperligao"/>
            <w:rFonts w:ascii="Times New Roman" w:hAnsi="Times New Roman" w:cs="Times New Roman"/>
            <w:webHidden/>
            <w:sz w:val="22"/>
            <w:szCs w:val="22"/>
          </w:rPr>
          <w:instrText xml:space="preserve"> PAGEREF _Toc51073993 \h </w:instrText>
        </w:r>
        <w:r w:rsidR="00820701" w:rsidRPr="00820701">
          <w:rPr>
            <w:rStyle w:val="Hiperligao"/>
            <w:rFonts w:ascii="Times New Roman" w:hAnsi="Times New Roman" w:cs="Times New Roman"/>
            <w:webHidden/>
            <w:sz w:val="22"/>
            <w:szCs w:val="22"/>
          </w:rPr>
        </w:r>
        <w:r w:rsidR="00820701" w:rsidRPr="00820701">
          <w:rPr>
            <w:rStyle w:val="Hiperligao"/>
            <w:rFonts w:ascii="Times New Roman" w:hAnsi="Times New Roman" w:cs="Times New Roman"/>
            <w:webHidden/>
            <w:sz w:val="22"/>
            <w:szCs w:val="22"/>
          </w:rPr>
          <w:fldChar w:fldCharType="separate"/>
        </w:r>
        <w:r w:rsidR="00820701" w:rsidRPr="00820701">
          <w:rPr>
            <w:rStyle w:val="Hiperligao"/>
            <w:rFonts w:ascii="Times New Roman" w:hAnsi="Times New Roman" w:cs="Times New Roman"/>
            <w:webHidden/>
            <w:sz w:val="22"/>
            <w:szCs w:val="22"/>
          </w:rPr>
          <w:t>64</w:t>
        </w:r>
        <w:r w:rsidR="00820701" w:rsidRPr="00820701">
          <w:rPr>
            <w:rStyle w:val="Hiperligao"/>
            <w:rFonts w:ascii="Times New Roman" w:hAnsi="Times New Roman" w:cs="Times New Roman"/>
            <w:webHidden/>
            <w:sz w:val="22"/>
            <w:szCs w:val="22"/>
          </w:rPr>
          <w:fldChar w:fldCharType="end"/>
        </w:r>
      </w:hyperlink>
    </w:p>
    <w:p w:rsidR="00820701" w:rsidRPr="00820701" w:rsidRDefault="007055AF">
      <w:pPr>
        <w:pStyle w:val="ndicedeilustraes"/>
        <w:tabs>
          <w:tab w:val="right" w:leader="dot" w:pos="9060"/>
        </w:tabs>
        <w:rPr>
          <w:rStyle w:val="Hiperligao"/>
          <w:rFonts w:ascii="Times New Roman" w:hAnsi="Times New Roman" w:cs="Times New Roman"/>
        </w:rPr>
      </w:pPr>
      <w:hyperlink w:anchor="_Toc51073994" w:history="1">
        <w:r w:rsidR="00820701" w:rsidRPr="00820701">
          <w:rPr>
            <w:rStyle w:val="Hiperligao"/>
            <w:rFonts w:ascii="Times New Roman" w:hAnsi="Times New Roman" w:cs="Times New Roman"/>
            <w:noProof/>
            <w:sz w:val="22"/>
            <w:szCs w:val="22"/>
          </w:rPr>
          <w:t>Tableau 4: Répartition des réservoirs par étape</w:t>
        </w:r>
        <w:r w:rsidR="00820701" w:rsidRPr="00820701">
          <w:rPr>
            <w:rStyle w:val="Hiperligao"/>
            <w:rFonts w:ascii="Times New Roman" w:hAnsi="Times New Roman" w:cs="Times New Roman"/>
            <w:webHidden/>
            <w:sz w:val="22"/>
            <w:szCs w:val="22"/>
          </w:rPr>
          <w:tab/>
        </w:r>
        <w:r w:rsidR="00820701" w:rsidRPr="00820701">
          <w:rPr>
            <w:rStyle w:val="Hiperligao"/>
            <w:rFonts w:ascii="Times New Roman" w:hAnsi="Times New Roman" w:cs="Times New Roman"/>
            <w:webHidden/>
            <w:sz w:val="22"/>
            <w:szCs w:val="22"/>
          </w:rPr>
          <w:fldChar w:fldCharType="begin"/>
        </w:r>
        <w:r w:rsidR="00820701" w:rsidRPr="00820701">
          <w:rPr>
            <w:rStyle w:val="Hiperligao"/>
            <w:rFonts w:ascii="Times New Roman" w:hAnsi="Times New Roman" w:cs="Times New Roman"/>
            <w:webHidden/>
            <w:sz w:val="22"/>
            <w:szCs w:val="22"/>
          </w:rPr>
          <w:instrText xml:space="preserve"> PAGEREF _Toc51073994 \h </w:instrText>
        </w:r>
        <w:r w:rsidR="00820701" w:rsidRPr="00820701">
          <w:rPr>
            <w:rStyle w:val="Hiperligao"/>
            <w:rFonts w:ascii="Times New Roman" w:hAnsi="Times New Roman" w:cs="Times New Roman"/>
            <w:webHidden/>
            <w:sz w:val="22"/>
            <w:szCs w:val="22"/>
          </w:rPr>
        </w:r>
        <w:r w:rsidR="00820701" w:rsidRPr="00820701">
          <w:rPr>
            <w:rStyle w:val="Hiperligao"/>
            <w:rFonts w:ascii="Times New Roman" w:hAnsi="Times New Roman" w:cs="Times New Roman"/>
            <w:webHidden/>
            <w:sz w:val="22"/>
            <w:szCs w:val="22"/>
          </w:rPr>
          <w:fldChar w:fldCharType="separate"/>
        </w:r>
        <w:r w:rsidR="00820701" w:rsidRPr="00820701">
          <w:rPr>
            <w:rStyle w:val="Hiperligao"/>
            <w:rFonts w:ascii="Times New Roman" w:hAnsi="Times New Roman" w:cs="Times New Roman"/>
            <w:webHidden/>
            <w:sz w:val="22"/>
            <w:szCs w:val="22"/>
          </w:rPr>
          <w:t>64</w:t>
        </w:r>
        <w:r w:rsidR="00820701" w:rsidRPr="00820701">
          <w:rPr>
            <w:rStyle w:val="Hiperligao"/>
            <w:rFonts w:ascii="Times New Roman" w:hAnsi="Times New Roman" w:cs="Times New Roman"/>
            <w:webHidden/>
            <w:sz w:val="22"/>
            <w:szCs w:val="22"/>
          </w:rPr>
          <w:fldChar w:fldCharType="end"/>
        </w:r>
      </w:hyperlink>
    </w:p>
    <w:p w:rsidR="00820701" w:rsidRPr="00820701" w:rsidRDefault="007055AF">
      <w:pPr>
        <w:pStyle w:val="ndicedeilustraes"/>
        <w:tabs>
          <w:tab w:val="right" w:leader="dot" w:pos="9060"/>
        </w:tabs>
        <w:rPr>
          <w:rStyle w:val="Hiperligao"/>
          <w:rFonts w:ascii="Times New Roman" w:hAnsi="Times New Roman" w:cs="Times New Roman"/>
        </w:rPr>
      </w:pPr>
      <w:hyperlink w:anchor="_Toc51073995" w:history="1">
        <w:r w:rsidR="00820701" w:rsidRPr="00820701">
          <w:rPr>
            <w:rStyle w:val="Hiperligao"/>
            <w:rFonts w:ascii="Times New Roman" w:hAnsi="Times New Roman" w:cs="Times New Roman"/>
            <w:noProof/>
            <w:sz w:val="22"/>
            <w:szCs w:val="22"/>
          </w:rPr>
          <w:t>Tableau 4: Châteaux d’Eau en exploitation</w:t>
        </w:r>
        <w:r w:rsidR="00820701" w:rsidRPr="00820701">
          <w:rPr>
            <w:rStyle w:val="Hiperligao"/>
            <w:rFonts w:ascii="Times New Roman" w:hAnsi="Times New Roman" w:cs="Times New Roman"/>
            <w:webHidden/>
            <w:sz w:val="22"/>
            <w:szCs w:val="22"/>
          </w:rPr>
          <w:tab/>
        </w:r>
        <w:r w:rsidR="00820701" w:rsidRPr="00820701">
          <w:rPr>
            <w:rStyle w:val="Hiperligao"/>
            <w:rFonts w:ascii="Times New Roman" w:hAnsi="Times New Roman" w:cs="Times New Roman"/>
            <w:webHidden/>
            <w:sz w:val="22"/>
            <w:szCs w:val="22"/>
          </w:rPr>
          <w:fldChar w:fldCharType="begin"/>
        </w:r>
        <w:r w:rsidR="00820701" w:rsidRPr="00820701">
          <w:rPr>
            <w:rStyle w:val="Hiperligao"/>
            <w:rFonts w:ascii="Times New Roman" w:hAnsi="Times New Roman" w:cs="Times New Roman"/>
            <w:webHidden/>
            <w:sz w:val="22"/>
            <w:szCs w:val="22"/>
          </w:rPr>
          <w:instrText xml:space="preserve"> PAGEREF _Toc51073995 \h </w:instrText>
        </w:r>
        <w:r w:rsidR="00820701" w:rsidRPr="00820701">
          <w:rPr>
            <w:rStyle w:val="Hiperligao"/>
            <w:rFonts w:ascii="Times New Roman" w:hAnsi="Times New Roman" w:cs="Times New Roman"/>
            <w:webHidden/>
            <w:sz w:val="22"/>
            <w:szCs w:val="22"/>
          </w:rPr>
        </w:r>
        <w:r w:rsidR="00820701" w:rsidRPr="00820701">
          <w:rPr>
            <w:rStyle w:val="Hiperligao"/>
            <w:rFonts w:ascii="Times New Roman" w:hAnsi="Times New Roman" w:cs="Times New Roman"/>
            <w:webHidden/>
            <w:sz w:val="22"/>
            <w:szCs w:val="22"/>
          </w:rPr>
          <w:fldChar w:fldCharType="separate"/>
        </w:r>
        <w:r w:rsidR="00820701" w:rsidRPr="00820701">
          <w:rPr>
            <w:rStyle w:val="Hiperligao"/>
            <w:rFonts w:ascii="Times New Roman" w:hAnsi="Times New Roman" w:cs="Times New Roman"/>
            <w:webHidden/>
            <w:sz w:val="22"/>
            <w:szCs w:val="22"/>
          </w:rPr>
          <w:t>65</w:t>
        </w:r>
        <w:r w:rsidR="00820701" w:rsidRPr="00820701">
          <w:rPr>
            <w:rStyle w:val="Hiperligao"/>
            <w:rFonts w:ascii="Times New Roman" w:hAnsi="Times New Roman" w:cs="Times New Roman"/>
            <w:webHidden/>
            <w:sz w:val="22"/>
            <w:szCs w:val="22"/>
          </w:rPr>
          <w:fldChar w:fldCharType="end"/>
        </w:r>
      </w:hyperlink>
    </w:p>
    <w:p w:rsidR="00820701" w:rsidRPr="00820701" w:rsidRDefault="007055AF">
      <w:pPr>
        <w:pStyle w:val="ndicedeilustraes"/>
        <w:tabs>
          <w:tab w:val="right" w:leader="dot" w:pos="9060"/>
        </w:tabs>
        <w:rPr>
          <w:rStyle w:val="Hiperligao"/>
          <w:rFonts w:ascii="Times New Roman" w:hAnsi="Times New Roman" w:cs="Times New Roman"/>
        </w:rPr>
      </w:pPr>
      <w:hyperlink w:anchor="_Toc51073996" w:history="1">
        <w:r w:rsidR="00820701" w:rsidRPr="00820701">
          <w:rPr>
            <w:rStyle w:val="Hiperligao"/>
            <w:rFonts w:ascii="Times New Roman" w:hAnsi="Times New Roman" w:cs="Times New Roman"/>
            <w:noProof/>
            <w:sz w:val="22"/>
            <w:szCs w:val="22"/>
          </w:rPr>
          <w:t>Tableau 5: Caractéristiques des réservoirs à réaliser</w:t>
        </w:r>
        <w:r w:rsidR="00820701" w:rsidRPr="00820701">
          <w:rPr>
            <w:rStyle w:val="Hiperligao"/>
            <w:rFonts w:ascii="Times New Roman" w:hAnsi="Times New Roman" w:cs="Times New Roman"/>
            <w:webHidden/>
            <w:sz w:val="22"/>
            <w:szCs w:val="22"/>
          </w:rPr>
          <w:tab/>
        </w:r>
        <w:r w:rsidR="00820701" w:rsidRPr="00820701">
          <w:rPr>
            <w:rStyle w:val="Hiperligao"/>
            <w:rFonts w:ascii="Times New Roman" w:hAnsi="Times New Roman" w:cs="Times New Roman"/>
            <w:webHidden/>
            <w:sz w:val="22"/>
            <w:szCs w:val="22"/>
          </w:rPr>
          <w:fldChar w:fldCharType="begin"/>
        </w:r>
        <w:r w:rsidR="00820701" w:rsidRPr="00820701">
          <w:rPr>
            <w:rStyle w:val="Hiperligao"/>
            <w:rFonts w:ascii="Times New Roman" w:hAnsi="Times New Roman" w:cs="Times New Roman"/>
            <w:webHidden/>
            <w:sz w:val="22"/>
            <w:szCs w:val="22"/>
          </w:rPr>
          <w:instrText xml:space="preserve"> PAGEREF _Toc51073996 \h </w:instrText>
        </w:r>
        <w:r w:rsidR="00820701" w:rsidRPr="00820701">
          <w:rPr>
            <w:rStyle w:val="Hiperligao"/>
            <w:rFonts w:ascii="Times New Roman" w:hAnsi="Times New Roman" w:cs="Times New Roman"/>
            <w:webHidden/>
            <w:sz w:val="22"/>
            <w:szCs w:val="22"/>
          </w:rPr>
        </w:r>
        <w:r w:rsidR="00820701" w:rsidRPr="00820701">
          <w:rPr>
            <w:rStyle w:val="Hiperligao"/>
            <w:rFonts w:ascii="Times New Roman" w:hAnsi="Times New Roman" w:cs="Times New Roman"/>
            <w:webHidden/>
            <w:sz w:val="22"/>
            <w:szCs w:val="22"/>
          </w:rPr>
          <w:fldChar w:fldCharType="separate"/>
        </w:r>
        <w:r w:rsidR="00820701" w:rsidRPr="00820701">
          <w:rPr>
            <w:rStyle w:val="Hiperligao"/>
            <w:rFonts w:ascii="Times New Roman" w:hAnsi="Times New Roman" w:cs="Times New Roman"/>
            <w:webHidden/>
            <w:sz w:val="22"/>
            <w:szCs w:val="22"/>
          </w:rPr>
          <w:t>66</w:t>
        </w:r>
        <w:r w:rsidR="00820701" w:rsidRPr="00820701">
          <w:rPr>
            <w:rStyle w:val="Hiperligao"/>
            <w:rFonts w:ascii="Times New Roman" w:hAnsi="Times New Roman" w:cs="Times New Roman"/>
            <w:webHidden/>
            <w:sz w:val="22"/>
            <w:szCs w:val="22"/>
          </w:rPr>
          <w:fldChar w:fldCharType="end"/>
        </w:r>
      </w:hyperlink>
    </w:p>
    <w:p w:rsidR="00820701" w:rsidRPr="00820701" w:rsidRDefault="007055AF">
      <w:pPr>
        <w:pStyle w:val="ndicedeilustraes"/>
        <w:tabs>
          <w:tab w:val="right" w:leader="dot" w:pos="9060"/>
        </w:tabs>
        <w:rPr>
          <w:rStyle w:val="Hiperligao"/>
          <w:rFonts w:ascii="Times New Roman" w:hAnsi="Times New Roman" w:cs="Times New Roman"/>
        </w:rPr>
      </w:pPr>
      <w:hyperlink w:anchor="_Toc51073997" w:history="1">
        <w:r w:rsidR="00820701" w:rsidRPr="00820701">
          <w:rPr>
            <w:rStyle w:val="Hiperligao"/>
            <w:rFonts w:ascii="Times New Roman" w:hAnsi="Times New Roman" w:cs="Times New Roman"/>
            <w:noProof/>
            <w:sz w:val="22"/>
            <w:szCs w:val="22"/>
          </w:rPr>
          <w:t>Tableau 6: Les réglementations en terme environnemental et so</w:t>
        </w:r>
        <w:r w:rsidR="00820701">
          <w:rPr>
            <w:rStyle w:val="Hiperligao"/>
            <w:rFonts w:ascii="Times New Roman" w:hAnsi="Times New Roman" w:cs="Times New Roman"/>
            <w:noProof/>
            <w:sz w:val="22"/>
            <w:szCs w:val="22"/>
          </w:rPr>
          <w:t xml:space="preserve">cial en vigueur </w:t>
        </w:r>
        <w:r w:rsidR="00820701" w:rsidRPr="00820701">
          <w:rPr>
            <w:rStyle w:val="Hiperligao"/>
            <w:rFonts w:ascii="Times New Roman" w:hAnsi="Times New Roman" w:cs="Times New Roman"/>
            <w:webHidden/>
            <w:sz w:val="22"/>
            <w:szCs w:val="22"/>
          </w:rPr>
          <w:tab/>
        </w:r>
        <w:r w:rsidR="00820701" w:rsidRPr="00820701">
          <w:rPr>
            <w:rStyle w:val="Hiperligao"/>
            <w:rFonts w:ascii="Times New Roman" w:hAnsi="Times New Roman" w:cs="Times New Roman"/>
            <w:webHidden/>
            <w:sz w:val="22"/>
            <w:szCs w:val="22"/>
          </w:rPr>
          <w:fldChar w:fldCharType="begin"/>
        </w:r>
        <w:r w:rsidR="00820701" w:rsidRPr="00820701">
          <w:rPr>
            <w:rStyle w:val="Hiperligao"/>
            <w:rFonts w:ascii="Times New Roman" w:hAnsi="Times New Roman" w:cs="Times New Roman"/>
            <w:webHidden/>
            <w:sz w:val="22"/>
            <w:szCs w:val="22"/>
          </w:rPr>
          <w:instrText xml:space="preserve"> PAGEREF _Toc51073997 \h </w:instrText>
        </w:r>
        <w:r w:rsidR="00820701" w:rsidRPr="00820701">
          <w:rPr>
            <w:rStyle w:val="Hiperligao"/>
            <w:rFonts w:ascii="Times New Roman" w:hAnsi="Times New Roman" w:cs="Times New Roman"/>
            <w:webHidden/>
            <w:sz w:val="22"/>
            <w:szCs w:val="22"/>
          </w:rPr>
        </w:r>
        <w:r w:rsidR="00820701" w:rsidRPr="00820701">
          <w:rPr>
            <w:rStyle w:val="Hiperligao"/>
            <w:rFonts w:ascii="Times New Roman" w:hAnsi="Times New Roman" w:cs="Times New Roman"/>
            <w:webHidden/>
            <w:sz w:val="22"/>
            <w:szCs w:val="22"/>
          </w:rPr>
          <w:fldChar w:fldCharType="separate"/>
        </w:r>
        <w:r w:rsidR="00820701" w:rsidRPr="00820701">
          <w:rPr>
            <w:rStyle w:val="Hiperligao"/>
            <w:rFonts w:ascii="Times New Roman" w:hAnsi="Times New Roman" w:cs="Times New Roman"/>
            <w:webHidden/>
            <w:sz w:val="22"/>
            <w:szCs w:val="22"/>
          </w:rPr>
          <w:t>80</w:t>
        </w:r>
        <w:r w:rsidR="00820701" w:rsidRPr="00820701">
          <w:rPr>
            <w:rStyle w:val="Hiperligao"/>
            <w:rFonts w:ascii="Times New Roman" w:hAnsi="Times New Roman" w:cs="Times New Roman"/>
            <w:webHidden/>
            <w:sz w:val="22"/>
            <w:szCs w:val="22"/>
          </w:rPr>
          <w:fldChar w:fldCharType="end"/>
        </w:r>
      </w:hyperlink>
    </w:p>
    <w:p w:rsidR="00820701" w:rsidRPr="00820701" w:rsidRDefault="007055AF">
      <w:pPr>
        <w:pStyle w:val="ndicedeilustraes"/>
        <w:tabs>
          <w:tab w:val="right" w:leader="dot" w:pos="9060"/>
        </w:tabs>
        <w:rPr>
          <w:rStyle w:val="Hiperligao"/>
          <w:rFonts w:ascii="Times New Roman" w:hAnsi="Times New Roman" w:cs="Times New Roman"/>
        </w:rPr>
      </w:pPr>
      <w:hyperlink w:anchor="_Toc51073998" w:history="1">
        <w:r w:rsidR="00820701" w:rsidRPr="00820701">
          <w:rPr>
            <w:rStyle w:val="Hiperligao"/>
            <w:rFonts w:ascii="Times New Roman" w:hAnsi="Times New Roman" w:cs="Times New Roman"/>
            <w:noProof/>
            <w:sz w:val="22"/>
            <w:szCs w:val="22"/>
          </w:rPr>
          <w:t>Tableau 7: Autres dispositions réglementaires applicables au projet</w:t>
        </w:r>
        <w:r w:rsidR="00820701" w:rsidRPr="00820701">
          <w:rPr>
            <w:rStyle w:val="Hiperligao"/>
            <w:rFonts w:ascii="Times New Roman" w:hAnsi="Times New Roman" w:cs="Times New Roman"/>
            <w:webHidden/>
            <w:sz w:val="22"/>
            <w:szCs w:val="22"/>
          </w:rPr>
          <w:tab/>
        </w:r>
        <w:r w:rsidR="00820701" w:rsidRPr="00820701">
          <w:rPr>
            <w:rStyle w:val="Hiperligao"/>
            <w:rFonts w:ascii="Times New Roman" w:hAnsi="Times New Roman" w:cs="Times New Roman"/>
            <w:webHidden/>
            <w:sz w:val="22"/>
            <w:szCs w:val="22"/>
          </w:rPr>
          <w:fldChar w:fldCharType="begin"/>
        </w:r>
        <w:r w:rsidR="00820701" w:rsidRPr="00820701">
          <w:rPr>
            <w:rStyle w:val="Hiperligao"/>
            <w:rFonts w:ascii="Times New Roman" w:hAnsi="Times New Roman" w:cs="Times New Roman"/>
            <w:webHidden/>
            <w:sz w:val="22"/>
            <w:szCs w:val="22"/>
          </w:rPr>
          <w:instrText xml:space="preserve"> PAGEREF _Toc51073998 \h </w:instrText>
        </w:r>
        <w:r w:rsidR="00820701" w:rsidRPr="00820701">
          <w:rPr>
            <w:rStyle w:val="Hiperligao"/>
            <w:rFonts w:ascii="Times New Roman" w:hAnsi="Times New Roman" w:cs="Times New Roman"/>
            <w:webHidden/>
            <w:sz w:val="22"/>
            <w:szCs w:val="22"/>
          </w:rPr>
        </w:r>
        <w:r w:rsidR="00820701" w:rsidRPr="00820701">
          <w:rPr>
            <w:rStyle w:val="Hiperligao"/>
            <w:rFonts w:ascii="Times New Roman" w:hAnsi="Times New Roman" w:cs="Times New Roman"/>
            <w:webHidden/>
            <w:sz w:val="22"/>
            <w:szCs w:val="22"/>
          </w:rPr>
          <w:fldChar w:fldCharType="separate"/>
        </w:r>
        <w:r w:rsidR="00820701" w:rsidRPr="00820701">
          <w:rPr>
            <w:rStyle w:val="Hiperligao"/>
            <w:rFonts w:ascii="Times New Roman" w:hAnsi="Times New Roman" w:cs="Times New Roman"/>
            <w:webHidden/>
            <w:sz w:val="22"/>
            <w:szCs w:val="22"/>
          </w:rPr>
          <w:t>80</w:t>
        </w:r>
        <w:r w:rsidR="00820701" w:rsidRPr="00820701">
          <w:rPr>
            <w:rStyle w:val="Hiperligao"/>
            <w:rFonts w:ascii="Times New Roman" w:hAnsi="Times New Roman" w:cs="Times New Roman"/>
            <w:webHidden/>
            <w:sz w:val="22"/>
            <w:szCs w:val="22"/>
          </w:rPr>
          <w:fldChar w:fldCharType="end"/>
        </w:r>
      </w:hyperlink>
    </w:p>
    <w:p w:rsidR="00820701" w:rsidRPr="00820701" w:rsidRDefault="007055AF">
      <w:pPr>
        <w:pStyle w:val="ndicedeilustraes"/>
        <w:tabs>
          <w:tab w:val="right" w:leader="dot" w:pos="9060"/>
        </w:tabs>
        <w:rPr>
          <w:rStyle w:val="Hiperligao"/>
          <w:rFonts w:ascii="Times New Roman" w:hAnsi="Times New Roman" w:cs="Times New Roman"/>
        </w:rPr>
      </w:pPr>
      <w:hyperlink w:anchor="_Toc51073999" w:history="1">
        <w:r w:rsidR="00820701" w:rsidRPr="00820701">
          <w:rPr>
            <w:rStyle w:val="Hiperligao"/>
            <w:rFonts w:ascii="Times New Roman" w:hAnsi="Times New Roman" w:cs="Times New Roman"/>
            <w:noProof/>
            <w:sz w:val="22"/>
            <w:szCs w:val="22"/>
          </w:rPr>
          <w:t>Tableau 8 : Liste des conventions ratifiées par la Gu</w:t>
        </w:r>
        <w:r w:rsidR="00820701">
          <w:rPr>
            <w:rStyle w:val="Hiperligao"/>
            <w:rFonts w:ascii="Times New Roman" w:hAnsi="Times New Roman" w:cs="Times New Roman"/>
            <w:noProof/>
            <w:sz w:val="22"/>
            <w:szCs w:val="22"/>
          </w:rPr>
          <w:t xml:space="preserve">inée Bissau dans le domaine </w:t>
        </w:r>
        <w:r w:rsidR="00820701" w:rsidRPr="00820701">
          <w:rPr>
            <w:rStyle w:val="Hiperligao"/>
            <w:rFonts w:ascii="Times New Roman" w:hAnsi="Times New Roman" w:cs="Times New Roman"/>
            <w:webHidden/>
            <w:sz w:val="22"/>
            <w:szCs w:val="22"/>
          </w:rPr>
          <w:tab/>
        </w:r>
        <w:r w:rsidR="00820701" w:rsidRPr="00820701">
          <w:rPr>
            <w:rStyle w:val="Hiperligao"/>
            <w:rFonts w:ascii="Times New Roman" w:hAnsi="Times New Roman" w:cs="Times New Roman"/>
            <w:webHidden/>
            <w:sz w:val="22"/>
            <w:szCs w:val="22"/>
          </w:rPr>
          <w:fldChar w:fldCharType="begin"/>
        </w:r>
        <w:r w:rsidR="00820701" w:rsidRPr="00820701">
          <w:rPr>
            <w:rStyle w:val="Hiperligao"/>
            <w:rFonts w:ascii="Times New Roman" w:hAnsi="Times New Roman" w:cs="Times New Roman"/>
            <w:webHidden/>
            <w:sz w:val="22"/>
            <w:szCs w:val="22"/>
          </w:rPr>
          <w:instrText xml:space="preserve"> PAGEREF _Toc51073999 \h </w:instrText>
        </w:r>
        <w:r w:rsidR="00820701" w:rsidRPr="00820701">
          <w:rPr>
            <w:rStyle w:val="Hiperligao"/>
            <w:rFonts w:ascii="Times New Roman" w:hAnsi="Times New Roman" w:cs="Times New Roman"/>
            <w:webHidden/>
            <w:sz w:val="22"/>
            <w:szCs w:val="22"/>
          </w:rPr>
        </w:r>
        <w:r w:rsidR="00820701" w:rsidRPr="00820701">
          <w:rPr>
            <w:rStyle w:val="Hiperligao"/>
            <w:rFonts w:ascii="Times New Roman" w:hAnsi="Times New Roman" w:cs="Times New Roman"/>
            <w:webHidden/>
            <w:sz w:val="22"/>
            <w:szCs w:val="22"/>
          </w:rPr>
          <w:fldChar w:fldCharType="separate"/>
        </w:r>
        <w:r w:rsidR="00820701" w:rsidRPr="00820701">
          <w:rPr>
            <w:rStyle w:val="Hiperligao"/>
            <w:rFonts w:ascii="Times New Roman" w:hAnsi="Times New Roman" w:cs="Times New Roman"/>
            <w:webHidden/>
            <w:sz w:val="22"/>
            <w:szCs w:val="22"/>
          </w:rPr>
          <w:t>82</w:t>
        </w:r>
        <w:r w:rsidR="00820701" w:rsidRPr="00820701">
          <w:rPr>
            <w:rStyle w:val="Hiperligao"/>
            <w:rFonts w:ascii="Times New Roman" w:hAnsi="Times New Roman" w:cs="Times New Roman"/>
            <w:webHidden/>
            <w:sz w:val="22"/>
            <w:szCs w:val="22"/>
          </w:rPr>
          <w:fldChar w:fldCharType="end"/>
        </w:r>
      </w:hyperlink>
    </w:p>
    <w:p w:rsidR="00820701" w:rsidRPr="00820701" w:rsidRDefault="007055AF">
      <w:pPr>
        <w:pStyle w:val="ndicedeilustraes"/>
        <w:tabs>
          <w:tab w:val="right" w:leader="dot" w:pos="9060"/>
        </w:tabs>
        <w:rPr>
          <w:rStyle w:val="Hiperligao"/>
          <w:rFonts w:ascii="Times New Roman" w:hAnsi="Times New Roman" w:cs="Times New Roman"/>
        </w:rPr>
      </w:pPr>
      <w:hyperlink w:anchor="_Toc51074000" w:history="1">
        <w:r w:rsidR="00820701" w:rsidRPr="00820701">
          <w:rPr>
            <w:rStyle w:val="Hiperligao"/>
            <w:rFonts w:ascii="Times New Roman" w:hAnsi="Times New Roman" w:cs="Times New Roman"/>
            <w:noProof/>
            <w:sz w:val="22"/>
            <w:szCs w:val="22"/>
          </w:rPr>
          <w:t xml:space="preserve">Tableau 9: Accords régionaux ratifiés par la </w:t>
        </w:r>
        <w:r w:rsidR="00820701">
          <w:rPr>
            <w:rStyle w:val="Hiperligao"/>
            <w:rFonts w:ascii="Times New Roman" w:hAnsi="Times New Roman" w:cs="Times New Roman"/>
            <w:noProof/>
            <w:sz w:val="22"/>
            <w:szCs w:val="22"/>
          </w:rPr>
          <w:t xml:space="preserve">Guinée Bissau dans le domaine </w:t>
        </w:r>
        <w:r w:rsidR="00820701" w:rsidRPr="00820701">
          <w:rPr>
            <w:rStyle w:val="Hiperligao"/>
            <w:rFonts w:ascii="Times New Roman" w:hAnsi="Times New Roman" w:cs="Times New Roman"/>
            <w:webHidden/>
            <w:sz w:val="22"/>
            <w:szCs w:val="22"/>
          </w:rPr>
          <w:tab/>
        </w:r>
        <w:r w:rsidR="00820701" w:rsidRPr="00820701">
          <w:rPr>
            <w:rStyle w:val="Hiperligao"/>
            <w:rFonts w:ascii="Times New Roman" w:hAnsi="Times New Roman" w:cs="Times New Roman"/>
            <w:webHidden/>
            <w:sz w:val="22"/>
            <w:szCs w:val="22"/>
          </w:rPr>
          <w:fldChar w:fldCharType="begin"/>
        </w:r>
        <w:r w:rsidR="00820701" w:rsidRPr="00820701">
          <w:rPr>
            <w:rStyle w:val="Hiperligao"/>
            <w:rFonts w:ascii="Times New Roman" w:hAnsi="Times New Roman" w:cs="Times New Roman"/>
            <w:webHidden/>
            <w:sz w:val="22"/>
            <w:szCs w:val="22"/>
          </w:rPr>
          <w:instrText xml:space="preserve"> PAGEREF _Toc51074000 \h </w:instrText>
        </w:r>
        <w:r w:rsidR="00820701" w:rsidRPr="00820701">
          <w:rPr>
            <w:rStyle w:val="Hiperligao"/>
            <w:rFonts w:ascii="Times New Roman" w:hAnsi="Times New Roman" w:cs="Times New Roman"/>
            <w:webHidden/>
            <w:sz w:val="22"/>
            <w:szCs w:val="22"/>
          </w:rPr>
        </w:r>
        <w:r w:rsidR="00820701" w:rsidRPr="00820701">
          <w:rPr>
            <w:rStyle w:val="Hiperligao"/>
            <w:rFonts w:ascii="Times New Roman" w:hAnsi="Times New Roman" w:cs="Times New Roman"/>
            <w:webHidden/>
            <w:sz w:val="22"/>
            <w:szCs w:val="22"/>
          </w:rPr>
          <w:fldChar w:fldCharType="separate"/>
        </w:r>
        <w:r w:rsidR="00820701" w:rsidRPr="00820701">
          <w:rPr>
            <w:rStyle w:val="Hiperligao"/>
            <w:rFonts w:ascii="Times New Roman" w:hAnsi="Times New Roman" w:cs="Times New Roman"/>
            <w:webHidden/>
            <w:sz w:val="22"/>
            <w:szCs w:val="22"/>
          </w:rPr>
          <w:t>82</w:t>
        </w:r>
        <w:r w:rsidR="00820701" w:rsidRPr="00820701">
          <w:rPr>
            <w:rStyle w:val="Hiperligao"/>
            <w:rFonts w:ascii="Times New Roman" w:hAnsi="Times New Roman" w:cs="Times New Roman"/>
            <w:webHidden/>
            <w:sz w:val="22"/>
            <w:szCs w:val="22"/>
          </w:rPr>
          <w:fldChar w:fldCharType="end"/>
        </w:r>
      </w:hyperlink>
    </w:p>
    <w:p w:rsidR="00820701" w:rsidRPr="00820701" w:rsidRDefault="007055AF">
      <w:pPr>
        <w:pStyle w:val="ndicedeilustraes"/>
        <w:tabs>
          <w:tab w:val="right" w:leader="dot" w:pos="9060"/>
        </w:tabs>
        <w:rPr>
          <w:rStyle w:val="Hiperligao"/>
          <w:rFonts w:ascii="Times New Roman" w:hAnsi="Times New Roman" w:cs="Times New Roman"/>
        </w:rPr>
      </w:pPr>
      <w:hyperlink w:anchor="_Toc51074001" w:history="1">
        <w:r w:rsidR="00820701" w:rsidRPr="00820701">
          <w:rPr>
            <w:rStyle w:val="Hiperligao"/>
            <w:rFonts w:ascii="Times New Roman" w:hAnsi="Times New Roman" w:cs="Times New Roman"/>
            <w:noProof/>
            <w:sz w:val="22"/>
            <w:szCs w:val="22"/>
          </w:rPr>
          <w:t>Tableau 10: Pertinence des conventions et accords ratifiés par rapport au projet</w:t>
        </w:r>
        <w:r w:rsidR="00820701" w:rsidRPr="00820701">
          <w:rPr>
            <w:rStyle w:val="Hiperligao"/>
            <w:rFonts w:ascii="Times New Roman" w:hAnsi="Times New Roman" w:cs="Times New Roman"/>
            <w:webHidden/>
            <w:sz w:val="22"/>
            <w:szCs w:val="22"/>
          </w:rPr>
          <w:tab/>
        </w:r>
        <w:r w:rsidR="00820701" w:rsidRPr="00820701">
          <w:rPr>
            <w:rStyle w:val="Hiperligao"/>
            <w:rFonts w:ascii="Times New Roman" w:hAnsi="Times New Roman" w:cs="Times New Roman"/>
            <w:webHidden/>
            <w:sz w:val="22"/>
            <w:szCs w:val="22"/>
          </w:rPr>
          <w:fldChar w:fldCharType="begin"/>
        </w:r>
        <w:r w:rsidR="00820701" w:rsidRPr="00820701">
          <w:rPr>
            <w:rStyle w:val="Hiperligao"/>
            <w:rFonts w:ascii="Times New Roman" w:hAnsi="Times New Roman" w:cs="Times New Roman"/>
            <w:webHidden/>
            <w:sz w:val="22"/>
            <w:szCs w:val="22"/>
          </w:rPr>
          <w:instrText xml:space="preserve"> PAGEREF _Toc51074001 \h </w:instrText>
        </w:r>
        <w:r w:rsidR="00820701" w:rsidRPr="00820701">
          <w:rPr>
            <w:rStyle w:val="Hiperligao"/>
            <w:rFonts w:ascii="Times New Roman" w:hAnsi="Times New Roman" w:cs="Times New Roman"/>
            <w:webHidden/>
            <w:sz w:val="22"/>
            <w:szCs w:val="22"/>
          </w:rPr>
        </w:r>
        <w:r w:rsidR="00820701" w:rsidRPr="00820701">
          <w:rPr>
            <w:rStyle w:val="Hiperligao"/>
            <w:rFonts w:ascii="Times New Roman" w:hAnsi="Times New Roman" w:cs="Times New Roman"/>
            <w:webHidden/>
            <w:sz w:val="22"/>
            <w:szCs w:val="22"/>
          </w:rPr>
          <w:fldChar w:fldCharType="separate"/>
        </w:r>
        <w:r w:rsidR="00820701" w:rsidRPr="00820701">
          <w:rPr>
            <w:rStyle w:val="Hiperligao"/>
            <w:rFonts w:ascii="Times New Roman" w:hAnsi="Times New Roman" w:cs="Times New Roman"/>
            <w:webHidden/>
            <w:sz w:val="22"/>
            <w:szCs w:val="22"/>
          </w:rPr>
          <w:t>83</w:t>
        </w:r>
        <w:r w:rsidR="00820701" w:rsidRPr="00820701">
          <w:rPr>
            <w:rStyle w:val="Hiperligao"/>
            <w:rFonts w:ascii="Times New Roman" w:hAnsi="Times New Roman" w:cs="Times New Roman"/>
            <w:webHidden/>
            <w:sz w:val="22"/>
            <w:szCs w:val="22"/>
          </w:rPr>
          <w:fldChar w:fldCharType="end"/>
        </w:r>
      </w:hyperlink>
    </w:p>
    <w:p w:rsidR="00820701" w:rsidRPr="00820701" w:rsidRDefault="007055AF">
      <w:pPr>
        <w:pStyle w:val="ndicedeilustraes"/>
        <w:tabs>
          <w:tab w:val="right" w:leader="dot" w:pos="9060"/>
        </w:tabs>
        <w:rPr>
          <w:rStyle w:val="Hiperligao"/>
          <w:rFonts w:ascii="Times New Roman" w:hAnsi="Times New Roman" w:cs="Times New Roman"/>
        </w:rPr>
      </w:pPr>
      <w:hyperlink w:anchor="_Toc51074002" w:history="1">
        <w:r w:rsidR="00820701" w:rsidRPr="00820701">
          <w:rPr>
            <w:rStyle w:val="Hiperligao"/>
            <w:rFonts w:ascii="Times New Roman" w:hAnsi="Times New Roman" w:cs="Times New Roman"/>
            <w:noProof/>
            <w:sz w:val="22"/>
            <w:szCs w:val="22"/>
          </w:rPr>
          <w:t>Tableau 11 : Synthèse de l’évaluation des capacités des</w:t>
        </w:r>
        <w:r w:rsidR="00820701">
          <w:rPr>
            <w:rStyle w:val="Hiperligao"/>
            <w:rFonts w:ascii="Times New Roman" w:hAnsi="Times New Roman" w:cs="Times New Roman"/>
            <w:noProof/>
            <w:sz w:val="22"/>
            <w:szCs w:val="22"/>
          </w:rPr>
          <w:t xml:space="preserve"> institutions impliquées </w:t>
        </w:r>
        <w:r w:rsidR="00820701" w:rsidRPr="00820701">
          <w:rPr>
            <w:rStyle w:val="Hiperligao"/>
            <w:rFonts w:ascii="Times New Roman" w:hAnsi="Times New Roman" w:cs="Times New Roman"/>
            <w:webHidden/>
            <w:sz w:val="22"/>
            <w:szCs w:val="22"/>
          </w:rPr>
          <w:tab/>
        </w:r>
        <w:r w:rsidR="00820701" w:rsidRPr="00820701">
          <w:rPr>
            <w:rStyle w:val="Hiperligao"/>
            <w:rFonts w:ascii="Times New Roman" w:hAnsi="Times New Roman" w:cs="Times New Roman"/>
            <w:webHidden/>
            <w:sz w:val="22"/>
            <w:szCs w:val="22"/>
          </w:rPr>
          <w:fldChar w:fldCharType="begin"/>
        </w:r>
        <w:r w:rsidR="00820701" w:rsidRPr="00820701">
          <w:rPr>
            <w:rStyle w:val="Hiperligao"/>
            <w:rFonts w:ascii="Times New Roman" w:hAnsi="Times New Roman" w:cs="Times New Roman"/>
            <w:webHidden/>
            <w:sz w:val="22"/>
            <w:szCs w:val="22"/>
          </w:rPr>
          <w:instrText xml:space="preserve"> PAGEREF _Toc51074002 \h </w:instrText>
        </w:r>
        <w:r w:rsidR="00820701" w:rsidRPr="00820701">
          <w:rPr>
            <w:rStyle w:val="Hiperligao"/>
            <w:rFonts w:ascii="Times New Roman" w:hAnsi="Times New Roman" w:cs="Times New Roman"/>
            <w:webHidden/>
            <w:sz w:val="22"/>
            <w:szCs w:val="22"/>
          </w:rPr>
        </w:r>
        <w:r w:rsidR="00820701" w:rsidRPr="00820701">
          <w:rPr>
            <w:rStyle w:val="Hiperligao"/>
            <w:rFonts w:ascii="Times New Roman" w:hAnsi="Times New Roman" w:cs="Times New Roman"/>
            <w:webHidden/>
            <w:sz w:val="22"/>
            <w:szCs w:val="22"/>
          </w:rPr>
          <w:fldChar w:fldCharType="separate"/>
        </w:r>
        <w:r w:rsidR="00820701" w:rsidRPr="00820701">
          <w:rPr>
            <w:rStyle w:val="Hiperligao"/>
            <w:rFonts w:ascii="Times New Roman" w:hAnsi="Times New Roman" w:cs="Times New Roman"/>
            <w:webHidden/>
            <w:sz w:val="22"/>
            <w:szCs w:val="22"/>
          </w:rPr>
          <w:t>85</w:t>
        </w:r>
        <w:r w:rsidR="00820701" w:rsidRPr="00820701">
          <w:rPr>
            <w:rStyle w:val="Hiperligao"/>
            <w:rFonts w:ascii="Times New Roman" w:hAnsi="Times New Roman" w:cs="Times New Roman"/>
            <w:webHidden/>
            <w:sz w:val="22"/>
            <w:szCs w:val="22"/>
          </w:rPr>
          <w:fldChar w:fldCharType="end"/>
        </w:r>
      </w:hyperlink>
    </w:p>
    <w:p w:rsidR="00820701" w:rsidRPr="00820701" w:rsidRDefault="007055AF">
      <w:pPr>
        <w:pStyle w:val="ndicedeilustraes"/>
        <w:tabs>
          <w:tab w:val="right" w:leader="dot" w:pos="9060"/>
        </w:tabs>
        <w:rPr>
          <w:rStyle w:val="Hiperligao"/>
          <w:rFonts w:ascii="Times New Roman" w:hAnsi="Times New Roman" w:cs="Times New Roman"/>
        </w:rPr>
      </w:pPr>
      <w:hyperlink w:anchor="_Toc51074003" w:history="1">
        <w:r w:rsidR="00820701" w:rsidRPr="00820701">
          <w:rPr>
            <w:rStyle w:val="Hiperligao"/>
            <w:rFonts w:ascii="Times New Roman" w:hAnsi="Times New Roman" w:cs="Times New Roman"/>
            <w:noProof/>
            <w:sz w:val="22"/>
            <w:szCs w:val="22"/>
          </w:rPr>
          <w:t>Tableau 12: Politique de sauvegarde de la banque mondiale</w:t>
        </w:r>
        <w:r w:rsidR="00820701" w:rsidRPr="00820701">
          <w:rPr>
            <w:rStyle w:val="Hiperligao"/>
            <w:rFonts w:ascii="Times New Roman" w:hAnsi="Times New Roman" w:cs="Times New Roman"/>
            <w:webHidden/>
            <w:sz w:val="22"/>
            <w:szCs w:val="22"/>
          </w:rPr>
          <w:tab/>
        </w:r>
        <w:r w:rsidR="00820701" w:rsidRPr="00820701">
          <w:rPr>
            <w:rStyle w:val="Hiperligao"/>
            <w:rFonts w:ascii="Times New Roman" w:hAnsi="Times New Roman" w:cs="Times New Roman"/>
            <w:webHidden/>
            <w:sz w:val="22"/>
            <w:szCs w:val="22"/>
          </w:rPr>
          <w:fldChar w:fldCharType="begin"/>
        </w:r>
        <w:r w:rsidR="00820701" w:rsidRPr="00820701">
          <w:rPr>
            <w:rStyle w:val="Hiperligao"/>
            <w:rFonts w:ascii="Times New Roman" w:hAnsi="Times New Roman" w:cs="Times New Roman"/>
            <w:webHidden/>
            <w:sz w:val="22"/>
            <w:szCs w:val="22"/>
          </w:rPr>
          <w:instrText xml:space="preserve"> PAGEREF _Toc51074003 \h </w:instrText>
        </w:r>
        <w:r w:rsidR="00820701" w:rsidRPr="00820701">
          <w:rPr>
            <w:rStyle w:val="Hiperligao"/>
            <w:rFonts w:ascii="Times New Roman" w:hAnsi="Times New Roman" w:cs="Times New Roman"/>
            <w:webHidden/>
            <w:sz w:val="22"/>
            <w:szCs w:val="22"/>
          </w:rPr>
        </w:r>
        <w:r w:rsidR="00820701" w:rsidRPr="00820701">
          <w:rPr>
            <w:rStyle w:val="Hiperligao"/>
            <w:rFonts w:ascii="Times New Roman" w:hAnsi="Times New Roman" w:cs="Times New Roman"/>
            <w:webHidden/>
            <w:sz w:val="22"/>
            <w:szCs w:val="22"/>
          </w:rPr>
          <w:fldChar w:fldCharType="separate"/>
        </w:r>
        <w:r w:rsidR="00820701" w:rsidRPr="00820701">
          <w:rPr>
            <w:rStyle w:val="Hiperligao"/>
            <w:rFonts w:ascii="Times New Roman" w:hAnsi="Times New Roman" w:cs="Times New Roman"/>
            <w:webHidden/>
            <w:sz w:val="22"/>
            <w:szCs w:val="22"/>
          </w:rPr>
          <w:t>86</w:t>
        </w:r>
        <w:r w:rsidR="00820701" w:rsidRPr="00820701">
          <w:rPr>
            <w:rStyle w:val="Hiperligao"/>
            <w:rFonts w:ascii="Times New Roman" w:hAnsi="Times New Roman" w:cs="Times New Roman"/>
            <w:webHidden/>
            <w:sz w:val="22"/>
            <w:szCs w:val="22"/>
          </w:rPr>
          <w:fldChar w:fldCharType="end"/>
        </w:r>
      </w:hyperlink>
    </w:p>
    <w:p w:rsidR="00820701" w:rsidRPr="00820701" w:rsidRDefault="007055AF">
      <w:pPr>
        <w:pStyle w:val="ndicedeilustraes"/>
        <w:tabs>
          <w:tab w:val="right" w:leader="dot" w:pos="9060"/>
        </w:tabs>
        <w:rPr>
          <w:rStyle w:val="Hiperligao"/>
          <w:rFonts w:ascii="Times New Roman" w:hAnsi="Times New Roman" w:cs="Times New Roman"/>
        </w:rPr>
      </w:pPr>
      <w:hyperlink w:anchor="_Toc51074004" w:history="1">
        <w:r w:rsidR="00820701" w:rsidRPr="00820701">
          <w:rPr>
            <w:rStyle w:val="Hiperligao"/>
            <w:rFonts w:ascii="Times New Roman" w:hAnsi="Times New Roman" w:cs="Times New Roman"/>
            <w:noProof/>
            <w:sz w:val="22"/>
            <w:szCs w:val="22"/>
          </w:rPr>
          <w:t xml:space="preserve">Tableau 13: Directives de l’OMS concernant la qualité́ de l’air </w:t>
        </w:r>
        <w:r w:rsidR="00820701" w:rsidRPr="00820701">
          <w:rPr>
            <w:rStyle w:val="Hiperligao"/>
            <w:rFonts w:ascii="Times New Roman" w:hAnsi="Times New Roman" w:cs="Times New Roman"/>
            <w:webHidden/>
            <w:sz w:val="22"/>
            <w:szCs w:val="22"/>
          </w:rPr>
          <w:tab/>
        </w:r>
        <w:r w:rsidR="00820701" w:rsidRPr="00820701">
          <w:rPr>
            <w:rStyle w:val="Hiperligao"/>
            <w:rFonts w:ascii="Times New Roman" w:hAnsi="Times New Roman" w:cs="Times New Roman"/>
            <w:webHidden/>
            <w:sz w:val="22"/>
            <w:szCs w:val="22"/>
          </w:rPr>
          <w:fldChar w:fldCharType="begin"/>
        </w:r>
        <w:r w:rsidR="00820701" w:rsidRPr="00820701">
          <w:rPr>
            <w:rStyle w:val="Hiperligao"/>
            <w:rFonts w:ascii="Times New Roman" w:hAnsi="Times New Roman" w:cs="Times New Roman"/>
            <w:webHidden/>
            <w:sz w:val="22"/>
            <w:szCs w:val="22"/>
          </w:rPr>
          <w:instrText xml:space="preserve"> PAGEREF _Toc51074004 \h </w:instrText>
        </w:r>
        <w:r w:rsidR="00820701" w:rsidRPr="00820701">
          <w:rPr>
            <w:rStyle w:val="Hiperligao"/>
            <w:rFonts w:ascii="Times New Roman" w:hAnsi="Times New Roman" w:cs="Times New Roman"/>
            <w:webHidden/>
            <w:sz w:val="22"/>
            <w:szCs w:val="22"/>
          </w:rPr>
        </w:r>
        <w:r w:rsidR="00820701" w:rsidRPr="00820701">
          <w:rPr>
            <w:rStyle w:val="Hiperligao"/>
            <w:rFonts w:ascii="Times New Roman" w:hAnsi="Times New Roman" w:cs="Times New Roman"/>
            <w:webHidden/>
            <w:sz w:val="22"/>
            <w:szCs w:val="22"/>
          </w:rPr>
          <w:fldChar w:fldCharType="separate"/>
        </w:r>
        <w:r w:rsidR="00820701" w:rsidRPr="00820701">
          <w:rPr>
            <w:rStyle w:val="Hiperligao"/>
            <w:rFonts w:ascii="Times New Roman" w:hAnsi="Times New Roman" w:cs="Times New Roman"/>
            <w:webHidden/>
            <w:sz w:val="22"/>
            <w:szCs w:val="22"/>
          </w:rPr>
          <w:t>88</w:t>
        </w:r>
        <w:r w:rsidR="00820701" w:rsidRPr="00820701">
          <w:rPr>
            <w:rStyle w:val="Hiperligao"/>
            <w:rFonts w:ascii="Times New Roman" w:hAnsi="Times New Roman" w:cs="Times New Roman"/>
            <w:webHidden/>
            <w:sz w:val="22"/>
            <w:szCs w:val="22"/>
          </w:rPr>
          <w:fldChar w:fldCharType="end"/>
        </w:r>
      </w:hyperlink>
    </w:p>
    <w:p w:rsidR="00820701" w:rsidRPr="00820701" w:rsidRDefault="007055AF">
      <w:pPr>
        <w:pStyle w:val="ndicedeilustraes"/>
        <w:tabs>
          <w:tab w:val="right" w:leader="dot" w:pos="9060"/>
        </w:tabs>
        <w:rPr>
          <w:rStyle w:val="Hiperligao"/>
          <w:rFonts w:ascii="Times New Roman" w:hAnsi="Times New Roman" w:cs="Times New Roman"/>
        </w:rPr>
      </w:pPr>
      <w:hyperlink w:anchor="_Toc51074005" w:history="1">
        <w:r w:rsidR="00820701" w:rsidRPr="00820701">
          <w:rPr>
            <w:rStyle w:val="Hiperligao"/>
            <w:rFonts w:ascii="Times New Roman" w:hAnsi="Times New Roman" w:cs="Times New Roman"/>
            <w:noProof/>
            <w:sz w:val="22"/>
            <w:szCs w:val="22"/>
          </w:rPr>
          <w:t>Tableau 14: Année de création, la superficie terrest</w:t>
        </w:r>
        <w:r w:rsidR="00820701">
          <w:rPr>
            <w:rStyle w:val="Hiperligao"/>
            <w:rFonts w:ascii="Times New Roman" w:hAnsi="Times New Roman" w:cs="Times New Roman"/>
            <w:noProof/>
            <w:sz w:val="22"/>
            <w:szCs w:val="22"/>
          </w:rPr>
          <w:t xml:space="preserve">re, la superficie maritime </w:t>
        </w:r>
        <w:r w:rsidR="00820701" w:rsidRPr="00820701">
          <w:rPr>
            <w:rStyle w:val="Hiperligao"/>
            <w:rFonts w:ascii="Times New Roman" w:hAnsi="Times New Roman" w:cs="Times New Roman"/>
            <w:webHidden/>
            <w:sz w:val="22"/>
            <w:szCs w:val="22"/>
          </w:rPr>
          <w:tab/>
        </w:r>
        <w:r w:rsidR="00820701" w:rsidRPr="00820701">
          <w:rPr>
            <w:rStyle w:val="Hiperligao"/>
            <w:rFonts w:ascii="Times New Roman" w:hAnsi="Times New Roman" w:cs="Times New Roman"/>
            <w:webHidden/>
            <w:sz w:val="22"/>
            <w:szCs w:val="22"/>
          </w:rPr>
          <w:fldChar w:fldCharType="begin"/>
        </w:r>
        <w:r w:rsidR="00820701" w:rsidRPr="00820701">
          <w:rPr>
            <w:rStyle w:val="Hiperligao"/>
            <w:rFonts w:ascii="Times New Roman" w:hAnsi="Times New Roman" w:cs="Times New Roman"/>
            <w:webHidden/>
            <w:sz w:val="22"/>
            <w:szCs w:val="22"/>
          </w:rPr>
          <w:instrText xml:space="preserve"> PAGEREF _Toc51074005 \h </w:instrText>
        </w:r>
        <w:r w:rsidR="00820701" w:rsidRPr="00820701">
          <w:rPr>
            <w:rStyle w:val="Hiperligao"/>
            <w:rFonts w:ascii="Times New Roman" w:hAnsi="Times New Roman" w:cs="Times New Roman"/>
            <w:webHidden/>
            <w:sz w:val="22"/>
            <w:szCs w:val="22"/>
          </w:rPr>
        </w:r>
        <w:r w:rsidR="00820701" w:rsidRPr="00820701">
          <w:rPr>
            <w:rStyle w:val="Hiperligao"/>
            <w:rFonts w:ascii="Times New Roman" w:hAnsi="Times New Roman" w:cs="Times New Roman"/>
            <w:webHidden/>
            <w:sz w:val="22"/>
            <w:szCs w:val="22"/>
          </w:rPr>
          <w:fldChar w:fldCharType="separate"/>
        </w:r>
        <w:r w:rsidR="00820701" w:rsidRPr="00820701">
          <w:rPr>
            <w:rStyle w:val="Hiperligao"/>
            <w:rFonts w:ascii="Times New Roman" w:hAnsi="Times New Roman" w:cs="Times New Roman"/>
            <w:webHidden/>
            <w:sz w:val="22"/>
            <w:szCs w:val="22"/>
          </w:rPr>
          <w:t>110</w:t>
        </w:r>
        <w:r w:rsidR="00820701" w:rsidRPr="00820701">
          <w:rPr>
            <w:rStyle w:val="Hiperligao"/>
            <w:rFonts w:ascii="Times New Roman" w:hAnsi="Times New Roman" w:cs="Times New Roman"/>
            <w:webHidden/>
            <w:sz w:val="22"/>
            <w:szCs w:val="22"/>
          </w:rPr>
          <w:fldChar w:fldCharType="end"/>
        </w:r>
      </w:hyperlink>
    </w:p>
    <w:p w:rsidR="00820701" w:rsidRPr="00820701" w:rsidRDefault="007055AF">
      <w:pPr>
        <w:pStyle w:val="ndicedeilustraes"/>
        <w:tabs>
          <w:tab w:val="right" w:leader="dot" w:pos="9060"/>
        </w:tabs>
        <w:rPr>
          <w:rStyle w:val="Hiperligao"/>
          <w:rFonts w:ascii="Times New Roman" w:hAnsi="Times New Roman" w:cs="Times New Roman"/>
        </w:rPr>
      </w:pPr>
      <w:hyperlink w:anchor="_Toc51074006" w:history="1">
        <w:r w:rsidR="00820701" w:rsidRPr="00820701">
          <w:rPr>
            <w:rStyle w:val="Hiperligao"/>
            <w:rFonts w:ascii="Times New Roman" w:hAnsi="Times New Roman" w:cs="Times New Roman"/>
            <w:noProof/>
            <w:sz w:val="22"/>
            <w:szCs w:val="22"/>
          </w:rPr>
          <w:t>Tableau 16: Répartition Spatiale de la Population et Densité (Censo 2009)</w:t>
        </w:r>
        <w:r w:rsidR="00820701" w:rsidRPr="00820701">
          <w:rPr>
            <w:rStyle w:val="Hiperligao"/>
            <w:rFonts w:ascii="Times New Roman" w:hAnsi="Times New Roman" w:cs="Times New Roman"/>
            <w:webHidden/>
            <w:sz w:val="22"/>
            <w:szCs w:val="22"/>
          </w:rPr>
          <w:tab/>
        </w:r>
        <w:r w:rsidR="00820701" w:rsidRPr="00820701">
          <w:rPr>
            <w:rStyle w:val="Hiperligao"/>
            <w:rFonts w:ascii="Times New Roman" w:hAnsi="Times New Roman" w:cs="Times New Roman"/>
            <w:webHidden/>
            <w:sz w:val="22"/>
            <w:szCs w:val="22"/>
          </w:rPr>
          <w:fldChar w:fldCharType="begin"/>
        </w:r>
        <w:r w:rsidR="00820701" w:rsidRPr="00820701">
          <w:rPr>
            <w:rStyle w:val="Hiperligao"/>
            <w:rFonts w:ascii="Times New Roman" w:hAnsi="Times New Roman" w:cs="Times New Roman"/>
            <w:webHidden/>
            <w:sz w:val="22"/>
            <w:szCs w:val="22"/>
          </w:rPr>
          <w:instrText xml:space="preserve"> PAGEREF _Toc51074006 \h </w:instrText>
        </w:r>
        <w:r w:rsidR="00820701" w:rsidRPr="00820701">
          <w:rPr>
            <w:rStyle w:val="Hiperligao"/>
            <w:rFonts w:ascii="Times New Roman" w:hAnsi="Times New Roman" w:cs="Times New Roman"/>
            <w:webHidden/>
            <w:sz w:val="22"/>
            <w:szCs w:val="22"/>
          </w:rPr>
        </w:r>
        <w:r w:rsidR="00820701" w:rsidRPr="00820701">
          <w:rPr>
            <w:rStyle w:val="Hiperligao"/>
            <w:rFonts w:ascii="Times New Roman" w:hAnsi="Times New Roman" w:cs="Times New Roman"/>
            <w:webHidden/>
            <w:sz w:val="22"/>
            <w:szCs w:val="22"/>
          </w:rPr>
          <w:fldChar w:fldCharType="separate"/>
        </w:r>
        <w:r w:rsidR="00820701" w:rsidRPr="00820701">
          <w:rPr>
            <w:rStyle w:val="Hiperligao"/>
            <w:rFonts w:ascii="Times New Roman" w:hAnsi="Times New Roman" w:cs="Times New Roman"/>
            <w:webHidden/>
            <w:sz w:val="22"/>
            <w:szCs w:val="22"/>
          </w:rPr>
          <w:t>112</w:t>
        </w:r>
        <w:r w:rsidR="00820701" w:rsidRPr="00820701">
          <w:rPr>
            <w:rStyle w:val="Hiperligao"/>
            <w:rFonts w:ascii="Times New Roman" w:hAnsi="Times New Roman" w:cs="Times New Roman"/>
            <w:webHidden/>
            <w:sz w:val="22"/>
            <w:szCs w:val="22"/>
          </w:rPr>
          <w:fldChar w:fldCharType="end"/>
        </w:r>
      </w:hyperlink>
    </w:p>
    <w:p w:rsidR="00820701" w:rsidRPr="00820701" w:rsidRDefault="007055AF">
      <w:pPr>
        <w:pStyle w:val="ndicedeilustraes"/>
        <w:tabs>
          <w:tab w:val="right" w:leader="dot" w:pos="9060"/>
        </w:tabs>
        <w:rPr>
          <w:rStyle w:val="Hiperligao"/>
          <w:rFonts w:ascii="Times New Roman" w:hAnsi="Times New Roman" w:cs="Times New Roman"/>
        </w:rPr>
      </w:pPr>
      <w:hyperlink w:anchor="_Toc51074007" w:history="1">
        <w:r w:rsidR="00820701" w:rsidRPr="00820701">
          <w:rPr>
            <w:rStyle w:val="Hiperligao"/>
            <w:rFonts w:ascii="Times New Roman" w:hAnsi="Times New Roman" w:cs="Times New Roman"/>
            <w:noProof/>
            <w:sz w:val="22"/>
            <w:szCs w:val="22"/>
          </w:rPr>
          <w:t>Tableau 17: Répartition Spatiale de la Population aux d</w:t>
        </w:r>
        <w:r w:rsidR="00820701">
          <w:rPr>
            <w:rStyle w:val="Hiperligao"/>
            <w:rFonts w:ascii="Times New Roman" w:hAnsi="Times New Roman" w:cs="Times New Roman"/>
            <w:noProof/>
            <w:sz w:val="22"/>
            <w:szCs w:val="22"/>
          </w:rPr>
          <w:t xml:space="preserve">ifférents Quartiers </w:t>
        </w:r>
        <w:r w:rsidR="00820701" w:rsidRPr="00820701">
          <w:rPr>
            <w:rStyle w:val="Hiperligao"/>
            <w:rFonts w:ascii="Times New Roman" w:hAnsi="Times New Roman" w:cs="Times New Roman"/>
            <w:webHidden/>
            <w:sz w:val="22"/>
            <w:szCs w:val="22"/>
          </w:rPr>
          <w:tab/>
        </w:r>
        <w:r w:rsidR="00820701" w:rsidRPr="00820701">
          <w:rPr>
            <w:rStyle w:val="Hiperligao"/>
            <w:rFonts w:ascii="Times New Roman" w:hAnsi="Times New Roman" w:cs="Times New Roman"/>
            <w:webHidden/>
            <w:sz w:val="22"/>
            <w:szCs w:val="22"/>
          </w:rPr>
          <w:fldChar w:fldCharType="begin"/>
        </w:r>
        <w:r w:rsidR="00820701" w:rsidRPr="00820701">
          <w:rPr>
            <w:rStyle w:val="Hiperligao"/>
            <w:rFonts w:ascii="Times New Roman" w:hAnsi="Times New Roman" w:cs="Times New Roman"/>
            <w:webHidden/>
            <w:sz w:val="22"/>
            <w:szCs w:val="22"/>
          </w:rPr>
          <w:instrText xml:space="preserve"> PAGEREF _Toc51074007 \h </w:instrText>
        </w:r>
        <w:r w:rsidR="00820701" w:rsidRPr="00820701">
          <w:rPr>
            <w:rStyle w:val="Hiperligao"/>
            <w:rFonts w:ascii="Times New Roman" w:hAnsi="Times New Roman" w:cs="Times New Roman"/>
            <w:webHidden/>
            <w:sz w:val="22"/>
            <w:szCs w:val="22"/>
          </w:rPr>
        </w:r>
        <w:r w:rsidR="00820701" w:rsidRPr="00820701">
          <w:rPr>
            <w:rStyle w:val="Hiperligao"/>
            <w:rFonts w:ascii="Times New Roman" w:hAnsi="Times New Roman" w:cs="Times New Roman"/>
            <w:webHidden/>
            <w:sz w:val="22"/>
            <w:szCs w:val="22"/>
          </w:rPr>
          <w:fldChar w:fldCharType="separate"/>
        </w:r>
        <w:r w:rsidR="00820701" w:rsidRPr="00820701">
          <w:rPr>
            <w:rStyle w:val="Hiperligao"/>
            <w:rFonts w:ascii="Times New Roman" w:hAnsi="Times New Roman" w:cs="Times New Roman"/>
            <w:webHidden/>
            <w:sz w:val="22"/>
            <w:szCs w:val="22"/>
          </w:rPr>
          <w:t>112</w:t>
        </w:r>
        <w:r w:rsidR="00820701" w:rsidRPr="00820701">
          <w:rPr>
            <w:rStyle w:val="Hiperligao"/>
            <w:rFonts w:ascii="Times New Roman" w:hAnsi="Times New Roman" w:cs="Times New Roman"/>
            <w:webHidden/>
            <w:sz w:val="22"/>
            <w:szCs w:val="22"/>
          </w:rPr>
          <w:fldChar w:fldCharType="end"/>
        </w:r>
      </w:hyperlink>
    </w:p>
    <w:p w:rsidR="00820701" w:rsidRPr="00820701" w:rsidRDefault="007055AF">
      <w:pPr>
        <w:pStyle w:val="ndicedeilustraes"/>
        <w:tabs>
          <w:tab w:val="right" w:leader="dot" w:pos="9060"/>
        </w:tabs>
        <w:rPr>
          <w:rStyle w:val="Hiperligao"/>
          <w:rFonts w:ascii="Times New Roman" w:hAnsi="Times New Roman" w:cs="Times New Roman"/>
        </w:rPr>
      </w:pPr>
      <w:hyperlink w:anchor="_Toc51074008" w:history="1">
        <w:r w:rsidR="00820701" w:rsidRPr="00820701">
          <w:rPr>
            <w:rStyle w:val="Hiperligao"/>
            <w:rFonts w:ascii="Times New Roman" w:hAnsi="Times New Roman" w:cs="Times New Roman"/>
            <w:noProof/>
            <w:sz w:val="22"/>
            <w:szCs w:val="22"/>
          </w:rPr>
          <w:t>Tableau 17: Indicateurs de santé</w:t>
        </w:r>
        <w:r w:rsidR="00820701" w:rsidRPr="00820701">
          <w:rPr>
            <w:rStyle w:val="Hiperligao"/>
            <w:rFonts w:ascii="Times New Roman" w:hAnsi="Times New Roman" w:cs="Times New Roman"/>
            <w:webHidden/>
            <w:sz w:val="22"/>
            <w:szCs w:val="22"/>
          </w:rPr>
          <w:tab/>
        </w:r>
        <w:r w:rsidR="00820701" w:rsidRPr="00820701">
          <w:rPr>
            <w:rStyle w:val="Hiperligao"/>
            <w:rFonts w:ascii="Times New Roman" w:hAnsi="Times New Roman" w:cs="Times New Roman"/>
            <w:webHidden/>
            <w:sz w:val="22"/>
            <w:szCs w:val="22"/>
          </w:rPr>
          <w:fldChar w:fldCharType="begin"/>
        </w:r>
        <w:r w:rsidR="00820701" w:rsidRPr="00820701">
          <w:rPr>
            <w:rStyle w:val="Hiperligao"/>
            <w:rFonts w:ascii="Times New Roman" w:hAnsi="Times New Roman" w:cs="Times New Roman"/>
            <w:webHidden/>
            <w:sz w:val="22"/>
            <w:szCs w:val="22"/>
          </w:rPr>
          <w:instrText xml:space="preserve"> PAGEREF _Toc51074008 \h </w:instrText>
        </w:r>
        <w:r w:rsidR="00820701" w:rsidRPr="00820701">
          <w:rPr>
            <w:rStyle w:val="Hiperligao"/>
            <w:rFonts w:ascii="Times New Roman" w:hAnsi="Times New Roman" w:cs="Times New Roman"/>
            <w:webHidden/>
            <w:sz w:val="22"/>
            <w:szCs w:val="22"/>
          </w:rPr>
        </w:r>
        <w:r w:rsidR="00820701" w:rsidRPr="00820701">
          <w:rPr>
            <w:rStyle w:val="Hiperligao"/>
            <w:rFonts w:ascii="Times New Roman" w:hAnsi="Times New Roman" w:cs="Times New Roman"/>
            <w:webHidden/>
            <w:sz w:val="22"/>
            <w:szCs w:val="22"/>
          </w:rPr>
          <w:fldChar w:fldCharType="separate"/>
        </w:r>
        <w:r w:rsidR="00820701" w:rsidRPr="00820701">
          <w:rPr>
            <w:rStyle w:val="Hiperligao"/>
            <w:rFonts w:ascii="Times New Roman" w:hAnsi="Times New Roman" w:cs="Times New Roman"/>
            <w:webHidden/>
            <w:sz w:val="22"/>
            <w:szCs w:val="22"/>
          </w:rPr>
          <w:t>116</w:t>
        </w:r>
        <w:r w:rsidR="00820701" w:rsidRPr="00820701">
          <w:rPr>
            <w:rStyle w:val="Hiperligao"/>
            <w:rFonts w:ascii="Times New Roman" w:hAnsi="Times New Roman" w:cs="Times New Roman"/>
            <w:webHidden/>
            <w:sz w:val="22"/>
            <w:szCs w:val="22"/>
          </w:rPr>
          <w:fldChar w:fldCharType="end"/>
        </w:r>
      </w:hyperlink>
    </w:p>
    <w:p w:rsidR="00820701" w:rsidRPr="00820701" w:rsidRDefault="007055AF">
      <w:pPr>
        <w:pStyle w:val="ndicedeilustraes"/>
        <w:tabs>
          <w:tab w:val="right" w:leader="dot" w:pos="9060"/>
        </w:tabs>
        <w:rPr>
          <w:rStyle w:val="Hiperligao"/>
          <w:rFonts w:ascii="Times New Roman" w:hAnsi="Times New Roman" w:cs="Times New Roman"/>
        </w:rPr>
      </w:pPr>
      <w:hyperlink w:anchor="_Toc51074009" w:history="1">
        <w:r w:rsidR="00820701" w:rsidRPr="00820701">
          <w:rPr>
            <w:rStyle w:val="Hiperligao"/>
            <w:rFonts w:ascii="Times New Roman" w:hAnsi="Times New Roman" w:cs="Times New Roman"/>
            <w:noProof/>
            <w:sz w:val="22"/>
            <w:szCs w:val="22"/>
          </w:rPr>
          <w:t>Tableau 18: Matrice des impacts potentiels</w:t>
        </w:r>
        <w:r w:rsidR="00820701" w:rsidRPr="00820701">
          <w:rPr>
            <w:rStyle w:val="Hiperligao"/>
            <w:rFonts w:ascii="Times New Roman" w:hAnsi="Times New Roman" w:cs="Times New Roman"/>
            <w:webHidden/>
            <w:sz w:val="22"/>
            <w:szCs w:val="22"/>
          </w:rPr>
          <w:tab/>
        </w:r>
        <w:r w:rsidR="00820701" w:rsidRPr="00820701">
          <w:rPr>
            <w:rStyle w:val="Hiperligao"/>
            <w:rFonts w:ascii="Times New Roman" w:hAnsi="Times New Roman" w:cs="Times New Roman"/>
            <w:webHidden/>
            <w:sz w:val="22"/>
            <w:szCs w:val="22"/>
          </w:rPr>
          <w:fldChar w:fldCharType="begin"/>
        </w:r>
        <w:r w:rsidR="00820701" w:rsidRPr="00820701">
          <w:rPr>
            <w:rStyle w:val="Hiperligao"/>
            <w:rFonts w:ascii="Times New Roman" w:hAnsi="Times New Roman" w:cs="Times New Roman"/>
            <w:webHidden/>
            <w:sz w:val="22"/>
            <w:szCs w:val="22"/>
          </w:rPr>
          <w:instrText xml:space="preserve"> PAGEREF _Toc51074009 \h </w:instrText>
        </w:r>
        <w:r w:rsidR="00820701" w:rsidRPr="00820701">
          <w:rPr>
            <w:rStyle w:val="Hiperligao"/>
            <w:rFonts w:ascii="Times New Roman" w:hAnsi="Times New Roman" w:cs="Times New Roman"/>
            <w:webHidden/>
            <w:sz w:val="22"/>
            <w:szCs w:val="22"/>
          </w:rPr>
        </w:r>
        <w:r w:rsidR="00820701" w:rsidRPr="00820701">
          <w:rPr>
            <w:rStyle w:val="Hiperligao"/>
            <w:rFonts w:ascii="Times New Roman" w:hAnsi="Times New Roman" w:cs="Times New Roman"/>
            <w:webHidden/>
            <w:sz w:val="22"/>
            <w:szCs w:val="22"/>
          </w:rPr>
          <w:fldChar w:fldCharType="separate"/>
        </w:r>
        <w:r w:rsidR="00820701" w:rsidRPr="00820701">
          <w:rPr>
            <w:rStyle w:val="Hiperligao"/>
            <w:rFonts w:ascii="Times New Roman" w:hAnsi="Times New Roman" w:cs="Times New Roman"/>
            <w:webHidden/>
            <w:sz w:val="22"/>
            <w:szCs w:val="22"/>
          </w:rPr>
          <w:t>120</w:t>
        </w:r>
        <w:r w:rsidR="00820701" w:rsidRPr="00820701">
          <w:rPr>
            <w:rStyle w:val="Hiperligao"/>
            <w:rFonts w:ascii="Times New Roman" w:hAnsi="Times New Roman" w:cs="Times New Roman"/>
            <w:webHidden/>
            <w:sz w:val="22"/>
            <w:szCs w:val="22"/>
          </w:rPr>
          <w:fldChar w:fldCharType="end"/>
        </w:r>
      </w:hyperlink>
    </w:p>
    <w:p w:rsidR="00820701" w:rsidRPr="00820701" w:rsidRDefault="007055AF">
      <w:pPr>
        <w:pStyle w:val="ndicedeilustraes"/>
        <w:tabs>
          <w:tab w:val="right" w:leader="dot" w:pos="9060"/>
        </w:tabs>
        <w:rPr>
          <w:rStyle w:val="Hiperligao"/>
          <w:rFonts w:ascii="Times New Roman" w:hAnsi="Times New Roman" w:cs="Times New Roman"/>
        </w:rPr>
      </w:pPr>
      <w:hyperlink w:anchor="_Toc51074010" w:history="1">
        <w:r w:rsidR="00820701" w:rsidRPr="00820701">
          <w:rPr>
            <w:rStyle w:val="Hiperligao"/>
            <w:rFonts w:ascii="Times New Roman" w:hAnsi="Times New Roman" w:cs="Times New Roman"/>
            <w:noProof/>
            <w:sz w:val="22"/>
            <w:szCs w:val="22"/>
          </w:rPr>
          <w:t>Tableau 19: Grille d’évaluation de l’importance des impacts</w:t>
        </w:r>
        <w:r w:rsidR="00820701" w:rsidRPr="00820701">
          <w:rPr>
            <w:rStyle w:val="Hiperligao"/>
            <w:rFonts w:ascii="Times New Roman" w:hAnsi="Times New Roman" w:cs="Times New Roman"/>
            <w:webHidden/>
            <w:sz w:val="22"/>
            <w:szCs w:val="22"/>
          </w:rPr>
          <w:tab/>
        </w:r>
        <w:r w:rsidR="00820701" w:rsidRPr="00820701">
          <w:rPr>
            <w:rStyle w:val="Hiperligao"/>
            <w:rFonts w:ascii="Times New Roman" w:hAnsi="Times New Roman" w:cs="Times New Roman"/>
            <w:webHidden/>
            <w:sz w:val="22"/>
            <w:szCs w:val="22"/>
          </w:rPr>
          <w:fldChar w:fldCharType="begin"/>
        </w:r>
        <w:r w:rsidR="00820701" w:rsidRPr="00820701">
          <w:rPr>
            <w:rStyle w:val="Hiperligao"/>
            <w:rFonts w:ascii="Times New Roman" w:hAnsi="Times New Roman" w:cs="Times New Roman"/>
            <w:webHidden/>
            <w:sz w:val="22"/>
            <w:szCs w:val="22"/>
          </w:rPr>
          <w:instrText xml:space="preserve"> PAGEREF _Toc51074010 \h </w:instrText>
        </w:r>
        <w:r w:rsidR="00820701" w:rsidRPr="00820701">
          <w:rPr>
            <w:rStyle w:val="Hiperligao"/>
            <w:rFonts w:ascii="Times New Roman" w:hAnsi="Times New Roman" w:cs="Times New Roman"/>
            <w:webHidden/>
            <w:sz w:val="22"/>
            <w:szCs w:val="22"/>
          </w:rPr>
        </w:r>
        <w:r w:rsidR="00820701" w:rsidRPr="00820701">
          <w:rPr>
            <w:rStyle w:val="Hiperligao"/>
            <w:rFonts w:ascii="Times New Roman" w:hAnsi="Times New Roman" w:cs="Times New Roman"/>
            <w:webHidden/>
            <w:sz w:val="22"/>
            <w:szCs w:val="22"/>
          </w:rPr>
          <w:fldChar w:fldCharType="separate"/>
        </w:r>
        <w:r w:rsidR="00820701" w:rsidRPr="00820701">
          <w:rPr>
            <w:rStyle w:val="Hiperligao"/>
            <w:rFonts w:ascii="Times New Roman" w:hAnsi="Times New Roman" w:cs="Times New Roman"/>
            <w:webHidden/>
            <w:sz w:val="22"/>
            <w:szCs w:val="22"/>
          </w:rPr>
          <w:t>124</w:t>
        </w:r>
        <w:r w:rsidR="00820701" w:rsidRPr="00820701">
          <w:rPr>
            <w:rStyle w:val="Hiperligao"/>
            <w:rFonts w:ascii="Times New Roman" w:hAnsi="Times New Roman" w:cs="Times New Roman"/>
            <w:webHidden/>
            <w:sz w:val="22"/>
            <w:szCs w:val="22"/>
          </w:rPr>
          <w:fldChar w:fldCharType="end"/>
        </w:r>
      </w:hyperlink>
    </w:p>
    <w:p w:rsidR="00820701" w:rsidRPr="00820701" w:rsidRDefault="007055AF">
      <w:pPr>
        <w:pStyle w:val="ndicedeilustraes"/>
        <w:tabs>
          <w:tab w:val="right" w:leader="dot" w:pos="9060"/>
        </w:tabs>
        <w:rPr>
          <w:rStyle w:val="Hiperligao"/>
          <w:rFonts w:ascii="Times New Roman" w:hAnsi="Times New Roman" w:cs="Times New Roman"/>
        </w:rPr>
      </w:pPr>
      <w:hyperlink w:anchor="_Toc51074011" w:history="1">
        <w:r w:rsidR="00820701" w:rsidRPr="00820701">
          <w:rPr>
            <w:rStyle w:val="Hiperligao"/>
            <w:rFonts w:ascii="Times New Roman" w:hAnsi="Times New Roman" w:cs="Times New Roman"/>
            <w:noProof/>
            <w:sz w:val="22"/>
            <w:szCs w:val="22"/>
          </w:rPr>
          <w:t>Tableau 20: Synthèse des impacts positifs attendus au niveau du sous-projet n°2</w:t>
        </w:r>
        <w:r w:rsidR="00820701" w:rsidRPr="00820701">
          <w:rPr>
            <w:rStyle w:val="Hiperligao"/>
            <w:rFonts w:ascii="Times New Roman" w:hAnsi="Times New Roman" w:cs="Times New Roman"/>
            <w:webHidden/>
            <w:sz w:val="22"/>
            <w:szCs w:val="22"/>
          </w:rPr>
          <w:tab/>
        </w:r>
        <w:r w:rsidR="00820701" w:rsidRPr="00820701">
          <w:rPr>
            <w:rStyle w:val="Hiperligao"/>
            <w:rFonts w:ascii="Times New Roman" w:hAnsi="Times New Roman" w:cs="Times New Roman"/>
            <w:webHidden/>
            <w:sz w:val="22"/>
            <w:szCs w:val="22"/>
          </w:rPr>
          <w:fldChar w:fldCharType="begin"/>
        </w:r>
        <w:r w:rsidR="00820701" w:rsidRPr="00820701">
          <w:rPr>
            <w:rStyle w:val="Hiperligao"/>
            <w:rFonts w:ascii="Times New Roman" w:hAnsi="Times New Roman" w:cs="Times New Roman"/>
            <w:webHidden/>
            <w:sz w:val="22"/>
            <w:szCs w:val="22"/>
          </w:rPr>
          <w:instrText xml:space="preserve"> PAGEREF _Toc51074011 \h </w:instrText>
        </w:r>
        <w:r w:rsidR="00820701" w:rsidRPr="00820701">
          <w:rPr>
            <w:rStyle w:val="Hiperligao"/>
            <w:rFonts w:ascii="Times New Roman" w:hAnsi="Times New Roman" w:cs="Times New Roman"/>
            <w:webHidden/>
            <w:sz w:val="22"/>
            <w:szCs w:val="22"/>
          </w:rPr>
        </w:r>
        <w:r w:rsidR="00820701" w:rsidRPr="00820701">
          <w:rPr>
            <w:rStyle w:val="Hiperligao"/>
            <w:rFonts w:ascii="Times New Roman" w:hAnsi="Times New Roman" w:cs="Times New Roman"/>
            <w:webHidden/>
            <w:sz w:val="22"/>
            <w:szCs w:val="22"/>
          </w:rPr>
          <w:fldChar w:fldCharType="separate"/>
        </w:r>
        <w:r w:rsidR="00820701" w:rsidRPr="00820701">
          <w:rPr>
            <w:rStyle w:val="Hiperligao"/>
            <w:rFonts w:ascii="Times New Roman" w:hAnsi="Times New Roman" w:cs="Times New Roman"/>
            <w:webHidden/>
            <w:sz w:val="22"/>
            <w:szCs w:val="22"/>
          </w:rPr>
          <w:t>135</w:t>
        </w:r>
        <w:r w:rsidR="00820701" w:rsidRPr="00820701">
          <w:rPr>
            <w:rStyle w:val="Hiperligao"/>
            <w:rFonts w:ascii="Times New Roman" w:hAnsi="Times New Roman" w:cs="Times New Roman"/>
            <w:webHidden/>
            <w:sz w:val="22"/>
            <w:szCs w:val="22"/>
          </w:rPr>
          <w:fldChar w:fldCharType="end"/>
        </w:r>
      </w:hyperlink>
    </w:p>
    <w:p w:rsidR="00820701" w:rsidRPr="00820701" w:rsidRDefault="007055AF">
      <w:pPr>
        <w:pStyle w:val="ndicedeilustraes"/>
        <w:tabs>
          <w:tab w:val="right" w:leader="dot" w:pos="9060"/>
        </w:tabs>
        <w:rPr>
          <w:rStyle w:val="Hiperligao"/>
          <w:rFonts w:ascii="Times New Roman" w:hAnsi="Times New Roman" w:cs="Times New Roman"/>
        </w:rPr>
      </w:pPr>
      <w:hyperlink w:anchor="_Toc51074012" w:history="1">
        <w:r w:rsidR="00820701" w:rsidRPr="00820701">
          <w:rPr>
            <w:rStyle w:val="Hiperligao"/>
            <w:rFonts w:ascii="Times New Roman" w:hAnsi="Times New Roman" w:cs="Times New Roman"/>
            <w:noProof/>
            <w:sz w:val="22"/>
            <w:szCs w:val="22"/>
          </w:rPr>
          <w:t>Tableau 21: Synthèse des impacts négatifs attendus au niveau du sous-projet n°2</w:t>
        </w:r>
        <w:r w:rsidR="00820701" w:rsidRPr="00820701">
          <w:rPr>
            <w:rStyle w:val="Hiperligao"/>
            <w:rFonts w:ascii="Times New Roman" w:hAnsi="Times New Roman" w:cs="Times New Roman"/>
            <w:webHidden/>
            <w:sz w:val="22"/>
            <w:szCs w:val="22"/>
          </w:rPr>
          <w:tab/>
        </w:r>
        <w:r w:rsidR="00820701" w:rsidRPr="00820701">
          <w:rPr>
            <w:rStyle w:val="Hiperligao"/>
            <w:rFonts w:ascii="Times New Roman" w:hAnsi="Times New Roman" w:cs="Times New Roman"/>
            <w:webHidden/>
            <w:sz w:val="22"/>
            <w:szCs w:val="22"/>
          </w:rPr>
          <w:fldChar w:fldCharType="begin"/>
        </w:r>
        <w:r w:rsidR="00820701" w:rsidRPr="00820701">
          <w:rPr>
            <w:rStyle w:val="Hiperligao"/>
            <w:rFonts w:ascii="Times New Roman" w:hAnsi="Times New Roman" w:cs="Times New Roman"/>
            <w:webHidden/>
            <w:sz w:val="22"/>
            <w:szCs w:val="22"/>
          </w:rPr>
          <w:instrText xml:space="preserve"> PAGEREF _Toc51074012 \h </w:instrText>
        </w:r>
        <w:r w:rsidR="00820701" w:rsidRPr="00820701">
          <w:rPr>
            <w:rStyle w:val="Hiperligao"/>
            <w:rFonts w:ascii="Times New Roman" w:hAnsi="Times New Roman" w:cs="Times New Roman"/>
            <w:webHidden/>
            <w:sz w:val="22"/>
            <w:szCs w:val="22"/>
          </w:rPr>
        </w:r>
        <w:r w:rsidR="00820701" w:rsidRPr="00820701">
          <w:rPr>
            <w:rStyle w:val="Hiperligao"/>
            <w:rFonts w:ascii="Times New Roman" w:hAnsi="Times New Roman" w:cs="Times New Roman"/>
            <w:webHidden/>
            <w:sz w:val="22"/>
            <w:szCs w:val="22"/>
          </w:rPr>
          <w:fldChar w:fldCharType="separate"/>
        </w:r>
        <w:r w:rsidR="00820701" w:rsidRPr="00820701">
          <w:rPr>
            <w:rStyle w:val="Hiperligao"/>
            <w:rFonts w:ascii="Times New Roman" w:hAnsi="Times New Roman" w:cs="Times New Roman"/>
            <w:webHidden/>
            <w:sz w:val="22"/>
            <w:szCs w:val="22"/>
          </w:rPr>
          <w:t>136</w:t>
        </w:r>
        <w:r w:rsidR="00820701" w:rsidRPr="00820701">
          <w:rPr>
            <w:rStyle w:val="Hiperligao"/>
            <w:rFonts w:ascii="Times New Roman" w:hAnsi="Times New Roman" w:cs="Times New Roman"/>
            <w:webHidden/>
            <w:sz w:val="22"/>
            <w:szCs w:val="22"/>
          </w:rPr>
          <w:fldChar w:fldCharType="end"/>
        </w:r>
      </w:hyperlink>
    </w:p>
    <w:p w:rsidR="00820701" w:rsidRPr="00820701" w:rsidRDefault="007055AF">
      <w:pPr>
        <w:pStyle w:val="ndicedeilustraes"/>
        <w:tabs>
          <w:tab w:val="right" w:leader="dot" w:pos="9060"/>
        </w:tabs>
        <w:rPr>
          <w:rStyle w:val="Hiperligao"/>
          <w:rFonts w:ascii="Times New Roman" w:hAnsi="Times New Roman" w:cs="Times New Roman"/>
        </w:rPr>
      </w:pPr>
      <w:hyperlink w:anchor="_Toc51074013" w:history="1">
        <w:r w:rsidR="00820701" w:rsidRPr="00820701">
          <w:rPr>
            <w:rStyle w:val="Hiperligao"/>
            <w:rFonts w:ascii="Times New Roman" w:hAnsi="Times New Roman" w:cs="Times New Roman"/>
            <w:noProof/>
            <w:sz w:val="22"/>
            <w:szCs w:val="22"/>
          </w:rPr>
          <w:t>Tableau 22: Identification des risques professionnels</w:t>
        </w:r>
        <w:r w:rsidR="00820701" w:rsidRPr="00820701">
          <w:rPr>
            <w:rStyle w:val="Hiperligao"/>
            <w:rFonts w:ascii="Times New Roman" w:hAnsi="Times New Roman" w:cs="Times New Roman"/>
            <w:webHidden/>
            <w:sz w:val="22"/>
            <w:szCs w:val="22"/>
          </w:rPr>
          <w:tab/>
        </w:r>
        <w:r w:rsidR="00820701" w:rsidRPr="00820701">
          <w:rPr>
            <w:rStyle w:val="Hiperligao"/>
            <w:rFonts w:ascii="Times New Roman" w:hAnsi="Times New Roman" w:cs="Times New Roman"/>
            <w:webHidden/>
            <w:sz w:val="22"/>
            <w:szCs w:val="22"/>
          </w:rPr>
          <w:fldChar w:fldCharType="begin"/>
        </w:r>
        <w:r w:rsidR="00820701" w:rsidRPr="00820701">
          <w:rPr>
            <w:rStyle w:val="Hiperligao"/>
            <w:rFonts w:ascii="Times New Roman" w:hAnsi="Times New Roman" w:cs="Times New Roman"/>
            <w:webHidden/>
            <w:sz w:val="22"/>
            <w:szCs w:val="22"/>
          </w:rPr>
          <w:instrText xml:space="preserve"> PAGEREF _Toc51074013 \h </w:instrText>
        </w:r>
        <w:r w:rsidR="00820701" w:rsidRPr="00820701">
          <w:rPr>
            <w:rStyle w:val="Hiperligao"/>
            <w:rFonts w:ascii="Times New Roman" w:hAnsi="Times New Roman" w:cs="Times New Roman"/>
            <w:webHidden/>
            <w:sz w:val="22"/>
            <w:szCs w:val="22"/>
          </w:rPr>
        </w:r>
        <w:r w:rsidR="00820701" w:rsidRPr="00820701">
          <w:rPr>
            <w:rStyle w:val="Hiperligao"/>
            <w:rFonts w:ascii="Times New Roman" w:hAnsi="Times New Roman" w:cs="Times New Roman"/>
            <w:webHidden/>
            <w:sz w:val="22"/>
            <w:szCs w:val="22"/>
          </w:rPr>
          <w:fldChar w:fldCharType="separate"/>
        </w:r>
        <w:r w:rsidR="00820701" w:rsidRPr="00820701">
          <w:rPr>
            <w:rStyle w:val="Hiperligao"/>
            <w:rFonts w:ascii="Times New Roman" w:hAnsi="Times New Roman" w:cs="Times New Roman"/>
            <w:webHidden/>
            <w:sz w:val="22"/>
            <w:szCs w:val="22"/>
          </w:rPr>
          <w:t>140</w:t>
        </w:r>
        <w:r w:rsidR="00820701" w:rsidRPr="00820701">
          <w:rPr>
            <w:rStyle w:val="Hiperligao"/>
            <w:rFonts w:ascii="Times New Roman" w:hAnsi="Times New Roman" w:cs="Times New Roman"/>
            <w:webHidden/>
            <w:sz w:val="22"/>
            <w:szCs w:val="22"/>
          </w:rPr>
          <w:fldChar w:fldCharType="end"/>
        </w:r>
      </w:hyperlink>
    </w:p>
    <w:p w:rsidR="00820701" w:rsidRPr="00820701" w:rsidRDefault="007055AF">
      <w:pPr>
        <w:pStyle w:val="ndicedeilustraes"/>
        <w:tabs>
          <w:tab w:val="right" w:leader="dot" w:pos="9060"/>
        </w:tabs>
        <w:rPr>
          <w:rStyle w:val="Hiperligao"/>
          <w:rFonts w:ascii="Times New Roman" w:hAnsi="Times New Roman" w:cs="Times New Roman"/>
        </w:rPr>
      </w:pPr>
      <w:hyperlink w:anchor="_Toc51074014" w:history="1">
        <w:r w:rsidR="00820701" w:rsidRPr="00820701">
          <w:rPr>
            <w:rStyle w:val="Hiperligao"/>
            <w:rFonts w:ascii="Times New Roman" w:hAnsi="Times New Roman" w:cs="Times New Roman"/>
            <w:noProof/>
            <w:sz w:val="22"/>
            <w:szCs w:val="22"/>
          </w:rPr>
          <w:t>Tableau 23 : Identification des dangers liés aux produits</w:t>
        </w:r>
        <w:r w:rsidR="00820701" w:rsidRPr="00820701">
          <w:rPr>
            <w:rStyle w:val="Hiperligao"/>
            <w:rFonts w:ascii="Times New Roman" w:hAnsi="Times New Roman" w:cs="Times New Roman"/>
            <w:webHidden/>
            <w:sz w:val="22"/>
            <w:szCs w:val="22"/>
          </w:rPr>
          <w:tab/>
        </w:r>
        <w:r w:rsidR="00820701" w:rsidRPr="00820701">
          <w:rPr>
            <w:rStyle w:val="Hiperligao"/>
            <w:rFonts w:ascii="Times New Roman" w:hAnsi="Times New Roman" w:cs="Times New Roman"/>
            <w:webHidden/>
            <w:sz w:val="22"/>
            <w:szCs w:val="22"/>
          </w:rPr>
          <w:fldChar w:fldCharType="begin"/>
        </w:r>
        <w:r w:rsidR="00820701" w:rsidRPr="00820701">
          <w:rPr>
            <w:rStyle w:val="Hiperligao"/>
            <w:rFonts w:ascii="Times New Roman" w:hAnsi="Times New Roman" w:cs="Times New Roman"/>
            <w:webHidden/>
            <w:sz w:val="22"/>
            <w:szCs w:val="22"/>
          </w:rPr>
          <w:instrText xml:space="preserve"> PAGEREF _Toc51074014 \h </w:instrText>
        </w:r>
        <w:r w:rsidR="00820701" w:rsidRPr="00820701">
          <w:rPr>
            <w:rStyle w:val="Hiperligao"/>
            <w:rFonts w:ascii="Times New Roman" w:hAnsi="Times New Roman" w:cs="Times New Roman"/>
            <w:webHidden/>
            <w:sz w:val="22"/>
            <w:szCs w:val="22"/>
          </w:rPr>
        </w:r>
        <w:r w:rsidR="00820701" w:rsidRPr="00820701">
          <w:rPr>
            <w:rStyle w:val="Hiperligao"/>
            <w:rFonts w:ascii="Times New Roman" w:hAnsi="Times New Roman" w:cs="Times New Roman"/>
            <w:webHidden/>
            <w:sz w:val="22"/>
            <w:szCs w:val="22"/>
          </w:rPr>
          <w:fldChar w:fldCharType="separate"/>
        </w:r>
        <w:r w:rsidR="00820701" w:rsidRPr="00820701">
          <w:rPr>
            <w:rStyle w:val="Hiperligao"/>
            <w:rFonts w:ascii="Times New Roman" w:hAnsi="Times New Roman" w:cs="Times New Roman"/>
            <w:webHidden/>
            <w:sz w:val="22"/>
            <w:szCs w:val="22"/>
          </w:rPr>
          <w:t>144</w:t>
        </w:r>
        <w:r w:rsidR="00820701" w:rsidRPr="00820701">
          <w:rPr>
            <w:rStyle w:val="Hiperligao"/>
            <w:rFonts w:ascii="Times New Roman" w:hAnsi="Times New Roman" w:cs="Times New Roman"/>
            <w:webHidden/>
            <w:sz w:val="22"/>
            <w:szCs w:val="22"/>
          </w:rPr>
          <w:fldChar w:fldCharType="end"/>
        </w:r>
      </w:hyperlink>
    </w:p>
    <w:p w:rsidR="00820701" w:rsidRPr="00820701" w:rsidRDefault="007055AF">
      <w:pPr>
        <w:pStyle w:val="ndicedeilustraes"/>
        <w:tabs>
          <w:tab w:val="right" w:leader="dot" w:pos="9060"/>
        </w:tabs>
        <w:rPr>
          <w:rStyle w:val="Hiperligao"/>
          <w:rFonts w:ascii="Times New Roman" w:hAnsi="Times New Roman" w:cs="Times New Roman"/>
        </w:rPr>
      </w:pPr>
      <w:hyperlink w:anchor="_Toc51074015" w:history="1">
        <w:r w:rsidR="00820701" w:rsidRPr="00820701">
          <w:rPr>
            <w:rStyle w:val="Hiperligao"/>
            <w:rFonts w:ascii="Times New Roman" w:hAnsi="Times New Roman" w:cs="Times New Roman"/>
            <w:noProof/>
            <w:sz w:val="22"/>
            <w:szCs w:val="22"/>
          </w:rPr>
          <w:t>Tableau 24: Grille d’estimation des niveaux de probabilité et de gravité</w:t>
        </w:r>
        <w:r w:rsidR="00820701" w:rsidRPr="00820701">
          <w:rPr>
            <w:rStyle w:val="Hiperligao"/>
            <w:rFonts w:ascii="Times New Roman" w:hAnsi="Times New Roman" w:cs="Times New Roman"/>
            <w:webHidden/>
            <w:sz w:val="22"/>
            <w:szCs w:val="22"/>
          </w:rPr>
          <w:tab/>
        </w:r>
        <w:r w:rsidR="00820701" w:rsidRPr="00820701">
          <w:rPr>
            <w:rStyle w:val="Hiperligao"/>
            <w:rFonts w:ascii="Times New Roman" w:hAnsi="Times New Roman" w:cs="Times New Roman"/>
            <w:webHidden/>
            <w:sz w:val="22"/>
            <w:szCs w:val="22"/>
          </w:rPr>
          <w:fldChar w:fldCharType="begin"/>
        </w:r>
        <w:r w:rsidR="00820701" w:rsidRPr="00820701">
          <w:rPr>
            <w:rStyle w:val="Hiperligao"/>
            <w:rFonts w:ascii="Times New Roman" w:hAnsi="Times New Roman" w:cs="Times New Roman"/>
            <w:webHidden/>
            <w:sz w:val="22"/>
            <w:szCs w:val="22"/>
          </w:rPr>
          <w:instrText xml:space="preserve"> PAGEREF _Toc51074015 \h </w:instrText>
        </w:r>
        <w:r w:rsidR="00820701" w:rsidRPr="00820701">
          <w:rPr>
            <w:rStyle w:val="Hiperligao"/>
            <w:rFonts w:ascii="Times New Roman" w:hAnsi="Times New Roman" w:cs="Times New Roman"/>
            <w:webHidden/>
            <w:sz w:val="22"/>
            <w:szCs w:val="22"/>
          </w:rPr>
        </w:r>
        <w:r w:rsidR="00820701" w:rsidRPr="00820701">
          <w:rPr>
            <w:rStyle w:val="Hiperligao"/>
            <w:rFonts w:ascii="Times New Roman" w:hAnsi="Times New Roman" w:cs="Times New Roman"/>
            <w:webHidden/>
            <w:sz w:val="22"/>
            <w:szCs w:val="22"/>
          </w:rPr>
          <w:fldChar w:fldCharType="separate"/>
        </w:r>
        <w:r w:rsidR="00820701" w:rsidRPr="00820701">
          <w:rPr>
            <w:rStyle w:val="Hiperligao"/>
            <w:rFonts w:ascii="Times New Roman" w:hAnsi="Times New Roman" w:cs="Times New Roman"/>
            <w:webHidden/>
            <w:sz w:val="22"/>
            <w:szCs w:val="22"/>
          </w:rPr>
          <w:t>147</w:t>
        </w:r>
        <w:r w:rsidR="00820701" w:rsidRPr="00820701">
          <w:rPr>
            <w:rStyle w:val="Hiperligao"/>
            <w:rFonts w:ascii="Times New Roman" w:hAnsi="Times New Roman" w:cs="Times New Roman"/>
            <w:webHidden/>
            <w:sz w:val="22"/>
            <w:szCs w:val="22"/>
          </w:rPr>
          <w:fldChar w:fldCharType="end"/>
        </w:r>
      </w:hyperlink>
    </w:p>
    <w:p w:rsidR="00820701" w:rsidRPr="00820701" w:rsidRDefault="007055AF">
      <w:pPr>
        <w:pStyle w:val="ndicedeilustraes"/>
        <w:tabs>
          <w:tab w:val="right" w:leader="dot" w:pos="9060"/>
        </w:tabs>
        <w:rPr>
          <w:rStyle w:val="Hiperligao"/>
          <w:rFonts w:ascii="Times New Roman" w:hAnsi="Times New Roman" w:cs="Times New Roman"/>
        </w:rPr>
      </w:pPr>
      <w:hyperlink w:anchor="_Toc51074016" w:history="1">
        <w:r w:rsidR="00820701" w:rsidRPr="00820701">
          <w:rPr>
            <w:rStyle w:val="Hiperligao"/>
            <w:rFonts w:ascii="Times New Roman" w:hAnsi="Times New Roman" w:cs="Times New Roman"/>
            <w:noProof/>
            <w:sz w:val="22"/>
            <w:szCs w:val="22"/>
          </w:rPr>
          <w:t>Tableau 25: Matrice de criticité</w:t>
        </w:r>
        <w:r w:rsidR="00820701" w:rsidRPr="00820701">
          <w:rPr>
            <w:rStyle w:val="Hiperligao"/>
            <w:rFonts w:ascii="Times New Roman" w:hAnsi="Times New Roman" w:cs="Times New Roman"/>
            <w:webHidden/>
            <w:sz w:val="22"/>
            <w:szCs w:val="22"/>
          </w:rPr>
          <w:tab/>
        </w:r>
        <w:r w:rsidR="00820701" w:rsidRPr="00820701">
          <w:rPr>
            <w:rStyle w:val="Hiperligao"/>
            <w:rFonts w:ascii="Times New Roman" w:hAnsi="Times New Roman" w:cs="Times New Roman"/>
            <w:webHidden/>
            <w:sz w:val="22"/>
            <w:szCs w:val="22"/>
          </w:rPr>
          <w:fldChar w:fldCharType="begin"/>
        </w:r>
        <w:r w:rsidR="00820701" w:rsidRPr="00820701">
          <w:rPr>
            <w:rStyle w:val="Hiperligao"/>
            <w:rFonts w:ascii="Times New Roman" w:hAnsi="Times New Roman" w:cs="Times New Roman"/>
            <w:webHidden/>
            <w:sz w:val="22"/>
            <w:szCs w:val="22"/>
          </w:rPr>
          <w:instrText xml:space="preserve"> PAGEREF _Toc51074016 \h </w:instrText>
        </w:r>
        <w:r w:rsidR="00820701" w:rsidRPr="00820701">
          <w:rPr>
            <w:rStyle w:val="Hiperligao"/>
            <w:rFonts w:ascii="Times New Roman" w:hAnsi="Times New Roman" w:cs="Times New Roman"/>
            <w:webHidden/>
            <w:sz w:val="22"/>
            <w:szCs w:val="22"/>
          </w:rPr>
        </w:r>
        <w:r w:rsidR="00820701" w:rsidRPr="00820701">
          <w:rPr>
            <w:rStyle w:val="Hiperligao"/>
            <w:rFonts w:ascii="Times New Roman" w:hAnsi="Times New Roman" w:cs="Times New Roman"/>
            <w:webHidden/>
            <w:sz w:val="22"/>
            <w:szCs w:val="22"/>
          </w:rPr>
          <w:fldChar w:fldCharType="separate"/>
        </w:r>
        <w:r w:rsidR="00820701" w:rsidRPr="00820701">
          <w:rPr>
            <w:rStyle w:val="Hiperligao"/>
            <w:rFonts w:ascii="Times New Roman" w:hAnsi="Times New Roman" w:cs="Times New Roman"/>
            <w:webHidden/>
            <w:sz w:val="22"/>
            <w:szCs w:val="22"/>
          </w:rPr>
          <w:t>148</w:t>
        </w:r>
        <w:r w:rsidR="00820701" w:rsidRPr="00820701">
          <w:rPr>
            <w:rStyle w:val="Hiperligao"/>
            <w:rFonts w:ascii="Times New Roman" w:hAnsi="Times New Roman" w:cs="Times New Roman"/>
            <w:webHidden/>
            <w:sz w:val="22"/>
            <w:szCs w:val="22"/>
          </w:rPr>
          <w:fldChar w:fldCharType="end"/>
        </w:r>
      </w:hyperlink>
    </w:p>
    <w:p w:rsidR="00820701" w:rsidRPr="00820701" w:rsidRDefault="007055AF">
      <w:pPr>
        <w:pStyle w:val="ndicedeilustraes"/>
        <w:tabs>
          <w:tab w:val="right" w:leader="dot" w:pos="9060"/>
        </w:tabs>
        <w:rPr>
          <w:rStyle w:val="Hiperligao"/>
          <w:rFonts w:ascii="Times New Roman" w:hAnsi="Times New Roman" w:cs="Times New Roman"/>
        </w:rPr>
      </w:pPr>
      <w:hyperlink w:anchor="_Toc51074017" w:history="1">
        <w:r w:rsidR="00820701" w:rsidRPr="00820701">
          <w:rPr>
            <w:rStyle w:val="Hiperligao"/>
            <w:rFonts w:ascii="Times New Roman" w:hAnsi="Times New Roman" w:cs="Times New Roman"/>
            <w:noProof/>
            <w:sz w:val="22"/>
            <w:szCs w:val="22"/>
          </w:rPr>
          <w:t>Tableau 26: les différentes activités réalisées</w:t>
        </w:r>
        <w:r w:rsidR="00820701" w:rsidRPr="00820701">
          <w:rPr>
            <w:rStyle w:val="Hiperligao"/>
            <w:rFonts w:ascii="Times New Roman" w:hAnsi="Times New Roman" w:cs="Times New Roman"/>
            <w:webHidden/>
            <w:sz w:val="22"/>
            <w:szCs w:val="22"/>
          </w:rPr>
          <w:tab/>
        </w:r>
        <w:r w:rsidR="00820701" w:rsidRPr="00820701">
          <w:rPr>
            <w:rStyle w:val="Hiperligao"/>
            <w:rFonts w:ascii="Times New Roman" w:hAnsi="Times New Roman" w:cs="Times New Roman"/>
            <w:webHidden/>
            <w:sz w:val="22"/>
            <w:szCs w:val="22"/>
          </w:rPr>
          <w:fldChar w:fldCharType="begin"/>
        </w:r>
        <w:r w:rsidR="00820701" w:rsidRPr="00820701">
          <w:rPr>
            <w:rStyle w:val="Hiperligao"/>
            <w:rFonts w:ascii="Times New Roman" w:hAnsi="Times New Roman" w:cs="Times New Roman"/>
            <w:webHidden/>
            <w:sz w:val="22"/>
            <w:szCs w:val="22"/>
          </w:rPr>
          <w:instrText xml:space="preserve"> PAGEREF _Toc51074017 \h </w:instrText>
        </w:r>
        <w:r w:rsidR="00820701" w:rsidRPr="00820701">
          <w:rPr>
            <w:rStyle w:val="Hiperligao"/>
            <w:rFonts w:ascii="Times New Roman" w:hAnsi="Times New Roman" w:cs="Times New Roman"/>
            <w:webHidden/>
            <w:sz w:val="22"/>
            <w:szCs w:val="22"/>
          </w:rPr>
        </w:r>
        <w:r w:rsidR="00820701" w:rsidRPr="00820701">
          <w:rPr>
            <w:rStyle w:val="Hiperligao"/>
            <w:rFonts w:ascii="Times New Roman" w:hAnsi="Times New Roman" w:cs="Times New Roman"/>
            <w:webHidden/>
            <w:sz w:val="22"/>
            <w:szCs w:val="22"/>
          </w:rPr>
          <w:fldChar w:fldCharType="separate"/>
        </w:r>
        <w:r w:rsidR="00820701" w:rsidRPr="00820701">
          <w:rPr>
            <w:rStyle w:val="Hiperligao"/>
            <w:rFonts w:ascii="Times New Roman" w:hAnsi="Times New Roman" w:cs="Times New Roman"/>
            <w:webHidden/>
            <w:sz w:val="22"/>
            <w:szCs w:val="22"/>
          </w:rPr>
          <w:t>148</w:t>
        </w:r>
        <w:r w:rsidR="00820701" w:rsidRPr="00820701">
          <w:rPr>
            <w:rStyle w:val="Hiperligao"/>
            <w:rFonts w:ascii="Times New Roman" w:hAnsi="Times New Roman" w:cs="Times New Roman"/>
            <w:webHidden/>
            <w:sz w:val="22"/>
            <w:szCs w:val="22"/>
          </w:rPr>
          <w:fldChar w:fldCharType="end"/>
        </w:r>
      </w:hyperlink>
    </w:p>
    <w:p w:rsidR="00820701" w:rsidRPr="00820701" w:rsidRDefault="007055AF">
      <w:pPr>
        <w:pStyle w:val="ndicedeilustraes"/>
        <w:tabs>
          <w:tab w:val="right" w:leader="dot" w:pos="9060"/>
        </w:tabs>
        <w:rPr>
          <w:rStyle w:val="Hiperligao"/>
          <w:rFonts w:ascii="Times New Roman" w:hAnsi="Times New Roman" w:cs="Times New Roman"/>
        </w:rPr>
      </w:pPr>
      <w:hyperlink w:anchor="_Toc51074018" w:history="1">
        <w:r w:rsidR="00820701" w:rsidRPr="00820701">
          <w:rPr>
            <w:rStyle w:val="Hiperligao"/>
            <w:rFonts w:ascii="Times New Roman" w:hAnsi="Times New Roman" w:cs="Times New Roman"/>
            <w:noProof/>
            <w:sz w:val="22"/>
            <w:szCs w:val="22"/>
          </w:rPr>
          <w:t>Tableau 27 : Analyse des risques phase construction</w:t>
        </w:r>
        <w:r w:rsidR="00820701" w:rsidRPr="00820701">
          <w:rPr>
            <w:rStyle w:val="Hiperligao"/>
            <w:rFonts w:ascii="Times New Roman" w:hAnsi="Times New Roman" w:cs="Times New Roman"/>
            <w:webHidden/>
            <w:sz w:val="22"/>
            <w:szCs w:val="22"/>
          </w:rPr>
          <w:tab/>
        </w:r>
        <w:r w:rsidR="00820701" w:rsidRPr="00820701">
          <w:rPr>
            <w:rStyle w:val="Hiperligao"/>
            <w:rFonts w:ascii="Times New Roman" w:hAnsi="Times New Roman" w:cs="Times New Roman"/>
            <w:webHidden/>
            <w:sz w:val="22"/>
            <w:szCs w:val="22"/>
          </w:rPr>
          <w:fldChar w:fldCharType="begin"/>
        </w:r>
        <w:r w:rsidR="00820701" w:rsidRPr="00820701">
          <w:rPr>
            <w:rStyle w:val="Hiperligao"/>
            <w:rFonts w:ascii="Times New Roman" w:hAnsi="Times New Roman" w:cs="Times New Roman"/>
            <w:webHidden/>
            <w:sz w:val="22"/>
            <w:szCs w:val="22"/>
          </w:rPr>
          <w:instrText xml:space="preserve"> PAGEREF _Toc51074018 \h </w:instrText>
        </w:r>
        <w:r w:rsidR="00820701" w:rsidRPr="00820701">
          <w:rPr>
            <w:rStyle w:val="Hiperligao"/>
            <w:rFonts w:ascii="Times New Roman" w:hAnsi="Times New Roman" w:cs="Times New Roman"/>
            <w:webHidden/>
            <w:sz w:val="22"/>
            <w:szCs w:val="22"/>
          </w:rPr>
        </w:r>
        <w:r w:rsidR="00820701" w:rsidRPr="00820701">
          <w:rPr>
            <w:rStyle w:val="Hiperligao"/>
            <w:rFonts w:ascii="Times New Roman" w:hAnsi="Times New Roman" w:cs="Times New Roman"/>
            <w:webHidden/>
            <w:sz w:val="22"/>
            <w:szCs w:val="22"/>
          </w:rPr>
          <w:fldChar w:fldCharType="separate"/>
        </w:r>
        <w:r w:rsidR="00820701" w:rsidRPr="00820701">
          <w:rPr>
            <w:rStyle w:val="Hiperligao"/>
            <w:rFonts w:ascii="Times New Roman" w:hAnsi="Times New Roman" w:cs="Times New Roman"/>
            <w:webHidden/>
            <w:sz w:val="22"/>
            <w:szCs w:val="22"/>
          </w:rPr>
          <w:t>150</w:t>
        </w:r>
        <w:r w:rsidR="00820701" w:rsidRPr="00820701">
          <w:rPr>
            <w:rStyle w:val="Hiperligao"/>
            <w:rFonts w:ascii="Times New Roman" w:hAnsi="Times New Roman" w:cs="Times New Roman"/>
            <w:webHidden/>
            <w:sz w:val="22"/>
            <w:szCs w:val="22"/>
          </w:rPr>
          <w:fldChar w:fldCharType="end"/>
        </w:r>
      </w:hyperlink>
    </w:p>
    <w:p w:rsidR="00820701" w:rsidRPr="00820701" w:rsidRDefault="007055AF">
      <w:pPr>
        <w:pStyle w:val="ndicedeilustraes"/>
        <w:tabs>
          <w:tab w:val="right" w:leader="dot" w:pos="9060"/>
        </w:tabs>
        <w:rPr>
          <w:rStyle w:val="Hiperligao"/>
          <w:rFonts w:ascii="Times New Roman" w:hAnsi="Times New Roman" w:cs="Times New Roman"/>
        </w:rPr>
      </w:pPr>
      <w:hyperlink w:anchor="_Toc51074019" w:history="1">
        <w:r w:rsidR="00820701" w:rsidRPr="00820701">
          <w:rPr>
            <w:rStyle w:val="Hiperligao"/>
            <w:rFonts w:ascii="Times New Roman" w:hAnsi="Times New Roman" w:cs="Times New Roman"/>
            <w:noProof/>
            <w:sz w:val="22"/>
            <w:szCs w:val="22"/>
          </w:rPr>
          <w:t>Tableau 28 : Les accidents recensés qui ont des stocks de gasoil</w:t>
        </w:r>
        <w:r w:rsidR="00820701" w:rsidRPr="00820701">
          <w:rPr>
            <w:rStyle w:val="Hiperligao"/>
            <w:rFonts w:ascii="Times New Roman" w:hAnsi="Times New Roman" w:cs="Times New Roman"/>
            <w:webHidden/>
            <w:sz w:val="22"/>
            <w:szCs w:val="22"/>
          </w:rPr>
          <w:tab/>
        </w:r>
        <w:r w:rsidR="00820701" w:rsidRPr="00820701">
          <w:rPr>
            <w:rStyle w:val="Hiperligao"/>
            <w:rFonts w:ascii="Times New Roman" w:hAnsi="Times New Roman" w:cs="Times New Roman"/>
            <w:webHidden/>
            <w:sz w:val="22"/>
            <w:szCs w:val="22"/>
          </w:rPr>
          <w:fldChar w:fldCharType="begin"/>
        </w:r>
        <w:r w:rsidR="00820701" w:rsidRPr="00820701">
          <w:rPr>
            <w:rStyle w:val="Hiperligao"/>
            <w:rFonts w:ascii="Times New Roman" w:hAnsi="Times New Roman" w:cs="Times New Roman"/>
            <w:webHidden/>
            <w:sz w:val="22"/>
            <w:szCs w:val="22"/>
          </w:rPr>
          <w:instrText xml:space="preserve"> PAGEREF _Toc51074019 \h </w:instrText>
        </w:r>
        <w:r w:rsidR="00820701" w:rsidRPr="00820701">
          <w:rPr>
            <w:rStyle w:val="Hiperligao"/>
            <w:rFonts w:ascii="Times New Roman" w:hAnsi="Times New Roman" w:cs="Times New Roman"/>
            <w:webHidden/>
            <w:sz w:val="22"/>
            <w:szCs w:val="22"/>
          </w:rPr>
        </w:r>
        <w:r w:rsidR="00820701" w:rsidRPr="00820701">
          <w:rPr>
            <w:rStyle w:val="Hiperligao"/>
            <w:rFonts w:ascii="Times New Roman" w:hAnsi="Times New Roman" w:cs="Times New Roman"/>
            <w:webHidden/>
            <w:sz w:val="22"/>
            <w:szCs w:val="22"/>
          </w:rPr>
          <w:fldChar w:fldCharType="separate"/>
        </w:r>
        <w:r w:rsidR="00820701" w:rsidRPr="00820701">
          <w:rPr>
            <w:rStyle w:val="Hiperligao"/>
            <w:rFonts w:ascii="Times New Roman" w:hAnsi="Times New Roman" w:cs="Times New Roman"/>
            <w:webHidden/>
            <w:sz w:val="22"/>
            <w:szCs w:val="22"/>
          </w:rPr>
          <w:t>153</w:t>
        </w:r>
        <w:r w:rsidR="00820701" w:rsidRPr="00820701">
          <w:rPr>
            <w:rStyle w:val="Hiperligao"/>
            <w:rFonts w:ascii="Times New Roman" w:hAnsi="Times New Roman" w:cs="Times New Roman"/>
            <w:webHidden/>
            <w:sz w:val="22"/>
            <w:szCs w:val="22"/>
          </w:rPr>
          <w:fldChar w:fldCharType="end"/>
        </w:r>
      </w:hyperlink>
    </w:p>
    <w:p w:rsidR="00820701" w:rsidRPr="00820701" w:rsidRDefault="007055AF">
      <w:pPr>
        <w:pStyle w:val="ndicedeilustraes"/>
        <w:tabs>
          <w:tab w:val="right" w:leader="dot" w:pos="9060"/>
        </w:tabs>
        <w:rPr>
          <w:rStyle w:val="Hiperligao"/>
          <w:rFonts w:ascii="Times New Roman" w:hAnsi="Times New Roman" w:cs="Times New Roman"/>
        </w:rPr>
      </w:pPr>
      <w:hyperlink w:anchor="_Toc51074020" w:history="1">
        <w:r w:rsidR="00820701" w:rsidRPr="00820701">
          <w:rPr>
            <w:rStyle w:val="Hiperligao"/>
            <w:rFonts w:ascii="Times New Roman" w:hAnsi="Times New Roman" w:cs="Times New Roman"/>
            <w:noProof/>
            <w:sz w:val="22"/>
            <w:szCs w:val="22"/>
          </w:rPr>
          <w:t>Tableau 29 : Les accidents recensés au niveau de l’ exploitation des réservoirs</w:t>
        </w:r>
        <w:r w:rsidR="00820701" w:rsidRPr="00820701">
          <w:rPr>
            <w:rStyle w:val="Hiperligao"/>
            <w:rFonts w:ascii="Times New Roman" w:hAnsi="Times New Roman" w:cs="Times New Roman"/>
            <w:webHidden/>
            <w:sz w:val="22"/>
            <w:szCs w:val="22"/>
          </w:rPr>
          <w:tab/>
        </w:r>
        <w:r w:rsidR="00820701" w:rsidRPr="00820701">
          <w:rPr>
            <w:rStyle w:val="Hiperligao"/>
            <w:rFonts w:ascii="Times New Roman" w:hAnsi="Times New Roman" w:cs="Times New Roman"/>
            <w:webHidden/>
            <w:sz w:val="22"/>
            <w:szCs w:val="22"/>
          </w:rPr>
          <w:fldChar w:fldCharType="begin"/>
        </w:r>
        <w:r w:rsidR="00820701" w:rsidRPr="00820701">
          <w:rPr>
            <w:rStyle w:val="Hiperligao"/>
            <w:rFonts w:ascii="Times New Roman" w:hAnsi="Times New Roman" w:cs="Times New Roman"/>
            <w:webHidden/>
            <w:sz w:val="22"/>
            <w:szCs w:val="22"/>
          </w:rPr>
          <w:instrText xml:space="preserve"> PAGEREF _Toc51074020 \h </w:instrText>
        </w:r>
        <w:r w:rsidR="00820701" w:rsidRPr="00820701">
          <w:rPr>
            <w:rStyle w:val="Hiperligao"/>
            <w:rFonts w:ascii="Times New Roman" w:hAnsi="Times New Roman" w:cs="Times New Roman"/>
            <w:webHidden/>
            <w:sz w:val="22"/>
            <w:szCs w:val="22"/>
          </w:rPr>
        </w:r>
        <w:r w:rsidR="00820701" w:rsidRPr="00820701">
          <w:rPr>
            <w:rStyle w:val="Hiperligao"/>
            <w:rFonts w:ascii="Times New Roman" w:hAnsi="Times New Roman" w:cs="Times New Roman"/>
            <w:webHidden/>
            <w:sz w:val="22"/>
            <w:szCs w:val="22"/>
          </w:rPr>
          <w:fldChar w:fldCharType="separate"/>
        </w:r>
        <w:r w:rsidR="00820701" w:rsidRPr="00820701">
          <w:rPr>
            <w:rStyle w:val="Hiperligao"/>
            <w:rFonts w:ascii="Times New Roman" w:hAnsi="Times New Roman" w:cs="Times New Roman"/>
            <w:webHidden/>
            <w:sz w:val="22"/>
            <w:szCs w:val="22"/>
          </w:rPr>
          <w:t>154</w:t>
        </w:r>
        <w:r w:rsidR="00820701" w:rsidRPr="00820701">
          <w:rPr>
            <w:rStyle w:val="Hiperligao"/>
            <w:rFonts w:ascii="Times New Roman" w:hAnsi="Times New Roman" w:cs="Times New Roman"/>
            <w:webHidden/>
            <w:sz w:val="22"/>
            <w:szCs w:val="22"/>
          </w:rPr>
          <w:fldChar w:fldCharType="end"/>
        </w:r>
      </w:hyperlink>
    </w:p>
    <w:p w:rsidR="00820701" w:rsidRPr="00820701" w:rsidRDefault="007055AF">
      <w:pPr>
        <w:pStyle w:val="ndicedeilustraes"/>
        <w:tabs>
          <w:tab w:val="right" w:leader="dot" w:pos="9060"/>
        </w:tabs>
        <w:rPr>
          <w:rStyle w:val="Hiperligao"/>
          <w:rFonts w:ascii="Times New Roman" w:hAnsi="Times New Roman" w:cs="Times New Roman"/>
        </w:rPr>
      </w:pPr>
      <w:hyperlink w:anchor="_Toc51074021" w:history="1">
        <w:r w:rsidR="00820701" w:rsidRPr="00820701">
          <w:rPr>
            <w:rStyle w:val="Hiperligao"/>
            <w:rFonts w:ascii="Times New Roman" w:hAnsi="Times New Roman" w:cs="Times New Roman"/>
            <w:noProof/>
            <w:sz w:val="22"/>
            <w:szCs w:val="22"/>
          </w:rPr>
          <w:t>Tableau 30 : Plan de gestion des risques professionnels</w:t>
        </w:r>
        <w:r w:rsidR="00820701" w:rsidRPr="00820701">
          <w:rPr>
            <w:rStyle w:val="Hiperligao"/>
            <w:rFonts w:ascii="Times New Roman" w:hAnsi="Times New Roman" w:cs="Times New Roman"/>
            <w:webHidden/>
            <w:sz w:val="22"/>
            <w:szCs w:val="22"/>
          </w:rPr>
          <w:tab/>
        </w:r>
        <w:r w:rsidR="00820701" w:rsidRPr="00820701">
          <w:rPr>
            <w:rStyle w:val="Hiperligao"/>
            <w:rFonts w:ascii="Times New Roman" w:hAnsi="Times New Roman" w:cs="Times New Roman"/>
            <w:webHidden/>
            <w:sz w:val="22"/>
            <w:szCs w:val="22"/>
          </w:rPr>
          <w:fldChar w:fldCharType="begin"/>
        </w:r>
        <w:r w:rsidR="00820701" w:rsidRPr="00820701">
          <w:rPr>
            <w:rStyle w:val="Hiperligao"/>
            <w:rFonts w:ascii="Times New Roman" w:hAnsi="Times New Roman" w:cs="Times New Roman"/>
            <w:webHidden/>
            <w:sz w:val="22"/>
            <w:szCs w:val="22"/>
          </w:rPr>
          <w:instrText xml:space="preserve"> PAGEREF _Toc51074021 \h </w:instrText>
        </w:r>
        <w:r w:rsidR="00820701" w:rsidRPr="00820701">
          <w:rPr>
            <w:rStyle w:val="Hiperligao"/>
            <w:rFonts w:ascii="Times New Roman" w:hAnsi="Times New Roman" w:cs="Times New Roman"/>
            <w:webHidden/>
            <w:sz w:val="22"/>
            <w:szCs w:val="22"/>
          </w:rPr>
        </w:r>
        <w:r w:rsidR="00820701" w:rsidRPr="00820701">
          <w:rPr>
            <w:rStyle w:val="Hiperligao"/>
            <w:rFonts w:ascii="Times New Roman" w:hAnsi="Times New Roman" w:cs="Times New Roman"/>
            <w:webHidden/>
            <w:sz w:val="22"/>
            <w:szCs w:val="22"/>
          </w:rPr>
          <w:fldChar w:fldCharType="separate"/>
        </w:r>
        <w:r w:rsidR="00820701" w:rsidRPr="00820701">
          <w:rPr>
            <w:rStyle w:val="Hiperligao"/>
            <w:rFonts w:ascii="Times New Roman" w:hAnsi="Times New Roman" w:cs="Times New Roman"/>
            <w:webHidden/>
            <w:sz w:val="22"/>
            <w:szCs w:val="22"/>
          </w:rPr>
          <w:t>157</w:t>
        </w:r>
        <w:r w:rsidR="00820701" w:rsidRPr="00820701">
          <w:rPr>
            <w:rStyle w:val="Hiperligao"/>
            <w:rFonts w:ascii="Times New Roman" w:hAnsi="Times New Roman" w:cs="Times New Roman"/>
            <w:webHidden/>
            <w:sz w:val="22"/>
            <w:szCs w:val="22"/>
          </w:rPr>
          <w:fldChar w:fldCharType="end"/>
        </w:r>
      </w:hyperlink>
    </w:p>
    <w:p w:rsidR="00820701" w:rsidRPr="00820701" w:rsidRDefault="007055AF">
      <w:pPr>
        <w:pStyle w:val="ndicedeilustraes"/>
        <w:tabs>
          <w:tab w:val="right" w:leader="dot" w:pos="9060"/>
        </w:tabs>
        <w:rPr>
          <w:rStyle w:val="Hiperligao"/>
          <w:rFonts w:ascii="Times New Roman" w:hAnsi="Times New Roman" w:cs="Times New Roman"/>
        </w:rPr>
      </w:pPr>
      <w:hyperlink w:anchor="_Toc51074022" w:history="1">
        <w:r w:rsidR="00820701" w:rsidRPr="00820701">
          <w:rPr>
            <w:rStyle w:val="Hiperligao"/>
            <w:rFonts w:ascii="Times New Roman" w:hAnsi="Times New Roman" w:cs="Times New Roman"/>
            <w:noProof/>
            <w:sz w:val="22"/>
            <w:szCs w:val="22"/>
          </w:rPr>
          <w:t>Tableau 31: les moyens de bonification des impacts positifs potentiels</w:t>
        </w:r>
        <w:r w:rsidR="00820701" w:rsidRPr="00820701">
          <w:rPr>
            <w:rStyle w:val="Hiperligao"/>
            <w:rFonts w:ascii="Times New Roman" w:hAnsi="Times New Roman" w:cs="Times New Roman"/>
            <w:webHidden/>
            <w:sz w:val="22"/>
            <w:szCs w:val="22"/>
          </w:rPr>
          <w:tab/>
        </w:r>
        <w:r w:rsidR="00820701" w:rsidRPr="00820701">
          <w:rPr>
            <w:rStyle w:val="Hiperligao"/>
            <w:rFonts w:ascii="Times New Roman" w:hAnsi="Times New Roman" w:cs="Times New Roman"/>
            <w:webHidden/>
            <w:sz w:val="22"/>
            <w:szCs w:val="22"/>
          </w:rPr>
          <w:fldChar w:fldCharType="begin"/>
        </w:r>
        <w:r w:rsidR="00820701" w:rsidRPr="00820701">
          <w:rPr>
            <w:rStyle w:val="Hiperligao"/>
            <w:rFonts w:ascii="Times New Roman" w:hAnsi="Times New Roman" w:cs="Times New Roman"/>
            <w:webHidden/>
            <w:sz w:val="22"/>
            <w:szCs w:val="22"/>
          </w:rPr>
          <w:instrText xml:space="preserve"> PAGEREF _Toc51074022 \h </w:instrText>
        </w:r>
        <w:r w:rsidR="00820701" w:rsidRPr="00820701">
          <w:rPr>
            <w:rStyle w:val="Hiperligao"/>
            <w:rFonts w:ascii="Times New Roman" w:hAnsi="Times New Roman" w:cs="Times New Roman"/>
            <w:webHidden/>
            <w:sz w:val="22"/>
            <w:szCs w:val="22"/>
          </w:rPr>
        </w:r>
        <w:r w:rsidR="00820701" w:rsidRPr="00820701">
          <w:rPr>
            <w:rStyle w:val="Hiperligao"/>
            <w:rFonts w:ascii="Times New Roman" w:hAnsi="Times New Roman" w:cs="Times New Roman"/>
            <w:webHidden/>
            <w:sz w:val="22"/>
            <w:szCs w:val="22"/>
          </w:rPr>
          <w:fldChar w:fldCharType="separate"/>
        </w:r>
        <w:r w:rsidR="00820701" w:rsidRPr="00820701">
          <w:rPr>
            <w:rStyle w:val="Hiperligao"/>
            <w:rFonts w:ascii="Times New Roman" w:hAnsi="Times New Roman" w:cs="Times New Roman"/>
            <w:webHidden/>
            <w:sz w:val="22"/>
            <w:szCs w:val="22"/>
          </w:rPr>
          <w:t>168</w:t>
        </w:r>
        <w:r w:rsidR="00820701" w:rsidRPr="00820701">
          <w:rPr>
            <w:rStyle w:val="Hiperligao"/>
            <w:rFonts w:ascii="Times New Roman" w:hAnsi="Times New Roman" w:cs="Times New Roman"/>
            <w:webHidden/>
            <w:sz w:val="22"/>
            <w:szCs w:val="22"/>
          </w:rPr>
          <w:fldChar w:fldCharType="end"/>
        </w:r>
      </w:hyperlink>
    </w:p>
    <w:p w:rsidR="00820701" w:rsidRPr="00820701" w:rsidRDefault="007055AF">
      <w:pPr>
        <w:pStyle w:val="ndicedeilustraes"/>
        <w:tabs>
          <w:tab w:val="right" w:leader="dot" w:pos="9060"/>
        </w:tabs>
        <w:rPr>
          <w:rStyle w:val="Hiperligao"/>
          <w:rFonts w:ascii="Times New Roman" w:hAnsi="Times New Roman" w:cs="Times New Roman"/>
        </w:rPr>
      </w:pPr>
      <w:hyperlink w:anchor="_Toc51074023" w:history="1">
        <w:r w:rsidR="00820701" w:rsidRPr="00820701">
          <w:rPr>
            <w:rStyle w:val="Hiperligao"/>
            <w:rFonts w:ascii="Times New Roman" w:hAnsi="Times New Roman" w:cs="Times New Roman"/>
            <w:noProof/>
            <w:sz w:val="22"/>
            <w:szCs w:val="22"/>
          </w:rPr>
          <w:t>Tableau 32: Tableau plan de gestion environnementale et sociale (PGES)</w:t>
        </w:r>
        <w:r w:rsidR="00820701" w:rsidRPr="00820701">
          <w:rPr>
            <w:rStyle w:val="Hiperligao"/>
            <w:rFonts w:ascii="Times New Roman" w:hAnsi="Times New Roman" w:cs="Times New Roman"/>
            <w:webHidden/>
            <w:sz w:val="22"/>
            <w:szCs w:val="22"/>
          </w:rPr>
          <w:tab/>
        </w:r>
        <w:r w:rsidR="00820701" w:rsidRPr="00820701">
          <w:rPr>
            <w:rStyle w:val="Hiperligao"/>
            <w:rFonts w:ascii="Times New Roman" w:hAnsi="Times New Roman" w:cs="Times New Roman"/>
            <w:webHidden/>
            <w:sz w:val="22"/>
            <w:szCs w:val="22"/>
          </w:rPr>
          <w:fldChar w:fldCharType="begin"/>
        </w:r>
        <w:r w:rsidR="00820701" w:rsidRPr="00820701">
          <w:rPr>
            <w:rStyle w:val="Hiperligao"/>
            <w:rFonts w:ascii="Times New Roman" w:hAnsi="Times New Roman" w:cs="Times New Roman"/>
            <w:webHidden/>
            <w:sz w:val="22"/>
            <w:szCs w:val="22"/>
          </w:rPr>
          <w:instrText xml:space="preserve"> PAGEREF _Toc51074023 \h </w:instrText>
        </w:r>
        <w:r w:rsidR="00820701" w:rsidRPr="00820701">
          <w:rPr>
            <w:rStyle w:val="Hiperligao"/>
            <w:rFonts w:ascii="Times New Roman" w:hAnsi="Times New Roman" w:cs="Times New Roman"/>
            <w:webHidden/>
            <w:sz w:val="22"/>
            <w:szCs w:val="22"/>
          </w:rPr>
        </w:r>
        <w:r w:rsidR="00820701" w:rsidRPr="00820701">
          <w:rPr>
            <w:rStyle w:val="Hiperligao"/>
            <w:rFonts w:ascii="Times New Roman" w:hAnsi="Times New Roman" w:cs="Times New Roman"/>
            <w:webHidden/>
            <w:sz w:val="22"/>
            <w:szCs w:val="22"/>
          </w:rPr>
          <w:fldChar w:fldCharType="separate"/>
        </w:r>
        <w:r w:rsidR="00820701" w:rsidRPr="00820701">
          <w:rPr>
            <w:rStyle w:val="Hiperligao"/>
            <w:rFonts w:ascii="Times New Roman" w:hAnsi="Times New Roman" w:cs="Times New Roman"/>
            <w:webHidden/>
            <w:sz w:val="22"/>
            <w:szCs w:val="22"/>
          </w:rPr>
          <w:t>171</w:t>
        </w:r>
        <w:r w:rsidR="00820701" w:rsidRPr="00820701">
          <w:rPr>
            <w:rStyle w:val="Hiperligao"/>
            <w:rFonts w:ascii="Times New Roman" w:hAnsi="Times New Roman" w:cs="Times New Roman"/>
            <w:webHidden/>
            <w:sz w:val="22"/>
            <w:szCs w:val="22"/>
          </w:rPr>
          <w:fldChar w:fldCharType="end"/>
        </w:r>
      </w:hyperlink>
    </w:p>
    <w:p w:rsidR="00820701" w:rsidRPr="00820701" w:rsidRDefault="007055AF">
      <w:pPr>
        <w:pStyle w:val="ndicedeilustraes"/>
        <w:tabs>
          <w:tab w:val="right" w:leader="dot" w:pos="9060"/>
        </w:tabs>
        <w:rPr>
          <w:rStyle w:val="Hiperligao"/>
          <w:rFonts w:ascii="Times New Roman" w:hAnsi="Times New Roman" w:cs="Times New Roman"/>
        </w:rPr>
      </w:pPr>
      <w:hyperlink w:anchor="_Toc51074024" w:history="1">
        <w:r w:rsidR="00820701" w:rsidRPr="00820701">
          <w:rPr>
            <w:rStyle w:val="Hiperligao"/>
            <w:rFonts w:ascii="Times New Roman" w:hAnsi="Times New Roman" w:cs="Times New Roman"/>
            <w:noProof/>
            <w:sz w:val="22"/>
            <w:szCs w:val="22"/>
          </w:rPr>
          <w:t>Tableau 33: Rôles et responsabilités institutionnelles</w:t>
        </w:r>
        <w:r w:rsidR="00820701" w:rsidRPr="00820701">
          <w:rPr>
            <w:rStyle w:val="Hiperligao"/>
            <w:rFonts w:ascii="Times New Roman" w:hAnsi="Times New Roman" w:cs="Times New Roman"/>
            <w:webHidden/>
            <w:sz w:val="22"/>
            <w:szCs w:val="22"/>
          </w:rPr>
          <w:tab/>
        </w:r>
        <w:r w:rsidR="00820701" w:rsidRPr="00820701">
          <w:rPr>
            <w:rStyle w:val="Hiperligao"/>
            <w:rFonts w:ascii="Times New Roman" w:hAnsi="Times New Roman" w:cs="Times New Roman"/>
            <w:webHidden/>
            <w:sz w:val="22"/>
            <w:szCs w:val="22"/>
          </w:rPr>
          <w:fldChar w:fldCharType="begin"/>
        </w:r>
        <w:r w:rsidR="00820701" w:rsidRPr="00820701">
          <w:rPr>
            <w:rStyle w:val="Hiperligao"/>
            <w:rFonts w:ascii="Times New Roman" w:hAnsi="Times New Roman" w:cs="Times New Roman"/>
            <w:webHidden/>
            <w:sz w:val="22"/>
            <w:szCs w:val="22"/>
          </w:rPr>
          <w:instrText xml:space="preserve"> PAGEREF _Toc51074024 \h </w:instrText>
        </w:r>
        <w:r w:rsidR="00820701" w:rsidRPr="00820701">
          <w:rPr>
            <w:rStyle w:val="Hiperligao"/>
            <w:rFonts w:ascii="Times New Roman" w:hAnsi="Times New Roman" w:cs="Times New Roman"/>
            <w:webHidden/>
            <w:sz w:val="22"/>
            <w:szCs w:val="22"/>
          </w:rPr>
        </w:r>
        <w:r w:rsidR="00820701" w:rsidRPr="00820701">
          <w:rPr>
            <w:rStyle w:val="Hiperligao"/>
            <w:rFonts w:ascii="Times New Roman" w:hAnsi="Times New Roman" w:cs="Times New Roman"/>
            <w:webHidden/>
            <w:sz w:val="22"/>
            <w:szCs w:val="22"/>
          </w:rPr>
          <w:fldChar w:fldCharType="separate"/>
        </w:r>
        <w:r w:rsidR="00820701" w:rsidRPr="00820701">
          <w:rPr>
            <w:rStyle w:val="Hiperligao"/>
            <w:rFonts w:ascii="Times New Roman" w:hAnsi="Times New Roman" w:cs="Times New Roman"/>
            <w:webHidden/>
            <w:sz w:val="22"/>
            <w:szCs w:val="22"/>
          </w:rPr>
          <w:t>180</w:t>
        </w:r>
        <w:r w:rsidR="00820701" w:rsidRPr="00820701">
          <w:rPr>
            <w:rStyle w:val="Hiperligao"/>
            <w:rFonts w:ascii="Times New Roman" w:hAnsi="Times New Roman" w:cs="Times New Roman"/>
            <w:webHidden/>
            <w:sz w:val="22"/>
            <w:szCs w:val="22"/>
          </w:rPr>
          <w:fldChar w:fldCharType="end"/>
        </w:r>
      </w:hyperlink>
    </w:p>
    <w:p w:rsidR="00820701" w:rsidRPr="00820701" w:rsidRDefault="007055AF">
      <w:pPr>
        <w:pStyle w:val="ndicedeilustraes"/>
        <w:tabs>
          <w:tab w:val="right" w:leader="dot" w:pos="9060"/>
        </w:tabs>
        <w:rPr>
          <w:rStyle w:val="Hiperligao"/>
          <w:rFonts w:ascii="Times New Roman" w:hAnsi="Times New Roman" w:cs="Times New Roman"/>
        </w:rPr>
      </w:pPr>
      <w:hyperlink w:anchor="_Toc51074025" w:history="1">
        <w:r w:rsidR="00820701" w:rsidRPr="00820701">
          <w:rPr>
            <w:rStyle w:val="Hiperligao"/>
            <w:rFonts w:ascii="Times New Roman" w:hAnsi="Times New Roman" w:cs="Times New Roman"/>
            <w:noProof/>
            <w:sz w:val="22"/>
            <w:szCs w:val="22"/>
          </w:rPr>
          <w:t>Tableau 34: Indicateurs de suivi de la mise en œuvre des recommandations</w:t>
        </w:r>
        <w:r w:rsidR="00820701" w:rsidRPr="00820701">
          <w:rPr>
            <w:rStyle w:val="Hiperligao"/>
            <w:rFonts w:ascii="Times New Roman" w:hAnsi="Times New Roman" w:cs="Times New Roman"/>
            <w:webHidden/>
            <w:sz w:val="22"/>
            <w:szCs w:val="22"/>
          </w:rPr>
          <w:tab/>
        </w:r>
        <w:r w:rsidR="00820701" w:rsidRPr="00820701">
          <w:rPr>
            <w:rStyle w:val="Hiperligao"/>
            <w:rFonts w:ascii="Times New Roman" w:hAnsi="Times New Roman" w:cs="Times New Roman"/>
            <w:webHidden/>
            <w:sz w:val="22"/>
            <w:szCs w:val="22"/>
          </w:rPr>
          <w:fldChar w:fldCharType="begin"/>
        </w:r>
        <w:r w:rsidR="00820701" w:rsidRPr="00820701">
          <w:rPr>
            <w:rStyle w:val="Hiperligao"/>
            <w:rFonts w:ascii="Times New Roman" w:hAnsi="Times New Roman" w:cs="Times New Roman"/>
            <w:webHidden/>
            <w:sz w:val="22"/>
            <w:szCs w:val="22"/>
          </w:rPr>
          <w:instrText xml:space="preserve"> PAGEREF _Toc51074025 \h </w:instrText>
        </w:r>
        <w:r w:rsidR="00820701" w:rsidRPr="00820701">
          <w:rPr>
            <w:rStyle w:val="Hiperligao"/>
            <w:rFonts w:ascii="Times New Roman" w:hAnsi="Times New Roman" w:cs="Times New Roman"/>
            <w:webHidden/>
            <w:sz w:val="22"/>
            <w:szCs w:val="22"/>
          </w:rPr>
        </w:r>
        <w:r w:rsidR="00820701" w:rsidRPr="00820701">
          <w:rPr>
            <w:rStyle w:val="Hiperligao"/>
            <w:rFonts w:ascii="Times New Roman" w:hAnsi="Times New Roman" w:cs="Times New Roman"/>
            <w:webHidden/>
            <w:sz w:val="22"/>
            <w:szCs w:val="22"/>
          </w:rPr>
          <w:fldChar w:fldCharType="separate"/>
        </w:r>
        <w:r w:rsidR="00820701" w:rsidRPr="00820701">
          <w:rPr>
            <w:rStyle w:val="Hiperligao"/>
            <w:rFonts w:ascii="Times New Roman" w:hAnsi="Times New Roman" w:cs="Times New Roman"/>
            <w:webHidden/>
            <w:sz w:val="22"/>
            <w:szCs w:val="22"/>
          </w:rPr>
          <w:t>184</w:t>
        </w:r>
        <w:r w:rsidR="00820701" w:rsidRPr="00820701">
          <w:rPr>
            <w:rStyle w:val="Hiperligao"/>
            <w:rFonts w:ascii="Times New Roman" w:hAnsi="Times New Roman" w:cs="Times New Roman"/>
            <w:webHidden/>
            <w:sz w:val="22"/>
            <w:szCs w:val="22"/>
          </w:rPr>
          <w:fldChar w:fldCharType="end"/>
        </w:r>
      </w:hyperlink>
    </w:p>
    <w:p w:rsidR="00820701" w:rsidRPr="00820701" w:rsidRDefault="007055AF">
      <w:pPr>
        <w:pStyle w:val="ndicedeilustraes"/>
        <w:tabs>
          <w:tab w:val="right" w:leader="dot" w:pos="9060"/>
        </w:tabs>
        <w:rPr>
          <w:rStyle w:val="Hiperligao"/>
          <w:rFonts w:ascii="Times New Roman" w:hAnsi="Times New Roman" w:cs="Times New Roman"/>
        </w:rPr>
      </w:pPr>
      <w:hyperlink w:anchor="_Toc51074026" w:history="1">
        <w:r w:rsidR="00820701" w:rsidRPr="00820701">
          <w:rPr>
            <w:rStyle w:val="Hiperligao"/>
            <w:rFonts w:ascii="Times New Roman" w:hAnsi="Times New Roman" w:cs="Times New Roman"/>
            <w:noProof/>
            <w:sz w:val="22"/>
            <w:szCs w:val="22"/>
          </w:rPr>
          <w:t>Tableau 35 : Fiche de surveillance et de suivi de la mise en œuvre du PGES</w:t>
        </w:r>
        <w:r w:rsidR="00820701" w:rsidRPr="00820701">
          <w:rPr>
            <w:rStyle w:val="Hiperligao"/>
            <w:rFonts w:ascii="Times New Roman" w:hAnsi="Times New Roman" w:cs="Times New Roman"/>
            <w:webHidden/>
            <w:sz w:val="22"/>
            <w:szCs w:val="22"/>
          </w:rPr>
          <w:tab/>
        </w:r>
        <w:r w:rsidR="00820701" w:rsidRPr="00820701">
          <w:rPr>
            <w:rStyle w:val="Hiperligao"/>
            <w:rFonts w:ascii="Times New Roman" w:hAnsi="Times New Roman" w:cs="Times New Roman"/>
            <w:webHidden/>
            <w:sz w:val="22"/>
            <w:szCs w:val="22"/>
          </w:rPr>
          <w:fldChar w:fldCharType="begin"/>
        </w:r>
        <w:r w:rsidR="00820701" w:rsidRPr="00820701">
          <w:rPr>
            <w:rStyle w:val="Hiperligao"/>
            <w:rFonts w:ascii="Times New Roman" w:hAnsi="Times New Roman" w:cs="Times New Roman"/>
            <w:webHidden/>
            <w:sz w:val="22"/>
            <w:szCs w:val="22"/>
          </w:rPr>
          <w:instrText xml:space="preserve"> PAGEREF _Toc51074026 \h </w:instrText>
        </w:r>
        <w:r w:rsidR="00820701" w:rsidRPr="00820701">
          <w:rPr>
            <w:rStyle w:val="Hiperligao"/>
            <w:rFonts w:ascii="Times New Roman" w:hAnsi="Times New Roman" w:cs="Times New Roman"/>
            <w:webHidden/>
            <w:sz w:val="22"/>
            <w:szCs w:val="22"/>
          </w:rPr>
        </w:r>
        <w:r w:rsidR="00820701" w:rsidRPr="00820701">
          <w:rPr>
            <w:rStyle w:val="Hiperligao"/>
            <w:rFonts w:ascii="Times New Roman" w:hAnsi="Times New Roman" w:cs="Times New Roman"/>
            <w:webHidden/>
            <w:sz w:val="22"/>
            <w:szCs w:val="22"/>
          </w:rPr>
          <w:fldChar w:fldCharType="separate"/>
        </w:r>
        <w:r w:rsidR="00820701" w:rsidRPr="00820701">
          <w:rPr>
            <w:rStyle w:val="Hiperligao"/>
            <w:rFonts w:ascii="Times New Roman" w:hAnsi="Times New Roman" w:cs="Times New Roman"/>
            <w:webHidden/>
            <w:sz w:val="22"/>
            <w:szCs w:val="22"/>
          </w:rPr>
          <w:t>189</w:t>
        </w:r>
        <w:r w:rsidR="00820701" w:rsidRPr="00820701">
          <w:rPr>
            <w:rStyle w:val="Hiperligao"/>
            <w:rFonts w:ascii="Times New Roman" w:hAnsi="Times New Roman" w:cs="Times New Roman"/>
            <w:webHidden/>
            <w:sz w:val="22"/>
            <w:szCs w:val="22"/>
          </w:rPr>
          <w:fldChar w:fldCharType="end"/>
        </w:r>
      </w:hyperlink>
    </w:p>
    <w:p w:rsidR="00820701" w:rsidRPr="00820701" w:rsidRDefault="007055AF">
      <w:pPr>
        <w:pStyle w:val="ndicedeilustraes"/>
        <w:tabs>
          <w:tab w:val="right" w:leader="dot" w:pos="9060"/>
        </w:tabs>
        <w:rPr>
          <w:rStyle w:val="Hiperligao"/>
          <w:rFonts w:ascii="Times New Roman" w:hAnsi="Times New Roman" w:cs="Times New Roman"/>
        </w:rPr>
      </w:pPr>
      <w:hyperlink w:anchor="_Toc51074027" w:history="1">
        <w:r w:rsidR="00820701" w:rsidRPr="00820701">
          <w:rPr>
            <w:rStyle w:val="Hiperligao"/>
            <w:rFonts w:ascii="Times New Roman" w:hAnsi="Times New Roman" w:cs="Times New Roman"/>
            <w:noProof/>
            <w:sz w:val="22"/>
            <w:szCs w:val="22"/>
          </w:rPr>
          <w:t>Tableau 36: Action d’information et de sensibilisation et d’appui</w:t>
        </w:r>
        <w:r w:rsidR="00820701" w:rsidRPr="00820701">
          <w:rPr>
            <w:rStyle w:val="Hiperligao"/>
            <w:rFonts w:ascii="Times New Roman" w:hAnsi="Times New Roman" w:cs="Times New Roman"/>
            <w:webHidden/>
            <w:sz w:val="22"/>
            <w:szCs w:val="22"/>
          </w:rPr>
          <w:tab/>
        </w:r>
        <w:r w:rsidR="00820701" w:rsidRPr="00820701">
          <w:rPr>
            <w:rStyle w:val="Hiperligao"/>
            <w:rFonts w:ascii="Times New Roman" w:hAnsi="Times New Roman" w:cs="Times New Roman"/>
            <w:webHidden/>
            <w:sz w:val="22"/>
            <w:szCs w:val="22"/>
          </w:rPr>
          <w:fldChar w:fldCharType="begin"/>
        </w:r>
        <w:r w:rsidR="00820701" w:rsidRPr="00820701">
          <w:rPr>
            <w:rStyle w:val="Hiperligao"/>
            <w:rFonts w:ascii="Times New Roman" w:hAnsi="Times New Roman" w:cs="Times New Roman"/>
            <w:webHidden/>
            <w:sz w:val="22"/>
            <w:szCs w:val="22"/>
          </w:rPr>
          <w:instrText xml:space="preserve"> PAGEREF _Toc51074027 \h </w:instrText>
        </w:r>
        <w:r w:rsidR="00820701" w:rsidRPr="00820701">
          <w:rPr>
            <w:rStyle w:val="Hiperligao"/>
            <w:rFonts w:ascii="Times New Roman" w:hAnsi="Times New Roman" w:cs="Times New Roman"/>
            <w:webHidden/>
            <w:sz w:val="22"/>
            <w:szCs w:val="22"/>
          </w:rPr>
        </w:r>
        <w:r w:rsidR="00820701" w:rsidRPr="00820701">
          <w:rPr>
            <w:rStyle w:val="Hiperligao"/>
            <w:rFonts w:ascii="Times New Roman" w:hAnsi="Times New Roman" w:cs="Times New Roman"/>
            <w:webHidden/>
            <w:sz w:val="22"/>
            <w:szCs w:val="22"/>
          </w:rPr>
          <w:fldChar w:fldCharType="separate"/>
        </w:r>
        <w:r w:rsidR="00820701" w:rsidRPr="00820701">
          <w:rPr>
            <w:rStyle w:val="Hiperligao"/>
            <w:rFonts w:ascii="Times New Roman" w:hAnsi="Times New Roman" w:cs="Times New Roman"/>
            <w:webHidden/>
            <w:sz w:val="22"/>
            <w:szCs w:val="22"/>
          </w:rPr>
          <w:t>190</w:t>
        </w:r>
        <w:r w:rsidR="00820701" w:rsidRPr="00820701">
          <w:rPr>
            <w:rStyle w:val="Hiperligao"/>
            <w:rFonts w:ascii="Times New Roman" w:hAnsi="Times New Roman" w:cs="Times New Roman"/>
            <w:webHidden/>
            <w:sz w:val="22"/>
            <w:szCs w:val="22"/>
          </w:rPr>
          <w:fldChar w:fldCharType="end"/>
        </w:r>
      </w:hyperlink>
    </w:p>
    <w:p w:rsidR="00820701" w:rsidRPr="00820701" w:rsidRDefault="007055AF">
      <w:pPr>
        <w:pStyle w:val="ndicedeilustraes"/>
        <w:tabs>
          <w:tab w:val="right" w:leader="dot" w:pos="9060"/>
        </w:tabs>
        <w:rPr>
          <w:rStyle w:val="Hiperligao"/>
          <w:rFonts w:ascii="Times New Roman" w:hAnsi="Times New Roman" w:cs="Times New Roman"/>
        </w:rPr>
      </w:pPr>
      <w:hyperlink w:anchor="_Toc51074028" w:history="1">
        <w:r w:rsidR="00820701" w:rsidRPr="00820701">
          <w:rPr>
            <w:rStyle w:val="Hiperligao"/>
            <w:rFonts w:ascii="Times New Roman" w:hAnsi="Times New Roman" w:cs="Times New Roman"/>
            <w:noProof/>
            <w:sz w:val="22"/>
            <w:szCs w:val="22"/>
          </w:rPr>
          <w:t>Tableau 37  : Synthèse des résultats de la consultation du public</w:t>
        </w:r>
        <w:r w:rsidR="00820701" w:rsidRPr="00820701">
          <w:rPr>
            <w:rStyle w:val="Hiperligao"/>
            <w:rFonts w:ascii="Times New Roman" w:hAnsi="Times New Roman" w:cs="Times New Roman"/>
            <w:webHidden/>
            <w:sz w:val="22"/>
            <w:szCs w:val="22"/>
          </w:rPr>
          <w:tab/>
        </w:r>
        <w:r w:rsidR="00820701" w:rsidRPr="00820701">
          <w:rPr>
            <w:rStyle w:val="Hiperligao"/>
            <w:rFonts w:ascii="Times New Roman" w:hAnsi="Times New Roman" w:cs="Times New Roman"/>
            <w:webHidden/>
            <w:sz w:val="22"/>
            <w:szCs w:val="22"/>
          </w:rPr>
          <w:fldChar w:fldCharType="begin"/>
        </w:r>
        <w:r w:rsidR="00820701" w:rsidRPr="00820701">
          <w:rPr>
            <w:rStyle w:val="Hiperligao"/>
            <w:rFonts w:ascii="Times New Roman" w:hAnsi="Times New Roman" w:cs="Times New Roman"/>
            <w:webHidden/>
            <w:sz w:val="22"/>
            <w:szCs w:val="22"/>
          </w:rPr>
          <w:instrText xml:space="preserve"> PAGEREF _Toc51074028 \h </w:instrText>
        </w:r>
        <w:r w:rsidR="00820701" w:rsidRPr="00820701">
          <w:rPr>
            <w:rStyle w:val="Hiperligao"/>
            <w:rFonts w:ascii="Times New Roman" w:hAnsi="Times New Roman" w:cs="Times New Roman"/>
            <w:webHidden/>
            <w:sz w:val="22"/>
            <w:szCs w:val="22"/>
          </w:rPr>
        </w:r>
        <w:r w:rsidR="00820701" w:rsidRPr="00820701">
          <w:rPr>
            <w:rStyle w:val="Hiperligao"/>
            <w:rFonts w:ascii="Times New Roman" w:hAnsi="Times New Roman" w:cs="Times New Roman"/>
            <w:webHidden/>
            <w:sz w:val="22"/>
            <w:szCs w:val="22"/>
          </w:rPr>
          <w:fldChar w:fldCharType="separate"/>
        </w:r>
        <w:r w:rsidR="00820701" w:rsidRPr="00820701">
          <w:rPr>
            <w:rStyle w:val="Hiperligao"/>
            <w:rFonts w:ascii="Times New Roman" w:hAnsi="Times New Roman" w:cs="Times New Roman"/>
            <w:webHidden/>
            <w:sz w:val="22"/>
            <w:szCs w:val="22"/>
          </w:rPr>
          <w:t>194</w:t>
        </w:r>
        <w:r w:rsidR="00820701" w:rsidRPr="00820701">
          <w:rPr>
            <w:rStyle w:val="Hiperligao"/>
            <w:rFonts w:ascii="Times New Roman" w:hAnsi="Times New Roman" w:cs="Times New Roman"/>
            <w:webHidden/>
            <w:sz w:val="22"/>
            <w:szCs w:val="22"/>
          </w:rPr>
          <w:fldChar w:fldCharType="end"/>
        </w:r>
      </w:hyperlink>
    </w:p>
    <w:p w:rsidR="00820701" w:rsidRPr="00820701" w:rsidRDefault="007055AF">
      <w:pPr>
        <w:pStyle w:val="ndicedeilustraes"/>
        <w:tabs>
          <w:tab w:val="right" w:leader="dot" w:pos="9060"/>
        </w:tabs>
        <w:rPr>
          <w:rStyle w:val="Hiperligao"/>
          <w:rFonts w:ascii="Times New Roman" w:hAnsi="Times New Roman" w:cs="Times New Roman"/>
        </w:rPr>
      </w:pPr>
      <w:hyperlink w:anchor="_Toc51074029" w:history="1">
        <w:r w:rsidR="00820701" w:rsidRPr="00820701">
          <w:rPr>
            <w:rStyle w:val="Hiperligao"/>
            <w:rFonts w:ascii="Times New Roman" w:hAnsi="Times New Roman" w:cs="Times New Roman"/>
            <w:noProof/>
            <w:sz w:val="22"/>
            <w:szCs w:val="22"/>
          </w:rPr>
          <w:t>Tableau 38 : Plan indicatif de gestion des déchets de chantier</w:t>
        </w:r>
        <w:r w:rsidR="00820701" w:rsidRPr="00820701">
          <w:rPr>
            <w:rStyle w:val="Hiperligao"/>
            <w:rFonts w:ascii="Times New Roman" w:hAnsi="Times New Roman" w:cs="Times New Roman"/>
            <w:webHidden/>
            <w:sz w:val="22"/>
            <w:szCs w:val="22"/>
          </w:rPr>
          <w:tab/>
        </w:r>
        <w:r w:rsidR="00820701" w:rsidRPr="00820701">
          <w:rPr>
            <w:rStyle w:val="Hiperligao"/>
            <w:rFonts w:ascii="Times New Roman" w:hAnsi="Times New Roman" w:cs="Times New Roman"/>
            <w:webHidden/>
            <w:sz w:val="22"/>
            <w:szCs w:val="22"/>
          </w:rPr>
          <w:fldChar w:fldCharType="begin"/>
        </w:r>
        <w:r w:rsidR="00820701" w:rsidRPr="00820701">
          <w:rPr>
            <w:rStyle w:val="Hiperligao"/>
            <w:rFonts w:ascii="Times New Roman" w:hAnsi="Times New Roman" w:cs="Times New Roman"/>
            <w:webHidden/>
            <w:sz w:val="22"/>
            <w:szCs w:val="22"/>
          </w:rPr>
          <w:instrText xml:space="preserve"> PAGEREF _Toc51074029 \h </w:instrText>
        </w:r>
        <w:r w:rsidR="00820701" w:rsidRPr="00820701">
          <w:rPr>
            <w:rStyle w:val="Hiperligao"/>
            <w:rFonts w:ascii="Times New Roman" w:hAnsi="Times New Roman" w:cs="Times New Roman"/>
            <w:webHidden/>
            <w:sz w:val="22"/>
            <w:szCs w:val="22"/>
          </w:rPr>
        </w:r>
        <w:r w:rsidR="00820701" w:rsidRPr="00820701">
          <w:rPr>
            <w:rStyle w:val="Hiperligao"/>
            <w:rFonts w:ascii="Times New Roman" w:hAnsi="Times New Roman" w:cs="Times New Roman"/>
            <w:webHidden/>
            <w:sz w:val="22"/>
            <w:szCs w:val="22"/>
          </w:rPr>
          <w:fldChar w:fldCharType="separate"/>
        </w:r>
        <w:r w:rsidR="00820701" w:rsidRPr="00820701">
          <w:rPr>
            <w:rStyle w:val="Hiperligao"/>
            <w:rFonts w:ascii="Times New Roman" w:hAnsi="Times New Roman" w:cs="Times New Roman"/>
            <w:webHidden/>
            <w:sz w:val="22"/>
            <w:szCs w:val="22"/>
          </w:rPr>
          <w:t>209</w:t>
        </w:r>
        <w:r w:rsidR="00820701" w:rsidRPr="00820701">
          <w:rPr>
            <w:rStyle w:val="Hiperligao"/>
            <w:rFonts w:ascii="Times New Roman" w:hAnsi="Times New Roman" w:cs="Times New Roman"/>
            <w:webHidden/>
            <w:sz w:val="22"/>
            <w:szCs w:val="22"/>
          </w:rPr>
          <w:fldChar w:fldCharType="end"/>
        </w:r>
      </w:hyperlink>
    </w:p>
    <w:p w:rsidR="00820701" w:rsidRPr="00820701" w:rsidRDefault="007055AF">
      <w:pPr>
        <w:pStyle w:val="ndicedeilustraes"/>
        <w:tabs>
          <w:tab w:val="right" w:leader="dot" w:pos="9060"/>
        </w:tabs>
        <w:rPr>
          <w:rStyle w:val="Hiperligao"/>
          <w:rFonts w:ascii="Times New Roman" w:hAnsi="Times New Roman" w:cs="Times New Roman"/>
        </w:rPr>
      </w:pPr>
      <w:hyperlink w:anchor="_Toc51074030" w:history="1">
        <w:r w:rsidR="00820701" w:rsidRPr="00820701">
          <w:rPr>
            <w:rStyle w:val="Hiperligao"/>
            <w:rFonts w:ascii="Times New Roman" w:hAnsi="Times New Roman" w:cs="Times New Roman"/>
            <w:noProof/>
            <w:sz w:val="22"/>
            <w:szCs w:val="22"/>
          </w:rPr>
          <w:t>Tableau 39 : Composition du MGP</w:t>
        </w:r>
        <w:r w:rsidR="00820701" w:rsidRPr="00820701">
          <w:rPr>
            <w:rStyle w:val="Hiperligao"/>
            <w:rFonts w:ascii="Times New Roman" w:hAnsi="Times New Roman" w:cs="Times New Roman"/>
            <w:webHidden/>
            <w:sz w:val="22"/>
            <w:szCs w:val="22"/>
          </w:rPr>
          <w:tab/>
        </w:r>
        <w:r w:rsidR="00820701" w:rsidRPr="00820701">
          <w:rPr>
            <w:rStyle w:val="Hiperligao"/>
            <w:rFonts w:ascii="Times New Roman" w:hAnsi="Times New Roman" w:cs="Times New Roman"/>
            <w:webHidden/>
            <w:sz w:val="22"/>
            <w:szCs w:val="22"/>
          </w:rPr>
          <w:fldChar w:fldCharType="begin"/>
        </w:r>
        <w:r w:rsidR="00820701" w:rsidRPr="00820701">
          <w:rPr>
            <w:rStyle w:val="Hiperligao"/>
            <w:rFonts w:ascii="Times New Roman" w:hAnsi="Times New Roman" w:cs="Times New Roman"/>
            <w:webHidden/>
            <w:sz w:val="22"/>
            <w:szCs w:val="22"/>
          </w:rPr>
          <w:instrText xml:space="preserve"> PAGEREF _Toc51074030 \h </w:instrText>
        </w:r>
        <w:r w:rsidR="00820701" w:rsidRPr="00820701">
          <w:rPr>
            <w:rStyle w:val="Hiperligao"/>
            <w:rFonts w:ascii="Times New Roman" w:hAnsi="Times New Roman" w:cs="Times New Roman"/>
            <w:webHidden/>
            <w:sz w:val="22"/>
            <w:szCs w:val="22"/>
          </w:rPr>
        </w:r>
        <w:r w:rsidR="00820701" w:rsidRPr="00820701">
          <w:rPr>
            <w:rStyle w:val="Hiperligao"/>
            <w:rFonts w:ascii="Times New Roman" w:hAnsi="Times New Roman" w:cs="Times New Roman"/>
            <w:webHidden/>
            <w:sz w:val="22"/>
            <w:szCs w:val="22"/>
          </w:rPr>
          <w:fldChar w:fldCharType="separate"/>
        </w:r>
        <w:r w:rsidR="00820701" w:rsidRPr="00820701">
          <w:rPr>
            <w:rStyle w:val="Hiperligao"/>
            <w:rFonts w:ascii="Times New Roman" w:hAnsi="Times New Roman" w:cs="Times New Roman"/>
            <w:webHidden/>
            <w:sz w:val="22"/>
            <w:szCs w:val="22"/>
          </w:rPr>
          <w:t>214</w:t>
        </w:r>
        <w:r w:rsidR="00820701" w:rsidRPr="00820701">
          <w:rPr>
            <w:rStyle w:val="Hiperligao"/>
            <w:rFonts w:ascii="Times New Roman" w:hAnsi="Times New Roman" w:cs="Times New Roman"/>
            <w:webHidden/>
            <w:sz w:val="22"/>
            <w:szCs w:val="22"/>
          </w:rPr>
          <w:fldChar w:fldCharType="end"/>
        </w:r>
      </w:hyperlink>
    </w:p>
    <w:p w:rsidR="0093770F" w:rsidRDefault="003E1B4A" w:rsidP="00820701">
      <w:pPr>
        <w:pStyle w:val="ndicedeilustraes"/>
        <w:tabs>
          <w:tab w:val="right" w:leader="dot" w:pos="9062"/>
        </w:tabs>
        <w:rPr>
          <w:rFonts w:ascii="Times New Roman" w:eastAsia="Calibri" w:hAnsi="Times New Roman" w:cs="Times New Roman"/>
          <w:b/>
          <w:sz w:val="24"/>
          <w:szCs w:val="24"/>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pPr>
      <w:r w:rsidRPr="00820701">
        <w:rPr>
          <w:rStyle w:val="Hiperligao"/>
          <w:noProof/>
          <w:sz w:val="22"/>
          <w:szCs w:val="22"/>
        </w:rPr>
        <w:fldChar w:fldCharType="end"/>
      </w:r>
    </w:p>
    <w:p w:rsidR="00436E89" w:rsidRDefault="00436E89" w:rsidP="0093770F">
      <w:pPr>
        <w:spacing w:after="200" w:line="276" w:lineRule="auto"/>
        <w:rPr>
          <w:rFonts w:ascii="Times New Roman" w:eastAsia="Calibri" w:hAnsi="Times New Roman" w:cs="Times New Roman"/>
          <w:b/>
          <w:sz w:val="24"/>
          <w:szCs w:val="24"/>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pPr>
    </w:p>
    <w:p w:rsidR="00362638" w:rsidRDefault="00362638" w:rsidP="0093770F">
      <w:pPr>
        <w:spacing w:after="200" w:line="276" w:lineRule="auto"/>
        <w:rPr>
          <w:rFonts w:ascii="Times New Roman" w:eastAsia="Calibri" w:hAnsi="Times New Roman" w:cs="Times New Roman"/>
          <w:b/>
          <w:sz w:val="24"/>
          <w:szCs w:val="24"/>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pPr>
    </w:p>
    <w:p w:rsidR="00436E89" w:rsidRPr="006C0C34" w:rsidRDefault="00436E89" w:rsidP="0093770F">
      <w:pPr>
        <w:spacing w:after="200" w:line="276" w:lineRule="auto"/>
        <w:rPr>
          <w:rFonts w:ascii="Times New Roman" w:eastAsia="Calibri" w:hAnsi="Times New Roman" w:cs="Times New Roman"/>
          <w:b/>
          <w:sz w:val="24"/>
          <w:szCs w:val="24"/>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pPr>
    </w:p>
    <w:p w:rsidR="0093770F" w:rsidRPr="00CD5496" w:rsidRDefault="0093770F" w:rsidP="00CD5496">
      <w:pPr>
        <w:keepNext/>
        <w:keepLines/>
        <w:pBdr>
          <w:top w:val="outset" w:sz="6" w:space="1" w:color="auto"/>
          <w:left w:val="outset" w:sz="6" w:space="4" w:color="auto"/>
          <w:bottom w:val="outset" w:sz="6" w:space="1" w:color="auto"/>
          <w:right w:val="outset" w:sz="6" w:space="4" w:color="auto"/>
        </w:pBdr>
        <w:shd w:val="clear" w:color="auto" w:fill="F2F2F2" w:themeFill="background1" w:themeFillShade="F2"/>
        <w:spacing w:after="0" w:line="240" w:lineRule="auto"/>
        <w:ind w:left="-1417" w:right="-566"/>
        <w:jc w:val="center"/>
        <w:outlineLvl w:val="0"/>
        <w:rPr>
          <w:rFonts w:ascii="Times New Roman" w:eastAsia="Calibri" w:hAnsi="Times New Roman" w:cs="Times New Roman"/>
          <w:b/>
          <w:sz w:val="32"/>
          <w:szCs w:val="32"/>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id="6" w:name="_Toc477774425"/>
      <w:bookmarkStart w:id="7" w:name="_Toc493752547"/>
      <w:bookmarkStart w:id="8" w:name="_Toc527881980"/>
      <w:bookmarkStart w:id="9" w:name="_Toc51072491"/>
      <w:r w:rsidRPr="00CD5496">
        <w:rPr>
          <w:rFonts w:ascii="Times New Roman" w:eastAsia="Calibri" w:hAnsi="Times New Roman" w:cs="Times New Roman"/>
          <w:b/>
          <w:sz w:val="32"/>
          <w:szCs w:val="32"/>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LISTE DES FIGURES</w:t>
      </w:r>
      <w:bookmarkEnd w:id="6"/>
      <w:bookmarkEnd w:id="7"/>
      <w:bookmarkEnd w:id="8"/>
      <w:bookmarkEnd w:id="9"/>
    </w:p>
    <w:p w:rsidR="0093770F" w:rsidRPr="006C0C34" w:rsidRDefault="0093770F" w:rsidP="0093770F">
      <w:pPr>
        <w:pStyle w:val="ndicedeilustraes"/>
        <w:tabs>
          <w:tab w:val="right" w:leader="dot" w:pos="9062"/>
        </w:tabs>
        <w:rPr>
          <w:rFonts w:ascii="Times New Roman" w:eastAsia="Calibri" w:hAnsi="Times New Roman" w:cs="Times New Roman"/>
          <w:sz w:val="24"/>
          <w:szCs w:val="24"/>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pPr>
    </w:p>
    <w:p w:rsidR="00436E89" w:rsidRPr="00436E89" w:rsidRDefault="00491B40">
      <w:pPr>
        <w:pStyle w:val="ndicedeilustraes"/>
        <w:tabs>
          <w:tab w:val="right" w:leader="dot" w:pos="9062"/>
        </w:tabs>
        <w:rPr>
          <w:rFonts w:ascii="Times New Roman" w:eastAsiaTheme="minorEastAsia" w:hAnsi="Times New Roman" w:cs="Times New Roman"/>
          <w:smallCaps w:val="0"/>
          <w:noProof/>
          <w:sz w:val="22"/>
          <w:szCs w:val="22"/>
          <w:lang w:eastAsia="fr-FR"/>
        </w:rPr>
      </w:pPr>
      <w:r w:rsidRPr="00436E89">
        <w:rPr>
          <w:rFonts w:ascii="Times New Roman" w:eastAsia="Calibri" w:hAnsi="Times New Roman" w:cs="Times New Roman"/>
          <w:smallCaps w:val="0"/>
          <w:sz w:val="22"/>
          <w:szCs w:val="22"/>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fldChar w:fldCharType="begin"/>
      </w:r>
      <w:r w:rsidRPr="00436E89">
        <w:rPr>
          <w:rFonts w:ascii="Times New Roman" w:eastAsia="Calibri" w:hAnsi="Times New Roman" w:cs="Times New Roman"/>
          <w:smallCaps w:val="0"/>
          <w:sz w:val="22"/>
          <w:szCs w:val="22"/>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instrText xml:space="preserve"> TOC \h \z \c "Figure" </w:instrText>
      </w:r>
      <w:r w:rsidRPr="00436E89">
        <w:rPr>
          <w:rFonts w:ascii="Times New Roman" w:eastAsia="Calibri" w:hAnsi="Times New Roman" w:cs="Times New Roman"/>
          <w:smallCaps w:val="0"/>
          <w:sz w:val="22"/>
          <w:szCs w:val="22"/>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fldChar w:fldCharType="separate"/>
      </w:r>
      <w:hyperlink w:anchor="_Toc32512023" w:history="1">
        <w:r w:rsidR="00436E89" w:rsidRPr="00436E89">
          <w:rPr>
            <w:rStyle w:val="Hiperligao"/>
            <w:rFonts w:ascii="Times New Roman" w:hAnsi="Times New Roman" w:cs="Times New Roman"/>
            <w:noProof/>
            <w:sz w:val="22"/>
            <w:szCs w:val="22"/>
          </w:rPr>
          <w:t>Figure 1: L’approche proposée pour mener cette étude EIES</w:t>
        </w:r>
        <w:r w:rsidR="00436E89" w:rsidRPr="00436E89">
          <w:rPr>
            <w:rFonts w:ascii="Times New Roman" w:hAnsi="Times New Roman" w:cs="Times New Roman"/>
            <w:noProof/>
            <w:webHidden/>
            <w:sz w:val="22"/>
            <w:szCs w:val="22"/>
          </w:rPr>
          <w:tab/>
        </w:r>
        <w:r w:rsidR="00436E89" w:rsidRPr="00436E89">
          <w:rPr>
            <w:rFonts w:ascii="Times New Roman" w:hAnsi="Times New Roman" w:cs="Times New Roman"/>
            <w:noProof/>
            <w:webHidden/>
            <w:sz w:val="22"/>
            <w:szCs w:val="22"/>
          </w:rPr>
          <w:fldChar w:fldCharType="begin"/>
        </w:r>
        <w:r w:rsidR="00436E89" w:rsidRPr="00436E89">
          <w:rPr>
            <w:rFonts w:ascii="Times New Roman" w:hAnsi="Times New Roman" w:cs="Times New Roman"/>
            <w:noProof/>
            <w:webHidden/>
            <w:sz w:val="22"/>
            <w:szCs w:val="22"/>
          </w:rPr>
          <w:instrText xml:space="preserve"> PAGEREF _Toc32512023 \h </w:instrText>
        </w:r>
        <w:r w:rsidR="00436E89" w:rsidRPr="00436E89">
          <w:rPr>
            <w:rFonts w:ascii="Times New Roman" w:hAnsi="Times New Roman" w:cs="Times New Roman"/>
            <w:noProof/>
            <w:webHidden/>
            <w:sz w:val="22"/>
            <w:szCs w:val="22"/>
          </w:rPr>
        </w:r>
        <w:r w:rsidR="00436E89" w:rsidRPr="00436E89">
          <w:rPr>
            <w:rFonts w:ascii="Times New Roman" w:hAnsi="Times New Roman" w:cs="Times New Roman"/>
            <w:noProof/>
            <w:webHidden/>
            <w:sz w:val="22"/>
            <w:szCs w:val="22"/>
          </w:rPr>
          <w:fldChar w:fldCharType="separate"/>
        </w:r>
        <w:r w:rsidR="00820701">
          <w:rPr>
            <w:rFonts w:ascii="Times New Roman" w:hAnsi="Times New Roman" w:cs="Times New Roman"/>
            <w:noProof/>
            <w:webHidden/>
            <w:sz w:val="22"/>
            <w:szCs w:val="22"/>
          </w:rPr>
          <w:t>52</w:t>
        </w:r>
        <w:r w:rsidR="00436E89" w:rsidRPr="00436E89">
          <w:rPr>
            <w:rFonts w:ascii="Times New Roman" w:hAnsi="Times New Roman" w:cs="Times New Roman"/>
            <w:noProof/>
            <w:webHidden/>
            <w:sz w:val="22"/>
            <w:szCs w:val="22"/>
          </w:rPr>
          <w:fldChar w:fldCharType="end"/>
        </w:r>
      </w:hyperlink>
    </w:p>
    <w:p w:rsidR="00436E89" w:rsidRPr="00436E89" w:rsidRDefault="007055AF">
      <w:pPr>
        <w:pStyle w:val="ndicedeilustraes"/>
        <w:tabs>
          <w:tab w:val="right" w:leader="dot" w:pos="9062"/>
        </w:tabs>
        <w:rPr>
          <w:rFonts w:ascii="Times New Roman" w:eastAsiaTheme="minorEastAsia" w:hAnsi="Times New Roman" w:cs="Times New Roman"/>
          <w:smallCaps w:val="0"/>
          <w:noProof/>
          <w:sz w:val="22"/>
          <w:szCs w:val="22"/>
          <w:lang w:eastAsia="fr-FR"/>
        </w:rPr>
      </w:pPr>
      <w:hyperlink w:anchor="_Toc32512024" w:history="1">
        <w:r w:rsidR="00436E89" w:rsidRPr="00436E89">
          <w:rPr>
            <w:rStyle w:val="Hiperligao"/>
            <w:rFonts w:ascii="Times New Roman" w:hAnsi="Times New Roman" w:cs="Times New Roman"/>
            <w:noProof/>
            <w:sz w:val="22"/>
            <w:szCs w:val="22"/>
          </w:rPr>
          <w:t xml:space="preserve">Figure 2: </w:t>
        </w:r>
        <w:r w:rsidR="00436E89" w:rsidRPr="00436E89">
          <w:rPr>
            <w:rStyle w:val="Hiperligao"/>
            <w:rFonts w:ascii="Times New Roman" w:eastAsia="Times New Roman" w:hAnsi="Times New Roman" w:cs="Times New Roman"/>
            <w:noProof/>
            <w:sz w:val="22"/>
            <w:szCs w:val="22"/>
          </w:rPr>
          <w:t>Carte du relief de la Guinée Bissau</w:t>
        </w:r>
        <w:r w:rsidR="00436E89" w:rsidRPr="00436E89">
          <w:rPr>
            <w:rFonts w:ascii="Times New Roman" w:hAnsi="Times New Roman" w:cs="Times New Roman"/>
            <w:noProof/>
            <w:webHidden/>
            <w:sz w:val="22"/>
            <w:szCs w:val="22"/>
          </w:rPr>
          <w:tab/>
        </w:r>
        <w:r w:rsidR="00436E89" w:rsidRPr="00436E89">
          <w:rPr>
            <w:rFonts w:ascii="Times New Roman" w:hAnsi="Times New Roman" w:cs="Times New Roman"/>
            <w:noProof/>
            <w:webHidden/>
            <w:sz w:val="22"/>
            <w:szCs w:val="22"/>
          </w:rPr>
          <w:fldChar w:fldCharType="begin"/>
        </w:r>
        <w:r w:rsidR="00436E89" w:rsidRPr="00436E89">
          <w:rPr>
            <w:rFonts w:ascii="Times New Roman" w:hAnsi="Times New Roman" w:cs="Times New Roman"/>
            <w:noProof/>
            <w:webHidden/>
            <w:sz w:val="22"/>
            <w:szCs w:val="22"/>
          </w:rPr>
          <w:instrText xml:space="preserve"> PAGEREF _Toc32512024 \h </w:instrText>
        </w:r>
        <w:r w:rsidR="00436E89" w:rsidRPr="00436E89">
          <w:rPr>
            <w:rFonts w:ascii="Times New Roman" w:hAnsi="Times New Roman" w:cs="Times New Roman"/>
            <w:noProof/>
            <w:webHidden/>
            <w:sz w:val="22"/>
            <w:szCs w:val="22"/>
          </w:rPr>
        </w:r>
        <w:r w:rsidR="00436E89" w:rsidRPr="00436E89">
          <w:rPr>
            <w:rFonts w:ascii="Times New Roman" w:hAnsi="Times New Roman" w:cs="Times New Roman"/>
            <w:noProof/>
            <w:webHidden/>
            <w:sz w:val="22"/>
            <w:szCs w:val="22"/>
          </w:rPr>
          <w:fldChar w:fldCharType="separate"/>
        </w:r>
        <w:r w:rsidR="00820701">
          <w:rPr>
            <w:rFonts w:ascii="Times New Roman" w:hAnsi="Times New Roman" w:cs="Times New Roman"/>
            <w:noProof/>
            <w:webHidden/>
            <w:sz w:val="22"/>
            <w:szCs w:val="22"/>
          </w:rPr>
          <w:t>104</w:t>
        </w:r>
        <w:r w:rsidR="00436E89" w:rsidRPr="00436E89">
          <w:rPr>
            <w:rFonts w:ascii="Times New Roman" w:hAnsi="Times New Roman" w:cs="Times New Roman"/>
            <w:noProof/>
            <w:webHidden/>
            <w:sz w:val="22"/>
            <w:szCs w:val="22"/>
          </w:rPr>
          <w:fldChar w:fldCharType="end"/>
        </w:r>
      </w:hyperlink>
    </w:p>
    <w:p w:rsidR="00436E89" w:rsidRPr="00436E89" w:rsidRDefault="007055AF">
      <w:pPr>
        <w:pStyle w:val="ndicedeilustraes"/>
        <w:tabs>
          <w:tab w:val="right" w:leader="dot" w:pos="9062"/>
        </w:tabs>
        <w:rPr>
          <w:rFonts w:ascii="Times New Roman" w:eastAsiaTheme="minorEastAsia" w:hAnsi="Times New Roman" w:cs="Times New Roman"/>
          <w:smallCaps w:val="0"/>
          <w:noProof/>
          <w:sz w:val="22"/>
          <w:szCs w:val="22"/>
          <w:lang w:eastAsia="fr-FR"/>
        </w:rPr>
      </w:pPr>
      <w:hyperlink w:anchor="_Toc32512025" w:history="1">
        <w:r w:rsidR="00436E89" w:rsidRPr="00436E89">
          <w:rPr>
            <w:rStyle w:val="Hiperligao"/>
            <w:rFonts w:ascii="Times New Roman" w:hAnsi="Times New Roman" w:cs="Times New Roman"/>
            <w:noProof/>
            <w:sz w:val="22"/>
            <w:szCs w:val="22"/>
          </w:rPr>
          <w:t xml:space="preserve">Figure 3 </w:t>
        </w:r>
        <w:r w:rsidR="00436E89" w:rsidRPr="00436E89">
          <w:rPr>
            <w:rStyle w:val="Hiperligao"/>
            <w:rFonts w:ascii="Times New Roman" w:eastAsia="Times New Roman" w:hAnsi="Times New Roman" w:cs="Times New Roman"/>
            <w:noProof/>
            <w:sz w:val="22"/>
            <w:szCs w:val="22"/>
          </w:rPr>
          <w:t xml:space="preserve">: </w:t>
        </w:r>
        <w:r w:rsidR="00436E89" w:rsidRPr="00436E89">
          <w:rPr>
            <w:rStyle w:val="Hiperligao"/>
            <w:rFonts w:ascii="Times New Roman" w:eastAsia="Times New Roman" w:hAnsi="Times New Roman" w:cs="Times New Roman"/>
            <w:noProof/>
            <w:sz w:val="22"/>
            <w:szCs w:val="22"/>
            <w:lang w:eastAsia="fr-FR"/>
          </w:rPr>
          <w:t>Carte des sols de la Guinée-Bissau, adapté de Teixeira (1962)</w:t>
        </w:r>
        <w:r w:rsidR="00436E89" w:rsidRPr="00436E89">
          <w:rPr>
            <w:rFonts w:ascii="Times New Roman" w:hAnsi="Times New Roman" w:cs="Times New Roman"/>
            <w:noProof/>
            <w:webHidden/>
            <w:sz w:val="22"/>
            <w:szCs w:val="22"/>
          </w:rPr>
          <w:tab/>
        </w:r>
        <w:r w:rsidR="00436E89" w:rsidRPr="00436E89">
          <w:rPr>
            <w:rFonts w:ascii="Times New Roman" w:hAnsi="Times New Roman" w:cs="Times New Roman"/>
            <w:noProof/>
            <w:webHidden/>
            <w:sz w:val="22"/>
            <w:szCs w:val="22"/>
          </w:rPr>
          <w:fldChar w:fldCharType="begin"/>
        </w:r>
        <w:r w:rsidR="00436E89" w:rsidRPr="00436E89">
          <w:rPr>
            <w:rFonts w:ascii="Times New Roman" w:hAnsi="Times New Roman" w:cs="Times New Roman"/>
            <w:noProof/>
            <w:webHidden/>
            <w:sz w:val="22"/>
            <w:szCs w:val="22"/>
          </w:rPr>
          <w:instrText xml:space="preserve"> PAGEREF _Toc32512025 \h </w:instrText>
        </w:r>
        <w:r w:rsidR="00436E89" w:rsidRPr="00436E89">
          <w:rPr>
            <w:rFonts w:ascii="Times New Roman" w:hAnsi="Times New Roman" w:cs="Times New Roman"/>
            <w:noProof/>
            <w:webHidden/>
            <w:sz w:val="22"/>
            <w:szCs w:val="22"/>
          </w:rPr>
        </w:r>
        <w:r w:rsidR="00436E89" w:rsidRPr="00436E89">
          <w:rPr>
            <w:rFonts w:ascii="Times New Roman" w:hAnsi="Times New Roman" w:cs="Times New Roman"/>
            <w:noProof/>
            <w:webHidden/>
            <w:sz w:val="22"/>
            <w:szCs w:val="22"/>
          </w:rPr>
          <w:fldChar w:fldCharType="separate"/>
        </w:r>
        <w:r w:rsidR="00820701">
          <w:rPr>
            <w:rFonts w:ascii="Times New Roman" w:hAnsi="Times New Roman" w:cs="Times New Roman"/>
            <w:noProof/>
            <w:webHidden/>
            <w:sz w:val="22"/>
            <w:szCs w:val="22"/>
          </w:rPr>
          <w:t>105</w:t>
        </w:r>
        <w:r w:rsidR="00436E89" w:rsidRPr="00436E89">
          <w:rPr>
            <w:rFonts w:ascii="Times New Roman" w:hAnsi="Times New Roman" w:cs="Times New Roman"/>
            <w:noProof/>
            <w:webHidden/>
            <w:sz w:val="22"/>
            <w:szCs w:val="22"/>
          </w:rPr>
          <w:fldChar w:fldCharType="end"/>
        </w:r>
      </w:hyperlink>
    </w:p>
    <w:p w:rsidR="00436E89" w:rsidRPr="00436E89" w:rsidRDefault="007055AF">
      <w:pPr>
        <w:pStyle w:val="ndicedeilustraes"/>
        <w:tabs>
          <w:tab w:val="right" w:leader="dot" w:pos="9062"/>
        </w:tabs>
        <w:rPr>
          <w:rFonts w:ascii="Times New Roman" w:eastAsiaTheme="minorEastAsia" w:hAnsi="Times New Roman" w:cs="Times New Roman"/>
          <w:smallCaps w:val="0"/>
          <w:noProof/>
          <w:sz w:val="22"/>
          <w:szCs w:val="22"/>
          <w:lang w:eastAsia="fr-FR"/>
        </w:rPr>
      </w:pPr>
      <w:hyperlink w:anchor="_Toc32512026" w:history="1">
        <w:r w:rsidR="00436E89" w:rsidRPr="00436E89">
          <w:rPr>
            <w:rStyle w:val="Hiperligao"/>
            <w:rFonts w:ascii="Times New Roman" w:hAnsi="Times New Roman" w:cs="Times New Roman"/>
            <w:noProof/>
            <w:sz w:val="22"/>
            <w:szCs w:val="22"/>
          </w:rPr>
          <w:t xml:space="preserve">Figure 4 </w:t>
        </w:r>
        <w:r w:rsidR="00436E89" w:rsidRPr="00436E89">
          <w:rPr>
            <w:rStyle w:val="Hiperligao"/>
            <w:rFonts w:ascii="Times New Roman" w:eastAsia="Times New Roman" w:hAnsi="Times New Roman" w:cs="Times New Roman"/>
            <w:noProof/>
            <w:sz w:val="22"/>
            <w:szCs w:val="22"/>
          </w:rPr>
          <w:t xml:space="preserve">: </w:t>
        </w:r>
        <w:r w:rsidR="00436E89" w:rsidRPr="00436E89">
          <w:rPr>
            <w:rStyle w:val="Hiperligao"/>
            <w:rFonts w:ascii="Times New Roman" w:eastAsia="Times New Roman" w:hAnsi="Times New Roman" w:cs="Times New Roman"/>
            <w:noProof/>
            <w:sz w:val="22"/>
            <w:szCs w:val="22"/>
            <w:lang w:eastAsia="fr-FR"/>
          </w:rPr>
          <w:t>Réseau hydrographique de la Guinée-Bissau, adapté d</w:t>
        </w:r>
        <w:r w:rsidR="00436E89">
          <w:rPr>
            <w:rStyle w:val="Hiperligao"/>
            <w:rFonts w:ascii="Times New Roman" w:eastAsia="Times New Roman" w:hAnsi="Times New Roman" w:cs="Times New Roman"/>
            <w:noProof/>
            <w:sz w:val="22"/>
            <w:szCs w:val="22"/>
            <w:lang w:eastAsia="fr-FR"/>
          </w:rPr>
          <w:t xml:space="preserve">e G. Pennober, </w:t>
        </w:r>
        <w:r w:rsidR="00436E89" w:rsidRPr="00436E89">
          <w:rPr>
            <w:rFonts w:ascii="Times New Roman" w:hAnsi="Times New Roman" w:cs="Times New Roman"/>
            <w:noProof/>
            <w:webHidden/>
            <w:sz w:val="22"/>
            <w:szCs w:val="22"/>
          </w:rPr>
          <w:tab/>
        </w:r>
        <w:r w:rsidR="00436E89" w:rsidRPr="00436E89">
          <w:rPr>
            <w:rFonts w:ascii="Times New Roman" w:hAnsi="Times New Roman" w:cs="Times New Roman"/>
            <w:noProof/>
            <w:webHidden/>
            <w:sz w:val="22"/>
            <w:szCs w:val="22"/>
          </w:rPr>
          <w:fldChar w:fldCharType="begin"/>
        </w:r>
        <w:r w:rsidR="00436E89" w:rsidRPr="00436E89">
          <w:rPr>
            <w:rFonts w:ascii="Times New Roman" w:hAnsi="Times New Roman" w:cs="Times New Roman"/>
            <w:noProof/>
            <w:webHidden/>
            <w:sz w:val="22"/>
            <w:szCs w:val="22"/>
          </w:rPr>
          <w:instrText xml:space="preserve"> PAGEREF _Toc32512026 \h </w:instrText>
        </w:r>
        <w:r w:rsidR="00436E89" w:rsidRPr="00436E89">
          <w:rPr>
            <w:rFonts w:ascii="Times New Roman" w:hAnsi="Times New Roman" w:cs="Times New Roman"/>
            <w:noProof/>
            <w:webHidden/>
            <w:sz w:val="22"/>
            <w:szCs w:val="22"/>
          </w:rPr>
        </w:r>
        <w:r w:rsidR="00436E89" w:rsidRPr="00436E89">
          <w:rPr>
            <w:rFonts w:ascii="Times New Roman" w:hAnsi="Times New Roman" w:cs="Times New Roman"/>
            <w:noProof/>
            <w:webHidden/>
            <w:sz w:val="22"/>
            <w:szCs w:val="22"/>
          </w:rPr>
          <w:fldChar w:fldCharType="separate"/>
        </w:r>
        <w:r w:rsidR="00820701">
          <w:rPr>
            <w:rFonts w:ascii="Times New Roman" w:hAnsi="Times New Roman" w:cs="Times New Roman"/>
            <w:noProof/>
            <w:webHidden/>
            <w:sz w:val="22"/>
            <w:szCs w:val="22"/>
          </w:rPr>
          <w:t>106</w:t>
        </w:r>
        <w:r w:rsidR="00436E89" w:rsidRPr="00436E89">
          <w:rPr>
            <w:rFonts w:ascii="Times New Roman" w:hAnsi="Times New Roman" w:cs="Times New Roman"/>
            <w:noProof/>
            <w:webHidden/>
            <w:sz w:val="22"/>
            <w:szCs w:val="22"/>
          </w:rPr>
          <w:fldChar w:fldCharType="end"/>
        </w:r>
      </w:hyperlink>
    </w:p>
    <w:p w:rsidR="00436E89" w:rsidRPr="00436E89" w:rsidRDefault="007055AF">
      <w:pPr>
        <w:pStyle w:val="ndicedeilustraes"/>
        <w:tabs>
          <w:tab w:val="right" w:leader="dot" w:pos="9062"/>
        </w:tabs>
        <w:rPr>
          <w:rFonts w:ascii="Times New Roman" w:eastAsiaTheme="minorEastAsia" w:hAnsi="Times New Roman" w:cs="Times New Roman"/>
          <w:smallCaps w:val="0"/>
          <w:noProof/>
          <w:sz w:val="22"/>
          <w:szCs w:val="22"/>
          <w:lang w:eastAsia="fr-FR"/>
        </w:rPr>
      </w:pPr>
      <w:hyperlink w:anchor="_Toc32512027" w:history="1">
        <w:r w:rsidR="00436E89" w:rsidRPr="00436E89">
          <w:rPr>
            <w:rStyle w:val="Hiperligao"/>
            <w:rFonts w:ascii="Times New Roman" w:hAnsi="Times New Roman" w:cs="Times New Roman"/>
            <w:noProof/>
            <w:sz w:val="22"/>
            <w:szCs w:val="22"/>
          </w:rPr>
          <w:t xml:space="preserve">Figure 5 : </w:t>
        </w:r>
        <w:r w:rsidR="00436E89" w:rsidRPr="00436E89">
          <w:rPr>
            <w:rStyle w:val="Hiperligao"/>
            <w:rFonts w:ascii="Times New Roman" w:hAnsi="Times New Roman" w:cs="Times New Roman"/>
            <w:noProof/>
            <w:sz w:val="22"/>
            <w:szCs w:val="22"/>
            <w:lang w:eastAsia="fr-FR"/>
          </w:rPr>
          <w:t>Carte d'occupation des sols de la Guinée-Bissau</w:t>
        </w:r>
        <w:r w:rsidR="00436E89" w:rsidRPr="00436E89">
          <w:rPr>
            <w:rFonts w:ascii="Times New Roman" w:hAnsi="Times New Roman" w:cs="Times New Roman"/>
            <w:noProof/>
            <w:webHidden/>
            <w:sz w:val="22"/>
            <w:szCs w:val="22"/>
          </w:rPr>
          <w:tab/>
        </w:r>
        <w:r w:rsidR="00436E89" w:rsidRPr="00436E89">
          <w:rPr>
            <w:rFonts w:ascii="Times New Roman" w:hAnsi="Times New Roman" w:cs="Times New Roman"/>
            <w:noProof/>
            <w:webHidden/>
            <w:sz w:val="22"/>
            <w:szCs w:val="22"/>
          </w:rPr>
          <w:fldChar w:fldCharType="begin"/>
        </w:r>
        <w:r w:rsidR="00436E89" w:rsidRPr="00436E89">
          <w:rPr>
            <w:rFonts w:ascii="Times New Roman" w:hAnsi="Times New Roman" w:cs="Times New Roman"/>
            <w:noProof/>
            <w:webHidden/>
            <w:sz w:val="22"/>
            <w:szCs w:val="22"/>
          </w:rPr>
          <w:instrText xml:space="preserve"> PAGEREF _Toc32512027 \h </w:instrText>
        </w:r>
        <w:r w:rsidR="00436E89" w:rsidRPr="00436E89">
          <w:rPr>
            <w:rFonts w:ascii="Times New Roman" w:hAnsi="Times New Roman" w:cs="Times New Roman"/>
            <w:noProof/>
            <w:webHidden/>
            <w:sz w:val="22"/>
            <w:szCs w:val="22"/>
          </w:rPr>
        </w:r>
        <w:r w:rsidR="00436E89" w:rsidRPr="00436E89">
          <w:rPr>
            <w:rFonts w:ascii="Times New Roman" w:hAnsi="Times New Roman" w:cs="Times New Roman"/>
            <w:noProof/>
            <w:webHidden/>
            <w:sz w:val="22"/>
            <w:szCs w:val="22"/>
          </w:rPr>
          <w:fldChar w:fldCharType="separate"/>
        </w:r>
        <w:r w:rsidR="00820701">
          <w:rPr>
            <w:rFonts w:ascii="Times New Roman" w:hAnsi="Times New Roman" w:cs="Times New Roman"/>
            <w:noProof/>
            <w:webHidden/>
            <w:sz w:val="22"/>
            <w:szCs w:val="22"/>
          </w:rPr>
          <w:t>109</w:t>
        </w:r>
        <w:r w:rsidR="00436E89" w:rsidRPr="00436E89">
          <w:rPr>
            <w:rFonts w:ascii="Times New Roman" w:hAnsi="Times New Roman" w:cs="Times New Roman"/>
            <w:noProof/>
            <w:webHidden/>
            <w:sz w:val="22"/>
            <w:szCs w:val="22"/>
          </w:rPr>
          <w:fldChar w:fldCharType="end"/>
        </w:r>
      </w:hyperlink>
    </w:p>
    <w:p w:rsidR="00436E89" w:rsidRPr="00436E89" w:rsidRDefault="007055AF">
      <w:pPr>
        <w:pStyle w:val="ndicedeilustraes"/>
        <w:tabs>
          <w:tab w:val="right" w:leader="dot" w:pos="9062"/>
        </w:tabs>
        <w:rPr>
          <w:rFonts w:ascii="Times New Roman" w:eastAsiaTheme="minorEastAsia" w:hAnsi="Times New Roman" w:cs="Times New Roman"/>
          <w:smallCaps w:val="0"/>
          <w:noProof/>
          <w:sz w:val="22"/>
          <w:szCs w:val="22"/>
          <w:lang w:eastAsia="fr-FR"/>
        </w:rPr>
      </w:pPr>
      <w:hyperlink w:anchor="_Toc32512028" w:history="1">
        <w:r w:rsidR="00436E89" w:rsidRPr="00436E89">
          <w:rPr>
            <w:rStyle w:val="Hiperligao"/>
            <w:rFonts w:ascii="Times New Roman" w:hAnsi="Times New Roman" w:cs="Times New Roman"/>
            <w:noProof/>
            <w:sz w:val="22"/>
            <w:szCs w:val="22"/>
          </w:rPr>
          <w:t xml:space="preserve">Figure 6 </w:t>
        </w:r>
        <w:r w:rsidR="00436E89" w:rsidRPr="00436E89">
          <w:rPr>
            <w:rStyle w:val="Hiperligao"/>
            <w:rFonts w:ascii="Times New Roman" w:eastAsia="Times New Roman" w:hAnsi="Times New Roman" w:cs="Times New Roman"/>
            <w:noProof/>
            <w:sz w:val="22"/>
            <w:szCs w:val="22"/>
          </w:rPr>
          <w:t>:</w:t>
        </w:r>
        <w:r w:rsidR="00436E89" w:rsidRPr="00436E89">
          <w:rPr>
            <w:rStyle w:val="Hiperligao"/>
            <w:rFonts w:ascii="Times New Roman" w:hAnsi="Times New Roman" w:cs="Times New Roman"/>
            <w:noProof/>
            <w:sz w:val="22"/>
            <w:szCs w:val="22"/>
          </w:rPr>
          <w:t xml:space="preserve"> </w:t>
        </w:r>
        <w:r w:rsidR="00436E89" w:rsidRPr="00436E89">
          <w:rPr>
            <w:rStyle w:val="Hiperligao"/>
            <w:rFonts w:ascii="Times New Roman" w:eastAsia="Times New Roman" w:hAnsi="Times New Roman" w:cs="Times New Roman"/>
            <w:noProof/>
            <w:sz w:val="22"/>
            <w:szCs w:val="22"/>
          </w:rPr>
          <w:t>Aires protégées du pays</w:t>
        </w:r>
        <w:r w:rsidR="00436E89" w:rsidRPr="00436E89">
          <w:rPr>
            <w:rFonts w:ascii="Times New Roman" w:hAnsi="Times New Roman" w:cs="Times New Roman"/>
            <w:noProof/>
            <w:webHidden/>
            <w:sz w:val="22"/>
            <w:szCs w:val="22"/>
          </w:rPr>
          <w:tab/>
        </w:r>
        <w:r w:rsidR="00436E89" w:rsidRPr="00436E89">
          <w:rPr>
            <w:rFonts w:ascii="Times New Roman" w:hAnsi="Times New Roman" w:cs="Times New Roman"/>
            <w:noProof/>
            <w:webHidden/>
            <w:sz w:val="22"/>
            <w:szCs w:val="22"/>
          </w:rPr>
          <w:fldChar w:fldCharType="begin"/>
        </w:r>
        <w:r w:rsidR="00436E89" w:rsidRPr="00436E89">
          <w:rPr>
            <w:rFonts w:ascii="Times New Roman" w:hAnsi="Times New Roman" w:cs="Times New Roman"/>
            <w:noProof/>
            <w:webHidden/>
            <w:sz w:val="22"/>
            <w:szCs w:val="22"/>
          </w:rPr>
          <w:instrText xml:space="preserve"> PAGEREF _Toc32512028 \h </w:instrText>
        </w:r>
        <w:r w:rsidR="00436E89" w:rsidRPr="00436E89">
          <w:rPr>
            <w:rFonts w:ascii="Times New Roman" w:hAnsi="Times New Roman" w:cs="Times New Roman"/>
            <w:noProof/>
            <w:webHidden/>
            <w:sz w:val="22"/>
            <w:szCs w:val="22"/>
          </w:rPr>
        </w:r>
        <w:r w:rsidR="00436E89" w:rsidRPr="00436E89">
          <w:rPr>
            <w:rFonts w:ascii="Times New Roman" w:hAnsi="Times New Roman" w:cs="Times New Roman"/>
            <w:noProof/>
            <w:webHidden/>
            <w:sz w:val="22"/>
            <w:szCs w:val="22"/>
          </w:rPr>
          <w:fldChar w:fldCharType="separate"/>
        </w:r>
        <w:r w:rsidR="00820701">
          <w:rPr>
            <w:rFonts w:ascii="Times New Roman" w:hAnsi="Times New Roman" w:cs="Times New Roman"/>
            <w:noProof/>
            <w:webHidden/>
            <w:sz w:val="22"/>
            <w:szCs w:val="22"/>
          </w:rPr>
          <w:t>110</w:t>
        </w:r>
        <w:r w:rsidR="00436E89" w:rsidRPr="00436E89">
          <w:rPr>
            <w:rFonts w:ascii="Times New Roman" w:hAnsi="Times New Roman" w:cs="Times New Roman"/>
            <w:noProof/>
            <w:webHidden/>
            <w:sz w:val="22"/>
            <w:szCs w:val="22"/>
          </w:rPr>
          <w:fldChar w:fldCharType="end"/>
        </w:r>
      </w:hyperlink>
    </w:p>
    <w:p w:rsidR="00436E89" w:rsidRPr="00436E89" w:rsidRDefault="007055AF">
      <w:pPr>
        <w:pStyle w:val="ndicedeilustraes"/>
        <w:tabs>
          <w:tab w:val="right" w:leader="dot" w:pos="9062"/>
        </w:tabs>
        <w:rPr>
          <w:rFonts w:ascii="Times New Roman" w:eastAsiaTheme="minorEastAsia" w:hAnsi="Times New Roman" w:cs="Times New Roman"/>
          <w:smallCaps w:val="0"/>
          <w:noProof/>
          <w:sz w:val="22"/>
          <w:szCs w:val="22"/>
          <w:lang w:eastAsia="fr-FR"/>
        </w:rPr>
      </w:pPr>
      <w:hyperlink w:anchor="_Toc32512029" w:history="1">
        <w:r w:rsidR="00436E89" w:rsidRPr="00436E89">
          <w:rPr>
            <w:rStyle w:val="Hiperligao"/>
            <w:rFonts w:ascii="Times New Roman" w:hAnsi="Times New Roman" w:cs="Times New Roman"/>
            <w:noProof/>
            <w:sz w:val="22"/>
            <w:szCs w:val="22"/>
          </w:rPr>
          <w:t>Figure 7 : représentation graphique de la répartition des grands groupes ethniques</w:t>
        </w:r>
        <w:r w:rsidR="00436E89" w:rsidRPr="00436E89">
          <w:rPr>
            <w:rFonts w:ascii="Times New Roman" w:hAnsi="Times New Roman" w:cs="Times New Roman"/>
            <w:noProof/>
            <w:webHidden/>
            <w:sz w:val="22"/>
            <w:szCs w:val="22"/>
          </w:rPr>
          <w:tab/>
        </w:r>
        <w:r w:rsidR="00436E89" w:rsidRPr="00436E89">
          <w:rPr>
            <w:rFonts w:ascii="Times New Roman" w:hAnsi="Times New Roman" w:cs="Times New Roman"/>
            <w:noProof/>
            <w:webHidden/>
            <w:sz w:val="22"/>
            <w:szCs w:val="22"/>
          </w:rPr>
          <w:fldChar w:fldCharType="begin"/>
        </w:r>
        <w:r w:rsidR="00436E89" w:rsidRPr="00436E89">
          <w:rPr>
            <w:rFonts w:ascii="Times New Roman" w:hAnsi="Times New Roman" w:cs="Times New Roman"/>
            <w:noProof/>
            <w:webHidden/>
            <w:sz w:val="22"/>
            <w:szCs w:val="22"/>
          </w:rPr>
          <w:instrText xml:space="preserve"> PAGEREF _Toc32512029 \h </w:instrText>
        </w:r>
        <w:r w:rsidR="00436E89" w:rsidRPr="00436E89">
          <w:rPr>
            <w:rFonts w:ascii="Times New Roman" w:hAnsi="Times New Roman" w:cs="Times New Roman"/>
            <w:noProof/>
            <w:webHidden/>
            <w:sz w:val="22"/>
            <w:szCs w:val="22"/>
          </w:rPr>
        </w:r>
        <w:r w:rsidR="00436E89" w:rsidRPr="00436E89">
          <w:rPr>
            <w:rFonts w:ascii="Times New Roman" w:hAnsi="Times New Roman" w:cs="Times New Roman"/>
            <w:noProof/>
            <w:webHidden/>
            <w:sz w:val="22"/>
            <w:szCs w:val="22"/>
          </w:rPr>
          <w:fldChar w:fldCharType="separate"/>
        </w:r>
        <w:r w:rsidR="00820701">
          <w:rPr>
            <w:rFonts w:ascii="Times New Roman" w:hAnsi="Times New Roman" w:cs="Times New Roman"/>
            <w:noProof/>
            <w:webHidden/>
            <w:sz w:val="22"/>
            <w:szCs w:val="22"/>
          </w:rPr>
          <w:t>113</w:t>
        </w:r>
        <w:r w:rsidR="00436E89" w:rsidRPr="00436E89">
          <w:rPr>
            <w:rFonts w:ascii="Times New Roman" w:hAnsi="Times New Roman" w:cs="Times New Roman"/>
            <w:noProof/>
            <w:webHidden/>
            <w:sz w:val="22"/>
            <w:szCs w:val="22"/>
          </w:rPr>
          <w:fldChar w:fldCharType="end"/>
        </w:r>
      </w:hyperlink>
    </w:p>
    <w:p w:rsidR="00436E89" w:rsidRPr="00436E89" w:rsidRDefault="007055AF">
      <w:pPr>
        <w:pStyle w:val="ndicedeilustraes"/>
        <w:tabs>
          <w:tab w:val="right" w:leader="dot" w:pos="9062"/>
        </w:tabs>
        <w:rPr>
          <w:rFonts w:ascii="Times New Roman" w:eastAsiaTheme="minorEastAsia" w:hAnsi="Times New Roman" w:cs="Times New Roman"/>
          <w:smallCaps w:val="0"/>
          <w:noProof/>
          <w:sz w:val="22"/>
          <w:szCs w:val="22"/>
          <w:lang w:eastAsia="fr-FR"/>
        </w:rPr>
      </w:pPr>
      <w:hyperlink w:anchor="_Toc32512030" w:history="1">
        <w:r w:rsidR="00436E89" w:rsidRPr="00436E89">
          <w:rPr>
            <w:rStyle w:val="Hiperligao"/>
            <w:rFonts w:ascii="Times New Roman" w:hAnsi="Times New Roman" w:cs="Times New Roman"/>
            <w:noProof/>
            <w:sz w:val="22"/>
            <w:szCs w:val="22"/>
          </w:rPr>
          <w:t>Figure 8: Schéma de caractérisation des impacts</w:t>
        </w:r>
        <w:r w:rsidR="00436E89" w:rsidRPr="00436E89">
          <w:rPr>
            <w:rFonts w:ascii="Times New Roman" w:hAnsi="Times New Roman" w:cs="Times New Roman"/>
            <w:noProof/>
            <w:webHidden/>
            <w:sz w:val="22"/>
            <w:szCs w:val="22"/>
          </w:rPr>
          <w:tab/>
        </w:r>
        <w:r w:rsidR="00436E89" w:rsidRPr="00436E89">
          <w:rPr>
            <w:rFonts w:ascii="Times New Roman" w:hAnsi="Times New Roman" w:cs="Times New Roman"/>
            <w:noProof/>
            <w:webHidden/>
            <w:sz w:val="22"/>
            <w:szCs w:val="22"/>
          </w:rPr>
          <w:fldChar w:fldCharType="begin"/>
        </w:r>
        <w:r w:rsidR="00436E89" w:rsidRPr="00436E89">
          <w:rPr>
            <w:rFonts w:ascii="Times New Roman" w:hAnsi="Times New Roman" w:cs="Times New Roman"/>
            <w:noProof/>
            <w:webHidden/>
            <w:sz w:val="22"/>
            <w:szCs w:val="22"/>
          </w:rPr>
          <w:instrText xml:space="preserve"> PAGEREF _Toc32512030 \h </w:instrText>
        </w:r>
        <w:r w:rsidR="00436E89" w:rsidRPr="00436E89">
          <w:rPr>
            <w:rFonts w:ascii="Times New Roman" w:hAnsi="Times New Roman" w:cs="Times New Roman"/>
            <w:noProof/>
            <w:webHidden/>
            <w:sz w:val="22"/>
            <w:szCs w:val="22"/>
          </w:rPr>
        </w:r>
        <w:r w:rsidR="00436E89" w:rsidRPr="00436E89">
          <w:rPr>
            <w:rFonts w:ascii="Times New Roman" w:hAnsi="Times New Roman" w:cs="Times New Roman"/>
            <w:noProof/>
            <w:webHidden/>
            <w:sz w:val="22"/>
            <w:szCs w:val="22"/>
          </w:rPr>
          <w:fldChar w:fldCharType="separate"/>
        </w:r>
        <w:r w:rsidR="00820701">
          <w:rPr>
            <w:rFonts w:ascii="Times New Roman" w:hAnsi="Times New Roman" w:cs="Times New Roman"/>
            <w:noProof/>
            <w:webHidden/>
            <w:sz w:val="22"/>
            <w:szCs w:val="22"/>
          </w:rPr>
          <w:t>121</w:t>
        </w:r>
        <w:r w:rsidR="00436E89" w:rsidRPr="00436E89">
          <w:rPr>
            <w:rFonts w:ascii="Times New Roman" w:hAnsi="Times New Roman" w:cs="Times New Roman"/>
            <w:noProof/>
            <w:webHidden/>
            <w:sz w:val="22"/>
            <w:szCs w:val="22"/>
          </w:rPr>
          <w:fldChar w:fldCharType="end"/>
        </w:r>
      </w:hyperlink>
    </w:p>
    <w:p w:rsidR="00436E89" w:rsidRPr="00436E89" w:rsidRDefault="007055AF">
      <w:pPr>
        <w:pStyle w:val="ndicedeilustraes"/>
        <w:tabs>
          <w:tab w:val="right" w:leader="dot" w:pos="9062"/>
        </w:tabs>
        <w:rPr>
          <w:rFonts w:ascii="Times New Roman" w:eastAsiaTheme="minorEastAsia" w:hAnsi="Times New Roman" w:cs="Times New Roman"/>
          <w:smallCaps w:val="0"/>
          <w:noProof/>
          <w:sz w:val="22"/>
          <w:szCs w:val="22"/>
          <w:lang w:eastAsia="fr-FR"/>
        </w:rPr>
      </w:pPr>
      <w:hyperlink w:anchor="_Toc32512031" w:history="1">
        <w:r w:rsidR="00436E89" w:rsidRPr="00436E89">
          <w:rPr>
            <w:rStyle w:val="Hiperligao"/>
            <w:rFonts w:ascii="Times New Roman" w:hAnsi="Times New Roman" w:cs="Times New Roman"/>
            <w:noProof/>
            <w:sz w:val="22"/>
            <w:szCs w:val="22"/>
          </w:rPr>
          <w:t>Figure 9 : Diagramme de fonctionnement du MGP du</w:t>
        </w:r>
        <w:r w:rsidR="00436E89" w:rsidRPr="00436E89">
          <w:rPr>
            <w:rFonts w:ascii="Times New Roman" w:hAnsi="Times New Roman" w:cs="Times New Roman"/>
            <w:noProof/>
            <w:webHidden/>
            <w:sz w:val="22"/>
            <w:szCs w:val="22"/>
          </w:rPr>
          <w:tab/>
        </w:r>
        <w:r w:rsidR="00436E89" w:rsidRPr="00436E89">
          <w:rPr>
            <w:rFonts w:ascii="Times New Roman" w:hAnsi="Times New Roman" w:cs="Times New Roman"/>
            <w:noProof/>
            <w:webHidden/>
            <w:sz w:val="22"/>
            <w:szCs w:val="22"/>
          </w:rPr>
          <w:fldChar w:fldCharType="begin"/>
        </w:r>
        <w:r w:rsidR="00436E89" w:rsidRPr="00436E89">
          <w:rPr>
            <w:rFonts w:ascii="Times New Roman" w:hAnsi="Times New Roman" w:cs="Times New Roman"/>
            <w:noProof/>
            <w:webHidden/>
            <w:sz w:val="22"/>
            <w:szCs w:val="22"/>
          </w:rPr>
          <w:instrText xml:space="preserve"> PAGEREF _Toc32512031 \h </w:instrText>
        </w:r>
        <w:r w:rsidR="00436E89" w:rsidRPr="00436E89">
          <w:rPr>
            <w:rFonts w:ascii="Times New Roman" w:hAnsi="Times New Roman" w:cs="Times New Roman"/>
            <w:noProof/>
            <w:webHidden/>
            <w:sz w:val="22"/>
            <w:szCs w:val="22"/>
          </w:rPr>
        </w:r>
        <w:r w:rsidR="00436E89" w:rsidRPr="00436E89">
          <w:rPr>
            <w:rFonts w:ascii="Times New Roman" w:hAnsi="Times New Roman" w:cs="Times New Roman"/>
            <w:noProof/>
            <w:webHidden/>
            <w:sz w:val="22"/>
            <w:szCs w:val="22"/>
          </w:rPr>
          <w:fldChar w:fldCharType="separate"/>
        </w:r>
        <w:r w:rsidR="00820701">
          <w:rPr>
            <w:rFonts w:ascii="Times New Roman" w:hAnsi="Times New Roman" w:cs="Times New Roman"/>
            <w:noProof/>
            <w:webHidden/>
            <w:sz w:val="22"/>
            <w:szCs w:val="22"/>
          </w:rPr>
          <w:t>214</w:t>
        </w:r>
        <w:r w:rsidR="00436E89" w:rsidRPr="00436E89">
          <w:rPr>
            <w:rFonts w:ascii="Times New Roman" w:hAnsi="Times New Roman" w:cs="Times New Roman"/>
            <w:noProof/>
            <w:webHidden/>
            <w:sz w:val="22"/>
            <w:szCs w:val="22"/>
          </w:rPr>
          <w:fldChar w:fldCharType="end"/>
        </w:r>
      </w:hyperlink>
    </w:p>
    <w:p w:rsidR="00436E89" w:rsidRPr="00436E89" w:rsidRDefault="007055AF">
      <w:pPr>
        <w:pStyle w:val="ndicedeilustraes"/>
        <w:tabs>
          <w:tab w:val="right" w:leader="dot" w:pos="9062"/>
        </w:tabs>
        <w:rPr>
          <w:rFonts w:ascii="Times New Roman" w:eastAsiaTheme="minorEastAsia" w:hAnsi="Times New Roman" w:cs="Times New Roman"/>
          <w:smallCaps w:val="0"/>
          <w:noProof/>
          <w:sz w:val="22"/>
          <w:szCs w:val="22"/>
          <w:lang w:eastAsia="fr-FR"/>
        </w:rPr>
      </w:pPr>
      <w:hyperlink w:anchor="_Toc32512032" w:history="1">
        <w:r w:rsidR="00436E89" w:rsidRPr="00436E89">
          <w:rPr>
            <w:rStyle w:val="Hiperligao"/>
            <w:rFonts w:ascii="Times New Roman" w:hAnsi="Times New Roman" w:cs="Times New Roman"/>
            <w:noProof/>
            <w:sz w:val="22"/>
            <w:szCs w:val="22"/>
          </w:rPr>
          <w:t>Figure 11 </w:t>
        </w:r>
        <w:r w:rsidR="00436E89" w:rsidRPr="00436E89">
          <w:rPr>
            <w:rStyle w:val="Hiperligao"/>
            <w:rFonts w:ascii="Times New Roman" w:hAnsi="Times New Roman" w:cs="Times New Roman"/>
            <w:noProof/>
            <w:sz w:val="22"/>
            <w:szCs w:val="22"/>
            <w:lang w:bidi="fr-FR"/>
          </w:rPr>
          <w:t>: Carte de situation de la ville de Bissau</w:t>
        </w:r>
        <w:r w:rsidR="00436E89" w:rsidRPr="00436E89">
          <w:rPr>
            <w:rFonts w:ascii="Times New Roman" w:hAnsi="Times New Roman" w:cs="Times New Roman"/>
            <w:noProof/>
            <w:webHidden/>
            <w:sz w:val="22"/>
            <w:szCs w:val="22"/>
          </w:rPr>
          <w:tab/>
        </w:r>
        <w:r w:rsidR="00436E89" w:rsidRPr="00436E89">
          <w:rPr>
            <w:rFonts w:ascii="Times New Roman" w:hAnsi="Times New Roman" w:cs="Times New Roman"/>
            <w:noProof/>
            <w:webHidden/>
            <w:sz w:val="22"/>
            <w:szCs w:val="22"/>
          </w:rPr>
          <w:fldChar w:fldCharType="begin"/>
        </w:r>
        <w:r w:rsidR="00436E89" w:rsidRPr="00436E89">
          <w:rPr>
            <w:rFonts w:ascii="Times New Roman" w:hAnsi="Times New Roman" w:cs="Times New Roman"/>
            <w:noProof/>
            <w:webHidden/>
            <w:sz w:val="22"/>
            <w:szCs w:val="22"/>
          </w:rPr>
          <w:instrText xml:space="preserve"> PAGEREF _Toc32512032 \h </w:instrText>
        </w:r>
        <w:r w:rsidR="00436E89" w:rsidRPr="00436E89">
          <w:rPr>
            <w:rFonts w:ascii="Times New Roman" w:hAnsi="Times New Roman" w:cs="Times New Roman"/>
            <w:noProof/>
            <w:webHidden/>
            <w:sz w:val="22"/>
            <w:szCs w:val="22"/>
          </w:rPr>
        </w:r>
        <w:r w:rsidR="00436E89" w:rsidRPr="00436E89">
          <w:rPr>
            <w:rFonts w:ascii="Times New Roman" w:hAnsi="Times New Roman" w:cs="Times New Roman"/>
            <w:noProof/>
            <w:webHidden/>
            <w:sz w:val="22"/>
            <w:szCs w:val="22"/>
          </w:rPr>
          <w:fldChar w:fldCharType="separate"/>
        </w:r>
        <w:r w:rsidR="00820701">
          <w:rPr>
            <w:rFonts w:ascii="Times New Roman" w:hAnsi="Times New Roman" w:cs="Times New Roman"/>
            <w:noProof/>
            <w:webHidden/>
            <w:sz w:val="22"/>
            <w:szCs w:val="22"/>
          </w:rPr>
          <w:t>226</w:t>
        </w:r>
        <w:r w:rsidR="00436E89" w:rsidRPr="00436E89">
          <w:rPr>
            <w:rFonts w:ascii="Times New Roman" w:hAnsi="Times New Roman" w:cs="Times New Roman"/>
            <w:noProof/>
            <w:webHidden/>
            <w:sz w:val="22"/>
            <w:szCs w:val="22"/>
          </w:rPr>
          <w:fldChar w:fldCharType="end"/>
        </w:r>
      </w:hyperlink>
    </w:p>
    <w:p w:rsidR="0093770F" w:rsidRPr="006C0C34" w:rsidRDefault="00491B40" w:rsidP="0093770F">
      <w:pPr>
        <w:spacing w:after="200" w:line="276" w:lineRule="auto"/>
        <w:rPr>
          <w:rFonts w:ascii="Times New Roman" w:eastAsia="Calibri" w:hAnsi="Times New Roman" w:cs="Times New Roman"/>
          <w:b/>
          <w:sz w:val="24"/>
          <w:szCs w:val="24"/>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pPr>
      <w:r w:rsidRPr="00436E89">
        <w:rPr>
          <w:rFonts w:ascii="Times New Roman" w:eastAsia="Calibri" w:hAnsi="Times New Roman" w:cs="Times New Roman"/>
          <w:smallCaps/>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fldChar w:fldCharType="end"/>
      </w:r>
      <w:r w:rsidR="0093770F" w:rsidRPr="006C0C34">
        <w:rPr>
          <w:rFonts w:ascii="Times New Roman" w:eastAsia="Calibri" w:hAnsi="Times New Roman" w:cs="Times New Roman"/>
          <w:b/>
          <w:sz w:val="24"/>
          <w:szCs w:val="24"/>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 xml:space="preserve">  </w:t>
      </w:r>
    </w:p>
    <w:p w:rsidR="0093770F" w:rsidRPr="00CD5496" w:rsidRDefault="0093770F" w:rsidP="00CD5496">
      <w:pPr>
        <w:keepNext/>
        <w:keepLines/>
        <w:pBdr>
          <w:top w:val="outset" w:sz="6" w:space="1" w:color="auto"/>
          <w:left w:val="outset" w:sz="6" w:space="4" w:color="auto"/>
          <w:bottom w:val="outset" w:sz="6" w:space="1" w:color="auto"/>
          <w:right w:val="outset" w:sz="6" w:space="4" w:color="auto"/>
        </w:pBdr>
        <w:shd w:val="clear" w:color="auto" w:fill="F2F2F2" w:themeFill="background1" w:themeFillShade="F2"/>
        <w:spacing w:after="0" w:line="240" w:lineRule="auto"/>
        <w:ind w:left="-1417" w:right="-566"/>
        <w:jc w:val="center"/>
        <w:outlineLvl w:val="0"/>
        <w:rPr>
          <w:rFonts w:ascii="Times New Roman" w:eastAsia="Calibri" w:hAnsi="Times New Roman" w:cs="Times New Roman"/>
          <w:b/>
          <w:sz w:val="32"/>
          <w:szCs w:val="32"/>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id="10" w:name="_Toc493752548"/>
      <w:bookmarkStart w:id="11" w:name="_Toc527881981"/>
      <w:bookmarkStart w:id="12" w:name="_Toc51072492"/>
      <w:r w:rsidRPr="00CD5496">
        <w:rPr>
          <w:rFonts w:ascii="Times New Roman" w:eastAsia="Calibri" w:hAnsi="Times New Roman" w:cs="Times New Roman"/>
          <w:b/>
          <w:sz w:val="32"/>
          <w:szCs w:val="32"/>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LISTE DES PHOTOS</w:t>
      </w:r>
      <w:bookmarkEnd w:id="10"/>
      <w:bookmarkEnd w:id="11"/>
      <w:bookmarkEnd w:id="12"/>
    </w:p>
    <w:p w:rsidR="00491B40" w:rsidRDefault="00491B40">
      <w:pPr>
        <w:pStyle w:val="ndicedeilustraes"/>
        <w:tabs>
          <w:tab w:val="right" w:leader="dot" w:pos="9913"/>
        </w:tabs>
        <w:rPr>
          <w:rFonts w:ascii="Times New Roman" w:hAnsi="Times New Roman" w:cs="Times New Roman"/>
          <w:sz w:val="24"/>
          <w:szCs w:val="24"/>
        </w:rPr>
      </w:pPr>
    </w:p>
    <w:p w:rsidR="00436E89" w:rsidRPr="00436E89" w:rsidRDefault="00491B40">
      <w:pPr>
        <w:pStyle w:val="ndicedeilustraes"/>
        <w:tabs>
          <w:tab w:val="right" w:leader="dot" w:pos="9062"/>
        </w:tabs>
        <w:rPr>
          <w:rFonts w:ascii="Times New Roman" w:eastAsiaTheme="minorEastAsia" w:hAnsi="Times New Roman" w:cs="Times New Roman"/>
          <w:smallCaps w:val="0"/>
          <w:noProof/>
          <w:sz w:val="22"/>
          <w:szCs w:val="22"/>
          <w:lang w:eastAsia="fr-FR"/>
        </w:rPr>
      </w:pPr>
      <w:r w:rsidRPr="00436E89">
        <w:rPr>
          <w:rFonts w:ascii="Times New Roman" w:hAnsi="Times New Roman" w:cs="Times New Roman"/>
          <w:sz w:val="22"/>
          <w:szCs w:val="22"/>
        </w:rPr>
        <w:fldChar w:fldCharType="begin"/>
      </w:r>
      <w:r w:rsidRPr="00436E89">
        <w:rPr>
          <w:rFonts w:ascii="Times New Roman" w:hAnsi="Times New Roman" w:cs="Times New Roman"/>
          <w:sz w:val="22"/>
          <w:szCs w:val="22"/>
        </w:rPr>
        <w:instrText xml:space="preserve"> TOC \h \z \c "PHOTO" </w:instrText>
      </w:r>
      <w:r w:rsidRPr="00436E89">
        <w:rPr>
          <w:rFonts w:ascii="Times New Roman" w:hAnsi="Times New Roman" w:cs="Times New Roman"/>
          <w:sz w:val="22"/>
          <w:szCs w:val="22"/>
        </w:rPr>
        <w:fldChar w:fldCharType="separate"/>
      </w:r>
      <w:hyperlink w:anchor="_Toc32512052" w:history="1">
        <w:r w:rsidR="00436E89" w:rsidRPr="00436E89">
          <w:rPr>
            <w:rStyle w:val="Hiperligao"/>
            <w:rFonts w:ascii="Times New Roman" w:hAnsi="Times New Roman" w:cs="Times New Roman"/>
            <w:noProof/>
            <w:sz w:val="22"/>
            <w:szCs w:val="22"/>
          </w:rPr>
          <w:t>Photo 1 : Illustration en image de quelques réservoirs en Guinée Bissau</w:t>
        </w:r>
        <w:r w:rsidR="00436E89" w:rsidRPr="00436E89">
          <w:rPr>
            <w:rFonts w:ascii="Times New Roman" w:hAnsi="Times New Roman" w:cs="Times New Roman"/>
            <w:noProof/>
            <w:webHidden/>
            <w:sz w:val="22"/>
            <w:szCs w:val="22"/>
          </w:rPr>
          <w:tab/>
        </w:r>
        <w:r w:rsidR="00436E89" w:rsidRPr="00436E89">
          <w:rPr>
            <w:rFonts w:ascii="Times New Roman" w:hAnsi="Times New Roman" w:cs="Times New Roman"/>
            <w:noProof/>
            <w:webHidden/>
            <w:sz w:val="22"/>
            <w:szCs w:val="22"/>
          </w:rPr>
          <w:fldChar w:fldCharType="begin"/>
        </w:r>
        <w:r w:rsidR="00436E89" w:rsidRPr="00436E89">
          <w:rPr>
            <w:rFonts w:ascii="Times New Roman" w:hAnsi="Times New Roman" w:cs="Times New Roman"/>
            <w:noProof/>
            <w:webHidden/>
            <w:sz w:val="22"/>
            <w:szCs w:val="22"/>
          </w:rPr>
          <w:instrText xml:space="preserve"> PAGEREF _Toc32512052 \h </w:instrText>
        </w:r>
        <w:r w:rsidR="00436E89" w:rsidRPr="00436E89">
          <w:rPr>
            <w:rFonts w:ascii="Times New Roman" w:hAnsi="Times New Roman" w:cs="Times New Roman"/>
            <w:noProof/>
            <w:webHidden/>
            <w:sz w:val="22"/>
            <w:szCs w:val="22"/>
          </w:rPr>
        </w:r>
        <w:r w:rsidR="00436E89" w:rsidRPr="00436E89">
          <w:rPr>
            <w:rFonts w:ascii="Times New Roman" w:hAnsi="Times New Roman" w:cs="Times New Roman"/>
            <w:noProof/>
            <w:webHidden/>
            <w:sz w:val="22"/>
            <w:szCs w:val="22"/>
          </w:rPr>
          <w:fldChar w:fldCharType="separate"/>
        </w:r>
        <w:r w:rsidR="00820701">
          <w:rPr>
            <w:rFonts w:ascii="Times New Roman" w:hAnsi="Times New Roman" w:cs="Times New Roman"/>
            <w:noProof/>
            <w:webHidden/>
            <w:sz w:val="22"/>
            <w:szCs w:val="22"/>
          </w:rPr>
          <w:t>64</w:t>
        </w:r>
        <w:r w:rsidR="00436E89" w:rsidRPr="00436E89">
          <w:rPr>
            <w:rFonts w:ascii="Times New Roman" w:hAnsi="Times New Roman" w:cs="Times New Roman"/>
            <w:noProof/>
            <w:webHidden/>
            <w:sz w:val="22"/>
            <w:szCs w:val="22"/>
          </w:rPr>
          <w:fldChar w:fldCharType="end"/>
        </w:r>
      </w:hyperlink>
    </w:p>
    <w:p w:rsidR="00436E89" w:rsidRPr="00436E89" w:rsidRDefault="007055AF">
      <w:pPr>
        <w:pStyle w:val="ndicedeilustraes"/>
        <w:tabs>
          <w:tab w:val="right" w:leader="dot" w:pos="9062"/>
        </w:tabs>
        <w:rPr>
          <w:rFonts w:ascii="Times New Roman" w:eastAsiaTheme="minorEastAsia" w:hAnsi="Times New Roman" w:cs="Times New Roman"/>
          <w:smallCaps w:val="0"/>
          <w:noProof/>
          <w:sz w:val="22"/>
          <w:szCs w:val="22"/>
          <w:lang w:eastAsia="fr-FR"/>
        </w:rPr>
      </w:pPr>
      <w:hyperlink w:anchor="_Toc32512053" w:history="1">
        <w:r w:rsidR="00436E89" w:rsidRPr="00436E89">
          <w:rPr>
            <w:rStyle w:val="Hiperligao"/>
            <w:rFonts w:ascii="Times New Roman" w:hAnsi="Times New Roman" w:cs="Times New Roman"/>
            <w:noProof/>
            <w:sz w:val="22"/>
            <w:szCs w:val="22"/>
          </w:rPr>
          <w:t>Photo 2 : Photos Illustrations du réservoir 1 - quartier Aéroport</w:t>
        </w:r>
        <w:r w:rsidR="00436E89" w:rsidRPr="00436E89">
          <w:rPr>
            <w:rFonts w:ascii="Times New Roman" w:hAnsi="Times New Roman" w:cs="Times New Roman"/>
            <w:noProof/>
            <w:webHidden/>
            <w:sz w:val="22"/>
            <w:szCs w:val="22"/>
          </w:rPr>
          <w:tab/>
        </w:r>
        <w:r w:rsidR="00436E89" w:rsidRPr="00436E89">
          <w:rPr>
            <w:rFonts w:ascii="Times New Roman" w:hAnsi="Times New Roman" w:cs="Times New Roman"/>
            <w:noProof/>
            <w:webHidden/>
            <w:sz w:val="22"/>
            <w:szCs w:val="22"/>
          </w:rPr>
          <w:fldChar w:fldCharType="begin"/>
        </w:r>
        <w:r w:rsidR="00436E89" w:rsidRPr="00436E89">
          <w:rPr>
            <w:rFonts w:ascii="Times New Roman" w:hAnsi="Times New Roman" w:cs="Times New Roman"/>
            <w:noProof/>
            <w:webHidden/>
            <w:sz w:val="22"/>
            <w:szCs w:val="22"/>
          </w:rPr>
          <w:instrText xml:space="preserve"> PAGEREF _Toc32512053 \h </w:instrText>
        </w:r>
        <w:r w:rsidR="00436E89" w:rsidRPr="00436E89">
          <w:rPr>
            <w:rFonts w:ascii="Times New Roman" w:hAnsi="Times New Roman" w:cs="Times New Roman"/>
            <w:noProof/>
            <w:webHidden/>
            <w:sz w:val="22"/>
            <w:szCs w:val="22"/>
          </w:rPr>
        </w:r>
        <w:r w:rsidR="00436E89" w:rsidRPr="00436E89">
          <w:rPr>
            <w:rFonts w:ascii="Times New Roman" w:hAnsi="Times New Roman" w:cs="Times New Roman"/>
            <w:noProof/>
            <w:webHidden/>
            <w:sz w:val="22"/>
            <w:szCs w:val="22"/>
          </w:rPr>
          <w:fldChar w:fldCharType="separate"/>
        </w:r>
        <w:r w:rsidR="00820701">
          <w:rPr>
            <w:rFonts w:ascii="Times New Roman" w:hAnsi="Times New Roman" w:cs="Times New Roman"/>
            <w:noProof/>
            <w:webHidden/>
            <w:sz w:val="22"/>
            <w:szCs w:val="22"/>
          </w:rPr>
          <w:t>68</w:t>
        </w:r>
        <w:r w:rsidR="00436E89" w:rsidRPr="00436E89">
          <w:rPr>
            <w:rFonts w:ascii="Times New Roman" w:hAnsi="Times New Roman" w:cs="Times New Roman"/>
            <w:noProof/>
            <w:webHidden/>
            <w:sz w:val="22"/>
            <w:szCs w:val="22"/>
          </w:rPr>
          <w:fldChar w:fldCharType="end"/>
        </w:r>
      </w:hyperlink>
    </w:p>
    <w:p w:rsidR="00436E89" w:rsidRPr="00436E89" w:rsidRDefault="007055AF">
      <w:pPr>
        <w:pStyle w:val="ndicedeilustraes"/>
        <w:tabs>
          <w:tab w:val="right" w:leader="dot" w:pos="9062"/>
        </w:tabs>
        <w:rPr>
          <w:rFonts w:ascii="Times New Roman" w:eastAsiaTheme="minorEastAsia" w:hAnsi="Times New Roman" w:cs="Times New Roman"/>
          <w:smallCaps w:val="0"/>
          <w:noProof/>
          <w:sz w:val="22"/>
          <w:szCs w:val="22"/>
          <w:lang w:eastAsia="fr-FR"/>
        </w:rPr>
      </w:pPr>
      <w:hyperlink w:anchor="_Toc32512054" w:history="1">
        <w:r w:rsidR="00436E89" w:rsidRPr="00436E89">
          <w:rPr>
            <w:rStyle w:val="Hiperligao"/>
            <w:rFonts w:ascii="Times New Roman" w:hAnsi="Times New Roman" w:cs="Times New Roman"/>
            <w:noProof/>
            <w:sz w:val="22"/>
            <w:szCs w:val="22"/>
          </w:rPr>
          <w:t>Photo 3 : Photos Illustrations du réservoir 2 - quartier Aéroport</w:t>
        </w:r>
        <w:r w:rsidR="00436E89" w:rsidRPr="00436E89">
          <w:rPr>
            <w:rFonts w:ascii="Times New Roman" w:hAnsi="Times New Roman" w:cs="Times New Roman"/>
            <w:noProof/>
            <w:webHidden/>
            <w:sz w:val="22"/>
            <w:szCs w:val="22"/>
          </w:rPr>
          <w:tab/>
        </w:r>
        <w:r w:rsidR="00436E89" w:rsidRPr="00436E89">
          <w:rPr>
            <w:rFonts w:ascii="Times New Roman" w:hAnsi="Times New Roman" w:cs="Times New Roman"/>
            <w:noProof/>
            <w:webHidden/>
            <w:sz w:val="22"/>
            <w:szCs w:val="22"/>
          </w:rPr>
          <w:fldChar w:fldCharType="begin"/>
        </w:r>
        <w:r w:rsidR="00436E89" w:rsidRPr="00436E89">
          <w:rPr>
            <w:rFonts w:ascii="Times New Roman" w:hAnsi="Times New Roman" w:cs="Times New Roman"/>
            <w:noProof/>
            <w:webHidden/>
            <w:sz w:val="22"/>
            <w:szCs w:val="22"/>
          </w:rPr>
          <w:instrText xml:space="preserve"> PAGEREF _Toc32512054 \h </w:instrText>
        </w:r>
        <w:r w:rsidR="00436E89" w:rsidRPr="00436E89">
          <w:rPr>
            <w:rFonts w:ascii="Times New Roman" w:hAnsi="Times New Roman" w:cs="Times New Roman"/>
            <w:noProof/>
            <w:webHidden/>
            <w:sz w:val="22"/>
            <w:szCs w:val="22"/>
          </w:rPr>
        </w:r>
        <w:r w:rsidR="00436E89" w:rsidRPr="00436E89">
          <w:rPr>
            <w:rFonts w:ascii="Times New Roman" w:hAnsi="Times New Roman" w:cs="Times New Roman"/>
            <w:noProof/>
            <w:webHidden/>
            <w:sz w:val="22"/>
            <w:szCs w:val="22"/>
          </w:rPr>
          <w:fldChar w:fldCharType="separate"/>
        </w:r>
        <w:r w:rsidR="00820701">
          <w:rPr>
            <w:rFonts w:ascii="Times New Roman" w:hAnsi="Times New Roman" w:cs="Times New Roman"/>
            <w:noProof/>
            <w:webHidden/>
            <w:sz w:val="22"/>
            <w:szCs w:val="22"/>
          </w:rPr>
          <w:t>69</w:t>
        </w:r>
        <w:r w:rsidR="00436E89" w:rsidRPr="00436E89">
          <w:rPr>
            <w:rFonts w:ascii="Times New Roman" w:hAnsi="Times New Roman" w:cs="Times New Roman"/>
            <w:noProof/>
            <w:webHidden/>
            <w:sz w:val="22"/>
            <w:szCs w:val="22"/>
          </w:rPr>
          <w:fldChar w:fldCharType="end"/>
        </w:r>
      </w:hyperlink>
    </w:p>
    <w:p w:rsidR="00436E89" w:rsidRPr="00436E89" w:rsidRDefault="007055AF">
      <w:pPr>
        <w:pStyle w:val="ndicedeilustraes"/>
        <w:tabs>
          <w:tab w:val="right" w:leader="dot" w:pos="9062"/>
        </w:tabs>
        <w:rPr>
          <w:rFonts w:ascii="Times New Roman" w:eastAsiaTheme="minorEastAsia" w:hAnsi="Times New Roman" w:cs="Times New Roman"/>
          <w:smallCaps w:val="0"/>
          <w:noProof/>
          <w:sz w:val="22"/>
          <w:szCs w:val="22"/>
          <w:lang w:eastAsia="fr-FR"/>
        </w:rPr>
      </w:pPr>
      <w:hyperlink w:anchor="_Toc32512055" w:history="1">
        <w:r w:rsidR="00436E89" w:rsidRPr="00436E89">
          <w:rPr>
            <w:rStyle w:val="Hiperligao"/>
            <w:rFonts w:ascii="Times New Roman" w:hAnsi="Times New Roman" w:cs="Times New Roman"/>
            <w:noProof/>
            <w:sz w:val="22"/>
            <w:szCs w:val="22"/>
          </w:rPr>
          <w:t>Photo 4 : Photos Illustrations</w:t>
        </w:r>
        <w:r w:rsidR="00436E89" w:rsidRPr="00436E89">
          <w:rPr>
            <w:rStyle w:val="Hiperligao"/>
            <w:rFonts w:ascii="Times New Roman" w:eastAsia="Arial" w:hAnsi="Times New Roman" w:cs="Times New Roman"/>
            <w:noProof/>
            <w:sz w:val="22"/>
            <w:szCs w:val="22"/>
          </w:rPr>
          <w:t xml:space="preserve"> de l’emplacement prévu du réservoir à Bôr</w:t>
        </w:r>
        <w:r w:rsidR="00436E89" w:rsidRPr="00436E89">
          <w:rPr>
            <w:rFonts w:ascii="Times New Roman" w:hAnsi="Times New Roman" w:cs="Times New Roman"/>
            <w:noProof/>
            <w:webHidden/>
            <w:sz w:val="22"/>
            <w:szCs w:val="22"/>
          </w:rPr>
          <w:tab/>
        </w:r>
        <w:r w:rsidR="00436E89" w:rsidRPr="00436E89">
          <w:rPr>
            <w:rFonts w:ascii="Times New Roman" w:hAnsi="Times New Roman" w:cs="Times New Roman"/>
            <w:noProof/>
            <w:webHidden/>
            <w:sz w:val="22"/>
            <w:szCs w:val="22"/>
          </w:rPr>
          <w:fldChar w:fldCharType="begin"/>
        </w:r>
        <w:r w:rsidR="00436E89" w:rsidRPr="00436E89">
          <w:rPr>
            <w:rFonts w:ascii="Times New Roman" w:hAnsi="Times New Roman" w:cs="Times New Roman"/>
            <w:noProof/>
            <w:webHidden/>
            <w:sz w:val="22"/>
            <w:szCs w:val="22"/>
          </w:rPr>
          <w:instrText xml:space="preserve"> PAGEREF _Toc32512055 \h </w:instrText>
        </w:r>
        <w:r w:rsidR="00436E89" w:rsidRPr="00436E89">
          <w:rPr>
            <w:rFonts w:ascii="Times New Roman" w:hAnsi="Times New Roman" w:cs="Times New Roman"/>
            <w:noProof/>
            <w:webHidden/>
            <w:sz w:val="22"/>
            <w:szCs w:val="22"/>
          </w:rPr>
        </w:r>
        <w:r w:rsidR="00436E89" w:rsidRPr="00436E89">
          <w:rPr>
            <w:rFonts w:ascii="Times New Roman" w:hAnsi="Times New Roman" w:cs="Times New Roman"/>
            <w:noProof/>
            <w:webHidden/>
            <w:sz w:val="22"/>
            <w:szCs w:val="22"/>
          </w:rPr>
          <w:fldChar w:fldCharType="separate"/>
        </w:r>
        <w:r w:rsidR="00820701">
          <w:rPr>
            <w:rFonts w:ascii="Times New Roman" w:hAnsi="Times New Roman" w:cs="Times New Roman"/>
            <w:noProof/>
            <w:webHidden/>
            <w:sz w:val="22"/>
            <w:szCs w:val="22"/>
          </w:rPr>
          <w:t>70</w:t>
        </w:r>
        <w:r w:rsidR="00436E89" w:rsidRPr="00436E89">
          <w:rPr>
            <w:rFonts w:ascii="Times New Roman" w:hAnsi="Times New Roman" w:cs="Times New Roman"/>
            <w:noProof/>
            <w:webHidden/>
            <w:sz w:val="22"/>
            <w:szCs w:val="22"/>
          </w:rPr>
          <w:fldChar w:fldCharType="end"/>
        </w:r>
      </w:hyperlink>
    </w:p>
    <w:p w:rsidR="00436E89" w:rsidRPr="00436E89" w:rsidRDefault="007055AF">
      <w:pPr>
        <w:pStyle w:val="ndicedeilustraes"/>
        <w:tabs>
          <w:tab w:val="right" w:leader="dot" w:pos="9062"/>
        </w:tabs>
        <w:rPr>
          <w:rFonts w:ascii="Times New Roman" w:eastAsiaTheme="minorEastAsia" w:hAnsi="Times New Roman" w:cs="Times New Roman"/>
          <w:smallCaps w:val="0"/>
          <w:noProof/>
          <w:sz w:val="22"/>
          <w:szCs w:val="22"/>
          <w:lang w:eastAsia="fr-FR"/>
        </w:rPr>
      </w:pPr>
      <w:hyperlink w:anchor="_Toc32512056" w:history="1">
        <w:r w:rsidR="00436E89" w:rsidRPr="00436E89">
          <w:rPr>
            <w:rStyle w:val="Hiperligao"/>
            <w:rFonts w:ascii="Times New Roman" w:hAnsi="Times New Roman" w:cs="Times New Roman"/>
            <w:noProof/>
            <w:sz w:val="22"/>
            <w:szCs w:val="22"/>
          </w:rPr>
          <w:t>Photo 5 : Photos Illustrations de l’emplacement prévu du réservoir à Prabis</w:t>
        </w:r>
        <w:r w:rsidR="00436E89" w:rsidRPr="00436E89">
          <w:rPr>
            <w:rFonts w:ascii="Times New Roman" w:hAnsi="Times New Roman" w:cs="Times New Roman"/>
            <w:noProof/>
            <w:webHidden/>
            <w:sz w:val="22"/>
            <w:szCs w:val="22"/>
          </w:rPr>
          <w:tab/>
        </w:r>
        <w:r w:rsidR="00436E89" w:rsidRPr="00436E89">
          <w:rPr>
            <w:rFonts w:ascii="Times New Roman" w:hAnsi="Times New Roman" w:cs="Times New Roman"/>
            <w:noProof/>
            <w:webHidden/>
            <w:sz w:val="22"/>
            <w:szCs w:val="22"/>
          </w:rPr>
          <w:fldChar w:fldCharType="begin"/>
        </w:r>
        <w:r w:rsidR="00436E89" w:rsidRPr="00436E89">
          <w:rPr>
            <w:rFonts w:ascii="Times New Roman" w:hAnsi="Times New Roman" w:cs="Times New Roman"/>
            <w:noProof/>
            <w:webHidden/>
            <w:sz w:val="22"/>
            <w:szCs w:val="22"/>
          </w:rPr>
          <w:instrText xml:space="preserve"> PAGEREF _Toc32512056 \h </w:instrText>
        </w:r>
        <w:r w:rsidR="00436E89" w:rsidRPr="00436E89">
          <w:rPr>
            <w:rFonts w:ascii="Times New Roman" w:hAnsi="Times New Roman" w:cs="Times New Roman"/>
            <w:noProof/>
            <w:webHidden/>
            <w:sz w:val="22"/>
            <w:szCs w:val="22"/>
          </w:rPr>
        </w:r>
        <w:r w:rsidR="00436E89" w:rsidRPr="00436E89">
          <w:rPr>
            <w:rFonts w:ascii="Times New Roman" w:hAnsi="Times New Roman" w:cs="Times New Roman"/>
            <w:noProof/>
            <w:webHidden/>
            <w:sz w:val="22"/>
            <w:szCs w:val="22"/>
          </w:rPr>
          <w:fldChar w:fldCharType="separate"/>
        </w:r>
        <w:r w:rsidR="00820701">
          <w:rPr>
            <w:rFonts w:ascii="Times New Roman" w:hAnsi="Times New Roman" w:cs="Times New Roman"/>
            <w:noProof/>
            <w:webHidden/>
            <w:sz w:val="22"/>
            <w:szCs w:val="22"/>
          </w:rPr>
          <w:t>71</w:t>
        </w:r>
        <w:r w:rsidR="00436E89" w:rsidRPr="00436E89">
          <w:rPr>
            <w:rFonts w:ascii="Times New Roman" w:hAnsi="Times New Roman" w:cs="Times New Roman"/>
            <w:noProof/>
            <w:webHidden/>
            <w:sz w:val="22"/>
            <w:szCs w:val="22"/>
          </w:rPr>
          <w:fldChar w:fldCharType="end"/>
        </w:r>
      </w:hyperlink>
    </w:p>
    <w:p w:rsidR="00436E89" w:rsidRPr="00436E89" w:rsidRDefault="007055AF">
      <w:pPr>
        <w:pStyle w:val="ndicedeilustraes"/>
        <w:tabs>
          <w:tab w:val="right" w:leader="dot" w:pos="9062"/>
        </w:tabs>
        <w:rPr>
          <w:rFonts w:ascii="Times New Roman" w:eastAsiaTheme="minorEastAsia" w:hAnsi="Times New Roman" w:cs="Times New Roman"/>
          <w:smallCaps w:val="0"/>
          <w:noProof/>
          <w:sz w:val="22"/>
          <w:szCs w:val="22"/>
          <w:lang w:eastAsia="fr-FR"/>
        </w:rPr>
      </w:pPr>
      <w:hyperlink w:anchor="_Toc32512057" w:history="1">
        <w:r w:rsidR="00436E89" w:rsidRPr="00436E89">
          <w:rPr>
            <w:rStyle w:val="Hiperligao"/>
            <w:rFonts w:ascii="Times New Roman" w:hAnsi="Times New Roman" w:cs="Times New Roman"/>
            <w:noProof/>
            <w:sz w:val="22"/>
            <w:szCs w:val="22"/>
          </w:rPr>
          <w:t>Photo 6 : Photos Illustrations de l’emplacement prévu du réservoir à Safim</w:t>
        </w:r>
        <w:r w:rsidR="00436E89" w:rsidRPr="00436E89">
          <w:rPr>
            <w:rFonts w:ascii="Times New Roman" w:hAnsi="Times New Roman" w:cs="Times New Roman"/>
            <w:noProof/>
            <w:webHidden/>
            <w:sz w:val="22"/>
            <w:szCs w:val="22"/>
          </w:rPr>
          <w:tab/>
        </w:r>
        <w:r w:rsidR="00436E89" w:rsidRPr="00436E89">
          <w:rPr>
            <w:rFonts w:ascii="Times New Roman" w:hAnsi="Times New Roman" w:cs="Times New Roman"/>
            <w:noProof/>
            <w:webHidden/>
            <w:sz w:val="22"/>
            <w:szCs w:val="22"/>
          </w:rPr>
          <w:fldChar w:fldCharType="begin"/>
        </w:r>
        <w:r w:rsidR="00436E89" w:rsidRPr="00436E89">
          <w:rPr>
            <w:rFonts w:ascii="Times New Roman" w:hAnsi="Times New Roman" w:cs="Times New Roman"/>
            <w:noProof/>
            <w:webHidden/>
            <w:sz w:val="22"/>
            <w:szCs w:val="22"/>
          </w:rPr>
          <w:instrText xml:space="preserve"> PAGEREF _Toc32512057 \h </w:instrText>
        </w:r>
        <w:r w:rsidR="00436E89" w:rsidRPr="00436E89">
          <w:rPr>
            <w:rFonts w:ascii="Times New Roman" w:hAnsi="Times New Roman" w:cs="Times New Roman"/>
            <w:noProof/>
            <w:webHidden/>
            <w:sz w:val="22"/>
            <w:szCs w:val="22"/>
          </w:rPr>
        </w:r>
        <w:r w:rsidR="00436E89" w:rsidRPr="00436E89">
          <w:rPr>
            <w:rFonts w:ascii="Times New Roman" w:hAnsi="Times New Roman" w:cs="Times New Roman"/>
            <w:noProof/>
            <w:webHidden/>
            <w:sz w:val="22"/>
            <w:szCs w:val="22"/>
          </w:rPr>
          <w:fldChar w:fldCharType="separate"/>
        </w:r>
        <w:r w:rsidR="00820701">
          <w:rPr>
            <w:rFonts w:ascii="Times New Roman" w:hAnsi="Times New Roman" w:cs="Times New Roman"/>
            <w:noProof/>
            <w:webHidden/>
            <w:sz w:val="22"/>
            <w:szCs w:val="22"/>
          </w:rPr>
          <w:t>72</w:t>
        </w:r>
        <w:r w:rsidR="00436E89" w:rsidRPr="00436E89">
          <w:rPr>
            <w:rFonts w:ascii="Times New Roman" w:hAnsi="Times New Roman" w:cs="Times New Roman"/>
            <w:noProof/>
            <w:webHidden/>
            <w:sz w:val="22"/>
            <w:szCs w:val="22"/>
          </w:rPr>
          <w:fldChar w:fldCharType="end"/>
        </w:r>
      </w:hyperlink>
    </w:p>
    <w:p w:rsidR="00436E89" w:rsidRPr="00436E89" w:rsidRDefault="007055AF">
      <w:pPr>
        <w:pStyle w:val="ndicedeilustraes"/>
        <w:tabs>
          <w:tab w:val="right" w:leader="dot" w:pos="9062"/>
        </w:tabs>
        <w:rPr>
          <w:rFonts w:ascii="Times New Roman" w:eastAsiaTheme="minorEastAsia" w:hAnsi="Times New Roman" w:cs="Times New Roman"/>
          <w:smallCaps w:val="0"/>
          <w:noProof/>
          <w:sz w:val="22"/>
          <w:szCs w:val="22"/>
          <w:lang w:eastAsia="fr-FR"/>
        </w:rPr>
      </w:pPr>
      <w:hyperlink w:anchor="_Toc32512058" w:history="1">
        <w:r w:rsidR="00436E89" w:rsidRPr="00436E89">
          <w:rPr>
            <w:rStyle w:val="Hiperligao"/>
            <w:rFonts w:ascii="Times New Roman" w:hAnsi="Times New Roman" w:cs="Times New Roman"/>
            <w:noProof/>
            <w:sz w:val="22"/>
            <w:szCs w:val="22"/>
          </w:rPr>
          <w:t>Photo 7 : Photos Illustrations de l’emplacement prévu du réservoir à Antula-Pime</w:t>
        </w:r>
        <w:r w:rsidR="00436E89" w:rsidRPr="00436E89">
          <w:rPr>
            <w:rFonts w:ascii="Times New Roman" w:hAnsi="Times New Roman" w:cs="Times New Roman"/>
            <w:noProof/>
            <w:webHidden/>
            <w:sz w:val="22"/>
            <w:szCs w:val="22"/>
          </w:rPr>
          <w:tab/>
        </w:r>
        <w:r w:rsidR="00436E89" w:rsidRPr="00436E89">
          <w:rPr>
            <w:rFonts w:ascii="Times New Roman" w:hAnsi="Times New Roman" w:cs="Times New Roman"/>
            <w:noProof/>
            <w:webHidden/>
            <w:sz w:val="22"/>
            <w:szCs w:val="22"/>
          </w:rPr>
          <w:fldChar w:fldCharType="begin"/>
        </w:r>
        <w:r w:rsidR="00436E89" w:rsidRPr="00436E89">
          <w:rPr>
            <w:rFonts w:ascii="Times New Roman" w:hAnsi="Times New Roman" w:cs="Times New Roman"/>
            <w:noProof/>
            <w:webHidden/>
            <w:sz w:val="22"/>
            <w:szCs w:val="22"/>
          </w:rPr>
          <w:instrText xml:space="preserve"> PAGEREF _Toc32512058 \h </w:instrText>
        </w:r>
        <w:r w:rsidR="00436E89" w:rsidRPr="00436E89">
          <w:rPr>
            <w:rFonts w:ascii="Times New Roman" w:hAnsi="Times New Roman" w:cs="Times New Roman"/>
            <w:noProof/>
            <w:webHidden/>
            <w:sz w:val="22"/>
            <w:szCs w:val="22"/>
          </w:rPr>
        </w:r>
        <w:r w:rsidR="00436E89" w:rsidRPr="00436E89">
          <w:rPr>
            <w:rFonts w:ascii="Times New Roman" w:hAnsi="Times New Roman" w:cs="Times New Roman"/>
            <w:noProof/>
            <w:webHidden/>
            <w:sz w:val="22"/>
            <w:szCs w:val="22"/>
          </w:rPr>
          <w:fldChar w:fldCharType="separate"/>
        </w:r>
        <w:r w:rsidR="00820701">
          <w:rPr>
            <w:rFonts w:ascii="Times New Roman" w:hAnsi="Times New Roman" w:cs="Times New Roman"/>
            <w:noProof/>
            <w:webHidden/>
            <w:sz w:val="22"/>
            <w:szCs w:val="22"/>
          </w:rPr>
          <w:t>73</w:t>
        </w:r>
        <w:r w:rsidR="00436E89" w:rsidRPr="00436E89">
          <w:rPr>
            <w:rFonts w:ascii="Times New Roman" w:hAnsi="Times New Roman" w:cs="Times New Roman"/>
            <w:noProof/>
            <w:webHidden/>
            <w:sz w:val="22"/>
            <w:szCs w:val="22"/>
          </w:rPr>
          <w:fldChar w:fldCharType="end"/>
        </w:r>
      </w:hyperlink>
    </w:p>
    <w:p w:rsidR="00436E89" w:rsidRPr="00436E89" w:rsidRDefault="007055AF">
      <w:pPr>
        <w:pStyle w:val="ndicedeilustraes"/>
        <w:tabs>
          <w:tab w:val="right" w:leader="dot" w:pos="9062"/>
        </w:tabs>
        <w:rPr>
          <w:rFonts w:ascii="Times New Roman" w:eastAsiaTheme="minorEastAsia" w:hAnsi="Times New Roman" w:cs="Times New Roman"/>
          <w:smallCaps w:val="0"/>
          <w:noProof/>
          <w:sz w:val="22"/>
          <w:szCs w:val="22"/>
          <w:lang w:eastAsia="fr-FR"/>
        </w:rPr>
      </w:pPr>
      <w:hyperlink w:anchor="_Toc32512059" w:history="1">
        <w:r w:rsidR="00436E89" w:rsidRPr="00436E89">
          <w:rPr>
            <w:rStyle w:val="Hiperligao"/>
            <w:rFonts w:ascii="Times New Roman" w:hAnsi="Times New Roman" w:cs="Times New Roman"/>
            <w:noProof/>
            <w:sz w:val="22"/>
            <w:szCs w:val="22"/>
          </w:rPr>
          <w:t>Photo 8 : Photos d’illustration de la réunion de cadrage du 08 Mai 2019</w:t>
        </w:r>
        <w:r w:rsidR="00436E89" w:rsidRPr="00436E89">
          <w:rPr>
            <w:rFonts w:ascii="Times New Roman" w:hAnsi="Times New Roman" w:cs="Times New Roman"/>
            <w:noProof/>
            <w:webHidden/>
            <w:sz w:val="22"/>
            <w:szCs w:val="22"/>
          </w:rPr>
          <w:tab/>
        </w:r>
        <w:r w:rsidR="00436E89" w:rsidRPr="00436E89">
          <w:rPr>
            <w:rFonts w:ascii="Times New Roman" w:hAnsi="Times New Roman" w:cs="Times New Roman"/>
            <w:noProof/>
            <w:webHidden/>
            <w:sz w:val="22"/>
            <w:szCs w:val="22"/>
          </w:rPr>
          <w:fldChar w:fldCharType="begin"/>
        </w:r>
        <w:r w:rsidR="00436E89" w:rsidRPr="00436E89">
          <w:rPr>
            <w:rFonts w:ascii="Times New Roman" w:hAnsi="Times New Roman" w:cs="Times New Roman"/>
            <w:noProof/>
            <w:webHidden/>
            <w:sz w:val="22"/>
            <w:szCs w:val="22"/>
          </w:rPr>
          <w:instrText xml:space="preserve"> PAGEREF _Toc32512059 \h </w:instrText>
        </w:r>
        <w:r w:rsidR="00436E89" w:rsidRPr="00436E89">
          <w:rPr>
            <w:rFonts w:ascii="Times New Roman" w:hAnsi="Times New Roman" w:cs="Times New Roman"/>
            <w:noProof/>
            <w:webHidden/>
            <w:sz w:val="22"/>
            <w:szCs w:val="22"/>
          </w:rPr>
        </w:r>
        <w:r w:rsidR="00436E89" w:rsidRPr="00436E89">
          <w:rPr>
            <w:rFonts w:ascii="Times New Roman" w:hAnsi="Times New Roman" w:cs="Times New Roman"/>
            <w:noProof/>
            <w:webHidden/>
            <w:sz w:val="22"/>
            <w:szCs w:val="22"/>
          </w:rPr>
          <w:fldChar w:fldCharType="separate"/>
        </w:r>
        <w:r w:rsidR="00820701">
          <w:rPr>
            <w:rFonts w:ascii="Times New Roman" w:hAnsi="Times New Roman" w:cs="Times New Roman"/>
            <w:noProof/>
            <w:webHidden/>
            <w:sz w:val="22"/>
            <w:szCs w:val="22"/>
          </w:rPr>
          <w:t>193</w:t>
        </w:r>
        <w:r w:rsidR="00436E89" w:rsidRPr="00436E89">
          <w:rPr>
            <w:rFonts w:ascii="Times New Roman" w:hAnsi="Times New Roman" w:cs="Times New Roman"/>
            <w:noProof/>
            <w:webHidden/>
            <w:sz w:val="22"/>
            <w:szCs w:val="22"/>
          </w:rPr>
          <w:fldChar w:fldCharType="end"/>
        </w:r>
      </w:hyperlink>
    </w:p>
    <w:p w:rsidR="00436E89" w:rsidRPr="00436E89" w:rsidRDefault="007055AF">
      <w:pPr>
        <w:pStyle w:val="ndicedeilustraes"/>
        <w:tabs>
          <w:tab w:val="right" w:leader="dot" w:pos="9062"/>
        </w:tabs>
        <w:rPr>
          <w:rFonts w:ascii="Times New Roman" w:eastAsiaTheme="minorEastAsia" w:hAnsi="Times New Roman" w:cs="Times New Roman"/>
          <w:smallCaps w:val="0"/>
          <w:noProof/>
          <w:sz w:val="22"/>
          <w:szCs w:val="22"/>
          <w:lang w:eastAsia="fr-FR"/>
        </w:rPr>
      </w:pPr>
      <w:hyperlink w:anchor="_Toc32512060" w:history="1">
        <w:r w:rsidR="00436E89" w:rsidRPr="00436E89">
          <w:rPr>
            <w:rStyle w:val="Hiperligao"/>
            <w:rFonts w:ascii="Times New Roman" w:hAnsi="Times New Roman" w:cs="Times New Roman"/>
            <w:noProof/>
            <w:sz w:val="22"/>
            <w:szCs w:val="22"/>
          </w:rPr>
          <w:t>Photo 9 : Au niveau de PRABIS, ces photos ont été prises pen</w:t>
        </w:r>
        <w:r w:rsidR="00436E89">
          <w:rPr>
            <w:rStyle w:val="Hiperligao"/>
            <w:rFonts w:ascii="Times New Roman" w:hAnsi="Times New Roman" w:cs="Times New Roman"/>
            <w:noProof/>
            <w:sz w:val="22"/>
            <w:szCs w:val="22"/>
          </w:rPr>
          <w:t xml:space="preserve">dant les focus groupes </w:t>
        </w:r>
        <w:r w:rsidR="00436E89" w:rsidRPr="00436E89">
          <w:rPr>
            <w:rFonts w:ascii="Times New Roman" w:hAnsi="Times New Roman" w:cs="Times New Roman"/>
            <w:noProof/>
            <w:webHidden/>
            <w:sz w:val="22"/>
            <w:szCs w:val="22"/>
          </w:rPr>
          <w:tab/>
        </w:r>
        <w:r w:rsidR="00436E89" w:rsidRPr="00436E89">
          <w:rPr>
            <w:rFonts w:ascii="Times New Roman" w:hAnsi="Times New Roman" w:cs="Times New Roman"/>
            <w:noProof/>
            <w:webHidden/>
            <w:sz w:val="22"/>
            <w:szCs w:val="22"/>
          </w:rPr>
          <w:fldChar w:fldCharType="begin"/>
        </w:r>
        <w:r w:rsidR="00436E89" w:rsidRPr="00436E89">
          <w:rPr>
            <w:rFonts w:ascii="Times New Roman" w:hAnsi="Times New Roman" w:cs="Times New Roman"/>
            <w:noProof/>
            <w:webHidden/>
            <w:sz w:val="22"/>
            <w:szCs w:val="22"/>
          </w:rPr>
          <w:instrText xml:space="preserve"> PAGEREF _Toc32512060 \h </w:instrText>
        </w:r>
        <w:r w:rsidR="00436E89" w:rsidRPr="00436E89">
          <w:rPr>
            <w:rFonts w:ascii="Times New Roman" w:hAnsi="Times New Roman" w:cs="Times New Roman"/>
            <w:noProof/>
            <w:webHidden/>
            <w:sz w:val="22"/>
            <w:szCs w:val="22"/>
          </w:rPr>
        </w:r>
        <w:r w:rsidR="00436E89" w:rsidRPr="00436E89">
          <w:rPr>
            <w:rFonts w:ascii="Times New Roman" w:hAnsi="Times New Roman" w:cs="Times New Roman"/>
            <w:noProof/>
            <w:webHidden/>
            <w:sz w:val="22"/>
            <w:szCs w:val="22"/>
          </w:rPr>
          <w:fldChar w:fldCharType="separate"/>
        </w:r>
        <w:r w:rsidR="00820701">
          <w:rPr>
            <w:rFonts w:ascii="Times New Roman" w:hAnsi="Times New Roman" w:cs="Times New Roman"/>
            <w:noProof/>
            <w:webHidden/>
            <w:sz w:val="22"/>
            <w:szCs w:val="22"/>
          </w:rPr>
          <w:t>199</w:t>
        </w:r>
        <w:r w:rsidR="00436E89" w:rsidRPr="00436E89">
          <w:rPr>
            <w:rFonts w:ascii="Times New Roman" w:hAnsi="Times New Roman" w:cs="Times New Roman"/>
            <w:noProof/>
            <w:webHidden/>
            <w:sz w:val="22"/>
            <w:szCs w:val="22"/>
          </w:rPr>
          <w:fldChar w:fldCharType="end"/>
        </w:r>
      </w:hyperlink>
    </w:p>
    <w:p w:rsidR="00436E89" w:rsidRPr="00436E89" w:rsidRDefault="007055AF">
      <w:pPr>
        <w:pStyle w:val="ndicedeilustraes"/>
        <w:tabs>
          <w:tab w:val="right" w:leader="dot" w:pos="9062"/>
        </w:tabs>
        <w:rPr>
          <w:rFonts w:ascii="Times New Roman" w:eastAsiaTheme="minorEastAsia" w:hAnsi="Times New Roman" w:cs="Times New Roman"/>
          <w:smallCaps w:val="0"/>
          <w:noProof/>
          <w:sz w:val="22"/>
          <w:szCs w:val="22"/>
          <w:lang w:eastAsia="fr-FR"/>
        </w:rPr>
      </w:pPr>
      <w:hyperlink w:anchor="_Toc32512061" w:history="1">
        <w:r w:rsidR="00436E89" w:rsidRPr="00436E89">
          <w:rPr>
            <w:rStyle w:val="Hiperligao"/>
            <w:rFonts w:ascii="Times New Roman" w:hAnsi="Times New Roman" w:cs="Times New Roman"/>
            <w:noProof/>
            <w:sz w:val="22"/>
            <w:szCs w:val="22"/>
          </w:rPr>
          <w:t>Photo 10 : Au niveau de BOR, ces photos ont été prises pe</w:t>
        </w:r>
        <w:r w:rsidR="00436E89">
          <w:rPr>
            <w:rStyle w:val="Hiperligao"/>
            <w:rFonts w:ascii="Times New Roman" w:hAnsi="Times New Roman" w:cs="Times New Roman"/>
            <w:noProof/>
            <w:sz w:val="22"/>
            <w:szCs w:val="22"/>
          </w:rPr>
          <w:t xml:space="preserve">ndant les focus groupes </w:t>
        </w:r>
        <w:r w:rsidR="00436E89" w:rsidRPr="00436E89">
          <w:rPr>
            <w:rFonts w:ascii="Times New Roman" w:hAnsi="Times New Roman" w:cs="Times New Roman"/>
            <w:noProof/>
            <w:webHidden/>
            <w:sz w:val="22"/>
            <w:szCs w:val="22"/>
          </w:rPr>
          <w:tab/>
        </w:r>
        <w:r w:rsidR="00436E89" w:rsidRPr="00436E89">
          <w:rPr>
            <w:rFonts w:ascii="Times New Roman" w:hAnsi="Times New Roman" w:cs="Times New Roman"/>
            <w:noProof/>
            <w:webHidden/>
            <w:sz w:val="22"/>
            <w:szCs w:val="22"/>
          </w:rPr>
          <w:fldChar w:fldCharType="begin"/>
        </w:r>
        <w:r w:rsidR="00436E89" w:rsidRPr="00436E89">
          <w:rPr>
            <w:rFonts w:ascii="Times New Roman" w:hAnsi="Times New Roman" w:cs="Times New Roman"/>
            <w:noProof/>
            <w:webHidden/>
            <w:sz w:val="22"/>
            <w:szCs w:val="22"/>
          </w:rPr>
          <w:instrText xml:space="preserve"> PAGEREF _Toc32512061 \h </w:instrText>
        </w:r>
        <w:r w:rsidR="00436E89" w:rsidRPr="00436E89">
          <w:rPr>
            <w:rFonts w:ascii="Times New Roman" w:hAnsi="Times New Roman" w:cs="Times New Roman"/>
            <w:noProof/>
            <w:webHidden/>
            <w:sz w:val="22"/>
            <w:szCs w:val="22"/>
          </w:rPr>
        </w:r>
        <w:r w:rsidR="00436E89" w:rsidRPr="00436E89">
          <w:rPr>
            <w:rFonts w:ascii="Times New Roman" w:hAnsi="Times New Roman" w:cs="Times New Roman"/>
            <w:noProof/>
            <w:webHidden/>
            <w:sz w:val="22"/>
            <w:szCs w:val="22"/>
          </w:rPr>
          <w:fldChar w:fldCharType="separate"/>
        </w:r>
        <w:r w:rsidR="00820701">
          <w:rPr>
            <w:rFonts w:ascii="Times New Roman" w:hAnsi="Times New Roman" w:cs="Times New Roman"/>
            <w:noProof/>
            <w:webHidden/>
            <w:sz w:val="22"/>
            <w:szCs w:val="22"/>
          </w:rPr>
          <w:t>200</w:t>
        </w:r>
        <w:r w:rsidR="00436E89" w:rsidRPr="00436E89">
          <w:rPr>
            <w:rFonts w:ascii="Times New Roman" w:hAnsi="Times New Roman" w:cs="Times New Roman"/>
            <w:noProof/>
            <w:webHidden/>
            <w:sz w:val="22"/>
            <w:szCs w:val="22"/>
          </w:rPr>
          <w:fldChar w:fldCharType="end"/>
        </w:r>
      </w:hyperlink>
    </w:p>
    <w:p w:rsidR="00436E89" w:rsidRPr="00436E89" w:rsidRDefault="007055AF">
      <w:pPr>
        <w:pStyle w:val="ndicedeilustraes"/>
        <w:tabs>
          <w:tab w:val="right" w:leader="dot" w:pos="9062"/>
        </w:tabs>
        <w:rPr>
          <w:rFonts w:ascii="Times New Roman" w:eastAsiaTheme="minorEastAsia" w:hAnsi="Times New Roman" w:cs="Times New Roman"/>
          <w:smallCaps w:val="0"/>
          <w:noProof/>
          <w:sz w:val="22"/>
          <w:szCs w:val="22"/>
          <w:lang w:eastAsia="fr-FR"/>
        </w:rPr>
      </w:pPr>
      <w:hyperlink w:anchor="_Toc32512062" w:history="1">
        <w:r w:rsidR="00436E89" w:rsidRPr="00436E89">
          <w:rPr>
            <w:rStyle w:val="Hiperligao"/>
            <w:rFonts w:ascii="Times New Roman" w:hAnsi="Times New Roman" w:cs="Times New Roman"/>
            <w:noProof/>
            <w:sz w:val="22"/>
            <w:szCs w:val="22"/>
          </w:rPr>
          <w:t>Photo 11 : Au niveau de HAFIA, ces photos ont été prises pen</w:t>
        </w:r>
        <w:r w:rsidR="00436E89">
          <w:rPr>
            <w:rStyle w:val="Hiperligao"/>
            <w:rFonts w:ascii="Times New Roman" w:hAnsi="Times New Roman" w:cs="Times New Roman"/>
            <w:noProof/>
            <w:sz w:val="22"/>
            <w:szCs w:val="22"/>
          </w:rPr>
          <w:t xml:space="preserve">dant les focus groupes </w:t>
        </w:r>
        <w:r w:rsidR="00436E89" w:rsidRPr="00436E89">
          <w:rPr>
            <w:rFonts w:ascii="Times New Roman" w:hAnsi="Times New Roman" w:cs="Times New Roman"/>
            <w:noProof/>
            <w:webHidden/>
            <w:sz w:val="22"/>
            <w:szCs w:val="22"/>
          </w:rPr>
          <w:tab/>
        </w:r>
        <w:r w:rsidR="00436E89" w:rsidRPr="00436E89">
          <w:rPr>
            <w:rFonts w:ascii="Times New Roman" w:hAnsi="Times New Roman" w:cs="Times New Roman"/>
            <w:noProof/>
            <w:webHidden/>
            <w:sz w:val="22"/>
            <w:szCs w:val="22"/>
          </w:rPr>
          <w:fldChar w:fldCharType="begin"/>
        </w:r>
        <w:r w:rsidR="00436E89" w:rsidRPr="00436E89">
          <w:rPr>
            <w:rFonts w:ascii="Times New Roman" w:hAnsi="Times New Roman" w:cs="Times New Roman"/>
            <w:noProof/>
            <w:webHidden/>
            <w:sz w:val="22"/>
            <w:szCs w:val="22"/>
          </w:rPr>
          <w:instrText xml:space="preserve"> PAGEREF _Toc32512062 \h </w:instrText>
        </w:r>
        <w:r w:rsidR="00436E89" w:rsidRPr="00436E89">
          <w:rPr>
            <w:rFonts w:ascii="Times New Roman" w:hAnsi="Times New Roman" w:cs="Times New Roman"/>
            <w:noProof/>
            <w:webHidden/>
            <w:sz w:val="22"/>
            <w:szCs w:val="22"/>
          </w:rPr>
        </w:r>
        <w:r w:rsidR="00436E89" w:rsidRPr="00436E89">
          <w:rPr>
            <w:rFonts w:ascii="Times New Roman" w:hAnsi="Times New Roman" w:cs="Times New Roman"/>
            <w:noProof/>
            <w:webHidden/>
            <w:sz w:val="22"/>
            <w:szCs w:val="22"/>
          </w:rPr>
          <w:fldChar w:fldCharType="separate"/>
        </w:r>
        <w:r w:rsidR="00820701">
          <w:rPr>
            <w:rFonts w:ascii="Times New Roman" w:hAnsi="Times New Roman" w:cs="Times New Roman"/>
            <w:noProof/>
            <w:webHidden/>
            <w:sz w:val="22"/>
            <w:szCs w:val="22"/>
          </w:rPr>
          <w:t>200</w:t>
        </w:r>
        <w:r w:rsidR="00436E89" w:rsidRPr="00436E89">
          <w:rPr>
            <w:rFonts w:ascii="Times New Roman" w:hAnsi="Times New Roman" w:cs="Times New Roman"/>
            <w:noProof/>
            <w:webHidden/>
            <w:sz w:val="22"/>
            <w:szCs w:val="22"/>
          </w:rPr>
          <w:fldChar w:fldCharType="end"/>
        </w:r>
      </w:hyperlink>
    </w:p>
    <w:p w:rsidR="00436E89" w:rsidRPr="00436E89" w:rsidRDefault="007055AF">
      <w:pPr>
        <w:pStyle w:val="ndicedeilustraes"/>
        <w:tabs>
          <w:tab w:val="right" w:leader="dot" w:pos="9062"/>
        </w:tabs>
        <w:rPr>
          <w:rFonts w:ascii="Times New Roman" w:eastAsiaTheme="minorEastAsia" w:hAnsi="Times New Roman" w:cs="Times New Roman"/>
          <w:smallCaps w:val="0"/>
          <w:noProof/>
          <w:sz w:val="22"/>
          <w:szCs w:val="22"/>
          <w:lang w:eastAsia="fr-FR"/>
        </w:rPr>
      </w:pPr>
      <w:hyperlink w:anchor="_Toc32512063" w:history="1">
        <w:r w:rsidR="00436E89" w:rsidRPr="00436E89">
          <w:rPr>
            <w:rStyle w:val="Hiperligao"/>
            <w:rFonts w:ascii="Times New Roman" w:hAnsi="Times New Roman" w:cs="Times New Roman"/>
            <w:noProof/>
            <w:sz w:val="22"/>
            <w:szCs w:val="22"/>
          </w:rPr>
          <w:t>Photo 12 : Au niveau Quartier AEROPORT (Brème), ce</w:t>
        </w:r>
        <w:r w:rsidR="00436E89">
          <w:rPr>
            <w:rStyle w:val="Hiperligao"/>
            <w:rFonts w:ascii="Times New Roman" w:hAnsi="Times New Roman" w:cs="Times New Roman"/>
            <w:noProof/>
            <w:sz w:val="22"/>
            <w:szCs w:val="22"/>
          </w:rPr>
          <w:t>s photos ont été prises pendant</w:t>
        </w:r>
        <w:r w:rsidR="00436E89" w:rsidRPr="00436E89">
          <w:rPr>
            <w:rFonts w:ascii="Times New Roman" w:hAnsi="Times New Roman" w:cs="Times New Roman"/>
            <w:noProof/>
            <w:webHidden/>
            <w:sz w:val="22"/>
            <w:szCs w:val="22"/>
          </w:rPr>
          <w:tab/>
        </w:r>
        <w:r w:rsidR="00436E89" w:rsidRPr="00436E89">
          <w:rPr>
            <w:rFonts w:ascii="Times New Roman" w:hAnsi="Times New Roman" w:cs="Times New Roman"/>
            <w:noProof/>
            <w:webHidden/>
            <w:sz w:val="22"/>
            <w:szCs w:val="22"/>
          </w:rPr>
          <w:fldChar w:fldCharType="begin"/>
        </w:r>
        <w:r w:rsidR="00436E89" w:rsidRPr="00436E89">
          <w:rPr>
            <w:rFonts w:ascii="Times New Roman" w:hAnsi="Times New Roman" w:cs="Times New Roman"/>
            <w:noProof/>
            <w:webHidden/>
            <w:sz w:val="22"/>
            <w:szCs w:val="22"/>
          </w:rPr>
          <w:instrText xml:space="preserve"> PAGEREF _Toc32512063 \h </w:instrText>
        </w:r>
        <w:r w:rsidR="00436E89" w:rsidRPr="00436E89">
          <w:rPr>
            <w:rFonts w:ascii="Times New Roman" w:hAnsi="Times New Roman" w:cs="Times New Roman"/>
            <w:noProof/>
            <w:webHidden/>
            <w:sz w:val="22"/>
            <w:szCs w:val="22"/>
          </w:rPr>
        </w:r>
        <w:r w:rsidR="00436E89" w:rsidRPr="00436E89">
          <w:rPr>
            <w:rFonts w:ascii="Times New Roman" w:hAnsi="Times New Roman" w:cs="Times New Roman"/>
            <w:noProof/>
            <w:webHidden/>
            <w:sz w:val="22"/>
            <w:szCs w:val="22"/>
          </w:rPr>
          <w:fldChar w:fldCharType="separate"/>
        </w:r>
        <w:r w:rsidR="00820701">
          <w:rPr>
            <w:rFonts w:ascii="Times New Roman" w:hAnsi="Times New Roman" w:cs="Times New Roman"/>
            <w:noProof/>
            <w:webHidden/>
            <w:sz w:val="22"/>
            <w:szCs w:val="22"/>
          </w:rPr>
          <w:t>201</w:t>
        </w:r>
        <w:r w:rsidR="00436E89" w:rsidRPr="00436E89">
          <w:rPr>
            <w:rFonts w:ascii="Times New Roman" w:hAnsi="Times New Roman" w:cs="Times New Roman"/>
            <w:noProof/>
            <w:webHidden/>
            <w:sz w:val="22"/>
            <w:szCs w:val="22"/>
          </w:rPr>
          <w:fldChar w:fldCharType="end"/>
        </w:r>
      </w:hyperlink>
    </w:p>
    <w:p w:rsidR="00436E89" w:rsidRPr="00436E89" w:rsidRDefault="007055AF">
      <w:pPr>
        <w:pStyle w:val="ndicedeilustraes"/>
        <w:tabs>
          <w:tab w:val="right" w:leader="dot" w:pos="9062"/>
        </w:tabs>
        <w:rPr>
          <w:rFonts w:ascii="Times New Roman" w:eastAsiaTheme="minorEastAsia" w:hAnsi="Times New Roman" w:cs="Times New Roman"/>
          <w:smallCaps w:val="0"/>
          <w:noProof/>
          <w:sz w:val="22"/>
          <w:szCs w:val="22"/>
          <w:lang w:eastAsia="fr-FR"/>
        </w:rPr>
      </w:pPr>
      <w:hyperlink r:id="rId16" w:anchor="_Toc32512064" w:history="1">
        <w:r w:rsidR="00436E89" w:rsidRPr="00436E89">
          <w:rPr>
            <w:rStyle w:val="Hiperligao"/>
            <w:rFonts w:ascii="Times New Roman" w:hAnsi="Times New Roman" w:cs="Times New Roman"/>
            <w:noProof/>
            <w:sz w:val="22"/>
            <w:szCs w:val="22"/>
          </w:rPr>
          <w:t>Photo 13: Fut  incinérateur de déchets</w:t>
        </w:r>
        <w:r w:rsidR="00436E89" w:rsidRPr="00436E89">
          <w:rPr>
            <w:rFonts w:ascii="Times New Roman" w:hAnsi="Times New Roman" w:cs="Times New Roman"/>
            <w:noProof/>
            <w:webHidden/>
            <w:sz w:val="22"/>
            <w:szCs w:val="22"/>
          </w:rPr>
          <w:tab/>
        </w:r>
        <w:r w:rsidR="00436E89" w:rsidRPr="00436E89">
          <w:rPr>
            <w:rFonts w:ascii="Times New Roman" w:hAnsi="Times New Roman" w:cs="Times New Roman"/>
            <w:noProof/>
            <w:webHidden/>
            <w:sz w:val="22"/>
            <w:szCs w:val="22"/>
          </w:rPr>
          <w:fldChar w:fldCharType="begin"/>
        </w:r>
        <w:r w:rsidR="00436E89" w:rsidRPr="00436E89">
          <w:rPr>
            <w:rFonts w:ascii="Times New Roman" w:hAnsi="Times New Roman" w:cs="Times New Roman"/>
            <w:noProof/>
            <w:webHidden/>
            <w:sz w:val="22"/>
            <w:szCs w:val="22"/>
          </w:rPr>
          <w:instrText xml:space="preserve"> PAGEREF _Toc32512064 \h </w:instrText>
        </w:r>
        <w:r w:rsidR="00436E89" w:rsidRPr="00436E89">
          <w:rPr>
            <w:rFonts w:ascii="Times New Roman" w:hAnsi="Times New Roman" w:cs="Times New Roman"/>
            <w:noProof/>
            <w:webHidden/>
            <w:sz w:val="22"/>
            <w:szCs w:val="22"/>
          </w:rPr>
        </w:r>
        <w:r w:rsidR="00436E89" w:rsidRPr="00436E89">
          <w:rPr>
            <w:rFonts w:ascii="Times New Roman" w:hAnsi="Times New Roman" w:cs="Times New Roman"/>
            <w:noProof/>
            <w:webHidden/>
            <w:sz w:val="22"/>
            <w:szCs w:val="22"/>
          </w:rPr>
          <w:fldChar w:fldCharType="separate"/>
        </w:r>
        <w:r w:rsidR="00820701">
          <w:rPr>
            <w:rFonts w:ascii="Times New Roman" w:hAnsi="Times New Roman" w:cs="Times New Roman"/>
            <w:noProof/>
            <w:webHidden/>
            <w:sz w:val="22"/>
            <w:szCs w:val="22"/>
          </w:rPr>
          <w:t>207</w:t>
        </w:r>
        <w:r w:rsidR="00436E89" w:rsidRPr="00436E89">
          <w:rPr>
            <w:rFonts w:ascii="Times New Roman" w:hAnsi="Times New Roman" w:cs="Times New Roman"/>
            <w:noProof/>
            <w:webHidden/>
            <w:sz w:val="22"/>
            <w:szCs w:val="22"/>
          </w:rPr>
          <w:fldChar w:fldCharType="end"/>
        </w:r>
      </w:hyperlink>
    </w:p>
    <w:p w:rsidR="00436E89" w:rsidRPr="00436E89" w:rsidRDefault="007055AF">
      <w:pPr>
        <w:pStyle w:val="ndicedeilustraes"/>
        <w:tabs>
          <w:tab w:val="right" w:leader="dot" w:pos="9062"/>
        </w:tabs>
        <w:rPr>
          <w:rFonts w:ascii="Times New Roman" w:eastAsiaTheme="minorEastAsia" w:hAnsi="Times New Roman" w:cs="Times New Roman"/>
          <w:smallCaps w:val="0"/>
          <w:noProof/>
          <w:sz w:val="22"/>
          <w:szCs w:val="22"/>
          <w:lang w:eastAsia="fr-FR"/>
        </w:rPr>
      </w:pPr>
      <w:hyperlink r:id="rId17" w:anchor="_Toc32512065" w:history="1">
        <w:r w:rsidR="00436E89" w:rsidRPr="00436E89">
          <w:rPr>
            <w:rStyle w:val="Hiperligao"/>
            <w:rFonts w:ascii="Times New Roman" w:hAnsi="Times New Roman" w:cs="Times New Roman"/>
            <w:noProof/>
            <w:sz w:val="22"/>
            <w:szCs w:val="22"/>
          </w:rPr>
          <w:t>Photo 14: Aire de stockage des huiles usager</w:t>
        </w:r>
        <w:r w:rsidR="00436E89" w:rsidRPr="00436E89">
          <w:rPr>
            <w:rFonts w:ascii="Times New Roman" w:hAnsi="Times New Roman" w:cs="Times New Roman"/>
            <w:noProof/>
            <w:webHidden/>
            <w:sz w:val="22"/>
            <w:szCs w:val="22"/>
          </w:rPr>
          <w:tab/>
        </w:r>
        <w:r w:rsidR="00436E89" w:rsidRPr="00436E89">
          <w:rPr>
            <w:rFonts w:ascii="Times New Roman" w:hAnsi="Times New Roman" w:cs="Times New Roman"/>
            <w:noProof/>
            <w:webHidden/>
            <w:sz w:val="22"/>
            <w:szCs w:val="22"/>
          </w:rPr>
          <w:fldChar w:fldCharType="begin"/>
        </w:r>
        <w:r w:rsidR="00436E89" w:rsidRPr="00436E89">
          <w:rPr>
            <w:rFonts w:ascii="Times New Roman" w:hAnsi="Times New Roman" w:cs="Times New Roman"/>
            <w:noProof/>
            <w:webHidden/>
            <w:sz w:val="22"/>
            <w:szCs w:val="22"/>
          </w:rPr>
          <w:instrText xml:space="preserve"> PAGEREF _Toc32512065 \h </w:instrText>
        </w:r>
        <w:r w:rsidR="00436E89" w:rsidRPr="00436E89">
          <w:rPr>
            <w:rFonts w:ascii="Times New Roman" w:hAnsi="Times New Roman" w:cs="Times New Roman"/>
            <w:noProof/>
            <w:webHidden/>
            <w:sz w:val="22"/>
            <w:szCs w:val="22"/>
          </w:rPr>
        </w:r>
        <w:r w:rsidR="00436E89" w:rsidRPr="00436E89">
          <w:rPr>
            <w:rFonts w:ascii="Times New Roman" w:hAnsi="Times New Roman" w:cs="Times New Roman"/>
            <w:noProof/>
            <w:webHidden/>
            <w:sz w:val="22"/>
            <w:szCs w:val="22"/>
          </w:rPr>
          <w:fldChar w:fldCharType="separate"/>
        </w:r>
        <w:r w:rsidR="00820701">
          <w:rPr>
            <w:rFonts w:ascii="Times New Roman" w:hAnsi="Times New Roman" w:cs="Times New Roman"/>
            <w:noProof/>
            <w:webHidden/>
            <w:sz w:val="22"/>
            <w:szCs w:val="22"/>
          </w:rPr>
          <w:t>207</w:t>
        </w:r>
        <w:r w:rsidR="00436E89" w:rsidRPr="00436E89">
          <w:rPr>
            <w:rFonts w:ascii="Times New Roman" w:hAnsi="Times New Roman" w:cs="Times New Roman"/>
            <w:noProof/>
            <w:webHidden/>
            <w:sz w:val="22"/>
            <w:szCs w:val="22"/>
          </w:rPr>
          <w:fldChar w:fldCharType="end"/>
        </w:r>
      </w:hyperlink>
    </w:p>
    <w:p w:rsidR="00436E89" w:rsidRPr="00436E89" w:rsidRDefault="007055AF">
      <w:pPr>
        <w:pStyle w:val="ndicedeilustraes"/>
        <w:tabs>
          <w:tab w:val="right" w:leader="dot" w:pos="9062"/>
        </w:tabs>
        <w:rPr>
          <w:rFonts w:ascii="Times New Roman" w:eastAsiaTheme="minorEastAsia" w:hAnsi="Times New Roman" w:cs="Times New Roman"/>
          <w:smallCaps w:val="0"/>
          <w:noProof/>
          <w:sz w:val="22"/>
          <w:szCs w:val="22"/>
          <w:lang w:eastAsia="fr-FR"/>
        </w:rPr>
      </w:pPr>
      <w:hyperlink w:anchor="_Toc32512066" w:history="1">
        <w:r w:rsidR="00436E89" w:rsidRPr="00436E89">
          <w:rPr>
            <w:rStyle w:val="Hiperligao"/>
            <w:rFonts w:ascii="Times New Roman" w:hAnsi="Times New Roman" w:cs="Times New Roman"/>
            <w:noProof/>
            <w:sz w:val="22"/>
            <w:szCs w:val="22"/>
          </w:rPr>
          <w:t>Photo 15: Exemple conditionnement correct d’huile usag</w:t>
        </w:r>
        <w:r w:rsidR="00436E89">
          <w:rPr>
            <w:rStyle w:val="Hiperligao"/>
            <w:rFonts w:ascii="Times New Roman" w:hAnsi="Times New Roman" w:cs="Times New Roman"/>
            <w:noProof/>
            <w:sz w:val="22"/>
            <w:szCs w:val="22"/>
          </w:rPr>
          <w:t xml:space="preserve">ée et de filtres à huiles </w:t>
        </w:r>
        <w:r w:rsidR="00436E89" w:rsidRPr="00436E89">
          <w:rPr>
            <w:rFonts w:ascii="Times New Roman" w:hAnsi="Times New Roman" w:cs="Times New Roman"/>
            <w:noProof/>
            <w:webHidden/>
            <w:sz w:val="22"/>
            <w:szCs w:val="22"/>
          </w:rPr>
          <w:tab/>
        </w:r>
        <w:r w:rsidR="00436E89" w:rsidRPr="00436E89">
          <w:rPr>
            <w:rFonts w:ascii="Times New Roman" w:hAnsi="Times New Roman" w:cs="Times New Roman"/>
            <w:noProof/>
            <w:webHidden/>
            <w:sz w:val="22"/>
            <w:szCs w:val="22"/>
          </w:rPr>
          <w:fldChar w:fldCharType="begin"/>
        </w:r>
        <w:r w:rsidR="00436E89" w:rsidRPr="00436E89">
          <w:rPr>
            <w:rFonts w:ascii="Times New Roman" w:hAnsi="Times New Roman" w:cs="Times New Roman"/>
            <w:noProof/>
            <w:webHidden/>
            <w:sz w:val="22"/>
            <w:szCs w:val="22"/>
          </w:rPr>
          <w:instrText xml:space="preserve"> PAGEREF _Toc32512066 \h </w:instrText>
        </w:r>
        <w:r w:rsidR="00436E89" w:rsidRPr="00436E89">
          <w:rPr>
            <w:rFonts w:ascii="Times New Roman" w:hAnsi="Times New Roman" w:cs="Times New Roman"/>
            <w:noProof/>
            <w:webHidden/>
            <w:sz w:val="22"/>
            <w:szCs w:val="22"/>
          </w:rPr>
        </w:r>
        <w:r w:rsidR="00436E89" w:rsidRPr="00436E89">
          <w:rPr>
            <w:rFonts w:ascii="Times New Roman" w:hAnsi="Times New Roman" w:cs="Times New Roman"/>
            <w:noProof/>
            <w:webHidden/>
            <w:sz w:val="22"/>
            <w:szCs w:val="22"/>
          </w:rPr>
          <w:fldChar w:fldCharType="separate"/>
        </w:r>
        <w:r w:rsidR="00820701">
          <w:rPr>
            <w:rFonts w:ascii="Times New Roman" w:hAnsi="Times New Roman" w:cs="Times New Roman"/>
            <w:noProof/>
            <w:webHidden/>
            <w:sz w:val="22"/>
            <w:szCs w:val="22"/>
          </w:rPr>
          <w:t>209</w:t>
        </w:r>
        <w:r w:rsidR="00436E89" w:rsidRPr="00436E89">
          <w:rPr>
            <w:rFonts w:ascii="Times New Roman" w:hAnsi="Times New Roman" w:cs="Times New Roman"/>
            <w:noProof/>
            <w:webHidden/>
            <w:sz w:val="22"/>
            <w:szCs w:val="22"/>
          </w:rPr>
          <w:fldChar w:fldCharType="end"/>
        </w:r>
      </w:hyperlink>
    </w:p>
    <w:p w:rsidR="0093770F" w:rsidRPr="006C0C34" w:rsidRDefault="00491B40" w:rsidP="0093770F">
      <w:pPr>
        <w:spacing w:line="276" w:lineRule="auto"/>
        <w:jc w:val="both"/>
        <w:rPr>
          <w:rFonts w:ascii="Times New Roman" w:hAnsi="Times New Roman" w:cs="Times New Roman"/>
          <w:sz w:val="24"/>
          <w:szCs w:val="24"/>
        </w:rPr>
      </w:pPr>
      <w:r w:rsidRPr="00436E89">
        <w:rPr>
          <w:rFonts w:ascii="Times New Roman" w:hAnsi="Times New Roman" w:cs="Times New Roman"/>
        </w:rPr>
        <w:fldChar w:fldCharType="end"/>
      </w:r>
    </w:p>
    <w:p w:rsidR="0093770F" w:rsidRPr="006C0C34" w:rsidRDefault="0093770F" w:rsidP="0093770F">
      <w:pPr>
        <w:spacing w:line="276" w:lineRule="auto"/>
        <w:jc w:val="both"/>
        <w:rPr>
          <w:rFonts w:ascii="Times New Roman" w:hAnsi="Times New Roman" w:cs="Times New Roman"/>
          <w:sz w:val="24"/>
          <w:szCs w:val="24"/>
        </w:rPr>
      </w:pPr>
    </w:p>
    <w:p w:rsidR="00136E13" w:rsidRPr="006C0C34" w:rsidRDefault="00136E13" w:rsidP="0093770F">
      <w:pPr>
        <w:spacing w:line="276" w:lineRule="auto"/>
        <w:jc w:val="both"/>
        <w:rPr>
          <w:rFonts w:ascii="Times New Roman" w:hAnsi="Times New Roman" w:cs="Times New Roman"/>
          <w:sz w:val="24"/>
          <w:szCs w:val="24"/>
        </w:rPr>
      </w:pPr>
    </w:p>
    <w:p w:rsidR="00136E13" w:rsidRPr="006C0C34" w:rsidRDefault="00136E13" w:rsidP="0093770F">
      <w:pPr>
        <w:spacing w:line="276" w:lineRule="auto"/>
        <w:jc w:val="both"/>
        <w:rPr>
          <w:rFonts w:ascii="Times New Roman" w:hAnsi="Times New Roman" w:cs="Times New Roman"/>
          <w:sz w:val="24"/>
          <w:szCs w:val="24"/>
        </w:rPr>
      </w:pPr>
    </w:p>
    <w:p w:rsidR="00136E13" w:rsidRPr="006C0C34" w:rsidRDefault="00136E13" w:rsidP="0093770F">
      <w:pPr>
        <w:spacing w:line="276" w:lineRule="auto"/>
        <w:jc w:val="both"/>
        <w:rPr>
          <w:rFonts w:ascii="Times New Roman" w:hAnsi="Times New Roman" w:cs="Times New Roman"/>
          <w:sz w:val="24"/>
          <w:szCs w:val="24"/>
        </w:rPr>
      </w:pPr>
    </w:p>
    <w:p w:rsidR="00136E13" w:rsidRPr="006C0C34" w:rsidRDefault="00136E13" w:rsidP="0093770F">
      <w:pPr>
        <w:spacing w:line="276" w:lineRule="auto"/>
        <w:jc w:val="both"/>
        <w:rPr>
          <w:rFonts w:ascii="Times New Roman" w:hAnsi="Times New Roman" w:cs="Times New Roman"/>
          <w:sz w:val="24"/>
          <w:szCs w:val="24"/>
        </w:rPr>
      </w:pPr>
    </w:p>
    <w:p w:rsidR="00136E13" w:rsidRPr="006C0C34" w:rsidRDefault="00136E13" w:rsidP="0093770F">
      <w:pPr>
        <w:spacing w:line="276" w:lineRule="auto"/>
        <w:jc w:val="both"/>
        <w:rPr>
          <w:rFonts w:ascii="Times New Roman" w:hAnsi="Times New Roman" w:cs="Times New Roman"/>
          <w:sz w:val="24"/>
          <w:szCs w:val="24"/>
        </w:rPr>
      </w:pPr>
    </w:p>
    <w:p w:rsidR="00136E13" w:rsidRDefault="00136E13" w:rsidP="0093770F">
      <w:pPr>
        <w:spacing w:line="276" w:lineRule="auto"/>
        <w:jc w:val="both"/>
        <w:rPr>
          <w:rFonts w:ascii="Times New Roman" w:hAnsi="Times New Roman" w:cs="Times New Roman"/>
          <w:sz w:val="24"/>
          <w:szCs w:val="24"/>
        </w:rPr>
      </w:pPr>
    </w:p>
    <w:p w:rsidR="00CD5496" w:rsidRDefault="00CD5496" w:rsidP="0093770F">
      <w:pPr>
        <w:spacing w:line="276" w:lineRule="auto"/>
        <w:jc w:val="both"/>
        <w:rPr>
          <w:rFonts w:ascii="Times New Roman" w:hAnsi="Times New Roman" w:cs="Times New Roman"/>
          <w:sz w:val="24"/>
          <w:szCs w:val="24"/>
        </w:rPr>
      </w:pPr>
    </w:p>
    <w:p w:rsidR="00CD5496" w:rsidRDefault="00CD5496" w:rsidP="0093770F">
      <w:pPr>
        <w:spacing w:line="276" w:lineRule="auto"/>
        <w:jc w:val="both"/>
        <w:rPr>
          <w:rFonts w:ascii="Times New Roman" w:hAnsi="Times New Roman" w:cs="Times New Roman"/>
          <w:sz w:val="24"/>
          <w:szCs w:val="24"/>
        </w:rPr>
      </w:pPr>
    </w:p>
    <w:p w:rsidR="0093770F" w:rsidRPr="00CD5496" w:rsidRDefault="0093770F" w:rsidP="00CD5496">
      <w:pPr>
        <w:keepNext/>
        <w:keepLines/>
        <w:pBdr>
          <w:top w:val="outset" w:sz="6" w:space="1" w:color="auto"/>
          <w:left w:val="outset" w:sz="6" w:space="4" w:color="auto"/>
          <w:bottom w:val="outset" w:sz="6" w:space="1" w:color="auto"/>
          <w:right w:val="outset" w:sz="6" w:space="4" w:color="auto"/>
        </w:pBdr>
        <w:shd w:val="clear" w:color="auto" w:fill="F2F2F2" w:themeFill="background1" w:themeFillShade="F2"/>
        <w:spacing w:after="0" w:line="240" w:lineRule="auto"/>
        <w:ind w:left="-1417" w:right="-566"/>
        <w:jc w:val="center"/>
        <w:outlineLvl w:val="0"/>
        <w:rPr>
          <w:rFonts w:ascii="Times New Roman" w:eastAsia="Calibri" w:hAnsi="Times New Roman" w:cs="Times New Roman"/>
          <w:b/>
          <w:sz w:val="32"/>
          <w:szCs w:val="32"/>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id="13" w:name="_Toc493752545"/>
      <w:bookmarkStart w:id="14" w:name="_Toc505616390"/>
      <w:bookmarkStart w:id="15" w:name="_Toc512872055"/>
      <w:bookmarkStart w:id="16" w:name="_Toc527881982"/>
      <w:bookmarkStart w:id="17" w:name="_Toc51072493"/>
      <w:r w:rsidRPr="00CD5496">
        <w:rPr>
          <w:rFonts w:ascii="Times New Roman" w:eastAsia="Calibri" w:hAnsi="Times New Roman" w:cs="Times New Roman"/>
          <w:b/>
          <w:sz w:val="32"/>
          <w:szCs w:val="32"/>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LISTE DES SIGLES ET ABREVIATIONS</w:t>
      </w:r>
      <w:bookmarkEnd w:id="13"/>
      <w:bookmarkEnd w:id="14"/>
      <w:bookmarkEnd w:id="15"/>
      <w:bookmarkEnd w:id="16"/>
      <w:bookmarkEnd w:id="17"/>
      <w:r w:rsidRPr="00CD5496">
        <w:rPr>
          <w:rFonts w:ascii="Times New Roman" w:eastAsia="Calibri" w:hAnsi="Times New Roman" w:cs="Times New Roman"/>
          <w:b/>
          <w:sz w:val="32"/>
          <w:szCs w:val="32"/>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rsidR="00136E13" w:rsidRPr="006C0C34" w:rsidRDefault="00136E13" w:rsidP="00136E13">
      <w:pPr>
        <w:jc w:val="center"/>
        <w:rPr>
          <w:rFonts w:ascii="Times New Roman" w:hAnsi="Times New Roman" w:cs="Times New Roman"/>
          <w:b/>
          <w:sz w:val="24"/>
          <w:szCs w:val="24"/>
        </w:rPr>
      </w:pPr>
    </w:p>
    <w:p w:rsidR="00136E13" w:rsidRPr="006C0C34" w:rsidRDefault="00136E13" w:rsidP="00136E13">
      <w:pPr>
        <w:spacing w:after="0" w:line="276" w:lineRule="auto"/>
        <w:jc w:val="both"/>
        <w:rPr>
          <w:rFonts w:ascii="Times New Roman" w:hAnsi="Times New Roman" w:cs="Times New Roman"/>
          <w:sz w:val="24"/>
          <w:szCs w:val="24"/>
        </w:rPr>
      </w:pPr>
      <w:r w:rsidRPr="00CD5496">
        <w:rPr>
          <w:rFonts w:ascii="Times New Roman" w:hAnsi="Times New Roman" w:cs="Times New Roman"/>
          <w:b/>
          <w:sz w:val="24"/>
          <w:szCs w:val="24"/>
        </w:rPr>
        <w:t>AAAC</w:t>
      </w:r>
      <w:r w:rsidRPr="006C0C34">
        <w:rPr>
          <w:rFonts w:ascii="Times New Roman" w:hAnsi="Times New Roman" w:cs="Times New Roman"/>
          <w:sz w:val="24"/>
          <w:szCs w:val="24"/>
        </w:rPr>
        <w:tab/>
      </w:r>
      <w:r w:rsidRPr="006C0C34">
        <w:rPr>
          <w:rFonts w:ascii="Times New Roman" w:hAnsi="Times New Roman" w:cs="Times New Roman"/>
          <w:sz w:val="24"/>
          <w:szCs w:val="24"/>
        </w:rPr>
        <w:tab/>
      </w:r>
      <w:r w:rsidRPr="006C0C34">
        <w:rPr>
          <w:rFonts w:ascii="Times New Roman" w:hAnsi="Times New Roman" w:cs="Times New Roman"/>
          <w:sz w:val="24"/>
          <w:szCs w:val="24"/>
        </w:rPr>
        <w:tab/>
        <w:t>Autorité Compétente d’Évaluation Environnementale</w:t>
      </w:r>
    </w:p>
    <w:p w:rsidR="00136E13" w:rsidRPr="006C0C34" w:rsidRDefault="00136E13" w:rsidP="00136E13">
      <w:pPr>
        <w:spacing w:after="0" w:line="276" w:lineRule="auto"/>
        <w:jc w:val="both"/>
        <w:rPr>
          <w:rFonts w:ascii="Times New Roman" w:hAnsi="Times New Roman" w:cs="Times New Roman"/>
          <w:sz w:val="24"/>
          <w:szCs w:val="24"/>
        </w:rPr>
      </w:pPr>
      <w:r w:rsidRPr="00CD5496">
        <w:rPr>
          <w:rFonts w:ascii="Times New Roman" w:hAnsi="Times New Roman" w:cs="Times New Roman"/>
          <w:b/>
          <w:sz w:val="24"/>
          <w:szCs w:val="24"/>
        </w:rPr>
        <w:t>BM</w:t>
      </w:r>
      <w:r w:rsidRPr="006C0C34">
        <w:rPr>
          <w:rFonts w:ascii="Times New Roman" w:hAnsi="Times New Roman" w:cs="Times New Roman"/>
          <w:sz w:val="24"/>
          <w:szCs w:val="24"/>
        </w:rPr>
        <w:tab/>
      </w:r>
      <w:r w:rsidRPr="006C0C34">
        <w:rPr>
          <w:rFonts w:ascii="Times New Roman" w:hAnsi="Times New Roman" w:cs="Times New Roman"/>
          <w:sz w:val="24"/>
          <w:szCs w:val="24"/>
        </w:rPr>
        <w:tab/>
      </w:r>
      <w:r w:rsidRPr="006C0C34">
        <w:rPr>
          <w:rFonts w:ascii="Times New Roman" w:hAnsi="Times New Roman" w:cs="Times New Roman"/>
          <w:sz w:val="24"/>
          <w:szCs w:val="24"/>
        </w:rPr>
        <w:tab/>
        <w:t xml:space="preserve">Banque mondiale </w:t>
      </w:r>
    </w:p>
    <w:p w:rsidR="00136E13" w:rsidRPr="006C0C34" w:rsidRDefault="00136E13" w:rsidP="00136E13">
      <w:pPr>
        <w:spacing w:after="0" w:line="276" w:lineRule="auto"/>
        <w:jc w:val="both"/>
        <w:rPr>
          <w:rFonts w:ascii="Times New Roman" w:hAnsi="Times New Roman" w:cs="Times New Roman"/>
          <w:sz w:val="24"/>
          <w:szCs w:val="24"/>
        </w:rPr>
      </w:pPr>
      <w:r w:rsidRPr="00CD5496">
        <w:rPr>
          <w:rFonts w:ascii="Times New Roman" w:hAnsi="Times New Roman" w:cs="Times New Roman"/>
          <w:b/>
          <w:sz w:val="24"/>
          <w:szCs w:val="24"/>
        </w:rPr>
        <w:t>BT</w:t>
      </w:r>
      <w:r w:rsidRPr="006C0C34">
        <w:rPr>
          <w:rFonts w:ascii="Times New Roman" w:hAnsi="Times New Roman" w:cs="Times New Roman"/>
          <w:sz w:val="24"/>
          <w:szCs w:val="24"/>
        </w:rPr>
        <w:tab/>
      </w:r>
      <w:r w:rsidRPr="006C0C34">
        <w:rPr>
          <w:rFonts w:ascii="Times New Roman" w:hAnsi="Times New Roman" w:cs="Times New Roman"/>
          <w:sz w:val="24"/>
          <w:szCs w:val="24"/>
        </w:rPr>
        <w:tab/>
      </w:r>
      <w:r w:rsidRPr="006C0C34">
        <w:rPr>
          <w:rFonts w:ascii="Times New Roman" w:hAnsi="Times New Roman" w:cs="Times New Roman"/>
          <w:sz w:val="24"/>
          <w:szCs w:val="24"/>
        </w:rPr>
        <w:tab/>
        <w:t>Basse Tension</w:t>
      </w:r>
    </w:p>
    <w:p w:rsidR="00136E13" w:rsidRPr="006C0C34" w:rsidRDefault="00136E13" w:rsidP="00136E13">
      <w:pPr>
        <w:spacing w:after="0" w:line="276" w:lineRule="auto"/>
        <w:jc w:val="both"/>
        <w:rPr>
          <w:rFonts w:ascii="Times New Roman" w:hAnsi="Times New Roman" w:cs="Times New Roman"/>
          <w:sz w:val="24"/>
          <w:szCs w:val="24"/>
        </w:rPr>
      </w:pPr>
      <w:r w:rsidRPr="00CD5496">
        <w:rPr>
          <w:rFonts w:ascii="Times New Roman" w:hAnsi="Times New Roman" w:cs="Times New Roman"/>
          <w:b/>
          <w:sz w:val="24"/>
          <w:szCs w:val="24"/>
        </w:rPr>
        <w:t>CCC</w:t>
      </w:r>
      <w:r w:rsidRPr="006C0C34">
        <w:rPr>
          <w:rFonts w:ascii="Times New Roman" w:hAnsi="Times New Roman" w:cs="Times New Roman"/>
          <w:sz w:val="24"/>
          <w:szCs w:val="24"/>
        </w:rPr>
        <w:tab/>
      </w:r>
      <w:r w:rsidRPr="006C0C34">
        <w:rPr>
          <w:rFonts w:ascii="Times New Roman" w:hAnsi="Times New Roman" w:cs="Times New Roman"/>
          <w:sz w:val="24"/>
          <w:szCs w:val="24"/>
        </w:rPr>
        <w:tab/>
      </w:r>
      <w:r w:rsidRPr="006C0C34">
        <w:rPr>
          <w:rFonts w:ascii="Times New Roman" w:hAnsi="Times New Roman" w:cs="Times New Roman"/>
          <w:sz w:val="24"/>
          <w:szCs w:val="24"/>
        </w:rPr>
        <w:tab/>
        <w:t>Communication pour un Changement de Comportement</w:t>
      </w:r>
    </w:p>
    <w:p w:rsidR="00136E13" w:rsidRPr="006C0C34" w:rsidRDefault="00136E13" w:rsidP="00136E13">
      <w:pPr>
        <w:tabs>
          <w:tab w:val="left" w:pos="2179"/>
        </w:tabs>
        <w:spacing w:after="0" w:line="276" w:lineRule="auto"/>
        <w:jc w:val="both"/>
        <w:rPr>
          <w:rFonts w:ascii="Times New Roman" w:hAnsi="Times New Roman" w:cs="Times New Roman"/>
          <w:sz w:val="24"/>
          <w:szCs w:val="24"/>
        </w:rPr>
      </w:pPr>
      <w:r w:rsidRPr="00CD5496">
        <w:rPr>
          <w:rFonts w:ascii="Times New Roman" w:hAnsi="Times New Roman" w:cs="Times New Roman"/>
          <w:b/>
          <w:sz w:val="24"/>
          <w:szCs w:val="24"/>
        </w:rPr>
        <w:t>CGES</w:t>
      </w:r>
      <w:r w:rsidR="00CD5496">
        <w:rPr>
          <w:rFonts w:ascii="Times New Roman" w:hAnsi="Times New Roman" w:cs="Times New Roman"/>
          <w:sz w:val="24"/>
          <w:szCs w:val="24"/>
        </w:rPr>
        <w:t xml:space="preserve">                         </w:t>
      </w:r>
      <w:r w:rsidRPr="006C0C34">
        <w:rPr>
          <w:rFonts w:ascii="Times New Roman" w:hAnsi="Times New Roman" w:cs="Times New Roman"/>
          <w:sz w:val="24"/>
          <w:szCs w:val="24"/>
        </w:rPr>
        <w:t>Cadre de Gestion Environnementale et Sociale</w:t>
      </w:r>
    </w:p>
    <w:p w:rsidR="00136E13" w:rsidRPr="006C0C34" w:rsidRDefault="00136E13" w:rsidP="00136E13">
      <w:pPr>
        <w:spacing w:after="0" w:line="276" w:lineRule="auto"/>
        <w:jc w:val="both"/>
        <w:rPr>
          <w:rFonts w:ascii="Times New Roman" w:hAnsi="Times New Roman" w:cs="Times New Roman"/>
          <w:sz w:val="24"/>
          <w:szCs w:val="24"/>
        </w:rPr>
      </w:pPr>
      <w:r w:rsidRPr="00CD5496">
        <w:rPr>
          <w:rFonts w:ascii="Times New Roman" w:hAnsi="Times New Roman" w:cs="Times New Roman"/>
          <w:b/>
          <w:sz w:val="24"/>
          <w:szCs w:val="24"/>
        </w:rPr>
        <w:t>CPR</w:t>
      </w:r>
      <w:r w:rsidRPr="006C0C34">
        <w:rPr>
          <w:rFonts w:ascii="Times New Roman" w:hAnsi="Times New Roman" w:cs="Times New Roman"/>
          <w:sz w:val="24"/>
          <w:szCs w:val="24"/>
        </w:rPr>
        <w:tab/>
      </w:r>
      <w:r w:rsidRPr="006C0C34">
        <w:rPr>
          <w:rFonts w:ascii="Times New Roman" w:hAnsi="Times New Roman" w:cs="Times New Roman"/>
          <w:sz w:val="24"/>
          <w:szCs w:val="24"/>
        </w:rPr>
        <w:tab/>
      </w:r>
      <w:r w:rsidRPr="006C0C34">
        <w:rPr>
          <w:rFonts w:ascii="Times New Roman" w:hAnsi="Times New Roman" w:cs="Times New Roman"/>
          <w:sz w:val="24"/>
          <w:szCs w:val="24"/>
        </w:rPr>
        <w:tab/>
        <w:t xml:space="preserve">Cabinet de Planification Régionale </w:t>
      </w:r>
    </w:p>
    <w:p w:rsidR="00136E13" w:rsidRPr="006C0C34" w:rsidRDefault="00136E13" w:rsidP="006947A5">
      <w:pPr>
        <w:tabs>
          <w:tab w:val="left" w:pos="708"/>
          <w:tab w:val="left" w:pos="1416"/>
          <w:tab w:val="left" w:pos="2124"/>
          <w:tab w:val="left" w:pos="2832"/>
          <w:tab w:val="left" w:pos="3540"/>
          <w:tab w:val="left" w:pos="4248"/>
          <w:tab w:val="left" w:pos="4956"/>
          <w:tab w:val="left" w:pos="5664"/>
          <w:tab w:val="left" w:pos="6372"/>
          <w:tab w:val="left" w:pos="7080"/>
          <w:tab w:val="right" w:pos="9923"/>
        </w:tabs>
        <w:spacing w:after="0" w:line="276" w:lineRule="auto"/>
        <w:jc w:val="both"/>
        <w:rPr>
          <w:rFonts w:ascii="Times New Roman" w:hAnsi="Times New Roman" w:cs="Times New Roman"/>
          <w:sz w:val="24"/>
          <w:szCs w:val="24"/>
        </w:rPr>
      </w:pPr>
      <w:r w:rsidRPr="00CD5496">
        <w:rPr>
          <w:rFonts w:ascii="Times New Roman" w:hAnsi="Times New Roman" w:cs="Times New Roman"/>
          <w:b/>
          <w:sz w:val="24"/>
          <w:szCs w:val="24"/>
        </w:rPr>
        <w:t>CPRP</w:t>
      </w:r>
      <w:r w:rsidRPr="006C0C34">
        <w:rPr>
          <w:rFonts w:ascii="Times New Roman" w:hAnsi="Times New Roman" w:cs="Times New Roman"/>
          <w:sz w:val="24"/>
          <w:szCs w:val="24"/>
        </w:rPr>
        <w:tab/>
      </w:r>
      <w:r w:rsidRPr="006C0C34">
        <w:rPr>
          <w:rFonts w:ascii="Times New Roman" w:hAnsi="Times New Roman" w:cs="Times New Roman"/>
          <w:sz w:val="24"/>
          <w:szCs w:val="24"/>
        </w:rPr>
        <w:tab/>
      </w:r>
      <w:r w:rsidRPr="006C0C34">
        <w:rPr>
          <w:rFonts w:ascii="Times New Roman" w:hAnsi="Times New Roman" w:cs="Times New Roman"/>
          <w:sz w:val="24"/>
          <w:szCs w:val="24"/>
        </w:rPr>
        <w:tab/>
        <w:t>Cadre de Politique de Réinstallation des Populations</w:t>
      </w:r>
      <w:r w:rsidR="006947A5">
        <w:rPr>
          <w:rFonts w:ascii="Times New Roman" w:hAnsi="Times New Roman" w:cs="Times New Roman"/>
          <w:sz w:val="24"/>
          <w:szCs w:val="24"/>
        </w:rPr>
        <w:tab/>
      </w:r>
    </w:p>
    <w:p w:rsidR="00136E13" w:rsidRPr="006C0C34" w:rsidRDefault="00136E13" w:rsidP="00136E13">
      <w:pPr>
        <w:spacing w:after="0" w:line="276" w:lineRule="auto"/>
        <w:jc w:val="both"/>
        <w:rPr>
          <w:rFonts w:ascii="Times New Roman" w:hAnsi="Times New Roman" w:cs="Times New Roman"/>
          <w:sz w:val="24"/>
          <w:szCs w:val="24"/>
        </w:rPr>
      </w:pPr>
      <w:r w:rsidRPr="00CD5496">
        <w:rPr>
          <w:rFonts w:ascii="Times New Roman" w:hAnsi="Times New Roman" w:cs="Times New Roman"/>
          <w:b/>
          <w:sz w:val="24"/>
          <w:szCs w:val="24"/>
        </w:rPr>
        <w:t>DAO</w:t>
      </w:r>
      <w:r w:rsidRPr="006C0C34">
        <w:rPr>
          <w:rFonts w:ascii="Times New Roman" w:hAnsi="Times New Roman" w:cs="Times New Roman"/>
          <w:sz w:val="24"/>
          <w:szCs w:val="24"/>
        </w:rPr>
        <w:t xml:space="preserve"> </w:t>
      </w:r>
      <w:r w:rsidRPr="006C0C34">
        <w:rPr>
          <w:rFonts w:ascii="Times New Roman" w:hAnsi="Times New Roman" w:cs="Times New Roman"/>
          <w:sz w:val="24"/>
          <w:szCs w:val="24"/>
        </w:rPr>
        <w:tab/>
      </w:r>
      <w:r w:rsidRPr="006C0C34">
        <w:rPr>
          <w:rFonts w:ascii="Times New Roman" w:hAnsi="Times New Roman" w:cs="Times New Roman"/>
          <w:sz w:val="24"/>
          <w:szCs w:val="24"/>
        </w:rPr>
        <w:tab/>
      </w:r>
      <w:r w:rsidRPr="006C0C34">
        <w:rPr>
          <w:rFonts w:ascii="Times New Roman" w:hAnsi="Times New Roman" w:cs="Times New Roman"/>
          <w:sz w:val="24"/>
          <w:szCs w:val="24"/>
        </w:rPr>
        <w:tab/>
        <w:t>Dossier d'Appel d'Offres</w:t>
      </w:r>
    </w:p>
    <w:p w:rsidR="00136E13" w:rsidRPr="006C0C34" w:rsidRDefault="00136E13" w:rsidP="00136E13">
      <w:pPr>
        <w:spacing w:after="0" w:line="276" w:lineRule="auto"/>
        <w:jc w:val="both"/>
        <w:rPr>
          <w:rFonts w:ascii="Times New Roman" w:hAnsi="Times New Roman" w:cs="Times New Roman"/>
          <w:sz w:val="24"/>
          <w:szCs w:val="24"/>
        </w:rPr>
      </w:pPr>
      <w:r w:rsidRPr="00CD5496">
        <w:rPr>
          <w:rFonts w:ascii="Times New Roman" w:hAnsi="Times New Roman" w:cs="Times New Roman"/>
          <w:b/>
          <w:sz w:val="24"/>
          <w:szCs w:val="24"/>
        </w:rPr>
        <w:t>DGFF</w:t>
      </w:r>
      <w:r w:rsidRPr="006C0C34">
        <w:rPr>
          <w:rFonts w:ascii="Times New Roman" w:hAnsi="Times New Roman" w:cs="Times New Roman"/>
          <w:sz w:val="24"/>
          <w:szCs w:val="24"/>
        </w:rPr>
        <w:tab/>
      </w:r>
      <w:r w:rsidRPr="006C0C34">
        <w:rPr>
          <w:rFonts w:ascii="Times New Roman" w:hAnsi="Times New Roman" w:cs="Times New Roman"/>
          <w:sz w:val="24"/>
          <w:szCs w:val="24"/>
        </w:rPr>
        <w:tab/>
      </w:r>
      <w:r w:rsidRPr="006C0C34">
        <w:rPr>
          <w:rFonts w:ascii="Times New Roman" w:hAnsi="Times New Roman" w:cs="Times New Roman"/>
          <w:sz w:val="24"/>
          <w:szCs w:val="24"/>
        </w:rPr>
        <w:tab/>
        <w:t xml:space="preserve">Direction Générale de la Forêt et de la Faune </w:t>
      </w:r>
    </w:p>
    <w:p w:rsidR="009E1A02" w:rsidRPr="006C0C34" w:rsidRDefault="009E1A02" w:rsidP="009E1A02">
      <w:pPr>
        <w:tabs>
          <w:tab w:val="left" w:pos="2141"/>
        </w:tabs>
        <w:spacing w:after="0" w:line="276" w:lineRule="auto"/>
        <w:jc w:val="both"/>
        <w:rPr>
          <w:rFonts w:ascii="Times New Roman" w:hAnsi="Times New Roman" w:cs="Times New Roman"/>
          <w:sz w:val="24"/>
          <w:szCs w:val="24"/>
        </w:rPr>
      </w:pPr>
      <w:r w:rsidRPr="00CD5496">
        <w:rPr>
          <w:rFonts w:ascii="Times New Roman" w:hAnsi="Times New Roman" w:cs="Times New Roman"/>
          <w:b/>
          <w:sz w:val="24"/>
          <w:szCs w:val="24"/>
        </w:rPr>
        <w:t>DRH</w:t>
      </w:r>
      <w:r w:rsidRPr="006C0C34">
        <w:rPr>
          <w:rFonts w:ascii="Times New Roman" w:hAnsi="Times New Roman" w:cs="Times New Roman"/>
          <w:sz w:val="24"/>
          <w:szCs w:val="24"/>
        </w:rPr>
        <w:tab/>
        <w:t>Direction des Ressources Hydriques</w:t>
      </w:r>
    </w:p>
    <w:p w:rsidR="009E1A02" w:rsidRPr="006C0C34" w:rsidRDefault="009E1A02" w:rsidP="009E1A02">
      <w:pPr>
        <w:tabs>
          <w:tab w:val="left" w:pos="2141"/>
        </w:tabs>
        <w:spacing w:after="0" w:line="276" w:lineRule="auto"/>
        <w:jc w:val="both"/>
        <w:rPr>
          <w:rFonts w:ascii="Times New Roman" w:hAnsi="Times New Roman" w:cs="Times New Roman"/>
          <w:sz w:val="24"/>
          <w:szCs w:val="24"/>
        </w:rPr>
      </w:pPr>
      <w:r w:rsidRPr="00CD5496">
        <w:rPr>
          <w:rFonts w:ascii="Times New Roman" w:hAnsi="Times New Roman" w:cs="Times New Roman"/>
          <w:b/>
          <w:sz w:val="24"/>
          <w:szCs w:val="24"/>
        </w:rPr>
        <w:t>DENARP</w:t>
      </w:r>
      <w:r w:rsidRPr="006C0C34">
        <w:rPr>
          <w:rFonts w:ascii="Times New Roman" w:hAnsi="Times New Roman" w:cs="Times New Roman"/>
          <w:sz w:val="24"/>
          <w:szCs w:val="24"/>
        </w:rPr>
        <w:t xml:space="preserve"> </w:t>
      </w:r>
      <w:r w:rsidRPr="006C0C34">
        <w:rPr>
          <w:rFonts w:ascii="Times New Roman" w:hAnsi="Times New Roman" w:cs="Times New Roman"/>
          <w:sz w:val="24"/>
          <w:szCs w:val="24"/>
        </w:rPr>
        <w:tab/>
        <w:t>Document Stratégique National pour la Réduction de la Pauvreté</w:t>
      </w:r>
    </w:p>
    <w:p w:rsidR="009E1A02" w:rsidRPr="006C0C34" w:rsidRDefault="009E1A02" w:rsidP="009E1A02">
      <w:pPr>
        <w:tabs>
          <w:tab w:val="left" w:pos="2141"/>
        </w:tabs>
        <w:spacing w:after="0" w:line="276" w:lineRule="auto"/>
        <w:jc w:val="both"/>
        <w:rPr>
          <w:rFonts w:ascii="Times New Roman" w:hAnsi="Times New Roman" w:cs="Times New Roman"/>
          <w:sz w:val="24"/>
          <w:szCs w:val="24"/>
        </w:rPr>
      </w:pPr>
      <w:r w:rsidRPr="00CD5496">
        <w:rPr>
          <w:rFonts w:ascii="Times New Roman" w:hAnsi="Times New Roman" w:cs="Times New Roman"/>
          <w:b/>
          <w:sz w:val="24"/>
          <w:szCs w:val="24"/>
        </w:rPr>
        <w:t>EAGB</w:t>
      </w:r>
      <w:r w:rsidRPr="006C0C34">
        <w:rPr>
          <w:rFonts w:ascii="Times New Roman" w:hAnsi="Times New Roman" w:cs="Times New Roman"/>
          <w:sz w:val="24"/>
          <w:szCs w:val="24"/>
        </w:rPr>
        <w:t>                         Entreprise d’Electricité et d’Eau en Guinée-Bissau</w:t>
      </w:r>
    </w:p>
    <w:p w:rsidR="00AC54AE" w:rsidRPr="006C0C34" w:rsidRDefault="00AC54AE" w:rsidP="009E1A02">
      <w:pPr>
        <w:tabs>
          <w:tab w:val="left" w:pos="2141"/>
        </w:tabs>
        <w:spacing w:after="0" w:line="276" w:lineRule="auto"/>
        <w:jc w:val="both"/>
        <w:rPr>
          <w:rFonts w:ascii="Times New Roman" w:hAnsi="Times New Roman" w:cs="Times New Roman"/>
          <w:sz w:val="24"/>
          <w:szCs w:val="24"/>
        </w:rPr>
      </w:pPr>
      <w:r w:rsidRPr="00CD5496">
        <w:rPr>
          <w:rFonts w:ascii="Times New Roman" w:hAnsi="Times New Roman" w:cs="Times New Roman"/>
          <w:b/>
          <w:sz w:val="24"/>
          <w:szCs w:val="24"/>
        </w:rPr>
        <w:t>EIES</w:t>
      </w:r>
      <w:r w:rsidR="00CD5496">
        <w:rPr>
          <w:rFonts w:ascii="Times New Roman" w:hAnsi="Times New Roman" w:cs="Times New Roman"/>
          <w:sz w:val="24"/>
          <w:szCs w:val="24"/>
        </w:rPr>
        <w:t xml:space="preserve">                           </w:t>
      </w:r>
      <w:r w:rsidRPr="006C0C34">
        <w:rPr>
          <w:rFonts w:ascii="Times New Roman" w:hAnsi="Times New Roman" w:cs="Times New Roman"/>
          <w:sz w:val="24"/>
          <w:szCs w:val="24"/>
        </w:rPr>
        <w:t>Etude d’Impacts Environnemental et Social</w:t>
      </w:r>
    </w:p>
    <w:p w:rsidR="00136E13" w:rsidRPr="006C0C34" w:rsidRDefault="00136E13" w:rsidP="00136E13">
      <w:pPr>
        <w:spacing w:after="0" w:line="276" w:lineRule="auto"/>
        <w:jc w:val="both"/>
        <w:rPr>
          <w:rFonts w:ascii="Times New Roman" w:hAnsi="Times New Roman" w:cs="Times New Roman"/>
          <w:sz w:val="24"/>
          <w:szCs w:val="24"/>
        </w:rPr>
      </w:pPr>
      <w:r w:rsidRPr="00CD5496">
        <w:rPr>
          <w:rFonts w:ascii="Times New Roman" w:hAnsi="Times New Roman" w:cs="Times New Roman"/>
          <w:b/>
          <w:sz w:val="24"/>
          <w:szCs w:val="24"/>
        </w:rPr>
        <w:t>IEC</w:t>
      </w:r>
      <w:r w:rsidRPr="006C0C34">
        <w:rPr>
          <w:rFonts w:ascii="Times New Roman" w:hAnsi="Times New Roman" w:cs="Times New Roman"/>
          <w:sz w:val="24"/>
          <w:szCs w:val="24"/>
        </w:rPr>
        <w:tab/>
      </w:r>
      <w:r w:rsidRPr="006C0C34">
        <w:rPr>
          <w:rFonts w:ascii="Times New Roman" w:hAnsi="Times New Roman" w:cs="Times New Roman"/>
          <w:sz w:val="24"/>
          <w:szCs w:val="24"/>
        </w:rPr>
        <w:tab/>
      </w:r>
      <w:r w:rsidRPr="006C0C34">
        <w:rPr>
          <w:rFonts w:ascii="Times New Roman" w:hAnsi="Times New Roman" w:cs="Times New Roman"/>
          <w:sz w:val="24"/>
          <w:szCs w:val="24"/>
        </w:rPr>
        <w:tab/>
        <w:t>Information Éducation et Communication</w:t>
      </w:r>
    </w:p>
    <w:p w:rsidR="00136E13" w:rsidRPr="006C0C34" w:rsidRDefault="00136E13" w:rsidP="00136E13">
      <w:pPr>
        <w:spacing w:after="0" w:line="276" w:lineRule="auto"/>
        <w:jc w:val="both"/>
        <w:rPr>
          <w:rFonts w:ascii="Times New Roman" w:hAnsi="Times New Roman" w:cs="Times New Roman"/>
          <w:sz w:val="24"/>
          <w:szCs w:val="24"/>
        </w:rPr>
      </w:pPr>
      <w:r w:rsidRPr="00CD5496">
        <w:rPr>
          <w:rFonts w:ascii="Times New Roman" w:hAnsi="Times New Roman" w:cs="Times New Roman"/>
          <w:b/>
          <w:sz w:val="24"/>
          <w:szCs w:val="24"/>
        </w:rPr>
        <w:t>IST</w:t>
      </w:r>
      <w:r w:rsidRPr="006C0C34">
        <w:rPr>
          <w:rFonts w:ascii="Times New Roman" w:hAnsi="Times New Roman" w:cs="Times New Roman"/>
          <w:sz w:val="24"/>
          <w:szCs w:val="24"/>
        </w:rPr>
        <w:tab/>
      </w:r>
      <w:r w:rsidRPr="006C0C34">
        <w:rPr>
          <w:rFonts w:ascii="Times New Roman" w:hAnsi="Times New Roman" w:cs="Times New Roman"/>
          <w:sz w:val="24"/>
          <w:szCs w:val="24"/>
        </w:rPr>
        <w:tab/>
      </w:r>
      <w:r w:rsidRPr="006C0C34">
        <w:rPr>
          <w:rFonts w:ascii="Times New Roman" w:hAnsi="Times New Roman" w:cs="Times New Roman"/>
          <w:sz w:val="24"/>
          <w:szCs w:val="24"/>
        </w:rPr>
        <w:tab/>
        <w:t>Infection sexuellement transmissibles</w:t>
      </w:r>
    </w:p>
    <w:p w:rsidR="00AC54AE" w:rsidRDefault="00AC54AE" w:rsidP="00136E13">
      <w:pPr>
        <w:spacing w:after="0" w:line="276" w:lineRule="auto"/>
        <w:jc w:val="both"/>
        <w:rPr>
          <w:rFonts w:ascii="Times New Roman" w:hAnsi="Times New Roman" w:cs="Times New Roman"/>
          <w:sz w:val="24"/>
          <w:szCs w:val="24"/>
        </w:rPr>
      </w:pPr>
      <w:r w:rsidRPr="00CD5496">
        <w:rPr>
          <w:rFonts w:ascii="Times New Roman" w:hAnsi="Times New Roman" w:cs="Times New Roman"/>
          <w:b/>
          <w:sz w:val="24"/>
          <w:szCs w:val="24"/>
        </w:rPr>
        <w:t>Km</w:t>
      </w:r>
      <w:r w:rsidRPr="006C0C34">
        <w:rPr>
          <w:rFonts w:ascii="Times New Roman" w:hAnsi="Times New Roman" w:cs="Times New Roman"/>
          <w:sz w:val="24"/>
          <w:szCs w:val="24"/>
        </w:rPr>
        <w:tab/>
      </w:r>
      <w:r w:rsidRPr="006C0C34">
        <w:rPr>
          <w:rFonts w:ascii="Times New Roman" w:hAnsi="Times New Roman" w:cs="Times New Roman"/>
          <w:sz w:val="24"/>
          <w:szCs w:val="24"/>
        </w:rPr>
        <w:tab/>
        <w:t xml:space="preserve">            Kilomètre</w:t>
      </w:r>
    </w:p>
    <w:p w:rsidR="003562BC" w:rsidRPr="006C0C34" w:rsidRDefault="003562BC" w:rsidP="00136E13">
      <w:pPr>
        <w:spacing w:after="0" w:line="276" w:lineRule="auto"/>
        <w:jc w:val="both"/>
        <w:rPr>
          <w:rFonts w:ascii="Times New Roman" w:hAnsi="Times New Roman" w:cs="Times New Roman"/>
          <w:sz w:val="24"/>
          <w:szCs w:val="24"/>
        </w:rPr>
      </w:pPr>
      <w:r w:rsidRPr="003562BC">
        <w:rPr>
          <w:rFonts w:ascii="Times New Roman" w:hAnsi="Times New Roman" w:cs="Times New Roman"/>
          <w:b/>
          <w:sz w:val="24"/>
          <w:szCs w:val="24"/>
        </w:rPr>
        <w:t>MES</w:t>
      </w:r>
      <w:r w:rsidRPr="003562B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3562BC">
        <w:rPr>
          <w:rFonts w:ascii="Times New Roman" w:hAnsi="Times New Roman" w:cs="Times New Roman"/>
          <w:sz w:val="24"/>
          <w:szCs w:val="24"/>
        </w:rPr>
        <w:t>Matières en Suspension</w:t>
      </w:r>
    </w:p>
    <w:p w:rsidR="00136E13" w:rsidRPr="006C0C34" w:rsidRDefault="00136E13" w:rsidP="00136E13">
      <w:pPr>
        <w:spacing w:after="0" w:line="276" w:lineRule="auto"/>
        <w:jc w:val="both"/>
        <w:rPr>
          <w:rFonts w:ascii="Times New Roman" w:hAnsi="Times New Roman" w:cs="Times New Roman"/>
          <w:sz w:val="24"/>
          <w:szCs w:val="24"/>
        </w:rPr>
      </w:pPr>
      <w:r w:rsidRPr="00CD5496">
        <w:rPr>
          <w:rFonts w:ascii="Times New Roman" w:hAnsi="Times New Roman" w:cs="Times New Roman"/>
          <w:b/>
          <w:sz w:val="24"/>
          <w:szCs w:val="24"/>
        </w:rPr>
        <w:t>MST</w:t>
      </w:r>
      <w:r w:rsidRPr="006C0C34">
        <w:rPr>
          <w:rFonts w:ascii="Times New Roman" w:hAnsi="Times New Roman" w:cs="Times New Roman"/>
          <w:sz w:val="24"/>
          <w:szCs w:val="24"/>
        </w:rPr>
        <w:tab/>
      </w:r>
      <w:r w:rsidRPr="006C0C34">
        <w:rPr>
          <w:rFonts w:ascii="Times New Roman" w:hAnsi="Times New Roman" w:cs="Times New Roman"/>
          <w:sz w:val="24"/>
          <w:szCs w:val="24"/>
        </w:rPr>
        <w:tab/>
      </w:r>
      <w:r w:rsidRPr="006C0C34">
        <w:rPr>
          <w:rFonts w:ascii="Times New Roman" w:hAnsi="Times New Roman" w:cs="Times New Roman"/>
          <w:sz w:val="24"/>
          <w:szCs w:val="24"/>
        </w:rPr>
        <w:tab/>
        <w:t>Maladie sexuellement transmissible</w:t>
      </w:r>
    </w:p>
    <w:p w:rsidR="009E1A02" w:rsidRPr="006C0C34" w:rsidRDefault="00136E13" w:rsidP="00136E13">
      <w:pPr>
        <w:spacing w:after="0" w:line="276" w:lineRule="auto"/>
        <w:jc w:val="both"/>
        <w:rPr>
          <w:rFonts w:ascii="Times New Roman" w:hAnsi="Times New Roman" w:cs="Times New Roman"/>
          <w:sz w:val="24"/>
          <w:szCs w:val="24"/>
        </w:rPr>
      </w:pPr>
      <w:r w:rsidRPr="00CD5496">
        <w:rPr>
          <w:rFonts w:ascii="Times New Roman" w:hAnsi="Times New Roman" w:cs="Times New Roman"/>
          <w:b/>
          <w:sz w:val="24"/>
          <w:szCs w:val="24"/>
        </w:rPr>
        <w:t>MT</w:t>
      </w:r>
      <w:r w:rsidRPr="006C0C34">
        <w:rPr>
          <w:rFonts w:ascii="Times New Roman" w:hAnsi="Times New Roman" w:cs="Times New Roman"/>
          <w:sz w:val="24"/>
          <w:szCs w:val="24"/>
        </w:rPr>
        <w:tab/>
      </w:r>
      <w:r w:rsidRPr="006C0C34">
        <w:rPr>
          <w:rFonts w:ascii="Times New Roman" w:hAnsi="Times New Roman" w:cs="Times New Roman"/>
          <w:sz w:val="24"/>
          <w:szCs w:val="24"/>
        </w:rPr>
        <w:tab/>
      </w:r>
      <w:r w:rsidRPr="006C0C34">
        <w:rPr>
          <w:rFonts w:ascii="Times New Roman" w:hAnsi="Times New Roman" w:cs="Times New Roman"/>
          <w:sz w:val="24"/>
          <w:szCs w:val="24"/>
        </w:rPr>
        <w:tab/>
        <w:t>Moyenne Tension</w:t>
      </w:r>
    </w:p>
    <w:p w:rsidR="009E1A02" w:rsidRPr="003C548E" w:rsidRDefault="009E1A02" w:rsidP="00136E13">
      <w:pPr>
        <w:spacing w:after="0" w:line="276" w:lineRule="auto"/>
        <w:jc w:val="both"/>
        <w:rPr>
          <w:rFonts w:ascii="Times New Roman" w:hAnsi="Times New Roman" w:cs="Times New Roman"/>
          <w:bCs/>
          <w:sz w:val="24"/>
          <w:szCs w:val="24"/>
          <w:lang w:val="en-US"/>
        </w:rPr>
      </w:pPr>
      <w:r w:rsidRPr="003C548E">
        <w:rPr>
          <w:rFonts w:ascii="Times New Roman" w:hAnsi="Times New Roman" w:cs="Times New Roman"/>
          <w:b/>
          <w:sz w:val="24"/>
          <w:szCs w:val="24"/>
          <w:lang w:val="en-US"/>
        </w:rPr>
        <w:t>NAPA</w:t>
      </w:r>
      <w:r w:rsidRPr="003C548E">
        <w:rPr>
          <w:rFonts w:ascii="Times New Roman" w:hAnsi="Times New Roman" w:cs="Times New Roman"/>
          <w:sz w:val="24"/>
          <w:szCs w:val="24"/>
          <w:lang w:val="en-US"/>
        </w:rPr>
        <w:t xml:space="preserve">                         </w:t>
      </w:r>
      <w:r w:rsidRPr="003C548E">
        <w:rPr>
          <w:rFonts w:ascii="Times New Roman" w:hAnsi="Times New Roman" w:cs="Times New Roman"/>
          <w:bCs/>
          <w:sz w:val="24"/>
          <w:szCs w:val="24"/>
          <w:lang w:val="en-US"/>
        </w:rPr>
        <w:t>National Adaptation Program of Action of adaptation to climate changes</w:t>
      </w:r>
    </w:p>
    <w:p w:rsidR="00136E13" w:rsidRPr="006C0C34" w:rsidRDefault="00136E13" w:rsidP="00136E13">
      <w:pPr>
        <w:spacing w:after="0" w:line="276" w:lineRule="auto"/>
        <w:jc w:val="both"/>
        <w:rPr>
          <w:rFonts w:ascii="Times New Roman" w:hAnsi="Times New Roman" w:cs="Times New Roman"/>
          <w:sz w:val="24"/>
          <w:szCs w:val="24"/>
        </w:rPr>
      </w:pPr>
      <w:r w:rsidRPr="00CD5496">
        <w:rPr>
          <w:rFonts w:ascii="Times New Roman" w:hAnsi="Times New Roman" w:cs="Times New Roman"/>
          <w:b/>
          <w:sz w:val="24"/>
          <w:szCs w:val="24"/>
        </w:rPr>
        <w:t>ONG</w:t>
      </w:r>
      <w:r w:rsidRPr="006C0C34">
        <w:rPr>
          <w:rFonts w:ascii="Times New Roman" w:hAnsi="Times New Roman" w:cs="Times New Roman"/>
          <w:sz w:val="24"/>
          <w:szCs w:val="24"/>
        </w:rPr>
        <w:tab/>
      </w:r>
      <w:r w:rsidRPr="006C0C34">
        <w:rPr>
          <w:rFonts w:ascii="Times New Roman" w:hAnsi="Times New Roman" w:cs="Times New Roman"/>
          <w:sz w:val="24"/>
          <w:szCs w:val="24"/>
        </w:rPr>
        <w:tab/>
      </w:r>
      <w:r w:rsidRPr="006C0C34">
        <w:rPr>
          <w:rFonts w:ascii="Times New Roman" w:hAnsi="Times New Roman" w:cs="Times New Roman"/>
          <w:sz w:val="24"/>
          <w:szCs w:val="24"/>
        </w:rPr>
        <w:tab/>
      </w:r>
      <w:r w:rsidR="00D62E18">
        <w:rPr>
          <w:rFonts w:ascii="Times New Roman" w:hAnsi="Times New Roman" w:cs="Times New Roman"/>
          <w:sz w:val="24"/>
          <w:szCs w:val="24"/>
        </w:rPr>
        <w:t xml:space="preserve"> </w:t>
      </w:r>
      <w:r w:rsidRPr="006C0C34">
        <w:rPr>
          <w:rFonts w:ascii="Times New Roman" w:hAnsi="Times New Roman" w:cs="Times New Roman"/>
          <w:sz w:val="24"/>
          <w:szCs w:val="24"/>
        </w:rPr>
        <w:t>Organisation non gouvernementale</w:t>
      </w:r>
    </w:p>
    <w:p w:rsidR="00136E13" w:rsidRPr="006C0C34" w:rsidRDefault="00136E13" w:rsidP="00136E13">
      <w:pPr>
        <w:spacing w:after="0" w:line="276" w:lineRule="auto"/>
        <w:jc w:val="both"/>
        <w:rPr>
          <w:rFonts w:ascii="Times New Roman" w:hAnsi="Times New Roman" w:cs="Times New Roman"/>
          <w:sz w:val="24"/>
          <w:szCs w:val="24"/>
        </w:rPr>
      </w:pPr>
      <w:r w:rsidRPr="00CD5496">
        <w:rPr>
          <w:rFonts w:ascii="Times New Roman" w:hAnsi="Times New Roman" w:cs="Times New Roman"/>
          <w:b/>
          <w:sz w:val="24"/>
          <w:szCs w:val="24"/>
        </w:rPr>
        <w:t>OP</w:t>
      </w:r>
      <w:r w:rsidRPr="006C0C34">
        <w:rPr>
          <w:rFonts w:ascii="Times New Roman" w:hAnsi="Times New Roman" w:cs="Times New Roman"/>
          <w:sz w:val="24"/>
          <w:szCs w:val="24"/>
        </w:rPr>
        <w:tab/>
      </w:r>
      <w:r w:rsidRPr="006C0C34">
        <w:rPr>
          <w:rFonts w:ascii="Times New Roman" w:hAnsi="Times New Roman" w:cs="Times New Roman"/>
          <w:sz w:val="24"/>
          <w:szCs w:val="24"/>
        </w:rPr>
        <w:tab/>
      </w:r>
      <w:r w:rsidRPr="006C0C34">
        <w:rPr>
          <w:rFonts w:ascii="Times New Roman" w:hAnsi="Times New Roman" w:cs="Times New Roman"/>
          <w:sz w:val="24"/>
          <w:szCs w:val="24"/>
        </w:rPr>
        <w:tab/>
      </w:r>
      <w:r w:rsidRPr="006C0C34">
        <w:rPr>
          <w:rFonts w:ascii="Times New Roman" w:hAnsi="Times New Roman" w:cs="Times New Roman"/>
          <w:i/>
          <w:noProof/>
          <w:sz w:val="24"/>
          <w:szCs w:val="24"/>
        </w:rPr>
        <w:t>Operational Policy</w:t>
      </w:r>
    </w:p>
    <w:p w:rsidR="00136E13" w:rsidRPr="006C0C34" w:rsidRDefault="00136E13" w:rsidP="00136E13">
      <w:pPr>
        <w:spacing w:after="0" w:line="276" w:lineRule="auto"/>
        <w:jc w:val="both"/>
        <w:rPr>
          <w:rFonts w:ascii="Times New Roman" w:hAnsi="Times New Roman" w:cs="Times New Roman"/>
          <w:sz w:val="24"/>
          <w:szCs w:val="24"/>
        </w:rPr>
      </w:pPr>
      <w:r w:rsidRPr="00CD5496">
        <w:rPr>
          <w:rFonts w:ascii="Times New Roman" w:hAnsi="Times New Roman" w:cs="Times New Roman"/>
          <w:b/>
          <w:sz w:val="24"/>
          <w:szCs w:val="24"/>
        </w:rPr>
        <w:t>PAR</w:t>
      </w:r>
      <w:r w:rsidRPr="006C0C34">
        <w:rPr>
          <w:rFonts w:ascii="Times New Roman" w:hAnsi="Times New Roman" w:cs="Times New Roman"/>
          <w:sz w:val="24"/>
          <w:szCs w:val="24"/>
        </w:rPr>
        <w:t xml:space="preserve"> </w:t>
      </w:r>
      <w:r w:rsidRPr="006C0C34">
        <w:rPr>
          <w:rFonts w:ascii="Times New Roman" w:hAnsi="Times New Roman" w:cs="Times New Roman"/>
          <w:sz w:val="24"/>
          <w:szCs w:val="24"/>
        </w:rPr>
        <w:tab/>
      </w:r>
      <w:r w:rsidRPr="006C0C34">
        <w:rPr>
          <w:rFonts w:ascii="Times New Roman" w:hAnsi="Times New Roman" w:cs="Times New Roman"/>
          <w:sz w:val="24"/>
          <w:szCs w:val="24"/>
        </w:rPr>
        <w:tab/>
      </w:r>
      <w:r w:rsidRPr="006C0C34">
        <w:rPr>
          <w:rFonts w:ascii="Times New Roman" w:hAnsi="Times New Roman" w:cs="Times New Roman"/>
          <w:sz w:val="24"/>
          <w:szCs w:val="24"/>
        </w:rPr>
        <w:tab/>
        <w:t>Plan d’Action de Réinstallation (PAR)</w:t>
      </w:r>
    </w:p>
    <w:p w:rsidR="00136E13" w:rsidRPr="006C0C34" w:rsidRDefault="00136E13" w:rsidP="00136E13">
      <w:pPr>
        <w:spacing w:after="0" w:line="276" w:lineRule="auto"/>
        <w:rPr>
          <w:rFonts w:ascii="Times New Roman" w:hAnsi="Times New Roman" w:cs="Times New Roman"/>
          <w:sz w:val="24"/>
          <w:szCs w:val="24"/>
        </w:rPr>
      </w:pPr>
      <w:r w:rsidRPr="00CD5496">
        <w:rPr>
          <w:rFonts w:ascii="Times New Roman" w:hAnsi="Times New Roman" w:cs="Times New Roman"/>
          <w:b/>
          <w:sz w:val="24"/>
          <w:szCs w:val="24"/>
        </w:rPr>
        <w:t>PAP</w:t>
      </w:r>
      <w:r w:rsidRPr="006C0C34">
        <w:rPr>
          <w:rFonts w:ascii="Times New Roman" w:hAnsi="Times New Roman" w:cs="Times New Roman"/>
          <w:sz w:val="24"/>
          <w:szCs w:val="24"/>
        </w:rPr>
        <w:tab/>
      </w:r>
      <w:r w:rsidRPr="006C0C34">
        <w:rPr>
          <w:rFonts w:ascii="Times New Roman" w:hAnsi="Times New Roman" w:cs="Times New Roman"/>
          <w:sz w:val="24"/>
          <w:szCs w:val="24"/>
        </w:rPr>
        <w:tab/>
      </w:r>
      <w:r w:rsidRPr="006C0C34">
        <w:rPr>
          <w:rFonts w:ascii="Times New Roman" w:hAnsi="Times New Roman" w:cs="Times New Roman"/>
          <w:sz w:val="24"/>
          <w:szCs w:val="24"/>
        </w:rPr>
        <w:tab/>
        <w:t>Personne Affectée par le Projet</w:t>
      </w:r>
    </w:p>
    <w:p w:rsidR="00136E13" w:rsidRPr="006C0C34" w:rsidRDefault="00136E13" w:rsidP="00136E13">
      <w:pPr>
        <w:spacing w:after="0" w:line="276" w:lineRule="auto"/>
        <w:jc w:val="both"/>
        <w:rPr>
          <w:rFonts w:ascii="Times New Roman" w:hAnsi="Times New Roman" w:cs="Times New Roman"/>
          <w:sz w:val="24"/>
          <w:szCs w:val="24"/>
        </w:rPr>
      </w:pPr>
      <w:r w:rsidRPr="00CD5496">
        <w:rPr>
          <w:rFonts w:ascii="Times New Roman" w:hAnsi="Times New Roman" w:cs="Times New Roman"/>
          <w:b/>
          <w:sz w:val="24"/>
          <w:szCs w:val="24"/>
        </w:rPr>
        <w:t xml:space="preserve">PO </w:t>
      </w:r>
      <w:r w:rsidRPr="006C0C34">
        <w:rPr>
          <w:rFonts w:ascii="Times New Roman" w:hAnsi="Times New Roman" w:cs="Times New Roman"/>
          <w:sz w:val="24"/>
          <w:szCs w:val="24"/>
        </w:rPr>
        <w:tab/>
      </w:r>
      <w:r w:rsidRPr="006C0C34">
        <w:rPr>
          <w:rFonts w:ascii="Times New Roman" w:hAnsi="Times New Roman" w:cs="Times New Roman"/>
          <w:sz w:val="24"/>
          <w:szCs w:val="24"/>
        </w:rPr>
        <w:tab/>
      </w:r>
      <w:r w:rsidRPr="006C0C34">
        <w:rPr>
          <w:rFonts w:ascii="Times New Roman" w:hAnsi="Times New Roman" w:cs="Times New Roman"/>
          <w:sz w:val="24"/>
          <w:szCs w:val="24"/>
        </w:rPr>
        <w:tab/>
        <w:t>Politique Opérationnelle</w:t>
      </w:r>
    </w:p>
    <w:p w:rsidR="00136E13" w:rsidRPr="006C0C34" w:rsidRDefault="00136E13" w:rsidP="00136E13">
      <w:pPr>
        <w:spacing w:after="0" w:line="276" w:lineRule="auto"/>
        <w:rPr>
          <w:rFonts w:ascii="Times New Roman" w:eastAsia="Gungsuh" w:hAnsi="Times New Roman" w:cs="Times New Roman"/>
          <w:sz w:val="24"/>
          <w:szCs w:val="24"/>
        </w:rPr>
      </w:pPr>
      <w:r w:rsidRPr="00CD5496">
        <w:rPr>
          <w:rFonts w:ascii="Times New Roman" w:hAnsi="Times New Roman" w:cs="Times New Roman"/>
          <w:b/>
          <w:sz w:val="24"/>
          <w:szCs w:val="24"/>
        </w:rPr>
        <w:t>PUASEE</w:t>
      </w:r>
      <w:r w:rsidRPr="006C0C34">
        <w:rPr>
          <w:rFonts w:ascii="Times New Roman" w:hAnsi="Times New Roman" w:cs="Times New Roman"/>
          <w:sz w:val="24"/>
          <w:szCs w:val="24"/>
        </w:rPr>
        <w:tab/>
      </w:r>
      <w:r w:rsidRPr="006C0C34">
        <w:rPr>
          <w:rFonts w:ascii="Times New Roman" w:hAnsi="Times New Roman" w:cs="Times New Roman"/>
          <w:sz w:val="24"/>
          <w:szCs w:val="24"/>
        </w:rPr>
        <w:tab/>
        <w:t>P</w:t>
      </w:r>
      <w:r w:rsidRPr="006C0C34">
        <w:rPr>
          <w:rFonts w:ascii="Times New Roman" w:eastAsia="Gungsuh" w:hAnsi="Times New Roman" w:cs="Times New Roman"/>
          <w:sz w:val="24"/>
          <w:szCs w:val="24"/>
        </w:rPr>
        <w:t xml:space="preserve">rojet d'Urgence pour l'Amélioration des Services d'Eau et d'Électricité </w:t>
      </w:r>
    </w:p>
    <w:p w:rsidR="009E1A02" w:rsidRPr="006C0C34" w:rsidRDefault="009E1A02" w:rsidP="00136E13">
      <w:pPr>
        <w:spacing w:after="0" w:line="276" w:lineRule="auto"/>
        <w:rPr>
          <w:rFonts w:ascii="Times New Roman" w:hAnsi="Times New Roman" w:cs="Times New Roman"/>
          <w:sz w:val="24"/>
          <w:szCs w:val="24"/>
        </w:rPr>
      </w:pPr>
      <w:r w:rsidRPr="00CD5496">
        <w:rPr>
          <w:rFonts w:ascii="Times New Roman" w:hAnsi="Times New Roman" w:cs="Times New Roman"/>
          <w:b/>
          <w:sz w:val="24"/>
          <w:szCs w:val="24"/>
        </w:rPr>
        <w:t>PDSE</w:t>
      </w:r>
      <w:r w:rsidRPr="006C0C34">
        <w:rPr>
          <w:rFonts w:ascii="Times New Roman" w:hAnsi="Times New Roman" w:cs="Times New Roman"/>
          <w:sz w:val="24"/>
          <w:szCs w:val="24"/>
        </w:rPr>
        <w:t xml:space="preserve">                          Plan Directeur de Secteur de l’Energie</w:t>
      </w:r>
    </w:p>
    <w:p w:rsidR="009E1A02" w:rsidRPr="006C0C34" w:rsidRDefault="009E1A02" w:rsidP="009E1A02">
      <w:pPr>
        <w:spacing w:after="0" w:line="276" w:lineRule="auto"/>
        <w:rPr>
          <w:rFonts w:ascii="Times New Roman" w:hAnsi="Times New Roman" w:cs="Times New Roman"/>
          <w:sz w:val="24"/>
          <w:szCs w:val="24"/>
        </w:rPr>
      </w:pPr>
      <w:r w:rsidRPr="00CD5496">
        <w:rPr>
          <w:rFonts w:ascii="Times New Roman" w:hAnsi="Times New Roman" w:cs="Times New Roman"/>
          <w:b/>
          <w:sz w:val="24"/>
          <w:szCs w:val="24"/>
        </w:rPr>
        <w:t>PDSEA</w:t>
      </w:r>
      <w:r w:rsidRPr="006C0C34">
        <w:rPr>
          <w:rFonts w:ascii="Times New Roman" w:hAnsi="Times New Roman" w:cs="Times New Roman"/>
          <w:sz w:val="24"/>
          <w:szCs w:val="24"/>
        </w:rPr>
        <w:t xml:space="preserve">                       Plan Directeur du Secteur de l’Eau et Assainissement et la stratégie nationale de </w:t>
      </w:r>
      <w:r w:rsidR="0070690A">
        <w:rPr>
          <w:rFonts w:ascii="Times New Roman" w:hAnsi="Times New Roman" w:cs="Times New Roman"/>
          <w:sz w:val="24"/>
          <w:szCs w:val="24"/>
        </w:rPr>
        <w:t xml:space="preserve">  </w:t>
      </w:r>
      <w:r w:rsidR="00705D91" w:rsidRPr="006C0C34">
        <w:rPr>
          <w:rFonts w:ascii="Times New Roman" w:hAnsi="Times New Roman" w:cs="Times New Roman"/>
          <w:sz w:val="24"/>
          <w:szCs w:val="24"/>
        </w:rPr>
        <w:t>Développement</w:t>
      </w:r>
      <w:r w:rsidRPr="006C0C34">
        <w:rPr>
          <w:rFonts w:ascii="Times New Roman" w:hAnsi="Times New Roman" w:cs="Times New Roman"/>
          <w:sz w:val="24"/>
          <w:szCs w:val="24"/>
        </w:rPr>
        <w:t xml:space="preserve"> </w:t>
      </w:r>
      <w:r w:rsidR="00FA7694" w:rsidRPr="006C0C34">
        <w:rPr>
          <w:rFonts w:ascii="Times New Roman" w:hAnsi="Times New Roman" w:cs="Times New Roman"/>
          <w:sz w:val="24"/>
          <w:szCs w:val="24"/>
        </w:rPr>
        <w:t>Sanitaire</w:t>
      </w:r>
    </w:p>
    <w:p w:rsidR="00AC54AE" w:rsidRPr="006C0C34" w:rsidRDefault="00AC54AE" w:rsidP="00AC54AE">
      <w:pPr>
        <w:spacing w:after="0" w:line="276" w:lineRule="auto"/>
        <w:rPr>
          <w:rFonts w:ascii="Times New Roman" w:hAnsi="Times New Roman" w:cs="Times New Roman"/>
          <w:sz w:val="24"/>
          <w:szCs w:val="24"/>
        </w:rPr>
      </w:pPr>
      <w:r w:rsidRPr="00CD5496">
        <w:rPr>
          <w:rFonts w:ascii="Times New Roman" w:hAnsi="Times New Roman" w:cs="Times New Roman"/>
          <w:b/>
          <w:sz w:val="24"/>
          <w:szCs w:val="24"/>
        </w:rPr>
        <w:t>PeHD</w:t>
      </w:r>
      <w:r w:rsidRPr="006C0C34">
        <w:rPr>
          <w:rFonts w:ascii="Times New Roman" w:hAnsi="Times New Roman" w:cs="Times New Roman"/>
          <w:sz w:val="24"/>
          <w:szCs w:val="24"/>
        </w:rPr>
        <w:tab/>
      </w:r>
      <w:r w:rsidRPr="006C0C34">
        <w:rPr>
          <w:rFonts w:ascii="Times New Roman" w:hAnsi="Times New Roman" w:cs="Times New Roman"/>
          <w:sz w:val="24"/>
          <w:szCs w:val="24"/>
        </w:rPr>
        <w:tab/>
        <w:t xml:space="preserve">             Polyéthylène Haute Densité</w:t>
      </w:r>
    </w:p>
    <w:p w:rsidR="00AC54AE" w:rsidRPr="006C0C34" w:rsidRDefault="00AC54AE" w:rsidP="00AC54AE">
      <w:pPr>
        <w:spacing w:after="0" w:line="276" w:lineRule="auto"/>
        <w:rPr>
          <w:rFonts w:ascii="Times New Roman" w:hAnsi="Times New Roman" w:cs="Times New Roman"/>
          <w:sz w:val="24"/>
          <w:szCs w:val="24"/>
        </w:rPr>
      </w:pPr>
      <w:r w:rsidRPr="00CD5496">
        <w:rPr>
          <w:rFonts w:ascii="Times New Roman" w:hAnsi="Times New Roman" w:cs="Times New Roman"/>
          <w:b/>
          <w:sz w:val="24"/>
          <w:szCs w:val="24"/>
        </w:rPr>
        <w:t>PGES</w:t>
      </w:r>
      <w:r w:rsidRPr="006C0C34">
        <w:rPr>
          <w:rFonts w:ascii="Times New Roman" w:hAnsi="Times New Roman" w:cs="Times New Roman"/>
          <w:sz w:val="24"/>
          <w:szCs w:val="24"/>
        </w:rPr>
        <w:tab/>
      </w:r>
      <w:r w:rsidRPr="006C0C34">
        <w:rPr>
          <w:rFonts w:ascii="Times New Roman" w:hAnsi="Times New Roman" w:cs="Times New Roman"/>
          <w:sz w:val="24"/>
          <w:szCs w:val="24"/>
        </w:rPr>
        <w:tab/>
        <w:t xml:space="preserve">             Plan de Gestion </w:t>
      </w:r>
      <w:r w:rsidR="00937ED2" w:rsidRPr="006C0C34">
        <w:rPr>
          <w:rFonts w:ascii="Times New Roman" w:hAnsi="Times New Roman" w:cs="Times New Roman"/>
          <w:sz w:val="24"/>
          <w:szCs w:val="24"/>
        </w:rPr>
        <w:t>Environnemental</w:t>
      </w:r>
      <w:r w:rsidRPr="006C0C34">
        <w:rPr>
          <w:rFonts w:ascii="Times New Roman" w:hAnsi="Times New Roman" w:cs="Times New Roman"/>
          <w:sz w:val="24"/>
          <w:szCs w:val="24"/>
        </w:rPr>
        <w:t xml:space="preserve"> et Social</w:t>
      </w:r>
    </w:p>
    <w:p w:rsidR="00AC54AE" w:rsidRPr="006C0C34" w:rsidRDefault="00AC54AE" w:rsidP="00937ED2">
      <w:pPr>
        <w:shd w:val="clear" w:color="auto" w:fill="FFFFFF" w:themeFill="background1"/>
        <w:spacing w:after="0" w:line="276" w:lineRule="auto"/>
        <w:rPr>
          <w:rFonts w:ascii="Times New Roman" w:hAnsi="Times New Roman" w:cs="Times New Roman"/>
          <w:b/>
          <w:sz w:val="24"/>
          <w:szCs w:val="24"/>
        </w:rPr>
      </w:pPr>
      <w:r w:rsidRPr="00CD5496">
        <w:rPr>
          <w:rFonts w:ascii="Times New Roman" w:hAnsi="Times New Roman" w:cs="Times New Roman"/>
          <w:b/>
          <w:sz w:val="24"/>
          <w:szCs w:val="24"/>
        </w:rPr>
        <w:t>PV</w:t>
      </w:r>
      <w:r w:rsidRPr="006C0C34">
        <w:rPr>
          <w:rFonts w:ascii="Times New Roman" w:hAnsi="Times New Roman" w:cs="Times New Roman"/>
          <w:sz w:val="24"/>
          <w:szCs w:val="24"/>
        </w:rPr>
        <w:tab/>
        <w:t xml:space="preserve">                         </w:t>
      </w:r>
      <w:r w:rsidR="00937ED2" w:rsidRPr="006C0C34">
        <w:rPr>
          <w:rFonts w:ascii="Times New Roman" w:hAnsi="Times New Roman" w:cs="Times New Roman"/>
          <w:sz w:val="24"/>
          <w:szCs w:val="24"/>
        </w:rPr>
        <w:t>Procès-Verbal</w:t>
      </w:r>
    </w:p>
    <w:p w:rsidR="00136E13" w:rsidRPr="006C0C34" w:rsidRDefault="009E1A02" w:rsidP="00136E13">
      <w:pPr>
        <w:spacing w:after="0" w:line="276" w:lineRule="auto"/>
        <w:jc w:val="both"/>
        <w:rPr>
          <w:rFonts w:ascii="Times New Roman" w:hAnsi="Times New Roman" w:cs="Times New Roman"/>
          <w:sz w:val="24"/>
          <w:szCs w:val="24"/>
        </w:rPr>
      </w:pPr>
      <w:r w:rsidRPr="00CD5496">
        <w:rPr>
          <w:rFonts w:ascii="Times New Roman" w:hAnsi="Times New Roman" w:cs="Times New Roman"/>
          <w:b/>
          <w:sz w:val="24"/>
          <w:szCs w:val="24"/>
        </w:rPr>
        <w:t>SIDA</w:t>
      </w:r>
      <w:r w:rsidRPr="006C0C34">
        <w:rPr>
          <w:rFonts w:ascii="Times New Roman" w:hAnsi="Times New Roman" w:cs="Times New Roman"/>
          <w:sz w:val="24"/>
          <w:szCs w:val="24"/>
        </w:rPr>
        <w:tab/>
      </w:r>
      <w:r w:rsidRPr="006C0C34">
        <w:rPr>
          <w:rFonts w:ascii="Times New Roman" w:hAnsi="Times New Roman" w:cs="Times New Roman"/>
          <w:sz w:val="24"/>
          <w:szCs w:val="24"/>
        </w:rPr>
        <w:tab/>
        <w:t xml:space="preserve">             </w:t>
      </w:r>
      <w:r w:rsidR="00136E13" w:rsidRPr="006C0C34">
        <w:rPr>
          <w:rFonts w:ascii="Times New Roman" w:hAnsi="Times New Roman" w:cs="Times New Roman"/>
          <w:sz w:val="24"/>
          <w:szCs w:val="24"/>
        </w:rPr>
        <w:t>Syndrome d’Immunodéficience Acquise</w:t>
      </w:r>
    </w:p>
    <w:p w:rsidR="00136E13" w:rsidRPr="006C0C34" w:rsidRDefault="009E1A02" w:rsidP="00136E13">
      <w:pPr>
        <w:spacing w:after="0" w:line="276" w:lineRule="auto"/>
        <w:jc w:val="both"/>
        <w:rPr>
          <w:rFonts w:ascii="Times New Roman" w:hAnsi="Times New Roman" w:cs="Times New Roman"/>
          <w:sz w:val="24"/>
          <w:szCs w:val="24"/>
        </w:rPr>
      </w:pPr>
      <w:r w:rsidRPr="00CD5496">
        <w:rPr>
          <w:rFonts w:ascii="Times New Roman" w:hAnsi="Times New Roman" w:cs="Times New Roman"/>
          <w:b/>
          <w:sz w:val="24"/>
          <w:szCs w:val="24"/>
        </w:rPr>
        <w:t>TDR</w:t>
      </w:r>
      <w:r w:rsidRPr="006C0C34">
        <w:rPr>
          <w:rFonts w:ascii="Times New Roman" w:hAnsi="Times New Roman" w:cs="Times New Roman"/>
          <w:sz w:val="24"/>
          <w:szCs w:val="24"/>
        </w:rPr>
        <w:tab/>
      </w:r>
      <w:r w:rsidRPr="006C0C34">
        <w:rPr>
          <w:rFonts w:ascii="Times New Roman" w:hAnsi="Times New Roman" w:cs="Times New Roman"/>
          <w:sz w:val="24"/>
          <w:szCs w:val="24"/>
        </w:rPr>
        <w:tab/>
        <w:t xml:space="preserve">             </w:t>
      </w:r>
      <w:r w:rsidR="00136E13" w:rsidRPr="006C0C34">
        <w:rPr>
          <w:rFonts w:ascii="Times New Roman" w:hAnsi="Times New Roman" w:cs="Times New Roman"/>
          <w:sz w:val="24"/>
          <w:szCs w:val="24"/>
        </w:rPr>
        <w:t>Termes de référence</w:t>
      </w:r>
    </w:p>
    <w:p w:rsidR="00136E13" w:rsidRPr="006C0C34" w:rsidRDefault="009E1A02" w:rsidP="00136E13">
      <w:pPr>
        <w:spacing w:after="0" w:line="276" w:lineRule="auto"/>
        <w:jc w:val="both"/>
        <w:rPr>
          <w:rFonts w:ascii="Times New Roman" w:hAnsi="Times New Roman" w:cs="Times New Roman"/>
          <w:sz w:val="24"/>
          <w:szCs w:val="24"/>
        </w:rPr>
      </w:pPr>
      <w:r w:rsidRPr="00CD5496">
        <w:rPr>
          <w:rFonts w:ascii="Times New Roman" w:hAnsi="Times New Roman" w:cs="Times New Roman"/>
          <w:b/>
          <w:sz w:val="24"/>
          <w:szCs w:val="24"/>
        </w:rPr>
        <w:t>TIC</w:t>
      </w:r>
      <w:r w:rsidRPr="006C0C34">
        <w:rPr>
          <w:rFonts w:ascii="Times New Roman" w:hAnsi="Times New Roman" w:cs="Times New Roman"/>
          <w:sz w:val="24"/>
          <w:szCs w:val="24"/>
        </w:rPr>
        <w:tab/>
      </w:r>
      <w:r w:rsidRPr="006C0C34">
        <w:rPr>
          <w:rFonts w:ascii="Times New Roman" w:hAnsi="Times New Roman" w:cs="Times New Roman"/>
          <w:sz w:val="24"/>
          <w:szCs w:val="24"/>
        </w:rPr>
        <w:tab/>
        <w:t xml:space="preserve">             </w:t>
      </w:r>
      <w:r w:rsidR="00136E13" w:rsidRPr="006C0C34">
        <w:rPr>
          <w:rFonts w:ascii="Times New Roman" w:hAnsi="Times New Roman" w:cs="Times New Roman"/>
          <w:sz w:val="24"/>
          <w:szCs w:val="24"/>
        </w:rPr>
        <w:t>Technologie de l’Information et de la Communication</w:t>
      </w:r>
    </w:p>
    <w:p w:rsidR="009E1A02" w:rsidRPr="006C0C34" w:rsidRDefault="009E1A02" w:rsidP="00136E13">
      <w:pPr>
        <w:spacing w:after="0" w:line="276" w:lineRule="auto"/>
        <w:jc w:val="both"/>
        <w:rPr>
          <w:rFonts w:ascii="Times New Roman" w:hAnsi="Times New Roman" w:cs="Times New Roman"/>
          <w:sz w:val="24"/>
          <w:szCs w:val="24"/>
        </w:rPr>
      </w:pPr>
      <w:r w:rsidRPr="00CD5496">
        <w:rPr>
          <w:rFonts w:ascii="Times New Roman" w:hAnsi="Times New Roman" w:cs="Times New Roman"/>
          <w:b/>
          <w:sz w:val="24"/>
          <w:szCs w:val="24"/>
        </w:rPr>
        <w:t>UIP</w:t>
      </w:r>
      <w:r w:rsidRPr="006C0C34">
        <w:rPr>
          <w:rFonts w:ascii="Times New Roman" w:hAnsi="Times New Roman" w:cs="Times New Roman"/>
          <w:sz w:val="24"/>
          <w:szCs w:val="24"/>
        </w:rPr>
        <w:t>                               Unité d’implémentation du Projet</w:t>
      </w:r>
    </w:p>
    <w:p w:rsidR="00136E13" w:rsidRPr="006C0C34" w:rsidRDefault="009E1A02" w:rsidP="00136E13">
      <w:pPr>
        <w:spacing w:after="0" w:line="276" w:lineRule="auto"/>
        <w:jc w:val="both"/>
        <w:rPr>
          <w:rFonts w:ascii="Times New Roman" w:hAnsi="Times New Roman" w:cs="Times New Roman"/>
          <w:sz w:val="24"/>
          <w:szCs w:val="24"/>
        </w:rPr>
      </w:pPr>
      <w:r w:rsidRPr="00CD5496">
        <w:rPr>
          <w:rFonts w:ascii="Times New Roman" w:hAnsi="Times New Roman" w:cs="Times New Roman"/>
          <w:b/>
          <w:sz w:val="24"/>
          <w:szCs w:val="24"/>
        </w:rPr>
        <w:t>VIH</w:t>
      </w:r>
      <w:r w:rsidRPr="006C0C34">
        <w:rPr>
          <w:rFonts w:ascii="Times New Roman" w:hAnsi="Times New Roman" w:cs="Times New Roman"/>
          <w:sz w:val="24"/>
          <w:szCs w:val="24"/>
        </w:rPr>
        <w:tab/>
      </w:r>
      <w:r w:rsidRPr="006C0C34">
        <w:rPr>
          <w:rFonts w:ascii="Times New Roman" w:hAnsi="Times New Roman" w:cs="Times New Roman"/>
          <w:sz w:val="24"/>
          <w:szCs w:val="24"/>
        </w:rPr>
        <w:tab/>
        <w:t xml:space="preserve">             </w:t>
      </w:r>
      <w:r w:rsidR="0070690A">
        <w:rPr>
          <w:rFonts w:ascii="Times New Roman" w:hAnsi="Times New Roman" w:cs="Times New Roman"/>
          <w:sz w:val="24"/>
          <w:szCs w:val="24"/>
        </w:rPr>
        <w:t xml:space="preserve"> </w:t>
      </w:r>
      <w:r w:rsidR="00136E13" w:rsidRPr="006C0C34">
        <w:rPr>
          <w:rFonts w:ascii="Times New Roman" w:hAnsi="Times New Roman" w:cs="Times New Roman"/>
          <w:sz w:val="24"/>
          <w:szCs w:val="24"/>
        </w:rPr>
        <w:t>Virus d’Immunodéficience Humaine</w:t>
      </w:r>
    </w:p>
    <w:p w:rsidR="000D0F18" w:rsidRDefault="000D0F18" w:rsidP="0093770F">
      <w:pPr>
        <w:spacing w:line="276" w:lineRule="auto"/>
        <w:jc w:val="both"/>
        <w:rPr>
          <w:rFonts w:ascii="Times New Roman" w:hAnsi="Times New Roman" w:cs="Times New Roman"/>
          <w:b/>
          <w:sz w:val="24"/>
          <w:szCs w:val="24"/>
        </w:rPr>
      </w:pPr>
    </w:p>
    <w:p w:rsidR="00362638" w:rsidRDefault="00362638" w:rsidP="0093770F">
      <w:pPr>
        <w:spacing w:line="276" w:lineRule="auto"/>
        <w:jc w:val="both"/>
        <w:rPr>
          <w:rFonts w:ascii="Times New Roman" w:hAnsi="Times New Roman" w:cs="Times New Roman"/>
          <w:b/>
          <w:sz w:val="24"/>
          <w:szCs w:val="24"/>
        </w:rPr>
      </w:pPr>
    </w:p>
    <w:p w:rsidR="00C821BE" w:rsidRDefault="00C821BE" w:rsidP="0093770F">
      <w:pPr>
        <w:spacing w:line="276" w:lineRule="auto"/>
        <w:jc w:val="both"/>
        <w:rPr>
          <w:rFonts w:ascii="Times New Roman" w:hAnsi="Times New Roman" w:cs="Times New Roman"/>
          <w:b/>
          <w:sz w:val="24"/>
          <w:szCs w:val="24"/>
        </w:rPr>
      </w:pPr>
    </w:p>
    <w:p w:rsidR="00C821BE" w:rsidRPr="0010784C" w:rsidRDefault="00C821BE" w:rsidP="00C821BE">
      <w:pPr>
        <w:keepNext/>
        <w:keepLines/>
        <w:pBdr>
          <w:top w:val="outset" w:sz="12" w:space="1" w:color="auto"/>
          <w:left w:val="outset" w:sz="12" w:space="4" w:color="auto"/>
          <w:bottom w:val="outset" w:sz="12" w:space="1" w:color="auto"/>
          <w:right w:val="outset" w:sz="12" w:space="4" w:color="auto"/>
        </w:pBdr>
        <w:shd w:val="clear" w:color="auto" w:fill="F2F2F2" w:themeFill="background1" w:themeFillShade="F2"/>
        <w:spacing w:after="0" w:line="240" w:lineRule="auto"/>
        <w:ind w:left="-1417" w:right="-567"/>
        <w:jc w:val="center"/>
        <w:outlineLvl w:val="0"/>
        <w:rPr>
          <w:rFonts w:ascii="Times New Roman" w:eastAsia="Calibri" w:hAnsi="Times New Roman" w:cs="Times New Roman"/>
          <w:b/>
          <w:sz w:val="32"/>
          <w:szCs w:val="32"/>
          <w:lang w:val="en-US"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id="18" w:name="_Toc51072494"/>
      <w:r w:rsidRPr="0010784C">
        <w:rPr>
          <w:rFonts w:ascii="Times New Roman" w:eastAsia="Calibri" w:hAnsi="Times New Roman" w:cs="Times New Roman"/>
          <w:b/>
          <w:sz w:val="32"/>
          <w:szCs w:val="32"/>
          <w:lang w:val="en-US"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EXECUTIVE SUMMARY</w:t>
      </w:r>
      <w:bookmarkEnd w:id="18"/>
    </w:p>
    <w:p w:rsidR="00C821BE" w:rsidRPr="0010784C" w:rsidRDefault="00C821BE" w:rsidP="00C821BE">
      <w:pPr>
        <w:pStyle w:val="PargrafodaLista"/>
        <w:tabs>
          <w:tab w:val="left" w:pos="1418"/>
          <w:tab w:val="left" w:pos="1843"/>
        </w:tabs>
        <w:spacing w:after="0" w:line="240" w:lineRule="auto"/>
        <w:ind w:right="-283"/>
        <w:contextualSpacing w:val="0"/>
        <w:rPr>
          <w:rFonts w:ascii="Times New Roman" w:hAnsi="Times New Roman"/>
          <w:b/>
          <w:bCs/>
          <w:i/>
          <w:sz w:val="22"/>
          <w:szCs w:val="22"/>
          <w:lang w:val="en-US"/>
        </w:rPr>
      </w:pPr>
    </w:p>
    <w:p w:rsidR="00C821BE" w:rsidRPr="0010784C" w:rsidRDefault="00C821BE" w:rsidP="00C821BE">
      <w:pPr>
        <w:pStyle w:val="PargrafodaLista"/>
        <w:numPr>
          <w:ilvl w:val="0"/>
          <w:numId w:val="245"/>
        </w:numPr>
        <w:tabs>
          <w:tab w:val="left" w:pos="1418"/>
          <w:tab w:val="left" w:pos="1843"/>
        </w:tabs>
        <w:spacing w:after="240" w:line="240" w:lineRule="auto"/>
        <w:ind w:right="-283"/>
        <w:contextualSpacing w:val="0"/>
        <w:rPr>
          <w:rFonts w:ascii="Times New Roman" w:hAnsi="Times New Roman"/>
          <w:b/>
          <w:bCs/>
          <w:i/>
          <w:sz w:val="22"/>
          <w:szCs w:val="22"/>
          <w:lang w:val="en-US"/>
        </w:rPr>
      </w:pPr>
      <w:r w:rsidRPr="0010784C">
        <w:rPr>
          <w:rFonts w:ascii="Times New Roman" w:hAnsi="Times New Roman"/>
          <w:b/>
          <w:bCs/>
          <w:i/>
          <w:sz w:val="22"/>
          <w:szCs w:val="22"/>
          <w:lang w:val="en-US"/>
        </w:rPr>
        <w:t>BACKGROUND AND GENERAL JUSTIFICATION</w:t>
      </w:r>
    </w:p>
    <w:p w:rsidR="00C821BE" w:rsidRPr="0010784C" w:rsidRDefault="00C821BE" w:rsidP="00C821BE">
      <w:pPr>
        <w:spacing w:after="120" w:line="240" w:lineRule="auto"/>
        <w:ind w:left="-284" w:right="-853"/>
        <w:jc w:val="both"/>
        <w:rPr>
          <w:rFonts w:ascii="Times New Roman" w:hAnsi="Times New Roman"/>
          <w:b/>
          <w:i/>
          <w:lang w:val="en-US" w:eastAsia="fr-FR"/>
        </w:rPr>
      </w:pPr>
      <w:r w:rsidRPr="0010784C">
        <w:rPr>
          <w:rFonts w:ascii="Times New Roman" w:hAnsi="Times New Roman"/>
          <w:lang w:val="en-US"/>
        </w:rPr>
        <w:t>In Guinea Bissau, several districts of Bissau not covered by previous projects have a crucial drinking water problem to such an extent that the majority of communities get their supplies from traditional wells, with unsanitary wa</w:t>
      </w:r>
      <w:r w:rsidR="00D10B3E">
        <w:rPr>
          <w:rFonts w:ascii="Times New Roman" w:hAnsi="Times New Roman"/>
          <w:lang w:val="en-US"/>
        </w:rPr>
        <w:t>ter, the cause of many diseases</w:t>
      </w:r>
      <w:r w:rsidRPr="0010784C">
        <w:rPr>
          <w:rFonts w:ascii="Times New Roman" w:hAnsi="Times New Roman"/>
          <w:lang w:val="en-US"/>
        </w:rPr>
        <w:t xml:space="preserve">. </w:t>
      </w:r>
    </w:p>
    <w:p w:rsidR="00C821BE" w:rsidRPr="0010784C" w:rsidRDefault="00C821BE" w:rsidP="00C821BE">
      <w:pPr>
        <w:spacing w:after="120" w:line="240" w:lineRule="auto"/>
        <w:ind w:left="-284" w:right="-853"/>
        <w:jc w:val="both"/>
        <w:rPr>
          <w:rFonts w:ascii="Times New Roman" w:hAnsi="Times New Roman"/>
          <w:lang w:val="en-US"/>
        </w:rPr>
      </w:pPr>
      <w:r w:rsidRPr="0010784C">
        <w:rPr>
          <w:rFonts w:ascii="Times New Roman" w:hAnsi="Times New Roman"/>
          <w:lang w:val="en-US"/>
        </w:rPr>
        <w:t>In order to reduce these negative effects and improve the hygienic conditions of the population through access to drinking water, the Government and its Partner (World Bank), within the framework of th</w:t>
      </w:r>
      <w:r w:rsidR="00D10B3E">
        <w:rPr>
          <w:rFonts w:ascii="Times New Roman" w:hAnsi="Times New Roman"/>
          <w:lang w:val="en-US"/>
        </w:rPr>
        <w:t>e Water and Electricity project</w:t>
      </w:r>
      <w:r w:rsidRPr="0010784C">
        <w:rPr>
          <w:rFonts w:ascii="Times New Roman" w:hAnsi="Times New Roman"/>
          <w:lang w:val="en-US"/>
        </w:rPr>
        <w:t>, want to strengthen the drinking water and electricity supply service for the city of Bissau and the outlying districts.</w:t>
      </w:r>
    </w:p>
    <w:p w:rsidR="00C821BE" w:rsidRPr="0010784C" w:rsidRDefault="00C821BE" w:rsidP="00C821BE">
      <w:pPr>
        <w:spacing w:after="120" w:line="240" w:lineRule="auto"/>
        <w:ind w:left="-284" w:right="-853"/>
        <w:jc w:val="both"/>
        <w:rPr>
          <w:rFonts w:ascii="Times New Roman" w:hAnsi="Times New Roman"/>
          <w:lang w:val="en-US"/>
        </w:rPr>
      </w:pPr>
      <w:r w:rsidRPr="0010784C">
        <w:rPr>
          <w:rFonts w:ascii="Times New Roman" w:hAnsi="Times New Roman"/>
          <w:lang w:val="en-US"/>
        </w:rPr>
        <w:t>Thus, this requires the application of operational guidelines for environmental and social protection in accordance with the regulations in force in Guinea-Bissau and those of the environmental and social policies / guidelines of the World Bank donor. It was decided to carry out Environmental and Social Impact Studies (ESIA) and Resettlement Action Plans.</w:t>
      </w:r>
    </w:p>
    <w:p w:rsidR="00C821BE" w:rsidRPr="0010784C" w:rsidRDefault="00C821BE" w:rsidP="00C821BE">
      <w:pPr>
        <w:pStyle w:val="PargrafodaLista"/>
        <w:numPr>
          <w:ilvl w:val="0"/>
          <w:numId w:val="245"/>
        </w:numPr>
        <w:tabs>
          <w:tab w:val="left" w:pos="1418"/>
          <w:tab w:val="left" w:pos="1843"/>
        </w:tabs>
        <w:spacing w:after="240" w:line="240" w:lineRule="auto"/>
        <w:ind w:right="-283"/>
        <w:contextualSpacing w:val="0"/>
        <w:rPr>
          <w:rFonts w:ascii="Times New Roman" w:hAnsi="Times New Roman"/>
          <w:b/>
          <w:bCs/>
          <w:i/>
          <w:sz w:val="22"/>
          <w:szCs w:val="22"/>
          <w:lang w:val="en-US"/>
        </w:rPr>
      </w:pPr>
      <w:r w:rsidRPr="0010784C">
        <w:rPr>
          <w:rFonts w:ascii="Times New Roman" w:hAnsi="Times New Roman"/>
          <w:b/>
          <w:bCs/>
          <w:i/>
          <w:sz w:val="22"/>
          <w:szCs w:val="22"/>
          <w:lang w:val="en-US"/>
        </w:rPr>
        <w:t>OBJECTIVES OF THE ESIA</w:t>
      </w:r>
    </w:p>
    <w:p w:rsidR="00C821BE" w:rsidRPr="0010784C" w:rsidRDefault="00C821BE" w:rsidP="00C821BE">
      <w:pPr>
        <w:spacing w:after="120" w:line="240" w:lineRule="auto"/>
        <w:ind w:left="-284" w:right="-853"/>
        <w:jc w:val="both"/>
        <w:rPr>
          <w:rFonts w:ascii="Times New Roman" w:hAnsi="Times New Roman"/>
          <w:lang w:val="en-US"/>
        </w:rPr>
      </w:pPr>
      <w:r w:rsidRPr="0010784C">
        <w:rPr>
          <w:rFonts w:ascii="Times New Roman" w:hAnsi="Times New Roman"/>
          <w:lang w:val="en-US"/>
        </w:rPr>
        <w:t>This study aims to identify all the impacts on the biophysical and socio-economic environment linked to subproject n ° 2 (the Construction of three new water towers (Prabis, Safim, Bor and Antula) and the rehabilitation of other existing water towers) of the PUASEE-FA project.</w:t>
      </w:r>
    </w:p>
    <w:p w:rsidR="00C821BE" w:rsidRPr="0010784C" w:rsidRDefault="00C821BE" w:rsidP="00C821BE">
      <w:pPr>
        <w:spacing w:after="120" w:line="240" w:lineRule="auto"/>
        <w:ind w:left="-284" w:right="-853"/>
        <w:jc w:val="both"/>
        <w:rPr>
          <w:rFonts w:ascii="Times New Roman" w:hAnsi="Times New Roman"/>
          <w:lang w:val="en-US"/>
        </w:rPr>
      </w:pPr>
      <w:r w:rsidRPr="0010784C">
        <w:rPr>
          <w:rFonts w:ascii="Times New Roman" w:hAnsi="Times New Roman"/>
          <w:lang w:val="en-US"/>
        </w:rPr>
        <w:t>In terms of approach, various regulatory and policy instruments prescribe the process that should lead to the preparation of the ESIA report for subproject n ° 2.</w:t>
      </w:r>
    </w:p>
    <w:p w:rsidR="00C821BE" w:rsidRPr="0010784C" w:rsidRDefault="00C821BE" w:rsidP="00C821BE">
      <w:pPr>
        <w:spacing w:after="120" w:line="240" w:lineRule="auto"/>
        <w:ind w:left="-284" w:right="-853"/>
        <w:jc w:val="both"/>
        <w:rPr>
          <w:rFonts w:ascii="Times New Roman" w:hAnsi="Times New Roman"/>
          <w:lang w:val="en-US"/>
        </w:rPr>
      </w:pPr>
      <w:r w:rsidRPr="0010784C">
        <w:rPr>
          <w:rFonts w:ascii="Times New Roman" w:hAnsi="Times New Roman"/>
          <w:lang w:val="en-US"/>
        </w:rPr>
        <w:t>These include in particular those imposed by decrees supplementing national legislation, in particular basic law n ° 1/2011 of 2 March on the environment and law n ° 10/2010 on environmental assessment as well as World Bank environmental and social safeguard policy.</w:t>
      </w:r>
    </w:p>
    <w:p w:rsidR="00C821BE" w:rsidRPr="0010784C" w:rsidRDefault="00C821BE" w:rsidP="00C821BE">
      <w:pPr>
        <w:pStyle w:val="PargrafodaLista"/>
        <w:numPr>
          <w:ilvl w:val="0"/>
          <w:numId w:val="245"/>
        </w:numPr>
        <w:tabs>
          <w:tab w:val="left" w:pos="1418"/>
          <w:tab w:val="left" w:pos="1843"/>
        </w:tabs>
        <w:spacing w:after="240" w:line="240" w:lineRule="auto"/>
        <w:ind w:right="-283"/>
        <w:contextualSpacing w:val="0"/>
        <w:rPr>
          <w:rFonts w:ascii="Times New Roman" w:hAnsi="Times New Roman"/>
          <w:b/>
          <w:bCs/>
          <w:i/>
          <w:sz w:val="22"/>
          <w:szCs w:val="22"/>
          <w:lang w:val="en-US"/>
        </w:rPr>
      </w:pPr>
      <w:r w:rsidRPr="0010784C">
        <w:rPr>
          <w:rFonts w:ascii="Times New Roman" w:hAnsi="Times New Roman"/>
          <w:b/>
          <w:bCs/>
          <w:i/>
          <w:sz w:val="22"/>
          <w:szCs w:val="22"/>
          <w:lang w:val="en-US"/>
        </w:rPr>
        <w:t>OBJECTIVE OF THE PUASEE-FA PROJECT</w:t>
      </w:r>
    </w:p>
    <w:p w:rsidR="00C821BE" w:rsidRPr="0010784C" w:rsidRDefault="00C821BE" w:rsidP="00C821BE">
      <w:pPr>
        <w:spacing w:after="0" w:line="240" w:lineRule="auto"/>
        <w:ind w:left="-284" w:right="-853"/>
        <w:jc w:val="both"/>
        <w:rPr>
          <w:rFonts w:ascii="Times New Roman" w:hAnsi="Times New Roman"/>
          <w:lang w:val="en-US"/>
        </w:rPr>
      </w:pPr>
      <w:r w:rsidRPr="0010784C">
        <w:rPr>
          <w:rFonts w:ascii="Times New Roman" w:hAnsi="Times New Roman"/>
          <w:lang w:val="en-US"/>
        </w:rPr>
        <w:t>The Project was put into effect in July 2014 and its closing date was initially scheduled for June 30, 2018. The World Bank and the Bissau-Guinean authorities have however agreed to prepare Additional Financing (AF) for the project for support. to new actions, in the following areas:</w:t>
      </w:r>
    </w:p>
    <w:p w:rsidR="00C821BE" w:rsidRPr="0010784C" w:rsidRDefault="00C821BE" w:rsidP="00C821BE">
      <w:pPr>
        <w:pStyle w:val="PargrafodaLista"/>
        <w:numPr>
          <w:ilvl w:val="0"/>
          <w:numId w:val="61"/>
        </w:numPr>
        <w:spacing w:after="0" w:line="240" w:lineRule="auto"/>
        <w:jc w:val="both"/>
        <w:rPr>
          <w:rFonts w:ascii="Times New Roman" w:hAnsi="Times New Roman"/>
          <w:sz w:val="22"/>
          <w:szCs w:val="22"/>
          <w:lang w:val="en-US"/>
        </w:rPr>
      </w:pPr>
      <w:r w:rsidRPr="0010784C">
        <w:rPr>
          <w:rFonts w:ascii="Times New Roman" w:hAnsi="Times New Roman"/>
          <w:sz w:val="22"/>
          <w:szCs w:val="22"/>
          <w:lang w:val="en-US"/>
        </w:rPr>
        <w:t>Strengthening of water production capacity;</w:t>
      </w:r>
    </w:p>
    <w:p w:rsidR="00C821BE" w:rsidRPr="0010784C" w:rsidRDefault="00C821BE" w:rsidP="00C821BE">
      <w:pPr>
        <w:pStyle w:val="PargrafodaLista"/>
        <w:numPr>
          <w:ilvl w:val="0"/>
          <w:numId w:val="61"/>
        </w:numPr>
        <w:spacing w:after="0" w:line="240" w:lineRule="auto"/>
        <w:jc w:val="both"/>
        <w:rPr>
          <w:rFonts w:ascii="Times New Roman" w:hAnsi="Times New Roman"/>
          <w:sz w:val="22"/>
          <w:szCs w:val="22"/>
          <w:lang w:val="en-US"/>
        </w:rPr>
      </w:pPr>
      <w:r w:rsidRPr="0010784C">
        <w:rPr>
          <w:rFonts w:ascii="Times New Roman" w:hAnsi="Times New Roman"/>
          <w:sz w:val="22"/>
          <w:szCs w:val="22"/>
          <w:lang w:val="en-US"/>
        </w:rPr>
        <w:t>Increase in storage capacity;</w:t>
      </w:r>
    </w:p>
    <w:p w:rsidR="00C821BE" w:rsidRPr="0010784C" w:rsidRDefault="00C821BE" w:rsidP="00C821BE">
      <w:pPr>
        <w:pStyle w:val="PargrafodaLista"/>
        <w:numPr>
          <w:ilvl w:val="0"/>
          <w:numId w:val="61"/>
        </w:numPr>
        <w:spacing w:after="0" w:line="240" w:lineRule="auto"/>
        <w:jc w:val="both"/>
        <w:rPr>
          <w:rFonts w:ascii="Times New Roman" w:hAnsi="Times New Roman"/>
          <w:sz w:val="22"/>
          <w:szCs w:val="22"/>
          <w:lang w:val="en-US"/>
        </w:rPr>
      </w:pPr>
      <w:r w:rsidRPr="0010784C">
        <w:rPr>
          <w:rFonts w:ascii="Times New Roman" w:hAnsi="Times New Roman"/>
          <w:sz w:val="22"/>
          <w:szCs w:val="22"/>
          <w:lang w:val="en-US"/>
        </w:rPr>
        <w:t>Rehabilitation of existing networks;</w:t>
      </w:r>
    </w:p>
    <w:p w:rsidR="00C821BE" w:rsidRPr="0010784C" w:rsidRDefault="00C821BE" w:rsidP="00C821BE">
      <w:pPr>
        <w:pStyle w:val="PargrafodaLista"/>
        <w:numPr>
          <w:ilvl w:val="0"/>
          <w:numId w:val="61"/>
        </w:numPr>
        <w:spacing w:after="0" w:line="240" w:lineRule="auto"/>
        <w:jc w:val="both"/>
        <w:rPr>
          <w:rFonts w:ascii="Times New Roman" w:hAnsi="Times New Roman"/>
          <w:sz w:val="22"/>
          <w:szCs w:val="22"/>
          <w:lang w:val="en-US"/>
        </w:rPr>
      </w:pPr>
      <w:r w:rsidRPr="0010784C">
        <w:rPr>
          <w:rFonts w:ascii="Times New Roman" w:hAnsi="Times New Roman"/>
          <w:sz w:val="22"/>
          <w:szCs w:val="22"/>
          <w:lang w:val="en-US"/>
        </w:rPr>
        <w:t>Extension of secondary and tertiary networks and creation of social connections and standpipes in outlying districts.</w:t>
      </w:r>
    </w:p>
    <w:p w:rsidR="00C821BE" w:rsidRPr="0010784C" w:rsidRDefault="00C821BE" w:rsidP="00C821BE">
      <w:pPr>
        <w:pStyle w:val="PargrafodaLista"/>
        <w:spacing w:after="0" w:line="240" w:lineRule="auto"/>
        <w:jc w:val="both"/>
        <w:rPr>
          <w:rFonts w:ascii="Times New Roman" w:hAnsi="Times New Roman"/>
          <w:sz w:val="22"/>
          <w:szCs w:val="22"/>
          <w:lang w:val="en-US"/>
        </w:rPr>
      </w:pPr>
    </w:p>
    <w:p w:rsidR="00C821BE" w:rsidRPr="0010784C" w:rsidRDefault="00C821BE" w:rsidP="00C821BE">
      <w:pPr>
        <w:autoSpaceDE w:val="0"/>
        <w:autoSpaceDN w:val="0"/>
        <w:adjustRightInd w:val="0"/>
        <w:spacing w:after="0" w:line="240" w:lineRule="auto"/>
        <w:ind w:left="-284" w:right="-851"/>
        <w:jc w:val="both"/>
        <w:rPr>
          <w:rFonts w:ascii="Times New Roman" w:hAnsi="Times New Roman" w:cs="Times New Roman"/>
          <w:lang w:val="en-US"/>
        </w:rPr>
      </w:pPr>
      <w:r w:rsidRPr="0010784C">
        <w:rPr>
          <w:rFonts w:ascii="Times New Roman" w:hAnsi="Times New Roman" w:cs="Times New Roman"/>
          <w:lang w:val="en-US"/>
        </w:rPr>
        <w:t>The development objective of the PUASEE-FA project is as follows:</w:t>
      </w:r>
    </w:p>
    <w:p w:rsidR="00C821BE" w:rsidRPr="0010784C" w:rsidRDefault="00C821BE" w:rsidP="00C821BE">
      <w:pPr>
        <w:pStyle w:val="PargrafodaLista"/>
        <w:numPr>
          <w:ilvl w:val="0"/>
          <w:numId w:val="47"/>
        </w:numPr>
        <w:spacing w:after="0" w:line="240" w:lineRule="auto"/>
        <w:ind w:left="567" w:right="-709" w:hanging="425"/>
        <w:contextualSpacing w:val="0"/>
        <w:jc w:val="both"/>
        <w:rPr>
          <w:rFonts w:ascii="Times New Roman" w:hAnsi="Times New Roman"/>
          <w:sz w:val="22"/>
          <w:szCs w:val="22"/>
          <w:lang w:val="en-US"/>
        </w:rPr>
      </w:pPr>
      <w:r w:rsidRPr="0010784C">
        <w:rPr>
          <w:rFonts w:ascii="Times New Roman" w:hAnsi="Times New Roman"/>
          <w:sz w:val="22"/>
          <w:szCs w:val="22"/>
          <w:lang w:val="en-US"/>
        </w:rPr>
        <w:t>Restore and expand access for the population of Bissau to drinking water and improve the quality of water supply services; and</w:t>
      </w:r>
    </w:p>
    <w:p w:rsidR="00C821BE" w:rsidRPr="0010784C" w:rsidRDefault="00C821BE" w:rsidP="00C821BE">
      <w:pPr>
        <w:pStyle w:val="PargrafodaLista"/>
        <w:numPr>
          <w:ilvl w:val="0"/>
          <w:numId w:val="47"/>
        </w:numPr>
        <w:spacing w:after="0" w:line="240" w:lineRule="auto"/>
        <w:ind w:left="567" w:right="-709" w:hanging="425"/>
        <w:contextualSpacing w:val="0"/>
        <w:jc w:val="both"/>
        <w:rPr>
          <w:rFonts w:ascii="Times New Roman" w:hAnsi="Times New Roman"/>
          <w:sz w:val="22"/>
          <w:szCs w:val="22"/>
          <w:lang w:val="en-US"/>
        </w:rPr>
      </w:pPr>
      <w:r w:rsidRPr="0010784C">
        <w:rPr>
          <w:rFonts w:ascii="Times New Roman" w:hAnsi="Times New Roman"/>
          <w:sz w:val="22"/>
          <w:szCs w:val="22"/>
          <w:lang w:val="en-US"/>
        </w:rPr>
        <w:t>Improve the reliability of electricity supply to the population of Bissau.</w:t>
      </w:r>
    </w:p>
    <w:p w:rsidR="00C821BE" w:rsidRPr="0010784C" w:rsidRDefault="00C821BE" w:rsidP="00C821BE">
      <w:pPr>
        <w:pStyle w:val="PargrafodaLista"/>
        <w:spacing w:after="0" w:line="240" w:lineRule="auto"/>
        <w:ind w:left="567" w:right="-709"/>
        <w:contextualSpacing w:val="0"/>
        <w:jc w:val="both"/>
        <w:rPr>
          <w:rFonts w:ascii="Times New Roman" w:hAnsi="Times New Roman"/>
          <w:sz w:val="22"/>
          <w:szCs w:val="22"/>
          <w:lang w:val="en-US"/>
        </w:rPr>
      </w:pPr>
    </w:p>
    <w:p w:rsidR="00C821BE" w:rsidRPr="0010784C" w:rsidRDefault="00C821BE" w:rsidP="00C821BE">
      <w:pPr>
        <w:pStyle w:val="PargrafodaLista"/>
        <w:numPr>
          <w:ilvl w:val="0"/>
          <w:numId w:val="245"/>
        </w:numPr>
        <w:tabs>
          <w:tab w:val="left" w:pos="1418"/>
          <w:tab w:val="left" w:pos="1843"/>
        </w:tabs>
        <w:spacing w:after="240" w:line="240" w:lineRule="auto"/>
        <w:ind w:right="-283"/>
        <w:contextualSpacing w:val="0"/>
        <w:rPr>
          <w:rFonts w:ascii="Times New Roman" w:hAnsi="Times New Roman"/>
          <w:b/>
          <w:bCs/>
          <w:i/>
          <w:sz w:val="22"/>
          <w:szCs w:val="22"/>
          <w:lang w:val="en-US"/>
        </w:rPr>
      </w:pPr>
      <w:r w:rsidRPr="0010784C">
        <w:rPr>
          <w:rFonts w:ascii="Times New Roman" w:hAnsi="Times New Roman"/>
          <w:b/>
          <w:bCs/>
          <w:i/>
          <w:sz w:val="22"/>
          <w:szCs w:val="22"/>
          <w:lang w:val="en-US"/>
        </w:rPr>
        <w:t xml:space="preserve">ESIA METHODOLOGICAL APPROACH </w:t>
      </w:r>
    </w:p>
    <w:p w:rsidR="00C821BE" w:rsidRPr="0010784C" w:rsidRDefault="00C821BE" w:rsidP="00C821BE">
      <w:pPr>
        <w:spacing w:after="120" w:line="240" w:lineRule="auto"/>
        <w:ind w:left="-284" w:right="-853"/>
        <w:jc w:val="both"/>
        <w:rPr>
          <w:rFonts w:ascii="Times New Roman" w:hAnsi="Times New Roman"/>
          <w:lang w:val="en-US"/>
        </w:rPr>
      </w:pPr>
      <w:r w:rsidRPr="0010784C">
        <w:rPr>
          <w:rFonts w:ascii="Times New Roman" w:hAnsi="Times New Roman"/>
          <w:lang w:val="en-US"/>
        </w:rPr>
        <w:t>The methodology of the study was inspired by the regulatory provisions in terms of impact studies bearing the content of the ESIA report in Guinea Bissau while respecting the indications contained in the ToRs.</w:t>
      </w:r>
    </w:p>
    <w:p w:rsidR="00C821BE" w:rsidRPr="0010784C" w:rsidRDefault="00C821BE" w:rsidP="00C821BE">
      <w:pPr>
        <w:spacing w:after="120" w:line="240" w:lineRule="auto"/>
        <w:ind w:left="-284" w:right="-853"/>
        <w:jc w:val="both"/>
        <w:rPr>
          <w:rFonts w:ascii="Times New Roman" w:hAnsi="Times New Roman"/>
          <w:lang w:val="en-US"/>
        </w:rPr>
      </w:pPr>
      <w:r w:rsidRPr="0010784C">
        <w:rPr>
          <w:rFonts w:ascii="Times New Roman" w:hAnsi="Times New Roman"/>
          <w:lang w:val="en-US"/>
        </w:rPr>
        <w:t>In accordance with the TOR, the structuring of the study can take place in three (03) phases:</w:t>
      </w:r>
    </w:p>
    <w:p w:rsidR="00C821BE" w:rsidRPr="0010784C" w:rsidRDefault="00C821BE" w:rsidP="00C821BE">
      <w:pPr>
        <w:pStyle w:val="PargrafodaLista"/>
        <w:numPr>
          <w:ilvl w:val="3"/>
          <w:numId w:val="12"/>
        </w:numPr>
        <w:pBdr>
          <w:top w:val="single" w:sz="4" w:space="1" w:color="000000" w:themeColor="text1"/>
          <w:left w:val="single" w:sz="4" w:space="4" w:color="000000" w:themeColor="text1"/>
          <w:bottom w:val="single" w:sz="4" w:space="1" w:color="000000" w:themeColor="text1"/>
          <w:right w:val="single" w:sz="4" w:space="4" w:color="000000" w:themeColor="text1"/>
        </w:pBdr>
        <w:spacing w:after="0" w:line="240" w:lineRule="auto"/>
        <w:ind w:right="-709"/>
        <w:jc w:val="both"/>
        <w:rPr>
          <w:rFonts w:ascii="Times New Roman" w:hAnsi="Times New Roman"/>
          <w:sz w:val="22"/>
          <w:szCs w:val="22"/>
          <w:lang w:val="en-US"/>
        </w:rPr>
      </w:pPr>
      <w:r w:rsidRPr="0010784C">
        <w:rPr>
          <w:rFonts w:ascii="Times New Roman" w:hAnsi="Times New Roman"/>
          <w:sz w:val="22"/>
          <w:szCs w:val="22"/>
          <w:lang w:val="en-US"/>
        </w:rPr>
        <w:t>A field reconnaissance phase during which the consultant's team accompanied by PUASEE-FA staff became aware of the project implementation sites;</w:t>
      </w:r>
    </w:p>
    <w:p w:rsidR="00C821BE" w:rsidRPr="0010784C" w:rsidRDefault="00C821BE" w:rsidP="00C821BE">
      <w:pPr>
        <w:pStyle w:val="PargrafodaLista"/>
        <w:numPr>
          <w:ilvl w:val="3"/>
          <w:numId w:val="12"/>
        </w:numPr>
        <w:pBdr>
          <w:top w:val="single" w:sz="4" w:space="1" w:color="000000" w:themeColor="text1"/>
          <w:left w:val="single" w:sz="4" w:space="4" w:color="000000" w:themeColor="text1"/>
          <w:bottom w:val="single" w:sz="4" w:space="1" w:color="000000" w:themeColor="text1"/>
          <w:right w:val="single" w:sz="4" w:space="4" w:color="000000" w:themeColor="text1"/>
        </w:pBdr>
        <w:spacing w:after="0" w:line="240" w:lineRule="auto"/>
        <w:ind w:right="-709"/>
        <w:jc w:val="both"/>
        <w:rPr>
          <w:rFonts w:ascii="Times New Roman" w:hAnsi="Times New Roman"/>
          <w:sz w:val="22"/>
          <w:szCs w:val="22"/>
          <w:lang w:val="en-US"/>
        </w:rPr>
      </w:pPr>
      <w:r w:rsidRPr="0010784C">
        <w:rPr>
          <w:rFonts w:ascii="Times New Roman" w:hAnsi="Times New Roman"/>
          <w:sz w:val="22"/>
          <w:szCs w:val="22"/>
          <w:lang w:val="en-US"/>
        </w:rPr>
        <w:t xml:space="preserve">A phase of data collection in the field centered on a participatory approach, with series of meetings with the local populations and the institutional actors mainly concerned by the project throughout the </w:t>
      </w:r>
      <w:r w:rsidRPr="0010784C">
        <w:rPr>
          <w:rFonts w:ascii="Times New Roman" w:hAnsi="Times New Roman"/>
          <w:sz w:val="22"/>
          <w:szCs w:val="22"/>
          <w:lang w:val="en-US"/>
        </w:rPr>
        <w:lastRenderedPageBreak/>
        <w:t xml:space="preserve">department: administrative authorities; local communities; state technical services; grassroots community organizations, etc. During this phase, it was a question of making the development of the environmental route plan, the recognition of the initial state of the physical, human, biological and socio-economic environment by direct observations and </w:t>
      </w:r>
      <w:r w:rsidR="00D10B3E">
        <w:rPr>
          <w:rFonts w:ascii="Times New Roman" w:hAnsi="Times New Roman"/>
          <w:sz w:val="22"/>
          <w:szCs w:val="22"/>
          <w:lang w:val="en-US"/>
        </w:rPr>
        <w:t>formal and informal interviews</w:t>
      </w:r>
      <w:r w:rsidRPr="0010784C">
        <w:rPr>
          <w:rFonts w:ascii="Times New Roman" w:hAnsi="Times New Roman"/>
          <w:sz w:val="22"/>
          <w:szCs w:val="22"/>
          <w:lang w:val="en-US"/>
        </w:rPr>
        <w:t>, identification of potential impacts and the environmental actions to be taken to mitigate them.</w:t>
      </w:r>
    </w:p>
    <w:p w:rsidR="00C821BE" w:rsidRPr="0010784C" w:rsidRDefault="00C821BE" w:rsidP="00C821BE">
      <w:pPr>
        <w:pStyle w:val="PargrafodaLista"/>
        <w:numPr>
          <w:ilvl w:val="3"/>
          <w:numId w:val="12"/>
        </w:numPr>
        <w:pBdr>
          <w:top w:val="single" w:sz="4" w:space="1" w:color="000000" w:themeColor="text1"/>
          <w:left w:val="single" w:sz="4" w:space="4" w:color="000000" w:themeColor="text1"/>
          <w:bottom w:val="single" w:sz="4" w:space="1" w:color="000000" w:themeColor="text1"/>
          <w:right w:val="single" w:sz="4" w:space="4" w:color="000000" w:themeColor="text1"/>
        </w:pBdr>
        <w:spacing w:after="0" w:line="240" w:lineRule="auto"/>
        <w:ind w:right="-709"/>
        <w:jc w:val="both"/>
        <w:rPr>
          <w:rFonts w:ascii="Times New Roman" w:hAnsi="Times New Roman"/>
          <w:sz w:val="22"/>
          <w:szCs w:val="22"/>
          <w:lang w:val="en-US"/>
        </w:rPr>
      </w:pPr>
      <w:r w:rsidRPr="0010784C">
        <w:rPr>
          <w:rFonts w:ascii="Times New Roman" w:hAnsi="Times New Roman"/>
          <w:sz w:val="22"/>
          <w:szCs w:val="22"/>
          <w:lang w:val="en-US"/>
        </w:rPr>
        <w:t>A synthesis phase of the data collected and preparation of the report. The different phases were accompanied by bibliographical research on the various aspects of the project.</w:t>
      </w:r>
    </w:p>
    <w:p w:rsidR="00C821BE" w:rsidRPr="0010784C" w:rsidRDefault="00C821BE" w:rsidP="00C821BE">
      <w:pPr>
        <w:spacing w:after="0" w:line="240" w:lineRule="auto"/>
        <w:jc w:val="both"/>
        <w:rPr>
          <w:rFonts w:ascii="Times New Roman" w:hAnsi="Times New Roman" w:cs="Times New Roman"/>
          <w:b/>
          <w:sz w:val="24"/>
          <w:szCs w:val="24"/>
          <w:lang w:val="en-US"/>
        </w:rPr>
      </w:pPr>
    </w:p>
    <w:p w:rsidR="00C821BE" w:rsidRPr="0010784C" w:rsidRDefault="00C821BE" w:rsidP="00C821BE">
      <w:pPr>
        <w:pStyle w:val="PargrafodaLista"/>
        <w:numPr>
          <w:ilvl w:val="0"/>
          <w:numId w:val="245"/>
        </w:numPr>
        <w:tabs>
          <w:tab w:val="left" w:pos="1418"/>
          <w:tab w:val="left" w:pos="1843"/>
        </w:tabs>
        <w:spacing w:after="240" w:line="240" w:lineRule="auto"/>
        <w:ind w:right="-283"/>
        <w:contextualSpacing w:val="0"/>
        <w:rPr>
          <w:rFonts w:ascii="Times New Roman" w:hAnsi="Times New Roman"/>
          <w:b/>
          <w:bCs/>
          <w:i/>
          <w:sz w:val="22"/>
          <w:szCs w:val="22"/>
          <w:lang w:val="en-US"/>
        </w:rPr>
      </w:pPr>
      <w:r w:rsidRPr="0010784C">
        <w:rPr>
          <w:rFonts w:ascii="Times New Roman" w:hAnsi="Times New Roman"/>
          <w:b/>
          <w:bCs/>
          <w:i/>
          <w:sz w:val="22"/>
          <w:szCs w:val="22"/>
          <w:lang w:val="en-US"/>
        </w:rPr>
        <w:t xml:space="preserve">PROJECT DESCRIPTION </w:t>
      </w:r>
    </w:p>
    <w:p w:rsidR="00C821BE" w:rsidRPr="0010784C" w:rsidRDefault="00C821BE" w:rsidP="00C821BE">
      <w:pPr>
        <w:pStyle w:val="PargrafodaLista"/>
        <w:keepNext/>
        <w:numPr>
          <w:ilvl w:val="1"/>
          <w:numId w:val="244"/>
        </w:numPr>
        <w:spacing w:before="240" w:after="0"/>
        <w:jc w:val="both"/>
        <w:rPr>
          <w:rFonts w:ascii="Times New Roman" w:hAnsi="Times New Roman"/>
          <w:b/>
          <w:i/>
          <w:lang w:val="en-US" w:eastAsia="fr-FR"/>
        </w:rPr>
      </w:pPr>
      <w:r w:rsidRPr="0010784C">
        <w:rPr>
          <w:rFonts w:ascii="Times New Roman" w:hAnsi="Times New Roman"/>
          <w:b/>
          <w:i/>
          <w:lang w:val="en-US" w:eastAsia="fr-FR"/>
        </w:rPr>
        <w:t xml:space="preserve">LOCATION OF SUB-PROJECT N ° 2 </w:t>
      </w:r>
    </w:p>
    <w:p w:rsidR="00C821BE" w:rsidRPr="0010784C" w:rsidRDefault="00C821BE" w:rsidP="00C821BE">
      <w:pPr>
        <w:spacing w:after="120" w:line="240" w:lineRule="auto"/>
        <w:ind w:left="-284" w:right="-853"/>
        <w:jc w:val="both"/>
        <w:rPr>
          <w:rFonts w:ascii="Times New Roman" w:hAnsi="Times New Roman" w:cs="Times New Roman"/>
          <w:lang w:val="en-US"/>
        </w:rPr>
      </w:pPr>
      <w:r w:rsidRPr="0010784C">
        <w:rPr>
          <w:rFonts w:ascii="Times New Roman" w:hAnsi="Times New Roman" w:cs="Times New Roman"/>
          <w:lang w:val="en-US"/>
        </w:rPr>
        <w:t>The construction of four new water towers (Prabis, Safim, Bor and Antula) and the rehabilitation of other existing water towers of PUASEE-FA sub-project n ° 2 will be carried out mainly in three neighborhoods (Airport, Antule- Pime and Bôr) in the region of Bissau which is the political and economic capital of the Republic of Guinea-Bissau and in the region of Biombo precisely in two cities (Safim and Prabis).</w:t>
      </w:r>
    </w:p>
    <w:p w:rsidR="00C821BE" w:rsidRPr="0010784C" w:rsidRDefault="00C821BE" w:rsidP="00C821BE">
      <w:pPr>
        <w:spacing w:after="120" w:line="240" w:lineRule="auto"/>
        <w:ind w:left="-284" w:right="-853"/>
        <w:jc w:val="both"/>
        <w:rPr>
          <w:rFonts w:ascii="Times New Roman" w:hAnsi="Times New Roman" w:cs="Times New Roman"/>
          <w:lang w:val="en-US"/>
        </w:rPr>
      </w:pPr>
      <w:r w:rsidRPr="0010784C">
        <w:rPr>
          <w:rFonts w:ascii="Times New Roman" w:hAnsi="Times New Roman" w:cs="Times New Roman"/>
          <w:lang w:val="en-US"/>
        </w:rPr>
        <w:t>The city of Bissau developed on an estuarine site. Its relief is very low with a small elevation towards the north-west overlooking the Bissalanca plateau. The soils are clay and ferralitic type of red color. At the level of the contact zone with the Rio Géba, the soil is halo-hydromorphic (Texeira, 1962). Its soils are relatively permeable allowing easy infiltration of rainwater.</w:t>
      </w:r>
    </w:p>
    <w:p w:rsidR="00C821BE" w:rsidRPr="0010784C" w:rsidRDefault="00C821BE" w:rsidP="00C821BE">
      <w:pPr>
        <w:spacing w:after="120" w:line="240" w:lineRule="auto"/>
        <w:ind w:left="-284" w:right="-853"/>
        <w:jc w:val="both"/>
        <w:rPr>
          <w:rFonts w:ascii="Times New Roman" w:hAnsi="Times New Roman" w:cs="Times New Roman"/>
          <w:lang w:val="en-US"/>
        </w:rPr>
      </w:pPr>
      <w:r w:rsidRPr="0010784C">
        <w:rPr>
          <w:rFonts w:ascii="Times New Roman" w:hAnsi="Times New Roman" w:cs="Times New Roman"/>
          <w:bCs/>
          <w:lang w:val="en-US"/>
        </w:rPr>
        <w:t>The Biombo Region, located in the north central part of Bissau, lies precisely in the region</w:t>
      </w:r>
      <w:r w:rsidRPr="0010784C">
        <w:rPr>
          <w:rFonts w:ascii="Times New Roman" w:hAnsi="Times New Roman" w:cs="Times New Roman"/>
          <w:lang w:val="en-US"/>
        </w:rPr>
        <w:t>from West-North Guinea-Bissau. It is limited to the west by the main branches of the Guinea River (Rio Canal Geba and the Rio Mansoa), which divided into several small and medium canals with its beautiful beaches integrated into an entrance to the sea without waves and extensive in all interior corners of the region, thus allowing easy access by sea.</w:t>
      </w:r>
    </w:p>
    <w:p w:rsidR="00C821BE" w:rsidRPr="0010784C" w:rsidRDefault="00C821BE" w:rsidP="00C821BE">
      <w:pPr>
        <w:pStyle w:val="PargrafodaLista"/>
        <w:keepNext/>
        <w:numPr>
          <w:ilvl w:val="1"/>
          <w:numId w:val="244"/>
        </w:numPr>
        <w:spacing w:before="240" w:after="0"/>
        <w:jc w:val="both"/>
        <w:rPr>
          <w:rFonts w:ascii="Times New Roman" w:hAnsi="Times New Roman"/>
          <w:b/>
          <w:i/>
          <w:lang w:val="en-US" w:eastAsia="fr-FR"/>
        </w:rPr>
      </w:pPr>
      <w:r w:rsidRPr="0010784C">
        <w:rPr>
          <w:rFonts w:ascii="Times New Roman" w:hAnsi="Times New Roman"/>
          <w:b/>
          <w:i/>
          <w:lang w:val="en-US" w:eastAsia="fr-FR"/>
        </w:rPr>
        <w:t>CHARACTERISTICS OF SUB-PROJECT N ° 2 OF PUASEE-FA</w:t>
      </w:r>
    </w:p>
    <w:p w:rsidR="00C821BE" w:rsidRPr="0010784C" w:rsidRDefault="00C821BE" w:rsidP="00C821BE">
      <w:pPr>
        <w:spacing w:after="120" w:line="240" w:lineRule="auto"/>
        <w:ind w:left="-284" w:right="-853"/>
        <w:jc w:val="both"/>
        <w:rPr>
          <w:rFonts w:ascii="Times New Roman" w:hAnsi="Times New Roman" w:cs="Times New Roman"/>
          <w:bCs/>
          <w:lang w:val="en-US"/>
        </w:rPr>
      </w:pPr>
      <w:r w:rsidRPr="0010784C">
        <w:rPr>
          <w:rFonts w:ascii="Times New Roman" w:hAnsi="Times New Roman" w:cs="Times New Roman"/>
          <w:bCs/>
          <w:lang w:val="en-US"/>
        </w:rPr>
        <w:t>The Construction of four new water towers (Pabis, Safim, Bor and Antula) and the rehabilitation of other existing water towers at Airport. The planned investments for subproject n ° 02 are described in the table below:</w:t>
      </w:r>
    </w:p>
    <w:tbl>
      <w:tblPr>
        <w:tblW w:w="529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2"/>
        <w:gridCol w:w="7513"/>
        <w:gridCol w:w="619"/>
        <w:gridCol w:w="799"/>
      </w:tblGrid>
      <w:tr w:rsidR="00C821BE" w:rsidRPr="0010784C" w:rsidTr="00C821BE">
        <w:trPr>
          <w:trHeight w:val="118"/>
          <w:jc w:val="center"/>
        </w:trPr>
        <w:tc>
          <w:tcPr>
            <w:tcW w:w="662" w:type="dxa"/>
            <w:shd w:val="clear" w:color="auto" w:fill="F2F2F2" w:themeFill="background1" w:themeFillShade="F2"/>
            <w:noWrap/>
            <w:vAlign w:val="center"/>
          </w:tcPr>
          <w:p w:rsidR="00C821BE" w:rsidRPr="0010784C" w:rsidRDefault="00C821BE" w:rsidP="00C821BE">
            <w:pPr>
              <w:spacing w:after="0"/>
              <w:jc w:val="center"/>
              <w:rPr>
                <w:rFonts w:ascii="Times New Roman" w:hAnsi="Times New Roman" w:cs="Times New Roman"/>
                <w:b/>
                <w:bCs/>
                <w:color w:val="000000"/>
                <w:sz w:val="20"/>
                <w:szCs w:val="20"/>
                <w:lang w:val="en-US"/>
              </w:rPr>
            </w:pPr>
            <w:r w:rsidRPr="0010784C">
              <w:rPr>
                <w:rFonts w:ascii="Times New Roman" w:hAnsi="Times New Roman" w:cs="Times New Roman"/>
                <w:b/>
                <w:bCs/>
                <w:color w:val="000000"/>
                <w:sz w:val="20"/>
                <w:szCs w:val="20"/>
                <w:lang w:val="en-US"/>
              </w:rPr>
              <w:t>No.</w:t>
            </w:r>
          </w:p>
        </w:tc>
        <w:tc>
          <w:tcPr>
            <w:tcW w:w="8376" w:type="dxa"/>
            <w:shd w:val="clear" w:color="auto" w:fill="E7E6E6"/>
            <w:vAlign w:val="center"/>
          </w:tcPr>
          <w:p w:rsidR="00C821BE" w:rsidRPr="0010784C" w:rsidRDefault="00C821BE" w:rsidP="00C821BE">
            <w:pPr>
              <w:spacing w:after="0"/>
              <w:jc w:val="center"/>
              <w:rPr>
                <w:rFonts w:ascii="Times New Roman" w:hAnsi="Times New Roman" w:cs="Times New Roman"/>
                <w:b/>
                <w:bCs/>
                <w:color w:val="000000"/>
                <w:sz w:val="20"/>
                <w:szCs w:val="20"/>
                <w:lang w:val="en-US"/>
              </w:rPr>
            </w:pPr>
            <w:r w:rsidRPr="0010784C">
              <w:rPr>
                <w:rFonts w:ascii="Times New Roman" w:hAnsi="Times New Roman" w:cs="Times New Roman"/>
                <w:b/>
                <w:bCs/>
                <w:color w:val="000000"/>
                <w:sz w:val="20"/>
                <w:szCs w:val="20"/>
                <w:lang w:val="en-US"/>
              </w:rPr>
              <w:t>Details of the activities of sub-project n ° 2</w:t>
            </w:r>
          </w:p>
        </w:tc>
        <w:tc>
          <w:tcPr>
            <w:tcW w:w="630" w:type="dxa"/>
            <w:shd w:val="clear" w:color="auto" w:fill="E7E6E6"/>
            <w:vAlign w:val="center"/>
          </w:tcPr>
          <w:p w:rsidR="00C821BE" w:rsidRPr="0010784C" w:rsidRDefault="00C821BE" w:rsidP="00C821BE">
            <w:pPr>
              <w:spacing w:after="0"/>
              <w:jc w:val="center"/>
              <w:rPr>
                <w:rFonts w:ascii="Times New Roman" w:hAnsi="Times New Roman" w:cs="Times New Roman"/>
                <w:b/>
                <w:bCs/>
                <w:color w:val="000000"/>
                <w:sz w:val="20"/>
                <w:szCs w:val="20"/>
                <w:lang w:val="en-US"/>
              </w:rPr>
            </w:pPr>
            <w:r w:rsidRPr="0010784C">
              <w:rPr>
                <w:rFonts w:ascii="Times New Roman" w:hAnsi="Times New Roman" w:cs="Times New Roman"/>
                <w:b/>
                <w:bCs/>
                <w:color w:val="000000"/>
                <w:sz w:val="20"/>
                <w:szCs w:val="20"/>
                <w:lang w:val="en-US"/>
              </w:rPr>
              <w:t>Qty</w:t>
            </w:r>
          </w:p>
        </w:tc>
        <w:tc>
          <w:tcPr>
            <w:tcW w:w="828" w:type="dxa"/>
            <w:shd w:val="clear" w:color="auto" w:fill="E7E6E6"/>
            <w:vAlign w:val="center"/>
          </w:tcPr>
          <w:p w:rsidR="00C821BE" w:rsidRPr="0010784C" w:rsidRDefault="00C821BE" w:rsidP="00C821BE">
            <w:pPr>
              <w:spacing w:after="0"/>
              <w:jc w:val="center"/>
              <w:rPr>
                <w:rFonts w:ascii="Times New Roman" w:hAnsi="Times New Roman" w:cs="Times New Roman"/>
                <w:b/>
                <w:bCs/>
                <w:color w:val="000000"/>
                <w:sz w:val="20"/>
                <w:szCs w:val="20"/>
                <w:lang w:val="en-US"/>
              </w:rPr>
            </w:pPr>
            <w:r w:rsidRPr="0010784C">
              <w:rPr>
                <w:rFonts w:ascii="Times New Roman" w:hAnsi="Times New Roman" w:cs="Times New Roman"/>
                <w:b/>
                <w:bCs/>
                <w:color w:val="000000"/>
                <w:sz w:val="20"/>
                <w:szCs w:val="20"/>
                <w:lang w:val="en-US"/>
              </w:rPr>
              <w:t>Unit</w:t>
            </w:r>
          </w:p>
        </w:tc>
      </w:tr>
      <w:tr w:rsidR="00C821BE" w:rsidRPr="0010784C" w:rsidDel="001A6624" w:rsidTr="00C821BE">
        <w:trPr>
          <w:trHeight w:val="280"/>
          <w:jc w:val="center"/>
        </w:trPr>
        <w:tc>
          <w:tcPr>
            <w:tcW w:w="662" w:type="dxa"/>
            <w:shd w:val="clear" w:color="auto" w:fill="F2F2F2" w:themeFill="background1" w:themeFillShade="F2"/>
            <w:noWrap/>
            <w:vAlign w:val="center"/>
          </w:tcPr>
          <w:p w:rsidR="00C821BE" w:rsidRPr="0010784C" w:rsidRDefault="00C821BE" w:rsidP="00C821BE">
            <w:pPr>
              <w:spacing w:after="0"/>
              <w:jc w:val="center"/>
              <w:rPr>
                <w:rFonts w:ascii="Times New Roman" w:hAnsi="Times New Roman" w:cs="Times New Roman"/>
                <w:b/>
                <w:color w:val="000000"/>
                <w:sz w:val="20"/>
                <w:szCs w:val="20"/>
                <w:lang w:val="en-US"/>
              </w:rPr>
            </w:pPr>
            <w:r w:rsidRPr="0010784C">
              <w:rPr>
                <w:rFonts w:ascii="Times New Roman" w:hAnsi="Times New Roman" w:cs="Times New Roman"/>
                <w:b/>
                <w:color w:val="000000"/>
                <w:sz w:val="20"/>
                <w:szCs w:val="20"/>
                <w:lang w:val="en-US"/>
              </w:rPr>
              <w:t>01</w:t>
            </w:r>
          </w:p>
        </w:tc>
        <w:tc>
          <w:tcPr>
            <w:tcW w:w="8376" w:type="dxa"/>
            <w:shd w:val="clear" w:color="auto" w:fill="auto"/>
            <w:vAlign w:val="center"/>
          </w:tcPr>
          <w:p w:rsidR="00C821BE" w:rsidRPr="0010784C" w:rsidRDefault="00C821BE" w:rsidP="00C821BE">
            <w:pPr>
              <w:spacing w:after="0"/>
              <w:jc w:val="both"/>
              <w:rPr>
                <w:rFonts w:ascii="Times New Roman" w:hAnsi="Times New Roman" w:cs="Times New Roman"/>
                <w:sz w:val="20"/>
                <w:szCs w:val="20"/>
                <w:lang w:val="en-US"/>
              </w:rPr>
            </w:pPr>
            <w:r w:rsidRPr="0010784C">
              <w:rPr>
                <w:rFonts w:ascii="Times New Roman" w:hAnsi="Times New Roman" w:cs="Times New Roman"/>
                <w:sz w:val="20"/>
                <w:szCs w:val="20"/>
                <w:lang w:val="en-US"/>
              </w:rPr>
              <w:t xml:space="preserve">Construction of a 300 m3 reservoir in Bor </w:t>
            </w:r>
          </w:p>
        </w:tc>
        <w:tc>
          <w:tcPr>
            <w:tcW w:w="630" w:type="dxa"/>
            <w:shd w:val="clear" w:color="auto" w:fill="auto"/>
            <w:vAlign w:val="center"/>
          </w:tcPr>
          <w:p w:rsidR="00C821BE" w:rsidRPr="0010784C" w:rsidRDefault="00C821BE" w:rsidP="00C821BE">
            <w:pPr>
              <w:spacing w:after="0"/>
              <w:jc w:val="center"/>
              <w:rPr>
                <w:rFonts w:ascii="Times New Roman" w:hAnsi="Times New Roman" w:cs="Times New Roman"/>
                <w:sz w:val="20"/>
                <w:szCs w:val="20"/>
                <w:lang w:val="en-US"/>
              </w:rPr>
            </w:pPr>
            <w:r w:rsidRPr="0010784C">
              <w:rPr>
                <w:rFonts w:ascii="Times New Roman" w:hAnsi="Times New Roman" w:cs="Times New Roman"/>
                <w:sz w:val="20"/>
                <w:szCs w:val="20"/>
                <w:lang w:val="en-US"/>
              </w:rPr>
              <w:t>1</w:t>
            </w:r>
          </w:p>
        </w:tc>
        <w:tc>
          <w:tcPr>
            <w:tcW w:w="828" w:type="dxa"/>
            <w:shd w:val="clear" w:color="auto" w:fill="auto"/>
            <w:vAlign w:val="center"/>
          </w:tcPr>
          <w:p w:rsidR="00C821BE" w:rsidRPr="0010784C" w:rsidDel="001A6624" w:rsidRDefault="00C821BE" w:rsidP="00C821BE">
            <w:pPr>
              <w:spacing w:after="0"/>
              <w:jc w:val="center"/>
              <w:rPr>
                <w:rFonts w:ascii="Times New Roman" w:hAnsi="Times New Roman" w:cs="Times New Roman"/>
                <w:sz w:val="20"/>
                <w:szCs w:val="20"/>
                <w:lang w:val="en-US"/>
              </w:rPr>
            </w:pPr>
            <w:r w:rsidRPr="0010784C">
              <w:rPr>
                <w:rFonts w:ascii="Times New Roman" w:hAnsi="Times New Roman" w:cs="Times New Roman"/>
                <w:sz w:val="20"/>
                <w:szCs w:val="20"/>
                <w:lang w:val="en-US"/>
              </w:rPr>
              <w:t>U</w:t>
            </w:r>
          </w:p>
        </w:tc>
      </w:tr>
      <w:tr w:rsidR="00C821BE" w:rsidRPr="0010784C" w:rsidDel="001A6624" w:rsidTr="00C821BE">
        <w:trPr>
          <w:trHeight w:val="280"/>
          <w:jc w:val="center"/>
        </w:trPr>
        <w:tc>
          <w:tcPr>
            <w:tcW w:w="662" w:type="dxa"/>
            <w:shd w:val="clear" w:color="auto" w:fill="F2F2F2" w:themeFill="background1" w:themeFillShade="F2"/>
            <w:noWrap/>
            <w:vAlign w:val="center"/>
          </w:tcPr>
          <w:p w:rsidR="00C821BE" w:rsidRPr="0010784C" w:rsidRDefault="00C821BE" w:rsidP="00C821BE">
            <w:pPr>
              <w:spacing w:after="0"/>
              <w:jc w:val="center"/>
              <w:rPr>
                <w:rFonts w:ascii="Times New Roman" w:hAnsi="Times New Roman" w:cs="Times New Roman"/>
                <w:b/>
                <w:color w:val="000000"/>
                <w:sz w:val="20"/>
                <w:szCs w:val="20"/>
                <w:lang w:val="en-US"/>
              </w:rPr>
            </w:pPr>
            <w:r w:rsidRPr="0010784C">
              <w:rPr>
                <w:rFonts w:ascii="Times New Roman" w:hAnsi="Times New Roman" w:cs="Times New Roman"/>
                <w:b/>
                <w:color w:val="000000"/>
                <w:sz w:val="20"/>
                <w:szCs w:val="20"/>
                <w:lang w:val="en-US"/>
              </w:rPr>
              <w:t>02</w:t>
            </w:r>
          </w:p>
        </w:tc>
        <w:tc>
          <w:tcPr>
            <w:tcW w:w="8376" w:type="dxa"/>
            <w:shd w:val="clear" w:color="auto" w:fill="auto"/>
            <w:vAlign w:val="center"/>
          </w:tcPr>
          <w:p w:rsidR="00C821BE" w:rsidRPr="0010784C" w:rsidRDefault="00C821BE" w:rsidP="00C821BE">
            <w:pPr>
              <w:spacing w:after="0"/>
              <w:jc w:val="both"/>
              <w:rPr>
                <w:rFonts w:ascii="Times New Roman" w:hAnsi="Times New Roman" w:cs="Times New Roman"/>
                <w:sz w:val="20"/>
                <w:szCs w:val="20"/>
                <w:lang w:val="en-US"/>
              </w:rPr>
            </w:pPr>
            <w:r w:rsidRPr="0010784C">
              <w:rPr>
                <w:rFonts w:ascii="Times New Roman" w:hAnsi="Times New Roman" w:cs="Times New Roman"/>
                <w:sz w:val="20"/>
                <w:szCs w:val="20"/>
                <w:lang w:val="en-US"/>
              </w:rPr>
              <w:t>Construction of a 300 m3 reservoir in Safim</w:t>
            </w:r>
          </w:p>
        </w:tc>
        <w:tc>
          <w:tcPr>
            <w:tcW w:w="630" w:type="dxa"/>
            <w:shd w:val="clear" w:color="auto" w:fill="auto"/>
            <w:vAlign w:val="center"/>
          </w:tcPr>
          <w:p w:rsidR="00C821BE" w:rsidRPr="0010784C" w:rsidRDefault="00C821BE" w:rsidP="00C821BE">
            <w:pPr>
              <w:spacing w:after="0"/>
              <w:jc w:val="center"/>
              <w:rPr>
                <w:rFonts w:ascii="Times New Roman" w:hAnsi="Times New Roman" w:cs="Times New Roman"/>
                <w:sz w:val="20"/>
                <w:szCs w:val="20"/>
                <w:lang w:val="en-US"/>
              </w:rPr>
            </w:pPr>
            <w:r w:rsidRPr="0010784C">
              <w:rPr>
                <w:rFonts w:ascii="Times New Roman" w:hAnsi="Times New Roman" w:cs="Times New Roman"/>
                <w:sz w:val="20"/>
                <w:szCs w:val="20"/>
                <w:lang w:val="en-US"/>
              </w:rPr>
              <w:t>1</w:t>
            </w:r>
          </w:p>
        </w:tc>
        <w:tc>
          <w:tcPr>
            <w:tcW w:w="828" w:type="dxa"/>
            <w:shd w:val="clear" w:color="auto" w:fill="auto"/>
            <w:vAlign w:val="center"/>
          </w:tcPr>
          <w:p w:rsidR="00C821BE" w:rsidRPr="0010784C" w:rsidRDefault="00C821BE" w:rsidP="00C821BE">
            <w:pPr>
              <w:spacing w:after="0"/>
              <w:jc w:val="center"/>
              <w:rPr>
                <w:rFonts w:ascii="Times New Roman" w:hAnsi="Times New Roman" w:cs="Times New Roman"/>
                <w:sz w:val="20"/>
                <w:szCs w:val="20"/>
                <w:lang w:val="en-US"/>
              </w:rPr>
            </w:pPr>
            <w:r w:rsidRPr="0010784C">
              <w:rPr>
                <w:rFonts w:ascii="Times New Roman" w:hAnsi="Times New Roman" w:cs="Times New Roman"/>
                <w:sz w:val="20"/>
                <w:szCs w:val="20"/>
                <w:lang w:val="en-US"/>
              </w:rPr>
              <w:t>U</w:t>
            </w:r>
          </w:p>
        </w:tc>
      </w:tr>
      <w:tr w:rsidR="00C821BE" w:rsidRPr="0010784C" w:rsidDel="001A6624" w:rsidTr="00C821BE">
        <w:trPr>
          <w:trHeight w:val="280"/>
          <w:jc w:val="center"/>
        </w:trPr>
        <w:tc>
          <w:tcPr>
            <w:tcW w:w="662" w:type="dxa"/>
            <w:shd w:val="clear" w:color="auto" w:fill="F2F2F2" w:themeFill="background1" w:themeFillShade="F2"/>
            <w:noWrap/>
            <w:vAlign w:val="center"/>
          </w:tcPr>
          <w:p w:rsidR="00C821BE" w:rsidRPr="0010784C" w:rsidRDefault="00C821BE" w:rsidP="00C821BE">
            <w:pPr>
              <w:spacing w:after="0"/>
              <w:jc w:val="center"/>
              <w:rPr>
                <w:rFonts w:ascii="Times New Roman" w:hAnsi="Times New Roman" w:cs="Times New Roman"/>
                <w:b/>
                <w:color w:val="000000"/>
                <w:sz w:val="20"/>
                <w:szCs w:val="20"/>
                <w:lang w:val="en-US"/>
              </w:rPr>
            </w:pPr>
            <w:r w:rsidRPr="0010784C">
              <w:rPr>
                <w:rFonts w:ascii="Times New Roman" w:hAnsi="Times New Roman" w:cs="Times New Roman"/>
                <w:b/>
                <w:color w:val="000000"/>
                <w:sz w:val="20"/>
                <w:szCs w:val="20"/>
                <w:lang w:val="en-US"/>
              </w:rPr>
              <w:t>03</w:t>
            </w:r>
          </w:p>
        </w:tc>
        <w:tc>
          <w:tcPr>
            <w:tcW w:w="8376" w:type="dxa"/>
            <w:shd w:val="clear" w:color="auto" w:fill="auto"/>
            <w:vAlign w:val="center"/>
          </w:tcPr>
          <w:p w:rsidR="00C821BE" w:rsidRPr="0010784C" w:rsidRDefault="00C821BE" w:rsidP="00C821BE">
            <w:pPr>
              <w:spacing w:after="0"/>
              <w:jc w:val="both"/>
              <w:rPr>
                <w:rFonts w:ascii="Times New Roman" w:hAnsi="Times New Roman" w:cs="Times New Roman"/>
                <w:sz w:val="20"/>
                <w:szCs w:val="20"/>
                <w:lang w:val="en-US"/>
              </w:rPr>
            </w:pPr>
            <w:r w:rsidRPr="0010784C">
              <w:rPr>
                <w:rFonts w:ascii="Times New Roman" w:hAnsi="Times New Roman" w:cs="Times New Roman"/>
                <w:sz w:val="20"/>
                <w:szCs w:val="20"/>
                <w:lang w:val="en-US"/>
              </w:rPr>
              <w:t>Construction of a 100 m3 reservoir in Prabis</w:t>
            </w:r>
          </w:p>
        </w:tc>
        <w:tc>
          <w:tcPr>
            <w:tcW w:w="630" w:type="dxa"/>
            <w:shd w:val="clear" w:color="auto" w:fill="auto"/>
            <w:vAlign w:val="center"/>
          </w:tcPr>
          <w:p w:rsidR="00C821BE" w:rsidRPr="0010784C" w:rsidRDefault="00C821BE" w:rsidP="00C821BE">
            <w:pPr>
              <w:spacing w:after="0"/>
              <w:jc w:val="center"/>
              <w:rPr>
                <w:rFonts w:ascii="Times New Roman" w:hAnsi="Times New Roman" w:cs="Times New Roman"/>
                <w:sz w:val="20"/>
                <w:szCs w:val="20"/>
                <w:lang w:val="en-US"/>
              </w:rPr>
            </w:pPr>
            <w:r w:rsidRPr="0010784C">
              <w:rPr>
                <w:rFonts w:ascii="Times New Roman" w:hAnsi="Times New Roman" w:cs="Times New Roman"/>
                <w:sz w:val="20"/>
                <w:szCs w:val="20"/>
                <w:lang w:val="en-US"/>
              </w:rPr>
              <w:t>1</w:t>
            </w:r>
          </w:p>
        </w:tc>
        <w:tc>
          <w:tcPr>
            <w:tcW w:w="828" w:type="dxa"/>
            <w:shd w:val="clear" w:color="auto" w:fill="auto"/>
            <w:vAlign w:val="center"/>
          </w:tcPr>
          <w:p w:rsidR="00C821BE" w:rsidRPr="0010784C" w:rsidDel="001A6624" w:rsidRDefault="00C821BE" w:rsidP="00C821BE">
            <w:pPr>
              <w:spacing w:after="0"/>
              <w:jc w:val="center"/>
              <w:rPr>
                <w:rFonts w:ascii="Times New Roman" w:hAnsi="Times New Roman" w:cs="Times New Roman"/>
                <w:sz w:val="20"/>
                <w:szCs w:val="20"/>
                <w:lang w:val="en-US"/>
              </w:rPr>
            </w:pPr>
            <w:r w:rsidRPr="0010784C">
              <w:rPr>
                <w:rFonts w:ascii="Times New Roman" w:hAnsi="Times New Roman" w:cs="Times New Roman"/>
                <w:sz w:val="20"/>
                <w:szCs w:val="20"/>
                <w:lang w:val="en-US"/>
              </w:rPr>
              <w:t>U</w:t>
            </w:r>
          </w:p>
        </w:tc>
      </w:tr>
      <w:tr w:rsidR="00C821BE" w:rsidRPr="0010784C" w:rsidDel="001A6624" w:rsidTr="00C821BE">
        <w:trPr>
          <w:trHeight w:val="280"/>
          <w:jc w:val="center"/>
        </w:trPr>
        <w:tc>
          <w:tcPr>
            <w:tcW w:w="662" w:type="dxa"/>
            <w:shd w:val="clear" w:color="auto" w:fill="F2F2F2" w:themeFill="background1" w:themeFillShade="F2"/>
            <w:noWrap/>
            <w:vAlign w:val="center"/>
          </w:tcPr>
          <w:p w:rsidR="00C821BE" w:rsidRPr="0010784C" w:rsidRDefault="00C821BE" w:rsidP="00C821BE">
            <w:pPr>
              <w:spacing w:after="0"/>
              <w:jc w:val="center"/>
              <w:rPr>
                <w:rFonts w:ascii="Times New Roman" w:hAnsi="Times New Roman" w:cs="Times New Roman"/>
                <w:b/>
                <w:color w:val="000000"/>
                <w:sz w:val="20"/>
                <w:szCs w:val="20"/>
                <w:lang w:val="en-US"/>
              </w:rPr>
            </w:pPr>
            <w:r w:rsidRPr="0010784C">
              <w:rPr>
                <w:rFonts w:ascii="Times New Roman" w:hAnsi="Times New Roman" w:cs="Times New Roman"/>
                <w:b/>
                <w:color w:val="000000"/>
                <w:sz w:val="20"/>
                <w:szCs w:val="20"/>
                <w:lang w:val="en-US"/>
              </w:rPr>
              <w:t>04</w:t>
            </w:r>
          </w:p>
        </w:tc>
        <w:tc>
          <w:tcPr>
            <w:tcW w:w="8376" w:type="dxa"/>
            <w:shd w:val="clear" w:color="auto" w:fill="auto"/>
            <w:vAlign w:val="center"/>
          </w:tcPr>
          <w:p w:rsidR="00C821BE" w:rsidRPr="0010784C" w:rsidRDefault="00C821BE" w:rsidP="00C821BE">
            <w:pPr>
              <w:spacing w:after="0"/>
              <w:jc w:val="both"/>
              <w:rPr>
                <w:rFonts w:ascii="Times New Roman" w:hAnsi="Times New Roman" w:cs="Times New Roman"/>
                <w:sz w:val="20"/>
                <w:szCs w:val="20"/>
                <w:lang w:val="en-US"/>
              </w:rPr>
            </w:pPr>
            <w:r w:rsidRPr="0010784C">
              <w:rPr>
                <w:rFonts w:ascii="Times New Roman" w:hAnsi="Times New Roman" w:cs="Times New Roman"/>
                <w:sz w:val="20"/>
                <w:szCs w:val="20"/>
                <w:lang w:val="en-US"/>
              </w:rPr>
              <w:t>Rehabilitation of tank 1 in reinforced concrete of 100 m3, airport district</w:t>
            </w:r>
          </w:p>
        </w:tc>
        <w:tc>
          <w:tcPr>
            <w:tcW w:w="630" w:type="dxa"/>
            <w:shd w:val="clear" w:color="auto" w:fill="auto"/>
            <w:vAlign w:val="center"/>
          </w:tcPr>
          <w:p w:rsidR="00C821BE" w:rsidRPr="0010784C" w:rsidRDefault="00C821BE" w:rsidP="00C821BE">
            <w:pPr>
              <w:spacing w:after="0"/>
              <w:jc w:val="center"/>
              <w:rPr>
                <w:rFonts w:ascii="Times New Roman" w:hAnsi="Times New Roman" w:cs="Times New Roman"/>
                <w:sz w:val="20"/>
                <w:szCs w:val="20"/>
                <w:lang w:val="en-US"/>
              </w:rPr>
            </w:pPr>
            <w:r w:rsidRPr="0010784C">
              <w:rPr>
                <w:rFonts w:ascii="Times New Roman" w:hAnsi="Times New Roman" w:cs="Times New Roman"/>
                <w:sz w:val="20"/>
                <w:szCs w:val="20"/>
                <w:lang w:val="en-US"/>
              </w:rPr>
              <w:t>1</w:t>
            </w:r>
          </w:p>
        </w:tc>
        <w:tc>
          <w:tcPr>
            <w:tcW w:w="828" w:type="dxa"/>
            <w:shd w:val="clear" w:color="auto" w:fill="auto"/>
            <w:vAlign w:val="center"/>
          </w:tcPr>
          <w:p w:rsidR="00C821BE" w:rsidRPr="0010784C" w:rsidDel="001A6624" w:rsidRDefault="00C821BE" w:rsidP="00C821BE">
            <w:pPr>
              <w:spacing w:after="0"/>
              <w:jc w:val="center"/>
              <w:rPr>
                <w:rFonts w:ascii="Times New Roman" w:hAnsi="Times New Roman" w:cs="Times New Roman"/>
                <w:sz w:val="20"/>
                <w:szCs w:val="20"/>
                <w:lang w:val="en-US"/>
              </w:rPr>
            </w:pPr>
            <w:r w:rsidRPr="0010784C">
              <w:rPr>
                <w:rFonts w:ascii="Times New Roman" w:hAnsi="Times New Roman" w:cs="Times New Roman"/>
                <w:sz w:val="20"/>
                <w:szCs w:val="20"/>
                <w:lang w:val="en-US"/>
              </w:rPr>
              <w:t>U</w:t>
            </w:r>
          </w:p>
        </w:tc>
      </w:tr>
      <w:tr w:rsidR="00C821BE" w:rsidRPr="0010784C" w:rsidDel="001A6624" w:rsidTr="00C821BE">
        <w:trPr>
          <w:trHeight w:val="280"/>
          <w:jc w:val="center"/>
        </w:trPr>
        <w:tc>
          <w:tcPr>
            <w:tcW w:w="662" w:type="dxa"/>
            <w:shd w:val="clear" w:color="auto" w:fill="F2F2F2" w:themeFill="background1" w:themeFillShade="F2"/>
            <w:noWrap/>
            <w:vAlign w:val="center"/>
          </w:tcPr>
          <w:p w:rsidR="00C821BE" w:rsidRPr="0010784C" w:rsidRDefault="00C821BE" w:rsidP="00C821BE">
            <w:pPr>
              <w:spacing w:after="0"/>
              <w:jc w:val="center"/>
              <w:rPr>
                <w:rFonts w:ascii="Times New Roman" w:hAnsi="Times New Roman" w:cs="Times New Roman"/>
                <w:b/>
                <w:color w:val="000000"/>
                <w:sz w:val="20"/>
                <w:szCs w:val="20"/>
                <w:lang w:val="en-US"/>
              </w:rPr>
            </w:pPr>
            <w:r w:rsidRPr="0010784C">
              <w:rPr>
                <w:rFonts w:ascii="Times New Roman" w:hAnsi="Times New Roman" w:cs="Times New Roman"/>
                <w:b/>
                <w:color w:val="000000"/>
                <w:sz w:val="20"/>
                <w:szCs w:val="20"/>
                <w:lang w:val="en-US"/>
              </w:rPr>
              <w:t>05</w:t>
            </w:r>
          </w:p>
        </w:tc>
        <w:tc>
          <w:tcPr>
            <w:tcW w:w="8376" w:type="dxa"/>
            <w:shd w:val="clear" w:color="auto" w:fill="auto"/>
            <w:vAlign w:val="center"/>
          </w:tcPr>
          <w:p w:rsidR="00C821BE" w:rsidRPr="0010784C" w:rsidRDefault="00C821BE" w:rsidP="00C821BE">
            <w:pPr>
              <w:spacing w:after="0"/>
              <w:jc w:val="both"/>
              <w:rPr>
                <w:rFonts w:ascii="Times New Roman" w:hAnsi="Times New Roman" w:cs="Times New Roman"/>
                <w:sz w:val="20"/>
                <w:szCs w:val="20"/>
                <w:lang w:val="en-US"/>
              </w:rPr>
            </w:pPr>
            <w:r w:rsidRPr="0010784C">
              <w:rPr>
                <w:rFonts w:ascii="Times New Roman" w:hAnsi="Times New Roman" w:cs="Times New Roman"/>
                <w:sz w:val="20"/>
                <w:szCs w:val="20"/>
                <w:lang w:val="en-US"/>
              </w:rPr>
              <w:t>Rehabilitation of tank 2 in reinforced concrete of 100 m3, airport district</w:t>
            </w:r>
          </w:p>
        </w:tc>
        <w:tc>
          <w:tcPr>
            <w:tcW w:w="630" w:type="dxa"/>
            <w:shd w:val="clear" w:color="auto" w:fill="auto"/>
            <w:vAlign w:val="center"/>
          </w:tcPr>
          <w:p w:rsidR="00C821BE" w:rsidRPr="0010784C" w:rsidRDefault="00C821BE" w:rsidP="00C821BE">
            <w:pPr>
              <w:spacing w:after="0"/>
              <w:jc w:val="center"/>
              <w:rPr>
                <w:rFonts w:ascii="Times New Roman" w:hAnsi="Times New Roman" w:cs="Times New Roman"/>
                <w:sz w:val="20"/>
                <w:szCs w:val="20"/>
                <w:lang w:val="en-US"/>
              </w:rPr>
            </w:pPr>
            <w:r w:rsidRPr="0010784C">
              <w:rPr>
                <w:rFonts w:ascii="Times New Roman" w:hAnsi="Times New Roman" w:cs="Times New Roman"/>
                <w:sz w:val="20"/>
                <w:szCs w:val="20"/>
                <w:lang w:val="en-US"/>
              </w:rPr>
              <w:t>1</w:t>
            </w:r>
          </w:p>
        </w:tc>
        <w:tc>
          <w:tcPr>
            <w:tcW w:w="828" w:type="dxa"/>
            <w:shd w:val="clear" w:color="auto" w:fill="auto"/>
            <w:vAlign w:val="center"/>
          </w:tcPr>
          <w:p w:rsidR="00C821BE" w:rsidRPr="0010784C" w:rsidRDefault="00C821BE" w:rsidP="00C821BE">
            <w:pPr>
              <w:spacing w:after="0"/>
              <w:jc w:val="center"/>
              <w:rPr>
                <w:rFonts w:ascii="Times New Roman" w:hAnsi="Times New Roman" w:cs="Times New Roman"/>
                <w:sz w:val="20"/>
                <w:szCs w:val="20"/>
                <w:lang w:val="en-US"/>
              </w:rPr>
            </w:pPr>
            <w:r w:rsidRPr="0010784C">
              <w:rPr>
                <w:rFonts w:ascii="Times New Roman" w:hAnsi="Times New Roman" w:cs="Times New Roman"/>
                <w:sz w:val="20"/>
                <w:szCs w:val="20"/>
                <w:lang w:val="en-US"/>
              </w:rPr>
              <w:t>U</w:t>
            </w:r>
          </w:p>
        </w:tc>
      </w:tr>
      <w:tr w:rsidR="00C821BE" w:rsidRPr="0010784C" w:rsidDel="001A6624" w:rsidTr="00C821BE">
        <w:trPr>
          <w:trHeight w:val="280"/>
          <w:jc w:val="center"/>
        </w:trPr>
        <w:tc>
          <w:tcPr>
            <w:tcW w:w="662" w:type="dxa"/>
            <w:shd w:val="clear" w:color="auto" w:fill="F2F2F2" w:themeFill="background1" w:themeFillShade="F2"/>
            <w:noWrap/>
            <w:vAlign w:val="center"/>
          </w:tcPr>
          <w:p w:rsidR="00C821BE" w:rsidRPr="0010784C" w:rsidRDefault="00C821BE" w:rsidP="00C821BE">
            <w:pPr>
              <w:spacing w:after="0"/>
              <w:jc w:val="center"/>
              <w:rPr>
                <w:rFonts w:ascii="Times New Roman" w:hAnsi="Times New Roman" w:cs="Times New Roman"/>
                <w:b/>
                <w:color w:val="000000"/>
                <w:sz w:val="20"/>
                <w:szCs w:val="20"/>
                <w:lang w:val="en-US"/>
              </w:rPr>
            </w:pPr>
            <w:r w:rsidRPr="0010784C">
              <w:rPr>
                <w:rFonts w:ascii="Times New Roman" w:hAnsi="Times New Roman" w:cs="Times New Roman"/>
                <w:b/>
                <w:color w:val="000000"/>
                <w:sz w:val="20"/>
                <w:szCs w:val="20"/>
                <w:lang w:val="en-US"/>
              </w:rPr>
              <w:t>06</w:t>
            </w:r>
          </w:p>
        </w:tc>
        <w:tc>
          <w:tcPr>
            <w:tcW w:w="8376" w:type="dxa"/>
            <w:shd w:val="clear" w:color="auto" w:fill="auto"/>
            <w:vAlign w:val="center"/>
          </w:tcPr>
          <w:p w:rsidR="00C821BE" w:rsidRPr="0010784C" w:rsidRDefault="00C821BE" w:rsidP="00C821BE">
            <w:pPr>
              <w:spacing w:after="0"/>
              <w:jc w:val="both"/>
              <w:rPr>
                <w:rFonts w:ascii="Times New Roman" w:hAnsi="Times New Roman" w:cs="Times New Roman"/>
                <w:sz w:val="20"/>
                <w:szCs w:val="20"/>
                <w:lang w:val="en-US"/>
              </w:rPr>
            </w:pPr>
            <w:r w:rsidRPr="0010784C">
              <w:rPr>
                <w:rFonts w:ascii="Times New Roman" w:hAnsi="Times New Roman" w:cs="Times New Roman"/>
                <w:sz w:val="20"/>
                <w:szCs w:val="20"/>
                <w:lang w:val="en-US"/>
              </w:rPr>
              <w:t>Construction of a 100 m3 reservoir in Antula-Pime</w:t>
            </w:r>
          </w:p>
        </w:tc>
        <w:tc>
          <w:tcPr>
            <w:tcW w:w="630" w:type="dxa"/>
            <w:shd w:val="clear" w:color="auto" w:fill="auto"/>
            <w:vAlign w:val="center"/>
          </w:tcPr>
          <w:p w:rsidR="00C821BE" w:rsidRPr="0010784C" w:rsidRDefault="00C821BE" w:rsidP="00C821BE">
            <w:pPr>
              <w:spacing w:after="0"/>
              <w:jc w:val="center"/>
              <w:rPr>
                <w:rFonts w:ascii="Times New Roman" w:hAnsi="Times New Roman" w:cs="Times New Roman"/>
                <w:sz w:val="20"/>
                <w:szCs w:val="20"/>
                <w:lang w:val="en-US"/>
              </w:rPr>
            </w:pPr>
            <w:r w:rsidRPr="0010784C">
              <w:rPr>
                <w:rFonts w:ascii="Times New Roman" w:hAnsi="Times New Roman" w:cs="Times New Roman"/>
                <w:sz w:val="20"/>
                <w:szCs w:val="20"/>
                <w:lang w:val="en-US"/>
              </w:rPr>
              <w:t>1</w:t>
            </w:r>
          </w:p>
        </w:tc>
        <w:tc>
          <w:tcPr>
            <w:tcW w:w="828" w:type="dxa"/>
            <w:shd w:val="clear" w:color="auto" w:fill="auto"/>
            <w:vAlign w:val="center"/>
          </w:tcPr>
          <w:p w:rsidR="00C821BE" w:rsidRPr="0010784C" w:rsidRDefault="00C821BE" w:rsidP="00C821BE">
            <w:pPr>
              <w:spacing w:after="0"/>
              <w:jc w:val="center"/>
              <w:rPr>
                <w:rFonts w:ascii="Times New Roman" w:hAnsi="Times New Roman" w:cs="Times New Roman"/>
                <w:sz w:val="20"/>
                <w:szCs w:val="20"/>
                <w:lang w:val="en-US"/>
              </w:rPr>
            </w:pPr>
            <w:r w:rsidRPr="0010784C">
              <w:rPr>
                <w:rFonts w:ascii="Times New Roman" w:hAnsi="Times New Roman" w:cs="Times New Roman"/>
                <w:sz w:val="20"/>
                <w:szCs w:val="20"/>
                <w:lang w:val="en-US"/>
              </w:rPr>
              <w:t>U</w:t>
            </w:r>
          </w:p>
        </w:tc>
      </w:tr>
    </w:tbl>
    <w:p w:rsidR="00C821BE" w:rsidRPr="0010784C" w:rsidRDefault="00C821BE" w:rsidP="00C821BE">
      <w:pPr>
        <w:spacing w:after="0"/>
        <w:jc w:val="both"/>
        <w:rPr>
          <w:rFonts w:ascii="Times New Roman" w:hAnsi="Times New Roman" w:cs="Times New Roman"/>
          <w:b/>
          <w:sz w:val="24"/>
          <w:szCs w:val="24"/>
          <w:lang w:val="en-US" w:bidi="fr-FR"/>
        </w:rPr>
      </w:pPr>
    </w:p>
    <w:p w:rsidR="00C821BE" w:rsidRPr="0010784C" w:rsidRDefault="00C821BE" w:rsidP="00C821BE">
      <w:pPr>
        <w:spacing w:after="120" w:line="240" w:lineRule="auto"/>
        <w:ind w:left="-284" w:right="-853"/>
        <w:jc w:val="both"/>
        <w:rPr>
          <w:rFonts w:ascii="Times New Roman" w:hAnsi="Times New Roman" w:cs="Times New Roman"/>
          <w:bCs/>
          <w:lang w:val="en-US"/>
        </w:rPr>
      </w:pPr>
      <w:r w:rsidRPr="0010784C">
        <w:rPr>
          <w:rFonts w:ascii="Times New Roman" w:hAnsi="Times New Roman" w:cs="Times New Roman"/>
          <w:bCs/>
          <w:lang w:val="en-US"/>
        </w:rPr>
        <w:t>In addition, it will be necessary to count on the construction of the reservoir planned for Bôr and the rehabilitation of 2 reservoirs of the Airport (currently out of service). To reach the volume deemed necessary by the 2015 studies, updated as of May 2019, for the Bissau system (for which the Safim and Prabis reservoirs do not count), it will therefore be necessary to search for these reservoirs (Bôr, Aeroport1 and Aeroport2) a total additional capacity as close as possible to 2,011 m3 (3,411 m3 - 1,400 m3).</w:t>
      </w:r>
    </w:p>
    <w:p w:rsidR="00C821BE" w:rsidRPr="0010784C" w:rsidRDefault="00C821BE" w:rsidP="00C821BE">
      <w:pPr>
        <w:spacing w:after="120" w:line="240" w:lineRule="auto"/>
        <w:ind w:left="-284" w:right="-853"/>
        <w:jc w:val="both"/>
        <w:rPr>
          <w:rFonts w:ascii="Times New Roman" w:hAnsi="Times New Roman" w:cs="Times New Roman"/>
          <w:bCs/>
          <w:lang w:val="en-US"/>
        </w:rPr>
      </w:pPr>
      <w:r w:rsidRPr="0010784C">
        <w:rPr>
          <w:rFonts w:ascii="Times New Roman" w:hAnsi="Times New Roman" w:cs="Times New Roman"/>
          <w:bCs/>
          <w:lang w:val="en-US"/>
        </w:rPr>
        <w:t>The total capacity of these reservoirs will therefore be 2,450 m3 or 2,050 m3, in case the EC of Antula Bono will be 300 m3) If this capacity can be reached, the capacity deficit of the DWS network of the city of Bissau at fill, from 3,411 m3, will be reduced to 960 m3.</w:t>
      </w:r>
    </w:p>
    <w:p w:rsidR="00C821BE" w:rsidRPr="0010784C" w:rsidRDefault="00C821BE" w:rsidP="00C821BE">
      <w:pPr>
        <w:autoSpaceDE w:val="0"/>
        <w:autoSpaceDN w:val="0"/>
        <w:adjustRightInd w:val="0"/>
        <w:spacing w:after="0" w:line="240" w:lineRule="auto"/>
        <w:ind w:left="-284"/>
        <w:jc w:val="both"/>
        <w:rPr>
          <w:rFonts w:ascii="Times New Roman" w:hAnsi="Times New Roman" w:cs="Times New Roman"/>
          <w:lang w:val="en-US"/>
        </w:rPr>
      </w:pPr>
      <w:r w:rsidRPr="0010784C">
        <w:rPr>
          <w:rFonts w:ascii="Times New Roman" w:hAnsi="Times New Roman" w:cs="Times New Roman"/>
          <w:lang w:val="en-US"/>
        </w:rPr>
        <w:t>The characteristics of the reservoirs (water towers) to be built within the framework of this project are given in table 14.</w:t>
      </w:r>
    </w:p>
    <w:tbl>
      <w:tblPr>
        <w:tblW w:w="4995" w:type="pct"/>
        <w:tblInd w:w="5" w:type="dxa"/>
        <w:tblLook w:val="04A0" w:firstRow="1" w:lastRow="0" w:firstColumn="1" w:lastColumn="0" w:noHBand="0" w:noVBand="1"/>
      </w:tblPr>
      <w:tblGrid>
        <w:gridCol w:w="2826"/>
        <w:gridCol w:w="1379"/>
        <w:gridCol w:w="1532"/>
        <w:gridCol w:w="1014"/>
        <w:gridCol w:w="2310"/>
      </w:tblGrid>
      <w:tr w:rsidR="00C821BE" w:rsidRPr="003C548E" w:rsidTr="00C821BE">
        <w:trPr>
          <w:trHeight w:val="349"/>
        </w:trPr>
        <w:tc>
          <w:tcPr>
            <w:tcW w:w="5000" w:type="pct"/>
            <w:gridSpan w:val="5"/>
          </w:tcPr>
          <w:p w:rsidR="00C821BE" w:rsidRPr="0010784C" w:rsidRDefault="00C821BE" w:rsidP="00C821BE">
            <w:pPr>
              <w:jc w:val="center"/>
              <w:rPr>
                <w:rFonts w:ascii="Times New Roman" w:hAnsi="Times New Roman" w:cs="Times New Roman"/>
                <w:b/>
                <w:sz w:val="20"/>
                <w:szCs w:val="20"/>
                <w:lang w:val="en-US"/>
              </w:rPr>
            </w:pPr>
            <w:r w:rsidRPr="0010784C">
              <w:rPr>
                <w:rFonts w:ascii="Times New Roman" w:hAnsi="Times New Roman" w:cs="Times New Roman"/>
                <w:b/>
                <w:sz w:val="20"/>
                <w:szCs w:val="20"/>
                <w:lang w:val="en-US"/>
              </w:rPr>
              <w:t>Characteristics of the tanks to be produced</w:t>
            </w:r>
          </w:p>
        </w:tc>
      </w:tr>
      <w:tr w:rsidR="00C821BE" w:rsidRPr="0010784C" w:rsidTr="00C821B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Ex>
        <w:trPr>
          <w:trHeight w:val="350"/>
        </w:trPr>
        <w:tc>
          <w:tcPr>
            <w:tcW w:w="1561" w:type="pct"/>
            <w:tcBorders>
              <w:bottom w:val="single" w:sz="4" w:space="0" w:color="000000"/>
            </w:tcBorders>
            <w:shd w:val="clear" w:color="auto" w:fill="E2EFD9" w:themeFill="accent6" w:themeFillTint="33"/>
          </w:tcPr>
          <w:p w:rsidR="00C821BE" w:rsidRPr="0010784C" w:rsidRDefault="00C821BE" w:rsidP="00C821BE">
            <w:pPr>
              <w:pStyle w:val="TableParagraph"/>
              <w:spacing w:before="0" w:line="240" w:lineRule="auto"/>
              <w:ind w:left="107"/>
              <w:jc w:val="left"/>
              <w:rPr>
                <w:rFonts w:ascii="Times New Roman" w:hAnsi="Times New Roman" w:cs="Times New Roman"/>
                <w:b/>
                <w:bCs/>
                <w:sz w:val="20"/>
                <w:szCs w:val="20"/>
                <w:lang w:val="en-US"/>
              </w:rPr>
            </w:pPr>
            <w:r w:rsidRPr="0010784C">
              <w:rPr>
                <w:rFonts w:ascii="Times New Roman" w:hAnsi="Times New Roman" w:cs="Times New Roman"/>
                <w:b/>
                <w:bCs/>
                <w:sz w:val="20"/>
                <w:szCs w:val="20"/>
                <w:lang w:val="en-US"/>
              </w:rPr>
              <w:t>SITE (S</w:t>
            </w:r>
          </w:p>
        </w:tc>
        <w:tc>
          <w:tcPr>
            <w:tcW w:w="755" w:type="pct"/>
            <w:shd w:val="clear" w:color="auto" w:fill="E2EFD9" w:themeFill="accent6" w:themeFillTint="33"/>
          </w:tcPr>
          <w:p w:rsidR="00C821BE" w:rsidRPr="0010784C" w:rsidRDefault="00C821BE" w:rsidP="00C821BE">
            <w:pPr>
              <w:pStyle w:val="TableParagraph"/>
              <w:spacing w:before="0" w:line="240" w:lineRule="auto"/>
              <w:ind w:left="107"/>
              <w:jc w:val="center"/>
              <w:rPr>
                <w:rFonts w:ascii="Times New Roman" w:hAnsi="Times New Roman" w:cs="Times New Roman"/>
                <w:b/>
                <w:bCs/>
                <w:sz w:val="20"/>
                <w:szCs w:val="20"/>
                <w:lang w:val="en-US"/>
              </w:rPr>
            </w:pPr>
            <w:r w:rsidRPr="0010784C">
              <w:rPr>
                <w:rFonts w:ascii="Times New Roman" w:hAnsi="Times New Roman" w:cs="Times New Roman"/>
                <w:b/>
                <w:bCs/>
                <w:sz w:val="20"/>
                <w:szCs w:val="20"/>
                <w:lang w:val="en-US"/>
              </w:rPr>
              <w:t>CAPACITY (m3)</w:t>
            </w:r>
          </w:p>
        </w:tc>
        <w:tc>
          <w:tcPr>
            <w:tcW w:w="847" w:type="pct"/>
            <w:shd w:val="clear" w:color="auto" w:fill="E2EFD9" w:themeFill="accent6" w:themeFillTint="33"/>
          </w:tcPr>
          <w:p w:rsidR="00C821BE" w:rsidRPr="0010784C" w:rsidRDefault="00C821BE" w:rsidP="00C821BE">
            <w:pPr>
              <w:pStyle w:val="TableParagraph"/>
              <w:spacing w:before="0" w:line="240" w:lineRule="auto"/>
              <w:ind w:left="107"/>
              <w:jc w:val="center"/>
              <w:rPr>
                <w:rFonts w:ascii="Times New Roman" w:hAnsi="Times New Roman" w:cs="Times New Roman"/>
                <w:b/>
                <w:bCs/>
                <w:sz w:val="20"/>
                <w:szCs w:val="20"/>
                <w:lang w:val="en-US"/>
              </w:rPr>
            </w:pPr>
            <w:r w:rsidRPr="0010784C">
              <w:rPr>
                <w:rFonts w:ascii="Times New Roman" w:hAnsi="Times New Roman" w:cs="Times New Roman"/>
                <w:b/>
                <w:bCs/>
                <w:sz w:val="20"/>
                <w:szCs w:val="20"/>
                <w:lang w:val="en-US"/>
              </w:rPr>
              <w:t>TN COAST (m)</w:t>
            </w:r>
          </w:p>
        </w:tc>
        <w:tc>
          <w:tcPr>
            <w:tcW w:w="561" w:type="pct"/>
            <w:shd w:val="clear" w:color="auto" w:fill="E2EFD9" w:themeFill="accent6" w:themeFillTint="33"/>
          </w:tcPr>
          <w:p w:rsidR="00C821BE" w:rsidRPr="0010784C" w:rsidRDefault="00C821BE" w:rsidP="00C821BE">
            <w:pPr>
              <w:pStyle w:val="TableParagraph"/>
              <w:spacing w:before="0" w:line="240" w:lineRule="auto"/>
              <w:ind w:left="107"/>
              <w:jc w:val="center"/>
              <w:rPr>
                <w:rFonts w:ascii="Times New Roman" w:hAnsi="Times New Roman" w:cs="Times New Roman"/>
                <w:b/>
                <w:bCs/>
                <w:sz w:val="20"/>
                <w:szCs w:val="20"/>
                <w:lang w:val="en-US"/>
              </w:rPr>
            </w:pPr>
            <w:r w:rsidRPr="0010784C">
              <w:rPr>
                <w:rFonts w:ascii="Times New Roman" w:hAnsi="Times New Roman" w:cs="Times New Roman"/>
                <w:b/>
                <w:bCs/>
                <w:sz w:val="20"/>
                <w:szCs w:val="20"/>
                <w:lang w:val="en-US"/>
              </w:rPr>
              <w:t>SIDE PHE</w:t>
            </w:r>
          </w:p>
        </w:tc>
        <w:tc>
          <w:tcPr>
            <w:tcW w:w="1276" w:type="pct"/>
            <w:shd w:val="clear" w:color="auto" w:fill="E2EFD9" w:themeFill="accent6" w:themeFillTint="33"/>
          </w:tcPr>
          <w:p w:rsidR="00C821BE" w:rsidRPr="0010784C" w:rsidRDefault="00C821BE" w:rsidP="00C821BE">
            <w:pPr>
              <w:pStyle w:val="TableParagraph"/>
              <w:spacing w:before="0" w:line="240" w:lineRule="auto"/>
              <w:ind w:left="107"/>
              <w:jc w:val="center"/>
              <w:rPr>
                <w:rFonts w:ascii="Times New Roman" w:hAnsi="Times New Roman" w:cs="Times New Roman"/>
                <w:b/>
                <w:bCs/>
                <w:sz w:val="20"/>
                <w:szCs w:val="20"/>
                <w:lang w:val="en-US"/>
              </w:rPr>
            </w:pPr>
            <w:r w:rsidRPr="0010784C">
              <w:rPr>
                <w:rFonts w:ascii="Times New Roman" w:hAnsi="Times New Roman" w:cs="Times New Roman"/>
                <w:b/>
                <w:bCs/>
                <w:sz w:val="20"/>
                <w:szCs w:val="20"/>
                <w:lang w:val="en-US"/>
              </w:rPr>
              <w:t>SKIRT HEIGHT</w:t>
            </w:r>
          </w:p>
        </w:tc>
      </w:tr>
      <w:tr w:rsidR="00C821BE" w:rsidRPr="0010784C" w:rsidTr="00C821B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Ex>
        <w:trPr>
          <w:trHeight w:val="70"/>
        </w:trPr>
        <w:tc>
          <w:tcPr>
            <w:tcW w:w="1561" w:type="pct"/>
            <w:tcBorders>
              <w:right w:val="outset" w:sz="12" w:space="0" w:color="auto"/>
            </w:tcBorders>
            <w:shd w:val="clear" w:color="auto" w:fill="F2F2F2" w:themeFill="background1" w:themeFillShade="F2"/>
          </w:tcPr>
          <w:p w:rsidR="00C821BE" w:rsidRPr="0010784C" w:rsidRDefault="00C821BE" w:rsidP="00C821BE">
            <w:pPr>
              <w:pStyle w:val="TableParagraph"/>
              <w:spacing w:before="0" w:line="240" w:lineRule="auto"/>
              <w:ind w:left="108"/>
              <w:jc w:val="left"/>
              <w:rPr>
                <w:rFonts w:ascii="Times New Roman" w:hAnsi="Times New Roman" w:cs="Times New Roman"/>
                <w:sz w:val="20"/>
                <w:szCs w:val="20"/>
                <w:lang w:val="en-US"/>
              </w:rPr>
            </w:pPr>
            <w:r w:rsidRPr="0010784C">
              <w:rPr>
                <w:rFonts w:ascii="Times New Roman" w:hAnsi="Times New Roman" w:cs="Times New Roman"/>
                <w:sz w:val="20"/>
                <w:szCs w:val="20"/>
                <w:lang w:val="en-US"/>
              </w:rPr>
              <w:t>Bôr</w:t>
            </w:r>
          </w:p>
        </w:tc>
        <w:tc>
          <w:tcPr>
            <w:tcW w:w="755" w:type="pct"/>
            <w:tcBorders>
              <w:left w:val="outset" w:sz="12" w:space="0" w:color="auto"/>
            </w:tcBorders>
          </w:tcPr>
          <w:p w:rsidR="00C821BE" w:rsidRPr="0010784C" w:rsidRDefault="00C821BE" w:rsidP="00C821BE">
            <w:pPr>
              <w:pStyle w:val="TableParagraph"/>
              <w:spacing w:before="0" w:line="240" w:lineRule="auto"/>
              <w:ind w:left="108"/>
              <w:jc w:val="center"/>
              <w:rPr>
                <w:rFonts w:ascii="Times New Roman" w:hAnsi="Times New Roman" w:cs="Times New Roman"/>
                <w:sz w:val="20"/>
                <w:szCs w:val="20"/>
                <w:lang w:val="en-US"/>
              </w:rPr>
            </w:pPr>
            <w:r w:rsidRPr="0010784C">
              <w:rPr>
                <w:rFonts w:ascii="Times New Roman" w:hAnsi="Times New Roman" w:cs="Times New Roman"/>
                <w:sz w:val="20"/>
                <w:szCs w:val="20"/>
                <w:lang w:val="en-US"/>
              </w:rPr>
              <w:t>700</w:t>
            </w:r>
          </w:p>
        </w:tc>
        <w:tc>
          <w:tcPr>
            <w:tcW w:w="847" w:type="pct"/>
          </w:tcPr>
          <w:p w:rsidR="00C821BE" w:rsidRPr="0010784C" w:rsidRDefault="00C821BE" w:rsidP="00C821BE">
            <w:pPr>
              <w:pStyle w:val="TableParagraph"/>
              <w:spacing w:before="0" w:line="240" w:lineRule="auto"/>
              <w:ind w:left="107"/>
              <w:jc w:val="center"/>
              <w:rPr>
                <w:rFonts w:ascii="Times New Roman" w:hAnsi="Times New Roman" w:cs="Times New Roman"/>
                <w:sz w:val="20"/>
                <w:szCs w:val="20"/>
                <w:lang w:val="en-US"/>
              </w:rPr>
            </w:pPr>
            <w:r w:rsidRPr="0010784C">
              <w:rPr>
                <w:rFonts w:ascii="Times New Roman" w:hAnsi="Times New Roman" w:cs="Times New Roman"/>
                <w:sz w:val="20"/>
                <w:szCs w:val="20"/>
                <w:lang w:val="en-US"/>
              </w:rPr>
              <w:t>34</w:t>
            </w:r>
          </w:p>
        </w:tc>
        <w:tc>
          <w:tcPr>
            <w:tcW w:w="561" w:type="pct"/>
            <w:shd w:val="clear" w:color="auto" w:fill="auto"/>
          </w:tcPr>
          <w:p w:rsidR="00C821BE" w:rsidRPr="0010784C" w:rsidRDefault="00C821BE" w:rsidP="00C821BE">
            <w:pPr>
              <w:pStyle w:val="TableParagraph"/>
              <w:spacing w:before="0" w:line="240" w:lineRule="auto"/>
              <w:ind w:left="107"/>
              <w:jc w:val="center"/>
              <w:rPr>
                <w:rFonts w:ascii="Times New Roman" w:hAnsi="Times New Roman" w:cs="Times New Roman"/>
                <w:sz w:val="20"/>
                <w:szCs w:val="20"/>
                <w:lang w:val="en-US"/>
              </w:rPr>
            </w:pPr>
            <w:r w:rsidRPr="0010784C">
              <w:rPr>
                <w:rFonts w:ascii="Times New Roman" w:hAnsi="Times New Roman" w:cs="Times New Roman"/>
                <w:sz w:val="20"/>
                <w:szCs w:val="20"/>
                <w:lang w:val="en-US"/>
              </w:rPr>
              <w:t>± 67</w:t>
            </w:r>
          </w:p>
        </w:tc>
        <w:tc>
          <w:tcPr>
            <w:tcW w:w="1276" w:type="pct"/>
          </w:tcPr>
          <w:p w:rsidR="00C821BE" w:rsidRPr="0010784C" w:rsidRDefault="00C821BE" w:rsidP="00C821BE">
            <w:pPr>
              <w:pStyle w:val="TableParagraph"/>
              <w:spacing w:before="0" w:line="240" w:lineRule="auto"/>
              <w:ind w:left="107"/>
              <w:jc w:val="center"/>
              <w:rPr>
                <w:rFonts w:ascii="Times New Roman" w:hAnsi="Times New Roman" w:cs="Times New Roman"/>
                <w:sz w:val="20"/>
                <w:szCs w:val="20"/>
                <w:lang w:val="en-US"/>
              </w:rPr>
            </w:pPr>
            <w:r w:rsidRPr="0010784C">
              <w:rPr>
                <w:rFonts w:ascii="Times New Roman" w:hAnsi="Times New Roman" w:cs="Times New Roman"/>
                <w:sz w:val="20"/>
                <w:szCs w:val="20"/>
                <w:lang w:val="en-US"/>
              </w:rPr>
              <w:t>± 28 m</w:t>
            </w:r>
          </w:p>
        </w:tc>
      </w:tr>
      <w:tr w:rsidR="00C821BE" w:rsidRPr="0010784C" w:rsidTr="00C821B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Ex>
        <w:trPr>
          <w:trHeight w:val="289"/>
        </w:trPr>
        <w:tc>
          <w:tcPr>
            <w:tcW w:w="1561" w:type="pct"/>
            <w:tcBorders>
              <w:right w:val="outset" w:sz="12" w:space="0" w:color="auto"/>
            </w:tcBorders>
            <w:shd w:val="clear" w:color="auto" w:fill="F2F2F2" w:themeFill="background1" w:themeFillShade="F2"/>
          </w:tcPr>
          <w:p w:rsidR="00C821BE" w:rsidRPr="0010784C" w:rsidRDefault="00C821BE" w:rsidP="00C821BE">
            <w:pPr>
              <w:pStyle w:val="TableParagraph"/>
              <w:spacing w:before="0" w:line="240" w:lineRule="auto"/>
              <w:ind w:left="108"/>
              <w:jc w:val="left"/>
              <w:rPr>
                <w:rFonts w:ascii="Times New Roman" w:hAnsi="Times New Roman" w:cs="Times New Roman"/>
                <w:sz w:val="20"/>
                <w:szCs w:val="20"/>
                <w:lang w:val="en-US"/>
              </w:rPr>
            </w:pPr>
            <w:r w:rsidRPr="0010784C">
              <w:rPr>
                <w:rFonts w:ascii="Times New Roman" w:hAnsi="Times New Roman" w:cs="Times New Roman"/>
                <w:sz w:val="20"/>
                <w:szCs w:val="20"/>
                <w:lang w:val="en-US"/>
              </w:rPr>
              <w:t>Antula-Pime</w:t>
            </w:r>
          </w:p>
        </w:tc>
        <w:tc>
          <w:tcPr>
            <w:tcW w:w="755" w:type="pct"/>
            <w:tcBorders>
              <w:left w:val="outset" w:sz="12" w:space="0" w:color="auto"/>
            </w:tcBorders>
          </w:tcPr>
          <w:p w:rsidR="00C821BE" w:rsidRPr="0010784C" w:rsidRDefault="00C821BE" w:rsidP="00C821BE">
            <w:pPr>
              <w:pStyle w:val="TableParagraph"/>
              <w:spacing w:before="0" w:line="240" w:lineRule="auto"/>
              <w:ind w:left="108"/>
              <w:jc w:val="center"/>
              <w:rPr>
                <w:rFonts w:ascii="Times New Roman" w:hAnsi="Times New Roman" w:cs="Times New Roman"/>
                <w:sz w:val="20"/>
                <w:szCs w:val="20"/>
                <w:lang w:val="en-US"/>
              </w:rPr>
            </w:pPr>
            <w:r w:rsidRPr="0010784C">
              <w:rPr>
                <w:rFonts w:ascii="Times New Roman" w:hAnsi="Times New Roman" w:cs="Times New Roman"/>
                <w:sz w:val="20"/>
                <w:szCs w:val="20"/>
                <w:lang w:val="en-US"/>
              </w:rPr>
              <w:t>700</w:t>
            </w:r>
          </w:p>
        </w:tc>
        <w:tc>
          <w:tcPr>
            <w:tcW w:w="847" w:type="pct"/>
          </w:tcPr>
          <w:p w:rsidR="00C821BE" w:rsidRPr="0010784C" w:rsidRDefault="00C821BE" w:rsidP="00C821BE">
            <w:pPr>
              <w:pStyle w:val="TableParagraph"/>
              <w:spacing w:before="0" w:line="240" w:lineRule="auto"/>
              <w:ind w:left="107"/>
              <w:jc w:val="center"/>
              <w:rPr>
                <w:rFonts w:ascii="Times New Roman" w:hAnsi="Times New Roman" w:cs="Times New Roman"/>
                <w:sz w:val="20"/>
                <w:szCs w:val="20"/>
                <w:lang w:val="en-US"/>
              </w:rPr>
            </w:pPr>
            <w:r w:rsidRPr="0010784C">
              <w:rPr>
                <w:rFonts w:ascii="Times New Roman" w:hAnsi="Times New Roman" w:cs="Times New Roman"/>
                <w:sz w:val="20"/>
                <w:szCs w:val="20"/>
                <w:lang w:val="en-US"/>
              </w:rPr>
              <w:t>27.5</w:t>
            </w:r>
          </w:p>
        </w:tc>
        <w:tc>
          <w:tcPr>
            <w:tcW w:w="561" w:type="pct"/>
          </w:tcPr>
          <w:p w:rsidR="00C821BE" w:rsidRPr="0010784C" w:rsidRDefault="00C821BE" w:rsidP="00C821BE">
            <w:pPr>
              <w:pStyle w:val="TableParagraph"/>
              <w:spacing w:before="0" w:line="240" w:lineRule="auto"/>
              <w:ind w:left="107"/>
              <w:jc w:val="center"/>
              <w:rPr>
                <w:rFonts w:ascii="Times New Roman" w:hAnsi="Times New Roman" w:cs="Times New Roman"/>
                <w:sz w:val="20"/>
                <w:szCs w:val="20"/>
                <w:highlight w:val="yellow"/>
                <w:lang w:val="en-US"/>
              </w:rPr>
            </w:pPr>
            <w:r w:rsidRPr="0010784C">
              <w:rPr>
                <w:rFonts w:ascii="Times New Roman" w:hAnsi="Times New Roman" w:cs="Times New Roman"/>
                <w:sz w:val="20"/>
                <w:szCs w:val="20"/>
                <w:lang w:val="en-US"/>
              </w:rPr>
              <w:t>± 48</w:t>
            </w:r>
          </w:p>
        </w:tc>
        <w:tc>
          <w:tcPr>
            <w:tcW w:w="1276" w:type="pct"/>
          </w:tcPr>
          <w:p w:rsidR="00C821BE" w:rsidRPr="0010784C" w:rsidRDefault="00C821BE" w:rsidP="00C821BE">
            <w:pPr>
              <w:pStyle w:val="TableParagraph"/>
              <w:spacing w:before="0" w:line="240" w:lineRule="auto"/>
              <w:ind w:left="107"/>
              <w:jc w:val="center"/>
              <w:rPr>
                <w:rFonts w:ascii="Times New Roman" w:hAnsi="Times New Roman" w:cs="Times New Roman"/>
                <w:sz w:val="20"/>
                <w:szCs w:val="20"/>
                <w:highlight w:val="yellow"/>
                <w:lang w:val="en-US"/>
              </w:rPr>
            </w:pPr>
            <w:r w:rsidRPr="0010784C">
              <w:rPr>
                <w:rFonts w:ascii="Times New Roman" w:hAnsi="Times New Roman" w:cs="Times New Roman"/>
                <w:sz w:val="20"/>
                <w:szCs w:val="20"/>
                <w:lang w:val="en-US"/>
              </w:rPr>
              <w:t>± 16.5 m</w:t>
            </w:r>
          </w:p>
        </w:tc>
      </w:tr>
      <w:tr w:rsidR="00C821BE" w:rsidRPr="0010784C" w:rsidTr="00C821B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Ex>
        <w:trPr>
          <w:trHeight w:val="113"/>
        </w:trPr>
        <w:tc>
          <w:tcPr>
            <w:tcW w:w="1561" w:type="pct"/>
            <w:tcBorders>
              <w:right w:val="outset" w:sz="12" w:space="0" w:color="auto"/>
            </w:tcBorders>
            <w:shd w:val="clear" w:color="auto" w:fill="F2F2F2" w:themeFill="background1" w:themeFillShade="F2"/>
          </w:tcPr>
          <w:p w:rsidR="00C821BE" w:rsidRPr="0010784C" w:rsidRDefault="00C821BE" w:rsidP="00C821BE">
            <w:pPr>
              <w:pStyle w:val="TableParagraph"/>
              <w:spacing w:before="0" w:line="240" w:lineRule="auto"/>
              <w:ind w:left="108"/>
              <w:jc w:val="left"/>
              <w:rPr>
                <w:rFonts w:ascii="Times New Roman" w:hAnsi="Times New Roman" w:cs="Times New Roman"/>
                <w:sz w:val="20"/>
                <w:szCs w:val="20"/>
                <w:lang w:val="en-US"/>
              </w:rPr>
            </w:pPr>
            <w:r w:rsidRPr="0010784C">
              <w:rPr>
                <w:rFonts w:ascii="Times New Roman" w:hAnsi="Times New Roman" w:cs="Times New Roman"/>
                <w:sz w:val="20"/>
                <w:szCs w:val="20"/>
                <w:lang w:val="en-US"/>
              </w:rPr>
              <w:t>Safim</w:t>
            </w:r>
          </w:p>
        </w:tc>
        <w:tc>
          <w:tcPr>
            <w:tcW w:w="755" w:type="pct"/>
            <w:tcBorders>
              <w:left w:val="outset" w:sz="12" w:space="0" w:color="auto"/>
            </w:tcBorders>
          </w:tcPr>
          <w:p w:rsidR="00C821BE" w:rsidRPr="0010784C" w:rsidRDefault="00C821BE" w:rsidP="00C821BE">
            <w:pPr>
              <w:pStyle w:val="TableParagraph"/>
              <w:spacing w:before="0" w:line="240" w:lineRule="auto"/>
              <w:ind w:left="108"/>
              <w:jc w:val="center"/>
              <w:rPr>
                <w:rFonts w:ascii="Times New Roman" w:hAnsi="Times New Roman" w:cs="Times New Roman"/>
                <w:sz w:val="20"/>
                <w:szCs w:val="20"/>
                <w:lang w:val="en-US"/>
              </w:rPr>
            </w:pPr>
            <w:r w:rsidRPr="0010784C">
              <w:rPr>
                <w:rFonts w:ascii="Times New Roman" w:hAnsi="Times New Roman" w:cs="Times New Roman"/>
                <w:sz w:val="20"/>
                <w:szCs w:val="20"/>
                <w:lang w:val="en-US"/>
              </w:rPr>
              <w:t>350</w:t>
            </w:r>
          </w:p>
        </w:tc>
        <w:tc>
          <w:tcPr>
            <w:tcW w:w="847" w:type="pct"/>
          </w:tcPr>
          <w:p w:rsidR="00C821BE" w:rsidRPr="0010784C" w:rsidRDefault="00C821BE" w:rsidP="00C821BE">
            <w:pPr>
              <w:pStyle w:val="TableParagraph"/>
              <w:spacing w:before="0" w:line="240" w:lineRule="auto"/>
              <w:ind w:left="107"/>
              <w:jc w:val="center"/>
              <w:rPr>
                <w:rFonts w:ascii="Times New Roman" w:hAnsi="Times New Roman" w:cs="Times New Roman"/>
                <w:sz w:val="20"/>
                <w:szCs w:val="20"/>
                <w:lang w:val="en-US"/>
              </w:rPr>
            </w:pPr>
            <w:r w:rsidRPr="0010784C">
              <w:rPr>
                <w:rFonts w:ascii="Times New Roman" w:hAnsi="Times New Roman" w:cs="Times New Roman"/>
                <w:sz w:val="20"/>
                <w:szCs w:val="20"/>
                <w:lang w:val="en-US"/>
              </w:rPr>
              <w:t>23.5 (*)</w:t>
            </w:r>
          </w:p>
        </w:tc>
        <w:tc>
          <w:tcPr>
            <w:tcW w:w="561" w:type="pct"/>
          </w:tcPr>
          <w:p w:rsidR="00C821BE" w:rsidRPr="0010784C" w:rsidRDefault="00C821BE" w:rsidP="00C821BE">
            <w:pPr>
              <w:pStyle w:val="TableParagraph"/>
              <w:spacing w:before="0" w:line="240" w:lineRule="auto"/>
              <w:ind w:left="107"/>
              <w:jc w:val="center"/>
              <w:rPr>
                <w:rFonts w:ascii="Times New Roman" w:hAnsi="Times New Roman" w:cs="Times New Roman"/>
                <w:sz w:val="20"/>
                <w:szCs w:val="20"/>
                <w:highlight w:val="yellow"/>
                <w:lang w:val="en-US"/>
              </w:rPr>
            </w:pPr>
            <w:r w:rsidRPr="0010784C">
              <w:rPr>
                <w:rFonts w:ascii="Times New Roman" w:hAnsi="Times New Roman" w:cs="Times New Roman"/>
                <w:sz w:val="20"/>
                <w:szCs w:val="20"/>
                <w:lang w:val="en-US"/>
              </w:rPr>
              <w:t>± 44</w:t>
            </w:r>
          </w:p>
        </w:tc>
        <w:tc>
          <w:tcPr>
            <w:tcW w:w="1276" w:type="pct"/>
          </w:tcPr>
          <w:p w:rsidR="00C821BE" w:rsidRPr="0010784C" w:rsidRDefault="00C821BE" w:rsidP="00C821BE">
            <w:pPr>
              <w:pStyle w:val="TableParagraph"/>
              <w:spacing w:before="0" w:line="240" w:lineRule="auto"/>
              <w:ind w:left="107"/>
              <w:jc w:val="center"/>
              <w:rPr>
                <w:rFonts w:ascii="Times New Roman" w:hAnsi="Times New Roman" w:cs="Times New Roman"/>
                <w:sz w:val="20"/>
                <w:szCs w:val="20"/>
                <w:highlight w:val="yellow"/>
                <w:lang w:val="en-US"/>
              </w:rPr>
            </w:pPr>
            <w:r w:rsidRPr="0010784C">
              <w:rPr>
                <w:rFonts w:ascii="Times New Roman" w:hAnsi="Times New Roman" w:cs="Times New Roman"/>
                <w:sz w:val="20"/>
                <w:szCs w:val="20"/>
                <w:lang w:val="en-US"/>
              </w:rPr>
              <w:t>± 15.5 m (**)</w:t>
            </w:r>
          </w:p>
        </w:tc>
      </w:tr>
      <w:tr w:rsidR="00C821BE" w:rsidRPr="0010784C" w:rsidTr="00C821B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Ex>
        <w:trPr>
          <w:trHeight w:val="70"/>
        </w:trPr>
        <w:tc>
          <w:tcPr>
            <w:tcW w:w="1561" w:type="pct"/>
            <w:tcBorders>
              <w:right w:val="outset" w:sz="12" w:space="0" w:color="auto"/>
            </w:tcBorders>
            <w:shd w:val="clear" w:color="auto" w:fill="F2F2F2" w:themeFill="background1" w:themeFillShade="F2"/>
          </w:tcPr>
          <w:p w:rsidR="00C821BE" w:rsidRPr="0010784C" w:rsidRDefault="00C821BE" w:rsidP="00C821BE">
            <w:pPr>
              <w:pStyle w:val="TableParagraph"/>
              <w:spacing w:before="0" w:line="240" w:lineRule="auto"/>
              <w:ind w:left="108"/>
              <w:jc w:val="left"/>
              <w:rPr>
                <w:rFonts w:ascii="Times New Roman" w:hAnsi="Times New Roman" w:cs="Times New Roman"/>
                <w:sz w:val="20"/>
                <w:szCs w:val="20"/>
                <w:lang w:val="en-US"/>
              </w:rPr>
            </w:pPr>
            <w:r w:rsidRPr="0010784C">
              <w:rPr>
                <w:rFonts w:ascii="Times New Roman" w:hAnsi="Times New Roman" w:cs="Times New Roman"/>
                <w:sz w:val="20"/>
                <w:szCs w:val="20"/>
                <w:lang w:val="en-US"/>
              </w:rPr>
              <w:lastRenderedPageBreak/>
              <w:t>Prábis</w:t>
            </w:r>
          </w:p>
        </w:tc>
        <w:tc>
          <w:tcPr>
            <w:tcW w:w="755" w:type="pct"/>
            <w:tcBorders>
              <w:left w:val="outset" w:sz="12" w:space="0" w:color="auto"/>
            </w:tcBorders>
          </w:tcPr>
          <w:p w:rsidR="00C821BE" w:rsidRPr="0010784C" w:rsidRDefault="00C821BE" w:rsidP="00C821BE">
            <w:pPr>
              <w:pStyle w:val="TableParagraph"/>
              <w:spacing w:before="0" w:line="240" w:lineRule="auto"/>
              <w:ind w:left="108"/>
              <w:jc w:val="center"/>
              <w:rPr>
                <w:rFonts w:ascii="Times New Roman" w:hAnsi="Times New Roman" w:cs="Times New Roman"/>
                <w:sz w:val="20"/>
                <w:szCs w:val="20"/>
                <w:lang w:val="en-US"/>
              </w:rPr>
            </w:pPr>
            <w:r w:rsidRPr="0010784C">
              <w:rPr>
                <w:rFonts w:ascii="Times New Roman" w:hAnsi="Times New Roman" w:cs="Times New Roman"/>
                <w:sz w:val="20"/>
                <w:szCs w:val="20"/>
                <w:lang w:val="en-US"/>
              </w:rPr>
              <w:t>100</w:t>
            </w:r>
          </w:p>
        </w:tc>
        <w:tc>
          <w:tcPr>
            <w:tcW w:w="847" w:type="pct"/>
          </w:tcPr>
          <w:p w:rsidR="00C821BE" w:rsidRPr="0010784C" w:rsidRDefault="00C821BE" w:rsidP="00C821BE">
            <w:pPr>
              <w:pStyle w:val="TableParagraph"/>
              <w:spacing w:before="0" w:line="240" w:lineRule="auto"/>
              <w:ind w:left="107"/>
              <w:jc w:val="center"/>
              <w:rPr>
                <w:rFonts w:ascii="Times New Roman" w:hAnsi="Times New Roman" w:cs="Times New Roman"/>
                <w:sz w:val="20"/>
                <w:szCs w:val="20"/>
                <w:lang w:val="en-US"/>
              </w:rPr>
            </w:pPr>
            <w:r w:rsidRPr="0010784C">
              <w:rPr>
                <w:rFonts w:ascii="Times New Roman" w:hAnsi="Times New Roman" w:cs="Times New Roman"/>
                <w:sz w:val="20"/>
                <w:szCs w:val="20"/>
                <w:lang w:val="en-US"/>
              </w:rPr>
              <w:t>13.5</w:t>
            </w:r>
          </w:p>
        </w:tc>
        <w:tc>
          <w:tcPr>
            <w:tcW w:w="561" w:type="pct"/>
          </w:tcPr>
          <w:p w:rsidR="00C821BE" w:rsidRPr="0010784C" w:rsidRDefault="00C821BE" w:rsidP="00C821BE">
            <w:pPr>
              <w:pStyle w:val="TableParagraph"/>
              <w:spacing w:before="0" w:line="240" w:lineRule="auto"/>
              <w:ind w:left="107"/>
              <w:jc w:val="center"/>
              <w:rPr>
                <w:rFonts w:ascii="Times New Roman" w:hAnsi="Times New Roman" w:cs="Times New Roman"/>
                <w:sz w:val="20"/>
                <w:szCs w:val="20"/>
                <w:highlight w:val="yellow"/>
                <w:lang w:val="en-US"/>
              </w:rPr>
            </w:pPr>
            <w:r w:rsidRPr="0010784C">
              <w:rPr>
                <w:rFonts w:ascii="Times New Roman" w:hAnsi="Times New Roman" w:cs="Times New Roman"/>
                <w:sz w:val="20"/>
                <w:szCs w:val="20"/>
                <w:lang w:val="en-US"/>
              </w:rPr>
              <w:t>± 30</w:t>
            </w:r>
          </w:p>
        </w:tc>
        <w:tc>
          <w:tcPr>
            <w:tcW w:w="1276" w:type="pct"/>
          </w:tcPr>
          <w:p w:rsidR="00C821BE" w:rsidRPr="0010784C" w:rsidRDefault="00C821BE" w:rsidP="00C821BE">
            <w:pPr>
              <w:pStyle w:val="TableParagraph"/>
              <w:spacing w:before="0" w:line="240" w:lineRule="auto"/>
              <w:ind w:left="107"/>
              <w:jc w:val="center"/>
              <w:rPr>
                <w:rFonts w:ascii="Times New Roman" w:hAnsi="Times New Roman" w:cs="Times New Roman"/>
                <w:sz w:val="20"/>
                <w:szCs w:val="20"/>
                <w:highlight w:val="yellow"/>
                <w:lang w:val="en-US"/>
              </w:rPr>
            </w:pPr>
            <w:r w:rsidRPr="0010784C">
              <w:rPr>
                <w:rFonts w:ascii="Times New Roman" w:hAnsi="Times New Roman" w:cs="Times New Roman"/>
                <w:sz w:val="20"/>
                <w:szCs w:val="20"/>
                <w:lang w:val="en-US"/>
              </w:rPr>
              <w:t>± 14 m</w:t>
            </w:r>
          </w:p>
        </w:tc>
      </w:tr>
    </w:tbl>
    <w:p w:rsidR="00C821BE" w:rsidRPr="0010784C" w:rsidRDefault="00C821BE" w:rsidP="00C821BE">
      <w:pPr>
        <w:spacing w:line="240" w:lineRule="auto"/>
        <w:ind w:left="79" w:right="62"/>
        <w:contextualSpacing/>
        <w:jc w:val="both"/>
        <w:rPr>
          <w:rFonts w:ascii="Times New Roman" w:hAnsi="Times New Roman" w:cs="Times New Roman"/>
          <w:sz w:val="24"/>
          <w:szCs w:val="24"/>
          <w:lang w:val="en-US"/>
        </w:rPr>
      </w:pPr>
      <w:r w:rsidRPr="0010784C">
        <w:rPr>
          <w:rFonts w:ascii="Times New Roman" w:hAnsi="Times New Roman" w:cs="Times New Roman"/>
          <w:sz w:val="24"/>
          <w:szCs w:val="24"/>
          <w:lang w:val="en-US"/>
        </w:rPr>
        <w:t>(*): or 17 m, in case the location R1 is adopted.</w:t>
      </w:r>
    </w:p>
    <w:p w:rsidR="00C821BE" w:rsidRPr="0010784C" w:rsidRDefault="00C821BE" w:rsidP="00C821BE">
      <w:pPr>
        <w:spacing w:line="240" w:lineRule="auto"/>
        <w:ind w:left="79" w:right="62"/>
        <w:contextualSpacing/>
        <w:jc w:val="both"/>
        <w:rPr>
          <w:rFonts w:ascii="Times New Roman" w:hAnsi="Times New Roman" w:cs="Times New Roman"/>
          <w:sz w:val="24"/>
          <w:szCs w:val="24"/>
          <w:lang w:val="en-US"/>
        </w:rPr>
      </w:pPr>
      <w:r w:rsidRPr="0010784C">
        <w:rPr>
          <w:rFonts w:ascii="Times New Roman" w:hAnsi="Times New Roman" w:cs="Times New Roman"/>
          <w:sz w:val="24"/>
          <w:szCs w:val="24"/>
          <w:lang w:val="en-US"/>
        </w:rPr>
        <w:t>(**): or 22 m in case the location R1 is adopted</w:t>
      </w:r>
    </w:p>
    <w:p w:rsidR="00C821BE" w:rsidRPr="0010784C" w:rsidRDefault="00C821BE" w:rsidP="00C821BE">
      <w:pPr>
        <w:spacing w:line="240" w:lineRule="auto"/>
        <w:ind w:left="79" w:right="62"/>
        <w:contextualSpacing/>
        <w:jc w:val="both"/>
        <w:rPr>
          <w:rFonts w:ascii="Times New Roman" w:hAnsi="Times New Roman" w:cs="Times New Roman"/>
          <w:sz w:val="24"/>
          <w:szCs w:val="24"/>
          <w:lang w:val="en-US"/>
        </w:rPr>
      </w:pPr>
      <w:r w:rsidRPr="0010784C">
        <w:rPr>
          <w:rFonts w:ascii="Times New Roman" w:hAnsi="Times New Roman" w:cs="Times New Roman"/>
          <w:sz w:val="24"/>
          <w:szCs w:val="24"/>
          <w:lang w:val="en-US"/>
        </w:rPr>
        <w:t>(***): or 300 m3, in case of budget limitation, to be decided by the MO.</w:t>
      </w:r>
    </w:p>
    <w:p w:rsidR="00C821BE" w:rsidRPr="0010784C" w:rsidRDefault="00C821BE" w:rsidP="00C821BE">
      <w:pPr>
        <w:pStyle w:val="PargrafodaLista"/>
        <w:numPr>
          <w:ilvl w:val="0"/>
          <w:numId w:val="245"/>
        </w:numPr>
        <w:tabs>
          <w:tab w:val="left" w:pos="1418"/>
          <w:tab w:val="left" w:pos="1843"/>
        </w:tabs>
        <w:spacing w:after="240" w:line="240" w:lineRule="auto"/>
        <w:ind w:right="-283"/>
        <w:contextualSpacing w:val="0"/>
        <w:rPr>
          <w:rFonts w:ascii="Times New Roman" w:hAnsi="Times New Roman"/>
          <w:b/>
          <w:bCs/>
          <w:i/>
          <w:sz w:val="22"/>
          <w:szCs w:val="22"/>
          <w:lang w:val="en-US"/>
        </w:rPr>
      </w:pPr>
      <w:r w:rsidRPr="0010784C">
        <w:rPr>
          <w:rFonts w:ascii="Times New Roman" w:hAnsi="Times New Roman"/>
          <w:b/>
          <w:bCs/>
          <w:i/>
          <w:sz w:val="22"/>
          <w:szCs w:val="22"/>
          <w:lang w:val="en-US"/>
        </w:rPr>
        <w:t>LEGAL AND INSTITUTIONAL POLICY FRAMEWORK</w:t>
      </w:r>
    </w:p>
    <w:p w:rsidR="00C821BE" w:rsidRPr="0010784C" w:rsidRDefault="00C821BE" w:rsidP="00C821BE">
      <w:pPr>
        <w:spacing w:after="120" w:line="240" w:lineRule="auto"/>
        <w:ind w:left="-284" w:right="-853"/>
        <w:jc w:val="both"/>
        <w:rPr>
          <w:rFonts w:ascii="Times New Roman" w:hAnsi="Times New Roman" w:cs="Times New Roman"/>
          <w:bCs/>
          <w:lang w:val="en-US"/>
        </w:rPr>
      </w:pPr>
      <w:r w:rsidRPr="0010784C">
        <w:rPr>
          <w:rFonts w:ascii="Times New Roman" w:hAnsi="Times New Roman" w:cs="Times New Roman"/>
          <w:bCs/>
          <w:lang w:val="en-US"/>
        </w:rPr>
        <w:t>The political, legal and institutional framework of Guinea Bissau has been revisited to bring out the sectoral policies, environmental and social strategies, national plans, biodiversity conservation plans, national strategies for protected areas, plans adaptation to climate change, Water and Electricity Sector Policy Declaration, Environmental and Social Policies and Strategies etc.</w:t>
      </w:r>
    </w:p>
    <w:p w:rsidR="00C821BE" w:rsidRPr="0010784C" w:rsidRDefault="00C821BE" w:rsidP="00C821BE">
      <w:pPr>
        <w:spacing w:after="120" w:line="240" w:lineRule="auto"/>
        <w:ind w:left="-284" w:right="-853"/>
        <w:jc w:val="both"/>
        <w:rPr>
          <w:rFonts w:ascii="Times New Roman" w:hAnsi="Times New Roman" w:cs="Times New Roman"/>
          <w:bCs/>
          <w:lang w:val="en-US"/>
        </w:rPr>
      </w:pPr>
      <w:r w:rsidRPr="0010784C">
        <w:rPr>
          <w:rFonts w:ascii="Times New Roman" w:hAnsi="Times New Roman" w:cs="Times New Roman"/>
          <w:bCs/>
          <w:lang w:val="en-US"/>
        </w:rPr>
        <w:t>At the national level, we have used the sectoral policy declaration document in the field of energy sub-sectors.</w:t>
      </w:r>
    </w:p>
    <w:p w:rsidR="00C821BE" w:rsidRPr="0010784C" w:rsidRDefault="00C821BE" w:rsidP="00C821BE">
      <w:pPr>
        <w:pStyle w:val="PargrafodaLista"/>
        <w:numPr>
          <w:ilvl w:val="0"/>
          <w:numId w:val="246"/>
        </w:numPr>
        <w:spacing w:after="0" w:line="240" w:lineRule="auto"/>
        <w:ind w:left="426"/>
        <w:contextualSpacing w:val="0"/>
        <w:rPr>
          <w:rFonts w:ascii="Times New Roman" w:hAnsi="Times New Roman"/>
          <w:lang w:val="en-US"/>
        </w:rPr>
      </w:pPr>
      <w:r w:rsidRPr="0010784C">
        <w:rPr>
          <w:rFonts w:ascii="Times New Roman" w:hAnsi="Times New Roman"/>
          <w:b/>
          <w:bCs/>
          <w:lang w:val="en-US"/>
        </w:rPr>
        <w:t xml:space="preserve">Water sector policy statement </w:t>
      </w:r>
    </w:p>
    <w:p w:rsidR="00C821BE" w:rsidRPr="0010784C" w:rsidRDefault="00C821BE" w:rsidP="00C821BE">
      <w:pPr>
        <w:pStyle w:val="PargrafodaLista"/>
        <w:numPr>
          <w:ilvl w:val="1"/>
          <w:numId w:val="246"/>
        </w:numPr>
        <w:spacing w:after="0" w:line="240" w:lineRule="auto"/>
        <w:ind w:left="851" w:hanging="447"/>
        <w:contextualSpacing w:val="0"/>
        <w:rPr>
          <w:rFonts w:ascii="Times New Roman" w:hAnsi="Times New Roman"/>
          <w:bCs/>
          <w:lang w:val="en-US"/>
        </w:rPr>
      </w:pPr>
      <w:r w:rsidRPr="0010784C">
        <w:rPr>
          <w:rFonts w:ascii="Times New Roman" w:hAnsi="Times New Roman"/>
          <w:bCs/>
          <w:lang w:val="en-US"/>
        </w:rPr>
        <w:t>Water and sanitation master plan in Guinea Bissau</w:t>
      </w:r>
    </w:p>
    <w:p w:rsidR="00C821BE" w:rsidRPr="0010784C" w:rsidRDefault="00C821BE" w:rsidP="00C821BE">
      <w:pPr>
        <w:pStyle w:val="PargrafodaLista"/>
        <w:numPr>
          <w:ilvl w:val="0"/>
          <w:numId w:val="246"/>
        </w:numPr>
        <w:spacing w:after="0" w:line="240" w:lineRule="auto"/>
        <w:ind w:left="426"/>
        <w:contextualSpacing w:val="0"/>
        <w:rPr>
          <w:rFonts w:ascii="Times New Roman" w:hAnsi="Times New Roman"/>
          <w:b/>
          <w:bCs/>
          <w:lang w:val="en-US"/>
        </w:rPr>
      </w:pPr>
      <w:r w:rsidRPr="0010784C">
        <w:rPr>
          <w:rFonts w:ascii="Times New Roman" w:hAnsi="Times New Roman"/>
          <w:b/>
          <w:bCs/>
          <w:lang w:val="en-US"/>
        </w:rPr>
        <w:t>Environmental and Social Policy and Strategy Documents</w:t>
      </w:r>
    </w:p>
    <w:p w:rsidR="00C821BE" w:rsidRPr="0010784C" w:rsidRDefault="00C821BE" w:rsidP="00C821BE">
      <w:pPr>
        <w:pStyle w:val="PargrafodaLista"/>
        <w:numPr>
          <w:ilvl w:val="1"/>
          <w:numId w:val="246"/>
        </w:numPr>
        <w:spacing w:after="0" w:line="240" w:lineRule="auto"/>
        <w:ind w:left="851" w:hanging="447"/>
        <w:contextualSpacing w:val="0"/>
        <w:rPr>
          <w:rFonts w:ascii="Times New Roman" w:hAnsi="Times New Roman"/>
          <w:bCs/>
          <w:lang w:val="en-US"/>
        </w:rPr>
      </w:pPr>
      <w:r w:rsidRPr="0010784C">
        <w:rPr>
          <w:rFonts w:ascii="Times New Roman" w:hAnsi="Times New Roman"/>
          <w:bCs/>
          <w:lang w:val="en-US"/>
        </w:rPr>
        <w:t>The national environmental management plan (PNGE)</w:t>
      </w:r>
    </w:p>
    <w:p w:rsidR="00C821BE" w:rsidRPr="0010784C" w:rsidRDefault="00C821BE" w:rsidP="00C821BE">
      <w:pPr>
        <w:pStyle w:val="PargrafodaLista"/>
        <w:numPr>
          <w:ilvl w:val="1"/>
          <w:numId w:val="246"/>
        </w:numPr>
        <w:spacing w:after="0" w:line="240" w:lineRule="auto"/>
        <w:ind w:left="851" w:hanging="447"/>
        <w:contextualSpacing w:val="0"/>
        <w:rPr>
          <w:rFonts w:ascii="Times New Roman" w:hAnsi="Times New Roman"/>
          <w:bCs/>
          <w:lang w:val="en-US"/>
        </w:rPr>
      </w:pPr>
      <w:r w:rsidRPr="0010784C">
        <w:rPr>
          <w:rFonts w:ascii="Times New Roman" w:hAnsi="Times New Roman"/>
          <w:bCs/>
          <w:lang w:val="en-US"/>
        </w:rPr>
        <w:t>The National Strategy and the Action Plan for the Conservation of Biological Diversity</w:t>
      </w:r>
    </w:p>
    <w:p w:rsidR="00C821BE" w:rsidRPr="0010784C" w:rsidRDefault="00C821BE" w:rsidP="00C821BE">
      <w:pPr>
        <w:pStyle w:val="PargrafodaLista"/>
        <w:numPr>
          <w:ilvl w:val="1"/>
          <w:numId w:val="246"/>
        </w:numPr>
        <w:spacing w:after="0" w:line="240" w:lineRule="auto"/>
        <w:ind w:left="851" w:hanging="447"/>
        <w:contextualSpacing w:val="0"/>
        <w:rPr>
          <w:rFonts w:ascii="Times New Roman" w:hAnsi="Times New Roman"/>
          <w:bCs/>
          <w:lang w:val="en-US"/>
        </w:rPr>
      </w:pPr>
      <w:r w:rsidRPr="0010784C">
        <w:rPr>
          <w:rFonts w:ascii="Times New Roman" w:hAnsi="Times New Roman"/>
          <w:bCs/>
          <w:lang w:val="en-US"/>
        </w:rPr>
        <w:t>The action plan for the conservation of biological diversity</w:t>
      </w:r>
    </w:p>
    <w:p w:rsidR="00C821BE" w:rsidRPr="0010784C" w:rsidRDefault="00C821BE" w:rsidP="00C821BE">
      <w:pPr>
        <w:pStyle w:val="PargrafodaLista"/>
        <w:numPr>
          <w:ilvl w:val="1"/>
          <w:numId w:val="246"/>
        </w:numPr>
        <w:spacing w:after="0" w:line="240" w:lineRule="auto"/>
        <w:ind w:left="851" w:hanging="447"/>
        <w:contextualSpacing w:val="0"/>
        <w:rPr>
          <w:rFonts w:ascii="Times New Roman" w:hAnsi="Times New Roman"/>
          <w:bCs/>
          <w:lang w:val="en-US"/>
        </w:rPr>
      </w:pPr>
      <w:r w:rsidRPr="0010784C">
        <w:rPr>
          <w:rFonts w:ascii="Times New Roman" w:hAnsi="Times New Roman"/>
          <w:bCs/>
          <w:lang w:val="en-US"/>
        </w:rPr>
        <w:t>The National Plan for Adaptation to Climate Change (NAPA)</w:t>
      </w:r>
    </w:p>
    <w:p w:rsidR="00C821BE" w:rsidRPr="0010784C" w:rsidRDefault="00C821BE" w:rsidP="00C821BE">
      <w:pPr>
        <w:pStyle w:val="PargrafodaLista"/>
        <w:numPr>
          <w:ilvl w:val="1"/>
          <w:numId w:val="246"/>
        </w:numPr>
        <w:spacing w:after="0" w:line="240" w:lineRule="auto"/>
        <w:ind w:left="851" w:hanging="447"/>
        <w:contextualSpacing w:val="0"/>
        <w:rPr>
          <w:rFonts w:ascii="Times New Roman" w:hAnsi="Times New Roman"/>
          <w:bCs/>
          <w:lang w:val="en-US"/>
        </w:rPr>
      </w:pPr>
      <w:r w:rsidRPr="0010784C">
        <w:rPr>
          <w:rFonts w:ascii="Times New Roman" w:hAnsi="Times New Roman"/>
          <w:bCs/>
          <w:lang w:val="en-US"/>
        </w:rPr>
        <w:t>National Strategy Document for Poverty Reduction (DENARP II)</w:t>
      </w:r>
    </w:p>
    <w:p w:rsidR="00C821BE" w:rsidRPr="0010784C" w:rsidRDefault="00C821BE" w:rsidP="00C821BE">
      <w:pPr>
        <w:pStyle w:val="PargrafodaLista"/>
        <w:numPr>
          <w:ilvl w:val="1"/>
          <w:numId w:val="246"/>
        </w:numPr>
        <w:spacing w:after="0" w:line="240" w:lineRule="auto"/>
        <w:ind w:left="851" w:hanging="447"/>
        <w:contextualSpacing w:val="0"/>
        <w:rPr>
          <w:rFonts w:ascii="Times New Roman" w:hAnsi="Times New Roman"/>
          <w:bCs/>
          <w:lang w:val="en-US"/>
        </w:rPr>
      </w:pPr>
      <w:r w:rsidRPr="0010784C">
        <w:rPr>
          <w:rFonts w:ascii="Times New Roman" w:hAnsi="Times New Roman"/>
          <w:bCs/>
          <w:lang w:val="en-US"/>
        </w:rPr>
        <w:t>The National Health Development Plan (PNDS II)</w:t>
      </w:r>
    </w:p>
    <w:p w:rsidR="00C821BE" w:rsidRPr="0010784C" w:rsidRDefault="00C821BE" w:rsidP="00C821BE">
      <w:pPr>
        <w:spacing w:after="0" w:line="276" w:lineRule="auto"/>
        <w:ind w:left="720" w:right="-283"/>
        <w:jc w:val="both"/>
        <w:rPr>
          <w:rFonts w:ascii="Times New Roman" w:hAnsi="Times New Roman"/>
          <w:sz w:val="20"/>
          <w:szCs w:val="20"/>
          <w:lang w:val="en-US"/>
        </w:rPr>
      </w:pPr>
    </w:p>
    <w:p w:rsidR="00C821BE" w:rsidRPr="0010784C" w:rsidRDefault="00C821BE" w:rsidP="00C821BE">
      <w:pPr>
        <w:spacing w:after="120" w:line="240" w:lineRule="auto"/>
        <w:ind w:left="-284" w:right="-853"/>
        <w:jc w:val="both"/>
        <w:rPr>
          <w:rFonts w:ascii="Times New Roman" w:hAnsi="Times New Roman" w:cs="Times New Roman"/>
          <w:bCs/>
          <w:lang w:val="en-US"/>
        </w:rPr>
      </w:pPr>
      <w:r w:rsidRPr="0010784C">
        <w:rPr>
          <w:rFonts w:ascii="Times New Roman" w:hAnsi="Times New Roman" w:cs="Times New Roman"/>
          <w:bCs/>
          <w:lang w:val="en-US"/>
        </w:rPr>
        <w:t>The relevant national and international texts, conventions, as well as the World Bank's safeguard policies were called upon during this study to determine those which are applicable within the framework of this sub-project n ° 2.</w:t>
      </w:r>
    </w:p>
    <w:p w:rsidR="00C821BE" w:rsidRPr="0010784C" w:rsidRDefault="00C821BE" w:rsidP="00C821BE">
      <w:pPr>
        <w:spacing w:after="120" w:line="240" w:lineRule="auto"/>
        <w:ind w:left="-284" w:right="-853"/>
        <w:jc w:val="both"/>
        <w:rPr>
          <w:rFonts w:ascii="Times New Roman" w:hAnsi="Times New Roman" w:cs="Times New Roman"/>
          <w:bCs/>
          <w:lang w:val="en-US"/>
        </w:rPr>
      </w:pPr>
      <w:r w:rsidRPr="0010784C">
        <w:rPr>
          <w:rFonts w:ascii="Times New Roman" w:hAnsi="Times New Roman" w:cs="Times New Roman"/>
          <w:bCs/>
          <w:lang w:val="en-US"/>
        </w:rPr>
        <w:t>Guinea Bissau's legal framework for the environment concerns basic law n ° 1/2011 on the environment and law n ° 10/2010 on environmental assessment. Specifically for environmental impact studies, the application decree is in the process of being finalized. Law n ° 2/98 of April 28 on land is also a relevant text in the context of the implementation of sub-project n ° 2 of PUASEE-FA.</w:t>
      </w:r>
    </w:p>
    <w:p w:rsidR="00C821BE" w:rsidRPr="0010784C" w:rsidRDefault="00C821BE" w:rsidP="00C821BE">
      <w:pPr>
        <w:spacing w:after="120" w:line="240" w:lineRule="auto"/>
        <w:ind w:left="-284" w:right="-853"/>
        <w:jc w:val="both"/>
        <w:rPr>
          <w:rFonts w:ascii="Times New Roman" w:hAnsi="Times New Roman" w:cs="Times New Roman"/>
          <w:bCs/>
          <w:lang w:val="en-US"/>
        </w:rPr>
      </w:pPr>
      <w:r w:rsidRPr="0010784C">
        <w:rPr>
          <w:rFonts w:ascii="Times New Roman" w:hAnsi="Times New Roman" w:cs="Times New Roman"/>
          <w:bCs/>
          <w:lang w:val="en-US"/>
        </w:rPr>
        <w:t>The standards and regulatory provisions on waste management in general and in particular hazardous waste (used oils, and other faulty equipment) from water supply activities are not regulated in Guinea Bissau. Several other provisions on the quality of environmental components are not regulated, for monitoring the quality of drinking water, the WHO standards are those applied.</w:t>
      </w:r>
    </w:p>
    <w:p w:rsidR="00C821BE" w:rsidRPr="0010784C" w:rsidRDefault="00C821BE" w:rsidP="00C821BE">
      <w:pPr>
        <w:spacing w:after="120" w:line="240" w:lineRule="auto"/>
        <w:ind w:left="-284" w:right="-853"/>
        <w:jc w:val="both"/>
        <w:rPr>
          <w:rFonts w:ascii="Times New Roman" w:hAnsi="Times New Roman" w:cs="Times New Roman"/>
          <w:bCs/>
          <w:lang w:val="en-US"/>
        </w:rPr>
      </w:pPr>
      <w:r w:rsidRPr="0010784C">
        <w:rPr>
          <w:rFonts w:ascii="Times New Roman" w:hAnsi="Times New Roman" w:cs="Times New Roman"/>
          <w:bCs/>
          <w:lang w:val="en-US"/>
        </w:rPr>
        <w:t>The supervisory authority in Guinea Bissau for the production, transport and distribution of electricity and water is the Company of Electricity, Water of Guinea Bissau. But the EAGB works in close collaboration with the Ministry of Energy and Industry, then the Ministry of Natural Resources through respectively the General Directorate of Energy to obtain the various authorizations for the installation of its electricity production, transport and distribution infrastructure. Their respective roles are described in the body of the document.</w:t>
      </w:r>
    </w:p>
    <w:p w:rsidR="00C821BE" w:rsidRPr="0010784C" w:rsidRDefault="00C821BE" w:rsidP="00C821BE">
      <w:pPr>
        <w:pStyle w:val="PargrafodaLista"/>
        <w:numPr>
          <w:ilvl w:val="0"/>
          <w:numId w:val="245"/>
        </w:numPr>
        <w:tabs>
          <w:tab w:val="left" w:pos="1418"/>
          <w:tab w:val="left" w:pos="1843"/>
        </w:tabs>
        <w:spacing w:after="240" w:line="240" w:lineRule="auto"/>
        <w:ind w:right="-283"/>
        <w:contextualSpacing w:val="0"/>
        <w:rPr>
          <w:rFonts w:ascii="Times New Roman" w:hAnsi="Times New Roman"/>
          <w:b/>
          <w:bCs/>
          <w:i/>
          <w:sz w:val="22"/>
          <w:szCs w:val="22"/>
          <w:lang w:val="en-US"/>
        </w:rPr>
      </w:pPr>
      <w:r w:rsidRPr="0010784C">
        <w:rPr>
          <w:rFonts w:ascii="Times New Roman" w:hAnsi="Times New Roman"/>
          <w:b/>
          <w:bCs/>
          <w:i/>
          <w:sz w:val="22"/>
          <w:szCs w:val="22"/>
          <w:lang w:val="en-US"/>
        </w:rPr>
        <w:t xml:space="preserve">REASONS FOR CHOICES AND ANALYSIS OF ALTERNATIVES </w:t>
      </w:r>
    </w:p>
    <w:p w:rsidR="00C821BE" w:rsidRPr="0010784C" w:rsidRDefault="00C821BE" w:rsidP="00C821BE">
      <w:pPr>
        <w:spacing w:after="120" w:line="240" w:lineRule="auto"/>
        <w:ind w:left="-284" w:right="-853"/>
        <w:jc w:val="both"/>
        <w:rPr>
          <w:rFonts w:ascii="Times New Roman" w:hAnsi="Times New Roman" w:cs="Times New Roman"/>
          <w:bCs/>
          <w:lang w:val="en-US"/>
        </w:rPr>
      </w:pPr>
      <w:r w:rsidRPr="0010784C">
        <w:rPr>
          <w:rFonts w:ascii="Times New Roman" w:hAnsi="Times New Roman" w:cs="Times New Roman"/>
          <w:bCs/>
          <w:lang w:val="en-US"/>
        </w:rPr>
        <w:t>The reason for the choice of the PUASEE-FA project, precisely sub-project n ° 2, comes down to the unfortunate situation of the living conditions of the population, especially in terms of drinking water supply in certain neighborhoods.</w:t>
      </w:r>
    </w:p>
    <w:p w:rsidR="00C821BE" w:rsidRPr="0010784C" w:rsidRDefault="00C821BE" w:rsidP="00C821BE">
      <w:pPr>
        <w:spacing w:after="120" w:line="240" w:lineRule="auto"/>
        <w:ind w:left="-284" w:right="-853"/>
        <w:jc w:val="both"/>
        <w:rPr>
          <w:rFonts w:ascii="Times New Roman" w:hAnsi="Times New Roman" w:cs="Times New Roman"/>
          <w:bCs/>
          <w:lang w:val="en-US"/>
        </w:rPr>
      </w:pPr>
      <w:r w:rsidRPr="0010784C">
        <w:rPr>
          <w:rFonts w:ascii="Times New Roman" w:hAnsi="Times New Roman" w:cs="Times New Roman"/>
          <w:bCs/>
          <w:lang w:val="en-US"/>
        </w:rPr>
        <w:t>Thus, many efforts have been made by the PUASEE project and other projects, which made it possible to increase the current functional volume to 2,670 m3 thanks to the construction of the Guinée Telecom reservoir, the Hospital de Agosto and the rehabilitation of the existing Quartel General and Escola Técnica reservoir.</w:t>
      </w:r>
    </w:p>
    <w:p w:rsidR="00C821BE" w:rsidRPr="0010784C" w:rsidRDefault="00C821BE" w:rsidP="00C821BE">
      <w:pPr>
        <w:spacing w:after="120" w:line="240" w:lineRule="auto"/>
        <w:ind w:left="-284" w:right="-853"/>
        <w:jc w:val="both"/>
        <w:rPr>
          <w:rFonts w:ascii="Times New Roman" w:hAnsi="Times New Roman" w:cs="Times New Roman"/>
          <w:bCs/>
          <w:lang w:val="en-US"/>
        </w:rPr>
      </w:pPr>
      <w:r w:rsidRPr="0010784C">
        <w:rPr>
          <w:rFonts w:ascii="Times New Roman" w:hAnsi="Times New Roman" w:cs="Times New Roman"/>
          <w:bCs/>
          <w:lang w:val="en-US"/>
        </w:rPr>
        <w:t>Despite these achievements and rehabilitation of reservoirs, the current volume is still very insufficient to meet the population's demand for drinking water supply and several districts in the city of Bissau (Hafia, Antula, Bor, etc.) and Biombo (Safim, Cumura, Quelele, Prabis, etc.) have no AEP network.</w:t>
      </w:r>
    </w:p>
    <w:p w:rsidR="00C821BE" w:rsidRPr="0010784C" w:rsidRDefault="00C821BE" w:rsidP="00C821BE">
      <w:pPr>
        <w:spacing w:after="120" w:line="240" w:lineRule="auto"/>
        <w:ind w:left="-284" w:right="-853"/>
        <w:jc w:val="both"/>
        <w:rPr>
          <w:rFonts w:ascii="Times New Roman" w:hAnsi="Times New Roman" w:cs="Times New Roman"/>
          <w:bCs/>
          <w:lang w:val="en-US"/>
        </w:rPr>
      </w:pPr>
      <w:r w:rsidRPr="0010784C">
        <w:rPr>
          <w:rFonts w:ascii="Times New Roman" w:hAnsi="Times New Roman" w:cs="Times New Roman"/>
          <w:bCs/>
          <w:lang w:val="en-US"/>
        </w:rPr>
        <w:t xml:space="preserve">Thus, to resolve the difficulties noted in the drinking water distribution network of the city of Bissau and Biombo, it was recommended in previous studies to divide the city into distribution sectors. </w:t>
      </w:r>
    </w:p>
    <w:p w:rsidR="00C821BE" w:rsidRPr="0010784C" w:rsidRDefault="00C821BE" w:rsidP="00C821BE">
      <w:pPr>
        <w:spacing w:after="120" w:line="240" w:lineRule="auto"/>
        <w:ind w:left="-284" w:right="-853"/>
        <w:jc w:val="both"/>
        <w:rPr>
          <w:rFonts w:ascii="Times New Roman" w:hAnsi="Times New Roman" w:cs="Times New Roman"/>
          <w:bCs/>
          <w:lang w:val="en-US"/>
        </w:rPr>
      </w:pPr>
      <w:r w:rsidRPr="0010784C">
        <w:rPr>
          <w:rFonts w:ascii="Times New Roman" w:hAnsi="Times New Roman" w:cs="Times New Roman"/>
          <w:bCs/>
          <w:lang w:val="en-US"/>
        </w:rPr>
        <w:lastRenderedPageBreak/>
        <w:t>The analysis consists in identifying relevant variants or alternatives and comparing them in terms of advantages and disadvantages according to the biophysical and socio - economic environment. But also in relation to the solutions proposed in terms of constructions, equipment or operating methods.</w:t>
      </w:r>
    </w:p>
    <w:p w:rsidR="00C821BE" w:rsidRPr="0010784C" w:rsidRDefault="00C821BE" w:rsidP="00C821BE">
      <w:pPr>
        <w:spacing w:after="120" w:line="240" w:lineRule="auto"/>
        <w:ind w:left="-284" w:right="-853"/>
        <w:jc w:val="both"/>
        <w:rPr>
          <w:rFonts w:ascii="Times New Roman" w:hAnsi="Times New Roman" w:cs="Times New Roman"/>
          <w:bCs/>
          <w:lang w:val="en-US"/>
        </w:rPr>
      </w:pPr>
      <w:r w:rsidRPr="0010784C">
        <w:rPr>
          <w:rFonts w:ascii="Times New Roman" w:hAnsi="Times New Roman" w:cs="Times New Roman"/>
          <w:bCs/>
          <w:lang w:val="en-US"/>
        </w:rPr>
        <w:t>As part of this project three (03) variants which seem important were analyzed. It is essentially:</w:t>
      </w:r>
    </w:p>
    <w:p w:rsidR="00C821BE" w:rsidRPr="0010784C" w:rsidRDefault="00C821BE" w:rsidP="00C821BE">
      <w:pPr>
        <w:pStyle w:val="PargrafodaLista"/>
        <w:numPr>
          <w:ilvl w:val="0"/>
          <w:numId w:val="48"/>
        </w:numPr>
        <w:overflowPunct w:val="0"/>
        <w:autoSpaceDE w:val="0"/>
        <w:autoSpaceDN w:val="0"/>
        <w:adjustRightInd w:val="0"/>
        <w:spacing w:after="240"/>
        <w:ind w:right="284"/>
        <w:jc w:val="both"/>
        <w:textAlignment w:val="baseline"/>
        <w:rPr>
          <w:rFonts w:ascii="Times New Roman" w:hAnsi="Times New Roman"/>
          <w:lang w:val="en-US"/>
        </w:rPr>
      </w:pPr>
      <w:r w:rsidRPr="0010784C">
        <w:rPr>
          <w:rFonts w:ascii="Times New Roman" w:hAnsi="Times New Roman"/>
          <w:b/>
          <w:lang w:val="en-US"/>
        </w:rPr>
        <w:t>Variant 1:</w:t>
      </w:r>
      <w:r w:rsidRPr="0010784C">
        <w:rPr>
          <w:rFonts w:ascii="Times New Roman" w:hAnsi="Times New Roman"/>
          <w:lang w:val="en-US"/>
        </w:rPr>
        <w:t xml:space="preserve"> "Project" </w:t>
      </w:r>
    </w:p>
    <w:p w:rsidR="00C821BE" w:rsidRPr="0010784C" w:rsidRDefault="00C821BE" w:rsidP="00C821BE">
      <w:pPr>
        <w:pStyle w:val="PargrafodaLista"/>
        <w:numPr>
          <w:ilvl w:val="0"/>
          <w:numId w:val="70"/>
        </w:numPr>
        <w:overflowPunct w:val="0"/>
        <w:autoSpaceDE w:val="0"/>
        <w:autoSpaceDN w:val="0"/>
        <w:adjustRightInd w:val="0"/>
        <w:spacing w:after="240"/>
        <w:ind w:right="284"/>
        <w:jc w:val="both"/>
        <w:textAlignment w:val="baseline"/>
        <w:rPr>
          <w:rFonts w:ascii="Times New Roman" w:hAnsi="Times New Roman"/>
          <w:lang w:val="en-US"/>
        </w:rPr>
      </w:pPr>
      <w:r w:rsidRPr="0010784C">
        <w:rPr>
          <w:rFonts w:ascii="Times New Roman" w:hAnsi="Times New Roman"/>
          <w:b/>
          <w:lang w:val="en-US"/>
        </w:rPr>
        <w:t>Alternative 1:</w:t>
      </w:r>
      <w:r w:rsidRPr="0010784C">
        <w:rPr>
          <w:rFonts w:ascii="Times New Roman" w:hAnsi="Times New Roman"/>
          <w:lang w:val="en-US"/>
        </w:rPr>
        <w:t xml:space="preserve"> "Without project" or;</w:t>
      </w:r>
    </w:p>
    <w:p w:rsidR="00C821BE" w:rsidRPr="0010784C" w:rsidRDefault="00C821BE" w:rsidP="00C821BE">
      <w:pPr>
        <w:pStyle w:val="PargrafodaLista"/>
        <w:numPr>
          <w:ilvl w:val="0"/>
          <w:numId w:val="70"/>
        </w:numPr>
        <w:overflowPunct w:val="0"/>
        <w:autoSpaceDE w:val="0"/>
        <w:autoSpaceDN w:val="0"/>
        <w:adjustRightInd w:val="0"/>
        <w:spacing w:after="240"/>
        <w:ind w:right="284"/>
        <w:jc w:val="both"/>
        <w:textAlignment w:val="baseline"/>
        <w:rPr>
          <w:rFonts w:ascii="Times New Roman" w:hAnsi="Times New Roman"/>
          <w:lang w:val="en-US"/>
        </w:rPr>
      </w:pPr>
      <w:r w:rsidRPr="0010784C">
        <w:rPr>
          <w:rFonts w:ascii="Times New Roman" w:hAnsi="Times New Roman"/>
          <w:b/>
          <w:lang w:val="en-US"/>
        </w:rPr>
        <w:t>Alternative 2:</w:t>
      </w:r>
      <w:r w:rsidRPr="0010784C">
        <w:rPr>
          <w:rFonts w:ascii="Times New Roman" w:hAnsi="Times New Roman"/>
          <w:lang w:val="en-US"/>
        </w:rPr>
        <w:t xml:space="preserve"> “With delayed project” or;</w:t>
      </w:r>
    </w:p>
    <w:p w:rsidR="00C821BE" w:rsidRPr="0010784C" w:rsidRDefault="00C821BE" w:rsidP="00C821BE">
      <w:pPr>
        <w:pStyle w:val="PargrafodaLista"/>
        <w:numPr>
          <w:ilvl w:val="0"/>
          <w:numId w:val="70"/>
        </w:numPr>
        <w:overflowPunct w:val="0"/>
        <w:autoSpaceDE w:val="0"/>
        <w:autoSpaceDN w:val="0"/>
        <w:adjustRightInd w:val="0"/>
        <w:spacing w:after="240"/>
        <w:ind w:right="284"/>
        <w:jc w:val="both"/>
        <w:textAlignment w:val="baseline"/>
        <w:rPr>
          <w:rFonts w:ascii="Times New Roman" w:hAnsi="Times New Roman"/>
          <w:lang w:val="en-US"/>
        </w:rPr>
      </w:pPr>
      <w:r w:rsidRPr="0010784C">
        <w:rPr>
          <w:rFonts w:ascii="Times New Roman" w:hAnsi="Times New Roman"/>
          <w:b/>
          <w:lang w:val="en-US"/>
        </w:rPr>
        <w:t>Alternative 3:</w:t>
      </w:r>
      <w:r w:rsidRPr="0010784C">
        <w:rPr>
          <w:rFonts w:ascii="Times New Roman" w:hAnsi="Times New Roman"/>
          <w:lang w:val="en-US"/>
        </w:rPr>
        <w:t xml:space="preserve"> "With project"</w:t>
      </w:r>
    </w:p>
    <w:p w:rsidR="00C821BE" w:rsidRPr="0010784C" w:rsidRDefault="00C821BE" w:rsidP="00C821BE">
      <w:pPr>
        <w:pStyle w:val="PargrafodaLista"/>
        <w:numPr>
          <w:ilvl w:val="0"/>
          <w:numId w:val="48"/>
        </w:numPr>
        <w:overflowPunct w:val="0"/>
        <w:autoSpaceDE w:val="0"/>
        <w:autoSpaceDN w:val="0"/>
        <w:adjustRightInd w:val="0"/>
        <w:spacing w:after="240"/>
        <w:ind w:right="284"/>
        <w:jc w:val="both"/>
        <w:textAlignment w:val="baseline"/>
        <w:rPr>
          <w:rFonts w:ascii="Times New Roman" w:hAnsi="Times New Roman"/>
          <w:b/>
          <w:lang w:val="en-US"/>
        </w:rPr>
      </w:pPr>
      <w:r w:rsidRPr="0010784C">
        <w:rPr>
          <w:rFonts w:ascii="Times New Roman" w:hAnsi="Times New Roman"/>
          <w:b/>
          <w:lang w:val="en-US"/>
        </w:rPr>
        <w:t>Variant 2: "Choice of tank"</w:t>
      </w:r>
    </w:p>
    <w:p w:rsidR="00C821BE" w:rsidRPr="0010784C" w:rsidRDefault="00C821BE" w:rsidP="00C821BE">
      <w:pPr>
        <w:pStyle w:val="PargrafodaLista"/>
        <w:numPr>
          <w:ilvl w:val="0"/>
          <w:numId w:val="70"/>
        </w:numPr>
        <w:overflowPunct w:val="0"/>
        <w:autoSpaceDE w:val="0"/>
        <w:autoSpaceDN w:val="0"/>
        <w:adjustRightInd w:val="0"/>
        <w:spacing w:after="240"/>
        <w:ind w:right="284"/>
        <w:jc w:val="both"/>
        <w:textAlignment w:val="baseline"/>
        <w:rPr>
          <w:rFonts w:ascii="Times New Roman" w:hAnsi="Times New Roman"/>
          <w:b/>
          <w:lang w:val="en-US"/>
        </w:rPr>
      </w:pPr>
      <w:r w:rsidRPr="0010784C">
        <w:rPr>
          <w:rFonts w:ascii="Times New Roman" w:hAnsi="Times New Roman"/>
          <w:b/>
          <w:lang w:val="en-US"/>
        </w:rPr>
        <w:t>Option 1: "Reinforced concrete castles"</w:t>
      </w:r>
    </w:p>
    <w:p w:rsidR="00C821BE" w:rsidRPr="0010784C" w:rsidRDefault="00C821BE" w:rsidP="00C821BE">
      <w:pPr>
        <w:pStyle w:val="PargrafodaLista"/>
        <w:numPr>
          <w:ilvl w:val="0"/>
          <w:numId w:val="70"/>
        </w:numPr>
        <w:overflowPunct w:val="0"/>
        <w:autoSpaceDE w:val="0"/>
        <w:autoSpaceDN w:val="0"/>
        <w:adjustRightInd w:val="0"/>
        <w:spacing w:after="240"/>
        <w:ind w:right="284"/>
        <w:jc w:val="both"/>
        <w:textAlignment w:val="baseline"/>
        <w:rPr>
          <w:rFonts w:ascii="Times New Roman" w:hAnsi="Times New Roman"/>
          <w:b/>
          <w:lang w:val="en-US"/>
        </w:rPr>
      </w:pPr>
      <w:r w:rsidRPr="0010784C">
        <w:rPr>
          <w:rFonts w:ascii="Times New Roman" w:hAnsi="Times New Roman"/>
          <w:b/>
          <w:lang w:val="en-US"/>
        </w:rPr>
        <w:t>Option 2: "Polyester resin castles"</w:t>
      </w:r>
    </w:p>
    <w:p w:rsidR="00C821BE" w:rsidRPr="0010784C" w:rsidRDefault="00C821BE" w:rsidP="00C821BE">
      <w:pPr>
        <w:pStyle w:val="PargrafodaLista"/>
        <w:numPr>
          <w:ilvl w:val="0"/>
          <w:numId w:val="70"/>
        </w:numPr>
        <w:overflowPunct w:val="0"/>
        <w:autoSpaceDE w:val="0"/>
        <w:autoSpaceDN w:val="0"/>
        <w:adjustRightInd w:val="0"/>
        <w:spacing w:after="240"/>
        <w:ind w:right="284"/>
        <w:jc w:val="both"/>
        <w:textAlignment w:val="baseline"/>
        <w:rPr>
          <w:rFonts w:ascii="Times New Roman" w:hAnsi="Times New Roman"/>
          <w:b/>
          <w:lang w:val="en-US"/>
        </w:rPr>
      </w:pPr>
      <w:r w:rsidRPr="0010784C">
        <w:rPr>
          <w:rFonts w:ascii="Times New Roman" w:hAnsi="Times New Roman"/>
          <w:b/>
          <w:lang w:val="en-US"/>
        </w:rPr>
        <w:t>Option 3: "Metal castles"</w:t>
      </w:r>
    </w:p>
    <w:p w:rsidR="00C821BE" w:rsidRPr="0010784C" w:rsidRDefault="00C821BE" w:rsidP="00C821BE">
      <w:pPr>
        <w:pStyle w:val="PargrafodaLista"/>
        <w:numPr>
          <w:ilvl w:val="0"/>
          <w:numId w:val="48"/>
        </w:numPr>
        <w:overflowPunct w:val="0"/>
        <w:autoSpaceDE w:val="0"/>
        <w:autoSpaceDN w:val="0"/>
        <w:adjustRightInd w:val="0"/>
        <w:spacing w:after="240"/>
        <w:ind w:right="284"/>
        <w:jc w:val="both"/>
        <w:textAlignment w:val="baseline"/>
        <w:rPr>
          <w:rFonts w:ascii="Times New Roman" w:hAnsi="Times New Roman"/>
          <w:lang w:val="en-US"/>
        </w:rPr>
      </w:pPr>
      <w:r w:rsidRPr="0010784C">
        <w:rPr>
          <w:rFonts w:ascii="Times New Roman" w:hAnsi="Times New Roman"/>
          <w:b/>
          <w:lang w:val="en-US"/>
        </w:rPr>
        <w:t>Variant 3:</w:t>
      </w:r>
      <w:r w:rsidRPr="0010784C">
        <w:rPr>
          <w:rFonts w:ascii="Times New Roman" w:hAnsi="Times New Roman"/>
          <w:lang w:val="en-US"/>
        </w:rPr>
        <w:t xml:space="preserve"> "Methods of making reservoirs" </w:t>
      </w:r>
    </w:p>
    <w:p w:rsidR="00C821BE" w:rsidRPr="0010784C" w:rsidRDefault="00C821BE" w:rsidP="00C821BE">
      <w:pPr>
        <w:pStyle w:val="PargrafodaLista"/>
        <w:numPr>
          <w:ilvl w:val="0"/>
          <w:numId w:val="70"/>
        </w:numPr>
        <w:overflowPunct w:val="0"/>
        <w:autoSpaceDE w:val="0"/>
        <w:autoSpaceDN w:val="0"/>
        <w:adjustRightInd w:val="0"/>
        <w:spacing w:after="240"/>
        <w:ind w:right="284"/>
        <w:jc w:val="both"/>
        <w:textAlignment w:val="baseline"/>
        <w:rPr>
          <w:rFonts w:ascii="Times New Roman" w:hAnsi="Times New Roman"/>
          <w:b/>
          <w:i/>
          <w:lang w:val="en-US"/>
        </w:rPr>
      </w:pPr>
      <w:r w:rsidRPr="0010784C">
        <w:rPr>
          <w:rFonts w:ascii="Times New Roman" w:hAnsi="Times New Roman"/>
          <w:b/>
          <w:i/>
          <w:lang w:val="en-US"/>
        </w:rPr>
        <w:t>Option 1: manual method (HIMO);</w:t>
      </w:r>
    </w:p>
    <w:p w:rsidR="00C821BE" w:rsidRPr="0010784C" w:rsidRDefault="00C821BE" w:rsidP="00C821BE">
      <w:pPr>
        <w:pStyle w:val="PargrafodaLista"/>
        <w:numPr>
          <w:ilvl w:val="0"/>
          <w:numId w:val="70"/>
        </w:numPr>
        <w:overflowPunct w:val="0"/>
        <w:autoSpaceDE w:val="0"/>
        <w:autoSpaceDN w:val="0"/>
        <w:adjustRightInd w:val="0"/>
        <w:spacing w:after="240"/>
        <w:ind w:right="284"/>
        <w:jc w:val="both"/>
        <w:textAlignment w:val="baseline"/>
        <w:rPr>
          <w:rFonts w:ascii="Times New Roman" w:hAnsi="Times New Roman"/>
          <w:b/>
          <w:i/>
          <w:lang w:val="en-US"/>
        </w:rPr>
      </w:pPr>
      <w:r w:rsidRPr="0010784C">
        <w:rPr>
          <w:rFonts w:ascii="Times New Roman" w:hAnsi="Times New Roman"/>
          <w:b/>
          <w:i/>
          <w:lang w:val="en-US"/>
        </w:rPr>
        <w:t>Option 2: mechanized method (HIEQ);</w:t>
      </w:r>
    </w:p>
    <w:p w:rsidR="00C821BE" w:rsidRPr="0010784C" w:rsidRDefault="00C821BE" w:rsidP="00C821BE">
      <w:pPr>
        <w:pStyle w:val="PargrafodaLista"/>
        <w:numPr>
          <w:ilvl w:val="0"/>
          <w:numId w:val="70"/>
        </w:numPr>
        <w:overflowPunct w:val="0"/>
        <w:autoSpaceDE w:val="0"/>
        <w:autoSpaceDN w:val="0"/>
        <w:adjustRightInd w:val="0"/>
        <w:spacing w:after="240"/>
        <w:ind w:right="284"/>
        <w:jc w:val="both"/>
        <w:textAlignment w:val="baseline"/>
        <w:rPr>
          <w:rFonts w:ascii="Times New Roman" w:hAnsi="Times New Roman"/>
          <w:b/>
          <w:i/>
          <w:lang w:val="en-US"/>
        </w:rPr>
      </w:pPr>
      <w:r w:rsidRPr="0010784C">
        <w:rPr>
          <w:rFonts w:ascii="Times New Roman" w:hAnsi="Times New Roman"/>
          <w:b/>
          <w:i/>
          <w:lang w:val="en-US"/>
        </w:rPr>
        <w:t>Option 3: Combination Option a and b (HIMO + HIEQ)</w:t>
      </w:r>
    </w:p>
    <w:p w:rsidR="00C821BE" w:rsidRPr="0010784C" w:rsidRDefault="00C821BE" w:rsidP="00C821BE">
      <w:pPr>
        <w:spacing w:after="120" w:line="240" w:lineRule="auto"/>
        <w:ind w:left="-284" w:right="-853"/>
        <w:jc w:val="both"/>
        <w:rPr>
          <w:rFonts w:ascii="Times New Roman" w:hAnsi="Times New Roman" w:cs="Times New Roman"/>
          <w:bCs/>
          <w:lang w:val="en-US"/>
        </w:rPr>
      </w:pPr>
      <w:r w:rsidRPr="0010784C">
        <w:rPr>
          <w:rFonts w:ascii="Times New Roman" w:hAnsi="Times New Roman" w:cs="Times New Roman"/>
          <w:bCs/>
          <w:lang w:val="en-US"/>
        </w:rPr>
        <w:t>For variant 1: “Project” for which three alternatives have been compared, the advantages induced by alternative 3 “With project” are really much more beneficial than the other two. Because, it would be in line with the sectoral policy in the hydraulics sector and will make it possible to achieve the Millennium Development Goals (MDGs) in the drinking water sector.</w:t>
      </w:r>
    </w:p>
    <w:p w:rsidR="00C821BE" w:rsidRPr="0010784C" w:rsidRDefault="00C821BE" w:rsidP="00C821BE">
      <w:pPr>
        <w:spacing w:after="120" w:line="240" w:lineRule="auto"/>
        <w:ind w:left="-284" w:right="-853"/>
        <w:jc w:val="both"/>
        <w:rPr>
          <w:rFonts w:ascii="Times New Roman" w:hAnsi="Times New Roman" w:cs="Times New Roman"/>
          <w:bCs/>
          <w:lang w:val="en-US"/>
        </w:rPr>
      </w:pPr>
      <w:r w:rsidRPr="0010784C">
        <w:rPr>
          <w:rFonts w:ascii="Times New Roman" w:hAnsi="Times New Roman" w:cs="Times New Roman"/>
          <w:bCs/>
          <w:lang w:val="en-US"/>
        </w:rPr>
        <w:t>It will allow the EAGB to have greater capacity to reserve quality water to significantly reduce this current supply deficit. But also, to expand these zones of water distribution interventions in the districts currently served such as Hafia, Antula, Bor, Prabis, Safim, etc ... So this will also reduce the risk of water-borne illness (gastrointestinal illnesses). -intestinal diseases, parasitic diseases, typhoid, etc.)</w:t>
      </w:r>
    </w:p>
    <w:p w:rsidR="00C821BE" w:rsidRPr="0010784C" w:rsidRDefault="00C821BE" w:rsidP="00C821BE">
      <w:pPr>
        <w:spacing w:after="120" w:line="240" w:lineRule="auto"/>
        <w:ind w:left="-284" w:right="-853"/>
        <w:jc w:val="both"/>
        <w:rPr>
          <w:rFonts w:ascii="Times New Roman" w:hAnsi="Times New Roman" w:cs="Times New Roman"/>
          <w:bCs/>
          <w:lang w:val="en-US"/>
        </w:rPr>
      </w:pPr>
      <w:r w:rsidRPr="0010784C">
        <w:rPr>
          <w:rFonts w:ascii="Times New Roman" w:hAnsi="Times New Roman" w:cs="Times New Roman"/>
          <w:bCs/>
          <w:lang w:val="en-US"/>
        </w:rPr>
        <w:t>For variant 3 "", option b "the mechanical method (HIEQ)" is an option to be preferred in view of the scope of work at height, with heavy loads to be moved in relation to the topology of the land, and in relation to the duration of the sub-project. Although it is more expensive in investment for the realization of the tanks.</w:t>
      </w:r>
    </w:p>
    <w:p w:rsidR="00C821BE" w:rsidRPr="0010784C" w:rsidRDefault="00C821BE" w:rsidP="00C821BE">
      <w:pPr>
        <w:spacing w:after="120" w:line="240" w:lineRule="auto"/>
        <w:ind w:left="-284" w:right="-853"/>
        <w:jc w:val="both"/>
        <w:rPr>
          <w:rFonts w:ascii="Times New Roman" w:hAnsi="Times New Roman"/>
          <w:color w:val="000000"/>
          <w:sz w:val="24"/>
          <w:szCs w:val="24"/>
          <w:lang w:val="en-US"/>
        </w:rPr>
      </w:pPr>
      <w:r w:rsidRPr="0010784C">
        <w:rPr>
          <w:rFonts w:ascii="Times New Roman" w:hAnsi="Times New Roman" w:cs="Times New Roman"/>
          <w:bCs/>
          <w:lang w:val="en-US"/>
        </w:rPr>
        <w:t>Thus, for the realization of the reservoirs, a mixed solution (Option a and b) was retained and recommended. Because with the option "the manual method (HIMO)" will be able to generate local jobs and allow the population to appropriate</w:t>
      </w:r>
      <w:r w:rsidRPr="0010784C">
        <w:rPr>
          <w:rFonts w:ascii="Times New Roman" w:hAnsi="Times New Roman"/>
          <w:color w:val="000000"/>
          <w:sz w:val="24"/>
          <w:szCs w:val="24"/>
          <w:lang w:val="en-US"/>
        </w:rPr>
        <w:t>the sub-project. But nevertheless in this mixed solution, option b will be much more emphasized given the difficulty of the work.</w:t>
      </w:r>
    </w:p>
    <w:p w:rsidR="00C821BE" w:rsidRPr="0010784C" w:rsidRDefault="00C821BE" w:rsidP="00C821BE">
      <w:pPr>
        <w:pStyle w:val="PargrafodaLista"/>
        <w:numPr>
          <w:ilvl w:val="0"/>
          <w:numId w:val="245"/>
        </w:numPr>
        <w:tabs>
          <w:tab w:val="left" w:pos="1418"/>
          <w:tab w:val="left" w:pos="1843"/>
        </w:tabs>
        <w:spacing w:after="240" w:line="240" w:lineRule="auto"/>
        <w:ind w:right="-283"/>
        <w:contextualSpacing w:val="0"/>
        <w:rPr>
          <w:rFonts w:ascii="Times New Roman" w:hAnsi="Times New Roman"/>
          <w:b/>
          <w:bCs/>
          <w:i/>
          <w:sz w:val="22"/>
          <w:szCs w:val="22"/>
          <w:lang w:val="en-US"/>
        </w:rPr>
      </w:pPr>
      <w:r w:rsidRPr="0010784C">
        <w:rPr>
          <w:rFonts w:ascii="Times New Roman" w:hAnsi="Times New Roman"/>
          <w:b/>
          <w:bCs/>
          <w:i/>
          <w:sz w:val="22"/>
          <w:szCs w:val="22"/>
          <w:lang w:val="en-US"/>
        </w:rPr>
        <w:t>IDENTIFICATION AND EVALUATION OF POTENTIAL IMPACTS</w:t>
      </w:r>
    </w:p>
    <w:p w:rsidR="00C821BE" w:rsidRPr="0010784C" w:rsidRDefault="00C821BE" w:rsidP="00C821BE">
      <w:pPr>
        <w:spacing w:after="0" w:line="240" w:lineRule="auto"/>
        <w:ind w:left="-284" w:right="-283"/>
        <w:jc w:val="both"/>
        <w:rPr>
          <w:rFonts w:ascii="Times New Roman" w:hAnsi="Times New Roman"/>
          <w:sz w:val="20"/>
          <w:szCs w:val="20"/>
          <w:lang w:val="en-US"/>
        </w:rPr>
      </w:pPr>
      <w:r w:rsidRPr="0010784C">
        <w:rPr>
          <w:rFonts w:ascii="Times New Roman" w:hAnsi="Times New Roman"/>
          <w:sz w:val="20"/>
          <w:szCs w:val="20"/>
          <w:lang w:val="en-US"/>
        </w:rPr>
        <w:t>Thus, the main positive and negative impacts identified:</w:t>
      </w:r>
    </w:p>
    <w:p w:rsidR="00C821BE" w:rsidRPr="0010784C" w:rsidRDefault="00C821BE" w:rsidP="00C821BE">
      <w:pPr>
        <w:spacing w:after="0" w:line="240" w:lineRule="auto"/>
        <w:ind w:left="-284" w:right="-283"/>
        <w:jc w:val="both"/>
        <w:rPr>
          <w:rFonts w:ascii="Times New Roman" w:hAnsi="Times New Roman"/>
          <w:sz w:val="20"/>
          <w:szCs w:val="20"/>
          <w:lang w:val="en-US"/>
        </w:rPr>
      </w:pPr>
    </w:p>
    <w:p w:rsidR="00C821BE" w:rsidRPr="0010784C" w:rsidRDefault="00C821BE" w:rsidP="00C821BE">
      <w:pPr>
        <w:spacing w:after="0" w:line="240" w:lineRule="auto"/>
        <w:ind w:left="-284" w:right="-283"/>
        <w:jc w:val="both"/>
        <w:rPr>
          <w:rFonts w:ascii="Times New Roman" w:hAnsi="Times New Roman"/>
          <w:sz w:val="20"/>
          <w:szCs w:val="20"/>
          <w:lang w:val="en-US"/>
        </w:rPr>
      </w:pPr>
    </w:p>
    <w:tbl>
      <w:tblPr>
        <w:tblW w:w="113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850"/>
        <w:gridCol w:w="233"/>
        <w:gridCol w:w="734"/>
        <w:gridCol w:w="685"/>
        <w:gridCol w:w="2884"/>
        <w:gridCol w:w="851"/>
        <w:gridCol w:w="283"/>
        <w:gridCol w:w="992"/>
        <w:gridCol w:w="284"/>
        <w:gridCol w:w="850"/>
        <w:gridCol w:w="284"/>
        <w:gridCol w:w="850"/>
        <w:gridCol w:w="567"/>
      </w:tblGrid>
      <w:tr w:rsidR="00C821BE" w:rsidRPr="0010784C" w:rsidTr="00C821BE">
        <w:trPr>
          <w:jc w:val="center"/>
        </w:trPr>
        <w:tc>
          <w:tcPr>
            <w:tcW w:w="988" w:type="dxa"/>
            <w:shd w:val="clear" w:color="auto" w:fill="F2F2F2" w:themeFill="background1" w:themeFillShade="F2"/>
            <w:vAlign w:val="center"/>
          </w:tcPr>
          <w:p w:rsidR="00C821BE" w:rsidRPr="0010784C" w:rsidRDefault="00C821BE" w:rsidP="00C821BE">
            <w:pPr>
              <w:spacing w:after="0" w:line="240" w:lineRule="auto"/>
              <w:jc w:val="center"/>
              <w:rPr>
                <w:rFonts w:ascii="Times New Roman" w:hAnsi="Times New Roman"/>
                <w:b/>
                <w:sz w:val="16"/>
                <w:szCs w:val="16"/>
                <w:lang w:val="en-US"/>
              </w:rPr>
            </w:pPr>
            <w:r w:rsidRPr="0010784C">
              <w:rPr>
                <w:rFonts w:ascii="Times New Roman" w:hAnsi="Times New Roman"/>
                <w:b/>
                <w:sz w:val="16"/>
                <w:szCs w:val="16"/>
                <w:lang w:val="en-US"/>
              </w:rPr>
              <w:t>PHASES</w:t>
            </w:r>
          </w:p>
        </w:tc>
        <w:tc>
          <w:tcPr>
            <w:tcW w:w="850" w:type="dxa"/>
            <w:shd w:val="clear" w:color="auto" w:fill="F2F2F2" w:themeFill="background1" w:themeFillShade="F2"/>
            <w:vAlign w:val="center"/>
          </w:tcPr>
          <w:p w:rsidR="00C821BE" w:rsidRPr="0010784C" w:rsidRDefault="00C821BE" w:rsidP="00C821BE">
            <w:pPr>
              <w:spacing w:after="0" w:line="240" w:lineRule="auto"/>
              <w:jc w:val="center"/>
              <w:rPr>
                <w:rFonts w:ascii="Times New Roman" w:hAnsi="Times New Roman"/>
                <w:b/>
                <w:sz w:val="16"/>
                <w:szCs w:val="16"/>
                <w:lang w:val="en-US"/>
              </w:rPr>
            </w:pPr>
            <w:r w:rsidRPr="0010784C">
              <w:rPr>
                <w:rFonts w:ascii="Times New Roman" w:hAnsi="Times New Roman"/>
                <w:b/>
                <w:sz w:val="16"/>
                <w:szCs w:val="16"/>
                <w:lang w:val="en-US"/>
              </w:rPr>
              <w:t>MIDDLE</w:t>
            </w:r>
          </w:p>
        </w:tc>
        <w:tc>
          <w:tcPr>
            <w:tcW w:w="4536" w:type="dxa"/>
            <w:gridSpan w:val="4"/>
            <w:shd w:val="clear" w:color="auto" w:fill="F2F2F2" w:themeFill="background1" w:themeFillShade="F2"/>
            <w:vAlign w:val="center"/>
          </w:tcPr>
          <w:p w:rsidR="00C821BE" w:rsidRPr="0010784C" w:rsidRDefault="00C821BE" w:rsidP="00C821BE">
            <w:pPr>
              <w:spacing w:after="0" w:line="240" w:lineRule="auto"/>
              <w:jc w:val="center"/>
              <w:rPr>
                <w:rFonts w:ascii="Times New Roman" w:hAnsi="Times New Roman"/>
                <w:b/>
                <w:sz w:val="16"/>
                <w:szCs w:val="16"/>
                <w:lang w:val="en-US"/>
              </w:rPr>
            </w:pPr>
            <w:r w:rsidRPr="0010784C">
              <w:rPr>
                <w:rFonts w:ascii="Times New Roman" w:hAnsi="Times New Roman"/>
                <w:b/>
                <w:sz w:val="16"/>
                <w:szCs w:val="16"/>
                <w:lang w:val="en-US"/>
              </w:rPr>
              <w:t>POTENTIAL POSITIVE IMPACTS</w:t>
            </w:r>
          </w:p>
        </w:tc>
        <w:tc>
          <w:tcPr>
            <w:tcW w:w="1134" w:type="dxa"/>
            <w:gridSpan w:val="2"/>
            <w:shd w:val="clear" w:color="auto" w:fill="002060"/>
            <w:vAlign w:val="center"/>
          </w:tcPr>
          <w:p w:rsidR="00C821BE" w:rsidRPr="0010784C" w:rsidRDefault="00C821BE" w:rsidP="00C821BE">
            <w:pPr>
              <w:spacing w:after="0" w:line="240" w:lineRule="auto"/>
              <w:jc w:val="both"/>
              <w:rPr>
                <w:rFonts w:ascii="Times New Roman" w:hAnsi="Times New Roman"/>
                <w:b/>
                <w:sz w:val="16"/>
                <w:szCs w:val="16"/>
                <w:lang w:val="en-US"/>
              </w:rPr>
            </w:pPr>
            <w:r w:rsidRPr="0010784C">
              <w:rPr>
                <w:rFonts w:ascii="Times New Roman" w:hAnsi="Times New Roman"/>
                <w:b/>
                <w:sz w:val="16"/>
                <w:szCs w:val="16"/>
                <w:lang w:val="en-US"/>
              </w:rPr>
              <w:t>Intensity</w:t>
            </w:r>
          </w:p>
        </w:tc>
        <w:tc>
          <w:tcPr>
            <w:tcW w:w="1276" w:type="dxa"/>
            <w:gridSpan w:val="2"/>
            <w:shd w:val="clear" w:color="auto" w:fill="002060"/>
            <w:vAlign w:val="center"/>
          </w:tcPr>
          <w:p w:rsidR="00C821BE" w:rsidRPr="0010784C" w:rsidRDefault="00C821BE" w:rsidP="00C821BE">
            <w:pPr>
              <w:spacing w:after="0" w:line="240" w:lineRule="auto"/>
              <w:jc w:val="both"/>
              <w:rPr>
                <w:rFonts w:ascii="Times New Roman" w:hAnsi="Times New Roman"/>
                <w:b/>
                <w:sz w:val="16"/>
                <w:szCs w:val="16"/>
                <w:lang w:val="en-US"/>
              </w:rPr>
            </w:pPr>
            <w:r w:rsidRPr="0010784C">
              <w:rPr>
                <w:rFonts w:ascii="Times New Roman" w:hAnsi="Times New Roman"/>
                <w:b/>
                <w:sz w:val="16"/>
                <w:szCs w:val="16"/>
                <w:lang w:val="en-US"/>
              </w:rPr>
              <w:t>Extent</w:t>
            </w:r>
          </w:p>
        </w:tc>
        <w:tc>
          <w:tcPr>
            <w:tcW w:w="1134" w:type="dxa"/>
            <w:gridSpan w:val="2"/>
            <w:shd w:val="clear" w:color="auto" w:fill="002060"/>
            <w:vAlign w:val="center"/>
          </w:tcPr>
          <w:p w:rsidR="00C821BE" w:rsidRPr="0010784C" w:rsidRDefault="00C821BE" w:rsidP="00C821BE">
            <w:pPr>
              <w:spacing w:after="0" w:line="240" w:lineRule="auto"/>
              <w:jc w:val="both"/>
              <w:rPr>
                <w:rFonts w:ascii="Times New Roman" w:hAnsi="Times New Roman"/>
                <w:b/>
                <w:sz w:val="16"/>
                <w:szCs w:val="16"/>
                <w:lang w:val="en-US"/>
              </w:rPr>
            </w:pPr>
            <w:r w:rsidRPr="0010784C">
              <w:rPr>
                <w:rFonts w:ascii="Times New Roman" w:hAnsi="Times New Roman"/>
                <w:b/>
                <w:sz w:val="16"/>
                <w:szCs w:val="16"/>
                <w:lang w:val="en-US"/>
              </w:rPr>
              <w:t>Duration</w:t>
            </w:r>
          </w:p>
        </w:tc>
        <w:tc>
          <w:tcPr>
            <w:tcW w:w="1417" w:type="dxa"/>
            <w:gridSpan w:val="2"/>
            <w:shd w:val="clear" w:color="auto" w:fill="002060"/>
            <w:vAlign w:val="center"/>
          </w:tcPr>
          <w:p w:rsidR="00C821BE" w:rsidRPr="0010784C" w:rsidRDefault="00C821BE" w:rsidP="00C821BE">
            <w:pPr>
              <w:spacing w:after="0" w:line="240" w:lineRule="auto"/>
              <w:jc w:val="both"/>
              <w:rPr>
                <w:rFonts w:ascii="Times New Roman" w:hAnsi="Times New Roman"/>
                <w:b/>
                <w:sz w:val="16"/>
                <w:szCs w:val="16"/>
                <w:lang w:val="en-US"/>
              </w:rPr>
            </w:pPr>
            <w:r w:rsidRPr="0010784C">
              <w:rPr>
                <w:rFonts w:ascii="Times New Roman" w:hAnsi="Times New Roman"/>
                <w:b/>
                <w:sz w:val="16"/>
                <w:szCs w:val="16"/>
                <w:lang w:val="en-US"/>
              </w:rPr>
              <w:t>Importance</w:t>
            </w:r>
          </w:p>
        </w:tc>
      </w:tr>
      <w:tr w:rsidR="00C821BE" w:rsidRPr="0010784C" w:rsidTr="00C821BE">
        <w:trPr>
          <w:gridBefore w:val="1"/>
          <w:gridAfter w:val="9"/>
          <w:wBefore w:w="988" w:type="dxa"/>
          <w:wAfter w:w="7845" w:type="dxa"/>
          <w:trHeight w:val="70"/>
          <w:jc w:val="center"/>
        </w:trPr>
        <w:tc>
          <w:tcPr>
            <w:tcW w:w="2502" w:type="dxa"/>
            <w:gridSpan w:val="4"/>
            <w:shd w:val="clear" w:color="auto" w:fill="000000" w:themeFill="text1"/>
            <w:vAlign w:val="center"/>
          </w:tcPr>
          <w:p w:rsidR="00C821BE" w:rsidRPr="0010784C" w:rsidRDefault="00C821BE" w:rsidP="00C821BE">
            <w:pPr>
              <w:spacing w:after="0" w:line="240" w:lineRule="auto"/>
              <w:jc w:val="both"/>
              <w:rPr>
                <w:rFonts w:ascii="Times New Roman" w:hAnsi="Times New Roman"/>
                <w:sz w:val="4"/>
                <w:szCs w:val="4"/>
                <w:lang w:val="en-US"/>
              </w:rPr>
            </w:pPr>
          </w:p>
        </w:tc>
      </w:tr>
      <w:tr w:rsidR="00C821BE" w:rsidRPr="0010784C" w:rsidTr="00C821BE">
        <w:trPr>
          <w:trHeight w:val="70"/>
          <w:jc w:val="center"/>
        </w:trPr>
        <w:tc>
          <w:tcPr>
            <w:tcW w:w="988" w:type="dxa"/>
            <w:vMerge w:val="restart"/>
            <w:shd w:val="clear" w:color="auto" w:fill="BDD6EE"/>
            <w:vAlign w:val="center"/>
          </w:tcPr>
          <w:p w:rsidR="00C821BE" w:rsidRPr="0010784C" w:rsidRDefault="00C821BE" w:rsidP="00C821BE">
            <w:pPr>
              <w:spacing w:after="0" w:line="240" w:lineRule="auto"/>
              <w:jc w:val="center"/>
              <w:rPr>
                <w:rFonts w:ascii="Times New Roman" w:eastAsia="MS Gothic" w:hAnsi="Times New Roman"/>
                <w:b/>
                <w:sz w:val="14"/>
                <w:szCs w:val="14"/>
                <w:lang w:val="en-US"/>
              </w:rPr>
            </w:pPr>
            <w:r w:rsidRPr="0010784C">
              <w:rPr>
                <w:rFonts w:ascii="Times New Roman" w:eastAsia="MS Gothic" w:hAnsi="Times New Roman"/>
                <w:b/>
                <w:sz w:val="14"/>
                <w:szCs w:val="14"/>
                <w:lang w:val="en-US"/>
              </w:rPr>
              <w:t>Pre-construction and</w:t>
            </w:r>
          </w:p>
          <w:p w:rsidR="00C821BE" w:rsidRPr="0010784C" w:rsidRDefault="00C821BE" w:rsidP="00C821BE">
            <w:pPr>
              <w:spacing w:after="0" w:line="240" w:lineRule="auto"/>
              <w:jc w:val="center"/>
              <w:rPr>
                <w:rFonts w:ascii="Times New Roman" w:hAnsi="Times New Roman"/>
                <w:sz w:val="16"/>
                <w:szCs w:val="16"/>
                <w:lang w:val="en-US"/>
              </w:rPr>
            </w:pPr>
            <w:r w:rsidRPr="0010784C">
              <w:rPr>
                <w:rFonts w:ascii="Times New Roman" w:eastAsia="MS Gothic" w:hAnsi="Times New Roman"/>
                <w:b/>
                <w:sz w:val="14"/>
                <w:szCs w:val="14"/>
                <w:lang w:val="en-US"/>
              </w:rPr>
              <w:t>Construction</w:t>
            </w:r>
          </w:p>
        </w:tc>
        <w:tc>
          <w:tcPr>
            <w:tcW w:w="850" w:type="dxa"/>
            <w:vMerge w:val="restart"/>
            <w:vAlign w:val="center"/>
          </w:tcPr>
          <w:p w:rsidR="00C821BE" w:rsidRPr="0010784C" w:rsidRDefault="00C821BE" w:rsidP="00C821BE">
            <w:pPr>
              <w:spacing w:after="0" w:line="240" w:lineRule="auto"/>
              <w:jc w:val="center"/>
              <w:rPr>
                <w:rFonts w:ascii="Times New Roman" w:eastAsia="MS Gothic" w:hAnsi="Times New Roman"/>
                <w:b/>
                <w:sz w:val="16"/>
                <w:szCs w:val="16"/>
                <w:lang w:val="en-US"/>
              </w:rPr>
            </w:pPr>
            <w:r w:rsidRPr="0010784C">
              <w:rPr>
                <w:rFonts w:ascii="Times New Roman" w:eastAsia="MS Gothic" w:hAnsi="Times New Roman"/>
                <w:b/>
                <w:sz w:val="16"/>
                <w:szCs w:val="16"/>
                <w:lang w:val="en-US"/>
              </w:rPr>
              <w:t>SOCIOECONOMIC</w:t>
            </w:r>
          </w:p>
        </w:tc>
        <w:tc>
          <w:tcPr>
            <w:tcW w:w="4536" w:type="dxa"/>
            <w:gridSpan w:val="4"/>
            <w:vAlign w:val="center"/>
          </w:tcPr>
          <w:p w:rsidR="00C821BE" w:rsidRPr="0010784C" w:rsidRDefault="00C821BE" w:rsidP="00C821BE">
            <w:pPr>
              <w:pStyle w:val="PargrafodaLista"/>
              <w:numPr>
                <w:ilvl w:val="0"/>
                <w:numId w:val="225"/>
              </w:numPr>
              <w:spacing w:after="0" w:line="240" w:lineRule="auto"/>
              <w:ind w:left="313" w:hanging="313"/>
              <w:jc w:val="both"/>
              <w:rPr>
                <w:rFonts w:ascii="Times New Roman" w:hAnsi="Times New Roman"/>
                <w:sz w:val="16"/>
                <w:szCs w:val="16"/>
                <w:lang w:val="en-US"/>
              </w:rPr>
            </w:pPr>
            <w:r w:rsidRPr="0010784C">
              <w:rPr>
                <w:rFonts w:ascii="Times New Roman" w:hAnsi="Times New Roman"/>
                <w:sz w:val="16"/>
                <w:szCs w:val="16"/>
                <w:lang w:val="en-US"/>
              </w:rPr>
              <w:t>Creation of temporary jobs</w:t>
            </w:r>
          </w:p>
          <w:p w:rsidR="00C821BE" w:rsidRPr="0010784C" w:rsidRDefault="00C821BE" w:rsidP="00C821BE">
            <w:pPr>
              <w:pStyle w:val="PargrafodaLista"/>
              <w:numPr>
                <w:ilvl w:val="0"/>
                <w:numId w:val="80"/>
              </w:numPr>
              <w:spacing w:after="0" w:line="240" w:lineRule="auto"/>
              <w:ind w:hanging="265"/>
              <w:jc w:val="both"/>
              <w:rPr>
                <w:rFonts w:ascii="Times New Roman" w:hAnsi="Times New Roman"/>
                <w:sz w:val="16"/>
                <w:szCs w:val="16"/>
                <w:lang w:val="en-US"/>
              </w:rPr>
            </w:pPr>
            <w:r w:rsidRPr="0010784C">
              <w:rPr>
                <w:rFonts w:ascii="Times New Roman" w:hAnsi="Times New Roman"/>
                <w:sz w:val="16"/>
                <w:szCs w:val="16"/>
                <w:lang w:val="en-US"/>
              </w:rPr>
              <w:t>maneuvers for all brush cutting, weeding and excavation work,</w:t>
            </w:r>
          </w:p>
          <w:p w:rsidR="00C821BE" w:rsidRPr="0010784C" w:rsidRDefault="00C821BE" w:rsidP="00C821BE">
            <w:pPr>
              <w:pStyle w:val="PargrafodaLista"/>
              <w:numPr>
                <w:ilvl w:val="0"/>
                <w:numId w:val="80"/>
              </w:numPr>
              <w:spacing w:after="0" w:line="240" w:lineRule="auto"/>
              <w:ind w:hanging="265"/>
              <w:jc w:val="both"/>
              <w:rPr>
                <w:rFonts w:ascii="Times New Roman" w:hAnsi="Times New Roman"/>
                <w:sz w:val="16"/>
                <w:szCs w:val="16"/>
                <w:lang w:val="en-US"/>
              </w:rPr>
            </w:pPr>
            <w:r w:rsidRPr="0010784C">
              <w:rPr>
                <w:rFonts w:ascii="Times New Roman" w:hAnsi="Times New Roman"/>
                <w:sz w:val="16"/>
                <w:szCs w:val="16"/>
                <w:lang w:val="en-US"/>
              </w:rPr>
              <w:t>masons for all civil engineering work,</w:t>
            </w:r>
          </w:p>
          <w:p w:rsidR="00C821BE" w:rsidRPr="0010784C" w:rsidRDefault="00C821BE" w:rsidP="00C821BE">
            <w:pPr>
              <w:pStyle w:val="PargrafodaLista"/>
              <w:numPr>
                <w:ilvl w:val="0"/>
                <w:numId w:val="80"/>
              </w:numPr>
              <w:spacing w:after="0" w:line="240" w:lineRule="auto"/>
              <w:ind w:hanging="265"/>
              <w:jc w:val="both"/>
              <w:rPr>
                <w:rFonts w:ascii="Times New Roman" w:hAnsi="Times New Roman"/>
                <w:sz w:val="16"/>
                <w:szCs w:val="16"/>
                <w:lang w:val="en-US"/>
              </w:rPr>
            </w:pPr>
            <w:r w:rsidRPr="0010784C">
              <w:rPr>
                <w:rFonts w:ascii="Times New Roman" w:hAnsi="Times New Roman"/>
                <w:sz w:val="16"/>
                <w:szCs w:val="16"/>
                <w:lang w:val="en-US"/>
              </w:rPr>
              <w:t>scrap dealers,</w:t>
            </w:r>
          </w:p>
          <w:p w:rsidR="00C821BE" w:rsidRPr="0010784C" w:rsidRDefault="00C821BE" w:rsidP="00C821BE">
            <w:pPr>
              <w:pStyle w:val="PargrafodaLista"/>
              <w:numPr>
                <w:ilvl w:val="0"/>
                <w:numId w:val="80"/>
              </w:numPr>
              <w:spacing w:after="0" w:line="240" w:lineRule="auto"/>
              <w:ind w:hanging="265"/>
              <w:jc w:val="both"/>
              <w:rPr>
                <w:rFonts w:ascii="Times New Roman" w:hAnsi="Times New Roman"/>
                <w:sz w:val="16"/>
                <w:szCs w:val="16"/>
                <w:lang w:val="en-US"/>
              </w:rPr>
            </w:pPr>
            <w:r w:rsidRPr="0010784C">
              <w:rPr>
                <w:rFonts w:ascii="Times New Roman" w:hAnsi="Times New Roman"/>
                <w:sz w:val="16"/>
                <w:szCs w:val="16"/>
                <w:lang w:val="en-US"/>
              </w:rPr>
              <w:t>painters,</w:t>
            </w:r>
          </w:p>
          <w:p w:rsidR="00C821BE" w:rsidRPr="0010784C" w:rsidRDefault="00C821BE" w:rsidP="00C821BE">
            <w:pPr>
              <w:pStyle w:val="PargrafodaLista"/>
              <w:numPr>
                <w:ilvl w:val="0"/>
                <w:numId w:val="80"/>
              </w:numPr>
              <w:spacing w:after="0" w:line="240" w:lineRule="auto"/>
              <w:ind w:hanging="265"/>
              <w:jc w:val="both"/>
              <w:rPr>
                <w:rFonts w:ascii="Times New Roman" w:hAnsi="Times New Roman"/>
                <w:sz w:val="16"/>
                <w:szCs w:val="16"/>
                <w:lang w:val="en-US"/>
              </w:rPr>
            </w:pPr>
            <w:r w:rsidRPr="0010784C">
              <w:rPr>
                <w:rFonts w:ascii="Times New Roman" w:hAnsi="Times New Roman"/>
                <w:sz w:val="16"/>
                <w:szCs w:val="16"/>
                <w:lang w:val="en-US"/>
              </w:rPr>
              <w:t>operators of specific machinery</w:t>
            </w:r>
          </w:p>
        </w:tc>
        <w:tc>
          <w:tcPr>
            <w:tcW w:w="851" w:type="dxa"/>
            <w:vAlign w:val="center"/>
          </w:tcPr>
          <w:p w:rsidR="00C821BE" w:rsidRPr="0010784C" w:rsidRDefault="00C821BE" w:rsidP="00C821BE">
            <w:pPr>
              <w:spacing w:after="0" w:line="240" w:lineRule="auto"/>
              <w:jc w:val="center"/>
              <w:rPr>
                <w:rFonts w:ascii="Times New Roman" w:hAnsi="Times New Roman"/>
                <w:sz w:val="16"/>
                <w:szCs w:val="16"/>
                <w:lang w:val="en-US"/>
              </w:rPr>
            </w:pPr>
            <w:r w:rsidRPr="0010784C">
              <w:rPr>
                <w:rFonts w:ascii="Times New Roman" w:hAnsi="Times New Roman"/>
                <w:sz w:val="16"/>
                <w:szCs w:val="16"/>
                <w:lang w:val="en-US"/>
              </w:rPr>
              <w:t>Strong</w:t>
            </w:r>
          </w:p>
        </w:tc>
        <w:tc>
          <w:tcPr>
            <w:tcW w:w="283" w:type="dxa"/>
            <w:shd w:val="clear" w:color="auto" w:fill="002060"/>
            <w:vAlign w:val="center"/>
          </w:tcPr>
          <w:p w:rsidR="00C821BE" w:rsidRPr="0010784C" w:rsidRDefault="00C821BE" w:rsidP="00C821BE">
            <w:pPr>
              <w:spacing w:after="0" w:line="240" w:lineRule="auto"/>
              <w:jc w:val="center"/>
              <w:rPr>
                <w:rFonts w:ascii="Times New Roman" w:hAnsi="Times New Roman"/>
                <w:b/>
                <w:sz w:val="16"/>
                <w:szCs w:val="16"/>
                <w:lang w:val="en-US"/>
              </w:rPr>
            </w:pPr>
            <w:r w:rsidRPr="0010784C">
              <w:rPr>
                <w:rFonts w:ascii="Times New Roman" w:hAnsi="Times New Roman"/>
                <w:b/>
                <w:sz w:val="16"/>
                <w:szCs w:val="16"/>
                <w:lang w:val="en-US"/>
              </w:rPr>
              <w:t>5</w:t>
            </w:r>
          </w:p>
        </w:tc>
        <w:tc>
          <w:tcPr>
            <w:tcW w:w="992" w:type="dxa"/>
            <w:vAlign w:val="center"/>
          </w:tcPr>
          <w:p w:rsidR="00C821BE" w:rsidRPr="0010784C" w:rsidRDefault="00C821BE" w:rsidP="00C821BE">
            <w:pPr>
              <w:spacing w:after="0" w:line="240" w:lineRule="auto"/>
              <w:jc w:val="center"/>
              <w:rPr>
                <w:rFonts w:ascii="Times New Roman" w:hAnsi="Times New Roman"/>
                <w:sz w:val="16"/>
                <w:szCs w:val="16"/>
                <w:lang w:val="en-US"/>
              </w:rPr>
            </w:pPr>
            <w:r w:rsidRPr="0010784C">
              <w:rPr>
                <w:rFonts w:ascii="Times New Roman" w:hAnsi="Times New Roman"/>
                <w:sz w:val="16"/>
                <w:szCs w:val="16"/>
                <w:lang w:val="en-US"/>
              </w:rPr>
              <w:t>Regional</w:t>
            </w:r>
          </w:p>
        </w:tc>
        <w:tc>
          <w:tcPr>
            <w:tcW w:w="284" w:type="dxa"/>
            <w:shd w:val="clear" w:color="auto" w:fill="002060"/>
            <w:vAlign w:val="center"/>
          </w:tcPr>
          <w:p w:rsidR="00C821BE" w:rsidRPr="0010784C" w:rsidRDefault="00C821BE" w:rsidP="00C821BE">
            <w:pPr>
              <w:spacing w:after="0" w:line="240" w:lineRule="auto"/>
              <w:jc w:val="center"/>
              <w:rPr>
                <w:rFonts w:ascii="Times New Roman" w:hAnsi="Times New Roman"/>
                <w:b/>
                <w:sz w:val="16"/>
                <w:szCs w:val="16"/>
                <w:lang w:val="en-US"/>
              </w:rPr>
            </w:pPr>
            <w:r w:rsidRPr="0010784C">
              <w:rPr>
                <w:rFonts w:ascii="Times New Roman" w:hAnsi="Times New Roman"/>
                <w:b/>
                <w:sz w:val="16"/>
                <w:szCs w:val="16"/>
                <w:lang w:val="en-US"/>
              </w:rPr>
              <w:t>5</w:t>
            </w:r>
          </w:p>
        </w:tc>
        <w:tc>
          <w:tcPr>
            <w:tcW w:w="850" w:type="dxa"/>
            <w:vAlign w:val="center"/>
          </w:tcPr>
          <w:p w:rsidR="00C821BE" w:rsidRPr="0010784C" w:rsidRDefault="00C821BE" w:rsidP="00C821BE">
            <w:pPr>
              <w:spacing w:after="0" w:line="240" w:lineRule="auto"/>
              <w:jc w:val="center"/>
              <w:rPr>
                <w:rFonts w:ascii="Times New Roman" w:hAnsi="Times New Roman"/>
                <w:sz w:val="16"/>
                <w:szCs w:val="16"/>
                <w:lang w:val="en-US"/>
              </w:rPr>
            </w:pPr>
            <w:r w:rsidRPr="0010784C">
              <w:rPr>
                <w:rFonts w:ascii="Times New Roman" w:hAnsi="Times New Roman"/>
                <w:sz w:val="16"/>
                <w:szCs w:val="16"/>
                <w:lang w:val="en-US"/>
              </w:rPr>
              <w:t>Short</w:t>
            </w:r>
          </w:p>
        </w:tc>
        <w:tc>
          <w:tcPr>
            <w:tcW w:w="284" w:type="dxa"/>
            <w:shd w:val="clear" w:color="auto" w:fill="002060"/>
            <w:vAlign w:val="center"/>
          </w:tcPr>
          <w:p w:rsidR="00C821BE" w:rsidRPr="0010784C" w:rsidRDefault="00C821BE" w:rsidP="00C821BE">
            <w:pPr>
              <w:spacing w:after="0" w:line="240" w:lineRule="auto"/>
              <w:jc w:val="center"/>
              <w:rPr>
                <w:rFonts w:ascii="Times New Roman" w:hAnsi="Times New Roman"/>
                <w:b/>
                <w:sz w:val="16"/>
                <w:szCs w:val="16"/>
                <w:lang w:val="en-US"/>
              </w:rPr>
            </w:pPr>
            <w:r w:rsidRPr="0010784C">
              <w:rPr>
                <w:rFonts w:ascii="Times New Roman" w:hAnsi="Times New Roman"/>
                <w:b/>
                <w:sz w:val="16"/>
                <w:szCs w:val="16"/>
                <w:lang w:val="en-US"/>
              </w:rPr>
              <w:t>1</w:t>
            </w:r>
          </w:p>
        </w:tc>
        <w:tc>
          <w:tcPr>
            <w:tcW w:w="850" w:type="dxa"/>
            <w:shd w:val="clear" w:color="auto" w:fill="FFE599" w:themeFill="accent4" w:themeFillTint="66"/>
            <w:vAlign w:val="center"/>
          </w:tcPr>
          <w:p w:rsidR="00C821BE" w:rsidRPr="0010784C" w:rsidRDefault="00C821BE" w:rsidP="00C821BE">
            <w:pPr>
              <w:spacing w:after="0" w:line="240" w:lineRule="auto"/>
              <w:jc w:val="center"/>
              <w:rPr>
                <w:rFonts w:ascii="Times New Roman" w:hAnsi="Times New Roman"/>
                <w:b/>
                <w:sz w:val="16"/>
                <w:szCs w:val="16"/>
                <w:lang w:val="en-US"/>
              </w:rPr>
            </w:pPr>
            <w:r w:rsidRPr="0010784C">
              <w:rPr>
                <w:rFonts w:ascii="Times New Roman" w:hAnsi="Times New Roman"/>
                <w:b/>
                <w:sz w:val="16"/>
                <w:szCs w:val="16"/>
                <w:lang w:val="en-US"/>
              </w:rPr>
              <w:t>Average</w:t>
            </w:r>
          </w:p>
        </w:tc>
        <w:tc>
          <w:tcPr>
            <w:tcW w:w="567" w:type="dxa"/>
            <w:shd w:val="clear" w:color="auto" w:fill="FFE599" w:themeFill="accent4" w:themeFillTint="66"/>
            <w:vAlign w:val="center"/>
          </w:tcPr>
          <w:p w:rsidR="00C821BE" w:rsidRPr="0010784C" w:rsidRDefault="00C821BE" w:rsidP="00C821BE">
            <w:pPr>
              <w:spacing w:after="0" w:line="240" w:lineRule="auto"/>
              <w:jc w:val="center"/>
              <w:rPr>
                <w:rFonts w:ascii="Times New Roman" w:hAnsi="Times New Roman"/>
                <w:b/>
                <w:sz w:val="16"/>
                <w:szCs w:val="16"/>
                <w:lang w:val="en-US"/>
              </w:rPr>
            </w:pPr>
            <w:r w:rsidRPr="0010784C">
              <w:rPr>
                <w:rFonts w:ascii="Times New Roman" w:hAnsi="Times New Roman"/>
                <w:b/>
                <w:sz w:val="16"/>
                <w:szCs w:val="16"/>
                <w:lang w:val="en-US"/>
              </w:rPr>
              <w:t>25</w:t>
            </w:r>
          </w:p>
        </w:tc>
      </w:tr>
      <w:tr w:rsidR="00C821BE" w:rsidRPr="0010784C" w:rsidTr="00C821BE">
        <w:trPr>
          <w:trHeight w:val="273"/>
          <w:jc w:val="center"/>
        </w:trPr>
        <w:tc>
          <w:tcPr>
            <w:tcW w:w="988" w:type="dxa"/>
            <w:vMerge/>
            <w:shd w:val="clear" w:color="auto" w:fill="BDD6EE"/>
            <w:vAlign w:val="center"/>
          </w:tcPr>
          <w:p w:rsidR="00C821BE" w:rsidRPr="0010784C" w:rsidRDefault="00C821BE" w:rsidP="00C821BE">
            <w:pPr>
              <w:spacing w:after="0" w:line="240" w:lineRule="auto"/>
              <w:jc w:val="center"/>
              <w:rPr>
                <w:rFonts w:ascii="Times New Roman" w:hAnsi="Times New Roman"/>
                <w:sz w:val="16"/>
                <w:szCs w:val="16"/>
                <w:lang w:val="en-US"/>
              </w:rPr>
            </w:pPr>
          </w:p>
        </w:tc>
        <w:tc>
          <w:tcPr>
            <w:tcW w:w="850" w:type="dxa"/>
            <w:vMerge/>
            <w:vAlign w:val="center"/>
          </w:tcPr>
          <w:p w:rsidR="00C821BE" w:rsidRPr="0010784C" w:rsidRDefault="00C821BE" w:rsidP="00C821BE">
            <w:pPr>
              <w:spacing w:after="0" w:line="240" w:lineRule="auto"/>
              <w:jc w:val="center"/>
              <w:rPr>
                <w:rFonts w:ascii="Times New Roman" w:hAnsi="Times New Roman"/>
                <w:sz w:val="16"/>
                <w:szCs w:val="16"/>
                <w:lang w:val="en-US"/>
              </w:rPr>
            </w:pPr>
          </w:p>
        </w:tc>
        <w:tc>
          <w:tcPr>
            <w:tcW w:w="4536" w:type="dxa"/>
            <w:gridSpan w:val="4"/>
            <w:vAlign w:val="center"/>
          </w:tcPr>
          <w:p w:rsidR="00C821BE" w:rsidRPr="0010784C" w:rsidRDefault="00C821BE" w:rsidP="00C821BE">
            <w:pPr>
              <w:pStyle w:val="PargrafodaLista"/>
              <w:numPr>
                <w:ilvl w:val="0"/>
                <w:numId w:val="225"/>
              </w:numPr>
              <w:spacing w:after="0" w:line="240" w:lineRule="auto"/>
              <w:ind w:left="313" w:hanging="313"/>
              <w:jc w:val="both"/>
              <w:rPr>
                <w:rFonts w:ascii="Times New Roman" w:hAnsi="Times New Roman"/>
                <w:sz w:val="16"/>
                <w:szCs w:val="16"/>
                <w:lang w:val="en-US"/>
              </w:rPr>
            </w:pPr>
            <w:r w:rsidRPr="0010784C">
              <w:rPr>
                <w:rFonts w:ascii="Times New Roman" w:hAnsi="Times New Roman"/>
                <w:sz w:val="16"/>
                <w:szCs w:val="16"/>
                <w:lang w:val="en-US"/>
              </w:rPr>
              <w:tab/>
              <w:t>Business opportunities for private economic operators</w:t>
            </w:r>
          </w:p>
        </w:tc>
        <w:tc>
          <w:tcPr>
            <w:tcW w:w="851" w:type="dxa"/>
            <w:vAlign w:val="center"/>
          </w:tcPr>
          <w:p w:rsidR="00C821BE" w:rsidRPr="0010784C" w:rsidRDefault="00C821BE" w:rsidP="00C821BE">
            <w:pPr>
              <w:spacing w:after="0" w:line="240" w:lineRule="auto"/>
              <w:jc w:val="center"/>
              <w:rPr>
                <w:rFonts w:ascii="Times New Roman" w:hAnsi="Times New Roman"/>
                <w:sz w:val="16"/>
                <w:szCs w:val="16"/>
                <w:lang w:val="en-US"/>
              </w:rPr>
            </w:pPr>
            <w:r w:rsidRPr="0010784C">
              <w:rPr>
                <w:rFonts w:ascii="Times New Roman" w:hAnsi="Times New Roman"/>
                <w:sz w:val="16"/>
                <w:szCs w:val="16"/>
                <w:lang w:val="en-US"/>
              </w:rPr>
              <w:t>Strong</w:t>
            </w:r>
          </w:p>
        </w:tc>
        <w:tc>
          <w:tcPr>
            <w:tcW w:w="283" w:type="dxa"/>
            <w:shd w:val="clear" w:color="auto" w:fill="002060"/>
            <w:vAlign w:val="center"/>
          </w:tcPr>
          <w:p w:rsidR="00C821BE" w:rsidRPr="0010784C" w:rsidRDefault="00C821BE" w:rsidP="00C821BE">
            <w:pPr>
              <w:spacing w:after="0" w:line="240" w:lineRule="auto"/>
              <w:jc w:val="center"/>
              <w:rPr>
                <w:rFonts w:ascii="Times New Roman" w:hAnsi="Times New Roman"/>
                <w:b/>
                <w:sz w:val="16"/>
                <w:szCs w:val="16"/>
                <w:lang w:val="en-US"/>
              </w:rPr>
            </w:pPr>
            <w:r w:rsidRPr="0010784C">
              <w:rPr>
                <w:rFonts w:ascii="Times New Roman" w:hAnsi="Times New Roman"/>
                <w:b/>
                <w:sz w:val="16"/>
                <w:szCs w:val="16"/>
                <w:lang w:val="en-US"/>
              </w:rPr>
              <w:t>5</w:t>
            </w:r>
          </w:p>
        </w:tc>
        <w:tc>
          <w:tcPr>
            <w:tcW w:w="992" w:type="dxa"/>
            <w:vAlign w:val="center"/>
          </w:tcPr>
          <w:p w:rsidR="00C821BE" w:rsidRPr="0010784C" w:rsidRDefault="00C821BE" w:rsidP="00C821BE">
            <w:pPr>
              <w:spacing w:after="0" w:line="240" w:lineRule="auto"/>
              <w:jc w:val="center"/>
              <w:rPr>
                <w:rFonts w:ascii="Times New Roman" w:hAnsi="Times New Roman"/>
                <w:sz w:val="16"/>
                <w:szCs w:val="16"/>
                <w:lang w:val="en-US"/>
              </w:rPr>
            </w:pPr>
            <w:r w:rsidRPr="0010784C">
              <w:rPr>
                <w:rFonts w:ascii="Times New Roman" w:hAnsi="Times New Roman"/>
                <w:sz w:val="16"/>
                <w:szCs w:val="16"/>
                <w:lang w:val="en-US"/>
              </w:rPr>
              <w:t>Regional</w:t>
            </w:r>
          </w:p>
        </w:tc>
        <w:tc>
          <w:tcPr>
            <w:tcW w:w="284" w:type="dxa"/>
            <w:shd w:val="clear" w:color="auto" w:fill="002060"/>
            <w:vAlign w:val="center"/>
          </w:tcPr>
          <w:p w:rsidR="00C821BE" w:rsidRPr="0010784C" w:rsidRDefault="00C821BE" w:rsidP="00C821BE">
            <w:pPr>
              <w:spacing w:after="0" w:line="240" w:lineRule="auto"/>
              <w:jc w:val="center"/>
              <w:rPr>
                <w:rFonts w:ascii="Times New Roman" w:hAnsi="Times New Roman"/>
                <w:b/>
                <w:sz w:val="16"/>
                <w:szCs w:val="16"/>
                <w:lang w:val="en-US"/>
              </w:rPr>
            </w:pPr>
            <w:r w:rsidRPr="0010784C">
              <w:rPr>
                <w:rFonts w:ascii="Times New Roman" w:hAnsi="Times New Roman"/>
                <w:b/>
                <w:sz w:val="16"/>
                <w:szCs w:val="16"/>
                <w:lang w:val="en-US"/>
              </w:rPr>
              <w:t>5</w:t>
            </w:r>
          </w:p>
        </w:tc>
        <w:tc>
          <w:tcPr>
            <w:tcW w:w="850" w:type="dxa"/>
            <w:tcBorders>
              <w:bottom w:val="single" w:sz="4" w:space="0" w:color="auto"/>
            </w:tcBorders>
            <w:vAlign w:val="center"/>
          </w:tcPr>
          <w:p w:rsidR="00C821BE" w:rsidRPr="0010784C" w:rsidRDefault="00C821BE" w:rsidP="00C821BE">
            <w:pPr>
              <w:spacing w:after="0" w:line="240" w:lineRule="auto"/>
              <w:jc w:val="center"/>
              <w:rPr>
                <w:rFonts w:ascii="Times New Roman" w:hAnsi="Times New Roman"/>
                <w:sz w:val="16"/>
                <w:szCs w:val="16"/>
                <w:lang w:val="en-US"/>
              </w:rPr>
            </w:pPr>
            <w:r w:rsidRPr="0010784C">
              <w:rPr>
                <w:rFonts w:ascii="Times New Roman" w:hAnsi="Times New Roman"/>
                <w:sz w:val="16"/>
                <w:szCs w:val="16"/>
                <w:lang w:val="en-US"/>
              </w:rPr>
              <w:t>Short</w:t>
            </w:r>
          </w:p>
        </w:tc>
        <w:tc>
          <w:tcPr>
            <w:tcW w:w="284" w:type="dxa"/>
            <w:shd w:val="clear" w:color="auto" w:fill="002060"/>
            <w:vAlign w:val="center"/>
          </w:tcPr>
          <w:p w:rsidR="00C821BE" w:rsidRPr="0010784C" w:rsidRDefault="00C821BE" w:rsidP="00C821BE">
            <w:pPr>
              <w:spacing w:after="0" w:line="240" w:lineRule="auto"/>
              <w:jc w:val="center"/>
              <w:rPr>
                <w:rFonts w:ascii="Times New Roman" w:hAnsi="Times New Roman"/>
                <w:b/>
                <w:sz w:val="16"/>
                <w:szCs w:val="16"/>
                <w:lang w:val="en-US"/>
              </w:rPr>
            </w:pPr>
            <w:r w:rsidRPr="0010784C">
              <w:rPr>
                <w:rFonts w:ascii="Times New Roman" w:hAnsi="Times New Roman"/>
                <w:b/>
                <w:sz w:val="16"/>
                <w:szCs w:val="16"/>
                <w:lang w:val="en-US"/>
              </w:rPr>
              <w:t>1</w:t>
            </w:r>
          </w:p>
        </w:tc>
        <w:tc>
          <w:tcPr>
            <w:tcW w:w="850" w:type="dxa"/>
            <w:tcBorders>
              <w:bottom w:val="single" w:sz="4" w:space="0" w:color="auto"/>
            </w:tcBorders>
            <w:shd w:val="clear" w:color="auto" w:fill="FFE599" w:themeFill="accent4" w:themeFillTint="66"/>
            <w:vAlign w:val="center"/>
          </w:tcPr>
          <w:p w:rsidR="00C821BE" w:rsidRPr="0010784C" w:rsidRDefault="00C821BE" w:rsidP="00C821BE">
            <w:pPr>
              <w:spacing w:after="0" w:line="240" w:lineRule="auto"/>
              <w:jc w:val="center"/>
              <w:rPr>
                <w:rFonts w:ascii="Times New Roman" w:hAnsi="Times New Roman"/>
                <w:b/>
                <w:sz w:val="16"/>
                <w:szCs w:val="16"/>
                <w:lang w:val="en-US"/>
              </w:rPr>
            </w:pPr>
            <w:r w:rsidRPr="0010784C">
              <w:rPr>
                <w:rFonts w:ascii="Times New Roman" w:hAnsi="Times New Roman"/>
                <w:b/>
                <w:sz w:val="16"/>
                <w:szCs w:val="16"/>
                <w:lang w:val="en-US"/>
              </w:rPr>
              <w:t>Average</w:t>
            </w:r>
          </w:p>
        </w:tc>
        <w:tc>
          <w:tcPr>
            <w:tcW w:w="567" w:type="dxa"/>
            <w:tcBorders>
              <w:bottom w:val="single" w:sz="4" w:space="0" w:color="auto"/>
            </w:tcBorders>
            <w:shd w:val="clear" w:color="auto" w:fill="FFE599" w:themeFill="accent4" w:themeFillTint="66"/>
            <w:vAlign w:val="center"/>
          </w:tcPr>
          <w:p w:rsidR="00C821BE" w:rsidRPr="0010784C" w:rsidRDefault="00C821BE" w:rsidP="00C821BE">
            <w:pPr>
              <w:spacing w:after="0" w:line="240" w:lineRule="auto"/>
              <w:jc w:val="center"/>
              <w:rPr>
                <w:rFonts w:ascii="Times New Roman" w:hAnsi="Times New Roman"/>
                <w:b/>
                <w:sz w:val="16"/>
                <w:szCs w:val="16"/>
                <w:lang w:val="en-US"/>
              </w:rPr>
            </w:pPr>
            <w:r w:rsidRPr="0010784C">
              <w:rPr>
                <w:rFonts w:ascii="Times New Roman" w:hAnsi="Times New Roman"/>
                <w:b/>
                <w:sz w:val="16"/>
                <w:szCs w:val="16"/>
                <w:lang w:val="en-US"/>
              </w:rPr>
              <w:t>25</w:t>
            </w:r>
          </w:p>
        </w:tc>
      </w:tr>
      <w:tr w:rsidR="00C821BE" w:rsidRPr="0010784C" w:rsidTr="00C821BE">
        <w:trPr>
          <w:jc w:val="center"/>
        </w:trPr>
        <w:tc>
          <w:tcPr>
            <w:tcW w:w="988" w:type="dxa"/>
            <w:vMerge/>
            <w:shd w:val="clear" w:color="auto" w:fill="BDD6EE"/>
            <w:vAlign w:val="center"/>
          </w:tcPr>
          <w:p w:rsidR="00C821BE" w:rsidRPr="0010784C" w:rsidRDefault="00C821BE" w:rsidP="00C821BE">
            <w:pPr>
              <w:spacing w:after="0" w:line="240" w:lineRule="auto"/>
              <w:jc w:val="center"/>
              <w:rPr>
                <w:rFonts w:ascii="Times New Roman" w:hAnsi="Times New Roman"/>
                <w:sz w:val="16"/>
                <w:szCs w:val="16"/>
                <w:lang w:val="en-US"/>
              </w:rPr>
            </w:pPr>
          </w:p>
        </w:tc>
        <w:tc>
          <w:tcPr>
            <w:tcW w:w="850" w:type="dxa"/>
            <w:vMerge/>
            <w:vAlign w:val="center"/>
          </w:tcPr>
          <w:p w:rsidR="00C821BE" w:rsidRPr="0010784C" w:rsidRDefault="00C821BE" w:rsidP="00C821BE">
            <w:pPr>
              <w:spacing w:after="0" w:line="240" w:lineRule="auto"/>
              <w:jc w:val="center"/>
              <w:rPr>
                <w:rFonts w:ascii="Times New Roman" w:hAnsi="Times New Roman"/>
                <w:sz w:val="16"/>
                <w:szCs w:val="16"/>
                <w:lang w:val="en-US"/>
              </w:rPr>
            </w:pPr>
          </w:p>
        </w:tc>
        <w:tc>
          <w:tcPr>
            <w:tcW w:w="4536" w:type="dxa"/>
            <w:gridSpan w:val="4"/>
            <w:vAlign w:val="center"/>
          </w:tcPr>
          <w:p w:rsidR="00C821BE" w:rsidRPr="0010784C" w:rsidRDefault="00C821BE" w:rsidP="00C821BE">
            <w:pPr>
              <w:pStyle w:val="PargrafodaLista"/>
              <w:numPr>
                <w:ilvl w:val="0"/>
                <w:numId w:val="225"/>
              </w:numPr>
              <w:spacing w:after="0" w:line="240" w:lineRule="auto"/>
              <w:ind w:left="313" w:hanging="313"/>
              <w:jc w:val="both"/>
              <w:rPr>
                <w:rFonts w:ascii="Times New Roman" w:hAnsi="Times New Roman"/>
                <w:sz w:val="16"/>
                <w:szCs w:val="16"/>
                <w:lang w:val="en-US"/>
              </w:rPr>
            </w:pPr>
            <w:r w:rsidRPr="0010784C">
              <w:rPr>
                <w:rFonts w:ascii="Times New Roman" w:hAnsi="Times New Roman"/>
                <w:sz w:val="16"/>
                <w:szCs w:val="16"/>
                <w:lang w:val="en-US"/>
              </w:rPr>
              <w:tab/>
              <w:t>Social relationship creation</w:t>
            </w:r>
          </w:p>
        </w:tc>
        <w:tc>
          <w:tcPr>
            <w:tcW w:w="851" w:type="dxa"/>
            <w:vAlign w:val="center"/>
          </w:tcPr>
          <w:p w:rsidR="00C821BE" w:rsidRPr="0010784C" w:rsidRDefault="00C821BE" w:rsidP="00C821BE">
            <w:pPr>
              <w:spacing w:after="0" w:line="240" w:lineRule="auto"/>
              <w:jc w:val="center"/>
              <w:rPr>
                <w:rFonts w:ascii="Times New Roman" w:hAnsi="Times New Roman"/>
                <w:sz w:val="16"/>
                <w:szCs w:val="16"/>
                <w:lang w:val="en-US"/>
              </w:rPr>
            </w:pPr>
            <w:r w:rsidRPr="0010784C">
              <w:rPr>
                <w:rFonts w:ascii="Times New Roman" w:hAnsi="Times New Roman"/>
                <w:sz w:val="16"/>
                <w:szCs w:val="16"/>
                <w:lang w:val="en-US"/>
              </w:rPr>
              <w:t>Strong</w:t>
            </w:r>
          </w:p>
        </w:tc>
        <w:tc>
          <w:tcPr>
            <w:tcW w:w="283" w:type="dxa"/>
            <w:shd w:val="clear" w:color="auto" w:fill="002060"/>
            <w:vAlign w:val="center"/>
          </w:tcPr>
          <w:p w:rsidR="00C821BE" w:rsidRPr="0010784C" w:rsidRDefault="00C821BE" w:rsidP="00C821BE">
            <w:pPr>
              <w:spacing w:after="0" w:line="240" w:lineRule="auto"/>
              <w:jc w:val="center"/>
              <w:rPr>
                <w:rFonts w:ascii="Times New Roman" w:hAnsi="Times New Roman"/>
                <w:sz w:val="16"/>
                <w:szCs w:val="16"/>
                <w:lang w:val="en-US"/>
              </w:rPr>
            </w:pPr>
            <w:r w:rsidRPr="0010784C">
              <w:rPr>
                <w:rFonts w:ascii="Times New Roman" w:hAnsi="Times New Roman"/>
                <w:b/>
                <w:sz w:val="16"/>
                <w:szCs w:val="16"/>
                <w:lang w:val="en-US"/>
              </w:rPr>
              <w:t>5</w:t>
            </w:r>
          </w:p>
        </w:tc>
        <w:tc>
          <w:tcPr>
            <w:tcW w:w="992" w:type="dxa"/>
          </w:tcPr>
          <w:p w:rsidR="00C821BE" w:rsidRPr="0010784C" w:rsidRDefault="00C821BE" w:rsidP="00C821BE">
            <w:pPr>
              <w:spacing w:after="0" w:line="240" w:lineRule="auto"/>
              <w:jc w:val="center"/>
              <w:rPr>
                <w:rFonts w:ascii="Times New Roman" w:hAnsi="Times New Roman"/>
                <w:sz w:val="16"/>
                <w:szCs w:val="16"/>
                <w:lang w:val="en-US"/>
              </w:rPr>
            </w:pPr>
            <w:r w:rsidRPr="0010784C">
              <w:rPr>
                <w:rFonts w:ascii="Times New Roman" w:hAnsi="Times New Roman"/>
                <w:sz w:val="16"/>
                <w:szCs w:val="16"/>
                <w:lang w:val="en-US"/>
              </w:rPr>
              <w:t>Local</w:t>
            </w:r>
          </w:p>
        </w:tc>
        <w:tc>
          <w:tcPr>
            <w:tcW w:w="284" w:type="dxa"/>
            <w:shd w:val="clear" w:color="auto" w:fill="002060"/>
          </w:tcPr>
          <w:p w:rsidR="00C821BE" w:rsidRPr="0010784C" w:rsidRDefault="00C821BE" w:rsidP="00C821BE">
            <w:pPr>
              <w:spacing w:after="0" w:line="240" w:lineRule="auto"/>
              <w:jc w:val="center"/>
              <w:rPr>
                <w:rFonts w:ascii="Times New Roman" w:hAnsi="Times New Roman"/>
                <w:b/>
                <w:sz w:val="16"/>
                <w:szCs w:val="16"/>
                <w:lang w:val="en-US"/>
              </w:rPr>
            </w:pPr>
            <w:r w:rsidRPr="0010784C">
              <w:rPr>
                <w:rFonts w:ascii="Times New Roman" w:hAnsi="Times New Roman"/>
                <w:b/>
                <w:sz w:val="16"/>
                <w:szCs w:val="16"/>
                <w:lang w:val="en-US"/>
              </w:rPr>
              <w:t>3</w:t>
            </w:r>
          </w:p>
        </w:tc>
        <w:tc>
          <w:tcPr>
            <w:tcW w:w="850" w:type="dxa"/>
            <w:tcBorders>
              <w:bottom w:val="single" w:sz="4" w:space="0" w:color="auto"/>
            </w:tcBorders>
          </w:tcPr>
          <w:p w:rsidR="00C821BE" w:rsidRPr="0010784C" w:rsidRDefault="00C821BE" w:rsidP="00C821BE">
            <w:pPr>
              <w:spacing w:after="0" w:line="240" w:lineRule="auto"/>
              <w:jc w:val="center"/>
              <w:rPr>
                <w:rFonts w:ascii="Times New Roman" w:hAnsi="Times New Roman"/>
                <w:sz w:val="16"/>
                <w:szCs w:val="16"/>
                <w:lang w:val="en-US"/>
              </w:rPr>
            </w:pPr>
            <w:r w:rsidRPr="0010784C">
              <w:rPr>
                <w:rFonts w:ascii="Times New Roman" w:hAnsi="Times New Roman"/>
                <w:sz w:val="16"/>
                <w:szCs w:val="16"/>
                <w:lang w:val="en-US"/>
              </w:rPr>
              <w:t>Average</w:t>
            </w:r>
          </w:p>
        </w:tc>
        <w:tc>
          <w:tcPr>
            <w:tcW w:w="284" w:type="dxa"/>
            <w:shd w:val="clear" w:color="auto" w:fill="002060"/>
          </w:tcPr>
          <w:p w:rsidR="00C821BE" w:rsidRPr="0010784C" w:rsidRDefault="00C821BE" w:rsidP="00C821BE">
            <w:pPr>
              <w:spacing w:after="0" w:line="240" w:lineRule="auto"/>
              <w:jc w:val="center"/>
              <w:rPr>
                <w:rFonts w:ascii="Times New Roman" w:hAnsi="Times New Roman"/>
                <w:b/>
                <w:sz w:val="16"/>
                <w:szCs w:val="16"/>
                <w:lang w:val="en-US"/>
              </w:rPr>
            </w:pPr>
            <w:r w:rsidRPr="0010784C">
              <w:rPr>
                <w:rFonts w:ascii="Times New Roman" w:hAnsi="Times New Roman"/>
                <w:b/>
                <w:sz w:val="16"/>
                <w:szCs w:val="16"/>
                <w:lang w:val="en-US"/>
              </w:rPr>
              <w:t>3</w:t>
            </w:r>
          </w:p>
        </w:tc>
        <w:tc>
          <w:tcPr>
            <w:tcW w:w="850" w:type="dxa"/>
            <w:tcBorders>
              <w:bottom w:val="single" w:sz="4" w:space="0" w:color="auto"/>
            </w:tcBorders>
            <w:shd w:val="clear" w:color="auto" w:fill="FFE599" w:themeFill="accent4" w:themeFillTint="66"/>
            <w:vAlign w:val="center"/>
          </w:tcPr>
          <w:p w:rsidR="00C821BE" w:rsidRPr="0010784C" w:rsidRDefault="00C821BE" w:rsidP="00C821BE">
            <w:pPr>
              <w:spacing w:after="0" w:line="240" w:lineRule="auto"/>
              <w:jc w:val="center"/>
              <w:rPr>
                <w:rFonts w:ascii="Times New Roman" w:hAnsi="Times New Roman"/>
                <w:b/>
                <w:sz w:val="16"/>
                <w:szCs w:val="16"/>
                <w:lang w:val="en-US"/>
              </w:rPr>
            </w:pPr>
            <w:r w:rsidRPr="0010784C">
              <w:rPr>
                <w:rFonts w:ascii="Times New Roman" w:hAnsi="Times New Roman"/>
                <w:b/>
                <w:sz w:val="16"/>
                <w:szCs w:val="16"/>
                <w:lang w:val="en-US"/>
              </w:rPr>
              <w:t>Average</w:t>
            </w:r>
          </w:p>
        </w:tc>
        <w:tc>
          <w:tcPr>
            <w:tcW w:w="567" w:type="dxa"/>
            <w:tcBorders>
              <w:bottom w:val="single" w:sz="4" w:space="0" w:color="auto"/>
            </w:tcBorders>
            <w:shd w:val="clear" w:color="auto" w:fill="FFE599" w:themeFill="accent4" w:themeFillTint="66"/>
            <w:vAlign w:val="center"/>
          </w:tcPr>
          <w:p w:rsidR="00C821BE" w:rsidRPr="0010784C" w:rsidRDefault="00C821BE" w:rsidP="00C821BE">
            <w:pPr>
              <w:spacing w:after="0" w:line="240" w:lineRule="auto"/>
              <w:jc w:val="center"/>
              <w:rPr>
                <w:rFonts w:ascii="Times New Roman" w:hAnsi="Times New Roman"/>
                <w:b/>
                <w:sz w:val="16"/>
                <w:szCs w:val="16"/>
                <w:lang w:val="en-US"/>
              </w:rPr>
            </w:pPr>
            <w:r w:rsidRPr="0010784C">
              <w:rPr>
                <w:rFonts w:ascii="Times New Roman" w:hAnsi="Times New Roman"/>
                <w:b/>
                <w:sz w:val="16"/>
                <w:szCs w:val="16"/>
                <w:lang w:val="en-US"/>
              </w:rPr>
              <w:t>27</w:t>
            </w:r>
          </w:p>
        </w:tc>
      </w:tr>
      <w:tr w:rsidR="00C821BE" w:rsidRPr="0010784C" w:rsidTr="00C821BE">
        <w:trPr>
          <w:gridBefore w:val="3"/>
          <w:gridAfter w:val="9"/>
          <w:wBefore w:w="2071" w:type="dxa"/>
          <w:wAfter w:w="7845" w:type="dxa"/>
          <w:trHeight w:val="70"/>
          <w:jc w:val="center"/>
        </w:trPr>
        <w:tc>
          <w:tcPr>
            <w:tcW w:w="734" w:type="dxa"/>
            <w:shd w:val="clear" w:color="auto" w:fill="0D0D0D"/>
            <w:vAlign w:val="center"/>
          </w:tcPr>
          <w:p w:rsidR="00C821BE" w:rsidRPr="0010784C" w:rsidRDefault="00C821BE" w:rsidP="00C821BE">
            <w:pPr>
              <w:spacing w:after="0" w:line="240" w:lineRule="auto"/>
              <w:rPr>
                <w:rFonts w:ascii="Times New Roman" w:hAnsi="Times New Roman"/>
                <w:color w:val="FFFFFF"/>
                <w:sz w:val="4"/>
                <w:szCs w:val="4"/>
                <w:lang w:val="en-US"/>
              </w:rPr>
            </w:pPr>
          </w:p>
        </w:tc>
        <w:tc>
          <w:tcPr>
            <w:tcW w:w="685" w:type="dxa"/>
            <w:shd w:val="clear" w:color="auto" w:fill="0D0D0D"/>
            <w:vAlign w:val="center"/>
          </w:tcPr>
          <w:p w:rsidR="00C821BE" w:rsidRPr="0010784C" w:rsidRDefault="00C821BE" w:rsidP="00C821BE">
            <w:pPr>
              <w:spacing w:after="0" w:line="240" w:lineRule="auto"/>
              <w:jc w:val="center"/>
              <w:rPr>
                <w:rFonts w:ascii="Times New Roman" w:hAnsi="Times New Roman"/>
                <w:b/>
                <w:sz w:val="4"/>
                <w:szCs w:val="4"/>
                <w:lang w:val="en-US"/>
              </w:rPr>
            </w:pPr>
          </w:p>
        </w:tc>
      </w:tr>
      <w:tr w:rsidR="00C821BE" w:rsidRPr="0010784C" w:rsidTr="00C821BE">
        <w:trPr>
          <w:jc w:val="center"/>
        </w:trPr>
        <w:tc>
          <w:tcPr>
            <w:tcW w:w="988" w:type="dxa"/>
            <w:vMerge w:val="restart"/>
            <w:shd w:val="clear" w:color="auto" w:fill="BDD6EE"/>
            <w:vAlign w:val="center"/>
          </w:tcPr>
          <w:p w:rsidR="00C821BE" w:rsidRPr="0010784C" w:rsidRDefault="00C821BE" w:rsidP="00C821BE">
            <w:pPr>
              <w:spacing w:after="0" w:line="240" w:lineRule="auto"/>
              <w:jc w:val="center"/>
              <w:rPr>
                <w:rFonts w:ascii="Times New Roman" w:eastAsia="MS Gothic" w:hAnsi="Times New Roman"/>
                <w:b/>
                <w:sz w:val="16"/>
                <w:szCs w:val="16"/>
                <w:lang w:val="en-US"/>
              </w:rPr>
            </w:pPr>
            <w:r w:rsidRPr="0010784C">
              <w:rPr>
                <w:rFonts w:ascii="Times New Roman" w:eastAsia="MS Gothic" w:hAnsi="Times New Roman"/>
                <w:b/>
                <w:sz w:val="16"/>
                <w:szCs w:val="16"/>
                <w:lang w:val="en-US"/>
              </w:rPr>
              <w:t>Operation</w:t>
            </w:r>
          </w:p>
        </w:tc>
        <w:tc>
          <w:tcPr>
            <w:tcW w:w="850" w:type="dxa"/>
            <w:vAlign w:val="center"/>
          </w:tcPr>
          <w:p w:rsidR="00C821BE" w:rsidRPr="0010784C" w:rsidRDefault="00C821BE" w:rsidP="00C821BE">
            <w:pPr>
              <w:spacing w:after="0" w:line="240" w:lineRule="auto"/>
              <w:jc w:val="center"/>
              <w:rPr>
                <w:rFonts w:ascii="Times New Roman" w:hAnsi="Times New Roman"/>
                <w:b/>
                <w:sz w:val="16"/>
                <w:szCs w:val="16"/>
                <w:lang w:val="en-US"/>
              </w:rPr>
            </w:pPr>
            <w:r w:rsidRPr="0010784C">
              <w:rPr>
                <w:rFonts w:ascii="Times New Roman" w:hAnsi="Times New Roman"/>
                <w:b/>
                <w:sz w:val="16"/>
                <w:szCs w:val="16"/>
                <w:lang w:val="en-US"/>
              </w:rPr>
              <w:t>LANDSCAPE</w:t>
            </w:r>
          </w:p>
        </w:tc>
        <w:tc>
          <w:tcPr>
            <w:tcW w:w="4536" w:type="dxa"/>
            <w:gridSpan w:val="4"/>
            <w:vAlign w:val="center"/>
          </w:tcPr>
          <w:p w:rsidR="00C821BE" w:rsidRPr="0010784C" w:rsidRDefault="00C821BE" w:rsidP="00C821BE">
            <w:pPr>
              <w:pStyle w:val="PargrafodaLista"/>
              <w:numPr>
                <w:ilvl w:val="0"/>
                <w:numId w:val="225"/>
              </w:numPr>
              <w:spacing w:after="0" w:line="240" w:lineRule="auto"/>
              <w:ind w:left="313" w:hanging="313"/>
              <w:jc w:val="both"/>
              <w:rPr>
                <w:rFonts w:ascii="Times New Roman" w:hAnsi="Times New Roman"/>
                <w:sz w:val="16"/>
                <w:szCs w:val="16"/>
                <w:lang w:val="en-US"/>
              </w:rPr>
            </w:pPr>
            <w:r w:rsidRPr="0010784C">
              <w:rPr>
                <w:rFonts w:ascii="Times New Roman" w:hAnsi="Times New Roman"/>
                <w:sz w:val="16"/>
                <w:szCs w:val="16"/>
                <w:lang w:val="en-US"/>
              </w:rPr>
              <w:t xml:space="preserve">Creation of green vegetation with ornamental or shade trees. </w:t>
            </w:r>
          </w:p>
        </w:tc>
        <w:tc>
          <w:tcPr>
            <w:tcW w:w="851" w:type="dxa"/>
            <w:vAlign w:val="center"/>
          </w:tcPr>
          <w:p w:rsidR="00C821BE" w:rsidRPr="0010784C" w:rsidRDefault="00C821BE" w:rsidP="00C821BE">
            <w:pPr>
              <w:spacing w:after="0" w:line="240" w:lineRule="auto"/>
              <w:jc w:val="center"/>
              <w:rPr>
                <w:rFonts w:ascii="Times New Roman" w:hAnsi="Times New Roman"/>
                <w:sz w:val="16"/>
                <w:szCs w:val="16"/>
                <w:lang w:val="en-US"/>
              </w:rPr>
            </w:pPr>
            <w:r w:rsidRPr="0010784C">
              <w:rPr>
                <w:rFonts w:ascii="Times New Roman" w:hAnsi="Times New Roman"/>
                <w:sz w:val="16"/>
                <w:szCs w:val="16"/>
                <w:lang w:val="en-US"/>
              </w:rPr>
              <w:t>Low</w:t>
            </w:r>
          </w:p>
        </w:tc>
        <w:tc>
          <w:tcPr>
            <w:tcW w:w="283" w:type="dxa"/>
            <w:shd w:val="clear" w:color="auto" w:fill="002060"/>
            <w:vAlign w:val="center"/>
          </w:tcPr>
          <w:p w:rsidR="00C821BE" w:rsidRPr="0010784C" w:rsidRDefault="00C821BE" w:rsidP="00C821BE">
            <w:pPr>
              <w:spacing w:after="0" w:line="240" w:lineRule="auto"/>
              <w:jc w:val="center"/>
              <w:rPr>
                <w:rFonts w:ascii="Times New Roman" w:hAnsi="Times New Roman"/>
                <w:b/>
                <w:sz w:val="16"/>
                <w:szCs w:val="16"/>
                <w:lang w:val="en-US"/>
              </w:rPr>
            </w:pPr>
            <w:r w:rsidRPr="0010784C">
              <w:rPr>
                <w:rFonts w:ascii="Times New Roman" w:hAnsi="Times New Roman"/>
                <w:b/>
                <w:sz w:val="16"/>
                <w:szCs w:val="16"/>
                <w:lang w:val="en-US"/>
              </w:rPr>
              <w:t>1</w:t>
            </w:r>
          </w:p>
        </w:tc>
        <w:tc>
          <w:tcPr>
            <w:tcW w:w="992" w:type="dxa"/>
            <w:vAlign w:val="center"/>
          </w:tcPr>
          <w:p w:rsidR="00C821BE" w:rsidRPr="0010784C" w:rsidRDefault="00C821BE" w:rsidP="00C821BE">
            <w:pPr>
              <w:spacing w:after="0" w:line="240" w:lineRule="auto"/>
              <w:jc w:val="center"/>
              <w:rPr>
                <w:rFonts w:ascii="Times New Roman" w:hAnsi="Times New Roman"/>
                <w:sz w:val="16"/>
                <w:szCs w:val="16"/>
                <w:lang w:val="en-US"/>
              </w:rPr>
            </w:pPr>
            <w:r w:rsidRPr="0010784C">
              <w:rPr>
                <w:rFonts w:ascii="Times New Roman" w:hAnsi="Times New Roman"/>
                <w:sz w:val="16"/>
                <w:szCs w:val="16"/>
                <w:lang w:val="en-US"/>
              </w:rPr>
              <w:t>Punctual</w:t>
            </w:r>
          </w:p>
        </w:tc>
        <w:tc>
          <w:tcPr>
            <w:tcW w:w="284" w:type="dxa"/>
            <w:shd w:val="clear" w:color="auto" w:fill="002060"/>
            <w:vAlign w:val="center"/>
          </w:tcPr>
          <w:p w:rsidR="00C821BE" w:rsidRPr="0010784C" w:rsidRDefault="00C821BE" w:rsidP="00C821BE">
            <w:pPr>
              <w:spacing w:after="0" w:line="240" w:lineRule="auto"/>
              <w:jc w:val="center"/>
              <w:rPr>
                <w:rFonts w:ascii="Times New Roman" w:hAnsi="Times New Roman"/>
                <w:b/>
                <w:sz w:val="16"/>
                <w:szCs w:val="16"/>
                <w:lang w:val="en-US"/>
              </w:rPr>
            </w:pPr>
            <w:r w:rsidRPr="0010784C">
              <w:rPr>
                <w:rFonts w:ascii="Times New Roman" w:hAnsi="Times New Roman"/>
                <w:b/>
                <w:sz w:val="16"/>
                <w:szCs w:val="16"/>
                <w:lang w:val="en-US"/>
              </w:rPr>
              <w:t>1</w:t>
            </w:r>
          </w:p>
        </w:tc>
        <w:tc>
          <w:tcPr>
            <w:tcW w:w="850" w:type="dxa"/>
            <w:vAlign w:val="center"/>
          </w:tcPr>
          <w:p w:rsidR="00C821BE" w:rsidRPr="0010784C" w:rsidRDefault="00C821BE" w:rsidP="00C821BE">
            <w:pPr>
              <w:spacing w:after="0" w:line="240" w:lineRule="auto"/>
              <w:jc w:val="center"/>
              <w:rPr>
                <w:rFonts w:ascii="Times New Roman" w:hAnsi="Times New Roman"/>
                <w:sz w:val="16"/>
                <w:szCs w:val="16"/>
                <w:lang w:val="en-US"/>
              </w:rPr>
            </w:pPr>
            <w:r w:rsidRPr="0010784C">
              <w:rPr>
                <w:rFonts w:ascii="Times New Roman" w:hAnsi="Times New Roman"/>
                <w:sz w:val="16"/>
                <w:szCs w:val="16"/>
                <w:lang w:val="en-US"/>
              </w:rPr>
              <w:t>Long</w:t>
            </w:r>
          </w:p>
        </w:tc>
        <w:tc>
          <w:tcPr>
            <w:tcW w:w="284" w:type="dxa"/>
            <w:shd w:val="clear" w:color="auto" w:fill="002060"/>
            <w:vAlign w:val="center"/>
          </w:tcPr>
          <w:p w:rsidR="00C821BE" w:rsidRPr="0010784C" w:rsidRDefault="00C821BE" w:rsidP="00C821BE">
            <w:pPr>
              <w:spacing w:after="0" w:line="240" w:lineRule="auto"/>
              <w:jc w:val="center"/>
              <w:rPr>
                <w:rFonts w:ascii="Times New Roman" w:hAnsi="Times New Roman"/>
                <w:b/>
                <w:sz w:val="16"/>
                <w:szCs w:val="16"/>
                <w:lang w:val="en-US"/>
              </w:rPr>
            </w:pPr>
            <w:r w:rsidRPr="0010784C">
              <w:rPr>
                <w:rFonts w:ascii="Times New Roman" w:hAnsi="Times New Roman"/>
                <w:b/>
                <w:sz w:val="16"/>
                <w:szCs w:val="16"/>
                <w:lang w:val="en-US"/>
              </w:rPr>
              <w:t>5</w:t>
            </w:r>
          </w:p>
        </w:tc>
        <w:tc>
          <w:tcPr>
            <w:tcW w:w="850" w:type="dxa"/>
            <w:shd w:val="clear" w:color="auto" w:fill="F7CAAC" w:themeFill="accent2" w:themeFillTint="66"/>
            <w:vAlign w:val="center"/>
          </w:tcPr>
          <w:p w:rsidR="00C821BE" w:rsidRPr="0010784C" w:rsidRDefault="00C821BE" w:rsidP="00C821BE">
            <w:pPr>
              <w:spacing w:after="0" w:line="240" w:lineRule="auto"/>
              <w:jc w:val="center"/>
              <w:rPr>
                <w:rFonts w:ascii="Times New Roman" w:hAnsi="Times New Roman"/>
                <w:b/>
                <w:sz w:val="16"/>
                <w:szCs w:val="16"/>
                <w:lang w:val="en-US"/>
              </w:rPr>
            </w:pPr>
            <w:r w:rsidRPr="0010784C">
              <w:rPr>
                <w:rFonts w:ascii="Times New Roman" w:hAnsi="Times New Roman"/>
                <w:b/>
                <w:sz w:val="16"/>
                <w:szCs w:val="16"/>
                <w:lang w:val="en-US"/>
              </w:rPr>
              <w:t>Minor</w:t>
            </w:r>
          </w:p>
        </w:tc>
        <w:tc>
          <w:tcPr>
            <w:tcW w:w="567" w:type="dxa"/>
            <w:shd w:val="clear" w:color="auto" w:fill="F7CAAC" w:themeFill="accent2" w:themeFillTint="66"/>
            <w:vAlign w:val="center"/>
          </w:tcPr>
          <w:p w:rsidR="00C821BE" w:rsidRPr="0010784C" w:rsidRDefault="00C821BE" w:rsidP="00C821BE">
            <w:pPr>
              <w:spacing w:after="0" w:line="240" w:lineRule="auto"/>
              <w:jc w:val="center"/>
              <w:rPr>
                <w:rFonts w:ascii="Times New Roman" w:hAnsi="Times New Roman"/>
                <w:b/>
                <w:sz w:val="16"/>
                <w:szCs w:val="16"/>
                <w:lang w:val="en-US"/>
              </w:rPr>
            </w:pPr>
            <w:r w:rsidRPr="0010784C">
              <w:rPr>
                <w:rFonts w:ascii="Times New Roman" w:hAnsi="Times New Roman"/>
                <w:b/>
                <w:sz w:val="16"/>
                <w:szCs w:val="16"/>
                <w:lang w:val="en-US"/>
              </w:rPr>
              <w:t>5</w:t>
            </w:r>
          </w:p>
        </w:tc>
      </w:tr>
      <w:tr w:rsidR="00C821BE" w:rsidRPr="0010784C" w:rsidTr="00C821BE">
        <w:trPr>
          <w:jc w:val="center"/>
        </w:trPr>
        <w:tc>
          <w:tcPr>
            <w:tcW w:w="988" w:type="dxa"/>
            <w:vMerge/>
            <w:shd w:val="clear" w:color="auto" w:fill="BDD6EE"/>
          </w:tcPr>
          <w:p w:rsidR="00C821BE" w:rsidRPr="0010784C" w:rsidRDefault="00C821BE" w:rsidP="00C821BE">
            <w:pPr>
              <w:spacing w:after="0" w:line="240" w:lineRule="auto"/>
              <w:jc w:val="both"/>
              <w:rPr>
                <w:rFonts w:ascii="Times New Roman" w:hAnsi="Times New Roman"/>
                <w:sz w:val="16"/>
                <w:szCs w:val="16"/>
                <w:lang w:val="en-US"/>
              </w:rPr>
            </w:pPr>
          </w:p>
        </w:tc>
        <w:tc>
          <w:tcPr>
            <w:tcW w:w="850" w:type="dxa"/>
            <w:vAlign w:val="center"/>
          </w:tcPr>
          <w:p w:rsidR="00C821BE" w:rsidRPr="0010784C" w:rsidRDefault="00C821BE" w:rsidP="00C821BE">
            <w:pPr>
              <w:spacing w:after="0" w:line="240" w:lineRule="auto"/>
              <w:jc w:val="center"/>
              <w:rPr>
                <w:rFonts w:ascii="Times New Roman" w:hAnsi="Times New Roman"/>
                <w:b/>
                <w:sz w:val="16"/>
                <w:szCs w:val="16"/>
                <w:lang w:val="en-US"/>
              </w:rPr>
            </w:pPr>
            <w:r w:rsidRPr="0010784C">
              <w:rPr>
                <w:rFonts w:ascii="Times New Roman" w:hAnsi="Times New Roman"/>
                <w:b/>
                <w:sz w:val="16"/>
                <w:szCs w:val="16"/>
                <w:lang w:val="en-US"/>
              </w:rPr>
              <w:t>WATERS</w:t>
            </w:r>
          </w:p>
        </w:tc>
        <w:tc>
          <w:tcPr>
            <w:tcW w:w="4536" w:type="dxa"/>
            <w:gridSpan w:val="4"/>
            <w:vAlign w:val="center"/>
          </w:tcPr>
          <w:p w:rsidR="00C821BE" w:rsidRPr="0010784C" w:rsidRDefault="00C821BE" w:rsidP="00C821BE">
            <w:pPr>
              <w:pStyle w:val="PargrafodaLista"/>
              <w:numPr>
                <w:ilvl w:val="0"/>
                <w:numId w:val="225"/>
              </w:numPr>
              <w:spacing w:after="0" w:line="240" w:lineRule="auto"/>
              <w:ind w:left="313" w:hanging="313"/>
              <w:jc w:val="both"/>
              <w:rPr>
                <w:rFonts w:ascii="Times New Roman" w:hAnsi="Times New Roman"/>
                <w:sz w:val="16"/>
                <w:szCs w:val="16"/>
                <w:lang w:val="en-US"/>
              </w:rPr>
            </w:pPr>
            <w:r w:rsidRPr="0010784C">
              <w:rPr>
                <w:rFonts w:ascii="Times New Roman" w:hAnsi="Times New Roman"/>
                <w:sz w:val="16"/>
                <w:szCs w:val="16"/>
                <w:lang w:val="en-US"/>
              </w:rPr>
              <w:t>Maintain runoff at the outlet.</w:t>
            </w:r>
          </w:p>
        </w:tc>
        <w:tc>
          <w:tcPr>
            <w:tcW w:w="851" w:type="dxa"/>
            <w:vAlign w:val="center"/>
          </w:tcPr>
          <w:p w:rsidR="00C821BE" w:rsidRPr="0010784C" w:rsidRDefault="00C821BE" w:rsidP="00C821BE">
            <w:pPr>
              <w:spacing w:after="0" w:line="240" w:lineRule="auto"/>
              <w:jc w:val="center"/>
              <w:rPr>
                <w:rFonts w:ascii="Times New Roman" w:hAnsi="Times New Roman"/>
                <w:sz w:val="16"/>
                <w:szCs w:val="16"/>
                <w:lang w:val="en-US"/>
              </w:rPr>
            </w:pPr>
            <w:r w:rsidRPr="0010784C">
              <w:rPr>
                <w:rFonts w:ascii="Times New Roman" w:hAnsi="Times New Roman"/>
                <w:sz w:val="16"/>
                <w:szCs w:val="16"/>
                <w:lang w:val="en-US"/>
              </w:rPr>
              <w:t>Low</w:t>
            </w:r>
          </w:p>
        </w:tc>
        <w:tc>
          <w:tcPr>
            <w:tcW w:w="283" w:type="dxa"/>
            <w:shd w:val="clear" w:color="auto" w:fill="002060"/>
            <w:vAlign w:val="center"/>
          </w:tcPr>
          <w:p w:rsidR="00C821BE" w:rsidRPr="0010784C" w:rsidRDefault="00C821BE" w:rsidP="00C821BE">
            <w:pPr>
              <w:spacing w:after="0" w:line="240" w:lineRule="auto"/>
              <w:jc w:val="center"/>
              <w:rPr>
                <w:rFonts w:ascii="Times New Roman" w:hAnsi="Times New Roman"/>
                <w:b/>
                <w:sz w:val="16"/>
                <w:szCs w:val="16"/>
                <w:lang w:val="en-US"/>
              </w:rPr>
            </w:pPr>
            <w:r w:rsidRPr="0010784C">
              <w:rPr>
                <w:rFonts w:ascii="Times New Roman" w:hAnsi="Times New Roman"/>
                <w:b/>
                <w:sz w:val="16"/>
                <w:szCs w:val="16"/>
                <w:lang w:val="en-US"/>
              </w:rPr>
              <w:t>1</w:t>
            </w:r>
          </w:p>
        </w:tc>
        <w:tc>
          <w:tcPr>
            <w:tcW w:w="992" w:type="dxa"/>
            <w:vAlign w:val="center"/>
          </w:tcPr>
          <w:p w:rsidR="00C821BE" w:rsidRPr="0010784C" w:rsidRDefault="00C821BE" w:rsidP="00C821BE">
            <w:pPr>
              <w:spacing w:after="0" w:line="240" w:lineRule="auto"/>
              <w:jc w:val="center"/>
              <w:rPr>
                <w:rFonts w:ascii="Times New Roman" w:hAnsi="Times New Roman"/>
                <w:sz w:val="16"/>
                <w:szCs w:val="16"/>
                <w:lang w:val="en-US"/>
              </w:rPr>
            </w:pPr>
            <w:r w:rsidRPr="0010784C">
              <w:rPr>
                <w:rFonts w:ascii="Times New Roman" w:hAnsi="Times New Roman"/>
                <w:sz w:val="16"/>
                <w:szCs w:val="16"/>
                <w:lang w:val="en-US"/>
              </w:rPr>
              <w:t>Punctual</w:t>
            </w:r>
          </w:p>
        </w:tc>
        <w:tc>
          <w:tcPr>
            <w:tcW w:w="284" w:type="dxa"/>
            <w:shd w:val="clear" w:color="auto" w:fill="002060"/>
            <w:vAlign w:val="center"/>
          </w:tcPr>
          <w:p w:rsidR="00C821BE" w:rsidRPr="0010784C" w:rsidRDefault="00C821BE" w:rsidP="00C821BE">
            <w:pPr>
              <w:spacing w:after="0" w:line="240" w:lineRule="auto"/>
              <w:jc w:val="center"/>
              <w:rPr>
                <w:rFonts w:ascii="Times New Roman" w:hAnsi="Times New Roman"/>
                <w:b/>
                <w:sz w:val="16"/>
                <w:szCs w:val="16"/>
                <w:lang w:val="en-US"/>
              </w:rPr>
            </w:pPr>
            <w:r w:rsidRPr="0010784C">
              <w:rPr>
                <w:rFonts w:ascii="Times New Roman" w:hAnsi="Times New Roman"/>
                <w:b/>
                <w:sz w:val="16"/>
                <w:szCs w:val="16"/>
                <w:lang w:val="en-US"/>
              </w:rPr>
              <w:t>1</w:t>
            </w:r>
          </w:p>
        </w:tc>
        <w:tc>
          <w:tcPr>
            <w:tcW w:w="850" w:type="dxa"/>
            <w:vAlign w:val="center"/>
          </w:tcPr>
          <w:p w:rsidR="00C821BE" w:rsidRPr="0010784C" w:rsidRDefault="00C821BE" w:rsidP="00C821BE">
            <w:pPr>
              <w:spacing w:after="0" w:line="240" w:lineRule="auto"/>
              <w:jc w:val="center"/>
              <w:rPr>
                <w:rFonts w:ascii="Times New Roman" w:hAnsi="Times New Roman"/>
                <w:sz w:val="16"/>
                <w:szCs w:val="16"/>
                <w:lang w:val="en-US"/>
              </w:rPr>
            </w:pPr>
            <w:r w:rsidRPr="0010784C">
              <w:rPr>
                <w:rFonts w:ascii="Times New Roman" w:hAnsi="Times New Roman"/>
                <w:sz w:val="16"/>
                <w:szCs w:val="16"/>
                <w:lang w:val="en-US"/>
              </w:rPr>
              <w:t>Long</w:t>
            </w:r>
          </w:p>
        </w:tc>
        <w:tc>
          <w:tcPr>
            <w:tcW w:w="284" w:type="dxa"/>
            <w:shd w:val="clear" w:color="auto" w:fill="002060"/>
            <w:vAlign w:val="center"/>
          </w:tcPr>
          <w:p w:rsidR="00C821BE" w:rsidRPr="0010784C" w:rsidRDefault="00C821BE" w:rsidP="00C821BE">
            <w:pPr>
              <w:spacing w:after="0" w:line="240" w:lineRule="auto"/>
              <w:jc w:val="center"/>
              <w:rPr>
                <w:rFonts w:ascii="Times New Roman" w:hAnsi="Times New Roman"/>
                <w:b/>
                <w:sz w:val="16"/>
                <w:szCs w:val="16"/>
                <w:lang w:val="en-US"/>
              </w:rPr>
            </w:pPr>
            <w:r w:rsidRPr="0010784C">
              <w:rPr>
                <w:rFonts w:ascii="Times New Roman" w:hAnsi="Times New Roman"/>
                <w:b/>
                <w:sz w:val="16"/>
                <w:szCs w:val="16"/>
                <w:lang w:val="en-US"/>
              </w:rPr>
              <w:t>5</w:t>
            </w:r>
          </w:p>
        </w:tc>
        <w:tc>
          <w:tcPr>
            <w:tcW w:w="850" w:type="dxa"/>
            <w:shd w:val="clear" w:color="auto" w:fill="F7CAAC" w:themeFill="accent2" w:themeFillTint="66"/>
            <w:vAlign w:val="center"/>
          </w:tcPr>
          <w:p w:rsidR="00C821BE" w:rsidRPr="0010784C" w:rsidRDefault="00C821BE" w:rsidP="00C821BE">
            <w:pPr>
              <w:spacing w:after="0" w:line="240" w:lineRule="auto"/>
              <w:jc w:val="center"/>
              <w:rPr>
                <w:rFonts w:ascii="Times New Roman" w:hAnsi="Times New Roman"/>
                <w:b/>
                <w:sz w:val="16"/>
                <w:szCs w:val="16"/>
                <w:lang w:val="en-US"/>
              </w:rPr>
            </w:pPr>
            <w:r w:rsidRPr="0010784C">
              <w:rPr>
                <w:rFonts w:ascii="Times New Roman" w:hAnsi="Times New Roman"/>
                <w:b/>
                <w:sz w:val="16"/>
                <w:szCs w:val="16"/>
                <w:lang w:val="en-US"/>
              </w:rPr>
              <w:t>Minor</w:t>
            </w:r>
          </w:p>
        </w:tc>
        <w:tc>
          <w:tcPr>
            <w:tcW w:w="567" w:type="dxa"/>
            <w:shd w:val="clear" w:color="auto" w:fill="F7CAAC" w:themeFill="accent2" w:themeFillTint="66"/>
            <w:vAlign w:val="center"/>
          </w:tcPr>
          <w:p w:rsidR="00C821BE" w:rsidRPr="0010784C" w:rsidRDefault="00C821BE" w:rsidP="00C821BE">
            <w:pPr>
              <w:spacing w:after="0" w:line="240" w:lineRule="auto"/>
              <w:jc w:val="center"/>
              <w:rPr>
                <w:rFonts w:ascii="Times New Roman" w:hAnsi="Times New Roman"/>
                <w:b/>
                <w:sz w:val="16"/>
                <w:szCs w:val="16"/>
                <w:lang w:val="en-US"/>
              </w:rPr>
            </w:pPr>
            <w:r w:rsidRPr="0010784C">
              <w:rPr>
                <w:rFonts w:ascii="Times New Roman" w:hAnsi="Times New Roman"/>
                <w:b/>
                <w:sz w:val="16"/>
                <w:szCs w:val="16"/>
                <w:lang w:val="en-US"/>
              </w:rPr>
              <w:t>5</w:t>
            </w:r>
          </w:p>
        </w:tc>
      </w:tr>
      <w:tr w:rsidR="00C821BE" w:rsidRPr="0010784C" w:rsidTr="00C821BE">
        <w:trPr>
          <w:jc w:val="center"/>
        </w:trPr>
        <w:tc>
          <w:tcPr>
            <w:tcW w:w="988" w:type="dxa"/>
            <w:vMerge/>
            <w:shd w:val="clear" w:color="auto" w:fill="BDD6EE"/>
          </w:tcPr>
          <w:p w:rsidR="00C821BE" w:rsidRPr="0010784C" w:rsidRDefault="00C821BE" w:rsidP="00C821BE">
            <w:pPr>
              <w:spacing w:after="0" w:line="240" w:lineRule="auto"/>
              <w:jc w:val="both"/>
              <w:rPr>
                <w:rFonts w:ascii="Times New Roman" w:hAnsi="Times New Roman"/>
                <w:sz w:val="16"/>
                <w:szCs w:val="16"/>
                <w:lang w:val="en-US"/>
              </w:rPr>
            </w:pPr>
          </w:p>
        </w:tc>
        <w:tc>
          <w:tcPr>
            <w:tcW w:w="850" w:type="dxa"/>
            <w:vMerge w:val="restart"/>
            <w:vAlign w:val="center"/>
          </w:tcPr>
          <w:p w:rsidR="00C821BE" w:rsidRPr="0010784C" w:rsidRDefault="00C821BE" w:rsidP="00C821BE">
            <w:pPr>
              <w:spacing w:after="0" w:line="240" w:lineRule="auto"/>
              <w:jc w:val="center"/>
              <w:rPr>
                <w:rFonts w:ascii="Times New Roman" w:hAnsi="Times New Roman"/>
                <w:b/>
                <w:sz w:val="16"/>
                <w:szCs w:val="16"/>
                <w:lang w:val="en-US"/>
              </w:rPr>
            </w:pPr>
            <w:r w:rsidRPr="0010784C">
              <w:rPr>
                <w:rFonts w:ascii="Times New Roman" w:eastAsia="MS Gothic" w:hAnsi="Times New Roman"/>
                <w:b/>
                <w:sz w:val="16"/>
                <w:szCs w:val="16"/>
                <w:lang w:val="en-US"/>
              </w:rPr>
              <w:t>SOCIOECONOMIC</w:t>
            </w:r>
          </w:p>
        </w:tc>
        <w:tc>
          <w:tcPr>
            <w:tcW w:w="4536" w:type="dxa"/>
            <w:gridSpan w:val="4"/>
            <w:vAlign w:val="center"/>
          </w:tcPr>
          <w:p w:rsidR="00C821BE" w:rsidRPr="0010784C" w:rsidRDefault="00C821BE" w:rsidP="00C821BE">
            <w:pPr>
              <w:pStyle w:val="PargrafodaLista"/>
              <w:numPr>
                <w:ilvl w:val="0"/>
                <w:numId w:val="225"/>
              </w:numPr>
              <w:spacing w:after="0" w:line="240" w:lineRule="auto"/>
              <w:ind w:left="313" w:hanging="313"/>
              <w:jc w:val="both"/>
              <w:rPr>
                <w:rFonts w:ascii="Times New Roman" w:hAnsi="Times New Roman"/>
                <w:sz w:val="16"/>
                <w:szCs w:val="16"/>
                <w:lang w:val="en-US"/>
              </w:rPr>
            </w:pPr>
            <w:r w:rsidRPr="0010784C">
              <w:rPr>
                <w:rFonts w:ascii="Times New Roman" w:hAnsi="Times New Roman"/>
                <w:sz w:val="16"/>
                <w:szCs w:val="16"/>
                <w:lang w:val="en-US"/>
              </w:rPr>
              <w:t>Significant reduction in drinking water supply deficits.</w:t>
            </w:r>
          </w:p>
        </w:tc>
        <w:tc>
          <w:tcPr>
            <w:tcW w:w="851" w:type="dxa"/>
            <w:vAlign w:val="center"/>
          </w:tcPr>
          <w:p w:rsidR="00C821BE" w:rsidRPr="0010784C" w:rsidRDefault="00C821BE" w:rsidP="00C821BE">
            <w:pPr>
              <w:spacing w:after="0" w:line="240" w:lineRule="auto"/>
              <w:jc w:val="center"/>
              <w:rPr>
                <w:rFonts w:ascii="Times New Roman" w:hAnsi="Times New Roman"/>
                <w:sz w:val="16"/>
                <w:szCs w:val="16"/>
                <w:lang w:val="en-US"/>
              </w:rPr>
            </w:pPr>
            <w:r w:rsidRPr="0010784C">
              <w:rPr>
                <w:rFonts w:ascii="Times New Roman" w:hAnsi="Times New Roman"/>
                <w:sz w:val="16"/>
                <w:szCs w:val="16"/>
                <w:lang w:val="en-US"/>
              </w:rPr>
              <w:t>Strong</w:t>
            </w:r>
          </w:p>
        </w:tc>
        <w:tc>
          <w:tcPr>
            <w:tcW w:w="283" w:type="dxa"/>
            <w:shd w:val="clear" w:color="auto" w:fill="002060"/>
            <w:vAlign w:val="center"/>
          </w:tcPr>
          <w:p w:rsidR="00C821BE" w:rsidRPr="0010784C" w:rsidRDefault="00C821BE" w:rsidP="00C821BE">
            <w:pPr>
              <w:spacing w:after="0" w:line="240" w:lineRule="auto"/>
              <w:jc w:val="center"/>
              <w:rPr>
                <w:rFonts w:ascii="Times New Roman" w:hAnsi="Times New Roman"/>
                <w:b/>
                <w:sz w:val="16"/>
                <w:szCs w:val="16"/>
                <w:lang w:val="en-US"/>
              </w:rPr>
            </w:pPr>
            <w:r w:rsidRPr="0010784C">
              <w:rPr>
                <w:rFonts w:ascii="Times New Roman" w:hAnsi="Times New Roman"/>
                <w:b/>
                <w:sz w:val="16"/>
                <w:szCs w:val="16"/>
                <w:lang w:val="en-US"/>
              </w:rPr>
              <w:t>5</w:t>
            </w:r>
          </w:p>
        </w:tc>
        <w:tc>
          <w:tcPr>
            <w:tcW w:w="992" w:type="dxa"/>
            <w:vAlign w:val="center"/>
          </w:tcPr>
          <w:p w:rsidR="00C821BE" w:rsidRPr="0010784C" w:rsidRDefault="00C821BE" w:rsidP="00C821BE">
            <w:pPr>
              <w:spacing w:after="0" w:line="240" w:lineRule="auto"/>
              <w:jc w:val="center"/>
              <w:rPr>
                <w:rFonts w:ascii="Times New Roman" w:hAnsi="Times New Roman"/>
                <w:sz w:val="16"/>
                <w:szCs w:val="16"/>
                <w:lang w:val="en-US"/>
              </w:rPr>
            </w:pPr>
            <w:r w:rsidRPr="0010784C">
              <w:rPr>
                <w:rFonts w:ascii="Times New Roman" w:hAnsi="Times New Roman"/>
                <w:sz w:val="16"/>
                <w:szCs w:val="16"/>
                <w:lang w:val="en-US"/>
              </w:rPr>
              <w:t>Local</w:t>
            </w:r>
          </w:p>
        </w:tc>
        <w:tc>
          <w:tcPr>
            <w:tcW w:w="284" w:type="dxa"/>
            <w:shd w:val="clear" w:color="auto" w:fill="002060"/>
            <w:vAlign w:val="center"/>
          </w:tcPr>
          <w:p w:rsidR="00C821BE" w:rsidRPr="0010784C" w:rsidRDefault="00C821BE" w:rsidP="00C821BE">
            <w:pPr>
              <w:spacing w:after="0" w:line="240" w:lineRule="auto"/>
              <w:jc w:val="center"/>
              <w:rPr>
                <w:rFonts w:ascii="Times New Roman" w:hAnsi="Times New Roman"/>
                <w:b/>
                <w:sz w:val="16"/>
                <w:szCs w:val="16"/>
                <w:lang w:val="en-US"/>
              </w:rPr>
            </w:pPr>
            <w:r w:rsidRPr="0010784C">
              <w:rPr>
                <w:rFonts w:ascii="Times New Roman" w:hAnsi="Times New Roman"/>
                <w:b/>
                <w:sz w:val="16"/>
                <w:szCs w:val="16"/>
                <w:lang w:val="en-US"/>
              </w:rPr>
              <w:t>3</w:t>
            </w:r>
          </w:p>
        </w:tc>
        <w:tc>
          <w:tcPr>
            <w:tcW w:w="850" w:type="dxa"/>
            <w:vAlign w:val="center"/>
          </w:tcPr>
          <w:p w:rsidR="00C821BE" w:rsidRPr="0010784C" w:rsidRDefault="00C821BE" w:rsidP="00C821BE">
            <w:pPr>
              <w:spacing w:after="0" w:line="240" w:lineRule="auto"/>
              <w:jc w:val="center"/>
              <w:rPr>
                <w:rFonts w:ascii="Times New Roman" w:hAnsi="Times New Roman"/>
                <w:sz w:val="16"/>
                <w:szCs w:val="16"/>
                <w:lang w:val="en-US"/>
              </w:rPr>
            </w:pPr>
            <w:r w:rsidRPr="0010784C">
              <w:rPr>
                <w:rFonts w:ascii="Times New Roman" w:hAnsi="Times New Roman"/>
                <w:sz w:val="16"/>
                <w:szCs w:val="16"/>
                <w:lang w:val="en-US"/>
              </w:rPr>
              <w:t>Long</w:t>
            </w:r>
          </w:p>
        </w:tc>
        <w:tc>
          <w:tcPr>
            <w:tcW w:w="284" w:type="dxa"/>
            <w:shd w:val="clear" w:color="auto" w:fill="002060"/>
            <w:vAlign w:val="center"/>
          </w:tcPr>
          <w:p w:rsidR="00C821BE" w:rsidRPr="0010784C" w:rsidRDefault="00C821BE" w:rsidP="00C821BE">
            <w:pPr>
              <w:spacing w:after="0" w:line="240" w:lineRule="auto"/>
              <w:jc w:val="center"/>
              <w:rPr>
                <w:rFonts w:ascii="Times New Roman" w:hAnsi="Times New Roman"/>
                <w:b/>
                <w:sz w:val="16"/>
                <w:szCs w:val="16"/>
                <w:lang w:val="en-US"/>
              </w:rPr>
            </w:pPr>
            <w:r w:rsidRPr="0010784C">
              <w:rPr>
                <w:rFonts w:ascii="Times New Roman" w:hAnsi="Times New Roman"/>
                <w:b/>
                <w:sz w:val="16"/>
                <w:szCs w:val="16"/>
                <w:lang w:val="en-US"/>
              </w:rPr>
              <w:t>5</w:t>
            </w:r>
          </w:p>
        </w:tc>
        <w:tc>
          <w:tcPr>
            <w:tcW w:w="850" w:type="dxa"/>
            <w:shd w:val="clear" w:color="auto" w:fill="92D050"/>
            <w:vAlign w:val="center"/>
          </w:tcPr>
          <w:p w:rsidR="00C821BE" w:rsidRPr="0010784C" w:rsidRDefault="00C821BE" w:rsidP="00C821BE">
            <w:pPr>
              <w:spacing w:after="0" w:line="240" w:lineRule="auto"/>
              <w:jc w:val="center"/>
              <w:rPr>
                <w:rFonts w:ascii="Times New Roman" w:hAnsi="Times New Roman"/>
                <w:b/>
                <w:sz w:val="16"/>
                <w:szCs w:val="16"/>
                <w:lang w:val="en-US"/>
              </w:rPr>
            </w:pPr>
            <w:r w:rsidRPr="0010784C">
              <w:rPr>
                <w:rFonts w:ascii="Times New Roman" w:hAnsi="Times New Roman"/>
                <w:b/>
                <w:sz w:val="16"/>
                <w:szCs w:val="16"/>
                <w:lang w:val="en-US"/>
              </w:rPr>
              <w:t>Major</w:t>
            </w:r>
          </w:p>
        </w:tc>
        <w:tc>
          <w:tcPr>
            <w:tcW w:w="567" w:type="dxa"/>
            <w:shd w:val="clear" w:color="auto" w:fill="92D050"/>
            <w:vAlign w:val="center"/>
          </w:tcPr>
          <w:p w:rsidR="00C821BE" w:rsidRPr="0010784C" w:rsidRDefault="00C821BE" w:rsidP="00C821BE">
            <w:pPr>
              <w:spacing w:after="0" w:line="240" w:lineRule="auto"/>
              <w:jc w:val="center"/>
              <w:rPr>
                <w:rFonts w:ascii="Times New Roman" w:hAnsi="Times New Roman"/>
                <w:b/>
                <w:sz w:val="16"/>
                <w:szCs w:val="16"/>
                <w:lang w:val="en-US"/>
              </w:rPr>
            </w:pPr>
            <w:r w:rsidRPr="0010784C">
              <w:rPr>
                <w:rFonts w:ascii="Times New Roman" w:hAnsi="Times New Roman"/>
                <w:b/>
                <w:sz w:val="16"/>
                <w:szCs w:val="16"/>
                <w:lang w:val="en-US"/>
              </w:rPr>
              <w:t>75</w:t>
            </w:r>
          </w:p>
        </w:tc>
      </w:tr>
      <w:tr w:rsidR="00C821BE" w:rsidRPr="0010784C" w:rsidTr="00C821BE">
        <w:trPr>
          <w:jc w:val="center"/>
        </w:trPr>
        <w:tc>
          <w:tcPr>
            <w:tcW w:w="988" w:type="dxa"/>
            <w:vMerge/>
            <w:shd w:val="clear" w:color="auto" w:fill="BDD6EE"/>
          </w:tcPr>
          <w:p w:rsidR="00C821BE" w:rsidRPr="0010784C" w:rsidRDefault="00C821BE" w:rsidP="00C821BE">
            <w:pPr>
              <w:spacing w:after="0" w:line="240" w:lineRule="auto"/>
              <w:jc w:val="both"/>
              <w:rPr>
                <w:rFonts w:ascii="Times New Roman" w:hAnsi="Times New Roman"/>
                <w:sz w:val="16"/>
                <w:szCs w:val="16"/>
                <w:lang w:val="en-US"/>
              </w:rPr>
            </w:pPr>
          </w:p>
        </w:tc>
        <w:tc>
          <w:tcPr>
            <w:tcW w:w="850" w:type="dxa"/>
            <w:vMerge/>
          </w:tcPr>
          <w:p w:rsidR="00C821BE" w:rsidRPr="0010784C" w:rsidRDefault="00C821BE" w:rsidP="00C821BE">
            <w:pPr>
              <w:spacing w:after="0" w:line="240" w:lineRule="auto"/>
              <w:jc w:val="both"/>
              <w:rPr>
                <w:rFonts w:ascii="Times New Roman" w:hAnsi="Times New Roman"/>
                <w:b/>
                <w:sz w:val="16"/>
                <w:szCs w:val="16"/>
                <w:lang w:val="en-US"/>
              </w:rPr>
            </w:pPr>
          </w:p>
        </w:tc>
        <w:tc>
          <w:tcPr>
            <w:tcW w:w="4536" w:type="dxa"/>
            <w:gridSpan w:val="4"/>
            <w:vAlign w:val="center"/>
          </w:tcPr>
          <w:p w:rsidR="00C821BE" w:rsidRPr="0010784C" w:rsidRDefault="00C821BE" w:rsidP="00C821BE">
            <w:pPr>
              <w:pStyle w:val="PargrafodaLista"/>
              <w:numPr>
                <w:ilvl w:val="0"/>
                <w:numId w:val="225"/>
              </w:numPr>
              <w:spacing w:after="0" w:line="240" w:lineRule="auto"/>
              <w:ind w:left="313" w:hanging="313"/>
              <w:jc w:val="both"/>
              <w:rPr>
                <w:rFonts w:ascii="Times New Roman" w:hAnsi="Times New Roman"/>
                <w:sz w:val="16"/>
                <w:szCs w:val="16"/>
                <w:lang w:val="en-US"/>
              </w:rPr>
            </w:pPr>
            <w:r w:rsidRPr="0010784C">
              <w:rPr>
                <w:rFonts w:ascii="Times New Roman" w:hAnsi="Times New Roman"/>
                <w:sz w:val="16"/>
                <w:szCs w:val="16"/>
                <w:lang w:val="en-US"/>
              </w:rPr>
              <w:t>Reduction in the prevalence of water-borne diseases</w:t>
            </w:r>
          </w:p>
        </w:tc>
        <w:tc>
          <w:tcPr>
            <w:tcW w:w="851" w:type="dxa"/>
            <w:vMerge w:val="restart"/>
            <w:vAlign w:val="center"/>
          </w:tcPr>
          <w:p w:rsidR="00C821BE" w:rsidRPr="0010784C" w:rsidRDefault="00C821BE" w:rsidP="00C821BE">
            <w:pPr>
              <w:spacing w:after="0" w:line="240" w:lineRule="auto"/>
              <w:jc w:val="center"/>
              <w:rPr>
                <w:rFonts w:ascii="Times New Roman" w:hAnsi="Times New Roman"/>
                <w:sz w:val="16"/>
                <w:szCs w:val="16"/>
                <w:lang w:val="en-US"/>
              </w:rPr>
            </w:pPr>
            <w:r w:rsidRPr="0010784C">
              <w:rPr>
                <w:rFonts w:ascii="Times New Roman" w:hAnsi="Times New Roman"/>
                <w:sz w:val="16"/>
                <w:szCs w:val="16"/>
                <w:lang w:val="en-US"/>
              </w:rPr>
              <w:t>Strong</w:t>
            </w:r>
          </w:p>
        </w:tc>
        <w:tc>
          <w:tcPr>
            <w:tcW w:w="283" w:type="dxa"/>
            <w:vMerge w:val="restart"/>
            <w:shd w:val="clear" w:color="auto" w:fill="002060"/>
            <w:vAlign w:val="center"/>
          </w:tcPr>
          <w:p w:rsidR="00C821BE" w:rsidRPr="0010784C" w:rsidRDefault="00C821BE" w:rsidP="00C821BE">
            <w:pPr>
              <w:spacing w:after="0" w:line="240" w:lineRule="auto"/>
              <w:jc w:val="center"/>
              <w:rPr>
                <w:rFonts w:ascii="Times New Roman" w:hAnsi="Times New Roman"/>
                <w:b/>
                <w:sz w:val="16"/>
                <w:szCs w:val="16"/>
                <w:lang w:val="en-US"/>
              </w:rPr>
            </w:pPr>
            <w:r w:rsidRPr="0010784C">
              <w:rPr>
                <w:rFonts w:ascii="Times New Roman" w:hAnsi="Times New Roman"/>
                <w:b/>
                <w:sz w:val="16"/>
                <w:szCs w:val="16"/>
                <w:lang w:val="en-US"/>
              </w:rPr>
              <w:t>5</w:t>
            </w:r>
          </w:p>
        </w:tc>
        <w:tc>
          <w:tcPr>
            <w:tcW w:w="992" w:type="dxa"/>
            <w:vMerge w:val="restart"/>
            <w:vAlign w:val="center"/>
          </w:tcPr>
          <w:p w:rsidR="00C821BE" w:rsidRPr="0010784C" w:rsidRDefault="00C821BE" w:rsidP="00C821BE">
            <w:pPr>
              <w:spacing w:after="0" w:line="240" w:lineRule="auto"/>
              <w:jc w:val="center"/>
              <w:rPr>
                <w:rFonts w:ascii="Times New Roman" w:hAnsi="Times New Roman"/>
                <w:sz w:val="16"/>
                <w:szCs w:val="16"/>
                <w:lang w:val="en-US"/>
              </w:rPr>
            </w:pPr>
            <w:r w:rsidRPr="0010784C">
              <w:rPr>
                <w:rFonts w:ascii="Times New Roman" w:hAnsi="Times New Roman"/>
                <w:sz w:val="16"/>
                <w:szCs w:val="16"/>
                <w:lang w:val="en-US"/>
              </w:rPr>
              <w:t>Regional</w:t>
            </w:r>
          </w:p>
        </w:tc>
        <w:tc>
          <w:tcPr>
            <w:tcW w:w="284" w:type="dxa"/>
            <w:vMerge w:val="restart"/>
            <w:shd w:val="clear" w:color="auto" w:fill="002060"/>
            <w:vAlign w:val="center"/>
          </w:tcPr>
          <w:p w:rsidR="00C821BE" w:rsidRPr="0010784C" w:rsidRDefault="00C821BE" w:rsidP="00C821BE">
            <w:pPr>
              <w:spacing w:after="0" w:line="240" w:lineRule="auto"/>
              <w:jc w:val="center"/>
              <w:rPr>
                <w:rFonts w:ascii="Times New Roman" w:hAnsi="Times New Roman"/>
                <w:b/>
                <w:sz w:val="16"/>
                <w:szCs w:val="16"/>
                <w:lang w:val="en-US"/>
              </w:rPr>
            </w:pPr>
            <w:r w:rsidRPr="0010784C">
              <w:rPr>
                <w:rFonts w:ascii="Times New Roman" w:hAnsi="Times New Roman"/>
                <w:b/>
                <w:sz w:val="16"/>
                <w:szCs w:val="16"/>
                <w:lang w:val="en-US"/>
              </w:rPr>
              <w:t>5</w:t>
            </w:r>
          </w:p>
        </w:tc>
        <w:tc>
          <w:tcPr>
            <w:tcW w:w="850" w:type="dxa"/>
            <w:vMerge w:val="restart"/>
            <w:vAlign w:val="center"/>
          </w:tcPr>
          <w:p w:rsidR="00C821BE" w:rsidRPr="0010784C" w:rsidRDefault="00C821BE" w:rsidP="00C821BE">
            <w:pPr>
              <w:spacing w:after="0" w:line="240" w:lineRule="auto"/>
              <w:jc w:val="center"/>
              <w:rPr>
                <w:rFonts w:ascii="Times New Roman" w:hAnsi="Times New Roman"/>
                <w:sz w:val="16"/>
                <w:szCs w:val="16"/>
                <w:lang w:val="en-US"/>
              </w:rPr>
            </w:pPr>
            <w:r w:rsidRPr="0010784C">
              <w:rPr>
                <w:rFonts w:ascii="Times New Roman" w:hAnsi="Times New Roman"/>
                <w:sz w:val="16"/>
                <w:szCs w:val="16"/>
                <w:lang w:val="en-US"/>
              </w:rPr>
              <w:t>Long</w:t>
            </w:r>
          </w:p>
        </w:tc>
        <w:tc>
          <w:tcPr>
            <w:tcW w:w="284" w:type="dxa"/>
            <w:vMerge w:val="restart"/>
            <w:shd w:val="clear" w:color="auto" w:fill="002060"/>
            <w:vAlign w:val="center"/>
          </w:tcPr>
          <w:p w:rsidR="00C821BE" w:rsidRPr="0010784C" w:rsidRDefault="00C821BE" w:rsidP="00C821BE">
            <w:pPr>
              <w:spacing w:after="0" w:line="240" w:lineRule="auto"/>
              <w:jc w:val="center"/>
              <w:rPr>
                <w:rFonts w:ascii="Times New Roman" w:hAnsi="Times New Roman"/>
                <w:b/>
                <w:sz w:val="16"/>
                <w:szCs w:val="16"/>
                <w:lang w:val="en-US"/>
              </w:rPr>
            </w:pPr>
            <w:r w:rsidRPr="0010784C">
              <w:rPr>
                <w:rFonts w:ascii="Times New Roman" w:hAnsi="Times New Roman"/>
                <w:b/>
                <w:sz w:val="16"/>
                <w:szCs w:val="16"/>
                <w:lang w:val="en-US"/>
              </w:rPr>
              <w:t>5</w:t>
            </w:r>
          </w:p>
        </w:tc>
        <w:tc>
          <w:tcPr>
            <w:tcW w:w="850" w:type="dxa"/>
            <w:vMerge w:val="restart"/>
            <w:shd w:val="clear" w:color="auto" w:fill="92D050"/>
            <w:vAlign w:val="center"/>
          </w:tcPr>
          <w:p w:rsidR="00C821BE" w:rsidRPr="0010784C" w:rsidRDefault="00C821BE" w:rsidP="00C821BE">
            <w:pPr>
              <w:spacing w:after="0" w:line="240" w:lineRule="auto"/>
              <w:jc w:val="center"/>
              <w:rPr>
                <w:rFonts w:ascii="Times New Roman" w:hAnsi="Times New Roman"/>
                <w:b/>
                <w:sz w:val="16"/>
                <w:szCs w:val="16"/>
                <w:lang w:val="en-US"/>
              </w:rPr>
            </w:pPr>
            <w:r w:rsidRPr="0010784C">
              <w:rPr>
                <w:rFonts w:ascii="Times New Roman" w:hAnsi="Times New Roman"/>
                <w:b/>
                <w:sz w:val="16"/>
                <w:szCs w:val="16"/>
                <w:lang w:val="en-US"/>
              </w:rPr>
              <w:t>Major</w:t>
            </w:r>
          </w:p>
        </w:tc>
        <w:tc>
          <w:tcPr>
            <w:tcW w:w="567" w:type="dxa"/>
            <w:vMerge w:val="restart"/>
            <w:shd w:val="clear" w:color="auto" w:fill="92D050"/>
            <w:vAlign w:val="center"/>
          </w:tcPr>
          <w:p w:rsidR="00C821BE" w:rsidRPr="0010784C" w:rsidRDefault="00C821BE" w:rsidP="00C821BE">
            <w:pPr>
              <w:spacing w:after="0" w:line="240" w:lineRule="auto"/>
              <w:jc w:val="center"/>
              <w:rPr>
                <w:rFonts w:ascii="Times New Roman" w:hAnsi="Times New Roman"/>
                <w:b/>
                <w:sz w:val="16"/>
                <w:szCs w:val="16"/>
                <w:lang w:val="en-US"/>
              </w:rPr>
            </w:pPr>
            <w:r w:rsidRPr="0010784C">
              <w:rPr>
                <w:rFonts w:ascii="Times New Roman" w:hAnsi="Times New Roman"/>
                <w:b/>
                <w:sz w:val="16"/>
                <w:szCs w:val="16"/>
                <w:lang w:val="en-US"/>
              </w:rPr>
              <w:t>125</w:t>
            </w:r>
          </w:p>
        </w:tc>
      </w:tr>
      <w:tr w:rsidR="00C821BE" w:rsidRPr="003C548E" w:rsidTr="00C821BE">
        <w:trPr>
          <w:jc w:val="center"/>
        </w:trPr>
        <w:tc>
          <w:tcPr>
            <w:tcW w:w="988" w:type="dxa"/>
            <w:vMerge/>
            <w:shd w:val="clear" w:color="auto" w:fill="BDD6EE"/>
          </w:tcPr>
          <w:p w:rsidR="00C821BE" w:rsidRPr="0010784C" w:rsidRDefault="00C821BE" w:rsidP="00C821BE">
            <w:pPr>
              <w:spacing w:after="0" w:line="240" w:lineRule="auto"/>
              <w:jc w:val="both"/>
              <w:rPr>
                <w:rFonts w:ascii="Times New Roman" w:hAnsi="Times New Roman"/>
                <w:sz w:val="16"/>
                <w:szCs w:val="16"/>
                <w:lang w:val="en-US"/>
              </w:rPr>
            </w:pPr>
          </w:p>
        </w:tc>
        <w:tc>
          <w:tcPr>
            <w:tcW w:w="850" w:type="dxa"/>
            <w:vMerge/>
          </w:tcPr>
          <w:p w:rsidR="00C821BE" w:rsidRPr="0010784C" w:rsidRDefault="00C821BE" w:rsidP="00C821BE">
            <w:pPr>
              <w:spacing w:after="0" w:line="240" w:lineRule="auto"/>
              <w:jc w:val="both"/>
              <w:rPr>
                <w:rFonts w:ascii="Times New Roman" w:hAnsi="Times New Roman"/>
                <w:b/>
                <w:sz w:val="16"/>
                <w:szCs w:val="16"/>
                <w:lang w:val="en-US"/>
              </w:rPr>
            </w:pPr>
          </w:p>
        </w:tc>
        <w:tc>
          <w:tcPr>
            <w:tcW w:w="4536" w:type="dxa"/>
            <w:gridSpan w:val="4"/>
          </w:tcPr>
          <w:p w:rsidR="00C821BE" w:rsidRPr="0010784C" w:rsidRDefault="00C821BE" w:rsidP="00C821BE">
            <w:pPr>
              <w:pStyle w:val="PargrafodaLista"/>
              <w:numPr>
                <w:ilvl w:val="0"/>
                <w:numId w:val="225"/>
              </w:numPr>
              <w:spacing w:after="0" w:line="240" w:lineRule="auto"/>
              <w:ind w:left="313" w:hanging="313"/>
              <w:jc w:val="both"/>
              <w:rPr>
                <w:rFonts w:ascii="Times New Roman" w:hAnsi="Times New Roman"/>
                <w:sz w:val="16"/>
                <w:szCs w:val="16"/>
                <w:lang w:val="en-US"/>
              </w:rPr>
            </w:pPr>
            <w:r w:rsidRPr="0010784C">
              <w:rPr>
                <w:rFonts w:ascii="Times New Roman" w:hAnsi="Times New Roman"/>
                <w:sz w:val="16"/>
                <w:szCs w:val="16"/>
                <w:lang w:val="en-US"/>
              </w:rPr>
              <w:t>Reduction of the displacement of populations in search of drinking water</w:t>
            </w:r>
          </w:p>
        </w:tc>
        <w:tc>
          <w:tcPr>
            <w:tcW w:w="851" w:type="dxa"/>
            <w:vMerge/>
            <w:vAlign w:val="center"/>
          </w:tcPr>
          <w:p w:rsidR="00C821BE" w:rsidRPr="0010784C" w:rsidRDefault="00C821BE" w:rsidP="00C821BE">
            <w:pPr>
              <w:spacing w:after="0" w:line="240" w:lineRule="auto"/>
              <w:jc w:val="center"/>
              <w:rPr>
                <w:rFonts w:ascii="Times New Roman" w:hAnsi="Times New Roman"/>
                <w:sz w:val="16"/>
                <w:szCs w:val="16"/>
                <w:lang w:val="en-US"/>
              </w:rPr>
            </w:pPr>
          </w:p>
        </w:tc>
        <w:tc>
          <w:tcPr>
            <w:tcW w:w="283" w:type="dxa"/>
            <w:vMerge/>
            <w:shd w:val="clear" w:color="auto" w:fill="002060"/>
            <w:vAlign w:val="center"/>
          </w:tcPr>
          <w:p w:rsidR="00C821BE" w:rsidRPr="0010784C" w:rsidRDefault="00C821BE" w:rsidP="00C821BE">
            <w:pPr>
              <w:spacing w:after="0" w:line="240" w:lineRule="auto"/>
              <w:jc w:val="center"/>
              <w:rPr>
                <w:rFonts w:ascii="Times New Roman" w:hAnsi="Times New Roman"/>
                <w:b/>
                <w:sz w:val="16"/>
                <w:szCs w:val="16"/>
                <w:lang w:val="en-US"/>
              </w:rPr>
            </w:pPr>
          </w:p>
        </w:tc>
        <w:tc>
          <w:tcPr>
            <w:tcW w:w="992" w:type="dxa"/>
            <w:vMerge/>
            <w:vAlign w:val="center"/>
          </w:tcPr>
          <w:p w:rsidR="00C821BE" w:rsidRPr="0010784C" w:rsidRDefault="00C821BE" w:rsidP="00C821BE">
            <w:pPr>
              <w:spacing w:after="0" w:line="240" w:lineRule="auto"/>
              <w:jc w:val="center"/>
              <w:rPr>
                <w:rFonts w:ascii="Times New Roman" w:hAnsi="Times New Roman"/>
                <w:sz w:val="16"/>
                <w:szCs w:val="16"/>
                <w:lang w:val="en-US"/>
              </w:rPr>
            </w:pPr>
          </w:p>
        </w:tc>
        <w:tc>
          <w:tcPr>
            <w:tcW w:w="284" w:type="dxa"/>
            <w:vMerge/>
            <w:shd w:val="clear" w:color="auto" w:fill="002060"/>
            <w:vAlign w:val="center"/>
          </w:tcPr>
          <w:p w:rsidR="00C821BE" w:rsidRPr="0010784C" w:rsidRDefault="00C821BE" w:rsidP="00C821BE">
            <w:pPr>
              <w:spacing w:after="0" w:line="240" w:lineRule="auto"/>
              <w:jc w:val="center"/>
              <w:rPr>
                <w:rFonts w:ascii="Times New Roman" w:hAnsi="Times New Roman"/>
                <w:b/>
                <w:sz w:val="16"/>
                <w:szCs w:val="16"/>
                <w:lang w:val="en-US"/>
              </w:rPr>
            </w:pPr>
          </w:p>
        </w:tc>
        <w:tc>
          <w:tcPr>
            <w:tcW w:w="850" w:type="dxa"/>
            <w:vMerge/>
            <w:vAlign w:val="center"/>
          </w:tcPr>
          <w:p w:rsidR="00C821BE" w:rsidRPr="0010784C" w:rsidRDefault="00C821BE" w:rsidP="00C821BE">
            <w:pPr>
              <w:spacing w:after="0" w:line="240" w:lineRule="auto"/>
              <w:jc w:val="center"/>
              <w:rPr>
                <w:rFonts w:ascii="Times New Roman" w:hAnsi="Times New Roman"/>
                <w:sz w:val="16"/>
                <w:szCs w:val="16"/>
                <w:lang w:val="en-US"/>
              </w:rPr>
            </w:pPr>
          </w:p>
        </w:tc>
        <w:tc>
          <w:tcPr>
            <w:tcW w:w="284" w:type="dxa"/>
            <w:vMerge/>
            <w:shd w:val="clear" w:color="auto" w:fill="002060"/>
            <w:vAlign w:val="center"/>
          </w:tcPr>
          <w:p w:rsidR="00C821BE" w:rsidRPr="0010784C" w:rsidRDefault="00C821BE" w:rsidP="00C821BE">
            <w:pPr>
              <w:spacing w:after="0" w:line="240" w:lineRule="auto"/>
              <w:jc w:val="center"/>
              <w:rPr>
                <w:rFonts w:ascii="Times New Roman" w:hAnsi="Times New Roman"/>
                <w:b/>
                <w:sz w:val="16"/>
                <w:szCs w:val="16"/>
                <w:lang w:val="en-US"/>
              </w:rPr>
            </w:pPr>
          </w:p>
        </w:tc>
        <w:tc>
          <w:tcPr>
            <w:tcW w:w="850" w:type="dxa"/>
            <w:vMerge/>
            <w:shd w:val="clear" w:color="auto" w:fill="92D050"/>
            <w:vAlign w:val="center"/>
          </w:tcPr>
          <w:p w:rsidR="00C821BE" w:rsidRPr="0010784C" w:rsidRDefault="00C821BE" w:rsidP="00C821BE">
            <w:pPr>
              <w:spacing w:after="0" w:line="240" w:lineRule="auto"/>
              <w:jc w:val="center"/>
              <w:rPr>
                <w:rFonts w:ascii="Times New Roman" w:hAnsi="Times New Roman"/>
                <w:b/>
                <w:sz w:val="16"/>
                <w:szCs w:val="16"/>
                <w:lang w:val="en-US"/>
              </w:rPr>
            </w:pPr>
          </w:p>
        </w:tc>
        <w:tc>
          <w:tcPr>
            <w:tcW w:w="567" w:type="dxa"/>
            <w:vMerge/>
            <w:shd w:val="clear" w:color="auto" w:fill="92D050"/>
            <w:vAlign w:val="center"/>
          </w:tcPr>
          <w:p w:rsidR="00C821BE" w:rsidRPr="0010784C" w:rsidRDefault="00C821BE" w:rsidP="00C821BE">
            <w:pPr>
              <w:spacing w:after="0" w:line="240" w:lineRule="auto"/>
              <w:jc w:val="center"/>
              <w:rPr>
                <w:rFonts w:ascii="Times New Roman" w:hAnsi="Times New Roman"/>
                <w:b/>
                <w:sz w:val="16"/>
                <w:szCs w:val="16"/>
                <w:lang w:val="en-US"/>
              </w:rPr>
            </w:pPr>
          </w:p>
        </w:tc>
      </w:tr>
      <w:tr w:rsidR="00C821BE" w:rsidRPr="003C548E" w:rsidTr="00C821BE">
        <w:trPr>
          <w:jc w:val="center"/>
        </w:trPr>
        <w:tc>
          <w:tcPr>
            <w:tcW w:w="988" w:type="dxa"/>
            <w:vMerge/>
            <w:shd w:val="clear" w:color="auto" w:fill="BDD6EE"/>
          </w:tcPr>
          <w:p w:rsidR="00C821BE" w:rsidRPr="0010784C" w:rsidRDefault="00C821BE" w:rsidP="00C821BE">
            <w:pPr>
              <w:spacing w:after="0" w:line="240" w:lineRule="auto"/>
              <w:jc w:val="both"/>
              <w:rPr>
                <w:rFonts w:ascii="Times New Roman" w:hAnsi="Times New Roman"/>
                <w:sz w:val="16"/>
                <w:szCs w:val="16"/>
                <w:lang w:val="en-US"/>
              </w:rPr>
            </w:pPr>
          </w:p>
        </w:tc>
        <w:tc>
          <w:tcPr>
            <w:tcW w:w="850" w:type="dxa"/>
            <w:vMerge/>
          </w:tcPr>
          <w:p w:rsidR="00C821BE" w:rsidRPr="0010784C" w:rsidRDefault="00C821BE" w:rsidP="00C821BE">
            <w:pPr>
              <w:tabs>
                <w:tab w:val="left" w:pos="2193"/>
              </w:tabs>
              <w:spacing w:after="0" w:line="240" w:lineRule="auto"/>
              <w:jc w:val="both"/>
              <w:rPr>
                <w:rFonts w:ascii="Times New Roman" w:hAnsi="Times New Roman"/>
                <w:b/>
                <w:sz w:val="16"/>
                <w:szCs w:val="16"/>
                <w:lang w:val="en-US"/>
              </w:rPr>
            </w:pPr>
          </w:p>
        </w:tc>
        <w:tc>
          <w:tcPr>
            <w:tcW w:w="4536" w:type="dxa"/>
            <w:gridSpan w:val="4"/>
          </w:tcPr>
          <w:p w:rsidR="00C821BE" w:rsidRPr="0010784C" w:rsidRDefault="00C821BE" w:rsidP="00C821BE">
            <w:pPr>
              <w:pStyle w:val="PargrafodaLista"/>
              <w:numPr>
                <w:ilvl w:val="0"/>
                <w:numId w:val="225"/>
              </w:numPr>
              <w:spacing w:after="0" w:line="240" w:lineRule="auto"/>
              <w:ind w:left="313" w:hanging="313"/>
              <w:jc w:val="both"/>
              <w:rPr>
                <w:rFonts w:ascii="Times New Roman" w:hAnsi="Times New Roman"/>
                <w:sz w:val="16"/>
                <w:szCs w:val="16"/>
                <w:lang w:val="en-US"/>
              </w:rPr>
            </w:pPr>
            <w:r w:rsidRPr="0010784C">
              <w:rPr>
                <w:rFonts w:ascii="Times New Roman" w:hAnsi="Times New Roman"/>
                <w:sz w:val="16"/>
                <w:szCs w:val="16"/>
                <w:lang w:val="en-US"/>
              </w:rPr>
              <w:t>Reduced risk of bodily injury due to transporting water over long distances and at early or late hours</w:t>
            </w:r>
          </w:p>
        </w:tc>
        <w:tc>
          <w:tcPr>
            <w:tcW w:w="851" w:type="dxa"/>
            <w:vMerge/>
            <w:shd w:val="clear" w:color="auto" w:fill="FFFFFF"/>
            <w:vAlign w:val="center"/>
          </w:tcPr>
          <w:p w:rsidR="00C821BE" w:rsidRPr="0010784C" w:rsidRDefault="00C821BE" w:rsidP="00C821BE">
            <w:pPr>
              <w:spacing w:after="0" w:line="240" w:lineRule="auto"/>
              <w:jc w:val="center"/>
              <w:rPr>
                <w:rFonts w:ascii="Times New Roman" w:hAnsi="Times New Roman"/>
                <w:sz w:val="16"/>
                <w:szCs w:val="16"/>
                <w:lang w:val="en-US"/>
              </w:rPr>
            </w:pPr>
          </w:p>
        </w:tc>
        <w:tc>
          <w:tcPr>
            <w:tcW w:w="283" w:type="dxa"/>
            <w:vMerge/>
            <w:shd w:val="clear" w:color="auto" w:fill="002060"/>
            <w:vAlign w:val="center"/>
          </w:tcPr>
          <w:p w:rsidR="00C821BE" w:rsidRPr="0010784C" w:rsidRDefault="00C821BE" w:rsidP="00C821BE">
            <w:pPr>
              <w:spacing w:after="0" w:line="240" w:lineRule="auto"/>
              <w:jc w:val="center"/>
              <w:rPr>
                <w:rFonts w:ascii="Times New Roman" w:hAnsi="Times New Roman"/>
                <w:b/>
                <w:sz w:val="16"/>
                <w:szCs w:val="16"/>
                <w:lang w:val="en-US"/>
              </w:rPr>
            </w:pPr>
          </w:p>
        </w:tc>
        <w:tc>
          <w:tcPr>
            <w:tcW w:w="992" w:type="dxa"/>
            <w:vMerge/>
            <w:shd w:val="clear" w:color="auto" w:fill="FFFFFF"/>
            <w:vAlign w:val="center"/>
          </w:tcPr>
          <w:p w:rsidR="00C821BE" w:rsidRPr="0010784C" w:rsidRDefault="00C821BE" w:rsidP="00C821BE">
            <w:pPr>
              <w:spacing w:after="0" w:line="240" w:lineRule="auto"/>
              <w:jc w:val="center"/>
              <w:rPr>
                <w:rFonts w:ascii="Times New Roman" w:hAnsi="Times New Roman"/>
                <w:sz w:val="16"/>
                <w:szCs w:val="16"/>
                <w:lang w:val="en-US"/>
              </w:rPr>
            </w:pPr>
          </w:p>
        </w:tc>
        <w:tc>
          <w:tcPr>
            <w:tcW w:w="284" w:type="dxa"/>
            <w:vMerge/>
            <w:shd w:val="clear" w:color="auto" w:fill="002060"/>
            <w:vAlign w:val="center"/>
          </w:tcPr>
          <w:p w:rsidR="00C821BE" w:rsidRPr="0010784C" w:rsidRDefault="00C821BE" w:rsidP="00C821BE">
            <w:pPr>
              <w:spacing w:after="0" w:line="240" w:lineRule="auto"/>
              <w:jc w:val="center"/>
              <w:rPr>
                <w:rFonts w:ascii="Times New Roman" w:hAnsi="Times New Roman"/>
                <w:b/>
                <w:sz w:val="16"/>
                <w:szCs w:val="16"/>
                <w:lang w:val="en-US"/>
              </w:rPr>
            </w:pPr>
          </w:p>
        </w:tc>
        <w:tc>
          <w:tcPr>
            <w:tcW w:w="850" w:type="dxa"/>
            <w:vMerge/>
            <w:shd w:val="clear" w:color="auto" w:fill="FFFFFF"/>
            <w:vAlign w:val="center"/>
          </w:tcPr>
          <w:p w:rsidR="00C821BE" w:rsidRPr="0010784C" w:rsidRDefault="00C821BE" w:rsidP="00C821BE">
            <w:pPr>
              <w:spacing w:after="0" w:line="240" w:lineRule="auto"/>
              <w:jc w:val="center"/>
              <w:rPr>
                <w:rFonts w:ascii="Times New Roman" w:hAnsi="Times New Roman"/>
                <w:sz w:val="16"/>
                <w:szCs w:val="16"/>
                <w:lang w:val="en-US"/>
              </w:rPr>
            </w:pPr>
          </w:p>
        </w:tc>
        <w:tc>
          <w:tcPr>
            <w:tcW w:w="284" w:type="dxa"/>
            <w:vMerge/>
            <w:shd w:val="clear" w:color="auto" w:fill="002060"/>
            <w:vAlign w:val="center"/>
          </w:tcPr>
          <w:p w:rsidR="00C821BE" w:rsidRPr="0010784C" w:rsidRDefault="00C821BE" w:rsidP="00C821BE">
            <w:pPr>
              <w:spacing w:after="0" w:line="240" w:lineRule="auto"/>
              <w:jc w:val="center"/>
              <w:rPr>
                <w:rFonts w:ascii="Times New Roman" w:hAnsi="Times New Roman"/>
                <w:b/>
                <w:sz w:val="16"/>
                <w:szCs w:val="16"/>
                <w:lang w:val="en-US"/>
              </w:rPr>
            </w:pPr>
          </w:p>
        </w:tc>
        <w:tc>
          <w:tcPr>
            <w:tcW w:w="850" w:type="dxa"/>
            <w:vMerge/>
            <w:shd w:val="clear" w:color="auto" w:fill="92D050"/>
            <w:vAlign w:val="center"/>
          </w:tcPr>
          <w:p w:rsidR="00C821BE" w:rsidRPr="0010784C" w:rsidRDefault="00C821BE" w:rsidP="00C821BE">
            <w:pPr>
              <w:spacing w:after="0" w:line="240" w:lineRule="auto"/>
              <w:jc w:val="center"/>
              <w:rPr>
                <w:rFonts w:ascii="Times New Roman" w:hAnsi="Times New Roman"/>
                <w:b/>
                <w:sz w:val="16"/>
                <w:szCs w:val="16"/>
                <w:lang w:val="en-US"/>
              </w:rPr>
            </w:pPr>
          </w:p>
        </w:tc>
        <w:tc>
          <w:tcPr>
            <w:tcW w:w="567" w:type="dxa"/>
            <w:vMerge/>
            <w:shd w:val="clear" w:color="auto" w:fill="92D050"/>
            <w:vAlign w:val="center"/>
          </w:tcPr>
          <w:p w:rsidR="00C821BE" w:rsidRPr="0010784C" w:rsidRDefault="00C821BE" w:rsidP="00C821BE">
            <w:pPr>
              <w:spacing w:after="0" w:line="240" w:lineRule="auto"/>
              <w:jc w:val="center"/>
              <w:rPr>
                <w:rFonts w:ascii="Times New Roman" w:hAnsi="Times New Roman"/>
                <w:b/>
                <w:sz w:val="16"/>
                <w:szCs w:val="16"/>
                <w:lang w:val="en-US"/>
              </w:rPr>
            </w:pPr>
          </w:p>
        </w:tc>
      </w:tr>
      <w:tr w:rsidR="00C821BE" w:rsidRPr="0010784C" w:rsidTr="00C821BE">
        <w:trPr>
          <w:jc w:val="center"/>
        </w:trPr>
        <w:tc>
          <w:tcPr>
            <w:tcW w:w="988" w:type="dxa"/>
            <w:vMerge/>
            <w:shd w:val="clear" w:color="auto" w:fill="BDD6EE"/>
          </w:tcPr>
          <w:p w:rsidR="00C821BE" w:rsidRPr="0010784C" w:rsidRDefault="00C821BE" w:rsidP="00C821BE">
            <w:pPr>
              <w:spacing w:after="0" w:line="240" w:lineRule="auto"/>
              <w:jc w:val="both"/>
              <w:rPr>
                <w:rFonts w:ascii="Times New Roman" w:hAnsi="Times New Roman"/>
                <w:sz w:val="16"/>
                <w:szCs w:val="16"/>
                <w:lang w:val="en-US"/>
              </w:rPr>
            </w:pPr>
          </w:p>
        </w:tc>
        <w:tc>
          <w:tcPr>
            <w:tcW w:w="850" w:type="dxa"/>
            <w:vMerge/>
          </w:tcPr>
          <w:p w:rsidR="00C821BE" w:rsidRPr="0010784C" w:rsidRDefault="00C821BE" w:rsidP="00C821BE">
            <w:pPr>
              <w:spacing w:after="0" w:line="240" w:lineRule="auto"/>
              <w:jc w:val="both"/>
              <w:rPr>
                <w:rFonts w:ascii="Times New Roman" w:hAnsi="Times New Roman"/>
                <w:b/>
                <w:sz w:val="16"/>
                <w:szCs w:val="16"/>
                <w:lang w:val="en-US"/>
              </w:rPr>
            </w:pPr>
          </w:p>
        </w:tc>
        <w:tc>
          <w:tcPr>
            <w:tcW w:w="4536" w:type="dxa"/>
            <w:gridSpan w:val="4"/>
          </w:tcPr>
          <w:p w:rsidR="00C821BE" w:rsidRPr="0010784C" w:rsidRDefault="00C821BE" w:rsidP="00C821BE">
            <w:pPr>
              <w:pStyle w:val="PargrafodaLista"/>
              <w:numPr>
                <w:ilvl w:val="0"/>
                <w:numId w:val="225"/>
              </w:numPr>
              <w:spacing w:after="0" w:line="240" w:lineRule="auto"/>
              <w:ind w:left="313" w:hanging="313"/>
              <w:jc w:val="both"/>
              <w:rPr>
                <w:rFonts w:ascii="Times New Roman" w:hAnsi="Times New Roman"/>
                <w:sz w:val="16"/>
                <w:szCs w:val="16"/>
                <w:lang w:val="en-US"/>
              </w:rPr>
            </w:pPr>
            <w:r w:rsidRPr="0010784C">
              <w:rPr>
                <w:rFonts w:ascii="Times New Roman" w:hAnsi="Times New Roman"/>
                <w:sz w:val="16"/>
                <w:szCs w:val="16"/>
                <w:lang w:val="en-US"/>
              </w:rPr>
              <w:t>Improvement of the framework and the living conditions of the populations but also to a population dynamic of sectors or neighborhoods</w:t>
            </w:r>
          </w:p>
        </w:tc>
        <w:tc>
          <w:tcPr>
            <w:tcW w:w="851" w:type="dxa"/>
            <w:vMerge w:val="restart"/>
            <w:vAlign w:val="center"/>
          </w:tcPr>
          <w:p w:rsidR="00C821BE" w:rsidRPr="0010784C" w:rsidRDefault="00C821BE" w:rsidP="00C821BE">
            <w:pPr>
              <w:spacing w:after="0" w:line="240" w:lineRule="auto"/>
              <w:jc w:val="center"/>
              <w:rPr>
                <w:rFonts w:ascii="Times New Roman" w:hAnsi="Times New Roman"/>
                <w:sz w:val="16"/>
                <w:szCs w:val="16"/>
                <w:lang w:val="en-US"/>
              </w:rPr>
            </w:pPr>
            <w:r w:rsidRPr="0010784C">
              <w:rPr>
                <w:rFonts w:ascii="Times New Roman" w:hAnsi="Times New Roman"/>
                <w:sz w:val="16"/>
                <w:szCs w:val="16"/>
                <w:lang w:val="en-US"/>
              </w:rPr>
              <w:t>Average</w:t>
            </w:r>
          </w:p>
        </w:tc>
        <w:tc>
          <w:tcPr>
            <w:tcW w:w="283" w:type="dxa"/>
            <w:vMerge w:val="restart"/>
            <w:shd w:val="clear" w:color="auto" w:fill="002060"/>
            <w:vAlign w:val="center"/>
          </w:tcPr>
          <w:p w:rsidR="00C821BE" w:rsidRPr="0010784C" w:rsidRDefault="00C821BE" w:rsidP="00C821BE">
            <w:pPr>
              <w:spacing w:after="0" w:line="240" w:lineRule="auto"/>
              <w:jc w:val="center"/>
              <w:rPr>
                <w:rFonts w:ascii="Times New Roman" w:hAnsi="Times New Roman"/>
                <w:b/>
                <w:sz w:val="16"/>
                <w:szCs w:val="16"/>
                <w:lang w:val="en-US"/>
              </w:rPr>
            </w:pPr>
            <w:r w:rsidRPr="0010784C">
              <w:rPr>
                <w:rFonts w:ascii="Times New Roman" w:hAnsi="Times New Roman"/>
                <w:b/>
                <w:sz w:val="16"/>
                <w:szCs w:val="16"/>
                <w:lang w:val="en-US"/>
              </w:rPr>
              <w:t>3</w:t>
            </w:r>
          </w:p>
        </w:tc>
        <w:tc>
          <w:tcPr>
            <w:tcW w:w="992" w:type="dxa"/>
            <w:vMerge w:val="restart"/>
            <w:vAlign w:val="center"/>
          </w:tcPr>
          <w:p w:rsidR="00C821BE" w:rsidRPr="0010784C" w:rsidRDefault="00C821BE" w:rsidP="00C821BE">
            <w:pPr>
              <w:spacing w:after="0" w:line="240" w:lineRule="auto"/>
              <w:jc w:val="center"/>
              <w:rPr>
                <w:rFonts w:ascii="Times New Roman" w:hAnsi="Times New Roman"/>
                <w:sz w:val="16"/>
                <w:szCs w:val="16"/>
                <w:lang w:val="en-US"/>
              </w:rPr>
            </w:pPr>
            <w:r w:rsidRPr="0010784C">
              <w:rPr>
                <w:rFonts w:ascii="Times New Roman" w:hAnsi="Times New Roman"/>
                <w:sz w:val="16"/>
                <w:szCs w:val="16"/>
                <w:lang w:val="en-US"/>
              </w:rPr>
              <w:t>Local</w:t>
            </w:r>
          </w:p>
        </w:tc>
        <w:tc>
          <w:tcPr>
            <w:tcW w:w="284" w:type="dxa"/>
            <w:vMerge w:val="restart"/>
            <w:shd w:val="clear" w:color="auto" w:fill="002060"/>
            <w:vAlign w:val="center"/>
          </w:tcPr>
          <w:p w:rsidR="00C821BE" w:rsidRPr="0010784C" w:rsidRDefault="00C821BE" w:rsidP="00C821BE">
            <w:pPr>
              <w:spacing w:after="0" w:line="240" w:lineRule="auto"/>
              <w:jc w:val="center"/>
              <w:rPr>
                <w:rFonts w:ascii="Times New Roman" w:hAnsi="Times New Roman"/>
                <w:b/>
                <w:sz w:val="16"/>
                <w:szCs w:val="16"/>
                <w:lang w:val="en-US"/>
              </w:rPr>
            </w:pPr>
            <w:r w:rsidRPr="0010784C">
              <w:rPr>
                <w:rFonts w:ascii="Times New Roman" w:hAnsi="Times New Roman"/>
                <w:b/>
                <w:sz w:val="16"/>
                <w:szCs w:val="16"/>
                <w:lang w:val="en-US"/>
              </w:rPr>
              <w:t>3</w:t>
            </w:r>
          </w:p>
        </w:tc>
        <w:tc>
          <w:tcPr>
            <w:tcW w:w="850" w:type="dxa"/>
            <w:vMerge w:val="restart"/>
            <w:vAlign w:val="center"/>
          </w:tcPr>
          <w:p w:rsidR="00C821BE" w:rsidRPr="0010784C" w:rsidRDefault="00C821BE" w:rsidP="00C821BE">
            <w:pPr>
              <w:spacing w:after="0" w:line="240" w:lineRule="auto"/>
              <w:jc w:val="center"/>
              <w:rPr>
                <w:rFonts w:ascii="Times New Roman" w:hAnsi="Times New Roman"/>
                <w:sz w:val="16"/>
                <w:szCs w:val="16"/>
                <w:lang w:val="en-US"/>
              </w:rPr>
            </w:pPr>
            <w:r w:rsidRPr="0010784C">
              <w:rPr>
                <w:rFonts w:ascii="Times New Roman" w:hAnsi="Times New Roman"/>
                <w:sz w:val="16"/>
                <w:szCs w:val="16"/>
                <w:lang w:val="en-US"/>
              </w:rPr>
              <w:t>Long</w:t>
            </w:r>
          </w:p>
        </w:tc>
        <w:tc>
          <w:tcPr>
            <w:tcW w:w="284" w:type="dxa"/>
            <w:vMerge w:val="restart"/>
            <w:shd w:val="clear" w:color="auto" w:fill="002060"/>
            <w:vAlign w:val="center"/>
          </w:tcPr>
          <w:p w:rsidR="00C821BE" w:rsidRPr="0010784C" w:rsidRDefault="00C821BE" w:rsidP="00C821BE">
            <w:pPr>
              <w:spacing w:after="0" w:line="240" w:lineRule="auto"/>
              <w:jc w:val="center"/>
              <w:rPr>
                <w:rFonts w:ascii="Times New Roman" w:hAnsi="Times New Roman"/>
                <w:b/>
                <w:sz w:val="16"/>
                <w:szCs w:val="16"/>
                <w:lang w:val="en-US"/>
              </w:rPr>
            </w:pPr>
            <w:r w:rsidRPr="0010784C">
              <w:rPr>
                <w:rFonts w:ascii="Times New Roman" w:hAnsi="Times New Roman"/>
                <w:b/>
                <w:sz w:val="16"/>
                <w:szCs w:val="16"/>
                <w:lang w:val="en-US"/>
              </w:rPr>
              <w:t>5</w:t>
            </w:r>
          </w:p>
        </w:tc>
        <w:tc>
          <w:tcPr>
            <w:tcW w:w="850" w:type="dxa"/>
            <w:vMerge w:val="restart"/>
            <w:shd w:val="clear" w:color="auto" w:fill="FFE599" w:themeFill="accent4" w:themeFillTint="66"/>
            <w:vAlign w:val="center"/>
          </w:tcPr>
          <w:p w:rsidR="00C821BE" w:rsidRPr="0010784C" w:rsidRDefault="00C821BE" w:rsidP="00C821BE">
            <w:pPr>
              <w:spacing w:after="0" w:line="240" w:lineRule="auto"/>
              <w:jc w:val="center"/>
              <w:rPr>
                <w:rFonts w:ascii="Times New Roman" w:hAnsi="Times New Roman"/>
                <w:b/>
                <w:sz w:val="16"/>
                <w:szCs w:val="16"/>
                <w:lang w:val="en-US"/>
              </w:rPr>
            </w:pPr>
            <w:r w:rsidRPr="0010784C">
              <w:rPr>
                <w:rFonts w:ascii="Times New Roman" w:hAnsi="Times New Roman"/>
                <w:b/>
                <w:sz w:val="16"/>
                <w:szCs w:val="16"/>
                <w:lang w:val="en-US"/>
              </w:rPr>
              <w:t>Average</w:t>
            </w:r>
          </w:p>
        </w:tc>
        <w:tc>
          <w:tcPr>
            <w:tcW w:w="567" w:type="dxa"/>
            <w:vMerge w:val="restart"/>
            <w:shd w:val="clear" w:color="auto" w:fill="FFE599" w:themeFill="accent4" w:themeFillTint="66"/>
            <w:vAlign w:val="center"/>
          </w:tcPr>
          <w:p w:rsidR="00C821BE" w:rsidRPr="0010784C" w:rsidRDefault="00C821BE" w:rsidP="00C821BE">
            <w:pPr>
              <w:spacing w:after="0" w:line="240" w:lineRule="auto"/>
              <w:jc w:val="center"/>
              <w:rPr>
                <w:rFonts w:ascii="Times New Roman" w:hAnsi="Times New Roman"/>
                <w:b/>
                <w:sz w:val="16"/>
                <w:szCs w:val="16"/>
                <w:lang w:val="en-US"/>
              </w:rPr>
            </w:pPr>
            <w:r w:rsidRPr="0010784C">
              <w:rPr>
                <w:rFonts w:ascii="Times New Roman" w:hAnsi="Times New Roman"/>
                <w:b/>
                <w:sz w:val="16"/>
                <w:szCs w:val="16"/>
                <w:lang w:val="en-US"/>
              </w:rPr>
              <w:t>45</w:t>
            </w:r>
          </w:p>
        </w:tc>
      </w:tr>
      <w:tr w:rsidR="00C821BE" w:rsidRPr="003C548E" w:rsidTr="00C821BE">
        <w:trPr>
          <w:jc w:val="center"/>
        </w:trPr>
        <w:tc>
          <w:tcPr>
            <w:tcW w:w="988" w:type="dxa"/>
            <w:vMerge/>
            <w:shd w:val="clear" w:color="auto" w:fill="BDD6EE"/>
          </w:tcPr>
          <w:p w:rsidR="00C821BE" w:rsidRPr="0010784C" w:rsidRDefault="00C821BE" w:rsidP="00C821BE">
            <w:pPr>
              <w:spacing w:after="0" w:line="240" w:lineRule="auto"/>
              <w:jc w:val="both"/>
              <w:rPr>
                <w:rFonts w:ascii="Times New Roman" w:hAnsi="Times New Roman"/>
                <w:sz w:val="16"/>
                <w:szCs w:val="16"/>
                <w:lang w:val="en-US"/>
              </w:rPr>
            </w:pPr>
          </w:p>
        </w:tc>
        <w:tc>
          <w:tcPr>
            <w:tcW w:w="850" w:type="dxa"/>
            <w:vMerge/>
          </w:tcPr>
          <w:p w:rsidR="00C821BE" w:rsidRPr="0010784C" w:rsidRDefault="00C821BE" w:rsidP="00C821BE">
            <w:pPr>
              <w:spacing w:after="0" w:line="240" w:lineRule="auto"/>
              <w:jc w:val="both"/>
              <w:rPr>
                <w:rFonts w:ascii="Times New Roman" w:hAnsi="Times New Roman"/>
                <w:b/>
                <w:sz w:val="16"/>
                <w:szCs w:val="16"/>
                <w:lang w:val="en-US"/>
              </w:rPr>
            </w:pPr>
          </w:p>
        </w:tc>
        <w:tc>
          <w:tcPr>
            <w:tcW w:w="4536" w:type="dxa"/>
            <w:gridSpan w:val="4"/>
          </w:tcPr>
          <w:p w:rsidR="00C821BE" w:rsidRPr="0010784C" w:rsidRDefault="00C821BE" w:rsidP="00C821BE">
            <w:pPr>
              <w:pStyle w:val="PargrafodaLista"/>
              <w:numPr>
                <w:ilvl w:val="0"/>
                <w:numId w:val="225"/>
              </w:numPr>
              <w:spacing w:after="0" w:line="240" w:lineRule="auto"/>
              <w:ind w:left="313" w:hanging="313"/>
              <w:jc w:val="both"/>
              <w:rPr>
                <w:rFonts w:ascii="Times New Roman" w:hAnsi="Times New Roman"/>
                <w:sz w:val="16"/>
                <w:szCs w:val="16"/>
                <w:lang w:val="en-US"/>
              </w:rPr>
            </w:pPr>
            <w:r w:rsidRPr="0010784C">
              <w:rPr>
                <w:rFonts w:ascii="Times New Roman" w:hAnsi="Times New Roman"/>
                <w:sz w:val="16"/>
                <w:szCs w:val="16"/>
                <w:lang w:val="en-US"/>
              </w:rPr>
              <w:t>Reduced risk of social tensions</w:t>
            </w:r>
          </w:p>
        </w:tc>
        <w:tc>
          <w:tcPr>
            <w:tcW w:w="851" w:type="dxa"/>
            <w:vMerge/>
            <w:vAlign w:val="center"/>
          </w:tcPr>
          <w:p w:rsidR="00C821BE" w:rsidRPr="0010784C" w:rsidRDefault="00C821BE" w:rsidP="00C821BE">
            <w:pPr>
              <w:spacing w:after="0" w:line="240" w:lineRule="auto"/>
              <w:jc w:val="center"/>
              <w:rPr>
                <w:rFonts w:ascii="Times New Roman" w:hAnsi="Times New Roman"/>
                <w:sz w:val="16"/>
                <w:szCs w:val="16"/>
                <w:lang w:val="en-US"/>
              </w:rPr>
            </w:pPr>
          </w:p>
        </w:tc>
        <w:tc>
          <w:tcPr>
            <w:tcW w:w="283" w:type="dxa"/>
            <w:vMerge/>
            <w:shd w:val="clear" w:color="auto" w:fill="002060"/>
            <w:vAlign w:val="center"/>
          </w:tcPr>
          <w:p w:rsidR="00C821BE" w:rsidRPr="0010784C" w:rsidRDefault="00C821BE" w:rsidP="00C821BE">
            <w:pPr>
              <w:spacing w:after="0" w:line="240" w:lineRule="auto"/>
              <w:jc w:val="center"/>
              <w:rPr>
                <w:rFonts w:ascii="Times New Roman" w:hAnsi="Times New Roman"/>
                <w:b/>
                <w:sz w:val="16"/>
                <w:szCs w:val="16"/>
                <w:lang w:val="en-US"/>
              </w:rPr>
            </w:pPr>
          </w:p>
        </w:tc>
        <w:tc>
          <w:tcPr>
            <w:tcW w:w="992" w:type="dxa"/>
            <w:vMerge/>
            <w:vAlign w:val="center"/>
          </w:tcPr>
          <w:p w:rsidR="00C821BE" w:rsidRPr="0010784C" w:rsidRDefault="00C821BE" w:rsidP="00C821BE">
            <w:pPr>
              <w:spacing w:after="0" w:line="240" w:lineRule="auto"/>
              <w:jc w:val="center"/>
              <w:rPr>
                <w:rFonts w:ascii="Times New Roman" w:hAnsi="Times New Roman"/>
                <w:sz w:val="16"/>
                <w:szCs w:val="16"/>
                <w:lang w:val="en-US"/>
              </w:rPr>
            </w:pPr>
          </w:p>
        </w:tc>
        <w:tc>
          <w:tcPr>
            <w:tcW w:w="284" w:type="dxa"/>
            <w:vMerge/>
            <w:shd w:val="clear" w:color="auto" w:fill="002060"/>
            <w:vAlign w:val="center"/>
          </w:tcPr>
          <w:p w:rsidR="00C821BE" w:rsidRPr="0010784C" w:rsidRDefault="00C821BE" w:rsidP="00C821BE">
            <w:pPr>
              <w:spacing w:after="0" w:line="240" w:lineRule="auto"/>
              <w:jc w:val="center"/>
              <w:rPr>
                <w:rFonts w:ascii="Times New Roman" w:hAnsi="Times New Roman"/>
                <w:b/>
                <w:sz w:val="16"/>
                <w:szCs w:val="16"/>
                <w:lang w:val="en-US"/>
              </w:rPr>
            </w:pPr>
          </w:p>
        </w:tc>
        <w:tc>
          <w:tcPr>
            <w:tcW w:w="850" w:type="dxa"/>
            <w:vMerge/>
            <w:vAlign w:val="center"/>
          </w:tcPr>
          <w:p w:rsidR="00C821BE" w:rsidRPr="0010784C" w:rsidRDefault="00C821BE" w:rsidP="00C821BE">
            <w:pPr>
              <w:spacing w:after="0" w:line="240" w:lineRule="auto"/>
              <w:jc w:val="center"/>
              <w:rPr>
                <w:rFonts w:ascii="Times New Roman" w:hAnsi="Times New Roman"/>
                <w:sz w:val="16"/>
                <w:szCs w:val="16"/>
                <w:lang w:val="en-US"/>
              </w:rPr>
            </w:pPr>
          </w:p>
        </w:tc>
        <w:tc>
          <w:tcPr>
            <w:tcW w:w="284" w:type="dxa"/>
            <w:vMerge/>
            <w:shd w:val="clear" w:color="auto" w:fill="002060"/>
            <w:vAlign w:val="center"/>
          </w:tcPr>
          <w:p w:rsidR="00C821BE" w:rsidRPr="0010784C" w:rsidRDefault="00C821BE" w:rsidP="00C821BE">
            <w:pPr>
              <w:spacing w:after="0" w:line="240" w:lineRule="auto"/>
              <w:jc w:val="center"/>
              <w:rPr>
                <w:rFonts w:ascii="Times New Roman" w:hAnsi="Times New Roman"/>
                <w:b/>
                <w:sz w:val="16"/>
                <w:szCs w:val="16"/>
                <w:lang w:val="en-US"/>
              </w:rPr>
            </w:pPr>
          </w:p>
        </w:tc>
        <w:tc>
          <w:tcPr>
            <w:tcW w:w="850" w:type="dxa"/>
            <w:vMerge/>
            <w:shd w:val="clear" w:color="auto" w:fill="FFE599" w:themeFill="accent4" w:themeFillTint="66"/>
            <w:vAlign w:val="center"/>
          </w:tcPr>
          <w:p w:rsidR="00C821BE" w:rsidRPr="0010784C" w:rsidRDefault="00C821BE" w:rsidP="00C821BE">
            <w:pPr>
              <w:spacing w:after="0" w:line="240" w:lineRule="auto"/>
              <w:jc w:val="center"/>
              <w:rPr>
                <w:rFonts w:ascii="Times New Roman" w:hAnsi="Times New Roman"/>
                <w:b/>
                <w:sz w:val="16"/>
                <w:szCs w:val="16"/>
                <w:lang w:val="en-US"/>
              </w:rPr>
            </w:pPr>
          </w:p>
        </w:tc>
        <w:tc>
          <w:tcPr>
            <w:tcW w:w="567" w:type="dxa"/>
            <w:vMerge/>
            <w:shd w:val="clear" w:color="auto" w:fill="FFE599" w:themeFill="accent4" w:themeFillTint="66"/>
            <w:vAlign w:val="center"/>
          </w:tcPr>
          <w:p w:rsidR="00C821BE" w:rsidRPr="0010784C" w:rsidRDefault="00C821BE" w:rsidP="00C821BE">
            <w:pPr>
              <w:spacing w:after="0" w:line="240" w:lineRule="auto"/>
              <w:jc w:val="center"/>
              <w:rPr>
                <w:rFonts w:ascii="Times New Roman" w:hAnsi="Times New Roman"/>
                <w:b/>
                <w:sz w:val="16"/>
                <w:szCs w:val="16"/>
                <w:lang w:val="en-US"/>
              </w:rPr>
            </w:pPr>
          </w:p>
        </w:tc>
      </w:tr>
      <w:tr w:rsidR="00C821BE" w:rsidRPr="0010784C" w:rsidTr="00C821BE">
        <w:trPr>
          <w:jc w:val="center"/>
        </w:trPr>
        <w:tc>
          <w:tcPr>
            <w:tcW w:w="988" w:type="dxa"/>
            <w:vMerge/>
            <w:shd w:val="clear" w:color="auto" w:fill="BDD6EE"/>
          </w:tcPr>
          <w:p w:rsidR="00C821BE" w:rsidRPr="0010784C" w:rsidRDefault="00C821BE" w:rsidP="00C821BE">
            <w:pPr>
              <w:spacing w:after="0" w:line="240" w:lineRule="auto"/>
              <w:jc w:val="both"/>
              <w:rPr>
                <w:rFonts w:ascii="Times New Roman" w:hAnsi="Times New Roman"/>
                <w:sz w:val="16"/>
                <w:szCs w:val="16"/>
                <w:lang w:val="en-US"/>
              </w:rPr>
            </w:pPr>
          </w:p>
        </w:tc>
        <w:tc>
          <w:tcPr>
            <w:tcW w:w="850" w:type="dxa"/>
            <w:vMerge/>
          </w:tcPr>
          <w:p w:rsidR="00C821BE" w:rsidRPr="0010784C" w:rsidRDefault="00C821BE" w:rsidP="00C821BE">
            <w:pPr>
              <w:spacing w:after="0" w:line="240" w:lineRule="auto"/>
              <w:jc w:val="both"/>
              <w:rPr>
                <w:rFonts w:ascii="Times New Roman" w:hAnsi="Times New Roman"/>
                <w:b/>
                <w:sz w:val="16"/>
                <w:szCs w:val="16"/>
                <w:lang w:val="en-US"/>
              </w:rPr>
            </w:pPr>
          </w:p>
        </w:tc>
        <w:tc>
          <w:tcPr>
            <w:tcW w:w="4536" w:type="dxa"/>
            <w:gridSpan w:val="4"/>
          </w:tcPr>
          <w:p w:rsidR="00C821BE" w:rsidRPr="0010784C" w:rsidRDefault="00C821BE" w:rsidP="00C821BE">
            <w:pPr>
              <w:pStyle w:val="PargrafodaLista"/>
              <w:numPr>
                <w:ilvl w:val="0"/>
                <w:numId w:val="225"/>
              </w:numPr>
              <w:spacing w:after="0" w:line="240" w:lineRule="auto"/>
              <w:ind w:left="313" w:hanging="313"/>
              <w:jc w:val="both"/>
              <w:rPr>
                <w:rFonts w:ascii="Times New Roman" w:hAnsi="Times New Roman"/>
                <w:sz w:val="16"/>
                <w:szCs w:val="16"/>
                <w:lang w:val="en-US"/>
              </w:rPr>
            </w:pPr>
            <w:r w:rsidRPr="0010784C">
              <w:rPr>
                <w:rFonts w:ascii="Times New Roman" w:hAnsi="Times New Roman"/>
                <w:sz w:val="16"/>
                <w:szCs w:val="16"/>
                <w:lang w:val="en-US"/>
              </w:rPr>
              <w:t>Job creation in the localities concerned</w:t>
            </w:r>
          </w:p>
        </w:tc>
        <w:tc>
          <w:tcPr>
            <w:tcW w:w="851" w:type="dxa"/>
            <w:vMerge w:val="restart"/>
            <w:vAlign w:val="center"/>
          </w:tcPr>
          <w:p w:rsidR="00C821BE" w:rsidRPr="0010784C" w:rsidRDefault="00C821BE" w:rsidP="00C821BE">
            <w:pPr>
              <w:spacing w:after="0" w:line="240" w:lineRule="auto"/>
              <w:jc w:val="center"/>
              <w:rPr>
                <w:rFonts w:ascii="Times New Roman" w:hAnsi="Times New Roman"/>
                <w:sz w:val="16"/>
                <w:szCs w:val="16"/>
                <w:lang w:val="en-US"/>
              </w:rPr>
            </w:pPr>
            <w:r w:rsidRPr="0010784C">
              <w:rPr>
                <w:rFonts w:ascii="Times New Roman" w:hAnsi="Times New Roman"/>
                <w:sz w:val="16"/>
                <w:szCs w:val="16"/>
                <w:lang w:val="en-US"/>
              </w:rPr>
              <w:t>Average</w:t>
            </w:r>
          </w:p>
        </w:tc>
        <w:tc>
          <w:tcPr>
            <w:tcW w:w="283" w:type="dxa"/>
            <w:vMerge w:val="restart"/>
            <w:shd w:val="clear" w:color="auto" w:fill="002060"/>
            <w:vAlign w:val="center"/>
          </w:tcPr>
          <w:p w:rsidR="00C821BE" w:rsidRPr="0010784C" w:rsidRDefault="00C821BE" w:rsidP="00C821BE">
            <w:pPr>
              <w:spacing w:after="0" w:line="240" w:lineRule="auto"/>
              <w:jc w:val="center"/>
              <w:rPr>
                <w:rFonts w:ascii="Times New Roman" w:hAnsi="Times New Roman"/>
                <w:b/>
                <w:sz w:val="16"/>
                <w:szCs w:val="16"/>
                <w:lang w:val="en-US"/>
              </w:rPr>
            </w:pPr>
            <w:r w:rsidRPr="0010784C">
              <w:rPr>
                <w:rFonts w:ascii="Times New Roman" w:hAnsi="Times New Roman"/>
                <w:b/>
                <w:sz w:val="16"/>
                <w:szCs w:val="16"/>
                <w:lang w:val="en-US"/>
              </w:rPr>
              <w:t>3</w:t>
            </w:r>
          </w:p>
        </w:tc>
        <w:tc>
          <w:tcPr>
            <w:tcW w:w="992" w:type="dxa"/>
            <w:vMerge w:val="restart"/>
            <w:vAlign w:val="center"/>
          </w:tcPr>
          <w:p w:rsidR="00C821BE" w:rsidRPr="0010784C" w:rsidRDefault="00C821BE" w:rsidP="00C821BE">
            <w:pPr>
              <w:spacing w:after="0" w:line="240" w:lineRule="auto"/>
              <w:jc w:val="center"/>
              <w:rPr>
                <w:rFonts w:ascii="Times New Roman" w:hAnsi="Times New Roman"/>
                <w:sz w:val="16"/>
                <w:szCs w:val="16"/>
                <w:lang w:val="en-US"/>
              </w:rPr>
            </w:pPr>
            <w:r w:rsidRPr="0010784C">
              <w:rPr>
                <w:rFonts w:ascii="Times New Roman" w:hAnsi="Times New Roman"/>
                <w:sz w:val="16"/>
                <w:szCs w:val="16"/>
                <w:lang w:val="en-US"/>
              </w:rPr>
              <w:t>Local</w:t>
            </w:r>
          </w:p>
        </w:tc>
        <w:tc>
          <w:tcPr>
            <w:tcW w:w="284" w:type="dxa"/>
            <w:vMerge w:val="restart"/>
            <w:shd w:val="clear" w:color="auto" w:fill="002060"/>
            <w:vAlign w:val="center"/>
          </w:tcPr>
          <w:p w:rsidR="00C821BE" w:rsidRPr="0010784C" w:rsidRDefault="00C821BE" w:rsidP="00C821BE">
            <w:pPr>
              <w:spacing w:after="0" w:line="240" w:lineRule="auto"/>
              <w:jc w:val="center"/>
              <w:rPr>
                <w:rFonts w:ascii="Times New Roman" w:hAnsi="Times New Roman"/>
                <w:b/>
                <w:sz w:val="16"/>
                <w:szCs w:val="16"/>
                <w:lang w:val="en-US"/>
              </w:rPr>
            </w:pPr>
            <w:r w:rsidRPr="0010784C">
              <w:rPr>
                <w:rFonts w:ascii="Times New Roman" w:hAnsi="Times New Roman"/>
                <w:b/>
                <w:sz w:val="16"/>
                <w:szCs w:val="16"/>
                <w:lang w:val="en-US"/>
              </w:rPr>
              <w:t>3</w:t>
            </w:r>
          </w:p>
        </w:tc>
        <w:tc>
          <w:tcPr>
            <w:tcW w:w="850" w:type="dxa"/>
            <w:vMerge w:val="restart"/>
            <w:vAlign w:val="center"/>
          </w:tcPr>
          <w:p w:rsidR="00C821BE" w:rsidRPr="0010784C" w:rsidRDefault="00C821BE" w:rsidP="00C821BE">
            <w:pPr>
              <w:spacing w:after="0" w:line="240" w:lineRule="auto"/>
              <w:jc w:val="center"/>
              <w:rPr>
                <w:rFonts w:ascii="Times New Roman" w:hAnsi="Times New Roman"/>
                <w:sz w:val="16"/>
                <w:szCs w:val="16"/>
                <w:lang w:val="en-US"/>
              </w:rPr>
            </w:pPr>
            <w:r w:rsidRPr="0010784C">
              <w:rPr>
                <w:rFonts w:ascii="Times New Roman" w:hAnsi="Times New Roman"/>
                <w:sz w:val="16"/>
                <w:szCs w:val="16"/>
                <w:lang w:val="en-US"/>
              </w:rPr>
              <w:t>Long</w:t>
            </w:r>
          </w:p>
        </w:tc>
        <w:tc>
          <w:tcPr>
            <w:tcW w:w="284" w:type="dxa"/>
            <w:vMerge w:val="restart"/>
            <w:shd w:val="clear" w:color="auto" w:fill="002060"/>
            <w:vAlign w:val="center"/>
          </w:tcPr>
          <w:p w:rsidR="00C821BE" w:rsidRPr="0010784C" w:rsidRDefault="00C821BE" w:rsidP="00C821BE">
            <w:pPr>
              <w:spacing w:after="0" w:line="240" w:lineRule="auto"/>
              <w:jc w:val="center"/>
              <w:rPr>
                <w:rFonts w:ascii="Times New Roman" w:hAnsi="Times New Roman"/>
                <w:b/>
                <w:sz w:val="16"/>
                <w:szCs w:val="16"/>
                <w:lang w:val="en-US"/>
              </w:rPr>
            </w:pPr>
            <w:r w:rsidRPr="0010784C">
              <w:rPr>
                <w:rFonts w:ascii="Times New Roman" w:hAnsi="Times New Roman"/>
                <w:b/>
                <w:sz w:val="16"/>
                <w:szCs w:val="16"/>
                <w:lang w:val="en-US"/>
              </w:rPr>
              <w:t>5</w:t>
            </w:r>
          </w:p>
        </w:tc>
        <w:tc>
          <w:tcPr>
            <w:tcW w:w="850" w:type="dxa"/>
            <w:vMerge w:val="restart"/>
            <w:shd w:val="clear" w:color="auto" w:fill="FFE599" w:themeFill="accent4" w:themeFillTint="66"/>
            <w:vAlign w:val="center"/>
          </w:tcPr>
          <w:p w:rsidR="00C821BE" w:rsidRPr="0010784C" w:rsidRDefault="00C821BE" w:rsidP="00C821BE">
            <w:pPr>
              <w:spacing w:after="0" w:line="240" w:lineRule="auto"/>
              <w:jc w:val="center"/>
              <w:rPr>
                <w:rFonts w:ascii="Times New Roman" w:hAnsi="Times New Roman"/>
                <w:b/>
                <w:sz w:val="16"/>
                <w:szCs w:val="16"/>
                <w:lang w:val="en-US"/>
              </w:rPr>
            </w:pPr>
            <w:r w:rsidRPr="0010784C">
              <w:rPr>
                <w:rFonts w:ascii="Times New Roman" w:hAnsi="Times New Roman"/>
                <w:b/>
                <w:sz w:val="16"/>
                <w:szCs w:val="16"/>
                <w:lang w:val="en-US"/>
              </w:rPr>
              <w:t>Average</w:t>
            </w:r>
          </w:p>
        </w:tc>
        <w:tc>
          <w:tcPr>
            <w:tcW w:w="567" w:type="dxa"/>
            <w:vMerge w:val="restart"/>
            <w:shd w:val="clear" w:color="auto" w:fill="FFE599" w:themeFill="accent4" w:themeFillTint="66"/>
            <w:vAlign w:val="center"/>
          </w:tcPr>
          <w:p w:rsidR="00C821BE" w:rsidRPr="0010784C" w:rsidRDefault="00C821BE" w:rsidP="00C821BE">
            <w:pPr>
              <w:spacing w:after="0" w:line="240" w:lineRule="auto"/>
              <w:jc w:val="center"/>
              <w:rPr>
                <w:rFonts w:ascii="Times New Roman" w:hAnsi="Times New Roman"/>
                <w:b/>
                <w:sz w:val="16"/>
                <w:szCs w:val="16"/>
                <w:lang w:val="en-US"/>
              </w:rPr>
            </w:pPr>
            <w:r w:rsidRPr="0010784C">
              <w:rPr>
                <w:rFonts w:ascii="Times New Roman" w:hAnsi="Times New Roman"/>
                <w:b/>
                <w:sz w:val="16"/>
                <w:szCs w:val="16"/>
                <w:lang w:val="en-US"/>
              </w:rPr>
              <w:t>45</w:t>
            </w:r>
          </w:p>
        </w:tc>
      </w:tr>
      <w:tr w:rsidR="00C821BE" w:rsidRPr="00332A41" w:rsidTr="00C821BE">
        <w:trPr>
          <w:jc w:val="center"/>
        </w:trPr>
        <w:tc>
          <w:tcPr>
            <w:tcW w:w="988" w:type="dxa"/>
            <w:vMerge/>
            <w:shd w:val="clear" w:color="auto" w:fill="BDD6EE"/>
          </w:tcPr>
          <w:p w:rsidR="00C821BE" w:rsidRPr="0010784C" w:rsidRDefault="00C821BE" w:rsidP="00C821BE">
            <w:pPr>
              <w:spacing w:after="0" w:line="240" w:lineRule="auto"/>
              <w:jc w:val="both"/>
              <w:rPr>
                <w:rFonts w:ascii="Times New Roman" w:hAnsi="Times New Roman"/>
                <w:sz w:val="16"/>
                <w:szCs w:val="16"/>
                <w:lang w:val="en-US"/>
              </w:rPr>
            </w:pPr>
          </w:p>
        </w:tc>
        <w:tc>
          <w:tcPr>
            <w:tcW w:w="850" w:type="dxa"/>
            <w:vMerge/>
          </w:tcPr>
          <w:p w:rsidR="00C821BE" w:rsidRPr="0010784C" w:rsidRDefault="00C821BE" w:rsidP="00C821BE">
            <w:pPr>
              <w:spacing w:after="0" w:line="240" w:lineRule="auto"/>
              <w:jc w:val="both"/>
              <w:rPr>
                <w:rFonts w:ascii="Times New Roman" w:hAnsi="Times New Roman"/>
                <w:b/>
                <w:sz w:val="16"/>
                <w:szCs w:val="16"/>
                <w:lang w:val="en-US"/>
              </w:rPr>
            </w:pPr>
          </w:p>
        </w:tc>
        <w:tc>
          <w:tcPr>
            <w:tcW w:w="4536" w:type="dxa"/>
            <w:gridSpan w:val="4"/>
          </w:tcPr>
          <w:p w:rsidR="00C821BE" w:rsidRPr="0010784C" w:rsidRDefault="00C821BE" w:rsidP="00C821BE">
            <w:pPr>
              <w:pStyle w:val="PargrafodaLista"/>
              <w:numPr>
                <w:ilvl w:val="0"/>
                <w:numId w:val="225"/>
              </w:numPr>
              <w:spacing w:after="0" w:line="240" w:lineRule="auto"/>
              <w:ind w:left="313" w:hanging="313"/>
              <w:jc w:val="both"/>
              <w:rPr>
                <w:rFonts w:ascii="Times New Roman" w:hAnsi="Times New Roman"/>
                <w:sz w:val="16"/>
                <w:szCs w:val="16"/>
                <w:lang w:val="en-US"/>
              </w:rPr>
            </w:pPr>
            <w:r w:rsidRPr="0010784C">
              <w:rPr>
                <w:rFonts w:ascii="Times New Roman" w:hAnsi="Times New Roman"/>
                <w:sz w:val="16"/>
                <w:szCs w:val="16"/>
                <w:lang w:val="en-US"/>
              </w:rPr>
              <w:t>Increased financial gains for property owners and developers</w:t>
            </w:r>
          </w:p>
        </w:tc>
        <w:tc>
          <w:tcPr>
            <w:tcW w:w="851" w:type="dxa"/>
            <w:vMerge/>
            <w:vAlign w:val="center"/>
          </w:tcPr>
          <w:p w:rsidR="00C821BE" w:rsidRPr="0010784C" w:rsidRDefault="00C821BE" w:rsidP="00C821BE">
            <w:pPr>
              <w:spacing w:after="0" w:line="240" w:lineRule="auto"/>
              <w:jc w:val="center"/>
              <w:rPr>
                <w:rFonts w:ascii="Times New Roman" w:hAnsi="Times New Roman"/>
                <w:sz w:val="16"/>
                <w:szCs w:val="16"/>
                <w:lang w:val="en-US"/>
              </w:rPr>
            </w:pPr>
          </w:p>
        </w:tc>
        <w:tc>
          <w:tcPr>
            <w:tcW w:w="283" w:type="dxa"/>
            <w:vMerge/>
            <w:shd w:val="clear" w:color="auto" w:fill="002060"/>
            <w:vAlign w:val="center"/>
          </w:tcPr>
          <w:p w:rsidR="00C821BE" w:rsidRPr="0010784C" w:rsidRDefault="00C821BE" w:rsidP="00C821BE">
            <w:pPr>
              <w:spacing w:after="0" w:line="240" w:lineRule="auto"/>
              <w:jc w:val="center"/>
              <w:rPr>
                <w:rFonts w:ascii="Times New Roman" w:hAnsi="Times New Roman"/>
                <w:b/>
                <w:sz w:val="16"/>
                <w:szCs w:val="16"/>
                <w:lang w:val="en-US"/>
              </w:rPr>
            </w:pPr>
          </w:p>
        </w:tc>
        <w:tc>
          <w:tcPr>
            <w:tcW w:w="992" w:type="dxa"/>
            <w:vMerge/>
            <w:vAlign w:val="center"/>
          </w:tcPr>
          <w:p w:rsidR="00C821BE" w:rsidRPr="0010784C" w:rsidRDefault="00C821BE" w:rsidP="00C821BE">
            <w:pPr>
              <w:spacing w:after="0" w:line="240" w:lineRule="auto"/>
              <w:jc w:val="center"/>
              <w:rPr>
                <w:rFonts w:ascii="Times New Roman" w:hAnsi="Times New Roman"/>
                <w:sz w:val="16"/>
                <w:szCs w:val="16"/>
                <w:lang w:val="en-US"/>
              </w:rPr>
            </w:pPr>
          </w:p>
        </w:tc>
        <w:tc>
          <w:tcPr>
            <w:tcW w:w="284" w:type="dxa"/>
            <w:vMerge/>
            <w:shd w:val="clear" w:color="auto" w:fill="002060"/>
            <w:vAlign w:val="center"/>
          </w:tcPr>
          <w:p w:rsidR="00C821BE" w:rsidRPr="0010784C" w:rsidRDefault="00C821BE" w:rsidP="00C821BE">
            <w:pPr>
              <w:spacing w:after="0" w:line="240" w:lineRule="auto"/>
              <w:jc w:val="center"/>
              <w:rPr>
                <w:rFonts w:ascii="Times New Roman" w:hAnsi="Times New Roman"/>
                <w:b/>
                <w:sz w:val="16"/>
                <w:szCs w:val="16"/>
                <w:lang w:val="en-US"/>
              </w:rPr>
            </w:pPr>
          </w:p>
        </w:tc>
        <w:tc>
          <w:tcPr>
            <w:tcW w:w="850" w:type="dxa"/>
            <w:vMerge/>
            <w:vAlign w:val="center"/>
          </w:tcPr>
          <w:p w:rsidR="00C821BE" w:rsidRPr="0010784C" w:rsidRDefault="00C821BE" w:rsidP="00C821BE">
            <w:pPr>
              <w:spacing w:after="0" w:line="240" w:lineRule="auto"/>
              <w:jc w:val="center"/>
              <w:rPr>
                <w:rFonts w:ascii="Times New Roman" w:hAnsi="Times New Roman"/>
                <w:sz w:val="16"/>
                <w:szCs w:val="16"/>
                <w:lang w:val="en-US"/>
              </w:rPr>
            </w:pPr>
          </w:p>
        </w:tc>
        <w:tc>
          <w:tcPr>
            <w:tcW w:w="284" w:type="dxa"/>
            <w:vMerge/>
            <w:shd w:val="clear" w:color="auto" w:fill="002060"/>
            <w:vAlign w:val="center"/>
          </w:tcPr>
          <w:p w:rsidR="00C821BE" w:rsidRPr="0010784C" w:rsidRDefault="00C821BE" w:rsidP="00C821BE">
            <w:pPr>
              <w:spacing w:after="0" w:line="240" w:lineRule="auto"/>
              <w:jc w:val="center"/>
              <w:rPr>
                <w:rFonts w:ascii="Times New Roman" w:hAnsi="Times New Roman"/>
                <w:b/>
                <w:sz w:val="16"/>
                <w:szCs w:val="16"/>
                <w:lang w:val="en-US"/>
              </w:rPr>
            </w:pPr>
          </w:p>
        </w:tc>
        <w:tc>
          <w:tcPr>
            <w:tcW w:w="850" w:type="dxa"/>
            <w:vMerge/>
            <w:shd w:val="clear" w:color="auto" w:fill="FFE599" w:themeFill="accent4" w:themeFillTint="66"/>
            <w:vAlign w:val="center"/>
          </w:tcPr>
          <w:p w:rsidR="00C821BE" w:rsidRPr="0010784C" w:rsidRDefault="00C821BE" w:rsidP="00C821BE">
            <w:pPr>
              <w:spacing w:after="0" w:line="240" w:lineRule="auto"/>
              <w:jc w:val="center"/>
              <w:rPr>
                <w:rFonts w:ascii="Times New Roman" w:hAnsi="Times New Roman"/>
                <w:b/>
                <w:sz w:val="16"/>
                <w:szCs w:val="16"/>
                <w:lang w:val="en-US"/>
              </w:rPr>
            </w:pPr>
          </w:p>
        </w:tc>
        <w:tc>
          <w:tcPr>
            <w:tcW w:w="567" w:type="dxa"/>
            <w:vMerge/>
            <w:shd w:val="clear" w:color="auto" w:fill="FFE599" w:themeFill="accent4" w:themeFillTint="66"/>
            <w:vAlign w:val="center"/>
          </w:tcPr>
          <w:p w:rsidR="00C821BE" w:rsidRPr="0010784C" w:rsidRDefault="00C821BE" w:rsidP="00C821BE">
            <w:pPr>
              <w:spacing w:after="0" w:line="240" w:lineRule="auto"/>
              <w:jc w:val="center"/>
              <w:rPr>
                <w:rFonts w:ascii="Times New Roman" w:hAnsi="Times New Roman"/>
                <w:b/>
                <w:sz w:val="16"/>
                <w:szCs w:val="16"/>
                <w:lang w:val="en-US"/>
              </w:rPr>
            </w:pPr>
          </w:p>
        </w:tc>
      </w:tr>
      <w:tr w:rsidR="00C821BE" w:rsidRPr="003C548E" w:rsidTr="00C821BE">
        <w:trPr>
          <w:jc w:val="center"/>
        </w:trPr>
        <w:tc>
          <w:tcPr>
            <w:tcW w:w="988" w:type="dxa"/>
            <w:vMerge/>
            <w:shd w:val="clear" w:color="auto" w:fill="BDD6EE"/>
          </w:tcPr>
          <w:p w:rsidR="00C821BE" w:rsidRPr="0010784C" w:rsidRDefault="00C821BE" w:rsidP="00C821BE">
            <w:pPr>
              <w:spacing w:after="0" w:line="240" w:lineRule="auto"/>
              <w:jc w:val="both"/>
              <w:rPr>
                <w:rFonts w:ascii="Times New Roman" w:hAnsi="Times New Roman"/>
                <w:sz w:val="16"/>
                <w:szCs w:val="16"/>
                <w:lang w:val="en-US"/>
              </w:rPr>
            </w:pPr>
          </w:p>
        </w:tc>
        <w:tc>
          <w:tcPr>
            <w:tcW w:w="850" w:type="dxa"/>
            <w:vMerge/>
          </w:tcPr>
          <w:p w:rsidR="00C821BE" w:rsidRPr="0010784C" w:rsidRDefault="00C821BE" w:rsidP="00C821BE">
            <w:pPr>
              <w:spacing w:after="0" w:line="240" w:lineRule="auto"/>
              <w:jc w:val="both"/>
              <w:rPr>
                <w:rFonts w:ascii="Times New Roman" w:hAnsi="Times New Roman"/>
                <w:b/>
                <w:sz w:val="16"/>
                <w:szCs w:val="16"/>
                <w:lang w:val="en-US"/>
              </w:rPr>
            </w:pPr>
          </w:p>
        </w:tc>
        <w:tc>
          <w:tcPr>
            <w:tcW w:w="4536" w:type="dxa"/>
            <w:gridSpan w:val="4"/>
          </w:tcPr>
          <w:p w:rsidR="00C821BE" w:rsidRPr="0010784C" w:rsidRDefault="00C821BE" w:rsidP="00C821BE">
            <w:pPr>
              <w:pStyle w:val="PargrafodaLista"/>
              <w:numPr>
                <w:ilvl w:val="0"/>
                <w:numId w:val="225"/>
              </w:numPr>
              <w:spacing w:after="0" w:line="240" w:lineRule="auto"/>
              <w:ind w:left="313" w:hanging="313"/>
              <w:jc w:val="both"/>
              <w:rPr>
                <w:rFonts w:ascii="Times New Roman" w:hAnsi="Times New Roman"/>
                <w:sz w:val="16"/>
                <w:szCs w:val="16"/>
                <w:lang w:val="en-US"/>
              </w:rPr>
            </w:pPr>
            <w:r w:rsidRPr="0010784C">
              <w:rPr>
                <w:rFonts w:ascii="Times New Roman" w:hAnsi="Times New Roman"/>
                <w:sz w:val="16"/>
                <w:szCs w:val="16"/>
                <w:lang w:val="en-US"/>
              </w:rPr>
              <w:t>Creation and / or development of activities related to the sale of water and ice cream</w:t>
            </w:r>
          </w:p>
        </w:tc>
        <w:tc>
          <w:tcPr>
            <w:tcW w:w="851" w:type="dxa"/>
            <w:vMerge/>
            <w:vAlign w:val="center"/>
          </w:tcPr>
          <w:p w:rsidR="00C821BE" w:rsidRPr="0010784C" w:rsidRDefault="00C821BE" w:rsidP="00C821BE">
            <w:pPr>
              <w:spacing w:after="0" w:line="240" w:lineRule="auto"/>
              <w:jc w:val="center"/>
              <w:rPr>
                <w:rFonts w:ascii="Times New Roman" w:hAnsi="Times New Roman"/>
                <w:sz w:val="16"/>
                <w:szCs w:val="16"/>
                <w:lang w:val="en-US"/>
              </w:rPr>
            </w:pPr>
          </w:p>
        </w:tc>
        <w:tc>
          <w:tcPr>
            <w:tcW w:w="283" w:type="dxa"/>
            <w:vMerge/>
            <w:shd w:val="clear" w:color="auto" w:fill="002060"/>
            <w:vAlign w:val="center"/>
          </w:tcPr>
          <w:p w:rsidR="00C821BE" w:rsidRPr="0010784C" w:rsidRDefault="00C821BE" w:rsidP="00C821BE">
            <w:pPr>
              <w:spacing w:after="0" w:line="240" w:lineRule="auto"/>
              <w:jc w:val="center"/>
              <w:rPr>
                <w:rFonts w:ascii="Times New Roman" w:hAnsi="Times New Roman"/>
                <w:b/>
                <w:sz w:val="16"/>
                <w:szCs w:val="16"/>
                <w:lang w:val="en-US"/>
              </w:rPr>
            </w:pPr>
          </w:p>
        </w:tc>
        <w:tc>
          <w:tcPr>
            <w:tcW w:w="992" w:type="dxa"/>
            <w:vMerge/>
            <w:vAlign w:val="center"/>
          </w:tcPr>
          <w:p w:rsidR="00C821BE" w:rsidRPr="0010784C" w:rsidRDefault="00C821BE" w:rsidP="00C821BE">
            <w:pPr>
              <w:spacing w:after="0" w:line="240" w:lineRule="auto"/>
              <w:jc w:val="center"/>
              <w:rPr>
                <w:rFonts w:ascii="Times New Roman" w:hAnsi="Times New Roman"/>
                <w:sz w:val="16"/>
                <w:szCs w:val="16"/>
                <w:lang w:val="en-US"/>
              </w:rPr>
            </w:pPr>
          </w:p>
        </w:tc>
        <w:tc>
          <w:tcPr>
            <w:tcW w:w="284" w:type="dxa"/>
            <w:vMerge/>
            <w:shd w:val="clear" w:color="auto" w:fill="002060"/>
            <w:vAlign w:val="center"/>
          </w:tcPr>
          <w:p w:rsidR="00C821BE" w:rsidRPr="0010784C" w:rsidRDefault="00C821BE" w:rsidP="00C821BE">
            <w:pPr>
              <w:spacing w:after="0" w:line="240" w:lineRule="auto"/>
              <w:jc w:val="center"/>
              <w:rPr>
                <w:rFonts w:ascii="Times New Roman" w:hAnsi="Times New Roman"/>
                <w:b/>
                <w:sz w:val="16"/>
                <w:szCs w:val="16"/>
                <w:lang w:val="en-US"/>
              </w:rPr>
            </w:pPr>
          </w:p>
        </w:tc>
        <w:tc>
          <w:tcPr>
            <w:tcW w:w="850" w:type="dxa"/>
            <w:vMerge/>
            <w:vAlign w:val="center"/>
          </w:tcPr>
          <w:p w:rsidR="00C821BE" w:rsidRPr="0010784C" w:rsidRDefault="00C821BE" w:rsidP="00C821BE">
            <w:pPr>
              <w:spacing w:after="0" w:line="240" w:lineRule="auto"/>
              <w:jc w:val="center"/>
              <w:rPr>
                <w:rFonts w:ascii="Times New Roman" w:hAnsi="Times New Roman"/>
                <w:sz w:val="16"/>
                <w:szCs w:val="16"/>
                <w:lang w:val="en-US"/>
              </w:rPr>
            </w:pPr>
          </w:p>
        </w:tc>
        <w:tc>
          <w:tcPr>
            <w:tcW w:w="284" w:type="dxa"/>
            <w:vMerge/>
            <w:shd w:val="clear" w:color="auto" w:fill="002060"/>
            <w:vAlign w:val="center"/>
          </w:tcPr>
          <w:p w:rsidR="00C821BE" w:rsidRPr="0010784C" w:rsidRDefault="00C821BE" w:rsidP="00C821BE">
            <w:pPr>
              <w:spacing w:after="0" w:line="240" w:lineRule="auto"/>
              <w:jc w:val="center"/>
              <w:rPr>
                <w:rFonts w:ascii="Times New Roman" w:hAnsi="Times New Roman"/>
                <w:b/>
                <w:sz w:val="16"/>
                <w:szCs w:val="16"/>
                <w:lang w:val="en-US"/>
              </w:rPr>
            </w:pPr>
          </w:p>
        </w:tc>
        <w:tc>
          <w:tcPr>
            <w:tcW w:w="850" w:type="dxa"/>
            <w:vMerge/>
            <w:shd w:val="clear" w:color="auto" w:fill="FFE599" w:themeFill="accent4" w:themeFillTint="66"/>
            <w:vAlign w:val="center"/>
          </w:tcPr>
          <w:p w:rsidR="00C821BE" w:rsidRPr="0010784C" w:rsidRDefault="00C821BE" w:rsidP="00C821BE">
            <w:pPr>
              <w:spacing w:after="0" w:line="240" w:lineRule="auto"/>
              <w:jc w:val="center"/>
              <w:rPr>
                <w:rFonts w:ascii="Times New Roman" w:hAnsi="Times New Roman"/>
                <w:b/>
                <w:sz w:val="16"/>
                <w:szCs w:val="16"/>
                <w:lang w:val="en-US"/>
              </w:rPr>
            </w:pPr>
          </w:p>
        </w:tc>
        <w:tc>
          <w:tcPr>
            <w:tcW w:w="567" w:type="dxa"/>
            <w:vMerge/>
            <w:shd w:val="clear" w:color="auto" w:fill="FFE599" w:themeFill="accent4" w:themeFillTint="66"/>
            <w:vAlign w:val="center"/>
          </w:tcPr>
          <w:p w:rsidR="00C821BE" w:rsidRPr="0010784C" w:rsidRDefault="00C821BE" w:rsidP="00C821BE">
            <w:pPr>
              <w:spacing w:after="0" w:line="240" w:lineRule="auto"/>
              <w:jc w:val="center"/>
              <w:rPr>
                <w:rFonts w:ascii="Times New Roman" w:hAnsi="Times New Roman"/>
                <w:b/>
                <w:sz w:val="16"/>
                <w:szCs w:val="16"/>
                <w:lang w:val="en-US"/>
              </w:rPr>
            </w:pPr>
          </w:p>
        </w:tc>
      </w:tr>
      <w:tr w:rsidR="00C821BE" w:rsidRPr="0010784C" w:rsidTr="00C821BE">
        <w:trPr>
          <w:jc w:val="center"/>
        </w:trPr>
        <w:tc>
          <w:tcPr>
            <w:tcW w:w="988" w:type="dxa"/>
            <w:vMerge/>
            <w:shd w:val="clear" w:color="auto" w:fill="BDD6EE"/>
          </w:tcPr>
          <w:p w:rsidR="00C821BE" w:rsidRPr="0010784C" w:rsidRDefault="00C821BE" w:rsidP="00C821BE">
            <w:pPr>
              <w:spacing w:after="0" w:line="240" w:lineRule="auto"/>
              <w:jc w:val="both"/>
              <w:rPr>
                <w:rFonts w:ascii="Times New Roman" w:hAnsi="Times New Roman"/>
                <w:sz w:val="16"/>
                <w:szCs w:val="16"/>
                <w:lang w:val="en-US"/>
              </w:rPr>
            </w:pPr>
          </w:p>
        </w:tc>
        <w:tc>
          <w:tcPr>
            <w:tcW w:w="850" w:type="dxa"/>
            <w:vMerge/>
          </w:tcPr>
          <w:p w:rsidR="00C821BE" w:rsidRPr="0010784C" w:rsidRDefault="00C821BE" w:rsidP="00C821BE">
            <w:pPr>
              <w:spacing w:after="0" w:line="240" w:lineRule="auto"/>
              <w:jc w:val="both"/>
              <w:rPr>
                <w:rFonts w:ascii="Times New Roman" w:hAnsi="Times New Roman"/>
                <w:b/>
                <w:sz w:val="16"/>
                <w:szCs w:val="16"/>
                <w:lang w:val="en-US"/>
              </w:rPr>
            </w:pPr>
          </w:p>
        </w:tc>
        <w:tc>
          <w:tcPr>
            <w:tcW w:w="4536" w:type="dxa"/>
            <w:gridSpan w:val="4"/>
          </w:tcPr>
          <w:p w:rsidR="00C821BE" w:rsidRPr="0010784C" w:rsidRDefault="00C821BE" w:rsidP="00C821BE">
            <w:pPr>
              <w:pStyle w:val="PargrafodaLista"/>
              <w:numPr>
                <w:ilvl w:val="0"/>
                <w:numId w:val="225"/>
              </w:numPr>
              <w:spacing w:after="0" w:line="240" w:lineRule="auto"/>
              <w:ind w:left="313" w:hanging="313"/>
              <w:jc w:val="both"/>
              <w:rPr>
                <w:rFonts w:ascii="Times New Roman" w:hAnsi="Times New Roman"/>
                <w:sz w:val="16"/>
                <w:szCs w:val="16"/>
                <w:lang w:val="en-US"/>
              </w:rPr>
            </w:pPr>
            <w:r w:rsidRPr="0010784C">
              <w:rPr>
                <w:rFonts w:ascii="Times New Roman" w:hAnsi="Times New Roman"/>
                <w:sz w:val="16"/>
                <w:szCs w:val="16"/>
                <w:lang w:val="en-US"/>
              </w:rPr>
              <w:t>Extension of water distribution services to localities served by other operators.</w:t>
            </w:r>
          </w:p>
        </w:tc>
        <w:tc>
          <w:tcPr>
            <w:tcW w:w="851" w:type="dxa"/>
            <w:vAlign w:val="center"/>
          </w:tcPr>
          <w:p w:rsidR="00C821BE" w:rsidRPr="0010784C" w:rsidRDefault="00C821BE" w:rsidP="00C821BE">
            <w:pPr>
              <w:spacing w:after="0" w:line="240" w:lineRule="auto"/>
              <w:jc w:val="center"/>
              <w:rPr>
                <w:rFonts w:ascii="Times New Roman" w:hAnsi="Times New Roman"/>
                <w:sz w:val="16"/>
                <w:szCs w:val="16"/>
                <w:lang w:val="en-US"/>
              </w:rPr>
            </w:pPr>
            <w:r w:rsidRPr="0010784C">
              <w:rPr>
                <w:rFonts w:ascii="Times New Roman" w:hAnsi="Times New Roman"/>
                <w:sz w:val="16"/>
                <w:szCs w:val="16"/>
                <w:lang w:val="en-US"/>
              </w:rPr>
              <w:t>Low</w:t>
            </w:r>
          </w:p>
        </w:tc>
        <w:tc>
          <w:tcPr>
            <w:tcW w:w="283" w:type="dxa"/>
            <w:shd w:val="clear" w:color="auto" w:fill="002060"/>
            <w:vAlign w:val="center"/>
          </w:tcPr>
          <w:p w:rsidR="00C821BE" w:rsidRPr="0010784C" w:rsidRDefault="00C821BE" w:rsidP="00C821BE">
            <w:pPr>
              <w:spacing w:after="0" w:line="240" w:lineRule="auto"/>
              <w:jc w:val="center"/>
              <w:rPr>
                <w:rFonts w:ascii="Times New Roman" w:hAnsi="Times New Roman"/>
                <w:b/>
                <w:sz w:val="16"/>
                <w:szCs w:val="16"/>
                <w:lang w:val="en-US"/>
              </w:rPr>
            </w:pPr>
            <w:r w:rsidRPr="0010784C">
              <w:rPr>
                <w:rFonts w:ascii="Times New Roman" w:hAnsi="Times New Roman"/>
                <w:b/>
                <w:sz w:val="16"/>
                <w:szCs w:val="16"/>
                <w:lang w:val="en-US"/>
              </w:rPr>
              <w:t>1</w:t>
            </w:r>
          </w:p>
        </w:tc>
        <w:tc>
          <w:tcPr>
            <w:tcW w:w="992" w:type="dxa"/>
            <w:vAlign w:val="center"/>
          </w:tcPr>
          <w:p w:rsidR="00C821BE" w:rsidRPr="0010784C" w:rsidRDefault="00C821BE" w:rsidP="00C821BE">
            <w:pPr>
              <w:spacing w:after="0" w:line="240" w:lineRule="auto"/>
              <w:jc w:val="center"/>
              <w:rPr>
                <w:rFonts w:ascii="Times New Roman" w:hAnsi="Times New Roman"/>
                <w:sz w:val="16"/>
                <w:szCs w:val="16"/>
                <w:lang w:val="en-US"/>
              </w:rPr>
            </w:pPr>
            <w:r w:rsidRPr="0010784C">
              <w:rPr>
                <w:rFonts w:ascii="Times New Roman" w:hAnsi="Times New Roman"/>
                <w:sz w:val="16"/>
                <w:szCs w:val="16"/>
                <w:lang w:val="en-US"/>
              </w:rPr>
              <w:t>Local</w:t>
            </w:r>
          </w:p>
        </w:tc>
        <w:tc>
          <w:tcPr>
            <w:tcW w:w="284" w:type="dxa"/>
            <w:shd w:val="clear" w:color="auto" w:fill="002060"/>
            <w:vAlign w:val="center"/>
          </w:tcPr>
          <w:p w:rsidR="00C821BE" w:rsidRPr="0010784C" w:rsidRDefault="00C821BE" w:rsidP="00C821BE">
            <w:pPr>
              <w:spacing w:after="0" w:line="240" w:lineRule="auto"/>
              <w:jc w:val="center"/>
              <w:rPr>
                <w:rFonts w:ascii="Times New Roman" w:hAnsi="Times New Roman"/>
                <w:b/>
                <w:sz w:val="16"/>
                <w:szCs w:val="16"/>
                <w:lang w:val="en-US"/>
              </w:rPr>
            </w:pPr>
            <w:r w:rsidRPr="0010784C">
              <w:rPr>
                <w:rFonts w:ascii="Times New Roman" w:hAnsi="Times New Roman"/>
                <w:b/>
                <w:sz w:val="16"/>
                <w:szCs w:val="16"/>
                <w:lang w:val="en-US"/>
              </w:rPr>
              <w:t>3</w:t>
            </w:r>
          </w:p>
        </w:tc>
        <w:tc>
          <w:tcPr>
            <w:tcW w:w="850" w:type="dxa"/>
            <w:vAlign w:val="center"/>
          </w:tcPr>
          <w:p w:rsidR="00C821BE" w:rsidRPr="0010784C" w:rsidRDefault="00C821BE" w:rsidP="00C821BE">
            <w:pPr>
              <w:spacing w:after="0" w:line="240" w:lineRule="auto"/>
              <w:jc w:val="center"/>
              <w:rPr>
                <w:rFonts w:ascii="Times New Roman" w:hAnsi="Times New Roman"/>
                <w:sz w:val="16"/>
                <w:szCs w:val="16"/>
                <w:lang w:val="en-US"/>
              </w:rPr>
            </w:pPr>
            <w:r w:rsidRPr="0010784C">
              <w:rPr>
                <w:rFonts w:ascii="Times New Roman" w:hAnsi="Times New Roman"/>
                <w:sz w:val="16"/>
                <w:szCs w:val="16"/>
                <w:lang w:val="en-US"/>
              </w:rPr>
              <w:t>Long</w:t>
            </w:r>
          </w:p>
        </w:tc>
        <w:tc>
          <w:tcPr>
            <w:tcW w:w="284" w:type="dxa"/>
            <w:shd w:val="clear" w:color="auto" w:fill="002060"/>
            <w:vAlign w:val="center"/>
          </w:tcPr>
          <w:p w:rsidR="00C821BE" w:rsidRPr="0010784C" w:rsidRDefault="00C821BE" w:rsidP="00C821BE">
            <w:pPr>
              <w:spacing w:after="0" w:line="240" w:lineRule="auto"/>
              <w:jc w:val="center"/>
              <w:rPr>
                <w:rFonts w:ascii="Times New Roman" w:hAnsi="Times New Roman"/>
                <w:b/>
                <w:sz w:val="16"/>
                <w:szCs w:val="16"/>
                <w:lang w:val="en-US"/>
              </w:rPr>
            </w:pPr>
            <w:r w:rsidRPr="0010784C">
              <w:rPr>
                <w:rFonts w:ascii="Times New Roman" w:hAnsi="Times New Roman"/>
                <w:b/>
                <w:sz w:val="16"/>
                <w:szCs w:val="16"/>
                <w:lang w:val="en-US"/>
              </w:rPr>
              <w:t>5</w:t>
            </w:r>
          </w:p>
        </w:tc>
        <w:tc>
          <w:tcPr>
            <w:tcW w:w="850" w:type="dxa"/>
            <w:shd w:val="clear" w:color="auto" w:fill="F7CAAC" w:themeFill="accent2" w:themeFillTint="66"/>
            <w:vAlign w:val="center"/>
          </w:tcPr>
          <w:p w:rsidR="00C821BE" w:rsidRPr="0010784C" w:rsidRDefault="00C821BE" w:rsidP="00C821BE">
            <w:pPr>
              <w:spacing w:after="0" w:line="240" w:lineRule="auto"/>
              <w:jc w:val="center"/>
              <w:rPr>
                <w:rFonts w:ascii="Times New Roman" w:hAnsi="Times New Roman"/>
                <w:b/>
                <w:sz w:val="16"/>
                <w:szCs w:val="16"/>
                <w:lang w:val="en-US"/>
              </w:rPr>
            </w:pPr>
            <w:r w:rsidRPr="0010784C">
              <w:rPr>
                <w:rFonts w:ascii="Times New Roman" w:hAnsi="Times New Roman"/>
                <w:b/>
                <w:sz w:val="16"/>
                <w:szCs w:val="16"/>
                <w:lang w:val="en-US"/>
              </w:rPr>
              <w:t>Minor</w:t>
            </w:r>
          </w:p>
        </w:tc>
        <w:tc>
          <w:tcPr>
            <w:tcW w:w="567" w:type="dxa"/>
            <w:shd w:val="clear" w:color="auto" w:fill="F7CAAC" w:themeFill="accent2" w:themeFillTint="66"/>
            <w:vAlign w:val="center"/>
          </w:tcPr>
          <w:p w:rsidR="00C821BE" w:rsidRPr="0010784C" w:rsidRDefault="00C821BE" w:rsidP="00C821BE">
            <w:pPr>
              <w:spacing w:after="0" w:line="240" w:lineRule="auto"/>
              <w:jc w:val="center"/>
              <w:rPr>
                <w:rFonts w:ascii="Times New Roman" w:hAnsi="Times New Roman"/>
                <w:b/>
                <w:sz w:val="16"/>
                <w:szCs w:val="16"/>
                <w:lang w:val="en-US"/>
              </w:rPr>
            </w:pPr>
            <w:r w:rsidRPr="0010784C">
              <w:rPr>
                <w:rFonts w:ascii="Times New Roman" w:hAnsi="Times New Roman"/>
                <w:b/>
                <w:sz w:val="16"/>
                <w:szCs w:val="16"/>
                <w:lang w:val="en-US"/>
              </w:rPr>
              <w:t>15</w:t>
            </w:r>
          </w:p>
        </w:tc>
      </w:tr>
      <w:tr w:rsidR="00C821BE" w:rsidRPr="0010784C" w:rsidTr="00C821BE">
        <w:trPr>
          <w:jc w:val="center"/>
        </w:trPr>
        <w:tc>
          <w:tcPr>
            <w:tcW w:w="988" w:type="dxa"/>
            <w:vMerge/>
            <w:shd w:val="clear" w:color="auto" w:fill="BDD6EE"/>
          </w:tcPr>
          <w:p w:rsidR="00C821BE" w:rsidRPr="0010784C" w:rsidRDefault="00C821BE" w:rsidP="00C821BE">
            <w:pPr>
              <w:spacing w:after="0" w:line="240" w:lineRule="auto"/>
              <w:jc w:val="both"/>
              <w:rPr>
                <w:rFonts w:ascii="Times New Roman" w:hAnsi="Times New Roman"/>
                <w:sz w:val="16"/>
                <w:szCs w:val="16"/>
                <w:lang w:val="en-US"/>
              </w:rPr>
            </w:pPr>
          </w:p>
        </w:tc>
        <w:tc>
          <w:tcPr>
            <w:tcW w:w="850" w:type="dxa"/>
            <w:vMerge/>
          </w:tcPr>
          <w:p w:rsidR="00C821BE" w:rsidRPr="0010784C" w:rsidRDefault="00C821BE" w:rsidP="00C821BE">
            <w:pPr>
              <w:spacing w:after="0" w:line="240" w:lineRule="auto"/>
              <w:jc w:val="both"/>
              <w:rPr>
                <w:rFonts w:ascii="Times New Roman" w:hAnsi="Times New Roman"/>
                <w:b/>
                <w:sz w:val="16"/>
                <w:szCs w:val="16"/>
                <w:lang w:val="en-US"/>
              </w:rPr>
            </w:pPr>
          </w:p>
        </w:tc>
        <w:tc>
          <w:tcPr>
            <w:tcW w:w="4536" w:type="dxa"/>
            <w:gridSpan w:val="4"/>
          </w:tcPr>
          <w:p w:rsidR="00C821BE" w:rsidRPr="0010784C" w:rsidRDefault="00C821BE" w:rsidP="00C821BE">
            <w:pPr>
              <w:pStyle w:val="PargrafodaLista"/>
              <w:numPr>
                <w:ilvl w:val="0"/>
                <w:numId w:val="225"/>
              </w:numPr>
              <w:spacing w:after="0" w:line="240" w:lineRule="auto"/>
              <w:ind w:left="313" w:hanging="313"/>
              <w:jc w:val="both"/>
              <w:rPr>
                <w:rFonts w:ascii="Times New Roman" w:hAnsi="Times New Roman"/>
                <w:sz w:val="16"/>
                <w:szCs w:val="16"/>
                <w:lang w:val="en-US"/>
              </w:rPr>
            </w:pPr>
            <w:r w:rsidRPr="0010784C">
              <w:rPr>
                <w:rFonts w:ascii="Times New Roman" w:hAnsi="Times New Roman"/>
                <w:sz w:val="16"/>
                <w:szCs w:val="16"/>
                <w:lang w:val="en-US"/>
              </w:rPr>
              <w:t>Improved EAGB performance</w:t>
            </w:r>
          </w:p>
        </w:tc>
        <w:tc>
          <w:tcPr>
            <w:tcW w:w="851" w:type="dxa"/>
            <w:vAlign w:val="center"/>
          </w:tcPr>
          <w:p w:rsidR="00C821BE" w:rsidRPr="0010784C" w:rsidRDefault="00C821BE" w:rsidP="00C821BE">
            <w:pPr>
              <w:spacing w:after="0" w:line="240" w:lineRule="auto"/>
              <w:jc w:val="center"/>
              <w:rPr>
                <w:rFonts w:ascii="Times New Roman" w:hAnsi="Times New Roman"/>
                <w:sz w:val="16"/>
                <w:szCs w:val="16"/>
                <w:lang w:val="en-US"/>
              </w:rPr>
            </w:pPr>
            <w:r w:rsidRPr="0010784C">
              <w:rPr>
                <w:rFonts w:ascii="Times New Roman" w:hAnsi="Times New Roman"/>
                <w:sz w:val="16"/>
                <w:szCs w:val="16"/>
                <w:lang w:val="en-US"/>
              </w:rPr>
              <w:t>Strong</w:t>
            </w:r>
          </w:p>
        </w:tc>
        <w:tc>
          <w:tcPr>
            <w:tcW w:w="283" w:type="dxa"/>
            <w:shd w:val="clear" w:color="auto" w:fill="002060"/>
            <w:vAlign w:val="center"/>
          </w:tcPr>
          <w:p w:rsidR="00C821BE" w:rsidRPr="0010784C" w:rsidRDefault="00C821BE" w:rsidP="00C821BE">
            <w:pPr>
              <w:spacing w:after="0" w:line="240" w:lineRule="auto"/>
              <w:jc w:val="center"/>
              <w:rPr>
                <w:rFonts w:ascii="Times New Roman" w:hAnsi="Times New Roman"/>
                <w:b/>
                <w:sz w:val="16"/>
                <w:szCs w:val="16"/>
                <w:lang w:val="en-US"/>
              </w:rPr>
            </w:pPr>
            <w:r w:rsidRPr="0010784C">
              <w:rPr>
                <w:rFonts w:ascii="Times New Roman" w:hAnsi="Times New Roman"/>
                <w:b/>
                <w:sz w:val="16"/>
                <w:szCs w:val="16"/>
                <w:lang w:val="en-US"/>
              </w:rPr>
              <w:t>5</w:t>
            </w:r>
          </w:p>
        </w:tc>
        <w:tc>
          <w:tcPr>
            <w:tcW w:w="992" w:type="dxa"/>
            <w:vAlign w:val="center"/>
          </w:tcPr>
          <w:p w:rsidR="00C821BE" w:rsidRPr="0010784C" w:rsidRDefault="00C821BE" w:rsidP="00C821BE">
            <w:pPr>
              <w:spacing w:after="0" w:line="240" w:lineRule="auto"/>
              <w:jc w:val="center"/>
              <w:rPr>
                <w:rFonts w:ascii="Times New Roman" w:hAnsi="Times New Roman"/>
                <w:sz w:val="16"/>
                <w:szCs w:val="16"/>
                <w:lang w:val="en-US"/>
              </w:rPr>
            </w:pPr>
            <w:r w:rsidRPr="0010784C">
              <w:rPr>
                <w:rFonts w:ascii="Times New Roman" w:hAnsi="Times New Roman"/>
                <w:sz w:val="16"/>
                <w:szCs w:val="16"/>
                <w:lang w:val="en-US"/>
              </w:rPr>
              <w:t>Regional</w:t>
            </w:r>
          </w:p>
        </w:tc>
        <w:tc>
          <w:tcPr>
            <w:tcW w:w="284" w:type="dxa"/>
            <w:shd w:val="clear" w:color="auto" w:fill="002060"/>
            <w:vAlign w:val="center"/>
          </w:tcPr>
          <w:p w:rsidR="00C821BE" w:rsidRPr="0010784C" w:rsidRDefault="00C821BE" w:rsidP="00C821BE">
            <w:pPr>
              <w:spacing w:after="0" w:line="240" w:lineRule="auto"/>
              <w:jc w:val="center"/>
              <w:rPr>
                <w:rFonts w:ascii="Times New Roman" w:hAnsi="Times New Roman"/>
                <w:b/>
                <w:sz w:val="16"/>
                <w:szCs w:val="16"/>
                <w:lang w:val="en-US"/>
              </w:rPr>
            </w:pPr>
            <w:r w:rsidRPr="0010784C">
              <w:rPr>
                <w:rFonts w:ascii="Times New Roman" w:hAnsi="Times New Roman"/>
                <w:b/>
                <w:sz w:val="16"/>
                <w:szCs w:val="16"/>
                <w:lang w:val="en-US"/>
              </w:rPr>
              <w:t>5</w:t>
            </w:r>
          </w:p>
        </w:tc>
        <w:tc>
          <w:tcPr>
            <w:tcW w:w="850" w:type="dxa"/>
            <w:vAlign w:val="center"/>
          </w:tcPr>
          <w:p w:rsidR="00C821BE" w:rsidRPr="0010784C" w:rsidRDefault="00C821BE" w:rsidP="00C821BE">
            <w:pPr>
              <w:spacing w:after="0" w:line="240" w:lineRule="auto"/>
              <w:jc w:val="center"/>
              <w:rPr>
                <w:rFonts w:ascii="Times New Roman" w:hAnsi="Times New Roman"/>
                <w:sz w:val="16"/>
                <w:szCs w:val="16"/>
                <w:lang w:val="en-US"/>
              </w:rPr>
            </w:pPr>
            <w:r w:rsidRPr="0010784C">
              <w:rPr>
                <w:rFonts w:ascii="Times New Roman" w:hAnsi="Times New Roman"/>
                <w:sz w:val="16"/>
                <w:szCs w:val="16"/>
                <w:lang w:val="en-US"/>
              </w:rPr>
              <w:t>Long</w:t>
            </w:r>
          </w:p>
        </w:tc>
        <w:tc>
          <w:tcPr>
            <w:tcW w:w="284" w:type="dxa"/>
            <w:shd w:val="clear" w:color="auto" w:fill="002060"/>
            <w:vAlign w:val="center"/>
          </w:tcPr>
          <w:p w:rsidR="00C821BE" w:rsidRPr="0010784C" w:rsidRDefault="00C821BE" w:rsidP="00C821BE">
            <w:pPr>
              <w:spacing w:after="0" w:line="240" w:lineRule="auto"/>
              <w:jc w:val="center"/>
              <w:rPr>
                <w:rFonts w:ascii="Times New Roman" w:hAnsi="Times New Roman"/>
                <w:b/>
                <w:sz w:val="16"/>
                <w:szCs w:val="16"/>
                <w:lang w:val="en-US"/>
              </w:rPr>
            </w:pPr>
            <w:r w:rsidRPr="0010784C">
              <w:rPr>
                <w:rFonts w:ascii="Times New Roman" w:hAnsi="Times New Roman"/>
                <w:b/>
                <w:sz w:val="16"/>
                <w:szCs w:val="16"/>
                <w:lang w:val="en-US"/>
              </w:rPr>
              <w:t>5</w:t>
            </w:r>
          </w:p>
        </w:tc>
        <w:tc>
          <w:tcPr>
            <w:tcW w:w="850" w:type="dxa"/>
            <w:shd w:val="clear" w:color="auto" w:fill="92D050"/>
            <w:vAlign w:val="center"/>
          </w:tcPr>
          <w:p w:rsidR="00C821BE" w:rsidRPr="0010784C" w:rsidRDefault="00C821BE" w:rsidP="00C821BE">
            <w:pPr>
              <w:spacing w:after="0" w:line="240" w:lineRule="auto"/>
              <w:jc w:val="center"/>
              <w:rPr>
                <w:rFonts w:ascii="Times New Roman" w:hAnsi="Times New Roman"/>
                <w:b/>
                <w:sz w:val="16"/>
                <w:szCs w:val="16"/>
                <w:lang w:val="en-US"/>
              </w:rPr>
            </w:pPr>
            <w:r w:rsidRPr="0010784C">
              <w:rPr>
                <w:rFonts w:ascii="Times New Roman" w:hAnsi="Times New Roman"/>
                <w:b/>
                <w:sz w:val="16"/>
                <w:szCs w:val="16"/>
                <w:lang w:val="en-US"/>
              </w:rPr>
              <w:t>Major</w:t>
            </w:r>
          </w:p>
        </w:tc>
        <w:tc>
          <w:tcPr>
            <w:tcW w:w="567" w:type="dxa"/>
            <w:shd w:val="clear" w:color="auto" w:fill="92D050"/>
            <w:vAlign w:val="center"/>
          </w:tcPr>
          <w:p w:rsidR="00C821BE" w:rsidRPr="0010784C" w:rsidRDefault="00C821BE" w:rsidP="00C821BE">
            <w:pPr>
              <w:spacing w:after="0" w:line="240" w:lineRule="auto"/>
              <w:jc w:val="center"/>
              <w:rPr>
                <w:rFonts w:ascii="Times New Roman" w:hAnsi="Times New Roman"/>
                <w:b/>
                <w:sz w:val="16"/>
                <w:szCs w:val="16"/>
                <w:lang w:val="en-US"/>
              </w:rPr>
            </w:pPr>
            <w:r w:rsidRPr="0010784C">
              <w:rPr>
                <w:rFonts w:ascii="Times New Roman" w:hAnsi="Times New Roman"/>
                <w:b/>
                <w:sz w:val="16"/>
                <w:szCs w:val="16"/>
                <w:lang w:val="en-US"/>
              </w:rPr>
              <w:t>125</w:t>
            </w:r>
          </w:p>
        </w:tc>
      </w:tr>
    </w:tbl>
    <w:p w:rsidR="00C821BE" w:rsidRPr="0010784C" w:rsidRDefault="00C821BE" w:rsidP="00C821BE">
      <w:pPr>
        <w:spacing w:after="0"/>
        <w:jc w:val="center"/>
        <w:rPr>
          <w:rFonts w:ascii="Times New Roman" w:hAnsi="Times New Roman" w:cs="Times New Roman"/>
          <w:b/>
          <w:sz w:val="20"/>
          <w:szCs w:val="20"/>
          <w:lang w:val="en-US"/>
        </w:rPr>
      </w:pPr>
      <w:r w:rsidRPr="0010784C">
        <w:rPr>
          <w:rFonts w:ascii="Times New Roman" w:hAnsi="Times New Roman" w:cs="Times New Roman"/>
          <w:b/>
          <w:sz w:val="24"/>
          <w:szCs w:val="24"/>
          <w:lang w:val="en-US"/>
        </w:rPr>
        <w:tab/>
      </w:r>
      <w:r w:rsidRPr="0010784C">
        <w:rPr>
          <w:rFonts w:ascii="Times New Roman" w:hAnsi="Times New Roman" w:cs="Times New Roman"/>
          <w:b/>
          <w:sz w:val="20"/>
          <w:szCs w:val="20"/>
          <w:lang w:val="en-US"/>
        </w:rPr>
        <w:t>Summary of the negative impacts expected at the level of sub-project n ° 2</w:t>
      </w:r>
    </w:p>
    <w:tbl>
      <w:tblPr>
        <w:tblW w:w="113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850"/>
        <w:gridCol w:w="992"/>
        <w:gridCol w:w="1201"/>
        <w:gridCol w:w="2343"/>
        <w:gridCol w:w="851"/>
        <w:gridCol w:w="283"/>
        <w:gridCol w:w="992"/>
        <w:gridCol w:w="284"/>
        <w:gridCol w:w="850"/>
        <w:gridCol w:w="284"/>
        <w:gridCol w:w="850"/>
        <w:gridCol w:w="586"/>
      </w:tblGrid>
      <w:tr w:rsidR="00C821BE" w:rsidRPr="0010784C" w:rsidTr="00C821BE">
        <w:trPr>
          <w:jc w:val="center"/>
        </w:trPr>
        <w:tc>
          <w:tcPr>
            <w:tcW w:w="988" w:type="dxa"/>
            <w:shd w:val="clear" w:color="auto" w:fill="F2F2F2" w:themeFill="background1" w:themeFillShade="F2"/>
            <w:vAlign w:val="center"/>
          </w:tcPr>
          <w:p w:rsidR="00C821BE" w:rsidRPr="0010784C" w:rsidRDefault="00C821BE" w:rsidP="00C821BE">
            <w:pPr>
              <w:spacing w:after="0" w:line="240" w:lineRule="auto"/>
              <w:jc w:val="center"/>
              <w:rPr>
                <w:rFonts w:ascii="Times New Roman" w:hAnsi="Times New Roman"/>
                <w:b/>
                <w:sz w:val="16"/>
                <w:szCs w:val="16"/>
                <w:lang w:val="en-US"/>
              </w:rPr>
            </w:pPr>
            <w:r w:rsidRPr="0010784C">
              <w:rPr>
                <w:rFonts w:ascii="Times New Roman" w:hAnsi="Times New Roman"/>
                <w:b/>
                <w:sz w:val="16"/>
                <w:szCs w:val="16"/>
                <w:lang w:val="en-US"/>
              </w:rPr>
              <w:t>PHASES</w:t>
            </w:r>
          </w:p>
        </w:tc>
        <w:tc>
          <w:tcPr>
            <w:tcW w:w="850" w:type="dxa"/>
            <w:shd w:val="clear" w:color="auto" w:fill="F2F2F2" w:themeFill="background1" w:themeFillShade="F2"/>
            <w:vAlign w:val="center"/>
          </w:tcPr>
          <w:p w:rsidR="00C821BE" w:rsidRPr="0010784C" w:rsidRDefault="00C821BE" w:rsidP="00C821BE">
            <w:pPr>
              <w:spacing w:after="0" w:line="240" w:lineRule="auto"/>
              <w:jc w:val="center"/>
              <w:rPr>
                <w:rFonts w:ascii="Times New Roman" w:hAnsi="Times New Roman"/>
                <w:b/>
                <w:sz w:val="16"/>
                <w:szCs w:val="16"/>
                <w:lang w:val="en-US"/>
              </w:rPr>
            </w:pPr>
            <w:r w:rsidRPr="0010784C">
              <w:rPr>
                <w:rFonts w:ascii="Times New Roman" w:hAnsi="Times New Roman"/>
                <w:b/>
                <w:sz w:val="16"/>
                <w:szCs w:val="16"/>
                <w:lang w:val="en-US"/>
              </w:rPr>
              <w:t>MIDDLE</w:t>
            </w:r>
          </w:p>
        </w:tc>
        <w:tc>
          <w:tcPr>
            <w:tcW w:w="4536" w:type="dxa"/>
            <w:gridSpan w:val="3"/>
            <w:shd w:val="clear" w:color="auto" w:fill="F2F2F2" w:themeFill="background1" w:themeFillShade="F2"/>
            <w:vAlign w:val="center"/>
          </w:tcPr>
          <w:p w:rsidR="00C821BE" w:rsidRPr="0010784C" w:rsidRDefault="00C821BE" w:rsidP="00C821BE">
            <w:pPr>
              <w:spacing w:after="0" w:line="240" w:lineRule="auto"/>
              <w:jc w:val="center"/>
              <w:rPr>
                <w:rFonts w:ascii="Times New Roman" w:hAnsi="Times New Roman"/>
                <w:b/>
                <w:sz w:val="16"/>
                <w:szCs w:val="16"/>
                <w:lang w:val="en-US"/>
              </w:rPr>
            </w:pPr>
            <w:r w:rsidRPr="0010784C">
              <w:rPr>
                <w:rFonts w:ascii="Times New Roman" w:hAnsi="Times New Roman"/>
                <w:b/>
                <w:sz w:val="16"/>
                <w:szCs w:val="16"/>
                <w:lang w:val="en-US"/>
              </w:rPr>
              <w:t>POTENTIAL NEGATIVE IMPACTS</w:t>
            </w:r>
          </w:p>
        </w:tc>
        <w:tc>
          <w:tcPr>
            <w:tcW w:w="1134" w:type="dxa"/>
            <w:gridSpan w:val="2"/>
            <w:shd w:val="clear" w:color="auto" w:fill="002060"/>
            <w:vAlign w:val="center"/>
          </w:tcPr>
          <w:p w:rsidR="00C821BE" w:rsidRPr="0010784C" w:rsidRDefault="00C821BE" w:rsidP="00C821BE">
            <w:pPr>
              <w:spacing w:after="0" w:line="240" w:lineRule="auto"/>
              <w:jc w:val="both"/>
              <w:rPr>
                <w:rFonts w:ascii="Times New Roman" w:hAnsi="Times New Roman"/>
                <w:b/>
                <w:sz w:val="16"/>
                <w:szCs w:val="16"/>
                <w:lang w:val="en-US"/>
              </w:rPr>
            </w:pPr>
            <w:r w:rsidRPr="0010784C">
              <w:rPr>
                <w:rFonts w:ascii="Times New Roman" w:hAnsi="Times New Roman"/>
                <w:b/>
                <w:sz w:val="16"/>
                <w:szCs w:val="16"/>
                <w:lang w:val="en-US"/>
              </w:rPr>
              <w:t>Intensity</w:t>
            </w:r>
          </w:p>
        </w:tc>
        <w:tc>
          <w:tcPr>
            <w:tcW w:w="1276" w:type="dxa"/>
            <w:gridSpan w:val="2"/>
            <w:shd w:val="clear" w:color="auto" w:fill="002060"/>
            <w:vAlign w:val="center"/>
          </w:tcPr>
          <w:p w:rsidR="00C821BE" w:rsidRPr="0010784C" w:rsidRDefault="00C821BE" w:rsidP="00C821BE">
            <w:pPr>
              <w:spacing w:after="0" w:line="240" w:lineRule="auto"/>
              <w:jc w:val="both"/>
              <w:rPr>
                <w:rFonts w:ascii="Times New Roman" w:hAnsi="Times New Roman"/>
                <w:b/>
                <w:sz w:val="16"/>
                <w:szCs w:val="16"/>
                <w:lang w:val="en-US"/>
              </w:rPr>
            </w:pPr>
            <w:r w:rsidRPr="0010784C">
              <w:rPr>
                <w:rFonts w:ascii="Times New Roman" w:hAnsi="Times New Roman"/>
                <w:b/>
                <w:sz w:val="16"/>
                <w:szCs w:val="16"/>
                <w:lang w:val="en-US"/>
              </w:rPr>
              <w:t>Extent</w:t>
            </w:r>
          </w:p>
        </w:tc>
        <w:tc>
          <w:tcPr>
            <w:tcW w:w="1134" w:type="dxa"/>
            <w:gridSpan w:val="2"/>
            <w:shd w:val="clear" w:color="auto" w:fill="002060"/>
            <w:vAlign w:val="center"/>
          </w:tcPr>
          <w:p w:rsidR="00C821BE" w:rsidRPr="0010784C" w:rsidRDefault="00C821BE" w:rsidP="00C821BE">
            <w:pPr>
              <w:spacing w:after="0" w:line="240" w:lineRule="auto"/>
              <w:jc w:val="both"/>
              <w:rPr>
                <w:rFonts w:ascii="Times New Roman" w:hAnsi="Times New Roman"/>
                <w:b/>
                <w:sz w:val="16"/>
                <w:szCs w:val="16"/>
                <w:lang w:val="en-US"/>
              </w:rPr>
            </w:pPr>
            <w:r w:rsidRPr="0010784C">
              <w:rPr>
                <w:rFonts w:ascii="Times New Roman" w:hAnsi="Times New Roman"/>
                <w:b/>
                <w:sz w:val="16"/>
                <w:szCs w:val="16"/>
                <w:lang w:val="en-US"/>
              </w:rPr>
              <w:t>Duration</w:t>
            </w:r>
          </w:p>
        </w:tc>
        <w:tc>
          <w:tcPr>
            <w:tcW w:w="1436" w:type="dxa"/>
            <w:gridSpan w:val="2"/>
            <w:shd w:val="clear" w:color="auto" w:fill="002060"/>
            <w:vAlign w:val="center"/>
          </w:tcPr>
          <w:p w:rsidR="00C821BE" w:rsidRPr="0010784C" w:rsidRDefault="00C821BE" w:rsidP="00C821BE">
            <w:pPr>
              <w:spacing w:after="0" w:line="240" w:lineRule="auto"/>
              <w:jc w:val="both"/>
              <w:rPr>
                <w:rFonts w:ascii="Times New Roman" w:hAnsi="Times New Roman"/>
                <w:b/>
                <w:sz w:val="16"/>
                <w:szCs w:val="16"/>
                <w:lang w:val="en-US"/>
              </w:rPr>
            </w:pPr>
            <w:r w:rsidRPr="0010784C">
              <w:rPr>
                <w:rFonts w:ascii="Times New Roman" w:hAnsi="Times New Roman"/>
                <w:b/>
                <w:sz w:val="16"/>
                <w:szCs w:val="16"/>
                <w:lang w:val="en-US"/>
              </w:rPr>
              <w:t>Importance</w:t>
            </w:r>
          </w:p>
        </w:tc>
      </w:tr>
      <w:tr w:rsidR="00C821BE" w:rsidRPr="0010784C" w:rsidTr="00C821BE">
        <w:trPr>
          <w:gridBefore w:val="2"/>
          <w:gridAfter w:val="10"/>
          <w:wBefore w:w="1838" w:type="dxa"/>
          <w:wAfter w:w="8524" w:type="dxa"/>
          <w:trHeight w:val="70"/>
          <w:jc w:val="center"/>
        </w:trPr>
        <w:tc>
          <w:tcPr>
            <w:tcW w:w="992" w:type="dxa"/>
            <w:shd w:val="clear" w:color="auto" w:fill="000000" w:themeFill="text1"/>
            <w:vAlign w:val="center"/>
          </w:tcPr>
          <w:p w:rsidR="00C821BE" w:rsidRPr="0010784C" w:rsidRDefault="00C821BE" w:rsidP="00C821BE">
            <w:pPr>
              <w:spacing w:after="0" w:line="240" w:lineRule="auto"/>
              <w:jc w:val="both"/>
              <w:rPr>
                <w:rFonts w:ascii="Times New Roman" w:hAnsi="Times New Roman"/>
                <w:sz w:val="4"/>
                <w:szCs w:val="4"/>
                <w:lang w:val="en-US"/>
              </w:rPr>
            </w:pPr>
          </w:p>
        </w:tc>
      </w:tr>
      <w:tr w:rsidR="00C821BE" w:rsidRPr="0010784C" w:rsidTr="00C821BE">
        <w:trPr>
          <w:jc w:val="center"/>
        </w:trPr>
        <w:tc>
          <w:tcPr>
            <w:tcW w:w="988" w:type="dxa"/>
            <w:vMerge w:val="restart"/>
            <w:shd w:val="clear" w:color="auto" w:fill="BDD6EE"/>
            <w:vAlign w:val="center"/>
          </w:tcPr>
          <w:p w:rsidR="00C821BE" w:rsidRPr="0010784C" w:rsidRDefault="00C821BE" w:rsidP="00C821BE">
            <w:pPr>
              <w:spacing w:after="0" w:line="240" w:lineRule="auto"/>
              <w:jc w:val="center"/>
              <w:rPr>
                <w:rFonts w:ascii="Times New Roman" w:eastAsia="MS Gothic" w:hAnsi="Times New Roman"/>
                <w:b/>
                <w:sz w:val="16"/>
                <w:szCs w:val="16"/>
                <w:lang w:val="en-US"/>
              </w:rPr>
            </w:pPr>
            <w:r w:rsidRPr="0010784C">
              <w:rPr>
                <w:rFonts w:ascii="Times New Roman" w:eastAsia="MS Gothic" w:hAnsi="Times New Roman"/>
                <w:b/>
                <w:sz w:val="16"/>
                <w:szCs w:val="16"/>
                <w:lang w:val="en-US"/>
              </w:rPr>
              <w:t>Pre-construction and</w:t>
            </w:r>
          </w:p>
          <w:p w:rsidR="00C821BE" w:rsidRPr="0010784C" w:rsidRDefault="00C821BE" w:rsidP="00C821BE">
            <w:pPr>
              <w:spacing w:after="0" w:line="240" w:lineRule="auto"/>
              <w:jc w:val="center"/>
              <w:rPr>
                <w:rFonts w:ascii="Times New Roman" w:eastAsia="MS Gothic" w:hAnsi="Times New Roman"/>
                <w:b/>
                <w:sz w:val="16"/>
                <w:szCs w:val="16"/>
                <w:lang w:val="en-US"/>
              </w:rPr>
            </w:pPr>
            <w:r w:rsidRPr="0010784C">
              <w:rPr>
                <w:rFonts w:ascii="Times New Roman" w:eastAsia="MS Gothic" w:hAnsi="Times New Roman"/>
                <w:b/>
                <w:sz w:val="16"/>
                <w:szCs w:val="16"/>
                <w:lang w:val="en-US"/>
              </w:rPr>
              <w:t>Construction</w:t>
            </w:r>
          </w:p>
        </w:tc>
        <w:tc>
          <w:tcPr>
            <w:tcW w:w="850" w:type="dxa"/>
            <w:vAlign w:val="center"/>
          </w:tcPr>
          <w:p w:rsidR="00C821BE" w:rsidRPr="0010784C" w:rsidRDefault="00C821BE" w:rsidP="00C821BE">
            <w:pPr>
              <w:spacing w:after="0" w:line="240" w:lineRule="auto"/>
              <w:jc w:val="center"/>
              <w:rPr>
                <w:rFonts w:ascii="Times New Roman" w:hAnsi="Times New Roman"/>
                <w:b/>
                <w:sz w:val="12"/>
                <w:szCs w:val="12"/>
                <w:lang w:val="en-US"/>
              </w:rPr>
            </w:pPr>
            <w:r w:rsidRPr="0010784C">
              <w:rPr>
                <w:rFonts w:ascii="Times New Roman" w:hAnsi="Times New Roman"/>
                <w:b/>
                <w:sz w:val="12"/>
                <w:szCs w:val="12"/>
                <w:lang w:val="en-US"/>
              </w:rPr>
              <w:t>AIR</w:t>
            </w:r>
          </w:p>
        </w:tc>
        <w:tc>
          <w:tcPr>
            <w:tcW w:w="4536" w:type="dxa"/>
            <w:gridSpan w:val="3"/>
            <w:vAlign w:val="center"/>
          </w:tcPr>
          <w:p w:rsidR="00C821BE" w:rsidRPr="0010784C" w:rsidRDefault="00C821BE" w:rsidP="00C821BE">
            <w:pPr>
              <w:spacing w:after="0" w:line="240" w:lineRule="auto"/>
              <w:jc w:val="both"/>
              <w:rPr>
                <w:rFonts w:ascii="Times New Roman" w:hAnsi="Times New Roman"/>
                <w:sz w:val="16"/>
                <w:szCs w:val="16"/>
                <w:lang w:val="en-US"/>
              </w:rPr>
            </w:pPr>
            <w:r w:rsidRPr="0010784C">
              <w:rPr>
                <w:rFonts w:ascii="Times New Roman" w:hAnsi="Times New Roman"/>
                <w:sz w:val="16"/>
                <w:szCs w:val="16"/>
                <w:lang w:val="en-US"/>
              </w:rPr>
              <w:t>Risk of deterioration of air quality (noise, dust and exhaust gases)</w:t>
            </w:r>
          </w:p>
        </w:tc>
        <w:tc>
          <w:tcPr>
            <w:tcW w:w="851" w:type="dxa"/>
            <w:vAlign w:val="center"/>
          </w:tcPr>
          <w:p w:rsidR="00C821BE" w:rsidRPr="0010784C" w:rsidRDefault="00C821BE" w:rsidP="00C821BE">
            <w:pPr>
              <w:spacing w:after="0" w:line="240" w:lineRule="auto"/>
              <w:jc w:val="center"/>
              <w:rPr>
                <w:rFonts w:ascii="Times New Roman" w:hAnsi="Times New Roman"/>
                <w:sz w:val="16"/>
                <w:szCs w:val="16"/>
                <w:lang w:val="en-US"/>
              </w:rPr>
            </w:pPr>
            <w:r w:rsidRPr="0010784C">
              <w:rPr>
                <w:rFonts w:ascii="Times New Roman" w:hAnsi="Times New Roman"/>
                <w:sz w:val="16"/>
                <w:szCs w:val="16"/>
                <w:lang w:val="en-US"/>
              </w:rPr>
              <w:t>Average</w:t>
            </w:r>
          </w:p>
        </w:tc>
        <w:tc>
          <w:tcPr>
            <w:tcW w:w="283" w:type="dxa"/>
            <w:shd w:val="clear" w:color="auto" w:fill="002060"/>
            <w:vAlign w:val="center"/>
          </w:tcPr>
          <w:p w:rsidR="00C821BE" w:rsidRPr="0010784C" w:rsidRDefault="00C821BE" w:rsidP="00C821BE">
            <w:pPr>
              <w:spacing w:after="0" w:line="240" w:lineRule="auto"/>
              <w:jc w:val="center"/>
              <w:rPr>
                <w:rFonts w:ascii="Times New Roman" w:hAnsi="Times New Roman"/>
                <w:b/>
                <w:sz w:val="16"/>
                <w:szCs w:val="16"/>
                <w:lang w:val="en-US"/>
              </w:rPr>
            </w:pPr>
            <w:r w:rsidRPr="0010784C">
              <w:rPr>
                <w:rFonts w:ascii="Times New Roman" w:hAnsi="Times New Roman"/>
                <w:b/>
                <w:sz w:val="16"/>
                <w:szCs w:val="16"/>
                <w:lang w:val="en-US"/>
              </w:rPr>
              <w:t>3</w:t>
            </w:r>
          </w:p>
        </w:tc>
        <w:tc>
          <w:tcPr>
            <w:tcW w:w="992" w:type="dxa"/>
            <w:vAlign w:val="center"/>
          </w:tcPr>
          <w:p w:rsidR="00C821BE" w:rsidRPr="0010784C" w:rsidRDefault="00C821BE" w:rsidP="00C821BE">
            <w:pPr>
              <w:spacing w:after="0" w:line="240" w:lineRule="auto"/>
              <w:jc w:val="center"/>
              <w:rPr>
                <w:rFonts w:ascii="Times New Roman" w:hAnsi="Times New Roman"/>
                <w:sz w:val="16"/>
                <w:szCs w:val="16"/>
                <w:lang w:val="en-US"/>
              </w:rPr>
            </w:pPr>
            <w:r w:rsidRPr="0010784C">
              <w:rPr>
                <w:rFonts w:ascii="Times New Roman" w:hAnsi="Times New Roman"/>
                <w:sz w:val="16"/>
                <w:szCs w:val="16"/>
                <w:lang w:val="en-US"/>
              </w:rPr>
              <w:t>Local</w:t>
            </w:r>
          </w:p>
        </w:tc>
        <w:tc>
          <w:tcPr>
            <w:tcW w:w="284" w:type="dxa"/>
            <w:shd w:val="clear" w:color="auto" w:fill="002060"/>
            <w:vAlign w:val="center"/>
          </w:tcPr>
          <w:p w:rsidR="00C821BE" w:rsidRPr="0010784C" w:rsidRDefault="00C821BE" w:rsidP="00C821BE">
            <w:pPr>
              <w:spacing w:after="0" w:line="240" w:lineRule="auto"/>
              <w:jc w:val="center"/>
              <w:rPr>
                <w:rFonts w:ascii="Times New Roman" w:hAnsi="Times New Roman"/>
                <w:b/>
                <w:sz w:val="16"/>
                <w:szCs w:val="16"/>
                <w:lang w:val="en-US"/>
              </w:rPr>
            </w:pPr>
            <w:r w:rsidRPr="0010784C">
              <w:rPr>
                <w:rFonts w:ascii="Times New Roman" w:hAnsi="Times New Roman"/>
                <w:b/>
                <w:sz w:val="16"/>
                <w:szCs w:val="16"/>
                <w:lang w:val="en-US"/>
              </w:rPr>
              <w:t>3</w:t>
            </w:r>
          </w:p>
        </w:tc>
        <w:tc>
          <w:tcPr>
            <w:tcW w:w="850" w:type="dxa"/>
            <w:vAlign w:val="center"/>
          </w:tcPr>
          <w:p w:rsidR="00C821BE" w:rsidRPr="0010784C" w:rsidRDefault="00C821BE" w:rsidP="00C821BE">
            <w:pPr>
              <w:spacing w:after="0" w:line="240" w:lineRule="auto"/>
              <w:jc w:val="center"/>
              <w:rPr>
                <w:rFonts w:ascii="Times New Roman" w:hAnsi="Times New Roman"/>
                <w:sz w:val="16"/>
                <w:szCs w:val="16"/>
                <w:lang w:val="en-US"/>
              </w:rPr>
            </w:pPr>
            <w:r w:rsidRPr="0010784C">
              <w:rPr>
                <w:rFonts w:ascii="Times New Roman" w:hAnsi="Times New Roman"/>
                <w:sz w:val="16"/>
                <w:szCs w:val="16"/>
                <w:lang w:val="en-US"/>
              </w:rPr>
              <w:t>Short</w:t>
            </w:r>
          </w:p>
        </w:tc>
        <w:tc>
          <w:tcPr>
            <w:tcW w:w="284" w:type="dxa"/>
            <w:shd w:val="clear" w:color="auto" w:fill="002060"/>
            <w:vAlign w:val="center"/>
          </w:tcPr>
          <w:p w:rsidR="00C821BE" w:rsidRPr="0010784C" w:rsidRDefault="00C821BE" w:rsidP="00C821BE">
            <w:pPr>
              <w:spacing w:after="0" w:line="240" w:lineRule="auto"/>
              <w:jc w:val="center"/>
              <w:rPr>
                <w:rFonts w:ascii="Times New Roman" w:hAnsi="Times New Roman"/>
                <w:b/>
                <w:sz w:val="16"/>
                <w:szCs w:val="16"/>
                <w:lang w:val="en-US"/>
              </w:rPr>
            </w:pPr>
            <w:r w:rsidRPr="0010784C">
              <w:rPr>
                <w:rFonts w:ascii="Times New Roman" w:hAnsi="Times New Roman"/>
                <w:b/>
                <w:sz w:val="16"/>
                <w:szCs w:val="16"/>
                <w:lang w:val="en-US"/>
              </w:rPr>
              <w:t>1</w:t>
            </w:r>
          </w:p>
        </w:tc>
        <w:tc>
          <w:tcPr>
            <w:tcW w:w="850" w:type="dxa"/>
            <w:shd w:val="clear" w:color="auto" w:fill="92D050"/>
            <w:vAlign w:val="center"/>
          </w:tcPr>
          <w:p w:rsidR="00C821BE" w:rsidRPr="0010784C" w:rsidRDefault="00C821BE" w:rsidP="00C821BE">
            <w:pPr>
              <w:spacing w:after="0" w:line="240" w:lineRule="auto"/>
              <w:jc w:val="center"/>
              <w:rPr>
                <w:rFonts w:ascii="Times New Roman" w:hAnsi="Times New Roman"/>
                <w:b/>
                <w:sz w:val="16"/>
                <w:szCs w:val="16"/>
                <w:lang w:val="en-US"/>
              </w:rPr>
            </w:pPr>
            <w:r w:rsidRPr="0010784C">
              <w:rPr>
                <w:rFonts w:ascii="Times New Roman" w:hAnsi="Times New Roman"/>
                <w:b/>
                <w:sz w:val="16"/>
                <w:szCs w:val="16"/>
                <w:lang w:val="en-US"/>
              </w:rPr>
              <w:t>Minor</w:t>
            </w:r>
          </w:p>
        </w:tc>
        <w:tc>
          <w:tcPr>
            <w:tcW w:w="586" w:type="dxa"/>
            <w:shd w:val="clear" w:color="auto" w:fill="92D050"/>
            <w:vAlign w:val="center"/>
          </w:tcPr>
          <w:p w:rsidR="00C821BE" w:rsidRPr="0010784C" w:rsidRDefault="00C821BE" w:rsidP="00C821BE">
            <w:pPr>
              <w:spacing w:after="0" w:line="240" w:lineRule="auto"/>
              <w:jc w:val="center"/>
              <w:rPr>
                <w:rFonts w:ascii="Times New Roman" w:hAnsi="Times New Roman"/>
                <w:b/>
                <w:sz w:val="16"/>
                <w:szCs w:val="16"/>
                <w:lang w:val="en-US"/>
              </w:rPr>
            </w:pPr>
            <w:r w:rsidRPr="0010784C">
              <w:rPr>
                <w:rFonts w:ascii="Times New Roman" w:hAnsi="Times New Roman"/>
                <w:b/>
                <w:sz w:val="16"/>
                <w:szCs w:val="16"/>
                <w:lang w:val="en-US"/>
              </w:rPr>
              <w:t>9</w:t>
            </w:r>
          </w:p>
        </w:tc>
      </w:tr>
      <w:tr w:rsidR="00C821BE" w:rsidRPr="0010784C" w:rsidTr="00C821BE">
        <w:trPr>
          <w:jc w:val="center"/>
        </w:trPr>
        <w:tc>
          <w:tcPr>
            <w:tcW w:w="988" w:type="dxa"/>
            <w:vMerge/>
            <w:shd w:val="clear" w:color="auto" w:fill="BDD6EE"/>
            <w:vAlign w:val="center"/>
          </w:tcPr>
          <w:p w:rsidR="00C821BE" w:rsidRPr="0010784C" w:rsidRDefault="00C821BE" w:rsidP="00C821BE">
            <w:pPr>
              <w:spacing w:after="0" w:line="240" w:lineRule="auto"/>
              <w:jc w:val="center"/>
              <w:rPr>
                <w:rFonts w:ascii="Times New Roman" w:hAnsi="Times New Roman"/>
                <w:sz w:val="16"/>
                <w:szCs w:val="16"/>
                <w:lang w:val="en-US"/>
              </w:rPr>
            </w:pPr>
          </w:p>
        </w:tc>
        <w:tc>
          <w:tcPr>
            <w:tcW w:w="850" w:type="dxa"/>
            <w:vMerge w:val="restart"/>
            <w:vAlign w:val="center"/>
          </w:tcPr>
          <w:p w:rsidR="00C821BE" w:rsidRPr="0010784C" w:rsidRDefault="00C821BE" w:rsidP="00C821BE">
            <w:pPr>
              <w:spacing w:after="0" w:line="240" w:lineRule="auto"/>
              <w:jc w:val="center"/>
              <w:rPr>
                <w:rFonts w:ascii="Times New Roman" w:hAnsi="Times New Roman"/>
                <w:b/>
                <w:sz w:val="12"/>
                <w:szCs w:val="12"/>
                <w:lang w:val="en-US"/>
              </w:rPr>
            </w:pPr>
            <w:r w:rsidRPr="0010784C">
              <w:rPr>
                <w:rFonts w:ascii="Times New Roman" w:hAnsi="Times New Roman"/>
                <w:b/>
                <w:sz w:val="12"/>
                <w:szCs w:val="12"/>
                <w:lang w:val="en-US"/>
              </w:rPr>
              <w:t>GROUND</w:t>
            </w:r>
          </w:p>
        </w:tc>
        <w:tc>
          <w:tcPr>
            <w:tcW w:w="4536" w:type="dxa"/>
            <w:gridSpan w:val="3"/>
            <w:vAlign w:val="center"/>
          </w:tcPr>
          <w:p w:rsidR="00C821BE" w:rsidRPr="0010784C" w:rsidRDefault="00C821BE" w:rsidP="00C821BE">
            <w:pPr>
              <w:spacing w:after="0" w:line="240" w:lineRule="auto"/>
              <w:jc w:val="both"/>
              <w:rPr>
                <w:rFonts w:ascii="Times New Roman" w:hAnsi="Times New Roman"/>
                <w:sz w:val="16"/>
                <w:szCs w:val="16"/>
                <w:lang w:val="en-US"/>
              </w:rPr>
            </w:pPr>
            <w:r w:rsidRPr="0010784C">
              <w:rPr>
                <w:rFonts w:ascii="Times New Roman" w:hAnsi="Times New Roman"/>
                <w:sz w:val="16"/>
                <w:szCs w:val="16"/>
                <w:lang w:val="en-US"/>
              </w:rPr>
              <w:t>Risk of spoil production and modification of soil texture</w:t>
            </w:r>
          </w:p>
        </w:tc>
        <w:tc>
          <w:tcPr>
            <w:tcW w:w="851" w:type="dxa"/>
            <w:vMerge w:val="restart"/>
            <w:vAlign w:val="center"/>
          </w:tcPr>
          <w:p w:rsidR="00C821BE" w:rsidRPr="0010784C" w:rsidRDefault="00C821BE" w:rsidP="00C821BE">
            <w:pPr>
              <w:spacing w:after="0" w:line="240" w:lineRule="auto"/>
              <w:jc w:val="center"/>
              <w:rPr>
                <w:rFonts w:ascii="Times New Roman" w:hAnsi="Times New Roman"/>
                <w:sz w:val="16"/>
                <w:szCs w:val="16"/>
                <w:lang w:val="en-US"/>
              </w:rPr>
            </w:pPr>
            <w:r w:rsidRPr="0010784C">
              <w:rPr>
                <w:rFonts w:ascii="Times New Roman" w:hAnsi="Times New Roman"/>
                <w:sz w:val="16"/>
                <w:szCs w:val="16"/>
                <w:lang w:val="en-US"/>
              </w:rPr>
              <w:t>Strong</w:t>
            </w:r>
          </w:p>
        </w:tc>
        <w:tc>
          <w:tcPr>
            <w:tcW w:w="283" w:type="dxa"/>
            <w:vMerge w:val="restart"/>
            <w:shd w:val="clear" w:color="auto" w:fill="002060"/>
            <w:vAlign w:val="center"/>
          </w:tcPr>
          <w:p w:rsidR="00C821BE" w:rsidRPr="0010784C" w:rsidRDefault="00C821BE" w:rsidP="00C821BE">
            <w:pPr>
              <w:spacing w:after="0" w:line="240" w:lineRule="auto"/>
              <w:jc w:val="center"/>
              <w:rPr>
                <w:rFonts w:ascii="Times New Roman" w:hAnsi="Times New Roman"/>
                <w:b/>
                <w:sz w:val="16"/>
                <w:szCs w:val="16"/>
                <w:lang w:val="en-US"/>
              </w:rPr>
            </w:pPr>
            <w:r w:rsidRPr="0010784C">
              <w:rPr>
                <w:rFonts w:ascii="Times New Roman" w:hAnsi="Times New Roman"/>
                <w:b/>
                <w:sz w:val="16"/>
                <w:szCs w:val="16"/>
                <w:lang w:val="en-US"/>
              </w:rPr>
              <w:t>5</w:t>
            </w:r>
          </w:p>
        </w:tc>
        <w:tc>
          <w:tcPr>
            <w:tcW w:w="992" w:type="dxa"/>
            <w:vMerge w:val="restart"/>
            <w:vAlign w:val="center"/>
          </w:tcPr>
          <w:p w:rsidR="00C821BE" w:rsidRPr="0010784C" w:rsidRDefault="00C821BE" w:rsidP="00C821BE">
            <w:pPr>
              <w:spacing w:after="0" w:line="240" w:lineRule="auto"/>
              <w:jc w:val="center"/>
              <w:rPr>
                <w:rFonts w:ascii="Times New Roman" w:hAnsi="Times New Roman"/>
                <w:sz w:val="16"/>
                <w:szCs w:val="16"/>
                <w:lang w:val="en-US"/>
              </w:rPr>
            </w:pPr>
            <w:r w:rsidRPr="0010784C">
              <w:rPr>
                <w:rFonts w:ascii="Times New Roman" w:hAnsi="Times New Roman"/>
                <w:sz w:val="16"/>
                <w:szCs w:val="16"/>
                <w:lang w:val="en-US"/>
              </w:rPr>
              <w:t>Punctual</w:t>
            </w:r>
          </w:p>
        </w:tc>
        <w:tc>
          <w:tcPr>
            <w:tcW w:w="284" w:type="dxa"/>
            <w:vMerge w:val="restart"/>
            <w:shd w:val="clear" w:color="auto" w:fill="002060"/>
            <w:vAlign w:val="center"/>
          </w:tcPr>
          <w:p w:rsidR="00C821BE" w:rsidRPr="0010784C" w:rsidRDefault="00C821BE" w:rsidP="00C821BE">
            <w:pPr>
              <w:spacing w:after="0" w:line="240" w:lineRule="auto"/>
              <w:jc w:val="center"/>
              <w:rPr>
                <w:rFonts w:ascii="Times New Roman" w:hAnsi="Times New Roman"/>
                <w:b/>
                <w:sz w:val="16"/>
                <w:szCs w:val="16"/>
                <w:lang w:val="en-US"/>
              </w:rPr>
            </w:pPr>
            <w:r w:rsidRPr="0010784C">
              <w:rPr>
                <w:rFonts w:ascii="Times New Roman" w:hAnsi="Times New Roman"/>
                <w:b/>
                <w:sz w:val="16"/>
                <w:szCs w:val="16"/>
                <w:lang w:val="en-US"/>
              </w:rPr>
              <w:t>1</w:t>
            </w:r>
          </w:p>
        </w:tc>
        <w:tc>
          <w:tcPr>
            <w:tcW w:w="850" w:type="dxa"/>
            <w:vMerge w:val="restart"/>
            <w:vAlign w:val="center"/>
          </w:tcPr>
          <w:p w:rsidR="00C821BE" w:rsidRPr="0010784C" w:rsidRDefault="00C821BE" w:rsidP="00C821BE">
            <w:pPr>
              <w:spacing w:after="0" w:line="240" w:lineRule="auto"/>
              <w:jc w:val="center"/>
              <w:rPr>
                <w:rFonts w:ascii="Times New Roman" w:hAnsi="Times New Roman"/>
                <w:sz w:val="16"/>
                <w:szCs w:val="16"/>
                <w:lang w:val="en-US"/>
              </w:rPr>
            </w:pPr>
            <w:r w:rsidRPr="0010784C">
              <w:rPr>
                <w:rFonts w:ascii="Times New Roman" w:hAnsi="Times New Roman"/>
                <w:sz w:val="16"/>
                <w:szCs w:val="16"/>
                <w:lang w:val="en-US"/>
              </w:rPr>
              <w:t>Short</w:t>
            </w:r>
          </w:p>
        </w:tc>
        <w:tc>
          <w:tcPr>
            <w:tcW w:w="284" w:type="dxa"/>
            <w:vMerge w:val="restart"/>
            <w:shd w:val="clear" w:color="auto" w:fill="002060"/>
            <w:vAlign w:val="center"/>
          </w:tcPr>
          <w:p w:rsidR="00C821BE" w:rsidRPr="0010784C" w:rsidRDefault="00C821BE" w:rsidP="00C821BE">
            <w:pPr>
              <w:spacing w:after="0" w:line="240" w:lineRule="auto"/>
              <w:jc w:val="center"/>
              <w:rPr>
                <w:rFonts w:ascii="Times New Roman" w:hAnsi="Times New Roman"/>
                <w:b/>
                <w:sz w:val="16"/>
                <w:szCs w:val="16"/>
                <w:lang w:val="en-US"/>
              </w:rPr>
            </w:pPr>
            <w:r w:rsidRPr="0010784C">
              <w:rPr>
                <w:rFonts w:ascii="Times New Roman" w:hAnsi="Times New Roman"/>
                <w:b/>
                <w:sz w:val="16"/>
                <w:szCs w:val="16"/>
                <w:lang w:val="en-US"/>
              </w:rPr>
              <w:t>1</w:t>
            </w:r>
          </w:p>
        </w:tc>
        <w:tc>
          <w:tcPr>
            <w:tcW w:w="850" w:type="dxa"/>
            <w:vMerge w:val="restart"/>
            <w:shd w:val="clear" w:color="auto" w:fill="92D050"/>
            <w:vAlign w:val="center"/>
          </w:tcPr>
          <w:p w:rsidR="00C821BE" w:rsidRPr="0010784C" w:rsidRDefault="00C821BE" w:rsidP="00C821BE">
            <w:pPr>
              <w:spacing w:after="0" w:line="240" w:lineRule="auto"/>
              <w:jc w:val="center"/>
              <w:rPr>
                <w:rFonts w:ascii="Times New Roman" w:hAnsi="Times New Roman"/>
                <w:b/>
                <w:sz w:val="16"/>
                <w:szCs w:val="16"/>
                <w:lang w:val="en-US"/>
              </w:rPr>
            </w:pPr>
            <w:r w:rsidRPr="0010784C">
              <w:rPr>
                <w:rFonts w:ascii="Times New Roman" w:hAnsi="Times New Roman"/>
                <w:b/>
                <w:sz w:val="16"/>
                <w:szCs w:val="16"/>
                <w:lang w:val="en-US"/>
              </w:rPr>
              <w:t>Minor</w:t>
            </w:r>
          </w:p>
        </w:tc>
        <w:tc>
          <w:tcPr>
            <w:tcW w:w="586" w:type="dxa"/>
            <w:vMerge w:val="restart"/>
            <w:shd w:val="clear" w:color="auto" w:fill="92D050"/>
            <w:vAlign w:val="center"/>
          </w:tcPr>
          <w:p w:rsidR="00C821BE" w:rsidRPr="0010784C" w:rsidRDefault="00C821BE" w:rsidP="00C821BE">
            <w:pPr>
              <w:spacing w:after="0" w:line="240" w:lineRule="auto"/>
              <w:jc w:val="center"/>
              <w:rPr>
                <w:rFonts w:ascii="Times New Roman" w:hAnsi="Times New Roman"/>
                <w:b/>
                <w:sz w:val="16"/>
                <w:szCs w:val="16"/>
                <w:lang w:val="en-US"/>
              </w:rPr>
            </w:pPr>
            <w:r w:rsidRPr="0010784C">
              <w:rPr>
                <w:rFonts w:ascii="Times New Roman" w:hAnsi="Times New Roman"/>
                <w:b/>
                <w:sz w:val="16"/>
                <w:szCs w:val="16"/>
                <w:lang w:val="en-US"/>
              </w:rPr>
              <w:t>5</w:t>
            </w:r>
          </w:p>
        </w:tc>
      </w:tr>
      <w:tr w:rsidR="00C821BE" w:rsidRPr="003C548E" w:rsidTr="00C821BE">
        <w:trPr>
          <w:jc w:val="center"/>
        </w:trPr>
        <w:tc>
          <w:tcPr>
            <w:tcW w:w="988" w:type="dxa"/>
            <w:vMerge/>
            <w:shd w:val="clear" w:color="auto" w:fill="BDD6EE"/>
            <w:vAlign w:val="center"/>
          </w:tcPr>
          <w:p w:rsidR="00C821BE" w:rsidRPr="0010784C" w:rsidRDefault="00C821BE" w:rsidP="00C821BE">
            <w:pPr>
              <w:spacing w:after="0" w:line="240" w:lineRule="auto"/>
              <w:jc w:val="center"/>
              <w:rPr>
                <w:rFonts w:ascii="Times New Roman" w:hAnsi="Times New Roman"/>
                <w:sz w:val="16"/>
                <w:szCs w:val="16"/>
                <w:lang w:val="en-US"/>
              </w:rPr>
            </w:pPr>
          </w:p>
        </w:tc>
        <w:tc>
          <w:tcPr>
            <w:tcW w:w="850" w:type="dxa"/>
            <w:vMerge/>
            <w:vAlign w:val="center"/>
          </w:tcPr>
          <w:p w:rsidR="00C821BE" w:rsidRPr="0010784C" w:rsidRDefault="00C821BE" w:rsidP="00C821BE">
            <w:pPr>
              <w:spacing w:after="0" w:line="240" w:lineRule="auto"/>
              <w:jc w:val="center"/>
              <w:rPr>
                <w:rFonts w:ascii="Times New Roman" w:hAnsi="Times New Roman"/>
                <w:b/>
                <w:sz w:val="12"/>
                <w:szCs w:val="12"/>
                <w:lang w:val="en-US"/>
              </w:rPr>
            </w:pPr>
          </w:p>
        </w:tc>
        <w:tc>
          <w:tcPr>
            <w:tcW w:w="4536" w:type="dxa"/>
            <w:gridSpan w:val="3"/>
            <w:vAlign w:val="center"/>
          </w:tcPr>
          <w:p w:rsidR="00C821BE" w:rsidRPr="0010784C" w:rsidRDefault="00C821BE" w:rsidP="00C821BE">
            <w:pPr>
              <w:spacing w:after="0" w:line="240" w:lineRule="auto"/>
              <w:jc w:val="both"/>
              <w:rPr>
                <w:rFonts w:ascii="Times New Roman" w:hAnsi="Times New Roman"/>
                <w:sz w:val="16"/>
                <w:szCs w:val="16"/>
                <w:lang w:val="en-US"/>
              </w:rPr>
            </w:pPr>
            <w:r w:rsidRPr="0010784C">
              <w:rPr>
                <w:rFonts w:ascii="Times New Roman" w:hAnsi="Times New Roman"/>
                <w:sz w:val="16"/>
                <w:szCs w:val="16"/>
                <w:lang w:val="en-US"/>
              </w:rPr>
              <w:t>There is a risk of accidental soil pollution due to possible fuel or lubricant leaks.</w:t>
            </w:r>
          </w:p>
        </w:tc>
        <w:tc>
          <w:tcPr>
            <w:tcW w:w="851" w:type="dxa"/>
            <w:vMerge/>
            <w:vAlign w:val="center"/>
          </w:tcPr>
          <w:p w:rsidR="00C821BE" w:rsidRPr="0010784C" w:rsidRDefault="00C821BE" w:rsidP="00C821BE">
            <w:pPr>
              <w:spacing w:after="0" w:line="240" w:lineRule="auto"/>
              <w:jc w:val="center"/>
              <w:rPr>
                <w:rFonts w:ascii="Times New Roman" w:hAnsi="Times New Roman"/>
                <w:sz w:val="16"/>
                <w:szCs w:val="16"/>
                <w:lang w:val="en-US"/>
              </w:rPr>
            </w:pPr>
          </w:p>
        </w:tc>
        <w:tc>
          <w:tcPr>
            <w:tcW w:w="283" w:type="dxa"/>
            <w:vMerge/>
            <w:shd w:val="clear" w:color="auto" w:fill="002060"/>
            <w:vAlign w:val="center"/>
          </w:tcPr>
          <w:p w:rsidR="00C821BE" w:rsidRPr="0010784C" w:rsidRDefault="00C821BE" w:rsidP="00C821BE">
            <w:pPr>
              <w:spacing w:after="0" w:line="240" w:lineRule="auto"/>
              <w:jc w:val="center"/>
              <w:rPr>
                <w:rFonts w:ascii="Times New Roman" w:hAnsi="Times New Roman"/>
                <w:b/>
                <w:sz w:val="16"/>
                <w:szCs w:val="16"/>
                <w:lang w:val="en-US"/>
              </w:rPr>
            </w:pPr>
          </w:p>
        </w:tc>
        <w:tc>
          <w:tcPr>
            <w:tcW w:w="992" w:type="dxa"/>
            <w:vMerge/>
            <w:vAlign w:val="center"/>
          </w:tcPr>
          <w:p w:rsidR="00C821BE" w:rsidRPr="0010784C" w:rsidRDefault="00C821BE" w:rsidP="00C821BE">
            <w:pPr>
              <w:spacing w:after="0" w:line="240" w:lineRule="auto"/>
              <w:jc w:val="center"/>
              <w:rPr>
                <w:rFonts w:ascii="Times New Roman" w:hAnsi="Times New Roman"/>
                <w:sz w:val="16"/>
                <w:szCs w:val="16"/>
                <w:lang w:val="en-US"/>
              </w:rPr>
            </w:pPr>
          </w:p>
        </w:tc>
        <w:tc>
          <w:tcPr>
            <w:tcW w:w="284" w:type="dxa"/>
            <w:vMerge/>
            <w:shd w:val="clear" w:color="auto" w:fill="002060"/>
            <w:vAlign w:val="center"/>
          </w:tcPr>
          <w:p w:rsidR="00C821BE" w:rsidRPr="0010784C" w:rsidRDefault="00C821BE" w:rsidP="00C821BE">
            <w:pPr>
              <w:spacing w:after="0" w:line="240" w:lineRule="auto"/>
              <w:jc w:val="center"/>
              <w:rPr>
                <w:rFonts w:ascii="Times New Roman" w:hAnsi="Times New Roman"/>
                <w:b/>
                <w:sz w:val="16"/>
                <w:szCs w:val="16"/>
                <w:lang w:val="en-US"/>
              </w:rPr>
            </w:pPr>
          </w:p>
        </w:tc>
        <w:tc>
          <w:tcPr>
            <w:tcW w:w="850" w:type="dxa"/>
            <w:vMerge/>
            <w:vAlign w:val="center"/>
          </w:tcPr>
          <w:p w:rsidR="00C821BE" w:rsidRPr="0010784C" w:rsidRDefault="00C821BE" w:rsidP="00C821BE">
            <w:pPr>
              <w:spacing w:after="0" w:line="240" w:lineRule="auto"/>
              <w:jc w:val="center"/>
              <w:rPr>
                <w:rFonts w:ascii="Times New Roman" w:hAnsi="Times New Roman"/>
                <w:sz w:val="16"/>
                <w:szCs w:val="16"/>
                <w:lang w:val="en-US"/>
              </w:rPr>
            </w:pPr>
          </w:p>
        </w:tc>
        <w:tc>
          <w:tcPr>
            <w:tcW w:w="284" w:type="dxa"/>
            <w:vMerge/>
            <w:shd w:val="clear" w:color="auto" w:fill="002060"/>
            <w:vAlign w:val="center"/>
          </w:tcPr>
          <w:p w:rsidR="00C821BE" w:rsidRPr="0010784C" w:rsidRDefault="00C821BE" w:rsidP="00C821BE">
            <w:pPr>
              <w:spacing w:after="0" w:line="240" w:lineRule="auto"/>
              <w:jc w:val="center"/>
              <w:rPr>
                <w:rFonts w:ascii="Times New Roman" w:hAnsi="Times New Roman"/>
                <w:b/>
                <w:sz w:val="16"/>
                <w:szCs w:val="16"/>
                <w:lang w:val="en-US"/>
              </w:rPr>
            </w:pPr>
          </w:p>
        </w:tc>
        <w:tc>
          <w:tcPr>
            <w:tcW w:w="850" w:type="dxa"/>
            <w:vMerge/>
            <w:shd w:val="clear" w:color="auto" w:fill="92D050"/>
            <w:vAlign w:val="center"/>
          </w:tcPr>
          <w:p w:rsidR="00C821BE" w:rsidRPr="0010784C" w:rsidRDefault="00C821BE" w:rsidP="00C821BE">
            <w:pPr>
              <w:spacing w:after="0" w:line="240" w:lineRule="auto"/>
              <w:jc w:val="center"/>
              <w:rPr>
                <w:rFonts w:ascii="Times New Roman" w:hAnsi="Times New Roman"/>
                <w:b/>
                <w:sz w:val="16"/>
                <w:szCs w:val="16"/>
                <w:lang w:val="en-US"/>
              </w:rPr>
            </w:pPr>
          </w:p>
        </w:tc>
        <w:tc>
          <w:tcPr>
            <w:tcW w:w="586" w:type="dxa"/>
            <w:vMerge/>
            <w:shd w:val="clear" w:color="auto" w:fill="92D050"/>
            <w:vAlign w:val="center"/>
          </w:tcPr>
          <w:p w:rsidR="00C821BE" w:rsidRPr="0010784C" w:rsidRDefault="00C821BE" w:rsidP="00C821BE">
            <w:pPr>
              <w:spacing w:after="0" w:line="240" w:lineRule="auto"/>
              <w:jc w:val="center"/>
              <w:rPr>
                <w:rFonts w:ascii="Times New Roman" w:hAnsi="Times New Roman"/>
                <w:b/>
                <w:sz w:val="16"/>
                <w:szCs w:val="16"/>
                <w:lang w:val="en-US"/>
              </w:rPr>
            </w:pPr>
          </w:p>
        </w:tc>
      </w:tr>
      <w:tr w:rsidR="00C821BE" w:rsidRPr="003C548E" w:rsidTr="00C821BE">
        <w:trPr>
          <w:jc w:val="center"/>
        </w:trPr>
        <w:tc>
          <w:tcPr>
            <w:tcW w:w="988" w:type="dxa"/>
            <w:vMerge/>
            <w:shd w:val="clear" w:color="auto" w:fill="BDD6EE"/>
            <w:vAlign w:val="center"/>
          </w:tcPr>
          <w:p w:rsidR="00C821BE" w:rsidRPr="0010784C" w:rsidRDefault="00C821BE" w:rsidP="00C821BE">
            <w:pPr>
              <w:spacing w:after="0" w:line="240" w:lineRule="auto"/>
              <w:jc w:val="center"/>
              <w:rPr>
                <w:rFonts w:ascii="Times New Roman" w:hAnsi="Times New Roman"/>
                <w:sz w:val="16"/>
                <w:szCs w:val="16"/>
                <w:lang w:val="en-US"/>
              </w:rPr>
            </w:pPr>
          </w:p>
        </w:tc>
        <w:tc>
          <w:tcPr>
            <w:tcW w:w="850" w:type="dxa"/>
            <w:vMerge/>
            <w:vAlign w:val="center"/>
          </w:tcPr>
          <w:p w:rsidR="00C821BE" w:rsidRPr="0010784C" w:rsidRDefault="00C821BE" w:rsidP="00C821BE">
            <w:pPr>
              <w:spacing w:after="0" w:line="240" w:lineRule="auto"/>
              <w:jc w:val="center"/>
              <w:rPr>
                <w:rFonts w:ascii="Times New Roman" w:hAnsi="Times New Roman"/>
                <w:b/>
                <w:sz w:val="12"/>
                <w:szCs w:val="12"/>
                <w:lang w:val="en-US"/>
              </w:rPr>
            </w:pPr>
          </w:p>
        </w:tc>
        <w:tc>
          <w:tcPr>
            <w:tcW w:w="4536" w:type="dxa"/>
            <w:gridSpan w:val="3"/>
            <w:vAlign w:val="center"/>
          </w:tcPr>
          <w:p w:rsidR="00C821BE" w:rsidRPr="0010784C" w:rsidRDefault="00C821BE" w:rsidP="00C821BE">
            <w:pPr>
              <w:spacing w:after="0" w:line="240" w:lineRule="auto"/>
              <w:jc w:val="both"/>
              <w:rPr>
                <w:rFonts w:ascii="Times New Roman" w:hAnsi="Times New Roman"/>
                <w:sz w:val="16"/>
                <w:szCs w:val="16"/>
                <w:lang w:val="en-US"/>
              </w:rPr>
            </w:pPr>
            <w:r w:rsidRPr="0010784C">
              <w:rPr>
                <w:rFonts w:ascii="Times New Roman" w:hAnsi="Times New Roman"/>
                <w:sz w:val="16"/>
                <w:szCs w:val="16"/>
                <w:lang w:val="en-US"/>
              </w:rPr>
              <w:t>Risk of weakening and settling of soils and subsoil</w:t>
            </w:r>
          </w:p>
        </w:tc>
        <w:tc>
          <w:tcPr>
            <w:tcW w:w="851" w:type="dxa"/>
            <w:vMerge/>
            <w:vAlign w:val="center"/>
          </w:tcPr>
          <w:p w:rsidR="00C821BE" w:rsidRPr="0010784C" w:rsidRDefault="00C821BE" w:rsidP="00C821BE">
            <w:pPr>
              <w:spacing w:after="0" w:line="240" w:lineRule="auto"/>
              <w:jc w:val="center"/>
              <w:rPr>
                <w:rFonts w:ascii="Times New Roman" w:hAnsi="Times New Roman"/>
                <w:sz w:val="16"/>
                <w:szCs w:val="16"/>
                <w:lang w:val="en-US"/>
              </w:rPr>
            </w:pPr>
          </w:p>
        </w:tc>
        <w:tc>
          <w:tcPr>
            <w:tcW w:w="283" w:type="dxa"/>
            <w:vMerge/>
            <w:shd w:val="clear" w:color="auto" w:fill="002060"/>
            <w:vAlign w:val="center"/>
          </w:tcPr>
          <w:p w:rsidR="00C821BE" w:rsidRPr="0010784C" w:rsidRDefault="00C821BE" w:rsidP="00C821BE">
            <w:pPr>
              <w:spacing w:after="0" w:line="240" w:lineRule="auto"/>
              <w:jc w:val="center"/>
              <w:rPr>
                <w:rFonts w:ascii="Times New Roman" w:hAnsi="Times New Roman"/>
                <w:b/>
                <w:sz w:val="16"/>
                <w:szCs w:val="16"/>
                <w:lang w:val="en-US"/>
              </w:rPr>
            </w:pPr>
          </w:p>
        </w:tc>
        <w:tc>
          <w:tcPr>
            <w:tcW w:w="992" w:type="dxa"/>
            <w:vMerge/>
            <w:vAlign w:val="center"/>
          </w:tcPr>
          <w:p w:rsidR="00C821BE" w:rsidRPr="0010784C" w:rsidRDefault="00C821BE" w:rsidP="00C821BE">
            <w:pPr>
              <w:spacing w:after="0" w:line="240" w:lineRule="auto"/>
              <w:jc w:val="center"/>
              <w:rPr>
                <w:rFonts w:ascii="Times New Roman" w:hAnsi="Times New Roman"/>
                <w:sz w:val="16"/>
                <w:szCs w:val="16"/>
                <w:lang w:val="en-US"/>
              </w:rPr>
            </w:pPr>
          </w:p>
        </w:tc>
        <w:tc>
          <w:tcPr>
            <w:tcW w:w="284" w:type="dxa"/>
            <w:vMerge/>
            <w:shd w:val="clear" w:color="auto" w:fill="002060"/>
            <w:vAlign w:val="center"/>
          </w:tcPr>
          <w:p w:rsidR="00C821BE" w:rsidRPr="0010784C" w:rsidRDefault="00C821BE" w:rsidP="00C821BE">
            <w:pPr>
              <w:spacing w:after="0" w:line="240" w:lineRule="auto"/>
              <w:jc w:val="center"/>
              <w:rPr>
                <w:rFonts w:ascii="Times New Roman" w:hAnsi="Times New Roman"/>
                <w:b/>
                <w:sz w:val="16"/>
                <w:szCs w:val="16"/>
                <w:lang w:val="en-US"/>
              </w:rPr>
            </w:pPr>
          </w:p>
        </w:tc>
        <w:tc>
          <w:tcPr>
            <w:tcW w:w="850" w:type="dxa"/>
            <w:vMerge/>
            <w:vAlign w:val="center"/>
          </w:tcPr>
          <w:p w:rsidR="00C821BE" w:rsidRPr="0010784C" w:rsidRDefault="00C821BE" w:rsidP="00C821BE">
            <w:pPr>
              <w:spacing w:after="0" w:line="240" w:lineRule="auto"/>
              <w:jc w:val="center"/>
              <w:rPr>
                <w:rFonts w:ascii="Times New Roman" w:hAnsi="Times New Roman"/>
                <w:sz w:val="16"/>
                <w:szCs w:val="16"/>
                <w:lang w:val="en-US"/>
              </w:rPr>
            </w:pPr>
          </w:p>
        </w:tc>
        <w:tc>
          <w:tcPr>
            <w:tcW w:w="284" w:type="dxa"/>
            <w:vMerge/>
            <w:shd w:val="clear" w:color="auto" w:fill="002060"/>
            <w:vAlign w:val="center"/>
          </w:tcPr>
          <w:p w:rsidR="00C821BE" w:rsidRPr="0010784C" w:rsidRDefault="00C821BE" w:rsidP="00C821BE">
            <w:pPr>
              <w:spacing w:after="0" w:line="240" w:lineRule="auto"/>
              <w:jc w:val="center"/>
              <w:rPr>
                <w:rFonts w:ascii="Times New Roman" w:hAnsi="Times New Roman"/>
                <w:b/>
                <w:sz w:val="16"/>
                <w:szCs w:val="16"/>
                <w:lang w:val="en-US"/>
              </w:rPr>
            </w:pPr>
          </w:p>
        </w:tc>
        <w:tc>
          <w:tcPr>
            <w:tcW w:w="850" w:type="dxa"/>
            <w:vMerge/>
            <w:shd w:val="clear" w:color="auto" w:fill="92D050"/>
            <w:vAlign w:val="center"/>
          </w:tcPr>
          <w:p w:rsidR="00C821BE" w:rsidRPr="0010784C" w:rsidRDefault="00C821BE" w:rsidP="00C821BE">
            <w:pPr>
              <w:spacing w:after="0" w:line="240" w:lineRule="auto"/>
              <w:jc w:val="center"/>
              <w:rPr>
                <w:rFonts w:ascii="Times New Roman" w:hAnsi="Times New Roman"/>
                <w:b/>
                <w:sz w:val="16"/>
                <w:szCs w:val="16"/>
                <w:lang w:val="en-US"/>
              </w:rPr>
            </w:pPr>
          </w:p>
        </w:tc>
        <w:tc>
          <w:tcPr>
            <w:tcW w:w="586" w:type="dxa"/>
            <w:vMerge/>
            <w:shd w:val="clear" w:color="auto" w:fill="92D050"/>
            <w:vAlign w:val="center"/>
          </w:tcPr>
          <w:p w:rsidR="00C821BE" w:rsidRPr="0010784C" w:rsidRDefault="00C821BE" w:rsidP="00C821BE">
            <w:pPr>
              <w:spacing w:after="0" w:line="240" w:lineRule="auto"/>
              <w:jc w:val="center"/>
              <w:rPr>
                <w:rFonts w:ascii="Times New Roman" w:hAnsi="Times New Roman"/>
                <w:b/>
                <w:sz w:val="16"/>
                <w:szCs w:val="16"/>
                <w:lang w:val="en-US"/>
              </w:rPr>
            </w:pPr>
          </w:p>
        </w:tc>
      </w:tr>
      <w:tr w:rsidR="00C821BE" w:rsidRPr="0010784C" w:rsidTr="00C821BE">
        <w:trPr>
          <w:jc w:val="center"/>
        </w:trPr>
        <w:tc>
          <w:tcPr>
            <w:tcW w:w="988" w:type="dxa"/>
            <w:vMerge/>
            <w:shd w:val="clear" w:color="auto" w:fill="BDD6EE"/>
            <w:vAlign w:val="center"/>
          </w:tcPr>
          <w:p w:rsidR="00C821BE" w:rsidRPr="0010784C" w:rsidRDefault="00C821BE" w:rsidP="00C821BE">
            <w:pPr>
              <w:spacing w:after="0" w:line="240" w:lineRule="auto"/>
              <w:jc w:val="center"/>
              <w:rPr>
                <w:rFonts w:ascii="Times New Roman" w:hAnsi="Times New Roman"/>
                <w:sz w:val="16"/>
                <w:szCs w:val="16"/>
                <w:lang w:val="en-US"/>
              </w:rPr>
            </w:pPr>
          </w:p>
        </w:tc>
        <w:tc>
          <w:tcPr>
            <w:tcW w:w="850" w:type="dxa"/>
            <w:vMerge w:val="restart"/>
            <w:vAlign w:val="center"/>
          </w:tcPr>
          <w:p w:rsidR="00C821BE" w:rsidRPr="0010784C" w:rsidRDefault="00C821BE" w:rsidP="00C821BE">
            <w:pPr>
              <w:spacing w:after="0" w:line="240" w:lineRule="auto"/>
              <w:jc w:val="center"/>
              <w:rPr>
                <w:rFonts w:ascii="Times New Roman" w:hAnsi="Times New Roman"/>
                <w:b/>
                <w:sz w:val="12"/>
                <w:szCs w:val="12"/>
                <w:lang w:val="en-US"/>
              </w:rPr>
            </w:pPr>
            <w:r w:rsidRPr="0010784C">
              <w:rPr>
                <w:rFonts w:ascii="Times New Roman" w:hAnsi="Times New Roman"/>
                <w:b/>
                <w:sz w:val="12"/>
                <w:szCs w:val="12"/>
                <w:lang w:val="en-US"/>
              </w:rPr>
              <w:t>WATERS</w:t>
            </w:r>
          </w:p>
        </w:tc>
        <w:tc>
          <w:tcPr>
            <w:tcW w:w="4536" w:type="dxa"/>
            <w:gridSpan w:val="3"/>
            <w:vAlign w:val="center"/>
          </w:tcPr>
          <w:p w:rsidR="00C821BE" w:rsidRPr="0010784C" w:rsidRDefault="00C821BE" w:rsidP="00C821BE">
            <w:pPr>
              <w:spacing w:after="0" w:line="240" w:lineRule="auto"/>
              <w:jc w:val="both"/>
              <w:rPr>
                <w:rFonts w:ascii="Times New Roman" w:hAnsi="Times New Roman"/>
                <w:sz w:val="16"/>
                <w:szCs w:val="16"/>
                <w:lang w:val="en-US"/>
              </w:rPr>
            </w:pPr>
            <w:r w:rsidRPr="0010784C">
              <w:rPr>
                <w:rFonts w:ascii="Times New Roman" w:hAnsi="Times New Roman"/>
                <w:sz w:val="16"/>
                <w:szCs w:val="16"/>
                <w:lang w:val="en-US"/>
              </w:rPr>
              <w:t>Potential risk of contamination of this runoff due to possible fuel or lubricant leaks</w:t>
            </w:r>
          </w:p>
        </w:tc>
        <w:tc>
          <w:tcPr>
            <w:tcW w:w="851" w:type="dxa"/>
            <w:vMerge w:val="restart"/>
            <w:vAlign w:val="center"/>
          </w:tcPr>
          <w:p w:rsidR="00C821BE" w:rsidRPr="0010784C" w:rsidRDefault="00C821BE" w:rsidP="00C821BE">
            <w:pPr>
              <w:spacing w:after="0" w:line="240" w:lineRule="auto"/>
              <w:jc w:val="center"/>
              <w:rPr>
                <w:rFonts w:ascii="Times New Roman" w:hAnsi="Times New Roman"/>
                <w:sz w:val="16"/>
                <w:szCs w:val="16"/>
                <w:lang w:val="en-US"/>
              </w:rPr>
            </w:pPr>
            <w:r w:rsidRPr="0010784C">
              <w:rPr>
                <w:rFonts w:ascii="Times New Roman" w:hAnsi="Times New Roman"/>
                <w:sz w:val="16"/>
                <w:szCs w:val="16"/>
                <w:lang w:val="en-US"/>
              </w:rPr>
              <w:t>Strong</w:t>
            </w:r>
          </w:p>
        </w:tc>
        <w:tc>
          <w:tcPr>
            <w:tcW w:w="283" w:type="dxa"/>
            <w:vMerge w:val="restart"/>
            <w:shd w:val="clear" w:color="auto" w:fill="002060"/>
            <w:vAlign w:val="center"/>
          </w:tcPr>
          <w:p w:rsidR="00C821BE" w:rsidRPr="0010784C" w:rsidRDefault="00C821BE" w:rsidP="00C821BE">
            <w:pPr>
              <w:spacing w:after="0" w:line="240" w:lineRule="auto"/>
              <w:jc w:val="center"/>
              <w:rPr>
                <w:rFonts w:ascii="Times New Roman" w:hAnsi="Times New Roman"/>
                <w:b/>
                <w:sz w:val="16"/>
                <w:szCs w:val="16"/>
                <w:lang w:val="en-US"/>
              </w:rPr>
            </w:pPr>
            <w:r w:rsidRPr="0010784C">
              <w:rPr>
                <w:rFonts w:ascii="Times New Roman" w:hAnsi="Times New Roman"/>
                <w:b/>
                <w:sz w:val="16"/>
                <w:szCs w:val="16"/>
                <w:lang w:val="en-US"/>
              </w:rPr>
              <w:t>5</w:t>
            </w:r>
          </w:p>
        </w:tc>
        <w:tc>
          <w:tcPr>
            <w:tcW w:w="992" w:type="dxa"/>
            <w:vMerge w:val="restart"/>
            <w:vAlign w:val="center"/>
          </w:tcPr>
          <w:p w:rsidR="00C821BE" w:rsidRPr="0010784C" w:rsidRDefault="00C821BE" w:rsidP="00C821BE">
            <w:pPr>
              <w:spacing w:after="0" w:line="240" w:lineRule="auto"/>
              <w:jc w:val="center"/>
              <w:rPr>
                <w:rFonts w:ascii="Times New Roman" w:hAnsi="Times New Roman"/>
                <w:sz w:val="16"/>
                <w:szCs w:val="16"/>
                <w:lang w:val="en-US"/>
              </w:rPr>
            </w:pPr>
            <w:r w:rsidRPr="0010784C">
              <w:rPr>
                <w:rFonts w:ascii="Times New Roman" w:hAnsi="Times New Roman"/>
                <w:sz w:val="16"/>
                <w:szCs w:val="16"/>
                <w:lang w:val="en-US"/>
              </w:rPr>
              <w:t>Local</w:t>
            </w:r>
          </w:p>
        </w:tc>
        <w:tc>
          <w:tcPr>
            <w:tcW w:w="284" w:type="dxa"/>
            <w:vMerge w:val="restart"/>
            <w:shd w:val="clear" w:color="auto" w:fill="002060"/>
            <w:vAlign w:val="center"/>
          </w:tcPr>
          <w:p w:rsidR="00C821BE" w:rsidRPr="0010784C" w:rsidRDefault="00C821BE" w:rsidP="00C821BE">
            <w:pPr>
              <w:spacing w:after="0" w:line="240" w:lineRule="auto"/>
              <w:jc w:val="center"/>
              <w:rPr>
                <w:rFonts w:ascii="Times New Roman" w:hAnsi="Times New Roman"/>
                <w:b/>
                <w:sz w:val="16"/>
                <w:szCs w:val="16"/>
                <w:lang w:val="en-US"/>
              </w:rPr>
            </w:pPr>
            <w:r w:rsidRPr="0010784C">
              <w:rPr>
                <w:rFonts w:ascii="Times New Roman" w:hAnsi="Times New Roman"/>
                <w:b/>
                <w:sz w:val="16"/>
                <w:szCs w:val="16"/>
                <w:lang w:val="en-US"/>
              </w:rPr>
              <w:t>3</w:t>
            </w:r>
          </w:p>
        </w:tc>
        <w:tc>
          <w:tcPr>
            <w:tcW w:w="850" w:type="dxa"/>
            <w:vMerge w:val="restart"/>
            <w:vAlign w:val="center"/>
          </w:tcPr>
          <w:p w:rsidR="00C821BE" w:rsidRPr="0010784C" w:rsidRDefault="00C821BE" w:rsidP="00C821BE">
            <w:pPr>
              <w:spacing w:after="0" w:line="240" w:lineRule="auto"/>
              <w:jc w:val="center"/>
              <w:rPr>
                <w:rFonts w:ascii="Times New Roman" w:hAnsi="Times New Roman"/>
                <w:sz w:val="16"/>
                <w:szCs w:val="16"/>
                <w:lang w:val="en-US"/>
              </w:rPr>
            </w:pPr>
            <w:r w:rsidRPr="0010784C">
              <w:rPr>
                <w:rFonts w:ascii="Times New Roman" w:hAnsi="Times New Roman"/>
                <w:sz w:val="16"/>
                <w:szCs w:val="16"/>
                <w:lang w:val="en-US"/>
              </w:rPr>
              <w:t>Average</w:t>
            </w:r>
          </w:p>
        </w:tc>
        <w:tc>
          <w:tcPr>
            <w:tcW w:w="284" w:type="dxa"/>
            <w:vMerge w:val="restart"/>
            <w:shd w:val="clear" w:color="auto" w:fill="002060"/>
            <w:vAlign w:val="center"/>
          </w:tcPr>
          <w:p w:rsidR="00C821BE" w:rsidRPr="0010784C" w:rsidRDefault="00C821BE" w:rsidP="00C821BE">
            <w:pPr>
              <w:spacing w:after="0" w:line="240" w:lineRule="auto"/>
              <w:jc w:val="center"/>
              <w:rPr>
                <w:rFonts w:ascii="Times New Roman" w:hAnsi="Times New Roman"/>
                <w:b/>
                <w:sz w:val="16"/>
                <w:szCs w:val="16"/>
                <w:lang w:val="en-US"/>
              </w:rPr>
            </w:pPr>
            <w:r w:rsidRPr="0010784C">
              <w:rPr>
                <w:rFonts w:ascii="Times New Roman" w:hAnsi="Times New Roman"/>
                <w:b/>
                <w:sz w:val="16"/>
                <w:szCs w:val="16"/>
                <w:lang w:val="en-US"/>
              </w:rPr>
              <w:t>3</w:t>
            </w:r>
          </w:p>
        </w:tc>
        <w:tc>
          <w:tcPr>
            <w:tcW w:w="850" w:type="dxa"/>
            <w:vMerge w:val="restart"/>
            <w:shd w:val="clear" w:color="auto" w:fill="FFFF00"/>
            <w:vAlign w:val="center"/>
          </w:tcPr>
          <w:p w:rsidR="00C821BE" w:rsidRPr="0010784C" w:rsidRDefault="00C821BE" w:rsidP="00C821BE">
            <w:pPr>
              <w:spacing w:after="0" w:line="240" w:lineRule="auto"/>
              <w:jc w:val="center"/>
              <w:rPr>
                <w:rFonts w:ascii="Times New Roman" w:hAnsi="Times New Roman"/>
                <w:b/>
                <w:sz w:val="16"/>
                <w:szCs w:val="16"/>
                <w:lang w:val="en-US"/>
              </w:rPr>
            </w:pPr>
            <w:r w:rsidRPr="0010784C">
              <w:rPr>
                <w:rFonts w:ascii="Times New Roman" w:hAnsi="Times New Roman"/>
                <w:b/>
                <w:sz w:val="16"/>
                <w:szCs w:val="16"/>
                <w:lang w:val="en-US"/>
              </w:rPr>
              <w:t>Average</w:t>
            </w:r>
          </w:p>
        </w:tc>
        <w:tc>
          <w:tcPr>
            <w:tcW w:w="586" w:type="dxa"/>
            <w:vMerge w:val="restart"/>
            <w:shd w:val="clear" w:color="auto" w:fill="FFFF00"/>
            <w:vAlign w:val="center"/>
          </w:tcPr>
          <w:p w:rsidR="00C821BE" w:rsidRPr="0010784C" w:rsidRDefault="00C821BE" w:rsidP="00C821BE">
            <w:pPr>
              <w:spacing w:after="0" w:line="240" w:lineRule="auto"/>
              <w:jc w:val="center"/>
              <w:rPr>
                <w:rFonts w:ascii="Times New Roman" w:hAnsi="Times New Roman"/>
                <w:b/>
                <w:sz w:val="16"/>
                <w:szCs w:val="16"/>
                <w:lang w:val="en-US"/>
              </w:rPr>
            </w:pPr>
            <w:r w:rsidRPr="0010784C">
              <w:rPr>
                <w:rFonts w:ascii="Times New Roman" w:hAnsi="Times New Roman"/>
                <w:b/>
                <w:sz w:val="16"/>
                <w:szCs w:val="16"/>
                <w:lang w:val="en-US"/>
              </w:rPr>
              <w:t>45</w:t>
            </w:r>
          </w:p>
        </w:tc>
      </w:tr>
      <w:tr w:rsidR="00C821BE" w:rsidRPr="003C548E" w:rsidTr="00C821BE">
        <w:trPr>
          <w:jc w:val="center"/>
        </w:trPr>
        <w:tc>
          <w:tcPr>
            <w:tcW w:w="988" w:type="dxa"/>
            <w:vMerge/>
            <w:shd w:val="clear" w:color="auto" w:fill="BDD6EE"/>
            <w:vAlign w:val="center"/>
          </w:tcPr>
          <w:p w:rsidR="00C821BE" w:rsidRPr="0010784C" w:rsidRDefault="00C821BE" w:rsidP="00C821BE">
            <w:pPr>
              <w:spacing w:after="0" w:line="240" w:lineRule="auto"/>
              <w:jc w:val="center"/>
              <w:rPr>
                <w:rFonts w:ascii="Times New Roman" w:hAnsi="Times New Roman"/>
                <w:sz w:val="16"/>
                <w:szCs w:val="16"/>
                <w:lang w:val="en-US"/>
              </w:rPr>
            </w:pPr>
          </w:p>
        </w:tc>
        <w:tc>
          <w:tcPr>
            <w:tcW w:w="850" w:type="dxa"/>
            <w:vMerge/>
            <w:vAlign w:val="center"/>
          </w:tcPr>
          <w:p w:rsidR="00C821BE" w:rsidRPr="0010784C" w:rsidRDefault="00C821BE" w:rsidP="00C821BE">
            <w:pPr>
              <w:spacing w:after="0" w:line="240" w:lineRule="auto"/>
              <w:jc w:val="center"/>
              <w:rPr>
                <w:rFonts w:ascii="Times New Roman" w:hAnsi="Times New Roman"/>
                <w:b/>
                <w:sz w:val="12"/>
                <w:szCs w:val="12"/>
                <w:lang w:val="en-US"/>
              </w:rPr>
            </w:pPr>
          </w:p>
        </w:tc>
        <w:tc>
          <w:tcPr>
            <w:tcW w:w="4536" w:type="dxa"/>
            <w:gridSpan w:val="3"/>
            <w:vAlign w:val="center"/>
          </w:tcPr>
          <w:p w:rsidR="00C821BE" w:rsidRPr="0010784C" w:rsidRDefault="00C821BE" w:rsidP="00C821BE">
            <w:pPr>
              <w:spacing w:after="0" w:line="240" w:lineRule="auto"/>
              <w:jc w:val="both"/>
              <w:rPr>
                <w:rFonts w:ascii="Times New Roman" w:hAnsi="Times New Roman"/>
                <w:sz w:val="16"/>
                <w:szCs w:val="16"/>
                <w:lang w:val="en-US"/>
              </w:rPr>
            </w:pPr>
            <w:r w:rsidRPr="0010784C">
              <w:rPr>
                <w:rFonts w:ascii="Times New Roman" w:hAnsi="Times New Roman"/>
                <w:sz w:val="16"/>
                <w:szCs w:val="16"/>
                <w:lang w:val="en-US"/>
              </w:rPr>
              <w:t>Risk of degradation of the quality of groundwater</w:t>
            </w:r>
          </w:p>
        </w:tc>
        <w:tc>
          <w:tcPr>
            <w:tcW w:w="851" w:type="dxa"/>
            <w:vMerge/>
            <w:vAlign w:val="center"/>
          </w:tcPr>
          <w:p w:rsidR="00C821BE" w:rsidRPr="0010784C" w:rsidRDefault="00C821BE" w:rsidP="00C821BE">
            <w:pPr>
              <w:spacing w:after="0" w:line="240" w:lineRule="auto"/>
              <w:jc w:val="center"/>
              <w:rPr>
                <w:rFonts w:ascii="Times New Roman" w:hAnsi="Times New Roman"/>
                <w:sz w:val="16"/>
                <w:szCs w:val="16"/>
                <w:lang w:val="en-US"/>
              </w:rPr>
            </w:pPr>
          </w:p>
        </w:tc>
        <w:tc>
          <w:tcPr>
            <w:tcW w:w="283" w:type="dxa"/>
            <w:vMerge/>
            <w:shd w:val="clear" w:color="auto" w:fill="002060"/>
            <w:vAlign w:val="center"/>
          </w:tcPr>
          <w:p w:rsidR="00C821BE" w:rsidRPr="0010784C" w:rsidRDefault="00C821BE" w:rsidP="00C821BE">
            <w:pPr>
              <w:spacing w:after="0" w:line="240" w:lineRule="auto"/>
              <w:jc w:val="center"/>
              <w:rPr>
                <w:rFonts w:ascii="Times New Roman" w:hAnsi="Times New Roman"/>
                <w:b/>
                <w:sz w:val="16"/>
                <w:szCs w:val="16"/>
                <w:lang w:val="en-US"/>
              </w:rPr>
            </w:pPr>
          </w:p>
        </w:tc>
        <w:tc>
          <w:tcPr>
            <w:tcW w:w="992" w:type="dxa"/>
            <w:vMerge/>
            <w:vAlign w:val="center"/>
          </w:tcPr>
          <w:p w:rsidR="00C821BE" w:rsidRPr="0010784C" w:rsidRDefault="00C821BE" w:rsidP="00C821BE">
            <w:pPr>
              <w:spacing w:after="0" w:line="240" w:lineRule="auto"/>
              <w:jc w:val="center"/>
              <w:rPr>
                <w:rFonts w:ascii="Times New Roman" w:hAnsi="Times New Roman"/>
                <w:sz w:val="16"/>
                <w:szCs w:val="16"/>
                <w:lang w:val="en-US"/>
              </w:rPr>
            </w:pPr>
          </w:p>
        </w:tc>
        <w:tc>
          <w:tcPr>
            <w:tcW w:w="284" w:type="dxa"/>
            <w:vMerge/>
            <w:shd w:val="clear" w:color="auto" w:fill="002060"/>
            <w:vAlign w:val="center"/>
          </w:tcPr>
          <w:p w:rsidR="00C821BE" w:rsidRPr="0010784C" w:rsidRDefault="00C821BE" w:rsidP="00C821BE">
            <w:pPr>
              <w:spacing w:after="0" w:line="240" w:lineRule="auto"/>
              <w:jc w:val="center"/>
              <w:rPr>
                <w:rFonts w:ascii="Times New Roman" w:hAnsi="Times New Roman"/>
                <w:b/>
                <w:sz w:val="16"/>
                <w:szCs w:val="16"/>
                <w:lang w:val="en-US"/>
              </w:rPr>
            </w:pPr>
          </w:p>
        </w:tc>
        <w:tc>
          <w:tcPr>
            <w:tcW w:w="850" w:type="dxa"/>
            <w:vMerge/>
            <w:vAlign w:val="center"/>
          </w:tcPr>
          <w:p w:rsidR="00C821BE" w:rsidRPr="0010784C" w:rsidRDefault="00C821BE" w:rsidP="00C821BE">
            <w:pPr>
              <w:spacing w:after="0" w:line="240" w:lineRule="auto"/>
              <w:jc w:val="center"/>
              <w:rPr>
                <w:rFonts w:ascii="Times New Roman" w:hAnsi="Times New Roman"/>
                <w:sz w:val="16"/>
                <w:szCs w:val="16"/>
                <w:lang w:val="en-US"/>
              </w:rPr>
            </w:pPr>
          </w:p>
        </w:tc>
        <w:tc>
          <w:tcPr>
            <w:tcW w:w="284" w:type="dxa"/>
            <w:vMerge/>
            <w:shd w:val="clear" w:color="auto" w:fill="002060"/>
            <w:vAlign w:val="center"/>
          </w:tcPr>
          <w:p w:rsidR="00C821BE" w:rsidRPr="0010784C" w:rsidRDefault="00C821BE" w:rsidP="00C821BE">
            <w:pPr>
              <w:spacing w:after="0" w:line="240" w:lineRule="auto"/>
              <w:jc w:val="center"/>
              <w:rPr>
                <w:rFonts w:ascii="Times New Roman" w:hAnsi="Times New Roman"/>
                <w:b/>
                <w:sz w:val="16"/>
                <w:szCs w:val="16"/>
                <w:lang w:val="en-US"/>
              </w:rPr>
            </w:pPr>
          </w:p>
        </w:tc>
        <w:tc>
          <w:tcPr>
            <w:tcW w:w="850" w:type="dxa"/>
            <w:vMerge/>
            <w:shd w:val="clear" w:color="auto" w:fill="FFFF00"/>
            <w:vAlign w:val="center"/>
          </w:tcPr>
          <w:p w:rsidR="00C821BE" w:rsidRPr="0010784C" w:rsidRDefault="00C821BE" w:rsidP="00C821BE">
            <w:pPr>
              <w:spacing w:after="0" w:line="240" w:lineRule="auto"/>
              <w:jc w:val="center"/>
              <w:rPr>
                <w:rFonts w:ascii="Times New Roman" w:hAnsi="Times New Roman"/>
                <w:b/>
                <w:sz w:val="16"/>
                <w:szCs w:val="16"/>
                <w:lang w:val="en-US"/>
              </w:rPr>
            </w:pPr>
          </w:p>
        </w:tc>
        <w:tc>
          <w:tcPr>
            <w:tcW w:w="586" w:type="dxa"/>
            <w:vMerge/>
            <w:shd w:val="clear" w:color="auto" w:fill="FFFF00"/>
            <w:vAlign w:val="center"/>
          </w:tcPr>
          <w:p w:rsidR="00C821BE" w:rsidRPr="0010784C" w:rsidRDefault="00C821BE" w:rsidP="00C821BE">
            <w:pPr>
              <w:spacing w:after="0" w:line="240" w:lineRule="auto"/>
              <w:jc w:val="center"/>
              <w:rPr>
                <w:rFonts w:ascii="Times New Roman" w:hAnsi="Times New Roman"/>
                <w:b/>
                <w:sz w:val="16"/>
                <w:szCs w:val="16"/>
                <w:lang w:val="en-US"/>
              </w:rPr>
            </w:pPr>
          </w:p>
        </w:tc>
      </w:tr>
      <w:tr w:rsidR="00C821BE" w:rsidRPr="0010784C" w:rsidTr="00C821BE">
        <w:trPr>
          <w:jc w:val="center"/>
        </w:trPr>
        <w:tc>
          <w:tcPr>
            <w:tcW w:w="988" w:type="dxa"/>
            <w:vMerge/>
            <w:shd w:val="clear" w:color="auto" w:fill="BDD6EE"/>
            <w:vAlign w:val="center"/>
          </w:tcPr>
          <w:p w:rsidR="00C821BE" w:rsidRPr="0010784C" w:rsidRDefault="00C821BE" w:rsidP="00C821BE">
            <w:pPr>
              <w:spacing w:after="0" w:line="240" w:lineRule="auto"/>
              <w:jc w:val="center"/>
              <w:rPr>
                <w:rFonts w:ascii="Times New Roman" w:hAnsi="Times New Roman"/>
                <w:sz w:val="16"/>
                <w:szCs w:val="16"/>
                <w:lang w:val="en-US"/>
              </w:rPr>
            </w:pPr>
          </w:p>
        </w:tc>
        <w:tc>
          <w:tcPr>
            <w:tcW w:w="850" w:type="dxa"/>
            <w:vMerge w:val="restart"/>
            <w:vAlign w:val="center"/>
          </w:tcPr>
          <w:p w:rsidR="00C821BE" w:rsidRPr="0010784C" w:rsidRDefault="00C821BE" w:rsidP="00C821BE">
            <w:pPr>
              <w:tabs>
                <w:tab w:val="left" w:pos="2193"/>
              </w:tabs>
              <w:spacing w:after="0" w:line="240" w:lineRule="auto"/>
              <w:jc w:val="center"/>
              <w:rPr>
                <w:rFonts w:ascii="Times New Roman" w:hAnsi="Times New Roman"/>
                <w:b/>
                <w:sz w:val="12"/>
                <w:szCs w:val="12"/>
                <w:lang w:val="en-US"/>
              </w:rPr>
            </w:pPr>
            <w:r w:rsidRPr="0010784C">
              <w:rPr>
                <w:rFonts w:ascii="Times New Roman" w:hAnsi="Times New Roman"/>
                <w:b/>
                <w:sz w:val="12"/>
                <w:szCs w:val="12"/>
                <w:lang w:val="en-US"/>
              </w:rPr>
              <w:t>FLORA/</w:t>
            </w:r>
          </w:p>
          <w:p w:rsidR="00C821BE" w:rsidRPr="0010784C" w:rsidRDefault="00C821BE" w:rsidP="00C821BE">
            <w:pPr>
              <w:tabs>
                <w:tab w:val="left" w:pos="2193"/>
              </w:tabs>
              <w:spacing w:after="0" w:line="240" w:lineRule="auto"/>
              <w:jc w:val="center"/>
              <w:rPr>
                <w:rFonts w:ascii="Times New Roman" w:hAnsi="Times New Roman"/>
                <w:b/>
                <w:sz w:val="12"/>
                <w:szCs w:val="12"/>
                <w:lang w:val="en-US"/>
              </w:rPr>
            </w:pPr>
            <w:r w:rsidRPr="0010784C">
              <w:rPr>
                <w:rFonts w:ascii="Times New Roman" w:hAnsi="Times New Roman"/>
                <w:b/>
                <w:sz w:val="12"/>
                <w:szCs w:val="12"/>
                <w:lang w:val="en-US"/>
              </w:rPr>
              <w:t>WILDLIFE</w:t>
            </w:r>
          </w:p>
        </w:tc>
        <w:tc>
          <w:tcPr>
            <w:tcW w:w="4536" w:type="dxa"/>
            <w:gridSpan w:val="3"/>
            <w:vAlign w:val="center"/>
          </w:tcPr>
          <w:p w:rsidR="00C821BE" w:rsidRPr="0010784C" w:rsidRDefault="00C821BE" w:rsidP="00C821BE">
            <w:pPr>
              <w:spacing w:after="0" w:line="240" w:lineRule="auto"/>
              <w:jc w:val="both"/>
              <w:rPr>
                <w:rFonts w:ascii="Times New Roman" w:hAnsi="Times New Roman"/>
                <w:sz w:val="16"/>
                <w:szCs w:val="16"/>
                <w:lang w:val="en-US"/>
              </w:rPr>
            </w:pPr>
            <w:r w:rsidRPr="0010784C">
              <w:rPr>
                <w:rFonts w:ascii="Times New Roman" w:hAnsi="Times New Roman"/>
                <w:sz w:val="16"/>
                <w:szCs w:val="16"/>
                <w:lang w:val="en-US"/>
              </w:rPr>
              <w:t>Risk of destroying herbaceous vegetation at Antula.</w:t>
            </w:r>
          </w:p>
        </w:tc>
        <w:tc>
          <w:tcPr>
            <w:tcW w:w="851" w:type="dxa"/>
            <w:vMerge w:val="restart"/>
            <w:shd w:val="clear" w:color="auto" w:fill="FFFFFF"/>
            <w:vAlign w:val="center"/>
          </w:tcPr>
          <w:p w:rsidR="00C821BE" w:rsidRPr="0010784C" w:rsidRDefault="00C821BE" w:rsidP="00C821BE">
            <w:pPr>
              <w:spacing w:after="0" w:line="240" w:lineRule="auto"/>
              <w:jc w:val="center"/>
              <w:rPr>
                <w:rFonts w:ascii="Times New Roman" w:hAnsi="Times New Roman"/>
                <w:sz w:val="16"/>
                <w:szCs w:val="16"/>
                <w:lang w:val="en-US"/>
              </w:rPr>
            </w:pPr>
            <w:r w:rsidRPr="0010784C">
              <w:rPr>
                <w:rFonts w:ascii="Times New Roman" w:hAnsi="Times New Roman"/>
                <w:sz w:val="16"/>
                <w:szCs w:val="16"/>
                <w:lang w:val="en-US"/>
              </w:rPr>
              <w:t>Low</w:t>
            </w:r>
          </w:p>
        </w:tc>
        <w:tc>
          <w:tcPr>
            <w:tcW w:w="283" w:type="dxa"/>
            <w:vMerge w:val="restart"/>
            <w:shd w:val="clear" w:color="auto" w:fill="002060"/>
            <w:vAlign w:val="center"/>
          </w:tcPr>
          <w:p w:rsidR="00C821BE" w:rsidRPr="0010784C" w:rsidRDefault="00C821BE" w:rsidP="00C821BE">
            <w:pPr>
              <w:spacing w:after="0" w:line="240" w:lineRule="auto"/>
              <w:jc w:val="center"/>
              <w:rPr>
                <w:rFonts w:ascii="Times New Roman" w:hAnsi="Times New Roman"/>
                <w:b/>
                <w:sz w:val="16"/>
                <w:szCs w:val="16"/>
                <w:lang w:val="en-US"/>
              </w:rPr>
            </w:pPr>
            <w:r w:rsidRPr="0010784C">
              <w:rPr>
                <w:rFonts w:ascii="Times New Roman" w:hAnsi="Times New Roman"/>
                <w:b/>
                <w:sz w:val="16"/>
                <w:szCs w:val="16"/>
                <w:lang w:val="en-US"/>
              </w:rPr>
              <w:t>1</w:t>
            </w:r>
          </w:p>
        </w:tc>
        <w:tc>
          <w:tcPr>
            <w:tcW w:w="992" w:type="dxa"/>
            <w:vMerge w:val="restart"/>
            <w:shd w:val="clear" w:color="auto" w:fill="FFFFFF"/>
            <w:vAlign w:val="center"/>
          </w:tcPr>
          <w:p w:rsidR="00C821BE" w:rsidRPr="0010784C" w:rsidRDefault="00C821BE" w:rsidP="00C821BE">
            <w:pPr>
              <w:spacing w:after="0" w:line="240" w:lineRule="auto"/>
              <w:jc w:val="center"/>
              <w:rPr>
                <w:rFonts w:ascii="Times New Roman" w:hAnsi="Times New Roman"/>
                <w:sz w:val="16"/>
                <w:szCs w:val="16"/>
                <w:lang w:val="en-US"/>
              </w:rPr>
            </w:pPr>
            <w:r w:rsidRPr="0010784C">
              <w:rPr>
                <w:rFonts w:ascii="Times New Roman" w:hAnsi="Times New Roman"/>
                <w:sz w:val="16"/>
                <w:szCs w:val="16"/>
                <w:lang w:val="en-US"/>
              </w:rPr>
              <w:t>Local</w:t>
            </w:r>
          </w:p>
        </w:tc>
        <w:tc>
          <w:tcPr>
            <w:tcW w:w="284" w:type="dxa"/>
            <w:vMerge w:val="restart"/>
            <w:shd w:val="clear" w:color="auto" w:fill="002060"/>
            <w:vAlign w:val="center"/>
          </w:tcPr>
          <w:p w:rsidR="00C821BE" w:rsidRPr="0010784C" w:rsidRDefault="00C821BE" w:rsidP="00C821BE">
            <w:pPr>
              <w:spacing w:after="0" w:line="240" w:lineRule="auto"/>
              <w:jc w:val="center"/>
              <w:rPr>
                <w:rFonts w:ascii="Times New Roman" w:hAnsi="Times New Roman"/>
                <w:b/>
                <w:sz w:val="16"/>
                <w:szCs w:val="16"/>
                <w:lang w:val="en-US"/>
              </w:rPr>
            </w:pPr>
            <w:r w:rsidRPr="0010784C">
              <w:rPr>
                <w:rFonts w:ascii="Times New Roman" w:hAnsi="Times New Roman"/>
                <w:b/>
                <w:sz w:val="16"/>
                <w:szCs w:val="16"/>
                <w:lang w:val="en-US"/>
              </w:rPr>
              <w:t>3</w:t>
            </w:r>
          </w:p>
        </w:tc>
        <w:tc>
          <w:tcPr>
            <w:tcW w:w="850" w:type="dxa"/>
            <w:vMerge w:val="restart"/>
            <w:shd w:val="clear" w:color="auto" w:fill="FFFFFF"/>
            <w:vAlign w:val="center"/>
          </w:tcPr>
          <w:p w:rsidR="00C821BE" w:rsidRPr="0010784C" w:rsidRDefault="00C821BE" w:rsidP="00C821BE">
            <w:pPr>
              <w:spacing w:after="0" w:line="240" w:lineRule="auto"/>
              <w:jc w:val="center"/>
              <w:rPr>
                <w:rFonts w:ascii="Times New Roman" w:hAnsi="Times New Roman"/>
                <w:sz w:val="16"/>
                <w:szCs w:val="16"/>
                <w:lang w:val="en-US"/>
              </w:rPr>
            </w:pPr>
            <w:r w:rsidRPr="0010784C">
              <w:rPr>
                <w:rFonts w:ascii="Times New Roman" w:hAnsi="Times New Roman"/>
                <w:sz w:val="16"/>
                <w:szCs w:val="16"/>
                <w:lang w:val="en-US"/>
              </w:rPr>
              <w:t>Average</w:t>
            </w:r>
          </w:p>
        </w:tc>
        <w:tc>
          <w:tcPr>
            <w:tcW w:w="284" w:type="dxa"/>
            <w:vMerge w:val="restart"/>
            <w:shd w:val="clear" w:color="auto" w:fill="002060"/>
            <w:vAlign w:val="center"/>
          </w:tcPr>
          <w:p w:rsidR="00C821BE" w:rsidRPr="0010784C" w:rsidRDefault="00C821BE" w:rsidP="00C821BE">
            <w:pPr>
              <w:spacing w:after="0" w:line="240" w:lineRule="auto"/>
              <w:jc w:val="center"/>
              <w:rPr>
                <w:rFonts w:ascii="Times New Roman" w:hAnsi="Times New Roman"/>
                <w:b/>
                <w:sz w:val="16"/>
                <w:szCs w:val="16"/>
                <w:lang w:val="en-US"/>
              </w:rPr>
            </w:pPr>
            <w:r w:rsidRPr="0010784C">
              <w:rPr>
                <w:rFonts w:ascii="Times New Roman" w:hAnsi="Times New Roman"/>
                <w:b/>
                <w:sz w:val="16"/>
                <w:szCs w:val="16"/>
                <w:lang w:val="en-US"/>
              </w:rPr>
              <w:t>3</w:t>
            </w:r>
          </w:p>
        </w:tc>
        <w:tc>
          <w:tcPr>
            <w:tcW w:w="850" w:type="dxa"/>
            <w:vMerge w:val="restart"/>
            <w:shd w:val="clear" w:color="auto" w:fill="92D050"/>
            <w:vAlign w:val="center"/>
          </w:tcPr>
          <w:p w:rsidR="00C821BE" w:rsidRPr="0010784C" w:rsidRDefault="00C821BE" w:rsidP="00C821BE">
            <w:pPr>
              <w:spacing w:after="0" w:line="240" w:lineRule="auto"/>
              <w:jc w:val="center"/>
              <w:rPr>
                <w:rFonts w:ascii="Times New Roman" w:hAnsi="Times New Roman"/>
                <w:b/>
                <w:sz w:val="16"/>
                <w:szCs w:val="16"/>
                <w:lang w:val="en-US"/>
              </w:rPr>
            </w:pPr>
            <w:r w:rsidRPr="0010784C">
              <w:rPr>
                <w:rFonts w:ascii="Times New Roman" w:hAnsi="Times New Roman"/>
                <w:b/>
                <w:sz w:val="16"/>
                <w:szCs w:val="16"/>
                <w:lang w:val="en-US"/>
              </w:rPr>
              <w:t>Minor</w:t>
            </w:r>
          </w:p>
        </w:tc>
        <w:tc>
          <w:tcPr>
            <w:tcW w:w="586" w:type="dxa"/>
            <w:vMerge w:val="restart"/>
            <w:shd w:val="clear" w:color="auto" w:fill="92D050"/>
            <w:vAlign w:val="center"/>
          </w:tcPr>
          <w:p w:rsidR="00C821BE" w:rsidRPr="0010784C" w:rsidRDefault="00C821BE" w:rsidP="00C821BE">
            <w:pPr>
              <w:spacing w:after="0" w:line="240" w:lineRule="auto"/>
              <w:jc w:val="center"/>
              <w:rPr>
                <w:rFonts w:ascii="Times New Roman" w:hAnsi="Times New Roman"/>
                <w:b/>
                <w:sz w:val="16"/>
                <w:szCs w:val="16"/>
                <w:lang w:val="en-US"/>
              </w:rPr>
            </w:pPr>
            <w:r w:rsidRPr="0010784C">
              <w:rPr>
                <w:rFonts w:ascii="Times New Roman" w:hAnsi="Times New Roman"/>
                <w:b/>
                <w:sz w:val="16"/>
                <w:szCs w:val="16"/>
                <w:lang w:val="en-US"/>
              </w:rPr>
              <w:t>9</w:t>
            </w:r>
          </w:p>
        </w:tc>
      </w:tr>
      <w:tr w:rsidR="00C821BE" w:rsidRPr="00332A41" w:rsidTr="00C821BE">
        <w:trPr>
          <w:trHeight w:val="255"/>
          <w:jc w:val="center"/>
        </w:trPr>
        <w:tc>
          <w:tcPr>
            <w:tcW w:w="988" w:type="dxa"/>
            <w:vMerge/>
            <w:shd w:val="clear" w:color="auto" w:fill="BDD6EE"/>
            <w:vAlign w:val="center"/>
          </w:tcPr>
          <w:p w:rsidR="00C821BE" w:rsidRPr="0010784C" w:rsidRDefault="00C821BE" w:rsidP="00C821BE">
            <w:pPr>
              <w:spacing w:after="0" w:line="240" w:lineRule="auto"/>
              <w:jc w:val="center"/>
              <w:rPr>
                <w:rFonts w:ascii="Times New Roman" w:hAnsi="Times New Roman"/>
                <w:sz w:val="16"/>
                <w:szCs w:val="16"/>
                <w:lang w:val="en-US"/>
              </w:rPr>
            </w:pPr>
          </w:p>
        </w:tc>
        <w:tc>
          <w:tcPr>
            <w:tcW w:w="850" w:type="dxa"/>
            <w:vMerge/>
            <w:vAlign w:val="center"/>
          </w:tcPr>
          <w:p w:rsidR="00C821BE" w:rsidRPr="0010784C" w:rsidRDefault="00C821BE" w:rsidP="00C821BE">
            <w:pPr>
              <w:tabs>
                <w:tab w:val="left" w:pos="2193"/>
              </w:tabs>
              <w:spacing w:after="0" w:line="240" w:lineRule="auto"/>
              <w:jc w:val="center"/>
              <w:rPr>
                <w:rFonts w:ascii="Times New Roman" w:hAnsi="Times New Roman"/>
                <w:b/>
                <w:sz w:val="12"/>
                <w:szCs w:val="12"/>
                <w:lang w:val="en-US"/>
              </w:rPr>
            </w:pPr>
          </w:p>
        </w:tc>
        <w:tc>
          <w:tcPr>
            <w:tcW w:w="4536" w:type="dxa"/>
            <w:gridSpan w:val="3"/>
            <w:vAlign w:val="center"/>
          </w:tcPr>
          <w:p w:rsidR="00C821BE" w:rsidRPr="0010784C" w:rsidRDefault="00C821BE" w:rsidP="00C821BE">
            <w:pPr>
              <w:spacing w:after="0" w:line="240" w:lineRule="auto"/>
              <w:jc w:val="both"/>
              <w:rPr>
                <w:rFonts w:ascii="Times New Roman" w:hAnsi="Times New Roman"/>
                <w:sz w:val="16"/>
                <w:szCs w:val="16"/>
                <w:lang w:val="en-US"/>
              </w:rPr>
            </w:pPr>
            <w:r w:rsidRPr="0010784C">
              <w:rPr>
                <w:rFonts w:ascii="Times New Roman" w:hAnsi="Times New Roman"/>
                <w:sz w:val="16"/>
                <w:szCs w:val="16"/>
                <w:lang w:val="en-US"/>
              </w:rPr>
              <w:t>Risk of felling a few feet of cashew trees at BOR</w:t>
            </w:r>
          </w:p>
        </w:tc>
        <w:tc>
          <w:tcPr>
            <w:tcW w:w="851" w:type="dxa"/>
            <w:vMerge/>
            <w:shd w:val="clear" w:color="auto" w:fill="FFFFFF"/>
            <w:vAlign w:val="center"/>
          </w:tcPr>
          <w:p w:rsidR="00C821BE" w:rsidRPr="0010784C" w:rsidRDefault="00C821BE" w:rsidP="00C821BE">
            <w:pPr>
              <w:spacing w:after="0" w:line="240" w:lineRule="auto"/>
              <w:jc w:val="center"/>
              <w:rPr>
                <w:rFonts w:ascii="Times New Roman" w:hAnsi="Times New Roman"/>
                <w:sz w:val="16"/>
                <w:szCs w:val="16"/>
                <w:lang w:val="en-US"/>
              </w:rPr>
            </w:pPr>
          </w:p>
        </w:tc>
        <w:tc>
          <w:tcPr>
            <w:tcW w:w="283" w:type="dxa"/>
            <w:vMerge/>
            <w:shd w:val="clear" w:color="auto" w:fill="002060"/>
            <w:vAlign w:val="center"/>
          </w:tcPr>
          <w:p w:rsidR="00C821BE" w:rsidRPr="0010784C" w:rsidRDefault="00C821BE" w:rsidP="00C821BE">
            <w:pPr>
              <w:spacing w:after="0" w:line="240" w:lineRule="auto"/>
              <w:jc w:val="center"/>
              <w:rPr>
                <w:rFonts w:ascii="Times New Roman" w:hAnsi="Times New Roman"/>
                <w:b/>
                <w:sz w:val="16"/>
                <w:szCs w:val="16"/>
                <w:lang w:val="en-US"/>
              </w:rPr>
            </w:pPr>
          </w:p>
        </w:tc>
        <w:tc>
          <w:tcPr>
            <w:tcW w:w="992" w:type="dxa"/>
            <w:vMerge/>
            <w:shd w:val="clear" w:color="auto" w:fill="FFFFFF"/>
            <w:vAlign w:val="center"/>
          </w:tcPr>
          <w:p w:rsidR="00C821BE" w:rsidRPr="0010784C" w:rsidRDefault="00C821BE" w:rsidP="00C821BE">
            <w:pPr>
              <w:spacing w:after="0" w:line="240" w:lineRule="auto"/>
              <w:jc w:val="center"/>
              <w:rPr>
                <w:rFonts w:ascii="Times New Roman" w:hAnsi="Times New Roman"/>
                <w:sz w:val="16"/>
                <w:szCs w:val="16"/>
                <w:lang w:val="en-US"/>
              </w:rPr>
            </w:pPr>
          </w:p>
        </w:tc>
        <w:tc>
          <w:tcPr>
            <w:tcW w:w="284" w:type="dxa"/>
            <w:vMerge/>
            <w:shd w:val="clear" w:color="auto" w:fill="002060"/>
            <w:vAlign w:val="center"/>
          </w:tcPr>
          <w:p w:rsidR="00C821BE" w:rsidRPr="0010784C" w:rsidRDefault="00C821BE" w:rsidP="00C821BE">
            <w:pPr>
              <w:spacing w:after="0" w:line="240" w:lineRule="auto"/>
              <w:jc w:val="center"/>
              <w:rPr>
                <w:rFonts w:ascii="Times New Roman" w:hAnsi="Times New Roman"/>
                <w:b/>
                <w:sz w:val="16"/>
                <w:szCs w:val="16"/>
                <w:lang w:val="en-US"/>
              </w:rPr>
            </w:pPr>
          </w:p>
        </w:tc>
        <w:tc>
          <w:tcPr>
            <w:tcW w:w="850" w:type="dxa"/>
            <w:vMerge/>
            <w:shd w:val="clear" w:color="auto" w:fill="FFFFFF"/>
            <w:vAlign w:val="center"/>
          </w:tcPr>
          <w:p w:rsidR="00C821BE" w:rsidRPr="0010784C" w:rsidRDefault="00C821BE" w:rsidP="00C821BE">
            <w:pPr>
              <w:spacing w:after="0" w:line="240" w:lineRule="auto"/>
              <w:jc w:val="center"/>
              <w:rPr>
                <w:rFonts w:ascii="Times New Roman" w:hAnsi="Times New Roman"/>
                <w:sz w:val="16"/>
                <w:szCs w:val="16"/>
                <w:lang w:val="en-US"/>
              </w:rPr>
            </w:pPr>
          </w:p>
        </w:tc>
        <w:tc>
          <w:tcPr>
            <w:tcW w:w="284" w:type="dxa"/>
            <w:vMerge/>
            <w:shd w:val="clear" w:color="auto" w:fill="002060"/>
            <w:vAlign w:val="center"/>
          </w:tcPr>
          <w:p w:rsidR="00C821BE" w:rsidRPr="0010784C" w:rsidRDefault="00C821BE" w:rsidP="00C821BE">
            <w:pPr>
              <w:spacing w:after="0" w:line="240" w:lineRule="auto"/>
              <w:jc w:val="center"/>
              <w:rPr>
                <w:rFonts w:ascii="Times New Roman" w:hAnsi="Times New Roman"/>
                <w:b/>
                <w:sz w:val="16"/>
                <w:szCs w:val="16"/>
                <w:lang w:val="en-US"/>
              </w:rPr>
            </w:pPr>
          </w:p>
        </w:tc>
        <w:tc>
          <w:tcPr>
            <w:tcW w:w="850" w:type="dxa"/>
            <w:vMerge/>
            <w:shd w:val="clear" w:color="auto" w:fill="92D050"/>
            <w:vAlign w:val="center"/>
          </w:tcPr>
          <w:p w:rsidR="00C821BE" w:rsidRPr="0010784C" w:rsidRDefault="00C821BE" w:rsidP="00C821BE">
            <w:pPr>
              <w:spacing w:after="0" w:line="240" w:lineRule="auto"/>
              <w:jc w:val="center"/>
              <w:rPr>
                <w:rFonts w:ascii="Times New Roman" w:hAnsi="Times New Roman"/>
                <w:b/>
                <w:sz w:val="16"/>
                <w:szCs w:val="16"/>
                <w:lang w:val="en-US"/>
              </w:rPr>
            </w:pPr>
          </w:p>
        </w:tc>
        <w:tc>
          <w:tcPr>
            <w:tcW w:w="586" w:type="dxa"/>
            <w:vMerge/>
            <w:shd w:val="clear" w:color="auto" w:fill="92D050"/>
            <w:vAlign w:val="center"/>
          </w:tcPr>
          <w:p w:rsidR="00C821BE" w:rsidRPr="0010784C" w:rsidRDefault="00C821BE" w:rsidP="00C821BE">
            <w:pPr>
              <w:spacing w:after="0" w:line="240" w:lineRule="auto"/>
              <w:jc w:val="center"/>
              <w:rPr>
                <w:rFonts w:ascii="Times New Roman" w:hAnsi="Times New Roman"/>
                <w:b/>
                <w:sz w:val="16"/>
                <w:szCs w:val="16"/>
                <w:lang w:val="en-US"/>
              </w:rPr>
            </w:pPr>
          </w:p>
        </w:tc>
      </w:tr>
      <w:tr w:rsidR="00C821BE" w:rsidRPr="003C548E" w:rsidTr="00C821BE">
        <w:trPr>
          <w:trHeight w:val="255"/>
          <w:jc w:val="center"/>
        </w:trPr>
        <w:tc>
          <w:tcPr>
            <w:tcW w:w="988" w:type="dxa"/>
            <w:vMerge/>
            <w:shd w:val="clear" w:color="auto" w:fill="BDD6EE"/>
            <w:vAlign w:val="center"/>
          </w:tcPr>
          <w:p w:rsidR="00C821BE" w:rsidRPr="0010784C" w:rsidRDefault="00C821BE" w:rsidP="00C821BE">
            <w:pPr>
              <w:spacing w:after="0" w:line="240" w:lineRule="auto"/>
              <w:jc w:val="center"/>
              <w:rPr>
                <w:rFonts w:ascii="Times New Roman" w:hAnsi="Times New Roman"/>
                <w:sz w:val="16"/>
                <w:szCs w:val="16"/>
                <w:lang w:val="en-US"/>
              </w:rPr>
            </w:pPr>
          </w:p>
        </w:tc>
        <w:tc>
          <w:tcPr>
            <w:tcW w:w="850" w:type="dxa"/>
            <w:vMerge/>
            <w:vAlign w:val="center"/>
          </w:tcPr>
          <w:p w:rsidR="00C821BE" w:rsidRPr="0010784C" w:rsidRDefault="00C821BE" w:rsidP="00C821BE">
            <w:pPr>
              <w:tabs>
                <w:tab w:val="left" w:pos="2193"/>
              </w:tabs>
              <w:spacing w:after="0" w:line="240" w:lineRule="auto"/>
              <w:jc w:val="center"/>
              <w:rPr>
                <w:rFonts w:ascii="Times New Roman" w:hAnsi="Times New Roman"/>
                <w:b/>
                <w:sz w:val="12"/>
                <w:szCs w:val="12"/>
                <w:lang w:val="en-US"/>
              </w:rPr>
            </w:pPr>
          </w:p>
        </w:tc>
        <w:tc>
          <w:tcPr>
            <w:tcW w:w="4536" w:type="dxa"/>
            <w:gridSpan w:val="3"/>
            <w:vAlign w:val="center"/>
          </w:tcPr>
          <w:p w:rsidR="00C821BE" w:rsidRPr="0010784C" w:rsidRDefault="00C821BE" w:rsidP="00C821BE">
            <w:pPr>
              <w:spacing w:after="0" w:line="240" w:lineRule="auto"/>
              <w:jc w:val="both"/>
              <w:rPr>
                <w:rFonts w:ascii="Times New Roman" w:hAnsi="Times New Roman"/>
                <w:sz w:val="16"/>
                <w:szCs w:val="16"/>
                <w:lang w:val="en-US"/>
              </w:rPr>
            </w:pPr>
            <w:r w:rsidRPr="0010784C">
              <w:rPr>
                <w:rFonts w:ascii="Times New Roman" w:hAnsi="Times New Roman"/>
                <w:sz w:val="16"/>
                <w:szCs w:val="16"/>
                <w:lang w:val="en-US"/>
              </w:rPr>
              <w:t>Risk of disturbance of certain species (birds, rodents, domestic animals, etc.) due to noise production</w:t>
            </w:r>
          </w:p>
        </w:tc>
        <w:tc>
          <w:tcPr>
            <w:tcW w:w="851" w:type="dxa"/>
            <w:vMerge/>
            <w:shd w:val="clear" w:color="auto" w:fill="FFFFFF"/>
            <w:vAlign w:val="center"/>
          </w:tcPr>
          <w:p w:rsidR="00C821BE" w:rsidRPr="0010784C" w:rsidRDefault="00C821BE" w:rsidP="00C821BE">
            <w:pPr>
              <w:spacing w:after="0" w:line="240" w:lineRule="auto"/>
              <w:jc w:val="center"/>
              <w:rPr>
                <w:rFonts w:ascii="Times New Roman" w:hAnsi="Times New Roman"/>
                <w:sz w:val="16"/>
                <w:szCs w:val="16"/>
                <w:lang w:val="en-US"/>
              </w:rPr>
            </w:pPr>
          </w:p>
        </w:tc>
        <w:tc>
          <w:tcPr>
            <w:tcW w:w="283" w:type="dxa"/>
            <w:vMerge/>
            <w:shd w:val="clear" w:color="auto" w:fill="002060"/>
            <w:vAlign w:val="center"/>
          </w:tcPr>
          <w:p w:rsidR="00C821BE" w:rsidRPr="0010784C" w:rsidRDefault="00C821BE" w:rsidP="00C821BE">
            <w:pPr>
              <w:spacing w:after="0" w:line="240" w:lineRule="auto"/>
              <w:jc w:val="center"/>
              <w:rPr>
                <w:rFonts w:ascii="Times New Roman" w:hAnsi="Times New Roman"/>
                <w:b/>
                <w:sz w:val="16"/>
                <w:szCs w:val="16"/>
                <w:lang w:val="en-US"/>
              </w:rPr>
            </w:pPr>
          </w:p>
        </w:tc>
        <w:tc>
          <w:tcPr>
            <w:tcW w:w="992" w:type="dxa"/>
            <w:vMerge/>
            <w:shd w:val="clear" w:color="auto" w:fill="FFFFFF"/>
            <w:vAlign w:val="center"/>
          </w:tcPr>
          <w:p w:rsidR="00C821BE" w:rsidRPr="0010784C" w:rsidRDefault="00C821BE" w:rsidP="00C821BE">
            <w:pPr>
              <w:spacing w:after="0" w:line="240" w:lineRule="auto"/>
              <w:jc w:val="center"/>
              <w:rPr>
                <w:rFonts w:ascii="Times New Roman" w:hAnsi="Times New Roman"/>
                <w:sz w:val="16"/>
                <w:szCs w:val="16"/>
                <w:lang w:val="en-US"/>
              </w:rPr>
            </w:pPr>
          </w:p>
        </w:tc>
        <w:tc>
          <w:tcPr>
            <w:tcW w:w="284" w:type="dxa"/>
            <w:vMerge/>
            <w:shd w:val="clear" w:color="auto" w:fill="002060"/>
            <w:vAlign w:val="center"/>
          </w:tcPr>
          <w:p w:rsidR="00C821BE" w:rsidRPr="0010784C" w:rsidRDefault="00C821BE" w:rsidP="00C821BE">
            <w:pPr>
              <w:spacing w:after="0" w:line="240" w:lineRule="auto"/>
              <w:jc w:val="center"/>
              <w:rPr>
                <w:rFonts w:ascii="Times New Roman" w:hAnsi="Times New Roman"/>
                <w:b/>
                <w:sz w:val="16"/>
                <w:szCs w:val="16"/>
                <w:lang w:val="en-US"/>
              </w:rPr>
            </w:pPr>
          </w:p>
        </w:tc>
        <w:tc>
          <w:tcPr>
            <w:tcW w:w="850" w:type="dxa"/>
            <w:vMerge/>
            <w:shd w:val="clear" w:color="auto" w:fill="FFFFFF"/>
            <w:vAlign w:val="center"/>
          </w:tcPr>
          <w:p w:rsidR="00C821BE" w:rsidRPr="0010784C" w:rsidRDefault="00C821BE" w:rsidP="00C821BE">
            <w:pPr>
              <w:spacing w:after="0" w:line="240" w:lineRule="auto"/>
              <w:jc w:val="center"/>
              <w:rPr>
                <w:rFonts w:ascii="Times New Roman" w:hAnsi="Times New Roman"/>
                <w:sz w:val="16"/>
                <w:szCs w:val="16"/>
                <w:lang w:val="en-US"/>
              </w:rPr>
            </w:pPr>
          </w:p>
        </w:tc>
        <w:tc>
          <w:tcPr>
            <w:tcW w:w="284" w:type="dxa"/>
            <w:vMerge/>
            <w:shd w:val="clear" w:color="auto" w:fill="002060"/>
            <w:vAlign w:val="center"/>
          </w:tcPr>
          <w:p w:rsidR="00C821BE" w:rsidRPr="0010784C" w:rsidRDefault="00C821BE" w:rsidP="00C821BE">
            <w:pPr>
              <w:spacing w:after="0" w:line="240" w:lineRule="auto"/>
              <w:jc w:val="center"/>
              <w:rPr>
                <w:rFonts w:ascii="Times New Roman" w:hAnsi="Times New Roman"/>
                <w:b/>
                <w:sz w:val="16"/>
                <w:szCs w:val="16"/>
                <w:lang w:val="en-US"/>
              </w:rPr>
            </w:pPr>
          </w:p>
        </w:tc>
        <w:tc>
          <w:tcPr>
            <w:tcW w:w="850" w:type="dxa"/>
            <w:vMerge/>
            <w:shd w:val="clear" w:color="auto" w:fill="92D050"/>
            <w:vAlign w:val="center"/>
          </w:tcPr>
          <w:p w:rsidR="00C821BE" w:rsidRPr="0010784C" w:rsidRDefault="00C821BE" w:rsidP="00C821BE">
            <w:pPr>
              <w:spacing w:after="0" w:line="240" w:lineRule="auto"/>
              <w:jc w:val="center"/>
              <w:rPr>
                <w:rFonts w:ascii="Times New Roman" w:hAnsi="Times New Roman"/>
                <w:b/>
                <w:sz w:val="16"/>
                <w:szCs w:val="16"/>
                <w:lang w:val="en-US"/>
              </w:rPr>
            </w:pPr>
          </w:p>
        </w:tc>
        <w:tc>
          <w:tcPr>
            <w:tcW w:w="586" w:type="dxa"/>
            <w:vMerge/>
            <w:shd w:val="clear" w:color="auto" w:fill="92D050"/>
            <w:vAlign w:val="center"/>
          </w:tcPr>
          <w:p w:rsidR="00C821BE" w:rsidRPr="0010784C" w:rsidRDefault="00C821BE" w:rsidP="00C821BE">
            <w:pPr>
              <w:spacing w:after="0" w:line="240" w:lineRule="auto"/>
              <w:jc w:val="center"/>
              <w:rPr>
                <w:rFonts w:ascii="Times New Roman" w:hAnsi="Times New Roman"/>
                <w:b/>
                <w:sz w:val="16"/>
                <w:szCs w:val="16"/>
                <w:lang w:val="en-US"/>
              </w:rPr>
            </w:pPr>
          </w:p>
        </w:tc>
      </w:tr>
      <w:tr w:rsidR="00C821BE" w:rsidRPr="0010784C" w:rsidTr="00C821BE">
        <w:trPr>
          <w:jc w:val="center"/>
        </w:trPr>
        <w:tc>
          <w:tcPr>
            <w:tcW w:w="988" w:type="dxa"/>
            <w:vMerge/>
            <w:shd w:val="clear" w:color="auto" w:fill="BDD6EE"/>
            <w:vAlign w:val="center"/>
          </w:tcPr>
          <w:p w:rsidR="00C821BE" w:rsidRPr="0010784C" w:rsidRDefault="00C821BE" w:rsidP="00C821BE">
            <w:pPr>
              <w:spacing w:after="0" w:line="240" w:lineRule="auto"/>
              <w:jc w:val="center"/>
              <w:rPr>
                <w:rFonts w:ascii="Times New Roman" w:hAnsi="Times New Roman"/>
                <w:sz w:val="16"/>
                <w:szCs w:val="16"/>
                <w:lang w:val="en-US"/>
              </w:rPr>
            </w:pPr>
          </w:p>
        </w:tc>
        <w:tc>
          <w:tcPr>
            <w:tcW w:w="850" w:type="dxa"/>
            <w:vAlign w:val="center"/>
          </w:tcPr>
          <w:p w:rsidR="00C821BE" w:rsidRPr="0010784C" w:rsidRDefault="00C821BE" w:rsidP="00C821BE">
            <w:pPr>
              <w:tabs>
                <w:tab w:val="left" w:pos="2193"/>
              </w:tabs>
              <w:spacing w:after="0" w:line="240" w:lineRule="auto"/>
              <w:jc w:val="center"/>
              <w:rPr>
                <w:rFonts w:ascii="Times New Roman" w:hAnsi="Times New Roman"/>
                <w:b/>
                <w:sz w:val="12"/>
                <w:szCs w:val="12"/>
                <w:lang w:val="en-US"/>
              </w:rPr>
            </w:pPr>
            <w:r w:rsidRPr="0010784C">
              <w:rPr>
                <w:rFonts w:ascii="Times New Roman" w:hAnsi="Times New Roman"/>
                <w:b/>
                <w:sz w:val="12"/>
                <w:szCs w:val="12"/>
                <w:lang w:val="en-US"/>
              </w:rPr>
              <w:t>LANDSCAPE</w:t>
            </w:r>
          </w:p>
        </w:tc>
        <w:tc>
          <w:tcPr>
            <w:tcW w:w="4536" w:type="dxa"/>
            <w:gridSpan w:val="3"/>
            <w:vAlign w:val="center"/>
          </w:tcPr>
          <w:p w:rsidR="00C821BE" w:rsidRPr="0010784C" w:rsidRDefault="00C821BE" w:rsidP="00C821BE">
            <w:pPr>
              <w:spacing w:after="0" w:line="240" w:lineRule="auto"/>
              <w:jc w:val="both"/>
              <w:rPr>
                <w:rFonts w:ascii="Times New Roman" w:hAnsi="Times New Roman"/>
                <w:sz w:val="16"/>
                <w:szCs w:val="16"/>
                <w:lang w:val="en-US"/>
              </w:rPr>
            </w:pPr>
            <w:r w:rsidRPr="0010784C">
              <w:rPr>
                <w:rFonts w:ascii="Times New Roman" w:hAnsi="Times New Roman"/>
                <w:sz w:val="16"/>
                <w:szCs w:val="16"/>
                <w:lang w:val="en-US"/>
              </w:rPr>
              <w:t>Changing the appearance of the landscape</w:t>
            </w:r>
          </w:p>
        </w:tc>
        <w:tc>
          <w:tcPr>
            <w:tcW w:w="851" w:type="dxa"/>
            <w:shd w:val="clear" w:color="auto" w:fill="FFFFFF"/>
            <w:vAlign w:val="center"/>
          </w:tcPr>
          <w:p w:rsidR="00C821BE" w:rsidRPr="0010784C" w:rsidRDefault="00C821BE" w:rsidP="00C821BE">
            <w:pPr>
              <w:spacing w:after="0" w:line="240" w:lineRule="auto"/>
              <w:jc w:val="center"/>
              <w:rPr>
                <w:rFonts w:ascii="Times New Roman" w:hAnsi="Times New Roman"/>
                <w:sz w:val="16"/>
                <w:szCs w:val="16"/>
                <w:lang w:val="en-US"/>
              </w:rPr>
            </w:pPr>
            <w:r w:rsidRPr="0010784C">
              <w:rPr>
                <w:rFonts w:ascii="Times New Roman" w:hAnsi="Times New Roman"/>
                <w:sz w:val="16"/>
                <w:szCs w:val="16"/>
                <w:lang w:val="en-US"/>
              </w:rPr>
              <w:t>Low</w:t>
            </w:r>
          </w:p>
        </w:tc>
        <w:tc>
          <w:tcPr>
            <w:tcW w:w="283" w:type="dxa"/>
            <w:shd w:val="clear" w:color="auto" w:fill="002060"/>
            <w:vAlign w:val="center"/>
          </w:tcPr>
          <w:p w:rsidR="00C821BE" w:rsidRPr="0010784C" w:rsidRDefault="00C821BE" w:rsidP="00C821BE">
            <w:pPr>
              <w:spacing w:after="0" w:line="240" w:lineRule="auto"/>
              <w:jc w:val="center"/>
              <w:rPr>
                <w:rFonts w:ascii="Times New Roman" w:hAnsi="Times New Roman"/>
                <w:b/>
                <w:sz w:val="16"/>
                <w:szCs w:val="16"/>
                <w:lang w:val="en-US"/>
              </w:rPr>
            </w:pPr>
            <w:r w:rsidRPr="0010784C">
              <w:rPr>
                <w:rFonts w:ascii="Times New Roman" w:hAnsi="Times New Roman"/>
                <w:b/>
                <w:sz w:val="16"/>
                <w:szCs w:val="16"/>
                <w:lang w:val="en-US"/>
              </w:rPr>
              <w:t>1</w:t>
            </w:r>
          </w:p>
        </w:tc>
        <w:tc>
          <w:tcPr>
            <w:tcW w:w="992" w:type="dxa"/>
            <w:shd w:val="clear" w:color="auto" w:fill="FFFFFF"/>
            <w:vAlign w:val="center"/>
          </w:tcPr>
          <w:p w:rsidR="00C821BE" w:rsidRPr="0010784C" w:rsidRDefault="00C821BE" w:rsidP="00C821BE">
            <w:pPr>
              <w:spacing w:after="0" w:line="240" w:lineRule="auto"/>
              <w:jc w:val="center"/>
              <w:rPr>
                <w:rFonts w:ascii="Times New Roman" w:hAnsi="Times New Roman"/>
                <w:sz w:val="16"/>
                <w:szCs w:val="16"/>
                <w:lang w:val="en-US"/>
              </w:rPr>
            </w:pPr>
            <w:r w:rsidRPr="0010784C">
              <w:rPr>
                <w:rFonts w:ascii="Times New Roman" w:hAnsi="Times New Roman"/>
                <w:sz w:val="16"/>
                <w:szCs w:val="16"/>
                <w:lang w:val="en-US"/>
              </w:rPr>
              <w:t>Local</w:t>
            </w:r>
          </w:p>
        </w:tc>
        <w:tc>
          <w:tcPr>
            <w:tcW w:w="284" w:type="dxa"/>
            <w:shd w:val="clear" w:color="auto" w:fill="002060"/>
            <w:vAlign w:val="center"/>
          </w:tcPr>
          <w:p w:rsidR="00C821BE" w:rsidRPr="0010784C" w:rsidRDefault="00C821BE" w:rsidP="00C821BE">
            <w:pPr>
              <w:spacing w:after="0" w:line="240" w:lineRule="auto"/>
              <w:jc w:val="center"/>
              <w:rPr>
                <w:rFonts w:ascii="Times New Roman" w:hAnsi="Times New Roman"/>
                <w:b/>
                <w:sz w:val="16"/>
                <w:szCs w:val="16"/>
                <w:lang w:val="en-US"/>
              </w:rPr>
            </w:pPr>
            <w:r w:rsidRPr="0010784C">
              <w:rPr>
                <w:rFonts w:ascii="Times New Roman" w:hAnsi="Times New Roman"/>
                <w:b/>
                <w:sz w:val="16"/>
                <w:szCs w:val="16"/>
                <w:lang w:val="en-US"/>
              </w:rPr>
              <w:t>3</w:t>
            </w:r>
          </w:p>
        </w:tc>
        <w:tc>
          <w:tcPr>
            <w:tcW w:w="850" w:type="dxa"/>
            <w:shd w:val="clear" w:color="auto" w:fill="FFFFFF"/>
            <w:vAlign w:val="center"/>
          </w:tcPr>
          <w:p w:rsidR="00C821BE" w:rsidRPr="0010784C" w:rsidRDefault="00C821BE" w:rsidP="00C821BE">
            <w:pPr>
              <w:spacing w:after="0" w:line="240" w:lineRule="auto"/>
              <w:jc w:val="center"/>
              <w:rPr>
                <w:rFonts w:ascii="Times New Roman" w:hAnsi="Times New Roman"/>
                <w:sz w:val="16"/>
                <w:szCs w:val="16"/>
                <w:lang w:val="en-US"/>
              </w:rPr>
            </w:pPr>
            <w:r w:rsidRPr="0010784C">
              <w:rPr>
                <w:rFonts w:ascii="Times New Roman" w:hAnsi="Times New Roman"/>
                <w:sz w:val="16"/>
                <w:szCs w:val="16"/>
                <w:lang w:val="en-US"/>
              </w:rPr>
              <w:t>Average</w:t>
            </w:r>
          </w:p>
        </w:tc>
        <w:tc>
          <w:tcPr>
            <w:tcW w:w="284" w:type="dxa"/>
            <w:shd w:val="clear" w:color="auto" w:fill="002060"/>
            <w:vAlign w:val="center"/>
          </w:tcPr>
          <w:p w:rsidR="00C821BE" w:rsidRPr="0010784C" w:rsidRDefault="00C821BE" w:rsidP="00C821BE">
            <w:pPr>
              <w:spacing w:after="0" w:line="240" w:lineRule="auto"/>
              <w:jc w:val="center"/>
              <w:rPr>
                <w:rFonts w:ascii="Times New Roman" w:hAnsi="Times New Roman"/>
                <w:b/>
                <w:sz w:val="16"/>
                <w:szCs w:val="16"/>
                <w:lang w:val="en-US"/>
              </w:rPr>
            </w:pPr>
            <w:r w:rsidRPr="0010784C">
              <w:rPr>
                <w:rFonts w:ascii="Times New Roman" w:hAnsi="Times New Roman"/>
                <w:b/>
                <w:sz w:val="16"/>
                <w:szCs w:val="16"/>
                <w:lang w:val="en-US"/>
              </w:rPr>
              <w:t>3</w:t>
            </w:r>
          </w:p>
        </w:tc>
        <w:tc>
          <w:tcPr>
            <w:tcW w:w="850" w:type="dxa"/>
            <w:shd w:val="clear" w:color="auto" w:fill="92D050"/>
            <w:vAlign w:val="center"/>
          </w:tcPr>
          <w:p w:rsidR="00C821BE" w:rsidRPr="0010784C" w:rsidRDefault="00C821BE" w:rsidP="00C821BE">
            <w:pPr>
              <w:spacing w:after="0" w:line="240" w:lineRule="auto"/>
              <w:jc w:val="center"/>
              <w:rPr>
                <w:rFonts w:ascii="Times New Roman" w:hAnsi="Times New Roman"/>
                <w:b/>
                <w:sz w:val="16"/>
                <w:szCs w:val="16"/>
                <w:lang w:val="en-US"/>
              </w:rPr>
            </w:pPr>
            <w:r w:rsidRPr="0010784C">
              <w:rPr>
                <w:rFonts w:ascii="Times New Roman" w:hAnsi="Times New Roman"/>
                <w:b/>
                <w:sz w:val="16"/>
                <w:szCs w:val="16"/>
                <w:lang w:val="en-US"/>
              </w:rPr>
              <w:t>Minor</w:t>
            </w:r>
          </w:p>
        </w:tc>
        <w:tc>
          <w:tcPr>
            <w:tcW w:w="586" w:type="dxa"/>
            <w:shd w:val="clear" w:color="auto" w:fill="92D050"/>
            <w:vAlign w:val="center"/>
          </w:tcPr>
          <w:p w:rsidR="00C821BE" w:rsidRPr="0010784C" w:rsidRDefault="00C821BE" w:rsidP="00C821BE">
            <w:pPr>
              <w:spacing w:after="0" w:line="240" w:lineRule="auto"/>
              <w:jc w:val="center"/>
              <w:rPr>
                <w:rFonts w:ascii="Times New Roman" w:hAnsi="Times New Roman"/>
                <w:b/>
                <w:sz w:val="16"/>
                <w:szCs w:val="16"/>
                <w:lang w:val="en-US"/>
              </w:rPr>
            </w:pPr>
            <w:r w:rsidRPr="0010784C">
              <w:rPr>
                <w:rFonts w:ascii="Times New Roman" w:hAnsi="Times New Roman"/>
                <w:b/>
                <w:sz w:val="16"/>
                <w:szCs w:val="16"/>
                <w:lang w:val="en-US"/>
              </w:rPr>
              <w:t>9</w:t>
            </w:r>
          </w:p>
        </w:tc>
      </w:tr>
      <w:tr w:rsidR="00C821BE" w:rsidRPr="0010784C" w:rsidTr="00C821BE">
        <w:trPr>
          <w:jc w:val="center"/>
        </w:trPr>
        <w:tc>
          <w:tcPr>
            <w:tcW w:w="988" w:type="dxa"/>
            <w:vMerge/>
            <w:shd w:val="clear" w:color="auto" w:fill="BDD6EE"/>
            <w:vAlign w:val="center"/>
          </w:tcPr>
          <w:p w:rsidR="00C821BE" w:rsidRPr="0010784C" w:rsidRDefault="00C821BE" w:rsidP="00C821BE">
            <w:pPr>
              <w:spacing w:after="0" w:line="240" w:lineRule="auto"/>
              <w:jc w:val="center"/>
              <w:rPr>
                <w:rFonts w:ascii="Times New Roman" w:hAnsi="Times New Roman"/>
                <w:sz w:val="16"/>
                <w:szCs w:val="16"/>
                <w:lang w:val="en-US"/>
              </w:rPr>
            </w:pPr>
          </w:p>
        </w:tc>
        <w:tc>
          <w:tcPr>
            <w:tcW w:w="850" w:type="dxa"/>
            <w:vMerge w:val="restart"/>
            <w:vAlign w:val="center"/>
          </w:tcPr>
          <w:p w:rsidR="00C821BE" w:rsidRPr="0010784C" w:rsidRDefault="00C821BE" w:rsidP="00C821BE">
            <w:pPr>
              <w:spacing w:after="0" w:line="240" w:lineRule="auto"/>
              <w:jc w:val="center"/>
              <w:rPr>
                <w:rFonts w:ascii="Times New Roman" w:hAnsi="Times New Roman"/>
                <w:b/>
                <w:sz w:val="12"/>
                <w:szCs w:val="12"/>
                <w:lang w:val="en-US"/>
              </w:rPr>
            </w:pPr>
            <w:r w:rsidRPr="0010784C">
              <w:rPr>
                <w:rFonts w:ascii="Times New Roman" w:hAnsi="Times New Roman"/>
                <w:b/>
                <w:sz w:val="12"/>
                <w:szCs w:val="12"/>
                <w:lang w:val="en-US"/>
              </w:rPr>
              <w:t>HUMAN</w:t>
            </w:r>
          </w:p>
        </w:tc>
        <w:tc>
          <w:tcPr>
            <w:tcW w:w="4536" w:type="dxa"/>
            <w:gridSpan w:val="3"/>
            <w:vAlign w:val="center"/>
          </w:tcPr>
          <w:p w:rsidR="00C821BE" w:rsidRPr="0010784C" w:rsidRDefault="00C821BE" w:rsidP="00C821BE">
            <w:pPr>
              <w:spacing w:after="0" w:line="240" w:lineRule="auto"/>
              <w:jc w:val="both"/>
              <w:rPr>
                <w:rFonts w:ascii="Times New Roman" w:hAnsi="Times New Roman"/>
                <w:sz w:val="16"/>
                <w:szCs w:val="16"/>
                <w:lang w:val="en-US"/>
              </w:rPr>
            </w:pPr>
            <w:r w:rsidRPr="0010784C">
              <w:rPr>
                <w:rFonts w:ascii="Times New Roman" w:hAnsi="Times New Roman"/>
                <w:sz w:val="16"/>
                <w:szCs w:val="16"/>
                <w:lang w:val="en-US"/>
              </w:rPr>
              <w:t xml:space="preserve">Risk of disturbance of the living environment of neighboring populations due to the production of dust and noise </w:t>
            </w:r>
          </w:p>
        </w:tc>
        <w:tc>
          <w:tcPr>
            <w:tcW w:w="851" w:type="dxa"/>
            <w:vAlign w:val="center"/>
          </w:tcPr>
          <w:p w:rsidR="00C821BE" w:rsidRPr="0010784C" w:rsidRDefault="00C821BE" w:rsidP="00C821BE">
            <w:pPr>
              <w:spacing w:after="0" w:line="240" w:lineRule="auto"/>
              <w:jc w:val="center"/>
              <w:rPr>
                <w:rFonts w:ascii="Times New Roman" w:hAnsi="Times New Roman"/>
                <w:sz w:val="16"/>
                <w:szCs w:val="16"/>
                <w:lang w:val="en-US"/>
              </w:rPr>
            </w:pPr>
            <w:r w:rsidRPr="0010784C">
              <w:rPr>
                <w:rFonts w:ascii="Times New Roman" w:hAnsi="Times New Roman"/>
                <w:sz w:val="16"/>
                <w:szCs w:val="16"/>
                <w:lang w:val="en-US"/>
              </w:rPr>
              <w:t>Strong</w:t>
            </w:r>
          </w:p>
        </w:tc>
        <w:tc>
          <w:tcPr>
            <w:tcW w:w="283" w:type="dxa"/>
            <w:shd w:val="clear" w:color="auto" w:fill="002060"/>
            <w:vAlign w:val="center"/>
          </w:tcPr>
          <w:p w:rsidR="00C821BE" w:rsidRPr="0010784C" w:rsidRDefault="00C821BE" w:rsidP="00C821BE">
            <w:pPr>
              <w:spacing w:after="0" w:line="240" w:lineRule="auto"/>
              <w:jc w:val="center"/>
              <w:rPr>
                <w:rFonts w:ascii="Times New Roman" w:hAnsi="Times New Roman"/>
                <w:b/>
                <w:sz w:val="16"/>
                <w:szCs w:val="16"/>
                <w:lang w:val="en-US"/>
              </w:rPr>
            </w:pPr>
            <w:r w:rsidRPr="0010784C">
              <w:rPr>
                <w:rFonts w:ascii="Times New Roman" w:hAnsi="Times New Roman"/>
                <w:b/>
                <w:sz w:val="16"/>
                <w:szCs w:val="16"/>
                <w:lang w:val="en-US"/>
              </w:rPr>
              <w:t>5</w:t>
            </w:r>
          </w:p>
        </w:tc>
        <w:tc>
          <w:tcPr>
            <w:tcW w:w="992" w:type="dxa"/>
            <w:vAlign w:val="center"/>
          </w:tcPr>
          <w:p w:rsidR="00C821BE" w:rsidRPr="0010784C" w:rsidRDefault="00C821BE" w:rsidP="00C821BE">
            <w:pPr>
              <w:spacing w:after="0" w:line="240" w:lineRule="auto"/>
              <w:jc w:val="center"/>
              <w:rPr>
                <w:rFonts w:ascii="Times New Roman" w:hAnsi="Times New Roman"/>
                <w:sz w:val="16"/>
                <w:szCs w:val="16"/>
                <w:lang w:val="en-US"/>
              </w:rPr>
            </w:pPr>
            <w:r w:rsidRPr="0010784C">
              <w:rPr>
                <w:rFonts w:ascii="Times New Roman" w:hAnsi="Times New Roman"/>
                <w:sz w:val="16"/>
                <w:szCs w:val="16"/>
                <w:lang w:val="en-US"/>
              </w:rPr>
              <w:t>Local</w:t>
            </w:r>
          </w:p>
        </w:tc>
        <w:tc>
          <w:tcPr>
            <w:tcW w:w="284" w:type="dxa"/>
            <w:shd w:val="clear" w:color="auto" w:fill="002060"/>
            <w:vAlign w:val="center"/>
          </w:tcPr>
          <w:p w:rsidR="00C821BE" w:rsidRPr="0010784C" w:rsidRDefault="00C821BE" w:rsidP="00C821BE">
            <w:pPr>
              <w:spacing w:after="0" w:line="240" w:lineRule="auto"/>
              <w:jc w:val="center"/>
              <w:rPr>
                <w:rFonts w:ascii="Times New Roman" w:hAnsi="Times New Roman"/>
                <w:b/>
                <w:sz w:val="16"/>
                <w:szCs w:val="16"/>
                <w:lang w:val="en-US"/>
              </w:rPr>
            </w:pPr>
            <w:r w:rsidRPr="0010784C">
              <w:rPr>
                <w:rFonts w:ascii="Times New Roman" w:hAnsi="Times New Roman"/>
                <w:b/>
                <w:sz w:val="16"/>
                <w:szCs w:val="16"/>
                <w:lang w:val="en-US"/>
              </w:rPr>
              <w:t>3</w:t>
            </w:r>
          </w:p>
        </w:tc>
        <w:tc>
          <w:tcPr>
            <w:tcW w:w="850" w:type="dxa"/>
            <w:vAlign w:val="center"/>
          </w:tcPr>
          <w:p w:rsidR="00C821BE" w:rsidRPr="0010784C" w:rsidRDefault="00C821BE" w:rsidP="00C821BE">
            <w:pPr>
              <w:spacing w:after="0" w:line="240" w:lineRule="auto"/>
              <w:jc w:val="center"/>
              <w:rPr>
                <w:rFonts w:ascii="Times New Roman" w:hAnsi="Times New Roman"/>
                <w:sz w:val="16"/>
                <w:szCs w:val="16"/>
                <w:lang w:val="en-US"/>
              </w:rPr>
            </w:pPr>
            <w:r w:rsidRPr="0010784C">
              <w:rPr>
                <w:rFonts w:ascii="Times New Roman" w:hAnsi="Times New Roman"/>
                <w:sz w:val="16"/>
                <w:szCs w:val="16"/>
                <w:lang w:val="en-US"/>
              </w:rPr>
              <w:t>Short</w:t>
            </w:r>
          </w:p>
        </w:tc>
        <w:tc>
          <w:tcPr>
            <w:tcW w:w="284" w:type="dxa"/>
            <w:shd w:val="clear" w:color="auto" w:fill="002060"/>
            <w:vAlign w:val="center"/>
          </w:tcPr>
          <w:p w:rsidR="00C821BE" w:rsidRPr="0010784C" w:rsidRDefault="00C821BE" w:rsidP="00C821BE">
            <w:pPr>
              <w:spacing w:after="0" w:line="240" w:lineRule="auto"/>
              <w:jc w:val="center"/>
              <w:rPr>
                <w:rFonts w:ascii="Times New Roman" w:hAnsi="Times New Roman"/>
                <w:b/>
                <w:sz w:val="16"/>
                <w:szCs w:val="16"/>
                <w:lang w:val="en-US"/>
              </w:rPr>
            </w:pPr>
            <w:r w:rsidRPr="0010784C">
              <w:rPr>
                <w:rFonts w:ascii="Times New Roman" w:hAnsi="Times New Roman"/>
                <w:b/>
                <w:sz w:val="16"/>
                <w:szCs w:val="16"/>
                <w:lang w:val="en-US"/>
              </w:rPr>
              <w:t>1</w:t>
            </w:r>
          </w:p>
        </w:tc>
        <w:tc>
          <w:tcPr>
            <w:tcW w:w="850" w:type="dxa"/>
            <w:shd w:val="clear" w:color="auto" w:fill="92D050"/>
            <w:vAlign w:val="center"/>
          </w:tcPr>
          <w:p w:rsidR="00C821BE" w:rsidRPr="0010784C" w:rsidRDefault="00C821BE" w:rsidP="00C821BE">
            <w:pPr>
              <w:spacing w:after="0" w:line="240" w:lineRule="auto"/>
              <w:jc w:val="center"/>
              <w:rPr>
                <w:rFonts w:ascii="Times New Roman" w:hAnsi="Times New Roman"/>
                <w:b/>
                <w:sz w:val="16"/>
                <w:szCs w:val="16"/>
                <w:lang w:val="en-US"/>
              </w:rPr>
            </w:pPr>
            <w:r w:rsidRPr="0010784C">
              <w:rPr>
                <w:rFonts w:ascii="Times New Roman" w:hAnsi="Times New Roman"/>
                <w:b/>
                <w:sz w:val="16"/>
                <w:szCs w:val="16"/>
                <w:lang w:val="en-US"/>
              </w:rPr>
              <w:t>Minor</w:t>
            </w:r>
          </w:p>
        </w:tc>
        <w:tc>
          <w:tcPr>
            <w:tcW w:w="586" w:type="dxa"/>
            <w:shd w:val="clear" w:color="auto" w:fill="92D050"/>
            <w:vAlign w:val="center"/>
          </w:tcPr>
          <w:p w:rsidR="00C821BE" w:rsidRPr="0010784C" w:rsidRDefault="00C821BE" w:rsidP="00C821BE">
            <w:pPr>
              <w:spacing w:after="0" w:line="240" w:lineRule="auto"/>
              <w:jc w:val="center"/>
              <w:rPr>
                <w:rFonts w:ascii="Times New Roman" w:hAnsi="Times New Roman"/>
                <w:b/>
                <w:sz w:val="16"/>
                <w:szCs w:val="16"/>
                <w:lang w:val="en-US"/>
              </w:rPr>
            </w:pPr>
            <w:r w:rsidRPr="0010784C">
              <w:rPr>
                <w:rFonts w:ascii="Times New Roman" w:hAnsi="Times New Roman"/>
                <w:b/>
                <w:sz w:val="16"/>
                <w:szCs w:val="16"/>
                <w:lang w:val="en-US"/>
              </w:rPr>
              <w:t>15</w:t>
            </w:r>
          </w:p>
        </w:tc>
      </w:tr>
      <w:tr w:rsidR="00C821BE" w:rsidRPr="0010784C" w:rsidTr="00C821BE">
        <w:trPr>
          <w:jc w:val="center"/>
        </w:trPr>
        <w:tc>
          <w:tcPr>
            <w:tcW w:w="988" w:type="dxa"/>
            <w:vMerge/>
            <w:shd w:val="clear" w:color="auto" w:fill="BDD6EE"/>
            <w:vAlign w:val="center"/>
          </w:tcPr>
          <w:p w:rsidR="00C821BE" w:rsidRPr="0010784C" w:rsidRDefault="00C821BE" w:rsidP="00C821BE">
            <w:pPr>
              <w:spacing w:after="0" w:line="240" w:lineRule="auto"/>
              <w:jc w:val="center"/>
              <w:rPr>
                <w:rFonts w:ascii="Times New Roman" w:hAnsi="Times New Roman"/>
                <w:sz w:val="16"/>
                <w:szCs w:val="16"/>
                <w:lang w:val="en-US"/>
              </w:rPr>
            </w:pPr>
          </w:p>
        </w:tc>
        <w:tc>
          <w:tcPr>
            <w:tcW w:w="850" w:type="dxa"/>
            <w:vMerge/>
            <w:vAlign w:val="center"/>
          </w:tcPr>
          <w:p w:rsidR="00C821BE" w:rsidRPr="0010784C" w:rsidRDefault="00C821BE" w:rsidP="00C821BE">
            <w:pPr>
              <w:spacing w:after="0" w:line="240" w:lineRule="auto"/>
              <w:jc w:val="center"/>
              <w:rPr>
                <w:rFonts w:ascii="Times New Roman" w:hAnsi="Times New Roman"/>
                <w:b/>
                <w:sz w:val="16"/>
                <w:szCs w:val="16"/>
                <w:lang w:val="en-US"/>
              </w:rPr>
            </w:pPr>
          </w:p>
        </w:tc>
        <w:tc>
          <w:tcPr>
            <w:tcW w:w="4536" w:type="dxa"/>
            <w:gridSpan w:val="3"/>
            <w:vAlign w:val="center"/>
          </w:tcPr>
          <w:p w:rsidR="00C821BE" w:rsidRPr="0010784C" w:rsidRDefault="00C821BE" w:rsidP="00C821BE">
            <w:pPr>
              <w:spacing w:after="0" w:line="240" w:lineRule="auto"/>
              <w:jc w:val="both"/>
              <w:rPr>
                <w:rFonts w:ascii="Times New Roman" w:hAnsi="Times New Roman"/>
                <w:sz w:val="16"/>
                <w:szCs w:val="16"/>
                <w:lang w:val="en-US"/>
              </w:rPr>
            </w:pPr>
            <w:r w:rsidRPr="0010784C">
              <w:rPr>
                <w:rFonts w:ascii="Times New Roman" w:hAnsi="Times New Roman"/>
                <w:sz w:val="16"/>
                <w:szCs w:val="16"/>
                <w:lang w:val="en-US"/>
              </w:rPr>
              <w:t>Risk of obstructing the movement of passers-by and motorists</w:t>
            </w:r>
          </w:p>
        </w:tc>
        <w:tc>
          <w:tcPr>
            <w:tcW w:w="851" w:type="dxa"/>
            <w:vAlign w:val="center"/>
          </w:tcPr>
          <w:p w:rsidR="00C821BE" w:rsidRPr="0010784C" w:rsidRDefault="00C821BE" w:rsidP="00C821BE">
            <w:pPr>
              <w:spacing w:after="0" w:line="240" w:lineRule="auto"/>
              <w:jc w:val="center"/>
              <w:rPr>
                <w:rFonts w:ascii="Times New Roman" w:hAnsi="Times New Roman"/>
                <w:sz w:val="16"/>
                <w:szCs w:val="16"/>
                <w:lang w:val="en-US"/>
              </w:rPr>
            </w:pPr>
            <w:r w:rsidRPr="0010784C">
              <w:rPr>
                <w:rFonts w:ascii="Times New Roman" w:hAnsi="Times New Roman"/>
                <w:sz w:val="16"/>
                <w:szCs w:val="16"/>
                <w:lang w:val="en-US"/>
              </w:rPr>
              <w:t>Strong</w:t>
            </w:r>
          </w:p>
        </w:tc>
        <w:tc>
          <w:tcPr>
            <w:tcW w:w="283" w:type="dxa"/>
            <w:shd w:val="clear" w:color="auto" w:fill="002060"/>
            <w:vAlign w:val="center"/>
          </w:tcPr>
          <w:p w:rsidR="00C821BE" w:rsidRPr="0010784C" w:rsidRDefault="00C821BE" w:rsidP="00C821BE">
            <w:pPr>
              <w:spacing w:after="0" w:line="240" w:lineRule="auto"/>
              <w:jc w:val="center"/>
              <w:rPr>
                <w:rFonts w:ascii="Times New Roman" w:hAnsi="Times New Roman"/>
                <w:b/>
                <w:sz w:val="16"/>
                <w:szCs w:val="16"/>
                <w:lang w:val="en-US"/>
              </w:rPr>
            </w:pPr>
            <w:r w:rsidRPr="0010784C">
              <w:rPr>
                <w:rFonts w:ascii="Times New Roman" w:hAnsi="Times New Roman"/>
                <w:b/>
                <w:sz w:val="16"/>
                <w:szCs w:val="16"/>
                <w:lang w:val="en-US"/>
              </w:rPr>
              <w:t>5</w:t>
            </w:r>
          </w:p>
        </w:tc>
        <w:tc>
          <w:tcPr>
            <w:tcW w:w="992" w:type="dxa"/>
            <w:vAlign w:val="center"/>
          </w:tcPr>
          <w:p w:rsidR="00C821BE" w:rsidRPr="0010784C" w:rsidRDefault="00C821BE" w:rsidP="00C821BE">
            <w:pPr>
              <w:spacing w:after="0" w:line="240" w:lineRule="auto"/>
              <w:jc w:val="center"/>
              <w:rPr>
                <w:rFonts w:ascii="Times New Roman" w:hAnsi="Times New Roman"/>
                <w:sz w:val="16"/>
                <w:szCs w:val="16"/>
                <w:lang w:val="en-US"/>
              </w:rPr>
            </w:pPr>
            <w:r w:rsidRPr="0010784C">
              <w:rPr>
                <w:rFonts w:ascii="Times New Roman" w:hAnsi="Times New Roman"/>
                <w:sz w:val="16"/>
                <w:szCs w:val="16"/>
                <w:lang w:val="en-US"/>
              </w:rPr>
              <w:t>Local</w:t>
            </w:r>
          </w:p>
        </w:tc>
        <w:tc>
          <w:tcPr>
            <w:tcW w:w="284" w:type="dxa"/>
            <w:shd w:val="clear" w:color="auto" w:fill="002060"/>
            <w:vAlign w:val="center"/>
          </w:tcPr>
          <w:p w:rsidR="00C821BE" w:rsidRPr="0010784C" w:rsidRDefault="00C821BE" w:rsidP="00C821BE">
            <w:pPr>
              <w:spacing w:after="0" w:line="240" w:lineRule="auto"/>
              <w:jc w:val="center"/>
              <w:rPr>
                <w:rFonts w:ascii="Times New Roman" w:hAnsi="Times New Roman"/>
                <w:b/>
                <w:sz w:val="16"/>
                <w:szCs w:val="16"/>
                <w:lang w:val="en-US"/>
              </w:rPr>
            </w:pPr>
            <w:r w:rsidRPr="0010784C">
              <w:rPr>
                <w:rFonts w:ascii="Times New Roman" w:hAnsi="Times New Roman"/>
                <w:b/>
                <w:sz w:val="16"/>
                <w:szCs w:val="16"/>
                <w:lang w:val="en-US"/>
              </w:rPr>
              <w:t>3</w:t>
            </w:r>
          </w:p>
        </w:tc>
        <w:tc>
          <w:tcPr>
            <w:tcW w:w="850" w:type="dxa"/>
            <w:vAlign w:val="center"/>
          </w:tcPr>
          <w:p w:rsidR="00C821BE" w:rsidRPr="0010784C" w:rsidRDefault="00C821BE" w:rsidP="00C821BE">
            <w:pPr>
              <w:spacing w:after="0" w:line="240" w:lineRule="auto"/>
              <w:jc w:val="center"/>
              <w:rPr>
                <w:rFonts w:ascii="Times New Roman" w:hAnsi="Times New Roman"/>
                <w:sz w:val="16"/>
                <w:szCs w:val="16"/>
                <w:lang w:val="en-US"/>
              </w:rPr>
            </w:pPr>
            <w:r w:rsidRPr="0010784C">
              <w:rPr>
                <w:rFonts w:ascii="Times New Roman" w:hAnsi="Times New Roman"/>
                <w:sz w:val="16"/>
                <w:szCs w:val="16"/>
                <w:lang w:val="en-US"/>
              </w:rPr>
              <w:t>Short</w:t>
            </w:r>
          </w:p>
        </w:tc>
        <w:tc>
          <w:tcPr>
            <w:tcW w:w="284" w:type="dxa"/>
            <w:shd w:val="clear" w:color="auto" w:fill="002060"/>
            <w:vAlign w:val="center"/>
          </w:tcPr>
          <w:p w:rsidR="00C821BE" w:rsidRPr="0010784C" w:rsidRDefault="00C821BE" w:rsidP="00C821BE">
            <w:pPr>
              <w:spacing w:after="0" w:line="240" w:lineRule="auto"/>
              <w:jc w:val="center"/>
              <w:rPr>
                <w:rFonts w:ascii="Times New Roman" w:hAnsi="Times New Roman"/>
                <w:b/>
                <w:sz w:val="16"/>
                <w:szCs w:val="16"/>
                <w:lang w:val="en-US"/>
              </w:rPr>
            </w:pPr>
            <w:r w:rsidRPr="0010784C">
              <w:rPr>
                <w:rFonts w:ascii="Times New Roman" w:hAnsi="Times New Roman"/>
                <w:b/>
                <w:sz w:val="16"/>
                <w:szCs w:val="16"/>
                <w:lang w:val="en-US"/>
              </w:rPr>
              <w:t>1</w:t>
            </w:r>
          </w:p>
        </w:tc>
        <w:tc>
          <w:tcPr>
            <w:tcW w:w="850" w:type="dxa"/>
            <w:shd w:val="clear" w:color="auto" w:fill="92D050"/>
            <w:vAlign w:val="center"/>
          </w:tcPr>
          <w:p w:rsidR="00C821BE" w:rsidRPr="0010784C" w:rsidRDefault="00C821BE" w:rsidP="00C821BE">
            <w:pPr>
              <w:spacing w:after="0" w:line="240" w:lineRule="auto"/>
              <w:jc w:val="center"/>
              <w:rPr>
                <w:rFonts w:ascii="Times New Roman" w:hAnsi="Times New Roman"/>
                <w:b/>
                <w:sz w:val="16"/>
                <w:szCs w:val="16"/>
                <w:lang w:val="en-US"/>
              </w:rPr>
            </w:pPr>
            <w:r w:rsidRPr="0010784C">
              <w:rPr>
                <w:rFonts w:ascii="Times New Roman" w:hAnsi="Times New Roman"/>
                <w:b/>
                <w:sz w:val="16"/>
                <w:szCs w:val="16"/>
                <w:lang w:val="en-US"/>
              </w:rPr>
              <w:t>Minor</w:t>
            </w:r>
          </w:p>
        </w:tc>
        <w:tc>
          <w:tcPr>
            <w:tcW w:w="586" w:type="dxa"/>
            <w:shd w:val="clear" w:color="auto" w:fill="92D050"/>
            <w:vAlign w:val="center"/>
          </w:tcPr>
          <w:p w:rsidR="00C821BE" w:rsidRPr="0010784C" w:rsidRDefault="00C821BE" w:rsidP="00C821BE">
            <w:pPr>
              <w:spacing w:after="0" w:line="240" w:lineRule="auto"/>
              <w:jc w:val="center"/>
              <w:rPr>
                <w:rFonts w:ascii="Times New Roman" w:hAnsi="Times New Roman"/>
                <w:b/>
                <w:sz w:val="16"/>
                <w:szCs w:val="16"/>
                <w:lang w:val="en-US"/>
              </w:rPr>
            </w:pPr>
            <w:r w:rsidRPr="0010784C">
              <w:rPr>
                <w:rFonts w:ascii="Times New Roman" w:hAnsi="Times New Roman"/>
                <w:b/>
                <w:sz w:val="16"/>
                <w:szCs w:val="16"/>
                <w:lang w:val="en-US"/>
              </w:rPr>
              <w:t>15</w:t>
            </w:r>
          </w:p>
        </w:tc>
      </w:tr>
      <w:tr w:rsidR="00C821BE" w:rsidRPr="0010784C" w:rsidTr="00C821BE">
        <w:trPr>
          <w:jc w:val="center"/>
        </w:trPr>
        <w:tc>
          <w:tcPr>
            <w:tcW w:w="988" w:type="dxa"/>
            <w:vMerge/>
            <w:shd w:val="clear" w:color="auto" w:fill="BDD6EE"/>
            <w:vAlign w:val="center"/>
          </w:tcPr>
          <w:p w:rsidR="00C821BE" w:rsidRPr="0010784C" w:rsidRDefault="00C821BE" w:rsidP="00C821BE">
            <w:pPr>
              <w:spacing w:after="0" w:line="240" w:lineRule="auto"/>
              <w:jc w:val="center"/>
              <w:rPr>
                <w:rFonts w:ascii="Times New Roman" w:hAnsi="Times New Roman"/>
                <w:sz w:val="16"/>
                <w:szCs w:val="16"/>
                <w:lang w:val="en-US"/>
              </w:rPr>
            </w:pPr>
          </w:p>
        </w:tc>
        <w:tc>
          <w:tcPr>
            <w:tcW w:w="850" w:type="dxa"/>
            <w:vMerge/>
            <w:vAlign w:val="center"/>
          </w:tcPr>
          <w:p w:rsidR="00C821BE" w:rsidRPr="0010784C" w:rsidRDefault="00C821BE" w:rsidP="00C821BE">
            <w:pPr>
              <w:spacing w:after="0" w:line="240" w:lineRule="auto"/>
              <w:jc w:val="center"/>
              <w:rPr>
                <w:rFonts w:ascii="Times New Roman" w:hAnsi="Times New Roman"/>
                <w:b/>
                <w:sz w:val="16"/>
                <w:szCs w:val="16"/>
                <w:lang w:val="en-US"/>
              </w:rPr>
            </w:pPr>
          </w:p>
        </w:tc>
        <w:tc>
          <w:tcPr>
            <w:tcW w:w="4536" w:type="dxa"/>
            <w:gridSpan w:val="3"/>
            <w:vAlign w:val="center"/>
          </w:tcPr>
          <w:p w:rsidR="00C821BE" w:rsidRPr="0010784C" w:rsidRDefault="00C821BE" w:rsidP="00C821BE">
            <w:pPr>
              <w:spacing w:after="0" w:line="240" w:lineRule="auto"/>
              <w:jc w:val="both"/>
              <w:rPr>
                <w:rFonts w:ascii="Times New Roman" w:hAnsi="Times New Roman"/>
                <w:sz w:val="16"/>
                <w:szCs w:val="16"/>
                <w:lang w:val="en-US"/>
              </w:rPr>
            </w:pPr>
            <w:r w:rsidRPr="0010784C">
              <w:rPr>
                <w:rFonts w:ascii="Times New Roman" w:hAnsi="Times New Roman"/>
                <w:sz w:val="16"/>
                <w:szCs w:val="16"/>
                <w:lang w:val="en-US"/>
              </w:rPr>
              <w:t>Risks of spreading sexually transmitted diseases such as HIV / AIDS</w:t>
            </w:r>
          </w:p>
        </w:tc>
        <w:tc>
          <w:tcPr>
            <w:tcW w:w="851" w:type="dxa"/>
            <w:vAlign w:val="center"/>
          </w:tcPr>
          <w:p w:rsidR="00C821BE" w:rsidRPr="0010784C" w:rsidRDefault="00C821BE" w:rsidP="00C821BE">
            <w:pPr>
              <w:spacing w:after="0" w:line="240" w:lineRule="auto"/>
              <w:jc w:val="center"/>
              <w:rPr>
                <w:rFonts w:ascii="Times New Roman" w:hAnsi="Times New Roman"/>
                <w:sz w:val="16"/>
                <w:szCs w:val="16"/>
                <w:lang w:val="en-US"/>
              </w:rPr>
            </w:pPr>
            <w:r w:rsidRPr="0010784C">
              <w:rPr>
                <w:rFonts w:ascii="Times New Roman" w:hAnsi="Times New Roman"/>
                <w:sz w:val="16"/>
                <w:szCs w:val="16"/>
                <w:lang w:val="en-US"/>
              </w:rPr>
              <w:t>Strong</w:t>
            </w:r>
          </w:p>
        </w:tc>
        <w:tc>
          <w:tcPr>
            <w:tcW w:w="283" w:type="dxa"/>
            <w:shd w:val="clear" w:color="auto" w:fill="002060"/>
            <w:vAlign w:val="center"/>
          </w:tcPr>
          <w:p w:rsidR="00C821BE" w:rsidRPr="0010784C" w:rsidRDefault="00C821BE" w:rsidP="00C821BE">
            <w:pPr>
              <w:spacing w:after="0" w:line="240" w:lineRule="auto"/>
              <w:jc w:val="center"/>
              <w:rPr>
                <w:rFonts w:ascii="Times New Roman" w:hAnsi="Times New Roman"/>
                <w:b/>
                <w:sz w:val="16"/>
                <w:szCs w:val="16"/>
                <w:lang w:val="en-US"/>
              </w:rPr>
            </w:pPr>
            <w:r w:rsidRPr="0010784C">
              <w:rPr>
                <w:rFonts w:ascii="Times New Roman" w:hAnsi="Times New Roman"/>
                <w:b/>
                <w:sz w:val="16"/>
                <w:szCs w:val="16"/>
                <w:lang w:val="en-US"/>
              </w:rPr>
              <w:t>5</w:t>
            </w:r>
          </w:p>
        </w:tc>
        <w:tc>
          <w:tcPr>
            <w:tcW w:w="992" w:type="dxa"/>
            <w:vAlign w:val="center"/>
          </w:tcPr>
          <w:p w:rsidR="00C821BE" w:rsidRPr="0010784C" w:rsidRDefault="00C821BE" w:rsidP="00C821BE">
            <w:pPr>
              <w:spacing w:after="0" w:line="240" w:lineRule="auto"/>
              <w:jc w:val="center"/>
              <w:rPr>
                <w:rFonts w:ascii="Times New Roman" w:hAnsi="Times New Roman"/>
                <w:sz w:val="16"/>
                <w:szCs w:val="16"/>
                <w:lang w:val="en-US"/>
              </w:rPr>
            </w:pPr>
            <w:r w:rsidRPr="0010784C">
              <w:rPr>
                <w:rFonts w:ascii="Times New Roman" w:hAnsi="Times New Roman"/>
                <w:sz w:val="16"/>
                <w:szCs w:val="16"/>
                <w:lang w:val="en-US"/>
              </w:rPr>
              <w:t>Regional</w:t>
            </w:r>
          </w:p>
        </w:tc>
        <w:tc>
          <w:tcPr>
            <w:tcW w:w="284" w:type="dxa"/>
            <w:shd w:val="clear" w:color="auto" w:fill="002060"/>
            <w:vAlign w:val="center"/>
          </w:tcPr>
          <w:p w:rsidR="00C821BE" w:rsidRPr="0010784C" w:rsidRDefault="00C821BE" w:rsidP="00C821BE">
            <w:pPr>
              <w:spacing w:after="0" w:line="240" w:lineRule="auto"/>
              <w:jc w:val="center"/>
              <w:rPr>
                <w:rFonts w:ascii="Times New Roman" w:hAnsi="Times New Roman"/>
                <w:b/>
                <w:sz w:val="16"/>
                <w:szCs w:val="16"/>
                <w:lang w:val="en-US"/>
              </w:rPr>
            </w:pPr>
            <w:r w:rsidRPr="0010784C">
              <w:rPr>
                <w:rFonts w:ascii="Times New Roman" w:hAnsi="Times New Roman"/>
                <w:b/>
                <w:sz w:val="16"/>
                <w:szCs w:val="16"/>
                <w:lang w:val="en-US"/>
              </w:rPr>
              <w:t>5</w:t>
            </w:r>
          </w:p>
        </w:tc>
        <w:tc>
          <w:tcPr>
            <w:tcW w:w="850" w:type="dxa"/>
            <w:vAlign w:val="center"/>
          </w:tcPr>
          <w:p w:rsidR="00C821BE" w:rsidRPr="0010784C" w:rsidRDefault="00C821BE" w:rsidP="00C821BE">
            <w:pPr>
              <w:spacing w:after="0" w:line="240" w:lineRule="auto"/>
              <w:jc w:val="center"/>
              <w:rPr>
                <w:rFonts w:ascii="Times New Roman" w:hAnsi="Times New Roman"/>
                <w:sz w:val="16"/>
                <w:szCs w:val="16"/>
                <w:lang w:val="en-US"/>
              </w:rPr>
            </w:pPr>
            <w:r w:rsidRPr="0010784C">
              <w:rPr>
                <w:rFonts w:ascii="Times New Roman" w:hAnsi="Times New Roman"/>
                <w:sz w:val="16"/>
                <w:szCs w:val="16"/>
                <w:lang w:val="en-US"/>
              </w:rPr>
              <w:t>Short</w:t>
            </w:r>
          </w:p>
        </w:tc>
        <w:tc>
          <w:tcPr>
            <w:tcW w:w="284" w:type="dxa"/>
            <w:shd w:val="clear" w:color="auto" w:fill="002060"/>
            <w:vAlign w:val="center"/>
          </w:tcPr>
          <w:p w:rsidR="00C821BE" w:rsidRPr="0010784C" w:rsidRDefault="00C821BE" w:rsidP="00C821BE">
            <w:pPr>
              <w:spacing w:after="0" w:line="240" w:lineRule="auto"/>
              <w:jc w:val="center"/>
              <w:rPr>
                <w:rFonts w:ascii="Times New Roman" w:hAnsi="Times New Roman"/>
                <w:b/>
                <w:sz w:val="16"/>
                <w:szCs w:val="16"/>
                <w:lang w:val="en-US"/>
              </w:rPr>
            </w:pPr>
            <w:r w:rsidRPr="0010784C">
              <w:rPr>
                <w:rFonts w:ascii="Times New Roman" w:hAnsi="Times New Roman"/>
                <w:b/>
                <w:sz w:val="16"/>
                <w:szCs w:val="16"/>
                <w:lang w:val="en-US"/>
              </w:rPr>
              <w:t>1</w:t>
            </w:r>
          </w:p>
        </w:tc>
        <w:tc>
          <w:tcPr>
            <w:tcW w:w="850" w:type="dxa"/>
            <w:shd w:val="clear" w:color="auto" w:fill="FFFF00"/>
            <w:vAlign w:val="center"/>
          </w:tcPr>
          <w:p w:rsidR="00C821BE" w:rsidRPr="0010784C" w:rsidRDefault="00C821BE" w:rsidP="00C821BE">
            <w:pPr>
              <w:spacing w:after="0" w:line="240" w:lineRule="auto"/>
              <w:jc w:val="center"/>
              <w:rPr>
                <w:rFonts w:ascii="Times New Roman" w:hAnsi="Times New Roman"/>
                <w:b/>
                <w:sz w:val="16"/>
                <w:szCs w:val="16"/>
                <w:lang w:val="en-US"/>
              </w:rPr>
            </w:pPr>
            <w:r w:rsidRPr="0010784C">
              <w:rPr>
                <w:rFonts w:ascii="Times New Roman" w:hAnsi="Times New Roman"/>
                <w:b/>
                <w:sz w:val="16"/>
                <w:szCs w:val="16"/>
                <w:lang w:val="en-US"/>
              </w:rPr>
              <w:t>Average</w:t>
            </w:r>
          </w:p>
        </w:tc>
        <w:tc>
          <w:tcPr>
            <w:tcW w:w="586" w:type="dxa"/>
            <w:shd w:val="clear" w:color="auto" w:fill="FFFF00"/>
            <w:vAlign w:val="center"/>
          </w:tcPr>
          <w:p w:rsidR="00C821BE" w:rsidRPr="0010784C" w:rsidRDefault="00C821BE" w:rsidP="00C821BE">
            <w:pPr>
              <w:spacing w:after="0" w:line="240" w:lineRule="auto"/>
              <w:jc w:val="center"/>
              <w:rPr>
                <w:rFonts w:ascii="Times New Roman" w:hAnsi="Times New Roman"/>
                <w:b/>
                <w:sz w:val="16"/>
                <w:szCs w:val="16"/>
                <w:lang w:val="en-US"/>
              </w:rPr>
            </w:pPr>
            <w:r w:rsidRPr="0010784C">
              <w:rPr>
                <w:rFonts w:ascii="Times New Roman" w:hAnsi="Times New Roman"/>
                <w:b/>
                <w:sz w:val="16"/>
                <w:szCs w:val="16"/>
                <w:lang w:val="en-US"/>
              </w:rPr>
              <w:t>25</w:t>
            </w:r>
          </w:p>
        </w:tc>
      </w:tr>
      <w:tr w:rsidR="00C821BE" w:rsidRPr="0010784C" w:rsidTr="00C821BE">
        <w:trPr>
          <w:jc w:val="center"/>
        </w:trPr>
        <w:tc>
          <w:tcPr>
            <w:tcW w:w="988" w:type="dxa"/>
            <w:vMerge/>
            <w:shd w:val="clear" w:color="auto" w:fill="BDD6EE"/>
            <w:vAlign w:val="center"/>
          </w:tcPr>
          <w:p w:rsidR="00C821BE" w:rsidRPr="0010784C" w:rsidRDefault="00C821BE" w:rsidP="00C821BE">
            <w:pPr>
              <w:spacing w:after="0" w:line="240" w:lineRule="auto"/>
              <w:jc w:val="center"/>
              <w:rPr>
                <w:rFonts w:ascii="Times New Roman" w:hAnsi="Times New Roman"/>
                <w:sz w:val="16"/>
                <w:szCs w:val="16"/>
                <w:lang w:val="en-US"/>
              </w:rPr>
            </w:pPr>
          </w:p>
        </w:tc>
        <w:tc>
          <w:tcPr>
            <w:tcW w:w="850" w:type="dxa"/>
            <w:vMerge/>
            <w:vAlign w:val="center"/>
          </w:tcPr>
          <w:p w:rsidR="00C821BE" w:rsidRPr="0010784C" w:rsidRDefault="00C821BE" w:rsidP="00C821BE">
            <w:pPr>
              <w:spacing w:after="0" w:line="240" w:lineRule="auto"/>
              <w:jc w:val="center"/>
              <w:rPr>
                <w:rFonts w:ascii="Times New Roman" w:hAnsi="Times New Roman"/>
                <w:b/>
                <w:sz w:val="16"/>
                <w:szCs w:val="16"/>
                <w:lang w:val="en-US"/>
              </w:rPr>
            </w:pPr>
          </w:p>
        </w:tc>
        <w:tc>
          <w:tcPr>
            <w:tcW w:w="4536" w:type="dxa"/>
            <w:gridSpan w:val="3"/>
            <w:vAlign w:val="center"/>
          </w:tcPr>
          <w:p w:rsidR="00C821BE" w:rsidRPr="0010784C" w:rsidRDefault="00C821BE" w:rsidP="00C821BE">
            <w:pPr>
              <w:spacing w:after="0" w:line="240" w:lineRule="auto"/>
              <w:jc w:val="both"/>
              <w:rPr>
                <w:rFonts w:ascii="Times New Roman" w:hAnsi="Times New Roman"/>
                <w:sz w:val="16"/>
                <w:szCs w:val="16"/>
                <w:lang w:val="en-US"/>
              </w:rPr>
            </w:pPr>
            <w:r w:rsidRPr="0010784C">
              <w:rPr>
                <w:rFonts w:ascii="Times New Roman" w:hAnsi="Times New Roman"/>
                <w:sz w:val="16"/>
                <w:szCs w:val="16"/>
                <w:lang w:val="en-US"/>
              </w:rPr>
              <w:t>Risk of accident linked to construction machinery / instruments and the presence of poorly protected or misused construction materials.</w:t>
            </w:r>
          </w:p>
          <w:p w:rsidR="00C821BE" w:rsidRPr="0010784C" w:rsidRDefault="00C821BE" w:rsidP="00C821BE">
            <w:pPr>
              <w:spacing w:after="0" w:line="240" w:lineRule="auto"/>
              <w:jc w:val="both"/>
              <w:rPr>
                <w:rFonts w:ascii="Times New Roman" w:hAnsi="Times New Roman"/>
                <w:sz w:val="16"/>
                <w:szCs w:val="16"/>
                <w:lang w:val="en-US"/>
              </w:rPr>
            </w:pPr>
            <w:r w:rsidRPr="0010784C">
              <w:rPr>
                <w:rFonts w:ascii="Times New Roman" w:hAnsi="Times New Roman"/>
                <w:sz w:val="16"/>
                <w:szCs w:val="16"/>
                <w:lang w:val="en-US"/>
              </w:rPr>
              <w:t>Risk of injury due to manual and mechanical handling</w:t>
            </w:r>
          </w:p>
        </w:tc>
        <w:tc>
          <w:tcPr>
            <w:tcW w:w="851" w:type="dxa"/>
            <w:vAlign w:val="center"/>
          </w:tcPr>
          <w:p w:rsidR="00C821BE" w:rsidRPr="0010784C" w:rsidRDefault="00C821BE" w:rsidP="00C821BE">
            <w:pPr>
              <w:spacing w:after="0" w:line="240" w:lineRule="auto"/>
              <w:jc w:val="center"/>
              <w:rPr>
                <w:rFonts w:ascii="Times New Roman" w:hAnsi="Times New Roman"/>
                <w:sz w:val="16"/>
                <w:szCs w:val="16"/>
                <w:lang w:val="en-US"/>
              </w:rPr>
            </w:pPr>
            <w:r w:rsidRPr="0010784C">
              <w:rPr>
                <w:rFonts w:ascii="Times New Roman" w:hAnsi="Times New Roman"/>
                <w:sz w:val="16"/>
                <w:szCs w:val="16"/>
                <w:lang w:val="en-US"/>
              </w:rPr>
              <w:t>Strong</w:t>
            </w:r>
          </w:p>
        </w:tc>
        <w:tc>
          <w:tcPr>
            <w:tcW w:w="283" w:type="dxa"/>
            <w:shd w:val="clear" w:color="auto" w:fill="002060"/>
            <w:vAlign w:val="center"/>
          </w:tcPr>
          <w:p w:rsidR="00C821BE" w:rsidRPr="0010784C" w:rsidRDefault="00C821BE" w:rsidP="00C821BE">
            <w:pPr>
              <w:spacing w:after="0" w:line="240" w:lineRule="auto"/>
              <w:jc w:val="center"/>
              <w:rPr>
                <w:rFonts w:ascii="Times New Roman" w:hAnsi="Times New Roman"/>
                <w:b/>
                <w:sz w:val="16"/>
                <w:szCs w:val="16"/>
                <w:lang w:val="en-US"/>
              </w:rPr>
            </w:pPr>
            <w:r w:rsidRPr="0010784C">
              <w:rPr>
                <w:rFonts w:ascii="Times New Roman" w:hAnsi="Times New Roman"/>
                <w:b/>
                <w:sz w:val="16"/>
                <w:szCs w:val="16"/>
                <w:lang w:val="en-US"/>
              </w:rPr>
              <w:t>5</w:t>
            </w:r>
          </w:p>
        </w:tc>
        <w:tc>
          <w:tcPr>
            <w:tcW w:w="992" w:type="dxa"/>
            <w:vAlign w:val="center"/>
          </w:tcPr>
          <w:p w:rsidR="00C821BE" w:rsidRPr="0010784C" w:rsidRDefault="00C821BE" w:rsidP="00C821BE">
            <w:pPr>
              <w:spacing w:after="0" w:line="240" w:lineRule="auto"/>
              <w:jc w:val="center"/>
              <w:rPr>
                <w:rFonts w:ascii="Times New Roman" w:hAnsi="Times New Roman"/>
                <w:sz w:val="16"/>
                <w:szCs w:val="16"/>
                <w:lang w:val="en-US"/>
              </w:rPr>
            </w:pPr>
            <w:r w:rsidRPr="0010784C">
              <w:rPr>
                <w:rFonts w:ascii="Times New Roman" w:hAnsi="Times New Roman"/>
                <w:sz w:val="16"/>
                <w:szCs w:val="16"/>
                <w:lang w:val="en-US"/>
              </w:rPr>
              <w:t>Local</w:t>
            </w:r>
          </w:p>
        </w:tc>
        <w:tc>
          <w:tcPr>
            <w:tcW w:w="284" w:type="dxa"/>
            <w:shd w:val="clear" w:color="auto" w:fill="002060"/>
            <w:vAlign w:val="center"/>
          </w:tcPr>
          <w:p w:rsidR="00C821BE" w:rsidRPr="0010784C" w:rsidRDefault="00C821BE" w:rsidP="00C821BE">
            <w:pPr>
              <w:spacing w:after="0" w:line="240" w:lineRule="auto"/>
              <w:jc w:val="center"/>
              <w:rPr>
                <w:rFonts w:ascii="Times New Roman" w:hAnsi="Times New Roman"/>
                <w:b/>
                <w:sz w:val="16"/>
                <w:szCs w:val="16"/>
                <w:lang w:val="en-US"/>
              </w:rPr>
            </w:pPr>
            <w:r w:rsidRPr="0010784C">
              <w:rPr>
                <w:rFonts w:ascii="Times New Roman" w:hAnsi="Times New Roman"/>
                <w:b/>
                <w:sz w:val="16"/>
                <w:szCs w:val="16"/>
                <w:lang w:val="en-US"/>
              </w:rPr>
              <w:t>3</w:t>
            </w:r>
          </w:p>
        </w:tc>
        <w:tc>
          <w:tcPr>
            <w:tcW w:w="850" w:type="dxa"/>
            <w:vAlign w:val="center"/>
          </w:tcPr>
          <w:p w:rsidR="00C821BE" w:rsidRPr="0010784C" w:rsidRDefault="00C821BE" w:rsidP="00C821BE">
            <w:pPr>
              <w:spacing w:after="0" w:line="240" w:lineRule="auto"/>
              <w:jc w:val="center"/>
              <w:rPr>
                <w:rFonts w:ascii="Times New Roman" w:hAnsi="Times New Roman"/>
                <w:sz w:val="16"/>
                <w:szCs w:val="16"/>
                <w:lang w:val="en-US"/>
              </w:rPr>
            </w:pPr>
            <w:r w:rsidRPr="0010784C">
              <w:rPr>
                <w:rFonts w:ascii="Times New Roman" w:hAnsi="Times New Roman"/>
                <w:sz w:val="16"/>
                <w:szCs w:val="16"/>
                <w:lang w:val="en-US"/>
              </w:rPr>
              <w:t>Short</w:t>
            </w:r>
          </w:p>
        </w:tc>
        <w:tc>
          <w:tcPr>
            <w:tcW w:w="284" w:type="dxa"/>
            <w:shd w:val="clear" w:color="auto" w:fill="002060"/>
            <w:vAlign w:val="center"/>
          </w:tcPr>
          <w:p w:rsidR="00C821BE" w:rsidRPr="0010784C" w:rsidRDefault="00C821BE" w:rsidP="00C821BE">
            <w:pPr>
              <w:spacing w:after="0" w:line="240" w:lineRule="auto"/>
              <w:jc w:val="center"/>
              <w:rPr>
                <w:rFonts w:ascii="Times New Roman" w:hAnsi="Times New Roman"/>
                <w:b/>
                <w:sz w:val="16"/>
                <w:szCs w:val="16"/>
                <w:lang w:val="en-US"/>
              </w:rPr>
            </w:pPr>
            <w:r w:rsidRPr="0010784C">
              <w:rPr>
                <w:rFonts w:ascii="Times New Roman" w:hAnsi="Times New Roman"/>
                <w:b/>
                <w:sz w:val="16"/>
                <w:szCs w:val="16"/>
                <w:lang w:val="en-US"/>
              </w:rPr>
              <w:t>1</w:t>
            </w:r>
          </w:p>
        </w:tc>
        <w:tc>
          <w:tcPr>
            <w:tcW w:w="850" w:type="dxa"/>
            <w:shd w:val="clear" w:color="auto" w:fill="92D050"/>
            <w:vAlign w:val="center"/>
          </w:tcPr>
          <w:p w:rsidR="00C821BE" w:rsidRPr="0010784C" w:rsidRDefault="00C821BE" w:rsidP="00C821BE">
            <w:pPr>
              <w:spacing w:after="0" w:line="240" w:lineRule="auto"/>
              <w:jc w:val="center"/>
              <w:rPr>
                <w:rFonts w:ascii="Times New Roman" w:hAnsi="Times New Roman"/>
                <w:b/>
                <w:sz w:val="16"/>
                <w:szCs w:val="16"/>
                <w:lang w:val="en-US"/>
              </w:rPr>
            </w:pPr>
            <w:r w:rsidRPr="0010784C">
              <w:rPr>
                <w:rFonts w:ascii="Times New Roman" w:hAnsi="Times New Roman"/>
                <w:b/>
                <w:sz w:val="16"/>
                <w:szCs w:val="16"/>
                <w:lang w:val="en-US"/>
              </w:rPr>
              <w:t>Minor</w:t>
            </w:r>
          </w:p>
        </w:tc>
        <w:tc>
          <w:tcPr>
            <w:tcW w:w="586" w:type="dxa"/>
            <w:shd w:val="clear" w:color="auto" w:fill="92D050"/>
            <w:vAlign w:val="center"/>
          </w:tcPr>
          <w:p w:rsidR="00C821BE" w:rsidRPr="0010784C" w:rsidRDefault="00C821BE" w:rsidP="00C821BE">
            <w:pPr>
              <w:spacing w:after="0" w:line="240" w:lineRule="auto"/>
              <w:jc w:val="center"/>
              <w:rPr>
                <w:rFonts w:ascii="Times New Roman" w:hAnsi="Times New Roman"/>
                <w:b/>
                <w:sz w:val="16"/>
                <w:szCs w:val="16"/>
                <w:lang w:val="en-US"/>
              </w:rPr>
            </w:pPr>
            <w:r w:rsidRPr="0010784C">
              <w:rPr>
                <w:rFonts w:ascii="Times New Roman" w:hAnsi="Times New Roman"/>
                <w:b/>
                <w:sz w:val="16"/>
                <w:szCs w:val="16"/>
                <w:lang w:val="en-US"/>
              </w:rPr>
              <w:t>15</w:t>
            </w:r>
          </w:p>
        </w:tc>
      </w:tr>
      <w:tr w:rsidR="00C821BE" w:rsidRPr="0010784C" w:rsidTr="00C821BE">
        <w:trPr>
          <w:jc w:val="center"/>
        </w:trPr>
        <w:tc>
          <w:tcPr>
            <w:tcW w:w="988" w:type="dxa"/>
            <w:vMerge/>
            <w:shd w:val="clear" w:color="auto" w:fill="BDD6EE"/>
            <w:vAlign w:val="center"/>
          </w:tcPr>
          <w:p w:rsidR="00C821BE" w:rsidRPr="0010784C" w:rsidRDefault="00C821BE" w:rsidP="00C821BE">
            <w:pPr>
              <w:spacing w:after="0" w:line="240" w:lineRule="auto"/>
              <w:jc w:val="center"/>
              <w:rPr>
                <w:rFonts w:ascii="Times New Roman" w:hAnsi="Times New Roman"/>
                <w:sz w:val="16"/>
                <w:szCs w:val="16"/>
                <w:lang w:val="en-US"/>
              </w:rPr>
            </w:pPr>
          </w:p>
        </w:tc>
        <w:tc>
          <w:tcPr>
            <w:tcW w:w="850" w:type="dxa"/>
            <w:vMerge/>
            <w:vAlign w:val="center"/>
          </w:tcPr>
          <w:p w:rsidR="00C821BE" w:rsidRPr="0010784C" w:rsidRDefault="00C821BE" w:rsidP="00C821BE">
            <w:pPr>
              <w:spacing w:after="0" w:line="240" w:lineRule="auto"/>
              <w:jc w:val="center"/>
              <w:rPr>
                <w:rFonts w:ascii="Times New Roman" w:hAnsi="Times New Roman"/>
                <w:b/>
                <w:sz w:val="16"/>
                <w:szCs w:val="16"/>
                <w:lang w:val="en-US"/>
              </w:rPr>
            </w:pPr>
          </w:p>
        </w:tc>
        <w:tc>
          <w:tcPr>
            <w:tcW w:w="4536" w:type="dxa"/>
            <w:gridSpan w:val="3"/>
            <w:vAlign w:val="center"/>
          </w:tcPr>
          <w:p w:rsidR="00C821BE" w:rsidRPr="0010784C" w:rsidRDefault="00C821BE" w:rsidP="00C821BE">
            <w:pPr>
              <w:spacing w:after="0" w:line="240" w:lineRule="auto"/>
              <w:jc w:val="both"/>
              <w:rPr>
                <w:rFonts w:ascii="Times New Roman" w:hAnsi="Times New Roman"/>
                <w:sz w:val="16"/>
                <w:szCs w:val="16"/>
                <w:lang w:val="en-US"/>
              </w:rPr>
            </w:pPr>
            <w:r w:rsidRPr="0010784C">
              <w:rPr>
                <w:rFonts w:ascii="Times New Roman" w:hAnsi="Times New Roman"/>
                <w:sz w:val="16"/>
                <w:szCs w:val="16"/>
                <w:lang w:val="en-US"/>
              </w:rPr>
              <w:t>Risk of production of significant quantities of waste (inert rock waste, topsoil, PVC pipe residues, packaging soiled with paint, solvents, hydrocarbon tank)</w:t>
            </w:r>
          </w:p>
        </w:tc>
        <w:tc>
          <w:tcPr>
            <w:tcW w:w="851" w:type="dxa"/>
            <w:vAlign w:val="center"/>
          </w:tcPr>
          <w:p w:rsidR="00C821BE" w:rsidRPr="0010784C" w:rsidRDefault="00C821BE" w:rsidP="00C821BE">
            <w:pPr>
              <w:spacing w:after="0" w:line="240" w:lineRule="auto"/>
              <w:jc w:val="center"/>
              <w:rPr>
                <w:rFonts w:ascii="Times New Roman" w:hAnsi="Times New Roman"/>
                <w:sz w:val="16"/>
                <w:szCs w:val="16"/>
                <w:lang w:val="en-US"/>
              </w:rPr>
            </w:pPr>
            <w:r w:rsidRPr="0010784C">
              <w:rPr>
                <w:rFonts w:ascii="Times New Roman" w:hAnsi="Times New Roman"/>
                <w:sz w:val="16"/>
                <w:szCs w:val="16"/>
                <w:lang w:val="en-US"/>
              </w:rPr>
              <w:t>Strong</w:t>
            </w:r>
          </w:p>
        </w:tc>
        <w:tc>
          <w:tcPr>
            <w:tcW w:w="283" w:type="dxa"/>
            <w:shd w:val="clear" w:color="auto" w:fill="002060"/>
            <w:vAlign w:val="center"/>
          </w:tcPr>
          <w:p w:rsidR="00C821BE" w:rsidRPr="0010784C" w:rsidRDefault="00C821BE" w:rsidP="00C821BE">
            <w:pPr>
              <w:spacing w:after="0" w:line="240" w:lineRule="auto"/>
              <w:jc w:val="center"/>
              <w:rPr>
                <w:rFonts w:ascii="Times New Roman" w:hAnsi="Times New Roman"/>
                <w:b/>
                <w:sz w:val="16"/>
                <w:szCs w:val="16"/>
                <w:lang w:val="en-US"/>
              </w:rPr>
            </w:pPr>
            <w:r w:rsidRPr="0010784C">
              <w:rPr>
                <w:rFonts w:ascii="Times New Roman" w:hAnsi="Times New Roman"/>
                <w:b/>
                <w:sz w:val="16"/>
                <w:szCs w:val="16"/>
                <w:lang w:val="en-US"/>
              </w:rPr>
              <w:t>5</w:t>
            </w:r>
          </w:p>
        </w:tc>
        <w:tc>
          <w:tcPr>
            <w:tcW w:w="992" w:type="dxa"/>
            <w:vAlign w:val="center"/>
          </w:tcPr>
          <w:p w:rsidR="00C821BE" w:rsidRPr="0010784C" w:rsidRDefault="00C821BE" w:rsidP="00C821BE">
            <w:pPr>
              <w:spacing w:after="0" w:line="240" w:lineRule="auto"/>
              <w:jc w:val="center"/>
              <w:rPr>
                <w:rFonts w:ascii="Times New Roman" w:hAnsi="Times New Roman"/>
                <w:sz w:val="16"/>
                <w:szCs w:val="16"/>
                <w:lang w:val="en-US"/>
              </w:rPr>
            </w:pPr>
            <w:r w:rsidRPr="0010784C">
              <w:rPr>
                <w:rFonts w:ascii="Times New Roman" w:hAnsi="Times New Roman"/>
                <w:sz w:val="16"/>
                <w:szCs w:val="16"/>
                <w:lang w:val="en-US"/>
              </w:rPr>
              <w:t>Local</w:t>
            </w:r>
          </w:p>
        </w:tc>
        <w:tc>
          <w:tcPr>
            <w:tcW w:w="284" w:type="dxa"/>
            <w:shd w:val="clear" w:color="auto" w:fill="002060"/>
            <w:vAlign w:val="center"/>
          </w:tcPr>
          <w:p w:rsidR="00C821BE" w:rsidRPr="0010784C" w:rsidRDefault="00C821BE" w:rsidP="00C821BE">
            <w:pPr>
              <w:spacing w:after="0" w:line="240" w:lineRule="auto"/>
              <w:jc w:val="center"/>
              <w:rPr>
                <w:rFonts w:ascii="Times New Roman" w:hAnsi="Times New Roman"/>
                <w:b/>
                <w:sz w:val="16"/>
                <w:szCs w:val="16"/>
                <w:lang w:val="en-US"/>
              </w:rPr>
            </w:pPr>
            <w:r w:rsidRPr="0010784C">
              <w:rPr>
                <w:rFonts w:ascii="Times New Roman" w:hAnsi="Times New Roman"/>
                <w:b/>
                <w:sz w:val="16"/>
                <w:szCs w:val="16"/>
                <w:lang w:val="en-US"/>
              </w:rPr>
              <w:t>3</w:t>
            </w:r>
          </w:p>
        </w:tc>
        <w:tc>
          <w:tcPr>
            <w:tcW w:w="850" w:type="dxa"/>
            <w:vAlign w:val="center"/>
          </w:tcPr>
          <w:p w:rsidR="00C821BE" w:rsidRPr="0010784C" w:rsidRDefault="00C821BE" w:rsidP="00C821BE">
            <w:pPr>
              <w:spacing w:after="0" w:line="240" w:lineRule="auto"/>
              <w:jc w:val="center"/>
              <w:rPr>
                <w:rFonts w:ascii="Times New Roman" w:hAnsi="Times New Roman"/>
                <w:sz w:val="16"/>
                <w:szCs w:val="16"/>
                <w:lang w:val="en-US"/>
              </w:rPr>
            </w:pPr>
            <w:r w:rsidRPr="0010784C">
              <w:rPr>
                <w:rFonts w:ascii="Times New Roman" w:hAnsi="Times New Roman"/>
                <w:sz w:val="16"/>
                <w:szCs w:val="16"/>
                <w:lang w:val="en-US"/>
              </w:rPr>
              <w:t>Average</w:t>
            </w:r>
          </w:p>
        </w:tc>
        <w:tc>
          <w:tcPr>
            <w:tcW w:w="284" w:type="dxa"/>
            <w:shd w:val="clear" w:color="auto" w:fill="002060"/>
            <w:vAlign w:val="center"/>
          </w:tcPr>
          <w:p w:rsidR="00C821BE" w:rsidRPr="0010784C" w:rsidRDefault="00C821BE" w:rsidP="00C821BE">
            <w:pPr>
              <w:spacing w:after="0" w:line="240" w:lineRule="auto"/>
              <w:jc w:val="center"/>
              <w:rPr>
                <w:rFonts w:ascii="Times New Roman" w:hAnsi="Times New Roman"/>
                <w:b/>
                <w:sz w:val="16"/>
                <w:szCs w:val="16"/>
                <w:lang w:val="en-US"/>
              </w:rPr>
            </w:pPr>
            <w:r w:rsidRPr="0010784C">
              <w:rPr>
                <w:rFonts w:ascii="Times New Roman" w:hAnsi="Times New Roman"/>
                <w:b/>
                <w:sz w:val="16"/>
                <w:szCs w:val="16"/>
                <w:lang w:val="en-US"/>
              </w:rPr>
              <w:t>3</w:t>
            </w:r>
          </w:p>
        </w:tc>
        <w:tc>
          <w:tcPr>
            <w:tcW w:w="850" w:type="dxa"/>
            <w:shd w:val="clear" w:color="auto" w:fill="FFFF00"/>
            <w:vAlign w:val="center"/>
          </w:tcPr>
          <w:p w:rsidR="00C821BE" w:rsidRPr="0010784C" w:rsidRDefault="00C821BE" w:rsidP="00C821BE">
            <w:pPr>
              <w:spacing w:after="0" w:line="240" w:lineRule="auto"/>
              <w:jc w:val="center"/>
              <w:rPr>
                <w:rFonts w:ascii="Times New Roman" w:hAnsi="Times New Roman"/>
                <w:b/>
                <w:sz w:val="16"/>
                <w:szCs w:val="16"/>
                <w:lang w:val="en-US"/>
              </w:rPr>
            </w:pPr>
            <w:r w:rsidRPr="0010784C">
              <w:rPr>
                <w:rFonts w:ascii="Times New Roman" w:hAnsi="Times New Roman"/>
                <w:b/>
                <w:sz w:val="16"/>
                <w:szCs w:val="16"/>
                <w:lang w:val="en-US"/>
              </w:rPr>
              <w:t>Average</w:t>
            </w:r>
          </w:p>
        </w:tc>
        <w:tc>
          <w:tcPr>
            <w:tcW w:w="586" w:type="dxa"/>
            <w:shd w:val="clear" w:color="auto" w:fill="FFFF00"/>
            <w:vAlign w:val="center"/>
          </w:tcPr>
          <w:p w:rsidR="00C821BE" w:rsidRPr="0010784C" w:rsidRDefault="00C821BE" w:rsidP="00C821BE">
            <w:pPr>
              <w:spacing w:after="0" w:line="240" w:lineRule="auto"/>
              <w:jc w:val="center"/>
              <w:rPr>
                <w:rFonts w:ascii="Times New Roman" w:hAnsi="Times New Roman"/>
                <w:b/>
                <w:sz w:val="16"/>
                <w:szCs w:val="16"/>
                <w:lang w:val="en-US"/>
              </w:rPr>
            </w:pPr>
            <w:r w:rsidRPr="0010784C">
              <w:rPr>
                <w:rFonts w:ascii="Times New Roman" w:hAnsi="Times New Roman"/>
                <w:b/>
                <w:sz w:val="16"/>
                <w:szCs w:val="16"/>
                <w:lang w:val="en-US"/>
              </w:rPr>
              <w:t>45</w:t>
            </w:r>
          </w:p>
        </w:tc>
      </w:tr>
      <w:tr w:rsidR="00C821BE" w:rsidRPr="0010784C" w:rsidTr="00C821BE">
        <w:trPr>
          <w:jc w:val="center"/>
        </w:trPr>
        <w:tc>
          <w:tcPr>
            <w:tcW w:w="988" w:type="dxa"/>
            <w:vMerge/>
            <w:shd w:val="clear" w:color="auto" w:fill="BDD6EE"/>
            <w:vAlign w:val="center"/>
          </w:tcPr>
          <w:p w:rsidR="00C821BE" w:rsidRPr="0010784C" w:rsidRDefault="00C821BE" w:rsidP="00C821BE">
            <w:pPr>
              <w:spacing w:after="0" w:line="240" w:lineRule="auto"/>
              <w:jc w:val="center"/>
              <w:rPr>
                <w:rFonts w:ascii="Times New Roman" w:hAnsi="Times New Roman"/>
                <w:sz w:val="16"/>
                <w:szCs w:val="16"/>
                <w:lang w:val="en-US"/>
              </w:rPr>
            </w:pPr>
          </w:p>
        </w:tc>
        <w:tc>
          <w:tcPr>
            <w:tcW w:w="850" w:type="dxa"/>
            <w:vMerge/>
            <w:vAlign w:val="center"/>
          </w:tcPr>
          <w:p w:rsidR="00C821BE" w:rsidRPr="0010784C" w:rsidRDefault="00C821BE" w:rsidP="00C821BE">
            <w:pPr>
              <w:spacing w:after="0" w:line="240" w:lineRule="auto"/>
              <w:jc w:val="center"/>
              <w:rPr>
                <w:rFonts w:ascii="Times New Roman" w:hAnsi="Times New Roman"/>
                <w:b/>
                <w:sz w:val="16"/>
                <w:szCs w:val="16"/>
                <w:lang w:val="en-US"/>
              </w:rPr>
            </w:pPr>
          </w:p>
        </w:tc>
        <w:tc>
          <w:tcPr>
            <w:tcW w:w="4536" w:type="dxa"/>
            <w:gridSpan w:val="3"/>
            <w:vAlign w:val="center"/>
          </w:tcPr>
          <w:p w:rsidR="00C821BE" w:rsidRPr="0010784C" w:rsidRDefault="00C821BE" w:rsidP="00C821BE">
            <w:pPr>
              <w:spacing w:after="0" w:line="240" w:lineRule="auto"/>
              <w:jc w:val="both"/>
              <w:rPr>
                <w:rFonts w:ascii="Times New Roman" w:hAnsi="Times New Roman"/>
                <w:sz w:val="16"/>
                <w:szCs w:val="16"/>
                <w:lang w:val="en-US"/>
              </w:rPr>
            </w:pPr>
            <w:r w:rsidRPr="0010784C">
              <w:rPr>
                <w:rFonts w:ascii="Times New Roman" w:hAnsi="Times New Roman"/>
                <w:sz w:val="16"/>
                <w:szCs w:val="16"/>
                <w:lang w:val="en-US"/>
              </w:rPr>
              <w:t>Risk of disruption of commercial activities in businesses (shops, stalls and stores) too close to sites</w:t>
            </w:r>
          </w:p>
        </w:tc>
        <w:tc>
          <w:tcPr>
            <w:tcW w:w="851" w:type="dxa"/>
            <w:vAlign w:val="center"/>
          </w:tcPr>
          <w:p w:rsidR="00C821BE" w:rsidRPr="0010784C" w:rsidRDefault="00C821BE" w:rsidP="00C821BE">
            <w:pPr>
              <w:spacing w:after="0" w:line="240" w:lineRule="auto"/>
              <w:jc w:val="center"/>
              <w:rPr>
                <w:rFonts w:ascii="Times New Roman" w:hAnsi="Times New Roman"/>
                <w:sz w:val="16"/>
                <w:szCs w:val="16"/>
                <w:lang w:val="en-US"/>
              </w:rPr>
            </w:pPr>
            <w:r w:rsidRPr="0010784C">
              <w:rPr>
                <w:rFonts w:ascii="Times New Roman" w:hAnsi="Times New Roman"/>
                <w:sz w:val="16"/>
                <w:szCs w:val="16"/>
                <w:lang w:val="en-US"/>
              </w:rPr>
              <w:t>Average</w:t>
            </w:r>
          </w:p>
        </w:tc>
        <w:tc>
          <w:tcPr>
            <w:tcW w:w="283" w:type="dxa"/>
            <w:shd w:val="clear" w:color="auto" w:fill="002060"/>
            <w:vAlign w:val="center"/>
          </w:tcPr>
          <w:p w:rsidR="00C821BE" w:rsidRPr="0010784C" w:rsidRDefault="00C821BE" w:rsidP="00C821BE">
            <w:pPr>
              <w:spacing w:after="0" w:line="240" w:lineRule="auto"/>
              <w:jc w:val="center"/>
              <w:rPr>
                <w:rFonts w:ascii="Times New Roman" w:hAnsi="Times New Roman"/>
                <w:b/>
                <w:sz w:val="16"/>
                <w:szCs w:val="16"/>
                <w:lang w:val="en-US"/>
              </w:rPr>
            </w:pPr>
            <w:r w:rsidRPr="0010784C">
              <w:rPr>
                <w:rFonts w:ascii="Times New Roman" w:hAnsi="Times New Roman"/>
                <w:b/>
                <w:sz w:val="16"/>
                <w:szCs w:val="16"/>
                <w:lang w:val="en-US"/>
              </w:rPr>
              <w:t>3</w:t>
            </w:r>
          </w:p>
        </w:tc>
        <w:tc>
          <w:tcPr>
            <w:tcW w:w="992" w:type="dxa"/>
            <w:vAlign w:val="center"/>
          </w:tcPr>
          <w:p w:rsidR="00C821BE" w:rsidRPr="0010784C" w:rsidRDefault="00C821BE" w:rsidP="00C821BE">
            <w:pPr>
              <w:spacing w:after="0" w:line="240" w:lineRule="auto"/>
              <w:jc w:val="center"/>
              <w:rPr>
                <w:rFonts w:ascii="Times New Roman" w:hAnsi="Times New Roman"/>
                <w:sz w:val="16"/>
                <w:szCs w:val="16"/>
                <w:lang w:val="en-US"/>
              </w:rPr>
            </w:pPr>
            <w:r w:rsidRPr="0010784C">
              <w:rPr>
                <w:rFonts w:ascii="Times New Roman" w:hAnsi="Times New Roman"/>
                <w:sz w:val="16"/>
                <w:szCs w:val="16"/>
                <w:lang w:val="en-US"/>
              </w:rPr>
              <w:t>Local</w:t>
            </w:r>
          </w:p>
        </w:tc>
        <w:tc>
          <w:tcPr>
            <w:tcW w:w="284" w:type="dxa"/>
            <w:shd w:val="clear" w:color="auto" w:fill="002060"/>
            <w:vAlign w:val="center"/>
          </w:tcPr>
          <w:p w:rsidR="00C821BE" w:rsidRPr="0010784C" w:rsidRDefault="00C821BE" w:rsidP="00C821BE">
            <w:pPr>
              <w:spacing w:after="0" w:line="240" w:lineRule="auto"/>
              <w:jc w:val="center"/>
              <w:rPr>
                <w:rFonts w:ascii="Times New Roman" w:hAnsi="Times New Roman"/>
                <w:b/>
                <w:sz w:val="16"/>
                <w:szCs w:val="16"/>
                <w:lang w:val="en-US"/>
              </w:rPr>
            </w:pPr>
            <w:r w:rsidRPr="0010784C">
              <w:rPr>
                <w:rFonts w:ascii="Times New Roman" w:hAnsi="Times New Roman"/>
                <w:b/>
                <w:sz w:val="16"/>
                <w:szCs w:val="16"/>
                <w:lang w:val="en-US"/>
              </w:rPr>
              <w:t>3</w:t>
            </w:r>
          </w:p>
        </w:tc>
        <w:tc>
          <w:tcPr>
            <w:tcW w:w="850" w:type="dxa"/>
            <w:vAlign w:val="center"/>
          </w:tcPr>
          <w:p w:rsidR="00C821BE" w:rsidRPr="0010784C" w:rsidRDefault="00C821BE" w:rsidP="00C821BE">
            <w:pPr>
              <w:spacing w:after="0" w:line="240" w:lineRule="auto"/>
              <w:jc w:val="center"/>
              <w:rPr>
                <w:rFonts w:ascii="Times New Roman" w:hAnsi="Times New Roman"/>
                <w:sz w:val="16"/>
                <w:szCs w:val="16"/>
                <w:lang w:val="en-US"/>
              </w:rPr>
            </w:pPr>
            <w:r w:rsidRPr="0010784C">
              <w:rPr>
                <w:rFonts w:ascii="Times New Roman" w:hAnsi="Times New Roman"/>
                <w:sz w:val="16"/>
                <w:szCs w:val="16"/>
                <w:lang w:val="en-US"/>
              </w:rPr>
              <w:t>Short</w:t>
            </w:r>
          </w:p>
        </w:tc>
        <w:tc>
          <w:tcPr>
            <w:tcW w:w="284" w:type="dxa"/>
            <w:shd w:val="clear" w:color="auto" w:fill="002060"/>
            <w:vAlign w:val="center"/>
          </w:tcPr>
          <w:p w:rsidR="00C821BE" w:rsidRPr="0010784C" w:rsidRDefault="00C821BE" w:rsidP="00C821BE">
            <w:pPr>
              <w:spacing w:after="0" w:line="240" w:lineRule="auto"/>
              <w:jc w:val="center"/>
              <w:rPr>
                <w:rFonts w:ascii="Times New Roman" w:hAnsi="Times New Roman"/>
                <w:b/>
                <w:sz w:val="16"/>
                <w:szCs w:val="16"/>
                <w:lang w:val="en-US"/>
              </w:rPr>
            </w:pPr>
            <w:r w:rsidRPr="0010784C">
              <w:rPr>
                <w:rFonts w:ascii="Times New Roman" w:hAnsi="Times New Roman"/>
                <w:b/>
                <w:sz w:val="16"/>
                <w:szCs w:val="16"/>
                <w:lang w:val="en-US"/>
              </w:rPr>
              <w:t>1</w:t>
            </w:r>
          </w:p>
        </w:tc>
        <w:tc>
          <w:tcPr>
            <w:tcW w:w="850" w:type="dxa"/>
            <w:shd w:val="clear" w:color="auto" w:fill="92D050"/>
            <w:vAlign w:val="center"/>
          </w:tcPr>
          <w:p w:rsidR="00C821BE" w:rsidRPr="0010784C" w:rsidRDefault="00C821BE" w:rsidP="00C821BE">
            <w:pPr>
              <w:spacing w:after="0" w:line="240" w:lineRule="auto"/>
              <w:jc w:val="center"/>
              <w:rPr>
                <w:rFonts w:ascii="Times New Roman" w:hAnsi="Times New Roman"/>
                <w:b/>
                <w:sz w:val="16"/>
                <w:szCs w:val="16"/>
                <w:lang w:val="en-US"/>
              </w:rPr>
            </w:pPr>
            <w:r w:rsidRPr="0010784C">
              <w:rPr>
                <w:rFonts w:ascii="Times New Roman" w:hAnsi="Times New Roman"/>
                <w:b/>
                <w:sz w:val="16"/>
                <w:szCs w:val="16"/>
                <w:lang w:val="en-US"/>
              </w:rPr>
              <w:t>Minor</w:t>
            </w:r>
          </w:p>
        </w:tc>
        <w:tc>
          <w:tcPr>
            <w:tcW w:w="586" w:type="dxa"/>
            <w:shd w:val="clear" w:color="auto" w:fill="92D050"/>
            <w:vAlign w:val="center"/>
          </w:tcPr>
          <w:p w:rsidR="00C821BE" w:rsidRPr="0010784C" w:rsidRDefault="00C821BE" w:rsidP="00C821BE">
            <w:pPr>
              <w:spacing w:after="0" w:line="240" w:lineRule="auto"/>
              <w:jc w:val="center"/>
              <w:rPr>
                <w:rFonts w:ascii="Times New Roman" w:hAnsi="Times New Roman"/>
                <w:b/>
                <w:sz w:val="16"/>
                <w:szCs w:val="16"/>
                <w:lang w:val="en-US"/>
              </w:rPr>
            </w:pPr>
            <w:r w:rsidRPr="0010784C">
              <w:rPr>
                <w:rFonts w:ascii="Times New Roman" w:hAnsi="Times New Roman"/>
                <w:b/>
                <w:sz w:val="16"/>
                <w:szCs w:val="16"/>
                <w:lang w:val="en-US"/>
              </w:rPr>
              <w:t>9</w:t>
            </w:r>
          </w:p>
        </w:tc>
      </w:tr>
      <w:tr w:rsidR="00C821BE" w:rsidRPr="0010784C" w:rsidTr="00C821BE">
        <w:trPr>
          <w:jc w:val="center"/>
        </w:trPr>
        <w:tc>
          <w:tcPr>
            <w:tcW w:w="988" w:type="dxa"/>
            <w:vMerge/>
            <w:shd w:val="clear" w:color="auto" w:fill="BDD6EE"/>
            <w:vAlign w:val="center"/>
          </w:tcPr>
          <w:p w:rsidR="00C821BE" w:rsidRPr="0010784C" w:rsidRDefault="00C821BE" w:rsidP="00C821BE">
            <w:pPr>
              <w:spacing w:after="0" w:line="240" w:lineRule="auto"/>
              <w:jc w:val="center"/>
              <w:rPr>
                <w:rFonts w:ascii="Times New Roman" w:hAnsi="Times New Roman"/>
                <w:sz w:val="16"/>
                <w:szCs w:val="16"/>
                <w:lang w:val="en-US"/>
              </w:rPr>
            </w:pPr>
          </w:p>
        </w:tc>
        <w:tc>
          <w:tcPr>
            <w:tcW w:w="850" w:type="dxa"/>
            <w:vMerge/>
            <w:vAlign w:val="center"/>
          </w:tcPr>
          <w:p w:rsidR="00C821BE" w:rsidRPr="0010784C" w:rsidRDefault="00C821BE" w:rsidP="00C821BE">
            <w:pPr>
              <w:spacing w:after="0" w:line="240" w:lineRule="auto"/>
              <w:jc w:val="center"/>
              <w:rPr>
                <w:rFonts w:ascii="Times New Roman" w:hAnsi="Times New Roman"/>
                <w:b/>
                <w:sz w:val="16"/>
                <w:szCs w:val="16"/>
                <w:lang w:val="en-US"/>
              </w:rPr>
            </w:pPr>
          </w:p>
        </w:tc>
        <w:tc>
          <w:tcPr>
            <w:tcW w:w="4536" w:type="dxa"/>
            <w:gridSpan w:val="3"/>
            <w:vAlign w:val="center"/>
          </w:tcPr>
          <w:p w:rsidR="00C821BE" w:rsidRPr="0010784C" w:rsidRDefault="00C821BE" w:rsidP="00C821BE">
            <w:pPr>
              <w:spacing w:after="0" w:line="240" w:lineRule="auto"/>
              <w:jc w:val="both"/>
              <w:rPr>
                <w:rFonts w:ascii="Times New Roman" w:hAnsi="Times New Roman"/>
                <w:sz w:val="16"/>
                <w:szCs w:val="16"/>
                <w:lang w:val="en-US"/>
              </w:rPr>
            </w:pPr>
            <w:r w:rsidRPr="0010784C">
              <w:rPr>
                <w:rFonts w:ascii="Times New Roman" w:hAnsi="Times New Roman"/>
                <w:sz w:val="16"/>
                <w:szCs w:val="16"/>
                <w:lang w:val="en-US"/>
              </w:rPr>
              <w:t>Risks of disruption / degradation of dealer networks</w:t>
            </w:r>
          </w:p>
        </w:tc>
        <w:tc>
          <w:tcPr>
            <w:tcW w:w="851" w:type="dxa"/>
            <w:vAlign w:val="center"/>
          </w:tcPr>
          <w:p w:rsidR="00C821BE" w:rsidRPr="0010784C" w:rsidRDefault="00C821BE" w:rsidP="00C821BE">
            <w:pPr>
              <w:spacing w:after="0" w:line="240" w:lineRule="auto"/>
              <w:jc w:val="center"/>
              <w:rPr>
                <w:rFonts w:ascii="Times New Roman" w:hAnsi="Times New Roman"/>
                <w:sz w:val="16"/>
                <w:szCs w:val="16"/>
                <w:lang w:val="en-US"/>
              </w:rPr>
            </w:pPr>
            <w:r w:rsidRPr="0010784C">
              <w:rPr>
                <w:rFonts w:ascii="Times New Roman" w:hAnsi="Times New Roman"/>
                <w:sz w:val="16"/>
                <w:szCs w:val="16"/>
                <w:lang w:val="en-US"/>
              </w:rPr>
              <w:t>Average</w:t>
            </w:r>
          </w:p>
        </w:tc>
        <w:tc>
          <w:tcPr>
            <w:tcW w:w="283" w:type="dxa"/>
            <w:shd w:val="clear" w:color="auto" w:fill="002060"/>
            <w:vAlign w:val="center"/>
          </w:tcPr>
          <w:p w:rsidR="00C821BE" w:rsidRPr="0010784C" w:rsidRDefault="00C821BE" w:rsidP="00C821BE">
            <w:pPr>
              <w:spacing w:after="0" w:line="240" w:lineRule="auto"/>
              <w:jc w:val="center"/>
              <w:rPr>
                <w:rFonts w:ascii="Times New Roman" w:hAnsi="Times New Roman"/>
                <w:b/>
                <w:sz w:val="16"/>
                <w:szCs w:val="16"/>
                <w:lang w:val="en-US"/>
              </w:rPr>
            </w:pPr>
            <w:r w:rsidRPr="0010784C">
              <w:rPr>
                <w:rFonts w:ascii="Times New Roman" w:hAnsi="Times New Roman"/>
                <w:b/>
                <w:sz w:val="16"/>
                <w:szCs w:val="16"/>
                <w:lang w:val="en-US"/>
              </w:rPr>
              <w:t>3</w:t>
            </w:r>
          </w:p>
        </w:tc>
        <w:tc>
          <w:tcPr>
            <w:tcW w:w="992" w:type="dxa"/>
            <w:vAlign w:val="center"/>
          </w:tcPr>
          <w:p w:rsidR="00C821BE" w:rsidRPr="0010784C" w:rsidRDefault="00C821BE" w:rsidP="00C821BE">
            <w:pPr>
              <w:spacing w:after="0" w:line="240" w:lineRule="auto"/>
              <w:jc w:val="center"/>
              <w:rPr>
                <w:rFonts w:ascii="Times New Roman" w:hAnsi="Times New Roman"/>
                <w:sz w:val="16"/>
                <w:szCs w:val="16"/>
                <w:lang w:val="en-US"/>
              </w:rPr>
            </w:pPr>
            <w:r w:rsidRPr="0010784C">
              <w:rPr>
                <w:rFonts w:ascii="Times New Roman" w:hAnsi="Times New Roman"/>
                <w:sz w:val="16"/>
                <w:szCs w:val="16"/>
                <w:lang w:val="en-US"/>
              </w:rPr>
              <w:t>Punctual</w:t>
            </w:r>
          </w:p>
        </w:tc>
        <w:tc>
          <w:tcPr>
            <w:tcW w:w="284" w:type="dxa"/>
            <w:shd w:val="clear" w:color="auto" w:fill="002060"/>
            <w:vAlign w:val="center"/>
          </w:tcPr>
          <w:p w:rsidR="00C821BE" w:rsidRPr="0010784C" w:rsidRDefault="00C821BE" w:rsidP="00C821BE">
            <w:pPr>
              <w:spacing w:after="0" w:line="240" w:lineRule="auto"/>
              <w:jc w:val="center"/>
              <w:rPr>
                <w:rFonts w:ascii="Times New Roman" w:hAnsi="Times New Roman"/>
                <w:b/>
                <w:sz w:val="16"/>
                <w:szCs w:val="16"/>
                <w:lang w:val="en-US"/>
              </w:rPr>
            </w:pPr>
            <w:r w:rsidRPr="0010784C">
              <w:rPr>
                <w:rFonts w:ascii="Times New Roman" w:hAnsi="Times New Roman"/>
                <w:b/>
                <w:sz w:val="16"/>
                <w:szCs w:val="16"/>
                <w:lang w:val="en-US"/>
              </w:rPr>
              <w:t>1</w:t>
            </w:r>
          </w:p>
        </w:tc>
        <w:tc>
          <w:tcPr>
            <w:tcW w:w="850" w:type="dxa"/>
            <w:vAlign w:val="center"/>
          </w:tcPr>
          <w:p w:rsidR="00C821BE" w:rsidRPr="0010784C" w:rsidRDefault="00C821BE" w:rsidP="00C821BE">
            <w:pPr>
              <w:spacing w:after="0" w:line="240" w:lineRule="auto"/>
              <w:jc w:val="center"/>
              <w:rPr>
                <w:rFonts w:ascii="Times New Roman" w:hAnsi="Times New Roman"/>
                <w:sz w:val="16"/>
                <w:szCs w:val="16"/>
                <w:lang w:val="en-US"/>
              </w:rPr>
            </w:pPr>
            <w:r w:rsidRPr="0010784C">
              <w:rPr>
                <w:rFonts w:ascii="Times New Roman" w:hAnsi="Times New Roman"/>
                <w:sz w:val="16"/>
                <w:szCs w:val="16"/>
                <w:lang w:val="en-US"/>
              </w:rPr>
              <w:t>Average</w:t>
            </w:r>
          </w:p>
        </w:tc>
        <w:tc>
          <w:tcPr>
            <w:tcW w:w="284" w:type="dxa"/>
            <w:shd w:val="clear" w:color="auto" w:fill="002060"/>
            <w:vAlign w:val="center"/>
          </w:tcPr>
          <w:p w:rsidR="00C821BE" w:rsidRPr="0010784C" w:rsidRDefault="00C821BE" w:rsidP="00C821BE">
            <w:pPr>
              <w:spacing w:after="0" w:line="240" w:lineRule="auto"/>
              <w:jc w:val="center"/>
              <w:rPr>
                <w:rFonts w:ascii="Times New Roman" w:hAnsi="Times New Roman"/>
                <w:b/>
                <w:sz w:val="16"/>
                <w:szCs w:val="16"/>
                <w:lang w:val="en-US"/>
              </w:rPr>
            </w:pPr>
            <w:r w:rsidRPr="0010784C">
              <w:rPr>
                <w:rFonts w:ascii="Times New Roman" w:hAnsi="Times New Roman"/>
                <w:b/>
                <w:sz w:val="16"/>
                <w:szCs w:val="16"/>
                <w:lang w:val="en-US"/>
              </w:rPr>
              <w:t>3</w:t>
            </w:r>
          </w:p>
        </w:tc>
        <w:tc>
          <w:tcPr>
            <w:tcW w:w="850" w:type="dxa"/>
            <w:shd w:val="clear" w:color="auto" w:fill="92D050"/>
            <w:vAlign w:val="center"/>
          </w:tcPr>
          <w:p w:rsidR="00C821BE" w:rsidRPr="0010784C" w:rsidRDefault="00C821BE" w:rsidP="00C821BE">
            <w:pPr>
              <w:spacing w:after="0" w:line="240" w:lineRule="auto"/>
              <w:jc w:val="center"/>
              <w:rPr>
                <w:rFonts w:ascii="Times New Roman" w:hAnsi="Times New Roman"/>
                <w:b/>
                <w:sz w:val="16"/>
                <w:szCs w:val="16"/>
                <w:lang w:val="en-US"/>
              </w:rPr>
            </w:pPr>
            <w:r w:rsidRPr="0010784C">
              <w:rPr>
                <w:rFonts w:ascii="Times New Roman" w:hAnsi="Times New Roman"/>
                <w:b/>
                <w:sz w:val="16"/>
                <w:szCs w:val="16"/>
                <w:lang w:val="en-US"/>
              </w:rPr>
              <w:t>Minor</w:t>
            </w:r>
          </w:p>
        </w:tc>
        <w:tc>
          <w:tcPr>
            <w:tcW w:w="586" w:type="dxa"/>
            <w:shd w:val="clear" w:color="auto" w:fill="92D050"/>
            <w:vAlign w:val="center"/>
          </w:tcPr>
          <w:p w:rsidR="00C821BE" w:rsidRPr="0010784C" w:rsidRDefault="00C821BE" w:rsidP="00C821BE">
            <w:pPr>
              <w:spacing w:after="0" w:line="240" w:lineRule="auto"/>
              <w:jc w:val="center"/>
              <w:rPr>
                <w:rFonts w:ascii="Times New Roman" w:hAnsi="Times New Roman"/>
                <w:b/>
                <w:sz w:val="16"/>
                <w:szCs w:val="16"/>
                <w:lang w:val="en-US"/>
              </w:rPr>
            </w:pPr>
            <w:r w:rsidRPr="0010784C">
              <w:rPr>
                <w:rFonts w:ascii="Times New Roman" w:hAnsi="Times New Roman"/>
                <w:b/>
                <w:sz w:val="16"/>
                <w:szCs w:val="16"/>
                <w:lang w:val="en-US"/>
              </w:rPr>
              <w:t>9</w:t>
            </w:r>
          </w:p>
        </w:tc>
      </w:tr>
      <w:tr w:rsidR="00C821BE" w:rsidRPr="0010784C" w:rsidTr="00C821BE">
        <w:trPr>
          <w:jc w:val="center"/>
        </w:trPr>
        <w:tc>
          <w:tcPr>
            <w:tcW w:w="988" w:type="dxa"/>
            <w:vMerge/>
            <w:shd w:val="clear" w:color="auto" w:fill="BDD6EE"/>
            <w:vAlign w:val="center"/>
          </w:tcPr>
          <w:p w:rsidR="00C821BE" w:rsidRPr="0010784C" w:rsidRDefault="00C821BE" w:rsidP="00C821BE">
            <w:pPr>
              <w:spacing w:after="0" w:line="240" w:lineRule="auto"/>
              <w:jc w:val="center"/>
              <w:rPr>
                <w:rFonts w:ascii="Times New Roman" w:hAnsi="Times New Roman"/>
                <w:sz w:val="16"/>
                <w:szCs w:val="16"/>
                <w:lang w:val="en-US"/>
              </w:rPr>
            </w:pPr>
          </w:p>
        </w:tc>
        <w:tc>
          <w:tcPr>
            <w:tcW w:w="850" w:type="dxa"/>
            <w:vMerge/>
            <w:vAlign w:val="center"/>
          </w:tcPr>
          <w:p w:rsidR="00C821BE" w:rsidRPr="0010784C" w:rsidRDefault="00C821BE" w:rsidP="00C821BE">
            <w:pPr>
              <w:spacing w:after="0" w:line="240" w:lineRule="auto"/>
              <w:jc w:val="center"/>
              <w:rPr>
                <w:rFonts w:ascii="Times New Roman" w:hAnsi="Times New Roman"/>
                <w:b/>
                <w:sz w:val="16"/>
                <w:szCs w:val="16"/>
                <w:lang w:val="en-US"/>
              </w:rPr>
            </w:pPr>
          </w:p>
        </w:tc>
        <w:tc>
          <w:tcPr>
            <w:tcW w:w="4536" w:type="dxa"/>
            <w:gridSpan w:val="3"/>
            <w:vAlign w:val="center"/>
          </w:tcPr>
          <w:p w:rsidR="00C821BE" w:rsidRPr="0010784C" w:rsidRDefault="00C821BE" w:rsidP="00C821BE">
            <w:pPr>
              <w:spacing w:after="0" w:line="240" w:lineRule="auto"/>
              <w:jc w:val="both"/>
              <w:rPr>
                <w:rFonts w:ascii="Times New Roman" w:hAnsi="Times New Roman"/>
                <w:sz w:val="16"/>
                <w:szCs w:val="16"/>
                <w:lang w:val="en-US"/>
              </w:rPr>
            </w:pPr>
            <w:r w:rsidRPr="0010784C">
              <w:rPr>
                <w:rFonts w:ascii="Times New Roman" w:hAnsi="Times New Roman"/>
                <w:sz w:val="16"/>
                <w:szCs w:val="16"/>
                <w:lang w:val="en-US"/>
              </w:rPr>
              <w:t xml:space="preserve">Risks of social conflicts </w:t>
            </w:r>
          </w:p>
        </w:tc>
        <w:tc>
          <w:tcPr>
            <w:tcW w:w="851" w:type="dxa"/>
            <w:vAlign w:val="center"/>
          </w:tcPr>
          <w:p w:rsidR="00C821BE" w:rsidRPr="0010784C" w:rsidRDefault="00C821BE" w:rsidP="00C821BE">
            <w:pPr>
              <w:spacing w:after="0" w:line="240" w:lineRule="auto"/>
              <w:jc w:val="center"/>
              <w:rPr>
                <w:rFonts w:ascii="Times New Roman" w:hAnsi="Times New Roman"/>
                <w:sz w:val="16"/>
                <w:szCs w:val="16"/>
                <w:lang w:val="en-US"/>
              </w:rPr>
            </w:pPr>
            <w:r w:rsidRPr="0010784C">
              <w:rPr>
                <w:rFonts w:ascii="Times New Roman" w:hAnsi="Times New Roman"/>
                <w:sz w:val="16"/>
                <w:szCs w:val="16"/>
                <w:lang w:val="en-US"/>
              </w:rPr>
              <w:t>Strong</w:t>
            </w:r>
          </w:p>
        </w:tc>
        <w:tc>
          <w:tcPr>
            <w:tcW w:w="283" w:type="dxa"/>
            <w:shd w:val="clear" w:color="auto" w:fill="002060"/>
            <w:vAlign w:val="center"/>
          </w:tcPr>
          <w:p w:rsidR="00C821BE" w:rsidRPr="0010784C" w:rsidRDefault="00C821BE" w:rsidP="00C821BE">
            <w:pPr>
              <w:spacing w:after="0" w:line="240" w:lineRule="auto"/>
              <w:jc w:val="center"/>
              <w:rPr>
                <w:rFonts w:ascii="Times New Roman" w:hAnsi="Times New Roman"/>
                <w:b/>
                <w:sz w:val="16"/>
                <w:szCs w:val="16"/>
                <w:lang w:val="en-US"/>
              </w:rPr>
            </w:pPr>
            <w:r w:rsidRPr="0010784C">
              <w:rPr>
                <w:rFonts w:ascii="Times New Roman" w:hAnsi="Times New Roman"/>
                <w:b/>
                <w:sz w:val="16"/>
                <w:szCs w:val="16"/>
                <w:lang w:val="en-US"/>
              </w:rPr>
              <w:t>5</w:t>
            </w:r>
          </w:p>
        </w:tc>
        <w:tc>
          <w:tcPr>
            <w:tcW w:w="992" w:type="dxa"/>
            <w:vAlign w:val="center"/>
          </w:tcPr>
          <w:p w:rsidR="00C821BE" w:rsidRPr="0010784C" w:rsidRDefault="00C821BE" w:rsidP="00C821BE">
            <w:pPr>
              <w:spacing w:after="0" w:line="240" w:lineRule="auto"/>
              <w:jc w:val="center"/>
              <w:rPr>
                <w:rFonts w:ascii="Times New Roman" w:hAnsi="Times New Roman"/>
                <w:sz w:val="16"/>
                <w:szCs w:val="16"/>
                <w:lang w:val="en-US"/>
              </w:rPr>
            </w:pPr>
            <w:r w:rsidRPr="0010784C">
              <w:rPr>
                <w:rFonts w:ascii="Times New Roman" w:hAnsi="Times New Roman"/>
                <w:sz w:val="16"/>
                <w:szCs w:val="16"/>
                <w:lang w:val="en-US"/>
              </w:rPr>
              <w:t>Local</w:t>
            </w:r>
          </w:p>
        </w:tc>
        <w:tc>
          <w:tcPr>
            <w:tcW w:w="284" w:type="dxa"/>
            <w:shd w:val="clear" w:color="auto" w:fill="002060"/>
            <w:vAlign w:val="center"/>
          </w:tcPr>
          <w:p w:rsidR="00C821BE" w:rsidRPr="0010784C" w:rsidRDefault="00C821BE" w:rsidP="00C821BE">
            <w:pPr>
              <w:spacing w:after="0" w:line="240" w:lineRule="auto"/>
              <w:jc w:val="center"/>
              <w:rPr>
                <w:rFonts w:ascii="Times New Roman" w:hAnsi="Times New Roman"/>
                <w:b/>
                <w:sz w:val="16"/>
                <w:szCs w:val="16"/>
                <w:lang w:val="en-US"/>
              </w:rPr>
            </w:pPr>
            <w:r w:rsidRPr="0010784C">
              <w:rPr>
                <w:rFonts w:ascii="Times New Roman" w:hAnsi="Times New Roman"/>
                <w:b/>
                <w:sz w:val="16"/>
                <w:szCs w:val="16"/>
                <w:lang w:val="en-US"/>
              </w:rPr>
              <w:t>3</w:t>
            </w:r>
          </w:p>
        </w:tc>
        <w:tc>
          <w:tcPr>
            <w:tcW w:w="850" w:type="dxa"/>
            <w:vAlign w:val="center"/>
          </w:tcPr>
          <w:p w:rsidR="00C821BE" w:rsidRPr="0010784C" w:rsidRDefault="00C821BE" w:rsidP="00C821BE">
            <w:pPr>
              <w:spacing w:after="0" w:line="240" w:lineRule="auto"/>
              <w:jc w:val="center"/>
              <w:rPr>
                <w:rFonts w:ascii="Times New Roman" w:hAnsi="Times New Roman"/>
                <w:sz w:val="16"/>
                <w:szCs w:val="16"/>
                <w:lang w:val="en-US"/>
              </w:rPr>
            </w:pPr>
            <w:r w:rsidRPr="0010784C">
              <w:rPr>
                <w:rFonts w:ascii="Times New Roman" w:hAnsi="Times New Roman"/>
                <w:sz w:val="16"/>
                <w:szCs w:val="16"/>
                <w:lang w:val="en-US"/>
              </w:rPr>
              <w:t>Average</w:t>
            </w:r>
          </w:p>
        </w:tc>
        <w:tc>
          <w:tcPr>
            <w:tcW w:w="284" w:type="dxa"/>
            <w:shd w:val="clear" w:color="auto" w:fill="002060"/>
            <w:vAlign w:val="center"/>
          </w:tcPr>
          <w:p w:rsidR="00C821BE" w:rsidRPr="0010784C" w:rsidRDefault="00C821BE" w:rsidP="00C821BE">
            <w:pPr>
              <w:spacing w:after="0" w:line="240" w:lineRule="auto"/>
              <w:jc w:val="center"/>
              <w:rPr>
                <w:rFonts w:ascii="Times New Roman" w:hAnsi="Times New Roman"/>
                <w:b/>
                <w:sz w:val="16"/>
                <w:szCs w:val="16"/>
                <w:lang w:val="en-US"/>
              </w:rPr>
            </w:pPr>
            <w:r w:rsidRPr="0010784C">
              <w:rPr>
                <w:rFonts w:ascii="Times New Roman" w:hAnsi="Times New Roman"/>
                <w:b/>
                <w:sz w:val="16"/>
                <w:szCs w:val="16"/>
                <w:lang w:val="en-US"/>
              </w:rPr>
              <w:t>3</w:t>
            </w:r>
          </w:p>
        </w:tc>
        <w:tc>
          <w:tcPr>
            <w:tcW w:w="850" w:type="dxa"/>
            <w:shd w:val="clear" w:color="auto" w:fill="FFFF00"/>
            <w:vAlign w:val="center"/>
          </w:tcPr>
          <w:p w:rsidR="00C821BE" w:rsidRPr="0010784C" w:rsidRDefault="00C821BE" w:rsidP="00C821BE">
            <w:pPr>
              <w:spacing w:after="0" w:line="240" w:lineRule="auto"/>
              <w:jc w:val="center"/>
              <w:rPr>
                <w:rFonts w:ascii="Times New Roman" w:hAnsi="Times New Roman"/>
                <w:b/>
                <w:sz w:val="16"/>
                <w:szCs w:val="16"/>
                <w:lang w:val="en-US"/>
              </w:rPr>
            </w:pPr>
            <w:r w:rsidRPr="0010784C">
              <w:rPr>
                <w:rFonts w:ascii="Times New Roman" w:hAnsi="Times New Roman"/>
                <w:b/>
                <w:sz w:val="16"/>
                <w:szCs w:val="16"/>
                <w:lang w:val="en-US"/>
              </w:rPr>
              <w:t>Average</w:t>
            </w:r>
          </w:p>
        </w:tc>
        <w:tc>
          <w:tcPr>
            <w:tcW w:w="586" w:type="dxa"/>
            <w:shd w:val="clear" w:color="auto" w:fill="FFFF00"/>
            <w:vAlign w:val="center"/>
          </w:tcPr>
          <w:p w:rsidR="00C821BE" w:rsidRPr="0010784C" w:rsidRDefault="00C821BE" w:rsidP="00C821BE">
            <w:pPr>
              <w:spacing w:after="0" w:line="240" w:lineRule="auto"/>
              <w:jc w:val="center"/>
              <w:rPr>
                <w:rFonts w:ascii="Times New Roman" w:hAnsi="Times New Roman"/>
                <w:b/>
                <w:sz w:val="16"/>
                <w:szCs w:val="16"/>
                <w:lang w:val="en-US"/>
              </w:rPr>
            </w:pPr>
            <w:r w:rsidRPr="0010784C">
              <w:rPr>
                <w:rFonts w:ascii="Times New Roman" w:hAnsi="Times New Roman"/>
                <w:b/>
                <w:sz w:val="16"/>
                <w:szCs w:val="16"/>
                <w:lang w:val="en-US"/>
              </w:rPr>
              <w:t>45</w:t>
            </w:r>
          </w:p>
        </w:tc>
      </w:tr>
      <w:tr w:rsidR="00C821BE" w:rsidRPr="0010784C" w:rsidTr="00C821BE">
        <w:trPr>
          <w:jc w:val="center"/>
        </w:trPr>
        <w:tc>
          <w:tcPr>
            <w:tcW w:w="988" w:type="dxa"/>
            <w:vMerge/>
            <w:shd w:val="clear" w:color="auto" w:fill="BDD6EE"/>
            <w:vAlign w:val="center"/>
          </w:tcPr>
          <w:p w:rsidR="00C821BE" w:rsidRPr="0010784C" w:rsidRDefault="00C821BE" w:rsidP="00C821BE">
            <w:pPr>
              <w:spacing w:after="0" w:line="240" w:lineRule="auto"/>
              <w:jc w:val="center"/>
              <w:rPr>
                <w:rFonts w:ascii="Times New Roman" w:hAnsi="Times New Roman"/>
                <w:sz w:val="16"/>
                <w:szCs w:val="16"/>
                <w:lang w:val="en-US"/>
              </w:rPr>
            </w:pPr>
          </w:p>
        </w:tc>
        <w:tc>
          <w:tcPr>
            <w:tcW w:w="850" w:type="dxa"/>
            <w:vMerge/>
            <w:vAlign w:val="center"/>
          </w:tcPr>
          <w:p w:rsidR="00C821BE" w:rsidRPr="0010784C" w:rsidRDefault="00C821BE" w:rsidP="00C821BE">
            <w:pPr>
              <w:spacing w:after="0" w:line="240" w:lineRule="auto"/>
              <w:jc w:val="center"/>
              <w:rPr>
                <w:rFonts w:ascii="Times New Roman" w:hAnsi="Times New Roman"/>
                <w:b/>
                <w:sz w:val="16"/>
                <w:szCs w:val="16"/>
                <w:lang w:val="en-US"/>
              </w:rPr>
            </w:pPr>
          </w:p>
        </w:tc>
        <w:tc>
          <w:tcPr>
            <w:tcW w:w="4536" w:type="dxa"/>
            <w:gridSpan w:val="3"/>
            <w:vAlign w:val="center"/>
          </w:tcPr>
          <w:p w:rsidR="00C821BE" w:rsidRPr="0010784C" w:rsidRDefault="00C821BE" w:rsidP="00C821BE">
            <w:pPr>
              <w:spacing w:after="0" w:line="240" w:lineRule="auto"/>
              <w:jc w:val="both"/>
              <w:rPr>
                <w:rFonts w:ascii="Times New Roman" w:hAnsi="Times New Roman"/>
                <w:sz w:val="16"/>
                <w:szCs w:val="16"/>
                <w:lang w:val="en-US"/>
              </w:rPr>
            </w:pPr>
            <w:r w:rsidRPr="0010784C">
              <w:rPr>
                <w:rFonts w:ascii="Times New Roman" w:hAnsi="Times New Roman"/>
                <w:sz w:val="16"/>
                <w:szCs w:val="16"/>
                <w:lang w:val="en-US"/>
              </w:rPr>
              <w:t>Risk of loss of land or degradation of property during right-of-way work</w:t>
            </w:r>
          </w:p>
        </w:tc>
        <w:tc>
          <w:tcPr>
            <w:tcW w:w="851" w:type="dxa"/>
            <w:vAlign w:val="center"/>
          </w:tcPr>
          <w:p w:rsidR="00C821BE" w:rsidRPr="0010784C" w:rsidRDefault="00C821BE" w:rsidP="00C821BE">
            <w:pPr>
              <w:spacing w:after="0" w:line="240" w:lineRule="auto"/>
              <w:jc w:val="center"/>
              <w:rPr>
                <w:rFonts w:ascii="Times New Roman" w:hAnsi="Times New Roman"/>
                <w:sz w:val="16"/>
                <w:szCs w:val="16"/>
                <w:lang w:val="en-US"/>
              </w:rPr>
            </w:pPr>
            <w:r w:rsidRPr="0010784C">
              <w:rPr>
                <w:rFonts w:ascii="Times New Roman" w:hAnsi="Times New Roman"/>
                <w:sz w:val="16"/>
                <w:szCs w:val="16"/>
                <w:lang w:val="en-US"/>
              </w:rPr>
              <w:t>Average</w:t>
            </w:r>
          </w:p>
        </w:tc>
        <w:tc>
          <w:tcPr>
            <w:tcW w:w="283" w:type="dxa"/>
            <w:shd w:val="clear" w:color="auto" w:fill="002060"/>
            <w:vAlign w:val="center"/>
          </w:tcPr>
          <w:p w:rsidR="00C821BE" w:rsidRPr="0010784C" w:rsidRDefault="00C821BE" w:rsidP="00C821BE">
            <w:pPr>
              <w:spacing w:after="0" w:line="240" w:lineRule="auto"/>
              <w:jc w:val="center"/>
              <w:rPr>
                <w:rFonts w:ascii="Times New Roman" w:hAnsi="Times New Roman"/>
                <w:b/>
                <w:sz w:val="16"/>
                <w:szCs w:val="16"/>
                <w:lang w:val="en-US"/>
              </w:rPr>
            </w:pPr>
            <w:r w:rsidRPr="0010784C">
              <w:rPr>
                <w:rFonts w:ascii="Times New Roman" w:hAnsi="Times New Roman"/>
                <w:b/>
                <w:sz w:val="16"/>
                <w:szCs w:val="16"/>
                <w:lang w:val="en-US"/>
              </w:rPr>
              <w:t>3</w:t>
            </w:r>
          </w:p>
        </w:tc>
        <w:tc>
          <w:tcPr>
            <w:tcW w:w="992" w:type="dxa"/>
            <w:vAlign w:val="center"/>
          </w:tcPr>
          <w:p w:rsidR="00C821BE" w:rsidRPr="0010784C" w:rsidRDefault="00C821BE" w:rsidP="00C821BE">
            <w:pPr>
              <w:spacing w:after="0" w:line="240" w:lineRule="auto"/>
              <w:jc w:val="center"/>
              <w:rPr>
                <w:rFonts w:ascii="Times New Roman" w:hAnsi="Times New Roman"/>
                <w:sz w:val="16"/>
                <w:szCs w:val="16"/>
                <w:lang w:val="en-US"/>
              </w:rPr>
            </w:pPr>
            <w:r w:rsidRPr="0010784C">
              <w:rPr>
                <w:rFonts w:ascii="Times New Roman" w:hAnsi="Times New Roman"/>
                <w:sz w:val="16"/>
                <w:szCs w:val="16"/>
                <w:lang w:val="en-US"/>
              </w:rPr>
              <w:t>Punctual</w:t>
            </w:r>
          </w:p>
        </w:tc>
        <w:tc>
          <w:tcPr>
            <w:tcW w:w="284" w:type="dxa"/>
            <w:shd w:val="clear" w:color="auto" w:fill="002060"/>
            <w:vAlign w:val="center"/>
          </w:tcPr>
          <w:p w:rsidR="00C821BE" w:rsidRPr="0010784C" w:rsidRDefault="00C821BE" w:rsidP="00C821BE">
            <w:pPr>
              <w:spacing w:after="0" w:line="240" w:lineRule="auto"/>
              <w:jc w:val="center"/>
              <w:rPr>
                <w:rFonts w:ascii="Times New Roman" w:hAnsi="Times New Roman"/>
                <w:b/>
                <w:sz w:val="16"/>
                <w:szCs w:val="16"/>
                <w:lang w:val="en-US"/>
              </w:rPr>
            </w:pPr>
            <w:r w:rsidRPr="0010784C">
              <w:rPr>
                <w:rFonts w:ascii="Times New Roman" w:hAnsi="Times New Roman"/>
                <w:b/>
                <w:sz w:val="16"/>
                <w:szCs w:val="16"/>
                <w:lang w:val="en-US"/>
              </w:rPr>
              <w:t>1</w:t>
            </w:r>
          </w:p>
        </w:tc>
        <w:tc>
          <w:tcPr>
            <w:tcW w:w="850" w:type="dxa"/>
            <w:vAlign w:val="center"/>
          </w:tcPr>
          <w:p w:rsidR="00C821BE" w:rsidRPr="0010784C" w:rsidRDefault="00C821BE" w:rsidP="00C821BE">
            <w:pPr>
              <w:spacing w:after="0" w:line="240" w:lineRule="auto"/>
              <w:jc w:val="center"/>
              <w:rPr>
                <w:rFonts w:ascii="Times New Roman" w:hAnsi="Times New Roman"/>
                <w:sz w:val="16"/>
                <w:szCs w:val="16"/>
                <w:lang w:val="en-US"/>
              </w:rPr>
            </w:pPr>
            <w:r w:rsidRPr="0010784C">
              <w:rPr>
                <w:rFonts w:ascii="Times New Roman" w:hAnsi="Times New Roman"/>
                <w:sz w:val="16"/>
                <w:szCs w:val="16"/>
                <w:lang w:val="en-US"/>
              </w:rPr>
              <w:t>Average</w:t>
            </w:r>
          </w:p>
        </w:tc>
        <w:tc>
          <w:tcPr>
            <w:tcW w:w="284" w:type="dxa"/>
            <w:shd w:val="clear" w:color="auto" w:fill="002060"/>
            <w:vAlign w:val="center"/>
          </w:tcPr>
          <w:p w:rsidR="00C821BE" w:rsidRPr="0010784C" w:rsidRDefault="00C821BE" w:rsidP="00C821BE">
            <w:pPr>
              <w:spacing w:after="0" w:line="240" w:lineRule="auto"/>
              <w:jc w:val="center"/>
              <w:rPr>
                <w:rFonts w:ascii="Times New Roman" w:hAnsi="Times New Roman"/>
                <w:b/>
                <w:sz w:val="16"/>
                <w:szCs w:val="16"/>
                <w:lang w:val="en-US"/>
              </w:rPr>
            </w:pPr>
            <w:r w:rsidRPr="0010784C">
              <w:rPr>
                <w:rFonts w:ascii="Times New Roman" w:hAnsi="Times New Roman"/>
                <w:b/>
                <w:sz w:val="16"/>
                <w:szCs w:val="16"/>
                <w:lang w:val="en-US"/>
              </w:rPr>
              <w:t>3</w:t>
            </w:r>
          </w:p>
        </w:tc>
        <w:tc>
          <w:tcPr>
            <w:tcW w:w="850" w:type="dxa"/>
            <w:shd w:val="clear" w:color="auto" w:fill="92D050"/>
            <w:vAlign w:val="center"/>
          </w:tcPr>
          <w:p w:rsidR="00C821BE" w:rsidRPr="0010784C" w:rsidRDefault="00C821BE" w:rsidP="00C821BE">
            <w:pPr>
              <w:spacing w:after="0" w:line="240" w:lineRule="auto"/>
              <w:jc w:val="center"/>
              <w:rPr>
                <w:rFonts w:ascii="Times New Roman" w:hAnsi="Times New Roman"/>
                <w:b/>
                <w:sz w:val="16"/>
                <w:szCs w:val="16"/>
                <w:lang w:val="en-US"/>
              </w:rPr>
            </w:pPr>
            <w:r w:rsidRPr="0010784C">
              <w:rPr>
                <w:rFonts w:ascii="Times New Roman" w:hAnsi="Times New Roman"/>
                <w:b/>
                <w:sz w:val="16"/>
                <w:szCs w:val="16"/>
                <w:lang w:val="en-US"/>
              </w:rPr>
              <w:t>Minor</w:t>
            </w:r>
          </w:p>
        </w:tc>
        <w:tc>
          <w:tcPr>
            <w:tcW w:w="586" w:type="dxa"/>
            <w:shd w:val="clear" w:color="auto" w:fill="92D050"/>
            <w:vAlign w:val="center"/>
          </w:tcPr>
          <w:p w:rsidR="00C821BE" w:rsidRPr="0010784C" w:rsidRDefault="00C821BE" w:rsidP="00C821BE">
            <w:pPr>
              <w:spacing w:after="0" w:line="240" w:lineRule="auto"/>
              <w:jc w:val="center"/>
              <w:rPr>
                <w:rFonts w:ascii="Times New Roman" w:hAnsi="Times New Roman"/>
                <w:b/>
                <w:sz w:val="16"/>
                <w:szCs w:val="16"/>
                <w:lang w:val="en-US"/>
              </w:rPr>
            </w:pPr>
            <w:r w:rsidRPr="0010784C">
              <w:rPr>
                <w:rFonts w:ascii="Times New Roman" w:hAnsi="Times New Roman"/>
                <w:b/>
                <w:sz w:val="16"/>
                <w:szCs w:val="16"/>
                <w:lang w:val="en-US"/>
              </w:rPr>
              <w:t>9</w:t>
            </w:r>
          </w:p>
        </w:tc>
      </w:tr>
      <w:tr w:rsidR="00C821BE" w:rsidRPr="0010784C" w:rsidTr="00C821BE">
        <w:trPr>
          <w:gridBefore w:val="2"/>
          <w:gridAfter w:val="9"/>
          <w:wBefore w:w="1838" w:type="dxa"/>
          <w:wAfter w:w="7323" w:type="dxa"/>
          <w:jc w:val="center"/>
        </w:trPr>
        <w:tc>
          <w:tcPr>
            <w:tcW w:w="2193" w:type="dxa"/>
            <w:gridSpan w:val="2"/>
            <w:shd w:val="clear" w:color="auto" w:fill="000000" w:themeFill="text1"/>
            <w:vAlign w:val="center"/>
          </w:tcPr>
          <w:p w:rsidR="00C821BE" w:rsidRPr="0010784C" w:rsidRDefault="00C821BE" w:rsidP="00C821BE">
            <w:pPr>
              <w:spacing w:after="0" w:line="240" w:lineRule="auto"/>
              <w:jc w:val="center"/>
              <w:rPr>
                <w:rFonts w:ascii="Times New Roman" w:hAnsi="Times New Roman"/>
                <w:b/>
                <w:sz w:val="4"/>
                <w:szCs w:val="4"/>
                <w:lang w:val="en-US"/>
              </w:rPr>
            </w:pPr>
          </w:p>
        </w:tc>
      </w:tr>
      <w:tr w:rsidR="00C821BE" w:rsidRPr="0010784C" w:rsidTr="00C821BE">
        <w:trPr>
          <w:jc w:val="center"/>
        </w:trPr>
        <w:tc>
          <w:tcPr>
            <w:tcW w:w="988" w:type="dxa"/>
            <w:vMerge w:val="restart"/>
            <w:shd w:val="clear" w:color="auto" w:fill="BDD6EE"/>
            <w:vAlign w:val="center"/>
          </w:tcPr>
          <w:p w:rsidR="00C821BE" w:rsidRPr="0010784C" w:rsidRDefault="00C821BE" w:rsidP="00C821BE">
            <w:pPr>
              <w:spacing w:after="0" w:line="240" w:lineRule="auto"/>
              <w:jc w:val="center"/>
              <w:rPr>
                <w:rFonts w:ascii="Times New Roman" w:hAnsi="Times New Roman"/>
                <w:sz w:val="16"/>
                <w:szCs w:val="16"/>
                <w:lang w:val="en-US"/>
              </w:rPr>
            </w:pPr>
            <w:r w:rsidRPr="0010784C">
              <w:rPr>
                <w:rFonts w:ascii="Times New Roman" w:eastAsia="MS Gothic" w:hAnsi="Times New Roman"/>
                <w:b/>
                <w:sz w:val="16"/>
                <w:szCs w:val="16"/>
                <w:lang w:val="en-US"/>
              </w:rPr>
              <w:t>Operation</w:t>
            </w:r>
          </w:p>
        </w:tc>
        <w:tc>
          <w:tcPr>
            <w:tcW w:w="850" w:type="dxa"/>
            <w:vAlign w:val="center"/>
          </w:tcPr>
          <w:p w:rsidR="00C821BE" w:rsidRPr="0010784C" w:rsidRDefault="00C821BE" w:rsidP="00C821BE">
            <w:pPr>
              <w:spacing w:after="0" w:line="240" w:lineRule="auto"/>
              <w:jc w:val="center"/>
              <w:rPr>
                <w:rFonts w:ascii="Times New Roman" w:hAnsi="Times New Roman"/>
                <w:b/>
                <w:sz w:val="12"/>
                <w:szCs w:val="12"/>
                <w:lang w:val="en-US"/>
              </w:rPr>
            </w:pPr>
            <w:r w:rsidRPr="0010784C">
              <w:rPr>
                <w:rFonts w:ascii="Times New Roman" w:hAnsi="Times New Roman"/>
                <w:b/>
                <w:sz w:val="12"/>
                <w:szCs w:val="12"/>
                <w:lang w:val="en-US"/>
              </w:rPr>
              <w:t>LANDSCAPE</w:t>
            </w:r>
          </w:p>
        </w:tc>
        <w:tc>
          <w:tcPr>
            <w:tcW w:w="4536" w:type="dxa"/>
            <w:gridSpan w:val="3"/>
            <w:vAlign w:val="center"/>
          </w:tcPr>
          <w:p w:rsidR="00C821BE" w:rsidRPr="0010784C" w:rsidRDefault="00C821BE" w:rsidP="00C821BE">
            <w:pPr>
              <w:spacing w:after="0" w:line="240" w:lineRule="auto"/>
              <w:jc w:val="both"/>
              <w:rPr>
                <w:rFonts w:ascii="Times New Roman" w:hAnsi="Times New Roman"/>
                <w:sz w:val="16"/>
                <w:szCs w:val="16"/>
                <w:lang w:val="en-US"/>
              </w:rPr>
            </w:pPr>
            <w:r w:rsidRPr="0010784C">
              <w:rPr>
                <w:rFonts w:ascii="Times New Roman" w:hAnsi="Times New Roman"/>
                <w:sz w:val="16"/>
                <w:szCs w:val="16"/>
                <w:lang w:val="en-US"/>
              </w:rPr>
              <w:t>Risk of degradation and altering the visual appearance of the landscape</w:t>
            </w:r>
          </w:p>
        </w:tc>
        <w:tc>
          <w:tcPr>
            <w:tcW w:w="851" w:type="dxa"/>
            <w:vAlign w:val="center"/>
          </w:tcPr>
          <w:p w:rsidR="00C821BE" w:rsidRPr="0010784C" w:rsidRDefault="00C821BE" w:rsidP="00C821BE">
            <w:pPr>
              <w:spacing w:after="0" w:line="240" w:lineRule="auto"/>
              <w:jc w:val="center"/>
              <w:rPr>
                <w:rFonts w:ascii="Times New Roman" w:hAnsi="Times New Roman"/>
                <w:sz w:val="16"/>
                <w:szCs w:val="16"/>
                <w:lang w:val="en-US"/>
              </w:rPr>
            </w:pPr>
            <w:r w:rsidRPr="0010784C">
              <w:rPr>
                <w:rFonts w:ascii="Times New Roman" w:hAnsi="Times New Roman"/>
                <w:sz w:val="16"/>
                <w:szCs w:val="16"/>
                <w:lang w:val="en-US"/>
              </w:rPr>
              <w:t>Low</w:t>
            </w:r>
          </w:p>
        </w:tc>
        <w:tc>
          <w:tcPr>
            <w:tcW w:w="283" w:type="dxa"/>
            <w:shd w:val="clear" w:color="auto" w:fill="002060"/>
            <w:vAlign w:val="center"/>
          </w:tcPr>
          <w:p w:rsidR="00C821BE" w:rsidRPr="0010784C" w:rsidRDefault="00C821BE" w:rsidP="00C821BE">
            <w:pPr>
              <w:spacing w:after="0" w:line="240" w:lineRule="auto"/>
              <w:jc w:val="center"/>
              <w:rPr>
                <w:rFonts w:ascii="Times New Roman" w:hAnsi="Times New Roman"/>
                <w:b/>
                <w:sz w:val="16"/>
                <w:szCs w:val="16"/>
                <w:lang w:val="en-US"/>
              </w:rPr>
            </w:pPr>
            <w:r w:rsidRPr="0010784C">
              <w:rPr>
                <w:rFonts w:ascii="Times New Roman" w:hAnsi="Times New Roman"/>
                <w:b/>
                <w:sz w:val="16"/>
                <w:szCs w:val="16"/>
                <w:lang w:val="en-US"/>
              </w:rPr>
              <w:t>1</w:t>
            </w:r>
          </w:p>
        </w:tc>
        <w:tc>
          <w:tcPr>
            <w:tcW w:w="992" w:type="dxa"/>
            <w:vAlign w:val="center"/>
          </w:tcPr>
          <w:p w:rsidR="00C821BE" w:rsidRPr="0010784C" w:rsidRDefault="00C821BE" w:rsidP="00C821BE">
            <w:pPr>
              <w:spacing w:after="0" w:line="240" w:lineRule="auto"/>
              <w:jc w:val="center"/>
              <w:rPr>
                <w:rFonts w:ascii="Times New Roman" w:hAnsi="Times New Roman"/>
                <w:sz w:val="16"/>
                <w:szCs w:val="16"/>
                <w:lang w:val="en-US"/>
              </w:rPr>
            </w:pPr>
            <w:r w:rsidRPr="0010784C">
              <w:rPr>
                <w:rFonts w:ascii="Times New Roman" w:hAnsi="Times New Roman"/>
                <w:sz w:val="16"/>
                <w:szCs w:val="16"/>
                <w:lang w:val="en-US"/>
              </w:rPr>
              <w:t>Punctual</w:t>
            </w:r>
          </w:p>
        </w:tc>
        <w:tc>
          <w:tcPr>
            <w:tcW w:w="284" w:type="dxa"/>
            <w:shd w:val="clear" w:color="auto" w:fill="002060"/>
            <w:vAlign w:val="center"/>
          </w:tcPr>
          <w:p w:rsidR="00C821BE" w:rsidRPr="0010784C" w:rsidRDefault="00C821BE" w:rsidP="00C821BE">
            <w:pPr>
              <w:spacing w:after="0" w:line="240" w:lineRule="auto"/>
              <w:jc w:val="center"/>
              <w:rPr>
                <w:rFonts w:ascii="Times New Roman" w:hAnsi="Times New Roman"/>
                <w:b/>
                <w:sz w:val="16"/>
                <w:szCs w:val="16"/>
                <w:lang w:val="en-US"/>
              </w:rPr>
            </w:pPr>
            <w:r w:rsidRPr="0010784C">
              <w:rPr>
                <w:rFonts w:ascii="Times New Roman" w:hAnsi="Times New Roman"/>
                <w:b/>
                <w:sz w:val="16"/>
                <w:szCs w:val="16"/>
                <w:lang w:val="en-US"/>
              </w:rPr>
              <w:t>1</w:t>
            </w:r>
          </w:p>
        </w:tc>
        <w:tc>
          <w:tcPr>
            <w:tcW w:w="850" w:type="dxa"/>
            <w:vAlign w:val="center"/>
          </w:tcPr>
          <w:p w:rsidR="00C821BE" w:rsidRPr="0010784C" w:rsidRDefault="00C821BE" w:rsidP="00C821BE">
            <w:pPr>
              <w:spacing w:after="0" w:line="240" w:lineRule="auto"/>
              <w:jc w:val="center"/>
              <w:rPr>
                <w:rFonts w:ascii="Times New Roman" w:hAnsi="Times New Roman"/>
                <w:sz w:val="16"/>
                <w:szCs w:val="16"/>
                <w:lang w:val="en-US"/>
              </w:rPr>
            </w:pPr>
            <w:r w:rsidRPr="0010784C">
              <w:rPr>
                <w:rFonts w:ascii="Times New Roman" w:hAnsi="Times New Roman"/>
                <w:sz w:val="16"/>
                <w:szCs w:val="16"/>
                <w:lang w:val="en-US"/>
              </w:rPr>
              <w:t>Long</w:t>
            </w:r>
          </w:p>
        </w:tc>
        <w:tc>
          <w:tcPr>
            <w:tcW w:w="284" w:type="dxa"/>
            <w:shd w:val="clear" w:color="auto" w:fill="002060"/>
            <w:vAlign w:val="center"/>
          </w:tcPr>
          <w:p w:rsidR="00C821BE" w:rsidRPr="0010784C" w:rsidRDefault="00C821BE" w:rsidP="00C821BE">
            <w:pPr>
              <w:spacing w:after="0" w:line="240" w:lineRule="auto"/>
              <w:jc w:val="center"/>
              <w:rPr>
                <w:rFonts w:ascii="Times New Roman" w:hAnsi="Times New Roman"/>
                <w:b/>
                <w:sz w:val="16"/>
                <w:szCs w:val="16"/>
                <w:lang w:val="en-US"/>
              </w:rPr>
            </w:pPr>
            <w:r w:rsidRPr="0010784C">
              <w:rPr>
                <w:rFonts w:ascii="Times New Roman" w:hAnsi="Times New Roman"/>
                <w:b/>
                <w:sz w:val="16"/>
                <w:szCs w:val="16"/>
                <w:lang w:val="en-US"/>
              </w:rPr>
              <w:t>5</w:t>
            </w:r>
          </w:p>
        </w:tc>
        <w:tc>
          <w:tcPr>
            <w:tcW w:w="850" w:type="dxa"/>
            <w:shd w:val="clear" w:color="auto" w:fill="92D050"/>
            <w:vAlign w:val="center"/>
          </w:tcPr>
          <w:p w:rsidR="00C821BE" w:rsidRPr="0010784C" w:rsidRDefault="00C821BE" w:rsidP="00C821BE">
            <w:pPr>
              <w:spacing w:after="0" w:line="240" w:lineRule="auto"/>
              <w:jc w:val="center"/>
              <w:rPr>
                <w:rFonts w:ascii="Times New Roman" w:hAnsi="Times New Roman"/>
                <w:b/>
                <w:sz w:val="16"/>
                <w:szCs w:val="16"/>
                <w:lang w:val="en-US"/>
              </w:rPr>
            </w:pPr>
            <w:r w:rsidRPr="0010784C">
              <w:rPr>
                <w:rFonts w:ascii="Times New Roman" w:hAnsi="Times New Roman"/>
                <w:b/>
                <w:sz w:val="16"/>
                <w:szCs w:val="16"/>
                <w:lang w:val="en-US"/>
              </w:rPr>
              <w:t>Minor</w:t>
            </w:r>
          </w:p>
        </w:tc>
        <w:tc>
          <w:tcPr>
            <w:tcW w:w="586" w:type="dxa"/>
            <w:shd w:val="clear" w:color="auto" w:fill="92D050"/>
            <w:vAlign w:val="center"/>
          </w:tcPr>
          <w:p w:rsidR="00C821BE" w:rsidRPr="0010784C" w:rsidRDefault="00C821BE" w:rsidP="00C821BE">
            <w:pPr>
              <w:spacing w:after="0" w:line="240" w:lineRule="auto"/>
              <w:jc w:val="center"/>
              <w:rPr>
                <w:rFonts w:ascii="Times New Roman" w:hAnsi="Times New Roman"/>
                <w:b/>
                <w:sz w:val="16"/>
                <w:szCs w:val="16"/>
                <w:lang w:val="en-US"/>
              </w:rPr>
            </w:pPr>
            <w:r w:rsidRPr="0010784C">
              <w:rPr>
                <w:rFonts w:ascii="Times New Roman" w:hAnsi="Times New Roman"/>
                <w:b/>
                <w:sz w:val="16"/>
                <w:szCs w:val="16"/>
                <w:lang w:val="en-US"/>
              </w:rPr>
              <w:t>5</w:t>
            </w:r>
          </w:p>
        </w:tc>
      </w:tr>
      <w:tr w:rsidR="00C821BE" w:rsidRPr="0010784C" w:rsidTr="00C821BE">
        <w:trPr>
          <w:jc w:val="center"/>
        </w:trPr>
        <w:tc>
          <w:tcPr>
            <w:tcW w:w="988" w:type="dxa"/>
            <w:vMerge/>
            <w:shd w:val="clear" w:color="auto" w:fill="BDD6EE"/>
          </w:tcPr>
          <w:p w:rsidR="00C821BE" w:rsidRPr="0010784C" w:rsidRDefault="00C821BE" w:rsidP="00C821BE">
            <w:pPr>
              <w:spacing w:after="0" w:line="240" w:lineRule="auto"/>
              <w:jc w:val="both"/>
              <w:rPr>
                <w:rFonts w:ascii="Times New Roman" w:hAnsi="Times New Roman"/>
                <w:sz w:val="16"/>
                <w:szCs w:val="16"/>
                <w:lang w:val="en-US"/>
              </w:rPr>
            </w:pPr>
          </w:p>
        </w:tc>
        <w:tc>
          <w:tcPr>
            <w:tcW w:w="850" w:type="dxa"/>
            <w:vAlign w:val="center"/>
          </w:tcPr>
          <w:p w:rsidR="00C821BE" w:rsidRPr="0010784C" w:rsidRDefault="00C821BE" w:rsidP="00C821BE">
            <w:pPr>
              <w:spacing w:after="0" w:line="240" w:lineRule="auto"/>
              <w:jc w:val="center"/>
              <w:rPr>
                <w:rFonts w:ascii="Times New Roman" w:hAnsi="Times New Roman"/>
                <w:b/>
                <w:sz w:val="12"/>
                <w:szCs w:val="12"/>
                <w:lang w:val="en-US"/>
              </w:rPr>
            </w:pPr>
            <w:r w:rsidRPr="0010784C">
              <w:rPr>
                <w:rFonts w:ascii="Times New Roman" w:hAnsi="Times New Roman"/>
                <w:b/>
                <w:sz w:val="12"/>
                <w:szCs w:val="12"/>
                <w:lang w:val="en-US"/>
              </w:rPr>
              <w:t>WATERS</w:t>
            </w:r>
          </w:p>
        </w:tc>
        <w:tc>
          <w:tcPr>
            <w:tcW w:w="4536" w:type="dxa"/>
            <w:gridSpan w:val="3"/>
            <w:vAlign w:val="center"/>
          </w:tcPr>
          <w:p w:rsidR="00C821BE" w:rsidRPr="0010784C" w:rsidRDefault="00C821BE" w:rsidP="00C821BE">
            <w:pPr>
              <w:spacing w:after="0" w:line="240" w:lineRule="auto"/>
              <w:jc w:val="both"/>
              <w:rPr>
                <w:rFonts w:ascii="Times New Roman" w:hAnsi="Times New Roman"/>
                <w:sz w:val="16"/>
                <w:szCs w:val="16"/>
                <w:lang w:val="en-US"/>
              </w:rPr>
            </w:pPr>
            <w:r w:rsidRPr="0010784C">
              <w:rPr>
                <w:rFonts w:ascii="Times New Roman" w:hAnsi="Times New Roman"/>
                <w:sz w:val="16"/>
                <w:szCs w:val="16"/>
                <w:lang w:val="en-US"/>
              </w:rPr>
              <w:t>Risk of pollution of runoff and rainwater;</w:t>
            </w:r>
          </w:p>
        </w:tc>
        <w:tc>
          <w:tcPr>
            <w:tcW w:w="851" w:type="dxa"/>
            <w:vAlign w:val="center"/>
          </w:tcPr>
          <w:p w:rsidR="00C821BE" w:rsidRPr="0010784C" w:rsidRDefault="00C821BE" w:rsidP="00C821BE">
            <w:pPr>
              <w:spacing w:after="0" w:line="240" w:lineRule="auto"/>
              <w:jc w:val="center"/>
              <w:rPr>
                <w:rFonts w:ascii="Times New Roman" w:hAnsi="Times New Roman"/>
                <w:sz w:val="16"/>
                <w:szCs w:val="16"/>
                <w:lang w:val="en-US"/>
              </w:rPr>
            </w:pPr>
            <w:r w:rsidRPr="0010784C">
              <w:rPr>
                <w:rFonts w:ascii="Times New Roman" w:hAnsi="Times New Roman"/>
                <w:sz w:val="16"/>
                <w:szCs w:val="16"/>
                <w:lang w:val="en-US"/>
              </w:rPr>
              <w:t>Average</w:t>
            </w:r>
          </w:p>
        </w:tc>
        <w:tc>
          <w:tcPr>
            <w:tcW w:w="283" w:type="dxa"/>
            <w:shd w:val="clear" w:color="auto" w:fill="002060"/>
            <w:vAlign w:val="center"/>
          </w:tcPr>
          <w:p w:rsidR="00C821BE" w:rsidRPr="0010784C" w:rsidRDefault="00C821BE" w:rsidP="00C821BE">
            <w:pPr>
              <w:spacing w:after="0" w:line="240" w:lineRule="auto"/>
              <w:jc w:val="center"/>
              <w:rPr>
                <w:rFonts w:ascii="Times New Roman" w:hAnsi="Times New Roman"/>
                <w:b/>
                <w:sz w:val="16"/>
                <w:szCs w:val="16"/>
                <w:lang w:val="en-US"/>
              </w:rPr>
            </w:pPr>
            <w:r w:rsidRPr="0010784C">
              <w:rPr>
                <w:rFonts w:ascii="Times New Roman" w:hAnsi="Times New Roman"/>
                <w:b/>
                <w:sz w:val="16"/>
                <w:szCs w:val="16"/>
                <w:lang w:val="en-US"/>
              </w:rPr>
              <w:t>3</w:t>
            </w:r>
          </w:p>
        </w:tc>
        <w:tc>
          <w:tcPr>
            <w:tcW w:w="992" w:type="dxa"/>
            <w:vAlign w:val="center"/>
          </w:tcPr>
          <w:p w:rsidR="00C821BE" w:rsidRPr="0010784C" w:rsidRDefault="00C821BE" w:rsidP="00C821BE">
            <w:pPr>
              <w:spacing w:after="0" w:line="240" w:lineRule="auto"/>
              <w:jc w:val="center"/>
              <w:rPr>
                <w:rFonts w:ascii="Times New Roman" w:hAnsi="Times New Roman"/>
                <w:sz w:val="16"/>
                <w:szCs w:val="16"/>
                <w:lang w:val="en-US"/>
              </w:rPr>
            </w:pPr>
            <w:r w:rsidRPr="0010784C">
              <w:rPr>
                <w:rFonts w:ascii="Times New Roman" w:hAnsi="Times New Roman"/>
                <w:sz w:val="16"/>
                <w:szCs w:val="16"/>
                <w:lang w:val="en-US"/>
              </w:rPr>
              <w:t>Local</w:t>
            </w:r>
          </w:p>
        </w:tc>
        <w:tc>
          <w:tcPr>
            <w:tcW w:w="284" w:type="dxa"/>
            <w:shd w:val="clear" w:color="auto" w:fill="002060"/>
            <w:vAlign w:val="center"/>
          </w:tcPr>
          <w:p w:rsidR="00C821BE" w:rsidRPr="0010784C" w:rsidRDefault="00C821BE" w:rsidP="00C821BE">
            <w:pPr>
              <w:spacing w:after="0" w:line="240" w:lineRule="auto"/>
              <w:jc w:val="center"/>
              <w:rPr>
                <w:rFonts w:ascii="Times New Roman" w:hAnsi="Times New Roman"/>
                <w:b/>
                <w:sz w:val="16"/>
                <w:szCs w:val="16"/>
                <w:lang w:val="en-US"/>
              </w:rPr>
            </w:pPr>
            <w:r w:rsidRPr="0010784C">
              <w:rPr>
                <w:rFonts w:ascii="Times New Roman" w:hAnsi="Times New Roman"/>
                <w:b/>
                <w:sz w:val="16"/>
                <w:szCs w:val="16"/>
                <w:lang w:val="en-US"/>
              </w:rPr>
              <w:t>3</w:t>
            </w:r>
          </w:p>
        </w:tc>
        <w:tc>
          <w:tcPr>
            <w:tcW w:w="850" w:type="dxa"/>
            <w:vAlign w:val="center"/>
          </w:tcPr>
          <w:p w:rsidR="00C821BE" w:rsidRPr="0010784C" w:rsidRDefault="00C821BE" w:rsidP="00C821BE">
            <w:pPr>
              <w:spacing w:after="0" w:line="240" w:lineRule="auto"/>
              <w:jc w:val="center"/>
              <w:rPr>
                <w:rFonts w:ascii="Times New Roman" w:hAnsi="Times New Roman"/>
                <w:sz w:val="16"/>
                <w:szCs w:val="16"/>
                <w:lang w:val="en-US"/>
              </w:rPr>
            </w:pPr>
            <w:r w:rsidRPr="0010784C">
              <w:rPr>
                <w:rFonts w:ascii="Times New Roman" w:hAnsi="Times New Roman"/>
                <w:sz w:val="16"/>
                <w:szCs w:val="16"/>
                <w:lang w:val="en-US"/>
              </w:rPr>
              <w:t>Long</w:t>
            </w:r>
          </w:p>
        </w:tc>
        <w:tc>
          <w:tcPr>
            <w:tcW w:w="284" w:type="dxa"/>
            <w:shd w:val="clear" w:color="auto" w:fill="002060"/>
            <w:vAlign w:val="center"/>
          </w:tcPr>
          <w:p w:rsidR="00C821BE" w:rsidRPr="0010784C" w:rsidRDefault="00C821BE" w:rsidP="00C821BE">
            <w:pPr>
              <w:spacing w:after="0" w:line="240" w:lineRule="auto"/>
              <w:jc w:val="center"/>
              <w:rPr>
                <w:rFonts w:ascii="Times New Roman" w:hAnsi="Times New Roman"/>
                <w:b/>
                <w:sz w:val="16"/>
                <w:szCs w:val="16"/>
                <w:lang w:val="en-US"/>
              </w:rPr>
            </w:pPr>
            <w:r w:rsidRPr="0010784C">
              <w:rPr>
                <w:rFonts w:ascii="Times New Roman" w:hAnsi="Times New Roman"/>
                <w:b/>
                <w:sz w:val="16"/>
                <w:szCs w:val="16"/>
                <w:lang w:val="en-US"/>
              </w:rPr>
              <w:t>5</w:t>
            </w:r>
          </w:p>
        </w:tc>
        <w:tc>
          <w:tcPr>
            <w:tcW w:w="850" w:type="dxa"/>
            <w:shd w:val="clear" w:color="auto" w:fill="FFFF00"/>
            <w:vAlign w:val="center"/>
          </w:tcPr>
          <w:p w:rsidR="00C821BE" w:rsidRPr="0010784C" w:rsidRDefault="00C821BE" w:rsidP="00C821BE">
            <w:pPr>
              <w:spacing w:after="0" w:line="240" w:lineRule="auto"/>
              <w:jc w:val="center"/>
              <w:rPr>
                <w:rFonts w:ascii="Times New Roman" w:hAnsi="Times New Roman"/>
                <w:b/>
                <w:sz w:val="16"/>
                <w:szCs w:val="16"/>
                <w:lang w:val="en-US"/>
              </w:rPr>
            </w:pPr>
            <w:r w:rsidRPr="0010784C">
              <w:rPr>
                <w:rFonts w:ascii="Times New Roman" w:hAnsi="Times New Roman"/>
                <w:b/>
                <w:sz w:val="16"/>
                <w:szCs w:val="16"/>
                <w:lang w:val="en-US"/>
              </w:rPr>
              <w:t>Average</w:t>
            </w:r>
          </w:p>
        </w:tc>
        <w:tc>
          <w:tcPr>
            <w:tcW w:w="586" w:type="dxa"/>
            <w:shd w:val="clear" w:color="auto" w:fill="FFFF00"/>
            <w:vAlign w:val="center"/>
          </w:tcPr>
          <w:p w:rsidR="00C821BE" w:rsidRPr="0010784C" w:rsidRDefault="00C821BE" w:rsidP="00C821BE">
            <w:pPr>
              <w:spacing w:after="0" w:line="240" w:lineRule="auto"/>
              <w:jc w:val="center"/>
              <w:rPr>
                <w:rFonts w:ascii="Times New Roman" w:hAnsi="Times New Roman"/>
                <w:b/>
                <w:sz w:val="16"/>
                <w:szCs w:val="16"/>
                <w:lang w:val="en-US"/>
              </w:rPr>
            </w:pPr>
            <w:r w:rsidRPr="0010784C">
              <w:rPr>
                <w:rFonts w:ascii="Times New Roman" w:hAnsi="Times New Roman"/>
                <w:b/>
                <w:sz w:val="16"/>
                <w:szCs w:val="16"/>
                <w:lang w:val="en-US"/>
              </w:rPr>
              <w:t>45</w:t>
            </w:r>
          </w:p>
        </w:tc>
      </w:tr>
      <w:tr w:rsidR="00C821BE" w:rsidRPr="0010784C" w:rsidTr="00C821BE">
        <w:trPr>
          <w:jc w:val="center"/>
        </w:trPr>
        <w:tc>
          <w:tcPr>
            <w:tcW w:w="988" w:type="dxa"/>
            <w:vMerge/>
            <w:shd w:val="clear" w:color="auto" w:fill="BDD6EE"/>
          </w:tcPr>
          <w:p w:rsidR="00C821BE" w:rsidRPr="0010784C" w:rsidRDefault="00C821BE" w:rsidP="00C821BE">
            <w:pPr>
              <w:spacing w:after="0" w:line="240" w:lineRule="auto"/>
              <w:jc w:val="both"/>
              <w:rPr>
                <w:rFonts w:ascii="Times New Roman" w:hAnsi="Times New Roman"/>
                <w:sz w:val="16"/>
                <w:szCs w:val="16"/>
                <w:lang w:val="en-US"/>
              </w:rPr>
            </w:pPr>
          </w:p>
        </w:tc>
        <w:tc>
          <w:tcPr>
            <w:tcW w:w="850" w:type="dxa"/>
            <w:vMerge w:val="restart"/>
            <w:vAlign w:val="center"/>
          </w:tcPr>
          <w:p w:rsidR="00C821BE" w:rsidRPr="0010784C" w:rsidRDefault="00C821BE" w:rsidP="00C821BE">
            <w:pPr>
              <w:spacing w:after="0" w:line="240" w:lineRule="auto"/>
              <w:jc w:val="center"/>
              <w:rPr>
                <w:rFonts w:ascii="Times New Roman" w:hAnsi="Times New Roman"/>
                <w:b/>
                <w:sz w:val="12"/>
                <w:szCs w:val="12"/>
                <w:lang w:val="en-US"/>
              </w:rPr>
            </w:pPr>
            <w:r w:rsidRPr="0010784C">
              <w:rPr>
                <w:rFonts w:ascii="Times New Roman" w:hAnsi="Times New Roman"/>
                <w:b/>
                <w:sz w:val="12"/>
                <w:szCs w:val="12"/>
                <w:lang w:val="en-US"/>
              </w:rPr>
              <w:t>HUMAN</w:t>
            </w:r>
          </w:p>
        </w:tc>
        <w:tc>
          <w:tcPr>
            <w:tcW w:w="4536" w:type="dxa"/>
            <w:gridSpan w:val="3"/>
            <w:vAlign w:val="center"/>
          </w:tcPr>
          <w:p w:rsidR="00C821BE" w:rsidRPr="0010784C" w:rsidRDefault="00C821BE" w:rsidP="00C821BE">
            <w:pPr>
              <w:spacing w:after="0" w:line="240" w:lineRule="auto"/>
              <w:jc w:val="both"/>
              <w:rPr>
                <w:rFonts w:ascii="Times New Roman" w:hAnsi="Times New Roman"/>
                <w:sz w:val="16"/>
                <w:szCs w:val="16"/>
                <w:lang w:val="en-US"/>
              </w:rPr>
            </w:pPr>
            <w:r w:rsidRPr="0010784C">
              <w:rPr>
                <w:rFonts w:ascii="Times New Roman" w:hAnsi="Times New Roman"/>
                <w:sz w:val="16"/>
                <w:szCs w:val="16"/>
                <w:lang w:val="en-US"/>
              </w:rPr>
              <w:t>Risk of generating noise pollution and GHG production.</w:t>
            </w:r>
          </w:p>
        </w:tc>
        <w:tc>
          <w:tcPr>
            <w:tcW w:w="851" w:type="dxa"/>
            <w:vAlign w:val="center"/>
          </w:tcPr>
          <w:p w:rsidR="00C821BE" w:rsidRPr="0010784C" w:rsidRDefault="00C821BE" w:rsidP="00C821BE">
            <w:pPr>
              <w:spacing w:after="0" w:line="240" w:lineRule="auto"/>
              <w:jc w:val="center"/>
              <w:rPr>
                <w:rFonts w:ascii="Times New Roman" w:hAnsi="Times New Roman"/>
                <w:sz w:val="16"/>
                <w:szCs w:val="16"/>
                <w:lang w:val="en-US"/>
              </w:rPr>
            </w:pPr>
            <w:r w:rsidRPr="0010784C">
              <w:rPr>
                <w:rFonts w:ascii="Times New Roman" w:hAnsi="Times New Roman"/>
                <w:sz w:val="16"/>
                <w:szCs w:val="16"/>
                <w:lang w:val="en-US"/>
              </w:rPr>
              <w:t>Low</w:t>
            </w:r>
          </w:p>
        </w:tc>
        <w:tc>
          <w:tcPr>
            <w:tcW w:w="283" w:type="dxa"/>
            <w:shd w:val="clear" w:color="auto" w:fill="002060"/>
            <w:vAlign w:val="center"/>
          </w:tcPr>
          <w:p w:rsidR="00C821BE" w:rsidRPr="0010784C" w:rsidRDefault="00C821BE" w:rsidP="00C821BE">
            <w:pPr>
              <w:spacing w:after="0" w:line="240" w:lineRule="auto"/>
              <w:jc w:val="center"/>
              <w:rPr>
                <w:rFonts w:ascii="Times New Roman" w:hAnsi="Times New Roman"/>
                <w:b/>
                <w:sz w:val="16"/>
                <w:szCs w:val="16"/>
                <w:lang w:val="en-US"/>
              </w:rPr>
            </w:pPr>
            <w:r w:rsidRPr="0010784C">
              <w:rPr>
                <w:rFonts w:ascii="Times New Roman" w:hAnsi="Times New Roman"/>
                <w:b/>
                <w:sz w:val="16"/>
                <w:szCs w:val="16"/>
                <w:lang w:val="en-US"/>
              </w:rPr>
              <w:t>1</w:t>
            </w:r>
          </w:p>
        </w:tc>
        <w:tc>
          <w:tcPr>
            <w:tcW w:w="992" w:type="dxa"/>
            <w:vAlign w:val="center"/>
          </w:tcPr>
          <w:p w:rsidR="00C821BE" w:rsidRPr="0010784C" w:rsidRDefault="00C821BE" w:rsidP="00C821BE">
            <w:pPr>
              <w:spacing w:after="0" w:line="240" w:lineRule="auto"/>
              <w:jc w:val="center"/>
              <w:rPr>
                <w:rFonts w:ascii="Times New Roman" w:hAnsi="Times New Roman"/>
                <w:sz w:val="16"/>
                <w:szCs w:val="16"/>
                <w:lang w:val="en-US"/>
              </w:rPr>
            </w:pPr>
            <w:r w:rsidRPr="0010784C">
              <w:rPr>
                <w:rFonts w:ascii="Times New Roman" w:hAnsi="Times New Roman"/>
                <w:sz w:val="16"/>
                <w:szCs w:val="16"/>
                <w:lang w:val="en-US"/>
              </w:rPr>
              <w:t>Local</w:t>
            </w:r>
          </w:p>
        </w:tc>
        <w:tc>
          <w:tcPr>
            <w:tcW w:w="284" w:type="dxa"/>
            <w:shd w:val="clear" w:color="auto" w:fill="002060"/>
            <w:vAlign w:val="center"/>
          </w:tcPr>
          <w:p w:rsidR="00C821BE" w:rsidRPr="0010784C" w:rsidRDefault="00C821BE" w:rsidP="00C821BE">
            <w:pPr>
              <w:spacing w:after="0" w:line="240" w:lineRule="auto"/>
              <w:jc w:val="center"/>
              <w:rPr>
                <w:rFonts w:ascii="Times New Roman" w:hAnsi="Times New Roman"/>
                <w:b/>
                <w:sz w:val="16"/>
                <w:szCs w:val="16"/>
                <w:lang w:val="en-US"/>
              </w:rPr>
            </w:pPr>
            <w:r w:rsidRPr="0010784C">
              <w:rPr>
                <w:rFonts w:ascii="Times New Roman" w:hAnsi="Times New Roman"/>
                <w:b/>
                <w:sz w:val="16"/>
                <w:szCs w:val="16"/>
                <w:lang w:val="en-US"/>
              </w:rPr>
              <w:t>3</w:t>
            </w:r>
          </w:p>
        </w:tc>
        <w:tc>
          <w:tcPr>
            <w:tcW w:w="850" w:type="dxa"/>
            <w:vAlign w:val="center"/>
          </w:tcPr>
          <w:p w:rsidR="00C821BE" w:rsidRPr="0010784C" w:rsidRDefault="00C821BE" w:rsidP="00C821BE">
            <w:pPr>
              <w:spacing w:after="0" w:line="240" w:lineRule="auto"/>
              <w:jc w:val="center"/>
              <w:rPr>
                <w:rFonts w:ascii="Times New Roman" w:hAnsi="Times New Roman"/>
                <w:sz w:val="16"/>
                <w:szCs w:val="16"/>
                <w:lang w:val="en-US"/>
              </w:rPr>
            </w:pPr>
            <w:r w:rsidRPr="0010784C">
              <w:rPr>
                <w:rFonts w:ascii="Times New Roman" w:hAnsi="Times New Roman"/>
                <w:sz w:val="16"/>
                <w:szCs w:val="16"/>
                <w:lang w:val="en-US"/>
              </w:rPr>
              <w:t>Long</w:t>
            </w:r>
          </w:p>
        </w:tc>
        <w:tc>
          <w:tcPr>
            <w:tcW w:w="284" w:type="dxa"/>
            <w:shd w:val="clear" w:color="auto" w:fill="002060"/>
            <w:vAlign w:val="center"/>
          </w:tcPr>
          <w:p w:rsidR="00C821BE" w:rsidRPr="0010784C" w:rsidRDefault="00C821BE" w:rsidP="00C821BE">
            <w:pPr>
              <w:spacing w:after="0" w:line="240" w:lineRule="auto"/>
              <w:jc w:val="center"/>
              <w:rPr>
                <w:rFonts w:ascii="Times New Roman" w:hAnsi="Times New Roman"/>
                <w:b/>
                <w:sz w:val="16"/>
                <w:szCs w:val="16"/>
                <w:lang w:val="en-US"/>
              </w:rPr>
            </w:pPr>
            <w:r w:rsidRPr="0010784C">
              <w:rPr>
                <w:rFonts w:ascii="Times New Roman" w:hAnsi="Times New Roman"/>
                <w:b/>
                <w:sz w:val="16"/>
                <w:szCs w:val="16"/>
                <w:lang w:val="en-US"/>
              </w:rPr>
              <w:t>5</w:t>
            </w:r>
          </w:p>
        </w:tc>
        <w:tc>
          <w:tcPr>
            <w:tcW w:w="850" w:type="dxa"/>
            <w:shd w:val="clear" w:color="auto" w:fill="92D050"/>
            <w:vAlign w:val="center"/>
          </w:tcPr>
          <w:p w:rsidR="00C821BE" w:rsidRPr="0010784C" w:rsidRDefault="00C821BE" w:rsidP="00C821BE">
            <w:pPr>
              <w:spacing w:after="0" w:line="240" w:lineRule="auto"/>
              <w:jc w:val="center"/>
              <w:rPr>
                <w:rFonts w:ascii="Times New Roman" w:hAnsi="Times New Roman"/>
                <w:b/>
                <w:sz w:val="16"/>
                <w:szCs w:val="16"/>
                <w:lang w:val="en-US"/>
              </w:rPr>
            </w:pPr>
            <w:r w:rsidRPr="0010784C">
              <w:rPr>
                <w:rFonts w:ascii="Times New Roman" w:hAnsi="Times New Roman"/>
                <w:b/>
                <w:sz w:val="16"/>
                <w:szCs w:val="16"/>
                <w:lang w:val="en-US"/>
              </w:rPr>
              <w:t>Minor</w:t>
            </w:r>
          </w:p>
        </w:tc>
        <w:tc>
          <w:tcPr>
            <w:tcW w:w="586" w:type="dxa"/>
            <w:shd w:val="clear" w:color="auto" w:fill="92D050"/>
            <w:vAlign w:val="center"/>
          </w:tcPr>
          <w:p w:rsidR="00C821BE" w:rsidRPr="0010784C" w:rsidRDefault="00C821BE" w:rsidP="00C821BE">
            <w:pPr>
              <w:spacing w:after="0" w:line="240" w:lineRule="auto"/>
              <w:jc w:val="center"/>
              <w:rPr>
                <w:rFonts w:ascii="Times New Roman" w:hAnsi="Times New Roman"/>
                <w:b/>
                <w:sz w:val="16"/>
                <w:szCs w:val="16"/>
                <w:lang w:val="en-US"/>
              </w:rPr>
            </w:pPr>
            <w:r w:rsidRPr="0010784C">
              <w:rPr>
                <w:rFonts w:ascii="Times New Roman" w:hAnsi="Times New Roman"/>
                <w:b/>
                <w:sz w:val="16"/>
                <w:szCs w:val="16"/>
                <w:lang w:val="en-US"/>
              </w:rPr>
              <w:t>15</w:t>
            </w:r>
          </w:p>
        </w:tc>
      </w:tr>
      <w:tr w:rsidR="00C821BE" w:rsidRPr="0010784C" w:rsidTr="00C821BE">
        <w:trPr>
          <w:jc w:val="center"/>
        </w:trPr>
        <w:tc>
          <w:tcPr>
            <w:tcW w:w="988" w:type="dxa"/>
            <w:vMerge/>
            <w:shd w:val="clear" w:color="auto" w:fill="BDD6EE"/>
          </w:tcPr>
          <w:p w:rsidR="00C821BE" w:rsidRPr="0010784C" w:rsidRDefault="00C821BE" w:rsidP="00C821BE">
            <w:pPr>
              <w:spacing w:after="0" w:line="240" w:lineRule="auto"/>
              <w:jc w:val="both"/>
              <w:rPr>
                <w:rFonts w:ascii="Times New Roman" w:hAnsi="Times New Roman"/>
                <w:sz w:val="16"/>
                <w:szCs w:val="16"/>
                <w:lang w:val="en-US"/>
              </w:rPr>
            </w:pPr>
          </w:p>
        </w:tc>
        <w:tc>
          <w:tcPr>
            <w:tcW w:w="850" w:type="dxa"/>
            <w:vMerge/>
          </w:tcPr>
          <w:p w:rsidR="00C821BE" w:rsidRPr="0010784C" w:rsidRDefault="00C821BE" w:rsidP="00C821BE">
            <w:pPr>
              <w:spacing w:after="0" w:line="240" w:lineRule="auto"/>
              <w:jc w:val="both"/>
              <w:rPr>
                <w:rFonts w:ascii="Times New Roman" w:hAnsi="Times New Roman"/>
                <w:b/>
                <w:sz w:val="16"/>
                <w:szCs w:val="16"/>
                <w:lang w:val="en-US"/>
              </w:rPr>
            </w:pPr>
          </w:p>
        </w:tc>
        <w:tc>
          <w:tcPr>
            <w:tcW w:w="4536" w:type="dxa"/>
            <w:gridSpan w:val="3"/>
            <w:vAlign w:val="center"/>
          </w:tcPr>
          <w:p w:rsidR="00C821BE" w:rsidRPr="0010784C" w:rsidRDefault="00C821BE" w:rsidP="00C821BE">
            <w:pPr>
              <w:spacing w:after="0" w:line="240" w:lineRule="auto"/>
              <w:jc w:val="both"/>
              <w:rPr>
                <w:rFonts w:ascii="Times New Roman" w:hAnsi="Times New Roman"/>
                <w:sz w:val="16"/>
                <w:szCs w:val="16"/>
                <w:lang w:val="en-US"/>
              </w:rPr>
            </w:pPr>
            <w:r w:rsidRPr="0010784C">
              <w:rPr>
                <w:rFonts w:ascii="Times New Roman" w:hAnsi="Times New Roman"/>
                <w:sz w:val="16"/>
                <w:szCs w:val="16"/>
                <w:lang w:val="en-US"/>
              </w:rPr>
              <w:t>Risk of causing disturbances in the water distribution networks or risk of shutdown of the tanks for hours</w:t>
            </w:r>
          </w:p>
        </w:tc>
        <w:tc>
          <w:tcPr>
            <w:tcW w:w="851" w:type="dxa"/>
            <w:vAlign w:val="center"/>
          </w:tcPr>
          <w:p w:rsidR="00C821BE" w:rsidRPr="0010784C" w:rsidRDefault="00C821BE" w:rsidP="00C821BE">
            <w:pPr>
              <w:spacing w:after="0" w:line="240" w:lineRule="auto"/>
              <w:jc w:val="center"/>
              <w:rPr>
                <w:rFonts w:ascii="Times New Roman" w:hAnsi="Times New Roman"/>
                <w:sz w:val="16"/>
                <w:szCs w:val="16"/>
                <w:lang w:val="en-US"/>
              </w:rPr>
            </w:pPr>
            <w:r w:rsidRPr="0010784C">
              <w:rPr>
                <w:rFonts w:ascii="Times New Roman" w:hAnsi="Times New Roman"/>
                <w:sz w:val="16"/>
                <w:szCs w:val="16"/>
                <w:lang w:val="en-US"/>
              </w:rPr>
              <w:t>Average</w:t>
            </w:r>
          </w:p>
        </w:tc>
        <w:tc>
          <w:tcPr>
            <w:tcW w:w="283" w:type="dxa"/>
            <w:shd w:val="clear" w:color="auto" w:fill="002060"/>
            <w:vAlign w:val="center"/>
          </w:tcPr>
          <w:p w:rsidR="00C821BE" w:rsidRPr="0010784C" w:rsidRDefault="00C821BE" w:rsidP="00C821BE">
            <w:pPr>
              <w:spacing w:after="0" w:line="240" w:lineRule="auto"/>
              <w:jc w:val="center"/>
              <w:rPr>
                <w:rFonts w:ascii="Times New Roman" w:hAnsi="Times New Roman"/>
                <w:b/>
                <w:sz w:val="16"/>
                <w:szCs w:val="16"/>
                <w:lang w:val="en-US"/>
              </w:rPr>
            </w:pPr>
            <w:r w:rsidRPr="0010784C">
              <w:rPr>
                <w:rFonts w:ascii="Times New Roman" w:hAnsi="Times New Roman"/>
                <w:b/>
                <w:sz w:val="16"/>
                <w:szCs w:val="16"/>
                <w:lang w:val="en-US"/>
              </w:rPr>
              <w:t>3</w:t>
            </w:r>
          </w:p>
        </w:tc>
        <w:tc>
          <w:tcPr>
            <w:tcW w:w="992" w:type="dxa"/>
            <w:vAlign w:val="center"/>
          </w:tcPr>
          <w:p w:rsidR="00C821BE" w:rsidRPr="0010784C" w:rsidRDefault="00C821BE" w:rsidP="00C821BE">
            <w:pPr>
              <w:spacing w:after="0" w:line="240" w:lineRule="auto"/>
              <w:jc w:val="center"/>
              <w:rPr>
                <w:rFonts w:ascii="Times New Roman" w:hAnsi="Times New Roman"/>
                <w:sz w:val="16"/>
                <w:szCs w:val="16"/>
                <w:lang w:val="en-US"/>
              </w:rPr>
            </w:pPr>
            <w:r w:rsidRPr="0010784C">
              <w:rPr>
                <w:rFonts w:ascii="Times New Roman" w:hAnsi="Times New Roman"/>
                <w:sz w:val="16"/>
                <w:szCs w:val="16"/>
                <w:lang w:val="en-US"/>
              </w:rPr>
              <w:t>Local</w:t>
            </w:r>
          </w:p>
        </w:tc>
        <w:tc>
          <w:tcPr>
            <w:tcW w:w="284" w:type="dxa"/>
            <w:shd w:val="clear" w:color="auto" w:fill="002060"/>
            <w:vAlign w:val="center"/>
          </w:tcPr>
          <w:p w:rsidR="00C821BE" w:rsidRPr="0010784C" w:rsidRDefault="00C821BE" w:rsidP="00C821BE">
            <w:pPr>
              <w:spacing w:after="0" w:line="240" w:lineRule="auto"/>
              <w:jc w:val="center"/>
              <w:rPr>
                <w:rFonts w:ascii="Times New Roman" w:hAnsi="Times New Roman"/>
                <w:b/>
                <w:sz w:val="16"/>
                <w:szCs w:val="16"/>
                <w:lang w:val="en-US"/>
              </w:rPr>
            </w:pPr>
            <w:r w:rsidRPr="0010784C">
              <w:rPr>
                <w:rFonts w:ascii="Times New Roman" w:hAnsi="Times New Roman"/>
                <w:b/>
                <w:sz w:val="16"/>
                <w:szCs w:val="16"/>
                <w:lang w:val="en-US"/>
              </w:rPr>
              <w:t>3</w:t>
            </w:r>
          </w:p>
        </w:tc>
        <w:tc>
          <w:tcPr>
            <w:tcW w:w="850" w:type="dxa"/>
            <w:vAlign w:val="center"/>
          </w:tcPr>
          <w:p w:rsidR="00C821BE" w:rsidRPr="0010784C" w:rsidRDefault="00C821BE" w:rsidP="00C821BE">
            <w:pPr>
              <w:spacing w:after="0" w:line="240" w:lineRule="auto"/>
              <w:jc w:val="center"/>
              <w:rPr>
                <w:rFonts w:ascii="Times New Roman" w:hAnsi="Times New Roman"/>
                <w:sz w:val="16"/>
                <w:szCs w:val="16"/>
                <w:lang w:val="en-US"/>
              </w:rPr>
            </w:pPr>
            <w:r w:rsidRPr="0010784C">
              <w:rPr>
                <w:rFonts w:ascii="Times New Roman" w:hAnsi="Times New Roman"/>
                <w:sz w:val="16"/>
                <w:szCs w:val="16"/>
                <w:lang w:val="en-US"/>
              </w:rPr>
              <w:t>Short</w:t>
            </w:r>
          </w:p>
        </w:tc>
        <w:tc>
          <w:tcPr>
            <w:tcW w:w="284" w:type="dxa"/>
            <w:shd w:val="clear" w:color="auto" w:fill="002060"/>
            <w:vAlign w:val="center"/>
          </w:tcPr>
          <w:p w:rsidR="00C821BE" w:rsidRPr="0010784C" w:rsidRDefault="00C821BE" w:rsidP="00C821BE">
            <w:pPr>
              <w:spacing w:after="0" w:line="240" w:lineRule="auto"/>
              <w:jc w:val="center"/>
              <w:rPr>
                <w:rFonts w:ascii="Times New Roman" w:hAnsi="Times New Roman"/>
                <w:b/>
                <w:sz w:val="16"/>
                <w:szCs w:val="16"/>
                <w:lang w:val="en-US"/>
              </w:rPr>
            </w:pPr>
            <w:r w:rsidRPr="0010784C">
              <w:rPr>
                <w:rFonts w:ascii="Times New Roman" w:hAnsi="Times New Roman"/>
                <w:b/>
                <w:sz w:val="16"/>
                <w:szCs w:val="16"/>
                <w:lang w:val="en-US"/>
              </w:rPr>
              <w:t>1</w:t>
            </w:r>
          </w:p>
        </w:tc>
        <w:tc>
          <w:tcPr>
            <w:tcW w:w="850" w:type="dxa"/>
            <w:shd w:val="clear" w:color="auto" w:fill="92D050"/>
            <w:vAlign w:val="center"/>
          </w:tcPr>
          <w:p w:rsidR="00C821BE" w:rsidRPr="0010784C" w:rsidRDefault="00C821BE" w:rsidP="00C821BE">
            <w:pPr>
              <w:spacing w:after="0" w:line="240" w:lineRule="auto"/>
              <w:jc w:val="center"/>
              <w:rPr>
                <w:rFonts w:ascii="Times New Roman" w:hAnsi="Times New Roman"/>
                <w:b/>
                <w:sz w:val="16"/>
                <w:szCs w:val="16"/>
                <w:lang w:val="en-US"/>
              </w:rPr>
            </w:pPr>
            <w:r w:rsidRPr="0010784C">
              <w:rPr>
                <w:rFonts w:ascii="Times New Roman" w:hAnsi="Times New Roman"/>
                <w:b/>
                <w:sz w:val="16"/>
                <w:szCs w:val="16"/>
                <w:lang w:val="en-US"/>
              </w:rPr>
              <w:t>Minor</w:t>
            </w:r>
          </w:p>
        </w:tc>
        <w:tc>
          <w:tcPr>
            <w:tcW w:w="586" w:type="dxa"/>
            <w:shd w:val="clear" w:color="auto" w:fill="92D050"/>
            <w:vAlign w:val="center"/>
          </w:tcPr>
          <w:p w:rsidR="00C821BE" w:rsidRPr="0010784C" w:rsidRDefault="00C821BE" w:rsidP="00C821BE">
            <w:pPr>
              <w:spacing w:after="0" w:line="240" w:lineRule="auto"/>
              <w:jc w:val="center"/>
              <w:rPr>
                <w:rFonts w:ascii="Times New Roman" w:hAnsi="Times New Roman"/>
                <w:b/>
                <w:sz w:val="16"/>
                <w:szCs w:val="16"/>
                <w:lang w:val="en-US"/>
              </w:rPr>
            </w:pPr>
            <w:r w:rsidRPr="0010784C">
              <w:rPr>
                <w:rFonts w:ascii="Times New Roman" w:hAnsi="Times New Roman"/>
                <w:b/>
                <w:sz w:val="16"/>
                <w:szCs w:val="16"/>
                <w:lang w:val="en-US"/>
              </w:rPr>
              <w:t>9</w:t>
            </w:r>
          </w:p>
        </w:tc>
      </w:tr>
      <w:tr w:rsidR="00C821BE" w:rsidRPr="0010784C" w:rsidTr="00C821BE">
        <w:trPr>
          <w:jc w:val="center"/>
        </w:trPr>
        <w:tc>
          <w:tcPr>
            <w:tcW w:w="988" w:type="dxa"/>
            <w:vMerge/>
            <w:shd w:val="clear" w:color="auto" w:fill="BDD6EE"/>
          </w:tcPr>
          <w:p w:rsidR="00C821BE" w:rsidRPr="0010784C" w:rsidRDefault="00C821BE" w:rsidP="00C821BE">
            <w:pPr>
              <w:spacing w:after="0" w:line="240" w:lineRule="auto"/>
              <w:jc w:val="both"/>
              <w:rPr>
                <w:rFonts w:ascii="Times New Roman" w:hAnsi="Times New Roman"/>
                <w:sz w:val="16"/>
                <w:szCs w:val="16"/>
                <w:lang w:val="en-US"/>
              </w:rPr>
            </w:pPr>
          </w:p>
        </w:tc>
        <w:tc>
          <w:tcPr>
            <w:tcW w:w="850" w:type="dxa"/>
            <w:vMerge/>
          </w:tcPr>
          <w:p w:rsidR="00C821BE" w:rsidRPr="0010784C" w:rsidRDefault="00C821BE" w:rsidP="00C821BE">
            <w:pPr>
              <w:spacing w:after="0" w:line="240" w:lineRule="auto"/>
              <w:jc w:val="both"/>
              <w:rPr>
                <w:rFonts w:ascii="Times New Roman" w:hAnsi="Times New Roman"/>
                <w:b/>
                <w:sz w:val="16"/>
                <w:szCs w:val="16"/>
                <w:lang w:val="en-US"/>
              </w:rPr>
            </w:pPr>
          </w:p>
        </w:tc>
        <w:tc>
          <w:tcPr>
            <w:tcW w:w="4536" w:type="dxa"/>
            <w:gridSpan w:val="3"/>
            <w:vAlign w:val="center"/>
          </w:tcPr>
          <w:p w:rsidR="00C821BE" w:rsidRPr="0010784C" w:rsidRDefault="00C821BE" w:rsidP="00C821BE">
            <w:pPr>
              <w:spacing w:after="0" w:line="240" w:lineRule="auto"/>
              <w:jc w:val="both"/>
              <w:rPr>
                <w:rFonts w:ascii="Times New Roman" w:hAnsi="Times New Roman"/>
                <w:sz w:val="16"/>
                <w:szCs w:val="16"/>
                <w:lang w:val="en-US"/>
              </w:rPr>
            </w:pPr>
            <w:r w:rsidRPr="0010784C">
              <w:rPr>
                <w:rFonts w:ascii="Times New Roman" w:hAnsi="Times New Roman"/>
                <w:sz w:val="16"/>
                <w:szCs w:val="16"/>
                <w:lang w:val="en-US"/>
              </w:rPr>
              <w:t>Risk of increased insalubrity linked to poor wastewater management.</w:t>
            </w:r>
          </w:p>
        </w:tc>
        <w:tc>
          <w:tcPr>
            <w:tcW w:w="851" w:type="dxa"/>
            <w:vAlign w:val="center"/>
          </w:tcPr>
          <w:p w:rsidR="00C821BE" w:rsidRPr="0010784C" w:rsidRDefault="00C821BE" w:rsidP="00C821BE">
            <w:pPr>
              <w:spacing w:after="0" w:line="240" w:lineRule="auto"/>
              <w:jc w:val="center"/>
              <w:rPr>
                <w:rFonts w:ascii="Times New Roman" w:hAnsi="Times New Roman"/>
                <w:sz w:val="16"/>
                <w:szCs w:val="16"/>
                <w:lang w:val="en-US"/>
              </w:rPr>
            </w:pPr>
            <w:r w:rsidRPr="0010784C">
              <w:rPr>
                <w:rFonts w:ascii="Times New Roman" w:hAnsi="Times New Roman"/>
                <w:sz w:val="16"/>
                <w:szCs w:val="16"/>
                <w:lang w:val="en-US"/>
              </w:rPr>
              <w:t>Strong</w:t>
            </w:r>
          </w:p>
        </w:tc>
        <w:tc>
          <w:tcPr>
            <w:tcW w:w="283" w:type="dxa"/>
            <w:shd w:val="clear" w:color="auto" w:fill="002060"/>
            <w:vAlign w:val="center"/>
          </w:tcPr>
          <w:p w:rsidR="00C821BE" w:rsidRPr="0010784C" w:rsidRDefault="00C821BE" w:rsidP="00C821BE">
            <w:pPr>
              <w:spacing w:after="0" w:line="240" w:lineRule="auto"/>
              <w:jc w:val="center"/>
              <w:rPr>
                <w:rFonts w:ascii="Times New Roman" w:hAnsi="Times New Roman"/>
                <w:b/>
                <w:sz w:val="16"/>
                <w:szCs w:val="16"/>
                <w:lang w:val="en-US"/>
              </w:rPr>
            </w:pPr>
            <w:r w:rsidRPr="0010784C">
              <w:rPr>
                <w:rFonts w:ascii="Times New Roman" w:hAnsi="Times New Roman"/>
                <w:b/>
                <w:sz w:val="16"/>
                <w:szCs w:val="16"/>
                <w:lang w:val="en-US"/>
              </w:rPr>
              <w:t>5</w:t>
            </w:r>
          </w:p>
        </w:tc>
        <w:tc>
          <w:tcPr>
            <w:tcW w:w="992" w:type="dxa"/>
            <w:vAlign w:val="center"/>
          </w:tcPr>
          <w:p w:rsidR="00C821BE" w:rsidRPr="0010784C" w:rsidRDefault="00C821BE" w:rsidP="00C821BE">
            <w:pPr>
              <w:spacing w:after="0" w:line="240" w:lineRule="auto"/>
              <w:jc w:val="center"/>
              <w:rPr>
                <w:rFonts w:ascii="Times New Roman" w:hAnsi="Times New Roman"/>
                <w:sz w:val="16"/>
                <w:szCs w:val="16"/>
                <w:lang w:val="en-US"/>
              </w:rPr>
            </w:pPr>
            <w:r w:rsidRPr="0010784C">
              <w:rPr>
                <w:rFonts w:ascii="Times New Roman" w:hAnsi="Times New Roman"/>
                <w:sz w:val="16"/>
                <w:szCs w:val="16"/>
                <w:lang w:val="en-US"/>
              </w:rPr>
              <w:t>Local</w:t>
            </w:r>
          </w:p>
        </w:tc>
        <w:tc>
          <w:tcPr>
            <w:tcW w:w="284" w:type="dxa"/>
            <w:shd w:val="clear" w:color="auto" w:fill="002060"/>
            <w:vAlign w:val="center"/>
          </w:tcPr>
          <w:p w:rsidR="00C821BE" w:rsidRPr="0010784C" w:rsidRDefault="00C821BE" w:rsidP="00C821BE">
            <w:pPr>
              <w:spacing w:after="0" w:line="240" w:lineRule="auto"/>
              <w:jc w:val="center"/>
              <w:rPr>
                <w:rFonts w:ascii="Times New Roman" w:hAnsi="Times New Roman"/>
                <w:b/>
                <w:sz w:val="16"/>
                <w:szCs w:val="16"/>
                <w:lang w:val="en-US"/>
              </w:rPr>
            </w:pPr>
            <w:r w:rsidRPr="0010784C">
              <w:rPr>
                <w:rFonts w:ascii="Times New Roman" w:hAnsi="Times New Roman"/>
                <w:b/>
                <w:sz w:val="16"/>
                <w:szCs w:val="16"/>
                <w:lang w:val="en-US"/>
              </w:rPr>
              <w:t>3</w:t>
            </w:r>
          </w:p>
        </w:tc>
        <w:tc>
          <w:tcPr>
            <w:tcW w:w="850" w:type="dxa"/>
            <w:vAlign w:val="center"/>
          </w:tcPr>
          <w:p w:rsidR="00C821BE" w:rsidRPr="0010784C" w:rsidRDefault="00C821BE" w:rsidP="00C821BE">
            <w:pPr>
              <w:spacing w:after="0" w:line="240" w:lineRule="auto"/>
              <w:jc w:val="center"/>
              <w:rPr>
                <w:rFonts w:ascii="Times New Roman" w:hAnsi="Times New Roman"/>
                <w:sz w:val="16"/>
                <w:szCs w:val="16"/>
                <w:lang w:val="en-US"/>
              </w:rPr>
            </w:pPr>
            <w:r w:rsidRPr="0010784C">
              <w:rPr>
                <w:rFonts w:ascii="Times New Roman" w:hAnsi="Times New Roman"/>
                <w:sz w:val="16"/>
                <w:szCs w:val="16"/>
                <w:lang w:val="en-US"/>
              </w:rPr>
              <w:t>Long</w:t>
            </w:r>
          </w:p>
        </w:tc>
        <w:tc>
          <w:tcPr>
            <w:tcW w:w="284" w:type="dxa"/>
            <w:shd w:val="clear" w:color="auto" w:fill="002060"/>
            <w:vAlign w:val="center"/>
          </w:tcPr>
          <w:p w:rsidR="00C821BE" w:rsidRPr="0010784C" w:rsidRDefault="00C821BE" w:rsidP="00C821BE">
            <w:pPr>
              <w:spacing w:after="0" w:line="240" w:lineRule="auto"/>
              <w:jc w:val="center"/>
              <w:rPr>
                <w:rFonts w:ascii="Times New Roman" w:hAnsi="Times New Roman"/>
                <w:b/>
                <w:sz w:val="16"/>
                <w:szCs w:val="16"/>
                <w:lang w:val="en-US"/>
              </w:rPr>
            </w:pPr>
            <w:r w:rsidRPr="0010784C">
              <w:rPr>
                <w:rFonts w:ascii="Times New Roman" w:hAnsi="Times New Roman"/>
                <w:b/>
                <w:sz w:val="16"/>
                <w:szCs w:val="16"/>
                <w:lang w:val="en-US"/>
              </w:rPr>
              <w:t>5</w:t>
            </w:r>
          </w:p>
        </w:tc>
        <w:tc>
          <w:tcPr>
            <w:tcW w:w="850" w:type="dxa"/>
            <w:shd w:val="clear" w:color="auto" w:fill="FF0000"/>
            <w:vAlign w:val="center"/>
          </w:tcPr>
          <w:p w:rsidR="00C821BE" w:rsidRPr="0010784C" w:rsidRDefault="00C821BE" w:rsidP="00C821BE">
            <w:pPr>
              <w:spacing w:after="0" w:line="240" w:lineRule="auto"/>
              <w:jc w:val="center"/>
              <w:rPr>
                <w:rFonts w:ascii="Times New Roman" w:hAnsi="Times New Roman"/>
                <w:b/>
                <w:sz w:val="16"/>
                <w:szCs w:val="16"/>
                <w:lang w:val="en-US"/>
              </w:rPr>
            </w:pPr>
            <w:r w:rsidRPr="0010784C">
              <w:rPr>
                <w:rFonts w:ascii="Times New Roman" w:hAnsi="Times New Roman"/>
                <w:b/>
                <w:sz w:val="16"/>
                <w:szCs w:val="16"/>
                <w:lang w:val="en-US"/>
              </w:rPr>
              <w:t>Major</w:t>
            </w:r>
          </w:p>
        </w:tc>
        <w:tc>
          <w:tcPr>
            <w:tcW w:w="586" w:type="dxa"/>
            <w:shd w:val="clear" w:color="auto" w:fill="FF0000"/>
            <w:vAlign w:val="center"/>
          </w:tcPr>
          <w:p w:rsidR="00C821BE" w:rsidRPr="0010784C" w:rsidRDefault="00C821BE" w:rsidP="00C821BE">
            <w:pPr>
              <w:spacing w:after="0" w:line="240" w:lineRule="auto"/>
              <w:jc w:val="center"/>
              <w:rPr>
                <w:rFonts w:ascii="Times New Roman" w:hAnsi="Times New Roman"/>
                <w:b/>
                <w:sz w:val="16"/>
                <w:szCs w:val="16"/>
                <w:lang w:val="en-US"/>
              </w:rPr>
            </w:pPr>
            <w:r w:rsidRPr="0010784C">
              <w:rPr>
                <w:rFonts w:ascii="Times New Roman" w:hAnsi="Times New Roman"/>
                <w:b/>
                <w:sz w:val="16"/>
                <w:szCs w:val="16"/>
                <w:lang w:val="en-US"/>
              </w:rPr>
              <w:t>75</w:t>
            </w:r>
          </w:p>
        </w:tc>
      </w:tr>
    </w:tbl>
    <w:p w:rsidR="00C821BE" w:rsidRPr="0010784C" w:rsidRDefault="00C821BE" w:rsidP="00C821BE">
      <w:pPr>
        <w:pStyle w:val="PargrafodaLista"/>
        <w:numPr>
          <w:ilvl w:val="0"/>
          <w:numId w:val="245"/>
        </w:numPr>
        <w:tabs>
          <w:tab w:val="left" w:pos="1418"/>
          <w:tab w:val="left" w:pos="1843"/>
        </w:tabs>
        <w:spacing w:after="240" w:line="240" w:lineRule="auto"/>
        <w:ind w:right="-283"/>
        <w:contextualSpacing w:val="0"/>
        <w:rPr>
          <w:rFonts w:ascii="Times New Roman" w:hAnsi="Times New Roman"/>
          <w:b/>
          <w:bCs/>
          <w:i/>
          <w:sz w:val="22"/>
          <w:szCs w:val="22"/>
          <w:lang w:val="en-US"/>
        </w:rPr>
      </w:pPr>
      <w:r w:rsidRPr="0010784C">
        <w:rPr>
          <w:rFonts w:ascii="Times New Roman" w:hAnsi="Times New Roman"/>
          <w:b/>
          <w:bCs/>
          <w:i/>
          <w:sz w:val="22"/>
          <w:szCs w:val="22"/>
          <w:lang w:val="en-US"/>
        </w:rPr>
        <w:t>RISK ANALYSIS</w:t>
      </w:r>
    </w:p>
    <w:p w:rsidR="00C821BE" w:rsidRPr="0010784C" w:rsidRDefault="00C821BE" w:rsidP="00C821BE">
      <w:pPr>
        <w:spacing w:after="120" w:line="240" w:lineRule="auto"/>
        <w:ind w:left="-284" w:right="-853"/>
        <w:jc w:val="both"/>
        <w:rPr>
          <w:rFonts w:ascii="Times New Roman" w:hAnsi="Times New Roman" w:cs="Times New Roman"/>
          <w:bCs/>
          <w:lang w:val="en-US"/>
        </w:rPr>
      </w:pPr>
      <w:r w:rsidRPr="0010784C">
        <w:rPr>
          <w:rFonts w:ascii="Times New Roman" w:hAnsi="Times New Roman" w:cs="Times New Roman"/>
          <w:bCs/>
          <w:lang w:val="en-US"/>
        </w:rPr>
        <w:t>In this chapter, the technological risks and the professional risks linked to the project will be analyzed. The risk analysis concerns the construction phase as well as the operation phase.</w:t>
      </w:r>
    </w:p>
    <w:p w:rsidR="00C821BE" w:rsidRPr="0010784C" w:rsidRDefault="00C821BE" w:rsidP="00C821BE">
      <w:pPr>
        <w:pStyle w:val="PargrafodaLista"/>
        <w:keepNext/>
        <w:numPr>
          <w:ilvl w:val="1"/>
          <w:numId w:val="244"/>
        </w:numPr>
        <w:spacing w:before="240" w:after="0"/>
        <w:jc w:val="both"/>
        <w:rPr>
          <w:rFonts w:ascii="Times New Roman" w:hAnsi="Times New Roman"/>
          <w:b/>
          <w:i/>
          <w:lang w:val="en-US" w:eastAsia="fr-FR"/>
        </w:rPr>
      </w:pPr>
      <w:r w:rsidRPr="0010784C">
        <w:rPr>
          <w:rFonts w:ascii="Times New Roman" w:hAnsi="Times New Roman"/>
          <w:b/>
          <w:i/>
          <w:lang w:val="en-US" w:eastAsia="fr-FR"/>
        </w:rPr>
        <w:t>Technological risk analysis</w:t>
      </w:r>
    </w:p>
    <w:p w:rsidR="00C821BE" w:rsidRPr="0010784C" w:rsidRDefault="00C821BE" w:rsidP="00C821BE">
      <w:pPr>
        <w:spacing w:after="120" w:line="240" w:lineRule="auto"/>
        <w:ind w:left="-284" w:right="-853"/>
        <w:jc w:val="both"/>
        <w:rPr>
          <w:rFonts w:ascii="Times New Roman" w:hAnsi="Times New Roman" w:cs="Times New Roman"/>
          <w:bCs/>
          <w:lang w:val="en-US"/>
        </w:rPr>
      </w:pPr>
      <w:r w:rsidRPr="0010784C">
        <w:rPr>
          <w:rFonts w:ascii="Times New Roman" w:hAnsi="Times New Roman" w:cs="Times New Roman"/>
          <w:bCs/>
          <w:lang w:val="en-US"/>
        </w:rPr>
        <w:t>The objective of the risk analysis is, on the one hand, to identify the situations which may be at the origin of an accident, and on the other hand, to analyze the safety barriers (preventive measures, means protection and intervention) associated with it. It is ultimately about examining:</w:t>
      </w:r>
    </w:p>
    <w:p w:rsidR="00C821BE" w:rsidRPr="0010784C" w:rsidRDefault="00C821BE" w:rsidP="00C821BE">
      <w:pPr>
        <w:numPr>
          <w:ilvl w:val="0"/>
          <w:numId w:val="249"/>
        </w:numPr>
        <w:spacing w:after="200" w:line="240" w:lineRule="auto"/>
        <w:ind w:right="-283"/>
        <w:contextualSpacing/>
        <w:jc w:val="both"/>
        <w:rPr>
          <w:rFonts w:ascii="Times New Roman" w:hAnsi="Times New Roman"/>
          <w:sz w:val="20"/>
          <w:szCs w:val="20"/>
          <w:lang w:val="en-US"/>
        </w:rPr>
      </w:pPr>
      <w:r w:rsidRPr="0010784C">
        <w:rPr>
          <w:rFonts w:ascii="Times New Roman" w:hAnsi="Times New Roman"/>
          <w:sz w:val="20"/>
          <w:szCs w:val="20"/>
          <w:lang w:val="en-US"/>
        </w:rPr>
        <w:t>Internal failures: product-related hazards, intrinsic failures related to the malfunction of installations, poor design or operation of equipment, etc.</w:t>
      </w:r>
    </w:p>
    <w:p w:rsidR="00C821BE" w:rsidRPr="0010784C" w:rsidRDefault="00C821BE" w:rsidP="00C821BE">
      <w:pPr>
        <w:numPr>
          <w:ilvl w:val="0"/>
          <w:numId w:val="249"/>
        </w:numPr>
        <w:spacing w:after="200" w:line="240" w:lineRule="auto"/>
        <w:ind w:right="-283"/>
        <w:contextualSpacing/>
        <w:jc w:val="both"/>
        <w:rPr>
          <w:rFonts w:ascii="Times New Roman" w:hAnsi="Times New Roman"/>
          <w:sz w:val="20"/>
          <w:szCs w:val="20"/>
          <w:lang w:val="en-US"/>
        </w:rPr>
      </w:pPr>
      <w:r w:rsidRPr="0010784C">
        <w:rPr>
          <w:rFonts w:ascii="Times New Roman" w:hAnsi="Times New Roman"/>
          <w:sz w:val="20"/>
          <w:szCs w:val="20"/>
          <w:lang w:val="en-US"/>
        </w:rPr>
        <w:lastRenderedPageBreak/>
        <w:t>Failures of external origin, which result from equipment failure, itself following an external attack (other external activities, natural risks, etc.).</w:t>
      </w:r>
    </w:p>
    <w:p w:rsidR="00C821BE" w:rsidRPr="0010784C" w:rsidRDefault="00C821BE" w:rsidP="00C821BE">
      <w:pPr>
        <w:spacing w:after="200" w:line="240" w:lineRule="auto"/>
        <w:ind w:left="720" w:right="-283"/>
        <w:contextualSpacing/>
        <w:jc w:val="both"/>
        <w:rPr>
          <w:rFonts w:ascii="Times New Roman" w:hAnsi="Times New Roman"/>
          <w:sz w:val="20"/>
          <w:szCs w:val="20"/>
          <w:lang w:val="en-US"/>
        </w:rPr>
      </w:pPr>
    </w:p>
    <w:p w:rsidR="00C821BE" w:rsidRPr="0010784C" w:rsidRDefault="00C821BE" w:rsidP="00C821BE">
      <w:pPr>
        <w:spacing w:after="120" w:line="240" w:lineRule="auto"/>
        <w:ind w:left="-284" w:right="-853"/>
        <w:jc w:val="both"/>
        <w:rPr>
          <w:rFonts w:ascii="Times New Roman" w:hAnsi="Times New Roman" w:cs="Times New Roman"/>
          <w:bCs/>
          <w:lang w:val="en-US"/>
        </w:rPr>
      </w:pPr>
      <w:r w:rsidRPr="0010784C">
        <w:rPr>
          <w:rFonts w:ascii="Times New Roman" w:hAnsi="Times New Roman" w:cs="Times New Roman"/>
          <w:bCs/>
          <w:lang w:val="en-US"/>
        </w:rPr>
        <w:t>The main elements sensitive to hazards are described in the chapter describing the basic environmental conditions and in the project presentation chapter.</w:t>
      </w:r>
    </w:p>
    <w:p w:rsidR="00C821BE" w:rsidRPr="0010784C" w:rsidRDefault="00C821BE" w:rsidP="00C821BE">
      <w:pPr>
        <w:pStyle w:val="PargrafodaLista"/>
        <w:numPr>
          <w:ilvl w:val="0"/>
          <w:numId w:val="250"/>
        </w:numPr>
        <w:spacing w:after="0" w:line="240" w:lineRule="auto"/>
        <w:ind w:right="-283"/>
        <w:contextualSpacing w:val="0"/>
        <w:jc w:val="both"/>
        <w:rPr>
          <w:rFonts w:ascii="Times New Roman" w:hAnsi="Times New Roman"/>
          <w:lang w:val="en-US"/>
        </w:rPr>
      </w:pPr>
      <w:r w:rsidRPr="0010784C">
        <w:rPr>
          <w:rFonts w:ascii="Times New Roman" w:hAnsi="Times New Roman"/>
          <w:lang w:val="en-US"/>
        </w:rPr>
        <w:t>Hazards related to products used during the construction phase</w:t>
      </w:r>
    </w:p>
    <w:p w:rsidR="00C821BE" w:rsidRPr="0010784C" w:rsidRDefault="00C821BE" w:rsidP="00C821BE">
      <w:pPr>
        <w:pStyle w:val="PargrafodaLista"/>
        <w:numPr>
          <w:ilvl w:val="0"/>
          <w:numId w:val="250"/>
        </w:numPr>
        <w:spacing w:after="0" w:line="240" w:lineRule="auto"/>
        <w:ind w:right="-283"/>
        <w:contextualSpacing w:val="0"/>
        <w:jc w:val="both"/>
        <w:rPr>
          <w:rFonts w:ascii="Times New Roman" w:hAnsi="Times New Roman"/>
          <w:lang w:val="en-US"/>
        </w:rPr>
      </w:pPr>
      <w:r w:rsidRPr="0010784C">
        <w:rPr>
          <w:rFonts w:ascii="Times New Roman" w:hAnsi="Times New Roman"/>
          <w:lang w:val="en-US"/>
        </w:rPr>
        <w:t>Dangers related to equipment / processes during the construction phase</w:t>
      </w:r>
    </w:p>
    <w:p w:rsidR="00C821BE" w:rsidRPr="0010784C" w:rsidRDefault="00C821BE" w:rsidP="00C821BE">
      <w:pPr>
        <w:pStyle w:val="PargrafodaLista"/>
        <w:numPr>
          <w:ilvl w:val="0"/>
          <w:numId w:val="250"/>
        </w:numPr>
        <w:spacing w:after="0" w:line="240" w:lineRule="auto"/>
        <w:ind w:right="-283"/>
        <w:contextualSpacing w:val="0"/>
        <w:jc w:val="both"/>
        <w:rPr>
          <w:rFonts w:ascii="Times New Roman" w:hAnsi="Times New Roman"/>
          <w:lang w:val="en-US"/>
        </w:rPr>
      </w:pPr>
      <w:r w:rsidRPr="0010784C">
        <w:rPr>
          <w:rFonts w:ascii="Times New Roman" w:hAnsi="Times New Roman"/>
          <w:lang w:val="en-US"/>
        </w:rPr>
        <w:t>Hazards associated with operating installations</w:t>
      </w:r>
    </w:p>
    <w:p w:rsidR="00C821BE" w:rsidRPr="0010784C" w:rsidRDefault="00C821BE" w:rsidP="00C821BE">
      <w:pPr>
        <w:pStyle w:val="PargrafodaLista"/>
        <w:ind w:right="-283"/>
        <w:jc w:val="both"/>
        <w:rPr>
          <w:rFonts w:ascii="Times New Roman" w:hAnsi="Times New Roman"/>
          <w:lang w:val="en-US"/>
        </w:rPr>
      </w:pPr>
    </w:p>
    <w:p w:rsidR="00C821BE" w:rsidRPr="0010784C" w:rsidRDefault="00C821BE" w:rsidP="00C821BE">
      <w:pPr>
        <w:pStyle w:val="PargrafodaLista"/>
        <w:numPr>
          <w:ilvl w:val="0"/>
          <w:numId w:val="251"/>
        </w:numPr>
        <w:spacing w:after="0" w:line="240" w:lineRule="auto"/>
        <w:ind w:right="-283"/>
        <w:contextualSpacing w:val="0"/>
        <w:jc w:val="both"/>
        <w:rPr>
          <w:b/>
          <w:i/>
          <w:lang w:val="en-US"/>
        </w:rPr>
      </w:pPr>
      <w:r w:rsidRPr="0010784C">
        <w:rPr>
          <w:b/>
          <w:i/>
          <w:lang w:val="en-US"/>
        </w:rPr>
        <w:t>ACCIDENTOLOGY STUDY</w:t>
      </w:r>
    </w:p>
    <w:p w:rsidR="00C821BE" w:rsidRPr="0010784C" w:rsidRDefault="00C821BE" w:rsidP="00C821BE">
      <w:pPr>
        <w:spacing w:after="120" w:line="240" w:lineRule="auto"/>
        <w:ind w:left="-284" w:right="-853"/>
        <w:jc w:val="both"/>
        <w:rPr>
          <w:rFonts w:ascii="Times New Roman" w:hAnsi="Times New Roman" w:cs="Times New Roman"/>
          <w:bCs/>
          <w:lang w:val="en-US"/>
        </w:rPr>
      </w:pPr>
      <w:r w:rsidRPr="0010784C">
        <w:rPr>
          <w:rFonts w:ascii="Times New Roman" w:hAnsi="Times New Roman" w:cs="Times New Roman"/>
          <w:bCs/>
          <w:lang w:val="en-US"/>
        </w:rPr>
        <w:t>The accident analysis shows that the achievements to receive are likely to be at the origin of several major accidents.</w:t>
      </w:r>
    </w:p>
    <w:p w:rsidR="00C821BE" w:rsidRPr="0010784C" w:rsidRDefault="00C821BE" w:rsidP="00C821BE">
      <w:pPr>
        <w:spacing w:after="120" w:line="240" w:lineRule="auto"/>
        <w:ind w:left="-284" w:right="-853"/>
        <w:jc w:val="both"/>
        <w:rPr>
          <w:rFonts w:ascii="Times New Roman" w:hAnsi="Times New Roman" w:cs="Times New Roman"/>
          <w:bCs/>
          <w:lang w:val="en-US"/>
        </w:rPr>
      </w:pPr>
      <w:r w:rsidRPr="0010784C">
        <w:rPr>
          <w:rFonts w:ascii="Times New Roman" w:hAnsi="Times New Roman" w:cs="Times New Roman"/>
          <w:bCs/>
          <w:lang w:val="en-US"/>
        </w:rPr>
        <w:t>The causes range from material failures and criminal acts to human or procedural errors.</w:t>
      </w:r>
    </w:p>
    <w:p w:rsidR="00C821BE" w:rsidRPr="0010784C" w:rsidRDefault="00C821BE" w:rsidP="00C821BE">
      <w:pPr>
        <w:spacing w:after="120" w:line="240" w:lineRule="auto"/>
        <w:ind w:left="-284" w:right="-853"/>
        <w:jc w:val="both"/>
        <w:rPr>
          <w:rFonts w:ascii="Times New Roman" w:hAnsi="Times New Roman" w:cs="Times New Roman"/>
          <w:bCs/>
          <w:lang w:val="en-US"/>
        </w:rPr>
      </w:pPr>
      <w:r w:rsidRPr="0010784C">
        <w:rPr>
          <w:rFonts w:ascii="Times New Roman" w:hAnsi="Times New Roman" w:cs="Times New Roman"/>
          <w:bCs/>
          <w:lang w:val="en-US"/>
        </w:rPr>
        <w:t>The main causes that have been listed for this sound project:</w:t>
      </w:r>
    </w:p>
    <w:p w:rsidR="00C821BE" w:rsidRPr="0010784C" w:rsidRDefault="00C821BE" w:rsidP="00C821BE">
      <w:pPr>
        <w:pStyle w:val="PargrafodaLista"/>
        <w:numPr>
          <w:ilvl w:val="1"/>
          <w:numId w:val="248"/>
        </w:numPr>
        <w:spacing w:after="240" w:line="240" w:lineRule="auto"/>
        <w:ind w:left="924" w:right="-283" w:hanging="357"/>
        <w:jc w:val="both"/>
        <w:rPr>
          <w:rFonts w:ascii="Times New Roman" w:hAnsi="Times New Roman"/>
          <w:lang w:val="en-US"/>
        </w:rPr>
      </w:pPr>
      <w:r w:rsidRPr="0010784C">
        <w:rPr>
          <w:rFonts w:ascii="Times New Roman" w:hAnsi="Times New Roman"/>
          <w:lang w:val="en-US"/>
        </w:rPr>
        <w:t>Hardware failure,</w:t>
      </w:r>
    </w:p>
    <w:p w:rsidR="00C821BE" w:rsidRPr="0010784C" w:rsidRDefault="00C821BE" w:rsidP="00C821BE">
      <w:pPr>
        <w:pStyle w:val="PargrafodaLista"/>
        <w:numPr>
          <w:ilvl w:val="1"/>
          <w:numId w:val="248"/>
        </w:numPr>
        <w:spacing w:after="240" w:line="240" w:lineRule="auto"/>
        <w:ind w:left="924" w:right="-283" w:hanging="357"/>
        <w:jc w:val="both"/>
        <w:rPr>
          <w:rFonts w:ascii="Times New Roman" w:hAnsi="Times New Roman"/>
          <w:lang w:val="en-US"/>
        </w:rPr>
      </w:pPr>
      <w:r w:rsidRPr="0010784C">
        <w:rPr>
          <w:rFonts w:ascii="Times New Roman" w:hAnsi="Times New Roman"/>
          <w:lang w:val="en-US"/>
        </w:rPr>
        <w:t>Human failure,</w:t>
      </w:r>
    </w:p>
    <w:p w:rsidR="00C821BE" w:rsidRPr="0010784C" w:rsidRDefault="00C821BE" w:rsidP="00C821BE">
      <w:pPr>
        <w:pStyle w:val="PargrafodaLista"/>
        <w:numPr>
          <w:ilvl w:val="1"/>
          <w:numId w:val="248"/>
        </w:numPr>
        <w:spacing w:after="240" w:line="240" w:lineRule="auto"/>
        <w:ind w:left="924" w:right="-283" w:hanging="357"/>
        <w:jc w:val="both"/>
        <w:rPr>
          <w:rFonts w:ascii="Times New Roman" w:hAnsi="Times New Roman"/>
          <w:lang w:val="en-US"/>
        </w:rPr>
      </w:pPr>
      <w:r w:rsidRPr="0010784C">
        <w:rPr>
          <w:rFonts w:ascii="Times New Roman" w:hAnsi="Times New Roman"/>
          <w:lang w:val="en-US"/>
        </w:rPr>
        <w:t>Malevolence,</w:t>
      </w:r>
    </w:p>
    <w:p w:rsidR="00C821BE" w:rsidRPr="0010784C" w:rsidRDefault="00C821BE" w:rsidP="00C821BE">
      <w:pPr>
        <w:pStyle w:val="PargrafodaLista"/>
        <w:numPr>
          <w:ilvl w:val="1"/>
          <w:numId w:val="248"/>
        </w:numPr>
        <w:spacing w:after="240" w:line="240" w:lineRule="auto"/>
        <w:ind w:left="924" w:right="-283" w:hanging="357"/>
        <w:jc w:val="both"/>
        <w:rPr>
          <w:rFonts w:ascii="Times New Roman" w:hAnsi="Times New Roman"/>
          <w:lang w:val="en-US"/>
        </w:rPr>
      </w:pPr>
      <w:r w:rsidRPr="0010784C">
        <w:rPr>
          <w:rFonts w:ascii="Times New Roman" w:hAnsi="Times New Roman"/>
          <w:lang w:val="en-US"/>
        </w:rPr>
        <w:t>Insufficient intervention,</w:t>
      </w:r>
    </w:p>
    <w:p w:rsidR="00C821BE" w:rsidRPr="0010784C" w:rsidRDefault="00C821BE" w:rsidP="00C821BE">
      <w:pPr>
        <w:pStyle w:val="PargrafodaLista"/>
        <w:numPr>
          <w:ilvl w:val="1"/>
          <w:numId w:val="248"/>
        </w:numPr>
        <w:spacing w:after="240" w:line="240" w:lineRule="auto"/>
        <w:ind w:left="924" w:right="-283" w:hanging="357"/>
        <w:jc w:val="both"/>
        <w:rPr>
          <w:rFonts w:ascii="Times New Roman" w:hAnsi="Times New Roman"/>
          <w:lang w:val="en-US"/>
        </w:rPr>
      </w:pPr>
      <w:r w:rsidRPr="0010784C">
        <w:rPr>
          <w:rFonts w:ascii="Times New Roman" w:hAnsi="Times New Roman"/>
          <w:lang w:val="en-US"/>
        </w:rPr>
        <w:t>Exterior accident.</w:t>
      </w:r>
    </w:p>
    <w:p w:rsidR="00C821BE" w:rsidRPr="0010784C" w:rsidRDefault="00C821BE" w:rsidP="00C821BE">
      <w:pPr>
        <w:spacing w:after="120" w:line="240" w:lineRule="auto"/>
        <w:ind w:left="-284" w:right="-853"/>
        <w:jc w:val="both"/>
        <w:rPr>
          <w:rFonts w:ascii="Times New Roman" w:hAnsi="Times New Roman" w:cs="Times New Roman"/>
          <w:bCs/>
          <w:lang w:val="en-US"/>
        </w:rPr>
      </w:pPr>
      <w:r w:rsidRPr="0010784C">
        <w:rPr>
          <w:rFonts w:ascii="Times New Roman" w:hAnsi="Times New Roman" w:cs="Times New Roman"/>
          <w:bCs/>
          <w:lang w:val="en-US"/>
        </w:rPr>
        <w:t>Thus, the analysis of the accidentology and the identification of the potential dangers linked to the tanks and equipment and to the stored substances, shows that the events which can be feared for such projects are:</w:t>
      </w:r>
    </w:p>
    <w:p w:rsidR="00C821BE" w:rsidRPr="0010784C" w:rsidRDefault="00C821BE" w:rsidP="00C821BE">
      <w:pPr>
        <w:numPr>
          <w:ilvl w:val="0"/>
          <w:numId w:val="96"/>
        </w:numPr>
        <w:spacing w:after="0"/>
        <w:jc w:val="both"/>
        <w:rPr>
          <w:rFonts w:ascii="Times New Roman" w:hAnsi="Times New Roman"/>
          <w:sz w:val="20"/>
          <w:szCs w:val="20"/>
          <w:lang w:val="en-US"/>
        </w:rPr>
      </w:pPr>
      <w:r w:rsidRPr="0010784C">
        <w:rPr>
          <w:rFonts w:ascii="Times New Roman" w:hAnsi="Times New Roman"/>
          <w:sz w:val="20"/>
          <w:szCs w:val="20"/>
          <w:lang w:val="en-US"/>
        </w:rPr>
        <w:t>Fire and / or explosion of the generator set;</w:t>
      </w:r>
    </w:p>
    <w:p w:rsidR="00C821BE" w:rsidRPr="0010784C" w:rsidRDefault="00C821BE" w:rsidP="00C821BE">
      <w:pPr>
        <w:numPr>
          <w:ilvl w:val="0"/>
          <w:numId w:val="96"/>
        </w:numPr>
        <w:spacing w:after="0"/>
        <w:jc w:val="both"/>
        <w:rPr>
          <w:rFonts w:ascii="Times New Roman" w:hAnsi="Times New Roman"/>
          <w:sz w:val="20"/>
          <w:szCs w:val="20"/>
          <w:lang w:val="en-US"/>
        </w:rPr>
      </w:pPr>
      <w:r w:rsidRPr="0010784C">
        <w:rPr>
          <w:rFonts w:ascii="Times New Roman" w:hAnsi="Times New Roman"/>
          <w:sz w:val="20"/>
          <w:szCs w:val="20"/>
          <w:lang w:val="en-US"/>
        </w:rPr>
        <w:t>Fire in an oil retention basin;</w:t>
      </w:r>
    </w:p>
    <w:p w:rsidR="00C821BE" w:rsidRPr="0010784C" w:rsidRDefault="00C821BE" w:rsidP="00C821BE">
      <w:pPr>
        <w:numPr>
          <w:ilvl w:val="0"/>
          <w:numId w:val="96"/>
        </w:numPr>
        <w:spacing w:after="0"/>
        <w:jc w:val="both"/>
        <w:rPr>
          <w:rFonts w:ascii="Times New Roman" w:hAnsi="Times New Roman"/>
          <w:sz w:val="20"/>
          <w:szCs w:val="20"/>
          <w:lang w:val="en-US"/>
        </w:rPr>
      </w:pPr>
      <w:r w:rsidRPr="0010784C">
        <w:rPr>
          <w:rFonts w:ascii="Times New Roman" w:hAnsi="Times New Roman"/>
          <w:sz w:val="20"/>
          <w:szCs w:val="20"/>
          <w:lang w:val="en-US"/>
        </w:rPr>
        <w:t>Collapse of a water tower;</w:t>
      </w:r>
    </w:p>
    <w:p w:rsidR="00C821BE" w:rsidRPr="0010784C" w:rsidRDefault="00C821BE" w:rsidP="00C821BE">
      <w:pPr>
        <w:numPr>
          <w:ilvl w:val="0"/>
          <w:numId w:val="96"/>
        </w:numPr>
        <w:spacing w:after="0"/>
        <w:jc w:val="both"/>
        <w:rPr>
          <w:rFonts w:ascii="Times New Roman" w:hAnsi="Times New Roman"/>
          <w:sz w:val="20"/>
          <w:szCs w:val="20"/>
          <w:lang w:val="en-US"/>
        </w:rPr>
      </w:pPr>
      <w:r w:rsidRPr="0010784C">
        <w:rPr>
          <w:rFonts w:ascii="Times New Roman" w:hAnsi="Times New Roman"/>
          <w:sz w:val="20"/>
          <w:szCs w:val="20"/>
          <w:lang w:val="en-US"/>
        </w:rPr>
        <w:t>Broken pipes;</w:t>
      </w:r>
    </w:p>
    <w:p w:rsidR="00C821BE" w:rsidRPr="0010784C" w:rsidRDefault="00C821BE" w:rsidP="00C821BE">
      <w:pPr>
        <w:numPr>
          <w:ilvl w:val="0"/>
          <w:numId w:val="96"/>
        </w:numPr>
        <w:spacing w:after="0"/>
        <w:jc w:val="both"/>
        <w:rPr>
          <w:rFonts w:ascii="Times New Roman" w:hAnsi="Times New Roman"/>
          <w:sz w:val="20"/>
          <w:szCs w:val="20"/>
          <w:lang w:val="en-US"/>
        </w:rPr>
      </w:pPr>
      <w:r w:rsidRPr="0010784C">
        <w:rPr>
          <w:rFonts w:ascii="Times New Roman" w:hAnsi="Times New Roman"/>
          <w:sz w:val="20"/>
          <w:szCs w:val="20"/>
          <w:lang w:val="en-US"/>
        </w:rPr>
        <w:t>Water pollution in the reservoir;</w:t>
      </w:r>
    </w:p>
    <w:p w:rsidR="00C821BE" w:rsidRPr="0010784C" w:rsidRDefault="00C821BE" w:rsidP="00C821BE">
      <w:pPr>
        <w:spacing w:after="0"/>
        <w:ind w:left="720"/>
        <w:jc w:val="both"/>
        <w:rPr>
          <w:rFonts w:ascii="Times New Roman" w:hAnsi="Times New Roman"/>
          <w:sz w:val="24"/>
          <w:szCs w:val="24"/>
          <w:lang w:val="en-US"/>
        </w:rPr>
      </w:pPr>
    </w:p>
    <w:p w:rsidR="00C821BE" w:rsidRPr="0010784C" w:rsidRDefault="00C821BE" w:rsidP="00C821BE">
      <w:pPr>
        <w:pStyle w:val="PargrafodaLista"/>
        <w:numPr>
          <w:ilvl w:val="0"/>
          <w:numId w:val="245"/>
        </w:numPr>
        <w:tabs>
          <w:tab w:val="left" w:pos="1418"/>
          <w:tab w:val="left" w:pos="1843"/>
        </w:tabs>
        <w:spacing w:after="240" w:line="240" w:lineRule="auto"/>
        <w:ind w:right="-283"/>
        <w:contextualSpacing w:val="0"/>
        <w:rPr>
          <w:rFonts w:ascii="Times New Roman" w:hAnsi="Times New Roman"/>
          <w:b/>
          <w:bCs/>
          <w:i/>
          <w:sz w:val="22"/>
          <w:szCs w:val="22"/>
          <w:lang w:val="en-US"/>
        </w:rPr>
      </w:pPr>
      <w:r w:rsidRPr="0010784C">
        <w:rPr>
          <w:rFonts w:ascii="Times New Roman" w:hAnsi="Times New Roman"/>
          <w:b/>
          <w:bCs/>
          <w:i/>
          <w:sz w:val="22"/>
          <w:szCs w:val="22"/>
          <w:lang w:val="en-US"/>
        </w:rPr>
        <w:t>ENVIRONMENTAL AND SOCIAL MANAGEMENT PLAN</w:t>
      </w:r>
    </w:p>
    <w:p w:rsidR="00C821BE" w:rsidRPr="0010784C" w:rsidRDefault="00C821BE" w:rsidP="00C821BE">
      <w:pPr>
        <w:spacing w:before="240" w:after="0" w:line="240" w:lineRule="auto"/>
        <w:ind w:left="-142" w:right="-141"/>
        <w:jc w:val="both"/>
        <w:rPr>
          <w:rFonts w:ascii="Times New Roman" w:hAnsi="Times New Roman"/>
          <w:iCs/>
          <w:sz w:val="24"/>
          <w:szCs w:val="24"/>
          <w:lang w:val="en-US"/>
        </w:rPr>
      </w:pPr>
      <w:r w:rsidRPr="0010784C">
        <w:rPr>
          <w:rFonts w:ascii="Times New Roman" w:hAnsi="Times New Roman" w:cs="Times New Roman"/>
          <w:bCs/>
          <w:lang w:val="en-US"/>
        </w:rPr>
        <w:t>The environmental management plan aims to ensure the correct implementation, and on time,</w:t>
      </w:r>
      <w:r w:rsidRPr="0010784C">
        <w:rPr>
          <w:rFonts w:ascii="Times New Roman" w:hAnsi="Times New Roman"/>
          <w:iCs/>
          <w:sz w:val="24"/>
          <w:szCs w:val="24"/>
          <w:lang w:val="en-US"/>
        </w:rPr>
        <w:t xml:space="preserve"> of all negative impact mitigation measures and the enhancement of positive impacts.</w:t>
      </w:r>
    </w:p>
    <w:p w:rsidR="00C821BE" w:rsidRPr="0010784C" w:rsidRDefault="00C821BE" w:rsidP="00C821BE">
      <w:pPr>
        <w:spacing w:after="0"/>
        <w:ind w:right="-283"/>
        <w:jc w:val="center"/>
        <w:rPr>
          <w:rFonts w:ascii="Times New Roman" w:hAnsi="Times New Roman" w:cs="Times New Roman"/>
          <w:b/>
          <w:sz w:val="24"/>
          <w:szCs w:val="24"/>
          <w:lang w:val="en-US"/>
        </w:rPr>
      </w:pPr>
      <w:r w:rsidRPr="0010784C">
        <w:rPr>
          <w:b/>
          <w:bCs/>
          <w:sz w:val="28"/>
          <w:szCs w:val="28"/>
          <w:u w:val="single"/>
          <w:lang w:val="en-US"/>
        </w:rPr>
        <w:t>Summary of the environmental and social management plan (</w:t>
      </w:r>
      <w:r w:rsidR="00D10B3E">
        <w:rPr>
          <w:b/>
          <w:bCs/>
          <w:sz w:val="28"/>
          <w:szCs w:val="28"/>
          <w:u w:val="single"/>
          <w:lang w:val="en-US"/>
        </w:rPr>
        <w:t>PGES</w:t>
      </w:r>
      <w:r w:rsidRPr="0010784C">
        <w:rPr>
          <w:b/>
          <w:bCs/>
          <w:sz w:val="28"/>
          <w:szCs w:val="28"/>
          <w:u w:val="single"/>
          <w:lang w:val="en-US"/>
        </w:rPr>
        <w:t>)</w:t>
      </w:r>
    </w:p>
    <w:p w:rsidR="00C821BE" w:rsidRPr="0010784C" w:rsidRDefault="00C821BE" w:rsidP="00C821BE">
      <w:pPr>
        <w:overflowPunct w:val="0"/>
        <w:autoSpaceDE w:val="0"/>
        <w:autoSpaceDN w:val="0"/>
        <w:adjustRightInd w:val="0"/>
        <w:spacing w:after="0" w:line="240" w:lineRule="auto"/>
        <w:ind w:right="-711"/>
        <w:jc w:val="center"/>
        <w:rPr>
          <w:rFonts w:ascii="Times New Roman" w:eastAsia="Times New Roman" w:hAnsi="Times New Roman"/>
          <w:b/>
          <w:bCs/>
          <w:sz w:val="20"/>
          <w:szCs w:val="20"/>
          <w:lang w:val="en-US" w:eastAsia="fr-FR"/>
        </w:rPr>
        <w:sectPr w:rsidR="00C821BE" w:rsidRPr="0010784C" w:rsidSect="00362638">
          <w:headerReference w:type="default" r:id="rId18"/>
          <w:footerReference w:type="default" r:id="rId19"/>
          <w:pgSz w:w="11906" w:h="16838"/>
          <w:pgMar w:top="1135" w:right="1418" w:bottom="1418" w:left="1418" w:header="142" w:footer="709" w:gutter="0"/>
          <w:cols w:space="708"/>
          <w:docGrid w:linePitch="360"/>
        </w:sectPr>
      </w:pPr>
    </w:p>
    <w:p w:rsidR="00C821BE" w:rsidRPr="0010784C" w:rsidRDefault="00C821BE" w:rsidP="00C821BE">
      <w:pPr>
        <w:overflowPunct w:val="0"/>
        <w:autoSpaceDE w:val="0"/>
        <w:autoSpaceDN w:val="0"/>
        <w:adjustRightInd w:val="0"/>
        <w:spacing w:after="0" w:line="240" w:lineRule="auto"/>
        <w:ind w:right="-711"/>
        <w:jc w:val="center"/>
        <w:rPr>
          <w:rFonts w:ascii="Times New Roman" w:eastAsia="Times New Roman" w:hAnsi="Times New Roman"/>
          <w:b/>
          <w:bCs/>
          <w:sz w:val="20"/>
          <w:szCs w:val="20"/>
          <w:lang w:val="en-US" w:eastAsia="fr-FR"/>
        </w:rPr>
      </w:pPr>
      <w:r w:rsidRPr="0010784C">
        <w:rPr>
          <w:rFonts w:ascii="Times New Roman" w:eastAsia="Times New Roman" w:hAnsi="Times New Roman"/>
          <w:b/>
          <w:bCs/>
          <w:sz w:val="20"/>
          <w:szCs w:val="20"/>
          <w:lang w:val="en-US" w:eastAsia="fr-FR"/>
        </w:rPr>
        <w:lastRenderedPageBreak/>
        <w:t xml:space="preserve">Means of enhancing potential positive impacts </w:t>
      </w:r>
    </w:p>
    <w:tbl>
      <w:tblPr>
        <w:tblW w:w="16013" w:type="dxa"/>
        <w:jc w:val="center"/>
        <w:tblBorders>
          <w:top w:val="single" w:sz="4" w:space="0" w:color="7F7F7F"/>
          <w:bottom w:val="single" w:sz="4" w:space="0" w:color="7F7F7F"/>
        </w:tblBorders>
        <w:tblLayout w:type="fixed"/>
        <w:tblLook w:val="04A0" w:firstRow="1" w:lastRow="0" w:firstColumn="1" w:lastColumn="0" w:noHBand="0" w:noVBand="1"/>
      </w:tblPr>
      <w:tblGrid>
        <w:gridCol w:w="1129"/>
        <w:gridCol w:w="2131"/>
        <w:gridCol w:w="4673"/>
        <w:gridCol w:w="3402"/>
        <w:gridCol w:w="1276"/>
        <w:gridCol w:w="1134"/>
        <w:gridCol w:w="1134"/>
        <w:gridCol w:w="1134"/>
      </w:tblGrid>
      <w:tr w:rsidR="00C821BE" w:rsidRPr="003C548E" w:rsidTr="00C821BE">
        <w:trPr>
          <w:trHeight w:val="70"/>
          <w:jc w:val="center"/>
        </w:trPr>
        <w:tc>
          <w:tcPr>
            <w:tcW w:w="16013" w:type="dxa"/>
            <w:gridSpan w:val="8"/>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rsidR="00C821BE" w:rsidRPr="0010784C" w:rsidRDefault="00C821BE" w:rsidP="00C821BE">
            <w:pPr>
              <w:autoSpaceDE w:val="0"/>
              <w:autoSpaceDN w:val="0"/>
              <w:adjustRightInd w:val="0"/>
              <w:spacing w:after="0" w:line="240" w:lineRule="auto"/>
              <w:jc w:val="center"/>
              <w:rPr>
                <w:rFonts w:ascii="Times New Roman" w:hAnsi="Times New Roman" w:cs="Times New Roman"/>
                <w:b/>
                <w:bCs/>
                <w:sz w:val="16"/>
                <w:szCs w:val="16"/>
                <w:lang w:val="en-US"/>
              </w:rPr>
            </w:pPr>
            <w:r w:rsidRPr="0010784C">
              <w:rPr>
                <w:rFonts w:ascii="Times New Roman" w:hAnsi="Times New Roman" w:cs="Times New Roman"/>
                <w:b/>
                <w:bCs/>
                <w:sz w:val="16"/>
                <w:szCs w:val="16"/>
                <w:lang w:val="en-US"/>
              </w:rPr>
              <w:t>Means of improving potential positive impacts during the pre-construction and construction phase</w:t>
            </w:r>
          </w:p>
        </w:tc>
      </w:tr>
      <w:tr w:rsidR="00C821BE" w:rsidRPr="0010784C" w:rsidTr="00C821BE">
        <w:trPr>
          <w:trHeight w:val="70"/>
          <w:jc w:val="center"/>
        </w:trPr>
        <w:tc>
          <w:tcPr>
            <w:tcW w:w="1129"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rsidR="00C821BE" w:rsidRPr="0010784C" w:rsidRDefault="00C821BE" w:rsidP="00C821BE">
            <w:pPr>
              <w:autoSpaceDE w:val="0"/>
              <w:autoSpaceDN w:val="0"/>
              <w:adjustRightInd w:val="0"/>
              <w:spacing w:after="0" w:line="240" w:lineRule="auto"/>
              <w:jc w:val="center"/>
              <w:rPr>
                <w:rFonts w:ascii="Times New Roman" w:hAnsi="Times New Roman" w:cs="Times New Roman"/>
                <w:b/>
                <w:bCs/>
                <w:sz w:val="16"/>
                <w:szCs w:val="16"/>
                <w:lang w:val="en-US"/>
              </w:rPr>
            </w:pPr>
            <w:r w:rsidRPr="0010784C">
              <w:rPr>
                <w:rFonts w:ascii="Times New Roman" w:hAnsi="Times New Roman" w:cs="Times New Roman"/>
                <w:b/>
                <w:bCs/>
                <w:sz w:val="16"/>
                <w:szCs w:val="16"/>
                <w:lang w:val="en-US"/>
              </w:rPr>
              <w:t>Component of the affected environment</w:t>
            </w:r>
          </w:p>
        </w:tc>
        <w:tc>
          <w:tcPr>
            <w:tcW w:w="2131"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rsidR="00C821BE" w:rsidRPr="0010784C" w:rsidRDefault="00C821BE" w:rsidP="00C821BE">
            <w:pPr>
              <w:autoSpaceDE w:val="0"/>
              <w:autoSpaceDN w:val="0"/>
              <w:adjustRightInd w:val="0"/>
              <w:spacing w:after="0" w:line="240" w:lineRule="auto"/>
              <w:jc w:val="center"/>
              <w:rPr>
                <w:rFonts w:ascii="Times New Roman" w:hAnsi="Times New Roman" w:cs="Times New Roman"/>
                <w:b/>
                <w:sz w:val="16"/>
                <w:szCs w:val="16"/>
                <w:lang w:val="en-US"/>
              </w:rPr>
            </w:pPr>
            <w:r w:rsidRPr="0010784C">
              <w:rPr>
                <w:rFonts w:ascii="Times New Roman" w:hAnsi="Times New Roman" w:cs="Times New Roman"/>
                <w:b/>
                <w:sz w:val="16"/>
                <w:szCs w:val="16"/>
                <w:lang w:val="en-US"/>
              </w:rPr>
              <w:t>Nature of potential impact</w:t>
            </w:r>
          </w:p>
        </w:tc>
        <w:tc>
          <w:tcPr>
            <w:tcW w:w="4673"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rsidR="00C821BE" w:rsidRPr="0010784C" w:rsidRDefault="00C821BE" w:rsidP="00C821BE">
            <w:pPr>
              <w:autoSpaceDE w:val="0"/>
              <w:autoSpaceDN w:val="0"/>
              <w:adjustRightInd w:val="0"/>
              <w:spacing w:after="0" w:line="240" w:lineRule="auto"/>
              <w:jc w:val="center"/>
              <w:rPr>
                <w:rFonts w:ascii="Times New Roman" w:hAnsi="Times New Roman" w:cs="Times New Roman"/>
                <w:b/>
                <w:sz w:val="16"/>
                <w:szCs w:val="16"/>
                <w:lang w:val="en-US"/>
              </w:rPr>
            </w:pPr>
            <w:r w:rsidRPr="0010784C">
              <w:rPr>
                <w:rFonts w:ascii="Times New Roman" w:hAnsi="Times New Roman" w:cs="Times New Roman"/>
                <w:b/>
                <w:sz w:val="16"/>
                <w:szCs w:val="16"/>
                <w:lang w:val="en-US"/>
              </w:rPr>
              <w:t>Recommended measures</w:t>
            </w:r>
          </w:p>
        </w:tc>
        <w:tc>
          <w:tcPr>
            <w:tcW w:w="3402"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rsidR="00C821BE" w:rsidRPr="0010784C" w:rsidRDefault="00C821BE" w:rsidP="00C821BE">
            <w:pPr>
              <w:autoSpaceDE w:val="0"/>
              <w:autoSpaceDN w:val="0"/>
              <w:adjustRightInd w:val="0"/>
              <w:spacing w:after="0" w:line="240" w:lineRule="auto"/>
              <w:jc w:val="center"/>
              <w:rPr>
                <w:rFonts w:ascii="Times New Roman" w:hAnsi="Times New Roman" w:cs="Times New Roman"/>
                <w:b/>
                <w:sz w:val="16"/>
                <w:szCs w:val="16"/>
                <w:lang w:val="en-US"/>
              </w:rPr>
            </w:pPr>
            <w:r w:rsidRPr="0010784C">
              <w:rPr>
                <w:rFonts w:ascii="Times New Roman" w:hAnsi="Times New Roman" w:cs="Times New Roman"/>
                <w:b/>
                <w:sz w:val="16"/>
                <w:szCs w:val="16"/>
                <w:lang w:val="en-US"/>
              </w:rPr>
              <w:t>Monitoring indicator</w:t>
            </w:r>
          </w:p>
        </w:tc>
        <w:tc>
          <w:tcPr>
            <w:tcW w:w="2410" w:type="dxa"/>
            <w:gridSpan w:val="2"/>
            <w:tcBorders>
              <w:top w:val="single" w:sz="4" w:space="0" w:color="auto"/>
              <w:left w:val="single" w:sz="4" w:space="0" w:color="auto"/>
              <w:bottom w:val="single" w:sz="4" w:space="0" w:color="auto"/>
              <w:right w:val="single" w:sz="4" w:space="0" w:color="auto"/>
            </w:tcBorders>
            <w:shd w:val="clear" w:color="auto" w:fill="F2F2F2"/>
            <w:vAlign w:val="center"/>
            <w:hideMark/>
          </w:tcPr>
          <w:p w:rsidR="00C821BE" w:rsidRPr="0010784C" w:rsidRDefault="00C821BE" w:rsidP="00C821BE">
            <w:pPr>
              <w:autoSpaceDE w:val="0"/>
              <w:autoSpaceDN w:val="0"/>
              <w:adjustRightInd w:val="0"/>
              <w:spacing w:after="0" w:line="240" w:lineRule="auto"/>
              <w:jc w:val="center"/>
              <w:rPr>
                <w:rFonts w:ascii="Times New Roman" w:hAnsi="Times New Roman" w:cs="Times New Roman"/>
                <w:b/>
                <w:sz w:val="16"/>
                <w:szCs w:val="16"/>
                <w:lang w:val="en-US"/>
              </w:rPr>
            </w:pPr>
            <w:r w:rsidRPr="0010784C">
              <w:rPr>
                <w:rFonts w:ascii="Times New Roman" w:hAnsi="Times New Roman" w:cs="Times New Roman"/>
                <w:b/>
                <w:bCs/>
                <w:sz w:val="16"/>
                <w:szCs w:val="16"/>
                <w:lang w:val="en-US"/>
              </w:rPr>
              <w:t>Responsible (s)</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rsidR="00C821BE" w:rsidRPr="0010784C" w:rsidRDefault="00C821BE" w:rsidP="00C821BE">
            <w:pPr>
              <w:autoSpaceDE w:val="0"/>
              <w:autoSpaceDN w:val="0"/>
              <w:adjustRightInd w:val="0"/>
              <w:spacing w:after="0" w:line="240" w:lineRule="auto"/>
              <w:jc w:val="center"/>
              <w:rPr>
                <w:rFonts w:ascii="Times New Roman" w:hAnsi="Times New Roman" w:cs="Times New Roman"/>
                <w:b/>
                <w:bCs/>
                <w:sz w:val="16"/>
                <w:szCs w:val="16"/>
                <w:lang w:val="en-US"/>
              </w:rPr>
            </w:pPr>
            <w:r w:rsidRPr="0010784C">
              <w:rPr>
                <w:rFonts w:ascii="Times New Roman" w:hAnsi="Times New Roman" w:cs="Times New Roman"/>
                <w:b/>
                <w:bCs/>
                <w:sz w:val="16"/>
                <w:szCs w:val="16"/>
                <w:lang w:val="en-US"/>
              </w:rPr>
              <w:t>Deadlines /</w:t>
            </w:r>
          </w:p>
          <w:p w:rsidR="00C821BE" w:rsidRPr="0010784C" w:rsidRDefault="00C821BE" w:rsidP="00C821BE">
            <w:pPr>
              <w:autoSpaceDE w:val="0"/>
              <w:autoSpaceDN w:val="0"/>
              <w:adjustRightInd w:val="0"/>
              <w:spacing w:after="0" w:line="240" w:lineRule="auto"/>
              <w:jc w:val="center"/>
              <w:rPr>
                <w:rFonts w:ascii="Times New Roman" w:hAnsi="Times New Roman" w:cs="Times New Roman"/>
                <w:b/>
                <w:sz w:val="16"/>
                <w:szCs w:val="16"/>
                <w:lang w:val="en-US"/>
              </w:rPr>
            </w:pPr>
            <w:r w:rsidRPr="0010784C">
              <w:rPr>
                <w:rFonts w:ascii="Times New Roman" w:hAnsi="Times New Roman" w:cs="Times New Roman"/>
                <w:b/>
                <w:bCs/>
                <w:sz w:val="16"/>
                <w:szCs w:val="16"/>
                <w:lang w:val="en-US"/>
              </w:rPr>
              <w:t>Period</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rsidR="00C821BE" w:rsidRPr="0010784C" w:rsidRDefault="00C821BE" w:rsidP="00C821BE">
            <w:pPr>
              <w:autoSpaceDE w:val="0"/>
              <w:autoSpaceDN w:val="0"/>
              <w:adjustRightInd w:val="0"/>
              <w:spacing w:after="0" w:line="240" w:lineRule="auto"/>
              <w:jc w:val="center"/>
              <w:rPr>
                <w:rFonts w:ascii="Times New Roman" w:hAnsi="Times New Roman" w:cs="Times New Roman"/>
                <w:b/>
                <w:bCs/>
                <w:sz w:val="16"/>
                <w:szCs w:val="16"/>
                <w:lang w:val="en-US"/>
              </w:rPr>
            </w:pPr>
            <w:r w:rsidRPr="0010784C">
              <w:rPr>
                <w:rFonts w:ascii="Times New Roman" w:hAnsi="Times New Roman" w:cs="Times New Roman"/>
                <w:b/>
                <w:bCs/>
                <w:sz w:val="16"/>
                <w:szCs w:val="16"/>
                <w:lang w:val="en-US"/>
              </w:rPr>
              <w:t>Cost (FCFA)</w:t>
            </w:r>
          </w:p>
          <w:p w:rsidR="00C821BE" w:rsidRPr="0010784C" w:rsidRDefault="00C821BE" w:rsidP="00C821BE">
            <w:pPr>
              <w:autoSpaceDE w:val="0"/>
              <w:autoSpaceDN w:val="0"/>
              <w:adjustRightInd w:val="0"/>
              <w:spacing w:after="0" w:line="240" w:lineRule="auto"/>
              <w:jc w:val="center"/>
              <w:rPr>
                <w:rFonts w:ascii="Times New Roman" w:hAnsi="Times New Roman" w:cs="Times New Roman"/>
                <w:b/>
                <w:sz w:val="16"/>
                <w:szCs w:val="16"/>
                <w:lang w:val="en-US"/>
              </w:rPr>
            </w:pPr>
            <w:r w:rsidRPr="0010784C">
              <w:rPr>
                <w:rFonts w:ascii="Times New Roman" w:hAnsi="Times New Roman" w:cs="Times New Roman"/>
                <w:b/>
                <w:bCs/>
                <w:sz w:val="16"/>
                <w:szCs w:val="16"/>
                <w:lang w:val="en-US"/>
              </w:rPr>
              <w:t>Of implementation</w:t>
            </w:r>
          </w:p>
        </w:tc>
      </w:tr>
      <w:tr w:rsidR="00C821BE" w:rsidRPr="0010784C" w:rsidTr="00C821BE">
        <w:trPr>
          <w:trHeight w:val="70"/>
          <w:jc w:val="center"/>
        </w:trPr>
        <w:tc>
          <w:tcPr>
            <w:tcW w:w="1129" w:type="dxa"/>
            <w:vMerge/>
            <w:tcBorders>
              <w:top w:val="single" w:sz="4" w:space="0" w:color="auto"/>
              <w:left w:val="single" w:sz="4" w:space="0" w:color="auto"/>
              <w:bottom w:val="single" w:sz="4" w:space="0" w:color="auto"/>
              <w:right w:val="single" w:sz="4" w:space="0" w:color="auto"/>
            </w:tcBorders>
            <w:vAlign w:val="center"/>
            <w:hideMark/>
          </w:tcPr>
          <w:p w:rsidR="00C821BE" w:rsidRPr="0010784C" w:rsidRDefault="00C821BE" w:rsidP="00C821BE">
            <w:pPr>
              <w:autoSpaceDE w:val="0"/>
              <w:autoSpaceDN w:val="0"/>
              <w:adjustRightInd w:val="0"/>
              <w:spacing w:after="0" w:line="240" w:lineRule="auto"/>
              <w:jc w:val="center"/>
              <w:rPr>
                <w:rFonts w:ascii="Times New Roman" w:hAnsi="Times New Roman" w:cs="Times New Roman"/>
                <w:b/>
                <w:bCs/>
                <w:sz w:val="16"/>
                <w:szCs w:val="16"/>
                <w:lang w:val="en-US"/>
              </w:rPr>
            </w:pPr>
          </w:p>
        </w:tc>
        <w:tc>
          <w:tcPr>
            <w:tcW w:w="2131" w:type="dxa"/>
            <w:vMerge/>
            <w:tcBorders>
              <w:top w:val="single" w:sz="4" w:space="0" w:color="auto"/>
              <w:left w:val="single" w:sz="4" w:space="0" w:color="auto"/>
              <w:bottom w:val="single" w:sz="4" w:space="0" w:color="auto"/>
              <w:right w:val="single" w:sz="4" w:space="0" w:color="auto"/>
            </w:tcBorders>
            <w:vAlign w:val="center"/>
            <w:hideMark/>
          </w:tcPr>
          <w:p w:rsidR="00C821BE" w:rsidRPr="0010784C" w:rsidRDefault="00C821BE" w:rsidP="00C821BE">
            <w:pPr>
              <w:autoSpaceDE w:val="0"/>
              <w:autoSpaceDN w:val="0"/>
              <w:adjustRightInd w:val="0"/>
              <w:spacing w:after="0" w:line="240" w:lineRule="auto"/>
              <w:jc w:val="center"/>
              <w:rPr>
                <w:rFonts w:ascii="Times New Roman" w:hAnsi="Times New Roman" w:cs="Times New Roman"/>
                <w:b/>
                <w:sz w:val="16"/>
                <w:szCs w:val="16"/>
                <w:lang w:val="en-US"/>
              </w:rPr>
            </w:pPr>
          </w:p>
        </w:tc>
        <w:tc>
          <w:tcPr>
            <w:tcW w:w="4673" w:type="dxa"/>
            <w:vMerge/>
            <w:tcBorders>
              <w:top w:val="single" w:sz="4" w:space="0" w:color="auto"/>
              <w:left w:val="single" w:sz="4" w:space="0" w:color="auto"/>
              <w:bottom w:val="single" w:sz="4" w:space="0" w:color="auto"/>
              <w:right w:val="single" w:sz="4" w:space="0" w:color="auto"/>
            </w:tcBorders>
            <w:vAlign w:val="center"/>
            <w:hideMark/>
          </w:tcPr>
          <w:p w:rsidR="00C821BE" w:rsidRPr="0010784C" w:rsidRDefault="00C821BE" w:rsidP="00C821BE">
            <w:pPr>
              <w:autoSpaceDE w:val="0"/>
              <w:autoSpaceDN w:val="0"/>
              <w:adjustRightInd w:val="0"/>
              <w:spacing w:after="0" w:line="240" w:lineRule="auto"/>
              <w:jc w:val="center"/>
              <w:rPr>
                <w:rFonts w:ascii="Times New Roman" w:hAnsi="Times New Roman" w:cs="Times New Roman"/>
                <w:b/>
                <w:sz w:val="16"/>
                <w:szCs w:val="16"/>
                <w:lang w:val="en-US"/>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C821BE" w:rsidRPr="0010784C" w:rsidRDefault="00C821BE" w:rsidP="00C821BE">
            <w:pPr>
              <w:autoSpaceDE w:val="0"/>
              <w:autoSpaceDN w:val="0"/>
              <w:adjustRightInd w:val="0"/>
              <w:spacing w:after="0" w:line="240" w:lineRule="auto"/>
              <w:jc w:val="center"/>
              <w:rPr>
                <w:rFonts w:ascii="Times New Roman" w:hAnsi="Times New Roman" w:cs="Times New Roman"/>
                <w:b/>
                <w:sz w:val="16"/>
                <w:szCs w:val="16"/>
                <w:lang w:val="en-US"/>
              </w:rPr>
            </w:pPr>
          </w:p>
        </w:tc>
        <w:tc>
          <w:tcPr>
            <w:tcW w:w="1276"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rsidR="00C821BE" w:rsidRPr="0010784C" w:rsidRDefault="00C821BE" w:rsidP="00C821BE">
            <w:pPr>
              <w:autoSpaceDE w:val="0"/>
              <w:autoSpaceDN w:val="0"/>
              <w:adjustRightInd w:val="0"/>
              <w:spacing w:after="0" w:line="240" w:lineRule="auto"/>
              <w:jc w:val="center"/>
              <w:rPr>
                <w:rFonts w:ascii="Times New Roman" w:hAnsi="Times New Roman" w:cs="Times New Roman"/>
                <w:b/>
                <w:bCs/>
                <w:sz w:val="16"/>
                <w:szCs w:val="16"/>
                <w:lang w:val="en-US"/>
              </w:rPr>
            </w:pPr>
            <w:r w:rsidRPr="0010784C">
              <w:rPr>
                <w:rFonts w:ascii="Times New Roman" w:hAnsi="Times New Roman" w:cs="Times New Roman"/>
                <w:b/>
                <w:bCs/>
                <w:sz w:val="16"/>
                <w:szCs w:val="16"/>
                <w:lang w:val="en-US"/>
              </w:rPr>
              <w:t>Implementation</w:t>
            </w:r>
          </w:p>
        </w:tc>
        <w:tc>
          <w:tcPr>
            <w:tcW w:w="1134"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rsidR="00C821BE" w:rsidRPr="0010784C" w:rsidRDefault="00C821BE" w:rsidP="00C821BE">
            <w:pPr>
              <w:autoSpaceDE w:val="0"/>
              <w:autoSpaceDN w:val="0"/>
              <w:adjustRightInd w:val="0"/>
              <w:spacing w:after="0" w:line="240" w:lineRule="auto"/>
              <w:jc w:val="center"/>
              <w:rPr>
                <w:rFonts w:ascii="Times New Roman" w:hAnsi="Times New Roman" w:cs="Times New Roman"/>
                <w:b/>
                <w:bCs/>
                <w:sz w:val="16"/>
                <w:szCs w:val="16"/>
                <w:lang w:val="en-US"/>
              </w:rPr>
            </w:pPr>
            <w:r w:rsidRPr="0010784C">
              <w:rPr>
                <w:rFonts w:ascii="Times New Roman" w:hAnsi="Times New Roman" w:cs="Times New Roman"/>
                <w:b/>
                <w:bCs/>
                <w:sz w:val="16"/>
                <w:szCs w:val="16"/>
                <w:lang w:val="en-US"/>
              </w:rPr>
              <w:t>Monitoring / Control</w:t>
            </w: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C821BE" w:rsidRPr="0010784C" w:rsidRDefault="00C821BE" w:rsidP="00C821BE">
            <w:pPr>
              <w:autoSpaceDE w:val="0"/>
              <w:autoSpaceDN w:val="0"/>
              <w:adjustRightInd w:val="0"/>
              <w:spacing w:after="0" w:line="240" w:lineRule="auto"/>
              <w:jc w:val="center"/>
              <w:rPr>
                <w:rFonts w:ascii="Times New Roman" w:hAnsi="Times New Roman" w:cs="Times New Roman"/>
                <w:b/>
                <w:sz w:val="16"/>
                <w:szCs w:val="16"/>
                <w:lang w:val="en-US"/>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C821BE" w:rsidRPr="0010784C" w:rsidRDefault="00C821BE" w:rsidP="00C821BE">
            <w:pPr>
              <w:autoSpaceDE w:val="0"/>
              <w:autoSpaceDN w:val="0"/>
              <w:adjustRightInd w:val="0"/>
              <w:spacing w:after="0" w:line="240" w:lineRule="auto"/>
              <w:jc w:val="center"/>
              <w:rPr>
                <w:rFonts w:ascii="Times New Roman" w:hAnsi="Times New Roman" w:cs="Times New Roman"/>
                <w:b/>
                <w:sz w:val="16"/>
                <w:szCs w:val="16"/>
                <w:lang w:val="en-US"/>
              </w:rPr>
            </w:pPr>
          </w:p>
        </w:tc>
      </w:tr>
      <w:tr w:rsidR="00C821BE" w:rsidRPr="003C548E" w:rsidTr="00C821BE">
        <w:trPr>
          <w:trHeight w:val="552"/>
          <w:jc w:val="center"/>
        </w:trPr>
        <w:tc>
          <w:tcPr>
            <w:tcW w:w="1129" w:type="dxa"/>
            <w:vMerge w:val="restart"/>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rsidR="00C821BE" w:rsidRPr="0010784C" w:rsidRDefault="00C821BE" w:rsidP="00C821BE">
            <w:pPr>
              <w:autoSpaceDE w:val="0"/>
              <w:autoSpaceDN w:val="0"/>
              <w:adjustRightInd w:val="0"/>
              <w:spacing w:after="0" w:line="240" w:lineRule="auto"/>
              <w:jc w:val="center"/>
              <w:rPr>
                <w:rFonts w:ascii="Times New Roman" w:hAnsi="Times New Roman" w:cs="Times New Roman"/>
                <w:b/>
                <w:bCs/>
                <w:sz w:val="16"/>
                <w:szCs w:val="16"/>
                <w:lang w:val="en-US"/>
              </w:rPr>
            </w:pPr>
            <w:r w:rsidRPr="0010784C">
              <w:rPr>
                <w:rFonts w:ascii="Times New Roman" w:hAnsi="Times New Roman" w:cs="Times New Roman"/>
                <w:bCs/>
                <w:sz w:val="16"/>
                <w:szCs w:val="16"/>
                <w:lang w:val="en-US"/>
              </w:rPr>
              <w:t>Socioeconomic</w:t>
            </w:r>
          </w:p>
          <w:p w:rsidR="00C821BE" w:rsidRPr="0010784C" w:rsidRDefault="00C821BE" w:rsidP="00C821BE">
            <w:pPr>
              <w:autoSpaceDE w:val="0"/>
              <w:autoSpaceDN w:val="0"/>
              <w:adjustRightInd w:val="0"/>
              <w:spacing w:after="0" w:line="240" w:lineRule="auto"/>
              <w:jc w:val="center"/>
              <w:rPr>
                <w:rFonts w:ascii="Times New Roman" w:hAnsi="Times New Roman" w:cs="Times New Roman"/>
                <w:b/>
                <w:bCs/>
                <w:sz w:val="16"/>
                <w:szCs w:val="16"/>
                <w:lang w:val="en-US"/>
              </w:rPr>
            </w:pPr>
          </w:p>
        </w:tc>
        <w:tc>
          <w:tcPr>
            <w:tcW w:w="2131" w:type="dxa"/>
            <w:tcBorders>
              <w:top w:val="single" w:sz="4" w:space="0" w:color="auto"/>
              <w:left w:val="single" w:sz="4" w:space="0" w:color="auto"/>
              <w:bottom w:val="single" w:sz="4" w:space="0" w:color="auto"/>
              <w:right w:val="single" w:sz="4" w:space="0" w:color="auto"/>
            </w:tcBorders>
            <w:vAlign w:val="center"/>
          </w:tcPr>
          <w:p w:rsidR="00C821BE" w:rsidRPr="0010784C" w:rsidRDefault="00C821BE" w:rsidP="00C821BE">
            <w:pPr>
              <w:autoSpaceDE w:val="0"/>
              <w:autoSpaceDN w:val="0"/>
              <w:adjustRightInd w:val="0"/>
              <w:spacing w:after="0" w:line="240" w:lineRule="auto"/>
              <w:jc w:val="center"/>
              <w:rPr>
                <w:rFonts w:ascii="Times New Roman" w:hAnsi="Times New Roman" w:cs="Times New Roman"/>
                <w:sz w:val="16"/>
                <w:szCs w:val="16"/>
                <w:lang w:val="en-US"/>
              </w:rPr>
            </w:pPr>
            <w:r w:rsidRPr="0010784C">
              <w:rPr>
                <w:rFonts w:ascii="Times New Roman" w:hAnsi="Times New Roman" w:cs="Times New Roman"/>
                <w:sz w:val="16"/>
                <w:szCs w:val="16"/>
                <w:lang w:val="en-US"/>
              </w:rPr>
              <w:t>Job opportunities (job creation for young people and use of local labor)</w:t>
            </w:r>
          </w:p>
        </w:tc>
        <w:tc>
          <w:tcPr>
            <w:tcW w:w="4673" w:type="dxa"/>
            <w:tcBorders>
              <w:top w:val="single" w:sz="4" w:space="0" w:color="auto"/>
              <w:left w:val="single" w:sz="4" w:space="0" w:color="auto"/>
              <w:bottom w:val="single" w:sz="4" w:space="0" w:color="auto"/>
              <w:right w:val="single" w:sz="4" w:space="0" w:color="auto"/>
            </w:tcBorders>
            <w:vAlign w:val="center"/>
          </w:tcPr>
          <w:p w:rsidR="00C821BE" w:rsidRPr="0010784C" w:rsidRDefault="00C821BE" w:rsidP="00C821BE">
            <w:pPr>
              <w:autoSpaceDE w:val="0"/>
              <w:autoSpaceDN w:val="0"/>
              <w:adjustRightInd w:val="0"/>
              <w:spacing w:after="0" w:line="240" w:lineRule="auto"/>
              <w:jc w:val="both"/>
              <w:rPr>
                <w:rFonts w:ascii="Times New Roman" w:hAnsi="Times New Roman" w:cs="Times New Roman"/>
                <w:sz w:val="16"/>
                <w:szCs w:val="16"/>
                <w:lang w:val="en-US"/>
              </w:rPr>
            </w:pPr>
            <w:r w:rsidRPr="0010784C">
              <w:rPr>
                <w:rFonts w:ascii="Times New Roman" w:hAnsi="Times New Roman" w:cs="Times New Roman"/>
                <w:sz w:val="16"/>
                <w:szCs w:val="16"/>
                <w:lang w:val="en-US"/>
              </w:rPr>
              <w:t>- Bring transparency into the procedures for recruiting local labor;</w:t>
            </w:r>
          </w:p>
          <w:p w:rsidR="00C821BE" w:rsidRPr="0010784C" w:rsidRDefault="00C821BE" w:rsidP="00C821BE">
            <w:pPr>
              <w:autoSpaceDE w:val="0"/>
              <w:autoSpaceDN w:val="0"/>
              <w:adjustRightInd w:val="0"/>
              <w:spacing w:after="0" w:line="240" w:lineRule="auto"/>
              <w:jc w:val="both"/>
              <w:rPr>
                <w:rFonts w:ascii="Times New Roman" w:hAnsi="Times New Roman" w:cs="Times New Roman"/>
                <w:sz w:val="16"/>
                <w:szCs w:val="16"/>
                <w:lang w:val="en-US"/>
              </w:rPr>
            </w:pPr>
            <w:r w:rsidRPr="0010784C">
              <w:rPr>
                <w:rFonts w:ascii="Times New Roman" w:hAnsi="Times New Roman" w:cs="Times New Roman"/>
                <w:sz w:val="16"/>
                <w:szCs w:val="16"/>
                <w:lang w:val="en-US"/>
              </w:rPr>
              <w:t>- Promote, for unskilled jobs, the direct recruitment without intermediary of young people from neighborhoods or villages;</w:t>
            </w:r>
          </w:p>
          <w:p w:rsidR="00C821BE" w:rsidRPr="0010784C" w:rsidRDefault="00C821BE" w:rsidP="00C821BE">
            <w:pPr>
              <w:autoSpaceDE w:val="0"/>
              <w:autoSpaceDN w:val="0"/>
              <w:adjustRightInd w:val="0"/>
              <w:spacing w:after="0" w:line="240" w:lineRule="auto"/>
              <w:jc w:val="both"/>
              <w:rPr>
                <w:rFonts w:ascii="Times New Roman" w:hAnsi="Times New Roman" w:cs="Times New Roman"/>
                <w:sz w:val="16"/>
                <w:szCs w:val="16"/>
                <w:lang w:val="en-US"/>
              </w:rPr>
            </w:pPr>
            <w:r w:rsidRPr="0010784C">
              <w:rPr>
                <w:rFonts w:ascii="Times New Roman" w:hAnsi="Times New Roman" w:cs="Times New Roman"/>
                <w:sz w:val="16"/>
                <w:szCs w:val="16"/>
                <w:lang w:val="en-US"/>
              </w:rPr>
              <w:t>- Make salary payments on time,</w:t>
            </w:r>
          </w:p>
          <w:p w:rsidR="00C821BE" w:rsidRPr="0010784C" w:rsidRDefault="00C821BE" w:rsidP="00C821BE">
            <w:pPr>
              <w:autoSpaceDE w:val="0"/>
              <w:autoSpaceDN w:val="0"/>
              <w:adjustRightInd w:val="0"/>
              <w:spacing w:after="0" w:line="240" w:lineRule="auto"/>
              <w:jc w:val="both"/>
              <w:rPr>
                <w:rFonts w:ascii="Times New Roman" w:hAnsi="Times New Roman" w:cs="Times New Roman"/>
                <w:sz w:val="16"/>
                <w:szCs w:val="16"/>
                <w:lang w:val="en-US"/>
              </w:rPr>
            </w:pPr>
            <w:r w:rsidRPr="0010784C">
              <w:rPr>
                <w:rFonts w:ascii="Times New Roman" w:hAnsi="Times New Roman" w:cs="Times New Roman"/>
                <w:sz w:val="16"/>
                <w:szCs w:val="16"/>
                <w:lang w:val="en-US"/>
              </w:rPr>
              <w:t>- Respect the minimum wage in force;</w:t>
            </w:r>
          </w:p>
          <w:p w:rsidR="00C821BE" w:rsidRPr="0010784C" w:rsidRDefault="00C821BE" w:rsidP="00C821BE">
            <w:pPr>
              <w:autoSpaceDE w:val="0"/>
              <w:autoSpaceDN w:val="0"/>
              <w:adjustRightInd w:val="0"/>
              <w:spacing w:after="0" w:line="240" w:lineRule="auto"/>
              <w:jc w:val="both"/>
              <w:rPr>
                <w:rFonts w:ascii="Times New Roman" w:hAnsi="Times New Roman" w:cs="Times New Roman"/>
                <w:sz w:val="16"/>
                <w:szCs w:val="16"/>
                <w:lang w:val="en-US"/>
              </w:rPr>
            </w:pPr>
            <w:r w:rsidRPr="0010784C">
              <w:rPr>
                <w:rFonts w:ascii="Times New Roman" w:hAnsi="Times New Roman" w:cs="Times New Roman"/>
                <w:sz w:val="16"/>
                <w:szCs w:val="16"/>
                <w:lang w:val="en-US"/>
              </w:rPr>
              <w:t>- With equal competence, favor the recruitment of women.</w:t>
            </w:r>
          </w:p>
        </w:tc>
        <w:tc>
          <w:tcPr>
            <w:tcW w:w="3402" w:type="dxa"/>
            <w:tcBorders>
              <w:top w:val="single" w:sz="4" w:space="0" w:color="auto"/>
              <w:left w:val="single" w:sz="4" w:space="0" w:color="auto"/>
              <w:bottom w:val="single" w:sz="4" w:space="0" w:color="auto"/>
              <w:right w:val="single" w:sz="4" w:space="0" w:color="auto"/>
            </w:tcBorders>
            <w:vAlign w:val="center"/>
          </w:tcPr>
          <w:p w:rsidR="00C821BE" w:rsidRPr="0010784C" w:rsidRDefault="00C821BE" w:rsidP="00C821BE">
            <w:pPr>
              <w:autoSpaceDE w:val="0"/>
              <w:autoSpaceDN w:val="0"/>
              <w:adjustRightInd w:val="0"/>
              <w:spacing w:after="0" w:line="240" w:lineRule="auto"/>
              <w:rPr>
                <w:rFonts w:ascii="Times New Roman" w:hAnsi="Times New Roman" w:cs="Times New Roman"/>
                <w:sz w:val="16"/>
                <w:szCs w:val="16"/>
                <w:lang w:val="en-US"/>
              </w:rPr>
            </w:pPr>
            <w:r w:rsidRPr="0010784C">
              <w:rPr>
                <w:rFonts w:ascii="Times New Roman" w:hAnsi="Times New Roman" w:cs="Times New Roman"/>
                <w:sz w:val="16"/>
                <w:szCs w:val="16"/>
                <w:lang w:val="en-US"/>
              </w:rPr>
              <w:t>-Number of young residents hired</w:t>
            </w:r>
          </w:p>
          <w:p w:rsidR="00C821BE" w:rsidRPr="0010784C" w:rsidRDefault="00C821BE" w:rsidP="00C821BE">
            <w:pPr>
              <w:autoSpaceDE w:val="0"/>
              <w:autoSpaceDN w:val="0"/>
              <w:adjustRightInd w:val="0"/>
              <w:spacing w:after="0" w:line="240" w:lineRule="auto"/>
              <w:rPr>
                <w:rFonts w:ascii="Times New Roman" w:hAnsi="Times New Roman" w:cs="Times New Roman"/>
                <w:sz w:val="16"/>
                <w:szCs w:val="16"/>
                <w:lang w:val="en-US"/>
              </w:rPr>
            </w:pPr>
            <w:r w:rsidRPr="0010784C">
              <w:rPr>
                <w:rFonts w:ascii="Times New Roman" w:hAnsi="Times New Roman" w:cs="Times New Roman"/>
                <w:sz w:val="16"/>
                <w:szCs w:val="16"/>
                <w:lang w:val="en-US"/>
              </w:rPr>
              <w:t>- Presence of pay slips</w:t>
            </w:r>
          </w:p>
          <w:p w:rsidR="00C821BE" w:rsidRPr="0010784C" w:rsidRDefault="00C821BE" w:rsidP="00C821BE">
            <w:pPr>
              <w:autoSpaceDE w:val="0"/>
              <w:autoSpaceDN w:val="0"/>
              <w:adjustRightInd w:val="0"/>
              <w:spacing w:after="0" w:line="240" w:lineRule="auto"/>
              <w:rPr>
                <w:rFonts w:ascii="Times New Roman" w:hAnsi="Times New Roman" w:cs="Times New Roman"/>
                <w:sz w:val="16"/>
                <w:szCs w:val="16"/>
                <w:lang w:val="en-US"/>
              </w:rPr>
            </w:pPr>
            <w:r w:rsidRPr="0010784C">
              <w:rPr>
                <w:rFonts w:ascii="Times New Roman" w:hAnsi="Times New Roman" w:cs="Times New Roman"/>
                <w:sz w:val="16"/>
                <w:szCs w:val="16"/>
                <w:lang w:val="en-US"/>
              </w:rPr>
              <w:t>-Number of women hired</w:t>
            </w:r>
          </w:p>
        </w:tc>
        <w:tc>
          <w:tcPr>
            <w:tcW w:w="1276"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C821BE" w:rsidRPr="0010784C" w:rsidRDefault="00C821BE" w:rsidP="00C821BE">
            <w:pPr>
              <w:autoSpaceDE w:val="0"/>
              <w:autoSpaceDN w:val="0"/>
              <w:adjustRightInd w:val="0"/>
              <w:spacing w:after="0" w:line="240" w:lineRule="auto"/>
              <w:jc w:val="center"/>
              <w:rPr>
                <w:rFonts w:ascii="Times New Roman" w:hAnsi="Times New Roman" w:cs="Times New Roman"/>
                <w:b/>
                <w:sz w:val="16"/>
                <w:szCs w:val="16"/>
                <w:lang w:val="en-US"/>
              </w:rPr>
            </w:pPr>
            <w:r w:rsidRPr="0010784C">
              <w:rPr>
                <w:rFonts w:ascii="Times New Roman" w:hAnsi="Times New Roman" w:cs="Times New Roman"/>
                <w:b/>
                <w:sz w:val="16"/>
                <w:szCs w:val="16"/>
                <w:lang w:val="en-US"/>
              </w:rPr>
              <w:t xml:space="preserve">Business </w:t>
            </w:r>
          </w:p>
          <w:p w:rsidR="00C821BE" w:rsidRPr="0010784C" w:rsidRDefault="00C821BE" w:rsidP="00C821BE">
            <w:pPr>
              <w:autoSpaceDE w:val="0"/>
              <w:autoSpaceDN w:val="0"/>
              <w:adjustRightInd w:val="0"/>
              <w:spacing w:after="0" w:line="240" w:lineRule="auto"/>
              <w:jc w:val="center"/>
              <w:rPr>
                <w:rFonts w:ascii="Times New Roman" w:hAnsi="Times New Roman" w:cs="Times New Roman"/>
                <w:b/>
                <w:sz w:val="16"/>
                <w:szCs w:val="16"/>
                <w:lang w:val="en-US"/>
              </w:rPr>
            </w:pPr>
          </w:p>
          <w:p w:rsidR="00C821BE" w:rsidRPr="0010784C" w:rsidRDefault="00C821BE" w:rsidP="00C821BE">
            <w:pPr>
              <w:autoSpaceDE w:val="0"/>
              <w:autoSpaceDN w:val="0"/>
              <w:adjustRightInd w:val="0"/>
              <w:spacing w:after="0" w:line="240" w:lineRule="auto"/>
              <w:jc w:val="center"/>
              <w:rPr>
                <w:rFonts w:ascii="Times New Roman" w:hAnsi="Times New Roman" w:cs="Times New Roman"/>
                <w:b/>
                <w:sz w:val="16"/>
                <w:szCs w:val="16"/>
                <w:lang w:val="en-US"/>
              </w:rPr>
            </w:pPr>
            <w:r w:rsidRPr="0010784C">
              <w:rPr>
                <w:rFonts w:ascii="Times New Roman" w:hAnsi="Times New Roman" w:cs="Times New Roman"/>
                <w:b/>
                <w:sz w:val="16"/>
                <w:szCs w:val="16"/>
                <w:lang w:val="en-US"/>
              </w:rPr>
              <w:t xml:space="preserve">Town hall </w:t>
            </w:r>
          </w:p>
          <w:p w:rsidR="00C821BE" w:rsidRPr="0010784C" w:rsidRDefault="00C821BE" w:rsidP="00C821BE">
            <w:pPr>
              <w:autoSpaceDE w:val="0"/>
              <w:autoSpaceDN w:val="0"/>
              <w:adjustRightInd w:val="0"/>
              <w:spacing w:after="0" w:line="240" w:lineRule="auto"/>
              <w:jc w:val="center"/>
              <w:rPr>
                <w:rFonts w:ascii="Times New Roman" w:hAnsi="Times New Roman" w:cs="Times New Roman"/>
                <w:b/>
                <w:sz w:val="16"/>
                <w:szCs w:val="16"/>
                <w:lang w:val="en-US"/>
              </w:rPr>
            </w:pPr>
            <w:r w:rsidRPr="0010784C">
              <w:rPr>
                <w:rFonts w:ascii="Times New Roman" w:hAnsi="Times New Roman" w:cs="Times New Roman"/>
                <w:b/>
                <w:sz w:val="16"/>
                <w:szCs w:val="16"/>
                <w:lang w:val="en-US"/>
              </w:rPr>
              <w:t>Prabis,</w:t>
            </w:r>
          </w:p>
          <w:p w:rsidR="00C821BE" w:rsidRPr="0010784C" w:rsidRDefault="00C821BE" w:rsidP="00C821BE">
            <w:pPr>
              <w:autoSpaceDE w:val="0"/>
              <w:autoSpaceDN w:val="0"/>
              <w:adjustRightInd w:val="0"/>
              <w:spacing w:after="0" w:line="240" w:lineRule="auto"/>
              <w:jc w:val="center"/>
              <w:rPr>
                <w:rFonts w:ascii="Times New Roman" w:hAnsi="Times New Roman" w:cs="Times New Roman"/>
                <w:b/>
                <w:sz w:val="16"/>
                <w:szCs w:val="16"/>
                <w:lang w:val="en-US"/>
              </w:rPr>
            </w:pPr>
            <w:r w:rsidRPr="0010784C">
              <w:rPr>
                <w:rFonts w:ascii="Times New Roman" w:hAnsi="Times New Roman" w:cs="Times New Roman"/>
                <w:b/>
                <w:sz w:val="16"/>
                <w:szCs w:val="16"/>
                <w:lang w:val="en-US"/>
              </w:rPr>
              <w:t>of Safim and</w:t>
            </w:r>
          </w:p>
          <w:p w:rsidR="00C821BE" w:rsidRPr="0010784C" w:rsidRDefault="00C821BE" w:rsidP="00C821BE">
            <w:pPr>
              <w:autoSpaceDE w:val="0"/>
              <w:autoSpaceDN w:val="0"/>
              <w:adjustRightInd w:val="0"/>
              <w:spacing w:after="0" w:line="240" w:lineRule="auto"/>
              <w:jc w:val="center"/>
              <w:rPr>
                <w:rFonts w:ascii="Times New Roman" w:hAnsi="Times New Roman" w:cs="Times New Roman"/>
                <w:b/>
                <w:sz w:val="16"/>
                <w:szCs w:val="16"/>
                <w:lang w:val="en-US"/>
              </w:rPr>
            </w:pPr>
            <w:r w:rsidRPr="0010784C">
              <w:rPr>
                <w:rFonts w:ascii="Times New Roman" w:hAnsi="Times New Roman" w:cs="Times New Roman"/>
                <w:b/>
                <w:sz w:val="16"/>
                <w:szCs w:val="16"/>
                <w:lang w:val="en-US"/>
              </w:rPr>
              <w:t xml:space="preserve"> Bissau</w:t>
            </w:r>
          </w:p>
        </w:tc>
        <w:tc>
          <w:tcPr>
            <w:tcW w:w="1134"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C821BE" w:rsidRPr="0010784C" w:rsidRDefault="00C821BE" w:rsidP="00C821BE">
            <w:pPr>
              <w:autoSpaceDE w:val="0"/>
              <w:autoSpaceDN w:val="0"/>
              <w:adjustRightInd w:val="0"/>
              <w:spacing w:after="0" w:line="240" w:lineRule="auto"/>
              <w:jc w:val="center"/>
              <w:rPr>
                <w:rFonts w:ascii="Times New Roman" w:hAnsi="Times New Roman" w:cs="Times New Roman"/>
                <w:b/>
                <w:sz w:val="16"/>
                <w:szCs w:val="16"/>
                <w:lang w:val="en-US"/>
              </w:rPr>
            </w:pPr>
            <w:r w:rsidRPr="0010784C">
              <w:rPr>
                <w:rFonts w:ascii="Times New Roman" w:hAnsi="Times New Roman" w:cs="Times New Roman"/>
                <w:b/>
                <w:sz w:val="16"/>
                <w:szCs w:val="16"/>
                <w:lang w:val="en-US"/>
              </w:rPr>
              <w:t>PUASEE-FA</w:t>
            </w:r>
          </w:p>
          <w:p w:rsidR="00C821BE" w:rsidRPr="0010784C" w:rsidRDefault="00C821BE" w:rsidP="00C821BE">
            <w:pPr>
              <w:autoSpaceDE w:val="0"/>
              <w:autoSpaceDN w:val="0"/>
              <w:adjustRightInd w:val="0"/>
              <w:spacing w:after="0" w:line="240" w:lineRule="auto"/>
              <w:jc w:val="center"/>
              <w:rPr>
                <w:rFonts w:ascii="Times New Roman" w:hAnsi="Times New Roman" w:cs="Times New Roman"/>
                <w:b/>
                <w:sz w:val="16"/>
                <w:szCs w:val="16"/>
                <w:lang w:val="en-US"/>
              </w:rPr>
            </w:pPr>
            <w:r w:rsidRPr="0010784C">
              <w:rPr>
                <w:rFonts w:ascii="Times New Roman" w:hAnsi="Times New Roman" w:cs="Times New Roman"/>
                <w:b/>
                <w:sz w:val="16"/>
                <w:szCs w:val="16"/>
                <w:lang w:val="en-US"/>
              </w:rPr>
              <w:t>Town hall</w:t>
            </w:r>
          </w:p>
          <w:p w:rsidR="00C821BE" w:rsidRPr="0010784C" w:rsidRDefault="00C821BE" w:rsidP="00C821BE">
            <w:pPr>
              <w:autoSpaceDE w:val="0"/>
              <w:autoSpaceDN w:val="0"/>
              <w:adjustRightInd w:val="0"/>
              <w:spacing w:after="0" w:line="240" w:lineRule="auto"/>
              <w:jc w:val="center"/>
              <w:rPr>
                <w:rFonts w:ascii="Times New Roman" w:hAnsi="Times New Roman" w:cs="Times New Roman"/>
                <w:b/>
                <w:sz w:val="16"/>
                <w:szCs w:val="16"/>
                <w:lang w:val="en-US"/>
              </w:rPr>
            </w:pPr>
            <w:r w:rsidRPr="0010784C">
              <w:rPr>
                <w:rFonts w:ascii="Times New Roman" w:hAnsi="Times New Roman" w:cs="Times New Roman"/>
                <w:b/>
                <w:sz w:val="16"/>
                <w:szCs w:val="16"/>
                <w:lang w:val="en-US"/>
              </w:rPr>
              <w:t>MDC</w:t>
            </w:r>
          </w:p>
        </w:tc>
        <w:tc>
          <w:tcPr>
            <w:tcW w:w="1134" w:type="dxa"/>
            <w:tcBorders>
              <w:top w:val="single" w:sz="4" w:space="0" w:color="auto"/>
              <w:left w:val="single" w:sz="4" w:space="0" w:color="auto"/>
              <w:bottom w:val="single" w:sz="4" w:space="0" w:color="auto"/>
              <w:right w:val="single" w:sz="4" w:space="0" w:color="auto"/>
            </w:tcBorders>
            <w:vAlign w:val="center"/>
          </w:tcPr>
          <w:p w:rsidR="00C821BE" w:rsidRPr="0010784C" w:rsidRDefault="00C821BE" w:rsidP="00C821BE">
            <w:pPr>
              <w:autoSpaceDE w:val="0"/>
              <w:autoSpaceDN w:val="0"/>
              <w:adjustRightInd w:val="0"/>
              <w:spacing w:after="0" w:line="240" w:lineRule="auto"/>
              <w:jc w:val="center"/>
              <w:rPr>
                <w:rFonts w:ascii="Times New Roman" w:hAnsi="Times New Roman" w:cs="Times New Roman"/>
                <w:sz w:val="16"/>
                <w:szCs w:val="16"/>
                <w:lang w:val="en-US"/>
              </w:rPr>
            </w:pPr>
            <w:r w:rsidRPr="0010784C">
              <w:rPr>
                <w:rFonts w:ascii="Times New Roman" w:hAnsi="Times New Roman" w:cs="Times New Roman"/>
                <w:sz w:val="16"/>
                <w:szCs w:val="16"/>
                <w:lang w:val="en-US"/>
              </w:rPr>
              <w:t>During the works / Monthly</w:t>
            </w:r>
          </w:p>
        </w:tc>
        <w:tc>
          <w:tcPr>
            <w:tcW w:w="1134"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rsidR="00C821BE" w:rsidRPr="0010784C" w:rsidRDefault="00C821BE" w:rsidP="00C821BE">
            <w:pPr>
              <w:autoSpaceDE w:val="0"/>
              <w:autoSpaceDN w:val="0"/>
              <w:adjustRightInd w:val="0"/>
              <w:spacing w:after="0" w:line="240" w:lineRule="auto"/>
              <w:jc w:val="center"/>
              <w:rPr>
                <w:rFonts w:ascii="Times New Roman" w:hAnsi="Times New Roman" w:cs="Times New Roman"/>
                <w:b/>
                <w:sz w:val="16"/>
                <w:szCs w:val="16"/>
                <w:lang w:val="en-US"/>
              </w:rPr>
            </w:pPr>
            <w:r w:rsidRPr="0010784C">
              <w:rPr>
                <w:rFonts w:ascii="Times New Roman" w:hAnsi="Times New Roman" w:cs="Times New Roman"/>
                <w:b/>
                <w:sz w:val="16"/>
                <w:szCs w:val="16"/>
                <w:lang w:val="en-US"/>
              </w:rPr>
              <w:t>Cost associated with the project</w:t>
            </w:r>
          </w:p>
        </w:tc>
      </w:tr>
      <w:tr w:rsidR="00C821BE" w:rsidRPr="003C548E" w:rsidTr="00C821BE">
        <w:trPr>
          <w:trHeight w:val="243"/>
          <w:jc w:val="center"/>
        </w:trPr>
        <w:tc>
          <w:tcPr>
            <w:tcW w:w="1129" w:type="dxa"/>
            <w:vMerge/>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rsidR="00C821BE" w:rsidRPr="0010784C" w:rsidRDefault="00C821BE" w:rsidP="00C821BE">
            <w:pPr>
              <w:autoSpaceDE w:val="0"/>
              <w:autoSpaceDN w:val="0"/>
              <w:adjustRightInd w:val="0"/>
              <w:spacing w:after="0" w:line="240" w:lineRule="auto"/>
              <w:jc w:val="center"/>
              <w:rPr>
                <w:rFonts w:ascii="Times New Roman" w:hAnsi="Times New Roman" w:cs="Times New Roman"/>
                <w:b/>
                <w:bCs/>
                <w:sz w:val="16"/>
                <w:szCs w:val="16"/>
                <w:lang w:val="en-US"/>
              </w:rPr>
            </w:pPr>
          </w:p>
        </w:tc>
        <w:tc>
          <w:tcPr>
            <w:tcW w:w="2131" w:type="dxa"/>
            <w:tcBorders>
              <w:top w:val="single" w:sz="4" w:space="0" w:color="auto"/>
              <w:left w:val="single" w:sz="4" w:space="0" w:color="auto"/>
              <w:bottom w:val="single" w:sz="4" w:space="0" w:color="auto"/>
              <w:right w:val="single" w:sz="4" w:space="0" w:color="auto"/>
            </w:tcBorders>
            <w:vAlign w:val="center"/>
          </w:tcPr>
          <w:p w:rsidR="00C821BE" w:rsidRPr="0010784C" w:rsidRDefault="00C821BE" w:rsidP="00C821BE">
            <w:pPr>
              <w:autoSpaceDE w:val="0"/>
              <w:autoSpaceDN w:val="0"/>
              <w:adjustRightInd w:val="0"/>
              <w:spacing w:after="0" w:line="240" w:lineRule="auto"/>
              <w:jc w:val="center"/>
              <w:rPr>
                <w:rFonts w:ascii="Times New Roman" w:hAnsi="Times New Roman" w:cs="Times New Roman"/>
                <w:sz w:val="16"/>
                <w:szCs w:val="16"/>
                <w:lang w:val="en-US"/>
              </w:rPr>
            </w:pPr>
            <w:r w:rsidRPr="0010784C">
              <w:rPr>
                <w:rFonts w:ascii="Times New Roman" w:hAnsi="Times New Roman" w:cs="Times New Roman"/>
                <w:sz w:val="16"/>
                <w:szCs w:val="16"/>
                <w:lang w:val="en-US"/>
              </w:rPr>
              <w:t>Business opportunities for private economic operators</w:t>
            </w:r>
          </w:p>
        </w:tc>
        <w:tc>
          <w:tcPr>
            <w:tcW w:w="4673" w:type="dxa"/>
            <w:tcBorders>
              <w:top w:val="single" w:sz="4" w:space="0" w:color="auto"/>
              <w:left w:val="single" w:sz="4" w:space="0" w:color="auto"/>
              <w:bottom w:val="single" w:sz="4" w:space="0" w:color="auto"/>
              <w:right w:val="single" w:sz="4" w:space="0" w:color="auto"/>
            </w:tcBorders>
            <w:vAlign w:val="center"/>
          </w:tcPr>
          <w:p w:rsidR="00C821BE" w:rsidRPr="0010784C" w:rsidRDefault="00C821BE" w:rsidP="00C821BE">
            <w:pPr>
              <w:autoSpaceDE w:val="0"/>
              <w:autoSpaceDN w:val="0"/>
              <w:adjustRightInd w:val="0"/>
              <w:spacing w:after="0" w:line="240" w:lineRule="auto"/>
              <w:jc w:val="both"/>
              <w:rPr>
                <w:rFonts w:ascii="Times New Roman" w:hAnsi="Times New Roman" w:cs="Times New Roman"/>
                <w:sz w:val="16"/>
                <w:szCs w:val="16"/>
                <w:lang w:val="en-US"/>
              </w:rPr>
            </w:pPr>
            <w:r w:rsidRPr="0010784C">
              <w:rPr>
                <w:rFonts w:ascii="Times New Roman" w:hAnsi="Times New Roman" w:cs="Times New Roman"/>
                <w:sz w:val="16"/>
                <w:szCs w:val="16"/>
                <w:lang w:val="en-US"/>
              </w:rPr>
              <w:t>- Focus on competition during the call for tenders, taking into account the quality of materials;</w:t>
            </w:r>
          </w:p>
          <w:p w:rsidR="00C821BE" w:rsidRPr="0010784C" w:rsidRDefault="00C821BE" w:rsidP="00C821BE">
            <w:pPr>
              <w:autoSpaceDE w:val="0"/>
              <w:autoSpaceDN w:val="0"/>
              <w:adjustRightInd w:val="0"/>
              <w:spacing w:after="0" w:line="240" w:lineRule="auto"/>
              <w:jc w:val="both"/>
              <w:rPr>
                <w:rFonts w:ascii="Times New Roman" w:hAnsi="Times New Roman" w:cs="Times New Roman"/>
                <w:sz w:val="16"/>
                <w:szCs w:val="16"/>
                <w:lang w:val="en-US"/>
              </w:rPr>
            </w:pPr>
            <w:r w:rsidRPr="0010784C">
              <w:rPr>
                <w:rFonts w:ascii="Times New Roman" w:hAnsi="Times New Roman" w:cs="Times New Roman"/>
                <w:sz w:val="16"/>
                <w:szCs w:val="16"/>
                <w:lang w:val="en-US"/>
              </w:rPr>
              <w:t>- Enter into contracts with legally constituted companies;</w:t>
            </w:r>
          </w:p>
          <w:p w:rsidR="00C821BE" w:rsidRPr="0010784C" w:rsidRDefault="00C821BE" w:rsidP="00C821BE">
            <w:pPr>
              <w:autoSpaceDE w:val="0"/>
              <w:autoSpaceDN w:val="0"/>
              <w:adjustRightInd w:val="0"/>
              <w:spacing w:after="0" w:line="240" w:lineRule="auto"/>
              <w:jc w:val="both"/>
              <w:rPr>
                <w:rFonts w:ascii="Times New Roman" w:hAnsi="Times New Roman" w:cs="Times New Roman"/>
                <w:sz w:val="16"/>
                <w:szCs w:val="16"/>
                <w:lang w:val="en-US"/>
              </w:rPr>
            </w:pPr>
            <w:r w:rsidRPr="0010784C">
              <w:rPr>
                <w:rFonts w:ascii="Times New Roman" w:hAnsi="Times New Roman" w:cs="Times New Roman"/>
                <w:sz w:val="16"/>
                <w:szCs w:val="16"/>
                <w:lang w:val="en-US"/>
              </w:rPr>
              <w:t>- Give priority to local businesses;</w:t>
            </w:r>
          </w:p>
        </w:tc>
        <w:tc>
          <w:tcPr>
            <w:tcW w:w="3402" w:type="dxa"/>
            <w:tcBorders>
              <w:top w:val="single" w:sz="4" w:space="0" w:color="auto"/>
              <w:left w:val="single" w:sz="4" w:space="0" w:color="auto"/>
              <w:bottom w:val="single" w:sz="4" w:space="0" w:color="auto"/>
              <w:right w:val="single" w:sz="4" w:space="0" w:color="auto"/>
            </w:tcBorders>
            <w:vAlign w:val="center"/>
          </w:tcPr>
          <w:p w:rsidR="00C821BE" w:rsidRPr="0010784C" w:rsidRDefault="00C821BE" w:rsidP="00C821BE">
            <w:pPr>
              <w:autoSpaceDE w:val="0"/>
              <w:autoSpaceDN w:val="0"/>
              <w:adjustRightInd w:val="0"/>
              <w:spacing w:after="0" w:line="240" w:lineRule="auto"/>
              <w:rPr>
                <w:rFonts w:ascii="Times New Roman" w:hAnsi="Times New Roman" w:cs="Times New Roman"/>
                <w:sz w:val="16"/>
                <w:szCs w:val="16"/>
                <w:lang w:val="en-US"/>
              </w:rPr>
            </w:pPr>
            <w:r w:rsidRPr="0010784C">
              <w:rPr>
                <w:rFonts w:ascii="Times New Roman" w:hAnsi="Times New Roman" w:cs="Times New Roman"/>
                <w:sz w:val="16"/>
                <w:szCs w:val="16"/>
                <w:lang w:val="en-US"/>
              </w:rPr>
              <w:t>-Number of local companies recruited for the works;</w:t>
            </w:r>
          </w:p>
          <w:p w:rsidR="00C821BE" w:rsidRPr="0010784C" w:rsidRDefault="00C821BE" w:rsidP="00C821BE">
            <w:pPr>
              <w:autoSpaceDE w:val="0"/>
              <w:autoSpaceDN w:val="0"/>
              <w:adjustRightInd w:val="0"/>
              <w:spacing w:after="0" w:line="240" w:lineRule="auto"/>
              <w:rPr>
                <w:rFonts w:ascii="Times New Roman" w:hAnsi="Times New Roman" w:cs="Times New Roman"/>
                <w:sz w:val="16"/>
                <w:szCs w:val="16"/>
                <w:lang w:val="en-US"/>
              </w:rPr>
            </w:pPr>
            <w:r w:rsidRPr="0010784C">
              <w:rPr>
                <w:rFonts w:ascii="Times New Roman" w:hAnsi="Times New Roman" w:cs="Times New Roman"/>
                <w:sz w:val="16"/>
                <w:szCs w:val="16"/>
                <w:lang w:val="en-US"/>
              </w:rPr>
              <w:t>-Presence of the contract;</w:t>
            </w:r>
          </w:p>
          <w:p w:rsidR="00C821BE" w:rsidRPr="0010784C" w:rsidRDefault="00C821BE" w:rsidP="00C821BE">
            <w:pPr>
              <w:autoSpaceDE w:val="0"/>
              <w:autoSpaceDN w:val="0"/>
              <w:adjustRightInd w:val="0"/>
              <w:spacing w:after="0" w:line="240" w:lineRule="auto"/>
              <w:rPr>
                <w:rFonts w:ascii="Times New Roman" w:hAnsi="Times New Roman" w:cs="Times New Roman"/>
                <w:sz w:val="16"/>
                <w:szCs w:val="16"/>
                <w:lang w:val="en-US"/>
              </w:rPr>
            </w:pPr>
            <w:r w:rsidRPr="0010784C">
              <w:rPr>
                <w:rFonts w:ascii="Times New Roman" w:hAnsi="Times New Roman" w:cs="Times New Roman"/>
                <w:sz w:val="16"/>
                <w:szCs w:val="16"/>
                <w:lang w:val="en-US"/>
              </w:rPr>
              <w:t>-Presence of invoices for the purchase of materials;</w:t>
            </w:r>
          </w:p>
        </w:tc>
        <w:tc>
          <w:tcPr>
            <w:tcW w:w="1276"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C821BE" w:rsidRPr="0010784C" w:rsidRDefault="00C821BE" w:rsidP="00C821BE">
            <w:pPr>
              <w:autoSpaceDE w:val="0"/>
              <w:autoSpaceDN w:val="0"/>
              <w:adjustRightInd w:val="0"/>
              <w:spacing w:after="0" w:line="240" w:lineRule="auto"/>
              <w:jc w:val="center"/>
              <w:rPr>
                <w:rFonts w:ascii="Times New Roman" w:hAnsi="Times New Roman" w:cs="Times New Roman"/>
                <w:b/>
                <w:sz w:val="16"/>
                <w:szCs w:val="16"/>
                <w:lang w:val="en-US"/>
              </w:rPr>
            </w:pPr>
            <w:r w:rsidRPr="0010784C">
              <w:rPr>
                <w:rFonts w:ascii="Times New Roman" w:hAnsi="Times New Roman" w:cs="Times New Roman"/>
                <w:b/>
                <w:sz w:val="16"/>
                <w:szCs w:val="16"/>
                <w:lang w:val="en-US"/>
              </w:rPr>
              <w:t>PUASEE-FA</w:t>
            </w:r>
          </w:p>
          <w:p w:rsidR="00C821BE" w:rsidRPr="0010784C" w:rsidRDefault="00C821BE" w:rsidP="00C821BE">
            <w:pPr>
              <w:autoSpaceDE w:val="0"/>
              <w:autoSpaceDN w:val="0"/>
              <w:adjustRightInd w:val="0"/>
              <w:spacing w:after="0" w:line="240" w:lineRule="auto"/>
              <w:jc w:val="center"/>
              <w:rPr>
                <w:rFonts w:ascii="Times New Roman" w:hAnsi="Times New Roman" w:cs="Times New Roman"/>
                <w:b/>
                <w:sz w:val="16"/>
                <w:szCs w:val="16"/>
                <w:lang w:val="en-US"/>
              </w:rPr>
            </w:pPr>
            <w:r w:rsidRPr="0010784C">
              <w:rPr>
                <w:rFonts w:ascii="Times New Roman" w:hAnsi="Times New Roman" w:cs="Times New Roman"/>
                <w:b/>
                <w:sz w:val="16"/>
                <w:szCs w:val="16"/>
                <w:lang w:val="en-US"/>
              </w:rPr>
              <w:t>Business</w:t>
            </w:r>
          </w:p>
        </w:tc>
        <w:tc>
          <w:tcPr>
            <w:tcW w:w="1134"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C821BE" w:rsidRPr="0010784C" w:rsidRDefault="00C821BE" w:rsidP="00C821BE">
            <w:pPr>
              <w:autoSpaceDE w:val="0"/>
              <w:autoSpaceDN w:val="0"/>
              <w:adjustRightInd w:val="0"/>
              <w:spacing w:after="0" w:line="240" w:lineRule="auto"/>
              <w:jc w:val="center"/>
              <w:rPr>
                <w:rFonts w:ascii="Times New Roman" w:hAnsi="Times New Roman" w:cs="Times New Roman"/>
                <w:b/>
                <w:sz w:val="16"/>
                <w:szCs w:val="16"/>
                <w:lang w:val="en-US"/>
              </w:rPr>
            </w:pPr>
            <w:r w:rsidRPr="0010784C">
              <w:rPr>
                <w:rFonts w:ascii="Times New Roman" w:hAnsi="Times New Roman" w:cs="Times New Roman"/>
                <w:b/>
                <w:sz w:val="16"/>
                <w:szCs w:val="16"/>
                <w:lang w:val="en-US"/>
              </w:rPr>
              <w:t>MDC</w:t>
            </w:r>
          </w:p>
          <w:p w:rsidR="00C821BE" w:rsidRPr="0010784C" w:rsidRDefault="00C821BE" w:rsidP="00C821BE">
            <w:pPr>
              <w:autoSpaceDE w:val="0"/>
              <w:autoSpaceDN w:val="0"/>
              <w:adjustRightInd w:val="0"/>
              <w:spacing w:after="0" w:line="240" w:lineRule="auto"/>
              <w:jc w:val="center"/>
              <w:rPr>
                <w:rFonts w:ascii="Times New Roman" w:hAnsi="Times New Roman" w:cs="Times New Roman"/>
                <w:b/>
                <w:sz w:val="16"/>
                <w:szCs w:val="16"/>
                <w:lang w:val="en-US"/>
              </w:rPr>
            </w:pPr>
          </w:p>
          <w:p w:rsidR="00C821BE" w:rsidRPr="0010784C" w:rsidRDefault="00C821BE" w:rsidP="00C821BE">
            <w:pPr>
              <w:autoSpaceDE w:val="0"/>
              <w:autoSpaceDN w:val="0"/>
              <w:adjustRightInd w:val="0"/>
              <w:spacing w:after="0" w:line="240" w:lineRule="auto"/>
              <w:jc w:val="center"/>
              <w:rPr>
                <w:rFonts w:ascii="Times New Roman" w:hAnsi="Times New Roman" w:cs="Times New Roman"/>
                <w:b/>
                <w:sz w:val="16"/>
                <w:szCs w:val="16"/>
                <w:lang w:val="en-US"/>
              </w:rPr>
            </w:pPr>
            <w:r w:rsidRPr="0010784C">
              <w:rPr>
                <w:rFonts w:ascii="Times New Roman" w:hAnsi="Times New Roman" w:cs="Times New Roman"/>
                <w:b/>
                <w:sz w:val="16"/>
                <w:szCs w:val="16"/>
                <w:lang w:val="en-US"/>
              </w:rPr>
              <w:t>PUASEE-FA</w:t>
            </w:r>
          </w:p>
        </w:tc>
        <w:tc>
          <w:tcPr>
            <w:tcW w:w="1134" w:type="dxa"/>
            <w:tcBorders>
              <w:top w:val="single" w:sz="4" w:space="0" w:color="auto"/>
              <w:left w:val="single" w:sz="4" w:space="0" w:color="auto"/>
              <w:bottom w:val="single" w:sz="4" w:space="0" w:color="auto"/>
              <w:right w:val="single" w:sz="4" w:space="0" w:color="auto"/>
            </w:tcBorders>
            <w:vAlign w:val="center"/>
          </w:tcPr>
          <w:p w:rsidR="00C821BE" w:rsidRPr="0010784C" w:rsidRDefault="00C821BE" w:rsidP="00C821BE">
            <w:pPr>
              <w:autoSpaceDE w:val="0"/>
              <w:autoSpaceDN w:val="0"/>
              <w:adjustRightInd w:val="0"/>
              <w:spacing w:after="0" w:line="240" w:lineRule="auto"/>
              <w:jc w:val="center"/>
              <w:rPr>
                <w:rFonts w:ascii="Times New Roman" w:hAnsi="Times New Roman" w:cs="Times New Roman"/>
                <w:sz w:val="16"/>
                <w:szCs w:val="16"/>
                <w:lang w:val="en-US"/>
              </w:rPr>
            </w:pPr>
            <w:r w:rsidRPr="0010784C">
              <w:rPr>
                <w:rFonts w:ascii="Times New Roman" w:hAnsi="Times New Roman" w:cs="Times New Roman"/>
                <w:sz w:val="16"/>
                <w:szCs w:val="16"/>
                <w:lang w:val="en-US"/>
              </w:rPr>
              <w:t>Before the works / At each call for tenders</w:t>
            </w:r>
          </w:p>
        </w:tc>
        <w:tc>
          <w:tcPr>
            <w:tcW w:w="1134"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rsidR="00C821BE" w:rsidRPr="0010784C" w:rsidRDefault="00C821BE" w:rsidP="00C821BE">
            <w:pPr>
              <w:autoSpaceDE w:val="0"/>
              <w:autoSpaceDN w:val="0"/>
              <w:adjustRightInd w:val="0"/>
              <w:spacing w:after="0" w:line="240" w:lineRule="auto"/>
              <w:jc w:val="center"/>
              <w:rPr>
                <w:rFonts w:ascii="Times New Roman" w:hAnsi="Times New Roman" w:cs="Times New Roman"/>
                <w:b/>
                <w:sz w:val="16"/>
                <w:szCs w:val="16"/>
                <w:lang w:val="en-US"/>
              </w:rPr>
            </w:pPr>
            <w:r w:rsidRPr="0010784C">
              <w:rPr>
                <w:rFonts w:ascii="Times New Roman" w:hAnsi="Times New Roman" w:cs="Times New Roman"/>
                <w:b/>
                <w:sz w:val="16"/>
                <w:szCs w:val="16"/>
                <w:lang w:val="en-US"/>
              </w:rPr>
              <w:t>Cost associated with the project</w:t>
            </w:r>
          </w:p>
        </w:tc>
      </w:tr>
      <w:tr w:rsidR="00C821BE" w:rsidRPr="003C548E" w:rsidTr="00C821BE">
        <w:trPr>
          <w:trHeight w:val="699"/>
          <w:jc w:val="center"/>
        </w:trPr>
        <w:tc>
          <w:tcPr>
            <w:tcW w:w="1129" w:type="dxa"/>
            <w:vMerge/>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rsidR="00C821BE" w:rsidRPr="0010784C" w:rsidRDefault="00C821BE" w:rsidP="00C821BE">
            <w:pPr>
              <w:autoSpaceDE w:val="0"/>
              <w:autoSpaceDN w:val="0"/>
              <w:adjustRightInd w:val="0"/>
              <w:spacing w:after="0" w:line="240" w:lineRule="auto"/>
              <w:jc w:val="center"/>
              <w:rPr>
                <w:rFonts w:ascii="Times New Roman" w:hAnsi="Times New Roman" w:cs="Times New Roman"/>
                <w:b/>
                <w:bCs/>
                <w:sz w:val="16"/>
                <w:szCs w:val="16"/>
                <w:lang w:val="en-US"/>
              </w:rPr>
            </w:pPr>
          </w:p>
        </w:tc>
        <w:tc>
          <w:tcPr>
            <w:tcW w:w="2131" w:type="dxa"/>
            <w:tcBorders>
              <w:top w:val="single" w:sz="4" w:space="0" w:color="auto"/>
              <w:left w:val="single" w:sz="4" w:space="0" w:color="auto"/>
              <w:bottom w:val="single" w:sz="4" w:space="0" w:color="auto"/>
              <w:right w:val="single" w:sz="4" w:space="0" w:color="auto"/>
            </w:tcBorders>
            <w:vAlign w:val="center"/>
          </w:tcPr>
          <w:p w:rsidR="00C821BE" w:rsidRPr="0010784C" w:rsidRDefault="00C821BE" w:rsidP="00C821BE">
            <w:pPr>
              <w:autoSpaceDE w:val="0"/>
              <w:autoSpaceDN w:val="0"/>
              <w:adjustRightInd w:val="0"/>
              <w:spacing w:after="0" w:line="240" w:lineRule="auto"/>
              <w:jc w:val="center"/>
              <w:rPr>
                <w:rFonts w:ascii="Times New Roman" w:hAnsi="Times New Roman" w:cs="Times New Roman"/>
                <w:sz w:val="16"/>
                <w:szCs w:val="16"/>
                <w:lang w:val="en-US"/>
              </w:rPr>
            </w:pPr>
            <w:r w:rsidRPr="0010784C">
              <w:rPr>
                <w:rFonts w:ascii="Times New Roman" w:hAnsi="Times New Roman" w:cs="Times New Roman"/>
                <w:sz w:val="16"/>
                <w:szCs w:val="16"/>
                <w:lang w:val="en-US"/>
              </w:rPr>
              <w:t xml:space="preserve">Increase in income related to direct project jobs </w:t>
            </w:r>
          </w:p>
        </w:tc>
        <w:tc>
          <w:tcPr>
            <w:tcW w:w="4673" w:type="dxa"/>
            <w:tcBorders>
              <w:top w:val="single" w:sz="4" w:space="0" w:color="auto"/>
              <w:left w:val="single" w:sz="4" w:space="0" w:color="auto"/>
              <w:bottom w:val="single" w:sz="4" w:space="0" w:color="auto"/>
              <w:right w:val="single" w:sz="4" w:space="0" w:color="auto"/>
            </w:tcBorders>
            <w:vAlign w:val="center"/>
          </w:tcPr>
          <w:p w:rsidR="00C821BE" w:rsidRPr="0010784C" w:rsidRDefault="00C821BE" w:rsidP="00C821BE">
            <w:pPr>
              <w:autoSpaceDE w:val="0"/>
              <w:autoSpaceDN w:val="0"/>
              <w:adjustRightInd w:val="0"/>
              <w:spacing w:after="0" w:line="240" w:lineRule="auto"/>
              <w:jc w:val="both"/>
              <w:rPr>
                <w:rFonts w:ascii="Times New Roman" w:hAnsi="Times New Roman" w:cs="Times New Roman"/>
                <w:sz w:val="16"/>
                <w:szCs w:val="16"/>
                <w:lang w:val="en-US"/>
              </w:rPr>
            </w:pPr>
            <w:r w:rsidRPr="0010784C">
              <w:rPr>
                <w:rFonts w:ascii="Times New Roman" w:hAnsi="Times New Roman" w:cs="Times New Roman"/>
                <w:sz w:val="16"/>
                <w:szCs w:val="16"/>
                <w:lang w:val="en-US"/>
              </w:rPr>
              <w:t>-Set up areas for catering respecting hygiene and safety;</w:t>
            </w:r>
          </w:p>
          <w:p w:rsidR="00C821BE" w:rsidRPr="0010784C" w:rsidRDefault="00C821BE" w:rsidP="00C821BE">
            <w:pPr>
              <w:autoSpaceDE w:val="0"/>
              <w:autoSpaceDN w:val="0"/>
              <w:adjustRightInd w:val="0"/>
              <w:spacing w:after="0" w:line="240" w:lineRule="auto"/>
              <w:jc w:val="both"/>
              <w:rPr>
                <w:rFonts w:ascii="Times New Roman" w:hAnsi="Times New Roman" w:cs="Times New Roman"/>
                <w:sz w:val="16"/>
                <w:szCs w:val="16"/>
                <w:lang w:val="en-US"/>
              </w:rPr>
            </w:pPr>
            <w:r w:rsidRPr="0010784C">
              <w:rPr>
                <w:rFonts w:ascii="Times New Roman" w:hAnsi="Times New Roman" w:cs="Times New Roman"/>
                <w:sz w:val="16"/>
                <w:szCs w:val="16"/>
                <w:lang w:val="en-US"/>
              </w:rPr>
              <w:t>-Respect the established specifications;</w:t>
            </w:r>
          </w:p>
          <w:p w:rsidR="00C821BE" w:rsidRPr="0010784C" w:rsidRDefault="00C821BE" w:rsidP="00C821BE">
            <w:pPr>
              <w:autoSpaceDE w:val="0"/>
              <w:autoSpaceDN w:val="0"/>
              <w:adjustRightInd w:val="0"/>
              <w:spacing w:after="0" w:line="240" w:lineRule="auto"/>
              <w:jc w:val="both"/>
              <w:rPr>
                <w:rFonts w:ascii="Times New Roman" w:hAnsi="Times New Roman" w:cs="Times New Roman"/>
                <w:sz w:val="16"/>
                <w:szCs w:val="16"/>
                <w:lang w:val="en-US"/>
              </w:rPr>
            </w:pPr>
            <w:r w:rsidRPr="0010784C">
              <w:rPr>
                <w:rFonts w:ascii="Times New Roman" w:hAnsi="Times New Roman" w:cs="Times New Roman"/>
                <w:sz w:val="16"/>
                <w:szCs w:val="16"/>
                <w:lang w:val="en-US"/>
              </w:rPr>
              <w:t>- Obtain various materials (cements, iron, concrete, etc.) from private operators;</w:t>
            </w:r>
          </w:p>
        </w:tc>
        <w:tc>
          <w:tcPr>
            <w:tcW w:w="3402" w:type="dxa"/>
            <w:tcBorders>
              <w:top w:val="single" w:sz="4" w:space="0" w:color="auto"/>
              <w:left w:val="single" w:sz="4" w:space="0" w:color="auto"/>
              <w:bottom w:val="single" w:sz="4" w:space="0" w:color="auto"/>
              <w:right w:val="single" w:sz="4" w:space="0" w:color="auto"/>
            </w:tcBorders>
            <w:vAlign w:val="center"/>
          </w:tcPr>
          <w:p w:rsidR="00C821BE" w:rsidRPr="0010784C" w:rsidRDefault="00C821BE" w:rsidP="00C821BE">
            <w:pPr>
              <w:autoSpaceDE w:val="0"/>
              <w:autoSpaceDN w:val="0"/>
              <w:adjustRightInd w:val="0"/>
              <w:spacing w:after="0" w:line="240" w:lineRule="auto"/>
              <w:rPr>
                <w:rFonts w:ascii="Times New Roman" w:hAnsi="Times New Roman" w:cs="Times New Roman"/>
                <w:sz w:val="16"/>
                <w:szCs w:val="16"/>
                <w:lang w:val="en-US"/>
              </w:rPr>
            </w:pPr>
            <w:r w:rsidRPr="0010784C">
              <w:rPr>
                <w:rFonts w:ascii="Times New Roman" w:hAnsi="Times New Roman" w:cs="Times New Roman"/>
                <w:sz w:val="16"/>
                <w:szCs w:val="16"/>
                <w:lang w:val="en-US"/>
              </w:rPr>
              <w:t>-Restaurant presence</w:t>
            </w:r>
          </w:p>
          <w:p w:rsidR="00C821BE" w:rsidRPr="0010784C" w:rsidRDefault="00C821BE" w:rsidP="00C821BE">
            <w:pPr>
              <w:autoSpaceDE w:val="0"/>
              <w:autoSpaceDN w:val="0"/>
              <w:adjustRightInd w:val="0"/>
              <w:spacing w:after="0" w:line="240" w:lineRule="auto"/>
              <w:rPr>
                <w:rFonts w:ascii="Times New Roman" w:hAnsi="Times New Roman" w:cs="Times New Roman"/>
                <w:sz w:val="16"/>
                <w:szCs w:val="16"/>
                <w:lang w:val="en-US"/>
              </w:rPr>
            </w:pPr>
            <w:r w:rsidRPr="0010784C">
              <w:rPr>
                <w:rFonts w:ascii="Times New Roman" w:hAnsi="Times New Roman" w:cs="Times New Roman"/>
                <w:sz w:val="16"/>
                <w:szCs w:val="16"/>
                <w:lang w:val="en-US"/>
              </w:rPr>
              <w:t>-Increase in private operators (sale of construction equipment)</w:t>
            </w:r>
          </w:p>
          <w:p w:rsidR="00C821BE" w:rsidRPr="0010784C" w:rsidRDefault="00C821BE" w:rsidP="00C821BE">
            <w:pPr>
              <w:autoSpaceDE w:val="0"/>
              <w:autoSpaceDN w:val="0"/>
              <w:adjustRightInd w:val="0"/>
              <w:spacing w:after="0" w:line="240" w:lineRule="auto"/>
              <w:rPr>
                <w:rFonts w:ascii="Times New Roman" w:hAnsi="Times New Roman" w:cs="Times New Roman"/>
                <w:sz w:val="16"/>
                <w:szCs w:val="16"/>
                <w:lang w:val="en-US"/>
              </w:rPr>
            </w:pPr>
            <w:r w:rsidRPr="0010784C">
              <w:rPr>
                <w:rFonts w:ascii="Times New Roman" w:hAnsi="Times New Roman" w:cs="Times New Roman"/>
                <w:sz w:val="16"/>
                <w:szCs w:val="16"/>
                <w:lang w:val="en-US"/>
              </w:rPr>
              <w:t xml:space="preserve">-Increased income </w:t>
            </w:r>
          </w:p>
          <w:p w:rsidR="00C821BE" w:rsidRPr="0010784C" w:rsidRDefault="00C821BE" w:rsidP="00C821BE">
            <w:pPr>
              <w:autoSpaceDE w:val="0"/>
              <w:autoSpaceDN w:val="0"/>
              <w:adjustRightInd w:val="0"/>
              <w:spacing w:after="0" w:line="240" w:lineRule="auto"/>
              <w:rPr>
                <w:rFonts w:ascii="Times New Roman" w:hAnsi="Times New Roman" w:cs="Times New Roman"/>
                <w:sz w:val="16"/>
                <w:szCs w:val="16"/>
                <w:lang w:val="en-US"/>
              </w:rPr>
            </w:pPr>
          </w:p>
        </w:tc>
        <w:tc>
          <w:tcPr>
            <w:tcW w:w="1276"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C821BE" w:rsidRPr="0010784C" w:rsidRDefault="00C821BE" w:rsidP="00C821BE">
            <w:pPr>
              <w:autoSpaceDE w:val="0"/>
              <w:autoSpaceDN w:val="0"/>
              <w:adjustRightInd w:val="0"/>
              <w:spacing w:after="0" w:line="240" w:lineRule="auto"/>
              <w:jc w:val="center"/>
              <w:rPr>
                <w:rFonts w:ascii="Times New Roman" w:hAnsi="Times New Roman" w:cs="Times New Roman"/>
                <w:b/>
                <w:sz w:val="16"/>
                <w:szCs w:val="16"/>
                <w:lang w:val="en-US"/>
              </w:rPr>
            </w:pPr>
            <w:r w:rsidRPr="0010784C">
              <w:rPr>
                <w:rFonts w:ascii="Times New Roman" w:hAnsi="Times New Roman" w:cs="Times New Roman"/>
                <w:b/>
                <w:sz w:val="16"/>
                <w:szCs w:val="16"/>
                <w:lang w:val="en-US"/>
              </w:rPr>
              <w:t xml:space="preserve">Business </w:t>
            </w:r>
          </w:p>
        </w:tc>
        <w:tc>
          <w:tcPr>
            <w:tcW w:w="1134"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C821BE" w:rsidRPr="0010784C" w:rsidRDefault="00C821BE" w:rsidP="00C821BE">
            <w:pPr>
              <w:autoSpaceDE w:val="0"/>
              <w:autoSpaceDN w:val="0"/>
              <w:adjustRightInd w:val="0"/>
              <w:spacing w:after="0" w:line="240" w:lineRule="auto"/>
              <w:jc w:val="center"/>
              <w:rPr>
                <w:rFonts w:ascii="Times New Roman" w:hAnsi="Times New Roman" w:cs="Times New Roman"/>
                <w:b/>
                <w:sz w:val="16"/>
                <w:szCs w:val="16"/>
                <w:lang w:val="en-US"/>
              </w:rPr>
            </w:pPr>
            <w:r w:rsidRPr="0010784C">
              <w:rPr>
                <w:rFonts w:ascii="Times New Roman" w:hAnsi="Times New Roman" w:cs="Times New Roman"/>
                <w:b/>
                <w:sz w:val="16"/>
                <w:szCs w:val="16"/>
                <w:lang w:val="en-US"/>
              </w:rPr>
              <w:t>MDC</w:t>
            </w:r>
          </w:p>
          <w:p w:rsidR="00C821BE" w:rsidRPr="0010784C" w:rsidRDefault="00C821BE" w:rsidP="00C821BE">
            <w:pPr>
              <w:autoSpaceDE w:val="0"/>
              <w:autoSpaceDN w:val="0"/>
              <w:adjustRightInd w:val="0"/>
              <w:spacing w:after="0" w:line="240" w:lineRule="auto"/>
              <w:jc w:val="center"/>
              <w:rPr>
                <w:rFonts w:ascii="Times New Roman" w:hAnsi="Times New Roman" w:cs="Times New Roman"/>
                <w:b/>
                <w:sz w:val="16"/>
                <w:szCs w:val="16"/>
                <w:lang w:val="en-US"/>
              </w:rPr>
            </w:pPr>
            <w:r w:rsidRPr="0010784C">
              <w:rPr>
                <w:rFonts w:ascii="Times New Roman" w:hAnsi="Times New Roman" w:cs="Times New Roman"/>
                <w:b/>
                <w:sz w:val="16"/>
                <w:szCs w:val="16"/>
                <w:lang w:val="en-US"/>
              </w:rPr>
              <w:t>PUASEE-FA</w:t>
            </w:r>
          </w:p>
        </w:tc>
        <w:tc>
          <w:tcPr>
            <w:tcW w:w="1134" w:type="dxa"/>
            <w:tcBorders>
              <w:top w:val="single" w:sz="4" w:space="0" w:color="auto"/>
              <w:left w:val="single" w:sz="4" w:space="0" w:color="auto"/>
              <w:bottom w:val="single" w:sz="4" w:space="0" w:color="auto"/>
              <w:right w:val="single" w:sz="4" w:space="0" w:color="auto"/>
            </w:tcBorders>
            <w:vAlign w:val="center"/>
          </w:tcPr>
          <w:p w:rsidR="00C821BE" w:rsidRPr="0010784C" w:rsidRDefault="00C821BE" w:rsidP="00C821BE">
            <w:pPr>
              <w:autoSpaceDE w:val="0"/>
              <w:autoSpaceDN w:val="0"/>
              <w:adjustRightInd w:val="0"/>
              <w:spacing w:after="0" w:line="240" w:lineRule="auto"/>
              <w:jc w:val="center"/>
              <w:rPr>
                <w:rFonts w:ascii="Times New Roman" w:hAnsi="Times New Roman" w:cs="Times New Roman"/>
                <w:sz w:val="16"/>
                <w:szCs w:val="16"/>
                <w:lang w:val="en-US"/>
              </w:rPr>
            </w:pPr>
            <w:r w:rsidRPr="0010784C">
              <w:rPr>
                <w:rFonts w:ascii="Times New Roman" w:hAnsi="Times New Roman" w:cs="Times New Roman"/>
                <w:sz w:val="16"/>
                <w:szCs w:val="16"/>
                <w:lang w:val="en-US"/>
              </w:rPr>
              <w:t>During the works / Monthly</w:t>
            </w:r>
          </w:p>
        </w:tc>
        <w:tc>
          <w:tcPr>
            <w:tcW w:w="1134"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rsidR="00C821BE" w:rsidRPr="0010784C" w:rsidRDefault="00C821BE" w:rsidP="00C821BE">
            <w:pPr>
              <w:autoSpaceDE w:val="0"/>
              <w:autoSpaceDN w:val="0"/>
              <w:adjustRightInd w:val="0"/>
              <w:spacing w:after="0" w:line="240" w:lineRule="auto"/>
              <w:jc w:val="center"/>
              <w:rPr>
                <w:rFonts w:ascii="Times New Roman" w:hAnsi="Times New Roman" w:cs="Times New Roman"/>
                <w:b/>
                <w:sz w:val="16"/>
                <w:szCs w:val="16"/>
                <w:lang w:val="en-US"/>
              </w:rPr>
            </w:pPr>
            <w:r w:rsidRPr="0010784C">
              <w:rPr>
                <w:rFonts w:ascii="Times New Roman" w:hAnsi="Times New Roman" w:cs="Times New Roman"/>
                <w:b/>
                <w:sz w:val="16"/>
                <w:szCs w:val="16"/>
                <w:lang w:val="en-US"/>
              </w:rPr>
              <w:t>Cost associated with the project</w:t>
            </w:r>
          </w:p>
        </w:tc>
      </w:tr>
      <w:tr w:rsidR="00C821BE" w:rsidRPr="003C548E" w:rsidTr="00C821BE">
        <w:trPr>
          <w:trHeight w:val="227"/>
          <w:jc w:val="center"/>
        </w:trPr>
        <w:tc>
          <w:tcPr>
            <w:tcW w:w="1129" w:type="dxa"/>
            <w:vMerge/>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rsidR="00C821BE" w:rsidRPr="0010784C" w:rsidRDefault="00C821BE" w:rsidP="00C821BE">
            <w:pPr>
              <w:autoSpaceDE w:val="0"/>
              <w:autoSpaceDN w:val="0"/>
              <w:adjustRightInd w:val="0"/>
              <w:spacing w:after="0" w:line="240" w:lineRule="auto"/>
              <w:jc w:val="center"/>
              <w:rPr>
                <w:rFonts w:ascii="Times New Roman" w:hAnsi="Times New Roman" w:cs="Times New Roman"/>
                <w:b/>
                <w:bCs/>
                <w:sz w:val="16"/>
                <w:szCs w:val="16"/>
                <w:lang w:val="en-US"/>
              </w:rPr>
            </w:pPr>
          </w:p>
        </w:tc>
        <w:tc>
          <w:tcPr>
            <w:tcW w:w="2131" w:type="dxa"/>
            <w:tcBorders>
              <w:top w:val="single" w:sz="4" w:space="0" w:color="auto"/>
              <w:left w:val="single" w:sz="4" w:space="0" w:color="auto"/>
              <w:bottom w:val="single" w:sz="4" w:space="0" w:color="auto"/>
              <w:right w:val="single" w:sz="4" w:space="0" w:color="auto"/>
            </w:tcBorders>
            <w:vAlign w:val="center"/>
          </w:tcPr>
          <w:p w:rsidR="00C821BE" w:rsidRPr="0010784C" w:rsidRDefault="00C821BE" w:rsidP="00C821BE">
            <w:pPr>
              <w:autoSpaceDE w:val="0"/>
              <w:autoSpaceDN w:val="0"/>
              <w:adjustRightInd w:val="0"/>
              <w:spacing w:after="0" w:line="240" w:lineRule="auto"/>
              <w:jc w:val="center"/>
              <w:rPr>
                <w:rFonts w:ascii="Times New Roman" w:hAnsi="Times New Roman" w:cs="Times New Roman"/>
                <w:sz w:val="16"/>
                <w:szCs w:val="16"/>
                <w:lang w:val="en-US"/>
              </w:rPr>
            </w:pPr>
            <w:r w:rsidRPr="0010784C">
              <w:rPr>
                <w:rFonts w:ascii="Times New Roman" w:hAnsi="Times New Roman" w:cs="Times New Roman"/>
                <w:sz w:val="16"/>
                <w:szCs w:val="16"/>
                <w:lang w:val="en-US"/>
              </w:rPr>
              <w:t>Social relationship creation</w:t>
            </w:r>
          </w:p>
        </w:tc>
        <w:tc>
          <w:tcPr>
            <w:tcW w:w="4673" w:type="dxa"/>
            <w:tcBorders>
              <w:top w:val="single" w:sz="4" w:space="0" w:color="auto"/>
              <w:left w:val="single" w:sz="4" w:space="0" w:color="auto"/>
              <w:bottom w:val="single" w:sz="4" w:space="0" w:color="auto"/>
              <w:right w:val="single" w:sz="4" w:space="0" w:color="auto"/>
            </w:tcBorders>
            <w:vAlign w:val="center"/>
          </w:tcPr>
          <w:p w:rsidR="00C821BE" w:rsidRPr="0010784C" w:rsidRDefault="00C821BE" w:rsidP="00C821BE">
            <w:pPr>
              <w:autoSpaceDE w:val="0"/>
              <w:autoSpaceDN w:val="0"/>
              <w:adjustRightInd w:val="0"/>
              <w:spacing w:after="0" w:line="240" w:lineRule="auto"/>
              <w:jc w:val="both"/>
              <w:rPr>
                <w:rFonts w:ascii="Times New Roman" w:hAnsi="Times New Roman" w:cs="Times New Roman"/>
                <w:sz w:val="16"/>
                <w:szCs w:val="16"/>
                <w:lang w:val="en-US"/>
              </w:rPr>
            </w:pPr>
            <w:r w:rsidRPr="0010784C">
              <w:rPr>
                <w:rFonts w:ascii="Times New Roman" w:hAnsi="Times New Roman" w:cs="Times New Roman"/>
                <w:sz w:val="16"/>
                <w:szCs w:val="16"/>
                <w:lang w:val="en-US"/>
              </w:rPr>
              <w:t xml:space="preserve"> - Respect the living environments of the populations;</w:t>
            </w:r>
          </w:p>
          <w:p w:rsidR="00C821BE" w:rsidRPr="0010784C" w:rsidRDefault="00C821BE" w:rsidP="00C821BE">
            <w:pPr>
              <w:autoSpaceDE w:val="0"/>
              <w:autoSpaceDN w:val="0"/>
              <w:adjustRightInd w:val="0"/>
              <w:spacing w:after="0" w:line="240" w:lineRule="auto"/>
              <w:jc w:val="both"/>
              <w:rPr>
                <w:rFonts w:ascii="Times New Roman" w:hAnsi="Times New Roman" w:cs="Times New Roman"/>
                <w:sz w:val="16"/>
                <w:szCs w:val="16"/>
                <w:lang w:val="en-US"/>
              </w:rPr>
            </w:pPr>
            <w:r w:rsidRPr="0010784C">
              <w:rPr>
                <w:rFonts w:ascii="Times New Roman" w:hAnsi="Times New Roman" w:cs="Times New Roman"/>
                <w:sz w:val="16"/>
                <w:szCs w:val="16"/>
                <w:lang w:val="en-US"/>
              </w:rPr>
              <w:t>- respect the uses and customs of the localities concerned;</w:t>
            </w:r>
          </w:p>
          <w:p w:rsidR="00C821BE" w:rsidRPr="0010784C" w:rsidRDefault="00C821BE" w:rsidP="00C821BE">
            <w:pPr>
              <w:autoSpaceDE w:val="0"/>
              <w:autoSpaceDN w:val="0"/>
              <w:adjustRightInd w:val="0"/>
              <w:spacing w:after="0" w:line="240" w:lineRule="auto"/>
              <w:jc w:val="both"/>
              <w:rPr>
                <w:rFonts w:ascii="Times New Roman" w:hAnsi="Times New Roman" w:cs="Times New Roman"/>
                <w:sz w:val="16"/>
                <w:szCs w:val="16"/>
                <w:lang w:val="en-US"/>
              </w:rPr>
            </w:pPr>
            <w:r w:rsidRPr="0010784C">
              <w:rPr>
                <w:rFonts w:ascii="Times New Roman" w:hAnsi="Times New Roman" w:cs="Times New Roman"/>
                <w:sz w:val="16"/>
                <w:szCs w:val="16"/>
                <w:lang w:val="en-US"/>
              </w:rPr>
              <w:t>- Maintain peaceful relations with the population;</w:t>
            </w:r>
          </w:p>
          <w:p w:rsidR="00C821BE" w:rsidRPr="0010784C" w:rsidRDefault="00C821BE" w:rsidP="00C821BE">
            <w:pPr>
              <w:autoSpaceDE w:val="0"/>
              <w:autoSpaceDN w:val="0"/>
              <w:adjustRightInd w:val="0"/>
              <w:spacing w:after="0" w:line="240" w:lineRule="auto"/>
              <w:jc w:val="both"/>
              <w:rPr>
                <w:rFonts w:ascii="Times New Roman" w:hAnsi="Times New Roman" w:cs="Times New Roman"/>
                <w:sz w:val="16"/>
                <w:szCs w:val="16"/>
                <w:lang w:val="en-US"/>
              </w:rPr>
            </w:pPr>
            <w:r w:rsidRPr="0010784C">
              <w:rPr>
                <w:rFonts w:ascii="Times New Roman" w:hAnsi="Times New Roman" w:cs="Times New Roman"/>
                <w:sz w:val="16"/>
                <w:szCs w:val="16"/>
                <w:lang w:val="en-US"/>
              </w:rPr>
              <w:t>Respect the commitments made;</w:t>
            </w:r>
          </w:p>
        </w:tc>
        <w:tc>
          <w:tcPr>
            <w:tcW w:w="3402" w:type="dxa"/>
            <w:tcBorders>
              <w:top w:val="single" w:sz="4" w:space="0" w:color="auto"/>
              <w:left w:val="single" w:sz="4" w:space="0" w:color="auto"/>
              <w:bottom w:val="single" w:sz="4" w:space="0" w:color="auto"/>
              <w:right w:val="single" w:sz="4" w:space="0" w:color="auto"/>
            </w:tcBorders>
            <w:vAlign w:val="center"/>
          </w:tcPr>
          <w:p w:rsidR="00C821BE" w:rsidRPr="0010784C" w:rsidRDefault="00C821BE" w:rsidP="00C821BE">
            <w:pPr>
              <w:autoSpaceDE w:val="0"/>
              <w:autoSpaceDN w:val="0"/>
              <w:adjustRightInd w:val="0"/>
              <w:spacing w:after="0" w:line="240" w:lineRule="auto"/>
              <w:rPr>
                <w:rFonts w:ascii="Times New Roman" w:hAnsi="Times New Roman" w:cs="Times New Roman"/>
                <w:color w:val="000000"/>
                <w:sz w:val="16"/>
                <w:szCs w:val="16"/>
                <w:lang w:val="en-US"/>
              </w:rPr>
            </w:pPr>
            <w:r w:rsidRPr="0010784C">
              <w:rPr>
                <w:rFonts w:ascii="Times New Roman" w:hAnsi="Times New Roman" w:cs="Times New Roman"/>
                <w:sz w:val="16"/>
                <w:szCs w:val="16"/>
                <w:lang w:val="en-US"/>
              </w:rPr>
              <w:t>-</w:t>
            </w:r>
            <w:r w:rsidRPr="0010784C">
              <w:rPr>
                <w:rFonts w:ascii="Times New Roman" w:hAnsi="Times New Roman" w:cs="Times New Roman"/>
                <w:color w:val="000000"/>
                <w:sz w:val="16"/>
                <w:szCs w:val="16"/>
                <w:lang w:val="en-US"/>
              </w:rPr>
              <w:t xml:space="preserve"> Presence of relationship going to social, cultural, technical, commercial interconnections;</w:t>
            </w:r>
          </w:p>
          <w:p w:rsidR="00C821BE" w:rsidRPr="0010784C" w:rsidRDefault="00C821BE" w:rsidP="00C821BE">
            <w:pPr>
              <w:autoSpaceDE w:val="0"/>
              <w:autoSpaceDN w:val="0"/>
              <w:adjustRightInd w:val="0"/>
              <w:spacing w:after="0" w:line="240" w:lineRule="auto"/>
              <w:rPr>
                <w:rFonts w:ascii="Times New Roman" w:hAnsi="Times New Roman" w:cs="Times New Roman"/>
                <w:sz w:val="16"/>
                <w:szCs w:val="16"/>
                <w:lang w:val="en-US"/>
              </w:rPr>
            </w:pPr>
            <w:r w:rsidRPr="0010784C">
              <w:rPr>
                <w:rFonts w:ascii="Times New Roman" w:hAnsi="Times New Roman" w:cs="Times New Roman"/>
                <w:color w:val="000000"/>
                <w:sz w:val="16"/>
                <w:szCs w:val="16"/>
                <w:lang w:val="en-US"/>
              </w:rPr>
              <w:t>- Number of complaints registered</w:t>
            </w:r>
            <w:r w:rsidRPr="0010784C">
              <w:rPr>
                <w:rFonts w:ascii="Times New Roman" w:hAnsi="Times New Roman" w:cs="Times New Roman"/>
                <w:sz w:val="16"/>
                <w:szCs w:val="16"/>
                <w:lang w:val="en-US"/>
              </w:rPr>
              <w:t>;</w:t>
            </w:r>
          </w:p>
        </w:tc>
        <w:tc>
          <w:tcPr>
            <w:tcW w:w="1276"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C821BE" w:rsidRPr="0010784C" w:rsidRDefault="00C821BE" w:rsidP="00C821BE">
            <w:pPr>
              <w:autoSpaceDE w:val="0"/>
              <w:autoSpaceDN w:val="0"/>
              <w:adjustRightInd w:val="0"/>
              <w:spacing w:after="0" w:line="240" w:lineRule="auto"/>
              <w:jc w:val="center"/>
              <w:rPr>
                <w:rFonts w:ascii="Times New Roman" w:hAnsi="Times New Roman" w:cs="Times New Roman"/>
                <w:b/>
                <w:sz w:val="16"/>
                <w:szCs w:val="16"/>
                <w:lang w:val="en-US"/>
              </w:rPr>
            </w:pPr>
            <w:r w:rsidRPr="0010784C">
              <w:rPr>
                <w:rFonts w:ascii="Times New Roman" w:hAnsi="Times New Roman" w:cs="Times New Roman"/>
                <w:b/>
                <w:sz w:val="16"/>
                <w:szCs w:val="16"/>
                <w:lang w:val="en-US"/>
              </w:rPr>
              <w:t xml:space="preserve">Business </w:t>
            </w:r>
          </w:p>
        </w:tc>
        <w:tc>
          <w:tcPr>
            <w:tcW w:w="1134"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C821BE" w:rsidRPr="0010784C" w:rsidRDefault="00C821BE" w:rsidP="00C821BE">
            <w:pPr>
              <w:autoSpaceDE w:val="0"/>
              <w:autoSpaceDN w:val="0"/>
              <w:adjustRightInd w:val="0"/>
              <w:spacing w:after="0" w:line="240" w:lineRule="auto"/>
              <w:jc w:val="center"/>
              <w:rPr>
                <w:rFonts w:ascii="Times New Roman" w:hAnsi="Times New Roman" w:cs="Times New Roman"/>
                <w:b/>
                <w:sz w:val="16"/>
                <w:szCs w:val="16"/>
                <w:lang w:val="en-US"/>
              </w:rPr>
            </w:pPr>
            <w:r w:rsidRPr="0010784C">
              <w:rPr>
                <w:rFonts w:ascii="Times New Roman" w:hAnsi="Times New Roman" w:cs="Times New Roman"/>
                <w:b/>
                <w:sz w:val="16"/>
                <w:szCs w:val="16"/>
                <w:lang w:val="en-US"/>
              </w:rPr>
              <w:t>MDC</w:t>
            </w:r>
          </w:p>
          <w:p w:rsidR="00C821BE" w:rsidRPr="0010784C" w:rsidRDefault="00C821BE" w:rsidP="00C821BE">
            <w:pPr>
              <w:autoSpaceDE w:val="0"/>
              <w:autoSpaceDN w:val="0"/>
              <w:adjustRightInd w:val="0"/>
              <w:spacing w:after="0" w:line="240" w:lineRule="auto"/>
              <w:jc w:val="center"/>
              <w:rPr>
                <w:rFonts w:ascii="Times New Roman" w:hAnsi="Times New Roman" w:cs="Times New Roman"/>
                <w:b/>
                <w:sz w:val="16"/>
                <w:szCs w:val="16"/>
                <w:lang w:val="en-US"/>
              </w:rPr>
            </w:pPr>
            <w:r w:rsidRPr="0010784C">
              <w:rPr>
                <w:rFonts w:ascii="Times New Roman" w:hAnsi="Times New Roman" w:cs="Times New Roman"/>
                <w:b/>
                <w:sz w:val="16"/>
                <w:szCs w:val="16"/>
                <w:lang w:val="en-US"/>
              </w:rPr>
              <w:t>PUASEE-FA</w:t>
            </w:r>
          </w:p>
        </w:tc>
        <w:tc>
          <w:tcPr>
            <w:tcW w:w="1134" w:type="dxa"/>
            <w:tcBorders>
              <w:top w:val="single" w:sz="4" w:space="0" w:color="auto"/>
              <w:left w:val="single" w:sz="4" w:space="0" w:color="auto"/>
              <w:bottom w:val="single" w:sz="4" w:space="0" w:color="auto"/>
              <w:right w:val="single" w:sz="4" w:space="0" w:color="auto"/>
            </w:tcBorders>
            <w:vAlign w:val="center"/>
          </w:tcPr>
          <w:p w:rsidR="00C821BE" w:rsidRPr="0010784C" w:rsidRDefault="00C821BE" w:rsidP="00C821BE">
            <w:pPr>
              <w:autoSpaceDE w:val="0"/>
              <w:autoSpaceDN w:val="0"/>
              <w:adjustRightInd w:val="0"/>
              <w:spacing w:after="0" w:line="240" w:lineRule="auto"/>
              <w:jc w:val="center"/>
              <w:rPr>
                <w:rFonts w:ascii="Times New Roman" w:hAnsi="Times New Roman" w:cs="Times New Roman"/>
                <w:sz w:val="16"/>
                <w:szCs w:val="16"/>
                <w:lang w:val="en-US"/>
              </w:rPr>
            </w:pPr>
            <w:r w:rsidRPr="0010784C">
              <w:rPr>
                <w:rFonts w:ascii="Times New Roman" w:hAnsi="Times New Roman" w:cs="Times New Roman"/>
                <w:sz w:val="16"/>
                <w:szCs w:val="16"/>
                <w:lang w:val="en-US"/>
              </w:rPr>
              <w:t>During the works / Monthly</w:t>
            </w:r>
          </w:p>
        </w:tc>
        <w:tc>
          <w:tcPr>
            <w:tcW w:w="1134"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rsidR="00C821BE" w:rsidRPr="0010784C" w:rsidRDefault="00C821BE" w:rsidP="00C821BE">
            <w:pPr>
              <w:autoSpaceDE w:val="0"/>
              <w:autoSpaceDN w:val="0"/>
              <w:adjustRightInd w:val="0"/>
              <w:spacing w:after="0" w:line="240" w:lineRule="auto"/>
              <w:jc w:val="center"/>
              <w:rPr>
                <w:rFonts w:ascii="Times New Roman" w:hAnsi="Times New Roman" w:cs="Times New Roman"/>
                <w:b/>
                <w:sz w:val="16"/>
                <w:szCs w:val="16"/>
                <w:lang w:val="en-US"/>
              </w:rPr>
            </w:pPr>
            <w:r w:rsidRPr="0010784C">
              <w:rPr>
                <w:rFonts w:ascii="Times New Roman" w:hAnsi="Times New Roman" w:cs="Times New Roman"/>
                <w:b/>
                <w:sz w:val="16"/>
                <w:szCs w:val="16"/>
                <w:lang w:val="en-US"/>
              </w:rPr>
              <w:t>Cost associated with the project</w:t>
            </w:r>
          </w:p>
        </w:tc>
      </w:tr>
      <w:tr w:rsidR="00C821BE" w:rsidRPr="003C548E" w:rsidTr="00C821BE">
        <w:trPr>
          <w:trHeight w:val="70"/>
          <w:jc w:val="center"/>
        </w:trPr>
        <w:tc>
          <w:tcPr>
            <w:tcW w:w="16013" w:type="dxa"/>
            <w:gridSpan w:val="8"/>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rsidR="00C821BE" w:rsidRPr="0010784C" w:rsidRDefault="00C821BE" w:rsidP="00C821BE">
            <w:pPr>
              <w:autoSpaceDE w:val="0"/>
              <w:autoSpaceDN w:val="0"/>
              <w:adjustRightInd w:val="0"/>
              <w:spacing w:after="0" w:line="240" w:lineRule="auto"/>
              <w:jc w:val="center"/>
              <w:rPr>
                <w:rFonts w:ascii="Times New Roman" w:hAnsi="Times New Roman" w:cs="Times New Roman"/>
                <w:b/>
                <w:bCs/>
                <w:sz w:val="16"/>
                <w:szCs w:val="16"/>
                <w:lang w:val="en-US"/>
              </w:rPr>
            </w:pPr>
            <w:r w:rsidRPr="0010784C">
              <w:rPr>
                <w:rFonts w:ascii="Times New Roman" w:hAnsi="Times New Roman" w:cs="Times New Roman"/>
                <w:b/>
                <w:bCs/>
                <w:sz w:val="16"/>
                <w:szCs w:val="16"/>
                <w:lang w:val="en-US"/>
              </w:rPr>
              <w:t>Means of improving potential positive impacts during the operating phase</w:t>
            </w:r>
          </w:p>
        </w:tc>
      </w:tr>
      <w:tr w:rsidR="00C821BE" w:rsidRPr="0010784C" w:rsidTr="00C821BE">
        <w:trPr>
          <w:trHeight w:val="70"/>
          <w:jc w:val="center"/>
        </w:trPr>
        <w:tc>
          <w:tcPr>
            <w:tcW w:w="1129"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rsidR="00C821BE" w:rsidRPr="0010784C" w:rsidRDefault="00C821BE" w:rsidP="00C821BE">
            <w:pPr>
              <w:autoSpaceDE w:val="0"/>
              <w:autoSpaceDN w:val="0"/>
              <w:adjustRightInd w:val="0"/>
              <w:spacing w:after="0" w:line="240" w:lineRule="auto"/>
              <w:jc w:val="center"/>
              <w:rPr>
                <w:rFonts w:ascii="Times New Roman" w:hAnsi="Times New Roman" w:cs="Times New Roman"/>
                <w:b/>
                <w:bCs/>
                <w:sz w:val="16"/>
                <w:szCs w:val="16"/>
                <w:lang w:val="en-US"/>
              </w:rPr>
            </w:pPr>
            <w:r w:rsidRPr="0010784C">
              <w:rPr>
                <w:rFonts w:ascii="Times New Roman" w:hAnsi="Times New Roman" w:cs="Times New Roman"/>
                <w:b/>
                <w:bCs/>
                <w:sz w:val="16"/>
                <w:szCs w:val="16"/>
                <w:lang w:val="en-US"/>
              </w:rPr>
              <w:t>Component of the affected environment</w:t>
            </w:r>
          </w:p>
        </w:tc>
        <w:tc>
          <w:tcPr>
            <w:tcW w:w="2131"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rsidR="00C821BE" w:rsidRPr="0010784C" w:rsidRDefault="00C821BE" w:rsidP="00C821BE">
            <w:pPr>
              <w:autoSpaceDE w:val="0"/>
              <w:autoSpaceDN w:val="0"/>
              <w:adjustRightInd w:val="0"/>
              <w:spacing w:after="0" w:line="240" w:lineRule="auto"/>
              <w:jc w:val="center"/>
              <w:rPr>
                <w:rFonts w:ascii="Times New Roman" w:hAnsi="Times New Roman" w:cs="Times New Roman"/>
                <w:b/>
                <w:sz w:val="16"/>
                <w:szCs w:val="16"/>
                <w:lang w:val="en-US"/>
              </w:rPr>
            </w:pPr>
            <w:r w:rsidRPr="0010784C">
              <w:rPr>
                <w:rFonts w:ascii="Times New Roman" w:hAnsi="Times New Roman" w:cs="Times New Roman"/>
                <w:b/>
                <w:sz w:val="16"/>
                <w:szCs w:val="16"/>
                <w:lang w:val="en-US"/>
              </w:rPr>
              <w:t>Nature of potential impact</w:t>
            </w:r>
          </w:p>
        </w:tc>
        <w:tc>
          <w:tcPr>
            <w:tcW w:w="4673"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rsidR="00C821BE" w:rsidRPr="0010784C" w:rsidRDefault="00C821BE" w:rsidP="00C821BE">
            <w:pPr>
              <w:autoSpaceDE w:val="0"/>
              <w:autoSpaceDN w:val="0"/>
              <w:adjustRightInd w:val="0"/>
              <w:spacing w:after="0" w:line="240" w:lineRule="auto"/>
              <w:jc w:val="center"/>
              <w:rPr>
                <w:rFonts w:ascii="Times New Roman" w:hAnsi="Times New Roman" w:cs="Times New Roman"/>
                <w:b/>
                <w:sz w:val="16"/>
                <w:szCs w:val="16"/>
                <w:lang w:val="en-US"/>
              </w:rPr>
            </w:pPr>
            <w:r w:rsidRPr="0010784C">
              <w:rPr>
                <w:rFonts w:ascii="Times New Roman" w:hAnsi="Times New Roman" w:cs="Times New Roman"/>
                <w:b/>
                <w:sz w:val="16"/>
                <w:szCs w:val="16"/>
                <w:lang w:val="en-US"/>
              </w:rPr>
              <w:t>Recommended measures</w:t>
            </w:r>
          </w:p>
        </w:tc>
        <w:tc>
          <w:tcPr>
            <w:tcW w:w="3402"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rsidR="00C821BE" w:rsidRPr="0010784C" w:rsidRDefault="00C821BE" w:rsidP="00C821BE">
            <w:pPr>
              <w:autoSpaceDE w:val="0"/>
              <w:autoSpaceDN w:val="0"/>
              <w:adjustRightInd w:val="0"/>
              <w:spacing w:after="0" w:line="240" w:lineRule="auto"/>
              <w:jc w:val="center"/>
              <w:rPr>
                <w:rFonts w:ascii="Times New Roman" w:hAnsi="Times New Roman" w:cs="Times New Roman"/>
                <w:b/>
                <w:sz w:val="16"/>
                <w:szCs w:val="16"/>
                <w:lang w:val="en-US"/>
              </w:rPr>
            </w:pPr>
            <w:r w:rsidRPr="0010784C">
              <w:rPr>
                <w:rFonts w:ascii="Times New Roman" w:hAnsi="Times New Roman" w:cs="Times New Roman"/>
                <w:b/>
                <w:sz w:val="16"/>
                <w:szCs w:val="16"/>
                <w:lang w:val="en-US"/>
              </w:rPr>
              <w:t>Monitoring indicator</w:t>
            </w:r>
          </w:p>
        </w:tc>
        <w:tc>
          <w:tcPr>
            <w:tcW w:w="2410" w:type="dxa"/>
            <w:gridSpan w:val="2"/>
            <w:tcBorders>
              <w:top w:val="single" w:sz="4" w:space="0" w:color="auto"/>
              <w:left w:val="single" w:sz="4" w:space="0" w:color="auto"/>
              <w:bottom w:val="single" w:sz="4" w:space="0" w:color="auto"/>
              <w:right w:val="single" w:sz="4" w:space="0" w:color="auto"/>
            </w:tcBorders>
            <w:shd w:val="clear" w:color="auto" w:fill="F2F2F2"/>
            <w:vAlign w:val="center"/>
            <w:hideMark/>
          </w:tcPr>
          <w:p w:rsidR="00C821BE" w:rsidRPr="0010784C" w:rsidRDefault="00C821BE" w:rsidP="00C821BE">
            <w:pPr>
              <w:autoSpaceDE w:val="0"/>
              <w:autoSpaceDN w:val="0"/>
              <w:adjustRightInd w:val="0"/>
              <w:spacing w:after="0" w:line="240" w:lineRule="auto"/>
              <w:jc w:val="center"/>
              <w:rPr>
                <w:rFonts w:ascii="Times New Roman" w:hAnsi="Times New Roman" w:cs="Times New Roman"/>
                <w:b/>
                <w:sz w:val="16"/>
                <w:szCs w:val="16"/>
                <w:lang w:val="en-US"/>
              </w:rPr>
            </w:pPr>
            <w:r w:rsidRPr="0010784C">
              <w:rPr>
                <w:rFonts w:ascii="Times New Roman" w:hAnsi="Times New Roman" w:cs="Times New Roman"/>
                <w:b/>
                <w:bCs/>
                <w:sz w:val="16"/>
                <w:szCs w:val="16"/>
                <w:lang w:val="en-US"/>
              </w:rPr>
              <w:t>Responsible (s)</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rsidR="00C821BE" w:rsidRPr="0010784C" w:rsidRDefault="00C821BE" w:rsidP="00C821BE">
            <w:pPr>
              <w:autoSpaceDE w:val="0"/>
              <w:autoSpaceDN w:val="0"/>
              <w:adjustRightInd w:val="0"/>
              <w:spacing w:after="0" w:line="240" w:lineRule="auto"/>
              <w:jc w:val="center"/>
              <w:rPr>
                <w:rFonts w:ascii="Times New Roman" w:hAnsi="Times New Roman" w:cs="Times New Roman"/>
                <w:b/>
                <w:sz w:val="16"/>
                <w:szCs w:val="16"/>
                <w:lang w:val="en-US"/>
              </w:rPr>
            </w:pPr>
            <w:r w:rsidRPr="0010784C">
              <w:rPr>
                <w:rFonts w:ascii="Times New Roman" w:hAnsi="Times New Roman" w:cs="Times New Roman"/>
                <w:b/>
                <w:bCs/>
                <w:sz w:val="16"/>
                <w:szCs w:val="16"/>
                <w:lang w:val="en-US"/>
              </w:rPr>
              <w:t>Deadlines / Period</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rsidR="00C821BE" w:rsidRPr="0010784C" w:rsidRDefault="00C821BE" w:rsidP="00C821BE">
            <w:pPr>
              <w:autoSpaceDE w:val="0"/>
              <w:autoSpaceDN w:val="0"/>
              <w:adjustRightInd w:val="0"/>
              <w:spacing w:after="0" w:line="240" w:lineRule="auto"/>
              <w:jc w:val="center"/>
              <w:rPr>
                <w:rFonts w:ascii="Times New Roman" w:hAnsi="Times New Roman" w:cs="Times New Roman"/>
                <w:b/>
                <w:sz w:val="16"/>
                <w:szCs w:val="16"/>
                <w:lang w:val="en-US"/>
              </w:rPr>
            </w:pPr>
            <w:r w:rsidRPr="0010784C">
              <w:rPr>
                <w:rFonts w:ascii="Times New Roman" w:hAnsi="Times New Roman" w:cs="Times New Roman"/>
                <w:b/>
                <w:bCs/>
                <w:sz w:val="16"/>
                <w:szCs w:val="16"/>
                <w:lang w:val="en-US"/>
              </w:rPr>
              <w:t>Cost (FCFA)</w:t>
            </w:r>
          </w:p>
        </w:tc>
      </w:tr>
      <w:tr w:rsidR="00C821BE" w:rsidRPr="0010784C" w:rsidTr="00C821BE">
        <w:trPr>
          <w:trHeight w:val="70"/>
          <w:jc w:val="center"/>
        </w:trPr>
        <w:tc>
          <w:tcPr>
            <w:tcW w:w="1129" w:type="dxa"/>
            <w:vMerge/>
            <w:tcBorders>
              <w:top w:val="single" w:sz="4" w:space="0" w:color="auto"/>
              <w:left w:val="single" w:sz="4" w:space="0" w:color="auto"/>
              <w:bottom w:val="single" w:sz="4" w:space="0" w:color="auto"/>
              <w:right w:val="single" w:sz="4" w:space="0" w:color="auto"/>
            </w:tcBorders>
            <w:vAlign w:val="center"/>
            <w:hideMark/>
          </w:tcPr>
          <w:p w:rsidR="00C821BE" w:rsidRPr="0010784C" w:rsidRDefault="00C821BE" w:rsidP="00C821BE">
            <w:pPr>
              <w:autoSpaceDE w:val="0"/>
              <w:autoSpaceDN w:val="0"/>
              <w:adjustRightInd w:val="0"/>
              <w:spacing w:after="0" w:line="240" w:lineRule="auto"/>
              <w:jc w:val="center"/>
              <w:rPr>
                <w:rFonts w:ascii="Times New Roman" w:hAnsi="Times New Roman" w:cs="Times New Roman"/>
                <w:b/>
                <w:bCs/>
                <w:sz w:val="16"/>
                <w:szCs w:val="16"/>
                <w:lang w:val="en-US"/>
              </w:rPr>
            </w:pPr>
          </w:p>
        </w:tc>
        <w:tc>
          <w:tcPr>
            <w:tcW w:w="2131" w:type="dxa"/>
            <w:vMerge/>
            <w:tcBorders>
              <w:top w:val="single" w:sz="4" w:space="0" w:color="auto"/>
              <w:left w:val="single" w:sz="4" w:space="0" w:color="auto"/>
              <w:bottom w:val="single" w:sz="4" w:space="0" w:color="auto"/>
              <w:right w:val="single" w:sz="4" w:space="0" w:color="auto"/>
            </w:tcBorders>
            <w:vAlign w:val="center"/>
            <w:hideMark/>
          </w:tcPr>
          <w:p w:rsidR="00C821BE" w:rsidRPr="0010784C" w:rsidRDefault="00C821BE" w:rsidP="00C821BE">
            <w:pPr>
              <w:autoSpaceDE w:val="0"/>
              <w:autoSpaceDN w:val="0"/>
              <w:adjustRightInd w:val="0"/>
              <w:spacing w:after="0" w:line="240" w:lineRule="auto"/>
              <w:jc w:val="center"/>
              <w:rPr>
                <w:rFonts w:ascii="Times New Roman" w:hAnsi="Times New Roman" w:cs="Times New Roman"/>
                <w:b/>
                <w:sz w:val="16"/>
                <w:szCs w:val="16"/>
                <w:lang w:val="en-US"/>
              </w:rPr>
            </w:pPr>
          </w:p>
        </w:tc>
        <w:tc>
          <w:tcPr>
            <w:tcW w:w="4673" w:type="dxa"/>
            <w:vMerge/>
            <w:tcBorders>
              <w:top w:val="single" w:sz="4" w:space="0" w:color="auto"/>
              <w:left w:val="single" w:sz="4" w:space="0" w:color="auto"/>
              <w:bottom w:val="single" w:sz="4" w:space="0" w:color="auto"/>
              <w:right w:val="single" w:sz="4" w:space="0" w:color="auto"/>
            </w:tcBorders>
            <w:vAlign w:val="center"/>
            <w:hideMark/>
          </w:tcPr>
          <w:p w:rsidR="00C821BE" w:rsidRPr="0010784C" w:rsidRDefault="00C821BE" w:rsidP="00C821BE">
            <w:pPr>
              <w:autoSpaceDE w:val="0"/>
              <w:autoSpaceDN w:val="0"/>
              <w:adjustRightInd w:val="0"/>
              <w:spacing w:after="0" w:line="240" w:lineRule="auto"/>
              <w:jc w:val="center"/>
              <w:rPr>
                <w:rFonts w:ascii="Times New Roman" w:hAnsi="Times New Roman" w:cs="Times New Roman"/>
                <w:b/>
                <w:sz w:val="16"/>
                <w:szCs w:val="16"/>
                <w:lang w:val="en-US"/>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C821BE" w:rsidRPr="0010784C" w:rsidRDefault="00C821BE" w:rsidP="00C821BE">
            <w:pPr>
              <w:autoSpaceDE w:val="0"/>
              <w:autoSpaceDN w:val="0"/>
              <w:adjustRightInd w:val="0"/>
              <w:spacing w:after="0" w:line="240" w:lineRule="auto"/>
              <w:jc w:val="center"/>
              <w:rPr>
                <w:rFonts w:ascii="Times New Roman" w:hAnsi="Times New Roman" w:cs="Times New Roman"/>
                <w:b/>
                <w:sz w:val="16"/>
                <w:szCs w:val="16"/>
                <w:lang w:val="en-US"/>
              </w:rPr>
            </w:pPr>
          </w:p>
        </w:tc>
        <w:tc>
          <w:tcPr>
            <w:tcW w:w="1276"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rsidR="00C821BE" w:rsidRPr="0010784C" w:rsidRDefault="00C821BE" w:rsidP="00C821BE">
            <w:pPr>
              <w:autoSpaceDE w:val="0"/>
              <w:autoSpaceDN w:val="0"/>
              <w:adjustRightInd w:val="0"/>
              <w:spacing w:after="0" w:line="240" w:lineRule="auto"/>
              <w:jc w:val="center"/>
              <w:rPr>
                <w:rFonts w:ascii="Times New Roman" w:hAnsi="Times New Roman" w:cs="Times New Roman"/>
                <w:b/>
                <w:bCs/>
                <w:sz w:val="16"/>
                <w:szCs w:val="16"/>
                <w:lang w:val="en-US"/>
              </w:rPr>
            </w:pPr>
            <w:r w:rsidRPr="0010784C">
              <w:rPr>
                <w:rFonts w:ascii="Times New Roman" w:hAnsi="Times New Roman" w:cs="Times New Roman"/>
                <w:b/>
                <w:bCs/>
                <w:sz w:val="16"/>
                <w:szCs w:val="16"/>
                <w:lang w:val="en-US"/>
              </w:rPr>
              <w:t>Implementation</w:t>
            </w:r>
          </w:p>
        </w:tc>
        <w:tc>
          <w:tcPr>
            <w:tcW w:w="1134"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rsidR="00C821BE" w:rsidRPr="0010784C" w:rsidRDefault="00C821BE" w:rsidP="00C821BE">
            <w:pPr>
              <w:autoSpaceDE w:val="0"/>
              <w:autoSpaceDN w:val="0"/>
              <w:adjustRightInd w:val="0"/>
              <w:spacing w:after="0" w:line="240" w:lineRule="auto"/>
              <w:jc w:val="center"/>
              <w:rPr>
                <w:rFonts w:ascii="Times New Roman" w:hAnsi="Times New Roman" w:cs="Times New Roman"/>
                <w:b/>
                <w:bCs/>
                <w:sz w:val="16"/>
                <w:szCs w:val="16"/>
                <w:lang w:val="en-US"/>
              </w:rPr>
            </w:pPr>
            <w:r w:rsidRPr="0010784C">
              <w:rPr>
                <w:rFonts w:ascii="Times New Roman" w:hAnsi="Times New Roman" w:cs="Times New Roman"/>
                <w:b/>
                <w:bCs/>
                <w:sz w:val="16"/>
                <w:szCs w:val="16"/>
                <w:lang w:val="en-US"/>
              </w:rPr>
              <w:t>Monitoring / Control</w:t>
            </w: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C821BE" w:rsidRPr="0010784C" w:rsidRDefault="00C821BE" w:rsidP="00C821BE">
            <w:pPr>
              <w:autoSpaceDE w:val="0"/>
              <w:autoSpaceDN w:val="0"/>
              <w:adjustRightInd w:val="0"/>
              <w:spacing w:after="0" w:line="240" w:lineRule="auto"/>
              <w:jc w:val="center"/>
              <w:rPr>
                <w:rFonts w:ascii="Times New Roman" w:hAnsi="Times New Roman" w:cs="Times New Roman"/>
                <w:b/>
                <w:sz w:val="16"/>
                <w:szCs w:val="16"/>
                <w:lang w:val="en-US"/>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C821BE" w:rsidRPr="0010784C" w:rsidRDefault="00C821BE" w:rsidP="00C821BE">
            <w:pPr>
              <w:autoSpaceDE w:val="0"/>
              <w:autoSpaceDN w:val="0"/>
              <w:adjustRightInd w:val="0"/>
              <w:spacing w:after="0" w:line="240" w:lineRule="auto"/>
              <w:jc w:val="center"/>
              <w:rPr>
                <w:rFonts w:ascii="Times New Roman" w:hAnsi="Times New Roman" w:cs="Times New Roman"/>
                <w:b/>
                <w:sz w:val="16"/>
                <w:szCs w:val="16"/>
                <w:lang w:val="en-US"/>
              </w:rPr>
            </w:pPr>
          </w:p>
        </w:tc>
      </w:tr>
      <w:tr w:rsidR="00C821BE" w:rsidRPr="0010784C" w:rsidTr="00C821BE">
        <w:trPr>
          <w:trHeight w:val="389"/>
          <w:jc w:val="center"/>
        </w:trPr>
        <w:tc>
          <w:tcPr>
            <w:tcW w:w="1129"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rsidR="00C821BE" w:rsidRPr="0010784C" w:rsidRDefault="00C821BE" w:rsidP="00C821BE">
            <w:pPr>
              <w:autoSpaceDE w:val="0"/>
              <w:autoSpaceDN w:val="0"/>
              <w:adjustRightInd w:val="0"/>
              <w:spacing w:after="0" w:line="240" w:lineRule="auto"/>
              <w:jc w:val="center"/>
              <w:rPr>
                <w:rFonts w:ascii="Times New Roman" w:hAnsi="Times New Roman" w:cs="Times New Roman"/>
                <w:b/>
                <w:bCs/>
                <w:sz w:val="16"/>
                <w:szCs w:val="16"/>
                <w:lang w:val="en-US"/>
              </w:rPr>
            </w:pPr>
            <w:r w:rsidRPr="0010784C">
              <w:rPr>
                <w:rFonts w:ascii="Times New Roman" w:hAnsi="Times New Roman" w:cs="Times New Roman"/>
                <w:b/>
                <w:bCs/>
                <w:sz w:val="16"/>
                <w:szCs w:val="16"/>
                <w:lang w:val="en-US"/>
              </w:rPr>
              <w:t>Landscapes</w:t>
            </w:r>
          </w:p>
        </w:tc>
        <w:tc>
          <w:tcPr>
            <w:tcW w:w="2131" w:type="dxa"/>
            <w:tcBorders>
              <w:top w:val="single" w:sz="4" w:space="0" w:color="auto"/>
              <w:left w:val="single" w:sz="4" w:space="0" w:color="auto"/>
              <w:bottom w:val="single" w:sz="4" w:space="0" w:color="auto"/>
              <w:right w:val="single" w:sz="4" w:space="0" w:color="auto"/>
            </w:tcBorders>
            <w:vAlign w:val="center"/>
          </w:tcPr>
          <w:p w:rsidR="00C821BE" w:rsidRPr="0010784C" w:rsidRDefault="00C821BE" w:rsidP="00C821BE">
            <w:pPr>
              <w:spacing w:after="0" w:line="240" w:lineRule="auto"/>
              <w:jc w:val="both"/>
              <w:rPr>
                <w:rFonts w:ascii="Times New Roman" w:hAnsi="Times New Roman" w:cs="Times New Roman"/>
                <w:color w:val="000000"/>
                <w:sz w:val="16"/>
                <w:szCs w:val="16"/>
                <w:lang w:val="en-US"/>
              </w:rPr>
            </w:pPr>
            <w:r w:rsidRPr="0010784C">
              <w:rPr>
                <w:rFonts w:ascii="Times New Roman" w:hAnsi="Times New Roman" w:cs="Times New Roman"/>
                <w:color w:val="000000"/>
                <w:sz w:val="16"/>
                <w:szCs w:val="16"/>
                <w:lang w:val="en-US"/>
              </w:rPr>
              <w:t xml:space="preserve">Creation of lush green vegetation and ornamental or shade trees at site level </w:t>
            </w:r>
          </w:p>
        </w:tc>
        <w:tc>
          <w:tcPr>
            <w:tcW w:w="4673" w:type="dxa"/>
            <w:tcBorders>
              <w:top w:val="single" w:sz="4" w:space="0" w:color="auto"/>
              <w:left w:val="single" w:sz="4" w:space="0" w:color="auto"/>
              <w:bottom w:val="single" w:sz="4" w:space="0" w:color="auto"/>
              <w:right w:val="single" w:sz="4" w:space="0" w:color="auto"/>
            </w:tcBorders>
            <w:vAlign w:val="center"/>
          </w:tcPr>
          <w:p w:rsidR="00C821BE" w:rsidRPr="0010784C" w:rsidRDefault="00C821BE" w:rsidP="00C821BE">
            <w:pPr>
              <w:autoSpaceDE w:val="0"/>
              <w:autoSpaceDN w:val="0"/>
              <w:adjustRightInd w:val="0"/>
              <w:spacing w:after="0" w:line="240" w:lineRule="auto"/>
              <w:jc w:val="both"/>
              <w:rPr>
                <w:rFonts w:ascii="Times New Roman" w:hAnsi="Times New Roman" w:cs="Times New Roman"/>
                <w:sz w:val="16"/>
                <w:szCs w:val="16"/>
                <w:lang w:val="en-US"/>
              </w:rPr>
            </w:pPr>
            <w:r w:rsidRPr="0010784C">
              <w:rPr>
                <w:rFonts w:ascii="Times New Roman" w:hAnsi="Times New Roman" w:cs="Times New Roman"/>
                <w:sz w:val="16"/>
                <w:szCs w:val="16"/>
                <w:lang w:val="en-US"/>
              </w:rPr>
              <w:t>-Use the water from the overflow for watering ornamental or shade trees;</w:t>
            </w:r>
          </w:p>
          <w:p w:rsidR="00C821BE" w:rsidRPr="0010784C" w:rsidRDefault="00C821BE" w:rsidP="00C821BE">
            <w:pPr>
              <w:autoSpaceDE w:val="0"/>
              <w:autoSpaceDN w:val="0"/>
              <w:adjustRightInd w:val="0"/>
              <w:spacing w:after="0" w:line="240" w:lineRule="auto"/>
              <w:jc w:val="both"/>
              <w:rPr>
                <w:rFonts w:ascii="Times New Roman" w:hAnsi="Times New Roman" w:cs="Times New Roman"/>
                <w:sz w:val="16"/>
                <w:szCs w:val="16"/>
                <w:lang w:val="en-US"/>
              </w:rPr>
            </w:pPr>
            <w:r w:rsidRPr="0010784C">
              <w:rPr>
                <w:rFonts w:ascii="Times New Roman" w:hAnsi="Times New Roman" w:cs="Times New Roman"/>
                <w:sz w:val="16"/>
                <w:szCs w:val="16"/>
                <w:lang w:val="en-US"/>
              </w:rPr>
              <w:t xml:space="preserve">-Recruit gardeners for the maintenance of the gardens; </w:t>
            </w:r>
          </w:p>
        </w:tc>
        <w:tc>
          <w:tcPr>
            <w:tcW w:w="3402" w:type="dxa"/>
            <w:tcBorders>
              <w:top w:val="single" w:sz="4" w:space="0" w:color="auto"/>
              <w:left w:val="single" w:sz="4" w:space="0" w:color="auto"/>
              <w:bottom w:val="single" w:sz="4" w:space="0" w:color="auto"/>
              <w:right w:val="single" w:sz="4" w:space="0" w:color="auto"/>
            </w:tcBorders>
            <w:vAlign w:val="center"/>
          </w:tcPr>
          <w:p w:rsidR="00C821BE" w:rsidRPr="0010784C" w:rsidRDefault="00C821BE" w:rsidP="00C821BE">
            <w:pPr>
              <w:autoSpaceDE w:val="0"/>
              <w:autoSpaceDN w:val="0"/>
              <w:adjustRightInd w:val="0"/>
              <w:spacing w:after="0" w:line="240" w:lineRule="auto"/>
              <w:jc w:val="both"/>
              <w:rPr>
                <w:rFonts w:ascii="Times New Roman" w:hAnsi="Times New Roman" w:cs="Times New Roman"/>
                <w:sz w:val="16"/>
                <w:szCs w:val="16"/>
                <w:lang w:val="en-US"/>
              </w:rPr>
            </w:pPr>
            <w:r w:rsidRPr="0010784C">
              <w:rPr>
                <w:rFonts w:ascii="Times New Roman" w:hAnsi="Times New Roman" w:cs="Times New Roman"/>
                <w:sz w:val="16"/>
                <w:szCs w:val="16"/>
                <w:lang w:val="en-US"/>
              </w:rPr>
              <w:t xml:space="preserve">-Presence of ornamental or shade trees </w:t>
            </w:r>
          </w:p>
          <w:p w:rsidR="00C821BE" w:rsidRPr="0010784C" w:rsidRDefault="00C821BE" w:rsidP="00C821BE">
            <w:pPr>
              <w:autoSpaceDE w:val="0"/>
              <w:autoSpaceDN w:val="0"/>
              <w:adjustRightInd w:val="0"/>
              <w:spacing w:after="0" w:line="240" w:lineRule="auto"/>
              <w:jc w:val="both"/>
              <w:rPr>
                <w:rFonts w:ascii="Times New Roman" w:hAnsi="Times New Roman" w:cs="Times New Roman"/>
                <w:sz w:val="16"/>
                <w:szCs w:val="16"/>
                <w:lang w:val="en-US"/>
              </w:rPr>
            </w:pPr>
            <w:r w:rsidRPr="0010784C">
              <w:rPr>
                <w:rFonts w:ascii="Times New Roman" w:hAnsi="Times New Roman" w:cs="Times New Roman"/>
                <w:sz w:val="16"/>
                <w:szCs w:val="16"/>
                <w:lang w:val="en-US"/>
              </w:rPr>
              <w:t>-Presence of a contract</w:t>
            </w:r>
          </w:p>
          <w:p w:rsidR="00C821BE" w:rsidRPr="0010784C" w:rsidRDefault="00C821BE" w:rsidP="00C821BE">
            <w:pPr>
              <w:autoSpaceDE w:val="0"/>
              <w:autoSpaceDN w:val="0"/>
              <w:adjustRightInd w:val="0"/>
              <w:spacing w:after="0" w:line="240" w:lineRule="auto"/>
              <w:jc w:val="both"/>
              <w:rPr>
                <w:rFonts w:ascii="Times New Roman" w:hAnsi="Times New Roman" w:cs="Times New Roman"/>
                <w:sz w:val="16"/>
                <w:szCs w:val="16"/>
                <w:lang w:val="en-US"/>
              </w:rPr>
            </w:pPr>
            <w:r w:rsidRPr="0010784C">
              <w:rPr>
                <w:rFonts w:ascii="Times New Roman" w:hAnsi="Times New Roman" w:cs="Times New Roman"/>
                <w:sz w:val="16"/>
                <w:szCs w:val="16"/>
                <w:lang w:val="en-US"/>
              </w:rPr>
              <w:t xml:space="preserve">-Presence of a garden </w:t>
            </w:r>
          </w:p>
        </w:tc>
        <w:tc>
          <w:tcPr>
            <w:tcW w:w="1276"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C821BE" w:rsidRPr="0010784C" w:rsidRDefault="00C821BE" w:rsidP="00C821BE">
            <w:pPr>
              <w:autoSpaceDE w:val="0"/>
              <w:autoSpaceDN w:val="0"/>
              <w:adjustRightInd w:val="0"/>
              <w:spacing w:after="0" w:line="240" w:lineRule="auto"/>
              <w:jc w:val="center"/>
              <w:rPr>
                <w:rFonts w:ascii="Times New Roman" w:hAnsi="Times New Roman" w:cs="Times New Roman"/>
                <w:b/>
                <w:bCs/>
                <w:sz w:val="16"/>
                <w:szCs w:val="16"/>
                <w:lang w:val="en-US"/>
              </w:rPr>
            </w:pPr>
            <w:r w:rsidRPr="0010784C">
              <w:rPr>
                <w:rFonts w:ascii="Times New Roman" w:hAnsi="Times New Roman" w:cs="Times New Roman"/>
                <w:b/>
                <w:bCs/>
                <w:sz w:val="16"/>
                <w:szCs w:val="16"/>
                <w:lang w:val="en-US"/>
              </w:rPr>
              <w:t>PUASEE-FA</w:t>
            </w:r>
          </w:p>
          <w:p w:rsidR="00C821BE" w:rsidRPr="0010784C" w:rsidRDefault="00C821BE" w:rsidP="00C821BE">
            <w:pPr>
              <w:autoSpaceDE w:val="0"/>
              <w:autoSpaceDN w:val="0"/>
              <w:adjustRightInd w:val="0"/>
              <w:spacing w:after="0" w:line="240" w:lineRule="auto"/>
              <w:jc w:val="center"/>
              <w:rPr>
                <w:rFonts w:ascii="Times New Roman" w:hAnsi="Times New Roman" w:cs="Times New Roman"/>
                <w:b/>
                <w:bCs/>
                <w:sz w:val="16"/>
                <w:szCs w:val="16"/>
                <w:lang w:val="en-US"/>
              </w:rPr>
            </w:pPr>
            <w:r w:rsidRPr="0010784C">
              <w:rPr>
                <w:rFonts w:ascii="Times New Roman" w:hAnsi="Times New Roman" w:cs="Times New Roman"/>
                <w:b/>
                <w:bCs/>
                <w:sz w:val="16"/>
                <w:szCs w:val="16"/>
                <w:lang w:val="en-US"/>
              </w:rPr>
              <w:t>EAGB</w:t>
            </w:r>
          </w:p>
        </w:tc>
        <w:tc>
          <w:tcPr>
            <w:tcW w:w="1134"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C821BE" w:rsidRPr="0010784C" w:rsidRDefault="00C821BE" w:rsidP="00C821BE">
            <w:pPr>
              <w:autoSpaceDE w:val="0"/>
              <w:autoSpaceDN w:val="0"/>
              <w:adjustRightInd w:val="0"/>
              <w:spacing w:after="0" w:line="240" w:lineRule="auto"/>
              <w:rPr>
                <w:rFonts w:ascii="Times New Roman" w:hAnsi="Times New Roman" w:cs="Times New Roman"/>
                <w:b/>
                <w:sz w:val="16"/>
                <w:szCs w:val="16"/>
                <w:lang w:val="en-US"/>
              </w:rPr>
            </w:pPr>
            <w:r w:rsidRPr="0010784C">
              <w:rPr>
                <w:rFonts w:ascii="Times New Roman" w:hAnsi="Times New Roman" w:cs="Times New Roman"/>
                <w:b/>
                <w:sz w:val="16"/>
                <w:szCs w:val="16"/>
                <w:lang w:val="en-US"/>
              </w:rPr>
              <w:t xml:space="preserve"> MDC</w:t>
            </w:r>
          </w:p>
          <w:p w:rsidR="00C821BE" w:rsidRPr="0010784C" w:rsidRDefault="00C821BE" w:rsidP="00C821BE">
            <w:pPr>
              <w:autoSpaceDE w:val="0"/>
              <w:autoSpaceDN w:val="0"/>
              <w:adjustRightInd w:val="0"/>
              <w:spacing w:after="0" w:line="240" w:lineRule="auto"/>
              <w:jc w:val="center"/>
              <w:rPr>
                <w:rFonts w:ascii="Times New Roman" w:hAnsi="Times New Roman" w:cs="Times New Roman"/>
                <w:b/>
                <w:bCs/>
                <w:sz w:val="16"/>
                <w:szCs w:val="16"/>
                <w:lang w:val="en-US"/>
              </w:rPr>
            </w:pPr>
          </w:p>
        </w:tc>
        <w:tc>
          <w:tcPr>
            <w:tcW w:w="1134" w:type="dxa"/>
            <w:tcBorders>
              <w:top w:val="single" w:sz="4" w:space="0" w:color="auto"/>
              <w:left w:val="single" w:sz="4" w:space="0" w:color="auto"/>
              <w:bottom w:val="single" w:sz="4" w:space="0" w:color="auto"/>
              <w:right w:val="single" w:sz="4" w:space="0" w:color="auto"/>
            </w:tcBorders>
            <w:vAlign w:val="center"/>
          </w:tcPr>
          <w:p w:rsidR="00C821BE" w:rsidRPr="0010784C" w:rsidRDefault="00C821BE" w:rsidP="00C821BE">
            <w:pPr>
              <w:autoSpaceDE w:val="0"/>
              <w:autoSpaceDN w:val="0"/>
              <w:adjustRightInd w:val="0"/>
              <w:spacing w:after="0" w:line="240" w:lineRule="auto"/>
              <w:jc w:val="center"/>
              <w:rPr>
                <w:rFonts w:ascii="Times New Roman" w:hAnsi="Times New Roman" w:cs="Times New Roman"/>
                <w:b/>
                <w:sz w:val="16"/>
                <w:szCs w:val="16"/>
                <w:lang w:val="en-US"/>
              </w:rPr>
            </w:pPr>
            <w:r w:rsidRPr="0010784C">
              <w:rPr>
                <w:rFonts w:ascii="Times New Roman" w:hAnsi="Times New Roman" w:cs="Times New Roman"/>
                <w:sz w:val="16"/>
                <w:szCs w:val="16"/>
                <w:lang w:val="en-US"/>
              </w:rPr>
              <w:t>During operation / twice a year</w:t>
            </w:r>
          </w:p>
        </w:tc>
        <w:tc>
          <w:tcPr>
            <w:tcW w:w="1134"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rsidR="00C821BE" w:rsidRPr="0010784C" w:rsidRDefault="00C821BE" w:rsidP="00C821BE">
            <w:pPr>
              <w:autoSpaceDE w:val="0"/>
              <w:autoSpaceDN w:val="0"/>
              <w:adjustRightInd w:val="0"/>
              <w:spacing w:after="0" w:line="240" w:lineRule="auto"/>
              <w:jc w:val="center"/>
              <w:rPr>
                <w:rFonts w:ascii="Times New Roman" w:hAnsi="Times New Roman" w:cs="Times New Roman"/>
                <w:b/>
                <w:sz w:val="16"/>
                <w:szCs w:val="16"/>
                <w:lang w:val="en-US"/>
              </w:rPr>
            </w:pPr>
            <w:r w:rsidRPr="0010784C">
              <w:rPr>
                <w:rFonts w:ascii="Times New Roman" w:hAnsi="Times New Roman" w:cs="Times New Roman"/>
                <w:b/>
                <w:sz w:val="16"/>
                <w:szCs w:val="16"/>
                <w:lang w:val="en-US"/>
              </w:rPr>
              <w:t>750,000</w:t>
            </w:r>
          </w:p>
        </w:tc>
      </w:tr>
      <w:tr w:rsidR="00C821BE" w:rsidRPr="0010784C" w:rsidTr="00C821BE">
        <w:trPr>
          <w:trHeight w:val="347"/>
          <w:jc w:val="center"/>
        </w:trPr>
        <w:tc>
          <w:tcPr>
            <w:tcW w:w="1129" w:type="dxa"/>
            <w:vMerge w:val="restart"/>
            <w:tcBorders>
              <w:top w:val="single" w:sz="4" w:space="0" w:color="auto"/>
              <w:left w:val="single" w:sz="4" w:space="0" w:color="auto"/>
              <w:right w:val="single" w:sz="4" w:space="0" w:color="auto"/>
            </w:tcBorders>
            <w:shd w:val="clear" w:color="auto" w:fill="BDD6EE" w:themeFill="accent1" w:themeFillTint="66"/>
            <w:vAlign w:val="center"/>
            <w:hideMark/>
          </w:tcPr>
          <w:p w:rsidR="00C821BE" w:rsidRPr="0010784C" w:rsidRDefault="00C821BE" w:rsidP="00C821BE">
            <w:pPr>
              <w:autoSpaceDE w:val="0"/>
              <w:autoSpaceDN w:val="0"/>
              <w:adjustRightInd w:val="0"/>
              <w:spacing w:after="0" w:line="240" w:lineRule="auto"/>
              <w:jc w:val="center"/>
              <w:rPr>
                <w:rFonts w:ascii="Times New Roman" w:hAnsi="Times New Roman" w:cs="Times New Roman"/>
                <w:b/>
                <w:bCs/>
                <w:sz w:val="16"/>
                <w:szCs w:val="16"/>
                <w:lang w:val="en-US"/>
              </w:rPr>
            </w:pPr>
            <w:r w:rsidRPr="0010784C">
              <w:rPr>
                <w:rFonts w:ascii="Times New Roman" w:hAnsi="Times New Roman" w:cs="Times New Roman"/>
                <w:b/>
                <w:bCs/>
                <w:sz w:val="16"/>
                <w:szCs w:val="16"/>
                <w:lang w:val="en-US"/>
              </w:rPr>
              <w:t>Human</w:t>
            </w:r>
          </w:p>
        </w:tc>
        <w:tc>
          <w:tcPr>
            <w:tcW w:w="2131" w:type="dxa"/>
            <w:tcBorders>
              <w:top w:val="single" w:sz="4" w:space="0" w:color="auto"/>
              <w:left w:val="single" w:sz="4" w:space="0" w:color="auto"/>
              <w:bottom w:val="single" w:sz="4" w:space="0" w:color="auto"/>
              <w:right w:val="single" w:sz="4" w:space="0" w:color="auto"/>
            </w:tcBorders>
            <w:vAlign w:val="center"/>
          </w:tcPr>
          <w:p w:rsidR="00C821BE" w:rsidRPr="0010784C" w:rsidRDefault="00C821BE" w:rsidP="00C821BE">
            <w:pPr>
              <w:autoSpaceDE w:val="0"/>
              <w:autoSpaceDN w:val="0"/>
              <w:adjustRightInd w:val="0"/>
              <w:spacing w:after="0" w:line="240" w:lineRule="auto"/>
              <w:jc w:val="both"/>
              <w:rPr>
                <w:rFonts w:ascii="Times New Roman" w:hAnsi="Times New Roman" w:cs="Times New Roman"/>
                <w:sz w:val="16"/>
                <w:szCs w:val="16"/>
                <w:lang w:val="en-US"/>
              </w:rPr>
            </w:pPr>
            <w:r w:rsidRPr="0010784C">
              <w:rPr>
                <w:rFonts w:ascii="Times New Roman" w:hAnsi="Times New Roman" w:cs="Times New Roman"/>
                <w:color w:val="000000"/>
                <w:sz w:val="16"/>
                <w:szCs w:val="16"/>
                <w:lang w:val="en-US"/>
              </w:rPr>
              <w:t>Significantly attenuation of drinking water supply deficits</w:t>
            </w:r>
          </w:p>
        </w:tc>
        <w:tc>
          <w:tcPr>
            <w:tcW w:w="4673" w:type="dxa"/>
            <w:tcBorders>
              <w:top w:val="single" w:sz="4" w:space="0" w:color="auto"/>
              <w:left w:val="single" w:sz="4" w:space="0" w:color="auto"/>
              <w:bottom w:val="single" w:sz="4" w:space="0" w:color="auto"/>
              <w:right w:val="single" w:sz="4" w:space="0" w:color="auto"/>
            </w:tcBorders>
            <w:vAlign w:val="center"/>
          </w:tcPr>
          <w:p w:rsidR="00C821BE" w:rsidRPr="0010784C" w:rsidRDefault="00C821BE" w:rsidP="00C821BE">
            <w:pPr>
              <w:autoSpaceDE w:val="0"/>
              <w:autoSpaceDN w:val="0"/>
              <w:adjustRightInd w:val="0"/>
              <w:spacing w:after="0" w:line="240" w:lineRule="auto"/>
              <w:jc w:val="both"/>
              <w:rPr>
                <w:rFonts w:ascii="Times New Roman" w:hAnsi="Times New Roman" w:cs="Times New Roman"/>
                <w:sz w:val="16"/>
                <w:szCs w:val="16"/>
                <w:lang w:val="en-US"/>
              </w:rPr>
            </w:pPr>
            <w:r w:rsidRPr="0010784C">
              <w:rPr>
                <w:rFonts w:ascii="Times New Roman" w:hAnsi="Times New Roman" w:cs="Times New Roman"/>
                <w:sz w:val="16"/>
                <w:szCs w:val="16"/>
                <w:lang w:val="en-US"/>
              </w:rPr>
              <w:t>-Connect as much household as possible to the new tanks;</w:t>
            </w:r>
          </w:p>
          <w:p w:rsidR="00C821BE" w:rsidRPr="0010784C" w:rsidRDefault="00C821BE" w:rsidP="00C821BE">
            <w:pPr>
              <w:autoSpaceDE w:val="0"/>
              <w:autoSpaceDN w:val="0"/>
              <w:adjustRightInd w:val="0"/>
              <w:spacing w:after="0" w:line="240" w:lineRule="auto"/>
              <w:jc w:val="both"/>
              <w:rPr>
                <w:rFonts w:ascii="Times New Roman" w:hAnsi="Times New Roman" w:cs="Times New Roman"/>
                <w:sz w:val="16"/>
                <w:szCs w:val="16"/>
                <w:lang w:val="en-US"/>
              </w:rPr>
            </w:pPr>
            <w:r w:rsidRPr="0010784C">
              <w:rPr>
                <w:rFonts w:ascii="Times New Roman" w:hAnsi="Times New Roman" w:cs="Times New Roman"/>
                <w:sz w:val="16"/>
                <w:szCs w:val="16"/>
                <w:lang w:val="en-US"/>
              </w:rPr>
              <w:t>-Set up an easy subscription system for the population;</w:t>
            </w:r>
          </w:p>
          <w:p w:rsidR="00C821BE" w:rsidRPr="0010784C" w:rsidRDefault="00C821BE" w:rsidP="00C821BE">
            <w:pPr>
              <w:autoSpaceDE w:val="0"/>
              <w:autoSpaceDN w:val="0"/>
              <w:adjustRightInd w:val="0"/>
              <w:spacing w:after="0" w:line="240" w:lineRule="auto"/>
              <w:jc w:val="both"/>
              <w:rPr>
                <w:rFonts w:ascii="Times New Roman" w:hAnsi="Times New Roman" w:cs="Times New Roman"/>
                <w:sz w:val="16"/>
                <w:szCs w:val="16"/>
                <w:lang w:val="en-US"/>
              </w:rPr>
            </w:pPr>
            <w:r w:rsidRPr="0010784C">
              <w:rPr>
                <w:rFonts w:ascii="Times New Roman" w:hAnsi="Times New Roman" w:cs="Times New Roman"/>
                <w:sz w:val="16"/>
                <w:szCs w:val="16"/>
                <w:lang w:val="en-US"/>
              </w:rPr>
              <w:t>-Decrease the service membership fees;</w:t>
            </w:r>
          </w:p>
        </w:tc>
        <w:tc>
          <w:tcPr>
            <w:tcW w:w="3402" w:type="dxa"/>
            <w:tcBorders>
              <w:top w:val="single" w:sz="4" w:space="0" w:color="auto"/>
              <w:left w:val="single" w:sz="4" w:space="0" w:color="auto"/>
              <w:bottom w:val="single" w:sz="4" w:space="0" w:color="auto"/>
              <w:right w:val="single" w:sz="4" w:space="0" w:color="auto"/>
            </w:tcBorders>
            <w:vAlign w:val="center"/>
          </w:tcPr>
          <w:p w:rsidR="00C821BE" w:rsidRPr="0010784C" w:rsidRDefault="00C821BE" w:rsidP="00C821BE">
            <w:pPr>
              <w:autoSpaceDE w:val="0"/>
              <w:autoSpaceDN w:val="0"/>
              <w:adjustRightInd w:val="0"/>
              <w:spacing w:after="0" w:line="240" w:lineRule="auto"/>
              <w:jc w:val="both"/>
              <w:rPr>
                <w:rFonts w:ascii="Times New Roman" w:hAnsi="Times New Roman" w:cs="Times New Roman"/>
                <w:sz w:val="16"/>
                <w:szCs w:val="16"/>
                <w:lang w:val="en-US"/>
              </w:rPr>
            </w:pPr>
            <w:r w:rsidRPr="0010784C">
              <w:rPr>
                <w:rFonts w:ascii="Times New Roman" w:hAnsi="Times New Roman" w:cs="Times New Roman"/>
                <w:sz w:val="16"/>
                <w:szCs w:val="16"/>
                <w:lang w:val="en-US"/>
              </w:rPr>
              <w:t>-Number of households connected to the reservoir;</w:t>
            </w:r>
          </w:p>
          <w:p w:rsidR="00C821BE" w:rsidRPr="0010784C" w:rsidRDefault="00C821BE" w:rsidP="00C821BE">
            <w:pPr>
              <w:autoSpaceDE w:val="0"/>
              <w:autoSpaceDN w:val="0"/>
              <w:adjustRightInd w:val="0"/>
              <w:spacing w:after="0" w:line="240" w:lineRule="auto"/>
              <w:jc w:val="both"/>
              <w:rPr>
                <w:rFonts w:ascii="Times New Roman" w:hAnsi="Times New Roman" w:cs="Times New Roman"/>
                <w:sz w:val="16"/>
                <w:szCs w:val="16"/>
                <w:lang w:val="en-US"/>
              </w:rPr>
            </w:pPr>
            <w:r w:rsidRPr="0010784C">
              <w:rPr>
                <w:rFonts w:ascii="Times New Roman" w:hAnsi="Times New Roman" w:cs="Times New Roman"/>
                <w:sz w:val="16"/>
                <w:szCs w:val="16"/>
                <w:lang w:val="en-US"/>
              </w:rPr>
              <w:t>-Number of complainants in relation to the subscription procedure;</w:t>
            </w:r>
          </w:p>
          <w:p w:rsidR="00C821BE" w:rsidRPr="0010784C" w:rsidRDefault="00C821BE" w:rsidP="00C821BE">
            <w:pPr>
              <w:autoSpaceDE w:val="0"/>
              <w:autoSpaceDN w:val="0"/>
              <w:adjustRightInd w:val="0"/>
              <w:spacing w:after="0" w:line="240" w:lineRule="auto"/>
              <w:jc w:val="both"/>
              <w:rPr>
                <w:rFonts w:ascii="Times New Roman" w:hAnsi="Times New Roman" w:cs="Times New Roman"/>
                <w:sz w:val="16"/>
                <w:szCs w:val="16"/>
                <w:lang w:val="en-US"/>
              </w:rPr>
            </w:pPr>
            <w:r w:rsidRPr="0010784C">
              <w:rPr>
                <w:rFonts w:ascii="Times New Roman" w:hAnsi="Times New Roman" w:cs="Times New Roman"/>
                <w:sz w:val="16"/>
                <w:szCs w:val="16"/>
                <w:lang w:val="en-US"/>
              </w:rPr>
              <w:t>-Presence of subscription invoices;</w:t>
            </w:r>
          </w:p>
          <w:p w:rsidR="00C821BE" w:rsidRPr="0010784C" w:rsidRDefault="00C821BE" w:rsidP="00C821BE">
            <w:pPr>
              <w:autoSpaceDE w:val="0"/>
              <w:autoSpaceDN w:val="0"/>
              <w:adjustRightInd w:val="0"/>
              <w:spacing w:after="0" w:line="240" w:lineRule="auto"/>
              <w:jc w:val="both"/>
              <w:rPr>
                <w:rFonts w:ascii="Times New Roman" w:hAnsi="Times New Roman" w:cs="Times New Roman"/>
                <w:sz w:val="16"/>
                <w:szCs w:val="16"/>
                <w:lang w:val="en-US"/>
              </w:rPr>
            </w:pPr>
          </w:p>
        </w:tc>
        <w:tc>
          <w:tcPr>
            <w:tcW w:w="1276"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rsidR="00C821BE" w:rsidRPr="0010784C" w:rsidRDefault="00C821BE" w:rsidP="00C821BE">
            <w:pPr>
              <w:autoSpaceDE w:val="0"/>
              <w:autoSpaceDN w:val="0"/>
              <w:adjustRightInd w:val="0"/>
              <w:spacing w:after="0" w:line="240" w:lineRule="auto"/>
              <w:jc w:val="center"/>
              <w:rPr>
                <w:rFonts w:ascii="Times New Roman" w:hAnsi="Times New Roman" w:cs="Times New Roman"/>
                <w:b/>
                <w:sz w:val="16"/>
                <w:szCs w:val="16"/>
                <w:lang w:val="en-US"/>
              </w:rPr>
            </w:pPr>
            <w:r w:rsidRPr="0010784C">
              <w:rPr>
                <w:rFonts w:ascii="Times New Roman" w:hAnsi="Times New Roman" w:cs="Times New Roman"/>
                <w:b/>
                <w:sz w:val="16"/>
                <w:szCs w:val="16"/>
                <w:lang w:val="en-US"/>
              </w:rPr>
              <w:t>STATE</w:t>
            </w:r>
          </w:p>
          <w:p w:rsidR="00C821BE" w:rsidRPr="0010784C" w:rsidRDefault="00C821BE" w:rsidP="00C821BE">
            <w:pPr>
              <w:autoSpaceDE w:val="0"/>
              <w:autoSpaceDN w:val="0"/>
              <w:adjustRightInd w:val="0"/>
              <w:spacing w:after="0" w:line="240" w:lineRule="auto"/>
              <w:jc w:val="center"/>
              <w:rPr>
                <w:rFonts w:ascii="Times New Roman" w:hAnsi="Times New Roman" w:cs="Times New Roman"/>
                <w:b/>
                <w:sz w:val="16"/>
                <w:szCs w:val="16"/>
                <w:lang w:val="en-US"/>
              </w:rPr>
            </w:pPr>
            <w:r w:rsidRPr="0010784C">
              <w:rPr>
                <w:rFonts w:ascii="Times New Roman" w:hAnsi="Times New Roman" w:cs="Times New Roman"/>
                <w:b/>
                <w:sz w:val="16"/>
                <w:szCs w:val="16"/>
                <w:lang w:val="en-US"/>
              </w:rPr>
              <w:t>EAGB</w:t>
            </w:r>
          </w:p>
        </w:tc>
        <w:tc>
          <w:tcPr>
            <w:tcW w:w="1134"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rsidR="00C821BE" w:rsidRPr="0010784C" w:rsidRDefault="00C821BE" w:rsidP="00C821BE">
            <w:pPr>
              <w:autoSpaceDE w:val="0"/>
              <w:autoSpaceDN w:val="0"/>
              <w:adjustRightInd w:val="0"/>
              <w:spacing w:after="0" w:line="240" w:lineRule="auto"/>
              <w:jc w:val="center"/>
              <w:rPr>
                <w:rFonts w:ascii="Times New Roman" w:hAnsi="Times New Roman" w:cs="Times New Roman"/>
                <w:b/>
                <w:sz w:val="16"/>
                <w:szCs w:val="16"/>
                <w:lang w:val="en-US"/>
              </w:rPr>
            </w:pPr>
            <w:r w:rsidRPr="0010784C">
              <w:rPr>
                <w:rFonts w:ascii="Times New Roman" w:hAnsi="Times New Roman" w:cs="Times New Roman"/>
                <w:b/>
                <w:sz w:val="16"/>
                <w:szCs w:val="16"/>
                <w:lang w:val="en-US"/>
              </w:rPr>
              <w:t>Monitoring committee</w:t>
            </w:r>
          </w:p>
        </w:tc>
        <w:tc>
          <w:tcPr>
            <w:tcW w:w="1134" w:type="dxa"/>
            <w:tcBorders>
              <w:top w:val="single" w:sz="4" w:space="0" w:color="auto"/>
              <w:left w:val="single" w:sz="4" w:space="0" w:color="auto"/>
              <w:bottom w:val="single" w:sz="4" w:space="0" w:color="auto"/>
              <w:right w:val="single" w:sz="4" w:space="0" w:color="auto"/>
            </w:tcBorders>
            <w:vAlign w:val="center"/>
            <w:hideMark/>
          </w:tcPr>
          <w:p w:rsidR="00C821BE" w:rsidRPr="0010784C" w:rsidRDefault="00C821BE" w:rsidP="00C821BE">
            <w:pPr>
              <w:autoSpaceDE w:val="0"/>
              <w:autoSpaceDN w:val="0"/>
              <w:adjustRightInd w:val="0"/>
              <w:spacing w:after="0" w:line="240" w:lineRule="auto"/>
              <w:jc w:val="center"/>
              <w:rPr>
                <w:rFonts w:ascii="Times New Roman" w:hAnsi="Times New Roman" w:cs="Times New Roman"/>
                <w:sz w:val="16"/>
                <w:szCs w:val="16"/>
                <w:lang w:val="en-US"/>
              </w:rPr>
            </w:pPr>
            <w:r w:rsidRPr="0010784C">
              <w:rPr>
                <w:rFonts w:ascii="Times New Roman" w:hAnsi="Times New Roman" w:cs="Times New Roman"/>
                <w:sz w:val="16"/>
                <w:szCs w:val="16"/>
                <w:lang w:val="en-US"/>
              </w:rPr>
              <w:t>During operation / twice a year</w:t>
            </w:r>
          </w:p>
        </w:tc>
        <w:tc>
          <w:tcPr>
            <w:tcW w:w="1134"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rsidR="00C821BE" w:rsidRPr="0010784C" w:rsidRDefault="00C821BE" w:rsidP="00C821BE">
            <w:pPr>
              <w:autoSpaceDE w:val="0"/>
              <w:autoSpaceDN w:val="0"/>
              <w:adjustRightInd w:val="0"/>
              <w:spacing w:after="0" w:line="240" w:lineRule="auto"/>
              <w:jc w:val="center"/>
              <w:rPr>
                <w:rFonts w:ascii="Times New Roman" w:hAnsi="Times New Roman" w:cs="Times New Roman"/>
                <w:b/>
                <w:sz w:val="16"/>
                <w:szCs w:val="16"/>
                <w:lang w:val="en-US"/>
              </w:rPr>
            </w:pPr>
            <w:r w:rsidRPr="0010784C">
              <w:rPr>
                <w:rFonts w:ascii="Times New Roman" w:hAnsi="Times New Roman" w:cs="Times New Roman"/>
                <w:b/>
                <w:sz w:val="16"/>
                <w:szCs w:val="16"/>
                <w:lang w:val="en-US"/>
              </w:rPr>
              <w:t>PM</w:t>
            </w:r>
          </w:p>
          <w:p w:rsidR="00C821BE" w:rsidRPr="0010784C" w:rsidRDefault="00C821BE" w:rsidP="00C821BE">
            <w:pPr>
              <w:autoSpaceDE w:val="0"/>
              <w:autoSpaceDN w:val="0"/>
              <w:adjustRightInd w:val="0"/>
              <w:spacing w:after="0" w:line="240" w:lineRule="auto"/>
              <w:jc w:val="center"/>
              <w:rPr>
                <w:rFonts w:ascii="Times New Roman" w:hAnsi="Times New Roman" w:cs="Times New Roman"/>
                <w:b/>
                <w:sz w:val="16"/>
                <w:szCs w:val="16"/>
                <w:lang w:val="en-US"/>
              </w:rPr>
            </w:pPr>
          </w:p>
        </w:tc>
      </w:tr>
      <w:tr w:rsidR="00C821BE" w:rsidRPr="0010784C" w:rsidTr="00C821BE">
        <w:trPr>
          <w:trHeight w:val="70"/>
          <w:jc w:val="center"/>
        </w:trPr>
        <w:tc>
          <w:tcPr>
            <w:tcW w:w="1129" w:type="dxa"/>
            <w:vMerge/>
            <w:tcBorders>
              <w:left w:val="single" w:sz="4" w:space="0" w:color="auto"/>
              <w:right w:val="single" w:sz="4" w:space="0" w:color="auto"/>
            </w:tcBorders>
            <w:shd w:val="clear" w:color="auto" w:fill="BDD6EE" w:themeFill="accent1" w:themeFillTint="66"/>
            <w:vAlign w:val="center"/>
          </w:tcPr>
          <w:p w:rsidR="00C821BE" w:rsidRPr="0010784C" w:rsidRDefault="00C821BE" w:rsidP="00C821BE">
            <w:pPr>
              <w:autoSpaceDE w:val="0"/>
              <w:autoSpaceDN w:val="0"/>
              <w:adjustRightInd w:val="0"/>
              <w:spacing w:after="0" w:line="240" w:lineRule="auto"/>
              <w:jc w:val="center"/>
              <w:rPr>
                <w:rFonts w:ascii="Times New Roman" w:hAnsi="Times New Roman" w:cs="Times New Roman"/>
                <w:b/>
                <w:bCs/>
                <w:sz w:val="16"/>
                <w:szCs w:val="16"/>
                <w:lang w:val="en-US"/>
              </w:rPr>
            </w:pPr>
          </w:p>
        </w:tc>
        <w:tc>
          <w:tcPr>
            <w:tcW w:w="2131" w:type="dxa"/>
            <w:tcBorders>
              <w:top w:val="single" w:sz="4" w:space="0" w:color="auto"/>
              <w:left w:val="single" w:sz="4" w:space="0" w:color="auto"/>
              <w:bottom w:val="single" w:sz="4" w:space="0" w:color="auto"/>
              <w:right w:val="single" w:sz="4" w:space="0" w:color="auto"/>
            </w:tcBorders>
            <w:vAlign w:val="center"/>
          </w:tcPr>
          <w:p w:rsidR="00C821BE" w:rsidRPr="0010784C" w:rsidRDefault="00C821BE" w:rsidP="00C821BE">
            <w:pPr>
              <w:autoSpaceDE w:val="0"/>
              <w:autoSpaceDN w:val="0"/>
              <w:adjustRightInd w:val="0"/>
              <w:spacing w:after="0" w:line="240" w:lineRule="auto"/>
              <w:jc w:val="both"/>
              <w:rPr>
                <w:rFonts w:ascii="Times New Roman" w:hAnsi="Times New Roman" w:cs="Times New Roman"/>
                <w:color w:val="000000"/>
                <w:sz w:val="16"/>
                <w:szCs w:val="16"/>
                <w:lang w:val="en-US"/>
              </w:rPr>
            </w:pPr>
            <w:r w:rsidRPr="0010784C">
              <w:rPr>
                <w:rFonts w:ascii="Times New Roman" w:hAnsi="Times New Roman" w:cs="Times New Roman"/>
                <w:color w:val="000000"/>
                <w:sz w:val="16"/>
                <w:szCs w:val="16"/>
                <w:lang w:val="en-US"/>
              </w:rPr>
              <w:t>Reduction in the prevalence of water-borne diseases</w:t>
            </w:r>
          </w:p>
        </w:tc>
        <w:tc>
          <w:tcPr>
            <w:tcW w:w="4673" w:type="dxa"/>
            <w:tcBorders>
              <w:top w:val="single" w:sz="4" w:space="0" w:color="auto"/>
              <w:left w:val="single" w:sz="4" w:space="0" w:color="auto"/>
              <w:bottom w:val="single" w:sz="4" w:space="0" w:color="auto"/>
              <w:right w:val="single" w:sz="4" w:space="0" w:color="auto"/>
            </w:tcBorders>
            <w:vAlign w:val="center"/>
          </w:tcPr>
          <w:p w:rsidR="00C821BE" w:rsidRPr="0010784C" w:rsidRDefault="00C821BE" w:rsidP="00C821BE">
            <w:pPr>
              <w:autoSpaceDE w:val="0"/>
              <w:autoSpaceDN w:val="0"/>
              <w:adjustRightInd w:val="0"/>
              <w:spacing w:after="0" w:line="240" w:lineRule="auto"/>
              <w:jc w:val="both"/>
              <w:rPr>
                <w:rFonts w:ascii="Times New Roman" w:hAnsi="Times New Roman" w:cs="Times New Roman"/>
                <w:sz w:val="16"/>
                <w:szCs w:val="16"/>
                <w:lang w:val="en-US"/>
              </w:rPr>
            </w:pPr>
            <w:r w:rsidRPr="0010784C">
              <w:rPr>
                <w:rFonts w:ascii="Times New Roman" w:hAnsi="Times New Roman" w:cs="Times New Roman"/>
                <w:sz w:val="16"/>
                <w:szCs w:val="16"/>
                <w:lang w:val="en-US"/>
              </w:rPr>
              <w:t>Organize awareness campaigns with the health services to fight against the use of certain polluted water tables directly by households;</w:t>
            </w:r>
          </w:p>
          <w:p w:rsidR="00C821BE" w:rsidRPr="0010784C" w:rsidRDefault="00C821BE" w:rsidP="00C821BE">
            <w:pPr>
              <w:autoSpaceDE w:val="0"/>
              <w:autoSpaceDN w:val="0"/>
              <w:adjustRightInd w:val="0"/>
              <w:spacing w:after="0" w:line="240" w:lineRule="auto"/>
              <w:jc w:val="both"/>
              <w:rPr>
                <w:rFonts w:ascii="Times New Roman" w:hAnsi="Times New Roman" w:cs="Times New Roman"/>
                <w:sz w:val="16"/>
                <w:szCs w:val="16"/>
                <w:lang w:val="en-US"/>
              </w:rPr>
            </w:pPr>
            <w:r w:rsidRPr="0010784C">
              <w:rPr>
                <w:rFonts w:ascii="Times New Roman" w:hAnsi="Times New Roman" w:cs="Times New Roman"/>
                <w:sz w:val="16"/>
                <w:szCs w:val="16"/>
                <w:lang w:val="en-US"/>
              </w:rPr>
              <w:t>Install standpipes in localities that cannot afford to subscribe;</w:t>
            </w:r>
          </w:p>
        </w:tc>
        <w:tc>
          <w:tcPr>
            <w:tcW w:w="3402" w:type="dxa"/>
            <w:tcBorders>
              <w:top w:val="single" w:sz="4" w:space="0" w:color="auto"/>
              <w:left w:val="single" w:sz="4" w:space="0" w:color="auto"/>
              <w:bottom w:val="single" w:sz="4" w:space="0" w:color="auto"/>
              <w:right w:val="single" w:sz="4" w:space="0" w:color="auto"/>
            </w:tcBorders>
            <w:vAlign w:val="center"/>
          </w:tcPr>
          <w:p w:rsidR="00C821BE" w:rsidRPr="0010784C" w:rsidRDefault="00C821BE" w:rsidP="00C821BE">
            <w:pPr>
              <w:autoSpaceDE w:val="0"/>
              <w:autoSpaceDN w:val="0"/>
              <w:adjustRightInd w:val="0"/>
              <w:spacing w:after="0" w:line="240" w:lineRule="auto"/>
              <w:jc w:val="both"/>
              <w:rPr>
                <w:rFonts w:ascii="Times New Roman" w:hAnsi="Times New Roman" w:cs="Times New Roman"/>
                <w:sz w:val="16"/>
                <w:szCs w:val="16"/>
                <w:lang w:val="en-US"/>
              </w:rPr>
            </w:pPr>
            <w:r w:rsidRPr="0010784C">
              <w:rPr>
                <w:rFonts w:ascii="Times New Roman" w:hAnsi="Times New Roman" w:cs="Times New Roman"/>
                <w:sz w:val="16"/>
                <w:szCs w:val="16"/>
                <w:lang w:val="en-US"/>
              </w:rPr>
              <w:t>- Number of campaigns organized;</w:t>
            </w:r>
          </w:p>
          <w:p w:rsidR="00C821BE" w:rsidRPr="0010784C" w:rsidRDefault="00C821BE" w:rsidP="00C821BE">
            <w:pPr>
              <w:autoSpaceDE w:val="0"/>
              <w:autoSpaceDN w:val="0"/>
              <w:adjustRightInd w:val="0"/>
              <w:spacing w:after="0" w:line="240" w:lineRule="auto"/>
              <w:jc w:val="both"/>
              <w:rPr>
                <w:rFonts w:ascii="Times New Roman" w:hAnsi="Times New Roman" w:cs="Times New Roman"/>
                <w:sz w:val="16"/>
                <w:szCs w:val="16"/>
                <w:lang w:val="en-US"/>
              </w:rPr>
            </w:pPr>
            <w:r w:rsidRPr="0010784C">
              <w:rPr>
                <w:rFonts w:ascii="Times New Roman" w:hAnsi="Times New Roman" w:cs="Times New Roman"/>
                <w:sz w:val="16"/>
                <w:szCs w:val="16"/>
                <w:lang w:val="en-US"/>
              </w:rPr>
              <w:t>- Number of people sensitized;</w:t>
            </w:r>
          </w:p>
          <w:p w:rsidR="00C821BE" w:rsidRPr="0010784C" w:rsidRDefault="00C821BE" w:rsidP="00C821BE">
            <w:pPr>
              <w:autoSpaceDE w:val="0"/>
              <w:autoSpaceDN w:val="0"/>
              <w:adjustRightInd w:val="0"/>
              <w:spacing w:after="0" w:line="240" w:lineRule="auto"/>
              <w:jc w:val="both"/>
              <w:rPr>
                <w:rFonts w:ascii="Times New Roman" w:hAnsi="Times New Roman" w:cs="Times New Roman"/>
                <w:sz w:val="16"/>
                <w:szCs w:val="16"/>
                <w:lang w:val="en-US"/>
              </w:rPr>
            </w:pPr>
            <w:r w:rsidRPr="0010784C">
              <w:rPr>
                <w:rFonts w:ascii="Times New Roman" w:hAnsi="Times New Roman" w:cs="Times New Roman"/>
                <w:sz w:val="16"/>
                <w:szCs w:val="16"/>
                <w:lang w:val="en-US"/>
              </w:rPr>
              <w:t>- Number of standpipes installed;</w:t>
            </w:r>
          </w:p>
          <w:p w:rsidR="00C821BE" w:rsidRPr="0010784C" w:rsidRDefault="00C821BE" w:rsidP="00C821BE">
            <w:pPr>
              <w:autoSpaceDE w:val="0"/>
              <w:autoSpaceDN w:val="0"/>
              <w:adjustRightInd w:val="0"/>
              <w:spacing w:after="0" w:line="240" w:lineRule="auto"/>
              <w:jc w:val="both"/>
              <w:rPr>
                <w:rFonts w:ascii="Times New Roman" w:hAnsi="Times New Roman" w:cs="Times New Roman"/>
                <w:sz w:val="16"/>
                <w:szCs w:val="16"/>
                <w:lang w:val="en-US"/>
              </w:rPr>
            </w:pPr>
          </w:p>
          <w:p w:rsidR="00C821BE" w:rsidRPr="0010784C" w:rsidRDefault="00C821BE" w:rsidP="00C821BE">
            <w:pPr>
              <w:autoSpaceDE w:val="0"/>
              <w:autoSpaceDN w:val="0"/>
              <w:adjustRightInd w:val="0"/>
              <w:spacing w:after="0" w:line="240" w:lineRule="auto"/>
              <w:jc w:val="both"/>
              <w:rPr>
                <w:rFonts w:ascii="Times New Roman" w:hAnsi="Times New Roman" w:cs="Times New Roman"/>
                <w:sz w:val="16"/>
                <w:szCs w:val="16"/>
                <w:lang w:val="en-US"/>
              </w:rPr>
            </w:pPr>
          </w:p>
        </w:tc>
        <w:tc>
          <w:tcPr>
            <w:tcW w:w="1276"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C821BE" w:rsidRPr="0010784C" w:rsidRDefault="00C821BE" w:rsidP="00C821BE">
            <w:pPr>
              <w:autoSpaceDE w:val="0"/>
              <w:autoSpaceDN w:val="0"/>
              <w:adjustRightInd w:val="0"/>
              <w:spacing w:after="0" w:line="240" w:lineRule="auto"/>
              <w:jc w:val="center"/>
              <w:rPr>
                <w:rFonts w:ascii="Times New Roman" w:hAnsi="Times New Roman" w:cs="Times New Roman"/>
                <w:b/>
                <w:sz w:val="16"/>
                <w:szCs w:val="16"/>
                <w:lang w:val="en-US"/>
              </w:rPr>
            </w:pPr>
            <w:r w:rsidRPr="0010784C">
              <w:rPr>
                <w:rFonts w:ascii="Times New Roman" w:hAnsi="Times New Roman" w:cs="Times New Roman"/>
                <w:b/>
                <w:sz w:val="16"/>
                <w:szCs w:val="16"/>
                <w:lang w:val="en-US"/>
              </w:rPr>
              <w:t>STATE</w:t>
            </w:r>
          </w:p>
          <w:p w:rsidR="00C821BE" w:rsidRPr="0010784C" w:rsidRDefault="00C821BE" w:rsidP="00C821BE">
            <w:pPr>
              <w:autoSpaceDE w:val="0"/>
              <w:autoSpaceDN w:val="0"/>
              <w:adjustRightInd w:val="0"/>
              <w:spacing w:after="0" w:line="240" w:lineRule="auto"/>
              <w:jc w:val="center"/>
              <w:rPr>
                <w:rFonts w:ascii="Times New Roman" w:hAnsi="Times New Roman" w:cs="Times New Roman"/>
                <w:b/>
                <w:sz w:val="16"/>
                <w:szCs w:val="16"/>
                <w:lang w:val="en-US"/>
              </w:rPr>
            </w:pPr>
            <w:r w:rsidRPr="0010784C">
              <w:rPr>
                <w:rFonts w:ascii="Times New Roman" w:hAnsi="Times New Roman" w:cs="Times New Roman"/>
                <w:b/>
                <w:sz w:val="16"/>
                <w:szCs w:val="16"/>
                <w:lang w:val="en-US"/>
              </w:rPr>
              <w:t>PUASEE-FA</w:t>
            </w:r>
          </w:p>
          <w:p w:rsidR="00C821BE" w:rsidRPr="0010784C" w:rsidRDefault="00C821BE" w:rsidP="00C821BE">
            <w:pPr>
              <w:autoSpaceDE w:val="0"/>
              <w:autoSpaceDN w:val="0"/>
              <w:adjustRightInd w:val="0"/>
              <w:spacing w:after="0" w:line="240" w:lineRule="auto"/>
              <w:jc w:val="center"/>
              <w:rPr>
                <w:rFonts w:ascii="Times New Roman" w:hAnsi="Times New Roman" w:cs="Times New Roman"/>
                <w:b/>
                <w:sz w:val="16"/>
                <w:szCs w:val="16"/>
                <w:lang w:val="en-US"/>
              </w:rPr>
            </w:pPr>
            <w:r w:rsidRPr="0010784C">
              <w:rPr>
                <w:rFonts w:ascii="Times New Roman" w:hAnsi="Times New Roman" w:cs="Times New Roman"/>
                <w:b/>
                <w:sz w:val="16"/>
                <w:szCs w:val="16"/>
                <w:lang w:val="en-US"/>
              </w:rPr>
              <w:t>EAGB</w:t>
            </w:r>
          </w:p>
        </w:tc>
        <w:tc>
          <w:tcPr>
            <w:tcW w:w="1134"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C821BE" w:rsidRPr="0010784C" w:rsidRDefault="00C821BE" w:rsidP="00C821BE">
            <w:pPr>
              <w:autoSpaceDE w:val="0"/>
              <w:autoSpaceDN w:val="0"/>
              <w:adjustRightInd w:val="0"/>
              <w:spacing w:after="0" w:line="240" w:lineRule="auto"/>
              <w:jc w:val="center"/>
              <w:rPr>
                <w:rFonts w:ascii="Times New Roman" w:hAnsi="Times New Roman" w:cs="Times New Roman"/>
                <w:b/>
                <w:sz w:val="16"/>
                <w:szCs w:val="16"/>
                <w:lang w:val="en-US"/>
              </w:rPr>
            </w:pPr>
            <w:r w:rsidRPr="0010784C">
              <w:rPr>
                <w:rFonts w:ascii="Times New Roman" w:hAnsi="Times New Roman" w:cs="Times New Roman"/>
                <w:b/>
                <w:sz w:val="16"/>
                <w:szCs w:val="16"/>
                <w:lang w:val="en-US"/>
              </w:rPr>
              <w:t>Monitoring committee</w:t>
            </w:r>
          </w:p>
        </w:tc>
        <w:tc>
          <w:tcPr>
            <w:tcW w:w="1134" w:type="dxa"/>
            <w:tcBorders>
              <w:top w:val="single" w:sz="4" w:space="0" w:color="auto"/>
              <w:left w:val="single" w:sz="4" w:space="0" w:color="auto"/>
              <w:bottom w:val="single" w:sz="4" w:space="0" w:color="auto"/>
              <w:right w:val="single" w:sz="4" w:space="0" w:color="auto"/>
            </w:tcBorders>
            <w:vAlign w:val="center"/>
          </w:tcPr>
          <w:p w:rsidR="00C821BE" w:rsidRPr="0010784C" w:rsidRDefault="00C821BE" w:rsidP="00C821BE">
            <w:pPr>
              <w:autoSpaceDE w:val="0"/>
              <w:autoSpaceDN w:val="0"/>
              <w:adjustRightInd w:val="0"/>
              <w:spacing w:after="0" w:line="240" w:lineRule="auto"/>
              <w:jc w:val="center"/>
              <w:rPr>
                <w:rFonts w:ascii="Times New Roman" w:hAnsi="Times New Roman" w:cs="Times New Roman"/>
                <w:sz w:val="16"/>
                <w:szCs w:val="16"/>
                <w:lang w:val="en-US"/>
              </w:rPr>
            </w:pPr>
            <w:r w:rsidRPr="0010784C">
              <w:rPr>
                <w:rFonts w:ascii="Times New Roman" w:hAnsi="Times New Roman" w:cs="Times New Roman"/>
                <w:sz w:val="16"/>
                <w:szCs w:val="16"/>
                <w:lang w:val="en-US"/>
              </w:rPr>
              <w:t>During operation / Three times a year</w:t>
            </w:r>
          </w:p>
        </w:tc>
        <w:tc>
          <w:tcPr>
            <w:tcW w:w="1134"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rsidR="00C821BE" w:rsidRPr="0010784C" w:rsidRDefault="00C821BE" w:rsidP="00C821BE">
            <w:pPr>
              <w:autoSpaceDE w:val="0"/>
              <w:autoSpaceDN w:val="0"/>
              <w:adjustRightInd w:val="0"/>
              <w:spacing w:after="0" w:line="240" w:lineRule="auto"/>
              <w:jc w:val="center"/>
              <w:rPr>
                <w:rFonts w:ascii="Times New Roman" w:hAnsi="Times New Roman" w:cs="Times New Roman"/>
                <w:b/>
                <w:sz w:val="16"/>
                <w:szCs w:val="16"/>
                <w:lang w:val="en-US"/>
              </w:rPr>
            </w:pPr>
            <w:r w:rsidRPr="0010784C">
              <w:rPr>
                <w:rFonts w:ascii="Times New Roman" w:hAnsi="Times New Roman" w:cs="Times New Roman"/>
                <w:b/>
                <w:sz w:val="16"/>
                <w:szCs w:val="16"/>
                <w:lang w:val="en-US"/>
              </w:rPr>
              <w:t>3,000,000</w:t>
            </w:r>
          </w:p>
        </w:tc>
      </w:tr>
      <w:tr w:rsidR="00C821BE" w:rsidRPr="0010784C" w:rsidTr="00C821BE">
        <w:trPr>
          <w:trHeight w:val="70"/>
          <w:jc w:val="center"/>
        </w:trPr>
        <w:tc>
          <w:tcPr>
            <w:tcW w:w="1129" w:type="dxa"/>
            <w:vMerge/>
            <w:tcBorders>
              <w:left w:val="single" w:sz="4" w:space="0" w:color="auto"/>
              <w:right w:val="single" w:sz="4" w:space="0" w:color="auto"/>
            </w:tcBorders>
            <w:shd w:val="clear" w:color="auto" w:fill="BDD6EE" w:themeFill="accent1" w:themeFillTint="66"/>
            <w:vAlign w:val="center"/>
          </w:tcPr>
          <w:p w:rsidR="00C821BE" w:rsidRPr="0010784C" w:rsidRDefault="00C821BE" w:rsidP="00C821BE">
            <w:pPr>
              <w:autoSpaceDE w:val="0"/>
              <w:autoSpaceDN w:val="0"/>
              <w:adjustRightInd w:val="0"/>
              <w:spacing w:after="0" w:line="240" w:lineRule="auto"/>
              <w:jc w:val="center"/>
              <w:rPr>
                <w:rFonts w:ascii="Times New Roman" w:hAnsi="Times New Roman" w:cs="Times New Roman"/>
                <w:b/>
                <w:bCs/>
                <w:sz w:val="16"/>
                <w:szCs w:val="16"/>
                <w:lang w:val="en-US"/>
              </w:rPr>
            </w:pPr>
          </w:p>
        </w:tc>
        <w:tc>
          <w:tcPr>
            <w:tcW w:w="2131" w:type="dxa"/>
            <w:tcBorders>
              <w:top w:val="single" w:sz="4" w:space="0" w:color="auto"/>
              <w:left w:val="single" w:sz="4" w:space="0" w:color="auto"/>
              <w:bottom w:val="single" w:sz="4" w:space="0" w:color="auto"/>
              <w:right w:val="single" w:sz="4" w:space="0" w:color="auto"/>
            </w:tcBorders>
            <w:vAlign w:val="center"/>
          </w:tcPr>
          <w:p w:rsidR="00C821BE" w:rsidRPr="0010784C" w:rsidRDefault="00C821BE" w:rsidP="00C821BE">
            <w:pPr>
              <w:autoSpaceDE w:val="0"/>
              <w:autoSpaceDN w:val="0"/>
              <w:adjustRightInd w:val="0"/>
              <w:spacing w:after="0" w:line="240" w:lineRule="auto"/>
              <w:jc w:val="both"/>
              <w:rPr>
                <w:rFonts w:ascii="Times New Roman" w:hAnsi="Times New Roman" w:cs="Times New Roman"/>
                <w:sz w:val="16"/>
                <w:szCs w:val="16"/>
                <w:lang w:val="en-US"/>
              </w:rPr>
            </w:pPr>
            <w:r w:rsidRPr="0010784C">
              <w:rPr>
                <w:rFonts w:ascii="Times New Roman" w:hAnsi="Times New Roman" w:cs="Times New Roman"/>
                <w:sz w:val="16"/>
                <w:szCs w:val="16"/>
                <w:lang w:val="en-US"/>
              </w:rPr>
              <w:t xml:space="preserve">Reduced costs related to water use </w:t>
            </w:r>
          </w:p>
        </w:tc>
        <w:tc>
          <w:tcPr>
            <w:tcW w:w="4673" w:type="dxa"/>
            <w:tcBorders>
              <w:top w:val="single" w:sz="4" w:space="0" w:color="auto"/>
              <w:left w:val="single" w:sz="4" w:space="0" w:color="auto"/>
              <w:bottom w:val="single" w:sz="4" w:space="0" w:color="auto"/>
              <w:right w:val="single" w:sz="4" w:space="0" w:color="auto"/>
            </w:tcBorders>
            <w:vAlign w:val="center"/>
          </w:tcPr>
          <w:p w:rsidR="00C821BE" w:rsidRPr="0010784C" w:rsidRDefault="00C821BE" w:rsidP="00C821BE">
            <w:pPr>
              <w:autoSpaceDE w:val="0"/>
              <w:autoSpaceDN w:val="0"/>
              <w:adjustRightInd w:val="0"/>
              <w:spacing w:after="0" w:line="240" w:lineRule="auto"/>
              <w:jc w:val="both"/>
              <w:rPr>
                <w:rFonts w:ascii="Times New Roman" w:hAnsi="Times New Roman" w:cs="Times New Roman"/>
                <w:sz w:val="16"/>
                <w:szCs w:val="16"/>
                <w:lang w:val="en-US"/>
              </w:rPr>
            </w:pPr>
            <w:r w:rsidRPr="0010784C">
              <w:rPr>
                <w:rFonts w:ascii="Times New Roman" w:hAnsi="Times New Roman" w:cs="Times New Roman"/>
                <w:sz w:val="16"/>
                <w:szCs w:val="16"/>
                <w:lang w:val="en-US"/>
              </w:rPr>
              <w:t>-Reduce costs significantly at the EAGB level;</w:t>
            </w:r>
          </w:p>
          <w:p w:rsidR="00C821BE" w:rsidRPr="0010784C" w:rsidRDefault="00C821BE" w:rsidP="00C821BE">
            <w:pPr>
              <w:autoSpaceDE w:val="0"/>
              <w:autoSpaceDN w:val="0"/>
              <w:adjustRightInd w:val="0"/>
              <w:spacing w:after="0" w:line="240" w:lineRule="auto"/>
              <w:jc w:val="both"/>
              <w:rPr>
                <w:rFonts w:ascii="Times New Roman" w:hAnsi="Times New Roman" w:cs="Times New Roman"/>
                <w:sz w:val="16"/>
                <w:szCs w:val="16"/>
                <w:lang w:val="en-US"/>
              </w:rPr>
            </w:pPr>
            <w:r w:rsidRPr="0010784C">
              <w:rPr>
                <w:rFonts w:ascii="Times New Roman" w:hAnsi="Times New Roman" w:cs="Times New Roman"/>
                <w:sz w:val="16"/>
                <w:szCs w:val="16"/>
                <w:lang w:val="en-US"/>
              </w:rPr>
              <w:t>-Set up a price regulation and control service;</w:t>
            </w:r>
          </w:p>
        </w:tc>
        <w:tc>
          <w:tcPr>
            <w:tcW w:w="3402" w:type="dxa"/>
            <w:tcBorders>
              <w:top w:val="single" w:sz="4" w:space="0" w:color="auto"/>
              <w:left w:val="single" w:sz="4" w:space="0" w:color="auto"/>
              <w:bottom w:val="single" w:sz="4" w:space="0" w:color="auto"/>
              <w:right w:val="single" w:sz="4" w:space="0" w:color="auto"/>
            </w:tcBorders>
            <w:vAlign w:val="center"/>
          </w:tcPr>
          <w:p w:rsidR="00C821BE" w:rsidRPr="0010784C" w:rsidRDefault="00C821BE" w:rsidP="00C821BE">
            <w:pPr>
              <w:autoSpaceDE w:val="0"/>
              <w:autoSpaceDN w:val="0"/>
              <w:adjustRightInd w:val="0"/>
              <w:spacing w:after="0" w:line="240" w:lineRule="auto"/>
              <w:jc w:val="both"/>
              <w:rPr>
                <w:rFonts w:ascii="Times New Roman" w:hAnsi="Times New Roman" w:cs="Times New Roman"/>
                <w:sz w:val="16"/>
                <w:szCs w:val="16"/>
                <w:lang w:val="en-US"/>
              </w:rPr>
            </w:pPr>
            <w:r w:rsidRPr="0010784C">
              <w:rPr>
                <w:rFonts w:ascii="Times New Roman" w:hAnsi="Times New Roman" w:cs="Times New Roman"/>
                <w:sz w:val="16"/>
                <w:szCs w:val="16"/>
                <w:lang w:val="en-US"/>
              </w:rPr>
              <w:t>-Reduced access costs</w:t>
            </w:r>
          </w:p>
          <w:p w:rsidR="00C821BE" w:rsidRPr="0010784C" w:rsidRDefault="00C821BE" w:rsidP="00C821BE">
            <w:pPr>
              <w:autoSpaceDE w:val="0"/>
              <w:autoSpaceDN w:val="0"/>
              <w:adjustRightInd w:val="0"/>
              <w:spacing w:after="0" w:line="240" w:lineRule="auto"/>
              <w:jc w:val="both"/>
              <w:rPr>
                <w:rFonts w:ascii="Times New Roman" w:hAnsi="Times New Roman" w:cs="Times New Roman"/>
                <w:sz w:val="16"/>
                <w:szCs w:val="16"/>
                <w:lang w:val="en-US"/>
              </w:rPr>
            </w:pPr>
            <w:r w:rsidRPr="0010784C">
              <w:rPr>
                <w:rFonts w:ascii="Times New Roman" w:hAnsi="Times New Roman" w:cs="Times New Roman"/>
                <w:sz w:val="16"/>
                <w:szCs w:val="16"/>
                <w:lang w:val="en-US"/>
              </w:rPr>
              <w:t xml:space="preserve">-Presence of a regulation service </w:t>
            </w:r>
          </w:p>
        </w:tc>
        <w:tc>
          <w:tcPr>
            <w:tcW w:w="1276"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C821BE" w:rsidRPr="0010784C" w:rsidRDefault="00C821BE" w:rsidP="00C821BE">
            <w:pPr>
              <w:autoSpaceDE w:val="0"/>
              <w:autoSpaceDN w:val="0"/>
              <w:adjustRightInd w:val="0"/>
              <w:spacing w:after="0" w:line="240" w:lineRule="auto"/>
              <w:jc w:val="center"/>
              <w:rPr>
                <w:rFonts w:ascii="Times New Roman" w:hAnsi="Times New Roman" w:cs="Times New Roman"/>
                <w:b/>
                <w:sz w:val="16"/>
                <w:szCs w:val="16"/>
                <w:lang w:val="en-US"/>
              </w:rPr>
            </w:pPr>
            <w:r w:rsidRPr="0010784C">
              <w:rPr>
                <w:rFonts w:ascii="Times New Roman" w:hAnsi="Times New Roman" w:cs="Times New Roman"/>
                <w:b/>
                <w:sz w:val="16"/>
                <w:szCs w:val="16"/>
                <w:lang w:val="en-US"/>
              </w:rPr>
              <w:t>STATE</w:t>
            </w:r>
          </w:p>
        </w:tc>
        <w:tc>
          <w:tcPr>
            <w:tcW w:w="1134"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C821BE" w:rsidRPr="0010784C" w:rsidRDefault="00C821BE" w:rsidP="00C821BE">
            <w:pPr>
              <w:autoSpaceDE w:val="0"/>
              <w:autoSpaceDN w:val="0"/>
              <w:adjustRightInd w:val="0"/>
              <w:spacing w:after="0" w:line="240" w:lineRule="auto"/>
              <w:jc w:val="center"/>
              <w:rPr>
                <w:rFonts w:ascii="Times New Roman" w:hAnsi="Times New Roman" w:cs="Times New Roman"/>
                <w:b/>
                <w:sz w:val="16"/>
                <w:szCs w:val="16"/>
                <w:lang w:val="en-US"/>
              </w:rPr>
            </w:pPr>
            <w:r w:rsidRPr="0010784C">
              <w:rPr>
                <w:rFonts w:ascii="Times New Roman" w:hAnsi="Times New Roman" w:cs="Times New Roman"/>
                <w:b/>
                <w:sz w:val="16"/>
                <w:szCs w:val="16"/>
                <w:lang w:val="en-US"/>
              </w:rPr>
              <w:t>Monitoring committee</w:t>
            </w:r>
          </w:p>
        </w:tc>
        <w:tc>
          <w:tcPr>
            <w:tcW w:w="1134" w:type="dxa"/>
            <w:tcBorders>
              <w:top w:val="single" w:sz="4" w:space="0" w:color="auto"/>
              <w:left w:val="single" w:sz="4" w:space="0" w:color="auto"/>
              <w:bottom w:val="single" w:sz="4" w:space="0" w:color="auto"/>
              <w:right w:val="single" w:sz="4" w:space="0" w:color="auto"/>
            </w:tcBorders>
            <w:vAlign w:val="center"/>
          </w:tcPr>
          <w:p w:rsidR="00C821BE" w:rsidRPr="0010784C" w:rsidRDefault="00C821BE" w:rsidP="00C821BE">
            <w:pPr>
              <w:autoSpaceDE w:val="0"/>
              <w:autoSpaceDN w:val="0"/>
              <w:adjustRightInd w:val="0"/>
              <w:spacing w:after="0" w:line="240" w:lineRule="auto"/>
              <w:jc w:val="center"/>
              <w:rPr>
                <w:rFonts w:ascii="Times New Roman" w:hAnsi="Times New Roman" w:cs="Times New Roman"/>
                <w:sz w:val="16"/>
                <w:szCs w:val="16"/>
                <w:lang w:val="en-US"/>
              </w:rPr>
            </w:pPr>
            <w:r w:rsidRPr="0010784C">
              <w:rPr>
                <w:rFonts w:ascii="Times New Roman" w:hAnsi="Times New Roman" w:cs="Times New Roman"/>
                <w:sz w:val="16"/>
                <w:szCs w:val="16"/>
                <w:lang w:val="en-US"/>
              </w:rPr>
              <w:t>During operation / once a year</w:t>
            </w:r>
          </w:p>
        </w:tc>
        <w:tc>
          <w:tcPr>
            <w:tcW w:w="1134"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rsidR="00C821BE" w:rsidRPr="0010784C" w:rsidRDefault="00C821BE" w:rsidP="00C821BE">
            <w:pPr>
              <w:autoSpaceDE w:val="0"/>
              <w:autoSpaceDN w:val="0"/>
              <w:adjustRightInd w:val="0"/>
              <w:spacing w:after="0" w:line="240" w:lineRule="auto"/>
              <w:jc w:val="center"/>
              <w:rPr>
                <w:rFonts w:ascii="Times New Roman" w:hAnsi="Times New Roman" w:cs="Times New Roman"/>
                <w:b/>
                <w:sz w:val="16"/>
                <w:szCs w:val="16"/>
                <w:lang w:val="en-US"/>
              </w:rPr>
            </w:pPr>
            <w:r w:rsidRPr="0010784C">
              <w:rPr>
                <w:rFonts w:ascii="Times New Roman" w:hAnsi="Times New Roman" w:cs="Times New Roman"/>
                <w:b/>
                <w:sz w:val="16"/>
                <w:szCs w:val="16"/>
                <w:lang w:val="en-US"/>
              </w:rPr>
              <w:t>2,500,000</w:t>
            </w:r>
          </w:p>
        </w:tc>
      </w:tr>
      <w:tr w:rsidR="00C821BE" w:rsidRPr="0010784C" w:rsidTr="00C821BE">
        <w:trPr>
          <w:trHeight w:val="505"/>
          <w:jc w:val="center"/>
        </w:trPr>
        <w:tc>
          <w:tcPr>
            <w:tcW w:w="1129" w:type="dxa"/>
            <w:vMerge/>
            <w:tcBorders>
              <w:left w:val="single" w:sz="4" w:space="0" w:color="auto"/>
              <w:bottom w:val="single" w:sz="4" w:space="0" w:color="auto"/>
              <w:right w:val="single" w:sz="4" w:space="0" w:color="auto"/>
            </w:tcBorders>
            <w:shd w:val="clear" w:color="auto" w:fill="BDD6EE" w:themeFill="accent1" w:themeFillTint="66"/>
            <w:vAlign w:val="center"/>
            <w:hideMark/>
          </w:tcPr>
          <w:p w:rsidR="00C821BE" w:rsidRPr="0010784C" w:rsidRDefault="00C821BE" w:rsidP="00C821BE">
            <w:pPr>
              <w:autoSpaceDE w:val="0"/>
              <w:autoSpaceDN w:val="0"/>
              <w:adjustRightInd w:val="0"/>
              <w:spacing w:after="0" w:line="240" w:lineRule="auto"/>
              <w:jc w:val="center"/>
              <w:rPr>
                <w:rFonts w:ascii="Times New Roman" w:hAnsi="Times New Roman" w:cs="Times New Roman"/>
                <w:b/>
                <w:bCs/>
                <w:sz w:val="16"/>
                <w:szCs w:val="16"/>
                <w:lang w:val="en-US"/>
              </w:rPr>
            </w:pPr>
          </w:p>
        </w:tc>
        <w:tc>
          <w:tcPr>
            <w:tcW w:w="2131" w:type="dxa"/>
            <w:tcBorders>
              <w:top w:val="single" w:sz="4" w:space="0" w:color="auto"/>
              <w:left w:val="single" w:sz="4" w:space="0" w:color="auto"/>
              <w:bottom w:val="single" w:sz="4" w:space="0" w:color="auto"/>
              <w:right w:val="single" w:sz="4" w:space="0" w:color="auto"/>
            </w:tcBorders>
            <w:vAlign w:val="center"/>
          </w:tcPr>
          <w:p w:rsidR="00C821BE" w:rsidRPr="0010784C" w:rsidRDefault="00C821BE" w:rsidP="00C821BE">
            <w:pPr>
              <w:autoSpaceDE w:val="0"/>
              <w:autoSpaceDN w:val="0"/>
              <w:adjustRightInd w:val="0"/>
              <w:spacing w:after="0" w:line="240" w:lineRule="auto"/>
              <w:jc w:val="both"/>
              <w:rPr>
                <w:rFonts w:ascii="Times New Roman" w:hAnsi="Times New Roman" w:cs="Times New Roman"/>
                <w:sz w:val="16"/>
                <w:szCs w:val="16"/>
                <w:lang w:val="en-US"/>
              </w:rPr>
            </w:pPr>
            <w:r w:rsidRPr="0010784C">
              <w:rPr>
                <w:rFonts w:ascii="Times New Roman" w:hAnsi="Times New Roman" w:cs="Times New Roman"/>
                <w:sz w:val="16"/>
                <w:szCs w:val="16"/>
                <w:lang w:val="en-US"/>
              </w:rPr>
              <w:t>Job opportunities</w:t>
            </w:r>
          </w:p>
        </w:tc>
        <w:tc>
          <w:tcPr>
            <w:tcW w:w="4673" w:type="dxa"/>
            <w:tcBorders>
              <w:top w:val="single" w:sz="4" w:space="0" w:color="auto"/>
              <w:left w:val="single" w:sz="4" w:space="0" w:color="auto"/>
              <w:bottom w:val="single" w:sz="4" w:space="0" w:color="auto"/>
              <w:right w:val="single" w:sz="4" w:space="0" w:color="auto"/>
            </w:tcBorders>
            <w:vAlign w:val="center"/>
          </w:tcPr>
          <w:p w:rsidR="00C821BE" w:rsidRPr="0010784C" w:rsidRDefault="00C821BE" w:rsidP="00C821BE">
            <w:pPr>
              <w:autoSpaceDE w:val="0"/>
              <w:autoSpaceDN w:val="0"/>
              <w:adjustRightInd w:val="0"/>
              <w:spacing w:after="0" w:line="240" w:lineRule="auto"/>
              <w:jc w:val="both"/>
              <w:rPr>
                <w:rFonts w:ascii="Times New Roman" w:hAnsi="Times New Roman" w:cs="Times New Roman"/>
                <w:sz w:val="16"/>
                <w:szCs w:val="16"/>
                <w:lang w:val="en-US"/>
              </w:rPr>
            </w:pPr>
            <w:r w:rsidRPr="0010784C">
              <w:rPr>
                <w:rFonts w:ascii="Times New Roman" w:hAnsi="Times New Roman" w:cs="Times New Roman"/>
                <w:sz w:val="16"/>
                <w:szCs w:val="16"/>
                <w:lang w:val="en-US"/>
              </w:rPr>
              <w:t xml:space="preserve">- Make use of transparency in the recruitment procedures of </w:t>
            </w:r>
            <w:r w:rsidRPr="0010784C">
              <w:rPr>
                <w:rFonts w:ascii="Times New Roman" w:hAnsi="Times New Roman" w:cs="Times New Roman"/>
                <w:color w:val="000000"/>
                <w:sz w:val="16"/>
                <w:szCs w:val="16"/>
                <w:lang w:val="en-US"/>
              </w:rPr>
              <w:t>skilled labor during servicing and maintenance operations;</w:t>
            </w:r>
          </w:p>
          <w:p w:rsidR="00C821BE" w:rsidRPr="0010784C" w:rsidRDefault="00C821BE" w:rsidP="00C821BE">
            <w:pPr>
              <w:autoSpaceDE w:val="0"/>
              <w:autoSpaceDN w:val="0"/>
              <w:adjustRightInd w:val="0"/>
              <w:spacing w:after="0" w:line="240" w:lineRule="auto"/>
              <w:jc w:val="both"/>
              <w:rPr>
                <w:rFonts w:ascii="Times New Roman" w:hAnsi="Times New Roman" w:cs="Times New Roman"/>
                <w:sz w:val="16"/>
                <w:szCs w:val="16"/>
                <w:lang w:val="en-US"/>
              </w:rPr>
            </w:pPr>
            <w:r w:rsidRPr="0010784C">
              <w:rPr>
                <w:rFonts w:ascii="Times New Roman" w:hAnsi="Times New Roman" w:cs="Times New Roman"/>
                <w:sz w:val="16"/>
                <w:szCs w:val="16"/>
                <w:lang w:val="en-US"/>
              </w:rPr>
              <w:t>- Promote direct recruitment without intermediaries;</w:t>
            </w:r>
          </w:p>
          <w:p w:rsidR="00C821BE" w:rsidRPr="0010784C" w:rsidRDefault="00C821BE" w:rsidP="00C821BE">
            <w:pPr>
              <w:autoSpaceDE w:val="0"/>
              <w:autoSpaceDN w:val="0"/>
              <w:adjustRightInd w:val="0"/>
              <w:spacing w:after="0" w:line="240" w:lineRule="auto"/>
              <w:jc w:val="both"/>
              <w:rPr>
                <w:rFonts w:ascii="Times New Roman" w:hAnsi="Times New Roman" w:cs="Times New Roman"/>
                <w:sz w:val="16"/>
                <w:szCs w:val="16"/>
                <w:lang w:val="en-US"/>
              </w:rPr>
            </w:pPr>
            <w:r w:rsidRPr="0010784C">
              <w:rPr>
                <w:rFonts w:ascii="Times New Roman" w:hAnsi="Times New Roman" w:cs="Times New Roman"/>
                <w:sz w:val="16"/>
                <w:szCs w:val="16"/>
                <w:lang w:val="en-US"/>
              </w:rPr>
              <w:t>-recruit an experienced security guard service;</w:t>
            </w:r>
          </w:p>
          <w:p w:rsidR="00C821BE" w:rsidRPr="0010784C" w:rsidRDefault="00C821BE" w:rsidP="00C821BE">
            <w:pPr>
              <w:autoSpaceDE w:val="0"/>
              <w:autoSpaceDN w:val="0"/>
              <w:adjustRightInd w:val="0"/>
              <w:spacing w:after="0" w:line="240" w:lineRule="auto"/>
              <w:jc w:val="both"/>
              <w:rPr>
                <w:rFonts w:ascii="Times New Roman" w:hAnsi="Times New Roman" w:cs="Times New Roman"/>
                <w:sz w:val="16"/>
                <w:szCs w:val="16"/>
                <w:lang w:val="en-US"/>
              </w:rPr>
            </w:pPr>
            <w:r w:rsidRPr="0010784C">
              <w:rPr>
                <w:rFonts w:ascii="Times New Roman" w:hAnsi="Times New Roman" w:cs="Times New Roman"/>
                <w:sz w:val="16"/>
                <w:szCs w:val="16"/>
                <w:lang w:val="en-US"/>
              </w:rPr>
              <w:t>- Respect the minimum wage in force;</w:t>
            </w:r>
          </w:p>
        </w:tc>
        <w:tc>
          <w:tcPr>
            <w:tcW w:w="3402" w:type="dxa"/>
            <w:tcBorders>
              <w:top w:val="single" w:sz="4" w:space="0" w:color="auto"/>
              <w:left w:val="single" w:sz="4" w:space="0" w:color="auto"/>
              <w:bottom w:val="single" w:sz="4" w:space="0" w:color="auto"/>
              <w:right w:val="single" w:sz="4" w:space="0" w:color="auto"/>
            </w:tcBorders>
            <w:vAlign w:val="center"/>
          </w:tcPr>
          <w:p w:rsidR="00C821BE" w:rsidRPr="0010784C" w:rsidRDefault="00C821BE" w:rsidP="00C821BE">
            <w:pPr>
              <w:autoSpaceDE w:val="0"/>
              <w:autoSpaceDN w:val="0"/>
              <w:adjustRightInd w:val="0"/>
              <w:spacing w:after="0" w:line="240" w:lineRule="auto"/>
              <w:rPr>
                <w:rFonts w:ascii="Times New Roman" w:hAnsi="Times New Roman" w:cs="Times New Roman"/>
                <w:sz w:val="16"/>
                <w:szCs w:val="16"/>
                <w:lang w:val="en-US"/>
              </w:rPr>
            </w:pPr>
            <w:r w:rsidRPr="0010784C">
              <w:rPr>
                <w:rFonts w:ascii="Times New Roman" w:hAnsi="Times New Roman" w:cs="Times New Roman"/>
                <w:sz w:val="16"/>
                <w:szCs w:val="16"/>
                <w:lang w:val="en-US"/>
              </w:rPr>
              <w:t>-Number of workers hired</w:t>
            </w:r>
          </w:p>
          <w:p w:rsidR="00C821BE" w:rsidRPr="0010784C" w:rsidRDefault="00C821BE" w:rsidP="00C821BE">
            <w:pPr>
              <w:autoSpaceDE w:val="0"/>
              <w:autoSpaceDN w:val="0"/>
              <w:adjustRightInd w:val="0"/>
              <w:spacing w:after="0" w:line="240" w:lineRule="auto"/>
              <w:rPr>
                <w:rFonts w:ascii="Times New Roman" w:hAnsi="Times New Roman" w:cs="Times New Roman"/>
                <w:sz w:val="16"/>
                <w:szCs w:val="16"/>
                <w:lang w:val="en-US"/>
              </w:rPr>
            </w:pPr>
            <w:r w:rsidRPr="0010784C">
              <w:rPr>
                <w:rFonts w:ascii="Times New Roman" w:hAnsi="Times New Roman" w:cs="Times New Roman"/>
                <w:sz w:val="16"/>
                <w:szCs w:val="16"/>
                <w:lang w:val="en-US"/>
              </w:rPr>
              <w:t>-Presence of a security service</w:t>
            </w:r>
          </w:p>
          <w:p w:rsidR="00C821BE" w:rsidRPr="0010784C" w:rsidRDefault="00C821BE" w:rsidP="00C821BE">
            <w:pPr>
              <w:autoSpaceDE w:val="0"/>
              <w:autoSpaceDN w:val="0"/>
              <w:adjustRightInd w:val="0"/>
              <w:spacing w:after="0" w:line="240" w:lineRule="auto"/>
              <w:rPr>
                <w:rFonts w:ascii="Times New Roman" w:hAnsi="Times New Roman" w:cs="Times New Roman"/>
                <w:sz w:val="16"/>
                <w:szCs w:val="16"/>
                <w:lang w:val="en-US"/>
              </w:rPr>
            </w:pPr>
            <w:r w:rsidRPr="0010784C">
              <w:rPr>
                <w:rFonts w:ascii="Times New Roman" w:hAnsi="Times New Roman" w:cs="Times New Roman"/>
                <w:sz w:val="16"/>
                <w:szCs w:val="16"/>
                <w:lang w:val="en-US"/>
              </w:rPr>
              <w:t>-Presence of payslips</w:t>
            </w:r>
          </w:p>
          <w:p w:rsidR="00C821BE" w:rsidRPr="0010784C" w:rsidRDefault="00C821BE" w:rsidP="00C821BE">
            <w:pPr>
              <w:autoSpaceDE w:val="0"/>
              <w:autoSpaceDN w:val="0"/>
              <w:adjustRightInd w:val="0"/>
              <w:spacing w:after="0" w:line="240" w:lineRule="auto"/>
              <w:rPr>
                <w:rFonts w:ascii="Times New Roman" w:hAnsi="Times New Roman" w:cs="Times New Roman"/>
                <w:sz w:val="16"/>
                <w:szCs w:val="16"/>
                <w:lang w:val="en-US"/>
              </w:rPr>
            </w:pPr>
          </w:p>
        </w:tc>
        <w:tc>
          <w:tcPr>
            <w:tcW w:w="1276"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rsidR="00C821BE" w:rsidRPr="0010784C" w:rsidRDefault="00C821BE" w:rsidP="00C821BE">
            <w:pPr>
              <w:autoSpaceDE w:val="0"/>
              <w:autoSpaceDN w:val="0"/>
              <w:adjustRightInd w:val="0"/>
              <w:spacing w:after="0" w:line="240" w:lineRule="auto"/>
              <w:jc w:val="center"/>
              <w:rPr>
                <w:rFonts w:ascii="Times New Roman" w:hAnsi="Times New Roman" w:cs="Times New Roman"/>
                <w:b/>
                <w:sz w:val="16"/>
                <w:szCs w:val="16"/>
                <w:lang w:val="en-US"/>
              </w:rPr>
            </w:pPr>
          </w:p>
          <w:p w:rsidR="00C821BE" w:rsidRPr="0010784C" w:rsidRDefault="00C821BE" w:rsidP="00C821BE">
            <w:pPr>
              <w:autoSpaceDE w:val="0"/>
              <w:autoSpaceDN w:val="0"/>
              <w:adjustRightInd w:val="0"/>
              <w:spacing w:after="0" w:line="240" w:lineRule="auto"/>
              <w:jc w:val="center"/>
              <w:rPr>
                <w:rFonts w:ascii="Times New Roman" w:hAnsi="Times New Roman" w:cs="Times New Roman"/>
                <w:b/>
                <w:sz w:val="16"/>
                <w:szCs w:val="16"/>
                <w:lang w:val="en-US"/>
              </w:rPr>
            </w:pPr>
            <w:r w:rsidRPr="0010784C">
              <w:rPr>
                <w:rFonts w:ascii="Times New Roman" w:hAnsi="Times New Roman" w:cs="Times New Roman"/>
                <w:b/>
                <w:sz w:val="16"/>
                <w:szCs w:val="16"/>
                <w:lang w:val="en-US"/>
              </w:rPr>
              <w:t>Town hall</w:t>
            </w:r>
          </w:p>
          <w:p w:rsidR="00C821BE" w:rsidRPr="0010784C" w:rsidRDefault="00C821BE" w:rsidP="00C821BE">
            <w:pPr>
              <w:autoSpaceDE w:val="0"/>
              <w:autoSpaceDN w:val="0"/>
              <w:adjustRightInd w:val="0"/>
              <w:spacing w:after="0" w:line="240" w:lineRule="auto"/>
              <w:jc w:val="center"/>
              <w:rPr>
                <w:rFonts w:ascii="Times New Roman" w:hAnsi="Times New Roman" w:cs="Times New Roman"/>
                <w:b/>
                <w:sz w:val="16"/>
                <w:szCs w:val="16"/>
                <w:lang w:val="en-US"/>
              </w:rPr>
            </w:pPr>
            <w:r w:rsidRPr="0010784C">
              <w:rPr>
                <w:rFonts w:ascii="Times New Roman" w:hAnsi="Times New Roman" w:cs="Times New Roman"/>
                <w:b/>
                <w:sz w:val="16"/>
                <w:szCs w:val="16"/>
                <w:lang w:val="en-US"/>
              </w:rPr>
              <w:t>PUASEE-FA</w:t>
            </w:r>
          </w:p>
        </w:tc>
        <w:tc>
          <w:tcPr>
            <w:tcW w:w="1134"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rsidR="00C821BE" w:rsidRPr="0010784C" w:rsidRDefault="00C821BE" w:rsidP="00C821BE">
            <w:pPr>
              <w:autoSpaceDE w:val="0"/>
              <w:autoSpaceDN w:val="0"/>
              <w:adjustRightInd w:val="0"/>
              <w:spacing w:after="0" w:line="240" w:lineRule="auto"/>
              <w:jc w:val="center"/>
              <w:rPr>
                <w:rFonts w:ascii="Times New Roman" w:hAnsi="Times New Roman" w:cs="Times New Roman"/>
                <w:b/>
                <w:sz w:val="16"/>
                <w:szCs w:val="16"/>
                <w:lang w:val="en-US"/>
              </w:rPr>
            </w:pPr>
            <w:r w:rsidRPr="0010784C">
              <w:rPr>
                <w:rFonts w:ascii="Times New Roman" w:hAnsi="Times New Roman" w:cs="Times New Roman"/>
                <w:b/>
                <w:sz w:val="16"/>
                <w:szCs w:val="16"/>
                <w:lang w:val="en-US"/>
              </w:rPr>
              <w:t>Work inspection</w:t>
            </w:r>
          </w:p>
          <w:p w:rsidR="00C821BE" w:rsidRPr="0010784C" w:rsidRDefault="00C821BE" w:rsidP="00C821BE">
            <w:pPr>
              <w:autoSpaceDE w:val="0"/>
              <w:autoSpaceDN w:val="0"/>
              <w:adjustRightInd w:val="0"/>
              <w:spacing w:after="0" w:line="240" w:lineRule="auto"/>
              <w:jc w:val="center"/>
              <w:rPr>
                <w:rFonts w:ascii="Times New Roman" w:hAnsi="Times New Roman" w:cs="Times New Roman"/>
                <w:b/>
                <w:sz w:val="16"/>
                <w:szCs w:val="16"/>
                <w:lang w:val="en-US"/>
              </w:rPr>
            </w:pPr>
          </w:p>
          <w:p w:rsidR="00C821BE" w:rsidRPr="0010784C" w:rsidRDefault="00C821BE" w:rsidP="00C821BE">
            <w:pPr>
              <w:autoSpaceDE w:val="0"/>
              <w:autoSpaceDN w:val="0"/>
              <w:adjustRightInd w:val="0"/>
              <w:spacing w:after="0" w:line="240" w:lineRule="auto"/>
              <w:jc w:val="center"/>
              <w:rPr>
                <w:rFonts w:ascii="Times New Roman" w:hAnsi="Times New Roman" w:cs="Times New Roman"/>
                <w:b/>
                <w:sz w:val="16"/>
                <w:szCs w:val="16"/>
                <w:lang w:val="en-US"/>
              </w:rPr>
            </w:pPr>
            <w:r w:rsidRPr="0010784C">
              <w:rPr>
                <w:rFonts w:ascii="Times New Roman" w:hAnsi="Times New Roman" w:cs="Times New Roman"/>
                <w:b/>
                <w:sz w:val="16"/>
                <w:szCs w:val="16"/>
                <w:lang w:val="en-US"/>
              </w:rPr>
              <w:t>Monitoring committee</w:t>
            </w:r>
          </w:p>
        </w:tc>
        <w:tc>
          <w:tcPr>
            <w:tcW w:w="1134" w:type="dxa"/>
            <w:tcBorders>
              <w:top w:val="single" w:sz="4" w:space="0" w:color="auto"/>
              <w:left w:val="single" w:sz="4" w:space="0" w:color="auto"/>
              <w:bottom w:val="single" w:sz="4" w:space="0" w:color="auto"/>
              <w:right w:val="single" w:sz="4" w:space="0" w:color="auto"/>
            </w:tcBorders>
            <w:vAlign w:val="center"/>
            <w:hideMark/>
          </w:tcPr>
          <w:p w:rsidR="00C821BE" w:rsidRPr="0010784C" w:rsidRDefault="00C821BE" w:rsidP="00C821BE">
            <w:pPr>
              <w:autoSpaceDE w:val="0"/>
              <w:autoSpaceDN w:val="0"/>
              <w:adjustRightInd w:val="0"/>
              <w:spacing w:after="0" w:line="240" w:lineRule="auto"/>
              <w:jc w:val="center"/>
              <w:rPr>
                <w:rFonts w:ascii="Times New Roman" w:hAnsi="Times New Roman" w:cs="Times New Roman"/>
                <w:sz w:val="16"/>
                <w:szCs w:val="16"/>
                <w:lang w:val="en-US"/>
              </w:rPr>
            </w:pPr>
            <w:r w:rsidRPr="0010784C">
              <w:rPr>
                <w:rFonts w:ascii="Times New Roman" w:hAnsi="Times New Roman" w:cs="Times New Roman"/>
                <w:sz w:val="16"/>
                <w:szCs w:val="16"/>
                <w:lang w:val="en-US"/>
              </w:rPr>
              <w:t>During each recruitment campaign / Once a year</w:t>
            </w:r>
          </w:p>
        </w:tc>
        <w:tc>
          <w:tcPr>
            <w:tcW w:w="1134"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rsidR="00C821BE" w:rsidRPr="0010784C" w:rsidRDefault="00C821BE" w:rsidP="00C821BE">
            <w:pPr>
              <w:autoSpaceDE w:val="0"/>
              <w:autoSpaceDN w:val="0"/>
              <w:adjustRightInd w:val="0"/>
              <w:spacing w:after="0" w:line="240" w:lineRule="auto"/>
              <w:jc w:val="center"/>
              <w:rPr>
                <w:rFonts w:ascii="Times New Roman" w:hAnsi="Times New Roman" w:cs="Times New Roman"/>
                <w:b/>
                <w:sz w:val="16"/>
                <w:szCs w:val="16"/>
                <w:lang w:val="en-US"/>
              </w:rPr>
            </w:pPr>
            <w:r w:rsidRPr="0010784C">
              <w:rPr>
                <w:rFonts w:ascii="Times New Roman" w:hAnsi="Times New Roman" w:cs="Times New Roman"/>
                <w:b/>
                <w:sz w:val="16"/>
                <w:szCs w:val="16"/>
                <w:lang w:val="en-US"/>
              </w:rPr>
              <w:t>1.5 million</w:t>
            </w:r>
          </w:p>
        </w:tc>
      </w:tr>
      <w:tr w:rsidR="00C821BE" w:rsidRPr="0010784C" w:rsidTr="00C821BE">
        <w:trPr>
          <w:trHeight w:val="134"/>
          <w:jc w:val="center"/>
        </w:trPr>
        <w:tc>
          <w:tcPr>
            <w:tcW w:w="1129"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rsidR="00C821BE" w:rsidRPr="0010784C" w:rsidRDefault="00C821BE" w:rsidP="00C821BE">
            <w:pPr>
              <w:autoSpaceDE w:val="0"/>
              <w:autoSpaceDN w:val="0"/>
              <w:adjustRightInd w:val="0"/>
              <w:spacing w:after="0" w:line="240" w:lineRule="auto"/>
              <w:jc w:val="center"/>
              <w:rPr>
                <w:rFonts w:ascii="Times New Roman" w:hAnsi="Times New Roman" w:cs="Times New Roman"/>
                <w:b/>
                <w:bCs/>
                <w:sz w:val="16"/>
                <w:szCs w:val="16"/>
                <w:lang w:val="en-US"/>
              </w:rPr>
            </w:pPr>
            <w:r w:rsidRPr="0010784C">
              <w:rPr>
                <w:rFonts w:ascii="Times New Roman" w:hAnsi="Times New Roman" w:cs="Times New Roman"/>
                <w:b/>
                <w:bCs/>
                <w:sz w:val="16"/>
                <w:szCs w:val="16"/>
                <w:lang w:val="en-US"/>
              </w:rPr>
              <w:t>Economy</w:t>
            </w:r>
          </w:p>
        </w:tc>
        <w:tc>
          <w:tcPr>
            <w:tcW w:w="2131" w:type="dxa"/>
            <w:tcBorders>
              <w:top w:val="single" w:sz="4" w:space="0" w:color="auto"/>
              <w:left w:val="single" w:sz="4" w:space="0" w:color="auto"/>
              <w:bottom w:val="single" w:sz="4" w:space="0" w:color="auto"/>
              <w:right w:val="single" w:sz="4" w:space="0" w:color="auto"/>
            </w:tcBorders>
            <w:vAlign w:val="center"/>
          </w:tcPr>
          <w:p w:rsidR="00C821BE" w:rsidRPr="0010784C" w:rsidRDefault="00C821BE" w:rsidP="00C821BE">
            <w:pPr>
              <w:autoSpaceDE w:val="0"/>
              <w:autoSpaceDN w:val="0"/>
              <w:adjustRightInd w:val="0"/>
              <w:spacing w:after="0" w:line="240" w:lineRule="auto"/>
              <w:jc w:val="both"/>
              <w:rPr>
                <w:rFonts w:ascii="Times New Roman" w:hAnsi="Times New Roman" w:cs="Times New Roman"/>
                <w:sz w:val="16"/>
                <w:szCs w:val="16"/>
                <w:lang w:val="en-US"/>
              </w:rPr>
            </w:pPr>
            <w:r w:rsidRPr="0010784C">
              <w:rPr>
                <w:rFonts w:ascii="Times New Roman" w:hAnsi="Times New Roman" w:cs="Times New Roman"/>
                <w:sz w:val="16"/>
                <w:szCs w:val="16"/>
                <w:lang w:val="en-US"/>
              </w:rPr>
              <w:t xml:space="preserve">Job creation </w:t>
            </w:r>
          </w:p>
        </w:tc>
        <w:tc>
          <w:tcPr>
            <w:tcW w:w="4673" w:type="dxa"/>
            <w:tcBorders>
              <w:top w:val="single" w:sz="4" w:space="0" w:color="auto"/>
              <w:left w:val="single" w:sz="4" w:space="0" w:color="auto"/>
              <w:bottom w:val="single" w:sz="4" w:space="0" w:color="auto"/>
              <w:right w:val="single" w:sz="4" w:space="0" w:color="auto"/>
            </w:tcBorders>
            <w:vAlign w:val="center"/>
          </w:tcPr>
          <w:p w:rsidR="00C821BE" w:rsidRPr="0010784C" w:rsidRDefault="00C821BE" w:rsidP="00C821BE">
            <w:pPr>
              <w:autoSpaceDE w:val="0"/>
              <w:autoSpaceDN w:val="0"/>
              <w:adjustRightInd w:val="0"/>
              <w:spacing w:after="0" w:line="240" w:lineRule="auto"/>
              <w:jc w:val="both"/>
              <w:rPr>
                <w:rFonts w:ascii="Times New Roman" w:hAnsi="Times New Roman" w:cs="Times New Roman"/>
                <w:sz w:val="16"/>
                <w:szCs w:val="16"/>
                <w:lang w:val="en-US"/>
              </w:rPr>
            </w:pPr>
            <w:r w:rsidRPr="0010784C">
              <w:rPr>
                <w:rFonts w:ascii="Times New Roman" w:hAnsi="Times New Roman" w:cs="Times New Roman"/>
                <w:sz w:val="16"/>
                <w:szCs w:val="16"/>
                <w:lang w:val="en-US"/>
              </w:rPr>
              <w:t>-Creation or support for the development of related to the sale of ice cream by women;</w:t>
            </w:r>
          </w:p>
          <w:p w:rsidR="00C821BE" w:rsidRPr="0010784C" w:rsidRDefault="00C821BE" w:rsidP="00C821BE">
            <w:pPr>
              <w:autoSpaceDE w:val="0"/>
              <w:autoSpaceDN w:val="0"/>
              <w:adjustRightInd w:val="0"/>
              <w:spacing w:after="0" w:line="240" w:lineRule="auto"/>
              <w:jc w:val="both"/>
              <w:rPr>
                <w:rFonts w:ascii="Times New Roman" w:hAnsi="Times New Roman" w:cs="Times New Roman"/>
                <w:sz w:val="16"/>
                <w:szCs w:val="16"/>
                <w:lang w:val="en-US"/>
              </w:rPr>
            </w:pPr>
            <w:r w:rsidRPr="0010784C">
              <w:rPr>
                <w:rFonts w:ascii="Times New Roman" w:hAnsi="Times New Roman" w:cs="Times New Roman"/>
                <w:sz w:val="16"/>
                <w:szCs w:val="16"/>
                <w:lang w:val="en-US"/>
              </w:rPr>
              <w:t>-Increase the number of pay fountains;</w:t>
            </w:r>
          </w:p>
          <w:p w:rsidR="00C821BE" w:rsidRPr="0010784C" w:rsidRDefault="00C821BE" w:rsidP="00C821BE">
            <w:pPr>
              <w:autoSpaceDE w:val="0"/>
              <w:autoSpaceDN w:val="0"/>
              <w:adjustRightInd w:val="0"/>
              <w:spacing w:after="0" w:line="240" w:lineRule="auto"/>
              <w:jc w:val="both"/>
              <w:rPr>
                <w:rFonts w:ascii="Times New Roman" w:hAnsi="Times New Roman" w:cs="Times New Roman"/>
                <w:sz w:val="16"/>
                <w:szCs w:val="16"/>
                <w:lang w:val="en-US"/>
              </w:rPr>
            </w:pPr>
            <w:r w:rsidRPr="0010784C">
              <w:rPr>
                <w:rFonts w:ascii="Times New Roman" w:hAnsi="Times New Roman" w:cs="Times New Roman"/>
                <w:sz w:val="16"/>
                <w:szCs w:val="16"/>
                <w:lang w:val="en-US"/>
              </w:rPr>
              <w:t>-Strengthen women's groups involved in activities related to the sale of water;</w:t>
            </w:r>
          </w:p>
        </w:tc>
        <w:tc>
          <w:tcPr>
            <w:tcW w:w="3402" w:type="dxa"/>
            <w:tcBorders>
              <w:top w:val="single" w:sz="4" w:space="0" w:color="auto"/>
              <w:left w:val="single" w:sz="4" w:space="0" w:color="auto"/>
              <w:bottom w:val="single" w:sz="4" w:space="0" w:color="auto"/>
              <w:right w:val="single" w:sz="4" w:space="0" w:color="auto"/>
            </w:tcBorders>
            <w:vAlign w:val="center"/>
          </w:tcPr>
          <w:p w:rsidR="00C821BE" w:rsidRPr="0010784C" w:rsidRDefault="00C821BE" w:rsidP="00C821BE">
            <w:pPr>
              <w:autoSpaceDE w:val="0"/>
              <w:autoSpaceDN w:val="0"/>
              <w:adjustRightInd w:val="0"/>
              <w:spacing w:after="0" w:line="240" w:lineRule="auto"/>
              <w:jc w:val="both"/>
              <w:rPr>
                <w:rFonts w:ascii="Times New Roman" w:hAnsi="Times New Roman" w:cs="Times New Roman"/>
                <w:sz w:val="16"/>
                <w:szCs w:val="16"/>
                <w:lang w:val="en-US"/>
              </w:rPr>
            </w:pPr>
            <w:r w:rsidRPr="0010784C">
              <w:rPr>
                <w:rFonts w:ascii="Times New Roman" w:hAnsi="Times New Roman" w:cs="Times New Roman"/>
                <w:sz w:val="16"/>
                <w:szCs w:val="16"/>
                <w:lang w:val="en-US"/>
              </w:rPr>
              <w:t>-Number of women supported;</w:t>
            </w:r>
          </w:p>
          <w:p w:rsidR="00C821BE" w:rsidRPr="0010784C" w:rsidRDefault="00C821BE" w:rsidP="00C821BE">
            <w:pPr>
              <w:autoSpaceDE w:val="0"/>
              <w:autoSpaceDN w:val="0"/>
              <w:adjustRightInd w:val="0"/>
              <w:spacing w:after="0" w:line="240" w:lineRule="auto"/>
              <w:jc w:val="both"/>
              <w:rPr>
                <w:rFonts w:ascii="Times New Roman" w:hAnsi="Times New Roman" w:cs="Times New Roman"/>
                <w:sz w:val="16"/>
                <w:szCs w:val="16"/>
                <w:lang w:val="en-US"/>
              </w:rPr>
            </w:pPr>
            <w:r w:rsidRPr="0010784C">
              <w:rPr>
                <w:rFonts w:ascii="Times New Roman" w:hAnsi="Times New Roman" w:cs="Times New Roman"/>
                <w:sz w:val="16"/>
                <w:szCs w:val="16"/>
                <w:lang w:val="en-US"/>
              </w:rPr>
              <w:t>-Number of pay fountains set up;</w:t>
            </w:r>
          </w:p>
          <w:p w:rsidR="00C821BE" w:rsidRPr="0010784C" w:rsidRDefault="00C821BE" w:rsidP="00C821BE">
            <w:pPr>
              <w:autoSpaceDE w:val="0"/>
              <w:autoSpaceDN w:val="0"/>
              <w:adjustRightInd w:val="0"/>
              <w:spacing w:after="0" w:line="240" w:lineRule="auto"/>
              <w:jc w:val="both"/>
              <w:rPr>
                <w:rFonts w:ascii="Times New Roman" w:hAnsi="Times New Roman" w:cs="Times New Roman"/>
                <w:sz w:val="16"/>
                <w:szCs w:val="16"/>
                <w:lang w:val="en-US"/>
              </w:rPr>
            </w:pPr>
            <w:r w:rsidRPr="0010784C">
              <w:rPr>
                <w:rFonts w:ascii="Times New Roman" w:hAnsi="Times New Roman" w:cs="Times New Roman"/>
                <w:sz w:val="16"/>
                <w:szCs w:val="16"/>
                <w:lang w:val="en-US"/>
              </w:rPr>
              <w:t>- Number of reinforced groups;</w:t>
            </w:r>
          </w:p>
          <w:p w:rsidR="00C821BE" w:rsidRPr="0010784C" w:rsidRDefault="00C821BE" w:rsidP="00C821BE">
            <w:pPr>
              <w:autoSpaceDE w:val="0"/>
              <w:autoSpaceDN w:val="0"/>
              <w:adjustRightInd w:val="0"/>
              <w:spacing w:after="0" w:line="240" w:lineRule="auto"/>
              <w:jc w:val="both"/>
              <w:rPr>
                <w:rFonts w:ascii="Times New Roman" w:hAnsi="Times New Roman" w:cs="Times New Roman"/>
                <w:sz w:val="16"/>
                <w:szCs w:val="16"/>
                <w:lang w:val="en-US"/>
              </w:rPr>
            </w:pPr>
          </w:p>
        </w:tc>
        <w:tc>
          <w:tcPr>
            <w:tcW w:w="1276"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C821BE" w:rsidRPr="0010784C" w:rsidRDefault="00C821BE" w:rsidP="00C821BE">
            <w:pPr>
              <w:autoSpaceDE w:val="0"/>
              <w:autoSpaceDN w:val="0"/>
              <w:adjustRightInd w:val="0"/>
              <w:spacing w:after="0" w:line="240" w:lineRule="auto"/>
              <w:jc w:val="center"/>
              <w:rPr>
                <w:rFonts w:ascii="Times New Roman" w:hAnsi="Times New Roman" w:cs="Times New Roman"/>
                <w:b/>
                <w:sz w:val="16"/>
                <w:szCs w:val="16"/>
                <w:lang w:val="en-US"/>
              </w:rPr>
            </w:pPr>
            <w:r w:rsidRPr="0010784C">
              <w:rPr>
                <w:rFonts w:ascii="Times New Roman" w:hAnsi="Times New Roman" w:cs="Times New Roman"/>
                <w:b/>
                <w:sz w:val="16"/>
                <w:szCs w:val="16"/>
                <w:lang w:val="en-US"/>
              </w:rPr>
              <w:t>STATE</w:t>
            </w:r>
          </w:p>
          <w:p w:rsidR="00C821BE" w:rsidRPr="0010784C" w:rsidRDefault="00C821BE" w:rsidP="00C821BE">
            <w:pPr>
              <w:autoSpaceDE w:val="0"/>
              <w:autoSpaceDN w:val="0"/>
              <w:adjustRightInd w:val="0"/>
              <w:spacing w:after="0" w:line="240" w:lineRule="auto"/>
              <w:jc w:val="center"/>
              <w:rPr>
                <w:rFonts w:ascii="Times New Roman" w:hAnsi="Times New Roman" w:cs="Times New Roman"/>
                <w:b/>
                <w:sz w:val="16"/>
                <w:szCs w:val="16"/>
                <w:lang w:val="en-US"/>
              </w:rPr>
            </w:pPr>
            <w:r w:rsidRPr="0010784C">
              <w:rPr>
                <w:rFonts w:ascii="Times New Roman" w:hAnsi="Times New Roman" w:cs="Times New Roman"/>
                <w:b/>
                <w:sz w:val="16"/>
                <w:szCs w:val="16"/>
                <w:lang w:val="en-US"/>
              </w:rPr>
              <w:t>PUASEE-FA</w:t>
            </w:r>
          </w:p>
          <w:p w:rsidR="00C821BE" w:rsidRPr="0010784C" w:rsidRDefault="00C821BE" w:rsidP="00C821BE">
            <w:pPr>
              <w:autoSpaceDE w:val="0"/>
              <w:autoSpaceDN w:val="0"/>
              <w:adjustRightInd w:val="0"/>
              <w:spacing w:after="0" w:line="240" w:lineRule="auto"/>
              <w:jc w:val="center"/>
              <w:rPr>
                <w:rFonts w:ascii="Times New Roman" w:hAnsi="Times New Roman" w:cs="Times New Roman"/>
                <w:b/>
                <w:sz w:val="16"/>
                <w:szCs w:val="16"/>
                <w:lang w:val="en-US"/>
              </w:rPr>
            </w:pPr>
            <w:r w:rsidRPr="0010784C">
              <w:rPr>
                <w:rFonts w:ascii="Times New Roman" w:hAnsi="Times New Roman" w:cs="Times New Roman"/>
                <w:b/>
                <w:sz w:val="16"/>
                <w:szCs w:val="16"/>
                <w:lang w:val="en-US"/>
              </w:rPr>
              <w:t>EAGB</w:t>
            </w:r>
          </w:p>
        </w:tc>
        <w:tc>
          <w:tcPr>
            <w:tcW w:w="1134"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rsidR="00C821BE" w:rsidRPr="0010784C" w:rsidRDefault="00C821BE" w:rsidP="00C821BE">
            <w:pPr>
              <w:autoSpaceDE w:val="0"/>
              <w:autoSpaceDN w:val="0"/>
              <w:adjustRightInd w:val="0"/>
              <w:spacing w:after="0" w:line="240" w:lineRule="auto"/>
              <w:jc w:val="center"/>
              <w:rPr>
                <w:rFonts w:ascii="Times New Roman" w:hAnsi="Times New Roman" w:cs="Times New Roman"/>
                <w:b/>
                <w:sz w:val="16"/>
                <w:szCs w:val="16"/>
                <w:lang w:val="en-US"/>
              </w:rPr>
            </w:pPr>
            <w:r w:rsidRPr="0010784C">
              <w:rPr>
                <w:rFonts w:ascii="Times New Roman" w:hAnsi="Times New Roman" w:cs="Times New Roman"/>
                <w:b/>
                <w:sz w:val="16"/>
                <w:szCs w:val="16"/>
                <w:lang w:val="en-US"/>
              </w:rPr>
              <w:t>Monitoring committee</w:t>
            </w:r>
          </w:p>
        </w:tc>
        <w:tc>
          <w:tcPr>
            <w:tcW w:w="1134" w:type="dxa"/>
            <w:tcBorders>
              <w:top w:val="single" w:sz="4" w:space="0" w:color="auto"/>
              <w:left w:val="single" w:sz="4" w:space="0" w:color="auto"/>
              <w:bottom w:val="single" w:sz="4" w:space="0" w:color="auto"/>
              <w:right w:val="single" w:sz="4" w:space="0" w:color="auto"/>
            </w:tcBorders>
            <w:vAlign w:val="center"/>
            <w:hideMark/>
          </w:tcPr>
          <w:p w:rsidR="00C821BE" w:rsidRPr="0010784C" w:rsidRDefault="00C821BE" w:rsidP="00C821BE">
            <w:pPr>
              <w:autoSpaceDE w:val="0"/>
              <w:autoSpaceDN w:val="0"/>
              <w:adjustRightInd w:val="0"/>
              <w:spacing w:after="0" w:line="240" w:lineRule="auto"/>
              <w:jc w:val="center"/>
              <w:rPr>
                <w:rFonts w:ascii="Times New Roman" w:hAnsi="Times New Roman" w:cs="Times New Roman"/>
                <w:sz w:val="16"/>
                <w:szCs w:val="16"/>
                <w:lang w:val="en-US"/>
              </w:rPr>
            </w:pPr>
            <w:r w:rsidRPr="0010784C">
              <w:rPr>
                <w:rFonts w:ascii="Times New Roman" w:hAnsi="Times New Roman" w:cs="Times New Roman"/>
                <w:sz w:val="16"/>
                <w:szCs w:val="16"/>
                <w:lang w:val="en-US"/>
              </w:rPr>
              <w:t>During operation / Once a year</w:t>
            </w:r>
          </w:p>
        </w:tc>
        <w:tc>
          <w:tcPr>
            <w:tcW w:w="1134"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rsidR="00C821BE" w:rsidRPr="0010784C" w:rsidRDefault="00C821BE" w:rsidP="00C821BE">
            <w:pPr>
              <w:autoSpaceDE w:val="0"/>
              <w:autoSpaceDN w:val="0"/>
              <w:adjustRightInd w:val="0"/>
              <w:spacing w:after="0" w:line="240" w:lineRule="auto"/>
              <w:jc w:val="center"/>
              <w:rPr>
                <w:rFonts w:ascii="Times New Roman" w:hAnsi="Times New Roman" w:cs="Times New Roman"/>
                <w:b/>
                <w:sz w:val="16"/>
                <w:szCs w:val="16"/>
                <w:lang w:val="en-US"/>
              </w:rPr>
            </w:pPr>
            <w:r w:rsidRPr="0010784C">
              <w:rPr>
                <w:rFonts w:ascii="Times New Roman" w:hAnsi="Times New Roman" w:cs="Times New Roman"/>
                <w:b/>
                <w:sz w:val="16"/>
                <w:szCs w:val="16"/>
                <w:lang w:val="en-US"/>
              </w:rPr>
              <w:t>5,000,000</w:t>
            </w:r>
          </w:p>
        </w:tc>
      </w:tr>
      <w:tr w:rsidR="00C821BE" w:rsidRPr="0010784C" w:rsidTr="00C821BE">
        <w:trPr>
          <w:trHeight w:val="134"/>
          <w:jc w:val="center"/>
        </w:trPr>
        <w:tc>
          <w:tcPr>
            <w:tcW w:w="1129"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rsidR="00C821BE" w:rsidRPr="0010784C" w:rsidRDefault="00C821BE" w:rsidP="00C821BE">
            <w:pPr>
              <w:autoSpaceDE w:val="0"/>
              <w:autoSpaceDN w:val="0"/>
              <w:adjustRightInd w:val="0"/>
              <w:spacing w:after="0" w:line="240" w:lineRule="auto"/>
              <w:jc w:val="center"/>
              <w:rPr>
                <w:rFonts w:ascii="Times New Roman" w:hAnsi="Times New Roman" w:cs="Times New Roman"/>
                <w:b/>
                <w:bCs/>
                <w:sz w:val="16"/>
                <w:szCs w:val="16"/>
                <w:lang w:val="en-US"/>
              </w:rPr>
            </w:pPr>
            <w:r w:rsidRPr="0010784C">
              <w:rPr>
                <w:rFonts w:ascii="Times New Roman" w:hAnsi="Times New Roman" w:cs="Times New Roman"/>
                <w:b/>
                <w:bCs/>
                <w:sz w:val="16"/>
                <w:szCs w:val="16"/>
                <w:lang w:val="en-US"/>
              </w:rPr>
              <w:t>Human</w:t>
            </w:r>
          </w:p>
        </w:tc>
        <w:tc>
          <w:tcPr>
            <w:tcW w:w="2131" w:type="dxa"/>
            <w:tcBorders>
              <w:top w:val="single" w:sz="4" w:space="0" w:color="auto"/>
              <w:left w:val="single" w:sz="4" w:space="0" w:color="auto"/>
              <w:bottom w:val="single" w:sz="4" w:space="0" w:color="auto"/>
              <w:right w:val="single" w:sz="4" w:space="0" w:color="auto"/>
            </w:tcBorders>
            <w:vAlign w:val="center"/>
          </w:tcPr>
          <w:p w:rsidR="00C821BE" w:rsidRPr="0010784C" w:rsidRDefault="00C821BE" w:rsidP="00C821BE">
            <w:pPr>
              <w:autoSpaceDE w:val="0"/>
              <w:autoSpaceDN w:val="0"/>
              <w:adjustRightInd w:val="0"/>
              <w:spacing w:after="0" w:line="240" w:lineRule="auto"/>
              <w:jc w:val="both"/>
              <w:rPr>
                <w:rFonts w:ascii="Times New Roman" w:hAnsi="Times New Roman" w:cs="Times New Roman"/>
                <w:sz w:val="16"/>
                <w:szCs w:val="16"/>
                <w:lang w:val="en-US"/>
              </w:rPr>
            </w:pPr>
            <w:r w:rsidRPr="0010784C">
              <w:rPr>
                <w:rFonts w:ascii="Times New Roman" w:hAnsi="Times New Roman" w:cs="Times New Roman"/>
                <w:sz w:val="16"/>
                <w:szCs w:val="16"/>
                <w:lang w:val="en-US"/>
              </w:rPr>
              <w:t>Better coverage of portable water access in served areas</w:t>
            </w:r>
          </w:p>
        </w:tc>
        <w:tc>
          <w:tcPr>
            <w:tcW w:w="4673" w:type="dxa"/>
            <w:tcBorders>
              <w:top w:val="single" w:sz="4" w:space="0" w:color="auto"/>
              <w:left w:val="single" w:sz="4" w:space="0" w:color="auto"/>
              <w:bottom w:val="single" w:sz="4" w:space="0" w:color="auto"/>
              <w:right w:val="single" w:sz="4" w:space="0" w:color="auto"/>
            </w:tcBorders>
            <w:vAlign w:val="center"/>
          </w:tcPr>
          <w:p w:rsidR="00C821BE" w:rsidRPr="0010784C" w:rsidRDefault="00C821BE" w:rsidP="00C821BE">
            <w:pPr>
              <w:autoSpaceDE w:val="0"/>
              <w:autoSpaceDN w:val="0"/>
              <w:adjustRightInd w:val="0"/>
              <w:spacing w:after="0" w:line="240" w:lineRule="auto"/>
              <w:jc w:val="both"/>
              <w:rPr>
                <w:rFonts w:ascii="Times New Roman" w:hAnsi="Times New Roman" w:cs="Times New Roman"/>
                <w:sz w:val="16"/>
                <w:szCs w:val="16"/>
                <w:lang w:val="en-US"/>
              </w:rPr>
            </w:pPr>
            <w:r w:rsidRPr="0010784C">
              <w:rPr>
                <w:rFonts w:ascii="Times New Roman" w:hAnsi="Times New Roman" w:cs="Times New Roman"/>
                <w:sz w:val="16"/>
                <w:szCs w:val="16"/>
                <w:lang w:val="en-US"/>
              </w:rPr>
              <w:t>-Reduce taxes to private operators to facilitate coverage of areas served with drinking water;</w:t>
            </w:r>
          </w:p>
          <w:p w:rsidR="00C821BE" w:rsidRPr="0010784C" w:rsidRDefault="00C821BE" w:rsidP="00C821BE">
            <w:pPr>
              <w:autoSpaceDE w:val="0"/>
              <w:autoSpaceDN w:val="0"/>
              <w:adjustRightInd w:val="0"/>
              <w:spacing w:after="0" w:line="240" w:lineRule="auto"/>
              <w:jc w:val="both"/>
              <w:rPr>
                <w:rFonts w:ascii="Times New Roman" w:hAnsi="Times New Roman" w:cs="Times New Roman"/>
                <w:sz w:val="16"/>
                <w:szCs w:val="16"/>
                <w:lang w:val="en-US"/>
              </w:rPr>
            </w:pPr>
            <w:r w:rsidRPr="0010784C">
              <w:rPr>
                <w:rFonts w:ascii="Times New Roman" w:hAnsi="Times New Roman" w:cs="Times New Roman"/>
                <w:sz w:val="16"/>
                <w:szCs w:val="16"/>
                <w:lang w:val="en-US"/>
              </w:rPr>
              <w:t>-Support private operators to cover as many areas as possible;</w:t>
            </w:r>
          </w:p>
        </w:tc>
        <w:tc>
          <w:tcPr>
            <w:tcW w:w="3402" w:type="dxa"/>
            <w:tcBorders>
              <w:top w:val="single" w:sz="4" w:space="0" w:color="auto"/>
              <w:left w:val="single" w:sz="4" w:space="0" w:color="auto"/>
              <w:bottom w:val="single" w:sz="4" w:space="0" w:color="auto"/>
              <w:right w:val="single" w:sz="4" w:space="0" w:color="auto"/>
            </w:tcBorders>
            <w:vAlign w:val="center"/>
          </w:tcPr>
          <w:p w:rsidR="00C821BE" w:rsidRPr="0010784C" w:rsidRDefault="00C821BE" w:rsidP="00C821BE">
            <w:pPr>
              <w:autoSpaceDE w:val="0"/>
              <w:autoSpaceDN w:val="0"/>
              <w:adjustRightInd w:val="0"/>
              <w:spacing w:after="0" w:line="240" w:lineRule="auto"/>
              <w:jc w:val="both"/>
              <w:rPr>
                <w:rFonts w:ascii="Times New Roman" w:hAnsi="Times New Roman" w:cs="Times New Roman"/>
                <w:sz w:val="16"/>
                <w:szCs w:val="16"/>
                <w:lang w:val="en-US"/>
              </w:rPr>
            </w:pPr>
            <w:r w:rsidRPr="0010784C">
              <w:rPr>
                <w:rFonts w:ascii="Times New Roman" w:hAnsi="Times New Roman" w:cs="Times New Roman"/>
                <w:sz w:val="16"/>
                <w:szCs w:val="16"/>
                <w:lang w:val="en-US"/>
              </w:rPr>
              <w:t xml:space="preserve">-Implantation of new private operators in the country </w:t>
            </w:r>
          </w:p>
          <w:p w:rsidR="00C821BE" w:rsidRPr="0010784C" w:rsidRDefault="00C821BE" w:rsidP="00C821BE">
            <w:pPr>
              <w:autoSpaceDE w:val="0"/>
              <w:autoSpaceDN w:val="0"/>
              <w:adjustRightInd w:val="0"/>
              <w:spacing w:after="0" w:line="240" w:lineRule="auto"/>
              <w:jc w:val="both"/>
              <w:rPr>
                <w:rFonts w:ascii="Times New Roman" w:hAnsi="Times New Roman" w:cs="Times New Roman"/>
                <w:sz w:val="16"/>
                <w:szCs w:val="16"/>
                <w:lang w:val="en-US"/>
              </w:rPr>
            </w:pPr>
            <w:r w:rsidRPr="0010784C">
              <w:rPr>
                <w:rFonts w:ascii="Times New Roman" w:hAnsi="Times New Roman" w:cs="Times New Roman"/>
                <w:sz w:val="16"/>
                <w:szCs w:val="16"/>
                <w:lang w:val="en-US"/>
              </w:rPr>
              <w:t xml:space="preserve">-Presence of reservoir in isolated areas </w:t>
            </w:r>
          </w:p>
        </w:tc>
        <w:tc>
          <w:tcPr>
            <w:tcW w:w="1276"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rsidR="00C821BE" w:rsidRPr="0010784C" w:rsidRDefault="00C821BE" w:rsidP="00C821BE">
            <w:pPr>
              <w:autoSpaceDE w:val="0"/>
              <w:autoSpaceDN w:val="0"/>
              <w:adjustRightInd w:val="0"/>
              <w:spacing w:after="0" w:line="240" w:lineRule="auto"/>
              <w:jc w:val="center"/>
              <w:rPr>
                <w:rFonts w:ascii="Times New Roman" w:hAnsi="Times New Roman" w:cs="Times New Roman"/>
                <w:b/>
                <w:sz w:val="16"/>
                <w:szCs w:val="16"/>
                <w:lang w:val="en-US"/>
              </w:rPr>
            </w:pPr>
            <w:r w:rsidRPr="0010784C">
              <w:rPr>
                <w:rFonts w:ascii="Times New Roman" w:hAnsi="Times New Roman" w:cs="Times New Roman"/>
                <w:b/>
                <w:sz w:val="16"/>
                <w:szCs w:val="16"/>
                <w:lang w:val="en-US"/>
              </w:rPr>
              <w:t>STATE</w:t>
            </w:r>
          </w:p>
          <w:p w:rsidR="00C821BE" w:rsidRPr="0010784C" w:rsidRDefault="00C821BE" w:rsidP="00C821BE">
            <w:pPr>
              <w:autoSpaceDE w:val="0"/>
              <w:autoSpaceDN w:val="0"/>
              <w:adjustRightInd w:val="0"/>
              <w:spacing w:after="0" w:line="240" w:lineRule="auto"/>
              <w:jc w:val="center"/>
              <w:rPr>
                <w:rFonts w:ascii="Times New Roman" w:hAnsi="Times New Roman" w:cs="Times New Roman"/>
                <w:b/>
                <w:sz w:val="16"/>
                <w:szCs w:val="16"/>
                <w:lang w:val="en-US"/>
              </w:rPr>
            </w:pPr>
            <w:r w:rsidRPr="0010784C">
              <w:rPr>
                <w:rFonts w:ascii="Times New Roman" w:hAnsi="Times New Roman" w:cs="Times New Roman"/>
                <w:b/>
                <w:sz w:val="16"/>
                <w:szCs w:val="16"/>
                <w:lang w:val="en-US"/>
              </w:rPr>
              <w:t>PUASEE-FA</w:t>
            </w:r>
          </w:p>
        </w:tc>
        <w:tc>
          <w:tcPr>
            <w:tcW w:w="1134"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rsidR="00C821BE" w:rsidRPr="0010784C" w:rsidRDefault="00C821BE" w:rsidP="00C821BE">
            <w:pPr>
              <w:autoSpaceDE w:val="0"/>
              <w:autoSpaceDN w:val="0"/>
              <w:adjustRightInd w:val="0"/>
              <w:spacing w:after="0" w:line="240" w:lineRule="auto"/>
              <w:jc w:val="center"/>
              <w:rPr>
                <w:rFonts w:ascii="Times New Roman" w:hAnsi="Times New Roman" w:cs="Times New Roman"/>
                <w:b/>
                <w:sz w:val="16"/>
                <w:szCs w:val="16"/>
                <w:lang w:val="en-US"/>
              </w:rPr>
            </w:pPr>
            <w:r w:rsidRPr="0010784C">
              <w:rPr>
                <w:rFonts w:ascii="Times New Roman" w:hAnsi="Times New Roman" w:cs="Times New Roman"/>
                <w:b/>
                <w:sz w:val="16"/>
                <w:szCs w:val="16"/>
                <w:lang w:val="en-US"/>
              </w:rPr>
              <w:t>Monitoring committee</w:t>
            </w:r>
          </w:p>
        </w:tc>
        <w:tc>
          <w:tcPr>
            <w:tcW w:w="1134" w:type="dxa"/>
            <w:tcBorders>
              <w:top w:val="single" w:sz="4" w:space="0" w:color="auto"/>
              <w:left w:val="single" w:sz="4" w:space="0" w:color="auto"/>
              <w:bottom w:val="single" w:sz="4" w:space="0" w:color="auto"/>
              <w:right w:val="single" w:sz="4" w:space="0" w:color="auto"/>
            </w:tcBorders>
            <w:vAlign w:val="center"/>
            <w:hideMark/>
          </w:tcPr>
          <w:p w:rsidR="00C821BE" w:rsidRPr="0010784C" w:rsidRDefault="00C821BE" w:rsidP="00C821BE">
            <w:pPr>
              <w:autoSpaceDE w:val="0"/>
              <w:autoSpaceDN w:val="0"/>
              <w:adjustRightInd w:val="0"/>
              <w:spacing w:after="0" w:line="240" w:lineRule="auto"/>
              <w:jc w:val="center"/>
              <w:rPr>
                <w:rFonts w:ascii="Times New Roman" w:hAnsi="Times New Roman" w:cs="Times New Roman"/>
                <w:sz w:val="16"/>
                <w:szCs w:val="16"/>
                <w:lang w:val="en-US"/>
              </w:rPr>
            </w:pPr>
            <w:r w:rsidRPr="0010784C">
              <w:rPr>
                <w:rFonts w:ascii="Times New Roman" w:hAnsi="Times New Roman" w:cs="Times New Roman"/>
                <w:sz w:val="16"/>
                <w:szCs w:val="16"/>
                <w:lang w:val="en-US"/>
              </w:rPr>
              <w:t>During operation / Once a year</w:t>
            </w:r>
          </w:p>
        </w:tc>
        <w:tc>
          <w:tcPr>
            <w:tcW w:w="1134"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rsidR="00C821BE" w:rsidRPr="0010784C" w:rsidRDefault="00C821BE" w:rsidP="00C821BE">
            <w:pPr>
              <w:autoSpaceDE w:val="0"/>
              <w:autoSpaceDN w:val="0"/>
              <w:adjustRightInd w:val="0"/>
              <w:spacing w:after="0" w:line="240" w:lineRule="auto"/>
              <w:jc w:val="center"/>
              <w:rPr>
                <w:rFonts w:ascii="Times New Roman" w:hAnsi="Times New Roman" w:cs="Times New Roman"/>
                <w:b/>
                <w:sz w:val="16"/>
                <w:szCs w:val="16"/>
                <w:lang w:val="en-US"/>
              </w:rPr>
            </w:pPr>
            <w:r w:rsidRPr="0010784C">
              <w:rPr>
                <w:rFonts w:ascii="Times New Roman" w:hAnsi="Times New Roman" w:cs="Times New Roman"/>
                <w:b/>
                <w:sz w:val="16"/>
                <w:szCs w:val="16"/>
                <w:lang w:val="en-US"/>
              </w:rPr>
              <w:t>3,000,000</w:t>
            </w:r>
          </w:p>
        </w:tc>
      </w:tr>
      <w:tr w:rsidR="00C821BE" w:rsidRPr="0010784C" w:rsidTr="00C821BE">
        <w:trPr>
          <w:trHeight w:val="417"/>
          <w:jc w:val="center"/>
        </w:trPr>
        <w:tc>
          <w:tcPr>
            <w:tcW w:w="1129" w:type="dxa"/>
            <w:tcBorders>
              <w:top w:val="single" w:sz="4" w:space="0" w:color="auto"/>
              <w:left w:val="single" w:sz="4" w:space="0" w:color="auto"/>
              <w:right w:val="single" w:sz="4" w:space="0" w:color="auto"/>
            </w:tcBorders>
            <w:shd w:val="clear" w:color="auto" w:fill="BDD6EE" w:themeFill="accent1" w:themeFillTint="66"/>
            <w:vAlign w:val="center"/>
          </w:tcPr>
          <w:p w:rsidR="00C821BE" w:rsidRPr="0010784C" w:rsidRDefault="00C821BE" w:rsidP="00C821BE">
            <w:pPr>
              <w:autoSpaceDE w:val="0"/>
              <w:autoSpaceDN w:val="0"/>
              <w:adjustRightInd w:val="0"/>
              <w:spacing w:after="0" w:line="240" w:lineRule="auto"/>
              <w:jc w:val="center"/>
              <w:rPr>
                <w:rFonts w:ascii="Times New Roman" w:hAnsi="Times New Roman" w:cs="Times New Roman"/>
                <w:b/>
                <w:bCs/>
                <w:sz w:val="16"/>
                <w:szCs w:val="16"/>
                <w:lang w:val="en-US"/>
              </w:rPr>
            </w:pPr>
            <w:r w:rsidRPr="0010784C">
              <w:rPr>
                <w:rFonts w:ascii="Times New Roman" w:hAnsi="Times New Roman" w:cs="Times New Roman"/>
                <w:b/>
                <w:bCs/>
                <w:sz w:val="16"/>
                <w:szCs w:val="16"/>
                <w:lang w:val="en-US"/>
              </w:rPr>
              <w:t>EAGB</w:t>
            </w:r>
          </w:p>
        </w:tc>
        <w:tc>
          <w:tcPr>
            <w:tcW w:w="2131" w:type="dxa"/>
            <w:tcBorders>
              <w:top w:val="single" w:sz="4" w:space="0" w:color="auto"/>
              <w:left w:val="single" w:sz="4" w:space="0" w:color="auto"/>
              <w:bottom w:val="single" w:sz="4" w:space="0" w:color="auto"/>
              <w:right w:val="single" w:sz="4" w:space="0" w:color="auto"/>
            </w:tcBorders>
            <w:vAlign w:val="center"/>
          </w:tcPr>
          <w:p w:rsidR="00C821BE" w:rsidRPr="0010784C" w:rsidRDefault="00C821BE" w:rsidP="00C821BE">
            <w:pPr>
              <w:autoSpaceDE w:val="0"/>
              <w:autoSpaceDN w:val="0"/>
              <w:adjustRightInd w:val="0"/>
              <w:spacing w:after="0" w:line="240" w:lineRule="auto"/>
              <w:jc w:val="both"/>
              <w:rPr>
                <w:rFonts w:ascii="Times New Roman" w:hAnsi="Times New Roman" w:cs="Times New Roman"/>
                <w:sz w:val="16"/>
                <w:szCs w:val="16"/>
                <w:lang w:val="en-US"/>
              </w:rPr>
            </w:pPr>
            <w:r w:rsidRPr="0010784C">
              <w:rPr>
                <w:rFonts w:ascii="Times New Roman" w:hAnsi="Times New Roman" w:cs="Times New Roman"/>
                <w:sz w:val="16"/>
                <w:szCs w:val="16"/>
                <w:lang w:val="en-US"/>
              </w:rPr>
              <w:t>Improved EAGB performance</w:t>
            </w:r>
          </w:p>
        </w:tc>
        <w:tc>
          <w:tcPr>
            <w:tcW w:w="4673" w:type="dxa"/>
            <w:tcBorders>
              <w:top w:val="single" w:sz="4" w:space="0" w:color="auto"/>
              <w:left w:val="single" w:sz="4" w:space="0" w:color="auto"/>
              <w:bottom w:val="single" w:sz="4" w:space="0" w:color="auto"/>
              <w:right w:val="single" w:sz="4" w:space="0" w:color="auto"/>
            </w:tcBorders>
            <w:vAlign w:val="center"/>
          </w:tcPr>
          <w:p w:rsidR="00C821BE" w:rsidRPr="0010784C" w:rsidRDefault="00C821BE" w:rsidP="00C821BE">
            <w:pPr>
              <w:autoSpaceDE w:val="0"/>
              <w:autoSpaceDN w:val="0"/>
              <w:adjustRightInd w:val="0"/>
              <w:spacing w:after="0" w:line="240" w:lineRule="auto"/>
              <w:jc w:val="both"/>
              <w:rPr>
                <w:rFonts w:ascii="Times New Roman" w:hAnsi="Times New Roman" w:cs="Times New Roman"/>
                <w:sz w:val="16"/>
                <w:szCs w:val="16"/>
                <w:lang w:val="en-US"/>
              </w:rPr>
            </w:pPr>
            <w:r w:rsidRPr="0010784C">
              <w:rPr>
                <w:rFonts w:ascii="Times New Roman" w:hAnsi="Times New Roman" w:cs="Times New Roman"/>
                <w:sz w:val="16"/>
                <w:szCs w:val="16"/>
                <w:lang w:val="en-US"/>
              </w:rPr>
              <w:t>-Strengthen, supervise, train the EAGB in terms of performance,</w:t>
            </w:r>
            <w:r w:rsidRPr="0010784C">
              <w:rPr>
                <w:rFonts w:ascii="Times New Roman" w:hAnsi="Times New Roman" w:cs="Times New Roman"/>
                <w:color w:val="000000"/>
                <w:sz w:val="16"/>
                <w:szCs w:val="16"/>
                <w:lang w:val="en-US"/>
              </w:rPr>
              <w:t xml:space="preserve"> performance, effectiveness, efficiency, profitability, control of investments and maximization of return;</w:t>
            </w:r>
          </w:p>
        </w:tc>
        <w:tc>
          <w:tcPr>
            <w:tcW w:w="3402" w:type="dxa"/>
            <w:tcBorders>
              <w:top w:val="single" w:sz="4" w:space="0" w:color="auto"/>
              <w:left w:val="single" w:sz="4" w:space="0" w:color="auto"/>
              <w:bottom w:val="single" w:sz="4" w:space="0" w:color="auto"/>
              <w:right w:val="single" w:sz="4" w:space="0" w:color="auto"/>
            </w:tcBorders>
            <w:vAlign w:val="center"/>
          </w:tcPr>
          <w:p w:rsidR="00C821BE" w:rsidRPr="0010784C" w:rsidRDefault="00C821BE" w:rsidP="00C821BE">
            <w:pPr>
              <w:autoSpaceDE w:val="0"/>
              <w:autoSpaceDN w:val="0"/>
              <w:adjustRightInd w:val="0"/>
              <w:spacing w:after="0" w:line="240" w:lineRule="auto"/>
              <w:jc w:val="both"/>
              <w:rPr>
                <w:rFonts w:ascii="Times New Roman" w:hAnsi="Times New Roman" w:cs="Times New Roman"/>
                <w:sz w:val="16"/>
                <w:szCs w:val="16"/>
                <w:lang w:val="en-US"/>
              </w:rPr>
            </w:pPr>
            <w:r w:rsidRPr="0010784C">
              <w:rPr>
                <w:rFonts w:ascii="Times New Roman" w:hAnsi="Times New Roman" w:cs="Times New Roman"/>
                <w:sz w:val="16"/>
                <w:szCs w:val="16"/>
                <w:lang w:val="en-US"/>
              </w:rPr>
              <w:t>- Number of people trained, supervised, reinforced at EAGB level;</w:t>
            </w:r>
          </w:p>
        </w:tc>
        <w:tc>
          <w:tcPr>
            <w:tcW w:w="1276"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C821BE" w:rsidRPr="0010784C" w:rsidRDefault="00C821BE" w:rsidP="00C821BE">
            <w:pPr>
              <w:autoSpaceDE w:val="0"/>
              <w:autoSpaceDN w:val="0"/>
              <w:adjustRightInd w:val="0"/>
              <w:spacing w:after="0" w:line="240" w:lineRule="auto"/>
              <w:jc w:val="center"/>
              <w:rPr>
                <w:rFonts w:ascii="Times New Roman" w:hAnsi="Times New Roman" w:cs="Times New Roman"/>
                <w:b/>
                <w:sz w:val="16"/>
                <w:szCs w:val="16"/>
                <w:lang w:val="en-US"/>
              </w:rPr>
            </w:pPr>
            <w:r w:rsidRPr="0010784C">
              <w:rPr>
                <w:rFonts w:ascii="Times New Roman" w:hAnsi="Times New Roman" w:cs="Times New Roman"/>
                <w:b/>
                <w:sz w:val="16"/>
                <w:szCs w:val="16"/>
                <w:lang w:val="en-US"/>
              </w:rPr>
              <w:t xml:space="preserve"> STATE</w:t>
            </w:r>
          </w:p>
          <w:p w:rsidR="00C821BE" w:rsidRPr="0010784C" w:rsidRDefault="00C821BE" w:rsidP="00C821BE">
            <w:pPr>
              <w:autoSpaceDE w:val="0"/>
              <w:autoSpaceDN w:val="0"/>
              <w:adjustRightInd w:val="0"/>
              <w:spacing w:after="0" w:line="240" w:lineRule="auto"/>
              <w:jc w:val="center"/>
              <w:rPr>
                <w:rFonts w:ascii="Times New Roman" w:hAnsi="Times New Roman" w:cs="Times New Roman"/>
                <w:b/>
                <w:sz w:val="16"/>
                <w:szCs w:val="16"/>
                <w:lang w:val="en-US"/>
              </w:rPr>
            </w:pPr>
            <w:r w:rsidRPr="0010784C">
              <w:rPr>
                <w:rFonts w:ascii="Times New Roman" w:hAnsi="Times New Roman" w:cs="Times New Roman"/>
                <w:b/>
                <w:sz w:val="16"/>
                <w:szCs w:val="16"/>
                <w:lang w:val="en-US"/>
              </w:rPr>
              <w:t>PUASEE-FA</w:t>
            </w:r>
          </w:p>
        </w:tc>
        <w:tc>
          <w:tcPr>
            <w:tcW w:w="1134"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C821BE" w:rsidRPr="0010784C" w:rsidRDefault="00C821BE" w:rsidP="00C821BE">
            <w:pPr>
              <w:autoSpaceDE w:val="0"/>
              <w:autoSpaceDN w:val="0"/>
              <w:adjustRightInd w:val="0"/>
              <w:spacing w:after="0" w:line="240" w:lineRule="auto"/>
              <w:jc w:val="center"/>
              <w:rPr>
                <w:rFonts w:ascii="Times New Roman" w:hAnsi="Times New Roman" w:cs="Times New Roman"/>
                <w:b/>
                <w:sz w:val="16"/>
                <w:szCs w:val="16"/>
                <w:lang w:val="en-US"/>
              </w:rPr>
            </w:pPr>
            <w:r w:rsidRPr="0010784C">
              <w:rPr>
                <w:rFonts w:ascii="Times New Roman" w:hAnsi="Times New Roman" w:cs="Times New Roman"/>
                <w:b/>
                <w:sz w:val="16"/>
                <w:szCs w:val="16"/>
                <w:lang w:val="en-US"/>
              </w:rPr>
              <w:t>Monitoring committee</w:t>
            </w:r>
          </w:p>
        </w:tc>
        <w:tc>
          <w:tcPr>
            <w:tcW w:w="1134" w:type="dxa"/>
            <w:tcBorders>
              <w:top w:val="single" w:sz="4" w:space="0" w:color="auto"/>
              <w:left w:val="single" w:sz="4" w:space="0" w:color="auto"/>
              <w:bottom w:val="single" w:sz="4" w:space="0" w:color="auto"/>
              <w:right w:val="single" w:sz="4" w:space="0" w:color="auto"/>
            </w:tcBorders>
            <w:vAlign w:val="center"/>
          </w:tcPr>
          <w:p w:rsidR="00C821BE" w:rsidRPr="0010784C" w:rsidRDefault="00C821BE" w:rsidP="00C821BE">
            <w:pPr>
              <w:autoSpaceDE w:val="0"/>
              <w:autoSpaceDN w:val="0"/>
              <w:adjustRightInd w:val="0"/>
              <w:spacing w:after="0" w:line="240" w:lineRule="auto"/>
              <w:jc w:val="center"/>
              <w:rPr>
                <w:rFonts w:ascii="Times New Roman" w:hAnsi="Times New Roman" w:cs="Times New Roman"/>
                <w:sz w:val="16"/>
                <w:szCs w:val="16"/>
                <w:lang w:val="en-US"/>
              </w:rPr>
            </w:pPr>
            <w:r w:rsidRPr="0010784C">
              <w:rPr>
                <w:rFonts w:ascii="Times New Roman" w:hAnsi="Times New Roman" w:cs="Times New Roman"/>
                <w:sz w:val="16"/>
                <w:szCs w:val="16"/>
                <w:lang w:val="en-US"/>
              </w:rPr>
              <w:t xml:space="preserve">During operation </w:t>
            </w:r>
          </w:p>
          <w:p w:rsidR="00C821BE" w:rsidRPr="0010784C" w:rsidRDefault="00C821BE" w:rsidP="00C821BE">
            <w:pPr>
              <w:autoSpaceDE w:val="0"/>
              <w:autoSpaceDN w:val="0"/>
              <w:adjustRightInd w:val="0"/>
              <w:spacing w:after="0" w:line="240" w:lineRule="auto"/>
              <w:jc w:val="center"/>
              <w:rPr>
                <w:rFonts w:ascii="Times New Roman" w:hAnsi="Times New Roman" w:cs="Times New Roman"/>
                <w:sz w:val="16"/>
                <w:szCs w:val="16"/>
                <w:lang w:val="en-US"/>
              </w:rPr>
            </w:pPr>
            <w:r w:rsidRPr="0010784C">
              <w:rPr>
                <w:rFonts w:ascii="Times New Roman" w:hAnsi="Times New Roman" w:cs="Times New Roman"/>
                <w:sz w:val="16"/>
                <w:szCs w:val="16"/>
                <w:lang w:val="en-US"/>
              </w:rPr>
              <w:t>/Once a year</w:t>
            </w:r>
          </w:p>
        </w:tc>
        <w:tc>
          <w:tcPr>
            <w:tcW w:w="1134"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rsidR="00C821BE" w:rsidRPr="0010784C" w:rsidRDefault="00C821BE" w:rsidP="00C821BE">
            <w:pPr>
              <w:autoSpaceDE w:val="0"/>
              <w:autoSpaceDN w:val="0"/>
              <w:adjustRightInd w:val="0"/>
              <w:spacing w:after="0" w:line="240" w:lineRule="auto"/>
              <w:jc w:val="center"/>
              <w:rPr>
                <w:rFonts w:ascii="Times New Roman" w:hAnsi="Times New Roman" w:cs="Times New Roman"/>
                <w:b/>
                <w:sz w:val="16"/>
                <w:szCs w:val="16"/>
                <w:lang w:val="en-US"/>
              </w:rPr>
            </w:pPr>
            <w:r w:rsidRPr="0010784C">
              <w:rPr>
                <w:rFonts w:ascii="Times New Roman" w:hAnsi="Times New Roman" w:cs="Times New Roman"/>
                <w:b/>
                <w:sz w:val="16"/>
                <w:szCs w:val="16"/>
                <w:lang w:val="en-US"/>
              </w:rPr>
              <w:t>2,500,000</w:t>
            </w:r>
          </w:p>
        </w:tc>
      </w:tr>
      <w:tr w:rsidR="00C821BE" w:rsidRPr="0010784C" w:rsidTr="00C821BE">
        <w:trPr>
          <w:trHeight w:val="134"/>
          <w:jc w:val="center"/>
        </w:trPr>
        <w:tc>
          <w:tcPr>
            <w:tcW w:w="14879" w:type="dxa"/>
            <w:gridSpan w:val="7"/>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rsidR="00C821BE" w:rsidRPr="0010784C" w:rsidRDefault="00C821BE" w:rsidP="00C821BE">
            <w:pPr>
              <w:autoSpaceDE w:val="0"/>
              <w:autoSpaceDN w:val="0"/>
              <w:adjustRightInd w:val="0"/>
              <w:spacing w:after="0" w:line="240" w:lineRule="auto"/>
              <w:jc w:val="center"/>
              <w:rPr>
                <w:rFonts w:ascii="Times New Roman" w:hAnsi="Times New Roman" w:cs="Times New Roman"/>
                <w:b/>
                <w:bCs/>
                <w:sz w:val="16"/>
                <w:szCs w:val="16"/>
                <w:lang w:val="en-US"/>
              </w:rPr>
            </w:pPr>
            <w:r w:rsidRPr="0010784C">
              <w:rPr>
                <w:rFonts w:ascii="Times New Roman" w:hAnsi="Times New Roman" w:cs="Times New Roman"/>
                <w:b/>
                <w:bCs/>
                <w:sz w:val="16"/>
                <w:szCs w:val="16"/>
                <w:lang w:val="en-US"/>
              </w:rPr>
              <w:t>SUB TOTAL 1</w:t>
            </w:r>
          </w:p>
        </w:tc>
        <w:tc>
          <w:tcPr>
            <w:tcW w:w="1134"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rsidR="00C821BE" w:rsidRPr="0010784C" w:rsidRDefault="00C821BE" w:rsidP="00C821BE">
            <w:pPr>
              <w:autoSpaceDE w:val="0"/>
              <w:autoSpaceDN w:val="0"/>
              <w:adjustRightInd w:val="0"/>
              <w:spacing w:after="0" w:line="240" w:lineRule="auto"/>
              <w:jc w:val="center"/>
              <w:rPr>
                <w:rFonts w:ascii="Times New Roman" w:hAnsi="Times New Roman" w:cs="Times New Roman"/>
                <w:b/>
                <w:sz w:val="16"/>
                <w:szCs w:val="16"/>
                <w:lang w:val="en-US"/>
              </w:rPr>
            </w:pPr>
            <w:r w:rsidRPr="0010784C">
              <w:rPr>
                <w:rFonts w:ascii="Times New Roman" w:hAnsi="Times New Roman" w:cs="Times New Roman"/>
                <w:b/>
                <w:sz w:val="16"/>
                <w:szCs w:val="16"/>
                <w:lang w:val="en-US"/>
              </w:rPr>
              <w:t>18,250,000</w:t>
            </w:r>
          </w:p>
        </w:tc>
      </w:tr>
    </w:tbl>
    <w:p w:rsidR="00C821BE" w:rsidRPr="0010784C" w:rsidRDefault="00C821BE" w:rsidP="00C821BE">
      <w:pPr>
        <w:spacing w:after="0" w:line="240" w:lineRule="auto"/>
        <w:jc w:val="center"/>
        <w:rPr>
          <w:rFonts w:ascii="Times New Roman" w:hAnsi="Times New Roman" w:cs="Times New Roman"/>
          <w:sz w:val="16"/>
          <w:szCs w:val="16"/>
          <w:lang w:val="en-US"/>
        </w:rPr>
      </w:pPr>
      <w:r w:rsidRPr="0010784C">
        <w:rPr>
          <w:rFonts w:ascii="Times New Roman" w:eastAsia="Times New Roman" w:hAnsi="Times New Roman" w:cs="Times New Roman"/>
          <w:b/>
          <w:bCs/>
          <w:sz w:val="16"/>
          <w:szCs w:val="16"/>
          <w:lang w:val="en-US" w:eastAsia="fr-FR"/>
        </w:rPr>
        <w:t xml:space="preserve"> Table environmental and social managemen</w:t>
      </w:r>
      <w:r w:rsidR="00D10B3E">
        <w:rPr>
          <w:rFonts w:ascii="Times New Roman" w:eastAsia="Times New Roman" w:hAnsi="Times New Roman" w:cs="Times New Roman"/>
          <w:b/>
          <w:bCs/>
          <w:sz w:val="16"/>
          <w:szCs w:val="16"/>
          <w:lang w:val="en-US" w:eastAsia="fr-FR"/>
        </w:rPr>
        <w:t xml:space="preserve">t plan </w:t>
      </w:r>
    </w:p>
    <w:tbl>
      <w:tblPr>
        <w:tblW w:w="16013" w:type="dxa"/>
        <w:jc w:val="center"/>
        <w:tblBorders>
          <w:top w:val="single" w:sz="4" w:space="0" w:color="7F7F7F"/>
          <w:bottom w:val="single" w:sz="4" w:space="0" w:color="7F7F7F"/>
        </w:tblBorders>
        <w:tblLook w:val="04A0" w:firstRow="1" w:lastRow="0" w:firstColumn="1" w:lastColumn="0" w:noHBand="0" w:noVBand="1"/>
      </w:tblPr>
      <w:tblGrid>
        <w:gridCol w:w="1211"/>
        <w:gridCol w:w="2059"/>
        <w:gridCol w:w="4281"/>
        <w:gridCol w:w="3523"/>
        <w:gridCol w:w="1268"/>
        <w:gridCol w:w="1118"/>
        <w:gridCol w:w="1437"/>
        <w:gridCol w:w="1116"/>
      </w:tblGrid>
      <w:tr w:rsidR="00C821BE" w:rsidRPr="0010784C" w:rsidTr="00C821BE">
        <w:trPr>
          <w:trHeight w:val="70"/>
          <w:jc w:val="center"/>
        </w:trPr>
        <w:tc>
          <w:tcPr>
            <w:tcW w:w="16013" w:type="dxa"/>
            <w:gridSpan w:val="8"/>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rsidR="00C821BE" w:rsidRPr="0010784C" w:rsidRDefault="00C821BE" w:rsidP="00C821BE">
            <w:pPr>
              <w:spacing w:after="0" w:line="240" w:lineRule="auto"/>
              <w:jc w:val="center"/>
              <w:rPr>
                <w:rFonts w:ascii="Times New Roman" w:hAnsi="Times New Roman" w:cs="Times New Roman"/>
                <w:b/>
                <w:bCs/>
                <w:sz w:val="16"/>
                <w:szCs w:val="16"/>
                <w:lang w:val="en-US"/>
              </w:rPr>
            </w:pPr>
            <w:r w:rsidRPr="0010784C">
              <w:rPr>
                <w:rFonts w:ascii="Times New Roman" w:hAnsi="Times New Roman" w:cs="Times New Roman"/>
                <w:b/>
                <w:bCs/>
                <w:sz w:val="16"/>
                <w:szCs w:val="16"/>
                <w:lang w:val="en-US"/>
              </w:rPr>
              <w:t>PRE-CONSTRUCTION AND CONSTRUCTION PHASE</w:t>
            </w:r>
          </w:p>
        </w:tc>
      </w:tr>
      <w:tr w:rsidR="00C821BE" w:rsidRPr="0010784C" w:rsidTr="00C821BE">
        <w:trPr>
          <w:trHeight w:val="70"/>
          <w:jc w:val="center"/>
        </w:trPr>
        <w:tc>
          <w:tcPr>
            <w:tcW w:w="1212" w:type="dxa"/>
            <w:vMerge w:val="restart"/>
            <w:tcBorders>
              <w:top w:val="single" w:sz="4" w:space="0" w:color="auto"/>
              <w:left w:val="single" w:sz="4" w:space="0" w:color="auto"/>
              <w:bottom w:val="single" w:sz="4" w:space="0" w:color="auto"/>
              <w:right w:val="single" w:sz="4" w:space="0" w:color="auto"/>
            </w:tcBorders>
            <w:shd w:val="clear" w:color="auto" w:fill="F2F2F2"/>
            <w:vAlign w:val="center"/>
          </w:tcPr>
          <w:p w:rsidR="00C821BE" w:rsidRPr="0010784C" w:rsidRDefault="00C821BE" w:rsidP="00C821BE">
            <w:pPr>
              <w:spacing w:after="0" w:line="240" w:lineRule="auto"/>
              <w:jc w:val="center"/>
              <w:rPr>
                <w:rFonts w:ascii="Times New Roman" w:hAnsi="Times New Roman" w:cs="Times New Roman"/>
                <w:b/>
                <w:bCs/>
                <w:sz w:val="16"/>
                <w:szCs w:val="16"/>
                <w:lang w:val="en-US"/>
              </w:rPr>
            </w:pPr>
            <w:r w:rsidRPr="0010784C">
              <w:rPr>
                <w:rFonts w:ascii="Times New Roman" w:hAnsi="Times New Roman" w:cs="Times New Roman"/>
                <w:b/>
                <w:bCs/>
                <w:sz w:val="16"/>
                <w:szCs w:val="16"/>
                <w:lang w:val="en-US"/>
              </w:rPr>
              <w:t>Component of the affected environment</w:t>
            </w:r>
          </w:p>
        </w:tc>
        <w:tc>
          <w:tcPr>
            <w:tcW w:w="2079" w:type="dxa"/>
            <w:vMerge w:val="restart"/>
            <w:tcBorders>
              <w:top w:val="single" w:sz="4" w:space="0" w:color="auto"/>
              <w:left w:val="single" w:sz="4" w:space="0" w:color="auto"/>
              <w:bottom w:val="single" w:sz="4" w:space="0" w:color="auto"/>
              <w:right w:val="single" w:sz="4" w:space="0" w:color="auto"/>
            </w:tcBorders>
            <w:shd w:val="clear" w:color="auto" w:fill="F2F2F2"/>
            <w:vAlign w:val="center"/>
          </w:tcPr>
          <w:p w:rsidR="00C821BE" w:rsidRPr="0010784C" w:rsidRDefault="00C821BE" w:rsidP="00C821BE">
            <w:pPr>
              <w:spacing w:after="0" w:line="240" w:lineRule="auto"/>
              <w:jc w:val="center"/>
              <w:rPr>
                <w:rFonts w:ascii="Times New Roman" w:hAnsi="Times New Roman" w:cs="Times New Roman"/>
                <w:b/>
                <w:sz w:val="16"/>
                <w:szCs w:val="16"/>
                <w:lang w:val="en-US"/>
              </w:rPr>
            </w:pPr>
            <w:r w:rsidRPr="0010784C">
              <w:rPr>
                <w:rFonts w:ascii="Times New Roman" w:hAnsi="Times New Roman" w:cs="Times New Roman"/>
                <w:b/>
                <w:sz w:val="16"/>
                <w:szCs w:val="16"/>
                <w:lang w:val="en-US"/>
              </w:rPr>
              <w:t>Nature of potential impact</w:t>
            </w:r>
          </w:p>
        </w:tc>
        <w:tc>
          <w:tcPr>
            <w:tcW w:w="4335" w:type="dxa"/>
            <w:vMerge w:val="restart"/>
            <w:tcBorders>
              <w:top w:val="single" w:sz="4" w:space="0" w:color="auto"/>
              <w:left w:val="single" w:sz="4" w:space="0" w:color="auto"/>
              <w:bottom w:val="single" w:sz="4" w:space="0" w:color="auto"/>
              <w:right w:val="single" w:sz="4" w:space="0" w:color="auto"/>
            </w:tcBorders>
            <w:shd w:val="clear" w:color="auto" w:fill="F2F2F2"/>
            <w:vAlign w:val="center"/>
          </w:tcPr>
          <w:p w:rsidR="00C821BE" w:rsidRPr="0010784C" w:rsidRDefault="00C821BE" w:rsidP="00C821BE">
            <w:pPr>
              <w:spacing w:after="0" w:line="240" w:lineRule="auto"/>
              <w:jc w:val="center"/>
              <w:rPr>
                <w:rFonts w:ascii="Times New Roman" w:hAnsi="Times New Roman" w:cs="Times New Roman"/>
                <w:b/>
                <w:sz w:val="16"/>
                <w:szCs w:val="16"/>
                <w:lang w:val="en-US"/>
              </w:rPr>
            </w:pPr>
            <w:r w:rsidRPr="0010784C">
              <w:rPr>
                <w:rFonts w:ascii="Times New Roman" w:hAnsi="Times New Roman" w:cs="Times New Roman"/>
                <w:b/>
                <w:sz w:val="16"/>
                <w:szCs w:val="16"/>
                <w:lang w:val="en-US"/>
              </w:rPr>
              <w:t>Reduction measures</w:t>
            </w:r>
          </w:p>
        </w:tc>
        <w:tc>
          <w:tcPr>
            <w:tcW w:w="3568" w:type="dxa"/>
            <w:vMerge w:val="restart"/>
            <w:tcBorders>
              <w:top w:val="single" w:sz="4" w:space="0" w:color="auto"/>
              <w:left w:val="single" w:sz="4" w:space="0" w:color="auto"/>
              <w:bottom w:val="single" w:sz="4" w:space="0" w:color="auto"/>
              <w:right w:val="single" w:sz="4" w:space="0" w:color="auto"/>
            </w:tcBorders>
            <w:shd w:val="clear" w:color="auto" w:fill="F2F2F2"/>
            <w:vAlign w:val="center"/>
          </w:tcPr>
          <w:p w:rsidR="00C821BE" w:rsidRPr="0010784C" w:rsidRDefault="00C821BE" w:rsidP="00C821BE">
            <w:pPr>
              <w:spacing w:after="0" w:line="240" w:lineRule="auto"/>
              <w:jc w:val="center"/>
              <w:rPr>
                <w:rFonts w:ascii="Times New Roman" w:hAnsi="Times New Roman" w:cs="Times New Roman"/>
                <w:b/>
                <w:sz w:val="16"/>
                <w:szCs w:val="16"/>
                <w:lang w:val="en-US"/>
              </w:rPr>
            </w:pPr>
            <w:r w:rsidRPr="0010784C">
              <w:rPr>
                <w:rFonts w:ascii="Times New Roman" w:hAnsi="Times New Roman" w:cs="Times New Roman"/>
                <w:b/>
                <w:sz w:val="16"/>
                <w:szCs w:val="16"/>
                <w:lang w:val="en-US"/>
              </w:rPr>
              <w:t>Monitoring indicator</w:t>
            </w:r>
          </w:p>
        </w:tc>
        <w:tc>
          <w:tcPr>
            <w:tcW w:w="2254"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rsidR="00C821BE" w:rsidRPr="0010784C" w:rsidRDefault="00C821BE" w:rsidP="00C821BE">
            <w:pPr>
              <w:spacing w:after="0" w:line="240" w:lineRule="auto"/>
              <w:jc w:val="center"/>
              <w:rPr>
                <w:rFonts w:ascii="Times New Roman" w:hAnsi="Times New Roman" w:cs="Times New Roman"/>
                <w:b/>
                <w:sz w:val="16"/>
                <w:szCs w:val="16"/>
                <w:lang w:val="en-US"/>
              </w:rPr>
            </w:pPr>
            <w:r w:rsidRPr="0010784C">
              <w:rPr>
                <w:rFonts w:ascii="Times New Roman" w:hAnsi="Times New Roman" w:cs="Times New Roman"/>
                <w:b/>
                <w:bCs/>
                <w:spacing w:val="-3"/>
                <w:sz w:val="16"/>
                <w:szCs w:val="16"/>
                <w:lang w:val="en-US"/>
              </w:rPr>
              <w:t>Responsible (s)</w:t>
            </w:r>
          </w:p>
        </w:tc>
        <w:tc>
          <w:tcPr>
            <w:tcW w:w="1445" w:type="dxa"/>
            <w:vMerge w:val="restart"/>
            <w:tcBorders>
              <w:top w:val="single" w:sz="4" w:space="0" w:color="auto"/>
              <w:left w:val="single" w:sz="4" w:space="0" w:color="auto"/>
              <w:bottom w:val="single" w:sz="4" w:space="0" w:color="auto"/>
              <w:right w:val="single" w:sz="4" w:space="0" w:color="auto"/>
            </w:tcBorders>
            <w:shd w:val="clear" w:color="auto" w:fill="F2F2F2"/>
            <w:vAlign w:val="center"/>
          </w:tcPr>
          <w:p w:rsidR="00C821BE" w:rsidRPr="0010784C" w:rsidRDefault="00C821BE" w:rsidP="00C821BE">
            <w:pPr>
              <w:spacing w:after="0" w:line="240" w:lineRule="auto"/>
              <w:jc w:val="center"/>
              <w:rPr>
                <w:rFonts w:ascii="Times New Roman" w:hAnsi="Times New Roman" w:cs="Times New Roman"/>
                <w:b/>
                <w:sz w:val="16"/>
                <w:szCs w:val="16"/>
                <w:lang w:val="en-US"/>
              </w:rPr>
            </w:pPr>
            <w:r w:rsidRPr="0010784C">
              <w:rPr>
                <w:rFonts w:ascii="Times New Roman" w:hAnsi="Times New Roman" w:cs="Times New Roman"/>
                <w:b/>
                <w:bCs/>
                <w:spacing w:val="-3"/>
                <w:sz w:val="16"/>
                <w:szCs w:val="16"/>
                <w:lang w:val="en-US"/>
              </w:rPr>
              <w:t>Deadlines / Period</w:t>
            </w:r>
          </w:p>
        </w:tc>
        <w:tc>
          <w:tcPr>
            <w:tcW w:w="1120" w:type="dxa"/>
            <w:vMerge w:val="restart"/>
            <w:tcBorders>
              <w:top w:val="single" w:sz="4" w:space="0" w:color="auto"/>
              <w:left w:val="single" w:sz="4" w:space="0" w:color="auto"/>
              <w:bottom w:val="single" w:sz="4" w:space="0" w:color="auto"/>
              <w:right w:val="single" w:sz="4" w:space="0" w:color="auto"/>
            </w:tcBorders>
            <w:shd w:val="clear" w:color="auto" w:fill="F2F2F2"/>
            <w:vAlign w:val="center"/>
          </w:tcPr>
          <w:p w:rsidR="00C821BE" w:rsidRPr="0010784C" w:rsidRDefault="00C821BE" w:rsidP="00C821BE">
            <w:pPr>
              <w:spacing w:after="0" w:line="240" w:lineRule="auto"/>
              <w:jc w:val="center"/>
              <w:rPr>
                <w:rFonts w:ascii="Times New Roman" w:hAnsi="Times New Roman" w:cs="Times New Roman"/>
                <w:b/>
                <w:sz w:val="16"/>
                <w:szCs w:val="16"/>
                <w:lang w:val="en-US"/>
              </w:rPr>
            </w:pPr>
            <w:r w:rsidRPr="0010784C">
              <w:rPr>
                <w:rFonts w:ascii="Times New Roman" w:hAnsi="Times New Roman" w:cs="Times New Roman"/>
                <w:b/>
                <w:bCs/>
                <w:spacing w:val="-3"/>
                <w:sz w:val="16"/>
                <w:szCs w:val="16"/>
                <w:lang w:val="en-US"/>
              </w:rPr>
              <w:t>Cost (FCFA)</w:t>
            </w:r>
          </w:p>
        </w:tc>
      </w:tr>
      <w:tr w:rsidR="00C821BE" w:rsidRPr="0010784C" w:rsidTr="00C821BE">
        <w:trPr>
          <w:trHeight w:val="70"/>
          <w:jc w:val="center"/>
        </w:trPr>
        <w:tc>
          <w:tcPr>
            <w:tcW w:w="1212" w:type="dxa"/>
            <w:vMerge/>
            <w:tcBorders>
              <w:top w:val="single" w:sz="4" w:space="0" w:color="auto"/>
              <w:left w:val="single" w:sz="4" w:space="0" w:color="auto"/>
              <w:bottom w:val="single" w:sz="4" w:space="0" w:color="auto"/>
              <w:right w:val="single" w:sz="4" w:space="0" w:color="auto"/>
            </w:tcBorders>
          </w:tcPr>
          <w:p w:rsidR="00C821BE" w:rsidRPr="0010784C" w:rsidRDefault="00C821BE" w:rsidP="00C821BE">
            <w:pPr>
              <w:spacing w:after="0" w:line="240" w:lineRule="auto"/>
              <w:jc w:val="both"/>
              <w:rPr>
                <w:rFonts w:ascii="Times New Roman" w:hAnsi="Times New Roman" w:cs="Times New Roman"/>
                <w:b/>
                <w:bCs/>
                <w:sz w:val="16"/>
                <w:szCs w:val="16"/>
                <w:lang w:val="en-US"/>
              </w:rPr>
            </w:pPr>
          </w:p>
        </w:tc>
        <w:tc>
          <w:tcPr>
            <w:tcW w:w="2079" w:type="dxa"/>
            <w:vMerge/>
            <w:tcBorders>
              <w:top w:val="single" w:sz="4" w:space="0" w:color="auto"/>
              <w:left w:val="single" w:sz="4" w:space="0" w:color="auto"/>
              <w:bottom w:val="single" w:sz="4" w:space="0" w:color="auto"/>
              <w:right w:val="single" w:sz="4" w:space="0" w:color="auto"/>
            </w:tcBorders>
          </w:tcPr>
          <w:p w:rsidR="00C821BE" w:rsidRPr="0010784C" w:rsidRDefault="00C821BE" w:rsidP="00C821BE">
            <w:pPr>
              <w:spacing w:after="0" w:line="240" w:lineRule="auto"/>
              <w:jc w:val="both"/>
              <w:rPr>
                <w:rFonts w:ascii="Times New Roman" w:hAnsi="Times New Roman" w:cs="Times New Roman"/>
                <w:b/>
                <w:sz w:val="16"/>
                <w:szCs w:val="16"/>
                <w:lang w:val="en-US"/>
              </w:rPr>
            </w:pPr>
          </w:p>
        </w:tc>
        <w:tc>
          <w:tcPr>
            <w:tcW w:w="4335" w:type="dxa"/>
            <w:vMerge/>
            <w:tcBorders>
              <w:top w:val="single" w:sz="4" w:space="0" w:color="auto"/>
              <w:left w:val="single" w:sz="4" w:space="0" w:color="auto"/>
              <w:bottom w:val="single" w:sz="4" w:space="0" w:color="auto"/>
              <w:right w:val="single" w:sz="4" w:space="0" w:color="auto"/>
            </w:tcBorders>
          </w:tcPr>
          <w:p w:rsidR="00C821BE" w:rsidRPr="0010784C" w:rsidRDefault="00C821BE" w:rsidP="00C821BE">
            <w:pPr>
              <w:spacing w:after="0" w:line="240" w:lineRule="auto"/>
              <w:jc w:val="both"/>
              <w:rPr>
                <w:rFonts w:ascii="Times New Roman" w:hAnsi="Times New Roman" w:cs="Times New Roman"/>
                <w:b/>
                <w:sz w:val="16"/>
                <w:szCs w:val="16"/>
                <w:lang w:val="en-US"/>
              </w:rPr>
            </w:pPr>
          </w:p>
        </w:tc>
        <w:tc>
          <w:tcPr>
            <w:tcW w:w="3568" w:type="dxa"/>
            <w:vMerge/>
            <w:tcBorders>
              <w:top w:val="single" w:sz="4" w:space="0" w:color="auto"/>
              <w:left w:val="single" w:sz="4" w:space="0" w:color="auto"/>
              <w:bottom w:val="single" w:sz="4" w:space="0" w:color="auto"/>
              <w:right w:val="single" w:sz="4" w:space="0" w:color="auto"/>
            </w:tcBorders>
          </w:tcPr>
          <w:p w:rsidR="00C821BE" w:rsidRPr="0010784C" w:rsidRDefault="00C821BE" w:rsidP="00C821BE">
            <w:pPr>
              <w:spacing w:after="0" w:line="240" w:lineRule="auto"/>
              <w:jc w:val="both"/>
              <w:rPr>
                <w:rFonts w:ascii="Times New Roman" w:hAnsi="Times New Roman" w:cs="Times New Roman"/>
                <w:b/>
                <w:sz w:val="16"/>
                <w:szCs w:val="16"/>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rsidR="00C821BE" w:rsidRPr="0010784C" w:rsidRDefault="00C821BE" w:rsidP="00C821BE">
            <w:pPr>
              <w:spacing w:after="0" w:line="240" w:lineRule="auto"/>
              <w:jc w:val="center"/>
              <w:rPr>
                <w:rFonts w:ascii="Times New Roman" w:hAnsi="Times New Roman" w:cs="Times New Roman"/>
                <w:b/>
                <w:bCs/>
                <w:spacing w:val="-3"/>
                <w:sz w:val="16"/>
                <w:szCs w:val="16"/>
                <w:lang w:val="en-US"/>
              </w:rPr>
            </w:pPr>
            <w:r w:rsidRPr="0010784C">
              <w:rPr>
                <w:rFonts w:ascii="Times New Roman" w:hAnsi="Times New Roman" w:cs="Times New Roman"/>
                <w:b/>
                <w:bCs/>
                <w:spacing w:val="-3"/>
                <w:sz w:val="16"/>
                <w:szCs w:val="16"/>
                <w:lang w:val="en-US"/>
              </w:rPr>
              <w:t>Implementation</w:t>
            </w:r>
          </w:p>
        </w:tc>
        <w:tc>
          <w:tcPr>
            <w:tcW w:w="1120"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rsidR="00C821BE" w:rsidRPr="0010784C" w:rsidRDefault="00C821BE" w:rsidP="00C821BE">
            <w:pPr>
              <w:spacing w:after="0" w:line="240" w:lineRule="auto"/>
              <w:jc w:val="center"/>
              <w:rPr>
                <w:rFonts w:ascii="Times New Roman" w:hAnsi="Times New Roman" w:cs="Times New Roman"/>
                <w:b/>
                <w:bCs/>
                <w:spacing w:val="-3"/>
                <w:sz w:val="16"/>
                <w:szCs w:val="16"/>
                <w:lang w:val="en-US"/>
              </w:rPr>
            </w:pPr>
            <w:r w:rsidRPr="0010784C">
              <w:rPr>
                <w:rFonts w:ascii="Times New Roman" w:hAnsi="Times New Roman" w:cs="Times New Roman"/>
                <w:b/>
                <w:bCs/>
                <w:spacing w:val="-3"/>
                <w:sz w:val="16"/>
                <w:szCs w:val="16"/>
                <w:lang w:val="en-US"/>
              </w:rPr>
              <w:t>Monitoring / Control</w:t>
            </w:r>
          </w:p>
        </w:tc>
        <w:tc>
          <w:tcPr>
            <w:tcW w:w="1445" w:type="dxa"/>
            <w:vMerge/>
            <w:tcBorders>
              <w:top w:val="single" w:sz="4" w:space="0" w:color="auto"/>
              <w:left w:val="single" w:sz="4" w:space="0" w:color="auto"/>
              <w:bottom w:val="single" w:sz="4" w:space="0" w:color="auto"/>
              <w:right w:val="single" w:sz="4" w:space="0" w:color="auto"/>
            </w:tcBorders>
          </w:tcPr>
          <w:p w:rsidR="00C821BE" w:rsidRPr="0010784C" w:rsidRDefault="00C821BE" w:rsidP="00C821BE">
            <w:pPr>
              <w:spacing w:after="0" w:line="240" w:lineRule="auto"/>
              <w:jc w:val="both"/>
              <w:rPr>
                <w:rFonts w:ascii="Times New Roman" w:hAnsi="Times New Roman" w:cs="Times New Roman"/>
                <w:b/>
                <w:bCs/>
                <w:spacing w:val="-3"/>
                <w:sz w:val="16"/>
                <w:szCs w:val="16"/>
                <w:lang w:val="en-US"/>
              </w:rPr>
            </w:pPr>
          </w:p>
        </w:tc>
        <w:tc>
          <w:tcPr>
            <w:tcW w:w="1120" w:type="dxa"/>
            <w:vMerge/>
            <w:tcBorders>
              <w:top w:val="single" w:sz="4" w:space="0" w:color="auto"/>
              <w:left w:val="single" w:sz="4" w:space="0" w:color="auto"/>
              <w:bottom w:val="single" w:sz="4" w:space="0" w:color="auto"/>
              <w:right w:val="single" w:sz="4" w:space="0" w:color="auto"/>
            </w:tcBorders>
          </w:tcPr>
          <w:p w:rsidR="00C821BE" w:rsidRPr="0010784C" w:rsidRDefault="00C821BE" w:rsidP="00C821BE">
            <w:pPr>
              <w:spacing w:after="0" w:line="240" w:lineRule="auto"/>
              <w:jc w:val="both"/>
              <w:rPr>
                <w:rFonts w:ascii="Times New Roman" w:hAnsi="Times New Roman" w:cs="Times New Roman"/>
                <w:b/>
                <w:bCs/>
                <w:spacing w:val="-3"/>
                <w:sz w:val="16"/>
                <w:szCs w:val="16"/>
                <w:lang w:val="en-US"/>
              </w:rPr>
            </w:pPr>
          </w:p>
        </w:tc>
      </w:tr>
      <w:tr w:rsidR="00C821BE" w:rsidRPr="0010784C" w:rsidTr="00C821BE">
        <w:trPr>
          <w:trHeight w:val="70"/>
          <w:jc w:val="center"/>
        </w:trPr>
        <w:tc>
          <w:tcPr>
            <w:tcW w:w="1212"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C821BE" w:rsidRPr="0010784C" w:rsidRDefault="00C821BE" w:rsidP="00C821BE">
            <w:pPr>
              <w:spacing w:after="0" w:line="240" w:lineRule="auto"/>
              <w:jc w:val="center"/>
              <w:rPr>
                <w:rFonts w:ascii="Times New Roman" w:hAnsi="Times New Roman" w:cs="Times New Roman"/>
                <w:b/>
                <w:bCs/>
                <w:sz w:val="16"/>
                <w:szCs w:val="16"/>
                <w:lang w:val="en-US"/>
              </w:rPr>
            </w:pPr>
            <w:r w:rsidRPr="0010784C">
              <w:rPr>
                <w:rFonts w:ascii="Times New Roman" w:hAnsi="Times New Roman" w:cs="Times New Roman"/>
                <w:b/>
                <w:bCs/>
                <w:sz w:val="16"/>
                <w:szCs w:val="16"/>
                <w:lang w:val="en-US"/>
              </w:rPr>
              <w:t>Air</w:t>
            </w:r>
          </w:p>
        </w:tc>
        <w:tc>
          <w:tcPr>
            <w:tcW w:w="2079" w:type="dxa"/>
            <w:tcBorders>
              <w:top w:val="single" w:sz="4" w:space="0" w:color="auto"/>
              <w:left w:val="single" w:sz="4" w:space="0" w:color="auto"/>
              <w:bottom w:val="single" w:sz="4" w:space="0" w:color="auto"/>
              <w:right w:val="single" w:sz="4" w:space="0" w:color="auto"/>
            </w:tcBorders>
            <w:vAlign w:val="center"/>
          </w:tcPr>
          <w:p w:rsidR="00C821BE" w:rsidRPr="0010784C" w:rsidRDefault="00C821BE" w:rsidP="00C821BE">
            <w:pPr>
              <w:spacing w:after="0" w:line="240" w:lineRule="auto"/>
              <w:jc w:val="both"/>
              <w:rPr>
                <w:rFonts w:ascii="Times New Roman" w:hAnsi="Times New Roman" w:cs="Times New Roman"/>
                <w:sz w:val="16"/>
                <w:szCs w:val="16"/>
                <w:lang w:val="en-US"/>
              </w:rPr>
            </w:pPr>
            <w:r w:rsidRPr="0010784C">
              <w:rPr>
                <w:rFonts w:ascii="Times New Roman" w:hAnsi="Times New Roman" w:cs="Times New Roman"/>
                <w:sz w:val="16"/>
                <w:szCs w:val="16"/>
                <w:lang w:val="en-US"/>
              </w:rPr>
              <w:t>Risk of dust emissions of various kinds</w:t>
            </w:r>
          </w:p>
          <w:p w:rsidR="00C821BE" w:rsidRPr="0010784C" w:rsidRDefault="00C821BE" w:rsidP="00C821BE">
            <w:pPr>
              <w:spacing w:after="0" w:line="240" w:lineRule="auto"/>
              <w:jc w:val="both"/>
              <w:rPr>
                <w:rFonts w:ascii="Times New Roman" w:hAnsi="Times New Roman" w:cs="Times New Roman"/>
                <w:sz w:val="16"/>
                <w:szCs w:val="16"/>
                <w:lang w:val="en-US"/>
              </w:rPr>
            </w:pPr>
          </w:p>
          <w:p w:rsidR="00C821BE" w:rsidRPr="0010784C" w:rsidRDefault="00C821BE" w:rsidP="00C821BE">
            <w:pPr>
              <w:spacing w:after="0" w:line="240" w:lineRule="auto"/>
              <w:jc w:val="both"/>
              <w:rPr>
                <w:rFonts w:ascii="Times New Roman" w:hAnsi="Times New Roman" w:cs="Times New Roman"/>
                <w:sz w:val="16"/>
                <w:szCs w:val="16"/>
                <w:lang w:val="en-US"/>
              </w:rPr>
            </w:pPr>
            <w:r w:rsidRPr="0010784C">
              <w:rPr>
                <w:rFonts w:ascii="Times New Roman" w:hAnsi="Times New Roman" w:cs="Times New Roman"/>
                <w:sz w:val="16"/>
                <w:szCs w:val="16"/>
                <w:lang w:val="en-US"/>
              </w:rPr>
              <w:t>GHG emission risk</w:t>
            </w:r>
          </w:p>
          <w:p w:rsidR="00C821BE" w:rsidRPr="0010784C" w:rsidRDefault="00C821BE" w:rsidP="00C821BE">
            <w:pPr>
              <w:spacing w:after="0" w:line="240" w:lineRule="auto"/>
              <w:jc w:val="both"/>
              <w:rPr>
                <w:rFonts w:ascii="Times New Roman" w:hAnsi="Times New Roman" w:cs="Times New Roman"/>
                <w:sz w:val="16"/>
                <w:szCs w:val="16"/>
                <w:lang w:val="en-US"/>
              </w:rPr>
            </w:pPr>
          </w:p>
          <w:p w:rsidR="00C821BE" w:rsidRPr="0010784C" w:rsidRDefault="00C821BE" w:rsidP="00C821BE">
            <w:pPr>
              <w:spacing w:after="0" w:line="240" w:lineRule="auto"/>
              <w:jc w:val="both"/>
              <w:rPr>
                <w:rFonts w:ascii="Times New Roman" w:hAnsi="Times New Roman" w:cs="Times New Roman"/>
                <w:sz w:val="16"/>
                <w:szCs w:val="16"/>
                <w:lang w:val="en-US"/>
              </w:rPr>
            </w:pPr>
            <w:r w:rsidRPr="0010784C">
              <w:rPr>
                <w:rFonts w:ascii="Times New Roman" w:hAnsi="Times New Roman" w:cs="Times New Roman"/>
                <w:sz w:val="16"/>
                <w:szCs w:val="16"/>
                <w:lang w:val="en-US"/>
              </w:rPr>
              <w:t>Risk of release of a mixture of particles and gases, called welding fume;</w:t>
            </w:r>
          </w:p>
        </w:tc>
        <w:tc>
          <w:tcPr>
            <w:tcW w:w="4335" w:type="dxa"/>
            <w:tcBorders>
              <w:top w:val="single" w:sz="4" w:space="0" w:color="auto"/>
              <w:left w:val="single" w:sz="4" w:space="0" w:color="auto"/>
              <w:bottom w:val="single" w:sz="4" w:space="0" w:color="auto"/>
              <w:right w:val="single" w:sz="4" w:space="0" w:color="auto"/>
            </w:tcBorders>
            <w:vAlign w:val="center"/>
          </w:tcPr>
          <w:p w:rsidR="00C821BE" w:rsidRPr="0010784C" w:rsidRDefault="00C821BE" w:rsidP="00C821BE">
            <w:pPr>
              <w:spacing w:after="0" w:line="240" w:lineRule="auto"/>
              <w:jc w:val="both"/>
              <w:rPr>
                <w:rFonts w:ascii="Times New Roman" w:hAnsi="Times New Roman" w:cs="Times New Roman"/>
                <w:sz w:val="16"/>
                <w:szCs w:val="16"/>
                <w:lang w:val="en-US"/>
              </w:rPr>
            </w:pPr>
            <w:r w:rsidRPr="0010784C">
              <w:rPr>
                <w:rFonts w:ascii="Times New Roman" w:hAnsi="Times New Roman" w:cs="Times New Roman"/>
                <w:sz w:val="16"/>
                <w:szCs w:val="16"/>
                <w:lang w:val="en-US"/>
              </w:rPr>
              <w:t>- Organize awareness campaigns for workers against respiratory diseases;</w:t>
            </w:r>
          </w:p>
          <w:p w:rsidR="00C821BE" w:rsidRPr="0010784C" w:rsidRDefault="00C821BE" w:rsidP="00C821BE">
            <w:pPr>
              <w:spacing w:after="0" w:line="240" w:lineRule="auto"/>
              <w:jc w:val="both"/>
              <w:rPr>
                <w:rFonts w:ascii="Times New Roman" w:hAnsi="Times New Roman" w:cs="Times New Roman"/>
                <w:sz w:val="16"/>
                <w:szCs w:val="16"/>
                <w:lang w:val="en-US"/>
              </w:rPr>
            </w:pPr>
            <w:r w:rsidRPr="0010784C">
              <w:rPr>
                <w:rFonts w:ascii="Times New Roman" w:hAnsi="Times New Roman" w:cs="Times New Roman"/>
                <w:sz w:val="16"/>
                <w:szCs w:val="16"/>
                <w:lang w:val="en-US"/>
              </w:rPr>
              <w:t>- Provide workers with dust masks;</w:t>
            </w:r>
          </w:p>
          <w:p w:rsidR="00C821BE" w:rsidRPr="0010784C" w:rsidRDefault="00C821BE" w:rsidP="00C821BE">
            <w:pPr>
              <w:spacing w:after="0" w:line="240" w:lineRule="auto"/>
              <w:jc w:val="both"/>
              <w:rPr>
                <w:rFonts w:ascii="Times New Roman" w:hAnsi="Times New Roman" w:cs="Times New Roman"/>
                <w:sz w:val="16"/>
                <w:szCs w:val="16"/>
                <w:lang w:val="en-US"/>
              </w:rPr>
            </w:pPr>
            <w:r w:rsidRPr="0010784C">
              <w:rPr>
                <w:rFonts w:ascii="Times New Roman" w:hAnsi="Times New Roman" w:cs="Times New Roman"/>
                <w:sz w:val="16"/>
                <w:szCs w:val="16"/>
                <w:lang w:val="en-US"/>
              </w:rPr>
              <w:t>- Cover the transport trucks well with sand or dusty materials during transport;</w:t>
            </w:r>
          </w:p>
          <w:p w:rsidR="00C821BE" w:rsidRPr="0010784C" w:rsidRDefault="00C821BE" w:rsidP="00C821BE">
            <w:pPr>
              <w:spacing w:after="0" w:line="240" w:lineRule="auto"/>
              <w:jc w:val="both"/>
              <w:rPr>
                <w:rFonts w:ascii="Times New Roman" w:hAnsi="Times New Roman" w:cs="Times New Roman"/>
                <w:sz w:val="16"/>
                <w:szCs w:val="16"/>
                <w:lang w:val="en-US"/>
              </w:rPr>
            </w:pPr>
            <w:r w:rsidRPr="0010784C">
              <w:rPr>
                <w:rFonts w:ascii="Times New Roman" w:hAnsi="Times New Roman" w:cs="Times New Roman"/>
                <w:sz w:val="16"/>
                <w:szCs w:val="16"/>
                <w:lang w:val="en-US"/>
              </w:rPr>
              <w:t>- Regularly water the sites, the access roads;</w:t>
            </w:r>
          </w:p>
          <w:p w:rsidR="00C821BE" w:rsidRPr="0010784C" w:rsidRDefault="00C821BE" w:rsidP="00C821BE">
            <w:pPr>
              <w:spacing w:after="0" w:line="240" w:lineRule="auto"/>
              <w:jc w:val="both"/>
              <w:rPr>
                <w:rFonts w:ascii="Times New Roman" w:hAnsi="Times New Roman" w:cs="Times New Roman"/>
                <w:sz w:val="16"/>
                <w:szCs w:val="16"/>
                <w:lang w:val="en-US"/>
              </w:rPr>
            </w:pPr>
            <w:r w:rsidRPr="0010784C">
              <w:rPr>
                <w:rFonts w:ascii="Times New Roman" w:hAnsi="Times New Roman" w:cs="Times New Roman"/>
                <w:sz w:val="16"/>
                <w:szCs w:val="16"/>
                <w:lang w:val="en-US"/>
              </w:rPr>
              <w:t>- Maintenance and proper storage of friable materials to minimize dust dispersion;</w:t>
            </w:r>
          </w:p>
          <w:p w:rsidR="00C821BE" w:rsidRPr="0010784C" w:rsidRDefault="00C821BE" w:rsidP="00C821BE">
            <w:pPr>
              <w:spacing w:after="0" w:line="240" w:lineRule="auto"/>
              <w:jc w:val="both"/>
              <w:rPr>
                <w:rFonts w:ascii="Times New Roman" w:hAnsi="Times New Roman" w:cs="Times New Roman"/>
                <w:sz w:val="16"/>
                <w:szCs w:val="16"/>
                <w:lang w:val="en-US"/>
              </w:rPr>
            </w:pPr>
            <w:r w:rsidRPr="0010784C">
              <w:rPr>
                <w:rFonts w:ascii="Times New Roman" w:hAnsi="Times New Roman" w:cs="Times New Roman"/>
                <w:sz w:val="16"/>
                <w:szCs w:val="16"/>
                <w:lang w:val="en-US"/>
              </w:rPr>
              <w:t>-Well organize the excavated material from structural foundations and others;</w:t>
            </w:r>
          </w:p>
          <w:p w:rsidR="00C821BE" w:rsidRPr="0010784C" w:rsidRDefault="00C821BE" w:rsidP="00C821BE">
            <w:pPr>
              <w:spacing w:after="0" w:line="240" w:lineRule="auto"/>
              <w:jc w:val="both"/>
              <w:rPr>
                <w:rFonts w:ascii="Times New Roman" w:hAnsi="Times New Roman" w:cs="Times New Roman"/>
                <w:sz w:val="16"/>
                <w:szCs w:val="16"/>
                <w:lang w:val="en-US"/>
              </w:rPr>
            </w:pPr>
            <w:r w:rsidRPr="0010784C">
              <w:rPr>
                <w:rFonts w:ascii="Times New Roman" w:hAnsi="Times New Roman" w:cs="Times New Roman"/>
                <w:sz w:val="16"/>
                <w:szCs w:val="16"/>
                <w:lang w:val="en-US"/>
              </w:rPr>
              <w:t>- Preliminary study of the access roads to the reservoir site by a judicious choice of roads;</w:t>
            </w:r>
          </w:p>
          <w:p w:rsidR="00C821BE" w:rsidRPr="0010784C" w:rsidRDefault="00C821BE" w:rsidP="00C821BE">
            <w:pPr>
              <w:spacing w:after="0" w:line="240" w:lineRule="auto"/>
              <w:jc w:val="both"/>
              <w:rPr>
                <w:rFonts w:ascii="Times New Roman" w:hAnsi="Times New Roman" w:cs="Times New Roman"/>
                <w:sz w:val="16"/>
                <w:szCs w:val="16"/>
                <w:lang w:val="en-US"/>
              </w:rPr>
            </w:pPr>
            <w:r w:rsidRPr="0010784C">
              <w:rPr>
                <w:rFonts w:ascii="Times New Roman" w:hAnsi="Times New Roman" w:cs="Times New Roman"/>
                <w:sz w:val="16"/>
                <w:szCs w:val="16"/>
                <w:lang w:val="en-US"/>
              </w:rPr>
              <w:t>-Protect wells and water points that are too exposed to dust;</w:t>
            </w:r>
          </w:p>
          <w:p w:rsidR="00C821BE" w:rsidRPr="0010784C" w:rsidRDefault="00C821BE" w:rsidP="00C821BE">
            <w:pPr>
              <w:spacing w:after="0" w:line="240" w:lineRule="auto"/>
              <w:jc w:val="both"/>
              <w:rPr>
                <w:rFonts w:ascii="Times New Roman" w:hAnsi="Times New Roman" w:cs="Times New Roman"/>
                <w:sz w:val="16"/>
                <w:szCs w:val="16"/>
                <w:lang w:val="en-US"/>
              </w:rPr>
            </w:pPr>
            <w:r w:rsidRPr="0010784C">
              <w:rPr>
                <w:rFonts w:ascii="Times New Roman" w:hAnsi="Times New Roman" w:cs="Times New Roman"/>
                <w:sz w:val="16"/>
                <w:szCs w:val="16"/>
                <w:lang w:val="en-US"/>
              </w:rPr>
              <w:t>- Ensure the good condition of heavy vehicles;</w:t>
            </w:r>
          </w:p>
          <w:p w:rsidR="00C821BE" w:rsidRPr="0010784C" w:rsidRDefault="00C821BE" w:rsidP="00C821BE">
            <w:pPr>
              <w:spacing w:after="0" w:line="240" w:lineRule="auto"/>
              <w:jc w:val="both"/>
              <w:rPr>
                <w:rFonts w:ascii="Times New Roman" w:hAnsi="Times New Roman" w:cs="Times New Roman"/>
                <w:sz w:val="16"/>
                <w:szCs w:val="16"/>
                <w:lang w:val="en-US"/>
              </w:rPr>
            </w:pPr>
            <w:r w:rsidRPr="0010784C">
              <w:rPr>
                <w:rFonts w:ascii="Times New Roman" w:hAnsi="Times New Roman" w:cs="Times New Roman"/>
                <w:sz w:val="16"/>
                <w:szCs w:val="16"/>
                <w:lang w:val="en-US"/>
              </w:rPr>
              <w:t>- Ensure technical inspections of vehicles;</w:t>
            </w:r>
          </w:p>
        </w:tc>
        <w:tc>
          <w:tcPr>
            <w:tcW w:w="3568" w:type="dxa"/>
            <w:tcBorders>
              <w:top w:val="single" w:sz="4" w:space="0" w:color="auto"/>
              <w:left w:val="single" w:sz="4" w:space="0" w:color="auto"/>
              <w:bottom w:val="single" w:sz="4" w:space="0" w:color="auto"/>
              <w:right w:val="single" w:sz="4" w:space="0" w:color="auto"/>
            </w:tcBorders>
            <w:vAlign w:val="center"/>
          </w:tcPr>
          <w:p w:rsidR="00C821BE" w:rsidRPr="0010784C" w:rsidRDefault="00C821BE" w:rsidP="00C821BE">
            <w:pPr>
              <w:spacing w:after="0" w:line="240" w:lineRule="auto"/>
              <w:jc w:val="both"/>
              <w:rPr>
                <w:rFonts w:ascii="Times New Roman" w:hAnsi="Times New Roman" w:cs="Times New Roman"/>
                <w:sz w:val="16"/>
                <w:szCs w:val="16"/>
                <w:lang w:val="en-US"/>
              </w:rPr>
            </w:pPr>
            <w:r w:rsidRPr="0010784C">
              <w:rPr>
                <w:rFonts w:ascii="Times New Roman" w:hAnsi="Times New Roman" w:cs="Times New Roman"/>
                <w:sz w:val="16"/>
                <w:szCs w:val="16"/>
                <w:lang w:val="en-US"/>
              </w:rPr>
              <w:t>-Number of campaigns organized;</w:t>
            </w:r>
          </w:p>
          <w:p w:rsidR="00C821BE" w:rsidRPr="0010784C" w:rsidRDefault="00C821BE" w:rsidP="00C821BE">
            <w:pPr>
              <w:spacing w:after="0" w:line="240" w:lineRule="auto"/>
              <w:jc w:val="both"/>
              <w:rPr>
                <w:rFonts w:ascii="Times New Roman" w:hAnsi="Times New Roman" w:cs="Times New Roman"/>
                <w:sz w:val="16"/>
                <w:szCs w:val="16"/>
                <w:lang w:val="en-US"/>
              </w:rPr>
            </w:pPr>
            <w:r w:rsidRPr="0010784C">
              <w:rPr>
                <w:rFonts w:ascii="Times New Roman" w:hAnsi="Times New Roman" w:cs="Times New Roman"/>
                <w:sz w:val="16"/>
                <w:szCs w:val="16"/>
                <w:lang w:val="en-US"/>
              </w:rPr>
              <w:t>- Traffic plan validated by the control office;</w:t>
            </w:r>
          </w:p>
          <w:p w:rsidR="00C821BE" w:rsidRPr="0010784C" w:rsidRDefault="00C821BE" w:rsidP="00C821BE">
            <w:pPr>
              <w:spacing w:after="0" w:line="240" w:lineRule="auto"/>
              <w:jc w:val="both"/>
              <w:rPr>
                <w:rFonts w:ascii="Times New Roman" w:hAnsi="Times New Roman" w:cs="Times New Roman"/>
                <w:sz w:val="16"/>
                <w:szCs w:val="16"/>
                <w:lang w:val="en-US"/>
              </w:rPr>
            </w:pPr>
            <w:r w:rsidRPr="0010784C">
              <w:rPr>
                <w:rFonts w:ascii="Times New Roman" w:hAnsi="Times New Roman" w:cs="Times New Roman"/>
                <w:sz w:val="16"/>
                <w:szCs w:val="16"/>
                <w:lang w:val="en-US"/>
              </w:rPr>
              <w:t>- Number of covered trucks;</w:t>
            </w:r>
          </w:p>
          <w:p w:rsidR="00C821BE" w:rsidRPr="0010784C" w:rsidRDefault="00C821BE" w:rsidP="00C821BE">
            <w:pPr>
              <w:spacing w:after="0" w:line="240" w:lineRule="auto"/>
              <w:jc w:val="both"/>
              <w:rPr>
                <w:rFonts w:ascii="Times New Roman" w:hAnsi="Times New Roman" w:cs="Times New Roman"/>
                <w:sz w:val="16"/>
                <w:szCs w:val="16"/>
                <w:lang w:val="en-US"/>
              </w:rPr>
            </w:pPr>
            <w:r w:rsidRPr="0010784C">
              <w:rPr>
                <w:rFonts w:ascii="Times New Roman" w:hAnsi="Times New Roman" w:cs="Times New Roman"/>
                <w:sz w:val="16"/>
                <w:szCs w:val="16"/>
                <w:lang w:val="en-US"/>
              </w:rPr>
              <w:t>-Watered site area;</w:t>
            </w:r>
          </w:p>
          <w:p w:rsidR="00C821BE" w:rsidRPr="0010784C" w:rsidRDefault="00C821BE" w:rsidP="00C821BE">
            <w:pPr>
              <w:spacing w:after="0" w:line="240" w:lineRule="auto"/>
              <w:jc w:val="both"/>
              <w:rPr>
                <w:rFonts w:ascii="Times New Roman" w:hAnsi="Times New Roman" w:cs="Times New Roman"/>
                <w:sz w:val="16"/>
                <w:szCs w:val="16"/>
                <w:lang w:val="en-US"/>
              </w:rPr>
            </w:pPr>
            <w:r w:rsidRPr="0010784C">
              <w:rPr>
                <w:rFonts w:ascii="Times New Roman" w:hAnsi="Times New Roman" w:cs="Times New Roman"/>
                <w:sz w:val="16"/>
                <w:szCs w:val="16"/>
                <w:lang w:val="en-US"/>
              </w:rPr>
              <w:t>-Presence of an excavation piling system;</w:t>
            </w:r>
          </w:p>
          <w:p w:rsidR="00C821BE" w:rsidRPr="0010784C" w:rsidRDefault="00C821BE" w:rsidP="00C821BE">
            <w:pPr>
              <w:spacing w:after="0" w:line="240" w:lineRule="auto"/>
              <w:jc w:val="both"/>
              <w:rPr>
                <w:rFonts w:ascii="Times New Roman" w:hAnsi="Times New Roman" w:cs="Times New Roman"/>
                <w:sz w:val="16"/>
                <w:szCs w:val="16"/>
                <w:lang w:val="en-US"/>
              </w:rPr>
            </w:pPr>
            <w:r w:rsidRPr="0010784C">
              <w:rPr>
                <w:rFonts w:ascii="Times New Roman" w:hAnsi="Times New Roman" w:cs="Times New Roman"/>
                <w:sz w:val="16"/>
                <w:szCs w:val="16"/>
                <w:lang w:val="en-US"/>
              </w:rPr>
              <w:t>-The company's material storage system is validated by the control office</w:t>
            </w:r>
          </w:p>
          <w:p w:rsidR="00C821BE" w:rsidRPr="0010784C" w:rsidRDefault="00C821BE" w:rsidP="00C821BE">
            <w:pPr>
              <w:spacing w:after="0" w:line="240" w:lineRule="auto"/>
              <w:jc w:val="both"/>
              <w:rPr>
                <w:rFonts w:ascii="Times New Roman" w:hAnsi="Times New Roman" w:cs="Times New Roman"/>
                <w:sz w:val="16"/>
                <w:szCs w:val="16"/>
                <w:lang w:val="en-US"/>
              </w:rPr>
            </w:pPr>
            <w:r w:rsidRPr="0010784C">
              <w:rPr>
                <w:rFonts w:ascii="Times New Roman" w:hAnsi="Times New Roman" w:cs="Times New Roman"/>
                <w:sz w:val="16"/>
                <w:szCs w:val="16"/>
                <w:lang w:val="en-US"/>
              </w:rPr>
              <w:t>-Number of neighborhood complaints registered;</w:t>
            </w:r>
          </w:p>
          <w:p w:rsidR="00C821BE" w:rsidRPr="0010784C" w:rsidRDefault="00C821BE" w:rsidP="00C821BE">
            <w:pPr>
              <w:spacing w:after="0" w:line="240" w:lineRule="auto"/>
              <w:jc w:val="both"/>
              <w:rPr>
                <w:rFonts w:ascii="Times New Roman" w:hAnsi="Times New Roman" w:cs="Times New Roman"/>
                <w:sz w:val="16"/>
                <w:szCs w:val="16"/>
                <w:lang w:val="en-US"/>
              </w:rPr>
            </w:pPr>
            <w:r w:rsidRPr="0010784C">
              <w:rPr>
                <w:rFonts w:ascii="Times New Roman" w:hAnsi="Times New Roman" w:cs="Times New Roman"/>
                <w:sz w:val="16"/>
                <w:szCs w:val="16"/>
                <w:lang w:val="en-US"/>
              </w:rPr>
              <w:t>-Number of wells and water points protected;</w:t>
            </w:r>
          </w:p>
          <w:p w:rsidR="00C821BE" w:rsidRPr="0010784C" w:rsidRDefault="00C821BE" w:rsidP="00C821BE">
            <w:pPr>
              <w:spacing w:after="0" w:line="240" w:lineRule="auto"/>
              <w:jc w:val="both"/>
              <w:rPr>
                <w:rFonts w:ascii="Times New Roman" w:hAnsi="Times New Roman" w:cs="Times New Roman"/>
                <w:sz w:val="16"/>
                <w:szCs w:val="16"/>
                <w:lang w:val="en-US"/>
              </w:rPr>
            </w:pPr>
            <w:r w:rsidRPr="0010784C">
              <w:rPr>
                <w:rFonts w:ascii="Times New Roman" w:hAnsi="Times New Roman" w:cs="Times New Roman"/>
                <w:sz w:val="16"/>
                <w:szCs w:val="16"/>
                <w:lang w:val="en-US"/>
              </w:rPr>
              <w:t>-Attestation of vehicle conformity;</w:t>
            </w:r>
          </w:p>
        </w:tc>
        <w:tc>
          <w:tcPr>
            <w:tcW w:w="1134"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C821BE" w:rsidRPr="0010784C" w:rsidRDefault="00C821BE" w:rsidP="00C821BE">
            <w:pPr>
              <w:spacing w:after="0" w:line="240" w:lineRule="auto"/>
              <w:jc w:val="both"/>
              <w:rPr>
                <w:rFonts w:ascii="Times New Roman" w:hAnsi="Times New Roman" w:cs="Times New Roman"/>
                <w:b/>
                <w:sz w:val="16"/>
                <w:szCs w:val="16"/>
                <w:lang w:val="en-US"/>
              </w:rPr>
            </w:pPr>
            <w:r w:rsidRPr="0010784C">
              <w:rPr>
                <w:rFonts w:ascii="Times New Roman" w:hAnsi="Times New Roman" w:cs="Times New Roman"/>
                <w:b/>
                <w:sz w:val="16"/>
                <w:szCs w:val="16"/>
                <w:lang w:val="en-US"/>
              </w:rPr>
              <w:t>Business</w:t>
            </w:r>
          </w:p>
        </w:tc>
        <w:tc>
          <w:tcPr>
            <w:tcW w:w="1120"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C821BE" w:rsidRPr="0010784C" w:rsidRDefault="00C821BE" w:rsidP="00C821BE">
            <w:pPr>
              <w:spacing w:after="0" w:line="240" w:lineRule="auto"/>
              <w:jc w:val="both"/>
              <w:rPr>
                <w:rFonts w:ascii="Times New Roman" w:hAnsi="Times New Roman" w:cs="Times New Roman"/>
                <w:b/>
                <w:sz w:val="16"/>
                <w:szCs w:val="16"/>
                <w:lang w:val="en-US"/>
              </w:rPr>
            </w:pPr>
            <w:r w:rsidRPr="0010784C">
              <w:rPr>
                <w:rFonts w:ascii="Times New Roman" w:hAnsi="Times New Roman" w:cs="Times New Roman"/>
                <w:b/>
                <w:sz w:val="16"/>
                <w:szCs w:val="16"/>
                <w:lang w:val="en-US"/>
              </w:rPr>
              <w:t>Monitoring committee</w:t>
            </w:r>
          </w:p>
          <w:p w:rsidR="00C821BE" w:rsidRPr="0010784C" w:rsidRDefault="00C821BE" w:rsidP="00C821BE">
            <w:pPr>
              <w:spacing w:after="0" w:line="240" w:lineRule="auto"/>
              <w:jc w:val="both"/>
              <w:rPr>
                <w:rFonts w:ascii="Times New Roman" w:hAnsi="Times New Roman" w:cs="Times New Roman"/>
                <w:b/>
                <w:sz w:val="16"/>
                <w:szCs w:val="16"/>
                <w:lang w:val="en-US"/>
              </w:rPr>
            </w:pPr>
          </w:p>
          <w:p w:rsidR="00C821BE" w:rsidRPr="0010784C" w:rsidRDefault="00C821BE" w:rsidP="00C821BE">
            <w:pPr>
              <w:spacing w:after="0" w:line="240" w:lineRule="auto"/>
              <w:jc w:val="both"/>
              <w:rPr>
                <w:rFonts w:ascii="Times New Roman" w:hAnsi="Times New Roman" w:cs="Times New Roman"/>
                <w:b/>
                <w:sz w:val="16"/>
                <w:szCs w:val="16"/>
                <w:lang w:val="en-US"/>
              </w:rPr>
            </w:pPr>
            <w:r w:rsidRPr="0010784C">
              <w:rPr>
                <w:rFonts w:ascii="Times New Roman" w:hAnsi="Times New Roman" w:cs="Times New Roman"/>
                <w:b/>
                <w:sz w:val="16"/>
                <w:szCs w:val="16"/>
                <w:lang w:val="en-US"/>
              </w:rPr>
              <w:t>PUASEE-FA</w:t>
            </w:r>
          </w:p>
        </w:tc>
        <w:tc>
          <w:tcPr>
            <w:tcW w:w="1445" w:type="dxa"/>
            <w:tcBorders>
              <w:top w:val="single" w:sz="4" w:space="0" w:color="auto"/>
              <w:left w:val="single" w:sz="4" w:space="0" w:color="auto"/>
              <w:bottom w:val="single" w:sz="4" w:space="0" w:color="auto"/>
              <w:right w:val="single" w:sz="4" w:space="0" w:color="auto"/>
            </w:tcBorders>
            <w:vAlign w:val="center"/>
          </w:tcPr>
          <w:p w:rsidR="00C821BE" w:rsidRPr="0010784C" w:rsidRDefault="00C821BE" w:rsidP="00C821BE">
            <w:pPr>
              <w:spacing w:after="0" w:line="240" w:lineRule="auto"/>
              <w:jc w:val="both"/>
              <w:rPr>
                <w:rFonts w:ascii="Times New Roman" w:hAnsi="Times New Roman" w:cs="Times New Roman"/>
                <w:sz w:val="16"/>
                <w:szCs w:val="16"/>
                <w:lang w:val="en-US"/>
              </w:rPr>
            </w:pPr>
            <w:r w:rsidRPr="0010784C">
              <w:rPr>
                <w:rFonts w:ascii="Times New Roman" w:hAnsi="Times New Roman" w:cs="Times New Roman"/>
                <w:sz w:val="16"/>
                <w:szCs w:val="16"/>
                <w:lang w:val="en-US"/>
              </w:rPr>
              <w:t>During construction / Quarterly</w:t>
            </w:r>
          </w:p>
        </w:tc>
        <w:tc>
          <w:tcPr>
            <w:tcW w:w="112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C821BE" w:rsidRPr="0010784C" w:rsidRDefault="00C821BE" w:rsidP="00C821BE">
            <w:pPr>
              <w:spacing w:after="0" w:line="240" w:lineRule="auto"/>
              <w:jc w:val="both"/>
              <w:rPr>
                <w:rFonts w:ascii="Times New Roman" w:hAnsi="Times New Roman" w:cs="Times New Roman"/>
                <w:b/>
                <w:sz w:val="16"/>
                <w:szCs w:val="16"/>
                <w:lang w:val="en-US"/>
              </w:rPr>
            </w:pPr>
            <w:r w:rsidRPr="0010784C">
              <w:rPr>
                <w:rFonts w:ascii="Times New Roman" w:hAnsi="Times New Roman" w:cs="Times New Roman"/>
                <w:b/>
                <w:sz w:val="16"/>
                <w:szCs w:val="16"/>
                <w:lang w:val="en-US"/>
              </w:rPr>
              <w:t>3,500,000</w:t>
            </w:r>
          </w:p>
        </w:tc>
      </w:tr>
      <w:tr w:rsidR="00C821BE" w:rsidRPr="0010784C" w:rsidTr="00C821BE">
        <w:trPr>
          <w:trHeight w:val="446"/>
          <w:jc w:val="center"/>
        </w:trPr>
        <w:tc>
          <w:tcPr>
            <w:tcW w:w="1212"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C821BE" w:rsidRPr="0010784C" w:rsidRDefault="00C821BE" w:rsidP="00C821BE">
            <w:pPr>
              <w:spacing w:after="0" w:line="240" w:lineRule="auto"/>
              <w:jc w:val="both"/>
              <w:rPr>
                <w:rFonts w:ascii="Times New Roman" w:hAnsi="Times New Roman" w:cs="Times New Roman"/>
                <w:b/>
                <w:bCs/>
                <w:sz w:val="16"/>
                <w:szCs w:val="16"/>
                <w:lang w:val="en-US"/>
              </w:rPr>
            </w:pPr>
            <w:r w:rsidRPr="0010784C">
              <w:rPr>
                <w:rFonts w:ascii="Times New Roman" w:hAnsi="Times New Roman" w:cs="Times New Roman"/>
                <w:b/>
                <w:bCs/>
                <w:sz w:val="16"/>
                <w:szCs w:val="16"/>
                <w:lang w:val="en-US"/>
              </w:rPr>
              <w:t>Soil and geology</w:t>
            </w:r>
            <w:r w:rsidRPr="0010784C">
              <w:rPr>
                <w:rFonts w:ascii="Times New Roman" w:hAnsi="Times New Roman" w:cs="Times New Roman"/>
                <w:b/>
                <w:sz w:val="16"/>
                <w:szCs w:val="16"/>
                <w:lang w:val="en-US"/>
              </w:rPr>
              <w:t xml:space="preserve"> </w:t>
            </w:r>
          </w:p>
        </w:tc>
        <w:tc>
          <w:tcPr>
            <w:tcW w:w="2079" w:type="dxa"/>
            <w:tcBorders>
              <w:top w:val="single" w:sz="4" w:space="0" w:color="auto"/>
              <w:left w:val="single" w:sz="4" w:space="0" w:color="auto"/>
              <w:bottom w:val="single" w:sz="4" w:space="0" w:color="auto"/>
              <w:right w:val="single" w:sz="4" w:space="0" w:color="auto"/>
            </w:tcBorders>
            <w:vAlign w:val="center"/>
          </w:tcPr>
          <w:p w:rsidR="00C821BE" w:rsidRPr="0010784C" w:rsidRDefault="00C821BE" w:rsidP="00C821BE">
            <w:pPr>
              <w:spacing w:after="0" w:line="240" w:lineRule="auto"/>
              <w:jc w:val="both"/>
              <w:rPr>
                <w:rFonts w:ascii="Times New Roman" w:hAnsi="Times New Roman" w:cs="Times New Roman"/>
                <w:sz w:val="16"/>
                <w:szCs w:val="16"/>
                <w:lang w:val="en-US"/>
              </w:rPr>
            </w:pPr>
            <w:r w:rsidRPr="0010784C">
              <w:rPr>
                <w:rFonts w:ascii="Times New Roman" w:hAnsi="Times New Roman" w:cs="Times New Roman"/>
                <w:sz w:val="16"/>
                <w:szCs w:val="16"/>
                <w:lang w:val="en-US"/>
              </w:rPr>
              <w:t>Modification and weakening of the structure and texture of the soil and subsoils</w:t>
            </w:r>
          </w:p>
          <w:p w:rsidR="00C821BE" w:rsidRPr="0010784C" w:rsidRDefault="00C821BE" w:rsidP="00C821BE">
            <w:pPr>
              <w:spacing w:after="0" w:line="240" w:lineRule="auto"/>
              <w:jc w:val="both"/>
              <w:rPr>
                <w:rFonts w:ascii="Times New Roman" w:hAnsi="Times New Roman" w:cs="Times New Roman"/>
                <w:sz w:val="16"/>
                <w:szCs w:val="16"/>
                <w:lang w:val="en-US"/>
              </w:rPr>
            </w:pPr>
          </w:p>
          <w:p w:rsidR="00C821BE" w:rsidRPr="0010784C" w:rsidRDefault="00C821BE" w:rsidP="00C821BE">
            <w:pPr>
              <w:spacing w:after="0" w:line="240" w:lineRule="auto"/>
              <w:jc w:val="both"/>
              <w:rPr>
                <w:rFonts w:ascii="Times New Roman" w:hAnsi="Times New Roman" w:cs="Times New Roman"/>
                <w:sz w:val="16"/>
                <w:szCs w:val="16"/>
                <w:lang w:val="en-US"/>
              </w:rPr>
            </w:pPr>
            <w:r w:rsidRPr="0010784C">
              <w:rPr>
                <w:rFonts w:ascii="Times New Roman" w:hAnsi="Times New Roman" w:cs="Times New Roman"/>
                <w:sz w:val="16"/>
                <w:szCs w:val="16"/>
                <w:lang w:val="en-US"/>
              </w:rPr>
              <w:t xml:space="preserve">Risk of soil pollution from accidental spillage of pollutants (solvent, paint, </w:t>
            </w:r>
            <w:r w:rsidRPr="0010784C">
              <w:rPr>
                <w:rFonts w:ascii="Times New Roman" w:hAnsi="Times New Roman" w:cs="Times New Roman"/>
                <w:sz w:val="16"/>
                <w:szCs w:val="16"/>
                <w:lang w:val="en-US"/>
              </w:rPr>
              <w:lastRenderedPageBreak/>
              <w:t>dead battery, bags of cement, pieces of wood etc.)</w:t>
            </w:r>
          </w:p>
          <w:p w:rsidR="00C821BE" w:rsidRPr="0010784C" w:rsidRDefault="00C821BE" w:rsidP="00C821BE">
            <w:pPr>
              <w:spacing w:after="0" w:line="240" w:lineRule="auto"/>
              <w:jc w:val="both"/>
              <w:rPr>
                <w:rFonts w:ascii="Times New Roman" w:hAnsi="Times New Roman" w:cs="Times New Roman"/>
                <w:sz w:val="16"/>
                <w:szCs w:val="16"/>
                <w:lang w:val="en-US"/>
              </w:rPr>
            </w:pPr>
            <w:r w:rsidRPr="0010784C">
              <w:rPr>
                <w:rFonts w:ascii="Times New Roman" w:hAnsi="Times New Roman" w:cs="Times New Roman"/>
                <w:sz w:val="16"/>
                <w:szCs w:val="16"/>
                <w:lang w:val="en-US"/>
              </w:rPr>
              <w:t>There is a risk of accidental soil pollution due to possible fuel or lubricant leaks.</w:t>
            </w:r>
          </w:p>
        </w:tc>
        <w:tc>
          <w:tcPr>
            <w:tcW w:w="4335" w:type="dxa"/>
            <w:tcBorders>
              <w:top w:val="single" w:sz="4" w:space="0" w:color="auto"/>
              <w:left w:val="single" w:sz="4" w:space="0" w:color="auto"/>
              <w:bottom w:val="single" w:sz="4" w:space="0" w:color="auto"/>
              <w:right w:val="single" w:sz="4" w:space="0" w:color="auto"/>
            </w:tcBorders>
            <w:vAlign w:val="center"/>
          </w:tcPr>
          <w:p w:rsidR="00C821BE" w:rsidRPr="0010784C" w:rsidRDefault="00C821BE" w:rsidP="00C821BE">
            <w:pPr>
              <w:spacing w:after="0" w:line="240" w:lineRule="auto"/>
              <w:jc w:val="both"/>
              <w:rPr>
                <w:rFonts w:ascii="Times New Roman" w:hAnsi="Times New Roman" w:cs="Times New Roman"/>
                <w:sz w:val="16"/>
                <w:szCs w:val="16"/>
                <w:lang w:val="en-US"/>
              </w:rPr>
            </w:pPr>
            <w:r w:rsidRPr="0010784C">
              <w:rPr>
                <w:rFonts w:ascii="Times New Roman" w:hAnsi="Times New Roman" w:cs="Times New Roman"/>
                <w:sz w:val="16"/>
                <w:szCs w:val="16"/>
                <w:lang w:val="en-US"/>
              </w:rPr>
              <w:lastRenderedPageBreak/>
              <w:t>-Minimize soil compaction;</w:t>
            </w:r>
          </w:p>
          <w:p w:rsidR="00C821BE" w:rsidRPr="0010784C" w:rsidRDefault="00C821BE" w:rsidP="00C821BE">
            <w:pPr>
              <w:spacing w:after="0" w:line="240" w:lineRule="auto"/>
              <w:jc w:val="both"/>
              <w:rPr>
                <w:rFonts w:ascii="Times New Roman" w:hAnsi="Times New Roman" w:cs="Times New Roman"/>
                <w:sz w:val="16"/>
                <w:szCs w:val="16"/>
                <w:lang w:val="en-US"/>
              </w:rPr>
            </w:pPr>
            <w:r w:rsidRPr="0010784C">
              <w:rPr>
                <w:rFonts w:ascii="Times New Roman" w:hAnsi="Times New Roman" w:cs="Times New Roman"/>
                <w:sz w:val="16"/>
                <w:szCs w:val="16"/>
                <w:lang w:val="en-US"/>
              </w:rPr>
              <w:t>-Ensure that the edges of the reservoirs are well backfilled to avoid subsidence and erosion phenomena;</w:t>
            </w:r>
          </w:p>
          <w:p w:rsidR="00C821BE" w:rsidRPr="0010784C" w:rsidRDefault="00C821BE" w:rsidP="00C821BE">
            <w:pPr>
              <w:spacing w:after="0" w:line="240" w:lineRule="auto"/>
              <w:jc w:val="both"/>
              <w:rPr>
                <w:rFonts w:ascii="Times New Roman" w:hAnsi="Times New Roman" w:cs="Times New Roman"/>
                <w:sz w:val="16"/>
                <w:szCs w:val="16"/>
                <w:lang w:val="en-US"/>
              </w:rPr>
            </w:pPr>
            <w:r w:rsidRPr="0010784C">
              <w:rPr>
                <w:rFonts w:ascii="Times New Roman" w:hAnsi="Times New Roman" w:cs="Times New Roman"/>
                <w:sz w:val="16"/>
                <w:szCs w:val="16"/>
                <w:lang w:val="en-US"/>
              </w:rPr>
              <w:t>- Store all polluting materials (solvent, paint, dead battery, etc.) in retention tanks in a well-sealed room;</w:t>
            </w:r>
          </w:p>
          <w:p w:rsidR="00C821BE" w:rsidRPr="0010784C" w:rsidRDefault="00C821BE" w:rsidP="00C821BE">
            <w:pPr>
              <w:spacing w:after="0" w:line="240" w:lineRule="auto"/>
              <w:jc w:val="both"/>
              <w:rPr>
                <w:rFonts w:ascii="Times New Roman" w:hAnsi="Times New Roman" w:cs="Times New Roman"/>
                <w:sz w:val="16"/>
                <w:szCs w:val="16"/>
                <w:lang w:val="en-US"/>
              </w:rPr>
            </w:pPr>
            <w:r w:rsidRPr="0010784C">
              <w:rPr>
                <w:rFonts w:ascii="Times New Roman" w:hAnsi="Times New Roman" w:cs="Times New Roman"/>
                <w:sz w:val="16"/>
                <w:szCs w:val="16"/>
                <w:lang w:val="en-US"/>
              </w:rPr>
              <w:t>-Set up a waste management system (sorting, collection, transport and disposal)</w:t>
            </w:r>
          </w:p>
          <w:p w:rsidR="00C821BE" w:rsidRPr="0010784C" w:rsidRDefault="00C821BE" w:rsidP="00C821BE">
            <w:pPr>
              <w:spacing w:after="0" w:line="240" w:lineRule="auto"/>
              <w:jc w:val="both"/>
              <w:rPr>
                <w:rFonts w:ascii="Times New Roman" w:hAnsi="Times New Roman" w:cs="Times New Roman"/>
                <w:sz w:val="16"/>
                <w:szCs w:val="16"/>
                <w:lang w:val="en-US"/>
              </w:rPr>
            </w:pPr>
            <w:r w:rsidRPr="0010784C">
              <w:rPr>
                <w:rFonts w:ascii="Times New Roman" w:hAnsi="Times New Roman" w:cs="Times New Roman"/>
                <w:sz w:val="16"/>
                <w:szCs w:val="16"/>
                <w:lang w:val="en-US"/>
              </w:rPr>
              <w:lastRenderedPageBreak/>
              <w:t>- Set up a waste oil management system (collection, transport and disposal)</w:t>
            </w:r>
          </w:p>
          <w:p w:rsidR="00C821BE" w:rsidRPr="0010784C" w:rsidRDefault="00C821BE" w:rsidP="00C821BE">
            <w:pPr>
              <w:spacing w:after="0" w:line="240" w:lineRule="auto"/>
              <w:jc w:val="both"/>
              <w:rPr>
                <w:rFonts w:ascii="Times New Roman" w:hAnsi="Times New Roman" w:cs="Times New Roman"/>
                <w:sz w:val="16"/>
                <w:szCs w:val="16"/>
                <w:lang w:val="en-US"/>
              </w:rPr>
            </w:pPr>
            <w:r w:rsidRPr="0010784C">
              <w:rPr>
                <w:rFonts w:ascii="Times New Roman" w:hAnsi="Times New Roman" w:cs="Times New Roman"/>
                <w:sz w:val="16"/>
                <w:szCs w:val="16"/>
                <w:lang w:val="en-US"/>
              </w:rPr>
              <w:t>- Sign a memorandum of understanding with a company and service providers responsible for evacuation and treatment;</w:t>
            </w:r>
          </w:p>
          <w:p w:rsidR="00C821BE" w:rsidRPr="0010784C" w:rsidRDefault="00C821BE" w:rsidP="00C821BE">
            <w:pPr>
              <w:spacing w:after="0" w:line="240" w:lineRule="auto"/>
              <w:jc w:val="both"/>
              <w:rPr>
                <w:rFonts w:ascii="Times New Roman" w:hAnsi="Times New Roman" w:cs="Times New Roman"/>
                <w:sz w:val="16"/>
                <w:szCs w:val="16"/>
                <w:lang w:val="en-US"/>
              </w:rPr>
            </w:pPr>
            <w:r w:rsidRPr="0010784C">
              <w:rPr>
                <w:rFonts w:ascii="Times New Roman" w:hAnsi="Times New Roman" w:cs="Times New Roman"/>
                <w:sz w:val="16"/>
                <w:szCs w:val="16"/>
                <w:lang w:val="en-US"/>
              </w:rPr>
              <w:t xml:space="preserve">- Obtain fuel or lubricant from service stations such as construction sites (Bor, Safim, Antula) is nearby in town; </w:t>
            </w:r>
          </w:p>
          <w:p w:rsidR="00C821BE" w:rsidRPr="0010784C" w:rsidRDefault="00C821BE" w:rsidP="00C821BE">
            <w:pPr>
              <w:spacing w:after="0" w:line="240" w:lineRule="auto"/>
              <w:jc w:val="both"/>
              <w:rPr>
                <w:rFonts w:ascii="Times New Roman" w:hAnsi="Times New Roman" w:cs="Times New Roman"/>
                <w:sz w:val="16"/>
                <w:szCs w:val="16"/>
                <w:lang w:val="en-US"/>
              </w:rPr>
            </w:pPr>
            <w:r w:rsidRPr="0010784C">
              <w:rPr>
                <w:rFonts w:ascii="Times New Roman" w:hAnsi="Times New Roman" w:cs="Times New Roman"/>
                <w:sz w:val="16"/>
                <w:szCs w:val="16"/>
                <w:lang w:val="en-US"/>
              </w:rPr>
              <w:t>- Provide adequate drainage for runoff.</w:t>
            </w:r>
          </w:p>
        </w:tc>
        <w:tc>
          <w:tcPr>
            <w:tcW w:w="3568" w:type="dxa"/>
            <w:tcBorders>
              <w:top w:val="single" w:sz="4" w:space="0" w:color="auto"/>
              <w:left w:val="single" w:sz="4" w:space="0" w:color="auto"/>
              <w:bottom w:val="single" w:sz="4" w:space="0" w:color="auto"/>
              <w:right w:val="single" w:sz="4" w:space="0" w:color="auto"/>
            </w:tcBorders>
            <w:vAlign w:val="center"/>
          </w:tcPr>
          <w:p w:rsidR="00C821BE" w:rsidRPr="0010784C" w:rsidRDefault="00C821BE" w:rsidP="00C821BE">
            <w:pPr>
              <w:spacing w:after="0" w:line="240" w:lineRule="auto"/>
              <w:jc w:val="both"/>
              <w:rPr>
                <w:rFonts w:ascii="Times New Roman" w:hAnsi="Times New Roman" w:cs="Times New Roman"/>
                <w:sz w:val="16"/>
                <w:szCs w:val="16"/>
                <w:lang w:val="en-US"/>
              </w:rPr>
            </w:pPr>
            <w:r w:rsidRPr="0010784C">
              <w:rPr>
                <w:rFonts w:ascii="Times New Roman" w:hAnsi="Times New Roman" w:cs="Times New Roman"/>
                <w:sz w:val="16"/>
                <w:szCs w:val="16"/>
                <w:lang w:val="en-US"/>
              </w:rPr>
              <w:lastRenderedPageBreak/>
              <w:t>- No presence of subsidence or erosion at the sites;</w:t>
            </w:r>
          </w:p>
          <w:p w:rsidR="00C821BE" w:rsidRPr="0010784C" w:rsidRDefault="00C821BE" w:rsidP="00C821BE">
            <w:pPr>
              <w:spacing w:after="0" w:line="240" w:lineRule="auto"/>
              <w:jc w:val="both"/>
              <w:rPr>
                <w:rFonts w:ascii="Times New Roman" w:hAnsi="Times New Roman" w:cs="Times New Roman"/>
                <w:sz w:val="16"/>
                <w:szCs w:val="16"/>
                <w:lang w:val="en-US"/>
              </w:rPr>
            </w:pPr>
            <w:r w:rsidRPr="0010784C">
              <w:rPr>
                <w:rFonts w:ascii="Times New Roman" w:hAnsi="Times New Roman" w:cs="Times New Roman"/>
                <w:sz w:val="16"/>
                <w:szCs w:val="16"/>
                <w:lang w:val="en-US"/>
              </w:rPr>
              <w:t>-Rate of coated surface;</w:t>
            </w:r>
          </w:p>
          <w:p w:rsidR="00C821BE" w:rsidRPr="0010784C" w:rsidRDefault="00C821BE" w:rsidP="00C821BE">
            <w:pPr>
              <w:spacing w:after="0" w:line="240" w:lineRule="auto"/>
              <w:jc w:val="both"/>
              <w:rPr>
                <w:rFonts w:ascii="Times New Roman" w:hAnsi="Times New Roman" w:cs="Times New Roman"/>
                <w:sz w:val="16"/>
                <w:szCs w:val="16"/>
                <w:lang w:val="en-US"/>
              </w:rPr>
            </w:pPr>
            <w:r w:rsidRPr="0010784C">
              <w:rPr>
                <w:rFonts w:ascii="Times New Roman" w:hAnsi="Times New Roman" w:cs="Times New Roman"/>
                <w:sz w:val="16"/>
                <w:szCs w:val="16"/>
                <w:lang w:val="en-US"/>
              </w:rPr>
              <w:t>-Presence of half a dozen barrels for waste collection,</w:t>
            </w:r>
          </w:p>
          <w:p w:rsidR="00C821BE" w:rsidRPr="0010784C" w:rsidRDefault="00C821BE" w:rsidP="00C821BE">
            <w:pPr>
              <w:spacing w:after="0" w:line="240" w:lineRule="auto"/>
              <w:jc w:val="both"/>
              <w:rPr>
                <w:rFonts w:ascii="Times New Roman" w:hAnsi="Times New Roman" w:cs="Times New Roman"/>
                <w:sz w:val="16"/>
                <w:szCs w:val="16"/>
                <w:lang w:val="en-US"/>
              </w:rPr>
            </w:pPr>
            <w:r w:rsidRPr="0010784C">
              <w:rPr>
                <w:rFonts w:ascii="Times New Roman" w:hAnsi="Times New Roman" w:cs="Times New Roman"/>
                <w:sz w:val="16"/>
                <w:szCs w:val="16"/>
                <w:lang w:val="en-US"/>
              </w:rPr>
              <w:t>- Memorandum of understanding signed with town halls and service providers responsible for waste disposal;</w:t>
            </w:r>
          </w:p>
          <w:p w:rsidR="00C821BE" w:rsidRPr="0010784C" w:rsidRDefault="00C821BE" w:rsidP="00C821BE">
            <w:pPr>
              <w:spacing w:after="0" w:line="240" w:lineRule="auto"/>
              <w:jc w:val="both"/>
              <w:rPr>
                <w:rFonts w:ascii="Times New Roman" w:hAnsi="Times New Roman" w:cs="Times New Roman"/>
                <w:sz w:val="16"/>
                <w:szCs w:val="16"/>
                <w:lang w:val="en-US"/>
              </w:rPr>
            </w:pPr>
            <w:r w:rsidRPr="0010784C">
              <w:rPr>
                <w:rFonts w:ascii="Times New Roman" w:hAnsi="Times New Roman" w:cs="Times New Roman"/>
                <w:sz w:val="16"/>
                <w:szCs w:val="16"/>
                <w:lang w:val="en-US"/>
              </w:rPr>
              <w:lastRenderedPageBreak/>
              <w:t>-Quantity of waste collected, sorted and eliminated;</w:t>
            </w:r>
          </w:p>
          <w:p w:rsidR="00C821BE" w:rsidRPr="0010784C" w:rsidRDefault="00C821BE" w:rsidP="00C821BE">
            <w:pPr>
              <w:spacing w:after="0" w:line="240" w:lineRule="auto"/>
              <w:jc w:val="both"/>
              <w:rPr>
                <w:rFonts w:ascii="Times New Roman" w:hAnsi="Times New Roman" w:cs="Times New Roman"/>
                <w:sz w:val="16"/>
                <w:szCs w:val="16"/>
                <w:lang w:val="en-US"/>
              </w:rPr>
            </w:pPr>
            <w:r w:rsidRPr="0010784C">
              <w:rPr>
                <w:rFonts w:ascii="Times New Roman" w:hAnsi="Times New Roman" w:cs="Times New Roman"/>
                <w:sz w:val="16"/>
                <w:szCs w:val="16"/>
                <w:lang w:val="en-US"/>
              </w:rPr>
              <w:t>-Existence of a drainage network;</w:t>
            </w:r>
          </w:p>
          <w:p w:rsidR="00C821BE" w:rsidRPr="0010784C" w:rsidRDefault="00C821BE" w:rsidP="00C821BE">
            <w:pPr>
              <w:spacing w:after="0" w:line="240" w:lineRule="auto"/>
              <w:jc w:val="both"/>
              <w:rPr>
                <w:rFonts w:ascii="Times New Roman" w:hAnsi="Times New Roman" w:cs="Times New Roman"/>
                <w:sz w:val="16"/>
                <w:szCs w:val="16"/>
                <w:lang w:val="en-US"/>
              </w:rPr>
            </w:pPr>
            <w:r w:rsidRPr="0010784C">
              <w:rPr>
                <w:rFonts w:ascii="Times New Roman" w:hAnsi="Times New Roman" w:cs="Times New Roman"/>
                <w:sz w:val="16"/>
                <w:szCs w:val="16"/>
                <w:lang w:val="en-US"/>
              </w:rPr>
              <w:t>-Quantity of hydrocarbon stored;</w:t>
            </w:r>
          </w:p>
          <w:p w:rsidR="00C821BE" w:rsidRPr="0010784C" w:rsidRDefault="00C821BE" w:rsidP="00C821BE">
            <w:pPr>
              <w:spacing w:after="0" w:line="240" w:lineRule="auto"/>
              <w:jc w:val="both"/>
              <w:rPr>
                <w:rFonts w:ascii="Times New Roman" w:hAnsi="Times New Roman" w:cs="Times New Roman"/>
                <w:sz w:val="16"/>
                <w:szCs w:val="16"/>
                <w:lang w:val="en-US"/>
              </w:rPr>
            </w:pPr>
            <w:r w:rsidRPr="0010784C">
              <w:rPr>
                <w:rFonts w:ascii="Times New Roman" w:hAnsi="Times New Roman" w:cs="Times New Roman"/>
                <w:sz w:val="16"/>
                <w:szCs w:val="16"/>
                <w:lang w:val="en-US"/>
              </w:rPr>
              <w:t>- Memorandum of understanding signed with a company and providers responsible for evacuation and treatment;</w:t>
            </w:r>
          </w:p>
          <w:p w:rsidR="00C821BE" w:rsidRPr="0010784C" w:rsidRDefault="00C821BE" w:rsidP="00C821BE">
            <w:pPr>
              <w:spacing w:after="0" w:line="240" w:lineRule="auto"/>
              <w:jc w:val="both"/>
              <w:rPr>
                <w:rFonts w:ascii="Times New Roman" w:hAnsi="Times New Roman" w:cs="Times New Roman"/>
                <w:sz w:val="16"/>
                <w:szCs w:val="16"/>
                <w:lang w:val="en-US"/>
              </w:rPr>
            </w:pPr>
            <w:r w:rsidRPr="0010784C">
              <w:rPr>
                <w:rFonts w:ascii="Times New Roman" w:hAnsi="Times New Roman" w:cs="Times New Roman"/>
                <w:sz w:val="16"/>
                <w:szCs w:val="16"/>
                <w:lang w:val="en-US"/>
              </w:rPr>
              <w:t>- Presence of invoices for Operations carried out at service stations;</w:t>
            </w:r>
          </w:p>
        </w:tc>
        <w:tc>
          <w:tcPr>
            <w:tcW w:w="1134"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C821BE" w:rsidRPr="0010784C" w:rsidRDefault="00C821BE" w:rsidP="00C821BE">
            <w:pPr>
              <w:spacing w:after="0" w:line="240" w:lineRule="auto"/>
              <w:jc w:val="center"/>
              <w:rPr>
                <w:rFonts w:ascii="Times New Roman" w:hAnsi="Times New Roman" w:cs="Times New Roman"/>
                <w:b/>
                <w:sz w:val="16"/>
                <w:szCs w:val="16"/>
                <w:lang w:val="en-US"/>
              </w:rPr>
            </w:pPr>
            <w:r w:rsidRPr="0010784C">
              <w:rPr>
                <w:rFonts w:ascii="Times New Roman" w:hAnsi="Times New Roman" w:cs="Times New Roman"/>
                <w:b/>
                <w:sz w:val="16"/>
                <w:szCs w:val="16"/>
                <w:lang w:val="en-US"/>
              </w:rPr>
              <w:lastRenderedPageBreak/>
              <w:t>Business</w:t>
            </w:r>
          </w:p>
        </w:tc>
        <w:tc>
          <w:tcPr>
            <w:tcW w:w="1120"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C821BE" w:rsidRPr="0010784C" w:rsidRDefault="00C821BE" w:rsidP="00C821BE">
            <w:pPr>
              <w:spacing w:after="0" w:line="240" w:lineRule="auto"/>
              <w:jc w:val="center"/>
              <w:rPr>
                <w:rFonts w:ascii="Times New Roman" w:hAnsi="Times New Roman" w:cs="Times New Roman"/>
                <w:b/>
                <w:sz w:val="16"/>
                <w:szCs w:val="16"/>
                <w:lang w:val="en-US"/>
              </w:rPr>
            </w:pPr>
            <w:r w:rsidRPr="0010784C">
              <w:rPr>
                <w:rFonts w:ascii="Times New Roman" w:hAnsi="Times New Roman" w:cs="Times New Roman"/>
                <w:b/>
                <w:sz w:val="16"/>
                <w:szCs w:val="16"/>
                <w:lang w:val="en-US"/>
              </w:rPr>
              <w:t>Monitoring committee</w:t>
            </w:r>
          </w:p>
          <w:p w:rsidR="00C821BE" w:rsidRPr="0010784C" w:rsidRDefault="00C821BE" w:rsidP="00C821BE">
            <w:pPr>
              <w:spacing w:after="0" w:line="240" w:lineRule="auto"/>
              <w:jc w:val="center"/>
              <w:rPr>
                <w:rFonts w:ascii="Times New Roman" w:hAnsi="Times New Roman" w:cs="Times New Roman"/>
                <w:b/>
                <w:sz w:val="16"/>
                <w:szCs w:val="16"/>
                <w:lang w:val="en-US"/>
              </w:rPr>
            </w:pPr>
          </w:p>
          <w:p w:rsidR="00C821BE" w:rsidRPr="0010784C" w:rsidRDefault="00C821BE" w:rsidP="00C821BE">
            <w:pPr>
              <w:spacing w:after="0" w:line="240" w:lineRule="auto"/>
              <w:jc w:val="center"/>
              <w:rPr>
                <w:rFonts w:ascii="Times New Roman" w:hAnsi="Times New Roman" w:cs="Times New Roman"/>
                <w:b/>
                <w:sz w:val="16"/>
                <w:szCs w:val="16"/>
                <w:lang w:val="en-US"/>
              </w:rPr>
            </w:pPr>
            <w:r w:rsidRPr="0010784C">
              <w:rPr>
                <w:rFonts w:ascii="Times New Roman" w:hAnsi="Times New Roman" w:cs="Times New Roman"/>
                <w:b/>
                <w:sz w:val="16"/>
                <w:szCs w:val="16"/>
                <w:lang w:val="en-US"/>
              </w:rPr>
              <w:t>PUASEE-FA</w:t>
            </w:r>
          </w:p>
        </w:tc>
        <w:tc>
          <w:tcPr>
            <w:tcW w:w="1445" w:type="dxa"/>
            <w:tcBorders>
              <w:top w:val="single" w:sz="4" w:space="0" w:color="auto"/>
              <w:left w:val="single" w:sz="4" w:space="0" w:color="auto"/>
              <w:bottom w:val="single" w:sz="4" w:space="0" w:color="auto"/>
              <w:right w:val="single" w:sz="4" w:space="0" w:color="auto"/>
            </w:tcBorders>
            <w:vAlign w:val="center"/>
          </w:tcPr>
          <w:p w:rsidR="00C821BE" w:rsidRPr="0010784C" w:rsidRDefault="00C821BE" w:rsidP="00C821BE">
            <w:pPr>
              <w:spacing w:after="0" w:line="240" w:lineRule="auto"/>
              <w:jc w:val="center"/>
              <w:rPr>
                <w:rFonts w:ascii="Times New Roman" w:hAnsi="Times New Roman" w:cs="Times New Roman"/>
                <w:sz w:val="16"/>
                <w:szCs w:val="16"/>
                <w:lang w:val="en-US"/>
              </w:rPr>
            </w:pPr>
            <w:r w:rsidRPr="0010784C">
              <w:rPr>
                <w:rFonts w:ascii="Times New Roman" w:hAnsi="Times New Roman" w:cs="Times New Roman"/>
                <w:sz w:val="16"/>
                <w:szCs w:val="16"/>
                <w:lang w:val="en-US"/>
              </w:rPr>
              <w:t>During construction / Quarterly</w:t>
            </w:r>
          </w:p>
        </w:tc>
        <w:tc>
          <w:tcPr>
            <w:tcW w:w="112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C821BE" w:rsidRPr="0010784C" w:rsidRDefault="00C821BE" w:rsidP="00C821BE">
            <w:pPr>
              <w:spacing w:after="0" w:line="240" w:lineRule="auto"/>
              <w:jc w:val="center"/>
              <w:rPr>
                <w:rFonts w:ascii="Times New Roman" w:hAnsi="Times New Roman" w:cs="Times New Roman"/>
                <w:b/>
                <w:sz w:val="16"/>
                <w:szCs w:val="16"/>
                <w:lang w:val="en-US"/>
              </w:rPr>
            </w:pPr>
            <w:r w:rsidRPr="0010784C">
              <w:rPr>
                <w:rFonts w:ascii="Times New Roman" w:hAnsi="Times New Roman" w:cs="Times New Roman"/>
                <w:b/>
                <w:sz w:val="16"/>
                <w:szCs w:val="16"/>
                <w:lang w:val="en-US"/>
              </w:rPr>
              <w:t>6,000,000</w:t>
            </w:r>
          </w:p>
        </w:tc>
      </w:tr>
      <w:tr w:rsidR="00C821BE" w:rsidRPr="0010784C" w:rsidTr="00C821BE">
        <w:trPr>
          <w:trHeight w:val="1404"/>
          <w:jc w:val="center"/>
        </w:trPr>
        <w:tc>
          <w:tcPr>
            <w:tcW w:w="1212"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C821BE" w:rsidRPr="0010784C" w:rsidRDefault="00C821BE" w:rsidP="00C821BE">
            <w:pPr>
              <w:spacing w:after="0" w:line="240" w:lineRule="auto"/>
              <w:jc w:val="center"/>
              <w:rPr>
                <w:rFonts w:ascii="Times New Roman" w:hAnsi="Times New Roman" w:cs="Times New Roman"/>
                <w:b/>
                <w:bCs/>
                <w:sz w:val="16"/>
                <w:szCs w:val="16"/>
                <w:lang w:val="en-US"/>
              </w:rPr>
            </w:pPr>
            <w:r w:rsidRPr="0010784C">
              <w:rPr>
                <w:rFonts w:ascii="Times New Roman" w:hAnsi="Times New Roman" w:cs="Times New Roman"/>
                <w:b/>
                <w:bCs/>
                <w:sz w:val="16"/>
                <w:szCs w:val="16"/>
                <w:lang w:val="en-US"/>
              </w:rPr>
              <w:lastRenderedPageBreak/>
              <w:t>Surface water</w:t>
            </w:r>
          </w:p>
          <w:p w:rsidR="00C821BE" w:rsidRPr="0010784C" w:rsidRDefault="00C821BE" w:rsidP="00C821BE">
            <w:pPr>
              <w:spacing w:after="0" w:line="240" w:lineRule="auto"/>
              <w:jc w:val="center"/>
              <w:rPr>
                <w:rFonts w:ascii="Times New Roman" w:hAnsi="Times New Roman" w:cs="Times New Roman"/>
                <w:b/>
                <w:bCs/>
                <w:sz w:val="16"/>
                <w:szCs w:val="16"/>
                <w:lang w:val="en-US"/>
              </w:rPr>
            </w:pPr>
            <w:r w:rsidRPr="0010784C">
              <w:rPr>
                <w:rFonts w:ascii="Times New Roman" w:hAnsi="Times New Roman" w:cs="Times New Roman"/>
                <w:b/>
                <w:bCs/>
                <w:sz w:val="16"/>
                <w:szCs w:val="16"/>
                <w:lang w:val="en-US"/>
              </w:rPr>
              <w:t>/</w:t>
            </w:r>
          </w:p>
          <w:p w:rsidR="00C821BE" w:rsidRPr="0010784C" w:rsidRDefault="00C821BE" w:rsidP="00C821BE">
            <w:pPr>
              <w:spacing w:after="0" w:line="240" w:lineRule="auto"/>
              <w:jc w:val="center"/>
              <w:rPr>
                <w:rFonts w:ascii="Times New Roman" w:hAnsi="Times New Roman" w:cs="Times New Roman"/>
                <w:b/>
                <w:bCs/>
                <w:sz w:val="16"/>
                <w:szCs w:val="16"/>
                <w:lang w:val="en-US"/>
              </w:rPr>
            </w:pPr>
            <w:r w:rsidRPr="0010784C">
              <w:rPr>
                <w:rFonts w:ascii="Times New Roman" w:hAnsi="Times New Roman" w:cs="Times New Roman"/>
                <w:b/>
                <w:bCs/>
                <w:sz w:val="16"/>
                <w:szCs w:val="16"/>
                <w:lang w:val="en-US"/>
              </w:rPr>
              <w:t>Underground waters</w:t>
            </w:r>
          </w:p>
          <w:p w:rsidR="00C821BE" w:rsidRPr="0010784C" w:rsidRDefault="00C821BE" w:rsidP="00C821BE">
            <w:pPr>
              <w:spacing w:after="0" w:line="240" w:lineRule="auto"/>
              <w:jc w:val="center"/>
              <w:rPr>
                <w:rFonts w:ascii="Times New Roman" w:hAnsi="Times New Roman" w:cs="Times New Roman"/>
                <w:b/>
                <w:bCs/>
                <w:sz w:val="16"/>
                <w:szCs w:val="16"/>
                <w:lang w:val="en-US"/>
              </w:rPr>
            </w:pPr>
          </w:p>
        </w:tc>
        <w:tc>
          <w:tcPr>
            <w:tcW w:w="2079" w:type="dxa"/>
            <w:tcBorders>
              <w:top w:val="single" w:sz="4" w:space="0" w:color="auto"/>
              <w:left w:val="single" w:sz="4" w:space="0" w:color="auto"/>
              <w:bottom w:val="single" w:sz="4" w:space="0" w:color="auto"/>
              <w:right w:val="single" w:sz="4" w:space="0" w:color="auto"/>
            </w:tcBorders>
            <w:vAlign w:val="center"/>
          </w:tcPr>
          <w:p w:rsidR="00C821BE" w:rsidRPr="0010784C" w:rsidRDefault="00C821BE" w:rsidP="00C821BE">
            <w:pPr>
              <w:spacing w:after="0" w:line="240" w:lineRule="auto"/>
              <w:jc w:val="both"/>
              <w:rPr>
                <w:rFonts w:ascii="Times New Roman" w:hAnsi="Times New Roman" w:cs="Times New Roman"/>
                <w:sz w:val="16"/>
                <w:szCs w:val="16"/>
                <w:lang w:val="en-US"/>
              </w:rPr>
            </w:pPr>
            <w:r w:rsidRPr="0010784C">
              <w:rPr>
                <w:rFonts w:ascii="Times New Roman" w:hAnsi="Times New Roman" w:cs="Times New Roman"/>
                <w:sz w:val="16"/>
                <w:szCs w:val="16"/>
                <w:lang w:val="en-US"/>
              </w:rPr>
              <w:t>- Risk of degradation of the quality of surface water (</w:t>
            </w:r>
            <w:r w:rsidRPr="0010784C">
              <w:rPr>
                <w:rFonts w:ascii="Times New Roman" w:hAnsi="Times New Roman" w:cs="Times New Roman"/>
                <w:color w:val="000000"/>
                <w:sz w:val="16"/>
                <w:szCs w:val="16"/>
                <w:lang w:val="en-US"/>
              </w:rPr>
              <w:t>paints, lime, wastewater, cement, etc.)</w:t>
            </w:r>
          </w:p>
          <w:p w:rsidR="00C821BE" w:rsidRPr="0010784C" w:rsidRDefault="00C821BE" w:rsidP="00C821BE">
            <w:pPr>
              <w:spacing w:after="0" w:line="240" w:lineRule="auto"/>
              <w:jc w:val="both"/>
              <w:rPr>
                <w:rFonts w:ascii="Times New Roman" w:hAnsi="Times New Roman" w:cs="Times New Roman"/>
                <w:sz w:val="16"/>
                <w:szCs w:val="16"/>
                <w:lang w:val="en-US"/>
              </w:rPr>
            </w:pPr>
          </w:p>
          <w:p w:rsidR="00C821BE" w:rsidRPr="0010784C" w:rsidRDefault="00C821BE" w:rsidP="00C821BE">
            <w:pPr>
              <w:spacing w:after="0" w:line="240" w:lineRule="auto"/>
              <w:jc w:val="both"/>
              <w:rPr>
                <w:rFonts w:ascii="Times New Roman" w:hAnsi="Times New Roman" w:cs="Times New Roman"/>
                <w:sz w:val="16"/>
                <w:szCs w:val="16"/>
                <w:lang w:val="en-US"/>
              </w:rPr>
            </w:pPr>
            <w:r w:rsidRPr="0010784C">
              <w:rPr>
                <w:rFonts w:ascii="Times New Roman" w:hAnsi="Times New Roman" w:cs="Times New Roman"/>
                <w:sz w:val="16"/>
                <w:szCs w:val="16"/>
                <w:lang w:val="en-US"/>
              </w:rPr>
              <w:t>- Risk of pollution of runoff and underground water by oils, dead batteries, oil filters.</w:t>
            </w:r>
          </w:p>
          <w:p w:rsidR="00C821BE" w:rsidRPr="0010784C" w:rsidRDefault="00C821BE" w:rsidP="00C821BE">
            <w:pPr>
              <w:spacing w:after="0" w:line="240" w:lineRule="auto"/>
              <w:jc w:val="both"/>
              <w:rPr>
                <w:rFonts w:ascii="Times New Roman" w:hAnsi="Times New Roman" w:cs="Times New Roman"/>
                <w:sz w:val="16"/>
                <w:szCs w:val="16"/>
                <w:lang w:val="en-US"/>
              </w:rPr>
            </w:pPr>
          </w:p>
        </w:tc>
        <w:tc>
          <w:tcPr>
            <w:tcW w:w="4335" w:type="dxa"/>
            <w:tcBorders>
              <w:top w:val="single" w:sz="4" w:space="0" w:color="auto"/>
              <w:left w:val="single" w:sz="4" w:space="0" w:color="auto"/>
              <w:bottom w:val="single" w:sz="4" w:space="0" w:color="auto"/>
              <w:right w:val="single" w:sz="4" w:space="0" w:color="auto"/>
            </w:tcBorders>
            <w:vAlign w:val="center"/>
          </w:tcPr>
          <w:p w:rsidR="00C821BE" w:rsidRPr="0010784C" w:rsidRDefault="00C821BE" w:rsidP="00C821BE">
            <w:pPr>
              <w:spacing w:after="0" w:line="240" w:lineRule="auto"/>
              <w:jc w:val="both"/>
              <w:rPr>
                <w:rFonts w:ascii="Times New Roman" w:hAnsi="Times New Roman" w:cs="Times New Roman"/>
                <w:sz w:val="16"/>
                <w:szCs w:val="16"/>
                <w:lang w:val="en-US"/>
              </w:rPr>
            </w:pPr>
            <w:r w:rsidRPr="0010784C">
              <w:rPr>
                <w:rFonts w:ascii="Times New Roman" w:hAnsi="Times New Roman" w:cs="Times New Roman"/>
                <w:sz w:val="16"/>
                <w:szCs w:val="16"/>
                <w:lang w:val="en-US"/>
              </w:rPr>
              <w:t>- Rigorously apply a solid waste and wastewater management plan;</w:t>
            </w:r>
          </w:p>
          <w:p w:rsidR="00C821BE" w:rsidRPr="0010784C" w:rsidRDefault="00C821BE" w:rsidP="00C821BE">
            <w:pPr>
              <w:spacing w:after="0" w:line="240" w:lineRule="auto"/>
              <w:jc w:val="both"/>
              <w:rPr>
                <w:rFonts w:ascii="Times New Roman" w:hAnsi="Times New Roman" w:cs="Times New Roman"/>
                <w:sz w:val="16"/>
                <w:szCs w:val="16"/>
                <w:lang w:val="en-US"/>
              </w:rPr>
            </w:pPr>
            <w:r w:rsidRPr="0010784C">
              <w:rPr>
                <w:rFonts w:ascii="Times New Roman" w:hAnsi="Times New Roman" w:cs="Times New Roman"/>
                <w:sz w:val="16"/>
                <w:szCs w:val="16"/>
                <w:lang w:val="en-US"/>
              </w:rPr>
              <w:t>- Clean up the sites of the construction site;</w:t>
            </w:r>
          </w:p>
          <w:p w:rsidR="00C821BE" w:rsidRPr="0010784C" w:rsidRDefault="00C821BE" w:rsidP="00C821BE">
            <w:pPr>
              <w:spacing w:after="0" w:line="240" w:lineRule="auto"/>
              <w:jc w:val="both"/>
              <w:rPr>
                <w:rFonts w:ascii="Times New Roman" w:hAnsi="Times New Roman" w:cs="Times New Roman"/>
                <w:sz w:val="16"/>
                <w:szCs w:val="16"/>
                <w:lang w:val="en-US"/>
              </w:rPr>
            </w:pPr>
            <w:r w:rsidRPr="0010784C">
              <w:rPr>
                <w:rFonts w:ascii="Times New Roman" w:hAnsi="Times New Roman" w:cs="Times New Roman"/>
                <w:sz w:val="16"/>
                <w:szCs w:val="16"/>
                <w:lang w:val="en-US"/>
              </w:rPr>
              <w:t xml:space="preserve">- Monitor the quality of surface water closest to the sites; </w:t>
            </w:r>
          </w:p>
          <w:p w:rsidR="00C821BE" w:rsidRPr="0010784C" w:rsidRDefault="00C821BE" w:rsidP="00C821BE">
            <w:pPr>
              <w:spacing w:after="0" w:line="240" w:lineRule="auto"/>
              <w:jc w:val="both"/>
              <w:rPr>
                <w:rFonts w:ascii="Times New Roman" w:hAnsi="Times New Roman" w:cs="Times New Roman"/>
                <w:sz w:val="16"/>
                <w:szCs w:val="16"/>
                <w:lang w:val="en-US"/>
              </w:rPr>
            </w:pPr>
            <w:r w:rsidRPr="0010784C">
              <w:rPr>
                <w:rFonts w:ascii="Times New Roman" w:hAnsi="Times New Roman" w:cs="Times New Roman"/>
                <w:sz w:val="16"/>
                <w:szCs w:val="16"/>
                <w:lang w:val="en-US"/>
              </w:rPr>
              <w:t>-Store all polluting materials (hydrocarbons, etc.) in retention tanks in a well-sealed room;</w:t>
            </w:r>
          </w:p>
          <w:p w:rsidR="00C821BE" w:rsidRPr="0010784C" w:rsidRDefault="00C821BE" w:rsidP="00C821BE">
            <w:pPr>
              <w:spacing w:after="0" w:line="240" w:lineRule="auto"/>
              <w:jc w:val="both"/>
              <w:rPr>
                <w:rFonts w:ascii="Times New Roman" w:hAnsi="Times New Roman" w:cs="Times New Roman"/>
                <w:sz w:val="16"/>
                <w:szCs w:val="16"/>
                <w:lang w:val="en-US"/>
              </w:rPr>
            </w:pPr>
            <w:r w:rsidRPr="0010784C">
              <w:rPr>
                <w:rFonts w:ascii="Times New Roman" w:hAnsi="Times New Roman" w:cs="Times New Roman"/>
                <w:sz w:val="16"/>
                <w:szCs w:val="16"/>
                <w:lang w:val="en-US"/>
              </w:rPr>
              <w:t>-Sign a memorandum of understanding with a company and providers responsible for evacuation and treatment;</w:t>
            </w:r>
          </w:p>
          <w:p w:rsidR="00C821BE" w:rsidRPr="0010784C" w:rsidRDefault="00C821BE" w:rsidP="00C821BE">
            <w:pPr>
              <w:spacing w:after="0" w:line="240" w:lineRule="auto"/>
              <w:jc w:val="both"/>
              <w:rPr>
                <w:rFonts w:ascii="Times New Roman" w:hAnsi="Times New Roman" w:cs="Times New Roman"/>
                <w:sz w:val="16"/>
                <w:szCs w:val="16"/>
                <w:lang w:val="en-US"/>
              </w:rPr>
            </w:pPr>
            <w:r w:rsidRPr="0010784C">
              <w:rPr>
                <w:rFonts w:ascii="Times New Roman" w:hAnsi="Times New Roman" w:cs="Times New Roman"/>
                <w:sz w:val="16"/>
                <w:szCs w:val="16"/>
                <w:lang w:val="en-US"/>
              </w:rPr>
              <w:t>-Set up a waste oil management system (collection, transport and disposal);</w:t>
            </w:r>
          </w:p>
          <w:p w:rsidR="00C821BE" w:rsidRPr="0010784C" w:rsidRDefault="00C821BE" w:rsidP="00C821BE">
            <w:pPr>
              <w:spacing w:after="0" w:line="240" w:lineRule="auto"/>
              <w:jc w:val="both"/>
              <w:rPr>
                <w:rFonts w:ascii="Times New Roman" w:hAnsi="Times New Roman" w:cs="Times New Roman"/>
                <w:sz w:val="16"/>
                <w:szCs w:val="16"/>
                <w:lang w:val="en-US"/>
              </w:rPr>
            </w:pPr>
            <w:r w:rsidRPr="0010784C">
              <w:rPr>
                <w:rFonts w:ascii="Times New Roman" w:hAnsi="Times New Roman" w:cs="Times New Roman"/>
                <w:sz w:val="16"/>
                <w:szCs w:val="16"/>
                <w:lang w:val="en-US"/>
              </w:rPr>
              <w:t>- Provide adequate drainage for runoff.</w:t>
            </w:r>
          </w:p>
        </w:tc>
        <w:tc>
          <w:tcPr>
            <w:tcW w:w="3568" w:type="dxa"/>
            <w:tcBorders>
              <w:top w:val="single" w:sz="4" w:space="0" w:color="auto"/>
              <w:left w:val="single" w:sz="4" w:space="0" w:color="auto"/>
              <w:bottom w:val="single" w:sz="4" w:space="0" w:color="auto"/>
              <w:right w:val="single" w:sz="4" w:space="0" w:color="auto"/>
            </w:tcBorders>
            <w:vAlign w:val="center"/>
          </w:tcPr>
          <w:p w:rsidR="00C821BE" w:rsidRPr="0010784C" w:rsidRDefault="00C821BE" w:rsidP="00C821BE">
            <w:pPr>
              <w:spacing w:after="0" w:line="240" w:lineRule="auto"/>
              <w:jc w:val="both"/>
              <w:rPr>
                <w:rFonts w:ascii="Times New Roman" w:hAnsi="Times New Roman" w:cs="Times New Roman"/>
                <w:sz w:val="16"/>
                <w:szCs w:val="16"/>
                <w:lang w:val="en-US"/>
              </w:rPr>
            </w:pPr>
            <w:r w:rsidRPr="0010784C">
              <w:rPr>
                <w:rFonts w:ascii="Times New Roman" w:hAnsi="Times New Roman" w:cs="Times New Roman"/>
                <w:sz w:val="16"/>
                <w:szCs w:val="16"/>
                <w:lang w:val="en-US"/>
              </w:rPr>
              <w:t>- Validated solid and liquid waste management plan;</w:t>
            </w:r>
          </w:p>
          <w:p w:rsidR="00C821BE" w:rsidRPr="0010784C" w:rsidRDefault="00C821BE" w:rsidP="00C821BE">
            <w:pPr>
              <w:spacing w:after="0" w:line="240" w:lineRule="auto"/>
              <w:jc w:val="both"/>
              <w:rPr>
                <w:rFonts w:ascii="Times New Roman" w:hAnsi="Times New Roman" w:cs="Times New Roman"/>
                <w:sz w:val="16"/>
                <w:szCs w:val="16"/>
                <w:lang w:val="en-US"/>
              </w:rPr>
            </w:pPr>
            <w:r w:rsidRPr="0010784C">
              <w:rPr>
                <w:rFonts w:ascii="Times New Roman" w:hAnsi="Times New Roman" w:cs="Times New Roman"/>
                <w:sz w:val="16"/>
                <w:szCs w:val="16"/>
                <w:lang w:val="en-US"/>
              </w:rPr>
              <w:t>- Well sanitized site;</w:t>
            </w:r>
          </w:p>
          <w:p w:rsidR="00C821BE" w:rsidRPr="0010784C" w:rsidRDefault="00C821BE" w:rsidP="00C821BE">
            <w:pPr>
              <w:spacing w:after="0" w:line="240" w:lineRule="auto"/>
              <w:jc w:val="both"/>
              <w:rPr>
                <w:rFonts w:ascii="Times New Roman" w:hAnsi="Times New Roman" w:cs="Times New Roman"/>
                <w:sz w:val="16"/>
                <w:szCs w:val="16"/>
                <w:lang w:val="en-US"/>
              </w:rPr>
            </w:pPr>
            <w:r w:rsidRPr="0010784C">
              <w:rPr>
                <w:rFonts w:ascii="Times New Roman" w:hAnsi="Times New Roman" w:cs="Times New Roman"/>
                <w:sz w:val="16"/>
                <w:szCs w:val="16"/>
                <w:lang w:val="en-US"/>
              </w:rPr>
              <w:t>- Water quality analysis sheet;</w:t>
            </w:r>
          </w:p>
          <w:p w:rsidR="00C821BE" w:rsidRPr="0010784C" w:rsidRDefault="00C821BE" w:rsidP="00C821BE">
            <w:pPr>
              <w:spacing w:after="0" w:line="240" w:lineRule="auto"/>
              <w:jc w:val="both"/>
              <w:rPr>
                <w:rFonts w:ascii="Times New Roman" w:hAnsi="Times New Roman" w:cs="Times New Roman"/>
                <w:sz w:val="16"/>
                <w:szCs w:val="16"/>
                <w:lang w:val="en-US"/>
              </w:rPr>
            </w:pPr>
            <w:r w:rsidRPr="0010784C">
              <w:rPr>
                <w:rFonts w:ascii="Times New Roman" w:hAnsi="Times New Roman" w:cs="Times New Roman"/>
                <w:sz w:val="16"/>
                <w:szCs w:val="16"/>
                <w:lang w:val="en-US"/>
              </w:rPr>
              <w:t>-Quantity of hydrocarbon correctly stored;</w:t>
            </w:r>
          </w:p>
          <w:p w:rsidR="00C821BE" w:rsidRPr="0010784C" w:rsidRDefault="00C821BE" w:rsidP="00C821BE">
            <w:pPr>
              <w:spacing w:after="0" w:line="240" w:lineRule="auto"/>
              <w:jc w:val="both"/>
              <w:rPr>
                <w:rFonts w:ascii="Times New Roman" w:hAnsi="Times New Roman" w:cs="Times New Roman"/>
                <w:sz w:val="16"/>
                <w:szCs w:val="16"/>
                <w:lang w:val="en-US"/>
              </w:rPr>
            </w:pPr>
            <w:r w:rsidRPr="0010784C">
              <w:rPr>
                <w:rFonts w:ascii="Times New Roman" w:hAnsi="Times New Roman" w:cs="Times New Roman"/>
                <w:sz w:val="16"/>
                <w:szCs w:val="16"/>
                <w:lang w:val="en-US"/>
              </w:rPr>
              <w:t>- Memorandum of understanding signed with a company and service providers responsible for evacuation and treatment;</w:t>
            </w:r>
          </w:p>
          <w:p w:rsidR="00C821BE" w:rsidRPr="0010784C" w:rsidRDefault="00C821BE" w:rsidP="00C821BE">
            <w:pPr>
              <w:spacing w:after="0" w:line="240" w:lineRule="auto"/>
              <w:jc w:val="both"/>
              <w:rPr>
                <w:rFonts w:ascii="Times New Roman" w:hAnsi="Times New Roman" w:cs="Times New Roman"/>
                <w:sz w:val="16"/>
                <w:szCs w:val="16"/>
                <w:lang w:val="en-US"/>
              </w:rPr>
            </w:pPr>
            <w:r w:rsidRPr="0010784C">
              <w:rPr>
                <w:rFonts w:ascii="Times New Roman" w:hAnsi="Times New Roman" w:cs="Times New Roman"/>
                <w:sz w:val="16"/>
                <w:szCs w:val="16"/>
                <w:lang w:val="en-US"/>
              </w:rPr>
              <w:t>-Presence of a management system for used oils in the sites;</w:t>
            </w:r>
          </w:p>
          <w:p w:rsidR="00C821BE" w:rsidRPr="0010784C" w:rsidRDefault="00C821BE" w:rsidP="00C821BE">
            <w:pPr>
              <w:spacing w:after="0" w:line="240" w:lineRule="auto"/>
              <w:jc w:val="both"/>
              <w:rPr>
                <w:rFonts w:ascii="Times New Roman" w:hAnsi="Times New Roman" w:cs="Times New Roman"/>
                <w:sz w:val="16"/>
                <w:szCs w:val="16"/>
                <w:lang w:val="en-US"/>
              </w:rPr>
            </w:pPr>
            <w:r w:rsidRPr="0010784C">
              <w:rPr>
                <w:rFonts w:ascii="Times New Roman" w:hAnsi="Times New Roman" w:cs="Times New Roman"/>
                <w:sz w:val="16"/>
                <w:szCs w:val="16"/>
                <w:lang w:val="en-US"/>
              </w:rPr>
              <w:t>-Presence of development for the drainage of runoff water in the sites;</w:t>
            </w:r>
          </w:p>
        </w:tc>
        <w:tc>
          <w:tcPr>
            <w:tcW w:w="1134"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C821BE" w:rsidRPr="0010784C" w:rsidRDefault="00C821BE" w:rsidP="00C821BE">
            <w:pPr>
              <w:spacing w:after="0" w:line="240" w:lineRule="auto"/>
              <w:jc w:val="center"/>
              <w:rPr>
                <w:rFonts w:ascii="Times New Roman" w:hAnsi="Times New Roman" w:cs="Times New Roman"/>
                <w:b/>
                <w:sz w:val="16"/>
                <w:szCs w:val="16"/>
                <w:lang w:val="en-US"/>
              </w:rPr>
            </w:pPr>
            <w:r w:rsidRPr="0010784C">
              <w:rPr>
                <w:rFonts w:ascii="Times New Roman" w:hAnsi="Times New Roman" w:cs="Times New Roman"/>
                <w:b/>
                <w:sz w:val="16"/>
                <w:szCs w:val="16"/>
                <w:lang w:val="en-US"/>
              </w:rPr>
              <w:t>Business</w:t>
            </w:r>
          </w:p>
          <w:p w:rsidR="00C821BE" w:rsidRPr="0010784C" w:rsidRDefault="00C821BE" w:rsidP="00C821BE">
            <w:pPr>
              <w:spacing w:after="0" w:line="240" w:lineRule="auto"/>
              <w:jc w:val="center"/>
              <w:rPr>
                <w:rFonts w:ascii="Times New Roman" w:hAnsi="Times New Roman" w:cs="Times New Roman"/>
                <w:b/>
                <w:sz w:val="16"/>
                <w:szCs w:val="16"/>
                <w:lang w:val="en-US"/>
              </w:rPr>
            </w:pPr>
          </w:p>
        </w:tc>
        <w:tc>
          <w:tcPr>
            <w:tcW w:w="1120"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C821BE" w:rsidRPr="0010784C" w:rsidRDefault="00C821BE" w:rsidP="00C821BE">
            <w:pPr>
              <w:spacing w:after="0" w:line="240" w:lineRule="auto"/>
              <w:jc w:val="center"/>
              <w:rPr>
                <w:rFonts w:ascii="Times New Roman" w:hAnsi="Times New Roman" w:cs="Times New Roman"/>
                <w:b/>
                <w:sz w:val="16"/>
                <w:szCs w:val="16"/>
                <w:lang w:val="en-US"/>
              </w:rPr>
            </w:pPr>
            <w:r w:rsidRPr="0010784C">
              <w:rPr>
                <w:rFonts w:ascii="Times New Roman" w:hAnsi="Times New Roman" w:cs="Times New Roman"/>
                <w:b/>
                <w:sz w:val="16"/>
                <w:szCs w:val="16"/>
                <w:lang w:val="en-US"/>
              </w:rPr>
              <w:t>Monitoring committee</w:t>
            </w:r>
          </w:p>
          <w:p w:rsidR="00C821BE" w:rsidRPr="0010784C" w:rsidRDefault="00C821BE" w:rsidP="00C821BE">
            <w:pPr>
              <w:spacing w:after="0" w:line="240" w:lineRule="auto"/>
              <w:jc w:val="center"/>
              <w:rPr>
                <w:rFonts w:ascii="Times New Roman" w:hAnsi="Times New Roman" w:cs="Times New Roman"/>
                <w:b/>
                <w:sz w:val="16"/>
                <w:szCs w:val="16"/>
                <w:lang w:val="en-US"/>
              </w:rPr>
            </w:pPr>
          </w:p>
          <w:p w:rsidR="00C821BE" w:rsidRPr="0010784C" w:rsidRDefault="00C821BE" w:rsidP="00C821BE">
            <w:pPr>
              <w:spacing w:after="0" w:line="240" w:lineRule="auto"/>
              <w:jc w:val="center"/>
              <w:rPr>
                <w:rFonts w:ascii="Times New Roman" w:hAnsi="Times New Roman" w:cs="Times New Roman"/>
                <w:b/>
                <w:sz w:val="16"/>
                <w:szCs w:val="16"/>
                <w:lang w:val="en-US"/>
              </w:rPr>
            </w:pPr>
            <w:r w:rsidRPr="0010784C">
              <w:rPr>
                <w:rFonts w:ascii="Times New Roman" w:hAnsi="Times New Roman" w:cs="Times New Roman"/>
                <w:b/>
                <w:sz w:val="16"/>
                <w:szCs w:val="16"/>
                <w:lang w:val="en-US"/>
              </w:rPr>
              <w:t>PUASEE-FA</w:t>
            </w:r>
          </w:p>
        </w:tc>
        <w:tc>
          <w:tcPr>
            <w:tcW w:w="1445" w:type="dxa"/>
            <w:tcBorders>
              <w:top w:val="single" w:sz="4" w:space="0" w:color="auto"/>
              <w:left w:val="single" w:sz="4" w:space="0" w:color="auto"/>
              <w:bottom w:val="single" w:sz="4" w:space="0" w:color="auto"/>
              <w:right w:val="single" w:sz="4" w:space="0" w:color="auto"/>
            </w:tcBorders>
            <w:vAlign w:val="center"/>
          </w:tcPr>
          <w:p w:rsidR="00C821BE" w:rsidRPr="0010784C" w:rsidRDefault="00C821BE" w:rsidP="00C821BE">
            <w:pPr>
              <w:spacing w:after="0" w:line="240" w:lineRule="auto"/>
              <w:jc w:val="center"/>
              <w:rPr>
                <w:rFonts w:ascii="Times New Roman" w:hAnsi="Times New Roman" w:cs="Times New Roman"/>
                <w:sz w:val="16"/>
                <w:szCs w:val="16"/>
                <w:lang w:val="en-US"/>
              </w:rPr>
            </w:pPr>
            <w:r w:rsidRPr="0010784C">
              <w:rPr>
                <w:rFonts w:ascii="Times New Roman" w:hAnsi="Times New Roman" w:cs="Times New Roman"/>
                <w:sz w:val="16"/>
                <w:szCs w:val="16"/>
                <w:lang w:val="en-US"/>
              </w:rPr>
              <w:t>During the works / monthly</w:t>
            </w:r>
          </w:p>
        </w:tc>
        <w:tc>
          <w:tcPr>
            <w:tcW w:w="112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C821BE" w:rsidRPr="0010784C" w:rsidRDefault="00C821BE" w:rsidP="00C821BE">
            <w:pPr>
              <w:spacing w:after="0" w:line="240" w:lineRule="auto"/>
              <w:jc w:val="center"/>
              <w:rPr>
                <w:rFonts w:ascii="Times New Roman" w:hAnsi="Times New Roman" w:cs="Times New Roman"/>
                <w:b/>
                <w:sz w:val="16"/>
                <w:szCs w:val="16"/>
                <w:lang w:val="en-US"/>
              </w:rPr>
            </w:pPr>
            <w:r w:rsidRPr="0010784C">
              <w:rPr>
                <w:rFonts w:ascii="Times New Roman" w:hAnsi="Times New Roman" w:cs="Times New Roman"/>
                <w:b/>
                <w:sz w:val="16"/>
                <w:szCs w:val="16"/>
                <w:lang w:val="en-US"/>
              </w:rPr>
              <w:t xml:space="preserve">4,000,000 </w:t>
            </w:r>
          </w:p>
        </w:tc>
      </w:tr>
      <w:tr w:rsidR="00C821BE" w:rsidRPr="0010784C" w:rsidTr="00C821BE">
        <w:trPr>
          <w:trHeight w:val="662"/>
          <w:jc w:val="center"/>
        </w:trPr>
        <w:tc>
          <w:tcPr>
            <w:tcW w:w="1212"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C821BE" w:rsidRPr="0010784C" w:rsidRDefault="00C821BE" w:rsidP="00C821BE">
            <w:pPr>
              <w:spacing w:after="0" w:line="240" w:lineRule="auto"/>
              <w:jc w:val="center"/>
              <w:rPr>
                <w:rFonts w:ascii="Times New Roman" w:hAnsi="Times New Roman" w:cs="Times New Roman"/>
                <w:b/>
                <w:bCs/>
                <w:sz w:val="16"/>
                <w:szCs w:val="16"/>
                <w:lang w:val="en-US"/>
              </w:rPr>
            </w:pPr>
            <w:r w:rsidRPr="0010784C">
              <w:rPr>
                <w:rFonts w:ascii="Times New Roman" w:hAnsi="Times New Roman" w:cs="Times New Roman"/>
                <w:b/>
                <w:sz w:val="16"/>
                <w:szCs w:val="16"/>
                <w:lang w:val="en-US"/>
              </w:rPr>
              <w:t>Flora</w:t>
            </w:r>
          </w:p>
        </w:tc>
        <w:tc>
          <w:tcPr>
            <w:tcW w:w="2079" w:type="dxa"/>
            <w:tcBorders>
              <w:top w:val="single" w:sz="4" w:space="0" w:color="auto"/>
              <w:left w:val="single" w:sz="4" w:space="0" w:color="auto"/>
              <w:bottom w:val="single" w:sz="4" w:space="0" w:color="auto"/>
              <w:right w:val="single" w:sz="4" w:space="0" w:color="auto"/>
            </w:tcBorders>
            <w:vAlign w:val="center"/>
          </w:tcPr>
          <w:p w:rsidR="00C821BE" w:rsidRPr="0010784C" w:rsidRDefault="00C821BE" w:rsidP="00C821BE">
            <w:pPr>
              <w:spacing w:after="0" w:line="240" w:lineRule="auto"/>
              <w:jc w:val="both"/>
              <w:rPr>
                <w:rFonts w:ascii="Times New Roman" w:hAnsi="Times New Roman" w:cs="Times New Roman"/>
                <w:color w:val="000000"/>
                <w:sz w:val="16"/>
                <w:szCs w:val="16"/>
                <w:lang w:val="en-US"/>
              </w:rPr>
            </w:pPr>
            <w:r w:rsidRPr="0010784C">
              <w:rPr>
                <w:rFonts w:ascii="Times New Roman" w:hAnsi="Times New Roman" w:cs="Times New Roman"/>
                <w:color w:val="000000"/>
                <w:sz w:val="16"/>
                <w:szCs w:val="16"/>
                <w:lang w:val="en-US"/>
              </w:rPr>
              <w:t>Risk of destruction of herbaceous vegetation at Antula.</w:t>
            </w:r>
          </w:p>
          <w:p w:rsidR="00C821BE" w:rsidRPr="0010784C" w:rsidRDefault="00C821BE" w:rsidP="00C821BE">
            <w:pPr>
              <w:spacing w:after="0" w:line="240" w:lineRule="auto"/>
              <w:jc w:val="both"/>
              <w:rPr>
                <w:rFonts w:ascii="Times New Roman" w:hAnsi="Times New Roman" w:cs="Times New Roman"/>
                <w:sz w:val="16"/>
                <w:szCs w:val="16"/>
                <w:lang w:val="en-US"/>
              </w:rPr>
            </w:pPr>
            <w:r w:rsidRPr="0010784C">
              <w:rPr>
                <w:rFonts w:ascii="Times New Roman" w:hAnsi="Times New Roman" w:cs="Times New Roman"/>
                <w:color w:val="000000"/>
                <w:sz w:val="16"/>
                <w:szCs w:val="16"/>
                <w:lang w:val="en-US"/>
              </w:rPr>
              <w:t>Risk of felling a few feet of cashew trees at BOR</w:t>
            </w:r>
          </w:p>
        </w:tc>
        <w:tc>
          <w:tcPr>
            <w:tcW w:w="4335" w:type="dxa"/>
            <w:tcBorders>
              <w:top w:val="single" w:sz="4" w:space="0" w:color="auto"/>
              <w:left w:val="single" w:sz="4" w:space="0" w:color="auto"/>
              <w:bottom w:val="single" w:sz="4" w:space="0" w:color="auto"/>
              <w:right w:val="single" w:sz="4" w:space="0" w:color="auto"/>
            </w:tcBorders>
            <w:vAlign w:val="center"/>
          </w:tcPr>
          <w:p w:rsidR="00C821BE" w:rsidRPr="0010784C" w:rsidRDefault="00C821BE" w:rsidP="00C821BE">
            <w:pPr>
              <w:spacing w:after="0" w:line="240" w:lineRule="auto"/>
              <w:jc w:val="both"/>
              <w:rPr>
                <w:rFonts w:ascii="Times New Roman" w:eastAsia="Times New Roman" w:hAnsi="Times New Roman" w:cs="Times New Roman"/>
                <w:sz w:val="16"/>
                <w:szCs w:val="16"/>
                <w:lang w:val="en-US"/>
              </w:rPr>
            </w:pPr>
            <w:r w:rsidRPr="0010784C">
              <w:rPr>
                <w:rFonts w:ascii="Times New Roman" w:eastAsia="Times New Roman" w:hAnsi="Times New Roman" w:cs="Times New Roman"/>
                <w:sz w:val="16"/>
                <w:szCs w:val="16"/>
                <w:lang w:val="en-US"/>
              </w:rPr>
              <w:t>-Require a request for special authorization from the Water and Forestry Services</w:t>
            </w:r>
          </w:p>
          <w:p w:rsidR="00C821BE" w:rsidRPr="0010784C" w:rsidRDefault="00C821BE" w:rsidP="00C821BE">
            <w:pPr>
              <w:spacing w:after="0" w:line="240" w:lineRule="auto"/>
              <w:jc w:val="both"/>
              <w:rPr>
                <w:rFonts w:ascii="Times New Roman" w:hAnsi="Times New Roman" w:cs="Times New Roman"/>
                <w:sz w:val="16"/>
                <w:szCs w:val="16"/>
                <w:lang w:val="en-US"/>
              </w:rPr>
            </w:pPr>
            <w:r w:rsidRPr="0010784C">
              <w:rPr>
                <w:rFonts w:ascii="Times New Roman" w:hAnsi="Times New Roman" w:cs="Times New Roman"/>
                <w:sz w:val="16"/>
                <w:szCs w:val="16"/>
                <w:lang w:val="en-US"/>
              </w:rPr>
              <w:t>- Establish a memorandum of understanding for compensatory reforestation;</w:t>
            </w:r>
          </w:p>
          <w:p w:rsidR="00C821BE" w:rsidRPr="0010784C" w:rsidRDefault="00C821BE" w:rsidP="00C821BE">
            <w:pPr>
              <w:spacing w:after="0" w:line="240" w:lineRule="auto"/>
              <w:jc w:val="both"/>
              <w:rPr>
                <w:rFonts w:ascii="Times New Roman" w:hAnsi="Times New Roman" w:cs="Times New Roman"/>
                <w:sz w:val="16"/>
                <w:szCs w:val="16"/>
                <w:lang w:val="en-US"/>
              </w:rPr>
            </w:pPr>
            <w:r w:rsidRPr="0010784C">
              <w:rPr>
                <w:rFonts w:ascii="Times New Roman" w:hAnsi="Times New Roman" w:cs="Times New Roman"/>
                <w:sz w:val="16"/>
                <w:szCs w:val="16"/>
                <w:lang w:val="en-US"/>
              </w:rPr>
              <w:t>- Implement the RAP at Bor level for compensation for cashew trees.</w:t>
            </w:r>
          </w:p>
        </w:tc>
        <w:tc>
          <w:tcPr>
            <w:tcW w:w="3568" w:type="dxa"/>
            <w:tcBorders>
              <w:top w:val="single" w:sz="4" w:space="0" w:color="auto"/>
              <w:left w:val="single" w:sz="4" w:space="0" w:color="auto"/>
              <w:bottom w:val="single" w:sz="4" w:space="0" w:color="auto"/>
              <w:right w:val="single" w:sz="4" w:space="0" w:color="auto"/>
            </w:tcBorders>
            <w:vAlign w:val="center"/>
          </w:tcPr>
          <w:p w:rsidR="00C821BE" w:rsidRPr="0010784C" w:rsidRDefault="00C821BE" w:rsidP="00C821BE">
            <w:pPr>
              <w:pStyle w:val="Listecouleur-Accent11"/>
              <w:ind w:left="0"/>
              <w:rPr>
                <w:rFonts w:ascii="Times New Roman" w:hAnsi="Times New Roman"/>
                <w:sz w:val="16"/>
                <w:szCs w:val="16"/>
                <w:lang w:val="en-US"/>
              </w:rPr>
            </w:pPr>
            <w:r w:rsidRPr="0010784C">
              <w:rPr>
                <w:rFonts w:ascii="Times New Roman" w:hAnsi="Times New Roman"/>
                <w:sz w:val="16"/>
                <w:szCs w:val="16"/>
                <w:lang w:val="en-US"/>
              </w:rPr>
              <w:t>- Presence of signed authorization;</w:t>
            </w:r>
          </w:p>
          <w:p w:rsidR="00C821BE" w:rsidRPr="0010784C" w:rsidRDefault="00C821BE" w:rsidP="00C821BE">
            <w:pPr>
              <w:pStyle w:val="Listecouleur-Accent11"/>
              <w:ind w:left="0"/>
              <w:rPr>
                <w:rFonts w:ascii="Times New Roman" w:hAnsi="Times New Roman"/>
                <w:sz w:val="16"/>
                <w:szCs w:val="16"/>
                <w:lang w:val="en-US"/>
              </w:rPr>
            </w:pPr>
            <w:r w:rsidRPr="0010784C">
              <w:rPr>
                <w:rFonts w:ascii="Times New Roman" w:hAnsi="Times New Roman"/>
                <w:sz w:val="16"/>
                <w:szCs w:val="16"/>
                <w:lang w:val="en-US"/>
              </w:rPr>
              <w:t>- Presence of the signed protocol;</w:t>
            </w:r>
          </w:p>
          <w:p w:rsidR="00C821BE" w:rsidRPr="0010784C" w:rsidRDefault="00C821BE" w:rsidP="00C821BE">
            <w:pPr>
              <w:pStyle w:val="Listecouleur-Accent11"/>
              <w:ind w:left="0"/>
              <w:rPr>
                <w:rFonts w:ascii="Times New Roman" w:hAnsi="Times New Roman"/>
                <w:sz w:val="16"/>
                <w:szCs w:val="16"/>
                <w:lang w:val="en-US"/>
              </w:rPr>
            </w:pPr>
            <w:r w:rsidRPr="0010784C">
              <w:rPr>
                <w:rFonts w:ascii="Times New Roman" w:hAnsi="Times New Roman"/>
                <w:sz w:val="16"/>
                <w:szCs w:val="16"/>
                <w:lang w:val="en-US"/>
              </w:rPr>
              <w:t>-Effective implementation of the RAP;</w:t>
            </w:r>
          </w:p>
          <w:p w:rsidR="00C821BE" w:rsidRPr="0010784C" w:rsidRDefault="00C821BE" w:rsidP="00C821BE">
            <w:pPr>
              <w:pStyle w:val="Listecouleur-Accent11"/>
              <w:ind w:left="0"/>
              <w:rPr>
                <w:rFonts w:ascii="Times New Roman" w:hAnsi="Times New Roman"/>
                <w:sz w:val="16"/>
                <w:szCs w:val="16"/>
                <w:lang w:val="en-US"/>
              </w:rPr>
            </w:pPr>
            <w:r w:rsidRPr="0010784C">
              <w:rPr>
                <w:rFonts w:ascii="Times New Roman" w:hAnsi="Times New Roman"/>
                <w:sz w:val="16"/>
                <w:szCs w:val="16"/>
                <w:lang w:val="en-US"/>
              </w:rPr>
              <w:t>- Compensation for PAPs carried out;</w:t>
            </w:r>
          </w:p>
          <w:p w:rsidR="00C821BE" w:rsidRPr="0010784C" w:rsidRDefault="00C821BE" w:rsidP="00C821BE">
            <w:pPr>
              <w:spacing w:after="0" w:line="240" w:lineRule="auto"/>
              <w:jc w:val="both"/>
              <w:rPr>
                <w:rFonts w:ascii="Times New Roman" w:hAnsi="Times New Roman" w:cs="Times New Roman"/>
                <w:sz w:val="16"/>
                <w:szCs w:val="16"/>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C821BE" w:rsidRPr="0010784C" w:rsidRDefault="00C821BE" w:rsidP="00C821BE">
            <w:pPr>
              <w:spacing w:after="0" w:line="240" w:lineRule="auto"/>
              <w:jc w:val="center"/>
              <w:rPr>
                <w:rFonts w:ascii="Times New Roman" w:hAnsi="Times New Roman" w:cs="Times New Roman"/>
                <w:b/>
                <w:sz w:val="16"/>
                <w:szCs w:val="16"/>
                <w:lang w:val="en-US"/>
              </w:rPr>
            </w:pPr>
            <w:r w:rsidRPr="0010784C">
              <w:rPr>
                <w:rFonts w:ascii="Times New Roman" w:hAnsi="Times New Roman" w:cs="Times New Roman"/>
                <w:b/>
                <w:sz w:val="16"/>
                <w:szCs w:val="16"/>
                <w:lang w:val="en-US"/>
              </w:rPr>
              <w:t>Business</w:t>
            </w:r>
          </w:p>
          <w:p w:rsidR="00C821BE" w:rsidRPr="0010784C" w:rsidRDefault="00C821BE" w:rsidP="00C821BE">
            <w:pPr>
              <w:spacing w:after="0" w:line="240" w:lineRule="auto"/>
              <w:jc w:val="center"/>
              <w:rPr>
                <w:rFonts w:ascii="Times New Roman" w:hAnsi="Times New Roman" w:cs="Times New Roman"/>
                <w:b/>
                <w:sz w:val="16"/>
                <w:szCs w:val="16"/>
                <w:lang w:val="en-US"/>
              </w:rPr>
            </w:pPr>
          </w:p>
          <w:p w:rsidR="00C821BE" w:rsidRPr="0010784C" w:rsidRDefault="00C821BE" w:rsidP="00C821BE">
            <w:pPr>
              <w:spacing w:after="0" w:line="240" w:lineRule="auto"/>
              <w:jc w:val="center"/>
              <w:rPr>
                <w:rFonts w:ascii="Times New Roman" w:hAnsi="Times New Roman" w:cs="Times New Roman"/>
                <w:b/>
                <w:sz w:val="16"/>
                <w:szCs w:val="16"/>
                <w:lang w:val="en-US"/>
              </w:rPr>
            </w:pPr>
            <w:r w:rsidRPr="0010784C">
              <w:rPr>
                <w:rFonts w:ascii="Times New Roman" w:hAnsi="Times New Roman" w:cs="Times New Roman"/>
                <w:b/>
                <w:sz w:val="16"/>
                <w:szCs w:val="16"/>
                <w:lang w:val="en-US"/>
              </w:rPr>
              <w:t>PUASEE-FA</w:t>
            </w:r>
          </w:p>
        </w:tc>
        <w:tc>
          <w:tcPr>
            <w:tcW w:w="1120"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C821BE" w:rsidRPr="0010784C" w:rsidRDefault="00C821BE" w:rsidP="00C821BE">
            <w:pPr>
              <w:spacing w:after="0" w:line="240" w:lineRule="auto"/>
              <w:jc w:val="center"/>
              <w:rPr>
                <w:rFonts w:ascii="Times New Roman" w:hAnsi="Times New Roman" w:cs="Times New Roman"/>
                <w:b/>
                <w:sz w:val="16"/>
                <w:szCs w:val="16"/>
                <w:lang w:val="en-US"/>
              </w:rPr>
            </w:pPr>
            <w:r w:rsidRPr="0010784C">
              <w:rPr>
                <w:rFonts w:ascii="Times New Roman" w:hAnsi="Times New Roman" w:cs="Times New Roman"/>
                <w:b/>
                <w:sz w:val="16"/>
                <w:szCs w:val="16"/>
                <w:lang w:val="en-US"/>
              </w:rPr>
              <w:t>Monitoring committee</w:t>
            </w:r>
          </w:p>
          <w:p w:rsidR="00C821BE" w:rsidRPr="0010784C" w:rsidRDefault="00C821BE" w:rsidP="00C821BE">
            <w:pPr>
              <w:spacing w:after="0" w:line="240" w:lineRule="auto"/>
              <w:jc w:val="center"/>
              <w:rPr>
                <w:rFonts w:ascii="Times New Roman" w:hAnsi="Times New Roman" w:cs="Times New Roman"/>
                <w:b/>
                <w:sz w:val="16"/>
                <w:szCs w:val="16"/>
                <w:lang w:val="en-US"/>
              </w:rPr>
            </w:pPr>
          </w:p>
        </w:tc>
        <w:tc>
          <w:tcPr>
            <w:tcW w:w="1445" w:type="dxa"/>
            <w:tcBorders>
              <w:top w:val="single" w:sz="4" w:space="0" w:color="auto"/>
              <w:left w:val="single" w:sz="4" w:space="0" w:color="auto"/>
              <w:bottom w:val="single" w:sz="4" w:space="0" w:color="auto"/>
              <w:right w:val="single" w:sz="4" w:space="0" w:color="auto"/>
            </w:tcBorders>
            <w:vAlign w:val="center"/>
          </w:tcPr>
          <w:p w:rsidR="00C821BE" w:rsidRPr="0010784C" w:rsidRDefault="00C821BE" w:rsidP="00C821BE">
            <w:pPr>
              <w:spacing w:after="0" w:line="240" w:lineRule="auto"/>
              <w:jc w:val="center"/>
              <w:rPr>
                <w:rFonts w:ascii="Times New Roman" w:hAnsi="Times New Roman" w:cs="Times New Roman"/>
                <w:sz w:val="16"/>
                <w:szCs w:val="16"/>
                <w:lang w:val="en-US"/>
              </w:rPr>
            </w:pPr>
            <w:r w:rsidRPr="0010784C">
              <w:rPr>
                <w:rFonts w:ascii="Times New Roman" w:hAnsi="Times New Roman" w:cs="Times New Roman"/>
                <w:sz w:val="16"/>
                <w:szCs w:val="16"/>
                <w:lang w:val="en-US"/>
              </w:rPr>
              <w:t>Before the works</w:t>
            </w:r>
          </w:p>
        </w:tc>
        <w:tc>
          <w:tcPr>
            <w:tcW w:w="112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C821BE" w:rsidRPr="0010784C" w:rsidRDefault="00C821BE" w:rsidP="00C821BE">
            <w:pPr>
              <w:spacing w:after="0" w:line="240" w:lineRule="auto"/>
              <w:jc w:val="center"/>
              <w:rPr>
                <w:rFonts w:ascii="Times New Roman" w:hAnsi="Times New Roman" w:cs="Times New Roman"/>
                <w:b/>
                <w:sz w:val="16"/>
                <w:szCs w:val="16"/>
                <w:lang w:val="en-US"/>
              </w:rPr>
            </w:pPr>
            <w:r w:rsidRPr="0010784C">
              <w:rPr>
                <w:rFonts w:ascii="Times New Roman" w:hAnsi="Times New Roman" w:cs="Times New Roman"/>
                <w:b/>
                <w:sz w:val="16"/>
                <w:szCs w:val="16"/>
                <w:lang w:val="en-US"/>
              </w:rPr>
              <w:t>Cost associated with PAR</w:t>
            </w:r>
          </w:p>
        </w:tc>
      </w:tr>
      <w:tr w:rsidR="00C821BE" w:rsidRPr="0010784C" w:rsidTr="00C821BE">
        <w:trPr>
          <w:trHeight w:val="207"/>
          <w:jc w:val="center"/>
        </w:trPr>
        <w:tc>
          <w:tcPr>
            <w:tcW w:w="1212"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C821BE" w:rsidRPr="0010784C" w:rsidRDefault="00C821BE" w:rsidP="00C821BE">
            <w:pPr>
              <w:spacing w:after="0" w:line="240" w:lineRule="auto"/>
              <w:jc w:val="center"/>
              <w:rPr>
                <w:rFonts w:ascii="Times New Roman" w:hAnsi="Times New Roman" w:cs="Times New Roman"/>
                <w:b/>
                <w:bCs/>
                <w:sz w:val="16"/>
                <w:szCs w:val="16"/>
                <w:lang w:val="en-US"/>
              </w:rPr>
            </w:pPr>
            <w:r w:rsidRPr="0010784C">
              <w:rPr>
                <w:rFonts w:ascii="Times New Roman" w:hAnsi="Times New Roman" w:cs="Times New Roman"/>
                <w:b/>
                <w:bCs/>
                <w:sz w:val="16"/>
                <w:szCs w:val="16"/>
                <w:lang w:val="en-US"/>
              </w:rPr>
              <w:t>Landscape</w:t>
            </w:r>
          </w:p>
        </w:tc>
        <w:tc>
          <w:tcPr>
            <w:tcW w:w="2079" w:type="dxa"/>
            <w:tcBorders>
              <w:top w:val="single" w:sz="4" w:space="0" w:color="auto"/>
              <w:left w:val="single" w:sz="4" w:space="0" w:color="auto"/>
              <w:bottom w:val="single" w:sz="4" w:space="0" w:color="auto"/>
              <w:right w:val="single" w:sz="4" w:space="0" w:color="auto"/>
            </w:tcBorders>
            <w:vAlign w:val="center"/>
          </w:tcPr>
          <w:p w:rsidR="00C821BE" w:rsidRPr="0010784C" w:rsidRDefault="00C821BE" w:rsidP="00C821BE">
            <w:pPr>
              <w:spacing w:after="0" w:line="240" w:lineRule="auto"/>
              <w:jc w:val="both"/>
              <w:rPr>
                <w:rFonts w:ascii="Times New Roman" w:hAnsi="Times New Roman" w:cs="Times New Roman"/>
                <w:sz w:val="16"/>
                <w:szCs w:val="16"/>
                <w:lang w:val="en-US"/>
              </w:rPr>
            </w:pPr>
            <w:r w:rsidRPr="0010784C">
              <w:rPr>
                <w:rFonts w:ascii="Times New Roman" w:hAnsi="Times New Roman" w:cs="Times New Roman"/>
                <w:sz w:val="16"/>
                <w:szCs w:val="16"/>
                <w:lang w:val="en-US"/>
              </w:rPr>
              <w:t>Changing the appearance of the landscape</w:t>
            </w:r>
          </w:p>
        </w:tc>
        <w:tc>
          <w:tcPr>
            <w:tcW w:w="4335" w:type="dxa"/>
            <w:tcBorders>
              <w:top w:val="single" w:sz="4" w:space="0" w:color="auto"/>
              <w:left w:val="single" w:sz="4" w:space="0" w:color="auto"/>
              <w:bottom w:val="single" w:sz="4" w:space="0" w:color="auto"/>
              <w:right w:val="single" w:sz="4" w:space="0" w:color="auto"/>
            </w:tcBorders>
            <w:vAlign w:val="center"/>
          </w:tcPr>
          <w:p w:rsidR="00C821BE" w:rsidRPr="0010784C" w:rsidRDefault="00C821BE" w:rsidP="00C821BE">
            <w:pPr>
              <w:spacing w:after="0" w:line="240" w:lineRule="auto"/>
              <w:jc w:val="both"/>
              <w:rPr>
                <w:rFonts w:ascii="Times New Roman" w:hAnsi="Times New Roman" w:cs="Times New Roman"/>
                <w:sz w:val="16"/>
                <w:szCs w:val="16"/>
                <w:lang w:val="en-US"/>
              </w:rPr>
            </w:pPr>
            <w:r w:rsidRPr="0010784C">
              <w:rPr>
                <w:rFonts w:ascii="Times New Roman" w:hAnsi="Times New Roman" w:cs="Times New Roman"/>
                <w:sz w:val="16"/>
                <w:szCs w:val="16"/>
                <w:lang w:val="en-US"/>
              </w:rPr>
              <w:t>- Adopt a configuration that integrates its environment</w:t>
            </w:r>
          </w:p>
        </w:tc>
        <w:tc>
          <w:tcPr>
            <w:tcW w:w="3568" w:type="dxa"/>
            <w:tcBorders>
              <w:top w:val="single" w:sz="4" w:space="0" w:color="auto"/>
              <w:left w:val="single" w:sz="4" w:space="0" w:color="auto"/>
              <w:bottom w:val="single" w:sz="4" w:space="0" w:color="auto"/>
              <w:right w:val="single" w:sz="4" w:space="0" w:color="auto"/>
            </w:tcBorders>
            <w:vAlign w:val="center"/>
          </w:tcPr>
          <w:p w:rsidR="00C821BE" w:rsidRPr="0010784C" w:rsidRDefault="00C821BE" w:rsidP="00C821BE">
            <w:pPr>
              <w:spacing w:after="0" w:line="240" w:lineRule="auto"/>
              <w:jc w:val="both"/>
              <w:rPr>
                <w:rFonts w:ascii="Times New Roman" w:hAnsi="Times New Roman" w:cs="Times New Roman"/>
                <w:sz w:val="16"/>
                <w:szCs w:val="16"/>
                <w:lang w:val="en-US"/>
              </w:rPr>
            </w:pPr>
            <w:r w:rsidRPr="0010784C">
              <w:rPr>
                <w:rFonts w:ascii="Times New Roman" w:hAnsi="Times New Roman" w:cs="Times New Roman"/>
                <w:sz w:val="16"/>
                <w:szCs w:val="16"/>
                <w:lang w:val="en-US"/>
              </w:rPr>
              <w:t>-The aspect of the landscape corresponding to the environment</w:t>
            </w:r>
          </w:p>
        </w:tc>
        <w:tc>
          <w:tcPr>
            <w:tcW w:w="1134"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C821BE" w:rsidRPr="0010784C" w:rsidRDefault="00C821BE" w:rsidP="00C821BE">
            <w:pPr>
              <w:spacing w:after="0" w:line="240" w:lineRule="auto"/>
              <w:jc w:val="center"/>
              <w:rPr>
                <w:rFonts w:ascii="Times New Roman" w:hAnsi="Times New Roman" w:cs="Times New Roman"/>
                <w:b/>
                <w:sz w:val="16"/>
                <w:szCs w:val="16"/>
                <w:lang w:val="en-US"/>
              </w:rPr>
            </w:pPr>
            <w:r w:rsidRPr="0010784C">
              <w:rPr>
                <w:rFonts w:ascii="Times New Roman" w:hAnsi="Times New Roman" w:cs="Times New Roman"/>
                <w:b/>
                <w:sz w:val="16"/>
                <w:szCs w:val="16"/>
                <w:lang w:val="en-US"/>
              </w:rPr>
              <w:t>Business</w:t>
            </w:r>
          </w:p>
          <w:p w:rsidR="00C821BE" w:rsidRPr="0010784C" w:rsidRDefault="00C821BE" w:rsidP="00C821BE">
            <w:pPr>
              <w:spacing w:after="0" w:line="240" w:lineRule="auto"/>
              <w:jc w:val="center"/>
              <w:rPr>
                <w:rFonts w:ascii="Times New Roman" w:hAnsi="Times New Roman" w:cs="Times New Roman"/>
                <w:b/>
                <w:sz w:val="16"/>
                <w:szCs w:val="16"/>
                <w:lang w:val="en-US"/>
              </w:rPr>
            </w:pPr>
          </w:p>
        </w:tc>
        <w:tc>
          <w:tcPr>
            <w:tcW w:w="1120"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C821BE" w:rsidRPr="0010784C" w:rsidRDefault="00C821BE" w:rsidP="00C821BE">
            <w:pPr>
              <w:pStyle w:val="Listecouleur-Accent11"/>
              <w:ind w:left="0"/>
              <w:jc w:val="center"/>
              <w:rPr>
                <w:rFonts w:ascii="Times New Roman" w:hAnsi="Times New Roman"/>
                <w:b/>
                <w:sz w:val="16"/>
                <w:szCs w:val="16"/>
                <w:lang w:val="en-US"/>
              </w:rPr>
            </w:pPr>
            <w:r w:rsidRPr="0010784C">
              <w:rPr>
                <w:rFonts w:ascii="Times New Roman" w:hAnsi="Times New Roman"/>
                <w:b/>
                <w:sz w:val="16"/>
                <w:szCs w:val="16"/>
                <w:lang w:val="en-US"/>
              </w:rPr>
              <w:t>Monitoring committee</w:t>
            </w:r>
          </w:p>
        </w:tc>
        <w:tc>
          <w:tcPr>
            <w:tcW w:w="1445" w:type="dxa"/>
            <w:tcBorders>
              <w:top w:val="single" w:sz="4" w:space="0" w:color="auto"/>
              <w:left w:val="single" w:sz="4" w:space="0" w:color="auto"/>
              <w:bottom w:val="single" w:sz="4" w:space="0" w:color="auto"/>
              <w:right w:val="single" w:sz="4" w:space="0" w:color="auto"/>
            </w:tcBorders>
            <w:vAlign w:val="center"/>
          </w:tcPr>
          <w:p w:rsidR="00C821BE" w:rsidRPr="0010784C" w:rsidRDefault="00C821BE" w:rsidP="00C821BE">
            <w:pPr>
              <w:spacing w:after="0" w:line="240" w:lineRule="auto"/>
              <w:jc w:val="center"/>
              <w:rPr>
                <w:rFonts w:ascii="Times New Roman" w:hAnsi="Times New Roman" w:cs="Times New Roman"/>
                <w:sz w:val="16"/>
                <w:szCs w:val="16"/>
                <w:lang w:val="en-US"/>
              </w:rPr>
            </w:pPr>
            <w:r w:rsidRPr="0010784C">
              <w:rPr>
                <w:rFonts w:ascii="Times New Roman" w:hAnsi="Times New Roman" w:cs="Times New Roman"/>
                <w:sz w:val="16"/>
                <w:szCs w:val="16"/>
                <w:lang w:val="en-US"/>
              </w:rPr>
              <w:t>During construction / quarterly</w:t>
            </w:r>
          </w:p>
        </w:tc>
        <w:tc>
          <w:tcPr>
            <w:tcW w:w="112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C821BE" w:rsidRPr="0010784C" w:rsidRDefault="00C821BE" w:rsidP="00C821BE">
            <w:pPr>
              <w:spacing w:after="0" w:line="240" w:lineRule="auto"/>
              <w:jc w:val="center"/>
              <w:rPr>
                <w:rFonts w:ascii="Times New Roman" w:hAnsi="Times New Roman" w:cs="Times New Roman"/>
                <w:b/>
                <w:sz w:val="16"/>
                <w:szCs w:val="16"/>
                <w:lang w:val="en-US"/>
              </w:rPr>
            </w:pPr>
            <w:r w:rsidRPr="0010784C">
              <w:rPr>
                <w:rFonts w:ascii="Times New Roman" w:hAnsi="Times New Roman" w:cs="Times New Roman"/>
                <w:b/>
                <w:sz w:val="16"/>
                <w:szCs w:val="16"/>
                <w:lang w:val="en-US"/>
              </w:rPr>
              <w:t>2,000,000 / 4 sites</w:t>
            </w:r>
          </w:p>
        </w:tc>
      </w:tr>
      <w:tr w:rsidR="00C821BE" w:rsidRPr="0010784C" w:rsidTr="00C821BE">
        <w:trPr>
          <w:trHeight w:val="1295"/>
          <w:jc w:val="center"/>
        </w:trPr>
        <w:tc>
          <w:tcPr>
            <w:tcW w:w="1212"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C821BE" w:rsidRPr="0010784C" w:rsidRDefault="00C821BE" w:rsidP="00C821BE">
            <w:pPr>
              <w:spacing w:after="0" w:line="240" w:lineRule="auto"/>
              <w:jc w:val="center"/>
              <w:rPr>
                <w:rFonts w:ascii="Times New Roman" w:hAnsi="Times New Roman" w:cs="Times New Roman"/>
                <w:b/>
                <w:bCs/>
                <w:sz w:val="16"/>
                <w:szCs w:val="16"/>
                <w:lang w:val="en-US"/>
              </w:rPr>
            </w:pPr>
            <w:r w:rsidRPr="0010784C">
              <w:rPr>
                <w:rFonts w:ascii="Times New Roman" w:hAnsi="Times New Roman" w:cs="Times New Roman"/>
                <w:b/>
                <w:color w:val="000000"/>
                <w:sz w:val="16"/>
                <w:szCs w:val="16"/>
                <w:lang w:val="en-US"/>
              </w:rPr>
              <w:t>Site personnel and residents</w:t>
            </w:r>
          </w:p>
        </w:tc>
        <w:tc>
          <w:tcPr>
            <w:tcW w:w="2079" w:type="dxa"/>
            <w:tcBorders>
              <w:top w:val="single" w:sz="4" w:space="0" w:color="auto"/>
              <w:left w:val="single" w:sz="4" w:space="0" w:color="auto"/>
              <w:bottom w:val="single" w:sz="4" w:space="0" w:color="auto"/>
              <w:right w:val="single" w:sz="4" w:space="0" w:color="auto"/>
            </w:tcBorders>
            <w:vAlign w:val="center"/>
          </w:tcPr>
          <w:p w:rsidR="00C821BE" w:rsidRPr="0010784C" w:rsidRDefault="00C821BE" w:rsidP="00C821BE">
            <w:pPr>
              <w:spacing w:after="0" w:line="240" w:lineRule="auto"/>
              <w:jc w:val="both"/>
              <w:rPr>
                <w:rFonts w:ascii="Times New Roman" w:hAnsi="Times New Roman" w:cs="Times New Roman"/>
                <w:sz w:val="16"/>
                <w:szCs w:val="16"/>
                <w:lang w:val="en-US"/>
              </w:rPr>
            </w:pPr>
            <w:r w:rsidRPr="0010784C">
              <w:rPr>
                <w:rFonts w:ascii="Times New Roman" w:hAnsi="Times New Roman" w:cs="Times New Roman"/>
                <w:sz w:val="16"/>
                <w:szCs w:val="16"/>
                <w:lang w:val="en-US"/>
              </w:rPr>
              <w:t>Noise</w:t>
            </w:r>
          </w:p>
        </w:tc>
        <w:tc>
          <w:tcPr>
            <w:tcW w:w="4335" w:type="dxa"/>
            <w:tcBorders>
              <w:top w:val="single" w:sz="4" w:space="0" w:color="auto"/>
              <w:left w:val="single" w:sz="4" w:space="0" w:color="auto"/>
              <w:bottom w:val="single" w:sz="4" w:space="0" w:color="auto"/>
              <w:right w:val="single" w:sz="4" w:space="0" w:color="auto"/>
            </w:tcBorders>
            <w:vAlign w:val="center"/>
          </w:tcPr>
          <w:p w:rsidR="00C821BE" w:rsidRPr="0010784C" w:rsidRDefault="00C821BE" w:rsidP="00C821BE">
            <w:pPr>
              <w:spacing w:after="0" w:line="240" w:lineRule="auto"/>
              <w:jc w:val="both"/>
              <w:rPr>
                <w:rFonts w:ascii="Times New Roman" w:hAnsi="Times New Roman" w:cs="Times New Roman"/>
                <w:sz w:val="16"/>
                <w:szCs w:val="16"/>
                <w:lang w:val="en-US"/>
              </w:rPr>
            </w:pPr>
            <w:r w:rsidRPr="0010784C">
              <w:rPr>
                <w:rFonts w:ascii="Times New Roman" w:hAnsi="Times New Roman" w:cs="Times New Roman"/>
                <w:sz w:val="16"/>
                <w:szCs w:val="16"/>
                <w:lang w:val="en-US"/>
              </w:rPr>
              <w:t>-Respect the sound thresholds allowed in relation to the site;</w:t>
            </w:r>
          </w:p>
          <w:p w:rsidR="00C821BE" w:rsidRPr="0010784C" w:rsidRDefault="00C821BE" w:rsidP="00C821BE">
            <w:pPr>
              <w:spacing w:after="0" w:line="240" w:lineRule="auto"/>
              <w:jc w:val="both"/>
              <w:rPr>
                <w:rFonts w:ascii="Times New Roman" w:hAnsi="Times New Roman" w:cs="Times New Roman"/>
                <w:sz w:val="16"/>
                <w:szCs w:val="16"/>
                <w:lang w:val="en-US"/>
              </w:rPr>
            </w:pPr>
            <w:r w:rsidRPr="0010784C">
              <w:rPr>
                <w:rFonts w:ascii="Times New Roman" w:hAnsi="Times New Roman" w:cs="Times New Roman"/>
                <w:sz w:val="16"/>
                <w:szCs w:val="16"/>
                <w:lang w:val="en-US"/>
              </w:rPr>
              <w:t>-Respect working hours;</w:t>
            </w:r>
          </w:p>
          <w:p w:rsidR="00C821BE" w:rsidRPr="0010784C" w:rsidRDefault="00C821BE" w:rsidP="00C821BE">
            <w:pPr>
              <w:spacing w:after="0" w:line="240" w:lineRule="auto"/>
              <w:jc w:val="both"/>
              <w:rPr>
                <w:rFonts w:ascii="Times New Roman" w:hAnsi="Times New Roman" w:cs="Times New Roman"/>
                <w:sz w:val="16"/>
                <w:szCs w:val="16"/>
                <w:lang w:val="en-US"/>
              </w:rPr>
            </w:pPr>
            <w:r w:rsidRPr="0010784C">
              <w:rPr>
                <w:rFonts w:ascii="Times New Roman" w:hAnsi="Times New Roman" w:cs="Times New Roman"/>
                <w:sz w:val="16"/>
                <w:szCs w:val="16"/>
                <w:lang w:val="en-US"/>
              </w:rPr>
              <w:t>-Limit noise emissions during the rest hours of neighboring populations;</w:t>
            </w:r>
          </w:p>
          <w:p w:rsidR="00C821BE" w:rsidRPr="0010784C" w:rsidRDefault="00C821BE" w:rsidP="00C821BE">
            <w:pPr>
              <w:spacing w:after="0" w:line="240" w:lineRule="auto"/>
              <w:jc w:val="both"/>
              <w:rPr>
                <w:rFonts w:ascii="Times New Roman" w:hAnsi="Times New Roman" w:cs="Times New Roman"/>
                <w:sz w:val="16"/>
                <w:szCs w:val="16"/>
                <w:lang w:val="en-US"/>
              </w:rPr>
            </w:pPr>
            <w:r w:rsidRPr="0010784C">
              <w:rPr>
                <w:rFonts w:ascii="Times New Roman" w:hAnsi="Times New Roman" w:cs="Times New Roman"/>
                <w:sz w:val="16"/>
                <w:szCs w:val="16"/>
                <w:lang w:val="en-US"/>
              </w:rPr>
              <w:t>- Provide workers with protective helmets;</w:t>
            </w:r>
          </w:p>
          <w:p w:rsidR="00C821BE" w:rsidRPr="0010784C" w:rsidRDefault="00C821BE" w:rsidP="00C821BE">
            <w:pPr>
              <w:spacing w:after="0" w:line="240" w:lineRule="auto"/>
              <w:jc w:val="both"/>
              <w:rPr>
                <w:rFonts w:ascii="Times New Roman" w:hAnsi="Times New Roman" w:cs="Times New Roman"/>
                <w:sz w:val="16"/>
                <w:szCs w:val="16"/>
                <w:lang w:val="en-US"/>
              </w:rPr>
            </w:pPr>
            <w:r w:rsidRPr="0010784C">
              <w:rPr>
                <w:rFonts w:ascii="Times New Roman" w:hAnsi="Times New Roman" w:cs="Times New Roman"/>
                <w:sz w:val="16"/>
                <w:szCs w:val="16"/>
                <w:lang w:val="en-US"/>
              </w:rPr>
              <w:t>-Place signs indicating maximum noise levels;</w:t>
            </w:r>
          </w:p>
          <w:p w:rsidR="00C821BE" w:rsidRPr="0010784C" w:rsidRDefault="00C821BE" w:rsidP="00C821BE">
            <w:pPr>
              <w:spacing w:after="0" w:line="240" w:lineRule="auto"/>
              <w:jc w:val="both"/>
              <w:rPr>
                <w:rFonts w:ascii="Times New Roman" w:hAnsi="Times New Roman" w:cs="Times New Roman"/>
                <w:sz w:val="16"/>
                <w:szCs w:val="16"/>
                <w:lang w:val="en-US"/>
              </w:rPr>
            </w:pPr>
            <w:r w:rsidRPr="0010784C">
              <w:rPr>
                <w:rFonts w:ascii="Times New Roman" w:hAnsi="Times New Roman" w:cs="Times New Roman"/>
                <w:sz w:val="16"/>
                <w:szCs w:val="16"/>
                <w:lang w:val="en-US"/>
              </w:rPr>
              <w:t>- Make workers aware of the risks of noise pollution;</w:t>
            </w:r>
          </w:p>
        </w:tc>
        <w:tc>
          <w:tcPr>
            <w:tcW w:w="3568" w:type="dxa"/>
            <w:tcBorders>
              <w:top w:val="single" w:sz="4" w:space="0" w:color="auto"/>
              <w:left w:val="single" w:sz="4" w:space="0" w:color="auto"/>
              <w:bottom w:val="single" w:sz="4" w:space="0" w:color="auto"/>
              <w:right w:val="single" w:sz="4" w:space="0" w:color="auto"/>
            </w:tcBorders>
            <w:vAlign w:val="center"/>
          </w:tcPr>
          <w:p w:rsidR="00C821BE" w:rsidRPr="0010784C" w:rsidRDefault="00C821BE" w:rsidP="00C821BE">
            <w:pPr>
              <w:spacing w:after="0" w:line="240" w:lineRule="auto"/>
              <w:jc w:val="both"/>
              <w:rPr>
                <w:rFonts w:ascii="Times New Roman" w:hAnsi="Times New Roman" w:cs="Times New Roman"/>
                <w:sz w:val="16"/>
                <w:szCs w:val="16"/>
                <w:lang w:val="en-US"/>
              </w:rPr>
            </w:pPr>
            <w:r w:rsidRPr="0010784C">
              <w:rPr>
                <w:rFonts w:ascii="Times New Roman" w:hAnsi="Times New Roman" w:cs="Times New Roman"/>
                <w:sz w:val="16"/>
                <w:szCs w:val="16"/>
                <w:lang w:val="en-US"/>
              </w:rPr>
              <w:t>- Number of complaints received;</w:t>
            </w:r>
          </w:p>
          <w:p w:rsidR="00C821BE" w:rsidRPr="0010784C" w:rsidRDefault="00C821BE" w:rsidP="00C821BE">
            <w:pPr>
              <w:spacing w:after="0" w:line="240" w:lineRule="auto"/>
              <w:jc w:val="both"/>
              <w:rPr>
                <w:rFonts w:ascii="Times New Roman" w:hAnsi="Times New Roman" w:cs="Times New Roman"/>
                <w:sz w:val="16"/>
                <w:szCs w:val="16"/>
                <w:lang w:val="en-US"/>
              </w:rPr>
            </w:pPr>
            <w:r w:rsidRPr="0010784C">
              <w:rPr>
                <w:rFonts w:ascii="Times New Roman" w:hAnsi="Times New Roman" w:cs="Times New Roman"/>
                <w:sz w:val="16"/>
                <w:szCs w:val="16"/>
                <w:lang w:val="en-US"/>
              </w:rPr>
              <w:t>-Number of workers equipped with helmets;</w:t>
            </w:r>
          </w:p>
          <w:p w:rsidR="00C821BE" w:rsidRPr="0010784C" w:rsidRDefault="00C821BE" w:rsidP="00C821BE">
            <w:pPr>
              <w:spacing w:after="0" w:line="240" w:lineRule="auto"/>
              <w:jc w:val="both"/>
              <w:rPr>
                <w:rFonts w:ascii="Times New Roman" w:hAnsi="Times New Roman" w:cs="Times New Roman"/>
                <w:sz w:val="16"/>
                <w:szCs w:val="16"/>
                <w:lang w:val="en-US"/>
              </w:rPr>
            </w:pPr>
            <w:r w:rsidRPr="0010784C">
              <w:rPr>
                <w:rFonts w:ascii="Times New Roman" w:hAnsi="Times New Roman" w:cs="Times New Roman"/>
                <w:sz w:val="16"/>
                <w:szCs w:val="16"/>
                <w:lang w:val="en-US"/>
              </w:rPr>
              <w:t>-Presence of an indication panel on construction sites;</w:t>
            </w:r>
          </w:p>
          <w:p w:rsidR="00C821BE" w:rsidRPr="0010784C" w:rsidRDefault="00C821BE" w:rsidP="00C821BE">
            <w:pPr>
              <w:spacing w:after="0" w:line="240" w:lineRule="auto"/>
              <w:jc w:val="both"/>
              <w:rPr>
                <w:rFonts w:ascii="Times New Roman" w:hAnsi="Times New Roman" w:cs="Times New Roman"/>
                <w:sz w:val="16"/>
                <w:szCs w:val="16"/>
                <w:lang w:val="en-US"/>
              </w:rPr>
            </w:pPr>
            <w:r w:rsidRPr="0010784C">
              <w:rPr>
                <w:rFonts w:ascii="Times New Roman" w:hAnsi="Times New Roman" w:cs="Times New Roman"/>
                <w:sz w:val="16"/>
                <w:szCs w:val="16"/>
                <w:lang w:val="en-US"/>
              </w:rPr>
              <w:t>-PV and the number of workers sensitized;</w:t>
            </w:r>
          </w:p>
          <w:p w:rsidR="00C821BE" w:rsidRPr="0010784C" w:rsidRDefault="00C821BE" w:rsidP="00C821BE">
            <w:pPr>
              <w:spacing w:after="0" w:line="240" w:lineRule="auto"/>
              <w:jc w:val="both"/>
              <w:rPr>
                <w:rFonts w:ascii="Times New Roman" w:hAnsi="Times New Roman" w:cs="Times New Roman"/>
                <w:sz w:val="16"/>
                <w:szCs w:val="16"/>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C821BE" w:rsidRPr="0010784C" w:rsidRDefault="00C821BE" w:rsidP="00C821BE">
            <w:pPr>
              <w:spacing w:after="0" w:line="240" w:lineRule="auto"/>
              <w:jc w:val="center"/>
              <w:rPr>
                <w:rFonts w:ascii="Times New Roman" w:hAnsi="Times New Roman" w:cs="Times New Roman"/>
                <w:b/>
                <w:sz w:val="16"/>
                <w:szCs w:val="16"/>
                <w:lang w:val="en-US"/>
              </w:rPr>
            </w:pPr>
            <w:r w:rsidRPr="0010784C">
              <w:rPr>
                <w:rFonts w:ascii="Times New Roman" w:hAnsi="Times New Roman" w:cs="Times New Roman"/>
                <w:b/>
                <w:sz w:val="16"/>
                <w:szCs w:val="16"/>
                <w:lang w:val="en-US"/>
              </w:rPr>
              <w:t>Business</w:t>
            </w:r>
          </w:p>
          <w:p w:rsidR="00C821BE" w:rsidRPr="0010784C" w:rsidRDefault="00C821BE" w:rsidP="00C821BE">
            <w:pPr>
              <w:spacing w:after="0" w:line="240" w:lineRule="auto"/>
              <w:jc w:val="center"/>
              <w:rPr>
                <w:rFonts w:ascii="Times New Roman" w:hAnsi="Times New Roman" w:cs="Times New Roman"/>
                <w:b/>
                <w:sz w:val="16"/>
                <w:szCs w:val="16"/>
                <w:lang w:val="en-US"/>
              </w:rPr>
            </w:pPr>
          </w:p>
        </w:tc>
        <w:tc>
          <w:tcPr>
            <w:tcW w:w="1120"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C821BE" w:rsidRPr="0010784C" w:rsidRDefault="00C821BE" w:rsidP="00C821BE">
            <w:pPr>
              <w:spacing w:after="0" w:line="240" w:lineRule="auto"/>
              <w:jc w:val="center"/>
              <w:rPr>
                <w:rFonts w:ascii="Times New Roman" w:hAnsi="Times New Roman" w:cs="Times New Roman"/>
                <w:b/>
                <w:sz w:val="16"/>
                <w:szCs w:val="16"/>
                <w:lang w:val="en-US"/>
              </w:rPr>
            </w:pPr>
            <w:r w:rsidRPr="0010784C">
              <w:rPr>
                <w:rFonts w:ascii="Times New Roman" w:hAnsi="Times New Roman" w:cs="Times New Roman"/>
                <w:b/>
                <w:sz w:val="16"/>
                <w:szCs w:val="16"/>
                <w:lang w:val="en-US"/>
              </w:rPr>
              <w:t>Monitoring committee</w:t>
            </w:r>
          </w:p>
          <w:p w:rsidR="00C821BE" w:rsidRPr="0010784C" w:rsidRDefault="00C821BE" w:rsidP="00C821BE">
            <w:pPr>
              <w:spacing w:after="0" w:line="240" w:lineRule="auto"/>
              <w:jc w:val="center"/>
              <w:rPr>
                <w:rFonts w:ascii="Times New Roman" w:hAnsi="Times New Roman" w:cs="Times New Roman"/>
                <w:b/>
                <w:sz w:val="16"/>
                <w:szCs w:val="16"/>
                <w:lang w:val="en-US"/>
              </w:rPr>
            </w:pPr>
          </w:p>
          <w:p w:rsidR="00C821BE" w:rsidRPr="0010784C" w:rsidRDefault="00C821BE" w:rsidP="00C821BE">
            <w:pPr>
              <w:spacing w:after="0" w:line="240" w:lineRule="auto"/>
              <w:jc w:val="center"/>
              <w:rPr>
                <w:rFonts w:ascii="Times New Roman" w:hAnsi="Times New Roman" w:cs="Times New Roman"/>
                <w:b/>
                <w:sz w:val="16"/>
                <w:szCs w:val="16"/>
                <w:lang w:val="en-US"/>
              </w:rPr>
            </w:pPr>
            <w:r w:rsidRPr="0010784C">
              <w:rPr>
                <w:rFonts w:ascii="Times New Roman" w:hAnsi="Times New Roman" w:cs="Times New Roman"/>
                <w:b/>
                <w:sz w:val="16"/>
                <w:szCs w:val="16"/>
                <w:lang w:val="en-US"/>
              </w:rPr>
              <w:t>PUASEE-FA</w:t>
            </w:r>
          </w:p>
        </w:tc>
        <w:tc>
          <w:tcPr>
            <w:tcW w:w="1445" w:type="dxa"/>
            <w:tcBorders>
              <w:top w:val="single" w:sz="4" w:space="0" w:color="auto"/>
              <w:left w:val="single" w:sz="4" w:space="0" w:color="auto"/>
              <w:bottom w:val="single" w:sz="4" w:space="0" w:color="auto"/>
              <w:right w:val="single" w:sz="4" w:space="0" w:color="auto"/>
            </w:tcBorders>
            <w:vAlign w:val="center"/>
          </w:tcPr>
          <w:p w:rsidR="00C821BE" w:rsidRPr="0010784C" w:rsidRDefault="00C821BE" w:rsidP="00C821BE">
            <w:pPr>
              <w:spacing w:after="0" w:line="240" w:lineRule="auto"/>
              <w:jc w:val="center"/>
              <w:rPr>
                <w:rFonts w:ascii="Times New Roman" w:hAnsi="Times New Roman" w:cs="Times New Roman"/>
                <w:sz w:val="16"/>
                <w:szCs w:val="16"/>
                <w:lang w:val="en-US"/>
              </w:rPr>
            </w:pPr>
            <w:r w:rsidRPr="0010784C">
              <w:rPr>
                <w:rFonts w:ascii="Times New Roman" w:hAnsi="Times New Roman" w:cs="Times New Roman"/>
                <w:sz w:val="16"/>
                <w:szCs w:val="16"/>
                <w:lang w:val="en-US"/>
              </w:rPr>
              <w:t>During the works / monthly</w:t>
            </w:r>
          </w:p>
        </w:tc>
        <w:tc>
          <w:tcPr>
            <w:tcW w:w="112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C821BE" w:rsidRPr="0010784C" w:rsidRDefault="00C821BE" w:rsidP="00C821BE">
            <w:pPr>
              <w:spacing w:after="0" w:line="240" w:lineRule="auto"/>
              <w:jc w:val="center"/>
              <w:rPr>
                <w:rFonts w:ascii="Times New Roman" w:hAnsi="Times New Roman" w:cs="Times New Roman"/>
                <w:b/>
                <w:sz w:val="16"/>
                <w:szCs w:val="16"/>
                <w:lang w:val="en-US"/>
              </w:rPr>
            </w:pPr>
            <w:r w:rsidRPr="0010784C">
              <w:rPr>
                <w:rFonts w:ascii="Times New Roman" w:hAnsi="Times New Roman" w:cs="Times New Roman"/>
                <w:b/>
                <w:sz w:val="16"/>
                <w:szCs w:val="16"/>
                <w:lang w:val="en-US"/>
              </w:rPr>
              <w:t>500,000</w:t>
            </w:r>
          </w:p>
        </w:tc>
      </w:tr>
      <w:tr w:rsidR="00C821BE" w:rsidRPr="0010784C" w:rsidTr="00C821BE">
        <w:trPr>
          <w:trHeight w:val="126"/>
          <w:jc w:val="center"/>
        </w:trPr>
        <w:tc>
          <w:tcPr>
            <w:tcW w:w="1212"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C821BE" w:rsidRPr="0010784C" w:rsidRDefault="00C821BE" w:rsidP="00C821BE">
            <w:pPr>
              <w:spacing w:after="0" w:line="240" w:lineRule="auto"/>
              <w:jc w:val="center"/>
              <w:rPr>
                <w:rFonts w:ascii="Times New Roman" w:hAnsi="Times New Roman" w:cs="Times New Roman"/>
                <w:b/>
                <w:sz w:val="16"/>
                <w:szCs w:val="16"/>
                <w:lang w:val="en-US"/>
              </w:rPr>
            </w:pPr>
            <w:r w:rsidRPr="0010784C">
              <w:rPr>
                <w:rFonts w:ascii="Times New Roman" w:hAnsi="Times New Roman" w:cs="Times New Roman"/>
                <w:b/>
                <w:sz w:val="16"/>
                <w:szCs w:val="16"/>
                <w:lang w:val="en-US"/>
              </w:rPr>
              <w:t xml:space="preserve">Living environment </w:t>
            </w:r>
          </w:p>
        </w:tc>
        <w:tc>
          <w:tcPr>
            <w:tcW w:w="2079" w:type="dxa"/>
            <w:tcBorders>
              <w:top w:val="single" w:sz="4" w:space="0" w:color="auto"/>
              <w:left w:val="single" w:sz="4" w:space="0" w:color="auto"/>
              <w:bottom w:val="single" w:sz="4" w:space="0" w:color="auto"/>
              <w:right w:val="single" w:sz="4" w:space="0" w:color="auto"/>
            </w:tcBorders>
            <w:vAlign w:val="center"/>
          </w:tcPr>
          <w:p w:rsidR="00C821BE" w:rsidRPr="0010784C" w:rsidRDefault="00C821BE" w:rsidP="00C821BE">
            <w:pPr>
              <w:spacing w:after="0" w:line="240" w:lineRule="auto"/>
              <w:jc w:val="both"/>
              <w:rPr>
                <w:rFonts w:ascii="Times New Roman" w:hAnsi="Times New Roman" w:cs="Times New Roman"/>
                <w:sz w:val="16"/>
                <w:szCs w:val="16"/>
                <w:lang w:val="en-US"/>
              </w:rPr>
            </w:pPr>
            <w:r w:rsidRPr="0010784C">
              <w:rPr>
                <w:rFonts w:ascii="Times New Roman" w:hAnsi="Times New Roman" w:cs="Times New Roman"/>
                <w:sz w:val="16"/>
                <w:szCs w:val="16"/>
                <w:lang w:val="en-US"/>
              </w:rPr>
              <w:t>Risk of hindering the movement of people and goods;</w:t>
            </w:r>
          </w:p>
          <w:p w:rsidR="00C821BE" w:rsidRPr="0010784C" w:rsidRDefault="00C821BE" w:rsidP="00C821BE">
            <w:pPr>
              <w:spacing w:after="0" w:line="240" w:lineRule="auto"/>
              <w:jc w:val="both"/>
              <w:rPr>
                <w:rFonts w:ascii="Times New Roman" w:hAnsi="Times New Roman" w:cs="Times New Roman"/>
                <w:sz w:val="16"/>
                <w:szCs w:val="16"/>
                <w:lang w:val="en-US"/>
              </w:rPr>
            </w:pPr>
          </w:p>
          <w:p w:rsidR="00C821BE" w:rsidRPr="0010784C" w:rsidRDefault="00C821BE" w:rsidP="00C821BE">
            <w:pPr>
              <w:spacing w:after="0" w:line="240" w:lineRule="auto"/>
              <w:jc w:val="both"/>
              <w:rPr>
                <w:rFonts w:ascii="Times New Roman" w:hAnsi="Times New Roman" w:cs="Times New Roman"/>
                <w:color w:val="000000"/>
                <w:sz w:val="16"/>
                <w:szCs w:val="16"/>
                <w:lang w:val="en-US"/>
              </w:rPr>
            </w:pPr>
            <w:r w:rsidRPr="0010784C">
              <w:rPr>
                <w:rFonts w:ascii="Times New Roman" w:hAnsi="Times New Roman" w:cs="Times New Roman"/>
                <w:color w:val="000000"/>
                <w:sz w:val="16"/>
                <w:szCs w:val="16"/>
                <w:lang w:val="en-US"/>
              </w:rPr>
              <w:t>Risk of road traffic disruptions;</w:t>
            </w:r>
          </w:p>
        </w:tc>
        <w:tc>
          <w:tcPr>
            <w:tcW w:w="4335" w:type="dxa"/>
            <w:tcBorders>
              <w:top w:val="single" w:sz="4" w:space="0" w:color="auto"/>
              <w:left w:val="single" w:sz="4" w:space="0" w:color="auto"/>
              <w:bottom w:val="single" w:sz="4" w:space="0" w:color="auto"/>
              <w:right w:val="single" w:sz="4" w:space="0" w:color="auto"/>
            </w:tcBorders>
            <w:vAlign w:val="center"/>
          </w:tcPr>
          <w:p w:rsidR="00C821BE" w:rsidRPr="0010784C" w:rsidRDefault="00C821BE" w:rsidP="00C821BE">
            <w:pPr>
              <w:spacing w:after="0" w:line="240" w:lineRule="auto"/>
              <w:jc w:val="both"/>
              <w:rPr>
                <w:rFonts w:ascii="Times New Roman" w:hAnsi="Times New Roman" w:cs="Times New Roman"/>
                <w:sz w:val="16"/>
                <w:szCs w:val="16"/>
                <w:lang w:val="en-US"/>
              </w:rPr>
            </w:pPr>
            <w:r w:rsidRPr="0010784C">
              <w:rPr>
                <w:rFonts w:ascii="Times New Roman" w:hAnsi="Times New Roman" w:cs="Times New Roman"/>
                <w:sz w:val="16"/>
                <w:szCs w:val="16"/>
                <w:lang w:val="en-US"/>
              </w:rPr>
              <w:t>- Mark out well the work intervention zones;</w:t>
            </w:r>
          </w:p>
          <w:p w:rsidR="00C821BE" w:rsidRPr="0010784C" w:rsidRDefault="00C821BE" w:rsidP="00C821BE">
            <w:pPr>
              <w:spacing w:after="0" w:line="240" w:lineRule="auto"/>
              <w:jc w:val="both"/>
              <w:rPr>
                <w:rFonts w:ascii="Times New Roman" w:hAnsi="Times New Roman" w:cs="Times New Roman"/>
                <w:sz w:val="16"/>
                <w:szCs w:val="16"/>
                <w:lang w:val="en-US"/>
              </w:rPr>
            </w:pPr>
            <w:r w:rsidRPr="0010784C">
              <w:rPr>
                <w:rFonts w:ascii="Times New Roman" w:hAnsi="Times New Roman" w:cs="Times New Roman"/>
                <w:sz w:val="16"/>
                <w:szCs w:val="16"/>
                <w:lang w:val="en-US"/>
              </w:rPr>
              <w:t>-Develop a traffic plan in dense areas;</w:t>
            </w:r>
          </w:p>
          <w:p w:rsidR="00C821BE" w:rsidRPr="0010784C" w:rsidRDefault="00C821BE" w:rsidP="00C821BE">
            <w:pPr>
              <w:spacing w:after="0" w:line="240" w:lineRule="auto"/>
              <w:jc w:val="both"/>
              <w:rPr>
                <w:rFonts w:ascii="Times New Roman" w:hAnsi="Times New Roman" w:cs="Times New Roman"/>
                <w:sz w:val="16"/>
                <w:szCs w:val="16"/>
                <w:lang w:val="en-US"/>
              </w:rPr>
            </w:pPr>
            <w:r w:rsidRPr="0010784C">
              <w:rPr>
                <w:rFonts w:ascii="Times New Roman" w:hAnsi="Times New Roman" w:cs="Times New Roman"/>
                <w:sz w:val="16"/>
                <w:szCs w:val="16"/>
                <w:lang w:val="en-US"/>
              </w:rPr>
              <w:t>-Take positions to allow the mobility of users:</w:t>
            </w:r>
          </w:p>
          <w:p w:rsidR="00C821BE" w:rsidRPr="0010784C" w:rsidRDefault="00C821BE" w:rsidP="00C821BE">
            <w:pPr>
              <w:spacing w:after="0" w:line="240" w:lineRule="auto"/>
              <w:jc w:val="both"/>
              <w:rPr>
                <w:rFonts w:ascii="Times New Roman" w:hAnsi="Times New Roman" w:cs="Times New Roman"/>
                <w:sz w:val="16"/>
                <w:szCs w:val="16"/>
                <w:lang w:val="en-US"/>
              </w:rPr>
            </w:pPr>
            <w:r w:rsidRPr="0010784C">
              <w:rPr>
                <w:rFonts w:ascii="Times New Roman" w:hAnsi="Times New Roman" w:cs="Times New Roman"/>
                <w:sz w:val="16"/>
                <w:szCs w:val="16"/>
                <w:lang w:val="en-US"/>
              </w:rPr>
              <w:t>-Supply sites with materials while traffic is flowing if possible;</w:t>
            </w:r>
          </w:p>
          <w:p w:rsidR="00C821BE" w:rsidRPr="0010784C" w:rsidRDefault="00C821BE" w:rsidP="00C821BE">
            <w:pPr>
              <w:spacing w:after="0" w:line="240" w:lineRule="auto"/>
              <w:jc w:val="both"/>
              <w:rPr>
                <w:rFonts w:ascii="Times New Roman" w:hAnsi="Times New Roman" w:cs="Times New Roman"/>
                <w:sz w:val="16"/>
                <w:szCs w:val="16"/>
                <w:lang w:val="en-US"/>
              </w:rPr>
            </w:pPr>
            <w:r w:rsidRPr="0010784C">
              <w:rPr>
                <w:rFonts w:ascii="Times New Roman" w:hAnsi="Times New Roman" w:cs="Times New Roman"/>
                <w:sz w:val="16"/>
                <w:szCs w:val="16"/>
                <w:lang w:val="en-US"/>
              </w:rPr>
              <w:t>- Avoid prolonged parking of trucks at the edge of access roads;</w:t>
            </w:r>
          </w:p>
          <w:p w:rsidR="00C821BE" w:rsidRPr="0010784C" w:rsidRDefault="00C821BE" w:rsidP="00C821BE">
            <w:pPr>
              <w:spacing w:after="0" w:line="240" w:lineRule="auto"/>
              <w:jc w:val="both"/>
              <w:rPr>
                <w:rFonts w:ascii="Times New Roman" w:hAnsi="Times New Roman" w:cs="Times New Roman"/>
                <w:sz w:val="16"/>
                <w:szCs w:val="16"/>
                <w:lang w:val="en-US"/>
              </w:rPr>
            </w:pPr>
            <w:r w:rsidRPr="0010784C">
              <w:rPr>
                <w:rFonts w:ascii="Times New Roman" w:hAnsi="Times New Roman" w:cs="Times New Roman"/>
                <w:sz w:val="16"/>
                <w:szCs w:val="16"/>
                <w:lang w:val="en-US"/>
              </w:rPr>
              <w:t>-Inform and educate the inhabitants and traders located next to the site bases on the nature and duration of the work;</w:t>
            </w:r>
          </w:p>
          <w:p w:rsidR="00C821BE" w:rsidRPr="0010784C" w:rsidRDefault="00C821BE" w:rsidP="00C821BE">
            <w:pPr>
              <w:spacing w:after="0" w:line="240" w:lineRule="auto"/>
              <w:jc w:val="both"/>
              <w:rPr>
                <w:rFonts w:ascii="Times New Roman" w:hAnsi="Times New Roman" w:cs="Times New Roman"/>
                <w:sz w:val="16"/>
                <w:szCs w:val="16"/>
                <w:lang w:val="en-US"/>
              </w:rPr>
            </w:pPr>
            <w:r w:rsidRPr="0010784C">
              <w:rPr>
                <w:rFonts w:ascii="Times New Roman" w:hAnsi="Times New Roman" w:cs="Times New Roman"/>
                <w:sz w:val="16"/>
                <w:szCs w:val="16"/>
                <w:lang w:val="en-US"/>
              </w:rPr>
              <w:t>- Regularize traffic by installing traffic signs in the project intervention areas;</w:t>
            </w:r>
          </w:p>
        </w:tc>
        <w:tc>
          <w:tcPr>
            <w:tcW w:w="3568" w:type="dxa"/>
            <w:tcBorders>
              <w:top w:val="single" w:sz="4" w:space="0" w:color="auto"/>
              <w:left w:val="single" w:sz="4" w:space="0" w:color="auto"/>
              <w:bottom w:val="single" w:sz="4" w:space="0" w:color="auto"/>
              <w:right w:val="single" w:sz="4" w:space="0" w:color="auto"/>
            </w:tcBorders>
            <w:vAlign w:val="center"/>
          </w:tcPr>
          <w:p w:rsidR="00C821BE" w:rsidRPr="0010784C" w:rsidRDefault="00C821BE" w:rsidP="00C821BE">
            <w:pPr>
              <w:pStyle w:val="Listecouleur-Accent11"/>
              <w:ind w:left="0"/>
              <w:rPr>
                <w:rFonts w:ascii="Times New Roman" w:hAnsi="Times New Roman"/>
                <w:sz w:val="16"/>
                <w:szCs w:val="16"/>
                <w:lang w:val="en-US"/>
              </w:rPr>
            </w:pPr>
            <w:r w:rsidRPr="0010784C">
              <w:rPr>
                <w:rFonts w:ascii="Times New Roman" w:hAnsi="Times New Roman"/>
                <w:sz w:val="16"/>
                <w:szCs w:val="16"/>
                <w:lang w:val="en-US"/>
              </w:rPr>
              <w:t>-Presence of a validated traffic plan;</w:t>
            </w:r>
          </w:p>
          <w:p w:rsidR="00C821BE" w:rsidRPr="0010784C" w:rsidRDefault="00C821BE" w:rsidP="00C821BE">
            <w:pPr>
              <w:pStyle w:val="Listecouleur-Accent11"/>
              <w:ind w:left="0"/>
              <w:rPr>
                <w:rFonts w:ascii="Times New Roman" w:hAnsi="Times New Roman"/>
                <w:sz w:val="16"/>
                <w:szCs w:val="16"/>
                <w:lang w:val="en-US"/>
              </w:rPr>
            </w:pPr>
            <w:r w:rsidRPr="0010784C">
              <w:rPr>
                <w:rFonts w:ascii="Times New Roman" w:hAnsi="Times New Roman"/>
                <w:sz w:val="16"/>
                <w:szCs w:val="16"/>
                <w:lang w:val="en-US"/>
              </w:rPr>
              <w:t>- Signposted intervention zone;</w:t>
            </w:r>
          </w:p>
          <w:p w:rsidR="00C821BE" w:rsidRPr="0010784C" w:rsidRDefault="00C821BE" w:rsidP="00C821BE">
            <w:pPr>
              <w:pStyle w:val="Listecouleur-Accent11"/>
              <w:ind w:left="0"/>
              <w:rPr>
                <w:rFonts w:ascii="Times New Roman" w:hAnsi="Times New Roman"/>
                <w:sz w:val="16"/>
                <w:szCs w:val="16"/>
                <w:lang w:val="en-US"/>
              </w:rPr>
            </w:pPr>
            <w:r w:rsidRPr="0010784C">
              <w:rPr>
                <w:rFonts w:ascii="Times New Roman" w:hAnsi="Times New Roman"/>
                <w:sz w:val="16"/>
                <w:szCs w:val="16"/>
                <w:lang w:val="en-US"/>
              </w:rPr>
              <w:t>-Number of inhabitants and traders informed and sensitized;</w:t>
            </w:r>
          </w:p>
          <w:p w:rsidR="00C821BE" w:rsidRPr="0010784C" w:rsidRDefault="00C821BE" w:rsidP="00C821BE">
            <w:pPr>
              <w:pStyle w:val="Listecouleur-Accent11"/>
              <w:ind w:left="0"/>
              <w:rPr>
                <w:rFonts w:ascii="Times New Roman" w:hAnsi="Times New Roman"/>
                <w:sz w:val="16"/>
                <w:szCs w:val="16"/>
                <w:lang w:val="en-US"/>
              </w:rPr>
            </w:pPr>
            <w:r w:rsidRPr="0010784C">
              <w:rPr>
                <w:rFonts w:ascii="Times New Roman" w:hAnsi="Times New Roman"/>
                <w:sz w:val="16"/>
                <w:szCs w:val="16"/>
                <w:lang w:val="en-US"/>
              </w:rPr>
              <w:t>-Presence of traffic signs in intervention areas;</w:t>
            </w:r>
          </w:p>
        </w:tc>
        <w:tc>
          <w:tcPr>
            <w:tcW w:w="1134"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C821BE" w:rsidRPr="0010784C" w:rsidRDefault="00C821BE" w:rsidP="00C821BE">
            <w:pPr>
              <w:spacing w:after="0" w:line="240" w:lineRule="auto"/>
              <w:jc w:val="center"/>
              <w:rPr>
                <w:rFonts w:ascii="Times New Roman" w:hAnsi="Times New Roman" w:cs="Times New Roman"/>
                <w:b/>
                <w:sz w:val="16"/>
                <w:szCs w:val="16"/>
                <w:lang w:val="en-US"/>
              </w:rPr>
            </w:pPr>
            <w:r w:rsidRPr="0010784C">
              <w:rPr>
                <w:rFonts w:ascii="Times New Roman" w:hAnsi="Times New Roman" w:cs="Times New Roman"/>
                <w:b/>
                <w:sz w:val="16"/>
                <w:szCs w:val="16"/>
                <w:lang w:val="en-US"/>
              </w:rPr>
              <w:t>Business</w:t>
            </w:r>
          </w:p>
          <w:p w:rsidR="00C821BE" w:rsidRPr="0010784C" w:rsidRDefault="00C821BE" w:rsidP="00C821BE">
            <w:pPr>
              <w:spacing w:after="0" w:line="240" w:lineRule="auto"/>
              <w:jc w:val="center"/>
              <w:rPr>
                <w:rFonts w:ascii="Times New Roman" w:hAnsi="Times New Roman" w:cs="Times New Roman"/>
                <w:b/>
                <w:sz w:val="16"/>
                <w:szCs w:val="16"/>
                <w:lang w:val="en-US"/>
              </w:rPr>
            </w:pPr>
          </w:p>
        </w:tc>
        <w:tc>
          <w:tcPr>
            <w:tcW w:w="1120"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C821BE" w:rsidRPr="0010784C" w:rsidRDefault="00C821BE" w:rsidP="00C821BE">
            <w:pPr>
              <w:spacing w:after="0" w:line="240" w:lineRule="auto"/>
              <w:jc w:val="center"/>
              <w:rPr>
                <w:rFonts w:ascii="Times New Roman" w:hAnsi="Times New Roman" w:cs="Times New Roman"/>
                <w:b/>
                <w:sz w:val="16"/>
                <w:szCs w:val="16"/>
                <w:lang w:val="en-US"/>
              </w:rPr>
            </w:pPr>
            <w:r w:rsidRPr="0010784C">
              <w:rPr>
                <w:rFonts w:ascii="Times New Roman" w:hAnsi="Times New Roman" w:cs="Times New Roman"/>
                <w:b/>
                <w:sz w:val="16"/>
                <w:szCs w:val="16"/>
                <w:lang w:val="en-US"/>
              </w:rPr>
              <w:t>Monitoring committee</w:t>
            </w:r>
          </w:p>
          <w:p w:rsidR="00C821BE" w:rsidRPr="0010784C" w:rsidRDefault="00C821BE" w:rsidP="00C821BE">
            <w:pPr>
              <w:spacing w:after="0" w:line="240" w:lineRule="auto"/>
              <w:jc w:val="center"/>
              <w:rPr>
                <w:rFonts w:ascii="Times New Roman" w:hAnsi="Times New Roman" w:cs="Times New Roman"/>
                <w:b/>
                <w:sz w:val="16"/>
                <w:szCs w:val="16"/>
                <w:lang w:val="en-US"/>
              </w:rPr>
            </w:pPr>
          </w:p>
          <w:p w:rsidR="00C821BE" w:rsidRPr="0010784C" w:rsidRDefault="00C821BE" w:rsidP="00C821BE">
            <w:pPr>
              <w:spacing w:after="0" w:line="240" w:lineRule="auto"/>
              <w:jc w:val="center"/>
              <w:rPr>
                <w:rFonts w:ascii="Times New Roman" w:hAnsi="Times New Roman" w:cs="Times New Roman"/>
                <w:b/>
                <w:sz w:val="16"/>
                <w:szCs w:val="16"/>
                <w:lang w:val="en-US"/>
              </w:rPr>
            </w:pPr>
            <w:r w:rsidRPr="0010784C">
              <w:rPr>
                <w:rFonts w:ascii="Times New Roman" w:hAnsi="Times New Roman" w:cs="Times New Roman"/>
                <w:b/>
                <w:sz w:val="16"/>
                <w:szCs w:val="16"/>
                <w:lang w:val="en-US"/>
              </w:rPr>
              <w:t>PUASEE-FA</w:t>
            </w:r>
          </w:p>
        </w:tc>
        <w:tc>
          <w:tcPr>
            <w:tcW w:w="1445" w:type="dxa"/>
            <w:tcBorders>
              <w:top w:val="single" w:sz="4" w:space="0" w:color="auto"/>
              <w:left w:val="single" w:sz="4" w:space="0" w:color="auto"/>
              <w:bottom w:val="single" w:sz="4" w:space="0" w:color="auto"/>
              <w:right w:val="single" w:sz="4" w:space="0" w:color="auto"/>
            </w:tcBorders>
            <w:vAlign w:val="center"/>
          </w:tcPr>
          <w:p w:rsidR="00C821BE" w:rsidRPr="0010784C" w:rsidRDefault="00C821BE" w:rsidP="00C821BE">
            <w:pPr>
              <w:spacing w:after="0" w:line="240" w:lineRule="auto"/>
              <w:jc w:val="center"/>
              <w:rPr>
                <w:rFonts w:ascii="Times New Roman" w:hAnsi="Times New Roman" w:cs="Times New Roman"/>
                <w:sz w:val="16"/>
                <w:szCs w:val="16"/>
                <w:lang w:val="en-US"/>
              </w:rPr>
            </w:pPr>
            <w:r w:rsidRPr="0010784C">
              <w:rPr>
                <w:rFonts w:ascii="Times New Roman" w:hAnsi="Times New Roman" w:cs="Times New Roman"/>
                <w:sz w:val="16"/>
                <w:szCs w:val="16"/>
                <w:lang w:val="en-US"/>
              </w:rPr>
              <w:t>At the start and continuously</w:t>
            </w:r>
          </w:p>
          <w:p w:rsidR="00C821BE" w:rsidRPr="0010784C" w:rsidRDefault="00C821BE" w:rsidP="00C821BE">
            <w:pPr>
              <w:spacing w:after="0" w:line="240" w:lineRule="auto"/>
              <w:jc w:val="center"/>
              <w:rPr>
                <w:rFonts w:ascii="Times New Roman" w:hAnsi="Times New Roman" w:cs="Times New Roman"/>
                <w:sz w:val="16"/>
                <w:szCs w:val="16"/>
                <w:lang w:val="en-US"/>
              </w:rPr>
            </w:pPr>
          </w:p>
        </w:tc>
        <w:tc>
          <w:tcPr>
            <w:tcW w:w="112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C821BE" w:rsidRPr="0010784C" w:rsidRDefault="00C821BE" w:rsidP="00C821BE">
            <w:pPr>
              <w:spacing w:after="0" w:line="240" w:lineRule="auto"/>
              <w:jc w:val="center"/>
              <w:rPr>
                <w:rFonts w:ascii="Times New Roman" w:hAnsi="Times New Roman" w:cs="Times New Roman"/>
                <w:b/>
                <w:sz w:val="16"/>
                <w:szCs w:val="16"/>
                <w:lang w:val="en-US"/>
              </w:rPr>
            </w:pPr>
            <w:r w:rsidRPr="0010784C">
              <w:rPr>
                <w:rFonts w:ascii="Times New Roman" w:hAnsi="Times New Roman" w:cs="Times New Roman"/>
                <w:b/>
                <w:sz w:val="16"/>
                <w:szCs w:val="16"/>
                <w:lang w:val="en-US"/>
              </w:rPr>
              <w:t>2,000,000</w:t>
            </w:r>
          </w:p>
        </w:tc>
      </w:tr>
      <w:tr w:rsidR="00C821BE" w:rsidRPr="0010784C" w:rsidTr="00C821BE">
        <w:trPr>
          <w:trHeight w:val="526"/>
          <w:jc w:val="center"/>
        </w:trPr>
        <w:tc>
          <w:tcPr>
            <w:tcW w:w="1212"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C821BE" w:rsidRPr="0010784C" w:rsidRDefault="00C821BE" w:rsidP="00C821BE">
            <w:pPr>
              <w:spacing w:after="0" w:line="240" w:lineRule="auto"/>
              <w:jc w:val="center"/>
              <w:rPr>
                <w:rFonts w:ascii="Times New Roman" w:hAnsi="Times New Roman" w:cs="Times New Roman"/>
                <w:b/>
                <w:bCs/>
                <w:sz w:val="16"/>
                <w:szCs w:val="16"/>
                <w:lang w:val="en-US"/>
              </w:rPr>
            </w:pPr>
            <w:r w:rsidRPr="0010784C">
              <w:rPr>
                <w:rFonts w:ascii="Times New Roman" w:hAnsi="Times New Roman" w:cs="Times New Roman"/>
                <w:b/>
                <w:bCs/>
                <w:sz w:val="16"/>
                <w:szCs w:val="16"/>
                <w:lang w:val="en-US"/>
              </w:rPr>
              <w:t>Health</w:t>
            </w:r>
          </w:p>
        </w:tc>
        <w:tc>
          <w:tcPr>
            <w:tcW w:w="2079" w:type="dxa"/>
            <w:tcBorders>
              <w:top w:val="single" w:sz="4" w:space="0" w:color="auto"/>
              <w:left w:val="single" w:sz="4" w:space="0" w:color="auto"/>
              <w:bottom w:val="single" w:sz="4" w:space="0" w:color="auto"/>
              <w:right w:val="single" w:sz="4" w:space="0" w:color="auto"/>
            </w:tcBorders>
            <w:vAlign w:val="center"/>
          </w:tcPr>
          <w:p w:rsidR="00C821BE" w:rsidRPr="0010784C" w:rsidRDefault="00C821BE" w:rsidP="00C821BE">
            <w:pPr>
              <w:spacing w:after="0" w:line="240" w:lineRule="auto"/>
              <w:jc w:val="center"/>
              <w:rPr>
                <w:rFonts w:ascii="Times New Roman" w:hAnsi="Times New Roman" w:cs="Times New Roman"/>
                <w:sz w:val="16"/>
                <w:szCs w:val="16"/>
                <w:lang w:val="en-US"/>
              </w:rPr>
            </w:pPr>
            <w:r w:rsidRPr="0010784C">
              <w:rPr>
                <w:rFonts w:ascii="Times New Roman" w:hAnsi="Times New Roman" w:cs="Times New Roman"/>
                <w:sz w:val="16"/>
                <w:szCs w:val="16"/>
                <w:lang w:val="en-US"/>
              </w:rPr>
              <w:t>Risk of accident</w:t>
            </w:r>
          </w:p>
        </w:tc>
        <w:tc>
          <w:tcPr>
            <w:tcW w:w="4335" w:type="dxa"/>
            <w:tcBorders>
              <w:top w:val="single" w:sz="4" w:space="0" w:color="auto"/>
              <w:left w:val="single" w:sz="4" w:space="0" w:color="auto"/>
              <w:bottom w:val="single" w:sz="4" w:space="0" w:color="auto"/>
              <w:right w:val="single" w:sz="4" w:space="0" w:color="auto"/>
            </w:tcBorders>
            <w:vAlign w:val="center"/>
          </w:tcPr>
          <w:p w:rsidR="00C821BE" w:rsidRPr="0010784C" w:rsidRDefault="00C821BE" w:rsidP="00C821BE">
            <w:pPr>
              <w:spacing w:after="0" w:line="240" w:lineRule="auto"/>
              <w:jc w:val="both"/>
              <w:rPr>
                <w:rFonts w:ascii="Times New Roman" w:hAnsi="Times New Roman" w:cs="Times New Roman"/>
                <w:sz w:val="16"/>
                <w:szCs w:val="16"/>
                <w:lang w:val="en-US"/>
              </w:rPr>
            </w:pPr>
            <w:r w:rsidRPr="0010784C">
              <w:rPr>
                <w:rFonts w:ascii="Times New Roman" w:hAnsi="Times New Roman" w:cs="Times New Roman"/>
                <w:sz w:val="16"/>
                <w:szCs w:val="16"/>
                <w:lang w:val="en-US"/>
              </w:rPr>
              <w:t>-Establish a security perimeter at the level of the various sites (site of the realization of the tanks);</w:t>
            </w:r>
          </w:p>
          <w:p w:rsidR="00C821BE" w:rsidRPr="0010784C" w:rsidRDefault="00C821BE" w:rsidP="00C821BE">
            <w:pPr>
              <w:spacing w:after="0" w:line="240" w:lineRule="auto"/>
              <w:jc w:val="both"/>
              <w:rPr>
                <w:rFonts w:ascii="Times New Roman" w:hAnsi="Times New Roman" w:cs="Times New Roman"/>
                <w:sz w:val="16"/>
                <w:szCs w:val="16"/>
                <w:lang w:val="en-US"/>
              </w:rPr>
            </w:pPr>
            <w:r w:rsidRPr="0010784C">
              <w:rPr>
                <w:rFonts w:ascii="Times New Roman" w:hAnsi="Times New Roman" w:cs="Times New Roman"/>
                <w:sz w:val="16"/>
                <w:szCs w:val="16"/>
                <w:lang w:val="en-US"/>
              </w:rPr>
              <w:t>-Installation of traffic signs;</w:t>
            </w:r>
          </w:p>
          <w:p w:rsidR="00C821BE" w:rsidRPr="0010784C" w:rsidRDefault="00C821BE" w:rsidP="00C821BE">
            <w:pPr>
              <w:spacing w:after="0" w:line="240" w:lineRule="auto"/>
              <w:jc w:val="both"/>
              <w:rPr>
                <w:rFonts w:ascii="Times New Roman" w:hAnsi="Times New Roman" w:cs="Times New Roman"/>
                <w:sz w:val="16"/>
                <w:szCs w:val="16"/>
                <w:lang w:val="en-US"/>
              </w:rPr>
            </w:pPr>
            <w:r w:rsidRPr="0010784C">
              <w:rPr>
                <w:rFonts w:ascii="Times New Roman" w:hAnsi="Times New Roman" w:cs="Times New Roman"/>
                <w:sz w:val="16"/>
                <w:szCs w:val="16"/>
                <w:lang w:val="en-US"/>
              </w:rPr>
              <w:lastRenderedPageBreak/>
              <w:t>- Avoid prolonged parking of trucks at the edge of access roads;</w:t>
            </w:r>
          </w:p>
          <w:p w:rsidR="00C821BE" w:rsidRPr="0010784C" w:rsidRDefault="00C821BE" w:rsidP="00C821BE">
            <w:pPr>
              <w:spacing w:after="0" w:line="240" w:lineRule="auto"/>
              <w:jc w:val="both"/>
              <w:rPr>
                <w:rFonts w:ascii="Times New Roman" w:hAnsi="Times New Roman" w:cs="Times New Roman"/>
                <w:sz w:val="16"/>
                <w:szCs w:val="16"/>
                <w:lang w:val="en-US"/>
              </w:rPr>
            </w:pPr>
            <w:r w:rsidRPr="0010784C">
              <w:rPr>
                <w:rFonts w:ascii="Times New Roman" w:hAnsi="Times New Roman" w:cs="Times New Roman"/>
                <w:sz w:val="16"/>
                <w:szCs w:val="16"/>
                <w:lang w:val="en-US"/>
              </w:rPr>
              <w:t>- Require the compulsory wearing of PPE, etc. ;</w:t>
            </w:r>
          </w:p>
        </w:tc>
        <w:tc>
          <w:tcPr>
            <w:tcW w:w="3568" w:type="dxa"/>
            <w:tcBorders>
              <w:top w:val="single" w:sz="4" w:space="0" w:color="auto"/>
              <w:left w:val="single" w:sz="4" w:space="0" w:color="auto"/>
              <w:bottom w:val="single" w:sz="4" w:space="0" w:color="auto"/>
              <w:right w:val="single" w:sz="4" w:space="0" w:color="auto"/>
            </w:tcBorders>
            <w:vAlign w:val="center"/>
          </w:tcPr>
          <w:p w:rsidR="00C821BE" w:rsidRPr="0010784C" w:rsidRDefault="00C821BE" w:rsidP="00C821BE">
            <w:pPr>
              <w:spacing w:after="0" w:line="240" w:lineRule="auto"/>
              <w:jc w:val="both"/>
              <w:rPr>
                <w:rFonts w:ascii="Times New Roman" w:hAnsi="Times New Roman" w:cs="Times New Roman"/>
                <w:sz w:val="16"/>
                <w:szCs w:val="16"/>
                <w:lang w:val="en-US"/>
              </w:rPr>
            </w:pPr>
            <w:r w:rsidRPr="0010784C">
              <w:rPr>
                <w:rFonts w:ascii="Times New Roman" w:hAnsi="Times New Roman" w:cs="Times New Roman"/>
                <w:sz w:val="16"/>
                <w:szCs w:val="16"/>
                <w:lang w:val="en-US"/>
              </w:rPr>
              <w:lastRenderedPageBreak/>
              <w:t>-Number of accident or incident;</w:t>
            </w:r>
          </w:p>
          <w:p w:rsidR="00C821BE" w:rsidRPr="0010784C" w:rsidRDefault="00C821BE" w:rsidP="00C821BE">
            <w:pPr>
              <w:spacing w:after="0" w:line="240" w:lineRule="auto"/>
              <w:jc w:val="both"/>
              <w:rPr>
                <w:rFonts w:ascii="Times New Roman" w:hAnsi="Times New Roman" w:cs="Times New Roman"/>
                <w:sz w:val="16"/>
                <w:szCs w:val="16"/>
                <w:lang w:val="en-US"/>
              </w:rPr>
            </w:pPr>
            <w:r w:rsidRPr="0010784C">
              <w:rPr>
                <w:rFonts w:ascii="Times New Roman" w:hAnsi="Times New Roman" w:cs="Times New Roman"/>
                <w:sz w:val="16"/>
                <w:szCs w:val="16"/>
                <w:lang w:val="en-US"/>
              </w:rPr>
              <w:t>-Number of complaints;</w:t>
            </w:r>
          </w:p>
          <w:p w:rsidR="00C821BE" w:rsidRPr="0010784C" w:rsidRDefault="00C821BE" w:rsidP="00C821BE">
            <w:pPr>
              <w:spacing w:after="0" w:line="240" w:lineRule="auto"/>
              <w:jc w:val="both"/>
              <w:rPr>
                <w:rFonts w:ascii="Times New Roman" w:hAnsi="Times New Roman" w:cs="Times New Roman"/>
                <w:sz w:val="16"/>
                <w:szCs w:val="16"/>
                <w:lang w:val="en-US"/>
              </w:rPr>
            </w:pPr>
            <w:r w:rsidRPr="0010784C">
              <w:rPr>
                <w:rFonts w:ascii="Times New Roman" w:hAnsi="Times New Roman" w:cs="Times New Roman"/>
                <w:sz w:val="16"/>
                <w:szCs w:val="16"/>
                <w:lang w:val="en-US"/>
              </w:rPr>
              <w:t>- Effective wearing of PPE;</w:t>
            </w:r>
          </w:p>
        </w:tc>
        <w:tc>
          <w:tcPr>
            <w:tcW w:w="1134"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C821BE" w:rsidRPr="0010784C" w:rsidRDefault="00C821BE" w:rsidP="00C821BE">
            <w:pPr>
              <w:spacing w:after="0" w:line="240" w:lineRule="auto"/>
              <w:jc w:val="center"/>
              <w:rPr>
                <w:rFonts w:ascii="Times New Roman" w:hAnsi="Times New Roman" w:cs="Times New Roman"/>
                <w:b/>
                <w:sz w:val="16"/>
                <w:szCs w:val="16"/>
                <w:lang w:val="en-US"/>
              </w:rPr>
            </w:pPr>
            <w:r w:rsidRPr="0010784C">
              <w:rPr>
                <w:rFonts w:ascii="Times New Roman" w:hAnsi="Times New Roman" w:cs="Times New Roman"/>
                <w:b/>
                <w:sz w:val="16"/>
                <w:szCs w:val="16"/>
                <w:lang w:val="en-US"/>
              </w:rPr>
              <w:t>Business</w:t>
            </w:r>
          </w:p>
          <w:p w:rsidR="00C821BE" w:rsidRPr="0010784C" w:rsidRDefault="00C821BE" w:rsidP="00C821BE">
            <w:pPr>
              <w:spacing w:after="0" w:line="240" w:lineRule="auto"/>
              <w:jc w:val="center"/>
              <w:rPr>
                <w:rFonts w:ascii="Times New Roman" w:hAnsi="Times New Roman" w:cs="Times New Roman"/>
                <w:b/>
                <w:sz w:val="16"/>
                <w:szCs w:val="16"/>
                <w:lang w:val="en-US"/>
              </w:rPr>
            </w:pPr>
          </w:p>
        </w:tc>
        <w:tc>
          <w:tcPr>
            <w:tcW w:w="1120"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C821BE" w:rsidRPr="0010784C" w:rsidRDefault="00C821BE" w:rsidP="00C821BE">
            <w:pPr>
              <w:spacing w:after="0" w:line="240" w:lineRule="auto"/>
              <w:jc w:val="center"/>
              <w:rPr>
                <w:rFonts w:ascii="Times New Roman" w:hAnsi="Times New Roman" w:cs="Times New Roman"/>
                <w:b/>
                <w:sz w:val="16"/>
                <w:szCs w:val="16"/>
                <w:lang w:val="en-US"/>
              </w:rPr>
            </w:pPr>
            <w:r w:rsidRPr="0010784C">
              <w:rPr>
                <w:rFonts w:ascii="Times New Roman" w:hAnsi="Times New Roman" w:cs="Times New Roman"/>
                <w:b/>
                <w:sz w:val="16"/>
                <w:szCs w:val="16"/>
                <w:lang w:val="en-US"/>
              </w:rPr>
              <w:t>Monitoring committee</w:t>
            </w:r>
          </w:p>
          <w:p w:rsidR="00C821BE" w:rsidRPr="0010784C" w:rsidRDefault="00C821BE" w:rsidP="00C821BE">
            <w:pPr>
              <w:spacing w:after="0" w:line="240" w:lineRule="auto"/>
              <w:jc w:val="center"/>
              <w:rPr>
                <w:rFonts w:ascii="Times New Roman" w:hAnsi="Times New Roman" w:cs="Times New Roman"/>
                <w:b/>
                <w:sz w:val="16"/>
                <w:szCs w:val="16"/>
                <w:lang w:val="en-US"/>
              </w:rPr>
            </w:pPr>
          </w:p>
          <w:p w:rsidR="00C821BE" w:rsidRPr="0010784C" w:rsidRDefault="00C821BE" w:rsidP="00C821BE">
            <w:pPr>
              <w:spacing w:after="0" w:line="240" w:lineRule="auto"/>
              <w:jc w:val="center"/>
              <w:rPr>
                <w:rFonts w:ascii="Times New Roman" w:hAnsi="Times New Roman" w:cs="Times New Roman"/>
                <w:b/>
                <w:sz w:val="16"/>
                <w:szCs w:val="16"/>
                <w:lang w:val="en-US"/>
              </w:rPr>
            </w:pPr>
            <w:r w:rsidRPr="0010784C">
              <w:rPr>
                <w:rFonts w:ascii="Times New Roman" w:hAnsi="Times New Roman" w:cs="Times New Roman"/>
                <w:b/>
                <w:sz w:val="16"/>
                <w:szCs w:val="16"/>
                <w:lang w:val="en-US"/>
              </w:rPr>
              <w:lastRenderedPageBreak/>
              <w:t>PUASEE-FA</w:t>
            </w:r>
          </w:p>
        </w:tc>
        <w:tc>
          <w:tcPr>
            <w:tcW w:w="1445" w:type="dxa"/>
            <w:tcBorders>
              <w:top w:val="single" w:sz="4" w:space="0" w:color="auto"/>
              <w:left w:val="single" w:sz="4" w:space="0" w:color="auto"/>
              <w:bottom w:val="single" w:sz="4" w:space="0" w:color="auto"/>
              <w:right w:val="single" w:sz="4" w:space="0" w:color="auto"/>
            </w:tcBorders>
            <w:vAlign w:val="center"/>
          </w:tcPr>
          <w:p w:rsidR="00C821BE" w:rsidRPr="0010784C" w:rsidRDefault="00C821BE" w:rsidP="00C821BE">
            <w:pPr>
              <w:spacing w:after="0" w:line="240" w:lineRule="auto"/>
              <w:jc w:val="center"/>
              <w:rPr>
                <w:rFonts w:ascii="Times New Roman" w:hAnsi="Times New Roman" w:cs="Times New Roman"/>
                <w:sz w:val="16"/>
                <w:szCs w:val="16"/>
                <w:lang w:val="en-US"/>
              </w:rPr>
            </w:pPr>
            <w:r w:rsidRPr="0010784C">
              <w:rPr>
                <w:rFonts w:ascii="Times New Roman" w:hAnsi="Times New Roman" w:cs="Times New Roman"/>
                <w:sz w:val="16"/>
                <w:szCs w:val="16"/>
                <w:lang w:val="en-US"/>
              </w:rPr>
              <w:lastRenderedPageBreak/>
              <w:t>During construction / Quarterly</w:t>
            </w:r>
          </w:p>
        </w:tc>
        <w:tc>
          <w:tcPr>
            <w:tcW w:w="112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C821BE" w:rsidRPr="0010784C" w:rsidRDefault="00C821BE" w:rsidP="00C821BE">
            <w:pPr>
              <w:spacing w:after="0" w:line="240" w:lineRule="auto"/>
              <w:jc w:val="center"/>
              <w:rPr>
                <w:rFonts w:ascii="Times New Roman" w:hAnsi="Times New Roman" w:cs="Times New Roman"/>
                <w:b/>
                <w:sz w:val="16"/>
                <w:szCs w:val="16"/>
                <w:lang w:val="en-US"/>
              </w:rPr>
            </w:pPr>
            <w:r w:rsidRPr="0010784C">
              <w:rPr>
                <w:rFonts w:ascii="Times New Roman" w:hAnsi="Times New Roman" w:cs="Times New Roman"/>
                <w:b/>
                <w:sz w:val="16"/>
                <w:szCs w:val="16"/>
                <w:lang w:val="en-US"/>
              </w:rPr>
              <w:t>2,500,000</w:t>
            </w:r>
          </w:p>
        </w:tc>
      </w:tr>
      <w:tr w:rsidR="00C821BE" w:rsidRPr="0010784C" w:rsidTr="00C821BE">
        <w:trPr>
          <w:trHeight w:val="1992"/>
          <w:jc w:val="center"/>
        </w:trPr>
        <w:tc>
          <w:tcPr>
            <w:tcW w:w="1212"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C821BE" w:rsidRPr="0010784C" w:rsidRDefault="00C821BE" w:rsidP="00C821BE">
            <w:pPr>
              <w:spacing w:after="0" w:line="240" w:lineRule="auto"/>
              <w:jc w:val="center"/>
              <w:rPr>
                <w:rFonts w:ascii="Times New Roman" w:hAnsi="Times New Roman" w:cs="Times New Roman"/>
                <w:b/>
                <w:bCs/>
                <w:sz w:val="16"/>
                <w:szCs w:val="16"/>
                <w:lang w:val="en-US"/>
              </w:rPr>
            </w:pPr>
            <w:r w:rsidRPr="0010784C">
              <w:rPr>
                <w:rFonts w:ascii="Times New Roman" w:hAnsi="Times New Roman" w:cs="Times New Roman"/>
                <w:b/>
                <w:bCs/>
                <w:sz w:val="16"/>
                <w:szCs w:val="16"/>
                <w:lang w:val="en-US"/>
              </w:rPr>
              <w:lastRenderedPageBreak/>
              <w:t>Health</w:t>
            </w:r>
          </w:p>
        </w:tc>
        <w:tc>
          <w:tcPr>
            <w:tcW w:w="2079" w:type="dxa"/>
            <w:tcBorders>
              <w:top w:val="single" w:sz="4" w:space="0" w:color="auto"/>
              <w:left w:val="single" w:sz="4" w:space="0" w:color="auto"/>
              <w:bottom w:val="single" w:sz="4" w:space="0" w:color="auto"/>
              <w:right w:val="single" w:sz="4" w:space="0" w:color="auto"/>
            </w:tcBorders>
            <w:vAlign w:val="center"/>
          </w:tcPr>
          <w:p w:rsidR="00C821BE" w:rsidRPr="0010784C" w:rsidRDefault="00C821BE" w:rsidP="00C821BE">
            <w:pPr>
              <w:spacing w:after="0" w:line="240" w:lineRule="auto"/>
              <w:jc w:val="both"/>
              <w:rPr>
                <w:rFonts w:ascii="Times New Roman" w:hAnsi="Times New Roman" w:cs="Times New Roman"/>
                <w:sz w:val="16"/>
                <w:szCs w:val="16"/>
                <w:lang w:val="en-US"/>
              </w:rPr>
            </w:pPr>
            <w:r w:rsidRPr="0010784C">
              <w:rPr>
                <w:rFonts w:ascii="Times New Roman" w:hAnsi="Times New Roman" w:cs="Times New Roman"/>
                <w:sz w:val="16"/>
                <w:szCs w:val="16"/>
                <w:lang w:val="en-US"/>
              </w:rPr>
              <w:t>- Harm to workers' health;</w:t>
            </w:r>
          </w:p>
          <w:p w:rsidR="00C821BE" w:rsidRPr="0010784C" w:rsidRDefault="00C821BE" w:rsidP="00C821BE">
            <w:pPr>
              <w:spacing w:after="0" w:line="240" w:lineRule="auto"/>
              <w:jc w:val="both"/>
              <w:rPr>
                <w:rFonts w:ascii="Times New Roman" w:hAnsi="Times New Roman" w:cs="Times New Roman"/>
                <w:sz w:val="16"/>
                <w:szCs w:val="16"/>
                <w:lang w:val="en-US"/>
              </w:rPr>
            </w:pPr>
            <w:r w:rsidRPr="0010784C">
              <w:rPr>
                <w:rFonts w:ascii="Times New Roman" w:hAnsi="Times New Roman" w:cs="Times New Roman"/>
                <w:sz w:val="16"/>
                <w:szCs w:val="16"/>
                <w:lang w:val="en-US"/>
              </w:rPr>
              <w:t>-Injury ;</w:t>
            </w:r>
          </w:p>
          <w:p w:rsidR="00C821BE" w:rsidRPr="0010784C" w:rsidRDefault="00C821BE" w:rsidP="00C821BE">
            <w:pPr>
              <w:spacing w:after="0" w:line="240" w:lineRule="auto"/>
              <w:jc w:val="both"/>
              <w:rPr>
                <w:rFonts w:ascii="Times New Roman" w:hAnsi="Times New Roman" w:cs="Times New Roman"/>
                <w:sz w:val="16"/>
                <w:szCs w:val="16"/>
                <w:lang w:val="en-US"/>
              </w:rPr>
            </w:pPr>
            <w:r w:rsidRPr="0010784C">
              <w:rPr>
                <w:rFonts w:ascii="Times New Roman" w:hAnsi="Times New Roman" w:cs="Times New Roman"/>
                <w:sz w:val="16"/>
                <w:szCs w:val="16"/>
                <w:lang w:val="en-US"/>
              </w:rPr>
              <w:t>-Risk of spread of AIDS and sexually transmitted diseases;</w:t>
            </w:r>
          </w:p>
          <w:p w:rsidR="00C821BE" w:rsidRPr="0010784C" w:rsidRDefault="00C821BE" w:rsidP="00C821BE">
            <w:pPr>
              <w:spacing w:after="0" w:line="240" w:lineRule="auto"/>
              <w:jc w:val="both"/>
              <w:rPr>
                <w:rFonts w:ascii="Times New Roman" w:hAnsi="Times New Roman" w:cs="Times New Roman"/>
                <w:sz w:val="16"/>
                <w:szCs w:val="16"/>
                <w:lang w:val="en-US"/>
              </w:rPr>
            </w:pPr>
            <w:r w:rsidRPr="0010784C">
              <w:rPr>
                <w:rFonts w:ascii="Times New Roman" w:hAnsi="Times New Roman" w:cs="Times New Roman"/>
                <w:sz w:val="16"/>
                <w:szCs w:val="16"/>
                <w:lang w:val="en-US"/>
              </w:rPr>
              <w:t>-Risk of occupational diseases resulting from physical exertion, crushing, shocks, repetitive movements, bad postures, injuries, falls, accidents at work, etc.</w:t>
            </w:r>
          </w:p>
        </w:tc>
        <w:tc>
          <w:tcPr>
            <w:tcW w:w="4335" w:type="dxa"/>
            <w:tcBorders>
              <w:top w:val="single" w:sz="4" w:space="0" w:color="auto"/>
              <w:left w:val="single" w:sz="4" w:space="0" w:color="auto"/>
              <w:bottom w:val="single" w:sz="4" w:space="0" w:color="auto"/>
              <w:right w:val="single" w:sz="4" w:space="0" w:color="auto"/>
            </w:tcBorders>
            <w:vAlign w:val="center"/>
          </w:tcPr>
          <w:p w:rsidR="00C821BE" w:rsidRPr="0010784C" w:rsidRDefault="00C821BE" w:rsidP="00C821BE">
            <w:pPr>
              <w:spacing w:after="0" w:line="240" w:lineRule="auto"/>
              <w:jc w:val="both"/>
              <w:rPr>
                <w:rFonts w:ascii="Times New Roman" w:hAnsi="Times New Roman" w:cs="Times New Roman"/>
                <w:sz w:val="16"/>
                <w:szCs w:val="16"/>
                <w:lang w:val="en-US"/>
              </w:rPr>
            </w:pPr>
            <w:r w:rsidRPr="0010784C">
              <w:rPr>
                <w:rFonts w:ascii="Times New Roman" w:hAnsi="Times New Roman" w:cs="Times New Roman"/>
                <w:sz w:val="16"/>
                <w:szCs w:val="16"/>
                <w:lang w:val="en-US"/>
              </w:rPr>
              <w:t>- Materialize the site bases and prohibit access to any person other than site personnel;</w:t>
            </w:r>
          </w:p>
          <w:p w:rsidR="00C821BE" w:rsidRPr="0010784C" w:rsidRDefault="00C821BE" w:rsidP="00C821BE">
            <w:pPr>
              <w:spacing w:after="0" w:line="240" w:lineRule="auto"/>
              <w:jc w:val="both"/>
              <w:rPr>
                <w:rFonts w:ascii="Times New Roman" w:hAnsi="Times New Roman" w:cs="Times New Roman"/>
                <w:sz w:val="16"/>
                <w:szCs w:val="16"/>
                <w:lang w:val="en-US"/>
              </w:rPr>
            </w:pPr>
            <w:r w:rsidRPr="0010784C">
              <w:rPr>
                <w:rFonts w:ascii="Times New Roman" w:hAnsi="Times New Roman" w:cs="Times New Roman"/>
                <w:sz w:val="16"/>
                <w:szCs w:val="16"/>
                <w:lang w:val="en-US"/>
              </w:rPr>
              <w:t>- Establish a security perimeter around the site;</w:t>
            </w:r>
          </w:p>
          <w:p w:rsidR="00C821BE" w:rsidRPr="0010784C" w:rsidRDefault="00C821BE" w:rsidP="00C821BE">
            <w:pPr>
              <w:spacing w:after="0" w:line="240" w:lineRule="auto"/>
              <w:jc w:val="both"/>
              <w:rPr>
                <w:rFonts w:ascii="Times New Roman" w:hAnsi="Times New Roman" w:cs="Times New Roman"/>
                <w:sz w:val="16"/>
                <w:szCs w:val="16"/>
                <w:lang w:val="en-US"/>
              </w:rPr>
            </w:pPr>
            <w:r w:rsidRPr="0010784C">
              <w:rPr>
                <w:rFonts w:ascii="Times New Roman" w:hAnsi="Times New Roman" w:cs="Times New Roman"/>
                <w:sz w:val="16"/>
                <w:szCs w:val="16"/>
                <w:lang w:val="en-US"/>
              </w:rPr>
              <w:t>- Provide the personnel with the required PPE;</w:t>
            </w:r>
          </w:p>
          <w:p w:rsidR="00C821BE" w:rsidRPr="0010784C" w:rsidRDefault="00C821BE" w:rsidP="00C821BE">
            <w:pPr>
              <w:spacing w:after="0" w:line="240" w:lineRule="auto"/>
              <w:jc w:val="both"/>
              <w:rPr>
                <w:rFonts w:ascii="Times New Roman" w:hAnsi="Times New Roman" w:cs="Times New Roman"/>
                <w:sz w:val="16"/>
                <w:szCs w:val="16"/>
                <w:lang w:val="en-US"/>
              </w:rPr>
            </w:pPr>
            <w:r w:rsidRPr="0010784C">
              <w:rPr>
                <w:rFonts w:ascii="Times New Roman" w:hAnsi="Times New Roman" w:cs="Times New Roman"/>
                <w:sz w:val="16"/>
                <w:szCs w:val="16"/>
                <w:lang w:val="en-US"/>
              </w:rPr>
              <w:t>-Require the compulsory wearing of PPE;</w:t>
            </w:r>
          </w:p>
          <w:p w:rsidR="00C821BE" w:rsidRPr="0010784C" w:rsidRDefault="00C821BE" w:rsidP="00C821BE">
            <w:pPr>
              <w:spacing w:after="0" w:line="240" w:lineRule="auto"/>
              <w:jc w:val="both"/>
              <w:rPr>
                <w:rFonts w:ascii="Times New Roman" w:hAnsi="Times New Roman" w:cs="Times New Roman"/>
                <w:sz w:val="16"/>
                <w:szCs w:val="16"/>
                <w:lang w:val="en-US"/>
              </w:rPr>
            </w:pPr>
            <w:r w:rsidRPr="0010784C">
              <w:rPr>
                <w:rFonts w:ascii="Times New Roman" w:hAnsi="Times New Roman" w:cs="Times New Roman"/>
                <w:sz w:val="16"/>
                <w:szCs w:val="16"/>
                <w:lang w:val="en-US"/>
              </w:rPr>
              <w:t>-Post safety instructions;</w:t>
            </w:r>
          </w:p>
          <w:p w:rsidR="00C821BE" w:rsidRPr="0010784C" w:rsidRDefault="00C821BE" w:rsidP="00C821BE">
            <w:pPr>
              <w:spacing w:after="0" w:line="240" w:lineRule="auto"/>
              <w:jc w:val="both"/>
              <w:rPr>
                <w:rFonts w:ascii="Times New Roman" w:hAnsi="Times New Roman" w:cs="Times New Roman"/>
                <w:sz w:val="16"/>
                <w:szCs w:val="16"/>
                <w:lang w:val="en-US"/>
              </w:rPr>
            </w:pPr>
            <w:r w:rsidRPr="0010784C">
              <w:rPr>
                <w:rFonts w:ascii="Times New Roman" w:hAnsi="Times New Roman" w:cs="Times New Roman"/>
                <w:sz w:val="16"/>
                <w:szCs w:val="16"/>
                <w:lang w:val="en-US"/>
              </w:rPr>
              <w:t>- Isolate the risk areas;</w:t>
            </w:r>
          </w:p>
          <w:p w:rsidR="00C821BE" w:rsidRPr="0010784C" w:rsidRDefault="00C821BE" w:rsidP="00C821BE">
            <w:pPr>
              <w:spacing w:after="0" w:line="240" w:lineRule="auto"/>
              <w:jc w:val="both"/>
              <w:rPr>
                <w:rFonts w:ascii="Times New Roman" w:hAnsi="Times New Roman" w:cs="Times New Roman"/>
                <w:sz w:val="16"/>
                <w:szCs w:val="16"/>
                <w:lang w:val="en-US"/>
              </w:rPr>
            </w:pPr>
            <w:r w:rsidRPr="0010784C">
              <w:rPr>
                <w:rFonts w:ascii="Times New Roman" w:hAnsi="Times New Roman" w:cs="Times New Roman"/>
                <w:sz w:val="16"/>
                <w:szCs w:val="16"/>
                <w:lang w:val="en-US"/>
              </w:rPr>
              <w:t>-Periodically monitor the health of workers;</w:t>
            </w:r>
          </w:p>
          <w:p w:rsidR="00C821BE" w:rsidRPr="0010784C" w:rsidRDefault="00C821BE" w:rsidP="00C821BE">
            <w:pPr>
              <w:spacing w:after="0" w:line="240" w:lineRule="auto"/>
              <w:jc w:val="both"/>
              <w:rPr>
                <w:rFonts w:ascii="Times New Roman" w:hAnsi="Times New Roman" w:cs="Times New Roman"/>
                <w:sz w:val="16"/>
                <w:szCs w:val="16"/>
                <w:lang w:val="en-US"/>
              </w:rPr>
            </w:pPr>
            <w:r w:rsidRPr="0010784C">
              <w:rPr>
                <w:rFonts w:ascii="Times New Roman" w:hAnsi="Times New Roman" w:cs="Times New Roman"/>
                <w:sz w:val="16"/>
                <w:szCs w:val="16"/>
                <w:lang w:val="en-US"/>
              </w:rPr>
              <w:t>-Have a well-supplied first aid kit;</w:t>
            </w:r>
          </w:p>
          <w:p w:rsidR="00C821BE" w:rsidRPr="0010784C" w:rsidRDefault="00C821BE" w:rsidP="00C821BE">
            <w:pPr>
              <w:spacing w:after="0" w:line="240" w:lineRule="auto"/>
              <w:jc w:val="both"/>
              <w:rPr>
                <w:rFonts w:ascii="Times New Roman" w:hAnsi="Times New Roman" w:cs="Times New Roman"/>
                <w:sz w:val="16"/>
                <w:szCs w:val="16"/>
                <w:lang w:val="en-US"/>
              </w:rPr>
            </w:pPr>
            <w:r w:rsidRPr="0010784C">
              <w:rPr>
                <w:rFonts w:ascii="Times New Roman" w:hAnsi="Times New Roman" w:cs="Times New Roman"/>
                <w:sz w:val="16"/>
                <w:szCs w:val="16"/>
                <w:lang w:val="en-US"/>
              </w:rPr>
              <w:t>-Train staff on the use of emergency equipment;</w:t>
            </w:r>
          </w:p>
          <w:p w:rsidR="00C821BE" w:rsidRPr="0010784C" w:rsidRDefault="00C821BE" w:rsidP="00C821BE">
            <w:pPr>
              <w:spacing w:after="0" w:line="240" w:lineRule="auto"/>
              <w:jc w:val="both"/>
              <w:rPr>
                <w:rFonts w:ascii="Times New Roman" w:hAnsi="Times New Roman" w:cs="Times New Roman"/>
                <w:sz w:val="16"/>
                <w:szCs w:val="16"/>
                <w:lang w:val="en-US"/>
              </w:rPr>
            </w:pPr>
            <w:r w:rsidRPr="0010784C">
              <w:rPr>
                <w:rFonts w:ascii="Times New Roman" w:hAnsi="Times New Roman" w:cs="Times New Roman"/>
                <w:sz w:val="16"/>
                <w:szCs w:val="16"/>
                <w:lang w:val="en-US"/>
              </w:rPr>
              <w:t>-Sign an agreement with the nearest health center;</w:t>
            </w:r>
          </w:p>
          <w:p w:rsidR="00C821BE" w:rsidRPr="0010784C" w:rsidRDefault="00C821BE" w:rsidP="00C821BE">
            <w:pPr>
              <w:spacing w:after="0" w:line="240" w:lineRule="auto"/>
              <w:jc w:val="both"/>
              <w:rPr>
                <w:rFonts w:ascii="Times New Roman" w:hAnsi="Times New Roman" w:cs="Times New Roman"/>
                <w:sz w:val="16"/>
                <w:szCs w:val="16"/>
                <w:lang w:val="en-US"/>
              </w:rPr>
            </w:pPr>
            <w:r w:rsidRPr="0010784C">
              <w:rPr>
                <w:rFonts w:ascii="Times New Roman" w:hAnsi="Times New Roman" w:cs="Times New Roman"/>
                <w:sz w:val="16"/>
                <w:szCs w:val="16"/>
                <w:lang w:val="en-US"/>
              </w:rPr>
              <w:t>-Organize awareness campaigns against AIDS;</w:t>
            </w:r>
          </w:p>
          <w:p w:rsidR="00C821BE" w:rsidRPr="0010784C" w:rsidRDefault="00C821BE" w:rsidP="00C821BE">
            <w:pPr>
              <w:spacing w:after="0" w:line="240" w:lineRule="auto"/>
              <w:jc w:val="both"/>
              <w:rPr>
                <w:rFonts w:ascii="Times New Roman" w:hAnsi="Times New Roman" w:cs="Times New Roman"/>
                <w:sz w:val="16"/>
                <w:szCs w:val="16"/>
                <w:lang w:val="en-US"/>
              </w:rPr>
            </w:pPr>
            <w:r w:rsidRPr="0010784C">
              <w:rPr>
                <w:rFonts w:ascii="Times New Roman" w:hAnsi="Times New Roman" w:cs="Times New Roman"/>
                <w:sz w:val="16"/>
                <w:szCs w:val="16"/>
                <w:lang w:val="en-US"/>
              </w:rPr>
              <w:t>-Distribute condoms;</w:t>
            </w:r>
          </w:p>
          <w:p w:rsidR="00C821BE" w:rsidRPr="0010784C" w:rsidRDefault="00C821BE" w:rsidP="00C821BE">
            <w:pPr>
              <w:spacing w:after="0" w:line="240" w:lineRule="auto"/>
              <w:jc w:val="both"/>
              <w:rPr>
                <w:rFonts w:ascii="Times New Roman" w:hAnsi="Times New Roman" w:cs="Times New Roman"/>
                <w:sz w:val="16"/>
                <w:szCs w:val="16"/>
                <w:lang w:val="en-US"/>
              </w:rPr>
            </w:pPr>
            <w:r w:rsidRPr="0010784C">
              <w:rPr>
                <w:rFonts w:ascii="Times New Roman" w:hAnsi="Times New Roman" w:cs="Times New Roman"/>
                <w:sz w:val="16"/>
                <w:szCs w:val="16"/>
                <w:lang w:val="en-US"/>
              </w:rPr>
              <w:t>- Fight against the practice of survival sex;</w:t>
            </w:r>
          </w:p>
        </w:tc>
        <w:tc>
          <w:tcPr>
            <w:tcW w:w="3568" w:type="dxa"/>
            <w:tcBorders>
              <w:top w:val="single" w:sz="4" w:space="0" w:color="auto"/>
              <w:left w:val="single" w:sz="4" w:space="0" w:color="auto"/>
              <w:bottom w:val="single" w:sz="4" w:space="0" w:color="auto"/>
              <w:right w:val="single" w:sz="4" w:space="0" w:color="auto"/>
            </w:tcBorders>
            <w:vAlign w:val="center"/>
          </w:tcPr>
          <w:p w:rsidR="00C821BE" w:rsidRPr="0010784C" w:rsidRDefault="00C821BE" w:rsidP="00C821BE">
            <w:pPr>
              <w:spacing w:after="0" w:line="240" w:lineRule="auto"/>
              <w:jc w:val="both"/>
              <w:rPr>
                <w:rFonts w:ascii="Times New Roman" w:hAnsi="Times New Roman" w:cs="Times New Roman"/>
                <w:sz w:val="16"/>
                <w:szCs w:val="16"/>
                <w:lang w:val="en-US"/>
              </w:rPr>
            </w:pPr>
            <w:r w:rsidRPr="0010784C">
              <w:rPr>
                <w:rFonts w:ascii="Times New Roman" w:hAnsi="Times New Roman" w:cs="Times New Roman"/>
                <w:sz w:val="16"/>
                <w:szCs w:val="16"/>
                <w:lang w:val="en-US"/>
              </w:rPr>
              <w:t>-Number of complaints received;</w:t>
            </w:r>
          </w:p>
          <w:p w:rsidR="00C821BE" w:rsidRPr="0010784C" w:rsidRDefault="00C821BE" w:rsidP="00C821BE">
            <w:pPr>
              <w:spacing w:after="0" w:line="240" w:lineRule="auto"/>
              <w:jc w:val="both"/>
              <w:rPr>
                <w:rFonts w:ascii="Times New Roman" w:hAnsi="Times New Roman" w:cs="Times New Roman"/>
                <w:sz w:val="16"/>
                <w:szCs w:val="16"/>
                <w:lang w:val="en-US"/>
              </w:rPr>
            </w:pPr>
            <w:r w:rsidRPr="0010784C">
              <w:rPr>
                <w:rFonts w:ascii="Times New Roman" w:hAnsi="Times New Roman" w:cs="Times New Roman"/>
                <w:sz w:val="16"/>
                <w:szCs w:val="16"/>
                <w:lang w:val="en-US"/>
              </w:rPr>
              <w:t>- Number of accidents reported;</w:t>
            </w:r>
          </w:p>
          <w:p w:rsidR="00C821BE" w:rsidRPr="0010784C" w:rsidRDefault="00C821BE" w:rsidP="00C821BE">
            <w:pPr>
              <w:spacing w:after="0" w:line="240" w:lineRule="auto"/>
              <w:jc w:val="both"/>
              <w:rPr>
                <w:rFonts w:ascii="Times New Roman" w:hAnsi="Times New Roman" w:cs="Times New Roman"/>
                <w:sz w:val="16"/>
                <w:szCs w:val="16"/>
                <w:lang w:val="en-US"/>
              </w:rPr>
            </w:pPr>
            <w:r w:rsidRPr="0010784C">
              <w:rPr>
                <w:rFonts w:ascii="Times New Roman" w:hAnsi="Times New Roman" w:cs="Times New Roman"/>
                <w:sz w:val="16"/>
                <w:szCs w:val="16"/>
                <w:lang w:val="en-US"/>
              </w:rPr>
              <w:t>-Presence of traffic signs;</w:t>
            </w:r>
          </w:p>
          <w:p w:rsidR="00C821BE" w:rsidRPr="0010784C" w:rsidRDefault="00C821BE" w:rsidP="00C821BE">
            <w:pPr>
              <w:spacing w:after="0" w:line="240" w:lineRule="auto"/>
              <w:jc w:val="both"/>
              <w:rPr>
                <w:rFonts w:ascii="Times New Roman" w:hAnsi="Times New Roman" w:cs="Times New Roman"/>
                <w:sz w:val="16"/>
                <w:szCs w:val="16"/>
                <w:lang w:val="en-US"/>
              </w:rPr>
            </w:pPr>
            <w:r w:rsidRPr="0010784C">
              <w:rPr>
                <w:rFonts w:ascii="Times New Roman" w:hAnsi="Times New Roman" w:cs="Times New Roman"/>
                <w:sz w:val="16"/>
                <w:szCs w:val="16"/>
                <w:lang w:val="en-US"/>
              </w:rPr>
              <w:t>-Effective wearing of PPE;</w:t>
            </w:r>
          </w:p>
          <w:p w:rsidR="00C821BE" w:rsidRPr="0010784C" w:rsidRDefault="00C821BE" w:rsidP="00C821BE">
            <w:pPr>
              <w:spacing w:after="0" w:line="240" w:lineRule="auto"/>
              <w:jc w:val="both"/>
              <w:rPr>
                <w:rFonts w:ascii="Times New Roman" w:hAnsi="Times New Roman" w:cs="Times New Roman"/>
                <w:sz w:val="16"/>
                <w:szCs w:val="16"/>
                <w:lang w:val="en-US"/>
              </w:rPr>
            </w:pPr>
            <w:r w:rsidRPr="0010784C">
              <w:rPr>
                <w:rFonts w:ascii="Times New Roman" w:hAnsi="Times New Roman" w:cs="Times New Roman"/>
                <w:sz w:val="16"/>
                <w:szCs w:val="16"/>
                <w:lang w:val="en-US"/>
              </w:rPr>
              <w:t>-Number of workers wearing their PPE;</w:t>
            </w:r>
          </w:p>
          <w:p w:rsidR="00C821BE" w:rsidRPr="0010784C" w:rsidRDefault="00C821BE" w:rsidP="00C821BE">
            <w:pPr>
              <w:spacing w:after="0" w:line="240" w:lineRule="auto"/>
              <w:jc w:val="both"/>
              <w:rPr>
                <w:rFonts w:ascii="Times New Roman" w:hAnsi="Times New Roman" w:cs="Times New Roman"/>
                <w:sz w:val="16"/>
                <w:szCs w:val="16"/>
                <w:lang w:val="en-US"/>
              </w:rPr>
            </w:pPr>
            <w:r w:rsidRPr="0010784C">
              <w:rPr>
                <w:rFonts w:ascii="Times New Roman" w:hAnsi="Times New Roman" w:cs="Times New Roman"/>
                <w:sz w:val="16"/>
                <w:szCs w:val="16"/>
                <w:lang w:val="en-US"/>
              </w:rPr>
              <w:t>-Number of people trained;</w:t>
            </w:r>
          </w:p>
          <w:p w:rsidR="00C821BE" w:rsidRPr="0010784C" w:rsidRDefault="00C821BE" w:rsidP="00C821BE">
            <w:pPr>
              <w:spacing w:after="0" w:line="240" w:lineRule="auto"/>
              <w:jc w:val="both"/>
              <w:rPr>
                <w:rFonts w:ascii="Times New Roman" w:hAnsi="Times New Roman" w:cs="Times New Roman"/>
                <w:sz w:val="16"/>
                <w:szCs w:val="16"/>
                <w:lang w:val="en-US"/>
              </w:rPr>
            </w:pPr>
            <w:r w:rsidRPr="0010784C">
              <w:rPr>
                <w:rFonts w:ascii="Times New Roman" w:hAnsi="Times New Roman" w:cs="Times New Roman"/>
                <w:sz w:val="16"/>
                <w:szCs w:val="16"/>
                <w:lang w:val="en-US"/>
              </w:rPr>
              <w:t>-Number of consultations for illness;</w:t>
            </w:r>
          </w:p>
          <w:p w:rsidR="00C821BE" w:rsidRPr="0010784C" w:rsidRDefault="00C821BE" w:rsidP="00C821BE">
            <w:pPr>
              <w:spacing w:after="0" w:line="240" w:lineRule="auto"/>
              <w:jc w:val="both"/>
              <w:rPr>
                <w:rFonts w:ascii="Times New Roman" w:hAnsi="Times New Roman" w:cs="Times New Roman"/>
                <w:sz w:val="16"/>
                <w:szCs w:val="16"/>
                <w:lang w:val="en-US"/>
              </w:rPr>
            </w:pPr>
            <w:r w:rsidRPr="0010784C">
              <w:rPr>
                <w:rFonts w:ascii="Times New Roman" w:hAnsi="Times New Roman" w:cs="Times New Roman"/>
                <w:sz w:val="16"/>
                <w:szCs w:val="16"/>
                <w:lang w:val="en-US"/>
              </w:rPr>
              <w:t>-Presence of the first aid kit;</w:t>
            </w:r>
          </w:p>
          <w:p w:rsidR="00C821BE" w:rsidRPr="0010784C" w:rsidRDefault="00C821BE" w:rsidP="00C821BE">
            <w:pPr>
              <w:spacing w:after="0" w:line="240" w:lineRule="auto"/>
              <w:jc w:val="both"/>
              <w:rPr>
                <w:rFonts w:ascii="Times New Roman" w:hAnsi="Times New Roman" w:cs="Times New Roman"/>
                <w:sz w:val="16"/>
                <w:szCs w:val="16"/>
                <w:lang w:val="en-US"/>
              </w:rPr>
            </w:pPr>
            <w:r w:rsidRPr="0010784C">
              <w:rPr>
                <w:rFonts w:ascii="Times New Roman" w:hAnsi="Times New Roman" w:cs="Times New Roman"/>
                <w:sz w:val="16"/>
                <w:szCs w:val="16"/>
                <w:lang w:val="en-US"/>
              </w:rPr>
              <w:t>-Copy of signed agreements;</w:t>
            </w:r>
          </w:p>
          <w:p w:rsidR="00C821BE" w:rsidRPr="0010784C" w:rsidRDefault="00C821BE" w:rsidP="00C821BE">
            <w:pPr>
              <w:spacing w:after="0" w:line="240" w:lineRule="auto"/>
              <w:jc w:val="both"/>
              <w:rPr>
                <w:rFonts w:ascii="Times New Roman" w:hAnsi="Times New Roman" w:cs="Times New Roman"/>
                <w:sz w:val="16"/>
                <w:szCs w:val="16"/>
                <w:lang w:val="en-US"/>
              </w:rPr>
            </w:pPr>
            <w:r w:rsidRPr="0010784C">
              <w:rPr>
                <w:rFonts w:ascii="Times New Roman" w:hAnsi="Times New Roman" w:cs="Times New Roman"/>
                <w:sz w:val="16"/>
                <w:szCs w:val="16"/>
                <w:lang w:val="en-US"/>
              </w:rPr>
              <w:t>-Number of people sensitized;</w:t>
            </w:r>
          </w:p>
          <w:p w:rsidR="00C821BE" w:rsidRPr="0010784C" w:rsidRDefault="00C821BE" w:rsidP="00C821BE">
            <w:pPr>
              <w:spacing w:after="0" w:line="240" w:lineRule="auto"/>
              <w:jc w:val="both"/>
              <w:rPr>
                <w:rFonts w:ascii="Times New Roman" w:hAnsi="Times New Roman" w:cs="Times New Roman"/>
                <w:sz w:val="16"/>
                <w:szCs w:val="16"/>
                <w:lang w:val="en-US"/>
              </w:rPr>
            </w:pPr>
            <w:r w:rsidRPr="0010784C">
              <w:rPr>
                <w:rFonts w:ascii="Times New Roman" w:hAnsi="Times New Roman" w:cs="Times New Roman"/>
                <w:sz w:val="16"/>
                <w:szCs w:val="16"/>
                <w:lang w:val="en-US"/>
              </w:rPr>
              <w:t>-Number of condoms distributed;</w:t>
            </w:r>
          </w:p>
        </w:tc>
        <w:tc>
          <w:tcPr>
            <w:tcW w:w="1134"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C821BE" w:rsidRPr="0010784C" w:rsidRDefault="00C821BE" w:rsidP="00C821BE">
            <w:pPr>
              <w:spacing w:after="0" w:line="240" w:lineRule="auto"/>
              <w:jc w:val="center"/>
              <w:rPr>
                <w:rFonts w:ascii="Times New Roman" w:hAnsi="Times New Roman" w:cs="Times New Roman"/>
                <w:b/>
                <w:sz w:val="16"/>
                <w:szCs w:val="16"/>
                <w:lang w:val="en-US"/>
              </w:rPr>
            </w:pPr>
            <w:r w:rsidRPr="0010784C">
              <w:rPr>
                <w:rFonts w:ascii="Times New Roman" w:hAnsi="Times New Roman" w:cs="Times New Roman"/>
                <w:b/>
                <w:sz w:val="16"/>
                <w:szCs w:val="16"/>
                <w:lang w:val="en-US"/>
              </w:rPr>
              <w:t>Business</w:t>
            </w:r>
          </w:p>
          <w:p w:rsidR="00C821BE" w:rsidRPr="0010784C" w:rsidRDefault="00C821BE" w:rsidP="00C821BE">
            <w:pPr>
              <w:spacing w:after="0" w:line="240" w:lineRule="auto"/>
              <w:jc w:val="center"/>
              <w:rPr>
                <w:rFonts w:ascii="Times New Roman" w:hAnsi="Times New Roman" w:cs="Times New Roman"/>
                <w:b/>
                <w:sz w:val="16"/>
                <w:szCs w:val="16"/>
                <w:lang w:val="en-US"/>
              </w:rPr>
            </w:pPr>
          </w:p>
        </w:tc>
        <w:tc>
          <w:tcPr>
            <w:tcW w:w="1120"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C821BE" w:rsidRPr="0010784C" w:rsidRDefault="00C821BE" w:rsidP="00C821BE">
            <w:pPr>
              <w:spacing w:after="0" w:line="240" w:lineRule="auto"/>
              <w:jc w:val="center"/>
              <w:rPr>
                <w:rFonts w:ascii="Times New Roman" w:hAnsi="Times New Roman" w:cs="Times New Roman"/>
                <w:b/>
                <w:sz w:val="16"/>
                <w:szCs w:val="16"/>
                <w:lang w:val="en-US"/>
              </w:rPr>
            </w:pPr>
            <w:r w:rsidRPr="0010784C">
              <w:rPr>
                <w:rFonts w:ascii="Times New Roman" w:hAnsi="Times New Roman" w:cs="Times New Roman"/>
                <w:b/>
                <w:sz w:val="16"/>
                <w:szCs w:val="16"/>
                <w:lang w:val="en-US"/>
              </w:rPr>
              <w:t>Monitoring committee</w:t>
            </w:r>
          </w:p>
          <w:p w:rsidR="00C821BE" w:rsidRPr="0010784C" w:rsidRDefault="00C821BE" w:rsidP="00C821BE">
            <w:pPr>
              <w:spacing w:after="0" w:line="240" w:lineRule="auto"/>
              <w:jc w:val="center"/>
              <w:rPr>
                <w:rFonts w:ascii="Times New Roman" w:hAnsi="Times New Roman" w:cs="Times New Roman"/>
                <w:b/>
                <w:sz w:val="16"/>
                <w:szCs w:val="16"/>
                <w:lang w:val="en-US"/>
              </w:rPr>
            </w:pPr>
          </w:p>
          <w:p w:rsidR="00C821BE" w:rsidRPr="0010784C" w:rsidRDefault="00C821BE" w:rsidP="00C821BE">
            <w:pPr>
              <w:spacing w:after="0" w:line="240" w:lineRule="auto"/>
              <w:jc w:val="center"/>
              <w:rPr>
                <w:rFonts w:ascii="Times New Roman" w:hAnsi="Times New Roman" w:cs="Times New Roman"/>
                <w:b/>
                <w:sz w:val="16"/>
                <w:szCs w:val="16"/>
                <w:lang w:val="en-US"/>
              </w:rPr>
            </w:pPr>
            <w:r w:rsidRPr="0010784C">
              <w:rPr>
                <w:rFonts w:ascii="Times New Roman" w:hAnsi="Times New Roman" w:cs="Times New Roman"/>
                <w:b/>
                <w:sz w:val="16"/>
                <w:szCs w:val="16"/>
                <w:lang w:val="en-US"/>
              </w:rPr>
              <w:t>PUASEE-FA</w:t>
            </w:r>
          </w:p>
        </w:tc>
        <w:tc>
          <w:tcPr>
            <w:tcW w:w="1445" w:type="dxa"/>
            <w:tcBorders>
              <w:top w:val="single" w:sz="4" w:space="0" w:color="auto"/>
              <w:left w:val="single" w:sz="4" w:space="0" w:color="auto"/>
              <w:bottom w:val="single" w:sz="4" w:space="0" w:color="auto"/>
              <w:right w:val="single" w:sz="4" w:space="0" w:color="auto"/>
            </w:tcBorders>
            <w:vAlign w:val="center"/>
          </w:tcPr>
          <w:p w:rsidR="00C821BE" w:rsidRPr="0010784C" w:rsidRDefault="00C821BE" w:rsidP="00C821BE">
            <w:pPr>
              <w:spacing w:after="0" w:line="240" w:lineRule="auto"/>
              <w:jc w:val="center"/>
              <w:rPr>
                <w:rFonts w:ascii="Times New Roman" w:hAnsi="Times New Roman" w:cs="Times New Roman"/>
                <w:sz w:val="16"/>
                <w:szCs w:val="16"/>
                <w:lang w:val="en-US"/>
              </w:rPr>
            </w:pPr>
            <w:r w:rsidRPr="0010784C">
              <w:rPr>
                <w:rFonts w:ascii="Times New Roman" w:hAnsi="Times New Roman" w:cs="Times New Roman"/>
                <w:sz w:val="16"/>
                <w:szCs w:val="16"/>
                <w:lang w:val="en-US"/>
              </w:rPr>
              <w:t>During construction / Quarterly</w:t>
            </w:r>
          </w:p>
        </w:tc>
        <w:tc>
          <w:tcPr>
            <w:tcW w:w="112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C821BE" w:rsidRPr="0010784C" w:rsidRDefault="00C821BE" w:rsidP="00C821BE">
            <w:pPr>
              <w:spacing w:after="0" w:line="240" w:lineRule="auto"/>
              <w:jc w:val="center"/>
              <w:rPr>
                <w:rFonts w:ascii="Times New Roman" w:hAnsi="Times New Roman" w:cs="Times New Roman"/>
                <w:b/>
                <w:sz w:val="16"/>
                <w:szCs w:val="16"/>
                <w:lang w:val="en-US"/>
              </w:rPr>
            </w:pPr>
            <w:r w:rsidRPr="0010784C">
              <w:rPr>
                <w:rFonts w:ascii="Times New Roman" w:hAnsi="Times New Roman" w:cs="Times New Roman"/>
                <w:b/>
                <w:sz w:val="16"/>
                <w:szCs w:val="16"/>
                <w:lang w:val="en-US"/>
              </w:rPr>
              <w:t>8,000,000</w:t>
            </w:r>
          </w:p>
        </w:tc>
      </w:tr>
      <w:tr w:rsidR="00C821BE" w:rsidRPr="0010784C" w:rsidTr="00C821BE">
        <w:trPr>
          <w:trHeight w:val="116"/>
          <w:jc w:val="center"/>
        </w:trPr>
        <w:tc>
          <w:tcPr>
            <w:tcW w:w="1212"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C821BE" w:rsidRPr="0010784C" w:rsidRDefault="00C821BE" w:rsidP="00C821BE">
            <w:pPr>
              <w:spacing w:after="0" w:line="240" w:lineRule="auto"/>
              <w:jc w:val="center"/>
              <w:rPr>
                <w:rFonts w:ascii="Times New Roman" w:hAnsi="Times New Roman" w:cs="Times New Roman"/>
                <w:b/>
                <w:bCs/>
                <w:sz w:val="16"/>
                <w:szCs w:val="16"/>
                <w:lang w:val="en-US"/>
              </w:rPr>
            </w:pPr>
            <w:r w:rsidRPr="0010784C">
              <w:rPr>
                <w:rFonts w:ascii="Times New Roman" w:hAnsi="Times New Roman" w:cs="Times New Roman"/>
                <w:b/>
                <w:bCs/>
                <w:sz w:val="16"/>
                <w:szCs w:val="16"/>
                <w:lang w:val="en-US"/>
              </w:rPr>
              <w:t>Economy</w:t>
            </w:r>
          </w:p>
        </w:tc>
        <w:tc>
          <w:tcPr>
            <w:tcW w:w="2079" w:type="dxa"/>
            <w:tcBorders>
              <w:top w:val="single" w:sz="4" w:space="0" w:color="auto"/>
              <w:left w:val="single" w:sz="4" w:space="0" w:color="auto"/>
              <w:bottom w:val="single" w:sz="4" w:space="0" w:color="auto"/>
              <w:right w:val="single" w:sz="4" w:space="0" w:color="auto"/>
            </w:tcBorders>
            <w:vAlign w:val="center"/>
          </w:tcPr>
          <w:p w:rsidR="00C821BE" w:rsidRPr="0010784C" w:rsidRDefault="00C821BE" w:rsidP="00C821BE">
            <w:pPr>
              <w:spacing w:after="0" w:line="240" w:lineRule="auto"/>
              <w:jc w:val="both"/>
              <w:rPr>
                <w:rFonts w:ascii="Times New Roman" w:hAnsi="Times New Roman" w:cs="Times New Roman"/>
                <w:sz w:val="16"/>
                <w:szCs w:val="16"/>
                <w:lang w:val="en-US"/>
              </w:rPr>
            </w:pPr>
            <w:r w:rsidRPr="0010784C">
              <w:rPr>
                <w:rFonts w:ascii="Times New Roman" w:hAnsi="Times New Roman" w:cs="Times New Roman"/>
                <w:color w:val="000000"/>
                <w:sz w:val="16"/>
                <w:szCs w:val="16"/>
                <w:lang w:val="en-US"/>
              </w:rPr>
              <w:t>Risk of disruption of business activities</w:t>
            </w:r>
          </w:p>
        </w:tc>
        <w:tc>
          <w:tcPr>
            <w:tcW w:w="4335" w:type="dxa"/>
            <w:tcBorders>
              <w:top w:val="single" w:sz="4" w:space="0" w:color="auto"/>
              <w:left w:val="single" w:sz="4" w:space="0" w:color="auto"/>
              <w:bottom w:val="single" w:sz="4" w:space="0" w:color="auto"/>
              <w:right w:val="single" w:sz="4" w:space="0" w:color="auto"/>
            </w:tcBorders>
            <w:vAlign w:val="center"/>
          </w:tcPr>
          <w:p w:rsidR="00C821BE" w:rsidRPr="0010784C" w:rsidRDefault="00C821BE" w:rsidP="00C821BE">
            <w:pPr>
              <w:spacing w:after="0" w:line="240" w:lineRule="auto"/>
              <w:jc w:val="both"/>
              <w:rPr>
                <w:rFonts w:ascii="Times New Roman" w:hAnsi="Times New Roman" w:cs="Times New Roman"/>
                <w:sz w:val="16"/>
                <w:szCs w:val="16"/>
                <w:lang w:val="en-US"/>
              </w:rPr>
            </w:pPr>
            <w:r w:rsidRPr="0010784C">
              <w:rPr>
                <w:rFonts w:ascii="Times New Roman" w:hAnsi="Times New Roman" w:cs="Times New Roman"/>
                <w:sz w:val="16"/>
                <w:szCs w:val="16"/>
                <w:lang w:val="en-US"/>
              </w:rPr>
              <w:t>-Inform the traders who will be impacted before the start of the works;</w:t>
            </w:r>
          </w:p>
          <w:p w:rsidR="00C821BE" w:rsidRPr="0010784C" w:rsidRDefault="00C821BE" w:rsidP="00C821BE">
            <w:pPr>
              <w:spacing w:after="0" w:line="240" w:lineRule="auto"/>
              <w:jc w:val="both"/>
              <w:rPr>
                <w:rFonts w:ascii="Times New Roman" w:hAnsi="Times New Roman" w:cs="Times New Roman"/>
                <w:sz w:val="16"/>
                <w:szCs w:val="16"/>
                <w:lang w:val="en-US"/>
              </w:rPr>
            </w:pPr>
            <w:r w:rsidRPr="0010784C">
              <w:rPr>
                <w:rFonts w:ascii="Times New Roman" w:hAnsi="Times New Roman" w:cs="Times New Roman"/>
                <w:sz w:val="16"/>
                <w:szCs w:val="16"/>
                <w:lang w:val="en-US"/>
              </w:rPr>
              <w:t xml:space="preserve">-Avoid blocking access to shops or simply hindering the movement of goods and people (especially in Safim); </w:t>
            </w:r>
          </w:p>
          <w:p w:rsidR="00C821BE" w:rsidRPr="0010784C" w:rsidRDefault="00C821BE" w:rsidP="00C821BE">
            <w:pPr>
              <w:spacing w:after="0" w:line="240" w:lineRule="auto"/>
              <w:jc w:val="both"/>
              <w:rPr>
                <w:rFonts w:ascii="Times New Roman" w:hAnsi="Times New Roman" w:cs="Times New Roman"/>
                <w:sz w:val="16"/>
                <w:szCs w:val="16"/>
                <w:lang w:val="en-US"/>
              </w:rPr>
            </w:pPr>
            <w:r w:rsidRPr="0010784C">
              <w:rPr>
                <w:rFonts w:ascii="Times New Roman" w:hAnsi="Times New Roman" w:cs="Times New Roman"/>
                <w:sz w:val="16"/>
                <w:szCs w:val="16"/>
                <w:lang w:val="en-US"/>
              </w:rPr>
              <w:t>-Implement the RAP;</w:t>
            </w:r>
          </w:p>
        </w:tc>
        <w:tc>
          <w:tcPr>
            <w:tcW w:w="3568" w:type="dxa"/>
            <w:tcBorders>
              <w:top w:val="single" w:sz="4" w:space="0" w:color="auto"/>
              <w:left w:val="single" w:sz="4" w:space="0" w:color="auto"/>
              <w:bottom w:val="single" w:sz="4" w:space="0" w:color="auto"/>
              <w:right w:val="single" w:sz="4" w:space="0" w:color="auto"/>
            </w:tcBorders>
            <w:vAlign w:val="center"/>
          </w:tcPr>
          <w:p w:rsidR="00C821BE" w:rsidRPr="0010784C" w:rsidRDefault="00C821BE" w:rsidP="00C821BE">
            <w:pPr>
              <w:spacing w:after="0" w:line="240" w:lineRule="auto"/>
              <w:jc w:val="both"/>
              <w:rPr>
                <w:rFonts w:ascii="Times New Roman" w:hAnsi="Times New Roman" w:cs="Times New Roman"/>
                <w:sz w:val="16"/>
                <w:szCs w:val="16"/>
                <w:lang w:val="en-US"/>
              </w:rPr>
            </w:pPr>
            <w:r w:rsidRPr="0010784C">
              <w:rPr>
                <w:rFonts w:ascii="Times New Roman" w:hAnsi="Times New Roman" w:cs="Times New Roman"/>
                <w:sz w:val="16"/>
                <w:szCs w:val="16"/>
                <w:lang w:val="en-US"/>
              </w:rPr>
              <w:t>-Number of traders informed;</w:t>
            </w:r>
          </w:p>
          <w:p w:rsidR="00C821BE" w:rsidRPr="0010784C" w:rsidRDefault="00C821BE" w:rsidP="00C821BE">
            <w:pPr>
              <w:spacing w:after="0" w:line="240" w:lineRule="auto"/>
              <w:jc w:val="both"/>
              <w:rPr>
                <w:rFonts w:ascii="Times New Roman" w:hAnsi="Times New Roman" w:cs="Times New Roman"/>
                <w:sz w:val="16"/>
                <w:szCs w:val="16"/>
                <w:lang w:val="en-US"/>
              </w:rPr>
            </w:pPr>
            <w:r w:rsidRPr="0010784C">
              <w:rPr>
                <w:rFonts w:ascii="Times New Roman" w:hAnsi="Times New Roman" w:cs="Times New Roman"/>
                <w:sz w:val="16"/>
                <w:szCs w:val="16"/>
                <w:lang w:val="en-US"/>
              </w:rPr>
              <w:t>-No access blocked;</w:t>
            </w:r>
          </w:p>
          <w:p w:rsidR="00C821BE" w:rsidRPr="0010784C" w:rsidRDefault="00C821BE" w:rsidP="00C821BE">
            <w:pPr>
              <w:spacing w:after="0" w:line="240" w:lineRule="auto"/>
              <w:jc w:val="both"/>
              <w:rPr>
                <w:rFonts w:ascii="Times New Roman" w:hAnsi="Times New Roman" w:cs="Times New Roman"/>
                <w:sz w:val="16"/>
                <w:szCs w:val="16"/>
                <w:lang w:val="en-US"/>
              </w:rPr>
            </w:pPr>
            <w:r w:rsidRPr="0010784C">
              <w:rPr>
                <w:rFonts w:ascii="Times New Roman" w:hAnsi="Times New Roman" w:cs="Times New Roman"/>
                <w:sz w:val="16"/>
                <w:szCs w:val="16"/>
                <w:lang w:val="en-US"/>
              </w:rPr>
              <w:t>-Implementation of the effective PAR;</w:t>
            </w:r>
          </w:p>
          <w:p w:rsidR="00C821BE" w:rsidRPr="0010784C" w:rsidRDefault="00C821BE" w:rsidP="00C821BE">
            <w:pPr>
              <w:spacing w:after="0" w:line="240" w:lineRule="auto"/>
              <w:jc w:val="both"/>
              <w:rPr>
                <w:rFonts w:ascii="Times New Roman" w:hAnsi="Times New Roman" w:cs="Times New Roman"/>
                <w:sz w:val="16"/>
                <w:szCs w:val="16"/>
                <w:lang w:val="en-US"/>
              </w:rPr>
            </w:pPr>
            <w:r w:rsidRPr="0010784C">
              <w:rPr>
                <w:rFonts w:ascii="Times New Roman" w:hAnsi="Times New Roman" w:cs="Times New Roman"/>
                <w:sz w:val="16"/>
                <w:szCs w:val="16"/>
                <w:lang w:val="en-US"/>
              </w:rPr>
              <w:t>-PV of compensation for PAPs</w:t>
            </w:r>
          </w:p>
        </w:tc>
        <w:tc>
          <w:tcPr>
            <w:tcW w:w="1134"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C821BE" w:rsidRPr="0010784C" w:rsidRDefault="00C821BE" w:rsidP="00C821BE">
            <w:pPr>
              <w:spacing w:after="0" w:line="240" w:lineRule="auto"/>
              <w:jc w:val="center"/>
              <w:rPr>
                <w:rFonts w:ascii="Times New Roman" w:hAnsi="Times New Roman" w:cs="Times New Roman"/>
                <w:b/>
                <w:sz w:val="16"/>
                <w:szCs w:val="16"/>
                <w:lang w:val="en-US"/>
              </w:rPr>
            </w:pPr>
            <w:r w:rsidRPr="0010784C">
              <w:rPr>
                <w:rFonts w:ascii="Times New Roman" w:hAnsi="Times New Roman" w:cs="Times New Roman"/>
                <w:b/>
                <w:sz w:val="16"/>
                <w:szCs w:val="16"/>
                <w:lang w:val="en-US"/>
              </w:rPr>
              <w:t>Business</w:t>
            </w:r>
          </w:p>
          <w:p w:rsidR="00C821BE" w:rsidRPr="0010784C" w:rsidRDefault="00C821BE" w:rsidP="00C821BE">
            <w:pPr>
              <w:spacing w:after="0" w:line="240" w:lineRule="auto"/>
              <w:jc w:val="center"/>
              <w:rPr>
                <w:rFonts w:ascii="Times New Roman" w:hAnsi="Times New Roman" w:cs="Times New Roman"/>
                <w:b/>
                <w:sz w:val="16"/>
                <w:szCs w:val="16"/>
                <w:lang w:val="en-US"/>
              </w:rPr>
            </w:pPr>
            <w:r w:rsidRPr="0010784C">
              <w:rPr>
                <w:rFonts w:ascii="Times New Roman" w:hAnsi="Times New Roman" w:cs="Times New Roman"/>
                <w:b/>
                <w:sz w:val="16"/>
                <w:szCs w:val="16"/>
                <w:lang w:val="en-US"/>
              </w:rPr>
              <w:t>PUASEE-FA</w:t>
            </w:r>
          </w:p>
        </w:tc>
        <w:tc>
          <w:tcPr>
            <w:tcW w:w="1120"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C821BE" w:rsidRPr="0010784C" w:rsidRDefault="00C821BE" w:rsidP="00C821BE">
            <w:pPr>
              <w:spacing w:after="0" w:line="240" w:lineRule="auto"/>
              <w:jc w:val="center"/>
              <w:rPr>
                <w:rFonts w:ascii="Times New Roman" w:hAnsi="Times New Roman" w:cs="Times New Roman"/>
                <w:b/>
                <w:sz w:val="16"/>
                <w:szCs w:val="16"/>
                <w:lang w:val="en-US"/>
              </w:rPr>
            </w:pPr>
            <w:r w:rsidRPr="0010784C">
              <w:rPr>
                <w:rFonts w:ascii="Times New Roman" w:hAnsi="Times New Roman" w:cs="Times New Roman"/>
                <w:b/>
                <w:sz w:val="16"/>
                <w:szCs w:val="16"/>
                <w:lang w:val="en-US"/>
              </w:rPr>
              <w:t>Monitoring committee</w:t>
            </w:r>
          </w:p>
          <w:p w:rsidR="00C821BE" w:rsidRPr="0010784C" w:rsidRDefault="00C821BE" w:rsidP="00C821BE">
            <w:pPr>
              <w:spacing w:after="0" w:line="240" w:lineRule="auto"/>
              <w:jc w:val="center"/>
              <w:rPr>
                <w:rFonts w:ascii="Times New Roman" w:hAnsi="Times New Roman" w:cs="Times New Roman"/>
                <w:b/>
                <w:sz w:val="16"/>
                <w:szCs w:val="16"/>
                <w:lang w:val="en-US"/>
              </w:rPr>
            </w:pPr>
          </w:p>
          <w:p w:rsidR="00C821BE" w:rsidRPr="0010784C" w:rsidRDefault="00C821BE" w:rsidP="00C821BE">
            <w:pPr>
              <w:autoSpaceDE w:val="0"/>
              <w:autoSpaceDN w:val="0"/>
              <w:adjustRightInd w:val="0"/>
              <w:spacing w:after="0" w:line="240" w:lineRule="auto"/>
              <w:jc w:val="center"/>
              <w:rPr>
                <w:rFonts w:ascii="Times New Roman" w:hAnsi="Times New Roman" w:cs="Times New Roman"/>
                <w:b/>
                <w:sz w:val="16"/>
                <w:szCs w:val="16"/>
                <w:lang w:val="en-US"/>
              </w:rPr>
            </w:pPr>
          </w:p>
        </w:tc>
        <w:tc>
          <w:tcPr>
            <w:tcW w:w="1445" w:type="dxa"/>
            <w:tcBorders>
              <w:top w:val="single" w:sz="4" w:space="0" w:color="auto"/>
              <w:left w:val="single" w:sz="4" w:space="0" w:color="auto"/>
              <w:bottom w:val="single" w:sz="4" w:space="0" w:color="auto"/>
              <w:right w:val="single" w:sz="4" w:space="0" w:color="auto"/>
            </w:tcBorders>
            <w:vAlign w:val="center"/>
          </w:tcPr>
          <w:p w:rsidR="00C821BE" w:rsidRPr="0010784C" w:rsidRDefault="00C821BE" w:rsidP="00C821BE">
            <w:pPr>
              <w:spacing w:after="0" w:line="240" w:lineRule="auto"/>
              <w:jc w:val="center"/>
              <w:rPr>
                <w:rFonts w:ascii="Times New Roman" w:hAnsi="Times New Roman" w:cs="Times New Roman"/>
                <w:sz w:val="16"/>
                <w:szCs w:val="16"/>
                <w:lang w:val="en-US"/>
              </w:rPr>
            </w:pPr>
            <w:r w:rsidRPr="0010784C">
              <w:rPr>
                <w:rFonts w:ascii="Times New Roman" w:hAnsi="Times New Roman" w:cs="Times New Roman"/>
                <w:sz w:val="16"/>
                <w:szCs w:val="16"/>
                <w:lang w:val="en-US"/>
              </w:rPr>
              <w:t>During construction / Quarterly</w:t>
            </w:r>
          </w:p>
        </w:tc>
        <w:tc>
          <w:tcPr>
            <w:tcW w:w="112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C821BE" w:rsidRPr="0010784C" w:rsidRDefault="00C821BE" w:rsidP="00C821BE">
            <w:pPr>
              <w:spacing w:after="0" w:line="240" w:lineRule="auto"/>
              <w:jc w:val="center"/>
              <w:rPr>
                <w:rFonts w:ascii="Times New Roman" w:hAnsi="Times New Roman" w:cs="Times New Roman"/>
                <w:b/>
                <w:sz w:val="16"/>
                <w:szCs w:val="16"/>
                <w:lang w:val="en-US"/>
              </w:rPr>
            </w:pPr>
            <w:r w:rsidRPr="0010784C">
              <w:rPr>
                <w:rFonts w:ascii="Times New Roman" w:hAnsi="Times New Roman" w:cs="Times New Roman"/>
                <w:b/>
                <w:sz w:val="16"/>
                <w:szCs w:val="16"/>
                <w:lang w:val="en-US"/>
              </w:rPr>
              <w:t>4,000,000</w:t>
            </w:r>
          </w:p>
        </w:tc>
      </w:tr>
      <w:tr w:rsidR="00C821BE" w:rsidRPr="003C548E" w:rsidTr="00C821BE">
        <w:trPr>
          <w:trHeight w:val="185"/>
          <w:jc w:val="center"/>
        </w:trPr>
        <w:tc>
          <w:tcPr>
            <w:tcW w:w="1212"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C821BE" w:rsidRPr="0010784C" w:rsidRDefault="00C821BE" w:rsidP="00C821BE">
            <w:pPr>
              <w:spacing w:after="0" w:line="240" w:lineRule="auto"/>
              <w:jc w:val="center"/>
              <w:rPr>
                <w:rFonts w:ascii="Times New Roman" w:hAnsi="Times New Roman" w:cs="Times New Roman"/>
                <w:b/>
                <w:bCs/>
                <w:sz w:val="16"/>
                <w:szCs w:val="16"/>
                <w:lang w:val="en-US"/>
              </w:rPr>
            </w:pPr>
            <w:r w:rsidRPr="0010784C">
              <w:rPr>
                <w:rFonts w:ascii="Times New Roman" w:hAnsi="Times New Roman" w:cs="Times New Roman"/>
                <w:b/>
                <w:bCs/>
                <w:sz w:val="16"/>
                <w:szCs w:val="16"/>
                <w:lang w:val="en-US"/>
              </w:rPr>
              <w:t>Human</w:t>
            </w:r>
          </w:p>
        </w:tc>
        <w:tc>
          <w:tcPr>
            <w:tcW w:w="2079" w:type="dxa"/>
            <w:tcBorders>
              <w:top w:val="single" w:sz="4" w:space="0" w:color="auto"/>
              <w:left w:val="single" w:sz="4" w:space="0" w:color="auto"/>
              <w:bottom w:val="single" w:sz="4" w:space="0" w:color="auto"/>
              <w:right w:val="single" w:sz="4" w:space="0" w:color="auto"/>
            </w:tcBorders>
            <w:vAlign w:val="center"/>
          </w:tcPr>
          <w:p w:rsidR="00C821BE" w:rsidRPr="0010784C" w:rsidRDefault="00C821BE" w:rsidP="00C821BE">
            <w:pPr>
              <w:spacing w:after="0" w:line="240" w:lineRule="auto"/>
              <w:jc w:val="center"/>
              <w:rPr>
                <w:rFonts w:ascii="Times New Roman" w:hAnsi="Times New Roman" w:cs="Times New Roman"/>
                <w:sz w:val="16"/>
                <w:szCs w:val="16"/>
                <w:lang w:val="en-US"/>
              </w:rPr>
            </w:pPr>
            <w:r w:rsidRPr="0010784C">
              <w:rPr>
                <w:rFonts w:ascii="Times New Roman" w:hAnsi="Times New Roman" w:cs="Times New Roman"/>
                <w:sz w:val="16"/>
                <w:szCs w:val="16"/>
                <w:lang w:val="en-US"/>
              </w:rPr>
              <w:t>Risks of loss of land</w:t>
            </w:r>
          </w:p>
        </w:tc>
        <w:tc>
          <w:tcPr>
            <w:tcW w:w="4335" w:type="dxa"/>
            <w:tcBorders>
              <w:top w:val="single" w:sz="4" w:space="0" w:color="auto"/>
              <w:left w:val="single" w:sz="4" w:space="0" w:color="auto"/>
              <w:bottom w:val="single" w:sz="4" w:space="0" w:color="auto"/>
              <w:right w:val="single" w:sz="4" w:space="0" w:color="auto"/>
            </w:tcBorders>
            <w:vAlign w:val="center"/>
          </w:tcPr>
          <w:p w:rsidR="00C821BE" w:rsidRPr="0010784C" w:rsidRDefault="00C821BE" w:rsidP="00C821BE">
            <w:pPr>
              <w:spacing w:after="0" w:line="240" w:lineRule="auto"/>
              <w:jc w:val="both"/>
              <w:rPr>
                <w:rFonts w:ascii="Times New Roman" w:hAnsi="Times New Roman" w:cs="Times New Roman"/>
                <w:sz w:val="16"/>
                <w:szCs w:val="16"/>
                <w:lang w:val="en-US"/>
              </w:rPr>
            </w:pPr>
            <w:r w:rsidRPr="0010784C">
              <w:rPr>
                <w:rFonts w:ascii="Times New Roman" w:hAnsi="Times New Roman" w:cs="Times New Roman"/>
                <w:sz w:val="16"/>
                <w:szCs w:val="16"/>
                <w:lang w:val="en-US"/>
              </w:rPr>
              <w:t>- Identify and sensitize the affected parties;</w:t>
            </w:r>
          </w:p>
          <w:p w:rsidR="00C821BE" w:rsidRPr="0010784C" w:rsidRDefault="00C821BE" w:rsidP="00C821BE">
            <w:pPr>
              <w:spacing w:after="0" w:line="240" w:lineRule="auto"/>
              <w:jc w:val="both"/>
              <w:rPr>
                <w:rFonts w:ascii="Times New Roman" w:hAnsi="Times New Roman" w:cs="Times New Roman"/>
                <w:sz w:val="16"/>
                <w:szCs w:val="16"/>
                <w:lang w:val="en-US"/>
              </w:rPr>
            </w:pPr>
            <w:r w:rsidRPr="0010784C">
              <w:rPr>
                <w:rFonts w:ascii="Times New Roman" w:hAnsi="Times New Roman" w:cs="Times New Roman"/>
                <w:sz w:val="16"/>
                <w:szCs w:val="16"/>
                <w:lang w:val="en-US"/>
              </w:rPr>
              <w:t>-Consider financial compensation for losses;</w:t>
            </w:r>
          </w:p>
          <w:p w:rsidR="00C821BE" w:rsidRPr="0010784C" w:rsidRDefault="00C821BE" w:rsidP="00C821BE">
            <w:pPr>
              <w:spacing w:after="0" w:line="240" w:lineRule="auto"/>
              <w:jc w:val="both"/>
              <w:rPr>
                <w:rFonts w:ascii="Times New Roman" w:hAnsi="Times New Roman" w:cs="Times New Roman"/>
                <w:sz w:val="16"/>
                <w:szCs w:val="16"/>
                <w:lang w:val="en-US"/>
              </w:rPr>
            </w:pPr>
            <w:r w:rsidRPr="0010784C">
              <w:rPr>
                <w:rFonts w:ascii="Times New Roman" w:hAnsi="Times New Roman" w:cs="Times New Roman"/>
                <w:sz w:val="16"/>
                <w:szCs w:val="16"/>
                <w:lang w:val="en-US"/>
              </w:rPr>
              <w:t>- Implement the RAP;</w:t>
            </w:r>
          </w:p>
          <w:p w:rsidR="00C821BE" w:rsidRPr="0010784C" w:rsidRDefault="00C821BE" w:rsidP="00C821BE">
            <w:pPr>
              <w:spacing w:after="0" w:line="240" w:lineRule="auto"/>
              <w:jc w:val="both"/>
              <w:rPr>
                <w:rFonts w:ascii="Times New Roman" w:hAnsi="Times New Roman" w:cs="Times New Roman"/>
                <w:sz w:val="16"/>
                <w:szCs w:val="16"/>
                <w:lang w:val="en-US"/>
              </w:rPr>
            </w:pPr>
            <w:r w:rsidRPr="0010784C">
              <w:rPr>
                <w:rFonts w:ascii="Times New Roman" w:hAnsi="Times New Roman" w:cs="Times New Roman"/>
                <w:sz w:val="16"/>
                <w:szCs w:val="16"/>
                <w:lang w:val="en-US"/>
              </w:rPr>
              <w:t>-Involve the administrative and local authorities;</w:t>
            </w:r>
          </w:p>
        </w:tc>
        <w:tc>
          <w:tcPr>
            <w:tcW w:w="3568" w:type="dxa"/>
            <w:tcBorders>
              <w:top w:val="single" w:sz="4" w:space="0" w:color="auto"/>
              <w:left w:val="single" w:sz="4" w:space="0" w:color="auto"/>
              <w:bottom w:val="single" w:sz="4" w:space="0" w:color="auto"/>
              <w:right w:val="single" w:sz="4" w:space="0" w:color="auto"/>
            </w:tcBorders>
            <w:vAlign w:val="center"/>
          </w:tcPr>
          <w:p w:rsidR="00C821BE" w:rsidRPr="0010784C" w:rsidRDefault="00C821BE" w:rsidP="00C821BE">
            <w:pPr>
              <w:spacing w:after="0" w:line="240" w:lineRule="auto"/>
              <w:jc w:val="both"/>
              <w:rPr>
                <w:rFonts w:ascii="Times New Roman" w:hAnsi="Times New Roman" w:cs="Times New Roman"/>
                <w:sz w:val="16"/>
                <w:szCs w:val="16"/>
                <w:lang w:val="en-US"/>
              </w:rPr>
            </w:pPr>
            <w:r w:rsidRPr="0010784C">
              <w:rPr>
                <w:rFonts w:ascii="Times New Roman" w:hAnsi="Times New Roman" w:cs="Times New Roman"/>
                <w:sz w:val="16"/>
                <w:szCs w:val="16"/>
                <w:lang w:val="en-US"/>
              </w:rPr>
              <w:t>-Number of impacts identified;</w:t>
            </w:r>
          </w:p>
          <w:p w:rsidR="00C821BE" w:rsidRPr="0010784C" w:rsidRDefault="00C821BE" w:rsidP="00C821BE">
            <w:pPr>
              <w:spacing w:after="0" w:line="240" w:lineRule="auto"/>
              <w:jc w:val="both"/>
              <w:rPr>
                <w:rFonts w:ascii="Times New Roman" w:hAnsi="Times New Roman" w:cs="Times New Roman"/>
                <w:sz w:val="16"/>
                <w:szCs w:val="16"/>
                <w:lang w:val="en-US"/>
              </w:rPr>
            </w:pPr>
            <w:r w:rsidRPr="0010784C">
              <w:rPr>
                <w:rFonts w:ascii="Times New Roman" w:hAnsi="Times New Roman" w:cs="Times New Roman"/>
                <w:sz w:val="16"/>
                <w:szCs w:val="16"/>
                <w:lang w:val="en-US"/>
              </w:rPr>
              <w:t>-the minutes signed by all the actors;</w:t>
            </w:r>
          </w:p>
          <w:p w:rsidR="00C821BE" w:rsidRPr="0010784C" w:rsidRDefault="00C821BE" w:rsidP="00C821BE">
            <w:pPr>
              <w:spacing w:after="0" w:line="240" w:lineRule="auto"/>
              <w:jc w:val="both"/>
              <w:rPr>
                <w:rFonts w:ascii="Times New Roman" w:hAnsi="Times New Roman" w:cs="Times New Roman"/>
                <w:sz w:val="16"/>
                <w:szCs w:val="16"/>
                <w:lang w:val="en-US"/>
              </w:rPr>
            </w:pPr>
            <w:r w:rsidRPr="0010784C">
              <w:rPr>
                <w:rFonts w:ascii="Times New Roman" w:hAnsi="Times New Roman" w:cs="Times New Roman"/>
                <w:sz w:val="16"/>
                <w:szCs w:val="16"/>
                <w:lang w:val="en-US"/>
              </w:rPr>
              <w:t>-Number of people compensated;</w:t>
            </w:r>
          </w:p>
        </w:tc>
        <w:tc>
          <w:tcPr>
            <w:tcW w:w="1134"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C821BE" w:rsidRPr="0010784C" w:rsidRDefault="00C821BE" w:rsidP="00C821BE">
            <w:pPr>
              <w:autoSpaceDE w:val="0"/>
              <w:autoSpaceDN w:val="0"/>
              <w:adjustRightInd w:val="0"/>
              <w:spacing w:after="0" w:line="240" w:lineRule="auto"/>
              <w:jc w:val="center"/>
              <w:rPr>
                <w:rFonts w:ascii="Times New Roman" w:hAnsi="Times New Roman" w:cs="Times New Roman"/>
                <w:b/>
                <w:sz w:val="16"/>
                <w:szCs w:val="16"/>
                <w:lang w:val="en-US"/>
              </w:rPr>
            </w:pPr>
            <w:r w:rsidRPr="0010784C">
              <w:rPr>
                <w:rFonts w:ascii="Times New Roman" w:hAnsi="Times New Roman" w:cs="Times New Roman"/>
                <w:b/>
                <w:sz w:val="16"/>
                <w:szCs w:val="16"/>
                <w:lang w:val="en-US"/>
              </w:rPr>
              <w:t>PUASEE-FA</w:t>
            </w:r>
          </w:p>
        </w:tc>
        <w:tc>
          <w:tcPr>
            <w:tcW w:w="1120"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C821BE" w:rsidRPr="0010784C" w:rsidRDefault="00C821BE" w:rsidP="00C821BE">
            <w:pPr>
              <w:autoSpaceDE w:val="0"/>
              <w:autoSpaceDN w:val="0"/>
              <w:adjustRightInd w:val="0"/>
              <w:spacing w:after="0" w:line="240" w:lineRule="auto"/>
              <w:jc w:val="center"/>
              <w:rPr>
                <w:rFonts w:ascii="Times New Roman" w:hAnsi="Times New Roman" w:cs="Times New Roman"/>
                <w:b/>
                <w:sz w:val="16"/>
                <w:szCs w:val="16"/>
                <w:lang w:val="en-US"/>
              </w:rPr>
            </w:pPr>
            <w:r w:rsidRPr="0010784C">
              <w:rPr>
                <w:rFonts w:ascii="Times New Roman" w:hAnsi="Times New Roman" w:cs="Times New Roman"/>
                <w:b/>
                <w:sz w:val="16"/>
                <w:szCs w:val="16"/>
                <w:lang w:val="en-US"/>
              </w:rPr>
              <w:t>Monitoring committee</w:t>
            </w:r>
          </w:p>
        </w:tc>
        <w:tc>
          <w:tcPr>
            <w:tcW w:w="1445" w:type="dxa"/>
            <w:tcBorders>
              <w:top w:val="single" w:sz="4" w:space="0" w:color="auto"/>
              <w:left w:val="single" w:sz="4" w:space="0" w:color="auto"/>
              <w:bottom w:val="single" w:sz="4" w:space="0" w:color="auto"/>
              <w:right w:val="single" w:sz="4" w:space="0" w:color="auto"/>
            </w:tcBorders>
            <w:vAlign w:val="center"/>
          </w:tcPr>
          <w:p w:rsidR="00C821BE" w:rsidRPr="0010784C" w:rsidRDefault="00C821BE" w:rsidP="00C821BE">
            <w:pPr>
              <w:spacing w:after="0" w:line="240" w:lineRule="auto"/>
              <w:jc w:val="center"/>
              <w:rPr>
                <w:rFonts w:ascii="Times New Roman" w:hAnsi="Times New Roman" w:cs="Times New Roman"/>
                <w:sz w:val="16"/>
                <w:szCs w:val="16"/>
                <w:lang w:val="en-US"/>
              </w:rPr>
            </w:pPr>
            <w:r w:rsidRPr="0010784C">
              <w:rPr>
                <w:rFonts w:ascii="Times New Roman" w:hAnsi="Times New Roman" w:cs="Times New Roman"/>
                <w:sz w:val="16"/>
                <w:szCs w:val="16"/>
                <w:lang w:val="en-US"/>
              </w:rPr>
              <w:t>Before the works</w:t>
            </w:r>
          </w:p>
        </w:tc>
        <w:tc>
          <w:tcPr>
            <w:tcW w:w="112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C821BE" w:rsidRPr="0010784C" w:rsidRDefault="00C821BE" w:rsidP="00C821BE">
            <w:pPr>
              <w:spacing w:after="0" w:line="240" w:lineRule="auto"/>
              <w:jc w:val="center"/>
              <w:rPr>
                <w:rFonts w:ascii="Times New Roman" w:hAnsi="Times New Roman" w:cs="Times New Roman"/>
                <w:b/>
                <w:sz w:val="16"/>
                <w:szCs w:val="16"/>
                <w:lang w:val="en-US"/>
              </w:rPr>
            </w:pPr>
            <w:r w:rsidRPr="0010784C">
              <w:rPr>
                <w:rFonts w:ascii="Times New Roman" w:hAnsi="Times New Roman" w:cs="Times New Roman"/>
                <w:b/>
                <w:sz w:val="16"/>
                <w:szCs w:val="16"/>
                <w:lang w:val="en-US"/>
              </w:rPr>
              <w:t>Cost associated with the project</w:t>
            </w:r>
          </w:p>
        </w:tc>
      </w:tr>
      <w:tr w:rsidR="00C821BE" w:rsidRPr="0010784C" w:rsidTr="00C821BE">
        <w:trPr>
          <w:trHeight w:val="70"/>
          <w:jc w:val="center"/>
        </w:trPr>
        <w:tc>
          <w:tcPr>
            <w:tcW w:w="1212"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C821BE" w:rsidRPr="0010784C" w:rsidRDefault="00C821BE" w:rsidP="00C821BE">
            <w:pPr>
              <w:spacing w:after="0" w:line="240" w:lineRule="auto"/>
              <w:jc w:val="center"/>
              <w:rPr>
                <w:rFonts w:ascii="Times New Roman" w:hAnsi="Times New Roman" w:cs="Times New Roman"/>
                <w:b/>
                <w:bCs/>
                <w:sz w:val="16"/>
                <w:szCs w:val="16"/>
                <w:lang w:val="en-US"/>
              </w:rPr>
            </w:pPr>
            <w:r w:rsidRPr="0010784C">
              <w:rPr>
                <w:rFonts w:ascii="Times New Roman" w:hAnsi="Times New Roman" w:cs="Times New Roman"/>
                <w:b/>
                <w:bCs/>
                <w:sz w:val="16"/>
                <w:szCs w:val="16"/>
                <w:lang w:val="en-US"/>
              </w:rPr>
              <w:t>Human / economic</w:t>
            </w:r>
          </w:p>
        </w:tc>
        <w:tc>
          <w:tcPr>
            <w:tcW w:w="2079" w:type="dxa"/>
            <w:tcBorders>
              <w:top w:val="single" w:sz="4" w:space="0" w:color="auto"/>
              <w:left w:val="single" w:sz="4" w:space="0" w:color="auto"/>
              <w:bottom w:val="single" w:sz="4" w:space="0" w:color="auto"/>
              <w:right w:val="single" w:sz="4" w:space="0" w:color="auto"/>
            </w:tcBorders>
            <w:vAlign w:val="center"/>
          </w:tcPr>
          <w:p w:rsidR="00C821BE" w:rsidRPr="0010784C" w:rsidRDefault="00C821BE" w:rsidP="00C821BE">
            <w:pPr>
              <w:spacing w:after="0" w:line="240" w:lineRule="auto"/>
              <w:jc w:val="both"/>
              <w:rPr>
                <w:rFonts w:ascii="Times New Roman" w:hAnsi="Times New Roman" w:cs="Times New Roman"/>
                <w:sz w:val="16"/>
                <w:szCs w:val="16"/>
                <w:lang w:val="en-US"/>
              </w:rPr>
            </w:pPr>
            <w:r w:rsidRPr="0010784C">
              <w:rPr>
                <w:rFonts w:ascii="Times New Roman" w:hAnsi="Times New Roman" w:cs="Times New Roman"/>
                <w:sz w:val="16"/>
                <w:szCs w:val="16"/>
                <w:lang w:val="en-US"/>
              </w:rPr>
              <w:t>Risk of disruption / degradation of dealer networks</w:t>
            </w:r>
          </w:p>
        </w:tc>
        <w:tc>
          <w:tcPr>
            <w:tcW w:w="4335" w:type="dxa"/>
            <w:tcBorders>
              <w:top w:val="single" w:sz="4" w:space="0" w:color="auto"/>
              <w:left w:val="single" w:sz="4" w:space="0" w:color="auto"/>
              <w:bottom w:val="single" w:sz="4" w:space="0" w:color="auto"/>
              <w:right w:val="single" w:sz="4" w:space="0" w:color="auto"/>
            </w:tcBorders>
            <w:vAlign w:val="center"/>
          </w:tcPr>
          <w:p w:rsidR="00C821BE" w:rsidRPr="0010784C" w:rsidRDefault="00C821BE" w:rsidP="00C821BE">
            <w:pPr>
              <w:spacing w:after="0" w:line="240" w:lineRule="auto"/>
              <w:jc w:val="both"/>
              <w:rPr>
                <w:rFonts w:ascii="Times New Roman" w:hAnsi="Times New Roman" w:cs="Times New Roman"/>
                <w:sz w:val="16"/>
                <w:szCs w:val="16"/>
                <w:lang w:val="en-US"/>
              </w:rPr>
            </w:pPr>
            <w:r w:rsidRPr="0010784C">
              <w:rPr>
                <w:rFonts w:ascii="Times New Roman" w:hAnsi="Times New Roman" w:cs="Times New Roman"/>
                <w:sz w:val="16"/>
                <w:szCs w:val="16"/>
                <w:lang w:val="en-US"/>
              </w:rPr>
              <w:t>-Involve all the dealers during the work,</w:t>
            </w:r>
          </w:p>
          <w:p w:rsidR="00C821BE" w:rsidRPr="0010784C" w:rsidRDefault="00C821BE" w:rsidP="00C821BE">
            <w:pPr>
              <w:spacing w:after="0" w:line="240" w:lineRule="auto"/>
              <w:jc w:val="both"/>
              <w:rPr>
                <w:rFonts w:ascii="Times New Roman" w:hAnsi="Times New Roman" w:cs="Times New Roman"/>
                <w:sz w:val="16"/>
                <w:szCs w:val="16"/>
                <w:lang w:val="en-US"/>
              </w:rPr>
            </w:pPr>
            <w:r w:rsidRPr="0010784C">
              <w:rPr>
                <w:rFonts w:ascii="Times New Roman" w:hAnsi="Times New Roman" w:cs="Times New Roman"/>
                <w:sz w:val="16"/>
                <w:szCs w:val="16"/>
                <w:lang w:val="en-US"/>
              </w:rPr>
              <w:t>-Avoid as much as possible touching the water, electricity, sanitation, telecommunications, etc. networks.</w:t>
            </w:r>
          </w:p>
        </w:tc>
        <w:tc>
          <w:tcPr>
            <w:tcW w:w="3568" w:type="dxa"/>
            <w:tcBorders>
              <w:top w:val="single" w:sz="4" w:space="0" w:color="auto"/>
              <w:left w:val="single" w:sz="4" w:space="0" w:color="auto"/>
              <w:bottom w:val="single" w:sz="4" w:space="0" w:color="auto"/>
              <w:right w:val="single" w:sz="4" w:space="0" w:color="auto"/>
            </w:tcBorders>
            <w:vAlign w:val="center"/>
          </w:tcPr>
          <w:p w:rsidR="00C821BE" w:rsidRPr="0010784C" w:rsidRDefault="00C821BE" w:rsidP="00C821BE">
            <w:pPr>
              <w:spacing w:after="0" w:line="240" w:lineRule="auto"/>
              <w:jc w:val="both"/>
              <w:rPr>
                <w:rFonts w:ascii="Times New Roman" w:hAnsi="Times New Roman" w:cs="Times New Roman"/>
                <w:sz w:val="16"/>
                <w:szCs w:val="16"/>
                <w:lang w:val="en-US"/>
              </w:rPr>
            </w:pPr>
            <w:r w:rsidRPr="0010784C">
              <w:rPr>
                <w:rFonts w:ascii="Times New Roman" w:hAnsi="Times New Roman" w:cs="Times New Roman"/>
                <w:sz w:val="16"/>
                <w:szCs w:val="16"/>
                <w:lang w:val="en-US"/>
              </w:rPr>
              <w:t>- Agent presence for each concessionaire;</w:t>
            </w:r>
          </w:p>
          <w:p w:rsidR="00C821BE" w:rsidRPr="0010784C" w:rsidRDefault="00C821BE" w:rsidP="00C821BE">
            <w:pPr>
              <w:spacing w:after="0" w:line="240" w:lineRule="auto"/>
              <w:jc w:val="both"/>
              <w:rPr>
                <w:rFonts w:ascii="Times New Roman" w:hAnsi="Times New Roman" w:cs="Times New Roman"/>
                <w:sz w:val="16"/>
                <w:szCs w:val="16"/>
                <w:lang w:val="en-US"/>
              </w:rPr>
            </w:pPr>
            <w:r w:rsidRPr="0010784C">
              <w:rPr>
                <w:rFonts w:ascii="Times New Roman" w:hAnsi="Times New Roman" w:cs="Times New Roman"/>
                <w:sz w:val="16"/>
                <w:szCs w:val="16"/>
                <w:lang w:val="en-US"/>
              </w:rPr>
              <w:t>-Number of incidents of network cut or deterioration noted;</w:t>
            </w:r>
          </w:p>
        </w:tc>
        <w:tc>
          <w:tcPr>
            <w:tcW w:w="1134"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C821BE" w:rsidRPr="0010784C" w:rsidRDefault="00C821BE" w:rsidP="00C821BE">
            <w:pPr>
              <w:spacing w:after="0" w:line="240" w:lineRule="auto"/>
              <w:jc w:val="center"/>
              <w:rPr>
                <w:rFonts w:ascii="Times New Roman" w:hAnsi="Times New Roman" w:cs="Times New Roman"/>
                <w:b/>
                <w:sz w:val="16"/>
                <w:szCs w:val="16"/>
                <w:lang w:val="en-US"/>
              </w:rPr>
            </w:pPr>
            <w:r w:rsidRPr="0010784C">
              <w:rPr>
                <w:rFonts w:ascii="Times New Roman" w:hAnsi="Times New Roman" w:cs="Times New Roman"/>
                <w:b/>
                <w:sz w:val="16"/>
                <w:szCs w:val="16"/>
                <w:lang w:val="en-US"/>
              </w:rPr>
              <w:t>Business</w:t>
            </w:r>
          </w:p>
          <w:p w:rsidR="00C821BE" w:rsidRPr="0010784C" w:rsidRDefault="00C821BE" w:rsidP="00C821BE">
            <w:pPr>
              <w:spacing w:after="0" w:line="240" w:lineRule="auto"/>
              <w:jc w:val="center"/>
              <w:rPr>
                <w:rFonts w:ascii="Times New Roman" w:hAnsi="Times New Roman" w:cs="Times New Roman"/>
                <w:b/>
                <w:sz w:val="16"/>
                <w:szCs w:val="16"/>
                <w:lang w:val="en-US"/>
              </w:rPr>
            </w:pPr>
          </w:p>
          <w:p w:rsidR="00C821BE" w:rsidRPr="0010784C" w:rsidRDefault="00C821BE" w:rsidP="00C821BE">
            <w:pPr>
              <w:spacing w:after="0" w:line="240" w:lineRule="auto"/>
              <w:jc w:val="center"/>
              <w:rPr>
                <w:rFonts w:ascii="Times New Roman" w:hAnsi="Times New Roman" w:cs="Times New Roman"/>
                <w:b/>
                <w:sz w:val="16"/>
                <w:szCs w:val="16"/>
                <w:lang w:val="en-US"/>
              </w:rPr>
            </w:pPr>
            <w:r w:rsidRPr="0010784C">
              <w:rPr>
                <w:rFonts w:ascii="Times New Roman" w:hAnsi="Times New Roman" w:cs="Times New Roman"/>
                <w:b/>
                <w:sz w:val="16"/>
                <w:szCs w:val="16"/>
                <w:lang w:val="en-US"/>
              </w:rPr>
              <w:t>PUASEE-FA</w:t>
            </w:r>
          </w:p>
        </w:tc>
        <w:tc>
          <w:tcPr>
            <w:tcW w:w="1120"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C821BE" w:rsidRPr="0010784C" w:rsidRDefault="00C821BE" w:rsidP="00C821BE">
            <w:pPr>
              <w:spacing w:after="0" w:line="240" w:lineRule="auto"/>
              <w:jc w:val="center"/>
              <w:rPr>
                <w:rFonts w:ascii="Times New Roman" w:hAnsi="Times New Roman" w:cs="Times New Roman"/>
                <w:b/>
                <w:sz w:val="16"/>
                <w:szCs w:val="16"/>
                <w:lang w:val="en-US"/>
              </w:rPr>
            </w:pPr>
            <w:r w:rsidRPr="0010784C">
              <w:rPr>
                <w:rFonts w:ascii="Times New Roman" w:hAnsi="Times New Roman" w:cs="Times New Roman"/>
                <w:b/>
                <w:sz w:val="16"/>
                <w:szCs w:val="16"/>
                <w:lang w:val="en-US"/>
              </w:rPr>
              <w:t>Monitoring committee</w:t>
            </w:r>
          </w:p>
          <w:p w:rsidR="00C821BE" w:rsidRPr="0010784C" w:rsidRDefault="00C821BE" w:rsidP="00C821BE">
            <w:pPr>
              <w:spacing w:after="0" w:line="240" w:lineRule="auto"/>
              <w:jc w:val="center"/>
              <w:rPr>
                <w:rFonts w:ascii="Times New Roman" w:hAnsi="Times New Roman" w:cs="Times New Roman"/>
                <w:b/>
                <w:sz w:val="16"/>
                <w:szCs w:val="16"/>
                <w:lang w:val="en-US"/>
              </w:rPr>
            </w:pPr>
          </w:p>
          <w:p w:rsidR="00C821BE" w:rsidRPr="0010784C" w:rsidRDefault="00C821BE" w:rsidP="00C821BE">
            <w:pPr>
              <w:spacing w:after="0" w:line="240" w:lineRule="auto"/>
              <w:jc w:val="center"/>
              <w:rPr>
                <w:rFonts w:ascii="Times New Roman" w:hAnsi="Times New Roman" w:cs="Times New Roman"/>
                <w:b/>
                <w:sz w:val="16"/>
                <w:szCs w:val="16"/>
                <w:lang w:val="en-US"/>
              </w:rPr>
            </w:pPr>
            <w:r w:rsidRPr="0010784C">
              <w:rPr>
                <w:rFonts w:ascii="Times New Roman" w:hAnsi="Times New Roman" w:cs="Times New Roman"/>
                <w:b/>
                <w:sz w:val="16"/>
                <w:szCs w:val="16"/>
                <w:lang w:val="en-US"/>
              </w:rPr>
              <w:t>PUASEE-FA</w:t>
            </w:r>
          </w:p>
        </w:tc>
        <w:tc>
          <w:tcPr>
            <w:tcW w:w="1445" w:type="dxa"/>
            <w:tcBorders>
              <w:top w:val="single" w:sz="4" w:space="0" w:color="auto"/>
              <w:left w:val="single" w:sz="4" w:space="0" w:color="auto"/>
              <w:bottom w:val="single" w:sz="4" w:space="0" w:color="auto"/>
              <w:right w:val="single" w:sz="4" w:space="0" w:color="auto"/>
            </w:tcBorders>
            <w:vAlign w:val="center"/>
          </w:tcPr>
          <w:p w:rsidR="00C821BE" w:rsidRPr="0010784C" w:rsidRDefault="00C821BE" w:rsidP="00C821BE">
            <w:pPr>
              <w:spacing w:after="0" w:line="240" w:lineRule="auto"/>
              <w:jc w:val="center"/>
              <w:rPr>
                <w:rFonts w:ascii="Times New Roman" w:hAnsi="Times New Roman" w:cs="Times New Roman"/>
                <w:sz w:val="16"/>
                <w:szCs w:val="16"/>
                <w:lang w:val="en-US"/>
              </w:rPr>
            </w:pPr>
            <w:r w:rsidRPr="0010784C">
              <w:rPr>
                <w:rFonts w:ascii="Times New Roman" w:hAnsi="Times New Roman" w:cs="Times New Roman"/>
                <w:sz w:val="16"/>
                <w:szCs w:val="16"/>
                <w:lang w:val="en-US"/>
              </w:rPr>
              <w:t>At the start and continuously</w:t>
            </w:r>
          </w:p>
        </w:tc>
        <w:tc>
          <w:tcPr>
            <w:tcW w:w="112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C821BE" w:rsidRPr="0010784C" w:rsidRDefault="00C821BE" w:rsidP="00C821BE">
            <w:pPr>
              <w:spacing w:after="0" w:line="240" w:lineRule="auto"/>
              <w:jc w:val="center"/>
              <w:rPr>
                <w:rFonts w:ascii="Times New Roman" w:hAnsi="Times New Roman" w:cs="Times New Roman"/>
                <w:b/>
                <w:sz w:val="16"/>
                <w:szCs w:val="16"/>
                <w:lang w:val="en-US"/>
              </w:rPr>
            </w:pPr>
            <w:r w:rsidRPr="0010784C">
              <w:rPr>
                <w:rFonts w:ascii="Times New Roman" w:hAnsi="Times New Roman" w:cs="Times New Roman"/>
                <w:b/>
                <w:sz w:val="16"/>
                <w:szCs w:val="16"/>
                <w:lang w:val="en-US"/>
              </w:rPr>
              <w:t>2,000,000</w:t>
            </w:r>
          </w:p>
        </w:tc>
      </w:tr>
      <w:tr w:rsidR="00C821BE" w:rsidRPr="0010784C" w:rsidTr="00C821BE">
        <w:trPr>
          <w:trHeight w:val="70"/>
          <w:jc w:val="center"/>
        </w:trPr>
        <w:tc>
          <w:tcPr>
            <w:tcW w:w="1212"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C821BE" w:rsidRPr="0010784C" w:rsidRDefault="00C821BE" w:rsidP="00C821BE">
            <w:pPr>
              <w:spacing w:after="0" w:line="240" w:lineRule="auto"/>
              <w:jc w:val="center"/>
              <w:rPr>
                <w:rFonts w:ascii="Times New Roman" w:hAnsi="Times New Roman" w:cs="Times New Roman"/>
                <w:b/>
                <w:bCs/>
                <w:sz w:val="16"/>
                <w:szCs w:val="16"/>
                <w:lang w:val="en-US"/>
              </w:rPr>
            </w:pPr>
            <w:r w:rsidRPr="0010784C">
              <w:rPr>
                <w:rFonts w:ascii="Times New Roman" w:hAnsi="Times New Roman" w:cs="Times New Roman"/>
                <w:b/>
                <w:bCs/>
                <w:sz w:val="16"/>
                <w:szCs w:val="16"/>
                <w:lang w:val="en-US"/>
              </w:rPr>
              <w:t>Human</w:t>
            </w:r>
          </w:p>
        </w:tc>
        <w:tc>
          <w:tcPr>
            <w:tcW w:w="2079" w:type="dxa"/>
            <w:tcBorders>
              <w:top w:val="single" w:sz="4" w:space="0" w:color="auto"/>
              <w:left w:val="single" w:sz="4" w:space="0" w:color="auto"/>
              <w:bottom w:val="single" w:sz="4" w:space="0" w:color="auto"/>
              <w:right w:val="single" w:sz="4" w:space="0" w:color="auto"/>
            </w:tcBorders>
            <w:vAlign w:val="center"/>
          </w:tcPr>
          <w:p w:rsidR="00C821BE" w:rsidRPr="0010784C" w:rsidRDefault="00C821BE" w:rsidP="00C821BE">
            <w:pPr>
              <w:spacing w:after="0" w:line="240" w:lineRule="auto"/>
              <w:jc w:val="both"/>
              <w:rPr>
                <w:rFonts w:ascii="Times New Roman" w:hAnsi="Times New Roman" w:cs="Times New Roman"/>
                <w:sz w:val="16"/>
                <w:szCs w:val="16"/>
                <w:lang w:val="en-US"/>
              </w:rPr>
            </w:pPr>
            <w:r w:rsidRPr="0010784C">
              <w:rPr>
                <w:rFonts w:ascii="Times New Roman" w:hAnsi="Times New Roman" w:cs="Times New Roman"/>
                <w:sz w:val="16"/>
                <w:szCs w:val="16"/>
                <w:lang w:val="en-US"/>
              </w:rPr>
              <w:t>Risk of social conflicts</w:t>
            </w:r>
          </w:p>
        </w:tc>
        <w:tc>
          <w:tcPr>
            <w:tcW w:w="4335" w:type="dxa"/>
            <w:tcBorders>
              <w:top w:val="single" w:sz="4" w:space="0" w:color="auto"/>
              <w:left w:val="single" w:sz="4" w:space="0" w:color="auto"/>
              <w:bottom w:val="single" w:sz="4" w:space="0" w:color="auto"/>
              <w:right w:val="single" w:sz="4" w:space="0" w:color="auto"/>
            </w:tcBorders>
            <w:vAlign w:val="center"/>
          </w:tcPr>
          <w:p w:rsidR="00C821BE" w:rsidRPr="0010784C" w:rsidRDefault="00C821BE" w:rsidP="00C821BE">
            <w:pPr>
              <w:spacing w:after="0" w:line="240" w:lineRule="auto"/>
              <w:jc w:val="both"/>
              <w:rPr>
                <w:rFonts w:ascii="Times New Roman" w:hAnsi="Times New Roman" w:cs="Times New Roman"/>
                <w:sz w:val="16"/>
                <w:szCs w:val="16"/>
                <w:lang w:val="en-US"/>
              </w:rPr>
            </w:pPr>
            <w:r w:rsidRPr="0010784C">
              <w:rPr>
                <w:rFonts w:ascii="Times New Roman" w:hAnsi="Times New Roman" w:cs="Times New Roman"/>
                <w:sz w:val="16"/>
                <w:szCs w:val="16"/>
                <w:lang w:val="en-US"/>
              </w:rPr>
              <w:t>-Involve and sensitize local authorities, village chiefs and the population throughout the activities of sub-project n ° 1;</w:t>
            </w:r>
          </w:p>
          <w:p w:rsidR="00C821BE" w:rsidRPr="0010784C" w:rsidRDefault="00C821BE" w:rsidP="00C821BE">
            <w:pPr>
              <w:spacing w:after="0" w:line="240" w:lineRule="auto"/>
              <w:jc w:val="both"/>
              <w:rPr>
                <w:rFonts w:ascii="Times New Roman" w:hAnsi="Times New Roman" w:cs="Times New Roman"/>
                <w:sz w:val="16"/>
                <w:szCs w:val="16"/>
                <w:lang w:val="en-US"/>
              </w:rPr>
            </w:pPr>
            <w:r w:rsidRPr="0010784C">
              <w:rPr>
                <w:rFonts w:ascii="Times New Roman" w:hAnsi="Times New Roman" w:cs="Times New Roman"/>
                <w:sz w:val="16"/>
                <w:szCs w:val="16"/>
                <w:lang w:val="en-US"/>
              </w:rPr>
              <w:t>-Respect the opinions and recommendations of local authorities and populations.</w:t>
            </w:r>
          </w:p>
          <w:p w:rsidR="00C821BE" w:rsidRPr="0010784C" w:rsidRDefault="00C821BE" w:rsidP="00C821BE">
            <w:pPr>
              <w:spacing w:after="0" w:line="240" w:lineRule="auto"/>
              <w:jc w:val="both"/>
              <w:rPr>
                <w:rFonts w:ascii="Times New Roman" w:hAnsi="Times New Roman" w:cs="Times New Roman"/>
                <w:sz w:val="16"/>
                <w:szCs w:val="16"/>
                <w:lang w:val="en-US"/>
              </w:rPr>
            </w:pPr>
            <w:r w:rsidRPr="0010784C">
              <w:rPr>
                <w:rFonts w:ascii="Times New Roman" w:hAnsi="Times New Roman" w:cs="Times New Roman"/>
                <w:sz w:val="16"/>
                <w:szCs w:val="16"/>
                <w:lang w:val="en-US"/>
              </w:rPr>
              <w:t xml:space="preserve">-Respect the commitments made by PUASEE-FA and the companies during the meetings; </w:t>
            </w:r>
          </w:p>
          <w:p w:rsidR="00C821BE" w:rsidRPr="0010784C" w:rsidRDefault="00C821BE" w:rsidP="00C821BE">
            <w:pPr>
              <w:spacing w:after="0" w:line="240" w:lineRule="auto"/>
              <w:jc w:val="both"/>
              <w:rPr>
                <w:rFonts w:ascii="Times New Roman" w:hAnsi="Times New Roman" w:cs="Times New Roman"/>
                <w:sz w:val="16"/>
                <w:szCs w:val="16"/>
                <w:lang w:val="en-US"/>
              </w:rPr>
            </w:pPr>
            <w:r w:rsidRPr="0010784C">
              <w:rPr>
                <w:rFonts w:ascii="Times New Roman" w:hAnsi="Times New Roman" w:cs="Times New Roman"/>
                <w:sz w:val="16"/>
                <w:szCs w:val="16"/>
                <w:lang w:val="en-US"/>
              </w:rPr>
              <w:t>-Support programs integrating community mobilization on GBV;</w:t>
            </w:r>
          </w:p>
          <w:p w:rsidR="00C821BE" w:rsidRPr="0010784C" w:rsidRDefault="00C821BE" w:rsidP="00C821BE">
            <w:pPr>
              <w:spacing w:after="0" w:line="240" w:lineRule="auto"/>
              <w:jc w:val="both"/>
              <w:rPr>
                <w:rFonts w:ascii="Times New Roman" w:hAnsi="Times New Roman" w:cs="Times New Roman"/>
                <w:sz w:val="16"/>
                <w:szCs w:val="16"/>
                <w:lang w:val="en-US"/>
              </w:rPr>
            </w:pPr>
            <w:r w:rsidRPr="0010784C">
              <w:rPr>
                <w:rFonts w:ascii="Times New Roman" w:hAnsi="Times New Roman" w:cs="Times New Roman"/>
                <w:sz w:val="16"/>
                <w:szCs w:val="16"/>
                <w:lang w:val="en-US"/>
              </w:rPr>
              <w:t>-Support activities to reduce tolerance of violence involving all males;</w:t>
            </w:r>
          </w:p>
          <w:p w:rsidR="00C821BE" w:rsidRPr="0010784C" w:rsidRDefault="00C821BE" w:rsidP="00C821BE">
            <w:pPr>
              <w:spacing w:after="0" w:line="240" w:lineRule="auto"/>
              <w:jc w:val="both"/>
              <w:rPr>
                <w:rFonts w:ascii="Times New Roman" w:hAnsi="Times New Roman" w:cs="Times New Roman"/>
                <w:sz w:val="16"/>
                <w:szCs w:val="16"/>
                <w:lang w:val="en-US"/>
              </w:rPr>
            </w:pPr>
            <w:r w:rsidRPr="0010784C">
              <w:rPr>
                <w:rFonts w:ascii="Times New Roman" w:hAnsi="Times New Roman" w:cs="Times New Roman"/>
                <w:sz w:val="16"/>
                <w:szCs w:val="16"/>
                <w:lang w:val="en-US"/>
              </w:rPr>
              <w:t>-Support activities with a broad representation of the grassroots community;</w:t>
            </w:r>
          </w:p>
          <w:p w:rsidR="00C821BE" w:rsidRPr="0010784C" w:rsidRDefault="00C821BE" w:rsidP="00C821BE">
            <w:pPr>
              <w:spacing w:after="0" w:line="240" w:lineRule="auto"/>
              <w:jc w:val="both"/>
              <w:rPr>
                <w:rFonts w:ascii="Times New Roman" w:hAnsi="Times New Roman" w:cs="Times New Roman"/>
                <w:sz w:val="16"/>
                <w:szCs w:val="16"/>
                <w:lang w:val="en-US"/>
              </w:rPr>
            </w:pPr>
            <w:r w:rsidRPr="0010784C">
              <w:rPr>
                <w:rFonts w:ascii="Times New Roman" w:hAnsi="Times New Roman" w:cs="Times New Roman"/>
                <w:sz w:val="16"/>
                <w:szCs w:val="16"/>
                <w:lang w:val="en-US"/>
              </w:rPr>
              <w:t>-Fight against all types of gender discrimination;</w:t>
            </w:r>
          </w:p>
        </w:tc>
        <w:tc>
          <w:tcPr>
            <w:tcW w:w="3568" w:type="dxa"/>
            <w:tcBorders>
              <w:top w:val="single" w:sz="4" w:space="0" w:color="auto"/>
              <w:left w:val="single" w:sz="4" w:space="0" w:color="auto"/>
              <w:bottom w:val="single" w:sz="4" w:space="0" w:color="auto"/>
              <w:right w:val="single" w:sz="4" w:space="0" w:color="auto"/>
            </w:tcBorders>
            <w:vAlign w:val="center"/>
          </w:tcPr>
          <w:p w:rsidR="00C821BE" w:rsidRPr="0010784C" w:rsidRDefault="00C821BE" w:rsidP="00C821BE">
            <w:pPr>
              <w:spacing w:after="0" w:line="240" w:lineRule="auto"/>
              <w:jc w:val="both"/>
              <w:rPr>
                <w:rFonts w:ascii="Times New Roman" w:hAnsi="Times New Roman" w:cs="Times New Roman"/>
                <w:sz w:val="16"/>
                <w:szCs w:val="16"/>
                <w:lang w:val="en-US"/>
              </w:rPr>
            </w:pPr>
            <w:r w:rsidRPr="0010784C">
              <w:rPr>
                <w:rFonts w:ascii="Times New Roman" w:hAnsi="Times New Roman" w:cs="Times New Roman"/>
                <w:sz w:val="16"/>
                <w:szCs w:val="16"/>
                <w:lang w:val="en-US"/>
              </w:rPr>
              <w:t>- Involvement of all the actors concerned by the project;</w:t>
            </w:r>
          </w:p>
          <w:p w:rsidR="00C821BE" w:rsidRPr="0010784C" w:rsidRDefault="00C821BE" w:rsidP="00C821BE">
            <w:pPr>
              <w:spacing w:after="0" w:line="240" w:lineRule="auto"/>
              <w:jc w:val="both"/>
              <w:rPr>
                <w:rFonts w:ascii="Times New Roman" w:hAnsi="Times New Roman" w:cs="Times New Roman"/>
                <w:sz w:val="16"/>
                <w:szCs w:val="16"/>
                <w:lang w:val="en-US"/>
              </w:rPr>
            </w:pPr>
            <w:r w:rsidRPr="0010784C">
              <w:rPr>
                <w:rFonts w:ascii="Times New Roman" w:hAnsi="Times New Roman" w:cs="Times New Roman"/>
                <w:sz w:val="16"/>
                <w:szCs w:val="16"/>
                <w:lang w:val="en-US"/>
              </w:rPr>
              <w:t>-Realization of commitments made;</w:t>
            </w:r>
          </w:p>
          <w:p w:rsidR="00C821BE" w:rsidRPr="0010784C" w:rsidRDefault="00C821BE" w:rsidP="00C821BE">
            <w:pPr>
              <w:spacing w:after="0" w:line="240" w:lineRule="auto"/>
              <w:jc w:val="both"/>
              <w:rPr>
                <w:rFonts w:ascii="Times New Roman" w:hAnsi="Times New Roman" w:cs="Times New Roman"/>
                <w:sz w:val="16"/>
                <w:szCs w:val="16"/>
                <w:lang w:val="en-US"/>
              </w:rPr>
            </w:pPr>
            <w:r w:rsidRPr="0010784C">
              <w:rPr>
                <w:rFonts w:ascii="Times New Roman" w:hAnsi="Times New Roman" w:cs="Times New Roman"/>
                <w:sz w:val="16"/>
                <w:szCs w:val="16"/>
                <w:lang w:val="en-US"/>
              </w:rPr>
              <w:t>-Number of people sensitized and involved;</w:t>
            </w:r>
          </w:p>
          <w:p w:rsidR="00C821BE" w:rsidRPr="0010784C" w:rsidRDefault="00C821BE" w:rsidP="00C821BE">
            <w:pPr>
              <w:spacing w:after="0" w:line="240" w:lineRule="auto"/>
              <w:jc w:val="both"/>
              <w:rPr>
                <w:rFonts w:ascii="Times New Roman" w:hAnsi="Times New Roman" w:cs="Times New Roman"/>
                <w:sz w:val="16"/>
                <w:szCs w:val="16"/>
                <w:lang w:val="en-US"/>
              </w:rPr>
            </w:pPr>
            <w:r w:rsidRPr="0010784C">
              <w:rPr>
                <w:rFonts w:ascii="Times New Roman" w:hAnsi="Times New Roman" w:cs="Times New Roman"/>
                <w:sz w:val="16"/>
                <w:szCs w:val="16"/>
                <w:lang w:val="en-US"/>
              </w:rPr>
              <w:t>-Number of activities supported;</w:t>
            </w:r>
          </w:p>
          <w:p w:rsidR="00C821BE" w:rsidRPr="0010784C" w:rsidRDefault="00C821BE" w:rsidP="00C821BE">
            <w:pPr>
              <w:spacing w:after="0" w:line="240" w:lineRule="auto"/>
              <w:jc w:val="both"/>
              <w:rPr>
                <w:rFonts w:ascii="Times New Roman" w:hAnsi="Times New Roman" w:cs="Times New Roman"/>
                <w:sz w:val="16"/>
                <w:szCs w:val="16"/>
                <w:lang w:val="en-US"/>
              </w:rPr>
            </w:pPr>
            <w:r w:rsidRPr="0010784C">
              <w:rPr>
                <w:rFonts w:ascii="Times New Roman" w:hAnsi="Times New Roman" w:cs="Times New Roman"/>
                <w:sz w:val="16"/>
                <w:szCs w:val="16"/>
                <w:lang w:val="en-US"/>
              </w:rPr>
              <w:t>-Number of programs supported;</w:t>
            </w:r>
          </w:p>
          <w:p w:rsidR="00C821BE" w:rsidRPr="0010784C" w:rsidRDefault="00C821BE" w:rsidP="00C821BE">
            <w:pPr>
              <w:spacing w:after="0" w:line="240" w:lineRule="auto"/>
              <w:jc w:val="both"/>
              <w:rPr>
                <w:rFonts w:ascii="Times New Roman" w:hAnsi="Times New Roman" w:cs="Times New Roman"/>
                <w:sz w:val="16"/>
                <w:szCs w:val="16"/>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C821BE" w:rsidRPr="0010784C" w:rsidRDefault="00C821BE" w:rsidP="00C821BE">
            <w:pPr>
              <w:spacing w:after="0" w:line="240" w:lineRule="auto"/>
              <w:jc w:val="center"/>
              <w:rPr>
                <w:rFonts w:ascii="Times New Roman" w:hAnsi="Times New Roman" w:cs="Times New Roman"/>
                <w:b/>
                <w:sz w:val="16"/>
                <w:szCs w:val="16"/>
                <w:lang w:val="en-US"/>
              </w:rPr>
            </w:pPr>
            <w:r w:rsidRPr="0010784C">
              <w:rPr>
                <w:rFonts w:ascii="Times New Roman" w:hAnsi="Times New Roman" w:cs="Times New Roman"/>
                <w:b/>
                <w:sz w:val="16"/>
                <w:szCs w:val="16"/>
                <w:lang w:val="en-US"/>
              </w:rPr>
              <w:t>Business</w:t>
            </w:r>
          </w:p>
          <w:p w:rsidR="00C821BE" w:rsidRPr="0010784C" w:rsidRDefault="00C821BE" w:rsidP="00C821BE">
            <w:pPr>
              <w:spacing w:after="0" w:line="240" w:lineRule="auto"/>
              <w:jc w:val="center"/>
              <w:rPr>
                <w:rFonts w:ascii="Times New Roman" w:hAnsi="Times New Roman" w:cs="Times New Roman"/>
                <w:b/>
                <w:sz w:val="16"/>
                <w:szCs w:val="16"/>
                <w:lang w:val="en-US"/>
              </w:rPr>
            </w:pPr>
          </w:p>
          <w:p w:rsidR="00C821BE" w:rsidRPr="0010784C" w:rsidRDefault="00C821BE" w:rsidP="00C821BE">
            <w:pPr>
              <w:spacing w:after="0" w:line="240" w:lineRule="auto"/>
              <w:jc w:val="center"/>
              <w:rPr>
                <w:rFonts w:ascii="Times New Roman" w:hAnsi="Times New Roman" w:cs="Times New Roman"/>
                <w:b/>
                <w:sz w:val="16"/>
                <w:szCs w:val="16"/>
                <w:lang w:val="en-US"/>
              </w:rPr>
            </w:pPr>
            <w:r w:rsidRPr="0010784C">
              <w:rPr>
                <w:rFonts w:ascii="Times New Roman" w:hAnsi="Times New Roman" w:cs="Times New Roman"/>
                <w:b/>
                <w:sz w:val="16"/>
                <w:szCs w:val="16"/>
                <w:lang w:val="en-US"/>
              </w:rPr>
              <w:t>PUASEE-FA</w:t>
            </w:r>
          </w:p>
        </w:tc>
        <w:tc>
          <w:tcPr>
            <w:tcW w:w="1120"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C821BE" w:rsidRPr="0010784C" w:rsidRDefault="00C821BE" w:rsidP="00C821BE">
            <w:pPr>
              <w:spacing w:after="0" w:line="240" w:lineRule="auto"/>
              <w:jc w:val="center"/>
              <w:rPr>
                <w:rFonts w:ascii="Times New Roman" w:hAnsi="Times New Roman" w:cs="Times New Roman"/>
                <w:b/>
                <w:sz w:val="16"/>
                <w:szCs w:val="16"/>
                <w:lang w:val="en-US"/>
              </w:rPr>
            </w:pPr>
            <w:r w:rsidRPr="0010784C">
              <w:rPr>
                <w:rFonts w:ascii="Times New Roman" w:hAnsi="Times New Roman" w:cs="Times New Roman"/>
                <w:b/>
                <w:sz w:val="16"/>
                <w:szCs w:val="16"/>
                <w:lang w:val="en-US"/>
              </w:rPr>
              <w:t>Monitoring committee</w:t>
            </w:r>
          </w:p>
          <w:p w:rsidR="00C821BE" w:rsidRPr="0010784C" w:rsidRDefault="00C821BE" w:rsidP="00C821BE">
            <w:pPr>
              <w:spacing w:after="0" w:line="240" w:lineRule="auto"/>
              <w:jc w:val="center"/>
              <w:rPr>
                <w:rFonts w:ascii="Times New Roman" w:hAnsi="Times New Roman" w:cs="Times New Roman"/>
                <w:b/>
                <w:sz w:val="16"/>
                <w:szCs w:val="16"/>
                <w:lang w:val="en-US"/>
              </w:rPr>
            </w:pPr>
          </w:p>
          <w:p w:rsidR="00C821BE" w:rsidRPr="0010784C" w:rsidRDefault="00C821BE" w:rsidP="00C821BE">
            <w:pPr>
              <w:spacing w:after="0" w:line="240" w:lineRule="auto"/>
              <w:jc w:val="center"/>
              <w:rPr>
                <w:rFonts w:ascii="Times New Roman" w:hAnsi="Times New Roman" w:cs="Times New Roman"/>
                <w:b/>
                <w:sz w:val="16"/>
                <w:szCs w:val="16"/>
                <w:lang w:val="en-US"/>
              </w:rPr>
            </w:pPr>
            <w:r w:rsidRPr="0010784C">
              <w:rPr>
                <w:rFonts w:ascii="Times New Roman" w:hAnsi="Times New Roman" w:cs="Times New Roman"/>
                <w:b/>
                <w:sz w:val="16"/>
                <w:szCs w:val="16"/>
                <w:lang w:val="en-US"/>
              </w:rPr>
              <w:t>PUASEE-FA</w:t>
            </w:r>
          </w:p>
        </w:tc>
        <w:tc>
          <w:tcPr>
            <w:tcW w:w="1445" w:type="dxa"/>
            <w:tcBorders>
              <w:top w:val="single" w:sz="4" w:space="0" w:color="auto"/>
              <w:left w:val="single" w:sz="4" w:space="0" w:color="auto"/>
              <w:bottom w:val="single" w:sz="4" w:space="0" w:color="auto"/>
              <w:right w:val="single" w:sz="4" w:space="0" w:color="auto"/>
            </w:tcBorders>
            <w:vAlign w:val="center"/>
          </w:tcPr>
          <w:p w:rsidR="00C821BE" w:rsidRPr="0010784C" w:rsidRDefault="00C821BE" w:rsidP="00C821BE">
            <w:pPr>
              <w:spacing w:after="0" w:line="240" w:lineRule="auto"/>
              <w:jc w:val="center"/>
              <w:rPr>
                <w:rFonts w:ascii="Times New Roman" w:hAnsi="Times New Roman" w:cs="Times New Roman"/>
                <w:sz w:val="16"/>
                <w:szCs w:val="16"/>
                <w:lang w:val="en-US"/>
              </w:rPr>
            </w:pPr>
            <w:r w:rsidRPr="0010784C">
              <w:rPr>
                <w:rFonts w:ascii="Times New Roman" w:hAnsi="Times New Roman" w:cs="Times New Roman"/>
                <w:sz w:val="16"/>
                <w:szCs w:val="16"/>
                <w:lang w:val="en-US"/>
              </w:rPr>
              <w:t>At the start and continuously</w:t>
            </w:r>
          </w:p>
        </w:tc>
        <w:tc>
          <w:tcPr>
            <w:tcW w:w="112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C821BE" w:rsidRPr="0010784C" w:rsidRDefault="00C821BE" w:rsidP="00C821BE">
            <w:pPr>
              <w:spacing w:after="0" w:line="240" w:lineRule="auto"/>
              <w:jc w:val="center"/>
              <w:rPr>
                <w:rFonts w:ascii="Times New Roman" w:hAnsi="Times New Roman" w:cs="Times New Roman"/>
                <w:b/>
                <w:sz w:val="16"/>
                <w:szCs w:val="16"/>
                <w:lang w:val="en-US"/>
              </w:rPr>
            </w:pPr>
            <w:r w:rsidRPr="0010784C">
              <w:rPr>
                <w:rFonts w:ascii="Times New Roman" w:hAnsi="Times New Roman" w:cs="Times New Roman"/>
                <w:b/>
                <w:sz w:val="16"/>
                <w:szCs w:val="16"/>
                <w:lang w:val="en-US"/>
              </w:rPr>
              <w:t>2,000,000</w:t>
            </w:r>
          </w:p>
        </w:tc>
      </w:tr>
      <w:tr w:rsidR="00C821BE" w:rsidRPr="003C548E" w:rsidTr="00C821BE">
        <w:trPr>
          <w:trHeight w:val="70"/>
          <w:jc w:val="center"/>
        </w:trPr>
        <w:tc>
          <w:tcPr>
            <w:tcW w:w="1212"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C821BE" w:rsidRPr="0010784C" w:rsidRDefault="00C821BE" w:rsidP="00C821BE">
            <w:pPr>
              <w:spacing w:after="0" w:line="240" w:lineRule="auto"/>
              <w:jc w:val="center"/>
              <w:rPr>
                <w:rFonts w:ascii="Times New Roman" w:hAnsi="Times New Roman" w:cs="Times New Roman"/>
                <w:b/>
                <w:bCs/>
                <w:sz w:val="16"/>
                <w:szCs w:val="16"/>
                <w:lang w:val="en-US"/>
              </w:rPr>
            </w:pPr>
            <w:r w:rsidRPr="0010784C">
              <w:rPr>
                <w:rFonts w:ascii="Times New Roman" w:hAnsi="Times New Roman" w:cs="Times New Roman"/>
                <w:b/>
                <w:bCs/>
                <w:sz w:val="16"/>
                <w:szCs w:val="16"/>
                <w:lang w:val="en-US"/>
              </w:rPr>
              <w:t>Human</w:t>
            </w:r>
          </w:p>
        </w:tc>
        <w:tc>
          <w:tcPr>
            <w:tcW w:w="2079" w:type="dxa"/>
            <w:tcBorders>
              <w:top w:val="single" w:sz="4" w:space="0" w:color="auto"/>
              <w:left w:val="single" w:sz="4" w:space="0" w:color="auto"/>
              <w:bottom w:val="single" w:sz="4" w:space="0" w:color="auto"/>
              <w:right w:val="single" w:sz="4" w:space="0" w:color="auto"/>
            </w:tcBorders>
            <w:vAlign w:val="center"/>
          </w:tcPr>
          <w:p w:rsidR="00C821BE" w:rsidRPr="0010784C" w:rsidRDefault="00C821BE" w:rsidP="00C821BE">
            <w:pPr>
              <w:spacing w:after="0" w:line="240" w:lineRule="auto"/>
              <w:rPr>
                <w:rFonts w:ascii="Times New Roman" w:hAnsi="Times New Roman" w:cs="Times New Roman"/>
                <w:sz w:val="16"/>
                <w:szCs w:val="16"/>
                <w:lang w:val="en-US"/>
              </w:rPr>
            </w:pPr>
            <w:r w:rsidRPr="0010784C">
              <w:rPr>
                <w:rFonts w:ascii="Times New Roman" w:hAnsi="Times New Roman" w:cs="Times New Roman"/>
                <w:sz w:val="16"/>
                <w:szCs w:val="16"/>
                <w:lang w:val="en-US"/>
              </w:rPr>
              <w:t>Risk of theft, break-in and sabotage of construction sites</w:t>
            </w:r>
          </w:p>
        </w:tc>
        <w:tc>
          <w:tcPr>
            <w:tcW w:w="4335" w:type="dxa"/>
            <w:tcBorders>
              <w:top w:val="single" w:sz="4" w:space="0" w:color="auto"/>
              <w:left w:val="single" w:sz="4" w:space="0" w:color="auto"/>
              <w:bottom w:val="single" w:sz="4" w:space="0" w:color="auto"/>
              <w:right w:val="single" w:sz="4" w:space="0" w:color="auto"/>
            </w:tcBorders>
            <w:vAlign w:val="center"/>
          </w:tcPr>
          <w:p w:rsidR="00C821BE" w:rsidRPr="0010784C" w:rsidRDefault="00C821BE" w:rsidP="00C821BE">
            <w:pPr>
              <w:spacing w:after="0" w:line="240" w:lineRule="auto"/>
              <w:jc w:val="both"/>
              <w:rPr>
                <w:rFonts w:ascii="Times New Roman" w:hAnsi="Times New Roman" w:cs="Times New Roman"/>
                <w:sz w:val="16"/>
                <w:szCs w:val="16"/>
                <w:lang w:val="en-US"/>
              </w:rPr>
            </w:pPr>
            <w:r w:rsidRPr="0010784C">
              <w:rPr>
                <w:rFonts w:ascii="Times New Roman" w:hAnsi="Times New Roman" w:cs="Times New Roman"/>
                <w:sz w:val="16"/>
                <w:szCs w:val="16"/>
                <w:lang w:val="en-US"/>
              </w:rPr>
              <w:t>- Recruit an experienced security service;</w:t>
            </w:r>
          </w:p>
          <w:p w:rsidR="00C821BE" w:rsidRPr="0010784C" w:rsidRDefault="00C821BE" w:rsidP="00C821BE">
            <w:pPr>
              <w:spacing w:after="0" w:line="240" w:lineRule="auto"/>
              <w:jc w:val="both"/>
              <w:rPr>
                <w:rFonts w:ascii="Times New Roman" w:hAnsi="Times New Roman" w:cs="Times New Roman"/>
                <w:sz w:val="16"/>
                <w:szCs w:val="16"/>
                <w:lang w:val="en-US"/>
              </w:rPr>
            </w:pPr>
            <w:r w:rsidRPr="0010784C">
              <w:rPr>
                <w:rFonts w:ascii="Times New Roman" w:hAnsi="Times New Roman" w:cs="Times New Roman"/>
                <w:sz w:val="16"/>
                <w:szCs w:val="16"/>
                <w:lang w:val="en-US"/>
              </w:rPr>
              <w:t>-Secure the surroundings of the sites;</w:t>
            </w:r>
          </w:p>
          <w:p w:rsidR="00C821BE" w:rsidRPr="0010784C" w:rsidRDefault="00C821BE" w:rsidP="00C821BE">
            <w:pPr>
              <w:spacing w:after="0" w:line="240" w:lineRule="auto"/>
              <w:jc w:val="both"/>
              <w:rPr>
                <w:rFonts w:ascii="Times New Roman" w:hAnsi="Times New Roman" w:cs="Times New Roman"/>
                <w:sz w:val="16"/>
                <w:szCs w:val="16"/>
                <w:lang w:val="en-US"/>
              </w:rPr>
            </w:pPr>
            <w:r w:rsidRPr="0010784C">
              <w:rPr>
                <w:rFonts w:ascii="Times New Roman" w:hAnsi="Times New Roman" w:cs="Times New Roman"/>
                <w:sz w:val="16"/>
                <w:szCs w:val="16"/>
                <w:lang w:val="en-US"/>
              </w:rPr>
              <w:t>-Good lighting of construction sites;</w:t>
            </w:r>
          </w:p>
        </w:tc>
        <w:tc>
          <w:tcPr>
            <w:tcW w:w="3568" w:type="dxa"/>
            <w:tcBorders>
              <w:top w:val="single" w:sz="4" w:space="0" w:color="auto"/>
              <w:left w:val="single" w:sz="4" w:space="0" w:color="auto"/>
              <w:bottom w:val="single" w:sz="4" w:space="0" w:color="auto"/>
              <w:right w:val="single" w:sz="4" w:space="0" w:color="auto"/>
            </w:tcBorders>
            <w:vAlign w:val="center"/>
          </w:tcPr>
          <w:p w:rsidR="00C821BE" w:rsidRPr="0010784C" w:rsidRDefault="00C821BE" w:rsidP="00C821BE">
            <w:pPr>
              <w:spacing w:after="0" w:line="240" w:lineRule="auto"/>
              <w:jc w:val="both"/>
              <w:rPr>
                <w:rFonts w:ascii="Times New Roman" w:hAnsi="Times New Roman" w:cs="Times New Roman"/>
                <w:sz w:val="16"/>
                <w:szCs w:val="16"/>
                <w:lang w:val="en-US"/>
              </w:rPr>
            </w:pPr>
            <w:r w:rsidRPr="0010784C">
              <w:rPr>
                <w:rFonts w:ascii="Times New Roman" w:hAnsi="Times New Roman" w:cs="Times New Roman"/>
                <w:sz w:val="16"/>
                <w:szCs w:val="16"/>
                <w:lang w:val="en-US"/>
              </w:rPr>
              <w:t>-Presence of security posts;</w:t>
            </w:r>
          </w:p>
          <w:p w:rsidR="00C821BE" w:rsidRPr="0010784C" w:rsidRDefault="00C821BE" w:rsidP="00C821BE">
            <w:pPr>
              <w:spacing w:after="0" w:line="240" w:lineRule="auto"/>
              <w:rPr>
                <w:rFonts w:ascii="Times New Roman" w:hAnsi="Times New Roman" w:cs="Times New Roman"/>
                <w:sz w:val="16"/>
                <w:szCs w:val="16"/>
                <w:lang w:val="en-US"/>
              </w:rPr>
            </w:pPr>
            <w:r w:rsidRPr="0010784C">
              <w:rPr>
                <w:rFonts w:ascii="Times New Roman" w:hAnsi="Times New Roman" w:cs="Times New Roman"/>
                <w:sz w:val="16"/>
                <w:szCs w:val="16"/>
                <w:lang w:val="en-US"/>
              </w:rPr>
              <w:t>- Well-lit site enclosure;</w:t>
            </w:r>
          </w:p>
          <w:p w:rsidR="00C821BE" w:rsidRPr="0010784C" w:rsidRDefault="00C821BE" w:rsidP="00C821BE">
            <w:pPr>
              <w:spacing w:after="0" w:line="240" w:lineRule="auto"/>
              <w:jc w:val="both"/>
              <w:rPr>
                <w:rFonts w:ascii="Times New Roman" w:hAnsi="Times New Roman" w:cs="Times New Roman"/>
                <w:sz w:val="16"/>
                <w:szCs w:val="16"/>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C821BE" w:rsidRPr="0010784C" w:rsidRDefault="00C821BE" w:rsidP="00C821BE">
            <w:pPr>
              <w:spacing w:after="0" w:line="240" w:lineRule="auto"/>
              <w:jc w:val="center"/>
              <w:rPr>
                <w:rFonts w:ascii="Times New Roman" w:hAnsi="Times New Roman" w:cs="Times New Roman"/>
                <w:b/>
                <w:sz w:val="16"/>
                <w:szCs w:val="16"/>
                <w:lang w:val="en-US"/>
              </w:rPr>
            </w:pPr>
            <w:r w:rsidRPr="0010784C">
              <w:rPr>
                <w:rFonts w:ascii="Times New Roman" w:hAnsi="Times New Roman" w:cs="Times New Roman"/>
                <w:b/>
                <w:sz w:val="16"/>
                <w:szCs w:val="16"/>
                <w:lang w:val="en-US"/>
              </w:rPr>
              <w:t>Business</w:t>
            </w:r>
          </w:p>
          <w:p w:rsidR="00C821BE" w:rsidRPr="0010784C" w:rsidRDefault="00C821BE" w:rsidP="00C821BE">
            <w:pPr>
              <w:spacing w:after="0" w:line="240" w:lineRule="auto"/>
              <w:jc w:val="center"/>
              <w:rPr>
                <w:rFonts w:ascii="Times New Roman" w:hAnsi="Times New Roman" w:cs="Times New Roman"/>
                <w:b/>
                <w:sz w:val="16"/>
                <w:szCs w:val="16"/>
                <w:lang w:val="en-US"/>
              </w:rPr>
            </w:pPr>
          </w:p>
          <w:p w:rsidR="00C821BE" w:rsidRPr="0010784C" w:rsidRDefault="00C821BE" w:rsidP="00C821BE">
            <w:pPr>
              <w:spacing w:after="0" w:line="240" w:lineRule="auto"/>
              <w:jc w:val="center"/>
              <w:rPr>
                <w:rFonts w:ascii="Times New Roman" w:hAnsi="Times New Roman" w:cs="Times New Roman"/>
                <w:b/>
                <w:sz w:val="16"/>
                <w:szCs w:val="16"/>
                <w:lang w:val="en-US"/>
              </w:rPr>
            </w:pPr>
            <w:r w:rsidRPr="0010784C">
              <w:rPr>
                <w:rFonts w:ascii="Times New Roman" w:hAnsi="Times New Roman" w:cs="Times New Roman"/>
                <w:b/>
                <w:sz w:val="16"/>
                <w:szCs w:val="16"/>
                <w:lang w:val="en-US"/>
              </w:rPr>
              <w:t>PUASEE-FA</w:t>
            </w:r>
          </w:p>
        </w:tc>
        <w:tc>
          <w:tcPr>
            <w:tcW w:w="1120"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C821BE" w:rsidRPr="0010784C" w:rsidRDefault="00C821BE" w:rsidP="00C821BE">
            <w:pPr>
              <w:spacing w:after="0" w:line="240" w:lineRule="auto"/>
              <w:jc w:val="center"/>
              <w:rPr>
                <w:rFonts w:ascii="Times New Roman" w:hAnsi="Times New Roman" w:cs="Times New Roman"/>
                <w:b/>
                <w:sz w:val="16"/>
                <w:szCs w:val="16"/>
                <w:lang w:val="en-US"/>
              </w:rPr>
            </w:pPr>
            <w:r w:rsidRPr="0010784C">
              <w:rPr>
                <w:rFonts w:ascii="Times New Roman" w:hAnsi="Times New Roman" w:cs="Times New Roman"/>
                <w:b/>
                <w:sz w:val="16"/>
                <w:szCs w:val="16"/>
                <w:lang w:val="en-US"/>
              </w:rPr>
              <w:t>Monitoring committee</w:t>
            </w:r>
          </w:p>
          <w:p w:rsidR="00C821BE" w:rsidRPr="0010784C" w:rsidRDefault="00C821BE" w:rsidP="00C821BE">
            <w:pPr>
              <w:spacing w:after="0" w:line="240" w:lineRule="auto"/>
              <w:jc w:val="center"/>
              <w:rPr>
                <w:rFonts w:ascii="Times New Roman" w:hAnsi="Times New Roman" w:cs="Times New Roman"/>
                <w:b/>
                <w:sz w:val="16"/>
                <w:szCs w:val="16"/>
                <w:lang w:val="en-US"/>
              </w:rPr>
            </w:pPr>
          </w:p>
          <w:p w:rsidR="00C821BE" w:rsidRPr="0010784C" w:rsidRDefault="00C821BE" w:rsidP="00C821BE">
            <w:pPr>
              <w:spacing w:after="0" w:line="240" w:lineRule="auto"/>
              <w:jc w:val="center"/>
              <w:rPr>
                <w:rFonts w:ascii="Times New Roman" w:hAnsi="Times New Roman" w:cs="Times New Roman"/>
                <w:b/>
                <w:sz w:val="16"/>
                <w:szCs w:val="16"/>
                <w:lang w:val="en-US"/>
              </w:rPr>
            </w:pPr>
            <w:r w:rsidRPr="0010784C">
              <w:rPr>
                <w:rFonts w:ascii="Times New Roman" w:hAnsi="Times New Roman" w:cs="Times New Roman"/>
                <w:b/>
                <w:sz w:val="16"/>
                <w:szCs w:val="16"/>
                <w:lang w:val="en-US"/>
              </w:rPr>
              <w:t>PUASEE-FA</w:t>
            </w:r>
          </w:p>
        </w:tc>
        <w:tc>
          <w:tcPr>
            <w:tcW w:w="1445" w:type="dxa"/>
            <w:tcBorders>
              <w:top w:val="single" w:sz="4" w:space="0" w:color="auto"/>
              <w:left w:val="single" w:sz="4" w:space="0" w:color="auto"/>
              <w:bottom w:val="single" w:sz="4" w:space="0" w:color="auto"/>
              <w:right w:val="single" w:sz="4" w:space="0" w:color="auto"/>
            </w:tcBorders>
            <w:vAlign w:val="center"/>
          </w:tcPr>
          <w:p w:rsidR="00C821BE" w:rsidRPr="0010784C" w:rsidRDefault="00C821BE" w:rsidP="00C821BE">
            <w:pPr>
              <w:spacing w:after="0" w:line="240" w:lineRule="auto"/>
              <w:jc w:val="center"/>
              <w:rPr>
                <w:rFonts w:ascii="Times New Roman" w:hAnsi="Times New Roman" w:cs="Times New Roman"/>
                <w:sz w:val="16"/>
                <w:szCs w:val="16"/>
                <w:lang w:val="en-US"/>
              </w:rPr>
            </w:pPr>
            <w:r w:rsidRPr="0010784C">
              <w:rPr>
                <w:rFonts w:ascii="Times New Roman" w:hAnsi="Times New Roman" w:cs="Times New Roman"/>
                <w:sz w:val="16"/>
                <w:szCs w:val="16"/>
                <w:lang w:val="en-US"/>
              </w:rPr>
              <w:t>At the start and continuously</w:t>
            </w:r>
          </w:p>
        </w:tc>
        <w:tc>
          <w:tcPr>
            <w:tcW w:w="112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C821BE" w:rsidRPr="0010784C" w:rsidRDefault="00C821BE" w:rsidP="00C821BE">
            <w:pPr>
              <w:spacing w:after="0" w:line="240" w:lineRule="auto"/>
              <w:jc w:val="center"/>
              <w:rPr>
                <w:rFonts w:ascii="Times New Roman" w:hAnsi="Times New Roman" w:cs="Times New Roman"/>
                <w:b/>
                <w:sz w:val="16"/>
                <w:szCs w:val="16"/>
                <w:lang w:val="en-US"/>
              </w:rPr>
            </w:pPr>
            <w:r w:rsidRPr="0010784C">
              <w:rPr>
                <w:rFonts w:ascii="Times New Roman" w:hAnsi="Times New Roman" w:cs="Times New Roman"/>
                <w:b/>
                <w:sz w:val="16"/>
                <w:szCs w:val="16"/>
                <w:lang w:val="en-US"/>
              </w:rPr>
              <w:t>Cost associated with the project</w:t>
            </w:r>
          </w:p>
        </w:tc>
      </w:tr>
      <w:tr w:rsidR="00C821BE" w:rsidRPr="003C548E" w:rsidTr="00C821BE">
        <w:trPr>
          <w:trHeight w:val="70"/>
          <w:jc w:val="center"/>
        </w:trPr>
        <w:tc>
          <w:tcPr>
            <w:tcW w:w="1212"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C821BE" w:rsidRPr="0010784C" w:rsidRDefault="00C821BE" w:rsidP="00C821BE">
            <w:pPr>
              <w:spacing w:after="0" w:line="240" w:lineRule="auto"/>
              <w:jc w:val="center"/>
              <w:rPr>
                <w:rFonts w:ascii="Times New Roman" w:eastAsia="Times New Roman" w:hAnsi="Times New Roman" w:cs="Times New Roman"/>
                <w:b/>
                <w:bCs/>
                <w:sz w:val="16"/>
                <w:szCs w:val="16"/>
                <w:lang w:val="en-US"/>
              </w:rPr>
            </w:pPr>
            <w:r w:rsidRPr="0010784C">
              <w:rPr>
                <w:rFonts w:ascii="Times New Roman" w:eastAsia="Times New Roman" w:hAnsi="Times New Roman" w:cs="Times New Roman"/>
                <w:b/>
                <w:sz w:val="16"/>
                <w:szCs w:val="16"/>
                <w:lang w:val="en-US"/>
              </w:rPr>
              <w:lastRenderedPageBreak/>
              <w:t>Job creation</w:t>
            </w:r>
          </w:p>
          <w:p w:rsidR="00C821BE" w:rsidRPr="0010784C" w:rsidRDefault="00C821BE" w:rsidP="00C821BE">
            <w:pPr>
              <w:spacing w:after="0" w:line="240" w:lineRule="auto"/>
              <w:jc w:val="center"/>
              <w:rPr>
                <w:rFonts w:ascii="Times New Roman" w:eastAsia="Times New Roman" w:hAnsi="Times New Roman" w:cs="Times New Roman"/>
                <w:b/>
                <w:bCs/>
                <w:sz w:val="16"/>
                <w:szCs w:val="16"/>
                <w:lang w:val="en-US"/>
              </w:rPr>
            </w:pPr>
          </w:p>
        </w:tc>
        <w:tc>
          <w:tcPr>
            <w:tcW w:w="2079" w:type="dxa"/>
            <w:tcBorders>
              <w:top w:val="single" w:sz="4" w:space="0" w:color="auto"/>
              <w:left w:val="single" w:sz="4" w:space="0" w:color="auto"/>
              <w:bottom w:val="single" w:sz="4" w:space="0" w:color="auto"/>
              <w:right w:val="single" w:sz="4" w:space="0" w:color="auto"/>
            </w:tcBorders>
            <w:vAlign w:val="center"/>
          </w:tcPr>
          <w:p w:rsidR="00C821BE" w:rsidRPr="0010784C" w:rsidRDefault="00C821BE" w:rsidP="00C821BE">
            <w:pPr>
              <w:spacing w:after="0" w:line="240" w:lineRule="auto"/>
              <w:jc w:val="both"/>
              <w:rPr>
                <w:rFonts w:ascii="Times New Roman" w:hAnsi="Times New Roman" w:cs="Times New Roman"/>
                <w:sz w:val="16"/>
                <w:szCs w:val="16"/>
                <w:lang w:val="en-US"/>
              </w:rPr>
            </w:pPr>
            <w:r w:rsidRPr="0010784C">
              <w:rPr>
                <w:rFonts w:ascii="Times New Roman" w:hAnsi="Times New Roman" w:cs="Times New Roman"/>
                <w:sz w:val="16"/>
                <w:szCs w:val="16"/>
                <w:lang w:val="en-US"/>
              </w:rPr>
              <w:t>Youth recruitment (male / female)</w:t>
            </w:r>
          </w:p>
        </w:tc>
        <w:tc>
          <w:tcPr>
            <w:tcW w:w="4335" w:type="dxa"/>
            <w:tcBorders>
              <w:top w:val="single" w:sz="4" w:space="0" w:color="auto"/>
              <w:left w:val="single" w:sz="4" w:space="0" w:color="auto"/>
              <w:bottom w:val="single" w:sz="4" w:space="0" w:color="auto"/>
              <w:right w:val="single" w:sz="4" w:space="0" w:color="auto"/>
            </w:tcBorders>
            <w:vAlign w:val="center"/>
          </w:tcPr>
          <w:p w:rsidR="00C821BE" w:rsidRPr="0010784C" w:rsidRDefault="00C821BE" w:rsidP="00C821BE">
            <w:pPr>
              <w:spacing w:after="0" w:line="240" w:lineRule="auto"/>
              <w:jc w:val="both"/>
              <w:rPr>
                <w:rFonts w:ascii="Times New Roman" w:hAnsi="Times New Roman" w:cs="Times New Roman"/>
                <w:sz w:val="16"/>
                <w:szCs w:val="16"/>
                <w:lang w:val="en-US"/>
              </w:rPr>
            </w:pPr>
            <w:r w:rsidRPr="0010784C">
              <w:rPr>
                <w:rFonts w:ascii="Times New Roman" w:hAnsi="Times New Roman" w:cs="Times New Roman"/>
                <w:sz w:val="16"/>
                <w:szCs w:val="16"/>
                <w:lang w:val="en-US"/>
              </w:rPr>
              <w:t>As a priority, recruit local populations for temporary positions.</w:t>
            </w:r>
          </w:p>
        </w:tc>
        <w:tc>
          <w:tcPr>
            <w:tcW w:w="3568" w:type="dxa"/>
            <w:tcBorders>
              <w:top w:val="single" w:sz="4" w:space="0" w:color="auto"/>
              <w:left w:val="single" w:sz="4" w:space="0" w:color="auto"/>
              <w:bottom w:val="single" w:sz="4" w:space="0" w:color="auto"/>
              <w:right w:val="single" w:sz="4" w:space="0" w:color="auto"/>
            </w:tcBorders>
            <w:vAlign w:val="center"/>
          </w:tcPr>
          <w:p w:rsidR="00C821BE" w:rsidRPr="0010784C" w:rsidRDefault="00C821BE" w:rsidP="00C821BE">
            <w:pPr>
              <w:spacing w:after="0" w:line="240" w:lineRule="auto"/>
              <w:jc w:val="both"/>
              <w:rPr>
                <w:rFonts w:ascii="Times New Roman" w:hAnsi="Times New Roman" w:cs="Times New Roman"/>
                <w:sz w:val="16"/>
                <w:szCs w:val="16"/>
                <w:lang w:val="en-US"/>
              </w:rPr>
            </w:pPr>
            <w:r w:rsidRPr="0010784C">
              <w:rPr>
                <w:rFonts w:ascii="Times New Roman" w:hAnsi="Times New Roman" w:cs="Times New Roman"/>
                <w:sz w:val="16"/>
                <w:szCs w:val="16"/>
                <w:lang w:val="en-US"/>
              </w:rPr>
              <w:t>-How many young people are recruited in total;</w:t>
            </w:r>
          </w:p>
          <w:p w:rsidR="00C821BE" w:rsidRPr="0010784C" w:rsidRDefault="00C821BE" w:rsidP="00C821BE">
            <w:pPr>
              <w:spacing w:after="0" w:line="240" w:lineRule="auto"/>
              <w:jc w:val="both"/>
              <w:rPr>
                <w:rFonts w:ascii="Times New Roman" w:hAnsi="Times New Roman" w:cs="Times New Roman"/>
                <w:sz w:val="16"/>
                <w:szCs w:val="16"/>
                <w:lang w:val="en-US"/>
              </w:rPr>
            </w:pPr>
            <w:r w:rsidRPr="0010784C">
              <w:rPr>
                <w:rFonts w:ascii="Times New Roman" w:hAnsi="Times New Roman" w:cs="Times New Roman"/>
                <w:sz w:val="16"/>
                <w:szCs w:val="16"/>
                <w:lang w:val="en-US"/>
              </w:rPr>
              <w:t>-How many young people are recruited in each sector concerned;</w:t>
            </w:r>
          </w:p>
        </w:tc>
        <w:tc>
          <w:tcPr>
            <w:tcW w:w="1134"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C821BE" w:rsidRPr="0010784C" w:rsidRDefault="00C821BE" w:rsidP="00C821BE">
            <w:pPr>
              <w:spacing w:after="0" w:line="240" w:lineRule="auto"/>
              <w:jc w:val="center"/>
              <w:rPr>
                <w:rFonts w:ascii="Times New Roman" w:hAnsi="Times New Roman" w:cs="Times New Roman"/>
                <w:b/>
                <w:sz w:val="16"/>
                <w:szCs w:val="16"/>
                <w:lang w:val="en-US"/>
              </w:rPr>
            </w:pPr>
            <w:r w:rsidRPr="0010784C">
              <w:rPr>
                <w:rFonts w:ascii="Times New Roman" w:hAnsi="Times New Roman" w:cs="Times New Roman"/>
                <w:b/>
                <w:sz w:val="16"/>
                <w:szCs w:val="16"/>
                <w:lang w:val="en-US"/>
              </w:rPr>
              <w:t>Business</w:t>
            </w:r>
          </w:p>
          <w:p w:rsidR="00C821BE" w:rsidRPr="0010784C" w:rsidRDefault="00C821BE" w:rsidP="00C821BE">
            <w:pPr>
              <w:spacing w:after="0" w:line="240" w:lineRule="auto"/>
              <w:jc w:val="center"/>
              <w:rPr>
                <w:rFonts w:ascii="Times New Roman" w:hAnsi="Times New Roman" w:cs="Times New Roman"/>
                <w:b/>
                <w:sz w:val="16"/>
                <w:szCs w:val="16"/>
                <w:lang w:val="en-US"/>
              </w:rPr>
            </w:pPr>
          </w:p>
          <w:p w:rsidR="00C821BE" w:rsidRPr="0010784C" w:rsidRDefault="00C821BE" w:rsidP="00C821BE">
            <w:pPr>
              <w:spacing w:after="0" w:line="240" w:lineRule="auto"/>
              <w:jc w:val="center"/>
              <w:rPr>
                <w:rFonts w:ascii="Times New Roman" w:hAnsi="Times New Roman" w:cs="Times New Roman"/>
                <w:b/>
                <w:sz w:val="16"/>
                <w:szCs w:val="16"/>
                <w:lang w:val="en-US"/>
              </w:rPr>
            </w:pPr>
            <w:r w:rsidRPr="0010784C">
              <w:rPr>
                <w:rFonts w:ascii="Times New Roman" w:hAnsi="Times New Roman" w:cs="Times New Roman"/>
                <w:b/>
                <w:sz w:val="16"/>
                <w:szCs w:val="16"/>
                <w:lang w:val="en-US"/>
              </w:rPr>
              <w:t>PUASEE-FA</w:t>
            </w:r>
          </w:p>
          <w:p w:rsidR="00C821BE" w:rsidRPr="0010784C" w:rsidRDefault="00C821BE" w:rsidP="00C821BE">
            <w:pPr>
              <w:spacing w:after="0" w:line="240" w:lineRule="auto"/>
              <w:jc w:val="center"/>
              <w:rPr>
                <w:rFonts w:ascii="Times New Roman" w:hAnsi="Times New Roman" w:cs="Times New Roman"/>
                <w:b/>
                <w:sz w:val="16"/>
                <w:szCs w:val="16"/>
                <w:lang w:val="en-US"/>
              </w:rPr>
            </w:pPr>
          </w:p>
          <w:p w:rsidR="00C821BE" w:rsidRPr="0010784C" w:rsidRDefault="00C821BE" w:rsidP="00C821BE">
            <w:pPr>
              <w:spacing w:after="0" w:line="240" w:lineRule="auto"/>
              <w:jc w:val="center"/>
              <w:rPr>
                <w:rFonts w:ascii="Times New Roman" w:hAnsi="Times New Roman" w:cs="Times New Roman"/>
                <w:b/>
                <w:sz w:val="16"/>
                <w:szCs w:val="16"/>
                <w:lang w:val="en-US"/>
              </w:rPr>
            </w:pPr>
            <w:r w:rsidRPr="0010784C">
              <w:rPr>
                <w:rFonts w:ascii="Times New Roman" w:hAnsi="Times New Roman" w:cs="Times New Roman"/>
                <w:b/>
                <w:sz w:val="16"/>
                <w:szCs w:val="16"/>
                <w:lang w:val="en-US"/>
              </w:rPr>
              <w:t>Town hall</w:t>
            </w:r>
          </w:p>
        </w:tc>
        <w:tc>
          <w:tcPr>
            <w:tcW w:w="1120"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C821BE" w:rsidRPr="0010784C" w:rsidRDefault="00C821BE" w:rsidP="00C821BE">
            <w:pPr>
              <w:spacing w:after="0" w:line="240" w:lineRule="auto"/>
              <w:jc w:val="center"/>
              <w:rPr>
                <w:rFonts w:ascii="Times New Roman" w:hAnsi="Times New Roman" w:cs="Times New Roman"/>
                <w:b/>
                <w:sz w:val="16"/>
                <w:szCs w:val="16"/>
                <w:lang w:val="en-US"/>
              </w:rPr>
            </w:pPr>
            <w:r w:rsidRPr="0010784C">
              <w:rPr>
                <w:rFonts w:ascii="Times New Roman" w:hAnsi="Times New Roman" w:cs="Times New Roman"/>
                <w:b/>
                <w:sz w:val="16"/>
                <w:szCs w:val="16"/>
                <w:lang w:val="en-US"/>
              </w:rPr>
              <w:t>Monitoring committee</w:t>
            </w:r>
          </w:p>
          <w:p w:rsidR="00C821BE" w:rsidRPr="0010784C" w:rsidRDefault="00C821BE" w:rsidP="00C821BE">
            <w:pPr>
              <w:spacing w:after="0" w:line="240" w:lineRule="auto"/>
              <w:jc w:val="center"/>
              <w:rPr>
                <w:rFonts w:ascii="Times New Roman" w:hAnsi="Times New Roman" w:cs="Times New Roman"/>
                <w:b/>
                <w:sz w:val="16"/>
                <w:szCs w:val="16"/>
                <w:lang w:val="en-US"/>
              </w:rPr>
            </w:pPr>
          </w:p>
          <w:p w:rsidR="00C821BE" w:rsidRPr="0010784C" w:rsidRDefault="00C821BE" w:rsidP="00C821BE">
            <w:pPr>
              <w:pStyle w:val="Listecouleur-Accent11"/>
              <w:ind w:left="0"/>
              <w:jc w:val="center"/>
              <w:rPr>
                <w:rFonts w:ascii="Times New Roman" w:hAnsi="Times New Roman"/>
                <w:b/>
                <w:sz w:val="16"/>
                <w:szCs w:val="16"/>
                <w:lang w:val="en-US"/>
              </w:rPr>
            </w:pPr>
            <w:r w:rsidRPr="0010784C">
              <w:rPr>
                <w:rFonts w:ascii="Times New Roman" w:hAnsi="Times New Roman"/>
                <w:b/>
                <w:sz w:val="16"/>
                <w:szCs w:val="16"/>
                <w:lang w:val="en-US"/>
              </w:rPr>
              <w:t>PUASEE-FA</w:t>
            </w:r>
          </w:p>
        </w:tc>
        <w:tc>
          <w:tcPr>
            <w:tcW w:w="1445" w:type="dxa"/>
            <w:tcBorders>
              <w:top w:val="single" w:sz="4" w:space="0" w:color="auto"/>
              <w:left w:val="single" w:sz="4" w:space="0" w:color="auto"/>
              <w:bottom w:val="single" w:sz="4" w:space="0" w:color="auto"/>
              <w:right w:val="single" w:sz="4" w:space="0" w:color="auto"/>
            </w:tcBorders>
            <w:vAlign w:val="center"/>
          </w:tcPr>
          <w:p w:rsidR="00C821BE" w:rsidRPr="0010784C" w:rsidRDefault="00C821BE" w:rsidP="00C821BE">
            <w:pPr>
              <w:spacing w:after="0" w:line="240" w:lineRule="auto"/>
              <w:jc w:val="center"/>
              <w:rPr>
                <w:rFonts w:ascii="Times New Roman" w:hAnsi="Times New Roman" w:cs="Times New Roman"/>
                <w:sz w:val="16"/>
                <w:szCs w:val="16"/>
                <w:lang w:val="en-US"/>
              </w:rPr>
            </w:pPr>
            <w:r w:rsidRPr="0010784C">
              <w:rPr>
                <w:rFonts w:ascii="Times New Roman" w:hAnsi="Times New Roman" w:cs="Times New Roman"/>
                <w:sz w:val="16"/>
                <w:szCs w:val="16"/>
                <w:lang w:val="en-US"/>
              </w:rPr>
              <w:t>During construction / quarterly</w:t>
            </w:r>
          </w:p>
        </w:tc>
        <w:tc>
          <w:tcPr>
            <w:tcW w:w="112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C821BE" w:rsidRPr="0010784C" w:rsidRDefault="00C821BE" w:rsidP="00C821BE">
            <w:pPr>
              <w:spacing w:after="0" w:line="240" w:lineRule="auto"/>
              <w:jc w:val="center"/>
              <w:rPr>
                <w:rFonts w:ascii="Times New Roman" w:hAnsi="Times New Roman" w:cs="Times New Roman"/>
                <w:b/>
                <w:sz w:val="16"/>
                <w:szCs w:val="16"/>
                <w:lang w:val="en-US"/>
              </w:rPr>
            </w:pPr>
            <w:r w:rsidRPr="0010784C">
              <w:rPr>
                <w:rFonts w:ascii="Times New Roman" w:hAnsi="Times New Roman" w:cs="Times New Roman"/>
                <w:b/>
                <w:sz w:val="16"/>
                <w:szCs w:val="16"/>
                <w:lang w:val="en-US"/>
              </w:rPr>
              <w:t>Cost associated with the project</w:t>
            </w:r>
          </w:p>
        </w:tc>
      </w:tr>
      <w:tr w:rsidR="00C821BE" w:rsidRPr="0010784C" w:rsidTr="00C821BE">
        <w:trPr>
          <w:trHeight w:val="596"/>
          <w:jc w:val="center"/>
        </w:trPr>
        <w:tc>
          <w:tcPr>
            <w:tcW w:w="1212"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C821BE" w:rsidRPr="0010784C" w:rsidRDefault="00C821BE" w:rsidP="00C821BE">
            <w:pPr>
              <w:autoSpaceDE w:val="0"/>
              <w:autoSpaceDN w:val="0"/>
              <w:adjustRightInd w:val="0"/>
              <w:spacing w:after="0" w:line="240" w:lineRule="auto"/>
              <w:jc w:val="center"/>
              <w:rPr>
                <w:rFonts w:ascii="Times New Roman" w:hAnsi="Times New Roman" w:cs="Times New Roman"/>
                <w:b/>
                <w:bCs/>
                <w:sz w:val="16"/>
                <w:szCs w:val="16"/>
                <w:lang w:val="en-US"/>
              </w:rPr>
            </w:pPr>
            <w:r w:rsidRPr="0010784C">
              <w:rPr>
                <w:rFonts w:ascii="Times New Roman" w:hAnsi="Times New Roman" w:cs="Times New Roman"/>
                <w:b/>
                <w:bCs/>
                <w:sz w:val="16"/>
                <w:szCs w:val="16"/>
                <w:lang w:val="en-US"/>
              </w:rPr>
              <w:t>Social responsibility</w:t>
            </w:r>
          </w:p>
        </w:tc>
        <w:tc>
          <w:tcPr>
            <w:tcW w:w="2079" w:type="dxa"/>
            <w:tcBorders>
              <w:top w:val="single" w:sz="4" w:space="0" w:color="auto"/>
              <w:left w:val="single" w:sz="4" w:space="0" w:color="auto"/>
              <w:bottom w:val="single" w:sz="4" w:space="0" w:color="auto"/>
              <w:right w:val="single" w:sz="4" w:space="0" w:color="auto"/>
            </w:tcBorders>
            <w:vAlign w:val="center"/>
          </w:tcPr>
          <w:p w:rsidR="00C821BE" w:rsidRPr="0010784C" w:rsidRDefault="00C821BE" w:rsidP="00C821BE">
            <w:pPr>
              <w:autoSpaceDE w:val="0"/>
              <w:autoSpaceDN w:val="0"/>
              <w:adjustRightInd w:val="0"/>
              <w:spacing w:after="0" w:line="240" w:lineRule="auto"/>
              <w:jc w:val="both"/>
              <w:rPr>
                <w:rFonts w:ascii="Times New Roman" w:hAnsi="Times New Roman" w:cs="Times New Roman"/>
                <w:sz w:val="16"/>
                <w:szCs w:val="16"/>
                <w:lang w:val="en-US"/>
              </w:rPr>
            </w:pPr>
            <w:r w:rsidRPr="0010784C">
              <w:rPr>
                <w:rFonts w:ascii="Times New Roman" w:hAnsi="Times New Roman" w:cs="Times New Roman"/>
                <w:sz w:val="16"/>
                <w:szCs w:val="16"/>
                <w:lang w:val="en-US"/>
              </w:rPr>
              <w:t>Support</w:t>
            </w:r>
          </w:p>
        </w:tc>
        <w:tc>
          <w:tcPr>
            <w:tcW w:w="4335" w:type="dxa"/>
            <w:tcBorders>
              <w:top w:val="single" w:sz="4" w:space="0" w:color="auto"/>
              <w:left w:val="single" w:sz="4" w:space="0" w:color="auto"/>
              <w:bottom w:val="single" w:sz="4" w:space="0" w:color="auto"/>
              <w:right w:val="single" w:sz="4" w:space="0" w:color="auto"/>
            </w:tcBorders>
            <w:vAlign w:val="center"/>
          </w:tcPr>
          <w:p w:rsidR="00C821BE" w:rsidRPr="0010784C" w:rsidRDefault="00C821BE" w:rsidP="00C821BE">
            <w:pPr>
              <w:autoSpaceDE w:val="0"/>
              <w:autoSpaceDN w:val="0"/>
              <w:adjustRightInd w:val="0"/>
              <w:spacing w:after="0" w:line="240" w:lineRule="auto"/>
              <w:jc w:val="both"/>
              <w:rPr>
                <w:rFonts w:ascii="Times New Roman" w:hAnsi="Times New Roman" w:cs="Times New Roman"/>
                <w:sz w:val="16"/>
                <w:szCs w:val="16"/>
                <w:lang w:val="en-US"/>
              </w:rPr>
            </w:pPr>
            <w:r w:rsidRPr="0010784C">
              <w:rPr>
                <w:rFonts w:ascii="Times New Roman" w:hAnsi="Times New Roman" w:cs="Times New Roman"/>
                <w:sz w:val="16"/>
                <w:szCs w:val="16"/>
                <w:lang w:val="en-US"/>
              </w:rPr>
              <w:t>- Participate in the activities and projects of the sectors of Bissau, Prabis and Safim;</w:t>
            </w:r>
          </w:p>
        </w:tc>
        <w:tc>
          <w:tcPr>
            <w:tcW w:w="3568" w:type="dxa"/>
            <w:tcBorders>
              <w:top w:val="single" w:sz="4" w:space="0" w:color="auto"/>
              <w:left w:val="single" w:sz="4" w:space="0" w:color="auto"/>
              <w:bottom w:val="single" w:sz="4" w:space="0" w:color="auto"/>
              <w:right w:val="single" w:sz="4" w:space="0" w:color="auto"/>
            </w:tcBorders>
            <w:vAlign w:val="center"/>
          </w:tcPr>
          <w:p w:rsidR="00C821BE" w:rsidRPr="0010784C" w:rsidRDefault="00C821BE" w:rsidP="00C821BE">
            <w:pPr>
              <w:autoSpaceDE w:val="0"/>
              <w:autoSpaceDN w:val="0"/>
              <w:adjustRightInd w:val="0"/>
              <w:spacing w:after="0" w:line="240" w:lineRule="auto"/>
              <w:jc w:val="both"/>
              <w:rPr>
                <w:rFonts w:ascii="Times New Roman" w:hAnsi="Times New Roman" w:cs="Times New Roman"/>
                <w:sz w:val="16"/>
                <w:szCs w:val="16"/>
                <w:lang w:val="en-US"/>
              </w:rPr>
            </w:pPr>
            <w:r w:rsidRPr="0010784C">
              <w:rPr>
                <w:rFonts w:ascii="Times New Roman" w:hAnsi="Times New Roman" w:cs="Times New Roman"/>
                <w:sz w:val="16"/>
                <w:szCs w:val="16"/>
                <w:lang w:val="en-US"/>
              </w:rPr>
              <w:t>- Effectiveness of accompanying measures;</w:t>
            </w:r>
          </w:p>
          <w:p w:rsidR="00C821BE" w:rsidRPr="0010784C" w:rsidRDefault="00C821BE" w:rsidP="00C821BE">
            <w:pPr>
              <w:autoSpaceDE w:val="0"/>
              <w:autoSpaceDN w:val="0"/>
              <w:adjustRightInd w:val="0"/>
              <w:spacing w:after="0" w:line="240" w:lineRule="auto"/>
              <w:jc w:val="both"/>
              <w:rPr>
                <w:rFonts w:ascii="Times New Roman" w:hAnsi="Times New Roman" w:cs="Times New Roman"/>
                <w:sz w:val="16"/>
                <w:szCs w:val="16"/>
                <w:lang w:val="en-US"/>
              </w:rPr>
            </w:pPr>
            <w:r w:rsidRPr="0010784C">
              <w:rPr>
                <w:rFonts w:ascii="Times New Roman" w:hAnsi="Times New Roman" w:cs="Times New Roman"/>
                <w:sz w:val="16"/>
                <w:szCs w:val="16"/>
                <w:lang w:val="en-US"/>
              </w:rPr>
              <w:t>-Participation in the activities of the municipalities;</w:t>
            </w:r>
          </w:p>
          <w:p w:rsidR="00C821BE" w:rsidRPr="0010784C" w:rsidRDefault="00C821BE" w:rsidP="00C821BE">
            <w:pPr>
              <w:autoSpaceDE w:val="0"/>
              <w:autoSpaceDN w:val="0"/>
              <w:adjustRightInd w:val="0"/>
              <w:spacing w:after="0" w:line="240" w:lineRule="auto"/>
              <w:jc w:val="both"/>
              <w:rPr>
                <w:rFonts w:ascii="Times New Roman" w:hAnsi="Times New Roman" w:cs="Times New Roman"/>
                <w:sz w:val="16"/>
                <w:szCs w:val="16"/>
                <w:lang w:val="en-US"/>
              </w:rPr>
            </w:pPr>
            <w:r w:rsidRPr="0010784C">
              <w:rPr>
                <w:rFonts w:ascii="Times New Roman" w:hAnsi="Times New Roman" w:cs="Times New Roman"/>
                <w:sz w:val="16"/>
                <w:szCs w:val="16"/>
                <w:lang w:val="en-US"/>
              </w:rPr>
              <w:t>- Number of projects supported;</w:t>
            </w:r>
          </w:p>
        </w:tc>
        <w:tc>
          <w:tcPr>
            <w:tcW w:w="1134"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C821BE" w:rsidRPr="0010784C" w:rsidRDefault="00C821BE" w:rsidP="00C821BE">
            <w:pPr>
              <w:spacing w:after="0" w:line="240" w:lineRule="auto"/>
              <w:jc w:val="center"/>
              <w:rPr>
                <w:rFonts w:ascii="Times New Roman" w:hAnsi="Times New Roman" w:cs="Times New Roman"/>
                <w:b/>
                <w:sz w:val="16"/>
                <w:szCs w:val="16"/>
                <w:lang w:val="en-US"/>
              </w:rPr>
            </w:pPr>
            <w:r w:rsidRPr="0010784C">
              <w:rPr>
                <w:rFonts w:ascii="Times New Roman" w:hAnsi="Times New Roman" w:cs="Times New Roman"/>
                <w:b/>
                <w:sz w:val="16"/>
                <w:szCs w:val="16"/>
                <w:lang w:val="en-US"/>
              </w:rPr>
              <w:t>Business</w:t>
            </w:r>
          </w:p>
          <w:p w:rsidR="00C821BE" w:rsidRPr="0010784C" w:rsidRDefault="00C821BE" w:rsidP="00C821BE">
            <w:pPr>
              <w:autoSpaceDE w:val="0"/>
              <w:autoSpaceDN w:val="0"/>
              <w:adjustRightInd w:val="0"/>
              <w:spacing w:after="0" w:line="240" w:lineRule="auto"/>
              <w:jc w:val="center"/>
              <w:rPr>
                <w:rFonts w:ascii="Times New Roman" w:hAnsi="Times New Roman" w:cs="Times New Roman"/>
                <w:b/>
                <w:sz w:val="16"/>
                <w:szCs w:val="16"/>
                <w:lang w:val="en-US"/>
              </w:rPr>
            </w:pPr>
          </w:p>
        </w:tc>
        <w:tc>
          <w:tcPr>
            <w:tcW w:w="1120"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C821BE" w:rsidRPr="0010784C" w:rsidRDefault="00C821BE" w:rsidP="00C821BE">
            <w:pPr>
              <w:spacing w:after="0" w:line="240" w:lineRule="auto"/>
              <w:jc w:val="center"/>
              <w:rPr>
                <w:rFonts w:ascii="Times New Roman" w:hAnsi="Times New Roman" w:cs="Times New Roman"/>
                <w:b/>
                <w:sz w:val="16"/>
                <w:szCs w:val="16"/>
                <w:lang w:val="en-US"/>
              </w:rPr>
            </w:pPr>
            <w:r w:rsidRPr="0010784C">
              <w:rPr>
                <w:rFonts w:ascii="Times New Roman" w:hAnsi="Times New Roman" w:cs="Times New Roman"/>
                <w:b/>
                <w:sz w:val="16"/>
                <w:szCs w:val="16"/>
                <w:lang w:val="en-US"/>
              </w:rPr>
              <w:t>Monitoring committee</w:t>
            </w:r>
          </w:p>
          <w:p w:rsidR="00C821BE" w:rsidRPr="0010784C" w:rsidRDefault="00C821BE" w:rsidP="00C821BE">
            <w:pPr>
              <w:spacing w:after="0" w:line="240" w:lineRule="auto"/>
              <w:jc w:val="center"/>
              <w:rPr>
                <w:rFonts w:ascii="Times New Roman" w:hAnsi="Times New Roman" w:cs="Times New Roman"/>
                <w:b/>
                <w:sz w:val="16"/>
                <w:szCs w:val="16"/>
                <w:lang w:val="en-US"/>
              </w:rPr>
            </w:pPr>
          </w:p>
          <w:p w:rsidR="00C821BE" w:rsidRPr="0010784C" w:rsidRDefault="00C821BE" w:rsidP="00C821BE">
            <w:pPr>
              <w:autoSpaceDE w:val="0"/>
              <w:autoSpaceDN w:val="0"/>
              <w:adjustRightInd w:val="0"/>
              <w:spacing w:after="0" w:line="240" w:lineRule="auto"/>
              <w:jc w:val="center"/>
              <w:rPr>
                <w:rFonts w:ascii="Times New Roman" w:hAnsi="Times New Roman" w:cs="Times New Roman"/>
                <w:b/>
                <w:sz w:val="16"/>
                <w:szCs w:val="16"/>
                <w:lang w:val="en-US"/>
              </w:rPr>
            </w:pPr>
            <w:r w:rsidRPr="0010784C">
              <w:rPr>
                <w:rFonts w:ascii="Times New Roman" w:hAnsi="Times New Roman" w:cs="Times New Roman"/>
                <w:b/>
                <w:sz w:val="16"/>
                <w:szCs w:val="16"/>
                <w:lang w:val="en-US"/>
              </w:rPr>
              <w:t>PUASEE-FA</w:t>
            </w:r>
          </w:p>
        </w:tc>
        <w:tc>
          <w:tcPr>
            <w:tcW w:w="1445" w:type="dxa"/>
            <w:tcBorders>
              <w:top w:val="single" w:sz="4" w:space="0" w:color="auto"/>
              <w:left w:val="single" w:sz="4" w:space="0" w:color="auto"/>
              <w:bottom w:val="single" w:sz="4" w:space="0" w:color="auto"/>
              <w:right w:val="single" w:sz="4" w:space="0" w:color="auto"/>
            </w:tcBorders>
            <w:vAlign w:val="center"/>
          </w:tcPr>
          <w:p w:rsidR="00C821BE" w:rsidRPr="0010784C" w:rsidRDefault="00C821BE" w:rsidP="00C821BE">
            <w:pPr>
              <w:autoSpaceDE w:val="0"/>
              <w:autoSpaceDN w:val="0"/>
              <w:adjustRightInd w:val="0"/>
              <w:spacing w:after="0" w:line="240" w:lineRule="auto"/>
              <w:jc w:val="center"/>
              <w:rPr>
                <w:rFonts w:ascii="Times New Roman" w:hAnsi="Times New Roman" w:cs="Times New Roman"/>
                <w:sz w:val="16"/>
                <w:szCs w:val="16"/>
                <w:lang w:val="en-US"/>
              </w:rPr>
            </w:pPr>
            <w:r w:rsidRPr="0010784C">
              <w:rPr>
                <w:rFonts w:ascii="Times New Roman" w:hAnsi="Times New Roman" w:cs="Times New Roman"/>
                <w:sz w:val="16"/>
                <w:szCs w:val="16"/>
                <w:lang w:val="en-US"/>
              </w:rPr>
              <w:t>At the start and continuously</w:t>
            </w:r>
          </w:p>
        </w:tc>
        <w:tc>
          <w:tcPr>
            <w:tcW w:w="112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C821BE" w:rsidRPr="0010784C" w:rsidRDefault="00C821BE" w:rsidP="00C821BE">
            <w:pPr>
              <w:autoSpaceDE w:val="0"/>
              <w:autoSpaceDN w:val="0"/>
              <w:adjustRightInd w:val="0"/>
              <w:spacing w:after="0" w:line="240" w:lineRule="auto"/>
              <w:jc w:val="center"/>
              <w:rPr>
                <w:rFonts w:ascii="Times New Roman" w:hAnsi="Times New Roman" w:cs="Times New Roman"/>
                <w:b/>
                <w:sz w:val="16"/>
                <w:szCs w:val="16"/>
                <w:lang w:val="en-US"/>
              </w:rPr>
            </w:pPr>
            <w:r w:rsidRPr="0010784C">
              <w:rPr>
                <w:rFonts w:ascii="Times New Roman" w:hAnsi="Times New Roman" w:cs="Times New Roman"/>
                <w:b/>
                <w:sz w:val="16"/>
                <w:szCs w:val="16"/>
                <w:lang w:val="en-US"/>
              </w:rPr>
              <w:t>15,000,000</w:t>
            </w:r>
          </w:p>
        </w:tc>
      </w:tr>
      <w:tr w:rsidR="00C821BE" w:rsidRPr="0010784C" w:rsidTr="00C821BE">
        <w:trPr>
          <w:trHeight w:val="133"/>
          <w:jc w:val="center"/>
        </w:trPr>
        <w:tc>
          <w:tcPr>
            <w:tcW w:w="14893" w:type="dxa"/>
            <w:gridSpan w:val="7"/>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C821BE" w:rsidRPr="0010784C" w:rsidRDefault="00C821BE" w:rsidP="00C821BE">
            <w:pPr>
              <w:spacing w:after="0" w:line="240" w:lineRule="auto"/>
              <w:jc w:val="center"/>
              <w:rPr>
                <w:rFonts w:ascii="Times New Roman" w:hAnsi="Times New Roman" w:cs="Times New Roman"/>
                <w:b/>
                <w:bCs/>
                <w:sz w:val="16"/>
                <w:szCs w:val="16"/>
                <w:lang w:val="en-US"/>
              </w:rPr>
            </w:pPr>
            <w:r w:rsidRPr="0010784C">
              <w:rPr>
                <w:rFonts w:ascii="Times New Roman" w:hAnsi="Times New Roman" w:cs="Times New Roman"/>
                <w:b/>
                <w:bCs/>
                <w:sz w:val="16"/>
                <w:szCs w:val="16"/>
                <w:lang w:val="en-US"/>
              </w:rPr>
              <w:t>SUBTOTAL 2</w:t>
            </w:r>
          </w:p>
        </w:tc>
        <w:tc>
          <w:tcPr>
            <w:tcW w:w="112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C821BE" w:rsidRPr="0010784C" w:rsidRDefault="00C821BE" w:rsidP="00C821BE">
            <w:pPr>
              <w:spacing w:after="0" w:line="240" w:lineRule="auto"/>
              <w:jc w:val="center"/>
              <w:rPr>
                <w:rFonts w:ascii="Times New Roman" w:hAnsi="Times New Roman" w:cs="Times New Roman"/>
                <w:b/>
                <w:sz w:val="16"/>
                <w:szCs w:val="16"/>
                <w:lang w:val="en-US"/>
              </w:rPr>
            </w:pPr>
            <w:r w:rsidRPr="0010784C">
              <w:rPr>
                <w:rFonts w:ascii="Times New Roman" w:hAnsi="Times New Roman" w:cs="Times New Roman"/>
                <w:b/>
                <w:sz w:val="16"/>
                <w:szCs w:val="16"/>
                <w:lang w:val="en-US"/>
              </w:rPr>
              <w:t>51,500,000</w:t>
            </w:r>
          </w:p>
        </w:tc>
      </w:tr>
    </w:tbl>
    <w:p w:rsidR="00C821BE" w:rsidRPr="0010784C" w:rsidRDefault="00C821BE" w:rsidP="00C821BE">
      <w:pPr>
        <w:spacing w:after="0" w:line="240" w:lineRule="auto"/>
        <w:rPr>
          <w:rFonts w:ascii="Times New Roman" w:hAnsi="Times New Roman"/>
          <w:lang w:val="en-US"/>
        </w:rPr>
      </w:pPr>
    </w:p>
    <w:tbl>
      <w:tblPr>
        <w:tblW w:w="15871" w:type="dxa"/>
        <w:jc w:val="center"/>
        <w:tblBorders>
          <w:top w:val="single" w:sz="4" w:space="0" w:color="7F7F7F"/>
          <w:bottom w:val="single" w:sz="4" w:space="0" w:color="7F7F7F"/>
        </w:tblBorders>
        <w:tblLayout w:type="fixed"/>
        <w:tblLook w:val="04A0" w:firstRow="1" w:lastRow="0" w:firstColumn="1" w:lastColumn="0" w:noHBand="0" w:noVBand="1"/>
      </w:tblPr>
      <w:tblGrid>
        <w:gridCol w:w="1008"/>
        <w:gridCol w:w="2386"/>
        <w:gridCol w:w="4529"/>
        <w:gridCol w:w="2845"/>
        <w:gridCol w:w="993"/>
        <w:gridCol w:w="1134"/>
        <w:gridCol w:w="978"/>
        <w:gridCol w:w="865"/>
        <w:gridCol w:w="1133"/>
      </w:tblGrid>
      <w:tr w:rsidR="00C821BE" w:rsidRPr="0010784C" w:rsidTr="00C821BE">
        <w:trPr>
          <w:trHeight w:val="89"/>
          <w:jc w:val="center"/>
        </w:trPr>
        <w:tc>
          <w:tcPr>
            <w:tcW w:w="15871" w:type="dxa"/>
            <w:gridSpan w:val="9"/>
            <w:tcBorders>
              <w:top w:val="single" w:sz="4" w:space="0" w:color="auto"/>
              <w:left w:val="single" w:sz="4" w:space="0" w:color="auto"/>
              <w:bottom w:val="single" w:sz="4" w:space="0" w:color="auto"/>
              <w:right w:val="single" w:sz="4" w:space="0" w:color="auto"/>
            </w:tcBorders>
            <w:shd w:val="clear" w:color="auto" w:fill="DEEAF6" w:themeFill="accent1" w:themeFillTint="33"/>
            <w:hideMark/>
          </w:tcPr>
          <w:p w:rsidR="00C821BE" w:rsidRPr="0010784C" w:rsidRDefault="00C821BE" w:rsidP="00C821BE">
            <w:pPr>
              <w:spacing w:after="0" w:line="240" w:lineRule="auto"/>
              <w:ind w:right="-389"/>
              <w:jc w:val="center"/>
              <w:rPr>
                <w:rFonts w:ascii="Times New Roman" w:hAnsi="Times New Roman"/>
                <w:b/>
                <w:bCs/>
                <w:sz w:val="16"/>
                <w:szCs w:val="16"/>
                <w:lang w:val="en-US"/>
              </w:rPr>
            </w:pPr>
            <w:r w:rsidRPr="0010784C">
              <w:rPr>
                <w:rFonts w:ascii="Times New Roman" w:hAnsi="Times New Roman"/>
                <w:b/>
                <w:bCs/>
                <w:sz w:val="16"/>
                <w:szCs w:val="16"/>
                <w:lang w:val="en-US"/>
              </w:rPr>
              <w:t>OPERATION PHASE</w:t>
            </w:r>
          </w:p>
        </w:tc>
      </w:tr>
      <w:tr w:rsidR="00C821BE" w:rsidRPr="0010784C" w:rsidTr="00C821BE">
        <w:trPr>
          <w:trHeight w:val="70"/>
          <w:jc w:val="center"/>
        </w:trPr>
        <w:tc>
          <w:tcPr>
            <w:tcW w:w="1008"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rsidR="00C821BE" w:rsidRPr="0010784C" w:rsidRDefault="00C821BE" w:rsidP="00C821BE">
            <w:pPr>
              <w:autoSpaceDE w:val="0"/>
              <w:autoSpaceDN w:val="0"/>
              <w:adjustRightInd w:val="0"/>
              <w:spacing w:after="0" w:line="276" w:lineRule="auto"/>
              <w:jc w:val="center"/>
              <w:rPr>
                <w:rFonts w:ascii="Times New Roman" w:hAnsi="Times New Roman"/>
                <w:b/>
                <w:bCs/>
                <w:sz w:val="16"/>
                <w:szCs w:val="16"/>
                <w:lang w:val="en-US"/>
              </w:rPr>
            </w:pPr>
            <w:r w:rsidRPr="0010784C">
              <w:rPr>
                <w:rFonts w:ascii="Times New Roman" w:hAnsi="Times New Roman"/>
                <w:b/>
                <w:bCs/>
                <w:sz w:val="16"/>
                <w:szCs w:val="16"/>
                <w:lang w:val="en-US"/>
              </w:rPr>
              <w:t>Affected environment</w:t>
            </w:r>
          </w:p>
        </w:tc>
        <w:tc>
          <w:tcPr>
            <w:tcW w:w="2386"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rsidR="00C821BE" w:rsidRPr="0010784C" w:rsidRDefault="00C821BE" w:rsidP="00C821BE">
            <w:pPr>
              <w:autoSpaceDE w:val="0"/>
              <w:autoSpaceDN w:val="0"/>
              <w:adjustRightInd w:val="0"/>
              <w:spacing w:after="0" w:line="276" w:lineRule="auto"/>
              <w:jc w:val="center"/>
              <w:rPr>
                <w:rFonts w:ascii="Times New Roman" w:hAnsi="Times New Roman"/>
                <w:b/>
                <w:sz w:val="16"/>
                <w:szCs w:val="16"/>
                <w:lang w:val="en-US"/>
              </w:rPr>
            </w:pPr>
            <w:r w:rsidRPr="0010784C">
              <w:rPr>
                <w:rFonts w:ascii="Times New Roman" w:hAnsi="Times New Roman"/>
                <w:b/>
                <w:sz w:val="16"/>
                <w:szCs w:val="16"/>
                <w:lang w:val="en-US"/>
              </w:rPr>
              <w:t>Nature of potential impact</w:t>
            </w:r>
          </w:p>
        </w:tc>
        <w:tc>
          <w:tcPr>
            <w:tcW w:w="4529"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rsidR="00C821BE" w:rsidRPr="0010784C" w:rsidRDefault="00C821BE" w:rsidP="00C821BE">
            <w:pPr>
              <w:autoSpaceDE w:val="0"/>
              <w:autoSpaceDN w:val="0"/>
              <w:adjustRightInd w:val="0"/>
              <w:spacing w:after="0" w:line="276" w:lineRule="auto"/>
              <w:jc w:val="center"/>
              <w:rPr>
                <w:rFonts w:ascii="Times New Roman" w:hAnsi="Times New Roman"/>
                <w:b/>
                <w:sz w:val="16"/>
                <w:szCs w:val="16"/>
                <w:lang w:val="en-US"/>
              </w:rPr>
            </w:pPr>
            <w:r w:rsidRPr="0010784C">
              <w:rPr>
                <w:rFonts w:ascii="Times New Roman" w:hAnsi="Times New Roman"/>
                <w:b/>
                <w:sz w:val="16"/>
                <w:szCs w:val="16"/>
                <w:lang w:val="en-US"/>
              </w:rPr>
              <w:t>Mitigation measure</w:t>
            </w:r>
          </w:p>
        </w:tc>
        <w:tc>
          <w:tcPr>
            <w:tcW w:w="2845"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rsidR="00C821BE" w:rsidRPr="0010784C" w:rsidRDefault="00C821BE" w:rsidP="00C821BE">
            <w:pPr>
              <w:autoSpaceDE w:val="0"/>
              <w:autoSpaceDN w:val="0"/>
              <w:adjustRightInd w:val="0"/>
              <w:spacing w:after="0" w:line="276" w:lineRule="auto"/>
              <w:jc w:val="center"/>
              <w:rPr>
                <w:rFonts w:ascii="Times New Roman" w:hAnsi="Times New Roman"/>
                <w:b/>
                <w:sz w:val="16"/>
                <w:szCs w:val="16"/>
                <w:lang w:val="en-US"/>
              </w:rPr>
            </w:pPr>
            <w:r w:rsidRPr="0010784C">
              <w:rPr>
                <w:rFonts w:ascii="Times New Roman" w:hAnsi="Times New Roman"/>
                <w:b/>
                <w:sz w:val="16"/>
                <w:szCs w:val="16"/>
                <w:lang w:val="en-US"/>
              </w:rPr>
              <w:t>Monitoring indicator</w:t>
            </w:r>
          </w:p>
        </w:tc>
        <w:tc>
          <w:tcPr>
            <w:tcW w:w="2127" w:type="dxa"/>
            <w:gridSpan w:val="2"/>
            <w:tcBorders>
              <w:top w:val="single" w:sz="4" w:space="0" w:color="auto"/>
              <w:left w:val="single" w:sz="4" w:space="0" w:color="auto"/>
              <w:bottom w:val="single" w:sz="4" w:space="0" w:color="auto"/>
              <w:right w:val="single" w:sz="4" w:space="0" w:color="auto"/>
            </w:tcBorders>
            <w:shd w:val="clear" w:color="auto" w:fill="F2F2F2"/>
            <w:vAlign w:val="center"/>
            <w:hideMark/>
          </w:tcPr>
          <w:p w:rsidR="00C821BE" w:rsidRPr="0010784C" w:rsidRDefault="00C821BE" w:rsidP="00C821BE">
            <w:pPr>
              <w:autoSpaceDE w:val="0"/>
              <w:autoSpaceDN w:val="0"/>
              <w:adjustRightInd w:val="0"/>
              <w:spacing w:after="0" w:line="276" w:lineRule="auto"/>
              <w:jc w:val="center"/>
              <w:rPr>
                <w:rFonts w:ascii="Times New Roman" w:hAnsi="Times New Roman"/>
                <w:b/>
                <w:sz w:val="16"/>
                <w:szCs w:val="16"/>
                <w:lang w:val="en-US"/>
              </w:rPr>
            </w:pPr>
            <w:r w:rsidRPr="0010784C">
              <w:rPr>
                <w:rFonts w:ascii="Times New Roman" w:hAnsi="Times New Roman"/>
                <w:b/>
                <w:bCs/>
                <w:sz w:val="16"/>
                <w:szCs w:val="16"/>
                <w:lang w:val="en-US"/>
              </w:rPr>
              <w:t>Responsible (s)</w:t>
            </w:r>
          </w:p>
        </w:tc>
        <w:tc>
          <w:tcPr>
            <w:tcW w:w="1843" w:type="dxa"/>
            <w:gridSpan w:val="2"/>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rsidR="00C821BE" w:rsidRPr="0010784C" w:rsidRDefault="00C821BE" w:rsidP="00C821BE">
            <w:pPr>
              <w:autoSpaceDE w:val="0"/>
              <w:autoSpaceDN w:val="0"/>
              <w:adjustRightInd w:val="0"/>
              <w:spacing w:after="0" w:line="276" w:lineRule="auto"/>
              <w:jc w:val="center"/>
              <w:rPr>
                <w:rFonts w:ascii="Times New Roman" w:hAnsi="Times New Roman"/>
                <w:b/>
                <w:sz w:val="16"/>
                <w:szCs w:val="16"/>
                <w:lang w:val="en-US"/>
              </w:rPr>
            </w:pPr>
            <w:r w:rsidRPr="0010784C">
              <w:rPr>
                <w:rFonts w:ascii="Times New Roman" w:hAnsi="Times New Roman"/>
                <w:b/>
                <w:bCs/>
                <w:sz w:val="16"/>
                <w:szCs w:val="16"/>
                <w:lang w:val="en-US"/>
              </w:rPr>
              <w:t>Deadlines / Period</w:t>
            </w:r>
          </w:p>
        </w:tc>
        <w:tc>
          <w:tcPr>
            <w:tcW w:w="1133"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rsidR="00C821BE" w:rsidRPr="0010784C" w:rsidRDefault="00C821BE" w:rsidP="00C821BE">
            <w:pPr>
              <w:autoSpaceDE w:val="0"/>
              <w:autoSpaceDN w:val="0"/>
              <w:adjustRightInd w:val="0"/>
              <w:spacing w:after="0" w:line="276" w:lineRule="auto"/>
              <w:jc w:val="center"/>
              <w:rPr>
                <w:rFonts w:ascii="Times New Roman" w:hAnsi="Times New Roman"/>
                <w:b/>
                <w:sz w:val="16"/>
                <w:szCs w:val="16"/>
                <w:lang w:val="en-US"/>
              </w:rPr>
            </w:pPr>
            <w:r w:rsidRPr="0010784C">
              <w:rPr>
                <w:rFonts w:ascii="Times New Roman" w:hAnsi="Times New Roman"/>
                <w:b/>
                <w:bCs/>
                <w:sz w:val="16"/>
                <w:szCs w:val="16"/>
                <w:lang w:val="en-US"/>
              </w:rPr>
              <w:t>Cost (FCFA)</w:t>
            </w:r>
          </w:p>
        </w:tc>
      </w:tr>
      <w:tr w:rsidR="00C821BE" w:rsidRPr="0010784C" w:rsidTr="00C821BE">
        <w:trPr>
          <w:trHeight w:val="389"/>
          <w:jc w:val="center"/>
        </w:trPr>
        <w:tc>
          <w:tcPr>
            <w:tcW w:w="1008" w:type="dxa"/>
            <w:vMerge/>
            <w:tcBorders>
              <w:top w:val="single" w:sz="4" w:space="0" w:color="auto"/>
              <w:left w:val="single" w:sz="4" w:space="0" w:color="auto"/>
              <w:bottom w:val="single" w:sz="4" w:space="0" w:color="auto"/>
              <w:right w:val="single" w:sz="4" w:space="0" w:color="auto"/>
            </w:tcBorders>
            <w:hideMark/>
          </w:tcPr>
          <w:p w:rsidR="00C821BE" w:rsidRPr="0010784C" w:rsidRDefault="00C821BE" w:rsidP="00C821BE">
            <w:pPr>
              <w:autoSpaceDE w:val="0"/>
              <w:autoSpaceDN w:val="0"/>
              <w:adjustRightInd w:val="0"/>
              <w:spacing w:after="0" w:line="276" w:lineRule="auto"/>
              <w:jc w:val="both"/>
              <w:rPr>
                <w:rFonts w:ascii="Times New Roman" w:hAnsi="Times New Roman"/>
                <w:b/>
                <w:bCs/>
                <w:sz w:val="16"/>
                <w:szCs w:val="16"/>
                <w:lang w:val="en-US"/>
              </w:rPr>
            </w:pPr>
          </w:p>
        </w:tc>
        <w:tc>
          <w:tcPr>
            <w:tcW w:w="2386" w:type="dxa"/>
            <w:vMerge/>
            <w:tcBorders>
              <w:top w:val="single" w:sz="4" w:space="0" w:color="auto"/>
              <w:left w:val="single" w:sz="4" w:space="0" w:color="auto"/>
              <w:bottom w:val="single" w:sz="4" w:space="0" w:color="auto"/>
              <w:right w:val="single" w:sz="4" w:space="0" w:color="auto"/>
            </w:tcBorders>
            <w:hideMark/>
          </w:tcPr>
          <w:p w:rsidR="00C821BE" w:rsidRPr="0010784C" w:rsidRDefault="00C821BE" w:rsidP="00C821BE">
            <w:pPr>
              <w:autoSpaceDE w:val="0"/>
              <w:autoSpaceDN w:val="0"/>
              <w:adjustRightInd w:val="0"/>
              <w:spacing w:after="0" w:line="276" w:lineRule="auto"/>
              <w:jc w:val="both"/>
              <w:rPr>
                <w:rFonts w:ascii="Times New Roman" w:hAnsi="Times New Roman"/>
                <w:b/>
                <w:sz w:val="16"/>
                <w:szCs w:val="16"/>
                <w:lang w:val="en-US"/>
              </w:rPr>
            </w:pPr>
          </w:p>
        </w:tc>
        <w:tc>
          <w:tcPr>
            <w:tcW w:w="4529" w:type="dxa"/>
            <w:vMerge/>
            <w:tcBorders>
              <w:top w:val="single" w:sz="4" w:space="0" w:color="auto"/>
              <w:left w:val="single" w:sz="4" w:space="0" w:color="auto"/>
              <w:bottom w:val="single" w:sz="4" w:space="0" w:color="auto"/>
              <w:right w:val="single" w:sz="4" w:space="0" w:color="auto"/>
            </w:tcBorders>
            <w:hideMark/>
          </w:tcPr>
          <w:p w:rsidR="00C821BE" w:rsidRPr="0010784C" w:rsidRDefault="00C821BE" w:rsidP="00C821BE">
            <w:pPr>
              <w:autoSpaceDE w:val="0"/>
              <w:autoSpaceDN w:val="0"/>
              <w:adjustRightInd w:val="0"/>
              <w:spacing w:after="0" w:line="276" w:lineRule="auto"/>
              <w:jc w:val="both"/>
              <w:rPr>
                <w:rFonts w:ascii="Times New Roman" w:hAnsi="Times New Roman"/>
                <w:b/>
                <w:sz w:val="16"/>
                <w:szCs w:val="16"/>
                <w:lang w:val="en-US"/>
              </w:rPr>
            </w:pPr>
          </w:p>
        </w:tc>
        <w:tc>
          <w:tcPr>
            <w:tcW w:w="2845" w:type="dxa"/>
            <w:vMerge/>
            <w:tcBorders>
              <w:top w:val="single" w:sz="4" w:space="0" w:color="auto"/>
              <w:left w:val="single" w:sz="4" w:space="0" w:color="auto"/>
              <w:bottom w:val="single" w:sz="4" w:space="0" w:color="auto"/>
              <w:right w:val="single" w:sz="4" w:space="0" w:color="auto"/>
            </w:tcBorders>
            <w:hideMark/>
          </w:tcPr>
          <w:p w:rsidR="00C821BE" w:rsidRPr="0010784C" w:rsidRDefault="00C821BE" w:rsidP="00C821BE">
            <w:pPr>
              <w:autoSpaceDE w:val="0"/>
              <w:autoSpaceDN w:val="0"/>
              <w:adjustRightInd w:val="0"/>
              <w:spacing w:after="0" w:line="276" w:lineRule="auto"/>
              <w:jc w:val="both"/>
              <w:rPr>
                <w:rFonts w:ascii="Times New Roman" w:hAnsi="Times New Roman"/>
                <w:b/>
                <w:sz w:val="16"/>
                <w:szCs w:val="16"/>
                <w:lang w:val="en-US"/>
              </w:rPr>
            </w:pPr>
          </w:p>
        </w:tc>
        <w:tc>
          <w:tcPr>
            <w:tcW w:w="993"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rsidR="00C821BE" w:rsidRPr="0010784C" w:rsidRDefault="00C821BE" w:rsidP="00C821BE">
            <w:pPr>
              <w:autoSpaceDE w:val="0"/>
              <w:autoSpaceDN w:val="0"/>
              <w:adjustRightInd w:val="0"/>
              <w:spacing w:after="0" w:line="276" w:lineRule="auto"/>
              <w:jc w:val="center"/>
              <w:rPr>
                <w:rFonts w:ascii="Times New Roman" w:hAnsi="Times New Roman"/>
                <w:b/>
                <w:bCs/>
                <w:sz w:val="16"/>
                <w:szCs w:val="16"/>
                <w:lang w:val="en-US"/>
              </w:rPr>
            </w:pPr>
            <w:r w:rsidRPr="0010784C">
              <w:rPr>
                <w:rFonts w:ascii="Times New Roman" w:hAnsi="Times New Roman"/>
                <w:b/>
                <w:bCs/>
                <w:sz w:val="16"/>
                <w:szCs w:val="16"/>
                <w:lang w:val="en-US"/>
              </w:rPr>
              <w:t>Implementation</w:t>
            </w:r>
          </w:p>
        </w:tc>
        <w:tc>
          <w:tcPr>
            <w:tcW w:w="1134"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rsidR="00C821BE" w:rsidRPr="0010784C" w:rsidRDefault="00C821BE" w:rsidP="00C821BE">
            <w:pPr>
              <w:autoSpaceDE w:val="0"/>
              <w:autoSpaceDN w:val="0"/>
              <w:adjustRightInd w:val="0"/>
              <w:spacing w:after="0" w:line="276" w:lineRule="auto"/>
              <w:jc w:val="center"/>
              <w:rPr>
                <w:rFonts w:ascii="Times New Roman" w:hAnsi="Times New Roman"/>
                <w:b/>
                <w:bCs/>
                <w:sz w:val="16"/>
                <w:szCs w:val="16"/>
                <w:lang w:val="en-US"/>
              </w:rPr>
            </w:pPr>
            <w:r w:rsidRPr="0010784C">
              <w:rPr>
                <w:rFonts w:ascii="Times New Roman" w:hAnsi="Times New Roman"/>
                <w:b/>
                <w:bCs/>
                <w:sz w:val="16"/>
                <w:szCs w:val="16"/>
                <w:lang w:val="en-US"/>
              </w:rPr>
              <w:t>Monitoring / Control</w:t>
            </w:r>
          </w:p>
        </w:tc>
        <w:tc>
          <w:tcPr>
            <w:tcW w:w="1843" w:type="dxa"/>
            <w:gridSpan w:val="2"/>
            <w:vMerge/>
            <w:tcBorders>
              <w:top w:val="single" w:sz="4" w:space="0" w:color="auto"/>
              <w:left w:val="single" w:sz="4" w:space="0" w:color="auto"/>
              <w:bottom w:val="single" w:sz="4" w:space="0" w:color="auto"/>
              <w:right w:val="single" w:sz="4" w:space="0" w:color="auto"/>
            </w:tcBorders>
            <w:hideMark/>
          </w:tcPr>
          <w:p w:rsidR="00C821BE" w:rsidRPr="0010784C" w:rsidRDefault="00C821BE" w:rsidP="00C821BE">
            <w:pPr>
              <w:autoSpaceDE w:val="0"/>
              <w:autoSpaceDN w:val="0"/>
              <w:adjustRightInd w:val="0"/>
              <w:spacing w:after="0" w:line="276" w:lineRule="auto"/>
              <w:jc w:val="both"/>
              <w:rPr>
                <w:rFonts w:ascii="Times New Roman" w:hAnsi="Times New Roman"/>
                <w:b/>
                <w:sz w:val="16"/>
                <w:szCs w:val="16"/>
                <w:lang w:val="en-US"/>
              </w:rPr>
            </w:pPr>
          </w:p>
        </w:tc>
        <w:tc>
          <w:tcPr>
            <w:tcW w:w="1133" w:type="dxa"/>
            <w:vMerge/>
            <w:tcBorders>
              <w:top w:val="single" w:sz="4" w:space="0" w:color="auto"/>
              <w:left w:val="single" w:sz="4" w:space="0" w:color="auto"/>
              <w:bottom w:val="single" w:sz="4" w:space="0" w:color="auto"/>
              <w:right w:val="single" w:sz="4" w:space="0" w:color="auto"/>
            </w:tcBorders>
            <w:hideMark/>
          </w:tcPr>
          <w:p w:rsidR="00C821BE" w:rsidRPr="0010784C" w:rsidRDefault="00C821BE" w:rsidP="00C821BE">
            <w:pPr>
              <w:autoSpaceDE w:val="0"/>
              <w:autoSpaceDN w:val="0"/>
              <w:adjustRightInd w:val="0"/>
              <w:spacing w:after="0" w:line="276" w:lineRule="auto"/>
              <w:jc w:val="both"/>
              <w:rPr>
                <w:rFonts w:ascii="Times New Roman" w:hAnsi="Times New Roman"/>
                <w:b/>
                <w:sz w:val="16"/>
                <w:szCs w:val="16"/>
                <w:lang w:val="en-US"/>
              </w:rPr>
            </w:pPr>
          </w:p>
        </w:tc>
      </w:tr>
      <w:tr w:rsidR="00C821BE" w:rsidRPr="003C548E" w:rsidTr="00C821BE">
        <w:trPr>
          <w:trHeight w:val="389"/>
          <w:jc w:val="center"/>
        </w:trPr>
        <w:tc>
          <w:tcPr>
            <w:tcW w:w="100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C821BE" w:rsidRPr="0010784C" w:rsidRDefault="00C821BE" w:rsidP="00C821BE">
            <w:pPr>
              <w:autoSpaceDE w:val="0"/>
              <w:autoSpaceDN w:val="0"/>
              <w:adjustRightInd w:val="0"/>
              <w:spacing w:after="0" w:line="276" w:lineRule="auto"/>
              <w:jc w:val="center"/>
              <w:rPr>
                <w:rFonts w:ascii="Times New Roman" w:hAnsi="Times New Roman"/>
                <w:b/>
                <w:bCs/>
                <w:sz w:val="16"/>
                <w:szCs w:val="16"/>
                <w:lang w:val="en-US"/>
              </w:rPr>
            </w:pPr>
            <w:r w:rsidRPr="0010784C">
              <w:rPr>
                <w:rFonts w:ascii="Times New Roman" w:hAnsi="Times New Roman"/>
                <w:b/>
                <w:sz w:val="16"/>
                <w:szCs w:val="16"/>
                <w:lang w:val="en-US"/>
              </w:rPr>
              <w:t>Landscape</w:t>
            </w:r>
          </w:p>
        </w:tc>
        <w:tc>
          <w:tcPr>
            <w:tcW w:w="2386" w:type="dxa"/>
            <w:tcBorders>
              <w:top w:val="single" w:sz="4" w:space="0" w:color="auto"/>
              <w:left w:val="single" w:sz="4" w:space="0" w:color="auto"/>
              <w:bottom w:val="single" w:sz="4" w:space="0" w:color="auto"/>
              <w:right w:val="single" w:sz="4" w:space="0" w:color="auto"/>
            </w:tcBorders>
            <w:vAlign w:val="center"/>
          </w:tcPr>
          <w:p w:rsidR="00C821BE" w:rsidRPr="0010784C" w:rsidRDefault="00C821BE" w:rsidP="00C821BE">
            <w:pPr>
              <w:autoSpaceDE w:val="0"/>
              <w:autoSpaceDN w:val="0"/>
              <w:adjustRightInd w:val="0"/>
              <w:spacing w:after="0" w:line="276" w:lineRule="auto"/>
              <w:rPr>
                <w:rFonts w:ascii="Times New Roman" w:hAnsi="Times New Roman"/>
                <w:sz w:val="16"/>
                <w:szCs w:val="16"/>
                <w:lang w:val="en-US"/>
              </w:rPr>
            </w:pPr>
            <w:r w:rsidRPr="0010784C">
              <w:rPr>
                <w:rFonts w:ascii="Times New Roman" w:hAnsi="Times New Roman"/>
                <w:sz w:val="16"/>
                <w:szCs w:val="16"/>
                <w:lang w:val="en-US"/>
              </w:rPr>
              <w:t>Risk of degradation and altering the visual appearance of the landscape</w:t>
            </w:r>
          </w:p>
        </w:tc>
        <w:tc>
          <w:tcPr>
            <w:tcW w:w="4529" w:type="dxa"/>
            <w:tcBorders>
              <w:top w:val="single" w:sz="4" w:space="0" w:color="auto"/>
              <w:left w:val="single" w:sz="4" w:space="0" w:color="auto"/>
              <w:bottom w:val="single" w:sz="4" w:space="0" w:color="auto"/>
              <w:right w:val="single" w:sz="4" w:space="0" w:color="auto"/>
            </w:tcBorders>
            <w:vAlign w:val="center"/>
          </w:tcPr>
          <w:p w:rsidR="00C821BE" w:rsidRPr="0010784C" w:rsidRDefault="00C821BE" w:rsidP="00C821BE">
            <w:pPr>
              <w:autoSpaceDE w:val="0"/>
              <w:autoSpaceDN w:val="0"/>
              <w:adjustRightInd w:val="0"/>
              <w:spacing w:after="0" w:line="276" w:lineRule="auto"/>
              <w:rPr>
                <w:rFonts w:ascii="Times New Roman" w:hAnsi="Times New Roman"/>
                <w:sz w:val="16"/>
                <w:szCs w:val="16"/>
                <w:lang w:val="en-US"/>
              </w:rPr>
            </w:pPr>
            <w:r w:rsidRPr="0010784C">
              <w:rPr>
                <w:rFonts w:ascii="Times New Roman" w:hAnsi="Times New Roman"/>
                <w:sz w:val="16"/>
                <w:szCs w:val="16"/>
                <w:lang w:val="en-US"/>
              </w:rPr>
              <w:t>- Watch over the aesthetic aspect of the reservoir installation areas;</w:t>
            </w:r>
          </w:p>
          <w:p w:rsidR="00C821BE" w:rsidRPr="0010784C" w:rsidRDefault="00C821BE" w:rsidP="00C821BE">
            <w:pPr>
              <w:autoSpaceDE w:val="0"/>
              <w:autoSpaceDN w:val="0"/>
              <w:adjustRightInd w:val="0"/>
              <w:spacing w:after="0" w:line="276" w:lineRule="auto"/>
              <w:rPr>
                <w:rFonts w:ascii="Times New Roman" w:hAnsi="Times New Roman"/>
                <w:sz w:val="16"/>
                <w:szCs w:val="16"/>
                <w:lang w:val="en-US"/>
              </w:rPr>
            </w:pPr>
            <w:r w:rsidRPr="0010784C">
              <w:rPr>
                <w:rFonts w:ascii="Times New Roman" w:hAnsi="Times New Roman"/>
                <w:sz w:val="16"/>
                <w:szCs w:val="16"/>
                <w:lang w:val="en-US"/>
              </w:rPr>
              <w:t>-Readjust the surroundings of the tanks to have a good visual appreciation;</w:t>
            </w:r>
          </w:p>
          <w:p w:rsidR="00C821BE" w:rsidRPr="0010784C" w:rsidRDefault="00C821BE" w:rsidP="00C821BE">
            <w:pPr>
              <w:autoSpaceDE w:val="0"/>
              <w:autoSpaceDN w:val="0"/>
              <w:adjustRightInd w:val="0"/>
              <w:spacing w:after="0" w:line="276" w:lineRule="auto"/>
              <w:rPr>
                <w:rFonts w:ascii="Times New Roman" w:hAnsi="Times New Roman"/>
                <w:sz w:val="16"/>
                <w:szCs w:val="16"/>
                <w:lang w:val="en-US"/>
              </w:rPr>
            </w:pPr>
            <w:r w:rsidRPr="0010784C">
              <w:rPr>
                <w:rFonts w:ascii="Times New Roman" w:hAnsi="Times New Roman"/>
                <w:sz w:val="16"/>
                <w:szCs w:val="16"/>
                <w:lang w:val="en-US"/>
              </w:rPr>
              <w:t>- Carry out a rehabilitation of the intervention areas of the sub-project;</w:t>
            </w:r>
          </w:p>
        </w:tc>
        <w:tc>
          <w:tcPr>
            <w:tcW w:w="2845" w:type="dxa"/>
            <w:tcBorders>
              <w:top w:val="single" w:sz="4" w:space="0" w:color="auto"/>
              <w:left w:val="single" w:sz="4" w:space="0" w:color="auto"/>
              <w:bottom w:val="single" w:sz="4" w:space="0" w:color="auto"/>
              <w:right w:val="single" w:sz="4" w:space="0" w:color="auto"/>
            </w:tcBorders>
            <w:vAlign w:val="center"/>
          </w:tcPr>
          <w:p w:rsidR="00C821BE" w:rsidRPr="0010784C" w:rsidRDefault="00C821BE" w:rsidP="00C821BE">
            <w:pPr>
              <w:autoSpaceDE w:val="0"/>
              <w:autoSpaceDN w:val="0"/>
              <w:adjustRightInd w:val="0"/>
              <w:spacing w:after="0" w:line="276" w:lineRule="auto"/>
              <w:rPr>
                <w:rFonts w:ascii="Times New Roman" w:hAnsi="Times New Roman"/>
                <w:sz w:val="16"/>
                <w:szCs w:val="16"/>
                <w:lang w:val="en-US"/>
              </w:rPr>
            </w:pPr>
            <w:r w:rsidRPr="0010784C">
              <w:rPr>
                <w:rFonts w:ascii="Times New Roman" w:hAnsi="Times New Roman"/>
                <w:sz w:val="16"/>
                <w:szCs w:val="16"/>
                <w:lang w:val="en-US"/>
              </w:rPr>
              <w:t>-Aesthetic appearance of users not changed;</w:t>
            </w:r>
          </w:p>
          <w:p w:rsidR="00C821BE" w:rsidRPr="0010784C" w:rsidRDefault="00C821BE" w:rsidP="00C821BE">
            <w:pPr>
              <w:autoSpaceDE w:val="0"/>
              <w:autoSpaceDN w:val="0"/>
              <w:adjustRightInd w:val="0"/>
              <w:spacing w:after="0" w:line="276" w:lineRule="auto"/>
              <w:rPr>
                <w:rFonts w:ascii="Times New Roman" w:hAnsi="Times New Roman"/>
                <w:sz w:val="16"/>
                <w:szCs w:val="16"/>
                <w:lang w:val="en-US"/>
              </w:rPr>
            </w:pPr>
            <w:r w:rsidRPr="0010784C">
              <w:rPr>
                <w:rFonts w:ascii="Times New Roman" w:hAnsi="Times New Roman"/>
                <w:sz w:val="16"/>
                <w:szCs w:val="16"/>
                <w:lang w:val="en-US"/>
              </w:rPr>
              <w:t>-Rehabilitation of intervention sites after work;</w:t>
            </w:r>
          </w:p>
          <w:p w:rsidR="00C821BE" w:rsidRPr="0010784C" w:rsidRDefault="00C821BE" w:rsidP="00C821BE">
            <w:pPr>
              <w:autoSpaceDE w:val="0"/>
              <w:autoSpaceDN w:val="0"/>
              <w:adjustRightInd w:val="0"/>
              <w:spacing w:after="0" w:line="276" w:lineRule="auto"/>
              <w:rPr>
                <w:rFonts w:ascii="Times New Roman" w:hAnsi="Times New Roman"/>
                <w:sz w:val="16"/>
                <w:szCs w:val="16"/>
                <w:lang w:val="en-US"/>
              </w:rPr>
            </w:pPr>
            <w:r w:rsidRPr="0010784C">
              <w:rPr>
                <w:rFonts w:ascii="Times New Roman" w:hAnsi="Times New Roman"/>
                <w:sz w:val="16"/>
                <w:szCs w:val="16"/>
                <w:lang w:val="en-US"/>
              </w:rPr>
              <w:t>-Presence of a good visual appreciation;</w:t>
            </w:r>
          </w:p>
        </w:tc>
        <w:tc>
          <w:tcPr>
            <w:tcW w:w="993"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C821BE" w:rsidRPr="0010784C" w:rsidRDefault="00C821BE" w:rsidP="00C821BE">
            <w:pPr>
              <w:spacing w:after="0" w:line="240" w:lineRule="auto"/>
              <w:jc w:val="center"/>
              <w:rPr>
                <w:rFonts w:ascii="Times New Roman" w:hAnsi="Times New Roman"/>
                <w:b/>
                <w:sz w:val="16"/>
                <w:szCs w:val="16"/>
                <w:lang w:val="en-US"/>
              </w:rPr>
            </w:pPr>
            <w:r w:rsidRPr="0010784C">
              <w:rPr>
                <w:rFonts w:ascii="Times New Roman" w:hAnsi="Times New Roman"/>
                <w:b/>
                <w:sz w:val="16"/>
                <w:szCs w:val="16"/>
                <w:lang w:val="en-US"/>
              </w:rPr>
              <w:t>Business</w:t>
            </w:r>
          </w:p>
          <w:p w:rsidR="00C821BE" w:rsidRPr="0010784C" w:rsidRDefault="00C821BE" w:rsidP="00C821BE">
            <w:pPr>
              <w:autoSpaceDE w:val="0"/>
              <w:autoSpaceDN w:val="0"/>
              <w:adjustRightInd w:val="0"/>
              <w:spacing w:after="0" w:line="276" w:lineRule="auto"/>
              <w:jc w:val="center"/>
              <w:rPr>
                <w:rFonts w:ascii="Times New Roman" w:hAnsi="Times New Roman"/>
                <w:b/>
                <w:bCs/>
                <w:sz w:val="16"/>
                <w:szCs w:val="16"/>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C821BE" w:rsidRPr="0010784C" w:rsidRDefault="00C821BE" w:rsidP="00C821BE">
            <w:pPr>
              <w:spacing w:after="0" w:line="240" w:lineRule="auto"/>
              <w:jc w:val="center"/>
              <w:rPr>
                <w:rFonts w:ascii="Times New Roman" w:hAnsi="Times New Roman"/>
                <w:b/>
                <w:sz w:val="16"/>
                <w:szCs w:val="16"/>
                <w:lang w:val="en-US"/>
              </w:rPr>
            </w:pPr>
            <w:r w:rsidRPr="0010784C">
              <w:rPr>
                <w:rFonts w:ascii="Times New Roman" w:hAnsi="Times New Roman"/>
                <w:b/>
                <w:sz w:val="16"/>
                <w:szCs w:val="16"/>
                <w:lang w:val="en-US"/>
              </w:rPr>
              <w:t>Monitoring committee</w:t>
            </w:r>
          </w:p>
          <w:p w:rsidR="00C821BE" w:rsidRPr="0010784C" w:rsidRDefault="00C821BE" w:rsidP="00C821BE">
            <w:pPr>
              <w:spacing w:after="0" w:line="240" w:lineRule="auto"/>
              <w:jc w:val="center"/>
              <w:rPr>
                <w:rFonts w:ascii="Times New Roman" w:hAnsi="Times New Roman"/>
                <w:b/>
                <w:sz w:val="16"/>
                <w:szCs w:val="16"/>
                <w:lang w:val="en-US"/>
              </w:rPr>
            </w:pPr>
          </w:p>
          <w:p w:rsidR="00C821BE" w:rsidRPr="0010784C" w:rsidRDefault="00C821BE" w:rsidP="00C821BE">
            <w:pPr>
              <w:autoSpaceDE w:val="0"/>
              <w:autoSpaceDN w:val="0"/>
              <w:adjustRightInd w:val="0"/>
              <w:spacing w:after="0" w:line="276" w:lineRule="auto"/>
              <w:jc w:val="center"/>
              <w:rPr>
                <w:rFonts w:ascii="Times New Roman" w:hAnsi="Times New Roman"/>
                <w:b/>
                <w:bCs/>
                <w:sz w:val="16"/>
                <w:szCs w:val="16"/>
                <w:lang w:val="en-US"/>
              </w:rPr>
            </w:pPr>
            <w:r w:rsidRPr="0010784C">
              <w:rPr>
                <w:rFonts w:ascii="Times New Roman" w:hAnsi="Times New Roman"/>
                <w:b/>
                <w:sz w:val="16"/>
                <w:szCs w:val="16"/>
                <w:lang w:val="en-US"/>
              </w:rPr>
              <w:t>PUASEE-FA</w:t>
            </w:r>
          </w:p>
        </w:tc>
        <w:tc>
          <w:tcPr>
            <w:tcW w:w="978" w:type="dxa"/>
            <w:tcBorders>
              <w:top w:val="single" w:sz="4" w:space="0" w:color="auto"/>
              <w:left w:val="single" w:sz="4" w:space="0" w:color="auto"/>
              <w:bottom w:val="single" w:sz="4" w:space="0" w:color="auto"/>
              <w:right w:val="single" w:sz="4" w:space="0" w:color="auto"/>
            </w:tcBorders>
            <w:vAlign w:val="center"/>
          </w:tcPr>
          <w:p w:rsidR="00C821BE" w:rsidRPr="0010784C" w:rsidRDefault="00C821BE" w:rsidP="00C821BE">
            <w:pPr>
              <w:autoSpaceDE w:val="0"/>
              <w:autoSpaceDN w:val="0"/>
              <w:adjustRightInd w:val="0"/>
              <w:spacing w:after="0" w:line="276" w:lineRule="auto"/>
              <w:jc w:val="center"/>
              <w:rPr>
                <w:rFonts w:ascii="Times New Roman" w:hAnsi="Times New Roman"/>
                <w:b/>
                <w:sz w:val="16"/>
                <w:szCs w:val="16"/>
                <w:lang w:val="en-US"/>
              </w:rPr>
            </w:pPr>
            <w:r w:rsidRPr="0010784C">
              <w:rPr>
                <w:rFonts w:ascii="Times New Roman" w:hAnsi="Times New Roman"/>
                <w:sz w:val="16"/>
                <w:szCs w:val="16"/>
                <w:lang w:val="en-US"/>
              </w:rPr>
              <w:t>At the start and continuously</w:t>
            </w:r>
          </w:p>
        </w:tc>
        <w:tc>
          <w:tcPr>
            <w:tcW w:w="865" w:type="dxa"/>
            <w:tcBorders>
              <w:top w:val="single" w:sz="4" w:space="0" w:color="auto"/>
              <w:left w:val="single" w:sz="4" w:space="0" w:color="auto"/>
              <w:bottom w:val="single" w:sz="4" w:space="0" w:color="auto"/>
              <w:right w:val="single" w:sz="4" w:space="0" w:color="auto"/>
            </w:tcBorders>
            <w:vAlign w:val="center"/>
          </w:tcPr>
          <w:p w:rsidR="00C821BE" w:rsidRPr="0010784C" w:rsidRDefault="00C821BE" w:rsidP="00C821BE">
            <w:pPr>
              <w:autoSpaceDE w:val="0"/>
              <w:autoSpaceDN w:val="0"/>
              <w:adjustRightInd w:val="0"/>
              <w:spacing w:after="0" w:line="276" w:lineRule="auto"/>
              <w:jc w:val="center"/>
              <w:rPr>
                <w:rFonts w:ascii="Times New Roman" w:hAnsi="Times New Roman"/>
                <w:b/>
                <w:sz w:val="16"/>
                <w:szCs w:val="16"/>
                <w:lang w:val="en-US"/>
              </w:rPr>
            </w:pPr>
            <w:r w:rsidRPr="0010784C">
              <w:rPr>
                <w:rFonts w:ascii="Times New Roman" w:hAnsi="Times New Roman"/>
                <w:sz w:val="16"/>
                <w:szCs w:val="16"/>
                <w:lang w:val="en-US"/>
              </w:rPr>
              <w:t>Three times a year</w:t>
            </w:r>
          </w:p>
        </w:tc>
        <w:tc>
          <w:tcPr>
            <w:tcW w:w="1133" w:type="dxa"/>
            <w:tcBorders>
              <w:top w:val="single" w:sz="4" w:space="0" w:color="auto"/>
              <w:left w:val="single" w:sz="4" w:space="0" w:color="auto"/>
              <w:bottom w:val="single" w:sz="4" w:space="0" w:color="auto"/>
              <w:right w:val="single" w:sz="4" w:space="0" w:color="auto"/>
            </w:tcBorders>
            <w:vAlign w:val="center"/>
          </w:tcPr>
          <w:p w:rsidR="00C821BE" w:rsidRPr="0010784C" w:rsidRDefault="00C821BE" w:rsidP="00C821BE">
            <w:pPr>
              <w:autoSpaceDE w:val="0"/>
              <w:autoSpaceDN w:val="0"/>
              <w:adjustRightInd w:val="0"/>
              <w:spacing w:after="0" w:line="276" w:lineRule="auto"/>
              <w:jc w:val="center"/>
              <w:rPr>
                <w:rFonts w:ascii="Times New Roman" w:hAnsi="Times New Roman"/>
                <w:b/>
                <w:sz w:val="16"/>
                <w:szCs w:val="16"/>
                <w:lang w:val="en-US"/>
              </w:rPr>
            </w:pPr>
            <w:r w:rsidRPr="0010784C">
              <w:rPr>
                <w:rFonts w:ascii="Times New Roman" w:hAnsi="Times New Roman"/>
                <w:b/>
                <w:sz w:val="16"/>
                <w:szCs w:val="16"/>
                <w:lang w:val="en-US"/>
              </w:rPr>
              <w:t>Cost associated with the project</w:t>
            </w:r>
          </w:p>
        </w:tc>
      </w:tr>
      <w:tr w:rsidR="00C821BE" w:rsidRPr="003C548E" w:rsidTr="00C821BE">
        <w:trPr>
          <w:trHeight w:val="389"/>
          <w:jc w:val="center"/>
        </w:trPr>
        <w:tc>
          <w:tcPr>
            <w:tcW w:w="100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C821BE" w:rsidRPr="0010784C" w:rsidRDefault="00C821BE" w:rsidP="00C821BE">
            <w:pPr>
              <w:autoSpaceDE w:val="0"/>
              <w:autoSpaceDN w:val="0"/>
              <w:adjustRightInd w:val="0"/>
              <w:spacing w:after="0" w:line="276" w:lineRule="auto"/>
              <w:jc w:val="center"/>
              <w:rPr>
                <w:rFonts w:ascii="Times New Roman" w:hAnsi="Times New Roman"/>
                <w:b/>
                <w:sz w:val="16"/>
                <w:szCs w:val="16"/>
                <w:lang w:val="en-US"/>
              </w:rPr>
            </w:pPr>
            <w:r w:rsidRPr="0010784C">
              <w:rPr>
                <w:rFonts w:ascii="Times New Roman" w:hAnsi="Times New Roman"/>
                <w:b/>
                <w:sz w:val="16"/>
                <w:szCs w:val="16"/>
                <w:lang w:val="en-US"/>
              </w:rPr>
              <w:t>Waters</w:t>
            </w:r>
          </w:p>
        </w:tc>
        <w:tc>
          <w:tcPr>
            <w:tcW w:w="2386" w:type="dxa"/>
            <w:tcBorders>
              <w:top w:val="single" w:sz="4" w:space="0" w:color="auto"/>
              <w:left w:val="single" w:sz="4" w:space="0" w:color="auto"/>
              <w:bottom w:val="single" w:sz="4" w:space="0" w:color="auto"/>
              <w:right w:val="single" w:sz="4" w:space="0" w:color="auto"/>
            </w:tcBorders>
            <w:vAlign w:val="center"/>
          </w:tcPr>
          <w:p w:rsidR="00C821BE" w:rsidRPr="0010784C" w:rsidRDefault="00C821BE" w:rsidP="00C821BE">
            <w:pPr>
              <w:autoSpaceDE w:val="0"/>
              <w:autoSpaceDN w:val="0"/>
              <w:adjustRightInd w:val="0"/>
              <w:spacing w:after="0" w:line="276" w:lineRule="auto"/>
              <w:rPr>
                <w:rFonts w:ascii="Times New Roman" w:hAnsi="Times New Roman"/>
                <w:sz w:val="16"/>
                <w:szCs w:val="16"/>
                <w:lang w:val="en-US"/>
              </w:rPr>
            </w:pPr>
            <w:r w:rsidRPr="0010784C">
              <w:rPr>
                <w:rFonts w:ascii="Times New Roman" w:hAnsi="Times New Roman"/>
                <w:sz w:val="16"/>
                <w:szCs w:val="16"/>
                <w:lang w:val="en-US"/>
              </w:rPr>
              <w:t xml:space="preserve">Risk of pollution of runoff and rainwater; </w:t>
            </w:r>
          </w:p>
        </w:tc>
        <w:tc>
          <w:tcPr>
            <w:tcW w:w="4529" w:type="dxa"/>
            <w:tcBorders>
              <w:top w:val="single" w:sz="4" w:space="0" w:color="auto"/>
              <w:left w:val="single" w:sz="4" w:space="0" w:color="auto"/>
              <w:bottom w:val="single" w:sz="4" w:space="0" w:color="auto"/>
              <w:right w:val="single" w:sz="4" w:space="0" w:color="auto"/>
            </w:tcBorders>
            <w:vAlign w:val="center"/>
          </w:tcPr>
          <w:p w:rsidR="00C821BE" w:rsidRPr="0010784C" w:rsidRDefault="00C821BE" w:rsidP="00C821BE">
            <w:pPr>
              <w:autoSpaceDE w:val="0"/>
              <w:autoSpaceDN w:val="0"/>
              <w:adjustRightInd w:val="0"/>
              <w:spacing w:after="0" w:line="276" w:lineRule="auto"/>
              <w:rPr>
                <w:rFonts w:ascii="Times New Roman" w:hAnsi="Times New Roman" w:cs="Times New Roman"/>
                <w:color w:val="000000"/>
                <w:sz w:val="16"/>
                <w:szCs w:val="16"/>
                <w:lang w:val="en-US"/>
              </w:rPr>
            </w:pPr>
            <w:r w:rsidRPr="0010784C">
              <w:rPr>
                <w:rFonts w:ascii="Times New Roman" w:hAnsi="Times New Roman"/>
                <w:sz w:val="16"/>
                <w:szCs w:val="16"/>
                <w:lang w:val="en-US"/>
              </w:rPr>
              <w:t>-</w:t>
            </w:r>
            <w:r w:rsidRPr="0010784C">
              <w:rPr>
                <w:rFonts w:ascii="Times New Roman" w:hAnsi="Times New Roman" w:cs="Times New Roman"/>
                <w:color w:val="000000"/>
                <w:sz w:val="16"/>
                <w:szCs w:val="16"/>
                <w:lang w:val="en-US"/>
              </w:rPr>
              <w:t xml:space="preserve"> Set up a management system for the washing water of the works;</w:t>
            </w:r>
          </w:p>
          <w:p w:rsidR="00C821BE" w:rsidRPr="0010784C" w:rsidRDefault="00C821BE" w:rsidP="00C821BE">
            <w:pPr>
              <w:autoSpaceDE w:val="0"/>
              <w:autoSpaceDN w:val="0"/>
              <w:adjustRightInd w:val="0"/>
              <w:spacing w:after="0" w:line="276" w:lineRule="auto"/>
              <w:rPr>
                <w:rFonts w:ascii="Times New Roman" w:hAnsi="Times New Roman"/>
                <w:sz w:val="16"/>
                <w:szCs w:val="16"/>
                <w:lang w:val="en-US"/>
              </w:rPr>
            </w:pPr>
            <w:r w:rsidRPr="0010784C">
              <w:rPr>
                <w:rFonts w:ascii="Times New Roman" w:hAnsi="Times New Roman"/>
                <w:sz w:val="16"/>
                <w:szCs w:val="16"/>
                <w:lang w:val="en-US"/>
              </w:rPr>
              <w:t>-Separate drainage water from rainwater and those from washing water;</w:t>
            </w:r>
          </w:p>
        </w:tc>
        <w:tc>
          <w:tcPr>
            <w:tcW w:w="2845" w:type="dxa"/>
            <w:tcBorders>
              <w:top w:val="single" w:sz="4" w:space="0" w:color="auto"/>
              <w:left w:val="single" w:sz="4" w:space="0" w:color="auto"/>
              <w:bottom w:val="single" w:sz="4" w:space="0" w:color="auto"/>
              <w:right w:val="single" w:sz="4" w:space="0" w:color="auto"/>
            </w:tcBorders>
            <w:vAlign w:val="center"/>
          </w:tcPr>
          <w:p w:rsidR="00C821BE" w:rsidRPr="0010784C" w:rsidRDefault="00C821BE" w:rsidP="00C821BE">
            <w:pPr>
              <w:autoSpaceDE w:val="0"/>
              <w:autoSpaceDN w:val="0"/>
              <w:adjustRightInd w:val="0"/>
              <w:spacing w:after="0" w:line="276" w:lineRule="auto"/>
              <w:rPr>
                <w:rFonts w:ascii="Times New Roman" w:hAnsi="Times New Roman"/>
                <w:sz w:val="16"/>
                <w:szCs w:val="16"/>
                <w:lang w:val="en-US"/>
              </w:rPr>
            </w:pPr>
            <w:r w:rsidRPr="0010784C">
              <w:rPr>
                <w:rFonts w:ascii="Times New Roman" w:hAnsi="Times New Roman"/>
                <w:sz w:val="16"/>
                <w:szCs w:val="16"/>
                <w:lang w:val="en-US"/>
              </w:rPr>
              <w:t>- Presence of a washing water management system in all tank sites;</w:t>
            </w:r>
          </w:p>
          <w:p w:rsidR="00C821BE" w:rsidRPr="0010784C" w:rsidRDefault="00C821BE" w:rsidP="00C821BE">
            <w:pPr>
              <w:autoSpaceDE w:val="0"/>
              <w:autoSpaceDN w:val="0"/>
              <w:adjustRightInd w:val="0"/>
              <w:spacing w:after="0" w:line="276" w:lineRule="auto"/>
              <w:rPr>
                <w:rFonts w:ascii="Times New Roman" w:hAnsi="Times New Roman"/>
                <w:sz w:val="16"/>
                <w:szCs w:val="16"/>
                <w:lang w:val="en-US"/>
              </w:rPr>
            </w:pPr>
            <w:r w:rsidRPr="0010784C">
              <w:rPr>
                <w:rFonts w:ascii="Times New Roman" w:hAnsi="Times New Roman"/>
                <w:sz w:val="16"/>
                <w:szCs w:val="16"/>
                <w:lang w:val="en-US"/>
              </w:rPr>
              <w:t>-Drainage of rainwater and separate washing;</w:t>
            </w:r>
          </w:p>
        </w:tc>
        <w:tc>
          <w:tcPr>
            <w:tcW w:w="993"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C821BE" w:rsidRPr="0010784C" w:rsidRDefault="00C821BE" w:rsidP="00C821BE">
            <w:pPr>
              <w:spacing w:after="0" w:line="240" w:lineRule="auto"/>
              <w:jc w:val="center"/>
              <w:rPr>
                <w:rFonts w:ascii="Times New Roman" w:hAnsi="Times New Roman"/>
                <w:b/>
                <w:sz w:val="16"/>
                <w:szCs w:val="16"/>
                <w:lang w:val="en-US"/>
              </w:rPr>
            </w:pPr>
            <w:r w:rsidRPr="0010784C">
              <w:rPr>
                <w:rFonts w:ascii="Times New Roman" w:hAnsi="Times New Roman"/>
                <w:b/>
                <w:sz w:val="16"/>
                <w:szCs w:val="16"/>
                <w:lang w:val="en-US"/>
              </w:rPr>
              <w:t>Business</w:t>
            </w:r>
          </w:p>
          <w:p w:rsidR="00C821BE" w:rsidRPr="0010784C" w:rsidRDefault="00C821BE" w:rsidP="00C821BE">
            <w:pPr>
              <w:spacing w:after="0" w:line="240" w:lineRule="auto"/>
              <w:jc w:val="center"/>
              <w:rPr>
                <w:rFonts w:ascii="Times New Roman" w:hAnsi="Times New Roman"/>
                <w:b/>
                <w:sz w:val="16"/>
                <w:szCs w:val="16"/>
                <w:lang w:val="en-US"/>
              </w:rPr>
            </w:pPr>
          </w:p>
          <w:p w:rsidR="00C821BE" w:rsidRPr="0010784C" w:rsidRDefault="00C821BE" w:rsidP="00C821BE">
            <w:pPr>
              <w:spacing w:after="0" w:line="240" w:lineRule="auto"/>
              <w:jc w:val="center"/>
              <w:rPr>
                <w:rFonts w:ascii="Times New Roman" w:hAnsi="Times New Roman"/>
                <w:b/>
                <w:sz w:val="16"/>
                <w:szCs w:val="16"/>
                <w:lang w:val="en-US"/>
              </w:rPr>
            </w:pPr>
            <w:r w:rsidRPr="0010784C">
              <w:rPr>
                <w:rFonts w:ascii="Times New Roman" w:hAnsi="Times New Roman"/>
                <w:b/>
                <w:sz w:val="16"/>
                <w:szCs w:val="16"/>
                <w:lang w:val="en-US"/>
              </w:rPr>
              <w:t>PUASEE-FA</w:t>
            </w:r>
          </w:p>
        </w:tc>
        <w:tc>
          <w:tcPr>
            <w:tcW w:w="1134"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C821BE" w:rsidRPr="0010784C" w:rsidRDefault="00C821BE" w:rsidP="00C821BE">
            <w:pPr>
              <w:spacing w:after="0" w:line="240" w:lineRule="auto"/>
              <w:jc w:val="center"/>
              <w:rPr>
                <w:rFonts w:ascii="Times New Roman" w:hAnsi="Times New Roman"/>
                <w:b/>
                <w:sz w:val="16"/>
                <w:szCs w:val="16"/>
                <w:lang w:val="en-US"/>
              </w:rPr>
            </w:pPr>
            <w:r w:rsidRPr="0010784C">
              <w:rPr>
                <w:rFonts w:ascii="Times New Roman" w:hAnsi="Times New Roman"/>
                <w:b/>
                <w:sz w:val="16"/>
                <w:szCs w:val="16"/>
                <w:lang w:val="en-US"/>
              </w:rPr>
              <w:t>Monitoring committee</w:t>
            </w:r>
          </w:p>
          <w:p w:rsidR="00C821BE" w:rsidRPr="0010784C" w:rsidRDefault="00C821BE" w:rsidP="00C821BE">
            <w:pPr>
              <w:spacing w:after="0" w:line="240" w:lineRule="auto"/>
              <w:jc w:val="center"/>
              <w:rPr>
                <w:rFonts w:ascii="Times New Roman" w:hAnsi="Times New Roman"/>
                <w:b/>
                <w:sz w:val="16"/>
                <w:szCs w:val="16"/>
                <w:lang w:val="en-US"/>
              </w:rPr>
            </w:pPr>
          </w:p>
        </w:tc>
        <w:tc>
          <w:tcPr>
            <w:tcW w:w="978" w:type="dxa"/>
            <w:tcBorders>
              <w:top w:val="single" w:sz="4" w:space="0" w:color="auto"/>
              <w:left w:val="single" w:sz="4" w:space="0" w:color="auto"/>
              <w:bottom w:val="single" w:sz="4" w:space="0" w:color="auto"/>
              <w:right w:val="single" w:sz="4" w:space="0" w:color="auto"/>
            </w:tcBorders>
            <w:vAlign w:val="center"/>
          </w:tcPr>
          <w:p w:rsidR="00C821BE" w:rsidRPr="0010784C" w:rsidRDefault="00C821BE" w:rsidP="00C821BE">
            <w:pPr>
              <w:autoSpaceDE w:val="0"/>
              <w:autoSpaceDN w:val="0"/>
              <w:adjustRightInd w:val="0"/>
              <w:spacing w:after="0" w:line="276" w:lineRule="auto"/>
              <w:jc w:val="center"/>
              <w:rPr>
                <w:rFonts w:ascii="Times New Roman" w:hAnsi="Times New Roman"/>
                <w:sz w:val="16"/>
                <w:szCs w:val="16"/>
                <w:lang w:val="en-US"/>
              </w:rPr>
            </w:pPr>
            <w:r w:rsidRPr="0010784C">
              <w:rPr>
                <w:rFonts w:ascii="Times New Roman" w:hAnsi="Times New Roman"/>
                <w:sz w:val="16"/>
                <w:szCs w:val="16"/>
                <w:lang w:val="en-US"/>
              </w:rPr>
              <w:t>At the start and continuously</w:t>
            </w:r>
          </w:p>
        </w:tc>
        <w:tc>
          <w:tcPr>
            <w:tcW w:w="865" w:type="dxa"/>
            <w:tcBorders>
              <w:top w:val="single" w:sz="4" w:space="0" w:color="auto"/>
              <w:left w:val="single" w:sz="4" w:space="0" w:color="auto"/>
              <w:bottom w:val="single" w:sz="4" w:space="0" w:color="auto"/>
              <w:right w:val="single" w:sz="4" w:space="0" w:color="auto"/>
            </w:tcBorders>
            <w:vAlign w:val="center"/>
          </w:tcPr>
          <w:p w:rsidR="00C821BE" w:rsidRPr="0010784C" w:rsidRDefault="00C821BE" w:rsidP="00C821BE">
            <w:pPr>
              <w:autoSpaceDE w:val="0"/>
              <w:autoSpaceDN w:val="0"/>
              <w:adjustRightInd w:val="0"/>
              <w:spacing w:after="0" w:line="276" w:lineRule="auto"/>
              <w:jc w:val="center"/>
              <w:rPr>
                <w:rFonts w:ascii="Times New Roman" w:hAnsi="Times New Roman"/>
                <w:sz w:val="16"/>
                <w:szCs w:val="16"/>
                <w:lang w:val="en-US"/>
              </w:rPr>
            </w:pPr>
            <w:r w:rsidRPr="0010784C">
              <w:rPr>
                <w:rFonts w:ascii="Times New Roman" w:hAnsi="Times New Roman"/>
                <w:sz w:val="16"/>
                <w:szCs w:val="16"/>
                <w:lang w:val="en-US"/>
              </w:rPr>
              <w:t>During every rainy season</w:t>
            </w:r>
          </w:p>
        </w:tc>
        <w:tc>
          <w:tcPr>
            <w:tcW w:w="1133" w:type="dxa"/>
            <w:tcBorders>
              <w:top w:val="single" w:sz="4" w:space="0" w:color="auto"/>
              <w:left w:val="single" w:sz="4" w:space="0" w:color="auto"/>
              <w:bottom w:val="single" w:sz="4" w:space="0" w:color="auto"/>
              <w:right w:val="single" w:sz="4" w:space="0" w:color="auto"/>
            </w:tcBorders>
            <w:vAlign w:val="center"/>
          </w:tcPr>
          <w:p w:rsidR="00C821BE" w:rsidRPr="0010784C" w:rsidRDefault="00C821BE" w:rsidP="00C821BE">
            <w:pPr>
              <w:autoSpaceDE w:val="0"/>
              <w:autoSpaceDN w:val="0"/>
              <w:adjustRightInd w:val="0"/>
              <w:spacing w:after="0" w:line="276" w:lineRule="auto"/>
              <w:jc w:val="center"/>
              <w:rPr>
                <w:rFonts w:ascii="Times New Roman" w:hAnsi="Times New Roman"/>
                <w:b/>
                <w:sz w:val="16"/>
                <w:szCs w:val="16"/>
                <w:lang w:val="en-US"/>
              </w:rPr>
            </w:pPr>
            <w:r w:rsidRPr="0010784C">
              <w:rPr>
                <w:rFonts w:ascii="Times New Roman" w:hAnsi="Times New Roman"/>
                <w:b/>
                <w:sz w:val="16"/>
                <w:szCs w:val="16"/>
                <w:lang w:val="en-US"/>
              </w:rPr>
              <w:t>Cost associated with the project</w:t>
            </w:r>
          </w:p>
        </w:tc>
      </w:tr>
      <w:tr w:rsidR="00C821BE" w:rsidRPr="0010784C" w:rsidTr="00C821BE">
        <w:trPr>
          <w:trHeight w:val="412"/>
          <w:jc w:val="center"/>
        </w:trPr>
        <w:tc>
          <w:tcPr>
            <w:tcW w:w="1008" w:type="dxa"/>
            <w:vMerge w:val="restar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rsidR="00C821BE" w:rsidRPr="0010784C" w:rsidRDefault="00C821BE" w:rsidP="00C821BE">
            <w:pPr>
              <w:autoSpaceDE w:val="0"/>
              <w:autoSpaceDN w:val="0"/>
              <w:adjustRightInd w:val="0"/>
              <w:spacing w:after="0" w:line="276" w:lineRule="auto"/>
              <w:jc w:val="center"/>
              <w:rPr>
                <w:rFonts w:ascii="Times New Roman" w:hAnsi="Times New Roman"/>
                <w:b/>
                <w:bCs/>
                <w:sz w:val="16"/>
                <w:szCs w:val="16"/>
                <w:lang w:val="en-US"/>
              </w:rPr>
            </w:pPr>
            <w:r w:rsidRPr="0010784C">
              <w:rPr>
                <w:rFonts w:ascii="Times New Roman" w:hAnsi="Times New Roman"/>
                <w:b/>
                <w:bCs/>
                <w:sz w:val="16"/>
                <w:szCs w:val="16"/>
                <w:lang w:val="en-US"/>
              </w:rPr>
              <w:t>Human</w:t>
            </w:r>
          </w:p>
        </w:tc>
        <w:tc>
          <w:tcPr>
            <w:tcW w:w="2386" w:type="dxa"/>
            <w:tcBorders>
              <w:top w:val="single" w:sz="4" w:space="0" w:color="auto"/>
              <w:left w:val="single" w:sz="4" w:space="0" w:color="auto"/>
              <w:bottom w:val="single" w:sz="4" w:space="0" w:color="auto"/>
              <w:right w:val="single" w:sz="4" w:space="0" w:color="auto"/>
            </w:tcBorders>
            <w:vAlign w:val="center"/>
          </w:tcPr>
          <w:p w:rsidR="00C821BE" w:rsidRPr="0010784C" w:rsidRDefault="00C821BE" w:rsidP="00C821BE">
            <w:pPr>
              <w:autoSpaceDE w:val="0"/>
              <w:autoSpaceDN w:val="0"/>
              <w:adjustRightInd w:val="0"/>
              <w:spacing w:after="0" w:line="276" w:lineRule="auto"/>
              <w:jc w:val="both"/>
              <w:rPr>
                <w:rFonts w:ascii="Times New Roman" w:hAnsi="Times New Roman"/>
                <w:sz w:val="16"/>
                <w:szCs w:val="16"/>
                <w:lang w:val="en-US"/>
              </w:rPr>
            </w:pPr>
            <w:r w:rsidRPr="0010784C">
              <w:rPr>
                <w:rFonts w:ascii="Times New Roman" w:hAnsi="Times New Roman"/>
                <w:bCs/>
                <w:sz w:val="16"/>
                <w:szCs w:val="16"/>
                <w:lang w:val="en-US"/>
              </w:rPr>
              <w:t>Risk of generating noise pollution and GHG production.</w:t>
            </w:r>
          </w:p>
        </w:tc>
        <w:tc>
          <w:tcPr>
            <w:tcW w:w="4529" w:type="dxa"/>
            <w:tcBorders>
              <w:top w:val="single" w:sz="4" w:space="0" w:color="auto"/>
              <w:left w:val="single" w:sz="4" w:space="0" w:color="auto"/>
              <w:bottom w:val="single" w:sz="4" w:space="0" w:color="auto"/>
              <w:right w:val="single" w:sz="4" w:space="0" w:color="auto"/>
            </w:tcBorders>
            <w:vAlign w:val="center"/>
          </w:tcPr>
          <w:p w:rsidR="00C821BE" w:rsidRPr="0010784C" w:rsidRDefault="00C821BE" w:rsidP="00C821BE">
            <w:pPr>
              <w:spacing w:after="0" w:line="240" w:lineRule="auto"/>
              <w:jc w:val="both"/>
              <w:rPr>
                <w:rFonts w:ascii="Times New Roman" w:hAnsi="Times New Roman"/>
                <w:bCs/>
                <w:sz w:val="16"/>
                <w:szCs w:val="16"/>
                <w:lang w:val="en-US"/>
              </w:rPr>
            </w:pPr>
            <w:r w:rsidRPr="0010784C">
              <w:rPr>
                <w:rFonts w:ascii="Times New Roman" w:hAnsi="Times New Roman"/>
                <w:bCs/>
                <w:sz w:val="16"/>
                <w:szCs w:val="16"/>
                <w:lang w:val="en-US"/>
              </w:rPr>
              <w:t>- Provide well-sized rooms for the containment of generators,</w:t>
            </w:r>
          </w:p>
          <w:p w:rsidR="00C821BE" w:rsidRPr="0010784C" w:rsidRDefault="00C821BE" w:rsidP="00C821BE">
            <w:pPr>
              <w:spacing w:after="0" w:line="240" w:lineRule="auto"/>
              <w:jc w:val="both"/>
              <w:rPr>
                <w:rFonts w:ascii="Times New Roman" w:hAnsi="Times New Roman"/>
                <w:bCs/>
                <w:sz w:val="16"/>
                <w:szCs w:val="16"/>
                <w:lang w:val="en-US"/>
              </w:rPr>
            </w:pPr>
            <w:r w:rsidRPr="0010784C">
              <w:rPr>
                <w:rFonts w:ascii="Times New Roman" w:hAnsi="Times New Roman"/>
                <w:sz w:val="16"/>
                <w:szCs w:val="16"/>
                <w:lang w:val="en-US"/>
              </w:rPr>
              <w:t>-Set up anti-vibration suspensions</w:t>
            </w:r>
          </w:p>
          <w:p w:rsidR="00C821BE" w:rsidRPr="0010784C" w:rsidRDefault="00C821BE" w:rsidP="00C821BE">
            <w:pPr>
              <w:spacing w:after="0" w:line="240" w:lineRule="auto"/>
              <w:jc w:val="both"/>
              <w:rPr>
                <w:rFonts w:ascii="Times New Roman" w:hAnsi="Times New Roman"/>
                <w:bCs/>
                <w:sz w:val="16"/>
                <w:szCs w:val="16"/>
                <w:lang w:val="en-US"/>
              </w:rPr>
            </w:pPr>
            <w:r w:rsidRPr="0010784C">
              <w:rPr>
                <w:rFonts w:ascii="Times New Roman" w:hAnsi="Times New Roman"/>
                <w:bCs/>
                <w:sz w:val="16"/>
                <w:szCs w:val="16"/>
                <w:lang w:val="en-US"/>
              </w:rPr>
              <w:t>-Set up silent groups</w:t>
            </w:r>
          </w:p>
          <w:p w:rsidR="00C821BE" w:rsidRPr="0010784C" w:rsidRDefault="00C821BE" w:rsidP="00C821BE">
            <w:pPr>
              <w:spacing w:after="0" w:line="240" w:lineRule="auto"/>
              <w:jc w:val="both"/>
              <w:rPr>
                <w:rFonts w:ascii="Times New Roman" w:hAnsi="Times New Roman"/>
                <w:bCs/>
                <w:sz w:val="16"/>
                <w:szCs w:val="16"/>
                <w:lang w:val="en-US"/>
              </w:rPr>
            </w:pPr>
            <w:r w:rsidRPr="0010784C">
              <w:rPr>
                <w:rFonts w:ascii="Times New Roman" w:hAnsi="Times New Roman"/>
                <w:bCs/>
                <w:sz w:val="16"/>
                <w:szCs w:val="16"/>
                <w:lang w:val="en-US"/>
              </w:rPr>
              <w:t>-Set up one or more powerful groups to reduce the number of groups</w:t>
            </w:r>
          </w:p>
          <w:p w:rsidR="00C821BE" w:rsidRPr="0010784C" w:rsidRDefault="00C821BE" w:rsidP="00C821BE">
            <w:pPr>
              <w:spacing w:after="0" w:line="240" w:lineRule="auto"/>
              <w:jc w:val="both"/>
              <w:rPr>
                <w:rFonts w:ascii="Times New Roman" w:hAnsi="Times New Roman"/>
                <w:bCs/>
                <w:sz w:val="16"/>
                <w:szCs w:val="16"/>
                <w:lang w:val="en-US"/>
              </w:rPr>
            </w:pPr>
            <w:r w:rsidRPr="0010784C">
              <w:rPr>
                <w:rFonts w:ascii="Times New Roman" w:hAnsi="Times New Roman"/>
                <w:bCs/>
                <w:sz w:val="16"/>
                <w:szCs w:val="16"/>
                <w:lang w:val="en-US"/>
              </w:rPr>
              <w:t>-Regularly maintain the generators</w:t>
            </w:r>
          </w:p>
          <w:p w:rsidR="00C821BE" w:rsidRPr="0010784C" w:rsidRDefault="00C821BE" w:rsidP="00C821BE">
            <w:pPr>
              <w:autoSpaceDE w:val="0"/>
              <w:autoSpaceDN w:val="0"/>
              <w:adjustRightInd w:val="0"/>
              <w:spacing w:after="0" w:line="276" w:lineRule="auto"/>
              <w:jc w:val="both"/>
              <w:rPr>
                <w:rFonts w:ascii="Times New Roman" w:hAnsi="Times New Roman"/>
                <w:sz w:val="16"/>
                <w:szCs w:val="16"/>
                <w:lang w:val="en-US"/>
              </w:rPr>
            </w:pPr>
            <w:r w:rsidRPr="0010784C">
              <w:rPr>
                <w:rFonts w:ascii="Times New Roman" w:hAnsi="Times New Roman"/>
                <w:bCs/>
                <w:sz w:val="16"/>
                <w:szCs w:val="16"/>
                <w:lang w:val="en-US"/>
              </w:rPr>
              <w:t>-Choose less polluting groups or set up anti-pollution measures</w:t>
            </w:r>
          </w:p>
        </w:tc>
        <w:tc>
          <w:tcPr>
            <w:tcW w:w="2845" w:type="dxa"/>
            <w:tcBorders>
              <w:top w:val="single" w:sz="4" w:space="0" w:color="auto"/>
              <w:left w:val="single" w:sz="4" w:space="0" w:color="auto"/>
              <w:bottom w:val="single" w:sz="4" w:space="0" w:color="auto"/>
              <w:right w:val="single" w:sz="4" w:space="0" w:color="auto"/>
            </w:tcBorders>
            <w:vAlign w:val="center"/>
          </w:tcPr>
          <w:p w:rsidR="00C821BE" w:rsidRPr="0010784C" w:rsidRDefault="00C821BE" w:rsidP="00C821BE">
            <w:pPr>
              <w:autoSpaceDE w:val="0"/>
              <w:autoSpaceDN w:val="0"/>
              <w:adjustRightInd w:val="0"/>
              <w:spacing w:after="0" w:line="276" w:lineRule="auto"/>
              <w:jc w:val="both"/>
              <w:rPr>
                <w:rFonts w:ascii="Times New Roman" w:hAnsi="Times New Roman"/>
                <w:sz w:val="16"/>
                <w:szCs w:val="16"/>
                <w:lang w:val="en-US"/>
              </w:rPr>
            </w:pPr>
            <w:r w:rsidRPr="0010784C">
              <w:rPr>
                <w:rFonts w:ascii="Times New Roman" w:hAnsi="Times New Roman"/>
                <w:sz w:val="16"/>
                <w:szCs w:val="16"/>
                <w:lang w:val="en-US"/>
              </w:rPr>
              <w:t xml:space="preserve">-Presence of premises </w:t>
            </w:r>
          </w:p>
          <w:p w:rsidR="00C821BE" w:rsidRPr="0010784C" w:rsidRDefault="00C821BE" w:rsidP="00C821BE">
            <w:pPr>
              <w:autoSpaceDE w:val="0"/>
              <w:autoSpaceDN w:val="0"/>
              <w:adjustRightInd w:val="0"/>
              <w:spacing w:after="0" w:line="276" w:lineRule="auto"/>
              <w:jc w:val="both"/>
              <w:rPr>
                <w:rFonts w:ascii="Times New Roman" w:hAnsi="Times New Roman"/>
                <w:sz w:val="16"/>
                <w:szCs w:val="16"/>
                <w:lang w:val="en-US"/>
              </w:rPr>
            </w:pPr>
            <w:r w:rsidRPr="0010784C">
              <w:rPr>
                <w:rFonts w:ascii="Times New Roman" w:hAnsi="Times New Roman"/>
                <w:sz w:val="16"/>
                <w:szCs w:val="16"/>
                <w:lang w:val="en-US"/>
              </w:rPr>
              <w:t>-Presence of anti-vibration suspensions</w:t>
            </w:r>
          </w:p>
          <w:p w:rsidR="00C821BE" w:rsidRPr="0010784C" w:rsidRDefault="00C821BE" w:rsidP="00C821BE">
            <w:pPr>
              <w:autoSpaceDE w:val="0"/>
              <w:autoSpaceDN w:val="0"/>
              <w:adjustRightInd w:val="0"/>
              <w:spacing w:after="0" w:line="276" w:lineRule="auto"/>
              <w:jc w:val="both"/>
              <w:rPr>
                <w:rFonts w:ascii="Times New Roman" w:hAnsi="Times New Roman"/>
                <w:sz w:val="16"/>
                <w:szCs w:val="16"/>
                <w:lang w:val="en-US"/>
              </w:rPr>
            </w:pPr>
            <w:r w:rsidRPr="0010784C">
              <w:rPr>
                <w:rFonts w:ascii="Times New Roman" w:hAnsi="Times New Roman"/>
                <w:sz w:val="16"/>
                <w:szCs w:val="16"/>
                <w:lang w:val="en-US"/>
              </w:rPr>
              <w:t>-Presence of silent generator</w:t>
            </w:r>
          </w:p>
          <w:p w:rsidR="00C821BE" w:rsidRPr="0010784C" w:rsidRDefault="00C821BE" w:rsidP="00C821BE">
            <w:pPr>
              <w:autoSpaceDE w:val="0"/>
              <w:autoSpaceDN w:val="0"/>
              <w:adjustRightInd w:val="0"/>
              <w:spacing w:after="0" w:line="276" w:lineRule="auto"/>
              <w:jc w:val="both"/>
              <w:rPr>
                <w:rFonts w:ascii="Times New Roman" w:hAnsi="Times New Roman"/>
                <w:sz w:val="16"/>
                <w:szCs w:val="16"/>
                <w:lang w:val="en-US"/>
              </w:rPr>
            </w:pPr>
            <w:r w:rsidRPr="0010784C">
              <w:rPr>
                <w:rFonts w:ascii="Times New Roman" w:hAnsi="Times New Roman"/>
                <w:sz w:val="16"/>
                <w:szCs w:val="16"/>
                <w:lang w:val="en-US"/>
              </w:rPr>
              <w:t>- Presence of anti-pollution and does not affect air quality</w:t>
            </w:r>
          </w:p>
          <w:p w:rsidR="00C821BE" w:rsidRPr="0010784C" w:rsidRDefault="00C821BE" w:rsidP="00C821BE">
            <w:pPr>
              <w:autoSpaceDE w:val="0"/>
              <w:autoSpaceDN w:val="0"/>
              <w:adjustRightInd w:val="0"/>
              <w:spacing w:after="0" w:line="276" w:lineRule="auto"/>
              <w:jc w:val="both"/>
              <w:rPr>
                <w:rFonts w:ascii="Times New Roman" w:hAnsi="Times New Roman"/>
                <w:bCs/>
                <w:sz w:val="16"/>
                <w:szCs w:val="16"/>
                <w:lang w:val="en-US"/>
              </w:rPr>
            </w:pPr>
            <w:r w:rsidRPr="0010784C">
              <w:rPr>
                <w:rFonts w:ascii="Times New Roman" w:hAnsi="Times New Roman"/>
                <w:sz w:val="16"/>
                <w:szCs w:val="16"/>
                <w:lang w:val="en-US"/>
              </w:rPr>
              <w:t>- Presence of maintenance reports</w:t>
            </w:r>
          </w:p>
        </w:tc>
        <w:tc>
          <w:tcPr>
            <w:tcW w:w="993"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rsidR="00C821BE" w:rsidRPr="0010784C" w:rsidRDefault="00C821BE" w:rsidP="00C821BE">
            <w:pPr>
              <w:autoSpaceDE w:val="0"/>
              <w:autoSpaceDN w:val="0"/>
              <w:adjustRightInd w:val="0"/>
              <w:spacing w:after="0" w:line="276" w:lineRule="auto"/>
              <w:jc w:val="center"/>
              <w:rPr>
                <w:rFonts w:ascii="Times New Roman" w:hAnsi="Times New Roman"/>
                <w:b/>
                <w:sz w:val="16"/>
                <w:szCs w:val="16"/>
                <w:lang w:val="en-US"/>
              </w:rPr>
            </w:pPr>
            <w:r w:rsidRPr="0010784C">
              <w:rPr>
                <w:rFonts w:ascii="Times New Roman" w:hAnsi="Times New Roman"/>
                <w:b/>
                <w:sz w:val="16"/>
                <w:szCs w:val="16"/>
                <w:lang w:val="en-US"/>
              </w:rPr>
              <w:t>EAGB</w:t>
            </w:r>
          </w:p>
          <w:p w:rsidR="00C821BE" w:rsidRPr="0010784C" w:rsidRDefault="00C821BE" w:rsidP="00C821BE">
            <w:pPr>
              <w:autoSpaceDE w:val="0"/>
              <w:autoSpaceDN w:val="0"/>
              <w:adjustRightInd w:val="0"/>
              <w:spacing w:after="0" w:line="276" w:lineRule="auto"/>
              <w:jc w:val="center"/>
              <w:rPr>
                <w:rFonts w:ascii="Times New Roman" w:hAnsi="Times New Roman"/>
                <w:b/>
                <w:sz w:val="16"/>
                <w:szCs w:val="16"/>
                <w:lang w:val="en-US"/>
              </w:rPr>
            </w:pPr>
            <w:r w:rsidRPr="0010784C">
              <w:rPr>
                <w:rFonts w:ascii="Times New Roman" w:hAnsi="Times New Roman"/>
                <w:b/>
                <w:sz w:val="16"/>
                <w:szCs w:val="16"/>
                <w:lang w:val="en-US"/>
              </w:rPr>
              <w:t>PUASEE-FA</w:t>
            </w:r>
          </w:p>
        </w:tc>
        <w:tc>
          <w:tcPr>
            <w:tcW w:w="1134"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rsidR="00C821BE" w:rsidRPr="0010784C" w:rsidRDefault="00C821BE" w:rsidP="00C821BE">
            <w:pPr>
              <w:autoSpaceDE w:val="0"/>
              <w:autoSpaceDN w:val="0"/>
              <w:adjustRightInd w:val="0"/>
              <w:spacing w:after="0" w:line="276" w:lineRule="auto"/>
              <w:jc w:val="center"/>
              <w:rPr>
                <w:rFonts w:ascii="Times New Roman" w:hAnsi="Times New Roman"/>
                <w:b/>
                <w:sz w:val="16"/>
                <w:szCs w:val="16"/>
                <w:lang w:val="en-US"/>
              </w:rPr>
            </w:pPr>
          </w:p>
          <w:p w:rsidR="00C821BE" w:rsidRPr="0010784C" w:rsidRDefault="00C821BE" w:rsidP="00C821BE">
            <w:pPr>
              <w:autoSpaceDE w:val="0"/>
              <w:autoSpaceDN w:val="0"/>
              <w:adjustRightInd w:val="0"/>
              <w:spacing w:after="0" w:line="276" w:lineRule="auto"/>
              <w:jc w:val="center"/>
              <w:rPr>
                <w:rFonts w:ascii="Times New Roman" w:hAnsi="Times New Roman"/>
                <w:b/>
                <w:sz w:val="16"/>
                <w:szCs w:val="16"/>
                <w:lang w:val="en-US"/>
              </w:rPr>
            </w:pPr>
            <w:r w:rsidRPr="0010784C">
              <w:rPr>
                <w:rFonts w:ascii="Times New Roman" w:hAnsi="Times New Roman"/>
                <w:b/>
                <w:sz w:val="16"/>
                <w:szCs w:val="16"/>
                <w:lang w:val="en-US"/>
              </w:rPr>
              <w:t>Monitoring committee</w:t>
            </w:r>
          </w:p>
        </w:tc>
        <w:tc>
          <w:tcPr>
            <w:tcW w:w="978" w:type="dxa"/>
            <w:tcBorders>
              <w:top w:val="single" w:sz="4" w:space="0" w:color="auto"/>
              <w:left w:val="single" w:sz="4" w:space="0" w:color="auto"/>
              <w:bottom w:val="single" w:sz="4" w:space="0" w:color="auto"/>
              <w:right w:val="single" w:sz="4" w:space="0" w:color="auto"/>
            </w:tcBorders>
            <w:vAlign w:val="center"/>
            <w:hideMark/>
          </w:tcPr>
          <w:p w:rsidR="00C821BE" w:rsidRPr="0010784C" w:rsidRDefault="00C821BE" w:rsidP="00C821BE">
            <w:pPr>
              <w:autoSpaceDE w:val="0"/>
              <w:autoSpaceDN w:val="0"/>
              <w:adjustRightInd w:val="0"/>
              <w:spacing w:after="0" w:line="276" w:lineRule="auto"/>
              <w:jc w:val="center"/>
              <w:rPr>
                <w:rFonts w:ascii="Times New Roman" w:hAnsi="Times New Roman"/>
                <w:sz w:val="16"/>
                <w:szCs w:val="16"/>
                <w:lang w:val="en-US"/>
              </w:rPr>
            </w:pPr>
            <w:r w:rsidRPr="0010784C">
              <w:rPr>
                <w:rFonts w:ascii="Times New Roman" w:hAnsi="Times New Roman"/>
                <w:sz w:val="16"/>
                <w:szCs w:val="16"/>
                <w:lang w:val="en-US"/>
              </w:rPr>
              <w:t>At the start and continuously</w:t>
            </w:r>
          </w:p>
        </w:tc>
        <w:tc>
          <w:tcPr>
            <w:tcW w:w="865" w:type="dxa"/>
            <w:tcBorders>
              <w:top w:val="single" w:sz="4" w:space="0" w:color="auto"/>
              <w:left w:val="single" w:sz="4" w:space="0" w:color="auto"/>
              <w:bottom w:val="single" w:sz="4" w:space="0" w:color="auto"/>
              <w:right w:val="single" w:sz="4" w:space="0" w:color="auto"/>
            </w:tcBorders>
            <w:vAlign w:val="center"/>
          </w:tcPr>
          <w:p w:rsidR="00C821BE" w:rsidRPr="0010784C" w:rsidRDefault="00C821BE" w:rsidP="00C821BE">
            <w:pPr>
              <w:autoSpaceDE w:val="0"/>
              <w:autoSpaceDN w:val="0"/>
              <w:adjustRightInd w:val="0"/>
              <w:spacing w:after="0" w:line="276" w:lineRule="auto"/>
              <w:jc w:val="center"/>
              <w:rPr>
                <w:rFonts w:ascii="Times New Roman" w:hAnsi="Times New Roman"/>
                <w:sz w:val="16"/>
                <w:szCs w:val="16"/>
                <w:lang w:val="en-US"/>
              </w:rPr>
            </w:pPr>
            <w:r w:rsidRPr="0010784C">
              <w:rPr>
                <w:rFonts w:ascii="Times New Roman" w:hAnsi="Times New Roman"/>
                <w:sz w:val="16"/>
                <w:szCs w:val="16"/>
                <w:lang w:val="en-US"/>
              </w:rPr>
              <w:t>Three times a year</w:t>
            </w:r>
          </w:p>
        </w:tc>
        <w:tc>
          <w:tcPr>
            <w:tcW w:w="1133" w:type="dxa"/>
            <w:tcBorders>
              <w:top w:val="single" w:sz="4" w:space="0" w:color="auto"/>
              <w:left w:val="single" w:sz="4" w:space="0" w:color="auto"/>
              <w:bottom w:val="single" w:sz="4" w:space="0" w:color="auto"/>
              <w:right w:val="single" w:sz="4" w:space="0" w:color="auto"/>
            </w:tcBorders>
            <w:vAlign w:val="center"/>
            <w:hideMark/>
          </w:tcPr>
          <w:p w:rsidR="00C821BE" w:rsidRPr="0010784C" w:rsidRDefault="00C821BE" w:rsidP="00C821BE">
            <w:pPr>
              <w:autoSpaceDE w:val="0"/>
              <w:autoSpaceDN w:val="0"/>
              <w:adjustRightInd w:val="0"/>
              <w:spacing w:after="0" w:line="276" w:lineRule="auto"/>
              <w:jc w:val="center"/>
              <w:rPr>
                <w:rFonts w:ascii="Times New Roman" w:hAnsi="Times New Roman"/>
                <w:b/>
                <w:sz w:val="16"/>
                <w:szCs w:val="16"/>
                <w:lang w:val="en-US"/>
              </w:rPr>
            </w:pPr>
            <w:r w:rsidRPr="0010784C">
              <w:rPr>
                <w:rFonts w:ascii="Times New Roman" w:hAnsi="Times New Roman"/>
                <w:b/>
                <w:sz w:val="16"/>
                <w:szCs w:val="16"/>
                <w:lang w:val="en-US"/>
              </w:rPr>
              <w:t>4,000,000</w:t>
            </w:r>
          </w:p>
        </w:tc>
      </w:tr>
      <w:tr w:rsidR="00C821BE" w:rsidRPr="0010784C" w:rsidTr="00C821BE">
        <w:trPr>
          <w:trHeight w:val="1049"/>
          <w:jc w:val="center"/>
        </w:trPr>
        <w:tc>
          <w:tcPr>
            <w:tcW w:w="1008" w:type="dxa"/>
            <w:vMerge/>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C821BE" w:rsidRPr="0010784C" w:rsidRDefault="00C821BE" w:rsidP="00C821BE">
            <w:pPr>
              <w:autoSpaceDE w:val="0"/>
              <w:autoSpaceDN w:val="0"/>
              <w:adjustRightInd w:val="0"/>
              <w:spacing w:after="0" w:line="276" w:lineRule="auto"/>
              <w:jc w:val="center"/>
              <w:rPr>
                <w:rFonts w:ascii="Times New Roman" w:hAnsi="Times New Roman"/>
                <w:b/>
                <w:bCs/>
                <w:sz w:val="16"/>
                <w:szCs w:val="16"/>
                <w:lang w:val="en-US"/>
              </w:rPr>
            </w:pPr>
          </w:p>
        </w:tc>
        <w:tc>
          <w:tcPr>
            <w:tcW w:w="2386" w:type="dxa"/>
            <w:tcBorders>
              <w:top w:val="single" w:sz="4" w:space="0" w:color="auto"/>
              <w:left w:val="single" w:sz="4" w:space="0" w:color="auto"/>
              <w:bottom w:val="single" w:sz="4" w:space="0" w:color="auto"/>
              <w:right w:val="single" w:sz="4" w:space="0" w:color="auto"/>
            </w:tcBorders>
            <w:vAlign w:val="center"/>
          </w:tcPr>
          <w:p w:rsidR="00C821BE" w:rsidRPr="0010784C" w:rsidRDefault="00C821BE" w:rsidP="00C821BE">
            <w:pPr>
              <w:autoSpaceDE w:val="0"/>
              <w:autoSpaceDN w:val="0"/>
              <w:adjustRightInd w:val="0"/>
              <w:spacing w:after="0" w:line="276" w:lineRule="auto"/>
              <w:jc w:val="both"/>
              <w:rPr>
                <w:rFonts w:ascii="Times New Roman" w:hAnsi="Times New Roman"/>
                <w:sz w:val="16"/>
                <w:szCs w:val="16"/>
                <w:lang w:val="en-US"/>
              </w:rPr>
            </w:pPr>
            <w:r w:rsidRPr="0010784C">
              <w:rPr>
                <w:rFonts w:ascii="Times New Roman" w:hAnsi="Times New Roman"/>
                <w:bCs/>
                <w:sz w:val="16"/>
                <w:szCs w:val="16"/>
                <w:lang w:val="en-US"/>
              </w:rPr>
              <w:t>Risk of causing disturbances to the water distribution networks or risk of shutdown of the tanks for hours.</w:t>
            </w:r>
          </w:p>
        </w:tc>
        <w:tc>
          <w:tcPr>
            <w:tcW w:w="4529" w:type="dxa"/>
            <w:tcBorders>
              <w:top w:val="single" w:sz="4" w:space="0" w:color="auto"/>
              <w:left w:val="single" w:sz="4" w:space="0" w:color="auto"/>
              <w:bottom w:val="single" w:sz="4" w:space="0" w:color="auto"/>
              <w:right w:val="single" w:sz="4" w:space="0" w:color="auto"/>
            </w:tcBorders>
            <w:vAlign w:val="center"/>
          </w:tcPr>
          <w:p w:rsidR="00C821BE" w:rsidRPr="0010784C" w:rsidRDefault="00C821BE" w:rsidP="00C821BE">
            <w:pPr>
              <w:spacing w:after="0" w:line="276" w:lineRule="auto"/>
              <w:jc w:val="both"/>
              <w:rPr>
                <w:rFonts w:ascii="Times New Roman" w:hAnsi="Times New Roman"/>
                <w:bCs/>
                <w:sz w:val="16"/>
                <w:szCs w:val="16"/>
                <w:lang w:val="en-US"/>
              </w:rPr>
            </w:pPr>
            <w:r w:rsidRPr="0010784C">
              <w:rPr>
                <w:rFonts w:ascii="Times New Roman" w:hAnsi="Times New Roman"/>
                <w:bCs/>
                <w:sz w:val="16"/>
                <w:szCs w:val="16"/>
                <w:lang w:val="en-US"/>
              </w:rPr>
              <w:t>-Inform users during maintenance and repair work;</w:t>
            </w:r>
          </w:p>
          <w:p w:rsidR="00C821BE" w:rsidRPr="0010784C" w:rsidRDefault="00C821BE" w:rsidP="00C821BE">
            <w:pPr>
              <w:spacing w:after="0" w:line="276" w:lineRule="auto"/>
              <w:jc w:val="both"/>
              <w:rPr>
                <w:rFonts w:ascii="Times New Roman" w:hAnsi="Times New Roman"/>
                <w:bCs/>
                <w:sz w:val="16"/>
                <w:szCs w:val="16"/>
                <w:lang w:val="en-US"/>
              </w:rPr>
            </w:pPr>
            <w:r w:rsidRPr="0010784C">
              <w:rPr>
                <w:rFonts w:ascii="Times New Roman" w:hAnsi="Times New Roman"/>
                <w:bCs/>
                <w:sz w:val="16"/>
                <w:szCs w:val="16"/>
                <w:lang w:val="en-US"/>
              </w:rPr>
              <w:t>- Make television spots indicating the areas concerned;</w:t>
            </w:r>
          </w:p>
          <w:p w:rsidR="00C821BE" w:rsidRPr="0010784C" w:rsidRDefault="00C821BE" w:rsidP="00C821BE">
            <w:pPr>
              <w:spacing w:after="0" w:line="276" w:lineRule="auto"/>
              <w:jc w:val="both"/>
              <w:rPr>
                <w:rFonts w:ascii="Times New Roman" w:hAnsi="Times New Roman"/>
                <w:bCs/>
                <w:sz w:val="16"/>
                <w:szCs w:val="16"/>
                <w:lang w:val="en-US"/>
              </w:rPr>
            </w:pPr>
            <w:r w:rsidRPr="0010784C">
              <w:rPr>
                <w:rFonts w:ascii="Times New Roman" w:hAnsi="Times New Roman"/>
                <w:bCs/>
                <w:sz w:val="16"/>
                <w:szCs w:val="16"/>
                <w:lang w:val="en-US"/>
              </w:rPr>
              <w:t>-Develop a communication plan;</w:t>
            </w:r>
          </w:p>
          <w:p w:rsidR="00C821BE" w:rsidRPr="0010784C" w:rsidRDefault="00C821BE" w:rsidP="00C821BE">
            <w:pPr>
              <w:spacing w:after="0" w:line="276" w:lineRule="auto"/>
              <w:jc w:val="both"/>
              <w:rPr>
                <w:rFonts w:ascii="Times New Roman" w:hAnsi="Times New Roman"/>
                <w:bCs/>
                <w:sz w:val="16"/>
                <w:szCs w:val="16"/>
                <w:lang w:val="en-US"/>
              </w:rPr>
            </w:pPr>
            <w:r w:rsidRPr="0010784C">
              <w:rPr>
                <w:rFonts w:ascii="Times New Roman" w:hAnsi="Times New Roman"/>
                <w:bCs/>
                <w:sz w:val="16"/>
                <w:szCs w:val="16"/>
                <w:lang w:val="en-US"/>
              </w:rPr>
              <w:t>- Establish well-adapted schedules in relation to the functioning of the activities of the environment.</w:t>
            </w:r>
          </w:p>
        </w:tc>
        <w:tc>
          <w:tcPr>
            <w:tcW w:w="2845" w:type="dxa"/>
            <w:tcBorders>
              <w:top w:val="single" w:sz="4" w:space="0" w:color="auto"/>
              <w:left w:val="single" w:sz="4" w:space="0" w:color="auto"/>
              <w:bottom w:val="single" w:sz="4" w:space="0" w:color="auto"/>
              <w:right w:val="single" w:sz="4" w:space="0" w:color="auto"/>
            </w:tcBorders>
            <w:vAlign w:val="center"/>
          </w:tcPr>
          <w:p w:rsidR="00C821BE" w:rsidRPr="0010784C" w:rsidRDefault="00C821BE" w:rsidP="00C821BE">
            <w:pPr>
              <w:autoSpaceDE w:val="0"/>
              <w:autoSpaceDN w:val="0"/>
              <w:adjustRightInd w:val="0"/>
              <w:spacing w:after="0" w:line="276" w:lineRule="auto"/>
              <w:jc w:val="both"/>
              <w:rPr>
                <w:rFonts w:ascii="Times New Roman" w:hAnsi="Times New Roman"/>
                <w:sz w:val="16"/>
                <w:szCs w:val="16"/>
                <w:lang w:val="en-US"/>
              </w:rPr>
            </w:pPr>
            <w:r w:rsidRPr="0010784C">
              <w:rPr>
                <w:rFonts w:ascii="Times New Roman" w:hAnsi="Times New Roman"/>
                <w:sz w:val="16"/>
                <w:szCs w:val="16"/>
                <w:lang w:val="en-US"/>
              </w:rPr>
              <w:t>-Number of people or users informed;</w:t>
            </w:r>
          </w:p>
          <w:p w:rsidR="00C821BE" w:rsidRPr="0010784C" w:rsidRDefault="00C821BE" w:rsidP="00C821BE">
            <w:pPr>
              <w:autoSpaceDE w:val="0"/>
              <w:autoSpaceDN w:val="0"/>
              <w:adjustRightInd w:val="0"/>
              <w:spacing w:after="0" w:line="276" w:lineRule="auto"/>
              <w:jc w:val="both"/>
              <w:rPr>
                <w:rFonts w:ascii="Times New Roman" w:hAnsi="Times New Roman"/>
                <w:sz w:val="16"/>
                <w:szCs w:val="16"/>
                <w:lang w:val="en-US"/>
              </w:rPr>
            </w:pPr>
            <w:r w:rsidRPr="0010784C">
              <w:rPr>
                <w:rFonts w:ascii="Times New Roman" w:hAnsi="Times New Roman"/>
                <w:sz w:val="16"/>
                <w:szCs w:val="16"/>
                <w:lang w:val="en-US"/>
              </w:rPr>
              <w:t>-Presence of a schedule for tank control activities;</w:t>
            </w:r>
          </w:p>
          <w:p w:rsidR="00C821BE" w:rsidRPr="0010784C" w:rsidRDefault="00C821BE" w:rsidP="00C821BE">
            <w:pPr>
              <w:autoSpaceDE w:val="0"/>
              <w:autoSpaceDN w:val="0"/>
              <w:adjustRightInd w:val="0"/>
              <w:spacing w:after="0" w:line="276" w:lineRule="auto"/>
              <w:jc w:val="both"/>
              <w:rPr>
                <w:rFonts w:ascii="Times New Roman" w:hAnsi="Times New Roman"/>
                <w:sz w:val="16"/>
                <w:szCs w:val="16"/>
                <w:lang w:val="en-US"/>
              </w:rPr>
            </w:pPr>
            <w:r w:rsidRPr="0010784C">
              <w:rPr>
                <w:rFonts w:ascii="Times New Roman" w:hAnsi="Times New Roman"/>
                <w:sz w:val="16"/>
                <w:szCs w:val="16"/>
                <w:lang w:val="en-US"/>
              </w:rPr>
              <w:t>- Presence of a traffic plan in the event of major repairs on the access roads;</w:t>
            </w:r>
          </w:p>
          <w:p w:rsidR="00C821BE" w:rsidRPr="0010784C" w:rsidRDefault="00C821BE" w:rsidP="00C821BE">
            <w:pPr>
              <w:autoSpaceDE w:val="0"/>
              <w:autoSpaceDN w:val="0"/>
              <w:adjustRightInd w:val="0"/>
              <w:spacing w:after="0" w:line="276" w:lineRule="auto"/>
              <w:jc w:val="both"/>
              <w:rPr>
                <w:rFonts w:ascii="Times New Roman" w:hAnsi="Times New Roman"/>
                <w:sz w:val="16"/>
                <w:szCs w:val="16"/>
                <w:lang w:val="en-US"/>
              </w:rPr>
            </w:pPr>
            <w:r w:rsidRPr="0010784C">
              <w:rPr>
                <w:rFonts w:ascii="Times New Roman" w:hAnsi="Times New Roman"/>
                <w:sz w:val="16"/>
                <w:szCs w:val="16"/>
                <w:lang w:val="en-US"/>
              </w:rPr>
              <w:t>-Presence of a communication plan;</w:t>
            </w:r>
          </w:p>
        </w:tc>
        <w:tc>
          <w:tcPr>
            <w:tcW w:w="993"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C821BE" w:rsidRPr="0010784C" w:rsidRDefault="00C821BE" w:rsidP="00C821BE">
            <w:pPr>
              <w:autoSpaceDE w:val="0"/>
              <w:autoSpaceDN w:val="0"/>
              <w:adjustRightInd w:val="0"/>
              <w:spacing w:after="0" w:line="276" w:lineRule="auto"/>
              <w:jc w:val="center"/>
              <w:rPr>
                <w:rFonts w:ascii="Times New Roman" w:hAnsi="Times New Roman"/>
                <w:b/>
                <w:sz w:val="16"/>
                <w:szCs w:val="16"/>
                <w:lang w:val="en-US"/>
              </w:rPr>
            </w:pPr>
            <w:r w:rsidRPr="0010784C">
              <w:rPr>
                <w:rFonts w:ascii="Times New Roman" w:hAnsi="Times New Roman"/>
                <w:b/>
                <w:sz w:val="16"/>
                <w:szCs w:val="16"/>
                <w:lang w:val="en-US"/>
              </w:rPr>
              <w:t>EAGB</w:t>
            </w:r>
          </w:p>
          <w:p w:rsidR="00C821BE" w:rsidRPr="0010784C" w:rsidRDefault="00C821BE" w:rsidP="00C821BE">
            <w:pPr>
              <w:autoSpaceDE w:val="0"/>
              <w:autoSpaceDN w:val="0"/>
              <w:adjustRightInd w:val="0"/>
              <w:spacing w:after="0" w:line="276" w:lineRule="auto"/>
              <w:jc w:val="center"/>
              <w:rPr>
                <w:rFonts w:ascii="Times New Roman" w:hAnsi="Times New Roman"/>
                <w:b/>
                <w:sz w:val="16"/>
                <w:szCs w:val="16"/>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C821BE" w:rsidRPr="0010784C" w:rsidRDefault="00C821BE" w:rsidP="00C821BE">
            <w:pPr>
              <w:autoSpaceDE w:val="0"/>
              <w:autoSpaceDN w:val="0"/>
              <w:adjustRightInd w:val="0"/>
              <w:spacing w:after="0" w:line="276" w:lineRule="auto"/>
              <w:jc w:val="center"/>
              <w:rPr>
                <w:rFonts w:ascii="Times New Roman" w:hAnsi="Times New Roman"/>
                <w:b/>
                <w:sz w:val="16"/>
                <w:szCs w:val="16"/>
                <w:lang w:val="en-US"/>
              </w:rPr>
            </w:pPr>
            <w:r w:rsidRPr="0010784C">
              <w:rPr>
                <w:rFonts w:ascii="Times New Roman" w:hAnsi="Times New Roman"/>
                <w:b/>
                <w:sz w:val="16"/>
                <w:szCs w:val="16"/>
                <w:lang w:val="en-US"/>
              </w:rPr>
              <w:t>Monitoring committee</w:t>
            </w:r>
          </w:p>
          <w:p w:rsidR="00C821BE" w:rsidRPr="0010784C" w:rsidRDefault="00C821BE" w:rsidP="00C821BE">
            <w:pPr>
              <w:autoSpaceDE w:val="0"/>
              <w:autoSpaceDN w:val="0"/>
              <w:adjustRightInd w:val="0"/>
              <w:spacing w:after="0" w:line="276" w:lineRule="auto"/>
              <w:jc w:val="center"/>
              <w:rPr>
                <w:rFonts w:ascii="Times New Roman" w:hAnsi="Times New Roman"/>
                <w:b/>
                <w:sz w:val="16"/>
                <w:szCs w:val="16"/>
                <w:lang w:val="en-US"/>
              </w:rPr>
            </w:pPr>
          </w:p>
          <w:p w:rsidR="00C821BE" w:rsidRPr="0010784C" w:rsidRDefault="00C821BE" w:rsidP="00C821BE">
            <w:pPr>
              <w:autoSpaceDE w:val="0"/>
              <w:autoSpaceDN w:val="0"/>
              <w:adjustRightInd w:val="0"/>
              <w:spacing w:after="0" w:line="276" w:lineRule="auto"/>
              <w:jc w:val="center"/>
              <w:rPr>
                <w:rFonts w:ascii="Times New Roman" w:hAnsi="Times New Roman"/>
                <w:b/>
                <w:sz w:val="16"/>
                <w:szCs w:val="16"/>
                <w:lang w:val="en-US"/>
              </w:rPr>
            </w:pPr>
            <w:r w:rsidRPr="0010784C">
              <w:rPr>
                <w:rFonts w:ascii="Times New Roman" w:hAnsi="Times New Roman"/>
                <w:b/>
                <w:sz w:val="16"/>
                <w:szCs w:val="16"/>
                <w:lang w:val="en-US"/>
              </w:rPr>
              <w:t>PUASEE-FA</w:t>
            </w:r>
          </w:p>
        </w:tc>
        <w:tc>
          <w:tcPr>
            <w:tcW w:w="978" w:type="dxa"/>
            <w:tcBorders>
              <w:top w:val="single" w:sz="4" w:space="0" w:color="auto"/>
              <w:left w:val="single" w:sz="4" w:space="0" w:color="auto"/>
              <w:bottom w:val="single" w:sz="4" w:space="0" w:color="auto"/>
              <w:right w:val="single" w:sz="4" w:space="0" w:color="auto"/>
            </w:tcBorders>
            <w:vAlign w:val="center"/>
          </w:tcPr>
          <w:p w:rsidR="00C821BE" w:rsidRPr="0010784C" w:rsidRDefault="00C821BE" w:rsidP="00C821BE">
            <w:pPr>
              <w:autoSpaceDE w:val="0"/>
              <w:autoSpaceDN w:val="0"/>
              <w:adjustRightInd w:val="0"/>
              <w:spacing w:after="0" w:line="276" w:lineRule="auto"/>
              <w:jc w:val="center"/>
              <w:rPr>
                <w:rFonts w:ascii="Times New Roman" w:hAnsi="Times New Roman"/>
                <w:sz w:val="16"/>
                <w:szCs w:val="16"/>
                <w:lang w:val="en-US"/>
              </w:rPr>
            </w:pPr>
            <w:r w:rsidRPr="0010784C">
              <w:rPr>
                <w:rFonts w:ascii="Times New Roman" w:hAnsi="Times New Roman"/>
                <w:sz w:val="16"/>
                <w:szCs w:val="16"/>
                <w:lang w:val="en-US"/>
              </w:rPr>
              <w:t>At the start and continuously</w:t>
            </w:r>
          </w:p>
        </w:tc>
        <w:tc>
          <w:tcPr>
            <w:tcW w:w="865" w:type="dxa"/>
            <w:tcBorders>
              <w:top w:val="single" w:sz="4" w:space="0" w:color="auto"/>
              <w:left w:val="single" w:sz="4" w:space="0" w:color="auto"/>
              <w:bottom w:val="single" w:sz="4" w:space="0" w:color="auto"/>
              <w:right w:val="single" w:sz="4" w:space="0" w:color="auto"/>
            </w:tcBorders>
            <w:vAlign w:val="center"/>
          </w:tcPr>
          <w:p w:rsidR="00C821BE" w:rsidRPr="0010784C" w:rsidRDefault="00C821BE" w:rsidP="00C821BE">
            <w:pPr>
              <w:autoSpaceDE w:val="0"/>
              <w:autoSpaceDN w:val="0"/>
              <w:adjustRightInd w:val="0"/>
              <w:spacing w:after="0" w:line="276" w:lineRule="auto"/>
              <w:jc w:val="center"/>
              <w:rPr>
                <w:rFonts w:ascii="Times New Roman" w:hAnsi="Times New Roman"/>
                <w:sz w:val="16"/>
                <w:szCs w:val="16"/>
                <w:lang w:val="en-US"/>
              </w:rPr>
            </w:pPr>
            <w:r w:rsidRPr="0010784C">
              <w:rPr>
                <w:rFonts w:ascii="Times New Roman" w:hAnsi="Times New Roman"/>
                <w:sz w:val="16"/>
                <w:szCs w:val="16"/>
                <w:lang w:val="en-US"/>
              </w:rPr>
              <w:t>Before every network repair</w:t>
            </w:r>
          </w:p>
        </w:tc>
        <w:tc>
          <w:tcPr>
            <w:tcW w:w="1133" w:type="dxa"/>
            <w:tcBorders>
              <w:top w:val="single" w:sz="4" w:space="0" w:color="auto"/>
              <w:left w:val="single" w:sz="4" w:space="0" w:color="auto"/>
              <w:bottom w:val="single" w:sz="4" w:space="0" w:color="auto"/>
              <w:right w:val="single" w:sz="4" w:space="0" w:color="auto"/>
            </w:tcBorders>
            <w:vAlign w:val="center"/>
          </w:tcPr>
          <w:p w:rsidR="00C821BE" w:rsidRPr="0010784C" w:rsidRDefault="00C821BE" w:rsidP="00C821BE">
            <w:pPr>
              <w:autoSpaceDE w:val="0"/>
              <w:autoSpaceDN w:val="0"/>
              <w:adjustRightInd w:val="0"/>
              <w:spacing w:after="0" w:line="276" w:lineRule="auto"/>
              <w:jc w:val="center"/>
              <w:rPr>
                <w:rFonts w:ascii="Times New Roman" w:hAnsi="Times New Roman"/>
                <w:b/>
                <w:sz w:val="16"/>
                <w:szCs w:val="16"/>
                <w:lang w:val="en-US"/>
              </w:rPr>
            </w:pPr>
            <w:r w:rsidRPr="0010784C">
              <w:rPr>
                <w:rFonts w:ascii="Times New Roman" w:hAnsi="Times New Roman"/>
                <w:b/>
                <w:sz w:val="16"/>
                <w:szCs w:val="16"/>
                <w:lang w:val="en-US"/>
              </w:rPr>
              <w:t>4,000,000</w:t>
            </w:r>
          </w:p>
        </w:tc>
      </w:tr>
      <w:tr w:rsidR="00C821BE" w:rsidRPr="0010784C" w:rsidTr="00C821BE">
        <w:trPr>
          <w:trHeight w:val="678"/>
          <w:jc w:val="center"/>
        </w:trPr>
        <w:tc>
          <w:tcPr>
            <w:tcW w:w="1008" w:type="dxa"/>
            <w:vMerge/>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C821BE" w:rsidRPr="0010784C" w:rsidRDefault="00C821BE" w:rsidP="00C821BE">
            <w:pPr>
              <w:autoSpaceDE w:val="0"/>
              <w:autoSpaceDN w:val="0"/>
              <w:adjustRightInd w:val="0"/>
              <w:spacing w:after="0" w:line="276" w:lineRule="auto"/>
              <w:jc w:val="center"/>
              <w:rPr>
                <w:rFonts w:ascii="Times New Roman" w:hAnsi="Times New Roman"/>
                <w:b/>
                <w:bCs/>
                <w:sz w:val="16"/>
                <w:szCs w:val="16"/>
                <w:lang w:val="en-US"/>
              </w:rPr>
            </w:pPr>
          </w:p>
        </w:tc>
        <w:tc>
          <w:tcPr>
            <w:tcW w:w="2386" w:type="dxa"/>
            <w:tcBorders>
              <w:top w:val="single" w:sz="4" w:space="0" w:color="auto"/>
              <w:left w:val="single" w:sz="4" w:space="0" w:color="auto"/>
              <w:bottom w:val="single" w:sz="4" w:space="0" w:color="auto"/>
              <w:right w:val="single" w:sz="4" w:space="0" w:color="auto"/>
            </w:tcBorders>
            <w:vAlign w:val="center"/>
          </w:tcPr>
          <w:p w:rsidR="00C821BE" w:rsidRPr="0010784C" w:rsidRDefault="00C821BE" w:rsidP="00C821BE">
            <w:pPr>
              <w:autoSpaceDE w:val="0"/>
              <w:autoSpaceDN w:val="0"/>
              <w:adjustRightInd w:val="0"/>
              <w:spacing w:after="0" w:line="276" w:lineRule="auto"/>
              <w:jc w:val="both"/>
              <w:rPr>
                <w:rFonts w:ascii="Times New Roman" w:hAnsi="Times New Roman"/>
                <w:sz w:val="16"/>
                <w:szCs w:val="16"/>
                <w:lang w:val="en-US"/>
              </w:rPr>
            </w:pPr>
            <w:r w:rsidRPr="0010784C">
              <w:rPr>
                <w:rFonts w:ascii="Times New Roman" w:hAnsi="Times New Roman"/>
                <w:bCs/>
                <w:sz w:val="16"/>
                <w:szCs w:val="16"/>
                <w:lang w:val="en-US"/>
              </w:rPr>
              <w:t>Risk of increased insalubrity linked to poor wastewater management.</w:t>
            </w:r>
          </w:p>
        </w:tc>
        <w:tc>
          <w:tcPr>
            <w:tcW w:w="4529" w:type="dxa"/>
            <w:tcBorders>
              <w:top w:val="single" w:sz="4" w:space="0" w:color="auto"/>
              <w:left w:val="single" w:sz="4" w:space="0" w:color="auto"/>
              <w:bottom w:val="single" w:sz="4" w:space="0" w:color="auto"/>
              <w:right w:val="single" w:sz="4" w:space="0" w:color="auto"/>
            </w:tcBorders>
            <w:vAlign w:val="center"/>
          </w:tcPr>
          <w:p w:rsidR="00C821BE" w:rsidRPr="0010784C" w:rsidRDefault="00C821BE" w:rsidP="00C821BE">
            <w:pPr>
              <w:spacing w:after="0" w:line="276" w:lineRule="auto"/>
              <w:jc w:val="both"/>
              <w:rPr>
                <w:rFonts w:ascii="Times New Roman" w:hAnsi="Times New Roman"/>
                <w:bCs/>
                <w:sz w:val="16"/>
                <w:szCs w:val="16"/>
                <w:lang w:val="en-US"/>
              </w:rPr>
            </w:pPr>
            <w:r w:rsidRPr="0010784C">
              <w:rPr>
                <w:rFonts w:ascii="Times New Roman" w:hAnsi="Times New Roman"/>
                <w:bCs/>
                <w:sz w:val="16"/>
                <w:szCs w:val="16"/>
                <w:lang w:val="en-US"/>
              </w:rPr>
              <w:t>- Carry out awareness campaigns against the negative effects of household wastewater discharged into the street;</w:t>
            </w:r>
          </w:p>
          <w:p w:rsidR="00C821BE" w:rsidRPr="0010784C" w:rsidRDefault="00C821BE" w:rsidP="00C821BE">
            <w:pPr>
              <w:spacing w:after="0" w:line="276" w:lineRule="auto"/>
              <w:jc w:val="both"/>
              <w:rPr>
                <w:rFonts w:ascii="Times New Roman" w:hAnsi="Times New Roman"/>
                <w:bCs/>
                <w:sz w:val="16"/>
                <w:szCs w:val="16"/>
                <w:lang w:val="en-US"/>
              </w:rPr>
            </w:pPr>
            <w:r w:rsidRPr="0010784C">
              <w:rPr>
                <w:rFonts w:ascii="Times New Roman" w:hAnsi="Times New Roman"/>
                <w:bCs/>
                <w:sz w:val="16"/>
                <w:szCs w:val="16"/>
                <w:lang w:val="en-US"/>
              </w:rPr>
              <w:t>-Set up wastewater treatment systems in the country;</w:t>
            </w:r>
          </w:p>
          <w:p w:rsidR="00C821BE" w:rsidRPr="0010784C" w:rsidRDefault="00C821BE" w:rsidP="00C821BE">
            <w:pPr>
              <w:spacing w:after="0" w:line="276" w:lineRule="auto"/>
              <w:jc w:val="both"/>
              <w:rPr>
                <w:rFonts w:ascii="Times New Roman" w:hAnsi="Times New Roman"/>
                <w:bCs/>
                <w:sz w:val="16"/>
                <w:szCs w:val="16"/>
                <w:lang w:val="en-US"/>
              </w:rPr>
            </w:pPr>
            <w:r w:rsidRPr="0010784C">
              <w:rPr>
                <w:rFonts w:ascii="Times New Roman" w:hAnsi="Times New Roman"/>
                <w:bCs/>
                <w:sz w:val="16"/>
                <w:szCs w:val="16"/>
                <w:lang w:val="en-US"/>
              </w:rPr>
              <w:t>- Supervise and train the sanitation, hygiene and health services on the existing risks;</w:t>
            </w:r>
          </w:p>
          <w:p w:rsidR="00C821BE" w:rsidRPr="0010784C" w:rsidRDefault="00C821BE" w:rsidP="00C821BE">
            <w:pPr>
              <w:spacing w:after="0" w:line="276" w:lineRule="auto"/>
              <w:jc w:val="both"/>
              <w:rPr>
                <w:rFonts w:ascii="Times New Roman" w:hAnsi="Times New Roman"/>
                <w:bCs/>
                <w:sz w:val="16"/>
                <w:szCs w:val="16"/>
                <w:lang w:val="en-US"/>
              </w:rPr>
            </w:pPr>
            <w:r w:rsidRPr="0010784C">
              <w:rPr>
                <w:rFonts w:ascii="Times New Roman" w:hAnsi="Times New Roman"/>
                <w:bCs/>
                <w:sz w:val="16"/>
                <w:szCs w:val="16"/>
                <w:lang w:val="en-US"/>
              </w:rPr>
              <w:lastRenderedPageBreak/>
              <w:t>-Implement new laws and regulations adapted to the level of sanitation.</w:t>
            </w:r>
          </w:p>
        </w:tc>
        <w:tc>
          <w:tcPr>
            <w:tcW w:w="2845" w:type="dxa"/>
            <w:tcBorders>
              <w:top w:val="single" w:sz="4" w:space="0" w:color="auto"/>
              <w:left w:val="single" w:sz="4" w:space="0" w:color="auto"/>
              <w:bottom w:val="single" w:sz="4" w:space="0" w:color="auto"/>
              <w:right w:val="single" w:sz="4" w:space="0" w:color="auto"/>
            </w:tcBorders>
            <w:vAlign w:val="center"/>
          </w:tcPr>
          <w:p w:rsidR="00C821BE" w:rsidRPr="0010784C" w:rsidRDefault="00C821BE" w:rsidP="00C821BE">
            <w:pPr>
              <w:autoSpaceDE w:val="0"/>
              <w:autoSpaceDN w:val="0"/>
              <w:adjustRightInd w:val="0"/>
              <w:spacing w:after="0" w:line="276" w:lineRule="auto"/>
              <w:jc w:val="both"/>
              <w:rPr>
                <w:rFonts w:ascii="Times New Roman" w:hAnsi="Times New Roman"/>
                <w:sz w:val="16"/>
                <w:szCs w:val="16"/>
                <w:lang w:val="en-US"/>
              </w:rPr>
            </w:pPr>
            <w:r w:rsidRPr="0010784C">
              <w:rPr>
                <w:rFonts w:ascii="Times New Roman" w:hAnsi="Times New Roman"/>
                <w:sz w:val="16"/>
                <w:szCs w:val="16"/>
                <w:lang w:val="en-US"/>
              </w:rPr>
              <w:lastRenderedPageBreak/>
              <w:t>-Number of awareness campaign carried out;</w:t>
            </w:r>
          </w:p>
          <w:p w:rsidR="00C821BE" w:rsidRPr="0010784C" w:rsidRDefault="00C821BE" w:rsidP="00C821BE">
            <w:pPr>
              <w:autoSpaceDE w:val="0"/>
              <w:autoSpaceDN w:val="0"/>
              <w:adjustRightInd w:val="0"/>
              <w:spacing w:after="0" w:line="276" w:lineRule="auto"/>
              <w:jc w:val="both"/>
              <w:rPr>
                <w:rFonts w:ascii="Times New Roman" w:hAnsi="Times New Roman"/>
                <w:sz w:val="16"/>
                <w:szCs w:val="16"/>
                <w:lang w:val="en-US"/>
              </w:rPr>
            </w:pPr>
            <w:r w:rsidRPr="0010784C">
              <w:rPr>
                <w:rFonts w:ascii="Times New Roman" w:hAnsi="Times New Roman"/>
                <w:sz w:val="16"/>
                <w:szCs w:val="16"/>
                <w:lang w:val="en-US"/>
              </w:rPr>
              <w:t>-Presence of a specialized service;</w:t>
            </w:r>
          </w:p>
          <w:p w:rsidR="00C821BE" w:rsidRPr="0010784C" w:rsidRDefault="00C821BE" w:rsidP="00C821BE">
            <w:pPr>
              <w:autoSpaceDE w:val="0"/>
              <w:autoSpaceDN w:val="0"/>
              <w:adjustRightInd w:val="0"/>
              <w:spacing w:after="0" w:line="276" w:lineRule="auto"/>
              <w:jc w:val="both"/>
              <w:rPr>
                <w:rFonts w:ascii="Times New Roman" w:hAnsi="Times New Roman"/>
                <w:sz w:val="16"/>
                <w:szCs w:val="16"/>
                <w:lang w:val="en-US"/>
              </w:rPr>
            </w:pPr>
            <w:r w:rsidRPr="0010784C">
              <w:rPr>
                <w:rFonts w:ascii="Times New Roman" w:hAnsi="Times New Roman"/>
                <w:sz w:val="16"/>
                <w:szCs w:val="16"/>
                <w:lang w:val="en-US"/>
              </w:rPr>
              <w:t>-Number of people supervised and trained;</w:t>
            </w:r>
          </w:p>
          <w:p w:rsidR="00C821BE" w:rsidRPr="0010784C" w:rsidRDefault="00C821BE" w:rsidP="00C821BE">
            <w:pPr>
              <w:autoSpaceDE w:val="0"/>
              <w:autoSpaceDN w:val="0"/>
              <w:adjustRightInd w:val="0"/>
              <w:spacing w:after="0" w:line="276" w:lineRule="auto"/>
              <w:jc w:val="both"/>
              <w:rPr>
                <w:rFonts w:ascii="Times New Roman" w:hAnsi="Times New Roman"/>
                <w:sz w:val="16"/>
                <w:szCs w:val="16"/>
                <w:lang w:val="en-US"/>
              </w:rPr>
            </w:pPr>
            <w:r w:rsidRPr="0010784C">
              <w:rPr>
                <w:rFonts w:ascii="Times New Roman" w:hAnsi="Times New Roman"/>
                <w:sz w:val="16"/>
                <w:szCs w:val="16"/>
                <w:lang w:val="en-US"/>
              </w:rPr>
              <w:t>-Existence of a law or regulation;</w:t>
            </w:r>
          </w:p>
        </w:tc>
        <w:tc>
          <w:tcPr>
            <w:tcW w:w="993"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C821BE" w:rsidRPr="0010784C" w:rsidRDefault="00C821BE" w:rsidP="00C821BE">
            <w:pPr>
              <w:autoSpaceDE w:val="0"/>
              <w:autoSpaceDN w:val="0"/>
              <w:adjustRightInd w:val="0"/>
              <w:spacing w:after="0" w:line="276" w:lineRule="auto"/>
              <w:jc w:val="center"/>
              <w:rPr>
                <w:rFonts w:ascii="Times New Roman" w:hAnsi="Times New Roman"/>
                <w:b/>
                <w:sz w:val="16"/>
                <w:szCs w:val="16"/>
                <w:lang w:val="en-US"/>
              </w:rPr>
            </w:pPr>
            <w:r w:rsidRPr="0010784C">
              <w:rPr>
                <w:rFonts w:ascii="Times New Roman" w:hAnsi="Times New Roman"/>
                <w:b/>
                <w:sz w:val="16"/>
                <w:szCs w:val="16"/>
                <w:lang w:val="en-US"/>
              </w:rPr>
              <w:t>STATE</w:t>
            </w:r>
          </w:p>
        </w:tc>
        <w:tc>
          <w:tcPr>
            <w:tcW w:w="1134"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C821BE" w:rsidRPr="0010784C" w:rsidRDefault="00C821BE" w:rsidP="00C821BE">
            <w:pPr>
              <w:autoSpaceDE w:val="0"/>
              <w:autoSpaceDN w:val="0"/>
              <w:adjustRightInd w:val="0"/>
              <w:spacing w:after="0" w:line="276" w:lineRule="auto"/>
              <w:jc w:val="center"/>
              <w:rPr>
                <w:rFonts w:ascii="Times New Roman" w:hAnsi="Times New Roman"/>
                <w:b/>
                <w:sz w:val="16"/>
                <w:szCs w:val="16"/>
                <w:lang w:val="en-US"/>
              </w:rPr>
            </w:pPr>
            <w:r w:rsidRPr="0010784C">
              <w:rPr>
                <w:rFonts w:ascii="Times New Roman" w:hAnsi="Times New Roman"/>
                <w:b/>
                <w:sz w:val="16"/>
                <w:szCs w:val="16"/>
                <w:lang w:val="en-US"/>
              </w:rPr>
              <w:t>Monitoring committee</w:t>
            </w:r>
          </w:p>
        </w:tc>
        <w:tc>
          <w:tcPr>
            <w:tcW w:w="978" w:type="dxa"/>
            <w:tcBorders>
              <w:top w:val="single" w:sz="4" w:space="0" w:color="auto"/>
              <w:left w:val="single" w:sz="4" w:space="0" w:color="auto"/>
              <w:bottom w:val="single" w:sz="4" w:space="0" w:color="auto"/>
              <w:right w:val="single" w:sz="4" w:space="0" w:color="auto"/>
            </w:tcBorders>
            <w:vAlign w:val="center"/>
          </w:tcPr>
          <w:p w:rsidR="00C821BE" w:rsidRPr="0010784C" w:rsidRDefault="00C821BE" w:rsidP="00C821BE">
            <w:pPr>
              <w:autoSpaceDE w:val="0"/>
              <w:autoSpaceDN w:val="0"/>
              <w:adjustRightInd w:val="0"/>
              <w:spacing w:after="0" w:line="276" w:lineRule="auto"/>
              <w:jc w:val="center"/>
              <w:rPr>
                <w:rFonts w:ascii="Times New Roman" w:hAnsi="Times New Roman"/>
                <w:sz w:val="16"/>
                <w:szCs w:val="16"/>
                <w:lang w:val="en-US"/>
              </w:rPr>
            </w:pPr>
            <w:r w:rsidRPr="0010784C">
              <w:rPr>
                <w:rFonts w:ascii="Times New Roman" w:hAnsi="Times New Roman"/>
                <w:sz w:val="16"/>
                <w:szCs w:val="16"/>
                <w:lang w:val="en-US"/>
              </w:rPr>
              <w:t>At the start and continuously</w:t>
            </w:r>
          </w:p>
        </w:tc>
        <w:tc>
          <w:tcPr>
            <w:tcW w:w="865" w:type="dxa"/>
            <w:tcBorders>
              <w:top w:val="single" w:sz="4" w:space="0" w:color="auto"/>
              <w:left w:val="single" w:sz="4" w:space="0" w:color="auto"/>
              <w:bottom w:val="single" w:sz="4" w:space="0" w:color="auto"/>
              <w:right w:val="single" w:sz="4" w:space="0" w:color="auto"/>
            </w:tcBorders>
            <w:vAlign w:val="center"/>
          </w:tcPr>
          <w:p w:rsidR="00C821BE" w:rsidRPr="0010784C" w:rsidRDefault="00C821BE" w:rsidP="00C821BE">
            <w:pPr>
              <w:autoSpaceDE w:val="0"/>
              <w:autoSpaceDN w:val="0"/>
              <w:adjustRightInd w:val="0"/>
              <w:spacing w:after="0" w:line="276" w:lineRule="auto"/>
              <w:jc w:val="center"/>
              <w:rPr>
                <w:rFonts w:ascii="Times New Roman" w:hAnsi="Times New Roman"/>
                <w:sz w:val="16"/>
                <w:szCs w:val="16"/>
                <w:lang w:val="en-US"/>
              </w:rPr>
            </w:pPr>
            <w:r w:rsidRPr="0010784C">
              <w:rPr>
                <w:rFonts w:ascii="Times New Roman" w:hAnsi="Times New Roman"/>
                <w:sz w:val="16"/>
                <w:szCs w:val="16"/>
                <w:lang w:val="en-US"/>
              </w:rPr>
              <w:t>Three times a year</w:t>
            </w:r>
          </w:p>
        </w:tc>
        <w:tc>
          <w:tcPr>
            <w:tcW w:w="1133" w:type="dxa"/>
            <w:tcBorders>
              <w:top w:val="single" w:sz="4" w:space="0" w:color="auto"/>
              <w:left w:val="single" w:sz="4" w:space="0" w:color="auto"/>
              <w:bottom w:val="single" w:sz="4" w:space="0" w:color="auto"/>
              <w:right w:val="single" w:sz="4" w:space="0" w:color="auto"/>
            </w:tcBorders>
            <w:vAlign w:val="center"/>
          </w:tcPr>
          <w:p w:rsidR="00C821BE" w:rsidRPr="0010784C" w:rsidRDefault="00C821BE" w:rsidP="00C821BE">
            <w:pPr>
              <w:autoSpaceDE w:val="0"/>
              <w:autoSpaceDN w:val="0"/>
              <w:adjustRightInd w:val="0"/>
              <w:spacing w:after="0" w:line="276" w:lineRule="auto"/>
              <w:jc w:val="center"/>
              <w:rPr>
                <w:rFonts w:ascii="Times New Roman" w:hAnsi="Times New Roman"/>
                <w:b/>
                <w:sz w:val="16"/>
                <w:szCs w:val="16"/>
                <w:lang w:val="en-US"/>
              </w:rPr>
            </w:pPr>
            <w:r w:rsidRPr="0010784C">
              <w:rPr>
                <w:rFonts w:ascii="Times New Roman" w:hAnsi="Times New Roman"/>
                <w:b/>
                <w:sz w:val="16"/>
                <w:szCs w:val="16"/>
                <w:lang w:val="en-US"/>
              </w:rPr>
              <w:t>PM</w:t>
            </w:r>
          </w:p>
        </w:tc>
      </w:tr>
      <w:tr w:rsidR="00C821BE" w:rsidRPr="0010784C" w:rsidTr="00C821BE">
        <w:trPr>
          <w:trHeight w:val="70"/>
          <w:jc w:val="center"/>
        </w:trPr>
        <w:tc>
          <w:tcPr>
            <w:tcW w:w="14738" w:type="dxa"/>
            <w:gridSpan w:val="8"/>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rsidR="00C821BE" w:rsidRPr="0010784C" w:rsidRDefault="00C821BE" w:rsidP="00C821BE">
            <w:pPr>
              <w:autoSpaceDE w:val="0"/>
              <w:autoSpaceDN w:val="0"/>
              <w:adjustRightInd w:val="0"/>
              <w:spacing w:after="0" w:line="276" w:lineRule="auto"/>
              <w:jc w:val="center"/>
              <w:rPr>
                <w:rFonts w:ascii="Times New Roman" w:hAnsi="Times New Roman"/>
                <w:b/>
                <w:bCs/>
                <w:sz w:val="16"/>
                <w:szCs w:val="16"/>
                <w:lang w:val="en-US"/>
              </w:rPr>
            </w:pPr>
            <w:r w:rsidRPr="0010784C">
              <w:rPr>
                <w:rFonts w:ascii="Times New Roman" w:hAnsi="Times New Roman"/>
                <w:b/>
                <w:bCs/>
                <w:sz w:val="16"/>
                <w:szCs w:val="16"/>
                <w:lang w:val="en-US"/>
              </w:rPr>
              <w:lastRenderedPageBreak/>
              <w:t xml:space="preserve"> TOTAL</w:t>
            </w:r>
          </w:p>
        </w:tc>
        <w:tc>
          <w:tcPr>
            <w:tcW w:w="1133"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rsidR="00C821BE" w:rsidRPr="0010784C" w:rsidRDefault="00C821BE" w:rsidP="00C821BE">
            <w:pPr>
              <w:autoSpaceDE w:val="0"/>
              <w:autoSpaceDN w:val="0"/>
              <w:adjustRightInd w:val="0"/>
              <w:spacing w:after="0" w:line="276" w:lineRule="auto"/>
              <w:jc w:val="center"/>
              <w:rPr>
                <w:rFonts w:ascii="Times New Roman" w:hAnsi="Times New Roman"/>
                <w:b/>
                <w:sz w:val="16"/>
                <w:szCs w:val="16"/>
                <w:lang w:val="en-US"/>
              </w:rPr>
            </w:pPr>
            <w:r w:rsidRPr="0010784C">
              <w:rPr>
                <w:rFonts w:ascii="Times New Roman" w:hAnsi="Times New Roman"/>
                <w:b/>
                <w:sz w:val="16"/>
                <w:szCs w:val="16"/>
                <w:lang w:val="en-US"/>
              </w:rPr>
              <w:t>8,000,000</w:t>
            </w:r>
          </w:p>
        </w:tc>
      </w:tr>
    </w:tbl>
    <w:p w:rsidR="00C821BE" w:rsidRPr="0010784C" w:rsidRDefault="00C821BE" w:rsidP="00C821BE">
      <w:pPr>
        <w:rPr>
          <w:rFonts w:ascii="Times New Roman" w:hAnsi="Times New Roman"/>
          <w:lang w:val="en-US"/>
        </w:rPr>
      </w:pPr>
    </w:p>
    <w:p w:rsidR="00C821BE" w:rsidRPr="0010784C" w:rsidRDefault="00C821BE" w:rsidP="00C821BE">
      <w:pPr>
        <w:pBdr>
          <w:top w:val="single" w:sz="4" w:space="1" w:color="auto"/>
          <w:left w:val="single" w:sz="4" w:space="4" w:color="auto"/>
          <w:bottom w:val="single" w:sz="4" w:space="1" w:color="auto"/>
          <w:right w:val="single" w:sz="4" w:space="31" w:color="auto"/>
        </w:pBdr>
        <w:shd w:val="clear" w:color="auto" w:fill="FFFFFF" w:themeFill="background1"/>
        <w:autoSpaceDE w:val="0"/>
        <w:autoSpaceDN w:val="0"/>
        <w:adjustRightInd w:val="0"/>
        <w:spacing w:after="0" w:line="276" w:lineRule="auto"/>
        <w:jc w:val="center"/>
        <w:rPr>
          <w:rFonts w:ascii="Times New Roman" w:hAnsi="Times New Roman"/>
          <w:b/>
          <w:bCs/>
          <w:color w:val="FF0000"/>
          <w:sz w:val="32"/>
          <w:szCs w:val="32"/>
          <w:lang w:val="en-US"/>
        </w:rPr>
      </w:pPr>
      <w:r w:rsidRPr="0010784C">
        <w:rPr>
          <w:rFonts w:ascii="Times New Roman" w:hAnsi="Times New Roman"/>
          <w:b/>
          <w:bCs/>
          <w:color w:val="FF0000"/>
          <w:sz w:val="32"/>
          <w:szCs w:val="32"/>
          <w:lang w:val="en-US"/>
        </w:rPr>
        <w:t xml:space="preserve">OVERALL COST OF IMPLEMENTING THE ESMP IS </w:t>
      </w:r>
    </w:p>
    <w:p w:rsidR="00C821BE" w:rsidRPr="0010784C" w:rsidRDefault="00C821BE" w:rsidP="00C821BE">
      <w:pPr>
        <w:pBdr>
          <w:top w:val="single" w:sz="4" w:space="1" w:color="auto"/>
          <w:left w:val="single" w:sz="4" w:space="4" w:color="auto"/>
          <w:bottom w:val="single" w:sz="4" w:space="1" w:color="auto"/>
          <w:right w:val="single" w:sz="4" w:space="31" w:color="auto"/>
        </w:pBdr>
        <w:shd w:val="clear" w:color="auto" w:fill="FFFFFF" w:themeFill="background1"/>
        <w:autoSpaceDE w:val="0"/>
        <w:autoSpaceDN w:val="0"/>
        <w:adjustRightInd w:val="0"/>
        <w:spacing w:after="0" w:line="276" w:lineRule="auto"/>
        <w:jc w:val="center"/>
        <w:rPr>
          <w:rFonts w:ascii="Times New Roman" w:hAnsi="Times New Roman"/>
          <w:b/>
          <w:bCs/>
          <w:color w:val="FF0000"/>
          <w:sz w:val="32"/>
          <w:szCs w:val="32"/>
          <w:lang w:val="en-US"/>
        </w:rPr>
      </w:pPr>
      <w:r w:rsidRPr="0010784C">
        <w:rPr>
          <w:rFonts w:ascii="Times New Roman" w:hAnsi="Times New Roman"/>
          <w:b/>
          <w:bCs/>
          <w:color w:val="FF0000"/>
          <w:sz w:val="32"/>
          <w:szCs w:val="32"/>
          <w:lang w:val="en-US"/>
        </w:rPr>
        <w:t>83,750,000 FCFA</w:t>
      </w:r>
    </w:p>
    <w:p w:rsidR="00C821BE" w:rsidRPr="0010784C" w:rsidRDefault="00C821BE" w:rsidP="00C821BE">
      <w:pPr>
        <w:pBdr>
          <w:top w:val="single" w:sz="4" w:space="1" w:color="auto"/>
          <w:left w:val="single" w:sz="4" w:space="4" w:color="auto"/>
          <w:bottom w:val="single" w:sz="4" w:space="1" w:color="auto"/>
          <w:right w:val="single" w:sz="4" w:space="31" w:color="auto"/>
        </w:pBdr>
        <w:jc w:val="center"/>
        <w:rPr>
          <w:rFonts w:ascii="Times New Roman" w:hAnsi="Times New Roman"/>
          <w:b/>
          <w:sz w:val="40"/>
          <w:szCs w:val="40"/>
          <w:lang w:val="en-US"/>
        </w:rPr>
      </w:pPr>
      <w:r w:rsidRPr="0010784C">
        <w:rPr>
          <w:rFonts w:ascii="Times New Roman" w:hAnsi="Times New Roman"/>
          <w:b/>
          <w:sz w:val="40"/>
          <w:szCs w:val="40"/>
          <w:u w:val="single"/>
          <w:lang w:val="en-US"/>
        </w:rPr>
        <w:t>Notes</w:t>
      </w:r>
      <w:r w:rsidRPr="0010784C">
        <w:rPr>
          <w:rFonts w:ascii="Times New Roman" w:hAnsi="Times New Roman"/>
          <w:b/>
          <w:sz w:val="40"/>
          <w:szCs w:val="40"/>
          <w:lang w:val="en-US"/>
        </w:rPr>
        <w:t>:</w:t>
      </w:r>
    </w:p>
    <w:p w:rsidR="00C821BE" w:rsidRPr="0010784C" w:rsidRDefault="00C821BE" w:rsidP="00C821BE">
      <w:pPr>
        <w:pBdr>
          <w:top w:val="single" w:sz="4" w:space="1" w:color="auto"/>
          <w:left w:val="single" w:sz="4" w:space="4" w:color="auto"/>
          <w:bottom w:val="single" w:sz="4" w:space="1" w:color="auto"/>
          <w:right w:val="single" w:sz="4" w:space="31" w:color="auto"/>
        </w:pBdr>
        <w:jc w:val="both"/>
        <w:rPr>
          <w:rFonts w:ascii="Times New Roman" w:hAnsi="Times New Roman"/>
          <w:b/>
          <w:sz w:val="40"/>
          <w:szCs w:val="40"/>
          <w:lang w:val="en-US"/>
        </w:rPr>
      </w:pPr>
      <w:r w:rsidRPr="0010784C">
        <w:rPr>
          <w:rFonts w:ascii="Times New Roman" w:hAnsi="Times New Roman"/>
          <w:sz w:val="28"/>
          <w:szCs w:val="28"/>
          <w:lang w:val="en-US"/>
        </w:rPr>
        <w:t xml:space="preserve">The costs proposed within the framework of the implementation of the </w:t>
      </w:r>
      <w:r w:rsidR="00D10B3E">
        <w:rPr>
          <w:rFonts w:ascii="Times New Roman" w:hAnsi="Times New Roman"/>
          <w:sz w:val="28"/>
          <w:szCs w:val="28"/>
          <w:lang w:val="en-US"/>
        </w:rPr>
        <w:t>PGES</w:t>
      </w:r>
      <w:r w:rsidRPr="0010784C">
        <w:rPr>
          <w:rFonts w:ascii="Times New Roman" w:hAnsi="Times New Roman"/>
          <w:sz w:val="28"/>
          <w:szCs w:val="28"/>
          <w:lang w:val="en-US"/>
        </w:rPr>
        <w:t xml:space="preserve"> were estimated on the basis of our own experience, the discussions we had with the technical services during the public consultation, the prices applied in the project area and socio-economic realities encountered in the field. These costs are not derived from a calculation based on unit prices because there are measures which are not quantifiable, they depend solely on the socio-economic parameters of the project area. It is up to the client to review these costs to better adapt them during the work.</w:t>
      </w:r>
    </w:p>
    <w:p w:rsidR="00C821BE" w:rsidRPr="0010784C" w:rsidRDefault="00C821BE" w:rsidP="00C821BE">
      <w:pPr>
        <w:pBdr>
          <w:top w:val="single" w:sz="4" w:space="1" w:color="auto"/>
          <w:left w:val="single" w:sz="4" w:space="4" w:color="auto"/>
          <w:bottom w:val="single" w:sz="4" w:space="1" w:color="auto"/>
          <w:right w:val="single" w:sz="4" w:space="4" w:color="auto"/>
        </w:pBdr>
        <w:shd w:val="clear" w:color="auto" w:fill="E2EFD9" w:themeFill="accent6" w:themeFillTint="33"/>
        <w:spacing w:after="0" w:line="276" w:lineRule="auto"/>
        <w:jc w:val="center"/>
        <w:rPr>
          <w:rFonts w:ascii="Times New Roman" w:hAnsi="Times New Roman"/>
          <w:b/>
          <w:sz w:val="32"/>
          <w:szCs w:val="32"/>
          <w:u w:val="single"/>
          <w:lang w:val="en-US"/>
        </w:rPr>
      </w:pPr>
      <w:r w:rsidRPr="0010784C">
        <w:rPr>
          <w:rFonts w:ascii="Times New Roman" w:hAnsi="Times New Roman"/>
          <w:b/>
          <w:sz w:val="32"/>
          <w:szCs w:val="32"/>
          <w:u w:val="single"/>
          <w:lang w:val="en-US"/>
        </w:rPr>
        <w:t>ESTIMATED COST OF MONITORING THE IMPLEMENTATION OF THE ESMP BY THE MONITORING COMMITTEE THROUGH THE MEMORANDUM OF AGREEMENT WITH THE PROMOTER IS OF:</w:t>
      </w:r>
    </w:p>
    <w:p w:rsidR="00C821BE" w:rsidRPr="0010784C" w:rsidRDefault="00C821BE" w:rsidP="00C821BE">
      <w:pPr>
        <w:pBdr>
          <w:top w:val="single" w:sz="4" w:space="1" w:color="auto"/>
          <w:left w:val="single" w:sz="4" w:space="4" w:color="auto"/>
          <w:bottom w:val="single" w:sz="4" w:space="1" w:color="auto"/>
          <w:right w:val="single" w:sz="4" w:space="4" w:color="auto"/>
        </w:pBdr>
        <w:shd w:val="clear" w:color="auto" w:fill="E2EFD9" w:themeFill="accent6" w:themeFillTint="33"/>
        <w:spacing w:after="0" w:line="276" w:lineRule="auto"/>
        <w:jc w:val="center"/>
        <w:rPr>
          <w:rFonts w:ascii="Times New Roman" w:hAnsi="Times New Roman"/>
          <w:b/>
          <w:sz w:val="32"/>
          <w:szCs w:val="32"/>
          <w:u w:val="single"/>
          <w:lang w:val="en-US"/>
        </w:rPr>
      </w:pPr>
      <w:r w:rsidRPr="0010784C">
        <w:rPr>
          <w:rFonts w:ascii="Times New Roman" w:hAnsi="Times New Roman"/>
          <w:b/>
          <w:sz w:val="32"/>
          <w:szCs w:val="32"/>
          <w:u w:val="single"/>
          <w:lang w:val="en-US"/>
        </w:rPr>
        <w:t>27,000,000 CFA francs</w:t>
      </w:r>
    </w:p>
    <w:p w:rsidR="00C821BE" w:rsidRPr="0010784C" w:rsidRDefault="00C821BE" w:rsidP="00C821BE">
      <w:pPr>
        <w:overflowPunct w:val="0"/>
        <w:autoSpaceDE w:val="0"/>
        <w:autoSpaceDN w:val="0"/>
        <w:adjustRightInd w:val="0"/>
        <w:spacing w:after="0" w:line="276" w:lineRule="auto"/>
        <w:rPr>
          <w:rFonts w:ascii="Times New Roman" w:eastAsia="Times New Roman" w:hAnsi="Times New Roman"/>
          <w:b/>
          <w:bCs/>
          <w:sz w:val="20"/>
          <w:szCs w:val="20"/>
          <w:lang w:val="en-US" w:eastAsia="fr-FR"/>
        </w:rPr>
        <w:sectPr w:rsidR="00C821BE" w:rsidRPr="0010784C" w:rsidSect="005A6322">
          <w:pgSz w:w="16838" w:h="11906" w:orient="landscape"/>
          <w:pgMar w:top="1418" w:right="1418" w:bottom="1418" w:left="1418" w:header="709" w:footer="709" w:gutter="0"/>
          <w:cols w:space="708"/>
          <w:docGrid w:linePitch="360"/>
        </w:sectPr>
      </w:pPr>
    </w:p>
    <w:p w:rsidR="00C821BE" w:rsidRPr="0010784C" w:rsidRDefault="00C821BE" w:rsidP="00C821BE">
      <w:pPr>
        <w:pStyle w:val="PargrafodaLista"/>
        <w:numPr>
          <w:ilvl w:val="0"/>
          <w:numId w:val="245"/>
        </w:numPr>
        <w:tabs>
          <w:tab w:val="left" w:pos="1418"/>
          <w:tab w:val="left" w:pos="1843"/>
        </w:tabs>
        <w:spacing w:after="0" w:line="240" w:lineRule="auto"/>
        <w:ind w:right="-283"/>
        <w:contextualSpacing w:val="0"/>
        <w:rPr>
          <w:rFonts w:ascii="Times New Roman" w:hAnsi="Times New Roman"/>
          <w:b/>
          <w:bCs/>
          <w:i/>
          <w:sz w:val="22"/>
          <w:szCs w:val="22"/>
          <w:lang w:val="en-US"/>
        </w:rPr>
      </w:pPr>
      <w:r w:rsidRPr="0010784C">
        <w:rPr>
          <w:rFonts w:ascii="Times New Roman" w:hAnsi="Times New Roman"/>
          <w:b/>
          <w:bCs/>
          <w:i/>
          <w:sz w:val="22"/>
          <w:szCs w:val="22"/>
          <w:lang w:val="en-US"/>
        </w:rPr>
        <w:lastRenderedPageBreak/>
        <w:t>PUBLIC CONSULTATION</w:t>
      </w:r>
    </w:p>
    <w:p w:rsidR="00C821BE" w:rsidRPr="0010784C" w:rsidRDefault="00C821BE" w:rsidP="00C821BE">
      <w:pPr>
        <w:spacing w:after="0" w:line="240" w:lineRule="auto"/>
        <w:ind w:left="-284" w:right="-853"/>
        <w:jc w:val="both"/>
        <w:rPr>
          <w:rFonts w:ascii="Times New Roman" w:hAnsi="Times New Roman" w:cs="Times New Roman"/>
          <w:b/>
          <w:u w:val="single"/>
          <w:lang w:val="en-US"/>
        </w:rPr>
      </w:pPr>
      <w:r w:rsidRPr="0010784C">
        <w:rPr>
          <w:rFonts w:ascii="Times New Roman" w:hAnsi="Times New Roman" w:cs="Times New Roman"/>
          <w:lang w:val="en-US"/>
        </w:rPr>
        <w:t>The public consultations with the populations of the beneficiary municipalities and their representatives concerned: the districts of Prabis, Bor, Hafia, Airport, and Antula.</w:t>
      </w:r>
    </w:p>
    <w:p w:rsidR="00C821BE" w:rsidRPr="0010784C" w:rsidRDefault="00C821BE" w:rsidP="00C821BE">
      <w:pPr>
        <w:spacing w:line="240" w:lineRule="auto"/>
        <w:ind w:left="-284" w:right="-853"/>
        <w:jc w:val="both"/>
        <w:rPr>
          <w:rFonts w:ascii="Times New Roman" w:hAnsi="Times New Roman" w:cs="Times New Roman"/>
          <w:b/>
          <w:u w:val="single"/>
          <w:lang w:val="en-US"/>
        </w:rPr>
      </w:pPr>
      <w:r w:rsidRPr="0010784C">
        <w:rPr>
          <w:rFonts w:ascii="Times New Roman" w:hAnsi="Times New Roman" w:cs="Times New Roman"/>
          <w:lang w:val="en-US"/>
        </w:rPr>
        <w:t>It appeared very widely and generally during the public consultations, a strong social acceptability of the project by the populations consulted. According to them, the PUASEE comes to respond to a social, environmental and urbanization demand expressed for years by populations who suffer from lack of drinking water and public lighting. The populations and their neighborhood leaders met during the consultation assemblies showed a clear understanding of the environmental and social issues of the project and are ready to lend a hand to achieve the objectives. The populations have an immense hope of seeing the activities and components planned under the project materialize quickly, in order to benefit from an improved living environment with new constructions, rehabilitation and extension of water and electricity networks. For the most part, the populations and local elected officials believe that the management of water and electricity problems is an urgent question to ensure the sustainability of neighborhoods.</w:t>
      </w:r>
    </w:p>
    <w:p w:rsidR="00C821BE" w:rsidRPr="0010784C" w:rsidRDefault="00C821BE" w:rsidP="00C821BE">
      <w:pPr>
        <w:pStyle w:val="PargrafodaLista"/>
        <w:numPr>
          <w:ilvl w:val="0"/>
          <w:numId w:val="245"/>
        </w:numPr>
        <w:tabs>
          <w:tab w:val="left" w:pos="1418"/>
          <w:tab w:val="left" w:pos="1843"/>
        </w:tabs>
        <w:spacing w:before="240" w:after="0" w:line="240" w:lineRule="auto"/>
        <w:ind w:right="-283"/>
        <w:contextualSpacing w:val="0"/>
        <w:rPr>
          <w:rFonts w:ascii="Times New Roman" w:hAnsi="Times New Roman"/>
          <w:b/>
          <w:bCs/>
          <w:i/>
          <w:sz w:val="22"/>
          <w:szCs w:val="22"/>
          <w:lang w:val="en-US"/>
        </w:rPr>
      </w:pPr>
      <w:r w:rsidRPr="0010784C">
        <w:rPr>
          <w:rFonts w:ascii="Times New Roman" w:hAnsi="Times New Roman"/>
          <w:b/>
          <w:bCs/>
          <w:i/>
          <w:sz w:val="22"/>
          <w:szCs w:val="22"/>
          <w:lang w:val="en-US"/>
        </w:rPr>
        <w:t>WASTE MANAGEMENT PLAN</w:t>
      </w:r>
    </w:p>
    <w:p w:rsidR="00C821BE" w:rsidRPr="0010784C" w:rsidRDefault="00C821BE" w:rsidP="00C821BE">
      <w:pPr>
        <w:spacing w:line="240" w:lineRule="auto"/>
        <w:ind w:left="-284" w:right="-853"/>
        <w:jc w:val="both"/>
        <w:rPr>
          <w:rFonts w:ascii="Times New Roman" w:hAnsi="Times New Roman" w:cs="Times New Roman"/>
          <w:lang w:val="en-US"/>
        </w:rPr>
      </w:pPr>
      <w:r w:rsidRPr="0010784C">
        <w:rPr>
          <w:rFonts w:ascii="Times New Roman" w:hAnsi="Times New Roman" w:cs="Times New Roman"/>
          <w:lang w:val="en-US"/>
        </w:rPr>
        <w:t>Often, during the works, the activities of companies are at the origin of the production of large quantities of solid and liquid waste (destruction of buildings, felling of trees, production of plastic waste, wood, cardboard, batteries used, motor oil, mechanical spare parts, bitumen spills and all kinds of hazardous or special wastes) and which must be carefully managed. This waste is added to the waste already produced by the neighboring populations.</w:t>
      </w:r>
    </w:p>
    <w:p w:rsidR="00C821BE" w:rsidRPr="0010784C" w:rsidRDefault="00C821BE" w:rsidP="00C821BE">
      <w:pPr>
        <w:spacing w:line="240" w:lineRule="auto"/>
        <w:ind w:left="-284" w:right="-853"/>
        <w:jc w:val="both"/>
        <w:rPr>
          <w:rFonts w:ascii="Times New Roman" w:hAnsi="Times New Roman" w:cs="Times New Roman"/>
          <w:lang w:val="en-US"/>
        </w:rPr>
      </w:pPr>
      <w:r w:rsidRPr="0010784C">
        <w:rPr>
          <w:rFonts w:ascii="Times New Roman" w:hAnsi="Times New Roman" w:cs="Times New Roman"/>
          <w:lang w:val="en-US"/>
        </w:rPr>
        <w:t>Thus, for an environmentally sound management of this waste, during the work, several recommendations and suggestions are made.</w:t>
      </w:r>
    </w:p>
    <w:p w:rsidR="00C821BE" w:rsidRPr="0010784C" w:rsidRDefault="00C821BE" w:rsidP="00C821BE">
      <w:pPr>
        <w:pStyle w:val="PargrafodaLista"/>
        <w:numPr>
          <w:ilvl w:val="0"/>
          <w:numId w:val="245"/>
        </w:numPr>
        <w:tabs>
          <w:tab w:val="left" w:pos="1418"/>
          <w:tab w:val="left" w:pos="1843"/>
        </w:tabs>
        <w:spacing w:after="0" w:line="240" w:lineRule="auto"/>
        <w:ind w:right="-283"/>
        <w:contextualSpacing w:val="0"/>
        <w:rPr>
          <w:rFonts w:ascii="Times New Roman" w:hAnsi="Times New Roman"/>
          <w:b/>
          <w:bCs/>
          <w:i/>
          <w:sz w:val="22"/>
          <w:szCs w:val="22"/>
          <w:lang w:val="en-US"/>
        </w:rPr>
      </w:pPr>
      <w:r w:rsidRPr="0010784C">
        <w:rPr>
          <w:rFonts w:ascii="Times New Roman" w:hAnsi="Times New Roman"/>
          <w:b/>
          <w:bCs/>
          <w:i/>
          <w:sz w:val="22"/>
          <w:szCs w:val="22"/>
          <w:lang w:val="en-US"/>
        </w:rPr>
        <w:t xml:space="preserve">MANAGEMENT OF GENDER-BASED VIOLENCE (GBV) </w:t>
      </w:r>
    </w:p>
    <w:p w:rsidR="00C821BE" w:rsidRPr="0010784C" w:rsidRDefault="00C821BE" w:rsidP="00C821BE">
      <w:pPr>
        <w:spacing w:line="240" w:lineRule="auto"/>
        <w:ind w:left="-284" w:right="-853"/>
        <w:jc w:val="both"/>
        <w:rPr>
          <w:rFonts w:ascii="Times New Roman" w:hAnsi="Times New Roman" w:cs="Times New Roman"/>
          <w:lang w:val="en-US"/>
        </w:rPr>
      </w:pPr>
      <w:r w:rsidRPr="0010784C">
        <w:rPr>
          <w:rFonts w:ascii="Times New Roman" w:hAnsi="Times New Roman" w:cs="Times New Roman"/>
          <w:lang w:val="en-US"/>
        </w:rPr>
        <w:t>The sacralization of human dignity requires great importance. As a result, no inhuman and cruel treatment can be tolerated and certain acts of barbarism are severely punished:</w:t>
      </w:r>
    </w:p>
    <w:p w:rsidR="00C821BE" w:rsidRPr="0010784C" w:rsidRDefault="00C821BE" w:rsidP="00C821BE">
      <w:pPr>
        <w:pStyle w:val="Listecouleur-Accent11"/>
        <w:numPr>
          <w:ilvl w:val="0"/>
          <w:numId w:val="253"/>
        </w:numPr>
        <w:ind w:left="851" w:right="-283"/>
        <w:rPr>
          <w:rFonts w:ascii="Times New Roman" w:hAnsi="Times New Roman"/>
          <w:sz w:val="20"/>
          <w:szCs w:val="20"/>
          <w:lang w:val="en-US"/>
        </w:rPr>
      </w:pPr>
      <w:r w:rsidRPr="0010784C">
        <w:rPr>
          <w:rFonts w:ascii="Times New Roman" w:hAnsi="Times New Roman"/>
          <w:sz w:val="20"/>
          <w:szCs w:val="20"/>
          <w:lang w:val="en-US"/>
        </w:rPr>
        <w:t>Moral harassment</w:t>
      </w:r>
    </w:p>
    <w:p w:rsidR="00C821BE" w:rsidRPr="0010784C" w:rsidRDefault="00C821BE" w:rsidP="00C821BE">
      <w:pPr>
        <w:pStyle w:val="Listecouleur-Accent11"/>
        <w:numPr>
          <w:ilvl w:val="0"/>
          <w:numId w:val="253"/>
        </w:numPr>
        <w:ind w:left="851" w:right="-283"/>
        <w:rPr>
          <w:rFonts w:ascii="Times New Roman" w:hAnsi="Times New Roman"/>
          <w:sz w:val="20"/>
          <w:szCs w:val="20"/>
          <w:lang w:val="en-US"/>
        </w:rPr>
      </w:pPr>
      <w:r w:rsidRPr="0010784C">
        <w:rPr>
          <w:rFonts w:ascii="Times New Roman" w:hAnsi="Times New Roman"/>
          <w:sz w:val="20"/>
          <w:szCs w:val="20"/>
          <w:lang w:val="en-US"/>
        </w:rPr>
        <w:t>Physical violence</w:t>
      </w:r>
    </w:p>
    <w:p w:rsidR="00C821BE" w:rsidRPr="0010784C" w:rsidRDefault="00C821BE" w:rsidP="00C821BE">
      <w:pPr>
        <w:pStyle w:val="Listecouleur-Accent11"/>
        <w:numPr>
          <w:ilvl w:val="0"/>
          <w:numId w:val="253"/>
        </w:numPr>
        <w:ind w:left="851" w:right="-283"/>
        <w:rPr>
          <w:rFonts w:ascii="Times New Roman" w:hAnsi="Times New Roman"/>
          <w:sz w:val="20"/>
          <w:szCs w:val="20"/>
          <w:lang w:val="en-US"/>
        </w:rPr>
      </w:pPr>
      <w:r w:rsidRPr="0010784C">
        <w:rPr>
          <w:rFonts w:ascii="Times New Roman" w:hAnsi="Times New Roman"/>
          <w:sz w:val="20"/>
          <w:szCs w:val="20"/>
          <w:lang w:val="en-US"/>
        </w:rPr>
        <w:t>Pimping, harassment and sexual violence and pedophilia</w:t>
      </w:r>
    </w:p>
    <w:p w:rsidR="00C821BE" w:rsidRPr="0010784C" w:rsidRDefault="00C821BE" w:rsidP="00C821BE">
      <w:pPr>
        <w:pStyle w:val="Listecouleur-Accent11"/>
        <w:numPr>
          <w:ilvl w:val="0"/>
          <w:numId w:val="253"/>
        </w:numPr>
        <w:ind w:left="851" w:right="-283"/>
        <w:rPr>
          <w:rFonts w:ascii="Times New Roman" w:hAnsi="Times New Roman"/>
          <w:sz w:val="20"/>
          <w:szCs w:val="20"/>
          <w:lang w:val="en-US"/>
        </w:rPr>
      </w:pPr>
      <w:r w:rsidRPr="0010784C">
        <w:rPr>
          <w:rFonts w:ascii="Times New Roman" w:hAnsi="Times New Roman"/>
          <w:sz w:val="20"/>
          <w:szCs w:val="20"/>
          <w:lang w:val="en-US"/>
        </w:rPr>
        <w:t>Of the exploitation of children</w:t>
      </w:r>
    </w:p>
    <w:p w:rsidR="00C821BE" w:rsidRPr="0010784C" w:rsidRDefault="00C821BE" w:rsidP="00C821BE">
      <w:pPr>
        <w:pStyle w:val="Listecouleur-Accent11"/>
        <w:numPr>
          <w:ilvl w:val="0"/>
          <w:numId w:val="253"/>
        </w:numPr>
        <w:ind w:left="851" w:right="-283"/>
        <w:rPr>
          <w:rFonts w:ascii="Times New Roman" w:hAnsi="Times New Roman"/>
          <w:sz w:val="20"/>
          <w:szCs w:val="20"/>
          <w:lang w:val="en-US"/>
        </w:rPr>
      </w:pPr>
      <w:r w:rsidRPr="0010784C">
        <w:rPr>
          <w:rFonts w:ascii="Times New Roman" w:hAnsi="Times New Roman"/>
          <w:sz w:val="20"/>
          <w:szCs w:val="20"/>
          <w:lang w:val="en-US"/>
        </w:rPr>
        <w:t>Etc.</w:t>
      </w:r>
    </w:p>
    <w:p w:rsidR="00C821BE" w:rsidRPr="0010784C" w:rsidRDefault="00C821BE" w:rsidP="00C821BE">
      <w:pPr>
        <w:spacing w:after="0" w:line="240" w:lineRule="auto"/>
        <w:ind w:left="-284" w:right="-853"/>
        <w:jc w:val="both"/>
        <w:rPr>
          <w:rFonts w:ascii="Times New Roman" w:hAnsi="Times New Roman" w:cs="Times New Roman"/>
          <w:lang w:val="en-US"/>
        </w:rPr>
      </w:pPr>
      <w:r w:rsidRPr="0010784C">
        <w:rPr>
          <w:rFonts w:ascii="Times New Roman" w:hAnsi="Times New Roman" w:cs="Times New Roman"/>
          <w:lang w:val="en-US"/>
        </w:rPr>
        <w:t>In the fight against gender-based violence, the company can prioritize the following actions:</w:t>
      </w:r>
    </w:p>
    <w:p w:rsidR="00C821BE" w:rsidRPr="0010784C" w:rsidRDefault="00C821BE" w:rsidP="00C821BE">
      <w:pPr>
        <w:pStyle w:val="Listecouleur-Accent11"/>
        <w:numPr>
          <w:ilvl w:val="0"/>
          <w:numId w:val="253"/>
        </w:numPr>
        <w:ind w:left="851" w:right="-283"/>
        <w:rPr>
          <w:rFonts w:ascii="Times New Roman" w:hAnsi="Times New Roman"/>
          <w:sz w:val="20"/>
          <w:szCs w:val="20"/>
          <w:lang w:val="en-US"/>
        </w:rPr>
      </w:pPr>
      <w:r w:rsidRPr="0010784C">
        <w:rPr>
          <w:rFonts w:ascii="Times New Roman" w:hAnsi="Times New Roman"/>
          <w:sz w:val="20"/>
          <w:szCs w:val="20"/>
          <w:lang w:val="en-US"/>
        </w:rPr>
        <w:t>Support programs integrating community mobilization on GBV;</w:t>
      </w:r>
    </w:p>
    <w:p w:rsidR="00C821BE" w:rsidRPr="0010784C" w:rsidRDefault="00C821BE" w:rsidP="00C821BE">
      <w:pPr>
        <w:pStyle w:val="Listecouleur-Accent11"/>
        <w:numPr>
          <w:ilvl w:val="0"/>
          <w:numId w:val="253"/>
        </w:numPr>
        <w:ind w:left="851" w:right="-283"/>
        <w:rPr>
          <w:rFonts w:ascii="Times New Roman" w:hAnsi="Times New Roman"/>
          <w:sz w:val="20"/>
          <w:szCs w:val="20"/>
          <w:lang w:val="en-US"/>
        </w:rPr>
      </w:pPr>
      <w:r w:rsidRPr="0010784C">
        <w:rPr>
          <w:rFonts w:ascii="Times New Roman" w:hAnsi="Times New Roman"/>
          <w:sz w:val="20"/>
          <w:szCs w:val="20"/>
          <w:lang w:val="en-US"/>
        </w:rPr>
        <w:t>At the community level, support activities aimed at reducing tolerance of violence involving all males;</w:t>
      </w:r>
    </w:p>
    <w:p w:rsidR="00C821BE" w:rsidRPr="0010784C" w:rsidRDefault="00C821BE" w:rsidP="00C821BE">
      <w:pPr>
        <w:spacing w:after="0" w:line="240" w:lineRule="auto"/>
        <w:ind w:left="-284" w:right="-853"/>
        <w:jc w:val="both"/>
        <w:rPr>
          <w:rFonts w:ascii="Times New Roman" w:hAnsi="Times New Roman" w:cs="Times New Roman"/>
          <w:lang w:val="en-US"/>
        </w:rPr>
      </w:pPr>
      <w:r w:rsidRPr="0010784C">
        <w:rPr>
          <w:rFonts w:ascii="Times New Roman" w:hAnsi="Times New Roman" w:cs="Times New Roman"/>
          <w:lang w:val="en-US"/>
        </w:rPr>
        <w:t>Support activities with a broad representation of the grassroots community;</w:t>
      </w:r>
    </w:p>
    <w:p w:rsidR="00C821BE" w:rsidRPr="0010784C" w:rsidRDefault="00C821BE" w:rsidP="00C821BE">
      <w:pPr>
        <w:pStyle w:val="Listecouleur-Accent11"/>
        <w:numPr>
          <w:ilvl w:val="0"/>
          <w:numId w:val="253"/>
        </w:numPr>
        <w:ind w:left="851" w:right="-283"/>
        <w:rPr>
          <w:rFonts w:ascii="Times New Roman" w:hAnsi="Times New Roman"/>
          <w:sz w:val="20"/>
          <w:szCs w:val="20"/>
          <w:lang w:val="en-US"/>
        </w:rPr>
      </w:pPr>
      <w:r w:rsidRPr="0010784C">
        <w:rPr>
          <w:rFonts w:ascii="Times New Roman" w:hAnsi="Times New Roman"/>
          <w:sz w:val="20"/>
          <w:szCs w:val="20"/>
          <w:lang w:val="en-US"/>
        </w:rPr>
        <w:t>Support local and regional elected officials in creating partnerships with NGOs in the fight at community level;</w:t>
      </w:r>
    </w:p>
    <w:p w:rsidR="00C821BE" w:rsidRPr="0010784C" w:rsidRDefault="00C821BE" w:rsidP="00C821BE">
      <w:pPr>
        <w:pStyle w:val="Listecouleur-Accent11"/>
        <w:numPr>
          <w:ilvl w:val="0"/>
          <w:numId w:val="253"/>
        </w:numPr>
        <w:ind w:left="851" w:right="-283"/>
        <w:rPr>
          <w:rFonts w:ascii="Times New Roman" w:hAnsi="Times New Roman"/>
          <w:sz w:val="20"/>
          <w:szCs w:val="20"/>
          <w:lang w:val="en-US"/>
        </w:rPr>
      </w:pPr>
      <w:r w:rsidRPr="0010784C">
        <w:rPr>
          <w:rFonts w:ascii="Times New Roman" w:hAnsi="Times New Roman"/>
          <w:sz w:val="20"/>
          <w:szCs w:val="20"/>
          <w:lang w:val="en-US"/>
        </w:rPr>
        <w:t>Support community mobilization to improve survivors' access to services;</w:t>
      </w:r>
    </w:p>
    <w:p w:rsidR="00C821BE" w:rsidRPr="0010784C" w:rsidRDefault="00C821BE" w:rsidP="00C821BE">
      <w:pPr>
        <w:pStyle w:val="Listecouleur-Accent11"/>
        <w:numPr>
          <w:ilvl w:val="0"/>
          <w:numId w:val="253"/>
        </w:numPr>
        <w:ind w:left="851" w:right="-283"/>
        <w:rPr>
          <w:rFonts w:ascii="Times New Roman" w:hAnsi="Times New Roman"/>
          <w:sz w:val="20"/>
          <w:szCs w:val="20"/>
          <w:lang w:val="en-US"/>
        </w:rPr>
      </w:pPr>
      <w:r w:rsidRPr="0010784C">
        <w:rPr>
          <w:rFonts w:ascii="Times New Roman" w:hAnsi="Times New Roman"/>
          <w:sz w:val="20"/>
          <w:szCs w:val="20"/>
          <w:lang w:val="en-US"/>
        </w:rPr>
        <w:t>Support financially and in the long term the activities of community mobilization for the achievement of considerably positive results.</w:t>
      </w:r>
    </w:p>
    <w:p w:rsidR="00C821BE" w:rsidRPr="0010784C" w:rsidRDefault="00C821BE" w:rsidP="00C821BE">
      <w:pPr>
        <w:pStyle w:val="Listecouleur-Accent11"/>
        <w:numPr>
          <w:ilvl w:val="0"/>
          <w:numId w:val="253"/>
        </w:numPr>
        <w:ind w:left="851" w:right="-283"/>
        <w:rPr>
          <w:rFonts w:ascii="Times New Roman" w:hAnsi="Times New Roman"/>
          <w:sz w:val="20"/>
          <w:szCs w:val="20"/>
          <w:lang w:val="en-US"/>
        </w:rPr>
      </w:pPr>
      <w:r w:rsidRPr="0010784C">
        <w:rPr>
          <w:rFonts w:ascii="Times New Roman" w:hAnsi="Times New Roman"/>
          <w:sz w:val="20"/>
          <w:szCs w:val="20"/>
          <w:lang w:val="en-US"/>
        </w:rPr>
        <w:t>Etc.</w:t>
      </w:r>
    </w:p>
    <w:p w:rsidR="00C821BE" w:rsidRPr="0010784C" w:rsidRDefault="00C821BE" w:rsidP="00C821BE">
      <w:pPr>
        <w:spacing w:after="0" w:line="240" w:lineRule="auto"/>
        <w:ind w:left="-284" w:right="-283"/>
        <w:jc w:val="both"/>
        <w:rPr>
          <w:rFonts w:ascii="Times New Roman" w:hAnsi="Times New Roman"/>
          <w:sz w:val="20"/>
          <w:szCs w:val="20"/>
          <w:lang w:val="en-US"/>
        </w:rPr>
      </w:pPr>
    </w:p>
    <w:p w:rsidR="00C821BE" w:rsidRPr="0010784C" w:rsidRDefault="00C821BE" w:rsidP="00C821BE">
      <w:pPr>
        <w:pStyle w:val="PargrafodaLista"/>
        <w:numPr>
          <w:ilvl w:val="0"/>
          <w:numId w:val="245"/>
        </w:numPr>
        <w:tabs>
          <w:tab w:val="left" w:pos="1418"/>
          <w:tab w:val="left" w:pos="1843"/>
        </w:tabs>
        <w:spacing w:after="0" w:line="240" w:lineRule="auto"/>
        <w:ind w:right="-283"/>
        <w:contextualSpacing w:val="0"/>
        <w:rPr>
          <w:rFonts w:ascii="Times New Roman" w:hAnsi="Times New Roman"/>
          <w:b/>
          <w:bCs/>
          <w:i/>
          <w:sz w:val="22"/>
          <w:szCs w:val="22"/>
          <w:lang w:val="en-US"/>
        </w:rPr>
      </w:pPr>
      <w:r w:rsidRPr="0010784C">
        <w:rPr>
          <w:rFonts w:ascii="Times New Roman" w:hAnsi="Times New Roman"/>
          <w:b/>
          <w:bCs/>
          <w:i/>
          <w:sz w:val="22"/>
          <w:szCs w:val="22"/>
          <w:lang w:val="en-US"/>
        </w:rPr>
        <w:t>COMPLAINT MANAGEMENT MECHANISM</w:t>
      </w:r>
    </w:p>
    <w:p w:rsidR="00C821BE" w:rsidRPr="0010784C" w:rsidRDefault="00C821BE" w:rsidP="00C821BE">
      <w:pPr>
        <w:spacing w:line="240" w:lineRule="auto"/>
        <w:ind w:left="-284" w:right="-853"/>
        <w:jc w:val="both"/>
        <w:rPr>
          <w:rFonts w:ascii="Times New Roman" w:hAnsi="Times New Roman" w:cs="Times New Roman"/>
          <w:lang w:val="en-US"/>
        </w:rPr>
      </w:pPr>
      <w:r w:rsidRPr="0010784C">
        <w:rPr>
          <w:rFonts w:ascii="Times New Roman" w:hAnsi="Times New Roman" w:cs="Times New Roman"/>
          <w:lang w:val="en-US"/>
        </w:rPr>
        <w:t>This mechanism is justified by the fact that in the implementation of the works and the related compensatory measures, several conflicts may arise. These conflicts can be related to the following issues:</w:t>
      </w:r>
    </w:p>
    <w:p w:rsidR="00C821BE" w:rsidRPr="0010784C" w:rsidRDefault="00C821BE" w:rsidP="00C821BE">
      <w:pPr>
        <w:pStyle w:val="Listecouleur-Accent12"/>
        <w:numPr>
          <w:ilvl w:val="0"/>
          <w:numId w:val="89"/>
        </w:numPr>
        <w:spacing w:after="0" w:line="240" w:lineRule="auto"/>
        <w:ind w:right="-850"/>
        <w:jc w:val="both"/>
        <w:rPr>
          <w:rFonts w:ascii="Times New Roman" w:hAnsi="Times New Roman"/>
          <w:sz w:val="20"/>
          <w:szCs w:val="20"/>
        </w:rPr>
      </w:pPr>
      <w:r w:rsidRPr="0010784C">
        <w:rPr>
          <w:rFonts w:ascii="Times New Roman" w:hAnsi="Times New Roman"/>
          <w:sz w:val="20"/>
          <w:szCs w:val="20"/>
        </w:rPr>
        <w:t>error in the identification of PAPs;</w:t>
      </w:r>
    </w:p>
    <w:p w:rsidR="00C821BE" w:rsidRPr="0010784C" w:rsidRDefault="00C821BE" w:rsidP="00C821BE">
      <w:pPr>
        <w:pStyle w:val="Listecouleur-Accent12"/>
        <w:numPr>
          <w:ilvl w:val="0"/>
          <w:numId w:val="89"/>
        </w:numPr>
        <w:spacing w:after="0" w:line="240" w:lineRule="auto"/>
        <w:ind w:right="-850"/>
        <w:jc w:val="both"/>
        <w:rPr>
          <w:rFonts w:ascii="Times New Roman" w:hAnsi="Times New Roman"/>
          <w:sz w:val="20"/>
          <w:szCs w:val="20"/>
        </w:rPr>
      </w:pPr>
      <w:r w:rsidRPr="0010784C">
        <w:rPr>
          <w:rFonts w:ascii="Times New Roman" w:hAnsi="Times New Roman"/>
          <w:sz w:val="20"/>
          <w:szCs w:val="20"/>
        </w:rPr>
        <w:t>error in valuation of PAP assets;</w:t>
      </w:r>
    </w:p>
    <w:p w:rsidR="00C821BE" w:rsidRPr="0010784C" w:rsidRDefault="00C821BE" w:rsidP="00C821BE">
      <w:pPr>
        <w:pStyle w:val="Listecouleur-Accent12"/>
        <w:numPr>
          <w:ilvl w:val="0"/>
          <w:numId w:val="89"/>
        </w:numPr>
        <w:spacing w:after="0" w:line="240" w:lineRule="auto"/>
        <w:ind w:right="-850"/>
        <w:jc w:val="both"/>
        <w:rPr>
          <w:rFonts w:ascii="Times New Roman" w:hAnsi="Times New Roman"/>
          <w:sz w:val="20"/>
          <w:szCs w:val="20"/>
        </w:rPr>
      </w:pPr>
      <w:r w:rsidRPr="0010784C">
        <w:rPr>
          <w:rFonts w:ascii="Times New Roman" w:hAnsi="Times New Roman"/>
          <w:sz w:val="20"/>
          <w:szCs w:val="20"/>
        </w:rPr>
        <w:t>conflict over the ownership of property or the title of inheritance, following a divorce, conflicts between heirs;</w:t>
      </w:r>
    </w:p>
    <w:p w:rsidR="00C821BE" w:rsidRPr="0010784C" w:rsidRDefault="00C821BE" w:rsidP="00C821BE">
      <w:pPr>
        <w:pStyle w:val="Listecouleur-Accent12"/>
        <w:numPr>
          <w:ilvl w:val="0"/>
          <w:numId w:val="89"/>
        </w:numPr>
        <w:spacing w:after="0" w:line="240" w:lineRule="auto"/>
        <w:ind w:right="-850"/>
        <w:jc w:val="both"/>
        <w:rPr>
          <w:rFonts w:ascii="Times New Roman" w:hAnsi="Times New Roman"/>
          <w:sz w:val="20"/>
          <w:szCs w:val="20"/>
        </w:rPr>
      </w:pPr>
      <w:r w:rsidRPr="0010784C">
        <w:rPr>
          <w:rFonts w:ascii="Times New Roman" w:hAnsi="Times New Roman"/>
          <w:sz w:val="20"/>
          <w:szCs w:val="20"/>
        </w:rPr>
        <w:t>discrepancies in land acquisition and occupation;</w:t>
      </w:r>
    </w:p>
    <w:p w:rsidR="00C821BE" w:rsidRPr="0010784C" w:rsidRDefault="00C821BE" w:rsidP="00C821BE">
      <w:pPr>
        <w:pStyle w:val="Listecouleur-Accent12"/>
        <w:numPr>
          <w:ilvl w:val="0"/>
          <w:numId w:val="89"/>
        </w:numPr>
        <w:spacing w:after="0" w:line="240" w:lineRule="auto"/>
        <w:ind w:right="-850"/>
        <w:jc w:val="both"/>
        <w:rPr>
          <w:rFonts w:ascii="Times New Roman" w:hAnsi="Times New Roman"/>
          <w:sz w:val="20"/>
          <w:szCs w:val="20"/>
        </w:rPr>
      </w:pPr>
      <w:r w:rsidRPr="0010784C">
        <w:rPr>
          <w:rFonts w:ascii="Times New Roman" w:hAnsi="Times New Roman"/>
          <w:sz w:val="20"/>
          <w:szCs w:val="20"/>
        </w:rPr>
        <w:t>harm to a commercial activity of a local resident;</w:t>
      </w:r>
    </w:p>
    <w:p w:rsidR="00C821BE" w:rsidRPr="0010784C" w:rsidRDefault="00C821BE" w:rsidP="00C821BE">
      <w:pPr>
        <w:pStyle w:val="Listecouleur-Accent12"/>
        <w:numPr>
          <w:ilvl w:val="0"/>
          <w:numId w:val="89"/>
        </w:numPr>
        <w:spacing w:after="0" w:line="240" w:lineRule="auto"/>
        <w:ind w:right="-850"/>
        <w:jc w:val="both"/>
        <w:rPr>
          <w:rFonts w:ascii="Times New Roman" w:hAnsi="Times New Roman"/>
          <w:sz w:val="20"/>
          <w:szCs w:val="20"/>
        </w:rPr>
      </w:pPr>
      <w:r w:rsidRPr="0010784C">
        <w:rPr>
          <w:rFonts w:ascii="Times New Roman" w:hAnsi="Times New Roman"/>
          <w:sz w:val="20"/>
          <w:szCs w:val="20"/>
        </w:rPr>
        <w:t>degradation of property beyond the project right-of-way;</w:t>
      </w:r>
    </w:p>
    <w:p w:rsidR="00C821BE" w:rsidRPr="0010784C" w:rsidRDefault="00C821BE" w:rsidP="00C821BE">
      <w:pPr>
        <w:pStyle w:val="Listecouleur-Accent12"/>
        <w:numPr>
          <w:ilvl w:val="0"/>
          <w:numId w:val="89"/>
        </w:numPr>
        <w:spacing w:after="0" w:line="240" w:lineRule="auto"/>
        <w:ind w:right="-850"/>
        <w:jc w:val="both"/>
        <w:rPr>
          <w:rFonts w:ascii="Times New Roman" w:hAnsi="Times New Roman"/>
          <w:sz w:val="20"/>
          <w:szCs w:val="20"/>
        </w:rPr>
      </w:pPr>
      <w:r w:rsidRPr="0010784C">
        <w:rPr>
          <w:rFonts w:ascii="Times New Roman" w:hAnsi="Times New Roman"/>
          <w:sz w:val="20"/>
          <w:szCs w:val="20"/>
        </w:rPr>
        <w:t>permanent nuisance and disturbance of local residents by the works ...</w:t>
      </w:r>
    </w:p>
    <w:p w:rsidR="00C821BE" w:rsidRPr="0010784C" w:rsidRDefault="00C821BE" w:rsidP="00C821BE">
      <w:pPr>
        <w:pStyle w:val="Listecouleur-Accent12"/>
        <w:numPr>
          <w:ilvl w:val="0"/>
          <w:numId w:val="89"/>
        </w:numPr>
        <w:spacing w:after="0" w:line="240" w:lineRule="auto"/>
        <w:ind w:right="-850"/>
        <w:jc w:val="both"/>
        <w:rPr>
          <w:rFonts w:ascii="Times New Roman" w:hAnsi="Times New Roman"/>
          <w:sz w:val="20"/>
          <w:szCs w:val="20"/>
        </w:rPr>
      </w:pPr>
      <w:r w:rsidRPr="0010784C">
        <w:rPr>
          <w:rFonts w:ascii="Times New Roman" w:hAnsi="Times New Roman"/>
          <w:sz w:val="20"/>
          <w:szCs w:val="20"/>
        </w:rPr>
        <w:t>sexual harassment, pedophilia, etc. ;</w:t>
      </w:r>
    </w:p>
    <w:p w:rsidR="00C821BE" w:rsidRPr="0010784C" w:rsidRDefault="00C821BE" w:rsidP="00C821BE">
      <w:pPr>
        <w:pStyle w:val="Listecouleur-Accent12"/>
        <w:numPr>
          <w:ilvl w:val="0"/>
          <w:numId w:val="89"/>
        </w:numPr>
        <w:spacing w:after="0" w:line="240" w:lineRule="auto"/>
        <w:ind w:right="-850"/>
        <w:jc w:val="both"/>
        <w:rPr>
          <w:rFonts w:ascii="Times New Roman" w:hAnsi="Times New Roman"/>
          <w:sz w:val="20"/>
          <w:szCs w:val="20"/>
        </w:rPr>
      </w:pPr>
      <w:r w:rsidRPr="0010784C">
        <w:rPr>
          <w:rFonts w:ascii="Times New Roman" w:hAnsi="Times New Roman"/>
          <w:sz w:val="20"/>
          <w:szCs w:val="20"/>
        </w:rPr>
        <w:t>discrimination based on gender or vulnerability;</w:t>
      </w:r>
    </w:p>
    <w:p w:rsidR="00C821BE" w:rsidRPr="0010784C" w:rsidRDefault="00C821BE" w:rsidP="00C821BE">
      <w:pPr>
        <w:pStyle w:val="Listecouleur-Accent12"/>
        <w:spacing w:after="0" w:line="240" w:lineRule="auto"/>
        <w:ind w:right="-850"/>
        <w:jc w:val="both"/>
        <w:rPr>
          <w:rFonts w:ascii="Times New Roman" w:hAnsi="Times New Roman"/>
          <w:sz w:val="20"/>
          <w:szCs w:val="20"/>
        </w:rPr>
      </w:pPr>
    </w:p>
    <w:p w:rsidR="00C821BE" w:rsidRPr="0010784C" w:rsidRDefault="00C821BE" w:rsidP="00C821BE">
      <w:pPr>
        <w:pStyle w:val="PargrafodaLista"/>
        <w:numPr>
          <w:ilvl w:val="1"/>
          <w:numId w:val="245"/>
        </w:numPr>
        <w:tabs>
          <w:tab w:val="left" w:pos="1418"/>
          <w:tab w:val="left" w:pos="1843"/>
        </w:tabs>
        <w:spacing w:after="0" w:line="240" w:lineRule="auto"/>
        <w:ind w:right="-283"/>
        <w:contextualSpacing w:val="0"/>
        <w:rPr>
          <w:rFonts w:ascii="Times New Roman" w:hAnsi="Times New Roman"/>
          <w:b/>
          <w:bCs/>
          <w:i/>
          <w:sz w:val="22"/>
          <w:szCs w:val="22"/>
          <w:lang w:val="en-US"/>
        </w:rPr>
      </w:pPr>
      <w:r w:rsidRPr="0010784C">
        <w:rPr>
          <w:rFonts w:ascii="Times New Roman" w:hAnsi="Times New Roman"/>
          <w:b/>
          <w:bCs/>
          <w:i/>
          <w:sz w:val="22"/>
          <w:szCs w:val="22"/>
          <w:lang w:val="en-US"/>
        </w:rPr>
        <w:t>Organization of the Complaints Management Mechanism</w:t>
      </w:r>
    </w:p>
    <w:p w:rsidR="00C821BE" w:rsidRPr="0010784C" w:rsidRDefault="00C821BE" w:rsidP="00C821BE">
      <w:pPr>
        <w:spacing w:line="240" w:lineRule="auto"/>
        <w:ind w:left="-284" w:right="-853"/>
        <w:jc w:val="both"/>
        <w:rPr>
          <w:rFonts w:ascii="Times New Roman" w:hAnsi="Times New Roman" w:cs="Times New Roman"/>
          <w:lang w:val="en-US"/>
        </w:rPr>
      </w:pPr>
      <w:r w:rsidRPr="0010784C">
        <w:rPr>
          <w:rFonts w:ascii="Times New Roman" w:hAnsi="Times New Roman" w:cs="Times New Roman"/>
          <w:lang w:val="en-US"/>
        </w:rPr>
        <w:lastRenderedPageBreak/>
        <w:t>The PUASEE-FA Complaints Management Mechanism is organized into two levels, which also makes it possible to define the management bodies at each level.</w:t>
      </w:r>
    </w:p>
    <w:p w:rsidR="00C821BE" w:rsidRPr="0010784C" w:rsidRDefault="00C821BE" w:rsidP="00C821BE">
      <w:pPr>
        <w:pStyle w:val="Listecouleur-Accent12"/>
        <w:numPr>
          <w:ilvl w:val="0"/>
          <w:numId w:val="120"/>
        </w:numPr>
        <w:spacing w:after="0"/>
        <w:rPr>
          <w:rFonts w:ascii="Times New Roman" w:hAnsi="Times New Roman"/>
          <w:b/>
          <w:sz w:val="24"/>
          <w:szCs w:val="24"/>
        </w:rPr>
      </w:pPr>
      <w:r w:rsidRPr="0010784C">
        <w:rPr>
          <w:rFonts w:ascii="Times New Roman" w:hAnsi="Times New Roman"/>
          <w:b/>
          <w:sz w:val="24"/>
          <w:szCs w:val="24"/>
        </w:rPr>
        <w:t>Project level (PUASEE-FA)</w:t>
      </w:r>
    </w:p>
    <w:p w:rsidR="00C821BE" w:rsidRPr="0010784C" w:rsidRDefault="00C821BE" w:rsidP="00C821BE">
      <w:pPr>
        <w:spacing w:line="240" w:lineRule="auto"/>
        <w:ind w:left="-284" w:right="-853"/>
        <w:jc w:val="both"/>
        <w:rPr>
          <w:rFonts w:ascii="Times New Roman" w:hAnsi="Times New Roman" w:cs="Times New Roman"/>
          <w:lang w:val="en-US"/>
        </w:rPr>
      </w:pPr>
      <w:r w:rsidRPr="0010784C">
        <w:rPr>
          <w:rFonts w:ascii="Times New Roman" w:hAnsi="Times New Roman" w:cs="Times New Roman"/>
          <w:lang w:val="en-US"/>
        </w:rPr>
        <w:t>The PUASEE-FA ensures the supervision of the implementation of the MGP (See more detailed PAR). It works in close collaboration with local and communal authorities, including institutional actors, NGOs and PAPs for the monitoring, processing and reporting of all complaints directly or indirectly related to project activities.</w:t>
      </w:r>
    </w:p>
    <w:p w:rsidR="00C821BE" w:rsidRPr="0010784C" w:rsidRDefault="00C821BE" w:rsidP="00C821BE">
      <w:pPr>
        <w:pStyle w:val="Listecouleur-Accent12"/>
        <w:numPr>
          <w:ilvl w:val="0"/>
          <w:numId w:val="120"/>
        </w:numPr>
        <w:rPr>
          <w:rFonts w:ascii="Times New Roman" w:hAnsi="Times New Roman"/>
          <w:sz w:val="24"/>
          <w:szCs w:val="24"/>
        </w:rPr>
      </w:pPr>
      <w:r w:rsidRPr="0010784C">
        <w:rPr>
          <w:rFonts w:ascii="Times New Roman" w:hAnsi="Times New Roman"/>
          <w:b/>
          <w:sz w:val="24"/>
          <w:szCs w:val="24"/>
        </w:rPr>
        <w:t>Local level</w:t>
      </w:r>
      <w:r w:rsidRPr="0010784C">
        <w:rPr>
          <w:rFonts w:ascii="Times New Roman" w:hAnsi="Times New Roman"/>
          <w:sz w:val="24"/>
          <w:szCs w:val="24"/>
        </w:rPr>
        <w:t>:</w:t>
      </w:r>
    </w:p>
    <w:p w:rsidR="00C821BE" w:rsidRPr="0010784C" w:rsidRDefault="00C821BE" w:rsidP="00C821BE">
      <w:pPr>
        <w:pStyle w:val="Listecouleur-Accent12"/>
        <w:numPr>
          <w:ilvl w:val="0"/>
          <w:numId w:val="89"/>
        </w:numPr>
        <w:spacing w:after="0" w:line="240" w:lineRule="auto"/>
        <w:ind w:right="-850"/>
        <w:jc w:val="both"/>
        <w:rPr>
          <w:rFonts w:ascii="Times New Roman" w:hAnsi="Times New Roman"/>
          <w:sz w:val="20"/>
          <w:szCs w:val="20"/>
        </w:rPr>
      </w:pPr>
      <w:r w:rsidRPr="0010784C">
        <w:rPr>
          <w:rFonts w:ascii="Times New Roman" w:hAnsi="Times New Roman"/>
          <w:sz w:val="20"/>
          <w:szCs w:val="20"/>
        </w:rPr>
        <w:t>neighborhood officials (local communities, notabilities);</w:t>
      </w:r>
    </w:p>
    <w:p w:rsidR="00C821BE" w:rsidRPr="0010784C" w:rsidRDefault="00C821BE" w:rsidP="00C821BE">
      <w:pPr>
        <w:pStyle w:val="Listecouleur-Accent12"/>
        <w:numPr>
          <w:ilvl w:val="0"/>
          <w:numId w:val="89"/>
        </w:numPr>
        <w:spacing w:after="0" w:line="240" w:lineRule="auto"/>
        <w:ind w:right="-850"/>
        <w:jc w:val="both"/>
        <w:rPr>
          <w:rFonts w:ascii="Times New Roman" w:hAnsi="Times New Roman"/>
          <w:sz w:val="20"/>
          <w:szCs w:val="20"/>
        </w:rPr>
      </w:pPr>
      <w:r w:rsidRPr="0010784C">
        <w:rPr>
          <w:rFonts w:ascii="Times New Roman" w:hAnsi="Times New Roman"/>
          <w:sz w:val="20"/>
          <w:szCs w:val="20"/>
        </w:rPr>
        <w:t>municipal authorities (Bissau, Safim and Prabis town hall);</w:t>
      </w:r>
    </w:p>
    <w:p w:rsidR="00C821BE" w:rsidRPr="0010784C" w:rsidRDefault="00C821BE" w:rsidP="00C821BE">
      <w:pPr>
        <w:pStyle w:val="Listecouleur-Accent12"/>
        <w:numPr>
          <w:ilvl w:val="0"/>
          <w:numId w:val="89"/>
        </w:numPr>
        <w:spacing w:after="0" w:line="240" w:lineRule="auto"/>
        <w:ind w:right="-850"/>
        <w:jc w:val="both"/>
        <w:rPr>
          <w:rFonts w:ascii="Times New Roman" w:hAnsi="Times New Roman"/>
          <w:sz w:val="20"/>
          <w:szCs w:val="20"/>
        </w:rPr>
      </w:pPr>
      <w:r w:rsidRPr="0010784C">
        <w:rPr>
          <w:rFonts w:ascii="Times New Roman" w:hAnsi="Times New Roman"/>
          <w:sz w:val="20"/>
          <w:szCs w:val="20"/>
        </w:rPr>
        <w:t>institutional actors (technical services);</w:t>
      </w:r>
    </w:p>
    <w:p w:rsidR="00C821BE" w:rsidRPr="0010784C" w:rsidRDefault="00C821BE" w:rsidP="00C821BE">
      <w:pPr>
        <w:pStyle w:val="Listecouleur-Accent12"/>
        <w:numPr>
          <w:ilvl w:val="0"/>
          <w:numId w:val="89"/>
        </w:numPr>
        <w:spacing w:after="0" w:line="240" w:lineRule="auto"/>
        <w:ind w:right="-850"/>
        <w:jc w:val="both"/>
        <w:rPr>
          <w:rFonts w:ascii="Times New Roman" w:hAnsi="Times New Roman"/>
          <w:sz w:val="20"/>
          <w:szCs w:val="20"/>
        </w:rPr>
      </w:pPr>
      <w:r w:rsidRPr="0010784C">
        <w:rPr>
          <w:rFonts w:ascii="Times New Roman" w:hAnsi="Times New Roman"/>
          <w:sz w:val="20"/>
          <w:szCs w:val="20"/>
        </w:rPr>
        <w:t>a local NGO as a third party</w:t>
      </w:r>
    </w:p>
    <w:p w:rsidR="00C821BE" w:rsidRPr="0010784C" w:rsidRDefault="00C821BE" w:rsidP="00C821BE">
      <w:pPr>
        <w:pStyle w:val="Listecouleur-Accent12"/>
        <w:numPr>
          <w:ilvl w:val="0"/>
          <w:numId w:val="89"/>
        </w:numPr>
        <w:spacing w:after="0" w:line="240" w:lineRule="auto"/>
        <w:ind w:right="-850"/>
        <w:jc w:val="both"/>
        <w:rPr>
          <w:rFonts w:ascii="Times New Roman" w:hAnsi="Times New Roman"/>
          <w:sz w:val="20"/>
          <w:szCs w:val="20"/>
        </w:rPr>
      </w:pPr>
      <w:r w:rsidRPr="0010784C">
        <w:rPr>
          <w:rFonts w:ascii="Times New Roman" w:hAnsi="Times New Roman"/>
          <w:sz w:val="20"/>
          <w:szCs w:val="20"/>
        </w:rPr>
        <w:t>Project Affected Persons (PAP).</w:t>
      </w:r>
    </w:p>
    <w:p w:rsidR="00C821BE" w:rsidRPr="0010784C" w:rsidRDefault="00C821BE" w:rsidP="00C821BE">
      <w:pPr>
        <w:pStyle w:val="Listecouleur-Accent12"/>
        <w:spacing w:after="0" w:line="240" w:lineRule="auto"/>
        <w:ind w:right="-850"/>
        <w:jc w:val="both"/>
        <w:rPr>
          <w:rFonts w:ascii="Times New Roman" w:hAnsi="Times New Roman"/>
          <w:sz w:val="20"/>
          <w:szCs w:val="20"/>
        </w:rPr>
      </w:pPr>
    </w:p>
    <w:p w:rsidR="00C821BE" w:rsidRPr="0010784C" w:rsidRDefault="00C821BE" w:rsidP="00C821BE">
      <w:pPr>
        <w:pStyle w:val="PargrafodaLista"/>
        <w:numPr>
          <w:ilvl w:val="1"/>
          <w:numId w:val="245"/>
        </w:numPr>
        <w:tabs>
          <w:tab w:val="left" w:pos="1418"/>
          <w:tab w:val="left" w:pos="1843"/>
        </w:tabs>
        <w:spacing w:after="0" w:line="240" w:lineRule="auto"/>
        <w:ind w:right="-283"/>
        <w:contextualSpacing w:val="0"/>
        <w:rPr>
          <w:rFonts w:ascii="Times New Roman" w:hAnsi="Times New Roman"/>
          <w:b/>
          <w:bCs/>
          <w:i/>
          <w:sz w:val="22"/>
          <w:szCs w:val="22"/>
          <w:lang w:val="en-US"/>
        </w:rPr>
      </w:pPr>
      <w:r w:rsidRPr="0010784C">
        <w:rPr>
          <w:rFonts w:ascii="Times New Roman" w:hAnsi="Times New Roman"/>
          <w:b/>
          <w:bCs/>
          <w:i/>
          <w:sz w:val="22"/>
          <w:szCs w:val="22"/>
          <w:lang w:val="en-US"/>
        </w:rPr>
        <w:t>Operation of the complaints mechanism</w:t>
      </w:r>
    </w:p>
    <w:p w:rsidR="00C821BE" w:rsidRPr="0010784C" w:rsidRDefault="00C821BE" w:rsidP="00C821BE">
      <w:pPr>
        <w:ind w:left="-284"/>
        <w:jc w:val="both"/>
        <w:rPr>
          <w:rFonts w:ascii="Times New Roman" w:hAnsi="Times New Roman"/>
          <w:sz w:val="24"/>
          <w:szCs w:val="24"/>
          <w:lang w:val="en-US"/>
        </w:rPr>
      </w:pPr>
      <w:r w:rsidRPr="0010784C">
        <w:rPr>
          <w:rFonts w:ascii="Times New Roman" w:hAnsi="Times New Roman"/>
          <w:sz w:val="24"/>
          <w:szCs w:val="24"/>
          <w:lang w:val="en-US"/>
        </w:rPr>
        <w:t>The complaints management mechanism is structured in three levels, namely:</w:t>
      </w:r>
    </w:p>
    <w:p w:rsidR="00C821BE" w:rsidRPr="0010784C" w:rsidRDefault="00C821BE" w:rsidP="00C821BE">
      <w:pPr>
        <w:pStyle w:val="Listecouleur-Accent12"/>
        <w:numPr>
          <w:ilvl w:val="0"/>
          <w:numId w:val="89"/>
        </w:numPr>
        <w:spacing w:after="0" w:line="240" w:lineRule="auto"/>
        <w:ind w:right="-850"/>
        <w:jc w:val="both"/>
        <w:rPr>
          <w:rFonts w:ascii="Times New Roman" w:hAnsi="Times New Roman"/>
          <w:sz w:val="20"/>
          <w:szCs w:val="20"/>
        </w:rPr>
      </w:pPr>
      <w:r w:rsidRPr="0010784C">
        <w:rPr>
          <w:rFonts w:ascii="Times New Roman" w:hAnsi="Times New Roman"/>
          <w:sz w:val="20"/>
          <w:szCs w:val="20"/>
        </w:rPr>
        <w:t xml:space="preserve">Level I: The village chief or the district officials and the notables; </w:t>
      </w:r>
    </w:p>
    <w:p w:rsidR="00C821BE" w:rsidRPr="0010784C" w:rsidRDefault="00C821BE" w:rsidP="00C821BE">
      <w:pPr>
        <w:pStyle w:val="Listecouleur-Accent12"/>
        <w:numPr>
          <w:ilvl w:val="0"/>
          <w:numId w:val="89"/>
        </w:numPr>
        <w:spacing w:after="0" w:line="240" w:lineRule="auto"/>
        <w:ind w:right="-850"/>
        <w:jc w:val="both"/>
        <w:rPr>
          <w:rFonts w:ascii="Times New Roman" w:hAnsi="Times New Roman"/>
          <w:sz w:val="20"/>
          <w:szCs w:val="20"/>
        </w:rPr>
      </w:pPr>
      <w:r w:rsidRPr="0010784C">
        <w:rPr>
          <w:rFonts w:ascii="Times New Roman" w:hAnsi="Times New Roman"/>
          <w:sz w:val="20"/>
          <w:szCs w:val="20"/>
        </w:rPr>
        <w:t>Level II: The local complaints management committee;</w:t>
      </w:r>
    </w:p>
    <w:p w:rsidR="00C821BE" w:rsidRPr="0010784C" w:rsidRDefault="00C821BE" w:rsidP="00C821BE">
      <w:pPr>
        <w:pStyle w:val="Listecouleur-Accent12"/>
        <w:numPr>
          <w:ilvl w:val="0"/>
          <w:numId w:val="89"/>
        </w:numPr>
        <w:spacing w:after="0" w:line="240" w:lineRule="auto"/>
        <w:ind w:right="-850"/>
        <w:jc w:val="both"/>
        <w:rPr>
          <w:rFonts w:ascii="Times New Roman" w:hAnsi="Times New Roman"/>
          <w:sz w:val="20"/>
          <w:szCs w:val="20"/>
        </w:rPr>
      </w:pPr>
      <w:r w:rsidRPr="0010784C">
        <w:rPr>
          <w:rFonts w:ascii="Times New Roman" w:hAnsi="Times New Roman"/>
          <w:sz w:val="20"/>
          <w:szCs w:val="20"/>
        </w:rPr>
        <w:t>Level III: PUASEE-FA.</w:t>
      </w:r>
    </w:p>
    <w:p w:rsidR="00C821BE" w:rsidRPr="0010784C" w:rsidRDefault="00C821BE" w:rsidP="00C821BE">
      <w:pPr>
        <w:pStyle w:val="Listecouleur-Accent12"/>
        <w:spacing w:after="0" w:line="240" w:lineRule="auto"/>
        <w:ind w:right="-850"/>
        <w:jc w:val="both"/>
        <w:rPr>
          <w:rFonts w:ascii="Times New Roman" w:hAnsi="Times New Roman"/>
          <w:sz w:val="20"/>
          <w:szCs w:val="20"/>
        </w:rPr>
      </w:pPr>
    </w:p>
    <w:p w:rsidR="00C821BE" w:rsidRPr="0010784C" w:rsidRDefault="00C821BE" w:rsidP="00C821BE">
      <w:pPr>
        <w:pStyle w:val="PargrafodaLista"/>
        <w:numPr>
          <w:ilvl w:val="1"/>
          <w:numId w:val="245"/>
        </w:numPr>
        <w:tabs>
          <w:tab w:val="left" w:pos="1418"/>
          <w:tab w:val="left" w:pos="1843"/>
        </w:tabs>
        <w:spacing w:after="240" w:line="240" w:lineRule="auto"/>
        <w:ind w:right="-283"/>
        <w:contextualSpacing w:val="0"/>
        <w:rPr>
          <w:rFonts w:ascii="Times New Roman" w:hAnsi="Times New Roman"/>
          <w:b/>
          <w:bCs/>
          <w:i/>
          <w:sz w:val="22"/>
          <w:szCs w:val="22"/>
          <w:lang w:val="en-US"/>
        </w:rPr>
      </w:pPr>
      <w:r w:rsidRPr="0010784C">
        <w:rPr>
          <w:rFonts w:ascii="Times New Roman" w:hAnsi="Times New Roman"/>
          <w:b/>
          <w:bCs/>
          <w:i/>
          <w:sz w:val="22"/>
          <w:szCs w:val="22"/>
          <w:lang w:val="en-US"/>
        </w:rPr>
        <w:t>Registration of complaints</w:t>
      </w:r>
    </w:p>
    <w:p w:rsidR="00C821BE" w:rsidRPr="0010784C" w:rsidRDefault="00C821BE" w:rsidP="00C821BE">
      <w:pPr>
        <w:spacing w:line="240" w:lineRule="auto"/>
        <w:ind w:left="-284" w:right="-853"/>
        <w:jc w:val="both"/>
        <w:rPr>
          <w:rFonts w:ascii="Times New Roman" w:hAnsi="Times New Roman" w:cs="Times New Roman"/>
          <w:lang w:val="en-US"/>
        </w:rPr>
      </w:pPr>
      <w:r w:rsidRPr="0010784C">
        <w:rPr>
          <w:rFonts w:ascii="Times New Roman" w:hAnsi="Times New Roman" w:cs="Times New Roman"/>
          <w:lang w:val="en-US"/>
        </w:rPr>
        <w:t>The complai</w:t>
      </w:r>
      <w:r w:rsidR="00D10B3E">
        <w:rPr>
          <w:rFonts w:ascii="Times New Roman" w:hAnsi="Times New Roman" w:cs="Times New Roman"/>
          <w:lang w:val="en-US"/>
        </w:rPr>
        <w:t xml:space="preserve">nants will be informed by the </w:t>
      </w:r>
      <w:r w:rsidRPr="0010784C">
        <w:rPr>
          <w:rFonts w:ascii="Times New Roman" w:hAnsi="Times New Roman" w:cs="Times New Roman"/>
          <w:lang w:val="en-US"/>
        </w:rPr>
        <w:t>U</w:t>
      </w:r>
      <w:r w:rsidR="00D10B3E">
        <w:rPr>
          <w:rFonts w:ascii="Times New Roman" w:hAnsi="Times New Roman" w:cs="Times New Roman"/>
          <w:lang w:val="en-US"/>
        </w:rPr>
        <w:t>IP</w:t>
      </w:r>
      <w:r w:rsidRPr="0010784C">
        <w:rPr>
          <w:rFonts w:ascii="Times New Roman" w:hAnsi="Times New Roman" w:cs="Times New Roman"/>
          <w:lang w:val="en-US"/>
        </w:rPr>
        <w:t xml:space="preserve"> of the </w:t>
      </w:r>
      <w:r w:rsidR="00D10B3E" w:rsidRPr="003C548E">
        <w:rPr>
          <w:rFonts w:ascii="Times New Roman" w:hAnsi="Times New Roman" w:cs="Times New Roman"/>
          <w:lang w:val="en-US"/>
        </w:rPr>
        <w:t>PUASEE</w:t>
      </w:r>
      <w:r w:rsidRPr="0010784C">
        <w:rPr>
          <w:rFonts w:ascii="Times New Roman" w:hAnsi="Times New Roman" w:cs="Times New Roman"/>
          <w:lang w:val="en-US"/>
        </w:rPr>
        <w:t xml:space="preserve">, on the complaints management mechanism will be done through the establishment of a register of complaints with the district chief and a telephone number. Then, the social safeguards manager of </w:t>
      </w:r>
      <w:r w:rsidR="00D10B3E" w:rsidRPr="003C548E">
        <w:rPr>
          <w:rFonts w:ascii="Times New Roman" w:hAnsi="Times New Roman" w:cs="Times New Roman"/>
          <w:lang w:val="en-US"/>
        </w:rPr>
        <w:t>PUASEE</w:t>
      </w:r>
      <w:r w:rsidRPr="0010784C">
        <w:rPr>
          <w:rFonts w:ascii="Times New Roman" w:hAnsi="Times New Roman" w:cs="Times New Roman"/>
          <w:lang w:val="en-US"/>
        </w:rPr>
        <w:t xml:space="preserve"> through public consultation sessions will inform the complainants about the procedure to follow in order to be able to complain.</w:t>
      </w:r>
    </w:p>
    <w:p w:rsidR="00C821BE" w:rsidRPr="0010784C" w:rsidRDefault="00C821BE" w:rsidP="00C821BE">
      <w:pPr>
        <w:spacing w:line="240" w:lineRule="auto"/>
        <w:ind w:left="-284" w:right="-853"/>
        <w:jc w:val="both"/>
        <w:rPr>
          <w:rFonts w:ascii="Times New Roman" w:hAnsi="Times New Roman" w:cs="Times New Roman"/>
          <w:lang w:val="en-US"/>
        </w:rPr>
      </w:pPr>
      <w:r w:rsidRPr="0010784C">
        <w:rPr>
          <w:rFonts w:ascii="Times New Roman" w:hAnsi="Times New Roman" w:cs="Times New Roman"/>
          <w:lang w:val="en-US"/>
        </w:rPr>
        <w:t>The neighborhood chief will keep the register and will help complainants complete and file their complaint; the complainant can also write his own complaint, or rely on resource persons or an NGO; a model for registering complaints is attached in Annex 9. For reasons of discretion, the complainant may also call by telephone to lodge his complaint.</w:t>
      </w:r>
    </w:p>
    <w:p w:rsidR="00C821BE" w:rsidRPr="0010784C" w:rsidRDefault="00C821BE" w:rsidP="00C821BE">
      <w:pPr>
        <w:spacing w:line="240" w:lineRule="auto"/>
        <w:ind w:left="-284" w:right="-853"/>
        <w:jc w:val="both"/>
        <w:rPr>
          <w:rFonts w:ascii="Times New Roman" w:hAnsi="Times New Roman" w:cs="Times New Roman"/>
          <w:lang w:val="en-US"/>
        </w:rPr>
      </w:pPr>
      <w:r w:rsidRPr="0010784C">
        <w:rPr>
          <w:rFonts w:ascii="Times New Roman" w:hAnsi="Times New Roman" w:cs="Times New Roman"/>
          <w:lang w:val="en-US"/>
        </w:rPr>
        <w:t xml:space="preserve">The following figure summarizes the circuit of the </w:t>
      </w:r>
      <w:r w:rsidR="00D10B3E" w:rsidRPr="003C548E">
        <w:rPr>
          <w:rFonts w:ascii="Times New Roman" w:hAnsi="Times New Roman" w:cs="Times New Roman"/>
          <w:lang w:val="en-US"/>
        </w:rPr>
        <w:t>PUASEE</w:t>
      </w:r>
      <w:r w:rsidRPr="0010784C">
        <w:rPr>
          <w:rFonts w:ascii="Times New Roman" w:hAnsi="Times New Roman" w:cs="Times New Roman"/>
          <w:lang w:val="en-US"/>
        </w:rPr>
        <w:t xml:space="preserve"> MGP: </w:t>
      </w:r>
    </w:p>
    <w:p w:rsidR="00C821BE" w:rsidRPr="0010784C" w:rsidRDefault="00C821BE" w:rsidP="00C821BE">
      <w:pPr>
        <w:tabs>
          <w:tab w:val="left" w:pos="2325"/>
        </w:tabs>
        <w:spacing w:line="276" w:lineRule="auto"/>
        <w:jc w:val="both"/>
        <w:rPr>
          <w:rFonts w:ascii="Times New Roman" w:hAnsi="Times New Roman" w:cs="Times New Roman"/>
          <w:b/>
          <w:sz w:val="24"/>
          <w:szCs w:val="24"/>
          <w:lang w:val="en-US"/>
        </w:rPr>
      </w:pPr>
      <w:r w:rsidRPr="0010784C">
        <w:rPr>
          <w:rFonts w:ascii="Times New Roman" w:hAnsi="Times New Roman"/>
          <w:b/>
          <w:bCs/>
          <w:noProof/>
          <w:sz w:val="24"/>
          <w:szCs w:val="24"/>
          <w:lang w:val="pt-PT" w:eastAsia="pt-PT"/>
        </w:rPr>
        <w:drawing>
          <wp:anchor distT="0" distB="0" distL="114300" distR="114300" simplePos="0" relativeHeight="252315136" behindDoc="1" locked="0" layoutInCell="1" allowOverlap="1" wp14:anchorId="072C1C1B" wp14:editId="423EDE52">
            <wp:simplePos x="0" y="0"/>
            <wp:positionH relativeFrom="margin">
              <wp:align>center</wp:align>
            </wp:positionH>
            <wp:positionV relativeFrom="margin">
              <wp:posOffset>5828030</wp:posOffset>
            </wp:positionV>
            <wp:extent cx="3962400" cy="2526030"/>
            <wp:effectExtent l="0" t="0" r="0" b="7620"/>
            <wp:wrapTight wrapText="bothSides">
              <wp:wrapPolygon edited="0">
                <wp:start x="0" y="0"/>
                <wp:lineTo x="0" y="21502"/>
                <wp:lineTo x="21496" y="21502"/>
                <wp:lineTo x="21496" y="0"/>
                <wp:lineTo x="0" y="0"/>
              </wp:wrapPolygon>
            </wp:wrapTight>
            <wp:docPr id="534" name="Image 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cstate="email">
                      <a:extLst>
                        <a:ext uri="{28A0092B-C50C-407E-A947-70E740481C1C}">
                          <a14:useLocalDpi xmlns:a14="http://schemas.microsoft.com/office/drawing/2010/main"/>
                        </a:ext>
                      </a:extLst>
                    </a:blip>
                    <a:srcRect/>
                    <a:stretch>
                      <a:fillRect/>
                    </a:stretch>
                  </pic:blipFill>
                  <pic:spPr bwMode="auto">
                    <a:xfrm>
                      <a:off x="0" y="0"/>
                      <a:ext cx="3962400" cy="252603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C821BE" w:rsidRPr="0010784C" w:rsidRDefault="00C821BE" w:rsidP="00C821BE">
      <w:pPr>
        <w:tabs>
          <w:tab w:val="left" w:pos="2325"/>
        </w:tabs>
        <w:spacing w:line="276" w:lineRule="auto"/>
        <w:jc w:val="both"/>
        <w:rPr>
          <w:rFonts w:ascii="Times New Roman" w:hAnsi="Times New Roman" w:cs="Times New Roman"/>
          <w:b/>
          <w:sz w:val="24"/>
          <w:szCs w:val="24"/>
          <w:lang w:val="en-US"/>
        </w:rPr>
      </w:pPr>
    </w:p>
    <w:p w:rsidR="00C821BE" w:rsidRPr="0010784C" w:rsidRDefault="00C821BE" w:rsidP="00C821BE">
      <w:pPr>
        <w:tabs>
          <w:tab w:val="left" w:pos="2325"/>
        </w:tabs>
        <w:spacing w:line="276" w:lineRule="auto"/>
        <w:jc w:val="both"/>
        <w:rPr>
          <w:rFonts w:ascii="Times New Roman" w:hAnsi="Times New Roman" w:cs="Times New Roman"/>
          <w:b/>
          <w:sz w:val="24"/>
          <w:szCs w:val="24"/>
          <w:lang w:val="en-US"/>
        </w:rPr>
      </w:pPr>
    </w:p>
    <w:p w:rsidR="00C821BE" w:rsidRPr="0010784C" w:rsidRDefault="00C821BE" w:rsidP="00C821BE">
      <w:pPr>
        <w:tabs>
          <w:tab w:val="left" w:pos="2325"/>
        </w:tabs>
        <w:spacing w:line="276" w:lineRule="auto"/>
        <w:jc w:val="both"/>
        <w:rPr>
          <w:rFonts w:ascii="Times New Roman" w:hAnsi="Times New Roman" w:cs="Times New Roman"/>
          <w:b/>
          <w:sz w:val="24"/>
          <w:szCs w:val="24"/>
          <w:lang w:val="en-US"/>
        </w:rPr>
      </w:pPr>
    </w:p>
    <w:p w:rsidR="00C821BE" w:rsidRPr="0010784C" w:rsidRDefault="00C821BE" w:rsidP="00C821BE">
      <w:pPr>
        <w:tabs>
          <w:tab w:val="left" w:pos="2325"/>
        </w:tabs>
        <w:spacing w:line="276" w:lineRule="auto"/>
        <w:jc w:val="both"/>
        <w:rPr>
          <w:rFonts w:ascii="Times New Roman" w:hAnsi="Times New Roman" w:cs="Times New Roman"/>
          <w:b/>
          <w:sz w:val="24"/>
          <w:szCs w:val="24"/>
          <w:lang w:val="en-US"/>
        </w:rPr>
      </w:pPr>
    </w:p>
    <w:p w:rsidR="00C821BE" w:rsidRPr="0010784C" w:rsidRDefault="00C821BE" w:rsidP="00C821BE">
      <w:pPr>
        <w:tabs>
          <w:tab w:val="left" w:pos="2325"/>
        </w:tabs>
        <w:spacing w:line="276" w:lineRule="auto"/>
        <w:jc w:val="both"/>
        <w:rPr>
          <w:rFonts w:ascii="Times New Roman" w:hAnsi="Times New Roman" w:cs="Times New Roman"/>
          <w:b/>
          <w:sz w:val="24"/>
          <w:szCs w:val="24"/>
          <w:lang w:val="en-US"/>
        </w:rPr>
      </w:pPr>
    </w:p>
    <w:p w:rsidR="00C821BE" w:rsidRPr="0010784C" w:rsidRDefault="00C821BE" w:rsidP="00C821BE">
      <w:pPr>
        <w:tabs>
          <w:tab w:val="left" w:pos="2325"/>
        </w:tabs>
        <w:spacing w:line="276" w:lineRule="auto"/>
        <w:jc w:val="both"/>
        <w:rPr>
          <w:rFonts w:ascii="Times New Roman" w:hAnsi="Times New Roman" w:cs="Times New Roman"/>
          <w:b/>
          <w:sz w:val="24"/>
          <w:szCs w:val="24"/>
          <w:lang w:val="en-US"/>
        </w:rPr>
      </w:pPr>
    </w:p>
    <w:p w:rsidR="00C821BE" w:rsidRPr="0010784C" w:rsidRDefault="00C821BE" w:rsidP="00C821BE">
      <w:pPr>
        <w:tabs>
          <w:tab w:val="left" w:pos="2325"/>
        </w:tabs>
        <w:spacing w:line="276" w:lineRule="auto"/>
        <w:jc w:val="both"/>
        <w:rPr>
          <w:rFonts w:ascii="Times New Roman" w:hAnsi="Times New Roman" w:cs="Times New Roman"/>
          <w:b/>
          <w:sz w:val="24"/>
          <w:szCs w:val="24"/>
          <w:lang w:val="en-US"/>
        </w:rPr>
      </w:pPr>
    </w:p>
    <w:p w:rsidR="00C821BE" w:rsidRDefault="00C821BE" w:rsidP="00C821BE">
      <w:pPr>
        <w:tabs>
          <w:tab w:val="left" w:pos="2325"/>
        </w:tabs>
        <w:spacing w:line="276" w:lineRule="auto"/>
        <w:jc w:val="both"/>
        <w:rPr>
          <w:rFonts w:ascii="Times New Roman" w:hAnsi="Times New Roman" w:cs="Times New Roman"/>
          <w:b/>
          <w:sz w:val="24"/>
          <w:szCs w:val="24"/>
          <w:lang w:val="en-US"/>
        </w:rPr>
      </w:pPr>
    </w:p>
    <w:p w:rsidR="00C821BE" w:rsidRDefault="00C821BE" w:rsidP="00C821BE">
      <w:pPr>
        <w:tabs>
          <w:tab w:val="left" w:pos="2325"/>
        </w:tabs>
        <w:spacing w:line="276" w:lineRule="auto"/>
        <w:jc w:val="both"/>
        <w:rPr>
          <w:rFonts w:ascii="Times New Roman" w:hAnsi="Times New Roman" w:cs="Times New Roman"/>
          <w:b/>
          <w:sz w:val="24"/>
          <w:szCs w:val="24"/>
          <w:lang w:val="en-US"/>
        </w:rPr>
      </w:pPr>
    </w:p>
    <w:p w:rsidR="00C821BE" w:rsidRDefault="00C821BE" w:rsidP="00C821BE">
      <w:pPr>
        <w:tabs>
          <w:tab w:val="left" w:pos="2325"/>
        </w:tabs>
        <w:spacing w:line="276" w:lineRule="auto"/>
        <w:jc w:val="both"/>
        <w:rPr>
          <w:rFonts w:ascii="Times New Roman" w:hAnsi="Times New Roman" w:cs="Times New Roman"/>
          <w:b/>
          <w:sz w:val="24"/>
          <w:szCs w:val="24"/>
          <w:lang w:val="en-US"/>
        </w:rPr>
      </w:pPr>
    </w:p>
    <w:p w:rsidR="00C821BE" w:rsidRDefault="00C821BE" w:rsidP="00C821BE">
      <w:pPr>
        <w:tabs>
          <w:tab w:val="left" w:pos="2325"/>
        </w:tabs>
        <w:spacing w:line="276" w:lineRule="auto"/>
        <w:jc w:val="both"/>
        <w:rPr>
          <w:rFonts w:ascii="Times New Roman" w:hAnsi="Times New Roman" w:cs="Times New Roman"/>
          <w:b/>
          <w:sz w:val="24"/>
          <w:szCs w:val="24"/>
          <w:lang w:val="en-US"/>
        </w:rPr>
      </w:pPr>
    </w:p>
    <w:p w:rsidR="00C821BE" w:rsidRPr="002362E3" w:rsidRDefault="00C821BE" w:rsidP="00C821BE">
      <w:pPr>
        <w:keepNext/>
        <w:keepLines/>
        <w:pBdr>
          <w:top w:val="outset" w:sz="12" w:space="1" w:color="auto"/>
          <w:left w:val="outset" w:sz="12" w:space="4" w:color="auto"/>
          <w:bottom w:val="outset" w:sz="12" w:space="1" w:color="auto"/>
          <w:right w:val="outset" w:sz="12" w:space="4" w:color="auto"/>
        </w:pBdr>
        <w:shd w:val="clear" w:color="auto" w:fill="F2F2F2" w:themeFill="background1" w:themeFillShade="F2"/>
        <w:spacing w:after="0" w:line="240" w:lineRule="auto"/>
        <w:ind w:left="-1417" w:right="-567"/>
        <w:jc w:val="center"/>
        <w:outlineLvl w:val="0"/>
        <w:rPr>
          <w:rFonts w:ascii="Times New Roman" w:eastAsia="Calibri" w:hAnsi="Times New Roman" w:cs="Times New Roman"/>
          <w:b/>
          <w:sz w:val="32"/>
          <w:szCs w:val="32"/>
          <w:lang w:val="pt-BR"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id="19" w:name="_Toc51072495"/>
      <w:r w:rsidRPr="002362E3">
        <w:rPr>
          <w:rFonts w:ascii="Times New Roman" w:eastAsia="Calibri" w:hAnsi="Times New Roman" w:cs="Times New Roman"/>
          <w:b/>
          <w:sz w:val="32"/>
          <w:szCs w:val="32"/>
          <w:lang w:val="pt-BR"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SUMÁRIO EXECUTIVO</w:t>
      </w:r>
      <w:bookmarkEnd w:id="19"/>
    </w:p>
    <w:p w:rsidR="00C821BE" w:rsidRPr="002362E3" w:rsidRDefault="00C821BE" w:rsidP="00C821BE">
      <w:pPr>
        <w:pStyle w:val="PargrafodaLista"/>
        <w:tabs>
          <w:tab w:val="left" w:pos="1418"/>
          <w:tab w:val="left" w:pos="1843"/>
        </w:tabs>
        <w:spacing w:after="0" w:line="240" w:lineRule="auto"/>
        <w:ind w:right="-283"/>
        <w:contextualSpacing w:val="0"/>
        <w:rPr>
          <w:rFonts w:ascii="Times New Roman" w:hAnsi="Times New Roman"/>
          <w:b/>
          <w:bCs/>
          <w:i/>
          <w:sz w:val="22"/>
          <w:szCs w:val="22"/>
          <w:lang w:val="pt-BR"/>
        </w:rPr>
      </w:pPr>
    </w:p>
    <w:p w:rsidR="00C821BE" w:rsidRPr="002362E3" w:rsidRDefault="00C821BE" w:rsidP="00C821BE">
      <w:pPr>
        <w:pStyle w:val="PargrafodaLista"/>
        <w:numPr>
          <w:ilvl w:val="0"/>
          <w:numId w:val="245"/>
        </w:numPr>
        <w:tabs>
          <w:tab w:val="left" w:pos="1418"/>
          <w:tab w:val="left" w:pos="1843"/>
        </w:tabs>
        <w:spacing w:after="240" w:line="240" w:lineRule="auto"/>
        <w:ind w:right="-283"/>
        <w:contextualSpacing w:val="0"/>
        <w:rPr>
          <w:rFonts w:ascii="Times New Roman" w:hAnsi="Times New Roman"/>
          <w:b/>
          <w:bCs/>
          <w:i/>
          <w:sz w:val="22"/>
          <w:szCs w:val="22"/>
          <w:lang w:val="pt-BR"/>
        </w:rPr>
      </w:pPr>
      <w:r w:rsidRPr="002362E3">
        <w:rPr>
          <w:rFonts w:ascii="Times New Roman" w:hAnsi="Times New Roman"/>
          <w:b/>
          <w:bCs/>
          <w:i/>
          <w:sz w:val="22"/>
          <w:szCs w:val="22"/>
          <w:lang w:val="pt-BR"/>
        </w:rPr>
        <w:t>ANTECEDENTES E JUSTIFICAÇÃO GERAL</w:t>
      </w:r>
    </w:p>
    <w:p w:rsidR="00C821BE" w:rsidRPr="002362E3" w:rsidRDefault="00C821BE" w:rsidP="00C821BE">
      <w:pPr>
        <w:spacing w:after="120" w:line="240" w:lineRule="auto"/>
        <w:ind w:left="-284" w:right="-853"/>
        <w:jc w:val="both"/>
        <w:rPr>
          <w:rFonts w:ascii="Times New Roman" w:hAnsi="Times New Roman"/>
          <w:b/>
          <w:i/>
          <w:lang w:val="pt-BR" w:eastAsia="fr-FR"/>
        </w:rPr>
      </w:pPr>
      <w:r w:rsidRPr="002362E3">
        <w:rPr>
          <w:rFonts w:ascii="Times New Roman" w:hAnsi="Times New Roman"/>
          <w:lang w:val="pt-BR"/>
        </w:rPr>
        <w:t xml:space="preserve">Na Guiné-Bissau, vários distritos de Bissau não abrangidos por projectos anteriores estão a passar por um problema crucial de água potável, a tal ponto que a maioria das comunidades se abastece de poços tradicionais, com água não higiénica, causa de inúmeras doenças. . </w:t>
      </w:r>
    </w:p>
    <w:p w:rsidR="00C821BE" w:rsidRPr="002362E3" w:rsidRDefault="00C821BE" w:rsidP="00C821BE">
      <w:pPr>
        <w:spacing w:after="120" w:line="240" w:lineRule="auto"/>
        <w:ind w:left="-284" w:right="-853"/>
        <w:jc w:val="both"/>
        <w:rPr>
          <w:rFonts w:ascii="Times New Roman" w:hAnsi="Times New Roman"/>
          <w:lang w:val="pt-BR"/>
        </w:rPr>
      </w:pPr>
      <w:r w:rsidRPr="002362E3">
        <w:rPr>
          <w:rFonts w:ascii="Times New Roman" w:hAnsi="Times New Roman"/>
          <w:lang w:val="pt-BR"/>
        </w:rPr>
        <w:t>Com o objetivo de reduzir estes efeitos negativos e melhorar as condições de higiene da população através do acesso à água potável, o Governo e o seu Parceiro (Banco Mundial), no âmbito do projeto Água e Eletricidade , pretendem reforçar o serviço de abastecimento de água potável e energia eléctrica à cidade de Bissau e aos bairros periféricos.</w:t>
      </w:r>
    </w:p>
    <w:p w:rsidR="00C821BE" w:rsidRPr="002362E3" w:rsidRDefault="00C821BE" w:rsidP="00C821BE">
      <w:pPr>
        <w:spacing w:after="120" w:line="240" w:lineRule="auto"/>
        <w:ind w:left="-284" w:right="-853"/>
        <w:jc w:val="both"/>
        <w:rPr>
          <w:rFonts w:ascii="Times New Roman" w:hAnsi="Times New Roman"/>
          <w:lang w:val="pt-BR"/>
        </w:rPr>
      </w:pPr>
      <w:r w:rsidRPr="002362E3">
        <w:rPr>
          <w:rFonts w:ascii="Times New Roman" w:hAnsi="Times New Roman"/>
          <w:lang w:val="pt-BR"/>
        </w:rPr>
        <w:t>Assim, tal exige a aplicação de directrizes operacionais de protecção ambiental e social de acordo com as normas em vigor na Guiné-Bissau e as políticas / directrizes ambientais e sociais do Banco Mundial doador. Decidiu-se realizar Estudos de Impacto Ambiental e Social (ESIA) e Planos de Ação de Reassentamento.</w:t>
      </w:r>
    </w:p>
    <w:p w:rsidR="00C821BE" w:rsidRPr="002362E3" w:rsidRDefault="00C821BE" w:rsidP="00C821BE">
      <w:pPr>
        <w:pStyle w:val="PargrafodaLista"/>
        <w:numPr>
          <w:ilvl w:val="0"/>
          <w:numId w:val="245"/>
        </w:numPr>
        <w:tabs>
          <w:tab w:val="left" w:pos="1418"/>
          <w:tab w:val="left" w:pos="1843"/>
        </w:tabs>
        <w:spacing w:after="240" w:line="240" w:lineRule="auto"/>
        <w:ind w:right="-283"/>
        <w:contextualSpacing w:val="0"/>
        <w:rPr>
          <w:rFonts w:ascii="Times New Roman" w:hAnsi="Times New Roman"/>
          <w:b/>
          <w:bCs/>
          <w:i/>
          <w:sz w:val="22"/>
          <w:szCs w:val="22"/>
          <w:lang w:val="pt-BR"/>
        </w:rPr>
      </w:pPr>
      <w:r w:rsidRPr="002362E3">
        <w:rPr>
          <w:rFonts w:ascii="Times New Roman" w:hAnsi="Times New Roman"/>
          <w:b/>
          <w:bCs/>
          <w:i/>
          <w:sz w:val="22"/>
          <w:szCs w:val="22"/>
          <w:lang w:val="pt-BR"/>
        </w:rPr>
        <w:t>OBJETIVOS DA ESIA</w:t>
      </w:r>
    </w:p>
    <w:p w:rsidR="00C821BE" w:rsidRPr="002362E3" w:rsidRDefault="00C821BE" w:rsidP="00C821BE">
      <w:pPr>
        <w:spacing w:after="120" w:line="240" w:lineRule="auto"/>
        <w:ind w:left="-284" w:right="-853"/>
        <w:jc w:val="both"/>
        <w:rPr>
          <w:rFonts w:ascii="Times New Roman" w:hAnsi="Times New Roman"/>
          <w:lang w:val="pt-BR"/>
        </w:rPr>
      </w:pPr>
      <w:r w:rsidRPr="002362E3">
        <w:rPr>
          <w:rFonts w:ascii="Times New Roman" w:hAnsi="Times New Roman"/>
          <w:lang w:val="pt-BR"/>
        </w:rPr>
        <w:t>Este estudo visa identificar todos os impactos no ambiente biofísico e socioeconômico vinculados ao subprojeto n ° 2 (a construção de três novas torres de água (Prabis, Safim, Bor e Antula) e a reabilitação de outras torres de água existentes) do projeto PUASEE-FA.</w:t>
      </w:r>
    </w:p>
    <w:p w:rsidR="00C821BE" w:rsidRPr="002362E3" w:rsidRDefault="00C821BE" w:rsidP="00C821BE">
      <w:pPr>
        <w:spacing w:after="120" w:line="240" w:lineRule="auto"/>
        <w:ind w:left="-284" w:right="-853"/>
        <w:jc w:val="both"/>
        <w:rPr>
          <w:rFonts w:ascii="Times New Roman" w:hAnsi="Times New Roman"/>
          <w:lang w:val="pt-BR"/>
        </w:rPr>
      </w:pPr>
      <w:r w:rsidRPr="002362E3">
        <w:rPr>
          <w:rFonts w:ascii="Times New Roman" w:hAnsi="Times New Roman"/>
          <w:lang w:val="pt-BR"/>
        </w:rPr>
        <w:t>Em termos de abordagem, vários instrumentos regulatórios e de política prescrevem o processo que deve levar à preparação do relatório da ESIA para o subprojeto n ° 2.</w:t>
      </w:r>
    </w:p>
    <w:p w:rsidR="00C821BE" w:rsidRPr="002362E3" w:rsidRDefault="00C821BE" w:rsidP="00C821BE">
      <w:pPr>
        <w:spacing w:after="120" w:line="240" w:lineRule="auto"/>
        <w:ind w:left="-284" w:right="-853"/>
        <w:jc w:val="both"/>
        <w:rPr>
          <w:rFonts w:ascii="Times New Roman" w:hAnsi="Times New Roman"/>
          <w:lang w:val="pt-BR"/>
        </w:rPr>
      </w:pPr>
      <w:r w:rsidRPr="002362E3">
        <w:rPr>
          <w:rFonts w:ascii="Times New Roman" w:hAnsi="Times New Roman"/>
          <w:lang w:val="pt-BR"/>
        </w:rPr>
        <w:t>Estas incluem, em particular, as impostas por decretos que complementam a legislação nacional, em particular a lei de base n ° 1/2011 de 2 de março sobre o ambiente e a lei n ° 10/2010 sobre avaliação ambiental, bem como Política de salvaguarda ambiental e social do Banco Mundial.</w:t>
      </w:r>
    </w:p>
    <w:p w:rsidR="00C821BE" w:rsidRPr="002362E3" w:rsidRDefault="00C821BE" w:rsidP="00C821BE">
      <w:pPr>
        <w:pStyle w:val="PargrafodaLista"/>
        <w:numPr>
          <w:ilvl w:val="0"/>
          <w:numId w:val="245"/>
        </w:numPr>
        <w:tabs>
          <w:tab w:val="left" w:pos="1418"/>
          <w:tab w:val="left" w:pos="1843"/>
        </w:tabs>
        <w:spacing w:after="240" w:line="240" w:lineRule="auto"/>
        <w:ind w:right="-283"/>
        <w:contextualSpacing w:val="0"/>
        <w:rPr>
          <w:rFonts w:ascii="Times New Roman" w:hAnsi="Times New Roman"/>
          <w:b/>
          <w:bCs/>
          <w:i/>
          <w:sz w:val="22"/>
          <w:szCs w:val="22"/>
          <w:lang w:val="pt-BR"/>
        </w:rPr>
      </w:pPr>
      <w:r w:rsidRPr="002362E3">
        <w:rPr>
          <w:rFonts w:ascii="Times New Roman" w:hAnsi="Times New Roman"/>
          <w:b/>
          <w:bCs/>
          <w:i/>
          <w:sz w:val="22"/>
          <w:szCs w:val="22"/>
          <w:lang w:val="pt-BR"/>
        </w:rPr>
        <w:t>OBJETIVO DO PROJETO PUASEE-FA</w:t>
      </w:r>
    </w:p>
    <w:p w:rsidR="00C821BE" w:rsidRPr="002362E3" w:rsidRDefault="00C821BE" w:rsidP="00C821BE">
      <w:pPr>
        <w:spacing w:after="0" w:line="240" w:lineRule="auto"/>
        <w:ind w:left="-284" w:right="-853"/>
        <w:jc w:val="both"/>
        <w:rPr>
          <w:rFonts w:ascii="Times New Roman" w:hAnsi="Times New Roman"/>
          <w:lang w:val="pt-BR"/>
        </w:rPr>
      </w:pPr>
      <w:r w:rsidRPr="002362E3">
        <w:rPr>
          <w:rFonts w:ascii="Times New Roman" w:hAnsi="Times New Roman"/>
          <w:lang w:val="pt-BR"/>
        </w:rPr>
        <w:t>O Projeto entrou em vigor em julho de 2014 e sua data de encerramento estava inicialmente prevista para 30 de junho de 2018. O Banco Mundial e as autoridades da Guiné-Bissau concordaram, no entanto, em preparar um Financiamento Adicional (AF) para o projeto para apoio. a novas ações, nas seguintes áreas:</w:t>
      </w:r>
    </w:p>
    <w:p w:rsidR="00C821BE" w:rsidRPr="002362E3" w:rsidRDefault="00C821BE" w:rsidP="00C821BE">
      <w:pPr>
        <w:pStyle w:val="PargrafodaLista"/>
        <w:numPr>
          <w:ilvl w:val="0"/>
          <w:numId w:val="61"/>
        </w:numPr>
        <w:spacing w:after="0" w:line="240" w:lineRule="auto"/>
        <w:jc w:val="both"/>
        <w:rPr>
          <w:rFonts w:ascii="Times New Roman" w:hAnsi="Times New Roman"/>
          <w:sz w:val="22"/>
          <w:szCs w:val="22"/>
          <w:lang w:val="pt-BR"/>
        </w:rPr>
      </w:pPr>
      <w:r w:rsidRPr="002362E3">
        <w:rPr>
          <w:rFonts w:ascii="Times New Roman" w:hAnsi="Times New Roman"/>
          <w:sz w:val="22"/>
          <w:szCs w:val="22"/>
          <w:lang w:val="pt-BR"/>
        </w:rPr>
        <w:t>Fortalecimento da capacidade de produção de água;</w:t>
      </w:r>
    </w:p>
    <w:p w:rsidR="00C821BE" w:rsidRPr="002362E3" w:rsidRDefault="00C821BE" w:rsidP="00C821BE">
      <w:pPr>
        <w:pStyle w:val="PargrafodaLista"/>
        <w:numPr>
          <w:ilvl w:val="0"/>
          <w:numId w:val="61"/>
        </w:numPr>
        <w:spacing w:after="0" w:line="240" w:lineRule="auto"/>
        <w:jc w:val="both"/>
        <w:rPr>
          <w:rFonts w:ascii="Times New Roman" w:hAnsi="Times New Roman"/>
          <w:sz w:val="22"/>
          <w:szCs w:val="22"/>
          <w:lang w:val="pt-BR"/>
        </w:rPr>
      </w:pPr>
      <w:r w:rsidRPr="002362E3">
        <w:rPr>
          <w:rFonts w:ascii="Times New Roman" w:hAnsi="Times New Roman"/>
          <w:sz w:val="22"/>
          <w:szCs w:val="22"/>
          <w:lang w:val="pt-BR"/>
        </w:rPr>
        <w:t>Aumento da capacidade de armazenamento;</w:t>
      </w:r>
    </w:p>
    <w:p w:rsidR="00C821BE" w:rsidRPr="002362E3" w:rsidRDefault="00C821BE" w:rsidP="00C821BE">
      <w:pPr>
        <w:pStyle w:val="PargrafodaLista"/>
        <w:numPr>
          <w:ilvl w:val="0"/>
          <w:numId w:val="61"/>
        </w:numPr>
        <w:spacing w:after="0" w:line="240" w:lineRule="auto"/>
        <w:jc w:val="both"/>
        <w:rPr>
          <w:rFonts w:ascii="Times New Roman" w:hAnsi="Times New Roman"/>
          <w:sz w:val="22"/>
          <w:szCs w:val="22"/>
          <w:lang w:val="pt-BR"/>
        </w:rPr>
      </w:pPr>
      <w:r w:rsidRPr="002362E3">
        <w:rPr>
          <w:rFonts w:ascii="Times New Roman" w:hAnsi="Times New Roman"/>
          <w:sz w:val="22"/>
          <w:szCs w:val="22"/>
          <w:lang w:val="pt-BR"/>
        </w:rPr>
        <w:t>Reabilitação de redes existentes;</w:t>
      </w:r>
    </w:p>
    <w:p w:rsidR="00C821BE" w:rsidRPr="002362E3" w:rsidRDefault="00C821BE" w:rsidP="00C821BE">
      <w:pPr>
        <w:pStyle w:val="PargrafodaLista"/>
        <w:numPr>
          <w:ilvl w:val="0"/>
          <w:numId w:val="61"/>
        </w:numPr>
        <w:spacing w:after="0" w:line="240" w:lineRule="auto"/>
        <w:jc w:val="both"/>
        <w:rPr>
          <w:rFonts w:ascii="Times New Roman" w:hAnsi="Times New Roman"/>
          <w:sz w:val="22"/>
          <w:szCs w:val="22"/>
          <w:lang w:val="pt-BR"/>
        </w:rPr>
      </w:pPr>
      <w:r w:rsidRPr="002362E3">
        <w:rPr>
          <w:rFonts w:ascii="Times New Roman" w:hAnsi="Times New Roman"/>
          <w:sz w:val="22"/>
          <w:szCs w:val="22"/>
          <w:lang w:val="pt-BR"/>
        </w:rPr>
        <w:t>Extensão de redes secundárias e terciárias e criação de conexões sociais e fontanários em distritos periféricos.</w:t>
      </w:r>
    </w:p>
    <w:p w:rsidR="00C821BE" w:rsidRPr="002362E3" w:rsidRDefault="00C821BE" w:rsidP="00C821BE">
      <w:pPr>
        <w:pStyle w:val="PargrafodaLista"/>
        <w:spacing w:after="0" w:line="240" w:lineRule="auto"/>
        <w:jc w:val="both"/>
        <w:rPr>
          <w:rFonts w:ascii="Times New Roman" w:hAnsi="Times New Roman"/>
          <w:sz w:val="22"/>
          <w:szCs w:val="22"/>
          <w:lang w:val="pt-BR"/>
        </w:rPr>
      </w:pPr>
    </w:p>
    <w:p w:rsidR="00C821BE" w:rsidRPr="002362E3" w:rsidRDefault="00C821BE" w:rsidP="00C821BE">
      <w:pPr>
        <w:autoSpaceDE w:val="0"/>
        <w:autoSpaceDN w:val="0"/>
        <w:adjustRightInd w:val="0"/>
        <w:spacing w:after="0" w:line="240" w:lineRule="auto"/>
        <w:ind w:left="-284" w:right="-851"/>
        <w:jc w:val="both"/>
        <w:rPr>
          <w:rFonts w:ascii="Times New Roman" w:hAnsi="Times New Roman" w:cs="Times New Roman"/>
          <w:lang w:val="pt-BR"/>
        </w:rPr>
      </w:pPr>
      <w:r w:rsidRPr="002362E3">
        <w:rPr>
          <w:rFonts w:ascii="Times New Roman" w:hAnsi="Times New Roman" w:cs="Times New Roman"/>
          <w:lang w:val="pt-BR"/>
        </w:rPr>
        <w:t>O objetivo de desenvolvimento do projeto PUASEE-FA é o seguinte:</w:t>
      </w:r>
    </w:p>
    <w:p w:rsidR="00C821BE" w:rsidRPr="002362E3" w:rsidRDefault="00C821BE" w:rsidP="00C821BE">
      <w:pPr>
        <w:pStyle w:val="PargrafodaLista"/>
        <w:numPr>
          <w:ilvl w:val="0"/>
          <w:numId w:val="47"/>
        </w:numPr>
        <w:spacing w:after="0" w:line="240" w:lineRule="auto"/>
        <w:ind w:left="567" w:right="-709" w:hanging="425"/>
        <w:contextualSpacing w:val="0"/>
        <w:jc w:val="both"/>
        <w:rPr>
          <w:rFonts w:ascii="Times New Roman" w:hAnsi="Times New Roman"/>
          <w:sz w:val="22"/>
          <w:szCs w:val="22"/>
          <w:lang w:val="pt-BR"/>
        </w:rPr>
      </w:pPr>
      <w:r w:rsidRPr="002362E3">
        <w:rPr>
          <w:rFonts w:ascii="Times New Roman" w:hAnsi="Times New Roman"/>
          <w:sz w:val="22"/>
          <w:szCs w:val="22"/>
          <w:lang w:val="pt-BR"/>
        </w:rPr>
        <w:t>Restaurar e expandir o acesso da população de Bissau à água potável e melhorar a qualidade dos serviços de abastecimento de água; e</w:t>
      </w:r>
    </w:p>
    <w:p w:rsidR="00C821BE" w:rsidRPr="002362E3" w:rsidRDefault="00C821BE" w:rsidP="00C821BE">
      <w:pPr>
        <w:pStyle w:val="PargrafodaLista"/>
        <w:numPr>
          <w:ilvl w:val="0"/>
          <w:numId w:val="47"/>
        </w:numPr>
        <w:spacing w:after="0" w:line="240" w:lineRule="auto"/>
        <w:ind w:left="567" w:right="-709" w:hanging="425"/>
        <w:contextualSpacing w:val="0"/>
        <w:jc w:val="both"/>
        <w:rPr>
          <w:rFonts w:ascii="Times New Roman" w:hAnsi="Times New Roman"/>
          <w:sz w:val="22"/>
          <w:szCs w:val="22"/>
          <w:lang w:val="pt-BR"/>
        </w:rPr>
      </w:pPr>
      <w:r w:rsidRPr="002362E3">
        <w:rPr>
          <w:rFonts w:ascii="Times New Roman" w:hAnsi="Times New Roman"/>
          <w:sz w:val="22"/>
          <w:szCs w:val="22"/>
          <w:lang w:val="pt-BR"/>
        </w:rPr>
        <w:t>Melhorar a confiabilidade do fornecimento de eletricidade à população de Bissau.</w:t>
      </w:r>
    </w:p>
    <w:p w:rsidR="00C821BE" w:rsidRPr="002362E3" w:rsidRDefault="00C821BE" w:rsidP="00C821BE">
      <w:pPr>
        <w:pStyle w:val="PargrafodaLista"/>
        <w:spacing w:after="0" w:line="240" w:lineRule="auto"/>
        <w:ind w:left="567" w:right="-709"/>
        <w:contextualSpacing w:val="0"/>
        <w:jc w:val="both"/>
        <w:rPr>
          <w:rFonts w:ascii="Times New Roman" w:hAnsi="Times New Roman"/>
          <w:sz w:val="22"/>
          <w:szCs w:val="22"/>
          <w:lang w:val="pt-BR"/>
        </w:rPr>
      </w:pPr>
    </w:p>
    <w:p w:rsidR="00C821BE" w:rsidRPr="002362E3" w:rsidRDefault="00C821BE" w:rsidP="00C821BE">
      <w:pPr>
        <w:pStyle w:val="PargrafodaLista"/>
        <w:numPr>
          <w:ilvl w:val="0"/>
          <w:numId w:val="245"/>
        </w:numPr>
        <w:tabs>
          <w:tab w:val="left" w:pos="1418"/>
          <w:tab w:val="left" w:pos="1843"/>
        </w:tabs>
        <w:spacing w:after="240" w:line="240" w:lineRule="auto"/>
        <w:ind w:right="-283"/>
        <w:contextualSpacing w:val="0"/>
        <w:rPr>
          <w:rFonts w:ascii="Times New Roman" w:hAnsi="Times New Roman"/>
          <w:b/>
          <w:bCs/>
          <w:i/>
          <w:sz w:val="22"/>
          <w:szCs w:val="22"/>
          <w:lang w:val="pt-BR"/>
        </w:rPr>
      </w:pPr>
      <w:r w:rsidRPr="002362E3">
        <w:rPr>
          <w:rFonts w:ascii="Times New Roman" w:hAnsi="Times New Roman"/>
          <w:b/>
          <w:bCs/>
          <w:i/>
          <w:sz w:val="22"/>
          <w:szCs w:val="22"/>
          <w:lang w:val="pt-BR"/>
        </w:rPr>
        <w:t xml:space="preserve">ABORDAGEM METODOLÓGICA DA ESIA </w:t>
      </w:r>
    </w:p>
    <w:p w:rsidR="00C821BE" w:rsidRPr="002362E3" w:rsidRDefault="00C821BE" w:rsidP="00C821BE">
      <w:pPr>
        <w:spacing w:after="120" w:line="240" w:lineRule="auto"/>
        <w:ind w:left="-284" w:right="-853"/>
        <w:jc w:val="both"/>
        <w:rPr>
          <w:rFonts w:ascii="Times New Roman" w:hAnsi="Times New Roman"/>
          <w:lang w:val="pt-BR"/>
        </w:rPr>
      </w:pPr>
      <w:r w:rsidRPr="002362E3">
        <w:rPr>
          <w:rFonts w:ascii="Times New Roman" w:hAnsi="Times New Roman"/>
          <w:lang w:val="pt-BR"/>
        </w:rPr>
        <w:t>A metodologia do estudo foi inspirada nas disposições regulamentares em termos de estudos de impacto com o conteúdo do relatório da ESIA na Guiné-Bissau, respeitando as indicações contidas nos TdR.</w:t>
      </w:r>
    </w:p>
    <w:p w:rsidR="00C821BE" w:rsidRPr="002362E3" w:rsidRDefault="00C821BE" w:rsidP="00C821BE">
      <w:pPr>
        <w:spacing w:after="120" w:line="240" w:lineRule="auto"/>
        <w:ind w:left="-284" w:right="-853"/>
        <w:jc w:val="both"/>
        <w:rPr>
          <w:rFonts w:ascii="Times New Roman" w:hAnsi="Times New Roman"/>
          <w:lang w:val="pt-BR"/>
        </w:rPr>
      </w:pPr>
      <w:r w:rsidRPr="002362E3">
        <w:rPr>
          <w:rFonts w:ascii="Times New Roman" w:hAnsi="Times New Roman"/>
          <w:lang w:val="pt-BR"/>
        </w:rPr>
        <w:t>De acordo com os TOR, a estruturação do estudo pode ocorrer em três (03) fases:</w:t>
      </w:r>
    </w:p>
    <w:p w:rsidR="00C821BE" w:rsidRPr="002362E3" w:rsidRDefault="00C821BE" w:rsidP="00C821BE">
      <w:pPr>
        <w:pStyle w:val="PargrafodaLista"/>
        <w:numPr>
          <w:ilvl w:val="3"/>
          <w:numId w:val="12"/>
        </w:numPr>
        <w:pBdr>
          <w:top w:val="single" w:sz="4" w:space="1" w:color="000000" w:themeColor="text1"/>
          <w:left w:val="single" w:sz="4" w:space="4" w:color="000000" w:themeColor="text1"/>
          <w:bottom w:val="single" w:sz="4" w:space="1" w:color="000000" w:themeColor="text1"/>
          <w:right w:val="single" w:sz="4" w:space="4" w:color="000000" w:themeColor="text1"/>
        </w:pBdr>
        <w:spacing w:after="0" w:line="240" w:lineRule="auto"/>
        <w:ind w:right="-709"/>
        <w:jc w:val="both"/>
        <w:rPr>
          <w:rFonts w:ascii="Times New Roman" w:hAnsi="Times New Roman"/>
          <w:sz w:val="22"/>
          <w:szCs w:val="22"/>
          <w:lang w:val="pt-BR"/>
        </w:rPr>
      </w:pPr>
      <w:r w:rsidRPr="002362E3">
        <w:rPr>
          <w:rFonts w:ascii="Times New Roman" w:hAnsi="Times New Roman"/>
          <w:sz w:val="22"/>
          <w:szCs w:val="22"/>
          <w:lang w:val="pt-BR"/>
        </w:rPr>
        <w:t>Uma fase de reconhecimento de campo durante a qual a equipe de consultores acompanhada pela equipe do PUASEE-FA tomou conhecimento dos locais de implementação do projeto;</w:t>
      </w:r>
    </w:p>
    <w:p w:rsidR="00C821BE" w:rsidRPr="002362E3" w:rsidRDefault="00C821BE" w:rsidP="00C821BE">
      <w:pPr>
        <w:pStyle w:val="PargrafodaLista"/>
        <w:numPr>
          <w:ilvl w:val="3"/>
          <w:numId w:val="12"/>
        </w:numPr>
        <w:pBdr>
          <w:top w:val="single" w:sz="4" w:space="1" w:color="000000" w:themeColor="text1"/>
          <w:left w:val="single" w:sz="4" w:space="4" w:color="000000" w:themeColor="text1"/>
          <w:bottom w:val="single" w:sz="4" w:space="1" w:color="000000" w:themeColor="text1"/>
          <w:right w:val="single" w:sz="4" w:space="4" w:color="000000" w:themeColor="text1"/>
        </w:pBdr>
        <w:spacing w:after="0" w:line="240" w:lineRule="auto"/>
        <w:ind w:right="-709"/>
        <w:jc w:val="both"/>
        <w:rPr>
          <w:rFonts w:ascii="Times New Roman" w:hAnsi="Times New Roman"/>
          <w:sz w:val="22"/>
          <w:szCs w:val="22"/>
          <w:lang w:val="pt-BR"/>
        </w:rPr>
      </w:pPr>
      <w:r w:rsidRPr="002362E3">
        <w:rPr>
          <w:rFonts w:ascii="Times New Roman" w:hAnsi="Times New Roman"/>
          <w:sz w:val="22"/>
          <w:szCs w:val="22"/>
          <w:lang w:val="pt-BR"/>
        </w:rPr>
        <w:t xml:space="preserve">Uma fase de recolha de dados no terreno centrada numa abordagem participativa, com uma série de encontros com as populações locais e actores institucionais preocupados principalmente com o projecto em todo o departamento: autoridades administrativas; comunidades locais; serviços técnicos estaduais; organizações comunitárias de base, etc. Nesta fase, tratou-se de fazer a elaboração do roteiro ambiental, </w:t>
      </w:r>
      <w:r w:rsidRPr="002362E3">
        <w:rPr>
          <w:rFonts w:ascii="Times New Roman" w:hAnsi="Times New Roman"/>
          <w:sz w:val="22"/>
          <w:szCs w:val="22"/>
          <w:lang w:val="pt-BR"/>
        </w:rPr>
        <w:lastRenderedPageBreak/>
        <w:t>o reconhecimento do estado inicial do ambiente físico, humano, biológico e socioeconómico por observações directas e entrevistas formais e informais. , identificação dos potenciais impactos e as ações ambientais a serem tomadas para mitigá-los.</w:t>
      </w:r>
    </w:p>
    <w:p w:rsidR="00C821BE" w:rsidRPr="002362E3" w:rsidRDefault="00C821BE" w:rsidP="00C821BE">
      <w:pPr>
        <w:pStyle w:val="PargrafodaLista"/>
        <w:numPr>
          <w:ilvl w:val="3"/>
          <w:numId w:val="12"/>
        </w:numPr>
        <w:pBdr>
          <w:top w:val="single" w:sz="4" w:space="1" w:color="000000" w:themeColor="text1"/>
          <w:left w:val="single" w:sz="4" w:space="4" w:color="000000" w:themeColor="text1"/>
          <w:bottom w:val="single" w:sz="4" w:space="1" w:color="000000" w:themeColor="text1"/>
          <w:right w:val="single" w:sz="4" w:space="4" w:color="000000" w:themeColor="text1"/>
        </w:pBdr>
        <w:spacing w:after="0" w:line="240" w:lineRule="auto"/>
        <w:ind w:right="-709"/>
        <w:jc w:val="both"/>
        <w:rPr>
          <w:rFonts w:ascii="Times New Roman" w:hAnsi="Times New Roman"/>
          <w:sz w:val="22"/>
          <w:szCs w:val="22"/>
          <w:lang w:val="pt-BR"/>
        </w:rPr>
      </w:pPr>
      <w:r w:rsidRPr="002362E3">
        <w:rPr>
          <w:rFonts w:ascii="Times New Roman" w:hAnsi="Times New Roman"/>
          <w:sz w:val="22"/>
          <w:szCs w:val="22"/>
          <w:lang w:val="pt-BR"/>
        </w:rPr>
        <w:t>Uma fase de síntese dos dados coletados e elaboração do relatório. As diferentes fases foram acompanhadas por uma pesquisa bibliográfica sobre os diversos aspectos do projeto.</w:t>
      </w:r>
    </w:p>
    <w:p w:rsidR="00C821BE" w:rsidRPr="002362E3" w:rsidRDefault="00C821BE" w:rsidP="00C821BE">
      <w:pPr>
        <w:spacing w:after="0" w:line="240" w:lineRule="auto"/>
        <w:jc w:val="both"/>
        <w:rPr>
          <w:rFonts w:ascii="Times New Roman" w:hAnsi="Times New Roman" w:cs="Times New Roman"/>
          <w:b/>
          <w:sz w:val="24"/>
          <w:szCs w:val="24"/>
          <w:lang w:val="pt-BR"/>
        </w:rPr>
      </w:pPr>
    </w:p>
    <w:p w:rsidR="00C821BE" w:rsidRPr="002362E3" w:rsidRDefault="00C821BE" w:rsidP="00C821BE">
      <w:pPr>
        <w:pStyle w:val="PargrafodaLista"/>
        <w:numPr>
          <w:ilvl w:val="0"/>
          <w:numId w:val="245"/>
        </w:numPr>
        <w:tabs>
          <w:tab w:val="left" w:pos="1418"/>
          <w:tab w:val="left" w:pos="1843"/>
        </w:tabs>
        <w:spacing w:after="240" w:line="240" w:lineRule="auto"/>
        <w:ind w:right="-283"/>
        <w:contextualSpacing w:val="0"/>
        <w:rPr>
          <w:rFonts w:ascii="Times New Roman" w:hAnsi="Times New Roman"/>
          <w:b/>
          <w:bCs/>
          <w:i/>
          <w:sz w:val="22"/>
          <w:szCs w:val="22"/>
          <w:lang w:val="pt-BR"/>
        </w:rPr>
      </w:pPr>
      <w:r w:rsidRPr="002362E3">
        <w:rPr>
          <w:rFonts w:ascii="Times New Roman" w:hAnsi="Times New Roman"/>
          <w:b/>
          <w:bCs/>
          <w:i/>
          <w:sz w:val="22"/>
          <w:szCs w:val="22"/>
          <w:lang w:val="pt-BR"/>
        </w:rPr>
        <w:t xml:space="preserve">DESCRIÇÃO DO PROJETO </w:t>
      </w:r>
    </w:p>
    <w:p w:rsidR="00C821BE" w:rsidRPr="002362E3" w:rsidRDefault="00C821BE" w:rsidP="00C821BE">
      <w:pPr>
        <w:pStyle w:val="PargrafodaLista"/>
        <w:keepNext/>
        <w:numPr>
          <w:ilvl w:val="1"/>
          <w:numId w:val="244"/>
        </w:numPr>
        <w:spacing w:before="240" w:after="0"/>
        <w:jc w:val="both"/>
        <w:rPr>
          <w:rFonts w:ascii="Times New Roman" w:hAnsi="Times New Roman"/>
          <w:b/>
          <w:i/>
          <w:lang w:val="pt-BR" w:eastAsia="fr-FR"/>
        </w:rPr>
      </w:pPr>
      <w:r w:rsidRPr="002362E3">
        <w:rPr>
          <w:rFonts w:ascii="Times New Roman" w:hAnsi="Times New Roman"/>
          <w:b/>
          <w:i/>
          <w:lang w:val="pt-BR" w:eastAsia="fr-FR"/>
        </w:rPr>
        <w:t xml:space="preserve">LOCALIZAÇÃO DO SUB-PROJETO N ° 2 </w:t>
      </w:r>
    </w:p>
    <w:p w:rsidR="00C821BE" w:rsidRPr="002362E3" w:rsidRDefault="00C821BE" w:rsidP="00C821BE">
      <w:pPr>
        <w:spacing w:after="120" w:line="240" w:lineRule="auto"/>
        <w:ind w:left="-284" w:right="-853"/>
        <w:jc w:val="both"/>
        <w:rPr>
          <w:rFonts w:ascii="Times New Roman" w:hAnsi="Times New Roman" w:cs="Times New Roman"/>
          <w:lang w:val="pt-BR"/>
        </w:rPr>
      </w:pPr>
      <w:r w:rsidRPr="002362E3">
        <w:rPr>
          <w:rFonts w:ascii="Times New Roman" w:hAnsi="Times New Roman" w:cs="Times New Roman"/>
          <w:lang w:val="pt-BR"/>
        </w:rPr>
        <w:t>A construção de quatro novas torres de água (Prabis, Safim, Bor e Antula) e a reabilitação de outras torres de água existentes do subprojeto PUASEE-FA n ° 2 serão realizadas principalmente em três distritos (Aeroporto, Antula- Pime e Bôr) na região de Bissau que é a capital política e económica da República da Guiné-Bissau e na região de Biombo precisamente em duas cidades (Safim e Prabis).</w:t>
      </w:r>
    </w:p>
    <w:p w:rsidR="00C821BE" w:rsidRPr="002362E3" w:rsidRDefault="00C821BE" w:rsidP="00C821BE">
      <w:pPr>
        <w:spacing w:after="120" w:line="240" w:lineRule="auto"/>
        <w:ind w:left="-284" w:right="-853"/>
        <w:jc w:val="both"/>
        <w:rPr>
          <w:rFonts w:ascii="Times New Roman" w:hAnsi="Times New Roman" w:cs="Times New Roman"/>
          <w:lang w:val="pt-BR"/>
        </w:rPr>
      </w:pPr>
      <w:r w:rsidRPr="002362E3">
        <w:rPr>
          <w:rFonts w:ascii="Times New Roman" w:hAnsi="Times New Roman" w:cs="Times New Roman"/>
          <w:lang w:val="pt-BR"/>
        </w:rPr>
        <w:t>A cidade de Bissau desenvolveu-se num sítio estuarino. O seu relevo é muito baixo com uma pequena elevação para noroeste sobranceira ao planalto de Bissalanca. Os solos são argilosos e ferralíticos de cor vermelha. Ao nível da zona de contato com o Rio Géba, o solo é halo-hidromórfico (Texeira, 1962). Seus solos são relativamente permeáveis ​​permitindo fácil infiltração das águas pluviais.</w:t>
      </w:r>
    </w:p>
    <w:p w:rsidR="00C821BE" w:rsidRPr="002362E3" w:rsidRDefault="00C821BE" w:rsidP="00C821BE">
      <w:pPr>
        <w:spacing w:after="120" w:line="240" w:lineRule="auto"/>
        <w:ind w:left="-284" w:right="-853"/>
        <w:jc w:val="both"/>
        <w:rPr>
          <w:rFonts w:ascii="Times New Roman" w:hAnsi="Times New Roman" w:cs="Times New Roman"/>
          <w:lang w:val="pt-BR"/>
        </w:rPr>
      </w:pPr>
      <w:r w:rsidRPr="002362E3">
        <w:rPr>
          <w:rFonts w:ascii="Times New Roman" w:hAnsi="Times New Roman" w:cs="Times New Roman"/>
          <w:bCs/>
          <w:lang w:val="pt-BR"/>
        </w:rPr>
        <w:t>A Região do Biombo, situada no centro-norte de Bissau, situa-se precisamente na região</w:t>
      </w:r>
      <w:r w:rsidRPr="002362E3">
        <w:rPr>
          <w:rFonts w:ascii="Times New Roman" w:hAnsi="Times New Roman" w:cs="Times New Roman"/>
          <w:lang w:val="pt-BR"/>
        </w:rPr>
        <w:t>do Oeste-Norte da Guiné-Bissau. É limitada a oeste pelos principais braços do rio Guiné (Rio Canal Geba e Rio Mansoa), que se divide em vários canais de pequeno e médio porte com suas belas praias integradas em uma entrada para o mar sem ondas e extensas em todos os recantos interiores da região, permitindo assim fácil acesso por mar.</w:t>
      </w:r>
    </w:p>
    <w:p w:rsidR="00C821BE" w:rsidRPr="002362E3" w:rsidRDefault="00C821BE" w:rsidP="00C821BE">
      <w:pPr>
        <w:pStyle w:val="PargrafodaLista"/>
        <w:keepNext/>
        <w:numPr>
          <w:ilvl w:val="1"/>
          <w:numId w:val="244"/>
        </w:numPr>
        <w:spacing w:before="240" w:after="0"/>
        <w:jc w:val="both"/>
        <w:rPr>
          <w:rFonts w:ascii="Times New Roman" w:hAnsi="Times New Roman"/>
          <w:b/>
          <w:i/>
          <w:lang w:val="pt-BR" w:eastAsia="fr-FR"/>
        </w:rPr>
      </w:pPr>
      <w:r w:rsidRPr="002362E3">
        <w:rPr>
          <w:rFonts w:ascii="Times New Roman" w:hAnsi="Times New Roman"/>
          <w:b/>
          <w:i/>
          <w:lang w:val="pt-BR" w:eastAsia="fr-FR"/>
        </w:rPr>
        <w:t>CARACTERÍSTICAS DO SUBPROJETO N ° 2 DO PUASEE-FA</w:t>
      </w:r>
    </w:p>
    <w:p w:rsidR="00C821BE" w:rsidRPr="002362E3" w:rsidRDefault="00C821BE" w:rsidP="00C821BE">
      <w:pPr>
        <w:spacing w:after="120" w:line="240" w:lineRule="auto"/>
        <w:ind w:left="-284" w:right="-853"/>
        <w:jc w:val="both"/>
        <w:rPr>
          <w:rFonts w:ascii="Times New Roman" w:hAnsi="Times New Roman" w:cs="Times New Roman"/>
          <w:bCs/>
          <w:lang w:val="pt-BR"/>
        </w:rPr>
      </w:pPr>
      <w:r w:rsidRPr="002362E3">
        <w:rPr>
          <w:rFonts w:ascii="Times New Roman" w:hAnsi="Times New Roman" w:cs="Times New Roman"/>
          <w:bCs/>
          <w:lang w:val="pt-BR"/>
        </w:rPr>
        <w:t>A construção de quatro novas torres de água (Pabis, Safim, Bor e Antula) e a reabilitação das restantes torres de água existentes no aeroporto. Os investimentos planejados para o subprojeto nº 02 estão descritos na tabela abaixo:</w:t>
      </w:r>
    </w:p>
    <w:tbl>
      <w:tblPr>
        <w:tblW w:w="529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2"/>
        <w:gridCol w:w="7375"/>
        <w:gridCol w:w="617"/>
        <w:gridCol w:w="939"/>
      </w:tblGrid>
      <w:tr w:rsidR="00C821BE" w:rsidRPr="002362E3" w:rsidTr="00C821BE">
        <w:trPr>
          <w:trHeight w:val="118"/>
          <w:jc w:val="center"/>
        </w:trPr>
        <w:tc>
          <w:tcPr>
            <w:tcW w:w="662" w:type="dxa"/>
            <w:shd w:val="clear" w:color="auto" w:fill="F2F2F2" w:themeFill="background1" w:themeFillShade="F2"/>
            <w:noWrap/>
            <w:vAlign w:val="center"/>
          </w:tcPr>
          <w:p w:rsidR="00C821BE" w:rsidRPr="002362E3" w:rsidRDefault="00C821BE" w:rsidP="00C821BE">
            <w:pPr>
              <w:spacing w:after="0"/>
              <w:jc w:val="center"/>
              <w:rPr>
                <w:rFonts w:ascii="Times New Roman" w:hAnsi="Times New Roman" w:cs="Times New Roman"/>
                <w:b/>
                <w:bCs/>
                <w:color w:val="000000"/>
                <w:sz w:val="20"/>
                <w:szCs w:val="20"/>
                <w:lang w:val="pt-BR"/>
              </w:rPr>
            </w:pPr>
            <w:r w:rsidRPr="002362E3">
              <w:rPr>
                <w:rFonts w:ascii="Times New Roman" w:hAnsi="Times New Roman" w:cs="Times New Roman"/>
                <w:b/>
                <w:bCs/>
                <w:color w:val="000000"/>
                <w:sz w:val="20"/>
                <w:szCs w:val="20"/>
                <w:lang w:val="pt-BR"/>
              </w:rPr>
              <w:t>Não.</w:t>
            </w:r>
          </w:p>
        </w:tc>
        <w:tc>
          <w:tcPr>
            <w:tcW w:w="8376" w:type="dxa"/>
            <w:shd w:val="clear" w:color="auto" w:fill="E7E6E6"/>
            <w:vAlign w:val="center"/>
          </w:tcPr>
          <w:p w:rsidR="00C821BE" w:rsidRPr="002362E3" w:rsidRDefault="00C821BE" w:rsidP="00C821BE">
            <w:pPr>
              <w:spacing w:after="0"/>
              <w:jc w:val="center"/>
              <w:rPr>
                <w:rFonts w:ascii="Times New Roman" w:hAnsi="Times New Roman" w:cs="Times New Roman"/>
                <w:b/>
                <w:bCs/>
                <w:color w:val="000000"/>
                <w:sz w:val="20"/>
                <w:szCs w:val="20"/>
                <w:lang w:val="pt-BR"/>
              </w:rPr>
            </w:pPr>
            <w:r w:rsidRPr="002362E3">
              <w:rPr>
                <w:rFonts w:ascii="Times New Roman" w:hAnsi="Times New Roman" w:cs="Times New Roman"/>
                <w:b/>
                <w:bCs/>
                <w:color w:val="000000"/>
                <w:sz w:val="20"/>
                <w:szCs w:val="20"/>
                <w:lang w:val="pt-BR"/>
              </w:rPr>
              <w:t>Detalhes das atividades do sub-projeto n ° 2</w:t>
            </w:r>
          </w:p>
        </w:tc>
        <w:tc>
          <w:tcPr>
            <w:tcW w:w="630" w:type="dxa"/>
            <w:shd w:val="clear" w:color="auto" w:fill="E7E6E6"/>
            <w:vAlign w:val="center"/>
          </w:tcPr>
          <w:p w:rsidR="00C821BE" w:rsidRPr="002362E3" w:rsidRDefault="00C821BE" w:rsidP="00C821BE">
            <w:pPr>
              <w:spacing w:after="0"/>
              <w:jc w:val="center"/>
              <w:rPr>
                <w:rFonts w:ascii="Times New Roman" w:hAnsi="Times New Roman" w:cs="Times New Roman"/>
                <w:b/>
                <w:bCs/>
                <w:color w:val="000000"/>
                <w:sz w:val="20"/>
                <w:szCs w:val="20"/>
                <w:lang w:val="pt-BR"/>
              </w:rPr>
            </w:pPr>
            <w:r w:rsidRPr="002362E3">
              <w:rPr>
                <w:rFonts w:ascii="Times New Roman" w:hAnsi="Times New Roman" w:cs="Times New Roman"/>
                <w:b/>
                <w:bCs/>
                <w:color w:val="000000"/>
                <w:sz w:val="20"/>
                <w:szCs w:val="20"/>
                <w:lang w:val="pt-BR"/>
              </w:rPr>
              <w:t>Qty</w:t>
            </w:r>
          </w:p>
        </w:tc>
        <w:tc>
          <w:tcPr>
            <w:tcW w:w="828" w:type="dxa"/>
            <w:shd w:val="clear" w:color="auto" w:fill="E7E6E6"/>
            <w:vAlign w:val="center"/>
          </w:tcPr>
          <w:p w:rsidR="00C821BE" w:rsidRPr="002362E3" w:rsidRDefault="00C821BE" w:rsidP="00C821BE">
            <w:pPr>
              <w:spacing w:after="0"/>
              <w:jc w:val="center"/>
              <w:rPr>
                <w:rFonts w:ascii="Times New Roman" w:hAnsi="Times New Roman" w:cs="Times New Roman"/>
                <w:b/>
                <w:bCs/>
                <w:color w:val="000000"/>
                <w:sz w:val="20"/>
                <w:szCs w:val="20"/>
                <w:lang w:val="pt-BR"/>
              </w:rPr>
            </w:pPr>
            <w:r w:rsidRPr="002362E3">
              <w:rPr>
                <w:rFonts w:ascii="Times New Roman" w:hAnsi="Times New Roman" w:cs="Times New Roman"/>
                <w:b/>
                <w:bCs/>
                <w:color w:val="000000"/>
                <w:sz w:val="20"/>
                <w:szCs w:val="20"/>
                <w:lang w:val="pt-BR"/>
              </w:rPr>
              <w:t>Unidade</w:t>
            </w:r>
          </w:p>
        </w:tc>
      </w:tr>
      <w:tr w:rsidR="00C821BE" w:rsidRPr="002362E3" w:rsidDel="001A6624" w:rsidTr="00C821BE">
        <w:trPr>
          <w:trHeight w:val="280"/>
          <w:jc w:val="center"/>
        </w:trPr>
        <w:tc>
          <w:tcPr>
            <w:tcW w:w="662" w:type="dxa"/>
            <w:shd w:val="clear" w:color="auto" w:fill="F2F2F2" w:themeFill="background1" w:themeFillShade="F2"/>
            <w:noWrap/>
            <w:vAlign w:val="center"/>
          </w:tcPr>
          <w:p w:rsidR="00C821BE" w:rsidRPr="002362E3" w:rsidRDefault="00C821BE" w:rsidP="00C821BE">
            <w:pPr>
              <w:spacing w:after="0"/>
              <w:jc w:val="center"/>
              <w:rPr>
                <w:rFonts w:ascii="Times New Roman" w:hAnsi="Times New Roman" w:cs="Times New Roman"/>
                <w:b/>
                <w:color w:val="000000"/>
                <w:sz w:val="20"/>
                <w:szCs w:val="20"/>
                <w:lang w:val="pt-BR"/>
              </w:rPr>
            </w:pPr>
            <w:r w:rsidRPr="002362E3">
              <w:rPr>
                <w:rFonts w:ascii="Times New Roman" w:hAnsi="Times New Roman" w:cs="Times New Roman"/>
                <w:b/>
                <w:color w:val="000000"/>
                <w:sz w:val="20"/>
                <w:szCs w:val="20"/>
                <w:lang w:val="pt-BR"/>
              </w:rPr>
              <w:t>01</w:t>
            </w:r>
          </w:p>
        </w:tc>
        <w:tc>
          <w:tcPr>
            <w:tcW w:w="8376" w:type="dxa"/>
            <w:shd w:val="clear" w:color="auto" w:fill="auto"/>
            <w:vAlign w:val="center"/>
          </w:tcPr>
          <w:p w:rsidR="00C821BE" w:rsidRPr="002362E3" w:rsidRDefault="00C821BE" w:rsidP="00C821BE">
            <w:pPr>
              <w:spacing w:after="0"/>
              <w:jc w:val="both"/>
              <w:rPr>
                <w:rFonts w:ascii="Times New Roman" w:hAnsi="Times New Roman" w:cs="Times New Roman"/>
                <w:sz w:val="20"/>
                <w:szCs w:val="20"/>
                <w:lang w:val="pt-BR"/>
              </w:rPr>
            </w:pPr>
            <w:r w:rsidRPr="002362E3">
              <w:rPr>
                <w:rFonts w:ascii="Times New Roman" w:hAnsi="Times New Roman" w:cs="Times New Roman"/>
                <w:sz w:val="20"/>
                <w:szCs w:val="20"/>
                <w:lang w:val="pt-BR"/>
              </w:rPr>
              <w:t xml:space="preserve">Construção de um reservatório de 300 m3 em Bor </w:t>
            </w:r>
          </w:p>
        </w:tc>
        <w:tc>
          <w:tcPr>
            <w:tcW w:w="630" w:type="dxa"/>
            <w:shd w:val="clear" w:color="auto" w:fill="auto"/>
            <w:vAlign w:val="center"/>
          </w:tcPr>
          <w:p w:rsidR="00C821BE" w:rsidRPr="002362E3" w:rsidRDefault="00C821BE" w:rsidP="00C821BE">
            <w:pPr>
              <w:spacing w:after="0"/>
              <w:jc w:val="center"/>
              <w:rPr>
                <w:rFonts w:ascii="Times New Roman" w:hAnsi="Times New Roman" w:cs="Times New Roman"/>
                <w:sz w:val="20"/>
                <w:szCs w:val="20"/>
                <w:lang w:val="pt-BR"/>
              </w:rPr>
            </w:pPr>
            <w:r w:rsidRPr="002362E3">
              <w:rPr>
                <w:rFonts w:ascii="Times New Roman" w:hAnsi="Times New Roman" w:cs="Times New Roman"/>
                <w:sz w:val="20"/>
                <w:szCs w:val="20"/>
                <w:lang w:val="pt-BR"/>
              </w:rPr>
              <w:t>1</w:t>
            </w:r>
          </w:p>
        </w:tc>
        <w:tc>
          <w:tcPr>
            <w:tcW w:w="828" w:type="dxa"/>
            <w:shd w:val="clear" w:color="auto" w:fill="auto"/>
            <w:vAlign w:val="center"/>
          </w:tcPr>
          <w:p w:rsidR="00C821BE" w:rsidRPr="002362E3" w:rsidDel="001A6624" w:rsidRDefault="00C821BE" w:rsidP="00C821BE">
            <w:pPr>
              <w:spacing w:after="0"/>
              <w:jc w:val="center"/>
              <w:rPr>
                <w:rFonts w:ascii="Times New Roman" w:hAnsi="Times New Roman" w:cs="Times New Roman"/>
                <w:sz w:val="20"/>
                <w:szCs w:val="20"/>
                <w:lang w:val="pt-BR"/>
              </w:rPr>
            </w:pPr>
            <w:r w:rsidRPr="002362E3">
              <w:rPr>
                <w:rFonts w:ascii="Times New Roman" w:hAnsi="Times New Roman" w:cs="Times New Roman"/>
                <w:sz w:val="20"/>
                <w:szCs w:val="20"/>
                <w:lang w:val="pt-BR"/>
              </w:rPr>
              <w:t>você</w:t>
            </w:r>
          </w:p>
        </w:tc>
      </w:tr>
      <w:tr w:rsidR="00C821BE" w:rsidRPr="002362E3" w:rsidDel="001A6624" w:rsidTr="00C821BE">
        <w:trPr>
          <w:trHeight w:val="280"/>
          <w:jc w:val="center"/>
        </w:trPr>
        <w:tc>
          <w:tcPr>
            <w:tcW w:w="662" w:type="dxa"/>
            <w:shd w:val="clear" w:color="auto" w:fill="F2F2F2" w:themeFill="background1" w:themeFillShade="F2"/>
            <w:noWrap/>
            <w:vAlign w:val="center"/>
          </w:tcPr>
          <w:p w:rsidR="00C821BE" w:rsidRPr="002362E3" w:rsidRDefault="00C821BE" w:rsidP="00C821BE">
            <w:pPr>
              <w:spacing w:after="0"/>
              <w:jc w:val="center"/>
              <w:rPr>
                <w:rFonts w:ascii="Times New Roman" w:hAnsi="Times New Roman" w:cs="Times New Roman"/>
                <w:b/>
                <w:color w:val="000000"/>
                <w:sz w:val="20"/>
                <w:szCs w:val="20"/>
                <w:lang w:val="pt-BR"/>
              </w:rPr>
            </w:pPr>
            <w:r w:rsidRPr="002362E3">
              <w:rPr>
                <w:rFonts w:ascii="Times New Roman" w:hAnsi="Times New Roman" w:cs="Times New Roman"/>
                <w:b/>
                <w:color w:val="000000"/>
                <w:sz w:val="20"/>
                <w:szCs w:val="20"/>
                <w:lang w:val="pt-BR"/>
              </w:rPr>
              <w:t>02</w:t>
            </w:r>
          </w:p>
        </w:tc>
        <w:tc>
          <w:tcPr>
            <w:tcW w:w="8376" w:type="dxa"/>
            <w:shd w:val="clear" w:color="auto" w:fill="auto"/>
            <w:vAlign w:val="center"/>
          </w:tcPr>
          <w:p w:rsidR="00C821BE" w:rsidRPr="002362E3" w:rsidRDefault="00C821BE" w:rsidP="00C821BE">
            <w:pPr>
              <w:spacing w:after="0"/>
              <w:jc w:val="both"/>
              <w:rPr>
                <w:rFonts w:ascii="Times New Roman" w:hAnsi="Times New Roman" w:cs="Times New Roman"/>
                <w:sz w:val="20"/>
                <w:szCs w:val="20"/>
                <w:lang w:val="pt-BR"/>
              </w:rPr>
            </w:pPr>
            <w:r w:rsidRPr="002362E3">
              <w:rPr>
                <w:rFonts w:ascii="Times New Roman" w:hAnsi="Times New Roman" w:cs="Times New Roman"/>
                <w:sz w:val="20"/>
                <w:szCs w:val="20"/>
                <w:lang w:val="pt-BR"/>
              </w:rPr>
              <w:t>Construção de reservatório de 300 m3 em Safim</w:t>
            </w:r>
          </w:p>
        </w:tc>
        <w:tc>
          <w:tcPr>
            <w:tcW w:w="630" w:type="dxa"/>
            <w:shd w:val="clear" w:color="auto" w:fill="auto"/>
            <w:vAlign w:val="center"/>
          </w:tcPr>
          <w:p w:rsidR="00C821BE" w:rsidRPr="002362E3" w:rsidRDefault="00C821BE" w:rsidP="00C821BE">
            <w:pPr>
              <w:spacing w:after="0"/>
              <w:jc w:val="center"/>
              <w:rPr>
                <w:rFonts w:ascii="Times New Roman" w:hAnsi="Times New Roman" w:cs="Times New Roman"/>
                <w:sz w:val="20"/>
                <w:szCs w:val="20"/>
                <w:lang w:val="pt-BR"/>
              </w:rPr>
            </w:pPr>
            <w:r w:rsidRPr="002362E3">
              <w:rPr>
                <w:rFonts w:ascii="Times New Roman" w:hAnsi="Times New Roman" w:cs="Times New Roman"/>
                <w:sz w:val="20"/>
                <w:szCs w:val="20"/>
                <w:lang w:val="pt-BR"/>
              </w:rPr>
              <w:t>1</w:t>
            </w:r>
          </w:p>
        </w:tc>
        <w:tc>
          <w:tcPr>
            <w:tcW w:w="828" w:type="dxa"/>
            <w:shd w:val="clear" w:color="auto" w:fill="auto"/>
            <w:vAlign w:val="center"/>
          </w:tcPr>
          <w:p w:rsidR="00C821BE" w:rsidRPr="002362E3" w:rsidRDefault="00C821BE" w:rsidP="00C821BE">
            <w:pPr>
              <w:spacing w:after="0"/>
              <w:jc w:val="center"/>
              <w:rPr>
                <w:rFonts w:ascii="Times New Roman" w:hAnsi="Times New Roman" w:cs="Times New Roman"/>
                <w:sz w:val="20"/>
                <w:szCs w:val="20"/>
                <w:lang w:val="pt-BR"/>
              </w:rPr>
            </w:pPr>
            <w:r w:rsidRPr="002362E3">
              <w:rPr>
                <w:rFonts w:ascii="Times New Roman" w:hAnsi="Times New Roman" w:cs="Times New Roman"/>
                <w:sz w:val="20"/>
                <w:szCs w:val="20"/>
                <w:lang w:val="pt-BR"/>
              </w:rPr>
              <w:t>você</w:t>
            </w:r>
          </w:p>
        </w:tc>
      </w:tr>
      <w:tr w:rsidR="00C821BE" w:rsidRPr="002362E3" w:rsidDel="001A6624" w:rsidTr="00C821BE">
        <w:trPr>
          <w:trHeight w:val="280"/>
          <w:jc w:val="center"/>
        </w:trPr>
        <w:tc>
          <w:tcPr>
            <w:tcW w:w="662" w:type="dxa"/>
            <w:shd w:val="clear" w:color="auto" w:fill="F2F2F2" w:themeFill="background1" w:themeFillShade="F2"/>
            <w:noWrap/>
            <w:vAlign w:val="center"/>
          </w:tcPr>
          <w:p w:rsidR="00C821BE" w:rsidRPr="002362E3" w:rsidRDefault="00C821BE" w:rsidP="00C821BE">
            <w:pPr>
              <w:spacing w:after="0"/>
              <w:jc w:val="center"/>
              <w:rPr>
                <w:rFonts w:ascii="Times New Roman" w:hAnsi="Times New Roman" w:cs="Times New Roman"/>
                <w:b/>
                <w:color w:val="000000"/>
                <w:sz w:val="20"/>
                <w:szCs w:val="20"/>
                <w:lang w:val="pt-BR"/>
              </w:rPr>
            </w:pPr>
            <w:r w:rsidRPr="002362E3">
              <w:rPr>
                <w:rFonts w:ascii="Times New Roman" w:hAnsi="Times New Roman" w:cs="Times New Roman"/>
                <w:b/>
                <w:color w:val="000000"/>
                <w:sz w:val="20"/>
                <w:szCs w:val="20"/>
                <w:lang w:val="pt-BR"/>
              </w:rPr>
              <w:t>03</w:t>
            </w:r>
          </w:p>
        </w:tc>
        <w:tc>
          <w:tcPr>
            <w:tcW w:w="8376" w:type="dxa"/>
            <w:shd w:val="clear" w:color="auto" w:fill="auto"/>
            <w:vAlign w:val="center"/>
          </w:tcPr>
          <w:p w:rsidR="00C821BE" w:rsidRPr="002362E3" w:rsidRDefault="00C821BE" w:rsidP="00C821BE">
            <w:pPr>
              <w:spacing w:after="0"/>
              <w:jc w:val="both"/>
              <w:rPr>
                <w:rFonts w:ascii="Times New Roman" w:hAnsi="Times New Roman" w:cs="Times New Roman"/>
                <w:sz w:val="20"/>
                <w:szCs w:val="20"/>
                <w:lang w:val="pt-BR"/>
              </w:rPr>
            </w:pPr>
            <w:r w:rsidRPr="002362E3">
              <w:rPr>
                <w:rFonts w:ascii="Times New Roman" w:hAnsi="Times New Roman" w:cs="Times New Roman"/>
                <w:sz w:val="20"/>
                <w:szCs w:val="20"/>
                <w:lang w:val="pt-BR"/>
              </w:rPr>
              <w:t>Construção de um reservatório de 100 m3 em Prabis</w:t>
            </w:r>
          </w:p>
        </w:tc>
        <w:tc>
          <w:tcPr>
            <w:tcW w:w="630" w:type="dxa"/>
            <w:shd w:val="clear" w:color="auto" w:fill="auto"/>
            <w:vAlign w:val="center"/>
          </w:tcPr>
          <w:p w:rsidR="00C821BE" w:rsidRPr="002362E3" w:rsidRDefault="00C821BE" w:rsidP="00C821BE">
            <w:pPr>
              <w:spacing w:after="0"/>
              <w:jc w:val="center"/>
              <w:rPr>
                <w:rFonts w:ascii="Times New Roman" w:hAnsi="Times New Roman" w:cs="Times New Roman"/>
                <w:sz w:val="20"/>
                <w:szCs w:val="20"/>
                <w:lang w:val="pt-BR"/>
              </w:rPr>
            </w:pPr>
            <w:r w:rsidRPr="002362E3">
              <w:rPr>
                <w:rFonts w:ascii="Times New Roman" w:hAnsi="Times New Roman" w:cs="Times New Roman"/>
                <w:sz w:val="20"/>
                <w:szCs w:val="20"/>
                <w:lang w:val="pt-BR"/>
              </w:rPr>
              <w:t>1</w:t>
            </w:r>
          </w:p>
        </w:tc>
        <w:tc>
          <w:tcPr>
            <w:tcW w:w="828" w:type="dxa"/>
            <w:shd w:val="clear" w:color="auto" w:fill="auto"/>
            <w:vAlign w:val="center"/>
          </w:tcPr>
          <w:p w:rsidR="00C821BE" w:rsidRPr="002362E3" w:rsidDel="001A6624" w:rsidRDefault="00C821BE" w:rsidP="00C821BE">
            <w:pPr>
              <w:spacing w:after="0"/>
              <w:jc w:val="center"/>
              <w:rPr>
                <w:rFonts w:ascii="Times New Roman" w:hAnsi="Times New Roman" w:cs="Times New Roman"/>
                <w:sz w:val="20"/>
                <w:szCs w:val="20"/>
                <w:lang w:val="pt-BR"/>
              </w:rPr>
            </w:pPr>
            <w:r w:rsidRPr="002362E3">
              <w:rPr>
                <w:rFonts w:ascii="Times New Roman" w:hAnsi="Times New Roman" w:cs="Times New Roman"/>
                <w:sz w:val="20"/>
                <w:szCs w:val="20"/>
                <w:lang w:val="pt-BR"/>
              </w:rPr>
              <w:t>você</w:t>
            </w:r>
          </w:p>
        </w:tc>
      </w:tr>
      <w:tr w:rsidR="00C821BE" w:rsidRPr="002362E3" w:rsidDel="001A6624" w:rsidTr="00C821BE">
        <w:trPr>
          <w:trHeight w:val="280"/>
          <w:jc w:val="center"/>
        </w:trPr>
        <w:tc>
          <w:tcPr>
            <w:tcW w:w="662" w:type="dxa"/>
            <w:shd w:val="clear" w:color="auto" w:fill="F2F2F2" w:themeFill="background1" w:themeFillShade="F2"/>
            <w:noWrap/>
            <w:vAlign w:val="center"/>
          </w:tcPr>
          <w:p w:rsidR="00C821BE" w:rsidRPr="002362E3" w:rsidRDefault="00C821BE" w:rsidP="00C821BE">
            <w:pPr>
              <w:spacing w:after="0"/>
              <w:jc w:val="center"/>
              <w:rPr>
                <w:rFonts w:ascii="Times New Roman" w:hAnsi="Times New Roman" w:cs="Times New Roman"/>
                <w:b/>
                <w:color w:val="000000"/>
                <w:sz w:val="20"/>
                <w:szCs w:val="20"/>
                <w:lang w:val="pt-BR"/>
              </w:rPr>
            </w:pPr>
            <w:r w:rsidRPr="002362E3">
              <w:rPr>
                <w:rFonts w:ascii="Times New Roman" w:hAnsi="Times New Roman" w:cs="Times New Roman"/>
                <w:b/>
                <w:color w:val="000000"/>
                <w:sz w:val="20"/>
                <w:szCs w:val="20"/>
                <w:lang w:val="pt-BR"/>
              </w:rPr>
              <w:t>04</w:t>
            </w:r>
          </w:p>
        </w:tc>
        <w:tc>
          <w:tcPr>
            <w:tcW w:w="8376" w:type="dxa"/>
            <w:shd w:val="clear" w:color="auto" w:fill="auto"/>
            <w:vAlign w:val="center"/>
          </w:tcPr>
          <w:p w:rsidR="00C821BE" w:rsidRPr="002362E3" w:rsidRDefault="00C821BE" w:rsidP="00C821BE">
            <w:pPr>
              <w:spacing w:after="0"/>
              <w:jc w:val="both"/>
              <w:rPr>
                <w:rFonts w:ascii="Times New Roman" w:hAnsi="Times New Roman" w:cs="Times New Roman"/>
                <w:sz w:val="20"/>
                <w:szCs w:val="20"/>
                <w:lang w:val="pt-BR"/>
              </w:rPr>
            </w:pPr>
            <w:r w:rsidRPr="002362E3">
              <w:rPr>
                <w:rFonts w:ascii="Times New Roman" w:hAnsi="Times New Roman" w:cs="Times New Roman"/>
                <w:sz w:val="20"/>
                <w:szCs w:val="20"/>
                <w:lang w:val="pt-BR"/>
              </w:rPr>
              <w:t>Reabilitação do tanque 1 em concreto armado de 100 m3, distrito do aeroporto</w:t>
            </w:r>
          </w:p>
        </w:tc>
        <w:tc>
          <w:tcPr>
            <w:tcW w:w="630" w:type="dxa"/>
            <w:shd w:val="clear" w:color="auto" w:fill="auto"/>
            <w:vAlign w:val="center"/>
          </w:tcPr>
          <w:p w:rsidR="00C821BE" w:rsidRPr="002362E3" w:rsidRDefault="00C821BE" w:rsidP="00C821BE">
            <w:pPr>
              <w:spacing w:after="0"/>
              <w:jc w:val="center"/>
              <w:rPr>
                <w:rFonts w:ascii="Times New Roman" w:hAnsi="Times New Roman" w:cs="Times New Roman"/>
                <w:sz w:val="20"/>
                <w:szCs w:val="20"/>
                <w:lang w:val="pt-BR"/>
              </w:rPr>
            </w:pPr>
            <w:r w:rsidRPr="002362E3">
              <w:rPr>
                <w:rFonts w:ascii="Times New Roman" w:hAnsi="Times New Roman" w:cs="Times New Roman"/>
                <w:sz w:val="20"/>
                <w:szCs w:val="20"/>
                <w:lang w:val="pt-BR"/>
              </w:rPr>
              <w:t>1</w:t>
            </w:r>
          </w:p>
        </w:tc>
        <w:tc>
          <w:tcPr>
            <w:tcW w:w="828" w:type="dxa"/>
            <w:shd w:val="clear" w:color="auto" w:fill="auto"/>
            <w:vAlign w:val="center"/>
          </w:tcPr>
          <w:p w:rsidR="00C821BE" w:rsidRPr="002362E3" w:rsidDel="001A6624" w:rsidRDefault="00C821BE" w:rsidP="00C821BE">
            <w:pPr>
              <w:spacing w:after="0"/>
              <w:jc w:val="center"/>
              <w:rPr>
                <w:rFonts w:ascii="Times New Roman" w:hAnsi="Times New Roman" w:cs="Times New Roman"/>
                <w:sz w:val="20"/>
                <w:szCs w:val="20"/>
                <w:lang w:val="pt-BR"/>
              </w:rPr>
            </w:pPr>
            <w:r w:rsidRPr="002362E3">
              <w:rPr>
                <w:rFonts w:ascii="Times New Roman" w:hAnsi="Times New Roman" w:cs="Times New Roman"/>
                <w:sz w:val="20"/>
                <w:szCs w:val="20"/>
                <w:lang w:val="pt-BR"/>
              </w:rPr>
              <w:t>você</w:t>
            </w:r>
          </w:p>
        </w:tc>
      </w:tr>
      <w:tr w:rsidR="00C821BE" w:rsidRPr="002362E3" w:rsidDel="001A6624" w:rsidTr="00C821BE">
        <w:trPr>
          <w:trHeight w:val="280"/>
          <w:jc w:val="center"/>
        </w:trPr>
        <w:tc>
          <w:tcPr>
            <w:tcW w:w="662" w:type="dxa"/>
            <w:shd w:val="clear" w:color="auto" w:fill="F2F2F2" w:themeFill="background1" w:themeFillShade="F2"/>
            <w:noWrap/>
            <w:vAlign w:val="center"/>
          </w:tcPr>
          <w:p w:rsidR="00C821BE" w:rsidRPr="002362E3" w:rsidRDefault="00C821BE" w:rsidP="00C821BE">
            <w:pPr>
              <w:spacing w:after="0"/>
              <w:jc w:val="center"/>
              <w:rPr>
                <w:rFonts w:ascii="Times New Roman" w:hAnsi="Times New Roman" w:cs="Times New Roman"/>
                <w:b/>
                <w:color w:val="000000"/>
                <w:sz w:val="20"/>
                <w:szCs w:val="20"/>
                <w:lang w:val="pt-BR"/>
              </w:rPr>
            </w:pPr>
            <w:r w:rsidRPr="002362E3">
              <w:rPr>
                <w:rFonts w:ascii="Times New Roman" w:hAnsi="Times New Roman" w:cs="Times New Roman"/>
                <w:b/>
                <w:color w:val="000000"/>
                <w:sz w:val="20"/>
                <w:szCs w:val="20"/>
                <w:lang w:val="pt-BR"/>
              </w:rPr>
              <w:t>05</w:t>
            </w:r>
          </w:p>
        </w:tc>
        <w:tc>
          <w:tcPr>
            <w:tcW w:w="8376" w:type="dxa"/>
            <w:shd w:val="clear" w:color="auto" w:fill="auto"/>
            <w:vAlign w:val="center"/>
          </w:tcPr>
          <w:p w:rsidR="00C821BE" w:rsidRPr="002362E3" w:rsidRDefault="00C821BE" w:rsidP="00C821BE">
            <w:pPr>
              <w:spacing w:after="0"/>
              <w:jc w:val="both"/>
              <w:rPr>
                <w:rFonts w:ascii="Times New Roman" w:hAnsi="Times New Roman" w:cs="Times New Roman"/>
                <w:sz w:val="20"/>
                <w:szCs w:val="20"/>
                <w:lang w:val="pt-BR"/>
              </w:rPr>
            </w:pPr>
            <w:r w:rsidRPr="002362E3">
              <w:rPr>
                <w:rFonts w:ascii="Times New Roman" w:hAnsi="Times New Roman" w:cs="Times New Roman"/>
                <w:sz w:val="20"/>
                <w:szCs w:val="20"/>
                <w:lang w:val="pt-BR"/>
              </w:rPr>
              <w:t>Reabilitação do tanque 2 em concreto armado de 100 m3, distrito do aeroporto</w:t>
            </w:r>
          </w:p>
        </w:tc>
        <w:tc>
          <w:tcPr>
            <w:tcW w:w="630" w:type="dxa"/>
            <w:shd w:val="clear" w:color="auto" w:fill="auto"/>
            <w:vAlign w:val="center"/>
          </w:tcPr>
          <w:p w:rsidR="00C821BE" w:rsidRPr="002362E3" w:rsidRDefault="00C821BE" w:rsidP="00C821BE">
            <w:pPr>
              <w:spacing w:after="0"/>
              <w:jc w:val="center"/>
              <w:rPr>
                <w:rFonts w:ascii="Times New Roman" w:hAnsi="Times New Roman" w:cs="Times New Roman"/>
                <w:sz w:val="20"/>
                <w:szCs w:val="20"/>
                <w:lang w:val="pt-BR"/>
              </w:rPr>
            </w:pPr>
            <w:r w:rsidRPr="002362E3">
              <w:rPr>
                <w:rFonts w:ascii="Times New Roman" w:hAnsi="Times New Roman" w:cs="Times New Roman"/>
                <w:sz w:val="20"/>
                <w:szCs w:val="20"/>
                <w:lang w:val="pt-BR"/>
              </w:rPr>
              <w:t>1</w:t>
            </w:r>
          </w:p>
        </w:tc>
        <w:tc>
          <w:tcPr>
            <w:tcW w:w="828" w:type="dxa"/>
            <w:shd w:val="clear" w:color="auto" w:fill="auto"/>
            <w:vAlign w:val="center"/>
          </w:tcPr>
          <w:p w:rsidR="00C821BE" w:rsidRPr="002362E3" w:rsidRDefault="00C821BE" w:rsidP="00C821BE">
            <w:pPr>
              <w:spacing w:after="0"/>
              <w:jc w:val="center"/>
              <w:rPr>
                <w:rFonts w:ascii="Times New Roman" w:hAnsi="Times New Roman" w:cs="Times New Roman"/>
                <w:sz w:val="20"/>
                <w:szCs w:val="20"/>
                <w:lang w:val="pt-BR"/>
              </w:rPr>
            </w:pPr>
            <w:r w:rsidRPr="002362E3">
              <w:rPr>
                <w:rFonts w:ascii="Times New Roman" w:hAnsi="Times New Roman" w:cs="Times New Roman"/>
                <w:sz w:val="20"/>
                <w:szCs w:val="20"/>
                <w:lang w:val="pt-BR"/>
              </w:rPr>
              <w:t>você</w:t>
            </w:r>
          </w:p>
        </w:tc>
      </w:tr>
      <w:tr w:rsidR="00C821BE" w:rsidRPr="002362E3" w:rsidDel="001A6624" w:rsidTr="00C821BE">
        <w:trPr>
          <w:trHeight w:val="280"/>
          <w:jc w:val="center"/>
        </w:trPr>
        <w:tc>
          <w:tcPr>
            <w:tcW w:w="662" w:type="dxa"/>
            <w:shd w:val="clear" w:color="auto" w:fill="F2F2F2" w:themeFill="background1" w:themeFillShade="F2"/>
            <w:noWrap/>
            <w:vAlign w:val="center"/>
          </w:tcPr>
          <w:p w:rsidR="00C821BE" w:rsidRPr="002362E3" w:rsidRDefault="00C821BE" w:rsidP="00C821BE">
            <w:pPr>
              <w:spacing w:after="0"/>
              <w:jc w:val="center"/>
              <w:rPr>
                <w:rFonts w:ascii="Times New Roman" w:hAnsi="Times New Roman" w:cs="Times New Roman"/>
                <w:b/>
                <w:color w:val="000000"/>
                <w:sz w:val="20"/>
                <w:szCs w:val="20"/>
                <w:lang w:val="pt-BR"/>
              </w:rPr>
            </w:pPr>
            <w:r w:rsidRPr="002362E3">
              <w:rPr>
                <w:rFonts w:ascii="Times New Roman" w:hAnsi="Times New Roman" w:cs="Times New Roman"/>
                <w:b/>
                <w:color w:val="000000"/>
                <w:sz w:val="20"/>
                <w:szCs w:val="20"/>
                <w:lang w:val="pt-BR"/>
              </w:rPr>
              <w:t>06</w:t>
            </w:r>
          </w:p>
        </w:tc>
        <w:tc>
          <w:tcPr>
            <w:tcW w:w="8376" w:type="dxa"/>
            <w:shd w:val="clear" w:color="auto" w:fill="auto"/>
            <w:vAlign w:val="center"/>
          </w:tcPr>
          <w:p w:rsidR="00C821BE" w:rsidRPr="002362E3" w:rsidRDefault="00C821BE" w:rsidP="00C821BE">
            <w:pPr>
              <w:spacing w:after="0"/>
              <w:jc w:val="both"/>
              <w:rPr>
                <w:rFonts w:ascii="Times New Roman" w:hAnsi="Times New Roman" w:cs="Times New Roman"/>
                <w:sz w:val="20"/>
                <w:szCs w:val="20"/>
                <w:lang w:val="pt-BR"/>
              </w:rPr>
            </w:pPr>
            <w:r w:rsidRPr="002362E3">
              <w:rPr>
                <w:rFonts w:ascii="Times New Roman" w:hAnsi="Times New Roman" w:cs="Times New Roman"/>
                <w:sz w:val="20"/>
                <w:szCs w:val="20"/>
                <w:lang w:val="pt-BR"/>
              </w:rPr>
              <w:t>Construção de um reservatório de 100 m3 em Antula-Pime</w:t>
            </w:r>
          </w:p>
        </w:tc>
        <w:tc>
          <w:tcPr>
            <w:tcW w:w="630" w:type="dxa"/>
            <w:shd w:val="clear" w:color="auto" w:fill="auto"/>
            <w:vAlign w:val="center"/>
          </w:tcPr>
          <w:p w:rsidR="00C821BE" w:rsidRPr="002362E3" w:rsidRDefault="00C821BE" w:rsidP="00C821BE">
            <w:pPr>
              <w:spacing w:after="0"/>
              <w:jc w:val="center"/>
              <w:rPr>
                <w:rFonts w:ascii="Times New Roman" w:hAnsi="Times New Roman" w:cs="Times New Roman"/>
                <w:sz w:val="20"/>
                <w:szCs w:val="20"/>
                <w:lang w:val="pt-BR"/>
              </w:rPr>
            </w:pPr>
            <w:r w:rsidRPr="002362E3">
              <w:rPr>
                <w:rFonts w:ascii="Times New Roman" w:hAnsi="Times New Roman" w:cs="Times New Roman"/>
                <w:sz w:val="20"/>
                <w:szCs w:val="20"/>
                <w:lang w:val="pt-BR"/>
              </w:rPr>
              <w:t>1</w:t>
            </w:r>
          </w:p>
        </w:tc>
        <w:tc>
          <w:tcPr>
            <w:tcW w:w="828" w:type="dxa"/>
            <w:shd w:val="clear" w:color="auto" w:fill="auto"/>
            <w:vAlign w:val="center"/>
          </w:tcPr>
          <w:p w:rsidR="00C821BE" w:rsidRPr="002362E3" w:rsidRDefault="00C821BE" w:rsidP="00C821BE">
            <w:pPr>
              <w:spacing w:after="0"/>
              <w:jc w:val="center"/>
              <w:rPr>
                <w:rFonts w:ascii="Times New Roman" w:hAnsi="Times New Roman" w:cs="Times New Roman"/>
                <w:sz w:val="20"/>
                <w:szCs w:val="20"/>
                <w:lang w:val="pt-BR"/>
              </w:rPr>
            </w:pPr>
            <w:r w:rsidRPr="002362E3">
              <w:rPr>
                <w:rFonts w:ascii="Times New Roman" w:hAnsi="Times New Roman" w:cs="Times New Roman"/>
                <w:sz w:val="20"/>
                <w:szCs w:val="20"/>
                <w:lang w:val="pt-BR"/>
              </w:rPr>
              <w:t>você</w:t>
            </w:r>
          </w:p>
        </w:tc>
      </w:tr>
    </w:tbl>
    <w:p w:rsidR="00C821BE" w:rsidRPr="002362E3" w:rsidRDefault="00C821BE" w:rsidP="00C821BE">
      <w:pPr>
        <w:spacing w:after="0"/>
        <w:jc w:val="both"/>
        <w:rPr>
          <w:rFonts w:ascii="Times New Roman" w:hAnsi="Times New Roman" w:cs="Times New Roman"/>
          <w:b/>
          <w:sz w:val="24"/>
          <w:szCs w:val="24"/>
          <w:lang w:val="pt-BR" w:bidi="fr-FR"/>
        </w:rPr>
      </w:pPr>
    </w:p>
    <w:p w:rsidR="00C821BE" w:rsidRPr="002362E3" w:rsidRDefault="00C821BE" w:rsidP="00C821BE">
      <w:pPr>
        <w:spacing w:after="120" w:line="240" w:lineRule="auto"/>
        <w:ind w:left="-284" w:right="-853"/>
        <w:jc w:val="both"/>
        <w:rPr>
          <w:rFonts w:ascii="Times New Roman" w:hAnsi="Times New Roman" w:cs="Times New Roman"/>
          <w:bCs/>
          <w:lang w:val="pt-BR"/>
        </w:rPr>
      </w:pPr>
      <w:r w:rsidRPr="002362E3">
        <w:rPr>
          <w:rFonts w:ascii="Times New Roman" w:hAnsi="Times New Roman" w:cs="Times New Roman"/>
          <w:bCs/>
          <w:lang w:val="pt-BR"/>
        </w:rPr>
        <w:t>Adicionalmente, será necessário contar com a construção da albufeira prevista para Bôr e a reabilitação de 2 albufeiras do Aeroporto (actualmente fora de serviço). Para atingir o volume considerado necessário pelos estudos de 2015, atualizados a partir de maio de 2019, para o sistema de Bissau (para o qual não contam os reservatórios de Safim e Prabis), será necessária a procura desses reservatórios (Bôr, Aeroport1 e Aeroport2) uma capacidade adicional total o mais próximo possível de 2.011 m3 (3.411 m3 - 1.400 m3).</w:t>
      </w:r>
    </w:p>
    <w:p w:rsidR="00C821BE" w:rsidRPr="002362E3" w:rsidRDefault="00C821BE" w:rsidP="00C821BE">
      <w:pPr>
        <w:spacing w:after="120" w:line="240" w:lineRule="auto"/>
        <w:ind w:left="-284" w:right="-853"/>
        <w:jc w:val="both"/>
        <w:rPr>
          <w:rFonts w:ascii="Times New Roman" w:hAnsi="Times New Roman" w:cs="Times New Roman"/>
          <w:bCs/>
          <w:lang w:val="pt-BR"/>
        </w:rPr>
      </w:pPr>
      <w:r w:rsidRPr="002362E3">
        <w:rPr>
          <w:rFonts w:ascii="Times New Roman" w:hAnsi="Times New Roman" w:cs="Times New Roman"/>
          <w:bCs/>
          <w:lang w:val="pt-BR"/>
        </w:rPr>
        <w:t>A capacidade total destes reservatórios será portanto de 2.450 m3 ou 2.050 m3, caso a CE de Antula Bono seja de 300 m3) Se esta capacidade for atingida, o défice de capacidade da rede DWS da cidade de Bissau em o preenchimento, de 3.411 m3, será reduzido para 960 m3.</w:t>
      </w:r>
    </w:p>
    <w:p w:rsidR="00C821BE" w:rsidRPr="002362E3" w:rsidRDefault="00C821BE" w:rsidP="00C821BE">
      <w:pPr>
        <w:autoSpaceDE w:val="0"/>
        <w:autoSpaceDN w:val="0"/>
        <w:adjustRightInd w:val="0"/>
        <w:spacing w:after="0" w:line="240" w:lineRule="auto"/>
        <w:ind w:left="-284"/>
        <w:jc w:val="both"/>
        <w:rPr>
          <w:rFonts w:ascii="Times New Roman" w:hAnsi="Times New Roman" w:cs="Times New Roman"/>
          <w:lang w:val="pt-BR"/>
        </w:rPr>
      </w:pPr>
      <w:r w:rsidRPr="002362E3">
        <w:rPr>
          <w:rFonts w:ascii="Times New Roman" w:hAnsi="Times New Roman" w:cs="Times New Roman"/>
          <w:lang w:val="pt-BR"/>
        </w:rPr>
        <w:t>As características dos reservatórios (torres de água) a serem construídos no âmbito deste projeto são apresentadas na tabela 14.</w:t>
      </w:r>
    </w:p>
    <w:tbl>
      <w:tblPr>
        <w:tblW w:w="4995" w:type="pct"/>
        <w:tblInd w:w="5" w:type="dxa"/>
        <w:tblLook w:val="04A0" w:firstRow="1" w:lastRow="0" w:firstColumn="1" w:lastColumn="0" w:noHBand="0" w:noVBand="1"/>
      </w:tblPr>
      <w:tblGrid>
        <w:gridCol w:w="2754"/>
        <w:gridCol w:w="1668"/>
        <w:gridCol w:w="1460"/>
        <w:gridCol w:w="942"/>
        <w:gridCol w:w="2237"/>
      </w:tblGrid>
      <w:tr w:rsidR="00C821BE" w:rsidRPr="00332A41" w:rsidTr="00C821BE">
        <w:trPr>
          <w:trHeight w:val="349"/>
        </w:trPr>
        <w:tc>
          <w:tcPr>
            <w:tcW w:w="5000" w:type="pct"/>
            <w:gridSpan w:val="5"/>
          </w:tcPr>
          <w:p w:rsidR="00C821BE" w:rsidRPr="002362E3" w:rsidRDefault="00C821BE" w:rsidP="00C821BE">
            <w:pPr>
              <w:jc w:val="center"/>
              <w:rPr>
                <w:rFonts w:ascii="Times New Roman" w:hAnsi="Times New Roman" w:cs="Times New Roman"/>
                <w:b/>
                <w:sz w:val="20"/>
                <w:szCs w:val="20"/>
                <w:lang w:val="pt-BR"/>
              </w:rPr>
            </w:pPr>
            <w:r w:rsidRPr="002362E3">
              <w:rPr>
                <w:rFonts w:ascii="Times New Roman" w:hAnsi="Times New Roman" w:cs="Times New Roman"/>
                <w:b/>
                <w:sz w:val="20"/>
                <w:szCs w:val="20"/>
                <w:lang w:val="pt-BR"/>
              </w:rPr>
              <w:t>Características dos tanques a serem produzidos</w:t>
            </w:r>
          </w:p>
        </w:tc>
      </w:tr>
      <w:tr w:rsidR="00C821BE" w:rsidRPr="002362E3" w:rsidTr="00C821B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Ex>
        <w:trPr>
          <w:trHeight w:val="350"/>
        </w:trPr>
        <w:tc>
          <w:tcPr>
            <w:tcW w:w="1561" w:type="pct"/>
            <w:tcBorders>
              <w:bottom w:val="single" w:sz="4" w:space="0" w:color="000000"/>
            </w:tcBorders>
            <w:shd w:val="clear" w:color="auto" w:fill="E2EFD9" w:themeFill="accent6" w:themeFillTint="33"/>
          </w:tcPr>
          <w:p w:rsidR="00C821BE" w:rsidRPr="002362E3" w:rsidRDefault="00C821BE" w:rsidP="00C821BE">
            <w:pPr>
              <w:pStyle w:val="TableParagraph"/>
              <w:spacing w:before="0" w:line="240" w:lineRule="auto"/>
              <w:ind w:left="107"/>
              <w:jc w:val="left"/>
              <w:rPr>
                <w:rFonts w:ascii="Times New Roman" w:hAnsi="Times New Roman" w:cs="Times New Roman"/>
                <w:b/>
                <w:bCs/>
                <w:sz w:val="20"/>
                <w:szCs w:val="20"/>
                <w:lang w:val="pt-BR"/>
              </w:rPr>
            </w:pPr>
            <w:r w:rsidRPr="002362E3">
              <w:rPr>
                <w:rFonts w:ascii="Times New Roman" w:hAnsi="Times New Roman" w:cs="Times New Roman"/>
                <w:b/>
                <w:bCs/>
                <w:sz w:val="20"/>
                <w:szCs w:val="20"/>
                <w:lang w:val="pt-BR"/>
              </w:rPr>
              <w:t>SITE (S</w:t>
            </w:r>
          </w:p>
        </w:tc>
        <w:tc>
          <w:tcPr>
            <w:tcW w:w="755" w:type="pct"/>
            <w:shd w:val="clear" w:color="auto" w:fill="E2EFD9" w:themeFill="accent6" w:themeFillTint="33"/>
          </w:tcPr>
          <w:p w:rsidR="00C821BE" w:rsidRPr="002362E3" w:rsidRDefault="00C821BE" w:rsidP="00C821BE">
            <w:pPr>
              <w:pStyle w:val="TableParagraph"/>
              <w:spacing w:before="0" w:line="240" w:lineRule="auto"/>
              <w:ind w:left="107"/>
              <w:jc w:val="center"/>
              <w:rPr>
                <w:rFonts w:ascii="Times New Roman" w:hAnsi="Times New Roman" w:cs="Times New Roman"/>
                <w:b/>
                <w:bCs/>
                <w:sz w:val="20"/>
                <w:szCs w:val="20"/>
                <w:lang w:val="pt-BR"/>
              </w:rPr>
            </w:pPr>
            <w:r w:rsidRPr="002362E3">
              <w:rPr>
                <w:rFonts w:ascii="Times New Roman" w:hAnsi="Times New Roman" w:cs="Times New Roman"/>
                <w:b/>
                <w:bCs/>
                <w:sz w:val="20"/>
                <w:szCs w:val="20"/>
                <w:lang w:val="pt-BR"/>
              </w:rPr>
              <w:t>CAPACIDADE (m3)</w:t>
            </w:r>
          </w:p>
        </w:tc>
        <w:tc>
          <w:tcPr>
            <w:tcW w:w="847" w:type="pct"/>
            <w:shd w:val="clear" w:color="auto" w:fill="E2EFD9" w:themeFill="accent6" w:themeFillTint="33"/>
          </w:tcPr>
          <w:p w:rsidR="00C821BE" w:rsidRPr="002362E3" w:rsidRDefault="00C821BE" w:rsidP="00C821BE">
            <w:pPr>
              <w:pStyle w:val="TableParagraph"/>
              <w:spacing w:before="0" w:line="240" w:lineRule="auto"/>
              <w:ind w:left="107"/>
              <w:jc w:val="center"/>
              <w:rPr>
                <w:rFonts w:ascii="Times New Roman" w:hAnsi="Times New Roman" w:cs="Times New Roman"/>
                <w:b/>
                <w:bCs/>
                <w:sz w:val="20"/>
                <w:szCs w:val="20"/>
                <w:lang w:val="pt-BR"/>
              </w:rPr>
            </w:pPr>
            <w:r w:rsidRPr="002362E3">
              <w:rPr>
                <w:rFonts w:ascii="Times New Roman" w:hAnsi="Times New Roman" w:cs="Times New Roman"/>
                <w:b/>
                <w:bCs/>
                <w:sz w:val="20"/>
                <w:szCs w:val="20"/>
                <w:lang w:val="pt-BR"/>
              </w:rPr>
              <w:t>TN COAST (m)</w:t>
            </w:r>
          </w:p>
        </w:tc>
        <w:tc>
          <w:tcPr>
            <w:tcW w:w="561" w:type="pct"/>
            <w:shd w:val="clear" w:color="auto" w:fill="E2EFD9" w:themeFill="accent6" w:themeFillTint="33"/>
          </w:tcPr>
          <w:p w:rsidR="00C821BE" w:rsidRPr="002362E3" w:rsidRDefault="00C821BE" w:rsidP="00C821BE">
            <w:pPr>
              <w:pStyle w:val="TableParagraph"/>
              <w:spacing w:before="0" w:line="240" w:lineRule="auto"/>
              <w:ind w:left="107"/>
              <w:jc w:val="center"/>
              <w:rPr>
                <w:rFonts w:ascii="Times New Roman" w:hAnsi="Times New Roman" w:cs="Times New Roman"/>
                <w:b/>
                <w:bCs/>
                <w:sz w:val="20"/>
                <w:szCs w:val="20"/>
                <w:lang w:val="pt-BR"/>
              </w:rPr>
            </w:pPr>
            <w:r w:rsidRPr="002362E3">
              <w:rPr>
                <w:rFonts w:ascii="Times New Roman" w:hAnsi="Times New Roman" w:cs="Times New Roman"/>
                <w:b/>
                <w:bCs/>
                <w:sz w:val="20"/>
                <w:szCs w:val="20"/>
                <w:lang w:val="pt-BR"/>
              </w:rPr>
              <w:t>SIDE PHE</w:t>
            </w:r>
          </w:p>
        </w:tc>
        <w:tc>
          <w:tcPr>
            <w:tcW w:w="1276" w:type="pct"/>
            <w:shd w:val="clear" w:color="auto" w:fill="E2EFD9" w:themeFill="accent6" w:themeFillTint="33"/>
          </w:tcPr>
          <w:p w:rsidR="00C821BE" w:rsidRPr="002362E3" w:rsidRDefault="00C821BE" w:rsidP="00C821BE">
            <w:pPr>
              <w:pStyle w:val="TableParagraph"/>
              <w:spacing w:before="0" w:line="240" w:lineRule="auto"/>
              <w:ind w:left="107"/>
              <w:jc w:val="center"/>
              <w:rPr>
                <w:rFonts w:ascii="Times New Roman" w:hAnsi="Times New Roman" w:cs="Times New Roman"/>
                <w:b/>
                <w:bCs/>
                <w:sz w:val="20"/>
                <w:szCs w:val="20"/>
                <w:lang w:val="pt-BR"/>
              </w:rPr>
            </w:pPr>
            <w:r w:rsidRPr="002362E3">
              <w:rPr>
                <w:rFonts w:ascii="Times New Roman" w:hAnsi="Times New Roman" w:cs="Times New Roman"/>
                <w:b/>
                <w:bCs/>
                <w:sz w:val="20"/>
                <w:szCs w:val="20"/>
                <w:lang w:val="pt-BR"/>
              </w:rPr>
              <w:t>SAIA DE ALTURA</w:t>
            </w:r>
          </w:p>
        </w:tc>
      </w:tr>
      <w:tr w:rsidR="00C821BE" w:rsidRPr="002362E3" w:rsidTr="00C821B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Ex>
        <w:trPr>
          <w:trHeight w:val="70"/>
        </w:trPr>
        <w:tc>
          <w:tcPr>
            <w:tcW w:w="1561" w:type="pct"/>
            <w:tcBorders>
              <w:right w:val="outset" w:sz="12" w:space="0" w:color="auto"/>
            </w:tcBorders>
            <w:shd w:val="clear" w:color="auto" w:fill="F2F2F2" w:themeFill="background1" w:themeFillShade="F2"/>
          </w:tcPr>
          <w:p w:rsidR="00C821BE" w:rsidRPr="002362E3" w:rsidRDefault="00C821BE" w:rsidP="00C821BE">
            <w:pPr>
              <w:pStyle w:val="TableParagraph"/>
              <w:spacing w:before="0" w:line="240" w:lineRule="auto"/>
              <w:ind w:left="108"/>
              <w:jc w:val="left"/>
              <w:rPr>
                <w:rFonts w:ascii="Times New Roman" w:hAnsi="Times New Roman" w:cs="Times New Roman"/>
                <w:sz w:val="20"/>
                <w:szCs w:val="20"/>
                <w:lang w:val="pt-BR"/>
              </w:rPr>
            </w:pPr>
            <w:r w:rsidRPr="002362E3">
              <w:rPr>
                <w:rFonts w:ascii="Times New Roman" w:hAnsi="Times New Roman" w:cs="Times New Roman"/>
                <w:sz w:val="20"/>
                <w:szCs w:val="20"/>
                <w:lang w:val="pt-BR"/>
              </w:rPr>
              <w:t>Bôr</w:t>
            </w:r>
          </w:p>
        </w:tc>
        <w:tc>
          <w:tcPr>
            <w:tcW w:w="755" w:type="pct"/>
            <w:tcBorders>
              <w:left w:val="outset" w:sz="12" w:space="0" w:color="auto"/>
            </w:tcBorders>
          </w:tcPr>
          <w:p w:rsidR="00C821BE" w:rsidRPr="002362E3" w:rsidRDefault="00C821BE" w:rsidP="00C821BE">
            <w:pPr>
              <w:pStyle w:val="TableParagraph"/>
              <w:spacing w:before="0" w:line="240" w:lineRule="auto"/>
              <w:ind w:left="108"/>
              <w:jc w:val="center"/>
              <w:rPr>
                <w:rFonts w:ascii="Times New Roman" w:hAnsi="Times New Roman" w:cs="Times New Roman"/>
                <w:sz w:val="20"/>
                <w:szCs w:val="20"/>
                <w:lang w:val="pt-BR"/>
              </w:rPr>
            </w:pPr>
            <w:r w:rsidRPr="002362E3">
              <w:rPr>
                <w:rFonts w:ascii="Times New Roman" w:hAnsi="Times New Roman" w:cs="Times New Roman"/>
                <w:sz w:val="20"/>
                <w:szCs w:val="20"/>
                <w:lang w:val="pt-BR"/>
              </w:rPr>
              <w:t>700</w:t>
            </w:r>
          </w:p>
        </w:tc>
        <w:tc>
          <w:tcPr>
            <w:tcW w:w="847" w:type="pct"/>
          </w:tcPr>
          <w:p w:rsidR="00C821BE" w:rsidRPr="002362E3" w:rsidRDefault="00C821BE" w:rsidP="00C821BE">
            <w:pPr>
              <w:pStyle w:val="TableParagraph"/>
              <w:spacing w:before="0" w:line="240" w:lineRule="auto"/>
              <w:ind w:left="107"/>
              <w:jc w:val="center"/>
              <w:rPr>
                <w:rFonts w:ascii="Times New Roman" w:hAnsi="Times New Roman" w:cs="Times New Roman"/>
                <w:sz w:val="20"/>
                <w:szCs w:val="20"/>
                <w:lang w:val="pt-BR"/>
              </w:rPr>
            </w:pPr>
            <w:r w:rsidRPr="002362E3">
              <w:rPr>
                <w:rFonts w:ascii="Times New Roman" w:hAnsi="Times New Roman" w:cs="Times New Roman"/>
                <w:sz w:val="20"/>
                <w:szCs w:val="20"/>
                <w:lang w:val="pt-BR"/>
              </w:rPr>
              <w:t>34</w:t>
            </w:r>
          </w:p>
        </w:tc>
        <w:tc>
          <w:tcPr>
            <w:tcW w:w="561" w:type="pct"/>
            <w:shd w:val="clear" w:color="auto" w:fill="auto"/>
          </w:tcPr>
          <w:p w:rsidR="00C821BE" w:rsidRPr="002362E3" w:rsidRDefault="00C821BE" w:rsidP="00C821BE">
            <w:pPr>
              <w:pStyle w:val="TableParagraph"/>
              <w:spacing w:before="0" w:line="240" w:lineRule="auto"/>
              <w:ind w:left="107"/>
              <w:jc w:val="center"/>
              <w:rPr>
                <w:rFonts w:ascii="Times New Roman" w:hAnsi="Times New Roman" w:cs="Times New Roman"/>
                <w:sz w:val="20"/>
                <w:szCs w:val="20"/>
                <w:lang w:val="pt-BR"/>
              </w:rPr>
            </w:pPr>
            <w:r w:rsidRPr="002362E3">
              <w:rPr>
                <w:rFonts w:ascii="Times New Roman" w:hAnsi="Times New Roman" w:cs="Times New Roman"/>
                <w:sz w:val="20"/>
                <w:szCs w:val="20"/>
                <w:lang w:val="pt-BR"/>
              </w:rPr>
              <w:t>± 67</w:t>
            </w:r>
          </w:p>
        </w:tc>
        <w:tc>
          <w:tcPr>
            <w:tcW w:w="1276" w:type="pct"/>
          </w:tcPr>
          <w:p w:rsidR="00C821BE" w:rsidRPr="002362E3" w:rsidRDefault="00C821BE" w:rsidP="00C821BE">
            <w:pPr>
              <w:pStyle w:val="TableParagraph"/>
              <w:spacing w:before="0" w:line="240" w:lineRule="auto"/>
              <w:ind w:left="107"/>
              <w:jc w:val="center"/>
              <w:rPr>
                <w:rFonts w:ascii="Times New Roman" w:hAnsi="Times New Roman" w:cs="Times New Roman"/>
                <w:sz w:val="20"/>
                <w:szCs w:val="20"/>
                <w:lang w:val="pt-BR"/>
              </w:rPr>
            </w:pPr>
            <w:r w:rsidRPr="002362E3">
              <w:rPr>
                <w:rFonts w:ascii="Times New Roman" w:hAnsi="Times New Roman" w:cs="Times New Roman"/>
                <w:sz w:val="20"/>
                <w:szCs w:val="20"/>
                <w:lang w:val="pt-BR"/>
              </w:rPr>
              <w:t>± 28 m</w:t>
            </w:r>
          </w:p>
        </w:tc>
      </w:tr>
      <w:tr w:rsidR="00C821BE" w:rsidRPr="002362E3" w:rsidTr="00C821B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Ex>
        <w:trPr>
          <w:trHeight w:val="289"/>
        </w:trPr>
        <w:tc>
          <w:tcPr>
            <w:tcW w:w="1561" w:type="pct"/>
            <w:tcBorders>
              <w:right w:val="outset" w:sz="12" w:space="0" w:color="auto"/>
            </w:tcBorders>
            <w:shd w:val="clear" w:color="auto" w:fill="F2F2F2" w:themeFill="background1" w:themeFillShade="F2"/>
          </w:tcPr>
          <w:p w:rsidR="00C821BE" w:rsidRPr="002362E3" w:rsidRDefault="00C821BE" w:rsidP="00C821BE">
            <w:pPr>
              <w:pStyle w:val="TableParagraph"/>
              <w:spacing w:before="0" w:line="240" w:lineRule="auto"/>
              <w:ind w:left="108"/>
              <w:jc w:val="left"/>
              <w:rPr>
                <w:rFonts w:ascii="Times New Roman" w:hAnsi="Times New Roman" w:cs="Times New Roman"/>
                <w:sz w:val="20"/>
                <w:szCs w:val="20"/>
                <w:lang w:val="pt-BR"/>
              </w:rPr>
            </w:pPr>
            <w:r w:rsidRPr="002362E3">
              <w:rPr>
                <w:rFonts w:ascii="Times New Roman" w:hAnsi="Times New Roman" w:cs="Times New Roman"/>
                <w:sz w:val="20"/>
                <w:szCs w:val="20"/>
                <w:lang w:val="pt-BR"/>
              </w:rPr>
              <w:t>Antula-Pime</w:t>
            </w:r>
          </w:p>
        </w:tc>
        <w:tc>
          <w:tcPr>
            <w:tcW w:w="755" w:type="pct"/>
            <w:tcBorders>
              <w:left w:val="outset" w:sz="12" w:space="0" w:color="auto"/>
            </w:tcBorders>
          </w:tcPr>
          <w:p w:rsidR="00C821BE" w:rsidRPr="002362E3" w:rsidRDefault="00C821BE" w:rsidP="00C821BE">
            <w:pPr>
              <w:pStyle w:val="TableParagraph"/>
              <w:spacing w:before="0" w:line="240" w:lineRule="auto"/>
              <w:ind w:left="108"/>
              <w:jc w:val="center"/>
              <w:rPr>
                <w:rFonts w:ascii="Times New Roman" w:hAnsi="Times New Roman" w:cs="Times New Roman"/>
                <w:sz w:val="20"/>
                <w:szCs w:val="20"/>
                <w:lang w:val="pt-BR"/>
              </w:rPr>
            </w:pPr>
            <w:r w:rsidRPr="002362E3">
              <w:rPr>
                <w:rFonts w:ascii="Times New Roman" w:hAnsi="Times New Roman" w:cs="Times New Roman"/>
                <w:sz w:val="20"/>
                <w:szCs w:val="20"/>
                <w:lang w:val="pt-BR"/>
              </w:rPr>
              <w:t>700</w:t>
            </w:r>
          </w:p>
        </w:tc>
        <w:tc>
          <w:tcPr>
            <w:tcW w:w="847" w:type="pct"/>
          </w:tcPr>
          <w:p w:rsidR="00C821BE" w:rsidRPr="002362E3" w:rsidRDefault="00C821BE" w:rsidP="00C821BE">
            <w:pPr>
              <w:pStyle w:val="TableParagraph"/>
              <w:spacing w:before="0" w:line="240" w:lineRule="auto"/>
              <w:ind w:left="107"/>
              <w:jc w:val="center"/>
              <w:rPr>
                <w:rFonts w:ascii="Times New Roman" w:hAnsi="Times New Roman" w:cs="Times New Roman"/>
                <w:sz w:val="20"/>
                <w:szCs w:val="20"/>
                <w:lang w:val="pt-BR"/>
              </w:rPr>
            </w:pPr>
            <w:r w:rsidRPr="002362E3">
              <w:rPr>
                <w:rFonts w:ascii="Times New Roman" w:hAnsi="Times New Roman" w:cs="Times New Roman"/>
                <w:sz w:val="20"/>
                <w:szCs w:val="20"/>
                <w:lang w:val="pt-BR"/>
              </w:rPr>
              <w:t>27,5</w:t>
            </w:r>
          </w:p>
        </w:tc>
        <w:tc>
          <w:tcPr>
            <w:tcW w:w="561" w:type="pct"/>
          </w:tcPr>
          <w:p w:rsidR="00C821BE" w:rsidRPr="002362E3" w:rsidRDefault="00C821BE" w:rsidP="00C821BE">
            <w:pPr>
              <w:pStyle w:val="TableParagraph"/>
              <w:spacing w:before="0" w:line="240" w:lineRule="auto"/>
              <w:ind w:left="107"/>
              <w:jc w:val="center"/>
              <w:rPr>
                <w:rFonts w:ascii="Times New Roman" w:hAnsi="Times New Roman" w:cs="Times New Roman"/>
                <w:sz w:val="20"/>
                <w:szCs w:val="20"/>
                <w:highlight w:val="yellow"/>
                <w:lang w:val="pt-BR"/>
              </w:rPr>
            </w:pPr>
            <w:r w:rsidRPr="002362E3">
              <w:rPr>
                <w:rFonts w:ascii="Times New Roman" w:hAnsi="Times New Roman" w:cs="Times New Roman"/>
                <w:sz w:val="20"/>
                <w:szCs w:val="20"/>
                <w:lang w:val="pt-BR"/>
              </w:rPr>
              <w:t>± 48</w:t>
            </w:r>
          </w:p>
        </w:tc>
        <w:tc>
          <w:tcPr>
            <w:tcW w:w="1276" w:type="pct"/>
          </w:tcPr>
          <w:p w:rsidR="00C821BE" w:rsidRPr="002362E3" w:rsidRDefault="00C821BE" w:rsidP="00C821BE">
            <w:pPr>
              <w:pStyle w:val="TableParagraph"/>
              <w:spacing w:before="0" w:line="240" w:lineRule="auto"/>
              <w:ind w:left="107"/>
              <w:jc w:val="center"/>
              <w:rPr>
                <w:rFonts w:ascii="Times New Roman" w:hAnsi="Times New Roman" w:cs="Times New Roman"/>
                <w:sz w:val="20"/>
                <w:szCs w:val="20"/>
                <w:highlight w:val="yellow"/>
                <w:lang w:val="pt-BR"/>
              </w:rPr>
            </w:pPr>
            <w:r w:rsidRPr="002362E3">
              <w:rPr>
                <w:rFonts w:ascii="Times New Roman" w:hAnsi="Times New Roman" w:cs="Times New Roman"/>
                <w:sz w:val="20"/>
                <w:szCs w:val="20"/>
                <w:lang w:val="pt-BR"/>
              </w:rPr>
              <w:t>± 16,5 m</w:t>
            </w:r>
          </w:p>
        </w:tc>
      </w:tr>
      <w:tr w:rsidR="00C821BE" w:rsidRPr="002362E3" w:rsidTr="00C821B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Ex>
        <w:trPr>
          <w:trHeight w:val="113"/>
        </w:trPr>
        <w:tc>
          <w:tcPr>
            <w:tcW w:w="1561" w:type="pct"/>
            <w:tcBorders>
              <w:right w:val="outset" w:sz="12" w:space="0" w:color="auto"/>
            </w:tcBorders>
            <w:shd w:val="clear" w:color="auto" w:fill="F2F2F2" w:themeFill="background1" w:themeFillShade="F2"/>
          </w:tcPr>
          <w:p w:rsidR="00C821BE" w:rsidRPr="002362E3" w:rsidRDefault="00C821BE" w:rsidP="00C821BE">
            <w:pPr>
              <w:pStyle w:val="TableParagraph"/>
              <w:spacing w:before="0" w:line="240" w:lineRule="auto"/>
              <w:ind w:left="108"/>
              <w:jc w:val="left"/>
              <w:rPr>
                <w:rFonts w:ascii="Times New Roman" w:hAnsi="Times New Roman" w:cs="Times New Roman"/>
                <w:sz w:val="20"/>
                <w:szCs w:val="20"/>
                <w:lang w:val="pt-BR"/>
              </w:rPr>
            </w:pPr>
            <w:r w:rsidRPr="002362E3">
              <w:rPr>
                <w:rFonts w:ascii="Times New Roman" w:hAnsi="Times New Roman" w:cs="Times New Roman"/>
                <w:sz w:val="20"/>
                <w:szCs w:val="20"/>
                <w:lang w:val="pt-BR"/>
              </w:rPr>
              <w:t>Safim</w:t>
            </w:r>
          </w:p>
        </w:tc>
        <w:tc>
          <w:tcPr>
            <w:tcW w:w="755" w:type="pct"/>
            <w:tcBorders>
              <w:left w:val="outset" w:sz="12" w:space="0" w:color="auto"/>
            </w:tcBorders>
          </w:tcPr>
          <w:p w:rsidR="00C821BE" w:rsidRPr="002362E3" w:rsidRDefault="00C821BE" w:rsidP="00C821BE">
            <w:pPr>
              <w:pStyle w:val="TableParagraph"/>
              <w:spacing w:before="0" w:line="240" w:lineRule="auto"/>
              <w:ind w:left="108"/>
              <w:jc w:val="center"/>
              <w:rPr>
                <w:rFonts w:ascii="Times New Roman" w:hAnsi="Times New Roman" w:cs="Times New Roman"/>
                <w:sz w:val="20"/>
                <w:szCs w:val="20"/>
                <w:lang w:val="pt-BR"/>
              </w:rPr>
            </w:pPr>
            <w:r w:rsidRPr="002362E3">
              <w:rPr>
                <w:rFonts w:ascii="Times New Roman" w:hAnsi="Times New Roman" w:cs="Times New Roman"/>
                <w:sz w:val="20"/>
                <w:szCs w:val="20"/>
                <w:lang w:val="pt-BR"/>
              </w:rPr>
              <w:t>350</w:t>
            </w:r>
          </w:p>
        </w:tc>
        <w:tc>
          <w:tcPr>
            <w:tcW w:w="847" w:type="pct"/>
          </w:tcPr>
          <w:p w:rsidR="00C821BE" w:rsidRPr="002362E3" w:rsidRDefault="00C821BE" w:rsidP="00C821BE">
            <w:pPr>
              <w:pStyle w:val="TableParagraph"/>
              <w:spacing w:before="0" w:line="240" w:lineRule="auto"/>
              <w:ind w:left="107"/>
              <w:jc w:val="center"/>
              <w:rPr>
                <w:rFonts w:ascii="Times New Roman" w:hAnsi="Times New Roman" w:cs="Times New Roman"/>
                <w:sz w:val="20"/>
                <w:szCs w:val="20"/>
                <w:lang w:val="pt-BR"/>
              </w:rPr>
            </w:pPr>
            <w:r w:rsidRPr="002362E3">
              <w:rPr>
                <w:rFonts w:ascii="Times New Roman" w:hAnsi="Times New Roman" w:cs="Times New Roman"/>
                <w:sz w:val="20"/>
                <w:szCs w:val="20"/>
                <w:lang w:val="pt-BR"/>
              </w:rPr>
              <w:t>23,5 (*)</w:t>
            </w:r>
          </w:p>
        </w:tc>
        <w:tc>
          <w:tcPr>
            <w:tcW w:w="561" w:type="pct"/>
          </w:tcPr>
          <w:p w:rsidR="00C821BE" w:rsidRPr="002362E3" w:rsidRDefault="00C821BE" w:rsidP="00C821BE">
            <w:pPr>
              <w:pStyle w:val="TableParagraph"/>
              <w:spacing w:before="0" w:line="240" w:lineRule="auto"/>
              <w:ind w:left="107"/>
              <w:jc w:val="center"/>
              <w:rPr>
                <w:rFonts w:ascii="Times New Roman" w:hAnsi="Times New Roman" w:cs="Times New Roman"/>
                <w:sz w:val="20"/>
                <w:szCs w:val="20"/>
                <w:highlight w:val="yellow"/>
                <w:lang w:val="pt-BR"/>
              </w:rPr>
            </w:pPr>
            <w:r w:rsidRPr="002362E3">
              <w:rPr>
                <w:rFonts w:ascii="Times New Roman" w:hAnsi="Times New Roman" w:cs="Times New Roman"/>
                <w:sz w:val="20"/>
                <w:szCs w:val="20"/>
                <w:lang w:val="pt-BR"/>
              </w:rPr>
              <w:t>± 44</w:t>
            </w:r>
          </w:p>
        </w:tc>
        <w:tc>
          <w:tcPr>
            <w:tcW w:w="1276" w:type="pct"/>
          </w:tcPr>
          <w:p w:rsidR="00C821BE" w:rsidRPr="002362E3" w:rsidRDefault="00C821BE" w:rsidP="00C821BE">
            <w:pPr>
              <w:pStyle w:val="TableParagraph"/>
              <w:spacing w:before="0" w:line="240" w:lineRule="auto"/>
              <w:ind w:left="107"/>
              <w:jc w:val="center"/>
              <w:rPr>
                <w:rFonts w:ascii="Times New Roman" w:hAnsi="Times New Roman" w:cs="Times New Roman"/>
                <w:sz w:val="20"/>
                <w:szCs w:val="20"/>
                <w:highlight w:val="yellow"/>
                <w:lang w:val="pt-BR"/>
              </w:rPr>
            </w:pPr>
            <w:r w:rsidRPr="002362E3">
              <w:rPr>
                <w:rFonts w:ascii="Times New Roman" w:hAnsi="Times New Roman" w:cs="Times New Roman"/>
                <w:sz w:val="20"/>
                <w:szCs w:val="20"/>
                <w:lang w:val="pt-BR"/>
              </w:rPr>
              <w:t>± 15,5 m (**)</w:t>
            </w:r>
          </w:p>
        </w:tc>
      </w:tr>
      <w:tr w:rsidR="00C821BE" w:rsidRPr="002362E3" w:rsidTr="00C821B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Ex>
        <w:trPr>
          <w:trHeight w:val="70"/>
        </w:trPr>
        <w:tc>
          <w:tcPr>
            <w:tcW w:w="1561" w:type="pct"/>
            <w:tcBorders>
              <w:right w:val="outset" w:sz="12" w:space="0" w:color="auto"/>
            </w:tcBorders>
            <w:shd w:val="clear" w:color="auto" w:fill="F2F2F2" w:themeFill="background1" w:themeFillShade="F2"/>
          </w:tcPr>
          <w:p w:rsidR="00C821BE" w:rsidRPr="002362E3" w:rsidRDefault="00C821BE" w:rsidP="00C821BE">
            <w:pPr>
              <w:pStyle w:val="TableParagraph"/>
              <w:spacing w:before="0" w:line="240" w:lineRule="auto"/>
              <w:ind w:left="108"/>
              <w:jc w:val="left"/>
              <w:rPr>
                <w:rFonts w:ascii="Times New Roman" w:hAnsi="Times New Roman" w:cs="Times New Roman"/>
                <w:sz w:val="20"/>
                <w:szCs w:val="20"/>
                <w:lang w:val="pt-BR"/>
              </w:rPr>
            </w:pPr>
            <w:r w:rsidRPr="002362E3">
              <w:rPr>
                <w:rFonts w:ascii="Times New Roman" w:hAnsi="Times New Roman" w:cs="Times New Roman"/>
                <w:sz w:val="20"/>
                <w:szCs w:val="20"/>
                <w:lang w:val="pt-BR"/>
              </w:rPr>
              <w:t>Prábis</w:t>
            </w:r>
          </w:p>
        </w:tc>
        <w:tc>
          <w:tcPr>
            <w:tcW w:w="755" w:type="pct"/>
            <w:tcBorders>
              <w:left w:val="outset" w:sz="12" w:space="0" w:color="auto"/>
            </w:tcBorders>
          </w:tcPr>
          <w:p w:rsidR="00C821BE" w:rsidRPr="002362E3" w:rsidRDefault="00C821BE" w:rsidP="00C821BE">
            <w:pPr>
              <w:pStyle w:val="TableParagraph"/>
              <w:spacing w:before="0" w:line="240" w:lineRule="auto"/>
              <w:ind w:left="108"/>
              <w:jc w:val="center"/>
              <w:rPr>
                <w:rFonts w:ascii="Times New Roman" w:hAnsi="Times New Roman" w:cs="Times New Roman"/>
                <w:sz w:val="20"/>
                <w:szCs w:val="20"/>
                <w:lang w:val="pt-BR"/>
              </w:rPr>
            </w:pPr>
            <w:r w:rsidRPr="002362E3">
              <w:rPr>
                <w:rFonts w:ascii="Times New Roman" w:hAnsi="Times New Roman" w:cs="Times New Roman"/>
                <w:sz w:val="20"/>
                <w:szCs w:val="20"/>
                <w:lang w:val="pt-BR"/>
              </w:rPr>
              <w:t>100</w:t>
            </w:r>
          </w:p>
        </w:tc>
        <w:tc>
          <w:tcPr>
            <w:tcW w:w="847" w:type="pct"/>
          </w:tcPr>
          <w:p w:rsidR="00C821BE" w:rsidRPr="002362E3" w:rsidRDefault="00C821BE" w:rsidP="00C821BE">
            <w:pPr>
              <w:pStyle w:val="TableParagraph"/>
              <w:spacing w:before="0" w:line="240" w:lineRule="auto"/>
              <w:ind w:left="107"/>
              <w:jc w:val="center"/>
              <w:rPr>
                <w:rFonts w:ascii="Times New Roman" w:hAnsi="Times New Roman" w:cs="Times New Roman"/>
                <w:sz w:val="20"/>
                <w:szCs w:val="20"/>
                <w:lang w:val="pt-BR"/>
              </w:rPr>
            </w:pPr>
            <w:r w:rsidRPr="002362E3">
              <w:rPr>
                <w:rFonts w:ascii="Times New Roman" w:hAnsi="Times New Roman" w:cs="Times New Roman"/>
                <w:sz w:val="20"/>
                <w:szCs w:val="20"/>
                <w:lang w:val="pt-BR"/>
              </w:rPr>
              <w:t>13,5</w:t>
            </w:r>
          </w:p>
        </w:tc>
        <w:tc>
          <w:tcPr>
            <w:tcW w:w="561" w:type="pct"/>
          </w:tcPr>
          <w:p w:rsidR="00C821BE" w:rsidRPr="002362E3" w:rsidRDefault="00C821BE" w:rsidP="00C821BE">
            <w:pPr>
              <w:pStyle w:val="TableParagraph"/>
              <w:spacing w:before="0" w:line="240" w:lineRule="auto"/>
              <w:ind w:left="107"/>
              <w:jc w:val="center"/>
              <w:rPr>
                <w:rFonts w:ascii="Times New Roman" w:hAnsi="Times New Roman" w:cs="Times New Roman"/>
                <w:sz w:val="20"/>
                <w:szCs w:val="20"/>
                <w:highlight w:val="yellow"/>
                <w:lang w:val="pt-BR"/>
              </w:rPr>
            </w:pPr>
            <w:r w:rsidRPr="002362E3">
              <w:rPr>
                <w:rFonts w:ascii="Times New Roman" w:hAnsi="Times New Roman" w:cs="Times New Roman"/>
                <w:sz w:val="20"/>
                <w:szCs w:val="20"/>
                <w:lang w:val="pt-BR"/>
              </w:rPr>
              <w:t>± 30</w:t>
            </w:r>
          </w:p>
        </w:tc>
        <w:tc>
          <w:tcPr>
            <w:tcW w:w="1276" w:type="pct"/>
          </w:tcPr>
          <w:p w:rsidR="00C821BE" w:rsidRPr="002362E3" w:rsidRDefault="00C821BE" w:rsidP="00C821BE">
            <w:pPr>
              <w:pStyle w:val="TableParagraph"/>
              <w:spacing w:before="0" w:line="240" w:lineRule="auto"/>
              <w:ind w:left="107"/>
              <w:jc w:val="center"/>
              <w:rPr>
                <w:rFonts w:ascii="Times New Roman" w:hAnsi="Times New Roman" w:cs="Times New Roman"/>
                <w:sz w:val="20"/>
                <w:szCs w:val="20"/>
                <w:highlight w:val="yellow"/>
                <w:lang w:val="pt-BR"/>
              </w:rPr>
            </w:pPr>
            <w:r w:rsidRPr="002362E3">
              <w:rPr>
                <w:rFonts w:ascii="Times New Roman" w:hAnsi="Times New Roman" w:cs="Times New Roman"/>
                <w:sz w:val="20"/>
                <w:szCs w:val="20"/>
                <w:lang w:val="pt-BR"/>
              </w:rPr>
              <w:t>± 14 m</w:t>
            </w:r>
          </w:p>
        </w:tc>
      </w:tr>
    </w:tbl>
    <w:p w:rsidR="00C821BE" w:rsidRPr="002362E3" w:rsidRDefault="00C821BE" w:rsidP="00C821BE">
      <w:pPr>
        <w:spacing w:line="240" w:lineRule="auto"/>
        <w:ind w:left="79" w:right="62"/>
        <w:contextualSpacing/>
        <w:jc w:val="both"/>
        <w:rPr>
          <w:rFonts w:ascii="Times New Roman" w:hAnsi="Times New Roman" w:cs="Times New Roman"/>
          <w:sz w:val="24"/>
          <w:szCs w:val="24"/>
          <w:lang w:val="pt-BR"/>
        </w:rPr>
      </w:pPr>
      <w:r w:rsidRPr="002362E3">
        <w:rPr>
          <w:rFonts w:ascii="Times New Roman" w:hAnsi="Times New Roman" w:cs="Times New Roman"/>
          <w:sz w:val="24"/>
          <w:szCs w:val="24"/>
          <w:lang w:val="pt-BR"/>
        </w:rPr>
        <w:t>(*): ou 17 m, caso a localização R1 seja adotada.</w:t>
      </w:r>
    </w:p>
    <w:p w:rsidR="00C821BE" w:rsidRPr="002362E3" w:rsidRDefault="00C821BE" w:rsidP="00C821BE">
      <w:pPr>
        <w:spacing w:line="240" w:lineRule="auto"/>
        <w:ind w:left="79" w:right="62"/>
        <w:contextualSpacing/>
        <w:jc w:val="both"/>
        <w:rPr>
          <w:rFonts w:ascii="Times New Roman" w:hAnsi="Times New Roman" w:cs="Times New Roman"/>
          <w:sz w:val="24"/>
          <w:szCs w:val="24"/>
          <w:lang w:val="pt-BR"/>
        </w:rPr>
      </w:pPr>
      <w:r w:rsidRPr="002362E3">
        <w:rPr>
          <w:rFonts w:ascii="Times New Roman" w:hAnsi="Times New Roman" w:cs="Times New Roman"/>
          <w:sz w:val="24"/>
          <w:szCs w:val="24"/>
          <w:lang w:val="pt-BR"/>
        </w:rPr>
        <w:lastRenderedPageBreak/>
        <w:t>(**): ou 22 m caso a localização R1 seja adotada</w:t>
      </w:r>
    </w:p>
    <w:p w:rsidR="00C821BE" w:rsidRPr="002362E3" w:rsidRDefault="00C821BE" w:rsidP="00C821BE">
      <w:pPr>
        <w:spacing w:line="240" w:lineRule="auto"/>
        <w:ind w:left="79" w:right="62"/>
        <w:contextualSpacing/>
        <w:jc w:val="both"/>
        <w:rPr>
          <w:rFonts w:ascii="Times New Roman" w:hAnsi="Times New Roman" w:cs="Times New Roman"/>
          <w:sz w:val="24"/>
          <w:szCs w:val="24"/>
          <w:lang w:val="pt-BR"/>
        </w:rPr>
      </w:pPr>
      <w:r w:rsidRPr="002362E3">
        <w:rPr>
          <w:rFonts w:ascii="Times New Roman" w:hAnsi="Times New Roman" w:cs="Times New Roman"/>
          <w:sz w:val="24"/>
          <w:szCs w:val="24"/>
          <w:lang w:val="pt-BR"/>
        </w:rPr>
        <w:t>(***): ou 300 m3, no caso de limitação do orçamento, a ser decidido pelo MO.</w:t>
      </w:r>
    </w:p>
    <w:p w:rsidR="00C821BE" w:rsidRPr="002362E3" w:rsidRDefault="00C821BE" w:rsidP="00C821BE">
      <w:pPr>
        <w:pStyle w:val="PargrafodaLista"/>
        <w:numPr>
          <w:ilvl w:val="0"/>
          <w:numId w:val="245"/>
        </w:numPr>
        <w:tabs>
          <w:tab w:val="left" w:pos="1418"/>
          <w:tab w:val="left" w:pos="1843"/>
        </w:tabs>
        <w:spacing w:after="240" w:line="240" w:lineRule="auto"/>
        <w:ind w:right="-283"/>
        <w:contextualSpacing w:val="0"/>
        <w:rPr>
          <w:rFonts w:ascii="Times New Roman" w:hAnsi="Times New Roman"/>
          <w:b/>
          <w:bCs/>
          <w:i/>
          <w:sz w:val="22"/>
          <w:szCs w:val="22"/>
          <w:lang w:val="pt-BR"/>
        </w:rPr>
      </w:pPr>
      <w:r w:rsidRPr="002362E3">
        <w:rPr>
          <w:rFonts w:ascii="Times New Roman" w:hAnsi="Times New Roman"/>
          <w:b/>
          <w:bCs/>
          <w:i/>
          <w:sz w:val="22"/>
          <w:szCs w:val="22"/>
          <w:lang w:val="pt-BR"/>
        </w:rPr>
        <w:t>QUADRO DE POLÍTICA JURÍDICA E INSTITUCIONAL</w:t>
      </w:r>
    </w:p>
    <w:p w:rsidR="00C821BE" w:rsidRPr="002362E3" w:rsidRDefault="00C821BE" w:rsidP="00C821BE">
      <w:pPr>
        <w:spacing w:after="120" w:line="240" w:lineRule="auto"/>
        <w:ind w:left="-284" w:right="-853"/>
        <w:jc w:val="both"/>
        <w:rPr>
          <w:rFonts w:ascii="Times New Roman" w:hAnsi="Times New Roman" w:cs="Times New Roman"/>
          <w:bCs/>
          <w:lang w:val="pt-BR"/>
        </w:rPr>
      </w:pPr>
      <w:r w:rsidRPr="002362E3">
        <w:rPr>
          <w:rFonts w:ascii="Times New Roman" w:hAnsi="Times New Roman" w:cs="Times New Roman"/>
          <w:bCs/>
          <w:lang w:val="pt-BR"/>
        </w:rPr>
        <w:t>O quadro político, legal e institucional da Guiné-Bissau foi revisitado para trazer as políticas setoriais, estratégias ambientais e sociais, planos nacionais, planos de conservação da biodiversidade, estratégias nacionais para áreas protegidas, planos adaptação às mudanças climáticas, Declaração de Política do Setor de Água e Eletricidade, Políticas e Estratégias Ambientais e Sociais, etc.</w:t>
      </w:r>
    </w:p>
    <w:p w:rsidR="00C821BE" w:rsidRPr="002362E3" w:rsidRDefault="00C821BE" w:rsidP="00C821BE">
      <w:pPr>
        <w:spacing w:after="120" w:line="240" w:lineRule="auto"/>
        <w:ind w:left="-284" w:right="-853"/>
        <w:jc w:val="both"/>
        <w:rPr>
          <w:rFonts w:ascii="Times New Roman" w:hAnsi="Times New Roman" w:cs="Times New Roman"/>
          <w:bCs/>
          <w:lang w:val="pt-BR"/>
        </w:rPr>
      </w:pPr>
      <w:r w:rsidRPr="002362E3">
        <w:rPr>
          <w:rFonts w:ascii="Times New Roman" w:hAnsi="Times New Roman" w:cs="Times New Roman"/>
          <w:bCs/>
          <w:lang w:val="pt-BR"/>
        </w:rPr>
        <w:t>Em nível nacional, usamos o documento de declaração de política setorial no campo dos subsetores de energia.</w:t>
      </w:r>
    </w:p>
    <w:p w:rsidR="00C821BE" w:rsidRPr="002362E3" w:rsidRDefault="00C821BE" w:rsidP="00C821BE">
      <w:pPr>
        <w:pStyle w:val="PargrafodaLista"/>
        <w:numPr>
          <w:ilvl w:val="0"/>
          <w:numId w:val="246"/>
        </w:numPr>
        <w:spacing w:after="0" w:line="240" w:lineRule="auto"/>
        <w:ind w:left="426"/>
        <w:contextualSpacing w:val="0"/>
        <w:rPr>
          <w:rFonts w:ascii="Times New Roman" w:hAnsi="Times New Roman"/>
          <w:lang w:val="pt-BR"/>
        </w:rPr>
      </w:pPr>
      <w:r w:rsidRPr="002362E3">
        <w:rPr>
          <w:rFonts w:ascii="Times New Roman" w:hAnsi="Times New Roman"/>
          <w:b/>
          <w:bCs/>
          <w:lang w:val="pt-BR"/>
        </w:rPr>
        <w:t xml:space="preserve">Declaração de política do setor de água </w:t>
      </w:r>
    </w:p>
    <w:p w:rsidR="00C821BE" w:rsidRPr="002362E3" w:rsidRDefault="00C821BE" w:rsidP="00C821BE">
      <w:pPr>
        <w:pStyle w:val="PargrafodaLista"/>
        <w:numPr>
          <w:ilvl w:val="1"/>
          <w:numId w:val="246"/>
        </w:numPr>
        <w:spacing w:after="0" w:line="240" w:lineRule="auto"/>
        <w:ind w:left="851" w:hanging="447"/>
        <w:contextualSpacing w:val="0"/>
        <w:rPr>
          <w:rFonts w:ascii="Times New Roman" w:hAnsi="Times New Roman"/>
          <w:bCs/>
          <w:lang w:val="pt-BR"/>
        </w:rPr>
      </w:pPr>
      <w:r w:rsidRPr="002362E3">
        <w:rPr>
          <w:rFonts w:ascii="Times New Roman" w:hAnsi="Times New Roman"/>
          <w:bCs/>
          <w:lang w:val="pt-BR"/>
        </w:rPr>
        <w:t>Plano diretor de água e saneamento na Guiné-Bissau</w:t>
      </w:r>
    </w:p>
    <w:p w:rsidR="00C821BE" w:rsidRPr="002362E3" w:rsidRDefault="00C821BE" w:rsidP="00C821BE">
      <w:pPr>
        <w:pStyle w:val="PargrafodaLista"/>
        <w:numPr>
          <w:ilvl w:val="0"/>
          <w:numId w:val="246"/>
        </w:numPr>
        <w:spacing w:after="0" w:line="240" w:lineRule="auto"/>
        <w:ind w:left="426"/>
        <w:contextualSpacing w:val="0"/>
        <w:rPr>
          <w:rFonts w:ascii="Times New Roman" w:hAnsi="Times New Roman"/>
          <w:b/>
          <w:bCs/>
          <w:lang w:val="pt-BR"/>
        </w:rPr>
      </w:pPr>
      <w:r w:rsidRPr="002362E3">
        <w:rPr>
          <w:rFonts w:ascii="Times New Roman" w:hAnsi="Times New Roman"/>
          <w:b/>
          <w:bCs/>
          <w:lang w:val="pt-BR"/>
        </w:rPr>
        <w:t>Documentos de Política e Estratégia Ambiental e Social</w:t>
      </w:r>
    </w:p>
    <w:p w:rsidR="00C821BE" w:rsidRPr="002362E3" w:rsidRDefault="00C821BE" w:rsidP="00C821BE">
      <w:pPr>
        <w:pStyle w:val="PargrafodaLista"/>
        <w:numPr>
          <w:ilvl w:val="1"/>
          <w:numId w:val="246"/>
        </w:numPr>
        <w:spacing w:after="0" w:line="240" w:lineRule="auto"/>
        <w:ind w:left="851" w:hanging="447"/>
        <w:contextualSpacing w:val="0"/>
        <w:rPr>
          <w:rFonts w:ascii="Times New Roman" w:hAnsi="Times New Roman"/>
          <w:bCs/>
          <w:lang w:val="pt-BR"/>
        </w:rPr>
      </w:pPr>
      <w:r w:rsidRPr="002362E3">
        <w:rPr>
          <w:rFonts w:ascii="Times New Roman" w:hAnsi="Times New Roman"/>
          <w:bCs/>
          <w:lang w:val="pt-BR"/>
        </w:rPr>
        <w:t>O plano nacional de gestão ambiental (PNGE)</w:t>
      </w:r>
    </w:p>
    <w:p w:rsidR="00C821BE" w:rsidRPr="002362E3" w:rsidRDefault="00C821BE" w:rsidP="00C821BE">
      <w:pPr>
        <w:pStyle w:val="PargrafodaLista"/>
        <w:numPr>
          <w:ilvl w:val="1"/>
          <w:numId w:val="246"/>
        </w:numPr>
        <w:spacing w:after="0" w:line="240" w:lineRule="auto"/>
        <w:ind w:left="851" w:hanging="447"/>
        <w:contextualSpacing w:val="0"/>
        <w:rPr>
          <w:rFonts w:ascii="Times New Roman" w:hAnsi="Times New Roman"/>
          <w:bCs/>
          <w:lang w:val="pt-BR"/>
        </w:rPr>
      </w:pPr>
      <w:r w:rsidRPr="002362E3">
        <w:rPr>
          <w:rFonts w:ascii="Times New Roman" w:hAnsi="Times New Roman"/>
          <w:bCs/>
          <w:lang w:val="pt-BR"/>
        </w:rPr>
        <w:t>A Estratégia Nacional e o Plano de Ação para a Conservação da Diversidade Biológica</w:t>
      </w:r>
    </w:p>
    <w:p w:rsidR="00C821BE" w:rsidRPr="002362E3" w:rsidRDefault="00C821BE" w:rsidP="00C821BE">
      <w:pPr>
        <w:pStyle w:val="PargrafodaLista"/>
        <w:numPr>
          <w:ilvl w:val="1"/>
          <w:numId w:val="246"/>
        </w:numPr>
        <w:spacing w:after="0" w:line="240" w:lineRule="auto"/>
        <w:ind w:left="851" w:hanging="447"/>
        <w:contextualSpacing w:val="0"/>
        <w:rPr>
          <w:rFonts w:ascii="Times New Roman" w:hAnsi="Times New Roman"/>
          <w:bCs/>
          <w:lang w:val="pt-BR"/>
        </w:rPr>
      </w:pPr>
      <w:r w:rsidRPr="002362E3">
        <w:rPr>
          <w:rFonts w:ascii="Times New Roman" w:hAnsi="Times New Roman"/>
          <w:bCs/>
          <w:lang w:val="pt-BR"/>
        </w:rPr>
        <w:t>O plano de ação para a conservação da diversidade biológica</w:t>
      </w:r>
    </w:p>
    <w:p w:rsidR="00C821BE" w:rsidRPr="002362E3" w:rsidRDefault="00C821BE" w:rsidP="00C821BE">
      <w:pPr>
        <w:pStyle w:val="PargrafodaLista"/>
        <w:numPr>
          <w:ilvl w:val="1"/>
          <w:numId w:val="246"/>
        </w:numPr>
        <w:spacing w:after="0" w:line="240" w:lineRule="auto"/>
        <w:ind w:left="851" w:hanging="447"/>
        <w:contextualSpacing w:val="0"/>
        <w:rPr>
          <w:rFonts w:ascii="Times New Roman" w:hAnsi="Times New Roman"/>
          <w:bCs/>
          <w:lang w:val="pt-BR"/>
        </w:rPr>
      </w:pPr>
      <w:r w:rsidRPr="002362E3">
        <w:rPr>
          <w:rFonts w:ascii="Times New Roman" w:hAnsi="Times New Roman"/>
          <w:bCs/>
          <w:lang w:val="pt-BR"/>
        </w:rPr>
        <w:t>O Plano Nacional de Adaptação às Mudanças Climáticas (NAPA)</w:t>
      </w:r>
    </w:p>
    <w:p w:rsidR="00C821BE" w:rsidRPr="002362E3" w:rsidRDefault="00C821BE" w:rsidP="00C821BE">
      <w:pPr>
        <w:pStyle w:val="PargrafodaLista"/>
        <w:numPr>
          <w:ilvl w:val="1"/>
          <w:numId w:val="246"/>
        </w:numPr>
        <w:spacing w:after="0" w:line="240" w:lineRule="auto"/>
        <w:ind w:left="851" w:hanging="447"/>
        <w:contextualSpacing w:val="0"/>
        <w:rPr>
          <w:rFonts w:ascii="Times New Roman" w:hAnsi="Times New Roman"/>
          <w:bCs/>
          <w:lang w:val="pt-BR"/>
        </w:rPr>
      </w:pPr>
      <w:r w:rsidRPr="002362E3">
        <w:rPr>
          <w:rFonts w:ascii="Times New Roman" w:hAnsi="Times New Roman"/>
          <w:bCs/>
          <w:lang w:val="pt-BR"/>
        </w:rPr>
        <w:t>Documento de Estratégia Nacional para Redução da Pobreza (DENARP II)</w:t>
      </w:r>
    </w:p>
    <w:p w:rsidR="00C821BE" w:rsidRPr="002362E3" w:rsidRDefault="00C821BE" w:rsidP="00C821BE">
      <w:pPr>
        <w:pStyle w:val="PargrafodaLista"/>
        <w:numPr>
          <w:ilvl w:val="1"/>
          <w:numId w:val="246"/>
        </w:numPr>
        <w:spacing w:after="0" w:line="240" w:lineRule="auto"/>
        <w:ind w:left="851" w:hanging="447"/>
        <w:contextualSpacing w:val="0"/>
        <w:rPr>
          <w:rFonts w:ascii="Times New Roman" w:hAnsi="Times New Roman"/>
          <w:bCs/>
          <w:lang w:val="pt-BR"/>
        </w:rPr>
      </w:pPr>
      <w:r w:rsidRPr="002362E3">
        <w:rPr>
          <w:rFonts w:ascii="Times New Roman" w:hAnsi="Times New Roman"/>
          <w:bCs/>
          <w:lang w:val="pt-BR"/>
        </w:rPr>
        <w:t>O Plano Nacional de Desenvolvimento Sanitário (PNDS II)</w:t>
      </w:r>
    </w:p>
    <w:p w:rsidR="00C821BE" w:rsidRPr="002362E3" w:rsidRDefault="00C821BE" w:rsidP="00C821BE">
      <w:pPr>
        <w:spacing w:after="0" w:line="276" w:lineRule="auto"/>
        <w:ind w:left="720" w:right="-283"/>
        <w:jc w:val="both"/>
        <w:rPr>
          <w:rFonts w:ascii="Times New Roman" w:hAnsi="Times New Roman"/>
          <w:sz w:val="20"/>
          <w:szCs w:val="20"/>
          <w:lang w:val="pt-BR"/>
        </w:rPr>
      </w:pPr>
    </w:p>
    <w:p w:rsidR="00C821BE" w:rsidRPr="002362E3" w:rsidRDefault="00C821BE" w:rsidP="00C821BE">
      <w:pPr>
        <w:spacing w:after="120" w:line="240" w:lineRule="auto"/>
        <w:ind w:left="-284" w:right="-853"/>
        <w:jc w:val="both"/>
        <w:rPr>
          <w:rFonts w:ascii="Times New Roman" w:hAnsi="Times New Roman" w:cs="Times New Roman"/>
          <w:bCs/>
          <w:lang w:val="pt-BR"/>
        </w:rPr>
      </w:pPr>
      <w:r w:rsidRPr="002362E3">
        <w:rPr>
          <w:rFonts w:ascii="Times New Roman" w:hAnsi="Times New Roman" w:cs="Times New Roman"/>
          <w:bCs/>
          <w:lang w:val="pt-BR"/>
        </w:rPr>
        <w:t>Os textos, convenções nacionais e internacionais relevantes, bem como as políticas de salvaguarda do Banco Mundial foram questionados durante este estudo para determinar quais são aplicáveis ​​no âmbito deste subprojeto n ° 2.</w:t>
      </w:r>
    </w:p>
    <w:p w:rsidR="00C821BE" w:rsidRPr="002362E3" w:rsidRDefault="00C821BE" w:rsidP="00C821BE">
      <w:pPr>
        <w:spacing w:after="120" w:line="240" w:lineRule="auto"/>
        <w:ind w:left="-284" w:right="-853"/>
        <w:jc w:val="both"/>
        <w:rPr>
          <w:rFonts w:ascii="Times New Roman" w:hAnsi="Times New Roman" w:cs="Times New Roman"/>
          <w:bCs/>
          <w:lang w:val="pt-BR"/>
        </w:rPr>
      </w:pPr>
      <w:r w:rsidRPr="002362E3">
        <w:rPr>
          <w:rFonts w:ascii="Times New Roman" w:hAnsi="Times New Roman" w:cs="Times New Roman"/>
          <w:bCs/>
          <w:lang w:val="pt-BR"/>
        </w:rPr>
        <w:t>O enquadramento legal da Guiné-Bissau para o ambiente diz respeito à lei de base n.º 1/2011 sobre o ambiente e à lei n.º 10/2010 sobre avaliação ambiental. Especificamente para estudos de impacto ambiental, o decreto de aplicação está em fase de finalização. A Lei nº 2/98 de 28 de abril sobre terras também é um texto relevante no contexto da implantação do subprojeto nº 2 do PUASEE-FA.</w:t>
      </w:r>
    </w:p>
    <w:p w:rsidR="00C821BE" w:rsidRPr="002362E3" w:rsidRDefault="00C821BE" w:rsidP="00C821BE">
      <w:pPr>
        <w:spacing w:after="120" w:line="240" w:lineRule="auto"/>
        <w:ind w:left="-284" w:right="-853"/>
        <w:jc w:val="both"/>
        <w:rPr>
          <w:rFonts w:ascii="Times New Roman" w:hAnsi="Times New Roman" w:cs="Times New Roman"/>
          <w:bCs/>
          <w:lang w:val="pt-BR"/>
        </w:rPr>
      </w:pPr>
      <w:r w:rsidRPr="002362E3">
        <w:rPr>
          <w:rFonts w:ascii="Times New Roman" w:hAnsi="Times New Roman" w:cs="Times New Roman"/>
          <w:bCs/>
          <w:lang w:val="pt-BR"/>
        </w:rPr>
        <w:t>As normas e disposições regulamentares sobre a gestão de resíduos em geral e em particular os resíduos perigosos (óleos usados ​​e outros equipamentos defeituosos) das actividades de abastecimento de água não são regulamentadas na Guiné-Bissau. Vários outros dispositivos sobre a qualidade dos componentes ambientais não são regulamentados, para o monitoramento da qualidade da água potável, os padrões da OMS são os aplicados.</w:t>
      </w:r>
    </w:p>
    <w:p w:rsidR="00C821BE" w:rsidRPr="002362E3" w:rsidRDefault="00C821BE" w:rsidP="00C821BE">
      <w:pPr>
        <w:spacing w:after="120" w:line="240" w:lineRule="auto"/>
        <w:ind w:left="-284" w:right="-853"/>
        <w:jc w:val="both"/>
        <w:rPr>
          <w:rFonts w:ascii="Times New Roman" w:hAnsi="Times New Roman" w:cs="Times New Roman"/>
          <w:bCs/>
          <w:lang w:val="pt-BR"/>
        </w:rPr>
      </w:pPr>
      <w:r w:rsidRPr="002362E3">
        <w:rPr>
          <w:rFonts w:ascii="Times New Roman" w:hAnsi="Times New Roman" w:cs="Times New Roman"/>
          <w:bCs/>
          <w:lang w:val="pt-BR"/>
        </w:rPr>
        <w:t>A autoridade supervisora ​​na Guiné-Bissau para a produção, transporte e distribuição de eletricidade e água é a Companhia de Eletricidade de Água da Guiné-Bissau. Mas a EAGB trabalha em estreita colaboração com o Ministério da Energia e Indústria, depois com o Ministério dos Recursos Naturais, através respetivamente da Direção-Geral da Energia, para obter as várias autorizações para a instalação dos seus infraestrutura de produção, transporte e distribuição de eletricidade. Suas respectivas funções são descritas no corpo do documento.</w:t>
      </w:r>
    </w:p>
    <w:p w:rsidR="00C821BE" w:rsidRPr="002362E3" w:rsidRDefault="00C821BE" w:rsidP="00C821BE">
      <w:pPr>
        <w:pStyle w:val="PargrafodaLista"/>
        <w:numPr>
          <w:ilvl w:val="0"/>
          <w:numId w:val="245"/>
        </w:numPr>
        <w:tabs>
          <w:tab w:val="left" w:pos="1418"/>
          <w:tab w:val="left" w:pos="1843"/>
        </w:tabs>
        <w:spacing w:after="240" w:line="240" w:lineRule="auto"/>
        <w:ind w:right="-283"/>
        <w:contextualSpacing w:val="0"/>
        <w:rPr>
          <w:rFonts w:ascii="Times New Roman" w:hAnsi="Times New Roman"/>
          <w:b/>
          <w:bCs/>
          <w:i/>
          <w:sz w:val="22"/>
          <w:szCs w:val="22"/>
          <w:lang w:val="pt-BR"/>
        </w:rPr>
      </w:pPr>
      <w:r w:rsidRPr="002362E3">
        <w:rPr>
          <w:rFonts w:ascii="Times New Roman" w:hAnsi="Times New Roman"/>
          <w:b/>
          <w:bCs/>
          <w:i/>
          <w:sz w:val="22"/>
          <w:szCs w:val="22"/>
          <w:lang w:val="pt-BR"/>
        </w:rPr>
        <w:t xml:space="preserve">RAZÕES PARA ESCOLHAS E ANÁLISE DE ALTERNATIVAS </w:t>
      </w:r>
    </w:p>
    <w:p w:rsidR="00C821BE" w:rsidRPr="002362E3" w:rsidRDefault="00C821BE" w:rsidP="00C821BE">
      <w:pPr>
        <w:spacing w:after="120" w:line="240" w:lineRule="auto"/>
        <w:ind w:left="-284" w:right="-853"/>
        <w:jc w:val="both"/>
        <w:rPr>
          <w:rFonts w:ascii="Times New Roman" w:hAnsi="Times New Roman" w:cs="Times New Roman"/>
          <w:bCs/>
          <w:lang w:val="pt-BR"/>
        </w:rPr>
      </w:pPr>
      <w:r w:rsidRPr="002362E3">
        <w:rPr>
          <w:rFonts w:ascii="Times New Roman" w:hAnsi="Times New Roman" w:cs="Times New Roman"/>
          <w:bCs/>
          <w:lang w:val="pt-BR"/>
        </w:rPr>
        <w:t>O motivo da escolha do projeto PUASEE-FA, justamente o subprojeto nº 2, deve-se à lamentável situação das condições de vida da população, principalmente no que se refere ao abastecimento de água potável em alguns bairros.</w:t>
      </w:r>
    </w:p>
    <w:p w:rsidR="00C821BE" w:rsidRPr="002362E3" w:rsidRDefault="00C821BE" w:rsidP="00C821BE">
      <w:pPr>
        <w:spacing w:after="120" w:line="240" w:lineRule="auto"/>
        <w:ind w:left="-284" w:right="-853"/>
        <w:jc w:val="both"/>
        <w:rPr>
          <w:rFonts w:ascii="Times New Roman" w:hAnsi="Times New Roman" w:cs="Times New Roman"/>
          <w:bCs/>
          <w:lang w:val="pt-BR"/>
        </w:rPr>
      </w:pPr>
      <w:r w:rsidRPr="002362E3">
        <w:rPr>
          <w:rFonts w:ascii="Times New Roman" w:hAnsi="Times New Roman" w:cs="Times New Roman"/>
          <w:bCs/>
          <w:lang w:val="pt-BR"/>
        </w:rPr>
        <w:t>Assim, muitos esforços têm sido feitos pelo projeto PUASEE e outros projetos, que permitiram aumentar o volume funcional atual para 2.670 m3, graças à construção da albufeira da Guinée Telecom, do Hospital de Agosto e do reabilitação do reservatório existente do Quartel General e da Escola Técnica.</w:t>
      </w:r>
    </w:p>
    <w:p w:rsidR="00C821BE" w:rsidRPr="002362E3" w:rsidRDefault="00C821BE" w:rsidP="00C821BE">
      <w:pPr>
        <w:spacing w:after="120" w:line="240" w:lineRule="auto"/>
        <w:ind w:left="-284" w:right="-853"/>
        <w:jc w:val="both"/>
        <w:rPr>
          <w:rFonts w:ascii="Times New Roman" w:hAnsi="Times New Roman" w:cs="Times New Roman"/>
          <w:bCs/>
          <w:lang w:val="pt-BR"/>
        </w:rPr>
      </w:pPr>
      <w:r w:rsidRPr="002362E3">
        <w:rPr>
          <w:rFonts w:ascii="Times New Roman" w:hAnsi="Times New Roman" w:cs="Times New Roman"/>
          <w:bCs/>
          <w:lang w:val="pt-BR"/>
        </w:rPr>
        <w:t>Apesar destas conquistas e da reabilitação das albufeiras, o volume actual ainda é muito insuficiente para satisfazer a procura de água potável da população e de vários bairros da cidade de Bissau (Hafia, Antula, Bor, etc.) e Biombo (Safim, Cumura, Quelele, Prabis, etc.) não possuem rede AEP.</w:t>
      </w:r>
    </w:p>
    <w:p w:rsidR="00C821BE" w:rsidRPr="002362E3" w:rsidRDefault="00C821BE" w:rsidP="00C821BE">
      <w:pPr>
        <w:spacing w:after="120" w:line="240" w:lineRule="auto"/>
        <w:ind w:left="-284" w:right="-853"/>
        <w:jc w:val="both"/>
        <w:rPr>
          <w:rFonts w:ascii="Times New Roman" w:hAnsi="Times New Roman" w:cs="Times New Roman"/>
          <w:bCs/>
          <w:lang w:val="pt-BR"/>
        </w:rPr>
      </w:pPr>
      <w:r w:rsidRPr="002362E3">
        <w:rPr>
          <w:rFonts w:ascii="Times New Roman" w:hAnsi="Times New Roman" w:cs="Times New Roman"/>
          <w:bCs/>
          <w:lang w:val="pt-BR"/>
        </w:rPr>
        <w:t xml:space="preserve">Assim, para resolver as dificuldades apontadas na rede de distribuição de água potável da cidade de Bissau e Biombo, foi recomendado em estudos anteriores dividir a cidade em setores de distribuição. </w:t>
      </w:r>
    </w:p>
    <w:p w:rsidR="00C821BE" w:rsidRPr="002362E3" w:rsidRDefault="00C821BE" w:rsidP="00C821BE">
      <w:pPr>
        <w:spacing w:after="120" w:line="240" w:lineRule="auto"/>
        <w:ind w:left="-284" w:right="-853"/>
        <w:jc w:val="both"/>
        <w:rPr>
          <w:rFonts w:ascii="Times New Roman" w:hAnsi="Times New Roman" w:cs="Times New Roman"/>
          <w:bCs/>
          <w:lang w:val="pt-BR"/>
        </w:rPr>
      </w:pPr>
      <w:r w:rsidRPr="002362E3">
        <w:rPr>
          <w:rFonts w:ascii="Times New Roman" w:hAnsi="Times New Roman" w:cs="Times New Roman"/>
          <w:bCs/>
          <w:lang w:val="pt-BR"/>
        </w:rPr>
        <w:t>A análise consiste em identificar variantes ou alternativas relevantes e compará-las em termos de vantagens e desvantagens de acordo com o ambiente biofísico e socioeconômico. Mas também em relação às soluções propostas em termos de construções, equipamentos ou métodos de operação.</w:t>
      </w:r>
    </w:p>
    <w:p w:rsidR="00C821BE" w:rsidRPr="002362E3" w:rsidRDefault="00C821BE" w:rsidP="00C821BE">
      <w:pPr>
        <w:spacing w:after="120" w:line="240" w:lineRule="auto"/>
        <w:ind w:left="-284" w:right="-853"/>
        <w:jc w:val="both"/>
        <w:rPr>
          <w:rFonts w:ascii="Times New Roman" w:hAnsi="Times New Roman" w:cs="Times New Roman"/>
          <w:bCs/>
          <w:lang w:val="pt-BR"/>
        </w:rPr>
      </w:pPr>
      <w:r w:rsidRPr="002362E3">
        <w:rPr>
          <w:rFonts w:ascii="Times New Roman" w:hAnsi="Times New Roman" w:cs="Times New Roman"/>
          <w:bCs/>
          <w:lang w:val="pt-BR"/>
        </w:rPr>
        <w:t>Como parte deste projeto, três (03) variantes que parecem importantes foram analisadas. É essencialmente:</w:t>
      </w:r>
    </w:p>
    <w:p w:rsidR="00C821BE" w:rsidRPr="002362E3" w:rsidRDefault="00C821BE" w:rsidP="00C821BE">
      <w:pPr>
        <w:pStyle w:val="PargrafodaLista"/>
        <w:numPr>
          <w:ilvl w:val="0"/>
          <w:numId w:val="48"/>
        </w:numPr>
        <w:overflowPunct w:val="0"/>
        <w:autoSpaceDE w:val="0"/>
        <w:autoSpaceDN w:val="0"/>
        <w:adjustRightInd w:val="0"/>
        <w:spacing w:after="240"/>
        <w:ind w:right="284"/>
        <w:jc w:val="both"/>
        <w:textAlignment w:val="baseline"/>
        <w:rPr>
          <w:rFonts w:ascii="Times New Roman" w:hAnsi="Times New Roman"/>
          <w:lang w:val="pt-BR"/>
        </w:rPr>
      </w:pPr>
      <w:r w:rsidRPr="002362E3">
        <w:rPr>
          <w:rFonts w:ascii="Times New Roman" w:hAnsi="Times New Roman"/>
          <w:b/>
          <w:lang w:val="pt-BR"/>
        </w:rPr>
        <w:lastRenderedPageBreak/>
        <w:t>Variante 1:</w:t>
      </w:r>
      <w:r w:rsidRPr="002362E3">
        <w:rPr>
          <w:rFonts w:ascii="Times New Roman" w:hAnsi="Times New Roman"/>
          <w:lang w:val="pt-BR"/>
        </w:rPr>
        <w:t xml:space="preserve"> "Projeto" </w:t>
      </w:r>
    </w:p>
    <w:p w:rsidR="00C821BE" w:rsidRPr="002362E3" w:rsidRDefault="00C821BE" w:rsidP="00C821BE">
      <w:pPr>
        <w:pStyle w:val="PargrafodaLista"/>
        <w:numPr>
          <w:ilvl w:val="0"/>
          <w:numId w:val="70"/>
        </w:numPr>
        <w:overflowPunct w:val="0"/>
        <w:autoSpaceDE w:val="0"/>
        <w:autoSpaceDN w:val="0"/>
        <w:adjustRightInd w:val="0"/>
        <w:spacing w:after="240"/>
        <w:ind w:right="284"/>
        <w:jc w:val="both"/>
        <w:textAlignment w:val="baseline"/>
        <w:rPr>
          <w:rFonts w:ascii="Times New Roman" w:hAnsi="Times New Roman"/>
          <w:lang w:val="pt-BR"/>
        </w:rPr>
      </w:pPr>
      <w:r w:rsidRPr="002362E3">
        <w:rPr>
          <w:rFonts w:ascii="Times New Roman" w:hAnsi="Times New Roman"/>
          <w:b/>
          <w:lang w:val="pt-BR"/>
        </w:rPr>
        <w:t>Alternativa 1:</w:t>
      </w:r>
      <w:r w:rsidRPr="002362E3">
        <w:rPr>
          <w:rFonts w:ascii="Times New Roman" w:hAnsi="Times New Roman"/>
          <w:lang w:val="pt-BR"/>
        </w:rPr>
        <w:t xml:space="preserve"> "Sem projeto" ou;</w:t>
      </w:r>
    </w:p>
    <w:p w:rsidR="00C821BE" w:rsidRPr="002362E3" w:rsidRDefault="00C821BE" w:rsidP="00C821BE">
      <w:pPr>
        <w:pStyle w:val="PargrafodaLista"/>
        <w:numPr>
          <w:ilvl w:val="0"/>
          <w:numId w:val="70"/>
        </w:numPr>
        <w:overflowPunct w:val="0"/>
        <w:autoSpaceDE w:val="0"/>
        <w:autoSpaceDN w:val="0"/>
        <w:adjustRightInd w:val="0"/>
        <w:spacing w:after="240"/>
        <w:ind w:right="284"/>
        <w:jc w:val="both"/>
        <w:textAlignment w:val="baseline"/>
        <w:rPr>
          <w:rFonts w:ascii="Times New Roman" w:hAnsi="Times New Roman"/>
          <w:lang w:val="pt-BR"/>
        </w:rPr>
      </w:pPr>
      <w:r w:rsidRPr="002362E3">
        <w:rPr>
          <w:rFonts w:ascii="Times New Roman" w:hAnsi="Times New Roman"/>
          <w:b/>
          <w:lang w:val="pt-BR"/>
        </w:rPr>
        <w:t>Alternativa 2:</w:t>
      </w:r>
      <w:r w:rsidRPr="002362E3">
        <w:rPr>
          <w:rFonts w:ascii="Times New Roman" w:hAnsi="Times New Roman"/>
          <w:lang w:val="pt-BR"/>
        </w:rPr>
        <w:t xml:space="preserve"> “Com projeto atrasado” ou;</w:t>
      </w:r>
    </w:p>
    <w:p w:rsidR="00C821BE" w:rsidRPr="002362E3" w:rsidRDefault="00C821BE" w:rsidP="00C821BE">
      <w:pPr>
        <w:pStyle w:val="PargrafodaLista"/>
        <w:numPr>
          <w:ilvl w:val="0"/>
          <w:numId w:val="70"/>
        </w:numPr>
        <w:overflowPunct w:val="0"/>
        <w:autoSpaceDE w:val="0"/>
        <w:autoSpaceDN w:val="0"/>
        <w:adjustRightInd w:val="0"/>
        <w:spacing w:after="240"/>
        <w:ind w:right="284"/>
        <w:jc w:val="both"/>
        <w:textAlignment w:val="baseline"/>
        <w:rPr>
          <w:rFonts w:ascii="Times New Roman" w:hAnsi="Times New Roman"/>
          <w:lang w:val="pt-BR"/>
        </w:rPr>
      </w:pPr>
      <w:r w:rsidRPr="002362E3">
        <w:rPr>
          <w:rFonts w:ascii="Times New Roman" w:hAnsi="Times New Roman"/>
          <w:b/>
          <w:lang w:val="pt-BR"/>
        </w:rPr>
        <w:t>Alternativa 3:</w:t>
      </w:r>
      <w:r w:rsidRPr="002362E3">
        <w:rPr>
          <w:rFonts w:ascii="Times New Roman" w:hAnsi="Times New Roman"/>
          <w:lang w:val="pt-BR"/>
        </w:rPr>
        <w:t xml:space="preserve"> "Com projeto"</w:t>
      </w:r>
    </w:p>
    <w:p w:rsidR="00C821BE" w:rsidRPr="002362E3" w:rsidRDefault="00C821BE" w:rsidP="00C821BE">
      <w:pPr>
        <w:pStyle w:val="PargrafodaLista"/>
        <w:numPr>
          <w:ilvl w:val="0"/>
          <w:numId w:val="48"/>
        </w:numPr>
        <w:overflowPunct w:val="0"/>
        <w:autoSpaceDE w:val="0"/>
        <w:autoSpaceDN w:val="0"/>
        <w:adjustRightInd w:val="0"/>
        <w:spacing w:after="240"/>
        <w:ind w:right="284"/>
        <w:jc w:val="both"/>
        <w:textAlignment w:val="baseline"/>
        <w:rPr>
          <w:rFonts w:ascii="Times New Roman" w:hAnsi="Times New Roman"/>
          <w:b/>
          <w:lang w:val="pt-BR"/>
        </w:rPr>
      </w:pPr>
      <w:r w:rsidRPr="002362E3">
        <w:rPr>
          <w:rFonts w:ascii="Times New Roman" w:hAnsi="Times New Roman"/>
          <w:b/>
          <w:lang w:val="pt-BR"/>
        </w:rPr>
        <w:t>Variante 2: "Escolha do tanque"</w:t>
      </w:r>
    </w:p>
    <w:p w:rsidR="00C821BE" w:rsidRPr="002362E3" w:rsidRDefault="00C821BE" w:rsidP="00C821BE">
      <w:pPr>
        <w:pStyle w:val="PargrafodaLista"/>
        <w:numPr>
          <w:ilvl w:val="0"/>
          <w:numId w:val="70"/>
        </w:numPr>
        <w:overflowPunct w:val="0"/>
        <w:autoSpaceDE w:val="0"/>
        <w:autoSpaceDN w:val="0"/>
        <w:adjustRightInd w:val="0"/>
        <w:spacing w:after="240"/>
        <w:ind w:right="284"/>
        <w:jc w:val="both"/>
        <w:textAlignment w:val="baseline"/>
        <w:rPr>
          <w:rFonts w:ascii="Times New Roman" w:hAnsi="Times New Roman"/>
          <w:b/>
          <w:lang w:val="pt-BR"/>
        </w:rPr>
      </w:pPr>
      <w:r w:rsidRPr="002362E3">
        <w:rPr>
          <w:rFonts w:ascii="Times New Roman" w:hAnsi="Times New Roman"/>
          <w:b/>
          <w:lang w:val="pt-BR"/>
        </w:rPr>
        <w:t>Opção 1: "Castelos de concreto armado"</w:t>
      </w:r>
    </w:p>
    <w:p w:rsidR="00C821BE" w:rsidRPr="002362E3" w:rsidRDefault="00C821BE" w:rsidP="00C821BE">
      <w:pPr>
        <w:pStyle w:val="PargrafodaLista"/>
        <w:numPr>
          <w:ilvl w:val="0"/>
          <w:numId w:val="70"/>
        </w:numPr>
        <w:overflowPunct w:val="0"/>
        <w:autoSpaceDE w:val="0"/>
        <w:autoSpaceDN w:val="0"/>
        <w:adjustRightInd w:val="0"/>
        <w:spacing w:after="240"/>
        <w:ind w:right="284"/>
        <w:jc w:val="both"/>
        <w:textAlignment w:val="baseline"/>
        <w:rPr>
          <w:rFonts w:ascii="Times New Roman" w:hAnsi="Times New Roman"/>
          <w:b/>
          <w:lang w:val="pt-BR"/>
        </w:rPr>
      </w:pPr>
      <w:r w:rsidRPr="002362E3">
        <w:rPr>
          <w:rFonts w:ascii="Times New Roman" w:hAnsi="Times New Roman"/>
          <w:b/>
          <w:lang w:val="pt-BR"/>
        </w:rPr>
        <w:t>Opção 2: "Castelos de resina de poliéster"</w:t>
      </w:r>
    </w:p>
    <w:p w:rsidR="00C821BE" w:rsidRPr="002362E3" w:rsidRDefault="00C821BE" w:rsidP="00C821BE">
      <w:pPr>
        <w:pStyle w:val="PargrafodaLista"/>
        <w:numPr>
          <w:ilvl w:val="0"/>
          <w:numId w:val="70"/>
        </w:numPr>
        <w:overflowPunct w:val="0"/>
        <w:autoSpaceDE w:val="0"/>
        <w:autoSpaceDN w:val="0"/>
        <w:adjustRightInd w:val="0"/>
        <w:spacing w:after="240"/>
        <w:ind w:right="284"/>
        <w:jc w:val="both"/>
        <w:textAlignment w:val="baseline"/>
        <w:rPr>
          <w:rFonts w:ascii="Times New Roman" w:hAnsi="Times New Roman"/>
          <w:b/>
          <w:lang w:val="pt-BR"/>
        </w:rPr>
      </w:pPr>
      <w:r w:rsidRPr="002362E3">
        <w:rPr>
          <w:rFonts w:ascii="Times New Roman" w:hAnsi="Times New Roman"/>
          <w:b/>
          <w:lang w:val="pt-BR"/>
        </w:rPr>
        <w:t>Opção 3: "Castelos de metal"</w:t>
      </w:r>
    </w:p>
    <w:p w:rsidR="00C821BE" w:rsidRPr="002362E3" w:rsidRDefault="00C821BE" w:rsidP="00C821BE">
      <w:pPr>
        <w:pStyle w:val="PargrafodaLista"/>
        <w:numPr>
          <w:ilvl w:val="0"/>
          <w:numId w:val="48"/>
        </w:numPr>
        <w:overflowPunct w:val="0"/>
        <w:autoSpaceDE w:val="0"/>
        <w:autoSpaceDN w:val="0"/>
        <w:adjustRightInd w:val="0"/>
        <w:spacing w:after="240"/>
        <w:ind w:right="284"/>
        <w:jc w:val="both"/>
        <w:textAlignment w:val="baseline"/>
        <w:rPr>
          <w:rFonts w:ascii="Times New Roman" w:hAnsi="Times New Roman"/>
          <w:lang w:val="pt-BR"/>
        </w:rPr>
      </w:pPr>
      <w:r w:rsidRPr="002362E3">
        <w:rPr>
          <w:rFonts w:ascii="Times New Roman" w:hAnsi="Times New Roman"/>
          <w:b/>
          <w:lang w:val="pt-BR"/>
        </w:rPr>
        <w:t>Variante 3:</w:t>
      </w:r>
      <w:r w:rsidRPr="002362E3">
        <w:rPr>
          <w:rFonts w:ascii="Times New Roman" w:hAnsi="Times New Roman"/>
          <w:lang w:val="pt-BR"/>
        </w:rPr>
        <w:t xml:space="preserve"> "Métodos de fazer reservatórios" </w:t>
      </w:r>
    </w:p>
    <w:p w:rsidR="00C821BE" w:rsidRPr="002362E3" w:rsidRDefault="00C821BE" w:rsidP="00C821BE">
      <w:pPr>
        <w:pStyle w:val="PargrafodaLista"/>
        <w:numPr>
          <w:ilvl w:val="0"/>
          <w:numId w:val="70"/>
        </w:numPr>
        <w:overflowPunct w:val="0"/>
        <w:autoSpaceDE w:val="0"/>
        <w:autoSpaceDN w:val="0"/>
        <w:adjustRightInd w:val="0"/>
        <w:spacing w:after="240"/>
        <w:ind w:right="284"/>
        <w:jc w:val="both"/>
        <w:textAlignment w:val="baseline"/>
        <w:rPr>
          <w:rFonts w:ascii="Times New Roman" w:hAnsi="Times New Roman"/>
          <w:b/>
          <w:i/>
          <w:lang w:val="pt-BR"/>
        </w:rPr>
      </w:pPr>
      <w:r w:rsidRPr="002362E3">
        <w:rPr>
          <w:rFonts w:ascii="Times New Roman" w:hAnsi="Times New Roman"/>
          <w:b/>
          <w:i/>
          <w:lang w:val="pt-BR"/>
        </w:rPr>
        <w:t>Opção 1: método manual (HIMO);</w:t>
      </w:r>
    </w:p>
    <w:p w:rsidR="00C821BE" w:rsidRPr="002362E3" w:rsidRDefault="00C821BE" w:rsidP="00C821BE">
      <w:pPr>
        <w:pStyle w:val="PargrafodaLista"/>
        <w:numPr>
          <w:ilvl w:val="0"/>
          <w:numId w:val="70"/>
        </w:numPr>
        <w:overflowPunct w:val="0"/>
        <w:autoSpaceDE w:val="0"/>
        <w:autoSpaceDN w:val="0"/>
        <w:adjustRightInd w:val="0"/>
        <w:spacing w:after="240"/>
        <w:ind w:right="284"/>
        <w:jc w:val="both"/>
        <w:textAlignment w:val="baseline"/>
        <w:rPr>
          <w:rFonts w:ascii="Times New Roman" w:hAnsi="Times New Roman"/>
          <w:b/>
          <w:i/>
          <w:lang w:val="pt-BR"/>
        </w:rPr>
      </w:pPr>
      <w:r w:rsidRPr="002362E3">
        <w:rPr>
          <w:rFonts w:ascii="Times New Roman" w:hAnsi="Times New Roman"/>
          <w:b/>
          <w:i/>
          <w:lang w:val="pt-BR"/>
        </w:rPr>
        <w:t>Opção 2: método mecanizado (HIEQ);</w:t>
      </w:r>
    </w:p>
    <w:p w:rsidR="00C821BE" w:rsidRPr="002362E3" w:rsidRDefault="00C821BE" w:rsidP="00C821BE">
      <w:pPr>
        <w:pStyle w:val="PargrafodaLista"/>
        <w:numPr>
          <w:ilvl w:val="0"/>
          <w:numId w:val="70"/>
        </w:numPr>
        <w:overflowPunct w:val="0"/>
        <w:autoSpaceDE w:val="0"/>
        <w:autoSpaceDN w:val="0"/>
        <w:adjustRightInd w:val="0"/>
        <w:spacing w:after="240"/>
        <w:ind w:right="284"/>
        <w:jc w:val="both"/>
        <w:textAlignment w:val="baseline"/>
        <w:rPr>
          <w:rFonts w:ascii="Times New Roman" w:hAnsi="Times New Roman"/>
          <w:b/>
          <w:i/>
          <w:lang w:val="pt-BR"/>
        </w:rPr>
      </w:pPr>
      <w:r w:rsidRPr="002362E3">
        <w:rPr>
          <w:rFonts w:ascii="Times New Roman" w:hAnsi="Times New Roman"/>
          <w:b/>
          <w:i/>
          <w:lang w:val="pt-BR"/>
        </w:rPr>
        <w:t>Opção 3: Opção de combinação a e b (HIMO + HIEQ)</w:t>
      </w:r>
    </w:p>
    <w:p w:rsidR="00C821BE" w:rsidRPr="002362E3" w:rsidRDefault="00C821BE" w:rsidP="00C821BE">
      <w:pPr>
        <w:spacing w:after="120" w:line="240" w:lineRule="auto"/>
        <w:ind w:left="-284" w:right="-853"/>
        <w:jc w:val="both"/>
        <w:rPr>
          <w:rFonts w:ascii="Times New Roman" w:hAnsi="Times New Roman" w:cs="Times New Roman"/>
          <w:bCs/>
          <w:lang w:val="pt-BR"/>
        </w:rPr>
      </w:pPr>
      <w:r w:rsidRPr="002362E3">
        <w:rPr>
          <w:rFonts w:ascii="Times New Roman" w:hAnsi="Times New Roman" w:cs="Times New Roman"/>
          <w:bCs/>
          <w:lang w:val="pt-BR"/>
        </w:rPr>
        <w:t>Para a variante 1: “Projeto” para o qual três alternativas foram comparadas, as vantagens induzidas pela alternativa 3 “Com projeto” são realmente muito mais benéficas do que as outras duas. Pois, estaria em linha com a política setorial do setor de hidráulica e possibilitaria o cumprimento dos Objetivos de Desenvolvimento do Milênio (ODM) no setor de água potável.</w:t>
      </w:r>
    </w:p>
    <w:p w:rsidR="00C821BE" w:rsidRPr="002362E3" w:rsidRDefault="00C821BE" w:rsidP="00C821BE">
      <w:pPr>
        <w:spacing w:after="120" w:line="240" w:lineRule="auto"/>
        <w:ind w:left="-284" w:right="-853"/>
        <w:jc w:val="both"/>
        <w:rPr>
          <w:rFonts w:ascii="Times New Roman" w:hAnsi="Times New Roman" w:cs="Times New Roman"/>
          <w:bCs/>
          <w:lang w:val="pt-BR"/>
        </w:rPr>
      </w:pPr>
      <w:r w:rsidRPr="002362E3">
        <w:rPr>
          <w:rFonts w:ascii="Times New Roman" w:hAnsi="Times New Roman" w:cs="Times New Roman"/>
          <w:bCs/>
          <w:lang w:val="pt-BR"/>
        </w:rPr>
        <w:t>Isso permitirá que a EAGB tenha maior capacidade de reservar água de qualidade para reduzir significativamente o atual déficit de abastecimento. Mas também, para expandir essas zonas de intervenções de distribuição de água nos bairros atualmente atendidos como Hafia, Antula, Bor, Prabis, Safim, etc ... Isso também irá reduzir o risco de doenças de veiculação hídrica (doenças gastrointestinais). - doenças intestinais, doenças parasitárias, febre tifóide, etc.)</w:t>
      </w:r>
    </w:p>
    <w:p w:rsidR="00C821BE" w:rsidRPr="002362E3" w:rsidRDefault="00C821BE" w:rsidP="00C821BE">
      <w:pPr>
        <w:spacing w:after="120" w:line="240" w:lineRule="auto"/>
        <w:ind w:left="-284" w:right="-853"/>
        <w:jc w:val="both"/>
        <w:rPr>
          <w:rFonts w:ascii="Times New Roman" w:hAnsi="Times New Roman" w:cs="Times New Roman"/>
          <w:bCs/>
          <w:lang w:val="pt-BR"/>
        </w:rPr>
      </w:pPr>
      <w:r w:rsidRPr="002362E3">
        <w:rPr>
          <w:rFonts w:ascii="Times New Roman" w:hAnsi="Times New Roman" w:cs="Times New Roman"/>
          <w:bCs/>
          <w:lang w:val="pt-BR"/>
        </w:rPr>
        <w:t>Para a variante 3 "", a opção b "o método mecânico (HIEQ)" é uma opção a ser preferida em função do escopo de trabalho em altura, com cargas pesadas a serem movimentadas em relação à topologia do terreno, e em relação à duração do subprojeto. Embora seja mais caro no investimento para a realização dos tanques.</w:t>
      </w:r>
    </w:p>
    <w:p w:rsidR="00C821BE" w:rsidRPr="002362E3" w:rsidRDefault="00C821BE" w:rsidP="00C821BE">
      <w:pPr>
        <w:spacing w:after="120" w:line="240" w:lineRule="auto"/>
        <w:ind w:left="-284" w:right="-853"/>
        <w:jc w:val="both"/>
        <w:rPr>
          <w:rFonts w:ascii="Times New Roman" w:hAnsi="Times New Roman"/>
          <w:color w:val="000000"/>
          <w:sz w:val="24"/>
          <w:szCs w:val="24"/>
          <w:lang w:val="pt-BR"/>
        </w:rPr>
      </w:pPr>
      <w:r w:rsidRPr="002362E3">
        <w:rPr>
          <w:rFonts w:ascii="Times New Roman" w:hAnsi="Times New Roman" w:cs="Times New Roman"/>
          <w:bCs/>
          <w:lang w:val="pt-BR"/>
        </w:rPr>
        <w:t>Assim, para a realização dos reservatórios, uma solução mista (Opção aeb) foi mantida e recomendada. Pois com a opção “o método manual (HIMO)” será capaz de gerar empregos locais e permitir que a população se aproprie</w:t>
      </w:r>
      <w:r w:rsidRPr="002362E3">
        <w:rPr>
          <w:rFonts w:ascii="Times New Roman" w:hAnsi="Times New Roman"/>
          <w:color w:val="000000"/>
          <w:sz w:val="24"/>
          <w:szCs w:val="24"/>
          <w:lang w:val="pt-BR"/>
        </w:rPr>
        <w:t>o subprojeto. Mesmo assim, nesta solução mista, a opção b será muito mais enfatizada devido à dificuldade do trabalho.</w:t>
      </w:r>
    </w:p>
    <w:p w:rsidR="00C821BE" w:rsidRPr="002362E3" w:rsidRDefault="00C821BE" w:rsidP="00C821BE">
      <w:pPr>
        <w:pStyle w:val="PargrafodaLista"/>
        <w:numPr>
          <w:ilvl w:val="0"/>
          <w:numId w:val="245"/>
        </w:numPr>
        <w:tabs>
          <w:tab w:val="left" w:pos="1418"/>
          <w:tab w:val="left" w:pos="1843"/>
        </w:tabs>
        <w:spacing w:after="240" w:line="240" w:lineRule="auto"/>
        <w:ind w:right="-283"/>
        <w:contextualSpacing w:val="0"/>
        <w:rPr>
          <w:rFonts w:ascii="Times New Roman" w:hAnsi="Times New Roman"/>
          <w:b/>
          <w:bCs/>
          <w:i/>
          <w:sz w:val="22"/>
          <w:szCs w:val="22"/>
          <w:lang w:val="pt-BR"/>
        </w:rPr>
      </w:pPr>
      <w:r w:rsidRPr="002362E3">
        <w:rPr>
          <w:rFonts w:ascii="Times New Roman" w:hAnsi="Times New Roman"/>
          <w:b/>
          <w:bCs/>
          <w:i/>
          <w:sz w:val="22"/>
          <w:szCs w:val="22"/>
          <w:lang w:val="pt-BR"/>
        </w:rPr>
        <w:t>IDENTIFICAÇÃO E AVALIAÇÃO DE POTENCIAIS IMPACTOS</w:t>
      </w:r>
    </w:p>
    <w:p w:rsidR="00C821BE" w:rsidRPr="002362E3" w:rsidRDefault="00C821BE" w:rsidP="00C821BE">
      <w:pPr>
        <w:spacing w:after="0" w:line="240" w:lineRule="auto"/>
        <w:ind w:left="-284" w:right="-283"/>
        <w:jc w:val="both"/>
        <w:rPr>
          <w:rFonts w:ascii="Times New Roman" w:hAnsi="Times New Roman"/>
          <w:sz w:val="20"/>
          <w:szCs w:val="20"/>
          <w:lang w:val="pt-BR"/>
        </w:rPr>
      </w:pPr>
      <w:r w:rsidRPr="002362E3">
        <w:rPr>
          <w:rFonts w:ascii="Times New Roman" w:hAnsi="Times New Roman"/>
          <w:sz w:val="20"/>
          <w:szCs w:val="20"/>
          <w:lang w:val="pt-BR"/>
        </w:rPr>
        <w:t>Assim, os principais impactos positivos e negativos identificados:</w:t>
      </w:r>
    </w:p>
    <w:p w:rsidR="00C821BE" w:rsidRPr="002362E3" w:rsidRDefault="00C821BE" w:rsidP="00C821BE">
      <w:pPr>
        <w:spacing w:after="0" w:line="240" w:lineRule="auto"/>
        <w:ind w:left="-284" w:right="-283"/>
        <w:jc w:val="both"/>
        <w:rPr>
          <w:rFonts w:ascii="Times New Roman" w:hAnsi="Times New Roman"/>
          <w:sz w:val="20"/>
          <w:szCs w:val="20"/>
          <w:lang w:val="pt-BR"/>
        </w:rPr>
      </w:pPr>
    </w:p>
    <w:p w:rsidR="00C821BE" w:rsidRPr="002362E3" w:rsidRDefault="00C821BE" w:rsidP="00C821BE">
      <w:pPr>
        <w:spacing w:after="0" w:line="240" w:lineRule="auto"/>
        <w:ind w:left="-284" w:right="-283"/>
        <w:jc w:val="both"/>
        <w:rPr>
          <w:rFonts w:ascii="Times New Roman" w:hAnsi="Times New Roman"/>
          <w:sz w:val="20"/>
          <w:szCs w:val="20"/>
          <w:lang w:val="pt-BR"/>
        </w:rPr>
      </w:pPr>
    </w:p>
    <w:tbl>
      <w:tblPr>
        <w:tblW w:w="113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850"/>
        <w:gridCol w:w="233"/>
        <w:gridCol w:w="734"/>
        <w:gridCol w:w="685"/>
        <w:gridCol w:w="2884"/>
        <w:gridCol w:w="851"/>
        <w:gridCol w:w="283"/>
        <w:gridCol w:w="992"/>
        <w:gridCol w:w="284"/>
        <w:gridCol w:w="850"/>
        <w:gridCol w:w="284"/>
        <w:gridCol w:w="850"/>
        <w:gridCol w:w="567"/>
      </w:tblGrid>
      <w:tr w:rsidR="00C821BE" w:rsidRPr="002362E3" w:rsidTr="00C821BE">
        <w:trPr>
          <w:jc w:val="center"/>
        </w:trPr>
        <w:tc>
          <w:tcPr>
            <w:tcW w:w="988" w:type="dxa"/>
            <w:shd w:val="clear" w:color="auto" w:fill="F2F2F2" w:themeFill="background1" w:themeFillShade="F2"/>
            <w:vAlign w:val="center"/>
          </w:tcPr>
          <w:p w:rsidR="00C821BE" w:rsidRPr="002362E3" w:rsidRDefault="00C821BE" w:rsidP="00C821BE">
            <w:pPr>
              <w:spacing w:after="0" w:line="240" w:lineRule="auto"/>
              <w:jc w:val="center"/>
              <w:rPr>
                <w:rFonts w:ascii="Times New Roman" w:hAnsi="Times New Roman"/>
                <w:b/>
                <w:sz w:val="16"/>
                <w:szCs w:val="16"/>
                <w:lang w:val="pt-BR"/>
              </w:rPr>
            </w:pPr>
            <w:r w:rsidRPr="002362E3">
              <w:rPr>
                <w:rFonts w:ascii="Times New Roman" w:hAnsi="Times New Roman"/>
                <w:b/>
                <w:sz w:val="16"/>
                <w:szCs w:val="16"/>
                <w:lang w:val="pt-BR"/>
              </w:rPr>
              <w:t>FASES</w:t>
            </w:r>
          </w:p>
        </w:tc>
        <w:tc>
          <w:tcPr>
            <w:tcW w:w="850" w:type="dxa"/>
            <w:shd w:val="clear" w:color="auto" w:fill="F2F2F2" w:themeFill="background1" w:themeFillShade="F2"/>
            <w:vAlign w:val="center"/>
          </w:tcPr>
          <w:p w:rsidR="00C821BE" w:rsidRPr="002362E3" w:rsidRDefault="00C821BE" w:rsidP="00C821BE">
            <w:pPr>
              <w:spacing w:after="0" w:line="240" w:lineRule="auto"/>
              <w:jc w:val="center"/>
              <w:rPr>
                <w:rFonts w:ascii="Times New Roman" w:hAnsi="Times New Roman"/>
                <w:b/>
                <w:sz w:val="16"/>
                <w:szCs w:val="16"/>
                <w:lang w:val="pt-BR"/>
              </w:rPr>
            </w:pPr>
            <w:r w:rsidRPr="002362E3">
              <w:rPr>
                <w:rFonts w:ascii="Times New Roman" w:hAnsi="Times New Roman"/>
                <w:b/>
                <w:sz w:val="16"/>
                <w:szCs w:val="16"/>
                <w:lang w:val="pt-BR"/>
              </w:rPr>
              <w:t>MEIO</w:t>
            </w:r>
          </w:p>
        </w:tc>
        <w:tc>
          <w:tcPr>
            <w:tcW w:w="4536" w:type="dxa"/>
            <w:gridSpan w:val="4"/>
            <w:shd w:val="clear" w:color="auto" w:fill="F2F2F2" w:themeFill="background1" w:themeFillShade="F2"/>
            <w:vAlign w:val="center"/>
          </w:tcPr>
          <w:p w:rsidR="00C821BE" w:rsidRPr="002362E3" w:rsidRDefault="00C821BE" w:rsidP="00C821BE">
            <w:pPr>
              <w:spacing w:after="0" w:line="240" w:lineRule="auto"/>
              <w:jc w:val="center"/>
              <w:rPr>
                <w:rFonts w:ascii="Times New Roman" w:hAnsi="Times New Roman"/>
                <w:b/>
                <w:sz w:val="16"/>
                <w:szCs w:val="16"/>
                <w:lang w:val="pt-BR"/>
              </w:rPr>
            </w:pPr>
            <w:r w:rsidRPr="002362E3">
              <w:rPr>
                <w:rFonts w:ascii="Times New Roman" w:hAnsi="Times New Roman"/>
                <w:b/>
                <w:sz w:val="16"/>
                <w:szCs w:val="16"/>
                <w:lang w:val="pt-BR"/>
              </w:rPr>
              <w:t>POTENCIAIS IMPACTOS POSITIVOS</w:t>
            </w:r>
          </w:p>
        </w:tc>
        <w:tc>
          <w:tcPr>
            <w:tcW w:w="1134" w:type="dxa"/>
            <w:gridSpan w:val="2"/>
            <w:shd w:val="clear" w:color="auto" w:fill="002060"/>
            <w:vAlign w:val="center"/>
          </w:tcPr>
          <w:p w:rsidR="00C821BE" w:rsidRPr="002362E3" w:rsidRDefault="00C821BE" w:rsidP="00C821BE">
            <w:pPr>
              <w:spacing w:after="0" w:line="240" w:lineRule="auto"/>
              <w:jc w:val="both"/>
              <w:rPr>
                <w:rFonts w:ascii="Times New Roman" w:hAnsi="Times New Roman"/>
                <w:b/>
                <w:sz w:val="16"/>
                <w:szCs w:val="16"/>
                <w:lang w:val="pt-BR"/>
              </w:rPr>
            </w:pPr>
            <w:r w:rsidRPr="002362E3">
              <w:rPr>
                <w:rFonts w:ascii="Times New Roman" w:hAnsi="Times New Roman"/>
                <w:b/>
                <w:sz w:val="16"/>
                <w:szCs w:val="16"/>
                <w:lang w:val="pt-BR"/>
              </w:rPr>
              <w:t>Intensidade</w:t>
            </w:r>
          </w:p>
        </w:tc>
        <w:tc>
          <w:tcPr>
            <w:tcW w:w="1276" w:type="dxa"/>
            <w:gridSpan w:val="2"/>
            <w:shd w:val="clear" w:color="auto" w:fill="002060"/>
            <w:vAlign w:val="center"/>
          </w:tcPr>
          <w:p w:rsidR="00C821BE" w:rsidRPr="002362E3" w:rsidRDefault="00C821BE" w:rsidP="00C821BE">
            <w:pPr>
              <w:spacing w:after="0" w:line="240" w:lineRule="auto"/>
              <w:jc w:val="both"/>
              <w:rPr>
                <w:rFonts w:ascii="Times New Roman" w:hAnsi="Times New Roman"/>
                <w:b/>
                <w:sz w:val="16"/>
                <w:szCs w:val="16"/>
                <w:lang w:val="pt-BR"/>
              </w:rPr>
            </w:pPr>
            <w:r w:rsidRPr="002362E3">
              <w:rPr>
                <w:rFonts w:ascii="Times New Roman" w:hAnsi="Times New Roman"/>
                <w:b/>
                <w:sz w:val="16"/>
                <w:szCs w:val="16"/>
                <w:lang w:val="pt-BR"/>
              </w:rPr>
              <w:t>Extensão</w:t>
            </w:r>
          </w:p>
        </w:tc>
        <w:tc>
          <w:tcPr>
            <w:tcW w:w="1134" w:type="dxa"/>
            <w:gridSpan w:val="2"/>
            <w:shd w:val="clear" w:color="auto" w:fill="002060"/>
            <w:vAlign w:val="center"/>
          </w:tcPr>
          <w:p w:rsidR="00C821BE" w:rsidRPr="002362E3" w:rsidRDefault="00C821BE" w:rsidP="00C821BE">
            <w:pPr>
              <w:spacing w:after="0" w:line="240" w:lineRule="auto"/>
              <w:jc w:val="both"/>
              <w:rPr>
                <w:rFonts w:ascii="Times New Roman" w:hAnsi="Times New Roman"/>
                <w:b/>
                <w:sz w:val="16"/>
                <w:szCs w:val="16"/>
                <w:lang w:val="pt-BR"/>
              </w:rPr>
            </w:pPr>
            <w:r w:rsidRPr="002362E3">
              <w:rPr>
                <w:rFonts w:ascii="Times New Roman" w:hAnsi="Times New Roman"/>
                <w:b/>
                <w:sz w:val="16"/>
                <w:szCs w:val="16"/>
                <w:lang w:val="pt-BR"/>
              </w:rPr>
              <w:t>Duração</w:t>
            </w:r>
          </w:p>
        </w:tc>
        <w:tc>
          <w:tcPr>
            <w:tcW w:w="1417" w:type="dxa"/>
            <w:gridSpan w:val="2"/>
            <w:shd w:val="clear" w:color="auto" w:fill="002060"/>
            <w:vAlign w:val="center"/>
          </w:tcPr>
          <w:p w:rsidR="00C821BE" w:rsidRPr="002362E3" w:rsidRDefault="00C821BE" w:rsidP="00C821BE">
            <w:pPr>
              <w:spacing w:after="0" w:line="240" w:lineRule="auto"/>
              <w:jc w:val="both"/>
              <w:rPr>
                <w:rFonts w:ascii="Times New Roman" w:hAnsi="Times New Roman"/>
                <w:b/>
                <w:sz w:val="16"/>
                <w:szCs w:val="16"/>
                <w:lang w:val="pt-BR"/>
              </w:rPr>
            </w:pPr>
            <w:r w:rsidRPr="002362E3">
              <w:rPr>
                <w:rFonts w:ascii="Times New Roman" w:hAnsi="Times New Roman"/>
                <w:b/>
                <w:sz w:val="16"/>
                <w:szCs w:val="16"/>
                <w:lang w:val="pt-BR"/>
              </w:rPr>
              <w:t>Importância</w:t>
            </w:r>
          </w:p>
        </w:tc>
      </w:tr>
      <w:tr w:rsidR="00C821BE" w:rsidRPr="002362E3" w:rsidTr="00C821BE">
        <w:trPr>
          <w:gridBefore w:val="1"/>
          <w:gridAfter w:val="9"/>
          <w:wBefore w:w="988" w:type="dxa"/>
          <w:wAfter w:w="7845" w:type="dxa"/>
          <w:trHeight w:val="70"/>
          <w:jc w:val="center"/>
        </w:trPr>
        <w:tc>
          <w:tcPr>
            <w:tcW w:w="2502" w:type="dxa"/>
            <w:gridSpan w:val="4"/>
            <w:shd w:val="clear" w:color="auto" w:fill="000000" w:themeFill="text1"/>
            <w:vAlign w:val="center"/>
          </w:tcPr>
          <w:p w:rsidR="00C821BE" w:rsidRPr="002362E3" w:rsidRDefault="00C821BE" w:rsidP="00C821BE">
            <w:pPr>
              <w:spacing w:after="0" w:line="240" w:lineRule="auto"/>
              <w:jc w:val="both"/>
              <w:rPr>
                <w:rFonts w:ascii="Times New Roman" w:hAnsi="Times New Roman"/>
                <w:sz w:val="4"/>
                <w:szCs w:val="4"/>
                <w:lang w:val="pt-BR"/>
              </w:rPr>
            </w:pPr>
          </w:p>
        </w:tc>
      </w:tr>
      <w:tr w:rsidR="00C821BE" w:rsidRPr="002362E3" w:rsidTr="00C821BE">
        <w:trPr>
          <w:trHeight w:val="70"/>
          <w:jc w:val="center"/>
        </w:trPr>
        <w:tc>
          <w:tcPr>
            <w:tcW w:w="988" w:type="dxa"/>
            <w:vMerge w:val="restart"/>
            <w:shd w:val="clear" w:color="auto" w:fill="BDD6EE"/>
            <w:vAlign w:val="center"/>
          </w:tcPr>
          <w:p w:rsidR="00C821BE" w:rsidRPr="002362E3" w:rsidRDefault="00C821BE" w:rsidP="00C821BE">
            <w:pPr>
              <w:spacing w:after="0" w:line="240" w:lineRule="auto"/>
              <w:jc w:val="center"/>
              <w:rPr>
                <w:rFonts w:ascii="Times New Roman" w:eastAsia="MS Gothic" w:hAnsi="Times New Roman"/>
                <w:b/>
                <w:sz w:val="14"/>
                <w:szCs w:val="14"/>
                <w:lang w:val="pt-BR"/>
              </w:rPr>
            </w:pPr>
            <w:r w:rsidRPr="002362E3">
              <w:rPr>
                <w:rFonts w:ascii="Times New Roman" w:eastAsia="MS Gothic" w:hAnsi="Times New Roman"/>
                <w:b/>
                <w:sz w:val="14"/>
                <w:szCs w:val="14"/>
                <w:lang w:val="pt-BR"/>
              </w:rPr>
              <w:t>Pré-construção e</w:t>
            </w:r>
          </w:p>
          <w:p w:rsidR="00C821BE" w:rsidRPr="002362E3" w:rsidRDefault="00C821BE" w:rsidP="00C821BE">
            <w:pPr>
              <w:spacing w:after="0" w:line="240" w:lineRule="auto"/>
              <w:jc w:val="center"/>
              <w:rPr>
                <w:rFonts w:ascii="Times New Roman" w:hAnsi="Times New Roman"/>
                <w:sz w:val="16"/>
                <w:szCs w:val="16"/>
                <w:lang w:val="pt-BR"/>
              </w:rPr>
            </w:pPr>
            <w:r w:rsidRPr="002362E3">
              <w:rPr>
                <w:rFonts w:ascii="Times New Roman" w:eastAsia="MS Gothic" w:hAnsi="Times New Roman"/>
                <w:b/>
                <w:sz w:val="14"/>
                <w:szCs w:val="14"/>
                <w:lang w:val="pt-BR"/>
              </w:rPr>
              <w:t>Construção</w:t>
            </w:r>
          </w:p>
        </w:tc>
        <w:tc>
          <w:tcPr>
            <w:tcW w:w="850" w:type="dxa"/>
            <w:vMerge w:val="restart"/>
            <w:vAlign w:val="center"/>
          </w:tcPr>
          <w:p w:rsidR="00C821BE" w:rsidRPr="002362E3" w:rsidRDefault="00C821BE" w:rsidP="00C821BE">
            <w:pPr>
              <w:spacing w:after="0" w:line="240" w:lineRule="auto"/>
              <w:jc w:val="center"/>
              <w:rPr>
                <w:rFonts w:ascii="Times New Roman" w:eastAsia="MS Gothic" w:hAnsi="Times New Roman"/>
                <w:b/>
                <w:sz w:val="16"/>
                <w:szCs w:val="16"/>
                <w:lang w:val="pt-BR"/>
              </w:rPr>
            </w:pPr>
            <w:r w:rsidRPr="002362E3">
              <w:rPr>
                <w:rFonts w:ascii="Times New Roman" w:eastAsia="MS Gothic" w:hAnsi="Times New Roman"/>
                <w:b/>
                <w:sz w:val="16"/>
                <w:szCs w:val="16"/>
                <w:lang w:val="pt-BR"/>
              </w:rPr>
              <w:t>SOCIO-ECONÔMICO</w:t>
            </w:r>
          </w:p>
        </w:tc>
        <w:tc>
          <w:tcPr>
            <w:tcW w:w="4536" w:type="dxa"/>
            <w:gridSpan w:val="4"/>
            <w:vAlign w:val="center"/>
          </w:tcPr>
          <w:p w:rsidR="00C821BE" w:rsidRPr="002362E3" w:rsidRDefault="00C821BE" w:rsidP="00C821BE">
            <w:pPr>
              <w:pStyle w:val="PargrafodaLista"/>
              <w:numPr>
                <w:ilvl w:val="0"/>
                <w:numId w:val="225"/>
              </w:numPr>
              <w:spacing w:after="0" w:line="240" w:lineRule="auto"/>
              <w:ind w:left="313" w:hanging="313"/>
              <w:jc w:val="both"/>
              <w:rPr>
                <w:rFonts w:ascii="Times New Roman" w:hAnsi="Times New Roman"/>
                <w:sz w:val="16"/>
                <w:szCs w:val="16"/>
                <w:lang w:val="pt-BR"/>
              </w:rPr>
            </w:pPr>
            <w:r w:rsidRPr="002362E3">
              <w:rPr>
                <w:rFonts w:ascii="Times New Roman" w:hAnsi="Times New Roman"/>
                <w:sz w:val="16"/>
                <w:szCs w:val="16"/>
                <w:lang w:val="pt-BR"/>
              </w:rPr>
              <w:t>Criação de empregos temporários</w:t>
            </w:r>
          </w:p>
          <w:p w:rsidR="00C821BE" w:rsidRPr="002362E3" w:rsidRDefault="00C821BE" w:rsidP="00C821BE">
            <w:pPr>
              <w:pStyle w:val="PargrafodaLista"/>
              <w:numPr>
                <w:ilvl w:val="0"/>
                <w:numId w:val="80"/>
              </w:numPr>
              <w:spacing w:after="0" w:line="240" w:lineRule="auto"/>
              <w:ind w:hanging="265"/>
              <w:jc w:val="both"/>
              <w:rPr>
                <w:rFonts w:ascii="Times New Roman" w:hAnsi="Times New Roman"/>
                <w:sz w:val="16"/>
                <w:szCs w:val="16"/>
                <w:lang w:val="pt-BR"/>
              </w:rPr>
            </w:pPr>
            <w:r w:rsidRPr="002362E3">
              <w:rPr>
                <w:rFonts w:ascii="Times New Roman" w:hAnsi="Times New Roman"/>
                <w:sz w:val="16"/>
                <w:szCs w:val="16"/>
                <w:lang w:val="pt-BR"/>
              </w:rPr>
              <w:t>manobras para todos os trabalhos de corte, remoção de ervas daninhas e escavação,</w:t>
            </w:r>
          </w:p>
          <w:p w:rsidR="00C821BE" w:rsidRPr="002362E3" w:rsidRDefault="00C821BE" w:rsidP="00C821BE">
            <w:pPr>
              <w:pStyle w:val="PargrafodaLista"/>
              <w:numPr>
                <w:ilvl w:val="0"/>
                <w:numId w:val="80"/>
              </w:numPr>
              <w:spacing w:after="0" w:line="240" w:lineRule="auto"/>
              <w:ind w:hanging="265"/>
              <w:jc w:val="both"/>
              <w:rPr>
                <w:rFonts w:ascii="Times New Roman" w:hAnsi="Times New Roman"/>
                <w:sz w:val="16"/>
                <w:szCs w:val="16"/>
                <w:lang w:val="pt-BR"/>
              </w:rPr>
            </w:pPr>
            <w:r w:rsidRPr="002362E3">
              <w:rPr>
                <w:rFonts w:ascii="Times New Roman" w:hAnsi="Times New Roman"/>
                <w:sz w:val="16"/>
                <w:szCs w:val="16"/>
                <w:lang w:val="pt-BR"/>
              </w:rPr>
              <w:t>pedreiros para todas as obras de engenharia civil,</w:t>
            </w:r>
          </w:p>
          <w:p w:rsidR="00C821BE" w:rsidRPr="002362E3" w:rsidRDefault="00C821BE" w:rsidP="00C821BE">
            <w:pPr>
              <w:pStyle w:val="PargrafodaLista"/>
              <w:numPr>
                <w:ilvl w:val="0"/>
                <w:numId w:val="80"/>
              </w:numPr>
              <w:spacing w:after="0" w:line="240" w:lineRule="auto"/>
              <w:ind w:hanging="265"/>
              <w:jc w:val="both"/>
              <w:rPr>
                <w:rFonts w:ascii="Times New Roman" w:hAnsi="Times New Roman"/>
                <w:sz w:val="16"/>
                <w:szCs w:val="16"/>
                <w:lang w:val="pt-BR"/>
              </w:rPr>
            </w:pPr>
            <w:r w:rsidRPr="002362E3">
              <w:rPr>
                <w:rFonts w:ascii="Times New Roman" w:hAnsi="Times New Roman"/>
                <w:sz w:val="16"/>
                <w:szCs w:val="16"/>
                <w:lang w:val="pt-BR"/>
              </w:rPr>
              <w:t>negociantes de sucata,</w:t>
            </w:r>
          </w:p>
          <w:p w:rsidR="00C821BE" w:rsidRPr="002362E3" w:rsidRDefault="00C821BE" w:rsidP="00C821BE">
            <w:pPr>
              <w:pStyle w:val="PargrafodaLista"/>
              <w:numPr>
                <w:ilvl w:val="0"/>
                <w:numId w:val="80"/>
              </w:numPr>
              <w:spacing w:after="0" w:line="240" w:lineRule="auto"/>
              <w:ind w:hanging="265"/>
              <w:jc w:val="both"/>
              <w:rPr>
                <w:rFonts w:ascii="Times New Roman" w:hAnsi="Times New Roman"/>
                <w:sz w:val="16"/>
                <w:szCs w:val="16"/>
                <w:lang w:val="pt-BR"/>
              </w:rPr>
            </w:pPr>
            <w:r w:rsidRPr="002362E3">
              <w:rPr>
                <w:rFonts w:ascii="Times New Roman" w:hAnsi="Times New Roman"/>
                <w:sz w:val="16"/>
                <w:szCs w:val="16"/>
                <w:lang w:val="pt-BR"/>
              </w:rPr>
              <w:t>pintores,</w:t>
            </w:r>
          </w:p>
          <w:p w:rsidR="00C821BE" w:rsidRPr="002362E3" w:rsidRDefault="00C821BE" w:rsidP="00C821BE">
            <w:pPr>
              <w:pStyle w:val="PargrafodaLista"/>
              <w:numPr>
                <w:ilvl w:val="0"/>
                <w:numId w:val="80"/>
              </w:numPr>
              <w:spacing w:after="0" w:line="240" w:lineRule="auto"/>
              <w:ind w:hanging="265"/>
              <w:jc w:val="both"/>
              <w:rPr>
                <w:rFonts w:ascii="Times New Roman" w:hAnsi="Times New Roman"/>
                <w:sz w:val="16"/>
                <w:szCs w:val="16"/>
                <w:lang w:val="pt-BR"/>
              </w:rPr>
            </w:pPr>
            <w:r w:rsidRPr="002362E3">
              <w:rPr>
                <w:rFonts w:ascii="Times New Roman" w:hAnsi="Times New Roman"/>
                <w:sz w:val="16"/>
                <w:szCs w:val="16"/>
                <w:lang w:val="pt-BR"/>
              </w:rPr>
              <w:t>operadores de máquinas específicas</w:t>
            </w:r>
          </w:p>
        </w:tc>
        <w:tc>
          <w:tcPr>
            <w:tcW w:w="851" w:type="dxa"/>
            <w:vAlign w:val="center"/>
          </w:tcPr>
          <w:p w:rsidR="00C821BE" w:rsidRPr="002362E3" w:rsidRDefault="00C821BE" w:rsidP="00C821BE">
            <w:pPr>
              <w:spacing w:after="0" w:line="240" w:lineRule="auto"/>
              <w:jc w:val="center"/>
              <w:rPr>
                <w:rFonts w:ascii="Times New Roman" w:hAnsi="Times New Roman"/>
                <w:sz w:val="16"/>
                <w:szCs w:val="16"/>
                <w:lang w:val="pt-BR"/>
              </w:rPr>
            </w:pPr>
            <w:r w:rsidRPr="002362E3">
              <w:rPr>
                <w:rFonts w:ascii="Times New Roman" w:hAnsi="Times New Roman"/>
                <w:sz w:val="16"/>
                <w:szCs w:val="16"/>
                <w:lang w:val="pt-BR"/>
              </w:rPr>
              <w:t>Forte</w:t>
            </w:r>
          </w:p>
        </w:tc>
        <w:tc>
          <w:tcPr>
            <w:tcW w:w="283" w:type="dxa"/>
            <w:shd w:val="clear" w:color="auto" w:fill="002060"/>
            <w:vAlign w:val="center"/>
          </w:tcPr>
          <w:p w:rsidR="00C821BE" w:rsidRPr="002362E3" w:rsidRDefault="00C821BE" w:rsidP="00C821BE">
            <w:pPr>
              <w:spacing w:after="0" w:line="240" w:lineRule="auto"/>
              <w:jc w:val="center"/>
              <w:rPr>
                <w:rFonts w:ascii="Times New Roman" w:hAnsi="Times New Roman"/>
                <w:b/>
                <w:sz w:val="16"/>
                <w:szCs w:val="16"/>
                <w:lang w:val="pt-BR"/>
              </w:rPr>
            </w:pPr>
            <w:r w:rsidRPr="002362E3">
              <w:rPr>
                <w:rFonts w:ascii="Times New Roman" w:hAnsi="Times New Roman"/>
                <w:b/>
                <w:sz w:val="16"/>
                <w:szCs w:val="16"/>
                <w:lang w:val="pt-BR"/>
              </w:rPr>
              <w:t>5</w:t>
            </w:r>
          </w:p>
        </w:tc>
        <w:tc>
          <w:tcPr>
            <w:tcW w:w="992" w:type="dxa"/>
            <w:vAlign w:val="center"/>
          </w:tcPr>
          <w:p w:rsidR="00C821BE" w:rsidRPr="002362E3" w:rsidRDefault="00C821BE" w:rsidP="00C821BE">
            <w:pPr>
              <w:spacing w:after="0" w:line="240" w:lineRule="auto"/>
              <w:jc w:val="center"/>
              <w:rPr>
                <w:rFonts w:ascii="Times New Roman" w:hAnsi="Times New Roman"/>
                <w:sz w:val="16"/>
                <w:szCs w:val="16"/>
                <w:lang w:val="pt-BR"/>
              </w:rPr>
            </w:pPr>
            <w:r w:rsidRPr="002362E3">
              <w:rPr>
                <w:rFonts w:ascii="Times New Roman" w:hAnsi="Times New Roman"/>
                <w:sz w:val="16"/>
                <w:szCs w:val="16"/>
                <w:lang w:val="pt-BR"/>
              </w:rPr>
              <w:t>Regional</w:t>
            </w:r>
          </w:p>
        </w:tc>
        <w:tc>
          <w:tcPr>
            <w:tcW w:w="284" w:type="dxa"/>
            <w:shd w:val="clear" w:color="auto" w:fill="002060"/>
            <w:vAlign w:val="center"/>
          </w:tcPr>
          <w:p w:rsidR="00C821BE" w:rsidRPr="002362E3" w:rsidRDefault="00C821BE" w:rsidP="00C821BE">
            <w:pPr>
              <w:spacing w:after="0" w:line="240" w:lineRule="auto"/>
              <w:jc w:val="center"/>
              <w:rPr>
                <w:rFonts w:ascii="Times New Roman" w:hAnsi="Times New Roman"/>
                <w:b/>
                <w:sz w:val="16"/>
                <w:szCs w:val="16"/>
                <w:lang w:val="pt-BR"/>
              </w:rPr>
            </w:pPr>
            <w:r w:rsidRPr="002362E3">
              <w:rPr>
                <w:rFonts w:ascii="Times New Roman" w:hAnsi="Times New Roman"/>
                <w:b/>
                <w:sz w:val="16"/>
                <w:szCs w:val="16"/>
                <w:lang w:val="pt-BR"/>
              </w:rPr>
              <w:t>5</w:t>
            </w:r>
          </w:p>
        </w:tc>
        <w:tc>
          <w:tcPr>
            <w:tcW w:w="850" w:type="dxa"/>
            <w:vAlign w:val="center"/>
          </w:tcPr>
          <w:p w:rsidR="00C821BE" w:rsidRPr="002362E3" w:rsidRDefault="00C821BE" w:rsidP="00C821BE">
            <w:pPr>
              <w:spacing w:after="0" w:line="240" w:lineRule="auto"/>
              <w:jc w:val="center"/>
              <w:rPr>
                <w:rFonts w:ascii="Times New Roman" w:hAnsi="Times New Roman"/>
                <w:sz w:val="16"/>
                <w:szCs w:val="16"/>
                <w:lang w:val="pt-BR"/>
              </w:rPr>
            </w:pPr>
            <w:r w:rsidRPr="002362E3">
              <w:rPr>
                <w:rFonts w:ascii="Times New Roman" w:hAnsi="Times New Roman"/>
                <w:sz w:val="16"/>
                <w:szCs w:val="16"/>
                <w:lang w:val="pt-BR"/>
              </w:rPr>
              <w:t>Curto</w:t>
            </w:r>
          </w:p>
        </w:tc>
        <w:tc>
          <w:tcPr>
            <w:tcW w:w="284" w:type="dxa"/>
            <w:shd w:val="clear" w:color="auto" w:fill="002060"/>
            <w:vAlign w:val="center"/>
          </w:tcPr>
          <w:p w:rsidR="00C821BE" w:rsidRPr="002362E3" w:rsidRDefault="00C821BE" w:rsidP="00C821BE">
            <w:pPr>
              <w:spacing w:after="0" w:line="240" w:lineRule="auto"/>
              <w:jc w:val="center"/>
              <w:rPr>
                <w:rFonts w:ascii="Times New Roman" w:hAnsi="Times New Roman"/>
                <w:b/>
                <w:sz w:val="16"/>
                <w:szCs w:val="16"/>
                <w:lang w:val="pt-BR"/>
              </w:rPr>
            </w:pPr>
            <w:r w:rsidRPr="002362E3">
              <w:rPr>
                <w:rFonts w:ascii="Times New Roman" w:hAnsi="Times New Roman"/>
                <w:b/>
                <w:sz w:val="16"/>
                <w:szCs w:val="16"/>
                <w:lang w:val="pt-BR"/>
              </w:rPr>
              <w:t>1</w:t>
            </w:r>
          </w:p>
        </w:tc>
        <w:tc>
          <w:tcPr>
            <w:tcW w:w="850" w:type="dxa"/>
            <w:shd w:val="clear" w:color="auto" w:fill="FFE599" w:themeFill="accent4" w:themeFillTint="66"/>
            <w:vAlign w:val="center"/>
          </w:tcPr>
          <w:p w:rsidR="00C821BE" w:rsidRPr="002362E3" w:rsidRDefault="00C821BE" w:rsidP="00C821BE">
            <w:pPr>
              <w:spacing w:after="0" w:line="240" w:lineRule="auto"/>
              <w:jc w:val="center"/>
              <w:rPr>
                <w:rFonts w:ascii="Times New Roman" w:hAnsi="Times New Roman"/>
                <w:b/>
                <w:sz w:val="16"/>
                <w:szCs w:val="16"/>
                <w:lang w:val="pt-BR"/>
              </w:rPr>
            </w:pPr>
            <w:r w:rsidRPr="002362E3">
              <w:rPr>
                <w:rFonts w:ascii="Times New Roman" w:hAnsi="Times New Roman"/>
                <w:b/>
                <w:sz w:val="16"/>
                <w:szCs w:val="16"/>
                <w:lang w:val="pt-BR"/>
              </w:rPr>
              <w:t>Média</w:t>
            </w:r>
          </w:p>
        </w:tc>
        <w:tc>
          <w:tcPr>
            <w:tcW w:w="567" w:type="dxa"/>
            <w:shd w:val="clear" w:color="auto" w:fill="FFE599" w:themeFill="accent4" w:themeFillTint="66"/>
            <w:vAlign w:val="center"/>
          </w:tcPr>
          <w:p w:rsidR="00C821BE" w:rsidRPr="002362E3" w:rsidRDefault="00C821BE" w:rsidP="00C821BE">
            <w:pPr>
              <w:spacing w:after="0" w:line="240" w:lineRule="auto"/>
              <w:jc w:val="center"/>
              <w:rPr>
                <w:rFonts w:ascii="Times New Roman" w:hAnsi="Times New Roman"/>
                <w:b/>
                <w:sz w:val="16"/>
                <w:szCs w:val="16"/>
                <w:lang w:val="pt-BR"/>
              </w:rPr>
            </w:pPr>
            <w:r w:rsidRPr="002362E3">
              <w:rPr>
                <w:rFonts w:ascii="Times New Roman" w:hAnsi="Times New Roman"/>
                <w:b/>
                <w:sz w:val="16"/>
                <w:szCs w:val="16"/>
                <w:lang w:val="pt-BR"/>
              </w:rPr>
              <w:t>25</w:t>
            </w:r>
          </w:p>
        </w:tc>
      </w:tr>
      <w:tr w:rsidR="00C821BE" w:rsidRPr="002362E3" w:rsidTr="00C821BE">
        <w:trPr>
          <w:trHeight w:val="273"/>
          <w:jc w:val="center"/>
        </w:trPr>
        <w:tc>
          <w:tcPr>
            <w:tcW w:w="988" w:type="dxa"/>
            <w:vMerge/>
            <w:shd w:val="clear" w:color="auto" w:fill="BDD6EE"/>
            <w:vAlign w:val="center"/>
          </w:tcPr>
          <w:p w:rsidR="00C821BE" w:rsidRPr="002362E3" w:rsidRDefault="00C821BE" w:rsidP="00C821BE">
            <w:pPr>
              <w:spacing w:after="0" w:line="240" w:lineRule="auto"/>
              <w:jc w:val="center"/>
              <w:rPr>
                <w:rFonts w:ascii="Times New Roman" w:hAnsi="Times New Roman"/>
                <w:sz w:val="16"/>
                <w:szCs w:val="16"/>
                <w:lang w:val="pt-BR"/>
              </w:rPr>
            </w:pPr>
          </w:p>
        </w:tc>
        <w:tc>
          <w:tcPr>
            <w:tcW w:w="850" w:type="dxa"/>
            <w:vMerge/>
            <w:vAlign w:val="center"/>
          </w:tcPr>
          <w:p w:rsidR="00C821BE" w:rsidRPr="002362E3" w:rsidRDefault="00C821BE" w:rsidP="00C821BE">
            <w:pPr>
              <w:spacing w:after="0" w:line="240" w:lineRule="auto"/>
              <w:jc w:val="center"/>
              <w:rPr>
                <w:rFonts w:ascii="Times New Roman" w:hAnsi="Times New Roman"/>
                <w:sz w:val="16"/>
                <w:szCs w:val="16"/>
                <w:lang w:val="pt-BR"/>
              </w:rPr>
            </w:pPr>
          </w:p>
        </w:tc>
        <w:tc>
          <w:tcPr>
            <w:tcW w:w="4536" w:type="dxa"/>
            <w:gridSpan w:val="4"/>
            <w:vAlign w:val="center"/>
          </w:tcPr>
          <w:p w:rsidR="00C821BE" w:rsidRPr="002362E3" w:rsidRDefault="00C821BE" w:rsidP="00C821BE">
            <w:pPr>
              <w:pStyle w:val="PargrafodaLista"/>
              <w:numPr>
                <w:ilvl w:val="0"/>
                <w:numId w:val="225"/>
              </w:numPr>
              <w:spacing w:after="0" w:line="240" w:lineRule="auto"/>
              <w:ind w:left="313" w:hanging="313"/>
              <w:jc w:val="both"/>
              <w:rPr>
                <w:rFonts w:ascii="Times New Roman" w:hAnsi="Times New Roman"/>
                <w:sz w:val="16"/>
                <w:szCs w:val="16"/>
                <w:lang w:val="pt-BR"/>
              </w:rPr>
            </w:pPr>
            <w:r w:rsidRPr="002362E3">
              <w:rPr>
                <w:rFonts w:ascii="Times New Roman" w:hAnsi="Times New Roman"/>
                <w:sz w:val="16"/>
                <w:szCs w:val="16"/>
                <w:lang w:val="pt-BR"/>
              </w:rPr>
              <w:tab/>
              <w:t>Oportunidades de negócios para operadores econômicos privados</w:t>
            </w:r>
          </w:p>
        </w:tc>
        <w:tc>
          <w:tcPr>
            <w:tcW w:w="851" w:type="dxa"/>
            <w:vAlign w:val="center"/>
          </w:tcPr>
          <w:p w:rsidR="00C821BE" w:rsidRPr="002362E3" w:rsidRDefault="00C821BE" w:rsidP="00C821BE">
            <w:pPr>
              <w:spacing w:after="0" w:line="240" w:lineRule="auto"/>
              <w:jc w:val="center"/>
              <w:rPr>
                <w:rFonts w:ascii="Times New Roman" w:hAnsi="Times New Roman"/>
                <w:sz w:val="16"/>
                <w:szCs w:val="16"/>
                <w:lang w:val="pt-BR"/>
              </w:rPr>
            </w:pPr>
            <w:r w:rsidRPr="002362E3">
              <w:rPr>
                <w:rFonts w:ascii="Times New Roman" w:hAnsi="Times New Roman"/>
                <w:sz w:val="16"/>
                <w:szCs w:val="16"/>
                <w:lang w:val="pt-BR"/>
              </w:rPr>
              <w:t>Forte</w:t>
            </w:r>
          </w:p>
        </w:tc>
        <w:tc>
          <w:tcPr>
            <w:tcW w:w="283" w:type="dxa"/>
            <w:shd w:val="clear" w:color="auto" w:fill="002060"/>
            <w:vAlign w:val="center"/>
          </w:tcPr>
          <w:p w:rsidR="00C821BE" w:rsidRPr="002362E3" w:rsidRDefault="00C821BE" w:rsidP="00C821BE">
            <w:pPr>
              <w:spacing w:after="0" w:line="240" w:lineRule="auto"/>
              <w:jc w:val="center"/>
              <w:rPr>
                <w:rFonts w:ascii="Times New Roman" w:hAnsi="Times New Roman"/>
                <w:b/>
                <w:sz w:val="16"/>
                <w:szCs w:val="16"/>
                <w:lang w:val="pt-BR"/>
              </w:rPr>
            </w:pPr>
            <w:r w:rsidRPr="002362E3">
              <w:rPr>
                <w:rFonts w:ascii="Times New Roman" w:hAnsi="Times New Roman"/>
                <w:b/>
                <w:sz w:val="16"/>
                <w:szCs w:val="16"/>
                <w:lang w:val="pt-BR"/>
              </w:rPr>
              <w:t>5</w:t>
            </w:r>
          </w:p>
        </w:tc>
        <w:tc>
          <w:tcPr>
            <w:tcW w:w="992" w:type="dxa"/>
            <w:vAlign w:val="center"/>
          </w:tcPr>
          <w:p w:rsidR="00C821BE" w:rsidRPr="002362E3" w:rsidRDefault="00C821BE" w:rsidP="00C821BE">
            <w:pPr>
              <w:spacing w:after="0" w:line="240" w:lineRule="auto"/>
              <w:jc w:val="center"/>
              <w:rPr>
                <w:rFonts w:ascii="Times New Roman" w:hAnsi="Times New Roman"/>
                <w:sz w:val="16"/>
                <w:szCs w:val="16"/>
                <w:lang w:val="pt-BR"/>
              </w:rPr>
            </w:pPr>
            <w:r w:rsidRPr="002362E3">
              <w:rPr>
                <w:rFonts w:ascii="Times New Roman" w:hAnsi="Times New Roman"/>
                <w:sz w:val="16"/>
                <w:szCs w:val="16"/>
                <w:lang w:val="pt-BR"/>
              </w:rPr>
              <w:t>Regional</w:t>
            </w:r>
          </w:p>
        </w:tc>
        <w:tc>
          <w:tcPr>
            <w:tcW w:w="284" w:type="dxa"/>
            <w:shd w:val="clear" w:color="auto" w:fill="002060"/>
            <w:vAlign w:val="center"/>
          </w:tcPr>
          <w:p w:rsidR="00C821BE" w:rsidRPr="002362E3" w:rsidRDefault="00C821BE" w:rsidP="00C821BE">
            <w:pPr>
              <w:spacing w:after="0" w:line="240" w:lineRule="auto"/>
              <w:jc w:val="center"/>
              <w:rPr>
                <w:rFonts w:ascii="Times New Roman" w:hAnsi="Times New Roman"/>
                <w:b/>
                <w:sz w:val="16"/>
                <w:szCs w:val="16"/>
                <w:lang w:val="pt-BR"/>
              </w:rPr>
            </w:pPr>
            <w:r w:rsidRPr="002362E3">
              <w:rPr>
                <w:rFonts w:ascii="Times New Roman" w:hAnsi="Times New Roman"/>
                <w:b/>
                <w:sz w:val="16"/>
                <w:szCs w:val="16"/>
                <w:lang w:val="pt-BR"/>
              </w:rPr>
              <w:t>5</w:t>
            </w:r>
          </w:p>
        </w:tc>
        <w:tc>
          <w:tcPr>
            <w:tcW w:w="850" w:type="dxa"/>
            <w:tcBorders>
              <w:bottom w:val="single" w:sz="4" w:space="0" w:color="auto"/>
            </w:tcBorders>
            <w:vAlign w:val="center"/>
          </w:tcPr>
          <w:p w:rsidR="00C821BE" w:rsidRPr="002362E3" w:rsidRDefault="00C821BE" w:rsidP="00C821BE">
            <w:pPr>
              <w:spacing w:after="0" w:line="240" w:lineRule="auto"/>
              <w:jc w:val="center"/>
              <w:rPr>
                <w:rFonts w:ascii="Times New Roman" w:hAnsi="Times New Roman"/>
                <w:sz w:val="16"/>
                <w:szCs w:val="16"/>
                <w:lang w:val="pt-BR"/>
              </w:rPr>
            </w:pPr>
            <w:r w:rsidRPr="002362E3">
              <w:rPr>
                <w:rFonts w:ascii="Times New Roman" w:hAnsi="Times New Roman"/>
                <w:sz w:val="16"/>
                <w:szCs w:val="16"/>
                <w:lang w:val="pt-BR"/>
              </w:rPr>
              <w:t>Curto</w:t>
            </w:r>
          </w:p>
        </w:tc>
        <w:tc>
          <w:tcPr>
            <w:tcW w:w="284" w:type="dxa"/>
            <w:shd w:val="clear" w:color="auto" w:fill="002060"/>
            <w:vAlign w:val="center"/>
          </w:tcPr>
          <w:p w:rsidR="00C821BE" w:rsidRPr="002362E3" w:rsidRDefault="00C821BE" w:rsidP="00C821BE">
            <w:pPr>
              <w:spacing w:after="0" w:line="240" w:lineRule="auto"/>
              <w:jc w:val="center"/>
              <w:rPr>
                <w:rFonts w:ascii="Times New Roman" w:hAnsi="Times New Roman"/>
                <w:b/>
                <w:sz w:val="16"/>
                <w:szCs w:val="16"/>
                <w:lang w:val="pt-BR"/>
              </w:rPr>
            </w:pPr>
            <w:r w:rsidRPr="002362E3">
              <w:rPr>
                <w:rFonts w:ascii="Times New Roman" w:hAnsi="Times New Roman"/>
                <w:b/>
                <w:sz w:val="16"/>
                <w:szCs w:val="16"/>
                <w:lang w:val="pt-BR"/>
              </w:rPr>
              <w:t>1</w:t>
            </w:r>
          </w:p>
        </w:tc>
        <w:tc>
          <w:tcPr>
            <w:tcW w:w="850" w:type="dxa"/>
            <w:tcBorders>
              <w:bottom w:val="single" w:sz="4" w:space="0" w:color="auto"/>
            </w:tcBorders>
            <w:shd w:val="clear" w:color="auto" w:fill="FFE599" w:themeFill="accent4" w:themeFillTint="66"/>
            <w:vAlign w:val="center"/>
          </w:tcPr>
          <w:p w:rsidR="00C821BE" w:rsidRPr="002362E3" w:rsidRDefault="00C821BE" w:rsidP="00C821BE">
            <w:pPr>
              <w:spacing w:after="0" w:line="240" w:lineRule="auto"/>
              <w:jc w:val="center"/>
              <w:rPr>
                <w:rFonts w:ascii="Times New Roman" w:hAnsi="Times New Roman"/>
                <w:b/>
                <w:sz w:val="16"/>
                <w:szCs w:val="16"/>
                <w:lang w:val="pt-BR"/>
              </w:rPr>
            </w:pPr>
            <w:r w:rsidRPr="002362E3">
              <w:rPr>
                <w:rFonts w:ascii="Times New Roman" w:hAnsi="Times New Roman"/>
                <w:b/>
                <w:sz w:val="16"/>
                <w:szCs w:val="16"/>
                <w:lang w:val="pt-BR"/>
              </w:rPr>
              <w:t>Média</w:t>
            </w:r>
          </w:p>
        </w:tc>
        <w:tc>
          <w:tcPr>
            <w:tcW w:w="567" w:type="dxa"/>
            <w:tcBorders>
              <w:bottom w:val="single" w:sz="4" w:space="0" w:color="auto"/>
            </w:tcBorders>
            <w:shd w:val="clear" w:color="auto" w:fill="FFE599" w:themeFill="accent4" w:themeFillTint="66"/>
            <w:vAlign w:val="center"/>
          </w:tcPr>
          <w:p w:rsidR="00C821BE" w:rsidRPr="002362E3" w:rsidRDefault="00C821BE" w:rsidP="00C821BE">
            <w:pPr>
              <w:spacing w:after="0" w:line="240" w:lineRule="auto"/>
              <w:jc w:val="center"/>
              <w:rPr>
                <w:rFonts w:ascii="Times New Roman" w:hAnsi="Times New Roman"/>
                <w:b/>
                <w:sz w:val="16"/>
                <w:szCs w:val="16"/>
                <w:lang w:val="pt-BR"/>
              </w:rPr>
            </w:pPr>
            <w:r w:rsidRPr="002362E3">
              <w:rPr>
                <w:rFonts w:ascii="Times New Roman" w:hAnsi="Times New Roman"/>
                <w:b/>
                <w:sz w:val="16"/>
                <w:szCs w:val="16"/>
                <w:lang w:val="pt-BR"/>
              </w:rPr>
              <w:t>25</w:t>
            </w:r>
          </w:p>
        </w:tc>
      </w:tr>
      <w:tr w:rsidR="00C821BE" w:rsidRPr="002362E3" w:rsidTr="00C821BE">
        <w:trPr>
          <w:jc w:val="center"/>
        </w:trPr>
        <w:tc>
          <w:tcPr>
            <w:tcW w:w="988" w:type="dxa"/>
            <w:vMerge/>
            <w:shd w:val="clear" w:color="auto" w:fill="BDD6EE"/>
            <w:vAlign w:val="center"/>
          </w:tcPr>
          <w:p w:rsidR="00C821BE" w:rsidRPr="002362E3" w:rsidRDefault="00C821BE" w:rsidP="00C821BE">
            <w:pPr>
              <w:spacing w:after="0" w:line="240" w:lineRule="auto"/>
              <w:jc w:val="center"/>
              <w:rPr>
                <w:rFonts w:ascii="Times New Roman" w:hAnsi="Times New Roman"/>
                <w:sz w:val="16"/>
                <w:szCs w:val="16"/>
                <w:lang w:val="pt-BR"/>
              </w:rPr>
            </w:pPr>
          </w:p>
        </w:tc>
        <w:tc>
          <w:tcPr>
            <w:tcW w:w="850" w:type="dxa"/>
            <w:vMerge/>
            <w:vAlign w:val="center"/>
          </w:tcPr>
          <w:p w:rsidR="00C821BE" w:rsidRPr="002362E3" w:rsidRDefault="00C821BE" w:rsidP="00C821BE">
            <w:pPr>
              <w:spacing w:after="0" w:line="240" w:lineRule="auto"/>
              <w:jc w:val="center"/>
              <w:rPr>
                <w:rFonts w:ascii="Times New Roman" w:hAnsi="Times New Roman"/>
                <w:sz w:val="16"/>
                <w:szCs w:val="16"/>
                <w:lang w:val="pt-BR"/>
              </w:rPr>
            </w:pPr>
          </w:p>
        </w:tc>
        <w:tc>
          <w:tcPr>
            <w:tcW w:w="4536" w:type="dxa"/>
            <w:gridSpan w:val="4"/>
            <w:vAlign w:val="center"/>
          </w:tcPr>
          <w:p w:rsidR="00C821BE" w:rsidRPr="002362E3" w:rsidRDefault="00C821BE" w:rsidP="00C821BE">
            <w:pPr>
              <w:pStyle w:val="PargrafodaLista"/>
              <w:numPr>
                <w:ilvl w:val="0"/>
                <w:numId w:val="225"/>
              </w:numPr>
              <w:spacing w:after="0" w:line="240" w:lineRule="auto"/>
              <w:ind w:left="313" w:hanging="313"/>
              <w:jc w:val="both"/>
              <w:rPr>
                <w:rFonts w:ascii="Times New Roman" w:hAnsi="Times New Roman"/>
                <w:sz w:val="16"/>
                <w:szCs w:val="16"/>
                <w:lang w:val="pt-BR"/>
              </w:rPr>
            </w:pPr>
            <w:r w:rsidRPr="002362E3">
              <w:rPr>
                <w:rFonts w:ascii="Times New Roman" w:hAnsi="Times New Roman"/>
                <w:sz w:val="16"/>
                <w:szCs w:val="16"/>
                <w:lang w:val="pt-BR"/>
              </w:rPr>
              <w:tab/>
              <w:t>Criação de relacionamento social</w:t>
            </w:r>
          </w:p>
        </w:tc>
        <w:tc>
          <w:tcPr>
            <w:tcW w:w="851" w:type="dxa"/>
            <w:vAlign w:val="center"/>
          </w:tcPr>
          <w:p w:rsidR="00C821BE" w:rsidRPr="002362E3" w:rsidRDefault="00C821BE" w:rsidP="00C821BE">
            <w:pPr>
              <w:spacing w:after="0" w:line="240" w:lineRule="auto"/>
              <w:jc w:val="center"/>
              <w:rPr>
                <w:rFonts w:ascii="Times New Roman" w:hAnsi="Times New Roman"/>
                <w:sz w:val="16"/>
                <w:szCs w:val="16"/>
                <w:lang w:val="pt-BR"/>
              </w:rPr>
            </w:pPr>
            <w:r w:rsidRPr="002362E3">
              <w:rPr>
                <w:rFonts w:ascii="Times New Roman" w:hAnsi="Times New Roman"/>
                <w:sz w:val="16"/>
                <w:szCs w:val="16"/>
                <w:lang w:val="pt-BR"/>
              </w:rPr>
              <w:t>Forte</w:t>
            </w:r>
          </w:p>
        </w:tc>
        <w:tc>
          <w:tcPr>
            <w:tcW w:w="283" w:type="dxa"/>
            <w:shd w:val="clear" w:color="auto" w:fill="002060"/>
            <w:vAlign w:val="center"/>
          </w:tcPr>
          <w:p w:rsidR="00C821BE" w:rsidRPr="002362E3" w:rsidRDefault="00C821BE" w:rsidP="00C821BE">
            <w:pPr>
              <w:spacing w:after="0" w:line="240" w:lineRule="auto"/>
              <w:jc w:val="center"/>
              <w:rPr>
                <w:rFonts w:ascii="Times New Roman" w:hAnsi="Times New Roman"/>
                <w:sz w:val="16"/>
                <w:szCs w:val="16"/>
                <w:lang w:val="pt-BR"/>
              </w:rPr>
            </w:pPr>
            <w:r w:rsidRPr="002362E3">
              <w:rPr>
                <w:rFonts w:ascii="Times New Roman" w:hAnsi="Times New Roman"/>
                <w:b/>
                <w:sz w:val="16"/>
                <w:szCs w:val="16"/>
                <w:lang w:val="pt-BR"/>
              </w:rPr>
              <w:t>5</w:t>
            </w:r>
          </w:p>
        </w:tc>
        <w:tc>
          <w:tcPr>
            <w:tcW w:w="992" w:type="dxa"/>
          </w:tcPr>
          <w:p w:rsidR="00C821BE" w:rsidRPr="002362E3" w:rsidRDefault="00C821BE" w:rsidP="00C821BE">
            <w:pPr>
              <w:spacing w:after="0" w:line="240" w:lineRule="auto"/>
              <w:jc w:val="center"/>
              <w:rPr>
                <w:rFonts w:ascii="Times New Roman" w:hAnsi="Times New Roman"/>
                <w:sz w:val="16"/>
                <w:szCs w:val="16"/>
                <w:lang w:val="pt-BR"/>
              </w:rPr>
            </w:pPr>
            <w:r w:rsidRPr="002362E3">
              <w:rPr>
                <w:rFonts w:ascii="Times New Roman" w:hAnsi="Times New Roman"/>
                <w:sz w:val="16"/>
                <w:szCs w:val="16"/>
                <w:lang w:val="pt-BR"/>
              </w:rPr>
              <w:t>Local</w:t>
            </w:r>
          </w:p>
        </w:tc>
        <w:tc>
          <w:tcPr>
            <w:tcW w:w="284" w:type="dxa"/>
            <w:shd w:val="clear" w:color="auto" w:fill="002060"/>
          </w:tcPr>
          <w:p w:rsidR="00C821BE" w:rsidRPr="002362E3" w:rsidRDefault="00C821BE" w:rsidP="00C821BE">
            <w:pPr>
              <w:spacing w:after="0" w:line="240" w:lineRule="auto"/>
              <w:jc w:val="center"/>
              <w:rPr>
                <w:rFonts w:ascii="Times New Roman" w:hAnsi="Times New Roman"/>
                <w:b/>
                <w:sz w:val="16"/>
                <w:szCs w:val="16"/>
                <w:lang w:val="pt-BR"/>
              </w:rPr>
            </w:pPr>
            <w:r w:rsidRPr="002362E3">
              <w:rPr>
                <w:rFonts w:ascii="Times New Roman" w:hAnsi="Times New Roman"/>
                <w:b/>
                <w:sz w:val="16"/>
                <w:szCs w:val="16"/>
                <w:lang w:val="pt-BR"/>
              </w:rPr>
              <w:t>3</w:t>
            </w:r>
          </w:p>
        </w:tc>
        <w:tc>
          <w:tcPr>
            <w:tcW w:w="850" w:type="dxa"/>
            <w:tcBorders>
              <w:bottom w:val="single" w:sz="4" w:space="0" w:color="auto"/>
            </w:tcBorders>
          </w:tcPr>
          <w:p w:rsidR="00C821BE" w:rsidRPr="002362E3" w:rsidRDefault="00C821BE" w:rsidP="00C821BE">
            <w:pPr>
              <w:spacing w:after="0" w:line="240" w:lineRule="auto"/>
              <w:jc w:val="center"/>
              <w:rPr>
                <w:rFonts w:ascii="Times New Roman" w:hAnsi="Times New Roman"/>
                <w:sz w:val="16"/>
                <w:szCs w:val="16"/>
                <w:lang w:val="pt-BR"/>
              </w:rPr>
            </w:pPr>
            <w:r w:rsidRPr="002362E3">
              <w:rPr>
                <w:rFonts w:ascii="Times New Roman" w:hAnsi="Times New Roman"/>
                <w:sz w:val="16"/>
                <w:szCs w:val="16"/>
                <w:lang w:val="pt-BR"/>
              </w:rPr>
              <w:t>Média</w:t>
            </w:r>
          </w:p>
        </w:tc>
        <w:tc>
          <w:tcPr>
            <w:tcW w:w="284" w:type="dxa"/>
            <w:shd w:val="clear" w:color="auto" w:fill="002060"/>
          </w:tcPr>
          <w:p w:rsidR="00C821BE" w:rsidRPr="002362E3" w:rsidRDefault="00C821BE" w:rsidP="00C821BE">
            <w:pPr>
              <w:spacing w:after="0" w:line="240" w:lineRule="auto"/>
              <w:jc w:val="center"/>
              <w:rPr>
                <w:rFonts w:ascii="Times New Roman" w:hAnsi="Times New Roman"/>
                <w:b/>
                <w:sz w:val="16"/>
                <w:szCs w:val="16"/>
                <w:lang w:val="pt-BR"/>
              </w:rPr>
            </w:pPr>
            <w:r w:rsidRPr="002362E3">
              <w:rPr>
                <w:rFonts w:ascii="Times New Roman" w:hAnsi="Times New Roman"/>
                <w:b/>
                <w:sz w:val="16"/>
                <w:szCs w:val="16"/>
                <w:lang w:val="pt-BR"/>
              </w:rPr>
              <w:t>3</w:t>
            </w:r>
          </w:p>
        </w:tc>
        <w:tc>
          <w:tcPr>
            <w:tcW w:w="850" w:type="dxa"/>
            <w:tcBorders>
              <w:bottom w:val="single" w:sz="4" w:space="0" w:color="auto"/>
            </w:tcBorders>
            <w:shd w:val="clear" w:color="auto" w:fill="FFE599" w:themeFill="accent4" w:themeFillTint="66"/>
            <w:vAlign w:val="center"/>
          </w:tcPr>
          <w:p w:rsidR="00C821BE" w:rsidRPr="002362E3" w:rsidRDefault="00C821BE" w:rsidP="00C821BE">
            <w:pPr>
              <w:spacing w:after="0" w:line="240" w:lineRule="auto"/>
              <w:jc w:val="center"/>
              <w:rPr>
                <w:rFonts w:ascii="Times New Roman" w:hAnsi="Times New Roman"/>
                <w:b/>
                <w:sz w:val="16"/>
                <w:szCs w:val="16"/>
                <w:lang w:val="pt-BR"/>
              </w:rPr>
            </w:pPr>
            <w:r w:rsidRPr="002362E3">
              <w:rPr>
                <w:rFonts w:ascii="Times New Roman" w:hAnsi="Times New Roman"/>
                <w:b/>
                <w:sz w:val="16"/>
                <w:szCs w:val="16"/>
                <w:lang w:val="pt-BR"/>
              </w:rPr>
              <w:t>Média</w:t>
            </w:r>
          </w:p>
        </w:tc>
        <w:tc>
          <w:tcPr>
            <w:tcW w:w="567" w:type="dxa"/>
            <w:tcBorders>
              <w:bottom w:val="single" w:sz="4" w:space="0" w:color="auto"/>
            </w:tcBorders>
            <w:shd w:val="clear" w:color="auto" w:fill="FFE599" w:themeFill="accent4" w:themeFillTint="66"/>
            <w:vAlign w:val="center"/>
          </w:tcPr>
          <w:p w:rsidR="00C821BE" w:rsidRPr="002362E3" w:rsidRDefault="00C821BE" w:rsidP="00C821BE">
            <w:pPr>
              <w:spacing w:after="0" w:line="240" w:lineRule="auto"/>
              <w:jc w:val="center"/>
              <w:rPr>
                <w:rFonts w:ascii="Times New Roman" w:hAnsi="Times New Roman"/>
                <w:b/>
                <w:sz w:val="16"/>
                <w:szCs w:val="16"/>
                <w:lang w:val="pt-BR"/>
              </w:rPr>
            </w:pPr>
            <w:r w:rsidRPr="002362E3">
              <w:rPr>
                <w:rFonts w:ascii="Times New Roman" w:hAnsi="Times New Roman"/>
                <w:b/>
                <w:sz w:val="16"/>
                <w:szCs w:val="16"/>
                <w:lang w:val="pt-BR"/>
              </w:rPr>
              <w:t>27</w:t>
            </w:r>
          </w:p>
        </w:tc>
      </w:tr>
      <w:tr w:rsidR="00C821BE" w:rsidRPr="002362E3" w:rsidTr="00C821BE">
        <w:trPr>
          <w:gridBefore w:val="3"/>
          <w:gridAfter w:val="9"/>
          <w:wBefore w:w="2071" w:type="dxa"/>
          <w:wAfter w:w="7845" w:type="dxa"/>
          <w:trHeight w:val="70"/>
          <w:jc w:val="center"/>
        </w:trPr>
        <w:tc>
          <w:tcPr>
            <w:tcW w:w="734" w:type="dxa"/>
            <w:shd w:val="clear" w:color="auto" w:fill="0D0D0D"/>
            <w:vAlign w:val="center"/>
          </w:tcPr>
          <w:p w:rsidR="00C821BE" w:rsidRPr="002362E3" w:rsidRDefault="00C821BE" w:rsidP="00C821BE">
            <w:pPr>
              <w:spacing w:after="0" w:line="240" w:lineRule="auto"/>
              <w:rPr>
                <w:rFonts w:ascii="Times New Roman" w:hAnsi="Times New Roman"/>
                <w:color w:val="FFFFFF"/>
                <w:sz w:val="4"/>
                <w:szCs w:val="4"/>
                <w:lang w:val="pt-BR"/>
              </w:rPr>
            </w:pPr>
          </w:p>
        </w:tc>
        <w:tc>
          <w:tcPr>
            <w:tcW w:w="685" w:type="dxa"/>
            <w:shd w:val="clear" w:color="auto" w:fill="0D0D0D"/>
            <w:vAlign w:val="center"/>
          </w:tcPr>
          <w:p w:rsidR="00C821BE" w:rsidRPr="002362E3" w:rsidRDefault="00C821BE" w:rsidP="00C821BE">
            <w:pPr>
              <w:spacing w:after="0" w:line="240" w:lineRule="auto"/>
              <w:jc w:val="center"/>
              <w:rPr>
                <w:rFonts w:ascii="Times New Roman" w:hAnsi="Times New Roman"/>
                <w:b/>
                <w:sz w:val="4"/>
                <w:szCs w:val="4"/>
                <w:lang w:val="pt-BR"/>
              </w:rPr>
            </w:pPr>
          </w:p>
        </w:tc>
      </w:tr>
      <w:tr w:rsidR="00C821BE" w:rsidRPr="002362E3" w:rsidTr="00C821BE">
        <w:trPr>
          <w:jc w:val="center"/>
        </w:trPr>
        <w:tc>
          <w:tcPr>
            <w:tcW w:w="988" w:type="dxa"/>
            <w:vMerge w:val="restart"/>
            <w:shd w:val="clear" w:color="auto" w:fill="BDD6EE"/>
            <w:vAlign w:val="center"/>
          </w:tcPr>
          <w:p w:rsidR="00C821BE" w:rsidRPr="002362E3" w:rsidRDefault="00C821BE" w:rsidP="00C821BE">
            <w:pPr>
              <w:spacing w:after="0" w:line="240" w:lineRule="auto"/>
              <w:jc w:val="center"/>
              <w:rPr>
                <w:rFonts w:ascii="Times New Roman" w:eastAsia="MS Gothic" w:hAnsi="Times New Roman"/>
                <w:b/>
                <w:sz w:val="16"/>
                <w:szCs w:val="16"/>
                <w:lang w:val="pt-BR"/>
              </w:rPr>
            </w:pPr>
            <w:r w:rsidRPr="002362E3">
              <w:rPr>
                <w:rFonts w:ascii="Times New Roman" w:eastAsia="MS Gothic" w:hAnsi="Times New Roman"/>
                <w:b/>
                <w:sz w:val="16"/>
                <w:szCs w:val="16"/>
                <w:lang w:val="pt-BR"/>
              </w:rPr>
              <w:t>Operação</w:t>
            </w:r>
          </w:p>
        </w:tc>
        <w:tc>
          <w:tcPr>
            <w:tcW w:w="850" w:type="dxa"/>
            <w:vAlign w:val="center"/>
          </w:tcPr>
          <w:p w:rsidR="00C821BE" w:rsidRPr="002362E3" w:rsidRDefault="00C821BE" w:rsidP="00C821BE">
            <w:pPr>
              <w:spacing w:after="0" w:line="240" w:lineRule="auto"/>
              <w:jc w:val="center"/>
              <w:rPr>
                <w:rFonts w:ascii="Times New Roman" w:hAnsi="Times New Roman"/>
                <w:b/>
                <w:sz w:val="16"/>
                <w:szCs w:val="16"/>
                <w:lang w:val="pt-BR"/>
              </w:rPr>
            </w:pPr>
            <w:r w:rsidRPr="002362E3">
              <w:rPr>
                <w:rFonts w:ascii="Times New Roman" w:hAnsi="Times New Roman"/>
                <w:b/>
                <w:sz w:val="16"/>
                <w:szCs w:val="16"/>
                <w:lang w:val="pt-BR"/>
              </w:rPr>
              <w:t>PANORAMA</w:t>
            </w:r>
          </w:p>
        </w:tc>
        <w:tc>
          <w:tcPr>
            <w:tcW w:w="4536" w:type="dxa"/>
            <w:gridSpan w:val="4"/>
            <w:vAlign w:val="center"/>
          </w:tcPr>
          <w:p w:rsidR="00C821BE" w:rsidRPr="002362E3" w:rsidRDefault="00C821BE" w:rsidP="00C821BE">
            <w:pPr>
              <w:pStyle w:val="PargrafodaLista"/>
              <w:numPr>
                <w:ilvl w:val="0"/>
                <w:numId w:val="225"/>
              </w:numPr>
              <w:spacing w:after="0" w:line="240" w:lineRule="auto"/>
              <w:ind w:left="313" w:hanging="313"/>
              <w:jc w:val="both"/>
              <w:rPr>
                <w:rFonts w:ascii="Times New Roman" w:hAnsi="Times New Roman"/>
                <w:sz w:val="16"/>
                <w:szCs w:val="16"/>
                <w:lang w:val="pt-BR"/>
              </w:rPr>
            </w:pPr>
            <w:r w:rsidRPr="002362E3">
              <w:rPr>
                <w:rFonts w:ascii="Times New Roman" w:hAnsi="Times New Roman"/>
                <w:sz w:val="16"/>
                <w:szCs w:val="16"/>
                <w:lang w:val="pt-BR"/>
              </w:rPr>
              <w:t xml:space="preserve">Criação de vegetação verde com árvores ornamentais ou sombreadas. </w:t>
            </w:r>
          </w:p>
        </w:tc>
        <w:tc>
          <w:tcPr>
            <w:tcW w:w="851" w:type="dxa"/>
            <w:vAlign w:val="center"/>
          </w:tcPr>
          <w:p w:rsidR="00C821BE" w:rsidRPr="002362E3" w:rsidRDefault="00C821BE" w:rsidP="00C821BE">
            <w:pPr>
              <w:spacing w:after="0" w:line="240" w:lineRule="auto"/>
              <w:jc w:val="center"/>
              <w:rPr>
                <w:rFonts w:ascii="Times New Roman" w:hAnsi="Times New Roman"/>
                <w:sz w:val="16"/>
                <w:szCs w:val="16"/>
                <w:lang w:val="pt-BR"/>
              </w:rPr>
            </w:pPr>
            <w:r w:rsidRPr="002362E3">
              <w:rPr>
                <w:rFonts w:ascii="Times New Roman" w:hAnsi="Times New Roman"/>
                <w:sz w:val="16"/>
                <w:szCs w:val="16"/>
                <w:lang w:val="pt-BR"/>
              </w:rPr>
              <w:t>Baixo</w:t>
            </w:r>
          </w:p>
        </w:tc>
        <w:tc>
          <w:tcPr>
            <w:tcW w:w="283" w:type="dxa"/>
            <w:shd w:val="clear" w:color="auto" w:fill="002060"/>
            <w:vAlign w:val="center"/>
          </w:tcPr>
          <w:p w:rsidR="00C821BE" w:rsidRPr="002362E3" w:rsidRDefault="00C821BE" w:rsidP="00C821BE">
            <w:pPr>
              <w:spacing w:after="0" w:line="240" w:lineRule="auto"/>
              <w:jc w:val="center"/>
              <w:rPr>
                <w:rFonts w:ascii="Times New Roman" w:hAnsi="Times New Roman"/>
                <w:b/>
                <w:sz w:val="16"/>
                <w:szCs w:val="16"/>
                <w:lang w:val="pt-BR"/>
              </w:rPr>
            </w:pPr>
            <w:r w:rsidRPr="002362E3">
              <w:rPr>
                <w:rFonts w:ascii="Times New Roman" w:hAnsi="Times New Roman"/>
                <w:b/>
                <w:sz w:val="16"/>
                <w:szCs w:val="16"/>
                <w:lang w:val="pt-BR"/>
              </w:rPr>
              <w:t>1</w:t>
            </w:r>
          </w:p>
        </w:tc>
        <w:tc>
          <w:tcPr>
            <w:tcW w:w="992" w:type="dxa"/>
            <w:vAlign w:val="center"/>
          </w:tcPr>
          <w:p w:rsidR="00C821BE" w:rsidRPr="002362E3" w:rsidRDefault="00C821BE" w:rsidP="00C821BE">
            <w:pPr>
              <w:spacing w:after="0" w:line="240" w:lineRule="auto"/>
              <w:jc w:val="center"/>
              <w:rPr>
                <w:rFonts w:ascii="Times New Roman" w:hAnsi="Times New Roman"/>
                <w:sz w:val="16"/>
                <w:szCs w:val="16"/>
                <w:lang w:val="pt-BR"/>
              </w:rPr>
            </w:pPr>
            <w:r w:rsidRPr="002362E3">
              <w:rPr>
                <w:rFonts w:ascii="Times New Roman" w:hAnsi="Times New Roman"/>
                <w:sz w:val="16"/>
                <w:szCs w:val="16"/>
                <w:lang w:val="pt-BR"/>
              </w:rPr>
              <w:t>Pontual</w:t>
            </w:r>
          </w:p>
        </w:tc>
        <w:tc>
          <w:tcPr>
            <w:tcW w:w="284" w:type="dxa"/>
            <w:shd w:val="clear" w:color="auto" w:fill="002060"/>
            <w:vAlign w:val="center"/>
          </w:tcPr>
          <w:p w:rsidR="00C821BE" w:rsidRPr="002362E3" w:rsidRDefault="00C821BE" w:rsidP="00C821BE">
            <w:pPr>
              <w:spacing w:after="0" w:line="240" w:lineRule="auto"/>
              <w:jc w:val="center"/>
              <w:rPr>
                <w:rFonts w:ascii="Times New Roman" w:hAnsi="Times New Roman"/>
                <w:b/>
                <w:sz w:val="16"/>
                <w:szCs w:val="16"/>
                <w:lang w:val="pt-BR"/>
              </w:rPr>
            </w:pPr>
            <w:r w:rsidRPr="002362E3">
              <w:rPr>
                <w:rFonts w:ascii="Times New Roman" w:hAnsi="Times New Roman"/>
                <w:b/>
                <w:sz w:val="16"/>
                <w:szCs w:val="16"/>
                <w:lang w:val="pt-BR"/>
              </w:rPr>
              <w:t>1</w:t>
            </w:r>
          </w:p>
        </w:tc>
        <w:tc>
          <w:tcPr>
            <w:tcW w:w="850" w:type="dxa"/>
            <w:vAlign w:val="center"/>
          </w:tcPr>
          <w:p w:rsidR="00C821BE" w:rsidRPr="002362E3" w:rsidRDefault="00C821BE" w:rsidP="00C821BE">
            <w:pPr>
              <w:spacing w:after="0" w:line="240" w:lineRule="auto"/>
              <w:jc w:val="center"/>
              <w:rPr>
                <w:rFonts w:ascii="Times New Roman" w:hAnsi="Times New Roman"/>
                <w:sz w:val="16"/>
                <w:szCs w:val="16"/>
                <w:lang w:val="pt-BR"/>
              </w:rPr>
            </w:pPr>
            <w:r w:rsidRPr="002362E3">
              <w:rPr>
                <w:rFonts w:ascii="Times New Roman" w:hAnsi="Times New Roman"/>
                <w:sz w:val="16"/>
                <w:szCs w:val="16"/>
                <w:lang w:val="pt-BR"/>
              </w:rPr>
              <w:t>Longo</w:t>
            </w:r>
          </w:p>
        </w:tc>
        <w:tc>
          <w:tcPr>
            <w:tcW w:w="284" w:type="dxa"/>
            <w:shd w:val="clear" w:color="auto" w:fill="002060"/>
            <w:vAlign w:val="center"/>
          </w:tcPr>
          <w:p w:rsidR="00C821BE" w:rsidRPr="002362E3" w:rsidRDefault="00C821BE" w:rsidP="00C821BE">
            <w:pPr>
              <w:spacing w:after="0" w:line="240" w:lineRule="auto"/>
              <w:jc w:val="center"/>
              <w:rPr>
                <w:rFonts w:ascii="Times New Roman" w:hAnsi="Times New Roman"/>
                <w:b/>
                <w:sz w:val="16"/>
                <w:szCs w:val="16"/>
                <w:lang w:val="pt-BR"/>
              </w:rPr>
            </w:pPr>
            <w:r w:rsidRPr="002362E3">
              <w:rPr>
                <w:rFonts w:ascii="Times New Roman" w:hAnsi="Times New Roman"/>
                <w:b/>
                <w:sz w:val="16"/>
                <w:szCs w:val="16"/>
                <w:lang w:val="pt-BR"/>
              </w:rPr>
              <w:t>5</w:t>
            </w:r>
          </w:p>
        </w:tc>
        <w:tc>
          <w:tcPr>
            <w:tcW w:w="850" w:type="dxa"/>
            <w:shd w:val="clear" w:color="auto" w:fill="F7CAAC" w:themeFill="accent2" w:themeFillTint="66"/>
            <w:vAlign w:val="center"/>
          </w:tcPr>
          <w:p w:rsidR="00C821BE" w:rsidRPr="002362E3" w:rsidRDefault="00C821BE" w:rsidP="00C821BE">
            <w:pPr>
              <w:spacing w:after="0" w:line="240" w:lineRule="auto"/>
              <w:jc w:val="center"/>
              <w:rPr>
                <w:rFonts w:ascii="Times New Roman" w:hAnsi="Times New Roman"/>
                <w:b/>
                <w:sz w:val="16"/>
                <w:szCs w:val="16"/>
                <w:lang w:val="pt-BR"/>
              </w:rPr>
            </w:pPr>
            <w:r w:rsidRPr="002362E3">
              <w:rPr>
                <w:rFonts w:ascii="Times New Roman" w:hAnsi="Times New Roman"/>
                <w:b/>
                <w:sz w:val="16"/>
                <w:szCs w:val="16"/>
                <w:lang w:val="pt-BR"/>
              </w:rPr>
              <w:t>Menor</w:t>
            </w:r>
          </w:p>
        </w:tc>
        <w:tc>
          <w:tcPr>
            <w:tcW w:w="567" w:type="dxa"/>
            <w:shd w:val="clear" w:color="auto" w:fill="F7CAAC" w:themeFill="accent2" w:themeFillTint="66"/>
            <w:vAlign w:val="center"/>
          </w:tcPr>
          <w:p w:rsidR="00C821BE" w:rsidRPr="002362E3" w:rsidRDefault="00C821BE" w:rsidP="00C821BE">
            <w:pPr>
              <w:spacing w:after="0" w:line="240" w:lineRule="auto"/>
              <w:jc w:val="center"/>
              <w:rPr>
                <w:rFonts w:ascii="Times New Roman" w:hAnsi="Times New Roman"/>
                <w:b/>
                <w:sz w:val="16"/>
                <w:szCs w:val="16"/>
                <w:lang w:val="pt-BR"/>
              </w:rPr>
            </w:pPr>
            <w:r w:rsidRPr="002362E3">
              <w:rPr>
                <w:rFonts w:ascii="Times New Roman" w:hAnsi="Times New Roman"/>
                <w:b/>
                <w:sz w:val="16"/>
                <w:szCs w:val="16"/>
                <w:lang w:val="pt-BR"/>
              </w:rPr>
              <w:t>5</w:t>
            </w:r>
          </w:p>
        </w:tc>
      </w:tr>
      <w:tr w:rsidR="00C821BE" w:rsidRPr="002362E3" w:rsidTr="00C821BE">
        <w:trPr>
          <w:jc w:val="center"/>
        </w:trPr>
        <w:tc>
          <w:tcPr>
            <w:tcW w:w="988" w:type="dxa"/>
            <w:vMerge/>
            <w:shd w:val="clear" w:color="auto" w:fill="BDD6EE"/>
          </w:tcPr>
          <w:p w:rsidR="00C821BE" w:rsidRPr="002362E3" w:rsidRDefault="00C821BE" w:rsidP="00C821BE">
            <w:pPr>
              <w:spacing w:after="0" w:line="240" w:lineRule="auto"/>
              <w:jc w:val="both"/>
              <w:rPr>
                <w:rFonts w:ascii="Times New Roman" w:hAnsi="Times New Roman"/>
                <w:sz w:val="16"/>
                <w:szCs w:val="16"/>
                <w:lang w:val="pt-BR"/>
              </w:rPr>
            </w:pPr>
          </w:p>
        </w:tc>
        <w:tc>
          <w:tcPr>
            <w:tcW w:w="850" w:type="dxa"/>
            <w:vAlign w:val="center"/>
          </w:tcPr>
          <w:p w:rsidR="00C821BE" w:rsidRPr="002362E3" w:rsidRDefault="00C821BE" w:rsidP="00C821BE">
            <w:pPr>
              <w:spacing w:after="0" w:line="240" w:lineRule="auto"/>
              <w:jc w:val="center"/>
              <w:rPr>
                <w:rFonts w:ascii="Times New Roman" w:hAnsi="Times New Roman"/>
                <w:b/>
                <w:sz w:val="16"/>
                <w:szCs w:val="16"/>
                <w:lang w:val="pt-BR"/>
              </w:rPr>
            </w:pPr>
            <w:r w:rsidRPr="002362E3">
              <w:rPr>
                <w:rFonts w:ascii="Times New Roman" w:hAnsi="Times New Roman"/>
                <w:b/>
                <w:sz w:val="16"/>
                <w:szCs w:val="16"/>
                <w:lang w:val="pt-BR"/>
              </w:rPr>
              <w:t>ÁGUAS</w:t>
            </w:r>
          </w:p>
        </w:tc>
        <w:tc>
          <w:tcPr>
            <w:tcW w:w="4536" w:type="dxa"/>
            <w:gridSpan w:val="4"/>
            <w:vAlign w:val="center"/>
          </w:tcPr>
          <w:p w:rsidR="00C821BE" w:rsidRPr="002362E3" w:rsidRDefault="00C821BE" w:rsidP="00C821BE">
            <w:pPr>
              <w:pStyle w:val="PargrafodaLista"/>
              <w:numPr>
                <w:ilvl w:val="0"/>
                <w:numId w:val="225"/>
              </w:numPr>
              <w:spacing w:after="0" w:line="240" w:lineRule="auto"/>
              <w:ind w:left="313" w:hanging="313"/>
              <w:jc w:val="both"/>
              <w:rPr>
                <w:rFonts w:ascii="Times New Roman" w:hAnsi="Times New Roman"/>
                <w:sz w:val="16"/>
                <w:szCs w:val="16"/>
                <w:lang w:val="pt-BR"/>
              </w:rPr>
            </w:pPr>
            <w:r w:rsidRPr="002362E3">
              <w:rPr>
                <w:rFonts w:ascii="Times New Roman" w:hAnsi="Times New Roman"/>
                <w:sz w:val="16"/>
                <w:szCs w:val="16"/>
                <w:lang w:val="pt-BR"/>
              </w:rPr>
              <w:t>Manter o escoamento na saída.</w:t>
            </w:r>
          </w:p>
        </w:tc>
        <w:tc>
          <w:tcPr>
            <w:tcW w:w="851" w:type="dxa"/>
            <w:vAlign w:val="center"/>
          </w:tcPr>
          <w:p w:rsidR="00C821BE" w:rsidRPr="002362E3" w:rsidRDefault="00C821BE" w:rsidP="00C821BE">
            <w:pPr>
              <w:spacing w:after="0" w:line="240" w:lineRule="auto"/>
              <w:jc w:val="center"/>
              <w:rPr>
                <w:rFonts w:ascii="Times New Roman" w:hAnsi="Times New Roman"/>
                <w:sz w:val="16"/>
                <w:szCs w:val="16"/>
                <w:lang w:val="pt-BR"/>
              </w:rPr>
            </w:pPr>
            <w:r w:rsidRPr="002362E3">
              <w:rPr>
                <w:rFonts w:ascii="Times New Roman" w:hAnsi="Times New Roman"/>
                <w:sz w:val="16"/>
                <w:szCs w:val="16"/>
                <w:lang w:val="pt-BR"/>
              </w:rPr>
              <w:t>Baixo</w:t>
            </w:r>
          </w:p>
        </w:tc>
        <w:tc>
          <w:tcPr>
            <w:tcW w:w="283" w:type="dxa"/>
            <w:shd w:val="clear" w:color="auto" w:fill="002060"/>
            <w:vAlign w:val="center"/>
          </w:tcPr>
          <w:p w:rsidR="00C821BE" w:rsidRPr="002362E3" w:rsidRDefault="00C821BE" w:rsidP="00C821BE">
            <w:pPr>
              <w:spacing w:after="0" w:line="240" w:lineRule="auto"/>
              <w:jc w:val="center"/>
              <w:rPr>
                <w:rFonts w:ascii="Times New Roman" w:hAnsi="Times New Roman"/>
                <w:b/>
                <w:sz w:val="16"/>
                <w:szCs w:val="16"/>
                <w:lang w:val="pt-BR"/>
              </w:rPr>
            </w:pPr>
            <w:r w:rsidRPr="002362E3">
              <w:rPr>
                <w:rFonts w:ascii="Times New Roman" w:hAnsi="Times New Roman"/>
                <w:b/>
                <w:sz w:val="16"/>
                <w:szCs w:val="16"/>
                <w:lang w:val="pt-BR"/>
              </w:rPr>
              <w:t>1</w:t>
            </w:r>
          </w:p>
        </w:tc>
        <w:tc>
          <w:tcPr>
            <w:tcW w:w="992" w:type="dxa"/>
            <w:vAlign w:val="center"/>
          </w:tcPr>
          <w:p w:rsidR="00C821BE" w:rsidRPr="002362E3" w:rsidRDefault="00C821BE" w:rsidP="00C821BE">
            <w:pPr>
              <w:spacing w:after="0" w:line="240" w:lineRule="auto"/>
              <w:jc w:val="center"/>
              <w:rPr>
                <w:rFonts w:ascii="Times New Roman" w:hAnsi="Times New Roman"/>
                <w:sz w:val="16"/>
                <w:szCs w:val="16"/>
                <w:lang w:val="pt-BR"/>
              </w:rPr>
            </w:pPr>
            <w:r w:rsidRPr="002362E3">
              <w:rPr>
                <w:rFonts w:ascii="Times New Roman" w:hAnsi="Times New Roman"/>
                <w:sz w:val="16"/>
                <w:szCs w:val="16"/>
                <w:lang w:val="pt-BR"/>
              </w:rPr>
              <w:t>Pontual</w:t>
            </w:r>
          </w:p>
        </w:tc>
        <w:tc>
          <w:tcPr>
            <w:tcW w:w="284" w:type="dxa"/>
            <w:shd w:val="clear" w:color="auto" w:fill="002060"/>
            <w:vAlign w:val="center"/>
          </w:tcPr>
          <w:p w:rsidR="00C821BE" w:rsidRPr="002362E3" w:rsidRDefault="00C821BE" w:rsidP="00C821BE">
            <w:pPr>
              <w:spacing w:after="0" w:line="240" w:lineRule="auto"/>
              <w:jc w:val="center"/>
              <w:rPr>
                <w:rFonts w:ascii="Times New Roman" w:hAnsi="Times New Roman"/>
                <w:b/>
                <w:sz w:val="16"/>
                <w:szCs w:val="16"/>
                <w:lang w:val="pt-BR"/>
              </w:rPr>
            </w:pPr>
            <w:r w:rsidRPr="002362E3">
              <w:rPr>
                <w:rFonts w:ascii="Times New Roman" w:hAnsi="Times New Roman"/>
                <w:b/>
                <w:sz w:val="16"/>
                <w:szCs w:val="16"/>
                <w:lang w:val="pt-BR"/>
              </w:rPr>
              <w:t>1</w:t>
            </w:r>
          </w:p>
        </w:tc>
        <w:tc>
          <w:tcPr>
            <w:tcW w:w="850" w:type="dxa"/>
            <w:vAlign w:val="center"/>
          </w:tcPr>
          <w:p w:rsidR="00C821BE" w:rsidRPr="002362E3" w:rsidRDefault="00C821BE" w:rsidP="00C821BE">
            <w:pPr>
              <w:spacing w:after="0" w:line="240" w:lineRule="auto"/>
              <w:jc w:val="center"/>
              <w:rPr>
                <w:rFonts w:ascii="Times New Roman" w:hAnsi="Times New Roman"/>
                <w:sz w:val="16"/>
                <w:szCs w:val="16"/>
                <w:lang w:val="pt-BR"/>
              </w:rPr>
            </w:pPr>
            <w:r w:rsidRPr="002362E3">
              <w:rPr>
                <w:rFonts w:ascii="Times New Roman" w:hAnsi="Times New Roman"/>
                <w:sz w:val="16"/>
                <w:szCs w:val="16"/>
                <w:lang w:val="pt-BR"/>
              </w:rPr>
              <w:t>Longo</w:t>
            </w:r>
          </w:p>
        </w:tc>
        <w:tc>
          <w:tcPr>
            <w:tcW w:w="284" w:type="dxa"/>
            <w:shd w:val="clear" w:color="auto" w:fill="002060"/>
            <w:vAlign w:val="center"/>
          </w:tcPr>
          <w:p w:rsidR="00C821BE" w:rsidRPr="002362E3" w:rsidRDefault="00C821BE" w:rsidP="00C821BE">
            <w:pPr>
              <w:spacing w:after="0" w:line="240" w:lineRule="auto"/>
              <w:jc w:val="center"/>
              <w:rPr>
                <w:rFonts w:ascii="Times New Roman" w:hAnsi="Times New Roman"/>
                <w:b/>
                <w:sz w:val="16"/>
                <w:szCs w:val="16"/>
                <w:lang w:val="pt-BR"/>
              </w:rPr>
            </w:pPr>
            <w:r w:rsidRPr="002362E3">
              <w:rPr>
                <w:rFonts w:ascii="Times New Roman" w:hAnsi="Times New Roman"/>
                <w:b/>
                <w:sz w:val="16"/>
                <w:szCs w:val="16"/>
                <w:lang w:val="pt-BR"/>
              </w:rPr>
              <w:t>5</w:t>
            </w:r>
          </w:p>
        </w:tc>
        <w:tc>
          <w:tcPr>
            <w:tcW w:w="850" w:type="dxa"/>
            <w:shd w:val="clear" w:color="auto" w:fill="F7CAAC" w:themeFill="accent2" w:themeFillTint="66"/>
            <w:vAlign w:val="center"/>
          </w:tcPr>
          <w:p w:rsidR="00C821BE" w:rsidRPr="002362E3" w:rsidRDefault="00C821BE" w:rsidP="00C821BE">
            <w:pPr>
              <w:spacing w:after="0" w:line="240" w:lineRule="auto"/>
              <w:jc w:val="center"/>
              <w:rPr>
                <w:rFonts w:ascii="Times New Roman" w:hAnsi="Times New Roman"/>
                <w:b/>
                <w:sz w:val="16"/>
                <w:szCs w:val="16"/>
                <w:lang w:val="pt-BR"/>
              </w:rPr>
            </w:pPr>
            <w:r w:rsidRPr="002362E3">
              <w:rPr>
                <w:rFonts w:ascii="Times New Roman" w:hAnsi="Times New Roman"/>
                <w:b/>
                <w:sz w:val="16"/>
                <w:szCs w:val="16"/>
                <w:lang w:val="pt-BR"/>
              </w:rPr>
              <w:t>Menor</w:t>
            </w:r>
          </w:p>
        </w:tc>
        <w:tc>
          <w:tcPr>
            <w:tcW w:w="567" w:type="dxa"/>
            <w:shd w:val="clear" w:color="auto" w:fill="F7CAAC" w:themeFill="accent2" w:themeFillTint="66"/>
            <w:vAlign w:val="center"/>
          </w:tcPr>
          <w:p w:rsidR="00C821BE" w:rsidRPr="002362E3" w:rsidRDefault="00C821BE" w:rsidP="00C821BE">
            <w:pPr>
              <w:spacing w:after="0" w:line="240" w:lineRule="auto"/>
              <w:jc w:val="center"/>
              <w:rPr>
                <w:rFonts w:ascii="Times New Roman" w:hAnsi="Times New Roman"/>
                <w:b/>
                <w:sz w:val="16"/>
                <w:szCs w:val="16"/>
                <w:lang w:val="pt-BR"/>
              </w:rPr>
            </w:pPr>
            <w:r w:rsidRPr="002362E3">
              <w:rPr>
                <w:rFonts w:ascii="Times New Roman" w:hAnsi="Times New Roman"/>
                <w:b/>
                <w:sz w:val="16"/>
                <w:szCs w:val="16"/>
                <w:lang w:val="pt-BR"/>
              </w:rPr>
              <w:t>5</w:t>
            </w:r>
          </w:p>
        </w:tc>
      </w:tr>
      <w:tr w:rsidR="00C821BE" w:rsidRPr="002362E3" w:rsidTr="00C821BE">
        <w:trPr>
          <w:jc w:val="center"/>
        </w:trPr>
        <w:tc>
          <w:tcPr>
            <w:tcW w:w="988" w:type="dxa"/>
            <w:vMerge/>
            <w:shd w:val="clear" w:color="auto" w:fill="BDD6EE"/>
          </w:tcPr>
          <w:p w:rsidR="00C821BE" w:rsidRPr="002362E3" w:rsidRDefault="00C821BE" w:rsidP="00C821BE">
            <w:pPr>
              <w:spacing w:after="0" w:line="240" w:lineRule="auto"/>
              <w:jc w:val="both"/>
              <w:rPr>
                <w:rFonts w:ascii="Times New Roman" w:hAnsi="Times New Roman"/>
                <w:sz w:val="16"/>
                <w:szCs w:val="16"/>
                <w:lang w:val="pt-BR"/>
              </w:rPr>
            </w:pPr>
          </w:p>
        </w:tc>
        <w:tc>
          <w:tcPr>
            <w:tcW w:w="850" w:type="dxa"/>
            <w:vMerge w:val="restart"/>
            <w:vAlign w:val="center"/>
          </w:tcPr>
          <w:p w:rsidR="00C821BE" w:rsidRPr="002362E3" w:rsidRDefault="00C821BE" w:rsidP="00C821BE">
            <w:pPr>
              <w:spacing w:after="0" w:line="240" w:lineRule="auto"/>
              <w:jc w:val="center"/>
              <w:rPr>
                <w:rFonts w:ascii="Times New Roman" w:hAnsi="Times New Roman"/>
                <w:b/>
                <w:sz w:val="16"/>
                <w:szCs w:val="16"/>
                <w:lang w:val="pt-BR"/>
              </w:rPr>
            </w:pPr>
            <w:r w:rsidRPr="002362E3">
              <w:rPr>
                <w:rFonts w:ascii="Times New Roman" w:eastAsia="MS Gothic" w:hAnsi="Times New Roman"/>
                <w:b/>
                <w:sz w:val="16"/>
                <w:szCs w:val="16"/>
                <w:lang w:val="pt-BR"/>
              </w:rPr>
              <w:t>SOCIO-ECONÔMICO</w:t>
            </w:r>
          </w:p>
        </w:tc>
        <w:tc>
          <w:tcPr>
            <w:tcW w:w="4536" w:type="dxa"/>
            <w:gridSpan w:val="4"/>
            <w:vAlign w:val="center"/>
          </w:tcPr>
          <w:p w:rsidR="00C821BE" w:rsidRPr="002362E3" w:rsidRDefault="00C821BE" w:rsidP="00C821BE">
            <w:pPr>
              <w:pStyle w:val="PargrafodaLista"/>
              <w:numPr>
                <w:ilvl w:val="0"/>
                <w:numId w:val="225"/>
              </w:numPr>
              <w:spacing w:after="0" w:line="240" w:lineRule="auto"/>
              <w:ind w:left="313" w:hanging="313"/>
              <w:jc w:val="both"/>
              <w:rPr>
                <w:rFonts w:ascii="Times New Roman" w:hAnsi="Times New Roman"/>
                <w:sz w:val="16"/>
                <w:szCs w:val="16"/>
                <w:lang w:val="pt-BR"/>
              </w:rPr>
            </w:pPr>
            <w:r w:rsidRPr="002362E3">
              <w:rPr>
                <w:rFonts w:ascii="Times New Roman" w:hAnsi="Times New Roman"/>
                <w:sz w:val="16"/>
                <w:szCs w:val="16"/>
                <w:lang w:val="pt-BR"/>
              </w:rPr>
              <w:t>Redução significativa dos déficits de abastecimento de água potável.</w:t>
            </w:r>
          </w:p>
        </w:tc>
        <w:tc>
          <w:tcPr>
            <w:tcW w:w="851" w:type="dxa"/>
            <w:vAlign w:val="center"/>
          </w:tcPr>
          <w:p w:rsidR="00C821BE" w:rsidRPr="002362E3" w:rsidRDefault="00C821BE" w:rsidP="00C821BE">
            <w:pPr>
              <w:spacing w:after="0" w:line="240" w:lineRule="auto"/>
              <w:jc w:val="center"/>
              <w:rPr>
                <w:rFonts w:ascii="Times New Roman" w:hAnsi="Times New Roman"/>
                <w:sz w:val="16"/>
                <w:szCs w:val="16"/>
                <w:lang w:val="pt-BR"/>
              </w:rPr>
            </w:pPr>
            <w:r w:rsidRPr="002362E3">
              <w:rPr>
                <w:rFonts w:ascii="Times New Roman" w:hAnsi="Times New Roman"/>
                <w:sz w:val="16"/>
                <w:szCs w:val="16"/>
                <w:lang w:val="pt-BR"/>
              </w:rPr>
              <w:t>Forte</w:t>
            </w:r>
          </w:p>
        </w:tc>
        <w:tc>
          <w:tcPr>
            <w:tcW w:w="283" w:type="dxa"/>
            <w:shd w:val="clear" w:color="auto" w:fill="002060"/>
            <w:vAlign w:val="center"/>
          </w:tcPr>
          <w:p w:rsidR="00C821BE" w:rsidRPr="002362E3" w:rsidRDefault="00C821BE" w:rsidP="00C821BE">
            <w:pPr>
              <w:spacing w:after="0" w:line="240" w:lineRule="auto"/>
              <w:jc w:val="center"/>
              <w:rPr>
                <w:rFonts w:ascii="Times New Roman" w:hAnsi="Times New Roman"/>
                <w:b/>
                <w:sz w:val="16"/>
                <w:szCs w:val="16"/>
                <w:lang w:val="pt-BR"/>
              </w:rPr>
            </w:pPr>
            <w:r w:rsidRPr="002362E3">
              <w:rPr>
                <w:rFonts w:ascii="Times New Roman" w:hAnsi="Times New Roman"/>
                <w:b/>
                <w:sz w:val="16"/>
                <w:szCs w:val="16"/>
                <w:lang w:val="pt-BR"/>
              </w:rPr>
              <w:t>5</w:t>
            </w:r>
          </w:p>
        </w:tc>
        <w:tc>
          <w:tcPr>
            <w:tcW w:w="992" w:type="dxa"/>
            <w:vAlign w:val="center"/>
          </w:tcPr>
          <w:p w:rsidR="00C821BE" w:rsidRPr="002362E3" w:rsidRDefault="00C821BE" w:rsidP="00C821BE">
            <w:pPr>
              <w:spacing w:after="0" w:line="240" w:lineRule="auto"/>
              <w:jc w:val="center"/>
              <w:rPr>
                <w:rFonts w:ascii="Times New Roman" w:hAnsi="Times New Roman"/>
                <w:sz w:val="16"/>
                <w:szCs w:val="16"/>
                <w:lang w:val="pt-BR"/>
              </w:rPr>
            </w:pPr>
            <w:r w:rsidRPr="002362E3">
              <w:rPr>
                <w:rFonts w:ascii="Times New Roman" w:hAnsi="Times New Roman"/>
                <w:sz w:val="16"/>
                <w:szCs w:val="16"/>
                <w:lang w:val="pt-BR"/>
              </w:rPr>
              <w:t>Local</w:t>
            </w:r>
          </w:p>
        </w:tc>
        <w:tc>
          <w:tcPr>
            <w:tcW w:w="284" w:type="dxa"/>
            <w:shd w:val="clear" w:color="auto" w:fill="002060"/>
            <w:vAlign w:val="center"/>
          </w:tcPr>
          <w:p w:rsidR="00C821BE" w:rsidRPr="002362E3" w:rsidRDefault="00C821BE" w:rsidP="00C821BE">
            <w:pPr>
              <w:spacing w:after="0" w:line="240" w:lineRule="auto"/>
              <w:jc w:val="center"/>
              <w:rPr>
                <w:rFonts w:ascii="Times New Roman" w:hAnsi="Times New Roman"/>
                <w:b/>
                <w:sz w:val="16"/>
                <w:szCs w:val="16"/>
                <w:lang w:val="pt-BR"/>
              </w:rPr>
            </w:pPr>
            <w:r w:rsidRPr="002362E3">
              <w:rPr>
                <w:rFonts w:ascii="Times New Roman" w:hAnsi="Times New Roman"/>
                <w:b/>
                <w:sz w:val="16"/>
                <w:szCs w:val="16"/>
                <w:lang w:val="pt-BR"/>
              </w:rPr>
              <w:t>3</w:t>
            </w:r>
          </w:p>
        </w:tc>
        <w:tc>
          <w:tcPr>
            <w:tcW w:w="850" w:type="dxa"/>
            <w:vAlign w:val="center"/>
          </w:tcPr>
          <w:p w:rsidR="00C821BE" w:rsidRPr="002362E3" w:rsidRDefault="00C821BE" w:rsidP="00C821BE">
            <w:pPr>
              <w:spacing w:after="0" w:line="240" w:lineRule="auto"/>
              <w:jc w:val="center"/>
              <w:rPr>
                <w:rFonts w:ascii="Times New Roman" w:hAnsi="Times New Roman"/>
                <w:sz w:val="16"/>
                <w:szCs w:val="16"/>
                <w:lang w:val="pt-BR"/>
              </w:rPr>
            </w:pPr>
            <w:r w:rsidRPr="002362E3">
              <w:rPr>
                <w:rFonts w:ascii="Times New Roman" w:hAnsi="Times New Roman"/>
                <w:sz w:val="16"/>
                <w:szCs w:val="16"/>
                <w:lang w:val="pt-BR"/>
              </w:rPr>
              <w:t>Longo</w:t>
            </w:r>
          </w:p>
        </w:tc>
        <w:tc>
          <w:tcPr>
            <w:tcW w:w="284" w:type="dxa"/>
            <w:shd w:val="clear" w:color="auto" w:fill="002060"/>
            <w:vAlign w:val="center"/>
          </w:tcPr>
          <w:p w:rsidR="00C821BE" w:rsidRPr="002362E3" w:rsidRDefault="00C821BE" w:rsidP="00C821BE">
            <w:pPr>
              <w:spacing w:after="0" w:line="240" w:lineRule="auto"/>
              <w:jc w:val="center"/>
              <w:rPr>
                <w:rFonts w:ascii="Times New Roman" w:hAnsi="Times New Roman"/>
                <w:b/>
                <w:sz w:val="16"/>
                <w:szCs w:val="16"/>
                <w:lang w:val="pt-BR"/>
              </w:rPr>
            </w:pPr>
            <w:r w:rsidRPr="002362E3">
              <w:rPr>
                <w:rFonts w:ascii="Times New Roman" w:hAnsi="Times New Roman"/>
                <w:b/>
                <w:sz w:val="16"/>
                <w:szCs w:val="16"/>
                <w:lang w:val="pt-BR"/>
              </w:rPr>
              <w:t>5</w:t>
            </w:r>
          </w:p>
        </w:tc>
        <w:tc>
          <w:tcPr>
            <w:tcW w:w="850" w:type="dxa"/>
            <w:shd w:val="clear" w:color="auto" w:fill="92D050"/>
            <w:vAlign w:val="center"/>
          </w:tcPr>
          <w:p w:rsidR="00C821BE" w:rsidRPr="002362E3" w:rsidRDefault="00C821BE" w:rsidP="00C821BE">
            <w:pPr>
              <w:spacing w:after="0" w:line="240" w:lineRule="auto"/>
              <w:jc w:val="center"/>
              <w:rPr>
                <w:rFonts w:ascii="Times New Roman" w:hAnsi="Times New Roman"/>
                <w:b/>
                <w:sz w:val="16"/>
                <w:szCs w:val="16"/>
                <w:lang w:val="pt-BR"/>
              </w:rPr>
            </w:pPr>
            <w:r w:rsidRPr="002362E3">
              <w:rPr>
                <w:rFonts w:ascii="Times New Roman" w:hAnsi="Times New Roman"/>
                <w:b/>
                <w:sz w:val="16"/>
                <w:szCs w:val="16"/>
                <w:lang w:val="pt-BR"/>
              </w:rPr>
              <w:t>Principal</w:t>
            </w:r>
          </w:p>
        </w:tc>
        <w:tc>
          <w:tcPr>
            <w:tcW w:w="567" w:type="dxa"/>
            <w:shd w:val="clear" w:color="auto" w:fill="92D050"/>
            <w:vAlign w:val="center"/>
          </w:tcPr>
          <w:p w:rsidR="00C821BE" w:rsidRPr="002362E3" w:rsidRDefault="00C821BE" w:rsidP="00C821BE">
            <w:pPr>
              <w:spacing w:after="0" w:line="240" w:lineRule="auto"/>
              <w:jc w:val="center"/>
              <w:rPr>
                <w:rFonts w:ascii="Times New Roman" w:hAnsi="Times New Roman"/>
                <w:b/>
                <w:sz w:val="16"/>
                <w:szCs w:val="16"/>
                <w:lang w:val="pt-BR"/>
              </w:rPr>
            </w:pPr>
            <w:r w:rsidRPr="002362E3">
              <w:rPr>
                <w:rFonts w:ascii="Times New Roman" w:hAnsi="Times New Roman"/>
                <w:b/>
                <w:sz w:val="16"/>
                <w:szCs w:val="16"/>
                <w:lang w:val="pt-BR"/>
              </w:rPr>
              <w:t>75</w:t>
            </w:r>
          </w:p>
        </w:tc>
      </w:tr>
      <w:tr w:rsidR="00C821BE" w:rsidRPr="002362E3" w:rsidTr="00C821BE">
        <w:trPr>
          <w:jc w:val="center"/>
        </w:trPr>
        <w:tc>
          <w:tcPr>
            <w:tcW w:w="988" w:type="dxa"/>
            <w:vMerge/>
            <w:shd w:val="clear" w:color="auto" w:fill="BDD6EE"/>
          </w:tcPr>
          <w:p w:rsidR="00C821BE" w:rsidRPr="002362E3" w:rsidRDefault="00C821BE" w:rsidP="00C821BE">
            <w:pPr>
              <w:spacing w:after="0" w:line="240" w:lineRule="auto"/>
              <w:jc w:val="both"/>
              <w:rPr>
                <w:rFonts w:ascii="Times New Roman" w:hAnsi="Times New Roman"/>
                <w:sz w:val="16"/>
                <w:szCs w:val="16"/>
                <w:lang w:val="pt-BR"/>
              </w:rPr>
            </w:pPr>
          </w:p>
        </w:tc>
        <w:tc>
          <w:tcPr>
            <w:tcW w:w="850" w:type="dxa"/>
            <w:vMerge/>
          </w:tcPr>
          <w:p w:rsidR="00C821BE" w:rsidRPr="002362E3" w:rsidRDefault="00C821BE" w:rsidP="00C821BE">
            <w:pPr>
              <w:spacing w:after="0" w:line="240" w:lineRule="auto"/>
              <w:jc w:val="both"/>
              <w:rPr>
                <w:rFonts w:ascii="Times New Roman" w:hAnsi="Times New Roman"/>
                <w:b/>
                <w:sz w:val="16"/>
                <w:szCs w:val="16"/>
                <w:lang w:val="pt-BR"/>
              </w:rPr>
            </w:pPr>
          </w:p>
        </w:tc>
        <w:tc>
          <w:tcPr>
            <w:tcW w:w="4536" w:type="dxa"/>
            <w:gridSpan w:val="4"/>
            <w:vAlign w:val="center"/>
          </w:tcPr>
          <w:p w:rsidR="00C821BE" w:rsidRPr="002362E3" w:rsidRDefault="00C821BE" w:rsidP="00C821BE">
            <w:pPr>
              <w:pStyle w:val="PargrafodaLista"/>
              <w:numPr>
                <w:ilvl w:val="0"/>
                <w:numId w:val="225"/>
              </w:numPr>
              <w:spacing w:after="0" w:line="240" w:lineRule="auto"/>
              <w:ind w:left="313" w:hanging="313"/>
              <w:jc w:val="both"/>
              <w:rPr>
                <w:rFonts w:ascii="Times New Roman" w:hAnsi="Times New Roman"/>
                <w:sz w:val="16"/>
                <w:szCs w:val="16"/>
                <w:lang w:val="pt-BR"/>
              </w:rPr>
            </w:pPr>
            <w:r w:rsidRPr="002362E3">
              <w:rPr>
                <w:rFonts w:ascii="Times New Roman" w:hAnsi="Times New Roman"/>
                <w:sz w:val="16"/>
                <w:szCs w:val="16"/>
                <w:lang w:val="pt-BR"/>
              </w:rPr>
              <w:t>Redução da prevalência de doenças transmitidas pela água</w:t>
            </w:r>
          </w:p>
        </w:tc>
        <w:tc>
          <w:tcPr>
            <w:tcW w:w="851" w:type="dxa"/>
            <w:vMerge w:val="restart"/>
            <w:vAlign w:val="center"/>
          </w:tcPr>
          <w:p w:rsidR="00C821BE" w:rsidRPr="002362E3" w:rsidRDefault="00C821BE" w:rsidP="00C821BE">
            <w:pPr>
              <w:spacing w:after="0" w:line="240" w:lineRule="auto"/>
              <w:jc w:val="center"/>
              <w:rPr>
                <w:rFonts w:ascii="Times New Roman" w:hAnsi="Times New Roman"/>
                <w:sz w:val="16"/>
                <w:szCs w:val="16"/>
                <w:lang w:val="pt-BR"/>
              </w:rPr>
            </w:pPr>
            <w:r w:rsidRPr="002362E3">
              <w:rPr>
                <w:rFonts w:ascii="Times New Roman" w:hAnsi="Times New Roman"/>
                <w:sz w:val="16"/>
                <w:szCs w:val="16"/>
                <w:lang w:val="pt-BR"/>
              </w:rPr>
              <w:t>Forte</w:t>
            </w:r>
          </w:p>
        </w:tc>
        <w:tc>
          <w:tcPr>
            <w:tcW w:w="283" w:type="dxa"/>
            <w:vMerge w:val="restart"/>
            <w:shd w:val="clear" w:color="auto" w:fill="002060"/>
            <w:vAlign w:val="center"/>
          </w:tcPr>
          <w:p w:rsidR="00C821BE" w:rsidRPr="002362E3" w:rsidRDefault="00C821BE" w:rsidP="00C821BE">
            <w:pPr>
              <w:spacing w:after="0" w:line="240" w:lineRule="auto"/>
              <w:jc w:val="center"/>
              <w:rPr>
                <w:rFonts w:ascii="Times New Roman" w:hAnsi="Times New Roman"/>
                <w:b/>
                <w:sz w:val="16"/>
                <w:szCs w:val="16"/>
                <w:lang w:val="pt-BR"/>
              </w:rPr>
            </w:pPr>
            <w:r w:rsidRPr="002362E3">
              <w:rPr>
                <w:rFonts w:ascii="Times New Roman" w:hAnsi="Times New Roman"/>
                <w:b/>
                <w:sz w:val="16"/>
                <w:szCs w:val="16"/>
                <w:lang w:val="pt-BR"/>
              </w:rPr>
              <w:t>5</w:t>
            </w:r>
          </w:p>
        </w:tc>
        <w:tc>
          <w:tcPr>
            <w:tcW w:w="992" w:type="dxa"/>
            <w:vMerge w:val="restart"/>
            <w:vAlign w:val="center"/>
          </w:tcPr>
          <w:p w:rsidR="00C821BE" w:rsidRPr="002362E3" w:rsidRDefault="00C821BE" w:rsidP="00C821BE">
            <w:pPr>
              <w:spacing w:after="0" w:line="240" w:lineRule="auto"/>
              <w:jc w:val="center"/>
              <w:rPr>
                <w:rFonts w:ascii="Times New Roman" w:hAnsi="Times New Roman"/>
                <w:sz w:val="16"/>
                <w:szCs w:val="16"/>
                <w:lang w:val="pt-BR"/>
              </w:rPr>
            </w:pPr>
            <w:r w:rsidRPr="002362E3">
              <w:rPr>
                <w:rFonts w:ascii="Times New Roman" w:hAnsi="Times New Roman"/>
                <w:sz w:val="16"/>
                <w:szCs w:val="16"/>
                <w:lang w:val="pt-BR"/>
              </w:rPr>
              <w:t>Regional</w:t>
            </w:r>
          </w:p>
        </w:tc>
        <w:tc>
          <w:tcPr>
            <w:tcW w:w="284" w:type="dxa"/>
            <w:vMerge w:val="restart"/>
            <w:shd w:val="clear" w:color="auto" w:fill="002060"/>
            <w:vAlign w:val="center"/>
          </w:tcPr>
          <w:p w:rsidR="00C821BE" w:rsidRPr="002362E3" w:rsidRDefault="00C821BE" w:rsidP="00C821BE">
            <w:pPr>
              <w:spacing w:after="0" w:line="240" w:lineRule="auto"/>
              <w:jc w:val="center"/>
              <w:rPr>
                <w:rFonts w:ascii="Times New Roman" w:hAnsi="Times New Roman"/>
                <w:b/>
                <w:sz w:val="16"/>
                <w:szCs w:val="16"/>
                <w:lang w:val="pt-BR"/>
              </w:rPr>
            </w:pPr>
            <w:r w:rsidRPr="002362E3">
              <w:rPr>
                <w:rFonts w:ascii="Times New Roman" w:hAnsi="Times New Roman"/>
                <w:b/>
                <w:sz w:val="16"/>
                <w:szCs w:val="16"/>
                <w:lang w:val="pt-BR"/>
              </w:rPr>
              <w:t>5</w:t>
            </w:r>
          </w:p>
        </w:tc>
        <w:tc>
          <w:tcPr>
            <w:tcW w:w="850" w:type="dxa"/>
            <w:vMerge w:val="restart"/>
            <w:vAlign w:val="center"/>
          </w:tcPr>
          <w:p w:rsidR="00C821BE" w:rsidRPr="002362E3" w:rsidRDefault="00C821BE" w:rsidP="00C821BE">
            <w:pPr>
              <w:spacing w:after="0" w:line="240" w:lineRule="auto"/>
              <w:jc w:val="center"/>
              <w:rPr>
                <w:rFonts w:ascii="Times New Roman" w:hAnsi="Times New Roman"/>
                <w:sz w:val="16"/>
                <w:szCs w:val="16"/>
                <w:lang w:val="pt-BR"/>
              </w:rPr>
            </w:pPr>
            <w:r w:rsidRPr="002362E3">
              <w:rPr>
                <w:rFonts w:ascii="Times New Roman" w:hAnsi="Times New Roman"/>
                <w:sz w:val="16"/>
                <w:szCs w:val="16"/>
                <w:lang w:val="pt-BR"/>
              </w:rPr>
              <w:t>Longo</w:t>
            </w:r>
          </w:p>
        </w:tc>
        <w:tc>
          <w:tcPr>
            <w:tcW w:w="284" w:type="dxa"/>
            <w:vMerge w:val="restart"/>
            <w:shd w:val="clear" w:color="auto" w:fill="002060"/>
            <w:vAlign w:val="center"/>
          </w:tcPr>
          <w:p w:rsidR="00C821BE" w:rsidRPr="002362E3" w:rsidRDefault="00C821BE" w:rsidP="00C821BE">
            <w:pPr>
              <w:spacing w:after="0" w:line="240" w:lineRule="auto"/>
              <w:jc w:val="center"/>
              <w:rPr>
                <w:rFonts w:ascii="Times New Roman" w:hAnsi="Times New Roman"/>
                <w:b/>
                <w:sz w:val="16"/>
                <w:szCs w:val="16"/>
                <w:lang w:val="pt-BR"/>
              </w:rPr>
            </w:pPr>
            <w:r w:rsidRPr="002362E3">
              <w:rPr>
                <w:rFonts w:ascii="Times New Roman" w:hAnsi="Times New Roman"/>
                <w:b/>
                <w:sz w:val="16"/>
                <w:szCs w:val="16"/>
                <w:lang w:val="pt-BR"/>
              </w:rPr>
              <w:t>5</w:t>
            </w:r>
          </w:p>
        </w:tc>
        <w:tc>
          <w:tcPr>
            <w:tcW w:w="850" w:type="dxa"/>
            <w:vMerge w:val="restart"/>
            <w:shd w:val="clear" w:color="auto" w:fill="92D050"/>
            <w:vAlign w:val="center"/>
          </w:tcPr>
          <w:p w:rsidR="00C821BE" w:rsidRPr="002362E3" w:rsidRDefault="00C821BE" w:rsidP="00C821BE">
            <w:pPr>
              <w:spacing w:after="0" w:line="240" w:lineRule="auto"/>
              <w:jc w:val="center"/>
              <w:rPr>
                <w:rFonts w:ascii="Times New Roman" w:hAnsi="Times New Roman"/>
                <w:b/>
                <w:sz w:val="16"/>
                <w:szCs w:val="16"/>
                <w:lang w:val="pt-BR"/>
              </w:rPr>
            </w:pPr>
            <w:r w:rsidRPr="002362E3">
              <w:rPr>
                <w:rFonts w:ascii="Times New Roman" w:hAnsi="Times New Roman"/>
                <w:b/>
                <w:sz w:val="16"/>
                <w:szCs w:val="16"/>
                <w:lang w:val="pt-BR"/>
              </w:rPr>
              <w:t>Principal</w:t>
            </w:r>
          </w:p>
        </w:tc>
        <w:tc>
          <w:tcPr>
            <w:tcW w:w="567" w:type="dxa"/>
            <w:vMerge w:val="restart"/>
            <w:shd w:val="clear" w:color="auto" w:fill="92D050"/>
            <w:vAlign w:val="center"/>
          </w:tcPr>
          <w:p w:rsidR="00C821BE" w:rsidRPr="002362E3" w:rsidRDefault="00C821BE" w:rsidP="00C821BE">
            <w:pPr>
              <w:spacing w:after="0" w:line="240" w:lineRule="auto"/>
              <w:jc w:val="center"/>
              <w:rPr>
                <w:rFonts w:ascii="Times New Roman" w:hAnsi="Times New Roman"/>
                <w:b/>
                <w:sz w:val="16"/>
                <w:szCs w:val="16"/>
                <w:lang w:val="pt-BR"/>
              </w:rPr>
            </w:pPr>
            <w:r w:rsidRPr="002362E3">
              <w:rPr>
                <w:rFonts w:ascii="Times New Roman" w:hAnsi="Times New Roman"/>
                <w:b/>
                <w:sz w:val="16"/>
                <w:szCs w:val="16"/>
                <w:lang w:val="pt-BR"/>
              </w:rPr>
              <w:t>125</w:t>
            </w:r>
          </w:p>
        </w:tc>
      </w:tr>
      <w:tr w:rsidR="00C821BE" w:rsidRPr="00332A41" w:rsidTr="00C821BE">
        <w:trPr>
          <w:jc w:val="center"/>
        </w:trPr>
        <w:tc>
          <w:tcPr>
            <w:tcW w:w="988" w:type="dxa"/>
            <w:vMerge/>
            <w:shd w:val="clear" w:color="auto" w:fill="BDD6EE"/>
          </w:tcPr>
          <w:p w:rsidR="00C821BE" w:rsidRPr="002362E3" w:rsidRDefault="00C821BE" w:rsidP="00C821BE">
            <w:pPr>
              <w:spacing w:after="0" w:line="240" w:lineRule="auto"/>
              <w:jc w:val="both"/>
              <w:rPr>
                <w:rFonts w:ascii="Times New Roman" w:hAnsi="Times New Roman"/>
                <w:sz w:val="16"/>
                <w:szCs w:val="16"/>
                <w:lang w:val="pt-BR"/>
              </w:rPr>
            </w:pPr>
          </w:p>
        </w:tc>
        <w:tc>
          <w:tcPr>
            <w:tcW w:w="850" w:type="dxa"/>
            <w:vMerge/>
          </w:tcPr>
          <w:p w:rsidR="00C821BE" w:rsidRPr="002362E3" w:rsidRDefault="00C821BE" w:rsidP="00C821BE">
            <w:pPr>
              <w:spacing w:after="0" w:line="240" w:lineRule="auto"/>
              <w:jc w:val="both"/>
              <w:rPr>
                <w:rFonts w:ascii="Times New Roman" w:hAnsi="Times New Roman"/>
                <w:b/>
                <w:sz w:val="16"/>
                <w:szCs w:val="16"/>
                <w:lang w:val="pt-BR"/>
              </w:rPr>
            </w:pPr>
          </w:p>
        </w:tc>
        <w:tc>
          <w:tcPr>
            <w:tcW w:w="4536" w:type="dxa"/>
            <w:gridSpan w:val="4"/>
          </w:tcPr>
          <w:p w:rsidR="00C821BE" w:rsidRPr="002362E3" w:rsidRDefault="00C821BE" w:rsidP="00C821BE">
            <w:pPr>
              <w:pStyle w:val="PargrafodaLista"/>
              <w:numPr>
                <w:ilvl w:val="0"/>
                <w:numId w:val="225"/>
              </w:numPr>
              <w:spacing w:after="0" w:line="240" w:lineRule="auto"/>
              <w:ind w:left="313" w:hanging="313"/>
              <w:jc w:val="both"/>
              <w:rPr>
                <w:rFonts w:ascii="Times New Roman" w:hAnsi="Times New Roman"/>
                <w:sz w:val="16"/>
                <w:szCs w:val="16"/>
                <w:lang w:val="pt-BR"/>
              </w:rPr>
            </w:pPr>
            <w:r w:rsidRPr="002362E3">
              <w:rPr>
                <w:rFonts w:ascii="Times New Roman" w:hAnsi="Times New Roman"/>
                <w:sz w:val="16"/>
                <w:szCs w:val="16"/>
                <w:lang w:val="pt-BR"/>
              </w:rPr>
              <w:t>Redução do deslocamento de populações em busca de água potável</w:t>
            </w:r>
          </w:p>
        </w:tc>
        <w:tc>
          <w:tcPr>
            <w:tcW w:w="851" w:type="dxa"/>
            <w:vMerge/>
            <w:vAlign w:val="center"/>
          </w:tcPr>
          <w:p w:rsidR="00C821BE" w:rsidRPr="002362E3" w:rsidRDefault="00C821BE" w:rsidP="00C821BE">
            <w:pPr>
              <w:spacing w:after="0" w:line="240" w:lineRule="auto"/>
              <w:jc w:val="center"/>
              <w:rPr>
                <w:rFonts w:ascii="Times New Roman" w:hAnsi="Times New Roman"/>
                <w:sz w:val="16"/>
                <w:szCs w:val="16"/>
                <w:lang w:val="pt-BR"/>
              </w:rPr>
            </w:pPr>
          </w:p>
        </w:tc>
        <w:tc>
          <w:tcPr>
            <w:tcW w:w="283" w:type="dxa"/>
            <w:vMerge/>
            <w:shd w:val="clear" w:color="auto" w:fill="002060"/>
            <w:vAlign w:val="center"/>
          </w:tcPr>
          <w:p w:rsidR="00C821BE" w:rsidRPr="002362E3" w:rsidRDefault="00C821BE" w:rsidP="00C821BE">
            <w:pPr>
              <w:spacing w:after="0" w:line="240" w:lineRule="auto"/>
              <w:jc w:val="center"/>
              <w:rPr>
                <w:rFonts w:ascii="Times New Roman" w:hAnsi="Times New Roman"/>
                <w:b/>
                <w:sz w:val="16"/>
                <w:szCs w:val="16"/>
                <w:lang w:val="pt-BR"/>
              </w:rPr>
            </w:pPr>
          </w:p>
        </w:tc>
        <w:tc>
          <w:tcPr>
            <w:tcW w:w="992" w:type="dxa"/>
            <w:vMerge/>
            <w:vAlign w:val="center"/>
          </w:tcPr>
          <w:p w:rsidR="00C821BE" w:rsidRPr="002362E3" w:rsidRDefault="00C821BE" w:rsidP="00C821BE">
            <w:pPr>
              <w:spacing w:after="0" w:line="240" w:lineRule="auto"/>
              <w:jc w:val="center"/>
              <w:rPr>
                <w:rFonts w:ascii="Times New Roman" w:hAnsi="Times New Roman"/>
                <w:sz w:val="16"/>
                <w:szCs w:val="16"/>
                <w:lang w:val="pt-BR"/>
              </w:rPr>
            </w:pPr>
          </w:p>
        </w:tc>
        <w:tc>
          <w:tcPr>
            <w:tcW w:w="284" w:type="dxa"/>
            <w:vMerge/>
            <w:shd w:val="clear" w:color="auto" w:fill="002060"/>
            <w:vAlign w:val="center"/>
          </w:tcPr>
          <w:p w:rsidR="00C821BE" w:rsidRPr="002362E3" w:rsidRDefault="00C821BE" w:rsidP="00C821BE">
            <w:pPr>
              <w:spacing w:after="0" w:line="240" w:lineRule="auto"/>
              <w:jc w:val="center"/>
              <w:rPr>
                <w:rFonts w:ascii="Times New Roman" w:hAnsi="Times New Roman"/>
                <w:b/>
                <w:sz w:val="16"/>
                <w:szCs w:val="16"/>
                <w:lang w:val="pt-BR"/>
              </w:rPr>
            </w:pPr>
          </w:p>
        </w:tc>
        <w:tc>
          <w:tcPr>
            <w:tcW w:w="850" w:type="dxa"/>
            <w:vMerge/>
            <w:vAlign w:val="center"/>
          </w:tcPr>
          <w:p w:rsidR="00C821BE" w:rsidRPr="002362E3" w:rsidRDefault="00C821BE" w:rsidP="00C821BE">
            <w:pPr>
              <w:spacing w:after="0" w:line="240" w:lineRule="auto"/>
              <w:jc w:val="center"/>
              <w:rPr>
                <w:rFonts w:ascii="Times New Roman" w:hAnsi="Times New Roman"/>
                <w:sz w:val="16"/>
                <w:szCs w:val="16"/>
                <w:lang w:val="pt-BR"/>
              </w:rPr>
            </w:pPr>
          </w:p>
        </w:tc>
        <w:tc>
          <w:tcPr>
            <w:tcW w:w="284" w:type="dxa"/>
            <w:vMerge/>
            <w:shd w:val="clear" w:color="auto" w:fill="002060"/>
            <w:vAlign w:val="center"/>
          </w:tcPr>
          <w:p w:rsidR="00C821BE" w:rsidRPr="002362E3" w:rsidRDefault="00C821BE" w:rsidP="00C821BE">
            <w:pPr>
              <w:spacing w:after="0" w:line="240" w:lineRule="auto"/>
              <w:jc w:val="center"/>
              <w:rPr>
                <w:rFonts w:ascii="Times New Roman" w:hAnsi="Times New Roman"/>
                <w:b/>
                <w:sz w:val="16"/>
                <w:szCs w:val="16"/>
                <w:lang w:val="pt-BR"/>
              </w:rPr>
            </w:pPr>
          </w:p>
        </w:tc>
        <w:tc>
          <w:tcPr>
            <w:tcW w:w="850" w:type="dxa"/>
            <w:vMerge/>
            <w:shd w:val="clear" w:color="auto" w:fill="92D050"/>
            <w:vAlign w:val="center"/>
          </w:tcPr>
          <w:p w:rsidR="00C821BE" w:rsidRPr="002362E3" w:rsidRDefault="00C821BE" w:rsidP="00C821BE">
            <w:pPr>
              <w:spacing w:after="0" w:line="240" w:lineRule="auto"/>
              <w:jc w:val="center"/>
              <w:rPr>
                <w:rFonts w:ascii="Times New Roman" w:hAnsi="Times New Roman"/>
                <w:b/>
                <w:sz w:val="16"/>
                <w:szCs w:val="16"/>
                <w:lang w:val="pt-BR"/>
              </w:rPr>
            </w:pPr>
          </w:p>
        </w:tc>
        <w:tc>
          <w:tcPr>
            <w:tcW w:w="567" w:type="dxa"/>
            <w:vMerge/>
            <w:shd w:val="clear" w:color="auto" w:fill="92D050"/>
            <w:vAlign w:val="center"/>
          </w:tcPr>
          <w:p w:rsidR="00C821BE" w:rsidRPr="002362E3" w:rsidRDefault="00C821BE" w:rsidP="00C821BE">
            <w:pPr>
              <w:spacing w:after="0" w:line="240" w:lineRule="auto"/>
              <w:jc w:val="center"/>
              <w:rPr>
                <w:rFonts w:ascii="Times New Roman" w:hAnsi="Times New Roman"/>
                <w:b/>
                <w:sz w:val="16"/>
                <w:szCs w:val="16"/>
                <w:lang w:val="pt-BR"/>
              </w:rPr>
            </w:pPr>
          </w:p>
        </w:tc>
      </w:tr>
      <w:tr w:rsidR="00C821BE" w:rsidRPr="00332A41" w:rsidTr="00C821BE">
        <w:trPr>
          <w:jc w:val="center"/>
        </w:trPr>
        <w:tc>
          <w:tcPr>
            <w:tcW w:w="988" w:type="dxa"/>
            <w:vMerge/>
            <w:shd w:val="clear" w:color="auto" w:fill="BDD6EE"/>
          </w:tcPr>
          <w:p w:rsidR="00C821BE" w:rsidRPr="002362E3" w:rsidRDefault="00C821BE" w:rsidP="00C821BE">
            <w:pPr>
              <w:spacing w:after="0" w:line="240" w:lineRule="auto"/>
              <w:jc w:val="both"/>
              <w:rPr>
                <w:rFonts w:ascii="Times New Roman" w:hAnsi="Times New Roman"/>
                <w:sz w:val="16"/>
                <w:szCs w:val="16"/>
                <w:lang w:val="pt-BR"/>
              </w:rPr>
            </w:pPr>
          </w:p>
        </w:tc>
        <w:tc>
          <w:tcPr>
            <w:tcW w:w="850" w:type="dxa"/>
            <w:vMerge/>
          </w:tcPr>
          <w:p w:rsidR="00C821BE" w:rsidRPr="002362E3" w:rsidRDefault="00C821BE" w:rsidP="00C821BE">
            <w:pPr>
              <w:tabs>
                <w:tab w:val="left" w:pos="2193"/>
              </w:tabs>
              <w:spacing w:after="0" w:line="240" w:lineRule="auto"/>
              <w:jc w:val="both"/>
              <w:rPr>
                <w:rFonts w:ascii="Times New Roman" w:hAnsi="Times New Roman"/>
                <w:b/>
                <w:sz w:val="16"/>
                <w:szCs w:val="16"/>
                <w:lang w:val="pt-BR"/>
              </w:rPr>
            </w:pPr>
          </w:p>
        </w:tc>
        <w:tc>
          <w:tcPr>
            <w:tcW w:w="4536" w:type="dxa"/>
            <w:gridSpan w:val="4"/>
          </w:tcPr>
          <w:p w:rsidR="00C821BE" w:rsidRPr="002362E3" w:rsidRDefault="00C821BE" w:rsidP="00C821BE">
            <w:pPr>
              <w:pStyle w:val="PargrafodaLista"/>
              <w:numPr>
                <w:ilvl w:val="0"/>
                <w:numId w:val="225"/>
              </w:numPr>
              <w:spacing w:after="0" w:line="240" w:lineRule="auto"/>
              <w:ind w:left="313" w:hanging="313"/>
              <w:jc w:val="both"/>
              <w:rPr>
                <w:rFonts w:ascii="Times New Roman" w:hAnsi="Times New Roman"/>
                <w:sz w:val="16"/>
                <w:szCs w:val="16"/>
                <w:lang w:val="pt-BR"/>
              </w:rPr>
            </w:pPr>
            <w:r w:rsidRPr="002362E3">
              <w:rPr>
                <w:rFonts w:ascii="Times New Roman" w:hAnsi="Times New Roman"/>
                <w:sz w:val="16"/>
                <w:szCs w:val="16"/>
                <w:lang w:val="pt-BR"/>
              </w:rPr>
              <w:t>Risco reduzido de lesões corporais devido ao transporte de água por longas distâncias e nas primeiras horas ou mais tarde</w:t>
            </w:r>
          </w:p>
        </w:tc>
        <w:tc>
          <w:tcPr>
            <w:tcW w:w="851" w:type="dxa"/>
            <w:vMerge/>
            <w:shd w:val="clear" w:color="auto" w:fill="FFFFFF"/>
            <w:vAlign w:val="center"/>
          </w:tcPr>
          <w:p w:rsidR="00C821BE" w:rsidRPr="002362E3" w:rsidRDefault="00C821BE" w:rsidP="00C821BE">
            <w:pPr>
              <w:spacing w:after="0" w:line="240" w:lineRule="auto"/>
              <w:jc w:val="center"/>
              <w:rPr>
                <w:rFonts w:ascii="Times New Roman" w:hAnsi="Times New Roman"/>
                <w:sz w:val="16"/>
                <w:szCs w:val="16"/>
                <w:lang w:val="pt-BR"/>
              </w:rPr>
            </w:pPr>
          </w:p>
        </w:tc>
        <w:tc>
          <w:tcPr>
            <w:tcW w:w="283" w:type="dxa"/>
            <w:vMerge/>
            <w:shd w:val="clear" w:color="auto" w:fill="002060"/>
            <w:vAlign w:val="center"/>
          </w:tcPr>
          <w:p w:rsidR="00C821BE" w:rsidRPr="002362E3" w:rsidRDefault="00C821BE" w:rsidP="00C821BE">
            <w:pPr>
              <w:spacing w:after="0" w:line="240" w:lineRule="auto"/>
              <w:jc w:val="center"/>
              <w:rPr>
                <w:rFonts w:ascii="Times New Roman" w:hAnsi="Times New Roman"/>
                <w:b/>
                <w:sz w:val="16"/>
                <w:szCs w:val="16"/>
                <w:lang w:val="pt-BR"/>
              </w:rPr>
            </w:pPr>
          </w:p>
        </w:tc>
        <w:tc>
          <w:tcPr>
            <w:tcW w:w="992" w:type="dxa"/>
            <w:vMerge/>
            <w:shd w:val="clear" w:color="auto" w:fill="FFFFFF"/>
            <w:vAlign w:val="center"/>
          </w:tcPr>
          <w:p w:rsidR="00C821BE" w:rsidRPr="002362E3" w:rsidRDefault="00C821BE" w:rsidP="00C821BE">
            <w:pPr>
              <w:spacing w:after="0" w:line="240" w:lineRule="auto"/>
              <w:jc w:val="center"/>
              <w:rPr>
                <w:rFonts w:ascii="Times New Roman" w:hAnsi="Times New Roman"/>
                <w:sz w:val="16"/>
                <w:szCs w:val="16"/>
                <w:lang w:val="pt-BR"/>
              </w:rPr>
            </w:pPr>
          </w:p>
        </w:tc>
        <w:tc>
          <w:tcPr>
            <w:tcW w:w="284" w:type="dxa"/>
            <w:vMerge/>
            <w:shd w:val="clear" w:color="auto" w:fill="002060"/>
            <w:vAlign w:val="center"/>
          </w:tcPr>
          <w:p w:rsidR="00C821BE" w:rsidRPr="002362E3" w:rsidRDefault="00C821BE" w:rsidP="00C821BE">
            <w:pPr>
              <w:spacing w:after="0" w:line="240" w:lineRule="auto"/>
              <w:jc w:val="center"/>
              <w:rPr>
                <w:rFonts w:ascii="Times New Roman" w:hAnsi="Times New Roman"/>
                <w:b/>
                <w:sz w:val="16"/>
                <w:szCs w:val="16"/>
                <w:lang w:val="pt-BR"/>
              </w:rPr>
            </w:pPr>
          </w:p>
        </w:tc>
        <w:tc>
          <w:tcPr>
            <w:tcW w:w="850" w:type="dxa"/>
            <w:vMerge/>
            <w:shd w:val="clear" w:color="auto" w:fill="FFFFFF"/>
            <w:vAlign w:val="center"/>
          </w:tcPr>
          <w:p w:rsidR="00C821BE" w:rsidRPr="002362E3" w:rsidRDefault="00C821BE" w:rsidP="00C821BE">
            <w:pPr>
              <w:spacing w:after="0" w:line="240" w:lineRule="auto"/>
              <w:jc w:val="center"/>
              <w:rPr>
                <w:rFonts w:ascii="Times New Roman" w:hAnsi="Times New Roman"/>
                <w:sz w:val="16"/>
                <w:szCs w:val="16"/>
                <w:lang w:val="pt-BR"/>
              </w:rPr>
            </w:pPr>
          </w:p>
        </w:tc>
        <w:tc>
          <w:tcPr>
            <w:tcW w:w="284" w:type="dxa"/>
            <w:vMerge/>
            <w:shd w:val="clear" w:color="auto" w:fill="002060"/>
            <w:vAlign w:val="center"/>
          </w:tcPr>
          <w:p w:rsidR="00C821BE" w:rsidRPr="002362E3" w:rsidRDefault="00C821BE" w:rsidP="00C821BE">
            <w:pPr>
              <w:spacing w:after="0" w:line="240" w:lineRule="auto"/>
              <w:jc w:val="center"/>
              <w:rPr>
                <w:rFonts w:ascii="Times New Roman" w:hAnsi="Times New Roman"/>
                <w:b/>
                <w:sz w:val="16"/>
                <w:szCs w:val="16"/>
                <w:lang w:val="pt-BR"/>
              </w:rPr>
            </w:pPr>
          </w:p>
        </w:tc>
        <w:tc>
          <w:tcPr>
            <w:tcW w:w="850" w:type="dxa"/>
            <w:vMerge/>
            <w:shd w:val="clear" w:color="auto" w:fill="92D050"/>
            <w:vAlign w:val="center"/>
          </w:tcPr>
          <w:p w:rsidR="00C821BE" w:rsidRPr="002362E3" w:rsidRDefault="00C821BE" w:rsidP="00C821BE">
            <w:pPr>
              <w:spacing w:after="0" w:line="240" w:lineRule="auto"/>
              <w:jc w:val="center"/>
              <w:rPr>
                <w:rFonts w:ascii="Times New Roman" w:hAnsi="Times New Roman"/>
                <w:b/>
                <w:sz w:val="16"/>
                <w:szCs w:val="16"/>
                <w:lang w:val="pt-BR"/>
              </w:rPr>
            </w:pPr>
          </w:p>
        </w:tc>
        <w:tc>
          <w:tcPr>
            <w:tcW w:w="567" w:type="dxa"/>
            <w:vMerge/>
            <w:shd w:val="clear" w:color="auto" w:fill="92D050"/>
            <w:vAlign w:val="center"/>
          </w:tcPr>
          <w:p w:rsidR="00C821BE" w:rsidRPr="002362E3" w:rsidRDefault="00C821BE" w:rsidP="00C821BE">
            <w:pPr>
              <w:spacing w:after="0" w:line="240" w:lineRule="auto"/>
              <w:jc w:val="center"/>
              <w:rPr>
                <w:rFonts w:ascii="Times New Roman" w:hAnsi="Times New Roman"/>
                <w:b/>
                <w:sz w:val="16"/>
                <w:szCs w:val="16"/>
                <w:lang w:val="pt-BR"/>
              </w:rPr>
            </w:pPr>
          </w:p>
        </w:tc>
      </w:tr>
      <w:tr w:rsidR="00C821BE" w:rsidRPr="002362E3" w:rsidTr="00C821BE">
        <w:trPr>
          <w:jc w:val="center"/>
        </w:trPr>
        <w:tc>
          <w:tcPr>
            <w:tcW w:w="988" w:type="dxa"/>
            <w:vMerge/>
            <w:shd w:val="clear" w:color="auto" w:fill="BDD6EE"/>
          </w:tcPr>
          <w:p w:rsidR="00C821BE" w:rsidRPr="002362E3" w:rsidRDefault="00C821BE" w:rsidP="00C821BE">
            <w:pPr>
              <w:spacing w:after="0" w:line="240" w:lineRule="auto"/>
              <w:jc w:val="both"/>
              <w:rPr>
                <w:rFonts w:ascii="Times New Roman" w:hAnsi="Times New Roman"/>
                <w:sz w:val="16"/>
                <w:szCs w:val="16"/>
                <w:lang w:val="pt-BR"/>
              </w:rPr>
            </w:pPr>
          </w:p>
        </w:tc>
        <w:tc>
          <w:tcPr>
            <w:tcW w:w="850" w:type="dxa"/>
            <w:vMerge/>
          </w:tcPr>
          <w:p w:rsidR="00C821BE" w:rsidRPr="002362E3" w:rsidRDefault="00C821BE" w:rsidP="00C821BE">
            <w:pPr>
              <w:spacing w:after="0" w:line="240" w:lineRule="auto"/>
              <w:jc w:val="both"/>
              <w:rPr>
                <w:rFonts w:ascii="Times New Roman" w:hAnsi="Times New Roman"/>
                <w:b/>
                <w:sz w:val="16"/>
                <w:szCs w:val="16"/>
                <w:lang w:val="pt-BR"/>
              </w:rPr>
            </w:pPr>
          </w:p>
        </w:tc>
        <w:tc>
          <w:tcPr>
            <w:tcW w:w="4536" w:type="dxa"/>
            <w:gridSpan w:val="4"/>
          </w:tcPr>
          <w:p w:rsidR="00C821BE" w:rsidRPr="002362E3" w:rsidRDefault="00C821BE" w:rsidP="00C821BE">
            <w:pPr>
              <w:pStyle w:val="PargrafodaLista"/>
              <w:numPr>
                <w:ilvl w:val="0"/>
                <w:numId w:val="225"/>
              </w:numPr>
              <w:spacing w:after="0" w:line="240" w:lineRule="auto"/>
              <w:ind w:left="313" w:hanging="313"/>
              <w:jc w:val="both"/>
              <w:rPr>
                <w:rFonts w:ascii="Times New Roman" w:hAnsi="Times New Roman"/>
                <w:sz w:val="16"/>
                <w:szCs w:val="16"/>
                <w:lang w:val="pt-BR"/>
              </w:rPr>
            </w:pPr>
            <w:r w:rsidRPr="002362E3">
              <w:rPr>
                <w:rFonts w:ascii="Times New Roman" w:hAnsi="Times New Roman"/>
                <w:sz w:val="16"/>
                <w:szCs w:val="16"/>
                <w:lang w:val="pt-BR"/>
              </w:rPr>
              <w:t>Melhoria do enquadramento e das condições de vida das populações mas também de uma dinâmica populacional de sectores ou bairros</w:t>
            </w:r>
          </w:p>
        </w:tc>
        <w:tc>
          <w:tcPr>
            <w:tcW w:w="851" w:type="dxa"/>
            <w:vMerge w:val="restart"/>
            <w:vAlign w:val="center"/>
          </w:tcPr>
          <w:p w:rsidR="00C821BE" w:rsidRPr="002362E3" w:rsidRDefault="00C821BE" w:rsidP="00C821BE">
            <w:pPr>
              <w:spacing w:after="0" w:line="240" w:lineRule="auto"/>
              <w:jc w:val="center"/>
              <w:rPr>
                <w:rFonts w:ascii="Times New Roman" w:hAnsi="Times New Roman"/>
                <w:sz w:val="16"/>
                <w:szCs w:val="16"/>
                <w:lang w:val="pt-BR"/>
              </w:rPr>
            </w:pPr>
            <w:r w:rsidRPr="002362E3">
              <w:rPr>
                <w:rFonts w:ascii="Times New Roman" w:hAnsi="Times New Roman"/>
                <w:sz w:val="16"/>
                <w:szCs w:val="16"/>
                <w:lang w:val="pt-BR"/>
              </w:rPr>
              <w:t>Média</w:t>
            </w:r>
          </w:p>
        </w:tc>
        <w:tc>
          <w:tcPr>
            <w:tcW w:w="283" w:type="dxa"/>
            <w:vMerge w:val="restart"/>
            <w:shd w:val="clear" w:color="auto" w:fill="002060"/>
            <w:vAlign w:val="center"/>
          </w:tcPr>
          <w:p w:rsidR="00C821BE" w:rsidRPr="002362E3" w:rsidRDefault="00C821BE" w:rsidP="00C821BE">
            <w:pPr>
              <w:spacing w:after="0" w:line="240" w:lineRule="auto"/>
              <w:jc w:val="center"/>
              <w:rPr>
                <w:rFonts w:ascii="Times New Roman" w:hAnsi="Times New Roman"/>
                <w:b/>
                <w:sz w:val="16"/>
                <w:szCs w:val="16"/>
                <w:lang w:val="pt-BR"/>
              </w:rPr>
            </w:pPr>
            <w:r w:rsidRPr="002362E3">
              <w:rPr>
                <w:rFonts w:ascii="Times New Roman" w:hAnsi="Times New Roman"/>
                <w:b/>
                <w:sz w:val="16"/>
                <w:szCs w:val="16"/>
                <w:lang w:val="pt-BR"/>
              </w:rPr>
              <w:t>3</w:t>
            </w:r>
          </w:p>
        </w:tc>
        <w:tc>
          <w:tcPr>
            <w:tcW w:w="992" w:type="dxa"/>
            <w:vMerge w:val="restart"/>
            <w:vAlign w:val="center"/>
          </w:tcPr>
          <w:p w:rsidR="00C821BE" w:rsidRPr="002362E3" w:rsidRDefault="00C821BE" w:rsidP="00C821BE">
            <w:pPr>
              <w:spacing w:after="0" w:line="240" w:lineRule="auto"/>
              <w:jc w:val="center"/>
              <w:rPr>
                <w:rFonts w:ascii="Times New Roman" w:hAnsi="Times New Roman"/>
                <w:sz w:val="16"/>
                <w:szCs w:val="16"/>
                <w:lang w:val="pt-BR"/>
              </w:rPr>
            </w:pPr>
            <w:r w:rsidRPr="002362E3">
              <w:rPr>
                <w:rFonts w:ascii="Times New Roman" w:hAnsi="Times New Roman"/>
                <w:sz w:val="16"/>
                <w:szCs w:val="16"/>
                <w:lang w:val="pt-BR"/>
              </w:rPr>
              <w:t>Local</w:t>
            </w:r>
          </w:p>
        </w:tc>
        <w:tc>
          <w:tcPr>
            <w:tcW w:w="284" w:type="dxa"/>
            <w:vMerge w:val="restart"/>
            <w:shd w:val="clear" w:color="auto" w:fill="002060"/>
            <w:vAlign w:val="center"/>
          </w:tcPr>
          <w:p w:rsidR="00C821BE" w:rsidRPr="002362E3" w:rsidRDefault="00C821BE" w:rsidP="00C821BE">
            <w:pPr>
              <w:spacing w:after="0" w:line="240" w:lineRule="auto"/>
              <w:jc w:val="center"/>
              <w:rPr>
                <w:rFonts w:ascii="Times New Roman" w:hAnsi="Times New Roman"/>
                <w:b/>
                <w:sz w:val="16"/>
                <w:szCs w:val="16"/>
                <w:lang w:val="pt-BR"/>
              </w:rPr>
            </w:pPr>
            <w:r w:rsidRPr="002362E3">
              <w:rPr>
                <w:rFonts w:ascii="Times New Roman" w:hAnsi="Times New Roman"/>
                <w:b/>
                <w:sz w:val="16"/>
                <w:szCs w:val="16"/>
                <w:lang w:val="pt-BR"/>
              </w:rPr>
              <w:t>3</w:t>
            </w:r>
          </w:p>
        </w:tc>
        <w:tc>
          <w:tcPr>
            <w:tcW w:w="850" w:type="dxa"/>
            <w:vMerge w:val="restart"/>
            <w:vAlign w:val="center"/>
          </w:tcPr>
          <w:p w:rsidR="00C821BE" w:rsidRPr="002362E3" w:rsidRDefault="00C821BE" w:rsidP="00C821BE">
            <w:pPr>
              <w:spacing w:after="0" w:line="240" w:lineRule="auto"/>
              <w:jc w:val="center"/>
              <w:rPr>
                <w:rFonts w:ascii="Times New Roman" w:hAnsi="Times New Roman"/>
                <w:sz w:val="16"/>
                <w:szCs w:val="16"/>
                <w:lang w:val="pt-BR"/>
              </w:rPr>
            </w:pPr>
            <w:r w:rsidRPr="002362E3">
              <w:rPr>
                <w:rFonts w:ascii="Times New Roman" w:hAnsi="Times New Roman"/>
                <w:sz w:val="16"/>
                <w:szCs w:val="16"/>
                <w:lang w:val="pt-BR"/>
              </w:rPr>
              <w:t>Longo</w:t>
            </w:r>
          </w:p>
        </w:tc>
        <w:tc>
          <w:tcPr>
            <w:tcW w:w="284" w:type="dxa"/>
            <w:vMerge w:val="restart"/>
            <w:shd w:val="clear" w:color="auto" w:fill="002060"/>
            <w:vAlign w:val="center"/>
          </w:tcPr>
          <w:p w:rsidR="00C821BE" w:rsidRPr="002362E3" w:rsidRDefault="00C821BE" w:rsidP="00C821BE">
            <w:pPr>
              <w:spacing w:after="0" w:line="240" w:lineRule="auto"/>
              <w:jc w:val="center"/>
              <w:rPr>
                <w:rFonts w:ascii="Times New Roman" w:hAnsi="Times New Roman"/>
                <w:b/>
                <w:sz w:val="16"/>
                <w:szCs w:val="16"/>
                <w:lang w:val="pt-BR"/>
              </w:rPr>
            </w:pPr>
            <w:r w:rsidRPr="002362E3">
              <w:rPr>
                <w:rFonts w:ascii="Times New Roman" w:hAnsi="Times New Roman"/>
                <w:b/>
                <w:sz w:val="16"/>
                <w:szCs w:val="16"/>
                <w:lang w:val="pt-BR"/>
              </w:rPr>
              <w:t>5</w:t>
            </w:r>
          </w:p>
        </w:tc>
        <w:tc>
          <w:tcPr>
            <w:tcW w:w="850" w:type="dxa"/>
            <w:vMerge w:val="restart"/>
            <w:shd w:val="clear" w:color="auto" w:fill="FFE599" w:themeFill="accent4" w:themeFillTint="66"/>
            <w:vAlign w:val="center"/>
          </w:tcPr>
          <w:p w:rsidR="00C821BE" w:rsidRPr="002362E3" w:rsidRDefault="00C821BE" w:rsidP="00C821BE">
            <w:pPr>
              <w:spacing w:after="0" w:line="240" w:lineRule="auto"/>
              <w:jc w:val="center"/>
              <w:rPr>
                <w:rFonts w:ascii="Times New Roman" w:hAnsi="Times New Roman"/>
                <w:b/>
                <w:sz w:val="16"/>
                <w:szCs w:val="16"/>
                <w:lang w:val="pt-BR"/>
              </w:rPr>
            </w:pPr>
            <w:r w:rsidRPr="002362E3">
              <w:rPr>
                <w:rFonts w:ascii="Times New Roman" w:hAnsi="Times New Roman"/>
                <w:b/>
                <w:sz w:val="16"/>
                <w:szCs w:val="16"/>
                <w:lang w:val="pt-BR"/>
              </w:rPr>
              <w:t>Média</w:t>
            </w:r>
          </w:p>
        </w:tc>
        <w:tc>
          <w:tcPr>
            <w:tcW w:w="567" w:type="dxa"/>
            <w:vMerge w:val="restart"/>
            <w:shd w:val="clear" w:color="auto" w:fill="FFE599" w:themeFill="accent4" w:themeFillTint="66"/>
            <w:vAlign w:val="center"/>
          </w:tcPr>
          <w:p w:rsidR="00C821BE" w:rsidRPr="002362E3" w:rsidRDefault="00C821BE" w:rsidP="00C821BE">
            <w:pPr>
              <w:spacing w:after="0" w:line="240" w:lineRule="auto"/>
              <w:jc w:val="center"/>
              <w:rPr>
                <w:rFonts w:ascii="Times New Roman" w:hAnsi="Times New Roman"/>
                <w:b/>
                <w:sz w:val="16"/>
                <w:szCs w:val="16"/>
                <w:lang w:val="pt-BR"/>
              </w:rPr>
            </w:pPr>
            <w:r w:rsidRPr="002362E3">
              <w:rPr>
                <w:rFonts w:ascii="Times New Roman" w:hAnsi="Times New Roman"/>
                <w:b/>
                <w:sz w:val="16"/>
                <w:szCs w:val="16"/>
                <w:lang w:val="pt-BR"/>
              </w:rPr>
              <w:t>45</w:t>
            </w:r>
          </w:p>
        </w:tc>
      </w:tr>
      <w:tr w:rsidR="00C821BE" w:rsidRPr="00332A41" w:rsidTr="00C821BE">
        <w:trPr>
          <w:jc w:val="center"/>
        </w:trPr>
        <w:tc>
          <w:tcPr>
            <w:tcW w:w="988" w:type="dxa"/>
            <w:vMerge/>
            <w:shd w:val="clear" w:color="auto" w:fill="BDD6EE"/>
          </w:tcPr>
          <w:p w:rsidR="00C821BE" w:rsidRPr="002362E3" w:rsidRDefault="00C821BE" w:rsidP="00C821BE">
            <w:pPr>
              <w:spacing w:after="0" w:line="240" w:lineRule="auto"/>
              <w:jc w:val="both"/>
              <w:rPr>
                <w:rFonts w:ascii="Times New Roman" w:hAnsi="Times New Roman"/>
                <w:sz w:val="16"/>
                <w:szCs w:val="16"/>
                <w:lang w:val="pt-BR"/>
              </w:rPr>
            </w:pPr>
          </w:p>
        </w:tc>
        <w:tc>
          <w:tcPr>
            <w:tcW w:w="850" w:type="dxa"/>
            <w:vMerge/>
          </w:tcPr>
          <w:p w:rsidR="00C821BE" w:rsidRPr="002362E3" w:rsidRDefault="00C821BE" w:rsidP="00C821BE">
            <w:pPr>
              <w:spacing w:after="0" w:line="240" w:lineRule="auto"/>
              <w:jc w:val="both"/>
              <w:rPr>
                <w:rFonts w:ascii="Times New Roman" w:hAnsi="Times New Roman"/>
                <w:b/>
                <w:sz w:val="16"/>
                <w:szCs w:val="16"/>
                <w:lang w:val="pt-BR"/>
              </w:rPr>
            </w:pPr>
          </w:p>
        </w:tc>
        <w:tc>
          <w:tcPr>
            <w:tcW w:w="4536" w:type="dxa"/>
            <w:gridSpan w:val="4"/>
          </w:tcPr>
          <w:p w:rsidR="00C821BE" w:rsidRPr="002362E3" w:rsidRDefault="00C821BE" w:rsidP="00C821BE">
            <w:pPr>
              <w:pStyle w:val="PargrafodaLista"/>
              <w:numPr>
                <w:ilvl w:val="0"/>
                <w:numId w:val="225"/>
              </w:numPr>
              <w:spacing w:after="0" w:line="240" w:lineRule="auto"/>
              <w:ind w:left="313" w:hanging="313"/>
              <w:jc w:val="both"/>
              <w:rPr>
                <w:rFonts w:ascii="Times New Roman" w:hAnsi="Times New Roman"/>
                <w:sz w:val="16"/>
                <w:szCs w:val="16"/>
                <w:lang w:val="pt-BR"/>
              </w:rPr>
            </w:pPr>
            <w:r w:rsidRPr="002362E3">
              <w:rPr>
                <w:rFonts w:ascii="Times New Roman" w:hAnsi="Times New Roman"/>
                <w:sz w:val="16"/>
                <w:szCs w:val="16"/>
                <w:lang w:val="pt-BR"/>
              </w:rPr>
              <w:t>Risco reduzido de tensões sociais</w:t>
            </w:r>
          </w:p>
        </w:tc>
        <w:tc>
          <w:tcPr>
            <w:tcW w:w="851" w:type="dxa"/>
            <w:vMerge/>
            <w:vAlign w:val="center"/>
          </w:tcPr>
          <w:p w:rsidR="00C821BE" w:rsidRPr="002362E3" w:rsidRDefault="00C821BE" w:rsidP="00C821BE">
            <w:pPr>
              <w:spacing w:after="0" w:line="240" w:lineRule="auto"/>
              <w:jc w:val="center"/>
              <w:rPr>
                <w:rFonts w:ascii="Times New Roman" w:hAnsi="Times New Roman"/>
                <w:sz w:val="16"/>
                <w:szCs w:val="16"/>
                <w:lang w:val="pt-BR"/>
              </w:rPr>
            </w:pPr>
          </w:p>
        </w:tc>
        <w:tc>
          <w:tcPr>
            <w:tcW w:w="283" w:type="dxa"/>
            <w:vMerge/>
            <w:shd w:val="clear" w:color="auto" w:fill="002060"/>
            <w:vAlign w:val="center"/>
          </w:tcPr>
          <w:p w:rsidR="00C821BE" w:rsidRPr="002362E3" w:rsidRDefault="00C821BE" w:rsidP="00C821BE">
            <w:pPr>
              <w:spacing w:after="0" w:line="240" w:lineRule="auto"/>
              <w:jc w:val="center"/>
              <w:rPr>
                <w:rFonts w:ascii="Times New Roman" w:hAnsi="Times New Roman"/>
                <w:b/>
                <w:sz w:val="16"/>
                <w:szCs w:val="16"/>
                <w:lang w:val="pt-BR"/>
              </w:rPr>
            </w:pPr>
          </w:p>
        </w:tc>
        <w:tc>
          <w:tcPr>
            <w:tcW w:w="992" w:type="dxa"/>
            <w:vMerge/>
            <w:vAlign w:val="center"/>
          </w:tcPr>
          <w:p w:rsidR="00C821BE" w:rsidRPr="002362E3" w:rsidRDefault="00C821BE" w:rsidP="00C821BE">
            <w:pPr>
              <w:spacing w:after="0" w:line="240" w:lineRule="auto"/>
              <w:jc w:val="center"/>
              <w:rPr>
                <w:rFonts w:ascii="Times New Roman" w:hAnsi="Times New Roman"/>
                <w:sz w:val="16"/>
                <w:szCs w:val="16"/>
                <w:lang w:val="pt-BR"/>
              </w:rPr>
            </w:pPr>
          </w:p>
        </w:tc>
        <w:tc>
          <w:tcPr>
            <w:tcW w:w="284" w:type="dxa"/>
            <w:vMerge/>
            <w:shd w:val="clear" w:color="auto" w:fill="002060"/>
            <w:vAlign w:val="center"/>
          </w:tcPr>
          <w:p w:rsidR="00C821BE" w:rsidRPr="002362E3" w:rsidRDefault="00C821BE" w:rsidP="00C821BE">
            <w:pPr>
              <w:spacing w:after="0" w:line="240" w:lineRule="auto"/>
              <w:jc w:val="center"/>
              <w:rPr>
                <w:rFonts w:ascii="Times New Roman" w:hAnsi="Times New Roman"/>
                <w:b/>
                <w:sz w:val="16"/>
                <w:szCs w:val="16"/>
                <w:lang w:val="pt-BR"/>
              </w:rPr>
            </w:pPr>
          </w:p>
        </w:tc>
        <w:tc>
          <w:tcPr>
            <w:tcW w:w="850" w:type="dxa"/>
            <w:vMerge/>
            <w:vAlign w:val="center"/>
          </w:tcPr>
          <w:p w:rsidR="00C821BE" w:rsidRPr="002362E3" w:rsidRDefault="00C821BE" w:rsidP="00C821BE">
            <w:pPr>
              <w:spacing w:after="0" w:line="240" w:lineRule="auto"/>
              <w:jc w:val="center"/>
              <w:rPr>
                <w:rFonts w:ascii="Times New Roman" w:hAnsi="Times New Roman"/>
                <w:sz w:val="16"/>
                <w:szCs w:val="16"/>
                <w:lang w:val="pt-BR"/>
              </w:rPr>
            </w:pPr>
          </w:p>
        </w:tc>
        <w:tc>
          <w:tcPr>
            <w:tcW w:w="284" w:type="dxa"/>
            <w:vMerge/>
            <w:shd w:val="clear" w:color="auto" w:fill="002060"/>
            <w:vAlign w:val="center"/>
          </w:tcPr>
          <w:p w:rsidR="00C821BE" w:rsidRPr="002362E3" w:rsidRDefault="00C821BE" w:rsidP="00C821BE">
            <w:pPr>
              <w:spacing w:after="0" w:line="240" w:lineRule="auto"/>
              <w:jc w:val="center"/>
              <w:rPr>
                <w:rFonts w:ascii="Times New Roman" w:hAnsi="Times New Roman"/>
                <w:b/>
                <w:sz w:val="16"/>
                <w:szCs w:val="16"/>
                <w:lang w:val="pt-BR"/>
              </w:rPr>
            </w:pPr>
          </w:p>
        </w:tc>
        <w:tc>
          <w:tcPr>
            <w:tcW w:w="850" w:type="dxa"/>
            <w:vMerge/>
            <w:shd w:val="clear" w:color="auto" w:fill="FFE599" w:themeFill="accent4" w:themeFillTint="66"/>
            <w:vAlign w:val="center"/>
          </w:tcPr>
          <w:p w:rsidR="00C821BE" w:rsidRPr="002362E3" w:rsidRDefault="00C821BE" w:rsidP="00C821BE">
            <w:pPr>
              <w:spacing w:after="0" w:line="240" w:lineRule="auto"/>
              <w:jc w:val="center"/>
              <w:rPr>
                <w:rFonts w:ascii="Times New Roman" w:hAnsi="Times New Roman"/>
                <w:b/>
                <w:sz w:val="16"/>
                <w:szCs w:val="16"/>
                <w:lang w:val="pt-BR"/>
              </w:rPr>
            </w:pPr>
          </w:p>
        </w:tc>
        <w:tc>
          <w:tcPr>
            <w:tcW w:w="567" w:type="dxa"/>
            <w:vMerge/>
            <w:shd w:val="clear" w:color="auto" w:fill="FFE599" w:themeFill="accent4" w:themeFillTint="66"/>
            <w:vAlign w:val="center"/>
          </w:tcPr>
          <w:p w:rsidR="00C821BE" w:rsidRPr="002362E3" w:rsidRDefault="00C821BE" w:rsidP="00C821BE">
            <w:pPr>
              <w:spacing w:after="0" w:line="240" w:lineRule="auto"/>
              <w:jc w:val="center"/>
              <w:rPr>
                <w:rFonts w:ascii="Times New Roman" w:hAnsi="Times New Roman"/>
                <w:b/>
                <w:sz w:val="16"/>
                <w:szCs w:val="16"/>
                <w:lang w:val="pt-BR"/>
              </w:rPr>
            </w:pPr>
          </w:p>
        </w:tc>
      </w:tr>
      <w:tr w:rsidR="00C821BE" w:rsidRPr="002362E3" w:rsidTr="00C821BE">
        <w:trPr>
          <w:jc w:val="center"/>
        </w:trPr>
        <w:tc>
          <w:tcPr>
            <w:tcW w:w="988" w:type="dxa"/>
            <w:vMerge/>
            <w:shd w:val="clear" w:color="auto" w:fill="BDD6EE"/>
          </w:tcPr>
          <w:p w:rsidR="00C821BE" w:rsidRPr="002362E3" w:rsidRDefault="00C821BE" w:rsidP="00C821BE">
            <w:pPr>
              <w:spacing w:after="0" w:line="240" w:lineRule="auto"/>
              <w:jc w:val="both"/>
              <w:rPr>
                <w:rFonts w:ascii="Times New Roman" w:hAnsi="Times New Roman"/>
                <w:sz w:val="16"/>
                <w:szCs w:val="16"/>
                <w:lang w:val="pt-BR"/>
              </w:rPr>
            </w:pPr>
          </w:p>
        </w:tc>
        <w:tc>
          <w:tcPr>
            <w:tcW w:w="850" w:type="dxa"/>
            <w:vMerge/>
          </w:tcPr>
          <w:p w:rsidR="00C821BE" w:rsidRPr="002362E3" w:rsidRDefault="00C821BE" w:rsidP="00C821BE">
            <w:pPr>
              <w:spacing w:after="0" w:line="240" w:lineRule="auto"/>
              <w:jc w:val="both"/>
              <w:rPr>
                <w:rFonts w:ascii="Times New Roman" w:hAnsi="Times New Roman"/>
                <w:b/>
                <w:sz w:val="16"/>
                <w:szCs w:val="16"/>
                <w:lang w:val="pt-BR"/>
              </w:rPr>
            </w:pPr>
          </w:p>
        </w:tc>
        <w:tc>
          <w:tcPr>
            <w:tcW w:w="4536" w:type="dxa"/>
            <w:gridSpan w:val="4"/>
          </w:tcPr>
          <w:p w:rsidR="00C821BE" w:rsidRPr="002362E3" w:rsidRDefault="00C821BE" w:rsidP="00C821BE">
            <w:pPr>
              <w:pStyle w:val="PargrafodaLista"/>
              <w:numPr>
                <w:ilvl w:val="0"/>
                <w:numId w:val="225"/>
              </w:numPr>
              <w:spacing w:after="0" w:line="240" w:lineRule="auto"/>
              <w:ind w:left="313" w:hanging="313"/>
              <w:jc w:val="both"/>
              <w:rPr>
                <w:rFonts w:ascii="Times New Roman" w:hAnsi="Times New Roman"/>
                <w:sz w:val="16"/>
                <w:szCs w:val="16"/>
                <w:lang w:val="pt-BR"/>
              </w:rPr>
            </w:pPr>
            <w:r w:rsidRPr="002362E3">
              <w:rPr>
                <w:rFonts w:ascii="Times New Roman" w:hAnsi="Times New Roman"/>
                <w:sz w:val="16"/>
                <w:szCs w:val="16"/>
                <w:lang w:val="pt-BR"/>
              </w:rPr>
              <w:t>Criação de empregos nas localidades em questão</w:t>
            </w:r>
          </w:p>
        </w:tc>
        <w:tc>
          <w:tcPr>
            <w:tcW w:w="851" w:type="dxa"/>
            <w:vMerge w:val="restart"/>
            <w:vAlign w:val="center"/>
          </w:tcPr>
          <w:p w:rsidR="00C821BE" w:rsidRPr="002362E3" w:rsidRDefault="00C821BE" w:rsidP="00C821BE">
            <w:pPr>
              <w:spacing w:after="0" w:line="240" w:lineRule="auto"/>
              <w:jc w:val="center"/>
              <w:rPr>
                <w:rFonts w:ascii="Times New Roman" w:hAnsi="Times New Roman"/>
                <w:sz w:val="16"/>
                <w:szCs w:val="16"/>
                <w:lang w:val="pt-BR"/>
              </w:rPr>
            </w:pPr>
            <w:r w:rsidRPr="002362E3">
              <w:rPr>
                <w:rFonts w:ascii="Times New Roman" w:hAnsi="Times New Roman"/>
                <w:sz w:val="16"/>
                <w:szCs w:val="16"/>
                <w:lang w:val="pt-BR"/>
              </w:rPr>
              <w:t>Média</w:t>
            </w:r>
          </w:p>
        </w:tc>
        <w:tc>
          <w:tcPr>
            <w:tcW w:w="283" w:type="dxa"/>
            <w:vMerge w:val="restart"/>
            <w:shd w:val="clear" w:color="auto" w:fill="002060"/>
            <w:vAlign w:val="center"/>
          </w:tcPr>
          <w:p w:rsidR="00C821BE" w:rsidRPr="002362E3" w:rsidRDefault="00C821BE" w:rsidP="00C821BE">
            <w:pPr>
              <w:spacing w:after="0" w:line="240" w:lineRule="auto"/>
              <w:jc w:val="center"/>
              <w:rPr>
                <w:rFonts w:ascii="Times New Roman" w:hAnsi="Times New Roman"/>
                <w:b/>
                <w:sz w:val="16"/>
                <w:szCs w:val="16"/>
                <w:lang w:val="pt-BR"/>
              </w:rPr>
            </w:pPr>
            <w:r w:rsidRPr="002362E3">
              <w:rPr>
                <w:rFonts w:ascii="Times New Roman" w:hAnsi="Times New Roman"/>
                <w:b/>
                <w:sz w:val="16"/>
                <w:szCs w:val="16"/>
                <w:lang w:val="pt-BR"/>
              </w:rPr>
              <w:t>3</w:t>
            </w:r>
          </w:p>
        </w:tc>
        <w:tc>
          <w:tcPr>
            <w:tcW w:w="992" w:type="dxa"/>
            <w:vMerge w:val="restart"/>
            <w:vAlign w:val="center"/>
          </w:tcPr>
          <w:p w:rsidR="00C821BE" w:rsidRPr="002362E3" w:rsidRDefault="00C821BE" w:rsidP="00C821BE">
            <w:pPr>
              <w:spacing w:after="0" w:line="240" w:lineRule="auto"/>
              <w:jc w:val="center"/>
              <w:rPr>
                <w:rFonts w:ascii="Times New Roman" w:hAnsi="Times New Roman"/>
                <w:sz w:val="16"/>
                <w:szCs w:val="16"/>
                <w:lang w:val="pt-BR"/>
              </w:rPr>
            </w:pPr>
            <w:r w:rsidRPr="002362E3">
              <w:rPr>
                <w:rFonts w:ascii="Times New Roman" w:hAnsi="Times New Roman"/>
                <w:sz w:val="16"/>
                <w:szCs w:val="16"/>
                <w:lang w:val="pt-BR"/>
              </w:rPr>
              <w:t>Local</w:t>
            </w:r>
          </w:p>
        </w:tc>
        <w:tc>
          <w:tcPr>
            <w:tcW w:w="284" w:type="dxa"/>
            <w:vMerge w:val="restart"/>
            <w:shd w:val="clear" w:color="auto" w:fill="002060"/>
            <w:vAlign w:val="center"/>
          </w:tcPr>
          <w:p w:rsidR="00C821BE" w:rsidRPr="002362E3" w:rsidRDefault="00C821BE" w:rsidP="00C821BE">
            <w:pPr>
              <w:spacing w:after="0" w:line="240" w:lineRule="auto"/>
              <w:jc w:val="center"/>
              <w:rPr>
                <w:rFonts w:ascii="Times New Roman" w:hAnsi="Times New Roman"/>
                <w:b/>
                <w:sz w:val="16"/>
                <w:szCs w:val="16"/>
                <w:lang w:val="pt-BR"/>
              </w:rPr>
            </w:pPr>
            <w:r w:rsidRPr="002362E3">
              <w:rPr>
                <w:rFonts w:ascii="Times New Roman" w:hAnsi="Times New Roman"/>
                <w:b/>
                <w:sz w:val="16"/>
                <w:szCs w:val="16"/>
                <w:lang w:val="pt-BR"/>
              </w:rPr>
              <w:t>3</w:t>
            </w:r>
          </w:p>
        </w:tc>
        <w:tc>
          <w:tcPr>
            <w:tcW w:w="850" w:type="dxa"/>
            <w:vMerge w:val="restart"/>
            <w:vAlign w:val="center"/>
          </w:tcPr>
          <w:p w:rsidR="00C821BE" w:rsidRPr="002362E3" w:rsidRDefault="00C821BE" w:rsidP="00C821BE">
            <w:pPr>
              <w:spacing w:after="0" w:line="240" w:lineRule="auto"/>
              <w:jc w:val="center"/>
              <w:rPr>
                <w:rFonts w:ascii="Times New Roman" w:hAnsi="Times New Roman"/>
                <w:sz w:val="16"/>
                <w:szCs w:val="16"/>
                <w:lang w:val="pt-BR"/>
              </w:rPr>
            </w:pPr>
            <w:r w:rsidRPr="002362E3">
              <w:rPr>
                <w:rFonts w:ascii="Times New Roman" w:hAnsi="Times New Roman"/>
                <w:sz w:val="16"/>
                <w:szCs w:val="16"/>
                <w:lang w:val="pt-BR"/>
              </w:rPr>
              <w:t>Longo</w:t>
            </w:r>
          </w:p>
        </w:tc>
        <w:tc>
          <w:tcPr>
            <w:tcW w:w="284" w:type="dxa"/>
            <w:vMerge w:val="restart"/>
            <w:shd w:val="clear" w:color="auto" w:fill="002060"/>
            <w:vAlign w:val="center"/>
          </w:tcPr>
          <w:p w:rsidR="00C821BE" w:rsidRPr="002362E3" w:rsidRDefault="00C821BE" w:rsidP="00C821BE">
            <w:pPr>
              <w:spacing w:after="0" w:line="240" w:lineRule="auto"/>
              <w:jc w:val="center"/>
              <w:rPr>
                <w:rFonts w:ascii="Times New Roman" w:hAnsi="Times New Roman"/>
                <w:b/>
                <w:sz w:val="16"/>
                <w:szCs w:val="16"/>
                <w:lang w:val="pt-BR"/>
              </w:rPr>
            </w:pPr>
            <w:r w:rsidRPr="002362E3">
              <w:rPr>
                <w:rFonts w:ascii="Times New Roman" w:hAnsi="Times New Roman"/>
                <w:b/>
                <w:sz w:val="16"/>
                <w:szCs w:val="16"/>
                <w:lang w:val="pt-BR"/>
              </w:rPr>
              <w:t>5</w:t>
            </w:r>
          </w:p>
        </w:tc>
        <w:tc>
          <w:tcPr>
            <w:tcW w:w="850" w:type="dxa"/>
            <w:vMerge w:val="restart"/>
            <w:shd w:val="clear" w:color="auto" w:fill="FFE599" w:themeFill="accent4" w:themeFillTint="66"/>
            <w:vAlign w:val="center"/>
          </w:tcPr>
          <w:p w:rsidR="00C821BE" w:rsidRPr="002362E3" w:rsidRDefault="00C821BE" w:rsidP="00C821BE">
            <w:pPr>
              <w:spacing w:after="0" w:line="240" w:lineRule="auto"/>
              <w:jc w:val="center"/>
              <w:rPr>
                <w:rFonts w:ascii="Times New Roman" w:hAnsi="Times New Roman"/>
                <w:b/>
                <w:sz w:val="16"/>
                <w:szCs w:val="16"/>
                <w:lang w:val="pt-BR"/>
              </w:rPr>
            </w:pPr>
            <w:r w:rsidRPr="002362E3">
              <w:rPr>
                <w:rFonts w:ascii="Times New Roman" w:hAnsi="Times New Roman"/>
                <w:b/>
                <w:sz w:val="16"/>
                <w:szCs w:val="16"/>
                <w:lang w:val="pt-BR"/>
              </w:rPr>
              <w:t>Média</w:t>
            </w:r>
          </w:p>
        </w:tc>
        <w:tc>
          <w:tcPr>
            <w:tcW w:w="567" w:type="dxa"/>
            <w:vMerge w:val="restart"/>
            <w:shd w:val="clear" w:color="auto" w:fill="FFE599" w:themeFill="accent4" w:themeFillTint="66"/>
            <w:vAlign w:val="center"/>
          </w:tcPr>
          <w:p w:rsidR="00C821BE" w:rsidRPr="002362E3" w:rsidRDefault="00C821BE" w:rsidP="00C821BE">
            <w:pPr>
              <w:spacing w:after="0" w:line="240" w:lineRule="auto"/>
              <w:jc w:val="center"/>
              <w:rPr>
                <w:rFonts w:ascii="Times New Roman" w:hAnsi="Times New Roman"/>
                <w:b/>
                <w:sz w:val="16"/>
                <w:szCs w:val="16"/>
                <w:lang w:val="pt-BR"/>
              </w:rPr>
            </w:pPr>
            <w:r w:rsidRPr="002362E3">
              <w:rPr>
                <w:rFonts w:ascii="Times New Roman" w:hAnsi="Times New Roman"/>
                <w:b/>
                <w:sz w:val="16"/>
                <w:szCs w:val="16"/>
                <w:lang w:val="pt-BR"/>
              </w:rPr>
              <w:t>45</w:t>
            </w:r>
          </w:p>
        </w:tc>
      </w:tr>
      <w:tr w:rsidR="00C821BE" w:rsidRPr="00332A41" w:rsidTr="00C821BE">
        <w:trPr>
          <w:jc w:val="center"/>
        </w:trPr>
        <w:tc>
          <w:tcPr>
            <w:tcW w:w="988" w:type="dxa"/>
            <w:vMerge/>
            <w:shd w:val="clear" w:color="auto" w:fill="BDD6EE"/>
          </w:tcPr>
          <w:p w:rsidR="00C821BE" w:rsidRPr="002362E3" w:rsidRDefault="00C821BE" w:rsidP="00C821BE">
            <w:pPr>
              <w:spacing w:after="0" w:line="240" w:lineRule="auto"/>
              <w:jc w:val="both"/>
              <w:rPr>
                <w:rFonts w:ascii="Times New Roman" w:hAnsi="Times New Roman"/>
                <w:sz w:val="16"/>
                <w:szCs w:val="16"/>
                <w:lang w:val="pt-BR"/>
              </w:rPr>
            </w:pPr>
          </w:p>
        </w:tc>
        <w:tc>
          <w:tcPr>
            <w:tcW w:w="850" w:type="dxa"/>
            <w:vMerge/>
          </w:tcPr>
          <w:p w:rsidR="00C821BE" w:rsidRPr="002362E3" w:rsidRDefault="00C821BE" w:rsidP="00C821BE">
            <w:pPr>
              <w:spacing w:after="0" w:line="240" w:lineRule="auto"/>
              <w:jc w:val="both"/>
              <w:rPr>
                <w:rFonts w:ascii="Times New Roman" w:hAnsi="Times New Roman"/>
                <w:b/>
                <w:sz w:val="16"/>
                <w:szCs w:val="16"/>
                <w:lang w:val="pt-BR"/>
              </w:rPr>
            </w:pPr>
          </w:p>
        </w:tc>
        <w:tc>
          <w:tcPr>
            <w:tcW w:w="4536" w:type="dxa"/>
            <w:gridSpan w:val="4"/>
          </w:tcPr>
          <w:p w:rsidR="00C821BE" w:rsidRPr="002362E3" w:rsidRDefault="00C821BE" w:rsidP="00C821BE">
            <w:pPr>
              <w:pStyle w:val="PargrafodaLista"/>
              <w:numPr>
                <w:ilvl w:val="0"/>
                <w:numId w:val="225"/>
              </w:numPr>
              <w:spacing w:after="0" w:line="240" w:lineRule="auto"/>
              <w:ind w:left="313" w:hanging="313"/>
              <w:jc w:val="both"/>
              <w:rPr>
                <w:rFonts w:ascii="Times New Roman" w:hAnsi="Times New Roman"/>
                <w:sz w:val="16"/>
                <w:szCs w:val="16"/>
                <w:lang w:val="pt-BR"/>
              </w:rPr>
            </w:pPr>
            <w:r w:rsidRPr="002362E3">
              <w:rPr>
                <w:rFonts w:ascii="Times New Roman" w:hAnsi="Times New Roman"/>
                <w:sz w:val="16"/>
                <w:szCs w:val="16"/>
                <w:lang w:val="pt-BR"/>
              </w:rPr>
              <w:t>Aumento dos ganhos financeiros para proprietários e incorporadores</w:t>
            </w:r>
          </w:p>
        </w:tc>
        <w:tc>
          <w:tcPr>
            <w:tcW w:w="851" w:type="dxa"/>
            <w:vMerge/>
            <w:vAlign w:val="center"/>
          </w:tcPr>
          <w:p w:rsidR="00C821BE" w:rsidRPr="002362E3" w:rsidRDefault="00C821BE" w:rsidP="00C821BE">
            <w:pPr>
              <w:spacing w:after="0" w:line="240" w:lineRule="auto"/>
              <w:jc w:val="center"/>
              <w:rPr>
                <w:rFonts w:ascii="Times New Roman" w:hAnsi="Times New Roman"/>
                <w:sz w:val="16"/>
                <w:szCs w:val="16"/>
                <w:lang w:val="pt-BR"/>
              </w:rPr>
            </w:pPr>
          </w:p>
        </w:tc>
        <w:tc>
          <w:tcPr>
            <w:tcW w:w="283" w:type="dxa"/>
            <w:vMerge/>
            <w:shd w:val="clear" w:color="auto" w:fill="002060"/>
            <w:vAlign w:val="center"/>
          </w:tcPr>
          <w:p w:rsidR="00C821BE" w:rsidRPr="002362E3" w:rsidRDefault="00C821BE" w:rsidP="00C821BE">
            <w:pPr>
              <w:spacing w:after="0" w:line="240" w:lineRule="auto"/>
              <w:jc w:val="center"/>
              <w:rPr>
                <w:rFonts w:ascii="Times New Roman" w:hAnsi="Times New Roman"/>
                <w:b/>
                <w:sz w:val="16"/>
                <w:szCs w:val="16"/>
                <w:lang w:val="pt-BR"/>
              </w:rPr>
            </w:pPr>
          </w:p>
        </w:tc>
        <w:tc>
          <w:tcPr>
            <w:tcW w:w="992" w:type="dxa"/>
            <w:vMerge/>
            <w:vAlign w:val="center"/>
          </w:tcPr>
          <w:p w:rsidR="00C821BE" w:rsidRPr="002362E3" w:rsidRDefault="00C821BE" w:rsidP="00C821BE">
            <w:pPr>
              <w:spacing w:after="0" w:line="240" w:lineRule="auto"/>
              <w:jc w:val="center"/>
              <w:rPr>
                <w:rFonts w:ascii="Times New Roman" w:hAnsi="Times New Roman"/>
                <w:sz w:val="16"/>
                <w:szCs w:val="16"/>
                <w:lang w:val="pt-BR"/>
              </w:rPr>
            </w:pPr>
          </w:p>
        </w:tc>
        <w:tc>
          <w:tcPr>
            <w:tcW w:w="284" w:type="dxa"/>
            <w:vMerge/>
            <w:shd w:val="clear" w:color="auto" w:fill="002060"/>
            <w:vAlign w:val="center"/>
          </w:tcPr>
          <w:p w:rsidR="00C821BE" w:rsidRPr="002362E3" w:rsidRDefault="00C821BE" w:rsidP="00C821BE">
            <w:pPr>
              <w:spacing w:after="0" w:line="240" w:lineRule="auto"/>
              <w:jc w:val="center"/>
              <w:rPr>
                <w:rFonts w:ascii="Times New Roman" w:hAnsi="Times New Roman"/>
                <w:b/>
                <w:sz w:val="16"/>
                <w:szCs w:val="16"/>
                <w:lang w:val="pt-BR"/>
              </w:rPr>
            </w:pPr>
          </w:p>
        </w:tc>
        <w:tc>
          <w:tcPr>
            <w:tcW w:w="850" w:type="dxa"/>
            <w:vMerge/>
            <w:vAlign w:val="center"/>
          </w:tcPr>
          <w:p w:rsidR="00C821BE" w:rsidRPr="002362E3" w:rsidRDefault="00C821BE" w:rsidP="00C821BE">
            <w:pPr>
              <w:spacing w:after="0" w:line="240" w:lineRule="auto"/>
              <w:jc w:val="center"/>
              <w:rPr>
                <w:rFonts w:ascii="Times New Roman" w:hAnsi="Times New Roman"/>
                <w:sz w:val="16"/>
                <w:szCs w:val="16"/>
                <w:lang w:val="pt-BR"/>
              </w:rPr>
            </w:pPr>
          </w:p>
        </w:tc>
        <w:tc>
          <w:tcPr>
            <w:tcW w:w="284" w:type="dxa"/>
            <w:vMerge/>
            <w:shd w:val="clear" w:color="auto" w:fill="002060"/>
            <w:vAlign w:val="center"/>
          </w:tcPr>
          <w:p w:rsidR="00C821BE" w:rsidRPr="002362E3" w:rsidRDefault="00C821BE" w:rsidP="00C821BE">
            <w:pPr>
              <w:spacing w:after="0" w:line="240" w:lineRule="auto"/>
              <w:jc w:val="center"/>
              <w:rPr>
                <w:rFonts w:ascii="Times New Roman" w:hAnsi="Times New Roman"/>
                <w:b/>
                <w:sz w:val="16"/>
                <w:szCs w:val="16"/>
                <w:lang w:val="pt-BR"/>
              </w:rPr>
            </w:pPr>
          </w:p>
        </w:tc>
        <w:tc>
          <w:tcPr>
            <w:tcW w:w="850" w:type="dxa"/>
            <w:vMerge/>
            <w:shd w:val="clear" w:color="auto" w:fill="FFE599" w:themeFill="accent4" w:themeFillTint="66"/>
            <w:vAlign w:val="center"/>
          </w:tcPr>
          <w:p w:rsidR="00C821BE" w:rsidRPr="002362E3" w:rsidRDefault="00C821BE" w:rsidP="00C821BE">
            <w:pPr>
              <w:spacing w:after="0" w:line="240" w:lineRule="auto"/>
              <w:jc w:val="center"/>
              <w:rPr>
                <w:rFonts w:ascii="Times New Roman" w:hAnsi="Times New Roman"/>
                <w:b/>
                <w:sz w:val="16"/>
                <w:szCs w:val="16"/>
                <w:lang w:val="pt-BR"/>
              </w:rPr>
            </w:pPr>
          </w:p>
        </w:tc>
        <w:tc>
          <w:tcPr>
            <w:tcW w:w="567" w:type="dxa"/>
            <w:vMerge/>
            <w:shd w:val="clear" w:color="auto" w:fill="FFE599" w:themeFill="accent4" w:themeFillTint="66"/>
            <w:vAlign w:val="center"/>
          </w:tcPr>
          <w:p w:rsidR="00C821BE" w:rsidRPr="002362E3" w:rsidRDefault="00C821BE" w:rsidP="00C821BE">
            <w:pPr>
              <w:spacing w:after="0" w:line="240" w:lineRule="auto"/>
              <w:jc w:val="center"/>
              <w:rPr>
                <w:rFonts w:ascii="Times New Roman" w:hAnsi="Times New Roman"/>
                <w:b/>
                <w:sz w:val="16"/>
                <w:szCs w:val="16"/>
                <w:lang w:val="pt-BR"/>
              </w:rPr>
            </w:pPr>
          </w:p>
        </w:tc>
      </w:tr>
      <w:tr w:rsidR="00C821BE" w:rsidRPr="00332A41" w:rsidTr="00C821BE">
        <w:trPr>
          <w:jc w:val="center"/>
        </w:trPr>
        <w:tc>
          <w:tcPr>
            <w:tcW w:w="988" w:type="dxa"/>
            <w:vMerge/>
            <w:shd w:val="clear" w:color="auto" w:fill="BDD6EE"/>
          </w:tcPr>
          <w:p w:rsidR="00C821BE" w:rsidRPr="002362E3" w:rsidRDefault="00C821BE" w:rsidP="00C821BE">
            <w:pPr>
              <w:spacing w:after="0" w:line="240" w:lineRule="auto"/>
              <w:jc w:val="both"/>
              <w:rPr>
                <w:rFonts w:ascii="Times New Roman" w:hAnsi="Times New Roman"/>
                <w:sz w:val="16"/>
                <w:szCs w:val="16"/>
                <w:lang w:val="pt-BR"/>
              </w:rPr>
            </w:pPr>
          </w:p>
        </w:tc>
        <w:tc>
          <w:tcPr>
            <w:tcW w:w="850" w:type="dxa"/>
            <w:vMerge/>
          </w:tcPr>
          <w:p w:rsidR="00C821BE" w:rsidRPr="002362E3" w:rsidRDefault="00C821BE" w:rsidP="00C821BE">
            <w:pPr>
              <w:spacing w:after="0" w:line="240" w:lineRule="auto"/>
              <w:jc w:val="both"/>
              <w:rPr>
                <w:rFonts w:ascii="Times New Roman" w:hAnsi="Times New Roman"/>
                <w:b/>
                <w:sz w:val="16"/>
                <w:szCs w:val="16"/>
                <w:lang w:val="pt-BR"/>
              </w:rPr>
            </w:pPr>
          </w:p>
        </w:tc>
        <w:tc>
          <w:tcPr>
            <w:tcW w:w="4536" w:type="dxa"/>
            <w:gridSpan w:val="4"/>
          </w:tcPr>
          <w:p w:rsidR="00C821BE" w:rsidRPr="002362E3" w:rsidRDefault="00C821BE" w:rsidP="00C821BE">
            <w:pPr>
              <w:pStyle w:val="PargrafodaLista"/>
              <w:numPr>
                <w:ilvl w:val="0"/>
                <w:numId w:val="225"/>
              </w:numPr>
              <w:spacing w:after="0" w:line="240" w:lineRule="auto"/>
              <w:ind w:left="313" w:hanging="313"/>
              <w:jc w:val="both"/>
              <w:rPr>
                <w:rFonts w:ascii="Times New Roman" w:hAnsi="Times New Roman"/>
                <w:sz w:val="16"/>
                <w:szCs w:val="16"/>
                <w:lang w:val="pt-BR"/>
              </w:rPr>
            </w:pPr>
            <w:r w:rsidRPr="002362E3">
              <w:rPr>
                <w:rFonts w:ascii="Times New Roman" w:hAnsi="Times New Roman"/>
                <w:sz w:val="16"/>
                <w:szCs w:val="16"/>
                <w:lang w:val="pt-BR"/>
              </w:rPr>
              <w:t>Criação e / ou desenvolvimento de atividades relacionadas à comercialização de água e sorvete</w:t>
            </w:r>
          </w:p>
        </w:tc>
        <w:tc>
          <w:tcPr>
            <w:tcW w:w="851" w:type="dxa"/>
            <w:vMerge/>
            <w:vAlign w:val="center"/>
          </w:tcPr>
          <w:p w:rsidR="00C821BE" w:rsidRPr="002362E3" w:rsidRDefault="00C821BE" w:rsidP="00C821BE">
            <w:pPr>
              <w:spacing w:after="0" w:line="240" w:lineRule="auto"/>
              <w:jc w:val="center"/>
              <w:rPr>
                <w:rFonts w:ascii="Times New Roman" w:hAnsi="Times New Roman"/>
                <w:sz w:val="16"/>
                <w:szCs w:val="16"/>
                <w:lang w:val="pt-BR"/>
              </w:rPr>
            </w:pPr>
          </w:p>
        </w:tc>
        <w:tc>
          <w:tcPr>
            <w:tcW w:w="283" w:type="dxa"/>
            <w:vMerge/>
            <w:shd w:val="clear" w:color="auto" w:fill="002060"/>
            <w:vAlign w:val="center"/>
          </w:tcPr>
          <w:p w:rsidR="00C821BE" w:rsidRPr="002362E3" w:rsidRDefault="00C821BE" w:rsidP="00C821BE">
            <w:pPr>
              <w:spacing w:after="0" w:line="240" w:lineRule="auto"/>
              <w:jc w:val="center"/>
              <w:rPr>
                <w:rFonts w:ascii="Times New Roman" w:hAnsi="Times New Roman"/>
                <w:b/>
                <w:sz w:val="16"/>
                <w:szCs w:val="16"/>
                <w:lang w:val="pt-BR"/>
              </w:rPr>
            </w:pPr>
          </w:p>
        </w:tc>
        <w:tc>
          <w:tcPr>
            <w:tcW w:w="992" w:type="dxa"/>
            <w:vMerge/>
            <w:vAlign w:val="center"/>
          </w:tcPr>
          <w:p w:rsidR="00C821BE" w:rsidRPr="002362E3" w:rsidRDefault="00C821BE" w:rsidP="00C821BE">
            <w:pPr>
              <w:spacing w:after="0" w:line="240" w:lineRule="auto"/>
              <w:jc w:val="center"/>
              <w:rPr>
                <w:rFonts w:ascii="Times New Roman" w:hAnsi="Times New Roman"/>
                <w:sz w:val="16"/>
                <w:szCs w:val="16"/>
                <w:lang w:val="pt-BR"/>
              </w:rPr>
            </w:pPr>
          </w:p>
        </w:tc>
        <w:tc>
          <w:tcPr>
            <w:tcW w:w="284" w:type="dxa"/>
            <w:vMerge/>
            <w:shd w:val="clear" w:color="auto" w:fill="002060"/>
            <w:vAlign w:val="center"/>
          </w:tcPr>
          <w:p w:rsidR="00C821BE" w:rsidRPr="002362E3" w:rsidRDefault="00C821BE" w:rsidP="00C821BE">
            <w:pPr>
              <w:spacing w:after="0" w:line="240" w:lineRule="auto"/>
              <w:jc w:val="center"/>
              <w:rPr>
                <w:rFonts w:ascii="Times New Roman" w:hAnsi="Times New Roman"/>
                <w:b/>
                <w:sz w:val="16"/>
                <w:szCs w:val="16"/>
                <w:lang w:val="pt-BR"/>
              </w:rPr>
            </w:pPr>
          </w:p>
        </w:tc>
        <w:tc>
          <w:tcPr>
            <w:tcW w:w="850" w:type="dxa"/>
            <w:vMerge/>
            <w:vAlign w:val="center"/>
          </w:tcPr>
          <w:p w:rsidR="00C821BE" w:rsidRPr="002362E3" w:rsidRDefault="00C821BE" w:rsidP="00C821BE">
            <w:pPr>
              <w:spacing w:after="0" w:line="240" w:lineRule="auto"/>
              <w:jc w:val="center"/>
              <w:rPr>
                <w:rFonts w:ascii="Times New Roman" w:hAnsi="Times New Roman"/>
                <w:sz w:val="16"/>
                <w:szCs w:val="16"/>
                <w:lang w:val="pt-BR"/>
              </w:rPr>
            </w:pPr>
          </w:p>
        </w:tc>
        <w:tc>
          <w:tcPr>
            <w:tcW w:w="284" w:type="dxa"/>
            <w:vMerge/>
            <w:shd w:val="clear" w:color="auto" w:fill="002060"/>
            <w:vAlign w:val="center"/>
          </w:tcPr>
          <w:p w:rsidR="00C821BE" w:rsidRPr="002362E3" w:rsidRDefault="00C821BE" w:rsidP="00C821BE">
            <w:pPr>
              <w:spacing w:after="0" w:line="240" w:lineRule="auto"/>
              <w:jc w:val="center"/>
              <w:rPr>
                <w:rFonts w:ascii="Times New Roman" w:hAnsi="Times New Roman"/>
                <w:b/>
                <w:sz w:val="16"/>
                <w:szCs w:val="16"/>
                <w:lang w:val="pt-BR"/>
              </w:rPr>
            </w:pPr>
          </w:p>
        </w:tc>
        <w:tc>
          <w:tcPr>
            <w:tcW w:w="850" w:type="dxa"/>
            <w:vMerge/>
            <w:shd w:val="clear" w:color="auto" w:fill="FFE599" w:themeFill="accent4" w:themeFillTint="66"/>
            <w:vAlign w:val="center"/>
          </w:tcPr>
          <w:p w:rsidR="00C821BE" w:rsidRPr="002362E3" w:rsidRDefault="00C821BE" w:rsidP="00C821BE">
            <w:pPr>
              <w:spacing w:after="0" w:line="240" w:lineRule="auto"/>
              <w:jc w:val="center"/>
              <w:rPr>
                <w:rFonts w:ascii="Times New Roman" w:hAnsi="Times New Roman"/>
                <w:b/>
                <w:sz w:val="16"/>
                <w:szCs w:val="16"/>
                <w:lang w:val="pt-BR"/>
              </w:rPr>
            </w:pPr>
          </w:p>
        </w:tc>
        <w:tc>
          <w:tcPr>
            <w:tcW w:w="567" w:type="dxa"/>
            <w:vMerge/>
            <w:shd w:val="clear" w:color="auto" w:fill="FFE599" w:themeFill="accent4" w:themeFillTint="66"/>
            <w:vAlign w:val="center"/>
          </w:tcPr>
          <w:p w:rsidR="00C821BE" w:rsidRPr="002362E3" w:rsidRDefault="00C821BE" w:rsidP="00C821BE">
            <w:pPr>
              <w:spacing w:after="0" w:line="240" w:lineRule="auto"/>
              <w:jc w:val="center"/>
              <w:rPr>
                <w:rFonts w:ascii="Times New Roman" w:hAnsi="Times New Roman"/>
                <w:b/>
                <w:sz w:val="16"/>
                <w:szCs w:val="16"/>
                <w:lang w:val="pt-BR"/>
              </w:rPr>
            </w:pPr>
          </w:p>
        </w:tc>
      </w:tr>
      <w:tr w:rsidR="00C821BE" w:rsidRPr="002362E3" w:rsidTr="00C821BE">
        <w:trPr>
          <w:jc w:val="center"/>
        </w:trPr>
        <w:tc>
          <w:tcPr>
            <w:tcW w:w="988" w:type="dxa"/>
            <w:vMerge/>
            <w:shd w:val="clear" w:color="auto" w:fill="BDD6EE"/>
          </w:tcPr>
          <w:p w:rsidR="00C821BE" w:rsidRPr="002362E3" w:rsidRDefault="00C821BE" w:rsidP="00C821BE">
            <w:pPr>
              <w:spacing w:after="0" w:line="240" w:lineRule="auto"/>
              <w:jc w:val="both"/>
              <w:rPr>
                <w:rFonts w:ascii="Times New Roman" w:hAnsi="Times New Roman"/>
                <w:sz w:val="16"/>
                <w:szCs w:val="16"/>
                <w:lang w:val="pt-BR"/>
              </w:rPr>
            </w:pPr>
          </w:p>
        </w:tc>
        <w:tc>
          <w:tcPr>
            <w:tcW w:w="850" w:type="dxa"/>
            <w:vMerge/>
          </w:tcPr>
          <w:p w:rsidR="00C821BE" w:rsidRPr="002362E3" w:rsidRDefault="00C821BE" w:rsidP="00C821BE">
            <w:pPr>
              <w:spacing w:after="0" w:line="240" w:lineRule="auto"/>
              <w:jc w:val="both"/>
              <w:rPr>
                <w:rFonts w:ascii="Times New Roman" w:hAnsi="Times New Roman"/>
                <w:b/>
                <w:sz w:val="16"/>
                <w:szCs w:val="16"/>
                <w:lang w:val="pt-BR"/>
              </w:rPr>
            </w:pPr>
          </w:p>
        </w:tc>
        <w:tc>
          <w:tcPr>
            <w:tcW w:w="4536" w:type="dxa"/>
            <w:gridSpan w:val="4"/>
          </w:tcPr>
          <w:p w:rsidR="00C821BE" w:rsidRPr="002362E3" w:rsidRDefault="00C821BE" w:rsidP="00C821BE">
            <w:pPr>
              <w:pStyle w:val="PargrafodaLista"/>
              <w:numPr>
                <w:ilvl w:val="0"/>
                <w:numId w:val="225"/>
              </w:numPr>
              <w:spacing w:after="0" w:line="240" w:lineRule="auto"/>
              <w:ind w:left="313" w:hanging="313"/>
              <w:jc w:val="both"/>
              <w:rPr>
                <w:rFonts w:ascii="Times New Roman" w:hAnsi="Times New Roman"/>
                <w:sz w:val="16"/>
                <w:szCs w:val="16"/>
                <w:lang w:val="pt-BR"/>
              </w:rPr>
            </w:pPr>
            <w:r w:rsidRPr="002362E3">
              <w:rPr>
                <w:rFonts w:ascii="Times New Roman" w:hAnsi="Times New Roman"/>
                <w:sz w:val="16"/>
                <w:szCs w:val="16"/>
                <w:lang w:val="pt-BR"/>
              </w:rPr>
              <w:t>Extensão dos serviços de distribuição de água a localidades atendidas por outras operadoras.</w:t>
            </w:r>
          </w:p>
        </w:tc>
        <w:tc>
          <w:tcPr>
            <w:tcW w:w="851" w:type="dxa"/>
            <w:vAlign w:val="center"/>
          </w:tcPr>
          <w:p w:rsidR="00C821BE" w:rsidRPr="002362E3" w:rsidRDefault="00C821BE" w:rsidP="00C821BE">
            <w:pPr>
              <w:spacing w:after="0" w:line="240" w:lineRule="auto"/>
              <w:jc w:val="center"/>
              <w:rPr>
                <w:rFonts w:ascii="Times New Roman" w:hAnsi="Times New Roman"/>
                <w:sz w:val="16"/>
                <w:szCs w:val="16"/>
                <w:lang w:val="pt-BR"/>
              </w:rPr>
            </w:pPr>
            <w:r w:rsidRPr="002362E3">
              <w:rPr>
                <w:rFonts w:ascii="Times New Roman" w:hAnsi="Times New Roman"/>
                <w:sz w:val="16"/>
                <w:szCs w:val="16"/>
                <w:lang w:val="pt-BR"/>
              </w:rPr>
              <w:t>Baixo</w:t>
            </w:r>
          </w:p>
        </w:tc>
        <w:tc>
          <w:tcPr>
            <w:tcW w:w="283" w:type="dxa"/>
            <w:shd w:val="clear" w:color="auto" w:fill="002060"/>
            <w:vAlign w:val="center"/>
          </w:tcPr>
          <w:p w:rsidR="00C821BE" w:rsidRPr="002362E3" w:rsidRDefault="00C821BE" w:rsidP="00C821BE">
            <w:pPr>
              <w:spacing w:after="0" w:line="240" w:lineRule="auto"/>
              <w:jc w:val="center"/>
              <w:rPr>
                <w:rFonts w:ascii="Times New Roman" w:hAnsi="Times New Roman"/>
                <w:b/>
                <w:sz w:val="16"/>
                <w:szCs w:val="16"/>
                <w:lang w:val="pt-BR"/>
              </w:rPr>
            </w:pPr>
            <w:r w:rsidRPr="002362E3">
              <w:rPr>
                <w:rFonts w:ascii="Times New Roman" w:hAnsi="Times New Roman"/>
                <w:b/>
                <w:sz w:val="16"/>
                <w:szCs w:val="16"/>
                <w:lang w:val="pt-BR"/>
              </w:rPr>
              <w:t>1</w:t>
            </w:r>
          </w:p>
        </w:tc>
        <w:tc>
          <w:tcPr>
            <w:tcW w:w="992" w:type="dxa"/>
            <w:vAlign w:val="center"/>
          </w:tcPr>
          <w:p w:rsidR="00C821BE" w:rsidRPr="002362E3" w:rsidRDefault="00C821BE" w:rsidP="00C821BE">
            <w:pPr>
              <w:spacing w:after="0" w:line="240" w:lineRule="auto"/>
              <w:jc w:val="center"/>
              <w:rPr>
                <w:rFonts w:ascii="Times New Roman" w:hAnsi="Times New Roman"/>
                <w:sz w:val="16"/>
                <w:szCs w:val="16"/>
                <w:lang w:val="pt-BR"/>
              </w:rPr>
            </w:pPr>
            <w:r w:rsidRPr="002362E3">
              <w:rPr>
                <w:rFonts w:ascii="Times New Roman" w:hAnsi="Times New Roman"/>
                <w:sz w:val="16"/>
                <w:szCs w:val="16"/>
                <w:lang w:val="pt-BR"/>
              </w:rPr>
              <w:t>Local</w:t>
            </w:r>
          </w:p>
        </w:tc>
        <w:tc>
          <w:tcPr>
            <w:tcW w:w="284" w:type="dxa"/>
            <w:shd w:val="clear" w:color="auto" w:fill="002060"/>
            <w:vAlign w:val="center"/>
          </w:tcPr>
          <w:p w:rsidR="00C821BE" w:rsidRPr="002362E3" w:rsidRDefault="00C821BE" w:rsidP="00C821BE">
            <w:pPr>
              <w:spacing w:after="0" w:line="240" w:lineRule="auto"/>
              <w:jc w:val="center"/>
              <w:rPr>
                <w:rFonts w:ascii="Times New Roman" w:hAnsi="Times New Roman"/>
                <w:b/>
                <w:sz w:val="16"/>
                <w:szCs w:val="16"/>
                <w:lang w:val="pt-BR"/>
              </w:rPr>
            </w:pPr>
            <w:r w:rsidRPr="002362E3">
              <w:rPr>
                <w:rFonts w:ascii="Times New Roman" w:hAnsi="Times New Roman"/>
                <w:b/>
                <w:sz w:val="16"/>
                <w:szCs w:val="16"/>
                <w:lang w:val="pt-BR"/>
              </w:rPr>
              <w:t>3</w:t>
            </w:r>
          </w:p>
        </w:tc>
        <w:tc>
          <w:tcPr>
            <w:tcW w:w="850" w:type="dxa"/>
            <w:vAlign w:val="center"/>
          </w:tcPr>
          <w:p w:rsidR="00C821BE" w:rsidRPr="002362E3" w:rsidRDefault="00C821BE" w:rsidP="00C821BE">
            <w:pPr>
              <w:spacing w:after="0" w:line="240" w:lineRule="auto"/>
              <w:jc w:val="center"/>
              <w:rPr>
                <w:rFonts w:ascii="Times New Roman" w:hAnsi="Times New Roman"/>
                <w:sz w:val="16"/>
                <w:szCs w:val="16"/>
                <w:lang w:val="pt-BR"/>
              </w:rPr>
            </w:pPr>
            <w:r w:rsidRPr="002362E3">
              <w:rPr>
                <w:rFonts w:ascii="Times New Roman" w:hAnsi="Times New Roman"/>
                <w:sz w:val="16"/>
                <w:szCs w:val="16"/>
                <w:lang w:val="pt-BR"/>
              </w:rPr>
              <w:t>Longo</w:t>
            </w:r>
          </w:p>
        </w:tc>
        <w:tc>
          <w:tcPr>
            <w:tcW w:w="284" w:type="dxa"/>
            <w:shd w:val="clear" w:color="auto" w:fill="002060"/>
            <w:vAlign w:val="center"/>
          </w:tcPr>
          <w:p w:rsidR="00C821BE" w:rsidRPr="002362E3" w:rsidRDefault="00C821BE" w:rsidP="00C821BE">
            <w:pPr>
              <w:spacing w:after="0" w:line="240" w:lineRule="auto"/>
              <w:jc w:val="center"/>
              <w:rPr>
                <w:rFonts w:ascii="Times New Roman" w:hAnsi="Times New Roman"/>
                <w:b/>
                <w:sz w:val="16"/>
                <w:szCs w:val="16"/>
                <w:lang w:val="pt-BR"/>
              </w:rPr>
            </w:pPr>
            <w:r w:rsidRPr="002362E3">
              <w:rPr>
                <w:rFonts w:ascii="Times New Roman" w:hAnsi="Times New Roman"/>
                <w:b/>
                <w:sz w:val="16"/>
                <w:szCs w:val="16"/>
                <w:lang w:val="pt-BR"/>
              </w:rPr>
              <w:t>5</w:t>
            </w:r>
          </w:p>
        </w:tc>
        <w:tc>
          <w:tcPr>
            <w:tcW w:w="850" w:type="dxa"/>
            <w:shd w:val="clear" w:color="auto" w:fill="F7CAAC" w:themeFill="accent2" w:themeFillTint="66"/>
            <w:vAlign w:val="center"/>
          </w:tcPr>
          <w:p w:rsidR="00C821BE" w:rsidRPr="002362E3" w:rsidRDefault="00C821BE" w:rsidP="00C821BE">
            <w:pPr>
              <w:spacing w:after="0" w:line="240" w:lineRule="auto"/>
              <w:jc w:val="center"/>
              <w:rPr>
                <w:rFonts w:ascii="Times New Roman" w:hAnsi="Times New Roman"/>
                <w:b/>
                <w:sz w:val="16"/>
                <w:szCs w:val="16"/>
                <w:lang w:val="pt-BR"/>
              </w:rPr>
            </w:pPr>
            <w:r w:rsidRPr="002362E3">
              <w:rPr>
                <w:rFonts w:ascii="Times New Roman" w:hAnsi="Times New Roman"/>
                <w:b/>
                <w:sz w:val="16"/>
                <w:szCs w:val="16"/>
                <w:lang w:val="pt-BR"/>
              </w:rPr>
              <w:t>Menor</w:t>
            </w:r>
          </w:p>
        </w:tc>
        <w:tc>
          <w:tcPr>
            <w:tcW w:w="567" w:type="dxa"/>
            <w:shd w:val="clear" w:color="auto" w:fill="F7CAAC" w:themeFill="accent2" w:themeFillTint="66"/>
            <w:vAlign w:val="center"/>
          </w:tcPr>
          <w:p w:rsidR="00C821BE" w:rsidRPr="002362E3" w:rsidRDefault="00C821BE" w:rsidP="00C821BE">
            <w:pPr>
              <w:spacing w:after="0" w:line="240" w:lineRule="auto"/>
              <w:jc w:val="center"/>
              <w:rPr>
                <w:rFonts w:ascii="Times New Roman" w:hAnsi="Times New Roman"/>
                <w:b/>
                <w:sz w:val="16"/>
                <w:szCs w:val="16"/>
                <w:lang w:val="pt-BR"/>
              </w:rPr>
            </w:pPr>
            <w:r w:rsidRPr="002362E3">
              <w:rPr>
                <w:rFonts w:ascii="Times New Roman" w:hAnsi="Times New Roman"/>
                <w:b/>
                <w:sz w:val="16"/>
                <w:szCs w:val="16"/>
                <w:lang w:val="pt-BR"/>
              </w:rPr>
              <w:t>15</w:t>
            </w:r>
          </w:p>
        </w:tc>
      </w:tr>
      <w:tr w:rsidR="00C821BE" w:rsidRPr="002362E3" w:rsidTr="00C821BE">
        <w:trPr>
          <w:jc w:val="center"/>
        </w:trPr>
        <w:tc>
          <w:tcPr>
            <w:tcW w:w="988" w:type="dxa"/>
            <w:vMerge/>
            <w:shd w:val="clear" w:color="auto" w:fill="BDD6EE"/>
          </w:tcPr>
          <w:p w:rsidR="00C821BE" w:rsidRPr="002362E3" w:rsidRDefault="00C821BE" w:rsidP="00C821BE">
            <w:pPr>
              <w:spacing w:after="0" w:line="240" w:lineRule="auto"/>
              <w:jc w:val="both"/>
              <w:rPr>
                <w:rFonts w:ascii="Times New Roman" w:hAnsi="Times New Roman"/>
                <w:sz w:val="16"/>
                <w:szCs w:val="16"/>
                <w:lang w:val="pt-BR"/>
              </w:rPr>
            </w:pPr>
          </w:p>
        </w:tc>
        <w:tc>
          <w:tcPr>
            <w:tcW w:w="850" w:type="dxa"/>
            <w:vMerge/>
          </w:tcPr>
          <w:p w:rsidR="00C821BE" w:rsidRPr="002362E3" w:rsidRDefault="00C821BE" w:rsidP="00C821BE">
            <w:pPr>
              <w:spacing w:after="0" w:line="240" w:lineRule="auto"/>
              <w:jc w:val="both"/>
              <w:rPr>
                <w:rFonts w:ascii="Times New Roman" w:hAnsi="Times New Roman"/>
                <w:b/>
                <w:sz w:val="16"/>
                <w:szCs w:val="16"/>
                <w:lang w:val="pt-BR"/>
              </w:rPr>
            </w:pPr>
          </w:p>
        </w:tc>
        <w:tc>
          <w:tcPr>
            <w:tcW w:w="4536" w:type="dxa"/>
            <w:gridSpan w:val="4"/>
          </w:tcPr>
          <w:p w:rsidR="00C821BE" w:rsidRPr="002362E3" w:rsidRDefault="00C821BE" w:rsidP="00C821BE">
            <w:pPr>
              <w:pStyle w:val="PargrafodaLista"/>
              <w:numPr>
                <w:ilvl w:val="0"/>
                <w:numId w:val="225"/>
              </w:numPr>
              <w:spacing w:after="0" w:line="240" w:lineRule="auto"/>
              <w:ind w:left="313" w:hanging="313"/>
              <w:jc w:val="both"/>
              <w:rPr>
                <w:rFonts w:ascii="Times New Roman" w:hAnsi="Times New Roman"/>
                <w:sz w:val="16"/>
                <w:szCs w:val="16"/>
                <w:lang w:val="pt-BR"/>
              </w:rPr>
            </w:pPr>
            <w:r w:rsidRPr="002362E3">
              <w:rPr>
                <w:rFonts w:ascii="Times New Roman" w:hAnsi="Times New Roman"/>
                <w:sz w:val="16"/>
                <w:szCs w:val="16"/>
                <w:lang w:val="pt-BR"/>
              </w:rPr>
              <w:t>Desempenho EAGB aprimorado</w:t>
            </w:r>
          </w:p>
        </w:tc>
        <w:tc>
          <w:tcPr>
            <w:tcW w:w="851" w:type="dxa"/>
            <w:vAlign w:val="center"/>
          </w:tcPr>
          <w:p w:rsidR="00C821BE" w:rsidRPr="002362E3" w:rsidRDefault="00C821BE" w:rsidP="00C821BE">
            <w:pPr>
              <w:spacing w:after="0" w:line="240" w:lineRule="auto"/>
              <w:jc w:val="center"/>
              <w:rPr>
                <w:rFonts w:ascii="Times New Roman" w:hAnsi="Times New Roman"/>
                <w:sz w:val="16"/>
                <w:szCs w:val="16"/>
                <w:lang w:val="pt-BR"/>
              </w:rPr>
            </w:pPr>
            <w:r w:rsidRPr="002362E3">
              <w:rPr>
                <w:rFonts w:ascii="Times New Roman" w:hAnsi="Times New Roman"/>
                <w:sz w:val="16"/>
                <w:szCs w:val="16"/>
                <w:lang w:val="pt-BR"/>
              </w:rPr>
              <w:t>Forte</w:t>
            </w:r>
          </w:p>
        </w:tc>
        <w:tc>
          <w:tcPr>
            <w:tcW w:w="283" w:type="dxa"/>
            <w:shd w:val="clear" w:color="auto" w:fill="002060"/>
            <w:vAlign w:val="center"/>
          </w:tcPr>
          <w:p w:rsidR="00C821BE" w:rsidRPr="002362E3" w:rsidRDefault="00C821BE" w:rsidP="00C821BE">
            <w:pPr>
              <w:spacing w:after="0" w:line="240" w:lineRule="auto"/>
              <w:jc w:val="center"/>
              <w:rPr>
                <w:rFonts w:ascii="Times New Roman" w:hAnsi="Times New Roman"/>
                <w:b/>
                <w:sz w:val="16"/>
                <w:szCs w:val="16"/>
                <w:lang w:val="pt-BR"/>
              </w:rPr>
            </w:pPr>
            <w:r w:rsidRPr="002362E3">
              <w:rPr>
                <w:rFonts w:ascii="Times New Roman" w:hAnsi="Times New Roman"/>
                <w:b/>
                <w:sz w:val="16"/>
                <w:szCs w:val="16"/>
                <w:lang w:val="pt-BR"/>
              </w:rPr>
              <w:t>5</w:t>
            </w:r>
          </w:p>
        </w:tc>
        <w:tc>
          <w:tcPr>
            <w:tcW w:w="992" w:type="dxa"/>
            <w:vAlign w:val="center"/>
          </w:tcPr>
          <w:p w:rsidR="00C821BE" w:rsidRPr="002362E3" w:rsidRDefault="00C821BE" w:rsidP="00C821BE">
            <w:pPr>
              <w:spacing w:after="0" w:line="240" w:lineRule="auto"/>
              <w:jc w:val="center"/>
              <w:rPr>
                <w:rFonts w:ascii="Times New Roman" w:hAnsi="Times New Roman"/>
                <w:sz w:val="16"/>
                <w:szCs w:val="16"/>
                <w:lang w:val="pt-BR"/>
              </w:rPr>
            </w:pPr>
            <w:r w:rsidRPr="002362E3">
              <w:rPr>
                <w:rFonts w:ascii="Times New Roman" w:hAnsi="Times New Roman"/>
                <w:sz w:val="16"/>
                <w:szCs w:val="16"/>
                <w:lang w:val="pt-BR"/>
              </w:rPr>
              <w:t>Regional</w:t>
            </w:r>
          </w:p>
        </w:tc>
        <w:tc>
          <w:tcPr>
            <w:tcW w:w="284" w:type="dxa"/>
            <w:shd w:val="clear" w:color="auto" w:fill="002060"/>
            <w:vAlign w:val="center"/>
          </w:tcPr>
          <w:p w:rsidR="00C821BE" w:rsidRPr="002362E3" w:rsidRDefault="00C821BE" w:rsidP="00C821BE">
            <w:pPr>
              <w:spacing w:after="0" w:line="240" w:lineRule="auto"/>
              <w:jc w:val="center"/>
              <w:rPr>
                <w:rFonts w:ascii="Times New Roman" w:hAnsi="Times New Roman"/>
                <w:b/>
                <w:sz w:val="16"/>
                <w:szCs w:val="16"/>
                <w:lang w:val="pt-BR"/>
              </w:rPr>
            </w:pPr>
            <w:r w:rsidRPr="002362E3">
              <w:rPr>
                <w:rFonts w:ascii="Times New Roman" w:hAnsi="Times New Roman"/>
                <w:b/>
                <w:sz w:val="16"/>
                <w:szCs w:val="16"/>
                <w:lang w:val="pt-BR"/>
              </w:rPr>
              <w:t>5</w:t>
            </w:r>
          </w:p>
        </w:tc>
        <w:tc>
          <w:tcPr>
            <w:tcW w:w="850" w:type="dxa"/>
            <w:vAlign w:val="center"/>
          </w:tcPr>
          <w:p w:rsidR="00C821BE" w:rsidRPr="002362E3" w:rsidRDefault="00C821BE" w:rsidP="00C821BE">
            <w:pPr>
              <w:spacing w:after="0" w:line="240" w:lineRule="auto"/>
              <w:jc w:val="center"/>
              <w:rPr>
                <w:rFonts w:ascii="Times New Roman" w:hAnsi="Times New Roman"/>
                <w:sz w:val="16"/>
                <w:szCs w:val="16"/>
                <w:lang w:val="pt-BR"/>
              </w:rPr>
            </w:pPr>
            <w:r w:rsidRPr="002362E3">
              <w:rPr>
                <w:rFonts w:ascii="Times New Roman" w:hAnsi="Times New Roman"/>
                <w:sz w:val="16"/>
                <w:szCs w:val="16"/>
                <w:lang w:val="pt-BR"/>
              </w:rPr>
              <w:t>Longo</w:t>
            </w:r>
          </w:p>
        </w:tc>
        <w:tc>
          <w:tcPr>
            <w:tcW w:w="284" w:type="dxa"/>
            <w:shd w:val="clear" w:color="auto" w:fill="002060"/>
            <w:vAlign w:val="center"/>
          </w:tcPr>
          <w:p w:rsidR="00C821BE" w:rsidRPr="002362E3" w:rsidRDefault="00C821BE" w:rsidP="00C821BE">
            <w:pPr>
              <w:spacing w:after="0" w:line="240" w:lineRule="auto"/>
              <w:jc w:val="center"/>
              <w:rPr>
                <w:rFonts w:ascii="Times New Roman" w:hAnsi="Times New Roman"/>
                <w:b/>
                <w:sz w:val="16"/>
                <w:szCs w:val="16"/>
                <w:lang w:val="pt-BR"/>
              </w:rPr>
            </w:pPr>
            <w:r w:rsidRPr="002362E3">
              <w:rPr>
                <w:rFonts w:ascii="Times New Roman" w:hAnsi="Times New Roman"/>
                <w:b/>
                <w:sz w:val="16"/>
                <w:szCs w:val="16"/>
                <w:lang w:val="pt-BR"/>
              </w:rPr>
              <w:t>5</w:t>
            </w:r>
          </w:p>
        </w:tc>
        <w:tc>
          <w:tcPr>
            <w:tcW w:w="850" w:type="dxa"/>
            <w:shd w:val="clear" w:color="auto" w:fill="92D050"/>
            <w:vAlign w:val="center"/>
          </w:tcPr>
          <w:p w:rsidR="00C821BE" w:rsidRPr="002362E3" w:rsidRDefault="00C821BE" w:rsidP="00C821BE">
            <w:pPr>
              <w:spacing w:after="0" w:line="240" w:lineRule="auto"/>
              <w:jc w:val="center"/>
              <w:rPr>
                <w:rFonts w:ascii="Times New Roman" w:hAnsi="Times New Roman"/>
                <w:b/>
                <w:sz w:val="16"/>
                <w:szCs w:val="16"/>
                <w:lang w:val="pt-BR"/>
              </w:rPr>
            </w:pPr>
            <w:r w:rsidRPr="002362E3">
              <w:rPr>
                <w:rFonts w:ascii="Times New Roman" w:hAnsi="Times New Roman"/>
                <w:b/>
                <w:sz w:val="16"/>
                <w:szCs w:val="16"/>
                <w:lang w:val="pt-BR"/>
              </w:rPr>
              <w:t>Principal</w:t>
            </w:r>
          </w:p>
        </w:tc>
        <w:tc>
          <w:tcPr>
            <w:tcW w:w="567" w:type="dxa"/>
            <w:shd w:val="clear" w:color="auto" w:fill="92D050"/>
            <w:vAlign w:val="center"/>
          </w:tcPr>
          <w:p w:rsidR="00C821BE" w:rsidRPr="002362E3" w:rsidRDefault="00C821BE" w:rsidP="00C821BE">
            <w:pPr>
              <w:spacing w:after="0" w:line="240" w:lineRule="auto"/>
              <w:jc w:val="center"/>
              <w:rPr>
                <w:rFonts w:ascii="Times New Roman" w:hAnsi="Times New Roman"/>
                <w:b/>
                <w:sz w:val="16"/>
                <w:szCs w:val="16"/>
                <w:lang w:val="pt-BR"/>
              </w:rPr>
            </w:pPr>
            <w:r w:rsidRPr="002362E3">
              <w:rPr>
                <w:rFonts w:ascii="Times New Roman" w:hAnsi="Times New Roman"/>
                <w:b/>
                <w:sz w:val="16"/>
                <w:szCs w:val="16"/>
                <w:lang w:val="pt-BR"/>
              </w:rPr>
              <w:t>125</w:t>
            </w:r>
          </w:p>
        </w:tc>
      </w:tr>
    </w:tbl>
    <w:p w:rsidR="00C821BE" w:rsidRPr="002362E3" w:rsidRDefault="00C821BE" w:rsidP="00C821BE">
      <w:pPr>
        <w:spacing w:after="0"/>
        <w:jc w:val="center"/>
        <w:rPr>
          <w:rFonts w:ascii="Times New Roman" w:hAnsi="Times New Roman" w:cs="Times New Roman"/>
          <w:b/>
          <w:sz w:val="20"/>
          <w:szCs w:val="20"/>
          <w:lang w:val="pt-BR"/>
        </w:rPr>
      </w:pPr>
      <w:r w:rsidRPr="002362E3">
        <w:rPr>
          <w:rFonts w:ascii="Times New Roman" w:hAnsi="Times New Roman" w:cs="Times New Roman"/>
          <w:b/>
          <w:sz w:val="24"/>
          <w:szCs w:val="24"/>
          <w:lang w:val="pt-BR"/>
        </w:rPr>
        <w:tab/>
      </w:r>
      <w:r w:rsidRPr="002362E3">
        <w:rPr>
          <w:rFonts w:ascii="Times New Roman" w:hAnsi="Times New Roman" w:cs="Times New Roman"/>
          <w:b/>
          <w:sz w:val="20"/>
          <w:szCs w:val="20"/>
          <w:lang w:val="pt-BR"/>
        </w:rPr>
        <w:t>Resumo dos impactos negativos esperados no nível do subprojeto n ° 2</w:t>
      </w:r>
    </w:p>
    <w:tbl>
      <w:tblPr>
        <w:tblW w:w="113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850"/>
        <w:gridCol w:w="992"/>
        <w:gridCol w:w="1201"/>
        <w:gridCol w:w="2343"/>
        <w:gridCol w:w="851"/>
        <w:gridCol w:w="283"/>
        <w:gridCol w:w="992"/>
        <w:gridCol w:w="284"/>
        <w:gridCol w:w="850"/>
        <w:gridCol w:w="284"/>
        <w:gridCol w:w="850"/>
        <w:gridCol w:w="586"/>
      </w:tblGrid>
      <w:tr w:rsidR="00C821BE" w:rsidRPr="002362E3" w:rsidTr="00C821BE">
        <w:trPr>
          <w:jc w:val="center"/>
        </w:trPr>
        <w:tc>
          <w:tcPr>
            <w:tcW w:w="988" w:type="dxa"/>
            <w:shd w:val="clear" w:color="auto" w:fill="F2F2F2" w:themeFill="background1" w:themeFillShade="F2"/>
            <w:vAlign w:val="center"/>
          </w:tcPr>
          <w:p w:rsidR="00C821BE" w:rsidRPr="002362E3" w:rsidRDefault="00C821BE" w:rsidP="00C821BE">
            <w:pPr>
              <w:spacing w:after="0" w:line="240" w:lineRule="auto"/>
              <w:jc w:val="center"/>
              <w:rPr>
                <w:rFonts w:ascii="Times New Roman" w:hAnsi="Times New Roman"/>
                <w:b/>
                <w:sz w:val="16"/>
                <w:szCs w:val="16"/>
                <w:lang w:val="pt-BR"/>
              </w:rPr>
            </w:pPr>
            <w:r w:rsidRPr="002362E3">
              <w:rPr>
                <w:rFonts w:ascii="Times New Roman" w:hAnsi="Times New Roman"/>
                <w:b/>
                <w:sz w:val="16"/>
                <w:szCs w:val="16"/>
                <w:lang w:val="pt-BR"/>
              </w:rPr>
              <w:t>FASES</w:t>
            </w:r>
          </w:p>
        </w:tc>
        <w:tc>
          <w:tcPr>
            <w:tcW w:w="850" w:type="dxa"/>
            <w:shd w:val="clear" w:color="auto" w:fill="F2F2F2" w:themeFill="background1" w:themeFillShade="F2"/>
            <w:vAlign w:val="center"/>
          </w:tcPr>
          <w:p w:rsidR="00C821BE" w:rsidRPr="002362E3" w:rsidRDefault="00C821BE" w:rsidP="00C821BE">
            <w:pPr>
              <w:spacing w:after="0" w:line="240" w:lineRule="auto"/>
              <w:jc w:val="center"/>
              <w:rPr>
                <w:rFonts w:ascii="Times New Roman" w:hAnsi="Times New Roman"/>
                <w:b/>
                <w:sz w:val="16"/>
                <w:szCs w:val="16"/>
                <w:lang w:val="pt-BR"/>
              </w:rPr>
            </w:pPr>
            <w:r w:rsidRPr="002362E3">
              <w:rPr>
                <w:rFonts w:ascii="Times New Roman" w:hAnsi="Times New Roman"/>
                <w:b/>
                <w:sz w:val="16"/>
                <w:szCs w:val="16"/>
                <w:lang w:val="pt-BR"/>
              </w:rPr>
              <w:t>MEIO</w:t>
            </w:r>
          </w:p>
        </w:tc>
        <w:tc>
          <w:tcPr>
            <w:tcW w:w="4536" w:type="dxa"/>
            <w:gridSpan w:val="3"/>
            <w:shd w:val="clear" w:color="auto" w:fill="F2F2F2" w:themeFill="background1" w:themeFillShade="F2"/>
            <w:vAlign w:val="center"/>
          </w:tcPr>
          <w:p w:rsidR="00C821BE" w:rsidRPr="002362E3" w:rsidRDefault="00C821BE" w:rsidP="00C821BE">
            <w:pPr>
              <w:spacing w:after="0" w:line="240" w:lineRule="auto"/>
              <w:jc w:val="center"/>
              <w:rPr>
                <w:rFonts w:ascii="Times New Roman" w:hAnsi="Times New Roman"/>
                <w:b/>
                <w:sz w:val="16"/>
                <w:szCs w:val="16"/>
                <w:lang w:val="pt-BR"/>
              </w:rPr>
            </w:pPr>
            <w:r w:rsidRPr="002362E3">
              <w:rPr>
                <w:rFonts w:ascii="Times New Roman" w:hAnsi="Times New Roman"/>
                <w:b/>
                <w:sz w:val="16"/>
                <w:szCs w:val="16"/>
                <w:lang w:val="pt-BR"/>
              </w:rPr>
              <w:t>POTENCIAIS IMPACTOS NEGATIVOS</w:t>
            </w:r>
          </w:p>
        </w:tc>
        <w:tc>
          <w:tcPr>
            <w:tcW w:w="1134" w:type="dxa"/>
            <w:gridSpan w:val="2"/>
            <w:shd w:val="clear" w:color="auto" w:fill="002060"/>
            <w:vAlign w:val="center"/>
          </w:tcPr>
          <w:p w:rsidR="00C821BE" w:rsidRPr="002362E3" w:rsidRDefault="00C821BE" w:rsidP="00C821BE">
            <w:pPr>
              <w:spacing w:after="0" w:line="240" w:lineRule="auto"/>
              <w:jc w:val="both"/>
              <w:rPr>
                <w:rFonts w:ascii="Times New Roman" w:hAnsi="Times New Roman"/>
                <w:b/>
                <w:sz w:val="16"/>
                <w:szCs w:val="16"/>
                <w:lang w:val="pt-BR"/>
              </w:rPr>
            </w:pPr>
            <w:r w:rsidRPr="002362E3">
              <w:rPr>
                <w:rFonts w:ascii="Times New Roman" w:hAnsi="Times New Roman"/>
                <w:b/>
                <w:sz w:val="16"/>
                <w:szCs w:val="16"/>
                <w:lang w:val="pt-BR"/>
              </w:rPr>
              <w:t>Intensidade</w:t>
            </w:r>
          </w:p>
        </w:tc>
        <w:tc>
          <w:tcPr>
            <w:tcW w:w="1276" w:type="dxa"/>
            <w:gridSpan w:val="2"/>
            <w:shd w:val="clear" w:color="auto" w:fill="002060"/>
            <w:vAlign w:val="center"/>
          </w:tcPr>
          <w:p w:rsidR="00C821BE" w:rsidRPr="002362E3" w:rsidRDefault="00C821BE" w:rsidP="00C821BE">
            <w:pPr>
              <w:spacing w:after="0" w:line="240" w:lineRule="auto"/>
              <w:jc w:val="both"/>
              <w:rPr>
                <w:rFonts w:ascii="Times New Roman" w:hAnsi="Times New Roman"/>
                <w:b/>
                <w:sz w:val="16"/>
                <w:szCs w:val="16"/>
                <w:lang w:val="pt-BR"/>
              </w:rPr>
            </w:pPr>
            <w:r w:rsidRPr="002362E3">
              <w:rPr>
                <w:rFonts w:ascii="Times New Roman" w:hAnsi="Times New Roman"/>
                <w:b/>
                <w:sz w:val="16"/>
                <w:szCs w:val="16"/>
                <w:lang w:val="pt-BR"/>
              </w:rPr>
              <w:t>Extensão</w:t>
            </w:r>
          </w:p>
        </w:tc>
        <w:tc>
          <w:tcPr>
            <w:tcW w:w="1134" w:type="dxa"/>
            <w:gridSpan w:val="2"/>
            <w:shd w:val="clear" w:color="auto" w:fill="002060"/>
            <w:vAlign w:val="center"/>
          </w:tcPr>
          <w:p w:rsidR="00C821BE" w:rsidRPr="002362E3" w:rsidRDefault="00C821BE" w:rsidP="00C821BE">
            <w:pPr>
              <w:spacing w:after="0" w:line="240" w:lineRule="auto"/>
              <w:jc w:val="both"/>
              <w:rPr>
                <w:rFonts w:ascii="Times New Roman" w:hAnsi="Times New Roman"/>
                <w:b/>
                <w:sz w:val="16"/>
                <w:szCs w:val="16"/>
                <w:lang w:val="pt-BR"/>
              </w:rPr>
            </w:pPr>
            <w:r w:rsidRPr="002362E3">
              <w:rPr>
                <w:rFonts w:ascii="Times New Roman" w:hAnsi="Times New Roman"/>
                <w:b/>
                <w:sz w:val="16"/>
                <w:szCs w:val="16"/>
                <w:lang w:val="pt-BR"/>
              </w:rPr>
              <w:t>Duração</w:t>
            </w:r>
          </w:p>
        </w:tc>
        <w:tc>
          <w:tcPr>
            <w:tcW w:w="1436" w:type="dxa"/>
            <w:gridSpan w:val="2"/>
            <w:shd w:val="clear" w:color="auto" w:fill="002060"/>
            <w:vAlign w:val="center"/>
          </w:tcPr>
          <w:p w:rsidR="00C821BE" w:rsidRPr="002362E3" w:rsidRDefault="00C821BE" w:rsidP="00C821BE">
            <w:pPr>
              <w:spacing w:after="0" w:line="240" w:lineRule="auto"/>
              <w:jc w:val="both"/>
              <w:rPr>
                <w:rFonts w:ascii="Times New Roman" w:hAnsi="Times New Roman"/>
                <w:b/>
                <w:sz w:val="16"/>
                <w:szCs w:val="16"/>
                <w:lang w:val="pt-BR"/>
              </w:rPr>
            </w:pPr>
            <w:r w:rsidRPr="002362E3">
              <w:rPr>
                <w:rFonts w:ascii="Times New Roman" w:hAnsi="Times New Roman"/>
                <w:b/>
                <w:sz w:val="16"/>
                <w:szCs w:val="16"/>
                <w:lang w:val="pt-BR"/>
              </w:rPr>
              <w:t>Importância</w:t>
            </w:r>
          </w:p>
        </w:tc>
      </w:tr>
      <w:tr w:rsidR="00C821BE" w:rsidRPr="002362E3" w:rsidTr="00C821BE">
        <w:trPr>
          <w:gridBefore w:val="2"/>
          <w:gridAfter w:val="10"/>
          <w:wBefore w:w="1838" w:type="dxa"/>
          <w:wAfter w:w="8524" w:type="dxa"/>
          <w:trHeight w:val="70"/>
          <w:jc w:val="center"/>
        </w:trPr>
        <w:tc>
          <w:tcPr>
            <w:tcW w:w="992" w:type="dxa"/>
            <w:shd w:val="clear" w:color="auto" w:fill="000000" w:themeFill="text1"/>
            <w:vAlign w:val="center"/>
          </w:tcPr>
          <w:p w:rsidR="00C821BE" w:rsidRPr="002362E3" w:rsidRDefault="00C821BE" w:rsidP="00C821BE">
            <w:pPr>
              <w:spacing w:after="0" w:line="240" w:lineRule="auto"/>
              <w:jc w:val="both"/>
              <w:rPr>
                <w:rFonts w:ascii="Times New Roman" w:hAnsi="Times New Roman"/>
                <w:sz w:val="4"/>
                <w:szCs w:val="4"/>
                <w:lang w:val="pt-BR"/>
              </w:rPr>
            </w:pPr>
          </w:p>
        </w:tc>
      </w:tr>
      <w:tr w:rsidR="00C821BE" w:rsidRPr="002362E3" w:rsidTr="00C821BE">
        <w:trPr>
          <w:jc w:val="center"/>
        </w:trPr>
        <w:tc>
          <w:tcPr>
            <w:tcW w:w="988" w:type="dxa"/>
            <w:vMerge w:val="restart"/>
            <w:shd w:val="clear" w:color="auto" w:fill="BDD6EE"/>
            <w:vAlign w:val="center"/>
          </w:tcPr>
          <w:p w:rsidR="00C821BE" w:rsidRPr="002362E3" w:rsidRDefault="00C821BE" w:rsidP="00C821BE">
            <w:pPr>
              <w:spacing w:after="0" w:line="240" w:lineRule="auto"/>
              <w:jc w:val="center"/>
              <w:rPr>
                <w:rFonts w:ascii="Times New Roman" w:eastAsia="MS Gothic" w:hAnsi="Times New Roman"/>
                <w:b/>
                <w:sz w:val="16"/>
                <w:szCs w:val="16"/>
                <w:lang w:val="pt-BR"/>
              </w:rPr>
            </w:pPr>
            <w:r w:rsidRPr="002362E3">
              <w:rPr>
                <w:rFonts w:ascii="Times New Roman" w:eastAsia="MS Gothic" w:hAnsi="Times New Roman"/>
                <w:b/>
                <w:sz w:val="16"/>
                <w:szCs w:val="16"/>
                <w:lang w:val="pt-BR"/>
              </w:rPr>
              <w:t>Pré-construção e</w:t>
            </w:r>
          </w:p>
          <w:p w:rsidR="00C821BE" w:rsidRPr="002362E3" w:rsidRDefault="00C821BE" w:rsidP="00C821BE">
            <w:pPr>
              <w:spacing w:after="0" w:line="240" w:lineRule="auto"/>
              <w:jc w:val="center"/>
              <w:rPr>
                <w:rFonts w:ascii="Times New Roman" w:eastAsia="MS Gothic" w:hAnsi="Times New Roman"/>
                <w:b/>
                <w:sz w:val="16"/>
                <w:szCs w:val="16"/>
                <w:lang w:val="pt-BR"/>
              </w:rPr>
            </w:pPr>
            <w:r w:rsidRPr="002362E3">
              <w:rPr>
                <w:rFonts w:ascii="Times New Roman" w:eastAsia="MS Gothic" w:hAnsi="Times New Roman"/>
                <w:b/>
                <w:sz w:val="16"/>
                <w:szCs w:val="16"/>
                <w:lang w:val="pt-BR"/>
              </w:rPr>
              <w:t>Construção</w:t>
            </w:r>
          </w:p>
        </w:tc>
        <w:tc>
          <w:tcPr>
            <w:tcW w:w="850" w:type="dxa"/>
            <w:vAlign w:val="center"/>
          </w:tcPr>
          <w:p w:rsidR="00C821BE" w:rsidRPr="002362E3" w:rsidRDefault="00C821BE" w:rsidP="00C821BE">
            <w:pPr>
              <w:spacing w:after="0" w:line="240" w:lineRule="auto"/>
              <w:jc w:val="center"/>
              <w:rPr>
                <w:rFonts w:ascii="Times New Roman" w:hAnsi="Times New Roman"/>
                <w:b/>
                <w:sz w:val="12"/>
                <w:szCs w:val="12"/>
                <w:lang w:val="pt-BR"/>
              </w:rPr>
            </w:pPr>
            <w:r w:rsidRPr="002362E3">
              <w:rPr>
                <w:rFonts w:ascii="Times New Roman" w:hAnsi="Times New Roman"/>
                <w:b/>
                <w:sz w:val="12"/>
                <w:szCs w:val="12"/>
                <w:lang w:val="pt-BR"/>
              </w:rPr>
              <w:t>AR</w:t>
            </w:r>
          </w:p>
        </w:tc>
        <w:tc>
          <w:tcPr>
            <w:tcW w:w="4536" w:type="dxa"/>
            <w:gridSpan w:val="3"/>
            <w:vAlign w:val="center"/>
          </w:tcPr>
          <w:p w:rsidR="00C821BE" w:rsidRPr="002362E3" w:rsidRDefault="00C821BE" w:rsidP="00C821BE">
            <w:pPr>
              <w:spacing w:after="0" w:line="240" w:lineRule="auto"/>
              <w:jc w:val="both"/>
              <w:rPr>
                <w:rFonts w:ascii="Times New Roman" w:hAnsi="Times New Roman"/>
                <w:sz w:val="16"/>
                <w:szCs w:val="16"/>
                <w:lang w:val="pt-BR"/>
              </w:rPr>
            </w:pPr>
            <w:r w:rsidRPr="002362E3">
              <w:rPr>
                <w:rFonts w:ascii="Times New Roman" w:hAnsi="Times New Roman"/>
                <w:sz w:val="16"/>
                <w:szCs w:val="16"/>
                <w:lang w:val="pt-BR"/>
              </w:rPr>
              <w:t>Risco de deterioração da qualidade do ar (ruído, poeira e gases de exaustão)</w:t>
            </w:r>
          </w:p>
        </w:tc>
        <w:tc>
          <w:tcPr>
            <w:tcW w:w="851" w:type="dxa"/>
            <w:vAlign w:val="center"/>
          </w:tcPr>
          <w:p w:rsidR="00C821BE" w:rsidRPr="002362E3" w:rsidRDefault="00C821BE" w:rsidP="00C821BE">
            <w:pPr>
              <w:spacing w:after="0" w:line="240" w:lineRule="auto"/>
              <w:jc w:val="center"/>
              <w:rPr>
                <w:rFonts w:ascii="Times New Roman" w:hAnsi="Times New Roman"/>
                <w:sz w:val="16"/>
                <w:szCs w:val="16"/>
                <w:lang w:val="pt-BR"/>
              </w:rPr>
            </w:pPr>
            <w:r w:rsidRPr="002362E3">
              <w:rPr>
                <w:rFonts w:ascii="Times New Roman" w:hAnsi="Times New Roman"/>
                <w:sz w:val="16"/>
                <w:szCs w:val="16"/>
                <w:lang w:val="pt-BR"/>
              </w:rPr>
              <w:t>Média</w:t>
            </w:r>
          </w:p>
        </w:tc>
        <w:tc>
          <w:tcPr>
            <w:tcW w:w="283" w:type="dxa"/>
            <w:shd w:val="clear" w:color="auto" w:fill="002060"/>
            <w:vAlign w:val="center"/>
          </w:tcPr>
          <w:p w:rsidR="00C821BE" w:rsidRPr="002362E3" w:rsidRDefault="00C821BE" w:rsidP="00C821BE">
            <w:pPr>
              <w:spacing w:after="0" w:line="240" w:lineRule="auto"/>
              <w:jc w:val="center"/>
              <w:rPr>
                <w:rFonts w:ascii="Times New Roman" w:hAnsi="Times New Roman"/>
                <w:b/>
                <w:sz w:val="16"/>
                <w:szCs w:val="16"/>
                <w:lang w:val="pt-BR"/>
              </w:rPr>
            </w:pPr>
            <w:r w:rsidRPr="002362E3">
              <w:rPr>
                <w:rFonts w:ascii="Times New Roman" w:hAnsi="Times New Roman"/>
                <w:b/>
                <w:sz w:val="16"/>
                <w:szCs w:val="16"/>
                <w:lang w:val="pt-BR"/>
              </w:rPr>
              <w:t>3</w:t>
            </w:r>
          </w:p>
        </w:tc>
        <w:tc>
          <w:tcPr>
            <w:tcW w:w="992" w:type="dxa"/>
            <w:vAlign w:val="center"/>
          </w:tcPr>
          <w:p w:rsidR="00C821BE" w:rsidRPr="002362E3" w:rsidRDefault="00C821BE" w:rsidP="00C821BE">
            <w:pPr>
              <w:spacing w:after="0" w:line="240" w:lineRule="auto"/>
              <w:jc w:val="center"/>
              <w:rPr>
                <w:rFonts w:ascii="Times New Roman" w:hAnsi="Times New Roman"/>
                <w:sz w:val="16"/>
                <w:szCs w:val="16"/>
                <w:lang w:val="pt-BR"/>
              </w:rPr>
            </w:pPr>
            <w:r w:rsidRPr="002362E3">
              <w:rPr>
                <w:rFonts w:ascii="Times New Roman" w:hAnsi="Times New Roman"/>
                <w:sz w:val="16"/>
                <w:szCs w:val="16"/>
                <w:lang w:val="pt-BR"/>
              </w:rPr>
              <w:t>Local</w:t>
            </w:r>
          </w:p>
        </w:tc>
        <w:tc>
          <w:tcPr>
            <w:tcW w:w="284" w:type="dxa"/>
            <w:shd w:val="clear" w:color="auto" w:fill="002060"/>
            <w:vAlign w:val="center"/>
          </w:tcPr>
          <w:p w:rsidR="00C821BE" w:rsidRPr="002362E3" w:rsidRDefault="00C821BE" w:rsidP="00C821BE">
            <w:pPr>
              <w:spacing w:after="0" w:line="240" w:lineRule="auto"/>
              <w:jc w:val="center"/>
              <w:rPr>
                <w:rFonts w:ascii="Times New Roman" w:hAnsi="Times New Roman"/>
                <w:b/>
                <w:sz w:val="16"/>
                <w:szCs w:val="16"/>
                <w:lang w:val="pt-BR"/>
              </w:rPr>
            </w:pPr>
            <w:r w:rsidRPr="002362E3">
              <w:rPr>
                <w:rFonts w:ascii="Times New Roman" w:hAnsi="Times New Roman"/>
                <w:b/>
                <w:sz w:val="16"/>
                <w:szCs w:val="16"/>
                <w:lang w:val="pt-BR"/>
              </w:rPr>
              <w:t>3</w:t>
            </w:r>
          </w:p>
        </w:tc>
        <w:tc>
          <w:tcPr>
            <w:tcW w:w="850" w:type="dxa"/>
            <w:vAlign w:val="center"/>
          </w:tcPr>
          <w:p w:rsidR="00C821BE" w:rsidRPr="002362E3" w:rsidRDefault="00C821BE" w:rsidP="00C821BE">
            <w:pPr>
              <w:spacing w:after="0" w:line="240" w:lineRule="auto"/>
              <w:jc w:val="center"/>
              <w:rPr>
                <w:rFonts w:ascii="Times New Roman" w:hAnsi="Times New Roman"/>
                <w:sz w:val="16"/>
                <w:szCs w:val="16"/>
                <w:lang w:val="pt-BR"/>
              </w:rPr>
            </w:pPr>
            <w:r w:rsidRPr="002362E3">
              <w:rPr>
                <w:rFonts w:ascii="Times New Roman" w:hAnsi="Times New Roman"/>
                <w:sz w:val="16"/>
                <w:szCs w:val="16"/>
                <w:lang w:val="pt-BR"/>
              </w:rPr>
              <w:t>Curto</w:t>
            </w:r>
          </w:p>
        </w:tc>
        <w:tc>
          <w:tcPr>
            <w:tcW w:w="284" w:type="dxa"/>
            <w:shd w:val="clear" w:color="auto" w:fill="002060"/>
            <w:vAlign w:val="center"/>
          </w:tcPr>
          <w:p w:rsidR="00C821BE" w:rsidRPr="002362E3" w:rsidRDefault="00C821BE" w:rsidP="00C821BE">
            <w:pPr>
              <w:spacing w:after="0" w:line="240" w:lineRule="auto"/>
              <w:jc w:val="center"/>
              <w:rPr>
                <w:rFonts w:ascii="Times New Roman" w:hAnsi="Times New Roman"/>
                <w:b/>
                <w:sz w:val="16"/>
                <w:szCs w:val="16"/>
                <w:lang w:val="pt-BR"/>
              </w:rPr>
            </w:pPr>
            <w:r w:rsidRPr="002362E3">
              <w:rPr>
                <w:rFonts w:ascii="Times New Roman" w:hAnsi="Times New Roman"/>
                <w:b/>
                <w:sz w:val="16"/>
                <w:szCs w:val="16"/>
                <w:lang w:val="pt-BR"/>
              </w:rPr>
              <w:t>1</w:t>
            </w:r>
          </w:p>
        </w:tc>
        <w:tc>
          <w:tcPr>
            <w:tcW w:w="850" w:type="dxa"/>
            <w:shd w:val="clear" w:color="auto" w:fill="92D050"/>
            <w:vAlign w:val="center"/>
          </w:tcPr>
          <w:p w:rsidR="00C821BE" w:rsidRPr="002362E3" w:rsidRDefault="00C821BE" w:rsidP="00C821BE">
            <w:pPr>
              <w:spacing w:after="0" w:line="240" w:lineRule="auto"/>
              <w:jc w:val="center"/>
              <w:rPr>
                <w:rFonts w:ascii="Times New Roman" w:hAnsi="Times New Roman"/>
                <w:b/>
                <w:sz w:val="16"/>
                <w:szCs w:val="16"/>
                <w:lang w:val="pt-BR"/>
              </w:rPr>
            </w:pPr>
            <w:r w:rsidRPr="002362E3">
              <w:rPr>
                <w:rFonts w:ascii="Times New Roman" w:hAnsi="Times New Roman"/>
                <w:b/>
                <w:sz w:val="16"/>
                <w:szCs w:val="16"/>
                <w:lang w:val="pt-BR"/>
              </w:rPr>
              <w:t>Menor</w:t>
            </w:r>
          </w:p>
        </w:tc>
        <w:tc>
          <w:tcPr>
            <w:tcW w:w="586" w:type="dxa"/>
            <w:shd w:val="clear" w:color="auto" w:fill="92D050"/>
            <w:vAlign w:val="center"/>
          </w:tcPr>
          <w:p w:rsidR="00C821BE" w:rsidRPr="002362E3" w:rsidRDefault="00C821BE" w:rsidP="00C821BE">
            <w:pPr>
              <w:spacing w:after="0" w:line="240" w:lineRule="auto"/>
              <w:jc w:val="center"/>
              <w:rPr>
                <w:rFonts w:ascii="Times New Roman" w:hAnsi="Times New Roman"/>
                <w:b/>
                <w:sz w:val="16"/>
                <w:szCs w:val="16"/>
                <w:lang w:val="pt-BR"/>
              </w:rPr>
            </w:pPr>
            <w:r w:rsidRPr="002362E3">
              <w:rPr>
                <w:rFonts w:ascii="Times New Roman" w:hAnsi="Times New Roman"/>
                <w:b/>
                <w:sz w:val="16"/>
                <w:szCs w:val="16"/>
                <w:lang w:val="pt-BR"/>
              </w:rPr>
              <w:t>9</w:t>
            </w:r>
          </w:p>
        </w:tc>
      </w:tr>
      <w:tr w:rsidR="00C821BE" w:rsidRPr="002362E3" w:rsidTr="00C821BE">
        <w:trPr>
          <w:jc w:val="center"/>
        </w:trPr>
        <w:tc>
          <w:tcPr>
            <w:tcW w:w="988" w:type="dxa"/>
            <w:vMerge/>
            <w:shd w:val="clear" w:color="auto" w:fill="BDD6EE"/>
            <w:vAlign w:val="center"/>
          </w:tcPr>
          <w:p w:rsidR="00C821BE" w:rsidRPr="002362E3" w:rsidRDefault="00C821BE" w:rsidP="00C821BE">
            <w:pPr>
              <w:spacing w:after="0" w:line="240" w:lineRule="auto"/>
              <w:jc w:val="center"/>
              <w:rPr>
                <w:rFonts w:ascii="Times New Roman" w:hAnsi="Times New Roman"/>
                <w:sz w:val="16"/>
                <w:szCs w:val="16"/>
                <w:lang w:val="pt-BR"/>
              </w:rPr>
            </w:pPr>
          </w:p>
        </w:tc>
        <w:tc>
          <w:tcPr>
            <w:tcW w:w="850" w:type="dxa"/>
            <w:vMerge w:val="restart"/>
            <w:vAlign w:val="center"/>
          </w:tcPr>
          <w:p w:rsidR="00C821BE" w:rsidRPr="002362E3" w:rsidRDefault="00C821BE" w:rsidP="00C821BE">
            <w:pPr>
              <w:spacing w:after="0" w:line="240" w:lineRule="auto"/>
              <w:jc w:val="center"/>
              <w:rPr>
                <w:rFonts w:ascii="Times New Roman" w:hAnsi="Times New Roman"/>
                <w:b/>
                <w:sz w:val="12"/>
                <w:szCs w:val="12"/>
                <w:lang w:val="pt-BR"/>
              </w:rPr>
            </w:pPr>
            <w:r w:rsidRPr="002362E3">
              <w:rPr>
                <w:rFonts w:ascii="Times New Roman" w:hAnsi="Times New Roman"/>
                <w:b/>
                <w:sz w:val="12"/>
                <w:szCs w:val="12"/>
                <w:lang w:val="pt-BR"/>
              </w:rPr>
              <w:t>TERRA</w:t>
            </w:r>
          </w:p>
        </w:tc>
        <w:tc>
          <w:tcPr>
            <w:tcW w:w="4536" w:type="dxa"/>
            <w:gridSpan w:val="3"/>
            <w:vAlign w:val="center"/>
          </w:tcPr>
          <w:p w:rsidR="00C821BE" w:rsidRPr="002362E3" w:rsidRDefault="00C821BE" w:rsidP="00C821BE">
            <w:pPr>
              <w:spacing w:after="0" w:line="240" w:lineRule="auto"/>
              <w:jc w:val="both"/>
              <w:rPr>
                <w:rFonts w:ascii="Times New Roman" w:hAnsi="Times New Roman"/>
                <w:sz w:val="16"/>
                <w:szCs w:val="16"/>
                <w:lang w:val="pt-BR"/>
              </w:rPr>
            </w:pPr>
            <w:r w:rsidRPr="002362E3">
              <w:rPr>
                <w:rFonts w:ascii="Times New Roman" w:hAnsi="Times New Roman"/>
                <w:sz w:val="16"/>
                <w:szCs w:val="16"/>
                <w:lang w:val="pt-BR"/>
              </w:rPr>
              <w:t>Risco de produção de entulho e modificação da textura do solo</w:t>
            </w:r>
          </w:p>
        </w:tc>
        <w:tc>
          <w:tcPr>
            <w:tcW w:w="851" w:type="dxa"/>
            <w:vMerge w:val="restart"/>
            <w:vAlign w:val="center"/>
          </w:tcPr>
          <w:p w:rsidR="00C821BE" w:rsidRPr="002362E3" w:rsidRDefault="00C821BE" w:rsidP="00C821BE">
            <w:pPr>
              <w:spacing w:after="0" w:line="240" w:lineRule="auto"/>
              <w:jc w:val="center"/>
              <w:rPr>
                <w:rFonts w:ascii="Times New Roman" w:hAnsi="Times New Roman"/>
                <w:sz w:val="16"/>
                <w:szCs w:val="16"/>
                <w:lang w:val="pt-BR"/>
              </w:rPr>
            </w:pPr>
            <w:r w:rsidRPr="002362E3">
              <w:rPr>
                <w:rFonts w:ascii="Times New Roman" w:hAnsi="Times New Roman"/>
                <w:sz w:val="16"/>
                <w:szCs w:val="16"/>
                <w:lang w:val="pt-BR"/>
              </w:rPr>
              <w:t>Forte</w:t>
            </w:r>
          </w:p>
        </w:tc>
        <w:tc>
          <w:tcPr>
            <w:tcW w:w="283" w:type="dxa"/>
            <w:vMerge w:val="restart"/>
            <w:shd w:val="clear" w:color="auto" w:fill="002060"/>
            <w:vAlign w:val="center"/>
          </w:tcPr>
          <w:p w:rsidR="00C821BE" w:rsidRPr="002362E3" w:rsidRDefault="00C821BE" w:rsidP="00C821BE">
            <w:pPr>
              <w:spacing w:after="0" w:line="240" w:lineRule="auto"/>
              <w:jc w:val="center"/>
              <w:rPr>
                <w:rFonts w:ascii="Times New Roman" w:hAnsi="Times New Roman"/>
                <w:b/>
                <w:sz w:val="16"/>
                <w:szCs w:val="16"/>
                <w:lang w:val="pt-BR"/>
              </w:rPr>
            </w:pPr>
            <w:r w:rsidRPr="002362E3">
              <w:rPr>
                <w:rFonts w:ascii="Times New Roman" w:hAnsi="Times New Roman"/>
                <w:b/>
                <w:sz w:val="16"/>
                <w:szCs w:val="16"/>
                <w:lang w:val="pt-BR"/>
              </w:rPr>
              <w:t>5</w:t>
            </w:r>
          </w:p>
        </w:tc>
        <w:tc>
          <w:tcPr>
            <w:tcW w:w="992" w:type="dxa"/>
            <w:vMerge w:val="restart"/>
            <w:vAlign w:val="center"/>
          </w:tcPr>
          <w:p w:rsidR="00C821BE" w:rsidRPr="002362E3" w:rsidRDefault="00C821BE" w:rsidP="00C821BE">
            <w:pPr>
              <w:spacing w:after="0" w:line="240" w:lineRule="auto"/>
              <w:jc w:val="center"/>
              <w:rPr>
                <w:rFonts w:ascii="Times New Roman" w:hAnsi="Times New Roman"/>
                <w:sz w:val="16"/>
                <w:szCs w:val="16"/>
                <w:lang w:val="pt-BR"/>
              </w:rPr>
            </w:pPr>
            <w:r w:rsidRPr="002362E3">
              <w:rPr>
                <w:rFonts w:ascii="Times New Roman" w:hAnsi="Times New Roman"/>
                <w:sz w:val="16"/>
                <w:szCs w:val="16"/>
                <w:lang w:val="pt-BR"/>
              </w:rPr>
              <w:t>Pontual</w:t>
            </w:r>
          </w:p>
        </w:tc>
        <w:tc>
          <w:tcPr>
            <w:tcW w:w="284" w:type="dxa"/>
            <w:vMerge w:val="restart"/>
            <w:shd w:val="clear" w:color="auto" w:fill="002060"/>
            <w:vAlign w:val="center"/>
          </w:tcPr>
          <w:p w:rsidR="00C821BE" w:rsidRPr="002362E3" w:rsidRDefault="00C821BE" w:rsidP="00C821BE">
            <w:pPr>
              <w:spacing w:after="0" w:line="240" w:lineRule="auto"/>
              <w:jc w:val="center"/>
              <w:rPr>
                <w:rFonts w:ascii="Times New Roman" w:hAnsi="Times New Roman"/>
                <w:b/>
                <w:sz w:val="16"/>
                <w:szCs w:val="16"/>
                <w:lang w:val="pt-BR"/>
              </w:rPr>
            </w:pPr>
            <w:r w:rsidRPr="002362E3">
              <w:rPr>
                <w:rFonts w:ascii="Times New Roman" w:hAnsi="Times New Roman"/>
                <w:b/>
                <w:sz w:val="16"/>
                <w:szCs w:val="16"/>
                <w:lang w:val="pt-BR"/>
              </w:rPr>
              <w:t>1</w:t>
            </w:r>
          </w:p>
        </w:tc>
        <w:tc>
          <w:tcPr>
            <w:tcW w:w="850" w:type="dxa"/>
            <w:vMerge w:val="restart"/>
            <w:vAlign w:val="center"/>
          </w:tcPr>
          <w:p w:rsidR="00C821BE" w:rsidRPr="002362E3" w:rsidRDefault="00C821BE" w:rsidP="00C821BE">
            <w:pPr>
              <w:spacing w:after="0" w:line="240" w:lineRule="auto"/>
              <w:jc w:val="center"/>
              <w:rPr>
                <w:rFonts w:ascii="Times New Roman" w:hAnsi="Times New Roman"/>
                <w:sz w:val="16"/>
                <w:szCs w:val="16"/>
                <w:lang w:val="pt-BR"/>
              </w:rPr>
            </w:pPr>
            <w:r w:rsidRPr="002362E3">
              <w:rPr>
                <w:rFonts w:ascii="Times New Roman" w:hAnsi="Times New Roman"/>
                <w:sz w:val="16"/>
                <w:szCs w:val="16"/>
                <w:lang w:val="pt-BR"/>
              </w:rPr>
              <w:t>Curto</w:t>
            </w:r>
          </w:p>
        </w:tc>
        <w:tc>
          <w:tcPr>
            <w:tcW w:w="284" w:type="dxa"/>
            <w:vMerge w:val="restart"/>
            <w:shd w:val="clear" w:color="auto" w:fill="002060"/>
            <w:vAlign w:val="center"/>
          </w:tcPr>
          <w:p w:rsidR="00C821BE" w:rsidRPr="002362E3" w:rsidRDefault="00C821BE" w:rsidP="00C821BE">
            <w:pPr>
              <w:spacing w:after="0" w:line="240" w:lineRule="auto"/>
              <w:jc w:val="center"/>
              <w:rPr>
                <w:rFonts w:ascii="Times New Roman" w:hAnsi="Times New Roman"/>
                <w:b/>
                <w:sz w:val="16"/>
                <w:szCs w:val="16"/>
                <w:lang w:val="pt-BR"/>
              </w:rPr>
            </w:pPr>
            <w:r w:rsidRPr="002362E3">
              <w:rPr>
                <w:rFonts w:ascii="Times New Roman" w:hAnsi="Times New Roman"/>
                <w:b/>
                <w:sz w:val="16"/>
                <w:szCs w:val="16"/>
                <w:lang w:val="pt-BR"/>
              </w:rPr>
              <w:t>1</w:t>
            </w:r>
          </w:p>
        </w:tc>
        <w:tc>
          <w:tcPr>
            <w:tcW w:w="850" w:type="dxa"/>
            <w:vMerge w:val="restart"/>
            <w:shd w:val="clear" w:color="auto" w:fill="92D050"/>
            <w:vAlign w:val="center"/>
          </w:tcPr>
          <w:p w:rsidR="00C821BE" w:rsidRPr="002362E3" w:rsidRDefault="00C821BE" w:rsidP="00C821BE">
            <w:pPr>
              <w:spacing w:after="0" w:line="240" w:lineRule="auto"/>
              <w:jc w:val="center"/>
              <w:rPr>
                <w:rFonts w:ascii="Times New Roman" w:hAnsi="Times New Roman"/>
                <w:b/>
                <w:sz w:val="16"/>
                <w:szCs w:val="16"/>
                <w:lang w:val="pt-BR"/>
              </w:rPr>
            </w:pPr>
            <w:r w:rsidRPr="002362E3">
              <w:rPr>
                <w:rFonts w:ascii="Times New Roman" w:hAnsi="Times New Roman"/>
                <w:b/>
                <w:sz w:val="16"/>
                <w:szCs w:val="16"/>
                <w:lang w:val="pt-BR"/>
              </w:rPr>
              <w:t>Menor</w:t>
            </w:r>
          </w:p>
        </w:tc>
        <w:tc>
          <w:tcPr>
            <w:tcW w:w="586" w:type="dxa"/>
            <w:vMerge w:val="restart"/>
            <w:shd w:val="clear" w:color="auto" w:fill="92D050"/>
            <w:vAlign w:val="center"/>
          </w:tcPr>
          <w:p w:rsidR="00C821BE" w:rsidRPr="002362E3" w:rsidRDefault="00C821BE" w:rsidP="00C821BE">
            <w:pPr>
              <w:spacing w:after="0" w:line="240" w:lineRule="auto"/>
              <w:jc w:val="center"/>
              <w:rPr>
                <w:rFonts w:ascii="Times New Roman" w:hAnsi="Times New Roman"/>
                <w:b/>
                <w:sz w:val="16"/>
                <w:szCs w:val="16"/>
                <w:lang w:val="pt-BR"/>
              </w:rPr>
            </w:pPr>
            <w:r w:rsidRPr="002362E3">
              <w:rPr>
                <w:rFonts w:ascii="Times New Roman" w:hAnsi="Times New Roman"/>
                <w:b/>
                <w:sz w:val="16"/>
                <w:szCs w:val="16"/>
                <w:lang w:val="pt-BR"/>
              </w:rPr>
              <w:t>5</w:t>
            </w:r>
          </w:p>
        </w:tc>
      </w:tr>
      <w:tr w:rsidR="00C821BE" w:rsidRPr="00332A41" w:rsidTr="00C821BE">
        <w:trPr>
          <w:jc w:val="center"/>
        </w:trPr>
        <w:tc>
          <w:tcPr>
            <w:tcW w:w="988" w:type="dxa"/>
            <w:vMerge/>
            <w:shd w:val="clear" w:color="auto" w:fill="BDD6EE"/>
            <w:vAlign w:val="center"/>
          </w:tcPr>
          <w:p w:rsidR="00C821BE" w:rsidRPr="002362E3" w:rsidRDefault="00C821BE" w:rsidP="00C821BE">
            <w:pPr>
              <w:spacing w:after="0" w:line="240" w:lineRule="auto"/>
              <w:jc w:val="center"/>
              <w:rPr>
                <w:rFonts w:ascii="Times New Roman" w:hAnsi="Times New Roman"/>
                <w:sz w:val="16"/>
                <w:szCs w:val="16"/>
                <w:lang w:val="pt-BR"/>
              </w:rPr>
            </w:pPr>
          </w:p>
        </w:tc>
        <w:tc>
          <w:tcPr>
            <w:tcW w:w="850" w:type="dxa"/>
            <w:vMerge/>
            <w:vAlign w:val="center"/>
          </w:tcPr>
          <w:p w:rsidR="00C821BE" w:rsidRPr="002362E3" w:rsidRDefault="00C821BE" w:rsidP="00C821BE">
            <w:pPr>
              <w:spacing w:after="0" w:line="240" w:lineRule="auto"/>
              <w:jc w:val="center"/>
              <w:rPr>
                <w:rFonts w:ascii="Times New Roman" w:hAnsi="Times New Roman"/>
                <w:b/>
                <w:sz w:val="12"/>
                <w:szCs w:val="12"/>
                <w:lang w:val="pt-BR"/>
              </w:rPr>
            </w:pPr>
          </w:p>
        </w:tc>
        <w:tc>
          <w:tcPr>
            <w:tcW w:w="4536" w:type="dxa"/>
            <w:gridSpan w:val="3"/>
            <w:vAlign w:val="center"/>
          </w:tcPr>
          <w:p w:rsidR="00C821BE" w:rsidRPr="002362E3" w:rsidRDefault="00C821BE" w:rsidP="00C821BE">
            <w:pPr>
              <w:spacing w:after="0" w:line="240" w:lineRule="auto"/>
              <w:jc w:val="both"/>
              <w:rPr>
                <w:rFonts w:ascii="Times New Roman" w:hAnsi="Times New Roman"/>
                <w:sz w:val="16"/>
                <w:szCs w:val="16"/>
                <w:lang w:val="pt-BR"/>
              </w:rPr>
            </w:pPr>
            <w:r w:rsidRPr="002362E3">
              <w:rPr>
                <w:rFonts w:ascii="Times New Roman" w:hAnsi="Times New Roman"/>
                <w:sz w:val="16"/>
                <w:szCs w:val="16"/>
                <w:lang w:val="pt-BR"/>
              </w:rPr>
              <w:t>Existe o risco de poluição acidental do solo devido a possíveis vazamentos de combustível ou lubrificante.</w:t>
            </w:r>
          </w:p>
        </w:tc>
        <w:tc>
          <w:tcPr>
            <w:tcW w:w="851" w:type="dxa"/>
            <w:vMerge/>
            <w:vAlign w:val="center"/>
          </w:tcPr>
          <w:p w:rsidR="00C821BE" w:rsidRPr="002362E3" w:rsidRDefault="00C821BE" w:rsidP="00C821BE">
            <w:pPr>
              <w:spacing w:after="0" w:line="240" w:lineRule="auto"/>
              <w:jc w:val="center"/>
              <w:rPr>
                <w:rFonts w:ascii="Times New Roman" w:hAnsi="Times New Roman"/>
                <w:sz w:val="16"/>
                <w:szCs w:val="16"/>
                <w:lang w:val="pt-BR"/>
              </w:rPr>
            </w:pPr>
          </w:p>
        </w:tc>
        <w:tc>
          <w:tcPr>
            <w:tcW w:w="283" w:type="dxa"/>
            <w:vMerge/>
            <w:shd w:val="clear" w:color="auto" w:fill="002060"/>
            <w:vAlign w:val="center"/>
          </w:tcPr>
          <w:p w:rsidR="00C821BE" w:rsidRPr="002362E3" w:rsidRDefault="00C821BE" w:rsidP="00C821BE">
            <w:pPr>
              <w:spacing w:after="0" w:line="240" w:lineRule="auto"/>
              <w:jc w:val="center"/>
              <w:rPr>
                <w:rFonts w:ascii="Times New Roman" w:hAnsi="Times New Roman"/>
                <w:b/>
                <w:sz w:val="16"/>
                <w:szCs w:val="16"/>
                <w:lang w:val="pt-BR"/>
              </w:rPr>
            </w:pPr>
          </w:p>
        </w:tc>
        <w:tc>
          <w:tcPr>
            <w:tcW w:w="992" w:type="dxa"/>
            <w:vMerge/>
            <w:vAlign w:val="center"/>
          </w:tcPr>
          <w:p w:rsidR="00C821BE" w:rsidRPr="002362E3" w:rsidRDefault="00C821BE" w:rsidP="00C821BE">
            <w:pPr>
              <w:spacing w:after="0" w:line="240" w:lineRule="auto"/>
              <w:jc w:val="center"/>
              <w:rPr>
                <w:rFonts w:ascii="Times New Roman" w:hAnsi="Times New Roman"/>
                <w:sz w:val="16"/>
                <w:szCs w:val="16"/>
                <w:lang w:val="pt-BR"/>
              </w:rPr>
            </w:pPr>
          </w:p>
        </w:tc>
        <w:tc>
          <w:tcPr>
            <w:tcW w:w="284" w:type="dxa"/>
            <w:vMerge/>
            <w:shd w:val="clear" w:color="auto" w:fill="002060"/>
            <w:vAlign w:val="center"/>
          </w:tcPr>
          <w:p w:rsidR="00C821BE" w:rsidRPr="002362E3" w:rsidRDefault="00C821BE" w:rsidP="00C821BE">
            <w:pPr>
              <w:spacing w:after="0" w:line="240" w:lineRule="auto"/>
              <w:jc w:val="center"/>
              <w:rPr>
                <w:rFonts w:ascii="Times New Roman" w:hAnsi="Times New Roman"/>
                <w:b/>
                <w:sz w:val="16"/>
                <w:szCs w:val="16"/>
                <w:lang w:val="pt-BR"/>
              </w:rPr>
            </w:pPr>
          </w:p>
        </w:tc>
        <w:tc>
          <w:tcPr>
            <w:tcW w:w="850" w:type="dxa"/>
            <w:vMerge/>
            <w:vAlign w:val="center"/>
          </w:tcPr>
          <w:p w:rsidR="00C821BE" w:rsidRPr="002362E3" w:rsidRDefault="00C821BE" w:rsidP="00C821BE">
            <w:pPr>
              <w:spacing w:after="0" w:line="240" w:lineRule="auto"/>
              <w:jc w:val="center"/>
              <w:rPr>
                <w:rFonts w:ascii="Times New Roman" w:hAnsi="Times New Roman"/>
                <w:sz w:val="16"/>
                <w:szCs w:val="16"/>
                <w:lang w:val="pt-BR"/>
              </w:rPr>
            </w:pPr>
          </w:p>
        </w:tc>
        <w:tc>
          <w:tcPr>
            <w:tcW w:w="284" w:type="dxa"/>
            <w:vMerge/>
            <w:shd w:val="clear" w:color="auto" w:fill="002060"/>
            <w:vAlign w:val="center"/>
          </w:tcPr>
          <w:p w:rsidR="00C821BE" w:rsidRPr="002362E3" w:rsidRDefault="00C821BE" w:rsidP="00C821BE">
            <w:pPr>
              <w:spacing w:after="0" w:line="240" w:lineRule="auto"/>
              <w:jc w:val="center"/>
              <w:rPr>
                <w:rFonts w:ascii="Times New Roman" w:hAnsi="Times New Roman"/>
                <w:b/>
                <w:sz w:val="16"/>
                <w:szCs w:val="16"/>
                <w:lang w:val="pt-BR"/>
              </w:rPr>
            </w:pPr>
          </w:p>
        </w:tc>
        <w:tc>
          <w:tcPr>
            <w:tcW w:w="850" w:type="dxa"/>
            <w:vMerge/>
            <w:shd w:val="clear" w:color="auto" w:fill="92D050"/>
            <w:vAlign w:val="center"/>
          </w:tcPr>
          <w:p w:rsidR="00C821BE" w:rsidRPr="002362E3" w:rsidRDefault="00C821BE" w:rsidP="00C821BE">
            <w:pPr>
              <w:spacing w:after="0" w:line="240" w:lineRule="auto"/>
              <w:jc w:val="center"/>
              <w:rPr>
                <w:rFonts w:ascii="Times New Roman" w:hAnsi="Times New Roman"/>
                <w:b/>
                <w:sz w:val="16"/>
                <w:szCs w:val="16"/>
                <w:lang w:val="pt-BR"/>
              </w:rPr>
            </w:pPr>
          </w:p>
        </w:tc>
        <w:tc>
          <w:tcPr>
            <w:tcW w:w="586" w:type="dxa"/>
            <w:vMerge/>
            <w:shd w:val="clear" w:color="auto" w:fill="92D050"/>
            <w:vAlign w:val="center"/>
          </w:tcPr>
          <w:p w:rsidR="00C821BE" w:rsidRPr="002362E3" w:rsidRDefault="00C821BE" w:rsidP="00C821BE">
            <w:pPr>
              <w:spacing w:after="0" w:line="240" w:lineRule="auto"/>
              <w:jc w:val="center"/>
              <w:rPr>
                <w:rFonts w:ascii="Times New Roman" w:hAnsi="Times New Roman"/>
                <w:b/>
                <w:sz w:val="16"/>
                <w:szCs w:val="16"/>
                <w:lang w:val="pt-BR"/>
              </w:rPr>
            </w:pPr>
          </w:p>
        </w:tc>
      </w:tr>
      <w:tr w:rsidR="00C821BE" w:rsidRPr="00332A41" w:rsidTr="00C821BE">
        <w:trPr>
          <w:jc w:val="center"/>
        </w:trPr>
        <w:tc>
          <w:tcPr>
            <w:tcW w:w="988" w:type="dxa"/>
            <w:vMerge/>
            <w:shd w:val="clear" w:color="auto" w:fill="BDD6EE"/>
            <w:vAlign w:val="center"/>
          </w:tcPr>
          <w:p w:rsidR="00C821BE" w:rsidRPr="002362E3" w:rsidRDefault="00C821BE" w:rsidP="00C821BE">
            <w:pPr>
              <w:spacing w:after="0" w:line="240" w:lineRule="auto"/>
              <w:jc w:val="center"/>
              <w:rPr>
                <w:rFonts w:ascii="Times New Roman" w:hAnsi="Times New Roman"/>
                <w:sz w:val="16"/>
                <w:szCs w:val="16"/>
                <w:lang w:val="pt-BR"/>
              </w:rPr>
            </w:pPr>
          </w:p>
        </w:tc>
        <w:tc>
          <w:tcPr>
            <w:tcW w:w="850" w:type="dxa"/>
            <w:vMerge/>
            <w:vAlign w:val="center"/>
          </w:tcPr>
          <w:p w:rsidR="00C821BE" w:rsidRPr="002362E3" w:rsidRDefault="00C821BE" w:rsidP="00C821BE">
            <w:pPr>
              <w:spacing w:after="0" w:line="240" w:lineRule="auto"/>
              <w:jc w:val="center"/>
              <w:rPr>
                <w:rFonts w:ascii="Times New Roman" w:hAnsi="Times New Roman"/>
                <w:b/>
                <w:sz w:val="12"/>
                <w:szCs w:val="12"/>
                <w:lang w:val="pt-BR"/>
              </w:rPr>
            </w:pPr>
          </w:p>
        </w:tc>
        <w:tc>
          <w:tcPr>
            <w:tcW w:w="4536" w:type="dxa"/>
            <w:gridSpan w:val="3"/>
            <w:vAlign w:val="center"/>
          </w:tcPr>
          <w:p w:rsidR="00C821BE" w:rsidRPr="002362E3" w:rsidRDefault="00C821BE" w:rsidP="00C821BE">
            <w:pPr>
              <w:spacing w:after="0" w:line="240" w:lineRule="auto"/>
              <w:jc w:val="both"/>
              <w:rPr>
                <w:rFonts w:ascii="Times New Roman" w:hAnsi="Times New Roman"/>
                <w:sz w:val="16"/>
                <w:szCs w:val="16"/>
                <w:lang w:val="pt-BR"/>
              </w:rPr>
            </w:pPr>
            <w:r w:rsidRPr="002362E3">
              <w:rPr>
                <w:rFonts w:ascii="Times New Roman" w:hAnsi="Times New Roman"/>
                <w:sz w:val="16"/>
                <w:szCs w:val="16"/>
                <w:lang w:val="pt-BR"/>
              </w:rPr>
              <w:t>Risco de enfraquecimento e assentamento de solos e subsolo</w:t>
            </w:r>
          </w:p>
        </w:tc>
        <w:tc>
          <w:tcPr>
            <w:tcW w:w="851" w:type="dxa"/>
            <w:vMerge/>
            <w:vAlign w:val="center"/>
          </w:tcPr>
          <w:p w:rsidR="00C821BE" w:rsidRPr="002362E3" w:rsidRDefault="00C821BE" w:rsidP="00C821BE">
            <w:pPr>
              <w:spacing w:after="0" w:line="240" w:lineRule="auto"/>
              <w:jc w:val="center"/>
              <w:rPr>
                <w:rFonts w:ascii="Times New Roman" w:hAnsi="Times New Roman"/>
                <w:sz w:val="16"/>
                <w:szCs w:val="16"/>
                <w:lang w:val="pt-BR"/>
              </w:rPr>
            </w:pPr>
          </w:p>
        </w:tc>
        <w:tc>
          <w:tcPr>
            <w:tcW w:w="283" w:type="dxa"/>
            <w:vMerge/>
            <w:shd w:val="clear" w:color="auto" w:fill="002060"/>
            <w:vAlign w:val="center"/>
          </w:tcPr>
          <w:p w:rsidR="00C821BE" w:rsidRPr="002362E3" w:rsidRDefault="00C821BE" w:rsidP="00C821BE">
            <w:pPr>
              <w:spacing w:after="0" w:line="240" w:lineRule="auto"/>
              <w:jc w:val="center"/>
              <w:rPr>
                <w:rFonts w:ascii="Times New Roman" w:hAnsi="Times New Roman"/>
                <w:b/>
                <w:sz w:val="16"/>
                <w:szCs w:val="16"/>
                <w:lang w:val="pt-BR"/>
              </w:rPr>
            </w:pPr>
          </w:p>
        </w:tc>
        <w:tc>
          <w:tcPr>
            <w:tcW w:w="992" w:type="dxa"/>
            <w:vMerge/>
            <w:vAlign w:val="center"/>
          </w:tcPr>
          <w:p w:rsidR="00C821BE" w:rsidRPr="002362E3" w:rsidRDefault="00C821BE" w:rsidP="00C821BE">
            <w:pPr>
              <w:spacing w:after="0" w:line="240" w:lineRule="auto"/>
              <w:jc w:val="center"/>
              <w:rPr>
                <w:rFonts w:ascii="Times New Roman" w:hAnsi="Times New Roman"/>
                <w:sz w:val="16"/>
                <w:szCs w:val="16"/>
                <w:lang w:val="pt-BR"/>
              </w:rPr>
            </w:pPr>
          </w:p>
        </w:tc>
        <w:tc>
          <w:tcPr>
            <w:tcW w:w="284" w:type="dxa"/>
            <w:vMerge/>
            <w:shd w:val="clear" w:color="auto" w:fill="002060"/>
            <w:vAlign w:val="center"/>
          </w:tcPr>
          <w:p w:rsidR="00C821BE" w:rsidRPr="002362E3" w:rsidRDefault="00C821BE" w:rsidP="00C821BE">
            <w:pPr>
              <w:spacing w:after="0" w:line="240" w:lineRule="auto"/>
              <w:jc w:val="center"/>
              <w:rPr>
                <w:rFonts w:ascii="Times New Roman" w:hAnsi="Times New Roman"/>
                <w:b/>
                <w:sz w:val="16"/>
                <w:szCs w:val="16"/>
                <w:lang w:val="pt-BR"/>
              </w:rPr>
            </w:pPr>
          </w:p>
        </w:tc>
        <w:tc>
          <w:tcPr>
            <w:tcW w:w="850" w:type="dxa"/>
            <w:vMerge/>
            <w:vAlign w:val="center"/>
          </w:tcPr>
          <w:p w:rsidR="00C821BE" w:rsidRPr="002362E3" w:rsidRDefault="00C821BE" w:rsidP="00C821BE">
            <w:pPr>
              <w:spacing w:after="0" w:line="240" w:lineRule="auto"/>
              <w:jc w:val="center"/>
              <w:rPr>
                <w:rFonts w:ascii="Times New Roman" w:hAnsi="Times New Roman"/>
                <w:sz w:val="16"/>
                <w:szCs w:val="16"/>
                <w:lang w:val="pt-BR"/>
              </w:rPr>
            </w:pPr>
          </w:p>
        </w:tc>
        <w:tc>
          <w:tcPr>
            <w:tcW w:w="284" w:type="dxa"/>
            <w:vMerge/>
            <w:shd w:val="clear" w:color="auto" w:fill="002060"/>
            <w:vAlign w:val="center"/>
          </w:tcPr>
          <w:p w:rsidR="00C821BE" w:rsidRPr="002362E3" w:rsidRDefault="00C821BE" w:rsidP="00C821BE">
            <w:pPr>
              <w:spacing w:after="0" w:line="240" w:lineRule="auto"/>
              <w:jc w:val="center"/>
              <w:rPr>
                <w:rFonts w:ascii="Times New Roman" w:hAnsi="Times New Roman"/>
                <w:b/>
                <w:sz w:val="16"/>
                <w:szCs w:val="16"/>
                <w:lang w:val="pt-BR"/>
              </w:rPr>
            </w:pPr>
          </w:p>
        </w:tc>
        <w:tc>
          <w:tcPr>
            <w:tcW w:w="850" w:type="dxa"/>
            <w:vMerge/>
            <w:shd w:val="clear" w:color="auto" w:fill="92D050"/>
            <w:vAlign w:val="center"/>
          </w:tcPr>
          <w:p w:rsidR="00C821BE" w:rsidRPr="002362E3" w:rsidRDefault="00C821BE" w:rsidP="00C821BE">
            <w:pPr>
              <w:spacing w:after="0" w:line="240" w:lineRule="auto"/>
              <w:jc w:val="center"/>
              <w:rPr>
                <w:rFonts w:ascii="Times New Roman" w:hAnsi="Times New Roman"/>
                <w:b/>
                <w:sz w:val="16"/>
                <w:szCs w:val="16"/>
                <w:lang w:val="pt-BR"/>
              </w:rPr>
            </w:pPr>
          </w:p>
        </w:tc>
        <w:tc>
          <w:tcPr>
            <w:tcW w:w="586" w:type="dxa"/>
            <w:vMerge/>
            <w:shd w:val="clear" w:color="auto" w:fill="92D050"/>
            <w:vAlign w:val="center"/>
          </w:tcPr>
          <w:p w:rsidR="00C821BE" w:rsidRPr="002362E3" w:rsidRDefault="00C821BE" w:rsidP="00C821BE">
            <w:pPr>
              <w:spacing w:after="0" w:line="240" w:lineRule="auto"/>
              <w:jc w:val="center"/>
              <w:rPr>
                <w:rFonts w:ascii="Times New Roman" w:hAnsi="Times New Roman"/>
                <w:b/>
                <w:sz w:val="16"/>
                <w:szCs w:val="16"/>
                <w:lang w:val="pt-BR"/>
              </w:rPr>
            </w:pPr>
          </w:p>
        </w:tc>
      </w:tr>
      <w:tr w:rsidR="00C821BE" w:rsidRPr="002362E3" w:rsidTr="00C821BE">
        <w:trPr>
          <w:jc w:val="center"/>
        </w:trPr>
        <w:tc>
          <w:tcPr>
            <w:tcW w:w="988" w:type="dxa"/>
            <w:vMerge/>
            <w:shd w:val="clear" w:color="auto" w:fill="BDD6EE"/>
            <w:vAlign w:val="center"/>
          </w:tcPr>
          <w:p w:rsidR="00C821BE" w:rsidRPr="002362E3" w:rsidRDefault="00C821BE" w:rsidP="00C821BE">
            <w:pPr>
              <w:spacing w:after="0" w:line="240" w:lineRule="auto"/>
              <w:jc w:val="center"/>
              <w:rPr>
                <w:rFonts w:ascii="Times New Roman" w:hAnsi="Times New Roman"/>
                <w:sz w:val="16"/>
                <w:szCs w:val="16"/>
                <w:lang w:val="pt-BR"/>
              </w:rPr>
            </w:pPr>
          </w:p>
        </w:tc>
        <w:tc>
          <w:tcPr>
            <w:tcW w:w="850" w:type="dxa"/>
            <w:vMerge w:val="restart"/>
            <w:vAlign w:val="center"/>
          </w:tcPr>
          <w:p w:rsidR="00C821BE" w:rsidRPr="002362E3" w:rsidRDefault="00C821BE" w:rsidP="00C821BE">
            <w:pPr>
              <w:spacing w:after="0" w:line="240" w:lineRule="auto"/>
              <w:jc w:val="center"/>
              <w:rPr>
                <w:rFonts w:ascii="Times New Roman" w:hAnsi="Times New Roman"/>
                <w:b/>
                <w:sz w:val="12"/>
                <w:szCs w:val="12"/>
                <w:lang w:val="pt-BR"/>
              </w:rPr>
            </w:pPr>
            <w:r w:rsidRPr="002362E3">
              <w:rPr>
                <w:rFonts w:ascii="Times New Roman" w:hAnsi="Times New Roman"/>
                <w:b/>
                <w:sz w:val="12"/>
                <w:szCs w:val="12"/>
                <w:lang w:val="pt-BR"/>
              </w:rPr>
              <w:t>ÁGUAS</w:t>
            </w:r>
          </w:p>
        </w:tc>
        <w:tc>
          <w:tcPr>
            <w:tcW w:w="4536" w:type="dxa"/>
            <w:gridSpan w:val="3"/>
            <w:vAlign w:val="center"/>
          </w:tcPr>
          <w:p w:rsidR="00C821BE" w:rsidRPr="002362E3" w:rsidRDefault="00C821BE" w:rsidP="00C821BE">
            <w:pPr>
              <w:spacing w:after="0" w:line="240" w:lineRule="auto"/>
              <w:jc w:val="both"/>
              <w:rPr>
                <w:rFonts w:ascii="Times New Roman" w:hAnsi="Times New Roman"/>
                <w:sz w:val="16"/>
                <w:szCs w:val="16"/>
                <w:lang w:val="pt-BR"/>
              </w:rPr>
            </w:pPr>
            <w:r w:rsidRPr="002362E3">
              <w:rPr>
                <w:rFonts w:ascii="Times New Roman" w:hAnsi="Times New Roman"/>
                <w:sz w:val="16"/>
                <w:szCs w:val="16"/>
                <w:lang w:val="pt-BR"/>
              </w:rPr>
              <w:t>Risco potencial de contaminação deste escoamento devido a possíveis vazamentos de combustível ou lubrificante</w:t>
            </w:r>
          </w:p>
        </w:tc>
        <w:tc>
          <w:tcPr>
            <w:tcW w:w="851" w:type="dxa"/>
            <w:vMerge w:val="restart"/>
            <w:vAlign w:val="center"/>
          </w:tcPr>
          <w:p w:rsidR="00C821BE" w:rsidRPr="002362E3" w:rsidRDefault="00C821BE" w:rsidP="00C821BE">
            <w:pPr>
              <w:spacing w:after="0" w:line="240" w:lineRule="auto"/>
              <w:jc w:val="center"/>
              <w:rPr>
                <w:rFonts w:ascii="Times New Roman" w:hAnsi="Times New Roman"/>
                <w:sz w:val="16"/>
                <w:szCs w:val="16"/>
                <w:lang w:val="pt-BR"/>
              </w:rPr>
            </w:pPr>
            <w:r w:rsidRPr="002362E3">
              <w:rPr>
                <w:rFonts w:ascii="Times New Roman" w:hAnsi="Times New Roman"/>
                <w:sz w:val="16"/>
                <w:szCs w:val="16"/>
                <w:lang w:val="pt-BR"/>
              </w:rPr>
              <w:t>Forte</w:t>
            </w:r>
          </w:p>
        </w:tc>
        <w:tc>
          <w:tcPr>
            <w:tcW w:w="283" w:type="dxa"/>
            <w:vMerge w:val="restart"/>
            <w:shd w:val="clear" w:color="auto" w:fill="002060"/>
            <w:vAlign w:val="center"/>
          </w:tcPr>
          <w:p w:rsidR="00C821BE" w:rsidRPr="002362E3" w:rsidRDefault="00C821BE" w:rsidP="00C821BE">
            <w:pPr>
              <w:spacing w:after="0" w:line="240" w:lineRule="auto"/>
              <w:jc w:val="center"/>
              <w:rPr>
                <w:rFonts w:ascii="Times New Roman" w:hAnsi="Times New Roman"/>
                <w:b/>
                <w:sz w:val="16"/>
                <w:szCs w:val="16"/>
                <w:lang w:val="pt-BR"/>
              </w:rPr>
            </w:pPr>
            <w:r w:rsidRPr="002362E3">
              <w:rPr>
                <w:rFonts w:ascii="Times New Roman" w:hAnsi="Times New Roman"/>
                <w:b/>
                <w:sz w:val="16"/>
                <w:szCs w:val="16"/>
                <w:lang w:val="pt-BR"/>
              </w:rPr>
              <w:t>5</w:t>
            </w:r>
          </w:p>
        </w:tc>
        <w:tc>
          <w:tcPr>
            <w:tcW w:w="992" w:type="dxa"/>
            <w:vMerge w:val="restart"/>
            <w:vAlign w:val="center"/>
          </w:tcPr>
          <w:p w:rsidR="00C821BE" w:rsidRPr="002362E3" w:rsidRDefault="00C821BE" w:rsidP="00C821BE">
            <w:pPr>
              <w:spacing w:after="0" w:line="240" w:lineRule="auto"/>
              <w:jc w:val="center"/>
              <w:rPr>
                <w:rFonts w:ascii="Times New Roman" w:hAnsi="Times New Roman"/>
                <w:sz w:val="16"/>
                <w:szCs w:val="16"/>
                <w:lang w:val="pt-BR"/>
              </w:rPr>
            </w:pPr>
            <w:r w:rsidRPr="002362E3">
              <w:rPr>
                <w:rFonts w:ascii="Times New Roman" w:hAnsi="Times New Roman"/>
                <w:sz w:val="16"/>
                <w:szCs w:val="16"/>
                <w:lang w:val="pt-BR"/>
              </w:rPr>
              <w:t>Local</w:t>
            </w:r>
          </w:p>
        </w:tc>
        <w:tc>
          <w:tcPr>
            <w:tcW w:w="284" w:type="dxa"/>
            <w:vMerge w:val="restart"/>
            <w:shd w:val="clear" w:color="auto" w:fill="002060"/>
            <w:vAlign w:val="center"/>
          </w:tcPr>
          <w:p w:rsidR="00C821BE" w:rsidRPr="002362E3" w:rsidRDefault="00C821BE" w:rsidP="00C821BE">
            <w:pPr>
              <w:spacing w:after="0" w:line="240" w:lineRule="auto"/>
              <w:jc w:val="center"/>
              <w:rPr>
                <w:rFonts w:ascii="Times New Roman" w:hAnsi="Times New Roman"/>
                <w:b/>
                <w:sz w:val="16"/>
                <w:szCs w:val="16"/>
                <w:lang w:val="pt-BR"/>
              </w:rPr>
            </w:pPr>
            <w:r w:rsidRPr="002362E3">
              <w:rPr>
                <w:rFonts w:ascii="Times New Roman" w:hAnsi="Times New Roman"/>
                <w:b/>
                <w:sz w:val="16"/>
                <w:szCs w:val="16"/>
                <w:lang w:val="pt-BR"/>
              </w:rPr>
              <w:t>3</w:t>
            </w:r>
          </w:p>
        </w:tc>
        <w:tc>
          <w:tcPr>
            <w:tcW w:w="850" w:type="dxa"/>
            <w:vMerge w:val="restart"/>
            <w:vAlign w:val="center"/>
          </w:tcPr>
          <w:p w:rsidR="00C821BE" w:rsidRPr="002362E3" w:rsidRDefault="00C821BE" w:rsidP="00C821BE">
            <w:pPr>
              <w:spacing w:after="0" w:line="240" w:lineRule="auto"/>
              <w:jc w:val="center"/>
              <w:rPr>
                <w:rFonts w:ascii="Times New Roman" w:hAnsi="Times New Roman"/>
                <w:sz w:val="16"/>
                <w:szCs w:val="16"/>
                <w:lang w:val="pt-BR"/>
              </w:rPr>
            </w:pPr>
            <w:r w:rsidRPr="002362E3">
              <w:rPr>
                <w:rFonts w:ascii="Times New Roman" w:hAnsi="Times New Roman"/>
                <w:sz w:val="16"/>
                <w:szCs w:val="16"/>
                <w:lang w:val="pt-BR"/>
              </w:rPr>
              <w:t>Média</w:t>
            </w:r>
          </w:p>
        </w:tc>
        <w:tc>
          <w:tcPr>
            <w:tcW w:w="284" w:type="dxa"/>
            <w:vMerge w:val="restart"/>
            <w:shd w:val="clear" w:color="auto" w:fill="002060"/>
            <w:vAlign w:val="center"/>
          </w:tcPr>
          <w:p w:rsidR="00C821BE" w:rsidRPr="002362E3" w:rsidRDefault="00C821BE" w:rsidP="00C821BE">
            <w:pPr>
              <w:spacing w:after="0" w:line="240" w:lineRule="auto"/>
              <w:jc w:val="center"/>
              <w:rPr>
                <w:rFonts w:ascii="Times New Roman" w:hAnsi="Times New Roman"/>
                <w:b/>
                <w:sz w:val="16"/>
                <w:szCs w:val="16"/>
                <w:lang w:val="pt-BR"/>
              </w:rPr>
            </w:pPr>
            <w:r w:rsidRPr="002362E3">
              <w:rPr>
                <w:rFonts w:ascii="Times New Roman" w:hAnsi="Times New Roman"/>
                <w:b/>
                <w:sz w:val="16"/>
                <w:szCs w:val="16"/>
                <w:lang w:val="pt-BR"/>
              </w:rPr>
              <w:t>3</w:t>
            </w:r>
          </w:p>
        </w:tc>
        <w:tc>
          <w:tcPr>
            <w:tcW w:w="850" w:type="dxa"/>
            <w:vMerge w:val="restart"/>
            <w:shd w:val="clear" w:color="auto" w:fill="FFFF00"/>
            <w:vAlign w:val="center"/>
          </w:tcPr>
          <w:p w:rsidR="00C821BE" w:rsidRPr="002362E3" w:rsidRDefault="00C821BE" w:rsidP="00C821BE">
            <w:pPr>
              <w:spacing w:after="0" w:line="240" w:lineRule="auto"/>
              <w:jc w:val="center"/>
              <w:rPr>
                <w:rFonts w:ascii="Times New Roman" w:hAnsi="Times New Roman"/>
                <w:b/>
                <w:sz w:val="16"/>
                <w:szCs w:val="16"/>
                <w:lang w:val="pt-BR"/>
              </w:rPr>
            </w:pPr>
            <w:r w:rsidRPr="002362E3">
              <w:rPr>
                <w:rFonts w:ascii="Times New Roman" w:hAnsi="Times New Roman"/>
                <w:b/>
                <w:sz w:val="16"/>
                <w:szCs w:val="16"/>
                <w:lang w:val="pt-BR"/>
              </w:rPr>
              <w:t>Média</w:t>
            </w:r>
          </w:p>
        </w:tc>
        <w:tc>
          <w:tcPr>
            <w:tcW w:w="586" w:type="dxa"/>
            <w:vMerge w:val="restart"/>
            <w:shd w:val="clear" w:color="auto" w:fill="FFFF00"/>
            <w:vAlign w:val="center"/>
          </w:tcPr>
          <w:p w:rsidR="00C821BE" w:rsidRPr="002362E3" w:rsidRDefault="00C821BE" w:rsidP="00C821BE">
            <w:pPr>
              <w:spacing w:after="0" w:line="240" w:lineRule="auto"/>
              <w:jc w:val="center"/>
              <w:rPr>
                <w:rFonts w:ascii="Times New Roman" w:hAnsi="Times New Roman"/>
                <w:b/>
                <w:sz w:val="16"/>
                <w:szCs w:val="16"/>
                <w:lang w:val="pt-BR"/>
              </w:rPr>
            </w:pPr>
            <w:r w:rsidRPr="002362E3">
              <w:rPr>
                <w:rFonts w:ascii="Times New Roman" w:hAnsi="Times New Roman"/>
                <w:b/>
                <w:sz w:val="16"/>
                <w:szCs w:val="16"/>
                <w:lang w:val="pt-BR"/>
              </w:rPr>
              <w:t>45</w:t>
            </w:r>
          </w:p>
        </w:tc>
      </w:tr>
      <w:tr w:rsidR="00C821BE" w:rsidRPr="00332A41" w:rsidTr="00C821BE">
        <w:trPr>
          <w:jc w:val="center"/>
        </w:trPr>
        <w:tc>
          <w:tcPr>
            <w:tcW w:w="988" w:type="dxa"/>
            <w:vMerge/>
            <w:shd w:val="clear" w:color="auto" w:fill="BDD6EE"/>
            <w:vAlign w:val="center"/>
          </w:tcPr>
          <w:p w:rsidR="00C821BE" w:rsidRPr="002362E3" w:rsidRDefault="00C821BE" w:rsidP="00C821BE">
            <w:pPr>
              <w:spacing w:after="0" w:line="240" w:lineRule="auto"/>
              <w:jc w:val="center"/>
              <w:rPr>
                <w:rFonts w:ascii="Times New Roman" w:hAnsi="Times New Roman"/>
                <w:sz w:val="16"/>
                <w:szCs w:val="16"/>
                <w:lang w:val="pt-BR"/>
              </w:rPr>
            </w:pPr>
          </w:p>
        </w:tc>
        <w:tc>
          <w:tcPr>
            <w:tcW w:w="850" w:type="dxa"/>
            <w:vMerge/>
            <w:vAlign w:val="center"/>
          </w:tcPr>
          <w:p w:rsidR="00C821BE" w:rsidRPr="002362E3" w:rsidRDefault="00C821BE" w:rsidP="00C821BE">
            <w:pPr>
              <w:spacing w:after="0" w:line="240" w:lineRule="auto"/>
              <w:jc w:val="center"/>
              <w:rPr>
                <w:rFonts w:ascii="Times New Roman" w:hAnsi="Times New Roman"/>
                <w:b/>
                <w:sz w:val="12"/>
                <w:szCs w:val="12"/>
                <w:lang w:val="pt-BR"/>
              </w:rPr>
            </w:pPr>
          </w:p>
        </w:tc>
        <w:tc>
          <w:tcPr>
            <w:tcW w:w="4536" w:type="dxa"/>
            <w:gridSpan w:val="3"/>
            <w:vAlign w:val="center"/>
          </w:tcPr>
          <w:p w:rsidR="00C821BE" w:rsidRPr="002362E3" w:rsidRDefault="00C821BE" w:rsidP="00C821BE">
            <w:pPr>
              <w:spacing w:after="0" w:line="240" w:lineRule="auto"/>
              <w:jc w:val="both"/>
              <w:rPr>
                <w:rFonts w:ascii="Times New Roman" w:hAnsi="Times New Roman"/>
                <w:sz w:val="16"/>
                <w:szCs w:val="16"/>
                <w:lang w:val="pt-BR"/>
              </w:rPr>
            </w:pPr>
            <w:r w:rsidRPr="002362E3">
              <w:rPr>
                <w:rFonts w:ascii="Times New Roman" w:hAnsi="Times New Roman"/>
                <w:sz w:val="16"/>
                <w:szCs w:val="16"/>
                <w:lang w:val="pt-BR"/>
              </w:rPr>
              <w:t>Risco de degradação da qualidade das águas subterrâneas</w:t>
            </w:r>
          </w:p>
        </w:tc>
        <w:tc>
          <w:tcPr>
            <w:tcW w:w="851" w:type="dxa"/>
            <w:vMerge/>
            <w:vAlign w:val="center"/>
          </w:tcPr>
          <w:p w:rsidR="00C821BE" w:rsidRPr="002362E3" w:rsidRDefault="00C821BE" w:rsidP="00C821BE">
            <w:pPr>
              <w:spacing w:after="0" w:line="240" w:lineRule="auto"/>
              <w:jc w:val="center"/>
              <w:rPr>
                <w:rFonts w:ascii="Times New Roman" w:hAnsi="Times New Roman"/>
                <w:sz w:val="16"/>
                <w:szCs w:val="16"/>
                <w:lang w:val="pt-BR"/>
              </w:rPr>
            </w:pPr>
          </w:p>
        </w:tc>
        <w:tc>
          <w:tcPr>
            <w:tcW w:w="283" w:type="dxa"/>
            <w:vMerge/>
            <w:shd w:val="clear" w:color="auto" w:fill="002060"/>
            <w:vAlign w:val="center"/>
          </w:tcPr>
          <w:p w:rsidR="00C821BE" w:rsidRPr="002362E3" w:rsidRDefault="00C821BE" w:rsidP="00C821BE">
            <w:pPr>
              <w:spacing w:after="0" w:line="240" w:lineRule="auto"/>
              <w:jc w:val="center"/>
              <w:rPr>
                <w:rFonts w:ascii="Times New Roman" w:hAnsi="Times New Roman"/>
                <w:b/>
                <w:sz w:val="16"/>
                <w:szCs w:val="16"/>
                <w:lang w:val="pt-BR"/>
              </w:rPr>
            </w:pPr>
          </w:p>
        </w:tc>
        <w:tc>
          <w:tcPr>
            <w:tcW w:w="992" w:type="dxa"/>
            <w:vMerge/>
            <w:vAlign w:val="center"/>
          </w:tcPr>
          <w:p w:rsidR="00C821BE" w:rsidRPr="002362E3" w:rsidRDefault="00C821BE" w:rsidP="00C821BE">
            <w:pPr>
              <w:spacing w:after="0" w:line="240" w:lineRule="auto"/>
              <w:jc w:val="center"/>
              <w:rPr>
                <w:rFonts w:ascii="Times New Roman" w:hAnsi="Times New Roman"/>
                <w:sz w:val="16"/>
                <w:szCs w:val="16"/>
                <w:lang w:val="pt-BR"/>
              </w:rPr>
            </w:pPr>
          </w:p>
        </w:tc>
        <w:tc>
          <w:tcPr>
            <w:tcW w:w="284" w:type="dxa"/>
            <w:vMerge/>
            <w:shd w:val="clear" w:color="auto" w:fill="002060"/>
            <w:vAlign w:val="center"/>
          </w:tcPr>
          <w:p w:rsidR="00C821BE" w:rsidRPr="002362E3" w:rsidRDefault="00C821BE" w:rsidP="00C821BE">
            <w:pPr>
              <w:spacing w:after="0" w:line="240" w:lineRule="auto"/>
              <w:jc w:val="center"/>
              <w:rPr>
                <w:rFonts w:ascii="Times New Roman" w:hAnsi="Times New Roman"/>
                <w:b/>
                <w:sz w:val="16"/>
                <w:szCs w:val="16"/>
                <w:lang w:val="pt-BR"/>
              </w:rPr>
            </w:pPr>
          </w:p>
        </w:tc>
        <w:tc>
          <w:tcPr>
            <w:tcW w:w="850" w:type="dxa"/>
            <w:vMerge/>
            <w:vAlign w:val="center"/>
          </w:tcPr>
          <w:p w:rsidR="00C821BE" w:rsidRPr="002362E3" w:rsidRDefault="00C821BE" w:rsidP="00C821BE">
            <w:pPr>
              <w:spacing w:after="0" w:line="240" w:lineRule="auto"/>
              <w:jc w:val="center"/>
              <w:rPr>
                <w:rFonts w:ascii="Times New Roman" w:hAnsi="Times New Roman"/>
                <w:sz w:val="16"/>
                <w:szCs w:val="16"/>
                <w:lang w:val="pt-BR"/>
              </w:rPr>
            </w:pPr>
          </w:p>
        </w:tc>
        <w:tc>
          <w:tcPr>
            <w:tcW w:w="284" w:type="dxa"/>
            <w:vMerge/>
            <w:shd w:val="clear" w:color="auto" w:fill="002060"/>
            <w:vAlign w:val="center"/>
          </w:tcPr>
          <w:p w:rsidR="00C821BE" w:rsidRPr="002362E3" w:rsidRDefault="00C821BE" w:rsidP="00C821BE">
            <w:pPr>
              <w:spacing w:after="0" w:line="240" w:lineRule="auto"/>
              <w:jc w:val="center"/>
              <w:rPr>
                <w:rFonts w:ascii="Times New Roman" w:hAnsi="Times New Roman"/>
                <w:b/>
                <w:sz w:val="16"/>
                <w:szCs w:val="16"/>
                <w:lang w:val="pt-BR"/>
              </w:rPr>
            </w:pPr>
          </w:p>
        </w:tc>
        <w:tc>
          <w:tcPr>
            <w:tcW w:w="850" w:type="dxa"/>
            <w:vMerge/>
            <w:shd w:val="clear" w:color="auto" w:fill="FFFF00"/>
            <w:vAlign w:val="center"/>
          </w:tcPr>
          <w:p w:rsidR="00C821BE" w:rsidRPr="002362E3" w:rsidRDefault="00C821BE" w:rsidP="00C821BE">
            <w:pPr>
              <w:spacing w:after="0" w:line="240" w:lineRule="auto"/>
              <w:jc w:val="center"/>
              <w:rPr>
                <w:rFonts w:ascii="Times New Roman" w:hAnsi="Times New Roman"/>
                <w:b/>
                <w:sz w:val="16"/>
                <w:szCs w:val="16"/>
                <w:lang w:val="pt-BR"/>
              </w:rPr>
            </w:pPr>
          </w:p>
        </w:tc>
        <w:tc>
          <w:tcPr>
            <w:tcW w:w="586" w:type="dxa"/>
            <w:vMerge/>
            <w:shd w:val="clear" w:color="auto" w:fill="FFFF00"/>
            <w:vAlign w:val="center"/>
          </w:tcPr>
          <w:p w:rsidR="00C821BE" w:rsidRPr="002362E3" w:rsidRDefault="00C821BE" w:rsidP="00C821BE">
            <w:pPr>
              <w:spacing w:after="0" w:line="240" w:lineRule="auto"/>
              <w:jc w:val="center"/>
              <w:rPr>
                <w:rFonts w:ascii="Times New Roman" w:hAnsi="Times New Roman"/>
                <w:b/>
                <w:sz w:val="16"/>
                <w:szCs w:val="16"/>
                <w:lang w:val="pt-BR"/>
              </w:rPr>
            </w:pPr>
          </w:p>
        </w:tc>
      </w:tr>
      <w:tr w:rsidR="00C821BE" w:rsidRPr="002362E3" w:rsidTr="00C821BE">
        <w:trPr>
          <w:jc w:val="center"/>
        </w:trPr>
        <w:tc>
          <w:tcPr>
            <w:tcW w:w="988" w:type="dxa"/>
            <w:vMerge/>
            <w:shd w:val="clear" w:color="auto" w:fill="BDD6EE"/>
            <w:vAlign w:val="center"/>
          </w:tcPr>
          <w:p w:rsidR="00C821BE" w:rsidRPr="002362E3" w:rsidRDefault="00C821BE" w:rsidP="00C821BE">
            <w:pPr>
              <w:spacing w:after="0" w:line="240" w:lineRule="auto"/>
              <w:jc w:val="center"/>
              <w:rPr>
                <w:rFonts w:ascii="Times New Roman" w:hAnsi="Times New Roman"/>
                <w:sz w:val="16"/>
                <w:szCs w:val="16"/>
                <w:lang w:val="pt-BR"/>
              </w:rPr>
            </w:pPr>
          </w:p>
        </w:tc>
        <w:tc>
          <w:tcPr>
            <w:tcW w:w="850" w:type="dxa"/>
            <w:vMerge w:val="restart"/>
            <w:vAlign w:val="center"/>
          </w:tcPr>
          <w:p w:rsidR="00C821BE" w:rsidRPr="002362E3" w:rsidRDefault="00C821BE" w:rsidP="00C821BE">
            <w:pPr>
              <w:tabs>
                <w:tab w:val="left" w:pos="2193"/>
              </w:tabs>
              <w:spacing w:after="0" w:line="240" w:lineRule="auto"/>
              <w:jc w:val="center"/>
              <w:rPr>
                <w:rFonts w:ascii="Times New Roman" w:hAnsi="Times New Roman"/>
                <w:b/>
                <w:sz w:val="12"/>
                <w:szCs w:val="12"/>
                <w:lang w:val="pt-BR"/>
              </w:rPr>
            </w:pPr>
            <w:r w:rsidRPr="002362E3">
              <w:rPr>
                <w:rFonts w:ascii="Times New Roman" w:hAnsi="Times New Roman"/>
                <w:b/>
                <w:sz w:val="12"/>
                <w:szCs w:val="12"/>
                <w:lang w:val="pt-BR"/>
              </w:rPr>
              <w:t>FLORA/</w:t>
            </w:r>
          </w:p>
          <w:p w:rsidR="00C821BE" w:rsidRPr="002362E3" w:rsidRDefault="00C821BE" w:rsidP="00C821BE">
            <w:pPr>
              <w:tabs>
                <w:tab w:val="left" w:pos="2193"/>
              </w:tabs>
              <w:spacing w:after="0" w:line="240" w:lineRule="auto"/>
              <w:jc w:val="center"/>
              <w:rPr>
                <w:rFonts w:ascii="Times New Roman" w:hAnsi="Times New Roman"/>
                <w:b/>
                <w:sz w:val="12"/>
                <w:szCs w:val="12"/>
                <w:lang w:val="pt-BR"/>
              </w:rPr>
            </w:pPr>
            <w:r w:rsidRPr="002362E3">
              <w:rPr>
                <w:rFonts w:ascii="Times New Roman" w:hAnsi="Times New Roman"/>
                <w:b/>
                <w:sz w:val="12"/>
                <w:szCs w:val="12"/>
                <w:lang w:val="pt-BR"/>
              </w:rPr>
              <w:t>ANIMAIS SELVAGENS</w:t>
            </w:r>
          </w:p>
        </w:tc>
        <w:tc>
          <w:tcPr>
            <w:tcW w:w="4536" w:type="dxa"/>
            <w:gridSpan w:val="3"/>
            <w:vAlign w:val="center"/>
          </w:tcPr>
          <w:p w:rsidR="00C821BE" w:rsidRPr="002362E3" w:rsidRDefault="00C821BE" w:rsidP="00C821BE">
            <w:pPr>
              <w:spacing w:after="0" w:line="240" w:lineRule="auto"/>
              <w:jc w:val="both"/>
              <w:rPr>
                <w:rFonts w:ascii="Times New Roman" w:hAnsi="Times New Roman"/>
                <w:sz w:val="16"/>
                <w:szCs w:val="16"/>
                <w:lang w:val="pt-BR"/>
              </w:rPr>
            </w:pPr>
            <w:r w:rsidRPr="002362E3">
              <w:rPr>
                <w:rFonts w:ascii="Times New Roman" w:hAnsi="Times New Roman"/>
                <w:sz w:val="16"/>
                <w:szCs w:val="16"/>
                <w:lang w:val="pt-BR"/>
              </w:rPr>
              <w:t>Risco de destruição da vegetação herbácea em Antula.</w:t>
            </w:r>
          </w:p>
        </w:tc>
        <w:tc>
          <w:tcPr>
            <w:tcW w:w="851" w:type="dxa"/>
            <w:vMerge w:val="restart"/>
            <w:shd w:val="clear" w:color="auto" w:fill="FFFFFF"/>
            <w:vAlign w:val="center"/>
          </w:tcPr>
          <w:p w:rsidR="00C821BE" w:rsidRPr="002362E3" w:rsidRDefault="00C821BE" w:rsidP="00C821BE">
            <w:pPr>
              <w:spacing w:after="0" w:line="240" w:lineRule="auto"/>
              <w:jc w:val="center"/>
              <w:rPr>
                <w:rFonts w:ascii="Times New Roman" w:hAnsi="Times New Roman"/>
                <w:sz w:val="16"/>
                <w:szCs w:val="16"/>
                <w:lang w:val="pt-BR"/>
              </w:rPr>
            </w:pPr>
            <w:r w:rsidRPr="002362E3">
              <w:rPr>
                <w:rFonts w:ascii="Times New Roman" w:hAnsi="Times New Roman"/>
                <w:sz w:val="16"/>
                <w:szCs w:val="16"/>
                <w:lang w:val="pt-BR"/>
              </w:rPr>
              <w:t>Baixo</w:t>
            </w:r>
          </w:p>
        </w:tc>
        <w:tc>
          <w:tcPr>
            <w:tcW w:w="283" w:type="dxa"/>
            <w:vMerge w:val="restart"/>
            <w:shd w:val="clear" w:color="auto" w:fill="002060"/>
            <w:vAlign w:val="center"/>
          </w:tcPr>
          <w:p w:rsidR="00C821BE" w:rsidRPr="002362E3" w:rsidRDefault="00C821BE" w:rsidP="00C821BE">
            <w:pPr>
              <w:spacing w:after="0" w:line="240" w:lineRule="auto"/>
              <w:jc w:val="center"/>
              <w:rPr>
                <w:rFonts w:ascii="Times New Roman" w:hAnsi="Times New Roman"/>
                <w:b/>
                <w:sz w:val="16"/>
                <w:szCs w:val="16"/>
                <w:lang w:val="pt-BR"/>
              </w:rPr>
            </w:pPr>
            <w:r w:rsidRPr="002362E3">
              <w:rPr>
                <w:rFonts w:ascii="Times New Roman" w:hAnsi="Times New Roman"/>
                <w:b/>
                <w:sz w:val="16"/>
                <w:szCs w:val="16"/>
                <w:lang w:val="pt-BR"/>
              </w:rPr>
              <w:t>1</w:t>
            </w:r>
          </w:p>
        </w:tc>
        <w:tc>
          <w:tcPr>
            <w:tcW w:w="992" w:type="dxa"/>
            <w:vMerge w:val="restart"/>
            <w:shd w:val="clear" w:color="auto" w:fill="FFFFFF"/>
            <w:vAlign w:val="center"/>
          </w:tcPr>
          <w:p w:rsidR="00C821BE" w:rsidRPr="002362E3" w:rsidRDefault="00C821BE" w:rsidP="00C821BE">
            <w:pPr>
              <w:spacing w:after="0" w:line="240" w:lineRule="auto"/>
              <w:jc w:val="center"/>
              <w:rPr>
                <w:rFonts w:ascii="Times New Roman" w:hAnsi="Times New Roman"/>
                <w:sz w:val="16"/>
                <w:szCs w:val="16"/>
                <w:lang w:val="pt-BR"/>
              </w:rPr>
            </w:pPr>
            <w:r w:rsidRPr="002362E3">
              <w:rPr>
                <w:rFonts w:ascii="Times New Roman" w:hAnsi="Times New Roman"/>
                <w:sz w:val="16"/>
                <w:szCs w:val="16"/>
                <w:lang w:val="pt-BR"/>
              </w:rPr>
              <w:t>Local</w:t>
            </w:r>
          </w:p>
        </w:tc>
        <w:tc>
          <w:tcPr>
            <w:tcW w:w="284" w:type="dxa"/>
            <w:vMerge w:val="restart"/>
            <w:shd w:val="clear" w:color="auto" w:fill="002060"/>
            <w:vAlign w:val="center"/>
          </w:tcPr>
          <w:p w:rsidR="00C821BE" w:rsidRPr="002362E3" w:rsidRDefault="00C821BE" w:rsidP="00C821BE">
            <w:pPr>
              <w:spacing w:after="0" w:line="240" w:lineRule="auto"/>
              <w:jc w:val="center"/>
              <w:rPr>
                <w:rFonts w:ascii="Times New Roman" w:hAnsi="Times New Roman"/>
                <w:b/>
                <w:sz w:val="16"/>
                <w:szCs w:val="16"/>
                <w:lang w:val="pt-BR"/>
              </w:rPr>
            </w:pPr>
            <w:r w:rsidRPr="002362E3">
              <w:rPr>
                <w:rFonts w:ascii="Times New Roman" w:hAnsi="Times New Roman"/>
                <w:b/>
                <w:sz w:val="16"/>
                <w:szCs w:val="16"/>
                <w:lang w:val="pt-BR"/>
              </w:rPr>
              <w:t>3</w:t>
            </w:r>
          </w:p>
        </w:tc>
        <w:tc>
          <w:tcPr>
            <w:tcW w:w="850" w:type="dxa"/>
            <w:vMerge w:val="restart"/>
            <w:shd w:val="clear" w:color="auto" w:fill="FFFFFF"/>
            <w:vAlign w:val="center"/>
          </w:tcPr>
          <w:p w:rsidR="00C821BE" w:rsidRPr="002362E3" w:rsidRDefault="00C821BE" w:rsidP="00C821BE">
            <w:pPr>
              <w:spacing w:after="0" w:line="240" w:lineRule="auto"/>
              <w:jc w:val="center"/>
              <w:rPr>
                <w:rFonts w:ascii="Times New Roman" w:hAnsi="Times New Roman"/>
                <w:sz w:val="16"/>
                <w:szCs w:val="16"/>
                <w:lang w:val="pt-BR"/>
              </w:rPr>
            </w:pPr>
            <w:r w:rsidRPr="002362E3">
              <w:rPr>
                <w:rFonts w:ascii="Times New Roman" w:hAnsi="Times New Roman"/>
                <w:sz w:val="16"/>
                <w:szCs w:val="16"/>
                <w:lang w:val="pt-BR"/>
              </w:rPr>
              <w:t>Média</w:t>
            </w:r>
          </w:p>
        </w:tc>
        <w:tc>
          <w:tcPr>
            <w:tcW w:w="284" w:type="dxa"/>
            <w:vMerge w:val="restart"/>
            <w:shd w:val="clear" w:color="auto" w:fill="002060"/>
            <w:vAlign w:val="center"/>
          </w:tcPr>
          <w:p w:rsidR="00C821BE" w:rsidRPr="002362E3" w:rsidRDefault="00C821BE" w:rsidP="00C821BE">
            <w:pPr>
              <w:spacing w:after="0" w:line="240" w:lineRule="auto"/>
              <w:jc w:val="center"/>
              <w:rPr>
                <w:rFonts w:ascii="Times New Roman" w:hAnsi="Times New Roman"/>
                <w:b/>
                <w:sz w:val="16"/>
                <w:szCs w:val="16"/>
                <w:lang w:val="pt-BR"/>
              </w:rPr>
            </w:pPr>
            <w:r w:rsidRPr="002362E3">
              <w:rPr>
                <w:rFonts w:ascii="Times New Roman" w:hAnsi="Times New Roman"/>
                <w:b/>
                <w:sz w:val="16"/>
                <w:szCs w:val="16"/>
                <w:lang w:val="pt-BR"/>
              </w:rPr>
              <w:t>3</w:t>
            </w:r>
          </w:p>
        </w:tc>
        <w:tc>
          <w:tcPr>
            <w:tcW w:w="850" w:type="dxa"/>
            <w:vMerge w:val="restart"/>
            <w:shd w:val="clear" w:color="auto" w:fill="92D050"/>
            <w:vAlign w:val="center"/>
          </w:tcPr>
          <w:p w:rsidR="00C821BE" w:rsidRPr="002362E3" w:rsidRDefault="00C821BE" w:rsidP="00C821BE">
            <w:pPr>
              <w:spacing w:after="0" w:line="240" w:lineRule="auto"/>
              <w:jc w:val="center"/>
              <w:rPr>
                <w:rFonts w:ascii="Times New Roman" w:hAnsi="Times New Roman"/>
                <w:b/>
                <w:sz w:val="16"/>
                <w:szCs w:val="16"/>
                <w:lang w:val="pt-BR"/>
              </w:rPr>
            </w:pPr>
            <w:r w:rsidRPr="002362E3">
              <w:rPr>
                <w:rFonts w:ascii="Times New Roman" w:hAnsi="Times New Roman"/>
                <w:b/>
                <w:sz w:val="16"/>
                <w:szCs w:val="16"/>
                <w:lang w:val="pt-BR"/>
              </w:rPr>
              <w:t>Menor</w:t>
            </w:r>
          </w:p>
        </w:tc>
        <w:tc>
          <w:tcPr>
            <w:tcW w:w="586" w:type="dxa"/>
            <w:vMerge w:val="restart"/>
            <w:shd w:val="clear" w:color="auto" w:fill="92D050"/>
            <w:vAlign w:val="center"/>
          </w:tcPr>
          <w:p w:rsidR="00C821BE" w:rsidRPr="002362E3" w:rsidRDefault="00C821BE" w:rsidP="00C821BE">
            <w:pPr>
              <w:spacing w:after="0" w:line="240" w:lineRule="auto"/>
              <w:jc w:val="center"/>
              <w:rPr>
                <w:rFonts w:ascii="Times New Roman" w:hAnsi="Times New Roman"/>
                <w:b/>
                <w:sz w:val="16"/>
                <w:szCs w:val="16"/>
                <w:lang w:val="pt-BR"/>
              </w:rPr>
            </w:pPr>
            <w:r w:rsidRPr="002362E3">
              <w:rPr>
                <w:rFonts w:ascii="Times New Roman" w:hAnsi="Times New Roman"/>
                <w:b/>
                <w:sz w:val="16"/>
                <w:szCs w:val="16"/>
                <w:lang w:val="pt-BR"/>
              </w:rPr>
              <w:t>9</w:t>
            </w:r>
          </w:p>
        </w:tc>
      </w:tr>
      <w:tr w:rsidR="00C821BE" w:rsidRPr="00332A41" w:rsidTr="00C821BE">
        <w:trPr>
          <w:trHeight w:val="255"/>
          <w:jc w:val="center"/>
        </w:trPr>
        <w:tc>
          <w:tcPr>
            <w:tcW w:w="988" w:type="dxa"/>
            <w:vMerge/>
            <w:shd w:val="clear" w:color="auto" w:fill="BDD6EE"/>
            <w:vAlign w:val="center"/>
          </w:tcPr>
          <w:p w:rsidR="00C821BE" w:rsidRPr="002362E3" w:rsidRDefault="00C821BE" w:rsidP="00C821BE">
            <w:pPr>
              <w:spacing w:after="0" w:line="240" w:lineRule="auto"/>
              <w:jc w:val="center"/>
              <w:rPr>
                <w:rFonts w:ascii="Times New Roman" w:hAnsi="Times New Roman"/>
                <w:sz w:val="16"/>
                <w:szCs w:val="16"/>
                <w:lang w:val="pt-BR"/>
              </w:rPr>
            </w:pPr>
          </w:p>
        </w:tc>
        <w:tc>
          <w:tcPr>
            <w:tcW w:w="850" w:type="dxa"/>
            <w:vMerge/>
            <w:vAlign w:val="center"/>
          </w:tcPr>
          <w:p w:rsidR="00C821BE" w:rsidRPr="002362E3" w:rsidRDefault="00C821BE" w:rsidP="00C821BE">
            <w:pPr>
              <w:tabs>
                <w:tab w:val="left" w:pos="2193"/>
              </w:tabs>
              <w:spacing w:after="0" w:line="240" w:lineRule="auto"/>
              <w:jc w:val="center"/>
              <w:rPr>
                <w:rFonts w:ascii="Times New Roman" w:hAnsi="Times New Roman"/>
                <w:b/>
                <w:sz w:val="12"/>
                <w:szCs w:val="12"/>
                <w:lang w:val="pt-BR"/>
              </w:rPr>
            </w:pPr>
          </w:p>
        </w:tc>
        <w:tc>
          <w:tcPr>
            <w:tcW w:w="4536" w:type="dxa"/>
            <w:gridSpan w:val="3"/>
            <w:vAlign w:val="center"/>
          </w:tcPr>
          <w:p w:rsidR="00C821BE" w:rsidRPr="002362E3" w:rsidRDefault="00C821BE" w:rsidP="00C821BE">
            <w:pPr>
              <w:spacing w:after="0" w:line="240" w:lineRule="auto"/>
              <w:jc w:val="both"/>
              <w:rPr>
                <w:rFonts w:ascii="Times New Roman" w:hAnsi="Times New Roman"/>
                <w:sz w:val="16"/>
                <w:szCs w:val="16"/>
                <w:lang w:val="pt-BR"/>
              </w:rPr>
            </w:pPr>
            <w:r w:rsidRPr="002362E3">
              <w:rPr>
                <w:rFonts w:ascii="Times New Roman" w:hAnsi="Times New Roman"/>
                <w:sz w:val="16"/>
                <w:szCs w:val="16"/>
                <w:lang w:val="pt-BR"/>
              </w:rPr>
              <w:t>Risco de derrubar alguns pés de cajueiros no BOR</w:t>
            </w:r>
          </w:p>
        </w:tc>
        <w:tc>
          <w:tcPr>
            <w:tcW w:w="851" w:type="dxa"/>
            <w:vMerge/>
            <w:shd w:val="clear" w:color="auto" w:fill="FFFFFF"/>
            <w:vAlign w:val="center"/>
          </w:tcPr>
          <w:p w:rsidR="00C821BE" w:rsidRPr="002362E3" w:rsidRDefault="00C821BE" w:rsidP="00C821BE">
            <w:pPr>
              <w:spacing w:after="0" w:line="240" w:lineRule="auto"/>
              <w:jc w:val="center"/>
              <w:rPr>
                <w:rFonts w:ascii="Times New Roman" w:hAnsi="Times New Roman"/>
                <w:sz w:val="16"/>
                <w:szCs w:val="16"/>
                <w:lang w:val="pt-BR"/>
              </w:rPr>
            </w:pPr>
          </w:p>
        </w:tc>
        <w:tc>
          <w:tcPr>
            <w:tcW w:w="283" w:type="dxa"/>
            <w:vMerge/>
            <w:shd w:val="clear" w:color="auto" w:fill="002060"/>
            <w:vAlign w:val="center"/>
          </w:tcPr>
          <w:p w:rsidR="00C821BE" w:rsidRPr="002362E3" w:rsidRDefault="00C821BE" w:rsidP="00C821BE">
            <w:pPr>
              <w:spacing w:after="0" w:line="240" w:lineRule="auto"/>
              <w:jc w:val="center"/>
              <w:rPr>
                <w:rFonts w:ascii="Times New Roman" w:hAnsi="Times New Roman"/>
                <w:b/>
                <w:sz w:val="16"/>
                <w:szCs w:val="16"/>
                <w:lang w:val="pt-BR"/>
              </w:rPr>
            </w:pPr>
          </w:p>
        </w:tc>
        <w:tc>
          <w:tcPr>
            <w:tcW w:w="992" w:type="dxa"/>
            <w:vMerge/>
            <w:shd w:val="clear" w:color="auto" w:fill="FFFFFF"/>
            <w:vAlign w:val="center"/>
          </w:tcPr>
          <w:p w:rsidR="00C821BE" w:rsidRPr="002362E3" w:rsidRDefault="00C821BE" w:rsidP="00C821BE">
            <w:pPr>
              <w:spacing w:after="0" w:line="240" w:lineRule="auto"/>
              <w:jc w:val="center"/>
              <w:rPr>
                <w:rFonts w:ascii="Times New Roman" w:hAnsi="Times New Roman"/>
                <w:sz w:val="16"/>
                <w:szCs w:val="16"/>
                <w:lang w:val="pt-BR"/>
              </w:rPr>
            </w:pPr>
          </w:p>
        </w:tc>
        <w:tc>
          <w:tcPr>
            <w:tcW w:w="284" w:type="dxa"/>
            <w:vMerge/>
            <w:shd w:val="clear" w:color="auto" w:fill="002060"/>
            <w:vAlign w:val="center"/>
          </w:tcPr>
          <w:p w:rsidR="00C821BE" w:rsidRPr="002362E3" w:rsidRDefault="00C821BE" w:rsidP="00C821BE">
            <w:pPr>
              <w:spacing w:after="0" w:line="240" w:lineRule="auto"/>
              <w:jc w:val="center"/>
              <w:rPr>
                <w:rFonts w:ascii="Times New Roman" w:hAnsi="Times New Roman"/>
                <w:b/>
                <w:sz w:val="16"/>
                <w:szCs w:val="16"/>
                <w:lang w:val="pt-BR"/>
              </w:rPr>
            </w:pPr>
          </w:p>
        </w:tc>
        <w:tc>
          <w:tcPr>
            <w:tcW w:w="850" w:type="dxa"/>
            <w:vMerge/>
            <w:shd w:val="clear" w:color="auto" w:fill="FFFFFF"/>
            <w:vAlign w:val="center"/>
          </w:tcPr>
          <w:p w:rsidR="00C821BE" w:rsidRPr="002362E3" w:rsidRDefault="00C821BE" w:rsidP="00C821BE">
            <w:pPr>
              <w:spacing w:after="0" w:line="240" w:lineRule="auto"/>
              <w:jc w:val="center"/>
              <w:rPr>
                <w:rFonts w:ascii="Times New Roman" w:hAnsi="Times New Roman"/>
                <w:sz w:val="16"/>
                <w:szCs w:val="16"/>
                <w:lang w:val="pt-BR"/>
              </w:rPr>
            </w:pPr>
          </w:p>
        </w:tc>
        <w:tc>
          <w:tcPr>
            <w:tcW w:w="284" w:type="dxa"/>
            <w:vMerge/>
            <w:shd w:val="clear" w:color="auto" w:fill="002060"/>
            <w:vAlign w:val="center"/>
          </w:tcPr>
          <w:p w:rsidR="00C821BE" w:rsidRPr="002362E3" w:rsidRDefault="00C821BE" w:rsidP="00C821BE">
            <w:pPr>
              <w:spacing w:after="0" w:line="240" w:lineRule="auto"/>
              <w:jc w:val="center"/>
              <w:rPr>
                <w:rFonts w:ascii="Times New Roman" w:hAnsi="Times New Roman"/>
                <w:b/>
                <w:sz w:val="16"/>
                <w:szCs w:val="16"/>
                <w:lang w:val="pt-BR"/>
              </w:rPr>
            </w:pPr>
          </w:p>
        </w:tc>
        <w:tc>
          <w:tcPr>
            <w:tcW w:w="850" w:type="dxa"/>
            <w:vMerge/>
            <w:shd w:val="clear" w:color="auto" w:fill="92D050"/>
            <w:vAlign w:val="center"/>
          </w:tcPr>
          <w:p w:rsidR="00C821BE" w:rsidRPr="002362E3" w:rsidRDefault="00C821BE" w:rsidP="00C821BE">
            <w:pPr>
              <w:spacing w:after="0" w:line="240" w:lineRule="auto"/>
              <w:jc w:val="center"/>
              <w:rPr>
                <w:rFonts w:ascii="Times New Roman" w:hAnsi="Times New Roman"/>
                <w:b/>
                <w:sz w:val="16"/>
                <w:szCs w:val="16"/>
                <w:lang w:val="pt-BR"/>
              </w:rPr>
            </w:pPr>
          </w:p>
        </w:tc>
        <w:tc>
          <w:tcPr>
            <w:tcW w:w="586" w:type="dxa"/>
            <w:vMerge/>
            <w:shd w:val="clear" w:color="auto" w:fill="92D050"/>
            <w:vAlign w:val="center"/>
          </w:tcPr>
          <w:p w:rsidR="00C821BE" w:rsidRPr="002362E3" w:rsidRDefault="00C821BE" w:rsidP="00C821BE">
            <w:pPr>
              <w:spacing w:after="0" w:line="240" w:lineRule="auto"/>
              <w:jc w:val="center"/>
              <w:rPr>
                <w:rFonts w:ascii="Times New Roman" w:hAnsi="Times New Roman"/>
                <w:b/>
                <w:sz w:val="16"/>
                <w:szCs w:val="16"/>
                <w:lang w:val="pt-BR"/>
              </w:rPr>
            </w:pPr>
          </w:p>
        </w:tc>
      </w:tr>
      <w:tr w:rsidR="00C821BE" w:rsidRPr="00332A41" w:rsidTr="00C821BE">
        <w:trPr>
          <w:trHeight w:val="255"/>
          <w:jc w:val="center"/>
        </w:trPr>
        <w:tc>
          <w:tcPr>
            <w:tcW w:w="988" w:type="dxa"/>
            <w:vMerge/>
            <w:shd w:val="clear" w:color="auto" w:fill="BDD6EE"/>
            <w:vAlign w:val="center"/>
          </w:tcPr>
          <w:p w:rsidR="00C821BE" w:rsidRPr="002362E3" w:rsidRDefault="00C821BE" w:rsidP="00C821BE">
            <w:pPr>
              <w:spacing w:after="0" w:line="240" w:lineRule="auto"/>
              <w:jc w:val="center"/>
              <w:rPr>
                <w:rFonts w:ascii="Times New Roman" w:hAnsi="Times New Roman"/>
                <w:sz w:val="16"/>
                <w:szCs w:val="16"/>
                <w:lang w:val="pt-BR"/>
              </w:rPr>
            </w:pPr>
          </w:p>
        </w:tc>
        <w:tc>
          <w:tcPr>
            <w:tcW w:w="850" w:type="dxa"/>
            <w:vMerge/>
            <w:vAlign w:val="center"/>
          </w:tcPr>
          <w:p w:rsidR="00C821BE" w:rsidRPr="002362E3" w:rsidRDefault="00C821BE" w:rsidP="00C821BE">
            <w:pPr>
              <w:tabs>
                <w:tab w:val="left" w:pos="2193"/>
              </w:tabs>
              <w:spacing w:after="0" w:line="240" w:lineRule="auto"/>
              <w:jc w:val="center"/>
              <w:rPr>
                <w:rFonts w:ascii="Times New Roman" w:hAnsi="Times New Roman"/>
                <w:b/>
                <w:sz w:val="12"/>
                <w:szCs w:val="12"/>
                <w:lang w:val="pt-BR"/>
              </w:rPr>
            </w:pPr>
          </w:p>
        </w:tc>
        <w:tc>
          <w:tcPr>
            <w:tcW w:w="4536" w:type="dxa"/>
            <w:gridSpan w:val="3"/>
            <w:vAlign w:val="center"/>
          </w:tcPr>
          <w:p w:rsidR="00C821BE" w:rsidRPr="002362E3" w:rsidRDefault="00C821BE" w:rsidP="00C821BE">
            <w:pPr>
              <w:spacing w:after="0" w:line="240" w:lineRule="auto"/>
              <w:jc w:val="both"/>
              <w:rPr>
                <w:rFonts w:ascii="Times New Roman" w:hAnsi="Times New Roman"/>
                <w:sz w:val="16"/>
                <w:szCs w:val="16"/>
                <w:lang w:val="pt-BR"/>
              </w:rPr>
            </w:pPr>
            <w:r w:rsidRPr="002362E3">
              <w:rPr>
                <w:rFonts w:ascii="Times New Roman" w:hAnsi="Times New Roman"/>
                <w:sz w:val="16"/>
                <w:szCs w:val="16"/>
                <w:lang w:val="pt-BR"/>
              </w:rPr>
              <w:t>Risco de perturbação de certas espécies (pássaros, roedores, animais domésticos, etc.) devido à produção de ruído</w:t>
            </w:r>
          </w:p>
        </w:tc>
        <w:tc>
          <w:tcPr>
            <w:tcW w:w="851" w:type="dxa"/>
            <w:vMerge/>
            <w:shd w:val="clear" w:color="auto" w:fill="FFFFFF"/>
            <w:vAlign w:val="center"/>
          </w:tcPr>
          <w:p w:rsidR="00C821BE" w:rsidRPr="002362E3" w:rsidRDefault="00C821BE" w:rsidP="00C821BE">
            <w:pPr>
              <w:spacing w:after="0" w:line="240" w:lineRule="auto"/>
              <w:jc w:val="center"/>
              <w:rPr>
                <w:rFonts w:ascii="Times New Roman" w:hAnsi="Times New Roman"/>
                <w:sz w:val="16"/>
                <w:szCs w:val="16"/>
                <w:lang w:val="pt-BR"/>
              </w:rPr>
            </w:pPr>
          </w:p>
        </w:tc>
        <w:tc>
          <w:tcPr>
            <w:tcW w:w="283" w:type="dxa"/>
            <w:vMerge/>
            <w:shd w:val="clear" w:color="auto" w:fill="002060"/>
            <w:vAlign w:val="center"/>
          </w:tcPr>
          <w:p w:rsidR="00C821BE" w:rsidRPr="002362E3" w:rsidRDefault="00C821BE" w:rsidP="00C821BE">
            <w:pPr>
              <w:spacing w:after="0" w:line="240" w:lineRule="auto"/>
              <w:jc w:val="center"/>
              <w:rPr>
                <w:rFonts w:ascii="Times New Roman" w:hAnsi="Times New Roman"/>
                <w:b/>
                <w:sz w:val="16"/>
                <w:szCs w:val="16"/>
                <w:lang w:val="pt-BR"/>
              </w:rPr>
            </w:pPr>
          </w:p>
        </w:tc>
        <w:tc>
          <w:tcPr>
            <w:tcW w:w="992" w:type="dxa"/>
            <w:vMerge/>
            <w:shd w:val="clear" w:color="auto" w:fill="FFFFFF"/>
            <w:vAlign w:val="center"/>
          </w:tcPr>
          <w:p w:rsidR="00C821BE" w:rsidRPr="002362E3" w:rsidRDefault="00C821BE" w:rsidP="00C821BE">
            <w:pPr>
              <w:spacing w:after="0" w:line="240" w:lineRule="auto"/>
              <w:jc w:val="center"/>
              <w:rPr>
                <w:rFonts w:ascii="Times New Roman" w:hAnsi="Times New Roman"/>
                <w:sz w:val="16"/>
                <w:szCs w:val="16"/>
                <w:lang w:val="pt-BR"/>
              </w:rPr>
            </w:pPr>
          </w:p>
        </w:tc>
        <w:tc>
          <w:tcPr>
            <w:tcW w:w="284" w:type="dxa"/>
            <w:vMerge/>
            <w:shd w:val="clear" w:color="auto" w:fill="002060"/>
            <w:vAlign w:val="center"/>
          </w:tcPr>
          <w:p w:rsidR="00C821BE" w:rsidRPr="002362E3" w:rsidRDefault="00C821BE" w:rsidP="00C821BE">
            <w:pPr>
              <w:spacing w:after="0" w:line="240" w:lineRule="auto"/>
              <w:jc w:val="center"/>
              <w:rPr>
                <w:rFonts w:ascii="Times New Roman" w:hAnsi="Times New Roman"/>
                <w:b/>
                <w:sz w:val="16"/>
                <w:szCs w:val="16"/>
                <w:lang w:val="pt-BR"/>
              </w:rPr>
            </w:pPr>
          </w:p>
        </w:tc>
        <w:tc>
          <w:tcPr>
            <w:tcW w:w="850" w:type="dxa"/>
            <w:vMerge/>
            <w:shd w:val="clear" w:color="auto" w:fill="FFFFFF"/>
            <w:vAlign w:val="center"/>
          </w:tcPr>
          <w:p w:rsidR="00C821BE" w:rsidRPr="002362E3" w:rsidRDefault="00C821BE" w:rsidP="00C821BE">
            <w:pPr>
              <w:spacing w:after="0" w:line="240" w:lineRule="auto"/>
              <w:jc w:val="center"/>
              <w:rPr>
                <w:rFonts w:ascii="Times New Roman" w:hAnsi="Times New Roman"/>
                <w:sz w:val="16"/>
                <w:szCs w:val="16"/>
                <w:lang w:val="pt-BR"/>
              </w:rPr>
            </w:pPr>
          </w:p>
        </w:tc>
        <w:tc>
          <w:tcPr>
            <w:tcW w:w="284" w:type="dxa"/>
            <w:vMerge/>
            <w:shd w:val="clear" w:color="auto" w:fill="002060"/>
            <w:vAlign w:val="center"/>
          </w:tcPr>
          <w:p w:rsidR="00C821BE" w:rsidRPr="002362E3" w:rsidRDefault="00C821BE" w:rsidP="00C821BE">
            <w:pPr>
              <w:spacing w:after="0" w:line="240" w:lineRule="auto"/>
              <w:jc w:val="center"/>
              <w:rPr>
                <w:rFonts w:ascii="Times New Roman" w:hAnsi="Times New Roman"/>
                <w:b/>
                <w:sz w:val="16"/>
                <w:szCs w:val="16"/>
                <w:lang w:val="pt-BR"/>
              </w:rPr>
            </w:pPr>
          </w:p>
        </w:tc>
        <w:tc>
          <w:tcPr>
            <w:tcW w:w="850" w:type="dxa"/>
            <w:vMerge/>
            <w:shd w:val="clear" w:color="auto" w:fill="92D050"/>
            <w:vAlign w:val="center"/>
          </w:tcPr>
          <w:p w:rsidR="00C821BE" w:rsidRPr="002362E3" w:rsidRDefault="00C821BE" w:rsidP="00C821BE">
            <w:pPr>
              <w:spacing w:after="0" w:line="240" w:lineRule="auto"/>
              <w:jc w:val="center"/>
              <w:rPr>
                <w:rFonts w:ascii="Times New Roman" w:hAnsi="Times New Roman"/>
                <w:b/>
                <w:sz w:val="16"/>
                <w:szCs w:val="16"/>
                <w:lang w:val="pt-BR"/>
              </w:rPr>
            </w:pPr>
          </w:p>
        </w:tc>
        <w:tc>
          <w:tcPr>
            <w:tcW w:w="586" w:type="dxa"/>
            <w:vMerge/>
            <w:shd w:val="clear" w:color="auto" w:fill="92D050"/>
            <w:vAlign w:val="center"/>
          </w:tcPr>
          <w:p w:rsidR="00C821BE" w:rsidRPr="002362E3" w:rsidRDefault="00C821BE" w:rsidP="00C821BE">
            <w:pPr>
              <w:spacing w:after="0" w:line="240" w:lineRule="auto"/>
              <w:jc w:val="center"/>
              <w:rPr>
                <w:rFonts w:ascii="Times New Roman" w:hAnsi="Times New Roman"/>
                <w:b/>
                <w:sz w:val="16"/>
                <w:szCs w:val="16"/>
                <w:lang w:val="pt-BR"/>
              </w:rPr>
            </w:pPr>
          </w:p>
        </w:tc>
      </w:tr>
      <w:tr w:rsidR="00C821BE" w:rsidRPr="002362E3" w:rsidTr="00C821BE">
        <w:trPr>
          <w:jc w:val="center"/>
        </w:trPr>
        <w:tc>
          <w:tcPr>
            <w:tcW w:w="988" w:type="dxa"/>
            <w:vMerge/>
            <w:shd w:val="clear" w:color="auto" w:fill="BDD6EE"/>
            <w:vAlign w:val="center"/>
          </w:tcPr>
          <w:p w:rsidR="00C821BE" w:rsidRPr="002362E3" w:rsidRDefault="00C821BE" w:rsidP="00C821BE">
            <w:pPr>
              <w:spacing w:after="0" w:line="240" w:lineRule="auto"/>
              <w:jc w:val="center"/>
              <w:rPr>
                <w:rFonts w:ascii="Times New Roman" w:hAnsi="Times New Roman"/>
                <w:sz w:val="16"/>
                <w:szCs w:val="16"/>
                <w:lang w:val="pt-BR"/>
              </w:rPr>
            </w:pPr>
          </w:p>
        </w:tc>
        <w:tc>
          <w:tcPr>
            <w:tcW w:w="850" w:type="dxa"/>
            <w:vAlign w:val="center"/>
          </w:tcPr>
          <w:p w:rsidR="00C821BE" w:rsidRPr="002362E3" w:rsidRDefault="00C821BE" w:rsidP="00C821BE">
            <w:pPr>
              <w:tabs>
                <w:tab w:val="left" w:pos="2193"/>
              </w:tabs>
              <w:spacing w:after="0" w:line="240" w:lineRule="auto"/>
              <w:jc w:val="center"/>
              <w:rPr>
                <w:rFonts w:ascii="Times New Roman" w:hAnsi="Times New Roman"/>
                <w:b/>
                <w:sz w:val="12"/>
                <w:szCs w:val="12"/>
                <w:lang w:val="pt-BR"/>
              </w:rPr>
            </w:pPr>
            <w:r w:rsidRPr="002362E3">
              <w:rPr>
                <w:rFonts w:ascii="Times New Roman" w:hAnsi="Times New Roman"/>
                <w:b/>
                <w:sz w:val="12"/>
                <w:szCs w:val="12"/>
                <w:lang w:val="pt-BR"/>
              </w:rPr>
              <w:t>PANORAMA</w:t>
            </w:r>
          </w:p>
        </w:tc>
        <w:tc>
          <w:tcPr>
            <w:tcW w:w="4536" w:type="dxa"/>
            <w:gridSpan w:val="3"/>
            <w:vAlign w:val="center"/>
          </w:tcPr>
          <w:p w:rsidR="00C821BE" w:rsidRPr="002362E3" w:rsidRDefault="00C821BE" w:rsidP="00C821BE">
            <w:pPr>
              <w:spacing w:after="0" w:line="240" w:lineRule="auto"/>
              <w:jc w:val="both"/>
              <w:rPr>
                <w:rFonts w:ascii="Times New Roman" w:hAnsi="Times New Roman"/>
                <w:sz w:val="16"/>
                <w:szCs w:val="16"/>
                <w:lang w:val="pt-BR"/>
              </w:rPr>
            </w:pPr>
            <w:r w:rsidRPr="002362E3">
              <w:rPr>
                <w:rFonts w:ascii="Times New Roman" w:hAnsi="Times New Roman"/>
                <w:sz w:val="16"/>
                <w:szCs w:val="16"/>
                <w:lang w:val="pt-BR"/>
              </w:rPr>
              <w:t>Mudando a aparência da paisagem</w:t>
            </w:r>
          </w:p>
        </w:tc>
        <w:tc>
          <w:tcPr>
            <w:tcW w:w="851" w:type="dxa"/>
            <w:shd w:val="clear" w:color="auto" w:fill="FFFFFF"/>
            <w:vAlign w:val="center"/>
          </w:tcPr>
          <w:p w:rsidR="00C821BE" w:rsidRPr="002362E3" w:rsidRDefault="00C821BE" w:rsidP="00C821BE">
            <w:pPr>
              <w:spacing w:after="0" w:line="240" w:lineRule="auto"/>
              <w:jc w:val="center"/>
              <w:rPr>
                <w:rFonts w:ascii="Times New Roman" w:hAnsi="Times New Roman"/>
                <w:sz w:val="16"/>
                <w:szCs w:val="16"/>
                <w:lang w:val="pt-BR"/>
              </w:rPr>
            </w:pPr>
            <w:r w:rsidRPr="002362E3">
              <w:rPr>
                <w:rFonts w:ascii="Times New Roman" w:hAnsi="Times New Roman"/>
                <w:sz w:val="16"/>
                <w:szCs w:val="16"/>
                <w:lang w:val="pt-BR"/>
              </w:rPr>
              <w:t>Baixo</w:t>
            </w:r>
          </w:p>
        </w:tc>
        <w:tc>
          <w:tcPr>
            <w:tcW w:w="283" w:type="dxa"/>
            <w:shd w:val="clear" w:color="auto" w:fill="002060"/>
            <w:vAlign w:val="center"/>
          </w:tcPr>
          <w:p w:rsidR="00C821BE" w:rsidRPr="002362E3" w:rsidRDefault="00C821BE" w:rsidP="00C821BE">
            <w:pPr>
              <w:spacing w:after="0" w:line="240" w:lineRule="auto"/>
              <w:jc w:val="center"/>
              <w:rPr>
                <w:rFonts w:ascii="Times New Roman" w:hAnsi="Times New Roman"/>
                <w:b/>
                <w:sz w:val="16"/>
                <w:szCs w:val="16"/>
                <w:lang w:val="pt-BR"/>
              </w:rPr>
            </w:pPr>
            <w:r w:rsidRPr="002362E3">
              <w:rPr>
                <w:rFonts w:ascii="Times New Roman" w:hAnsi="Times New Roman"/>
                <w:b/>
                <w:sz w:val="16"/>
                <w:szCs w:val="16"/>
                <w:lang w:val="pt-BR"/>
              </w:rPr>
              <w:t>1</w:t>
            </w:r>
          </w:p>
        </w:tc>
        <w:tc>
          <w:tcPr>
            <w:tcW w:w="992" w:type="dxa"/>
            <w:shd w:val="clear" w:color="auto" w:fill="FFFFFF"/>
            <w:vAlign w:val="center"/>
          </w:tcPr>
          <w:p w:rsidR="00C821BE" w:rsidRPr="002362E3" w:rsidRDefault="00C821BE" w:rsidP="00C821BE">
            <w:pPr>
              <w:spacing w:after="0" w:line="240" w:lineRule="auto"/>
              <w:jc w:val="center"/>
              <w:rPr>
                <w:rFonts w:ascii="Times New Roman" w:hAnsi="Times New Roman"/>
                <w:sz w:val="16"/>
                <w:szCs w:val="16"/>
                <w:lang w:val="pt-BR"/>
              </w:rPr>
            </w:pPr>
            <w:r w:rsidRPr="002362E3">
              <w:rPr>
                <w:rFonts w:ascii="Times New Roman" w:hAnsi="Times New Roman"/>
                <w:sz w:val="16"/>
                <w:szCs w:val="16"/>
                <w:lang w:val="pt-BR"/>
              </w:rPr>
              <w:t>Local</w:t>
            </w:r>
          </w:p>
        </w:tc>
        <w:tc>
          <w:tcPr>
            <w:tcW w:w="284" w:type="dxa"/>
            <w:shd w:val="clear" w:color="auto" w:fill="002060"/>
            <w:vAlign w:val="center"/>
          </w:tcPr>
          <w:p w:rsidR="00C821BE" w:rsidRPr="002362E3" w:rsidRDefault="00C821BE" w:rsidP="00C821BE">
            <w:pPr>
              <w:spacing w:after="0" w:line="240" w:lineRule="auto"/>
              <w:jc w:val="center"/>
              <w:rPr>
                <w:rFonts w:ascii="Times New Roman" w:hAnsi="Times New Roman"/>
                <w:b/>
                <w:sz w:val="16"/>
                <w:szCs w:val="16"/>
                <w:lang w:val="pt-BR"/>
              </w:rPr>
            </w:pPr>
            <w:r w:rsidRPr="002362E3">
              <w:rPr>
                <w:rFonts w:ascii="Times New Roman" w:hAnsi="Times New Roman"/>
                <w:b/>
                <w:sz w:val="16"/>
                <w:szCs w:val="16"/>
                <w:lang w:val="pt-BR"/>
              </w:rPr>
              <w:t>3</w:t>
            </w:r>
          </w:p>
        </w:tc>
        <w:tc>
          <w:tcPr>
            <w:tcW w:w="850" w:type="dxa"/>
            <w:shd w:val="clear" w:color="auto" w:fill="FFFFFF"/>
            <w:vAlign w:val="center"/>
          </w:tcPr>
          <w:p w:rsidR="00C821BE" w:rsidRPr="002362E3" w:rsidRDefault="00C821BE" w:rsidP="00C821BE">
            <w:pPr>
              <w:spacing w:after="0" w:line="240" w:lineRule="auto"/>
              <w:jc w:val="center"/>
              <w:rPr>
                <w:rFonts w:ascii="Times New Roman" w:hAnsi="Times New Roman"/>
                <w:sz w:val="16"/>
                <w:szCs w:val="16"/>
                <w:lang w:val="pt-BR"/>
              </w:rPr>
            </w:pPr>
            <w:r w:rsidRPr="002362E3">
              <w:rPr>
                <w:rFonts w:ascii="Times New Roman" w:hAnsi="Times New Roman"/>
                <w:sz w:val="16"/>
                <w:szCs w:val="16"/>
                <w:lang w:val="pt-BR"/>
              </w:rPr>
              <w:t>Média</w:t>
            </w:r>
          </w:p>
        </w:tc>
        <w:tc>
          <w:tcPr>
            <w:tcW w:w="284" w:type="dxa"/>
            <w:shd w:val="clear" w:color="auto" w:fill="002060"/>
            <w:vAlign w:val="center"/>
          </w:tcPr>
          <w:p w:rsidR="00C821BE" w:rsidRPr="002362E3" w:rsidRDefault="00C821BE" w:rsidP="00C821BE">
            <w:pPr>
              <w:spacing w:after="0" w:line="240" w:lineRule="auto"/>
              <w:jc w:val="center"/>
              <w:rPr>
                <w:rFonts w:ascii="Times New Roman" w:hAnsi="Times New Roman"/>
                <w:b/>
                <w:sz w:val="16"/>
                <w:szCs w:val="16"/>
                <w:lang w:val="pt-BR"/>
              </w:rPr>
            </w:pPr>
            <w:r w:rsidRPr="002362E3">
              <w:rPr>
                <w:rFonts w:ascii="Times New Roman" w:hAnsi="Times New Roman"/>
                <w:b/>
                <w:sz w:val="16"/>
                <w:szCs w:val="16"/>
                <w:lang w:val="pt-BR"/>
              </w:rPr>
              <w:t>3</w:t>
            </w:r>
          </w:p>
        </w:tc>
        <w:tc>
          <w:tcPr>
            <w:tcW w:w="850" w:type="dxa"/>
            <w:shd w:val="clear" w:color="auto" w:fill="92D050"/>
            <w:vAlign w:val="center"/>
          </w:tcPr>
          <w:p w:rsidR="00C821BE" w:rsidRPr="002362E3" w:rsidRDefault="00C821BE" w:rsidP="00C821BE">
            <w:pPr>
              <w:spacing w:after="0" w:line="240" w:lineRule="auto"/>
              <w:jc w:val="center"/>
              <w:rPr>
                <w:rFonts w:ascii="Times New Roman" w:hAnsi="Times New Roman"/>
                <w:b/>
                <w:sz w:val="16"/>
                <w:szCs w:val="16"/>
                <w:lang w:val="pt-BR"/>
              </w:rPr>
            </w:pPr>
            <w:r w:rsidRPr="002362E3">
              <w:rPr>
                <w:rFonts w:ascii="Times New Roman" w:hAnsi="Times New Roman"/>
                <w:b/>
                <w:sz w:val="16"/>
                <w:szCs w:val="16"/>
                <w:lang w:val="pt-BR"/>
              </w:rPr>
              <w:t>Menor</w:t>
            </w:r>
          </w:p>
        </w:tc>
        <w:tc>
          <w:tcPr>
            <w:tcW w:w="586" w:type="dxa"/>
            <w:shd w:val="clear" w:color="auto" w:fill="92D050"/>
            <w:vAlign w:val="center"/>
          </w:tcPr>
          <w:p w:rsidR="00C821BE" w:rsidRPr="002362E3" w:rsidRDefault="00C821BE" w:rsidP="00C821BE">
            <w:pPr>
              <w:spacing w:after="0" w:line="240" w:lineRule="auto"/>
              <w:jc w:val="center"/>
              <w:rPr>
                <w:rFonts w:ascii="Times New Roman" w:hAnsi="Times New Roman"/>
                <w:b/>
                <w:sz w:val="16"/>
                <w:szCs w:val="16"/>
                <w:lang w:val="pt-BR"/>
              </w:rPr>
            </w:pPr>
            <w:r w:rsidRPr="002362E3">
              <w:rPr>
                <w:rFonts w:ascii="Times New Roman" w:hAnsi="Times New Roman"/>
                <w:b/>
                <w:sz w:val="16"/>
                <w:szCs w:val="16"/>
                <w:lang w:val="pt-BR"/>
              </w:rPr>
              <w:t>9</w:t>
            </w:r>
          </w:p>
        </w:tc>
      </w:tr>
      <w:tr w:rsidR="00C821BE" w:rsidRPr="002362E3" w:rsidTr="00C821BE">
        <w:trPr>
          <w:jc w:val="center"/>
        </w:trPr>
        <w:tc>
          <w:tcPr>
            <w:tcW w:w="988" w:type="dxa"/>
            <w:vMerge/>
            <w:shd w:val="clear" w:color="auto" w:fill="BDD6EE"/>
            <w:vAlign w:val="center"/>
          </w:tcPr>
          <w:p w:rsidR="00C821BE" w:rsidRPr="002362E3" w:rsidRDefault="00C821BE" w:rsidP="00C821BE">
            <w:pPr>
              <w:spacing w:after="0" w:line="240" w:lineRule="auto"/>
              <w:jc w:val="center"/>
              <w:rPr>
                <w:rFonts w:ascii="Times New Roman" w:hAnsi="Times New Roman"/>
                <w:sz w:val="16"/>
                <w:szCs w:val="16"/>
                <w:lang w:val="pt-BR"/>
              </w:rPr>
            </w:pPr>
          </w:p>
        </w:tc>
        <w:tc>
          <w:tcPr>
            <w:tcW w:w="850" w:type="dxa"/>
            <w:vMerge w:val="restart"/>
            <w:vAlign w:val="center"/>
          </w:tcPr>
          <w:p w:rsidR="00C821BE" w:rsidRPr="002362E3" w:rsidRDefault="00C821BE" w:rsidP="00C821BE">
            <w:pPr>
              <w:spacing w:after="0" w:line="240" w:lineRule="auto"/>
              <w:jc w:val="center"/>
              <w:rPr>
                <w:rFonts w:ascii="Times New Roman" w:hAnsi="Times New Roman"/>
                <w:b/>
                <w:sz w:val="12"/>
                <w:szCs w:val="12"/>
                <w:lang w:val="pt-BR"/>
              </w:rPr>
            </w:pPr>
            <w:r w:rsidRPr="002362E3">
              <w:rPr>
                <w:rFonts w:ascii="Times New Roman" w:hAnsi="Times New Roman"/>
                <w:b/>
                <w:sz w:val="12"/>
                <w:szCs w:val="12"/>
                <w:lang w:val="pt-BR"/>
              </w:rPr>
              <w:t>HUMANO</w:t>
            </w:r>
          </w:p>
        </w:tc>
        <w:tc>
          <w:tcPr>
            <w:tcW w:w="4536" w:type="dxa"/>
            <w:gridSpan w:val="3"/>
            <w:vAlign w:val="center"/>
          </w:tcPr>
          <w:p w:rsidR="00C821BE" w:rsidRPr="002362E3" w:rsidRDefault="00C821BE" w:rsidP="00C821BE">
            <w:pPr>
              <w:spacing w:after="0" w:line="240" w:lineRule="auto"/>
              <w:jc w:val="both"/>
              <w:rPr>
                <w:rFonts w:ascii="Times New Roman" w:hAnsi="Times New Roman"/>
                <w:sz w:val="16"/>
                <w:szCs w:val="16"/>
                <w:lang w:val="pt-BR"/>
              </w:rPr>
            </w:pPr>
            <w:r w:rsidRPr="002362E3">
              <w:rPr>
                <w:rFonts w:ascii="Times New Roman" w:hAnsi="Times New Roman"/>
                <w:sz w:val="16"/>
                <w:szCs w:val="16"/>
                <w:lang w:val="pt-BR"/>
              </w:rPr>
              <w:t xml:space="preserve">Risco de perturbação do ambiente de vida das populações vizinhas devido à produção de poeira e ruído </w:t>
            </w:r>
          </w:p>
        </w:tc>
        <w:tc>
          <w:tcPr>
            <w:tcW w:w="851" w:type="dxa"/>
            <w:vAlign w:val="center"/>
          </w:tcPr>
          <w:p w:rsidR="00C821BE" w:rsidRPr="002362E3" w:rsidRDefault="00C821BE" w:rsidP="00C821BE">
            <w:pPr>
              <w:spacing w:after="0" w:line="240" w:lineRule="auto"/>
              <w:jc w:val="center"/>
              <w:rPr>
                <w:rFonts w:ascii="Times New Roman" w:hAnsi="Times New Roman"/>
                <w:sz w:val="16"/>
                <w:szCs w:val="16"/>
                <w:lang w:val="pt-BR"/>
              </w:rPr>
            </w:pPr>
            <w:r w:rsidRPr="002362E3">
              <w:rPr>
                <w:rFonts w:ascii="Times New Roman" w:hAnsi="Times New Roman"/>
                <w:sz w:val="16"/>
                <w:szCs w:val="16"/>
                <w:lang w:val="pt-BR"/>
              </w:rPr>
              <w:t>Forte</w:t>
            </w:r>
          </w:p>
        </w:tc>
        <w:tc>
          <w:tcPr>
            <w:tcW w:w="283" w:type="dxa"/>
            <w:shd w:val="clear" w:color="auto" w:fill="002060"/>
            <w:vAlign w:val="center"/>
          </w:tcPr>
          <w:p w:rsidR="00C821BE" w:rsidRPr="002362E3" w:rsidRDefault="00C821BE" w:rsidP="00C821BE">
            <w:pPr>
              <w:spacing w:after="0" w:line="240" w:lineRule="auto"/>
              <w:jc w:val="center"/>
              <w:rPr>
                <w:rFonts w:ascii="Times New Roman" w:hAnsi="Times New Roman"/>
                <w:b/>
                <w:sz w:val="16"/>
                <w:szCs w:val="16"/>
                <w:lang w:val="pt-BR"/>
              </w:rPr>
            </w:pPr>
            <w:r w:rsidRPr="002362E3">
              <w:rPr>
                <w:rFonts w:ascii="Times New Roman" w:hAnsi="Times New Roman"/>
                <w:b/>
                <w:sz w:val="16"/>
                <w:szCs w:val="16"/>
                <w:lang w:val="pt-BR"/>
              </w:rPr>
              <w:t>5</w:t>
            </w:r>
          </w:p>
        </w:tc>
        <w:tc>
          <w:tcPr>
            <w:tcW w:w="992" w:type="dxa"/>
            <w:vAlign w:val="center"/>
          </w:tcPr>
          <w:p w:rsidR="00C821BE" w:rsidRPr="002362E3" w:rsidRDefault="00C821BE" w:rsidP="00C821BE">
            <w:pPr>
              <w:spacing w:after="0" w:line="240" w:lineRule="auto"/>
              <w:jc w:val="center"/>
              <w:rPr>
                <w:rFonts w:ascii="Times New Roman" w:hAnsi="Times New Roman"/>
                <w:sz w:val="16"/>
                <w:szCs w:val="16"/>
                <w:lang w:val="pt-BR"/>
              </w:rPr>
            </w:pPr>
            <w:r w:rsidRPr="002362E3">
              <w:rPr>
                <w:rFonts w:ascii="Times New Roman" w:hAnsi="Times New Roman"/>
                <w:sz w:val="16"/>
                <w:szCs w:val="16"/>
                <w:lang w:val="pt-BR"/>
              </w:rPr>
              <w:t>Local</w:t>
            </w:r>
          </w:p>
        </w:tc>
        <w:tc>
          <w:tcPr>
            <w:tcW w:w="284" w:type="dxa"/>
            <w:shd w:val="clear" w:color="auto" w:fill="002060"/>
            <w:vAlign w:val="center"/>
          </w:tcPr>
          <w:p w:rsidR="00C821BE" w:rsidRPr="002362E3" w:rsidRDefault="00C821BE" w:rsidP="00C821BE">
            <w:pPr>
              <w:spacing w:after="0" w:line="240" w:lineRule="auto"/>
              <w:jc w:val="center"/>
              <w:rPr>
                <w:rFonts w:ascii="Times New Roman" w:hAnsi="Times New Roman"/>
                <w:b/>
                <w:sz w:val="16"/>
                <w:szCs w:val="16"/>
                <w:lang w:val="pt-BR"/>
              </w:rPr>
            </w:pPr>
            <w:r w:rsidRPr="002362E3">
              <w:rPr>
                <w:rFonts w:ascii="Times New Roman" w:hAnsi="Times New Roman"/>
                <w:b/>
                <w:sz w:val="16"/>
                <w:szCs w:val="16"/>
                <w:lang w:val="pt-BR"/>
              </w:rPr>
              <w:t>3</w:t>
            </w:r>
          </w:p>
        </w:tc>
        <w:tc>
          <w:tcPr>
            <w:tcW w:w="850" w:type="dxa"/>
            <w:vAlign w:val="center"/>
          </w:tcPr>
          <w:p w:rsidR="00C821BE" w:rsidRPr="002362E3" w:rsidRDefault="00C821BE" w:rsidP="00C821BE">
            <w:pPr>
              <w:spacing w:after="0" w:line="240" w:lineRule="auto"/>
              <w:jc w:val="center"/>
              <w:rPr>
                <w:rFonts w:ascii="Times New Roman" w:hAnsi="Times New Roman"/>
                <w:sz w:val="16"/>
                <w:szCs w:val="16"/>
                <w:lang w:val="pt-BR"/>
              </w:rPr>
            </w:pPr>
            <w:r w:rsidRPr="002362E3">
              <w:rPr>
                <w:rFonts w:ascii="Times New Roman" w:hAnsi="Times New Roman"/>
                <w:sz w:val="16"/>
                <w:szCs w:val="16"/>
                <w:lang w:val="pt-BR"/>
              </w:rPr>
              <w:t>Curto</w:t>
            </w:r>
          </w:p>
        </w:tc>
        <w:tc>
          <w:tcPr>
            <w:tcW w:w="284" w:type="dxa"/>
            <w:shd w:val="clear" w:color="auto" w:fill="002060"/>
            <w:vAlign w:val="center"/>
          </w:tcPr>
          <w:p w:rsidR="00C821BE" w:rsidRPr="002362E3" w:rsidRDefault="00C821BE" w:rsidP="00C821BE">
            <w:pPr>
              <w:spacing w:after="0" w:line="240" w:lineRule="auto"/>
              <w:jc w:val="center"/>
              <w:rPr>
                <w:rFonts w:ascii="Times New Roman" w:hAnsi="Times New Roman"/>
                <w:b/>
                <w:sz w:val="16"/>
                <w:szCs w:val="16"/>
                <w:lang w:val="pt-BR"/>
              </w:rPr>
            </w:pPr>
            <w:r w:rsidRPr="002362E3">
              <w:rPr>
                <w:rFonts w:ascii="Times New Roman" w:hAnsi="Times New Roman"/>
                <w:b/>
                <w:sz w:val="16"/>
                <w:szCs w:val="16"/>
                <w:lang w:val="pt-BR"/>
              </w:rPr>
              <w:t>1</w:t>
            </w:r>
          </w:p>
        </w:tc>
        <w:tc>
          <w:tcPr>
            <w:tcW w:w="850" w:type="dxa"/>
            <w:shd w:val="clear" w:color="auto" w:fill="92D050"/>
            <w:vAlign w:val="center"/>
          </w:tcPr>
          <w:p w:rsidR="00C821BE" w:rsidRPr="002362E3" w:rsidRDefault="00C821BE" w:rsidP="00C821BE">
            <w:pPr>
              <w:spacing w:after="0" w:line="240" w:lineRule="auto"/>
              <w:jc w:val="center"/>
              <w:rPr>
                <w:rFonts w:ascii="Times New Roman" w:hAnsi="Times New Roman"/>
                <w:b/>
                <w:sz w:val="16"/>
                <w:szCs w:val="16"/>
                <w:lang w:val="pt-BR"/>
              </w:rPr>
            </w:pPr>
            <w:r w:rsidRPr="002362E3">
              <w:rPr>
                <w:rFonts w:ascii="Times New Roman" w:hAnsi="Times New Roman"/>
                <w:b/>
                <w:sz w:val="16"/>
                <w:szCs w:val="16"/>
                <w:lang w:val="pt-BR"/>
              </w:rPr>
              <w:t>Menor</w:t>
            </w:r>
          </w:p>
        </w:tc>
        <w:tc>
          <w:tcPr>
            <w:tcW w:w="586" w:type="dxa"/>
            <w:shd w:val="clear" w:color="auto" w:fill="92D050"/>
            <w:vAlign w:val="center"/>
          </w:tcPr>
          <w:p w:rsidR="00C821BE" w:rsidRPr="002362E3" w:rsidRDefault="00C821BE" w:rsidP="00C821BE">
            <w:pPr>
              <w:spacing w:after="0" w:line="240" w:lineRule="auto"/>
              <w:jc w:val="center"/>
              <w:rPr>
                <w:rFonts w:ascii="Times New Roman" w:hAnsi="Times New Roman"/>
                <w:b/>
                <w:sz w:val="16"/>
                <w:szCs w:val="16"/>
                <w:lang w:val="pt-BR"/>
              </w:rPr>
            </w:pPr>
            <w:r w:rsidRPr="002362E3">
              <w:rPr>
                <w:rFonts w:ascii="Times New Roman" w:hAnsi="Times New Roman"/>
                <w:b/>
                <w:sz w:val="16"/>
                <w:szCs w:val="16"/>
                <w:lang w:val="pt-BR"/>
              </w:rPr>
              <w:t>15</w:t>
            </w:r>
          </w:p>
        </w:tc>
      </w:tr>
      <w:tr w:rsidR="00C821BE" w:rsidRPr="002362E3" w:rsidTr="00C821BE">
        <w:trPr>
          <w:jc w:val="center"/>
        </w:trPr>
        <w:tc>
          <w:tcPr>
            <w:tcW w:w="988" w:type="dxa"/>
            <w:vMerge/>
            <w:shd w:val="clear" w:color="auto" w:fill="BDD6EE"/>
            <w:vAlign w:val="center"/>
          </w:tcPr>
          <w:p w:rsidR="00C821BE" w:rsidRPr="002362E3" w:rsidRDefault="00C821BE" w:rsidP="00C821BE">
            <w:pPr>
              <w:spacing w:after="0" w:line="240" w:lineRule="auto"/>
              <w:jc w:val="center"/>
              <w:rPr>
                <w:rFonts w:ascii="Times New Roman" w:hAnsi="Times New Roman"/>
                <w:sz w:val="16"/>
                <w:szCs w:val="16"/>
                <w:lang w:val="pt-BR"/>
              </w:rPr>
            </w:pPr>
          </w:p>
        </w:tc>
        <w:tc>
          <w:tcPr>
            <w:tcW w:w="850" w:type="dxa"/>
            <w:vMerge/>
            <w:vAlign w:val="center"/>
          </w:tcPr>
          <w:p w:rsidR="00C821BE" w:rsidRPr="002362E3" w:rsidRDefault="00C821BE" w:rsidP="00C821BE">
            <w:pPr>
              <w:spacing w:after="0" w:line="240" w:lineRule="auto"/>
              <w:jc w:val="center"/>
              <w:rPr>
                <w:rFonts w:ascii="Times New Roman" w:hAnsi="Times New Roman"/>
                <w:b/>
                <w:sz w:val="16"/>
                <w:szCs w:val="16"/>
                <w:lang w:val="pt-BR"/>
              </w:rPr>
            </w:pPr>
          </w:p>
        </w:tc>
        <w:tc>
          <w:tcPr>
            <w:tcW w:w="4536" w:type="dxa"/>
            <w:gridSpan w:val="3"/>
            <w:vAlign w:val="center"/>
          </w:tcPr>
          <w:p w:rsidR="00C821BE" w:rsidRPr="002362E3" w:rsidRDefault="00C821BE" w:rsidP="00C821BE">
            <w:pPr>
              <w:spacing w:after="0" w:line="240" w:lineRule="auto"/>
              <w:jc w:val="both"/>
              <w:rPr>
                <w:rFonts w:ascii="Times New Roman" w:hAnsi="Times New Roman"/>
                <w:sz w:val="16"/>
                <w:szCs w:val="16"/>
                <w:lang w:val="pt-BR"/>
              </w:rPr>
            </w:pPr>
            <w:r w:rsidRPr="002362E3">
              <w:rPr>
                <w:rFonts w:ascii="Times New Roman" w:hAnsi="Times New Roman"/>
                <w:sz w:val="16"/>
                <w:szCs w:val="16"/>
                <w:lang w:val="pt-BR"/>
              </w:rPr>
              <w:t>Risco de obstruir o movimento de transeuntes e motoristas</w:t>
            </w:r>
          </w:p>
        </w:tc>
        <w:tc>
          <w:tcPr>
            <w:tcW w:w="851" w:type="dxa"/>
            <w:vAlign w:val="center"/>
          </w:tcPr>
          <w:p w:rsidR="00C821BE" w:rsidRPr="002362E3" w:rsidRDefault="00C821BE" w:rsidP="00C821BE">
            <w:pPr>
              <w:spacing w:after="0" w:line="240" w:lineRule="auto"/>
              <w:jc w:val="center"/>
              <w:rPr>
                <w:rFonts w:ascii="Times New Roman" w:hAnsi="Times New Roman"/>
                <w:sz w:val="16"/>
                <w:szCs w:val="16"/>
                <w:lang w:val="pt-BR"/>
              </w:rPr>
            </w:pPr>
            <w:r w:rsidRPr="002362E3">
              <w:rPr>
                <w:rFonts w:ascii="Times New Roman" w:hAnsi="Times New Roman"/>
                <w:sz w:val="16"/>
                <w:szCs w:val="16"/>
                <w:lang w:val="pt-BR"/>
              </w:rPr>
              <w:t>Forte</w:t>
            </w:r>
          </w:p>
        </w:tc>
        <w:tc>
          <w:tcPr>
            <w:tcW w:w="283" w:type="dxa"/>
            <w:shd w:val="clear" w:color="auto" w:fill="002060"/>
            <w:vAlign w:val="center"/>
          </w:tcPr>
          <w:p w:rsidR="00C821BE" w:rsidRPr="002362E3" w:rsidRDefault="00C821BE" w:rsidP="00C821BE">
            <w:pPr>
              <w:spacing w:after="0" w:line="240" w:lineRule="auto"/>
              <w:jc w:val="center"/>
              <w:rPr>
                <w:rFonts w:ascii="Times New Roman" w:hAnsi="Times New Roman"/>
                <w:b/>
                <w:sz w:val="16"/>
                <w:szCs w:val="16"/>
                <w:lang w:val="pt-BR"/>
              </w:rPr>
            </w:pPr>
            <w:r w:rsidRPr="002362E3">
              <w:rPr>
                <w:rFonts w:ascii="Times New Roman" w:hAnsi="Times New Roman"/>
                <w:b/>
                <w:sz w:val="16"/>
                <w:szCs w:val="16"/>
                <w:lang w:val="pt-BR"/>
              </w:rPr>
              <w:t>5</w:t>
            </w:r>
          </w:p>
        </w:tc>
        <w:tc>
          <w:tcPr>
            <w:tcW w:w="992" w:type="dxa"/>
            <w:vAlign w:val="center"/>
          </w:tcPr>
          <w:p w:rsidR="00C821BE" w:rsidRPr="002362E3" w:rsidRDefault="00C821BE" w:rsidP="00C821BE">
            <w:pPr>
              <w:spacing w:after="0" w:line="240" w:lineRule="auto"/>
              <w:jc w:val="center"/>
              <w:rPr>
                <w:rFonts w:ascii="Times New Roman" w:hAnsi="Times New Roman"/>
                <w:sz w:val="16"/>
                <w:szCs w:val="16"/>
                <w:lang w:val="pt-BR"/>
              </w:rPr>
            </w:pPr>
            <w:r w:rsidRPr="002362E3">
              <w:rPr>
                <w:rFonts w:ascii="Times New Roman" w:hAnsi="Times New Roman"/>
                <w:sz w:val="16"/>
                <w:szCs w:val="16"/>
                <w:lang w:val="pt-BR"/>
              </w:rPr>
              <w:t>Local</w:t>
            </w:r>
          </w:p>
        </w:tc>
        <w:tc>
          <w:tcPr>
            <w:tcW w:w="284" w:type="dxa"/>
            <w:shd w:val="clear" w:color="auto" w:fill="002060"/>
            <w:vAlign w:val="center"/>
          </w:tcPr>
          <w:p w:rsidR="00C821BE" w:rsidRPr="002362E3" w:rsidRDefault="00C821BE" w:rsidP="00C821BE">
            <w:pPr>
              <w:spacing w:after="0" w:line="240" w:lineRule="auto"/>
              <w:jc w:val="center"/>
              <w:rPr>
                <w:rFonts w:ascii="Times New Roman" w:hAnsi="Times New Roman"/>
                <w:b/>
                <w:sz w:val="16"/>
                <w:szCs w:val="16"/>
                <w:lang w:val="pt-BR"/>
              </w:rPr>
            </w:pPr>
            <w:r w:rsidRPr="002362E3">
              <w:rPr>
                <w:rFonts w:ascii="Times New Roman" w:hAnsi="Times New Roman"/>
                <w:b/>
                <w:sz w:val="16"/>
                <w:szCs w:val="16"/>
                <w:lang w:val="pt-BR"/>
              </w:rPr>
              <w:t>3</w:t>
            </w:r>
          </w:p>
        </w:tc>
        <w:tc>
          <w:tcPr>
            <w:tcW w:w="850" w:type="dxa"/>
            <w:vAlign w:val="center"/>
          </w:tcPr>
          <w:p w:rsidR="00C821BE" w:rsidRPr="002362E3" w:rsidRDefault="00C821BE" w:rsidP="00C821BE">
            <w:pPr>
              <w:spacing w:after="0" w:line="240" w:lineRule="auto"/>
              <w:jc w:val="center"/>
              <w:rPr>
                <w:rFonts w:ascii="Times New Roman" w:hAnsi="Times New Roman"/>
                <w:sz w:val="16"/>
                <w:szCs w:val="16"/>
                <w:lang w:val="pt-BR"/>
              </w:rPr>
            </w:pPr>
            <w:r w:rsidRPr="002362E3">
              <w:rPr>
                <w:rFonts w:ascii="Times New Roman" w:hAnsi="Times New Roman"/>
                <w:sz w:val="16"/>
                <w:szCs w:val="16"/>
                <w:lang w:val="pt-BR"/>
              </w:rPr>
              <w:t>Curto</w:t>
            </w:r>
          </w:p>
        </w:tc>
        <w:tc>
          <w:tcPr>
            <w:tcW w:w="284" w:type="dxa"/>
            <w:shd w:val="clear" w:color="auto" w:fill="002060"/>
            <w:vAlign w:val="center"/>
          </w:tcPr>
          <w:p w:rsidR="00C821BE" w:rsidRPr="002362E3" w:rsidRDefault="00C821BE" w:rsidP="00C821BE">
            <w:pPr>
              <w:spacing w:after="0" w:line="240" w:lineRule="auto"/>
              <w:jc w:val="center"/>
              <w:rPr>
                <w:rFonts w:ascii="Times New Roman" w:hAnsi="Times New Roman"/>
                <w:b/>
                <w:sz w:val="16"/>
                <w:szCs w:val="16"/>
                <w:lang w:val="pt-BR"/>
              </w:rPr>
            </w:pPr>
            <w:r w:rsidRPr="002362E3">
              <w:rPr>
                <w:rFonts w:ascii="Times New Roman" w:hAnsi="Times New Roman"/>
                <w:b/>
                <w:sz w:val="16"/>
                <w:szCs w:val="16"/>
                <w:lang w:val="pt-BR"/>
              </w:rPr>
              <w:t>1</w:t>
            </w:r>
          </w:p>
        </w:tc>
        <w:tc>
          <w:tcPr>
            <w:tcW w:w="850" w:type="dxa"/>
            <w:shd w:val="clear" w:color="auto" w:fill="92D050"/>
            <w:vAlign w:val="center"/>
          </w:tcPr>
          <w:p w:rsidR="00C821BE" w:rsidRPr="002362E3" w:rsidRDefault="00C821BE" w:rsidP="00C821BE">
            <w:pPr>
              <w:spacing w:after="0" w:line="240" w:lineRule="auto"/>
              <w:jc w:val="center"/>
              <w:rPr>
                <w:rFonts w:ascii="Times New Roman" w:hAnsi="Times New Roman"/>
                <w:b/>
                <w:sz w:val="16"/>
                <w:szCs w:val="16"/>
                <w:lang w:val="pt-BR"/>
              </w:rPr>
            </w:pPr>
            <w:r w:rsidRPr="002362E3">
              <w:rPr>
                <w:rFonts w:ascii="Times New Roman" w:hAnsi="Times New Roman"/>
                <w:b/>
                <w:sz w:val="16"/>
                <w:szCs w:val="16"/>
                <w:lang w:val="pt-BR"/>
              </w:rPr>
              <w:t>Menor</w:t>
            </w:r>
          </w:p>
        </w:tc>
        <w:tc>
          <w:tcPr>
            <w:tcW w:w="586" w:type="dxa"/>
            <w:shd w:val="clear" w:color="auto" w:fill="92D050"/>
            <w:vAlign w:val="center"/>
          </w:tcPr>
          <w:p w:rsidR="00C821BE" w:rsidRPr="002362E3" w:rsidRDefault="00C821BE" w:rsidP="00C821BE">
            <w:pPr>
              <w:spacing w:after="0" w:line="240" w:lineRule="auto"/>
              <w:jc w:val="center"/>
              <w:rPr>
                <w:rFonts w:ascii="Times New Roman" w:hAnsi="Times New Roman"/>
                <w:b/>
                <w:sz w:val="16"/>
                <w:szCs w:val="16"/>
                <w:lang w:val="pt-BR"/>
              </w:rPr>
            </w:pPr>
            <w:r w:rsidRPr="002362E3">
              <w:rPr>
                <w:rFonts w:ascii="Times New Roman" w:hAnsi="Times New Roman"/>
                <w:b/>
                <w:sz w:val="16"/>
                <w:szCs w:val="16"/>
                <w:lang w:val="pt-BR"/>
              </w:rPr>
              <w:t>15</w:t>
            </w:r>
          </w:p>
        </w:tc>
      </w:tr>
      <w:tr w:rsidR="00C821BE" w:rsidRPr="002362E3" w:rsidTr="00C821BE">
        <w:trPr>
          <w:jc w:val="center"/>
        </w:trPr>
        <w:tc>
          <w:tcPr>
            <w:tcW w:w="988" w:type="dxa"/>
            <w:vMerge/>
            <w:shd w:val="clear" w:color="auto" w:fill="BDD6EE"/>
            <w:vAlign w:val="center"/>
          </w:tcPr>
          <w:p w:rsidR="00C821BE" w:rsidRPr="002362E3" w:rsidRDefault="00C821BE" w:rsidP="00C821BE">
            <w:pPr>
              <w:spacing w:after="0" w:line="240" w:lineRule="auto"/>
              <w:jc w:val="center"/>
              <w:rPr>
                <w:rFonts w:ascii="Times New Roman" w:hAnsi="Times New Roman"/>
                <w:sz w:val="16"/>
                <w:szCs w:val="16"/>
                <w:lang w:val="pt-BR"/>
              </w:rPr>
            </w:pPr>
          </w:p>
        </w:tc>
        <w:tc>
          <w:tcPr>
            <w:tcW w:w="850" w:type="dxa"/>
            <w:vMerge/>
            <w:vAlign w:val="center"/>
          </w:tcPr>
          <w:p w:rsidR="00C821BE" w:rsidRPr="002362E3" w:rsidRDefault="00C821BE" w:rsidP="00C821BE">
            <w:pPr>
              <w:spacing w:after="0" w:line="240" w:lineRule="auto"/>
              <w:jc w:val="center"/>
              <w:rPr>
                <w:rFonts w:ascii="Times New Roman" w:hAnsi="Times New Roman"/>
                <w:b/>
                <w:sz w:val="16"/>
                <w:szCs w:val="16"/>
                <w:lang w:val="pt-BR"/>
              </w:rPr>
            </w:pPr>
          </w:p>
        </w:tc>
        <w:tc>
          <w:tcPr>
            <w:tcW w:w="4536" w:type="dxa"/>
            <w:gridSpan w:val="3"/>
            <w:vAlign w:val="center"/>
          </w:tcPr>
          <w:p w:rsidR="00C821BE" w:rsidRPr="002362E3" w:rsidRDefault="00C821BE" w:rsidP="00C821BE">
            <w:pPr>
              <w:spacing w:after="0" w:line="240" w:lineRule="auto"/>
              <w:jc w:val="both"/>
              <w:rPr>
                <w:rFonts w:ascii="Times New Roman" w:hAnsi="Times New Roman"/>
                <w:sz w:val="16"/>
                <w:szCs w:val="16"/>
                <w:lang w:val="pt-BR"/>
              </w:rPr>
            </w:pPr>
            <w:r w:rsidRPr="002362E3">
              <w:rPr>
                <w:rFonts w:ascii="Times New Roman" w:hAnsi="Times New Roman"/>
                <w:sz w:val="16"/>
                <w:szCs w:val="16"/>
                <w:lang w:val="pt-BR"/>
              </w:rPr>
              <w:t>Riscos de propagação de doenças sexualmente transmissíveis, como HIV / AIDS</w:t>
            </w:r>
          </w:p>
        </w:tc>
        <w:tc>
          <w:tcPr>
            <w:tcW w:w="851" w:type="dxa"/>
            <w:vAlign w:val="center"/>
          </w:tcPr>
          <w:p w:rsidR="00C821BE" w:rsidRPr="002362E3" w:rsidRDefault="00C821BE" w:rsidP="00C821BE">
            <w:pPr>
              <w:spacing w:after="0" w:line="240" w:lineRule="auto"/>
              <w:jc w:val="center"/>
              <w:rPr>
                <w:rFonts w:ascii="Times New Roman" w:hAnsi="Times New Roman"/>
                <w:sz w:val="16"/>
                <w:szCs w:val="16"/>
                <w:lang w:val="pt-BR"/>
              </w:rPr>
            </w:pPr>
            <w:r w:rsidRPr="002362E3">
              <w:rPr>
                <w:rFonts w:ascii="Times New Roman" w:hAnsi="Times New Roman"/>
                <w:sz w:val="16"/>
                <w:szCs w:val="16"/>
                <w:lang w:val="pt-BR"/>
              </w:rPr>
              <w:t>Forte</w:t>
            </w:r>
          </w:p>
        </w:tc>
        <w:tc>
          <w:tcPr>
            <w:tcW w:w="283" w:type="dxa"/>
            <w:shd w:val="clear" w:color="auto" w:fill="002060"/>
            <w:vAlign w:val="center"/>
          </w:tcPr>
          <w:p w:rsidR="00C821BE" w:rsidRPr="002362E3" w:rsidRDefault="00C821BE" w:rsidP="00C821BE">
            <w:pPr>
              <w:spacing w:after="0" w:line="240" w:lineRule="auto"/>
              <w:jc w:val="center"/>
              <w:rPr>
                <w:rFonts w:ascii="Times New Roman" w:hAnsi="Times New Roman"/>
                <w:b/>
                <w:sz w:val="16"/>
                <w:szCs w:val="16"/>
                <w:lang w:val="pt-BR"/>
              </w:rPr>
            </w:pPr>
            <w:r w:rsidRPr="002362E3">
              <w:rPr>
                <w:rFonts w:ascii="Times New Roman" w:hAnsi="Times New Roman"/>
                <w:b/>
                <w:sz w:val="16"/>
                <w:szCs w:val="16"/>
                <w:lang w:val="pt-BR"/>
              </w:rPr>
              <w:t>5</w:t>
            </w:r>
          </w:p>
        </w:tc>
        <w:tc>
          <w:tcPr>
            <w:tcW w:w="992" w:type="dxa"/>
            <w:vAlign w:val="center"/>
          </w:tcPr>
          <w:p w:rsidR="00C821BE" w:rsidRPr="002362E3" w:rsidRDefault="00C821BE" w:rsidP="00C821BE">
            <w:pPr>
              <w:spacing w:after="0" w:line="240" w:lineRule="auto"/>
              <w:jc w:val="center"/>
              <w:rPr>
                <w:rFonts w:ascii="Times New Roman" w:hAnsi="Times New Roman"/>
                <w:sz w:val="16"/>
                <w:szCs w:val="16"/>
                <w:lang w:val="pt-BR"/>
              </w:rPr>
            </w:pPr>
            <w:r w:rsidRPr="002362E3">
              <w:rPr>
                <w:rFonts w:ascii="Times New Roman" w:hAnsi="Times New Roman"/>
                <w:sz w:val="16"/>
                <w:szCs w:val="16"/>
                <w:lang w:val="pt-BR"/>
              </w:rPr>
              <w:t>Regional</w:t>
            </w:r>
          </w:p>
        </w:tc>
        <w:tc>
          <w:tcPr>
            <w:tcW w:w="284" w:type="dxa"/>
            <w:shd w:val="clear" w:color="auto" w:fill="002060"/>
            <w:vAlign w:val="center"/>
          </w:tcPr>
          <w:p w:rsidR="00C821BE" w:rsidRPr="002362E3" w:rsidRDefault="00C821BE" w:rsidP="00C821BE">
            <w:pPr>
              <w:spacing w:after="0" w:line="240" w:lineRule="auto"/>
              <w:jc w:val="center"/>
              <w:rPr>
                <w:rFonts w:ascii="Times New Roman" w:hAnsi="Times New Roman"/>
                <w:b/>
                <w:sz w:val="16"/>
                <w:szCs w:val="16"/>
                <w:lang w:val="pt-BR"/>
              </w:rPr>
            </w:pPr>
            <w:r w:rsidRPr="002362E3">
              <w:rPr>
                <w:rFonts w:ascii="Times New Roman" w:hAnsi="Times New Roman"/>
                <w:b/>
                <w:sz w:val="16"/>
                <w:szCs w:val="16"/>
                <w:lang w:val="pt-BR"/>
              </w:rPr>
              <w:t>5</w:t>
            </w:r>
          </w:p>
        </w:tc>
        <w:tc>
          <w:tcPr>
            <w:tcW w:w="850" w:type="dxa"/>
            <w:vAlign w:val="center"/>
          </w:tcPr>
          <w:p w:rsidR="00C821BE" w:rsidRPr="002362E3" w:rsidRDefault="00C821BE" w:rsidP="00C821BE">
            <w:pPr>
              <w:spacing w:after="0" w:line="240" w:lineRule="auto"/>
              <w:jc w:val="center"/>
              <w:rPr>
                <w:rFonts w:ascii="Times New Roman" w:hAnsi="Times New Roman"/>
                <w:sz w:val="16"/>
                <w:szCs w:val="16"/>
                <w:lang w:val="pt-BR"/>
              </w:rPr>
            </w:pPr>
            <w:r w:rsidRPr="002362E3">
              <w:rPr>
                <w:rFonts w:ascii="Times New Roman" w:hAnsi="Times New Roman"/>
                <w:sz w:val="16"/>
                <w:szCs w:val="16"/>
                <w:lang w:val="pt-BR"/>
              </w:rPr>
              <w:t>Curto</w:t>
            </w:r>
          </w:p>
        </w:tc>
        <w:tc>
          <w:tcPr>
            <w:tcW w:w="284" w:type="dxa"/>
            <w:shd w:val="clear" w:color="auto" w:fill="002060"/>
            <w:vAlign w:val="center"/>
          </w:tcPr>
          <w:p w:rsidR="00C821BE" w:rsidRPr="002362E3" w:rsidRDefault="00C821BE" w:rsidP="00C821BE">
            <w:pPr>
              <w:spacing w:after="0" w:line="240" w:lineRule="auto"/>
              <w:jc w:val="center"/>
              <w:rPr>
                <w:rFonts w:ascii="Times New Roman" w:hAnsi="Times New Roman"/>
                <w:b/>
                <w:sz w:val="16"/>
                <w:szCs w:val="16"/>
                <w:lang w:val="pt-BR"/>
              </w:rPr>
            </w:pPr>
            <w:r w:rsidRPr="002362E3">
              <w:rPr>
                <w:rFonts w:ascii="Times New Roman" w:hAnsi="Times New Roman"/>
                <w:b/>
                <w:sz w:val="16"/>
                <w:szCs w:val="16"/>
                <w:lang w:val="pt-BR"/>
              </w:rPr>
              <w:t>1</w:t>
            </w:r>
          </w:p>
        </w:tc>
        <w:tc>
          <w:tcPr>
            <w:tcW w:w="850" w:type="dxa"/>
            <w:shd w:val="clear" w:color="auto" w:fill="FFFF00"/>
            <w:vAlign w:val="center"/>
          </w:tcPr>
          <w:p w:rsidR="00C821BE" w:rsidRPr="002362E3" w:rsidRDefault="00C821BE" w:rsidP="00C821BE">
            <w:pPr>
              <w:spacing w:after="0" w:line="240" w:lineRule="auto"/>
              <w:jc w:val="center"/>
              <w:rPr>
                <w:rFonts w:ascii="Times New Roman" w:hAnsi="Times New Roman"/>
                <w:b/>
                <w:sz w:val="16"/>
                <w:szCs w:val="16"/>
                <w:lang w:val="pt-BR"/>
              </w:rPr>
            </w:pPr>
            <w:r w:rsidRPr="002362E3">
              <w:rPr>
                <w:rFonts w:ascii="Times New Roman" w:hAnsi="Times New Roman"/>
                <w:b/>
                <w:sz w:val="16"/>
                <w:szCs w:val="16"/>
                <w:lang w:val="pt-BR"/>
              </w:rPr>
              <w:t>Média</w:t>
            </w:r>
          </w:p>
        </w:tc>
        <w:tc>
          <w:tcPr>
            <w:tcW w:w="586" w:type="dxa"/>
            <w:shd w:val="clear" w:color="auto" w:fill="FFFF00"/>
            <w:vAlign w:val="center"/>
          </w:tcPr>
          <w:p w:rsidR="00C821BE" w:rsidRPr="002362E3" w:rsidRDefault="00C821BE" w:rsidP="00C821BE">
            <w:pPr>
              <w:spacing w:after="0" w:line="240" w:lineRule="auto"/>
              <w:jc w:val="center"/>
              <w:rPr>
                <w:rFonts w:ascii="Times New Roman" w:hAnsi="Times New Roman"/>
                <w:b/>
                <w:sz w:val="16"/>
                <w:szCs w:val="16"/>
                <w:lang w:val="pt-BR"/>
              </w:rPr>
            </w:pPr>
            <w:r w:rsidRPr="002362E3">
              <w:rPr>
                <w:rFonts w:ascii="Times New Roman" w:hAnsi="Times New Roman"/>
                <w:b/>
                <w:sz w:val="16"/>
                <w:szCs w:val="16"/>
                <w:lang w:val="pt-BR"/>
              </w:rPr>
              <w:t>25</w:t>
            </w:r>
          </w:p>
        </w:tc>
      </w:tr>
      <w:tr w:rsidR="00C821BE" w:rsidRPr="002362E3" w:rsidTr="00C821BE">
        <w:trPr>
          <w:jc w:val="center"/>
        </w:trPr>
        <w:tc>
          <w:tcPr>
            <w:tcW w:w="988" w:type="dxa"/>
            <w:vMerge/>
            <w:shd w:val="clear" w:color="auto" w:fill="BDD6EE"/>
            <w:vAlign w:val="center"/>
          </w:tcPr>
          <w:p w:rsidR="00C821BE" w:rsidRPr="002362E3" w:rsidRDefault="00C821BE" w:rsidP="00C821BE">
            <w:pPr>
              <w:spacing w:after="0" w:line="240" w:lineRule="auto"/>
              <w:jc w:val="center"/>
              <w:rPr>
                <w:rFonts w:ascii="Times New Roman" w:hAnsi="Times New Roman"/>
                <w:sz w:val="16"/>
                <w:szCs w:val="16"/>
                <w:lang w:val="pt-BR"/>
              </w:rPr>
            </w:pPr>
          </w:p>
        </w:tc>
        <w:tc>
          <w:tcPr>
            <w:tcW w:w="850" w:type="dxa"/>
            <w:vMerge/>
            <w:vAlign w:val="center"/>
          </w:tcPr>
          <w:p w:rsidR="00C821BE" w:rsidRPr="002362E3" w:rsidRDefault="00C821BE" w:rsidP="00C821BE">
            <w:pPr>
              <w:spacing w:after="0" w:line="240" w:lineRule="auto"/>
              <w:jc w:val="center"/>
              <w:rPr>
                <w:rFonts w:ascii="Times New Roman" w:hAnsi="Times New Roman"/>
                <w:b/>
                <w:sz w:val="16"/>
                <w:szCs w:val="16"/>
                <w:lang w:val="pt-BR"/>
              </w:rPr>
            </w:pPr>
          </w:p>
        </w:tc>
        <w:tc>
          <w:tcPr>
            <w:tcW w:w="4536" w:type="dxa"/>
            <w:gridSpan w:val="3"/>
            <w:vAlign w:val="center"/>
          </w:tcPr>
          <w:p w:rsidR="00C821BE" w:rsidRPr="002362E3" w:rsidRDefault="00C821BE" w:rsidP="00C821BE">
            <w:pPr>
              <w:spacing w:after="0" w:line="240" w:lineRule="auto"/>
              <w:jc w:val="both"/>
              <w:rPr>
                <w:rFonts w:ascii="Times New Roman" w:hAnsi="Times New Roman"/>
                <w:sz w:val="16"/>
                <w:szCs w:val="16"/>
                <w:lang w:val="pt-BR"/>
              </w:rPr>
            </w:pPr>
            <w:r w:rsidRPr="002362E3">
              <w:rPr>
                <w:rFonts w:ascii="Times New Roman" w:hAnsi="Times New Roman"/>
                <w:sz w:val="16"/>
                <w:szCs w:val="16"/>
                <w:lang w:val="pt-BR"/>
              </w:rPr>
              <w:t>Risco de acidente relacionado com máquinas / instrumentos de construção e a presença de materiais de construção mal protegidos ou mal utilizados.</w:t>
            </w:r>
          </w:p>
          <w:p w:rsidR="00C821BE" w:rsidRPr="002362E3" w:rsidRDefault="00C821BE" w:rsidP="00C821BE">
            <w:pPr>
              <w:spacing w:after="0" w:line="240" w:lineRule="auto"/>
              <w:jc w:val="both"/>
              <w:rPr>
                <w:rFonts w:ascii="Times New Roman" w:hAnsi="Times New Roman"/>
                <w:sz w:val="16"/>
                <w:szCs w:val="16"/>
                <w:lang w:val="pt-BR"/>
              </w:rPr>
            </w:pPr>
            <w:r w:rsidRPr="002362E3">
              <w:rPr>
                <w:rFonts w:ascii="Times New Roman" w:hAnsi="Times New Roman"/>
                <w:sz w:val="16"/>
                <w:szCs w:val="16"/>
                <w:lang w:val="pt-BR"/>
              </w:rPr>
              <w:t>Risco de ferimentos devido ao manuseio manual e mecânico</w:t>
            </w:r>
          </w:p>
        </w:tc>
        <w:tc>
          <w:tcPr>
            <w:tcW w:w="851" w:type="dxa"/>
            <w:vAlign w:val="center"/>
          </w:tcPr>
          <w:p w:rsidR="00C821BE" w:rsidRPr="002362E3" w:rsidRDefault="00C821BE" w:rsidP="00C821BE">
            <w:pPr>
              <w:spacing w:after="0" w:line="240" w:lineRule="auto"/>
              <w:jc w:val="center"/>
              <w:rPr>
                <w:rFonts w:ascii="Times New Roman" w:hAnsi="Times New Roman"/>
                <w:sz w:val="16"/>
                <w:szCs w:val="16"/>
                <w:lang w:val="pt-BR"/>
              </w:rPr>
            </w:pPr>
            <w:r w:rsidRPr="002362E3">
              <w:rPr>
                <w:rFonts w:ascii="Times New Roman" w:hAnsi="Times New Roman"/>
                <w:sz w:val="16"/>
                <w:szCs w:val="16"/>
                <w:lang w:val="pt-BR"/>
              </w:rPr>
              <w:t>Forte</w:t>
            </w:r>
          </w:p>
        </w:tc>
        <w:tc>
          <w:tcPr>
            <w:tcW w:w="283" w:type="dxa"/>
            <w:shd w:val="clear" w:color="auto" w:fill="002060"/>
            <w:vAlign w:val="center"/>
          </w:tcPr>
          <w:p w:rsidR="00C821BE" w:rsidRPr="002362E3" w:rsidRDefault="00C821BE" w:rsidP="00C821BE">
            <w:pPr>
              <w:spacing w:after="0" w:line="240" w:lineRule="auto"/>
              <w:jc w:val="center"/>
              <w:rPr>
                <w:rFonts w:ascii="Times New Roman" w:hAnsi="Times New Roman"/>
                <w:b/>
                <w:sz w:val="16"/>
                <w:szCs w:val="16"/>
                <w:lang w:val="pt-BR"/>
              </w:rPr>
            </w:pPr>
            <w:r w:rsidRPr="002362E3">
              <w:rPr>
                <w:rFonts w:ascii="Times New Roman" w:hAnsi="Times New Roman"/>
                <w:b/>
                <w:sz w:val="16"/>
                <w:szCs w:val="16"/>
                <w:lang w:val="pt-BR"/>
              </w:rPr>
              <w:t>5</w:t>
            </w:r>
          </w:p>
        </w:tc>
        <w:tc>
          <w:tcPr>
            <w:tcW w:w="992" w:type="dxa"/>
            <w:vAlign w:val="center"/>
          </w:tcPr>
          <w:p w:rsidR="00C821BE" w:rsidRPr="002362E3" w:rsidRDefault="00C821BE" w:rsidP="00C821BE">
            <w:pPr>
              <w:spacing w:after="0" w:line="240" w:lineRule="auto"/>
              <w:jc w:val="center"/>
              <w:rPr>
                <w:rFonts w:ascii="Times New Roman" w:hAnsi="Times New Roman"/>
                <w:sz w:val="16"/>
                <w:szCs w:val="16"/>
                <w:lang w:val="pt-BR"/>
              </w:rPr>
            </w:pPr>
            <w:r w:rsidRPr="002362E3">
              <w:rPr>
                <w:rFonts w:ascii="Times New Roman" w:hAnsi="Times New Roman"/>
                <w:sz w:val="16"/>
                <w:szCs w:val="16"/>
                <w:lang w:val="pt-BR"/>
              </w:rPr>
              <w:t>Local</w:t>
            </w:r>
          </w:p>
        </w:tc>
        <w:tc>
          <w:tcPr>
            <w:tcW w:w="284" w:type="dxa"/>
            <w:shd w:val="clear" w:color="auto" w:fill="002060"/>
            <w:vAlign w:val="center"/>
          </w:tcPr>
          <w:p w:rsidR="00C821BE" w:rsidRPr="002362E3" w:rsidRDefault="00C821BE" w:rsidP="00C821BE">
            <w:pPr>
              <w:spacing w:after="0" w:line="240" w:lineRule="auto"/>
              <w:jc w:val="center"/>
              <w:rPr>
                <w:rFonts w:ascii="Times New Roman" w:hAnsi="Times New Roman"/>
                <w:b/>
                <w:sz w:val="16"/>
                <w:szCs w:val="16"/>
                <w:lang w:val="pt-BR"/>
              </w:rPr>
            </w:pPr>
            <w:r w:rsidRPr="002362E3">
              <w:rPr>
                <w:rFonts w:ascii="Times New Roman" w:hAnsi="Times New Roman"/>
                <w:b/>
                <w:sz w:val="16"/>
                <w:szCs w:val="16"/>
                <w:lang w:val="pt-BR"/>
              </w:rPr>
              <w:t>3</w:t>
            </w:r>
          </w:p>
        </w:tc>
        <w:tc>
          <w:tcPr>
            <w:tcW w:w="850" w:type="dxa"/>
            <w:vAlign w:val="center"/>
          </w:tcPr>
          <w:p w:rsidR="00C821BE" w:rsidRPr="002362E3" w:rsidRDefault="00C821BE" w:rsidP="00C821BE">
            <w:pPr>
              <w:spacing w:after="0" w:line="240" w:lineRule="auto"/>
              <w:jc w:val="center"/>
              <w:rPr>
                <w:rFonts w:ascii="Times New Roman" w:hAnsi="Times New Roman"/>
                <w:sz w:val="16"/>
                <w:szCs w:val="16"/>
                <w:lang w:val="pt-BR"/>
              </w:rPr>
            </w:pPr>
            <w:r w:rsidRPr="002362E3">
              <w:rPr>
                <w:rFonts w:ascii="Times New Roman" w:hAnsi="Times New Roman"/>
                <w:sz w:val="16"/>
                <w:szCs w:val="16"/>
                <w:lang w:val="pt-BR"/>
              </w:rPr>
              <w:t>Curto</w:t>
            </w:r>
          </w:p>
        </w:tc>
        <w:tc>
          <w:tcPr>
            <w:tcW w:w="284" w:type="dxa"/>
            <w:shd w:val="clear" w:color="auto" w:fill="002060"/>
            <w:vAlign w:val="center"/>
          </w:tcPr>
          <w:p w:rsidR="00C821BE" w:rsidRPr="002362E3" w:rsidRDefault="00C821BE" w:rsidP="00C821BE">
            <w:pPr>
              <w:spacing w:after="0" w:line="240" w:lineRule="auto"/>
              <w:jc w:val="center"/>
              <w:rPr>
                <w:rFonts w:ascii="Times New Roman" w:hAnsi="Times New Roman"/>
                <w:b/>
                <w:sz w:val="16"/>
                <w:szCs w:val="16"/>
                <w:lang w:val="pt-BR"/>
              </w:rPr>
            </w:pPr>
            <w:r w:rsidRPr="002362E3">
              <w:rPr>
                <w:rFonts w:ascii="Times New Roman" w:hAnsi="Times New Roman"/>
                <w:b/>
                <w:sz w:val="16"/>
                <w:szCs w:val="16"/>
                <w:lang w:val="pt-BR"/>
              </w:rPr>
              <w:t>1</w:t>
            </w:r>
          </w:p>
        </w:tc>
        <w:tc>
          <w:tcPr>
            <w:tcW w:w="850" w:type="dxa"/>
            <w:shd w:val="clear" w:color="auto" w:fill="92D050"/>
            <w:vAlign w:val="center"/>
          </w:tcPr>
          <w:p w:rsidR="00C821BE" w:rsidRPr="002362E3" w:rsidRDefault="00C821BE" w:rsidP="00C821BE">
            <w:pPr>
              <w:spacing w:after="0" w:line="240" w:lineRule="auto"/>
              <w:jc w:val="center"/>
              <w:rPr>
                <w:rFonts w:ascii="Times New Roman" w:hAnsi="Times New Roman"/>
                <w:b/>
                <w:sz w:val="16"/>
                <w:szCs w:val="16"/>
                <w:lang w:val="pt-BR"/>
              </w:rPr>
            </w:pPr>
            <w:r w:rsidRPr="002362E3">
              <w:rPr>
                <w:rFonts w:ascii="Times New Roman" w:hAnsi="Times New Roman"/>
                <w:b/>
                <w:sz w:val="16"/>
                <w:szCs w:val="16"/>
                <w:lang w:val="pt-BR"/>
              </w:rPr>
              <w:t>Menor</w:t>
            </w:r>
          </w:p>
        </w:tc>
        <w:tc>
          <w:tcPr>
            <w:tcW w:w="586" w:type="dxa"/>
            <w:shd w:val="clear" w:color="auto" w:fill="92D050"/>
            <w:vAlign w:val="center"/>
          </w:tcPr>
          <w:p w:rsidR="00C821BE" w:rsidRPr="002362E3" w:rsidRDefault="00C821BE" w:rsidP="00C821BE">
            <w:pPr>
              <w:spacing w:after="0" w:line="240" w:lineRule="auto"/>
              <w:jc w:val="center"/>
              <w:rPr>
                <w:rFonts w:ascii="Times New Roman" w:hAnsi="Times New Roman"/>
                <w:b/>
                <w:sz w:val="16"/>
                <w:szCs w:val="16"/>
                <w:lang w:val="pt-BR"/>
              </w:rPr>
            </w:pPr>
            <w:r w:rsidRPr="002362E3">
              <w:rPr>
                <w:rFonts w:ascii="Times New Roman" w:hAnsi="Times New Roman"/>
                <w:b/>
                <w:sz w:val="16"/>
                <w:szCs w:val="16"/>
                <w:lang w:val="pt-BR"/>
              </w:rPr>
              <w:t>15</w:t>
            </w:r>
          </w:p>
        </w:tc>
      </w:tr>
      <w:tr w:rsidR="00C821BE" w:rsidRPr="002362E3" w:rsidTr="00C821BE">
        <w:trPr>
          <w:jc w:val="center"/>
        </w:trPr>
        <w:tc>
          <w:tcPr>
            <w:tcW w:w="988" w:type="dxa"/>
            <w:vMerge/>
            <w:shd w:val="clear" w:color="auto" w:fill="BDD6EE"/>
            <w:vAlign w:val="center"/>
          </w:tcPr>
          <w:p w:rsidR="00C821BE" w:rsidRPr="002362E3" w:rsidRDefault="00C821BE" w:rsidP="00C821BE">
            <w:pPr>
              <w:spacing w:after="0" w:line="240" w:lineRule="auto"/>
              <w:jc w:val="center"/>
              <w:rPr>
                <w:rFonts w:ascii="Times New Roman" w:hAnsi="Times New Roman"/>
                <w:sz w:val="16"/>
                <w:szCs w:val="16"/>
                <w:lang w:val="pt-BR"/>
              </w:rPr>
            </w:pPr>
          </w:p>
        </w:tc>
        <w:tc>
          <w:tcPr>
            <w:tcW w:w="850" w:type="dxa"/>
            <w:vMerge/>
            <w:vAlign w:val="center"/>
          </w:tcPr>
          <w:p w:rsidR="00C821BE" w:rsidRPr="002362E3" w:rsidRDefault="00C821BE" w:rsidP="00C821BE">
            <w:pPr>
              <w:spacing w:after="0" w:line="240" w:lineRule="auto"/>
              <w:jc w:val="center"/>
              <w:rPr>
                <w:rFonts w:ascii="Times New Roman" w:hAnsi="Times New Roman"/>
                <w:b/>
                <w:sz w:val="16"/>
                <w:szCs w:val="16"/>
                <w:lang w:val="pt-BR"/>
              </w:rPr>
            </w:pPr>
          </w:p>
        </w:tc>
        <w:tc>
          <w:tcPr>
            <w:tcW w:w="4536" w:type="dxa"/>
            <w:gridSpan w:val="3"/>
            <w:vAlign w:val="center"/>
          </w:tcPr>
          <w:p w:rsidR="00C821BE" w:rsidRPr="002362E3" w:rsidRDefault="00C821BE" w:rsidP="00C821BE">
            <w:pPr>
              <w:spacing w:after="0" w:line="240" w:lineRule="auto"/>
              <w:jc w:val="both"/>
              <w:rPr>
                <w:rFonts w:ascii="Times New Roman" w:hAnsi="Times New Roman"/>
                <w:sz w:val="16"/>
                <w:szCs w:val="16"/>
                <w:lang w:val="pt-BR"/>
              </w:rPr>
            </w:pPr>
            <w:r w:rsidRPr="002362E3">
              <w:rPr>
                <w:rFonts w:ascii="Times New Roman" w:hAnsi="Times New Roman"/>
                <w:sz w:val="16"/>
                <w:szCs w:val="16"/>
                <w:lang w:val="pt-BR"/>
              </w:rPr>
              <w:t>Risco de produção de quantidades significativas de resíduos (resíduos de rocha inerte, solo superficial, resíduos de tubos de PVC, embalagens sujas com tinta, solventes, tanque de hidrocarbonetos)</w:t>
            </w:r>
          </w:p>
        </w:tc>
        <w:tc>
          <w:tcPr>
            <w:tcW w:w="851" w:type="dxa"/>
            <w:vAlign w:val="center"/>
          </w:tcPr>
          <w:p w:rsidR="00C821BE" w:rsidRPr="002362E3" w:rsidRDefault="00C821BE" w:rsidP="00C821BE">
            <w:pPr>
              <w:spacing w:after="0" w:line="240" w:lineRule="auto"/>
              <w:jc w:val="center"/>
              <w:rPr>
                <w:rFonts w:ascii="Times New Roman" w:hAnsi="Times New Roman"/>
                <w:sz w:val="16"/>
                <w:szCs w:val="16"/>
                <w:lang w:val="pt-BR"/>
              </w:rPr>
            </w:pPr>
            <w:r w:rsidRPr="002362E3">
              <w:rPr>
                <w:rFonts w:ascii="Times New Roman" w:hAnsi="Times New Roman"/>
                <w:sz w:val="16"/>
                <w:szCs w:val="16"/>
                <w:lang w:val="pt-BR"/>
              </w:rPr>
              <w:t>Forte</w:t>
            </w:r>
          </w:p>
        </w:tc>
        <w:tc>
          <w:tcPr>
            <w:tcW w:w="283" w:type="dxa"/>
            <w:shd w:val="clear" w:color="auto" w:fill="002060"/>
            <w:vAlign w:val="center"/>
          </w:tcPr>
          <w:p w:rsidR="00C821BE" w:rsidRPr="002362E3" w:rsidRDefault="00C821BE" w:rsidP="00C821BE">
            <w:pPr>
              <w:spacing w:after="0" w:line="240" w:lineRule="auto"/>
              <w:jc w:val="center"/>
              <w:rPr>
                <w:rFonts w:ascii="Times New Roman" w:hAnsi="Times New Roman"/>
                <w:b/>
                <w:sz w:val="16"/>
                <w:szCs w:val="16"/>
                <w:lang w:val="pt-BR"/>
              </w:rPr>
            </w:pPr>
            <w:r w:rsidRPr="002362E3">
              <w:rPr>
                <w:rFonts w:ascii="Times New Roman" w:hAnsi="Times New Roman"/>
                <w:b/>
                <w:sz w:val="16"/>
                <w:szCs w:val="16"/>
                <w:lang w:val="pt-BR"/>
              </w:rPr>
              <w:t>5</w:t>
            </w:r>
          </w:p>
        </w:tc>
        <w:tc>
          <w:tcPr>
            <w:tcW w:w="992" w:type="dxa"/>
            <w:vAlign w:val="center"/>
          </w:tcPr>
          <w:p w:rsidR="00C821BE" w:rsidRPr="002362E3" w:rsidRDefault="00C821BE" w:rsidP="00C821BE">
            <w:pPr>
              <w:spacing w:after="0" w:line="240" w:lineRule="auto"/>
              <w:jc w:val="center"/>
              <w:rPr>
                <w:rFonts w:ascii="Times New Roman" w:hAnsi="Times New Roman"/>
                <w:sz w:val="16"/>
                <w:szCs w:val="16"/>
                <w:lang w:val="pt-BR"/>
              </w:rPr>
            </w:pPr>
            <w:r w:rsidRPr="002362E3">
              <w:rPr>
                <w:rFonts w:ascii="Times New Roman" w:hAnsi="Times New Roman"/>
                <w:sz w:val="16"/>
                <w:szCs w:val="16"/>
                <w:lang w:val="pt-BR"/>
              </w:rPr>
              <w:t>Local</w:t>
            </w:r>
          </w:p>
        </w:tc>
        <w:tc>
          <w:tcPr>
            <w:tcW w:w="284" w:type="dxa"/>
            <w:shd w:val="clear" w:color="auto" w:fill="002060"/>
            <w:vAlign w:val="center"/>
          </w:tcPr>
          <w:p w:rsidR="00C821BE" w:rsidRPr="002362E3" w:rsidRDefault="00C821BE" w:rsidP="00C821BE">
            <w:pPr>
              <w:spacing w:after="0" w:line="240" w:lineRule="auto"/>
              <w:jc w:val="center"/>
              <w:rPr>
                <w:rFonts w:ascii="Times New Roman" w:hAnsi="Times New Roman"/>
                <w:b/>
                <w:sz w:val="16"/>
                <w:szCs w:val="16"/>
                <w:lang w:val="pt-BR"/>
              </w:rPr>
            </w:pPr>
            <w:r w:rsidRPr="002362E3">
              <w:rPr>
                <w:rFonts w:ascii="Times New Roman" w:hAnsi="Times New Roman"/>
                <w:b/>
                <w:sz w:val="16"/>
                <w:szCs w:val="16"/>
                <w:lang w:val="pt-BR"/>
              </w:rPr>
              <w:t>3</w:t>
            </w:r>
          </w:p>
        </w:tc>
        <w:tc>
          <w:tcPr>
            <w:tcW w:w="850" w:type="dxa"/>
            <w:vAlign w:val="center"/>
          </w:tcPr>
          <w:p w:rsidR="00C821BE" w:rsidRPr="002362E3" w:rsidRDefault="00C821BE" w:rsidP="00C821BE">
            <w:pPr>
              <w:spacing w:after="0" w:line="240" w:lineRule="auto"/>
              <w:jc w:val="center"/>
              <w:rPr>
                <w:rFonts w:ascii="Times New Roman" w:hAnsi="Times New Roman"/>
                <w:sz w:val="16"/>
                <w:szCs w:val="16"/>
                <w:lang w:val="pt-BR"/>
              </w:rPr>
            </w:pPr>
            <w:r w:rsidRPr="002362E3">
              <w:rPr>
                <w:rFonts w:ascii="Times New Roman" w:hAnsi="Times New Roman"/>
                <w:sz w:val="16"/>
                <w:szCs w:val="16"/>
                <w:lang w:val="pt-BR"/>
              </w:rPr>
              <w:t>Média</w:t>
            </w:r>
          </w:p>
        </w:tc>
        <w:tc>
          <w:tcPr>
            <w:tcW w:w="284" w:type="dxa"/>
            <w:shd w:val="clear" w:color="auto" w:fill="002060"/>
            <w:vAlign w:val="center"/>
          </w:tcPr>
          <w:p w:rsidR="00C821BE" w:rsidRPr="002362E3" w:rsidRDefault="00C821BE" w:rsidP="00C821BE">
            <w:pPr>
              <w:spacing w:after="0" w:line="240" w:lineRule="auto"/>
              <w:jc w:val="center"/>
              <w:rPr>
                <w:rFonts w:ascii="Times New Roman" w:hAnsi="Times New Roman"/>
                <w:b/>
                <w:sz w:val="16"/>
                <w:szCs w:val="16"/>
                <w:lang w:val="pt-BR"/>
              </w:rPr>
            </w:pPr>
            <w:r w:rsidRPr="002362E3">
              <w:rPr>
                <w:rFonts w:ascii="Times New Roman" w:hAnsi="Times New Roman"/>
                <w:b/>
                <w:sz w:val="16"/>
                <w:szCs w:val="16"/>
                <w:lang w:val="pt-BR"/>
              </w:rPr>
              <w:t>3</w:t>
            </w:r>
          </w:p>
        </w:tc>
        <w:tc>
          <w:tcPr>
            <w:tcW w:w="850" w:type="dxa"/>
            <w:shd w:val="clear" w:color="auto" w:fill="FFFF00"/>
            <w:vAlign w:val="center"/>
          </w:tcPr>
          <w:p w:rsidR="00C821BE" w:rsidRPr="002362E3" w:rsidRDefault="00C821BE" w:rsidP="00C821BE">
            <w:pPr>
              <w:spacing w:after="0" w:line="240" w:lineRule="auto"/>
              <w:jc w:val="center"/>
              <w:rPr>
                <w:rFonts w:ascii="Times New Roman" w:hAnsi="Times New Roman"/>
                <w:b/>
                <w:sz w:val="16"/>
                <w:szCs w:val="16"/>
                <w:lang w:val="pt-BR"/>
              </w:rPr>
            </w:pPr>
            <w:r w:rsidRPr="002362E3">
              <w:rPr>
                <w:rFonts w:ascii="Times New Roman" w:hAnsi="Times New Roman"/>
                <w:b/>
                <w:sz w:val="16"/>
                <w:szCs w:val="16"/>
                <w:lang w:val="pt-BR"/>
              </w:rPr>
              <w:t>Média</w:t>
            </w:r>
          </w:p>
        </w:tc>
        <w:tc>
          <w:tcPr>
            <w:tcW w:w="586" w:type="dxa"/>
            <w:shd w:val="clear" w:color="auto" w:fill="FFFF00"/>
            <w:vAlign w:val="center"/>
          </w:tcPr>
          <w:p w:rsidR="00C821BE" w:rsidRPr="002362E3" w:rsidRDefault="00C821BE" w:rsidP="00C821BE">
            <w:pPr>
              <w:spacing w:after="0" w:line="240" w:lineRule="auto"/>
              <w:jc w:val="center"/>
              <w:rPr>
                <w:rFonts w:ascii="Times New Roman" w:hAnsi="Times New Roman"/>
                <w:b/>
                <w:sz w:val="16"/>
                <w:szCs w:val="16"/>
                <w:lang w:val="pt-BR"/>
              </w:rPr>
            </w:pPr>
            <w:r w:rsidRPr="002362E3">
              <w:rPr>
                <w:rFonts w:ascii="Times New Roman" w:hAnsi="Times New Roman"/>
                <w:b/>
                <w:sz w:val="16"/>
                <w:szCs w:val="16"/>
                <w:lang w:val="pt-BR"/>
              </w:rPr>
              <w:t>45</w:t>
            </w:r>
          </w:p>
        </w:tc>
      </w:tr>
      <w:tr w:rsidR="00C821BE" w:rsidRPr="002362E3" w:rsidTr="00C821BE">
        <w:trPr>
          <w:jc w:val="center"/>
        </w:trPr>
        <w:tc>
          <w:tcPr>
            <w:tcW w:w="988" w:type="dxa"/>
            <w:vMerge/>
            <w:shd w:val="clear" w:color="auto" w:fill="BDD6EE"/>
            <w:vAlign w:val="center"/>
          </w:tcPr>
          <w:p w:rsidR="00C821BE" w:rsidRPr="002362E3" w:rsidRDefault="00C821BE" w:rsidP="00C821BE">
            <w:pPr>
              <w:spacing w:after="0" w:line="240" w:lineRule="auto"/>
              <w:jc w:val="center"/>
              <w:rPr>
                <w:rFonts w:ascii="Times New Roman" w:hAnsi="Times New Roman"/>
                <w:sz w:val="16"/>
                <w:szCs w:val="16"/>
                <w:lang w:val="pt-BR"/>
              </w:rPr>
            </w:pPr>
          </w:p>
        </w:tc>
        <w:tc>
          <w:tcPr>
            <w:tcW w:w="850" w:type="dxa"/>
            <w:vMerge/>
            <w:vAlign w:val="center"/>
          </w:tcPr>
          <w:p w:rsidR="00C821BE" w:rsidRPr="002362E3" w:rsidRDefault="00C821BE" w:rsidP="00C821BE">
            <w:pPr>
              <w:spacing w:after="0" w:line="240" w:lineRule="auto"/>
              <w:jc w:val="center"/>
              <w:rPr>
                <w:rFonts w:ascii="Times New Roman" w:hAnsi="Times New Roman"/>
                <w:b/>
                <w:sz w:val="16"/>
                <w:szCs w:val="16"/>
                <w:lang w:val="pt-BR"/>
              </w:rPr>
            </w:pPr>
          </w:p>
        </w:tc>
        <w:tc>
          <w:tcPr>
            <w:tcW w:w="4536" w:type="dxa"/>
            <w:gridSpan w:val="3"/>
            <w:vAlign w:val="center"/>
          </w:tcPr>
          <w:p w:rsidR="00C821BE" w:rsidRPr="002362E3" w:rsidRDefault="00C821BE" w:rsidP="00C821BE">
            <w:pPr>
              <w:spacing w:after="0" w:line="240" w:lineRule="auto"/>
              <w:jc w:val="both"/>
              <w:rPr>
                <w:rFonts w:ascii="Times New Roman" w:hAnsi="Times New Roman"/>
                <w:sz w:val="16"/>
                <w:szCs w:val="16"/>
                <w:lang w:val="pt-BR"/>
              </w:rPr>
            </w:pPr>
            <w:r w:rsidRPr="002362E3">
              <w:rPr>
                <w:rFonts w:ascii="Times New Roman" w:hAnsi="Times New Roman"/>
                <w:sz w:val="16"/>
                <w:szCs w:val="16"/>
                <w:lang w:val="pt-BR"/>
              </w:rPr>
              <w:t>Risco de interrupção das atividades comerciais em empresas (lojas, barracas e lojas) muito perto de locais</w:t>
            </w:r>
          </w:p>
        </w:tc>
        <w:tc>
          <w:tcPr>
            <w:tcW w:w="851" w:type="dxa"/>
            <w:vAlign w:val="center"/>
          </w:tcPr>
          <w:p w:rsidR="00C821BE" w:rsidRPr="002362E3" w:rsidRDefault="00C821BE" w:rsidP="00C821BE">
            <w:pPr>
              <w:spacing w:after="0" w:line="240" w:lineRule="auto"/>
              <w:jc w:val="center"/>
              <w:rPr>
                <w:rFonts w:ascii="Times New Roman" w:hAnsi="Times New Roman"/>
                <w:sz w:val="16"/>
                <w:szCs w:val="16"/>
                <w:lang w:val="pt-BR"/>
              </w:rPr>
            </w:pPr>
            <w:r w:rsidRPr="002362E3">
              <w:rPr>
                <w:rFonts w:ascii="Times New Roman" w:hAnsi="Times New Roman"/>
                <w:sz w:val="16"/>
                <w:szCs w:val="16"/>
                <w:lang w:val="pt-BR"/>
              </w:rPr>
              <w:t>Média</w:t>
            </w:r>
          </w:p>
        </w:tc>
        <w:tc>
          <w:tcPr>
            <w:tcW w:w="283" w:type="dxa"/>
            <w:shd w:val="clear" w:color="auto" w:fill="002060"/>
            <w:vAlign w:val="center"/>
          </w:tcPr>
          <w:p w:rsidR="00C821BE" w:rsidRPr="002362E3" w:rsidRDefault="00C821BE" w:rsidP="00C821BE">
            <w:pPr>
              <w:spacing w:after="0" w:line="240" w:lineRule="auto"/>
              <w:jc w:val="center"/>
              <w:rPr>
                <w:rFonts w:ascii="Times New Roman" w:hAnsi="Times New Roman"/>
                <w:b/>
                <w:sz w:val="16"/>
                <w:szCs w:val="16"/>
                <w:lang w:val="pt-BR"/>
              </w:rPr>
            </w:pPr>
            <w:r w:rsidRPr="002362E3">
              <w:rPr>
                <w:rFonts w:ascii="Times New Roman" w:hAnsi="Times New Roman"/>
                <w:b/>
                <w:sz w:val="16"/>
                <w:szCs w:val="16"/>
                <w:lang w:val="pt-BR"/>
              </w:rPr>
              <w:t>3</w:t>
            </w:r>
          </w:p>
        </w:tc>
        <w:tc>
          <w:tcPr>
            <w:tcW w:w="992" w:type="dxa"/>
            <w:vAlign w:val="center"/>
          </w:tcPr>
          <w:p w:rsidR="00C821BE" w:rsidRPr="002362E3" w:rsidRDefault="00C821BE" w:rsidP="00C821BE">
            <w:pPr>
              <w:spacing w:after="0" w:line="240" w:lineRule="auto"/>
              <w:jc w:val="center"/>
              <w:rPr>
                <w:rFonts w:ascii="Times New Roman" w:hAnsi="Times New Roman"/>
                <w:sz w:val="16"/>
                <w:szCs w:val="16"/>
                <w:lang w:val="pt-BR"/>
              </w:rPr>
            </w:pPr>
            <w:r w:rsidRPr="002362E3">
              <w:rPr>
                <w:rFonts w:ascii="Times New Roman" w:hAnsi="Times New Roman"/>
                <w:sz w:val="16"/>
                <w:szCs w:val="16"/>
                <w:lang w:val="pt-BR"/>
              </w:rPr>
              <w:t>Local</w:t>
            </w:r>
          </w:p>
        </w:tc>
        <w:tc>
          <w:tcPr>
            <w:tcW w:w="284" w:type="dxa"/>
            <w:shd w:val="clear" w:color="auto" w:fill="002060"/>
            <w:vAlign w:val="center"/>
          </w:tcPr>
          <w:p w:rsidR="00C821BE" w:rsidRPr="002362E3" w:rsidRDefault="00C821BE" w:rsidP="00C821BE">
            <w:pPr>
              <w:spacing w:after="0" w:line="240" w:lineRule="auto"/>
              <w:jc w:val="center"/>
              <w:rPr>
                <w:rFonts w:ascii="Times New Roman" w:hAnsi="Times New Roman"/>
                <w:b/>
                <w:sz w:val="16"/>
                <w:szCs w:val="16"/>
                <w:lang w:val="pt-BR"/>
              </w:rPr>
            </w:pPr>
            <w:r w:rsidRPr="002362E3">
              <w:rPr>
                <w:rFonts w:ascii="Times New Roman" w:hAnsi="Times New Roman"/>
                <w:b/>
                <w:sz w:val="16"/>
                <w:szCs w:val="16"/>
                <w:lang w:val="pt-BR"/>
              </w:rPr>
              <w:t>3</w:t>
            </w:r>
          </w:p>
        </w:tc>
        <w:tc>
          <w:tcPr>
            <w:tcW w:w="850" w:type="dxa"/>
            <w:vAlign w:val="center"/>
          </w:tcPr>
          <w:p w:rsidR="00C821BE" w:rsidRPr="002362E3" w:rsidRDefault="00C821BE" w:rsidP="00C821BE">
            <w:pPr>
              <w:spacing w:after="0" w:line="240" w:lineRule="auto"/>
              <w:jc w:val="center"/>
              <w:rPr>
                <w:rFonts w:ascii="Times New Roman" w:hAnsi="Times New Roman"/>
                <w:sz w:val="16"/>
                <w:szCs w:val="16"/>
                <w:lang w:val="pt-BR"/>
              </w:rPr>
            </w:pPr>
            <w:r w:rsidRPr="002362E3">
              <w:rPr>
                <w:rFonts w:ascii="Times New Roman" w:hAnsi="Times New Roman"/>
                <w:sz w:val="16"/>
                <w:szCs w:val="16"/>
                <w:lang w:val="pt-BR"/>
              </w:rPr>
              <w:t>Curto</w:t>
            </w:r>
          </w:p>
        </w:tc>
        <w:tc>
          <w:tcPr>
            <w:tcW w:w="284" w:type="dxa"/>
            <w:shd w:val="clear" w:color="auto" w:fill="002060"/>
            <w:vAlign w:val="center"/>
          </w:tcPr>
          <w:p w:rsidR="00C821BE" w:rsidRPr="002362E3" w:rsidRDefault="00C821BE" w:rsidP="00C821BE">
            <w:pPr>
              <w:spacing w:after="0" w:line="240" w:lineRule="auto"/>
              <w:jc w:val="center"/>
              <w:rPr>
                <w:rFonts w:ascii="Times New Roman" w:hAnsi="Times New Roman"/>
                <w:b/>
                <w:sz w:val="16"/>
                <w:szCs w:val="16"/>
                <w:lang w:val="pt-BR"/>
              </w:rPr>
            </w:pPr>
            <w:r w:rsidRPr="002362E3">
              <w:rPr>
                <w:rFonts w:ascii="Times New Roman" w:hAnsi="Times New Roman"/>
                <w:b/>
                <w:sz w:val="16"/>
                <w:szCs w:val="16"/>
                <w:lang w:val="pt-BR"/>
              </w:rPr>
              <w:t>1</w:t>
            </w:r>
          </w:p>
        </w:tc>
        <w:tc>
          <w:tcPr>
            <w:tcW w:w="850" w:type="dxa"/>
            <w:shd w:val="clear" w:color="auto" w:fill="92D050"/>
            <w:vAlign w:val="center"/>
          </w:tcPr>
          <w:p w:rsidR="00C821BE" w:rsidRPr="002362E3" w:rsidRDefault="00C821BE" w:rsidP="00C821BE">
            <w:pPr>
              <w:spacing w:after="0" w:line="240" w:lineRule="auto"/>
              <w:jc w:val="center"/>
              <w:rPr>
                <w:rFonts w:ascii="Times New Roman" w:hAnsi="Times New Roman"/>
                <w:b/>
                <w:sz w:val="16"/>
                <w:szCs w:val="16"/>
                <w:lang w:val="pt-BR"/>
              </w:rPr>
            </w:pPr>
            <w:r w:rsidRPr="002362E3">
              <w:rPr>
                <w:rFonts w:ascii="Times New Roman" w:hAnsi="Times New Roman"/>
                <w:b/>
                <w:sz w:val="16"/>
                <w:szCs w:val="16"/>
                <w:lang w:val="pt-BR"/>
              </w:rPr>
              <w:t>Menor</w:t>
            </w:r>
          </w:p>
        </w:tc>
        <w:tc>
          <w:tcPr>
            <w:tcW w:w="586" w:type="dxa"/>
            <w:shd w:val="clear" w:color="auto" w:fill="92D050"/>
            <w:vAlign w:val="center"/>
          </w:tcPr>
          <w:p w:rsidR="00C821BE" w:rsidRPr="002362E3" w:rsidRDefault="00C821BE" w:rsidP="00C821BE">
            <w:pPr>
              <w:spacing w:after="0" w:line="240" w:lineRule="auto"/>
              <w:jc w:val="center"/>
              <w:rPr>
                <w:rFonts w:ascii="Times New Roman" w:hAnsi="Times New Roman"/>
                <w:b/>
                <w:sz w:val="16"/>
                <w:szCs w:val="16"/>
                <w:lang w:val="pt-BR"/>
              </w:rPr>
            </w:pPr>
            <w:r w:rsidRPr="002362E3">
              <w:rPr>
                <w:rFonts w:ascii="Times New Roman" w:hAnsi="Times New Roman"/>
                <w:b/>
                <w:sz w:val="16"/>
                <w:szCs w:val="16"/>
                <w:lang w:val="pt-BR"/>
              </w:rPr>
              <w:t>9</w:t>
            </w:r>
          </w:p>
        </w:tc>
      </w:tr>
      <w:tr w:rsidR="00C821BE" w:rsidRPr="002362E3" w:rsidTr="00C821BE">
        <w:trPr>
          <w:jc w:val="center"/>
        </w:trPr>
        <w:tc>
          <w:tcPr>
            <w:tcW w:w="988" w:type="dxa"/>
            <w:vMerge/>
            <w:shd w:val="clear" w:color="auto" w:fill="BDD6EE"/>
            <w:vAlign w:val="center"/>
          </w:tcPr>
          <w:p w:rsidR="00C821BE" w:rsidRPr="002362E3" w:rsidRDefault="00C821BE" w:rsidP="00C821BE">
            <w:pPr>
              <w:spacing w:after="0" w:line="240" w:lineRule="auto"/>
              <w:jc w:val="center"/>
              <w:rPr>
                <w:rFonts w:ascii="Times New Roman" w:hAnsi="Times New Roman"/>
                <w:sz w:val="16"/>
                <w:szCs w:val="16"/>
                <w:lang w:val="pt-BR"/>
              </w:rPr>
            </w:pPr>
          </w:p>
        </w:tc>
        <w:tc>
          <w:tcPr>
            <w:tcW w:w="850" w:type="dxa"/>
            <w:vMerge/>
            <w:vAlign w:val="center"/>
          </w:tcPr>
          <w:p w:rsidR="00C821BE" w:rsidRPr="002362E3" w:rsidRDefault="00C821BE" w:rsidP="00C821BE">
            <w:pPr>
              <w:spacing w:after="0" w:line="240" w:lineRule="auto"/>
              <w:jc w:val="center"/>
              <w:rPr>
                <w:rFonts w:ascii="Times New Roman" w:hAnsi="Times New Roman"/>
                <w:b/>
                <w:sz w:val="16"/>
                <w:szCs w:val="16"/>
                <w:lang w:val="pt-BR"/>
              </w:rPr>
            </w:pPr>
          </w:p>
        </w:tc>
        <w:tc>
          <w:tcPr>
            <w:tcW w:w="4536" w:type="dxa"/>
            <w:gridSpan w:val="3"/>
            <w:vAlign w:val="center"/>
          </w:tcPr>
          <w:p w:rsidR="00C821BE" w:rsidRPr="002362E3" w:rsidRDefault="00C821BE" w:rsidP="00C821BE">
            <w:pPr>
              <w:spacing w:after="0" w:line="240" w:lineRule="auto"/>
              <w:jc w:val="both"/>
              <w:rPr>
                <w:rFonts w:ascii="Times New Roman" w:hAnsi="Times New Roman"/>
                <w:sz w:val="16"/>
                <w:szCs w:val="16"/>
                <w:lang w:val="pt-BR"/>
              </w:rPr>
            </w:pPr>
            <w:r w:rsidRPr="002362E3">
              <w:rPr>
                <w:rFonts w:ascii="Times New Roman" w:hAnsi="Times New Roman"/>
                <w:sz w:val="16"/>
                <w:szCs w:val="16"/>
                <w:lang w:val="pt-BR"/>
              </w:rPr>
              <w:t>Riscos de interrupção / degradação das redes de revendedores</w:t>
            </w:r>
          </w:p>
        </w:tc>
        <w:tc>
          <w:tcPr>
            <w:tcW w:w="851" w:type="dxa"/>
            <w:vAlign w:val="center"/>
          </w:tcPr>
          <w:p w:rsidR="00C821BE" w:rsidRPr="002362E3" w:rsidRDefault="00C821BE" w:rsidP="00C821BE">
            <w:pPr>
              <w:spacing w:after="0" w:line="240" w:lineRule="auto"/>
              <w:jc w:val="center"/>
              <w:rPr>
                <w:rFonts w:ascii="Times New Roman" w:hAnsi="Times New Roman"/>
                <w:sz w:val="16"/>
                <w:szCs w:val="16"/>
                <w:lang w:val="pt-BR"/>
              </w:rPr>
            </w:pPr>
            <w:r w:rsidRPr="002362E3">
              <w:rPr>
                <w:rFonts w:ascii="Times New Roman" w:hAnsi="Times New Roman"/>
                <w:sz w:val="16"/>
                <w:szCs w:val="16"/>
                <w:lang w:val="pt-BR"/>
              </w:rPr>
              <w:t>Média</w:t>
            </w:r>
          </w:p>
        </w:tc>
        <w:tc>
          <w:tcPr>
            <w:tcW w:w="283" w:type="dxa"/>
            <w:shd w:val="clear" w:color="auto" w:fill="002060"/>
            <w:vAlign w:val="center"/>
          </w:tcPr>
          <w:p w:rsidR="00C821BE" w:rsidRPr="002362E3" w:rsidRDefault="00C821BE" w:rsidP="00C821BE">
            <w:pPr>
              <w:spacing w:after="0" w:line="240" w:lineRule="auto"/>
              <w:jc w:val="center"/>
              <w:rPr>
                <w:rFonts w:ascii="Times New Roman" w:hAnsi="Times New Roman"/>
                <w:b/>
                <w:sz w:val="16"/>
                <w:szCs w:val="16"/>
                <w:lang w:val="pt-BR"/>
              </w:rPr>
            </w:pPr>
            <w:r w:rsidRPr="002362E3">
              <w:rPr>
                <w:rFonts w:ascii="Times New Roman" w:hAnsi="Times New Roman"/>
                <w:b/>
                <w:sz w:val="16"/>
                <w:szCs w:val="16"/>
                <w:lang w:val="pt-BR"/>
              </w:rPr>
              <w:t>3</w:t>
            </w:r>
          </w:p>
        </w:tc>
        <w:tc>
          <w:tcPr>
            <w:tcW w:w="992" w:type="dxa"/>
            <w:vAlign w:val="center"/>
          </w:tcPr>
          <w:p w:rsidR="00C821BE" w:rsidRPr="002362E3" w:rsidRDefault="00C821BE" w:rsidP="00C821BE">
            <w:pPr>
              <w:spacing w:after="0" w:line="240" w:lineRule="auto"/>
              <w:jc w:val="center"/>
              <w:rPr>
                <w:rFonts w:ascii="Times New Roman" w:hAnsi="Times New Roman"/>
                <w:sz w:val="16"/>
                <w:szCs w:val="16"/>
                <w:lang w:val="pt-BR"/>
              </w:rPr>
            </w:pPr>
            <w:r w:rsidRPr="002362E3">
              <w:rPr>
                <w:rFonts w:ascii="Times New Roman" w:hAnsi="Times New Roman"/>
                <w:sz w:val="16"/>
                <w:szCs w:val="16"/>
                <w:lang w:val="pt-BR"/>
              </w:rPr>
              <w:t>Pontual</w:t>
            </w:r>
          </w:p>
        </w:tc>
        <w:tc>
          <w:tcPr>
            <w:tcW w:w="284" w:type="dxa"/>
            <w:shd w:val="clear" w:color="auto" w:fill="002060"/>
            <w:vAlign w:val="center"/>
          </w:tcPr>
          <w:p w:rsidR="00C821BE" w:rsidRPr="002362E3" w:rsidRDefault="00C821BE" w:rsidP="00C821BE">
            <w:pPr>
              <w:spacing w:after="0" w:line="240" w:lineRule="auto"/>
              <w:jc w:val="center"/>
              <w:rPr>
                <w:rFonts w:ascii="Times New Roman" w:hAnsi="Times New Roman"/>
                <w:b/>
                <w:sz w:val="16"/>
                <w:szCs w:val="16"/>
                <w:lang w:val="pt-BR"/>
              </w:rPr>
            </w:pPr>
            <w:r w:rsidRPr="002362E3">
              <w:rPr>
                <w:rFonts w:ascii="Times New Roman" w:hAnsi="Times New Roman"/>
                <w:b/>
                <w:sz w:val="16"/>
                <w:szCs w:val="16"/>
                <w:lang w:val="pt-BR"/>
              </w:rPr>
              <w:t>1</w:t>
            </w:r>
          </w:p>
        </w:tc>
        <w:tc>
          <w:tcPr>
            <w:tcW w:w="850" w:type="dxa"/>
            <w:vAlign w:val="center"/>
          </w:tcPr>
          <w:p w:rsidR="00C821BE" w:rsidRPr="002362E3" w:rsidRDefault="00C821BE" w:rsidP="00C821BE">
            <w:pPr>
              <w:spacing w:after="0" w:line="240" w:lineRule="auto"/>
              <w:jc w:val="center"/>
              <w:rPr>
                <w:rFonts w:ascii="Times New Roman" w:hAnsi="Times New Roman"/>
                <w:sz w:val="16"/>
                <w:szCs w:val="16"/>
                <w:lang w:val="pt-BR"/>
              </w:rPr>
            </w:pPr>
            <w:r w:rsidRPr="002362E3">
              <w:rPr>
                <w:rFonts w:ascii="Times New Roman" w:hAnsi="Times New Roman"/>
                <w:sz w:val="16"/>
                <w:szCs w:val="16"/>
                <w:lang w:val="pt-BR"/>
              </w:rPr>
              <w:t>Média</w:t>
            </w:r>
          </w:p>
        </w:tc>
        <w:tc>
          <w:tcPr>
            <w:tcW w:w="284" w:type="dxa"/>
            <w:shd w:val="clear" w:color="auto" w:fill="002060"/>
            <w:vAlign w:val="center"/>
          </w:tcPr>
          <w:p w:rsidR="00C821BE" w:rsidRPr="002362E3" w:rsidRDefault="00C821BE" w:rsidP="00C821BE">
            <w:pPr>
              <w:spacing w:after="0" w:line="240" w:lineRule="auto"/>
              <w:jc w:val="center"/>
              <w:rPr>
                <w:rFonts w:ascii="Times New Roman" w:hAnsi="Times New Roman"/>
                <w:b/>
                <w:sz w:val="16"/>
                <w:szCs w:val="16"/>
                <w:lang w:val="pt-BR"/>
              </w:rPr>
            </w:pPr>
            <w:r w:rsidRPr="002362E3">
              <w:rPr>
                <w:rFonts w:ascii="Times New Roman" w:hAnsi="Times New Roman"/>
                <w:b/>
                <w:sz w:val="16"/>
                <w:szCs w:val="16"/>
                <w:lang w:val="pt-BR"/>
              </w:rPr>
              <w:t>3</w:t>
            </w:r>
          </w:p>
        </w:tc>
        <w:tc>
          <w:tcPr>
            <w:tcW w:w="850" w:type="dxa"/>
            <w:shd w:val="clear" w:color="auto" w:fill="92D050"/>
            <w:vAlign w:val="center"/>
          </w:tcPr>
          <w:p w:rsidR="00C821BE" w:rsidRPr="002362E3" w:rsidRDefault="00C821BE" w:rsidP="00C821BE">
            <w:pPr>
              <w:spacing w:after="0" w:line="240" w:lineRule="auto"/>
              <w:jc w:val="center"/>
              <w:rPr>
                <w:rFonts w:ascii="Times New Roman" w:hAnsi="Times New Roman"/>
                <w:b/>
                <w:sz w:val="16"/>
                <w:szCs w:val="16"/>
                <w:lang w:val="pt-BR"/>
              </w:rPr>
            </w:pPr>
            <w:r w:rsidRPr="002362E3">
              <w:rPr>
                <w:rFonts w:ascii="Times New Roman" w:hAnsi="Times New Roman"/>
                <w:b/>
                <w:sz w:val="16"/>
                <w:szCs w:val="16"/>
                <w:lang w:val="pt-BR"/>
              </w:rPr>
              <w:t>Menor</w:t>
            </w:r>
          </w:p>
        </w:tc>
        <w:tc>
          <w:tcPr>
            <w:tcW w:w="586" w:type="dxa"/>
            <w:shd w:val="clear" w:color="auto" w:fill="92D050"/>
            <w:vAlign w:val="center"/>
          </w:tcPr>
          <w:p w:rsidR="00C821BE" w:rsidRPr="002362E3" w:rsidRDefault="00C821BE" w:rsidP="00C821BE">
            <w:pPr>
              <w:spacing w:after="0" w:line="240" w:lineRule="auto"/>
              <w:jc w:val="center"/>
              <w:rPr>
                <w:rFonts w:ascii="Times New Roman" w:hAnsi="Times New Roman"/>
                <w:b/>
                <w:sz w:val="16"/>
                <w:szCs w:val="16"/>
                <w:lang w:val="pt-BR"/>
              </w:rPr>
            </w:pPr>
            <w:r w:rsidRPr="002362E3">
              <w:rPr>
                <w:rFonts w:ascii="Times New Roman" w:hAnsi="Times New Roman"/>
                <w:b/>
                <w:sz w:val="16"/>
                <w:szCs w:val="16"/>
                <w:lang w:val="pt-BR"/>
              </w:rPr>
              <w:t>9</w:t>
            </w:r>
          </w:p>
        </w:tc>
      </w:tr>
      <w:tr w:rsidR="00C821BE" w:rsidRPr="002362E3" w:rsidTr="00C821BE">
        <w:trPr>
          <w:jc w:val="center"/>
        </w:trPr>
        <w:tc>
          <w:tcPr>
            <w:tcW w:w="988" w:type="dxa"/>
            <w:vMerge/>
            <w:shd w:val="clear" w:color="auto" w:fill="BDD6EE"/>
            <w:vAlign w:val="center"/>
          </w:tcPr>
          <w:p w:rsidR="00C821BE" w:rsidRPr="002362E3" w:rsidRDefault="00C821BE" w:rsidP="00C821BE">
            <w:pPr>
              <w:spacing w:after="0" w:line="240" w:lineRule="auto"/>
              <w:jc w:val="center"/>
              <w:rPr>
                <w:rFonts w:ascii="Times New Roman" w:hAnsi="Times New Roman"/>
                <w:sz w:val="16"/>
                <w:szCs w:val="16"/>
                <w:lang w:val="pt-BR"/>
              </w:rPr>
            </w:pPr>
          </w:p>
        </w:tc>
        <w:tc>
          <w:tcPr>
            <w:tcW w:w="850" w:type="dxa"/>
            <w:vMerge/>
            <w:vAlign w:val="center"/>
          </w:tcPr>
          <w:p w:rsidR="00C821BE" w:rsidRPr="002362E3" w:rsidRDefault="00C821BE" w:rsidP="00C821BE">
            <w:pPr>
              <w:spacing w:after="0" w:line="240" w:lineRule="auto"/>
              <w:jc w:val="center"/>
              <w:rPr>
                <w:rFonts w:ascii="Times New Roman" w:hAnsi="Times New Roman"/>
                <w:b/>
                <w:sz w:val="16"/>
                <w:szCs w:val="16"/>
                <w:lang w:val="pt-BR"/>
              </w:rPr>
            </w:pPr>
          </w:p>
        </w:tc>
        <w:tc>
          <w:tcPr>
            <w:tcW w:w="4536" w:type="dxa"/>
            <w:gridSpan w:val="3"/>
            <w:vAlign w:val="center"/>
          </w:tcPr>
          <w:p w:rsidR="00C821BE" w:rsidRPr="002362E3" w:rsidRDefault="00C821BE" w:rsidP="00C821BE">
            <w:pPr>
              <w:spacing w:after="0" w:line="240" w:lineRule="auto"/>
              <w:jc w:val="both"/>
              <w:rPr>
                <w:rFonts w:ascii="Times New Roman" w:hAnsi="Times New Roman"/>
                <w:sz w:val="16"/>
                <w:szCs w:val="16"/>
                <w:lang w:val="pt-BR"/>
              </w:rPr>
            </w:pPr>
            <w:r w:rsidRPr="002362E3">
              <w:rPr>
                <w:rFonts w:ascii="Times New Roman" w:hAnsi="Times New Roman"/>
                <w:sz w:val="16"/>
                <w:szCs w:val="16"/>
                <w:lang w:val="pt-BR"/>
              </w:rPr>
              <w:t xml:space="preserve">Riscos de conflitos sociais </w:t>
            </w:r>
          </w:p>
        </w:tc>
        <w:tc>
          <w:tcPr>
            <w:tcW w:w="851" w:type="dxa"/>
            <w:vAlign w:val="center"/>
          </w:tcPr>
          <w:p w:rsidR="00C821BE" w:rsidRPr="002362E3" w:rsidRDefault="00C821BE" w:rsidP="00C821BE">
            <w:pPr>
              <w:spacing w:after="0" w:line="240" w:lineRule="auto"/>
              <w:jc w:val="center"/>
              <w:rPr>
                <w:rFonts w:ascii="Times New Roman" w:hAnsi="Times New Roman"/>
                <w:sz w:val="16"/>
                <w:szCs w:val="16"/>
                <w:lang w:val="pt-BR"/>
              </w:rPr>
            </w:pPr>
            <w:r w:rsidRPr="002362E3">
              <w:rPr>
                <w:rFonts w:ascii="Times New Roman" w:hAnsi="Times New Roman"/>
                <w:sz w:val="16"/>
                <w:szCs w:val="16"/>
                <w:lang w:val="pt-BR"/>
              </w:rPr>
              <w:t>Forte</w:t>
            </w:r>
          </w:p>
        </w:tc>
        <w:tc>
          <w:tcPr>
            <w:tcW w:w="283" w:type="dxa"/>
            <w:shd w:val="clear" w:color="auto" w:fill="002060"/>
            <w:vAlign w:val="center"/>
          </w:tcPr>
          <w:p w:rsidR="00C821BE" w:rsidRPr="002362E3" w:rsidRDefault="00C821BE" w:rsidP="00C821BE">
            <w:pPr>
              <w:spacing w:after="0" w:line="240" w:lineRule="auto"/>
              <w:jc w:val="center"/>
              <w:rPr>
                <w:rFonts w:ascii="Times New Roman" w:hAnsi="Times New Roman"/>
                <w:b/>
                <w:sz w:val="16"/>
                <w:szCs w:val="16"/>
                <w:lang w:val="pt-BR"/>
              </w:rPr>
            </w:pPr>
            <w:r w:rsidRPr="002362E3">
              <w:rPr>
                <w:rFonts w:ascii="Times New Roman" w:hAnsi="Times New Roman"/>
                <w:b/>
                <w:sz w:val="16"/>
                <w:szCs w:val="16"/>
                <w:lang w:val="pt-BR"/>
              </w:rPr>
              <w:t>5</w:t>
            </w:r>
          </w:p>
        </w:tc>
        <w:tc>
          <w:tcPr>
            <w:tcW w:w="992" w:type="dxa"/>
            <w:vAlign w:val="center"/>
          </w:tcPr>
          <w:p w:rsidR="00C821BE" w:rsidRPr="002362E3" w:rsidRDefault="00C821BE" w:rsidP="00C821BE">
            <w:pPr>
              <w:spacing w:after="0" w:line="240" w:lineRule="auto"/>
              <w:jc w:val="center"/>
              <w:rPr>
                <w:rFonts w:ascii="Times New Roman" w:hAnsi="Times New Roman"/>
                <w:sz w:val="16"/>
                <w:szCs w:val="16"/>
                <w:lang w:val="pt-BR"/>
              </w:rPr>
            </w:pPr>
            <w:r w:rsidRPr="002362E3">
              <w:rPr>
                <w:rFonts w:ascii="Times New Roman" w:hAnsi="Times New Roman"/>
                <w:sz w:val="16"/>
                <w:szCs w:val="16"/>
                <w:lang w:val="pt-BR"/>
              </w:rPr>
              <w:t>Local</w:t>
            </w:r>
          </w:p>
        </w:tc>
        <w:tc>
          <w:tcPr>
            <w:tcW w:w="284" w:type="dxa"/>
            <w:shd w:val="clear" w:color="auto" w:fill="002060"/>
            <w:vAlign w:val="center"/>
          </w:tcPr>
          <w:p w:rsidR="00C821BE" w:rsidRPr="002362E3" w:rsidRDefault="00C821BE" w:rsidP="00C821BE">
            <w:pPr>
              <w:spacing w:after="0" w:line="240" w:lineRule="auto"/>
              <w:jc w:val="center"/>
              <w:rPr>
                <w:rFonts w:ascii="Times New Roman" w:hAnsi="Times New Roman"/>
                <w:b/>
                <w:sz w:val="16"/>
                <w:szCs w:val="16"/>
                <w:lang w:val="pt-BR"/>
              </w:rPr>
            </w:pPr>
            <w:r w:rsidRPr="002362E3">
              <w:rPr>
                <w:rFonts w:ascii="Times New Roman" w:hAnsi="Times New Roman"/>
                <w:b/>
                <w:sz w:val="16"/>
                <w:szCs w:val="16"/>
                <w:lang w:val="pt-BR"/>
              </w:rPr>
              <w:t>3</w:t>
            </w:r>
          </w:p>
        </w:tc>
        <w:tc>
          <w:tcPr>
            <w:tcW w:w="850" w:type="dxa"/>
            <w:vAlign w:val="center"/>
          </w:tcPr>
          <w:p w:rsidR="00C821BE" w:rsidRPr="002362E3" w:rsidRDefault="00C821BE" w:rsidP="00C821BE">
            <w:pPr>
              <w:spacing w:after="0" w:line="240" w:lineRule="auto"/>
              <w:jc w:val="center"/>
              <w:rPr>
                <w:rFonts w:ascii="Times New Roman" w:hAnsi="Times New Roman"/>
                <w:sz w:val="16"/>
                <w:szCs w:val="16"/>
                <w:lang w:val="pt-BR"/>
              </w:rPr>
            </w:pPr>
            <w:r w:rsidRPr="002362E3">
              <w:rPr>
                <w:rFonts w:ascii="Times New Roman" w:hAnsi="Times New Roman"/>
                <w:sz w:val="16"/>
                <w:szCs w:val="16"/>
                <w:lang w:val="pt-BR"/>
              </w:rPr>
              <w:t>Média</w:t>
            </w:r>
          </w:p>
        </w:tc>
        <w:tc>
          <w:tcPr>
            <w:tcW w:w="284" w:type="dxa"/>
            <w:shd w:val="clear" w:color="auto" w:fill="002060"/>
            <w:vAlign w:val="center"/>
          </w:tcPr>
          <w:p w:rsidR="00C821BE" w:rsidRPr="002362E3" w:rsidRDefault="00C821BE" w:rsidP="00C821BE">
            <w:pPr>
              <w:spacing w:after="0" w:line="240" w:lineRule="auto"/>
              <w:jc w:val="center"/>
              <w:rPr>
                <w:rFonts w:ascii="Times New Roman" w:hAnsi="Times New Roman"/>
                <w:b/>
                <w:sz w:val="16"/>
                <w:szCs w:val="16"/>
                <w:lang w:val="pt-BR"/>
              </w:rPr>
            </w:pPr>
            <w:r w:rsidRPr="002362E3">
              <w:rPr>
                <w:rFonts w:ascii="Times New Roman" w:hAnsi="Times New Roman"/>
                <w:b/>
                <w:sz w:val="16"/>
                <w:szCs w:val="16"/>
                <w:lang w:val="pt-BR"/>
              </w:rPr>
              <w:t>3</w:t>
            </w:r>
          </w:p>
        </w:tc>
        <w:tc>
          <w:tcPr>
            <w:tcW w:w="850" w:type="dxa"/>
            <w:shd w:val="clear" w:color="auto" w:fill="FFFF00"/>
            <w:vAlign w:val="center"/>
          </w:tcPr>
          <w:p w:rsidR="00C821BE" w:rsidRPr="002362E3" w:rsidRDefault="00C821BE" w:rsidP="00C821BE">
            <w:pPr>
              <w:spacing w:after="0" w:line="240" w:lineRule="auto"/>
              <w:jc w:val="center"/>
              <w:rPr>
                <w:rFonts w:ascii="Times New Roman" w:hAnsi="Times New Roman"/>
                <w:b/>
                <w:sz w:val="16"/>
                <w:szCs w:val="16"/>
                <w:lang w:val="pt-BR"/>
              </w:rPr>
            </w:pPr>
            <w:r w:rsidRPr="002362E3">
              <w:rPr>
                <w:rFonts w:ascii="Times New Roman" w:hAnsi="Times New Roman"/>
                <w:b/>
                <w:sz w:val="16"/>
                <w:szCs w:val="16"/>
                <w:lang w:val="pt-BR"/>
              </w:rPr>
              <w:t>Média</w:t>
            </w:r>
          </w:p>
        </w:tc>
        <w:tc>
          <w:tcPr>
            <w:tcW w:w="586" w:type="dxa"/>
            <w:shd w:val="clear" w:color="auto" w:fill="FFFF00"/>
            <w:vAlign w:val="center"/>
          </w:tcPr>
          <w:p w:rsidR="00C821BE" w:rsidRPr="002362E3" w:rsidRDefault="00C821BE" w:rsidP="00C821BE">
            <w:pPr>
              <w:spacing w:after="0" w:line="240" w:lineRule="auto"/>
              <w:jc w:val="center"/>
              <w:rPr>
                <w:rFonts w:ascii="Times New Roman" w:hAnsi="Times New Roman"/>
                <w:b/>
                <w:sz w:val="16"/>
                <w:szCs w:val="16"/>
                <w:lang w:val="pt-BR"/>
              </w:rPr>
            </w:pPr>
            <w:r w:rsidRPr="002362E3">
              <w:rPr>
                <w:rFonts w:ascii="Times New Roman" w:hAnsi="Times New Roman"/>
                <w:b/>
                <w:sz w:val="16"/>
                <w:szCs w:val="16"/>
                <w:lang w:val="pt-BR"/>
              </w:rPr>
              <w:t>45</w:t>
            </w:r>
          </w:p>
        </w:tc>
      </w:tr>
      <w:tr w:rsidR="00C821BE" w:rsidRPr="002362E3" w:rsidTr="00C821BE">
        <w:trPr>
          <w:jc w:val="center"/>
        </w:trPr>
        <w:tc>
          <w:tcPr>
            <w:tcW w:w="988" w:type="dxa"/>
            <w:vMerge/>
            <w:shd w:val="clear" w:color="auto" w:fill="BDD6EE"/>
            <w:vAlign w:val="center"/>
          </w:tcPr>
          <w:p w:rsidR="00C821BE" w:rsidRPr="002362E3" w:rsidRDefault="00C821BE" w:rsidP="00C821BE">
            <w:pPr>
              <w:spacing w:after="0" w:line="240" w:lineRule="auto"/>
              <w:jc w:val="center"/>
              <w:rPr>
                <w:rFonts w:ascii="Times New Roman" w:hAnsi="Times New Roman"/>
                <w:sz w:val="16"/>
                <w:szCs w:val="16"/>
                <w:lang w:val="pt-BR"/>
              </w:rPr>
            </w:pPr>
          </w:p>
        </w:tc>
        <w:tc>
          <w:tcPr>
            <w:tcW w:w="850" w:type="dxa"/>
            <w:vMerge/>
            <w:vAlign w:val="center"/>
          </w:tcPr>
          <w:p w:rsidR="00C821BE" w:rsidRPr="002362E3" w:rsidRDefault="00C821BE" w:rsidP="00C821BE">
            <w:pPr>
              <w:spacing w:after="0" w:line="240" w:lineRule="auto"/>
              <w:jc w:val="center"/>
              <w:rPr>
                <w:rFonts w:ascii="Times New Roman" w:hAnsi="Times New Roman"/>
                <w:b/>
                <w:sz w:val="16"/>
                <w:szCs w:val="16"/>
                <w:lang w:val="pt-BR"/>
              </w:rPr>
            </w:pPr>
          </w:p>
        </w:tc>
        <w:tc>
          <w:tcPr>
            <w:tcW w:w="4536" w:type="dxa"/>
            <w:gridSpan w:val="3"/>
            <w:vAlign w:val="center"/>
          </w:tcPr>
          <w:p w:rsidR="00C821BE" w:rsidRPr="002362E3" w:rsidRDefault="00C821BE" w:rsidP="00C821BE">
            <w:pPr>
              <w:spacing w:after="0" w:line="240" w:lineRule="auto"/>
              <w:jc w:val="both"/>
              <w:rPr>
                <w:rFonts w:ascii="Times New Roman" w:hAnsi="Times New Roman"/>
                <w:sz w:val="16"/>
                <w:szCs w:val="16"/>
                <w:lang w:val="pt-BR"/>
              </w:rPr>
            </w:pPr>
            <w:r w:rsidRPr="002362E3">
              <w:rPr>
                <w:rFonts w:ascii="Times New Roman" w:hAnsi="Times New Roman"/>
                <w:sz w:val="16"/>
                <w:szCs w:val="16"/>
                <w:lang w:val="pt-BR"/>
              </w:rPr>
              <w:t>Risco de perda de terreno ou degradação de propriedade durante o trabalho com direito de passagem</w:t>
            </w:r>
          </w:p>
        </w:tc>
        <w:tc>
          <w:tcPr>
            <w:tcW w:w="851" w:type="dxa"/>
            <w:vAlign w:val="center"/>
          </w:tcPr>
          <w:p w:rsidR="00C821BE" w:rsidRPr="002362E3" w:rsidRDefault="00C821BE" w:rsidP="00C821BE">
            <w:pPr>
              <w:spacing w:after="0" w:line="240" w:lineRule="auto"/>
              <w:jc w:val="center"/>
              <w:rPr>
                <w:rFonts w:ascii="Times New Roman" w:hAnsi="Times New Roman"/>
                <w:sz w:val="16"/>
                <w:szCs w:val="16"/>
                <w:lang w:val="pt-BR"/>
              </w:rPr>
            </w:pPr>
            <w:r w:rsidRPr="002362E3">
              <w:rPr>
                <w:rFonts w:ascii="Times New Roman" w:hAnsi="Times New Roman"/>
                <w:sz w:val="16"/>
                <w:szCs w:val="16"/>
                <w:lang w:val="pt-BR"/>
              </w:rPr>
              <w:t>Média</w:t>
            </w:r>
          </w:p>
        </w:tc>
        <w:tc>
          <w:tcPr>
            <w:tcW w:w="283" w:type="dxa"/>
            <w:shd w:val="clear" w:color="auto" w:fill="002060"/>
            <w:vAlign w:val="center"/>
          </w:tcPr>
          <w:p w:rsidR="00C821BE" w:rsidRPr="002362E3" w:rsidRDefault="00C821BE" w:rsidP="00C821BE">
            <w:pPr>
              <w:spacing w:after="0" w:line="240" w:lineRule="auto"/>
              <w:jc w:val="center"/>
              <w:rPr>
                <w:rFonts w:ascii="Times New Roman" w:hAnsi="Times New Roman"/>
                <w:b/>
                <w:sz w:val="16"/>
                <w:szCs w:val="16"/>
                <w:lang w:val="pt-BR"/>
              </w:rPr>
            </w:pPr>
            <w:r w:rsidRPr="002362E3">
              <w:rPr>
                <w:rFonts w:ascii="Times New Roman" w:hAnsi="Times New Roman"/>
                <w:b/>
                <w:sz w:val="16"/>
                <w:szCs w:val="16"/>
                <w:lang w:val="pt-BR"/>
              </w:rPr>
              <w:t>3</w:t>
            </w:r>
          </w:p>
        </w:tc>
        <w:tc>
          <w:tcPr>
            <w:tcW w:w="992" w:type="dxa"/>
            <w:vAlign w:val="center"/>
          </w:tcPr>
          <w:p w:rsidR="00C821BE" w:rsidRPr="002362E3" w:rsidRDefault="00C821BE" w:rsidP="00C821BE">
            <w:pPr>
              <w:spacing w:after="0" w:line="240" w:lineRule="auto"/>
              <w:jc w:val="center"/>
              <w:rPr>
                <w:rFonts w:ascii="Times New Roman" w:hAnsi="Times New Roman"/>
                <w:sz w:val="16"/>
                <w:szCs w:val="16"/>
                <w:lang w:val="pt-BR"/>
              </w:rPr>
            </w:pPr>
            <w:r w:rsidRPr="002362E3">
              <w:rPr>
                <w:rFonts w:ascii="Times New Roman" w:hAnsi="Times New Roman"/>
                <w:sz w:val="16"/>
                <w:szCs w:val="16"/>
                <w:lang w:val="pt-BR"/>
              </w:rPr>
              <w:t>Pontual</w:t>
            </w:r>
          </w:p>
        </w:tc>
        <w:tc>
          <w:tcPr>
            <w:tcW w:w="284" w:type="dxa"/>
            <w:shd w:val="clear" w:color="auto" w:fill="002060"/>
            <w:vAlign w:val="center"/>
          </w:tcPr>
          <w:p w:rsidR="00C821BE" w:rsidRPr="002362E3" w:rsidRDefault="00C821BE" w:rsidP="00C821BE">
            <w:pPr>
              <w:spacing w:after="0" w:line="240" w:lineRule="auto"/>
              <w:jc w:val="center"/>
              <w:rPr>
                <w:rFonts w:ascii="Times New Roman" w:hAnsi="Times New Roman"/>
                <w:b/>
                <w:sz w:val="16"/>
                <w:szCs w:val="16"/>
                <w:lang w:val="pt-BR"/>
              </w:rPr>
            </w:pPr>
            <w:r w:rsidRPr="002362E3">
              <w:rPr>
                <w:rFonts w:ascii="Times New Roman" w:hAnsi="Times New Roman"/>
                <w:b/>
                <w:sz w:val="16"/>
                <w:szCs w:val="16"/>
                <w:lang w:val="pt-BR"/>
              </w:rPr>
              <w:t>1</w:t>
            </w:r>
          </w:p>
        </w:tc>
        <w:tc>
          <w:tcPr>
            <w:tcW w:w="850" w:type="dxa"/>
            <w:vAlign w:val="center"/>
          </w:tcPr>
          <w:p w:rsidR="00C821BE" w:rsidRPr="002362E3" w:rsidRDefault="00C821BE" w:rsidP="00C821BE">
            <w:pPr>
              <w:spacing w:after="0" w:line="240" w:lineRule="auto"/>
              <w:jc w:val="center"/>
              <w:rPr>
                <w:rFonts w:ascii="Times New Roman" w:hAnsi="Times New Roman"/>
                <w:sz w:val="16"/>
                <w:szCs w:val="16"/>
                <w:lang w:val="pt-BR"/>
              </w:rPr>
            </w:pPr>
            <w:r w:rsidRPr="002362E3">
              <w:rPr>
                <w:rFonts w:ascii="Times New Roman" w:hAnsi="Times New Roman"/>
                <w:sz w:val="16"/>
                <w:szCs w:val="16"/>
                <w:lang w:val="pt-BR"/>
              </w:rPr>
              <w:t>Média</w:t>
            </w:r>
          </w:p>
        </w:tc>
        <w:tc>
          <w:tcPr>
            <w:tcW w:w="284" w:type="dxa"/>
            <w:shd w:val="clear" w:color="auto" w:fill="002060"/>
            <w:vAlign w:val="center"/>
          </w:tcPr>
          <w:p w:rsidR="00C821BE" w:rsidRPr="002362E3" w:rsidRDefault="00C821BE" w:rsidP="00C821BE">
            <w:pPr>
              <w:spacing w:after="0" w:line="240" w:lineRule="auto"/>
              <w:jc w:val="center"/>
              <w:rPr>
                <w:rFonts w:ascii="Times New Roman" w:hAnsi="Times New Roman"/>
                <w:b/>
                <w:sz w:val="16"/>
                <w:szCs w:val="16"/>
                <w:lang w:val="pt-BR"/>
              </w:rPr>
            </w:pPr>
            <w:r w:rsidRPr="002362E3">
              <w:rPr>
                <w:rFonts w:ascii="Times New Roman" w:hAnsi="Times New Roman"/>
                <w:b/>
                <w:sz w:val="16"/>
                <w:szCs w:val="16"/>
                <w:lang w:val="pt-BR"/>
              </w:rPr>
              <w:t>3</w:t>
            </w:r>
          </w:p>
        </w:tc>
        <w:tc>
          <w:tcPr>
            <w:tcW w:w="850" w:type="dxa"/>
            <w:shd w:val="clear" w:color="auto" w:fill="92D050"/>
            <w:vAlign w:val="center"/>
          </w:tcPr>
          <w:p w:rsidR="00C821BE" w:rsidRPr="002362E3" w:rsidRDefault="00C821BE" w:rsidP="00C821BE">
            <w:pPr>
              <w:spacing w:after="0" w:line="240" w:lineRule="auto"/>
              <w:jc w:val="center"/>
              <w:rPr>
                <w:rFonts w:ascii="Times New Roman" w:hAnsi="Times New Roman"/>
                <w:b/>
                <w:sz w:val="16"/>
                <w:szCs w:val="16"/>
                <w:lang w:val="pt-BR"/>
              </w:rPr>
            </w:pPr>
            <w:r w:rsidRPr="002362E3">
              <w:rPr>
                <w:rFonts w:ascii="Times New Roman" w:hAnsi="Times New Roman"/>
                <w:b/>
                <w:sz w:val="16"/>
                <w:szCs w:val="16"/>
                <w:lang w:val="pt-BR"/>
              </w:rPr>
              <w:t>Menor</w:t>
            </w:r>
          </w:p>
        </w:tc>
        <w:tc>
          <w:tcPr>
            <w:tcW w:w="586" w:type="dxa"/>
            <w:shd w:val="clear" w:color="auto" w:fill="92D050"/>
            <w:vAlign w:val="center"/>
          </w:tcPr>
          <w:p w:rsidR="00C821BE" w:rsidRPr="002362E3" w:rsidRDefault="00C821BE" w:rsidP="00C821BE">
            <w:pPr>
              <w:spacing w:after="0" w:line="240" w:lineRule="auto"/>
              <w:jc w:val="center"/>
              <w:rPr>
                <w:rFonts w:ascii="Times New Roman" w:hAnsi="Times New Roman"/>
                <w:b/>
                <w:sz w:val="16"/>
                <w:szCs w:val="16"/>
                <w:lang w:val="pt-BR"/>
              </w:rPr>
            </w:pPr>
            <w:r w:rsidRPr="002362E3">
              <w:rPr>
                <w:rFonts w:ascii="Times New Roman" w:hAnsi="Times New Roman"/>
                <w:b/>
                <w:sz w:val="16"/>
                <w:szCs w:val="16"/>
                <w:lang w:val="pt-BR"/>
              </w:rPr>
              <w:t>9</w:t>
            </w:r>
          </w:p>
        </w:tc>
      </w:tr>
      <w:tr w:rsidR="00C821BE" w:rsidRPr="002362E3" w:rsidTr="00C821BE">
        <w:trPr>
          <w:gridBefore w:val="2"/>
          <w:gridAfter w:val="9"/>
          <w:wBefore w:w="1838" w:type="dxa"/>
          <w:wAfter w:w="7323" w:type="dxa"/>
          <w:jc w:val="center"/>
        </w:trPr>
        <w:tc>
          <w:tcPr>
            <w:tcW w:w="2193" w:type="dxa"/>
            <w:gridSpan w:val="2"/>
            <w:shd w:val="clear" w:color="auto" w:fill="000000" w:themeFill="text1"/>
            <w:vAlign w:val="center"/>
          </w:tcPr>
          <w:p w:rsidR="00C821BE" w:rsidRPr="002362E3" w:rsidRDefault="00C821BE" w:rsidP="00C821BE">
            <w:pPr>
              <w:spacing w:after="0" w:line="240" w:lineRule="auto"/>
              <w:jc w:val="center"/>
              <w:rPr>
                <w:rFonts w:ascii="Times New Roman" w:hAnsi="Times New Roman"/>
                <w:b/>
                <w:sz w:val="4"/>
                <w:szCs w:val="4"/>
                <w:lang w:val="pt-BR"/>
              </w:rPr>
            </w:pPr>
          </w:p>
        </w:tc>
      </w:tr>
      <w:tr w:rsidR="00C821BE" w:rsidRPr="002362E3" w:rsidTr="00C821BE">
        <w:trPr>
          <w:jc w:val="center"/>
        </w:trPr>
        <w:tc>
          <w:tcPr>
            <w:tcW w:w="988" w:type="dxa"/>
            <w:vMerge w:val="restart"/>
            <w:shd w:val="clear" w:color="auto" w:fill="BDD6EE"/>
            <w:vAlign w:val="center"/>
          </w:tcPr>
          <w:p w:rsidR="00C821BE" w:rsidRPr="002362E3" w:rsidRDefault="00C821BE" w:rsidP="00C821BE">
            <w:pPr>
              <w:spacing w:after="0" w:line="240" w:lineRule="auto"/>
              <w:jc w:val="center"/>
              <w:rPr>
                <w:rFonts w:ascii="Times New Roman" w:hAnsi="Times New Roman"/>
                <w:sz w:val="16"/>
                <w:szCs w:val="16"/>
                <w:lang w:val="pt-BR"/>
              </w:rPr>
            </w:pPr>
            <w:r w:rsidRPr="002362E3">
              <w:rPr>
                <w:rFonts w:ascii="Times New Roman" w:eastAsia="MS Gothic" w:hAnsi="Times New Roman"/>
                <w:b/>
                <w:sz w:val="16"/>
                <w:szCs w:val="16"/>
                <w:lang w:val="pt-BR"/>
              </w:rPr>
              <w:t>Operação</w:t>
            </w:r>
          </w:p>
        </w:tc>
        <w:tc>
          <w:tcPr>
            <w:tcW w:w="850" w:type="dxa"/>
            <w:vAlign w:val="center"/>
          </w:tcPr>
          <w:p w:rsidR="00C821BE" w:rsidRPr="002362E3" w:rsidRDefault="00C821BE" w:rsidP="00C821BE">
            <w:pPr>
              <w:spacing w:after="0" w:line="240" w:lineRule="auto"/>
              <w:jc w:val="center"/>
              <w:rPr>
                <w:rFonts w:ascii="Times New Roman" w:hAnsi="Times New Roman"/>
                <w:b/>
                <w:sz w:val="12"/>
                <w:szCs w:val="12"/>
                <w:lang w:val="pt-BR"/>
              </w:rPr>
            </w:pPr>
            <w:r w:rsidRPr="002362E3">
              <w:rPr>
                <w:rFonts w:ascii="Times New Roman" w:hAnsi="Times New Roman"/>
                <w:b/>
                <w:sz w:val="12"/>
                <w:szCs w:val="12"/>
                <w:lang w:val="pt-BR"/>
              </w:rPr>
              <w:t>PANORAMA</w:t>
            </w:r>
          </w:p>
        </w:tc>
        <w:tc>
          <w:tcPr>
            <w:tcW w:w="4536" w:type="dxa"/>
            <w:gridSpan w:val="3"/>
            <w:vAlign w:val="center"/>
          </w:tcPr>
          <w:p w:rsidR="00C821BE" w:rsidRPr="002362E3" w:rsidRDefault="00C821BE" w:rsidP="00C821BE">
            <w:pPr>
              <w:spacing w:after="0" w:line="240" w:lineRule="auto"/>
              <w:jc w:val="both"/>
              <w:rPr>
                <w:rFonts w:ascii="Times New Roman" w:hAnsi="Times New Roman"/>
                <w:sz w:val="16"/>
                <w:szCs w:val="16"/>
                <w:lang w:val="pt-BR"/>
              </w:rPr>
            </w:pPr>
            <w:r w:rsidRPr="002362E3">
              <w:rPr>
                <w:rFonts w:ascii="Times New Roman" w:hAnsi="Times New Roman"/>
                <w:sz w:val="16"/>
                <w:szCs w:val="16"/>
                <w:lang w:val="pt-BR"/>
              </w:rPr>
              <w:t>Risco de degradação e alteração da aparência visual da paisagem</w:t>
            </w:r>
          </w:p>
        </w:tc>
        <w:tc>
          <w:tcPr>
            <w:tcW w:w="851" w:type="dxa"/>
            <w:vAlign w:val="center"/>
          </w:tcPr>
          <w:p w:rsidR="00C821BE" w:rsidRPr="002362E3" w:rsidRDefault="00C821BE" w:rsidP="00C821BE">
            <w:pPr>
              <w:spacing w:after="0" w:line="240" w:lineRule="auto"/>
              <w:jc w:val="center"/>
              <w:rPr>
                <w:rFonts w:ascii="Times New Roman" w:hAnsi="Times New Roman"/>
                <w:sz w:val="16"/>
                <w:szCs w:val="16"/>
                <w:lang w:val="pt-BR"/>
              </w:rPr>
            </w:pPr>
            <w:r w:rsidRPr="002362E3">
              <w:rPr>
                <w:rFonts w:ascii="Times New Roman" w:hAnsi="Times New Roman"/>
                <w:sz w:val="16"/>
                <w:szCs w:val="16"/>
                <w:lang w:val="pt-BR"/>
              </w:rPr>
              <w:t>Baixo</w:t>
            </w:r>
          </w:p>
        </w:tc>
        <w:tc>
          <w:tcPr>
            <w:tcW w:w="283" w:type="dxa"/>
            <w:shd w:val="clear" w:color="auto" w:fill="002060"/>
            <w:vAlign w:val="center"/>
          </w:tcPr>
          <w:p w:rsidR="00C821BE" w:rsidRPr="002362E3" w:rsidRDefault="00C821BE" w:rsidP="00C821BE">
            <w:pPr>
              <w:spacing w:after="0" w:line="240" w:lineRule="auto"/>
              <w:jc w:val="center"/>
              <w:rPr>
                <w:rFonts w:ascii="Times New Roman" w:hAnsi="Times New Roman"/>
                <w:b/>
                <w:sz w:val="16"/>
                <w:szCs w:val="16"/>
                <w:lang w:val="pt-BR"/>
              </w:rPr>
            </w:pPr>
            <w:r w:rsidRPr="002362E3">
              <w:rPr>
                <w:rFonts w:ascii="Times New Roman" w:hAnsi="Times New Roman"/>
                <w:b/>
                <w:sz w:val="16"/>
                <w:szCs w:val="16"/>
                <w:lang w:val="pt-BR"/>
              </w:rPr>
              <w:t>1</w:t>
            </w:r>
          </w:p>
        </w:tc>
        <w:tc>
          <w:tcPr>
            <w:tcW w:w="992" w:type="dxa"/>
            <w:vAlign w:val="center"/>
          </w:tcPr>
          <w:p w:rsidR="00C821BE" w:rsidRPr="002362E3" w:rsidRDefault="00C821BE" w:rsidP="00C821BE">
            <w:pPr>
              <w:spacing w:after="0" w:line="240" w:lineRule="auto"/>
              <w:jc w:val="center"/>
              <w:rPr>
                <w:rFonts w:ascii="Times New Roman" w:hAnsi="Times New Roman"/>
                <w:sz w:val="16"/>
                <w:szCs w:val="16"/>
                <w:lang w:val="pt-BR"/>
              </w:rPr>
            </w:pPr>
            <w:r w:rsidRPr="002362E3">
              <w:rPr>
                <w:rFonts w:ascii="Times New Roman" w:hAnsi="Times New Roman"/>
                <w:sz w:val="16"/>
                <w:szCs w:val="16"/>
                <w:lang w:val="pt-BR"/>
              </w:rPr>
              <w:t>Pontual</w:t>
            </w:r>
          </w:p>
        </w:tc>
        <w:tc>
          <w:tcPr>
            <w:tcW w:w="284" w:type="dxa"/>
            <w:shd w:val="clear" w:color="auto" w:fill="002060"/>
            <w:vAlign w:val="center"/>
          </w:tcPr>
          <w:p w:rsidR="00C821BE" w:rsidRPr="002362E3" w:rsidRDefault="00C821BE" w:rsidP="00C821BE">
            <w:pPr>
              <w:spacing w:after="0" w:line="240" w:lineRule="auto"/>
              <w:jc w:val="center"/>
              <w:rPr>
                <w:rFonts w:ascii="Times New Roman" w:hAnsi="Times New Roman"/>
                <w:b/>
                <w:sz w:val="16"/>
                <w:szCs w:val="16"/>
                <w:lang w:val="pt-BR"/>
              </w:rPr>
            </w:pPr>
            <w:r w:rsidRPr="002362E3">
              <w:rPr>
                <w:rFonts w:ascii="Times New Roman" w:hAnsi="Times New Roman"/>
                <w:b/>
                <w:sz w:val="16"/>
                <w:szCs w:val="16"/>
                <w:lang w:val="pt-BR"/>
              </w:rPr>
              <w:t>1</w:t>
            </w:r>
          </w:p>
        </w:tc>
        <w:tc>
          <w:tcPr>
            <w:tcW w:w="850" w:type="dxa"/>
            <w:vAlign w:val="center"/>
          </w:tcPr>
          <w:p w:rsidR="00C821BE" w:rsidRPr="002362E3" w:rsidRDefault="00C821BE" w:rsidP="00C821BE">
            <w:pPr>
              <w:spacing w:after="0" w:line="240" w:lineRule="auto"/>
              <w:jc w:val="center"/>
              <w:rPr>
                <w:rFonts w:ascii="Times New Roman" w:hAnsi="Times New Roman"/>
                <w:sz w:val="16"/>
                <w:szCs w:val="16"/>
                <w:lang w:val="pt-BR"/>
              </w:rPr>
            </w:pPr>
            <w:r w:rsidRPr="002362E3">
              <w:rPr>
                <w:rFonts w:ascii="Times New Roman" w:hAnsi="Times New Roman"/>
                <w:sz w:val="16"/>
                <w:szCs w:val="16"/>
                <w:lang w:val="pt-BR"/>
              </w:rPr>
              <w:t>Longo</w:t>
            </w:r>
          </w:p>
        </w:tc>
        <w:tc>
          <w:tcPr>
            <w:tcW w:w="284" w:type="dxa"/>
            <w:shd w:val="clear" w:color="auto" w:fill="002060"/>
            <w:vAlign w:val="center"/>
          </w:tcPr>
          <w:p w:rsidR="00C821BE" w:rsidRPr="002362E3" w:rsidRDefault="00C821BE" w:rsidP="00C821BE">
            <w:pPr>
              <w:spacing w:after="0" w:line="240" w:lineRule="auto"/>
              <w:jc w:val="center"/>
              <w:rPr>
                <w:rFonts w:ascii="Times New Roman" w:hAnsi="Times New Roman"/>
                <w:b/>
                <w:sz w:val="16"/>
                <w:szCs w:val="16"/>
                <w:lang w:val="pt-BR"/>
              </w:rPr>
            </w:pPr>
            <w:r w:rsidRPr="002362E3">
              <w:rPr>
                <w:rFonts w:ascii="Times New Roman" w:hAnsi="Times New Roman"/>
                <w:b/>
                <w:sz w:val="16"/>
                <w:szCs w:val="16"/>
                <w:lang w:val="pt-BR"/>
              </w:rPr>
              <w:t>5</w:t>
            </w:r>
          </w:p>
        </w:tc>
        <w:tc>
          <w:tcPr>
            <w:tcW w:w="850" w:type="dxa"/>
            <w:shd w:val="clear" w:color="auto" w:fill="92D050"/>
            <w:vAlign w:val="center"/>
          </w:tcPr>
          <w:p w:rsidR="00C821BE" w:rsidRPr="002362E3" w:rsidRDefault="00C821BE" w:rsidP="00C821BE">
            <w:pPr>
              <w:spacing w:after="0" w:line="240" w:lineRule="auto"/>
              <w:jc w:val="center"/>
              <w:rPr>
                <w:rFonts w:ascii="Times New Roman" w:hAnsi="Times New Roman"/>
                <w:b/>
                <w:sz w:val="16"/>
                <w:szCs w:val="16"/>
                <w:lang w:val="pt-BR"/>
              </w:rPr>
            </w:pPr>
            <w:r w:rsidRPr="002362E3">
              <w:rPr>
                <w:rFonts w:ascii="Times New Roman" w:hAnsi="Times New Roman"/>
                <w:b/>
                <w:sz w:val="16"/>
                <w:szCs w:val="16"/>
                <w:lang w:val="pt-BR"/>
              </w:rPr>
              <w:t>Menor</w:t>
            </w:r>
          </w:p>
        </w:tc>
        <w:tc>
          <w:tcPr>
            <w:tcW w:w="586" w:type="dxa"/>
            <w:shd w:val="clear" w:color="auto" w:fill="92D050"/>
            <w:vAlign w:val="center"/>
          </w:tcPr>
          <w:p w:rsidR="00C821BE" w:rsidRPr="002362E3" w:rsidRDefault="00C821BE" w:rsidP="00C821BE">
            <w:pPr>
              <w:spacing w:after="0" w:line="240" w:lineRule="auto"/>
              <w:jc w:val="center"/>
              <w:rPr>
                <w:rFonts w:ascii="Times New Roman" w:hAnsi="Times New Roman"/>
                <w:b/>
                <w:sz w:val="16"/>
                <w:szCs w:val="16"/>
                <w:lang w:val="pt-BR"/>
              </w:rPr>
            </w:pPr>
            <w:r w:rsidRPr="002362E3">
              <w:rPr>
                <w:rFonts w:ascii="Times New Roman" w:hAnsi="Times New Roman"/>
                <w:b/>
                <w:sz w:val="16"/>
                <w:szCs w:val="16"/>
                <w:lang w:val="pt-BR"/>
              </w:rPr>
              <w:t>5</w:t>
            </w:r>
          </w:p>
        </w:tc>
      </w:tr>
      <w:tr w:rsidR="00C821BE" w:rsidRPr="002362E3" w:rsidTr="00C821BE">
        <w:trPr>
          <w:jc w:val="center"/>
        </w:trPr>
        <w:tc>
          <w:tcPr>
            <w:tcW w:w="988" w:type="dxa"/>
            <w:vMerge/>
            <w:shd w:val="clear" w:color="auto" w:fill="BDD6EE"/>
          </w:tcPr>
          <w:p w:rsidR="00C821BE" w:rsidRPr="002362E3" w:rsidRDefault="00C821BE" w:rsidP="00C821BE">
            <w:pPr>
              <w:spacing w:after="0" w:line="240" w:lineRule="auto"/>
              <w:jc w:val="both"/>
              <w:rPr>
                <w:rFonts w:ascii="Times New Roman" w:hAnsi="Times New Roman"/>
                <w:sz w:val="16"/>
                <w:szCs w:val="16"/>
                <w:lang w:val="pt-BR"/>
              </w:rPr>
            </w:pPr>
          </w:p>
        </w:tc>
        <w:tc>
          <w:tcPr>
            <w:tcW w:w="850" w:type="dxa"/>
            <w:vAlign w:val="center"/>
          </w:tcPr>
          <w:p w:rsidR="00C821BE" w:rsidRPr="002362E3" w:rsidRDefault="00C821BE" w:rsidP="00C821BE">
            <w:pPr>
              <w:spacing w:after="0" w:line="240" w:lineRule="auto"/>
              <w:jc w:val="center"/>
              <w:rPr>
                <w:rFonts w:ascii="Times New Roman" w:hAnsi="Times New Roman"/>
                <w:b/>
                <w:sz w:val="12"/>
                <w:szCs w:val="12"/>
                <w:lang w:val="pt-BR"/>
              </w:rPr>
            </w:pPr>
            <w:r w:rsidRPr="002362E3">
              <w:rPr>
                <w:rFonts w:ascii="Times New Roman" w:hAnsi="Times New Roman"/>
                <w:b/>
                <w:sz w:val="12"/>
                <w:szCs w:val="12"/>
                <w:lang w:val="pt-BR"/>
              </w:rPr>
              <w:t>ÁGUAS</w:t>
            </w:r>
          </w:p>
        </w:tc>
        <w:tc>
          <w:tcPr>
            <w:tcW w:w="4536" w:type="dxa"/>
            <w:gridSpan w:val="3"/>
            <w:vAlign w:val="center"/>
          </w:tcPr>
          <w:p w:rsidR="00C821BE" w:rsidRPr="002362E3" w:rsidRDefault="00C821BE" w:rsidP="00C821BE">
            <w:pPr>
              <w:spacing w:after="0" w:line="240" w:lineRule="auto"/>
              <w:jc w:val="both"/>
              <w:rPr>
                <w:rFonts w:ascii="Times New Roman" w:hAnsi="Times New Roman"/>
                <w:sz w:val="16"/>
                <w:szCs w:val="16"/>
                <w:lang w:val="pt-BR"/>
              </w:rPr>
            </w:pPr>
            <w:r w:rsidRPr="002362E3">
              <w:rPr>
                <w:rFonts w:ascii="Times New Roman" w:hAnsi="Times New Roman"/>
                <w:sz w:val="16"/>
                <w:szCs w:val="16"/>
                <w:lang w:val="pt-BR"/>
              </w:rPr>
              <w:t>Risco de poluição de escoamento e águas pluviais;</w:t>
            </w:r>
          </w:p>
        </w:tc>
        <w:tc>
          <w:tcPr>
            <w:tcW w:w="851" w:type="dxa"/>
            <w:vAlign w:val="center"/>
          </w:tcPr>
          <w:p w:rsidR="00C821BE" w:rsidRPr="002362E3" w:rsidRDefault="00C821BE" w:rsidP="00C821BE">
            <w:pPr>
              <w:spacing w:after="0" w:line="240" w:lineRule="auto"/>
              <w:jc w:val="center"/>
              <w:rPr>
                <w:rFonts w:ascii="Times New Roman" w:hAnsi="Times New Roman"/>
                <w:sz w:val="16"/>
                <w:szCs w:val="16"/>
                <w:lang w:val="pt-BR"/>
              </w:rPr>
            </w:pPr>
            <w:r w:rsidRPr="002362E3">
              <w:rPr>
                <w:rFonts w:ascii="Times New Roman" w:hAnsi="Times New Roman"/>
                <w:sz w:val="16"/>
                <w:szCs w:val="16"/>
                <w:lang w:val="pt-BR"/>
              </w:rPr>
              <w:t>Média</w:t>
            </w:r>
          </w:p>
        </w:tc>
        <w:tc>
          <w:tcPr>
            <w:tcW w:w="283" w:type="dxa"/>
            <w:shd w:val="clear" w:color="auto" w:fill="002060"/>
            <w:vAlign w:val="center"/>
          </w:tcPr>
          <w:p w:rsidR="00C821BE" w:rsidRPr="002362E3" w:rsidRDefault="00C821BE" w:rsidP="00C821BE">
            <w:pPr>
              <w:spacing w:after="0" w:line="240" w:lineRule="auto"/>
              <w:jc w:val="center"/>
              <w:rPr>
                <w:rFonts w:ascii="Times New Roman" w:hAnsi="Times New Roman"/>
                <w:b/>
                <w:sz w:val="16"/>
                <w:szCs w:val="16"/>
                <w:lang w:val="pt-BR"/>
              </w:rPr>
            </w:pPr>
            <w:r w:rsidRPr="002362E3">
              <w:rPr>
                <w:rFonts w:ascii="Times New Roman" w:hAnsi="Times New Roman"/>
                <w:b/>
                <w:sz w:val="16"/>
                <w:szCs w:val="16"/>
                <w:lang w:val="pt-BR"/>
              </w:rPr>
              <w:t>3</w:t>
            </w:r>
          </w:p>
        </w:tc>
        <w:tc>
          <w:tcPr>
            <w:tcW w:w="992" w:type="dxa"/>
            <w:vAlign w:val="center"/>
          </w:tcPr>
          <w:p w:rsidR="00C821BE" w:rsidRPr="002362E3" w:rsidRDefault="00C821BE" w:rsidP="00C821BE">
            <w:pPr>
              <w:spacing w:after="0" w:line="240" w:lineRule="auto"/>
              <w:jc w:val="center"/>
              <w:rPr>
                <w:rFonts w:ascii="Times New Roman" w:hAnsi="Times New Roman"/>
                <w:sz w:val="16"/>
                <w:szCs w:val="16"/>
                <w:lang w:val="pt-BR"/>
              </w:rPr>
            </w:pPr>
            <w:r w:rsidRPr="002362E3">
              <w:rPr>
                <w:rFonts w:ascii="Times New Roman" w:hAnsi="Times New Roman"/>
                <w:sz w:val="16"/>
                <w:szCs w:val="16"/>
                <w:lang w:val="pt-BR"/>
              </w:rPr>
              <w:t>Local</w:t>
            </w:r>
          </w:p>
        </w:tc>
        <w:tc>
          <w:tcPr>
            <w:tcW w:w="284" w:type="dxa"/>
            <w:shd w:val="clear" w:color="auto" w:fill="002060"/>
            <w:vAlign w:val="center"/>
          </w:tcPr>
          <w:p w:rsidR="00C821BE" w:rsidRPr="002362E3" w:rsidRDefault="00C821BE" w:rsidP="00C821BE">
            <w:pPr>
              <w:spacing w:after="0" w:line="240" w:lineRule="auto"/>
              <w:jc w:val="center"/>
              <w:rPr>
                <w:rFonts w:ascii="Times New Roman" w:hAnsi="Times New Roman"/>
                <w:b/>
                <w:sz w:val="16"/>
                <w:szCs w:val="16"/>
                <w:lang w:val="pt-BR"/>
              </w:rPr>
            </w:pPr>
            <w:r w:rsidRPr="002362E3">
              <w:rPr>
                <w:rFonts w:ascii="Times New Roman" w:hAnsi="Times New Roman"/>
                <w:b/>
                <w:sz w:val="16"/>
                <w:szCs w:val="16"/>
                <w:lang w:val="pt-BR"/>
              </w:rPr>
              <w:t>3</w:t>
            </w:r>
          </w:p>
        </w:tc>
        <w:tc>
          <w:tcPr>
            <w:tcW w:w="850" w:type="dxa"/>
            <w:vAlign w:val="center"/>
          </w:tcPr>
          <w:p w:rsidR="00C821BE" w:rsidRPr="002362E3" w:rsidRDefault="00C821BE" w:rsidP="00C821BE">
            <w:pPr>
              <w:spacing w:after="0" w:line="240" w:lineRule="auto"/>
              <w:jc w:val="center"/>
              <w:rPr>
                <w:rFonts w:ascii="Times New Roman" w:hAnsi="Times New Roman"/>
                <w:sz w:val="16"/>
                <w:szCs w:val="16"/>
                <w:lang w:val="pt-BR"/>
              </w:rPr>
            </w:pPr>
            <w:r w:rsidRPr="002362E3">
              <w:rPr>
                <w:rFonts w:ascii="Times New Roman" w:hAnsi="Times New Roman"/>
                <w:sz w:val="16"/>
                <w:szCs w:val="16"/>
                <w:lang w:val="pt-BR"/>
              </w:rPr>
              <w:t>Longo</w:t>
            </w:r>
          </w:p>
        </w:tc>
        <w:tc>
          <w:tcPr>
            <w:tcW w:w="284" w:type="dxa"/>
            <w:shd w:val="clear" w:color="auto" w:fill="002060"/>
            <w:vAlign w:val="center"/>
          </w:tcPr>
          <w:p w:rsidR="00C821BE" w:rsidRPr="002362E3" w:rsidRDefault="00C821BE" w:rsidP="00C821BE">
            <w:pPr>
              <w:spacing w:after="0" w:line="240" w:lineRule="auto"/>
              <w:jc w:val="center"/>
              <w:rPr>
                <w:rFonts w:ascii="Times New Roman" w:hAnsi="Times New Roman"/>
                <w:b/>
                <w:sz w:val="16"/>
                <w:szCs w:val="16"/>
                <w:lang w:val="pt-BR"/>
              </w:rPr>
            </w:pPr>
            <w:r w:rsidRPr="002362E3">
              <w:rPr>
                <w:rFonts w:ascii="Times New Roman" w:hAnsi="Times New Roman"/>
                <w:b/>
                <w:sz w:val="16"/>
                <w:szCs w:val="16"/>
                <w:lang w:val="pt-BR"/>
              </w:rPr>
              <w:t>5</w:t>
            </w:r>
          </w:p>
        </w:tc>
        <w:tc>
          <w:tcPr>
            <w:tcW w:w="850" w:type="dxa"/>
            <w:shd w:val="clear" w:color="auto" w:fill="FFFF00"/>
            <w:vAlign w:val="center"/>
          </w:tcPr>
          <w:p w:rsidR="00C821BE" w:rsidRPr="002362E3" w:rsidRDefault="00C821BE" w:rsidP="00C821BE">
            <w:pPr>
              <w:spacing w:after="0" w:line="240" w:lineRule="auto"/>
              <w:jc w:val="center"/>
              <w:rPr>
                <w:rFonts w:ascii="Times New Roman" w:hAnsi="Times New Roman"/>
                <w:b/>
                <w:sz w:val="16"/>
                <w:szCs w:val="16"/>
                <w:lang w:val="pt-BR"/>
              </w:rPr>
            </w:pPr>
            <w:r w:rsidRPr="002362E3">
              <w:rPr>
                <w:rFonts w:ascii="Times New Roman" w:hAnsi="Times New Roman"/>
                <w:b/>
                <w:sz w:val="16"/>
                <w:szCs w:val="16"/>
                <w:lang w:val="pt-BR"/>
              </w:rPr>
              <w:t>Média</w:t>
            </w:r>
          </w:p>
        </w:tc>
        <w:tc>
          <w:tcPr>
            <w:tcW w:w="586" w:type="dxa"/>
            <w:shd w:val="clear" w:color="auto" w:fill="FFFF00"/>
            <w:vAlign w:val="center"/>
          </w:tcPr>
          <w:p w:rsidR="00C821BE" w:rsidRPr="002362E3" w:rsidRDefault="00C821BE" w:rsidP="00C821BE">
            <w:pPr>
              <w:spacing w:after="0" w:line="240" w:lineRule="auto"/>
              <w:jc w:val="center"/>
              <w:rPr>
                <w:rFonts w:ascii="Times New Roman" w:hAnsi="Times New Roman"/>
                <w:b/>
                <w:sz w:val="16"/>
                <w:szCs w:val="16"/>
                <w:lang w:val="pt-BR"/>
              </w:rPr>
            </w:pPr>
            <w:r w:rsidRPr="002362E3">
              <w:rPr>
                <w:rFonts w:ascii="Times New Roman" w:hAnsi="Times New Roman"/>
                <w:b/>
                <w:sz w:val="16"/>
                <w:szCs w:val="16"/>
                <w:lang w:val="pt-BR"/>
              </w:rPr>
              <w:t>45</w:t>
            </w:r>
          </w:p>
        </w:tc>
      </w:tr>
      <w:tr w:rsidR="00C821BE" w:rsidRPr="002362E3" w:rsidTr="00C821BE">
        <w:trPr>
          <w:jc w:val="center"/>
        </w:trPr>
        <w:tc>
          <w:tcPr>
            <w:tcW w:w="988" w:type="dxa"/>
            <w:vMerge/>
            <w:shd w:val="clear" w:color="auto" w:fill="BDD6EE"/>
          </w:tcPr>
          <w:p w:rsidR="00C821BE" w:rsidRPr="002362E3" w:rsidRDefault="00C821BE" w:rsidP="00C821BE">
            <w:pPr>
              <w:spacing w:after="0" w:line="240" w:lineRule="auto"/>
              <w:jc w:val="both"/>
              <w:rPr>
                <w:rFonts w:ascii="Times New Roman" w:hAnsi="Times New Roman"/>
                <w:sz w:val="16"/>
                <w:szCs w:val="16"/>
                <w:lang w:val="pt-BR"/>
              </w:rPr>
            </w:pPr>
          </w:p>
        </w:tc>
        <w:tc>
          <w:tcPr>
            <w:tcW w:w="850" w:type="dxa"/>
            <w:vMerge w:val="restart"/>
            <w:vAlign w:val="center"/>
          </w:tcPr>
          <w:p w:rsidR="00C821BE" w:rsidRPr="002362E3" w:rsidRDefault="00C821BE" w:rsidP="00C821BE">
            <w:pPr>
              <w:spacing w:after="0" w:line="240" w:lineRule="auto"/>
              <w:jc w:val="center"/>
              <w:rPr>
                <w:rFonts w:ascii="Times New Roman" w:hAnsi="Times New Roman"/>
                <w:b/>
                <w:sz w:val="12"/>
                <w:szCs w:val="12"/>
                <w:lang w:val="pt-BR"/>
              </w:rPr>
            </w:pPr>
            <w:r w:rsidRPr="002362E3">
              <w:rPr>
                <w:rFonts w:ascii="Times New Roman" w:hAnsi="Times New Roman"/>
                <w:b/>
                <w:sz w:val="12"/>
                <w:szCs w:val="12"/>
                <w:lang w:val="pt-BR"/>
              </w:rPr>
              <w:t>HUMANO</w:t>
            </w:r>
          </w:p>
        </w:tc>
        <w:tc>
          <w:tcPr>
            <w:tcW w:w="4536" w:type="dxa"/>
            <w:gridSpan w:val="3"/>
            <w:vAlign w:val="center"/>
          </w:tcPr>
          <w:p w:rsidR="00C821BE" w:rsidRPr="002362E3" w:rsidRDefault="00C821BE" w:rsidP="00C821BE">
            <w:pPr>
              <w:spacing w:after="0" w:line="240" w:lineRule="auto"/>
              <w:jc w:val="both"/>
              <w:rPr>
                <w:rFonts w:ascii="Times New Roman" w:hAnsi="Times New Roman"/>
                <w:sz w:val="16"/>
                <w:szCs w:val="16"/>
                <w:lang w:val="pt-BR"/>
              </w:rPr>
            </w:pPr>
            <w:r w:rsidRPr="002362E3">
              <w:rPr>
                <w:rFonts w:ascii="Times New Roman" w:hAnsi="Times New Roman"/>
                <w:sz w:val="16"/>
                <w:szCs w:val="16"/>
                <w:lang w:val="pt-BR"/>
              </w:rPr>
              <w:t>Risco de geração de poluição sonora e produção de GEE.</w:t>
            </w:r>
          </w:p>
        </w:tc>
        <w:tc>
          <w:tcPr>
            <w:tcW w:w="851" w:type="dxa"/>
            <w:vAlign w:val="center"/>
          </w:tcPr>
          <w:p w:rsidR="00C821BE" w:rsidRPr="002362E3" w:rsidRDefault="00C821BE" w:rsidP="00C821BE">
            <w:pPr>
              <w:spacing w:after="0" w:line="240" w:lineRule="auto"/>
              <w:jc w:val="center"/>
              <w:rPr>
                <w:rFonts w:ascii="Times New Roman" w:hAnsi="Times New Roman"/>
                <w:sz w:val="16"/>
                <w:szCs w:val="16"/>
                <w:lang w:val="pt-BR"/>
              </w:rPr>
            </w:pPr>
            <w:r w:rsidRPr="002362E3">
              <w:rPr>
                <w:rFonts w:ascii="Times New Roman" w:hAnsi="Times New Roman"/>
                <w:sz w:val="16"/>
                <w:szCs w:val="16"/>
                <w:lang w:val="pt-BR"/>
              </w:rPr>
              <w:t>Baixo</w:t>
            </w:r>
          </w:p>
        </w:tc>
        <w:tc>
          <w:tcPr>
            <w:tcW w:w="283" w:type="dxa"/>
            <w:shd w:val="clear" w:color="auto" w:fill="002060"/>
            <w:vAlign w:val="center"/>
          </w:tcPr>
          <w:p w:rsidR="00C821BE" w:rsidRPr="002362E3" w:rsidRDefault="00C821BE" w:rsidP="00C821BE">
            <w:pPr>
              <w:spacing w:after="0" w:line="240" w:lineRule="auto"/>
              <w:jc w:val="center"/>
              <w:rPr>
                <w:rFonts w:ascii="Times New Roman" w:hAnsi="Times New Roman"/>
                <w:b/>
                <w:sz w:val="16"/>
                <w:szCs w:val="16"/>
                <w:lang w:val="pt-BR"/>
              </w:rPr>
            </w:pPr>
            <w:r w:rsidRPr="002362E3">
              <w:rPr>
                <w:rFonts w:ascii="Times New Roman" w:hAnsi="Times New Roman"/>
                <w:b/>
                <w:sz w:val="16"/>
                <w:szCs w:val="16"/>
                <w:lang w:val="pt-BR"/>
              </w:rPr>
              <w:t>1</w:t>
            </w:r>
          </w:p>
        </w:tc>
        <w:tc>
          <w:tcPr>
            <w:tcW w:w="992" w:type="dxa"/>
            <w:vAlign w:val="center"/>
          </w:tcPr>
          <w:p w:rsidR="00C821BE" w:rsidRPr="002362E3" w:rsidRDefault="00C821BE" w:rsidP="00C821BE">
            <w:pPr>
              <w:spacing w:after="0" w:line="240" w:lineRule="auto"/>
              <w:jc w:val="center"/>
              <w:rPr>
                <w:rFonts w:ascii="Times New Roman" w:hAnsi="Times New Roman"/>
                <w:sz w:val="16"/>
                <w:szCs w:val="16"/>
                <w:lang w:val="pt-BR"/>
              </w:rPr>
            </w:pPr>
            <w:r w:rsidRPr="002362E3">
              <w:rPr>
                <w:rFonts w:ascii="Times New Roman" w:hAnsi="Times New Roman"/>
                <w:sz w:val="16"/>
                <w:szCs w:val="16"/>
                <w:lang w:val="pt-BR"/>
              </w:rPr>
              <w:t>Local</w:t>
            </w:r>
          </w:p>
        </w:tc>
        <w:tc>
          <w:tcPr>
            <w:tcW w:w="284" w:type="dxa"/>
            <w:shd w:val="clear" w:color="auto" w:fill="002060"/>
            <w:vAlign w:val="center"/>
          </w:tcPr>
          <w:p w:rsidR="00C821BE" w:rsidRPr="002362E3" w:rsidRDefault="00C821BE" w:rsidP="00C821BE">
            <w:pPr>
              <w:spacing w:after="0" w:line="240" w:lineRule="auto"/>
              <w:jc w:val="center"/>
              <w:rPr>
                <w:rFonts w:ascii="Times New Roman" w:hAnsi="Times New Roman"/>
                <w:b/>
                <w:sz w:val="16"/>
                <w:szCs w:val="16"/>
                <w:lang w:val="pt-BR"/>
              </w:rPr>
            </w:pPr>
            <w:r w:rsidRPr="002362E3">
              <w:rPr>
                <w:rFonts w:ascii="Times New Roman" w:hAnsi="Times New Roman"/>
                <w:b/>
                <w:sz w:val="16"/>
                <w:szCs w:val="16"/>
                <w:lang w:val="pt-BR"/>
              </w:rPr>
              <w:t>3</w:t>
            </w:r>
          </w:p>
        </w:tc>
        <w:tc>
          <w:tcPr>
            <w:tcW w:w="850" w:type="dxa"/>
            <w:vAlign w:val="center"/>
          </w:tcPr>
          <w:p w:rsidR="00C821BE" w:rsidRPr="002362E3" w:rsidRDefault="00C821BE" w:rsidP="00C821BE">
            <w:pPr>
              <w:spacing w:after="0" w:line="240" w:lineRule="auto"/>
              <w:jc w:val="center"/>
              <w:rPr>
                <w:rFonts w:ascii="Times New Roman" w:hAnsi="Times New Roman"/>
                <w:sz w:val="16"/>
                <w:szCs w:val="16"/>
                <w:lang w:val="pt-BR"/>
              </w:rPr>
            </w:pPr>
            <w:r w:rsidRPr="002362E3">
              <w:rPr>
                <w:rFonts w:ascii="Times New Roman" w:hAnsi="Times New Roman"/>
                <w:sz w:val="16"/>
                <w:szCs w:val="16"/>
                <w:lang w:val="pt-BR"/>
              </w:rPr>
              <w:t>Longo</w:t>
            </w:r>
          </w:p>
        </w:tc>
        <w:tc>
          <w:tcPr>
            <w:tcW w:w="284" w:type="dxa"/>
            <w:shd w:val="clear" w:color="auto" w:fill="002060"/>
            <w:vAlign w:val="center"/>
          </w:tcPr>
          <w:p w:rsidR="00C821BE" w:rsidRPr="002362E3" w:rsidRDefault="00C821BE" w:rsidP="00C821BE">
            <w:pPr>
              <w:spacing w:after="0" w:line="240" w:lineRule="auto"/>
              <w:jc w:val="center"/>
              <w:rPr>
                <w:rFonts w:ascii="Times New Roman" w:hAnsi="Times New Roman"/>
                <w:b/>
                <w:sz w:val="16"/>
                <w:szCs w:val="16"/>
                <w:lang w:val="pt-BR"/>
              </w:rPr>
            </w:pPr>
            <w:r w:rsidRPr="002362E3">
              <w:rPr>
                <w:rFonts w:ascii="Times New Roman" w:hAnsi="Times New Roman"/>
                <w:b/>
                <w:sz w:val="16"/>
                <w:szCs w:val="16"/>
                <w:lang w:val="pt-BR"/>
              </w:rPr>
              <w:t>5</w:t>
            </w:r>
          </w:p>
        </w:tc>
        <w:tc>
          <w:tcPr>
            <w:tcW w:w="850" w:type="dxa"/>
            <w:shd w:val="clear" w:color="auto" w:fill="92D050"/>
            <w:vAlign w:val="center"/>
          </w:tcPr>
          <w:p w:rsidR="00C821BE" w:rsidRPr="002362E3" w:rsidRDefault="00C821BE" w:rsidP="00C821BE">
            <w:pPr>
              <w:spacing w:after="0" w:line="240" w:lineRule="auto"/>
              <w:jc w:val="center"/>
              <w:rPr>
                <w:rFonts w:ascii="Times New Roman" w:hAnsi="Times New Roman"/>
                <w:b/>
                <w:sz w:val="16"/>
                <w:szCs w:val="16"/>
                <w:lang w:val="pt-BR"/>
              </w:rPr>
            </w:pPr>
            <w:r w:rsidRPr="002362E3">
              <w:rPr>
                <w:rFonts w:ascii="Times New Roman" w:hAnsi="Times New Roman"/>
                <w:b/>
                <w:sz w:val="16"/>
                <w:szCs w:val="16"/>
                <w:lang w:val="pt-BR"/>
              </w:rPr>
              <w:t>Menor</w:t>
            </w:r>
          </w:p>
        </w:tc>
        <w:tc>
          <w:tcPr>
            <w:tcW w:w="586" w:type="dxa"/>
            <w:shd w:val="clear" w:color="auto" w:fill="92D050"/>
            <w:vAlign w:val="center"/>
          </w:tcPr>
          <w:p w:rsidR="00C821BE" w:rsidRPr="002362E3" w:rsidRDefault="00C821BE" w:rsidP="00C821BE">
            <w:pPr>
              <w:spacing w:after="0" w:line="240" w:lineRule="auto"/>
              <w:jc w:val="center"/>
              <w:rPr>
                <w:rFonts w:ascii="Times New Roman" w:hAnsi="Times New Roman"/>
                <w:b/>
                <w:sz w:val="16"/>
                <w:szCs w:val="16"/>
                <w:lang w:val="pt-BR"/>
              </w:rPr>
            </w:pPr>
            <w:r w:rsidRPr="002362E3">
              <w:rPr>
                <w:rFonts w:ascii="Times New Roman" w:hAnsi="Times New Roman"/>
                <w:b/>
                <w:sz w:val="16"/>
                <w:szCs w:val="16"/>
                <w:lang w:val="pt-BR"/>
              </w:rPr>
              <w:t>15</w:t>
            </w:r>
          </w:p>
        </w:tc>
      </w:tr>
      <w:tr w:rsidR="00C821BE" w:rsidRPr="002362E3" w:rsidTr="00C821BE">
        <w:trPr>
          <w:jc w:val="center"/>
        </w:trPr>
        <w:tc>
          <w:tcPr>
            <w:tcW w:w="988" w:type="dxa"/>
            <w:vMerge/>
            <w:shd w:val="clear" w:color="auto" w:fill="BDD6EE"/>
          </w:tcPr>
          <w:p w:rsidR="00C821BE" w:rsidRPr="002362E3" w:rsidRDefault="00C821BE" w:rsidP="00C821BE">
            <w:pPr>
              <w:spacing w:after="0" w:line="240" w:lineRule="auto"/>
              <w:jc w:val="both"/>
              <w:rPr>
                <w:rFonts w:ascii="Times New Roman" w:hAnsi="Times New Roman"/>
                <w:sz w:val="16"/>
                <w:szCs w:val="16"/>
                <w:lang w:val="pt-BR"/>
              </w:rPr>
            </w:pPr>
          </w:p>
        </w:tc>
        <w:tc>
          <w:tcPr>
            <w:tcW w:w="850" w:type="dxa"/>
            <w:vMerge/>
          </w:tcPr>
          <w:p w:rsidR="00C821BE" w:rsidRPr="002362E3" w:rsidRDefault="00C821BE" w:rsidP="00C821BE">
            <w:pPr>
              <w:spacing w:after="0" w:line="240" w:lineRule="auto"/>
              <w:jc w:val="both"/>
              <w:rPr>
                <w:rFonts w:ascii="Times New Roman" w:hAnsi="Times New Roman"/>
                <w:b/>
                <w:sz w:val="16"/>
                <w:szCs w:val="16"/>
                <w:lang w:val="pt-BR"/>
              </w:rPr>
            </w:pPr>
          </w:p>
        </w:tc>
        <w:tc>
          <w:tcPr>
            <w:tcW w:w="4536" w:type="dxa"/>
            <w:gridSpan w:val="3"/>
            <w:vAlign w:val="center"/>
          </w:tcPr>
          <w:p w:rsidR="00C821BE" w:rsidRPr="002362E3" w:rsidRDefault="00C821BE" w:rsidP="00C821BE">
            <w:pPr>
              <w:spacing w:after="0" w:line="240" w:lineRule="auto"/>
              <w:jc w:val="both"/>
              <w:rPr>
                <w:rFonts w:ascii="Times New Roman" w:hAnsi="Times New Roman"/>
                <w:sz w:val="16"/>
                <w:szCs w:val="16"/>
                <w:lang w:val="pt-BR"/>
              </w:rPr>
            </w:pPr>
            <w:r w:rsidRPr="002362E3">
              <w:rPr>
                <w:rFonts w:ascii="Times New Roman" w:hAnsi="Times New Roman"/>
                <w:sz w:val="16"/>
                <w:szCs w:val="16"/>
                <w:lang w:val="pt-BR"/>
              </w:rPr>
              <w:t>Risco de causar distúrbios nas redes de distribuição de água ou risco de desligamento dos tanques por horas</w:t>
            </w:r>
          </w:p>
        </w:tc>
        <w:tc>
          <w:tcPr>
            <w:tcW w:w="851" w:type="dxa"/>
            <w:vAlign w:val="center"/>
          </w:tcPr>
          <w:p w:rsidR="00C821BE" w:rsidRPr="002362E3" w:rsidRDefault="00C821BE" w:rsidP="00C821BE">
            <w:pPr>
              <w:spacing w:after="0" w:line="240" w:lineRule="auto"/>
              <w:jc w:val="center"/>
              <w:rPr>
                <w:rFonts w:ascii="Times New Roman" w:hAnsi="Times New Roman"/>
                <w:sz w:val="16"/>
                <w:szCs w:val="16"/>
                <w:lang w:val="pt-BR"/>
              </w:rPr>
            </w:pPr>
            <w:r w:rsidRPr="002362E3">
              <w:rPr>
                <w:rFonts w:ascii="Times New Roman" w:hAnsi="Times New Roman"/>
                <w:sz w:val="16"/>
                <w:szCs w:val="16"/>
                <w:lang w:val="pt-BR"/>
              </w:rPr>
              <w:t>Média</w:t>
            </w:r>
          </w:p>
        </w:tc>
        <w:tc>
          <w:tcPr>
            <w:tcW w:w="283" w:type="dxa"/>
            <w:shd w:val="clear" w:color="auto" w:fill="002060"/>
            <w:vAlign w:val="center"/>
          </w:tcPr>
          <w:p w:rsidR="00C821BE" w:rsidRPr="002362E3" w:rsidRDefault="00C821BE" w:rsidP="00C821BE">
            <w:pPr>
              <w:spacing w:after="0" w:line="240" w:lineRule="auto"/>
              <w:jc w:val="center"/>
              <w:rPr>
                <w:rFonts w:ascii="Times New Roman" w:hAnsi="Times New Roman"/>
                <w:b/>
                <w:sz w:val="16"/>
                <w:szCs w:val="16"/>
                <w:lang w:val="pt-BR"/>
              </w:rPr>
            </w:pPr>
            <w:r w:rsidRPr="002362E3">
              <w:rPr>
                <w:rFonts w:ascii="Times New Roman" w:hAnsi="Times New Roman"/>
                <w:b/>
                <w:sz w:val="16"/>
                <w:szCs w:val="16"/>
                <w:lang w:val="pt-BR"/>
              </w:rPr>
              <w:t>3</w:t>
            </w:r>
          </w:p>
        </w:tc>
        <w:tc>
          <w:tcPr>
            <w:tcW w:w="992" w:type="dxa"/>
            <w:vAlign w:val="center"/>
          </w:tcPr>
          <w:p w:rsidR="00C821BE" w:rsidRPr="002362E3" w:rsidRDefault="00C821BE" w:rsidP="00C821BE">
            <w:pPr>
              <w:spacing w:after="0" w:line="240" w:lineRule="auto"/>
              <w:jc w:val="center"/>
              <w:rPr>
                <w:rFonts w:ascii="Times New Roman" w:hAnsi="Times New Roman"/>
                <w:sz w:val="16"/>
                <w:szCs w:val="16"/>
                <w:lang w:val="pt-BR"/>
              </w:rPr>
            </w:pPr>
            <w:r w:rsidRPr="002362E3">
              <w:rPr>
                <w:rFonts w:ascii="Times New Roman" w:hAnsi="Times New Roman"/>
                <w:sz w:val="16"/>
                <w:szCs w:val="16"/>
                <w:lang w:val="pt-BR"/>
              </w:rPr>
              <w:t>Local</w:t>
            </w:r>
          </w:p>
        </w:tc>
        <w:tc>
          <w:tcPr>
            <w:tcW w:w="284" w:type="dxa"/>
            <w:shd w:val="clear" w:color="auto" w:fill="002060"/>
            <w:vAlign w:val="center"/>
          </w:tcPr>
          <w:p w:rsidR="00C821BE" w:rsidRPr="002362E3" w:rsidRDefault="00C821BE" w:rsidP="00C821BE">
            <w:pPr>
              <w:spacing w:after="0" w:line="240" w:lineRule="auto"/>
              <w:jc w:val="center"/>
              <w:rPr>
                <w:rFonts w:ascii="Times New Roman" w:hAnsi="Times New Roman"/>
                <w:b/>
                <w:sz w:val="16"/>
                <w:szCs w:val="16"/>
                <w:lang w:val="pt-BR"/>
              </w:rPr>
            </w:pPr>
            <w:r w:rsidRPr="002362E3">
              <w:rPr>
                <w:rFonts w:ascii="Times New Roman" w:hAnsi="Times New Roman"/>
                <w:b/>
                <w:sz w:val="16"/>
                <w:szCs w:val="16"/>
                <w:lang w:val="pt-BR"/>
              </w:rPr>
              <w:t>3</w:t>
            </w:r>
          </w:p>
        </w:tc>
        <w:tc>
          <w:tcPr>
            <w:tcW w:w="850" w:type="dxa"/>
            <w:vAlign w:val="center"/>
          </w:tcPr>
          <w:p w:rsidR="00C821BE" w:rsidRPr="002362E3" w:rsidRDefault="00C821BE" w:rsidP="00C821BE">
            <w:pPr>
              <w:spacing w:after="0" w:line="240" w:lineRule="auto"/>
              <w:jc w:val="center"/>
              <w:rPr>
                <w:rFonts w:ascii="Times New Roman" w:hAnsi="Times New Roman"/>
                <w:sz w:val="16"/>
                <w:szCs w:val="16"/>
                <w:lang w:val="pt-BR"/>
              </w:rPr>
            </w:pPr>
            <w:r w:rsidRPr="002362E3">
              <w:rPr>
                <w:rFonts w:ascii="Times New Roman" w:hAnsi="Times New Roman"/>
                <w:sz w:val="16"/>
                <w:szCs w:val="16"/>
                <w:lang w:val="pt-BR"/>
              </w:rPr>
              <w:t>Curto</w:t>
            </w:r>
          </w:p>
        </w:tc>
        <w:tc>
          <w:tcPr>
            <w:tcW w:w="284" w:type="dxa"/>
            <w:shd w:val="clear" w:color="auto" w:fill="002060"/>
            <w:vAlign w:val="center"/>
          </w:tcPr>
          <w:p w:rsidR="00C821BE" w:rsidRPr="002362E3" w:rsidRDefault="00C821BE" w:rsidP="00C821BE">
            <w:pPr>
              <w:spacing w:after="0" w:line="240" w:lineRule="auto"/>
              <w:jc w:val="center"/>
              <w:rPr>
                <w:rFonts w:ascii="Times New Roman" w:hAnsi="Times New Roman"/>
                <w:b/>
                <w:sz w:val="16"/>
                <w:szCs w:val="16"/>
                <w:lang w:val="pt-BR"/>
              </w:rPr>
            </w:pPr>
            <w:r w:rsidRPr="002362E3">
              <w:rPr>
                <w:rFonts w:ascii="Times New Roman" w:hAnsi="Times New Roman"/>
                <w:b/>
                <w:sz w:val="16"/>
                <w:szCs w:val="16"/>
                <w:lang w:val="pt-BR"/>
              </w:rPr>
              <w:t>1</w:t>
            </w:r>
          </w:p>
        </w:tc>
        <w:tc>
          <w:tcPr>
            <w:tcW w:w="850" w:type="dxa"/>
            <w:shd w:val="clear" w:color="auto" w:fill="92D050"/>
            <w:vAlign w:val="center"/>
          </w:tcPr>
          <w:p w:rsidR="00C821BE" w:rsidRPr="002362E3" w:rsidRDefault="00C821BE" w:rsidP="00C821BE">
            <w:pPr>
              <w:spacing w:after="0" w:line="240" w:lineRule="auto"/>
              <w:jc w:val="center"/>
              <w:rPr>
                <w:rFonts w:ascii="Times New Roman" w:hAnsi="Times New Roman"/>
                <w:b/>
                <w:sz w:val="16"/>
                <w:szCs w:val="16"/>
                <w:lang w:val="pt-BR"/>
              </w:rPr>
            </w:pPr>
            <w:r w:rsidRPr="002362E3">
              <w:rPr>
                <w:rFonts w:ascii="Times New Roman" w:hAnsi="Times New Roman"/>
                <w:b/>
                <w:sz w:val="16"/>
                <w:szCs w:val="16"/>
                <w:lang w:val="pt-BR"/>
              </w:rPr>
              <w:t>Menor</w:t>
            </w:r>
          </w:p>
        </w:tc>
        <w:tc>
          <w:tcPr>
            <w:tcW w:w="586" w:type="dxa"/>
            <w:shd w:val="clear" w:color="auto" w:fill="92D050"/>
            <w:vAlign w:val="center"/>
          </w:tcPr>
          <w:p w:rsidR="00C821BE" w:rsidRPr="002362E3" w:rsidRDefault="00C821BE" w:rsidP="00C821BE">
            <w:pPr>
              <w:spacing w:after="0" w:line="240" w:lineRule="auto"/>
              <w:jc w:val="center"/>
              <w:rPr>
                <w:rFonts w:ascii="Times New Roman" w:hAnsi="Times New Roman"/>
                <w:b/>
                <w:sz w:val="16"/>
                <w:szCs w:val="16"/>
                <w:lang w:val="pt-BR"/>
              </w:rPr>
            </w:pPr>
            <w:r w:rsidRPr="002362E3">
              <w:rPr>
                <w:rFonts w:ascii="Times New Roman" w:hAnsi="Times New Roman"/>
                <w:b/>
                <w:sz w:val="16"/>
                <w:szCs w:val="16"/>
                <w:lang w:val="pt-BR"/>
              </w:rPr>
              <w:t>9</w:t>
            </w:r>
          </w:p>
        </w:tc>
      </w:tr>
      <w:tr w:rsidR="00C821BE" w:rsidRPr="002362E3" w:rsidTr="00C821BE">
        <w:trPr>
          <w:jc w:val="center"/>
        </w:trPr>
        <w:tc>
          <w:tcPr>
            <w:tcW w:w="988" w:type="dxa"/>
            <w:vMerge/>
            <w:shd w:val="clear" w:color="auto" w:fill="BDD6EE"/>
          </w:tcPr>
          <w:p w:rsidR="00C821BE" w:rsidRPr="002362E3" w:rsidRDefault="00C821BE" w:rsidP="00C821BE">
            <w:pPr>
              <w:spacing w:after="0" w:line="240" w:lineRule="auto"/>
              <w:jc w:val="both"/>
              <w:rPr>
                <w:rFonts w:ascii="Times New Roman" w:hAnsi="Times New Roman"/>
                <w:sz w:val="16"/>
                <w:szCs w:val="16"/>
                <w:lang w:val="pt-BR"/>
              </w:rPr>
            </w:pPr>
          </w:p>
        </w:tc>
        <w:tc>
          <w:tcPr>
            <w:tcW w:w="850" w:type="dxa"/>
            <w:vMerge/>
          </w:tcPr>
          <w:p w:rsidR="00C821BE" w:rsidRPr="002362E3" w:rsidRDefault="00C821BE" w:rsidP="00C821BE">
            <w:pPr>
              <w:spacing w:after="0" w:line="240" w:lineRule="auto"/>
              <w:jc w:val="both"/>
              <w:rPr>
                <w:rFonts w:ascii="Times New Roman" w:hAnsi="Times New Roman"/>
                <w:b/>
                <w:sz w:val="16"/>
                <w:szCs w:val="16"/>
                <w:lang w:val="pt-BR"/>
              </w:rPr>
            </w:pPr>
          </w:p>
        </w:tc>
        <w:tc>
          <w:tcPr>
            <w:tcW w:w="4536" w:type="dxa"/>
            <w:gridSpan w:val="3"/>
            <w:vAlign w:val="center"/>
          </w:tcPr>
          <w:p w:rsidR="00C821BE" w:rsidRPr="002362E3" w:rsidRDefault="00C821BE" w:rsidP="00C821BE">
            <w:pPr>
              <w:spacing w:after="0" w:line="240" w:lineRule="auto"/>
              <w:jc w:val="both"/>
              <w:rPr>
                <w:rFonts w:ascii="Times New Roman" w:hAnsi="Times New Roman"/>
                <w:sz w:val="16"/>
                <w:szCs w:val="16"/>
                <w:lang w:val="pt-BR"/>
              </w:rPr>
            </w:pPr>
            <w:r w:rsidRPr="002362E3">
              <w:rPr>
                <w:rFonts w:ascii="Times New Roman" w:hAnsi="Times New Roman"/>
                <w:sz w:val="16"/>
                <w:szCs w:val="16"/>
                <w:lang w:val="pt-BR"/>
              </w:rPr>
              <w:t>Risco de aumento da insalubridade associado à má gestão de águas residuais.</w:t>
            </w:r>
          </w:p>
        </w:tc>
        <w:tc>
          <w:tcPr>
            <w:tcW w:w="851" w:type="dxa"/>
            <w:vAlign w:val="center"/>
          </w:tcPr>
          <w:p w:rsidR="00C821BE" w:rsidRPr="002362E3" w:rsidRDefault="00C821BE" w:rsidP="00C821BE">
            <w:pPr>
              <w:spacing w:after="0" w:line="240" w:lineRule="auto"/>
              <w:jc w:val="center"/>
              <w:rPr>
                <w:rFonts w:ascii="Times New Roman" w:hAnsi="Times New Roman"/>
                <w:sz w:val="16"/>
                <w:szCs w:val="16"/>
                <w:lang w:val="pt-BR"/>
              </w:rPr>
            </w:pPr>
            <w:r w:rsidRPr="002362E3">
              <w:rPr>
                <w:rFonts w:ascii="Times New Roman" w:hAnsi="Times New Roman"/>
                <w:sz w:val="16"/>
                <w:szCs w:val="16"/>
                <w:lang w:val="pt-BR"/>
              </w:rPr>
              <w:t>Forte</w:t>
            </w:r>
          </w:p>
        </w:tc>
        <w:tc>
          <w:tcPr>
            <w:tcW w:w="283" w:type="dxa"/>
            <w:shd w:val="clear" w:color="auto" w:fill="002060"/>
            <w:vAlign w:val="center"/>
          </w:tcPr>
          <w:p w:rsidR="00C821BE" w:rsidRPr="002362E3" w:rsidRDefault="00C821BE" w:rsidP="00C821BE">
            <w:pPr>
              <w:spacing w:after="0" w:line="240" w:lineRule="auto"/>
              <w:jc w:val="center"/>
              <w:rPr>
                <w:rFonts w:ascii="Times New Roman" w:hAnsi="Times New Roman"/>
                <w:b/>
                <w:sz w:val="16"/>
                <w:szCs w:val="16"/>
                <w:lang w:val="pt-BR"/>
              </w:rPr>
            </w:pPr>
            <w:r w:rsidRPr="002362E3">
              <w:rPr>
                <w:rFonts w:ascii="Times New Roman" w:hAnsi="Times New Roman"/>
                <w:b/>
                <w:sz w:val="16"/>
                <w:szCs w:val="16"/>
                <w:lang w:val="pt-BR"/>
              </w:rPr>
              <w:t>5</w:t>
            </w:r>
          </w:p>
        </w:tc>
        <w:tc>
          <w:tcPr>
            <w:tcW w:w="992" w:type="dxa"/>
            <w:vAlign w:val="center"/>
          </w:tcPr>
          <w:p w:rsidR="00C821BE" w:rsidRPr="002362E3" w:rsidRDefault="00C821BE" w:rsidP="00C821BE">
            <w:pPr>
              <w:spacing w:after="0" w:line="240" w:lineRule="auto"/>
              <w:jc w:val="center"/>
              <w:rPr>
                <w:rFonts w:ascii="Times New Roman" w:hAnsi="Times New Roman"/>
                <w:sz w:val="16"/>
                <w:szCs w:val="16"/>
                <w:lang w:val="pt-BR"/>
              </w:rPr>
            </w:pPr>
            <w:r w:rsidRPr="002362E3">
              <w:rPr>
                <w:rFonts w:ascii="Times New Roman" w:hAnsi="Times New Roman"/>
                <w:sz w:val="16"/>
                <w:szCs w:val="16"/>
                <w:lang w:val="pt-BR"/>
              </w:rPr>
              <w:t>Local</w:t>
            </w:r>
          </w:p>
        </w:tc>
        <w:tc>
          <w:tcPr>
            <w:tcW w:w="284" w:type="dxa"/>
            <w:shd w:val="clear" w:color="auto" w:fill="002060"/>
            <w:vAlign w:val="center"/>
          </w:tcPr>
          <w:p w:rsidR="00C821BE" w:rsidRPr="002362E3" w:rsidRDefault="00C821BE" w:rsidP="00C821BE">
            <w:pPr>
              <w:spacing w:after="0" w:line="240" w:lineRule="auto"/>
              <w:jc w:val="center"/>
              <w:rPr>
                <w:rFonts w:ascii="Times New Roman" w:hAnsi="Times New Roman"/>
                <w:b/>
                <w:sz w:val="16"/>
                <w:szCs w:val="16"/>
                <w:lang w:val="pt-BR"/>
              </w:rPr>
            </w:pPr>
            <w:r w:rsidRPr="002362E3">
              <w:rPr>
                <w:rFonts w:ascii="Times New Roman" w:hAnsi="Times New Roman"/>
                <w:b/>
                <w:sz w:val="16"/>
                <w:szCs w:val="16"/>
                <w:lang w:val="pt-BR"/>
              </w:rPr>
              <w:t>3</w:t>
            </w:r>
          </w:p>
        </w:tc>
        <w:tc>
          <w:tcPr>
            <w:tcW w:w="850" w:type="dxa"/>
            <w:vAlign w:val="center"/>
          </w:tcPr>
          <w:p w:rsidR="00C821BE" w:rsidRPr="002362E3" w:rsidRDefault="00C821BE" w:rsidP="00C821BE">
            <w:pPr>
              <w:spacing w:after="0" w:line="240" w:lineRule="auto"/>
              <w:jc w:val="center"/>
              <w:rPr>
                <w:rFonts w:ascii="Times New Roman" w:hAnsi="Times New Roman"/>
                <w:sz w:val="16"/>
                <w:szCs w:val="16"/>
                <w:lang w:val="pt-BR"/>
              </w:rPr>
            </w:pPr>
            <w:r w:rsidRPr="002362E3">
              <w:rPr>
                <w:rFonts w:ascii="Times New Roman" w:hAnsi="Times New Roman"/>
                <w:sz w:val="16"/>
                <w:szCs w:val="16"/>
                <w:lang w:val="pt-BR"/>
              </w:rPr>
              <w:t>Longo</w:t>
            </w:r>
          </w:p>
        </w:tc>
        <w:tc>
          <w:tcPr>
            <w:tcW w:w="284" w:type="dxa"/>
            <w:shd w:val="clear" w:color="auto" w:fill="002060"/>
            <w:vAlign w:val="center"/>
          </w:tcPr>
          <w:p w:rsidR="00C821BE" w:rsidRPr="002362E3" w:rsidRDefault="00C821BE" w:rsidP="00C821BE">
            <w:pPr>
              <w:spacing w:after="0" w:line="240" w:lineRule="auto"/>
              <w:jc w:val="center"/>
              <w:rPr>
                <w:rFonts w:ascii="Times New Roman" w:hAnsi="Times New Roman"/>
                <w:b/>
                <w:sz w:val="16"/>
                <w:szCs w:val="16"/>
                <w:lang w:val="pt-BR"/>
              </w:rPr>
            </w:pPr>
            <w:r w:rsidRPr="002362E3">
              <w:rPr>
                <w:rFonts w:ascii="Times New Roman" w:hAnsi="Times New Roman"/>
                <w:b/>
                <w:sz w:val="16"/>
                <w:szCs w:val="16"/>
                <w:lang w:val="pt-BR"/>
              </w:rPr>
              <w:t>5</w:t>
            </w:r>
          </w:p>
        </w:tc>
        <w:tc>
          <w:tcPr>
            <w:tcW w:w="850" w:type="dxa"/>
            <w:shd w:val="clear" w:color="auto" w:fill="FF0000"/>
            <w:vAlign w:val="center"/>
          </w:tcPr>
          <w:p w:rsidR="00C821BE" w:rsidRPr="002362E3" w:rsidRDefault="00C821BE" w:rsidP="00C821BE">
            <w:pPr>
              <w:spacing w:after="0" w:line="240" w:lineRule="auto"/>
              <w:jc w:val="center"/>
              <w:rPr>
                <w:rFonts w:ascii="Times New Roman" w:hAnsi="Times New Roman"/>
                <w:b/>
                <w:sz w:val="16"/>
                <w:szCs w:val="16"/>
                <w:lang w:val="pt-BR"/>
              </w:rPr>
            </w:pPr>
            <w:r w:rsidRPr="002362E3">
              <w:rPr>
                <w:rFonts w:ascii="Times New Roman" w:hAnsi="Times New Roman"/>
                <w:b/>
                <w:sz w:val="16"/>
                <w:szCs w:val="16"/>
                <w:lang w:val="pt-BR"/>
              </w:rPr>
              <w:t>Principal</w:t>
            </w:r>
          </w:p>
        </w:tc>
        <w:tc>
          <w:tcPr>
            <w:tcW w:w="586" w:type="dxa"/>
            <w:shd w:val="clear" w:color="auto" w:fill="FF0000"/>
            <w:vAlign w:val="center"/>
          </w:tcPr>
          <w:p w:rsidR="00C821BE" w:rsidRPr="002362E3" w:rsidRDefault="00C821BE" w:rsidP="00C821BE">
            <w:pPr>
              <w:spacing w:after="0" w:line="240" w:lineRule="auto"/>
              <w:jc w:val="center"/>
              <w:rPr>
                <w:rFonts w:ascii="Times New Roman" w:hAnsi="Times New Roman"/>
                <w:b/>
                <w:sz w:val="16"/>
                <w:szCs w:val="16"/>
                <w:lang w:val="pt-BR"/>
              </w:rPr>
            </w:pPr>
            <w:r w:rsidRPr="002362E3">
              <w:rPr>
                <w:rFonts w:ascii="Times New Roman" w:hAnsi="Times New Roman"/>
                <w:b/>
                <w:sz w:val="16"/>
                <w:szCs w:val="16"/>
                <w:lang w:val="pt-BR"/>
              </w:rPr>
              <w:t>75</w:t>
            </w:r>
          </w:p>
        </w:tc>
      </w:tr>
    </w:tbl>
    <w:p w:rsidR="00C821BE" w:rsidRPr="002362E3" w:rsidRDefault="00C821BE" w:rsidP="00C821BE">
      <w:pPr>
        <w:pStyle w:val="PargrafodaLista"/>
        <w:numPr>
          <w:ilvl w:val="0"/>
          <w:numId w:val="245"/>
        </w:numPr>
        <w:tabs>
          <w:tab w:val="left" w:pos="1418"/>
          <w:tab w:val="left" w:pos="1843"/>
        </w:tabs>
        <w:spacing w:after="240" w:line="240" w:lineRule="auto"/>
        <w:ind w:right="-283"/>
        <w:contextualSpacing w:val="0"/>
        <w:rPr>
          <w:rFonts w:ascii="Times New Roman" w:hAnsi="Times New Roman"/>
          <w:b/>
          <w:bCs/>
          <w:i/>
          <w:sz w:val="22"/>
          <w:szCs w:val="22"/>
          <w:lang w:val="pt-BR"/>
        </w:rPr>
      </w:pPr>
      <w:r w:rsidRPr="002362E3">
        <w:rPr>
          <w:rFonts w:ascii="Times New Roman" w:hAnsi="Times New Roman"/>
          <w:b/>
          <w:bCs/>
          <w:i/>
          <w:sz w:val="22"/>
          <w:szCs w:val="22"/>
          <w:lang w:val="pt-BR"/>
        </w:rPr>
        <w:t>ANÁLISE DE RISCO</w:t>
      </w:r>
    </w:p>
    <w:p w:rsidR="00C821BE" w:rsidRPr="002362E3" w:rsidRDefault="00C821BE" w:rsidP="00C821BE">
      <w:pPr>
        <w:spacing w:after="120" w:line="240" w:lineRule="auto"/>
        <w:ind w:left="-284" w:right="-853"/>
        <w:jc w:val="both"/>
        <w:rPr>
          <w:rFonts w:ascii="Times New Roman" w:hAnsi="Times New Roman" w:cs="Times New Roman"/>
          <w:bCs/>
          <w:lang w:val="pt-BR"/>
        </w:rPr>
      </w:pPr>
      <w:r w:rsidRPr="002362E3">
        <w:rPr>
          <w:rFonts w:ascii="Times New Roman" w:hAnsi="Times New Roman" w:cs="Times New Roman"/>
          <w:bCs/>
          <w:lang w:val="pt-BR"/>
        </w:rPr>
        <w:t>Neste capítulo serão analisados ​​os riscos tecnológicos e os riscos profissionais vinculados ao projeto. A análise de risco diz respeito tanto à fase de construção quanto à fase de operação.</w:t>
      </w:r>
    </w:p>
    <w:p w:rsidR="00C821BE" w:rsidRPr="002362E3" w:rsidRDefault="00C821BE" w:rsidP="00C821BE">
      <w:pPr>
        <w:pStyle w:val="PargrafodaLista"/>
        <w:keepNext/>
        <w:numPr>
          <w:ilvl w:val="1"/>
          <w:numId w:val="244"/>
        </w:numPr>
        <w:spacing w:before="240" w:after="0"/>
        <w:jc w:val="both"/>
        <w:rPr>
          <w:rFonts w:ascii="Times New Roman" w:hAnsi="Times New Roman"/>
          <w:b/>
          <w:i/>
          <w:lang w:val="pt-BR" w:eastAsia="fr-FR"/>
        </w:rPr>
      </w:pPr>
      <w:r w:rsidRPr="002362E3">
        <w:rPr>
          <w:rFonts w:ascii="Times New Roman" w:hAnsi="Times New Roman"/>
          <w:b/>
          <w:i/>
          <w:lang w:val="pt-BR" w:eastAsia="fr-FR"/>
        </w:rPr>
        <w:t>Análise de risco tecnológico</w:t>
      </w:r>
    </w:p>
    <w:p w:rsidR="00C821BE" w:rsidRPr="002362E3" w:rsidRDefault="00C821BE" w:rsidP="00C821BE">
      <w:pPr>
        <w:spacing w:after="120" w:line="240" w:lineRule="auto"/>
        <w:ind w:left="-284" w:right="-853"/>
        <w:jc w:val="both"/>
        <w:rPr>
          <w:rFonts w:ascii="Times New Roman" w:hAnsi="Times New Roman" w:cs="Times New Roman"/>
          <w:bCs/>
          <w:lang w:val="pt-BR"/>
        </w:rPr>
      </w:pPr>
      <w:r w:rsidRPr="002362E3">
        <w:rPr>
          <w:rFonts w:ascii="Times New Roman" w:hAnsi="Times New Roman" w:cs="Times New Roman"/>
          <w:bCs/>
          <w:lang w:val="pt-BR"/>
        </w:rPr>
        <w:t>O objetivo da análise de risco é, por um lado, identificar as situações que podem estar na origem de um acidente e, por outro lado, analisar as barreiras de segurança (medidas preventivas, meios proteção e intervenção) associadas a ele. Em última análise, trata-se de examinar:</w:t>
      </w:r>
    </w:p>
    <w:p w:rsidR="00C821BE" w:rsidRPr="002362E3" w:rsidRDefault="00C821BE" w:rsidP="00C821BE">
      <w:pPr>
        <w:numPr>
          <w:ilvl w:val="0"/>
          <w:numId w:val="249"/>
        </w:numPr>
        <w:spacing w:after="200" w:line="240" w:lineRule="auto"/>
        <w:ind w:right="-283"/>
        <w:contextualSpacing/>
        <w:jc w:val="both"/>
        <w:rPr>
          <w:rFonts w:ascii="Times New Roman" w:hAnsi="Times New Roman"/>
          <w:sz w:val="20"/>
          <w:szCs w:val="20"/>
          <w:lang w:val="pt-BR"/>
        </w:rPr>
      </w:pPr>
      <w:r w:rsidRPr="002362E3">
        <w:rPr>
          <w:rFonts w:ascii="Times New Roman" w:hAnsi="Times New Roman"/>
          <w:sz w:val="20"/>
          <w:szCs w:val="20"/>
          <w:lang w:val="pt-BR"/>
        </w:rPr>
        <w:t>Falhas internas: riscos relacionados ao produto, falhas intrínsecas relacionadas ao mau funcionamento das instalações, projeto ou operação inadequada do equipamento, etc.</w:t>
      </w:r>
    </w:p>
    <w:p w:rsidR="00C821BE" w:rsidRPr="002362E3" w:rsidRDefault="00C821BE" w:rsidP="00C821BE">
      <w:pPr>
        <w:numPr>
          <w:ilvl w:val="0"/>
          <w:numId w:val="249"/>
        </w:numPr>
        <w:spacing w:after="200" w:line="240" w:lineRule="auto"/>
        <w:ind w:right="-283"/>
        <w:contextualSpacing/>
        <w:jc w:val="both"/>
        <w:rPr>
          <w:rFonts w:ascii="Times New Roman" w:hAnsi="Times New Roman"/>
          <w:sz w:val="20"/>
          <w:szCs w:val="20"/>
          <w:lang w:val="pt-BR"/>
        </w:rPr>
      </w:pPr>
      <w:r w:rsidRPr="002362E3">
        <w:rPr>
          <w:rFonts w:ascii="Times New Roman" w:hAnsi="Times New Roman"/>
          <w:sz w:val="20"/>
          <w:szCs w:val="20"/>
          <w:lang w:val="pt-BR"/>
        </w:rPr>
        <w:t>Falhas de origem externa, que resultam de falha de equipamento, ela própria na sequência de um ataque externo (outras atividades externas, riscos naturais, etc.).</w:t>
      </w:r>
    </w:p>
    <w:p w:rsidR="00C821BE" w:rsidRPr="002362E3" w:rsidRDefault="00C821BE" w:rsidP="00C821BE">
      <w:pPr>
        <w:spacing w:after="200" w:line="240" w:lineRule="auto"/>
        <w:ind w:left="720" w:right="-283"/>
        <w:contextualSpacing/>
        <w:jc w:val="both"/>
        <w:rPr>
          <w:rFonts w:ascii="Times New Roman" w:hAnsi="Times New Roman"/>
          <w:sz w:val="20"/>
          <w:szCs w:val="20"/>
          <w:lang w:val="pt-BR"/>
        </w:rPr>
      </w:pPr>
    </w:p>
    <w:p w:rsidR="00C821BE" w:rsidRPr="002362E3" w:rsidRDefault="00C821BE" w:rsidP="00C821BE">
      <w:pPr>
        <w:spacing w:after="120" w:line="240" w:lineRule="auto"/>
        <w:ind w:left="-284" w:right="-853"/>
        <w:jc w:val="both"/>
        <w:rPr>
          <w:rFonts w:ascii="Times New Roman" w:hAnsi="Times New Roman" w:cs="Times New Roman"/>
          <w:bCs/>
          <w:lang w:val="pt-BR"/>
        </w:rPr>
      </w:pPr>
      <w:r w:rsidRPr="002362E3">
        <w:rPr>
          <w:rFonts w:ascii="Times New Roman" w:hAnsi="Times New Roman" w:cs="Times New Roman"/>
          <w:bCs/>
          <w:lang w:val="pt-BR"/>
        </w:rPr>
        <w:t>Os principais elementos sensíveis aos perigos são descritos no capítulo que descreve as condições ambientais básicas e no capítulo de apresentação do projeto.</w:t>
      </w:r>
    </w:p>
    <w:p w:rsidR="00C821BE" w:rsidRPr="002362E3" w:rsidRDefault="00C821BE" w:rsidP="00C821BE">
      <w:pPr>
        <w:pStyle w:val="PargrafodaLista"/>
        <w:numPr>
          <w:ilvl w:val="0"/>
          <w:numId w:val="250"/>
        </w:numPr>
        <w:spacing w:after="0" w:line="240" w:lineRule="auto"/>
        <w:ind w:right="-283"/>
        <w:contextualSpacing w:val="0"/>
        <w:jc w:val="both"/>
        <w:rPr>
          <w:rFonts w:ascii="Times New Roman" w:hAnsi="Times New Roman"/>
          <w:lang w:val="pt-BR"/>
        </w:rPr>
      </w:pPr>
      <w:r w:rsidRPr="002362E3">
        <w:rPr>
          <w:rFonts w:ascii="Times New Roman" w:hAnsi="Times New Roman"/>
          <w:lang w:val="pt-BR"/>
        </w:rPr>
        <w:t>Perigos relacionados aos produtos usados ​​durante a fase de construção</w:t>
      </w:r>
    </w:p>
    <w:p w:rsidR="00C821BE" w:rsidRPr="002362E3" w:rsidRDefault="00C821BE" w:rsidP="00C821BE">
      <w:pPr>
        <w:pStyle w:val="PargrafodaLista"/>
        <w:numPr>
          <w:ilvl w:val="0"/>
          <w:numId w:val="250"/>
        </w:numPr>
        <w:spacing w:after="0" w:line="240" w:lineRule="auto"/>
        <w:ind w:right="-283"/>
        <w:contextualSpacing w:val="0"/>
        <w:jc w:val="both"/>
        <w:rPr>
          <w:rFonts w:ascii="Times New Roman" w:hAnsi="Times New Roman"/>
          <w:lang w:val="pt-BR"/>
        </w:rPr>
      </w:pPr>
      <w:r w:rsidRPr="002362E3">
        <w:rPr>
          <w:rFonts w:ascii="Times New Roman" w:hAnsi="Times New Roman"/>
          <w:lang w:val="pt-BR"/>
        </w:rPr>
        <w:t>Perigos relacionados a equipamentos / processos durante a fase de construção</w:t>
      </w:r>
    </w:p>
    <w:p w:rsidR="00C821BE" w:rsidRPr="002362E3" w:rsidRDefault="00C821BE" w:rsidP="00C821BE">
      <w:pPr>
        <w:pStyle w:val="PargrafodaLista"/>
        <w:numPr>
          <w:ilvl w:val="0"/>
          <w:numId w:val="250"/>
        </w:numPr>
        <w:spacing w:after="0" w:line="240" w:lineRule="auto"/>
        <w:ind w:right="-283"/>
        <w:contextualSpacing w:val="0"/>
        <w:jc w:val="both"/>
        <w:rPr>
          <w:rFonts w:ascii="Times New Roman" w:hAnsi="Times New Roman"/>
          <w:lang w:val="pt-BR"/>
        </w:rPr>
      </w:pPr>
      <w:r w:rsidRPr="002362E3">
        <w:rPr>
          <w:rFonts w:ascii="Times New Roman" w:hAnsi="Times New Roman"/>
          <w:lang w:val="pt-BR"/>
        </w:rPr>
        <w:t>Riscos associados às instalações operacionais</w:t>
      </w:r>
    </w:p>
    <w:p w:rsidR="00C821BE" w:rsidRPr="002362E3" w:rsidRDefault="00C821BE" w:rsidP="00C821BE">
      <w:pPr>
        <w:pStyle w:val="PargrafodaLista"/>
        <w:ind w:right="-283"/>
        <w:jc w:val="both"/>
        <w:rPr>
          <w:rFonts w:ascii="Times New Roman" w:hAnsi="Times New Roman"/>
          <w:lang w:val="pt-BR"/>
        </w:rPr>
      </w:pPr>
    </w:p>
    <w:p w:rsidR="00C821BE" w:rsidRPr="002362E3" w:rsidRDefault="00C821BE" w:rsidP="00C821BE">
      <w:pPr>
        <w:pStyle w:val="PargrafodaLista"/>
        <w:numPr>
          <w:ilvl w:val="0"/>
          <w:numId w:val="251"/>
        </w:numPr>
        <w:spacing w:after="0" w:line="240" w:lineRule="auto"/>
        <w:ind w:right="-283"/>
        <w:contextualSpacing w:val="0"/>
        <w:jc w:val="both"/>
        <w:rPr>
          <w:b/>
          <w:i/>
          <w:lang w:val="pt-BR"/>
        </w:rPr>
      </w:pPr>
      <w:r w:rsidRPr="002362E3">
        <w:rPr>
          <w:b/>
          <w:i/>
          <w:lang w:val="pt-BR"/>
        </w:rPr>
        <w:t>ESTUDO DE ACIDENTOLOGIA</w:t>
      </w:r>
    </w:p>
    <w:p w:rsidR="00C821BE" w:rsidRPr="002362E3" w:rsidRDefault="00C821BE" w:rsidP="00C821BE">
      <w:pPr>
        <w:spacing w:after="120" w:line="240" w:lineRule="auto"/>
        <w:ind w:left="-284" w:right="-853"/>
        <w:jc w:val="both"/>
        <w:rPr>
          <w:rFonts w:ascii="Times New Roman" w:hAnsi="Times New Roman" w:cs="Times New Roman"/>
          <w:bCs/>
          <w:lang w:val="pt-BR"/>
        </w:rPr>
      </w:pPr>
      <w:r w:rsidRPr="002362E3">
        <w:rPr>
          <w:rFonts w:ascii="Times New Roman" w:hAnsi="Times New Roman" w:cs="Times New Roman"/>
          <w:bCs/>
          <w:lang w:val="pt-BR"/>
        </w:rPr>
        <w:t>A análise de acidentes mostra que as conquistas a receber provavelmente estão na origem de vários acidentes graves.</w:t>
      </w:r>
    </w:p>
    <w:p w:rsidR="00C821BE" w:rsidRPr="002362E3" w:rsidRDefault="00C821BE" w:rsidP="00C821BE">
      <w:pPr>
        <w:spacing w:after="120" w:line="240" w:lineRule="auto"/>
        <w:ind w:left="-284" w:right="-853"/>
        <w:jc w:val="both"/>
        <w:rPr>
          <w:rFonts w:ascii="Times New Roman" w:hAnsi="Times New Roman" w:cs="Times New Roman"/>
          <w:bCs/>
          <w:lang w:val="pt-BR"/>
        </w:rPr>
      </w:pPr>
      <w:r w:rsidRPr="002362E3">
        <w:rPr>
          <w:rFonts w:ascii="Times New Roman" w:hAnsi="Times New Roman" w:cs="Times New Roman"/>
          <w:bCs/>
          <w:lang w:val="pt-BR"/>
        </w:rPr>
        <w:t>As causas variam de falhas materiais e atos criminosos a erros humanos ou processuais.</w:t>
      </w:r>
    </w:p>
    <w:p w:rsidR="00C821BE" w:rsidRPr="002362E3" w:rsidRDefault="00C821BE" w:rsidP="00C821BE">
      <w:pPr>
        <w:spacing w:after="120" w:line="240" w:lineRule="auto"/>
        <w:ind w:left="-284" w:right="-853"/>
        <w:jc w:val="both"/>
        <w:rPr>
          <w:rFonts w:ascii="Times New Roman" w:hAnsi="Times New Roman" w:cs="Times New Roman"/>
          <w:bCs/>
          <w:lang w:val="pt-BR"/>
        </w:rPr>
      </w:pPr>
      <w:r w:rsidRPr="002362E3">
        <w:rPr>
          <w:rFonts w:ascii="Times New Roman" w:hAnsi="Times New Roman" w:cs="Times New Roman"/>
          <w:bCs/>
          <w:lang w:val="pt-BR"/>
        </w:rPr>
        <w:t>As principais causas que foram listadas para este projeto de som:</w:t>
      </w:r>
    </w:p>
    <w:p w:rsidR="00C821BE" w:rsidRPr="002362E3" w:rsidRDefault="00C821BE" w:rsidP="00C821BE">
      <w:pPr>
        <w:pStyle w:val="PargrafodaLista"/>
        <w:numPr>
          <w:ilvl w:val="1"/>
          <w:numId w:val="248"/>
        </w:numPr>
        <w:spacing w:after="240" w:line="240" w:lineRule="auto"/>
        <w:ind w:left="924" w:right="-283" w:hanging="357"/>
        <w:jc w:val="both"/>
        <w:rPr>
          <w:rFonts w:ascii="Times New Roman" w:hAnsi="Times New Roman"/>
          <w:lang w:val="pt-BR"/>
        </w:rPr>
      </w:pPr>
      <w:r w:rsidRPr="002362E3">
        <w:rPr>
          <w:rFonts w:ascii="Times New Roman" w:hAnsi="Times New Roman"/>
          <w:lang w:val="pt-BR"/>
        </w:rPr>
        <w:t>Falha de hardware,</w:t>
      </w:r>
    </w:p>
    <w:p w:rsidR="00C821BE" w:rsidRPr="002362E3" w:rsidRDefault="00C821BE" w:rsidP="00C821BE">
      <w:pPr>
        <w:pStyle w:val="PargrafodaLista"/>
        <w:numPr>
          <w:ilvl w:val="1"/>
          <w:numId w:val="248"/>
        </w:numPr>
        <w:spacing w:after="240" w:line="240" w:lineRule="auto"/>
        <w:ind w:left="924" w:right="-283" w:hanging="357"/>
        <w:jc w:val="both"/>
        <w:rPr>
          <w:rFonts w:ascii="Times New Roman" w:hAnsi="Times New Roman"/>
          <w:lang w:val="pt-BR"/>
        </w:rPr>
      </w:pPr>
      <w:r w:rsidRPr="002362E3">
        <w:rPr>
          <w:rFonts w:ascii="Times New Roman" w:hAnsi="Times New Roman"/>
          <w:lang w:val="pt-BR"/>
        </w:rPr>
        <w:t>Falha humana,</w:t>
      </w:r>
    </w:p>
    <w:p w:rsidR="00C821BE" w:rsidRPr="002362E3" w:rsidRDefault="00C821BE" w:rsidP="00C821BE">
      <w:pPr>
        <w:pStyle w:val="PargrafodaLista"/>
        <w:numPr>
          <w:ilvl w:val="1"/>
          <w:numId w:val="248"/>
        </w:numPr>
        <w:spacing w:after="240" w:line="240" w:lineRule="auto"/>
        <w:ind w:left="924" w:right="-283" w:hanging="357"/>
        <w:jc w:val="both"/>
        <w:rPr>
          <w:rFonts w:ascii="Times New Roman" w:hAnsi="Times New Roman"/>
          <w:lang w:val="pt-BR"/>
        </w:rPr>
      </w:pPr>
      <w:r w:rsidRPr="002362E3">
        <w:rPr>
          <w:rFonts w:ascii="Times New Roman" w:hAnsi="Times New Roman"/>
          <w:lang w:val="pt-BR"/>
        </w:rPr>
        <w:t>Malevolência,</w:t>
      </w:r>
    </w:p>
    <w:p w:rsidR="00C821BE" w:rsidRPr="002362E3" w:rsidRDefault="00C821BE" w:rsidP="00C821BE">
      <w:pPr>
        <w:pStyle w:val="PargrafodaLista"/>
        <w:numPr>
          <w:ilvl w:val="1"/>
          <w:numId w:val="248"/>
        </w:numPr>
        <w:spacing w:after="240" w:line="240" w:lineRule="auto"/>
        <w:ind w:left="924" w:right="-283" w:hanging="357"/>
        <w:jc w:val="both"/>
        <w:rPr>
          <w:rFonts w:ascii="Times New Roman" w:hAnsi="Times New Roman"/>
          <w:lang w:val="pt-BR"/>
        </w:rPr>
      </w:pPr>
      <w:r w:rsidRPr="002362E3">
        <w:rPr>
          <w:rFonts w:ascii="Times New Roman" w:hAnsi="Times New Roman"/>
          <w:lang w:val="pt-BR"/>
        </w:rPr>
        <w:t>Intervenção insuficiente,</w:t>
      </w:r>
    </w:p>
    <w:p w:rsidR="00C821BE" w:rsidRPr="002362E3" w:rsidRDefault="00C821BE" w:rsidP="00C821BE">
      <w:pPr>
        <w:pStyle w:val="PargrafodaLista"/>
        <w:numPr>
          <w:ilvl w:val="1"/>
          <w:numId w:val="248"/>
        </w:numPr>
        <w:spacing w:after="240" w:line="240" w:lineRule="auto"/>
        <w:ind w:left="924" w:right="-283" w:hanging="357"/>
        <w:jc w:val="both"/>
        <w:rPr>
          <w:rFonts w:ascii="Times New Roman" w:hAnsi="Times New Roman"/>
          <w:lang w:val="pt-BR"/>
        </w:rPr>
      </w:pPr>
      <w:r w:rsidRPr="002362E3">
        <w:rPr>
          <w:rFonts w:ascii="Times New Roman" w:hAnsi="Times New Roman"/>
          <w:lang w:val="pt-BR"/>
        </w:rPr>
        <w:t>Acidente exterior.</w:t>
      </w:r>
    </w:p>
    <w:p w:rsidR="00C821BE" w:rsidRPr="002362E3" w:rsidRDefault="00C821BE" w:rsidP="00C821BE">
      <w:pPr>
        <w:spacing w:after="120" w:line="240" w:lineRule="auto"/>
        <w:ind w:left="-284" w:right="-853"/>
        <w:jc w:val="both"/>
        <w:rPr>
          <w:rFonts w:ascii="Times New Roman" w:hAnsi="Times New Roman" w:cs="Times New Roman"/>
          <w:bCs/>
          <w:lang w:val="pt-BR"/>
        </w:rPr>
      </w:pPr>
      <w:r w:rsidRPr="002362E3">
        <w:rPr>
          <w:rFonts w:ascii="Times New Roman" w:hAnsi="Times New Roman" w:cs="Times New Roman"/>
          <w:bCs/>
          <w:lang w:val="pt-BR"/>
        </w:rPr>
        <w:t>Assim, a análise da acidentologia e a identificação dos perigos potenciais ligados aos tanques e equipamentos e às substâncias armazenadas, mostra que os eventos que podem ser temidos para tais projetos são:</w:t>
      </w:r>
    </w:p>
    <w:p w:rsidR="00C821BE" w:rsidRPr="002362E3" w:rsidRDefault="00C821BE" w:rsidP="00C821BE">
      <w:pPr>
        <w:numPr>
          <w:ilvl w:val="0"/>
          <w:numId w:val="96"/>
        </w:numPr>
        <w:spacing w:after="0"/>
        <w:jc w:val="both"/>
        <w:rPr>
          <w:rFonts w:ascii="Times New Roman" w:hAnsi="Times New Roman"/>
          <w:sz w:val="20"/>
          <w:szCs w:val="20"/>
          <w:lang w:val="pt-BR"/>
        </w:rPr>
      </w:pPr>
      <w:r w:rsidRPr="002362E3">
        <w:rPr>
          <w:rFonts w:ascii="Times New Roman" w:hAnsi="Times New Roman"/>
          <w:sz w:val="20"/>
          <w:szCs w:val="20"/>
          <w:lang w:val="pt-BR"/>
        </w:rPr>
        <w:t>Incêndio e / ou explosão do grupo gerador;</w:t>
      </w:r>
    </w:p>
    <w:p w:rsidR="00C821BE" w:rsidRPr="002362E3" w:rsidRDefault="00C821BE" w:rsidP="00C821BE">
      <w:pPr>
        <w:numPr>
          <w:ilvl w:val="0"/>
          <w:numId w:val="96"/>
        </w:numPr>
        <w:spacing w:after="0"/>
        <w:jc w:val="both"/>
        <w:rPr>
          <w:rFonts w:ascii="Times New Roman" w:hAnsi="Times New Roman"/>
          <w:sz w:val="20"/>
          <w:szCs w:val="20"/>
          <w:lang w:val="pt-BR"/>
        </w:rPr>
      </w:pPr>
      <w:r w:rsidRPr="002362E3">
        <w:rPr>
          <w:rFonts w:ascii="Times New Roman" w:hAnsi="Times New Roman"/>
          <w:sz w:val="20"/>
          <w:szCs w:val="20"/>
          <w:lang w:val="pt-BR"/>
        </w:rPr>
        <w:t>Fogo em uma bacia de retenção de óleo;</w:t>
      </w:r>
    </w:p>
    <w:p w:rsidR="00C821BE" w:rsidRPr="002362E3" w:rsidRDefault="00C821BE" w:rsidP="00C821BE">
      <w:pPr>
        <w:numPr>
          <w:ilvl w:val="0"/>
          <w:numId w:val="96"/>
        </w:numPr>
        <w:spacing w:after="0"/>
        <w:jc w:val="both"/>
        <w:rPr>
          <w:rFonts w:ascii="Times New Roman" w:hAnsi="Times New Roman"/>
          <w:sz w:val="20"/>
          <w:szCs w:val="20"/>
          <w:lang w:val="pt-BR"/>
        </w:rPr>
      </w:pPr>
      <w:r w:rsidRPr="002362E3">
        <w:rPr>
          <w:rFonts w:ascii="Times New Roman" w:hAnsi="Times New Roman"/>
          <w:sz w:val="20"/>
          <w:szCs w:val="20"/>
          <w:lang w:val="pt-BR"/>
        </w:rPr>
        <w:t>Colapso de uma torre de água;</w:t>
      </w:r>
    </w:p>
    <w:p w:rsidR="00C821BE" w:rsidRPr="002362E3" w:rsidRDefault="00C821BE" w:rsidP="00C821BE">
      <w:pPr>
        <w:numPr>
          <w:ilvl w:val="0"/>
          <w:numId w:val="96"/>
        </w:numPr>
        <w:spacing w:after="0"/>
        <w:jc w:val="both"/>
        <w:rPr>
          <w:rFonts w:ascii="Times New Roman" w:hAnsi="Times New Roman"/>
          <w:sz w:val="20"/>
          <w:szCs w:val="20"/>
          <w:lang w:val="pt-BR"/>
        </w:rPr>
      </w:pPr>
      <w:r w:rsidRPr="002362E3">
        <w:rPr>
          <w:rFonts w:ascii="Times New Roman" w:hAnsi="Times New Roman"/>
          <w:sz w:val="20"/>
          <w:szCs w:val="20"/>
          <w:lang w:val="pt-BR"/>
        </w:rPr>
        <w:t>Tubos quebrados;</w:t>
      </w:r>
    </w:p>
    <w:p w:rsidR="00C821BE" w:rsidRPr="002362E3" w:rsidRDefault="00C821BE" w:rsidP="00C821BE">
      <w:pPr>
        <w:numPr>
          <w:ilvl w:val="0"/>
          <w:numId w:val="96"/>
        </w:numPr>
        <w:spacing w:after="0"/>
        <w:jc w:val="both"/>
        <w:rPr>
          <w:rFonts w:ascii="Times New Roman" w:hAnsi="Times New Roman"/>
          <w:sz w:val="20"/>
          <w:szCs w:val="20"/>
          <w:lang w:val="pt-BR"/>
        </w:rPr>
      </w:pPr>
      <w:r w:rsidRPr="002362E3">
        <w:rPr>
          <w:rFonts w:ascii="Times New Roman" w:hAnsi="Times New Roman"/>
          <w:sz w:val="20"/>
          <w:szCs w:val="20"/>
          <w:lang w:val="pt-BR"/>
        </w:rPr>
        <w:t>Poluição da água no reservatório;</w:t>
      </w:r>
    </w:p>
    <w:p w:rsidR="00C821BE" w:rsidRPr="002362E3" w:rsidRDefault="00C821BE" w:rsidP="00C821BE">
      <w:pPr>
        <w:spacing w:after="0"/>
        <w:ind w:left="720"/>
        <w:jc w:val="both"/>
        <w:rPr>
          <w:rFonts w:ascii="Times New Roman" w:hAnsi="Times New Roman"/>
          <w:sz w:val="24"/>
          <w:szCs w:val="24"/>
          <w:lang w:val="pt-BR"/>
        </w:rPr>
      </w:pPr>
    </w:p>
    <w:p w:rsidR="00C821BE" w:rsidRPr="002362E3" w:rsidRDefault="00C821BE" w:rsidP="00C821BE">
      <w:pPr>
        <w:pStyle w:val="PargrafodaLista"/>
        <w:numPr>
          <w:ilvl w:val="0"/>
          <w:numId w:val="245"/>
        </w:numPr>
        <w:tabs>
          <w:tab w:val="left" w:pos="1418"/>
          <w:tab w:val="left" w:pos="1843"/>
        </w:tabs>
        <w:spacing w:after="240" w:line="240" w:lineRule="auto"/>
        <w:ind w:right="-283"/>
        <w:contextualSpacing w:val="0"/>
        <w:rPr>
          <w:rFonts w:ascii="Times New Roman" w:hAnsi="Times New Roman"/>
          <w:b/>
          <w:bCs/>
          <w:i/>
          <w:sz w:val="22"/>
          <w:szCs w:val="22"/>
          <w:lang w:val="pt-BR"/>
        </w:rPr>
      </w:pPr>
      <w:r w:rsidRPr="002362E3">
        <w:rPr>
          <w:rFonts w:ascii="Times New Roman" w:hAnsi="Times New Roman"/>
          <w:b/>
          <w:bCs/>
          <w:i/>
          <w:sz w:val="22"/>
          <w:szCs w:val="22"/>
          <w:lang w:val="pt-BR"/>
        </w:rPr>
        <w:t>PLANO DE GESTÃO AMBIENTAL E SOCIAL</w:t>
      </w:r>
    </w:p>
    <w:p w:rsidR="00C821BE" w:rsidRPr="002362E3" w:rsidRDefault="00C821BE" w:rsidP="00C821BE">
      <w:pPr>
        <w:spacing w:before="240" w:after="0" w:line="240" w:lineRule="auto"/>
        <w:ind w:left="-142" w:right="-141"/>
        <w:jc w:val="both"/>
        <w:rPr>
          <w:rFonts w:ascii="Times New Roman" w:hAnsi="Times New Roman"/>
          <w:iCs/>
          <w:sz w:val="24"/>
          <w:szCs w:val="24"/>
          <w:lang w:val="pt-BR"/>
        </w:rPr>
      </w:pPr>
      <w:r w:rsidRPr="002362E3">
        <w:rPr>
          <w:rFonts w:ascii="Times New Roman" w:hAnsi="Times New Roman" w:cs="Times New Roman"/>
          <w:bCs/>
          <w:lang w:val="pt-BR"/>
        </w:rPr>
        <w:t>O plano de gestão ambiental visa garantir a implementação correta e dentro do prazo</w:t>
      </w:r>
      <w:r w:rsidRPr="002362E3">
        <w:rPr>
          <w:rFonts w:ascii="Times New Roman" w:hAnsi="Times New Roman"/>
          <w:iCs/>
          <w:sz w:val="24"/>
          <w:szCs w:val="24"/>
          <w:lang w:val="pt-BR"/>
        </w:rPr>
        <w:t xml:space="preserve"> de todas as medidas de mitigação de impactos negativos e o aumento dos impactos positivos.</w:t>
      </w:r>
    </w:p>
    <w:p w:rsidR="00C821BE" w:rsidRPr="002362E3" w:rsidRDefault="00C821BE" w:rsidP="00C821BE">
      <w:pPr>
        <w:spacing w:after="0"/>
        <w:ind w:right="-283"/>
        <w:jc w:val="center"/>
        <w:rPr>
          <w:rFonts w:ascii="Times New Roman" w:hAnsi="Times New Roman" w:cs="Times New Roman"/>
          <w:b/>
          <w:sz w:val="24"/>
          <w:szCs w:val="24"/>
          <w:lang w:val="pt-BR"/>
        </w:rPr>
      </w:pPr>
      <w:r w:rsidRPr="002362E3">
        <w:rPr>
          <w:b/>
          <w:bCs/>
          <w:sz w:val="28"/>
          <w:szCs w:val="28"/>
          <w:u w:val="single"/>
          <w:lang w:val="pt-BR"/>
        </w:rPr>
        <w:t>Resumo do plano de gestão ambiental e social (PGES)</w:t>
      </w:r>
    </w:p>
    <w:p w:rsidR="00C821BE" w:rsidRPr="002362E3" w:rsidRDefault="00C821BE" w:rsidP="00C821BE">
      <w:pPr>
        <w:overflowPunct w:val="0"/>
        <w:autoSpaceDE w:val="0"/>
        <w:autoSpaceDN w:val="0"/>
        <w:adjustRightInd w:val="0"/>
        <w:spacing w:after="0" w:line="240" w:lineRule="auto"/>
        <w:ind w:right="-711"/>
        <w:jc w:val="center"/>
        <w:rPr>
          <w:rFonts w:ascii="Times New Roman" w:eastAsia="Times New Roman" w:hAnsi="Times New Roman"/>
          <w:b/>
          <w:bCs/>
          <w:sz w:val="20"/>
          <w:szCs w:val="20"/>
          <w:lang w:val="pt-BR" w:eastAsia="fr-FR"/>
        </w:rPr>
        <w:sectPr w:rsidR="00C821BE" w:rsidRPr="002362E3" w:rsidSect="00362638">
          <w:headerReference w:type="default" r:id="rId21"/>
          <w:pgSz w:w="11906" w:h="16838"/>
          <w:pgMar w:top="1135" w:right="1418" w:bottom="1418" w:left="1418" w:header="142" w:footer="709" w:gutter="0"/>
          <w:cols w:space="708"/>
          <w:docGrid w:linePitch="360"/>
        </w:sectPr>
      </w:pPr>
    </w:p>
    <w:p w:rsidR="00C821BE" w:rsidRPr="002362E3" w:rsidRDefault="00C821BE" w:rsidP="00C821BE">
      <w:pPr>
        <w:overflowPunct w:val="0"/>
        <w:autoSpaceDE w:val="0"/>
        <w:autoSpaceDN w:val="0"/>
        <w:adjustRightInd w:val="0"/>
        <w:spacing w:after="0" w:line="240" w:lineRule="auto"/>
        <w:ind w:right="-711"/>
        <w:jc w:val="center"/>
        <w:rPr>
          <w:rFonts w:ascii="Times New Roman" w:eastAsia="Times New Roman" w:hAnsi="Times New Roman"/>
          <w:b/>
          <w:bCs/>
          <w:sz w:val="20"/>
          <w:szCs w:val="20"/>
          <w:lang w:val="pt-BR" w:eastAsia="fr-FR"/>
        </w:rPr>
      </w:pPr>
      <w:r w:rsidRPr="002362E3">
        <w:rPr>
          <w:rFonts w:ascii="Times New Roman" w:eastAsia="Times New Roman" w:hAnsi="Times New Roman"/>
          <w:b/>
          <w:bCs/>
          <w:sz w:val="20"/>
          <w:szCs w:val="20"/>
          <w:lang w:val="pt-BR" w:eastAsia="fr-FR"/>
        </w:rPr>
        <w:lastRenderedPageBreak/>
        <w:t xml:space="preserve">Meios de aumentar potenciais impactos positivos </w:t>
      </w:r>
    </w:p>
    <w:tbl>
      <w:tblPr>
        <w:tblW w:w="16013" w:type="dxa"/>
        <w:jc w:val="center"/>
        <w:tblBorders>
          <w:top w:val="single" w:sz="4" w:space="0" w:color="7F7F7F"/>
          <w:bottom w:val="single" w:sz="4" w:space="0" w:color="7F7F7F"/>
        </w:tblBorders>
        <w:tblLayout w:type="fixed"/>
        <w:tblLook w:val="04A0" w:firstRow="1" w:lastRow="0" w:firstColumn="1" w:lastColumn="0" w:noHBand="0" w:noVBand="1"/>
      </w:tblPr>
      <w:tblGrid>
        <w:gridCol w:w="1129"/>
        <w:gridCol w:w="2131"/>
        <w:gridCol w:w="4673"/>
        <w:gridCol w:w="3402"/>
        <w:gridCol w:w="1276"/>
        <w:gridCol w:w="1134"/>
        <w:gridCol w:w="1134"/>
        <w:gridCol w:w="1134"/>
      </w:tblGrid>
      <w:tr w:rsidR="00C821BE" w:rsidRPr="00332A41" w:rsidTr="00C821BE">
        <w:trPr>
          <w:trHeight w:val="70"/>
          <w:jc w:val="center"/>
        </w:trPr>
        <w:tc>
          <w:tcPr>
            <w:tcW w:w="16013" w:type="dxa"/>
            <w:gridSpan w:val="8"/>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rsidR="00C821BE" w:rsidRPr="002362E3" w:rsidRDefault="00C821BE" w:rsidP="00C821BE">
            <w:pPr>
              <w:autoSpaceDE w:val="0"/>
              <w:autoSpaceDN w:val="0"/>
              <w:adjustRightInd w:val="0"/>
              <w:spacing w:after="0" w:line="240" w:lineRule="auto"/>
              <w:jc w:val="center"/>
              <w:rPr>
                <w:rFonts w:ascii="Times New Roman" w:hAnsi="Times New Roman" w:cs="Times New Roman"/>
                <w:b/>
                <w:bCs/>
                <w:sz w:val="16"/>
                <w:szCs w:val="16"/>
                <w:lang w:val="pt-BR"/>
              </w:rPr>
            </w:pPr>
            <w:r w:rsidRPr="002362E3">
              <w:rPr>
                <w:rFonts w:ascii="Times New Roman" w:hAnsi="Times New Roman" w:cs="Times New Roman"/>
                <w:b/>
                <w:bCs/>
                <w:sz w:val="16"/>
                <w:szCs w:val="16"/>
                <w:lang w:val="pt-BR"/>
              </w:rPr>
              <w:t>Meios de melhorar os potenciais impactos positivos durante a fase de pré-construção e construção</w:t>
            </w:r>
          </w:p>
        </w:tc>
      </w:tr>
      <w:tr w:rsidR="00C821BE" w:rsidRPr="002362E3" w:rsidTr="00C821BE">
        <w:trPr>
          <w:trHeight w:val="70"/>
          <w:jc w:val="center"/>
        </w:trPr>
        <w:tc>
          <w:tcPr>
            <w:tcW w:w="1129"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rsidR="00C821BE" w:rsidRPr="002362E3" w:rsidRDefault="00C821BE" w:rsidP="00C821BE">
            <w:pPr>
              <w:autoSpaceDE w:val="0"/>
              <w:autoSpaceDN w:val="0"/>
              <w:adjustRightInd w:val="0"/>
              <w:spacing w:after="0" w:line="240" w:lineRule="auto"/>
              <w:jc w:val="center"/>
              <w:rPr>
                <w:rFonts w:ascii="Times New Roman" w:hAnsi="Times New Roman" w:cs="Times New Roman"/>
                <w:b/>
                <w:bCs/>
                <w:sz w:val="16"/>
                <w:szCs w:val="16"/>
                <w:lang w:val="pt-BR"/>
              </w:rPr>
            </w:pPr>
            <w:r w:rsidRPr="002362E3">
              <w:rPr>
                <w:rFonts w:ascii="Times New Roman" w:hAnsi="Times New Roman" w:cs="Times New Roman"/>
                <w:b/>
                <w:bCs/>
                <w:sz w:val="16"/>
                <w:szCs w:val="16"/>
                <w:lang w:val="pt-BR"/>
              </w:rPr>
              <w:t>Componente do ambiente afetado</w:t>
            </w:r>
          </w:p>
        </w:tc>
        <w:tc>
          <w:tcPr>
            <w:tcW w:w="2131"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rsidR="00C821BE" w:rsidRPr="002362E3" w:rsidRDefault="00C821BE" w:rsidP="00C821BE">
            <w:pPr>
              <w:autoSpaceDE w:val="0"/>
              <w:autoSpaceDN w:val="0"/>
              <w:adjustRightInd w:val="0"/>
              <w:spacing w:after="0" w:line="240" w:lineRule="auto"/>
              <w:jc w:val="center"/>
              <w:rPr>
                <w:rFonts w:ascii="Times New Roman" w:hAnsi="Times New Roman" w:cs="Times New Roman"/>
                <w:b/>
                <w:sz w:val="16"/>
                <w:szCs w:val="16"/>
                <w:lang w:val="pt-BR"/>
              </w:rPr>
            </w:pPr>
            <w:r w:rsidRPr="002362E3">
              <w:rPr>
                <w:rFonts w:ascii="Times New Roman" w:hAnsi="Times New Roman" w:cs="Times New Roman"/>
                <w:b/>
                <w:sz w:val="16"/>
                <w:szCs w:val="16"/>
                <w:lang w:val="pt-BR"/>
              </w:rPr>
              <w:t>Natureza do impacto potencial</w:t>
            </w:r>
          </w:p>
        </w:tc>
        <w:tc>
          <w:tcPr>
            <w:tcW w:w="4673"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rsidR="00C821BE" w:rsidRPr="002362E3" w:rsidRDefault="00C821BE" w:rsidP="00C821BE">
            <w:pPr>
              <w:autoSpaceDE w:val="0"/>
              <w:autoSpaceDN w:val="0"/>
              <w:adjustRightInd w:val="0"/>
              <w:spacing w:after="0" w:line="240" w:lineRule="auto"/>
              <w:jc w:val="center"/>
              <w:rPr>
                <w:rFonts w:ascii="Times New Roman" w:hAnsi="Times New Roman" w:cs="Times New Roman"/>
                <w:b/>
                <w:sz w:val="16"/>
                <w:szCs w:val="16"/>
                <w:lang w:val="pt-BR"/>
              </w:rPr>
            </w:pPr>
            <w:r w:rsidRPr="002362E3">
              <w:rPr>
                <w:rFonts w:ascii="Times New Roman" w:hAnsi="Times New Roman" w:cs="Times New Roman"/>
                <w:b/>
                <w:sz w:val="16"/>
                <w:szCs w:val="16"/>
                <w:lang w:val="pt-BR"/>
              </w:rPr>
              <w:t>Medidas recomendadas</w:t>
            </w:r>
          </w:p>
        </w:tc>
        <w:tc>
          <w:tcPr>
            <w:tcW w:w="3402"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rsidR="00C821BE" w:rsidRPr="002362E3" w:rsidRDefault="00C821BE" w:rsidP="00C821BE">
            <w:pPr>
              <w:autoSpaceDE w:val="0"/>
              <w:autoSpaceDN w:val="0"/>
              <w:adjustRightInd w:val="0"/>
              <w:spacing w:after="0" w:line="240" w:lineRule="auto"/>
              <w:jc w:val="center"/>
              <w:rPr>
                <w:rFonts w:ascii="Times New Roman" w:hAnsi="Times New Roman" w:cs="Times New Roman"/>
                <w:b/>
                <w:sz w:val="16"/>
                <w:szCs w:val="16"/>
                <w:lang w:val="pt-BR"/>
              </w:rPr>
            </w:pPr>
            <w:r w:rsidRPr="002362E3">
              <w:rPr>
                <w:rFonts w:ascii="Times New Roman" w:hAnsi="Times New Roman" w:cs="Times New Roman"/>
                <w:b/>
                <w:sz w:val="16"/>
                <w:szCs w:val="16"/>
                <w:lang w:val="pt-BR"/>
              </w:rPr>
              <w:t>Indicador de monitoramento</w:t>
            </w:r>
          </w:p>
        </w:tc>
        <w:tc>
          <w:tcPr>
            <w:tcW w:w="2410" w:type="dxa"/>
            <w:gridSpan w:val="2"/>
            <w:tcBorders>
              <w:top w:val="single" w:sz="4" w:space="0" w:color="auto"/>
              <w:left w:val="single" w:sz="4" w:space="0" w:color="auto"/>
              <w:bottom w:val="single" w:sz="4" w:space="0" w:color="auto"/>
              <w:right w:val="single" w:sz="4" w:space="0" w:color="auto"/>
            </w:tcBorders>
            <w:shd w:val="clear" w:color="auto" w:fill="F2F2F2"/>
            <w:vAlign w:val="center"/>
            <w:hideMark/>
          </w:tcPr>
          <w:p w:rsidR="00C821BE" w:rsidRPr="002362E3" w:rsidRDefault="00C821BE" w:rsidP="00C821BE">
            <w:pPr>
              <w:autoSpaceDE w:val="0"/>
              <w:autoSpaceDN w:val="0"/>
              <w:adjustRightInd w:val="0"/>
              <w:spacing w:after="0" w:line="240" w:lineRule="auto"/>
              <w:jc w:val="center"/>
              <w:rPr>
                <w:rFonts w:ascii="Times New Roman" w:hAnsi="Times New Roman" w:cs="Times New Roman"/>
                <w:b/>
                <w:sz w:val="16"/>
                <w:szCs w:val="16"/>
                <w:lang w:val="pt-BR"/>
              </w:rPr>
            </w:pPr>
            <w:r w:rsidRPr="002362E3">
              <w:rPr>
                <w:rFonts w:ascii="Times New Roman" w:hAnsi="Times New Roman" w:cs="Times New Roman"/>
                <w:b/>
                <w:bCs/>
                <w:sz w:val="16"/>
                <w:szCs w:val="16"/>
                <w:lang w:val="pt-BR"/>
              </w:rPr>
              <w:t>Responsável (s)</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rsidR="00C821BE" w:rsidRPr="002362E3" w:rsidRDefault="00C821BE" w:rsidP="00C821BE">
            <w:pPr>
              <w:autoSpaceDE w:val="0"/>
              <w:autoSpaceDN w:val="0"/>
              <w:adjustRightInd w:val="0"/>
              <w:spacing w:after="0" w:line="240" w:lineRule="auto"/>
              <w:jc w:val="center"/>
              <w:rPr>
                <w:rFonts w:ascii="Times New Roman" w:hAnsi="Times New Roman" w:cs="Times New Roman"/>
                <w:b/>
                <w:bCs/>
                <w:sz w:val="16"/>
                <w:szCs w:val="16"/>
                <w:lang w:val="pt-BR"/>
              </w:rPr>
            </w:pPr>
            <w:r w:rsidRPr="002362E3">
              <w:rPr>
                <w:rFonts w:ascii="Times New Roman" w:hAnsi="Times New Roman" w:cs="Times New Roman"/>
                <w:b/>
                <w:bCs/>
                <w:sz w:val="16"/>
                <w:szCs w:val="16"/>
                <w:lang w:val="pt-BR"/>
              </w:rPr>
              <w:t>Prazos /</w:t>
            </w:r>
          </w:p>
          <w:p w:rsidR="00C821BE" w:rsidRPr="002362E3" w:rsidRDefault="00C821BE" w:rsidP="00C821BE">
            <w:pPr>
              <w:autoSpaceDE w:val="0"/>
              <w:autoSpaceDN w:val="0"/>
              <w:adjustRightInd w:val="0"/>
              <w:spacing w:after="0" w:line="240" w:lineRule="auto"/>
              <w:jc w:val="center"/>
              <w:rPr>
                <w:rFonts w:ascii="Times New Roman" w:hAnsi="Times New Roman" w:cs="Times New Roman"/>
                <w:b/>
                <w:sz w:val="16"/>
                <w:szCs w:val="16"/>
                <w:lang w:val="pt-BR"/>
              </w:rPr>
            </w:pPr>
            <w:r w:rsidRPr="002362E3">
              <w:rPr>
                <w:rFonts w:ascii="Times New Roman" w:hAnsi="Times New Roman" w:cs="Times New Roman"/>
                <w:b/>
                <w:bCs/>
                <w:sz w:val="16"/>
                <w:szCs w:val="16"/>
                <w:lang w:val="pt-BR"/>
              </w:rPr>
              <w:t>Período</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rsidR="00C821BE" w:rsidRPr="002362E3" w:rsidRDefault="00C821BE" w:rsidP="00C821BE">
            <w:pPr>
              <w:autoSpaceDE w:val="0"/>
              <w:autoSpaceDN w:val="0"/>
              <w:adjustRightInd w:val="0"/>
              <w:spacing w:after="0" w:line="240" w:lineRule="auto"/>
              <w:jc w:val="center"/>
              <w:rPr>
                <w:rFonts w:ascii="Times New Roman" w:hAnsi="Times New Roman" w:cs="Times New Roman"/>
                <w:b/>
                <w:bCs/>
                <w:sz w:val="16"/>
                <w:szCs w:val="16"/>
                <w:lang w:val="pt-BR"/>
              </w:rPr>
            </w:pPr>
            <w:r w:rsidRPr="002362E3">
              <w:rPr>
                <w:rFonts w:ascii="Times New Roman" w:hAnsi="Times New Roman" w:cs="Times New Roman"/>
                <w:b/>
                <w:bCs/>
                <w:sz w:val="16"/>
                <w:szCs w:val="16"/>
                <w:lang w:val="pt-BR"/>
              </w:rPr>
              <w:t>Custo (FCFA)</w:t>
            </w:r>
          </w:p>
          <w:p w:rsidR="00C821BE" w:rsidRPr="002362E3" w:rsidRDefault="00C821BE" w:rsidP="00C821BE">
            <w:pPr>
              <w:autoSpaceDE w:val="0"/>
              <w:autoSpaceDN w:val="0"/>
              <w:adjustRightInd w:val="0"/>
              <w:spacing w:after="0" w:line="240" w:lineRule="auto"/>
              <w:jc w:val="center"/>
              <w:rPr>
                <w:rFonts w:ascii="Times New Roman" w:hAnsi="Times New Roman" w:cs="Times New Roman"/>
                <w:b/>
                <w:sz w:val="16"/>
                <w:szCs w:val="16"/>
                <w:lang w:val="pt-BR"/>
              </w:rPr>
            </w:pPr>
            <w:r w:rsidRPr="002362E3">
              <w:rPr>
                <w:rFonts w:ascii="Times New Roman" w:hAnsi="Times New Roman" w:cs="Times New Roman"/>
                <w:b/>
                <w:bCs/>
                <w:sz w:val="16"/>
                <w:szCs w:val="16"/>
                <w:lang w:val="pt-BR"/>
              </w:rPr>
              <w:t>De implementação</w:t>
            </w:r>
          </w:p>
        </w:tc>
      </w:tr>
      <w:tr w:rsidR="00C821BE" w:rsidRPr="002362E3" w:rsidTr="00C821BE">
        <w:trPr>
          <w:trHeight w:val="70"/>
          <w:jc w:val="center"/>
        </w:trPr>
        <w:tc>
          <w:tcPr>
            <w:tcW w:w="1129" w:type="dxa"/>
            <w:vMerge/>
            <w:tcBorders>
              <w:top w:val="single" w:sz="4" w:space="0" w:color="auto"/>
              <w:left w:val="single" w:sz="4" w:space="0" w:color="auto"/>
              <w:bottom w:val="single" w:sz="4" w:space="0" w:color="auto"/>
              <w:right w:val="single" w:sz="4" w:space="0" w:color="auto"/>
            </w:tcBorders>
            <w:vAlign w:val="center"/>
            <w:hideMark/>
          </w:tcPr>
          <w:p w:rsidR="00C821BE" w:rsidRPr="002362E3" w:rsidRDefault="00C821BE" w:rsidP="00C821BE">
            <w:pPr>
              <w:autoSpaceDE w:val="0"/>
              <w:autoSpaceDN w:val="0"/>
              <w:adjustRightInd w:val="0"/>
              <w:spacing w:after="0" w:line="240" w:lineRule="auto"/>
              <w:jc w:val="center"/>
              <w:rPr>
                <w:rFonts w:ascii="Times New Roman" w:hAnsi="Times New Roman" w:cs="Times New Roman"/>
                <w:b/>
                <w:bCs/>
                <w:sz w:val="16"/>
                <w:szCs w:val="16"/>
                <w:lang w:val="pt-BR"/>
              </w:rPr>
            </w:pPr>
          </w:p>
        </w:tc>
        <w:tc>
          <w:tcPr>
            <w:tcW w:w="2131" w:type="dxa"/>
            <w:vMerge/>
            <w:tcBorders>
              <w:top w:val="single" w:sz="4" w:space="0" w:color="auto"/>
              <w:left w:val="single" w:sz="4" w:space="0" w:color="auto"/>
              <w:bottom w:val="single" w:sz="4" w:space="0" w:color="auto"/>
              <w:right w:val="single" w:sz="4" w:space="0" w:color="auto"/>
            </w:tcBorders>
            <w:vAlign w:val="center"/>
            <w:hideMark/>
          </w:tcPr>
          <w:p w:rsidR="00C821BE" w:rsidRPr="002362E3" w:rsidRDefault="00C821BE" w:rsidP="00C821BE">
            <w:pPr>
              <w:autoSpaceDE w:val="0"/>
              <w:autoSpaceDN w:val="0"/>
              <w:adjustRightInd w:val="0"/>
              <w:spacing w:after="0" w:line="240" w:lineRule="auto"/>
              <w:jc w:val="center"/>
              <w:rPr>
                <w:rFonts w:ascii="Times New Roman" w:hAnsi="Times New Roman" w:cs="Times New Roman"/>
                <w:b/>
                <w:sz w:val="16"/>
                <w:szCs w:val="16"/>
                <w:lang w:val="pt-BR"/>
              </w:rPr>
            </w:pPr>
          </w:p>
        </w:tc>
        <w:tc>
          <w:tcPr>
            <w:tcW w:w="4673" w:type="dxa"/>
            <w:vMerge/>
            <w:tcBorders>
              <w:top w:val="single" w:sz="4" w:space="0" w:color="auto"/>
              <w:left w:val="single" w:sz="4" w:space="0" w:color="auto"/>
              <w:bottom w:val="single" w:sz="4" w:space="0" w:color="auto"/>
              <w:right w:val="single" w:sz="4" w:space="0" w:color="auto"/>
            </w:tcBorders>
            <w:vAlign w:val="center"/>
            <w:hideMark/>
          </w:tcPr>
          <w:p w:rsidR="00C821BE" w:rsidRPr="002362E3" w:rsidRDefault="00C821BE" w:rsidP="00C821BE">
            <w:pPr>
              <w:autoSpaceDE w:val="0"/>
              <w:autoSpaceDN w:val="0"/>
              <w:adjustRightInd w:val="0"/>
              <w:spacing w:after="0" w:line="240" w:lineRule="auto"/>
              <w:jc w:val="center"/>
              <w:rPr>
                <w:rFonts w:ascii="Times New Roman" w:hAnsi="Times New Roman" w:cs="Times New Roman"/>
                <w:b/>
                <w:sz w:val="16"/>
                <w:szCs w:val="16"/>
                <w:lang w:val="pt-BR"/>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C821BE" w:rsidRPr="002362E3" w:rsidRDefault="00C821BE" w:rsidP="00C821BE">
            <w:pPr>
              <w:autoSpaceDE w:val="0"/>
              <w:autoSpaceDN w:val="0"/>
              <w:adjustRightInd w:val="0"/>
              <w:spacing w:after="0" w:line="240" w:lineRule="auto"/>
              <w:jc w:val="center"/>
              <w:rPr>
                <w:rFonts w:ascii="Times New Roman" w:hAnsi="Times New Roman" w:cs="Times New Roman"/>
                <w:b/>
                <w:sz w:val="16"/>
                <w:szCs w:val="16"/>
                <w:lang w:val="pt-BR"/>
              </w:rPr>
            </w:pPr>
          </w:p>
        </w:tc>
        <w:tc>
          <w:tcPr>
            <w:tcW w:w="1276"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rsidR="00C821BE" w:rsidRPr="002362E3" w:rsidRDefault="00C821BE" w:rsidP="00C821BE">
            <w:pPr>
              <w:autoSpaceDE w:val="0"/>
              <w:autoSpaceDN w:val="0"/>
              <w:adjustRightInd w:val="0"/>
              <w:spacing w:after="0" w:line="240" w:lineRule="auto"/>
              <w:jc w:val="center"/>
              <w:rPr>
                <w:rFonts w:ascii="Times New Roman" w:hAnsi="Times New Roman" w:cs="Times New Roman"/>
                <w:b/>
                <w:bCs/>
                <w:sz w:val="16"/>
                <w:szCs w:val="16"/>
                <w:lang w:val="pt-BR"/>
              </w:rPr>
            </w:pPr>
            <w:r w:rsidRPr="002362E3">
              <w:rPr>
                <w:rFonts w:ascii="Times New Roman" w:hAnsi="Times New Roman" w:cs="Times New Roman"/>
                <w:b/>
                <w:bCs/>
                <w:sz w:val="16"/>
                <w:szCs w:val="16"/>
                <w:lang w:val="pt-BR"/>
              </w:rPr>
              <w:t>Implementação</w:t>
            </w:r>
          </w:p>
        </w:tc>
        <w:tc>
          <w:tcPr>
            <w:tcW w:w="1134"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rsidR="00C821BE" w:rsidRPr="002362E3" w:rsidRDefault="00C821BE" w:rsidP="00C821BE">
            <w:pPr>
              <w:autoSpaceDE w:val="0"/>
              <w:autoSpaceDN w:val="0"/>
              <w:adjustRightInd w:val="0"/>
              <w:spacing w:after="0" w:line="240" w:lineRule="auto"/>
              <w:jc w:val="center"/>
              <w:rPr>
                <w:rFonts w:ascii="Times New Roman" w:hAnsi="Times New Roman" w:cs="Times New Roman"/>
                <w:b/>
                <w:bCs/>
                <w:sz w:val="16"/>
                <w:szCs w:val="16"/>
                <w:lang w:val="pt-BR"/>
              </w:rPr>
            </w:pPr>
            <w:r w:rsidRPr="002362E3">
              <w:rPr>
                <w:rFonts w:ascii="Times New Roman" w:hAnsi="Times New Roman" w:cs="Times New Roman"/>
                <w:b/>
                <w:bCs/>
                <w:sz w:val="16"/>
                <w:szCs w:val="16"/>
                <w:lang w:val="pt-BR"/>
              </w:rPr>
              <w:t>Monitoramento / Controle</w:t>
            </w: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C821BE" w:rsidRPr="002362E3" w:rsidRDefault="00C821BE" w:rsidP="00C821BE">
            <w:pPr>
              <w:autoSpaceDE w:val="0"/>
              <w:autoSpaceDN w:val="0"/>
              <w:adjustRightInd w:val="0"/>
              <w:spacing w:after="0" w:line="240" w:lineRule="auto"/>
              <w:jc w:val="center"/>
              <w:rPr>
                <w:rFonts w:ascii="Times New Roman" w:hAnsi="Times New Roman" w:cs="Times New Roman"/>
                <w:b/>
                <w:sz w:val="16"/>
                <w:szCs w:val="16"/>
                <w:lang w:val="pt-BR"/>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C821BE" w:rsidRPr="002362E3" w:rsidRDefault="00C821BE" w:rsidP="00C821BE">
            <w:pPr>
              <w:autoSpaceDE w:val="0"/>
              <w:autoSpaceDN w:val="0"/>
              <w:adjustRightInd w:val="0"/>
              <w:spacing w:after="0" w:line="240" w:lineRule="auto"/>
              <w:jc w:val="center"/>
              <w:rPr>
                <w:rFonts w:ascii="Times New Roman" w:hAnsi="Times New Roman" w:cs="Times New Roman"/>
                <w:b/>
                <w:sz w:val="16"/>
                <w:szCs w:val="16"/>
                <w:lang w:val="pt-BR"/>
              </w:rPr>
            </w:pPr>
          </w:p>
        </w:tc>
      </w:tr>
      <w:tr w:rsidR="00C821BE" w:rsidRPr="002362E3" w:rsidTr="00C821BE">
        <w:trPr>
          <w:trHeight w:val="552"/>
          <w:jc w:val="center"/>
        </w:trPr>
        <w:tc>
          <w:tcPr>
            <w:tcW w:w="1129" w:type="dxa"/>
            <w:vMerge w:val="restart"/>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rsidR="00C821BE" w:rsidRPr="002362E3" w:rsidRDefault="00C821BE" w:rsidP="00C821BE">
            <w:pPr>
              <w:autoSpaceDE w:val="0"/>
              <w:autoSpaceDN w:val="0"/>
              <w:adjustRightInd w:val="0"/>
              <w:spacing w:after="0" w:line="240" w:lineRule="auto"/>
              <w:jc w:val="center"/>
              <w:rPr>
                <w:rFonts w:ascii="Times New Roman" w:hAnsi="Times New Roman" w:cs="Times New Roman"/>
                <w:b/>
                <w:bCs/>
                <w:sz w:val="16"/>
                <w:szCs w:val="16"/>
                <w:lang w:val="pt-BR"/>
              </w:rPr>
            </w:pPr>
            <w:r w:rsidRPr="002362E3">
              <w:rPr>
                <w:rFonts w:ascii="Times New Roman" w:hAnsi="Times New Roman" w:cs="Times New Roman"/>
                <w:bCs/>
                <w:sz w:val="16"/>
                <w:szCs w:val="16"/>
                <w:lang w:val="pt-BR"/>
              </w:rPr>
              <w:t>Socio-econômico</w:t>
            </w:r>
          </w:p>
          <w:p w:rsidR="00C821BE" w:rsidRPr="002362E3" w:rsidRDefault="00C821BE" w:rsidP="00C821BE">
            <w:pPr>
              <w:autoSpaceDE w:val="0"/>
              <w:autoSpaceDN w:val="0"/>
              <w:adjustRightInd w:val="0"/>
              <w:spacing w:after="0" w:line="240" w:lineRule="auto"/>
              <w:jc w:val="center"/>
              <w:rPr>
                <w:rFonts w:ascii="Times New Roman" w:hAnsi="Times New Roman" w:cs="Times New Roman"/>
                <w:b/>
                <w:bCs/>
                <w:sz w:val="16"/>
                <w:szCs w:val="16"/>
                <w:lang w:val="pt-BR"/>
              </w:rPr>
            </w:pPr>
          </w:p>
        </w:tc>
        <w:tc>
          <w:tcPr>
            <w:tcW w:w="2131" w:type="dxa"/>
            <w:tcBorders>
              <w:top w:val="single" w:sz="4" w:space="0" w:color="auto"/>
              <w:left w:val="single" w:sz="4" w:space="0" w:color="auto"/>
              <w:bottom w:val="single" w:sz="4" w:space="0" w:color="auto"/>
              <w:right w:val="single" w:sz="4" w:space="0" w:color="auto"/>
            </w:tcBorders>
            <w:vAlign w:val="center"/>
          </w:tcPr>
          <w:p w:rsidR="00C821BE" w:rsidRPr="002362E3" w:rsidRDefault="00C821BE" w:rsidP="00C821BE">
            <w:pPr>
              <w:autoSpaceDE w:val="0"/>
              <w:autoSpaceDN w:val="0"/>
              <w:adjustRightInd w:val="0"/>
              <w:spacing w:after="0" w:line="240" w:lineRule="auto"/>
              <w:jc w:val="center"/>
              <w:rPr>
                <w:rFonts w:ascii="Times New Roman" w:hAnsi="Times New Roman" w:cs="Times New Roman"/>
                <w:sz w:val="16"/>
                <w:szCs w:val="16"/>
                <w:lang w:val="pt-BR"/>
              </w:rPr>
            </w:pPr>
            <w:r w:rsidRPr="002362E3">
              <w:rPr>
                <w:rFonts w:ascii="Times New Roman" w:hAnsi="Times New Roman" w:cs="Times New Roman"/>
                <w:sz w:val="16"/>
                <w:szCs w:val="16"/>
                <w:lang w:val="pt-BR"/>
              </w:rPr>
              <w:t>Oportunidades de emprego (criação de empregos para jovens e uso de mão de obra local)</w:t>
            </w:r>
          </w:p>
        </w:tc>
        <w:tc>
          <w:tcPr>
            <w:tcW w:w="4673" w:type="dxa"/>
            <w:tcBorders>
              <w:top w:val="single" w:sz="4" w:space="0" w:color="auto"/>
              <w:left w:val="single" w:sz="4" w:space="0" w:color="auto"/>
              <w:bottom w:val="single" w:sz="4" w:space="0" w:color="auto"/>
              <w:right w:val="single" w:sz="4" w:space="0" w:color="auto"/>
            </w:tcBorders>
            <w:vAlign w:val="center"/>
          </w:tcPr>
          <w:p w:rsidR="00C821BE" w:rsidRPr="002362E3" w:rsidRDefault="00C821BE" w:rsidP="00C821BE">
            <w:pPr>
              <w:autoSpaceDE w:val="0"/>
              <w:autoSpaceDN w:val="0"/>
              <w:adjustRightInd w:val="0"/>
              <w:spacing w:after="0" w:line="240" w:lineRule="auto"/>
              <w:jc w:val="both"/>
              <w:rPr>
                <w:rFonts w:ascii="Times New Roman" w:hAnsi="Times New Roman" w:cs="Times New Roman"/>
                <w:sz w:val="16"/>
                <w:szCs w:val="16"/>
                <w:lang w:val="pt-BR"/>
              </w:rPr>
            </w:pPr>
            <w:r w:rsidRPr="002362E3">
              <w:rPr>
                <w:rFonts w:ascii="Times New Roman" w:hAnsi="Times New Roman" w:cs="Times New Roman"/>
                <w:sz w:val="16"/>
                <w:szCs w:val="16"/>
                <w:lang w:val="pt-BR"/>
              </w:rPr>
              <w:t>- Trazer transparência aos procedimentos de recrutamento de mão de obra local;</w:t>
            </w:r>
          </w:p>
          <w:p w:rsidR="00C821BE" w:rsidRPr="002362E3" w:rsidRDefault="00C821BE" w:rsidP="00C821BE">
            <w:pPr>
              <w:autoSpaceDE w:val="0"/>
              <w:autoSpaceDN w:val="0"/>
              <w:adjustRightInd w:val="0"/>
              <w:spacing w:after="0" w:line="240" w:lineRule="auto"/>
              <w:jc w:val="both"/>
              <w:rPr>
                <w:rFonts w:ascii="Times New Roman" w:hAnsi="Times New Roman" w:cs="Times New Roman"/>
                <w:sz w:val="16"/>
                <w:szCs w:val="16"/>
                <w:lang w:val="pt-BR"/>
              </w:rPr>
            </w:pPr>
            <w:r w:rsidRPr="002362E3">
              <w:rPr>
                <w:rFonts w:ascii="Times New Roman" w:hAnsi="Times New Roman" w:cs="Times New Roman"/>
                <w:sz w:val="16"/>
                <w:szCs w:val="16"/>
                <w:lang w:val="pt-BR"/>
              </w:rPr>
              <w:t>- Promover, para empregos não qualificados, o recrutamento direto, sem intermediários, de jovens de bairros ou aldeias;</w:t>
            </w:r>
          </w:p>
          <w:p w:rsidR="00C821BE" w:rsidRPr="002362E3" w:rsidRDefault="00C821BE" w:rsidP="00C821BE">
            <w:pPr>
              <w:autoSpaceDE w:val="0"/>
              <w:autoSpaceDN w:val="0"/>
              <w:adjustRightInd w:val="0"/>
              <w:spacing w:after="0" w:line="240" w:lineRule="auto"/>
              <w:jc w:val="both"/>
              <w:rPr>
                <w:rFonts w:ascii="Times New Roman" w:hAnsi="Times New Roman" w:cs="Times New Roman"/>
                <w:sz w:val="16"/>
                <w:szCs w:val="16"/>
                <w:lang w:val="pt-BR"/>
              </w:rPr>
            </w:pPr>
            <w:r w:rsidRPr="002362E3">
              <w:rPr>
                <w:rFonts w:ascii="Times New Roman" w:hAnsi="Times New Roman" w:cs="Times New Roman"/>
                <w:sz w:val="16"/>
                <w:szCs w:val="16"/>
                <w:lang w:val="pt-BR"/>
              </w:rPr>
              <w:t>- Pague o salário em dia,</w:t>
            </w:r>
          </w:p>
          <w:p w:rsidR="00C821BE" w:rsidRPr="002362E3" w:rsidRDefault="00C821BE" w:rsidP="00C821BE">
            <w:pPr>
              <w:autoSpaceDE w:val="0"/>
              <w:autoSpaceDN w:val="0"/>
              <w:adjustRightInd w:val="0"/>
              <w:spacing w:after="0" w:line="240" w:lineRule="auto"/>
              <w:jc w:val="both"/>
              <w:rPr>
                <w:rFonts w:ascii="Times New Roman" w:hAnsi="Times New Roman" w:cs="Times New Roman"/>
                <w:sz w:val="16"/>
                <w:szCs w:val="16"/>
                <w:lang w:val="pt-BR"/>
              </w:rPr>
            </w:pPr>
            <w:r w:rsidRPr="002362E3">
              <w:rPr>
                <w:rFonts w:ascii="Times New Roman" w:hAnsi="Times New Roman" w:cs="Times New Roman"/>
                <w:sz w:val="16"/>
                <w:szCs w:val="16"/>
                <w:lang w:val="pt-BR"/>
              </w:rPr>
              <w:t>- Respeitar o salário mínimo em vigor;</w:t>
            </w:r>
          </w:p>
          <w:p w:rsidR="00C821BE" w:rsidRPr="002362E3" w:rsidRDefault="00C821BE" w:rsidP="00C821BE">
            <w:pPr>
              <w:autoSpaceDE w:val="0"/>
              <w:autoSpaceDN w:val="0"/>
              <w:adjustRightInd w:val="0"/>
              <w:spacing w:after="0" w:line="240" w:lineRule="auto"/>
              <w:jc w:val="both"/>
              <w:rPr>
                <w:rFonts w:ascii="Times New Roman" w:hAnsi="Times New Roman" w:cs="Times New Roman"/>
                <w:sz w:val="16"/>
                <w:szCs w:val="16"/>
                <w:lang w:val="pt-BR"/>
              </w:rPr>
            </w:pPr>
            <w:r w:rsidRPr="002362E3">
              <w:rPr>
                <w:rFonts w:ascii="Times New Roman" w:hAnsi="Times New Roman" w:cs="Times New Roman"/>
                <w:sz w:val="16"/>
                <w:szCs w:val="16"/>
                <w:lang w:val="pt-BR"/>
              </w:rPr>
              <w:t>- Com igual competência, favorecer o recrutamento de mulheres.</w:t>
            </w:r>
          </w:p>
        </w:tc>
        <w:tc>
          <w:tcPr>
            <w:tcW w:w="3402" w:type="dxa"/>
            <w:tcBorders>
              <w:top w:val="single" w:sz="4" w:space="0" w:color="auto"/>
              <w:left w:val="single" w:sz="4" w:space="0" w:color="auto"/>
              <w:bottom w:val="single" w:sz="4" w:space="0" w:color="auto"/>
              <w:right w:val="single" w:sz="4" w:space="0" w:color="auto"/>
            </w:tcBorders>
            <w:vAlign w:val="center"/>
          </w:tcPr>
          <w:p w:rsidR="00C821BE" w:rsidRPr="002362E3" w:rsidRDefault="00C821BE" w:rsidP="00C821BE">
            <w:pPr>
              <w:autoSpaceDE w:val="0"/>
              <w:autoSpaceDN w:val="0"/>
              <w:adjustRightInd w:val="0"/>
              <w:spacing w:after="0" w:line="240" w:lineRule="auto"/>
              <w:rPr>
                <w:rFonts w:ascii="Times New Roman" w:hAnsi="Times New Roman" w:cs="Times New Roman"/>
                <w:sz w:val="16"/>
                <w:szCs w:val="16"/>
                <w:lang w:val="pt-BR"/>
              </w:rPr>
            </w:pPr>
            <w:r w:rsidRPr="002362E3">
              <w:rPr>
                <w:rFonts w:ascii="Times New Roman" w:hAnsi="Times New Roman" w:cs="Times New Roman"/>
                <w:sz w:val="16"/>
                <w:szCs w:val="16"/>
                <w:lang w:val="pt-BR"/>
              </w:rPr>
              <w:t>- Número de jovens residentes contratados</w:t>
            </w:r>
          </w:p>
          <w:p w:rsidR="00C821BE" w:rsidRPr="002362E3" w:rsidRDefault="00C821BE" w:rsidP="00C821BE">
            <w:pPr>
              <w:autoSpaceDE w:val="0"/>
              <w:autoSpaceDN w:val="0"/>
              <w:adjustRightInd w:val="0"/>
              <w:spacing w:after="0" w:line="240" w:lineRule="auto"/>
              <w:rPr>
                <w:rFonts w:ascii="Times New Roman" w:hAnsi="Times New Roman" w:cs="Times New Roman"/>
                <w:sz w:val="16"/>
                <w:szCs w:val="16"/>
                <w:lang w:val="pt-BR"/>
              </w:rPr>
            </w:pPr>
            <w:r w:rsidRPr="002362E3">
              <w:rPr>
                <w:rFonts w:ascii="Times New Roman" w:hAnsi="Times New Roman" w:cs="Times New Roman"/>
                <w:sz w:val="16"/>
                <w:szCs w:val="16"/>
                <w:lang w:val="pt-BR"/>
              </w:rPr>
              <w:t>- Presença de folhas de pagamento</w:t>
            </w:r>
          </w:p>
          <w:p w:rsidR="00C821BE" w:rsidRPr="002362E3" w:rsidRDefault="00C821BE" w:rsidP="00C821BE">
            <w:pPr>
              <w:autoSpaceDE w:val="0"/>
              <w:autoSpaceDN w:val="0"/>
              <w:adjustRightInd w:val="0"/>
              <w:spacing w:after="0" w:line="240" w:lineRule="auto"/>
              <w:rPr>
                <w:rFonts w:ascii="Times New Roman" w:hAnsi="Times New Roman" w:cs="Times New Roman"/>
                <w:sz w:val="16"/>
                <w:szCs w:val="16"/>
                <w:lang w:val="pt-BR"/>
              </w:rPr>
            </w:pPr>
            <w:r w:rsidRPr="002362E3">
              <w:rPr>
                <w:rFonts w:ascii="Times New Roman" w:hAnsi="Times New Roman" w:cs="Times New Roman"/>
                <w:sz w:val="16"/>
                <w:szCs w:val="16"/>
                <w:lang w:val="pt-BR"/>
              </w:rPr>
              <w:t>- Número de mulheres contratadas</w:t>
            </w:r>
          </w:p>
        </w:tc>
        <w:tc>
          <w:tcPr>
            <w:tcW w:w="1276"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C821BE" w:rsidRPr="002362E3" w:rsidRDefault="00C821BE" w:rsidP="00C821BE">
            <w:pPr>
              <w:autoSpaceDE w:val="0"/>
              <w:autoSpaceDN w:val="0"/>
              <w:adjustRightInd w:val="0"/>
              <w:spacing w:after="0" w:line="240" w:lineRule="auto"/>
              <w:jc w:val="center"/>
              <w:rPr>
                <w:rFonts w:ascii="Times New Roman" w:hAnsi="Times New Roman" w:cs="Times New Roman"/>
                <w:b/>
                <w:sz w:val="16"/>
                <w:szCs w:val="16"/>
                <w:lang w:val="pt-BR"/>
              </w:rPr>
            </w:pPr>
            <w:r w:rsidRPr="002362E3">
              <w:rPr>
                <w:rFonts w:ascii="Times New Roman" w:hAnsi="Times New Roman" w:cs="Times New Roman"/>
                <w:b/>
                <w:sz w:val="16"/>
                <w:szCs w:val="16"/>
                <w:lang w:val="pt-BR"/>
              </w:rPr>
              <w:t xml:space="preserve">O negócio </w:t>
            </w:r>
          </w:p>
          <w:p w:rsidR="00C821BE" w:rsidRPr="002362E3" w:rsidRDefault="00C821BE" w:rsidP="00C821BE">
            <w:pPr>
              <w:autoSpaceDE w:val="0"/>
              <w:autoSpaceDN w:val="0"/>
              <w:adjustRightInd w:val="0"/>
              <w:spacing w:after="0" w:line="240" w:lineRule="auto"/>
              <w:jc w:val="center"/>
              <w:rPr>
                <w:rFonts w:ascii="Times New Roman" w:hAnsi="Times New Roman" w:cs="Times New Roman"/>
                <w:b/>
                <w:sz w:val="16"/>
                <w:szCs w:val="16"/>
                <w:lang w:val="pt-BR"/>
              </w:rPr>
            </w:pPr>
          </w:p>
          <w:p w:rsidR="00C821BE" w:rsidRPr="002362E3" w:rsidRDefault="00C821BE" w:rsidP="00C821BE">
            <w:pPr>
              <w:autoSpaceDE w:val="0"/>
              <w:autoSpaceDN w:val="0"/>
              <w:adjustRightInd w:val="0"/>
              <w:spacing w:after="0" w:line="240" w:lineRule="auto"/>
              <w:jc w:val="center"/>
              <w:rPr>
                <w:rFonts w:ascii="Times New Roman" w:hAnsi="Times New Roman" w:cs="Times New Roman"/>
                <w:b/>
                <w:sz w:val="16"/>
                <w:szCs w:val="16"/>
                <w:lang w:val="pt-BR"/>
              </w:rPr>
            </w:pPr>
            <w:r w:rsidRPr="002362E3">
              <w:rPr>
                <w:rFonts w:ascii="Times New Roman" w:hAnsi="Times New Roman" w:cs="Times New Roman"/>
                <w:b/>
                <w:sz w:val="16"/>
                <w:szCs w:val="16"/>
                <w:lang w:val="pt-BR"/>
              </w:rPr>
              <w:t xml:space="preserve">Prefeitura </w:t>
            </w:r>
          </w:p>
          <w:p w:rsidR="00C821BE" w:rsidRPr="002362E3" w:rsidRDefault="00C821BE" w:rsidP="00C821BE">
            <w:pPr>
              <w:autoSpaceDE w:val="0"/>
              <w:autoSpaceDN w:val="0"/>
              <w:adjustRightInd w:val="0"/>
              <w:spacing w:after="0" w:line="240" w:lineRule="auto"/>
              <w:jc w:val="center"/>
              <w:rPr>
                <w:rFonts w:ascii="Times New Roman" w:hAnsi="Times New Roman" w:cs="Times New Roman"/>
                <w:b/>
                <w:sz w:val="16"/>
                <w:szCs w:val="16"/>
                <w:lang w:val="pt-BR"/>
              </w:rPr>
            </w:pPr>
            <w:r w:rsidRPr="002362E3">
              <w:rPr>
                <w:rFonts w:ascii="Times New Roman" w:hAnsi="Times New Roman" w:cs="Times New Roman"/>
                <w:b/>
                <w:sz w:val="16"/>
                <w:szCs w:val="16"/>
                <w:lang w:val="pt-BR"/>
              </w:rPr>
              <w:t>Prabis,</w:t>
            </w:r>
          </w:p>
          <w:p w:rsidR="00C821BE" w:rsidRPr="002362E3" w:rsidRDefault="00C821BE" w:rsidP="00C821BE">
            <w:pPr>
              <w:autoSpaceDE w:val="0"/>
              <w:autoSpaceDN w:val="0"/>
              <w:adjustRightInd w:val="0"/>
              <w:spacing w:after="0" w:line="240" w:lineRule="auto"/>
              <w:jc w:val="center"/>
              <w:rPr>
                <w:rFonts w:ascii="Times New Roman" w:hAnsi="Times New Roman" w:cs="Times New Roman"/>
                <w:b/>
                <w:sz w:val="16"/>
                <w:szCs w:val="16"/>
                <w:lang w:val="pt-BR"/>
              </w:rPr>
            </w:pPr>
            <w:r w:rsidRPr="002362E3">
              <w:rPr>
                <w:rFonts w:ascii="Times New Roman" w:hAnsi="Times New Roman" w:cs="Times New Roman"/>
                <w:b/>
                <w:sz w:val="16"/>
                <w:szCs w:val="16"/>
                <w:lang w:val="pt-BR"/>
              </w:rPr>
              <w:t>de Safim e</w:t>
            </w:r>
          </w:p>
          <w:p w:rsidR="00C821BE" w:rsidRPr="002362E3" w:rsidRDefault="00C821BE" w:rsidP="00C821BE">
            <w:pPr>
              <w:autoSpaceDE w:val="0"/>
              <w:autoSpaceDN w:val="0"/>
              <w:adjustRightInd w:val="0"/>
              <w:spacing w:after="0" w:line="240" w:lineRule="auto"/>
              <w:jc w:val="center"/>
              <w:rPr>
                <w:rFonts w:ascii="Times New Roman" w:hAnsi="Times New Roman" w:cs="Times New Roman"/>
                <w:b/>
                <w:sz w:val="16"/>
                <w:szCs w:val="16"/>
                <w:lang w:val="pt-BR"/>
              </w:rPr>
            </w:pPr>
            <w:r w:rsidRPr="002362E3">
              <w:rPr>
                <w:rFonts w:ascii="Times New Roman" w:hAnsi="Times New Roman" w:cs="Times New Roman"/>
                <w:b/>
                <w:sz w:val="16"/>
                <w:szCs w:val="16"/>
                <w:lang w:val="pt-BR"/>
              </w:rPr>
              <w:t xml:space="preserve"> Bissau</w:t>
            </w:r>
          </w:p>
        </w:tc>
        <w:tc>
          <w:tcPr>
            <w:tcW w:w="1134"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C821BE" w:rsidRPr="002362E3" w:rsidRDefault="00C821BE" w:rsidP="00C821BE">
            <w:pPr>
              <w:autoSpaceDE w:val="0"/>
              <w:autoSpaceDN w:val="0"/>
              <w:adjustRightInd w:val="0"/>
              <w:spacing w:after="0" w:line="240" w:lineRule="auto"/>
              <w:jc w:val="center"/>
              <w:rPr>
                <w:rFonts w:ascii="Times New Roman" w:hAnsi="Times New Roman" w:cs="Times New Roman"/>
                <w:b/>
                <w:sz w:val="16"/>
                <w:szCs w:val="16"/>
                <w:lang w:val="pt-BR"/>
              </w:rPr>
            </w:pPr>
            <w:r w:rsidRPr="002362E3">
              <w:rPr>
                <w:rFonts w:ascii="Times New Roman" w:hAnsi="Times New Roman" w:cs="Times New Roman"/>
                <w:b/>
                <w:sz w:val="16"/>
                <w:szCs w:val="16"/>
                <w:lang w:val="pt-BR"/>
              </w:rPr>
              <w:t>PUASEE-FA</w:t>
            </w:r>
          </w:p>
          <w:p w:rsidR="00C821BE" w:rsidRPr="002362E3" w:rsidRDefault="00C821BE" w:rsidP="00C821BE">
            <w:pPr>
              <w:autoSpaceDE w:val="0"/>
              <w:autoSpaceDN w:val="0"/>
              <w:adjustRightInd w:val="0"/>
              <w:spacing w:after="0" w:line="240" w:lineRule="auto"/>
              <w:jc w:val="center"/>
              <w:rPr>
                <w:rFonts w:ascii="Times New Roman" w:hAnsi="Times New Roman" w:cs="Times New Roman"/>
                <w:b/>
                <w:sz w:val="16"/>
                <w:szCs w:val="16"/>
                <w:lang w:val="pt-BR"/>
              </w:rPr>
            </w:pPr>
            <w:r w:rsidRPr="002362E3">
              <w:rPr>
                <w:rFonts w:ascii="Times New Roman" w:hAnsi="Times New Roman" w:cs="Times New Roman"/>
                <w:b/>
                <w:sz w:val="16"/>
                <w:szCs w:val="16"/>
                <w:lang w:val="pt-BR"/>
              </w:rPr>
              <w:t>Prefeitura</w:t>
            </w:r>
          </w:p>
          <w:p w:rsidR="00C821BE" w:rsidRPr="002362E3" w:rsidRDefault="00C821BE" w:rsidP="00C821BE">
            <w:pPr>
              <w:autoSpaceDE w:val="0"/>
              <w:autoSpaceDN w:val="0"/>
              <w:adjustRightInd w:val="0"/>
              <w:spacing w:after="0" w:line="240" w:lineRule="auto"/>
              <w:jc w:val="center"/>
              <w:rPr>
                <w:rFonts w:ascii="Times New Roman" w:hAnsi="Times New Roman" w:cs="Times New Roman"/>
                <w:b/>
                <w:sz w:val="16"/>
                <w:szCs w:val="16"/>
                <w:lang w:val="pt-BR"/>
              </w:rPr>
            </w:pPr>
            <w:r w:rsidRPr="002362E3">
              <w:rPr>
                <w:rFonts w:ascii="Times New Roman" w:hAnsi="Times New Roman" w:cs="Times New Roman"/>
                <w:b/>
                <w:sz w:val="16"/>
                <w:szCs w:val="16"/>
                <w:lang w:val="pt-BR"/>
              </w:rPr>
              <w:t>MDC</w:t>
            </w:r>
          </w:p>
        </w:tc>
        <w:tc>
          <w:tcPr>
            <w:tcW w:w="1134" w:type="dxa"/>
            <w:tcBorders>
              <w:top w:val="single" w:sz="4" w:space="0" w:color="auto"/>
              <w:left w:val="single" w:sz="4" w:space="0" w:color="auto"/>
              <w:bottom w:val="single" w:sz="4" w:space="0" w:color="auto"/>
              <w:right w:val="single" w:sz="4" w:space="0" w:color="auto"/>
            </w:tcBorders>
            <w:vAlign w:val="center"/>
          </w:tcPr>
          <w:p w:rsidR="00C821BE" w:rsidRPr="002362E3" w:rsidRDefault="00C821BE" w:rsidP="00C821BE">
            <w:pPr>
              <w:autoSpaceDE w:val="0"/>
              <w:autoSpaceDN w:val="0"/>
              <w:adjustRightInd w:val="0"/>
              <w:spacing w:after="0" w:line="240" w:lineRule="auto"/>
              <w:jc w:val="center"/>
              <w:rPr>
                <w:rFonts w:ascii="Times New Roman" w:hAnsi="Times New Roman" w:cs="Times New Roman"/>
                <w:sz w:val="16"/>
                <w:szCs w:val="16"/>
                <w:lang w:val="pt-BR"/>
              </w:rPr>
            </w:pPr>
            <w:r w:rsidRPr="002362E3">
              <w:rPr>
                <w:rFonts w:ascii="Times New Roman" w:hAnsi="Times New Roman" w:cs="Times New Roman"/>
                <w:sz w:val="16"/>
                <w:szCs w:val="16"/>
                <w:lang w:val="pt-BR"/>
              </w:rPr>
              <w:t>Durante as obras / Mensal</w:t>
            </w:r>
          </w:p>
        </w:tc>
        <w:tc>
          <w:tcPr>
            <w:tcW w:w="1134"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rsidR="00C821BE" w:rsidRPr="002362E3" w:rsidRDefault="00C821BE" w:rsidP="00C821BE">
            <w:pPr>
              <w:autoSpaceDE w:val="0"/>
              <w:autoSpaceDN w:val="0"/>
              <w:adjustRightInd w:val="0"/>
              <w:spacing w:after="0" w:line="240" w:lineRule="auto"/>
              <w:jc w:val="center"/>
              <w:rPr>
                <w:rFonts w:ascii="Times New Roman" w:hAnsi="Times New Roman" w:cs="Times New Roman"/>
                <w:b/>
                <w:sz w:val="16"/>
                <w:szCs w:val="16"/>
                <w:lang w:val="pt-BR"/>
              </w:rPr>
            </w:pPr>
            <w:r w:rsidRPr="002362E3">
              <w:rPr>
                <w:rFonts w:ascii="Times New Roman" w:hAnsi="Times New Roman" w:cs="Times New Roman"/>
                <w:b/>
                <w:sz w:val="16"/>
                <w:szCs w:val="16"/>
                <w:lang w:val="pt-BR"/>
              </w:rPr>
              <w:t>Custo associado ao projeto</w:t>
            </w:r>
          </w:p>
        </w:tc>
      </w:tr>
      <w:tr w:rsidR="00C821BE" w:rsidRPr="002362E3" w:rsidTr="00C821BE">
        <w:trPr>
          <w:trHeight w:val="243"/>
          <w:jc w:val="center"/>
        </w:trPr>
        <w:tc>
          <w:tcPr>
            <w:tcW w:w="1129" w:type="dxa"/>
            <w:vMerge/>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rsidR="00C821BE" w:rsidRPr="002362E3" w:rsidRDefault="00C821BE" w:rsidP="00C821BE">
            <w:pPr>
              <w:autoSpaceDE w:val="0"/>
              <w:autoSpaceDN w:val="0"/>
              <w:adjustRightInd w:val="0"/>
              <w:spacing w:after="0" w:line="240" w:lineRule="auto"/>
              <w:jc w:val="center"/>
              <w:rPr>
                <w:rFonts w:ascii="Times New Roman" w:hAnsi="Times New Roman" w:cs="Times New Roman"/>
                <w:b/>
                <w:bCs/>
                <w:sz w:val="16"/>
                <w:szCs w:val="16"/>
                <w:lang w:val="pt-BR"/>
              </w:rPr>
            </w:pPr>
          </w:p>
        </w:tc>
        <w:tc>
          <w:tcPr>
            <w:tcW w:w="2131" w:type="dxa"/>
            <w:tcBorders>
              <w:top w:val="single" w:sz="4" w:space="0" w:color="auto"/>
              <w:left w:val="single" w:sz="4" w:space="0" w:color="auto"/>
              <w:bottom w:val="single" w:sz="4" w:space="0" w:color="auto"/>
              <w:right w:val="single" w:sz="4" w:space="0" w:color="auto"/>
            </w:tcBorders>
            <w:vAlign w:val="center"/>
          </w:tcPr>
          <w:p w:rsidR="00C821BE" w:rsidRPr="002362E3" w:rsidRDefault="00C821BE" w:rsidP="00C821BE">
            <w:pPr>
              <w:autoSpaceDE w:val="0"/>
              <w:autoSpaceDN w:val="0"/>
              <w:adjustRightInd w:val="0"/>
              <w:spacing w:after="0" w:line="240" w:lineRule="auto"/>
              <w:jc w:val="center"/>
              <w:rPr>
                <w:rFonts w:ascii="Times New Roman" w:hAnsi="Times New Roman" w:cs="Times New Roman"/>
                <w:sz w:val="16"/>
                <w:szCs w:val="16"/>
                <w:lang w:val="pt-BR"/>
              </w:rPr>
            </w:pPr>
            <w:r w:rsidRPr="002362E3">
              <w:rPr>
                <w:rFonts w:ascii="Times New Roman" w:hAnsi="Times New Roman" w:cs="Times New Roman"/>
                <w:sz w:val="16"/>
                <w:szCs w:val="16"/>
                <w:lang w:val="pt-BR"/>
              </w:rPr>
              <w:t>Oportunidades de negócios para operadores econômicos privados</w:t>
            </w:r>
          </w:p>
        </w:tc>
        <w:tc>
          <w:tcPr>
            <w:tcW w:w="4673" w:type="dxa"/>
            <w:tcBorders>
              <w:top w:val="single" w:sz="4" w:space="0" w:color="auto"/>
              <w:left w:val="single" w:sz="4" w:space="0" w:color="auto"/>
              <w:bottom w:val="single" w:sz="4" w:space="0" w:color="auto"/>
              <w:right w:val="single" w:sz="4" w:space="0" w:color="auto"/>
            </w:tcBorders>
            <w:vAlign w:val="center"/>
          </w:tcPr>
          <w:p w:rsidR="00C821BE" w:rsidRPr="002362E3" w:rsidRDefault="00C821BE" w:rsidP="00C821BE">
            <w:pPr>
              <w:autoSpaceDE w:val="0"/>
              <w:autoSpaceDN w:val="0"/>
              <w:adjustRightInd w:val="0"/>
              <w:spacing w:after="0" w:line="240" w:lineRule="auto"/>
              <w:jc w:val="both"/>
              <w:rPr>
                <w:rFonts w:ascii="Times New Roman" w:hAnsi="Times New Roman" w:cs="Times New Roman"/>
                <w:sz w:val="16"/>
                <w:szCs w:val="16"/>
                <w:lang w:val="pt-BR"/>
              </w:rPr>
            </w:pPr>
            <w:r w:rsidRPr="002362E3">
              <w:rPr>
                <w:rFonts w:ascii="Times New Roman" w:hAnsi="Times New Roman" w:cs="Times New Roman"/>
                <w:sz w:val="16"/>
                <w:szCs w:val="16"/>
                <w:lang w:val="pt-BR"/>
              </w:rPr>
              <w:t>- Foco na concorrência durante o concurso, tendo em conta a qualidade dos materiais;</w:t>
            </w:r>
          </w:p>
          <w:p w:rsidR="00C821BE" w:rsidRPr="002362E3" w:rsidRDefault="00C821BE" w:rsidP="00C821BE">
            <w:pPr>
              <w:autoSpaceDE w:val="0"/>
              <w:autoSpaceDN w:val="0"/>
              <w:adjustRightInd w:val="0"/>
              <w:spacing w:after="0" w:line="240" w:lineRule="auto"/>
              <w:jc w:val="both"/>
              <w:rPr>
                <w:rFonts w:ascii="Times New Roman" w:hAnsi="Times New Roman" w:cs="Times New Roman"/>
                <w:sz w:val="16"/>
                <w:szCs w:val="16"/>
                <w:lang w:val="pt-BR"/>
              </w:rPr>
            </w:pPr>
            <w:r w:rsidRPr="002362E3">
              <w:rPr>
                <w:rFonts w:ascii="Times New Roman" w:hAnsi="Times New Roman" w:cs="Times New Roman"/>
                <w:sz w:val="16"/>
                <w:szCs w:val="16"/>
                <w:lang w:val="pt-BR"/>
              </w:rPr>
              <w:t>- Celebrar contratos com empresas legalmente constituídas;</w:t>
            </w:r>
          </w:p>
          <w:p w:rsidR="00C821BE" w:rsidRPr="002362E3" w:rsidRDefault="00C821BE" w:rsidP="00C821BE">
            <w:pPr>
              <w:autoSpaceDE w:val="0"/>
              <w:autoSpaceDN w:val="0"/>
              <w:adjustRightInd w:val="0"/>
              <w:spacing w:after="0" w:line="240" w:lineRule="auto"/>
              <w:jc w:val="both"/>
              <w:rPr>
                <w:rFonts w:ascii="Times New Roman" w:hAnsi="Times New Roman" w:cs="Times New Roman"/>
                <w:sz w:val="16"/>
                <w:szCs w:val="16"/>
                <w:lang w:val="pt-BR"/>
              </w:rPr>
            </w:pPr>
            <w:r w:rsidRPr="002362E3">
              <w:rPr>
                <w:rFonts w:ascii="Times New Roman" w:hAnsi="Times New Roman" w:cs="Times New Roman"/>
                <w:sz w:val="16"/>
                <w:szCs w:val="16"/>
                <w:lang w:val="pt-BR"/>
              </w:rPr>
              <w:t>- Dar prioridade aos negócios locais;</w:t>
            </w:r>
          </w:p>
        </w:tc>
        <w:tc>
          <w:tcPr>
            <w:tcW w:w="3402" w:type="dxa"/>
            <w:tcBorders>
              <w:top w:val="single" w:sz="4" w:space="0" w:color="auto"/>
              <w:left w:val="single" w:sz="4" w:space="0" w:color="auto"/>
              <w:bottom w:val="single" w:sz="4" w:space="0" w:color="auto"/>
              <w:right w:val="single" w:sz="4" w:space="0" w:color="auto"/>
            </w:tcBorders>
            <w:vAlign w:val="center"/>
          </w:tcPr>
          <w:p w:rsidR="00C821BE" w:rsidRPr="002362E3" w:rsidRDefault="00C821BE" w:rsidP="00C821BE">
            <w:pPr>
              <w:autoSpaceDE w:val="0"/>
              <w:autoSpaceDN w:val="0"/>
              <w:adjustRightInd w:val="0"/>
              <w:spacing w:after="0" w:line="240" w:lineRule="auto"/>
              <w:rPr>
                <w:rFonts w:ascii="Times New Roman" w:hAnsi="Times New Roman" w:cs="Times New Roman"/>
                <w:sz w:val="16"/>
                <w:szCs w:val="16"/>
                <w:lang w:val="pt-BR"/>
              </w:rPr>
            </w:pPr>
            <w:r w:rsidRPr="002362E3">
              <w:rPr>
                <w:rFonts w:ascii="Times New Roman" w:hAnsi="Times New Roman" w:cs="Times New Roman"/>
                <w:sz w:val="16"/>
                <w:szCs w:val="16"/>
                <w:lang w:val="pt-BR"/>
              </w:rPr>
              <w:t>- Número de empresas locais recrutadas para as obras;</w:t>
            </w:r>
          </w:p>
          <w:p w:rsidR="00C821BE" w:rsidRPr="002362E3" w:rsidRDefault="00C821BE" w:rsidP="00C821BE">
            <w:pPr>
              <w:autoSpaceDE w:val="0"/>
              <w:autoSpaceDN w:val="0"/>
              <w:adjustRightInd w:val="0"/>
              <w:spacing w:after="0" w:line="240" w:lineRule="auto"/>
              <w:rPr>
                <w:rFonts w:ascii="Times New Roman" w:hAnsi="Times New Roman" w:cs="Times New Roman"/>
                <w:sz w:val="16"/>
                <w:szCs w:val="16"/>
                <w:lang w:val="pt-BR"/>
              </w:rPr>
            </w:pPr>
            <w:r w:rsidRPr="002362E3">
              <w:rPr>
                <w:rFonts w:ascii="Times New Roman" w:hAnsi="Times New Roman" w:cs="Times New Roman"/>
                <w:sz w:val="16"/>
                <w:szCs w:val="16"/>
                <w:lang w:val="pt-BR"/>
              </w:rPr>
              <w:t>-Presença do contrato;</w:t>
            </w:r>
          </w:p>
          <w:p w:rsidR="00C821BE" w:rsidRPr="002362E3" w:rsidRDefault="00C821BE" w:rsidP="00C821BE">
            <w:pPr>
              <w:autoSpaceDE w:val="0"/>
              <w:autoSpaceDN w:val="0"/>
              <w:adjustRightInd w:val="0"/>
              <w:spacing w:after="0" w:line="240" w:lineRule="auto"/>
              <w:rPr>
                <w:rFonts w:ascii="Times New Roman" w:hAnsi="Times New Roman" w:cs="Times New Roman"/>
                <w:sz w:val="16"/>
                <w:szCs w:val="16"/>
                <w:lang w:val="pt-BR"/>
              </w:rPr>
            </w:pPr>
            <w:r w:rsidRPr="002362E3">
              <w:rPr>
                <w:rFonts w:ascii="Times New Roman" w:hAnsi="Times New Roman" w:cs="Times New Roman"/>
                <w:sz w:val="16"/>
                <w:szCs w:val="16"/>
                <w:lang w:val="pt-BR"/>
              </w:rPr>
              <w:t>-Apresentação de notas fiscais de compra de materiais;</w:t>
            </w:r>
          </w:p>
        </w:tc>
        <w:tc>
          <w:tcPr>
            <w:tcW w:w="1276"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C821BE" w:rsidRPr="002362E3" w:rsidRDefault="00C821BE" w:rsidP="00C821BE">
            <w:pPr>
              <w:autoSpaceDE w:val="0"/>
              <w:autoSpaceDN w:val="0"/>
              <w:adjustRightInd w:val="0"/>
              <w:spacing w:after="0" w:line="240" w:lineRule="auto"/>
              <w:jc w:val="center"/>
              <w:rPr>
                <w:rFonts w:ascii="Times New Roman" w:hAnsi="Times New Roman" w:cs="Times New Roman"/>
                <w:b/>
                <w:sz w:val="16"/>
                <w:szCs w:val="16"/>
                <w:lang w:val="pt-BR"/>
              </w:rPr>
            </w:pPr>
            <w:r w:rsidRPr="002362E3">
              <w:rPr>
                <w:rFonts w:ascii="Times New Roman" w:hAnsi="Times New Roman" w:cs="Times New Roman"/>
                <w:b/>
                <w:sz w:val="16"/>
                <w:szCs w:val="16"/>
                <w:lang w:val="pt-BR"/>
              </w:rPr>
              <w:t>PUASEE-FA</w:t>
            </w:r>
          </w:p>
          <w:p w:rsidR="00C821BE" w:rsidRPr="002362E3" w:rsidRDefault="00C821BE" w:rsidP="00C821BE">
            <w:pPr>
              <w:autoSpaceDE w:val="0"/>
              <w:autoSpaceDN w:val="0"/>
              <w:adjustRightInd w:val="0"/>
              <w:spacing w:after="0" w:line="240" w:lineRule="auto"/>
              <w:jc w:val="center"/>
              <w:rPr>
                <w:rFonts w:ascii="Times New Roman" w:hAnsi="Times New Roman" w:cs="Times New Roman"/>
                <w:b/>
                <w:sz w:val="16"/>
                <w:szCs w:val="16"/>
                <w:lang w:val="pt-BR"/>
              </w:rPr>
            </w:pPr>
            <w:r w:rsidRPr="002362E3">
              <w:rPr>
                <w:rFonts w:ascii="Times New Roman" w:hAnsi="Times New Roman" w:cs="Times New Roman"/>
                <w:b/>
                <w:sz w:val="16"/>
                <w:szCs w:val="16"/>
                <w:lang w:val="pt-BR"/>
              </w:rPr>
              <w:t>O negócio</w:t>
            </w:r>
          </w:p>
        </w:tc>
        <w:tc>
          <w:tcPr>
            <w:tcW w:w="1134"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C821BE" w:rsidRPr="002362E3" w:rsidRDefault="00C821BE" w:rsidP="00C821BE">
            <w:pPr>
              <w:autoSpaceDE w:val="0"/>
              <w:autoSpaceDN w:val="0"/>
              <w:adjustRightInd w:val="0"/>
              <w:spacing w:after="0" w:line="240" w:lineRule="auto"/>
              <w:jc w:val="center"/>
              <w:rPr>
                <w:rFonts w:ascii="Times New Roman" w:hAnsi="Times New Roman" w:cs="Times New Roman"/>
                <w:b/>
                <w:sz w:val="16"/>
                <w:szCs w:val="16"/>
                <w:lang w:val="pt-BR"/>
              </w:rPr>
            </w:pPr>
            <w:r w:rsidRPr="002362E3">
              <w:rPr>
                <w:rFonts w:ascii="Times New Roman" w:hAnsi="Times New Roman" w:cs="Times New Roman"/>
                <w:b/>
                <w:sz w:val="16"/>
                <w:szCs w:val="16"/>
                <w:lang w:val="pt-BR"/>
              </w:rPr>
              <w:t>MDC</w:t>
            </w:r>
          </w:p>
          <w:p w:rsidR="00C821BE" w:rsidRPr="002362E3" w:rsidRDefault="00C821BE" w:rsidP="00C821BE">
            <w:pPr>
              <w:autoSpaceDE w:val="0"/>
              <w:autoSpaceDN w:val="0"/>
              <w:adjustRightInd w:val="0"/>
              <w:spacing w:after="0" w:line="240" w:lineRule="auto"/>
              <w:jc w:val="center"/>
              <w:rPr>
                <w:rFonts w:ascii="Times New Roman" w:hAnsi="Times New Roman" w:cs="Times New Roman"/>
                <w:b/>
                <w:sz w:val="16"/>
                <w:szCs w:val="16"/>
                <w:lang w:val="pt-BR"/>
              </w:rPr>
            </w:pPr>
          </w:p>
          <w:p w:rsidR="00C821BE" w:rsidRPr="002362E3" w:rsidRDefault="00C821BE" w:rsidP="00C821BE">
            <w:pPr>
              <w:autoSpaceDE w:val="0"/>
              <w:autoSpaceDN w:val="0"/>
              <w:adjustRightInd w:val="0"/>
              <w:spacing w:after="0" w:line="240" w:lineRule="auto"/>
              <w:jc w:val="center"/>
              <w:rPr>
                <w:rFonts w:ascii="Times New Roman" w:hAnsi="Times New Roman" w:cs="Times New Roman"/>
                <w:b/>
                <w:sz w:val="16"/>
                <w:szCs w:val="16"/>
                <w:lang w:val="pt-BR"/>
              </w:rPr>
            </w:pPr>
            <w:r w:rsidRPr="002362E3">
              <w:rPr>
                <w:rFonts w:ascii="Times New Roman" w:hAnsi="Times New Roman" w:cs="Times New Roman"/>
                <w:b/>
                <w:sz w:val="16"/>
                <w:szCs w:val="16"/>
                <w:lang w:val="pt-BR"/>
              </w:rPr>
              <w:t>PUASEE-FA</w:t>
            </w:r>
          </w:p>
        </w:tc>
        <w:tc>
          <w:tcPr>
            <w:tcW w:w="1134" w:type="dxa"/>
            <w:tcBorders>
              <w:top w:val="single" w:sz="4" w:space="0" w:color="auto"/>
              <w:left w:val="single" w:sz="4" w:space="0" w:color="auto"/>
              <w:bottom w:val="single" w:sz="4" w:space="0" w:color="auto"/>
              <w:right w:val="single" w:sz="4" w:space="0" w:color="auto"/>
            </w:tcBorders>
            <w:vAlign w:val="center"/>
          </w:tcPr>
          <w:p w:rsidR="00C821BE" w:rsidRPr="002362E3" w:rsidRDefault="00C821BE" w:rsidP="00C821BE">
            <w:pPr>
              <w:autoSpaceDE w:val="0"/>
              <w:autoSpaceDN w:val="0"/>
              <w:adjustRightInd w:val="0"/>
              <w:spacing w:after="0" w:line="240" w:lineRule="auto"/>
              <w:jc w:val="center"/>
              <w:rPr>
                <w:rFonts w:ascii="Times New Roman" w:hAnsi="Times New Roman" w:cs="Times New Roman"/>
                <w:sz w:val="16"/>
                <w:szCs w:val="16"/>
                <w:lang w:val="pt-BR"/>
              </w:rPr>
            </w:pPr>
            <w:r w:rsidRPr="002362E3">
              <w:rPr>
                <w:rFonts w:ascii="Times New Roman" w:hAnsi="Times New Roman" w:cs="Times New Roman"/>
                <w:sz w:val="16"/>
                <w:szCs w:val="16"/>
                <w:lang w:val="pt-BR"/>
              </w:rPr>
              <w:t>Antes das obras / Em cada concurso</w:t>
            </w:r>
          </w:p>
        </w:tc>
        <w:tc>
          <w:tcPr>
            <w:tcW w:w="1134"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rsidR="00C821BE" w:rsidRPr="002362E3" w:rsidRDefault="00C821BE" w:rsidP="00C821BE">
            <w:pPr>
              <w:autoSpaceDE w:val="0"/>
              <w:autoSpaceDN w:val="0"/>
              <w:adjustRightInd w:val="0"/>
              <w:spacing w:after="0" w:line="240" w:lineRule="auto"/>
              <w:jc w:val="center"/>
              <w:rPr>
                <w:rFonts w:ascii="Times New Roman" w:hAnsi="Times New Roman" w:cs="Times New Roman"/>
                <w:b/>
                <w:sz w:val="16"/>
                <w:szCs w:val="16"/>
                <w:lang w:val="pt-BR"/>
              </w:rPr>
            </w:pPr>
            <w:r w:rsidRPr="002362E3">
              <w:rPr>
                <w:rFonts w:ascii="Times New Roman" w:hAnsi="Times New Roman" w:cs="Times New Roman"/>
                <w:b/>
                <w:sz w:val="16"/>
                <w:szCs w:val="16"/>
                <w:lang w:val="pt-BR"/>
              </w:rPr>
              <w:t>Custo associado ao projeto</w:t>
            </w:r>
          </w:p>
        </w:tc>
      </w:tr>
      <w:tr w:rsidR="00C821BE" w:rsidRPr="002362E3" w:rsidTr="00C821BE">
        <w:trPr>
          <w:trHeight w:val="699"/>
          <w:jc w:val="center"/>
        </w:trPr>
        <w:tc>
          <w:tcPr>
            <w:tcW w:w="1129" w:type="dxa"/>
            <w:vMerge/>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rsidR="00C821BE" w:rsidRPr="002362E3" w:rsidRDefault="00C821BE" w:rsidP="00C821BE">
            <w:pPr>
              <w:autoSpaceDE w:val="0"/>
              <w:autoSpaceDN w:val="0"/>
              <w:adjustRightInd w:val="0"/>
              <w:spacing w:after="0" w:line="240" w:lineRule="auto"/>
              <w:jc w:val="center"/>
              <w:rPr>
                <w:rFonts w:ascii="Times New Roman" w:hAnsi="Times New Roman" w:cs="Times New Roman"/>
                <w:b/>
                <w:bCs/>
                <w:sz w:val="16"/>
                <w:szCs w:val="16"/>
                <w:lang w:val="pt-BR"/>
              </w:rPr>
            </w:pPr>
          </w:p>
        </w:tc>
        <w:tc>
          <w:tcPr>
            <w:tcW w:w="2131" w:type="dxa"/>
            <w:tcBorders>
              <w:top w:val="single" w:sz="4" w:space="0" w:color="auto"/>
              <w:left w:val="single" w:sz="4" w:space="0" w:color="auto"/>
              <w:bottom w:val="single" w:sz="4" w:space="0" w:color="auto"/>
              <w:right w:val="single" w:sz="4" w:space="0" w:color="auto"/>
            </w:tcBorders>
            <w:vAlign w:val="center"/>
          </w:tcPr>
          <w:p w:rsidR="00C821BE" w:rsidRPr="002362E3" w:rsidRDefault="00C821BE" w:rsidP="00C821BE">
            <w:pPr>
              <w:autoSpaceDE w:val="0"/>
              <w:autoSpaceDN w:val="0"/>
              <w:adjustRightInd w:val="0"/>
              <w:spacing w:after="0" w:line="240" w:lineRule="auto"/>
              <w:jc w:val="center"/>
              <w:rPr>
                <w:rFonts w:ascii="Times New Roman" w:hAnsi="Times New Roman" w:cs="Times New Roman"/>
                <w:sz w:val="16"/>
                <w:szCs w:val="16"/>
                <w:lang w:val="pt-BR"/>
              </w:rPr>
            </w:pPr>
            <w:r w:rsidRPr="002362E3">
              <w:rPr>
                <w:rFonts w:ascii="Times New Roman" w:hAnsi="Times New Roman" w:cs="Times New Roman"/>
                <w:sz w:val="16"/>
                <w:szCs w:val="16"/>
                <w:lang w:val="pt-BR"/>
              </w:rPr>
              <w:t xml:space="preserve">Aumento da receita relacionada aos empregos diretos do projeto </w:t>
            </w:r>
          </w:p>
        </w:tc>
        <w:tc>
          <w:tcPr>
            <w:tcW w:w="4673" w:type="dxa"/>
            <w:tcBorders>
              <w:top w:val="single" w:sz="4" w:space="0" w:color="auto"/>
              <w:left w:val="single" w:sz="4" w:space="0" w:color="auto"/>
              <w:bottom w:val="single" w:sz="4" w:space="0" w:color="auto"/>
              <w:right w:val="single" w:sz="4" w:space="0" w:color="auto"/>
            </w:tcBorders>
            <w:vAlign w:val="center"/>
          </w:tcPr>
          <w:p w:rsidR="00C821BE" w:rsidRPr="002362E3" w:rsidRDefault="00C821BE" w:rsidP="00C821BE">
            <w:pPr>
              <w:autoSpaceDE w:val="0"/>
              <w:autoSpaceDN w:val="0"/>
              <w:adjustRightInd w:val="0"/>
              <w:spacing w:after="0" w:line="240" w:lineRule="auto"/>
              <w:jc w:val="both"/>
              <w:rPr>
                <w:rFonts w:ascii="Times New Roman" w:hAnsi="Times New Roman" w:cs="Times New Roman"/>
                <w:sz w:val="16"/>
                <w:szCs w:val="16"/>
                <w:lang w:val="pt-BR"/>
              </w:rPr>
            </w:pPr>
            <w:r w:rsidRPr="002362E3">
              <w:rPr>
                <w:rFonts w:ascii="Times New Roman" w:hAnsi="Times New Roman" w:cs="Times New Roman"/>
                <w:sz w:val="16"/>
                <w:szCs w:val="16"/>
                <w:lang w:val="pt-BR"/>
              </w:rPr>
              <w:t>-Configurar áreas de restauração respeitando a higiene e segurança;</w:t>
            </w:r>
          </w:p>
          <w:p w:rsidR="00C821BE" w:rsidRPr="002362E3" w:rsidRDefault="00C821BE" w:rsidP="00C821BE">
            <w:pPr>
              <w:autoSpaceDE w:val="0"/>
              <w:autoSpaceDN w:val="0"/>
              <w:adjustRightInd w:val="0"/>
              <w:spacing w:after="0" w:line="240" w:lineRule="auto"/>
              <w:jc w:val="both"/>
              <w:rPr>
                <w:rFonts w:ascii="Times New Roman" w:hAnsi="Times New Roman" w:cs="Times New Roman"/>
                <w:sz w:val="16"/>
                <w:szCs w:val="16"/>
                <w:lang w:val="pt-BR"/>
              </w:rPr>
            </w:pPr>
            <w:r w:rsidRPr="002362E3">
              <w:rPr>
                <w:rFonts w:ascii="Times New Roman" w:hAnsi="Times New Roman" w:cs="Times New Roman"/>
                <w:sz w:val="16"/>
                <w:szCs w:val="16"/>
                <w:lang w:val="pt-BR"/>
              </w:rPr>
              <w:t>-Respeitar as especificações estabelecidas;</w:t>
            </w:r>
          </w:p>
          <w:p w:rsidR="00C821BE" w:rsidRPr="002362E3" w:rsidRDefault="00C821BE" w:rsidP="00C821BE">
            <w:pPr>
              <w:autoSpaceDE w:val="0"/>
              <w:autoSpaceDN w:val="0"/>
              <w:adjustRightInd w:val="0"/>
              <w:spacing w:after="0" w:line="240" w:lineRule="auto"/>
              <w:jc w:val="both"/>
              <w:rPr>
                <w:rFonts w:ascii="Times New Roman" w:hAnsi="Times New Roman" w:cs="Times New Roman"/>
                <w:sz w:val="16"/>
                <w:szCs w:val="16"/>
                <w:lang w:val="pt-BR"/>
              </w:rPr>
            </w:pPr>
            <w:r w:rsidRPr="002362E3">
              <w:rPr>
                <w:rFonts w:ascii="Times New Roman" w:hAnsi="Times New Roman" w:cs="Times New Roman"/>
                <w:sz w:val="16"/>
                <w:szCs w:val="16"/>
                <w:lang w:val="pt-BR"/>
              </w:rPr>
              <w:t>- Obter diversos materiais (cimentos, ferro, concreto, etc.) de operadores privados;</w:t>
            </w:r>
          </w:p>
        </w:tc>
        <w:tc>
          <w:tcPr>
            <w:tcW w:w="3402" w:type="dxa"/>
            <w:tcBorders>
              <w:top w:val="single" w:sz="4" w:space="0" w:color="auto"/>
              <w:left w:val="single" w:sz="4" w:space="0" w:color="auto"/>
              <w:bottom w:val="single" w:sz="4" w:space="0" w:color="auto"/>
              <w:right w:val="single" w:sz="4" w:space="0" w:color="auto"/>
            </w:tcBorders>
            <w:vAlign w:val="center"/>
          </w:tcPr>
          <w:p w:rsidR="00C821BE" w:rsidRPr="002362E3" w:rsidRDefault="00C821BE" w:rsidP="00C821BE">
            <w:pPr>
              <w:autoSpaceDE w:val="0"/>
              <w:autoSpaceDN w:val="0"/>
              <w:adjustRightInd w:val="0"/>
              <w:spacing w:after="0" w:line="240" w:lineRule="auto"/>
              <w:rPr>
                <w:rFonts w:ascii="Times New Roman" w:hAnsi="Times New Roman" w:cs="Times New Roman"/>
                <w:sz w:val="16"/>
                <w:szCs w:val="16"/>
                <w:lang w:val="pt-BR"/>
              </w:rPr>
            </w:pPr>
            <w:r w:rsidRPr="002362E3">
              <w:rPr>
                <w:rFonts w:ascii="Times New Roman" w:hAnsi="Times New Roman" w:cs="Times New Roman"/>
                <w:sz w:val="16"/>
                <w:szCs w:val="16"/>
                <w:lang w:val="pt-BR"/>
              </w:rPr>
              <w:t>- Presença de restaurante</w:t>
            </w:r>
          </w:p>
          <w:p w:rsidR="00C821BE" w:rsidRPr="002362E3" w:rsidRDefault="00C821BE" w:rsidP="00C821BE">
            <w:pPr>
              <w:autoSpaceDE w:val="0"/>
              <w:autoSpaceDN w:val="0"/>
              <w:adjustRightInd w:val="0"/>
              <w:spacing w:after="0" w:line="240" w:lineRule="auto"/>
              <w:rPr>
                <w:rFonts w:ascii="Times New Roman" w:hAnsi="Times New Roman" w:cs="Times New Roman"/>
                <w:sz w:val="16"/>
                <w:szCs w:val="16"/>
                <w:lang w:val="pt-BR"/>
              </w:rPr>
            </w:pPr>
            <w:r w:rsidRPr="002362E3">
              <w:rPr>
                <w:rFonts w:ascii="Times New Roman" w:hAnsi="Times New Roman" w:cs="Times New Roman"/>
                <w:sz w:val="16"/>
                <w:szCs w:val="16"/>
                <w:lang w:val="pt-BR"/>
              </w:rPr>
              <w:t>-Aumento de operadores privados (venda de equipamentos de construção)</w:t>
            </w:r>
          </w:p>
          <w:p w:rsidR="00C821BE" w:rsidRPr="002362E3" w:rsidRDefault="00C821BE" w:rsidP="00C821BE">
            <w:pPr>
              <w:autoSpaceDE w:val="0"/>
              <w:autoSpaceDN w:val="0"/>
              <w:adjustRightInd w:val="0"/>
              <w:spacing w:after="0" w:line="240" w:lineRule="auto"/>
              <w:rPr>
                <w:rFonts w:ascii="Times New Roman" w:hAnsi="Times New Roman" w:cs="Times New Roman"/>
                <w:sz w:val="16"/>
                <w:szCs w:val="16"/>
                <w:lang w:val="pt-BR"/>
              </w:rPr>
            </w:pPr>
            <w:r w:rsidRPr="002362E3">
              <w:rPr>
                <w:rFonts w:ascii="Times New Roman" w:hAnsi="Times New Roman" w:cs="Times New Roman"/>
                <w:sz w:val="16"/>
                <w:szCs w:val="16"/>
                <w:lang w:val="pt-BR"/>
              </w:rPr>
              <w:t xml:space="preserve">- Aumento da renda </w:t>
            </w:r>
          </w:p>
          <w:p w:rsidR="00C821BE" w:rsidRPr="002362E3" w:rsidRDefault="00C821BE" w:rsidP="00C821BE">
            <w:pPr>
              <w:autoSpaceDE w:val="0"/>
              <w:autoSpaceDN w:val="0"/>
              <w:adjustRightInd w:val="0"/>
              <w:spacing w:after="0" w:line="240" w:lineRule="auto"/>
              <w:rPr>
                <w:rFonts w:ascii="Times New Roman" w:hAnsi="Times New Roman" w:cs="Times New Roman"/>
                <w:sz w:val="16"/>
                <w:szCs w:val="16"/>
                <w:lang w:val="pt-BR"/>
              </w:rPr>
            </w:pPr>
          </w:p>
        </w:tc>
        <w:tc>
          <w:tcPr>
            <w:tcW w:w="1276"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C821BE" w:rsidRPr="002362E3" w:rsidRDefault="00C821BE" w:rsidP="00C821BE">
            <w:pPr>
              <w:autoSpaceDE w:val="0"/>
              <w:autoSpaceDN w:val="0"/>
              <w:adjustRightInd w:val="0"/>
              <w:spacing w:after="0" w:line="240" w:lineRule="auto"/>
              <w:jc w:val="center"/>
              <w:rPr>
                <w:rFonts w:ascii="Times New Roman" w:hAnsi="Times New Roman" w:cs="Times New Roman"/>
                <w:b/>
                <w:sz w:val="16"/>
                <w:szCs w:val="16"/>
                <w:lang w:val="pt-BR"/>
              </w:rPr>
            </w:pPr>
            <w:r w:rsidRPr="002362E3">
              <w:rPr>
                <w:rFonts w:ascii="Times New Roman" w:hAnsi="Times New Roman" w:cs="Times New Roman"/>
                <w:b/>
                <w:sz w:val="16"/>
                <w:szCs w:val="16"/>
                <w:lang w:val="pt-BR"/>
              </w:rPr>
              <w:t xml:space="preserve">O negócio </w:t>
            </w:r>
          </w:p>
        </w:tc>
        <w:tc>
          <w:tcPr>
            <w:tcW w:w="1134"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C821BE" w:rsidRPr="002362E3" w:rsidRDefault="00C821BE" w:rsidP="00C821BE">
            <w:pPr>
              <w:autoSpaceDE w:val="0"/>
              <w:autoSpaceDN w:val="0"/>
              <w:adjustRightInd w:val="0"/>
              <w:spacing w:after="0" w:line="240" w:lineRule="auto"/>
              <w:jc w:val="center"/>
              <w:rPr>
                <w:rFonts w:ascii="Times New Roman" w:hAnsi="Times New Roman" w:cs="Times New Roman"/>
                <w:b/>
                <w:sz w:val="16"/>
                <w:szCs w:val="16"/>
                <w:lang w:val="pt-BR"/>
              </w:rPr>
            </w:pPr>
            <w:r w:rsidRPr="002362E3">
              <w:rPr>
                <w:rFonts w:ascii="Times New Roman" w:hAnsi="Times New Roman" w:cs="Times New Roman"/>
                <w:b/>
                <w:sz w:val="16"/>
                <w:szCs w:val="16"/>
                <w:lang w:val="pt-BR"/>
              </w:rPr>
              <w:t>MDC</w:t>
            </w:r>
          </w:p>
          <w:p w:rsidR="00C821BE" w:rsidRPr="002362E3" w:rsidRDefault="00C821BE" w:rsidP="00C821BE">
            <w:pPr>
              <w:autoSpaceDE w:val="0"/>
              <w:autoSpaceDN w:val="0"/>
              <w:adjustRightInd w:val="0"/>
              <w:spacing w:after="0" w:line="240" w:lineRule="auto"/>
              <w:jc w:val="center"/>
              <w:rPr>
                <w:rFonts w:ascii="Times New Roman" w:hAnsi="Times New Roman" w:cs="Times New Roman"/>
                <w:b/>
                <w:sz w:val="16"/>
                <w:szCs w:val="16"/>
                <w:lang w:val="pt-BR"/>
              </w:rPr>
            </w:pPr>
            <w:r w:rsidRPr="002362E3">
              <w:rPr>
                <w:rFonts w:ascii="Times New Roman" w:hAnsi="Times New Roman" w:cs="Times New Roman"/>
                <w:b/>
                <w:sz w:val="16"/>
                <w:szCs w:val="16"/>
                <w:lang w:val="pt-BR"/>
              </w:rPr>
              <w:t>PUASEE-FA</w:t>
            </w:r>
          </w:p>
        </w:tc>
        <w:tc>
          <w:tcPr>
            <w:tcW w:w="1134" w:type="dxa"/>
            <w:tcBorders>
              <w:top w:val="single" w:sz="4" w:space="0" w:color="auto"/>
              <w:left w:val="single" w:sz="4" w:space="0" w:color="auto"/>
              <w:bottom w:val="single" w:sz="4" w:space="0" w:color="auto"/>
              <w:right w:val="single" w:sz="4" w:space="0" w:color="auto"/>
            </w:tcBorders>
            <w:vAlign w:val="center"/>
          </w:tcPr>
          <w:p w:rsidR="00C821BE" w:rsidRPr="002362E3" w:rsidRDefault="00C821BE" w:rsidP="00C821BE">
            <w:pPr>
              <w:autoSpaceDE w:val="0"/>
              <w:autoSpaceDN w:val="0"/>
              <w:adjustRightInd w:val="0"/>
              <w:spacing w:after="0" w:line="240" w:lineRule="auto"/>
              <w:jc w:val="center"/>
              <w:rPr>
                <w:rFonts w:ascii="Times New Roman" w:hAnsi="Times New Roman" w:cs="Times New Roman"/>
                <w:sz w:val="16"/>
                <w:szCs w:val="16"/>
                <w:lang w:val="pt-BR"/>
              </w:rPr>
            </w:pPr>
            <w:r w:rsidRPr="002362E3">
              <w:rPr>
                <w:rFonts w:ascii="Times New Roman" w:hAnsi="Times New Roman" w:cs="Times New Roman"/>
                <w:sz w:val="16"/>
                <w:szCs w:val="16"/>
                <w:lang w:val="pt-BR"/>
              </w:rPr>
              <w:t>Durante as obras / Mensal</w:t>
            </w:r>
          </w:p>
        </w:tc>
        <w:tc>
          <w:tcPr>
            <w:tcW w:w="1134"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rsidR="00C821BE" w:rsidRPr="002362E3" w:rsidRDefault="00C821BE" w:rsidP="00C821BE">
            <w:pPr>
              <w:autoSpaceDE w:val="0"/>
              <w:autoSpaceDN w:val="0"/>
              <w:adjustRightInd w:val="0"/>
              <w:spacing w:after="0" w:line="240" w:lineRule="auto"/>
              <w:jc w:val="center"/>
              <w:rPr>
                <w:rFonts w:ascii="Times New Roman" w:hAnsi="Times New Roman" w:cs="Times New Roman"/>
                <w:b/>
                <w:sz w:val="16"/>
                <w:szCs w:val="16"/>
                <w:lang w:val="pt-BR"/>
              </w:rPr>
            </w:pPr>
            <w:r w:rsidRPr="002362E3">
              <w:rPr>
                <w:rFonts w:ascii="Times New Roman" w:hAnsi="Times New Roman" w:cs="Times New Roman"/>
                <w:b/>
                <w:sz w:val="16"/>
                <w:szCs w:val="16"/>
                <w:lang w:val="pt-BR"/>
              </w:rPr>
              <w:t>Custo associado ao projeto</w:t>
            </w:r>
          </w:p>
        </w:tc>
      </w:tr>
      <w:tr w:rsidR="00C821BE" w:rsidRPr="002362E3" w:rsidTr="00C821BE">
        <w:trPr>
          <w:trHeight w:val="227"/>
          <w:jc w:val="center"/>
        </w:trPr>
        <w:tc>
          <w:tcPr>
            <w:tcW w:w="1129" w:type="dxa"/>
            <w:vMerge/>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rsidR="00C821BE" w:rsidRPr="002362E3" w:rsidRDefault="00C821BE" w:rsidP="00C821BE">
            <w:pPr>
              <w:autoSpaceDE w:val="0"/>
              <w:autoSpaceDN w:val="0"/>
              <w:adjustRightInd w:val="0"/>
              <w:spacing w:after="0" w:line="240" w:lineRule="auto"/>
              <w:jc w:val="center"/>
              <w:rPr>
                <w:rFonts w:ascii="Times New Roman" w:hAnsi="Times New Roman" w:cs="Times New Roman"/>
                <w:b/>
                <w:bCs/>
                <w:sz w:val="16"/>
                <w:szCs w:val="16"/>
                <w:lang w:val="pt-BR"/>
              </w:rPr>
            </w:pPr>
          </w:p>
        </w:tc>
        <w:tc>
          <w:tcPr>
            <w:tcW w:w="2131" w:type="dxa"/>
            <w:tcBorders>
              <w:top w:val="single" w:sz="4" w:space="0" w:color="auto"/>
              <w:left w:val="single" w:sz="4" w:space="0" w:color="auto"/>
              <w:bottom w:val="single" w:sz="4" w:space="0" w:color="auto"/>
              <w:right w:val="single" w:sz="4" w:space="0" w:color="auto"/>
            </w:tcBorders>
            <w:vAlign w:val="center"/>
          </w:tcPr>
          <w:p w:rsidR="00C821BE" w:rsidRPr="002362E3" w:rsidRDefault="00C821BE" w:rsidP="00C821BE">
            <w:pPr>
              <w:autoSpaceDE w:val="0"/>
              <w:autoSpaceDN w:val="0"/>
              <w:adjustRightInd w:val="0"/>
              <w:spacing w:after="0" w:line="240" w:lineRule="auto"/>
              <w:jc w:val="center"/>
              <w:rPr>
                <w:rFonts w:ascii="Times New Roman" w:hAnsi="Times New Roman" w:cs="Times New Roman"/>
                <w:sz w:val="16"/>
                <w:szCs w:val="16"/>
                <w:lang w:val="pt-BR"/>
              </w:rPr>
            </w:pPr>
            <w:r w:rsidRPr="002362E3">
              <w:rPr>
                <w:rFonts w:ascii="Times New Roman" w:hAnsi="Times New Roman" w:cs="Times New Roman"/>
                <w:sz w:val="16"/>
                <w:szCs w:val="16"/>
                <w:lang w:val="pt-BR"/>
              </w:rPr>
              <w:t>Criação de relacionamento social</w:t>
            </w:r>
          </w:p>
        </w:tc>
        <w:tc>
          <w:tcPr>
            <w:tcW w:w="4673" w:type="dxa"/>
            <w:tcBorders>
              <w:top w:val="single" w:sz="4" w:space="0" w:color="auto"/>
              <w:left w:val="single" w:sz="4" w:space="0" w:color="auto"/>
              <w:bottom w:val="single" w:sz="4" w:space="0" w:color="auto"/>
              <w:right w:val="single" w:sz="4" w:space="0" w:color="auto"/>
            </w:tcBorders>
            <w:vAlign w:val="center"/>
          </w:tcPr>
          <w:p w:rsidR="00C821BE" w:rsidRPr="002362E3" w:rsidRDefault="00C821BE" w:rsidP="00C821BE">
            <w:pPr>
              <w:autoSpaceDE w:val="0"/>
              <w:autoSpaceDN w:val="0"/>
              <w:adjustRightInd w:val="0"/>
              <w:spacing w:after="0" w:line="240" w:lineRule="auto"/>
              <w:jc w:val="both"/>
              <w:rPr>
                <w:rFonts w:ascii="Times New Roman" w:hAnsi="Times New Roman" w:cs="Times New Roman"/>
                <w:sz w:val="16"/>
                <w:szCs w:val="16"/>
                <w:lang w:val="pt-BR"/>
              </w:rPr>
            </w:pPr>
            <w:r w:rsidRPr="002362E3">
              <w:rPr>
                <w:rFonts w:ascii="Times New Roman" w:hAnsi="Times New Roman" w:cs="Times New Roman"/>
                <w:sz w:val="16"/>
                <w:szCs w:val="16"/>
                <w:lang w:val="pt-BR"/>
              </w:rPr>
              <w:t xml:space="preserve"> - Respeitar o meio ambiente das populações;</w:t>
            </w:r>
          </w:p>
          <w:p w:rsidR="00C821BE" w:rsidRPr="002362E3" w:rsidRDefault="00C821BE" w:rsidP="00C821BE">
            <w:pPr>
              <w:autoSpaceDE w:val="0"/>
              <w:autoSpaceDN w:val="0"/>
              <w:adjustRightInd w:val="0"/>
              <w:spacing w:after="0" w:line="240" w:lineRule="auto"/>
              <w:jc w:val="both"/>
              <w:rPr>
                <w:rFonts w:ascii="Times New Roman" w:hAnsi="Times New Roman" w:cs="Times New Roman"/>
                <w:sz w:val="16"/>
                <w:szCs w:val="16"/>
                <w:lang w:val="pt-BR"/>
              </w:rPr>
            </w:pPr>
            <w:r w:rsidRPr="002362E3">
              <w:rPr>
                <w:rFonts w:ascii="Times New Roman" w:hAnsi="Times New Roman" w:cs="Times New Roman"/>
                <w:sz w:val="16"/>
                <w:szCs w:val="16"/>
                <w:lang w:val="pt-BR"/>
              </w:rPr>
              <w:t>- respeitar os usos e costumes das localidades em questão;</w:t>
            </w:r>
          </w:p>
          <w:p w:rsidR="00C821BE" w:rsidRPr="002362E3" w:rsidRDefault="00C821BE" w:rsidP="00C821BE">
            <w:pPr>
              <w:autoSpaceDE w:val="0"/>
              <w:autoSpaceDN w:val="0"/>
              <w:adjustRightInd w:val="0"/>
              <w:spacing w:after="0" w:line="240" w:lineRule="auto"/>
              <w:jc w:val="both"/>
              <w:rPr>
                <w:rFonts w:ascii="Times New Roman" w:hAnsi="Times New Roman" w:cs="Times New Roman"/>
                <w:sz w:val="16"/>
                <w:szCs w:val="16"/>
                <w:lang w:val="pt-BR"/>
              </w:rPr>
            </w:pPr>
            <w:r w:rsidRPr="002362E3">
              <w:rPr>
                <w:rFonts w:ascii="Times New Roman" w:hAnsi="Times New Roman" w:cs="Times New Roman"/>
                <w:sz w:val="16"/>
                <w:szCs w:val="16"/>
                <w:lang w:val="pt-BR"/>
              </w:rPr>
              <w:t>- Manter relações pacíficas com a população;</w:t>
            </w:r>
          </w:p>
          <w:p w:rsidR="00C821BE" w:rsidRPr="002362E3" w:rsidRDefault="00C821BE" w:rsidP="00C821BE">
            <w:pPr>
              <w:autoSpaceDE w:val="0"/>
              <w:autoSpaceDN w:val="0"/>
              <w:adjustRightInd w:val="0"/>
              <w:spacing w:after="0" w:line="240" w:lineRule="auto"/>
              <w:jc w:val="both"/>
              <w:rPr>
                <w:rFonts w:ascii="Times New Roman" w:hAnsi="Times New Roman" w:cs="Times New Roman"/>
                <w:sz w:val="16"/>
                <w:szCs w:val="16"/>
                <w:lang w:val="pt-BR"/>
              </w:rPr>
            </w:pPr>
            <w:r w:rsidRPr="002362E3">
              <w:rPr>
                <w:rFonts w:ascii="Times New Roman" w:hAnsi="Times New Roman" w:cs="Times New Roman"/>
                <w:sz w:val="16"/>
                <w:szCs w:val="16"/>
                <w:lang w:val="pt-BR"/>
              </w:rPr>
              <w:t>Respeitar os compromissos assumidos;</w:t>
            </w:r>
          </w:p>
        </w:tc>
        <w:tc>
          <w:tcPr>
            <w:tcW w:w="3402" w:type="dxa"/>
            <w:tcBorders>
              <w:top w:val="single" w:sz="4" w:space="0" w:color="auto"/>
              <w:left w:val="single" w:sz="4" w:space="0" w:color="auto"/>
              <w:bottom w:val="single" w:sz="4" w:space="0" w:color="auto"/>
              <w:right w:val="single" w:sz="4" w:space="0" w:color="auto"/>
            </w:tcBorders>
            <w:vAlign w:val="center"/>
          </w:tcPr>
          <w:p w:rsidR="00C821BE" w:rsidRPr="002362E3" w:rsidRDefault="00C821BE" w:rsidP="00C821BE">
            <w:pPr>
              <w:autoSpaceDE w:val="0"/>
              <w:autoSpaceDN w:val="0"/>
              <w:adjustRightInd w:val="0"/>
              <w:spacing w:after="0" w:line="240" w:lineRule="auto"/>
              <w:rPr>
                <w:rFonts w:ascii="Times New Roman" w:hAnsi="Times New Roman" w:cs="Times New Roman"/>
                <w:color w:val="000000"/>
                <w:sz w:val="16"/>
                <w:szCs w:val="16"/>
                <w:lang w:val="pt-BR"/>
              </w:rPr>
            </w:pPr>
            <w:r w:rsidRPr="002362E3">
              <w:rPr>
                <w:rFonts w:ascii="Times New Roman" w:hAnsi="Times New Roman" w:cs="Times New Roman"/>
                <w:sz w:val="16"/>
                <w:szCs w:val="16"/>
                <w:lang w:val="pt-BR"/>
              </w:rPr>
              <w:t>-</w:t>
            </w:r>
            <w:r w:rsidRPr="002362E3">
              <w:rPr>
                <w:rFonts w:ascii="Times New Roman" w:hAnsi="Times New Roman" w:cs="Times New Roman"/>
                <w:color w:val="000000"/>
                <w:sz w:val="16"/>
                <w:szCs w:val="16"/>
                <w:lang w:val="pt-BR"/>
              </w:rPr>
              <w:t xml:space="preserve"> Presença de relacionamento nas interconexões sociais, culturais, técnicas, comerciais;</w:t>
            </w:r>
          </w:p>
          <w:p w:rsidR="00C821BE" w:rsidRPr="002362E3" w:rsidRDefault="00C821BE" w:rsidP="00C821BE">
            <w:pPr>
              <w:autoSpaceDE w:val="0"/>
              <w:autoSpaceDN w:val="0"/>
              <w:adjustRightInd w:val="0"/>
              <w:spacing w:after="0" w:line="240" w:lineRule="auto"/>
              <w:rPr>
                <w:rFonts w:ascii="Times New Roman" w:hAnsi="Times New Roman" w:cs="Times New Roman"/>
                <w:sz w:val="16"/>
                <w:szCs w:val="16"/>
                <w:lang w:val="pt-BR"/>
              </w:rPr>
            </w:pPr>
            <w:r w:rsidRPr="002362E3">
              <w:rPr>
                <w:rFonts w:ascii="Times New Roman" w:hAnsi="Times New Roman" w:cs="Times New Roman"/>
                <w:color w:val="000000"/>
                <w:sz w:val="16"/>
                <w:szCs w:val="16"/>
                <w:lang w:val="pt-BR"/>
              </w:rPr>
              <w:t>- Número de reclamações registradas</w:t>
            </w:r>
            <w:r w:rsidRPr="002362E3">
              <w:rPr>
                <w:rFonts w:ascii="Times New Roman" w:hAnsi="Times New Roman" w:cs="Times New Roman"/>
                <w:sz w:val="16"/>
                <w:szCs w:val="16"/>
                <w:lang w:val="pt-BR"/>
              </w:rPr>
              <w:t>;</w:t>
            </w:r>
          </w:p>
        </w:tc>
        <w:tc>
          <w:tcPr>
            <w:tcW w:w="1276"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C821BE" w:rsidRPr="002362E3" w:rsidRDefault="00C821BE" w:rsidP="00C821BE">
            <w:pPr>
              <w:autoSpaceDE w:val="0"/>
              <w:autoSpaceDN w:val="0"/>
              <w:adjustRightInd w:val="0"/>
              <w:spacing w:after="0" w:line="240" w:lineRule="auto"/>
              <w:jc w:val="center"/>
              <w:rPr>
                <w:rFonts w:ascii="Times New Roman" w:hAnsi="Times New Roman" w:cs="Times New Roman"/>
                <w:b/>
                <w:sz w:val="16"/>
                <w:szCs w:val="16"/>
                <w:lang w:val="pt-BR"/>
              </w:rPr>
            </w:pPr>
            <w:r w:rsidRPr="002362E3">
              <w:rPr>
                <w:rFonts w:ascii="Times New Roman" w:hAnsi="Times New Roman" w:cs="Times New Roman"/>
                <w:b/>
                <w:sz w:val="16"/>
                <w:szCs w:val="16"/>
                <w:lang w:val="pt-BR"/>
              </w:rPr>
              <w:t xml:space="preserve">O negócio </w:t>
            </w:r>
          </w:p>
        </w:tc>
        <w:tc>
          <w:tcPr>
            <w:tcW w:w="1134"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C821BE" w:rsidRPr="002362E3" w:rsidRDefault="00C821BE" w:rsidP="00C821BE">
            <w:pPr>
              <w:autoSpaceDE w:val="0"/>
              <w:autoSpaceDN w:val="0"/>
              <w:adjustRightInd w:val="0"/>
              <w:spacing w:after="0" w:line="240" w:lineRule="auto"/>
              <w:jc w:val="center"/>
              <w:rPr>
                <w:rFonts w:ascii="Times New Roman" w:hAnsi="Times New Roman" w:cs="Times New Roman"/>
                <w:b/>
                <w:sz w:val="16"/>
                <w:szCs w:val="16"/>
                <w:lang w:val="pt-BR"/>
              </w:rPr>
            </w:pPr>
            <w:r w:rsidRPr="002362E3">
              <w:rPr>
                <w:rFonts w:ascii="Times New Roman" w:hAnsi="Times New Roman" w:cs="Times New Roman"/>
                <w:b/>
                <w:sz w:val="16"/>
                <w:szCs w:val="16"/>
                <w:lang w:val="pt-BR"/>
              </w:rPr>
              <w:t>MDC</w:t>
            </w:r>
          </w:p>
          <w:p w:rsidR="00C821BE" w:rsidRPr="002362E3" w:rsidRDefault="00C821BE" w:rsidP="00C821BE">
            <w:pPr>
              <w:autoSpaceDE w:val="0"/>
              <w:autoSpaceDN w:val="0"/>
              <w:adjustRightInd w:val="0"/>
              <w:spacing w:after="0" w:line="240" w:lineRule="auto"/>
              <w:jc w:val="center"/>
              <w:rPr>
                <w:rFonts w:ascii="Times New Roman" w:hAnsi="Times New Roman" w:cs="Times New Roman"/>
                <w:b/>
                <w:sz w:val="16"/>
                <w:szCs w:val="16"/>
                <w:lang w:val="pt-BR"/>
              </w:rPr>
            </w:pPr>
            <w:r w:rsidRPr="002362E3">
              <w:rPr>
                <w:rFonts w:ascii="Times New Roman" w:hAnsi="Times New Roman" w:cs="Times New Roman"/>
                <w:b/>
                <w:sz w:val="16"/>
                <w:szCs w:val="16"/>
                <w:lang w:val="pt-BR"/>
              </w:rPr>
              <w:t>PUASEE-FA</w:t>
            </w:r>
          </w:p>
        </w:tc>
        <w:tc>
          <w:tcPr>
            <w:tcW w:w="1134" w:type="dxa"/>
            <w:tcBorders>
              <w:top w:val="single" w:sz="4" w:space="0" w:color="auto"/>
              <w:left w:val="single" w:sz="4" w:space="0" w:color="auto"/>
              <w:bottom w:val="single" w:sz="4" w:space="0" w:color="auto"/>
              <w:right w:val="single" w:sz="4" w:space="0" w:color="auto"/>
            </w:tcBorders>
            <w:vAlign w:val="center"/>
          </w:tcPr>
          <w:p w:rsidR="00C821BE" w:rsidRPr="002362E3" w:rsidRDefault="00C821BE" w:rsidP="00C821BE">
            <w:pPr>
              <w:autoSpaceDE w:val="0"/>
              <w:autoSpaceDN w:val="0"/>
              <w:adjustRightInd w:val="0"/>
              <w:spacing w:after="0" w:line="240" w:lineRule="auto"/>
              <w:jc w:val="center"/>
              <w:rPr>
                <w:rFonts w:ascii="Times New Roman" w:hAnsi="Times New Roman" w:cs="Times New Roman"/>
                <w:sz w:val="16"/>
                <w:szCs w:val="16"/>
                <w:lang w:val="pt-BR"/>
              </w:rPr>
            </w:pPr>
            <w:r w:rsidRPr="002362E3">
              <w:rPr>
                <w:rFonts w:ascii="Times New Roman" w:hAnsi="Times New Roman" w:cs="Times New Roman"/>
                <w:sz w:val="16"/>
                <w:szCs w:val="16"/>
                <w:lang w:val="pt-BR"/>
              </w:rPr>
              <w:t>Durante as obras / Mensal</w:t>
            </w:r>
          </w:p>
        </w:tc>
        <w:tc>
          <w:tcPr>
            <w:tcW w:w="1134"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rsidR="00C821BE" w:rsidRPr="002362E3" w:rsidRDefault="00C821BE" w:rsidP="00C821BE">
            <w:pPr>
              <w:autoSpaceDE w:val="0"/>
              <w:autoSpaceDN w:val="0"/>
              <w:adjustRightInd w:val="0"/>
              <w:spacing w:after="0" w:line="240" w:lineRule="auto"/>
              <w:jc w:val="center"/>
              <w:rPr>
                <w:rFonts w:ascii="Times New Roman" w:hAnsi="Times New Roman" w:cs="Times New Roman"/>
                <w:b/>
                <w:sz w:val="16"/>
                <w:szCs w:val="16"/>
                <w:lang w:val="pt-BR"/>
              </w:rPr>
            </w:pPr>
            <w:r w:rsidRPr="002362E3">
              <w:rPr>
                <w:rFonts w:ascii="Times New Roman" w:hAnsi="Times New Roman" w:cs="Times New Roman"/>
                <w:b/>
                <w:sz w:val="16"/>
                <w:szCs w:val="16"/>
                <w:lang w:val="pt-BR"/>
              </w:rPr>
              <w:t>Custo associado ao projeto</w:t>
            </w:r>
          </w:p>
        </w:tc>
      </w:tr>
      <w:tr w:rsidR="00C821BE" w:rsidRPr="00332A41" w:rsidTr="00C821BE">
        <w:trPr>
          <w:trHeight w:val="70"/>
          <w:jc w:val="center"/>
        </w:trPr>
        <w:tc>
          <w:tcPr>
            <w:tcW w:w="16013" w:type="dxa"/>
            <w:gridSpan w:val="8"/>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rsidR="00C821BE" w:rsidRPr="002362E3" w:rsidRDefault="00C821BE" w:rsidP="00C821BE">
            <w:pPr>
              <w:autoSpaceDE w:val="0"/>
              <w:autoSpaceDN w:val="0"/>
              <w:adjustRightInd w:val="0"/>
              <w:spacing w:after="0" w:line="240" w:lineRule="auto"/>
              <w:jc w:val="center"/>
              <w:rPr>
                <w:rFonts w:ascii="Times New Roman" w:hAnsi="Times New Roman" w:cs="Times New Roman"/>
                <w:b/>
                <w:bCs/>
                <w:sz w:val="16"/>
                <w:szCs w:val="16"/>
                <w:lang w:val="pt-BR"/>
              </w:rPr>
            </w:pPr>
            <w:r w:rsidRPr="002362E3">
              <w:rPr>
                <w:rFonts w:ascii="Times New Roman" w:hAnsi="Times New Roman" w:cs="Times New Roman"/>
                <w:b/>
                <w:bCs/>
                <w:sz w:val="16"/>
                <w:szCs w:val="16"/>
                <w:lang w:val="pt-BR"/>
              </w:rPr>
              <w:t>Meios de melhorar os potenciais impactos positivos durante a fase operacional</w:t>
            </w:r>
          </w:p>
        </w:tc>
      </w:tr>
      <w:tr w:rsidR="00C821BE" w:rsidRPr="002362E3" w:rsidTr="00C821BE">
        <w:trPr>
          <w:trHeight w:val="70"/>
          <w:jc w:val="center"/>
        </w:trPr>
        <w:tc>
          <w:tcPr>
            <w:tcW w:w="1129"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rsidR="00C821BE" w:rsidRPr="002362E3" w:rsidRDefault="00C821BE" w:rsidP="00C821BE">
            <w:pPr>
              <w:autoSpaceDE w:val="0"/>
              <w:autoSpaceDN w:val="0"/>
              <w:adjustRightInd w:val="0"/>
              <w:spacing w:after="0" w:line="240" w:lineRule="auto"/>
              <w:jc w:val="center"/>
              <w:rPr>
                <w:rFonts w:ascii="Times New Roman" w:hAnsi="Times New Roman" w:cs="Times New Roman"/>
                <w:b/>
                <w:bCs/>
                <w:sz w:val="16"/>
                <w:szCs w:val="16"/>
                <w:lang w:val="pt-BR"/>
              </w:rPr>
            </w:pPr>
            <w:r w:rsidRPr="002362E3">
              <w:rPr>
                <w:rFonts w:ascii="Times New Roman" w:hAnsi="Times New Roman" w:cs="Times New Roman"/>
                <w:b/>
                <w:bCs/>
                <w:sz w:val="16"/>
                <w:szCs w:val="16"/>
                <w:lang w:val="pt-BR"/>
              </w:rPr>
              <w:t>Componente do ambiente afetado</w:t>
            </w:r>
          </w:p>
        </w:tc>
        <w:tc>
          <w:tcPr>
            <w:tcW w:w="2131"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rsidR="00C821BE" w:rsidRPr="002362E3" w:rsidRDefault="00C821BE" w:rsidP="00C821BE">
            <w:pPr>
              <w:autoSpaceDE w:val="0"/>
              <w:autoSpaceDN w:val="0"/>
              <w:adjustRightInd w:val="0"/>
              <w:spacing w:after="0" w:line="240" w:lineRule="auto"/>
              <w:jc w:val="center"/>
              <w:rPr>
                <w:rFonts w:ascii="Times New Roman" w:hAnsi="Times New Roman" w:cs="Times New Roman"/>
                <w:b/>
                <w:sz w:val="16"/>
                <w:szCs w:val="16"/>
                <w:lang w:val="pt-BR"/>
              </w:rPr>
            </w:pPr>
            <w:r w:rsidRPr="002362E3">
              <w:rPr>
                <w:rFonts w:ascii="Times New Roman" w:hAnsi="Times New Roman" w:cs="Times New Roman"/>
                <w:b/>
                <w:sz w:val="16"/>
                <w:szCs w:val="16"/>
                <w:lang w:val="pt-BR"/>
              </w:rPr>
              <w:t>Natureza do impacto potencial</w:t>
            </w:r>
          </w:p>
        </w:tc>
        <w:tc>
          <w:tcPr>
            <w:tcW w:w="4673"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rsidR="00C821BE" w:rsidRPr="002362E3" w:rsidRDefault="00C821BE" w:rsidP="00C821BE">
            <w:pPr>
              <w:autoSpaceDE w:val="0"/>
              <w:autoSpaceDN w:val="0"/>
              <w:adjustRightInd w:val="0"/>
              <w:spacing w:after="0" w:line="240" w:lineRule="auto"/>
              <w:jc w:val="center"/>
              <w:rPr>
                <w:rFonts w:ascii="Times New Roman" w:hAnsi="Times New Roman" w:cs="Times New Roman"/>
                <w:b/>
                <w:sz w:val="16"/>
                <w:szCs w:val="16"/>
                <w:lang w:val="pt-BR"/>
              </w:rPr>
            </w:pPr>
            <w:r w:rsidRPr="002362E3">
              <w:rPr>
                <w:rFonts w:ascii="Times New Roman" w:hAnsi="Times New Roman" w:cs="Times New Roman"/>
                <w:b/>
                <w:sz w:val="16"/>
                <w:szCs w:val="16"/>
                <w:lang w:val="pt-BR"/>
              </w:rPr>
              <w:t>Medidas recomendadas</w:t>
            </w:r>
          </w:p>
        </w:tc>
        <w:tc>
          <w:tcPr>
            <w:tcW w:w="3402"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rsidR="00C821BE" w:rsidRPr="002362E3" w:rsidRDefault="00C821BE" w:rsidP="00C821BE">
            <w:pPr>
              <w:autoSpaceDE w:val="0"/>
              <w:autoSpaceDN w:val="0"/>
              <w:adjustRightInd w:val="0"/>
              <w:spacing w:after="0" w:line="240" w:lineRule="auto"/>
              <w:jc w:val="center"/>
              <w:rPr>
                <w:rFonts w:ascii="Times New Roman" w:hAnsi="Times New Roman" w:cs="Times New Roman"/>
                <w:b/>
                <w:sz w:val="16"/>
                <w:szCs w:val="16"/>
                <w:lang w:val="pt-BR"/>
              </w:rPr>
            </w:pPr>
            <w:r w:rsidRPr="002362E3">
              <w:rPr>
                <w:rFonts w:ascii="Times New Roman" w:hAnsi="Times New Roman" w:cs="Times New Roman"/>
                <w:b/>
                <w:sz w:val="16"/>
                <w:szCs w:val="16"/>
                <w:lang w:val="pt-BR"/>
              </w:rPr>
              <w:t>Indicador de monitoramento</w:t>
            </w:r>
          </w:p>
        </w:tc>
        <w:tc>
          <w:tcPr>
            <w:tcW w:w="2410" w:type="dxa"/>
            <w:gridSpan w:val="2"/>
            <w:tcBorders>
              <w:top w:val="single" w:sz="4" w:space="0" w:color="auto"/>
              <w:left w:val="single" w:sz="4" w:space="0" w:color="auto"/>
              <w:bottom w:val="single" w:sz="4" w:space="0" w:color="auto"/>
              <w:right w:val="single" w:sz="4" w:space="0" w:color="auto"/>
            </w:tcBorders>
            <w:shd w:val="clear" w:color="auto" w:fill="F2F2F2"/>
            <w:vAlign w:val="center"/>
            <w:hideMark/>
          </w:tcPr>
          <w:p w:rsidR="00C821BE" w:rsidRPr="002362E3" w:rsidRDefault="00C821BE" w:rsidP="00C821BE">
            <w:pPr>
              <w:autoSpaceDE w:val="0"/>
              <w:autoSpaceDN w:val="0"/>
              <w:adjustRightInd w:val="0"/>
              <w:spacing w:after="0" w:line="240" w:lineRule="auto"/>
              <w:jc w:val="center"/>
              <w:rPr>
                <w:rFonts w:ascii="Times New Roman" w:hAnsi="Times New Roman" w:cs="Times New Roman"/>
                <w:b/>
                <w:sz w:val="16"/>
                <w:szCs w:val="16"/>
                <w:lang w:val="pt-BR"/>
              </w:rPr>
            </w:pPr>
            <w:r w:rsidRPr="002362E3">
              <w:rPr>
                <w:rFonts w:ascii="Times New Roman" w:hAnsi="Times New Roman" w:cs="Times New Roman"/>
                <w:b/>
                <w:bCs/>
                <w:sz w:val="16"/>
                <w:szCs w:val="16"/>
                <w:lang w:val="pt-BR"/>
              </w:rPr>
              <w:t>Responsável (s)</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rsidR="00C821BE" w:rsidRPr="002362E3" w:rsidRDefault="00C821BE" w:rsidP="00C821BE">
            <w:pPr>
              <w:autoSpaceDE w:val="0"/>
              <w:autoSpaceDN w:val="0"/>
              <w:adjustRightInd w:val="0"/>
              <w:spacing w:after="0" w:line="240" w:lineRule="auto"/>
              <w:jc w:val="center"/>
              <w:rPr>
                <w:rFonts w:ascii="Times New Roman" w:hAnsi="Times New Roman" w:cs="Times New Roman"/>
                <w:b/>
                <w:sz w:val="16"/>
                <w:szCs w:val="16"/>
                <w:lang w:val="pt-BR"/>
              </w:rPr>
            </w:pPr>
            <w:r w:rsidRPr="002362E3">
              <w:rPr>
                <w:rFonts w:ascii="Times New Roman" w:hAnsi="Times New Roman" w:cs="Times New Roman"/>
                <w:b/>
                <w:bCs/>
                <w:sz w:val="16"/>
                <w:szCs w:val="16"/>
                <w:lang w:val="pt-BR"/>
              </w:rPr>
              <w:t>Prazos / Período</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rsidR="00C821BE" w:rsidRPr="002362E3" w:rsidRDefault="00C821BE" w:rsidP="00C821BE">
            <w:pPr>
              <w:autoSpaceDE w:val="0"/>
              <w:autoSpaceDN w:val="0"/>
              <w:adjustRightInd w:val="0"/>
              <w:spacing w:after="0" w:line="240" w:lineRule="auto"/>
              <w:jc w:val="center"/>
              <w:rPr>
                <w:rFonts w:ascii="Times New Roman" w:hAnsi="Times New Roman" w:cs="Times New Roman"/>
                <w:b/>
                <w:sz w:val="16"/>
                <w:szCs w:val="16"/>
                <w:lang w:val="pt-BR"/>
              </w:rPr>
            </w:pPr>
            <w:r w:rsidRPr="002362E3">
              <w:rPr>
                <w:rFonts w:ascii="Times New Roman" w:hAnsi="Times New Roman" w:cs="Times New Roman"/>
                <w:b/>
                <w:bCs/>
                <w:sz w:val="16"/>
                <w:szCs w:val="16"/>
                <w:lang w:val="pt-BR"/>
              </w:rPr>
              <w:t>Custo (FCFA)</w:t>
            </w:r>
          </w:p>
        </w:tc>
      </w:tr>
      <w:tr w:rsidR="00C821BE" w:rsidRPr="002362E3" w:rsidTr="00C821BE">
        <w:trPr>
          <w:trHeight w:val="70"/>
          <w:jc w:val="center"/>
        </w:trPr>
        <w:tc>
          <w:tcPr>
            <w:tcW w:w="1129" w:type="dxa"/>
            <w:vMerge/>
            <w:tcBorders>
              <w:top w:val="single" w:sz="4" w:space="0" w:color="auto"/>
              <w:left w:val="single" w:sz="4" w:space="0" w:color="auto"/>
              <w:bottom w:val="single" w:sz="4" w:space="0" w:color="auto"/>
              <w:right w:val="single" w:sz="4" w:space="0" w:color="auto"/>
            </w:tcBorders>
            <w:vAlign w:val="center"/>
            <w:hideMark/>
          </w:tcPr>
          <w:p w:rsidR="00C821BE" w:rsidRPr="002362E3" w:rsidRDefault="00C821BE" w:rsidP="00C821BE">
            <w:pPr>
              <w:autoSpaceDE w:val="0"/>
              <w:autoSpaceDN w:val="0"/>
              <w:adjustRightInd w:val="0"/>
              <w:spacing w:after="0" w:line="240" w:lineRule="auto"/>
              <w:jc w:val="center"/>
              <w:rPr>
                <w:rFonts w:ascii="Times New Roman" w:hAnsi="Times New Roman" w:cs="Times New Roman"/>
                <w:b/>
                <w:bCs/>
                <w:sz w:val="16"/>
                <w:szCs w:val="16"/>
                <w:lang w:val="pt-BR"/>
              </w:rPr>
            </w:pPr>
          </w:p>
        </w:tc>
        <w:tc>
          <w:tcPr>
            <w:tcW w:w="2131" w:type="dxa"/>
            <w:vMerge/>
            <w:tcBorders>
              <w:top w:val="single" w:sz="4" w:space="0" w:color="auto"/>
              <w:left w:val="single" w:sz="4" w:space="0" w:color="auto"/>
              <w:bottom w:val="single" w:sz="4" w:space="0" w:color="auto"/>
              <w:right w:val="single" w:sz="4" w:space="0" w:color="auto"/>
            </w:tcBorders>
            <w:vAlign w:val="center"/>
            <w:hideMark/>
          </w:tcPr>
          <w:p w:rsidR="00C821BE" w:rsidRPr="002362E3" w:rsidRDefault="00C821BE" w:rsidP="00C821BE">
            <w:pPr>
              <w:autoSpaceDE w:val="0"/>
              <w:autoSpaceDN w:val="0"/>
              <w:adjustRightInd w:val="0"/>
              <w:spacing w:after="0" w:line="240" w:lineRule="auto"/>
              <w:jc w:val="center"/>
              <w:rPr>
                <w:rFonts w:ascii="Times New Roman" w:hAnsi="Times New Roman" w:cs="Times New Roman"/>
                <w:b/>
                <w:sz w:val="16"/>
                <w:szCs w:val="16"/>
                <w:lang w:val="pt-BR"/>
              </w:rPr>
            </w:pPr>
          </w:p>
        </w:tc>
        <w:tc>
          <w:tcPr>
            <w:tcW w:w="4673" w:type="dxa"/>
            <w:vMerge/>
            <w:tcBorders>
              <w:top w:val="single" w:sz="4" w:space="0" w:color="auto"/>
              <w:left w:val="single" w:sz="4" w:space="0" w:color="auto"/>
              <w:bottom w:val="single" w:sz="4" w:space="0" w:color="auto"/>
              <w:right w:val="single" w:sz="4" w:space="0" w:color="auto"/>
            </w:tcBorders>
            <w:vAlign w:val="center"/>
            <w:hideMark/>
          </w:tcPr>
          <w:p w:rsidR="00C821BE" w:rsidRPr="002362E3" w:rsidRDefault="00C821BE" w:rsidP="00C821BE">
            <w:pPr>
              <w:autoSpaceDE w:val="0"/>
              <w:autoSpaceDN w:val="0"/>
              <w:adjustRightInd w:val="0"/>
              <w:spacing w:after="0" w:line="240" w:lineRule="auto"/>
              <w:jc w:val="center"/>
              <w:rPr>
                <w:rFonts w:ascii="Times New Roman" w:hAnsi="Times New Roman" w:cs="Times New Roman"/>
                <w:b/>
                <w:sz w:val="16"/>
                <w:szCs w:val="16"/>
                <w:lang w:val="pt-BR"/>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C821BE" w:rsidRPr="002362E3" w:rsidRDefault="00C821BE" w:rsidP="00C821BE">
            <w:pPr>
              <w:autoSpaceDE w:val="0"/>
              <w:autoSpaceDN w:val="0"/>
              <w:adjustRightInd w:val="0"/>
              <w:spacing w:after="0" w:line="240" w:lineRule="auto"/>
              <w:jc w:val="center"/>
              <w:rPr>
                <w:rFonts w:ascii="Times New Roman" w:hAnsi="Times New Roman" w:cs="Times New Roman"/>
                <w:b/>
                <w:sz w:val="16"/>
                <w:szCs w:val="16"/>
                <w:lang w:val="pt-BR"/>
              </w:rPr>
            </w:pPr>
          </w:p>
        </w:tc>
        <w:tc>
          <w:tcPr>
            <w:tcW w:w="1276"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rsidR="00C821BE" w:rsidRPr="002362E3" w:rsidRDefault="00C821BE" w:rsidP="00C821BE">
            <w:pPr>
              <w:autoSpaceDE w:val="0"/>
              <w:autoSpaceDN w:val="0"/>
              <w:adjustRightInd w:val="0"/>
              <w:spacing w:after="0" w:line="240" w:lineRule="auto"/>
              <w:jc w:val="center"/>
              <w:rPr>
                <w:rFonts w:ascii="Times New Roman" w:hAnsi="Times New Roman" w:cs="Times New Roman"/>
                <w:b/>
                <w:bCs/>
                <w:sz w:val="16"/>
                <w:szCs w:val="16"/>
                <w:lang w:val="pt-BR"/>
              </w:rPr>
            </w:pPr>
            <w:r w:rsidRPr="002362E3">
              <w:rPr>
                <w:rFonts w:ascii="Times New Roman" w:hAnsi="Times New Roman" w:cs="Times New Roman"/>
                <w:b/>
                <w:bCs/>
                <w:sz w:val="16"/>
                <w:szCs w:val="16"/>
                <w:lang w:val="pt-BR"/>
              </w:rPr>
              <w:t>Implementação</w:t>
            </w:r>
          </w:p>
        </w:tc>
        <w:tc>
          <w:tcPr>
            <w:tcW w:w="1134"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rsidR="00C821BE" w:rsidRPr="002362E3" w:rsidRDefault="00C821BE" w:rsidP="00C821BE">
            <w:pPr>
              <w:autoSpaceDE w:val="0"/>
              <w:autoSpaceDN w:val="0"/>
              <w:adjustRightInd w:val="0"/>
              <w:spacing w:after="0" w:line="240" w:lineRule="auto"/>
              <w:jc w:val="center"/>
              <w:rPr>
                <w:rFonts w:ascii="Times New Roman" w:hAnsi="Times New Roman" w:cs="Times New Roman"/>
                <w:b/>
                <w:bCs/>
                <w:sz w:val="16"/>
                <w:szCs w:val="16"/>
                <w:lang w:val="pt-BR"/>
              </w:rPr>
            </w:pPr>
            <w:r w:rsidRPr="002362E3">
              <w:rPr>
                <w:rFonts w:ascii="Times New Roman" w:hAnsi="Times New Roman" w:cs="Times New Roman"/>
                <w:b/>
                <w:bCs/>
                <w:sz w:val="16"/>
                <w:szCs w:val="16"/>
                <w:lang w:val="pt-BR"/>
              </w:rPr>
              <w:t>Monitoramento / Controle</w:t>
            </w: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C821BE" w:rsidRPr="002362E3" w:rsidRDefault="00C821BE" w:rsidP="00C821BE">
            <w:pPr>
              <w:autoSpaceDE w:val="0"/>
              <w:autoSpaceDN w:val="0"/>
              <w:adjustRightInd w:val="0"/>
              <w:spacing w:after="0" w:line="240" w:lineRule="auto"/>
              <w:jc w:val="center"/>
              <w:rPr>
                <w:rFonts w:ascii="Times New Roman" w:hAnsi="Times New Roman" w:cs="Times New Roman"/>
                <w:b/>
                <w:sz w:val="16"/>
                <w:szCs w:val="16"/>
                <w:lang w:val="pt-BR"/>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C821BE" w:rsidRPr="002362E3" w:rsidRDefault="00C821BE" w:rsidP="00C821BE">
            <w:pPr>
              <w:autoSpaceDE w:val="0"/>
              <w:autoSpaceDN w:val="0"/>
              <w:adjustRightInd w:val="0"/>
              <w:spacing w:after="0" w:line="240" w:lineRule="auto"/>
              <w:jc w:val="center"/>
              <w:rPr>
                <w:rFonts w:ascii="Times New Roman" w:hAnsi="Times New Roman" w:cs="Times New Roman"/>
                <w:b/>
                <w:sz w:val="16"/>
                <w:szCs w:val="16"/>
                <w:lang w:val="pt-BR"/>
              </w:rPr>
            </w:pPr>
          </w:p>
        </w:tc>
      </w:tr>
      <w:tr w:rsidR="00C821BE" w:rsidRPr="002362E3" w:rsidTr="00C821BE">
        <w:trPr>
          <w:trHeight w:val="389"/>
          <w:jc w:val="center"/>
        </w:trPr>
        <w:tc>
          <w:tcPr>
            <w:tcW w:w="1129"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rsidR="00C821BE" w:rsidRPr="002362E3" w:rsidRDefault="00C821BE" w:rsidP="00C821BE">
            <w:pPr>
              <w:autoSpaceDE w:val="0"/>
              <w:autoSpaceDN w:val="0"/>
              <w:adjustRightInd w:val="0"/>
              <w:spacing w:after="0" w:line="240" w:lineRule="auto"/>
              <w:jc w:val="center"/>
              <w:rPr>
                <w:rFonts w:ascii="Times New Roman" w:hAnsi="Times New Roman" w:cs="Times New Roman"/>
                <w:b/>
                <w:bCs/>
                <w:sz w:val="16"/>
                <w:szCs w:val="16"/>
                <w:lang w:val="pt-BR"/>
              </w:rPr>
            </w:pPr>
            <w:r w:rsidRPr="002362E3">
              <w:rPr>
                <w:rFonts w:ascii="Times New Roman" w:hAnsi="Times New Roman" w:cs="Times New Roman"/>
                <w:b/>
                <w:bCs/>
                <w:sz w:val="16"/>
                <w:szCs w:val="16"/>
                <w:lang w:val="pt-BR"/>
              </w:rPr>
              <w:t>Paisagens</w:t>
            </w:r>
          </w:p>
        </w:tc>
        <w:tc>
          <w:tcPr>
            <w:tcW w:w="2131" w:type="dxa"/>
            <w:tcBorders>
              <w:top w:val="single" w:sz="4" w:space="0" w:color="auto"/>
              <w:left w:val="single" w:sz="4" w:space="0" w:color="auto"/>
              <w:bottom w:val="single" w:sz="4" w:space="0" w:color="auto"/>
              <w:right w:val="single" w:sz="4" w:space="0" w:color="auto"/>
            </w:tcBorders>
            <w:vAlign w:val="center"/>
          </w:tcPr>
          <w:p w:rsidR="00C821BE" w:rsidRPr="002362E3" w:rsidRDefault="00C821BE" w:rsidP="00C821BE">
            <w:pPr>
              <w:spacing w:after="0" w:line="240" w:lineRule="auto"/>
              <w:jc w:val="both"/>
              <w:rPr>
                <w:rFonts w:ascii="Times New Roman" w:hAnsi="Times New Roman" w:cs="Times New Roman"/>
                <w:color w:val="000000"/>
                <w:sz w:val="16"/>
                <w:szCs w:val="16"/>
                <w:lang w:val="pt-BR"/>
              </w:rPr>
            </w:pPr>
            <w:r w:rsidRPr="002362E3">
              <w:rPr>
                <w:rFonts w:ascii="Times New Roman" w:hAnsi="Times New Roman" w:cs="Times New Roman"/>
                <w:color w:val="000000"/>
                <w:sz w:val="16"/>
                <w:szCs w:val="16"/>
                <w:lang w:val="pt-BR"/>
              </w:rPr>
              <w:t xml:space="preserve">Criação de vegetação verde exuberante e árvores ornamentais ou sombreadas ao nível do local </w:t>
            </w:r>
          </w:p>
        </w:tc>
        <w:tc>
          <w:tcPr>
            <w:tcW w:w="4673" w:type="dxa"/>
            <w:tcBorders>
              <w:top w:val="single" w:sz="4" w:space="0" w:color="auto"/>
              <w:left w:val="single" w:sz="4" w:space="0" w:color="auto"/>
              <w:bottom w:val="single" w:sz="4" w:space="0" w:color="auto"/>
              <w:right w:val="single" w:sz="4" w:space="0" w:color="auto"/>
            </w:tcBorders>
            <w:vAlign w:val="center"/>
          </w:tcPr>
          <w:p w:rsidR="00C821BE" w:rsidRPr="002362E3" w:rsidRDefault="00C821BE" w:rsidP="00C821BE">
            <w:pPr>
              <w:autoSpaceDE w:val="0"/>
              <w:autoSpaceDN w:val="0"/>
              <w:adjustRightInd w:val="0"/>
              <w:spacing w:after="0" w:line="240" w:lineRule="auto"/>
              <w:jc w:val="both"/>
              <w:rPr>
                <w:rFonts w:ascii="Times New Roman" w:hAnsi="Times New Roman" w:cs="Times New Roman"/>
                <w:sz w:val="16"/>
                <w:szCs w:val="16"/>
                <w:lang w:val="pt-BR"/>
              </w:rPr>
            </w:pPr>
            <w:r w:rsidRPr="002362E3">
              <w:rPr>
                <w:rFonts w:ascii="Times New Roman" w:hAnsi="Times New Roman" w:cs="Times New Roman"/>
                <w:sz w:val="16"/>
                <w:szCs w:val="16"/>
                <w:lang w:val="pt-BR"/>
              </w:rPr>
              <w:t>-Use a água do transbordamento para regar árvores ornamentais ou de sombra;</w:t>
            </w:r>
          </w:p>
          <w:p w:rsidR="00C821BE" w:rsidRPr="002362E3" w:rsidRDefault="00C821BE" w:rsidP="00C821BE">
            <w:pPr>
              <w:autoSpaceDE w:val="0"/>
              <w:autoSpaceDN w:val="0"/>
              <w:adjustRightInd w:val="0"/>
              <w:spacing w:after="0" w:line="240" w:lineRule="auto"/>
              <w:jc w:val="both"/>
              <w:rPr>
                <w:rFonts w:ascii="Times New Roman" w:hAnsi="Times New Roman" w:cs="Times New Roman"/>
                <w:sz w:val="16"/>
                <w:szCs w:val="16"/>
                <w:lang w:val="pt-BR"/>
              </w:rPr>
            </w:pPr>
            <w:r w:rsidRPr="002362E3">
              <w:rPr>
                <w:rFonts w:ascii="Times New Roman" w:hAnsi="Times New Roman" w:cs="Times New Roman"/>
                <w:sz w:val="16"/>
                <w:szCs w:val="16"/>
                <w:lang w:val="pt-BR"/>
              </w:rPr>
              <w:t xml:space="preserve">-Recrutar jardineiros para a manutenção dos jardins; </w:t>
            </w:r>
          </w:p>
        </w:tc>
        <w:tc>
          <w:tcPr>
            <w:tcW w:w="3402" w:type="dxa"/>
            <w:tcBorders>
              <w:top w:val="single" w:sz="4" w:space="0" w:color="auto"/>
              <w:left w:val="single" w:sz="4" w:space="0" w:color="auto"/>
              <w:bottom w:val="single" w:sz="4" w:space="0" w:color="auto"/>
              <w:right w:val="single" w:sz="4" w:space="0" w:color="auto"/>
            </w:tcBorders>
            <w:vAlign w:val="center"/>
          </w:tcPr>
          <w:p w:rsidR="00C821BE" w:rsidRPr="002362E3" w:rsidRDefault="00C821BE" w:rsidP="00C821BE">
            <w:pPr>
              <w:autoSpaceDE w:val="0"/>
              <w:autoSpaceDN w:val="0"/>
              <w:adjustRightInd w:val="0"/>
              <w:spacing w:after="0" w:line="240" w:lineRule="auto"/>
              <w:jc w:val="both"/>
              <w:rPr>
                <w:rFonts w:ascii="Times New Roman" w:hAnsi="Times New Roman" w:cs="Times New Roman"/>
                <w:sz w:val="16"/>
                <w:szCs w:val="16"/>
                <w:lang w:val="pt-BR"/>
              </w:rPr>
            </w:pPr>
            <w:r w:rsidRPr="002362E3">
              <w:rPr>
                <w:rFonts w:ascii="Times New Roman" w:hAnsi="Times New Roman" w:cs="Times New Roman"/>
                <w:sz w:val="16"/>
                <w:szCs w:val="16"/>
                <w:lang w:val="pt-BR"/>
              </w:rPr>
              <w:t xml:space="preserve">-Presença de árvores ornamentais ou de sombra </w:t>
            </w:r>
          </w:p>
          <w:p w:rsidR="00C821BE" w:rsidRPr="002362E3" w:rsidRDefault="00C821BE" w:rsidP="00C821BE">
            <w:pPr>
              <w:autoSpaceDE w:val="0"/>
              <w:autoSpaceDN w:val="0"/>
              <w:adjustRightInd w:val="0"/>
              <w:spacing w:after="0" w:line="240" w:lineRule="auto"/>
              <w:jc w:val="both"/>
              <w:rPr>
                <w:rFonts w:ascii="Times New Roman" w:hAnsi="Times New Roman" w:cs="Times New Roman"/>
                <w:sz w:val="16"/>
                <w:szCs w:val="16"/>
                <w:lang w:val="pt-BR"/>
              </w:rPr>
            </w:pPr>
            <w:r w:rsidRPr="002362E3">
              <w:rPr>
                <w:rFonts w:ascii="Times New Roman" w:hAnsi="Times New Roman" w:cs="Times New Roman"/>
                <w:sz w:val="16"/>
                <w:szCs w:val="16"/>
                <w:lang w:val="pt-BR"/>
              </w:rPr>
              <w:t>-Presença de um contrato</w:t>
            </w:r>
          </w:p>
          <w:p w:rsidR="00C821BE" w:rsidRPr="002362E3" w:rsidRDefault="00C821BE" w:rsidP="00C821BE">
            <w:pPr>
              <w:autoSpaceDE w:val="0"/>
              <w:autoSpaceDN w:val="0"/>
              <w:adjustRightInd w:val="0"/>
              <w:spacing w:after="0" w:line="240" w:lineRule="auto"/>
              <w:jc w:val="both"/>
              <w:rPr>
                <w:rFonts w:ascii="Times New Roman" w:hAnsi="Times New Roman" w:cs="Times New Roman"/>
                <w:sz w:val="16"/>
                <w:szCs w:val="16"/>
                <w:lang w:val="pt-BR"/>
              </w:rPr>
            </w:pPr>
            <w:r w:rsidRPr="002362E3">
              <w:rPr>
                <w:rFonts w:ascii="Times New Roman" w:hAnsi="Times New Roman" w:cs="Times New Roman"/>
                <w:sz w:val="16"/>
                <w:szCs w:val="16"/>
                <w:lang w:val="pt-BR"/>
              </w:rPr>
              <w:t xml:space="preserve">-Presença de um jardim </w:t>
            </w:r>
          </w:p>
        </w:tc>
        <w:tc>
          <w:tcPr>
            <w:tcW w:w="1276"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C821BE" w:rsidRPr="002362E3" w:rsidRDefault="00C821BE" w:rsidP="00C821BE">
            <w:pPr>
              <w:autoSpaceDE w:val="0"/>
              <w:autoSpaceDN w:val="0"/>
              <w:adjustRightInd w:val="0"/>
              <w:spacing w:after="0" w:line="240" w:lineRule="auto"/>
              <w:jc w:val="center"/>
              <w:rPr>
                <w:rFonts w:ascii="Times New Roman" w:hAnsi="Times New Roman" w:cs="Times New Roman"/>
                <w:b/>
                <w:bCs/>
                <w:sz w:val="16"/>
                <w:szCs w:val="16"/>
                <w:lang w:val="pt-BR"/>
              </w:rPr>
            </w:pPr>
            <w:r w:rsidRPr="002362E3">
              <w:rPr>
                <w:rFonts w:ascii="Times New Roman" w:hAnsi="Times New Roman" w:cs="Times New Roman"/>
                <w:b/>
                <w:bCs/>
                <w:sz w:val="16"/>
                <w:szCs w:val="16"/>
                <w:lang w:val="pt-BR"/>
              </w:rPr>
              <w:t>PUASEE-FA</w:t>
            </w:r>
          </w:p>
          <w:p w:rsidR="00C821BE" w:rsidRPr="002362E3" w:rsidRDefault="00C821BE" w:rsidP="00C821BE">
            <w:pPr>
              <w:autoSpaceDE w:val="0"/>
              <w:autoSpaceDN w:val="0"/>
              <w:adjustRightInd w:val="0"/>
              <w:spacing w:after="0" w:line="240" w:lineRule="auto"/>
              <w:jc w:val="center"/>
              <w:rPr>
                <w:rFonts w:ascii="Times New Roman" w:hAnsi="Times New Roman" w:cs="Times New Roman"/>
                <w:b/>
                <w:bCs/>
                <w:sz w:val="16"/>
                <w:szCs w:val="16"/>
                <w:lang w:val="pt-BR"/>
              </w:rPr>
            </w:pPr>
            <w:r w:rsidRPr="002362E3">
              <w:rPr>
                <w:rFonts w:ascii="Times New Roman" w:hAnsi="Times New Roman" w:cs="Times New Roman"/>
                <w:b/>
                <w:bCs/>
                <w:sz w:val="16"/>
                <w:szCs w:val="16"/>
                <w:lang w:val="pt-BR"/>
              </w:rPr>
              <w:t>EAGB</w:t>
            </w:r>
          </w:p>
        </w:tc>
        <w:tc>
          <w:tcPr>
            <w:tcW w:w="1134"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C821BE" w:rsidRPr="002362E3" w:rsidRDefault="00C821BE" w:rsidP="00C821BE">
            <w:pPr>
              <w:autoSpaceDE w:val="0"/>
              <w:autoSpaceDN w:val="0"/>
              <w:adjustRightInd w:val="0"/>
              <w:spacing w:after="0" w:line="240" w:lineRule="auto"/>
              <w:rPr>
                <w:rFonts w:ascii="Times New Roman" w:hAnsi="Times New Roman" w:cs="Times New Roman"/>
                <w:b/>
                <w:sz w:val="16"/>
                <w:szCs w:val="16"/>
                <w:lang w:val="pt-BR"/>
              </w:rPr>
            </w:pPr>
            <w:r w:rsidRPr="002362E3">
              <w:rPr>
                <w:rFonts w:ascii="Times New Roman" w:hAnsi="Times New Roman" w:cs="Times New Roman"/>
                <w:b/>
                <w:sz w:val="16"/>
                <w:szCs w:val="16"/>
                <w:lang w:val="pt-BR"/>
              </w:rPr>
              <w:t xml:space="preserve"> MDC</w:t>
            </w:r>
          </w:p>
          <w:p w:rsidR="00C821BE" w:rsidRPr="002362E3" w:rsidRDefault="00C821BE" w:rsidP="00C821BE">
            <w:pPr>
              <w:autoSpaceDE w:val="0"/>
              <w:autoSpaceDN w:val="0"/>
              <w:adjustRightInd w:val="0"/>
              <w:spacing w:after="0" w:line="240" w:lineRule="auto"/>
              <w:jc w:val="center"/>
              <w:rPr>
                <w:rFonts w:ascii="Times New Roman" w:hAnsi="Times New Roman" w:cs="Times New Roman"/>
                <w:b/>
                <w:bCs/>
                <w:sz w:val="16"/>
                <w:szCs w:val="16"/>
                <w:lang w:val="pt-BR"/>
              </w:rPr>
            </w:pPr>
          </w:p>
        </w:tc>
        <w:tc>
          <w:tcPr>
            <w:tcW w:w="1134" w:type="dxa"/>
            <w:tcBorders>
              <w:top w:val="single" w:sz="4" w:space="0" w:color="auto"/>
              <w:left w:val="single" w:sz="4" w:space="0" w:color="auto"/>
              <w:bottom w:val="single" w:sz="4" w:space="0" w:color="auto"/>
              <w:right w:val="single" w:sz="4" w:space="0" w:color="auto"/>
            </w:tcBorders>
            <w:vAlign w:val="center"/>
          </w:tcPr>
          <w:p w:rsidR="00C821BE" w:rsidRPr="002362E3" w:rsidRDefault="00C821BE" w:rsidP="00C821BE">
            <w:pPr>
              <w:autoSpaceDE w:val="0"/>
              <w:autoSpaceDN w:val="0"/>
              <w:adjustRightInd w:val="0"/>
              <w:spacing w:after="0" w:line="240" w:lineRule="auto"/>
              <w:jc w:val="center"/>
              <w:rPr>
                <w:rFonts w:ascii="Times New Roman" w:hAnsi="Times New Roman" w:cs="Times New Roman"/>
                <w:b/>
                <w:sz w:val="16"/>
                <w:szCs w:val="16"/>
                <w:lang w:val="pt-BR"/>
              </w:rPr>
            </w:pPr>
            <w:r w:rsidRPr="002362E3">
              <w:rPr>
                <w:rFonts w:ascii="Times New Roman" w:hAnsi="Times New Roman" w:cs="Times New Roman"/>
                <w:sz w:val="16"/>
                <w:szCs w:val="16"/>
                <w:lang w:val="pt-BR"/>
              </w:rPr>
              <w:t>Durante a operação / duas vezes por ano</w:t>
            </w:r>
          </w:p>
        </w:tc>
        <w:tc>
          <w:tcPr>
            <w:tcW w:w="1134"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rsidR="00C821BE" w:rsidRPr="002362E3" w:rsidRDefault="00C821BE" w:rsidP="00C821BE">
            <w:pPr>
              <w:autoSpaceDE w:val="0"/>
              <w:autoSpaceDN w:val="0"/>
              <w:adjustRightInd w:val="0"/>
              <w:spacing w:after="0" w:line="240" w:lineRule="auto"/>
              <w:jc w:val="center"/>
              <w:rPr>
                <w:rFonts w:ascii="Times New Roman" w:hAnsi="Times New Roman" w:cs="Times New Roman"/>
                <w:b/>
                <w:sz w:val="16"/>
                <w:szCs w:val="16"/>
                <w:lang w:val="pt-BR"/>
              </w:rPr>
            </w:pPr>
            <w:r w:rsidRPr="002362E3">
              <w:rPr>
                <w:rFonts w:ascii="Times New Roman" w:hAnsi="Times New Roman" w:cs="Times New Roman"/>
                <w:b/>
                <w:sz w:val="16"/>
                <w:szCs w:val="16"/>
                <w:lang w:val="pt-BR"/>
              </w:rPr>
              <w:t>750.000</w:t>
            </w:r>
          </w:p>
        </w:tc>
      </w:tr>
      <w:tr w:rsidR="00C821BE" w:rsidRPr="002362E3" w:rsidTr="00C821BE">
        <w:trPr>
          <w:trHeight w:val="347"/>
          <w:jc w:val="center"/>
        </w:trPr>
        <w:tc>
          <w:tcPr>
            <w:tcW w:w="1129" w:type="dxa"/>
            <w:vMerge w:val="restart"/>
            <w:tcBorders>
              <w:top w:val="single" w:sz="4" w:space="0" w:color="auto"/>
              <w:left w:val="single" w:sz="4" w:space="0" w:color="auto"/>
              <w:right w:val="single" w:sz="4" w:space="0" w:color="auto"/>
            </w:tcBorders>
            <w:shd w:val="clear" w:color="auto" w:fill="BDD6EE" w:themeFill="accent1" w:themeFillTint="66"/>
            <w:vAlign w:val="center"/>
            <w:hideMark/>
          </w:tcPr>
          <w:p w:rsidR="00C821BE" w:rsidRPr="002362E3" w:rsidRDefault="00C821BE" w:rsidP="00C821BE">
            <w:pPr>
              <w:autoSpaceDE w:val="0"/>
              <w:autoSpaceDN w:val="0"/>
              <w:adjustRightInd w:val="0"/>
              <w:spacing w:after="0" w:line="240" w:lineRule="auto"/>
              <w:jc w:val="center"/>
              <w:rPr>
                <w:rFonts w:ascii="Times New Roman" w:hAnsi="Times New Roman" w:cs="Times New Roman"/>
                <w:b/>
                <w:bCs/>
                <w:sz w:val="16"/>
                <w:szCs w:val="16"/>
                <w:lang w:val="pt-BR"/>
              </w:rPr>
            </w:pPr>
            <w:r w:rsidRPr="002362E3">
              <w:rPr>
                <w:rFonts w:ascii="Times New Roman" w:hAnsi="Times New Roman" w:cs="Times New Roman"/>
                <w:b/>
                <w:bCs/>
                <w:sz w:val="16"/>
                <w:szCs w:val="16"/>
                <w:lang w:val="pt-BR"/>
              </w:rPr>
              <w:t>Humano</w:t>
            </w:r>
          </w:p>
        </w:tc>
        <w:tc>
          <w:tcPr>
            <w:tcW w:w="2131" w:type="dxa"/>
            <w:tcBorders>
              <w:top w:val="single" w:sz="4" w:space="0" w:color="auto"/>
              <w:left w:val="single" w:sz="4" w:space="0" w:color="auto"/>
              <w:bottom w:val="single" w:sz="4" w:space="0" w:color="auto"/>
              <w:right w:val="single" w:sz="4" w:space="0" w:color="auto"/>
            </w:tcBorders>
            <w:vAlign w:val="center"/>
          </w:tcPr>
          <w:p w:rsidR="00C821BE" w:rsidRPr="002362E3" w:rsidRDefault="00C821BE" w:rsidP="00C821BE">
            <w:pPr>
              <w:autoSpaceDE w:val="0"/>
              <w:autoSpaceDN w:val="0"/>
              <w:adjustRightInd w:val="0"/>
              <w:spacing w:after="0" w:line="240" w:lineRule="auto"/>
              <w:jc w:val="both"/>
              <w:rPr>
                <w:rFonts w:ascii="Times New Roman" w:hAnsi="Times New Roman" w:cs="Times New Roman"/>
                <w:sz w:val="16"/>
                <w:szCs w:val="16"/>
                <w:lang w:val="pt-BR"/>
              </w:rPr>
            </w:pPr>
            <w:r w:rsidRPr="002362E3">
              <w:rPr>
                <w:rFonts w:ascii="Times New Roman" w:hAnsi="Times New Roman" w:cs="Times New Roman"/>
                <w:color w:val="000000"/>
                <w:sz w:val="16"/>
                <w:szCs w:val="16"/>
                <w:lang w:val="pt-BR"/>
              </w:rPr>
              <w:t>Atenuação significativa dos déficits de abastecimento de água potável</w:t>
            </w:r>
          </w:p>
        </w:tc>
        <w:tc>
          <w:tcPr>
            <w:tcW w:w="4673" w:type="dxa"/>
            <w:tcBorders>
              <w:top w:val="single" w:sz="4" w:space="0" w:color="auto"/>
              <w:left w:val="single" w:sz="4" w:space="0" w:color="auto"/>
              <w:bottom w:val="single" w:sz="4" w:space="0" w:color="auto"/>
              <w:right w:val="single" w:sz="4" w:space="0" w:color="auto"/>
            </w:tcBorders>
            <w:vAlign w:val="center"/>
          </w:tcPr>
          <w:p w:rsidR="00C821BE" w:rsidRPr="002362E3" w:rsidRDefault="00C821BE" w:rsidP="00C821BE">
            <w:pPr>
              <w:autoSpaceDE w:val="0"/>
              <w:autoSpaceDN w:val="0"/>
              <w:adjustRightInd w:val="0"/>
              <w:spacing w:after="0" w:line="240" w:lineRule="auto"/>
              <w:jc w:val="both"/>
              <w:rPr>
                <w:rFonts w:ascii="Times New Roman" w:hAnsi="Times New Roman" w:cs="Times New Roman"/>
                <w:sz w:val="16"/>
                <w:szCs w:val="16"/>
                <w:lang w:val="pt-BR"/>
              </w:rPr>
            </w:pPr>
            <w:r w:rsidRPr="002362E3">
              <w:rPr>
                <w:rFonts w:ascii="Times New Roman" w:hAnsi="Times New Roman" w:cs="Times New Roman"/>
                <w:sz w:val="16"/>
                <w:szCs w:val="16"/>
                <w:lang w:val="pt-BR"/>
              </w:rPr>
              <w:t>-Conecte o máximo possível de casa aos novos tanques;</w:t>
            </w:r>
          </w:p>
          <w:p w:rsidR="00C821BE" w:rsidRPr="002362E3" w:rsidRDefault="00C821BE" w:rsidP="00C821BE">
            <w:pPr>
              <w:autoSpaceDE w:val="0"/>
              <w:autoSpaceDN w:val="0"/>
              <w:adjustRightInd w:val="0"/>
              <w:spacing w:after="0" w:line="240" w:lineRule="auto"/>
              <w:jc w:val="both"/>
              <w:rPr>
                <w:rFonts w:ascii="Times New Roman" w:hAnsi="Times New Roman" w:cs="Times New Roman"/>
                <w:sz w:val="16"/>
                <w:szCs w:val="16"/>
                <w:lang w:val="pt-BR"/>
              </w:rPr>
            </w:pPr>
            <w:r w:rsidRPr="002362E3">
              <w:rPr>
                <w:rFonts w:ascii="Times New Roman" w:hAnsi="Times New Roman" w:cs="Times New Roman"/>
                <w:sz w:val="16"/>
                <w:szCs w:val="16"/>
                <w:lang w:val="pt-BR"/>
              </w:rPr>
              <w:t>-Configurar um sistema de assinatura fácil para a população;</w:t>
            </w:r>
          </w:p>
          <w:p w:rsidR="00C821BE" w:rsidRPr="002362E3" w:rsidRDefault="00C821BE" w:rsidP="00C821BE">
            <w:pPr>
              <w:autoSpaceDE w:val="0"/>
              <w:autoSpaceDN w:val="0"/>
              <w:adjustRightInd w:val="0"/>
              <w:spacing w:after="0" w:line="240" w:lineRule="auto"/>
              <w:jc w:val="both"/>
              <w:rPr>
                <w:rFonts w:ascii="Times New Roman" w:hAnsi="Times New Roman" w:cs="Times New Roman"/>
                <w:sz w:val="16"/>
                <w:szCs w:val="16"/>
                <w:lang w:val="pt-BR"/>
              </w:rPr>
            </w:pPr>
            <w:r w:rsidRPr="002362E3">
              <w:rPr>
                <w:rFonts w:ascii="Times New Roman" w:hAnsi="Times New Roman" w:cs="Times New Roman"/>
                <w:sz w:val="16"/>
                <w:szCs w:val="16"/>
                <w:lang w:val="pt-BR"/>
              </w:rPr>
              <w:t>-Diminuir as taxas de adesão ao serviço;</w:t>
            </w:r>
          </w:p>
        </w:tc>
        <w:tc>
          <w:tcPr>
            <w:tcW w:w="3402" w:type="dxa"/>
            <w:tcBorders>
              <w:top w:val="single" w:sz="4" w:space="0" w:color="auto"/>
              <w:left w:val="single" w:sz="4" w:space="0" w:color="auto"/>
              <w:bottom w:val="single" w:sz="4" w:space="0" w:color="auto"/>
              <w:right w:val="single" w:sz="4" w:space="0" w:color="auto"/>
            </w:tcBorders>
            <w:vAlign w:val="center"/>
          </w:tcPr>
          <w:p w:rsidR="00C821BE" w:rsidRPr="002362E3" w:rsidRDefault="00C821BE" w:rsidP="00C821BE">
            <w:pPr>
              <w:autoSpaceDE w:val="0"/>
              <w:autoSpaceDN w:val="0"/>
              <w:adjustRightInd w:val="0"/>
              <w:spacing w:after="0" w:line="240" w:lineRule="auto"/>
              <w:jc w:val="both"/>
              <w:rPr>
                <w:rFonts w:ascii="Times New Roman" w:hAnsi="Times New Roman" w:cs="Times New Roman"/>
                <w:sz w:val="16"/>
                <w:szCs w:val="16"/>
                <w:lang w:val="pt-BR"/>
              </w:rPr>
            </w:pPr>
            <w:r w:rsidRPr="002362E3">
              <w:rPr>
                <w:rFonts w:ascii="Times New Roman" w:hAnsi="Times New Roman" w:cs="Times New Roman"/>
                <w:sz w:val="16"/>
                <w:szCs w:val="16"/>
                <w:lang w:val="pt-BR"/>
              </w:rPr>
              <w:t>- Número de domicílios conectados ao reservatório;</w:t>
            </w:r>
          </w:p>
          <w:p w:rsidR="00C821BE" w:rsidRPr="002362E3" w:rsidRDefault="00C821BE" w:rsidP="00C821BE">
            <w:pPr>
              <w:autoSpaceDE w:val="0"/>
              <w:autoSpaceDN w:val="0"/>
              <w:adjustRightInd w:val="0"/>
              <w:spacing w:after="0" w:line="240" w:lineRule="auto"/>
              <w:jc w:val="both"/>
              <w:rPr>
                <w:rFonts w:ascii="Times New Roman" w:hAnsi="Times New Roman" w:cs="Times New Roman"/>
                <w:sz w:val="16"/>
                <w:szCs w:val="16"/>
                <w:lang w:val="pt-BR"/>
              </w:rPr>
            </w:pPr>
            <w:r w:rsidRPr="002362E3">
              <w:rPr>
                <w:rFonts w:ascii="Times New Roman" w:hAnsi="Times New Roman" w:cs="Times New Roman"/>
                <w:sz w:val="16"/>
                <w:szCs w:val="16"/>
                <w:lang w:val="pt-BR"/>
              </w:rPr>
              <w:t>- Número de reclamantes em relação ao procedimento de subscrição;</w:t>
            </w:r>
          </w:p>
          <w:p w:rsidR="00C821BE" w:rsidRPr="002362E3" w:rsidRDefault="00C821BE" w:rsidP="00C821BE">
            <w:pPr>
              <w:autoSpaceDE w:val="0"/>
              <w:autoSpaceDN w:val="0"/>
              <w:adjustRightInd w:val="0"/>
              <w:spacing w:after="0" w:line="240" w:lineRule="auto"/>
              <w:jc w:val="both"/>
              <w:rPr>
                <w:rFonts w:ascii="Times New Roman" w:hAnsi="Times New Roman" w:cs="Times New Roman"/>
                <w:sz w:val="16"/>
                <w:szCs w:val="16"/>
                <w:lang w:val="pt-BR"/>
              </w:rPr>
            </w:pPr>
            <w:r w:rsidRPr="002362E3">
              <w:rPr>
                <w:rFonts w:ascii="Times New Roman" w:hAnsi="Times New Roman" w:cs="Times New Roman"/>
                <w:sz w:val="16"/>
                <w:szCs w:val="16"/>
                <w:lang w:val="pt-BR"/>
              </w:rPr>
              <w:t>-Apresentação de notas fiscais de assinatura;</w:t>
            </w:r>
          </w:p>
          <w:p w:rsidR="00C821BE" w:rsidRPr="002362E3" w:rsidRDefault="00C821BE" w:rsidP="00C821BE">
            <w:pPr>
              <w:autoSpaceDE w:val="0"/>
              <w:autoSpaceDN w:val="0"/>
              <w:adjustRightInd w:val="0"/>
              <w:spacing w:after="0" w:line="240" w:lineRule="auto"/>
              <w:jc w:val="both"/>
              <w:rPr>
                <w:rFonts w:ascii="Times New Roman" w:hAnsi="Times New Roman" w:cs="Times New Roman"/>
                <w:sz w:val="16"/>
                <w:szCs w:val="16"/>
                <w:lang w:val="pt-BR"/>
              </w:rPr>
            </w:pPr>
          </w:p>
        </w:tc>
        <w:tc>
          <w:tcPr>
            <w:tcW w:w="1276"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rsidR="00C821BE" w:rsidRPr="002362E3" w:rsidRDefault="00C821BE" w:rsidP="00C821BE">
            <w:pPr>
              <w:autoSpaceDE w:val="0"/>
              <w:autoSpaceDN w:val="0"/>
              <w:adjustRightInd w:val="0"/>
              <w:spacing w:after="0" w:line="240" w:lineRule="auto"/>
              <w:jc w:val="center"/>
              <w:rPr>
                <w:rFonts w:ascii="Times New Roman" w:hAnsi="Times New Roman" w:cs="Times New Roman"/>
                <w:b/>
                <w:sz w:val="16"/>
                <w:szCs w:val="16"/>
                <w:lang w:val="pt-BR"/>
              </w:rPr>
            </w:pPr>
            <w:r w:rsidRPr="002362E3">
              <w:rPr>
                <w:rFonts w:ascii="Times New Roman" w:hAnsi="Times New Roman" w:cs="Times New Roman"/>
                <w:b/>
                <w:sz w:val="16"/>
                <w:szCs w:val="16"/>
                <w:lang w:val="pt-BR"/>
              </w:rPr>
              <w:t>ESTADO</w:t>
            </w:r>
          </w:p>
          <w:p w:rsidR="00C821BE" w:rsidRPr="002362E3" w:rsidRDefault="00C821BE" w:rsidP="00C821BE">
            <w:pPr>
              <w:autoSpaceDE w:val="0"/>
              <w:autoSpaceDN w:val="0"/>
              <w:adjustRightInd w:val="0"/>
              <w:spacing w:after="0" w:line="240" w:lineRule="auto"/>
              <w:jc w:val="center"/>
              <w:rPr>
                <w:rFonts w:ascii="Times New Roman" w:hAnsi="Times New Roman" w:cs="Times New Roman"/>
                <w:b/>
                <w:sz w:val="16"/>
                <w:szCs w:val="16"/>
                <w:lang w:val="pt-BR"/>
              </w:rPr>
            </w:pPr>
            <w:r w:rsidRPr="002362E3">
              <w:rPr>
                <w:rFonts w:ascii="Times New Roman" w:hAnsi="Times New Roman" w:cs="Times New Roman"/>
                <w:b/>
                <w:sz w:val="16"/>
                <w:szCs w:val="16"/>
                <w:lang w:val="pt-BR"/>
              </w:rPr>
              <w:t>EAGB</w:t>
            </w:r>
          </w:p>
        </w:tc>
        <w:tc>
          <w:tcPr>
            <w:tcW w:w="1134"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rsidR="00C821BE" w:rsidRPr="002362E3" w:rsidRDefault="00C821BE" w:rsidP="00C821BE">
            <w:pPr>
              <w:autoSpaceDE w:val="0"/>
              <w:autoSpaceDN w:val="0"/>
              <w:adjustRightInd w:val="0"/>
              <w:spacing w:after="0" w:line="240" w:lineRule="auto"/>
              <w:jc w:val="center"/>
              <w:rPr>
                <w:rFonts w:ascii="Times New Roman" w:hAnsi="Times New Roman" w:cs="Times New Roman"/>
                <w:b/>
                <w:sz w:val="16"/>
                <w:szCs w:val="16"/>
                <w:lang w:val="pt-BR"/>
              </w:rPr>
            </w:pPr>
            <w:r w:rsidRPr="002362E3">
              <w:rPr>
                <w:rFonts w:ascii="Times New Roman" w:hAnsi="Times New Roman" w:cs="Times New Roman"/>
                <w:b/>
                <w:sz w:val="16"/>
                <w:szCs w:val="16"/>
                <w:lang w:val="pt-BR"/>
              </w:rPr>
              <w:t>Comitê de Monitoramento</w:t>
            </w:r>
          </w:p>
        </w:tc>
        <w:tc>
          <w:tcPr>
            <w:tcW w:w="1134" w:type="dxa"/>
            <w:tcBorders>
              <w:top w:val="single" w:sz="4" w:space="0" w:color="auto"/>
              <w:left w:val="single" w:sz="4" w:space="0" w:color="auto"/>
              <w:bottom w:val="single" w:sz="4" w:space="0" w:color="auto"/>
              <w:right w:val="single" w:sz="4" w:space="0" w:color="auto"/>
            </w:tcBorders>
            <w:vAlign w:val="center"/>
            <w:hideMark/>
          </w:tcPr>
          <w:p w:rsidR="00C821BE" w:rsidRPr="002362E3" w:rsidRDefault="00C821BE" w:rsidP="00C821BE">
            <w:pPr>
              <w:autoSpaceDE w:val="0"/>
              <w:autoSpaceDN w:val="0"/>
              <w:adjustRightInd w:val="0"/>
              <w:spacing w:after="0" w:line="240" w:lineRule="auto"/>
              <w:jc w:val="center"/>
              <w:rPr>
                <w:rFonts w:ascii="Times New Roman" w:hAnsi="Times New Roman" w:cs="Times New Roman"/>
                <w:sz w:val="16"/>
                <w:szCs w:val="16"/>
                <w:lang w:val="pt-BR"/>
              </w:rPr>
            </w:pPr>
            <w:r w:rsidRPr="002362E3">
              <w:rPr>
                <w:rFonts w:ascii="Times New Roman" w:hAnsi="Times New Roman" w:cs="Times New Roman"/>
                <w:sz w:val="16"/>
                <w:szCs w:val="16"/>
                <w:lang w:val="pt-BR"/>
              </w:rPr>
              <w:t>Durante a operação / duas vezes por ano</w:t>
            </w:r>
          </w:p>
        </w:tc>
        <w:tc>
          <w:tcPr>
            <w:tcW w:w="1134"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rsidR="00C821BE" w:rsidRPr="002362E3" w:rsidRDefault="00C821BE" w:rsidP="00C821BE">
            <w:pPr>
              <w:autoSpaceDE w:val="0"/>
              <w:autoSpaceDN w:val="0"/>
              <w:adjustRightInd w:val="0"/>
              <w:spacing w:after="0" w:line="240" w:lineRule="auto"/>
              <w:jc w:val="center"/>
              <w:rPr>
                <w:rFonts w:ascii="Times New Roman" w:hAnsi="Times New Roman" w:cs="Times New Roman"/>
                <w:b/>
                <w:sz w:val="16"/>
                <w:szCs w:val="16"/>
                <w:lang w:val="pt-BR"/>
              </w:rPr>
            </w:pPr>
            <w:r w:rsidRPr="002362E3">
              <w:rPr>
                <w:rFonts w:ascii="Times New Roman" w:hAnsi="Times New Roman" w:cs="Times New Roman"/>
                <w:b/>
                <w:sz w:val="16"/>
                <w:szCs w:val="16"/>
                <w:lang w:val="pt-BR"/>
              </w:rPr>
              <w:t>PM</w:t>
            </w:r>
          </w:p>
          <w:p w:rsidR="00C821BE" w:rsidRPr="002362E3" w:rsidRDefault="00C821BE" w:rsidP="00C821BE">
            <w:pPr>
              <w:autoSpaceDE w:val="0"/>
              <w:autoSpaceDN w:val="0"/>
              <w:adjustRightInd w:val="0"/>
              <w:spacing w:after="0" w:line="240" w:lineRule="auto"/>
              <w:jc w:val="center"/>
              <w:rPr>
                <w:rFonts w:ascii="Times New Roman" w:hAnsi="Times New Roman" w:cs="Times New Roman"/>
                <w:b/>
                <w:sz w:val="16"/>
                <w:szCs w:val="16"/>
                <w:lang w:val="pt-BR"/>
              </w:rPr>
            </w:pPr>
          </w:p>
        </w:tc>
      </w:tr>
      <w:tr w:rsidR="00C821BE" w:rsidRPr="002362E3" w:rsidTr="00C821BE">
        <w:trPr>
          <w:trHeight w:val="70"/>
          <w:jc w:val="center"/>
        </w:trPr>
        <w:tc>
          <w:tcPr>
            <w:tcW w:w="1129" w:type="dxa"/>
            <w:vMerge/>
            <w:tcBorders>
              <w:left w:val="single" w:sz="4" w:space="0" w:color="auto"/>
              <w:right w:val="single" w:sz="4" w:space="0" w:color="auto"/>
            </w:tcBorders>
            <w:shd w:val="clear" w:color="auto" w:fill="BDD6EE" w:themeFill="accent1" w:themeFillTint="66"/>
            <w:vAlign w:val="center"/>
          </w:tcPr>
          <w:p w:rsidR="00C821BE" w:rsidRPr="002362E3" w:rsidRDefault="00C821BE" w:rsidP="00C821BE">
            <w:pPr>
              <w:autoSpaceDE w:val="0"/>
              <w:autoSpaceDN w:val="0"/>
              <w:adjustRightInd w:val="0"/>
              <w:spacing w:after="0" w:line="240" w:lineRule="auto"/>
              <w:jc w:val="center"/>
              <w:rPr>
                <w:rFonts w:ascii="Times New Roman" w:hAnsi="Times New Roman" w:cs="Times New Roman"/>
                <w:b/>
                <w:bCs/>
                <w:sz w:val="16"/>
                <w:szCs w:val="16"/>
                <w:lang w:val="pt-BR"/>
              </w:rPr>
            </w:pPr>
          </w:p>
        </w:tc>
        <w:tc>
          <w:tcPr>
            <w:tcW w:w="2131" w:type="dxa"/>
            <w:tcBorders>
              <w:top w:val="single" w:sz="4" w:space="0" w:color="auto"/>
              <w:left w:val="single" w:sz="4" w:space="0" w:color="auto"/>
              <w:bottom w:val="single" w:sz="4" w:space="0" w:color="auto"/>
              <w:right w:val="single" w:sz="4" w:space="0" w:color="auto"/>
            </w:tcBorders>
            <w:vAlign w:val="center"/>
          </w:tcPr>
          <w:p w:rsidR="00C821BE" w:rsidRPr="002362E3" w:rsidRDefault="00C821BE" w:rsidP="00C821BE">
            <w:pPr>
              <w:autoSpaceDE w:val="0"/>
              <w:autoSpaceDN w:val="0"/>
              <w:adjustRightInd w:val="0"/>
              <w:spacing w:after="0" w:line="240" w:lineRule="auto"/>
              <w:jc w:val="both"/>
              <w:rPr>
                <w:rFonts w:ascii="Times New Roman" w:hAnsi="Times New Roman" w:cs="Times New Roman"/>
                <w:color w:val="000000"/>
                <w:sz w:val="16"/>
                <w:szCs w:val="16"/>
                <w:lang w:val="pt-BR"/>
              </w:rPr>
            </w:pPr>
            <w:r w:rsidRPr="002362E3">
              <w:rPr>
                <w:rFonts w:ascii="Times New Roman" w:hAnsi="Times New Roman" w:cs="Times New Roman"/>
                <w:color w:val="000000"/>
                <w:sz w:val="16"/>
                <w:szCs w:val="16"/>
                <w:lang w:val="pt-BR"/>
              </w:rPr>
              <w:t>Redução da prevalência de doenças transmitidas pela água</w:t>
            </w:r>
          </w:p>
        </w:tc>
        <w:tc>
          <w:tcPr>
            <w:tcW w:w="4673" w:type="dxa"/>
            <w:tcBorders>
              <w:top w:val="single" w:sz="4" w:space="0" w:color="auto"/>
              <w:left w:val="single" w:sz="4" w:space="0" w:color="auto"/>
              <w:bottom w:val="single" w:sz="4" w:space="0" w:color="auto"/>
              <w:right w:val="single" w:sz="4" w:space="0" w:color="auto"/>
            </w:tcBorders>
            <w:vAlign w:val="center"/>
          </w:tcPr>
          <w:p w:rsidR="00C821BE" w:rsidRPr="002362E3" w:rsidRDefault="00C821BE" w:rsidP="00C821BE">
            <w:pPr>
              <w:autoSpaceDE w:val="0"/>
              <w:autoSpaceDN w:val="0"/>
              <w:adjustRightInd w:val="0"/>
              <w:spacing w:after="0" w:line="240" w:lineRule="auto"/>
              <w:jc w:val="both"/>
              <w:rPr>
                <w:rFonts w:ascii="Times New Roman" w:hAnsi="Times New Roman" w:cs="Times New Roman"/>
                <w:sz w:val="16"/>
                <w:szCs w:val="16"/>
                <w:lang w:val="pt-BR"/>
              </w:rPr>
            </w:pPr>
            <w:r w:rsidRPr="002362E3">
              <w:rPr>
                <w:rFonts w:ascii="Times New Roman" w:hAnsi="Times New Roman" w:cs="Times New Roman"/>
                <w:sz w:val="16"/>
                <w:szCs w:val="16"/>
                <w:lang w:val="pt-BR"/>
              </w:rPr>
              <w:t>Organizar campanhas de sensibilização com os serviços de saúde para o combate ao uso de determinados lençóis freáticos poluídos diretamente pelas famílias;</w:t>
            </w:r>
          </w:p>
          <w:p w:rsidR="00C821BE" w:rsidRPr="002362E3" w:rsidRDefault="00C821BE" w:rsidP="00C821BE">
            <w:pPr>
              <w:autoSpaceDE w:val="0"/>
              <w:autoSpaceDN w:val="0"/>
              <w:adjustRightInd w:val="0"/>
              <w:spacing w:after="0" w:line="240" w:lineRule="auto"/>
              <w:jc w:val="both"/>
              <w:rPr>
                <w:rFonts w:ascii="Times New Roman" w:hAnsi="Times New Roman" w:cs="Times New Roman"/>
                <w:sz w:val="16"/>
                <w:szCs w:val="16"/>
                <w:lang w:val="pt-BR"/>
              </w:rPr>
            </w:pPr>
            <w:r w:rsidRPr="002362E3">
              <w:rPr>
                <w:rFonts w:ascii="Times New Roman" w:hAnsi="Times New Roman" w:cs="Times New Roman"/>
                <w:sz w:val="16"/>
                <w:szCs w:val="16"/>
                <w:lang w:val="pt-BR"/>
              </w:rPr>
              <w:lastRenderedPageBreak/>
              <w:t>Instale fontanários em localidades que não podem pagar para se inscrever;</w:t>
            </w:r>
          </w:p>
        </w:tc>
        <w:tc>
          <w:tcPr>
            <w:tcW w:w="3402" w:type="dxa"/>
            <w:tcBorders>
              <w:top w:val="single" w:sz="4" w:space="0" w:color="auto"/>
              <w:left w:val="single" w:sz="4" w:space="0" w:color="auto"/>
              <w:bottom w:val="single" w:sz="4" w:space="0" w:color="auto"/>
              <w:right w:val="single" w:sz="4" w:space="0" w:color="auto"/>
            </w:tcBorders>
            <w:vAlign w:val="center"/>
          </w:tcPr>
          <w:p w:rsidR="00C821BE" w:rsidRPr="002362E3" w:rsidRDefault="00C821BE" w:rsidP="00C821BE">
            <w:pPr>
              <w:autoSpaceDE w:val="0"/>
              <w:autoSpaceDN w:val="0"/>
              <w:adjustRightInd w:val="0"/>
              <w:spacing w:after="0" w:line="240" w:lineRule="auto"/>
              <w:jc w:val="both"/>
              <w:rPr>
                <w:rFonts w:ascii="Times New Roman" w:hAnsi="Times New Roman" w:cs="Times New Roman"/>
                <w:sz w:val="16"/>
                <w:szCs w:val="16"/>
                <w:lang w:val="pt-BR"/>
              </w:rPr>
            </w:pPr>
            <w:r w:rsidRPr="002362E3">
              <w:rPr>
                <w:rFonts w:ascii="Times New Roman" w:hAnsi="Times New Roman" w:cs="Times New Roman"/>
                <w:sz w:val="16"/>
                <w:szCs w:val="16"/>
                <w:lang w:val="pt-BR"/>
              </w:rPr>
              <w:lastRenderedPageBreak/>
              <w:t>- Número de campanhas organizadas;</w:t>
            </w:r>
          </w:p>
          <w:p w:rsidR="00C821BE" w:rsidRPr="002362E3" w:rsidRDefault="00C821BE" w:rsidP="00C821BE">
            <w:pPr>
              <w:autoSpaceDE w:val="0"/>
              <w:autoSpaceDN w:val="0"/>
              <w:adjustRightInd w:val="0"/>
              <w:spacing w:after="0" w:line="240" w:lineRule="auto"/>
              <w:jc w:val="both"/>
              <w:rPr>
                <w:rFonts w:ascii="Times New Roman" w:hAnsi="Times New Roman" w:cs="Times New Roman"/>
                <w:sz w:val="16"/>
                <w:szCs w:val="16"/>
                <w:lang w:val="pt-BR"/>
              </w:rPr>
            </w:pPr>
            <w:r w:rsidRPr="002362E3">
              <w:rPr>
                <w:rFonts w:ascii="Times New Roman" w:hAnsi="Times New Roman" w:cs="Times New Roman"/>
                <w:sz w:val="16"/>
                <w:szCs w:val="16"/>
                <w:lang w:val="pt-BR"/>
              </w:rPr>
              <w:t>- Número de pessoas sensibilizadas;</w:t>
            </w:r>
          </w:p>
          <w:p w:rsidR="00C821BE" w:rsidRPr="002362E3" w:rsidRDefault="00C821BE" w:rsidP="00C821BE">
            <w:pPr>
              <w:autoSpaceDE w:val="0"/>
              <w:autoSpaceDN w:val="0"/>
              <w:adjustRightInd w:val="0"/>
              <w:spacing w:after="0" w:line="240" w:lineRule="auto"/>
              <w:jc w:val="both"/>
              <w:rPr>
                <w:rFonts w:ascii="Times New Roman" w:hAnsi="Times New Roman" w:cs="Times New Roman"/>
                <w:sz w:val="16"/>
                <w:szCs w:val="16"/>
                <w:lang w:val="pt-BR"/>
              </w:rPr>
            </w:pPr>
            <w:r w:rsidRPr="002362E3">
              <w:rPr>
                <w:rFonts w:ascii="Times New Roman" w:hAnsi="Times New Roman" w:cs="Times New Roman"/>
                <w:sz w:val="16"/>
                <w:szCs w:val="16"/>
                <w:lang w:val="pt-BR"/>
              </w:rPr>
              <w:t>- Número de fontanários instalados;</w:t>
            </w:r>
          </w:p>
          <w:p w:rsidR="00C821BE" w:rsidRPr="002362E3" w:rsidRDefault="00C821BE" w:rsidP="00C821BE">
            <w:pPr>
              <w:autoSpaceDE w:val="0"/>
              <w:autoSpaceDN w:val="0"/>
              <w:adjustRightInd w:val="0"/>
              <w:spacing w:after="0" w:line="240" w:lineRule="auto"/>
              <w:jc w:val="both"/>
              <w:rPr>
                <w:rFonts w:ascii="Times New Roman" w:hAnsi="Times New Roman" w:cs="Times New Roman"/>
                <w:sz w:val="16"/>
                <w:szCs w:val="16"/>
                <w:lang w:val="pt-BR"/>
              </w:rPr>
            </w:pPr>
          </w:p>
          <w:p w:rsidR="00C821BE" w:rsidRPr="002362E3" w:rsidRDefault="00C821BE" w:rsidP="00C821BE">
            <w:pPr>
              <w:autoSpaceDE w:val="0"/>
              <w:autoSpaceDN w:val="0"/>
              <w:adjustRightInd w:val="0"/>
              <w:spacing w:after="0" w:line="240" w:lineRule="auto"/>
              <w:jc w:val="both"/>
              <w:rPr>
                <w:rFonts w:ascii="Times New Roman" w:hAnsi="Times New Roman" w:cs="Times New Roman"/>
                <w:sz w:val="16"/>
                <w:szCs w:val="16"/>
                <w:lang w:val="pt-BR"/>
              </w:rPr>
            </w:pPr>
          </w:p>
        </w:tc>
        <w:tc>
          <w:tcPr>
            <w:tcW w:w="1276"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C821BE" w:rsidRPr="002362E3" w:rsidRDefault="00C821BE" w:rsidP="00C821BE">
            <w:pPr>
              <w:autoSpaceDE w:val="0"/>
              <w:autoSpaceDN w:val="0"/>
              <w:adjustRightInd w:val="0"/>
              <w:spacing w:after="0" w:line="240" w:lineRule="auto"/>
              <w:jc w:val="center"/>
              <w:rPr>
                <w:rFonts w:ascii="Times New Roman" w:hAnsi="Times New Roman" w:cs="Times New Roman"/>
                <w:b/>
                <w:sz w:val="16"/>
                <w:szCs w:val="16"/>
                <w:lang w:val="pt-BR"/>
              </w:rPr>
            </w:pPr>
            <w:r w:rsidRPr="002362E3">
              <w:rPr>
                <w:rFonts w:ascii="Times New Roman" w:hAnsi="Times New Roman" w:cs="Times New Roman"/>
                <w:b/>
                <w:sz w:val="16"/>
                <w:szCs w:val="16"/>
                <w:lang w:val="pt-BR"/>
              </w:rPr>
              <w:lastRenderedPageBreak/>
              <w:t>ESTADO</w:t>
            </w:r>
          </w:p>
          <w:p w:rsidR="00C821BE" w:rsidRPr="002362E3" w:rsidRDefault="00C821BE" w:rsidP="00C821BE">
            <w:pPr>
              <w:autoSpaceDE w:val="0"/>
              <w:autoSpaceDN w:val="0"/>
              <w:adjustRightInd w:val="0"/>
              <w:spacing w:after="0" w:line="240" w:lineRule="auto"/>
              <w:jc w:val="center"/>
              <w:rPr>
                <w:rFonts w:ascii="Times New Roman" w:hAnsi="Times New Roman" w:cs="Times New Roman"/>
                <w:b/>
                <w:sz w:val="16"/>
                <w:szCs w:val="16"/>
                <w:lang w:val="pt-BR"/>
              </w:rPr>
            </w:pPr>
            <w:r w:rsidRPr="002362E3">
              <w:rPr>
                <w:rFonts w:ascii="Times New Roman" w:hAnsi="Times New Roman" w:cs="Times New Roman"/>
                <w:b/>
                <w:sz w:val="16"/>
                <w:szCs w:val="16"/>
                <w:lang w:val="pt-BR"/>
              </w:rPr>
              <w:t>PUASEE-FA</w:t>
            </w:r>
          </w:p>
          <w:p w:rsidR="00C821BE" w:rsidRPr="002362E3" w:rsidRDefault="00C821BE" w:rsidP="00C821BE">
            <w:pPr>
              <w:autoSpaceDE w:val="0"/>
              <w:autoSpaceDN w:val="0"/>
              <w:adjustRightInd w:val="0"/>
              <w:spacing w:after="0" w:line="240" w:lineRule="auto"/>
              <w:jc w:val="center"/>
              <w:rPr>
                <w:rFonts w:ascii="Times New Roman" w:hAnsi="Times New Roman" w:cs="Times New Roman"/>
                <w:b/>
                <w:sz w:val="16"/>
                <w:szCs w:val="16"/>
                <w:lang w:val="pt-BR"/>
              </w:rPr>
            </w:pPr>
            <w:r w:rsidRPr="002362E3">
              <w:rPr>
                <w:rFonts w:ascii="Times New Roman" w:hAnsi="Times New Roman" w:cs="Times New Roman"/>
                <w:b/>
                <w:sz w:val="16"/>
                <w:szCs w:val="16"/>
                <w:lang w:val="pt-BR"/>
              </w:rPr>
              <w:t>EAGB</w:t>
            </w:r>
          </w:p>
        </w:tc>
        <w:tc>
          <w:tcPr>
            <w:tcW w:w="1134"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C821BE" w:rsidRPr="002362E3" w:rsidRDefault="00C821BE" w:rsidP="00C821BE">
            <w:pPr>
              <w:autoSpaceDE w:val="0"/>
              <w:autoSpaceDN w:val="0"/>
              <w:adjustRightInd w:val="0"/>
              <w:spacing w:after="0" w:line="240" w:lineRule="auto"/>
              <w:jc w:val="center"/>
              <w:rPr>
                <w:rFonts w:ascii="Times New Roman" w:hAnsi="Times New Roman" w:cs="Times New Roman"/>
                <w:b/>
                <w:sz w:val="16"/>
                <w:szCs w:val="16"/>
                <w:lang w:val="pt-BR"/>
              </w:rPr>
            </w:pPr>
            <w:r w:rsidRPr="002362E3">
              <w:rPr>
                <w:rFonts w:ascii="Times New Roman" w:hAnsi="Times New Roman" w:cs="Times New Roman"/>
                <w:b/>
                <w:sz w:val="16"/>
                <w:szCs w:val="16"/>
                <w:lang w:val="pt-BR"/>
              </w:rPr>
              <w:t>Comitê de Monitoramento</w:t>
            </w:r>
          </w:p>
        </w:tc>
        <w:tc>
          <w:tcPr>
            <w:tcW w:w="1134" w:type="dxa"/>
            <w:tcBorders>
              <w:top w:val="single" w:sz="4" w:space="0" w:color="auto"/>
              <w:left w:val="single" w:sz="4" w:space="0" w:color="auto"/>
              <w:bottom w:val="single" w:sz="4" w:space="0" w:color="auto"/>
              <w:right w:val="single" w:sz="4" w:space="0" w:color="auto"/>
            </w:tcBorders>
            <w:vAlign w:val="center"/>
          </w:tcPr>
          <w:p w:rsidR="00C821BE" w:rsidRPr="002362E3" w:rsidRDefault="00C821BE" w:rsidP="00C821BE">
            <w:pPr>
              <w:autoSpaceDE w:val="0"/>
              <w:autoSpaceDN w:val="0"/>
              <w:adjustRightInd w:val="0"/>
              <w:spacing w:after="0" w:line="240" w:lineRule="auto"/>
              <w:jc w:val="center"/>
              <w:rPr>
                <w:rFonts w:ascii="Times New Roman" w:hAnsi="Times New Roman" w:cs="Times New Roman"/>
                <w:sz w:val="16"/>
                <w:szCs w:val="16"/>
                <w:lang w:val="pt-BR"/>
              </w:rPr>
            </w:pPr>
            <w:r w:rsidRPr="002362E3">
              <w:rPr>
                <w:rFonts w:ascii="Times New Roman" w:hAnsi="Times New Roman" w:cs="Times New Roman"/>
                <w:sz w:val="16"/>
                <w:szCs w:val="16"/>
                <w:lang w:val="pt-BR"/>
              </w:rPr>
              <w:t xml:space="preserve">Durante a operação / </w:t>
            </w:r>
            <w:r w:rsidRPr="002362E3">
              <w:rPr>
                <w:rFonts w:ascii="Times New Roman" w:hAnsi="Times New Roman" w:cs="Times New Roman"/>
                <w:sz w:val="16"/>
                <w:szCs w:val="16"/>
                <w:lang w:val="pt-BR"/>
              </w:rPr>
              <w:lastRenderedPageBreak/>
              <w:t>três vezes por ano</w:t>
            </w:r>
          </w:p>
        </w:tc>
        <w:tc>
          <w:tcPr>
            <w:tcW w:w="1134"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rsidR="00C821BE" w:rsidRPr="002362E3" w:rsidRDefault="00C821BE" w:rsidP="00C821BE">
            <w:pPr>
              <w:autoSpaceDE w:val="0"/>
              <w:autoSpaceDN w:val="0"/>
              <w:adjustRightInd w:val="0"/>
              <w:spacing w:after="0" w:line="240" w:lineRule="auto"/>
              <w:jc w:val="center"/>
              <w:rPr>
                <w:rFonts w:ascii="Times New Roman" w:hAnsi="Times New Roman" w:cs="Times New Roman"/>
                <w:b/>
                <w:sz w:val="16"/>
                <w:szCs w:val="16"/>
                <w:lang w:val="pt-BR"/>
              </w:rPr>
            </w:pPr>
            <w:r w:rsidRPr="002362E3">
              <w:rPr>
                <w:rFonts w:ascii="Times New Roman" w:hAnsi="Times New Roman" w:cs="Times New Roman"/>
                <w:b/>
                <w:sz w:val="16"/>
                <w:szCs w:val="16"/>
                <w:lang w:val="pt-BR"/>
              </w:rPr>
              <w:lastRenderedPageBreak/>
              <w:t>3.000.000</w:t>
            </w:r>
          </w:p>
        </w:tc>
      </w:tr>
      <w:tr w:rsidR="00C821BE" w:rsidRPr="002362E3" w:rsidTr="00C821BE">
        <w:trPr>
          <w:trHeight w:val="70"/>
          <w:jc w:val="center"/>
        </w:trPr>
        <w:tc>
          <w:tcPr>
            <w:tcW w:w="1129" w:type="dxa"/>
            <w:vMerge/>
            <w:tcBorders>
              <w:left w:val="single" w:sz="4" w:space="0" w:color="auto"/>
              <w:right w:val="single" w:sz="4" w:space="0" w:color="auto"/>
            </w:tcBorders>
            <w:shd w:val="clear" w:color="auto" w:fill="BDD6EE" w:themeFill="accent1" w:themeFillTint="66"/>
            <w:vAlign w:val="center"/>
          </w:tcPr>
          <w:p w:rsidR="00C821BE" w:rsidRPr="002362E3" w:rsidRDefault="00C821BE" w:rsidP="00C821BE">
            <w:pPr>
              <w:autoSpaceDE w:val="0"/>
              <w:autoSpaceDN w:val="0"/>
              <w:adjustRightInd w:val="0"/>
              <w:spacing w:after="0" w:line="240" w:lineRule="auto"/>
              <w:jc w:val="center"/>
              <w:rPr>
                <w:rFonts w:ascii="Times New Roman" w:hAnsi="Times New Roman" w:cs="Times New Roman"/>
                <w:b/>
                <w:bCs/>
                <w:sz w:val="16"/>
                <w:szCs w:val="16"/>
                <w:lang w:val="pt-BR"/>
              </w:rPr>
            </w:pPr>
          </w:p>
        </w:tc>
        <w:tc>
          <w:tcPr>
            <w:tcW w:w="2131" w:type="dxa"/>
            <w:tcBorders>
              <w:top w:val="single" w:sz="4" w:space="0" w:color="auto"/>
              <w:left w:val="single" w:sz="4" w:space="0" w:color="auto"/>
              <w:bottom w:val="single" w:sz="4" w:space="0" w:color="auto"/>
              <w:right w:val="single" w:sz="4" w:space="0" w:color="auto"/>
            </w:tcBorders>
            <w:vAlign w:val="center"/>
          </w:tcPr>
          <w:p w:rsidR="00C821BE" w:rsidRPr="002362E3" w:rsidRDefault="00C821BE" w:rsidP="00C821BE">
            <w:pPr>
              <w:autoSpaceDE w:val="0"/>
              <w:autoSpaceDN w:val="0"/>
              <w:adjustRightInd w:val="0"/>
              <w:spacing w:after="0" w:line="240" w:lineRule="auto"/>
              <w:jc w:val="both"/>
              <w:rPr>
                <w:rFonts w:ascii="Times New Roman" w:hAnsi="Times New Roman" w:cs="Times New Roman"/>
                <w:sz w:val="16"/>
                <w:szCs w:val="16"/>
                <w:lang w:val="pt-BR"/>
              </w:rPr>
            </w:pPr>
            <w:r w:rsidRPr="002362E3">
              <w:rPr>
                <w:rFonts w:ascii="Times New Roman" w:hAnsi="Times New Roman" w:cs="Times New Roman"/>
                <w:sz w:val="16"/>
                <w:szCs w:val="16"/>
                <w:lang w:val="pt-BR"/>
              </w:rPr>
              <w:t xml:space="preserve">Custos reduzidos relacionados ao uso da água </w:t>
            </w:r>
          </w:p>
        </w:tc>
        <w:tc>
          <w:tcPr>
            <w:tcW w:w="4673" w:type="dxa"/>
            <w:tcBorders>
              <w:top w:val="single" w:sz="4" w:space="0" w:color="auto"/>
              <w:left w:val="single" w:sz="4" w:space="0" w:color="auto"/>
              <w:bottom w:val="single" w:sz="4" w:space="0" w:color="auto"/>
              <w:right w:val="single" w:sz="4" w:space="0" w:color="auto"/>
            </w:tcBorders>
            <w:vAlign w:val="center"/>
          </w:tcPr>
          <w:p w:rsidR="00C821BE" w:rsidRPr="002362E3" w:rsidRDefault="00C821BE" w:rsidP="00C821BE">
            <w:pPr>
              <w:autoSpaceDE w:val="0"/>
              <w:autoSpaceDN w:val="0"/>
              <w:adjustRightInd w:val="0"/>
              <w:spacing w:after="0" w:line="240" w:lineRule="auto"/>
              <w:jc w:val="both"/>
              <w:rPr>
                <w:rFonts w:ascii="Times New Roman" w:hAnsi="Times New Roman" w:cs="Times New Roman"/>
                <w:sz w:val="16"/>
                <w:szCs w:val="16"/>
                <w:lang w:val="pt-BR"/>
              </w:rPr>
            </w:pPr>
            <w:r w:rsidRPr="002362E3">
              <w:rPr>
                <w:rFonts w:ascii="Times New Roman" w:hAnsi="Times New Roman" w:cs="Times New Roman"/>
                <w:sz w:val="16"/>
                <w:szCs w:val="16"/>
                <w:lang w:val="pt-BR"/>
              </w:rPr>
              <w:t>-Reduzir custos significativamente ao nível EAGB;</w:t>
            </w:r>
          </w:p>
          <w:p w:rsidR="00C821BE" w:rsidRPr="002362E3" w:rsidRDefault="00C821BE" w:rsidP="00C821BE">
            <w:pPr>
              <w:autoSpaceDE w:val="0"/>
              <w:autoSpaceDN w:val="0"/>
              <w:adjustRightInd w:val="0"/>
              <w:spacing w:after="0" w:line="240" w:lineRule="auto"/>
              <w:jc w:val="both"/>
              <w:rPr>
                <w:rFonts w:ascii="Times New Roman" w:hAnsi="Times New Roman" w:cs="Times New Roman"/>
                <w:sz w:val="16"/>
                <w:szCs w:val="16"/>
                <w:lang w:val="pt-BR"/>
              </w:rPr>
            </w:pPr>
            <w:r w:rsidRPr="002362E3">
              <w:rPr>
                <w:rFonts w:ascii="Times New Roman" w:hAnsi="Times New Roman" w:cs="Times New Roman"/>
                <w:sz w:val="16"/>
                <w:szCs w:val="16"/>
                <w:lang w:val="pt-BR"/>
              </w:rPr>
              <w:t>-Configurar serviço de regulação e controle de preços;</w:t>
            </w:r>
          </w:p>
        </w:tc>
        <w:tc>
          <w:tcPr>
            <w:tcW w:w="3402" w:type="dxa"/>
            <w:tcBorders>
              <w:top w:val="single" w:sz="4" w:space="0" w:color="auto"/>
              <w:left w:val="single" w:sz="4" w:space="0" w:color="auto"/>
              <w:bottom w:val="single" w:sz="4" w:space="0" w:color="auto"/>
              <w:right w:val="single" w:sz="4" w:space="0" w:color="auto"/>
            </w:tcBorders>
            <w:vAlign w:val="center"/>
          </w:tcPr>
          <w:p w:rsidR="00C821BE" w:rsidRPr="002362E3" w:rsidRDefault="00C821BE" w:rsidP="00C821BE">
            <w:pPr>
              <w:autoSpaceDE w:val="0"/>
              <w:autoSpaceDN w:val="0"/>
              <w:adjustRightInd w:val="0"/>
              <w:spacing w:after="0" w:line="240" w:lineRule="auto"/>
              <w:jc w:val="both"/>
              <w:rPr>
                <w:rFonts w:ascii="Times New Roman" w:hAnsi="Times New Roman" w:cs="Times New Roman"/>
                <w:sz w:val="16"/>
                <w:szCs w:val="16"/>
                <w:lang w:val="pt-BR"/>
              </w:rPr>
            </w:pPr>
            <w:r w:rsidRPr="002362E3">
              <w:rPr>
                <w:rFonts w:ascii="Times New Roman" w:hAnsi="Times New Roman" w:cs="Times New Roman"/>
                <w:sz w:val="16"/>
                <w:szCs w:val="16"/>
                <w:lang w:val="pt-BR"/>
              </w:rPr>
              <w:t>- Custos de acesso reduzidos</w:t>
            </w:r>
          </w:p>
          <w:p w:rsidR="00C821BE" w:rsidRPr="002362E3" w:rsidRDefault="00C821BE" w:rsidP="00C821BE">
            <w:pPr>
              <w:autoSpaceDE w:val="0"/>
              <w:autoSpaceDN w:val="0"/>
              <w:adjustRightInd w:val="0"/>
              <w:spacing w:after="0" w:line="240" w:lineRule="auto"/>
              <w:jc w:val="both"/>
              <w:rPr>
                <w:rFonts w:ascii="Times New Roman" w:hAnsi="Times New Roman" w:cs="Times New Roman"/>
                <w:sz w:val="16"/>
                <w:szCs w:val="16"/>
                <w:lang w:val="pt-BR"/>
              </w:rPr>
            </w:pPr>
            <w:r w:rsidRPr="002362E3">
              <w:rPr>
                <w:rFonts w:ascii="Times New Roman" w:hAnsi="Times New Roman" w:cs="Times New Roman"/>
                <w:sz w:val="16"/>
                <w:szCs w:val="16"/>
                <w:lang w:val="pt-BR"/>
              </w:rPr>
              <w:t xml:space="preserve">-Presença de serviço de regulação </w:t>
            </w:r>
          </w:p>
        </w:tc>
        <w:tc>
          <w:tcPr>
            <w:tcW w:w="1276"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C821BE" w:rsidRPr="002362E3" w:rsidRDefault="00C821BE" w:rsidP="00C821BE">
            <w:pPr>
              <w:autoSpaceDE w:val="0"/>
              <w:autoSpaceDN w:val="0"/>
              <w:adjustRightInd w:val="0"/>
              <w:spacing w:after="0" w:line="240" w:lineRule="auto"/>
              <w:jc w:val="center"/>
              <w:rPr>
                <w:rFonts w:ascii="Times New Roman" w:hAnsi="Times New Roman" w:cs="Times New Roman"/>
                <w:b/>
                <w:sz w:val="16"/>
                <w:szCs w:val="16"/>
                <w:lang w:val="pt-BR"/>
              </w:rPr>
            </w:pPr>
            <w:r w:rsidRPr="002362E3">
              <w:rPr>
                <w:rFonts w:ascii="Times New Roman" w:hAnsi="Times New Roman" w:cs="Times New Roman"/>
                <w:b/>
                <w:sz w:val="16"/>
                <w:szCs w:val="16"/>
                <w:lang w:val="pt-BR"/>
              </w:rPr>
              <w:t>ESTADO</w:t>
            </w:r>
          </w:p>
        </w:tc>
        <w:tc>
          <w:tcPr>
            <w:tcW w:w="1134"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C821BE" w:rsidRPr="002362E3" w:rsidRDefault="00C821BE" w:rsidP="00C821BE">
            <w:pPr>
              <w:autoSpaceDE w:val="0"/>
              <w:autoSpaceDN w:val="0"/>
              <w:adjustRightInd w:val="0"/>
              <w:spacing w:after="0" w:line="240" w:lineRule="auto"/>
              <w:jc w:val="center"/>
              <w:rPr>
                <w:rFonts w:ascii="Times New Roman" w:hAnsi="Times New Roman" w:cs="Times New Roman"/>
                <w:b/>
                <w:sz w:val="16"/>
                <w:szCs w:val="16"/>
                <w:lang w:val="pt-BR"/>
              </w:rPr>
            </w:pPr>
            <w:r w:rsidRPr="002362E3">
              <w:rPr>
                <w:rFonts w:ascii="Times New Roman" w:hAnsi="Times New Roman" w:cs="Times New Roman"/>
                <w:b/>
                <w:sz w:val="16"/>
                <w:szCs w:val="16"/>
                <w:lang w:val="pt-BR"/>
              </w:rPr>
              <w:t>Comitê de Monitoramento</w:t>
            </w:r>
          </w:p>
        </w:tc>
        <w:tc>
          <w:tcPr>
            <w:tcW w:w="1134" w:type="dxa"/>
            <w:tcBorders>
              <w:top w:val="single" w:sz="4" w:space="0" w:color="auto"/>
              <w:left w:val="single" w:sz="4" w:space="0" w:color="auto"/>
              <w:bottom w:val="single" w:sz="4" w:space="0" w:color="auto"/>
              <w:right w:val="single" w:sz="4" w:space="0" w:color="auto"/>
            </w:tcBorders>
            <w:vAlign w:val="center"/>
          </w:tcPr>
          <w:p w:rsidR="00C821BE" w:rsidRPr="002362E3" w:rsidRDefault="00C821BE" w:rsidP="00C821BE">
            <w:pPr>
              <w:autoSpaceDE w:val="0"/>
              <w:autoSpaceDN w:val="0"/>
              <w:adjustRightInd w:val="0"/>
              <w:spacing w:after="0" w:line="240" w:lineRule="auto"/>
              <w:jc w:val="center"/>
              <w:rPr>
                <w:rFonts w:ascii="Times New Roman" w:hAnsi="Times New Roman" w:cs="Times New Roman"/>
                <w:sz w:val="16"/>
                <w:szCs w:val="16"/>
                <w:lang w:val="pt-BR"/>
              </w:rPr>
            </w:pPr>
            <w:r w:rsidRPr="002362E3">
              <w:rPr>
                <w:rFonts w:ascii="Times New Roman" w:hAnsi="Times New Roman" w:cs="Times New Roman"/>
                <w:sz w:val="16"/>
                <w:szCs w:val="16"/>
                <w:lang w:val="pt-BR"/>
              </w:rPr>
              <w:t>Durante a operação / uma vez por ano</w:t>
            </w:r>
          </w:p>
        </w:tc>
        <w:tc>
          <w:tcPr>
            <w:tcW w:w="1134"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rsidR="00C821BE" w:rsidRPr="002362E3" w:rsidRDefault="00C821BE" w:rsidP="00C821BE">
            <w:pPr>
              <w:autoSpaceDE w:val="0"/>
              <w:autoSpaceDN w:val="0"/>
              <w:adjustRightInd w:val="0"/>
              <w:spacing w:after="0" w:line="240" w:lineRule="auto"/>
              <w:jc w:val="center"/>
              <w:rPr>
                <w:rFonts w:ascii="Times New Roman" w:hAnsi="Times New Roman" w:cs="Times New Roman"/>
                <w:b/>
                <w:sz w:val="16"/>
                <w:szCs w:val="16"/>
                <w:lang w:val="pt-BR"/>
              </w:rPr>
            </w:pPr>
            <w:r w:rsidRPr="002362E3">
              <w:rPr>
                <w:rFonts w:ascii="Times New Roman" w:hAnsi="Times New Roman" w:cs="Times New Roman"/>
                <w:b/>
                <w:sz w:val="16"/>
                <w:szCs w:val="16"/>
                <w:lang w:val="pt-BR"/>
              </w:rPr>
              <w:t>2.500.000</w:t>
            </w:r>
          </w:p>
        </w:tc>
      </w:tr>
      <w:tr w:rsidR="00C821BE" w:rsidRPr="002362E3" w:rsidTr="00C821BE">
        <w:trPr>
          <w:trHeight w:val="505"/>
          <w:jc w:val="center"/>
        </w:trPr>
        <w:tc>
          <w:tcPr>
            <w:tcW w:w="1129" w:type="dxa"/>
            <w:vMerge/>
            <w:tcBorders>
              <w:left w:val="single" w:sz="4" w:space="0" w:color="auto"/>
              <w:bottom w:val="single" w:sz="4" w:space="0" w:color="auto"/>
              <w:right w:val="single" w:sz="4" w:space="0" w:color="auto"/>
            </w:tcBorders>
            <w:shd w:val="clear" w:color="auto" w:fill="BDD6EE" w:themeFill="accent1" w:themeFillTint="66"/>
            <w:vAlign w:val="center"/>
            <w:hideMark/>
          </w:tcPr>
          <w:p w:rsidR="00C821BE" w:rsidRPr="002362E3" w:rsidRDefault="00C821BE" w:rsidP="00C821BE">
            <w:pPr>
              <w:autoSpaceDE w:val="0"/>
              <w:autoSpaceDN w:val="0"/>
              <w:adjustRightInd w:val="0"/>
              <w:spacing w:after="0" w:line="240" w:lineRule="auto"/>
              <w:jc w:val="center"/>
              <w:rPr>
                <w:rFonts w:ascii="Times New Roman" w:hAnsi="Times New Roman" w:cs="Times New Roman"/>
                <w:b/>
                <w:bCs/>
                <w:sz w:val="16"/>
                <w:szCs w:val="16"/>
                <w:lang w:val="pt-BR"/>
              </w:rPr>
            </w:pPr>
          </w:p>
        </w:tc>
        <w:tc>
          <w:tcPr>
            <w:tcW w:w="2131" w:type="dxa"/>
            <w:tcBorders>
              <w:top w:val="single" w:sz="4" w:space="0" w:color="auto"/>
              <w:left w:val="single" w:sz="4" w:space="0" w:color="auto"/>
              <w:bottom w:val="single" w:sz="4" w:space="0" w:color="auto"/>
              <w:right w:val="single" w:sz="4" w:space="0" w:color="auto"/>
            </w:tcBorders>
            <w:vAlign w:val="center"/>
          </w:tcPr>
          <w:p w:rsidR="00C821BE" w:rsidRPr="002362E3" w:rsidRDefault="00C821BE" w:rsidP="00C821BE">
            <w:pPr>
              <w:autoSpaceDE w:val="0"/>
              <w:autoSpaceDN w:val="0"/>
              <w:adjustRightInd w:val="0"/>
              <w:spacing w:after="0" w:line="240" w:lineRule="auto"/>
              <w:jc w:val="both"/>
              <w:rPr>
                <w:rFonts w:ascii="Times New Roman" w:hAnsi="Times New Roman" w:cs="Times New Roman"/>
                <w:sz w:val="16"/>
                <w:szCs w:val="16"/>
                <w:lang w:val="pt-BR"/>
              </w:rPr>
            </w:pPr>
            <w:r w:rsidRPr="002362E3">
              <w:rPr>
                <w:rFonts w:ascii="Times New Roman" w:hAnsi="Times New Roman" w:cs="Times New Roman"/>
                <w:sz w:val="16"/>
                <w:szCs w:val="16"/>
                <w:lang w:val="pt-BR"/>
              </w:rPr>
              <w:t>Oportunidades de emprego</w:t>
            </w:r>
          </w:p>
        </w:tc>
        <w:tc>
          <w:tcPr>
            <w:tcW w:w="4673" w:type="dxa"/>
            <w:tcBorders>
              <w:top w:val="single" w:sz="4" w:space="0" w:color="auto"/>
              <w:left w:val="single" w:sz="4" w:space="0" w:color="auto"/>
              <w:bottom w:val="single" w:sz="4" w:space="0" w:color="auto"/>
              <w:right w:val="single" w:sz="4" w:space="0" w:color="auto"/>
            </w:tcBorders>
            <w:vAlign w:val="center"/>
          </w:tcPr>
          <w:p w:rsidR="00C821BE" w:rsidRPr="002362E3" w:rsidRDefault="00C821BE" w:rsidP="00C821BE">
            <w:pPr>
              <w:autoSpaceDE w:val="0"/>
              <w:autoSpaceDN w:val="0"/>
              <w:adjustRightInd w:val="0"/>
              <w:spacing w:after="0" w:line="240" w:lineRule="auto"/>
              <w:jc w:val="both"/>
              <w:rPr>
                <w:rFonts w:ascii="Times New Roman" w:hAnsi="Times New Roman" w:cs="Times New Roman"/>
                <w:sz w:val="16"/>
                <w:szCs w:val="16"/>
                <w:lang w:val="pt-BR"/>
              </w:rPr>
            </w:pPr>
            <w:r w:rsidRPr="002362E3">
              <w:rPr>
                <w:rFonts w:ascii="Times New Roman" w:hAnsi="Times New Roman" w:cs="Times New Roman"/>
                <w:sz w:val="16"/>
                <w:szCs w:val="16"/>
                <w:lang w:val="pt-BR"/>
              </w:rPr>
              <w:t xml:space="preserve">- Utilizar a transparência nos procedimentos de recrutamento de </w:t>
            </w:r>
            <w:r w:rsidRPr="002362E3">
              <w:rPr>
                <w:rFonts w:ascii="Times New Roman" w:hAnsi="Times New Roman" w:cs="Times New Roman"/>
                <w:color w:val="000000"/>
                <w:sz w:val="16"/>
                <w:szCs w:val="16"/>
                <w:lang w:val="pt-BR"/>
              </w:rPr>
              <w:t>mão de obra qualificada durante as operações de serviço e manutenção;</w:t>
            </w:r>
          </w:p>
          <w:p w:rsidR="00C821BE" w:rsidRPr="002362E3" w:rsidRDefault="00C821BE" w:rsidP="00C821BE">
            <w:pPr>
              <w:autoSpaceDE w:val="0"/>
              <w:autoSpaceDN w:val="0"/>
              <w:adjustRightInd w:val="0"/>
              <w:spacing w:after="0" w:line="240" w:lineRule="auto"/>
              <w:jc w:val="both"/>
              <w:rPr>
                <w:rFonts w:ascii="Times New Roman" w:hAnsi="Times New Roman" w:cs="Times New Roman"/>
                <w:sz w:val="16"/>
                <w:szCs w:val="16"/>
                <w:lang w:val="pt-BR"/>
              </w:rPr>
            </w:pPr>
            <w:r w:rsidRPr="002362E3">
              <w:rPr>
                <w:rFonts w:ascii="Times New Roman" w:hAnsi="Times New Roman" w:cs="Times New Roman"/>
                <w:sz w:val="16"/>
                <w:szCs w:val="16"/>
                <w:lang w:val="pt-BR"/>
              </w:rPr>
              <w:t>- Promover o recrutamento direto sem intermediários;</w:t>
            </w:r>
          </w:p>
          <w:p w:rsidR="00C821BE" w:rsidRPr="002362E3" w:rsidRDefault="00C821BE" w:rsidP="00C821BE">
            <w:pPr>
              <w:autoSpaceDE w:val="0"/>
              <w:autoSpaceDN w:val="0"/>
              <w:adjustRightInd w:val="0"/>
              <w:spacing w:after="0" w:line="240" w:lineRule="auto"/>
              <w:jc w:val="both"/>
              <w:rPr>
                <w:rFonts w:ascii="Times New Roman" w:hAnsi="Times New Roman" w:cs="Times New Roman"/>
                <w:sz w:val="16"/>
                <w:szCs w:val="16"/>
                <w:lang w:val="pt-BR"/>
              </w:rPr>
            </w:pPr>
            <w:r w:rsidRPr="002362E3">
              <w:rPr>
                <w:rFonts w:ascii="Times New Roman" w:hAnsi="Times New Roman" w:cs="Times New Roman"/>
                <w:sz w:val="16"/>
                <w:szCs w:val="16"/>
                <w:lang w:val="pt-BR"/>
              </w:rPr>
              <w:t>- recrutar um serviço de segurança experiente;</w:t>
            </w:r>
          </w:p>
          <w:p w:rsidR="00C821BE" w:rsidRPr="002362E3" w:rsidRDefault="00C821BE" w:rsidP="00C821BE">
            <w:pPr>
              <w:autoSpaceDE w:val="0"/>
              <w:autoSpaceDN w:val="0"/>
              <w:adjustRightInd w:val="0"/>
              <w:spacing w:after="0" w:line="240" w:lineRule="auto"/>
              <w:jc w:val="both"/>
              <w:rPr>
                <w:rFonts w:ascii="Times New Roman" w:hAnsi="Times New Roman" w:cs="Times New Roman"/>
                <w:sz w:val="16"/>
                <w:szCs w:val="16"/>
                <w:lang w:val="pt-BR"/>
              </w:rPr>
            </w:pPr>
            <w:r w:rsidRPr="002362E3">
              <w:rPr>
                <w:rFonts w:ascii="Times New Roman" w:hAnsi="Times New Roman" w:cs="Times New Roman"/>
                <w:sz w:val="16"/>
                <w:szCs w:val="16"/>
                <w:lang w:val="pt-BR"/>
              </w:rPr>
              <w:t>- Respeitar o salário mínimo em vigor;</w:t>
            </w:r>
          </w:p>
        </w:tc>
        <w:tc>
          <w:tcPr>
            <w:tcW w:w="3402" w:type="dxa"/>
            <w:tcBorders>
              <w:top w:val="single" w:sz="4" w:space="0" w:color="auto"/>
              <w:left w:val="single" w:sz="4" w:space="0" w:color="auto"/>
              <w:bottom w:val="single" w:sz="4" w:space="0" w:color="auto"/>
              <w:right w:val="single" w:sz="4" w:space="0" w:color="auto"/>
            </w:tcBorders>
            <w:vAlign w:val="center"/>
          </w:tcPr>
          <w:p w:rsidR="00C821BE" w:rsidRPr="002362E3" w:rsidRDefault="00C821BE" w:rsidP="00C821BE">
            <w:pPr>
              <w:autoSpaceDE w:val="0"/>
              <w:autoSpaceDN w:val="0"/>
              <w:adjustRightInd w:val="0"/>
              <w:spacing w:after="0" w:line="240" w:lineRule="auto"/>
              <w:rPr>
                <w:rFonts w:ascii="Times New Roman" w:hAnsi="Times New Roman" w:cs="Times New Roman"/>
                <w:sz w:val="16"/>
                <w:szCs w:val="16"/>
                <w:lang w:val="pt-BR"/>
              </w:rPr>
            </w:pPr>
            <w:r w:rsidRPr="002362E3">
              <w:rPr>
                <w:rFonts w:ascii="Times New Roman" w:hAnsi="Times New Roman" w:cs="Times New Roman"/>
                <w:sz w:val="16"/>
                <w:szCs w:val="16"/>
                <w:lang w:val="pt-BR"/>
              </w:rPr>
              <w:t>- Número de trabalhadores contratados</w:t>
            </w:r>
          </w:p>
          <w:p w:rsidR="00C821BE" w:rsidRPr="002362E3" w:rsidRDefault="00C821BE" w:rsidP="00C821BE">
            <w:pPr>
              <w:autoSpaceDE w:val="0"/>
              <w:autoSpaceDN w:val="0"/>
              <w:adjustRightInd w:val="0"/>
              <w:spacing w:after="0" w:line="240" w:lineRule="auto"/>
              <w:rPr>
                <w:rFonts w:ascii="Times New Roman" w:hAnsi="Times New Roman" w:cs="Times New Roman"/>
                <w:sz w:val="16"/>
                <w:szCs w:val="16"/>
                <w:lang w:val="pt-BR"/>
              </w:rPr>
            </w:pPr>
            <w:r w:rsidRPr="002362E3">
              <w:rPr>
                <w:rFonts w:ascii="Times New Roman" w:hAnsi="Times New Roman" w:cs="Times New Roman"/>
                <w:sz w:val="16"/>
                <w:szCs w:val="16"/>
                <w:lang w:val="pt-BR"/>
              </w:rPr>
              <w:t>-Presença de serviço de segurança</w:t>
            </w:r>
          </w:p>
          <w:p w:rsidR="00C821BE" w:rsidRPr="002362E3" w:rsidRDefault="00C821BE" w:rsidP="00C821BE">
            <w:pPr>
              <w:autoSpaceDE w:val="0"/>
              <w:autoSpaceDN w:val="0"/>
              <w:adjustRightInd w:val="0"/>
              <w:spacing w:after="0" w:line="240" w:lineRule="auto"/>
              <w:rPr>
                <w:rFonts w:ascii="Times New Roman" w:hAnsi="Times New Roman" w:cs="Times New Roman"/>
                <w:sz w:val="16"/>
                <w:szCs w:val="16"/>
                <w:lang w:val="pt-BR"/>
              </w:rPr>
            </w:pPr>
            <w:r w:rsidRPr="002362E3">
              <w:rPr>
                <w:rFonts w:ascii="Times New Roman" w:hAnsi="Times New Roman" w:cs="Times New Roman"/>
                <w:sz w:val="16"/>
                <w:szCs w:val="16"/>
                <w:lang w:val="pt-BR"/>
              </w:rPr>
              <w:t>-Presença de holerites</w:t>
            </w:r>
          </w:p>
          <w:p w:rsidR="00C821BE" w:rsidRPr="002362E3" w:rsidRDefault="00C821BE" w:rsidP="00C821BE">
            <w:pPr>
              <w:autoSpaceDE w:val="0"/>
              <w:autoSpaceDN w:val="0"/>
              <w:adjustRightInd w:val="0"/>
              <w:spacing w:after="0" w:line="240" w:lineRule="auto"/>
              <w:rPr>
                <w:rFonts w:ascii="Times New Roman" w:hAnsi="Times New Roman" w:cs="Times New Roman"/>
                <w:sz w:val="16"/>
                <w:szCs w:val="16"/>
                <w:lang w:val="pt-BR"/>
              </w:rPr>
            </w:pPr>
          </w:p>
        </w:tc>
        <w:tc>
          <w:tcPr>
            <w:tcW w:w="1276"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rsidR="00C821BE" w:rsidRPr="002362E3" w:rsidRDefault="00C821BE" w:rsidP="00C821BE">
            <w:pPr>
              <w:autoSpaceDE w:val="0"/>
              <w:autoSpaceDN w:val="0"/>
              <w:adjustRightInd w:val="0"/>
              <w:spacing w:after="0" w:line="240" w:lineRule="auto"/>
              <w:jc w:val="center"/>
              <w:rPr>
                <w:rFonts w:ascii="Times New Roman" w:hAnsi="Times New Roman" w:cs="Times New Roman"/>
                <w:b/>
                <w:sz w:val="16"/>
                <w:szCs w:val="16"/>
                <w:lang w:val="pt-BR"/>
              </w:rPr>
            </w:pPr>
          </w:p>
          <w:p w:rsidR="00C821BE" w:rsidRPr="002362E3" w:rsidRDefault="00C821BE" w:rsidP="00C821BE">
            <w:pPr>
              <w:autoSpaceDE w:val="0"/>
              <w:autoSpaceDN w:val="0"/>
              <w:adjustRightInd w:val="0"/>
              <w:spacing w:after="0" w:line="240" w:lineRule="auto"/>
              <w:jc w:val="center"/>
              <w:rPr>
                <w:rFonts w:ascii="Times New Roman" w:hAnsi="Times New Roman" w:cs="Times New Roman"/>
                <w:b/>
                <w:sz w:val="16"/>
                <w:szCs w:val="16"/>
                <w:lang w:val="pt-BR"/>
              </w:rPr>
            </w:pPr>
            <w:r w:rsidRPr="002362E3">
              <w:rPr>
                <w:rFonts w:ascii="Times New Roman" w:hAnsi="Times New Roman" w:cs="Times New Roman"/>
                <w:b/>
                <w:sz w:val="16"/>
                <w:szCs w:val="16"/>
                <w:lang w:val="pt-BR"/>
              </w:rPr>
              <w:t>Prefeitura</w:t>
            </w:r>
          </w:p>
          <w:p w:rsidR="00C821BE" w:rsidRPr="002362E3" w:rsidRDefault="00C821BE" w:rsidP="00C821BE">
            <w:pPr>
              <w:autoSpaceDE w:val="0"/>
              <w:autoSpaceDN w:val="0"/>
              <w:adjustRightInd w:val="0"/>
              <w:spacing w:after="0" w:line="240" w:lineRule="auto"/>
              <w:jc w:val="center"/>
              <w:rPr>
                <w:rFonts w:ascii="Times New Roman" w:hAnsi="Times New Roman" w:cs="Times New Roman"/>
                <w:b/>
                <w:sz w:val="16"/>
                <w:szCs w:val="16"/>
                <w:lang w:val="pt-BR"/>
              </w:rPr>
            </w:pPr>
            <w:r w:rsidRPr="002362E3">
              <w:rPr>
                <w:rFonts w:ascii="Times New Roman" w:hAnsi="Times New Roman" w:cs="Times New Roman"/>
                <w:b/>
                <w:sz w:val="16"/>
                <w:szCs w:val="16"/>
                <w:lang w:val="pt-BR"/>
              </w:rPr>
              <w:t>PUASEE-FA</w:t>
            </w:r>
          </w:p>
        </w:tc>
        <w:tc>
          <w:tcPr>
            <w:tcW w:w="1134"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rsidR="00C821BE" w:rsidRPr="002362E3" w:rsidRDefault="00C821BE" w:rsidP="00C821BE">
            <w:pPr>
              <w:autoSpaceDE w:val="0"/>
              <w:autoSpaceDN w:val="0"/>
              <w:adjustRightInd w:val="0"/>
              <w:spacing w:after="0" w:line="240" w:lineRule="auto"/>
              <w:jc w:val="center"/>
              <w:rPr>
                <w:rFonts w:ascii="Times New Roman" w:hAnsi="Times New Roman" w:cs="Times New Roman"/>
                <w:b/>
                <w:sz w:val="16"/>
                <w:szCs w:val="16"/>
                <w:lang w:val="pt-BR"/>
              </w:rPr>
            </w:pPr>
            <w:r w:rsidRPr="002362E3">
              <w:rPr>
                <w:rFonts w:ascii="Times New Roman" w:hAnsi="Times New Roman" w:cs="Times New Roman"/>
                <w:b/>
                <w:sz w:val="16"/>
                <w:szCs w:val="16"/>
                <w:lang w:val="pt-BR"/>
              </w:rPr>
              <w:t>Inspeção de trabalho</w:t>
            </w:r>
          </w:p>
          <w:p w:rsidR="00C821BE" w:rsidRPr="002362E3" w:rsidRDefault="00C821BE" w:rsidP="00C821BE">
            <w:pPr>
              <w:autoSpaceDE w:val="0"/>
              <w:autoSpaceDN w:val="0"/>
              <w:adjustRightInd w:val="0"/>
              <w:spacing w:after="0" w:line="240" w:lineRule="auto"/>
              <w:jc w:val="center"/>
              <w:rPr>
                <w:rFonts w:ascii="Times New Roman" w:hAnsi="Times New Roman" w:cs="Times New Roman"/>
                <w:b/>
                <w:sz w:val="16"/>
                <w:szCs w:val="16"/>
                <w:lang w:val="pt-BR"/>
              </w:rPr>
            </w:pPr>
          </w:p>
          <w:p w:rsidR="00C821BE" w:rsidRPr="002362E3" w:rsidRDefault="00C821BE" w:rsidP="00C821BE">
            <w:pPr>
              <w:autoSpaceDE w:val="0"/>
              <w:autoSpaceDN w:val="0"/>
              <w:adjustRightInd w:val="0"/>
              <w:spacing w:after="0" w:line="240" w:lineRule="auto"/>
              <w:jc w:val="center"/>
              <w:rPr>
                <w:rFonts w:ascii="Times New Roman" w:hAnsi="Times New Roman" w:cs="Times New Roman"/>
                <w:b/>
                <w:sz w:val="16"/>
                <w:szCs w:val="16"/>
                <w:lang w:val="pt-BR"/>
              </w:rPr>
            </w:pPr>
            <w:r w:rsidRPr="002362E3">
              <w:rPr>
                <w:rFonts w:ascii="Times New Roman" w:hAnsi="Times New Roman" w:cs="Times New Roman"/>
                <w:b/>
                <w:sz w:val="16"/>
                <w:szCs w:val="16"/>
                <w:lang w:val="pt-BR"/>
              </w:rPr>
              <w:t>Comitê de Monitoramento</w:t>
            </w:r>
          </w:p>
        </w:tc>
        <w:tc>
          <w:tcPr>
            <w:tcW w:w="1134" w:type="dxa"/>
            <w:tcBorders>
              <w:top w:val="single" w:sz="4" w:space="0" w:color="auto"/>
              <w:left w:val="single" w:sz="4" w:space="0" w:color="auto"/>
              <w:bottom w:val="single" w:sz="4" w:space="0" w:color="auto"/>
              <w:right w:val="single" w:sz="4" w:space="0" w:color="auto"/>
            </w:tcBorders>
            <w:vAlign w:val="center"/>
            <w:hideMark/>
          </w:tcPr>
          <w:p w:rsidR="00C821BE" w:rsidRPr="002362E3" w:rsidRDefault="00C821BE" w:rsidP="00C821BE">
            <w:pPr>
              <w:autoSpaceDE w:val="0"/>
              <w:autoSpaceDN w:val="0"/>
              <w:adjustRightInd w:val="0"/>
              <w:spacing w:after="0" w:line="240" w:lineRule="auto"/>
              <w:jc w:val="center"/>
              <w:rPr>
                <w:rFonts w:ascii="Times New Roman" w:hAnsi="Times New Roman" w:cs="Times New Roman"/>
                <w:sz w:val="16"/>
                <w:szCs w:val="16"/>
                <w:lang w:val="pt-BR"/>
              </w:rPr>
            </w:pPr>
            <w:r w:rsidRPr="002362E3">
              <w:rPr>
                <w:rFonts w:ascii="Times New Roman" w:hAnsi="Times New Roman" w:cs="Times New Roman"/>
                <w:sz w:val="16"/>
                <w:szCs w:val="16"/>
                <w:lang w:val="pt-BR"/>
              </w:rPr>
              <w:t>Durante cada campanha de recrutamento / uma vez por ano</w:t>
            </w:r>
          </w:p>
        </w:tc>
        <w:tc>
          <w:tcPr>
            <w:tcW w:w="1134"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rsidR="00C821BE" w:rsidRPr="002362E3" w:rsidRDefault="00C821BE" w:rsidP="00C821BE">
            <w:pPr>
              <w:autoSpaceDE w:val="0"/>
              <w:autoSpaceDN w:val="0"/>
              <w:adjustRightInd w:val="0"/>
              <w:spacing w:after="0" w:line="240" w:lineRule="auto"/>
              <w:jc w:val="center"/>
              <w:rPr>
                <w:rFonts w:ascii="Times New Roman" w:hAnsi="Times New Roman" w:cs="Times New Roman"/>
                <w:b/>
                <w:sz w:val="16"/>
                <w:szCs w:val="16"/>
                <w:lang w:val="pt-BR"/>
              </w:rPr>
            </w:pPr>
            <w:r w:rsidRPr="002362E3">
              <w:rPr>
                <w:rFonts w:ascii="Times New Roman" w:hAnsi="Times New Roman" w:cs="Times New Roman"/>
                <w:b/>
                <w:sz w:val="16"/>
                <w:szCs w:val="16"/>
                <w:lang w:val="pt-BR"/>
              </w:rPr>
              <w:t>1.5 milhões</w:t>
            </w:r>
          </w:p>
        </w:tc>
      </w:tr>
      <w:tr w:rsidR="00C821BE" w:rsidRPr="002362E3" w:rsidTr="00C821BE">
        <w:trPr>
          <w:trHeight w:val="134"/>
          <w:jc w:val="center"/>
        </w:trPr>
        <w:tc>
          <w:tcPr>
            <w:tcW w:w="1129"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rsidR="00C821BE" w:rsidRPr="002362E3" w:rsidRDefault="00C821BE" w:rsidP="00C821BE">
            <w:pPr>
              <w:autoSpaceDE w:val="0"/>
              <w:autoSpaceDN w:val="0"/>
              <w:adjustRightInd w:val="0"/>
              <w:spacing w:after="0" w:line="240" w:lineRule="auto"/>
              <w:jc w:val="center"/>
              <w:rPr>
                <w:rFonts w:ascii="Times New Roman" w:hAnsi="Times New Roman" w:cs="Times New Roman"/>
                <w:b/>
                <w:bCs/>
                <w:sz w:val="16"/>
                <w:szCs w:val="16"/>
                <w:lang w:val="pt-BR"/>
              </w:rPr>
            </w:pPr>
            <w:r w:rsidRPr="002362E3">
              <w:rPr>
                <w:rFonts w:ascii="Times New Roman" w:hAnsi="Times New Roman" w:cs="Times New Roman"/>
                <w:b/>
                <w:bCs/>
                <w:sz w:val="16"/>
                <w:szCs w:val="16"/>
                <w:lang w:val="pt-BR"/>
              </w:rPr>
              <w:t>Economia</w:t>
            </w:r>
          </w:p>
        </w:tc>
        <w:tc>
          <w:tcPr>
            <w:tcW w:w="2131" w:type="dxa"/>
            <w:tcBorders>
              <w:top w:val="single" w:sz="4" w:space="0" w:color="auto"/>
              <w:left w:val="single" w:sz="4" w:space="0" w:color="auto"/>
              <w:bottom w:val="single" w:sz="4" w:space="0" w:color="auto"/>
              <w:right w:val="single" w:sz="4" w:space="0" w:color="auto"/>
            </w:tcBorders>
            <w:vAlign w:val="center"/>
          </w:tcPr>
          <w:p w:rsidR="00C821BE" w:rsidRPr="002362E3" w:rsidRDefault="00C821BE" w:rsidP="00C821BE">
            <w:pPr>
              <w:autoSpaceDE w:val="0"/>
              <w:autoSpaceDN w:val="0"/>
              <w:adjustRightInd w:val="0"/>
              <w:spacing w:after="0" w:line="240" w:lineRule="auto"/>
              <w:jc w:val="both"/>
              <w:rPr>
                <w:rFonts w:ascii="Times New Roman" w:hAnsi="Times New Roman" w:cs="Times New Roman"/>
                <w:sz w:val="16"/>
                <w:szCs w:val="16"/>
                <w:lang w:val="pt-BR"/>
              </w:rPr>
            </w:pPr>
            <w:r w:rsidRPr="002362E3">
              <w:rPr>
                <w:rFonts w:ascii="Times New Roman" w:hAnsi="Times New Roman" w:cs="Times New Roman"/>
                <w:sz w:val="16"/>
                <w:szCs w:val="16"/>
                <w:lang w:val="pt-BR"/>
              </w:rPr>
              <w:t xml:space="preserve">Criação de emprego </w:t>
            </w:r>
          </w:p>
        </w:tc>
        <w:tc>
          <w:tcPr>
            <w:tcW w:w="4673" w:type="dxa"/>
            <w:tcBorders>
              <w:top w:val="single" w:sz="4" w:space="0" w:color="auto"/>
              <w:left w:val="single" w:sz="4" w:space="0" w:color="auto"/>
              <w:bottom w:val="single" w:sz="4" w:space="0" w:color="auto"/>
              <w:right w:val="single" w:sz="4" w:space="0" w:color="auto"/>
            </w:tcBorders>
            <w:vAlign w:val="center"/>
          </w:tcPr>
          <w:p w:rsidR="00C821BE" w:rsidRPr="002362E3" w:rsidRDefault="00C821BE" w:rsidP="00C821BE">
            <w:pPr>
              <w:autoSpaceDE w:val="0"/>
              <w:autoSpaceDN w:val="0"/>
              <w:adjustRightInd w:val="0"/>
              <w:spacing w:after="0" w:line="240" w:lineRule="auto"/>
              <w:jc w:val="both"/>
              <w:rPr>
                <w:rFonts w:ascii="Times New Roman" w:hAnsi="Times New Roman" w:cs="Times New Roman"/>
                <w:sz w:val="16"/>
                <w:szCs w:val="16"/>
                <w:lang w:val="pt-BR"/>
              </w:rPr>
            </w:pPr>
            <w:r w:rsidRPr="002362E3">
              <w:rPr>
                <w:rFonts w:ascii="Times New Roman" w:hAnsi="Times New Roman" w:cs="Times New Roman"/>
                <w:sz w:val="16"/>
                <w:szCs w:val="16"/>
                <w:lang w:val="pt-BR"/>
              </w:rPr>
              <w:t>-Criação ou apoio ao desenvolvimento de produtos relacionados à venda de sorvetes femininos;</w:t>
            </w:r>
          </w:p>
          <w:p w:rsidR="00C821BE" w:rsidRPr="002362E3" w:rsidRDefault="00C821BE" w:rsidP="00C821BE">
            <w:pPr>
              <w:autoSpaceDE w:val="0"/>
              <w:autoSpaceDN w:val="0"/>
              <w:adjustRightInd w:val="0"/>
              <w:spacing w:after="0" w:line="240" w:lineRule="auto"/>
              <w:jc w:val="both"/>
              <w:rPr>
                <w:rFonts w:ascii="Times New Roman" w:hAnsi="Times New Roman" w:cs="Times New Roman"/>
                <w:sz w:val="16"/>
                <w:szCs w:val="16"/>
                <w:lang w:val="pt-BR"/>
              </w:rPr>
            </w:pPr>
            <w:r w:rsidRPr="002362E3">
              <w:rPr>
                <w:rFonts w:ascii="Times New Roman" w:hAnsi="Times New Roman" w:cs="Times New Roman"/>
                <w:sz w:val="16"/>
                <w:szCs w:val="16"/>
                <w:lang w:val="pt-BR"/>
              </w:rPr>
              <w:t>-Aumentar o número de fontes de pagamento;</w:t>
            </w:r>
          </w:p>
          <w:p w:rsidR="00C821BE" w:rsidRPr="002362E3" w:rsidRDefault="00C821BE" w:rsidP="00C821BE">
            <w:pPr>
              <w:autoSpaceDE w:val="0"/>
              <w:autoSpaceDN w:val="0"/>
              <w:adjustRightInd w:val="0"/>
              <w:spacing w:after="0" w:line="240" w:lineRule="auto"/>
              <w:jc w:val="both"/>
              <w:rPr>
                <w:rFonts w:ascii="Times New Roman" w:hAnsi="Times New Roman" w:cs="Times New Roman"/>
                <w:sz w:val="16"/>
                <w:szCs w:val="16"/>
                <w:lang w:val="pt-BR"/>
              </w:rPr>
            </w:pPr>
            <w:r w:rsidRPr="002362E3">
              <w:rPr>
                <w:rFonts w:ascii="Times New Roman" w:hAnsi="Times New Roman" w:cs="Times New Roman"/>
                <w:sz w:val="16"/>
                <w:szCs w:val="16"/>
                <w:lang w:val="pt-BR"/>
              </w:rPr>
              <w:t>- Fortalecer grupos de mulheres envolvidos em atividades relacionadas à comercialização de água;</w:t>
            </w:r>
          </w:p>
        </w:tc>
        <w:tc>
          <w:tcPr>
            <w:tcW w:w="3402" w:type="dxa"/>
            <w:tcBorders>
              <w:top w:val="single" w:sz="4" w:space="0" w:color="auto"/>
              <w:left w:val="single" w:sz="4" w:space="0" w:color="auto"/>
              <w:bottom w:val="single" w:sz="4" w:space="0" w:color="auto"/>
              <w:right w:val="single" w:sz="4" w:space="0" w:color="auto"/>
            </w:tcBorders>
            <w:vAlign w:val="center"/>
          </w:tcPr>
          <w:p w:rsidR="00C821BE" w:rsidRPr="002362E3" w:rsidRDefault="00C821BE" w:rsidP="00C821BE">
            <w:pPr>
              <w:autoSpaceDE w:val="0"/>
              <w:autoSpaceDN w:val="0"/>
              <w:adjustRightInd w:val="0"/>
              <w:spacing w:after="0" w:line="240" w:lineRule="auto"/>
              <w:jc w:val="both"/>
              <w:rPr>
                <w:rFonts w:ascii="Times New Roman" w:hAnsi="Times New Roman" w:cs="Times New Roman"/>
                <w:sz w:val="16"/>
                <w:szCs w:val="16"/>
                <w:lang w:val="pt-BR"/>
              </w:rPr>
            </w:pPr>
            <w:r w:rsidRPr="002362E3">
              <w:rPr>
                <w:rFonts w:ascii="Times New Roman" w:hAnsi="Times New Roman" w:cs="Times New Roman"/>
                <w:sz w:val="16"/>
                <w:szCs w:val="16"/>
                <w:lang w:val="pt-BR"/>
              </w:rPr>
              <w:t>- Número de mulheres apoiadas;</w:t>
            </w:r>
          </w:p>
          <w:p w:rsidR="00C821BE" w:rsidRPr="002362E3" w:rsidRDefault="00C821BE" w:rsidP="00C821BE">
            <w:pPr>
              <w:autoSpaceDE w:val="0"/>
              <w:autoSpaceDN w:val="0"/>
              <w:adjustRightInd w:val="0"/>
              <w:spacing w:after="0" w:line="240" w:lineRule="auto"/>
              <w:jc w:val="both"/>
              <w:rPr>
                <w:rFonts w:ascii="Times New Roman" w:hAnsi="Times New Roman" w:cs="Times New Roman"/>
                <w:sz w:val="16"/>
                <w:szCs w:val="16"/>
                <w:lang w:val="pt-BR"/>
              </w:rPr>
            </w:pPr>
            <w:r w:rsidRPr="002362E3">
              <w:rPr>
                <w:rFonts w:ascii="Times New Roman" w:hAnsi="Times New Roman" w:cs="Times New Roman"/>
                <w:sz w:val="16"/>
                <w:szCs w:val="16"/>
                <w:lang w:val="pt-BR"/>
              </w:rPr>
              <w:t>- Número de fontes de pagamento instaladas;</w:t>
            </w:r>
          </w:p>
          <w:p w:rsidR="00C821BE" w:rsidRPr="002362E3" w:rsidRDefault="00C821BE" w:rsidP="00C821BE">
            <w:pPr>
              <w:autoSpaceDE w:val="0"/>
              <w:autoSpaceDN w:val="0"/>
              <w:adjustRightInd w:val="0"/>
              <w:spacing w:after="0" w:line="240" w:lineRule="auto"/>
              <w:jc w:val="both"/>
              <w:rPr>
                <w:rFonts w:ascii="Times New Roman" w:hAnsi="Times New Roman" w:cs="Times New Roman"/>
                <w:sz w:val="16"/>
                <w:szCs w:val="16"/>
                <w:lang w:val="pt-BR"/>
              </w:rPr>
            </w:pPr>
            <w:r w:rsidRPr="002362E3">
              <w:rPr>
                <w:rFonts w:ascii="Times New Roman" w:hAnsi="Times New Roman" w:cs="Times New Roman"/>
                <w:sz w:val="16"/>
                <w:szCs w:val="16"/>
                <w:lang w:val="pt-BR"/>
              </w:rPr>
              <w:t>- Número de grupos reforçados;</w:t>
            </w:r>
          </w:p>
          <w:p w:rsidR="00C821BE" w:rsidRPr="002362E3" w:rsidRDefault="00C821BE" w:rsidP="00C821BE">
            <w:pPr>
              <w:autoSpaceDE w:val="0"/>
              <w:autoSpaceDN w:val="0"/>
              <w:adjustRightInd w:val="0"/>
              <w:spacing w:after="0" w:line="240" w:lineRule="auto"/>
              <w:jc w:val="both"/>
              <w:rPr>
                <w:rFonts w:ascii="Times New Roman" w:hAnsi="Times New Roman" w:cs="Times New Roman"/>
                <w:sz w:val="16"/>
                <w:szCs w:val="16"/>
                <w:lang w:val="pt-BR"/>
              </w:rPr>
            </w:pPr>
          </w:p>
        </w:tc>
        <w:tc>
          <w:tcPr>
            <w:tcW w:w="1276"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C821BE" w:rsidRPr="002362E3" w:rsidRDefault="00C821BE" w:rsidP="00C821BE">
            <w:pPr>
              <w:autoSpaceDE w:val="0"/>
              <w:autoSpaceDN w:val="0"/>
              <w:adjustRightInd w:val="0"/>
              <w:spacing w:after="0" w:line="240" w:lineRule="auto"/>
              <w:jc w:val="center"/>
              <w:rPr>
                <w:rFonts w:ascii="Times New Roman" w:hAnsi="Times New Roman" w:cs="Times New Roman"/>
                <w:b/>
                <w:sz w:val="16"/>
                <w:szCs w:val="16"/>
                <w:lang w:val="pt-BR"/>
              </w:rPr>
            </w:pPr>
            <w:r w:rsidRPr="002362E3">
              <w:rPr>
                <w:rFonts w:ascii="Times New Roman" w:hAnsi="Times New Roman" w:cs="Times New Roman"/>
                <w:b/>
                <w:sz w:val="16"/>
                <w:szCs w:val="16"/>
                <w:lang w:val="pt-BR"/>
              </w:rPr>
              <w:t>ESTADO</w:t>
            </w:r>
          </w:p>
          <w:p w:rsidR="00C821BE" w:rsidRPr="002362E3" w:rsidRDefault="00C821BE" w:rsidP="00C821BE">
            <w:pPr>
              <w:autoSpaceDE w:val="0"/>
              <w:autoSpaceDN w:val="0"/>
              <w:adjustRightInd w:val="0"/>
              <w:spacing w:after="0" w:line="240" w:lineRule="auto"/>
              <w:jc w:val="center"/>
              <w:rPr>
                <w:rFonts w:ascii="Times New Roman" w:hAnsi="Times New Roman" w:cs="Times New Roman"/>
                <w:b/>
                <w:sz w:val="16"/>
                <w:szCs w:val="16"/>
                <w:lang w:val="pt-BR"/>
              </w:rPr>
            </w:pPr>
            <w:r w:rsidRPr="002362E3">
              <w:rPr>
                <w:rFonts w:ascii="Times New Roman" w:hAnsi="Times New Roman" w:cs="Times New Roman"/>
                <w:b/>
                <w:sz w:val="16"/>
                <w:szCs w:val="16"/>
                <w:lang w:val="pt-BR"/>
              </w:rPr>
              <w:t>PUASEE-FA</w:t>
            </w:r>
          </w:p>
          <w:p w:rsidR="00C821BE" w:rsidRPr="002362E3" w:rsidRDefault="00C821BE" w:rsidP="00C821BE">
            <w:pPr>
              <w:autoSpaceDE w:val="0"/>
              <w:autoSpaceDN w:val="0"/>
              <w:adjustRightInd w:val="0"/>
              <w:spacing w:after="0" w:line="240" w:lineRule="auto"/>
              <w:jc w:val="center"/>
              <w:rPr>
                <w:rFonts w:ascii="Times New Roman" w:hAnsi="Times New Roman" w:cs="Times New Roman"/>
                <w:b/>
                <w:sz w:val="16"/>
                <w:szCs w:val="16"/>
                <w:lang w:val="pt-BR"/>
              </w:rPr>
            </w:pPr>
            <w:r w:rsidRPr="002362E3">
              <w:rPr>
                <w:rFonts w:ascii="Times New Roman" w:hAnsi="Times New Roman" w:cs="Times New Roman"/>
                <w:b/>
                <w:sz w:val="16"/>
                <w:szCs w:val="16"/>
                <w:lang w:val="pt-BR"/>
              </w:rPr>
              <w:t>EAGB</w:t>
            </w:r>
          </w:p>
        </w:tc>
        <w:tc>
          <w:tcPr>
            <w:tcW w:w="1134"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rsidR="00C821BE" w:rsidRPr="002362E3" w:rsidRDefault="00C821BE" w:rsidP="00C821BE">
            <w:pPr>
              <w:autoSpaceDE w:val="0"/>
              <w:autoSpaceDN w:val="0"/>
              <w:adjustRightInd w:val="0"/>
              <w:spacing w:after="0" w:line="240" w:lineRule="auto"/>
              <w:jc w:val="center"/>
              <w:rPr>
                <w:rFonts w:ascii="Times New Roman" w:hAnsi="Times New Roman" w:cs="Times New Roman"/>
                <w:b/>
                <w:sz w:val="16"/>
                <w:szCs w:val="16"/>
                <w:lang w:val="pt-BR"/>
              </w:rPr>
            </w:pPr>
            <w:r w:rsidRPr="002362E3">
              <w:rPr>
                <w:rFonts w:ascii="Times New Roman" w:hAnsi="Times New Roman" w:cs="Times New Roman"/>
                <w:b/>
                <w:sz w:val="16"/>
                <w:szCs w:val="16"/>
                <w:lang w:val="pt-BR"/>
              </w:rPr>
              <w:t>Comitê de Monitoramento</w:t>
            </w:r>
          </w:p>
        </w:tc>
        <w:tc>
          <w:tcPr>
            <w:tcW w:w="1134" w:type="dxa"/>
            <w:tcBorders>
              <w:top w:val="single" w:sz="4" w:space="0" w:color="auto"/>
              <w:left w:val="single" w:sz="4" w:space="0" w:color="auto"/>
              <w:bottom w:val="single" w:sz="4" w:space="0" w:color="auto"/>
              <w:right w:val="single" w:sz="4" w:space="0" w:color="auto"/>
            </w:tcBorders>
            <w:vAlign w:val="center"/>
            <w:hideMark/>
          </w:tcPr>
          <w:p w:rsidR="00C821BE" w:rsidRPr="002362E3" w:rsidRDefault="00C821BE" w:rsidP="00C821BE">
            <w:pPr>
              <w:autoSpaceDE w:val="0"/>
              <w:autoSpaceDN w:val="0"/>
              <w:adjustRightInd w:val="0"/>
              <w:spacing w:after="0" w:line="240" w:lineRule="auto"/>
              <w:jc w:val="center"/>
              <w:rPr>
                <w:rFonts w:ascii="Times New Roman" w:hAnsi="Times New Roman" w:cs="Times New Roman"/>
                <w:sz w:val="16"/>
                <w:szCs w:val="16"/>
                <w:lang w:val="pt-BR"/>
              </w:rPr>
            </w:pPr>
            <w:r w:rsidRPr="002362E3">
              <w:rPr>
                <w:rFonts w:ascii="Times New Roman" w:hAnsi="Times New Roman" w:cs="Times New Roman"/>
                <w:sz w:val="16"/>
                <w:szCs w:val="16"/>
                <w:lang w:val="pt-BR"/>
              </w:rPr>
              <w:t>Durante a operação / uma vez por ano</w:t>
            </w:r>
          </w:p>
        </w:tc>
        <w:tc>
          <w:tcPr>
            <w:tcW w:w="1134"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rsidR="00C821BE" w:rsidRPr="002362E3" w:rsidRDefault="00C821BE" w:rsidP="00C821BE">
            <w:pPr>
              <w:autoSpaceDE w:val="0"/>
              <w:autoSpaceDN w:val="0"/>
              <w:adjustRightInd w:val="0"/>
              <w:spacing w:after="0" w:line="240" w:lineRule="auto"/>
              <w:jc w:val="center"/>
              <w:rPr>
                <w:rFonts w:ascii="Times New Roman" w:hAnsi="Times New Roman" w:cs="Times New Roman"/>
                <w:b/>
                <w:sz w:val="16"/>
                <w:szCs w:val="16"/>
                <w:lang w:val="pt-BR"/>
              </w:rPr>
            </w:pPr>
            <w:r w:rsidRPr="002362E3">
              <w:rPr>
                <w:rFonts w:ascii="Times New Roman" w:hAnsi="Times New Roman" w:cs="Times New Roman"/>
                <w:b/>
                <w:sz w:val="16"/>
                <w:szCs w:val="16"/>
                <w:lang w:val="pt-BR"/>
              </w:rPr>
              <w:t>5.000.000</w:t>
            </w:r>
          </w:p>
        </w:tc>
      </w:tr>
      <w:tr w:rsidR="00C821BE" w:rsidRPr="002362E3" w:rsidTr="00C821BE">
        <w:trPr>
          <w:trHeight w:val="134"/>
          <w:jc w:val="center"/>
        </w:trPr>
        <w:tc>
          <w:tcPr>
            <w:tcW w:w="1129"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rsidR="00C821BE" w:rsidRPr="002362E3" w:rsidRDefault="00C821BE" w:rsidP="00C821BE">
            <w:pPr>
              <w:autoSpaceDE w:val="0"/>
              <w:autoSpaceDN w:val="0"/>
              <w:adjustRightInd w:val="0"/>
              <w:spacing w:after="0" w:line="240" w:lineRule="auto"/>
              <w:jc w:val="center"/>
              <w:rPr>
                <w:rFonts w:ascii="Times New Roman" w:hAnsi="Times New Roman" w:cs="Times New Roman"/>
                <w:b/>
                <w:bCs/>
                <w:sz w:val="16"/>
                <w:szCs w:val="16"/>
                <w:lang w:val="pt-BR"/>
              </w:rPr>
            </w:pPr>
            <w:r w:rsidRPr="002362E3">
              <w:rPr>
                <w:rFonts w:ascii="Times New Roman" w:hAnsi="Times New Roman" w:cs="Times New Roman"/>
                <w:b/>
                <w:bCs/>
                <w:sz w:val="16"/>
                <w:szCs w:val="16"/>
                <w:lang w:val="pt-BR"/>
              </w:rPr>
              <w:t>Humano</w:t>
            </w:r>
          </w:p>
        </w:tc>
        <w:tc>
          <w:tcPr>
            <w:tcW w:w="2131" w:type="dxa"/>
            <w:tcBorders>
              <w:top w:val="single" w:sz="4" w:space="0" w:color="auto"/>
              <w:left w:val="single" w:sz="4" w:space="0" w:color="auto"/>
              <w:bottom w:val="single" w:sz="4" w:space="0" w:color="auto"/>
              <w:right w:val="single" w:sz="4" w:space="0" w:color="auto"/>
            </w:tcBorders>
            <w:vAlign w:val="center"/>
          </w:tcPr>
          <w:p w:rsidR="00C821BE" w:rsidRPr="002362E3" w:rsidRDefault="00C821BE" w:rsidP="00C821BE">
            <w:pPr>
              <w:autoSpaceDE w:val="0"/>
              <w:autoSpaceDN w:val="0"/>
              <w:adjustRightInd w:val="0"/>
              <w:spacing w:after="0" w:line="240" w:lineRule="auto"/>
              <w:jc w:val="both"/>
              <w:rPr>
                <w:rFonts w:ascii="Times New Roman" w:hAnsi="Times New Roman" w:cs="Times New Roman"/>
                <w:sz w:val="16"/>
                <w:szCs w:val="16"/>
                <w:lang w:val="pt-BR"/>
              </w:rPr>
            </w:pPr>
            <w:r w:rsidRPr="002362E3">
              <w:rPr>
                <w:rFonts w:ascii="Times New Roman" w:hAnsi="Times New Roman" w:cs="Times New Roman"/>
                <w:sz w:val="16"/>
                <w:szCs w:val="16"/>
                <w:lang w:val="pt-BR"/>
              </w:rPr>
              <w:t>Melhor cobertura de acesso portátil de água em áreas atendidas</w:t>
            </w:r>
          </w:p>
        </w:tc>
        <w:tc>
          <w:tcPr>
            <w:tcW w:w="4673" w:type="dxa"/>
            <w:tcBorders>
              <w:top w:val="single" w:sz="4" w:space="0" w:color="auto"/>
              <w:left w:val="single" w:sz="4" w:space="0" w:color="auto"/>
              <w:bottom w:val="single" w:sz="4" w:space="0" w:color="auto"/>
              <w:right w:val="single" w:sz="4" w:space="0" w:color="auto"/>
            </w:tcBorders>
            <w:vAlign w:val="center"/>
          </w:tcPr>
          <w:p w:rsidR="00C821BE" w:rsidRPr="002362E3" w:rsidRDefault="00C821BE" w:rsidP="00C821BE">
            <w:pPr>
              <w:autoSpaceDE w:val="0"/>
              <w:autoSpaceDN w:val="0"/>
              <w:adjustRightInd w:val="0"/>
              <w:spacing w:after="0" w:line="240" w:lineRule="auto"/>
              <w:jc w:val="both"/>
              <w:rPr>
                <w:rFonts w:ascii="Times New Roman" w:hAnsi="Times New Roman" w:cs="Times New Roman"/>
                <w:sz w:val="16"/>
                <w:szCs w:val="16"/>
                <w:lang w:val="pt-BR"/>
              </w:rPr>
            </w:pPr>
            <w:r w:rsidRPr="002362E3">
              <w:rPr>
                <w:rFonts w:ascii="Times New Roman" w:hAnsi="Times New Roman" w:cs="Times New Roman"/>
                <w:sz w:val="16"/>
                <w:szCs w:val="16"/>
                <w:lang w:val="pt-BR"/>
              </w:rPr>
              <w:t>-Reduzir impostos aos operadores privados para facilitar a cobertura das áreas servidas com água potável;</w:t>
            </w:r>
          </w:p>
          <w:p w:rsidR="00C821BE" w:rsidRPr="002362E3" w:rsidRDefault="00C821BE" w:rsidP="00C821BE">
            <w:pPr>
              <w:autoSpaceDE w:val="0"/>
              <w:autoSpaceDN w:val="0"/>
              <w:adjustRightInd w:val="0"/>
              <w:spacing w:after="0" w:line="240" w:lineRule="auto"/>
              <w:jc w:val="both"/>
              <w:rPr>
                <w:rFonts w:ascii="Times New Roman" w:hAnsi="Times New Roman" w:cs="Times New Roman"/>
                <w:sz w:val="16"/>
                <w:szCs w:val="16"/>
                <w:lang w:val="pt-BR"/>
              </w:rPr>
            </w:pPr>
            <w:r w:rsidRPr="002362E3">
              <w:rPr>
                <w:rFonts w:ascii="Times New Roman" w:hAnsi="Times New Roman" w:cs="Times New Roman"/>
                <w:sz w:val="16"/>
                <w:szCs w:val="16"/>
                <w:lang w:val="pt-BR"/>
              </w:rPr>
              <w:t>-Apoiar operadores privados para cobrir tantas áreas quanto possível;</w:t>
            </w:r>
          </w:p>
        </w:tc>
        <w:tc>
          <w:tcPr>
            <w:tcW w:w="3402" w:type="dxa"/>
            <w:tcBorders>
              <w:top w:val="single" w:sz="4" w:space="0" w:color="auto"/>
              <w:left w:val="single" w:sz="4" w:space="0" w:color="auto"/>
              <w:bottom w:val="single" w:sz="4" w:space="0" w:color="auto"/>
              <w:right w:val="single" w:sz="4" w:space="0" w:color="auto"/>
            </w:tcBorders>
            <w:vAlign w:val="center"/>
          </w:tcPr>
          <w:p w:rsidR="00C821BE" w:rsidRPr="002362E3" w:rsidRDefault="00C821BE" w:rsidP="00C821BE">
            <w:pPr>
              <w:autoSpaceDE w:val="0"/>
              <w:autoSpaceDN w:val="0"/>
              <w:adjustRightInd w:val="0"/>
              <w:spacing w:after="0" w:line="240" w:lineRule="auto"/>
              <w:jc w:val="both"/>
              <w:rPr>
                <w:rFonts w:ascii="Times New Roman" w:hAnsi="Times New Roman" w:cs="Times New Roman"/>
                <w:sz w:val="16"/>
                <w:szCs w:val="16"/>
                <w:lang w:val="pt-BR"/>
              </w:rPr>
            </w:pPr>
            <w:r w:rsidRPr="002362E3">
              <w:rPr>
                <w:rFonts w:ascii="Times New Roman" w:hAnsi="Times New Roman" w:cs="Times New Roman"/>
                <w:sz w:val="16"/>
                <w:szCs w:val="16"/>
                <w:lang w:val="pt-BR"/>
              </w:rPr>
              <w:t xml:space="preserve">-Implantação de novos operadores privados no país </w:t>
            </w:r>
          </w:p>
          <w:p w:rsidR="00C821BE" w:rsidRPr="002362E3" w:rsidRDefault="00C821BE" w:rsidP="00C821BE">
            <w:pPr>
              <w:autoSpaceDE w:val="0"/>
              <w:autoSpaceDN w:val="0"/>
              <w:adjustRightInd w:val="0"/>
              <w:spacing w:after="0" w:line="240" w:lineRule="auto"/>
              <w:jc w:val="both"/>
              <w:rPr>
                <w:rFonts w:ascii="Times New Roman" w:hAnsi="Times New Roman" w:cs="Times New Roman"/>
                <w:sz w:val="16"/>
                <w:szCs w:val="16"/>
                <w:lang w:val="pt-BR"/>
              </w:rPr>
            </w:pPr>
            <w:r w:rsidRPr="002362E3">
              <w:rPr>
                <w:rFonts w:ascii="Times New Roman" w:hAnsi="Times New Roman" w:cs="Times New Roman"/>
                <w:sz w:val="16"/>
                <w:szCs w:val="16"/>
                <w:lang w:val="pt-BR"/>
              </w:rPr>
              <w:t xml:space="preserve">-Presença de reservatório em áreas isoladas </w:t>
            </w:r>
          </w:p>
        </w:tc>
        <w:tc>
          <w:tcPr>
            <w:tcW w:w="1276"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rsidR="00C821BE" w:rsidRPr="002362E3" w:rsidRDefault="00C821BE" w:rsidP="00C821BE">
            <w:pPr>
              <w:autoSpaceDE w:val="0"/>
              <w:autoSpaceDN w:val="0"/>
              <w:adjustRightInd w:val="0"/>
              <w:spacing w:after="0" w:line="240" w:lineRule="auto"/>
              <w:jc w:val="center"/>
              <w:rPr>
                <w:rFonts w:ascii="Times New Roman" w:hAnsi="Times New Roman" w:cs="Times New Roman"/>
                <w:b/>
                <w:sz w:val="16"/>
                <w:szCs w:val="16"/>
                <w:lang w:val="pt-BR"/>
              </w:rPr>
            </w:pPr>
            <w:r w:rsidRPr="002362E3">
              <w:rPr>
                <w:rFonts w:ascii="Times New Roman" w:hAnsi="Times New Roman" w:cs="Times New Roman"/>
                <w:b/>
                <w:sz w:val="16"/>
                <w:szCs w:val="16"/>
                <w:lang w:val="pt-BR"/>
              </w:rPr>
              <w:t>ESTADO</w:t>
            </w:r>
          </w:p>
          <w:p w:rsidR="00C821BE" w:rsidRPr="002362E3" w:rsidRDefault="00C821BE" w:rsidP="00C821BE">
            <w:pPr>
              <w:autoSpaceDE w:val="0"/>
              <w:autoSpaceDN w:val="0"/>
              <w:adjustRightInd w:val="0"/>
              <w:spacing w:after="0" w:line="240" w:lineRule="auto"/>
              <w:jc w:val="center"/>
              <w:rPr>
                <w:rFonts w:ascii="Times New Roman" w:hAnsi="Times New Roman" w:cs="Times New Roman"/>
                <w:b/>
                <w:sz w:val="16"/>
                <w:szCs w:val="16"/>
                <w:lang w:val="pt-BR"/>
              </w:rPr>
            </w:pPr>
            <w:r w:rsidRPr="002362E3">
              <w:rPr>
                <w:rFonts w:ascii="Times New Roman" w:hAnsi="Times New Roman" w:cs="Times New Roman"/>
                <w:b/>
                <w:sz w:val="16"/>
                <w:szCs w:val="16"/>
                <w:lang w:val="pt-BR"/>
              </w:rPr>
              <w:t>PUASEE-FA</w:t>
            </w:r>
          </w:p>
        </w:tc>
        <w:tc>
          <w:tcPr>
            <w:tcW w:w="1134"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rsidR="00C821BE" w:rsidRPr="002362E3" w:rsidRDefault="00C821BE" w:rsidP="00C821BE">
            <w:pPr>
              <w:autoSpaceDE w:val="0"/>
              <w:autoSpaceDN w:val="0"/>
              <w:adjustRightInd w:val="0"/>
              <w:spacing w:after="0" w:line="240" w:lineRule="auto"/>
              <w:jc w:val="center"/>
              <w:rPr>
                <w:rFonts w:ascii="Times New Roman" w:hAnsi="Times New Roman" w:cs="Times New Roman"/>
                <w:b/>
                <w:sz w:val="16"/>
                <w:szCs w:val="16"/>
                <w:lang w:val="pt-BR"/>
              </w:rPr>
            </w:pPr>
            <w:r w:rsidRPr="002362E3">
              <w:rPr>
                <w:rFonts w:ascii="Times New Roman" w:hAnsi="Times New Roman" w:cs="Times New Roman"/>
                <w:b/>
                <w:sz w:val="16"/>
                <w:szCs w:val="16"/>
                <w:lang w:val="pt-BR"/>
              </w:rPr>
              <w:t>Comitê de Monitoramento</w:t>
            </w:r>
          </w:p>
        </w:tc>
        <w:tc>
          <w:tcPr>
            <w:tcW w:w="1134" w:type="dxa"/>
            <w:tcBorders>
              <w:top w:val="single" w:sz="4" w:space="0" w:color="auto"/>
              <w:left w:val="single" w:sz="4" w:space="0" w:color="auto"/>
              <w:bottom w:val="single" w:sz="4" w:space="0" w:color="auto"/>
              <w:right w:val="single" w:sz="4" w:space="0" w:color="auto"/>
            </w:tcBorders>
            <w:vAlign w:val="center"/>
            <w:hideMark/>
          </w:tcPr>
          <w:p w:rsidR="00C821BE" w:rsidRPr="002362E3" w:rsidRDefault="00C821BE" w:rsidP="00C821BE">
            <w:pPr>
              <w:autoSpaceDE w:val="0"/>
              <w:autoSpaceDN w:val="0"/>
              <w:adjustRightInd w:val="0"/>
              <w:spacing w:after="0" w:line="240" w:lineRule="auto"/>
              <w:jc w:val="center"/>
              <w:rPr>
                <w:rFonts w:ascii="Times New Roman" w:hAnsi="Times New Roman" w:cs="Times New Roman"/>
                <w:sz w:val="16"/>
                <w:szCs w:val="16"/>
                <w:lang w:val="pt-BR"/>
              </w:rPr>
            </w:pPr>
            <w:r w:rsidRPr="002362E3">
              <w:rPr>
                <w:rFonts w:ascii="Times New Roman" w:hAnsi="Times New Roman" w:cs="Times New Roman"/>
                <w:sz w:val="16"/>
                <w:szCs w:val="16"/>
                <w:lang w:val="pt-BR"/>
              </w:rPr>
              <w:t>Durante a operação / uma vez por ano</w:t>
            </w:r>
          </w:p>
        </w:tc>
        <w:tc>
          <w:tcPr>
            <w:tcW w:w="1134"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rsidR="00C821BE" w:rsidRPr="002362E3" w:rsidRDefault="00C821BE" w:rsidP="00C821BE">
            <w:pPr>
              <w:autoSpaceDE w:val="0"/>
              <w:autoSpaceDN w:val="0"/>
              <w:adjustRightInd w:val="0"/>
              <w:spacing w:after="0" w:line="240" w:lineRule="auto"/>
              <w:jc w:val="center"/>
              <w:rPr>
                <w:rFonts w:ascii="Times New Roman" w:hAnsi="Times New Roman" w:cs="Times New Roman"/>
                <w:b/>
                <w:sz w:val="16"/>
                <w:szCs w:val="16"/>
                <w:lang w:val="pt-BR"/>
              </w:rPr>
            </w:pPr>
            <w:r w:rsidRPr="002362E3">
              <w:rPr>
                <w:rFonts w:ascii="Times New Roman" w:hAnsi="Times New Roman" w:cs="Times New Roman"/>
                <w:b/>
                <w:sz w:val="16"/>
                <w:szCs w:val="16"/>
                <w:lang w:val="pt-BR"/>
              </w:rPr>
              <w:t>3.000.000</w:t>
            </w:r>
          </w:p>
        </w:tc>
      </w:tr>
      <w:tr w:rsidR="00C821BE" w:rsidRPr="002362E3" w:rsidTr="00C821BE">
        <w:trPr>
          <w:trHeight w:val="417"/>
          <w:jc w:val="center"/>
        </w:trPr>
        <w:tc>
          <w:tcPr>
            <w:tcW w:w="1129" w:type="dxa"/>
            <w:tcBorders>
              <w:top w:val="single" w:sz="4" w:space="0" w:color="auto"/>
              <w:left w:val="single" w:sz="4" w:space="0" w:color="auto"/>
              <w:right w:val="single" w:sz="4" w:space="0" w:color="auto"/>
            </w:tcBorders>
            <w:shd w:val="clear" w:color="auto" w:fill="BDD6EE" w:themeFill="accent1" w:themeFillTint="66"/>
            <w:vAlign w:val="center"/>
          </w:tcPr>
          <w:p w:rsidR="00C821BE" w:rsidRPr="002362E3" w:rsidRDefault="00C821BE" w:rsidP="00C821BE">
            <w:pPr>
              <w:autoSpaceDE w:val="0"/>
              <w:autoSpaceDN w:val="0"/>
              <w:adjustRightInd w:val="0"/>
              <w:spacing w:after="0" w:line="240" w:lineRule="auto"/>
              <w:jc w:val="center"/>
              <w:rPr>
                <w:rFonts w:ascii="Times New Roman" w:hAnsi="Times New Roman" w:cs="Times New Roman"/>
                <w:b/>
                <w:bCs/>
                <w:sz w:val="16"/>
                <w:szCs w:val="16"/>
                <w:lang w:val="pt-BR"/>
              </w:rPr>
            </w:pPr>
            <w:r w:rsidRPr="002362E3">
              <w:rPr>
                <w:rFonts w:ascii="Times New Roman" w:hAnsi="Times New Roman" w:cs="Times New Roman"/>
                <w:b/>
                <w:bCs/>
                <w:sz w:val="16"/>
                <w:szCs w:val="16"/>
                <w:lang w:val="pt-BR"/>
              </w:rPr>
              <w:t>EAGB</w:t>
            </w:r>
          </w:p>
        </w:tc>
        <w:tc>
          <w:tcPr>
            <w:tcW w:w="2131" w:type="dxa"/>
            <w:tcBorders>
              <w:top w:val="single" w:sz="4" w:space="0" w:color="auto"/>
              <w:left w:val="single" w:sz="4" w:space="0" w:color="auto"/>
              <w:bottom w:val="single" w:sz="4" w:space="0" w:color="auto"/>
              <w:right w:val="single" w:sz="4" w:space="0" w:color="auto"/>
            </w:tcBorders>
            <w:vAlign w:val="center"/>
          </w:tcPr>
          <w:p w:rsidR="00C821BE" w:rsidRPr="002362E3" w:rsidRDefault="00C821BE" w:rsidP="00C821BE">
            <w:pPr>
              <w:autoSpaceDE w:val="0"/>
              <w:autoSpaceDN w:val="0"/>
              <w:adjustRightInd w:val="0"/>
              <w:spacing w:after="0" w:line="240" w:lineRule="auto"/>
              <w:jc w:val="both"/>
              <w:rPr>
                <w:rFonts w:ascii="Times New Roman" w:hAnsi="Times New Roman" w:cs="Times New Roman"/>
                <w:sz w:val="16"/>
                <w:szCs w:val="16"/>
                <w:lang w:val="pt-BR"/>
              </w:rPr>
            </w:pPr>
            <w:r w:rsidRPr="002362E3">
              <w:rPr>
                <w:rFonts w:ascii="Times New Roman" w:hAnsi="Times New Roman" w:cs="Times New Roman"/>
                <w:sz w:val="16"/>
                <w:szCs w:val="16"/>
                <w:lang w:val="pt-BR"/>
              </w:rPr>
              <w:t>Desempenho EAGB aprimorado</w:t>
            </w:r>
          </w:p>
        </w:tc>
        <w:tc>
          <w:tcPr>
            <w:tcW w:w="4673" w:type="dxa"/>
            <w:tcBorders>
              <w:top w:val="single" w:sz="4" w:space="0" w:color="auto"/>
              <w:left w:val="single" w:sz="4" w:space="0" w:color="auto"/>
              <w:bottom w:val="single" w:sz="4" w:space="0" w:color="auto"/>
              <w:right w:val="single" w:sz="4" w:space="0" w:color="auto"/>
            </w:tcBorders>
            <w:vAlign w:val="center"/>
          </w:tcPr>
          <w:p w:rsidR="00C821BE" w:rsidRPr="002362E3" w:rsidRDefault="00C821BE" w:rsidP="00C821BE">
            <w:pPr>
              <w:autoSpaceDE w:val="0"/>
              <w:autoSpaceDN w:val="0"/>
              <w:adjustRightInd w:val="0"/>
              <w:spacing w:after="0" w:line="240" w:lineRule="auto"/>
              <w:jc w:val="both"/>
              <w:rPr>
                <w:rFonts w:ascii="Times New Roman" w:hAnsi="Times New Roman" w:cs="Times New Roman"/>
                <w:sz w:val="16"/>
                <w:szCs w:val="16"/>
                <w:lang w:val="pt-BR"/>
              </w:rPr>
            </w:pPr>
            <w:r w:rsidRPr="002362E3">
              <w:rPr>
                <w:rFonts w:ascii="Times New Roman" w:hAnsi="Times New Roman" w:cs="Times New Roman"/>
                <w:sz w:val="16"/>
                <w:szCs w:val="16"/>
                <w:lang w:val="pt-BR"/>
              </w:rPr>
              <w:t>- Fortalecer, supervisionar, treinar o EAGB em termos de desempenho,</w:t>
            </w:r>
            <w:r w:rsidRPr="002362E3">
              <w:rPr>
                <w:rFonts w:ascii="Times New Roman" w:hAnsi="Times New Roman" w:cs="Times New Roman"/>
                <w:color w:val="000000"/>
                <w:sz w:val="16"/>
                <w:szCs w:val="16"/>
                <w:lang w:val="pt-BR"/>
              </w:rPr>
              <w:t xml:space="preserve"> desempenho, eficácia, eficiência, rentabilidade, controle dos investimentos e maximização do retorno;</w:t>
            </w:r>
          </w:p>
        </w:tc>
        <w:tc>
          <w:tcPr>
            <w:tcW w:w="3402" w:type="dxa"/>
            <w:tcBorders>
              <w:top w:val="single" w:sz="4" w:space="0" w:color="auto"/>
              <w:left w:val="single" w:sz="4" w:space="0" w:color="auto"/>
              <w:bottom w:val="single" w:sz="4" w:space="0" w:color="auto"/>
              <w:right w:val="single" w:sz="4" w:space="0" w:color="auto"/>
            </w:tcBorders>
            <w:vAlign w:val="center"/>
          </w:tcPr>
          <w:p w:rsidR="00C821BE" w:rsidRPr="002362E3" w:rsidRDefault="00C821BE" w:rsidP="00C821BE">
            <w:pPr>
              <w:autoSpaceDE w:val="0"/>
              <w:autoSpaceDN w:val="0"/>
              <w:adjustRightInd w:val="0"/>
              <w:spacing w:after="0" w:line="240" w:lineRule="auto"/>
              <w:jc w:val="both"/>
              <w:rPr>
                <w:rFonts w:ascii="Times New Roman" w:hAnsi="Times New Roman" w:cs="Times New Roman"/>
                <w:sz w:val="16"/>
                <w:szCs w:val="16"/>
                <w:lang w:val="pt-BR"/>
              </w:rPr>
            </w:pPr>
            <w:r w:rsidRPr="002362E3">
              <w:rPr>
                <w:rFonts w:ascii="Times New Roman" w:hAnsi="Times New Roman" w:cs="Times New Roman"/>
                <w:sz w:val="16"/>
                <w:szCs w:val="16"/>
                <w:lang w:val="pt-BR"/>
              </w:rPr>
              <w:t>- Número de pessoas treinadas, supervisionadas e reforçadas ao nível da EAGB;</w:t>
            </w:r>
          </w:p>
        </w:tc>
        <w:tc>
          <w:tcPr>
            <w:tcW w:w="1276"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C821BE" w:rsidRPr="002362E3" w:rsidRDefault="00C821BE" w:rsidP="00C821BE">
            <w:pPr>
              <w:autoSpaceDE w:val="0"/>
              <w:autoSpaceDN w:val="0"/>
              <w:adjustRightInd w:val="0"/>
              <w:spacing w:after="0" w:line="240" w:lineRule="auto"/>
              <w:jc w:val="center"/>
              <w:rPr>
                <w:rFonts w:ascii="Times New Roman" w:hAnsi="Times New Roman" w:cs="Times New Roman"/>
                <w:b/>
                <w:sz w:val="16"/>
                <w:szCs w:val="16"/>
                <w:lang w:val="pt-BR"/>
              </w:rPr>
            </w:pPr>
            <w:r w:rsidRPr="002362E3">
              <w:rPr>
                <w:rFonts w:ascii="Times New Roman" w:hAnsi="Times New Roman" w:cs="Times New Roman"/>
                <w:b/>
                <w:sz w:val="16"/>
                <w:szCs w:val="16"/>
                <w:lang w:val="pt-BR"/>
              </w:rPr>
              <w:t xml:space="preserve"> ESTADO</w:t>
            </w:r>
          </w:p>
          <w:p w:rsidR="00C821BE" w:rsidRPr="002362E3" w:rsidRDefault="00C821BE" w:rsidP="00C821BE">
            <w:pPr>
              <w:autoSpaceDE w:val="0"/>
              <w:autoSpaceDN w:val="0"/>
              <w:adjustRightInd w:val="0"/>
              <w:spacing w:after="0" w:line="240" w:lineRule="auto"/>
              <w:jc w:val="center"/>
              <w:rPr>
                <w:rFonts w:ascii="Times New Roman" w:hAnsi="Times New Roman" w:cs="Times New Roman"/>
                <w:b/>
                <w:sz w:val="16"/>
                <w:szCs w:val="16"/>
                <w:lang w:val="pt-BR"/>
              </w:rPr>
            </w:pPr>
            <w:r w:rsidRPr="002362E3">
              <w:rPr>
                <w:rFonts w:ascii="Times New Roman" w:hAnsi="Times New Roman" w:cs="Times New Roman"/>
                <w:b/>
                <w:sz w:val="16"/>
                <w:szCs w:val="16"/>
                <w:lang w:val="pt-BR"/>
              </w:rPr>
              <w:t>PUASEE-FA</w:t>
            </w:r>
          </w:p>
        </w:tc>
        <w:tc>
          <w:tcPr>
            <w:tcW w:w="1134"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C821BE" w:rsidRPr="002362E3" w:rsidRDefault="00C821BE" w:rsidP="00C821BE">
            <w:pPr>
              <w:autoSpaceDE w:val="0"/>
              <w:autoSpaceDN w:val="0"/>
              <w:adjustRightInd w:val="0"/>
              <w:spacing w:after="0" w:line="240" w:lineRule="auto"/>
              <w:jc w:val="center"/>
              <w:rPr>
                <w:rFonts w:ascii="Times New Roman" w:hAnsi="Times New Roman" w:cs="Times New Roman"/>
                <w:b/>
                <w:sz w:val="16"/>
                <w:szCs w:val="16"/>
                <w:lang w:val="pt-BR"/>
              </w:rPr>
            </w:pPr>
            <w:r w:rsidRPr="002362E3">
              <w:rPr>
                <w:rFonts w:ascii="Times New Roman" w:hAnsi="Times New Roman" w:cs="Times New Roman"/>
                <w:b/>
                <w:sz w:val="16"/>
                <w:szCs w:val="16"/>
                <w:lang w:val="pt-BR"/>
              </w:rPr>
              <w:t>Comitê de Monitoramento</w:t>
            </w:r>
          </w:p>
        </w:tc>
        <w:tc>
          <w:tcPr>
            <w:tcW w:w="1134" w:type="dxa"/>
            <w:tcBorders>
              <w:top w:val="single" w:sz="4" w:space="0" w:color="auto"/>
              <w:left w:val="single" w:sz="4" w:space="0" w:color="auto"/>
              <w:bottom w:val="single" w:sz="4" w:space="0" w:color="auto"/>
              <w:right w:val="single" w:sz="4" w:space="0" w:color="auto"/>
            </w:tcBorders>
            <w:vAlign w:val="center"/>
          </w:tcPr>
          <w:p w:rsidR="00C821BE" w:rsidRPr="002362E3" w:rsidRDefault="00C821BE" w:rsidP="00C821BE">
            <w:pPr>
              <w:autoSpaceDE w:val="0"/>
              <w:autoSpaceDN w:val="0"/>
              <w:adjustRightInd w:val="0"/>
              <w:spacing w:after="0" w:line="240" w:lineRule="auto"/>
              <w:jc w:val="center"/>
              <w:rPr>
                <w:rFonts w:ascii="Times New Roman" w:hAnsi="Times New Roman" w:cs="Times New Roman"/>
                <w:sz w:val="16"/>
                <w:szCs w:val="16"/>
                <w:lang w:val="pt-BR"/>
              </w:rPr>
            </w:pPr>
            <w:r w:rsidRPr="002362E3">
              <w:rPr>
                <w:rFonts w:ascii="Times New Roman" w:hAnsi="Times New Roman" w:cs="Times New Roman"/>
                <w:sz w:val="16"/>
                <w:szCs w:val="16"/>
                <w:lang w:val="pt-BR"/>
              </w:rPr>
              <w:t xml:space="preserve">Durante a operação </w:t>
            </w:r>
          </w:p>
          <w:p w:rsidR="00C821BE" w:rsidRPr="002362E3" w:rsidRDefault="00C821BE" w:rsidP="00C821BE">
            <w:pPr>
              <w:autoSpaceDE w:val="0"/>
              <w:autoSpaceDN w:val="0"/>
              <w:adjustRightInd w:val="0"/>
              <w:spacing w:after="0" w:line="240" w:lineRule="auto"/>
              <w:jc w:val="center"/>
              <w:rPr>
                <w:rFonts w:ascii="Times New Roman" w:hAnsi="Times New Roman" w:cs="Times New Roman"/>
                <w:sz w:val="16"/>
                <w:szCs w:val="16"/>
                <w:lang w:val="pt-BR"/>
              </w:rPr>
            </w:pPr>
            <w:r w:rsidRPr="002362E3">
              <w:rPr>
                <w:rFonts w:ascii="Times New Roman" w:hAnsi="Times New Roman" w:cs="Times New Roman"/>
                <w:sz w:val="16"/>
                <w:szCs w:val="16"/>
                <w:lang w:val="pt-BR"/>
              </w:rPr>
              <w:t>/Uma vez por ano</w:t>
            </w:r>
          </w:p>
        </w:tc>
        <w:tc>
          <w:tcPr>
            <w:tcW w:w="1134"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rsidR="00C821BE" w:rsidRPr="002362E3" w:rsidRDefault="00C821BE" w:rsidP="00C821BE">
            <w:pPr>
              <w:autoSpaceDE w:val="0"/>
              <w:autoSpaceDN w:val="0"/>
              <w:adjustRightInd w:val="0"/>
              <w:spacing w:after="0" w:line="240" w:lineRule="auto"/>
              <w:jc w:val="center"/>
              <w:rPr>
                <w:rFonts w:ascii="Times New Roman" w:hAnsi="Times New Roman" w:cs="Times New Roman"/>
                <w:b/>
                <w:sz w:val="16"/>
                <w:szCs w:val="16"/>
                <w:lang w:val="pt-BR"/>
              </w:rPr>
            </w:pPr>
            <w:r w:rsidRPr="002362E3">
              <w:rPr>
                <w:rFonts w:ascii="Times New Roman" w:hAnsi="Times New Roman" w:cs="Times New Roman"/>
                <w:b/>
                <w:sz w:val="16"/>
                <w:szCs w:val="16"/>
                <w:lang w:val="pt-BR"/>
              </w:rPr>
              <w:t>2.500.000</w:t>
            </w:r>
          </w:p>
        </w:tc>
      </w:tr>
      <w:tr w:rsidR="00C821BE" w:rsidRPr="002362E3" w:rsidTr="00C821BE">
        <w:trPr>
          <w:trHeight w:val="134"/>
          <w:jc w:val="center"/>
        </w:trPr>
        <w:tc>
          <w:tcPr>
            <w:tcW w:w="14879" w:type="dxa"/>
            <w:gridSpan w:val="7"/>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rsidR="00C821BE" w:rsidRPr="002362E3" w:rsidRDefault="00C821BE" w:rsidP="00C821BE">
            <w:pPr>
              <w:autoSpaceDE w:val="0"/>
              <w:autoSpaceDN w:val="0"/>
              <w:adjustRightInd w:val="0"/>
              <w:spacing w:after="0" w:line="240" w:lineRule="auto"/>
              <w:jc w:val="center"/>
              <w:rPr>
                <w:rFonts w:ascii="Times New Roman" w:hAnsi="Times New Roman" w:cs="Times New Roman"/>
                <w:b/>
                <w:bCs/>
                <w:sz w:val="16"/>
                <w:szCs w:val="16"/>
                <w:lang w:val="pt-BR"/>
              </w:rPr>
            </w:pPr>
            <w:r w:rsidRPr="002362E3">
              <w:rPr>
                <w:rFonts w:ascii="Times New Roman" w:hAnsi="Times New Roman" w:cs="Times New Roman"/>
                <w:b/>
                <w:bCs/>
                <w:sz w:val="16"/>
                <w:szCs w:val="16"/>
                <w:lang w:val="pt-BR"/>
              </w:rPr>
              <w:t>SUB TOTAL 1</w:t>
            </w:r>
          </w:p>
        </w:tc>
        <w:tc>
          <w:tcPr>
            <w:tcW w:w="1134"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rsidR="00C821BE" w:rsidRPr="002362E3" w:rsidRDefault="00C821BE" w:rsidP="00C821BE">
            <w:pPr>
              <w:autoSpaceDE w:val="0"/>
              <w:autoSpaceDN w:val="0"/>
              <w:adjustRightInd w:val="0"/>
              <w:spacing w:after="0" w:line="240" w:lineRule="auto"/>
              <w:jc w:val="center"/>
              <w:rPr>
                <w:rFonts w:ascii="Times New Roman" w:hAnsi="Times New Roman" w:cs="Times New Roman"/>
                <w:b/>
                <w:sz w:val="16"/>
                <w:szCs w:val="16"/>
                <w:lang w:val="pt-BR"/>
              </w:rPr>
            </w:pPr>
            <w:r w:rsidRPr="002362E3">
              <w:rPr>
                <w:rFonts w:ascii="Times New Roman" w:hAnsi="Times New Roman" w:cs="Times New Roman"/>
                <w:b/>
                <w:sz w:val="16"/>
                <w:szCs w:val="16"/>
                <w:lang w:val="pt-BR"/>
              </w:rPr>
              <w:t>18.250.000</w:t>
            </w:r>
          </w:p>
        </w:tc>
      </w:tr>
    </w:tbl>
    <w:p w:rsidR="00C821BE" w:rsidRPr="002362E3" w:rsidRDefault="00C821BE" w:rsidP="00C821BE">
      <w:pPr>
        <w:spacing w:after="0" w:line="240" w:lineRule="auto"/>
        <w:jc w:val="center"/>
        <w:rPr>
          <w:rFonts w:ascii="Times New Roman" w:hAnsi="Times New Roman" w:cs="Times New Roman"/>
          <w:sz w:val="16"/>
          <w:szCs w:val="16"/>
          <w:lang w:val="pt-BR"/>
        </w:rPr>
      </w:pPr>
      <w:r w:rsidRPr="002362E3">
        <w:rPr>
          <w:rFonts w:ascii="Times New Roman" w:eastAsia="Times New Roman" w:hAnsi="Times New Roman" w:cs="Times New Roman"/>
          <w:b/>
          <w:bCs/>
          <w:sz w:val="16"/>
          <w:szCs w:val="16"/>
          <w:lang w:val="pt-BR" w:eastAsia="fr-FR"/>
        </w:rPr>
        <w:t xml:space="preserve"> Tabela do plano de gestão ambiental e social </w:t>
      </w:r>
    </w:p>
    <w:tbl>
      <w:tblPr>
        <w:tblW w:w="16013" w:type="dxa"/>
        <w:jc w:val="center"/>
        <w:tblBorders>
          <w:top w:val="single" w:sz="4" w:space="0" w:color="7F7F7F"/>
          <w:bottom w:val="single" w:sz="4" w:space="0" w:color="7F7F7F"/>
        </w:tblBorders>
        <w:tblLook w:val="04A0" w:firstRow="1" w:lastRow="0" w:firstColumn="1" w:lastColumn="0" w:noHBand="0" w:noVBand="1"/>
      </w:tblPr>
      <w:tblGrid>
        <w:gridCol w:w="1417"/>
        <w:gridCol w:w="2020"/>
        <w:gridCol w:w="4115"/>
        <w:gridCol w:w="3405"/>
        <w:gridCol w:w="1235"/>
        <w:gridCol w:w="1292"/>
        <w:gridCol w:w="1423"/>
        <w:gridCol w:w="1106"/>
      </w:tblGrid>
      <w:tr w:rsidR="00C821BE" w:rsidRPr="00332A41" w:rsidTr="00C821BE">
        <w:trPr>
          <w:trHeight w:val="70"/>
          <w:jc w:val="center"/>
        </w:trPr>
        <w:tc>
          <w:tcPr>
            <w:tcW w:w="16013" w:type="dxa"/>
            <w:gridSpan w:val="8"/>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rsidR="00C821BE" w:rsidRPr="002362E3" w:rsidRDefault="00C821BE" w:rsidP="00C821BE">
            <w:pPr>
              <w:spacing w:after="0" w:line="240" w:lineRule="auto"/>
              <w:jc w:val="center"/>
              <w:rPr>
                <w:rFonts w:ascii="Times New Roman" w:hAnsi="Times New Roman" w:cs="Times New Roman"/>
                <w:b/>
                <w:bCs/>
                <w:sz w:val="16"/>
                <w:szCs w:val="16"/>
                <w:lang w:val="pt-BR"/>
              </w:rPr>
            </w:pPr>
            <w:r w:rsidRPr="002362E3">
              <w:rPr>
                <w:rFonts w:ascii="Times New Roman" w:hAnsi="Times New Roman" w:cs="Times New Roman"/>
                <w:b/>
                <w:bCs/>
                <w:sz w:val="16"/>
                <w:szCs w:val="16"/>
                <w:lang w:val="pt-BR"/>
              </w:rPr>
              <w:t>FASE DE PRÉ-CONSTRUÇÃO E CONSTRUÇÃO</w:t>
            </w:r>
          </w:p>
        </w:tc>
      </w:tr>
      <w:tr w:rsidR="00C821BE" w:rsidRPr="002362E3" w:rsidTr="00C821BE">
        <w:trPr>
          <w:trHeight w:val="70"/>
          <w:jc w:val="center"/>
        </w:trPr>
        <w:tc>
          <w:tcPr>
            <w:tcW w:w="1212" w:type="dxa"/>
            <w:vMerge w:val="restart"/>
            <w:tcBorders>
              <w:top w:val="single" w:sz="4" w:space="0" w:color="auto"/>
              <w:left w:val="single" w:sz="4" w:space="0" w:color="auto"/>
              <w:bottom w:val="single" w:sz="4" w:space="0" w:color="auto"/>
              <w:right w:val="single" w:sz="4" w:space="0" w:color="auto"/>
            </w:tcBorders>
            <w:shd w:val="clear" w:color="auto" w:fill="F2F2F2"/>
            <w:vAlign w:val="center"/>
          </w:tcPr>
          <w:p w:rsidR="00C821BE" w:rsidRPr="002362E3" w:rsidRDefault="00C821BE" w:rsidP="00C821BE">
            <w:pPr>
              <w:spacing w:after="0" w:line="240" w:lineRule="auto"/>
              <w:jc w:val="center"/>
              <w:rPr>
                <w:rFonts w:ascii="Times New Roman" w:hAnsi="Times New Roman" w:cs="Times New Roman"/>
                <w:b/>
                <w:bCs/>
                <w:sz w:val="16"/>
                <w:szCs w:val="16"/>
                <w:lang w:val="pt-BR"/>
              </w:rPr>
            </w:pPr>
            <w:r w:rsidRPr="002362E3">
              <w:rPr>
                <w:rFonts w:ascii="Times New Roman" w:hAnsi="Times New Roman" w:cs="Times New Roman"/>
                <w:b/>
                <w:bCs/>
                <w:sz w:val="16"/>
                <w:szCs w:val="16"/>
                <w:lang w:val="pt-BR"/>
              </w:rPr>
              <w:t>Componente do ambiente afetado</w:t>
            </w:r>
          </w:p>
        </w:tc>
        <w:tc>
          <w:tcPr>
            <w:tcW w:w="2079" w:type="dxa"/>
            <w:vMerge w:val="restart"/>
            <w:tcBorders>
              <w:top w:val="single" w:sz="4" w:space="0" w:color="auto"/>
              <w:left w:val="single" w:sz="4" w:space="0" w:color="auto"/>
              <w:bottom w:val="single" w:sz="4" w:space="0" w:color="auto"/>
              <w:right w:val="single" w:sz="4" w:space="0" w:color="auto"/>
            </w:tcBorders>
            <w:shd w:val="clear" w:color="auto" w:fill="F2F2F2"/>
            <w:vAlign w:val="center"/>
          </w:tcPr>
          <w:p w:rsidR="00C821BE" w:rsidRPr="002362E3" w:rsidRDefault="00C821BE" w:rsidP="00C821BE">
            <w:pPr>
              <w:spacing w:after="0" w:line="240" w:lineRule="auto"/>
              <w:jc w:val="center"/>
              <w:rPr>
                <w:rFonts w:ascii="Times New Roman" w:hAnsi="Times New Roman" w:cs="Times New Roman"/>
                <w:b/>
                <w:sz w:val="16"/>
                <w:szCs w:val="16"/>
                <w:lang w:val="pt-BR"/>
              </w:rPr>
            </w:pPr>
            <w:r w:rsidRPr="002362E3">
              <w:rPr>
                <w:rFonts w:ascii="Times New Roman" w:hAnsi="Times New Roman" w:cs="Times New Roman"/>
                <w:b/>
                <w:sz w:val="16"/>
                <w:szCs w:val="16"/>
                <w:lang w:val="pt-BR"/>
              </w:rPr>
              <w:t>Natureza do impacto potencial</w:t>
            </w:r>
          </w:p>
        </w:tc>
        <w:tc>
          <w:tcPr>
            <w:tcW w:w="4335" w:type="dxa"/>
            <w:vMerge w:val="restart"/>
            <w:tcBorders>
              <w:top w:val="single" w:sz="4" w:space="0" w:color="auto"/>
              <w:left w:val="single" w:sz="4" w:space="0" w:color="auto"/>
              <w:bottom w:val="single" w:sz="4" w:space="0" w:color="auto"/>
              <w:right w:val="single" w:sz="4" w:space="0" w:color="auto"/>
            </w:tcBorders>
            <w:shd w:val="clear" w:color="auto" w:fill="F2F2F2"/>
            <w:vAlign w:val="center"/>
          </w:tcPr>
          <w:p w:rsidR="00C821BE" w:rsidRPr="002362E3" w:rsidRDefault="00C821BE" w:rsidP="00C821BE">
            <w:pPr>
              <w:spacing w:after="0" w:line="240" w:lineRule="auto"/>
              <w:jc w:val="center"/>
              <w:rPr>
                <w:rFonts w:ascii="Times New Roman" w:hAnsi="Times New Roman" w:cs="Times New Roman"/>
                <w:b/>
                <w:sz w:val="16"/>
                <w:szCs w:val="16"/>
                <w:lang w:val="pt-BR"/>
              </w:rPr>
            </w:pPr>
            <w:r w:rsidRPr="002362E3">
              <w:rPr>
                <w:rFonts w:ascii="Times New Roman" w:hAnsi="Times New Roman" w:cs="Times New Roman"/>
                <w:b/>
                <w:sz w:val="16"/>
                <w:szCs w:val="16"/>
                <w:lang w:val="pt-BR"/>
              </w:rPr>
              <w:t>Medidas de redução</w:t>
            </w:r>
          </w:p>
        </w:tc>
        <w:tc>
          <w:tcPr>
            <w:tcW w:w="3568" w:type="dxa"/>
            <w:vMerge w:val="restart"/>
            <w:tcBorders>
              <w:top w:val="single" w:sz="4" w:space="0" w:color="auto"/>
              <w:left w:val="single" w:sz="4" w:space="0" w:color="auto"/>
              <w:bottom w:val="single" w:sz="4" w:space="0" w:color="auto"/>
              <w:right w:val="single" w:sz="4" w:space="0" w:color="auto"/>
            </w:tcBorders>
            <w:shd w:val="clear" w:color="auto" w:fill="F2F2F2"/>
            <w:vAlign w:val="center"/>
          </w:tcPr>
          <w:p w:rsidR="00C821BE" w:rsidRPr="002362E3" w:rsidRDefault="00C821BE" w:rsidP="00C821BE">
            <w:pPr>
              <w:spacing w:after="0" w:line="240" w:lineRule="auto"/>
              <w:jc w:val="center"/>
              <w:rPr>
                <w:rFonts w:ascii="Times New Roman" w:hAnsi="Times New Roman" w:cs="Times New Roman"/>
                <w:b/>
                <w:sz w:val="16"/>
                <w:szCs w:val="16"/>
                <w:lang w:val="pt-BR"/>
              </w:rPr>
            </w:pPr>
            <w:r w:rsidRPr="002362E3">
              <w:rPr>
                <w:rFonts w:ascii="Times New Roman" w:hAnsi="Times New Roman" w:cs="Times New Roman"/>
                <w:b/>
                <w:sz w:val="16"/>
                <w:szCs w:val="16"/>
                <w:lang w:val="pt-BR"/>
              </w:rPr>
              <w:t>Indicador de monitoramento</w:t>
            </w:r>
          </w:p>
        </w:tc>
        <w:tc>
          <w:tcPr>
            <w:tcW w:w="2254"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rsidR="00C821BE" w:rsidRPr="002362E3" w:rsidRDefault="00C821BE" w:rsidP="00C821BE">
            <w:pPr>
              <w:spacing w:after="0" w:line="240" w:lineRule="auto"/>
              <w:jc w:val="center"/>
              <w:rPr>
                <w:rFonts w:ascii="Times New Roman" w:hAnsi="Times New Roman" w:cs="Times New Roman"/>
                <w:b/>
                <w:sz w:val="16"/>
                <w:szCs w:val="16"/>
                <w:lang w:val="pt-BR"/>
              </w:rPr>
            </w:pPr>
            <w:r w:rsidRPr="002362E3">
              <w:rPr>
                <w:rFonts w:ascii="Times New Roman" w:hAnsi="Times New Roman" w:cs="Times New Roman"/>
                <w:b/>
                <w:bCs/>
                <w:spacing w:val="-3"/>
                <w:sz w:val="16"/>
                <w:szCs w:val="16"/>
                <w:lang w:val="pt-BR"/>
              </w:rPr>
              <w:t>Responsável (s)</w:t>
            </w:r>
          </w:p>
        </w:tc>
        <w:tc>
          <w:tcPr>
            <w:tcW w:w="1445" w:type="dxa"/>
            <w:vMerge w:val="restart"/>
            <w:tcBorders>
              <w:top w:val="single" w:sz="4" w:space="0" w:color="auto"/>
              <w:left w:val="single" w:sz="4" w:space="0" w:color="auto"/>
              <w:bottom w:val="single" w:sz="4" w:space="0" w:color="auto"/>
              <w:right w:val="single" w:sz="4" w:space="0" w:color="auto"/>
            </w:tcBorders>
            <w:shd w:val="clear" w:color="auto" w:fill="F2F2F2"/>
            <w:vAlign w:val="center"/>
          </w:tcPr>
          <w:p w:rsidR="00C821BE" w:rsidRPr="002362E3" w:rsidRDefault="00C821BE" w:rsidP="00C821BE">
            <w:pPr>
              <w:spacing w:after="0" w:line="240" w:lineRule="auto"/>
              <w:jc w:val="center"/>
              <w:rPr>
                <w:rFonts w:ascii="Times New Roman" w:hAnsi="Times New Roman" w:cs="Times New Roman"/>
                <w:b/>
                <w:sz w:val="16"/>
                <w:szCs w:val="16"/>
                <w:lang w:val="pt-BR"/>
              </w:rPr>
            </w:pPr>
            <w:r w:rsidRPr="002362E3">
              <w:rPr>
                <w:rFonts w:ascii="Times New Roman" w:hAnsi="Times New Roman" w:cs="Times New Roman"/>
                <w:b/>
                <w:bCs/>
                <w:spacing w:val="-3"/>
                <w:sz w:val="16"/>
                <w:szCs w:val="16"/>
                <w:lang w:val="pt-BR"/>
              </w:rPr>
              <w:t>Prazos / Período</w:t>
            </w:r>
          </w:p>
        </w:tc>
        <w:tc>
          <w:tcPr>
            <w:tcW w:w="1120" w:type="dxa"/>
            <w:vMerge w:val="restart"/>
            <w:tcBorders>
              <w:top w:val="single" w:sz="4" w:space="0" w:color="auto"/>
              <w:left w:val="single" w:sz="4" w:space="0" w:color="auto"/>
              <w:bottom w:val="single" w:sz="4" w:space="0" w:color="auto"/>
              <w:right w:val="single" w:sz="4" w:space="0" w:color="auto"/>
            </w:tcBorders>
            <w:shd w:val="clear" w:color="auto" w:fill="F2F2F2"/>
            <w:vAlign w:val="center"/>
          </w:tcPr>
          <w:p w:rsidR="00C821BE" w:rsidRPr="002362E3" w:rsidRDefault="00C821BE" w:rsidP="00C821BE">
            <w:pPr>
              <w:spacing w:after="0" w:line="240" w:lineRule="auto"/>
              <w:jc w:val="center"/>
              <w:rPr>
                <w:rFonts w:ascii="Times New Roman" w:hAnsi="Times New Roman" w:cs="Times New Roman"/>
                <w:b/>
                <w:sz w:val="16"/>
                <w:szCs w:val="16"/>
                <w:lang w:val="pt-BR"/>
              </w:rPr>
            </w:pPr>
            <w:r w:rsidRPr="002362E3">
              <w:rPr>
                <w:rFonts w:ascii="Times New Roman" w:hAnsi="Times New Roman" w:cs="Times New Roman"/>
                <w:b/>
                <w:bCs/>
                <w:spacing w:val="-3"/>
                <w:sz w:val="16"/>
                <w:szCs w:val="16"/>
                <w:lang w:val="pt-BR"/>
              </w:rPr>
              <w:t>Custo (FCFA)</w:t>
            </w:r>
          </w:p>
        </w:tc>
      </w:tr>
      <w:tr w:rsidR="00C821BE" w:rsidRPr="002362E3" w:rsidTr="00C821BE">
        <w:trPr>
          <w:trHeight w:val="70"/>
          <w:jc w:val="center"/>
        </w:trPr>
        <w:tc>
          <w:tcPr>
            <w:tcW w:w="1212" w:type="dxa"/>
            <w:vMerge/>
            <w:tcBorders>
              <w:top w:val="single" w:sz="4" w:space="0" w:color="auto"/>
              <w:left w:val="single" w:sz="4" w:space="0" w:color="auto"/>
              <w:bottom w:val="single" w:sz="4" w:space="0" w:color="auto"/>
              <w:right w:val="single" w:sz="4" w:space="0" w:color="auto"/>
            </w:tcBorders>
          </w:tcPr>
          <w:p w:rsidR="00C821BE" w:rsidRPr="002362E3" w:rsidRDefault="00C821BE" w:rsidP="00C821BE">
            <w:pPr>
              <w:spacing w:after="0" w:line="240" w:lineRule="auto"/>
              <w:jc w:val="both"/>
              <w:rPr>
                <w:rFonts w:ascii="Times New Roman" w:hAnsi="Times New Roman" w:cs="Times New Roman"/>
                <w:b/>
                <w:bCs/>
                <w:sz w:val="16"/>
                <w:szCs w:val="16"/>
                <w:lang w:val="pt-BR"/>
              </w:rPr>
            </w:pPr>
          </w:p>
        </w:tc>
        <w:tc>
          <w:tcPr>
            <w:tcW w:w="2079" w:type="dxa"/>
            <w:vMerge/>
            <w:tcBorders>
              <w:top w:val="single" w:sz="4" w:space="0" w:color="auto"/>
              <w:left w:val="single" w:sz="4" w:space="0" w:color="auto"/>
              <w:bottom w:val="single" w:sz="4" w:space="0" w:color="auto"/>
              <w:right w:val="single" w:sz="4" w:space="0" w:color="auto"/>
            </w:tcBorders>
          </w:tcPr>
          <w:p w:rsidR="00C821BE" w:rsidRPr="002362E3" w:rsidRDefault="00C821BE" w:rsidP="00C821BE">
            <w:pPr>
              <w:spacing w:after="0" w:line="240" w:lineRule="auto"/>
              <w:jc w:val="both"/>
              <w:rPr>
                <w:rFonts w:ascii="Times New Roman" w:hAnsi="Times New Roman" w:cs="Times New Roman"/>
                <w:b/>
                <w:sz w:val="16"/>
                <w:szCs w:val="16"/>
                <w:lang w:val="pt-BR"/>
              </w:rPr>
            </w:pPr>
          </w:p>
        </w:tc>
        <w:tc>
          <w:tcPr>
            <w:tcW w:w="4335" w:type="dxa"/>
            <w:vMerge/>
            <w:tcBorders>
              <w:top w:val="single" w:sz="4" w:space="0" w:color="auto"/>
              <w:left w:val="single" w:sz="4" w:space="0" w:color="auto"/>
              <w:bottom w:val="single" w:sz="4" w:space="0" w:color="auto"/>
              <w:right w:val="single" w:sz="4" w:space="0" w:color="auto"/>
            </w:tcBorders>
          </w:tcPr>
          <w:p w:rsidR="00C821BE" w:rsidRPr="002362E3" w:rsidRDefault="00C821BE" w:rsidP="00C821BE">
            <w:pPr>
              <w:spacing w:after="0" w:line="240" w:lineRule="auto"/>
              <w:jc w:val="both"/>
              <w:rPr>
                <w:rFonts w:ascii="Times New Roman" w:hAnsi="Times New Roman" w:cs="Times New Roman"/>
                <w:b/>
                <w:sz w:val="16"/>
                <w:szCs w:val="16"/>
                <w:lang w:val="pt-BR"/>
              </w:rPr>
            </w:pPr>
          </w:p>
        </w:tc>
        <w:tc>
          <w:tcPr>
            <w:tcW w:w="3568" w:type="dxa"/>
            <w:vMerge/>
            <w:tcBorders>
              <w:top w:val="single" w:sz="4" w:space="0" w:color="auto"/>
              <w:left w:val="single" w:sz="4" w:space="0" w:color="auto"/>
              <w:bottom w:val="single" w:sz="4" w:space="0" w:color="auto"/>
              <w:right w:val="single" w:sz="4" w:space="0" w:color="auto"/>
            </w:tcBorders>
          </w:tcPr>
          <w:p w:rsidR="00C821BE" w:rsidRPr="002362E3" w:rsidRDefault="00C821BE" w:rsidP="00C821BE">
            <w:pPr>
              <w:spacing w:after="0" w:line="240" w:lineRule="auto"/>
              <w:jc w:val="both"/>
              <w:rPr>
                <w:rFonts w:ascii="Times New Roman" w:hAnsi="Times New Roman" w:cs="Times New Roman"/>
                <w:b/>
                <w:sz w:val="16"/>
                <w:szCs w:val="16"/>
                <w:lang w:val="pt-BR"/>
              </w:rPr>
            </w:pPr>
          </w:p>
        </w:tc>
        <w:tc>
          <w:tcPr>
            <w:tcW w:w="1134"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rsidR="00C821BE" w:rsidRPr="002362E3" w:rsidRDefault="00C821BE" w:rsidP="00C821BE">
            <w:pPr>
              <w:spacing w:after="0" w:line="240" w:lineRule="auto"/>
              <w:jc w:val="center"/>
              <w:rPr>
                <w:rFonts w:ascii="Times New Roman" w:hAnsi="Times New Roman" w:cs="Times New Roman"/>
                <w:b/>
                <w:bCs/>
                <w:spacing w:val="-3"/>
                <w:sz w:val="16"/>
                <w:szCs w:val="16"/>
                <w:lang w:val="pt-BR"/>
              </w:rPr>
            </w:pPr>
            <w:r w:rsidRPr="002362E3">
              <w:rPr>
                <w:rFonts w:ascii="Times New Roman" w:hAnsi="Times New Roman" w:cs="Times New Roman"/>
                <w:b/>
                <w:bCs/>
                <w:spacing w:val="-3"/>
                <w:sz w:val="16"/>
                <w:szCs w:val="16"/>
                <w:lang w:val="pt-BR"/>
              </w:rPr>
              <w:t>Implementação</w:t>
            </w:r>
          </w:p>
        </w:tc>
        <w:tc>
          <w:tcPr>
            <w:tcW w:w="1120"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rsidR="00C821BE" w:rsidRPr="002362E3" w:rsidRDefault="00C821BE" w:rsidP="00C821BE">
            <w:pPr>
              <w:spacing w:after="0" w:line="240" w:lineRule="auto"/>
              <w:jc w:val="center"/>
              <w:rPr>
                <w:rFonts w:ascii="Times New Roman" w:hAnsi="Times New Roman" w:cs="Times New Roman"/>
                <w:b/>
                <w:bCs/>
                <w:spacing w:val="-3"/>
                <w:sz w:val="16"/>
                <w:szCs w:val="16"/>
                <w:lang w:val="pt-BR"/>
              </w:rPr>
            </w:pPr>
            <w:r w:rsidRPr="002362E3">
              <w:rPr>
                <w:rFonts w:ascii="Times New Roman" w:hAnsi="Times New Roman" w:cs="Times New Roman"/>
                <w:b/>
                <w:bCs/>
                <w:spacing w:val="-3"/>
                <w:sz w:val="16"/>
                <w:szCs w:val="16"/>
                <w:lang w:val="pt-BR"/>
              </w:rPr>
              <w:t>Monitoramento / Controle</w:t>
            </w:r>
          </w:p>
        </w:tc>
        <w:tc>
          <w:tcPr>
            <w:tcW w:w="1445" w:type="dxa"/>
            <w:vMerge/>
            <w:tcBorders>
              <w:top w:val="single" w:sz="4" w:space="0" w:color="auto"/>
              <w:left w:val="single" w:sz="4" w:space="0" w:color="auto"/>
              <w:bottom w:val="single" w:sz="4" w:space="0" w:color="auto"/>
              <w:right w:val="single" w:sz="4" w:space="0" w:color="auto"/>
            </w:tcBorders>
          </w:tcPr>
          <w:p w:rsidR="00C821BE" w:rsidRPr="002362E3" w:rsidRDefault="00C821BE" w:rsidP="00C821BE">
            <w:pPr>
              <w:spacing w:after="0" w:line="240" w:lineRule="auto"/>
              <w:jc w:val="both"/>
              <w:rPr>
                <w:rFonts w:ascii="Times New Roman" w:hAnsi="Times New Roman" w:cs="Times New Roman"/>
                <w:b/>
                <w:bCs/>
                <w:spacing w:val="-3"/>
                <w:sz w:val="16"/>
                <w:szCs w:val="16"/>
                <w:lang w:val="pt-BR"/>
              </w:rPr>
            </w:pPr>
          </w:p>
        </w:tc>
        <w:tc>
          <w:tcPr>
            <w:tcW w:w="1120" w:type="dxa"/>
            <w:vMerge/>
            <w:tcBorders>
              <w:top w:val="single" w:sz="4" w:space="0" w:color="auto"/>
              <w:left w:val="single" w:sz="4" w:space="0" w:color="auto"/>
              <w:bottom w:val="single" w:sz="4" w:space="0" w:color="auto"/>
              <w:right w:val="single" w:sz="4" w:space="0" w:color="auto"/>
            </w:tcBorders>
          </w:tcPr>
          <w:p w:rsidR="00C821BE" w:rsidRPr="002362E3" w:rsidRDefault="00C821BE" w:rsidP="00C821BE">
            <w:pPr>
              <w:spacing w:after="0" w:line="240" w:lineRule="auto"/>
              <w:jc w:val="both"/>
              <w:rPr>
                <w:rFonts w:ascii="Times New Roman" w:hAnsi="Times New Roman" w:cs="Times New Roman"/>
                <w:b/>
                <w:bCs/>
                <w:spacing w:val="-3"/>
                <w:sz w:val="16"/>
                <w:szCs w:val="16"/>
                <w:lang w:val="pt-BR"/>
              </w:rPr>
            </w:pPr>
          </w:p>
        </w:tc>
      </w:tr>
      <w:tr w:rsidR="00C821BE" w:rsidRPr="002362E3" w:rsidTr="00C821BE">
        <w:trPr>
          <w:trHeight w:val="70"/>
          <w:jc w:val="center"/>
        </w:trPr>
        <w:tc>
          <w:tcPr>
            <w:tcW w:w="1212"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C821BE" w:rsidRPr="002362E3" w:rsidRDefault="00C821BE" w:rsidP="00C821BE">
            <w:pPr>
              <w:spacing w:after="0" w:line="240" w:lineRule="auto"/>
              <w:jc w:val="center"/>
              <w:rPr>
                <w:rFonts w:ascii="Times New Roman" w:hAnsi="Times New Roman" w:cs="Times New Roman"/>
                <w:b/>
                <w:bCs/>
                <w:sz w:val="16"/>
                <w:szCs w:val="16"/>
                <w:lang w:val="pt-BR"/>
              </w:rPr>
            </w:pPr>
            <w:r w:rsidRPr="002362E3">
              <w:rPr>
                <w:rFonts w:ascii="Times New Roman" w:hAnsi="Times New Roman" w:cs="Times New Roman"/>
                <w:b/>
                <w:bCs/>
                <w:sz w:val="16"/>
                <w:szCs w:val="16"/>
                <w:lang w:val="pt-BR"/>
              </w:rPr>
              <w:t>Ar</w:t>
            </w:r>
          </w:p>
        </w:tc>
        <w:tc>
          <w:tcPr>
            <w:tcW w:w="2079" w:type="dxa"/>
            <w:tcBorders>
              <w:top w:val="single" w:sz="4" w:space="0" w:color="auto"/>
              <w:left w:val="single" w:sz="4" w:space="0" w:color="auto"/>
              <w:bottom w:val="single" w:sz="4" w:space="0" w:color="auto"/>
              <w:right w:val="single" w:sz="4" w:space="0" w:color="auto"/>
            </w:tcBorders>
            <w:vAlign w:val="center"/>
          </w:tcPr>
          <w:p w:rsidR="00C821BE" w:rsidRPr="002362E3" w:rsidRDefault="00C821BE" w:rsidP="00C821BE">
            <w:pPr>
              <w:spacing w:after="0" w:line="240" w:lineRule="auto"/>
              <w:jc w:val="both"/>
              <w:rPr>
                <w:rFonts w:ascii="Times New Roman" w:hAnsi="Times New Roman" w:cs="Times New Roman"/>
                <w:sz w:val="16"/>
                <w:szCs w:val="16"/>
                <w:lang w:val="pt-BR"/>
              </w:rPr>
            </w:pPr>
            <w:r w:rsidRPr="002362E3">
              <w:rPr>
                <w:rFonts w:ascii="Times New Roman" w:hAnsi="Times New Roman" w:cs="Times New Roman"/>
                <w:sz w:val="16"/>
                <w:szCs w:val="16"/>
                <w:lang w:val="pt-BR"/>
              </w:rPr>
              <w:t>Risco de emissões de poeira de vários tipos</w:t>
            </w:r>
          </w:p>
          <w:p w:rsidR="00C821BE" w:rsidRPr="002362E3" w:rsidRDefault="00C821BE" w:rsidP="00C821BE">
            <w:pPr>
              <w:spacing w:after="0" w:line="240" w:lineRule="auto"/>
              <w:jc w:val="both"/>
              <w:rPr>
                <w:rFonts w:ascii="Times New Roman" w:hAnsi="Times New Roman" w:cs="Times New Roman"/>
                <w:sz w:val="16"/>
                <w:szCs w:val="16"/>
                <w:lang w:val="pt-BR"/>
              </w:rPr>
            </w:pPr>
          </w:p>
          <w:p w:rsidR="00C821BE" w:rsidRPr="002362E3" w:rsidRDefault="00C821BE" w:rsidP="00C821BE">
            <w:pPr>
              <w:spacing w:after="0" w:line="240" w:lineRule="auto"/>
              <w:jc w:val="both"/>
              <w:rPr>
                <w:rFonts w:ascii="Times New Roman" w:hAnsi="Times New Roman" w:cs="Times New Roman"/>
                <w:sz w:val="16"/>
                <w:szCs w:val="16"/>
                <w:lang w:val="pt-BR"/>
              </w:rPr>
            </w:pPr>
            <w:r w:rsidRPr="002362E3">
              <w:rPr>
                <w:rFonts w:ascii="Times New Roman" w:hAnsi="Times New Roman" w:cs="Times New Roman"/>
                <w:sz w:val="16"/>
                <w:szCs w:val="16"/>
                <w:lang w:val="pt-BR"/>
              </w:rPr>
              <w:t>Risco de emissão de GEE</w:t>
            </w:r>
          </w:p>
          <w:p w:rsidR="00C821BE" w:rsidRPr="002362E3" w:rsidRDefault="00C821BE" w:rsidP="00C821BE">
            <w:pPr>
              <w:spacing w:after="0" w:line="240" w:lineRule="auto"/>
              <w:jc w:val="both"/>
              <w:rPr>
                <w:rFonts w:ascii="Times New Roman" w:hAnsi="Times New Roman" w:cs="Times New Roman"/>
                <w:sz w:val="16"/>
                <w:szCs w:val="16"/>
                <w:lang w:val="pt-BR"/>
              </w:rPr>
            </w:pPr>
          </w:p>
          <w:p w:rsidR="00C821BE" w:rsidRPr="002362E3" w:rsidRDefault="00C821BE" w:rsidP="00C821BE">
            <w:pPr>
              <w:spacing w:after="0" w:line="240" w:lineRule="auto"/>
              <w:jc w:val="both"/>
              <w:rPr>
                <w:rFonts w:ascii="Times New Roman" w:hAnsi="Times New Roman" w:cs="Times New Roman"/>
                <w:sz w:val="16"/>
                <w:szCs w:val="16"/>
                <w:lang w:val="pt-BR"/>
              </w:rPr>
            </w:pPr>
            <w:r w:rsidRPr="002362E3">
              <w:rPr>
                <w:rFonts w:ascii="Times New Roman" w:hAnsi="Times New Roman" w:cs="Times New Roman"/>
                <w:sz w:val="16"/>
                <w:szCs w:val="16"/>
                <w:lang w:val="pt-BR"/>
              </w:rPr>
              <w:t>Risco de liberação de uma mistura de partículas e gases, denominada fumaça de soldagem;</w:t>
            </w:r>
          </w:p>
        </w:tc>
        <w:tc>
          <w:tcPr>
            <w:tcW w:w="4335" w:type="dxa"/>
            <w:tcBorders>
              <w:top w:val="single" w:sz="4" w:space="0" w:color="auto"/>
              <w:left w:val="single" w:sz="4" w:space="0" w:color="auto"/>
              <w:bottom w:val="single" w:sz="4" w:space="0" w:color="auto"/>
              <w:right w:val="single" w:sz="4" w:space="0" w:color="auto"/>
            </w:tcBorders>
            <w:vAlign w:val="center"/>
          </w:tcPr>
          <w:p w:rsidR="00C821BE" w:rsidRPr="002362E3" w:rsidRDefault="00C821BE" w:rsidP="00C821BE">
            <w:pPr>
              <w:spacing w:after="0" w:line="240" w:lineRule="auto"/>
              <w:jc w:val="both"/>
              <w:rPr>
                <w:rFonts w:ascii="Times New Roman" w:hAnsi="Times New Roman" w:cs="Times New Roman"/>
                <w:sz w:val="16"/>
                <w:szCs w:val="16"/>
                <w:lang w:val="pt-BR"/>
              </w:rPr>
            </w:pPr>
            <w:r w:rsidRPr="002362E3">
              <w:rPr>
                <w:rFonts w:ascii="Times New Roman" w:hAnsi="Times New Roman" w:cs="Times New Roman"/>
                <w:sz w:val="16"/>
                <w:szCs w:val="16"/>
                <w:lang w:val="pt-BR"/>
              </w:rPr>
              <w:t>- Organizar campanhas de conscientização dos trabalhadores contra doenças respiratórias;</w:t>
            </w:r>
          </w:p>
          <w:p w:rsidR="00C821BE" w:rsidRPr="002362E3" w:rsidRDefault="00C821BE" w:rsidP="00C821BE">
            <w:pPr>
              <w:spacing w:after="0" w:line="240" w:lineRule="auto"/>
              <w:jc w:val="both"/>
              <w:rPr>
                <w:rFonts w:ascii="Times New Roman" w:hAnsi="Times New Roman" w:cs="Times New Roman"/>
                <w:sz w:val="16"/>
                <w:szCs w:val="16"/>
                <w:lang w:val="pt-BR"/>
              </w:rPr>
            </w:pPr>
            <w:r w:rsidRPr="002362E3">
              <w:rPr>
                <w:rFonts w:ascii="Times New Roman" w:hAnsi="Times New Roman" w:cs="Times New Roman"/>
                <w:sz w:val="16"/>
                <w:szCs w:val="16"/>
                <w:lang w:val="pt-BR"/>
              </w:rPr>
              <w:t>- Fornecer máscaras contra poeira aos trabalhadores;</w:t>
            </w:r>
          </w:p>
          <w:p w:rsidR="00C821BE" w:rsidRPr="002362E3" w:rsidRDefault="00C821BE" w:rsidP="00C821BE">
            <w:pPr>
              <w:spacing w:after="0" w:line="240" w:lineRule="auto"/>
              <w:jc w:val="both"/>
              <w:rPr>
                <w:rFonts w:ascii="Times New Roman" w:hAnsi="Times New Roman" w:cs="Times New Roman"/>
                <w:sz w:val="16"/>
                <w:szCs w:val="16"/>
                <w:lang w:val="pt-BR"/>
              </w:rPr>
            </w:pPr>
            <w:r w:rsidRPr="002362E3">
              <w:rPr>
                <w:rFonts w:ascii="Times New Roman" w:hAnsi="Times New Roman" w:cs="Times New Roman"/>
                <w:sz w:val="16"/>
                <w:szCs w:val="16"/>
                <w:lang w:val="pt-BR"/>
              </w:rPr>
              <w:t>- Cubra bem os caminhões de transporte com areia ou materiais empoeirados durante o transporte;</w:t>
            </w:r>
          </w:p>
          <w:p w:rsidR="00C821BE" w:rsidRPr="002362E3" w:rsidRDefault="00C821BE" w:rsidP="00C821BE">
            <w:pPr>
              <w:spacing w:after="0" w:line="240" w:lineRule="auto"/>
              <w:jc w:val="both"/>
              <w:rPr>
                <w:rFonts w:ascii="Times New Roman" w:hAnsi="Times New Roman" w:cs="Times New Roman"/>
                <w:sz w:val="16"/>
                <w:szCs w:val="16"/>
                <w:lang w:val="pt-BR"/>
              </w:rPr>
            </w:pPr>
            <w:r w:rsidRPr="002362E3">
              <w:rPr>
                <w:rFonts w:ascii="Times New Roman" w:hAnsi="Times New Roman" w:cs="Times New Roman"/>
                <w:sz w:val="16"/>
                <w:szCs w:val="16"/>
                <w:lang w:val="pt-BR"/>
              </w:rPr>
              <w:t>- Regar regularmente os locais, as estradas de acesso;</w:t>
            </w:r>
          </w:p>
          <w:p w:rsidR="00C821BE" w:rsidRPr="002362E3" w:rsidRDefault="00C821BE" w:rsidP="00C821BE">
            <w:pPr>
              <w:spacing w:after="0" w:line="240" w:lineRule="auto"/>
              <w:jc w:val="both"/>
              <w:rPr>
                <w:rFonts w:ascii="Times New Roman" w:hAnsi="Times New Roman" w:cs="Times New Roman"/>
                <w:sz w:val="16"/>
                <w:szCs w:val="16"/>
                <w:lang w:val="pt-BR"/>
              </w:rPr>
            </w:pPr>
            <w:r w:rsidRPr="002362E3">
              <w:rPr>
                <w:rFonts w:ascii="Times New Roman" w:hAnsi="Times New Roman" w:cs="Times New Roman"/>
                <w:sz w:val="16"/>
                <w:szCs w:val="16"/>
                <w:lang w:val="pt-BR"/>
              </w:rPr>
              <w:t>- Manutenção e armazenamento adequado de materiais friáveis ​​para minimizar a dispersão de poeira;</w:t>
            </w:r>
          </w:p>
          <w:p w:rsidR="00C821BE" w:rsidRPr="002362E3" w:rsidRDefault="00C821BE" w:rsidP="00C821BE">
            <w:pPr>
              <w:spacing w:after="0" w:line="240" w:lineRule="auto"/>
              <w:jc w:val="both"/>
              <w:rPr>
                <w:rFonts w:ascii="Times New Roman" w:hAnsi="Times New Roman" w:cs="Times New Roman"/>
                <w:sz w:val="16"/>
                <w:szCs w:val="16"/>
                <w:lang w:val="pt-BR"/>
              </w:rPr>
            </w:pPr>
            <w:r w:rsidRPr="002362E3">
              <w:rPr>
                <w:rFonts w:ascii="Times New Roman" w:hAnsi="Times New Roman" w:cs="Times New Roman"/>
                <w:sz w:val="16"/>
                <w:szCs w:val="16"/>
                <w:lang w:val="pt-BR"/>
              </w:rPr>
              <w:t>- Organizar bem o material escavado de fundações estruturais e outras;</w:t>
            </w:r>
          </w:p>
          <w:p w:rsidR="00C821BE" w:rsidRPr="002362E3" w:rsidRDefault="00C821BE" w:rsidP="00C821BE">
            <w:pPr>
              <w:spacing w:after="0" w:line="240" w:lineRule="auto"/>
              <w:jc w:val="both"/>
              <w:rPr>
                <w:rFonts w:ascii="Times New Roman" w:hAnsi="Times New Roman" w:cs="Times New Roman"/>
                <w:sz w:val="16"/>
                <w:szCs w:val="16"/>
                <w:lang w:val="pt-BR"/>
              </w:rPr>
            </w:pPr>
            <w:r w:rsidRPr="002362E3">
              <w:rPr>
                <w:rFonts w:ascii="Times New Roman" w:hAnsi="Times New Roman" w:cs="Times New Roman"/>
                <w:sz w:val="16"/>
                <w:szCs w:val="16"/>
                <w:lang w:val="pt-BR"/>
              </w:rPr>
              <w:t>- Estudo preliminar das vias de acesso ao local do reservatório por meio de escolha criteriosa de vias;</w:t>
            </w:r>
          </w:p>
          <w:p w:rsidR="00C821BE" w:rsidRPr="002362E3" w:rsidRDefault="00C821BE" w:rsidP="00C821BE">
            <w:pPr>
              <w:spacing w:after="0" w:line="240" w:lineRule="auto"/>
              <w:jc w:val="both"/>
              <w:rPr>
                <w:rFonts w:ascii="Times New Roman" w:hAnsi="Times New Roman" w:cs="Times New Roman"/>
                <w:sz w:val="16"/>
                <w:szCs w:val="16"/>
                <w:lang w:val="pt-BR"/>
              </w:rPr>
            </w:pPr>
            <w:r w:rsidRPr="002362E3">
              <w:rPr>
                <w:rFonts w:ascii="Times New Roman" w:hAnsi="Times New Roman" w:cs="Times New Roman"/>
                <w:sz w:val="16"/>
                <w:szCs w:val="16"/>
                <w:lang w:val="pt-BR"/>
              </w:rPr>
              <w:t>-Proteja poços e pontos de água muito expostos ao pó;</w:t>
            </w:r>
          </w:p>
          <w:p w:rsidR="00C821BE" w:rsidRPr="002362E3" w:rsidRDefault="00C821BE" w:rsidP="00C821BE">
            <w:pPr>
              <w:spacing w:after="0" w:line="240" w:lineRule="auto"/>
              <w:jc w:val="both"/>
              <w:rPr>
                <w:rFonts w:ascii="Times New Roman" w:hAnsi="Times New Roman" w:cs="Times New Roman"/>
                <w:sz w:val="16"/>
                <w:szCs w:val="16"/>
                <w:lang w:val="pt-BR"/>
              </w:rPr>
            </w:pPr>
            <w:r w:rsidRPr="002362E3">
              <w:rPr>
                <w:rFonts w:ascii="Times New Roman" w:hAnsi="Times New Roman" w:cs="Times New Roman"/>
                <w:sz w:val="16"/>
                <w:szCs w:val="16"/>
                <w:lang w:val="pt-BR"/>
              </w:rPr>
              <w:t>- Garantir o bom estado dos veículos pesados;</w:t>
            </w:r>
          </w:p>
          <w:p w:rsidR="00C821BE" w:rsidRPr="002362E3" w:rsidRDefault="00C821BE" w:rsidP="00C821BE">
            <w:pPr>
              <w:spacing w:after="0" w:line="240" w:lineRule="auto"/>
              <w:jc w:val="both"/>
              <w:rPr>
                <w:rFonts w:ascii="Times New Roman" w:hAnsi="Times New Roman" w:cs="Times New Roman"/>
                <w:sz w:val="16"/>
                <w:szCs w:val="16"/>
                <w:lang w:val="pt-BR"/>
              </w:rPr>
            </w:pPr>
            <w:r w:rsidRPr="002362E3">
              <w:rPr>
                <w:rFonts w:ascii="Times New Roman" w:hAnsi="Times New Roman" w:cs="Times New Roman"/>
                <w:sz w:val="16"/>
                <w:szCs w:val="16"/>
                <w:lang w:val="pt-BR"/>
              </w:rPr>
              <w:t>- Garantir inspeções técnicas de veículos;</w:t>
            </w:r>
          </w:p>
        </w:tc>
        <w:tc>
          <w:tcPr>
            <w:tcW w:w="3568" w:type="dxa"/>
            <w:tcBorders>
              <w:top w:val="single" w:sz="4" w:space="0" w:color="auto"/>
              <w:left w:val="single" w:sz="4" w:space="0" w:color="auto"/>
              <w:bottom w:val="single" w:sz="4" w:space="0" w:color="auto"/>
              <w:right w:val="single" w:sz="4" w:space="0" w:color="auto"/>
            </w:tcBorders>
            <w:vAlign w:val="center"/>
          </w:tcPr>
          <w:p w:rsidR="00C821BE" w:rsidRPr="002362E3" w:rsidRDefault="00C821BE" w:rsidP="00C821BE">
            <w:pPr>
              <w:spacing w:after="0" w:line="240" w:lineRule="auto"/>
              <w:jc w:val="both"/>
              <w:rPr>
                <w:rFonts w:ascii="Times New Roman" w:hAnsi="Times New Roman" w:cs="Times New Roman"/>
                <w:sz w:val="16"/>
                <w:szCs w:val="16"/>
                <w:lang w:val="pt-BR"/>
              </w:rPr>
            </w:pPr>
            <w:r w:rsidRPr="002362E3">
              <w:rPr>
                <w:rFonts w:ascii="Times New Roman" w:hAnsi="Times New Roman" w:cs="Times New Roman"/>
                <w:sz w:val="16"/>
                <w:szCs w:val="16"/>
                <w:lang w:val="pt-BR"/>
              </w:rPr>
              <w:t>- Número de campanhas organizadas;</w:t>
            </w:r>
          </w:p>
          <w:p w:rsidR="00C821BE" w:rsidRPr="002362E3" w:rsidRDefault="00C821BE" w:rsidP="00C821BE">
            <w:pPr>
              <w:spacing w:after="0" w:line="240" w:lineRule="auto"/>
              <w:jc w:val="both"/>
              <w:rPr>
                <w:rFonts w:ascii="Times New Roman" w:hAnsi="Times New Roman" w:cs="Times New Roman"/>
                <w:sz w:val="16"/>
                <w:szCs w:val="16"/>
                <w:lang w:val="pt-BR"/>
              </w:rPr>
            </w:pPr>
            <w:r w:rsidRPr="002362E3">
              <w:rPr>
                <w:rFonts w:ascii="Times New Roman" w:hAnsi="Times New Roman" w:cs="Times New Roman"/>
                <w:sz w:val="16"/>
                <w:szCs w:val="16"/>
                <w:lang w:val="pt-BR"/>
              </w:rPr>
              <w:t>- Plano de tráfego validado pela central de controle;</w:t>
            </w:r>
          </w:p>
          <w:p w:rsidR="00C821BE" w:rsidRPr="002362E3" w:rsidRDefault="00C821BE" w:rsidP="00C821BE">
            <w:pPr>
              <w:spacing w:after="0" w:line="240" w:lineRule="auto"/>
              <w:jc w:val="both"/>
              <w:rPr>
                <w:rFonts w:ascii="Times New Roman" w:hAnsi="Times New Roman" w:cs="Times New Roman"/>
                <w:sz w:val="16"/>
                <w:szCs w:val="16"/>
                <w:lang w:val="pt-BR"/>
              </w:rPr>
            </w:pPr>
            <w:r w:rsidRPr="002362E3">
              <w:rPr>
                <w:rFonts w:ascii="Times New Roman" w:hAnsi="Times New Roman" w:cs="Times New Roman"/>
                <w:sz w:val="16"/>
                <w:szCs w:val="16"/>
                <w:lang w:val="pt-BR"/>
              </w:rPr>
              <w:t>- Quantidade de caminhões cobertos;</w:t>
            </w:r>
          </w:p>
          <w:p w:rsidR="00C821BE" w:rsidRPr="002362E3" w:rsidRDefault="00C821BE" w:rsidP="00C821BE">
            <w:pPr>
              <w:spacing w:after="0" w:line="240" w:lineRule="auto"/>
              <w:jc w:val="both"/>
              <w:rPr>
                <w:rFonts w:ascii="Times New Roman" w:hAnsi="Times New Roman" w:cs="Times New Roman"/>
                <w:sz w:val="16"/>
                <w:szCs w:val="16"/>
                <w:lang w:val="pt-BR"/>
              </w:rPr>
            </w:pPr>
            <w:r w:rsidRPr="002362E3">
              <w:rPr>
                <w:rFonts w:ascii="Times New Roman" w:hAnsi="Times New Roman" w:cs="Times New Roman"/>
                <w:sz w:val="16"/>
                <w:szCs w:val="16"/>
                <w:lang w:val="pt-BR"/>
              </w:rPr>
              <w:t>-Área do local com água;</w:t>
            </w:r>
          </w:p>
          <w:p w:rsidR="00C821BE" w:rsidRPr="002362E3" w:rsidRDefault="00C821BE" w:rsidP="00C821BE">
            <w:pPr>
              <w:spacing w:after="0" w:line="240" w:lineRule="auto"/>
              <w:jc w:val="both"/>
              <w:rPr>
                <w:rFonts w:ascii="Times New Roman" w:hAnsi="Times New Roman" w:cs="Times New Roman"/>
                <w:sz w:val="16"/>
                <w:szCs w:val="16"/>
                <w:lang w:val="pt-BR"/>
              </w:rPr>
            </w:pPr>
            <w:r w:rsidRPr="002362E3">
              <w:rPr>
                <w:rFonts w:ascii="Times New Roman" w:hAnsi="Times New Roman" w:cs="Times New Roman"/>
                <w:sz w:val="16"/>
                <w:szCs w:val="16"/>
                <w:lang w:val="pt-BR"/>
              </w:rPr>
              <w:t>-Presença de sistema de estacas de escavação;</w:t>
            </w:r>
          </w:p>
          <w:p w:rsidR="00C821BE" w:rsidRPr="002362E3" w:rsidRDefault="00C821BE" w:rsidP="00C821BE">
            <w:pPr>
              <w:spacing w:after="0" w:line="240" w:lineRule="auto"/>
              <w:jc w:val="both"/>
              <w:rPr>
                <w:rFonts w:ascii="Times New Roman" w:hAnsi="Times New Roman" w:cs="Times New Roman"/>
                <w:sz w:val="16"/>
                <w:szCs w:val="16"/>
                <w:lang w:val="pt-BR"/>
              </w:rPr>
            </w:pPr>
            <w:r w:rsidRPr="002362E3">
              <w:rPr>
                <w:rFonts w:ascii="Times New Roman" w:hAnsi="Times New Roman" w:cs="Times New Roman"/>
                <w:sz w:val="16"/>
                <w:szCs w:val="16"/>
                <w:lang w:val="pt-BR"/>
              </w:rPr>
              <w:t>-O sistema de armazenamento de materiais da empresa é validado pelo escritório de controle</w:t>
            </w:r>
          </w:p>
          <w:p w:rsidR="00C821BE" w:rsidRPr="002362E3" w:rsidRDefault="00C821BE" w:rsidP="00C821BE">
            <w:pPr>
              <w:spacing w:after="0" w:line="240" w:lineRule="auto"/>
              <w:jc w:val="both"/>
              <w:rPr>
                <w:rFonts w:ascii="Times New Roman" w:hAnsi="Times New Roman" w:cs="Times New Roman"/>
                <w:sz w:val="16"/>
                <w:szCs w:val="16"/>
                <w:lang w:val="pt-BR"/>
              </w:rPr>
            </w:pPr>
            <w:r w:rsidRPr="002362E3">
              <w:rPr>
                <w:rFonts w:ascii="Times New Roman" w:hAnsi="Times New Roman" w:cs="Times New Roman"/>
                <w:sz w:val="16"/>
                <w:szCs w:val="16"/>
                <w:lang w:val="pt-BR"/>
              </w:rPr>
              <w:t>- Número de reclamações de bairro registradas;</w:t>
            </w:r>
          </w:p>
          <w:p w:rsidR="00C821BE" w:rsidRPr="002362E3" w:rsidRDefault="00C821BE" w:rsidP="00C821BE">
            <w:pPr>
              <w:spacing w:after="0" w:line="240" w:lineRule="auto"/>
              <w:jc w:val="both"/>
              <w:rPr>
                <w:rFonts w:ascii="Times New Roman" w:hAnsi="Times New Roman" w:cs="Times New Roman"/>
                <w:sz w:val="16"/>
                <w:szCs w:val="16"/>
                <w:lang w:val="pt-BR"/>
              </w:rPr>
            </w:pPr>
            <w:r w:rsidRPr="002362E3">
              <w:rPr>
                <w:rFonts w:ascii="Times New Roman" w:hAnsi="Times New Roman" w:cs="Times New Roman"/>
                <w:sz w:val="16"/>
                <w:szCs w:val="16"/>
                <w:lang w:val="pt-BR"/>
              </w:rPr>
              <w:t>- Número de poços e pontos de água protegidos;</w:t>
            </w:r>
          </w:p>
          <w:p w:rsidR="00C821BE" w:rsidRPr="002362E3" w:rsidRDefault="00C821BE" w:rsidP="00C821BE">
            <w:pPr>
              <w:spacing w:after="0" w:line="240" w:lineRule="auto"/>
              <w:jc w:val="both"/>
              <w:rPr>
                <w:rFonts w:ascii="Times New Roman" w:hAnsi="Times New Roman" w:cs="Times New Roman"/>
                <w:sz w:val="16"/>
                <w:szCs w:val="16"/>
                <w:lang w:val="pt-BR"/>
              </w:rPr>
            </w:pPr>
            <w:r w:rsidRPr="002362E3">
              <w:rPr>
                <w:rFonts w:ascii="Times New Roman" w:hAnsi="Times New Roman" w:cs="Times New Roman"/>
                <w:sz w:val="16"/>
                <w:szCs w:val="16"/>
                <w:lang w:val="pt-BR"/>
              </w:rPr>
              <w:t>-Atestação de conformidade do veículo;</w:t>
            </w:r>
          </w:p>
        </w:tc>
        <w:tc>
          <w:tcPr>
            <w:tcW w:w="1134"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C821BE" w:rsidRPr="002362E3" w:rsidRDefault="00C821BE" w:rsidP="00C821BE">
            <w:pPr>
              <w:spacing w:after="0" w:line="240" w:lineRule="auto"/>
              <w:jc w:val="both"/>
              <w:rPr>
                <w:rFonts w:ascii="Times New Roman" w:hAnsi="Times New Roman" w:cs="Times New Roman"/>
                <w:b/>
                <w:sz w:val="16"/>
                <w:szCs w:val="16"/>
                <w:lang w:val="pt-BR"/>
              </w:rPr>
            </w:pPr>
            <w:r w:rsidRPr="002362E3">
              <w:rPr>
                <w:rFonts w:ascii="Times New Roman" w:hAnsi="Times New Roman" w:cs="Times New Roman"/>
                <w:b/>
                <w:sz w:val="16"/>
                <w:szCs w:val="16"/>
                <w:lang w:val="pt-BR"/>
              </w:rPr>
              <w:t>O negócio</w:t>
            </w:r>
          </w:p>
        </w:tc>
        <w:tc>
          <w:tcPr>
            <w:tcW w:w="1120"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C821BE" w:rsidRPr="002362E3" w:rsidRDefault="00C821BE" w:rsidP="00C821BE">
            <w:pPr>
              <w:spacing w:after="0" w:line="240" w:lineRule="auto"/>
              <w:jc w:val="both"/>
              <w:rPr>
                <w:rFonts w:ascii="Times New Roman" w:hAnsi="Times New Roman" w:cs="Times New Roman"/>
                <w:b/>
                <w:sz w:val="16"/>
                <w:szCs w:val="16"/>
                <w:lang w:val="pt-BR"/>
              </w:rPr>
            </w:pPr>
            <w:r w:rsidRPr="002362E3">
              <w:rPr>
                <w:rFonts w:ascii="Times New Roman" w:hAnsi="Times New Roman" w:cs="Times New Roman"/>
                <w:b/>
                <w:sz w:val="16"/>
                <w:szCs w:val="16"/>
                <w:lang w:val="pt-BR"/>
              </w:rPr>
              <w:t>Comitê de Monitoramento</w:t>
            </w:r>
          </w:p>
          <w:p w:rsidR="00C821BE" w:rsidRPr="002362E3" w:rsidRDefault="00C821BE" w:rsidP="00C821BE">
            <w:pPr>
              <w:spacing w:after="0" w:line="240" w:lineRule="auto"/>
              <w:jc w:val="both"/>
              <w:rPr>
                <w:rFonts w:ascii="Times New Roman" w:hAnsi="Times New Roman" w:cs="Times New Roman"/>
                <w:b/>
                <w:sz w:val="16"/>
                <w:szCs w:val="16"/>
                <w:lang w:val="pt-BR"/>
              </w:rPr>
            </w:pPr>
          </w:p>
          <w:p w:rsidR="00C821BE" w:rsidRPr="002362E3" w:rsidRDefault="00C821BE" w:rsidP="00C821BE">
            <w:pPr>
              <w:spacing w:after="0" w:line="240" w:lineRule="auto"/>
              <w:jc w:val="both"/>
              <w:rPr>
                <w:rFonts w:ascii="Times New Roman" w:hAnsi="Times New Roman" w:cs="Times New Roman"/>
                <w:b/>
                <w:sz w:val="16"/>
                <w:szCs w:val="16"/>
                <w:lang w:val="pt-BR"/>
              </w:rPr>
            </w:pPr>
            <w:r w:rsidRPr="002362E3">
              <w:rPr>
                <w:rFonts w:ascii="Times New Roman" w:hAnsi="Times New Roman" w:cs="Times New Roman"/>
                <w:b/>
                <w:sz w:val="16"/>
                <w:szCs w:val="16"/>
                <w:lang w:val="pt-BR"/>
              </w:rPr>
              <w:t>PUASEE-FA</w:t>
            </w:r>
          </w:p>
        </w:tc>
        <w:tc>
          <w:tcPr>
            <w:tcW w:w="1445" w:type="dxa"/>
            <w:tcBorders>
              <w:top w:val="single" w:sz="4" w:space="0" w:color="auto"/>
              <w:left w:val="single" w:sz="4" w:space="0" w:color="auto"/>
              <w:bottom w:val="single" w:sz="4" w:space="0" w:color="auto"/>
              <w:right w:val="single" w:sz="4" w:space="0" w:color="auto"/>
            </w:tcBorders>
            <w:vAlign w:val="center"/>
          </w:tcPr>
          <w:p w:rsidR="00C821BE" w:rsidRPr="002362E3" w:rsidRDefault="00C821BE" w:rsidP="00C821BE">
            <w:pPr>
              <w:spacing w:after="0" w:line="240" w:lineRule="auto"/>
              <w:jc w:val="both"/>
              <w:rPr>
                <w:rFonts w:ascii="Times New Roman" w:hAnsi="Times New Roman" w:cs="Times New Roman"/>
                <w:sz w:val="16"/>
                <w:szCs w:val="16"/>
                <w:lang w:val="pt-BR"/>
              </w:rPr>
            </w:pPr>
            <w:r w:rsidRPr="002362E3">
              <w:rPr>
                <w:rFonts w:ascii="Times New Roman" w:hAnsi="Times New Roman" w:cs="Times New Roman"/>
                <w:sz w:val="16"/>
                <w:szCs w:val="16"/>
                <w:lang w:val="pt-BR"/>
              </w:rPr>
              <w:t>Durante a construção / Trimestral</w:t>
            </w:r>
          </w:p>
        </w:tc>
        <w:tc>
          <w:tcPr>
            <w:tcW w:w="112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C821BE" w:rsidRPr="002362E3" w:rsidRDefault="00C821BE" w:rsidP="00C821BE">
            <w:pPr>
              <w:spacing w:after="0" w:line="240" w:lineRule="auto"/>
              <w:jc w:val="both"/>
              <w:rPr>
                <w:rFonts w:ascii="Times New Roman" w:hAnsi="Times New Roman" w:cs="Times New Roman"/>
                <w:b/>
                <w:sz w:val="16"/>
                <w:szCs w:val="16"/>
                <w:lang w:val="pt-BR"/>
              </w:rPr>
            </w:pPr>
            <w:r w:rsidRPr="002362E3">
              <w:rPr>
                <w:rFonts w:ascii="Times New Roman" w:hAnsi="Times New Roman" w:cs="Times New Roman"/>
                <w:b/>
                <w:sz w:val="16"/>
                <w:szCs w:val="16"/>
                <w:lang w:val="pt-BR"/>
              </w:rPr>
              <w:t>3.500.000</w:t>
            </w:r>
          </w:p>
        </w:tc>
      </w:tr>
      <w:tr w:rsidR="00C821BE" w:rsidRPr="002362E3" w:rsidTr="00C821BE">
        <w:trPr>
          <w:trHeight w:val="446"/>
          <w:jc w:val="center"/>
        </w:trPr>
        <w:tc>
          <w:tcPr>
            <w:tcW w:w="1212"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C821BE" w:rsidRPr="002362E3" w:rsidRDefault="00C821BE" w:rsidP="00C821BE">
            <w:pPr>
              <w:spacing w:after="0" w:line="240" w:lineRule="auto"/>
              <w:jc w:val="both"/>
              <w:rPr>
                <w:rFonts w:ascii="Times New Roman" w:hAnsi="Times New Roman" w:cs="Times New Roman"/>
                <w:b/>
                <w:bCs/>
                <w:sz w:val="16"/>
                <w:szCs w:val="16"/>
                <w:lang w:val="pt-BR"/>
              </w:rPr>
            </w:pPr>
            <w:r w:rsidRPr="002362E3">
              <w:rPr>
                <w:rFonts w:ascii="Times New Roman" w:hAnsi="Times New Roman" w:cs="Times New Roman"/>
                <w:b/>
                <w:bCs/>
                <w:sz w:val="16"/>
                <w:szCs w:val="16"/>
                <w:lang w:val="pt-BR"/>
              </w:rPr>
              <w:lastRenderedPageBreak/>
              <w:t>Solo e geologia</w:t>
            </w:r>
            <w:r w:rsidRPr="002362E3">
              <w:rPr>
                <w:rFonts w:ascii="Times New Roman" w:hAnsi="Times New Roman" w:cs="Times New Roman"/>
                <w:b/>
                <w:sz w:val="16"/>
                <w:szCs w:val="16"/>
                <w:lang w:val="pt-BR"/>
              </w:rPr>
              <w:t xml:space="preserve"> </w:t>
            </w:r>
          </w:p>
        </w:tc>
        <w:tc>
          <w:tcPr>
            <w:tcW w:w="2079" w:type="dxa"/>
            <w:tcBorders>
              <w:top w:val="single" w:sz="4" w:space="0" w:color="auto"/>
              <w:left w:val="single" w:sz="4" w:space="0" w:color="auto"/>
              <w:bottom w:val="single" w:sz="4" w:space="0" w:color="auto"/>
              <w:right w:val="single" w:sz="4" w:space="0" w:color="auto"/>
            </w:tcBorders>
            <w:vAlign w:val="center"/>
          </w:tcPr>
          <w:p w:rsidR="00C821BE" w:rsidRPr="002362E3" w:rsidRDefault="00C821BE" w:rsidP="00C821BE">
            <w:pPr>
              <w:spacing w:after="0" w:line="240" w:lineRule="auto"/>
              <w:jc w:val="both"/>
              <w:rPr>
                <w:rFonts w:ascii="Times New Roman" w:hAnsi="Times New Roman" w:cs="Times New Roman"/>
                <w:sz w:val="16"/>
                <w:szCs w:val="16"/>
                <w:lang w:val="pt-BR"/>
              </w:rPr>
            </w:pPr>
            <w:r w:rsidRPr="002362E3">
              <w:rPr>
                <w:rFonts w:ascii="Times New Roman" w:hAnsi="Times New Roman" w:cs="Times New Roman"/>
                <w:sz w:val="16"/>
                <w:szCs w:val="16"/>
                <w:lang w:val="pt-BR"/>
              </w:rPr>
              <w:t>Modificação e enfraquecimento da estrutura e textura do solo e subsolos</w:t>
            </w:r>
          </w:p>
          <w:p w:rsidR="00C821BE" w:rsidRPr="002362E3" w:rsidRDefault="00C821BE" w:rsidP="00C821BE">
            <w:pPr>
              <w:spacing w:after="0" w:line="240" w:lineRule="auto"/>
              <w:jc w:val="both"/>
              <w:rPr>
                <w:rFonts w:ascii="Times New Roman" w:hAnsi="Times New Roman" w:cs="Times New Roman"/>
                <w:sz w:val="16"/>
                <w:szCs w:val="16"/>
                <w:lang w:val="pt-BR"/>
              </w:rPr>
            </w:pPr>
          </w:p>
          <w:p w:rsidR="00C821BE" w:rsidRPr="002362E3" w:rsidRDefault="00C821BE" w:rsidP="00C821BE">
            <w:pPr>
              <w:spacing w:after="0" w:line="240" w:lineRule="auto"/>
              <w:jc w:val="both"/>
              <w:rPr>
                <w:rFonts w:ascii="Times New Roman" w:hAnsi="Times New Roman" w:cs="Times New Roman"/>
                <w:sz w:val="16"/>
                <w:szCs w:val="16"/>
                <w:lang w:val="pt-BR"/>
              </w:rPr>
            </w:pPr>
            <w:r w:rsidRPr="002362E3">
              <w:rPr>
                <w:rFonts w:ascii="Times New Roman" w:hAnsi="Times New Roman" w:cs="Times New Roman"/>
                <w:sz w:val="16"/>
                <w:szCs w:val="16"/>
                <w:lang w:val="pt-BR"/>
              </w:rPr>
              <w:t>Risco de poluição do solo por derramamento acidental de poluentes (solvente, tinta, bateria descarregada, sacos de cimento, pedaços de madeira etc.)</w:t>
            </w:r>
          </w:p>
          <w:p w:rsidR="00C821BE" w:rsidRPr="002362E3" w:rsidRDefault="00C821BE" w:rsidP="00C821BE">
            <w:pPr>
              <w:spacing w:after="0" w:line="240" w:lineRule="auto"/>
              <w:jc w:val="both"/>
              <w:rPr>
                <w:rFonts w:ascii="Times New Roman" w:hAnsi="Times New Roman" w:cs="Times New Roman"/>
                <w:sz w:val="16"/>
                <w:szCs w:val="16"/>
                <w:lang w:val="pt-BR"/>
              </w:rPr>
            </w:pPr>
            <w:r w:rsidRPr="002362E3">
              <w:rPr>
                <w:rFonts w:ascii="Times New Roman" w:hAnsi="Times New Roman" w:cs="Times New Roman"/>
                <w:sz w:val="16"/>
                <w:szCs w:val="16"/>
                <w:lang w:val="pt-BR"/>
              </w:rPr>
              <w:t>Existe o risco de poluição acidental do solo devido a possíveis vazamentos de combustível ou lubrificante.</w:t>
            </w:r>
          </w:p>
        </w:tc>
        <w:tc>
          <w:tcPr>
            <w:tcW w:w="4335" w:type="dxa"/>
            <w:tcBorders>
              <w:top w:val="single" w:sz="4" w:space="0" w:color="auto"/>
              <w:left w:val="single" w:sz="4" w:space="0" w:color="auto"/>
              <w:bottom w:val="single" w:sz="4" w:space="0" w:color="auto"/>
              <w:right w:val="single" w:sz="4" w:space="0" w:color="auto"/>
            </w:tcBorders>
            <w:vAlign w:val="center"/>
          </w:tcPr>
          <w:p w:rsidR="00C821BE" w:rsidRPr="002362E3" w:rsidRDefault="00C821BE" w:rsidP="00C821BE">
            <w:pPr>
              <w:spacing w:after="0" w:line="240" w:lineRule="auto"/>
              <w:jc w:val="both"/>
              <w:rPr>
                <w:rFonts w:ascii="Times New Roman" w:hAnsi="Times New Roman" w:cs="Times New Roman"/>
                <w:sz w:val="16"/>
                <w:szCs w:val="16"/>
                <w:lang w:val="pt-BR"/>
              </w:rPr>
            </w:pPr>
            <w:r w:rsidRPr="002362E3">
              <w:rPr>
                <w:rFonts w:ascii="Times New Roman" w:hAnsi="Times New Roman" w:cs="Times New Roman"/>
                <w:sz w:val="16"/>
                <w:szCs w:val="16"/>
                <w:lang w:val="pt-BR"/>
              </w:rPr>
              <w:t>-Minimize a compactação do solo;</w:t>
            </w:r>
          </w:p>
          <w:p w:rsidR="00C821BE" w:rsidRPr="002362E3" w:rsidRDefault="00C821BE" w:rsidP="00C821BE">
            <w:pPr>
              <w:spacing w:after="0" w:line="240" w:lineRule="auto"/>
              <w:jc w:val="both"/>
              <w:rPr>
                <w:rFonts w:ascii="Times New Roman" w:hAnsi="Times New Roman" w:cs="Times New Roman"/>
                <w:sz w:val="16"/>
                <w:szCs w:val="16"/>
                <w:lang w:val="pt-BR"/>
              </w:rPr>
            </w:pPr>
            <w:r w:rsidRPr="002362E3">
              <w:rPr>
                <w:rFonts w:ascii="Times New Roman" w:hAnsi="Times New Roman" w:cs="Times New Roman"/>
                <w:sz w:val="16"/>
                <w:szCs w:val="16"/>
                <w:lang w:val="pt-BR"/>
              </w:rPr>
              <w:t>- Assegurar que as bordas dos reservatórios sejam bem aterradas para evitar fenômenos de subsidência e erosão;</w:t>
            </w:r>
          </w:p>
          <w:p w:rsidR="00C821BE" w:rsidRPr="002362E3" w:rsidRDefault="00C821BE" w:rsidP="00C821BE">
            <w:pPr>
              <w:spacing w:after="0" w:line="240" w:lineRule="auto"/>
              <w:jc w:val="both"/>
              <w:rPr>
                <w:rFonts w:ascii="Times New Roman" w:hAnsi="Times New Roman" w:cs="Times New Roman"/>
                <w:sz w:val="16"/>
                <w:szCs w:val="16"/>
                <w:lang w:val="pt-BR"/>
              </w:rPr>
            </w:pPr>
            <w:r w:rsidRPr="002362E3">
              <w:rPr>
                <w:rFonts w:ascii="Times New Roman" w:hAnsi="Times New Roman" w:cs="Times New Roman"/>
                <w:sz w:val="16"/>
                <w:szCs w:val="16"/>
                <w:lang w:val="pt-BR"/>
              </w:rPr>
              <w:t>- Armazenar todos os materiais poluentes (solvente, tinta, bateria descarregada, etc.) em tanques de retenção em uma sala bem vedada;</w:t>
            </w:r>
          </w:p>
          <w:p w:rsidR="00C821BE" w:rsidRPr="002362E3" w:rsidRDefault="00C821BE" w:rsidP="00C821BE">
            <w:pPr>
              <w:spacing w:after="0" w:line="240" w:lineRule="auto"/>
              <w:jc w:val="both"/>
              <w:rPr>
                <w:rFonts w:ascii="Times New Roman" w:hAnsi="Times New Roman" w:cs="Times New Roman"/>
                <w:sz w:val="16"/>
                <w:szCs w:val="16"/>
                <w:lang w:val="pt-BR"/>
              </w:rPr>
            </w:pPr>
            <w:r w:rsidRPr="002362E3">
              <w:rPr>
                <w:rFonts w:ascii="Times New Roman" w:hAnsi="Times New Roman" w:cs="Times New Roman"/>
                <w:sz w:val="16"/>
                <w:szCs w:val="16"/>
                <w:lang w:val="pt-BR"/>
              </w:rPr>
              <w:t>- Estabelecer um sistema de gestão de resíduos (triagem, coleta, transporte e descarte)</w:t>
            </w:r>
          </w:p>
          <w:p w:rsidR="00C821BE" w:rsidRPr="002362E3" w:rsidRDefault="00C821BE" w:rsidP="00C821BE">
            <w:pPr>
              <w:spacing w:after="0" w:line="240" w:lineRule="auto"/>
              <w:jc w:val="both"/>
              <w:rPr>
                <w:rFonts w:ascii="Times New Roman" w:hAnsi="Times New Roman" w:cs="Times New Roman"/>
                <w:sz w:val="16"/>
                <w:szCs w:val="16"/>
                <w:lang w:val="pt-BR"/>
              </w:rPr>
            </w:pPr>
            <w:r w:rsidRPr="002362E3">
              <w:rPr>
                <w:rFonts w:ascii="Times New Roman" w:hAnsi="Times New Roman" w:cs="Times New Roman"/>
                <w:sz w:val="16"/>
                <w:szCs w:val="16"/>
                <w:lang w:val="pt-BR"/>
              </w:rPr>
              <w:t>- Estabelecer um sistema de gerenciamento de óleo residual (coleta, transporte e descarte)</w:t>
            </w:r>
          </w:p>
          <w:p w:rsidR="00C821BE" w:rsidRPr="002362E3" w:rsidRDefault="00C821BE" w:rsidP="00C821BE">
            <w:pPr>
              <w:spacing w:after="0" w:line="240" w:lineRule="auto"/>
              <w:jc w:val="both"/>
              <w:rPr>
                <w:rFonts w:ascii="Times New Roman" w:hAnsi="Times New Roman" w:cs="Times New Roman"/>
                <w:sz w:val="16"/>
                <w:szCs w:val="16"/>
                <w:lang w:val="pt-BR"/>
              </w:rPr>
            </w:pPr>
            <w:r w:rsidRPr="002362E3">
              <w:rPr>
                <w:rFonts w:ascii="Times New Roman" w:hAnsi="Times New Roman" w:cs="Times New Roman"/>
                <w:sz w:val="16"/>
                <w:szCs w:val="16"/>
                <w:lang w:val="pt-BR"/>
              </w:rPr>
              <w:t>- Assinar memorando de entendimento com empresa e prestadores de serviço responsáveis ​​pela evacuação e tratamento;</w:t>
            </w:r>
          </w:p>
          <w:p w:rsidR="00C821BE" w:rsidRPr="002362E3" w:rsidRDefault="00C821BE" w:rsidP="00C821BE">
            <w:pPr>
              <w:spacing w:after="0" w:line="240" w:lineRule="auto"/>
              <w:jc w:val="both"/>
              <w:rPr>
                <w:rFonts w:ascii="Times New Roman" w:hAnsi="Times New Roman" w:cs="Times New Roman"/>
                <w:sz w:val="16"/>
                <w:szCs w:val="16"/>
                <w:lang w:val="pt-BR"/>
              </w:rPr>
            </w:pPr>
            <w:r w:rsidRPr="002362E3">
              <w:rPr>
                <w:rFonts w:ascii="Times New Roman" w:hAnsi="Times New Roman" w:cs="Times New Roman"/>
                <w:sz w:val="16"/>
                <w:szCs w:val="16"/>
                <w:lang w:val="pt-BR"/>
              </w:rPr>
              <w:t xml:space="preserve">- Obtenha combustível ou lubrificante em estações de serviço, como canteiros de obras (Bor, Safim, Antula) nas proximidades da cidade; </w:t>
            </w:r>
          </w:p>
          <w:p w:rsidR="00C821BE" w:rsidRPr="002362E3" w:rsidRDefault="00C821BE" w:rsidP="00C821BE">
            <w:pPr>
              <w:spacing w:after="0" w:line="240" w:lineRule="auto"/>
              <w:jc w:val="both"/>
              <w:rPr>
                <w:rFonts w:ascii="Times New Roman" w:hAnsi="Times New Roman" w:cs="Times New Roman"/>
                <w:sz w:val="16"/>
                <w:szCs w:val="16"/>
                <w:lang w:val="pt-BR"/>
              </w:rPr>
            </w:pPr>
            <w:r w:rsidRPr="002362E3">
              <w:rPr>
                <w:rFonts w:ascii="Times New Roman" w:hAnsi="Times New Roman" w:cs="Times New Roman"/>
                <w:sz w:val="16"/>
                <w:szCs w:val="16"/>
                <w:lang w:val="pt-BR"/>
              </w:rPr>
              <w:t>- Fornece drenagem adequada para escoamento.</w:t>
            </w:r>
          </w:p>
        </w:tc>
        <w:tc>
          <w:tcPr>
            <w:tcW w:w="3568" w:type="dxa"/>
            <w:tcBorders>
              <w:top w:val="single" w:sz="4" w:space="0" w:color="auto"/>
              <w:left w:val="single" w:sz="4" w:space="0" w:color="auto"/>
              <w:bottom w:val="single" w:sz="4" w:space="0" w:color="auto"/>
              <w:right w:val="single" w:sz="4" w:space="0" w:color="auto"/>
            </w:tcBorders>
            <w:vAlign w:val="center"/>
          </w:tcPr>
          <w:p w:rsidR="00C821BE" w:rsidRPr="002362E3" w:rsidRDefault="00C821BE" w:rsidP="00C821BE">
            <w:pPr>
              <w:spacing w:after="0" w:line="240" w:lineRule="auto"/>
              <w:jc w:val="both"/>
              <w:rPr>
                <w:rFonts w:ascii="Times New Roman" w:hAnsi="Times New Roman" w:cs="Times New Roman"/>
                <w:sz w:val="16"/>
                <w:szCs w:val="16"/>
                <w:lang w:val="pt-BR"/>
              </w:rPr>
            </w:pPr>
            <w:r w:rsidRPr="002362E3">
              <w:rPr>
                <w:rFonts w:ascii="Times New Roman" w:hAnsi="Times New Roman" w:cs="Times New Roman"/>
                <w:sz w:val="16"/>
                <w:szCs w:val="16"/>
                <w:lang w:val="pt-BR"/>
              </w:rPr>
              <w:t>- Sem presença de subsidência ou erosão nos locais;</w:t>
            </w:r>
          </w:p>
          <w:p w:rsidR="00C821BE" w:rsidRPr="002362E3" w:rsidRDefault="00C821BE" w:rsidP="00C821BE">
            <w:pPr>
              <w:spacing w:after="0" w:line="240" w:lineRule="auto"/>
              <w:jc w:val="both"/>
              <w:rPr>
                <w:rFonts w:ascii="Times New Roman" w:hAnsi="Times New Roman" w:cs="Times New Roman"/>
                <w:sz w:val="16"/>
                <w:szCs w:val="16"/>
                <w:lang w:val="pt-BR"/>
              </w:rPr>
            </w:pPr>
            <w:r w:rsidRPr="002362E3">
              <w:rPr>
                <w:rFonts w:ascii="Times New Roman" w:hAnsi="Times New Roman" w:cs="Times New Roman"/>
                <w:sz w:val="16"/>
                <w:szCs w:val="16"/>
                <w:lang w:val="pt-BR"/>
              </w:rPr>
              <w:t>-Taxa de superfície revestida;</w:t>
            </w:r>
          </w:p>
          <w:p w:rsidR="00C821BE" w:rsidRPr="002362E3" w:rsidRDefault="00C821BE" w:rsidP="00C821BE">
            <w:pPr>
              <w:spacing w:after="0" w:line="240" w:lineRule="auto"/>
              <w:jc w:val="both"/>
              <w:rPr>
                <w:rFonts w:ascii="Times New Roman" w:hAnsi="Times New Roman" w:cs="Times New Roman"/>
                <w:sz w:val="16"/>
                <w:szCs w:val="16"/>
                <w:lang w:val="pt-BR"/>
              </w:rPr>
            </w:pPr>
            <w:r w:rsidRPr="002362E3">
              <w:rPr>
                <w:rFonts w:ascii="Times New Roman" w:hAnsi="Times New Roman" w:cs="Times New Roman"/>
                <w:sz w:val="16"/>
                <w:szCs w:val="16"/>
                <w:lang w:val="pt-BR"/>
              </w:rPr>
              <w:t>-Presença de meia dúzia de barris para coleta de lixo,</w:t>
            </w:r>
          </w:p>
          <w:p w:rsidR="00C821BE" w:rsidRPr="002362E3" w:rsidRDefault="00C821BE" w:rsidP="00C821BE">
            <w:pPr>
              <w:spacing w:after="0" w:line="240" w:lineRule="auto"/>
              <w:jc w:val="both"/>
              <w:rPr>
                <w:rFonts w:ascii="Times New Roman" w:hAnsi="Times New Roman" w:cs="Times New Roman"/>
                <w:sz w:val="16"/>
                <w:szCs w:val="16"/>
                <w:lang w:val="pt-BR"/>
              </w:rPr>
            </w:pPr>
            <w:r w:rsidRPr="002362E3">
              <w:rPr>
                <w:rFonts w:ascii="Times New Roman" w:hAnsi="Times New Roman" w:cs="Times New Roman"/>
                <w:sz w:val="16"/>
                <w:szCs w:val="16"/>
                <w:lang w:val="pt-BR"/>
              </w:rPr>
              <w:t>- Assinatura de memorando de entendimento com prefeituras e prestadores de serviços responsáveis ​​pela destinação de resíduos;</w:t>
            </w:r>
          </w:p>
          <w:p w:rsidR="00C821BE" w:rsidRPr="002362E3" w:rsidRDefault="00C821BE" w:rsidP="00C821BE">
            <w:pPr>
              <w:spacing w:after="0" w:line="240" w:lineRule="auto"/>
              <w:jc w:val="both"/>
              <w:rPr>
                <w:rFonts w:ascii="Times New Roman" w:hAnsi="Times New Roman" w:cs="Times New Roman"/>
                <w:sz w:val="16"/>
                <w:szCs w:val="16"/>
                <w:lang w:val="pt-BR"/>
              </w:rPr>
            </w:pPr>
            <w:r w:rsidRPr="002362E3">
              <w:rPr>
                <w:rFonts w:ascii="Times New Roman" w:hAnsi="Times New Roman" w:cs="Times New Roman"/>
                <w:sz w:val="16"/>
                <w:szCs w:val="16"/>
                <w:lang w:val="pt-BR"/>
              </w:rPr>
              <w:t>-Quantidade de resíduos coletados, separados e eliminados;</w:t>
            </w:r>
          </w:p>
          <w:p w:rsidR="00C821BE" w:rsidRPr="002362E3" w:rsidRDefault="00C821BE" w:rsidP="00C821BE">
            <w:pPr>
              <w:spacing w:after="0" w:line="240" w:lineRule="auto"/>
              <w:jc w:val="both"/>
              <w:rPr>
                <w:rFonts w:ascii="Times New Roman" w:hAnsi="Times New Roman" w:cs="Times New Roman"/>
                <w:sz w:val="16"/>
                <w:szCs w:val="16"/>
                <w:lang w:val="pt-BR"/>
              </w:rPr>
            </w:pPr>
            <w:r w:rsidRPr="002362E3">
              <w:rPr>
                <w:rFonts w:ascii="Times New Roman" w:hAnsi="Times New Roman" w:cs="Times New Roman"/>
                <w:sz w:val="16"/>
                <w:szCs w:val="16"/>
                <w:lang w:val="pt-BR"/>
              </w:rPr>
              <w:t>-Existência de rede de drenagem;</w:t>
            </w:r>
          </w:p>
          <w:p w:rsidR="00C821BE" w:rsidRPr="002362E3" w:rsidRDefault="00C821BE" w:rsidP="00C821BE">
            <w:pPr>
              <w:spacing w:after="0" w:line="240" w:lineRule="auto"/>
              <w:jc w:val="both"/>
              <w:rPr>
                <w:rFonts w:ascii="Times New Roman" w:hAnsi="Times New Roman" w:cs="Times New Roman"/>
                <w:sz w:val="16"/>
                <w:szCs w:val="16"/>
                <w:lang w:val="pt-BR"/>
              </w:rPr>
            </w:pPr>
            <w:r w:rsidRPr="002362E3">
              <w:rPr>
                <w:rFonts w:ascii="Times New Roman" w:hAnsi="Times New Roman" w:cs="Times New Roman"/>
                <w:sz w:val="16"/>
                <w:szCs w:val="16"/>
                <w:lang w:val="pt-BR"/>
              </w:rPr>
              <w:t>-Quantidade de hidrocarbonetos armazenados;</w:t>
            </w:r>
          </w:p>
          <w:p w:rsidR="00C821BE" w:rsidRPr="002362E3" w:rsidRDefault="00C821BE" w:rsidP="00C821BE">
            <w:pPr>
              <w:spacing w:after="0" w:line="240" w:lineRule="auto"/>
              <w:jc w:val="both"/>
              <w:rPr>
                <w:rFonts w:ascii="Times New Roman" w:hAnsi="Times New Roman" w:cs="Times New Roman"/>
                <w:sz w:val="16"/>
                <w:szCs w:val="16"/>
                <w:lang w:val="pt-BR"/>
              </w:rPr>
            </w:pPr>
            <w:r w:rsidRPr="002362E3">
              <w:rPr>
                <w:rFonts w:ascii="Times New Roman" w:hAnsi="Times New Roman" w:cs="Times New Roman"/>
                <w:sz w:val="16"/>
                <w:szCs w:val="16"/>
                <w:lang w:val="pt-BR"/>
              </w:rPr>
              <w:t>- Assinatura de protocolo de intenções com empresa e prestadores responsáveis ​​pela evacuação e tratamento;</w:t>
            </w:r>
          </w:p>
          <w:p w:rsidR="00C821BE" w:rsidRPr="002362E3" w:rsidRDefault="00C821BE" w:rsidP="00C821BE">
            <w:pPr>
              <w:spacing w:after="0" w:line="240" w:lineRule="auto"/>
              <w:jc w:val="both"/>
              <w:rPr>
                <w:rFonts w:ascii="Times New Roman" w:hAnsi="Times New Roman" w:cs="Times New Roman"/>
                <w:sz w:val="16"/>
                <w:szCs w:val="16"/>
                <w:lang w:val="pt-BR"/>
              </w:rPr>
            </w:pPr>
            <w:r w:rsidRPr="002362E3">
              <w:rPr>
                <w:rFonts w:ascii="Times New Roman" w:hAnsi="Times New Roman" w:cs="Times New Roman"/>
                <w:sz w:val="16"/>
                <w:szCs w:val="16"/>
                <w:lang w:val="pt-BR"/>
              </w:rPr>
              <w:t>- Presença de Notas Fiscais de Operações realizadas nos Postos de Atendimento;</w:t>
            </w:r>
          </w:p>
        </w:tc>
        <w:tc>
          <w:tcPr>
            <w:tcW w:w="1134"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C821BE" w:rsidRPr="002362E3" w:rsidRDefault="00C821BE" w:rsidP="00C821BE">
            <w:pPr>
              <w:spacing w:after="0" w:line="240" w:lineRule="auto"/>
              <w:jc w:val="center"/>
              <w:rPr>
                <w:rFonts w:ascii="Times New Roman" w:hAnsi="Times New Roman" w:cs="Times New Roman"/>
                <w:b/>
                <w:sz w:val="16"/>
                <w:szCs w:val="16"/>
                <w:lang w:val="pt-BR"/>
              </w:rPr>
            </w:pPr>
            <w:r w:rsidRPr="002362E3">
              <w:rPr>
                <w:rFonts w:ascii="Times New Roman" w:hAnsi="Times New Roman" w:cs="Times New Roman"/>
                <w:b/>
                <w:sz w:val="16"/>
                <w:szCs w:val="16"/>
                <w:lang w:val="pt-BR"/>
              </w:rPr>
              <w:t>O negócio</w:t>
            </w:r>
          </w:p>
        </w:tc>
        <w:tc>
          <w:tcPr>
            <w:tcW w:w="1120"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C821BE" w:rsidRPr="002362E3" w:rsidRDefault="00C821BE" w:rsidP="00C821BE">
            <w:pPr>
              <w:spacing w:after="0" w:line="240" w:lineRule="auto"/>
              <w:jc w:val="center"/>
              <w:rPr>
                <w:rFonts w:ascii="Times New Roman" w:hAnsi="Times New Roman" w:cs="Times New Roman"/>
                <w:b/>
                <w:sz w:val="16"/>
                <w:szCs w:val="16"/>
                <w:lang w:val="pt-BR"/>
              </w:rPr>
            </w:pPr>
            <w:r w:rsidRPr="002362E3">
              <w:rPr>
                <w:rFonts w:ascii="Times New Roman" w:hAnsi="Times New Roman" w:cs="Times New Roman"/>
                <w:b/>
                <w:sz w:val="16"/>
                <w:szCs w:val="16"/>
                <w:lang w:val="pt-BR"/>
              </w:rPr>
              <w:t>Comitê de Monitoramento</w:t>
            </w:r>
          </w:p>
          <w:p w:rsidR="00C821BE" w:rsidRPr="002362E3" w:rsidRDefault="00C821BE" w:rsidP="00C821BE">
            <w:pPr>
              <w:spacing w:after="0" w:line="240" w:lineRule="auto"/>
              <w:jc w:val="center"/>
              <w:rPr>
                <w:rFonts w:ascii="Times New Roman" w:hAnsi="Times New Roman" w:cs="Times New Roman"/>
                <w:b/>
                <w:sz w:val="16"/>
                <w:szCs w:val="16"/>
                <w:lang w:val="pt-BR"/>
              </w:rPr>
            </w:pPr>
          </w:p>
          <w:p w:rsidR="00C821BE" w:rsidRPr="002362E3" w:rsidRDefault="00C821BE" w:rsidP="00C821BE">
            <w:pPr>
              <w:spacing w:after="0" w:line="240" w:lineRule="auto"/>
              <w:jc w:val="center"/>
              <w:rPr>
                <w:rFonts w:ascii="Times New Roman" w:hAnsi="Times New Roman" w:cs="Times New Roman"/>
                <w:b/>
                <w:sz w:val="16"/>
                <w:szCs w:val="16"/>
                <w:lang w:val="pt-BR"/>
              </w:rPr>
            </w:pPr>
            <w:r w:rsidRPr="002362E3">
              <w:rPr>
                <w:rFonts w:ascii="Times New Roman" w:hAnsi="Times New Roman" w:cs="Times New Roman"/>
                <w:b/>
                <w:sz w:val="16"/>
                <w:szCs w:val="16"/>
                <w:lang w:val="pt-BR"/>
              </w:rPr>
              <w:t>PUASEE-FA</w:t>
            </w:r>
          </w:p>
        </w:tc>
        <w:tc>
          <w:tcPr>
            <w:tcW w:w="1445" w:type="dxa"/>
            <w:tcBorders>
              <w:top w:val="single" w:sz="4" w:space="0" w:color="auto"/>
              <w:left w:val="single" w:sz="4" w:space="0" w:color="auto"/>
              <w:bottom w:val="single" w:sz="4" w:space="0" w:color="auto"/>
              <w:right w:val="single" w:sz="4" w:space="0" w:color="auto"/>
            </w:tcBorders>
            <w:vAlign w:val="center"/>
          </w:tcPr>
          <w:p w:rsidR="00C821BE" w:rsidRPr="002362E3" w:rsidRDefault="00C821BE" w:rsidP="00C821BE">
            <w:pPr>
              <w:spacing w:after="0" w:line="240" w:lineRule="auto"/>
              <w:jc w:val="center"/>
              <w:rPr>
                <w:rFonts w:ascii="Times New Roman" w:hAnsi="Times New Roman" w:cs="Times New Roman"/>
                <w:sz w:val="16"/>
                <w:szCs w:val="16"/>
                <w:lang w:val="pt-BR"/>
              </w:rPr>
            </w:pPr>
            <w:r w:rsidRPr="002362E3">
              <w:rPr>
                <w:rFonts w:ascii="Times New Roman" w:hAnsi="Times New Roman" w:cs="Times New Roman"/>
                <w:sz w:val="16"/>
                <w:szCs w:val="16"/>
                <w:lang w:val="pt-BR"/>
              </w:rPr>
              <w:t>Durante a construção / Trimestral</w:t>
            </w:r>
          </w:p>
        </w:tc>
        <w:tc>
          <w:tcPr>
            <w:tcW w:w="112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C821BE" w:rsidRPr="002362E3" w:rsidRDefault="00C821BE" w:rsidP="00C821BE">
            <w:pPr>
              <w:spacing w:after="0" w:line="240" w:lineRule="auto"/>
              <w:jc w:val="center"/>
              <w:rPr>
                <w:rFonts w:ascii="Times New Roman" w:hAnsi="Times New Roman" w:cs="Times New Roman"/>
                <w:b/>
                <w:sz w:val="16"/>
                <w:szCs w:val="16"/>
                <w:lang w:val="pt-BR"/>
              </w:rPr>
            </w:pPr>
            <w:r w:rsidRPr="002362E3">
              <w:rPr>
                <w:rFonts w:ascii="Times New Roman" w:hAnsi="Times New Roman" w:cs="Times New Roman"/>
                <w:b/>
                <w:sz w:val="16"/>
                <w:szCs w:val="16"/>
                <w:lang w:val="pt-BR"/>
              </w:rPr>
              <w:t>6.000.000</w:t>
            </w:r>
          </w:p>
        </w:tc>
      </w:tr>
      <w:tr w:rsidR="00C821BE" w:rsidRPr="002362E3" w:rsidTr="00C821BE">
        <w:trPr>
          <w:trHeight w:val="1404"/>
          <w:jc w:val="center"/>
        </w:trPr>
        <w:tc>
          <w:tcPr>
            <w:tcW w:w="1212"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C821BE" w:rsidRPr="002362E3" w:rsidRDefault="00C821BE" w:rsidP="00C821BE">
            <w:pPr>
              <w:spacing w:after="0" w:line="240" w:lineRule="auto"/>
              <w:jc w:val="center"/>
              <w:rPr>
                <w:rFonts w:ascii="Times New Roman" w:hAnsi="Times New Roman" w:cs="Times New Roman"/>
                <w:b/>
                <w:bCs/>
                <w:sz w:val="16"/>
                <w:szCs w:val="16"/>
                <w:lang w:val="pt-BR"/>
              </w:rPr>
            </w:pPr>
            <w:r w:rsidRPr="002362E3">
              <w:rPr>
                <w:rFonts w:ascii="Times New Roman" w:hAnsi="Times New Roman" w:cs="Times New Roman"/>
                <w:b/>
                <w:bCs/>
                <w:sz w:val="16"/>
                <w:szCs w:val="16"/>
                <w:lang w:val="pt-BR"/>
              </w:rPr>
              <w:t>Água da superfície</w:t>
            </w:r>
          </w:p>
          <w:p w:rsidR="00C821BE" w:rsidRPr="002362E3" w:rsidRDefault="00C821BE" w:rsidP="00C821BE">
            <w:pPr>
              <w:spacing w:after="0" w:line="240" w:lineRule="auto"/>
              <w:jc w:val="center"/>
              <w:rPr>
                <w:rFonts w:ascii="Times New Roman" w:hAnsi="Times New Roman" w:cs="Times New Roman"/>
                <w:b/>
                <w:bCs/>
                <w:sz w:val="16"/>
                <w:szCs w:val="16"/>
                <w:lang w:val="pt-BR"/>
              </w:rPr>
            </w:pPr>
            <w:r w:rsidRPr="002362E3">
              <w:rPr>
                <w:rFonts w:ascii="Times New Roman" w:hAnsi="Times New Roman" w:cs="Times New Roman"/>
                <w:b/>
                <w:bCs/>
                <w:sz w:val="16"/>
                <w:szCs w:val="16"/>
                <w:lang w:val="pt-BR"/>
              </w:rPr>
              <w:t>/</w:t>
            </w:r>
          </w:p>
          <w:p w:rsidR="00C821BE" w:rsidRPr="002362E3" w:rsidRDefault="00C821BE" w:rsidP="00C821BE">
            <w:pPr>
              <w:spacing w:after="0" w:line="240" w:lineRule="auto"/>
              <w:jc w:val="center"/>
              <w:rPr>
                <w:rFonts w:ascii="Times New Roman" w:hAnsi="Times New Roman" w:cs="Times New Roman"/>
                <w:b/>
                <w:bCs/>
                <w:sz w:val="16"/>
                <w:szCs w:val="16"/>
                <w:lang w:val="pt-BR"/>
              </w:rPr>
            </w:pPr>
            <w:r w:rsidRPr="002362E3">
              <w:rPr>
                <w:rFonts w:ascii="Times New Roman" w:hAnsi="Times New Roman" w:cs="Times New Roman"/>
                <w:b/>
                <w:bCs/>
                <w:sz w:val="16"/>
                <w:szCs w:val="16"/>
                <w:lang w:val="pt-BR"/>
              </w:rPr>
              <w:t>Águas subterrâneas</w:t>
            </w:r>
          </w:p>
          <w:p w:rsidR="00C821BE" w:rsidRPr="002362E3" w:rsidRDefault="00C821BE" w:rsidP="00C821BE">
            <w:pPr>
              <w:spacing w:after="0" w:line="240" w:lineRule="auto"/>
              <w:jc w:val="center"/>
              <w:rPr>
                <w:rFonts w:ascii="Times New Roman" w:hAnsi="Times New Roman" w:cs="Times New Roman"/>
                <w:b/>
                <w:bCs/>
                <w:sz w:val="16"/>
                <w:szCs w:val="16"/>
                <w:lang w:val="pt-BR"/>
              </w:rPr>
            </w:pPr>
          </w:p>
        </w:tc>
        <w:tc>
          <w:tcPr>
            <w:tcW w:w="2079" w:type="dxa"/>
            <w:tcBorders>
              <w:top w:val="single" w:sz="4" w:space="0" w:color="auto"/>
              <w:left w:val="single" w:sz="4" w:space="0" w:color="auto"/>
              <w:bottom w:val="single" w:sz="4" w:space="0" w:color="auto"/>
              <w:right w:val="single" w:sz="4" w:space="0" w:color="auto"/>
            </w:tcBorders>
            <w:vAlign w:val="center"/>
          </w:tcPr>
          <w:p w:rsidR="00C821BE" w:rsidRPr="002362E3" w:rsidRDefault="00C821BE" w:rsidP="00C821BE">
            <w:pPr>
              <w:spacing w:after="0" w:line="240" w:lineRule="auto"/>
              <w:jc w:val="both"/>
              <w:rPr>
                <w:rFonts w:ascii="Times New Roman" w:hAnsi="Times New Roman" w:cs="Times New Roman"/>
                <w:sz w:val="16"/>
                <w:szCs w:val="16"/>
                <w:lang w:val="pt-BR"/>
              </w:rPr>
            </w:pPr>
            <w:r w:rsidRPr="002362E3">
              <w:rPr>
                <w:rFonts w:ascii="Times New Roman" w:hAnsi="Times New Roman" w:cs="Times New Roman"/>
                <w:sz w:val="16"/>
                <w:szCs w:val="16"/>
                <w:lang w:val="pt-BR"/>
              </w:rPr>
              <w:t>- Risco de degradação da qualidade das águas superficiais (</w:t>
            </w:r>
            <w:r w:rsidRPr="002362E3">
              <w:rPr>
                <w:rFonts w:ascii="Times New Roman" w:hAnsi="Times New Roman" w:cs="Times New Roman"/>
                <w:color w:val="000000"/>
                <w:sz w:val="16"/>
                <w:szCs w:val="16"/>
                <w:lang w:val="pt-BR"/>
              </w:rPr>
              <w:t>tintas, cal, águas residuais, cimento, etc.)</w:t>
            </w:r>
          </w:p>
          <w:p w:rsidR="00C821BE" w:rsidRPr="002362E3" w:rsidRDefault="00C821BE" w:rsidP="00C821BE">
            <w:pPr>
              <w:spacing w:after="0" w:line="240" w:lineRule="auto"/>
              <w:jc w:val="both"/>
              <w:rPr>
                <w:rFonts w:ascii="Times New Roman" w:hAnsi="Times New Roman" w:cs="Times New Roman"/>
                <w:sz w:val="16"/>
                <w:szCs w:val="16"/>
                <w:lang w:val="pt-BR"/>
              </w:rPr>
            </w:pPr>
          </w:p>
          <w:p w:rsidR="00C821BE" w:rsidRPr="002362E3" w:rsidRDefault="00C821BE" w:rsidP="00C821BE">
            <w:pPr>
              <w:spacing w:after="0" w:line="240" w:lineRule="auto"/>
              <w:jc w:val="both"/>
              <w:rPr>
                <w:rFonts w:ascii="Times New Roman" w:hAnsi="Times New Roman" w:cs="Times New Roman"/>
                <w:sz w:val="16"/>
                <w:szCs w:val="16"/>
                <w:lang w:val="pt-BR"/>
              </w:rPr>
            </w:pPr>
            <w:r w:rsidRPr="002362E3">
              <w:rPr>
                <w:rFonts w:ascii="Times New Roman" w:hAnsi="Times New Roman" w:cs="Times New Roman"/>
                <w:sz w:val="16"/>
                <w:szCs w:val="16"/>
                <w:lang w:val="pt-BR"/>
              </w:rPr>
              <w:t>- Risco de poluição do escoamento e águas subterrâneas por óleos, baterias esgotadas, filtros de óleo.</w:t>
            </w:r>
          </w:p>
          <w:p w:rsidR="00C821BE" w:rsidRPr="002362E3" w:rsidRDefault="00C821BE" w:rsidP="00C821BE">
            <w:pPr>
              <w:spacing w:after="0" w:line="240" w:lineRule="auto"/>
              <w:jc w:val="both"/>
              <w:rPr>
                <w:rFonts w:ascii="Times New Roman" w:hAnsi="Times New Roman" w:cs="Times New Roman"/>
                <w:sz w:val="16"/>
                <w:szCs w:val="16"/>
                <w:lang w:val="pt-BR"/>
              </w:rPr>
            </w:pPr>
          </w:p>
        </w:tc>
        <w:tc>
          <w:tcPr>
            <w:tcW w:w="4335" w:type="dxa"/>
            <w:tcBorders>
              <w:top w:val="single" w:sz="4" w:space="0" w:color="auto"/>
              <w:left w:val="single" w:sz="4" w:space="0" w:color="auto"/>
              <w:bottom w:val="single" w:sz="4" w:space="0" w:color="auto"/>
              <w:right w:val="single" w:sz="4" w:space="0" w:color="auto"/>
            </w:tcBorders>
            <w:vAlign w:val="center"/>
          </w:tcPr>
          <w:p w:rsidR="00C821BE" w:rsidRPr="002362E3" w:rsidRDefault="00C821BE" w:rsidP="00C821BE">
            <w:pPr>
              <w:spacing w:after="0" w:line="240" w:lineRule="auto"/>
              <w:jc w:val="both"/>
              <w:rPr>
                <w:rFonts w:ascii="Times New Roman" w:hAnsi="Times New Roman" w:cs="Times New Roman"/>
                <w:sz w:val="16"/>
                <w:szCs w:val="16"/>
                <w:lang w:val="pt-BR"/>
              </w:rPr>
            </w:pPr>
            <w:r w:rsidRPr="002362E3">
              <w:rPr>
                <w:rFonts w:ascii="Times New Roman" w:hAnsi="Times New Roman" w:cs="Times New Roman"/>
                <w:sz w:val="16"/>
                <w:szCs w:val="16"/>
                <w:lang w:val="pt-BR"/>
              </w:rPr>
              <w:t>- Aplicar com rigor um plano de gestão de resíduos sólidos e águas residuais;</w:t>
            </w:r>
          </w:p>
          <w:p w:rsidR="00C821BE" w:rsidRPr="002362E3" w:rsidRDefault="00C821BE" w:rsidP="00C821BE">
            <w:pPr>
              <w:spacing w:after="0" w:line="240" w:lineRule="auto"/>
              <w:jc w:val="both"/>
              <w:rPr>
                <w:rFonts w:ascii="Times New Roman" w:hAnsi="Times New Roman" w:cs="Times New Roman"/>
                <w:sz w:val="16"/>
                <w:szCs w:val="16"/>
                <w:lang w:val="pt-BR"/>
              </w:rPr>
            </w:pPr>
            <w:r w:rsidRPr="002362E3">
              <w:rPr>
                <w:rFonts w:ascii="Times New Roman" w:hAnsi="Times New Roman" w:cs="Times New Roman"/>
                <w:sz w:val="16"/>
                <w:szCs w:val="16"/>
                <w:lang w:val="pt-BR"/>
              </w:rPr>
              <w:t>- Limpeza dos canteiros de obras;</w:t>
            </w:r>
          </w:p>
          <w:p w:rsidR="00C821BE" w:rsidRPr="002362E3" w:rsidRDefault="00C821BE" w:rsidP="00C821BE">
            <w:pPr>
              <w:spacing w:after="0" w:line="240" w:lineRule="auto"/>
              <w:jc w:val="both"/>
              <w:rPr>
                <w:rFonts w:ascii="Times New Roman" w:hAnsi="Times New Roman" w:cs="Times New Roman"/>
                <w:sz w:val="16"/>
                <w:szCs w:val="16"/>
                <w:lang w:val="pt-BR"/>
              </w:rPr>
            </w:pPr>
            <w:r w:rsidRPr="002362E3">
              <w:rPr>
                <w:rFonts w:ascii="Times New Roman" w:hAnsi="Times New Roman" w:cs="Times New Roman"/>
                <w:sz w:val="16"/>
                <w:szCs w:val="16"/>
                <w:lang w:val="pt-BR"/>
              </w:rPr>
              <w:t xml:space="preserve">- Monitorar a qualidade das águas superficiais mais próximas dos locais; </w:t>
            </w:r>
          </w:p>
          <w:p w:rsidR="00C821BE" w:rsidRPr="002362E3" w:rsidRDefault="00C821BE" w:rsidP="00C821BE">
            <w:pPr>
              <w:spacing w:after="0" w:line="240" w:lineRule="auto"/>
              <w:jc w:val="both"/>
              <w:rPr>
                <w:rFonts w:ascii="Times New Roman" w:hAnsi="Times New Roman" w:cs="Times New Roman"/>
                <w:sz w:val="16"/>
                <w:szCs w:val="16"/>
                <w:lang w:val="pt-BR"/>
              </w:rPr>
            </w:pPr>
            <w:r w:rsidRPr="002362E3">
              <w:rPr>
                <w:rFonts w:ascii="Times New Roman" w:hAnsi="Times New Roman" w:cs="Times New Roman"/>
                <w:sz w:val="16"/>
                <w:szCs w:val="16"/>
                <w:lang w:val="pt-BR"/>
              </w:rPr>
              <w:t>-Armazenar todos os materiais poluentes (hidrocarbonetos, etc.) em tanques de retenção em sala bem vedada;</w:t>
            </w:r>
          </w:p>
          <w:p w:rsidR="00C821BE" w:rsidRPr="002362E3" w:rsidRDefault="00C821BE" w:rsidP="00C821BE">
            <w:pPr>
              <w:spacing w:after="0" w:line="240" w:lineRule="auto"/>
              <w:jc w:val="both"/>
              <w:rPr>
                <w:rFonts w:ascii="Times New Roman" w:hAnsi="Times New Roman" w:cs="Times New Roman"/>
                <w:sz w:val="16"/>
                <w:szCs w:val="16"/>
                <w:lang w:val="pt-BR"/>
              </w:rPr>
            </w:pPr>
            <w:r w:rsidRPr="002362E3">
              <w:rPr>
                <w:rFonts w:ascii="Times New Roman" w:hAnsi="Times New Roman" w:cs="Times New Roman"/>
                <w:sz w:val="16"/>
                <w:szCs w:val="16"/>
                <w:lang w:val="pt-BR"/>
              </w:rPr>
              <w:t>-Assinar um memorando de entendimento com uma empresa e fornecedores responsáveis ​​pela evacuação e tratamento;</w:t>
            </w:r>
          </w:p>
          <w:p w:rsidR="00C821BE" w:rsidRPr="002362E3" w:rsidRDefault="00C821BE" w:rsidP="00C821BE">
            <w:pPr>
              <w:spacing w:after="0" w:line="240" w:lineRule="auto"/>
              <w:jc w:val="both"/>
              <w:rPr>
                <w:rFonts w:ascii="Times New Roman" w:hAnsi="Times New Roman" w:cs="Times New Roman"/>
                <w:sz w:val="16"/>
                <w:szCs w:val="16"/>
                <w:lang w:val="pt-BR"/>
              </w:rPr>
            </w:pPr>
            <w:r w:rsidRPr="002362E3">
              <w:rPr>
                <w:rFonts w:ascii="Times New Roman" w:hAnsi="Times New Roman" w:cs="Times New Roman"/>
                <w:sz w:val="16"/>
                <w:szCs w:val="16"/>
                <w:lang w:val="pt-BR"/>
              </w:rPr>
              <w:t>-Estabelecer sistema de gestão de resíduos de óleo (coleta, transporte e destinação final);</w:t>
            </w:r>
          </w:p>
          <w:p w:rsidR="00C821BE" w:rsidRPr="002362E3" w:rsidRDefault="00C821BE" w:rsidP="00C821BE">
            <w:pPr>
              <w:spacing w:after="0" w:line="240" w:lineRule="auto"/>
              <w:jc w:val="both"/>
              <w:rPr>
                <w:rFonts w:ascii="Times New Roman" w:hAnsi="Times New Roman" w:cs="Times New Roman"/>
                <w:sz w:val="16"/>
                <w:szCs w:val="16"/>
                <w:lang w:val="pt-BR"/>
              </w:rPr>
            </w:pPr>
            <w:r w:rsidRPr="002362E3">
              <w:rPr>
                <w:rFonts w:ascii="Times New Roman" w:hAnsi="Times New Roman" w:cs="Times New Roman"/>
                <w:sz w:val="16"/>
                <w:szCs w:val="16"/>
                <w:lang w:val="pt-BR"/>
              </w:rPr>
              <w:t>- Fornece drenagem adequada para escoamento.</w:t>
            </w:r>
          </w:p>
        </w:tc>
        <w:tc>
          <w:tcPr>
            <w:tcW w:w="3568" w:type="dxa"/>
            <w:tcBorders>
              <w:top w:val="single" w:sz="4" w:space="0" w:color="auto"/>
              <w:left w:val="single" w:sz="4" w:space="0" w:color="auto"/>
              <w:bottom w:val="single" w:sz="4" w:space="0" w:color="auto"/>
              <w:right w:val="single" w:sz="4" w:space="0" w:color="auto"/>
            </w:tcBorders>
            <w:vAlign w:val="center"/>
          </w:tcPr>
          <w:p w:rsidR="00C821BE" w:rsidRPr="002362E3" w:rsidRDefault="00C821BE" w:rsidP="00C821BE">
            <w:pPr>
              <w:spacing w:after="0" w:line="240" w:lineRule="auto"/>
              <w:jc w:val="both"/>
              <w:rPr>
                <w:rFonts w:ascii="Times New Roman" w:hAnsi="Times New Roman" w:cs="Times New Roman"/>
                <w:sz w:val="16"/>
                <w:szCs w:val="16"/>
                <w:lang w:val="pt-BR"/>
              </w:rPr>
            </w:pPr>
            <w:r w:rsidRPr="002362E3">
              <w:rPr>
                <w:rFonts w:ascii="Times New Roman" w:hAnsi="Times New Roman" w:cs="Times New Roman"/>
                <w:sz w:val="16"/>
                <w:szCs w:val="16"/>
                <w:lang w:val="pt-BR"/>
              </w:rPr>
              <w:t>- Plano de gestão de resíduos sólidos e líquidos validado;</w:t>
            </w:r>
          </w:p>
          <w:p w:rsidR="00C821BE" w:rsidRPr="002362E3" w:rsidRDefault="00C821BE" w:rsidP="00C821BE">
            <w:pPr>
              <w:spacing w:after="0" w:line="240" w:lineRule="auto"/>
              <w:jc w:val="both"/>
              <w:rPr>
                <w:rFonts w:ascii="Times New Roman" w:hAnsi="Times New Roman" w:cs="Times New Roman"/>
                <w:sz w:val="16"/>
                <w:szCs w:val="16"/>
                <w:lang w:val="pt-BR"/>
              </w:rPr>
            </w:pPr>
            <w:r w:rsidRPr="002362E3">
              <w:rPr>
                <w:rFonts w:ascii="Times New Roman" w:hAnsi="Times New Roman" w:cs="Times New Roman"/>
                <w:sz w:val="16"/>
                <w:szCs w:val="16"/>
                <w:lang w:val="pt-BR"/>
              </w:rPr>
              <w:t>- Local bem higienizado;</w:t>
            </w:r>
          </w:p>
          <w:p w:rsidR="00C821BE" w:rsidRPr="002362E3" w:rsidRDefault="00C821BE" w:rsidP="00C821BE">
            <w:pPr>
              <w:spacing w:after="0" w:line="240" w:lineRule="auto"/>
              <w:jc w:val="both"/>
              <w:rPr>
                <w:rFonts w:ascii="Times New Roman" w:hAnsi="Times New Roman" w:cs="Times New Roman"/>
                <w:sz w:val="16"/>
                <w:szCs w:val="16"/>
                <w:lang w:val="pt-BR"/>
              </w:rPr>
            </w:pPr>
            <w:r w:rsidRPr="002362E3">
              <w:rPr>
                <w:rFonts w:ascii="Times New Roman" w:hAnsi="Times New Roman" w:cs="Times New Roman"/>
                <w:sz w:val="16"/>
                <w:szCs w:val="16"/>
                <w:lang w:val="pt-BR"/>
              </w:rPr>
              <w:t>- Folha de análise da qualidade da água;</w:t>
            </w:r>
          </w:p>
          <w:p w:rsidR="00C821BE" w:rsidRPr="002362E3" w:rsidRDefault="00C821BE" w:rsidP="00C821BE">
            <w:pPr>
              <w:spacing w:after="0" w:line="240" w:lineRule="auto"/>
              <w:jc w:val="both"/>
              <w:rPr>
                <w:rFonts w:ascii="Times New Roman" w:hAnsi="Times New Roman" w:cs="Times New Roman"/>
                <w:sz w:val="16"/>
                <w:szCs w:val="16"/>
                <w:lang w:val="pt-BR"/>
              </w:rPr>
            </w:pPr>
            <w:r w:rsidRPr="002362E3">
              <w:rPr>
                <w:rFonts w:ascii="Times New Roman" w:hAnsi="Times New Roman" w:cs="Times New Roman"/>
                <w:sz w:val="16"/>
                <w:szCs w:val="16"/>
                <w:lang w:val="pt-BR"/>
              </w:rPr>
              <w:t>-Quantidade de hidrocarbonetos armazenados corretamente;</w:t>
            </w:r>
          </w:p>
          <w:p w:rsidR="00C821BE" w:rsidRPr="002362E3" w:rsidRDefault="00C821BE" w:rsidP="00C821BE">
            <w:pPr>
              <w:spacing w:after="0" w:line="240" w:lineRule="auto"/>
              <w:jc w:val="both"/>
              <w:rPr>
                <w:rFonts w:ascii="Times New Roman" w:hAnsi="Times New Roman" w:cs="Times New Roman"/>
                <w:sz w:val="16"/>
                <w:szCs w:val="16"/>
                <w:lang w:val="pt-BR"/>
              </w:rPr>
            </w:pPr>
            <w:r w:rsidRPr="002362E3">
              <w:rPr>
                <w:rFonts w:ascii="Times New Roman" w:hAnsi="Times New Roman" w:cs="Times New Roman"/>
                <w:sz w:val="16"/>
                <w:szCs w:val="16"/>
                <w:lang w:val="pt-BR"/>
              </w:rPr>
              <w:t>- Assinatura de Memorando de Entendimentos com empresa e prestadores de serviços responsáveis ​​pela evacuação e tratamento;</w:t>
            </w:r>
          </w:p>
          <w:p w:rsidR="00C821BE" w:rsidRPr="002362E3" w:rsidRDefault="00C821BE" w:rsidP="00C821BE">
            <w:pPr>
              <w:spacing w:after="0" w:line="240" w:lineRule="auto"/>
              <w:jc w:val="both"/>
              <w:rPr>
                <w:rFonts w:ascii="Times New Roman" w:hAnsi="Times New Roman" w:cs="Times New Roman"/>
                <w:sz w:val="16"/>
                <w:szCs w:val="16"/>
                <w:lang w:val="pt-BR"/>
              </w:rPr>
            </w:pPr>
            <w:r w:rsidRPr="002362E3">
              <w:rPr>
                <w:rFonts w:ascii="Times New Roman" w:hAnsi="Times New Roman" w:cs="Times New Roman"/>
                <w:sz w:val="16"/>
                <w:szCs w:val="16"/>
                <w:lang w:val="pt-BR"/>
              </w:rPr>
              <w:t>-Presença de sistema de gestão de óleos usados ​​nos sites;</w:t>
            </w:r>
          </w:p>
          <w:p w:rsidR="00C821BE" w:rsidRPr="002362E3" w:rsidRDefault="00C821BE" w:rsidP="00C821BE">
            <w:pPr>
              <w:spacing w:after="0" w:line="240" w:lineRule="auto"/>
              <w:jc w:val="both"/>
              <w:rPr>
                <w:rFonts w:ascii="Times New Roman" w:hAnsi="Times New Roman" w:cs="Times New Roman"/>
                <w:sz w:val="16"/>
                <w:szCs w:val="16"/>
                <w:lang w:val="pt-BR"/>
              </w:rPr>
            </w:pPr>
            <w:r w:rsidRPr="002362E3">
              <w:rPr>
                <w:rFonts w:ascii="Times New Roman" w:hAnsi="Times New Roman" w:cs="Times New Roman"/>
                <w:sz w:val="16"/>
                <w:szCs w:val="16"/>
                <w:lang w:val="pt-BR"/>
              </w:rPr>
              <w:t>-Presença de empreendimento para drenagem de água de escoamento nos sites;</w:t>
            </w:r>
          </w:p>
        </w:tc>
        <w:tc>
          <w:tcPr>
            <w:tcW w:w="1134"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C821BE" w:rsidRPr="002362E3" w:rsidRDefault="00C821BE" w:rsidP="00C821BE">
            <w:pPr>
              <w:spacing w:after="0" w:line="240" w:lineRule="auto"/>
              <w:jc w:val="center"/>
              <w:rPr>
                <w:rFonts w:ascii="Times New Roman" w:hAnsi="Times New Roman" w:cs="Times New Roman"/>
                <w:b/>
                <w:sz w:val="16"/>
                <w:szCs w:val="16"/>
                <w:lang w:val="pt-BR"/>
              </w:rPr>
            </w:pPr>
            <w:r w:rsidRPr="002362E3">
              <w:rPr>
                <w:rFonts w:ascii="Times New Roman" w:hAnsi="Times New Roman" w:cs="Times New Roman"/>
                <w:b/>
                <w:sz w:val="16"/>
                <w:szCs w:val="16"/>
                <w:lang w:val="pt-BR"/>
              </w:rPr>
              <w:t>O negócio</w:t>
            </w:r>
          </w:p>
          <w:p w:rsidR="00C821BE" w:rsidRPr="002362E3" w:rsidRDefault="00C821BE" w:rsidP="00C821BE">
            <w:pPr>
              <w:spacing w:after="0" w:line="240" w:lineRule="auto"/>
              <w:jc w:val="center"/>
              <w:rPr>
                <w:rFonts w:ascii="Times New Roman" w:hAnsi="Times New Roman" w:cs="Times New Roman"/>
                <w:b/>
                <w:sz w:val="16"/>
                <w:szCs w:val="16"/>
                <w:lang w:val="pt-BR"/>
              </w:rPr>
            </w:pPr>
          </w:p>
        </w:tc>
        <w:tc>
          <w:tcPr>
            <w:tcW w:w="1120"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C821BE" w:rsidRPr="002362E3" w:rsidRDefault="00C821BE" w:rsidP="00C821BE">
            <w:pPr>
              <w:spacing w:after="0" w:line="240" w:lineRule="auto"/>
              <w:jc w:val="center"/>
              <w:rPr>
                <w:rFonts w:ascii="Times New Roman" w:hAnsi="Times New Roman" w:cs="Times New Roman"/>
                <w:b/>
                <w:sz w:val="16"/>
                <w:szCs w:val="16"/>
                <w:lang w:val="pt-BR"/>
              </w:rPr>
            </w:pPr>
            <w:r w:rsidRPr="002362E3">
              <w:rPr>
                <w:rFonts w:ascii="Times New Roman" w:hAnsi="Times New Roman" w:cs="Times New Roman"/>
                <w:b/>
                <w:sz w:val="16"/>
                <w:szCs w:val="16"/>
                <w:lang w:val="pt-BR"/>
              </w:rPr>
              <w:t>Comitê de Monitoramento</w:t>
            </w:r>
          </w:p>
          <w:p w:rsidR="00C821BE" w:rsidRPr="002362E3" w:rsidRDefault="00C821BE" w:rsidP="00C821BE">
            <w:pPr>
              <w:spacing w:after="0" w:line="240" w:lineRule="auto"/>
              <w:jc w:val="center"/>
              <w:rPr>
                <w:rFonts w:ascii="Times New Roman" w:hAnsi="Times New Roman" w:cs="Times New Roman"/>
                <w:b/>
                <w:sz w:val="16"/>
                <w:szCs w:val="16"/>
                <w:lang w:val="pt-BR"/>
              </w:rPr>
            </w:pPr>
          </w:p>
          <w:p w:rsidR="00C821BE" w:rsidRPr="002362E3" w:rsidRDefault="00C821BE" w:rsidP="00C821BE">
            <w:pPr>
              <w:spacing w:after="0" w:line="240" w:lineRule="auto"/>
              <w:jc w:val="center"/>
              <w:rPr>
                <w:rFonts w:ascii="Times New Roman" w:hAnsi="Times New Roman" w:cs="Times New Roman"/>
                <w:b/>
                <w:sz w:val="16"/>
                <w:szCs w:val="16"/>
                <w:lang w:val="pt-BR"/>
              </w:rPr>
            </w:pPr>
            <w:r w:rsidRPr="002362E3">
              <w:rPr>
                <w:rFonts w:ascii="Times New Roman" w:hAnsi="Times New Roman" w:cs="Times New Roman"/>
                <w:b/>
                <w:sz w:val="16"/>
                <w:szCs w:val="16"/>
                <w:lang w:val="pt-BR"/>
              </w:rPr>
              <w:t>PUASEE-FA</w:t>
            </w:r>
          </w:p>
        </w:tc>
        <w:tc>
          <w:tcPr>
            <w:tcW w:w="1445" w:type="dxa"/>
            <w:tcBorders>
              <w:top w:val="single" w:sz="4" w:space="0" w:color="auto"/>
              <w:left w:val="single" w:sz="4" w:space="0" w:color="auto"/>
              <w:bottom w:val="single" w:sz="4" w:space="0" w:color="auto"/>
              <w:right w:val="single" w:sz="4" w:space="0" w:color="auto"/>
            </w:tcBorders>
            <w:vAlign w:val="center"/>
          </w:tcPr>
          <w:p w:rsidR="00C821BE" w:rsidRPr="002362E3" w:rsidRDefault="00C821BE" w:rsidP="00C821BE">
            <w:pPr>
              <w:spacing w:after="0" w:line="240" w:lineRule="auto"/>
              <w:jc w:val="center"/>
              <w:rPr>
                <w:rFonts w:ascii="Times New Roman" w:hAnsi="Times New Roman" w:cs="Times New Roman"/>
                <w:sz w:val="16"/>
                <w:szCs w:val="16"/>
                <w:lang w:val="pt-BR"/>
              </w:rPr>
            </w:pPr>
            <w:r w:rsidRPr="002362E3">
              <w:rPr>
                <w:rFonts w:ascii="Times New Roman" w:hAnsi="Times New Roman" w:cs="Times New Roman"/>
                <w:sz w:val="16"/>
                <w:szCs w:val="16"/>
                <w:lang w:val="pt-BR"/>
              </w:rPr>
              <w:t>Durante as obras / mensal</w:t>
            </w:r>
          </w:p>
        </w:tc>
        <w:tc>
          <w:tcPr>
            <w:tcW w:w="112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C821BE" w:rsidRPr="002362E3" w:rsidRDefault="00C821BE" w:rsidP="00C821BE">
            <w:pPr>
              <w:spacing w:after="0" w:line="240" w:lineRule="auto"/>
              <w:jc w:val="center"/>
              <w:rPr>
                <w:rFonts w:ascii="Times New Roman" w:hAnsi="Times New Roman" w:cs="Times New Roman"/>
                <w:b/>
                <w:sz w:val="16"/>
                <w:szCs w:val="16"/>
                <w:lang w:val="pt-BR"/>
              </w:rPr>
            </w:pPr>
            <w:r w:rsidRPr="002362E3">
              <w:rPr>
                <w:rFonts w:ascii="Times New Roman" w:hAnsi="Times New Roman" w:cs="Times New Roman"/>
                <w:b/>
                <w:sz w:val="16"/>
                <w:szCs w:val="16"/>
                <w:lang w:val="pt-BR"/>
              </w:rPr>
              <w:t xml:space="preserve">4.000.000 </w:t>
            </w:r>
          </w:p>
        </w:tc>
      </w:tr>
      <w:tr w:rsidR="00C821BE" w:rsidRPr="002362E3" w:rsidTr="00C821BE">
        <w:trPr>
          <w:trHeight w:val="662"/>
          <w:jc w:val="center"/>
        </w:trPr>
        <w:tc>
          <w:tcPr>
            <w:tcW w:w="1212"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C821BE" w:rsidRPr="002362E3" w:rsidRDefault="00C821BE" w:rsidP="00C821BE">
            <w:pPr>
              <w:spacing w:after="0" w:line="240" w:lineRule="auto"/>
              <w:jc w:val="center"/>
              <w:rPr>
                <w:rFonts w:ascii="Times New Roman" w:hAnsi="Times New Roman" w:cs="Times New Roman"/>
                <w:b/>
                <w:bCs/>
                <w:sz w:val="16"/>
                <w:szCs w:val="16"/>
                <w:lang w:val="pt-BR"/>
              </w:rPr>
            </w:pPr>
            <w:r w:rsidRPr="002362E3">
              <w:rPr>
                <w:rFonts w:ascii="Times New Roman" w:hAnsi="Times New Roman" w:cs="Times New Roman"/>
                <w:b/>
                <w:sz w:val="16"/>
                <w:szCs w:val="16"/>
                <w:lang w:val="pt-BR"/>
              </w:rPr>
              <w:t>Flora</w:t>
            </w:r>
          </w:p>
        </w:tc>
        <w:tc>
          <w:tcPr>
            <w:tcW w:w="2079" w:type="dxa"/>
            <w:tcBorders>
              <w:top w:val="single" w:sz="4" w:space="0" w:color="auto"/>
              <w:left w:val="single" w:sz="4" w:space="0" w:color="auto"/>
              <w:bottom w:val="single" w:sz="4" w:space="0" w:color="auto"/>
              <w:right w:val="single" w:sz="4" w:space="0" w:color="auto"/>
            </w:tcBorders>
            <w:vAlign w:val="center"/>
          </w:tcPr>
          <w:p w:rsidR="00C821BE" w:rsidRPr="002362E3" w:rsidRDefault="00C821BE" w:rsidP="00C821BE">
            <w:pPr>
              <w:spacing w:after="0" w:line="240" w:lineRule="auto"/>
              <w:jc w:val="both"/>
              <w:rPr>
                <w:rFonts w:ascii="Times New Roman" w:hAnsi="Times New Roman" w:cs="Times New Roman"/>
                <w:color w:val="000000"/>
                <w:sz w:val="16"/>
                <w:szCs w:val="16"/>
                <w:lang w:val="pt-BR"/>
              </w:rPr>
            </w:pPr>
            <w:r w:rsidRPr="002362E3">
              <w:rPr>
                <w:rFonts w:ascii="Times New Roman" w:hAnsi="Times New Roman" w:cs="Times New Roman"/>
                <w:color w:val="000000"/>
                <w:sz w:val="16"/>
                <w:szCs w:val="16"/>
                <w:lang w:val="pt-BR"/>
              </w:rPr>
              <w:t>Risco de destruição da vegetação herbácea em Antula.</w:t>
            </w:r>
          </w:p>
          <w:p w:rsidR="00C821BE" w:rsidRPr="002362E3" w:rsidRDefault="00C821BE" w:rsidP="00C821BE">
            <w:pPr>
              <w:spacing w:after="0" w:line="240" w:lineRule="auto"/>
              <w:jc w:val="both"/>
              <w:rPr>
                <w:rFonts w:ascii="Times New Roman" w:hAnsi="Times New Roman" w:cs="Times New Roman"/>
                <w:sz w:val="16"/>
                <w:szCs w:val="16"/>
                <w:lang w:val="pt-BR"/>
              </w:rPr>
            </w:pPr>
            <w:r w:rsidRPr="002362E3">
              <w:rPr>
                <w:rFonts w:ascii="Times New Roman" w:hAnsi="Times New Roman" w:cs="Times New Roman"/>
                <w:color w:val="000000"/>
                <w:sz w:val="16"/>
                <w:szCs w:val="16"/>
                <w:lang w:val="pt-BR"/>
              </w:rPr>
              <w:t>Risco de derrubar alguns pés de cajueiros no BOR</w:t>
            </w:r>
          </w:p>
        </w:tc>
        <w:tc>
          <w:tcPr>
            <w:tcW w:w="4335" w:type="dxa"/>
            <w:tcBorders>
              <w:top w:val="single" w:sz="4" w:space="0" w:color="auto"/>
              <w:left w:val="single" w:sz="4" w:space="0" w:color="auto"/>
              <w:bottom w:val="single" w:sz="4" w:space="0" w:color="auto"/>
              <w:right w:val="single" w:sz="4" w:space="0" w:color="auto"/>
            </w:tcBorders>
            <w:vAlign w:val="center"/>
          </w:tcPr>
          <w:p w:rsidR="00C821BE" w:rsidRPr="002362E3" w:rsidRDefault="00C821BE" w:rsidP="00C821BE">
            <w:pPr>
              <w:spacing w:after="0" w:line="240" w:lineRule="auto"/>
              <w:jc w:val="both"/>
              <w:rPr>
                <w:rFonts w:ascii="Times New Roman" w:eastAsia="Times New Roman" w:hAnsi="Times New Roman" w:cs="Times New Roman"/>
                <w:sz w:val="16"/>
                <w:szCs w:val="16"/>
                <w:lang w:val="pt-BR"/>
              </w:rPr>
            </w:pPr>
            <w:r w:rsidRPr="002362E3">
              <w:rPr>
                <w:rFonts w:ascii="Times New Roman" w:eastAsia="Times New Roman" w:hAnsi="Times New Roman" w:cs="Times New Roman"/>
                <w:sz w:val="16"/>
                <w:szCs w:val="16"/>
                <w:lang w:val="pt-BR"/>
              </w:rPr>
              <w:t>- Requerer um pedido de autorização especial dos Serviços de Águas e Florestas</w:t>
            </w:r>
          </w:p>
          <w:p w:rsidR="00C821BE" w:rsidRPr="002362E3" w:rsidRDefault="00C821BE" w:rsidP="00C821BE">
            <w:pPr>
              <w:spacing w:after="0" w:line="240" w:lineRule="auto"/>
              <w:jc w:val="both"/>
              <w:rPr>
                <w:rFonts w:ascii="Times New Roman" w:hAnsi="Times New Roman" w:cs="Times New Roman"/>
                <w:sz w:val="16"/>
                <w:szCs w:val="16"/>
                <w:lang w:val="pt-BR"/>
              </w:rPr>
            </w:pPr>
            <w:r w:rsidRPr="002362E3">
              <w:rPr>
                <w:rFonts w:ascii="Times New Roman" w:hAnsi="Times New Roman" w:cs="Times New Roman"/>
                <w:sz w:val="16"/>
                <w:szCs w:val="16"/>
                <w:lang w:val="pt-BR"/>
              </w:rPr>
              <w:t>- Estabelecer memorando de entendimento para reflorestamento compensatório;</w:t>
            </w:r>
          </w:p>
          <w:p w:rsidR="00C821BE" w:rsidRPr="002362E3" w:rsidRDefault="00C821BE" w:rsidP="00C821BE">
            <w:pPr>
              <w:spacing w:after="0" w:line="240" w:lineRule="auto"/>
              <w:jc w:val="both"/>
              <w:rPr>
                <w:rFonts w:ascii="Times New Roman" w:hAnsi="Times New Roman" w:cs="Times New Roman"/>
                <w:sz w:val="16"/>
                <w:szCs w:val="16"/>
                <w:lang w:val="pt-BR"/>
              </w:rPr>
            </w:pPr>
            <w:r w:rsidRPr="002362E3">
              <w:rPr>
                <w:rFonts w:ascii="Times New Roman" w:hAnsi="Times New Roman" w:cs="Times New Roman"/>
                <w:sz w:val="16"/>
                <w:szCs w:val="16"/>
                <w:lang w:val="pt-BR"/>
              </w:rPr>
              <w:t>- Implementar o RAP ao nível de Bor para compensação de cajueiros.</w:t>
            </w:r>
          </w:p>
        </w:tc>
        <w:tc>
          <w:tcPr>
            <w:tcW w:w="3568" w:type="dxa"/>
            <w:tcBorders>
              <w:top w:val="single" w:sz="4" w:space="0" w:color="auto"/>
              <w:left w:val="single" w:sz="4" w:space="0" w:color="auto"/>
              <w:bottom w:val="single" w:sz="4" w:space="0" w:color="auto"/>
              <w:right w:val="single" w:sz="4" w:space="0" w:color="auto"/>
            </w:tcBorders>
            <w:vAlign w:val="center"/>
          </w:tcPr>
          <w:p w:rsidR="00C821BE" w:rsidRPr="002362E3" w:rsidRDefault="00C821BE" w:rsidP="00C821BE">
            <w:pPr>
              <w:pStyle w:val="Listecouleur-Accent11"/>
              <w:ind w:left="0"/>
              <w:rPr>
                <w:rFonts w:ascii="Times New Roman" w:hAnsi="Times New Roman"/>
                <w:sz w:val="16"/>
                <w:szCs w:val="16"/>
                <w:lang w:val="pt-BR"/>
              </w:rPr>
            </w:pPr>
            <w:r w:rsidRPr="002362E3">
              <w:rPr>
                <w:rFonts w:ascii="Times New Roman" w:hAnsi="Times New Roman"/>
                <w:sz w:val="16"/>
                <w:szCs w:val="16"/>
                <w:lang w:val="pt-BR"/>
              </w:rPr>
              <w:t>- Presença de autorização assinada;</w:t>
            </w:r>
          </w:p>
          <w:p w:rsidR="00C821BE" w:rsidRPr="002362E3" w:rsidRDefault="00C821BE" w:rsidP="00C821BE">
            <w:pPr>
              <w:pStyle w:val="Listecouleur-Accent11"/>
              <w:ind w:left="0"/>
              <w:rPr>
                <w:rFonts w:ascii="Times New Roman" w:hAnsi="Times New Roman"/>
                <w:sz w:val="16"/>
                <w:szCs w:val="16"/>
                <w:lang w:val="pt-BR"/>
              </w:rPr>
            </w:pPr>
            <w:r w:rsidRPr="002362E3">
              <w:rPr>
                <w:rFonts w:ascii="Times New Roman" w:hAnsi="Times New Roman"/>
                <w:sz w:val="16"/>
                <w:szCs w:val="16"/>
                <w:lang w:val="pt-BR"/>
              </w:rPr>
              <w:t>- Presença do protocolo assinado;</w:t>
            </w:r>
          </w:p>
          <w:p w:rsidR="00C821BE" w:rsidRPr="002362E3" w:rsidRDefault="00C821BE" w:rsidP="00C821BE">
            <w:pPr>
              <w:pStyle w:val="Listecouleur-Accent11"/>
              <w:ind w:left="0"/>
              <w:rPr>
                <w:rFonts w:ascii="Times New Roman" w:hAnsi="Times New Roman"/>
                <w:sz w:val="16"/>
                <w:szCs w:val="16"/>
                <w:lang w:val="pt-BR"/>
              </w:rPr>
            </w:pPr>
            <w:r w:rsidRPr="002362E3">
              <w:rPr>
                <w:rFonts w:ascii="Times New Roman" w:hAnsi="Times New Roman"/>
                <w:sz w:val="16"/>
                <w:szCs w:val="16"/>
                <w:lang w:val="pt-BR"/>
              </w:rPr>
              <w:t>-Implementação efetiva do RAP;</w:t>
            </w:r>
          </w:p>
          <w:p w:rsidR="00C821BE" w:rsidRPr="002362E3" w:rsidRDefault="00C821BE" w:rsidP="00C821BE">
            <w:pPr>
              <w:pStyle w:val="Listecouleur-Accent11"/>
              <w:ind w:left="0"/>
              <w:rPr>
                <w:rFonts w:ascii="Times New Roman" w:hAnsi="Times New Roman"/>
                <w:sz w:val="16"/>
                <w:szCs w:val="16"/>
                <w:lang w:val="pt-BR"/>
              </w:rPr>
            </w:pPr>
            <w:r w:rsidRPr="002362E3">
              <w:rPr>
                <w:rFonts w:ascii="Times New Roman" w:hAnsi="Times New Roman"/>
                <w:sz w:val="16"/>
                <w:szCs w:val="16"/>
                <w:lang w:val="pt-BR"/>
              </w:rPr>
              <w:t>- Compensação de PAPs realizados;</w:t>
            </w:r>
          </w:p>
          <w:p w:rsidR="00C821BE" w:rsidRPr="002362E3" w:rsidRDefault="00C821BE" w:rsidP="00C821BE">
            <w:pPr>
              <w:spacing w:after="0" w:line="240" w:lineRule="auto"/>
              <w:jc w:val="both"/>
              <w:rPr>
                <w:rFonts w:ascii="Times New Roman" w:hAnsi="Times New Roman" w:cs="Times New Roman"/>
                <w:sz w:val="16"/>
                <w:szCs w:val="16"/>
                <w:lang w:val="pt-BR"/>
              </w:rPr>
            </w:pPr>
          </w:p>
        </w:tc>
        <w:tc>
          <w:tcPr>
            <w:tcW w:w="1134"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C821BE" w:rsidRPr="002362E3" w:rsidRDefault="00C821BE" w:rsidP="00C821BE">
            <w:pPr>
              <w:spacing w:after="0" w:line="240" w:lineRule="auto"/>
              <w:jc w:val="center"/>
              <w:rPr>
                <w:rFonts w:ascii="Times New Roman" w:hAnsi="Times New Roman" w:cs="Times New Roman"/>
                <w:b/>
                <w:sz w:val="16"/>
                <w:szCs w:val="16"/>
                <w:lang w:val="pt-BR"/>
              </w:rPr>
            </w:pPr>
            <w:r w:rsidRPr="002362E3">
              <w:rPr>
                <w:rFonts w:ascii="Times New Roman" w:hAnsi="Times New Roman" w:cs="Times New Roman"/>
                <w:b/>
                <w:sz w:val="16"/>
                <w:szCs w:val="16"/>
                <w:lang w:val="pt-BR"/>
              </w:rPr>
              <w:t>O negócio</w:t>
            </w:r>
          </w:p>
          <w:p w:rsidR="00C821BE" w:rsidRPr="002362E3" w:rsidRDefault="00C821BE" w:rsidP="00C821BE">
            <w:pPr>
              <w:spacing w:after="0" w:line="240" w:lineRule="auto"/>
              <w:jc w:val="center"/>
              <w:rPr>
                <w:rFonts w:ascii="Times New Roman" w:hAnsi="Times New Roman" w:cs="Times New Roman"/>
                <w:b/>
                <w:sz w:val="16"/>
                <w:szCs w:val="16"/>
                <w:lang w:val="pt-BR"/>
              </w:rPr>
            </w:pPr>
          </w:p>
          <w:p w:rsidR="00C821BE" w:rsidRPr="002362E3" w:rsidRDefault="00C821BE" w:rsidP="00C821BE">
            <w:pPr>
              <w:spacing w:after="0" w:line="240" w:lineRule="auto"/>
              <w:jc w:val="center"/>
              <w:rPr>
                <w:rFonts w:ascii="Times New Roman" w:hAnsi="Times New Roman" w:cs="Times New Roman"/>
                <w:b/>
                <w:sz w:val="16"/>
                <w:szCs w:val="16"/>
                <w:lang w:val="pt-BR"/>
              </w:rPr>
            </w:pPr>
            <w:r w:rsidRPr="002362E3">
              <w:rPr>
                <w:rFonts w:ascii="Times New Roman" w:hAnsi="Times New Roman" w:cs="Times New Roman"/>
                <w:b/>
                <w:sz w:val="16"/>
                <w:szCs w:val="16"/>
                <w:lang w:val="pt-BR"/>
              </w:rPr>
              <w:t>PUASEE-FA</w:t>
            </w:r>
          </w:p>
        </w:tc>
        <w:tc>
          <w:tcPr>
            <w:tcW w:w="1120"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C821BE" w:rsidRPr="002362E3" w:rsidRDefault="00C821BE" w:rsidP="00C821BE">
            <w:pPr>
              <w:spacing w:after="0" w:line="240" w:lineRule="auto"/>
              <w:jc w:val="center"/>
              <w:rPr>
                <w:rFonts w:ascii="Times New Roman" w:hAnsi="Times New Roman" w:cs="Times New Roman"/>
                <w:b/>
                <w:sz w:val="16"/>
                <w:szCs w:val="16"/>
                <w:lang w:val="pt-BR"/>
              </w:rPr>
            </w:pPr>
            <w:r w:rsidRPr="002362E3">
              <w:rPr>
                <w:rFonts w:ascii="Times New Roman" w:hAnsi="Times New Roman" w:cs="Times New Roman"/>
                <w:b/>
                <w:sz w:val="16"/>
                <w:szCs w:val="16"/>
                <w:lang w:val="pt-BR"/>
              </w:rPr>
              <w:t>Comitê de Monitoramento</w:t>
            </w:r>
          </w:p>
          <w:p w:rsidR="00C821BE" w:rsidRPr="002362E3" w:rsidRDefault="00C821BE" w:rsidP="00C821BE">
            <w:pPr>
              <w:spacing w:after="0" w:line="240" w:lineRule="auto"/>
              <w:jc w:val="center"/>
              <w:rPr>
                <w:rFonts w:ascii="Times New Roman" w:hAnsi="Times New Roman" w:cs="Times New Roman"/>
                <w:b/>
                <w:sz w:val="16"/>
                <w:szCs w:val="16"/>
                <w:lang w:val="pt-BR"/>
              </w:rPr>
            </w:pPr>
          </w:p>
        </w:tc>
        <w:tc>
          <w:tcPr>
            <w:tcW w:w="1445" w:type="dxa"/>
            <w:tcBorders>
              <w:top w:val="single" w:sz="4" w:space="0" w:color="auto"/>
              <w:left w:val="single" w:sz="4" w:space="0" w:color="auto"/>
              <w:bottom w:val="single" w:sz="4" w:space="0" w:color="auto"/>
              <w:right w:val="single" w:sz="4" w:space="0" w:color="auto"/>
            </w:tcBorders>
            <w:vAlign w:val="center"/>
          </w:tcPr>
          <w:p w:rsidR="00C821BE" w:rsidRPr="002362E3" w:rsidRDefault="00C821BE" w:rsidP="00C821BE">
            <w:pPr>
              <w:spacing w:after="0" w:line="240" w:lineRule="auto"/>
              <w:jc w:val="center"/>
              <w:rPr>
                <w:rFonts w:ascii="Times New Roman" w:hAnsi="Times New Roman" w:cs="Times New Roman"/>
                <w:sz w:val="16"/>
                <w:szCs w:val="16"/>
                <w:lang w:val="pt-BR"/>
              </w:rPr>
            </w:pPr>
            <w:r w:rsidRPr="002362E3">
              <w:rPr>
                <w:rFonts w:ascii="Times New Roman" w:hAnsi="Times New Roman" w:cs="Times New Roman"/>
                <w:sz w:val="16"/>
                <w:szCs w:val="16"/>
                <w:lang w:val="pt-BR"/>
              </w:rPr>
              <w:t>Antes das obras</w:t>
            </w:r>
          </w:p>
        </w:tc>
        <w:tc>
          <w:tcPr>
            <w:tcW w:w="112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C821BE" w:rsidRPr="002362E3" w:rsidRDefault="00C821BE" w:rsidP="00C821BE">
            <w:pPr>
              <w:spacing w:after="0" w:line="240" w:lineRule="auto"/>
              <w:jc w:val="center"/>
              <w:rPr>
                <w:rFonts w:ascii="Times New Roman" w:hAnsi="Times New Roman" w:cs="Times New Roman"/>
                <w:b/>
                <w:sz w:val="16"/>
                <w:szCs w:val="16"/>
                <w:lang w:val="pt-BR"/>
              </w:rPr>
            </w:pPr>
            <w:r w:rsidRPr="002362E3">
              <w:rPr>
                <w:rFonts w:ascii="Times New Roman" w:hAnsi="Times New Roman" w:cs="Times New Roman"/>
                <w:b/>
                <w:sz w:val="16"/>
                <w:szCs w:val="16"/>
                <w:lang w:val="pt-BR"/>
              </w:rPr>
              <w:t>Custo associado ao PAR</w:t>
            </w:r>
          </w:p>
        </w:tc>
      </w:tr>
      <w:tr w:rsidR="00C821BE" w:rsidRPr="002362E3" w:rsidTr="00C821BE">
        <w:trPr>
          <w:trHeight w:val="207"/>
          <w:jc w:val="center"/>
        </w:trPr>
        <w:tc>
          <w:tcPr>
            <w:tcW w:w="1212"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C821BE" w:rsidRPr="002362E3" w:rsidRDefault="00C821BE" w:rsidP="00C821BE">
            <w:pPr>
              <w:spacing w:after="0" w:line="240" w:lineRule="auto"/>
              <w:jc w:val="center"/>
              <w:rPr>
                <w:rFonts w:ascii="Times New Roman" w:hAnsi="Times New Roman" w:cs="Times New Roman"/>
                <w:b/>
                <w:bCs/>
                <w:sz w:val="16"/>
                <w:szCs w:val="16"/>
                <w:lang w:val="pt-BR"/>
              </w:rPr>
            </w:pPr>
            <w:r w:rsidRPr="002362E3">
              <w:rPr>
                <w:rFonts w:ascii="Times New Roman" w:hAnsi="Times New Roman" w:cs="Times New Roman"/>
                <w:b/>
                <w:bCs/>
                <w:sz w:val="16"/>
                <w:szCs w:val="16"/>
                <w:lang w:val="pt-BR"/>
              </w:rPr>
              <w:t>Panorama</w:t>
            </w:r>
          </w:p>
        </w:tc>
        <w:tc>
          <w:tcPr>
            <w:tcW w:w="2079" w:type="dxa"/>
            <w:tcBorders>
              <w:top w:val="single" w:sz="4" w:space="0" w:color="auto"/>
              <w:left w:val="single" w:sz="4" w:space="0" w:color="auto"/>
              <w:bottom w:val="single" w:sz="4" w:space="0" w:color="auto"/>
              <w:right w:val="single" w:sz="4" w:space="0" w:color="auto"/>
            </w:tcBorders>
            <w:vAlign w:val="center"/>
          </w:tcPr>
          <w:p w:rsidR="00C821BE" w:rsidRPr="002362E3" w:rsidRDefault="00C821BE" w:rsidP="00C821BE">
            <w:pPr>
              <w:spacing w:after="0" w:line="240" w:lineRule="auto"/>
              <w:jc w:val="both"/>
              <w:rPr>
                <w:rFonts w:ascii="Times New Roman" w:hAnsi="Times New Roman" w:cs="Times New Roman"/>
                <w:sz w:val="16"/>
                <w:szCs w:val="16"/>
                <w:lang w:val="pt-BR"/>
              </w:rPr>
            </w:pPr>
            <w:r w:rsidRPr="002362E3">
              <w:rPr>
                <w:rFonts w:ascii="Times New Roman" w:hAnsi="Times New Roman" w:cs="Times New Roman"/>
                <w:sz w:val="16"/>
                <w:szCs w:val="16"/>
                <w:lang w:val="pt-BR"/>
              </w:rPr>
              <w:t>Mudando a aparência da paisagem</w:t>
            </w:r>
          </w:p>
        </w:tc>
        <w:tc>
          <w:tcPr>
            <w:tcW w:w="4335" w:type="dxa"/>
            <w:tcBorders>
              <w:top w:val="single" w:sz="4" w:space="0" w:color="auto"/>
              <w:left w:val="single" w:sz="4" w:space="0" w:color="auto"/>
              <w:bottom w:val="single" w:sz="4" w:space="0" w:color="auto"/>
              <w:right w:val="single" w:sz="4" w:space="0" w:color="auto"/>
            </w:tcBorders>
            <w:vAlign w:val="center"/>
          </w:tcPr>
          <w:p w:rsidR="00C821BE" w:rsidRPr="002362E3" w:rsidRDefault="00C821BE" w:rsidP="00C821BE">
            <w:pPr>
              <w:spacing w:after="0" w:line="240" w:lineRule="auto"/>
              <w:jc w:val="both"/>
              <w:rPr>
                <w:rFonts w:ascii="Times New Roman" w:hAnsi="Times New Roman" w:cs="Times New Roman"/>
                <w:sz w:val="16"/>
                <w:szCs w:val="16"/>
                <w:lang w:val="pt-BR"/>
              </w:rPr>
            </w:pPr>
            <w:r w:rsidRPr="002362E3">
              <w:rPr>
                <w:rFonts w:ascii="Times New Roman" w:hAnsi="Times New Roman" w:cs="Times New Roman"/>
                <w:sz w:val="16"/>
                <w:szCs w:val="16"/>
                <w:lang w:val="pt-BR"/>
              </w:rPr>
              <w:t>- Adote uma configuração que integre seu ambiente</w:t>
            </w:r>
          </w:p>
        </w:tc>
        <w:tc>
          <w:tcPr>
            <w:tcW w:w="3568" w:type="dxa"/>
            <w:tcBorders>
              <w:top w:val="single" w:sz="4" w:space="0" w:color="auto"/>
              <w:left w:val="single" w:sz="4" w:space="0" w:color="auto"/>
              <w:bottom w:val="single" w:sz="4" w:space="0" w:color="auto"/>
              <w:right w:val="single" w:sz="4" w:space="0" w:color="auto"/>
            </w:tcBorders>
            <w:vAlign w:val="center"/>
          </w:tcPr>
          <w:p w:rsidR="00C821BE" w:rsidRPr="002362E3" w:rsidRDefault="00C821BE" w:rsidP="00C821BE">
            <w:pPr>
              <w:spacing w:after="0" w:line="240" w:lineRule="auto"/>
              <w:jc w:val="both"/>
              <w:rPr>
                <w:rFonts w:ascii="Times New Roman" w:hAnsi="Times New Roman" w:cs="Times New Roman"/>
                <w:sz w:val="16"/>
                <w:szCs w:val="16"/>
                <w:lang w:val="pt-BR"/>
              </w:rPr>
            </w:pPr>
            <w:r w:rsidRPr="002362E3">
              <w:rPr>
                <w:rFonts w:ascii="Times New Roman" w:hAnsi="Times New Roman" w:cs="Times New Roman"/>
                <w:sz w:val="16"/>
                <w:szCs w:val="16"/>
                <w:lang w:val="pt-BR"/>
              </w:rPr>
              <w:t>-O aspecto da paisagem correspondente ao meio ambiente</w:t>
            </w:r>
          </w:p>
        </w:tc>
        <w:tc>
          <w:tcPr>
            <w:tcW w:w="1134"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C821BE" w:rsidRPr="002362E3" w:rsidRDefault="00C821BE" w:rsidP="00C821BE">
            <w:pPr>
              <w:spacing w:after="0" w:line="240" w:lineRule="auto"/>
              <w:jc w:val="center"/>
              <w:rPr>
                <w:rFonts w:ascii="Times New Roman" w:hAnsi="Times New Roman" w:cs="Times New Roman"/>
                <w:b/>
                <w:sz w:val="16"/>
                <w:szCs w:val="16"/>
                <w:lang w:val="pt-BR"/>
              </w:rPr>
            </w:pPr>
            <w:r w:rsidRPr="002362E3">
              <w:rPr>
                <w:rFonts w:ascii="Times New Roman" w:hAnsi="Times New Roman" w:cs="Times New Roman"/>
                <w:b/>
                <w:sz w:val="16"/>
                <w:szCs w:val="16"/>
                <w:lang w:val="pt-BR"/>
              </w:rPr>
              <w:t>O negócio</w:t>
            </w:r>
          </w:p>
          <w:p w:rsidR="00C821BE" w:rsidRPr="002362E3" w:rsidRDefault="00C821BE" w:rsidP="00C821BE">
            <w:pPr>
              <w:spacing w:after="0" w:line="240" w:lineRule="auto"/>
              <w:jc w:val="center"/>
              <w:rPr>
                <w:rFonts w:ascii="Times New Roman" w:hAnsi="Times New Roman" w:cs="Times New Roman"/>
                <w:b/>
                <w:sz w:val="16"/>
                <w:szCs w:val="16"/>
                <w:lang w:val="pt-BR"/>
              </w:rPr>
            </w:pPr>
          </w:p>
        </w:tc>
        <w:tc>
          <w:tcPr>
            <w:tcW w:w="1120"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C821BE" w:rsidRPr="002362E3" w:rsidRDefault="00C821BE" w:rsidP="00C821BE">
            <w:pPr>
              <w:pStyle w:val="Listecouleur-Accent11"/>
              <w:ind w:left="0"/>
              <w:jc w:val="center"/>
              <w:rPr>
                <w:rFonts w:ascii="Times New Roman" w:hAnsi="Times New Roman"/>
                <w:b/>
                <w:sz w:val="16"/>
                <w:szCs w:val="16"/>
                <w:lang w:val="pt-BR"/>
              </w:rPr>
            </w:pPr>
            <w:r w:rsidRPr="002362E3">
              <w:rPr>
                <w:rFonts w:ascii="Times New Roman" w:hAnsi="Times New Roman"/>
                <w:b/>
                <w:sz w:val="16"/>
                <w:szCs w:val="16"/>
                <w:lang w:val="pt-BR"/>
              </w:rPr>
              <w:t>Comitê de Monitoramento</w:t>
            </w:r>
          </w:p>
        </w:tc>
        <w:tc>
          <w:tcPr>
            <w:tcW w:w="1445" w:type="dxa"/>
            <w:tcBorders>
              <w:top w:val="single" w:sz="4" w:space="0" w:color="auto"/>
              <w:left w:val="single" w:sz="4" w:space="0" w:color="auto"/>
              <w:bottom w:val="single" w:sz="4" w:space="0" w:color="auto"/>
              <w:right w:val="single" w:sz="4" w:space="0" w:color="auto"/>
            </w:tcBorders>
            <w:vAlign w:val="center"/>
          </w:tcPr>
          <w:p w:rsidR="00C821BE" w:rsidRPr="002362E3" w:rsidRDefault="00C821BE" w:rsidP="00C821BE">
            <w:pPr>
              <w:spacing w:after="0" w:line="240" w:lineRule="auto"/>
              <w:jc w:val="center"/>
              <w:rPr>
                <w:rFonts w:ascii="Times New Roman" w:hAnsi="Times New Roman" w:cs="Times New Roman"/>
                <w:sz w:val="16"/>
                <w:szCs w:val="16"/>
                <w:lang w:val="pt-BR"/>
              </w:rPr>
            </w:pPr>
            <w:r w:rsidRPr="002362E3">
              <w:rPr>
                <w:rFonts w:ascii="Times New Roman" w:hAnsi="Times New Roman" w:cs="Times New Roman"/>
                <w:sz w:val="16"/>
                <w:szCs w:val="16"/>
                <w:lang w:val="pt-BR"/>
              </w:rPr>
              <w:t>Durante a construção / trimestral</w:t>
            </w:r>
          </w:p>
        </w:tc>
        <w:tc>
          <w:tcPr>
            <w:tcW w:w="112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C821BE" w:rsidRPr="002362E3" w:rsidRDefault="00C821BE" w:rsidP="00C821BE">
            <w:pPr>
              <w:spacing w:after="0" w:line="240" w:lineRule="auto"/>
              <w:jc w:val="center"/>
              <w:rPr>
                <w:rFonts w:ascii="Times New Roman" w:hAnsi="Times New Roman" w:cs="Times New Roman"/>
                <w:b/>
                <w:sz w:val="16"/>
                <w:szCs w:val="16"/>
                <w:lang w:val="pt-BR"/>
              </w:rPr>
            </w:pPr>
            <w:r w:rsidRPr="002362E3">
              <w:rPr>
                <w:rFonts w:ascii="Times New Roman" w:hAnsi="Times New Roman" w:cs="Times New Roman"/>
                <w:b/>
                <w:sz w:val="16"/>
                <w:szCs w:val="16"/>
                <w:lang w:val="pt-BR"/>
              </w:rPr>
              <w:t>2.000.000 / 4 sites</w:t>
            </w:r>
          </w:p>
        </w:tc>
      </w:tr>
      <w:tr w:rsidR="00C821BE" w:rsidRPr="002362E3" w:rsidTr="00C821BE">
        <w:trPr>
          <w:trHeight w:val="1295"/>
          <w:jc w:val="center"/>
        </w:trPr>
        <w:tc>
          <w:tcPr>
            <w:tcW w:w="1212"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C821BE" w:rsidRPr="002362E3" w:rsidRDefault="00C821BE" w:rsidP="00C821BE">
            <w:pPr>
              <w:spacing w:after="0" w:line="240" w:lineRule="auto"/>
              <w:jc w:val="center"/>
              <w:rPr>
                <w:rFonts w:ascii="Times New Roman" w:hAnsi="Times New Roman" w:cs="Times New Roman"/>
                <w:b/>
                <w:bCs/>
                <w:sz w:val="16"/>
                <w:szCs w:val="16"/>
                <w:lang w:val="pt-BR"/>
              </w:rPr>
            </w:pPr>
            <w:r w:rsidRPr="002362E3">
              <w:rPr>
                <w:rFonts w:ascii="Times New Roman" w:hAnsi="Times New Roman" w:cs="Times New Roman"/>
                <w:b/>
                <w:color w:val="000000"/>
                <w:sz w:val="16"/>
                <w:szCs w:val="16"/>
                <w:lang w:val="pt-BR"/>
              </w:rPr>
              <w:t>Pessoal e residentes do local</w:t>
            </w:r>
          </w:p>
        </w:tc>
        <w:tc>
          <w:tcPr>
            <w:tcW w:w="2079" w:type="dxa"/>
            <w:tcBorders>
              <w:top w:val="single" w:sz="4" w:space="0" w:color="auto"/>
              <w:left w:val="single" w:sz="4" w:space="0" w:color="auto"/>
              <w:bottom w:val="single" w:sz="4" w:space="0" w:color="auto"/>
              <w:right w:val="single" w:sz="4" w:space="0" w:color="auto"/>
            </w:tcBorders>
            <w:vAlign w:val="center"/>
          </w:tcPr>
          <w:p w:rsidR="00C821BE" w:rsidRPr="002362E3" w:rsidRDefault="00C821BE" w:rsidP="00C821BE">
            <w:pPr>
              <w:spacing w:after="0" w:line="240" w:lineRule="auto"/>
              <w:jc w:val="both"/>
              <w:rPr>
                <w:rFonts w:ascii="Times New Roman" w:hAnsi="Times New Roman" w:cs="Times New Roman"/>
                <w:sz w:val="16"/>
                <w:szCs w:val="16"/>
                <w:lang w:val="pt-BR"/>
              </w:rPr>
            </w:pPr>
            <w:r w:rsidRPr="002362E3">
              <w:rPr>
                <w:rFonts w:ascii="Times New Roman" w:hAnsi="Times New Roman" w:cs="Times New Roman"/>
                <w:sz w:val="16"/>
                <w:szCs w:val="16"/>
                <w:lang w:val="pt-BR"/>
              </w:rPr>
              <w:t>Barulho</w:t>
            </w:r>
          </w:p>
        </w:tc>
        <w:tc>
          <w:tcPr>
            <w:tcW w:w="4335" w:type="dxa"/>
            <w:tcBorders>
              <w:top w:val="single" w:sz="4" w:space="0" w:color="auto"/>
              <w:left w:val="single" w:sz="4" w:space="0" w:color="auto"/>
              <w:bottom w:val="single" w:sz="4" w:space="0" w:color="auto"/>
              <w:right w:val="single" w:sz="4" w:space="0" w:color="auto"/>
            </w:tcBorders>
            <w:vAlign w:val="center"/>
          </w:tcPr>
          <w:p w:rsidR="00C821BE" w:rsidRPr="002362E3" w:rsidRDefault="00C821BE" w:rsidP="00C821BE">
            <w:pPr>
              <w:spacing w:after="0" w:line="240" w:lineRule="auto"/>
              <w:jc w:val="both"/>
              <w:rPr>
                <w:rFonts w:ascii="Times New Roman" w:hAnsi="Times New Roman" w:cs="Times New Roman"/>
                <w:sz w:val="16"/>
                <w:szCs w:val="16"/>
                <w:lang w:val="pt-BR"/>
              </w:rPr>
            </w:pPr>
            <w:r w:rsidRPr="002362E3">
              <w:rPr>
                <w:rFonts w:ascii="Times New Roman" w:hAnsi="Times New Roman" w:cs="Times New Roman"/>
                <w:sz w:val="16"/>
                <w:szCs w:val="16"/>
                <w:lang w:val="pt-BR"/>
              </w:rPr>
              <w:t>-Respeite os limiares sonoros permitidos em relação ao local;</w:t>
            </w:r>
          </w:p>
          <w:p w:rsidR="00C821BE" w:rsidRPr="002362E3" w:rsidRDefault="00C821BE" w:rsidP="00C821BE">
            <w:pPr>
              <w:spacing w:after="0" w:line="240" w:lineRule="auto"/>
              <w:jc w:val="both"/>
              <w:rPr>
                <w:rFonts w:ascii="Times New Roman" w:hAnsi="Times New Roman" w:cs="Times New Roman"/>
                <w:sz w:val="16"/>
                <w:szCs w:val="16"/>
                <w:lang w:val="pt-BR"/>
              </w:rPr>
            </w:pPr>
            <w:r w:rsidRPr="002362E3">
              <w:rPr>
                <w:rFonts w:ascii="Times New Roman" w:hAnsi="Times New Roman" w:cs="Times New Roman"/>
                <w:sz w:val="16"/>
                <w:szCs w:val="16"/>
                <w:lang w:val="pt-BR"/>
              </w:rPr>
              <w:t>-Respeitar o horário de trabalho;</w:t>
            </w:r>
          </w:p>
          <w:p w:rsidR="00C821BE" w:rsidRPr="002362E3" w:rsidRDefault="00C821BE" w:rsidP="00C821BE">
            <w:pPr>
              <w:spacing w:after="0" w:line="240" w:lineRule="auto"/>
              <w:jc w:val="both"/>
              <w:rPr>
                <w:rFonts w:ascii="Times New Roman" w:hAnsi="Times New Roman" w:cs="Times New Roman"/>
                <w:sz w:val="16"/>
                <w:szCs w:val="16"/>
                <w:lang w:val="pt-BR"/>
              </w:rPr>
            </w:pPr>
            <w:r w:rsidRPr="002362E3">
              <w:rPr>
                <w:rFonts w:ascii="Times New Roman" w:hAnsi="Times New Roman" w:cs="Times New Roman"/>
                <w:sz w:val="16"/>
                <w:szCs w:val="16"/>
                <w:lang w:val="pt-BR"/>
              </w:rPr>
              <w:t>-Limitar as emissões de ruído nas horas de descanso das populações vizinhas;</w:t>
            </w:r>
          </w:p>
          <w:p w:rsidR="00C821BE" w:rsidRPr="002362E3" w:rsidRDefault="00C821BE" w:rsidP="00C821BE">
            <w:pPr>
              <w:spacing w:after="0" w:line="240" w:lineRule="auto"/>
              <w:jc w:val="both"/>
              <w:rPr>
                <w:rFonts w:ascii="Times New Roman" w:hAnsi="Times New Roman" w:cs="Times New Roman"/>
                <w:sz w:val="16"/>
                <w:szCs w:val="16"/>
                <w:lang w:val="pt-BR"/>
              </w:rPr>
            </w:pPr>
            <w:r w:rsidRPr="002362E3">
              <w:rPr>
                <w:rFonts w:ascii="Times New Roman" w:hAnsi="Times New Roman" w:cs="Times New Roman"/>
                <w:sz w:val="16"/>
                <w:szCs w:val="16"/>
                <w:lang w:val="pt-BR"/>
              </w:rPr>
              <w:t>- Fornecer aos trabalhadores capacetes de proteção;</w:t>
            </w:r>
          </w:p>
          <w:p w:rsidR="00C821BE" w:rsidRPr="002362E3" w:rsidRDefault="00C821BE" w:rsidP="00C821BE">
            <w:pPr>
              <w:spacing w:after="0" w:line="240" w:lineRule="auto"/>
              <w:jc w:val="both"/>
              <w:rPr>
                <w:rFonts w:ascii="Times New Roman" w:hAnsi="Times New Roman" w:cs="Times New Roman"/>
                <w:sz w:val="16"/>
                <w:szCs w:val="16"/>
                <w:lang w:val="pt-BR"/>
              </w:rPr>
            </w:pPr>
            <w:r w:rsidRPr="002362E3">
              <w:rPr>
                <w:rFonts w:ascii="Times New Roman" w:hAnsi="Times New Roman" w:cs="Times New Roman"/>
                <w:sz w:val="16"/>
                <w:szCs w:val="16"/>
                <w:lang w:val="pt-BR"/>
              </w:rPr>
              <w:t>-Coloque placas indicando os níveis máximos de ruído;</w:t>
            </w:r>
          </w:p>
          <w:p w:rsidR="00C821BE" w:rsidRPr="002362E3" w:rsidRDefault="00C821BE" w:rsidP="00C821BE">
            <w:pPr>
              <w:spacing w:after="0" w:line="240" w:lineRule="auto"/>
              <w:jc w:val="both"/>
              <w:rPr>
                <w:rFonts w:ascii="Times New Roman" w:hAnsi="Times New Roman" w:cs="Times New Roman"/>
                <w:sz w:val="16"/>
                <w:szCs w:val="16"/>
                <w:lang w:val="pt-BR"/>
              </w:rPr>
            </w:pPr>
            <w:r w:rsidRPr="002362E3">
              <w:rPr>
                <w:rFonts w:ascii="Times New Roman" w:hAnsi="Times New Roman" w:cs="Times New Roman"/>
                <w:sz w:val="16"/>
                <w:szCs w:val="16"/>
                <w:lang w:val="pt-BR"/>
              </w:rPr>
              <w:t>- Conscientizar os trabalhadores sobre os riscos da poluição sonora;</w:t>
            </w:r>
          </w:p>
        </w:tc>
        <w:tc>
          <w:tcPr>
            <w:tcW w:w="3568" w:type="dxa"/>
            <w:tcBorders>
              <w:top w:val="single" w:sz="4" w:space="0" w:color="auto"/>
              <w:left w:val="single" w:sz="4" w:space="0" w:color="auto"/>
              <w:bottom w:val="single" w:sz="4" w:space="0" w:color="auto"/>
              <w:right w:val="single" w:sz="4" w:space="0" w:color="auto"/>
            </w:tcBorders>
            <w:vAlign w:val="center"/>
          </w:tcPr>
          <w:p w:rsidR="00C821BE" w:rsidRPr="002362E3" w:rsidRDefault="00C821BE" w:rsidP="00C821BE">
            <w:pPr>
              <w:spacing w:after="0" w:line="240" w:lineRule="auto"/>
              <w:jc w:val="both"/>
              <w:rPr>
                <w:rFonts w:ascii="Times New Roman" w:hAnsi="Times New Roman" w:cs="Times New Roman"/>
                <w:sz w:val="16"/>
                <w:szCs w:val="16"/>
                <w:lang w:val="pt-BR"/>
              </w:rPr>
            </w:pPr>
            <w:r w:rsidRPr="002362E3">
              <w:rPr>
                <w:rFonts w:ascii="Times New Roman" w:hAnsi="Times New Roman" w:cs="Times New Roman"/>
                <w:sz w:val="16"/>
                <w:szCs w:val="16"/>
                <w:lang w:val="pt-BR"/>
              </w:rPr>
              <w:t>- Número de reclamações recebidas;</w:t>
            </w:r>
          </w:p>
          <w:p w:rsidR="00C821BE" w:rsidRPr="002362E3" w:rsidRDefault="00C821BE" w:rsidP="00C821BE">
            <w:pPr>
              <w:spacing w:after="0" w:line="240" w:lineRule="auto"/>
              <w:jc w:val="both"/>
              <w:rPr>
                <w:rFonts w:ascii="Times New Roman" w:hAnsi="Times New Roman" w:cs="Times New Roman"/>
                <w:sz w:val="16"/>
                <w:szCs w:val="16"/>
                <w:lang w:val="pt-BR"/>
              </w:rPr>
            </w:pPr>
            <w:r w:rsidRPr="002362E3">
              <w:rPr>
                <w:rFonts w:ascii="Times New Roman" w:hAnsi="Times New Roman" w:cs="Times New Roman"/>
                <w:sz w:val="16"/>
                <w:szCs w:val="16"/>
                <w:lang w:val="pt-BR"/>
              </w:rPr>
              <w:t>- Número de trabalhadores equipados com capacetes;</w:t>
            </w:r>
          </w:p>
          <w:p w:rsidR="00C821BE" w:rsidRPr="002362E3" w:rsidRDefault="00C821BE" w:rsidP="00C821BE">
            <w:pPr>
              <w:spacing w:after="0" w:line="240" w:lineRule="auto"/>
              <w:jc w:val="both"/>
              <w:rPr>
                <w:rFonts w:ascii="Times New Roman" w:hAnsi="Times New Roman" w:cs="Times New Roman"/>
                <w:sz w:val="16"/>
                <w:szCs w:val="16"/>
                <w:lang w:val="pt-BR"/>
              </w:rPr>
            </w:pPr>
            <w:r w:rsidRPr="002362E3">
              <w:rPr>
                <w:rFonts w:ascii="Times New Roman" w:hAnsi="Times New Roman" w:cs="Times New Roman"/>
                <w:sz w:val="16"/>
                <w:szCs w:val="16"/>
                <w:lang w:val="pt-BR"/>
              </w:rPr>
              <w:t>-Presença de painel indicativo em canteiros de obras;</w:t>
            </w:r>
          </w:p>
          <w:p w:rsidR="00C821BE" w:rsidRPr="002362E3" w:rsidRDefault="00C821BE" w:rsidP="00C821BE">
            <w:pPr>
              <w:spacing w:after="0" w:line="240" w:lineRule="auto"/>
              <w:jc w:val="both"/>
              <w:rPr>
                <w:rFonts w:ascii="Times New Roman" w:hAnsi="Times New Roman" w:cs="Times New Roman"/>
                <w:sz w:val="16"/>
                <w:szCs w:val="16"/>
                <w:lang w:val="pt-BR"/>
              </w:rPr>
            </w:pPr>
            <w:r w:rsidRPr="002362E3">
              <w:rPr>
                <w:rFonts w:ascii="Times New Roman" w:hAnsi="Times New Roman" w:cs="Times New Roman"/>
                <w:sz w:val="16"/>
                <w:szCs w:val="16"/>
                <w:lang w:val="pt-BR"/>
              </w:rPr>
              <w:t>-PV e o número de trabalhadores sensibilizados;</w:t>
            </w:r>
          </w:p>
          <w:p w:rsidR="00C821BE" w:rsidRPr="002362E3" w:rsidRDefault="00C821BE" w:rsidP="00C821BE">
            <w:pPr>
              <w:spacing w:after="0" w:line="240" w:lineRule="auto"/>
              <w:jc w:val="both"/>
              <w:rPr>
                <w:rFonts w:ascii="Times New Roman" w:hAnsi="Times New Roman" w:cs="Times New Roman"/>
                <w:sz w:val="16"/>
                <w:szCs w:val="16"/>
                <w:lang w:val="pt-BR"/>
              </w:rPr>
            </w:pPr>
          </w:p>
        </w:tc>
        <w:tc>
          <w:tcPr>
            <w:tcW w:w="1134"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C821BE" w:rsidRPr="002362E3" w:rsidRDefault="00C821BE" w:rsidP="00C821BE">
            <w:pPr>
              <w:spacing w:after="0" w:line="240" w:lineRule="auto"/>
              <w:jc w:val="center"/>
              <w:rPr>
                <w:rFonts w:ascii="Times New Roman" w:hAnsi="Times New Roman" w:cs="Times New Roman"/>
                <w:b/>
                <w:sz w:val="16"/>
                <w:szCs w:val="16"/>
                <w:lang w:val="pt-BR"/>
              </w:rPr>
            </w:pPr>
            <w:r w:rsidRPr="002362E3">
              <w:rPr>
                <w:rFonts w:ascii="Times New Roman" w:hAnsi="Times New Roman" w:cs="Times New Roman"/>
                <w:b/>
                <w:sz w:val="16"/>
                <w:szCs w:val="16"/>
                <w:lang w:val="pt-BR"/>
              </w:rPr>
              <w:t>O negócio</w:t>
            </w:r>
          </w:p>
          <w:p w:rsidR="00C821BE" w:rsidRPr="002362E3" w:rsidRDefault="00C821BE" w:rsidP="00C821BE">
            <w:pPr>
              <w:spacing w:after="0" w:line="240" w:lineRule="auto"/>
              <w:jc w:val="center"/>
              <w:rPr>
                <w:rFonts w:ascii="Times New Roman" w:hAnsi="Times New Roman" w:cs="Times New Roman"/>
                <w:b/>
                <w:sz w:val="16"/>
                <w:szCs w:val="16"/>
                <w:lang w:val="pt-BR"/>
              </w:rPr>
            </w:pPr>
          </w:p>
        </w:tc>
        <w:tc>
          <w:tcPr>
            <w:tcW w:w="1120"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C821BE" w:rsidRPr="002362E3" w:rsidRDefault="00C821BE" w:rsidP="00C821BE">
            <w:pPr>
              <w:spacing w:after="0" w:line="240" w:lineRule="auto"/>
              <w:jc w:val="center"/>
              <w:rPr>
                <w:rFonts w:ascii="Times New Roman" w:hAnsi="Times New Roman" w:cs="Times New Roman"/>
                <w:b/>
                <w:sz w:val="16"/>
                <w:szCs w:val="16"/>
                <w:lang w:val="pt-BR"/>
              </w:rPr>
            </w:pPr>
            <w:r w:rsidRPr="002362E3">
              <w:rPr>
                <w:rFonts w:ascii="Times New Roman" w:hAnsi="Times New Roman" w:cs="Times New Roman"/>
                <w:b/>
                <w:sz w:val="16"/>
                <w:szCs w:val="16"/>
                <w:lang w:val="pt-BR"/>
              </w:rPr>
              <w:t>Comitê de Monitoramento</w:t>
            </w:r>
          </w:p>
          <w:p w:rsidR="00C821BE" w:rsidRPr="002362E3" w:rsidRDefault="00C821BE" w:rsidP="00C821BE">
            <w:pPr>
              <w:spacing w:after="0" w:line="240" w:lineRule="auto"/>
              <w:jc w:val="center"/>
              <w:rPr>
                <w:rFonts w:ascii="Times New Roman" w:hAnsi="Times New Roman" w:cs="Times New Roman"/>
                <w:b/>
                <w:sz w:val="16"/>
                <w:szCs w:val="16"/>
                <w:lang w:val="pt-BR"/>
              </w:rPr>
            </w:pPr>
          </w:p>
          <w:p w:rsidR="00C821BE" w:rsidRPr="002362E3" w:rsidRDefault="00C821BE" w:rsidP="00C821BE">
            <w:pPr>
              <w:spacing w:after="0" w:line="240" w:lineRule="auto"/>
              <w:jc w:val="center"/>
              <w:rPr>
                <w:rFonts w:ascii="Times New Roman" w:hAnsi="Times New Roman" w:cs="Times New Roman"/>
                <w:b/>
                <w:sz w:val="16"/>
                <w:szCs w:val="16"/>
                <w:lang w:val="pt-BR"/>
              </w:rPr>
            </w:pPr>
            <w:r w:rsidRPr="002362E3">
              <w:rPr>
                <w:rFonts w:ascii="Times New Roman" w:hAnsi="Times New Roman" w:cs="Times New Roman"/>
                <w:b/>
                <w:sz w:val="16"/>
                <w:szCs w:val="16"/>
                <w:lang w:val="pt-BR"/>
              </w:rPr>
              <w:t>PUASEE-FA</w:t>
            </w:r>
          </w:p>
        </w:tc>
        <w:tc>
          <w:tcPr>
            <w:tcW w:w="1445" w:type="dxa"/>
            <w:tcBorders>
              <w:top w:val="single" w:sz="4" w:space="0" w:color="auto"/>
              <w:left w:val="single" w:sz="4" w:space="0" w:color="auto"/>
              <w:bottom w:val="single" w:sz="4" w:space="0" w:color="auto"/>
              <w:right w:val="single" w:sz="4" w:space="0" w:color="auto"/>
            </w:tcBorders>
            <w:vAlign w:val="center"/>
          </w:tcPr>
          <w:p w:rsidR="00C821BE" w:rsidRPr="002362E3" w:rsidRDefault="00C821BE" w:rsidP="00C821BE">
            <w:pPr>
              <w:spacing w:after="0" w:line="240" w:lineRule="auto"/>
              <w:jc w:val="center"/>
              <w:rPr>
                <w:rFonts w:ascii="Times New Roman" w:hAnsi="Times New Roman" w:cs="Times New Roman"/>
                <w:sz w:val="16"/>
                <w:szCs w:val="16"/>
                <w:lang w:val="pt-BR"/>
              </w:rPr>
            </w:pPr>
            <w:r w:rsidRPr="002362E3">
              <w:rPr>
                <w:rFonts w:ascii="Times New Roman" w:hAnsi="Times New Roman" w:cs="Times New Roman"/>
                <w:sz w:val="16"/>
                <w:szCs w:val="16"/>
                <w:lang w:val="pt-BR"/>
              </w:rPr>
              <w:t>Durante as obras / mensal</w:t>
            </w:r>
          </w:p>
        </w:tc>
        <w:tc>
          <w:tcPr>
            <w:tcW w:w="112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C821BE" w:rsidRPr="002362E3" w:rsidRDefault="00C821BE" w:rsidP="00C821BE">
            <w:pPr>
              <w:spacing w:after="0" w:line="240" w:lineRule="auto"/>
              <w:jc w:val="center"/>
              <w:rPr>
                <w:rFonts w:ascii="Times New Roman" w:hAnsi="Times New Roman" w:cs="Times New Roman"/>
                <w:b/>
                <w:sz w:val="16"/>
                <w:szCs w:val="16"/>
                <w:lang w:val="pt-BR"/>
              </w:rPr>
            </w:pPr>
            <w:r w:rsidRPr="002362E3">
              <w:rPr>
                <w:rFonts w:ascii="Times New Roman" w:hAnsi="Times New Roman" w:cs="Times New Roman"/>
                <w:b/>
                <w:sz w:val="16"/>
                <w:szCs w:val="16"/>
                <w:lang w:val="pt-BR"/>
              </w:rPr>
              <w:t>500.000</w:t>
            </w:r>
          </w:p>
        </w:tc>
      </w:tr>
      <w:tr w:rsidR="00C821BE" w:rsidRPr="002362E3" w:rsidTr="00C821BE">
        <w:trPr>
          <w:trHeight w:val="126"/>
          <w:jc w:val="center"/>
        </w:trPr>
        <w:tc>
          <w:tcPr>
            <w:tcW w:w="1212"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C821BE" w:rsidRPr="002362E3" w:rsidRDefault="00C821BE" w:rsidP="00C821BE">
            <w:pPr>
              <w:spacing w:after="0" w:line="240" w:lineRule="auto"/>
              <w:jc w:val="center"/>
              <w:rPr>
                <w:rFonts w:ascii="Times New Roman" w:hAnsi="Times New Roman" w:cs="Times New Roman"/>
                <w:b/>
                <w:sz w:val="16"/>
                <w:szCs w:val="16"/>
                <w:lang w:val="pt-BR"/>
              </w:rPr>
            </w:pPr>
            <w:r w:rsidRPr="002362E3">
              <w:rPr>
                <w:rFonts w:ascii="Times New Roman" w:hAnsi="Times New Roman" w:cs="Times New Roman"/>
                <w:b/>
                <w:sz w:val="16"/>
                <w:szCs w:val="16"/>
                <w:lang w:val="pt-BR"/>
              </w:rPr>
              <w:lastRenderedPageBreak/>
              <w:t xml:space="preserve">Ambiente de vida </w:t>
            </w:r>
          </w:p>
        </w:tc>
        <w:tc>
          <w:tcPr>
            <w:tcW w:w="2079" w:type="dxa"/>
            <w:tcBorders>
              <w:top w:val="single" w:sz="4" w:space="0" w:color="auto"/>
              <w:left w:val="single" w:sz="4" w:space="0" w:color="auto"/>
              <w:bottom w:val="single" w:sz="4" w:space="0" w:color="auto"/>
              <w:right w:val="single" w:sz="4" w:space="0" w:color="auto"/>
            </w:tcBorders>
            <w:vAlign w:val="center"/>
          </w:tcPr>
          <w:p w:rsidR="00C821BE" w:rsidRPr="002362E3" w:rsidRDefault="00C821BE" w:rsidP="00C821BE">
            <w:pPr>
              <w:spacing w:after="0" w:line="240" w:lineRule="auto"/>
              <w:jc w:val="both"/>
              <w:rPr>
                <w:rFonts w:ascii="Times New Roman" w:hAnsi="Times New Roman" w:cs="Times New Roman"/>
                <w:sz w:val="16"/>
                <w:szCs w:val="16"/>
                <w:lang w:val="pt-BR"/>
              </w:rPr>
            </w:pPr>
            <w:r w:rsidRPr="002362E3">
              <w:rPr>
                <w:rFonts w:ascii="Times New Roman" w:hAnsi="Times New Roman" w:cs="Times New Roman"/>
                <w:sz w:val="16"/>
                <w:szCs w:val="16"/>
                <w:lang w:val="pt-BR"/>
              </w:rPr>
              <w:t>Risco de dificultar a circulação de pessoas e mercadorias;</w:t>
            </w:r>
          </w:p>
          <w:p w:rsidR="00C821BE" w:rsidRPr="002362E3" w:rsidRDefault="00C821BE" w:rsidP="00C821BE">
            <w:pPr>
              <w:spacing w:after="0" w:line="240" w:lineRule="auto"/>
              <w:jc w:val="both"/>
              <w:rPr>
                <w:rFonts w:ascii="Times New Roman" w:hAnsi="Times New Roman" w:cs="Times New Roman"/>
                <w:sz w:val="16"/>
                <w:szCs w:val="16"/>
                <w:lang w:val="pt-BR"/>
              </w:rPr>
            </w:pPr>
          </w:p>
          <w:p w:rsidR="00C821BE" w:rsidRPr="002362E3" w:rsidRDefault="00C821BE" w:rsidP="00C821BE">
            <w:pPr>
              <w:spacing w:after="0" w:line="240" w:lineRule="auto"/>
              <w:jc w:val="both"/>
              <w:rPr>
                <w:rFonts w:ascii="Times New Roman" w:hAnsi="Times New Roman" w:cs="Times New Roman"/>
                <w:color w:val="000000"/>
                <w:sz w:val="16"/>
                <w:szCs w:val="16"/>
                <w:lang w:val="pt-BR"/>
              </w:rPr>
            </w:pPr>
            <w:r w:rsidRPr="002362E3">
              <w:rPr>
                <w:rFonts w:ascii="Times New Roman" w:hAnsi="Times New Roman" w:cs="Times New Roman"/>
                <w:color w:val="000000"/>
                <w:sz w:val="16"/>
                <w:szCs w:val="16"/>
                <w:lang w:val="pt-BR"/>
              </w:rPr>
              <w:t>Risco de perturbações do tráfego rodoviário;</w:t>
            </w:r>
          </w:p>
        </w:tc>
        <w:tc>
          <w:tcPr>
            <w:tcW w:w="4335" w:type="dxa"/>
            <w:tcBorders>
              <w:top w:val="single" w:sz="4" w:space="0" w:color="auto"/>
              <w:left w:val="single" w:sz="4" w:space="0" w:color="auto"/>
              <w:bottom w:val="single" w:sz="4" w:space="0" w:color="auto"/>
              <w:right w:val="single" w:sz="4" w:space="0" w:color="auto"/>
            </w:tcBorders>
            <w:vAlign w:val="center"/>
          </w:tcPr>
          <w:p w:rsidR="00C821BE" w:rsidRPr="002362E3" w:rsidRDefault="00C821BE" w:rsidP="00C821BE">
            <w:pPr>
              <w:spacing w:after="0" w:line="240" w:lineRule="auto"/>
              <w:jc w:val="both"/>
              <w:rPr>
                <w:rFonts w:ascii="Times New Roman" w:hAnsi="Times New Roman" w:cs="Times New Roman"/>
                <w:sz w:val="16"/>
                <w:szCs w:val="16"/>
                <w:lang w:val="pt-BR"/>
              </w:rPr>
            </w:pPr>
            <w:r w:rsidRPr="002362E3">
              <w:rPr>
                <w:rFonts w:ascii="Times New Roman" w:hAnsi="Times New Roman" w:cs="Times New Roman"/>
                <w:sz w:val="16"/>
                <w:szCs w:val="16"/>
                <w:lang w:val="pt-BR"/>
              </w:rPr>
              <w:t>- Marcar bem as zonas de intervenção da obra;</w:t>
            </w:r>
          </w:p>
          <w:p w:rsidR="00C821BE" w:rsidRPr="002362E3" w:rsidRDefault="00C821BE" w:rsidP="00C821BE">
            <w:pPr>
              <w:spacing w:after="0" w:line="240" w:lineRule="auto"/>
              <w:jc w:val="both"/>
              <w:rPr>
                <w:rFonts w:ascii="Times New Roman" w:hAnsi="Times New Roman" w:cs="Times New Roman"/>
                <w:sz w:val="16"/>
                <w:szCs w:val="16"/>
                <w:lang w:val="pt-BR"/>
              </w:rPr>
            </w:pPr>
            <w:r w:rsidRPr="002362E3">
              <w:rPr>
                <w:rFonts w:ascii="Times New Roman" w:hAnsi="Times New Roman" w:cs="Times New Roman"/>
                <w:sz w:val="16"/>
                <w:szCs w:val="16"/>
                <w:lang w:val="pt-BR"/>
              </w:rPr>
              <w:t>-Desenvolver um plano de tráfego em áreas densas;</w:t>
            </w:r>
          </w:p>
          <w:p w:rsidR="00C821BE" w:rsidRPr="002362E3" w:rsidRDefault="00C821BE" w:rsidP="00C821BE">
            <w:pPr>
              <w:spacing w:after="0" w:line="240" w:lineRule="auto"/>
              <w:jc w:val="both"/>
              <w:rPr>
                <w:rFonts w:ascii="Times New Roman" w:hAnsi="Times New Roman" w:cs="Times New Roman"/>
                <w:sz w:val="16"/>
                <w:szCs w:val="16"/>
                <w:lang w:val="pt-BR"/>
              </w:rPr>
            </w:pPr>
            <w:r w:rsidRPr="002362E3">
              <w:rPr>
                <w:rFonts w:ascii="Times New Roman" w:hAnsi="Times New Roman" w:cs="Times New Roman"/>
                <w:sz w:val="16"/>
                <w:szCs w:val="16"/>
                <w:lang w:val="pt-BR"/>
              </w:rPr>
              <w:t>- Assumir posições para permitir a mobilidade dos usuários:</w:t>
            </w:r>
          </w:p>
          <w:p w:rsidR="00C821BE" w:rsidRPr="002362E3" w:rsidRDefault="00C821BE" w:rsidP="00C821BE">
            <w:pPr>
              <w:spacing w:after="0" w:line="240" w:lineRule="auto"/>
              <w:jc w:val="both"/>
              <w:rPr>
                <w:rFonts w:ascii="Times New Roman" w:hAnsi="Times New Roman" w:cs="Times New Roman"/>
                <w:sz w:val="16"/>
                <w:szCs w:val="16"/>
                <w:lang w:val="pt-BR"/>
              </w:rPr>
            </w:pPr>
            <w:r w:rsidRPr="002362E3">
              <w:rPr>
                <w:rFonts w:ascii="Times New Roman" w:hAnsi="Times New Roman" w:cs="Times New Roman"/>
                <w:sz w:val="16"/>
                <w:szCs w:val="16"/>
                <w:lang w:val="pt-BR"/>
              </w:rPr>
              <w:t>- Forneça materiais aos sites enquanto o tráfego flui, se possível;</w:t>
            </w:r>
          </w:p>
          <w:p w:rsidR="00C821BE" w:rsidRPr="002362E3" w:rsidRDefault="00C821BE" w:rsidP="00C821BE">
            <w:pPr>
              <w:spacing w:after="0" w:line="240" w:lineRule="auto"/>
              <w:jc w:val="both"/>
              <w:rPr>
                <w:rFonts w:ascii="Times New Roman" w:hAnsi="Times New Roman" w:cs="Times New Roman"/>
                <w:sz w:val="16"/>
                <w:szCs w:val="16"/>
                <w:lang w:val="pt-BR"/>
              </w:rPr>
            </w:pPr>
            <w:r w:rsidRPr="002362E3">
              <w:rPr>
                <w:rFonts w:ascii="Times New Roman" w:hAnsi="Times New Roman" w:cs="Times New Roman"/>
                <w:sz w:val="16"/>
                <w:szCs w:val="16"/>
                <w:lang w:val="pt-BR"/>
              </w:rPr>
              <w:t>- Evitar estacionamentos prolongados de caminhões nas margens das vias de acesso;</w:t>
            </w:r>
          </w:p>
          <w:p w:rsidR="00C821BE" w:rsidRPr="002362E3" w:rsidRDefault="00C821BE" w:rsidP="00C821BE">
            <w:pPr>
              <w:spacing w:after="0" w:line="240" w:lineRule="auto"/>
              <w:jc w:val="both"/>
              <w:rPr>
                <w:rFonts w:ascii="Times New Roman" w:hAnsi="Times New Roman" w:cs="Times New Roman"/>
                <w:sz w:val="16"/>
                <w:szCs w:val="16"/>
                <w:lang w:val="pt-BR"/>
              </w:rPr>
            </w:pPr>
            <w:r w:rsidRPr="002362E3">
              <w:rPr>
                <w:rFonts w:ascii="Times New Roman" w:hAnsi="Times New Roman" w:cs="Times New Roman"/>
                <w:sz w:val="16"/>
                <w:szCs w:val="16"/>
                <w:lang w:val="pt-BR"/>
              </w:rPr>
              <w:t>-Informar e educar os moradores e comerciantes localizados próximo ao local com base na natureza e duração da obra;</w:t>
            </w:r>
          </w:p>
          <w:p w:rsidR="00C821BE" w:rsidRPr="002362E3" w:rsidRDefault="00C821BE" w:rsidP="00C821BE">
            <w:pPr>
              <w:spacing w:after="0" w:line="240" w:lineRule="auto"/>
              <w:jc w:val="both"/>
              <w:rPr>
                <w:rFonts w:ascii="Times New Roman" w:hAnsi="Times New Roman" w:cs="Times New Roman"/>
                <w:sz w:val="16"/>
                <w:szCs w:val="16"/>
                <w:lang w:val="pt-BR"/>
              </w:rPr>
            </w:pPr>
            <w:r w:rsidRPr="002362E3">
              <w:rPr>
                <w:rFonts w:ascii="Times New Roman" w:hAnsi="Times New Roman" w:cs="Times New Roman"/>
                <w:sz w:val="16"/>
                <w:szCs w:val="16"/>
                <w:lang w:val="pt-BR"/>
              </w:rPr>
              <w:t>- Regularizar o trânsito com a instalação de sinalização nas áreas de intervenção do projeto;</w:t>
            </w:r>
          </w:p>
        </w:tc>
        <w:tc>
          <w:tcPr>
            <w:tcW w:w="3568" w:type="dxa"/>
            <w:tcBorders>
              <w:top w:val="single" w:sz="4" w:space="0" w:color="auto"/>
              <w:left w:val="single" w:sz="4" w:space="0" w:color="auto"/>
              <w:bottom w:val="single" w:sz="4" w:space="0" w:color="auto"/>
              <w:right w:val="single" w:sz="4" w:space="0" w:color="auto"/>
            </w:tcBorders>
            <w:vAlign w:val="center"/>
          </w:tcPr>
          <w:p w:rsidR="00C821BE" w:rsidRPr="002362E3" w:rsidRDefault="00C821BE" w:rsidP="00C821BE">
            <w:pPr>
              <w:pStyle w:val="Listecouleur-Accent11"/>
              <w:ind w:left="0"/>
              <w:rPr>
                <w:rFonts w:ascii="Times New Roman" w:hAnsi="Times New Roman"/>
                <w:sz w:val="16"/>
                <w:szCs w:val="16"/>
                <w:lang w:val="pt-BR"/>
              </w:rPr>
            </w:pPr>
            <w:r w:rsidRPr="002362E3">
              <w:rPr>
                <w:rFonts w:ascii="Times New Roman" w:hAnsi="Times New Roman"/>
                <w:sz w:val="16"/>
                <w:szCs w:val="16"/>
                <w:lang w:val="pt-BR"/>
              </w:rPr>
              <w:t>-Presença de plano de trânsito validado;</w:t>
            </w:r>
          </w:p>
          <w:p w:rsidR="00C821BE" w:rsidRPr="002362E3" w:rsidRDefault="00C821BE" w:rsidP="00C821BE">
            <w:pPr>
              <w:pStyle w:val="Listecouleur-Accent11"/>
              <w:ind w:left="0"/>
              <w:rPr>
                <w:rFonts w:ascii="Times New Roman" w:hAnsi="Times New Roman"/>
                <w:sz w:val="16"/>
                <w:szCs w:val="16"/>
                <w:lang w:val="pt-BR"/>
              </w:rPr>
            </w:pPr>
            <w:r w:rsidRPr="002362E3">
              <w:rPr>
                <w:rFonts w:ascii="Times New Roman" w:hAnsi="Times New Roman"/>
                <w:sz w:val="16"/>
                <w:szCs w:val="16"/>
                <w:lang w:val="pt-BR"/>
              </w:rPr>
              <w:t>- Zona de intervenção sinalizada;</w:t>
            </w:r>
          </w:p>
          <w:p w:rsidR="00C821BE" w:rsidRPr="002362E3" w:rsidRDefault="00C821BE" w:rsidP="00C821BE">
            <w:pPr>
              <w:pStyle w:val="Listecouleur-Accent11"/>
              <w:ind w:left="0"/>
              <w:rPr>
                <w:rFonts w:ascii="Times New Roman" w:hAnsi="Times New Roman"/>
                <w:sz w:val="16"/>
                <w:szCs w:val="16"/>
                <w:lang w:val="pt-BR"/>
              </w:rPr>
            </w:pPr>
            <w:r w:rsidRPr="002362E3">
              <w:rPr>
                <w:rFonts w:ascii="Times New Roman" w:hAnsi="Times New Roman"/>
                <w:sz w:val="16"/>
                <w:szCs w:val="16"/>
                <w:lang w:val="pt-BR"/>
              </w:rPr>
              <w:t>- Número de moradores e comerciantes informados e sensibilizados;</w:t>
            </w:r>
          </w:p>
          <w:p w:rsidR="00C821BE" w:rsidRPr="002362E3" w:rsidRDefault="00C821BE" w:rsidP="00C821BE">
            <w:pPr>
              <w:pStyle w:val="Listecouleur-Accent11"/>
              <w:ind w:left="0"/>
              <w:rPr>
                <w:rFonts w:ascii="Times New Roman" w:hAnsi="Times New Roman"/>
                <w:sz w:val="16"/>
                <w:szCs w:val="16"/>
                <w:lang w:val="pt-BR"/>
              </w:rPr>
            </w:pPr>
            <w:r w:rsidRPr="002362E3">
              <w:rPr>
                <w:rFonts w:ascii="Times New Roman" w:hAnsi="Times New Roman"/>
                <w:sz w:val="16"/>
                <w:szCs w:val="16"/>
                <w:lang w:val="pt-BR"/>
              </w:rPr>
              <w:t>-Presença de sinalização nas zonas de intervenção;</w:t>
            </w:r>
          </w:p>
        </w:tc>
        <w:tc>
          <w:tcPr>
            <w:tcW w:w="1134"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C821BE" w:rsidRPr="002362E3" w:rsidRDefault="00C821BE" w:rsidP="00C821BE">
            <w:pPr>
              <w:spacing w:after="0" w:line="240" w:lineRule="auto"/>
              <w:jc w:val="center"/>
              <w:rPr>
                <w:rFonts w:ascii="Times New Roman" w:hAnsi="Times New Roman" w:cs="Times New Roman"/>
                <w:b/>
                <w:sz w:val="16"/>
                <w:szCs w:val="16"/>
                <w:lang w:val="pt-BR"/>
              </w:rPr>
            </w:pPr>
            <w:r w:rsidRPr="002362E3">
              <w:rPr>
                <w:rFonts w:ascii="Times New Roman" w:hAnsi="Times New Roman" w:cs="Times New Roman"/>
                <w:b/>
                <w:sz w:val="16"/>
                <w:szCs w:val="16"/>
                <w:lang w:val="pt-BR"/>
              </w:rPr>
              <w:t>O negócio</w:t>
            </w:r>
          </w:p>
          <w:p w:rsidR="00C821BE" w:rsidRPr="002362E3" w:rsidRDefault="00C821BE" w:rsidP="00C821BE">
            <w:pPr>
              <w:spacing w:after="0" w:line="240" w:lineRule="auto"/>
              <w:jc w:val="center"/>
              <w:rPr>
                <w:rFonts w:ascii="Times New Roman" w:hAnsi="Times New Roman" w:cs="Times New Roman"/>
                <w:b/>
                <w:sz w:val="16"/>
                <w:szCs w:val="16"/>
                <w:lang w:val="pt-BR"/>
              </w:rPr>
            </w:pPr>
          </w:p>
        </w:tc>
        <w:tc>
          <w:tcPr>
            <w:tcW w:w="1120"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C821BE" w:rsidRPr="002362E3" w:rsidRDefault="00C821BE" w:rsidP="00C821BE">
            <w:pPr>
              <w:spacing w:after="0" w:line="240" w:lineRule="auto"/>
              <w:jc w:val="center"/>
              <w:rPr>
                <w:rFonts w:ascii="Times New Roman" w:hAnsi="Times New Roman" w:cs="Times New Roman"/>
                <w:b/>
                <w:sz w:val="16"/>
                <w:szCs w:val="16"/>
                <w:lang w:val="pt-BR"/>
              </w:rPr>
            </w:pPr>
            <w:r w:rsidRPr="002362E3">
              <w:rPr>
                <w:rFonts w:ascii="Times New Roman" w:hAnsi="Times New Roman" w:cs="Times New Roman"/>
                <w:b/>
                <w:sz w:val="16"/>
                <w:szCs w:val="16"/>
                <w:lang w:val="pt-BR"/>
              </w:rPr>
              <w:t>Comitê de Monitoramento</w:t>
            </w:r>
          </w:p>
          <w:p w:rsidR="00C821BE" w:rsidRPr="002362E3" w:rsidRDefault="00C821BE" w:rsidP="00C821BE">
            <w:pPr>
              <w:spacing w:after="0" w:line="240" w:lineRule="auto"/>
              <w:jc w:val="center"/>
              <w:rPr>
                <w:rFonts w:ascii="Times New Roman" w:hAnsi="Times New Roman" w:cs="Times New Roman"/>
                <w:b/>
                <w:sz w:val="16"/>
                <w:szCs w:val="16"/>
                <w:lang w:val="pt-BR"/>
              </w:rPr>
            </w:pPr>
          </w:p>
          <w:p w:rsidR="00C821BE" w:rsidRPr="002362E3" w:rsidRDefault="00C821BE" w:rsidP="00C821BE">
            <w:pPr>
              <w:spacing w:after="0" w:line="240" w:lineRule="auto"/>
              <w:jc w:val="center"/>
              <w:rPr>
                <w:rFonts w:ascii="Times New Roman" w:hAnsi="Times New Roman" w:cs="Times New Roman"/>
                <w:b/>
                <w:sz w:val="16"/>
                <w:szCs w:val="16"/>
                <w:lang w:val="pt-BR"/>
              </w:rPr>
            </w:pPr>
            <w:r w:rsidRPr="002362E3">
              <w:rPr>
                <w:rFonts w:ascii="Times New Roman" w:hAnsi="Times New Roman" w:cs="Times New Roman"/>
                <w:b/>
                <w:sz w:val="16"/>
                <w:szCs w:val="16"/>
                <w:lang w:val="pt-BR"/>
              </w:rPr>
              <w:t>PUASEE-FA</w:t>
            </w:r>
          </w:p>
        </w:tc>
        <w:tc>
          <w:tcPr>
            <w:tcW w:w="1445" w:type="dxa"/>
            <w:tcBorders>
              <w:top w:val="single" w:sz="4" w:space="0" w:color="auto"/>
              <w:left w:val="single" w:sz="4" w:space="0" w:color="auto"/>
              <w:bottom w:val="single" w:sz="4" w:space="0" w:color="auto"/>
              <w:right w:val="single" w:sz="4" w:space="0" w:color="auto"/>
            </w:tcBorders>
            <w:vAlign w:val="center"/>
          </w:tcPr>
          <w:p w:rsidR="00C821BE" w:rsidRPr="002362E3" w:rsidRDefault="00C821BE" w:rsidP="00C821BE">
            <w:pPr>
              <w:spacing w:after="0" w:line="240" w:lineRule="auto"/>
              <w:jc w:val="center"/>
              <w:rPr>
                <w:rFonts w:ascii="Times New Roman" w:hAnsi="Times New Roman" w:cs="Times New Roman"/>
                <w:sz w:val="16"/>
                <w:szCs w:val="16"/>
                <w:lang w:val="pt-BR"/>
              </w:rPr>
            </w:pPr>
            <w:r w:rsidRPr="002362E3">
              <w:rPr>
                <w:rFonts w:ascii="Times New Roman" w:hAnsi="Times New Roman" w:cs="Times New Roman"/>
                <w:sz w:val="16"/>
                <w:szCs w:val="16"/>
                <w:lang w:val="pt-BR"/>
              </w:rPr>
              <w:t>No início e continuamente</w:t>
            </w:r>
          </w:p>
          <w:p w:rsidR="00C821BE" w:rsidRPr="002362E3" w:rsidRDefault="00C821BE" w:rsidP="00C821BE">
            <w:pPr>
              <w:spacing w:after="0" w:line="240" w:lineRule="auto"/>
              <w:jc w:val="center"/>
              <w:rPr>
                <w:rFonts w:ascii="Times New Roman" w:hAnsi="Times New Roman" w:cs="Times New Roman"/>
                <w:sz w:val="16"/>
                <w:szCs w:val="16"/>
                <w:lang w:val="pt-BR"/>
              </w:rPr>
            </w:pPr>
          </w:p>
        </w:tc>
        <w:tc>
          <w:tcPr>
            <w:tcW w:w="112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C821BE" w:rsidRPr="002362E3" w:rsidRDefault="00C821BE" w:rsidP="00C821BE">
            <w:pPr>
              <w:spacing w:after="0" w:line="240" w:lineRule="auto"/>
              <w:jc w:val="center"/>
              <w:rPr>
                <w:rFonts w:ascii="Times New Roman" w:hAnsi="Times New Roman" w:cs="Times New Roman"/>
                <w:b/>
                <w:sz w:val="16"/>
                <w:szCs w:val="16"/>
                <w:lang w:val="pt-BR"/>
              </w:rPr>
            </w:pPr>
            <w:r w:rsidRPr="002362E3">
              <w:rPr>
                <w:rFonts w:ascii="Times New Roman" w:hAnsi="Times New Roman" w:cs="Times New Roman"/>
                <w:b/>
                <w:sz w:val="16"/>
                <w:szCs w:val="16"/>
                <w:lang w:val="pt-BR"/>
              </w:rPr>
              <w:t>2.000.000</w:t>
            </w:r>
          </w:p>
        </w:tc>
      </w:tr>
      <w:tr w:rsidR="00C821BE" w:rsidRPr="002362E3" w:rsidTr="00C821BE">
        <w:trPr>
          <w:trHeight w:val="526"/>
          <w:jc w:val="center"/>
        </w:trPr>
        <w:tc>
          <w:tcPr>
            <w:tcW w:w="1212"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C821BE" w:rsidRPr="002362E3" w:rsidRDefault="00C821BE" w:rsidP="00C821BE">
            <w:pPr>
              <w:spacing w:after="0" w:line="240" w:lineRule="auto"/>
              <w:jc w:val="center"/>
              <w:rPr>
                <w:rFonts w:ascii="Times New Roman" w:hAnsi="Times New Roman" w:cs="Times New Roman"/>
                <w:b/>
                <w:bCs/>
                <w:sz w:val="16"/>
                <w:szCs w:val="16"/>
                <w:lang w:val="pt-BR"/>
              </w:rPr>
            </w:pPr>
            <w:r w:rsidRPr="002362E3">
              <w:rPr>
                <w:rFonts w:ascii="Times New Roman" w:hAnsi="Times New Roman" w:cs="Times New Roman"/>
                <w:b/>
                <w:bCs/>
                <w:sz w:val="16"/>
                <w:szCs w:val="16"/>
                <w:lang w:val="pt-BR"/>
              </w:rPr>
              <w:t>Saúde</w:t>
            </w:r>
          </w:p>
        </w:tc>
        <w:tc>
          <w:tcPr>
            <w:tcW w:w="2079" w:type="dxa"/>
            <w:tcBorders>
              <w:top w:val="single" w:sz="4" w:space="0" w:color="auto"/>
              <w:left w:val="single" w:sz="4" w:space="0" w:color="auto"/>
              <w:bottom w:val="single" w:sz="4" w:space="0" w:color="auto"/>
              <w:right w:val="single" w:sz="4" w:space="0" w:color="auto"/>
            </w:tcBorders>
            <w:vAlign w:val="center"/>
          </w:tcPr>
          <w:p w:rsidR="00C821BE" w:rsidRPr="002362E3" w:rsidRDefault="00C821BE" w:rsidP="00C821BE">
            <w:pPr>
              <w:spacing w:after="0" w:line="240" w:lineRule="auto"/>
              <w:jc w:val="center"/>
              <w:rPr>
                <w:rFonts w:ascii="Times New Roman" w:hAnsi="Times New Roman" w:cs="Times New Roman"/>
                <w:sz w:val="16"/>
                <w:szCs w:val="16"/>
                <w:lang w:val="pt-BR"/>
              </w:rPr>
            </w:pPr>
            <w:r w:rsidRPr="002362E3">
              <w:rPr>
                <w:rFonts w:ascii="Times New Roman" w:hAnsi="Times New Roman" w:cs="Times New Roman"/>
                <w:sz w:val="16"/>
                <w:szCs w:val="16"/>
                <w:lang w:val="pt-BR"/>
              </w:rPr>
              <w:t>Risco de acidente</w:t>
            </w:r>
          </w:p>
        </w:tc>
        <w:tc>
          <w:tcPr>
            <w:tcW w:w="4335" w:type="dxa"/>
            <w:tcBorders>
              <w:top w:val="single" w:sz="4" w:space="0" w:color="auto"/>
              <w:left w:val="single" w:sz="4" w:space="0" w:color="auto"/>
              <w:bottom w:val="single" w:sz="4" w:space="0" w:color="auto"/>
              <w:right w:val="single" w:sz="4" w:space="0" w:color="auto"/>
            </w:tcBorders>
            <w:vAlign w:val="center"/>
          </w:tcPr>
          <w:p w:rsidR="00C821BE" w:rsidRPr="002362E3" w:rsidRDefault="00C821BE" w:rsidP="00C821BE">
            <w:pPr>
              <w:spacing w:after="0" w:line="240" w:lineRule="auto"/>
              <w:jc w:val="both"/>
              <w:rPr>
                <w:rFonts w:ascii="Times New Roman" w:hAnsi="Times New Roman" w:cs="Times New Roman"/>
                <w:sz w:val="16"/>
                <w:szCs w:val="16"/>
                <w:lang w:val="pt-BR"/>
              </w:rPr>
            </w:pPr>
            <w:r w:rsidRPr="002362E3">
              <w:rPr>
                <w:rFonts w:ascii="Times New Roman" w:hAnsi="Times New Roman" w:cs="Times New Roman"/>
                <w:sz w:val="16"/>
                <w:szCs w:val="16"/>
                <w:lang w:val="pt-BR"/>
              </w:rPr>
              <w:t>-Estabelecer um perímetro de segurança ao nível dos vários locais (local de realização dos tanques);</w:t>
            </w:r>
          </w:p>
          <w:p w:rsidR="00C821BE" w:rsidRPr="002362E3" w:rsidRDefault="00C821BE" w:rsidP="00C821BE">
            <w:pPr>
              <w:spacing w:after="0" w:line="240" w:lineRule="auto"/>
              <w:jc w:val="both"/>
              <w:rPr>
                <w:rFonts w:ascii="Times New Roman" w:hAnsi="Times New Roman" w:cs="Times New Roman"/>
                <w:sz w:val="16"/>
                <w:szCs w:val="16"/>
                <w:lang w:val="pt-BR"/>
              </w:rPr>
            </w:pPr>
            <w:r w:rsidRPr="002362E3">
              <w:rPr>
                <w:rFonts w:ascii="Times New Roman" w:hAnsi="Times New Roman" w:cs="Times New Roman"/>
                <w:sz w:val="16"/>
                <w:szCs w:val="16"/>
                <w:lang w:val="pt-BR"/>
              </w:rPr>
              <w:t>-Instalação de sinais de trânsito;</w:t>
            </w:r>
          </w:p>
          <w:p w:rsidR="00C821BE" w:rsidRPr="002362E3" w:rsidRDefault="00C821BE" w:rsidP="00C821BE">
            <w:pPr>
              <w:spacing w:after="0" w:line="240" w:lineRule="auto"/>
              <w:jc w:val="both"/>
              <w:rPr>
                <w:rFonts w:ascii="Times New Roman" w:hAnsi="Times New Roman" w:cs="Times New Roman"/>
                <w:sz w:val="16"/>
                <w:szCs w:val="16"/>
                <w:lang w:val="pt-BR"/>
              </w:rPr>
            </w:pPr>
            <w:r w:rsidRPr="002362E3">
              <w:rPr>
                <w:rFonts w:ascii="Times New Roman" w:hAnsi="Times New Roman" w:cs="Times New Roman"/>
                <w:sz w:val="16"/>
                <w:szCs w:val="16"/>
                <w:lang w:val="pt-BR"/>
              </w:rPr>
              <w:t>- Evitar estacionamentos prolongados de caminhões nas margens das vias de acesso;</w:t>
            </w:r>
          </w:p>
          <w:p w:rsidR="00C821BE" w:rsidRPr="002362E3" w:rsidRDefault="00C821BE" w:rsidP="00C821BE">
            <w:pPr>
              <w:spacing w:after="0" w:line="240" w:lineRule="auto"/>
              <w:jc w:val="both"/>
              <w:rPr>
                <w:rFonts w:ascii="Times New Roman" w:hAnsi="Times New Roman" w:cs="Times New Roman"/>
                <w:sz w:val="16"/>
                <w:szCs w:val="16"/>
                <w:lang w:val="pt-BR"/>
              </w:rPr>
            </w:pPr>
            <w:r w:rsidRPr="002362E3">
              <w:rPr>
                <w:rFonts w:ascii="Times New Roman" w:hAnsi="Times New Roman" w:cs="Times New Roman"/>
                <w:sz w:val="16"/>
                <w:szCs w:val="16"/>
                <w:lang w:val="pt-BR"/>
              </w:rPr>
              <w:t>- Exigir o uso obrigatório de EPI, etc. ;</w:t>
            </w:r>
          </w:p>
        </w:tc>
        <w:tc>
          <w:tcPr>
            <w:tcW w:w="3568" w:type="dxa"/>
            <w:tcBorders>
              <w:top w:val="single" w:sz="4" w:space="0" w:color="auto"/>
              <w:left w:val="single" w:sz="4" w:space="0" w:color="auto"/>
              <w:bottom w:val="single" w:sz="4" w:space="0" w:color="auto"/>
              <w:right w:val="single" w:sz="4" w:space="0" w:color="auto"/>
            </w:tcBorders>
            <w:vAlign w:val="center"/>
          </w:tcPr>
          <w:p w:rsidR="00C821BE" w:rsidRPr="002362E3" w:rsidRDefault="00C821BE" w:rsidP="00C821BE">
            <w:pPr>
              <w:spacing w:after="0" w:line="240" w:lineRule="auto"/>
              <w:jc w:val="both"/>
              <w:rPr>
                <w:rFonts w:ascii="Times New Roman" w:hAnsi="Times New Roman" w:cs="Times New Roman"/>
                <w:sz w:val="16"/>
                <w:szCs w:val="16"/>
                <w:lang w:val="pt-BR"/>
              </w:rPr>
            </w:pPr>
            <w:r w:rsidRPr="002362E3">
              <w:rPr>
                <w:rFonts w:ascii="Times New Roman" w:hAnsi="Times New Roman" w:cs="Times New Roman"/>
                <w:sz w:val="16"/>
                <w:szCs w:val="16"/>
                <w:lang w:val="pt-BR"/>
              </w:rPr>
              <w:t>- Número de acidentes ou incidentes;</w:t>
            </w:r>
          </w:p>
          <w:p w:rsidR="00C821BE" w:rsidRPr="002362E3" w:rsidRDefault="00C821BE" w:rsidP="00C821BE">
            <w:pPr>
              <w:spacing w:after="0" w:line="240" w:lineRule="auto"/>
              <w:jc w:val="both"/>
              <w:rPr>
                <w:rFonts w:ascii="Times New Roman" w:hAnsi="Times New Roman" w:cs="Times New Roman"/>
                <w:sz w:val="16"/>
                <w:szCs w:val="16"/>
                <w:lang w:val="pt-BR"/>
              </w:rPr>
            </w:pPr>
            <w:r w:rsidRPr="002362E3">
              <w:rPr>
                <w:rFonts w:ascii="Times New Roman" w:hAnsi="Times New Roman" w:cs="Times New Roman"/>
                <w:sz w:val="16"/>
                <w:szCs w:val="16"/>
                <w:lang w:val="pt-BR"/>
              </w:rPr>
              <w:t>- Número de reclamações;</w:t>
            </w:r>
          </w:p>
          <w:p w:rsidR="00C821BE" w:rsidRPr="002362E3" w:rsidRDefault="00C821BE" w:rsidP="00C821BE">
            <w:pPr>
              <w:spacing w:after="0" w:line="240" w:lineRule="auto"/>
              <w:jc w:val="both"/>
              <w:rPr>
                <w:rFonts w:ascii="Times New Roman" w:hAnsi="Times New Roman" w:cs="Times New Roman"/>
                <w:sz w:val="16"/>
                <w:szCs w:val="16"/>
                <w:lang w:val="pt-BR"/>
              </w:rPr>
            </w:pPr>
            <w:r w:rsidRPr="002362E3">
              <w:rPr>
                <w:rFonts w:ascii="Times New Roman" w:hAnsi="Times New Roman" w:cs="Times New Roman"/>
                <w:sz w:val="16"/>
                <w:szCs w:val="16"/>
                <w:lang w:val="pt-BR"/>
              </w:rPr>
              <w:t>- Uso efetivo do EPI;</w:t>
            </w:r>
          </w:p>
        </w:tc>
        <w:tc>
          <w:tcPr>
            <w:tcW w:w="1134"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C821BE" w:rsidRPr="002362E3" w:rsidRDefault="00C821BE" w:rsidP="00C821BE">
            <w:pPr>
              <w:spacing w:after="0" w:line="240" w:lineRule="auto"/>
              <w:jc w:val="center"/>
              <w:rPr>
                <w:rFonts w:ascii="Times New Roman" w:hAnsi="Times New Roman" w:cs="Times New Roman"/>
                <w:b/>
                <w:sz w:val="16"/>
                <w:szCs w:val="16"/>
                <w:lang w:val="pt-BR"/>
              </w:rPr>
            </w:pPr>
            <w:r w:rsidRPr="002362E3">
              <w:rPr>
                <w:rFonts w:ascii="Times New Roman" w:hAnsi="Times New Roman" w:cs="Times New Roman"/>
                <w:b/>
                <w:sz w:val="16"/>
                <w:szCs w:val="16"/>
                <w:lang w:val="pt-BR"/>
              </w:rPr>
              <w:t>O negócio</w:t>
            </w:r>
          </w:p>
          <w:p w:rsidR="00C821BE" w:rsidRPr="002362E3" w:rsidRDefault="00C821BE" w:rsidP="00C821BE">
            <w:pPr>
              <w:spacing w:after="0" w:line="240" w:lineRule="auto"/>
              <w:jc w:val="center"/>
              <w:rPr>
                <w:rFonts w:ascii="Times New Roman" w:hAnsi="Times New Roman" w:cs="Times New Roman"/>
                <w:b/>
                <w:sz w:val="16"/>
                <w:szCs w:val="16"/>
                <w:lang w:val="pt-BR"/>
              </w:rPr>
            </w:pPr>
          </w:p>
        </w:tc>
        <w:tc>
          <w:tcPr>
            <w:tcW w:w="1120"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C821BE" w:rsidRPr="002362E3" w:rsidRDefault="00C821BE" w:rsidP="00C821BE">
            <w:pPr>
              <w:spacing w:after="0" w:line="240" w:lineRule="auto"/>
              <w:jc w:val="center"/>
              <w:rPr>
                <w:rFonts w:ascii="Times New Roman" w:hAnsi="Times New Roman" w:cs="Times New Roman"/>
                <w:b/>
                <w:sz w:val="16"/>
                <w:szCs w:val="16"/>
                <w:lang w:val="pt-BR"/>
              </w:rPr>
            </w:pPr>
            <w:r w:rsidRPr="002362E3">
              <w:rPr>
                <w:rFonts w:ascii="Times New Roman" w:hAnsi="Times New Roman" w:cs="Times New Roman"/>
                <w:b/>
                <w:sz w:val="16"/>
                <w:szCs w:val="16"/>
                <w:lang w:val="pt-BR"/>
              </w:rPr>
              <w:t>Comitê de Monitoramento</w:t>
            </w:r>
          </w:p>
          <w:p w:rsidR="00C821BE" w:rsidRPr="002362E3" w:rsidRDefault="00C821BE" w:rsidP="00C821BE">
            <w:pPr>
              <w:spacing w:after="0" w:line="240" w:lineRule="auto"/>
              <w:jc w:val="center"/>
              <w:rPr>
                <w:rFonts w:ascii="Times New Roman" w:hAnsi="Times New Roman" w:cs="Times New Roman"/>
                <w:b/>
                <w:sz w:val="16"/>
                <w:szCs w:val="16"/>
                <w:lang w:val="pt-BR"/>
              </w:rPr>
            </w:pPr>
          </w:p>
          <w:p w:rsidR="00C821BE" w:rsidRPr="002362E3" w:rsidRDefault="00C821BE" w:rsidP="00C821BE">
            <w:pPr>
              <w:spacing w:after="0" w:line="240" w:lineRule="auto"/>
              <w:jc w:val="center"/>
              <w:rPr>
                <w:rFonts w:ascii="Times New Roman" w:hAnsi="Times New Roman" w:cs="Times New Roman"/>
                <w:b/>
                <w:sz w:val="16"/>
                <w:szCs w:val="16"/>
                <w:lang w:val="pt-BR"/>
              </w:rPr>
            </w:pPr>
            <w:r w:rsidRPr="002362E3">
              <w:rPr>
                <w:rFonts w:ascii="Times New Roman" w:hAnsi="Times New Roman" w:cs="Times New Roman"/>
                <w:b/>
                <w:sz w:val="16"/>
                <w:szCs w:val="16"/>
                <w:lang w:val="pt-BR"/>
              </w:rPr>
              <w:t>PUASEE-FA</w:t>
            </w:r>
          </w:p>
        </w:tc>
        <w:tc>
          <w:tcPr>
            <w:tcW w:w="1445" w:type="dxa"/>
            <w:tcBorders>
              <w:top w:val="single" w:sz="4" w:space="0" w:color="auto"/>
              <w:left w:val="single" w:sz="4" w:space="0" w:color="auto"/>
              <w:bottom w:val="single" w:sz="4" w:space="0" w:color="auto"/>
              <w:right w:val="single" w:sz="4" w:space="0" w:color="auto"/>
            </w:tcBorders>
            <w:vAlign w:val="center"/>
          </w:tcPr>
          <w:p w:rsidR="00C821BE" w:rsidRPr="002362E3" w:rsidRDefault="00C821BE" w:rsidP="00C821BE">
            <w:pPr>
              <w:spacing w:after="0" w:line="240" w:lineRule="auto"/>
              <w:jc w:val="center"/>
              <w:rPr>
                <w:rFonts w:ascii="Times New Roman" w:hAnsi="Times New Roman" w:cs="Times New Roman"/>
                <w:sz w:val="16"/>
                <w:szCs w:val="16"/>
                <w:lang w:val="pt-BR"/>
              </w:rPr>
            </w:pPr>
            <w:r w:rsidRPr="002362E3">
              <w:rPr>
                <w:rFonts w:ascii="Times New Roman" w:hAnsi="Times New Roman" w:cs="Times New Roman"/>
                <w:sz w:val="16"/>
                <w:szCs w:val="16"/>
                <w:lang w:val="pt-BR"/>
              </w:rPr>
              <w:t>Durante a construção / Trimestral</w:t>
            </w:r>
          </w:p>
        </w:tc>
        <w:tc>
          <w:tcPr>
            <w:tcW w:w="112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C821BE" w:rsidRPr="002362E3" w:rsidRDefault="00C821BE" w:rsidP="00C821BE">
            <w:pPr>
              <w:spacing w:after="0" w:line="240" w:lineRule="auto"/>
              <w:jc w:val="center"/>
              <w:rPr>
                <w:rFonts w:ascii="Times New Roman" w:hAnsi="Times New Roman" w:cs="Times New Roman"/>
                <w:b/>
                <w:sz w:val="16"/>
                <w:szCs w:val="16"/>
                <w:lang w:val="pt-BR"/>
              </w:rPr>
            </w:pPr>
            <w:r w:rsidRPr="002362E3">
              <w:rPr>
                <w:rFonts w:ascii="Times New Roman" w:hAnsi="Times New Roman" w:cs="Times New Roman"/>
                <w:b/>
                <w:sz w:val="16"/>
                <w:szCs w:val="16"/>
                <w:lang w:val="pt-BR"/>
              </w:rPr>
              <w:t>2.500.000</w:t>
            </w:r>
          </w:p>
        </w:tc>
      </w:tr>
      <w:tr w:rsidR="00C821BE" w:rsidRPr="002362E3" w:rsidTr="00C821BE">
        <w:trPr>
          <w:trHeight w:val="1992"/>
          <w:jc w:val="center"/>
        </w:trPr>
        <w:tc>
          <w:tcPr>
            <w:tcW w:w="1212"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C821BE" w:rsidRPr="002362E3" w:rsidRDefault="00C821BE" w:rsidP="00C821BE">
            <w:pPr>
              <w:spacing w:after="0" w:line="240" w:lineRule="auto"/>
              <w:jc w:val="center"/>
              <w:rPr>
                <w:rFonts w:ascii="Times New Roman" w:hAnsi="Times New Roman" w:cs="Times New Roman"/>
                <w:b/>
                <w:bCs/>
                <w:sz w:val="16"/>
                <w:szCs w:val="16"/>
                <w:lang w:val="pt-BR"/>
              </w:rPr>
            </w:pPr>
            <w:r w:rsidRPr="002362E3">
              <w:rPr>
                <w:rFonts w:ascii="Times New Roman" w:hAnsi="Times New Roman" w:cs="Times New Roman"/>
                <w:b/>
                <w:bCs/>
                <w:sz w:val="16"/>
                <w:szCs w:val="16"/>
                <w:lang w:val="pt-BR"/>
              </w:rPr>
              <w:t>Saúde</w:t>
            </w:r>
          </w:p>
        </w:tc>
        <w:tc>
          <w:tcPr>
            <w:tcW w:w="2079" w:type="dxa"/>
            <w:tcBorders>
              <w:top w:val="single" w:sz="4" w:space="0" w:color="auto"/>
              <w:left w:val="single" w:sz="4" w:space="0" w:color="auto"/>
              <w:bottom w:val="single" w:sz="4" w:space="0" w:color="auto"/>
              <w:right w:val="single" w:sz="4" w:space="0" w:color="auto"/>
            </w:tcBorders>
            <w:vAlign w:val="center"/>
          </w:tcPr>
          <w:p w:rsidR="00C821BE" w:rsidRPr="002362E3" w:rsidRDefault="00C821BE" w:rsidP="00C821BE">
            <w:pPr>
              <w:spacing w:after="0" w:line="240" w:lineRule="auto"/>
              <w:jc w:val="both"/>
              <w:rPr>
                <w:rFonts w:ascii="Times New Roman" w:hAnsi="Times New Roman" w:cs="Times New Roman"/>
                <w:sz w:val="16"/>
                <w:szCs w:val="16"/>
                <w:lang w:val="pt-BR"/>
              </w:rPr>
            </w:pPr>
            <w:r w:rsidRPr="002362E3">
              <w:rPr>
                <w:rFonts w:ascii="Times New Roman" w:hAnsi="Times New Roman" w:cs="Times New Roman"/>
                <w:sz w:val="16"/>
                <w:szCs w:val="16"/>
                <w:lang w:val="pt-BR"/>
              </w:rPr>
              <w:t>- Prejuízos à saúde do trabalhador;</w:t>
            </w:r>
          </w:p>
          <w:p w:rsidR="00C821BE" w:rsidRPr="002362E3" w:rsidRDefault="00C821BE" w:rsidP="00C821BE">
            <w:pPr>
              <w:spacing w:after="0" w:line="240" w:lineRule="auto"/>
              <w:jc w:val="both"/>
              <w:rPr>
                <w:rFonts w:ascii="Times New Roman" w:hAnsi="Times New Roman" w:cs="Times New Roman"/>
                <w:sz w:val="16"/>
                <w:szCs w:val="16"/>
                <w:lang w:val="pt-BR"/>
              </w:rPr>
            </w:pPr>
            <w:r w:rsidRPr="002362E3">
              <w:rPr>
                <w:rFonts w:ascii="Times New Roman" w:hAnsi="Times New Roman" w:cs="Times New Roman"/>
                <w:sz w:val="16"/>
                <w:szCs w:val="16"/>
                <w:lang w:val="pt-BR"/>
              </w:rPr>
              <w:t>-Ferimentos ;</w:t>
            </w:r>
          </w:p>
          <w:p w:rsidR="00C821BE" w:rsidRPr="002362E3" w:rsidRDefault="00C821BE" w:rsidP="00C821BE">
            <w:pPr>
              <w:spacing w:after="0" w:line="240" w:lineRule="auto"/>
              <w:jc w:val="both"/>
              <w:rPr>
                <w:rFonts w:ascii="Times New Roman" w:hAnsi="Times New Roman" w:cs="Times New Roman"/>
                <w:sz w:val="16"/>
                <w:szCs w:val="16"/>
                <w:lang w:val="pt-BR"/>
              </w:rPr>
            </w:pPr>
            <w:r w:rsidRPr="002362E3">
              <w:rPr>
                <w:rFonts w:ascii="Times New Roman" w:hAnsi="Times New Roman" w:cs="Times New Roman"/>
                <w:sz w:val="16"/>
                <w:szCs w:val="16"/>
                <w:lang w:val="pt-BR"/>
              </w:rPr>
              <w:t>-Risco de disseminação de AIDS e doenças sexualmente transmissíveis;</w:t>
            </w:r>
          </w:p>
          <w:p w:rsidR="00C821BE" w:rsidRPr="002362E3" w:rsidRDefault="00C821BE" w:rsidP="00C821BE">
            <w:pPr>
              <w:spacing w:after="0" w:line="240" w:lineRule="auto"/>
              <w:jc w:val="both"/>
              <w:rPr>
                <w:rFonts w:ascii="Times New Roman" w:hAnsi="Times New Roman" w:cs="Times New Roman"/>
                <w:sz w:val="16"/>
                <w:szCs w:val="16"/>
                <w:lang w:val="pt-BR"/>
              </w:rPr>
            </w:pPr>
            <w:r w:rsidRPr="002362E3">
              <w:rPr>
                <w:rFonts w:ascii="Times New Roman" w:hAnsi="Times New Roman" w:cs="Times New Roman"/>
                <w:sz w:val="16"/>
                <w:szCs w:val="16"/>
                <w:lang w:val="pt-BR"/>
              </w:rPr>
              <w:t>-Risco de doenças ocupacionais decorrentes de esforços físicos, esmagamentos, choques, movimentos repetitivos, más posturas, lesões, quedas, acidentes de trabalho, etc.</w:t>
            </w:r>
          </w:p>
        </w:tc>
        <w:tc>
          <w:tcPr>
            <w:tcW w:w="4335" w:type="dxa"/>
            <w:tcBorders>
              <w:top w:val="single" w:sz="4" w:space="0" w:color="auto"/>
              <w:left w:val="single" w:sz="4" w:space="0" w:color="auto"/>
              <w:bottom w:val="single" w:sz="4" w:space="0" w:color="auto"/>
              <w:right w:val="single" w:sz="4" w:space="0" w:color="auto"/>
            </w:tcBorders>
            <w:vAlign w:val="center"/>
          </w:tcPr>
          <w:p w:rsidR="00C821BE" w:rsidRPr="002362E3" w:rsidRDefault="00C821BE" w:rsidP="00C821BE">
            <w:pPr>
              <w:spacing w:after="0" w:line="240" w:lineRule="auto"/>
              <w:jc w:val="both"/>
              <w:rPr>
                <w:rFonts w:ascii="Times New Roman" w:hAnsi="Times New Roman" w:cs="Times New Roman"/>
                <w:sz w:val="16"/>
                <w:szCs w:val="16"/>
                <w:lang w:val="pt-BR"/>
              </w:rPr>
            </w:pPr>
            <w:r w:rsidRPr="002362E3">
              <w:rPr>
                <w:rFonts w:ascii="Times New Roman" w:hAnsi="Times New Roman" w:cs="Times New Roman"/>
                <w:sz w:val="16"/>
                <w:szCs w:val="16"/>
                <w:lang w:val="pt-BR"/>
              </w:rPr>
              <w:t>- Materializar as bases do local e proibir o acesso a qualquer pessoa que não seja o pessoal do local;</w:t>
            </w:r>
          </w:p>
          <w:p w:rsidR="00C821BE" w:rsidRPr="002362E3" w:rsidRDefault="00C821BE" w:rsidP="00C821BE">
            <w:pPr>
              <w:spacing w:after="0" w:line="240" w:lineRule="auto"/>
              <w:jc w:val="both"/>
              <w:rPr>
                <w:rFonts w:ascii="Times New Roman" w:hAnsi="Times New Roman" w:cs="Times New Roman"/>
                <w:sz w:val="16"/>
                <w:szCs w:val="16"/>
                <w:lang w:val="pt-BR"/>
              </w:rPr>
            </w:pPr>
            <w:r w:rsidRPr="002362E3">
              <w:rPr>
                <w:rFonts w:ascii="Times New Roman" w:hAnsi="Times New Roman" w:cs="Times New Roman"/>
                <w:sz w:val="16"/>
                <w:szCs w:val="16"/>
                <w:lang w:val="pt-BR"/>
              </w:rPr>
              <w:t>- Estabeleça um perímetro de segurança ao redor do local;</w:t>
            </w:r>
          </w:p>
          <w:p w:rsidR="00C821BE" w:rsidRPr="002362E3" w:rsidRDefault="00C821BE" w:rsidP="00C821BE">
            <w:pPr>
              <w:spacing w:after="0" w:line="240" w:lineRule="auto"/>
              <w:jc w:val="both"/>
              <w:rPr>
                <w:rFonts w:ascii="Times New Roman" w:hAnsi="Times New Roman" w:cs="Times New Roman"/>
                <w:sz w:val="16"/>
                <w:szCs w:val="16"/>
                <w:lang w:val="pt-BR"/>
              </w:rPr>
            </w:pPr>
            <w:r w:rsidRPr="002362E3">
              <w:rPr>
                <w:rFonts w:ascii="Times New Roman" w:hAnsi="Times New Roman" w:cs="Times New Roman"/>
                <w:sz w:val="16"/>
                <w:szCs w:val="16"/>
                <w:lang w:val="pt-BR"/>
              </w:rPr>
              <w:t>- Fornecer ao pessoal os EPIs necessários;</w:t>
            </w:r>
          </w:p>
          <w:p w:rsidR="00C821BE" w:rsidRPr="002362E3" w:rsidRDefault="00C821BE" w:rsidP="00C821BE">
            <w:pPr>
              <w:spacing w:after="0" w:line="240" w:lineRule="auto"/>
              <w:jc w:val="both"/>
              <w:rPr>
                <w:rFonts w:ascii="Times New Roman" w:hAnsi="Times New Roman" w:cs="Times New Roman"/>
                <w:sz w:val="16"/>
                <w:szCs w:val="16"/>
                <w:lang w:val="pt-BR"/>
              </w:rPr>
            </w:pPr>
            <w:r w:rsidRPr="002362E3">
              <w:rPr>
                <w:rFonts w:ascii="Times New Roman" w:hAnsi="Times New Roman" w:cs="Times New Roman"/>
                <w:sz w:val="16"/>
                <w:szCs w:val="16"/>
                <w:lang w:val="pt-BR"/>
              </w:rPr>
              <w:t>- Exigir o uso obrigatório de EPI;</w:t>
            </w:r>
          </w:p>
          <w:p w:rsidR="00C821BE" w:rsidRPr="002362E3" w:rsidRDefault="00C821BE" w:rsidP="00C821BE">
            <w:pPr>
              <w:spacing w:after="0" w:line="240" w:lineRule="auto"/>
              <w:jc w:val="both"/>
              <w:rPr>
                <w:rFonts w:ascii="Times New Roman" w:hAnsi="Times New Roman" w:cs="Times New Roman"/>
                <w:sz w:val="16"/>
                <w:szCs w:val="16"/>
                <w:lang w:val="pt-BR"/>
              </w:rPr>
            </w:pPr>
            <w:r w:rsidRPr="002362E3">
              <w:rPr>
                <w:rFonts w:ascii="Times New Roman" w:hAnsi="Times New Roman" w:cs="Times New Roman"/>
                <w:sz w:val="16"/>
                <w:szCs w:val="16"/>
                <w:lang w:val="pt-BR"/>
              </w:rPr>
              <w:t>-Postar instruções de segurança;</w:t>
            </w:r>
          </w:p>
          <w:p w:rsidR="00C821BE" w:rsidRPr="002362E3" w:rsidRDefault="00C821BE" w:rsidP="00C821BE">
            <w:pPr>
              <w:spacing w:after="0" w:line="240" w:lineRule="auto"/>
              <w:jc w:val="both"/>
              <w:rPr>
                <w:rFonts w:ascii="Times New Roman" w:hAnsi="Times New Roman" w:cs="Times New Roman"/>
                <w:sz w:val="16"/>
                <w:szCs w:val="16"/>
                <w:lang w:val="pt-BR"/>
              </w:rPr>
            </w:pPr>
            <w:r w:rsidRPr="002362E3">
              <w:rPr>
                <w:rFonts w:ascii="Times New Roman" w:hAnsi="Times New Roman" w:cs="Times New Roman"/>
                <w:sz w:val="16"/>
                <w:szCs w:val="16"/>
                <w:lang w:val="pt-BR"/>
              </w:rPr>
              <w:t>- Isolar as áreas de risco;</w:t>
            </w:r>
          </w:p>
          <w:p w:rsidR="00C821BE" w:rsidRPr="002362E3" w:rsidRDefault="00C821BE" w:rsidP="00C821BE">
            <w:pPr>
              <w:spacing w:after="0" w:line="240" w:lineRule="auto"/>
              <w:jc w:val="both"/>
              <w:rPr>
                <w:rFonts w:ascii="Times New Roman" w:hAnsi="Times New Roman" w:cs="Times New Roman"/>
                <w:sz w:val="16"/>
                <w:szCs w:val="16"/>
                <w:lang w:val="pt-BR"/>
              </w:rPr>
            </w:pPr>
            <w:r w:rsidRPr="002362E3">
              <w:rPr>
                <w:rFonts w:ascii="Times New Roman" w:hAnsi="Times New Roman" w:cs="Times New Roman"/>
                <w:sz w:val="16"/>
                <w:szCs w:val="16"/>
                <w:lang w:val="pt-BR"/>
              </w:rPr>
              <w:t>-Monitorar periodicamente a saúde dos trabalhadores;</w:t>
            </w:r>
          </w:p>
          <w:p w:rsidR="00C821BE" w:rsidRPr="002362E3" w:rsidRDefault="00C821BE" w:rsidP="00C821BE">
            <w:pPr>
              <w:spacing w:after="0" w:line="240" w:lineRule="auto"/>
              <w:jc w:val="both"/>
              <w:rPr>
                <w:rFonts w:ascii="Times New Roman" w:hAnsi="Times New Roman" w:cs="Times New Roman"/>
                <w:sz w:val="16"/>
                <w:szCs w:val="16"/>
                <w:lang w:val="pt-BR"/>
              </w:rPr>
            </w:pPr>
            <w:r w:rsidRPr="002362E3">
              <w:rPr>
                <w:rFonts w:ascii="Times New Roman" w:hAnsi="Times New Roman" w:cs="Times New Roman"/>
                <w:sz w:val="16"/>
                <w:szCs w:val="16"/>
                <w:lang w:val="pt-BR"/>
              </w:rPr>
              <w:t>-Ter um kit de primeiros socorros bem fornecido;</w:t>
            </w:r>
          </w:p>
          <w:p w:rsidR="00C821BE" w:rsidRPr="002362E3" w:rsidRDefault="00C821BE" w:rsidP="00C821BE">
            <w:pPr>
              <w:spacing w:after="0" w:line="240" w:lineRule="auto"/>
              <w:jc w:val="both"/>
              <w:rPr>
                <w:rFonts w:ascii="Times New Roman" w:hAnsi="Times New Roman" w:cs="Times New Roman"/>
                <w:sz w:val="16"/>
                <w:szCs w:val="16"/>
                <w:lang w:val="pt-BR"/>
              </w:rPr>
            </w:pPr>
            <w:r w:rsidRPr="002362E3">
              <w:rPr>
                <w:rFonts w:ascii="Times New Roman" w:hAnsi="Times New Roman" w:cs="Times New Roman"/>
                <w:sz w:val="16"/>
                <w:szCs w:val="16"/>
                <w:lang w:val="pt-BR"/>
              </w:rPr>
              <w:t>-Treinar a equipe sobre o uso de equipamentos de emergência;</w:t>
            </w:r>
          </w:p>
          <w:p w:rsidR="00C821BE" w:rsidRPr="002362E3" w:rsidRDefault="00C821BE" w:rsidP="00C821BE">
            <w:pPr>
              <w:spacing w:after="0" w:line="240" w:lineRule="auto"/>
              <w:jc w:val="both"/>
              <w:rPr>
                <w:rFonts w:ascii="Times New Roman" w:hAnsi="Times New Roman" w:cs="Times New Roman"/>
                <w:sz w:val="16"/>
                <w:szCs w:val="16"/>
                <w:lang w:val="pt-BR"/>
              </w:rPr>
            </w:pPr>
            <w:r w:rsidRPr="002362E3">
              <w:rPr>
                <w:rFonts w:ascii="Times New Roman" w:hAnsi="Times New Roman" w:cs="Times New Roman"/>
                <w:sz w:val="16"/>
                <w:szCs w:val="16"/>
                <w:lang w:val="pt-BR"/>
              </w:rPr>
              <w:t>-Assinar convênio com o posto de saúde mais próximo;</w:t>
            </w:r>
          </w:p>
          <w:p w:rsidR="00C821BE" w:rsidRPr="002362E3" w:rsidRDefault="00C821BE" w:rsidP="00C821BE">
            <w:pPr>
              <w:spacing w:after="0" w:line="240" w:lineRule="auto"/>
              <w:jc w:val="both"/>
              <w:rPr>
                <w:rFonts w:ascii="Times New Roman" w:hAnsi="Times New Roman" w:cs="Times New Roman"/>
                <w:sz w:val="16"/>
                <w:szCs w:val="16"/>
                <w:lang w:val="pt-BR"/>
              </w:rPr>
            </w:pPr>
            <w:r w:rsidRPr="002362E3">
              <w:rPr>
                <w:rFonts w:ascii="Times New Roman" w:hAnsi="Times New Roman" w:cs="Times New Roman"/>
                <w:sz w:val="16"/>
                <w:szCs w:val="16"/>
                <w:lang w:val="pt-BR"/>
              </w:rPr>
              <w:t>-Organizar campanhas de conscientização contra a AIDS;</w:t>
            </w:r>
          </w:p>
          <w:p w:rsidR="00C821BE" w:rsidRPr="002362E3" w:rsidRDefault="00C821BE" w:rsidP="00C821BE">
            <w:pPr>
              <w:spacing w:after="0" w:line="240" w:lineRule="auto"/>
              <w:jc w:val="both"/>
              <w:rPr>
                <w:rFonts w:ascii="Times New Roman" w:hAnsi="Times New Roman" w:cs="Times New Roman"/>
                <w:sz w:val="16"/>
                <w:szCs w:val="16"/>
                <w:lang w:val="pt-BR"/>
              </w:rPr>
            </w:pPr>
            <w:r w:rsidRPr="002362E3">
              <w:rPr>
                <w:rFonts w:ascii="Times New Roman" w:hAnsi="Times New Roman" w:cs="Times New Roman"/>
                <w:sz w:val="16"/>
                <w:szCs w:val="16"/>
                <w:lang w:val="pt-BR"/>
              </w:rPr>
              <w:t>-Distribuir preservativos;</w:t>
            </w:r>
          </w:p>
          <w:p w:rsidR="00C821BE" w:rsidRPr="002362E3" w:rsidRDefault="00C821BE" w:rsidP="00C821BE">
            <w:pPr>
              <w:spacing w:after="0" w:line="240" w:lineRule="auto"/>
              <w:jc w:val="both"/>
              <w:rPr>
                <w:rFonts w:ascii="Times New Roman" w:hAnsi="Times New Roman" w:cs="Times New Roman"/>
                <w:sz w:val="16"/>
                <w:szCs w:val="16"/>
                <w:lang w:val="pt-BR"/>
              </w:rPr>
            </w:pPr>
            <w:r w:rsidRPr="002362E3">
              <w:rPr>
                <w:rFonts w:ascii="Times New Roman" w:hAnsi="Times New Roman" w:cs="Times New Roman"/>
                <w:sz w:val="16"/>
                <w:szCs w:val="16"/>
                <w:lang w:val="pt-BR"/>
              </w:rPr>
              <w:t>- Luta contra a prática do sexo de sobrevivência;</w:t>
            </w:r>
          </w:p>
        </w:tc>
        <w:tc>
          <w:tcPr>
            <w:tcW w:w="3568" w:type="dxa"/>
            <w:tcBorders>
              <w:top w:val="single" w:sz="4" w:space="0" w:color="auto"/>
              <w:left w:val="single" w:sz="4" w:space="0" w:color="auto"/>
              <w:bottom w:val="single" w:sz="4" w:space="0" w:color="auto"/>
              <w:right w:val="single" w:sz="4" w:space="0" w:color="auto"/>
            </w:tcBorders>
            <w:vAlign w:val="center"/>
          </w:tcPr>
          <w:p w:rsidR="00C821BE" w:rsidRPr="002362E3" w:rsidRDefault="00C821BE" w:rsidP="00C821BE">
            <w:pPr>
              <w:spacing w:after="0" w:line="240" w:lineRule="auto"/>
              <w:jc w:val="both"/>
              <w:rPr>
                <w:rFonts w:ascii="Times New Roman" w:hAnsi="Times New Roman" w:cs="Times New Roman"/>
                <w:sz w:val="16"/>
                <w:szCs w:val="16"/>
                <w:lang w:val="pt-BR"/>
              </w:rPr>
            </w:pPr>
            <w:r w:rsidRPr="002362E3">
              <w:rPr>
                <w:rFonts w:ascii="Times New Roman" w:hAnsi="Times New Roman" w:cs="Times New Roman"/>
                <w:sz w:val="16"/>
                <w:szCs w:val="16"/>
                <w:lang w:val="pt-BR"/>
              </w:rPr>
              <w:t>- Número de reclamações recebidas;</w:t>
            </w:r>
          </w:p>
          <w:p w:rsidR="00C821BE" w:rsidRPr="002362E3" w:rsidRDefault="00C821BE" w:rsidP="00C821BE">
            <w:pPr>
              <w:spacing w:after="0" w:line="240" w:lineRule="auto"/>
              <w:jc w:val="both"/>
              <w:rPr>
                <w:rFonts w:ascii="Times New Roman" w:hAnsi="Times New Roman" w:cs="Times New Roman"/>
                <w:sz w:val="16"/>
                <w:szCs w:val="16"/>
                <w:lang w:val="pt-BR"/>
              </w:rPr>
            </w:pPr>
            <w:r w:rsidRPr="002362E3">
              <w:rPr>
                <w:rFonts w:ascii="Times New Roman" w:hAnsi="Times New Roman" w:cs="Times New Roman"/>
                <w:sz w:val="16"/>
                <w:szCs w:val="16"/>
                <w:lang w:val="pt-BR"/>
              </w:rPr>
              <w:t>- Número de acidentes reportados;</w:t>
            </w:r>
          </w:p>
          <w:p w:rsidR="00C821BE" w:rsidRPr="002362E3" w:rsidRDefault="00C821BE" w:rsidP="00C821BE">
            <w:pPr>
              <w:spacing w:after="0" w:line="240" w:lineRule="auto"/>
              <w:jc w:val="both"/>
              <w:rPr>
                <w:rFonts w:ascii="Times New Roman" w:hAnsi="Times New Roman" w:cs="Times New Roman"/>
                <w:sz w:val="16"/>
                <w:szCs w:val="16"/>
                <w:lang w:val="pt-BR"/>
              </w:rPr>
            </w:pPr>
            <w:r w:rsidRPr="002362E3">
              <w:rPr>
                <w:rFonts w:ascii="Times New Roman" w:hAnsi="Times New Roman" w:cs="Times New Roman"/>
                <w:sz w:val="16"/>
                <w:szCs w:val="16"/>
                <w:lang w:val="pt-BR"/>
              </w:rPr>
              <w:t>-Presença de sinais de trânsito;</w:t>
            </w:r>
          </w:p>
          <w:p w:rsidR="00C821BE" w:rsidRPr="002362E3" w:rsidRDefault="00C821BE" w:rsidP="00C821BE">
            <w:pPr>
              <w:spacing w:after="0" w:line="240" w:lineRule="auto"/>
              <w:jc w:val="both"/>
              <w:rPr>
                <w:rFonts w:ascii="Times New Roman" w:hAnsi="Times New Roman" w:cs="Times New Roman"/>
                <w:sz w:val="16"/>
                <w:szCs w:val="16"/>
                <w:lang w:val="pt-BR"/>
              </w:rPr>
            </w:pPr>
            <w:r w:rsidRPr="002362E3">
              <w:rPr>
                <w:rFonts w:ascii="Times New Roman" w:hAnsi="Times New Roman" w:cs="Times New Roman"/>
                <w:sz w:val="16"/>
                <w:szCs w:val="16"/>
                <w:lang w:val="pt-BR"/>
              </w:rPr>
              <w:t>-Uso eficaz de EPI;</w:t>
            </w:r>
          </w:p>
          <w:p w:rsidR="00C821BE" w:rsidRPr="002362E3" w:rsidRDefault="00C821BE" w:rsidP="00C821BE">
            <w:pPr>
              <w:spacing w:after="0" w:line="240" w:lineRule="auto"/>
              <w:jc w:val="both"/>
              <w:rPr>
                <w:rFonts w:ascii="Times New Roman" w:hAnsi="Times New Roman" w:cs="Times New Roman"/>
                <w:sz w:val="16"/>
                <w:szCs w:val="16"/>
                <w:lang w:val="pt-BR"/>
              </w:rPr>
            </w:pPr>
            <w:r w:rsidRPr="002362E3">
              <w:rPr>
                <w:rFonts w:ascii="Times New Roman" w:hAnsi="Times New Roman" w:cs="Times New Roman"/>
                <w:sz w:val="16"/>
                <w:szCs w:val="16"/>
                <w:lang w:val="pt-BR"/>
              </w:rPr>
              <w:t>- Número de trabalhadores com EPI;</w:t>
            </w:r>
          </w:p>
          <w:p w:rsidR="00C821BE" w:rsidRPr="002362E3" w:rsidRDefault="00C821BE" w:rsidP="00C821BE">
            <w:pPr>
              <w:spacing w:after="0" w:line="240" w:lineRule="auto"/>
              <w:jc w:val="both"/>
              <w:rPr>
                <w:rFonts w:ascii="Times New Roman" w:hAnsi="Times New Roman" w:cs="Times New Roman"/>
                <w:sz w:val="16"/>
                <w:szCs w:val="16"/>
                <w:lang w:val="pt-BR"/>
              </w:rPr>
            </w:pPr>
            <w:r w:rsidRPr="002362E3">
              <w:rPr>
                <w:rFonts w:ascii="Times New Roman" w:hAnsi="Times New Roman" w:cs="Times New Roman"/>
                <w:sz w:val="16"/>
                <w:szCs w:val="16"/>
                <w:lang w:val="pt-BR"/>
              </w:rPr>
              <w:t>-Número de pessoas treinadas;</w:t>
            </w:r>
          </w:p>
          <w:p w:rsidR="00C821BE" w:rsidRPr="002362E3" w:rsidRDefault="00C821BE" w:rsidP="00C821BE">
            <w:pPr>
              <w:spacing w:after="0" w:line="240" w:lineRule="auto"/>
              <w:jc w:val="both"/>
              <w:rPr>
                <w:rFonts w:ascii="Times New Roman" w:hAnsi="Times New Roman" w:cs="Times New Roman"/>
                <w:sz w:val="16"/>
                <w:szCs w:val="16"/>
                <w:lang w:val="pt-BR"/>
              </w:rPr>
            </w:pPr>
            <w:r w:rsidRPr="002362E3">
              <w:rPr>
                <w:rFonts w:ascii="Times New Roman" w:hAnsi="Times New Roman" w:cs="Times New Roman"/>
                <w:sz w:val="16"/>
                <w:szCs w:val="16"/>
                <w:lang w:val="pt-BR"/>
              </w:rPr>
              <w:t>- Número de consultas por doença;</w:t>
            </w:r>
          </w:p>
          <w:p w:rsidR="00C821BE" w:rsidRPr="002362E3" w:rsidRDefault="00C821BE" w:rsidP="00C821BE">
            <w:pPr>
              <w:spacing w:after="0" w:line="240" w:lineRule="auto"/>
              <w:jc w:val="both"/>
              <w:rPr>
                <w:rFonts w:ascii="Times New Roman" w:hAnsi="Times New Roman" w:cs="Times New Roman"/>
                <w:sz w:val="16"/>
                <w:szCs w:val="16"/>
                <w:lang w:val="pt-BR"/>
              </w:rPr>
            </w:pPr>
            <w:r w:rsidRPr="002362E3">
              <w:rPr>
                <w:rFonts w:ascii="Times New Roman" w:hAnsi="Times New Roman" w:cs="Times New Roman"/>
                <w:sz w:val="16"/>
                <w:szCs w:val="16"/>
                <w:lang w:val="pt-BR"/>
              </w:rPr>
              <w:t>-Presença do kit de primeiros socorros;</w:t>
            </w:r>
          </w:p>
          <w:p w:rsidR="00C821BE" w:rsidRPr="002362E3" w:rsidRDefault="00C821BE" w:rsidP="00C821BE">
            <w:pPr>
              <w:spacing w:after="0" w:line="240" w:lineRule="auto"/>
              <w:jc w:val="both"/>
              <w:rPr>
                <w:rFonts w:ascii="Times New Roman" w:hAnsi="Times New Roman" w:cs="Times New Roman"/>
                <w:sz w:val="16"/>
                <w:szCs w:val="16"/>
                <w:lang w:val="pt-BR"/>
              </w:rPr>
            </w:pPr>
            <w:r w:rsidRPr="002362E3">
              <w:rPr>
                <w:rFonts w:ascii="Times New Roman" w:hAnsi="Times New Roman" w:cs="Times New Roman"/>
                <w:sz w:val="16"/>
                <w:szCs w:val="16"/>
                <w:lang w:val="pt-BR"/>
              </w:rPr>
              <w:t>-Cópia dos contratos assinados;</w:t>
            </w:r>
          </w:p>
          <w:p w:rsidR="00C821BE" w:rsidRPr="002362E3" w:rsidRDefault="00C821BE" w:rsidP="00C821BE">
            <w:pPr>
              <w:spacing w:after="0" w:line="240" w:lineRule="auto"/>
              <w:jc w:val="both"/>
              <w:rPr>
                <w:rFonts w:ascii="Times New Roman" w:hAnsi="Times New Roman" w:cs="Times New Roman"/>
                <w:sz w:val="16"/>
                <w:szCs w:val="16"/>
                <w:lang w:val="pt-BR"/>
              </w:rPr>
            </w:pPr>
            <w:r w:rsidRPr="002362E3">
              <w:rPr>
                <w:rFonts w:ascii="Times New Roman" w:hAnsi="Times New Roman" w:cs="Times New Roman"/>
                <w:sz w:val="16"/>
                <w:szCs w:val="16"/>
                <w:lang w:val="pt-BR"/>
              </w:rPr>
              <w:t>- Número de pessoas sensibilizadas;</w:t>
            </w:r>
          </w:p>
          <w:p w:rsidR="00C821BE" w:rsidRPr="002362E3" w:rsidRDefault="00C821BE" w:rsidP="00C821BE">
            <w:pPr>
              <w:spacing w:after="0" w:line="240" w:lineRule="auto"/>
              <w:jc w:val="both"/>
              <w:rPr>
                <w:rFonts w:ascii="Times New Roman" w:hAnsi="Times New Roman" w:cs="Times New Roman"/>
                <w:sz w:val="16"/>
                <w:szCs w:val="16"/>
                <w:lang w:val="pt-BR"/>
              </w:rPr>
            </w:pPr>
            <w:r w:rsidRPr="002362E3">
              <w:rPr>
                <w:rFonts w:ascii="Times New Roman" w:hAnsi="Times New Roman" w:cs="Times New Roman"/>
                <w:sz w:val="16"/>
                <w:szCs w:val="16"/>
                <w:lang w:val="pt-BR"/>
              </w:rPr>
              <w:t>- Número de preservativos distribuídos;</w:t>
            </w:r>
          </w:p>
        </w:tc>
        <w:tc>
          <w:tcPr>
            <w:tcW w:w="1134"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C821BE" w:rsidRPr="002362E3" w:rsidRDefault="00C821BE" w:rsidP="00C821BE">
            <w:pPr>
              <w:spacing w:after="0" w:line="240" w:lineRule="auto"/>
              <w:jc w:val="center"/>
              <w:rPr>
                <w:rFonts w:ascii="Times New Roman" w:hAnsi="Times New Roman" w:cs="Times New Roman"/>
                <w:b/>
                <w:sz w:val="16"/>
                <w:szCs w:val="16"/>
                <w:lang w:val="pt-BR"/>
              </w:rPr>
            </w:pPr>
            <w:r w:rsidRPr="002362E3">
              <w:rPr>
                <w:rFonts w:ascii="Times New Roman" w:hAnsi="Times New Roman" w:cs="Times New Roman"/>
                <w:b/>
                <w:sz w:val="16"/>
                <w:szCs w:val="16"/>
                <w:lang w:val="pt-BR"/>
              </w:rPr>
              <w:t>O negócio</w:t>
            </w:r>
          </w:p>
          <w:p w:rsidR="00C821BE" w:rsidRPr="002362E3" w:rsidRDefault="00C821BE" w:rsidP="00C821BE">
            <w:pPr>
              <w:spacing w:after="0" w:line="240" w:lineRule="auto"/>
              <w:jc w:val="center"/>
              <w:rPr>
                <w:rFonts w:ascii="Times New Roman" w:hAnsi="Times New Roman" w:cs="Times New Roman"/>
                <w:b/>
                <w:sz w:val="16"/>
                <w:szCs w:val="16"/>
                <w:lang w:val="pt-BR"/>
              </w:rPr>
            </w:pPr>
          </w:p>
        </w:tc>
        <w:tc>
          <w:tcPr>
            <w:tcW w:w="1120"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C821BE" w:rsidRPr="002362E3" w:rsidRDefault="00C821BE" w:rsidP="00C821BE">
            <w:pPr>
              <w:spacing w:after="0" w:line="240" w:lineRule="auto"/>
              <w:jc w:val="center"/>
              <w:rPr>
                <w:rFonts w:ascii="Times New Roman" w:hAnsi="Times New Roman" w:cs="Times New Roman"/>
                <w:b/>
                <w:sz w:val="16"/>
                <w:szCs w:val="16"/>
                <w:lang w:val="pt-BR"/>
              </w:rPr>
            </w:pPr>
            <w:r w:rsidRPr="002362E3">
              <w:rPr>
                <w:rFonts w:ascii="Times New Roman" w:hAnsi="Times New Roman" w:cs="Times New Roman"/>
                <w:b/>
                <w:sz w:val="16"/>
                <w:szCs w:val="16"/>
                <w:lang w:val="pt-BR"/>
              </w:rPr>
              <w:t>Comitê de Monitoramento</w:t>
            </w:r>
          </w:p>
          <w:p w:rsidR="00C821BE" w:rsidRPr="002362E3" w:rsidRDefault="00C821BE" w:rsidP="00C821BE">
            <w:pPr>
              <w:spacing w:after="0" w:line="240" w:lineRule="auto"/>
              <w:jc w:val="center"/>
              <w:rPr>
                <w:rFonts w:ascii="Times New Roman" w:hAnsi="Times New Roman" w:cs="Times New Roman"/>
                <w:b/>
                <w:sz w:val="16"/>
                <w:szCs w:val="16"/>
                <w:lang w:val="pt-BR"/>
              </w:rPr>
            </w:pPr>
          </w:p>
          <w:p w:rsidR="00C821BE" w:rsidRPr="002362E3" w:rsidRDefault="00C821BE" w:rsidP="00C821BE">
            <w:pPr>
              <w:spacing w:after="0" w:line="240" w:lineRule="auto"/>
              <w:jc w:val="center"/>
              <w:rPr>
                <w:rFonts w:ascii="Times New Roman" w:hAnsi="Times New Roman" w:cs="Times New Roman"/>
                <w:b/>
                <w:sz w:val="16"/>
                <w:szCs w:val="16"/>
                <w:lang w:val="pt-BR"/>
              </w:rPr>
            </w:pPr>
            <w:r w:rsidRPr="002362E3">
              <w:rPr>
                <w:rFonts w:ascii="Times New Roman" w:hAnsi="Times New Roman" w:cs="Times New Roman"/>
                <w:b/>
                <w:sz w:val="16"/>
                <w:szCs w:val="16"/>
                <w:lang w:val="pt-BR"/>
              </w:rPr>
              <w:t>PUASEE-FA</w:t>
            </w:r>
          </w:p>
        </w:tc>
        <w:tc>
          <w:tcPr>
            <w:tcW w:w="1445" w:type="dxa"/>
            <w:tcBorders>
              <w:top w:val="single" w:sz="4" w:space="0" w:color="auto"/>
              <w:left w:val="single" w:sz="4" w:space="0" w:color="auto"/>
              <w:bottom w:val="single" w:sz="4" w:space="0" w:color="auto"/>
              <w:right w:val="single" w:sz="4" w:space="0" w:color="auto"/>
            </w:tcBorders>
            <w:vAlign w:val="center"/>
          </w:tcPr>
          <w:p w:rsidR="00C821BE" w:rsidRPr="002362E3" w:rsidRDefault="00C821BE" w:rsidP="00C821BE">
            <w:pPr>
              <w:spacing w:after="0" w:line="240" w:lineRule="auto"/>
              <w:jc w:val="center"/>
              <w:rPr>
                <w:rFonts w:ascii="Times New Roman" w:hAnsi="Times New Roman" w:cs="Times New Roman"/>
                <w:sz w:val="16"/>
                <w:szCs w:val="16"/>
                <w:lang w:val="pt-BR"/>
              </w:rPr>
            </w:pPr>
            <w:r w:rsidRPr="002362E3">
              <w:rPr>
                <w:rFonts w:ascii="Times New Roman" w:hAnsi="Times New Roman" w:cs="Times New Roman"/>
                <w:sz w:val="16"/>
                <w:szCs w:val="16"/>
                <w:lang w:val="pt-BR"/>
              </w:rPr>
              <w:t>Durante a construção / Trimestral</w:t>
            </w:r>
          </w:p>
        </w:tc>
        <w:tc>
          <w:tcPr>
            <w:tcW w:w="112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C821BE" w:rsidRPr="002362E3" w:rsidRDefault="00C821BE" w:rsidP="00C821BE">
            <w:pPr>
              <w:spacing w:after="0" w:line="240" w:lineRule="auto"/>
              <w:jc w:val="center"/>
              <w:rPr>
                <w:rFonts w:ascii="Times New Roman" w:hAnsi="Times New Roman" w:cs="Times New Roman"/>
                <w:b/>
                <w:sz w:val="16"/>
                <w:szCs w:val="16"/>
                <w:lang w:val="pt-BR"/>
              </w:rPr>
            </w:pPr>
            <w:r w:rsidRPr="002362E3">
              <w:rPr>
                <w:rFonts w:ascii="Times New Roman" w:hAnsi="Times New Roman" w:cs="Times New Roman"/>
                <w:b/>
                <w:sz w:val="16"/>
                <w:szCs w:val="16"/>
                <w:lang w:val="pt-BR"/>
              </w:rPr>
              <w:t>8.000.000</w:t>
            </w:r>
          </w:p>
        </w:tc>
      </w:tr>
      <w:tr w:rsidR="00C821BE" w:rsidRPr="002362E3" w:rsidTr="00C821BE">
        <w:trPr>
          <w:trHeight w:val="116"/>
          <w:jc w:val="center"/>
        </w:trPr>
        <w:tc>
          <w:tcPr>
            <w:tcW w:w="1212"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C821BE" w:rsidRPr="002362E3" w:rsidRDefault="00C821BE" w:rsidP="00C821BE">
            <w:pPr>
              <w:spacing w:after="0" w:line="240" w:lineRule="auto"/>
              <w:jc w:val="center"/>
              <w:rPr>
                <w:rFonts w:ascii="Times New Roman" w:hAnsi="Times New Roman" w:cs="Times New Roman"/>
                <w:b/>
                <w:bCs/>
                <w:sz w:val="16"/>
                <w:szCs w:val="16"/>
                <w:lang w:val="pt-BR"/>
              </w:rPr>
            </w:pPr>
            <w:r w:rsidRPr="002362E3">
              <w:rPr>
                <w:rFonts w:ascii="Times New Roman" w:hAnsi="Times New Roman" w:cs="Times New Roman"/>
                <w:b/>
                <w:bCs/>
                <w:sz w:val="16"/>
                <w:szCs w:val="16"/>
                <w:lang w:val="pt-BR"/>
              </w:rPr>
              <w:t>Economia</w:t>
            </w:r>
          </w:p>
        </w:tc>
        <w:tc>
          <w:tcPr>
            <w:tcW w:w="2079" w:type="dxa"/>
            <w:tcBorders>
              <w:top w:val="single" w:sz="4" w:space="0" w:color="auto"/>
              <w:left w:val="single" w:sz="4" w:space="0" w:color="auto"/>
              <w:bottom w:val="single" w:sz="4" w:space="0" w:color="auto"/>
              <w:right w:val="single" w:sz="4" w:space="0" w:color="auto"/>
            </w:tcBorders>
            <w:vAlign w:val="center"/>
          </w:tcPr>
          <w:p w:rsidR="00C821BE" w:rsidRPr="002362E3" w:rsidRDefault="00C821BE" w:rsidP="00C821BE">
            <w:pPr>
              <w:spacing w:after="0" w:line="240" w:lineRule="auto"/>
              <w:jc w:val="both"/>
              <w:rPr>
                <w:rFonts w:ascii="Times New Roman" w:hAnsi="Times New Roman" w:cs="Times New Roman"/>
                <w:sz w:val="16"/>
                <w:szCs w:val="16"/>
                <w:lang w:val="pt-BR"/>
              </w:rPr>
            </w:pPr>
            <w:r w:rsidRPr="002362E3">
              <w:rPr>
                <w:rFonts w:ascii="Times New Roman" w:hAnsi="Times New Roman" w:cs="Times New Roman"/>
                <w:color w:val="000000"/>
                <w:sz w:val="16"/>
                <w:szCs w:val="16"/>
                <w:lang w:val="pt-BR"/>
              </w:rPr>
              <w:t>Risco de interrupção das atividades de negócios</w:t>
            </w:r>
          </w:p>
        </w:tc>
        <w:tc>
          <w:tcPr>
            <w:tcW w:w="4335" w:type="dxa"/>
            <w:tcBorders>
              <w:top w:val="single" w:sz="4" w:space="0" w:color="auto"/>
              <w:left w:val="single" w:sz="4" w:space="0" w:color="auto"/>
              <w:bottom w:val="single" w:sz="4" w:space="0" w:color="auto"/>
              <w:right w:val="single" w:sz="4" w:space="0" w:color="auto"/>
            </w:tcBorders>
            <w:vAlign w:val="center"/>
          </w:tcPr>
          <w:p w:rsidR="00C821BE" w:rsidRPr="002362E3" w:rsidRDefault="00C821BE" w:rsidP="00C821BE">
            <w:pPr>
              <w:spacing w:after="0" w:line="240" w:lineRule="auto"/>
              <w:jc w:val="both"/>
              <w:rPr>
                <w:rFonts w:ascii="Times New Roman" w:hAnsi="Times New Roman" w:cs="Times New Roman"/>
                <w:sz w:val="16"/>
                <w:szCs w:val="16"/>
                <w:lang w:val="pt-BR"/>
              </w:rPr>
            </w:pPr>
            <w:r w:rsidRPr="002362E3">
              <w:rPr>
                <w:rFonts w:ascii="Times New Roman" w:hAnsi="Times New Roman" w:cs="Times New Roman"/>
                <w:sz w:val="16"/>
                <w:szCs w:val="16"/>
                <w:lang w:val="pt-BR"/>
              </w:rPr>
              <w:t>-Informar os comerciantes que serão impactados antes do início das obras;</w:t>
            </w:r>
          </w:p>
          <w:p w:rsidR="00C821BE" w:rsidRPr="002362E3" w:rsidRDefault="00C821BE" w:rsidP="00C821BE">
            <w:pPr>
              <w:spacing w:after="0" w:line="240" w:lineRule="auto"/>
              <w:jc w:val="both"/>
              <w:rPr>
                <w:rFonts w:ascii="Times New Roman" w:hAnsi="Times New Roman" w:cs="Times New Roman"/>
                <w:sz w:val="16"/>
                <w:szCs w:val="16"/>
                <w:lang w:val="pt-BR"/>
              </w:rPr>
            </w:pPr>
            <w:r w:rsidRPr="002362E3">
              <w:rPr>
                <w:rFonts w:ascii="Times New Roman" w:hAnsi="Times New Roman" w:cs="Times New Roman"/>
                <w:sz w:val="16"/>
                <w:szCs w:val="16"/>
                <w:lang w:val="pt-BR"/>
              </w:rPr>
              <w:t xml:space="preserve">-Evitar bloquear o acesso às lojas ou simplesmente dificultar a circulação de mercadorias e pessoas (principalmente no Safim); </w:t>
            </w:r>
          </w:p>
          <w:p w:rsidR="00C821BE" w:rsidRPr="002362E3" w:rsidRDefault="00C821BE" w:rsidP="00C821BE">
            <w:pPr>
              <w:spacing w:after="0" w:line="240" w:lineRule="auto"/>
              <w:jc w:val="both"/>
              <w:rPr>
                <w:rFonts w:ascii="Times New Roman" w:hAnsi="Times New Roman" w:cs="Times New Roman"/>
                <w:sz w:val="16"/>
                <w:szCs w:val="16"/>
                <w:lang w:val="pt-BR"/>
              </w:rPr>
            </w:pPr>
            <w:r w:rsidRPr="002362E3">
              <w:rPr>
                <w:rFonts w:ascii="Times New Roman" w:hAnsi="Times New Roman" w:cs="Times New Roman"/>
                <w:sz w:val="16"/>
                <w:szCs w:val="16"/>
                <w:lang w:val="pt-BR"/>
              </w:rPr>
              <w:t>-Implementar o RAP;</w:t>
            </w:r>
          </w:p>
        </w:tc>
        <w:tc>
          <w:tcPr>
            <w:tcW w:w="3568" w:type="dxa"/>
            <w:tcBorders>
              <w:top w:val="single" w:sz="4" w:space="0" w:color="auto"/>
              <w:left w:val="single" w:sz="4" w:space="0" w:color="auto"/>
              <w:bottom w:val="single" w:sz="4" w:space="0" w:color="auto"/>
              <w:right w:val="single" w:sz="4" w:space="0" w:color="auto"/>
            </w:tcBorders>
            <w:vAlign w:val="center"/>
          </w:tcPr>
          <w:p w:rsidR="00C821BE" w:rsidRPr="002362E3" w:rsidRDefault="00C821BE" w:rsidP="00C821BE">
            <w:pPr>
              <w:spacing w:after="0" w:line="240" w:lineRule="auto"/>
              <w:jc w:val="both"/>
              <w:rPr>
                <w:rFonts w:ascii="Times New Roman" w:hAnsi="Times New Roman" w:cs="Times New Roman"/>
                <w:sz w:val="16"/>
                <w:szCs w:val="16"/>
                <w:lang w:val="pt-BR"/>
              </w:rPr>
            </w:pPr>
            <w:r w:rsidRPr="002362E3">
              <w:rPr>
                <w:rFonts w:ascii="Times New Roman" w:hAnsi="Times New Roman" w:cs="Times New Roman"/>
                <w:sz w:val="16"/>
                <w:szCs w:val="16"/>
                <w:lang w:val="pt-BR"/>
              </w:rPr>
              <w:t>- Número de comerciantes informados;</w:t>
            </w:r>
          </w:p>
          <w:p w:rsidR="00C821BE" w:rsidRPr="002362E3" w:rsidRDefault="00C821BE" w:rsidP="00C821BE">
            <w:pPr>
              <w:spacing w:after="0" w:line="240" w:lineRule="auto"/>
              <w:jc w:val="both"/>
              <w:rPr>
                <w:rFonts w:ascii="Times New Roman" w:hAnsi="Times New Roman" w:cs="Times New Roman"/>
                <w:sz w:val="16"/>
                <w:szCs w:val="16"/>
                <w:lang w:val="pt-BR"/>
              </w:rPr>
            </w:pPr>
            <w:r w:rsidRPr="002362E3">
              <w:rPr>
                <w:rFonts w:ascii="Times New Roman" w:hAnsi="Times New Roman" w:cs="Times New Roman"/>
                <w:sz w:val="16"/>
                <w:szCs w:val="16"/>
                <w:lang w:val="pt-BR"/>
              </w:rPr>
              <w:t>-Nenhum acesso bloqueado;</w:t>
            </w:r>
          </w:p>
          <w:p w:rsidR="00C821BE" w:rsidRPr="002362E3" w:rsidRDefault="00C821BE" w:rsidP="00C821BE">
            <w:pPr>
              <w:spacing w:after="0" w:line="240" w:lineRule="auto"/>
              <w:jc w:val="both"/>
              <w:rPr>
                <w:rFonts w:ascii="Times New Roman" w:hAnsi="Times New Roman" w:cs="Times New Roman"/>
                <w:sz w:val="16"/>
                <w:szCs w:val="16"/>
                <w:lang w:val="pt-BR"/>
              </w:rPr>
            </w:pPr>
            <w:r w:rsidRPr="002362E3">
              <w:rPr>
                <w:rFonts w:ascii="Times New Roman" w:hAnsi="Times New Roman" w:cs="Times New Roman"/>
                <w:sz w:val="16"/>
                <w:szCs w:val="16"/>
                <w:lang w:val="pt-BR"/>
              </w:rPr>
              <w:t>-Implementação do PAR efetivo;</w:t>
            </w:r>
          </w:p>
          <w:p w:rsidR="00C821BE" w:rsidRPr="002362E3" w:rsidRDefault="00C821BE" w:rsidP="00C821BE">
            <w:pPr>
              <w:spacing w:after="0" w:line="240" w:lineRule="auto"/>
              <w:jc w:val="both"/>
              <w:rPr>
                <w:rFonts w:ascii="Times New Roman" w:hAnsi="Times New Roman" w:cs="Times New Roman"/>
                <w:sz w:val="16"/>
                <w:szCs w:val="16"/>
                <w:lang w:val="pt-BR"/>
              </w:rPr>
            </w:pPr>
            <w:r w:rsidRPr="002362E3">
              <w:rPr>
                <w:rFonts w:ascii="Times New Roman" w:hAnsi="Times New Roman" w:cs="Times New Roman"/>
                <w:sz w:val="16"/>
                <w:szCs w:val="16"/>
                <w:lang w:val="pt-BR"/>
              </w:rPr>
              <w:t>-PV de compensação para PAPs</w:t>
            </w:r>
          </w:p>
        </w:tc>
        <w:tc>
          <w:tcPr>
            <w:tcW w:w="1134"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C821BE" w:rsidRPr="002362E3" w:rsidRDefault="00C821BE" w:rsidP="00C821BE">
            <w:pPr>
              <w:spacing w:after="0" w:line="240" w:lineRule="auto"/>
              <w:jc w:val="center"/>
              <w:rPr>
                <w:rFonts w:ascii="Times New Roman" w:hAnsi="Times New Roman" w:cs="Times New Roman"/>
                <w:b/>
                <w:sz w:val="16"/>
                <w:szCs w:val="16"/>
                <w:lang w:val="pt-BR"/>
              </w:rPr>
            </w:pPr>
            <w:r w:rsidRPr="002362E3">
              <w:rPr>
                <w:rFonts w:ascii="Times New Roman" w:hAnsi="Times New Roman" w:cs="Times New Roman"/>
                <w:b/>
                <w:sz w:val="16"/>
                <w:szCs w:val="16"/>
                <w:lang w:val="pt-BR"/>
              </w:rPr>
              <w:t>O negócio</w:t>
            </w:r>
          </w:p>
          <w:p w:rsidR="00C821BE" w:rsidRPr="002362E3" w:rsidRDefault="00C821BE" w:rsidP="00C821BE">
            <w:pPr>
              <w:spacing w:after="0" w:line="240" w:lineRule="auto"/>
              <w:jc w:val="center"/>
              <w:rPr>
                <w:rFonts w:ascii="Times New Roman" w:hAnsi="Times New Roman" w:cs="Times New Roman"/>
                <w:b/>
                <w:sz w:val="16"/>
                <w:szCs w:val="16"/>
                <w:lang w:val="pt-BR"/>
              </w:rPr>
            </w:pPr>
            <w:r w:rsidRPr="002362E3">
              <w:rPr>
                <w:rFonts w:ascii="Times New Roman" w:hAnsi="Times New Roman" w:cs="Times New Roman"/>
                <w:b/>
                <w:sz w:val="16"/>
                <w:szCs w:val="16"/>
                <w:lang w:val="pt-BR"/>
              </w:rPr>
              <w:t>PUASEE-FA</w:t>
            </w:r>
          </w:p>
        </w:tc>
        <w:tc>
          <w:tcPr>
            <w:tcW w:w="1120"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C821BE" w:rsidRPr="002362E3" w:rsidRDefault="00C821BE" w:rsidP="00C821BE">
            <w:pPr>
              <w:spacing w:after="0" w:line="240" w:lineRule="auto"/>
              <w:jc w:val="center"/>
              <w:rPr>
                <w:rFonts w:ascii="Times New Roman" w:hAnsi="Times New Roman" w:cs="Times New Roman"/>
                <w:b/>
                <w:sz w:val="16"/>
                <w:szCs w:val="16"/>
                <w:lang w:val="pt-BR"/>
              </w:rPr>
            </w:pPr>
            <w:r w:rsidRPr="002362E3">
              <w:rPr>
                <w:rFonts w:ascii="Times New Roman" w:hAnsi="Times New Roman" w:cs="Times New Roman"/>
                <w:b/>
                <w:sz w:val="16"/>
                <w:szCs w:val="16"/>
                <w:lang w:val="pt-BR"/>
              </w:rPr>
              <w:t>Comitê de Monitoramento</w:t>
            </w:r>
          </w:p>
          <w:p w:rsidR="00C821BE" w:rsidRPr="002362E3" w:rsidRDefault="00C821BE" w:rsidP="00C821BE">
            <w:pPr>
              <w:spacing w:after="0" w:line="240" w:lineRule="auto"/>
              <w:jc w:val="center"/>
              <w:rPr>
                <w:rFonts w:ascii="Times New Roman" w:hAnsi="Times New Roman" w:cs="Times New Roman"/>
                <w:b/>
                <w:sz w:val="16"/>
                <w:szCs w:val="16"/>
                <w:lang w:val="pt-BR"/>
              </w:rPr>
            </w:pPr>
          </w:p>
          <w:p w:rsidR="00C821BE" w:rsidRPr="002362E3" w:rsidRDefault="00C821BE" w:rsidP="00C821BE">
            <w:pPr>
              <w:autoSpaceDE w:val="0"/>
              <w:autoSpaceDN w:val="0"/>
              <w:adjustRightInd w:val="0"/>
              <w:spacing w:after="0" w:line="240" w:lineRule="auto"/>
              <w:jc w:val="center"/>
              <w:rPr>
                <w:rFonts w:ascii="Times New Roman" w:hAnsi="Times New Roman" w:cs="Times New Roman"/>
                <w:b/>
                <w:sz w:val="16"/>
                <w:szCs w:val="16"/>
                <w:lang w:val="pt-BR"/>
              </w:rPr>
            </w:pPr>
          </w:p>
        </w:tc>
        <w:tc>
          <w:tcPr>
            <w:tcW w:w="1445" w:type="dxa"/>
            <w:tcBorders>
              <w:top w:val="single" w:sz="4" w:space="0" w:color="auto"/>
              <w:left w:val="single" w:sz="4" w:space="0" w:color="auto"/>
              <w:bottom w:val="single" w:sz="4" w:space="0" w:color="auto"/>
              <w:right w:val="single" w:sz="4" w:space="0" w:color="auto"/>
            </w:tcBorders>
            <w:vAlign w:val="center"/>
          </w:tcPr>
          <w:p w:rsidR="00C821BE" w:rsidRPr="002362E3" w:rsidRDefault="00C821BE" w:rsidP="00C821BE">
            <w:pPr>
              <w:spacing w:after="0" w:line="240" w:lineRule="auto"/>
              <w:jc w:val="center"/>
              <w:rPr>
                <w:rFonts w:ascii="Times New Roman" w:hAnsi="Times New Roman" w:cs="Times New Roman"/>
                <w:sz w:val="16"/>
                <w:szCs w:val="16"/>
                <w:lang w:val="pt-BR"/>
              </w:rPr>
            </w:pPr>
            <w:r w:rsidRPr="002362E3">
              <w:rPr>
                <w:rFonts w:ascii="Times New Roman" w:hAnsi="Times New Roman" w:cs="Times New Roman"/>
                <w:sz w:val="16"/>
                <w:szCs w:val="16"/>
                <w:lang w:val="pt-BR"/>
              </w:rPr>
              <w:t>Durante a construção / Trimestral</w:t>
            </w:r>
          </w:p>
        </w:tc>
        <w:tc>
          <w:tcPr>
            <w:tcW w:w="112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C821BE" w:rsidRPr="002362E3" w:rsidRDefault="00C821BE" w:rsidP="00C821BE">
            <w:pPr>
              <w:spacing w:after="0" w:line="240" w:lineRule="auto"/>
              <w:jc w:val="center"/>
              <w:rPr>
                <w:rFonts w:ascii="Times New Roman" w:hAnsi="Times New Roman" w:cs="Times New Roman"/>
                <w:b/>
                <w:sz w:val="16"/>
                <w:szCs w:val="16"/>
                <w:lang w:val="pt-BR"/>
              </w:rPr>
            </w:pPr>
            <w:r w:rsidRPr="002362E3">
              <w:rPr>
                <w:rFonts w:ascii="Times New Roman" w:hAnsi="Times New Roman" w:cs="Times New Roman"/>
                <w:b/>
                <w:sz w:val="16"/>
                <w:szCs w:val="16"/>
                <w:lang w:val="pt-BR"/>
              </w:rPr>
              <w:t>4.000.000</w:t>
            </w:r>
          </w:p>
        </w:tc>
      </w:tr>
      <w:tr w:rsidR="00C821BE" w:rsidRPr="002362E3" w:rsidTr="00C821BE">
        <w:trPr>
          <w:trHeight w:val="185"/>
          <w:jc w:val="center"/>
        </w:trPr>
        <w:tc>
          <w:tcPr>
            <w:tcW w:w="1212"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C821BE" w:rsidRPr="002362E3" w:rsidRDefault="00C821BE" w:rsidP="00C821BE">
            <w:pPr>
              <w:spacing w:after="0" w:line="240" w:lineRule="auto"/>
              <w:jc w:val="center"/>
              <w:rPr>
                <w:rFonts w:ascii="Times New Roman" w:hAnsi="Times New Roman" w:cs="Times New Roman"/>
                <w:b/>
                <w:bCs/>
                <w:sz w:val="16"/>
                <w:szCs w:val="16"/>
                <w:lang w:val="pt-BR"/>
              </w:rPr>
            </w:pPr>
            <w:r w:rsidRPr="002362E3">
              <w:rPr>
                <w:rFonts w:ascii="Times New Roman" w:hAnsi="Times New Roman" w:cs="Times New Roman"/>
                <w:b/>
                <w:bCs/>
                <w:sz w:val="16"/>
                <w:szCs w:val="16"/>
                <w:lang w:val="pt-BR"/>
              </w:rPr>
              <w:t>Humano</w:t>
            </w:r>
          </w:p>
        </w:tc>
        <w:tc>
          <w:tcPr>
            <w:tcW w:w="2079" w:type="dxa"/>
            <w:tcBorders>
              <w:top w:val="single" w:sz="4" w:space="0" w:color="auto"/>
              <w:left w:val="single" w:sz="4" w:space="0" w:color="auto"/>
              <w:bottom w:val="single" w:sz="4" w:space="0" w:color="auto"/>
              <w:right w:val="single" w:sz="4" w:space="0" w:color="auto"/>
            </w:tcBorders>
            <w:vAlign w:val="center"/>
          </w:tcPr>
          <w:p w:rsidR="00C821BE" w:rsidRPr="002362E3" w:rsidRDefault="00C821BE" w:rsidP="00C821BE">
            <w:pPr>
              <w:spacing w:after="0" w:line="240" w:lineRule="auto"/>
              <w:jc w:val="center"/>
              <w:rPr>
                <w:rFonts w:ascii="Times New Roman" w:hAnsi="Times New Roman" w:cs="Times New Roman"/>
                <w:sz w:val="16"/>
                <w:szCs w:val="16"/>
                <w:lang w:val="pt-BR"/>
              </w:rPr>
            </w:pPr>
            <w:r w:rsidRPr="002362E3">
              <w:rPr>
                <w:rFonts w:ascii="Times New Roman" w:hAnsi="Times New Roman" w:cs="Times New Roman"/>
                <w:sz w:val="16"/>
                <w:szCs w:val="16"/>
                <w:lang w:val="pt-BR"/>
              </w:rPr>
              <w:t>Riscos de perda de terreno</w:t>
            </w:r>
          </w:p>
        </w:tc>
        <w:tc>
          <w:tcPr>
            <w:tcW w:w="4335" w:type="dxa"/>
            <w:tcBorders>
              <w:top w:val="single" w:sz="4" w:space="0" w:color="auto"/>
              <w:left w:val="single" w:sz="4" w:space="0" w:color="auto"/>
              <w:bottom w:val="single" w:sz="4" w:space="0" w:color="auto"/>
              <w:right w:val="single" w:sz="4" w:space="0" w:color="auto"/>
            </w:tcBorders>
            <w:vAlign w:val="center"/>
          </w:tcPr>
          <w:p w:rsidR="00C821BE" w:rsidRPr="002362E3" w:rsidRDefault="00C821BE" w:rsidP="00C821BE">
            <w:pPr>
              <w:spacing w:after="0" w:line="240" w:lineRule="auto"/>
              <w:jc w:val="both"/>
              <w:rPr>
                <w:rFonts w:ascii="Times New Roman" w:hAnsi="Times New Roman" w:cs="Times New Roman"/>
                <w:sz w:val="16"/>
                <w:szCs w:val="16"/>
                <w:lang w:val="pt-BR"/>
              </w:rPr>
            </w:pPr>
            <w:r w:rsidRPr="002362E3">
              <w:rPr>
                <w:rFonts w:ascii="Times New Roman" w:hAnsi="Times New Roman" w:cs="Times New Roman"/>
                <w:sz w:val="16"/>
                <w:szCs w:val="16"/>
                <w:lang w:val="pt-BR"/>
              </w:rPr>
              <w:t>- Identificar e sensibilizar as partes afetadas;</w:t>
            </w:r>
          </w:p>
          <w:p w:rsidR="00C821BE" w:rsidRPr="002362E3" w:rsidRDefault="00C821BE" w:rsidP="00C821BE">
            <w:pPr>
              <w:spacing w:after="0" w:line="240" w:lineRule="auto"/>
              <w:jc w:val="both"/>
              <w:rPr>
                <w:rFonts w:ascii="Times New Roman" w:hAnsi="Times New Roman" w:cs="Times New Roman"/>
                <w:sz w:val="16"/>
                <w:szCs w:val="16"/>
                <w:lang w:val="pt-BR"/>
              </w:rPr>
            </w:pPr>
            <w:r w:rsidRPr="002362E3">
              <w:rPr>
                <w:rFonts w:ascii="Times New Roman" w:hAnsi="Times New Roman" w:cs="Times New Roman"/>
                <w:sz w:val="16"/>
                <w:szCs w:val="16"/>
                <w:lang w:val="pt-BR"/>
              </w:rPr>
              <w:t>-Considerar compensação financeira por perdas;</w:t>
            </w:r>
          </w:p>
          <w:p w:rsidR="00C821BE" w:rsidRPr="002362E3" w:rsidRDefault="00C821BE" w:rsidP="00C821BE">
            <w:pPr>
              <w:spacing w:after="0" w:line="240" w:lineRule="auto"/>
              <w:jc w:val="both"/>
              <w:rPr>
                <w:rFonts w:ascii="Times New Roman" w:hAnsi="Times New Roman" w:cs="Times New Roman"/>
                <w:sz w:val="16"/>
                <w:szCs w:val="16"/>
                <w:lang w:val="pt-BR"/>
              </w:rPr>
            </w:pPr>
            <w:r w:rsidRPr="002362E3">
              <w:rPr>
                <w:rFonts w:ascii="Times New Roman" w:hAnsi="Times New Roman" w:cs="Times New Roman"/>
                <w:sz w:val="16"/>
                <w:szCs w:val="16"/>
                <w:lang w:val="pt-BR"/>
              </w:rPr>
              <w:t>- Implementar o RAP;</w:t>
            </w:r>
          </w:p>
          <w:p w:rsidR="00C821BE" w:rsidRPr="002362E3" w:rsidRDefault="00C821BE" w:rsidP="00C821BE">
            <w:pPr>
              <w:spacing w:after="0" w:line="240" w:lineRule="auto"/>
              <w:jc w:val="both"/>
              <w:rPr>
                <w:rFonts w:ascii="Times New Roman" w:hAnsi="Times New Roman" w:cs="Times New Roman"/>
                <w:sz w:val="16"/>
                <w:szCs w:val="16"/>
                <w:lang w:val="pt-BR"/>
              </w:rPr>
            </w:pPr>
            <w:r w:rsidRPr="002362E3">
              <w:rPr>
                <w:rFonts w:ascii="Times New Roman" w:hAnsi="Times New Roman" w:cs="Times New Roman"/>
                <w:sz w:val="16"/>
                <w:szCs w:val="16"/>
                <w:lang w:val="pt-BR"/>
              </w:rPr>
              <w:t>-Envolver as autoridades administrativas e locais;</w:t>
            </w:r>
          </w:p>
        </w:tc>
        <w:tc>
          <w:tcPr>
            <w:tcW w:w="3568" w:type="dxa"/>
            <w:tcBorders>
              <w:top w:val="single" w:sz="4" w:space="0" w:color="auto"/>
              <w:left w:val="single" w:sz="4" w:space="0" w:color="auto"/>
              <w:bottom w:val="single" w:sz="4" w:space="0" w:color="auto"/>
              <w:right w:val="single" w:sz="4" w:space="0" w:color="auto"/>
            </w:tcBorders>
            <w:vAlign w:val="center"/>
          </w:tcPr>
          <w:p w:rsidR="00C821BE" w:rsidRPr="002362E3" w:rsidRDefault="00C821BE" w:rsidP="00C821BE">
            <w:pPr>
              <w:spacing w:after="0" w:line="240" w:lineRule="auto"/>
              <w:jc w:val="both"/>
              <w:rPr>
                <w:rFonts w:ascii="Times New Roman" w:hAnsi="Times New Roman" w:cs="Times New Roman"/>
                <w:sz w:val="16"/>
                <w:szCs w:val="16"/>
                <w:lang w:val="pt-BR"/>
              </w:rPr>
            </w:pPr>
            <w:r w:rsidRPr="002362E3">
              <w:rPr>
                <w:rFonts w:ascii="Times New Roman" w:hAnsi="Times New Roman" w:cs="Times New Roman"/>
                <w:sz w:val="16"/>
                <w:szCs w:val="16"/>
                <w:lang w:val="pt-BR"/>
              </w:rPr>
              <w:t>- Número de impactos identificados;</w:t>
            </w:r>
          </w:p>
          <w:p w:rsidR="00C821BE" w:rsidRPr="002362E3" w:rsidRDefault="00C821BE" w:rsidP="00C821BE">
            <w:pPr>
              <w:spacing w:after="0" w:line="240" w:lineRule="auto"/>
              <w:jc w:val="both"/>
              <w:rPr>
                <w:rFonts w:ascii="Times New Roman" w:hAnsi="Times New Roman" w:cs="Times New Roman"/>
                <w:sz w:val="16"/>
                <w:szCs w:val="16"/>
                <w:lang w:val="pt-BR"/>
              </w:rPr>
            </w:pPr>
            <w:r w:rsidRPr="002362E3">
              <w:rPr>
                <w:rFonts w:ascii="Times New Roman" w:hAnsi="Times New Roman" w:cs="Times New Roman"/>
                <w:sz w:val="16"/>
                <w:szCs w:val="16"/>
                <w:lang w:val="pt-BR"/>
              </w:rPr>
              <w:t>-as atas assinadas por todos os atores;</w:t>
            </w:r>
          </w:p>
          <w:p w:rsidR="00C821BE" w:rsidRPr="002362E3" w:rsidRDefault="00C821BE" w:rsidP="00C821BE">
            <w:pPr>
              <w:spacing w:after="0" w:line="240" w:lineRule="auto"/>
              <w:jc w:val="both"/>
              <w:rPr>
                <w:rFonts w:ascii="Times New Roman" w:hAnsi="Times New Roman" w:cs="Times New Roman"/>
                <w:sz w:val="16"/>
                <w:szCs w:val="16"/>
                <w:lang w:val="pt-BR"/>
              </w:rPr>
            </w:pPr>
            <w:r w:rsidRPr="002362E3">
              <w:rPr>
                <w:rFonts w:ascii="Times New Roman" w:hAnsi="Times New Roman" w:cs="Times New Roman"/>
                <w:sz w:val="16"/>
                <w:szCs w:val="16"/>
                <w:lang w:val="pt-BR"/>
              </w:rPr>
              <w:t>- Número de pessoas indenizadas;</w:t>
            </w:r>
          </w:p>
        </w:tc>
        <w:tc>
          <w:tcPr>
            <w:tcW w:w="1134"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C821BE" w:rsidRPr="002362E3" w:rsidRDefault="00C821BE" w:rsidP="00C821BE">
            <w:pPr>
              <w:autoSpaceDE w:val="0"/>
              <w:autoSpaceDN w:val="0"/>
              <w:adjustRightInd w:val="0"/>
              <w:spacing w:after="0" w:line="240" w:lineRule="auto"/>
              <w:jc w:val="center"/>
              <w:rPr>
                <w:rFonts w:ascii="Times New Roman" w:hAnsi="Times New Roman" w:cs="Times New Roman"/>
                <w:b/>
                <w:sz w:val="16"/>
                <w:szCs w:val="16"/>
                <w:lang w:val="pt-BR"/>
              </w:rPr>
            </w:pPr>
            <w:r w:rsidRPr="002362E3">
              <w:rPr>
                <w:rFonts w:ascii="Times New Roman" w:hAnsi="Times New Roman" w:cs="Times New Roman"/>
                <w:b/>
                <w:sz w:val="16"/>
                <w:szCs w:val="16"/>
                <w:lang w:val="pt-BR"/>
              </w:rPr>
              <w:t>PUASEE-FA</w:t>
            </w:r>
          </w:p>
        </w:tc>
        <w:tc>
          <w:tcPr>
            <w:tcW w:w="1120"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C821BE" w:rsidRPr="002362E3" w:rsidRDefault="00C821BE" w:rsidP="00C821BE">
            <w:pPr>
              <w:autoSpaceDE w:val="0"/>
              <w:autoSpaceDN w:val="0"/>
              <w:adjustRightInd w:val="0"/>
              <w:spacing w:after="0" w:line="240" w:lineRule="auto"/>
              <w:jc w:val="center"/>
              <w:rPr>
                <w:rFonts w:ascii="Times New Roman" w:hAnsi="Times New Roman" w:cs="Times New Roman"/>
                <w:b/>
                <w:sz w:val="16"/>
                <w:szCs w:val="16"/>
                <w:lang w:val="pt-BR"/>
              </w:rPr>
            </w:pPr>
            <w:r w:rsidRPr="002362E3">
              <w:rPr>
                <w:rFonts w:ascii="Times New Roman" w:hAnsi="Times New Roman" w:cs="Times New Roman"/>
                <w:b/>
                <w:sz w:val="16"/>
                <w:szCs w:val="16"/>
                <w:lang w:val="pt-BR"/>
              </w:rPr>
              <w:t>Comitê de Monitoramento</w:t>
            </w:r>
          </w:p>
        </w:tc>
        <w:tc>
          <w:tcPr>
            <w:tcW w:w="1445" w:type="dxa"/>
            <w:tcBorders>
              <w:top w:val="single" w:sz="4" w:space="0" w:color="auto"/>
              <w:left w:val="single" w:sz="4" w:space="0" w:color="auto"/>
              <w:bottom w:val="single" w:sz="4" w:space="0" w:color="auto"/>
              <w:right w:val="single" w:sz="4" w:space="0" w:color="auto"/>
            </w:tcBorders>
            <w:vAlign w:val="center"/>
          </w:tcPr>
          <w:p w:rsidR="00C821BE" w:rsidRPr="002362E3" w:rsidRDefault="00C821BE" w:rsidP="00C821BE">
            <w:pPr>
              <w:spacing w:after="0" w:line="240" w:lineRule="auto"/>
              <w:jc w:val="center"/>
              <w:rPr>
                <w:rFonts w:ascii="Times New Roman" w:hAnsi="Times New Roman" w:cs="Times New Roman"/>
                <w:sz w:val="16"/>
                <w:szCs w:val="16"/>
                <w:lang w:val="pt-BR"/>
              </w:rPr>
            </w:pPr>
            <w:r w:rsidRPr="002362E3">
              <w:rPr>
                <w:rFonts w:ascii="Times New Roman" w:hAnsi="Times New Roman" w:cs="Times New Roman"/>
                <w:sz w:val="16"/>
                <w:szCs w:val="16"/>
                <w:lang w:val="pt-BR"/>
              </w:rPr>
              <w:t>Antes das obras</w:t>
            </w:r>
          </w:p>
        </w:tc>
        <w:tc>
          <w:tcPr>
            <w:tcW w:w="112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C821BE" w:rsidRPr="002362E3" w:rsidRDefault="00C821BE" w:rsidP="00C821BE">
            <w:pPr>
              <w:spacing w:after="0" w:line="240" w:lineRule="auto"/>
              <w:jc w:val="center"/>
              <w:rPr>
                <w:rFonts w:ascii="Times New Roman" w:hAnsi="Times New Roman" w:cs="Times New Roman"/>
                <w:b/>
                <w:sz w:val="16"/>
                <w:szCs w:val="16"/>
                <w:lang w:val="pt-BR"/>
              </w:rPr>
            </w:pPr>
            <w:r w:rsidRPr="002362E3">
              <w:rPr>
                <w:rFonts w:ascii="Times New Roman" w:hAnsi="Times New Roman" w:cs="Times New Roman"/>
                <w:b/>
                <w:sz w:val="16"/>
                <w:szCs w:val="16"/>
                <w:lang w:val="pt-BR"/>
              </w:rPr>
              <w:t>Custo associado ao projeto</w:t>
            </w:r>
          </w:p>
        </w:tc>
      </w:tr>
      <w:tr w:rsidR="00C821BE" w:rsidRPr="002362E3" w:rsidTr="00C821BE">
        <w:trPr>
          <w:trHeight w:val="70"/>
          <w:jc w:val="center"/>
        </w:trPr>
        <w:tc>
          <w:tcPr>
            <w:tcW w:w="1212"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C821BE" w:rsidRPr="002362E3" w:rsidRDefault="00C821BE" w:rsidP="00C821BE">
            <w:pPr>
              <w:spacing w:after="0" w:line="240" w:lineRule="auto"/>
              <w:jc w:val="center"/>
              <w:rPr>
                <w:rFonts w:ascii="Times New Roman" w:hAnsi="Times New Roman" w:cs="Times New Roman"/>
                <w:b/>
                <w:bCs/>
                <w:sz w:val="16"/>
                <w:szCs w:val="16"/>
                <w:lang w:val="pt-BR"/>
              </w:rPr>
            </w:pPr>
            <w:r w:rsidRPr="002362E3">
              <w:rPr>
                <w:rFonts w:ascii="Times New Roman" w:hAnsi="Times New Roman" w:cs="Times New Roman"/>
                <w:b/>
                <w:bCs/>
                <w:sz w:val="16"/>
                <w:szCs w:val="16"/>
                <w:lang w:val="pt-BR"/>
              </w:rPr>
              <w:t>Humano / econômico</w:t>
            </w:r>
          </w:p>
        </w:tc>
        <w:tc>
          <w:tcPr>
            <w:tcW w:w="2079" w:type="dxa"/>
            <w:tcBorders>
              <w:top w:val="single" w:sz="4" w:space="0" w:color="auto"/>
              <w:left w:val="single" w:sz="4" w:space="0" w:color="auto"/>
              <w:bottom w:val="single" w:sz="4" w:space="0" w:color="auto"/>
              <w:right w:val="single" w:sz="4" w:space="0" w:color="auto"/>
            </w:tcBorders>
            <w:vAlign w:val="center"/>
          </w:tcPr>
          <w:p w:rsidR="00C821BE" w:rsidRPr="002362E3" w:rsidRDefault="00C821BE" w:rsidP="00C821BE">
            <w:pPr>
              <w:spacing w:after="0" w:line="240" w:lineRule="auto"/>
              <w:jc w:val="both"/>
              <w:rPr>
                <w:rFonts w:ascii="Times New Roman" w:hAnsi="Times New Roman" w:cs="Times New Roman"/>
                <w:sz w:val="16"/>
                <w:szCs w:val="16"/>
                <w:lang w:val="pt-BR"/>
              </w:rPr>
            </w:pPr>
            <w:r w:rsidRPr="002362E3">
              <w:rPr>
                <w:rFonts w:ascii="Times New Roman" w:hAnsi="Times New Roman" w:cs="Times New Roman"/>
                <w:sz w:val="16"/>
                <w:szCs w:val="16"/>
                <w:lang w:val="pt-BR"/>
              </w:rPr>
              <w:t>Risco de interrupção / degradação das redes de revendedores</w:t>
            </w:r>
          </w:p>
        </w:tc>
        <w:tc>
          <w:tcPr>
            <w:tcW w:w="4335" w:type="dxa"/>
            <w:tcBorders>
              <w:top w:val="single" w:sz="4" w:space="0" w:color="auto"/>
              <w:left w:val="single" w:sz="4" w:space="0" w:color="auto"/>
              <w:bottom w:val="single" w:sz="4" w:space="0" w:color="auto"/>
              <w:right w:val="single" w:sz="4" w:space="0" w:color="auto"/>
            </w:tcBorders>
            <w:vAlign w:val="center"/>
          </w:tcPr>
          <w:p w:rsidR="00C821BE" w:rsidRPr="002362E3" w:rsidRDefault="00C821BE" w:rsidP="00C821BE">
            <w:pPr>
              <w:spacing w:after="0" w:line="240" w:lineRule="auto"/>
              <w:jc w:val="both"/>
              <w:rPr>
                <w:rFonts w:ascii="Times New Roman" w:hAnsi="Times New Roman" w:cs="Times New Roman"/>
                <w:sz w:val="16"/>
                <w:szCs w:val="16"/>
                <w:lang w:val="pt-BR"/>
              </w:rPr>
            </w:pPr>
            <w:r w:rsidRPr="002362E3">
              <w:rPr>
                <w:rFonts w:ascii="Times New Roman" w:hAnsi="Times New Roman" w:cs="Times New Roman"/>
                <w:sz w:val="16"/>
                <w:szCs w:val="16"/>
                <w:lang w:val="pt-BR"/>
              </w:rPr>
              <w:t>- Envolva todos os concessionários durante o trabalho,</w:t>
            </w:r>
          </w:p>
          <w:p w:rsidR="00C821BE" w:rsidRPr="002362E3" w:rsidRDefault="00C821BE" w:rsidP="00C821BE">
            <w:pPr>
              <w:spacing w:after="0" w:line="240" w:lineRule="auto"/>
              <w:jc w:val="both"/>
              <w:rPr>
                <w:rFonts w:ascii="Times New Roman" w:hAnsi="Times New Roman" w:cs="Times New Roman"/>
                <w:sz w:val="16"/>
                <w:szCs w:val="16"/>
                <w:lang w:val="pt-BR"/>
              </w:rPr>
            </w:pPr>
            <w:r w:rsidRPr="002362E3">
              <w:rPr>
                <w:rFonts w:ascii="Times New Roman" w:hAnsi="Times New Roman" w:cs="Times New Roman"/>
                <w:sz w:val="16"/>
                <w:szCs w:val="16"/>
                <w:lang w:val="pt-BR"/>
              </w:rPr>
              <w:t>-Evitar, tanto quanto possível, tocar nas redes de água, eletricidade, saneamento, telecomunicações, etc.</w:t>
            </w:r>
          </w:p>
        </w:tc>
        <w:tc>
          <w:tcPr>
            <w:tcW w:w="3568" w:type="dxa"/>
            <w:tcBorders>
              <w:top w:val="single" w:sz="4" w:space="0" w:color="auto"/>
              <w:left w:val="single" w:sz="4" w:space="0" w:color="auto"/>
              <w:bottom w:val="single" w:sz="4" w:space="0" w:color="auto"/>
              <w:right w:val="single" w:sz="4" w:space="0" w:color="auto"/>
            </w:tcBorders>
            <w:vAlign w:val="center"/>
          </w:tcPr>
          <w:p w:rsidR="00C821BE" w:rsidRPr="002362E3" w:rsidRDefault="00C821BE" w:rsidP="00C821BE">
            <w:pPr>
              <w:spacing w:after="0" w:line="240" w:lineRule="auto"/>
              <w:jc w:val="both"/>
              <w:rPr>
                <w:rFonts w:ascii="Times New Roman" w:hAnsi="Times New Roman" w:cs="Times New Roman"/>
                <w:sz w:val="16"/>
                <w:szCs w:val="16"/>
                <w:lang w:val="pt-BR"/>
              </w:rPr>
            </w:pPr>
            <w:r w:rsidRPr="002362E3">
              <w:rPr>
                <w:rFonts w:ascii="Times New Roman" w:hAnsi="Times New Roman" w:cs="Times New Roman"/>
                <w:sz w:val="16"/>
                <w:szCs w:val="16"/>
                <w:lang w:val="pt-BR"/>
              </w:rPr>
              <w:t>- Presença do agente para cada concessionária;</w:t>
            </w:r>
          </w:p>
          <w:p w:rsidR="00C821BE" w:rsidRPr="002362E3" w:rsidRDefault="00C821BE" w:rsidP="00C821BE">
            <w:pPr>
              <w:spacing w:after="0" w:line="240" w:lineRule="auto"/>
              <w:jc w:val="both"/>
              <w:rPr>
                <w:rFonts w:ascii="Times New Roman" w:hAnsi="Times New Roman" w:cs="Times New Roman"/>
                <w:sz w:val="16"/>
                <w:szCs w:val="16"/>
                <w:lang w:val="pt-BR"/>
              </w:rPr>
            </w:pPr>
            <w:r w:rsidRPr="002362E3">
              <w:rPr>
                <w:rFonts w:ascii="Times New Roman" w:hAnsi="Times New Roman" w:cs="Times New Roman"/>
                <w:sz w:val="16"/>
                <w:szCs w:val="16"/>
                <w:lang w:val="pt-BR"/>
              </w:rPr>
              <w:t>- Número de incidentes de corte ou deterioração da rede observados;</w:t>
            </w:r>
          </w:p>
        </w:tc>
        <w:tc>
          <w:tcPr>
            <w:tcW w:w="1134"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C821BE" w:rsidRPr="002362E3" w:rsidRDefault="00C821BE" w:rsidP="00C821BE">
            <w:pPr>
              <w:spacing w:after="0" w:line="240" w:lineRule="auto"/>
              <w:jc w:val="center"/>
              <w:rPr>
                <w:rFonts w:ascii="Times New Roman" w:hAnsi="Times New Roman" w:cs="Times New Roman"/>
                <w:b/>
                <w:sz w:val="16"/>
                <w:szCs w:val="16"/>
                <w:lang w:val="pt-BR"/>
              </w:rPr>
            </w:pPr>
            <w:r w:rsidRPr="002362E3">
              <w:rPr>
                <w:rFonts w:ascii="Times New Roman" w:hAnsi="Times New Roman" w:cs="Times New Roman"/>
                <w:b/>
                <w:sz w:val="16"/>
                <w:szCs w:val="16"/>
                <w:lang w:val="pt-BR"/>
              </w:rPr>
              <w:t>O negócio</w:t>
            </w:r>
          </w:p>
          <w:p w:rsidR="00C821BE" w:rsidRPr="002362E3" w:rsidRDefault="00C821BE" w:rsidP="00C821BE">
            <w:pPr>
              <w:spacing w:after="0" w:line="240" w:lineRule="auto"/>
              <w:jc w:val="center"/>
              <w:rPr>
                <w:rFonts w:ascii="Times New Roman" w:hAnsi="Times New Roman" w:cs="Times New Roman"/>
                <w:b/>
                <w:sz w:val="16"/>
                <w:szCs w:val="16"/>
                <w:lang w:val="pt-BR"/>
              </w:rPr>
            </w:pPr>
          </w:p>
          <w:p w:rsidR="00C821BE" w:rsidRPr="002362E3" w:rsidRDefault="00C821BE" w:rsidP="00C821BE">
            <w:pPr>
              <w:spacing w:after="0" w:line="240" w:lineRule="auto"/>
              <w:jc w:val="center"/>
              <w:rPr>
                <w:rFonts w:ascii="Times New Roman" w:hAnsi="Times New Roman" w:cs="Times New Roman"/>
                <w:b/>
                <w:sz w:val="16"/>
                <w:szCs w:val="16"/>
                <w:lang w:val="pt-BR"/>
              </w:rPr>
            </w:pPr>
            <w:r w:rsidRPr="002362E3">
              <w:rPr>
                <w:rFonts w:ascii="Times New Roman" w:hAnsi="Times New Roman" w:cs="Times New Roman"/>
                <w:b/>
                <w:sz w:val="16"/>
                <w:szCs w:val="16"/>
                <w:lang w:val="pt-BR"/>
              </w:rPr>
              <w:t>PUASEE-FA</w:t>
            </w:r>
          </w:p>
        </w:tc>
        <w:tc>
          <w:tcPr>
            <w:tcW w:w="1120"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C821BE" w:rsidRPr="002362E3" w:rsidRDefault="00C821BE" w:rsidP="00C821BE">
            <w:pPr>
              <w:spacing w:after="0" w:line="240" w:lineRule="auto"/>
              <w:jc w:val="center"/>
              <w:rPr>
                <w:rFonts w:ascii="Times New Roman" w:hAnsi="Times New Roman" w:cs="Times New Roman"/>
                <w:b/>
                <w:sz w:val="16"/>
                <w:szCs w:val="16"/>
                <w:lang w:val="pt-BR"/>
              </w:rPr>
            </w:pPr>
            <w:r w:rsidRPr="002362E3">
              <w:rPr>
                <w:rFonts w:ascii="Times New Roman" w:hAnsi="Times New Roman" w:cs="Times New Roman"/>
                <w:b/>
                <w:sz w:val="16"/>
                <w:szCs w:val="16"/>
                <w:lang w:val="pt-BR"/>
              </w:rPr>
              <w:t>Comitê de Monitoramento</w:t>
            </w:r>
          </w:p>
          <w:p w:rsidR="00C821BE" w:rsidRPr="002362E3" w:rsidRDefault="00C821BE" w:rsidP="00C821BE">
            <w:pPr>
              <w:spacing w:after="0" w:line="240" w:lineRule="auto"/>
              <w:jc w:val="center"/>
              <w:rPr>
                <w:rFonts w:ascii="Times New Roman" w:hAnsi="Times New Roman" w:cs="Times New Roman"/>
                <w:b/>
                <w:sz w:val="16"/>
                <w:szCs w:val="16"/>
                <w:lang w:val="pt-BR"/>
              </w:rPr>
            </w:pPr>
          </w:p>
          <w:p w:rsidR="00C821BE" w:rsidRPr="002362E3" w:rsidRDefault="00C821BE" w:rsidP="00C821BE">
            <w:pPr>
              <w:spacing w:after="0" w:line="240" w:lineRule="auto"/>
              <w:jc w:val="center"/>
              <w:rPr>
                <w:rFonts w:ascii="Times New Roman" w:hAnsi="Times New Roman" w:cs="Times New Roman"/>
                <w:b/>
                <w:sz w:val="16"/>
                <w:szCs w:val="16"/>
                <w:lang w:val="pt-BR"/>
              </w:rPr>
            </w:pPr>
            <w:r w:rsidRPr="002362E3">
              <w:rPr>
                <w:rFonts w:ascii="Times New Roman" w:hAnsi="Times New Roman" w:cs="Times New Roman"/>
                <w:b/>
                <w:sz w:val="16"/>
                <w:szCs w:val="16"/>
                <w:lang w:val="pt-BR"/>
              </w:rPr>
              <w:t>PUASEE-FA</w:t>
            </w:r>
          </w:p>
        </w:tc>
        <w:tc>
          <w:tcPr>
            <w:tcW w:w="1445" w:type="dxa"/>
            <w:tcBorders>
              <w:top w:val="single" w:sz="4" w:space="0" w:color="auto"/>
              <w:left w:val="single" w:sz="4" w:space="0" w:color="auto"/>
              <w:bottom w:val="single" w:sz="4" w:space="0" w:color="auto"/>
              <w:right w:val="single" w:sz="4" w:space="0" w:color="auto"/>
            </w:tcBorders>
            <w:vAlign w:val="center"/>
          </w:tcPr>
          <w:p w:rsidR="00C821BE" w:rsidRPr="002362E3" w:rsidRDefault="00C821BE" w:rsidP="00C821BE">
            <w:pPr>
              <w:spacing w:after="0" w:line="240" w:lineRule="auto"/>
              <w:jc w:val="center"/>
              <w:rPr>
                <w:rFonts w:ascii="Times New Roman" w:hAnsi="Times New Roman" w:cs="Times New Roman"/>
                <w:sz w:val="16"/>
                <w:szCs w:val="16"/>
                <w:lang w:val="pt-BR"/>
              </w:rPr>
            </w:pPr>
            <w:r w:rsidRPr="002362E3">
              <w:rPr>
                <w:rFonts w:ascii="Times New Roman" w:hAnsi="Times New Roman" w:cs="Times New Roman"/>
                <w:sz w:val="16"/>
                <w:szCs w:val="16"/>
                <w:lang w:val="pt-BR"/>
              </w:rPr>
              <w:t>No início e continuamente</w:t>
            </w:r>
          </w:p>
        </w:tc>
        <w:tc>
          <w:tcPr>
            <w:tcW w:w="112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C821BE" w:rsidRPr="002362E3" w:rsidRDefault="00C821BE" w:rsidP="00C821BE">
            <w:pPr>
              <w:spacing w:after="0" w:line="240" w:lineRule="auto"/>
              <w:jc w:val="center"/>
              <w:rPr>
                <w:rFonts w:ascii="Times New Roman" w:hAnsi="Times New Roman" w:cs="Times New Roman"/>
                <w:b/>
                <w:sz w:val="16"/>
                <w:szCs w:val="16"/>
                <w:lang w:val="pt-BR"/>
              </w:rPr>
            </w:pPr>
            <w:r w:rsidRPr="002362E3">
              <w:rPr>
                <w:rFonts w:ascii="Times New Roman" w:hAnsi="Times New Roman" w:cs="Times New Roman"/>
                <w:b/>
                <w:sz w:val="16"/>
                <w:szCs w:val="16"/>
                <w:lang w:val="pt-BR"/>
              </w:rPr>
              <w:t>2.000.000</w:t>
            </w:r>
          </w:p>
        </w:tc>
      </w:tr>
      <w:tr w:rsidR="00C821BE" w:rsidRPr="002362E3" w:rsidTr="00C821BE">
        <w:trPr>
          <w:trHeight w:val="70"/>
          <w:jc w:val="center"/>
        </w:trPr>
        <w:tc>
          <w:tcPr>
            <w:tcW w:w="1212"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C821BE" w:rsidRPr="002362E3" w:rsidRDefault="00C821BE" w:rsidP="00C821BE">
            <w:pPr>
              <w:spacing w:after="0" w:line="240" w:lineRule="auto"/>
              <w:jc w:val="center"/>
              <w:rPr>
                <w:rFonts w:ascii="Times New Roman" w:hAnsi="Times New Roman" w:cs="Times New Roman"/>
                <w:b/>
                <w:bCs/>
                <w:sz w:val="16"/>
                <w:szCs w:val="16"/>
                <w:lang w:val="pt-BR"/>
              </w:rPr>
            </w:pPr>
            <w:r w:rsidRPr="002362E3">
              <w:rPr>
                <w:rFonts w:ascii="Times New Roman" w:hAnsi="Times New Roman" w:cs="Times New Roman"/>
                <w:b/>
                <w:bCs/>
                <w:sz w:val="16"/>
                <w:szCs w:val="16"/>
                <w:lang w:val="pt-BR"/>
              </w:rPr>
              <w:lastRenderedPageBreak/>
              <w:t>Humano</w:t>
            </w:r>
          </w:p>
        </w:tc>
        <w:tc>
          <w:tcPr>
            <w:tcW w:w="2079" w:type="dxa"/>
            <w:tcBorders>
              <w:top w:val="single" w:sz="4" w:space="0" w:color="auto"/>
              <w:left w:val="single" w:sz="4" w:space="0" w:color="auto"/>
              <w:bottom w:val="single" w:sz="4" w:space="0" w:color="auto"/>
              <w:right w:val="single" w:sz="4" w:space="0" w:color="auto"/>
            </w:tcBorders>
            <w:vAlign w:val="center"/>
          </w:tcPr>
          <w:p w:rsidR="00C821BE" w:rsidRPr="002362E3" w:rsidRDefault="00C821BE" w:rsidP="00C821BE">
            <w:pPr>
              <w:spacing w:after="0" w:line="240" w:lineRule="auto"/>
              <w:jc w:val="both"/>
              <w:rPr>
                <w:rFonts w:ascii="Times New Roman" w:hAnsi="Times New Roman" w:cs="Times New Roman"/>
                <w:sz w:val="16"/>
                <w:szCs w:val="16"/>
                <w:lang w:val="pt-BR"/>
              </w:rPr>
            </w:pPr>
            <w:r w:rsidRPr="002362E3">
              <w:rPr>
                <w:rFonts w:ascii="Times New Roman" w:hAnsi="Times New Roman" w:cs="Times New Roman"/>
                <w:sz w:val="16"/>
                <w:szCs w:val="16"/>
                <w:lang w:val="pt-BR"/>
              </w:rPr>
              <w:t>Risco de conflitos sociais</w:t>
            </w:r>
          </w:p>
        </w:tc>
        <w:tc>
          <w:tcPr>
            <w:tcW w:w="4335" w:type="dxa"/>
            <w:tcBorders>
              <w:top w:val="single" w:sz="4" w:space="0" w:color="auto"/>
              <w:left w:val="single" w:sz="4" w:space="0" w:color="auto"/>
              <w:bottom w:val="single" w:sz="4" w:space="0" w:color="auto"/>
              <w:right w:val="single" w:sz="4" w:space="0" w:color="auto"/>
            </w:tcBorders>
            <w:vAlign w:val="center"/>
          </w:tcPr>
          <w:p w:rsidR="00C821BE" w:rsidRPr="002362E3" w:rsidRDefault="00C821BE" w:rsidP="00C821BE">
            <w:pPr>
              <w:spacing w:after="0" w:line="240" w:lineRule="auto"/>
              <w:jc w:val="both"/>
              <w:rPr>
                <w:rFonts w:ascii="Times New Roman" w:hAnsi="Times New Roman" w:cs="Times New Roman"/>
                <w:sz w:val="16"/>
                <w:szCs w:val="16"/>
                <w:lang w:val="pt-BR"/>
              </w:rPr>
            </w:pPr>
            <w:r w:rsidRPr="002362E3">
              <w:rPr>
                <w:rFonts w:ascii="Times New Roman" w:hAnsi="Times New Roman" w:cs="Times New Roman"/>
                <w:sz w:val="16"/>
                <w:szCs w:val="16"/>
                <w:lang w:val="pt-BR"/>
              </w:rPr>
              <w:t>- Envolver e sensibilizar as autoridades locais, os chefes das aldeias e a população em todo o andamento das atividades do subprojeto n ° 1;</w:t>
            </w:r>
          </w:p>
          <w:p w:rsidR="00C821BE" w:rsidRPr="002362E3" w:rsidRDefault="00C821BE" w:rsidP="00C821BE">
            <w:pPr>
              <w:spacing w:after="0" w:line="240" w:lineRule="auto"/>
              <w:jc w:val="both"/>
              <w:rPr>
                <w:rFonts w:ascii="Times New Roman" w:hAnsi="Times New Roman" w:cs="Times New Roman"/>
                <w:sz w:val="16"/>
                <w:szCs w:val="16"/>
                <w:lang w:val="pt-BR"/>
              </w:rPr>
            </w:pPr>
            <w:r w:rsidRPr="002362E3">
              <w:rPr>
                <w:rFonts w:ascii="Times New Roman" w:hAnsi="Times New Roman" w:cs="Times New Roman"/>
                <w:sz w:val="16"/>
                <w:szCs w:val="16"/>
                <w:lang w:val="pt-BR"/>
              </w:rPr>
              <w:t>-Respeite as opiniões e recomendações das autoridades e populações locais.</w:t>
            </w:r>
          </w:p>
          <w:p w:rsidR="00C821BE" w:rsidRPr="002362E3" w:rsidRDefault="00C821BE" w:rsidP="00C821BE">
            <w:pPr>
              <w:spacing w:after="0" w:line="240" w:lineRule="auto"/>
              <w:jc w:val="both"/>
              <w:rPr>
                <w:rFonts w:ascii="Times New Roman" w:hAnsi="Times New Roman" w:cs="Times New Roman"/>
                <w:sz w:val="16"/>
                <w:szCs w:val="16"/>
                <w:lang w:val="pt-BR"/>
              </w:rPr>
            </w:pPr>
            <w:r w:rsidRPr="002362E3">
              <w:rPr>
                <w:rFonts w:ascii="Times New Roman" w:hAnsi="Times New Roman" w:cs="Times New Roman"/>
                <w:sz w:val="16"/>
                <w:szCs w:val="16"/>
                <w:lang w:val="pt-BR"/>
              </w:rPr>
              <w:t xml:space="preserve">-Respeitar os compromissos assumidos pelo PUASEE-FA e pelas empresas durante as reuniões; </w:t>
            </w:r>
          </w:p>
          <w:p w:rsidR="00C821BE" w:rsidRPr="002362E3" w:rsidRDefault="00C821BE" w:rsidP="00C821BE">
            <w:pPr>
              <w:spacing w:after="0" w:line="240" w:lineRule="auto"/>
              <w:jc w:val="both"/>
              <w:rPr>
                <w:rFonts w:ascii="Times New Roman" w:hAnsi="Times New Roman" w:cs="Times New Roman"/>
                <w:sz w:val="16"/>
                <w:szCs w:val="16"/>
                <w:lang w:val="pt-BR"/>
              </w:rPr>
            </w:pPr>
            <w:r w:rsidRPr="002362E3">
              <w:rPr>
                <w:rFonts w:ascii="Times New Roman" w:hAnsi="Times New Roman" w:cs="Times New Roman"/>
                <w:sz w:val="16"/>
                <w:szCs w:val="16"/>
                <w:lang w:val="pt-BR"/>
              </w:rPr>
              <w:t>-Apoiar programas integrando a mobilização da comunidade sobre VBG;</w:t>
            </w:r>
          </w:p>
          <w:p w:rsidR="00C821BE" w:rsidRPr="002362E3" w:rsidRDefault="00C821BE" w:rsidP="00C821BE">
            <w:pPr>
              <w:spacing w:after="0" w:line="240" w:lineRule="auto"/>
              <w:jc w:val="both"/>
              <w:rPr>
                <w:rFonts w:ascii="Times New Roman" w:hAnsi="Times New Roman" w:cs="Times New Roman"/>
                <w:sz w:val="16"/>
                <w:szCs w:val="16"/>
                <w:lang w:val="pt-BR"/>
              </w:rPr>
            </w:pPr>
            <w:r w:rsidRPr="002362E3">
              <w:rPr>
                <w:rFonts w:ascii="Times New Roman" w:hAnsi="Times New Roman" w:cs="Times New Roman"/>
                <w:sz w:val="16"/>
                <w:szCs w:val="16"/>
                <w:lang w:val="pt-BR"/>
              </w:rPr>
              <w:t>-Apoiar atividades para reduzir a tolerância à violência envolvendo todos os homens;</w:t>
            </w:r>
          </w:p>
          <w:p w:rsidR="00C821BE" w:rsidRPr="002362E3" w:rsidRDefault="00C821BE" w:rsidP="00C821BE">
            <w:pPr>
              <w:spacing w:after="0" w:line="240" w:lineRule="auto"/>
              <w:jc w:val="both"/>
              <w:rPr>
                <w:rFonts w:ascii="Times New Roman" w:hAnsi="Times New Roman" w:cs="Times New Roman"/>
                <w:sz w:val="16"/>
                <w:szCs w:val="16"/>
                <w:lang w:val="pt-BR"/>
              </w:rPr>
            </w:pPr>
            <w:r w:rsidRPr="002362E3">
              <w:rPr>
                <w:rFonts w:ascii="Times New Roman" w:hAnsi="Times New Roman" w:cs="Times New Roman"/>
                <w:sz w:val="16"/>
                <w:szCs w:val="16"/>
                <w:lang w:val="pt-BR"/>
              </w:rPr>
              <w:t>-Apoiar atividades com ampla representação da comunidade de base;</w:t>
            </w:r>
          </w:p>
          <w:p w:rsidR="00C821BE" w:rsidRPr="002362E3" w:rsidRDefault="00C821BE" w:rsidP="00C821BE">
            <w:pPr>
              <w:spacing w:after="0" w:line="240" w:lineRule="auto"/>
              <w:jc w:val="both"/>
              <w:rPr>
                <w:rFonts w:ascii="Times New Roman" w:hAnsi="Times New Roman" w:cs="Times New Roman"/>
                <w:sz w:val="16"/>
                <w:szCs w:val="16"/>
                <w:lang w:val="pt-BR"/>
              </w:rPr>
            </w:pPr>
            <w:r w:rsidRPr="002362E3">
              <w:rPr>
                <w:rFonts w:ascii="Times New Roman" w:hAnsi="Times New Roman" w:cs="Times New Roman"/>
                <w:sz w:val="16"/>
                <w:szCs w:val="16"/>
                <w:lang w:val="pt-BR"/>
              </w:rPr>
              <w:t>-Lutar contra todos os tipos de discriminação de gênero;</w:t>
            </w:r>
          </w:p>
        </w:tc>
        <w:tc>
          <w:tcPr>
            <w:tcW w:w="3568" w:type="dxa"/>
            <w:tcBorders>
              <w:top w:val="single" w:sz="4" w:space="0" w:color="auto"/>
              <w:left w:val="single" w:sz="4" w:space="0" w:color="auto"/>
              <w:bottom w:val="single" w:sz="4" w:space="0" w:color="auto"/>
              <w:right w:val="single" w:sz="4" w:space="0" w:color="auto"/>
            </w:tcBorders>
            <w:vAlign w:val="center"/>
          </w:tcPr>
          <w:p w:rsidR="00C821BE" w:rsidRPr="002362E3" w:rsidRDefault="00C821BE" w:rsidP="00C821BE">
            <w:pPr>
              <w:spacing w:after="0" w:line="240" w:lineRule="auto"/>
              <w:jc w:val="both"/>
              <w:rPr>
                <w:rFonts w:ascii="Times New Roman" w:hAnsi="Times New Roman" w:cs="Times New Roman"/>
                <w:sz w:val="16"/>
                <w:szCs w:val="16"/>
                <w:lang w:val="pt-BR"/>
              </w:rPr>
            </w:pPr>
            <w:r w:rsidRPr="002362E3">
              <w:rPr>
                <w:rFonts w:ascii="Times New Roman" w:hAnsi="Times New Roman" w:cs="Times New Roman"/>
                <w:sz w:val="16"/>
                <w:szCs w:val="16"/>
                <w:lang w:val="pt-BR"/>
              </w:rPr>
              <w:t>- Envolvimento de todos os atores envolvidos no projeto;</w:t>
            </w:r>
          </w:p>
          <w:p w:rsidR="00C821BE" w:rsidRPr="002362E3" w:rsidRDefault="00C821BE" w:rsidP="00C821BE">
            <w:pPr>
              <w:spacing w:after="0" w:line="240" w:lineRule="auto"/>
              <w:jc w:val="both"/>
              <w:rPr>
                <w:rFonts w:ascii="Times New Roman" w:hAnsi="Times New Roman" w:cs="Times New Roman"/>
                <w:sz w:val="16"/>
                <w:szCs w:val="16"/>
                <w:lang w:val="pt-BR"/>
              </w:rPr>
            </w:pPr>
            <w:r w:rsidRPr="002362E3">
              <w:rPr>
                <w:rFonts w:ascii="Times New Roman" w:hAnsi="Times New Roman" w:cs="Times New Roman"/>
                <w:sz w:val="16"/>
                <w:szCs w:val="16"/>
                <w:lang w:val="pt-BR"/>
              </w:rPr>
              <w:t>-Realização dos compromissos assumidos;</w:t>
            </w:r>
          </w:p>
          <w:p w:rsidR="00C821BE" w:rsidRPr="002362E3" w:rsidRDefault="00C821BE" w:rsidP="00C821BE">
            <w:pPr>
              <w:spacing w:after="0" w:line="240" w:lineRule="auto"/>
              <w:jc w:val="both"/>
              <w:rPr>
                <w:rFonts w:ascii="Times New Roman" w:hAnsi="Times New Roman" w:cs="Times New Roman"/>
                <w:sz w:val="16"/>
                <w:szCs w:val="16"/>
                <w:lang w:val="pt-BR"/>
              </w:rPr>
            </w:pPr>
            <w:r w:rsidRPr="002362E3">
              <w:rPr>
                <w:rFonts w:ascii="Times New Roman" w:hAnsi="Times New Roman" w:cs="Times New Roman"/>
                <w:sz w:val="16"/>
                <w:szCs w:val="16"/>
                <w:lang w:val="pt-BR"/>
              </w:rPr>
              <w:t>-Número de pessoas sensibilizadas e envolvidas;</w:t>
            </w:r>
          </w:p>
          <w:p w:rsidR="00C821BE" w:rsidRPr="002362E3" w:rsidRDefault="00C821BE" w:rsidP="00C821BE">
            <w:pPr>
              <w:spacing w:after="0" w:line="240" w:lineRule="auto"/>
              <w:jc w:val="both"/>
              <w:rPr>
                <w:rFonts w:ascii="Times New Roman" w:hAnsi="Times New Roman" w:cs="Times New Roman"/>
                <w:sz w:val="16"/>
                <w:szCs w:val="16"/>
                <w:lang w:val="pt-BR"/>
              </w:rPr>
            </w:pPr>
            <w:r w:rsidRPr="002362E3">
              <w:rPr>
                <w:rFonts w:ascii="Times New Roman" w:hAnsi="Times New Roman" w:cs="Times New Roman"/>
                <w:sz w:val="16"/>
                <w:szCs w:val="16"/>
                <w:lang w:val="pt-BR"/>
              </w:rPr>
              <w:t>- Número de atividades apoiadas;</w:t>
            </w:r>
          </w:p>
          <w:p w:rsidR="00C821BE" w:rsidRPr="002362E3" w:rsidRDefault="00C821BE" w:rsidP="00C821BE">
            <w:pPr>
              <w:spacing w:after="0" w:line="240" w:lineRule="auto"/>
              <w:jc w:val="both"/>
              <w:rPr>
                <w:rFonts w:ascii="Times New Roman" w:hAnsi="Times New Roman" w:cs="Times New Roman"/>
                <w:sz w:val="16"/>
                <w:szCs w:val="16"/>
                <w:lang w:val="pt-BR"/>
              </w:rPr>
            </w:pPr>
            <w:r w:rsidRPr="002362E3">
              <w:rPr>
                <w:rFonts w:ascii="Times New Roman" w:hAnsi="Times New Roman" w:cs="Times New Roman"/>
                <w:sz w:val="16"/>
                <w:szCs w:val="16"/>
                <w:lang w:val="pt-BR"/>
              </w:rPr>
              <w:t>- Número de programas suportados;</w:t>
            </w:r>
          </w:p>
          <w:p w:rsidR="00C821BE" w:rsidRPr="002362E3" w:rsidRDefault="00C821BE" w:rsidP="00C821BE">
            <w:pPr>
              <w:spacing w:after="0" w:line="240" w:lineRule="auto"/>
              <w:jc w:val="both"/>
              <w:rPr>
                <w:rFonts w:ascii="Times New Roman" w:hAnsi="Times New Roman" w:cs="Times New Roman"/>
                <w:sz w:val="16"/>
                <w:szCs w:val="16"/>
                <w:lang w:val="pt-BR"/>
              </w:rPr>
            </w:pPr>
          </w:p>
        </w:tc>
        <w:tc>
          <w:tcPr>
            <w:tcW w:w="1134"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C821BE" w:rsidRPr="002362E3" w:rsidRDefault="00C821BE" w:rsidP="00C821BE">
            <w:pPr>
              <w:spacing w:after="0" w:line="240" w:lineRule="auto"/>
              <w:jc w:val="center"/>
              <w:rPr>
                <w:rFonts w:ascii="Times New Roman" w:hAnsi="Times New Roman" w:cs="Times New Roman"/>
                <w:b/>
                <w:sz w:val="16"/>
                <w:szCs w:val="16"/>
                <w:lang w:val="pt-BR"/>
              </w:rPr>
            </w:pPr>
            <w:r w:rsidRPr="002362E3">
              <w:rPr>
                <w:rFonts w:ascii="Times New Roman" w:hAnsi="Times New Roman" w:cs="Times New Roman"/>
                <w:b/>
                <w:sz w:val="16"/>
                <w:szCs w:val="16"/>
                <w:lang w:val="pt-BR"/>
              </w:rPr>
              <w:t>O negócio</w:t>
            </w:r>
          </w:p>
          <w:p w:rsidR="00C821BE" w:rsidRPr="002362E3" w:rsidRDefault="00C821BE" w:rsidP="00C821BE">
            <w:pPr>
              <w:spacing w:after="0" w:line="240" w:lineRule="auto"/>
              <w:jc w:val="center"/>
              <w:rPr>
                <w:rFonts w:ascii="Times New Roman" w:hAnsi="Times New Roman" w:cs="Times New Roman"/>
                <w:b/>
                <w:sz w:val="16"/>
                <w:szCs w:val="16"/>
                <w:lang w:val="pt-BR"/>
              </w:rPr>
            </w:pPr>
          </w:p>
          <w:p w:rsidR="00C821BE" w:rsidRPr="002362E3" w:rsidRDefault="00C821BE" w:rsidP="00C821BE">
            <w:pPr>
              <w:spacing w:after="0" w:line="240" w:lineRule="auto"/>
              <w:jc w:val="center"/>
              <w:rPr>
                <w:rFonts w:ascii="Times New Roman" w:hAnsi="Times New Roman" w:cs="Times New Roman"/>
                <w:b/>
                <w:sz w:val="16"/>
                <w:szCs w:val="16"/>
                <w:lang w:val="pt-BR"/>
              </w:rPr>
            </w:pPr>
            <w:r w:rsidRPr="002362E3">
              <w:rPr>
                <w:rFonts w:ascii="Times New Roman" w:hAnsi="Times New Roman" w:cs="Times New Roman"/>
                <w:b/>
                <w:sz w:val="16"/>
                <w:szCs w:val="16"/>
                <w:lang w:val="pt-BR"/>
              </w:rPr>
              <w:t>PUASEE-FA</w:t>
            </w:r>
          </w:p>
        </w:tc>
        <w:tc>
          <w:tcPr>
            <w:tcW w:w="1120"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C821BE" w:rsidRPr="002362E3" w:rsidRDefault="00C821BE" w:rsidP="00C821BE">
            <w:pPr>
              <w:spacing w:after="0" w:line="240" w:lineRule="auto"/>
              <w:jc w:val="center"/>
              <w:rPr>
                <w:rFonts w:ascii="Times New Roman" w:hAnsi="Times New Roman" w:cs="Times New Roman"/>
                <w:b/>
                <w:sz w:val="16"/>
                <w:szCs w:val="16"/>
                <w:lang w:val="pt-BR"/>
              </w:rPr>
            </w:pPr>
            <w:r w:rsidRPr="002362E3">
              <w:rPr>
                <w:rFonts w:ascii="Times New Roman" w:hAnsi="Times New Roman" w:cs="Times New Roman"/>
                <w:b/>
                <w:sz w:val="16"/>
                <w:szCs w:val="16"/>
                <w:lang w:val="pt-BR"/>
              </w:rPr>
              <w:t>Comitê de Monitoramento</w:t>
            </w:r>
          </w:p>
          <w:p w:rsidR="00C821BE" w:rsidRPr="002362E3" w:rsidRDefault="00C821BE" w:rsidP="00C821BE">
            <w:pPr>
              <w:spacing w:after="0" w:line="240" w:lineRule="auto"/>
              <w:jc w:val="center"/>
              <w:rPr>
                <w:rFonts w:ascii="Times New Roman" w:hAnsi="Times New Roman" w:cs="Times New Roman"/>
                <w:b/>
                <w:sz w:val="16"/>
                <w:szCs w:val="16"/>
                <w:lang w:val="pt-BR"/>
              </w:rPr>
            </w:pPr>
          </w:p>
          <w:p w:rsidR="00C821BE" w:rsidRPr="002362E3" w:rsidRDefault="00C821BE" w:rsidP="00C821BE">
            <w:pPr>
              <w:spacing w:after="0" w:line="240" w:lineRule="auto"/>
              <w:jc w:val="center"/>
              <w:rPr>
                <w:rFonts w:ascii="Times New Roman" w:hAnsi="Times New Roman" w:cs="Times New Roman"/>
                <w:b/>
                <w:sz w:val="16"/>
                <w:szCs w:val="16"/>
                <w:lang w:val="pt-BR"/>
              </w:rPr>
            </w:pPr>
            <w:r w:rsidRPr="002362E3">
              <w:rPr>
                <w:rFonts w:ascii="Times New Roman" w:hAnsi="Times New Roman" w:cs="Times New Roman"/>
                <w:b/>
                <w:sz w:val="16"/>
                <w:szCs w:val="16"/>
                <w:lang w:val="pt-BR"/>
              </w:rPr>
              <w:t>PUASEE-FA</w:t>
            </w:r>
          </w:p>
        </w:tc>
        <w:tc>
          <w:tcPr>
            <w:tcW w:w="1445" w:type="dxa"/>
            <w:tcBorders>
              <w:top w:val="single" w:sz="4" w:space="0" w:color="auto"/>
              <w:left w:val="single" w:sz="4" w:space="0" w:color="auto"/>
              <w:bottom w:val="single" w:sz="4" w:space="0" w:color="auto"/>
              <w:right w:val="single" w:sz="4" w:space="0" w:color="auto"/>
            </w:tcBorders>
            <w:vAlign w:val="center"/>
          </w:tcPr>
          <w:p w:rsidR="00C821BE" w:rsidRPr="002362E3" w:rsidRDefault="00C821BE" w:rsidP="00C821BE">
            <w:pPr>
              <w:spacing w:after="0" w:line="240" w:lineRule="auto"/>
              <w:jc w:val="center"/>
              <w:rPr>
                <w:rFonts w:ascii="Times New Roman" w:hAnsi="Times New Roman" w:cs="Times New Roman"/>
                <w:sz w:val="16"/>
                <w:szCs w:val="16"/>
                <w:lang w:val="pt-BR"/>
              </w:rPr>
            </w:pPr>
            <w:r w:rsidRPr="002362E3">
              <w:rPr>
                <w:rFonts w:ascii="Times New Roman" w:hAnsi="Times New Roman" w:cs="Times New Roman"/>
                <w:sz w:val="16"/>
                <w:szCs w:val="16"/>
                <w:lang w:val="pt-BR"/>
              </w:rPr>
              <w:t>No início e continuamente</w:t>
            </w:r>
          </w:p>
        </w:tc>
        <w:tc>
          <w:tcPr>
            <w:tcW w:w="112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C821BE" w:rsidRPr="002362E3" w:rsidRDefault="00C821BE" w:rsidP="00C821BE">
            <w:pPr>
              <w:spacing w:after="0" w:line="240" w:lineRule="auto"/>
              <w:jc w:val="center"/>
              <w:rPr>
                <w:rFonts w:ascii="Times New Roman" w:hAnsi="Times New Roman" w:cs="Times New Roman"/>
                <w:b/>
                <w:sz w:val="16"/>
                <w:szCs w:val="16"/>
                <w:lang w:val="pt-BR"/>
              </w:rPr>
            </w:pPr>
            <w:r w:rsidRPr="002362E3">
              <w:rPr>
                <w:rFonts w:ascii="Times New Roman" w:hAnsi="Times New Roman" w:cs="Times New Roman"/>
                <w:b/>
                <w:sz w:val="16"/>
                <w:szCs w:val="16"/>
                <w:lang w:val="pt-BR"/>
              </w:rPr>
              <w:t>2.000.000</w:t>
            </w:r>
          </w:p>
        </w:tc>
      </w:tr>
      <w:tr w:rsidR="00C821BE" w:rsidRPr="002362E3" w:rsidTr="00C821BE">
        <w:trPr>
          <w:trHeight w:val="70"/>
          <w:jc w:val="center"/>
        </w:trPr>
        <w:tc>
          <w:tcPr>
            <w:tcW w:w="1212"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C821BE" w:rsidRPr="002362E3" w:rsidRDefault="00C821BE" w:rsidP="00C821BE">
            <w:pPr>
              <w:spacing w:after="0" w:line="240" w:lineRule="auto"/>
              <w:jc w:val="center"/>
              <w:rPr>
                <w:rFonts w:ascii="Times New Roman" w:hAnsi="Times New Roman" w:cs="Times New Roman"/>
                <w:b/>
                <w:bCs/>
                <w:sz w:val="16"/>
                <w:szCs w:val="16"/>
                <w:lang w:val="pt-BR"/>
              </w:rPr>
            </w:pPr>
            <w:r w:rsidRPr="002362E3">
              <w:rPr>
                <w:rFonts w:ascii="Times New Roman" w:hAnsi="Times New Roman" w:cs="Times New Roman"/>
                <w:b/>
                <w:bCs/>
                <w:sz w:val="16"/>
                <w:szCs w:val="16"/>
                <w:lang w:val="pt-BR"/>
              </w:rPr>
              <w:t>Humano</w:t>
            </w:r>
          </w:p>
        </w:tc>
        <w:tc>
          <w:tcPr>
            <w:tcW w:w="2079" w:type="dxa"/>
            <w:tcBorders>
              <w:top w:val="single" w:sz="4" w:space="0" w:color="auto"/>
              <w:left w:val="single" w:sz="4" w:space="0" w:color="auto"/>
              <w:bottom w:val="single" w:sz="4" w:space="0" w:color="auto"/>
              <w:right w:val="single" w:sz="4" w:space="0" w:color="auto"/>
            </w:tcBorders>
            <w:vAlign w:val="center"/>
          </w:tcPr>
          <w:p w:rsidR="00C821BE" w:rsidRPr="002362E3" w:rsidRDefault="00C821BE" w:rsidP="00C821BE">
            <w:pPr>
              <w:spacing w:after="0" w:line="240" w:lineRule="auto"/>
              <w:rPr>
                <w:rFonts w:ascii="Times New Roman" w:hAnsi="Times New Roman" w:cs="Times New Roman"/>
                <w:sz w:val="16"/>
                <w:szCs w:val="16"/>
                <w:lang w:val="pt-BR"/>
              </w:rPr>
            </w:pPr>
            <w:r w:rsidRPr="002362E3">
              <w:rPr>
                <w:rFonts w:ascii="Times New Roman" w:hAnsi="Times New Roman" w:cs="Times New Roman"/>
                <w:sz w:val="16"/>
                <w:szCs w:val="16"/>
                <w:lang w:val="pt-BR"/>
              </w:rPr>
              <w:t>Risco de roubo, arrombamento e sabotagem de canteiros de obras</w:t>
            </w:r>
          </w:p>
        </w:tc>
        <w:tc>
          <w:tcPr>
            <w:tcW w:w="4335" w:type="dxa"/>
            <w:tcBorders>
              <w:top w:val="single" w:sz="4" w:space="0" w:color="auto"/>
              <w:left w:val="single" w:sz="4" w:space="0" w:color="auto"/>
              <w:bottom w:val="single" w:sz="4" w:space="0" w:color="auto"/>
              <w:right w:val="single" w:sz="4" w:space="0" w:color="auto"/>
            </w:tcBorders>
            <w:vAlign w:val="center"/>
          </w:tcPr>
          <w:p w:rsidR="00C821BE" w:rsidRPr="002362E3" w:rsidRDefault="00C821BE" w:rsidP="00C821BE">
            <w:pPr>
              <w:spacing w:after="0" w:line="240" w:lineRule="auto"/>
              <w:jc w:val="both"/>
              <w:rPr>
                <w:rFonts w:ascii="Times New Roman" w:hAnsi="Times New Roman" w:cs="Times New Roman"/>
                <w:sz w:val="16"/>
                <w:szCs w:val="16"/>
                <w:lang w:val="pt-BR"/>
              </w:rPr>
            </w:pPr>
            <w:r w:rsidRPr="002362E3">
              <w:rPr>
                <w:rFonts w:ascii="Times New Roman" w:hAnsi="Times New Roman" w:cs="Times New Roman"/>
                <w:sz w:val="16"/>
                <w:szCs w:val="16"/>
                <w:lang w:val="pt-BR"/>
              </w:rPr>
              <w:t>- Recrutar um serviço de segurança experiente;</w:t>
            </w:r>
          </w:p>
          <w:p w:rsidR="00C821BE" w:rsidRPr="002362E3" w:rsidRDefault="00C821BE" w:rsidP="00C821BE">
            <w:pPr>
              <w:spacing w:after="0" w:line="240" w:lineRule="auto"/>
              <w:jc w:val="both"/>
              <w:rPr>
                <w:rFonts w:ascii="Times New Roman" w:hAnsi="Times New Roman" w:cs="Times New Roman"/>
                <w:sz w:val="16"/>
                <w:szCs w:val="16"/>
                <w:lang w:val="pt-BR"/>
              </w:rPr>
            </w:pPr>
            <w:r w:rsidRPr="002362E3">
              <w:rPr>
                <w:rFonts w:ascii="Times New Roman" w:hAnsi="Times New Roman" w:cs="Times New Roman"/>
                <w:sz w:val="16"/>
                <w:szCs w:val="16"/>
                <w:lang w:val="pt-BR"/>
              </w:rPr>
              <w:t>-Proteger o entorno dos sites;</w:t>
            </w:r>
          </w:p>
          <w:p w:rsidR="00C821BE" w:rsidRPr="002362E3" w:rsidRDefault="00C821BE" w:rsidP="00C821BE">
            <w:pPr>
              <w:spacing w:after="0" w:line="240" w:lineRule="auto"/>
              <w:jc w:val="both"/>
              <w:rPr>
                <w:rFonts w:ascii="Times New Roman" w:hAnsi="Times New Roman" w:cs="Times New Roman"/>
                <w:sz w:val="16"/>
                <w:szCs w:val="16"/>
                <w:lang w:val="pt-BR"/>
              </w:rPr>
            </w:pPr>
            <w:r w:rsidRPr="002362E3">
              <w:rPr>
                <w:rFonts w:ascii="Times New Roman" w:hAnsi="Times New Roman" w:cs="Times New Roman"/>
                <w:sz w:val="16"/>
                <w:szCs w:val="16"/>
                <w:lang w:val="pt-BR"/>
              </w:rPr>
              <w:t>-Boa iluminação de canteiros de obras;</w:t>
            </w:r>
          </w:p>
        </w:tc>
        <w:tc>
          <w:tcPr>
            <w:tcW w:w="3568" w:type="dxa"/>
            <w:tcBorders>
              <w:top w:val="single" w:sz="4" w:space="0" w:color="auto"/>
              <w:left w:val="single" w:sz="4" w:space="0" w:color="auto"/>
              <w:bottom w:val="single" w:sz="4" w:space="0" w:color="auto"/>
              <w:right w:val="single" w:sz="4" w:space="0" w:color="auto"/>
            </w:tcBorders>
            <w:vAlign w:val="center"/>
          </w:tcPr>
          <w:p w:rsidR="00C821BE" w:rsidRPr="002362E3" w:rsidRDefault="00C821BE" w:rsidP="00C821BE">
            <w:pPr>
              <w:spacing w:after="0" w:line="240" w:lineRule="auto"/>
              <w:jc w:val="both"/>
              <w:rPr>
                <w:rFonts w:ascii="Times New Roman" w:hAnsi="Times New Roman" w:cs="Times New Roman"/>
                <w:sz w:val="16"/>
                <w:szCs w:val="16"/>
                <w:lang w:val="pt-BR"/>
              </w:rPr>
            </w:pPr>
            <w:r w:rsidRPr="002362E3">
              <w:rPr>
                <w:rFonts w:ascii="Times New Roman" w:hAnsi="Times New Roman" w:cs="Times New Roman"/>
                <w:sz w:val="16"/>
                <w:szCs w:val="16"/>
                <w:lang w:val="pt-BR"/>
              </w:rPr>
              <w:t>-Presença de postos de segurança;</w:t>
            </w:r>
          </w:p>
          <w:p w:rsidR="00C821BE" w:rsidRPr="002362E3" w:rsidRDefault="00C821BE" w:rsidP="00C821BE">
            <w:pPr>
              <w:spacing w:after="0" w:line="240" w:lineRule="auto"/>
              <w:rPr>
                <w:rFonts w:ascii="Times New Roman" w:hAnsi="Times New Roman" w:cs="Times New Roman"/>
                <w:sz w:val="16"/>
                <w:szCs w:val="16"/>
                <w:lang w:val="pt-BR"/>
              </w:rPr>
            </w:pPr>
            <w:r w:rsidRPr="002362E3">
              <w:rPr>
                <w:rFonts w:ascii="Times New Roman" w:hAnsi="Times New Roman" w:cs="Times New Roman"/>
                <w:sz w:val="16"/>
                <w:szCs w:val="16"/>
                <w:lang w:val="pt-BR"/>
              </w:rPr>
              <w:t>- Recinto do local bem iluminado;</w:t>
            </w:r>
          </w:p>
          <w:p w:rsidR="00C821BE" w:rsidRPr="002362E3" w:rsidRDefault="00C821BE" w:rsidP="00C821BE">
            <w:pPr>
              <w:spacing w:after="0" w:line="240" w:lineRule="auto"/>
              <w:jc w:val="both"/>
              <w:rPr>
                <w:rFonts w:ascii="Times New Roman" w:hAnsi="Times New Roman" w:cs="Times New Roman"/>
                <w:sz w:val="16"/>
                <w:szCs w:val="16"/>
                <w:lang w:val="pt-BR"/>
              </w:rPr>
            </w:pPr>
          </w:p>
        </w:tc>
        <w:tc>
          <w:tcPr>
            <w:tcW w:w="1134"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C821BE" w:rsidRPr="002362E3" w:rsidRDefault="00C821BE" w:rsidP="00C821BE">
            <w:pPr>
              <w:spacing w:after="0" w:line="240" w:lineRule="auto"/>
              <w:jc w:val="center"/>
              <w:rPr>
                <w:rFonts w:ascii="Times New Roman" w:hAnsi="Times New Roman" w:cs="Times New Roman"/>
                <w:b/>
                <w:sz w:val="16"/>
                <w:szCs w:val="16"/>
                <w:lang w:val="pt-BR"/>
              </w:rPr>
            </w:pPr>
            <w:r w:rsidRPr="002362E3">
              <w:rPr>
                <w:rFonts w:ascii="Times New Roman" w:hAnsi="Times New Roman" w:cs="Times New Roman"/>
                <w:b/>
                <w:sz w:val="16"/>
                <w:szCs w:val="16"/>
                <w:lang w:val="pt-BR"/>
              </w:rPr>
              <w:t>O negócio</w:t>
            </w:r>
          </w:p>
          <w:p w:rsidR="00C821BE" w:rsidRPr="002362E3" w:rsidRDefault="00C821BE" w:rsidP="00C821BE">
            <w:pPr>
              <w:spacing w:after="0" w:line="240" w:lineRule="auto"/>
              <w:jc w:val="center"/>
              <w:rPr>
                <w:rFonts w:ascii="Times New Roman" w:hAnsi="Times New Roman" w:cs="Times New Roman"/>
                <w:b/>
                <w:sz w:val="16"/>
                <w:szCs w:val="16"/>
                <w:lang w:val="pt-BR"/>
              </w:rPr>
            </w:pPr>
          </w:p>
          <w:p w:rsidR="00C821BE" w:rsidRPr="002362E3" w:rsidRDefault="00C821BE" w:rsidP="00C821BE">
            <w:pPr>
              <w:spacing w:after="0" w:line="240" w:lineRule="auto"/>
              <w:jc w:val="center"/>
              <w:rPr>
                <w:rFonts w:ascii="Times New Roman" w:hAnsi="Times New Roman" w:cs="Times New Roman"/>
                <w:b/>
                <w:sz w:val="16"/>
                <w:szCs w:val="16"/>
                <w:lang w:val="pt-BR"/>
              </w:rPr>
            </w:pPr>
            <w:r w:rsidRPr="002362E3">
              <w:rPr>
                <w:rFonts w:ascii="Times New Roman" w:hAnsi="Times New Roman" w:cs="Times New Roman"/>
                <w:b/>
                <w:sz w:val="16"/>
                <w:szCs w:val="16"/>
                <w:lang w:val="pt-BR"/>
              </w:rPr>
              <w:t>PUASEE-FA</w:t>
            </w:r>
          </w:p>
        </w:tc>
        <w:tc>
          <w:tcPr>
            <w:tcW w:w="1120"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C821BE" w:rsidRPr="002362E3" w:rsidRDefault="00C821BE" w:rsidP="00C821BE">
            <w:pPr>
              <w:spacing w:after="0" w:line="240" w:lineRule="auto"/>
              <w:jc w:val="center"/>
              <w:rPr>
                <w:rFonts w:ascii="Times New Roman" w:hAnsi="Times New Roman" w:cs="Times New Roman"/>
                <w:b/>
                <w:sz w:val="16"/>
                <w:szCs w:val="16"/>
                <w:lang w:val="pt-BR"/>
              </w:rPr>
            </w:pPr>
            <w:r w:rsidRPr="002362E3">
              <w:rPr>
                <w:rFonts w:ascii="Times New Roman" w:hAnsi="Times New Roman" w:cs="Times New Roman"/>
                <w:b/>
                <w:sz w:val="16"/>
                <w:szCs w:val="16"/>
                <w:lang w:val="pt-BR"/>
              </w:rPr>
              <w:t>Comitê de Monitoramento</w:t>
            </w:r>
          </w:p>
          <w:p w:rsidR="00C821BE" w:rsidRPr="002362E3" w:rsidRDefault="00C821BE" w:rsidP="00C821BE">
            <w:pPr>
              <w:spacing w:after="0" w:line="240" w:lineRule="auto"/>
              <w:jc w:val="center"/>
              <w:rPr>
                <w:rFonts w:ascii="Times New Roman" w:hAnsi="Times New Roman" w:cs="Times New Roman"/>
                <w:b/>
                <w:sz w:val="16"/>
                <w:szCs w:val="16"/>
                <w:lang w:val="pt-BR"/>
              </w:rPr>
            </w:pPr>
          </w:p>
          <w:p w:rsidR="00C821BE" w:rsidRPr="002362E3" w:rsidRDefault="00C821BE" w:rsidP="00C821BE">
            <w:pPr>
              <w:spacing w:after="0" w:line="240" w:lineRule="auto"/>
              <w:jc w:val="center"/>
              <w:rPr>
                <w:rFonts w:ascii="Times New Roman" w:hAnsi="Times New Roman" w:cs="Times New Roman"/>
                <w:b/>
                <w:sz w:val="16"/>
                <w:szCs w:val="16"/>
                <w:lang w:val="pt-BR"/>
              </w:rPr>
            </w:pPr>
            <w:r w:rsidRPr="002362E3">
              <w:rPr>
                <w:rFonts w:ascii="Times New Roman" w:hAnsi="Times New Roman" w:cs="Times New Roman"/>
                <w:b/>
                <w:sz w:val="16"/>
                <w:szCs w:val="16"/>
                <w:lang w:val="pt-BR"/>
              </w:rPr>
              <w:t>PUASEE-FA</w:t>
            </w:r>
          </w:p>
        </w:tc>
        <w:tc>
          <w:tcPr>
            <w:tcW w:w="1445" w:type="dxa"/>
            <w:tcBorders>
              <w:top w:val="single" w:sz="4" w:space="0" w:color="auto"/>
              <w:left w:val="single" w:sz="4" w:space="0" w:color="auto"/>
              <w:bottom w:val="single" w:sz="4" w:space="0" w:color="auto"/>
              <w:right w:val="single" w:sz="4" w:space="0" w:color="auto"/>
            </w:tcBorders>
            <w:vAlign w:val="center"/>
          </w:tcPr>
          <w:p w:rsidR="00C821BE" w:rsidRPr="002362E3" w:rsidRDefault="00C821BE" w:rsidP="00C821BE">
            <w:pPr>
              <w:spacing w:after="0" w:line="240" w:lineRule="auto"/>
              <w:jc w:val="center"/>
              <w:rPr>
                <w:rFonts w:ascii="Times New Roman" w:hAnsi="Times New Roman" w:cs="Times New Roman"/>
                <w:sz w:val="16"/>
                <w:szCs w:val="16"/>
                <w:lang w:val="pt-BR"/>
              </w:rPr>
            </w:pPr>
            <w:r w:rsidRPr="002362E3">
              <w:rPr>
                <w:rFonts w:ascii="Times New Roman" w:hAnsi="Times New Roman" w:cs="Times New Roman"/>
                <w:sz w:val="16"/>
                <w:szCs w:val="16"/>
                <w:lang w:val="pt-BR"/>
              </w:rPr>
              <w:t>No início e continuamente</w:t>
            </w:r>
          </w:p>
        </w:tc>
        <w:tc>
          <w:tcPr>
            <w:tcW w:w="112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C821BE" w:rsidRPr="002362E3" w:rsidRDefault="00C821BE" w:rsidP="00C821BE">
            <w:pPr>
              <w:spacing w:after="0" w:line="240" w:lineRule="auto"/>
              <w:jc w:val="center"/>
              <w:rPr>
                <w:rFonts w:ascii="Times New Roman" w:hAnsi="Times New Roman" w:cs="Times New Roman"/>
                <w:b/>
                <w:sz w:val="16"/>
                <w:szCs w:val="16"/>
                <w:lang w:val="pt-BR"/>
              </w:rPr>
            </w:pPr>
            <w:r w:rsidRPr="002362E3">
              <w:rPr>
                <w:rFonts w:ascii="Times New Roman" w:hAnsi="Times New Roman" w:cs="Times New Roman"/>
                <w:b/>
                <w:sz w:val="16"/>
                <w:szCs w:val="16"/>
                <w:lang w:val="pt-BR"/>
              </w:rPr>
              <w:t>Custo associado ao projeto</w:t>
            </w:r>
          </w:p>
        </w:tc>
      </w:tr>
      <w:tr w:rsidR="00C821BE" w:rsidRPr="002362E3" w:rsidTr="00C821BE">
        <w:trPr>
          <w:trHeight w:val="70"/>
          <w:jc w:val="center"/>
        </w:trPr>
        <w:tc>
          <w:tcPr>
            <w:tcW w:w="1212"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C821BE" w:rsidRPr="002362E3" w:rsidRDefault="00C821BE" w:rsidP="00C821BE">
            <w:pPr>
              <w:spacing w:after="0" w:line="240" w:lineRule="auto"/>
              <w:jc w:val="center"/>
              <w:rPr>
                <w:rFonts w:ascii="Times New Roman" w:eastAsia="Times New Roman" w:hAnsi="Times New Roman" w:cs="Times New Roman"/>
                <w:b/>
                <w:bCs/>
                <w:sz w:val="16"/>
                <w:szCs w:val="16"/>
                <w:lang w:val="pt-BR"/>
              </w:rPr>
            </w:pPr>
            <w:r w:rsidRPr="002362E3">
              <w:rPr>
                <w:rFonts w:ascii="Times New Roman" w:eastAsia="Times New Roman" w:hAnsi="Times New Roman" w:cs="Times New Roman"/>
                <w:b/>
                <w:sz w:val="16"/>
                <w:szCs w:val="16"/>
                <w:lang w:val="pt-BR"/>
              </w:rPr>
              <w:t>Criação de emprego</w:t>
            </w:r>
          </w:p>
          <w:p w:rsidR="00C821BE" w:rsidRPr="002362E3" w:rsidRDefault="00C821BE" w:rsidP="00C821BE">
            <w:pPr>
              <w:spacing w:after="0" w:line="240" w:lineRule="auto"/>
              <w:jc w:val="center"/>
              <w:rPr>
                <w:rFonts w:ascii="Times New Roman" w:eastAsia="Times New Roman" w:hAnsi="Times New Roman" w:cs="Times New Roman"/>
                <w:b/>
                <w:bCs/>
                <w:sz w:val="16"/>
                <w:szCs w:val="16"/>
                <w:lang w:val="pt-BR"/>
              </w:rPr>
            </w:pPr>
          </w:p>
        </w:tc>
        <w:tc>
          <w:tcPr>
            <w:tcW w:w="2079" w:type="dxa"/>
            <w:tcBorders>
              <w:top w:val="single" w:sz="4" w:space="0" w:color="auto"/>
              <w:left w:val="single" w:sz="4" w:space="0" w:color="auto"/>
              <w:bottom w:val="single" w:sz="4" w:space="0" w:color="auto"/>
              <w:right w:val="single" w:sz="4" w:space="0" w:color="auto"/>
            </w:tcBorders>
            <w:vAlign w:val="center"/>
          </w:tcPr>
          <w:p w:rsidR="00C821BE" w:rsidRPr="002362E3" w:rsidRDefault="00C821BE" w:rsidP="00C821BE">
            <w:pPr>
              <w:spacing w:after="0" w:line="240" w:lineRule="auto"/>
              <w:jc w:val="both"/>
              <w:rPr>
                <w:rFonts w:ascii="Times New Roman" w:hAnsi="Times New Roman" w:cs="Times New Roman"/>
                <w:sz w:val="16"/>
                <w:szCs w:val="16"/>
                <w:lang w:val="pt-BR"/>
              </w:rPr>
            </w:pPr>
            <w:r w:rsidRPr="002362E3">
              <w:rPr>
                <w:rFonts w:ascii="Times New Roman" w:hAnsi="Times New Roman" w:cs="Times New Roman"/>
                <w:sz w:val="16"/>
                <w:szCs w:val="16"/>
                <w:lang w:val="pt-BR"/>
              </w:rPr>
              <w:t>Recrutamento de jovens (masculino / feminino)</w:t>
            </w:r>
          </w:p>
        </w:tc>
        <w:tc>
          <w:tcPr>
            <w:tcW w:w="4335" w:type="dxa"/>
            <w:tcBorders>
              <w:top w:val="single" w:sz="4" w:space="0" w:color="auto"/>
              <w:left w:val="single" w:sz="4" w:space="0" w:color="auto"/>
              <w:bottom w:val="single" w:sz="4" w:space="0" w:color="auto"/>
              <w:right w:val="single" w:sz="4" w:space="0" w:color="auto"/>
            </w:tcBorders>
            <w:vAlign w:val="center"/>
          </w:tcPr>
          <w:p w:rsidR="00C821BE" w:rsidRPr="002362E3" w:rsidRDefault="00C821BE" w:rsidP="00C821BE">
            <w:pPr>
              <w:spacing w:after="0" w:line="240" w:lineRule="auto"/>
              <w:jc w:val="both"/>
              <w:rPr>
                <w:rFonts w:ascii="Times New Roman" w:hAnsi="Times New Roman" w:cs="Times New Roman"/>
                <w:sz w:val="16"/>
                <w:szCs w:val="16"/>
                <w:lang w:val="pt-BR"/>
              </w:rPr>
            </w:pPr>
            <w:r w:rsidRPr="002362E3">
              <w:rPr>
                <w:rFonts w:ascii="Times New Roman" w:hAnsi="Times New Roman" w:cs="Times New Roman"/>
                <w:sz w:val="16"/>
                <w:szCs w:val="16"/>
                <w:lang w:val="pt-BR"/>
              </w:rPr>
              <w:t>Como prioridade, recrutar populações locais para cargos temporários.</w:t>
            </w:r>
          </w:p>
        </w:tc>
        <w:tc>
          <w:tcPr>
            <w:tcW w:w="3568" w:type="dxa"/>
            <w:tcBorders>
              <w:top w:val="single" w:sz="4" w:space="0" w:color="auto"/>
              <w:left w:val="single" w:sz="4" w:space="0" w:color="auto"/>
              <w:bottom w:val="single" w:sz="4" w:space="0" w:color="auto"/>
              <w:right w:val="single" w:sz="4" w:space="0" w:color="auto"/>
            </w:tcBorders>
            <w:vAlign w:val="center"/>
          </w:tcPr>
          <w:p w:rsidR="00C821BE" w:rsidRPr="002362E3" w:rsidRDefault="00C821BE" w:rsidP="00C821BE">
            <w:pPr>
              <w:spacing w:after="0" w:line="240" w:lineRule="auto"/>
              <w:jc w:val="both"/>
              <w:rPr>
                <w:rFonts w:ascii="Times New Roman" w:hAnsi="Times New Roman" w:cs="Times New Roman"/>
                <w:sz w:val="16"/>
                <w:szCs w:val="16"/>
                <w:lang w:val="pt-BR"/>
              </w:rPr>
            </w:pPr>
            <w:r w:rsidRPr="002362E3">
              <w:rPr>
                <w:rFonts w:ascii="Times New Roman" w:hAnsi="Times New Roman" w:cs="Times New Roman"/>
                <w:sz w:val="16"/>
                <w:szCs w:val="16"/>
                <w:lang w:val="pt-BR"/>
              </w:rPr>
              <w:t>-Quantos jovens são recrutados no total;</w:t>
            </w:r>
          </w:p>
          <w:p w:rsidR="00C821BE" w:rsidRPr="002362E3" w:rsidRDefault="00C821BE" w:rsidP="00C821BE">
            <w:pPr>
              <w:spacing w:after="0" w:line="240" w:lineRule="auto"/>
              <w:jc w:val="both"/>
              <w:rPr>
                <w:rFonts w:ascii="Times New Roman" w:hAnsi="Times New Roman" w:cs="Times New Roman"/>
                <w:sz w:val="16"/>
                <w:szCs w:val="16"/>
                <w:lang w:val="pt-BR"/>
              </w:rPr>
            </w:pPr>
            <w:r w:rsidRPr="002362E3">
              <w:rPr>
                <w:rFonts w:ascii="Times New Roman" w:hAnsi="Times New Roman" w:cs="Times New Roman"/>
                <w:sz w:val="16"/>
                <w:szCs w:val="16"/>
                <w:lang w:val="pt-BR"/>
              </w:rPr>
              <w:t>-Quantos jovens são recrutados em cada setor em questão;</w:t>
            </w:r>
          </w:p>
        </w:tc>
        <w:tc>
          <w:tcPr>
            <w:tcW w:w="1134"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C821BE" w:rsidRPr="002362E3" w:rsidRDefault="00C821BE" w:rsidP="00C821BE">
            <w:pPr>
              <w:spacing w:after="0" w:line="240" w:lineRule="auto"/>
              <w:jc w:val="center"/>
              <w:rPr>
                <w:rFonts w:ascii="Times New Roman" w:hAnsi="Times New Roman" w:cs="Times New Roman"/>
                <w:b/>
                <w:sz w:val="16"/>
                <w:szCs w:val="16"/>
                <w:lang w:val="pt-BR"/>
              </w:rPr>
            </w:pPr>
            <w:r w:rsidRPr="002362E3">
              <w:rPr>
                <w:rFonts w:ascii="Times New Roman" w:hAnsi="Times New Roman" w:cs="Times New Roman"/>
                <w:b/>
                <w:sz w:val="16"/>
                <w:szCs w:val="16"/>
                <w:lang w:val="pt-BR"/>
              </w:rPr>
              <w:t>O negócio</w:t>
            </w:r>
          </w:p>
          <w:p w:rsidR="00C821BE" w:rsidRPr="002362E3" w:rsidRDefault="00C821BE" w:rsidP="00C821BE">
            <w:pPr>
              <w:spacing w:after="0" w:line="240" w:lineRule="auto"/>
              <w:jc w:val="center"/>
              <w:rPr>
                <w:rFonts w:ascii="Times New Roman" w:hAnsi="Times New Roman" w:cs="Times New Roman"/>
                <w:b/>
                <w:sz w:val="16"/>
                <w:szCs w:val="16"/>
                <w:lang w:val="pt-BR"/>
              </w:rPr>
            </w:pPr>
          </w:p>
          <w:p w:rsidR="00C821BE" w:rsidRPr="002362E3" w:rsidRDefault="00C821BE" w:rsidP="00C821BE">
            <w:pPr>
              <w:spacing w:after="0" w:line="240" w:lineRule="auto"/>
              <w:jc w:val="center"/>
              <w:rPr>
                <w:rFonts w:ascii="Times New Roman" w:hAnsi="Times New Roman" w:cs="Times New Roman"/>
                <w:b/>
                <w:sz w:val="16"/>
                <w:szCs w:val="16"/>
                <w:lang w:val="pt-BR"/>
              </w:rPr>
            </w:pPr>
            <w:r w:rsidRPr="002362E3">
              <w:rPr>
                <w:rFonts w:ascii="Times New Roman" w:hAnsi="Times New Roman" w:cs="Times New Roman"/>
                <w:b/>
                <w:sz w:val="16"/>
                <w:szCs w:val="16"/>
                <w:lang w:val="pt-BR"/>
              </w:rPr>
              <w:t>PUASEE-FA</w:t>
            </w:r>
          </w:p>
          <w:p w:rsidR="00C821BE" w:rsidRPr="002362E3" w:rsidRDefault="00C821BE" w:rsidP="00C821BE">
            <w:pPr>
              <w:spacing w:after="0" w:line="240" w:lineRule="auto"/>
              <w:jc w:val="center"/>
              <w:rPr>
                <w:rFonts w:ascii="Times New Roman" w:hAnsi="Times New Roman" w:cs="Times New Roman"/>
                <w:b/>
                <w:sz w:val="16"/>
                <w:szCs w:val="16"/>
                <w:lang w:val="pt-BR"/>
              </w:rPr>
            </w:pPr>
          </w:p>
          <w:p w:rsidR="00C821BE" w:rsidRPr="002362E3" w:rsidRDefault="00C821BE" w:rsidP="00C821BE">
            <w:pPr>
              <w:spacing w:after="0" w:line="240" w:lineRule="auto"/>
              <w:jc w:val="center"/>
              <w:rPr>
                <w:rFonts w:ascii="Times New Roman" w:hAnsi="Times New Roman" w:cs="Times New Roman"/>
                <w:b/>
                <w:sz w:val="16"/>
                <w:szCs w:val="16"/>
                <w:lang w:val="pt-BR"/>
              </w:rPr>
            </w:pPr>
            <w:r w:rsidRPr="002362E3">
              <w:rPr>
                <w:rFonts w:ascii="Times New Roman" w:hAnsi="Times New Roman" w:cs="Times New Roman"/>
                <w:b/>
                <w:sz w:val="16"/>
                <w:szCs w:val="16"/>
                <w:lang w:val="pt-BR"/>
              </w:rPr>
              <w:t>Prefeitura</w:t>
            </w:r>
          </w:p>
        </w:tc>
        <w:tc>
          <w:tcPr>
            <w:tcW w:w="1120"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C821BE" w:rsidRPr="002362E3" w:rsidRDefault="00C821BE" w:rsidP="00C821BE">
            <w:pPr>
              <w:spacing w:after="0" w:line="240" w:lineRule="auto"/>
              <w:jc w:val="center"/>
              <w:rPr>
                <w:rFonts w:ascii="Times New Roman" w:hAnsi="Times New Roman" w:cs="Times New Roman"/>
                <w:b/>
                <w:sz w:val="16"/>
                <w:szCs w:val="16"/>
                <w:lang w:val="pt-BR"/>
              </w:rPr>
            </w:pPr>
            <w:r w:rsidRPr="002362E3">
              <w:rPr>
                <w:rFonts w:ascii="Times New Roman" w:hAnsi="Times New Roman" w:cs="Times New Roman"/>
                <w:b/>
                <w:sz w:val="16"/>
                <w:szCs w:val="16"/>
                <w:lang w:val="pt-BR"/>
              </w:rPr>
              <w:t>Comitê de Monitoramento</w:t>
            </w:r>
          </w:p>
          <w:p w:rsidR="00C821BE" w:rsidRPr="002362E3" w:rsidRDefault="00C821BE" w:rsidP="00C821BE">
            <w:pPr>
              <w:spacing w:after="0" w:line="240" w:lineRule="auto"/>
              <w:jc w:val="center"/>
              <w:rPr>
                <w:rFonts w:ascii="Times New Roman" w:hAnsi="Times New Roman" w:cs="Times New Roman"/>
                <w:b/>
                <w:sz w:val="16"/>
                <w:szCs w:val="16"/>
                <w:lang w:val="pt-BR"/>
              </w:rPr>
            </w:pPr>
          </w:p>
          <w:p w:rsidR="00C821BE" w:rsidRPr="002362E3" w:rsidRDefault="00C821BE" w:rsidP="00C821BE">
            <w:pPr>
              <w:pStyle w:val="Listecouleur-Accent11"/>
              <w:ind w:left="0"/>
              <w:jc w:val="center"/>
              <w:rPr>
                <w:rFonts w:ascii="Times New Roman" w:hAnsi="Times New Roman"/>
                <w:b/>
                <w:sz w:val="16"/>
                <w:szCs w:val="16"/>
                <w:lang w:val="pt-BR"/>
              </w:rPr>
            </w:pPr>
            <w:r w:rsidRPr="002362E3">
              <w:rPr>
                <w:rFonts w:ascii="Times New Roman" w:hAnsi="Times New Roman"/>
                <w:b/>
                <w:sz w:val="16"/>
                <w:szCs w:val="16"/>
                <w:lang w:val="pt-BR"/>
              </w:rPr>
              <w:t>PUASEE-FA</w:t>
            </w:r>
          </w:p>
        </w:tc>
        <w:tc>
          <w:tcPr>
            <w:tcW w:w="1445" w:type="dxa"/>
            <w:tcBorders>
              <w:top w:val="single" w:sz="4" w:space="0" w:color="auto"/>
              <w:left w:val="single" w:sz="4" w:space="0" w:color="auto"/>
              <w:bottom w:val="single" w:sz="4" w:space="0" w:color="auto"/>
              <w:right w:val="single" w:sz="4" w:space="0" w:color="auto"/>
            </w:tcBorders>
            <w:vAlign w:val="center"/>
          </w:tcPr>
          <w:p w:rsidR="00C821BE" w:rsidRPr="002362E3" w:rsidRDefault="00C821BE" w:rsidP="00C821BE">
            <w:pPr>
              <w:spacing w:after="0" w:line="240" w:lineRule="auto"/>
              <w:jc w:val="center"/>
              <w:rPr>
                <w:rFonts w:ascii="Times New Roman" w:hAnsi="Times New Roman" w:cs="Times New Roman"/>
                <w:sz w:val="16"/>
                <w:szCs w:val="16"/>
                <w:lang w:val="pt-BR"/>
              </w:rPr>
            </w:pPr>
            <w:r w:rsidRPr="002362E3">
              <w:rPr>
                <w:rFonts w:ascii="Times New Roman" w:hAnsi="Times New Roman" w:cs="Times New Roman"/>
                <w:sz w:val="16"/>
                <w:szCs w:val="16"/>
                <w:lang w:val="pt-BR"/>
              </w:rPr>
              <w:t>Durante a construção / trimestral</w:t>
            </w:r>
          </w:p>
        </w:tc>
        <w:tc>
          <w:tcPr>
            <w:tcW w:w="112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C821BE" w:rsidRPr="002362E3" w:rsidRDefault="00C821BE" w:rsidP="00C821BE">
            <w:pPr>
              <w:spacing w:after="0" w:line="240" w:lineRule="auto"/>
              <w:jc w:val="center"/>
              <w:rPr>
                <w:rFonts w:ascii="Times New Roman" w:hAnsi="Times New Roman" w:cs="Times New Roman"/>
                <w:b/>
                <w:sz w:val="16"/>
                <w:szCs w:val="16"/>
                <w:lang w:val="pt-BR"/>
              </w:rPr>
            </w:pPr>
            <w:r w:rsidRPr="002362E3">
              <w:rPr>
                <w:rFonts w:ascii="Times New Roman" w:hAnsi="Times New Roman" w:cs="Times New Roman"/>
                <w:b/>
                <w:sz w:val="16"/>
                <w:szCs w:val="16"/>
                <w:lang w:val="pt-BR"/>
              </w:rPr>
              <w:t>Custo associado ao projeto</w:t>
            </w:r>
          </w:p>
        </w:tc>
      </w:tr>
      <w:tr w:rsidR="00C821BE" w:rsidRPr="002362E3" w:rsidTr="00C821BE">
        <w:trPr>
          <w:trHeight w:val="596"/>
          <w:jc w:val="center"/>
        </w:trPr>
        <w:tc>
          <w:tcPr>
            <w:tcW w:w="1212"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C821BE" w:rsidRPr="002362E3" w:rsidRDefault="00C821BE" w:rsidP="00C821BE">
            <w:pPr>
              <w:autoSpaceDE w:val="0"/>
              <w:autoSpaceDN w:val="0"/>
              <w:adjustRightInd w:val="0"/>
              <w:spacing w:after="0" w:line="240" w:lineRule="auto"/>
              <w:jc w:val="center"/>
              <w:rPr>
                <w:rFonts w:ascii="Times New Roman" w:hAnsi="Times New Roman" w:cs="Times New Roman"/>
                <w:b/>
                <w:bCs/>
                <w:sz w:val="16"/>
                <w:szCs w:val="16"/>
                <w:lang w:val="pt-BR"/>
              </w:rPr>
            </w:pPr>
            <w:r w:rsidRPr="002362E3">
              <w:rPr>
                <w:rFonts w:ascii="Times New Roman" w:hAnsi="Times New Roman" w:cs="Times New Roman"/>
                <w:b/>
                <w:bCs/>
                <w:sz w:val="16"/>
                <w:szCs w:val="16"/>
                <w:lang w:val="pt-BR"/>
              </w:rPr>
              <w:t>Responsabilidade social</w:t>
            </w:r>
          </w:p>
        </w:tc>
        <w:tc>
          <w:tcPr>
            <w:tcW w:w="2079" w:type="dxa"/>
            <w:tcBorders>
              <w:top w:val="single" w:sz="4" w:space="0" w:color="auto"/>
              <w:left w:val="single" w:sz="4" w:space="0" w:color="auto"/>
              <w:bottom w:val="single" w:sz="4" w:space="0" w:color="auto"/>
              <w:right w:val="single" w:sz="4" w:space="0" w:color="auto"/>
            </w:tcBorders>
            <w:vAlign w:val="center"/>
          </w:tcPr>
          <w:p w:rsidR="00C821BE" w:rsidRPr="002362E3" w:rsidRDefault="00C821BE" w:rsidP="00C821BE">
            <w:pPr>
              <w:autoSpaceDE w:val="0"/>
              <w:autoSpaceDN w:val="0"/>
              <w:adjustRightInd w:val="0"/>
              <w:spacing w:after="0" w:line="240" w:lineRule="auto"/>
              <w:jc w:val="both"/>
              <w:rPr>
                <w:rFonts w:ascii="Times New Roman" w:hAnsi="Times New Roman" w:cs="Times New Roman"/>
                <w:sz w:val="16"/>
                <w:szCs w:val="16"/>
                <w:lang w:val="pt-BR"/>
              </w:rPr>
            </w:pPr>
            <w:r w:rsidRPr="002362E3">
              <w:rPr>
                <w:rFonts w:ascii="Times New Roman" w:hAnsi="Times New Roman" w:cs="Times New Roman"/>
                <w:sz w:val="16"/>
                <w:szCs w:val="16"/>
                <w:lang w:val="pt-BR"/>
              </w:rPr>
              <w:t>Apoio, suporte</w:t>
            </w:r>
          </w:p>
        </w:tc>
        <w:tc>
          <w:tcPr>
            <w:tcW w:w="4335" w:type="dxa"/>
            <w:tcBorders>
              <w:top w:val="single" w:sz="4" w:space="0" w:color="auto"/>
              <w:left w:val="single" w:sz="4" w:space="0" w:color="auto"/>
              <w:bottom w:val="single" w:sz="4" w:space="0" w:color="auto"/>
              <w:right w:val="single" w:sz="4" w:space="0" w:color="auto"/>
            </w:tcBorders>
            <w:vAlign w:val="center"/>
          </w:tcPr>
          <w:p w:rsidR="00C821BE" w:rsidRPr="002362E3" w:rsidRDefault="00C821BE" w:rsidP="00C821BE">
            <w:pPr>
              <w:autoSpaceDE w:val="0"/>
              <w:autoSpaceDN w:val="0"/>
              <w:adjustRightInd w:val="0"/>
              <w:spacing w:after="0" w:line="240" w:lineRule="auto"/>
              <w:jc w:val="both"/>
              <w:rPr>
                <w:rFonts w:ascii="Times New Roman" w:hAnsi="Times New Roman" w:cs="Times New Roman"/>
                <w:sz w:val="16"/>
                <w:szCs w:val="16"/>
                <w:lang w:val="pt-BR"/>
              </w:rPr>
            </w:pPr>
            <w:r w:rsidRPr="002362E3">
              <w:rPr>
                <w:rFonts w:ascii="Times New Roman" w:hAnsi="Times New Roman" w:cs="Times New Roman"/>
                <w:sz w:val="16"/>
                <w:szCs w:val="16"/>
                <w:lang w:val="pt-BR"/>
              </w:rPr>
              <w:t>- Participar nas atividades e projetos dos setores de Bissau, Prabis e Safim;</w:t>
            </w:r>
          </w:p>
        </w:tc>
        <w:tc>
          <w:tcPr>
            <w:tcW w:w="3568" w:type="dxa"/>
            <w:tcBorders>
              <w:top w:val="single" w:sz="4" w:space="0" w:color="auto"/>
              <w:left w:val="single" w:sz="4" w:space="0" w:color="auto"/>
              <w:bottom w:val="single" w:sz="4" w:space="0" w:color="auto"/>
              <w:right w:val="single" w:sz="4" w:space="0" w:color="auto"/>
            </w:tcBorders>
            <w:vAlign w:val="center"/>
          </w:tcPr>
          <w:p w:rsidR="00C821BE" w:rsidRPr="002362E3" w:rsidRDefault="00C821BE" w:rsidP="00C821BE">
            <w:pPr>
              <w:autoSpaceDE w:val="0"/>
              <w:autoSpaceDN w:val="0"/>
              <w:adjustRightInd w:val="0"/>
              <w:spacing w:after="0" w:line="240" w:lineRule="auto"/>
              <w:jc w:val="both"/>
              <w:rPr>
                <w:rFonts w:ascii="Times New Roman" w:hAnsi="Times New Roman" w:cs="Times New Roman"/>
                <w:sz w:val="16"/>
                <w:szCs w:val="16"/>
                <w:lang w:val="pt-BR"/>
              </w:rPr>
            </w:pPr>
            <w:r w:rsidRPr="002362E3">
              <w:rPr>
                <w:rFonts w:ascii="Times New Roman" w:hAnsi="Times New Roman" w:cs="Times New Roman"/>
                <w:sz w:val="16"/>
                <w:szCs w:val="16"/>
                <w:lang w:val="pt-BR"/>
              </w:rPr>
              <w:t>- Eficácia das medidas de acompanhamento;</w:t>
            </w:r>
          </w:p>
          <w:p w:rsidR="00C821BE" w:rsidRPr="002362E3" w:rsidRDefault="00C821BE" w:rsidP="00C821BE">
            <w:pPr>
              <w:autoSpaceDE w:val="0"/>
              <w:autoSpaceDN w:val="0"/>
              <w:adjustRightInd w:val="0"/>
              <w:spacing w:after="0" w:line="240" w:lineRule="auto"/>
              <w:jc w:val="both"/>
              <w:rPr>
                <w:rFonts w:ascii="Times New Roman" w:hAnsi="Times New Roman" w:cs="Times New Roman"/>
                <w:sz w:val="16"/>
                <w:szCs w:val="16"/>
                <w:lang w:val="pt-BR"/>
              </w:rPr>
            </w:pPr>
            <w:r w:rsidRPr="002362E3">
              <w:rPr>
                <w:rFonts w:ascii="Times New Roman" w:hAnsi="Times New Roman" w:cs="Times New Roman"/>
                <w:sz w:val="16"/>
                <w:szCs w:val="16"/>
                <w:lang w:val="pt-BR"/>
              </w:rPr>
              <w:t>-Participação nas atividades dos municípios;</w:t>
            </w:r>
          </w:p>
          <w:p w:rsidR="00C821BE" w:rsidRPr="002362E3" w:rsidRDefault="00C821BE" w:rsidP="00C821BE">
            <w:pPr>
              <w:autoSpaceDE w:val="0"/>
              <w:autoSpaceDN w:val="0"/>
              <w:adjustRightInd w:val="0"/>
              <w:spacing w:after="0" w:line="240" w:lineRule="auto"/>
              <w:jc w:val="both"/>
              <w:rPr>
                <w:rFonts w:ascii="Times New Roman" w:hAnsi="Times New Roman" w:cs="Times New Roman"/>
                <w:sz w:val="16"/>
                <w:szCs w:val="16"/>
                <w:lang w:val="pt-BR"/>
              </w:rPr>
            </w:pPr>
            <w:r w:rsidRPr="002362E3">
              <w:rPr>
                <w:rFonts w:ascii="Times New Roman" w:hAnsi="Times New Roman" w:cs="Times New Roman"/>
                <w:sz w:val="16"/>
                <w:szCs w:val="16"/>
                <w:lang w:val="pt-BR"/>
              </w:rPr>
              <w:t>- Número de projetos apoiados;</w:t>
            </w:r>
          </w:p>
        </w:tc>
        <w:tc>
          <w:tcPr>
            <w:tcW w:w="1134"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C821BE" w:rsidRPr="002362E3" w:rsidRDefault="00C821BE" w:rsidP="00C821BE">
            <w:pPr>
              <w:spacing w:after="0" w:line="240" w:lineRule="auto"/>
              <w:jc w:val="center"/>
              <w:rPr>
                <w:rFonts w:ascii="Times New Roman" w:hAnsi="Times New Roman" w:cs="Times New Roman"/>
                <w:b/>
                <w:sz w:val="16"/>
                <w:szCs w:val="16"/>
                <w:lang w:val="pt-BR"/>
              </w:rPr>
            </w:pPr>
            <w:r w:rsidRPr="002362E3">
              <w:rPr>
                <w:rFonts w:ascii="Times New Roman" w:hAnsi="Times New Roman" w:cs="Times New Roman"/>
                <w:b/>
                <w:sz w:val="16"/>
                <w:szCs w:val="16"/>
                <w:lang w:val="pt-BR"/>
              </w:rPr>
              <w:t>O negócio</w:t>
            </w:r>
          </w:p>
          <w:p w:rsidR="00C821BE" w:rsidRPr="002362E3" w:rsidRDefault="00C821BE" w:rsidP="00C821BE">
            <w:pPr>
              <w:autoSpaceDE w:val="0"/>
              <w:autoSpaceDN w:val="0"/>
              <w:adjustRightInd w:val="0"/>
              <w:spacing w:after="0" w:line="240" w:lineRule="auto"/>
              <w:jc w:val="center"/>
              <w:rPr>
                <w:rFonts w:ascii="Times New Roman" w:hAnsi="Times New Roman" w:cs="Times New Roman"/>
                <w:b/>
                <w:sz w:val="16"/>
                <w:szCs w:val="16"/>
                <w:lang w:val="pt-BR"/>
              </w:rPr>
            </w:pPr>
          </w:p>
        </w:tc>
        <w:tc>
          <w:tcPr>
            <w:tcW w:w="1120"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C821BE" w:rsidRPr="002362E3" w:rsidRDefault="00C821BE" w:rsidP="00C821BE">
            <w:pPr>
              <w:spacing w:after="0" w:line="240" w:lineRule="auto"/>
              <w:jc w:val="center"/>
              <w:rPr>
                <w:rFonts w:ascii="Times New Roman" w:hAnsi="Times New Roman" w:cs="Times New Roman"/>
                <w:b/>
                <w:sz w:val="16"/>
                <w:szCs w:val="16"/>
                <w:lang w:val="pt-BR"/>
              </w:rPr>
            </w:pPr>
            <w:r w:rsidRPr="002362E3">
              <w:rPr>
                <w:rFonts w:ascii="Times New Roman" w:hAnsi="Times New Roman" w:cs="Times New Roman"/>
                <w:b/>
                <w:sz w:val="16"/>
                <w:szCs w:val="16"/>
                <w:lang w:val="pt-BR"/>
              </w:rPr>
              <w:t>Comitê de Monitoramento</w:t>
            </w:r>
          </w:p>
          <w:p w:rsidR="00C821BE" w:rsidRPr="002362E3" w:rsidRDefault="00C821BE" w:rsidP="00C821BE">
            <w:pPr>
              <w:spacing w:after="0" w:line="240" w:lineRule="auto"/>
              <w:jc w:val="center"/>
              <w:rPr>
                <w:rFonts w:ascii="Times New Roman" w:hAnsi="Times New Roman" w:cs="Times New Roman"/>
                <w:b/>
                <w:sz w:val="16"/>
                <w:szCs w:val="16"/>
                <w:lang w:val="pt-BR"/>
              </w:rPr>
            </w:pPr>
          </w:p>
          <w:p w:rsidR="00C821BE" w:rsidRPr="002362E3" w:rsidRDefault="00C821BE" w:rsidP="00C821BE">
            <w:pPr>
              <w:autoSpaceDE w:val="0"/>
              <w:autoSpaceDN w:val="0"/>
              <w:adjustRightInd w:val="0"/>
              <w:spacing w:after="0" w:line="240" w:lineRule="auto"/>
              <w:jc w:val="center"/>
              <w:rPr>
                <w:rFonts w:ascii="Times New Roman" w:hAnsi="Times New Roman" w:cs="Times New Roman"/>
                <w:b/>
                <w:sz w:val="16"/>
                <w:szCs w:val="16"/>
                <w:lang w:val="pt-BR"/>
              </w:rPr>
            </w:pPr>
            <w:r w:rsidRPr="002362E3">
              <w:rPr>
                <w:rFonts w:ascii="Times New Roman" w:hAnsi="Times New Roman" w:cs="Times New Roman"/>
                <w:b/>
                <w:sz w:val="16"/>
                <w:szCs w:val="16"/>
                <w:lang w:val="pt-BR"/>
              </w:rPr>
              <w:t>PUASEE-FA</w:t>
            </w:r>
          </w:p>
        </w:tc>
        <w:tc>
          <w:tcPr>
            <w:tcW w:w="1445" w:type="dxa"/>
            <w:tcBorders>
              <w:top w:val="single" w:sz="4" w:space="0" w:color="auto"/>
              <w:left w:val="single" w:sz="4" w:space="0" w:color="auto"/>
              <w:bottom w:val="single" w:sz="4" w:space="0" w:color="auto"/>
              <w:right w:val="single" w:sz="4" w:space="0" w:color="auto"/>
            </w:tcBorders>
            <w:vAlign w:val="center"/>
          </w:tcPr>
          <w:p w:rsidR="00C821BE" w:rsidRPr="002362E3" w:rsidRDefault="00C821BE" w:rsidP="00C821BE">
            <w:pPr>
              <w:autoSpaceDE w:val="0"/>
              <w:autoSpaceDN w:val="0"/>
              <w:adjustRightInd w:val="0"/>
              <w:spacing w:after="0" w:line="240" w:lineRule="auto"/>
              <w:jc w:val="center"/>
              <w:rPr>
                <w:rFonts w:ascii="Times New Roman" w:hAnsi="Times New Roman" w:cs="Times New Roman"/>
                <w:sz w:val="16"/>
                <w:szCs w:val="16"/>
                <w:lang w:val="pt-BR"/>
              </w:rPr>
            </w:pPr>
            <w:r w:rsidRPr="002362E3">
              <w:rPr>
                <w:rFonts w:ascii="Times New Roman" w:hAnsi="Times New Roman" w:cs="Times New Roman"/>
                <w:sz w:val="16"/>
                <w:szCs w:val="16"/>
                <w:lang w:val="pt-BR"/>
              </w:rPr>
              <w:t>No início e continuamente</w:t>
            </w:r>
          </w:p>
        </w:tc>
        <w:tc>
          <w:tcPr>
            <w:tcW w:w="112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C821BE" w:rsidRPr="002362E3" w:rsidRDefault="00C821BE" w:rsidP="00C821BE">
            <w:pPr>
              <w:autoSpaceDE w:val="0"/>
              <w:autoSpaceDN w:val="0"/>
              <w:adjustRightInd w:val="0"/>
              <w:spacing w:after="0" w:line="240" w:lineRule="auto"/>
              <w:jc w:val="center"/>
              <w:rPr>
                <w:rFonts w:ascii="Times New Roman" w:hAnsi="Times New Roman" w:cs="Times New Roman"/>
                <w:b/>
                <w:sz w:val="16"/>
                <w:szCs w:val="16"/>
                <w:lang w:val="pt-BR"/>
              </w:rPr>
            </w:pPr>
            <w:r w:rsidRPr="002362E3">
              <w:rPr>
                <w:rFonts w:ascii="Times New Roman" w:hAnsi="Times New Roman" w:cs="Times New Roman"/>
                <w:b/>
                <w:sz w:val="16"/>
                <w:szCs w:val="16"/>
                <w:lang w:val="pt-BR"/>
              </w:rPr>
              <w:t>15.000.000</w:t>
            </w:r>
          </w:p>
        </w:tc>
      </w:tr>
      <w:tr w:rsidR="00C821BE" w:rsidRPr="002362E3" w:rsidTr="00C821BE">
        <w:trPr>
          <w:trHeight w:val="133"/>
          <w:jc w:val="center"/>
        </w:trPr>
        <w:tc>
          <w:tcPr>
            <w:tcW w:w="14893" w:type="dxa"/>
            <w:gridSpan w:val="7"/>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C821BE" w:rsidRPr="002362E3" w:rsidRDefault="00C821BE" w:rsidP="00C821BE">
            <w:pPr>
              <w:spacing w:after="0" w:line="240" w:lineRule="auto"/>
              <w:jc w:val="center"/>
              <w:rPr>
                <w:rFonts w:ascii="Times New Roman" w:hAnsi="Times New Roman" w:cs="Times New Roman"/>
                <w:b/>
                <w:bCs/>
                <w:sz w:val="16"/>
                <w:szCs w:val="16"/>
                <w:lang w:val="pt-BR"/>
              </w:rPr>
            </w:pPr>
            <w:r w:rsidRPr="002362E3">
              <w:rPr>
                <w:rFonts w:ascii="Times New Roman" w:hAnsi="Times New Roman" w:cs="Times New Roman"/>
                <w:b/>
                <w:bCs/>
                <w:sz w:val="16"/>
                <w:szCs w:val="16"/>
                <w:lang w:val="pt-BR"/>
              </w:rPr>
              <w:t>SUBTOTAL 2</w:t>
            </w:r>
          </w:p>
        </w:tc>
        <w:tc>
          <w:tcPr>
            <w:tcW w:w="112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C821BE" w:rsidRPr="002362E3" w:rsidRDefault="00C821BE" w:rsidP="00C821BE">
            <w:pPr>
              <w:spacing w:after="0" w:line="240" w:lineRule="auto"/>
              <w:jc w:val="center"/>
              <w:rPr>
                <w:rFonts w:ascii="Times New Roman" w:hAnsi="Times New Roman" w:cs="Times New Roman"/>
                <w:b/>
                <w:sz w:val="16"/>
                <w:szCs w:val="16"/>
                <w:lang w:val="pt-BR"/>
              </w:rPr>
            </w:pPr>
            <w:r w:rsidRPr="002362E3">
              <w:rPr>
                <w:rFonts w:ascii="Times New Roman" w:hAnsi="Times New Roman" w:cs="Times New Roman"/>
                <w:b/>
                <w:sz w:val="16"/>
                <w:szCs w:val="16"/>
                <w:lang w:val="pt-BR"/>
              </w:rPr>
              <w:t>51.500.000</w:t>
            </w:r>
          </w:p>
        </w:tc>
      </w:tr>
    </w:tbl>
    <w:p w:rsidR="00C821BE" w:rsidRPr="002362E3" w:rsidRDefault="00C821BE" w:rsidP="00C821BE">
      <w:pPr>
        <w:spacing w:after="0" w:line="240" w:lineRule="auto"/>
        <w:rPr>
          <w:rFonts w:ascii="Times New Roman" w:hAnsi="Times New Roman"/>
          <w:lang w:val="pt-BR"/>
        </w:rPr>
      </w:pPr>
    </w:p>
    <w:tbl>
      <w:tblPr>
        <w:tblW w:w="15871" w:type="dxa"/>
        <w:jc w:val="center"/>
        <w:tblBorders>
          <w:top w:val="single" w:sz="4" w:space="0" w:color="7F7F7F"/>
          <w:bottom w:val="single" w:sz="4" w:space="0" w:color="7F7F7F"/>
        </w:tblBorders>
        <w:tblLayout w:type="fixed"/>
        <w:tblLook w:val="04A0" w:firstRow="1" w:lastRow="0" w:firstColumn="1" w:lastColumn="0" w:noHBand="0" w:noVBand="1"/>
      </w:tblPr>
      <w:tblGrid>
        <w:gridCol w:w="1008"/>
        <w:gridCol w:w="2386"/>
        <w:gridCol w:w="4529"/>
        <w:gridCol w:w="2845"/>
        <w:gridCol w:w="993"/>
        <w:gridCol w:w="1134"/>
        <w:gridCol w:w="978"/>
        <w:gridCol w:w="865"/>
        <w:gridCol w:w="1133"/>
      </w:tblGrid>
      <w:tr w:rsidR="00C821BE" w:rsidRPr="002362E3" w:rsidTr="00C821BE">
        <w:trPr>
          <w:trHeight w:val="89"/>
          <w:jc w:val="center"/>
        </w:trPr>
        <w:tc>
          <w:tcPr>
            <w:tcW w:w="15871" w:type="dxa"/>
            <w:gridSpan w:val="9"/>
            <w:tcBorders>
              <w:top w:val="single" w:sz="4" w:space="0" w:color="auto"/>
              <w:left w:val="single" w:sz="4" w:space="0" w:color="auto"/>
              <w:bottom w:val="single" w:sz="4" w:space="0" w:color="auto"/>
              <w:right w:val="single" w:sz="4" w:space="0" w:color="auto"/>
            </w:tcBorders>
            <w:shd w:val="clear" w:color="auto" w:fill="DEEAF6" w:themeFill="accent1" w:themeFillTint="33"/>
            <w:hideMark/>
          </w:tcPr>
          <w:p w:rsidR="00C821BE" w:rsidRPr="002362E3" w:rsidRDefault="00C821BE" w:rsidP="00C821BE">
            <w:pPr>
              <w:spacing w:after="0" w:line="240" w:lineRule="auto"/>
              <w:ind w:right="-389"/>
              <w:jc w:val="center"/>
              <w:rPr>
                <w:rFonts w:ascii="Times New Roman" w:hAnsi="Times New Roman"/>
                <w:b/>
                <w:bCs/>
                <w:sz w:val="16"/>
                <w:szCs w:val="16"/>
                <w:lang w:val="pt-BR"/>
              </w:rPr>
            </w:pPr>
            <w:r w:rsidRPr="002362E3">
              <w:rPr>
                <w:rFonts w:ascii="Times New Roman" w:hAnsi="Times New Roman"/>
                <w:b/>
                <w:bCs/>
                <w:sz w:val="16"/>
                <w:szCs w:val="16"/>
                <w:lang w:val="pt-BR"/>
              </w:rPr>
              <w:t>FASE DE OPERAÇÃO</w:t>
            </w:r>
          </w:p>
        </w:tc>
      </w:tr>
      <w:tr w:rsidR="00C821BE" w:rsidRPr="002362E3" w:rsidTr="00C821BE">
        <w:trPr>
          <w:trHeight w:val="70"/>
          <w:jc w:val="center"/>
        </w:trPr>
        <w:tc>
          <w:tcPr>
            <w:tcW w:w="1008"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rsidR="00C821BE" w:rsidRPr="002362E3" w:rsidRDefault="00C821BE" w:rsidP="00C821BE">
            <w:pPr>
              <w:autoSpaceDE w:val="0"/>
              <w:autoSpaceDN w:val="0"/>
              <w:adjustRightInd w:val="0"/>
              <w:spacing w:after="0" w:line="276" w:lineRule="auto"/>
              <w:jc w:val="center"/>
              <w:rPr>
                <w:rFonts w:ascii="Times New Roman" w:hAnsi="Times New Roman"/>
                <w:b/>
                <w:bCs/>
                <w:sz w:val="16"/>
                <w:szCs w:val="16"/>
                <w:lang w:val="pt-BR"/>
              </w:rPr>
            </w:pPr>
            <w:r w:rsidRPr="002362E3">
              <w:rPr>
                <w:rFonts w:ascii="Times New Roman" w:hAnsi="Times New Roman"/>
                <w:b/>
                <w:bCs/>
                <w:sz w:val="16"/>
                <w:szCs w:val="16"/>
                <w:lang w:val="pt-BR"/>
              </w:rPr>
              <w:t>Ambiente afetado</w:t>
            </w:r>
          </w:p>
        </w:tc>
        <w:tc>
          <w:tcPr>
            <w:tcW w:w="2386"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rsidR="00C821BE" w:rsidRPr="002362E3" w:rsidRDefault="00C821BE" w:rsidP="00C821BE">
            <w:pPr>
              <w:autoSpaceDE w:val="0"/>
              <w:autoSpaceDN w:val="0"/>
              <w:adjustRightInd w:val="0"/>
              <w:spacing w:after="0" w:line="276" w:lineRule="auto"/>
              <w:jc w:val="center"/>
              <w:rPr>
                <w:rFonts w:ascii="Times New Roman" w:hAnsi="Times New Roman"/>
                <w:b/>
                <w:sz w:val="16"/>
                <w:szCs w:val="16"/>
                <w:lang w:val="pt-BR"/>
              </w:rPr>
            </w:pPr>
            <w:r w:rsidRPr="002362E3">
              <w:rPr>
                <w:rFonts w:ascii="Times New Roman" w:hAnsi="Times New Roman"/>
                <w:b/>
                <w:sz w:val="16"/>
                <w:szCs w:val="16"/>
                <w:lang w:val="pt-BR"/>
              </w:rPr>
              <w:t>Natureza do impacto potencial</w:t>
            </w:r>
          </w:p>
        </w:tc>
        <w:tc>
          <w:tcPr>
            <w:tcW w:w="4529"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rsidR="00C821BE" w:rsidRPr="002362E3" w:rsidRDefault="00C821BE" w:rsidP="00C821BE">
            <w:pPr>
              <w:autoSpaceDE w:val="0"/>
              <w:autoSpaceDN w:val="0"/>
              <w:adjustRightInd w:val="0"/>
              <w:spacing w:after="0" w:line="276" w:lineRule="auto"/>
              <w:jc w:val="center"/>
              <w:rPr>
                <w:rFonts w:ascii="Times New Roman" w:hAnsi="Times New Roman"/>
                <w:b/>
                <w:sz w:val="16"/>
                <w:szCs w:val="16"/>
                <w:lang w:val="pt-BR"/>
              </w:rPr>
            </w:pPr>
            <w:r w:rsidRPr="002362E3">
              <w:rPr>
                <w:rFonts w:ascii="Times New Roman" w:hAnsi="Times New Roman"/>
                <w:b/>
                <w:sz w:val="16"/>
                <w:szCs w:val="16"/>
                <w:lang w:val="pt-BR"/>
              </w:rPr>
              <w:t>Medida de mitigação</w:t>
            </w:r>
          </w:p>
        </w:tc>
        <w:tc>
          <w:tcPr>
            <w:tcW w:w="2845"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rsidR="00C821BE" w:rsidRPr="002362E3" w:rsidRDefault="00C821BE" w:rsidP="00C821BE">
            <w:pPr>
              <w:autoSpaceDE w:val="0"/>
              <w:autoSpaceDN w:val="0"/>
              <w:adjustRightInd w:val="0"/>
              <w:spacing w:after="0" w:line="276" w:lineRule="auto"/>
              <w:jc w:val="center"/>
              <w:rPr>
                <w:rFonts w:ascii="Times New Roman" w:hAnsi="Times New Roman"/>
                <w:b/>
                <w:sz w:val="16"/>
                <w:szCs w:val="16"/>
                <w:lang w:val="pt-BR"/>
              </w:rPr>
            </w:pPr>
            <w:r w:rsidRPr="002362E3">
              <w:rPr>
                <w:rFonts w:ascii="Times New Roman" w:hAnsi="Times New Roman"/>
                <w:b/>
                <w:sz w:val="16"/>
                <w:szCs w:val="16"/>
                <w:lang w:val="pt-BR"/>
              </w:rPr>
              <w:t>Indicador de monitoramento</w:t>
            </w:r>
          </w:p>
        </w:tc>
        <w:tc>
          <w:tcPr>
            <w:tcW w:w="2127" w:type="dxa"/>
            <w:gridSpan w:val="2"/>
            <w:tcBorders>
              <w:top w:val="single" w:sz="4" w:space="0" w:color="auto"/>
              <w:left w:val="single" w:sz="4" w:space="0" w:color="auto"/>
              <w:bottom w:val="single" w:sz="4" w:space="0" w:color="auto"/>
              <w:right w:val="single" w:sz="4" w:space="0" w:color="auto"/>
            </w:tcBorders>
            <w:shd w:val="clear" w:color="auto" w:fill="F2F2F2"/>
            <w:vAlign w:val="center"/>
            <w:hideMark/>
          </w:tcPr>
          <w:p w:rsidR="00C821BE" w:rsidRPr="002362E3" w:rsidRDefault="00C821BE" w:rsidP="00C821BE">
            <w:pPr>
              <w:autoSpaceDE w:val="0"/>
              <w:autoSpaceDN w:val="0"/>
              <w:adjustRightInd w:val="0"/>
              <w:spacing w:after="0" w:line="276" w:lineRule="auto"/>
              <w:jc w:val="center"/>
              <w:rPr>
                <w:rFonts w:ascii="Times New Roman" w:hAnsi="Times New Roman"/>
                <w:b/>
                <w:sz w:val="16"/>
                <w:szCs w:val="16"/>
                <w:lang w:val="pt-BR"/>
              </w:rPr>
            </w:pPr>
            <w:r w:rsidRPr="002362E3">
              <w:rPr>
                <w:rFonts w:ascii="Times New Roman" w:hAnsi="Times New Roman"/>
                <w:b/>
                <w:bCs/>
                <w:sz w:val="16"/>
                <w:szCs w:val="16"/>
                <w:lang w:val="pt-BR"/>
              </w:rPr>
              <w:t>Responsável (s)</w:t>
            </w:r>
          </w:p>
        </w:tc>
        <w:tc>
          <w:tcPr>
            <w:tcW w:w="1843" w:type="dxa"/>
            <w:gridSpan w:val="2"/>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rsidR="00C821BE" w:rsidRPr="002362E3" w:rsidRDefault="00C821BE" w:rsidP="00C821BE">
            <w:pPr>
              <w:autoSpaceDE w:val="0"/>
              <w:autoSpaceDN w:val="0"/>
              <w:adjustRightInd w:val="0"/>
              <w:spacing w:after="0" w:line="276" w:lineRule="auto"/>
              <w:jc w:val="center"/>
              <w:rPr>
                <w:rFonts w:ascii="Times New Roman" w:hAnsi="Times New Roman"/>
                <w:b/>
                <w:sz w:val="16"/>
                <w:szCs w:val="16"/>
                <w:lang w:val="pt-BR"/>
              </w:rPr>
            </w:pPr>
            <w:r w:rsidRPr="002362E3">
              <w:rPr>
                <w:rFonts w:ascii="Times New Roman" w:hAnsi="Times New Roman"/>
                <w:b/>
                <w:bCs/>
                <w:sz w:val="16"/>
                <w:szCs w:val="16"/>
                <w:lang w:val="pt-BR"/>
              </w:rPr>
              <w:t>Prazos / Período</w:t>
            </w:r>
          </w:p>
        </w:tc>
        <w:tc>
          <w:tcPr>
            <w:tcW w:w="1133"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rsidR="00C821BE" w:rsidRPr="002362E3" w:rsidRDefault="00C821BE" w:rsidP="00C821BE">
            <w:pPr>
              <w:autoSpaceDE w:val="0"/>
              <w:autoSpaceDN w:val="0"/>
              <w:adjustRightInd w:val="0"/>
              <w:spacing w:after="0" w:line="276" w:lineRule="auto"/>
              <w:jc w:val="center"/>
              <w:rPr>
                <w:rFonts w:ascii="Times New Roman" w:hAnsi="Times New Roman"/>
                <w:b/>
                <w:sz w:val="16"/>
                <w:szCs w:val="16"/>
                <w:lang w:val="pt-BR"/>
              </w:rPr>
            </w:pPr>
            <w:r w:rsidRPr="002362E3">
              <w:rPr>
                <w:rFonts w:ascii="Times New Roman" w:hAnsi="Times New Roman"/>
                <w:b/>
                <w:bCs/>
                <w:sz w:val="16"/>
                <w:szCs w:val="16"/>
                <w:lang w:val="pt-BR"/>
              </w:rPr>
              <w:t>Custo (FCFA)</w:t>
            </w:r>
          </w:p>
        </w:tc>
      </w:tr>
      <w:tr w:rsidR="00C821BE" w:rsidRPr="002362E3" w:rsidTr="00C821BE">
        <w:trPr>
          <w:trHeight w:val="389"/>
          <w:jc w:val="center"/>
        </w:trPr>
        <w:tc>
          <w:tcPr>
            <w:tcW w:w="1008" w:type="dxa"/>
            <w:vMerge/>
            <w:tcBorders>
              <w:top w:val="single" w:sz="4" w:space="0" w:color="auto"/>
              <w:left w:val="single" w:sz="4" w:space="0" w:color="auto"/>
              <w:bottom w:val="single" w:sz="4" w:space="0" w:color="auto"/>
              <w:right w:val="single" w:sz="4" w:space="0" w:color="auto"/>
            </w:tcBorders>
            <w:hideMark/>
          </w:tcPr>
          <w:p w:rsidR="00C821BE" w:rsidRPr="002362E3" w:rsidRDefault="00C821BE" w:rsidP="00C821BE">
            <w:pPr>
              <w:autoSpaceDE w:val="0"/>
              <w:autoSpaceDN w:val="0"/>
              <w:adjustRightInd w:val="0"/>
              <w:spacing w:after="0" w:line="276" w:lineRule="auto"/>
              <w:jc w:val="both"/>
              <w:rPr>
                <w:rFonts w:ascii="Times New Roman" w:hAnsi="Times New Roman"/>
                <w:b/>
                <w:bCs/>
                <w:sz w:val="16"/>
                <w:szCs w:val="16"/>
                <w:lang w:val="pt-BR"/>
              </w:rPr>
            </w:pPr>
          </w:p>
        </w:tc>
        <w:tc>
          <w:tcPr>
            <w:tcW w:w="2386" w:type="dxa"/>
            <w:vMerge/>
            <w:tcBorders>
              <w:top w:val="single" w:sz="4" w:space="0" w:color="auto"/>
              <w:left w:val="single" w:sz="4" w:space="0" w:color="auto"/>
              <w:bottom w:val="single" w:sz="4" w:space="0" w:color="auto"/>
              <w:right w:val="single" w:sz="4" w:space="0" w:color="auto"/>
            </w:tcBorders>
            <w:hideMark/>
          </w:tcPr>
          <w:p w:rsidR="00C821BE" w:rsidRPr="002362E3" w:rsidRDefault="00C821BE" w:rsidP="00C821BE">
            <w:pPr>
              <w:autoSpaceDE w:val="0"/>
              <w:autoSpaceDN w:val="0"/>
              <w:adjustRightInd w:val="0"/>
              <w:spacing w:after="0" w:line="276" w:lineRule="auto"/>
              <w:jc w:val="both"/>
              <w:rPr>
                <w:rFonts w:ascii="Times New Roman" w:hAnsi="Times New Roman"/>
                <w:b/>
                <w:sz w:val="16"/>
                <w:szCs w:val="16"/>
                <w:lang w:val="pt-BR"/>
              </w:rPr>
            </w:pPr>
          </w:p>
        </w:tc>
        <w:tc>
          <w:tcPr>
            <w:tcW w:w="4529" w:type="dxa"/>
            <w:vMerge/>
            <w:tcBorders>
              <w:top w:val="single" w:sz="4" w:space="0" w:color="auto"/>
              <w:left w:val="single" w:sz="4" w:space="0" w:color="auto"/>
              <w:bottom w:val="single" w:sz="4" w:space="0" w:color="auto"/>
              <w:right w:val="single" w:sz="4" w:space="0" w:color="auto"/>
            </w:tcBorders>
            <w:hideMark/>
          </w:tcPr>
          <w:p w:rsidR="00C821BE" w:rsidRPr="002362E3" w:rsidRDefault="00C821BE" w:rsidP="00C821BE">
            <w:pPr>
              <w:autoSpaceDE w:val="0"/>
              <w:autoSpaceDN w:val="0"/>
              <w:adjustRightInd w:val="0"/>
              <w:spacing w:after="0" w:line="276" w:lineRule="auto"/>
              <w:jc w:val="both"/>
              <w:rPr>
                <w:rFonts w:ascii="Times New Roman" w:hAnsi="Times New Roman"/>
                <w:b/>
                <w:sz w:val="16"/>
                <w:szCs w:val="16"/>
                <w:lang w:val="pt-BR"/>
              </w:rPr>
            </w:pPr>
          </w:p>
        </w:tc>
        <w:tc>
          <w:tcPr>
            <w:tcW w:w="2845" w:type="dxa"/>
            <w:vMerge/>
            <w:tcBorders>
              <w:top w:val="single" w:sz="4" w:space="0" w:color="auto"/>
              <w:left w:val="single" w:sz="4" w:space="0" w:color="auto"/>
              <w:bottom w:val="single" w:sz="4" w:space="0" w:color="auto"/>
              <w:right w:val="single" w:sz="4" w:space="0" w:color="auto"/>
            </w:tcBorders>
            <w:hideMark/>
          </w:tcPr>
          <w:p w:rsidR="00C821BE" w:rsidRPr="002362E3" w:rsidRDefault="00C821BE" w:rsidP="00C821BE">
            <w:pPr>
              <w:autoSpaceDE w:val="0"/>
              <w:autoSpaceDN w:val="0"/>
              <w:adjustRightInd w:val="0"/>
              <w:spacing w:after="0" w:line="276" w:lineRule="auto"/>
              <w:jc w:val="both"/>
              <w:rPr>
                <w:rFonts w:ascii="Times New Roman" w:hAnsi="Times New Roman"/>
                <w:b/>
                <w:sz w:val="16"/>
                <w:szCs w:val="16"/>
                <w:lang w:val="pt-BR"/>
              </w:rPr>
            </w:pPr>
          </w:p>
        </w:tc>
        <w:tc>
          <w:tcPr>
            <w:tcW w:w="993"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rsidR="00C821BE" w:rsidRPr="002362E3" w:rsidRDefault="00C821BE" w:rsidP="00C821BE">
            <w:pPr>
              <w:autoSpaceDE w:val="0"/>
              <w:autoSpaceDN w:val="0"/>
              <w:adjustRightInd w:val="0"/>
              <w:spacing w:after="0" w:line="276" w:lineRule="auto"/>
              <w:jc w:val="center"/>
              <w:rPr>
                <w:rFonts w:ascii="Times New Roman" w:hAnsi="Times New Roman"/>
                <w:b/>
                <w:bCs/>
                <w:sz w:val="16"/>
                <w:szCs w:val="16"/>
                <w:lang w:val="pt-BR"/>
              </w:rPr>
            </w:pPr>
            <w:r w:rsidRPr="002362E3">
              <w:rPr>
                <w:rFonts w:ascii="Times New Roman" w:hAnsi="Times New Roman"/>
                <w:b/>
                <w:bCs/>
                <w:sz w:val="16"/>
                <w:szCs w:val="16"/>
                <w:lang w:val="pt-BR"/>
              </w:rPr>
              <w:t>Implementação</w:t>
            </w:r>
          </w:p>
        </w:tc>
        <w:tc>
          <w:tcPr>
            <w:tcW w:w="1134"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rsidR="00C821BE" w:rsidRPr="002362E3" w:rsidRDefault="00C821BE" w:rsidP="00C821BE">
            <w:pPr>
              <w:autoSpaceDE w:val="0"/>
              <w:autoSpaceDN w:val="0"/>
              <w:adjustRightInd w:val="0"/>
              <w:spacing w:after="0" w:line="276" w:lineRule="auto"/>
              <w:jc w:val="center"/>
              <w:rPr>
                <w:rFonts w:ascii="Times New Roman" w:hAnsi="Times New Roman"/>
                <w:b/>
                <w:bCs/>
                <w:sz w:val="16"/>
                <w:szCs w:val="16"/>
                <w:lang w:val="pt-BR"/>
              </w:rPr>
            </w:pPr>
            <w:r w:rsidRPr="002362E3">
              <w:rPr>
                <w:rFonts w:ascii="Times New Roman" w:hAnsi="Times New Roman"/>
                <w:b/>
                <w:bCs/>
                <w:sz w:val="16"/>
                <w:szCs w:val="16"/>
                <w:lang w:val="pt-BR"/>
              </w:rPr>
              <w:t>Monitoramento / Controle</w:t>
            </w:r>
          </w:p>
        </w:tc>
        <w:tc>
          <w:tcPr>
            <w:tcW w:w="1843" w:type="dxa"/>
            <w:gridSpan w:val="2"/>
            <w:vMerge/>
            <w:tcBorders>
              <w:top w:val="single" w:sz="4" w:space="0" w:color="auto"/>
              <w:left w:val="single" w:sz="4" w:space="0" w:color="auto"/>
              <w:bottom w:val="single" w:sz="4" w:space="0" w:color="auto"/>
              <w:right w:val="single" w:sz="4" w:space="0" w:color="auto"/>
            </w:tcBorders>
            <w:hideMark/>
          </w:tcPr>
          <w:p w:rsidR="00C821BE" w:rsidRPr="002362E3" w:rsidRDefault="00C821BE" w:rsidP="00C821BE">
            <w:pPr>
              <w:autoSpaceDE w:val="0"/>
              <w:autoSpaceDN w:val="0"/>
              <w:adjustRightInd w:val="0"/>
              <w:spacing w:after="0" w:line="276" w:lineRule="auto"/>
              <w:jc w:val="both"/>
              <w:rPr>
                <w:rFonts w:ascii="Times New Roman" w:hAnsi="Times New Roman"/>
                <w:b/>
                <w:sz w:val="16"/>
                <w:szCs w:val="16"/>
                <w:lang w:val="pt-BR"/>
              </w:rPr>
            </w:pPr>
          </w:p>
        </w:tc>
        <w:tc>
          <w:tcPr>
            <w:tcW w:w="1133" w:type="dxa"/>
            <w:vMerge/>
            <w:tcBorders>
              <w:top w:val="single" w:sz="4" w:space="0" w:color="auto"/>
              <w:left w:val="single" w:sz="4" w:space="0" w:color="auto"/>
              <w:bottom w:val="single" w:sz="4" w:space="0" w:color="auto"/>
              <w:right w:val="single" w:sz="4" w:space="0" w:color="auto"/>
            </w:tcBorders>
            <w:hideMark/>
          </w:tcPr>
          <w:p w:rsidR="00C821BE" w:rsidRPr="002362E3" w:rsidRDefault="00C821BE" w:rsidP="00C821BE">
            <w:pPr>
              <w:autoSpaceDE w:val="0"/>
              <w:autoSpaceDN w:val="0"/>
              <w:adjustRightInd w:val="0"/>
              <w:spacing w:after="0" w:line="276" w:lineRule="auto"/>
              <w:jc w:val="both"/>
              <w:rPr>
                <w:rFonts w:ascii="Times New Roman" w:hAnsi="Times New Roman"/>
                <w:b/>
                <w:sz w:val="16"/>
                <w:szCs w:val="16"/>
                <w:lang w:val="pt-BR"/>
              </w:rPr>
            </w:pPr>
          </w:p>
        </w:tc>
      </w:tr>
      <w:tr w:rsidR="00C821BE" w:rsidRPr="002362E3" w:rsidTr="00C821BE">
        <w:trPr>
          <w:trHeight w:val="389"/>
          <w:jc w:val="center"/>
        </w:trPr>
        <w:tc>
          <w:tcPr>
            <w:tcW w:w="100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C821BE" w:rsidRPr="002362E3" w:rsidRDefault="00C821BE" w:rsidP="00C821BE">
            <w:pPr>
              <w:autoSpaceDE w:val="0"/>
              <w:autoSpaceDN w:val="0"/>
              <w:adjustRightInd w:val="0"/>
              <w:spacing w:after="0" w:line="276" w:lineRule="auto"/>
              <w:jc w:val="center"/>
              <w:rPr>
                <w:rFonts w:ascii="Times New Roman" w:hAnsi="Times New Roman"/>
                <w:b/>
                <w:bCs/>
                <w:sz w:val="16"/>
                <w:szCs w:val="16"/>
                <w:lang w:val="pt-BR"/>
              </w:rPr>
            </w:pPr>
            <w:r w:rsidRPr="002362E3">
              <w:rPr>
                <w:rFonts w:ascii="Times New Roman" w:hAnsi="Times New Roman"/>
                <w:b/>
                <w:sz w:val="16"/>
                <w:szCs w:val="16"/>
                <w:lang w:val="pt-BR"/>
              </w:rPr>
              <w:t>Panorama</w:t>
            </w:r>
          </w:p>
        </w:tc>
        <w:tc>
          <w:tcPr>
            <w:tcW w:w="2386" w:type="dxa"/>
            <w:tcBorders>
              <w:top w:val="single" w:sz="4" w:space="0" w:color="auto"/>
              <w:left w:val="single" w:sz="4" w:space="0" w:color="auto"/>
              <w:bottom w:val="single" w:sz="4" w:space="0" w:color="auto"/>
              <w:right w:val="single" w:sz="4" w:space="0" w:color="auto"/>
            </w:tcBorders>
            <w:vAlign w:val="center"/>
          </w:tcPr>
          <w:p w:rsidR="00C821BE" w:rsidRPr="002362E3" w:rsidRDefault="00C821BE" w:rsidP="00C821BE">
            <w:pPr>
              <w:autoSpaceDE w:val="0"/>
              <w:autoSpaceDN w:val="0"/>
              <w:adjustRightInd w:val="0"/>
              <w:spacing w:after="0" w:line="276" w:lineRule="auto"/>
              <w:rPr>
                <w:rFonts w:ascii="Times New Roman" w:hAnsi="Times New Roman"/>
                <w:sz w:val="16"/>
                <w:szCs w:val="16"/>
                <w:lang w:val="pt-BR"/>
              </w:rPr>
            </w:pPr>
            <w:r w:rsidRPr="002362E3">
              <w:rPr>
                <w:rFonts w:ascii="Times New Roman" w:hAnsi="Times New Roman"/>
                <w:sz w:val="16"/>
                <w:szCs w:val="16"/>
                <w:lang w:val="pt-BR"/>
              </w:rPr>
              <w:t>Risco de degradação e alteração da aparência visual da paisagem</w:t>
            </w:r>
          </w:p>
        </w:tc>
        <w:tc>
          <w:tcPr>
            <w:tcW w:w="4529" w:type="dxa"/>
            <w:tcBorders>
              <w:top w:val="single" w:sz="4" w:space="0" w:color="auto"/>
              <w:left w:val="single" w:sz="4" w:space="0" w:color="auto"/>
              <w:bottom w:val="single" w:sz="4" w:space="0" w:color="auto"/>
              <w:right w:val="single" w:sz="4" w:space="0" w:color="auto"/>
            </w:tcBorders>
            <w:vAlign w:val="center"/>
          </w:tcPr>
          <w:p w:rsidR="00C821BE" w:rsidRPr="002362E3" w:rsidRDefault="00C821BE" w:rsidP="00C821BE">
            <w:pPr>
              <w:autoSpaceDE w:val="0"/>
              <w:autoSpaceDN w:val="0"/>
              <w:adjustRightInd w:val="0"/>
              <w:spacing w:after="0" w:line="276" w:lineRule="auto"/>
              <w:rPr>
                <w:rFonts w:ascii="Times New Roman" w:hAnsi="Times New Roman"/>
                <w:sz w:val="16"/>
                <w:szCs w:val="16"/>
                <w:lang w:val="pt-BR"/>
              </w:rPr>
            </w:pPr>
            <w:r w:rsidRPr="002362E3">
              <w:rPr>
                <w:rFonts w:ascii="Times New Roman" w:hAnsi="Times New Roman"/>
                <w:sz w:val="16"/>
                <w:szCs w:val="16"/>
                <w:lang w:val="pt-BR"/>
              </w:rPr>
              <w:t>- Zelar pelo aspecto estético das áreas de instalação dos reservatórios;</w:t>
            </w:r>
          </w:p>
          <w:p w:rsidR="00C821BE" w:rsidRPr="002362E3" w:rsidRDefault="00C821BE" w:rsidP="00C821BE">
            <w:pPr>
              <w:autoSpaceDE w:val="0"/>
              <w:autoSpaceDN w:val="0"/>
              <w:adjustRightInd w:val="0"/>
              <w:spacing w:after="0" w:line="276" w:lineRule="auto"/>
              <w:rPr>
                <w:rFonts w:ascii="Times New Roman" w:hAnsi="Times New Roman"/>
                <w:sz w:val="16"/>
                <w:szCs w:val="16"/>
                <w:lang w:val="pt-BR"/>
              </w:rPr>
            </w:pPr>
            <w:r w:rsidRPr="002362E3">
              <w:rPr>
                <w:rFonts w:ascii="Times New Roman" w:hAnsi="Times New Roman"/>
                <w:sz w:val="16"/>
                <w:szCs w:val="16"/>
                <w:lang w:val="pt-BR"/>
              </w:rPr>
              <w:t>-Reajustar o entorno dos tanques para uma boa apreciação visual;</w:t>
            </w:r>
          </w:p>
          <w:p w:rsidR="00C821BE" w:rsidRPr="002362E3" w:rsidRDefault="00C821BE" w:rsidP="00C821BE">
            <w:pPr>
              <w:autoSpaceDE w:val="0"/>
              <w:autoSpaceDN w:val="0"/>
              <w:adjustRightInd w:val="0"/>
              <w:spacing w:after="0" w:line="276" w:lineRule="auto"/>
              <w:rPr>
                <w:rFonts w:ascii="Times New Roman" w:hAnsi="Times New Roman"/>
                <w:sz w:val="16"/>
                <w:szCs w:val="16"/>
                <w:lang w:val="pt-BR"/>
              </w:rPr>
            </w:pPr>
            <w:r w:rsidRPr="002362E3">
              <w:rPr>
                <w:rFonts w:ascii="Times New Roman" w:hAnsi="Times New Roman"/>
                <w:sz w:val="16"/>
                <w:szCs w:val="16"/>
                <w:lang w:val="pt-BR"/>
              </w:rPr>
              <w:t>- Proceder à reabilitação das áreas de intervenção do subprojecto;</w:t>
            </w:r>
          </w:p>
        </w:tc>
        <w:tc>
          <w:tcPr>
            <w:tcW w:w="2845" w:type="dxa"/>
            <w:tcBorders>
              <w:top w:val="single" w:sz="4" w:space="0" w:color="auto"/>
              <w:left w:val="single" w:sz="4" w:space="0" w:color="auto"/>
              <w:bottom w:val="single" w:sz="4" w:space="0" w:color="auto"/>
              <w:right w:val="single" w:sz="4" w:space="0" w:color="auto"/>
            </w:tcBorders>
            <w:vAlign w:val="center"/>
          </w:tcPr>
          <w:p w:rsidR="00C821BE" w:rsidRPr="002362E3" w:rsidRDefault="00C821BE" w:rsidP="00C821BE">
            <w:pPr>
              <w:autoSpaceDE w:val="0"/>
              <w:autoSpaceDN w:val="0"/>
              <w:adjustRightInd w:val="0"/>
              <w:spacing w:after="0" w:line="276" w:lineRule="auto"/>
              <w:rPr>
                <w:rFonts w:ascii="Times New Roman" w:hAnsi="Times New Roman"/>
                <w:sz w:val="16"/>
                <w:szCs w:val="16"/>
                <w:lang w:val="pt-BR"/>
              </w:rPr>
            </w:pPr>
            <w:r w:rsidRPr="002362E3">
              <w:rPr>
                <w:rFonts w:ascii="Times New Roman" w:hAnsi="Times New Roman"/>
                <w:sz w:val="16"/>
                <w:szCs w:val="16"/>
                <w:lang w:val="pt-BR"/>
              </w:rPr>
              <w:t>- Aparência estética dos usuários não alterada;</w:t>
            </w:r>
          </w:p>
          <w:p w:rsidR="00C821BE" w:rsidRPr="002362E3" w:rsidRDefault="00C821BE" w:rsidP="00C821BE">
            <w:pPr>
              <w:autoSpaceDE w:val="0"/>
              <w:autoSpaceDN w:val="0"/>
              <w:adjustRightInd w:val="0"/>
              <w:spacing w:after="0" w:line="276" w:lineRule="auto"/>
              <w:rPr>
                <w:rFonts w:ascii="Times New Roman" w:hAnsi="Times New Roman"/>
                <w:sz w:val="16"/>
                <w:szCs w:val="16"/>
                <w:lang w:val="pt-BR"/>
              </w:rPr>
            </w:pPr>
            <w:r w:rsidRPr="002362E3">
              <w:rPr>
                <w:rFonts w:ascii="Times New Roman" w:hAnsi="Times New Roman"/>
                <w:sz w:val="16"/>
                <w:szCs w:val="16"/>
                <w:lang w:val="pt-BR"/>
              </w:rPr>
              <w:t>-Reabilitação dos locais de intervenção após o trabalho;</w:t>
            </w:r>
          </w:p>
          <w:p w:rsidR="00C821BE" w:rsidRPr="002362E3" w:rsidRDefault="00C821BE" w:rsidP="00C821BE">
            <w:pPr>
              <w:autoSpaceDE w:val="0"/>
              <w:autoSpaceDN w:val="0"/>
              <w:adjustRightInd w:val="0"/>
              <w:spacing w:after="0" w:line="276" w:lineRule="auto"/>
              <w:rPr>
                <w:rFonts w:ascii="Times New Roman" w:hAnsi="Times New Roman"/>
                <w:sz w:val="16"/>
                <w:szCs w:val="16"/>
                <w:lang w:val="pt-BR"/>
              </w:rPr>
            </w:pPr>
            <w:r w:rsidRPr="002362E3">
              <w:rPr>
                <w:rFonts w:ascii="Times New Roman" w:hAnsi="Times New Roman"/>
                <w:sz w:val="16"/>
                <w:szCs w:val="16"/>
                <w:lang w:val="pt-BR"/>
              </w:rPr>
              <w:t>-Presença de boa apreciação visual;</w:t>
            </w:r>
          </w:p>
        </w:tc>
        <w:tc>
          <w:tcPr>
            <w:tcW w:w="993"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C821BE" w:rsidRPr="002362E3" w:rsidRDefault="00C821BE" w:rsidP="00C821BE">
            <w:pPr>
              <w:spacing w:after="0" w:line="240" w:lineRule="auto"/>
              <w:jc w:val="center"/>
              <w:rPr>
                <w:rFonts w:ascii="Times New Roman" w:hAnsi="Times New Roman"/>
                <w:b/>
                <w:sz w:val="16"/>
                <w:szCs w:val="16"/>
                <w:lang w:val="pt-BR"/>
              </w:rPr>
            </w:pPr>
            <w:r w:rsidRPr="002362E3">
              <w:rPr>
                <w:rFonts w:ascii="Times New Roman" w:hAnsi="Times New Roman"/>
                <w:b/>
                <w:sz w:val="16"/>
                <w:szCs w:val="16"/>
                <w:lang w:val="pt-BR"/>
              </w:rPr>
              <w:t>O negócio</w:t>
            </w:r>
          </w:p>
          <w:p w:rsidR="00C821BE" w:rsidRPr="002362E3" w:rsidRDefault="00C821BE" w:rsidP="00C821BE">
            <w:pPr>
              <w:autoSpaceDE w:val="0"/>
              <w:autoSpaceDN w:val="0"/>
              <w:adjustRightInd w:val="0"/>
              <w:spacing w:after="0" w:line="276" w:lineRule="auto"/>
              <w:jc w:val="center"/>
              <w:rPr>
                <w:rFonts w:ascii="Times New Roman" w:hAnsi="Times New Roman"/>
                <w:b/>
                <w:bCs/>
                <w:sz w:val="16"/>
                <w:szCs w:val="16"/>
                <w:lang w:val="pt-BR"/>
              </w:rPr>
            </w:pPr>
          </w:p>
        </w:tc>
        <w:tc>
          <w:tcPr>
            <w:tcW w:w="1134"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C821BE" w:rsidRPr="002362E3" w:rsidRDefault="00C821BE" w:rsidP="00C821BE">
            <w:pPr>
              <w:spacing w:after="0" w:line="240" w:lineRule="auto"/>
              <w:jc w:val="center"/>
              <w:rPr>
                <w:rFonts w:ascii="Times New Roman" w:hAnsi="Times New Roman"/>
                <w:b/>
                <w:sz w:val="16"/>
                <w:szCs w:val="16"/>
                <w:lang w:val="pt-BR"/>
              </w:rPr>
            </w:pPr>
            <w:r w:rsidRPr="002362E3">
              <w:rPr>
                <w:rFonts w:ascii="Times New Roman" w:hAnsi="Times New Roman"/>
                <w:b/>
                <w:sz w:val="16"/>
                <w:szCs w:val="16"/>
                <w:lang w:val="pt-BR"/>
              </w:rPr>
              <w:t>Comitê de Monitoramento</w:t>
            </w:r>
          </w:p>
          <w:p w:rsidR="00C821BE" w:rsidRPr="002362E3" w:rsidRDefault="00C821BE" w:rsidP="00C821BE">
            <w:pPr>
              <w:spacing w:after="0" w:line="240" w:lineRule="auto"/>
              <w:jc w:val="center"/>
              <w:rPr>
                <w:rFonts w:ascii="Times New Roman" w:hAnsi="Times New Roman"/>
                <w:b/>
                <w:sz w:val="16"/>
                <w:szCs w:val="16"/>
                <w:lang w:val="pt-BR"/>
              </w:rPr>
            </w:pPr>
          </w:p>
          <w:p w:rsidR="00C821BE" w:rsidRPr="002362E3" w:rsidRDefault="00C821BE" w:rsidP="00C821BE">
            <w:pPr>
              <w:autoSpaceDE w:val="0"/>
              <w:autoSpaceDN w:val="0"/>
              <w:adjustRightInd w:val="0"/>
              <w:spacing w:after="0" w:line="276" w:lineRule="auto"/>
              <w:jc w:val="center"/>
              <w:rPr>
                <w:rFonts w:ascii="Times New Roman" w:hAnsi="Times New Roman"/>
                <w:b/>
                <w:bCs/>
                <w:sz w:val="16"/>
                <w:szCs w:val="16"/>
                <w:lang w:val="pt-BR"/>
              </w:rPr>
            </w:pPr>
            <w:r w:rsidRPr="002362E3">
              <w:rPr>
                <w:rFonts w:ascii="Times New Roman" w:hAnsi="Times New Roman"/>
                <w:b/>
                <w:sz w:val="16"/>
                <w:szCs w:val="16"/>
                <w:lang w:val="pt-BR"/>
              </w:rPr>
              <w:t>PUASEE-FA</w:t>
            </w:r>
          </w:p>
        </w:tc>
        <w:tc>
          <w:tcPr>
            <w:tcW w:w="978" w:type="dxa"/>
            <w:tcBorders>
              <w:top w:val="single" w:sz="4" w:space="0" w:color="auto"/>
              <w:left w:val="single" w:sz="4" w:space="0" w:color="auto"/>
              <w:bottom w:val="single" w:sz="4" w:space="0" w:color="auto"/>
              <w:right w:val="single" w:sz="4" w:space="0" w:color="auto"/>
            </w:tcBorders>
            <w:vAlign w:val="center"/>
          </w:tcPr>
          <w:p w:rsidR="00C821BE" w:rsidRPr="002362E3" w:rsidRDefault="00C821BE" w:rsidP="00C821BE">
            <w:pPr>
              <w:autoSpaceDE w:val="0"/>
              <w:autoSpaceDN w:val="0"/>
              <w:adjustRightInd w:val="0"/>
              <w:spacing w:after="0" w:line="276" w:lineRule="auto"/>
              <w:jc w:val="center"/>
              <w:rPr>
                <w:rFonts w:ascii="Times New Roman" w:hAnsi="Times New Roman"/>
                <w:b/>
                <w:sz w:val="16"/>
                <w:szCs w:val="16"/>
                <w:lang w:val="pt-BR"/>
              </w:rPr>
            </w:pPr>
            <w:r w:rsidRPr="002362E3">
              <w:rPr>
                <w:rFonts w:ascii="Times New Roman" w:hAnsi="Times New Roman"/>
                <w:sz w:val="16"/>
                <w:szCs w:val="16"/>
                <w:lang w:val="pt-BR"/>
              </w:rPr>
              <w:t>No início e continuamente</w:t>
            </w:r>
          </w:p>
        </w:tc>
        <w:tc>
          <w:tcPr>
            <w:tcW w:w="865" w:type="dxa"/>
            <w:tcBorders>
              <w:top w:val="single" w:sz="4" w:space="0" w:color="auto"/>
              <w:left w:val="single" w:sz="4" w:space="0" w:color="auto"/>
              <w:bottom w:val="single" w:sz="4" w:space="0" w:color="auto"/>
              <w:right w:val="single" w:sz="4" w:space="0" w:color="auto"/>
            </w:tcBorders>
            <w:vAlign w:val="center"/>
          </w:tcPr>
          <w:p w:rsidR="00C821BE" w:rsidRPr="002362E3" w:rsidRDefault="00C821BE" w:rsidP="00C821BE">
            <w:pPr>
              <w:autoSpaceDE w:val="0"/>
              <w:autoSpaceDN w:val="0"/>
              <w:adjustRightInd w:val="0"/>
              <w:spacing w:after="0" w:line="276" w:lineRule="auto"/>
              <w:jc w:val="center"/>
              <w:rPr>
                <w:rFonts w:ascii="Times New Roman" w:hAnsi="Times New Roman"/>
                <w:b/>
                <w:sz w:val="16"/>
                <w:szCs w:val="16"/>
                <w:lang w:val="pt-BR"/>
              </w:rPr>
            </w:pPr>
            <w:r w:rsidRPr="002362E3">
              <w:rPr>
                <w:rFonts w:ascii="Times New Roman" w:hAnsi="Times New Roman"/>
                <w:sz w:val="16"/>
                <w:szCs w:val="16"/>
                <w:lang w:val="pt-BR"/>
              </w:rPr>
              <w:t>Três vezes por ano</w:t>
            </w:r>
          </w:p>
        </w:tc>
        <w:tc>
          <w:tcPr>
            <w:tcW w:w="1133" w:type="dxa"/>
            <w:tcBorders>
              <w:top w:val="single" w:sz="4" w:space="0" w:color="auto"/>
              <w:left w:val="single" w:sz="4" w:space="0" w:color="auto"/>
              <w:bottom w:val="single" w:sz="4" w:space="0" w:color="auto"/>
              <w:right w:val="single" w:sz="4" w:space="0" w:color="auto"/>
            </w:tcBorders>
            <w:vAlign w:val="center"/>
          </w:tcPr>
          <w:p w:rsidR="00C821BE" w:rsidRPr="002362E3" w:rsidRDefault="00C821BE" w:rsidP="00C821BE">
            <w:pPr>
              <w:autoSpaceDE w:val="0"/>
              <w:autoSpaceDN w:val="0"/>
              <w:adjustRightInd w:val="0"/>
              <w:spacing w:after="0" w:line="276" w:lineRule="auto"/>
              <w:jc w:val="center"/>
              <w:rPr>
                <w:rFonts w:ascii="Times New Roman" w:hAnsi="Times New Roman"/>
                <w:b/>
                <w:sz w:val="16"/>
                <w:szCs w:val="16"/>
                <w:lang w:val="pt-BR"/>
              </w:rPr>
            </w:pPr>
            <w:r w:rsidRPr="002362E3">
              <w:rPr>
                <w:rFonts w:ascii="Times New Roman" w:hAnsi="Times New Roman"/>
                <w:b/>
                <w:sz w:val="16"/>
                <w:szCs w:val="16"/>
                <w:lang w:val="pt-BR"/>
              </w:rPr>
              <w:t>Custo associado ao projeto</w:t>
            </w:r>
          </w:p>
        </w:tc>
      </w:tr>
      <w:tr w:rsidR="00C821BE" w:rsidRPr="002362E3" w:rsidTr="00C821BE">
        <w:trPr>
          <w:trHeight w:val="389"/>
          <w:jc w:val="center"/>
        </w:trPr>
        <w:tc>
          <w:tcPr>
            <w:tcW w:w="100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C821BE" w:rsidRPr="002362E3" w:rsidRDefault="00C821BE" w:rsidP="00C821BE">
            <w:pPr>
              <w:autoSpaceDE w:val="0"/>
              <w:autoSpaceDN w:val="0"/>
              <w:adjustRightInd w:val="0"/>
              <w:spacing w:after="0" w:line="276" w:lineRule="auto"/>
              <w:jc w:val="center"/>
              <w:rPr>
                <w:rFonts w:ascii="Times New Roman" w:hAnsi="Times New Roman"/>
                <w:b/>
                <w:sz w:val="16"/>
                <w:szCs w:val="16"/>
                <w:lang w:val="pt-BR"/>
              </w:rPr>
            </w:pPr>
            <w:r w:rsidRPr="002362E3">
              <w:rPr>
                <w:rFonts w:ascii="Times New Roman" w:hAnsi="Times New Roman"/>
                <w:b/>
                <w:sz w:val="16"/>
                <w:szCs w:val="16"/>
                <w:lang w:val="pt-BR"/>
              </w:rPr>
              <w:t>Waters</w:t>
            </w:r>
          </w:p>
        </w:tc>
        <w:tc>
          <w:tcPr>
            <w:tcW w:w="2386" w:type="dxa"/>
            <w:tcBorders>
              <w:top w:val="single" w:sz="4" w:space="0" w:color="auto"/>
              <w:left w:val="single" w:sz="4" w:space="0" w:color="auto"/>
              <w:bottom w:val="single" w:sz="4" w:space="0" w:color="auto"/>
              <w:right w:val="single" w:sz="4" w:space="0" w:color="auto"/>
            </w:tcBorders>
            <w:vAlign w:val="center"/>
          </w:tcPr>
          <w:p w:rsidR="00C821BE" w:rsidRPr="002362E3" w:rsidRDefault="00C821BE" w:rsidP="00C821BE">
            <w:pPr>
              <w:autoSpaceDE w:val="0"/>
              <w:autoSpaceDN w:val="0"/>
              <w:adjustRightInd w:val="0"/>
              <w:spacing w:after="0" w:line="276" w:lineRule="auto"/>
              <w:rPr>
                <w:rFonts w:ascii="Times New Roman" w:hAnsi="Times New Roman"/>
                <w:sz w:val="16"/>
                <w:szCs w:val="16"/>
                <w:lang w:val="pt-BR"/>
              </w:rPr>
            </w:pPr>
            <w:r w:rsidRPr="002362E3">
              <w:rPr>
                <w:rFonts w:ascii="Times New Roman" w:hAnsi="Times New Roman"/>
                <w:sz w:val="16"/>
                <w:szCs w:val="16"/>
                <w:lang w:val="pt-BR"/>
              </w:rPr>
              <w:t xml:space="preserve">Risco de poluição de escoamento e águas pluviais; </w:t>
            </w:r>
          </w:p>
        </w:tc>
        <w:tc>
          <w:tcPr>
            <w:tcW w:w="4529" w:type="dxa"/>
            <w:tcBorders>
              <w:top w:val="single" w:sz="4" w:space="0" w:color="auto"/>
              <w:left w:val="single" w:sz="4" w:space="0" w:color="auto"/>
              <w:bottom w:val="single" w:sz="4" w:space="0" w:color="auto"/>
              <w:right w:val="single" w:sz="4" w:space="0" w:color="auto"/>
            </w:tcBorders>
            <w:vAlign w:val="center"/>
          </w:tcPr>
          <w:p w:rsidR="00C821BE" w:rsidRPr="002362E3" w:rsidRDefault="00C821BE" w:rsidP="00C821BE">
            <w:pPr>
              <w:autoSpaceDE w:val="0"/>
              <w:autoSpaceDN w:val="0"/>
              <w:adjustRightInd w:val="0"/>
              <w:spacing w:after="0" w:line="276" w:lineRule="auto"/>
              <w:rPr>
                <w:rFonts w:ascii="Times New Roman" w:hAnsi="Times New Roman" w:cs="Times New Roman"/>
                <w:color w:val="000000"/>
                <w:sz w:val="16"/>
                <w:szCs w:val="16"/>
                <w:lang w:val="pt-BR"/>
              </w:rPr>
            </w:pPr>
            <w:r w:rsidRPr="002362E3">
              <w:rPr>
                <w:rFonts w:ascii="Times New Roman" w:hAnsi="Times New Roman"/>
                <w:sz w:val="16"/>
                <w:szCs w:val="16"/>
                <w:lang w:val="pt-BR"/>
              </w:rPr>
              <w:t>-</w:t>
            </w:r>
            <w:r w:rsidRPr="002362E3">
              <w:rPr>
                <w:rFonts w:ascii="Times New Roman" w:hAnsi="Times New Roman" w:cs="Times New Roman"/>
                <w:color w:val="000000"/>
                <w:sz w:val="16"/>
                <w:szCs w:val="16"/>
                <w:lang w:val="pt-BR"/>
              </w:rPr>
              <w:t xml:space="preserve"> Implementar um sistema de gestão da água de lavagem das obras;</w:t>
            </w:r>
          </w:p>
          <w:p w:rsidR="00C821BE" w:rsidRPr="002362E3" w:rsidRDefault="00C821BE" w:rsidP="00C821BE">
            <w:pPr>
              <w:autoSpaceDE w:val="0"/>
              <w:autoSpaceDN w:val="0"/>
              <w:adjustRightInd w:val="0"/>
              <w:spacing w:after="0" w:line="276" w:lineRule="auto"/>
              <w:rPr>
                <w:rFonts w:ascii="Times New Roman" w:hAnsi="Times New Roman"/>
                <w:sz w:val="16"/>
                <w:szCs w:val="16"/>
                <w:lang w:val="pt-BR"/>
              </w:rPr>
            </w:pPr>
            <w:r w:rsidRPr="002362E3">
              <w:rPr>
                <w:rFonts w:ascii="Times New Roman" w:hAnsi="Times New Roman"/>
                <w:sz w:val="16"/>
                <w:szCs w:val="16"/>
                <w:lang w:val="pt-BR"/>
              </w:rPr>
              <w:t>-Separar as águas de drenagem das águas pluviais e das lavagens;</w:t>
            </w:r>
          </w:p>
        </w:tc>
        <w:tc>
          <w:tcPr>
            <w:tcW w:w="2845" w:type="dxa"/>
            <w:tcBorders>
              <w:top w:val="single" w:sz="4" w:space="0" w:color="auto"/>
              <w:left w:val="single" w:sz="4" w:space="0" w:color="auto"/>
              <w:bottom w:val="single" w:sz="4" w:space="0" w:color="auto"/>
              <w:right w:val="single" w:sz="4" w:space="0" w:color="auto"/>
            </w:tcBorders>
            <w:vAlign w:val="center"/>
          </w:tcPr>
          <w:p w:rsidR="00C821BE" w:rsidRPr="002362E3" w:rsidRDefault="00C821BE" w:rsidP="00C821BE">
            <w:pPr>
              <w:autoSpaceDE w:val="0"/>
              <w:autoSpaceDN w:val="0"/>
              <w:adjustRightInd w:val="0"/>
              <w:spacing w:after="0" w:line="276" w:lineRule="auto"/>
              <w:rPr>
                <w:rFonts w:ascii="Times New Roman" w:hAnsi="Times New Roman"/>
                <w:sz w:val="16"/>
                <w:szCs w:val="16"/>
                <w:lang w:val="pt-BR"/>
              </w:rPr>
            </w:pPr>
            <w:r w:rsidRPr="002362E3">
              <w:rPr>
                <w:rFonts w:ascii="Times New Roman" w:hAnsi="Times New Roman"/>
                <w:sz w:val="16"/>
                <w:szCs w:val="16"/>
                <w:lang w:val="pt-BR"/>
              </w:rPr>
              <w:t>- Presença de sistema de gerenciamento de água de lavagem em todos os locais dos tanques;</w:t>
            </w:r>
          </w:p>
          <w:p w:rsidR="00C821BE" w:rsidRPr="002362E3" w:rsidRDefault="00C821BE" w:rsidP="00C821BE">
            <w:pPr>
              <w:autoSpaceDE w:val="0"/>
              <w:autoSpaceDN w:val="0"/>
              <w:adjustRightInd w:val="0"/>
              <w:spacing w:after="0" w:line="276" w:lineRule="auto"/>
              <w:rPr>
                <w:rFonts w:ascii="Times New Roman" w:hAnsi="Times New Roman"/>
                <w:sz w:val="16"/>
                <w:szCs w:val="16"/>
                <w:lang w:val="pt-BR"/>
              </w:rPr>
            </w:pPr>
            <w:r w:rsidRPr="002362E3">
              <w:rPr>
                <w:rFonts w:ascii="Times New Roman" w:hAnsi="Times New Roman"/>
                <w:sz w:val="16"/>
                <w:szCs w:val="16"/>
                <w:lang w:val="pt-BR"/>
              </w:rPr>
              <w:t>-Drenagem de águas pluviais e lavagens separadas;</w:t>
            </w:r>
          </w:p>
        </w:tc>
        <w:tc>
          <w:tcPr>
            <w:tcW w:w="993"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C821BE" w:rsidRPr="002362E3" w:rsidRDefault="00C821BE" w:rsidP="00C821BE">
            <w:pPr>
              <w:spacing w:after="0" w:line="240" w:lineRule="auto"/>
              <w:jc w:val="center"/>
              <w:rPr>
                <w:rFonts w:ascii="Times New Roman" w:hAnsi="Times New Roman"/>
                <w:b/>
                <w:sz w:val="16"/>
                <w:szCs w:val="16"/>
                <w:lang w:val="pt-BR"/>
              </w:rPr>
            </w:pPr>
            <w:r w:rsidRPr="002362E3">
              <w:rPr>
                <w:rFonts w:ascii="Times New Roman" w:hAnsi="Times New Roman"/>
                <w:b/>
                <w:sz w:val="16"/>
                <w:szCs w:val="16"/>
                <w:lang w:val="pt-BR"/>
              </w:rPr>
              <w:t>O negócio</w:t>
            </w:r>
          </w:p>
          <w:p w:rsidR="00C821BE" w:rsidRPr="002362E3" w:rsidRDefault="00C821BE" w:rsidP="00C821BE">
            <w:pPr>
              <w:spacing w:after="0" w:line="240" w:lineRule="auto"/>
              <w:jc w:val="center"/>
              <w:rPr>
                <w:rFonts w:ascii="Times New Roman" w:hAnsi="Times New Roman"/>
                <w:b/>
                <w:sz w:val="16"/>
                <w:szCs w:val="16"/>
                <w:lang w:val="pt-BR"/>
              </w:rPr>
            </w:pPr>
          </w:p>
          <w:p w:rsidR="00C821BE" w:rsidRPr="002362E3" w:rsidRDefault="00C821BE" w:rsidP="00C821BE">
            <w:pPr>
              <w:spacing w:after="0" w:line="240" w:lineRule="auto"/>
              <w:jc w:val="center"/>
              <w:rPr>
                <w:rFonts w:ascii="Times New Roman" w:hAnsi="Times New Roman"/>
                <w:b/>
                <w:sz w:val="16"/>
                <w:szCs w:val="16"/>
                <w:lang w:val="pt-BR"/>
              </w:rPr>
            </w:pPr>
            <w:r w:rsidRPr="002362E3">
              <w:rPr>
                <w:rFonts w:ascii="Times New Roman" w:hAnsi="Times New Roman"/>
                <w:b/>
                <w:sz w:val="16"/>
                <w:szCs w:val="16"/>
                <w:lang w:val="pt-BR"/>
              </w:rPr>
              <w:t>PUASEE-FA</w:t>
            </w:r>
          </w:p>
        </w:tc>
        <w:tc>
          <w:tcPr>
            <w:tcW w:w="1134"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C821BE" w:rsidRPr="002362E3" w:rsidRDefault="00C821BE" w:rsidP="00C821BE">
            <w:pPr>
              <w:spacing w:after="0" w:line="240" w:lineRule="auto"/>
              <w:jc w:val="center"/>
              <w:rPr>
                <w:rFonts w:ascii="Times New Roman" w:hAnsi="Times New Roman"/>
                <w:b/>
                <w:sz w:val="16"/>
                <w:szCs w:val="16"/>
                <w:lang w:val="pt-BR"/>
              </w:rPr>
            </w:pPr>
            <w:r w:rsidRPr="002362E3">
              <w:rPr>
                <w:rFonts w:ascii="Times New Roman" w:hAnsi="Times New Roman"/>
                <w:b/>
                <w:sz w:val="16"/>
                <w:szCs w:val="16"/>
                <w:lang w:val="pt-BR"/>
              </w:rPr>
              <w:t>Comitê de Monitoramento</w:t>
            </w:r>
          </w:p>
          <w:p w:rsidR="00C821BE" w:rsidRPr="002362E3" w:rsidRDefault="00C821BE" w:rsidP="00C821BE">
            <w:pPr>
              <w:spacing w:after="0" w:line="240" w:lineRule="auto"/>
              <w:jc w:val="center"/>
              <w:rPr>
                <w:rFonts w:ascii="Times New Roman" w:hAnsi="Times New Roman"/>
                <w:b/>
                <w:sz w:val="16"/>
                <w:szCs w:val="16"/>
                <w:lang w:val="pt-BR"/>
              </w:rPr>
            </w:pPr>
          </w:p>
        </w:tc>
        <w:tc>
          <w:tcPr>
            <w:tcW w:w="978" w:type="dxa"/>
            <w:tcBorders>
              <w:top w:val="single" w:sz="4" w:space="0" w:color="auto"/>
              <w:left w:val="single" w:sz="4" w:space="0" w:color="auto"/>
              <w:bottom w:val="single" w:sz="4" w:space="0" w:color="auto"/>
              <w:right w:val="single" w:sz="4" w:space="0" w:color="auto"/>
            </w:tcBorders>
            <w:vAlign w:val="center"/>
          </w:tcPr>
          <w:p w:rsidR="00C821BE" w:rsidRPr="002362E3" w:rsidRDefault="00C821BE" w:rsidP="00C821BE">
            <w:pPr>
              <w:autoSpaceDE w:val="0"/>
              <w:autoSpaceDN w:val="0"/>
              <w:adjustRightInd w:val="0"/>
              <w:spacing w:after="0" w:line="276" w:lineRule="auto"/>
              <w:jc w:val="center"/>
              <w:rPr>
                <w:rFonts w:ascii="Times New Roman" w:hAnsi="Times New Roman"/>
                <w:sz w:val="16"/>
                <w:szCs w:val="16"/>
                <w:lang w:val="pt-BR"/>
              </w:rPr>
            </w:pPr>
            <w:r w:rsidRPr="002362E3">
              <w:rPr>
                <w:rFonts w:ascii="Times New Roman" w:hAnsi="Times New Roman"/>
                <w:sz w:val="16"/>
                <w:szCs w:val="16"/>
                <w:lang w:val="pt-BR"/>
              </w:rPr>
              <w:t>No início e continuamente</w:t>
            </w:r>
          </w:p>
        </w:tc>
        <w:tc>
          <w:tcPr>
            <w:tcW w:w="865" w:type="dxa"/>
            <w:tcBorders>
              <w:top w:val="single" w:sz="4" w:space="0" w:color="auto"/>
              <w:left w:val="single" w:sz="4" w:space="0" w:color="auto"/>
              <w:bottom w:val="single" w:sz="4" w:space="0" w:color="auto"/>
              <w:right w:val="single" w:sz="4" w:space="0" w:color="auto"/>
            </w:tcBorders>
            <w:vAlign w:val="center"/>
          </w:tcPr>
          <w:p w:rsidR="00C821BE" w:rsidRPr="002362E3" w:rsidRDefault="00C821BE" w:rsidP="00C821BE">
            <w:pPr>
              <w:autoSpaceDE w:val="0"/>
              <w:autoSpaceDN w:val="0"/>
              <w:adjustRightInd w:val="0"/>
              <w:spacing w:after="0" w:line="276" w:lineRule="auto"/>
              <w:jc w:val="center"/>
              <w:rPr>
                <w:rFonts w:ascii="Times New Roman" w:hAnsi="Times New Roman"/>
                <w:sz w:val="16"/>
                <w:szCs w:val="16"/>
                <w:lang w:val="pt-BR"/>
              </w:rPr>
            </w:pPr>
            <w:r w:rsidRPr="002362E3">
              <w:rPr>
                <w:rFonts w:ascii="Times New Roman" w:hAnsi="Times New Roman"/>
                <w:sz w:val="16"/>
                <w:szCs w:val="16"/>
                <w:lang w:val="pt-BR"/>
              </w:rPr>
              <w:t>Durante cada estação chuvosa</w:t>
            </w:r>
          </w:p>
        </w:tc>
        <w:tc>
          <w:tcPr>
            <w:tcW w:w="1133" w:type="dxa"/>
            <w:tcBorders>
              <w:top w:val="single" w:sz="4" w:space="0" w:color="auto"/>
              <w:left w:val="single" w:sz="4" w:space="0" w:color="auto"/>
              <w:bottom w:val="single" w:sz="4" w:space="0" w:color="auto"/>
              <w:right w:val="single" w:sz="4" w:space="0" w:color="auto"/>
            </w:tcBorders>
            <w:vAlign w:val="center"/>
          </w:tcPr>
          <w:p w:rsidR="00C821BE" w:rsidRPr="002362E3" w:rsidRDefault="00C821BE" w:rsidP="00C821BE">
            <w:pPr>
              <w:autoSpaceDE w:val="0"/>
              <w:autoSpaceDN w:val="0"/>
              <w:adjustRightInd w:val="0"/>
              <w:spacing w:after="0" w:line="276" w:lineRule="auto"/>
              <w:jc w:val="center"/>
              <w:rPr>
                <w:rFonts w:ascii="Times New Roman" w:hAnsi="Times New Roman"/>
                <w:b/>
                <w:sz w:val="16"/>
                <w:szCs w:val="16"/>
                <w:lang w:val="pt-BR"/>
              </w:rPr>
            </w:pPr>
            <w:r w:rsidRPr="002362E3">
              <w:rPr>
                <w:rFonts w:ascii="Times New Roman" w:hAnsi="Times New Roman"/>
                <w:b/>
                <w:sz w:val="16"/>
                <w:szCs w:val="16"/>
                <w:lang w:val="pt-BR"/>
              </w:rPr>
              <w:t>Custo associado ao projeto</w:t>
            </w:r>
          </w:p>
        </w:tc>
      </w:tr>
      <w:tr w:rsidR="00C821BE" w:rsidRPr="002362E3" w:rsidTr="00C821BE">
        <w:trPr>
          <w:trHeight w:val="412"/>
          <w:jc w:val="center"/>
        </w:trPr>
        <w:tc>
          <w:tcPr>
            <w:tcW w:w="1008" w:type="dxa"/>
            <w:vMerge w:val="restar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rsidR="00C821BE" w:rsidRPr="002362E3" w:rsidRDefault="00C821BE" w:rsidP="00C821BE">
            <w:pPr>
              <w:autoSpaceDE w:val="0"/>
              <w:autoSpaceDN w:val="0"/>
              <w:adjustRightInd w:val="0"/>
              <w:spacing w:after="0" w:line="276" w:lineRule="auto"/>
              <w:jc w:val="center"/>
              <w:rPr>
                <w:rFonts w:ascii="Times New Roman" w:hAnsi="Times New Roman"/>
                <w:b/>
                <w:bCs/>
                <w:sz w:val="16"/>
                <w:szCs w:val="16"/>
                <w:lang w:val="pt-BR"/>
              </w:rPr>
            </w:pPr>
            <w:r w:rsidRPr="002362E3">
              <w:rPr>
                <w:rFonts w:ascii="Times New Roman" w:hAnsi="Times New Roman"/>
                <w:b/>
                <w:bCs/>
                <w:sz w:val="16"/>
                <w:szCs w:val="16"/>
                <w:lang w:val="pt-BR"/>
              </w:rPr>
              <w:lastRenderedPageBreak/>
              <w:t>Humano</w:t>
            </w:r>
          </w:p>
        </w:tc>
        <w:tc>
          <w:tcPr>
            <w:tcW w:w="2386" w:type="dxa"/>
            <w:tcBorders>
              <w:top w:val="single" w:sz="4" w:space="0" w:color="auto"/>
              <w:left w:val="single" w:sz="4" w:space="0" w:color="auto"/>
              <w:bottom w:val="single" w:sz="4" w:space="0" w:color="auto"/>
              <w:right w:val="single" w:sz="4" w:space="0" w:color="auto"/>
            </w:tcBorders>
            <w:vAlign w:val="center"/>
          </w:tcPr>
          <w:p w:rsidR="00C821BE" w:rsidRPr="002362E3" w:rsidRDefault="00C821BE" w:rsidP="00C821BE">
            <w:pPr>
              <w:autoSpaceDE w:val="0"/>
              <w:autoSpaceDN w:val="0"/>
              <w:adjustRightInd w:val="0"/>
              <w:spacing w:after="0" w:line="276" w:lineRule="auto"/>
              <w:jc w:val="both"/>
              <w:rPr>
                <w:rFonts w:ascii="Times New Roman" w:hAnsi="Times New Roman"/>
                <w:sz w:val="16"/>
                <w:szCs w:val="16"/>
                <w:lang w:val="pt-BR"/>
              </w:rPr>
            </w:pPr>
            <w:r w:rsidRPr="002362E3">
              <w:rPr>
                <w:rFonts w:ascii="Times New Roman" w:hAnsi="Times New Roman"/>
                <w:bCs/>
                <w:sz w:val="16"/>
                <w:szCs w:val="16"/>
                <w:lang w:val="pt-BR"/>
              </w:rPr>
              <w:t>Risco de geração de poluição sonora e produção de GEE.</w:t>
            </w:r>
          </w:p>
        </w:tc>
        <w:tc>
          <w:tcPr>
            <w:tcW w:w="4529" w:type="dxa"/>
            <w:tcBorders>
              <w:top w:val="single" w:sz="4" w:space="0" w:color="auto"/>
              <w:left w:val="single" w:sz="4" w:space="0" w:color="auto"/>
              <w:bottom w:val="single" w:sz="4" w:space="0" w:color="auto"/>
              <w:right w:val="single" w:sz="4" w:space="0" w:color="auto"/>
            </w:tcBorders>
            <w:vAlign w:val="center"/>
          </w:tcPr>
          <w:p w:rsidR="00C821BE" w:rsidRPr="002362E3" w:rsidRDefault="00C821BE" w:rsidP="00C821BE">
            <w:pPr>
              <w:spacing w:after="0" w:line="240" w:lineRule="auto"/>
              <w:jc w:val="both"/>
              <w:rPr>
                <w:rFonts w:ascii="Times New Roman" w:hAnsi="Times New Roman"/>
                <w:bCs/>
                <w:sz w:val="16"/>
                <w:szCs w:val="16"/>
                <w:lang w:val="pt-BR"/>
              </w:rPr>
            </w:pPr>
            <w:r w:rsidRPr="002362E3">
              <w:rPr>
                <w:rFonts w:ascii="Times New Roman" w:hAnsi="Times New Roman"/>
                <w:bCs/>
                <w:sz w:val="16"/>
                <w:szCs w:val="16"/>
                <w:lang w:val="pt-BR"/>
              </w:rPr>
              <w:t>- Fornecer salas de bom tamanho para a contenção de geradores,</w:t>
            </w:r>
          </w:p>
          <w:p w:rsidR="00C821BE" w:rsidRPr="002362E3" w:rsidRDefault="00C821BE" w:rsidP="00C821BE">
            <w:pPr>
              <w:spacing w:after="0" w:line="240" w:lineRule="auto"/>
              <w:jc w:val="both"/>
              <w:rPr>
                <w:rFonts w:ascii="Times New Roman" w:hAnsi="Times New Roman"/>
                <w:bCs/>
                <w:sz w:val="16"/>
                <w:szCs w:val="16"/>
                <w:lang w:val="pt-BR"/>
              </w:rPr>
            </w:pPr>
            <w:r w:rsidRPr="002362E3">
              <w:rPr>
                <w:rFonts w:ascii="Times New Roman" w:hAnsi="Times New Roman"/>
                <w:sz w:val="16"/>
                <w:szCs w:val="16"/>
                <w:lang w:val="pt-BR"/>
              </w:rPr>
              <w:t>-Configure as suspensões antivibração</w:t>
            </w:r>
          </w:p>
          <w:p w:rsidR="00C821BE" w:rsidRPr="002362E3" w:rsidRDefault="00C821BE" w:rsidP="00C821BE">
            <w:pPr>
              <w:spacing w:after="0" w:line="240" w:lineRule="auto"/>
              <w:jc w:val="both"/>
              <w:rPr>
                <w:rFonts w:ascii="Times New Roman" w:hAnsi="Times New Roman"/>
                <w:bCs/>
                <w:sz w:val="16"/>
                <w:szCs w:val="16"/>
                <w:lang w:val="pt-BR"/>
              </w:rPr>
            </w:pPr>
            <w:r w:rsidRPr="002362E3">
              <w:rPr>
                <w:rFonts w:ascii="Times New Roman" w:hAnsi="Times New Roman"/>
                <w:bCs/>
                <w:sz w:val="16"/>
                <w:szCs w:val="16"/>
                <w:lang w:val="pt-BR"/>
              </w:rPr>
              <w:t>- Configurar grupos silenciosos</w:t>
            </w:r>
          </w:p>
          <w:p w:rsidR="00C821BE" w:rsidRPr="002362E3" w:rsidRDefault="00C821BE" w:rsidP="00C821BE">
            <w:pPr>
              <w:spacing w:after="0" w:line="240" w:lineRule="auto"/>
              <w:jc w:val="both"/>
              <w:rPr>
                <w:rFonts w:ascii="Times New Roman" w:hAnsi="Times New Roman"/>
                <w:bCs/>
                <w:sz w:val="16"/>
                <w:szCs w:val="16"/>
                <w:lang w:val="pt-BR"/>
              </w:rPr>
            </w:pPr>
            <w:r w:rsidRPr="002362E3">
              <w:rPr>
                <w:rFonts w:ascii="Times New Roman" w:hAnsi="Times New Roman"/>
                <w:bCs/>
                <w:sz w:val="16"/>
                <w:szCs w:val="16"/>
                <w:lang w:val="pt-BR"/>
              </w:rPr>
              <w:t>- Configure um ou mais grupos poderosos para reduzir o número de grupos</w:t>
            </w:r>
          </w:p>
          <w:p w:rsidR="00C821BE" w:rsidRPr="002362E3" w:rsidRDefault="00C821BE" w:rsidP="00C821BE">
            <w:pPr>
              <w:spacing w:after="0" w:line="240" w:lineRule="auto"/>
              <w:jc w:val="both"/>
              <w:rPr>
                <w:rFonts w:ascii="Times New Roman" w:hAnsi="Times New Roman"/>
                <w:bCs/>
                <w:sz w:val="16"/>
                <w:szCs w:val="16"/>
                <w:lang w:val="pt-BR"/>
              </w:rPr>
            </w:pPr>
            <w:r w:rsidRPr="002362E3">
              <w:rPr>
                <w:rFonts w:ascii="Times New Roman" w:hAnsi="Times New Roman"/>
                <w:bCs/>
                <w:sz w:val="16"/>
                <w:szCs w:val="16"/>
                <w:lang w:val="pt-BR"/>
              </w:rPr>
              <w:t>- Manter os geradores regularmente</w:t>
            </w:r>
          </w:p>
          <w:p w:rsidR="00C821BE" w:rsidRPr="002362E3" w:rsidRDefault="00C821BE" w:rsidP="00C821BE">
            <w:pPr>
              <w:autoSpaceDE w:val="0"/>
              <w:autoSpaceDN w:val="0"/>
              <w:adjustRightInd w:val="0"/>
              <w:spacing w:after="0" w:line="276" w:lineRule="auto"/>
              <w:jc w:val="both"/>
              <w:rPr>
                <w:rFonts w:ascii="Times New Roman" w:hAnsi="Times New Roman"/>
                <w:sz w:val="16"/>
                <w:szCs w:val="16"/>
                <w:lang w:val="pt-BR"/>
              </w:rPr>
            </w:pPr>
            <w:r w:rsidRPr="002362E3">
              <w:rPr>
                <w:rFonts w:ascii="Times New Roman" w:hAnsi="Times New Roman"/>
                <w:bCs/>
                <w:sz w:val="16"/>
                <w:szCs w:val="16"/>
                <w:lang w:val="pt-BR"/>
              </w:rPr>
              <w:t>- Escolha grupos menos poluentes ou estabeleça medidas antipoluição</w:t>
            </w:r>
          </w:p>
        </w:tc>
        <w:tc>
          <w:tcPr>
            <w:tcW w:w="2845" w:type="dxa"/>
            <w:tcBorders>
              <w:top w:val="single" w:sz="4" w:space="0" w:color="auto"/>
              <w:left w:val="single" w:sz="4" w:space="0" w:color="auto"/>
              <w:bottom w:val="single" w:sz="4" w:space="0" w:color="auto"/>
              <w:right w:val="single" w:sz="4" w:space="0" w:color="auto"/>
            </w:tcBorders>
            <w:vAlign w:val="center"/>
          </w:tcPr>
          <w:p w:rsidR="00C821BE" w:rsidRPr="002362E3" w:rsidRDefault="00C821BE" w:rsidP="00C821BE">
            <w:pPr>
              <w:autoSpaceDE w:val="0"/>
              <w:autoSpaceDN w:val="0"/>
              <w:adjustRightInd w:val="0"/>
              <w:spacing w:after="0" w:line="276" w:lineRule="auto"/>
              <w:jc w:val="both"/>
              <w:rPr>
                <w:rFonts w:ascii="Times New Roman" w:hAnsi="Times New Roman"/>
                <w:sz w:val="16"/>
                <w:szCs w:val="16"/>
                <w:lang w:val="pt-BR"/>
              </w:rPr>
            </w:pPr>
            <w:r w:rsidRPr="002362E3">
              <w:rPr>
                <w:rFonts w:ascii="Times New Roman" w:hAnsi="Times New Roman"/>
                <w:sz w:val="16"/>
                <w:szCs w:val="16"/>
                <w:lang w:val="pt-BR"/>
              </w:rPr>
              <w:t xml:space="preserve">-Presença das instalações </w:t>
            </w:r>
          </w:p>
          <w:p w:rsidR="00C821BE" w:rsidRPr="002362E3" w:rsidRDefault="00C821BE" w:rsidP="00C821BE">
            <w:pPr>
              <w:autoSpaceDE w:val="0"/>
              <w:autoSpaceDN w:val="0"/>
              <w:adjustRightInd w:val="0"/>
              <w:spacing w:after="0" w:line="276" w:lineRule="auto"/>
              <w:jc w:val="both"/>
              <w:rPr>
                <w:rFonts w:ascii="Times New Roman" w:hAnsi="Times New Roman"/>
                <w:sz w:val="16"/>
                <w:szCs w:val="16"/>
                <w:lang w:val="pt-BR"/>
              </w:rPr>
            </w:pPr>
            <w:r w:rsidRPr="002362E3">
              <w:rPr>
                <w:rFonts w:ascii="Times New Roman" w:hAnsi="Times New Roman"/>
                <w:sz w:val="16"/>
                <w:szCs w:val="16"/>
                <w:lang w:val="pt-BR"/>
              </w:rPr>
              <w:t>-Presença de suspensões antivibratórias</w:t>
            </w:r>
          </w:p>
          <w:p w:rsidR="00C821BE" w:rsidRPr="002362E3" w:rsidRDefault="00C821BE" w:rsidP="00C821BE">
            <w:pPr>
              <w:autoSpaceDE w:val="0"/>
              <w:autoSpaceDN w:val="0"/>
              <w:adjustRightInd w:val="0"/>
              <w:spacing w:after="0" w:line="276" w:lineRule="auto"/>
              <w:jc w:val="both"/>
              <w:rPr>
                <w:rFonts w:ascii="Times New Roman" w:hAnsi="Times New Roman"/>
                <w:sz w:val="16"/>
                <w:szCs w:val="16"/>
                <w:lang w:val="pt-BR"/>
              </w:rPr>
            </w:pPr>
            <w:r w:rsidRPr="002362E3">
              <w:rPr>
                <w:rFonts w:ascii="Times New Roman" w:hAnsi="Times New Roman"/>
                <w:sz w:val="16"/>
                <w:szCs w:val="16"/>
                <w:lang w:val="pt-BR"/>
              </w:rPr>
              <w:t>-Presença de gerador silencioso</w:t>
            </w:r>
          </w:p>
          <w:p w:rsidR="00C821BE" w:rsidRPr="002362E3" w:rsidRDefault="00C821BE" w:rsidP="00C821BE">
            <w:pPr>
              <w:autoSpaceDE w:val="0"/>
              <w:autoSpaceDN w:val="0"/>
              <w:adjustRightInd w:val="0"/>
              <w:spacing w:after="0" w:line="276" w:lineRule="auto"/>
              <w:jc w:val="both"/>
              <w:rPr>
                <w:rFonts w:ascii="Times New Roman" w:hAnsi="Times New Roman"/>
                <w:sz w:val="16"/>
                <w:szCs w:val="16"/>
                <w:lang w:val="pt-BR"/>
              </w:rPr>
            </w:pPr>
            <w:r w:rsidRPr="002362E3">
              <w:rPr>
                <w:rFonts w:ascii="Times New Roman" w:hAnsi="Times New Roman"/>
                <w:sz w:val="16"/>
                <w:szCs w:val="16"/>
                <w:lang w:val="pt-BR"/>
              </w:rPr>
              <w:t>- Presença de antipoluição e não afeta a qualidade do ar</w:t>
            </w:r>
          </w:p>
          <w:p w:rsidR="00C821BE" w:rsidRPr="002362E3" w:rsidRDefault="00C821BE" w:rsidP="00C821BE">
            <w:pPr>
              <w:autoSpaceDE w:val="0"/>
              <w:autoSpaceDN w:val="0"/>
              <w:adjustRightInd w:val="0"/>
              <w:spacing w:after="0" w:line="276" w:lineRule="auto"/>
              <w:jc w:val="both"/>
              <w:rPr>
                <w:rFonts w:ascii="Times New Roman" w:hAnsi="Times New Roman"/>
                <w:bCs/>
                <w:sz w:val="16"/>
                <w:szCs w:val="16"/>
                <w:lang w:val="pt-BR"/>
              </w:rPr>
            </w:pPr>
            <w:r w:rsidRPr="002362E3">
              <w:rPr>
                <w:rFonts w:ascii="Times New Roman" w:hAnsi="Times New Roman"/>
                <w:sz w:val="16"/>
                <w:szCs w:val="16"/>
                <w:lang w:val="pt-BR"/>
              </w:rPr>
              <w:t>- Presença de relatórios de manutenção</w:t>
            </w:r>
          </w:p>
        </w:tc>
        <w:tc>
          <w:tcPr>
            <w:tcW w:w="993"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rsidR="00C821BE" w:rsidRPr="002362E3" w:rsidRDefault="00C821BE" w:rsidP="00C821BE">
            <w:pPr>
              <w:autoSpaceDE w:val="0"/>
              <w:autoSpaceDN w:val="0"/>
              <w:adjustRightInd w:val="0"/>
              <w:spacing w:after="0" w:line="276" w:lineRule="auto"/>
              <w:jc w:val="center"/>
              <w:rPr>
                <w:rFonts w:ascii="Times New Roman" w:hAnsi="Times New Roman"/>
                <w:b/>
                <w:sz w:val="16"/>
                <w:szCs w:val="16"/>
                <w:lang w:val="pt-BR"/>
              </w:rPr>
            </w:pPr>
            <w:r w:rsidRPr="002362E3">
              <w:rPr>
                <w:rFonts w:ascii="Times New Roman" w:hAnsi="Times New Roman"/>
                <w:b/>
                <w:sz w:val="16"/>
                <w:szCs w:val="16"/>
                <w:lang w:val="pt-BR"/>
              </w:rPr>
              <w:t>EAGB</w:t>
            </w:r>
          </w:p>
          <w:p w:rsidR="00C821BE" w:rsidRPr="002362E3" w:rsidRDefault="00C821BE" w:rsidP="00C821BE">
            <w:pPr>
              <w:autoSpaceDE w:val="0"/>
              <w:autoSpaceDN w:val="0"/>
              <w:adjustRightInd w:val="0"/>
              <w:spacing w:after="0" w:line="276" w:lineRule="auto"/>
              <w:jc w:val="center"/>
              <w:rPr>
                <w:rFonts w:ascii="Times New Roman" w:hAnsi="Times New Roman"/>
                <w:b/>
                <w:sz w:val="16"/>
                <w:szCs w:val="16"/>
                <w:lang w:val="pt-BR"/>
              </w:rPr>
            </w:pPr>
            <w:r w:rsidRPr="002362E3">
              <w:rPr>
                <w:rFonts w:ascii="Times New Roman" w:hAnsi="Times New Roman"/>
                <w:b/>
                <w:sz w:val="16"/>
                <w:szCs w:val="16"/>
                <w:lang w:val="pt-BR"/>
              </w:rPr>
              <w:t>PUASEE-FA</w:t>
            </w:r>
          </w:p>
        </w:tc>
        <w:tc>
          <w:tcPr>
            <w:tcW w:w="1134"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rsidR="00C821BE" w:rsidRPr="002362E3" w:rsidRDefault="00C821BE" w:rsidP="00C821BE">
            <w:pPr>
              <w:autoSpaceDE w:val="0"/>
              <w:autoSpaceDN w:val="0"/>
              <w:adjustRightInd w:val="0"/>
              <w:spacing w:after="0" w:line="276" w:lineRule="auto"/>
              <w:jc w:val="center"/>
              <w:rPr>
                <w:rFonts w:ascii="Times New Roman" w:hAnsi="Times New Roman"/>
                <w:b/>
                <w:sz w:val="16"/>
                <w:szCs w:val="16"/>
                <w:lang w:val="pt-BR"/>
              </w:rPr>
            </w:pPr>
          </w:p>
          <w:p w:rsidR="00C821BE" w:rsidRPr="002362E3" w:rsidRDefault="00C821BE" w:rsidP="00C821BE">
            <w:pPr>
              <w:autoSpaceDE w:val="0"/>
              <w:autoSpaceDN w:val="0"/>
              <w:adjustRightInd w:val="0"/>
              <w:spacing w:after="0" w:line="276" w:lineRule="auto"/>
              <w:jc w:val="center"/>
              <w:rPr>
                <w:rFonts w:ascii="Times New Roman" w:hAnsi="Times New Roman"/>
                <w:b/>
                <w:sz w:val="16"/>
                <w:szCs w:val="16"/>
                <w:lang w:val="pt-BR"/>
              </w:rPr>
            </w:pPr>
            <w:r w:rsidRPr="002362E3">
              <w:rPr>
                <w:rFonts w:ascii="Times New Roman" w:hAnsi="Times New Roman"/>
                <w:b/>
                <w:sz w:val="16"/>
                <w:szCs w:val="16"/>
                <w:lang w:val="pt-BR"/>
              </w:rPr>
              <w:t>Comitê de Monitoramento</w:t>
            </w:r>
          </w:p>
        </w:tc>
        <w:tc>
          <w:tcPr>
            <w:tcW w:w="978" w:type="dxa"/>
            <w:tcBorders>
              <w:top w:val="single" w:sz="4" w:space="0" w:color="auto"/>
              <w:left w:val="single" w:sz="4" w:space="0" w:color="auto"/>
              <w:bottom w:val="single" w:sz="4" w:space="0" w:color="auto"/>
              <w:right w:val="single" w:sz="4" w:space="0" w:color="auto"/>
            </w:tcBorders>
            <w:vAlign w:val="center"/>
            <w:hideMark/>
          </w:tcPr>
          <w:p w:rsidR="00C821BE" w:rsidRPr="002362E3" w:rsidRDefault="00C821BE" w:rsidP="00C821BE">
            <w:pPr>
              <w:autoSpaceDE w:val="0"/>
              <w:autoSpaceDN w:val="0"/>
              <w:adjustRightInd w:val="0"/>
              <w:spacing w:after="0" w:line="276" w:lineRule="auto"/>
              <w:jc w:val="center"/>
              <w:rPr>
                <w:rFonts w:ascii="Times New Roman" w:hAnsi="Times New Roman"/>
                <w:sz w:val="16"/>
                <w:szCs w:val="16"/>
                <w:lang w:val="pt-BR"/>
              </w:rPr>
            </w:pPr>
            <w:r w:rsidRPr="002362E3">
              <w:rPr>
                <w:rFonts w:ascii="Times New Roman" w:hAnsi="Times New Roman"/>
                <w:sz w:val="16"/>
                <w:szCs w:val="16"/>
                <w:lang w:val="pt-BR"/>
              </w:rPr>
              <w:t>No início e continuamente</w:t>
            </w:r>
          </w:p>
        </w:tc>
        <w:tc>
          <w:tcPr>
            <w:tcW w:w="865" w:type="dxa"/>
            <w:tcBorders>
              <w:top w:val="single" w:sz="4" w:space="0" w:color="auto"/>
              <w:left w:val="single" w:sz="4" w:space="0" w:color="auto"/>
              <w:bottom w:val="single" w:sz="4" w:space="0" w:color="auto"/>
              <w:right w:val="single" w:sz="4" w:space="0" w:color="auto"/>
            </w:tcBorders>
            <w:vAlign w:val="center"/>
          </w:tcPr>
          <w:p w:rsidR="00C821BE" w:rsidRPr="002362E3" w:rsidRDefault="00C821BE" w:rsidP="00C821BE">
            <w:pPr>
              <w:autoSpaceDE w:val="0"/>
              <w:autoSpaceDN w:val="0"/>
              <w:adjustRightInd w:val="0"/>
              <w:spacing w:after="0" w:line="276" w:lineRule="auto"/>
              <w:jc w:val="center"/>
              <w:rPr>
                <w:rFonts w:ascii="Times New Roman" w:hAnsi="Times New Roman"/>
                <w:sz w:val="16"/>
                <w:szCs w:val="16"/>
                <w:lang w:val="pt-BR"/>
              </w:rPr>
            </w:pPr>
            <w:r w:rsidRPr="002362E3">
              <w:rPr>
                <w:rFonts w:ascii="Times New Roman" w:hAnsi="Times New Roman"/>
                <w:sz w:val="16"/>
                <w:szCs w:val="16"/>
                <w:lang w:val="pt-BR"/>
              </w:rPr>
              <w:t>Três vezes por ano</w:t>
            </w:r>
          </w:p>
        </w:tc>
        <w:tc>
          <w:tcPr>
            <w:tcW w:w="1133" w:type="dxa"/>
            <w:tcBorders>
              <w:top w:val="single" w:sz="4" w:space="0" w:color="auto"/>
              <w:left w:val="single" w:sz="4" w:space="0" w:color="auto"/>
              <w:bottom w:val="single" w:sz="4" w:space="0" w:color="auto"/>
              <w:right w:val="single" w:sz="4" w:space="0" w:color="auto"/>
            </w:tcBorders>
            <w:vAlign w:val="center"/>
            <w:hideMark/>
          </w:tcPr>
          <w:p w:rsidR="00C821BE" w:rsidRPr="002362E3" w:rsidRDefault="00C821BE" w:rsidP="00C821BE">
            <w:pPr>
              <w:autoSpaceDE w:val="0"/>
              <w:autoSpaceDN w:val="0"/>
              <w:adjustRightInd w:val="0"/>
              <w:spacing w:after="0" w:line="276" w:lineRule="auto"/>
              <w:jc w:val="center"/>
              <w:rPr>
                <w:rFonts w:ascii="Times New Roman" w:hAnsi="Times New Roman"/>
                <w:b/>
                <w:sz w:val="16"/>
                <w:szCs w:val="16"/>
                <w:lang w:val="pt-BR"/>
              </w:rPr>
            </w:pPr>
            <w:r w:rsidRPr="002362E3">
              <w:rPr>
                <w:rFonts w:ascii="Times New Roman" w:hAnsi="Times New Roman"/>
                <w:b/>
                <w:sz w:val="16"/>
                <w:szCs w:val="16"/>
                <w:lang w:val="pt-BR"/>
              </w:rPr>
              <w:t>4.000.000</w:t>
            </w:r>
          </w:p>
        </w:tc>
      </w:tr>
      <w:tr w:rsidR="00C821BE" w:rsidRPr="002362E3" w:rsidTr="00C821BE">
        <w:trPr>
          <w:trHeight w:val="1049"/>
          <w:jc w:val="center"/>
        </w:trPr>
        <w:tc>
          <w:tcPr>
            <w:tcW w:w="1008" w:type="dxa"/>
            <w:vMerge/>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C821BE" w:rsidRPr="002362E3" w:rsidRDefault="00C821BE" w:rsidP="00C821BE">
            <w:pPr>
              <w:autoSpaceDE w:val="0"/>
              <w:autoSpaceDN w:val="0"/>
              <w:adjustRightInd w:val="0"/>
              <w:spacing w:after="0" w:line="276" w:lineRule="auto"/>
              <w:jc w:val="center"/>
              <w:rPr>
                <w:rFonts w:ascii="Times New Roman" w:hAnsi="Times New Roman"/>
                <w:b/>
                <w:bCs/>
                <w:sz w:val="16"/>
                <w:szCs w:val="16"/>
                <w:lang w:val="pt-BR"/>
              </w:rPr>
            </w:pPr>
          </w:p>
        </w:tc>
        <w:tc>
          <w:tcPr>
            <w:tcW w:w="2386" w:type="dxa"/>
            <w:tcBorders>
              <w:top w:val="single" w:sz="4" w:space="0" w:color="auto"/>
              <w:left w:val="single" w:sz="4" w:space="0" w:color="auto"/>
              <w:bottom w:val="single" w:sz="4" w:space="0" w:color="auto"/>
              <w:right w:val="single" w:sz="4" w:space="0" w:color="auto"/>
            </w:tcBorders>
            <w:vAlign w:val="center"/>
          </w:tcPr>
          <w:p w:rsidR="00C821BE" w:rsidRPr="002362E3" w:rsidRDefault="00C821BE" w:rsidP="00C821BE">
            <w:pPr>
              <w:autoSpaceDE w:val="0"/>
              <w:autoSpaceDN w:val="0"/>
              <w:adjustRightInd w:val="0"/>
              <w:spacing w:after="0" w:line="276" w:lineRule="auto"/>
              <w:jc w:val="both"/>
              <w:rPr>
                <w:rFonts w:ascii="Times New Roman" w:hAnsi="Times New Roman"/>
                <w:sz w:val="16"/>
                <w:szCs w:val="16"/>
                <w:lang w:val="pt-BR"/>
              </w:rPr>
            </w:pPr>
            <w:r w:rsidRPr="002362E3">
              <w:rPr>
                <w:rFonts w:ascii="Times New Roman" w:hAnsi="Times New Roman"/>
                <w:bCs/>
                <w:sz w:val="16"/>
                <w:szCs w:val="16"/>
                <w:lang w:val="pt-BR"/>
              </w:rPr>
              <w:t>Risco de causar distúrbios nas redes de distribuição de água ou risco de fechamento de reservatórios por horas.</w:t>
            </w:r>
          </w:p>
        </w:tc>
        <w:tc>
          <w:tcPr>
            <w:tcW w:w="4529" w:type="dxa"/>
            <w:tcBorders>
              <w:top w:val="single" w:sz="4" w:space="0" w:color="auto"/>
              <w:left w:val="single" w:sz="4" w:space="0" w:color="auto"/>
              <w:bottom w:val="single" w:sz="4" w:space="0" w:color="auto"/>
              <w:right w:val="single" w:sz="4" w:space="0" w:color="auto"/>
            </w:tcBorders>
            <w:vAlign w:val="center"/>
          </w:tcPr>
          <w:p w:rsidR="00C821BE" w:rsidRPr="002362E3" w:rsidRDefault="00C821BE" w:rsidP="00C821BE">
            <w:pPr>
              <w:spacing w:after="0" w:line="276" w:lineRule="auto"/>
              <w:jc w:val="both"/>
              <w:rPr>
                <w:rFonts w:ascii="Times New Roman" w:hAnsi="Times New Roman"/>
                <w:bCs/>
                <w:sz w:val="16"/>
                <w:szCs w:val="16"/>
                <w:lang w:val="pt-BR"/>
              </w:rPr>
            </w:pPr>
            <w:r w:rsidRPr="002362E3">
              <w:rPr>
                <w:rFonts w:ascii="Times New Roman" w:hAnsi="Times New Roman"/>
                <w:bCs/>
                <w:sz w:val="16"/>
                <w:szCs w:val="16"/>
                <w:lang w:val="pt-BR"/>
              </w:rPr>
              <w:t>-Informar os usuários durante os trabalhos de manutenção e reparo;</w:t>
            </w:r>
          </w:p>
          <w:p w:rsidR="00C821BE" w:rsidRPr="002362E3" w:rsidRDefault="00C821BE" w:rsidP="00C821BE">
            <w:pPr>
              <w:spacing w:after="0" w:line="276" w:lineRule="auto"/>
              <w:jc w:val="both"/>
              <w:rPr>
                <w:rFonts w:ascii="Times New Roman" w:hAnsi="Times New Roman"/>
                <w:bCs/>
                <w:sz w:val="16"/>
                <w:szCs w:val="16"/>
                <w:lang w:val="pt-BR"/>
              </w:rPr>
            </w:pPr>
            <w:r w:rsidRPr="002362E3">
              <w:rPr>
                <w:rFonts w:ascii="Times New Roman" w:hAnsi="Times New Roman"/>
                <w:bCs/>
                <w:sz w:val="16"/>
                <w:szCs w:val="16"/>
                <w:lang w:val="pt-BR"/>
              </w:rPr>
              <w:t>- Fazer spots de televisão indicando as áreas em questão;</w:t>
            </w:r>
          </w:p>
          <w:p w:rsidR="00C821BE" w:rsidRPr="002362E3" w:rsidRDefault="00C821BE" w:rsidP="00C821BE">
            <w:pPr>
              <w:spacing w:after="0" w:line="276" w:lineRule="auto"/>
              <w:jc w:val="both"/>
              <w:rPr>
                <w:rFonts w:ascii="Times New Roman" w:hAnsi="Times New Roman"/>
                <w:bCs/>
                <w:sz w:val="16"/>
                <w:szCs w:val="16"/>
                <w:lang w:val="pt-BR"/>
              </w:rPr>
            </w:pPr>
            <w:r w:rsidRPr="002362E3">
              <w:rPr>
                <w:rFonts w:ascii="Times New Roman" w:hAnsi="Times New Roman"/>
                <w:bCs/>
                <w:sz w:val="16"/>
                <w:szCs w:val="16"/>
                <w:lang w:val="pt-BR"/>
              </w:rPr>
              <w:t>-Desenvolver um plano de comunicação;</w:t>
            </w:r>
          </w:p>
          <w:p w:rsidR="00C821BE" w:rsidRPr="002362E3" w:rsidRDefault="00C821BE" w:rsidP="00C821BE">
            <w:pPr>
              <w:spacing w:after="0" w:line="276" w:lineRule="auto"/>
              <w:jc w:val="both"/>
              <w:rPr>
                <w:rFonts w:ascii="Times New Roman" w:hAnsi="Times New Roman"/>
                <w:bCs/>
                <w:sz w:val="16"/>
                <w:szCs w:val="16"/>
                <w:lang w:val="pt-BR"/>
              </w:rPr>
            </w:pPr>
            <w:r w:rsidRPr="002362E3">
              <w:rPr>
                <w:rFonts w:ascii="Times New Roman" w:hAnsi="Times New Roman"/>
                <w:bCs/>
                <w:sz w:val="16"/>
                <w:szCs w:val="16"/>
                <w:lang w:val="pt-BR"/>
              </w:rPr>
              <w:t>- Estabelecer horários bem adaptados em relação ao funcionamento das atividades do meio ambiente.</w:t>
            </w:r>
          </w:p>
        </w:tc>
        <w:tc>
          <w:tcPr>
            <w:tcW w:w="2845" w:type="dxa"/>
            <w:tcBorders>
              <w:top w:val="single" w:sz="4" w:space="0" w:color="auto"/>
              <w:left w:val="single" w:sz="4" w:space="0" w:color="auto"/>
              <w:bottom w:val="single" w:sz="4" w:space="0" w:color="auto"/>
              <w:right w:val="single" w:sz="4" w:space="0" w:color="auto"/>
            </w:tcBorders>
            <w:vAlign w:val="center"/>
          </w:tcPr>
          <w:p w:rsidR="00C821BE" w:rsidRPr="002362E3" w:rsidRDefault="00C821BE" w:rsidP="00C821BE">
            <w:pPr>
              <w:autoSpaceDE w:val="0"/>
              <w:autoSpaceDN w:val="0"/>
              <w:adjustRightInd w:val="0"/>
              <w:spacing w:after="0" w:line="276" w:lineRule="auto"/>
              <w:jc w:val="both"/>
              <w:rPr>
                <w:rFonts w:ascii="Times New Roman" w:hAnsi="Times New Roman"/>
                <w:sz w:val="16"/>
                <w:szCs w:val="16"/>
                <w:lang w:val="pt-BR"/>
              </w:rPr>
            </w:pPr>
            <w:r w:rsidRPr="002362E3">
              <w:rPr>
                <w:rFonts w:ascii="Times New Roman" w:hAnsi="Times New Roman"/>
                <w:sz w:val="16"/>
                <w:szCs w:val="16"/>
                <w:lang w:val="pt-BR"/>
              </w:rPr>
              <w:t>-Número de pessoas ou usuários informados;</w:t>
            </w:r>
          </w:p>
          <w:p w:rsidR="00C821BE" w:rsidRPr="002362E3" w:rsidRDefault="00C821BE" w:rsidP="00C821BE">
            <w:pPr>
              <w:autoSpaceDE w:val="0"/>
              <w:autoSpaceDN w:val="0"/>
              <w:adjustRightInd w:val="0"/>
              <w:spacing w:after="0" w:line="276" w:lineRule="auto"/>
              <w:jc w:val="both"/>
              <w:rPr>
                <w:rFonts w:ascii="Times New Roman" w:hAnsi="Times New Roman"/>
                <w:sz w:val="16"/>
                <w:szCs w:val="16"/>
                <w:lang w:val="pt-BR"/>
              </w:rPr>
            </w:pPr>
            <w:r w:rsidRPr="002362E3">
              <w:rPr>
                <w:rFonts w:ascii="Times New Roman" w:hAnsi="Times New Roman"/>
                <w:sz w:val="16"/>
                <w:szCs w:val="16"/>
                <w:lang w:val="pt-BR"/>
              </w:rPr>
              <w:t>-Apresentação de cronograma de atividades de controle de tanques;</w:t>
            </w:r>
          </w:p>
          <w:p w:rsidR="00C821BE" w:rsidRPr="002362E3" w:rsidRDefault="00C821BE" w:rsidP="00C821BE">
            <w:pPr>
              <w:autoSpaceDE w:val="0"/>
              <w:autoSpaceDN w:val="0"/>
              <w:adjustRightInd w:val="0"/>
              <w:spacing w:after="0" w:line="276" w:lineRule="auto"/>
              <w:jc w:val="both"/>
              <w:rPr>
                <w:rFonts w:ascii="Times New Roman" w:hAnsi="Times New Roman"/>
                <w:sz w:val="16"/>
                <w:szCs w:val="16"/>
                <w:lang w:val="pt-BR"/>
              </w:rPr>
            </w:pPr>
            <w:r w:rsidRPr="002362E3">
              <w:rPr>
                <w:rFonts w:ascii="Times New Roman" w:hAnsi="Times New Roman"/>
                <w:sz w:val="16"/>
                <w:szCs w:val="16"/>
                <w:lang w:val="pt-BR"/>
              </w:rPr>
              <w:t>- Presença de plano de trânsito em caso de grandes reparos nas vias de acesso;</w:t>
            </w:r>
          </w:p>
          <w:p w:rsidR="00C821BE" w:rsidRPr="002362E3" w:rsidRDefault="00C821BE" w:rsidP="00C821BE">
            <w:pPr>
              <w:autoSpaceDE w:val="0"/>
              <w:autoSpaceDN w:val="0"/>
              <w:adjustRightInd w:val="0"/>
              <w:spacing w:after="0" w:line="276" w:lineRule="auto"/>
              <w:jc w:val="both"/>
              <w:rPr>
                <w:rFonts w:ascii="Times New Roman" w:hAnsi="Times New Roman"/>
                <w:sz w:val="16"/>
                <w:szCs w:val="16"/>
                <w:lang w:val="pt-BR"/>
              </w:rPr>
            </w:pPr>
            <w:r w:rsidRPr="002362E3">
              <w:rPr>
                <w:rFonts w:ascii="Times New Roman" w:hAnsi="Times New Roman"/>
                <w:sz w:val="16"/>
                <w:szCs w:val="16"/>
                <w:lang w:val="pt-BR"/>
              </w:rPr>
              <w:t>-Presença de plano de comunicação;</w:t>
            </w:r>
          </w:p>
        </w:tc>
        <w:tc>
          <w:tcPr>
            <w:tcW w:w="993"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C821BE" w:rsidRPr="002362E3" w:rsidRDefault="00C821BE" w:rsidP="00C821BE">
            <w:pPr>
              <w:autoSpaceDE w:val="0"/>
              <w:autoSpaceDN w:val="0"/>
              <w:adjustRightInd w:val="0"/>
              <w:spacing w:after="0" w:line="276" w:lineRule="auto"/>
              <w:jc w:val="center"/>
              <w:rPr>
                <w:rFonts w:ascii="Times New Roman" w:hAnsi="Times New Roman"/>
                <w:b/>
                <w:sz w:val="16"/>
                <w:szCs w:val="16"/>
                <w:lang w:val="pt-BR"/>
              </w:rPr>
            </w:pPr>
            <w:r w:rsidRPr="002362E3">
              <w:rPr>
                <w:rFonts w:ascii="Times New Roman" w:hAnsi="Times New Roman"/>
                <w:b/>
                <w:sz w:val="16"/>
                <w:szCs w:val="16"/>
                <w:lang w:val="pt-BR"/>
              </w:rPr>
              <w:t>EAGB</w:t>
            </w:r>
          </w:p>
          <w:p w:rsidR="00C821BE" w:rsidRPr="002362E3" w:rsidRDefault="00C821BE" w:rsidP="00C821BE">
            <w:pPr>
              <w:autoSpaceDE w:val="0"/>
              <w:autoSpaceDN w:val="0"/>
              <w:adjustRightInd w:val="0"/>
              <w:spacing w:after="0" w:line="276" w:lineRule="auto"/>
              <w:jc w:val="center"/>
              <w:rPr>
                <w:rFonts w:ascii="Times New Roman" w:hAnsi="Times New Roman"/>
                <w:b/>
                <w:sz w:val="16"/>
                <w:szCs w:val="16"/>
                <w:lang w:val="pt-BR"/>
              </w:rPr>
            </w:pPr>
          </w:p>
        </w:tc>
        <w:tc>
          <w:tcPr>
            <w:tcW w:w="1134"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C821BE" w:rsidRPr="002362E3" w:rsidRDefault="00C821BE" w:rsidP="00C821BE">
            <w:pPr>
              <w:autoSpaceDE w:val="0"/>
              <w:autoSpaceDN w:val="0"/>
              <w:adjustRightInd w:val="0"/>
              <w:spacing w:after="0" w:line="276" w:lineRule="auto"/>
              <w:jc w:val="center"/>
              <w:rPr>
                <w:rFonts w:ascii="Times New Roman" w:hAnsi="Times New Roman"/>
                <w:b/>
                <w:sz w:val="16"/>
                <w:szCs w:val="16"/>
                <w:lang w:val="pt-BR"/>
              </w:rPr>
            </w:pPr>
            <w:r w:rsidRPr="002362E3">
              <w:rPr>
                <w:rFonts w:ascii="Times New Roman" w:hAnsi="Times New Roman"/>
                <w:b/>
                <w:sz w:val="16"/>
                <w:szCs w:val="16"/>
                <w:lang w:val="pt-BR"/>
              </w:rPr>
              <w:t>Comitê de Monitoramento</w:t>
            </w:r>
          </w:p>
          <w:p w:rsidR="00C821BE" w:rsidRPr="002362E3" w:rsidRDefault="00C821BE" w:rsidP="00C821BE">
            <w:pPr>
              <w:autoSpaceDE w:val="0"/>
              <w:autoSpaceDN w:val="0"/>
              <w:adjustRightInd w:val="0"/>
              <w:spacing w:after="0" w:line="276" w:lineRule="auto"/>
              <w:jc w:val="center"/>
              <w:rPr>
                <w:rFonts w:ascii="Times New Roman" w:hAnsi="Times New Roman"/>
                <w:b/>
                <w:sz w:val="16"/>
                <w:szCs w:val="16"/>
                <w:lang w:val="pt-BR"/>
              </w:rPr>
            </w:pPr>
          </w:p>
          <w:p w:rsidR="00C821BE" w:rsidRPr="002362E3" w:rsidRDefault="00C821BE" w:rsidP="00C821BE">
            <w:pPr>
              <w:autoSpaceDE w:val="0"/>
              <w:autoSpaceDN w:val="0"/>
              <w:adjustRightInd w:val="0"/>
              <w:spacing w:after="0" w:line="276" w:lineRule="auto"/>
              <w:jc w:val="center"/>
              <w:rPr>
                <w:rFonts w:ascii="Times New Roman" w:hAnsi="Times New Roman"/>
                <w:b/>
                <w:sz w:val="16"/>
                <w:szCs w:val="16"/>
                <w:lang w:val="pt-BR"/>
              </w:rPr>
            </w:pPr>
            <w:r w:rsidRPr="002362E3">
              <w:rPr>
                <w:rFonts w:ascii="Times New Roman" w:hAnsi="Times New Roman"/>
                <w:b/>
                <w:sz w:val="16"/>
                <w:szCs w:val="16"/>
                <w:lang w:val="pt-BR"/>
              </w:rPr>
              <w:t>PUASEE-FA</w:t>
            </w:r>
          </w:p>
        </w:tc>
        <w:tc>
          <w:tcPr>
            <w:tcW w:w="978" w:type="dxa"/>
            <w:tcBorders>
              <w:top w:val="single" w:sz="4" w:space="0" w:color="auto"/>
              <w:left w:val="single" w:sz="4" w:space="0" w:color="auto"/>
              <w:bottom w:val="single" w:sz="4" w:space="0" w:color="auto"/>
              <w:right w:val="single" w:sz="4" w:space="0" w:color="auto"/>
            </w:tcBorders>
            <w:vAlign w:val="center"/>
          </w:tcPr>
          <w:p w:rsidR="00C821BE" w:rsidRPr="002362E3" w:rsidRDefault="00C821BE" w:rsidP="00C821BE">
            <w:pPr>
              <w:autoSpaceDE w:val="0"/>
              <w:autoSpaceDN w:val="0"/>
              <w:adjustRightInd w:val="0"/>
              <w:spacing w:after="0" w:line="276" w:lineRule="auto"/>
              <w:jc w:val="center"/>
              <w:rPr>
                <w:rFonts w:ascii="Times New Roman" w:hAnsi="Times New Roman"/>
                <w:sz w:val="16"/>
                <w:szCs w:val="16"/>
                <w:lang w:val="pt-BR"/>
              </w:rPr>
            </w:pPr>
            <w:r w:rsidRPr="002362E3">
              <w:rPr>
                <w:rFonts w:ascii="Times New Roman" w:hAnsi="Times New Roman"/>
                <w:sz w:val="16"/>
                <w:szCs w:val="16"/>
                <w:lang w:val="pt-BR"/>
              </w:rPr>
              <w:t>No início e continuamente</w:t>
            </w:r>
          </w:p>
        </w:tc>
        <w:tc>
          <w:tcPr>
            <w:tcW w:w="865" w:type="dxa"/>
            <w:tcBorders>
              <w:top w:val="single" w:sz="4" w:space="0" w:color="auto"/>
              <w:left w:val="single" w:sz="4" w:space="0" w:color="auto"/>
              <w:bottom w:val="single" w:sz="4" w:space="0" w:color="auto"/>
              <w:right w:val="single" w:sz="4" w:space="0" w:color="auto"/>
            </w:tcBorders>
            <w:vAlign w:val="center"/>
          </w:tcPr>
          <w:p w:rsidR="00C821BE" w:rsidRPr="002362E3" w:rsidRDefault="00C821BE" w:rsidP="00C821BE">
            <w:pPr>
              <w:autoSpaceDE w:val="0"/>
              <w:autoSpaceDN w:val="0"/>
              <w:adjustRightInd w:val="0"/>
              <w:spacing w:after="0" w:line="276" w:lineRule="auto"/>
              <w:jc w:val="center"/>
              <w:rPr>
                <w:rFonts w:ascii="Times New Roman" w:hAnsi="Times New Roman"/>
                <w:sz w:val="16"/>
                <w:szCs w:val="16"/>
                <w:lang w:val="pt-BR"/>
              </w:rPr>
            </w:pPr>
            <w:r w:rsidRPr="002362E3">
              <w:rPr>
                <w:rFonts w:ascii="Times New Roman" w:hAnsi="Times New Roman"/>
                <w:sz w:val="16"/>
                <w:szCs w:val="16"/>
                <w:lang w:val="pt-BR"/>
              </w:rPr>
              <w:t>Antes de cada reparo de rede</w:t>
            </w:r>
          </w:p>
        </w:tc>
        <w:tc>
          <w:tcPr>
            <w:tcW w:w="1133" w:type="dxa"/>
            <w:tcBorders>
              <w:top w:val="single" w:sz="4" w:space="0" w:color="auto"/>
              <w:left w:val="single" w:sz="4" w:space="0" w:color="auto"/>
              <w:bottom w:val="single" w:sz="4" w:space="0" w:color="auto"/>
              <w:right w:val="single" w:sz="4" w:space="0" w:color="auto"/>
            </w:tcBorders>
            <w:vAlign w:val="center"/>
          </w:tcPr>
          <w:p w:rsidR="00C821BE" w:rsidRPr="002362E3" w:rsidRDefault="00C821BE" w:rsidP="00C821BE">
            <w:pPr>
              <w:autoSpaceDE w:val="0"/>
              <w:autoSpaceDN w:val="0"/>
              <w:adjustRightInd w:val="0"/>
              <w:spacing w:after="0" w:line="276" w:lineRule="auto"/>
              <w:jc w:val="center"/>
              <w:rPr>
                <w:rFonts w:ascii="Times New Roman" w:hAnsi="Times New Roman"/>
                <w:b/>
                <w:sz w:val="16"/>
                <w:szCs w:val="16"/>
                <w:lang w:val="pt-BR"/>
              </w:rPr>
            </w:pPr>
            <w:r w:rsidRPr="002362E3">
              <w:rPr>
                <w:rFonts w:ascii="Times New Roman" w:hAnsi="Times New Roman"/>
                <w:b/>
                <w:sz w:val="16"/>
                <w:szCs w:val="16"/>
                <w:lang w:val="pt-BR"/>
              </w:rPr>
              <w:t>4.000.000</w:t>
            </w:r>
          </w:p>
        </w:tc>
      </w:tr>
      <w:tr w:rsidR="00C821BE" w:rsidRPr="002362E3" w:rsidTr="00C821BE">
        <w:trPr>
          <w:trHeight w:val="678"/>
          <w:jc w:val="center"/>
        </w:trPr>
        <w:tc>
          <w:tcPr>
            <w:tcW w:w="1008" w:type="dxa"/>
            <w:vMerge/>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C821BE" w:rsidRPr="002362E3" w:rsidRDefault="00C821BE" w:rsidP="00C821BE">
            <w:pPr>
              <w:autoSpaceDE w:val="0"/>
              <w:autoSpaceDN w:val="0"/>
              <w:adjustRightInd w:val="0"/>
              <w:spacing w:after="0" w:line="276" w:lineRule="auto"/>
              <w:jc w:val="center"/>
              <w:rPr>
                <w:rFonts w:ascii="Times New Roman" w:hAnsi="Times New Roman"/>
                <w:b/>
                <w:bCs/>
                <w:sz w:val="16"/>
                <w:szCs w:val="16"/>
                <w:lang w:val="pt-BR"/>
              </w:rPr>
            </w:pPr>
          </w:p>
        </w:tc>
        <w:tc>
          <w:tcPr>
            <w:tcW w:w="2386" w:type="dxa"/>
            <w:tcBorders>
              <w:top w:val="single" w:sz="4" w:space="0" w:color="auto"/>
              <w:left w:val="single" w:sz="4" w:space="0" w:color="auto"/>
              <w:bottom w:val="single" w:sz="4" w:space="0" w:color="auto"/>
              <w:right w:val="single" w:sz="4" w:space="0" w:color="auto"/>
            </w:tcBorders>
            <w:vAlign w:val="center"/>
          </w:tcPr>
          <w:p w:rsidR="00C821BE" w:rsidRPr="002362E3" w:rsidRDefault="00C821BE" w:rsidP="00C821BE">
            <w:pPr>
              <w:autoSpaceDE w:val="0"/>
              <w:autoSpaceDN w:val="0"/>
              <w:adjustRightInd w:val="0"/>
              <w:spacing w:after="0" w:line="276" w:lineRule="auto"/>
              <w:jc w:val="both"/>
              <w:rPr>
                <w:rFonts w:ascii="Times New Roman" w:hAnsi="Times New Roman"/>
                <w:sz w:val="16"/>
                <w:szCs w:val="16"/>
                <w:lang w:val="pt-BR"/>
              </w:rPr>
            </w:pPr>
            <w:r w:rsidRPr="002362E3">
              <w:rPr>
                <w:rFonts w:ascii="Times New Roman" w:hAnsi="Times New Roman"/>
                <w:bCs/>
                <w:sz w:val="16"/>
                <w:szCs w:val="16"/>
                <w:lang w:val="pt-BR"/>
              </w:rPr>
              <w:t>Risco de aumento da insalubridade associado à má gestão de águas residuais.</w:t>
            </w:r>
          </w:p>
        </w:tc>
        <w:tc>
          <w:tcPr>
            <w:tcW w:w="4529" w:type="dxa"/>
            <w:tcBorders>
              <w:top w:val="single" w:sz="4" w:space="0" w:color="auto"/>
              <w:left w:val="single" w:sz="4" w:space="0" w:color="auto"/>
              <w:bottom w:val="single" w:sz="4" w:space="0" w:color="auto"/>
              <w:right w:val="single" w:sz="4" w:space="0" w:color="auto"/>
            </w:tcBorders>
            <w:vAlign w:val="center"/>
          </w:tcPr>
          <w:p w:rsidR="00C821BE" w:rsidRPr="002362E3" w:rsidRDefault="00C821BE" w:rsidP="00C821BE">
            <w:pPr>
              <w:spacing w:after="0" w:line="276" w:lineRule="auto"/>
              <w:jc w:val="both"/>
              <w:rPr>
                <w:rFonts w:ascii="Times New Roman" w:hAnsi="Times New Roman"/>
                <w:bCs/>
                <w:sz w:val="16"/>
                <w:szCs w:val="16"/>
                <w:lang w:val="pt-BR"/>
              </w:rPr>
            </w:pPr>
            <w:r w:rsidRPr="002362E3">
              <w:rPr>
                <w:rFonts w:ascii="Times New Roman" w:hAnsi="Times New Roman"/>
                <w:bCs/>
                <w:sz w:val="16"/>
                <w:szCs w:val="16"/>
                <w:lang w:val="pt-BR"/>
              </w:rPr>
              <w:t>- Realizar campanhas de conscientização contra os efeitos negativos do esgoto doméstico despejado na rua;</w:t>
            </w:r>
          </w:p>
          <w:p w:rsidR="00C821BE" w:rsidRPr="002362E3" w:rsidRDefault="00C821BE" w:rsidP="00C821BE">
            <w:pPr>
              <w:spacing w:after="0" w:line="276" w:lineRule="auto"/>
              <w:jc w:val="both"/>
              <w:rPr>
                <w:rFonts w:ascii="Times New Roman" w:hAnsi="Times New Roman"/>
                <w:bCs/>
                <w:sz w:val="16"/>
                <w:szCs w:val="16"/>
                <w:lang w:val="pt-BR"/>
              </w:rPr>
            </w:pPr>
            <w:r w:rsidRPr="002362E3">
              <w:rPr>
                <w:rFonts w:ascii="Times New Roman" w:hAnsi="Times New Roman"/>
                <w:bCs/>
                <w:sz w:val="16"/>
                <w:szCs w:val="16"/>
                <w:lang w:val="pt-BR"/>
              </w:rPr>
              <w:t>-Constituir sistemas de tratamento de efluentes no país;</w:t>
            </w:r>
          </w:p>
          <w:p w:rsidR="00C821BE" w:rsidRPr="002362E3" w:rsidRDefault="00C821BE" w:rsidP="00C821BE">
            <w:pPr>
              <w:spacing w:after="0" w:line="276" w:lineRule="auto"/>
              <w:jc w:val="both"/>
              <w:rPr>
                <w:rFonts w:ascii="Times New Roman" w:hAnsi="Times New Roman"/>
                <w:bCs/>
                <w:sz w:val="16"/>
                <w:szCs w:val="16"/>
                <w:lang w:val="pt-BR"/>
              </w:rPr>
            </w:pPr>
            <w:r w:rsidRPr="002362E3">
              <w:rPr>
                <w:rFonts w:ascii="Times New Roman" w:hAnsi="Times New Roman"/>
                <w:bCs/>
                <w:sz w:val="16"/>
                <w:szCs w:val="16"/>
                <w:lang w:val="pt-BR"/>
              </w:rPr>
              <w:t>- Supervisionar e capacitar os serviços de saneamento, higiene e saúde sobre os riscos existentes;</w:t>
            </w:r>
          </w:p>
          <w:p w:rsidR="00C821BE" w:rsidRPr="002362E3" w:rsidRDefault="00C821BE" w:rsidP="00C821BE">
            <w:pPr>
              <w:spacing w:after="0" w:line="276" w:lineRule="auto"/>
              <w:jc w:val="both"/>
              <w:rPr>
                <w:rFonts w:ascii="Times New Roman" w:hAnsi="Times New Roman"/>
                <w:bCs/>
                <w:sz w:val="16"/>
                <w:szCs w:val="16"/>
                <w:lang w:val="pt-BR"/>
              </w:rPr>
            </w:pPr>
            <w:r w:rsidRPr="002362E3">
              <w:rPr>
                <w:rFonts w:ascii="Times New Roman" w:hAnsi="Times New Roman"/>
                <w:bCs/>
                <w:sz w:val="16"/>
                <w:szCs w:val="16"/>
                <w:lang w:val="pt-BR"/>
              </w:rPr>
              <w:t>-Implementar novas leis e regulamentos adaptados ao nível de saneamento.</w:t>
            </w:r>
          </w:p>
        </w:tc>
        <w:tc>
          <w:tcPr>
            <w:tcW w:w="2845" w:type="dxa"/>
            <w:tcBorders>
              <w:top w:val="single" w:sz="4" w:space="0" w:color="auto"/>
              <w:left w:val="single" w:sz="4" w:space="0" w:color="auto"/>
              <w:bottom w:val="single" w:sz="4" w:space="0" w:color="auto"/>
              <w:right w:val="single" w:sz="4" w:space="0" w:color="auto"/>
            </w:tcBorders>
            <w:vAlign w:val="center"/>
          </w:tcPr>
          <w:p w:rsidR="00C821BE" w:rsidRPr="002362E3" w:rsidRDefault="00C821BE" w:rsidP="00C821BE">
            <w:pPr>
              <w:autoSpaceDE w:val="0"/>
              <w:autoSpaceDN w:val="0"/>
              <w:adjustRightInd w:val="0"/>
              <w:spacing w:after="0" w:line="276" w:lineRule="auto"/>
              <w:jc w:val="both"/>
              <w:rPr>
                <w:rFonts w:ascii="Times New Roman" w:hAnsi="Times New Roman"/>
                <w:sz w:val="16"/>
                <w:szCs w:val="16"/>
                <w:lang w:val="pt-BR"/>
              </w:rPr>
            </w:pPr>
            <w:r w:rsidRPr="002362E3">
              <w:rPr>
                <w:rFonts w:ascii="Times New Roman" w:hAnsi="Times New Roman"/>
                <w:sz w:val="16"/>
                <w:szCs w:val="16"/>
                <w:lang w:val="pt-BR"/>
              </w:rPr>
              <w:t>- Número de campanhas de sensibilização realizadas;</w:t>
            </w:r>
          </w:p>
          <w:p w:rsidR="00C821BE" w:rsidRPr="002362E3" w:rsidRDefault="00C821BE" w:rsidP="00C821BE">
            <w:pPr>
              <w:autoSpaceDE w:val="0"/>
              <w:autoSpaceDN w:val="0"/>
              <w:adjustRightInd w:val="0"/>
              <w:spacing w:after="0" w:line="276" w:lineRule="auto"/>
              <w:jc w:val="both"/>
              <w:rPr>
                <w:rFonts w:ascii="Times New Roman" w:hAnsi="Times New Roman"/>
                <w:sz w:val="16"/>
                <w:szCs w:val="16"/>
                <w:lang w:val="pt-BR"/>
              </w:rPr>
            </w:pPr>
            <w:r w:rsidRPr="002362E3">
              <w:rPr>
                <w:rFonts w:ascii="Times New Roman" w:hAnsi="Times New Roman"/>
                <w:sz w:val="16"/>
                <w:szCs w:val="16"/>
                <w:lang w:val="pt-BR"/>
              </w:rPr>
              <w:t>-Presença de serviço especializado;</w:t>
            </w:r>
          </w:p>
          <w:p w:rsidR="00C821BE" w:rsidRPr="002362E3" w:rsidRDefault="00C821BE" w:rsidP="00C821BE">
            <w:pPr>
              <w:autoSpaceDE w:val="0"/>
              <w:autoSpaceDN w:val="0"/>
              <w:adjustRightInd w:val="0"/>
              <w:spacing w:after="0" w:line="276" w:lineRule="auto"/>
              <w:jc w:val="both"/>
              <w:rPr>
                <w:rFonts w:ascii="Times New Roman" w:hAnsi="Times New Roman"/>
                <w:sz w:val="16"/>
                <w:szCs w:val="16"/>
                <w:lang w:val="pt-BR"/>
              </w:rPr>
            </w:pPr>
            <w:r w:rsidRPr="002362E3">
              <w:rPr>
                <w:rFonts w:ascii="Times New Roman" w:hAnsi="Times New Roman"/>
                <w:sz w:val="16"/>
                <w:szCs w:val="16"/>
                <w:lang w:val="pt-BR"/>
              </w:rPr>
              <w:t>-Número de pessoas supervisionadas e treinadas;</w:t>
            </w:r>
          </w:p>
          <w:p w:rsidR="00C821BE" w:rsidRPr="002362E3" w:rsidRDefault="00C821BE" w:rsidP="00C821BE">
            <w:pPr>
              <w:autoSpaceDE w:val="0"/>
              <w:autoSpaceDN w:val="0"/>
              <w:adjustRightInd w:val="0"/>
              <w:spacing w:after="0" w:line="276" w:lineRule="auto"/>
              <w:jc w:val="both"/>
              <w:rPr>
                <w:rFonts w:ascii="Times New Roman" w:hAnsi="Times New Roman"/>
                <w:sz w:val="16"/>
                <w:szCs w:val="16"/>
                <w:lang w:val="pt-BR"/>
              </w:rPr>
            </w:pPr>
            <w:r w:rsidRPr="002362E3">
              <w:rPr>
                <w:rFonts w:ascii="Times New Roman" w:hAnsi="Times New Roman"/>
                <w:sz w:val="16"/>
                <w:szCs w:val="16"/>
                <w:lang w:val="pt-BR"/>
              </w:rPr>
              <w:t>-Existência de lei ou regulamento;</w:t>
            </w:r>
          </w:p>
        </w:tc>
        <w:tc>
          <w:tcPr>
            <w:tcW w:w="993"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C821BE" w:rsidRPr="002362E3" w:rsidRDefault="00C821BE" w:rsidP="00C821BE">
            <w:pPr>
              <w:autoSpaceDE w:val="0"/>
              <w:autoSpaceDN w:val="0"/>
              <w:adjustRightInd w:val="0"/>
              <w:spacing w:after="0" w:line="276" w:lineRule="auto"/>
              <w:jc w:val="center"/>
              <w:rPr>
                <w:rFonts w:ascii="Times New Roman" w:hAnsi="Times New Roman"/>
                <w:b/>
                <w:sz w:val="16"/>
                <w:szCs w:val="16"/>
                <w:lang w:val="pt-BR"/>
              </w:rPr>
            </w:pPr>
            <w:r w:rsidRPr="002362E3">
              <w:rPr>
                <w:rFonts w:ascii="Times New Roman" w:hAnsi="Times New Roman"/>
                <w:b/>
                <w:sz w:val="16"/>
                <w:szCs w:val="16"/>
                <w:lang w:val="pt-BR"/>
              </w:rPr>
              <w:t>ESTADO</w:t>
            </w:r>
          </w:p>
        </w:tc>
        <w:tc>
          <w:tcPr>
            <w:tcW w:w="1134"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C821BE" w:rsidRPr="002362E3" w:rsidRDefault="00C821BE" w:rsidP="00C821BE">
            <w:pPr>
              <w:autoSpaceDE w:val="0"/>
              <w:autoSpaceDN w:val="0"/>
              <w:adjustRightInd w:val="0"/>
              <w:spacing w:after="0" w:line="276" w:lineRule="auto"/>
              <w:jc w:val="center"/>
              <w:rPr>
                <w:rFonts w:ascii="Times New Roman" w:hAnsi="Times New Roman"/>
                <w:b/>
                <w:sz w:val="16"/>
                <w:szCs w:val="16"/>
                <w:lang w:val="pt-BR"/>
              </w:rPr>
            </w:pPr>
            <w:r w:rsidRPr="002362E3">
              <w:rPr>
                <w:rFonts w:ascii="Times New Roman" w:hAnsi="Times New Roman"/>
                <w:b/>
                <w:sz w:val="16"/>
                <w:szCs w:val="16"/>
                <w:lang w:val="pt-BR"/>
              </w:rPr>
              <w:t>Comitê de Monitoramento</w:t>
            </w:r>
          </w:p>
        </w:tc>
        <w:tc>
          <w:tcPr>
            <w:tcW w:w="978" w:type="dxa"/>
            <w:tcBorders>
              <w:top w:val="single" w:sz="4" w:space="0" w:color="auto"/>
              <w:left w:val="single" w:sz="4" w:space="0" w:color="auto"/>
              <w:bottom w:val="single" w:sz="4" w:space="0" w:color="auto"/>
              <w:right w:val="single" w:sz="4" w:space="0" w:color="auto"/>
            </w:tcBorders>
            <w:vAlign w:val="center"/>
          </w:tcPr>
          <w:p w:rsidR="00C821BE" w:rsidRPr="002362E3" w:rsidRDefault="00C821BE" w:rsidP="00C821BE">
            <w:pPr>
              <w:autoSpaceDE w:val="0"/>
              <w:autoSpaceDN w:val="0"/>
              <w:adjustRightInd w:val="0"/>
              <w:spacing w:after="0" w:line="276" w:lineRule="auto"/>
              <w:jc w:val="center"/>
              <w:rPr>
                <w:rFonts w:ascii="Times New Roman" w:hAnsi="Times New Roman"/>
                <w:sz w:val="16"/>
                <w:szCs w:val="16"/>
                <w:lang w:val="pt-BR"/>
              </w:rPr>
            </w:pPr>
            <w:r w:rsidRPr="002362E3">
              <w:rPr>
                <w:rFonts w:ascii="Times New Roman" w:hAnsi="Times New Roman"/>
                <w:sz w:val="16"/>
                <w:szCs w:val="16"/>
                <w:lang w:val="pt-BR"/>
              </w:rPr>
              <w:t>No início e continuamente</w:t>
            </w:r>
          </w:p>
        </w:tc>
        <w:tc>
          <w:tcPr>
            <w:tcW w:w="865" w:type="dxa"/>
            <w:tcBorders>
              <w:top w:val="single" w:sz="4" w:space="0" w:color="auto"/>
              <w:left w:val="single" w:sz="4" w:space="0" w:color="auto"/>
              <w:bottom w:val="single" w:sz="4" w:space="0" w:color="auto"/>
              <w:right w:val="single" w:sz="4" w:space="0" w:color="auto"/>
            </w:tcBorders>
            <w:vAlign w:val="center"/>
          </w:tcPr>
          <w:p w:rsidR="00C821BE" w:rsidRPr="002362E3" w:rsidRDefault="00C821BE" w:rsidP="00C821BE">
            <w:pPr>
              <w:autoSpaceDE w:val="0"/>
              <w:autoSpaceDN w:val="0"/>
              <w:adjustRightInd w:val="0"/>
              <w:spacing w:after="0" w:line="276" w:lineRule="auto"/>
              <w:jc w:val="center"/>
              <w:rPr>
                <w:rFonts w:ascii="Times New Roman" w:hAnsi="Times New Roman"/>
                <w:sz w:val="16"/>
                <w:szCs w:val="16"/>
                <w:lang w:val="pt-BR"/>
              </w:rPr>
            </w:pPr>
            <w:r w:rsidRPr="002362E3">
              <w:rPr>
                <w:rFonts w:ascii="Times New Roman" w:hAnsi="Times New Roman"/>
                <w:sz w:val="16"/>
                <w:szCs w:val="16"/>
                <w:lang w:val="pt-BR"/>
              </w:rPr>
              <w:t>Três vezes por ano</w:t>
            </w:r>
          </w:p>
        </w:tc>
        <w:tc>
          <w:tcPr>
            <w:tcW w:w="1133" w:type="dxa"/>
            <w:tcBorders>
              <w:top w:val="single" w:sz="4" w:space="0" w:color="auto"/>
              <w:left w:val="single" w:sz="4" w:space="0" w:color="auto"/>
              <w:bottom w:val="single" w:sz="4" w:space="0" w:color="auto"/>
              <w:right w:val="single" w:sz="4" w:space="0" w:color="auto"/>
            </w:tcBorders>
            <w:vAlign w:val="center"/>
          </w:tcPr>
          <w:p w:rsidR="00C821BE" w:rsidRPr="002362E3" w:rsidRDefault="00C821BE" w:rsidP="00C821BE">
            <w:pPr>
              <w:autoSpaceDE w:val="0"/>
              <w:autoSpaceDN w:val="0"/>
              <w:adjustRightInd w:val="0"/>
              <w:spacing w:after="0" w:line="276" w:lineRule="auto"/>
              <w:jc w:val="center"/>
              <w:rPr>
                <w:rFonts w:ascii="Times New Roman" w:hAnsi="Times New Roman"/>
                <w:b/>
                <w:sz w:val="16"/>
                <w:szCs w:val="16"/>
                <w:lang w:val="pt-BR"/>
              </w:rPr>
            </w:pPr>
            <w:r w:rsidRPr="002362E3">
              <w:rPr>
                <w:rFonts w:ascii="Times New Roman" w:hAnsi="Times New Roman"/>
                <w:b/>
                <w:sz w:val="16"/>
                <w:szCs w:val="16"/>
                <w:lang w:val="pt-BR"/>
              </w:rPr>
              <w:t>PM</w:t>
            </w:r>
          </w:p>
        </w:tc>
      </w:tr>
      <w:tr w:rsidR="00C821BE" w:rsidRPr="002362E3" w:rsidTr="00C821BE">
        <w:trPr>
          <w:trHeight w:val="70"/>
          <w:jc w:val="center"/>
        </w:trPr>
        <w:tc>
          <w:tcPr>
            <w:tcW w:w="14738" w:type="dxa"/>
            <w:gridSpan w:val="8"/>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rsidR="00C821BE" w:rsidRPr="002362E3" w:rsidRDefault="00C821BE" w:rsidP="00C821BE">
            <w:pPr>
              <w:autoSpaceDE w:val="0"/>
              <w:autoSpaceDN w:val="0"/>
              <w:adjustRightInd w:val="0"/>
              <w:spacing w:after="0" w:line="276" w:lineRule="auto"/>
              <w:jc w:val="center"/>
              <w:rPr>
                <w:rFonts w:ascii="Times New Roman" w:hAnsi="Times New Roman"/>
                <w:b/>
                <w:bCs/>
                <w:sz w:val="16"/>
                <w:szCs w:val="16"/>
                <w:lang w:val="pt-BR"/>
              </w:rPr>
            </w:pPr>
            <w:r w:rsidRPr="002362E3">
              <w:rPr>
                <w:rFonts w:ascii="Times New Roman" w:hAnsi="Times New Roman"/>
                <w:b/>
                <w:bCs/>
                <w:sz w:val="16"/>
                <w:szCs w:val="16"/>
                <w:lang w:val="pt-BR"/>
              </w:rPr>
              <w:t xml:space="preserve"> TOTAL</w:t>
            </w:r>
          </w:p>
        </w:tc>
        <w:tc>
          <w:tcPr>
            <w:tcW w:w="1133"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rsidR="00C821BE" w:rsidRPr="002362E3" w:rsidRDefault="00C821BE" w:rsidP="00C821BE">
            <w:pPr>
              <w:autoSpaceDE w:val="0"/>
              <w:autoSpaceDN w:val="0"/>
              <w:adjustRightInd w:val="0"/>
              <w:spacing w:after="0" w:line="276" w:lineRule="auto"/>
              <w:jc w:val="center"/>
              <w:rPr>
                <w:rFonts w:ascii="Times New Roman" w:hAnsi="Times New Roman"/>
                <w:b/>
                <w:sz w:val="16"/>
                <w:szCs w:val="16"/>
                <w:lang w:val="pt-BR"/>
              </w:rPr>
            </w:pPr>
            <w:r w:rsidRPr="002362E3">
              <w:rPr>
                <w:rFonts w:ascii="Times New Roman" w:hAnsi="Times New Roman"/>
                <w:b/>
                <w:sz w:val="16"/>
                <w:szCs w:val="16"/>
                <w:lang w:val="pt-BR"/>
              </w:rPr>
              <w:t>8.000.000</w:t>
            </w:r>
          </w:p>
        </w:tc>
      </w:tr>
    </w:tbl>
    <w:p w:rsidR="00C821BE" w:rsidRPr="002362E3" w:rsidRDefault="00C821BE" w:rsidP="00C821BE">
      <w:pPr>
        <w:rPr>
          <w:rFonts w:ascii="Times New Roman" w:hAnsi="Times New Roman"/>
          <w:lang w:val="pt-BR"/>
        </w:rPr>
      </w:pPr>
    </w:p>
    <w:p w:rsidR="00C821BE" w:rsidRPr="002362E3" w:rsidRDefault="00C821BE" w:rsidP="00C821BE">
      <w:pPr>
        <w:pBdr>
          <w:top w:val="single" w:sz="4" w:space="1" w:color="auto"/>
          <w:left w:val="single" w:sz="4" w:space="4" w:color="auto"/>
          <w:bottom w:val="single" w:sz="4" w:space="1" w:color="auto"/>
          <w:right w:val="single" w:sz="4" w:space="31" w:color="auto"/>
        </w:pBdr>
        <w:shd w:val="clear" w:color="auto" w:fill="FFFFFF" w:themeFill="background1"/>
        <w:autoSpaceDE w:val="0"/>
        <w:autoSpaceDN w:val="0"/>
        <w:adjustRightInd w:val="0"/>
        <w:spacing w:after="0" w:line="276" w:lineRule="auto"/>
        <w:jc w:val="center"/>
        <w:rPr>
          <w:rFonts w:ascii="Times New Roman" w:hAnsi="Times New Roman"/>
          <w:b/>
          <w:bCs/>
          <w:color w:val="FF0000"/>
          <w:sz w:val="32"/>
          <w:szCs w:val="32"/>
          <w:lang w:val="pt-BR"/>
        </w:rPr>
      </w:pPr>
      <w:r w:rsidRPr="002362E3">
        <w:rPr>
          <w:rFonts w:ascii="Times New Roman" w:hAnsi="Times New Roman"/>
          <w:b/>
          <w:bCs/>
          <w:color w:val="FF0000"/>
          <w:sz w:val="32"/>
          <w:szCs w:val="32"/>
          <w:lang w:val="pt-BR"/>
        </w:rPr>
        <w:t xml:space="preserve">O CUSTO GERAL DE IMPLEMENTAÇÃO DO ESMP É </w:t>
      </w:r>
    </w:p>
    <w:p w:rsidR="00C821BE" w:rsidRPr="002362E3" w:rsidRDefault="00C821BE" w:rsidP="00C821BE">
      <w:pPr>
        <w:pBdr>
          <w:top w:val="single" w:sz="4" w:space="1" w:color="auto"/>
          <w:left w:val="single" w:sz="4" w:space="4" w:color="auto"/>
          <w:bottom w:val="single" w:sz="4" w:space="1" w:color="auto"/>
          <w:right w:val="single" w:sz="4" w:space="31" w:color="auto"/>
        </w:pBdr>
        <w:shd w:val="clear" w:color="auto" w:fill="FFFFFF" w:themeFill="background1"/>
        <w:autoSpaceDE w:val="0"/>
        <w:autoSpaceDN w:val="0"/>
        <w:adjustRightInd w:val="0"/>
        <w:spacing w:after="0" w:line="276" w:lineRule="auto"/>
        <w:jc w:val="center"/>
        <w:rPr>
          <w:rFonts w:ascii="Times New Roman" w:hAnsi="Times New Roman"/>
          <w:b/>
          <w:bCs/>
          <w:color w:val="FF0000"/>
          <w:sz w:val="32"/>
          <w:szCs w:val="32"/>
          <w:lang w:val="pt-BR"/>
        </w:rPr>
      </w:pPr>
      <w:r w:rsidRPr="002362E3">
        <w:rPr>
          <w:rFonts w:ascii="Times New Roman" w:hAnsi="Times New Roman"/>
          <w:b/>
          <w:bCs/>
          <w:color w:val="FF0000"/>
          <w:sz w:val="32"/>
          <w:szCs w:val="32"/>
          <w:lang w:val="pt-BR"/>
        </w:rPr>
        <w:t>83.750.000 FCFA</w:t>
      </w:r>
    </w:p>
    <w:p w:rsidR="00C821BE" w:rsidRPr="002362E3" w:rsidRDefault="00C821BE" w:rsidP="00C821BE">
      <w:pPr>
        <w:pBdr>
          <w:top w:val="single" w:sz="4" w:space="1" w:color="auto"/>
          <w:left w:val="single" w:sz="4" w:space="4" w:color="auto"/>
          <w:bottom w:val="single" w:sz="4" w:space="1" w:color="auto"/>
          <w:right w:val="single" w:sz="4" w:space="31" w:color="auto"/>
        </w:pBdr>
        <w:shd w:val="clear" w:color="auto" w:fill="FFFFFF" w:themeFill="background1"/>
        <w:autoSpaceDE w:val="0"/>
        <w:autoSpaceDN w:val="0"/>
        <w:adjustRightInd w:val="0"/>
        <w:spacing w:after="0" w:line="276" w:lineRule="auto"/>
        <w:jc w:val="center"/>
        <w:rPr>
          <w:rFonts w:ascii="Times New Roman" w:hAnsi="Times New Roman"/>
          <w:b/>
          <w:bCs/>
          <w:color w:val="FF0000"/>
          <w:sz w:val="32"/>
          <w:szCs w:val="32"/>
          <w:lang w:val="pt-BR"/>
        </w:rPr>
      </w:pPr>
    </w:p>
    <w:p w:rsidR="00C821BE" w:rsidRPr="002362E3" w:rsidRDefault="00C821BE" w:rsidP="00C821BE">
      <w:pPr>
        <w:pBdr>
          <w:top w:val="single" w:sz="4" w:space="1" w:color="auto"/>
          <w:left w:val="single" w:sz="4" w:space="4" w:color="auto"/>
          <w:bottom w:val="single" w:sz="4" w:space="1" w:color="auto"/>
          <w:right w:val="single" w:sz="4" w:space="30" w:color="auto"/>
        </w:pBdr>
        <w:shd w:val="clear" w:color="auto" w:fill="E2EFD9" w:themeFill="accent6" w:themeFillTint="33"/>
        <w:spacing w:after="0" w:line="276" w:lineRule="auto"/>
        <w:jc w:val="center"/>
        <w:rPr>
          <w:rFonts w:ascii="Times New Roman" w:hAnsi="Times New Roman"/>
          <w:b/>
          <w:sz w:val="32"/>
          <w:szCs w:val="32"/>
          <w:u w:val="single"/>
          <w:lang w:val="pt-BR"/>
        </w:rPr>
      </w:pPr>
      <w:r w:rsidRPr="002362E3">
        <w:rPr>
          <w:rFonts w:ascii="Times New Roman" w:hAnsi="Times New Roman"/>
          <w:b/>
          <w:sz w:val="32"/>
          <w:szCs w:val="32"/>
          <w:u w:val="single"/>
          <w:lang w:val="pt-BR"/>
        </w:rPr>
        <w:t>CUSTO ESTIMADO DE MONITORAMENTO DA IMPLEMENTAÇÃO DO ESMP PELO COMITÊ DE MONITORAMENTO ATRAVÉS DO MEMORANDO DE ACORDO COM A PROMOTORA É DE:  27 milhões de francos CFA</w:t>
      </w:r>
    </w:p>
    <w:p w:rsidR="00C821BE" w:rsidRPr="002362E3" w:rsidRDefault="00C821BE" w:rsidP="00C821BE">
      <w:pPr>
        <w:overflowPunct w:val="0"/>
        <w:autoSpaceDE w:val="0"/>
        <w:autoSpaceDN w:val="0"/>
        <w:adjustRightInd w:val="0"/>
        <w:spacing w:after="0" w:line="276" w:lineRule="auto"/>
        <w:rPr>
          <w:rFonts w:ascii="Times New Roman" w:eastAsia="Times New Roman" w:hAnsi="Times New Roman"/>
          <w:b/>
          <w:bCs/>
          <w:sz w:val="20"/>
          <w:szCs w:val="20"/>
          <w:lang w:val="pt-BR" w:eastAsia="fr-FR"/>
        </w:rPr>
        <w:sectPr w:rsidR="00C821BE" w:rsidRPr="002362E3" w:rsidSect="005A6322">
          <w:pgSz w:w="16838" w:h="11906" w:orient="landscape"/>
          <w:pgMar w:top="1418" w:right="1418" w:bottom="1418" w:left="1418" w:header="709" w:footer="709" w:gutter="0"/>
          <w:cols w:space="708"/>
          <w:docGrid w:linePitch="360"/>
        </w:sectPr>
      </w:pPr>
    </w:p>
    <w:p w:rsidR="00C821BE" w:rsidRPr="002362E3" w:rsidRDefault="00C821BE" w:rsidP="00C821BE">
      <w:pPr>
        <w:pStyle w:val="PargrafodaLista"/>
        <w:numPr>
          <w:ilvl w:val="0"/>
          <w:numId w:val="245"/>
        </w:numPr>
        <w:tabs>
          <w:tab w:val="left" w:pos="1418"/>
          <w:tab w:val="left" w:pos="1843"/>
        </w:tabs>
        <w:spacing w:after="0" w:line="240" w:lineRule="auto"/>
        <w:ind w:right="-283"/>
        <w:contextualSpacing w:val="0"/>
        <w:rPr>
          <w:rFonts w:ascii="Times New Roman" w:hAnsi="Times New Roman"/>
          <w:b/>
          <w:bCs/>
          <w:i/>
          <w:sz w:val="22"/>
          <w:szCs w:val="22"/>
          <w:lang w:val="pt-BR"/>
        </w:rPr>
      </w:pPr>
      <w:r w:rsidRPr="002362E3">
        <w:rPr>
          <w:rFonts w:ascii="Times New Roman" w:hAnsi="Times New Roman"/>
          <w:b/>
          <w:bCs/>
          <w:i/>
          <w:sz w:val="22"/>
          <w:szCs w:val="22"/>
          <w:lang w:val="pt-BR"/>
        </w:rPr>
        <w:lastRenderedPageBreak/>
        <w:t>CONSULTA PÚBLICA</w:t>
      </w:r>
    </w:p>
    <w:p w:rsidR="00C821BE" w:rsidRPr="002362E3" w:rsidRDefault="00C821BE" w:rsidP="00C821BE">
      <w:pPr>
        <w:spacing w:after="0" w:line="240" w:lineRule="auto"/>
        <w:ind w:left="-284" w:right="-853"/>
        <w:jc w:val="both"/>
        <w:rPr>
          <w:rFonts w:ascii="Times New Roman" w:hAnsi="Times New Roman" w:cs="Times New Roman"/>
          <w:b/>
          <w:u w:val="single"/>
          <w:lang w:val="pt-BR"/>
        </w:rPr>
      </w:pPr>
      <w:r w:rsidRPr="002362E3">
        <w:rPr>
          <w:rFonts w:ascii="Times New Roman" w:hAnsi="Times New Roman" w:cs="Times New Roman"/>
          <w:lang w:val="pt-BR"/>
        </w:rPr>
        <w:t>As consultas públicas às populações dos municípios beneficiários e seus representantes interessados: os distritos de Prabis, Bor, Hafia, Aeroporto e Antula.</w:t>
      </w:r>
    </w:p>
    <w:p w:rsidR="00C821BE" w:rsidRPr="002362E3" w:rsidRDefault="00C821BE" w:rsidP="00C821BE">
      <w:pPr>
        <w:spacing w:line="240" w:lineRule="auto"/>
        <w:ind w:left="-284" w:right="-853"/>
        <w:jc w:val="both"/>
        <w:rPr>
          <w:rFonts w:ascii="Times New Roman" w:hAnsi="Times New Roman" w:cs="Times New Roman"/>
          <w:b/>
          <w:u w:val="single"/>
          <w:lang w:val="pt-BR"/>
        </w:rPr>
      </w:pPr>
      <w:r w:rsidRPr="002362E3">
        <w:rPr>
          <w:rFonts w:ascii="Times New Roman" w:hAnsi="Times New Roman" w:cs="Times New Roman"/>
          <w:lang w:val="pt-BR"/>
        </w:rPr>
        <w:t>De forma muito ampla e geral, durante as consultas públicas, constatou-se uma forte aceitação social do projeto pelas populações consultadas. Segundo eles, o PUASEE atende a uma demanda socioambiental e de urbanização expressa há anos por populações que sofrem com a falta de água potável e iluminação pública. As populações e lideranças de seus bairros reunidas durante as assembleias de consulta mostraram um claro entendimento das questões ambientais e sociais do projeto e estão prontas para dar uma mão para alcançar os objetivos. As populações têm uma grande esperança de ver as atividades e componentes planejados no projeto se materializarem rapidamente, a fim de se beneficiar de um ambiente de vida melhorado com novas construções, reabilitação e extensão das redes de água e eletricidade. Na maioria das vezes, as populações e as autoridades eleitas locais acreditam que a gestão dos problemas de água e eletricidade é uma questão urgente para garantir a sustentabilidade dos bairros.</w:t>
      </w:r>
    </w:p>
    <w:p w:rsidR="00C821BE" w:rsidRPr="002362E3" w:rsidRDefault="00C821BE" w:rsidP="00C821BE">
      <w:pPr>
        <w:pStyle w:val="PargrafodaLista"/>
        <w:numPr>
          <w:ilvl w:val="0"/>
          <w:numId w:val="245"/>
        </w:numPr>
        <w:tabs>
          <w:tab w:val="left" w:pos="1418"/>
          <w:tab w:val="left" w:pos="1843"/>
        </w:tabs>
        <w:spacing w:before="240" w:after="0" w:line="240" w:lineRule="auto"/>
        <w:ind w:right="-283"/>
        <w:contextualSpacing w:val="0"/>
        <w:rPr>
          <w:rFonts w:ascii="Times New Roman" w:hAnsi="Times New Roman"/>
          <w:b/>
          <w:bCs/>
          <w:i/>
          <w:sz w:val="22"/>
          <w:szCs w:val="22"/>
          <w:lang w:val="pt-BR"/>
        </w:rPr>
      </w:pPr>
      <w:r w:rsidRPr="002362E3">
        <w:rPr>
          <w:rFonts w:ascii="Times New Roman" w:hAnsi="Times New Roman"/>
          <w:b/>
          <w:bCs/>
          <w:i/>
          <w:sz w:val="22"/>
          <w:szCs w:val="22"/>
          <w:lang w:val="pt-BR"/>
        </w:rPr>
        <w:t>PLANO DE GESTÃO DE RESÍDUOS</w:t>
      </w:r>
    </w:p>
    <w:p w:rsidR="00C821BE" w:rsidRPr="002362E3" w:rsidRDefault="00C821BE" w:rsidP="00C821BE">
      <w:pPr>
        <w:spacing w:line="240" w:lineRule="auto"/>
        <w:ind w:left="-284" w:right="-853"/>
        <w:jc w:val="both"/>
        <w:rPr>
          <w:rFonts w:ascii="Times New Roman" w:hAnsi="Times New Roman" w:cs="Times New Roman"/>
          <w:lang w:val="pt-BR"/>
        </w:rPr>
      </w:pPr>
      <w:r w:rsidRPr="002362E3">
        <w:rPr>
          <w:rFonts w:ascii="Times New Roman" w:hAnsi="Times New Roman" w:cs="Times New Roman"/>
          <w:lang w:val="pt-BR"/>
        </w:rPr>
        <w:t>Muitas vezes, durante as obras, as atividades das empresas estão na origem da produção de grandes quantidades de resíduos sólidos e líquidos (destruição de edifícios, derrubada de árvores, produção de resíduos plásticos, madeira, papelão, baterias usados, óleo de motor, peças sobressalentes mecânicas, derramamentos de betume e todos os tipos de resíduos perigosos ou especiais) e que devem ser gerenciados com cuidado. Esses resíduos são somados aos já produzidos pelas populações vizinhas.</w:t>
      </w:r>
    </w:p>
    <w:p w:rsidR="00C821BE" w:rsidRPr="002362E3" w:rsidRDefault="00C821BE" w:rsidP="00C821BE">
      <w:pPr>
        <w:spacing w:line="240" w:lineRule="auto"/>
        <w:ind w:left="-284" w:right="-853"/>
        <w:jc w:val="both"/>
        <w:rPr>
          <w:rFonts w:ascii="Times New Roman" w:hAnsi="Times New Roman" w:cs="Times New Roman"/>
          <w:lang w:val="pt-BR"/>
        </w:rPr>
      </w:pPr>
      <w:r w:rsidRPr="002362E3">
        <w:rPr>
          <w:rFonts w:ascii="Times New Roman" w:hAnsi="Times New Roman" w:cs="Times New Roman"/>
          <w:lang w:val="pt-BR"/>
        </w:rPr>
        <w:t>Assim, para uma gestão ambientalmente correta desses resíduos, durante a obra, várias recomendações e sugestões são feitas.</w:t>
      </w:r>
    </w:p>
    <w:p w:rsidR="00C821BE" w:rsidRPr="002362E3" w:rsidRDefault="00C821BE" w:rsidP="00C821BE">
      <w:pPr>
        <w:pStyle w:val="PargrafodaLista"/>
        <w:numPr>
          <w:ilvl w:val="0"/>
          <w:numId w:val="245"/>
        </w:numPr>
        <w:tabs>
          <w:tab w:val="left" w:pos="1418"/>
          <w:tab w:val="left" w:pos="1843"/>
        </w:tabs>
        <w:spacing w:after="0" w:line="240" w:lineRule="auto"/>
        <w:ind w:right="-283"/>
        <w:contextualSpacing w:val="0"/>
        <w:rPr>
          <w:rFonts w:ascii="Times New Roman" w:hAnsi="Times New Roman"/>
          <w:b/>
          <w:bCs/>
          <w:i/>
          <w:sz w:val="22"/>
          <w:szCs w:val="22"/>
          <w:lang w:val="pt-BR"/>
        </w:rPr>
      </w:pPr>
      <w:r w:rsidRPr="002362E3">
        <w:rPr>
          <w:rFonts w:ascii="Times New Roman" w:hAnsi="Times New Roman"/>
          <w:b/>
          <w:bCs/>
          <w:i/>
          <w:sz w:val="22"/>
          <w:szCs w:val="22"/>
          <w:lang w:val="pt-BR"/>
        </w:rPr>
        <w:t xml:space="preserve">GESTÃO DA VIOLÊNCIA BASEADA NO GÉNERO (GBV) </w:t>
      </w:r>
    </w:p>
    <w:p w:rsidR="00C821BE" w:rsidRPr="002362E3" w:rsidRDefault="00C821BE" w:rsidP="00C821BE">
      <w:pPr>
        <w:spacing w:line="240" w:lineRule="auto"/>
        <w:ind w:left="-284" w:right="-853"/>
        <w:jc w:val="both"/>
        <w:rPr>
          <w:rFonts w:ascii="Times New Roman" w:hAnsi="Times New Roman" w:cs="Times New Roman"/>
          <w:lang w:val="pt-BR"/>
        </w:rPr>
      </w:pPr>
      <w:r w:rsidRPr="002362E3">
        <w:rPr>
          <w:rFonts w:ascii="Times New Roman" w:hAnsi="Times New Roman" w:cs="Times New Roman"/>
          <w:lang w:val="pt-BR"/>
        </w:rPr>
        <w:t>A sacralização da dignidade humana exige grande importância. Como resultado, nenhum tratamento desumano e cruel pode ser tolerado e certos atos de barbárie são severamente punidos:</w:t>
      </w:r>
    </w:p>
    <w:p w:rsidR="00C821BE" w:rsidRPr="002362E3" w:rsidRDefault="00C821BE" w:rsidP="00C821BE">
      <w:pPr>
        <w:pStyle w:val="Listecouleur-Accent11"/>
        <w:numPr>
          <w:ilvl w:val="0"/>
          <w:numId w:val="253"/>
        </w:numPr>
        <w:ind w:left="851" w:right="-283"/>
        <w:rPr>
          <w:rFonts w:ascii="Times New Roman" w:hAnsi="Times New Roman"/>
          <w:sz w:val="20"/>
          <w:szCs w:val="20"/>
          <w:lang w:val="pt-BR"/>
        </w:rPr>
      </w:pPr>
      <w:r w:rsidRPr="002362E3">
        <w:rPr>
          <w:rFonts w:ascii="Times New Roman" w:hAnsi="Times New Roman"/>
          <w:sz w:val="20"/>
          <w:szCs w:val="20"/>
          <w:lang w:val="pt-BR"/>
        </w:rPr>
        <w:t>Assédio moral</w:t>
      </w:r>
    </w:p>
    <w:p w:rsidR="00C821BE" w:rsidRPr="002362E3" w:rsidRDefault="00C821BE" w:rsidP="00C821BE">
      <w:pPr>
        <w:pStyle w:val="Listecouleur-Accent11"/>
        <w:numPr>
          <w:ilvl w:val="0"/>
          <w:numId w:val="253"/>
        </w:numPr>
        <w:ind w:left="851" w:right="-283"/>
        <w:rPr>
          <w:rFonts w:ascii="Times New Roman" w:hAnsi="Times New Roman"/>
          <w:sz w:val="20"/>
          <w:szCs w:val="20"/>
          <w:lang w:val="pt-BR"/>
        </w:rPr>
      </w:pPr>
      <w:r w:rsidRPr="002362E3">
        <w:rPr>
          <w:rFonts w:ascii="Times New Roman" w:hAnsi="Times New Roman"/>
          <w:sz w:val="20"/>
          <w:szCs w:val="20"/>
          <w:lang w:val="pt-BR"/>
        </w:rPr>
        <w:t>Violência física</w:t>
      </w:r>
    </w:p>
    <w:p w:rsidR="00C821BE" w:rsidRPr="002362E3" w:rsidRDefault="00C821BE" w:rsidP="00C821BE">
      <w:pPr>
        <w:pStyle w:val="Listecouleur-Accent11"/>
        <w:numPr>
          <w:ilvl w:val="0"/>
          <w:numId w:val="253"/>
        </w:numPr>
        <w:ind w:left="851" w:right="-283"/>
        <w:rPr>
          <w:rFonts w:ascii="Times New Roman" w:hAnsi="Times New Roman"/>
          <w:sz w:val="20"/>
          <w:szCs w:val="20"/>
          <w:lang w:val="pt-BR"/>
        </w:rPr>
      </w:pPr>
      <w:r w:rsidRPr="002362E3">
        <w:rPr>
          <w:rFonts w:ascii="Times New Roman" w:hAnsi="Times New Roman"/>
          <w:sz w:val="20"/>
          <w:szCs w:val="20"/>
          <w:lang w:val="pt-BR"/>
        </w:rPr>
        <w:t>Pimp, assédio e violência sexual e pedofilia</w:t>
      </w:r>
    </w:p>
    <w:p w:rsidR="00C821BE" w:rsidRPr="002362E3" w:rsidRDefault="00C821BE" w:rsidP="00C821BE">
      <w:pPr>
        <w:pStyle w:val="Listecouleur-Accent11"/>
        <w:numPr>
          <w:ilvl w:val="0"/>
          <w:numId w:val="253"/>
        </w:numPr>
        <w:ind w:left="851" w:right="-283"/>
        <w:rPr>
          <w:rFonts w:ascii="Times New Roman" w:hAnsi="Times New Roman"/>
          <w:sz w:val="20"/>
          <w:szCs w:val="20"/>
          <w:lang w:val="pt-BR"/>
        </w:rPr>
      </w:pPr>
      <w:r w:rsidRPr="002362E3">
        <w:rPr>
          <w:rFonts w:ascii="Times New Roman" w:hAnsi="Times New Roman"/>
          <w:sz w:val="20"/>
          <w:szCs w:val="20"/>
          <w:lang w:val="pt-BR"/>
        </w:rPr>
        <w:t>Da exploração de crianças</w:t>
      </w:r>
    </w:p>
    <w:p w:rsidR="00C821BE" w:rsidRPr="002362E3" w:rsidRDefault="00C821BE" w:rsidP="00C821BE">
      <w:pPr>
        <w:pStyle w:val="Listecouleur-Accent11"/>
        <w:numPr>
          <w:ilvl w:val="0"/>
          <w:numId w:val="253"/>
        </w:numPr>
        <w:ind w:left="851" w:right="-283"/>
        <w:rPr>
          <w:rFonts w:ascii="Times New Roman" w:hAnsi="Times New Roman"/>
          <w:sz w:val="20"/>
          <w:szCs w:val="20"/>
          <w:lang w:val="pt-BR"/>
        </w:rPr>
      </w:pPr>
      <w:r w:rsidRPr="002362E3">
        <w:rPr>
          <w:rFonts w:ascii="Times New Roman" w:hAnsi="Times New Roman"/>
          <w:sz w:val="20"/>
          <w:szCs w:val="20"/>
          <w:lang w:val="pt-BR"/>
        </w:rPr>
        <w:t>Etc.</w:t>
      </w:r>
    </w:p>
    <w:p w:rsidR="00C821BE" w:rsidRPr="002362E3" w:rsidRDefault="00C821BE" w:rsidP="00C821BE">
      <w:pPr>
        <w:spacing w:after="0" w:line="240" w:lineRule="auto"/>
        <w:ind w:left="-284" w:right="-853"/>
        <w:jc w:val="both"/>
        <w:rPr>
          <w:rFonts w:ascii="Times New Roman" w:hAnsi="Times New Roman" w:cs="Times New Roman"/>
          <w:lang w:val="pt-BR"/>
        </w:rPr>
      </w:pPr>
      <w:r w:rsidRPr="002362E3">
        <w:rPr>
          <w:rFonts w:ascii="Times New Roman" w:hAnsi="Times New Roman" w:cs="Times New Roman"/>
          <w:lang w:val="pt-BR"/>
        </w:rPr>
        <w:t>No combate à violência de gênero, a empresa pode priorizar as seguintes ações:</w:t>
      </w:r>
    </w:p>
    <w:p w:rsidR="00C821BE" w:rsidRPr="002362E3" w:rsidRDefault="00C821BE" w:rsidP="00C821BE">
      <w:pPr>
        <w:pStyle w:val="Listecouleur-Accent11"/>
        <w:numPr>
          <w:ilvl w:val="0"/>
          <w:numId w:val="253"/>
        </w:numPr>
        <w:ind w:left="851" w:right="-283"/>
        <w:rPr>
          <w:rFonts w:ascii="Times New Roman" w:hAnsi="Times New Roman"/>
          <w:sz w:val="20"/>
          <w:szCs w:val="20"/>
          <w:lang w:val="pt-BR"/>
        </w:rPr>
      </w:pPr>
      <w:r w:rsidRPr="002362E3">
        <w:rPr>
          <w:rFonts w:ascii="Times New Roman" w:hAnsi="Times New Roman"/>
          <w:sz w:val="20"/>
          <w:szCs w:val="20"/>
          <w:lang w:val="pt-BR"/>
        </w:rPr>
        <w:t>Apoiar programas que integram a mobilização comunitária para a VBG;</w:t>
      </w:r>
    </w:p>
    <w:p w:rsidR="00C821BE" w:rsidRPr="002362E3" w:rsidRDefault="00C821BE" w:rsidP="00C821BE">
      <w:pPr>
        <w:pStyle w:val="Listecouleur-Accent11"/>
        <w:numPr>
          <w:ilvl w:val="0"/>
          <w:numId w:val="253"/>
        </w:numPr>
        <w:ind w:left="851" w:right="-283"/>
        <w:rPr>
          <w:rFonts w:ascii="Times New Roman" w:hAnsi="Times New Roman"/>
          <w:sz w:val="20"/>
          <w:szCs w:val="20"/>
          <w:lang w:val="pt-BR"/>
        </w:rPr>
      </w:pPr>
      <w:r w:rsidRPr="002362E3">
        <w:rPr>
          <w:rFonts w:ascii="Times New Roman" w:hAnsi="Times New Roman"/>
          <w:sz w:val="20"/>
          <w:szCs w:val="20"/>
          <w:lang w:val="pt-BR"/>
        </w:rPr>
        <w:t>No nível comunitário, apoiar atividades destinadas a reduzir a tolerância à violência envolvendo todos os homens;</w:t>
      </w:r>
    </w:p>
    <w:p w:rsidR="00C821BE" w:rsidRPr="002362E3" w:rsidRDefault="00C821BE" w:rsidP="00C821BE">
      <w:pPr>
        <w:spacing w:after="0" w:line="240" w:lineRule="auto"/>
        <w:ind w:left="-284" w:right="-853"/>
        <w:jc w:val="both"/>
        <w:rPr>
          <w:rFonts w:ascii="Times New Roman" w:hAnsi="Times New Roman" w:cs="Times New Roman"/>
          <w:lang w:val="pt-BR"/>
        </w:rPr>
      </w:pPr>
      <w:r w:rsidRPr="002362E3">
        <w:rPr>
          <w:rFonts w:ascii="Times New Roman" w:hAnsi="Times New Roman" w:cs="Times New Roman"/>
          <w:lang w:val="pt-BR"/>
        </w:rPr>
        <w:t>Apoiar atividades com ampla representação da comunidade de base;</w:t>
      </w:r>
    </w:p>
    <w:p w:rsidR="00C821BE" w:rsidRPr="002362E3" w:rsidRDefault="00C821BE" w:rsidP="00C821BE">
      <w:pPr>
        <w:pStyle w:val="Listecouleur-Accent11"/>
        <w:numPr>
          <w:ilvl w:val="0"/>
          <w:numId w:val="253"/>
        </w:numPr>
        <w:ind w:left="851" w:right="-283"/>
        <w:rPr>
          <w:rFonts w:ascii="Times New Roman" w:hAnsi="Times New Roman"/>
          <w:sz w:val="20"/>
          <w:szCs w:val="20"/>
          <w:lang w:val="pt-BR"/>
        </w:rPr>
      </w:pPr>
      <w:r w:rsidRPr="002362E3">
        <w:rPr>
          <w:rFonts w:ascii="Times New Roman" w:hAnsi="Times New Roman"/>
          <w:sz w:val="20"/>
          <w:szCs w:val="20"/>
          <w:lang w:val="pt-BR"/>
        </w:rPr>
        <w:t>Apoiar funcionários eleitos locais e regionais na criação de parcerias com ONGs na luta em nível comunitário;</w:t>
      </w:r>
    </w:p>
    <w:p w:rsidR="00C821BE" w:rsidRPr="002362E3" w:rsidRDefault="00C821BE" w:rsidP="00C821BE">
      <w:pPr>
        <w:pStyle w:val="Listecouleur-Accent11"/>
        <w:numPr>
          <w:ilvl w:val="0"/>
          <w:numId w:val="253"/>
        </w:numPr>
        <w:ind w:left="851" w:right="-283"/>
        <w:rPr>
          <w:rFonts w:ascii="Times New Roman" w:hAnsi="Times New Roman"/>
          <w:sz w:val="20"/>
          <w:szCs w:val="20"/>
          <w:lang w:val="pt-BR"/>
        </w:rPr>
      </w:pPr>
      <w:r w:rsidRPr="002362E3">
        <w:rPr>
          <w:rFonts w:ascii="Times New Roman" w:hAnsi="Times New Roman"/>
          <w:sz w:val="20"/>
          <w:szCs w:val="20"/>
          <w:lang w:val="pt-BR"/>
        </w:rPr>
        <w:t>Apoiar a mobilização da comunidade para melhorar o acesso dos sobreviventes aos serviços;</w:t>
      </w:r>
    </w:p>
    <w:p w:rsidR="00C821BE" w:rsidRPr="002362E3" w:rsidRDefault="00C821BE" w:rsidP="00C821BE">
      <w:pPr>
        <w:pStyle w:val="Listecouleur-Accent11"/>
        <w:numPr>
          <w:ilvl w:val="0"/>
          <w:numId w:val="253"/>
        </w:numPr>
        <w:ind w:left="851" w:right="-283"/>
        <w:rPr>
          <w:rFonts w:ascii="Times New Roman" w:hAnsi="Times New Roman"/>
          <w:sz w:val="20"/>
          <w:szCs w:val="20"/>
          <w:lang w:val="pt-BR"/>
        </w:rPr>
      </w:pPr>
      <w:r w:rsidRPr="002362E3">
        <w:rPr>
          <w:rFonts w:ascii="Times New Roman" w:hAnsi="Times New Roman"/>
          <w:sz w:val="20"/>
          <w:szCs w:val="20"/>
          <w:lang w:val="pt-BR"/>
        </w:rPr>
        <w:t>Apoiar financeiramente e em longo prazo as atividades de mobilização comunitária para a obtenção de resultados consideravelmente positivos.</w:t>
      </w:r>
    </w:p>
    <w:p w:rsidR="00C821BE" w:rsidRPr="002362E3" w:rsidRDefault="00C821BE" w:rsidP="00C821BE">
      <w:pPr>
        <w:pStyle w:val="Listecouleur-Accent11"/>
        <w:numPr>
          <w:ilvl w:val="0"/>
          <w:numId w:val="253"/>
        </w:numPr>
        <w:ind w:left="851" w:right="-283"/>
        <w:rPr>
          <w:rFonts w:ascii="Times New Roman" w:hAnsi="Times New Roman"/>
          <w:sz w:val="20"/>
          <w:szCs w:val="20"/>
          <w:lang w:val="pt-BR"/>
        </w:rPr>
      </w:pPr>
      <w:r w:rsidRPr="002362E3">
        <w:rPr>
          <w:rFonts w:ascii="Times New Roman" w:hAnsi="Times New Roman"/>
          <w:sz w:val="20"/>
          <w:szCs w:val="20"/>
          <w:lang w:val="pt-BR"/>
        </w:rPr>
        <w:t>Etc.</w:t>
      </w:r>
    </w:p>
    <w:p w:rsidR="00C821BE" w:rsidRPr="002362E3" w:rsidRDefault="00C821BE" w:rsidP="00C821BE">
      <w:pPr>
        <w:spacing w:after="0" w:line="240" w:lineRule="auto"/>
        <w:ind w:left="-284" w:right="-283"/>
        <w:jc w:val="both"/>
        <w:rPr>
          <w:rFonts w:ascii="Times New Roman" w:hAnsi="Times New Roman"/>
          <w:sz w:val="20"/>
          <w:szCs w:val="20"/>
          <w:lang w:val="pt-BR"/>
        </w:rPr>
      </w:pPr>
    </w:p>
    <w:p w:rsidR="00C821BE" w:rsidRPr="002362E3" w:rsidRDefault="00C821BE" w:rsidP="00C821BE">
      <w:pPr>
        <w:pStyle w:val="PargrafodaLista"/>
        <w:numPr>
          <w:ilvl w:val="0"/>
          <w:numId w:val="245"/>
        </w:numPr>
        <w:tabs>
          <w:tab w:val="left" w:pos="1418"/>
          <w:tab w:val="left" w:pos="1843"/>
        </w:tabs>
        <w:spacing w:after="0" w:line="240" w:lineRule="auto"/>
        <w:ind w:right="-283"/>
        <w:contextualSpacing w:val="0"/>
        <w:rPr>
          <w:rFonts w:ascii="Times New Roman" w:hAnsi="Times New Roman"/>
          <w:b/>
          <w:bCs/>
          <w:i/>
          <w:sz w:val="22"/>
          <w:szCs w:val="22"/>
          <w:lang w:val="pt-BR"/>
        </w:rPr>
      </w:pPr>
      <w:r w:rsidRPr="002362E3">
        <w:rPr>
          <w:rFonts w:ascii="Times New Roman" w:hAnsi="Times New Roman"/>
          <w:b/>
          <w:bCs/>
          <w:i/>
          <w:sz w:val="22"/>
          <w:szCs w:val="22"/>
          <w:lang w:val="pt-BR"/>
        </w:rPr>
        <w:t>MECANISMO DE GESTÃO DE RECLAMAÇÕES</w:t>
      </w:r>
    </w:p>
    <w:p w:rsidR="00C821BE" w:rsidRPr="002362E3" w:rsidRDefault="00C821BE" w:rsidP="00C821BE">
      <w:pPr>
        <w:spacing w:line="240" w:lineRule="auto"/>
        <w:ind w:left="-284" w:right="-853"/>
        <w:jc w:val="both"/>
        <w:rPr>
          <w:rFonts w:ascii="Times New Roman" w:hAnsi="Times New Roman" w:cs="Times New Roman"/>
          <w:lang w:val="pt-BR"/>
        </w:rPr>
      </w:pPr>
      <w:r w:rsidRPr="002362E3">
        <w:rPr>
          <w:rFonts w:ascii="Times New Roman" w:hAnsi="Times New Roman" w:cs="Times New Roman"/>
          <w:lang w:val="pt-BR"/>
        </w:rPr>
        <w:t>Este mecanismo justifica-se pelo facto de na implementação das obras e das respectivas medidas compensatórias poderem surgir diversos conflitos. Esses conflitos podem estar relacionados aos seguintes problemas:</w:t>
      </w:r>
    </w:p>
    <w:p w:rsidR="00C821BE" w:rsidRPr="002362E3" w:rsidRDefault="00C821BE" w:rsidP="00C821BE">
      <w:pPr>
        <w:pStyle w:val="Listecouleur-Accent12"/>
        <w:numPr>
          <w:ilvl w:val="0"/>
          <w:numId w:val="89"/>
        </w:numPr>
        <w:spacing w:after="0" w:line="240" w:lineRule="auto"/>
        <w:ind w:right="-850"/>
        <w:jc w:val="both"/>
        <w:rPr>
          <w:rFonts w:ascii="Times New Roman" w:hAnsi="Times New Roman"/>
          <w:sz w:val="20"/>
          <w:szCs w:val="20"/>
          <w:lang w:val="pt-BR"/>
        </w:rPr>
      </w:pPr>
      <w:r w:rsidRPr="002362E3">
        <w:rPr>
          <w:rFonts w:ascii="Times New Roman" w:hAnsi="Times New Roman"/>
          <w:sz w:val="20"/>
          <w:szCs w:val="20"/>
          <w:lang w:val="pt-BR"/>
        </w:rPr>
        <w:t>erro na identificação dos PAPs;</w:t>
      </w:r>
    </w:p>
    <w:p w:rsidR="00C821BE" w:rsidRPr="002362E3" w:rsidRDefault="00C821BE" w:rsidP="00C821BE">
      <w:pPr>
        <w:pStyle w:val="Listecouleur-Accent12"/>
        <w:numPr>
          <w:ilvl w:val="0"/>
          <w:numId w:val="89"/>
        </w:numPr>
        <w:spacing w:after="0" w:line="240" w:lineRule="auto"/>
        <w:ind w:right="-850"/>
        <w:jc w:val="both"/>
        <w:rPr>
          <w:rFonts w:ascii="Times New Roman" w:hAnsi="Times New Roman"/>
          <w:sz w:val="20"/>
          <w:szCs w:val="20"/>
          <w:lang w:val="pt-BR"/>
        </w:rPr>
      </w:pPr>
      <w:r w:rsidRPr="002362E3">
        <w:rPr>
          <w:rFonts w:ascii="Times New Roman" w:hAnsi="Times New Roman"/>
          <w:sz w:val="20"/>
          <w:szCs w:val="20"/>
          <w:lang w:val="pt-BR"/>
        </w:rPr>
        <w:t>erro na avaliação dos ativos do PAP;</w:t>
      </w:r>
    </w:p>
    <w:p w:rsidR="00C821BE" w:rsidRPr="002362E3" w:rsidRDefault="00C821BE" w:rsidP="00C821BE">
      <w:pPr>
        <w:pStyle w:val="Listecouleur-Accent12"/>
        <w:numPr>
          <w:ilvl w:val="0"/>
          <w:numId w:val="89"/>
        </w:numPr>
        <w:spacing w:after="0" w:line="240" w:lineRule="auto"/>
        <w:ind w:right="-850"/>
        <w:jc w:val="both"/>
        <w:rPr>
          <w:rFonts w:ascii="Times New Roman" w:hAnsi="Times New Roman"/>
          <w:sz w:val="20"/>
          <w:szCs w:val="20"/>
          <w:lang w:val="pt-BR"/>
        </w:rPr>
      </w:pPr>
      <w:r w:rsidRPr="002362E3">
        <w:rPr>
          <w:rFonts w:ascii="Times New Roman" w:hAnsi="Times New Roman"/>
          <w:sz w:val="20"/>
          <w:szCs w:val="20"/>
          <w:lang w:val="pt-BR"/>
        </w:rPr>
        <w:t>conflito de propriedade ou de título de herança, na sequência de divórcio, conflito de herdeiros;</w:t>
      </w:r>
    </w:p>
    <w:p w:rsidR="00C821BE" w:rsidRPr="002362E3" w:rsidRDefault="00C821BE" w:rsidP="00C821BE">
      <w:pPr>
        <w:pStyle w:val="Listecouleur-Accent12"/>
        <w:numPr>
          <w:ilvl w:val="0"/>
          <w:numId w:val="89"/>
        </w:numPr>
        <w:spacing w:after="0" w:line="240" w:lineRule="auto"/>
        <w:ind w:right="-850"/>
        <w:jc w:val="both"/>
        <w:rPr>
          <w:rFonts w:ascii="Times New Roman" w:hAnsi="Times New Roman"/>
          <w:sz w:val="20"/>
          <w:szCs w:val="20"/>
          <w:lang w:val="pt-BR"/>
        </w:rPr>
      </w:pPr>
      <w:r w:rsidRPr="002362E3">
        <w:rPr>
          <w:rFonts w:ascii="Times New Roman" w:hAnsi="Times New Roman"/>
          <w:sz w:val="20"/>
          <w:szCs w:val="20"/>
          <w:lang w:val="pt-BR"/>
        </w:rPr>
        <w:t>discrepâncias na aquisição e ocupação de terras;</w:t>
      </w:r>
    </w:p>
    <w:p w:rsidR="00C821BE" w:rsidRPr="002362E3" w:rsidRDefault="00C821BE" w:rsidP="00C821BE">
      <w:pPr>
        <w:pStyle w:val="Listecouleur-Accent12"/>
        <w:numPr>
          <w:ilvl w:val="0"/>
          <w:numId w:val="89"/>
        </w:numPr>
        <w:spacing w:after="0" w:line="240" w:lineRule="auto"/>
        <w:ind w:right="-850"/>
        <w:jc w:val="both"/>
        <w:rPr>
          <w:rFonts w:ascii="Times New Roman" w:hAnsi="Times New Roman"/>
          <w:sz w:val="20"/>
          <w:szCs w:val="20"/>
          <w:lang w:val="pt-BR"/>
        </w:rPr>
      </w:pPr>
      <w:r w:rsidRPr="002362E3">
        <w:rPr>
          <w:rFonts w:ascii="Times New Roman" w:hAnsi="Times New Roman"/>
          <w:sz w:val="20"/>
          <w:szCs w:val="20"/>
          <w:lang w:val="pt-BR"/>
        </w:rPr>
        <w:t>dano a uma atividade comercial de um residente local;</w:t>
      </w:r>
    </w:p>
    <w:p w:rsidR="00C821BE" w:rsidRPr="002362E3" w:rsidRDefault="00C821BE" w:rsidP="00C821BE">
      <w:pPr>
        <w:pStyle w:val="Listecouleur-Accent12"/>
        <w:numPr>
          <w:ilvl w:val="0"/>
          <w:numId w:val="89"/>
        </w:numPr>
        <w:spacing w:after="0" w:line="240" w:lineRule="auto"/>
        <w:ind w:right="-850"/>
        <w:jc w:val="both"/>
        <w:rPr>
          <w:rFonts w:ascii="Times New Roman" w:hAnsi="Times New Roman"/>
          <w:sz w:val="20"/>
          <w:szCs w:val="20"/>
          <w:lang w:val="pt-BR"/>
        </w:rPr>
      </w:pPr>
      <w:r w:rsidRPr="002362E3">
        <w:rPr>
          <w:rFonts w:ascii="Times New Roman" w:hAnsi="Times New Roman"/>
          <w:sz w:val="20"/>
          <w:szCs w:val="20"/>
          <w:lang w:val="pt-BR"/>
        </w:rPr>
        <w:t>degradação da propriedade além da faixa de domínio do projeto;</w:t>
      </w:r>
    </w:p>
    <w:p w:rsidR="00C821BE" w:rsidRPr="002362E3" w:rsidRDefault="00C821BE" w:rsidP="00C821BE">
      <w:pPr>
        <w:pStyle w:val="Listecouleur-Accent12"/>
        <w:numPr>
          <w:ilvl w:val="0"/>
          <w:numId w:val="89"/>
        </w:numPr>
        <w:spacing w:after="0" w:line="240" w:lineRule="auto"/>
        <w:ind w:right="-850"/>
        <w:jc w:val="both"/>
        <w:rPr>
          <w:rFonts w:ascii="Times New Roman" w:hAnsi="Times New Roman"/>
          <w:sz w:val="20"/>
          <w:szCs w:val="20"/>
          <w:lang w:val="pt-BR"/>
        </w:rPr>
      </w:pPr>
      <w:r w:rsidRPr="002362E3">
        <w:rPr>
          <w:rFonts w:ascii="Times New Roman" w:hAnsi="Times New Roman"/>
          <w:sz w:val="20"/>
          <w:szCs w:val="20"/>
          <w:lang w:val="pt-BR"/>
        </w:rPr>
        <w:t>incômodo permanente e perturbação dos residentes locais pelas obras ...</w:t>
      </w:r>
    </w:p>
    <w:p w:rsidR="00C821BE" w:rsidRPr="002362E3" w:rsidRDefault="00C821BE" w:rsidP="00C821BE">
      <w:pPr>
        <w:pStyle w:val="Listecouleur-Accent12"/>
        <w:numPr>
          <w:ilvl w:val="0"/>
          <w:numId w:val="89"/>
        </w:numPr>
        <w:spacing w:after="0" w:line="240" w:lineRule="auto"/>
        <w:ind w:right="-850"/>
        <w:jc w:val="both"/>
        <w:rPr>
          <w:rFonts w:ascii="Times New Roman" w:hAnsi="Times New Roman"/>
          <w:sz w:val="20"/>
          <w:szCs w:val="20"/>
          <w:lang w:val="pt-BR"/>
        </w:rPr>
      </w:pPr>
      <w:r w:rsidRPr="002362E3">
        <w:rPr>
          <w:rFonts w:ascii="Times New Roman" w:hAnsi="Times New Roman"/>
          <w:sz w:val="20"/>
          <w:szCs w:val="20"/>
          <w:lang w:val="pt-BR"/>
        </w:rPr>
        <w:t>assédio sexual, pedofilia, etc. ;</w:t>
      </w:r>
    </w:p>
    <w:p w:rsidR="00C821BE" w:rsidRPr="002362E3" w:rsidRDefault="00C821BE" w:rsidP="00C821BE">
      <w:pPr>
        <w:pStyle w:val="Listecouleur-Accent12"/>
        <w:numPr>
          <w:ilvl w:val="0"/>
          <w:numId w:val="89"/>
        </w:numPr>
        <w:spacing w:after="0" w:line="240" w:lineRule="auto"/>
        <w:ind w:right="-850"/>
        <w:jc w:val="both"/>
        <w:rPr>
          <w:rFonts w:ascii="Times New Roman" w:hAnsi="Times New Roman"/>
          <w:sz w:val="20"/>
          <w:szCs w:val="20"/>
          <w:lang w:val="pt-BR"/>
        </w:rPr>
      </w:pPr>
      <w:r w:rsidRPr="002362E3">
        <w:rPr>
          <w:rFonts w:ascii="Times New Roman" w:hAnsi="Times New Roman"/>
          <w:sz w:val="20"/>
          <w:szCs w:val="20"/>
          <w:lang w:val="pt-BR"/>
        </w:rPr>
        <w:t>discriminação por gênero ou vulnerabilidade;</w:t>
      </w:r>
    </w:p>
    <w:p w:rsidR="00C821BE" w:rsidRPr="002362E3" w:rsidRDefault="00C821BE" w:rsidP="00C821BE">
      <w:pPr>
        <w:pStyle w:val="Listecouleur-Accent12"/>
        <w:spacing w:after="0" w:line="240" w:lineRule="auto"/>
        <w:ind w:right="-850"/>
        <w:jc w:val="both"/>
        <w:rPr>
          <w:rFonts w:ascii="Times New Roman" w:hAnsi="Times New Roman"/>
          <w:sz w:val="20"/>
          <w:szCs w:val="20"/>
          <w:lang w:val="pt-BR"/>
        </w:rPr>
      </w:pPr>
    </w:p>
    <w:p w:rsidR="00C821BE" w:rsidRPr="002362E3" w:rsidRDefault="00C821BE" w:rsidP="00C821BE">
      <w:pPr>
        <w:pStyle w:val="PargrafodaLista"/>
        <w:numPr>
          <w:ilvl w:val="1"/>
          <w:numId w:val="245"/>
        </w:numPr>
        <w:tabs>
          <w:tab w:val="left" w:pos="1418"/>
          <w:tab w:val="left" w:pos="1843"/>
        </w:tabs>
        <w:spacing w:after="0" w:line="240" w:lineRule="auto"/>
        <w:ind w:right="-283"/>
        <w:contextualSpacing w:val="0"/>
        <w:rPr>
          <w:rFonts w:ascii="Times New Roman" w:hAnsi="Times New Roman"/>
          <w:b/>
          <w:bCs/>
          <w:i/>
          <w:sz w:val="22"/>
          <w:szCs w:val="22"/>
          <w:lang w:val="pt-BR"/>
        </w:rPr>
      </w:pPr>
      <w:r w:rsidRPr="002362E3">
        <w:rPr>
          <w:rFonts w:ascii="Times New Roman" w:hAnsi="Times New Roman"/>
          <w:b/>
          <w:bCs/>
          <w:i/>
          <w:sz w:val="22"/>
          <w:szCs w:val="22"/>
          <w:lang w:val="pt-BR"/>
        </w:rPr>
        <w:t>Organização do mecanismo de gestão de reclamações</w:t>
      </w:r>
    </w:p>
    <w:p w:rsidR="00C821BE" w:rsidRPr="002362E3" w:rsidRDefault="00C821BE" w:rsidP="00C821BE">
      <w:pPr>
        <w:spacing w:line="240" w:lineRule="auto"/>
        <w:ind w:left="-284" w:right="-853"/>
        <w:jc w:val="both"/>
        <w:rPr>
          <w:rFonts w:ascii="Times New Roman" w:hAnsi="Times New Roman" w:cs="Times New Roman"/>
          <w:lang w:val="pt-BR"/>
        </w:rPr>
      </w:pPr>
      <w:r w:rsidRPr="002362E3">
        <w:rPr>
          <w:rFonts w:ascii="Times New Roman" w:hAnsi="Times New Roman" w:cs="Times New Roman"/>
          <w:lang w:val="pt-BR"/>
        </w:rPr>
        <w:lastRenderedPageBreak/>
        <w:t>O Mecanismo de Gestão de Reclamações PUASEE-FA está organizado em dois níveis, o que também permite definir os órgãos de gestão em cada nível.</w:t>
      </w:r>
    </w:p>
    <w:p w:rsidR="00C821BE" w:rsidRPr="002362E3" w:rsidRDefault="00C821BE" w:rsidP="00C821BE">
      <w:pPr>
        <w:pStyle w:val="Listecouleur-Accent12"/>
        <w:numPr>
          <w:ilvl w:val="0"/>
          <w:numId w:val="120"/>
        </w:numPr>
        <w:spacing w:after="0"/>
        <w:rPr>
          <w:rFonts w:ascii="Times New Roman" w:hAnsi="Times New Roman"/>
          <w:b/>
          <w:sz w:val="24"/>
          <w:szCs w:val="24"/>
          <w:lang w:val="pt-BR"/>
        </w:rPr>
      </w:pPr>
      <w:r w:rsidRPr="002362E3">
        <w:rPr>
          <w:rFonts w:ascii="Times New Roman" w:hAnsi="Times New Roman"/>
          <w:b/>
          <w:sz w:val="24"/>
          <w:szCs w:val="24"/>
          <w:lang w:val="pt-BR"/>
        </w:rPr>
        <w:t>Nível do projeto (PUASEE-FA)</w:t>
      </w:r>
    </w:p>
    <w:p w:rsidR="00C821BE" w:rsidRPr="002362E3" w:rsidRDefault="00C821BE" w:rsidP="00C821BE">
      <w:pPr>
        <w:spacing w:line="240" w:lineRule="auto"/>
        <w:ind w:left="-284" w:right="-853"/>
        <w:jc w:val="both"/>
        <w:rPr>
          <w:rFonts w:ascii="Times New Roman" w:hAnsi="Times New Roman" w:cs="Times New Roman"/>
          <w:lang w:val="pt-BR"/>
        </w:rPr>
      </w:pPr>
      <w:r w:rsidRPr="002362E3">
        <w:rPr>
          <w:rFonts w:ascii="Times New Roman" w:hAnsi="Times New Roman" w:cs="Times New Roman"/>
          <w:lang w:val="pt-BR"/>
        </w:rPr>
        <w:t>O PUASEE-FA garante a supervisão da implantação do MGP (ver PAR mais detalhado). Trabalha em estreita colaboração com as autoridades locais e comunais, incluindo atores institucionais, ONGs e PAPs para a monitoria, processamento e comunicação de todas as reclamações direta ou indiretamente relacionadas com as atividades do projeto.</w:t>
      </w:r>
    </w:p>
    <w:p w:rsidR="00C821BE" w:rsidRPr="002362E3" w:rsidRDefault="00C821BE" w:rsidP="00C821BE">
      <w:pPr>
        <w:pStyle w:val="Listecouleur-Accent12"/>
        <w:numPr>
          <w:ilvl w:val="0"/>
          <w:numId w:val="120"/>
        </w:numPr>
        <w:rPr>
          <w:rFonts w:ascii="Times New Roman" w:hAnsi="Times New Roman"/>
          <w:sz w:val="24"/>
          <w:szCs w:val="24"/>
          <w:lang w:val="pt-BR"/>
        </w:rPr>
      </w:pPr>
      <w:r w:rsidRPr="002362E3">
        <w:rPr>
          <w:rFonts w:ascii="Times New Roman" w:hAnsi="Times New Roman"/>
          <w:b/>
          <w:sz w:val="24"/>
          <w:szCs w:val="24"/>
          <w:lang w:val="pt-BR"/>
        </w:rPr>
        <w:t>Nível local</w:t>
      </w:r>
      <w:r w:rsidRPr="002362E3">
        <w:rPr>
          <w:rFonts w:ascii="Times New Roman" w:hAnsi="Times New Roman"/>
          <w:sz w:val="24"/>
          <w:szCs w:val="24"/>
          <w:lang w:val="pt-BR"/>
        </w:rPr>
        <w:t>:</w:t>
      </w:r>
    </w:p>
    <w:p w:rsidR="00C821BE" w:rsidRPr="002362E3" w:rsidRDefault="00C821BE" w:rsidP="00C821BE">
      <w:pPr>
        <w:pStyle w:val="Listecouleur-Accent12"/>
        <w:numPr>
          <w:ilvl w:val="0"/>
          <w:numId w:val="89"/>
        </w:numPr>
        <w:spacing w:after="0" w:line="240" w:lineRule="auto"/>
        <w:ind w:right="-850"/>
        <w:jc w:val="both"/>
        <w:rPr>
          <w:rFonts w:ascii="Times New Roman" w:hAnsi="Times New Roman"/>
          <w:sz w:val="20"/>
          <w:szCs w:val="20"/>
          <w:lang w:val="pt-BR"/>
        </w:rPr>
      </w:pPr>
      <w:r w:rsidRPr="002362E3">
        <w:rPr>
          <w:rFonts w:ascii="Times New Roman" w:hAnsi="Times New Roman"/>
          <w:sz w:val="20"/>
          <w:szCs w:val="20"/>
          <w:lang w:val="pt-BR"/>
        </w:rPr>
        <w:t>funcionários do bairro (comunidades locais, notabilidades);</w:t>
      </w:r>
    </w:p>
    <w:p w:rsidR="00C821BE" w:rsidRPr="002362E3" w:rsidRDefault="00C821BE" w:rsidP="00C821BE">
      <w:pPr>
        <w:pStyle w:val="Listecouleur-Accent12"/>
        <w:numPr>
          <w:ilvl w:val="0"/>
          <w:numId w:val="89"/>
        </w:numPr>
        <w:spacing w:after="0" w:line="240" w:lineRule="auto"/>
        <w:ind w:right="-850"/>
        <w:jc w:val="both"/>
        <w:rPr>
          <w:rFonts w:ascii="Times New Roman" w:hAnsi="Times New Roman"/>
          <w:sz w:val="20"/>
          <w:szCs w:val="20"/>
          <w:lang w:val="pt-BR"/>
        </w:rPr>
      </w:pPr>
      <w:r w:rsidRPr="002362E3">
        <w:rPr>
          <w:rFonts w:ascii="Times New Roman" w:hAnsi="Times New Roman"/>
          <w:sz w:val="20"/>
          <w:szCs w:val="20"/>
          <w:lang w:val="pt-BR"/>
        </w:rPr>
        <w:t>autoridades municipais (Câmara Municipal de Bissau, Safim e Prabis);</w:t>
      </w:r>
    </w:p>
    <w:p w:rsidR="00C821BE" w:rsidRPr="002362E3" w:rsidRDefault="00C821BE" w:rsidP="00C821BE">
      <w:pPr>
        <w:pStyle w:val="Listecouleur-Accent12"/>
        <w:numPr>
          <w:ilvl w:val="0"/>
          <w:numId w:val="89"/>
        </w:numPr>
        <w:spacing w:after="0" w:line="240" w:lineRule="auto"/>
        <w:ind w:right="-850"/>
        <w:jc w:val="both"/>
        <w:rPr>
          <w:rFonts w:ascii="Times New Roman" w:hAnsi="Times New Roman"/>
          <w:sz w:val="20"/>
          <w:szCs w:val="20"/>
          <w:lang w:val="pt-BR"/>
        </w:rPr>
      </w:pPr>
      <w:r w:rsidRPr="002362E3">
        <w:rPr>
          <w:rFonts w:ascii="Times New Roman" w:hAnsi="Times New Roman"/>
          <w:sz w:val="20"/>
          <w:szCs w:val="20"/>
          <w:lang w:val="pt-BR"/>
        </w:rPr>
        <w:t>atores institucionais (serviços técnicos);</w:t>
      </w:r>
    </w:p>
    <w:p w:rsidR="00C821BE" w:rsidRPr="002362E3" w:rsidRDefault="00C821BE" w:rsidP="00C821BE">
      <w:pPr>
        <w:pStyle w:val="Listecouleur-Accent12"/>
        <w:numPr>
          <w:ilvl w:val="0"/>
          <w:numId w:val="89"/>
        </w:numPr>
        <w:spacing w:after="0" w:line="240" w:lineRule="auto"/>
        <w:ind w:right="-850"/>
        <w:jc w:val="both"/>
        <w:rPr>
          <w:rFonts w:ascii="Times New Roman" w:hAnsi="Times New Roman"/>
          <w:sz w:val="20"/>
          <w:szCs w:val="20"/>
          <w:lang w:val="pt-BR"/>
        </w:rPr>
      </w:pPr>
      <w:r w:rsidRPr="002362E3">
        <w:rPr>
          <w:rFonts w:ascii="Times New Roman" w:hAnsi="Times New Roman"/>
          <w:sz w:val="20"/>
          <w:szCs w:val="20"/>
          <w:lang w:val="pt-BR"/>
        </w:rPr>
        <w:t>uma ONG local como um terceiro</w:t>
      </w:r>
    </w:p>
    <w:p w:rsidR="00C821BE" w:rsidRPr="002362E3" w:rsidRDefault="00C821BE" w:rsidP="00C821BE">
      <w:pPr>
        <w:pStyle w:val="Listecouleur-Accent12"/>
        <w:numPr>
          <w:ilvl w:val="0"/>
          <w:numId w:val="89"/>
        </w:numPr>
        <w:spacing w:after="0" w:line="240" w:lineRule="auto"/>
        <w:ind w:right="-850"/>
        <w:jc w:val="both"/>
        <w:rPr>
          <w:rFonts w:ascii="Times New Roman" w:hAnsi="Times New Roman"/>
          <w:sz w:val="20"/>
          <w:szCs w:val="20"/>
          <w:lang w:val="pt-BR"/>
        </w:rPr>
      </w:pPr>
      <w:r w:rsidRPr="002362E3">
        <w:rPr>
          <w:rFonts w:ascii="Times New Roman" w:hAnsi="Times New Roman"/>
          <w:sz w:val="20"/>
          <w:szCs w:val="20"/>
          <w:lang w:val="pt-BR"/>
        </w:rPr>
        <w:t>Pessoas Afetadas pelo Projeto (PAP).</w:t>
      </w:r>
    </w:p>
    <w:p w:rsidR="00C821BE" w:rsidRPr="002362E3" w:rsidRDefault="00C821BE" w:rsidP="00C821BE">
      <w:pPr>
        <w:pStyle w:val="Listecouleur-Accent12"/>
        <w:spacing w:after="0" w:line="240" w:lineRule="auto"/>
        <w:ind w:right="-850"/>
        <w:jc w:val="both"/>
        <w:rPr>
          <w:rFonts w:ascii="Times New Roman" w:hAnsi="Times New Roman"/>
          <w:sz w:val="20"/>
          <w:szCs w:val="20"/>
          <w:lang w:val="pt-BR"/>
        </w:rPr>
      </w:pPr>
    </w:p>
    <w:p w:rsidR="00C821BE" w:rsidRPr="002362E3" w:rsidRDefault="00C821BE" w:rsidP="00C821BE">
      <w:pPr>
        <w:pStyle w:val="PargrafodaLista"/>
        <w:numPr>
          <w:ilvl w:val="1"/>
          <w:numId w:val="245"/>
        </w:numPr>
        <w:tabs>
          <w:tab w:val="left" w:pos="1418"/>
          <w:tab w:val="left" w:pos="1843"/>
        </w:tabs>
        <w:spacing w:after="0" w:line="240" w:lineRule="auto"/>
        <w:ind w:right="-283"/>
        <w:contextualSpacing w:val="0"/>
        <w:rPr>
          <w:rFonts w:ascii="Times New Roman" w:hAnsi="Times New Roman"/>
          <w:b/>
          <w:bCs/>
          <w:i/>
          <w:sz w:val="22"/>
          <w:szCs w:val="22"/>
          <w:lang w:val="pt-BR"/>
        </w:rPr>
      </w:pPr>
      <w:r w:rsidRPr="002362E3">
        <w:rPr>
          <w:rFonts w:ascii="Times New Roman" w:hAnsi="Times New Roman"/>
          <w:b/>
          <w:bCs/>
          <w:i/>
          <w:sz w:val="22"/>
          <w:szCs w:val="22"/>
          <w:lang w:val="pt-BR"/>
        </w:rPr>
        <w:t>Funcionamento do mecanismo de reclamações</w:t>
      </w:r>
    </w:p>
    <w:p w:rsidR="00C821BE" w:rsidRPr="002362E3" w:rsidRDefault="00C821BE" w:rsidP="00C821BE">
      <w:pPr>
        <w:ind w:left="-284"/>
        <w:jc w:val="both"/>
        <w:rPr>
          <w:rFonts w:ascii="Times New Roman" w:hAnsi="Times New Roman"/>
          <w:sz w:val="24"/>
          <w:szCs w:val="24"/>
          <w:lang w:val="pt-BR"/>
        </w:rPr>
      </w:pPr>
      <w:r w:rsidRPr="002362E3">
        <w:rPr>
          <w:rFonts w:ascii="Times New Roman" w:hAnsi="Times New Roman"/>
          <w:sz w:val="24"/>
          <w:szCs w:val="24"/>
          <w:lang w:val="pt-BR"/>
        </w:rPr>
        <w:t>O mecanismo de gestão de reclamações está estruturado em três níveis, a saber:</w:t>
      </w:r>
    </w:p>
    <w:p w:rsidR="00C821BE" w:rsidRPr="002362E3" w:rsidRDefault="00C821BE" w:rsidP="00C821BE">
      <w:pPr>
        <w:pStyle w:val="Listecouleur-Accent12"/>
        <w:numPr>
          <w:ilvl w:val="0"/>
          <w:numId w:val="89"/>
        </w:numPr>
        <w:spacing w:after="0" w:line="240" w:lineRule="auto"/>
        <w:ind w:right="-850"/>
        <w:jc w:val="both"/>
        <w:rPr>
          <w:rFonts w:ascii="Times New Roman" w:hAnsi="Times New Roman"/>
          <w:sz w:val="20"/>
          <w:szCs w:val="20"/>
          <w:lang w:val="pt-BR"/>
        </w:rPr>
      </w:pPr>
      <w:r w:rsidRPr="002362E3">
        <w:rPr>
          <w:rFonts w:ascii="Times New Roman" w:hAnsi="Times New Roman"/>
          <w:sz w:val="20"/>
          <w:szCs w:val="20"/>
          <w:lang w:val="pt-BR"/>
        </w:rPr>
        <w:t xml:space="preserve">Nível I: O chefe da aldeia ou os funcionários distritais e os notáveis; </w:t>
      </w:r>
    </w:p>
    <w:p w:rsidR="00C821BE" w:rsidRPr="002362E3" w:rsidRDefault="00C821BE" w:rsidP="00C821BE">
      <w:pPr>
        <w:pStyle w:val="Listecouleur-Accent12"/>
        <w:numPr>
          <w:ilvl w:val="0"/>
          <w:numId w:val="89"/>
        </w:numPr>
        <w:spacing w:after="0" w:line="240" w:lineRule="auto"/>
        <w:ind w:right="-850"/>
        <w:jc w:val="both"/>
        <w:rPr>
          <w:rFonts w:ascii="Times New Roman" w:hAnsi="Times New Roman"/>
          <w:sz w:val="20"/>
          <w:szCs w:val="20"/>
          <w:lang w:val="pt-BR"/>
        </w:rPr>
      </w:pPr>
      <w:r w:rsidRPr="002362E3">
        <w:rPr>
          <w:rFonts w:ascii="Times New Roman" w:hAnsi="Times New Roman"/>
          <w:sz w:val="20"/>
          <w:szCs w:val="20"/>
          <w:lang w:val="pt-BR"/>
        </w:rPr>
        <w:t>Nível II: Comitê local de gestão de reclamações;</w:t>
      </w:r>
    </w:p>
    <w:p w:rsidR="00C821BE" w:rsidRPr="002362E3" w:rsidRDefault="00C821BE" w:rsidP="00C821BE">
      <w:pPr>
        <w:pStyle w:val="Listecouleur-Accent12"/>
        <w:numPr>
          <w:ilvl w:val="0"/>
          <w:numId w:val="89"/>
        </w:numPr>
        <w:spacing w:after="0" w:line="240" w:lineRule="auto"/>
        <w:ind w:right="-850"/>
        <w:jc w:val="both"/>
        <w:rPr>
          <w:rFonts w:ascii="Times New Roman" w:hAnsi="Times New Roman"/>
          <w:sz w:val="20"/>
          <w:szCs w:val="20"/>
          <w:lang w:val="pt-BR"/>
        </w:rPr>
      </w:pPr>
      <w:r w:rsidRPr="002362E3">
        <w:rPr>
          <w:rFonts w:ascii="Times New Roman" w:hAnsi="Times New Roman"/>
          <w:sz w:val="20"/>
          <w:szCs w:val="20"/>
          <w:lang w:val="pt-BR"/>
        </w:rPr>
        <w:t>Nível III: PUASEE-FA.</w:t>
      </w:r>
    </w:p>
    <w:p w:rsidR="00C821BE" w:rsidRPr="002362E3" w:rsidRDefault="00C821BE" w:rsidP="00C821BE">
      <w:pPr>
        <w:pStyle w:val="Listecouleur-Accent12"/>
        <w:spacing w:after="0" w:line="240" w:lineRule="auto"/>
        <w:ind w:right="-850"/>
        <w:jc w:val="both"/>
        <w:rPr>
          <w:rFonts w:ascii="Times New Roman" w:hAnsi="Times New Roman"/>
          <w:sz w:val="20"/>
          <w:szCs w:val="20"/>
          <w:lang w:val="pt-BR"/>
        </w:rPr>
      </w:pPr>
    </w:p>
    <w:p w:rsidR="00C821BE" w:rsidRPr="002362E3" w:rsidRDefault="00C821BE" w:rsidP="00C821BE">
      <w:pPr>
        <w:pStyle w:val="PargrafodaLista"/>
        <w:numPr>
          <w:ilvl w:val="1"/>
          <w:numId w:val="245"/>
        </w:numPr>
        <w:tabs>
          <w:tab w:val="left" w:pos="1418"/>
          <w:tab w:val="left" w:pos="1843"/>
        </w:tabs>
        <w:spacing w:after="240" w:line="240" w:lineRule="auto"/>
        <w:ind w:right="-283"/>
        <w:contextualSpacing w:val="0"/>
        <w:rPr>
          <w:rFonts w:ascii="Times New Roman" w:hAnsi="Times New Roman"/>
          <w:b/>
          <w:bCs/>
          <w:i/>
          <w:sz w:val="22"/>
          <w:szCs w:val="22"/>
          <w:lang w:val="pt-BR"/>
        </w:rPr>
      </w:pPr>
      <w:r w:rsidRPr="002362E3">
        <w:rPr>
          <w:rFonts w:ascii="Times New Roman" w:hAnsi="Times New Roman"/>
          <w:b/>
          <w:bCs/>
          <w:i/>
          <w:sz w:val="22"/>
          <w:szCs w:val="22"/>
          <w:lang w:val="pt-BR"/>
        </w:rPr>
        <w:t>Registro de reclamações</w:t>
      </w:r>
    </w:p>
    <w:p w:rsidR="00C821BE" w:rsidRPr="002362E3" w:rsidRDefault="00C821BE" w:rsidP="00C821BE">
      <w:pPr>
        <w:spacing w:line="240" w:lineRule="auto"/>
        <w:ind w:left="-284" w:right="-853"/>
        <w:jc w:val="both"/>
        <w:rPr>
          <w:rFonts w:ascii="Times New Roman" w:hAnsi="Times New Roman" w:cs="Times New Roman"/>
          <w:lang w:val="pt-BR"/>
        </w:rPr>
      </w:pPr>
      <w:r w:rsidRPr="002362E3">
        <w:rPr>
          <w:rFonts w:ascii="Times New Roman" w:hAnsi="Times New Roman" w:cs="Times New Roman"/>
          <w:lang w:val="pt-BR"/>
        </w:rPr>
        <w:t xml:space="preserve">Os reclamantes serão informados pela </w:t>
      </w:r>
      <w:r w:rsidR="00D10B3E" w:rsidRPr="002362E3">
        <w:rPr>
          <w:rFonts w:ascii="Times New Roman" w:hAnsi="Times New Roman" w:cs="Times New Roman"/>
          <w:lang w:val="pt-BR"/>
        </w:rPr>
        <w:t xml:space="preserve">UIP </w:t>
      </w:r>
      <w:r w:rsidRPr="002362E3">
        <w:rPr>
          <w:rFonts w:ascii="Times New Roman" w:hAnsi="Times New Roman" w:cs="Times New Roman"/>
          <w:lang w:val="pt-BR"/>
        </w:rPr>
        <w:t xml:space="preserve">do PUASEE, sobre o mecanismo de gestão de reclamações será feito através do estabelecimento de um registo de reclamações com o chefe do distrito e um número de telefone. Em seguida, o gestor de salvaguardas sociais do </w:t>
      </w:r>
      <w:r w:rsidR="00D10B3E" w:rsidRPr="002362E3">
        <w:rPr>
          <w:rFonts w:ascii="Times New Roman" w:hAnsi="Times New Roman" w:cs="Times New Roman"/>
          <w:lang w:val="pt-BR"/>
        </w:rPr>
        <w:t>PUASEE</w:t>
      </w:r>
      <w:r w:rsidRPr="002362E3">
        <w:rPr>
          <w:rFonts w:ascii="Times New Roman" w:hAnsi="Times New Roman" w:cs="Times New Roman"/>
          <w:lang w:val="pt-BR"/>
        </w:rPr>
        <w:t>, por meio de consultas públicas, informará aos reclamantes o procedimento a seguir para poder reclamar.</w:t>
      </w:r>
    </w:p>
    <w:p w:rsidR="00C821BE" w:rsidRPr="002362E3" w:rsidRDefault="00C821BE" w:rsidP="00C821BE">
      <w:pPr>
        <w:spacing w:line="240" w:lineRule="auto"/>
        <w:ind w:left="-284" w:right="-853"/>
        <w:jc w:val="both"/>
        <w:rPr>
          <w:rFonts w:ascii="Times New Roman" w:hAnsi="Times New Roman" w:cs="Times New Roman"/>
          <w:lang w:val="pt-BR"/>
        </w:rPr>
      </w:pPr>
      <w:r w:rsidRPr="002362E3">
        <w:rPr>
          <w:rFonts w:ascii="Times New Roman" w:hAnsi="Times New Roman" w:cs="Times New Roman"/>
          <w:lang w:val="pt-BR"/>
        </w:rPr>
        <w:t>O chefe do bairro manterá o registro e ajudará os reclamantes a preencher e registrar sua reclamação; o reclamante também pode escrever sua própria reclamação ou contar com pessoas capacitadas ou uma ONG; um modelo para o registro de reclamações encontra-se no Anexo 9. Por motivos de discrição, o reclamante também pode telefonar para apresentar sua reclamação.</w:t>
      </w:r>
    </w:p>
    <w:p w:rsidR="00C821BE" w:rsidRPr="002362E3" w:rsidRDefault="00C821BE" w:rsidP="00C821BE">
      <w:pPr>
        <w:spacing w:line="240" w:lineRule="auto"/>
        <w:ind w:left="-284" w:right="-853"/>
        <w:jc w:val="both"/>
        <w:rPr>
          <w:rFonts w:ascii="Times New Roman" w:hAnsi="Times New Roman" w:cs="Times New Roman"/>
          <w:lang w:val="pt-BR"/>
        </w:rPr>
      </w:pPr>
      <w:r w:rsidRPr="002362E3">
        <w:rPr>
          <w:rFonts w:ascii="Times New Roman" w:hAnsi="Times New Roman" w:cs="Times New Roman"/>
          <w:lang w:val="pt-BR"/>
        </w:rPr>
        <w:t>A figura a seguir resume o circuito do</w:t>
      </w:r>
      <w:r w:rsidR="00D10B3E" w:rsidRPr="002362E3">
        <w:rPr>
          <w:rFonts w:ascii="Times New Roman" w:hAnsi="Times New Roman" w:cs="Times New Roman"/>
          <w:lang w:val="pt-BR"/>
        </w:rPr>
        <w:t xml:space="preserve"> PUASEE</w:t>
      </w:r>
      <w:r w:rsidRPr="002362E3">
        <w:rPr>
          <w:rFonts w:ascii="Times New Roman" w:hAnsi="Times New Roman" w:cs="Times New Roman"/>
          <w:lang w:val="pt-BR"/>
        </w:rPr>
        <w:t xml:space="preserve"> MGP: </w:t>
      </w:r>
    </w:p>
    <w:p w:rsidR="00C821BE" w:rsidRPr="002362E3" w:rsidRDefault="00C821BE" w:rsidP="00C821BE">
      <w:pPr>
        <w:tabs>
          <w:tab w:val="left" w:pos="2325"/>
        </w:tabs>
        <w:spacing w:line="276" w:lineRule="auto"/>
        <w:jc w:val="both"/>
        <w:rPr>
          <w:rFonts w:ascii="Times New Roman" w:hAnsi="Times New Roman" w:cs="Times New Roman"/>
          <w:b/>
          <w:sz w:val="24"/>
          <w:szCs w:val="24"/>
          <w:lang w:val="pt-BR"/>
        </w:rPr>
      </w:pPr>
      <w:r w:rsidRPr="002362E3">
        <w:rPr>
          <w:rFonts w:ascii="Times New Roman" w:hAnsi="Times New Roman"/>
          <w:b/>
          <w:bCs/>
          <w:noProof/>
          <w:sz w:val="24"/>
          <w:szCs w:val="24"/>
          <w:lang w:val="pt-PT" w:eastAsia="pt-PT"/>
        </w:rPr>
        <w:drawing>
          <wp:anchor distT="0" distB="0" distL="114300" distR="114300" simplePos="0" relativeHeight="252317184" behindDoc="1" locked="0" layoutInCell="1" allowOverlap="1" wp14:anchorId="00E3D792" wp14:editId="3FD19F1B">
            <wp:simplePos x="0" y="0"/>
            <wp:positionH relativeFrom="margin">
              <wp:align>center</wp:align>
            </wp:positionH>
            <wp:positionV relativeFrom="margin">
              <wp:posOffset>5828030</wp:posOffset>
            </wp:positionV>
            <wp:extent cx="3962400" cy="2526030"/>
            <wp:effectExtent l="0" t="0" r="0" b="7620"/>
            <wp:wrapTight wrapText="bothSides">
              <wp:wrapPolygon edited="0">
                <wp:start x="0" y="0"/>
                <wp:lineTo x="0" y="21502"/>
                <wp:lineTo x="21496" y="21502"/>
                <wp:lineTo x="21496" y="0"/>
                <wp:lineTo x="0" y="0"/>
              </wp:wrapPolygon>
            </wp:wrapTight>
            <wp:docPr id="537" name="Image 5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cstate="email">
                      <a:extLst>
                        <a:ext uri="{28A0092B-C50C-407E-A947-70E740481C1C}">
                          <a14:useLocalDpi xmlns:a14="http://schemas.microsoft.com/office/drawing/2010/main"/>
                        </a:ext>
                      </a:extLst>
                    </a:blip>
                    <a:srcRect/>
                    <a:stretch>
                      <a:fillRect/>
                    </a:stretch>
                  </pic:blipFill>
                  <pic:spPr bwMode="auto">
                    <a:xfrm>
                      <a:off x="0" y="0"/>
                      <a:ext cx="3962400" cy="252603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C821BE" w:rsidRPr="002362E3" w:rsidRDefault="00C821BE" w:rsidP="00C821BE">
      <w:pPr>
        <w:tabs>
          <w:tab w:val="left" w:pos="2325"/>
        </w:tabs>
        <w:spacing w:line="276" w:lineRule="auto"/>
        <w:jc w:val="both"/>
        <w:rPr>
          <w:rFonts w:ascii="Times New Roman" w:hAnsi="Times New Roman" w:cs="Times New Roman"/>
          <w:b/>
          <w:sz w:val="24"/>
          <w:szCs w:val="24"/>
          <w:lang w:val="pt-BR"/>
        </w:rPr>
      </w:pPr>
    </w:p>
    <w:p w:rsidR="00C821BE" w:rsidRPr="002362E3" w:rsidRDefault="00C821BE" w:rsidP="00C821BE">
      <w:pPr>
        <w:tabs>
          <w:tab w:val="left" w:pos="2325"/>
        </w:tabs>
        <w:spacing w:line="276" w:lineRule="auto"/>
        <w:jc w:val="both"/>
        <w:rPr>
          <w:rFonts w:ascii="Times New Roman" w:hAnsi="Times New Roman" w:cs="Times New Roman"/>
          <w:b/>
          <w:sz w:val="24"/>
          <w:szCs w:val="24"/>
          <w:lang w:val="pt-BR"/>
        </w:rPr>
      </w:pPr>
    </w:p>
    <w:p w:rsidR="00C821BE" w:rsidRPr="002362E3" w:rsidRDefault="00C821BE" w:rsidP="00C821BE">
      <w:pPr>
        <w:tabs>
          <w:tab w:val="left" w:pos="2325"/>
        </w:tabs>
        <w:spacing w:line="276" w:lineRule="auto"/>
        <w:jc w:val="both"/>
        <w:rPr>
          <w:rFonts w:ascii="Times New Roman" w:hAnsi="Times New Roman" w:cs="Times New Roman"/>
          <w:b/>
          <w:sz w:val="24"/>
          <w:szCs w:val="24"/>
          <w:lang w:val="pt-BR"/>
        </w:rPr>
      </w:pPr>
    </w:p>
    <w:p w:rsidR="00C821BE" w:rsidRPr="002362E3" w:rsidRDefault="00C821BE" w:rsidP="00C821BE">
      <w:pPr>
        <w:tabs>
          <w:tab w:val="left" w:pos="2325"/>
        </w:tabs>
        <w:spacing w:line="276" w:lineRule="auto"/>
        <w:jc w:val="both"/>
        <w:rPr>
          <w:rFonts w:ascii="Times New Roman" w:hAnsi="Times New Roman" w:cs="Times New Roman"/>
          <w:b/>
          <w:sz w:val="24"/>
          <w:szCs w:val="24"/>
          <w:lang w:val="pt-BR"/>
        </w:rPr>
      </w:pPr>
    </w:p>
    <w:p w:rsidR="00C821BE" w:rsidRPr="002362E3" w:rsidRDefault="00C821BE" w:rsidP="00C821BE">
      <w:pPr>
        <w:tabs>
          <w:tab w:val="left" w:pos="2325"/>
        </w:tabs>
        <w:spacing w:line="276" w:lineRule="auto"/>
        <w:jc w:val="both"/>
        <w:rPr>
          <w:rFonts w:ascii="Times New Roman" w:hAnsi="Times New Roman" w:cs="Times New Roman"/>
          <w:b/>
          <w:sz w:val="24"/>
          <w:szCs w:val="24"/>
          <w:lang w:val="pt-BR"/>
        </w:rPr>
      </w:pPr>
    </w:p>
    <w:p w:rsidR="00C821BE" w:rsidRPr="002362E3" w:rsidRDefault="00C821BE" w:rsidP="00C821BE">
      <w:pPr>
        <w:tabs>
          <w:tab w:val="left" w:pos="2325"/>
        </w:tabs>
        <w:spacing w:line="276" w:lineRule="auto"/>
        <w:jc w:val="both"/>
        <w:rPr>
          <w:rFonts w:ascii="Times New Roman" w:hAnsi="Times New Roman" w:cs="Times New Roman"/>
          <w:b/>
          <w:sz w:val="24"/>
          <w:szCs w:val="24"/>
          <w:lang w:val="pt-BR"/>
        </w:rPr>
      </w:pPr>
    </w:p>
    <w:p w:rsidR="00C821BE" w:rsidRPr="002362E3" w:rsidRDefault="00C821BE" w:rsidP="00C821BE">
      <w:pPr>
        <w:tabs>
          <w:tab w:val="left" w:pos="2325"/>
        </w:tabs>
        <w:spacing w:line="276" w:lineRule="auto"/>
        <w:jc w:val="both"/>
        <w:rPr>
          <w:rFonts w:ascii="Times New Roman" w:hAnsi="Times New Roman" w:cs="Times New Roman"/>
          <w:b/>
          <w:sz w:val="24"/>
          <w:szCs w:val="24"/>
          <w:lang w:val="pt-BR"/>
        </w:rPr>
      </w:pPr>
    </w:p>
    <w:p w:rsidR="00C821BE" w:rsidRPr="002362E3" w:rsidRDefault="00C821BE" w:rsidP="00C821BE">
      <w:pPr>
        <w:tabs>
          <w:tab w:val="left" w:pos="2325"/>
        </w:tabs>
        <w:spacing w:line="276" w:lineRule="auto"/>
        <w:jc w:val="both"/>
        <w:rPr>
          <w:rFonts w:ascii="Times New Roman" w:hAnsi="Times New Roman" w:cs="Times New Roman"/>
          <w:b/>
          <w:sz w:val="24"/>
          <w:szCs w:val="24"/>
          <w:lang w:val="pt-BR"/>
        </w:rPr>
      </w:pPr>
    </w:p>
    <w:p w:rsidR="00C821BE" w:rsidRPr="002362E3" w:rsidRDefault="00C821BE" w:rsidP="00C821BE">
      <w:pPr>
        <w:tabs>
          <w:tab w:val="left" w:pos="2325"/>
        </w:tabs>
        <w:spacing w:line="276" w:lineRule="auto"/>
        <w:jc w:val="both"/>
        <w:rPr>
          <w:rFonts w:ascii="Times New Roman" w:hAnsi="Times New Roman" w:cs="Times New Roman"/>
          <w:b/>
          <w:sz w:val="24"/>
          <w:szCs w:val="24"/>
          <w:lang w:val="pt-BR"/>
        </w:rPr>
      </w:pPr>
    </w:p>
    <w:p w:rsidR="00C821BE" w:rsidRPr="00DF7E0C" w:rsidRDefault="00C821BE" w:rsidP="0093770F">
      <w:pPr>
        <w:spacing w:line="276" w:lineRule="auto"/>
        <w:jc w:val="both"/>
        <w:rPr>
          <w:rFonts w:ascii="Times New Roman" w:hAnsi="Times New Roman" w:cs="Times New Roman"/>
          <w:b/>
          <w:sz w:val="24"/>
          <w:szCs w:val="24"/>
          <w:lang w:val="pt-BR"/>
        </w:rPr>
      </w:pPr>
    </w:p>
    <w:p w:rsidR="000D0F18" w:rsidRPr="000D0F18" w:rsidRDefault="000D0F18" w:rsidP="000D0F18">
      <w:pPr>
        <w:keepNext/>
        <w:keepLines/>
        <w:pBdr>
          <w:top w:val="outset" w:sz="12" w:space="1" w:color="auto"/>
          <w:left w:val="outset" w:sz="12" w:space="4" w:color="auto"/>
          <w:bottom w:val="outset" w:sz="12" w:space="1" w:color="auto"/>
          <w:right w:val="outset" w:sz="12" w:space="4" w:color="auto"/>
        </w:pBdr>
        <w:shd w:val="clear" w:color="auto" w:fill="F2F2F2" w:themeFill="background1" w:themeFillShade="F2"/>
        <w:spacing w:after="0" w:line="240" w:lineRule="auto"/>
        <w:ind w:left="-1417" w:right="-567"/>
        <w:jc w:val="center"/>
        <w:outlineLvl w:val="0"/>
        <w:rPr>
          <w:rFonts w:ascii="Times New Roman" w:eastAsia="Calibri" w:hAnsi="Times New Roman" w:cs="Times New Roman"/>
          <w:b/>
          <w:sz w:val="32"/>
          <w:szCs w:val="32"/>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id="20" w:name="_Toc49424580"/>
      <w:bookmarkStart w:id="21" w:name="_Toc51072496"/>
      <w:r w:rsidRPr="000D0F18">
        <w:rPr>
          <w:rFonts w:ascii="Times New Roman" w:eastAsia="Calibri" w:hAnsi="Times New Roman" w:cs="Times New Roman"/>
          <w:b/>
          <w:sz w:val="32"/>
          <w:szCs w:val="32"/>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RESUME EXECUTIF</w:t>
      </w:r>
      <w:bookmarkEnd w:id="20"/>
      <w:bookmarkEnd w:id="21"/>
    </w:p>
    <w:p w:rsidR="00362638" w:rsidRDefault="00362638" w:rsidP="00362638">
      <w:pPr>
        <w:pStyle w:val="PargrafodaLista"/>
        <w:tabs>
          <w:tab w:val="left" w:pos="1418"/>
          <w:tab w:val="left" w:pos="1843"/>
        </w:tabs>
        <w:spacing w:after="0" w:line="240" w:lineRule="auto"/>
        <w:ind w:right="-283"/>
        <w:contextualSpacing w:val="0"/>
        <w:rPr>
          <w:rFonts w:ascii="Times New Roman" w:hAnsi="Times New Roman"/>
          <w:b/>
          <w:bCs/>
          <w:i/>
          <w:sz w:val="22"/>
          <w:szCs w:val="22"/>
          <w:lang w:val="fr-FR"/>
        </w:rPr>
      </w:pPr>
    </w:p>
    <w:p w:rsidR="000D0F18" w:rsidRPr="003140E3" w:rsidRDefault="000D0F18" w:rsidP="003140E3">
      <w:pPr>
        <w:pStyle w:val="PargrafodaLista"/>
        <w:numPr>
          <w:ilvl w:val="0"/>
          <w:numId w:val="245"/>
        </w:numPr>
        <w:tabs>
          <w:tab w:val="left" w:pos="1418"/>
          <w:tab w:val="left" w:pos="1843"/>
        </w:tabs>
        <w:spacing w:after="240" w:line="240" w:lineRule="auto"/>
        <w:ind w:right="-283"/>
        <w:contextualSpacing w:val="0"/>
        <w:rPr>
          <w:rFonts w:ascii="Times New Roman" w:hAnsi="Times New Roman"/>
          <w:b/>
          <w:bCs/>
          <w:i/>
          <w:sz w:val="22"/>
          <w:szCs w:val="22"/>
          <w:lang w:val="fr-FR"/>
        </w:rPr>
      </w:pPr>
      <w:r w:rsidRPr="003140E3">
        <w:rPr>
          <w:rFonts w:ascii="Times New Roman" w:hAnsi="Times New Roman"/>
          <w:b/>
          <w:bCs/>
          <w:i/>
          <w:sz w:val="22"/>
          <w:szCs w:val="22"/>
          <w:lang w:val="fr-FR"/>
        </w:rPr>
        <w:t>CONTEXTE ET JUSTIFICATION GENERALE</w:t>
      </w:r>
    </w:p>
    <w:p w:rsidR="000D0F18" w:rsidRPr="00EA5DFC" w:rsidRDefault="000D0F18" w:rsidP="00EA5DFC">
      <w:pPr>
        <w:spacing w:after="120" w:line="240" w:lineRule="auto"/>
        <w:ind w:left="-284" w:right="-853"/>
        <w:jc w:val="both"/>
        <w:rPr>
          <w:rFonts w:ascii="Times New Roman" w:hAnsi="Times New Roman"/>
          <w:b/>
          <w:i/>
          <w:lang w:eastAsia="fr-FR"/>
        </w:rPr>
      </w:pPr>
      <w:r w:rsidRPr="004D581E">
        <w:rPr>
          <w:rFonts w:ascii="Times New Roman" w:hAnsi="Times New Roman"/>
        </w:rPr>
        <w:t xml:space="preserve">Au niveau de </w:t>
      </w:r>
      <w:r w:rsidR="002E0570" w:rsidRPr="004D581E">
        <w:rPr>
          <w:rFonts w:ascii="Times New Roman" w:hAnsi="Times New Roman"/>
        </w:rPr>
        <w:t>la Guinée</w:t>
      </w:r>
      <w:r w:rsidRPr="004D581E">
        <w:rPr>
          <w:rFonts w:ascii="Times New Roman" w:hAnsi="Times New Roman"/>
        </w:rPr>
        <w:t xml:space="preserve"> </w:t>
      </w:r>
      <w:r w:rsidR="002E0570" w:rsidRPr="004D581E">
        <w:rPr>
          <w:rFonts w:ascii="Times New Roman" w:hAnsi="Times New Roman"/>
        </w:rPr>
        <w:t>Bissau,</w:t>
      </w:r>
      <w:r w:rsidRPr="004D581E">
        <w:rPr>
          <w:rFonts w:ascii="Times New Roman" w:hAnsi="Times New Roman"/>
        </w:rPr>
        <w:t xml:space="preserve"> plusieurs quartiers de Bissau non couverts par les précédents projets connaissent un problème crucial d’eau potable à tel point que la majorité des communautés s’approvisionnent dans les puits traditionnels, avec des eaux insalubres, cause des nombreuses maladies. </w:t>
      </w:r>
    </w:p>
    <w:p w:rsidR="000D0F18" w:rsidRPr="004D581E" w:rsidRDefault="000D0F18" w:rsidP="00EA5DFC">
      <w:pPr>
        <w:spacing w:after="120" w:line="240" w:lineRule="auto"/>
        <w:ind w:left="-284" w:right="-853"/>
        <w:jc w:val="both"/>
        <w:rPr>
          <w:rFonts w:ascii="Times New Roman" w:hAnsi="Times New Roman"/>
        </w:rPr>
      </w:pPr>
      <w:r w:rsidRPr="004D581E">
        <w:rPr>
          <w:rFonts w:ascii="Times New Roman" w:hAnsi="Times New Roman"/>
        </w:rPr>
        <w:t>En vue de réduire ces effets négatifs et d`améliorer les conditions d’hygiènes de la population à travers l’accès à l’eau potable, le Gouvernement et son Partenaire (Banque Mondiale), dans le cadre du projet d’Eau et Electricité, veulent renforcer le service d’alimentation en eau potable et électricité de la ville de Bissau et des quartiers périphériques.</w:t>
      </w:r>
    </w:p>
    <w:p w:rsidR="000D0F18" w:rsidRPr="004D581E" w:rsidRDefault="000D0F18" w:rsidP="00EA5DFC">
      <w:pPr>
        <w:spacing w:after="120" w:line="240" w:lineRule="auto"/>
        <w:ind w:left="-284" w:right="-853"/>
        <w:jc w:val="both"/>
        <w:rPr>
          <w:rFonts w:ascii="Times New Roman" w:hAnsi="Times New Roman"/>
        </w:rPr>
      </w:pPr>
      <w:r w:rsidRPr="004D581E">
        <w:rPr>
          <w:rFonts w:ascii="Times New Roman" w:hAnsi="Times New Roman"/>
        </w:rPr>
        <w:t>Ainsi, ceci exige l’application des directives opérationnelles de protection environnementale et sociale conformément à la réglementation en vigueur en Guinée-Bissau et celles des politiques/directives environnementales et sociales du bailleur de la Banque Mondiale. Il a été décidé de réaliser des Etudes d’Impact Environnemental et Social (EIES) et des Plans d’Actions de Réinstallation.</w:t>
      </w:r>
    </w:p>
    <w:p w:rsidR="004D581E" w:rsidRPr="003140E3" w:rsidRDefault="004D581E" w:rsidP="003140E3">
      <w:pPr>
        <w:pStyle w:val="PargrafodaLista"/>
        <w:numPr>
          <w:ilvl w:val="0"/>
          <w:numId w:val="245"/>
        </w:numPr>
        <w:tabs>
          <w:tab w:val="left" w:pos="1418"/>
          <w:tab w:val="left" w:pos="1843"/>
        </w:tabs>
        <w:spacing w:after="240" w:line="240" w:lineRule="auto"/>
        <w:ind w:right="-283"/>
        <w:contextualSpacing w:val="0"/>
        <w:rPr>
          <w:rFonts w:ascii="Times New Roman" w:hAnsi="Times New Roman"/>
          <w:b/>
          <w:bCs/>
          <w:i/>
          <w:sz w:val="22"/>
          <w:szCs w:val="22"/>
          <w:lang w:val="fr-FR"/>
        </w:rPr>
      </w:pPr>
      <w:r w:rsidRPr="003140E3">
        <w:rPr>
          <w:rFonts w:ascii="Times New Roman" w:hAnsi="Times New Roman"/>
          <w:b/>
          <w:bCs/>
          <w:i/>
          <w:sz w:val="22"/>
          <w:szCs w:val="22"/>
          <w:lang w:val="fr-FR"/>
        </w:rPr>
        <w:t>OBJECTIFS DE L’EIES</w:t>
      </w:r>
    </w:p>
    <w:p w:rsidR="004D581E" w:rsidRPr="004D581E" w:rsidRDefault="004D581E" w:rsidP="00EA5DFC">
      <w:pPr>
        <w:spacing w:after="120" w:line="240" w:lineRule="auto"/>
        <w:ind w:left="-284" w:right="-853"/>
        <w:jc w:val="both"/>
        <w:rPr>
          <w:rFonts w:ascii="Times New Roman" w:hAnsi="Times New Roman"/>
        </w:rPr>
      </w:pPr>
      <w:r w:rsidRPr="004D581E">
        <w:rPr>
          <w:rFonts w:ascii="Times New Roman" w:hAnsi="Times New Roman"/>
        </w:rPr>
        <w:t>Cette étude vise à cerner l’ensemble des impacts sur l’environnement biophysique et socio-économique liés au sous-projet n°2 (la Construction de trois nouveaux châteaux d’eau (Prabis, Safim, Bor et Antula) et la réhabilitation des autres châteaux d’eau existants) du projet PUASEE-</w:t>
      </w:r>
      <w:r w:rsidR="00EA5DFC">
        <w:rPr>
          <w:rFonts w:ascii="Times New Roman" w:hAnsi="Times New Roman"/>
        </w:rPr>
        <w:t>FA.</w:t>
      </w:r>
    </w:p>
    <w:p w:rsidR="004D581E" w:rsidRPr="004D581E" w:rsidRDefault="004D581E" w:rsidP="00EA5DFC">
      <w:pPr>
        <w:spacing w:after="120" w:line="240" w:lineRule="auto"/>
        <w:ind w:left="-284" w:right="-853"/>
        <w:jc w:val="both"/>
        <w:rPr>
          <w:rFonts w:ascii="Times New Roman" w:hAnsi="Times New Roman"/>
        </w:rPr>
      </w:pPr>
      <w:r w:rsidRPr="004D581E">
        <w:rPr>
          <w:rFonts w:ascii="Times New Roman" w:hAnsi="Times New Roman"/>
        </w:rPr>
        <w:t>En termes d’approche, divers instruments réglementaires et politiques prescrivent la démarche devant conduire à l’élaboration du rapport d’EIES du sous-projet n°2.</w:t>
      </w:r>
    </w:p>
    <w:p w:rsidR="00EA5DFC" w:rsidRDefault="004D581E" w:rsidP="00EA5DFC">
      <w:pPr>
        <w:spacing w:after="120" w:line="240" w:lineRule="auto"/>
        <w:ind w:left="-284" w:right="-853"/>
        <w:jc w:val="both"/>
        <w:rPr>
          <w:rFonts w:ascii="Times New Roman" w:hAnsi="Times New Roman"/>
        </w:rPr>
      </w:pPr>
      <w:r w:rsidRPr="004D581E">
        <w:rPr>
          <w:rFonts w:ascii="Times New Roman" w:hAnsi="Times New Roman"/>
        </w:rPr>
        <w:t>Il s’agit notamment de ceux qu’imposent les arrêtés complétant la législation nationale, en particulier la loi de base nº 1/2011 du 2 mars sur l’environnement et la loi n° 10/2010 sur l’évaluation environnementale ainsi que la politique de sauvegarde environnementale et sociale de la Banque mondiale.</w:t>
      </w:r>
    </w:p>
    <w:p w:rsidR="00EA5DFC" w:rsidRPr="003140E3" w:rsidRDefault="00EA5DFC" w:rsidP="003140E3">
      <w:pPr>
        <w:pStyle w:val="PargrafodaLista"/>
        <w:numPr>
          <w:ilvl w:val="0"/>
          <w:numId w:val="245"/>
        </w:numPr>
        <w:tabs>
          <w:tab w:val="left" w:pos="1418"/>
          <w:tab w:val="left" w:pos="1843"/>
        </w:tabs>
        <w:spacing w:after="240" w:line="240" w:lineRule="auto"/>
        <w:ind w:right="-283"/>
        <w:contextualSpacing w:val="0"/>
        <w:rPr>
          <w:rFonts w:ascii="Times New Roman" w:hAnsi="Times New Roman"/>
          <w:b/>
          <w:bCs/>
          <w:i/>
          <w:sz w:val="22"/>
          <w:szCs w:val="22"/>
          <w:lang w:val="fr-FR"/>
        </w:rPr>
      </w:pPr>
      <w:r w:rsidRPr="003140E3">
        <w:rPr>
          <w:rFonts w:ascii="Times New Roman" w:hAnsi="Times New Roman"/>
          <w:b/>
          <w:bCs/>
          <w:i/>
          <w:sz w:val="22"/>
          <w:szCs w:val="22"/>
          <w:lang w:val="fr-FR"/>
        </w:rPr>
        <w:t>OBJECTIF DU PROJET PUASEE-FA</w:t>
      </w:r>
    </w:p>
    <w:p w:rsidR="00EA5DFC" w:rsidRPr="001A349D" w:rsidRDefault="00EA5DFC" w:rsidP="001A349D">
      <w:pPr>
        <w:spacing w:after="0" w:line="240" w:lineRule="auto"/>
        <w:ind w:left="-284" w:right="-853"/>
        <w:jc w:val="both"/>
        <w:rPr>
          <w:rFonts w:ascii="Times New Roman" w:hAnsi="Times New Roman"/>
        </w:rPr>
      </w:pPr>
      <w:r w:rsidRPr="001A349D">
        <w:rPr>
          <w:rFonts w:ascii="Times New Roman" w:hAnsi="Times New Roman"/>
        </w:rPr>
        <w:t>Le Projet a été mis en vigueur en juillet 2014 et sa date de clôture était initialement prévue au 30 juin 2018. La Banque Mondiale et les autorités bissau-guinéennes ont cependant convenu de la préparation d’un Financement Additionnel (FA) au projet pour appui à de nouvelles actions, dans les domaines suivants :</w:t>
      </w:r>
    </w:p>
    <w:p w:rsidR="00EA5DFC" w:rsidRPr="00EA5DFC" w:rsidRDefault="00EA5DFC" w:rsidP="00EA5DFC">
      <w:pPr>
        <w:pStyle w:val="PargrafodaLista"/>
        <w:numPr>
          <w:ilvl w:val="0"/>
          <w:numId w:val="61"/>
        </w:numPr>
        <w:spacing w:after="0" w:line="240" w:lineRule="auto"/>
        <w:jc w:val="both"/>
        <w:rPr>
          <w:rFonts w:ascii="Times New Roman" w:hAnsi="Times New Roman"/>
          <w:sz w:val="22"/>
          <w:szCs w:val="22"/>
          <w:lang w:val="fr-FR"/>
        </w:rPr>
      </w:pPr>
      <w:r w:rsidRPr="00EA5DFC">
        <w:rPr>
          <w:rFonts w:ascii="Times New Roman" w:hAnsi="Times New Roman"/>
          <w:sz w:val="22"/>
          <w:szCs w:val="22"/>
          <w:lang w:val="fr-FR"/>
        </w:rPr>
        <w:t>Renforcement de la capacité de production d`eau ;</w:t>
      </w:r>
    </w:p>
    <w:p w:rsidR="00EA5DFC" w:rsidRPr="00EA5DFC" w:rsidRDefault="00EA5DFC" w:rsidP="00EA5DFC">
      <w:pPr>
        <w:pStyle w:val="PargrafodaLista"/>
        <w:numPr>
          <w:ilvl w:val="0"/>
          <w:numId w:val="61"/>
        </w:numPr>
        <w:spacing w:after="0" w:line="240" w:lineRule="auto"/>
        <w:jc w:val="both"/>
        <w:rPr>
          <w:rFonts w:ascii="Times New Roman" w:hAnsi="Times New Roman"/>
          <w:sz w:val="22"/>
          <w:szCs w:val="22"/>
          <w:lang w:val="fr-FR"/>
        </w:rPr>
      </w:pPr>
      <w:r w:rsidRPr="00EA5DFC">
        <w:rPr>
          <w:rFonts w:ascii="Times New Roman" w:hAnsi="Times New Roman"/>
          <w:sz w:val="22"/>
          <w:szCs w:val="22"/>
          <w:lang w:val="fr-FR"/>
        </w:rPr>
        <w:t>Augmentation de capacité de stockage ;</w:t>
      </w:r>
    </w:p>
    <w:p w:rsidR="00EA5DFC" w:rsidRPr="00EA5DFC" w:rsidRDefault="00EA5DFC" w:rsidP="00EA5DFC">
      <w:pPr>
        <w:pStyle w:val="PargrafodaLista"/>
        <w:numPr>
          <w:ilvl w:val="0"/>
          <w:numId w:val="61"/>
        </w:numPr>
        <w:spacing w:after="0" w:line="240" w:lineRule="auto"/>
        <w:jc w:val="both"/>
        <w:rPr>
          <w:rFonts w:ascii="Times New Roman" w:hAnsi="Times New Roman"/>
          <w:sz w:val="22"/>
          <w:szCs w:val="22"/>
          <w:lang w:val="fr-FR"/>
        </w:rPr>
      </w:pPr>
      <w:r w:rsidRPr="00EA5DFC">
        <w:rPr>
          <w:rFonts w:ascii="Times New Roman" w:hAnsi="Times New Roman"/>
          <w:sz w:val="22"/>
          <w:szCs w:val="22"/>
          <w:lang w:val="fr-FR"/>
        </w:rPr>
        <w:t>Réhabilitation de réseaux existants ;</w:t>
      </w:r>
    </w:p>
    <w:p w:rsidR="00EA5DFC" w:rsidRDefault="00EA5DFC" w:rsidP="001A349D">
      <w:pPr>
        <w:pStyle w:val="PargrafodaLista"/>
        <w:numPr>
          <w:ilvl w:val="0"/>
          <w:numId w:val="61"/>
        </w:numPr>
        <w:spacing w:after="0" w:line="240" w:lineRule="auto"/>
        <w:jc w:val="both"/>
        <w:rPr>
          <w:rFonts w:ascii="Times New Roman" w:hAnsi="Times New Roman"/>
          <w:sz w:val="22"/>
          <w:szCs w:val="22"/>
          <w:lang w:val="fr-FR"/>
        </w:rPr>
      </w:pPr>
      <w:r w:rsidRPr="00EA5DFC">
        <w:rPr>
          <w:rFonts w:ascii="Times New Roman" w:hAnsi="Times New Roman"/>
          <w:sz w:val="22"/>
          <w:szCs w:val="22"/>
          <w:lang w:val="fr-FR"/>
        </w:rPr>
        <w:t>Extension des réseaux secondaires et tertiaires et réalisation de branchements sociaux et de bornes fontaines dans les quartiers périphériques.</w:t>
      </w:r>
    </w:p>
    <w:p w:rsidR="001A349D" w:rsidRPr="001A349D" w:rsidRDefault="001A349D" w:rsidP="001A349D">
      <w:pPr>
        <w:pStyle w:val="PargrafodaLista"/>
        <w:spacing w:after="0" w:line="240" w:lineRule="auto"/>
        <w:jc w:val="both"/>
        <w:rPr>
          <w:rFonts w:ascii="Times New Roman" w:hAnsi="Times New Roman"/>
          <w:sz w:val="22"/>
          <w:szCs w:val="22"/>
          <w:lang w:val="fr-FR"/>
        </w:rPr>
      </w:pPr>
    </w:p>
    <w:p w:rsidR="00EA5DFC" w:rsidRPr="00EA5DFC" w:rsidRDefault="00EA5DFC" w:rsidP="00EA5DFC">
      <w:pPr>
        <w:autoSpaceDE w:val="0"/>
        <w:autoSpaceDN w:val="0"/>
        <w:adjustRightInd w:val="0"/>
        <w:spacing w:after="0" w:line="240" w:lineRule="auto"/>
        <w:ind w:left="-284" w:right="-851"/>
        <w:jc w:val="both"/>
        <w:rPr>
          <w:rFonts w:ascii="Times New Roman" w:hAnsi="Times New Roman" w:cs="Times New Roman"/>
        </w:rPr>
      </w:pPr>
      <w:r w:rsidRPr="00EA5DFC">
        <w:rPr>
          <w:rFonts w:ascii="Times New Roman" w:hAnsi="Times New Roman" w:cs="Times New Roman"/>
        </w:rPr>
        <w:t>L’objectif de développement du projet PUASEE-FA est le suivant :</w:t>
      </w:r>
    </w:p>
    <w:p w:rsidR="00EA5DFC" w:rsidRPr="00EA5DFC" w:rsidRDefault="00EA5DFC" w:rsidP="00EA5DFC">
      <w:pPr>
        <w:pStyle w:val="PargrafodaLista"/>
        <w:numPr>
          <w:ilvl w:val="0"/>
          <w:numId w:val="47"/>
        </w:numPr>
        <w:spacing w:after="0" w:line="240" w:lineRule="auto"/>
        <w:ind w:left="567" w:right="-709" w:hanging="425"/>
        <w:contextualSpacing w:val="0"/>
        <w:jc w:val="both"/>
        <w:rPr>
          <w:rFonts w:ascii="Times New Roman" w:hAnsi="Times New Roman"/>
          <w:sz w:val="22"/>
          <w:szCs w:val="22"/>
          <w:lang w:val="fr-FR"/>
        </w:rPr>
      </w:pPr>
      <w:r w:rsidRPr="00EA5DFC">
        <w:rPr>
          <w:rFonts w:ascii="Times New Roman" w:hAnsi="Times New Roman"/>
          <w:sz w:val="22"/>
          <w:szCs w:val="22"/>
          <w:lang w:val="fr-FR"/>
        </w:rPr>
        <w:t xml:space="preserve">Rétablir et élargir l’accès de la population de Bissau à l’eau potable et améliorer la qualité des services d’alimentation en eau ; et </w:t>
      </w:r>
    </w:p>
    <w:p w:rsidR="00EA5DFC" w:rsidRDefault="00EA5DFC" w:rsidP="00EA5DFC">
      <w:pPr>
        <w:pStyle w:val="PargrafodaLista"/>
        <w:numPr>
          <w:ilvl w:val="0"/>
          <w:numId w:val="47"/>
        </w:numPr>
        <w:spacing w:after="0" w:line="240" w:lineRule="auto"/>
        <w:ind w:left="567" w:right="-709" w:hanging="425"/>
        <w:contextualSpacing w:val="0"/>
        <w:jc w:val="both"/>
        <w:rPr>
          <w:rFonts w:ascii="Times New Roman" w:hAnsi="Times New Roman"/>
          <w:sz w:val="22"/>
          <w:szCs w:val="22"/>
          <w:lang w:val="fr-FR"/>
        </w:rPr>
      </w:pPr>
      <w:r w:rsidRPr="00EA5DFC">
        <w:rPr>
          <w:rFonts w:ascii="Times New Roman" w:hAnsi="Times New Roman"/>
          <w:sz w:val="22"/>
          <w:szCs w:val="22"/>
          <w:lang w:val="fr-FR"/>
        </w:rPr>
        <w:t>Améliorer la fiabilité de la fourniture d’électricité à la population de Bissau.</w:t>
      </w:r>
    </w:p>
    <w:p w:rsidR="00EA5DFC" w:rsidRPr="00EA5DFC" w:rsidRDefault="00EA5DFC" w:rsidP="00EA5DFC">
      <w:pPr>
        <w:pStyle w:val="PargrafodaLista"/>
        <w:spacing w:after="0" w:line="240" w:lineRule="auto"/>
        <w:ind w:left="567" w:right="-709"/>
        <w:contextualSpacing w:val="0"/>
        <w:jc w:val="both"/>
        <w:rPr>
          <w:rFonts w:ascii="Times New Roman" w:hAnsi="Times New Roman"/>
          <w:sz w:val="22"/>
          <w:szCs w:val="22"/>
          <w:lang w:val="fr-FR"/>
        </w:rPr>
      </w:pPr>
    </w:p>
    <w:p w:rsidR="004D581E" w:rsidRPr="003140E3" w:rsidRDefault="004D581E" w:rsidP="003140E3">
      <w:pPr>
        <w:pStyle w:val="PargrafodaLista"/>
        <w:numPr>
          <w:ilvl w:val="0"/>
          <w:numId w:val="245"/>
        </w:numPr>
        <w:tabs>
          <w:tab w:val="left" w:pos="1418"/>
          <w:tab w:val="left" w:pos="1843"/>
        </w:tabs>
        <w:spacing w:after="240" w:line="240" w:lineRule="auto"/>
        <w:ind w:right="-283"/>
        <w:contextualSpacing w:val="0"/>
        <w:rPr>
          <w:rFonts w:ascii="Times New Roman" w:hAnsi="Times New Roman"/>
          <w:b/>
          <w:bCs/>
          <w:i/>
          <w:sz w:val="22"/>
          <w:szCs w:val="22"/>
          <w:lang w:val="fr-FR"/>
        </w:rPr>
      </w:pPr>
      <w:r w:rsidRPr="003140E3">
        <w:rPr>
          <w:rFonts w:ascii="Times New Roman" w:hAnsi="Times New Roman"/>
          <w:b/>
          <w:bCs/>
          <w:i/>
          <w:sz w:val="22"/>
          <w:szCs w:val="22"/>
          <w:lang w:val="fr-FR"/>
        </w:rPr>
        <w:t xml:space="preserve">DEMARCHE METHODOLOGIQUE EIES </w:t>
      </w:r>
    </w:p>
    <w:p w:rsidR="004D581E" w:rsidRPr="004D581E" w:rsidRDefault="004D581E" w:rsidP="00EA5DFC">
      <w:pPr>
        <w:spacing w:after="120" w:line="240" w:lineRule="auto"/>
        <w:ind w:left="-284" w:right="-853"/>
        <w:jc w:val="both"/>
        <w:rPr>
          <w:rFonts w:ascii="Times New Roman" w:hAnsi="Times New Roman"/>
        </w:rPr>
      </w:pPr>
      <w:r w:rsidRPr="004D581E">
        <w:rPr>
          <w:rFonts w:ascii="Times New Roman" w:hAnsi="Times New Roman"/>
        </w:rPr>
        <w:t>La méthodologie de l’étude, s’est inspirée des dispositions réglementaires en matière d’études d’impacts portant contenu du rapport de l’EIES au Guinée Bissau tout en respectant les indications contenues dans les TDR.</w:t>
      </w:r>
    </w:p>
    <w:p w:rsidR="004D581E" w:rsidRPr="004D581E" w:rsidRDefault="004D581E" w:rsidP="00EA5DFC">
      <w:pPr>
        <w:spacing w:after="120" w:line="240" w:lineRule="auto"/>
        <w:ind w:left="-284" w:right="-853"/>
        <w:jc w:val="both"/>
        <w:rPr>
          <w:rFonts w:ascii="Times New Roman" w:hAnsi="Times New Roman"/>
        </w:rPr>
      </w:pPr>
      <w:r w:rsidRPr="004D581E">
        <w:rPr>
          <w:rFonts w:ascii="Times New Roman" w:hAnsi="Times New Roman"/>
        </w:rPr>
        <w:t>Conformément au TDR, La structuration de l’étude peut se dérouler en trois (03) phases :</w:t>
      </w:r>
    </w:p>
    <w:p w:rsidR="004D581E" w:rsidRPr="004D581E" w:rsidRDefault="004D581E" w:rsidP="004D581E">
      <w:pPr>
        <w:pStyle w:val="PargrafodaLista"/>
        <w:numPr>
          <w:ilvl w:val="3"/>
          <w:numId w:val="12"/>
        </w:numPr>
        <w:pBdr>
          <w:top w:val="single" w:sz="4" w:space="1" w:color="000000" w:themeColor="text1"/>
          <w:left w:val="single" w:sz="4" w:space="4" w:color="000000" w:themeColor="text1"/>
          <w:bottom w:val="single" w:sz="4" w:space="1" w:color="000000" w:themeColor="text1"/>
          <w:right w:val="single" w:sz="4" w:space="4" w:color="000000" w:themeColor="text1"/>
        </w:pBdr>
        <w:spacing w:after="0" w:line="240" w:lineRule="auto"/>
        <w:ind w:right="-709"/>
        <w:jc w:val="both"/>
        <w:rPr>
          <w:rFonts w:ascii="Times New Roman" w:hAnsi="Times New Roman"/>
          <w:sz w:val="22"/>
          <w:szCs w:val="22"/>
          <w:lang w:val="fr-FR"/>
        </w:rPr>
      </w:pPr>
      <w:r w:rsidRPr="004D581E">
        <w:rPr>
          <w:rFonts w:ascii="Times New Roman" w:hAnsi="Times New Roman"/>
          <w:sz w:val="22"/>
          <w:szCs w:val="22"/>
          <w:lang w:val="fr-FR"/>
        </w:rPr>
        <w:t>Une phase de reconnaissance de terrain au cours de laquelle l’équipe du consultant accompagnée du personnel de PUASEE-FA ont pris connaissance des sites d’implantation du projet ;</w:t>
      </w:r>
    </w:p>
    <w:p w:rsidR="004D581E" w:rsidRPr="004D581E" w:rsidRDefault="004D581E" w:rsidP="004D581E">
      <w:pPr>
        <w:pStyle w:val="PargrafodaLista"/>
        <w:numPr>
          <w:ilvl w:val="3"/>
          <w:numId w:val="12"/>
        </w:numPr>
        <w:pBdr>
          <w:top w:val="single" w:sz="4" w:space="1" w:color="000000" w:themeColor="text1"/>
          <w:left w:val="single" w:sz="4" w:space="4" w:color="000000" w:themeColor="text1"/>
          <w:bottom w:val="single" w:sz="4" w:space="1" w:color="000000" w:themeColor="text1"/>
          <w:right w:val="single" w:sz="4" w:space="4" w:color="000000" w:themeColor="text1"/>
        </w:pBdr>
        <w:spacing w:after="0" w:line="240" w:lineRule="auto"/>
        <w:ind w:right="-709"/>
        <w:jc w:val="both"/>
        <w:rPr>
          <w:rFonts w:ascii="Times New Roman" w:hAnsi="Times New Roman"/>
          <w:sz w:val="22"/>
          <w:szCs w:val="22"/>
          <w:lang w:val="fr-FR"/>
        </w:rPr>
      </w:pPr>
      <w:r w:rsidRPr="004D581E">
        <w:rPr>
          <w:rFonts w:ascii="Times New Roman" w:hAnsi="Times New Roman"/>
          <w:sz w:val="22"/>
          <w:szCs w:val="22"/>
          <w:lang w:val="fr-FR"/>
        </w:rPr>
        <w:t xml:space="preserve">Une phase de collecte des données sur le terrain centré sur une démarche participative, avec des séries de rencontres avec les populations locales et les acteurs institutionnels principalement concernés par le projet dans tout le département : autorités administratives ; collectivités locales ; services techniques de l’Etat ; organisations communautaires de base, etc.  Au cours de cette phase, il a été question de faire </w:t>
      </w:r>
      <w:r w:rsidRPr="004D581E">
        <w:rPr>
          <w:rFonts w:ascii="Times New Roman" w:hAnsi="Times New Roman"/>
          <w:sz w:val="22"/>
          <w:szCs w:val="22"/>
          <w:lang w:val="fr-FR"/>
        </w:rPr>
        <w:lastRenderedPageBreak/>
        <w:t>l’élaboration du schéma itinéraire environnemental, la reconnaissance de l’état initial de l’environnement physique, humain, biologique et socio-économique par des observations directes et des entretiens formels et informels, l’identification des impacts potentiels et les actions environnementales à prendre pour les atténuer.</w:t>
      </w:r>
    </w:p>
    <w:p w:rsidR="004D581E" w:rsidRPr="004D581E" w:rsidRDefault="004D581E" w:rsidP="004D581E">
      <w:pPr>
        <w:pStyle w:val="PargrafodaLista"/>
        <w:numPr>
          <w:ilvl w:val="3"/>
          <w:numId w:val="12"/>
        </w:numPr>
        <w:pBdr>
          <w:top w:val="single" w:sz="4" w:space="1" w:color="000000" w:themeColor="text1"/>
          <w:left w:val="single" w:sz="4" w:space="4" w:color="000000" w:themeColor="text1"/>
          <w:bottom w:val="single" w:sz="4" w:space="1" w:color="000000" w:themeColor="text1"/>
          <w:right w:val="single" w:sz="4" w:space="4" w:color="000000" w:themeColor="text1"/>
        </w:pBdr>
        <w:spacing w:after="0" w:line="240" w:lineRule="auto"/>
        <w:ind w:right="-709"/>
        <w:jc w:val="both"/>
        <w:rPr>
          <w:rFonts w:ascii="Times New Roman" w:hAnsi="Times New Roman"/>
          <w:sz w:val="22"/>
          <w:szCs w:val="22"/>
          <w:lang w:val="fr-FR"/>
        </w:rPr>
      </w:pPr>
      <w:r w:rsidRPr="004D581E">
        <w:rPr>
          <w:rFonts w:ascii="Times New Roman" w:hAnsi="Times New Roman"/>
          <w:sz w:val="22"/>
          <w:szCs w:val="22"/>
          <w:lang w:val="fr-FR"/>
        </w:rPr>
        <w:t>Une phase de synthèse des données collectées et d'élaboration du rapport. Les différentes phases ont été accompagnées de recherche bibliographique sur les divers aspects du projet.</w:t>
      </w:r>
    </w:p>
    <w:p w:rsidR="004D581E" w:rsidRDefault="004D581E" w:rsidP="00EA5DFC">
      <w:pPr>
        <w:spacing w:after="0" w:line="240" w:lineRule="auto"/>
        <w:jc w:val="both"/>
        <w:rPr>
          <w:rFonts w:ascii="Times New Roman" w:hAnsi="Times New Roman" w:cs="Times New Roman"/>
          <w:b/>
          <w:sz w:val="24"/>
          <w:szCs w:val="24"/>
        </w:rPr>
      </w:pPr>
    </w:p>
    <w:p w:rsidR="00EA5DFC" w:rsidRPr="003140E3" w:rsidRDefault="00EA5DFC" w:rsidP="003140E3">
      <w:pPr>
        <w:pStyle w:val="PargrafodaLista"/>
        <w:numPr>
          <w:ilvl w:val="0"/>
          <w:numId w:val="245"/>
        </w:numPr>
        <w:tabs>
          <w:tab w:val="left" w:pos="1418"/>
          <w:tab w:val="left" w:pos="1843"/>
        </w:tabs>
        <w:spacing w:after="240" w:line="240" w:lineRule="auto"/>
        <w:ind w:right="-283"/>
        <w:contextualSpacing w:val="0"/>
        <w:rPr>
          <w:rFonts w:ascii="Times New Roman" w:hAnsi="Times New Roman"/>
          <w:b/>
          <w:bCs/>
          <w:i/>
          <w:sz w:val="22"/>
          <w:szCs w:val="22"/>
          <w:lang w:val="fr-FR"/>
        </w:rPr>
      </w:pPr>
      <w:r w:rsidRPr="003140E3">
        <w:rPr>
          <w:rFonts w:ascii="Times New Roman" w:hAnsi="Times New Roman"/>
          <w:b/>
          <w:bCs/>
          <w:i/>
          <w:sz w:val="22"/>
          <w:szCs w:val="22"/>
          <w:lang w:val="fr-FR"/>
        </w:rPr>
        <w:t xml:space="preserve">DESCRIPTION DU PROJET </w:t>
      </w:r>
    </w:p>
    <w:p w:rsidR="00EA5DFC" w:rsidRPr="00EA5DFC" w:rsidRDefault="00EA5DFC" w:rsidP="00EA5DFC">
      <w:pPr>
        <w:pStyle w:val="PargrafodaLista"/>
        <w:keepNext/>
        <w:numPr>
          <w:ilvl w:val="1"/>
          <w:numId w:val="244"/>
        </w:numPr>
        <w:spacing w:before="240" w:after="0"/>
        <w:jc w:val="both"/>
        <w:rPr>
          <w:rFonts w:ascii="Times New Roman" w:hAnsi="Times New Roman"/>
          <w:b/>
          <w:i/>
          <w:lang w:val="fr-FR" w:eastAsia="fr-FR"/>
        </w:rPr>
      </w:pPr>
      <w:r w:rsidRPr="00EA5DFC">
        <w:rPr>
          <w:rFonts w:ascii="Times New Roman" w:hAnsi="Times New Roman"/>
          <w:b/>
          <w:i/>
          <w:lang w:val="fr-FR" w:eastAsia="fr-FR"/>
        </w:rPr>
        <w:t xml:space="preserve">LOCALISATION DU SOUS-PROJET N°2 </w:t>
      </w:r>
    </w:p>
    <w:p w:rsidR="00EA5DFC" w:rsidRPr="005D657E" w:rsidRDefault="00EA5DFC" w:rsidP="00EA5DFC">
      <w:pPr>
        <w:spacing w:after="120" w:line="240" w:lineRule="auto"/>
        <w:ind w:left="-284" w:right="-853"/>
        <w:jc w:val="both"/>
        <w:rPr>
          <w:rFonts w:ascii="Times New Roman" w:hAnsi="Times New Roman" w:cs="Times New Roman"/>
        </w:rPr>
      </w:pPr>
      <w:r w:rsidRPr="005D657E">
        <w:rPr>
          <w:rFonts w:ascii="Times New Roman" w:hAnsi="Times New Roman" w:cs="Times New Roman"/>
        </w:rPr>
        <w:t>La construction de quatre nouveaux châteaux d’eau (Prabis, Safim, Bor et Antula) et la réhabilitation des autres châteaux d’eau existants du sous-projet n°2 de PUASEE-FA vont exécuter principalement dans trois quartiers (Aéroport, Antule-Pime et Bôr) dans la région de Bissau qui est la capitale politique et économique de la République de Guinée-Bissau et dans la région de Biombo précisément dans deux villes (Safim et Prabis).</w:t>
      </w:r>
    </w:p>
    <w:p w:rsidR="00EA5DFC" w:rsidRPr="005D657E" w:rsidRDefault="00EA5DFC" w:rsidP="00EA5DFC">
      <w:pPr>
        <w:spacing w:after="120" w:line="240" w:lineRule="auto"/>
        <w:ind w:left="-284" w:right="-853"/>
        <w:jc w:val="both"/>
        <w:rPr>
          <w:rFonts w:ascii="Times New Roman" w:hAnsi="Times New Roman" w:cs="Times New Roman"/>
        </w:rPr>
      </w:pPr>
      <w:r w:rsidRPr="005D657E">
        <w:rPr>
          <w:rFonts w:ascii="Times New Roman" w:hAnsi="Times New Roman" w:cs="Times New Roman"/>
        </w:rPr>
        <w:t>La ville de Bissau s'est développée sur un site estuarien. Son relief est très bas avec une petite élévation vers le nord-ouest donnant sur le plateau de Bissalanca. Les sols sont argileux et de type ferralitique de couleur rouge. Au niveau de la zone de contact avec le Rio Géba, le sol est halo-hydromorphe (Texeira, 1962). Ses sols sont relativement perméables permettant une infiltration facile des eaux de pluie.</w:t>
      </w:r>
    </w:p>
    <w:p w:rsidR="005D657E" w:rsidRPr="005D657E" w:rsidRDefault="005D657E" w:rsidP="005D657E">
      <w:pPr>
        <w:spacing w:after="120" w:line="240" w:lineRule="auto"/>
        <w:ind w:left="-284" w:right="-853"/>
        <w:jc w:val="both"/>
        <w:rPr>
          <w:rFonts w:ascii="Times New Roman" w:hAnsi="Times New Roman" w:cs="Times New Roman"/>
        </w:rPr>
      </w:pPr>
      <w:r w:rsidRPr="005D657E">
        <w:rPr>
          <w:rFonts w:ascii="Times New Roman" w:hAnsi="Times New Roman" w:cs="Times New Roman"/>
          <w:bCs/>
        </w:rPr>
        <w:t>La Région de Biombo, situé dans la partie centrale nord de Bissau, se trouve précisément dans la région</w:t>
      </w:r>
      <w:r w:rsidRPr="005D657E">
        <w:rPr>
          <w:rFonts w:ascii="Times New Roman" w:hAnsi="Times New Roman" w:cs="Times New Roman"/>
        </w:rPr>
        <w:t xml:space="preserve"> </w:t>
      </w:r>
      <w:r w:rsidRPr="005D657E">
        <w:rPr>
          <w:rFonts w:ascii="Times New Roman" w:hAnsi="Times New Roman" w:cs="Times New Roman"/>
          <w:bCs/>
        </w:rPr>
        <w:t>de l'Ouest-Nord de la Guinée-Bissau. Elle est limitée à l'ouest par les principales branches de la rivière de la</w:t>
      </w:r>
      <w:r w:rsidRPr="005D657E">
        <w:rPr>
          <w:rFonts w:ascii="Times New Roman" w:hAnsi="Times New Roman" w:cs="Times New Roman"/>
        </w:rPr>
        <w:t xml:space="preserve"> </w:t>
      </w:r>
      <w:r w:rsidRPr="005D657E">
        <w:rPr>
          <w:rFonts w:ascii="Times New Roman" w:hAnsi="Times New Roman" w:cs="Times New Roman"/>
          <w:bCs/>
        </w:rPr>
        <w:t>Guinée (Rio Canal Geba et le Rio Mansoa), qui divisait en plusieurs canaux petites et moyennes avec ses</w:t>
      </w:r>
      <w:r w:rsidRPr="005D657E">
        <w:rPr>
          <w:rFonts w:ascii="Times New Roman" w:hAnsi="Times New Roman" w:cs="Times New Roman"/>
        </w:rPr>
        <w:t xml:space="preserve"> </w:t>
      </w:r>
      <w:r w:rsidRPr="005D657E">
        <w:rPr>
          <w:rFonts w:ascii="Times New Roman" w:hAnsi="Times New Roman" w:cs="Times New Roman"/>
          <w:bCs/>
        </w:rPr>
        <w:t>belles plages intégrées dans une entrée de la mer sans vagues et étendues dans tous les coins intérieurs de</w:t>
      </w:r>
      <w:r w:rsidRPr="005D657E">
        <w:rPr>
          <w:rFonts w:ascii="Times New Roman" w:hAnsi="Times New Roman" w:cs="Times New Roman"/>
        </w:rPr>
        <w:t xml:space="preserve"> </w:t>
      </w:r>
      <w:r w:rsidRPr="005D657E">
        <w:rPr>
          <w:rFonts w:ascii="Times New Roman" w:hAnsi="Times New Roman" w:cs="Times New Roman"/>
          <w:bCs/>
        </w:rPr>
        <w:t>la région, permettant ainsi l'accès facile par voie maritime.</w:t>
      </w:r>
      <w:r w:rsidRPr="005D657E">
        <w:rPr>
          <w:rFonts w:ascii="Times New Roman" w:hAnsi="Times New Roman" w:cs="Times New Roman"/>
        </w:rPr>
        <w:t xml:space="preserve"> </w:t>
      </w:r>
    </w:p>
    <w:p w:rsidR="005D657E" w:rsidRPr="001A349D" w:rsidRDefault="005D657E" w:rsidP="001A349D">
      <w:pPr>
        <w:pStyle w:val="PargrafodaLista"/>
        <w:keepNext/>
        <w:numPr>
          <w:ilvl w:val="1"/>
          <w:numId w:val="244"/>
        </w:numPr>
        <w:spacing w:before="240" w:after="0"/>
        <w:jc w:val="both"/>
        <w:rPr>
          <w:rFonts w:ascii="Times New Roman" w:hAnsi="Times New Roman"/>
          <w:b/>
          <w:i/>
          <w:lang w:val="fr-FR" w:eastAsia="fr-FR"/>
        </w:rPr>
      </w:pPr>
      <w:r w:rsidRPr="001A349D">
        <w:rPr>
          <w:rFonts w:ascii="Times New Roman" w:hAnsi="Times New Roman"/>
          <w:b/>
          <w:i/>
          <w:lang w:val="fr-FR" w:eastAsia="fr-FR"/>
        </w:rPr>
        <w:t>CARACTERISTIQUES DU SOUS-PROJET N°2 DE PUASEE-FA</w:t>
      </w:r>
    </w:p>
    <w:p w:rsidR="005D657E" w:rsidRPr="001A349D" w:rsidRDefault="005D657E" w:rsidP="001A349D">
      <w:pPr>
        <w:spacing w:after="120" w:line="240" w:lineRule="auto"/>
        <w:ind w:left="-284" w:right="-853"/>
        <w:jc w:val="both"/>
        <w:rPr>
          <w:rFonts w:ascii="Times New Roman" w:hAnsi="Times New Roman" w:cs="Times New Roman"/>
          <w:bCs/>
        </w:rPr>
      </w:pPr>
      <w:r w:rsidRPr="001A349D">
        <w:rPr>
          <w:rFonts w:ascii="Times New Roman" w:hAnsi="Times New Roman" w:cs="Times New Roman"/>
          <w:bCs/>
        </w:rPr>
        <w:t>La Construction de quatre nouveaux châteaux d’eau (Pabis, Safim, Bor et Antula) et la réhabilitation des autres châteaux d’eau existants à Aéroport. Les investissements prévus concernant le sous-projet nº 02 se décrit sur le tableau ci-dessous :</w:t>
      </w:r>
    </w:p>
    <w:tbl>
      <w:tblPr>
        <w:tblW w:w="529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2"/>
        <w:gridCol w:w="7504"/>
        <w:gridCol w:w="617"/>
        <w:gridCol w:w="810"/>
      </w:tblGrid>
      <w:tr w:rsidR="005D657E" w:rsidRPr="001A349D" w:rsidTr="001A349D">
        <w:trPr>
          <w:trHeight w:val="118"/>
          <w:jc w:val="center"/>
        </w:trPr>
        <w:tc>
          <w:tcPr>
            <w:tcW w:w="662" w:type="dxa"/>
            <w:shd w:val="clear" w:color="auto" w:fill="F2F2F2" w:themeFill="background1" w:themeFillShade="F2"/>
            <w:noWrap/>
            <w:vAlign w:val="center"/>
          </w:tcPr>
          <w:p w:rsidR="005D657E" w:rsidRPr="001A349D" w:rsidRDefault="005D657E" w:rsidP="001A349D">
            <w:pPr>
              <w:spacing w:after="0"/>
              <w:jc w:val="center"/>
              <w:rPr>
                <w:rFonts w:ascii="Times New Roman" w:hAnsi="Times New Roman" w:cs="Times New Roman"/>
                <w:b/>
                <w:bCs/>
                <w:color w:val="000000"/>
                <w:sz w:val="20"/>
                <w:szCs w:val="20"/>
              </w:rPr>
            </w:pPr>
            <w:r w:rsidRPr="001A349D">
              <w:rPr>
                <w:rFonts w:ascii="Times New Roman" w:hAnsi="Times New Roman" w:cs="Times New Roman"/>
                <w:b/>
                <w:bCs/>
                <w:color w:val="000000"/>
                <w:sz w:val="20"/>
                <w:szCs w:val="20"/>
              </w:rPr>
              <w:t>N°</w:t>
            </w:r>
          </w:p>
        </w:tc>
        <w:tc>
          <w:tcPr>
            <w:tcW w:w="8376" w:type="dxa"/>
            <w:shd w:val="clear" w:color="auto" w:fill="E7E6E6"/>
            <w:vAlign w:val="center"/>
          </w:tcPr>
          <w:p w:rsidR="005D657E" w:rsidRPr="001A349D" w:rsidRDefault="005D657E" w:rsidP="001A349D">
            <w:pPr>
              <w:spacing w:after="0"/>
              <w:jc w:val="center"/>
              <w:rPr>
                <w:rFonts w:ascii="Times New Roman" w:hAnsi="Times New Roman" w:cs="Times New Roman"/>
                <w:b/>
                <w:bCs/>
                <w:color w:val="000000"/>
                <w:sz w:val="20"/>
                <w:szCs w:val="20"/>
              </w:rPr>
            </w:pPr>
            <w:r w:rsidRPr="001A349D">
              <w:rPr>
                <w:rFonts w:ascii="Times New Roman" w:hAnsi="Times New Roman" w:cs="Times New Roman"/>
                <w:b/>
                <w:bCs/>
                <w:color w:val="000000"/>
                <w:sz w:val="20"/>
                <w:szCs w:val="20"/>
              </w:rPr>
              <w:t>Détail des activités du sous- projet n°2</w:t>
            </w:r>
          </w:p>
        </w:tc>
        <w:tc>
          <w:tcPr>
            <w:tcW w:w="630" w:type="dxa"/>
            <w:shd w:val="clear" w:color="auto" w:fill="E7E6E6"/>
            <w:vAlign w:val="center"/>
          </w:tcPr>
          <w:p w:rsidR="005D657E" w:rsidRPr="001A349D" w:rsidRDefault="005D657E" w:rsidP="001A349D">
            <w:pPr>
              <w:spacing w:after="0"/>
              <w:jc w:val="center"/>
              <w:rPr>
                <w:rFonts w:ascii="Times New Roman" w:hAnsi="Times New Roman" w:cs="Times New Roman"/>
                <w:b/>
                <w:bCs/>
                <w:color w:val="000000"/>
                <w:sz w:val="20"/>
                <w:szCs w:val="20"/>
              </w:rPr>
            </w:pPr>
            <w:r w:rsidRPr="001A349D">
              <w:rPr>
                <w:rFonts w:ascii="Times New Roman" w:hAnsi="Times New Roman" w:cs="Times New Roman"/>
                <w:b/>
                <w:bCs/>
                <w:color w:val="000000"/>
                <w:sz w:val="20"/>
                <w:szCs w:val="20"/>
              </w:rPr>
              <w:t>Qté</w:t>
            </w:r>
          </w:p>
        </w:tc>
        <w:tc>
          <w:tcPr>
            <w:tcW w:w="828" w:type="dxa"/>
            <w:shd w:val="clear" w:color="auto" w:fill="E7E6E6"/>
            <w:vAlign w:val="center"/>
          </w:tcPr>
          <w:p w:rsidR="005D657E" w:rsidRPr="001A349D" w:rsidRDefault="005D657E" w:rsidP="001A349D">
            <w:pPr>
              <w:spacing w:after="0"/>
              <w:jc w:val="center"/>
              <w:rPr>
                <w:rFonts w:ascii="Times New Roman" w:hAnsi="Times New Roman" w:cs="Times New Roman"/>
                <w:b/>
                <w:bCs/>
                <w:color w:val="000000"/>
                <w:sz w:val="20"/>
                <w:szCs w:val="20"/>
              </w:rPr>
            </w:pPr>
            <w:r w:rsidRPr="001A349D">
              <w:rPr>
                <w:rFonts w:ascii="Times New Roman" w:hAnsi="Times New Roman" w:cs="Times New Roman"/>
                <w:b/>
                <w:bCs/>
                <w:color w:val="000000"/>
                <w:sz w:val="20"/>
                <w:szCs w:val="20"/>
              </w:rPr>
              <w:t>Unité</w:t>
            </w:r>
          </w:p>
        </w:tc>
      </w:tr>
      <w:tr w:rsidR="005D657E" w:rsidRPr="001A349D" w:rsidDel="001A6624" w:rsidTr="002C6E60">
        <w:trPr>
          <w:trHeight w:val="280"/>
          <w:jc w:val="center"/>
        </w:trPr>
        <w:tc>
          <w:tcPr>
            <w:tcW w:w="662" w:type="dxa"/>
            <w:shd w:val="clear" w:color="auto" w:fill="F2F2F2" w:themeFill="background1" w:themeFillShade="F2"/>
            <w:noWrap/>
            <w:vAlign w:val="center"/>
          </w:tcPr>
          <w:p w:rsidR="005D657E" w:rsidRPr="001A349D" w:rsidRDefault="005D657E" w:rsidP="001A349D">
            <w:pPr>
              <w:spacing w:after="0"/>
              <w:jc w:val="center"/>
              <w:rPr>
                <w:rFonts w:ascii="Times New Roman" w:hAnsi="Times New Roman" w:cs="Times New Roman"/>
                <w:b/>
                <w:color w:val="000000"/>
                <w:sz w:val="20"/>
                <w:szCs w:val="20"/>
              </w:rPr>
            </w:pPr>
            <w:r w:rsidRPr="001A349D">
              <w:rPr>
                <w:rFonts w:ascii="Times New Roman" w:hAnsi="Times New Roman" w:cs="Times New Roman"/>
                <w:b/>
                <w:color w:val="000000"/>
                <w:sz w:val="20"/>
                <w:szCs w:val="20"/>
              </w:rPr>
              <w:t>01</w:t>
            </w:r>
          </w:p>
        </w:tc>
        <w:tc>
          <w:tcPr>
            <w:tcW w:w="8376" w:type="dxa"/>
            <w:shd w:val="clear" w:color="auto" w:fill="auto"/>
            <w:vAlign w:val="center"/>
          </w:tcPr>
          <w:p w:rsidR="005D657E" w:rsidRPr="001A349D" w:rsidRDefault="005D657E" w:rsidP="001A349D">
            <w:pPr>
              <w:spacing w:after="0"/>
              <w:jc w:val="both"/>
              <w:rPr>
                <w:rFonts w:ascii="Times New Roman" w:hAnsi="Times New Roman" w:cs="Times New Roman"/>
                <w:sz w:val="20"/>
                <w:szCs w:val="20"/>
              </w:rPr>
            </w:pPr>
            <w:r w:rsidRPr="001A349D">
              <w:rPr>
                <w:rFonts w:ascii="Times New Roman" w:hAnsi="Times New Roman" w:cs="Times New Roman"/>
                <w:sz w:val="20"/>
                <w:szCs w:val="20"/>
              </w:rPr>
              <w:t xml:space="preserve">Construction d'un réservoir de 300 m3 à </w:t>
            </w:r>
            <w:r w:rsidRPr="001A349D">
              <w:rPr>
                <w:rFonts w:ascii="Times New Roman" w:hAnsi="Times New Roman" w:cs="Times New Roman"/>
                <w:b/>
                <w:bCs/>
                <w:sz w:val="20"/>
                <w:szCs w:val="20"/>
              </w:rPr>
              <w:t xml:space="preserve">Bor </w:t>
            </w:r>
          </w:p>
        </w:tc>
        <w:tc>
          <w:tcPr>
            <w:tcW w:w="630" w:type="dxa"/>
            <w:shd w:val="clear" w:color="auto" w:fill="auto"/>
            <w:vAlign w:val="center"/>
          </w:tcPr>
          <w:p w:rsidR="005D657E" w:rsidRPr="001A349D" w:rsidRDefault="005D657E" w:rsidP="001A349D">
            <w:pPr>
              <w:spacing w:after="0"/>
              <w:jc w:val="center"/>
              <w:rPr>
                <w:rFonts w:ascii="Times New Roman" w:hAnsi="Times New Roman" w:cs="Times New Roman"/>
                <w:sz w:val="20"/>
                <w:szCs w:val="20"/>
              </w:rPr>
            </w:pPr>
            <w:r w:rsidRPr="001A349D">
              <w:rPr>
                <w:rFonts w:ascii="Times New Roman" w:hAnsi="Times New Roman" w:cs="Times New Roman"/>
                <w:sz w:val="20"/>
                <w:szCs w:val="20"/>
              </w:rPr>
              <w:t>1</w:t>
            </w:r>
          </w:p>
        </w:tc>
        <w:tc>
          <w:tcPr>
            <w:tcW w:w="828" w:type="dxa"/>
            <w:shd w:val="clear" w:color="auto" w:fill="auto"/>
            <w:vAlign w:val="center"/>
          </w:tcPr>
          <w:p w:rsidR="005D657E" w:rsidRPr="001A349D" w:rsidDel="001A6624" w:rsidRDefault="005D657E" w:rsidP="001A349D">
            <w:pPr>
              <w:spacing w:after="0"/>
              <w:jc w:val="center"/>
              <w:rPr>
                <w:rFonts w:ascii="Times New Roman" w:hAnsi="Times New Roman" w:cs="Times New Roman"/>
                <w:sz w:val="20"/>
                <w:szCs w:val="20"/>
              </w:rPr>
            </w:pPr>
            <w:r w:rsidRPr="001A349D">
              <w:rPr>
                <w:rFonts w:ascii="Times New Roman" w:hAnsi="Times New Roman" w:cs="Times New Roman"/>
                <w:sz w:val="20"/>
                <w:szCs w:val="20"/>
              </w:rPr>
              <w:t>U</w:t>
            </w:r>
          </w:p>
        </w:tc>
      </w:tr>
      <w:tr w:rsidR="005D657E" w:rsidRPr="001A349D" w:rsidDel="001A6624" w:rsidTr="002C6E60">
        <w:trPr>
          <w:trHeight w:val="280"/>
          <w:jc w:val="center"/>
        </w:trPr>
        <w:tc>
          <w:tcPr>
            <w:tcW w:w="662" w:type="dxa"/>
            <w:shd w:val="clear" w:color="auto" w:fill="F2F2F2" w:themeFill="background1" w:themeFillShade="F2"/>
            <w:noWrap/>
            <w:vAlign w:val="center"/>
          </w:tcPr>
          <w:p w:rsidR="005D657E" w:rsidRPr="001A349D" w:rsidRDefault="005D657E" w:rsidP="001A349D">
            <w:pPr>
              <w:spacing w:after="0"/>
              <w:jc w:val="center"/>
              <w:rPr>
                <w:rFonts w:ascii="Times New Roman" w:hAnsi="Times New Roman" w:cs="Times New Roman"/>
                <w:b/>
                <w:color w:val="000000"/>
                <w:sz w:val="20"/>
                <w:szCs w:val="20"/>
              </w:rPr>
            </w:pPr>
            <w:r w:rsidRPr="001A349D">
              <w:rPr>
                <w:rFonts w:ascii="Times New Roman" w:hAnsi="Times New Roman" w:cs="Times New Roman"/>
                <w:b/>
                <w:color w:val="000000"/>
                <w:sz w:val="20"/>
                <w:szCs w:val="20"/>
              </w:rPr>
              <w:t>02</w:t>
            </w:r>
          </w:p>
        </w:tc>
        <w:tc>
          <w:tcPr>
            <w:tcW w:w="8376" w:type="dxa"/>
            <w:shd w:val="clear" w:color="auto" w:fill="auto"/>
            <w:vAlign w:val="center"/>
          </w:tcPr>
          <w:p w:rsidR="005D657E" w:rsidRPr="001A349D" w:rsidRDefault="005D657E" w:rsidP="001A349D">
            <w:pPr>
              <w:spacing w:after="0"/>
              <w:jc w:val="both"/>
              <w:rPr>
                <w:rFonts w:ascii="Times New Roman" w:hAnsi="Times New Roman" w:cs="Times New Roman"/>
                <w:sz w:val="20"/>
                <w:szCs w:val="20"/>
              </w:rPr>
            </w:pPr>
            <w:r w:rsidRPr="001A349D">
              <w:rPr>
                <w:rFonts w:ascii="Times New Roman" w:hAnsi="Times New Roman" w:cs="Times New Roman"/>
                <w:sz w:val="20"/>
                <w:szCs w:val="20"/>
              </w:rPr>
              <w:t>Construction d'un réservoir de 300 m3 à</w:t>
            </w:r>
            <w:r w:rsidRPr="001A349D">
              <w:rPr>
                <w:rFonts w:ascii="Times New Roman" w:hAnsi="Times New Roman" w:cs="Times New Roman"/>
                <w:b/>
                <w:sz w:val="20"/>
                <w:szCs w:val="20"/>
              </w:rPr>
              <w:t xml:space="preserve"> Safim</w:t>
            </w:r>
          </w:p>
        </w:tc>
        <w:tc>
          <w:tcPr>
            <w:tcW w:w="630" w:type="dxa"/>
            <w:shd w:val="clear" w:color="auto" w:fill="auto"/>
            <w:vAlign w:val="center"/>
          </w:tcPr>
          <w:p w:rsidR="005D657E" w:rsidRPr="001A349D" w:rsidRDefault="005D657E" w:rsidP="001A349D">
            <w:pPr>
              <w:spacing w:after="0"/>
              <w:jc w:val="center"/>
              <w:rPr>
                <w:rFonts w:ascii="Times New Roman" w:hAnsi="Times New Roman" w:cs="Times New Roman"/>
                <w:sz w:val="20"/>
                <w:szCs w:val="20"/>
              </w:rPr>
            </w:pPr>
            <w:r w:rsidRPr="001A349D">
              <w:rPr>
                <w:rFonts w:ascii="Times New Roman" w:hAnsi="Times New Roman" w:cs="Times New Roman"/>
                <w:sz w:val="20"/>
                <w:szCs w:val="20"/>
              </w:rPr>
              <w:t>1</w:t>
            </w:r>
          </w:p>
        </w:tc>
        <w:tc>
          <w:tcPr>
            <w:tcW w:w="828" w:type="dxa"/>
            <w:shd w:val="clear" w:color="auto" w:fill="auto"/>
            <w:vAlign w:val="center"/>
          </w:tcPr>
          <w:p w:rsidR="005D657E" w:rsidRPr="001A349D" w:rsidRDefault="005D657E" w:rsidP="001A349D">
            <w:pPr>
              <w:spacing w:after="0"/>
              <w:jc w:val="center"/>
              <w:rPr>
                <w:rFonts w:ascii="Times New Roman" w:hAnsi="Times New Roman" w:cs="Times New Roman"/>
                <w:sz w:val="20"/>
                <w:szCs w:val="20"/>
              </w:rPr>
            </w:pPr>
            <w:r w:rsidRPr="001A349D">
              <w:rPr>
                <w:rFonts w:ascii="Times New Roman" w:hAnsi="Times New Roman" w:cs="Times New Roman"/>
                <w:sz w:val="20"/>
                <w:szCs w:val="20"/>
              </w:rPr>
              <w:t>U</w:t>
            </w:r>
          </w:p>
        </w:tc>
      </w:tr>
      <w:tr w:rsidR="005D657E" w:rsidRPr="001A349D" w:rsidDel="001A6624" w:rsidTr="002C6E60">
        <w:trPr>
          <w:trHeight w:val="280"/>
          <w:jc w:val="center"/>
        </w:trPr>
        <w:tc>
          <w:tcPr>
            <w:tcW w:w="662" w:type="dxa"/>
            <w:shd w:val="clear" w:color="auto" w:fill="F2F2F2" w:themeFill="background1" w:themeFillShade="F2"/>
            <w:noWrap/>
            <w:vAlign w:val="center"/>
          </w:tcPr>
          <w:p w:rsidR="005D657E" w:rsidRPr="001A349D" w:rsidRDefault="005D657E" w:rsidP="001A349D">
            <w:pPr>
              <w:spacing w:after="0"/>
              <w:jc w:val="center"/>
              <w:rPr>
                <w:rFonts w:ascii="Times New Roman" w:hAnsi="Times New Roman" w:cs="Times New Roman"/>
                <w:b/>
                <w:color w:val="000000"/>
                <w:sz w:val="20"/>
                <w:szCs w:val="20"/>
              </w:rPr>
            </w:pPr>
            <w:r w:rsidRPr="001A349D">
              <w:rPr>
                <w:rFonts w:ascii="Times New Roman" w:hAnsi="Times New Roman" w:cs="Times New Roman"/>
                <w:b/>
                <w:color w:val="000000"/>
                <w:sz w:val="20"/>
                <w:szCs w:val="20"/>
              </w:rPr>
              <w:t>03</w:t>
            </w:r>
          </w:p>
        </w:tc>
        <w:tc>
          <w:tcPr>
            <w:tcW w:w="8376" w:type="dxa"/>
            <w:shd w:val="clear" w:color="auto" w:fill="auto"/>
            <w:vAlign w:val="center"/>
          </w:tcPr>
          <w:p w:rsidR="005D657E" w:rsidRPr="001A349D" w:rsidRDefault="005D657E" w:rsidP="001A349D">
            <w:pPr>
              <w:spacing w:after="0"/>
              <w:jc w:val="both"/>
              <w:rPr>
                <w:rFonts w:ascii="Times New Roman" w:hAnsi="Times New Roman" w:cs="Times New Roman"/>
                <w:sz w:val="20"/>
                <w:szCs w:val="20"/>
              </w:rPr>
            </w:pPr>
            <w:r w:rsidRPr="001A349D">
              <w:rPr>
                <w:rFonts w:ascii="Times New Roman" w:hAnsi="Times New Roman" w:cs="Times New Roman"/>
                <w:sz w:val="20"/>
                <w:szCs w:val="20"/>
              </w:rPr>
              <w:t xml:space="preserve">Construction d'un réservoir de 100 m3 à </w:t>
            </w:r>
            <w:r w:rsidRPr="001A349D">
              <w:rPr>
                <w:rFonts w:ascii="Times New Roman" w:hAnsi="Times New Roman" w:cs="Times New Roman"/>
                <w:b/>
                <w:bCs/>
                <w:sz w:val="20"/>
                <w:szCs w:val="20"/>
              </w:rPr>
              <w:t>Prabis</w:t>
            </w:r>
          </w:p>
        </w:tc>
        <w:tc>
          <w:tcPr>
            <w:tcW w:w="630" w:type="dxa"/>
            <w:shd w:val="clear" w:color="auto" w:fill="auto"/>
            <w:vAlign w:val="center"/>
          </w:tcPr>
          <w:p w:rsidR="005D657E" w:rsidRPr="001A349D" w:rsidRDefault="005D657E" w:rsidP="001A349D">
            <w:pPr>
              <w:spacing w:after="0"/>
              <w:jc w:val="center"/>
              <w:rPr>
                <w:rFonts w:ascii="Times New Roman" w:hAnsi="Times New Roman" w:cs="Times New Roman"/>
                <w:sz w:val="20"/>
                <w:szCs w:val="20"/>
              </w:rPr>
            </w:pPr>
            <w:r w:rsidRPr="001A349D">
              <w:rPr>
                <w:rFonts w:ascii="Times New Roman" w:hAnsi="Times New Roman" w:cs="Times New Roman"/>
                <w:sz w:val="20"/>
                <w:szCs w:val="20"/>
              </w:rPr>
              <w:t>1</w:t>
            </w:r>
          </w:p>
        </w:tc>
        <w:tc>
          <w:tcPr>
            <w:tcW w:w="828" w:type="dxa"/>
            <w:shd w:val="clear" w:color="auto" w:fill="auto"/>
            <w:vAlign w:val="center"/>
          </w:tcPr>
          <w:p w:rsidR="005D657E" w:rsidRPr="001A349D" w:rsidDel="001A6624" w:rsidRDefault="005D657E" w:rsidP="001A349D">
            <w:pPr>
              <w:spacing w:after="0"/>
              <w:jc w:val="center"/>
              <w:rPr>
                <w:rFonts w:ascii="Times New Roman" w:hAnsi="Times New Roman" w:cs="Times New Roman"/>
                <w:sz w:val="20"/>
                <w:szCs w:val="20"/>
              </w:rPr>
            </w:pPr>
            <w:r w:rsidRPr="001A349D">
              <w:rPr>
                <w:rFonts w:ascii="Times New Roman" w:hAnsi="Times New Roman" w:cs="Times New Roman"/>
                <w:sz w:val="20"/>
                <w:szCs w:val="20"/>
              </w:rPr>
              <w:t>U</w:t>
            </w:r>
          </w:p>
        </w:tc>
      </w:tr>
      <w:tr w:rsidR="005D657E" w:rsidRPr="001A349D" w:rsidDel="001A6624" w:rsidTr="002C6E60">
        <w:trPr>
          <w:trHeight w:val="280"/>
          <w:jc w:val="center"/>
        </w:trPr>
        <w:tc>
          <w:tcPr>
            <w:tcW w:w="662" w:type="dxa"/>
            <w:shd w:val="clear" w:color="auto" w:fill="F2F2F2" w:themeFill="background1" w:themeFillShade="F2"/>
            <w:noWrap/>
            <w:vAlign w:val="center"/>
          </w:tcPr>
          <w:p w:rsidR="005D657E" w:rsidRPr="001A349D" w:rsidRDefault="005D657E" w:rsidP="001A349D">
            <w:pPr>
              <w:spacing w:after="0"/>
              <w:jc w:val="center"/>
              <w:rPr>
                <w:rFonts w:ascii="Times New Roman" w:hAnsi="Times New Roman" w:cs="Times New Roman"/>
                <w:b/>
                <w:color w:val="000000"/>
                <w:sz w:val="20"/>
                <w:szCs w:val="20"/>
              </w:rPr>
            </w:pPr>
            <w:r w:rsidRPr="001A349D">
              <w:rPr>
                <w:rFonts w:ascii="Times New Roman" w:hAnsi="Times New Roman" w:cs="Times New Roman"/>
                <w:b/>
                <w:color w:val="000000"/>
                <w:sz w:val="20"/>
                <w:szCs w:val="20"/>
              </w:rPr>
              <w:t>04</w:t>
            </w:r>
          </w:p>
        </w:tc>
        <w:tc>
          <w:tcPr>
            <w:tcW w:w="8376" w:type="dxa"/>
            <w:shd w:val="clear" w:color="auto" w:fill="auto"/>
            <w:vAlign w:val="center"/>
          </w:tcPr>
          <w:p w:rsidR="005D657E" w:rsidRPr="001A349D" w:rsidRDefault="005D657E" w:rsidP="001A349D">
            <w:pPr>
              <w:spacing w:after="0"/>
              <w:jc w:val="both"/>
              <w:rPr>
                <w:rFonts w:ascii="Times New Roman" w:hAnsi="Times New Roman" w:cs="Times New Roman"/>
                <w:sz w:val="20"/>
                <w:szCs w:val="20"/>
              </w:rPr>
            </w:pPr>
            <w:r w:rsidRPr="001A349D">
              <w:rPr>
                <w:rFonts w:ascii="Times New Roman" w:hAnsi="Times New Roman" w:cs="Times New Roman"/>
                <w:sz w:val="20"/>
                <w:szCs w:val="20"/>
              </w:rPr>
              <w:t xml:space="preserve">Réhabilitation du réservoir 1 en béton armé de 100 m3, </w:t>
            </w:r>
            <w:r w:rsidRPr="001A349D">
              <w:rPr>
                <w:rFonts w:ascii="Times New Roman" w:hAnsi="Times New Roman" w:cs="Times New Roman"/>
                <w:b/>
                <w:bCs/>
                <w:sz w:val="20"/>
                <w:szCs w:val="20"/>
              </w:rPr>
              <w:t>quartier aéroport</w:t>
            </w:r>
          </w:p>
        </w:tc>
        <w:tc>
          <w:tcPr>
            <w:tcW w:w="630" w:type="dxa"/>
            <w:shd w:val="clear" w:color="auto" w:fill="auto"/>
            <w:vAlign w:val="center"/>
          </w:tcPr>
          <w:p w:rsidR="005D657E" w:rsidRPr="001A349D" w:rsidRDefault="005D657E" w:rsidP="001A349D">
            <w:pPr>
              <w:spacing w:after="0"/>
              <w:jc w:val="center"/>
              <w:rPr>
                <w:rFonts w:ascii="Times New Roman" w:hAnsi="Times New Roman" w:cs="Times New Roman"/>
                <w:sz w:val="20"/>
                <w:szCs w:val="20"/>
              </w:rPr>
            </w:pPr>
            <w:r w:rsidRPr="001A349D">
              <w:rPr>
                <w:rFonts w:ascii="Times New Roman" w:hAnsi="Times New Roman" w:cs="Times New Roman"/>
                <w:sz w:val="20"/>
                <w:szCs w:val="20"/>
              </w:rPr>
              <w:t>1</w:t>
            </w:r>
          </w:p>
        </w:tc>
        <w:tc>
          <w:tcPr>
            <w:tcW w:w="828" w:type="dxa"/>
            <w:shd w:val="clear" w:color="auto" w:fill="auto"/>
            <w:vAlign w:val="center"/>
          </w:tcPr>
          <w:p w:rsidR="005D657E" w:rsidRPr="001A349D" w:rsidDel="001A6624" w:rsidRDefault="005D657E" w:rsidP="001A349D">
            <w:pPr>
              <w:spacing w:after="0"/>
              <w:jc w:val="center"/>
              <w:rPr>
                <w:rFonts w:ascii="Times New Roman" w:hAnsi="Times New Roman" w:cs="Times New Roman"/>
                <w:sz w:val="20"/>
                <w:szCs w:val="20"/>
              </w:rPr>
            </w:pPr>
            <w:r w:rsidRPr="001A349D">
              <w:rPr>
                <w:rFonts w:ascii="Times New Roman" w:hAnsi="Times New Roman" w:cs="Times New Roman"/>
                <w:sz w:val="20"/>
                <w:szCs w:val="20"/>
              </w:rPr>
              <w:t>U</w:t>
            </w:r>
          </w:p>
        </w:tc>
      </w:tr>
      <w:tr w:rsidR="005D657E" w:rsidRPr="001A349D" w:rsidDel="001A6624" w:rsidTr="002C6E60">
        <w:trPr>
          <w:trHeight w:val="280"/>
          <w:jc w:val="center"/>
        </w:trPr>
        <w:tc>
          <w:tcPr>
            <w:tcW w:w="662" w:type="dxa"/>
            <w:shd w:val="clear" w:color="auto" w:fill="F2F2F2" w:themeFill="background1" w:themeFillShade="F2"/>
            <w:noWrap/>
            <w:vAlign w:val="center"/>
          </w:tcPr>
          <w:p w:rsidR="005D657E" w:rsidRPr="001A349D" w:rsidRDefault="005D657E" w:rsidP="001A349D">
            <w:pPr>
              <w:spacing w:after="0"/>
              <w:jc w:val="center"/>
              <w:rPr>
                <w:rFonts w:ascii="Times New Roman" w:hAnsi="Times New Roman" w:cs="Times New Roman"/>
                <w:b/>
                <w:color w:val="000000"/>
                <w:sz w:val="20"/>
                <w:szCs w:val="20"/>
              </w:rPr>
            </w:pPr>
            <w:r w:rsidRPr="001A349D">
              <w:rPr>
                <w:rFonts w:ascii="Times New Roman" w:hAnsi="Times New Roman" w:cs="Times New Roman"/>
                <w:b/>
                <w:color w:val="000000"/>
                <w:sz w:val="20"/>
                <w:szCs w:val="20"/>
              </w:rPr>
              <w:t>05</w:t>
            </w:r>
          </w:p>
        </w:tc>
        <w:tc>
          <w:tcPr>
            <w:tcW w:w="8376" w:type="dxa"/>
            <w:shd w:val="clear" w:color="auto" w:fill="auto"/>
            <w:vAlign w:val="center"/>
          </w:tcPr>
          <w:p w:rsidR="005D657E" w:rsidRPr="001A349D" w:rsidRDefault="005D657E" w:rsidP="001A349D">
            <w:pPr>
              <w:spacing w:after="0"/>
              <w:jc w:val="both"/>
              <w:rPr>
                <w:rFonts w:ascii="Times New Roman" w:hAnsi="Times New Roman" w:cs="Times New Roman"/>
                <w:sz w:val="20"/>
                <w:szCs w:val="20"/>
              </w:rPr>
            </w:pPr>
            <w:r w:rsidRPr="001A349D">
              <w:rPr>
                <w:rFonts w:ascii="Times New Roman" w:hAnsi="Times New Roman" w:cs="Times New Roman"/>
                <w:sz w:val="20"/>
                <w:szCs w:val="20"/>
              </w:rPr>
              <w:t xml:space="preserve">Réhabilitation du réservoir 2 en béton armé de 100 m3, </w:t>
            </w:r>
            <w:r w:rsidRPr="001A349D">
              <w:rPr>
                <w:rFonts w:ascii="Times New Roman" w:hAnsi="Times New Roman" w:cs="Times New Roman"/>
                <w:b/>
                <w:bCs/>
                <w:sz w:val="20"/>
                <w:szCs w:val="20"/>
              </w:rPr>
              <w:t>quartier aéroport</w:t>
            </w:r>
          </w:p>
        </w:tc>
        <w:tc>
          <w:tcPr>
            <w:tcW w:w="630" w:type="dxa"/>
            <w:shd w:val="clear" w:color="auto" w:fill="auto"/>
            <w:vAlign w:val="center"/>
          </w:tcPr>
          <w:p w:rsidR="005D657E" w:rsidRPr="001A349D" w:rsidRDefault="005D657E" w:rsidP="001A349D">
            <w:pPr>
              <w:spacing w:after="0"/>
              <w:jc w:val="center"/>
              <w:rPr>
                <w:rFonts w:ascii="Times New Roman" w:hAnsi="Times New Roman" w:cs="Times New Roman"/>
                <w:sz w:val="20"/>
                <w:szCs w:val="20"/>
              </w:rPr>
            </w:pPr>
            <w:r w:rsidRPr="001A349D">
              <w:rPr>
                <w:rFonts w:ascii="Times New Roman" w:hAnsi="Times New Roman" w:cs="Times New Roman"/>
                <w:sz w:val="20"/>
                <w:szCs w:val="20"/>
              </w:rPr>
              <w:t>1</w:t>
            </w:r>
          </w:p>
        </w:tc>
        <w:tc>
          <w:tcPr>
            <w:tcW w:w="828" w:type="dxa"/>
            <w:shd w:val="clear" w:color="auto" w:fill="auto"/>
            <w:vAlign w:val="center"/>
          </w:tcPr>
          <w:p w:rsidR="005D657E" w:rsidRPr="001A349D" w:rsidRDefault="005D657E" w:rsidP="001A349D">
            <w:pPr>
              <w:spacing w:after="0"/>
              <w:jc w:val="center"/>
              <w:rPr>
                <w:rFonts w:ascii="Times New Roman" w:hAnsi="Times New Roman" w:cs="Times New Roman"/>
                <w:sz w:val="20"/>
                <w:szCs w:val="20"/>
              </w:rPr>
            </w:pPr>
            <w:r w:rsidRPr="001A349D">
              <w:rPr>
                <w:rFonts w:ascii="Times New Roman" w:hAnsi="Times New Roman" w:cs="Times New Roman"/>
                <w:sz w:val="20"/>
                <w:szCs w:val="20"/>
              </w:rPr>
              <w:t>U</w:t>
            </w:r>
          </w:p>
        </w:tc>
      </w:tr>
      <w:tr w:rsidR="005D657E" w:rsidRPr="001A349D" w:rsidDel="001A6624" w:rsidTr="002C6E60">
        <w:trPr>
          <w:trHeight w:val="280"/>
          <w:jc w:val="center"/>
        </w:trPr>
        <w:tc>
          <w:tcPr>
            <w:tcW w:w="662" w:type="dxa"/>
            <w:shd w:val="clear" w:color="auto" w:fill="F2F2F2" w:themeFill="background1" w:themeFillShade="F2"/>
            <w:noWrap/>
            <w:vAlign w:val="center"/>
          </w:tcPr>
          <w:p w:rsidR="005D657E" w:rsidRPr="001A349D" w:rsidRDefault="005D657E" w:rsidP="001A349D">
            <w:pPr>
              <w:spacing w:after="0"/>
              <w:jc w:val="center"/>
              <w:rPr>
                <w:rFonts w:ascii="Times New Roman" w:hAnsi="Times New Roman" w:cs="Times New Roman"/>
                <w:b/>
                <w:color w:val="000000"/>
                <w:sz w:val="20"/>
                <w:szCs w:val="20"/>
              </w:rPr>
            </w:pPr>
            <w:r w:rsidRPr="001A349D">
              <w:rPr>
                <w:rFonts w:ascii="Times New Roman" w:hAnsi="Times New Roman" w:cs="Times New Roman"/>
                <w:b/>
                <w:color w:val="000000"/>
                <w:sz w:val="20"/>
                <w:szCs w:val="20"/>
              </w:rPr>
              <w:t>06</w:t>
            </w:r>
          </w:p>
        </w:tc>
        <w:tc>
          <w:tcPr>
            <w:tcW w:w="8376" w:type="dxa"/>
            <w:shd w:val="clear" w:color="auto" w:fill="auto"/>
            <w:vAlign w:val="center"/>
          </w:tcPr>
          <w:p w:rsidR="005D657E" w:rsidRPr="001A349D" w:rsidRDefault="005D657E" w:rsidP="001A349D">
            <w:pPr>
              <w:spacing w:after="0"/>
              <w:jc w:val="both"/>
              <w:rPr>
                <w:rFonts w:ascii="Times New Roman" w:hAnsi="Times New Roman" w:cs="Times New Roman"/>
                <w:sz w:val="20"/>
                <w:szCs w:val="20"/>
              </w:rPr>
            </w:pPr>
            <w:r w:rsidRPr="001A349D">
              <w:rPr>
                <w:rFonts w:ascii="Times New Roman" w:hAnsi="Times New Roman" w:cs="Times New Roman"/>
                <w:sz w:val="20"/>
                <w:szCs w:val="20"/>
              </w:rPr>
              <w:t xml:space="preserve">Construction d'un réservoir de 100 m3 à </w:t>
            </w:r>
            <w:r w:rsidRPr="001A349D">
              <w:rPr>
                <w:rFonts w:ascii="Times New Roman" w:hAnsi="Times New Roman" w:cs="Times New Roman"/>
                <w:b/>
                <w:bCs/>
                <w:sz w:val="20"/>
                <w:szCs w:val="20"/>
              </w:rPr>
              <w:t>Antula-Pime</w:t>
            </w:r>
          </w:p>
        </w:tc>
        <w:tc>
          <w:tcPr>
            <w:tcW w:w="630" w:type="dxa"/>
            <w:shd w:val="clear" w:color="auto" w:fill="auto"/>
            <w:vAlign w:val="center"/>
          </w:tcPr>
          <w:p w:rsidR="005D657E" w:rsidRPr="001A349D" w:rsidRDefault="005D657E" w:rsidP="001A349D">
            <w:pPr>
              <w:spacing w:after="0"/>
              <w:jc w:val="center"/>
              <w:rPr>
                <w:rFonts w:ascii="Times New Roman" w:hAnsi="Times New Roman" w:cs="Times New Roman"/>
                <w:sz w:val="20"/>
                <w:szCs w:val="20"/>
              </w:rPr>
            </w:pPr>
            <w:r w:rsidRPr="001A349D">
              <w:rPr>
                <w:rFonts w:ascii="Times New Roman" w:hAnsi="Times New Roman" w:cs="Times New Roman"/>
                <w:sz w:val="20"/>
                <w:szCs w:val="20"/>
              </w:rPr>
              <w:t>1</w:t>
            </w:r>
          </w:p>
        </w:tc>
        <w:tc>
          <w:tcPr>
            <w:tcW w:w="828" w:type="dxa"/>
            <w:shd w:val="clear" w:color="auto" w:fill="auto"/>
            <w:vAlign w:val="center"/>
          </w:tcPr>
          <w:p w:rsidR="005D657E" w:rsidRPr="001A349D" w:rsidRDefault="005D657E" w:rsidP="001A349D">
            <w:pPr>
              <w:spacing w:after="0"/>
              <w:jc w:val="center"/>
              <w:rPr>
                <w:rFonts w:ascii="Times New Roman" w:hAnsi="Times New Roman" w:cs="Times New Roman"/>
                <w:sz w:val="20"/>
                <w:szCs w:val="20"/>
              </w:rPr>
            </w:pPr>
            <w:r w:rsidRPr="001A349D">
              <w:rPr>
                <w:rFonts w:ascii="Times New Roman" w:hAnsi="Times New Roman" w:cs="Times New Roman"/>
                <w:sz w:val="20"/>
                <w:szCs w:val="20"/>
              </w:rPr>
              <w:t>U</w:t>
            </w:r>
          </w:p>
        </w:tc>
      </w:tr>
    </w:tbl>
    <w:p w:rsidR="005D657E" w:rsidRPr="0081268A" w:rsidRDefault="005D657E" w:rsidP="001A349D">
      <w:pPr>
        <w:spacing w:after="0"/>
        <w:jc w:val="both"/>
        <w:rPr>
          <w:rFonts w:ascii="Times New Roman" w:hAnsi="Times New Roman" w:cs="Times New Roman"/>
          <w:b/>
          <w:sz w:val="24"/>
          <w:szCs w:val="24"/>
          <w:lang w:bidi="fr-FR"/>
        </w:rPr>
      </w:pPr>
    </w:p>
    <w:p w:rsidR="005D657E" w:rsidRPr="003140E3" w:rsidRDefault="005D657E" w:rsidP="001A349D">
      <w:pPr>
        <w:spacing w:after="120" w:line="240" w:lineRule="auto"/>
        <w:ind w:left="-284" w:right="-853"/>
        <w:jc w:val="both"/>
        <w:rPr>
          <w:rFonts w:ascii="Times New Roman" w:hAnsi="Times New Roman" w:cs="Times New Roman"/>
          <w:bCs/>
        </w:rPr>
      </w:pPr>
      <w:r w:rsidRPr="003140E3">
        <w:rPr>
          <w:rFonts w:ascii="Times New Roman" w:hAnsi="Times New Roman" w:cs="Times New Roman"/>
          <w:bCs/>
        </w:rPr>
        <w:t>En outre, il faudra compter sur la construction du réservoir prévu pour Bôr et la réhabilitation de 2 réservoirs de l’Aéroport (actuellement hors-service). Pour atteindre le volume réputé nécessaire par les études de 2015, mises à jour en date de mai 2019, pour le système de Bissau (pour lequel les réservoirs de Safim et Prabis ne comptent pas), il faudra donc rechercher pour ces réservoirs (Bôr, Aeroport1 et Aeroport2) une capacité additionnelle totale la plus proche possible de 2.011 m3 (3 411 m3 – 1400 m3).</w:t>
      </w:r>
    </w:p>
    <w:p w:rsidR="005D657E" w:rsidRPr="003140E3" w:rsidRDefault="005D657E" w:rsidP="001A349D">
      <w:pPr>
        <w:spacing w:after="120" w:line="240" w:lineRule="auto"/>
        <w:ind w:left="-284" w:right="-853"/>
        <w:jc w:val="both"/>
        <w:rPr>
          <w:rFonts w:ascii="Times New Roman" w:hAnsi="Times New Roman" w:cs="Times New Roman"/>
          <w:bCs/>
        </w:rPr>
      </w:pPr>
      <w:r w:rsidRPr="003140E3">
        <w:rPr>
          <w:rFonts w:ascii="Times New Roman" w:hAnsi="Times New Roman" w:cs="Times New Roman"/>
          <w:bCs/>
        </w:rPr>
        <w:t>La capacité totale de ces réservoirs sera donc de 2.450 m3 ou 2.050 m3, au cas où le CE de Antula Bono sera de 300 m3) Si cette capacité peut être atteinte, le déficit de capacité du réseau d’AEP de la ville de Bissau à combler, de 3411 m3, sera réduit à 960 m3.</w:t>
      </w:r>
    </w:p>
    <w:p w:rsidR="005D657E" w:rsidRPr="003140E3" w:rsidRDefault="005D657E" w:rsidP="005D657E">
      <w:pPr>
        <w:autoSpaceDE w:val="0"/>
        <w:autoSpaceDN w:val="0"/>
        <w:adjustRightInd w:val="0"/>
        <w:spacing w:after="0" w:line="240" w:lineRule="auto"/>
        <w:ind w:left="-284"/>
        <w:jc w:val="both"/>
        <w:rPr>
          <w:rFonts w:ascii="Times New Roman" w:hAnsi="Times New Roman" w:cs="Times New Roman"/>
        </w:rPr>
      </w:pPr>
      <w:r w:rsidRPr="003140E3">
        <w:rPr>
          <w:rFonts w:ascii="Times New Roman" w:hAnsi="Times New Roman" w:cs="Times New Roman"/>
        </w:rPr>
        <w:t>Les caractéristiques des réservoirs (châteaux d’eau) à réaliser dans le cadre de ce projet sont réunies dans le tableau 14.</w:t>
      </w:r>
    </w:p>
    <w:tbl>
      <w:tblPr>
        <w:tblW w:w="4995" w:type="pct"/>
        <w:tblInd w:w="5" w:type="dxa"/>
        <w:tblLook w:val="04A0" w:firstRow="1" w:lastRow="0" w:firstColumn="1" w:lastColumn="0" w:noHBand="0" w:noVBand="1"/>
      </w:tblPr>
      <w:tblGrid>
        <w:gridCol w:w="2829"/>
        <w:gridCol w:w="1368"/>
        <w:gridCol w:w="1535"/>
        <w:gridCol w:w="1017"/>
        <w:gridCol w:w="2312"/>
      </w:tblGrid>
      <w:tr w:rsidR="005D657E" w:rsidRPr="00BA3EE1" w:rsidTr="002C6E60">
        <w:trPr>
          <w:trHeight w:val="349"/>
        </w:trPr>
        <w:tc>
          <w:tcPr>
            <w:tcW w:w="5000" w:type="pct"/>
            <w:gridSpan w:val="5"/>
          </w:tcPr>
          <w:p w:rsidR="005D657E" w:rsidRPr="00BA3EE1" w:rsidRDefault="005D657E" w:rsidP="002C6E60">
            <w:pPr>
              <w:jc w:val="center"/>
              <w:rPr>
                <w:rFonts w:ascii="Times New Roman" w:hAnsi="Times New Roman" w:cs="Times New Roman"/>
                <w:b/>
                <w:sz w:val="20"/>
                <w:szCs w:val="20"/>
              </w:rPr>
            </w:pPr>
            <w:r w:rsidRPr="00BA3EE1">
              <w:rPr>
                <w:rFonts w:ascii="Times New Roman" w:hAnsi="Times New Roman" w:cs="Times New Roman"/>
                <w:b/>
                <w:sz w:val="20"/>
                <w:szCs w:val="20"/>
              </w:rPr>
              <w:t>Caractéristiques des réservoirs à réaliser</w:t>
            </w:r>
          </w:p>
        </w:tc>
      </w:tr>
      <w:tr w:rsidR="005D657E" w:rsidRPr="001A349D" w:rsidTr="002C6E6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Ex>
        <w:trPr>
          <w:trHeight w:val="350"/>
        </w:trPr>
        <w:tc>
          <w:tcPr>
            <w:tcW w:w="1561" w:type="pct"/>
            <w:tcBorders>
              <w:bottom w:val="single" w:sz="4" w:space="0" w:color="000000"/>
            </w:tcBorders>
            <w:shd w:val="clear" w:color="auto" w:fill="E2EFD9" w:themeFill="accent6" w:themeFillTint="33"/>
          </w:tcPr>
          <w:p w:rsidR="005D657E" w:rsidRPr="001A349D" w:rsidRDefault="005D657E" w:rsidP="003140E3">
            <w:pPr>
              <w:pStyle w:val="TableParagraph"/>
              <w:spacing w:before="0" w:line="240" w:lineRule="auto"/>
              <w:ind w:left="107"/>
              <w:jc w:val="left"/>
              <w:rPr>
                <w:rFonts w:ascii="Times New Roman" w:hAnsi="Times New Roman" w:cs="Times New Roman"/>
                <w:b/>
                <w:bCs/>
                <w:sz w:val="20"/>
                <w:szCs w:val="20"/>
              </w:rPr>
            </w:pPr>
            <w:r w:rsidRPr="001A349D">
              <w:rPr>
                <w:rFonts w:ascii="Times New Roman" w:hAnsi="Times New Roman" w:cs="Times New Roman"/>
                <w:b/>
                <w:bCs/>
                <w:sz w:val="20"/>
                <w:szCs w:val="20"/>
              </w:rPr>
              <w:t>SITES</w:t>
            </w:r>
          </w:p>
        </w:tc>
        <w:tc>
          <w:tcPr>
            <w:tcW w:w="755" w:type="pct"/>
            <w:shd w:val="clear" w:color="auto" w:fill="E2EFD9" w:themeFill="accent6" w:themeFillTint="33"/>
          </w:tcPr>
          <w:p w:rsidR="005D657E" w:rsidRPr="001A349D" w:rsidRDefault="005D657E" w:rsidP="003140E3">
            <w:pPr>
              <w:pStyle w:val="TableParagraph"/>
              <w:spacing w:before="0" w:line="240" w:lineRule="auto"/>
              <w:ind w:left="107"/>
              <w:jc w:val="center"/>
              <w:rPr>
                <w:rFonts w:ascii="Times New Roman" w:hAnsi="Times New Roman" w:cs="Times New Roman"/>
                <w:b/>
                <w:bCs/>
                <w:sz w:val="20"/>
                <w:szCs w:val="20"/>
              </w:rPr>
            </w:pPr>
            <w:r w:rsidRPr="001A349D">
              <w:rPr>
                <w:rFonts w:ascii="Times New Roman" w:hAnsi="Times New Roman" w:cs="Times New Roman"/>
                <w:b/>
                <w:bCs/>
                <w:sz w:val="20"/>
                <w:szCs w:val="20"/>
              </w:rPr>
              <w:t>CAPACITE (m</w:t>
            </w:r>
            <w:r w:rsidRPr="001A349D">
              <w:rPr>
                <w:rFonts w:ascii="Times New Roman" w:hAnsi="Times New Roman" w:cs="Times New Roman"/>
                <w:b/>
                <w:bCs/>
                <w:sz w:val="20"/>
                <w:szCs w:val="20"/>
                <w:vertAlign w:val="superscript"/>
              </w:rPr>
              <w:t>3</w:t>
            </w:r>
            <w:r w:rsidRPr="001A349D">
              <w:rPr>
                <w:rFonts w:ascii="Times New Roman" w:hAnsi="Times New Roman" w:cs="Times New Roman"/>
                <w:b/>
                <w:bCs/>
                <w:sz w:val="20"/>
                <w:szCs w:val="20"/>
              </w:rPr>
              <w:t>)</w:t>
            </w:r>
          </w:p>
        </w:tc>
        <w:tc>
          <w:tcPr>
            <w:tcW w:w="847" w:type="pct"/>
            <w:shd w:val="clear" w:color="auto" w:fill="E2EFD9" w:themeFill="accent6" w:themeFillTint="33"/>
          </w:tcPr>
          <w:p w:rsidR="005D657E" w:rsidRPr="001A349D" w:rsidRDefault="005D657E" w:rsidP="003140E3">
            <w:pPr>
              <w:pStyle w:val="TableParagraph"/>
              <w:spacing w:before="0" w:line="240" w:lineRule="auto"/>
              <w:ind w:left="107"/>
              <w:jc w:val="center"/>
              <w:rPr>
                <w:rFonts w:ascii="Times New Roman" w:hAnsi="Times New Roman" w:cs="Times New Roman"/>
                <w:b/>
                <w:bCs/>
                <w:sz w:val="20"/>
                <w:szCs w:val="20"/>
              </w:rPr>
            </w:pPr>
            <w:r w:rsidRPr="001A349D">
              <w:rPr>
                <w:rFonts w:ascii="Times New Roman" w:hAnsi="Times New Roman" w:cs="Times New Roman"/>
                <w:b/>
                <w:bCs/>
                <w:sz w:val="20"/>
                <w:szCs w:val="20"/>
              </w:rPr>
              <w:t>COTE TN (m)</w:t>
            </w:r>
          </w:p>
        </w:tc>
        <w:tc>
          <w:tcPr>
            <w:tcW w:w="561" w:type="pct"/>
            <w:shd w:val="clear" w:color="auto" w:fill="E2EFD9" w:themeFill="accent6" w:themeFillTint="33"/>
          </w:tcPr>
          <w:p w:rsidR="005D657E" w:rsidRPr="001A349D" w:rsidRDefault="005D657E" w:rsidP="003140E3">
            <w:pPr>
              <w:pStyle w:val="TableParagraph"/>
              <w:spacing w:before="0" w:line="240" w:lineRule="auto"/>
              <w:ind w:left="107"/>
              <w:jc w:val="center"/>
              <w:rPr>
                <w:rFonts w:ascii="Times New Roman" w:hAnsi="Times New Roman" w:cs="Times New Roman"/>
                <w:b/>
                <w:bCs/>
                <w:sz w:val="20"/>
                <w:szCs w:val="20"/>
              </w:rPr>
            </w:pPr>
            <w:r w:rsidRPr="001A349D">
              <w:rPr>
                <w:rFonts w:ascii="Times New Roman" w:hAnsi="Times New Roman" w:cs="Times New Roman"/>
                <w:b/>
                <w:bCs/>
                <w:sz w:val="20"/>
                <w:szCs w:val="20"/>
              </w:rPr>
              <w:t>COTE PHE</w:t>
            </w:r>
          </w:p>
        </w:tc>
        <w:tc>
          <w:tcPr>
            <w:tcW w:w="1276" w:type="pct"/>
            <w:shd w:val="clear" w:color="auto" w:fill="E2EFD9" w:themeFill="accent6" w:themeFillTint="33"/>
          </w:tcPr>
          <w:p w:rsidR="005D657E" w:rsidRPr="001A349D" w:rsidRDefault="005D657E" w:rsidP="003140E3">
            <w:pPr>
              <w:pStyle w:val="TableParagraph"/>
              <w:spacing w:before="0" w:line="240" w:lineRule="auto"/>
              <w:ind w:left="107"/>
              <w:jc w:val="center"/>
              <w:rPr>
                <w:rFonts w:ascii="Times New Roman" w:hAnsi="Times New Roman" w:cs="Times New Roman"/>
                <w:b/>
                <w:bCs/>
                <w:sz w:val="20"/>
                <w:szCs w:val="20"/>
              </w:rPr>
            </w:pPr>
            <w:r w:rsidRPr="001A349D">
              <w:rPr>
                <w:rFonts w:ascii="Times New Roman" w:hAnsi="Times New Roman" w:cs="Times New Roman"/>
                <w:b/>
                <w:bCs/>
                <w:sz w:val="20"/>
                <w:szCs w:val="20"/>
              </w:rPr>
              <w:t>HAUTEUR DE LA JUPE</w:t>
            </w:r>
          </w:p>
        </w:tc>
      </w:tr>
      <w:tr w:rsidR="005D657E" w:rsidRPr="001A349D" w:rsidTr="003140E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Ex>
        <w:trPr>
          <w:trHeight w:val="70"/>
        </w:trPr>
        <w:tc>
          <w:tcPr>
            <w:tcW w:w="1561" w:type="pct"/>
            <w:tcBorders>
              <w:right w:val="outset" w:sz="12" w:space="0" w:color="auto"/>
            </w:tcBorders>
            <w:shd w:val="clear" w:color="auto" w:fill="F2F2F2" w:themeFill="background1" w:themeFillShade="F2"/>
          </w:tcPr>
          <w:p w:rsidR="005D657E" w:rsidRPr="001A349D" w:rsidRDefault="005D657E" w:rsidP="003140E3">
            <w:pPr>
              <w:pStyle w:val="TableParagraph"/>
              <w:spacing w:before="0" w:line="240" w:lineRule="auto"/>
              <w:ind w:left="108"/>
              <w:jc w:val="left"/>
              <w:rPr>
                <w:rFonts w:ascii="Times New Roman" w:hAnsi="Times New Roman" w:cs="Times New Roman"/>
                <w:sz w:val="20"/>
                <w:szCs w:val="20"/>
              </w:rPr>
            </w:pPr>
            <w:r w:rsidRPr="001A349D">
              <w:rPr>
                <w:rFonts w:ascii="Times New Roman" w:hAnsi="Times New Roman" w:cs="Times New Roman"/>
                <w:sz w:val="20"/>
                <w:szCs w:val="20"/>
              </w:rPr>
              <w:t>Bôr</w:t>
            </w:r>
          </w:p>
        </w:tc>
        <w:tc>
          <w:tcPr>
            <w:tcW w:w="755" w:type="pct"/>
            <w:tcBorders>
              <w:left w:val="outset" w:sz="12" w:space="0" w:color="auto"/>
            </w:tcBorders>
          </w:tcPr>
          <w:p w:rsidR="005D657E" w:rsidRPr="001A349D" w:rsidRDefault="005D657E" w:rsidP="003140E3">
            <w:pPr>
              <w:pStyle w:val="TableParagraph"/>
              <w:spacing w:before="0" w:line="240" w:lineRule="auto"/>
              <w:ind w:left="108"/>
              <w:jc w:val="center"/>
              <w:rPr>
                <w:rFonts w:ascii="Times New Roman" w:hAnsi="Times New Roman" w:cs="Times New Roman"/>
                <w:sz w:val="20"/>
                <w:szCs w:val="20"/>
              </w:rPr>
            </w:pPr>
            <w:r w:rsidRPr="001A349D">
              <w:rPr>
                <w:rFonts w:ascii="Times New Roman" w:hAnsi="Times New Roman" w:cs="Times New Roman"/>
                <w:sz w:val="20"/>
                <w:szCs w:val="20"/>
              </w:rPr>
              <w:t>700</w:t>
            </w:r>
          </w:p>
        </w:tc>
        <w:tc>
          <w:tcPr>
            <w:tcW w:w="847" w:type="pct"/>
          </w:tcPr>
          <w:p w:rsidR="005D657E" w:rsidRPr="001A349D" w:rsidRDefault="005D657E" w:rsidP="003140E3">
            <w:pPr>
              <w:pStyle w:val="TableParagraph"/>
              <w:spacing w:before="0" w:line="240" w:lineRule="auto"/>
              <w:ind w:left="107"/>
              <w:jc w:val="center"/>
              <w:rPr>
                <w:rFonts w:ascii="Times New Roman" w:hAnsi="Times New Roman" w:cs="Times New Roman"/>
                <w:sz w:val="20"/>
                <w:szCs w:val="20"/>
              </w:rPr>
            </w:pPr>
            <w:r w:rsidRPr="001A349D">
              <w:rPr>
                <w:rFonts w:ascii="Times New Roman" w:hAnsi="Times New Roman" w:cs="Times New Roman"/>
                <w:sz w:val="20"/>
                <w:szCs w:val="20"/>
              </w:rPr>
              <w:t>34</w:t>
            </w:r>
          </w:p>
        </w:tc>
        <w:tc>
          <w:tcPr>
            <w:tcW w:w="561" w:type="pct"/>
            <w:shd w:val="clear" w:color="auto" w:fill="auto"/>
          </w:tcPr>
          <w:p w:rsidR="005D657E" w:rsidRPr="001A349D" w:rsidRDefault="005D657E" w:rsidP="003140E3">
            <w:pPr>
              <w:pStyle w:val="TableParagraph"/>
              <w:spacing w:before="0" w:line="240" w:lineRule="auto"/>
              <w:ind w:left="107"/>
              <w:jc w:val="center"/>
              <w:rPr>
                <w:rFonts w:ascii="Times New Roman" w:hAnsi="Times New Roman" w:cs="Times New Roman"/>
                <w:sz w:val="20"/>
                <w:szCs w:val="20"/>
              </w:rPr>
            </w:pPr>
            <w:r w:rsidRPr="001A349D">
              <w:rPr>
                <w:rFonts w:ascii="Times New Roman" w:hAnsi="Times New Roman" w:cs="Times New Roman"/>
                <w:sz w:val="20"/>
                <w:szCs w:val="20"/>
              </w:rPr>
              <w:t>±67</w:t>
            </w:r>
          </w:p>
        </w:tc>
        <w:tc>
          <w:tcPr>
            <w:tcW w:w="1276" w:type="pct"/>
          </w:tcPr>
          <w:p w:rsidR="005D657E" w:rsidRPr="001A349D" w:rsidRDefault="005D657E" w:rsidP="003140E3">
            <w:pPr>
              <w:pStyle w:val="TableParagraph"/>
              <w:spacing w:before="0" w:line="240" w:lineRule="auto"/>
              <w:ind w:left="107"/>
              <w:jc w:val="center"/>
              <w:rPr>
                <w:rFonts w:ascii="Times New Roman" w:hAnsi="Times New Roman" w:cs="Times New Roman"/>
                <w:sz w:val="20"/>
                <w:szCs w:val="20"/>
              </w:rPr>
            </w:pPr>
            <w:r w:rsidRPr="001A349D">
              <w:rPr>
                <w:rFonts w:ascii="Times New Roman" w:hAnsi="Times New Roman" w:cs="Times New Roman"/>
                <w:sz w:val="20"/>
                <w:szCs w:val="20"/>
              </w:rPr>
              <w:t>±28 m</w:t>
            </w:r>
          </w:p>
        </w:tc>
      </w:tr>
      <w:tr w:rsidR="005D657E" w:rsidRPr="001A349D" w:rsidTr="002C6E6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Ex>
        <w:trPr>
          <w:trHeight w:val="289"/>
        </w:trPr>
        <w:tc>
          <w:tcPr>
            <w:tcW w:w="1561" w:type="pct"/>
            <w:tcBorders>
              <w:right w:val="outset" w:sz="12" w:space="0" w:color="auto"/>
            </w:tcBorders>
            <w:shd w:val="clear" w:color="auto" w:fill="F2F2F2" w:themeFill="background1" w:themeFillShade="F2"/>
          </w:tcPr>
          <w:p w:rsidR="005D657E" w:rsidRPr="001A349D" w:rsidRDefault="005D657E" w:rsidP="003140E3">
            <w:pPr>
              <w:pStyle w:val="TableParagraph"/>
              <w:spacing w:before="0" w:line="240" w:lineRule="auto"/>
              <w:ind w:left="108"/>
              <w:jc w:val="left"/>
              <w:rPr>
                <w:rFonts w:ascii="Times New Roman" w:hAnsi="Times New Roman" w:cs="Times New Roman"/>
                <w:sz w:val="20"/>
                <w:szCs w:val="20"/>
              </w:rPr>
            </w:pPr>
            <w:r w:rsidRPr="001A349D">
              <w:rPr>
                <w:rFonts w:ascii="Times New Roman" w:hAnsi="Times New Roman" w:cs="Times New Roman"/>
                <w:sz w:val="20"/>
                <w:szCs w:val="20"/>
              </w:rPr>
              <w:t>Antula-Pime</w:t>
            </w:r>
          </w:p>
        </w:tc>
        <w:tc>
          <w:tcPr>
            <w:tcW w:w="755" w:type="pct"/>
            <w:tcBorders>
              <w:left w:val="outset" w:sz="12" w:space="0" w:color="auto"/>
            </w:tcBorders>
          </w:tcPr>
          <w:p w:rsidR="005D657E" w:rsidRPr="001A349D" w:rsidRDefault="005D657E" w:rsidP="003140E3">
            <w:pPr>
              <w:pStyle w:val="TableParagraph"/>
              <w:spacing w:before="0" w:line="240" w:lineRule="auto"/>
              <w:ind w:left="108"/>
              <w:jc w:val="center"/>
              <w:rPr>
                <w:rFonts w:ascii="Times New Roman" w:hAnsi="Times New Roman" w:cs="Times New Roman"/>
                <w:sz w:val="20"/>
                <w:szCs w:val="20"/>
              </w:rPr>
            </w:pPr>
            <w:r w:rsidRPr="001A349D">
              <w:rPr>
                <w:rFonts w:ascii="Times New Roman" w:hAnsi="Times New Roman" w:cs="Times New Roman"/>
                <w:sz w:val="20"/>
                <w:szCs w:val="20"/>
              </w:rPr>
              <w:t>700</w:t>
            </w:r>
          </w:p>
        </w:tc>
        <w:tc>
          <w:tcPr>
            <w:tcW w:w="847" w:type="pct"/>
          </w:tcPr>
          <w:p w:rsidR="005D657E" w:rsidRPr="001A349D" w:rsidRDefault="005D657E" w:rsidP="003140E3">
            <w:pPr>
              <w:pStyle w:val="TableParagraph"/>
              <w:spacing w:before="0" w:line="240" w:lineRule="auto"/>
              <w:ind w:left="107"/>
              <w:jc w:val="center"/>
              <w:rPr>
                <w:rFonts w:ascii="Times New Roman" w:hAnsi="Times New Roman" w:cs="Times New Roman"/>
                <w:sz w:val="20"/>
                <w:szCs w:val="20"/>
              </w:rPr>
            </w:pPr>
            <w:r w:rsidRPr="001A349D">
              <w:rPr>
                <w:rFonts w:ascii="Times New Roman" w:hAnsi="Times New Roman" w:cs="Times New Roman"/>
                <w:sz w:val="20"/>
                <w:szCs w:val="20"/>
              </w:rPr>
              <w:t>27,5</w:t>
            </w:r>
          </w:p>
        </w:tc>
        <w:tc>
          <w:tcPr>
            <w:tcW w:w="561" w:type="pct"/>
          </w:tcPr>
          <w:p w:rsidR="005D657E" w:rsidRPr="001A349D" w:rsidRDefault="005D657E" w:rsidP="003140E3">
            <w:pPr>
              <w:pStyle w:val="TableParagraph"/>
              <w:spacing w:before="0" w:line="240" w:lineRule="auto"/>
              <w:ind w:left="107"/>
              <w:jc w:val="center"/>
              <w:rPr>
                <w:rFonts w:ascii="Times New Roman" w:hAnsi="Times New Roman" w:cs="Times New Roman"/>
                <w:sz w:val="20"/>
                <w:szCs w:val="20"/>
                <w:highlight w:val="yellow"/>
              </w:rPr>
            </w:pPr>
            <w:r w:rsidRPr="001A349D">
              <w:rPr>
                <w:rFonts w:ascii="Times New Roman" w:hAnsi="Times New Roman" w:cs="Times New Roman"/>
                <w:sz w:val="20"/>
                <w:szCs w:val="20"/>
              </w:rPr>
              <w:t>±48</w:t>
            </w:r>
          </w:p>
        </w:tc>
        <w:tc>
          <w:tcPr>
            <w:tcW w:w="1276" w:type="pct"/>
          </w:tcPr>
          <w:p w:rsidR="005D657E" w:rsidRPr="001A349D" w:rsidRDefault="005D657E" w:rsidP="003140E3">
            <w:pPr>
              <w:pStyle w:val="TableParagraph"/>
              <w:spacing w:before="0" w:line="240" w:lineRule="auto"/>
              <w:ind w:left="107"/>
              <w:jc w:val="center"/>
              <w:rPr>
                <w:rFonts w:ascii="Times New Roman" w:hAnsi="Times New Roman" w:cs="Times New Roman"/>
                <w:sz w:val="20"/>
                <w:szCs w:val="20"/>
                <w:highlight w:val="yellow"/>
              </w:rPr>
            </w:pPr>
            <w:r w:rsidRPr="001A349D">
              <w:rPr>
                <w:rFonts w:ascii="Times New Roman" w:hAnsi="Times New Roman" w:cs="Times New Roman"/>
                <w:sz w:val="20"/>
                <w:szCs w:val="20"/>
              </w:rPr>
              <w:t>±16,5 m</w:t>
            </w:r>
          </w:p>
        </w:tc>
      </w:tr>
      <w:tr w:rsidR="005D657E" w:rsidRPr="001A349D" w:rsidTr="003140E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Ex>
        <w:trPr>
          <w:trHeight w:val="113"/>
        </w:trPr>
        <w:tc>
          <w:tcPr>
            <w:tcW w:w="1561" w:type="pct"/>
            <w:tcBorders>
              <w:right w:val="outset" w:sz="12" w:space="0" w:color="auto"/>
            </w:tcBorders>
            <w:shd w:val="clear" w:color="auto" w:fill="F2F2F2" w:themeFill="background1" w:themeFillShade="F2"/>
          </w:tcPr>
          <w:p w:rsidR="005D657E" w:rsidRPr="001A349D" w:rsidRDefault="005D657E" w:rsidP="003140E3">
            <w:pPr>
              <w:pStyle w:val="TableParagraph"/>
              <w:spacing w:before="0" w:line="240" w:lineRule="auto"/>
              <w:ind w:left="108"/>
              <w:jc w:val="left"/>
              <w:rPr>
                <w:rFonts w:ascii="Times New Roman" w:hAnsi="Times New Roman" w:cs="Times New Roman"/>
                <w:sz w:val="20"/>
                <w:szCs w:val="20"/>
              </w:rPr>
            </w:pPr>
            <w:r w:rsidRPr="001A349D">
              <w:rPr>
                <w:rFonts w:ascii="Times New Roman" w:hAnsi="Times New Roman" w:cs="Times New Roman"/>
                <w:sz w:val="20"/>
                <w:szCs w:val="20"/>
              </w:rPr>
              <w:t>Safim</w:t>
            </w:r>
          </w:p>
        </w:tc>
        <w:tc>
          <w:tcPr>
            <w:tcW w:w="755" w:type="pct"/>
            <w:tcBorders>
              <w:left w:val="outset" w:sz="12" w:space="0" w:color="auto"/>
            </w:tcBorders>
          </w:tcPr>
          <w:p w:rsidR="005D657E" w:rsidRPr="001A349D" w:rsidRDefault="005D657E" w:rsidP="003140E3">
            <w:pPr>
              <w:pStyle w:val="TableParagraph"/>
              <w:spacing w:before="0" w:line="240" w:lineRule="auto"/>
              <w:ind w:left="108"/>
              <w:jc w:val="center"/>
              <w:rPr>
                <w:rFonts w:ascii="Times New Roman" w:hAnsi="Times New Roman" w:cs="Times New Roman"/>
                <w:sz w:val="20"/>
                <w:szCs w:val="20"/>
              </w:rPr>
            </w:pPr>
            <w:r w:rsidRPr="001A349D">
              <w:rPr>
                <w:rFonts w:ascii="Times New Roman" w:hAnsi="Times New Roman" w:cs="Times New Roman"/>
                <w:sz w:val="20"/>
                <w:szCs w:val="20"/>
              </w:rPr>
              <w:t>350</w:t>
            </w:r>
          </w:p>
        </w:tc>
        <w:tc>
          <w:tcPr>
            <w:tcW w:w="847" w:type="pct"/>
          </w:tcPr>
          <w:p w:rsidR="005D657E" w:rsidRPr="001A349D" w:rsidRDefault="005D657E" w:rsidP="003140E3">
            <w:pPr>
              <w:pStyle w:val="TableParagraph"/>
              <w:spacing w:before="0" w:line="240" w:lineRule="auto"/>
              <w:ind w:left="107"/>
              <w:jc w:val="center"/>
              <w:rPr>
                <w:rFonts w:ascii="Times New Roman" w:hAnsi="Times New Roman" w:cs="Times New Roman"/>
                <w:sz w:val="20"/>
                <w:szCs w:val="20"/>
              </w:rPr>
            </w:pPr>
            <w:r w:rsidRPr="001A349D">
              <w:rPr>
                <w:rFonts w:ascii="Times New Roman" w:hAnsi="Times New Roman" w:cs="Times New Roman"/>
                <w:sz w:val="20"/>
                <w:szCs w:val="20"/>
              </w:rPr>
              <w:t>23,5</w:t>
            </w:r>
            <w:r w:rsidRPr="001A349D">
              <w:rPr>
                <w:rFonts w:ascii="Times New Roman" w:hAnsi="Times New Roman" w:cs="Times New Roman"/>
                <w:sz w:val="20"/>
                <w:szCs w:val="20"/>
                <w:vertAlign w:val="superscript"/>
              </w:rPr>
              <w:t>(*)</w:t>
            </w:r>
          </w:p>
        </w:tc>
        <w:tc>
          <w:tcPr>
            <w:tcW w:w="561" w:type="pct"/>
          </w:tcPr>
          <w:p w:rsidR="005D657E" w:rsidRPr="001A349D" w:rsidRDefault="005D657E" w:rsidP="003140E3">
            <w:pPr>
              <w:pStyle w:val="TableParagraph"/>
              <w:spacing w:before="0" w:line="240" w:lineRule="auto"/>
              <w:ind w:left="107"/>
              <w:jc w:val="center"/>
              <w:rPr>
                <w:rFonts w:ascii="Times New Roman" w:hAnsi="Times New Roman" w:cs="Times New Roman"/>
                <w:sz w:val="20"/>
                <w:szCs w:val="20"/>
                <w:highlight w:val="yellow"/>
              </w:rPr>
            </w:pPr>
            <w:r w:rsidRPr="001A349D">
              <w:rPr>
                <w:rFonts w:ascii="Times New Roman" w:hAnsi="Times New Roman" w:cs="Times New Roman"/>
                <w:sz w:val="20"/>
                <w:szCs w:val="20"/>
              </w:rPr>
              <w:t>±44</w:t>
            </w:r>
          </w:p>
        </w:tc>
        <w:tc>
          <w:tcPr>
            <w:tcW w:w="1276" w:type="pct"/>
          </w:tcPr>
          <w:p w:rsidR="005D657E" w:rsidRPr="001A349D" w:rsidRDefault="005D657E" w:rsidP="003140E3">
            <w:pPr>
              <w:pStyle w:val="TableParagraph"/>
              <w:spacing w:before="0" w:line="240" w:lineRule="auto"/>
              <w:ind w:left="107"/>
              <w:jc w:val="center"/>
              <w:rPr>
                <w:rFonts w:ascii="Times New Roman" w:hAnsi="Times New Roman" w:cs="Times New Roman"/>
                <w:sz w:val="20"/>
                <w:szCs w:val="20"/>
                <w:highlight w:val="yellow"/>
              </w:rPr>
            </w:pPr>
            <w:r w:rsidRPr="001A349D">
              <w:rPr>
                <w:rFonts w:ascii="Times New Roman" w:hAnsi="Times New Roman" w:cs="Times New Roman"/>
                <w:sz w:val="20"/>
                <w:szCs w:val="20"/>
              </w:rPr>
              <w:t>±15,5 m</w:t>
            </w:r>
            <w:r w:rsidRPr="001A349D">
              <w:rPr>
                <w:rFonts w:ascii="Times New Roman" w:hAnsi="Times New Roman" w:cs="Times New Roman"/>
                <w:sz w:val="20"/>
                <w:szCs w:val="20"/>
                <w:vertAlign w:val="superscript"/>
              </w:rPr>
              <w:t>(**)</w:t>
            </w:r>
          </w:p>
        </w:tc>
      </w:tr>
      <w:tr w:rsidR="005D657E" w:rsidRPr="001A349D" w:rsidTr="003140E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Ex>
        <w:trPr>
          <w:trHeight w:val="70"/>
        </w:trPr>
        <w:tc>
          <w:tcPr>
            <w:tcW w:w="1561" w:type="pct"/>
            <w:tcBorders>
              <w:right w:val="outset" w:sz="12" w:space="0" w:color="auto"/>
            </w:tcBorders>
            <w:shd w:val="clear" w:color="auto" w:fill="F2F2F2" w:themeFill="background1" w:themeFillShade="F2"/>
          </w:tcPr>
          <w:p w:rsidR="005D657E" w:rsidRPr="001A349D" w:rsidRDefault="005D657E" w:rsidP="003140E3">
            <w:pPr>
              <w:pStyle w:val="TableParagraph"/>
              <w:spacing w:before="0" w:line="240" w:lineRule="auto"/>
              <w:ind w:left="108"/>
              <w:jc w:val="left"/>
              <w:rPr>
                <w:rFonts w:ascii="Times New Roman" w:hAnsi="Times New Roman" w:cs="Times New Roman"/>
                <w:sz w:val="20"/>
                <w:szCs w:val="20"/>
              </w:rPr>
            </w:pPr>
            <w:r w:rsidRPr="001A349D">
              <w:rPr>
                <w:rFonts w:ascii="Times New Roman" w:hAnsi="Times New Roman" w:cs="Times New Roman"/>
                <w:sz w:val="20"/>
                <w:szCs w:val="20"/>
              </w:rPr>
              <w:lastRenderedPageBreak/>
              <w:t>Prábis</w:t>
            </w:r>
          </w:p>
        </w:tc>
        <w:tc>
          <w:tcPr>
            <w:tcW w:w="755" w:type="pct"/>
            <w:tcBorders>
              <w:left w:val="outset" w:sz="12" w:space="0" w:color="auto"/>
            </w:tcBorders>
          </w:tcPr>
          <w:p w:rsidR="005D657E" w:rsidRPr="001A349D" w:rsidRDefault="005D657E" w:rsidP="003140E3">
            <w:pPr>
              <w:pStyle w:val="TableParagraph"/>
              <w:spacing w:before="0" w:line="240" w:lineRule="auto"/>
              <w:ind w:left="108"/>
              <w:jc w:val="center"/>
              <w:rPr>
                <w:rFonts w:ascii="Times New Roman" w:hAnsi="Times New Roman" w:cs="Times New Roman"/>
                <w:sz w:val="20"/>
                <w:szCs w:val="20"/>
              </w:rPr>
            </w:pPr>
            <w:r w:rsidRPr="001A349D">
              <w:rPr>
                <w:rFonts w:ascii="Times New Roman" w:hAnsi="Times New Roman" w:cs="Times New Roman"/>
                <w:sz w:val="20"/>
                <w:szCs w:val="20"/>
              </w:rPr>
              <w:t>100</w:t>
            </w:r>
          </w:p>
        </w:tc>
        <w:tc>
          <w:tcPr>
            <w:tcW w:w="847" w:type="pct"/>
          </w:tcPr>
          <w:p w:rsidR="005D657E" w:rsidRPr="001A349D" w:rsidRDefault="005D657E" w:rsidP="003140E3">
            <w:pPr>
              <w:pStyle w:val="TableParagraph"/>
              <w:spacing w:before="0" w:line="240" w:lineRule="auto"/>
              <w:ind w:left="107"/>
              <w:jc w:val="center"/>
              <w:rPr>
                <w:rFonts w:ascii="Times New Roman" w:hAnsi="Times New Roman" w:cs="Times New Roman"/>
                <w:sz w:val="20"/>
                <w:szCs w:val="20"/>
              </w:rPr>
            </w:pPr>
            <w:r w:rsidRPr="001A349D">
              <w:rPr>
                <w:rFonts w:ascii="Times New Roman" w:hAnsi="Times New Roman" w:cs="Times New Roman"/>
                <w:sz w:val="20"/>
                <w:szCs w:val="20"/>
              </w:rPr>
              <w:t>13,5</w:t>
            </w:r>
          </w:p>
        </w:tc>
        <w:tc>
          <w:tcPr>
            <w:tcW w:w="561" w:type="pct"/>
          </w:tcPr>
          <w:p w:rsidR="005D657E" w:rsidRPr="001A349D" w:rsidRDefault="005D657E" w:rsidP="003140E3">
            <w:pPr>
              <w:pStyle w:val="TableParagraph"/>
              <w:spacing w:before="0" w:line="240" w:lineRule="auto"/>
              <w:ind w:left="107"/>
              <w:jc w:val="center"/>
              <w:rPr>
                <w:rFonts w:ascii="Times New Roman" w:hAnsi="Times New Roman" w:cs="Times New Roman"/>
                <w:sz w:val="20"/>
                <w:szCs w:val="20"/>
                <w:highlight w:val="yellow"/>
              </w:rPr>
            </w:pPr>
            <w:r w:rsidRPr="001A349D">
              <w:rPr>
                <w:rFonts w:ascii="Times New Roman" w:hAnsi="Times New Roman" w:cs="Times New Roman"/>
                <w:sz w:val="20"/>
                <w:szCs w:val="20"/>
              </w:rPr>
              <w:t>±30</w:t>
            </w:r>
          </w:p>
        </w:tc>
        <w:tc>
          <w:tcPr>
            <w:tcW w:w="1276" w:type="pct"/>
          </w:tcPr>
          <w:p w:rsidR="005D657E" w:rsidRPr="001A349D" w:rsidRDefault="005D657E" w:rsidP="003140E3">
            <w:pPr>
              <w:pStyle w:val="TableParagraph"/>
              <w:spacing w:before="0" w:line="240" w:lineRule="auto"/>
              <w:ind w:left="107"/>
              <w:jc w:val="center"/>
              <w:rPr>
                <w:rFonts w:ascii="Times New Roman" w:hAnsi="Times New Roman" w:cs="Times New Roman"/>
                <w:sz w:val="20"/>
                <w:szCs w:val="20"/>
                <w:highlight w:val="yellow"/>
              </w:rPr>
            </w:pPr>
            <w:r w:rsidRPr="001A349D">
              <w:rPr>
                <w:rFonts w:ascii="Times New Roman" w:hAnsi="Times New Roman" w:cs="Times New Roman"/>
                <w:sz w:val="20"/>
                <w:szCs w:val="20"/>
              </w:rPr>
              <w:t>±14 m</w:t>
            </w:r>
          </w:p>
        </w:tc>
      </w:tr>
    </w:tbl>
    <w:p w:rsidR="005D657E" w:rsidRPr="0081268A" w:rsidRDefault="005D657E" w:rsidP="005D657E">
      <w:pPr>
        <w:spacing w:line="240" w:lineRule="auto"/>
        <w:ind w:left="79" w:right="62"/>
        <w:contextualSpacing/>
        <w:jc w:val="both"/>
        <w:rPr>
          <w:rFonts w:ascii="Times New Roman" w:hAnsi="Times New Roman" w:cs="Times New Roman"/>
          <w:sz w:val="24"/>
          <w:szCs w:val="24"/>
        </w:rPr>
      </w:pPr>
      <w:r w:rsidRPr="0081268A">
        <w:rPr>
          <w:rFonts w:ascii="Times New Roman" w:hAnsi="Times New Roman" w:cs="Times New Roman"/>
          <w:sz w:val="24"/>
          <w:szCs w:val="24"/>
        </w:rPr>
        <w:t>(*) : ou bien 17 m, au cas oú l’emplacement R1 est adopté.</w:t>
      </w:r>
    </w:p>
    <w:p w:rsidR="005D657E" w:rsidRPr="0081268A" w:rsidRDefault="005D657E" w:rsidP="005D657E">
      <w:pPr>
        <w:spacing w:line="240" w:lineRule="auto"/>
        <w:ind w:left="79" w:right="62"/>
        <w:contextualSpacing/>
        <w:jc w:val="both"/>
        <w:rPr>
          <w:rFonts w:ascii="Times New Roman" w:hAnsi="Times New Roman" w:cs="Times New Roman"/>
          <w:sz w:val="24"/>
          <w:szCs w:val="24"/>
        </w:rPr>
      </w:pPr>
      <w:r w:rsidRPr="0081268A">
        <w:rPr>
          <w:rFonts w:ascii="Times New Roman" w:hAnsi="Times New Roman" w:cs="Times New Roman"/>
          <w:sz w:val="24"/>
          <w:szCs w:val="24"/>
        </w:rPr>
        <w:t>(**) : ou 22 m au cas oú l’emplacement R1 est adopté</w:t>
      </w:r>
    </w:p>
    <w:p w:rsidR="004D581E" w:rsidRPr="003140E3" w:rsidRDefault="005D657E" w:rsidP="003140E3">
      <w:pPr>
        <w:spacing w:line="240" w:lineRule="auto"/>
        <w:ind w:left="79" w:right="62"/>
        <w:contextualSpacing/>
        <w:jc w:val="both"/>
        <w:rPr>
          <w:rFonts w:ascii="Times New Roman" w:hAnsi="Times New Roman" w:cs="Times New Roman"/>
          <w:sz w:val="24"/>
          <w:szCs w:val="24"/>
        </w:rPr>
      </w:pPr>
      <w:r w:rsidRPr="0081268A">
        <w:rPr>
          <w:rFonts w:ascii="Times New Roman" w:hAnsi="Times New Roman" w:cs="Times New Roman"/>
          <w:sz w:val="24"/>
          <w:szCs w:val="24"/>
        </w:rPr>
        <w:t>(***) : ou 300 m3, en cas de limitation bud</w:t>
      </w:r>
      <w:r w:rsidR="003140E3">
        <w:rPr>
          <w:rFonts w:ascii="Times New Roman" w:hAnsi="Times New Roman" w:cs="Times New Roman"/>
          <w:sz w:val="24"/>
          <w:szCs w:val="24"/>
        </w:rPr>
        <w:t xml:space="preserve">gétaire, à décider para le MO. </w:t>
      </w:r>
    </w:p>
    <w:p w:rsidR="005D657E" w:rsidRPr="003140E3" w:rsidRDefault="005D657E" w:rsidP="005D657E">
      <w:pPr>
        <w:pStyle w:val="PargrafodaLista"/>
        <w:numPr>
          <w:ilvl w:val="0"/>
          <w:numId w:val="245"/>
        </w:numPr>
        <w:tabs>
          <w:tab w:val="left" w:pos="1418"/>
          <w:tab w:val="left" w:pos="1843"/>
        </w:tabs>
        <w:spacing w:after="240" w:line="240" w:lineRule="auto"/>
        <w:ind w:right="-283"/>
        <w:contextualSpacing w:val="0"/>
        <w:rPr>
          <w:rFonts w:ascii="Times New Roman" w:hAnsi="Times New Roman"/>
          <w:b/>
          <w:bCs/>
          <w:i/>
          <w:sz w:val="22"/>
          <w:szCs w:val="22"/>
          <w:lang w:val="fr-FR"/>
        </w:rPr>
      </w:pPr>
      <w:r w:rsidRPr="003140E3">
        <w:rPr>
          <w:rFonts w:ascii="Times New Roman" w:hAnsi="Times New Roman"/>
          <w:b/>
          <w:bCs/>
          <w:i/>
          <w:sz w:val="22"/>
          <w:szCs w:val="22"/>
          <w:lang w:val="fr-FR"/>
        </w:rPr>
        <w:t>CADRE POLITIQUE JURIDIQUE ET INSTITUTIONNEL</w:t>
      </w:r>
    </w:p>
    <w:p w:rsidR="005D657E" w:rsidRPr="003140E3" w:rsidRDefault="005D657E" w:rsidP="003140E3">
      <w:pPr>
        <w:spacing w:after="120" w:line="240" w:lineRule="auto"/>
        <w:ind w:left="-284" w:right="-853"/>
        <w:jc w:val="both"/>
        <w:rPr>
          <w:rFonts w:ascii="Times New Roman" w:hAnsi="Times New Roman" w:cs="Times New Roman"/>
          <w:bCs/>
        </w:rPr>
      </w:pPr>
      <w:r w:rsidRPr="003140E3">
        <w:rPr>
          <w:rFonts w:ascii="Times New Roman" w:hAnsi="Times New Roman" w:cs="Times New Roman"/>
          <w:bCs/>
        </w:rPr>
        <w:t>Le cadre politique, juridique et institutionnel de la Guinée Bissau a été revisité pour en ressortir les politiques sectorielles, les stratégies environnementales et sociales, les plans nationaux, les plans de conservation de la diversité biologique, les stratégies nationales pour les aires protégées, les plans d’adaptation aux changements climatiques, Déclaration Politique sectorielle de l’eau et de l’énergie électrique, les Politiques et de Stratégies Environnementales et Sociales etc.</w:t>
      </w:r>
    </w:p>
    <w:p w:rsidR="005D657E" w:rsidRPr="003140E3" w:rsidRDefault="005D657E" w:rsidP="003140E3">
      <w:pPr>
        <w:spacing w:after="120" w:line="240" w:lineRule="auto"/>
        <w:ind w:left="-284" w:right="-853"/>
        <w:jc w:val="both"/>
        <w:rPr>
          <w:rFonts w:ascii="Times New Roman" w:hAnsi="Times New Roman" w:cs="Times New Roman"/>
          <w:bCs/>
        </w:rPr>
      </w:pPr>
      <w:r w:rsidRPr="003140E3">
        <w:rPr>
          <w:rFonts w:ascii="Times New Roman" w:hAnsi="Times New Roman" w:cs="Times New Roman"/>
          <w:bCs/>
        </w:rPr>
        <w:t>Sur le plan national, nous avons exploité le document de déclaration de politique sectorielle dans le domaine des sous-secteurs de l’énergie.</w:t>
      </w:r>
    </w:p>
    <w:p w:rsidR="005D657E" w:rsidRPr="003140E3" w:rsidRDefault="005D657E" w:rsidP="005D657E">
      <w:pPr>
        <w:pStyle w:val="PargrafodaLista"/>
        <w:numPr>
          <w:ilvl w:val="0"/>
          <w:numId w:val="246"/>
        </w:numPr>
        <w:spacing w:after="0" w:line="240" w:lineRule="auto"/>
        <w:ind w:left="426"/>
        <w:contextualSpacing w:val="0"/>
        <w:rPr>
          <w:rFonts w:ascii="Times New Roman" w:hAnsi="Times New Roman"/>
        </w:rPr>
      </w:pPr>
      <w:r w:rsidRPr="003140E3">
        <w:rPr>
          <w:rFonts w:ascii="Times New Roman" w:hAnsi="Times New Roman"/>
          <w:b/>
          <w:bCs/>
        </w:rPr>
        <w:t xml:space="preserve">Déclaration Politique sectorielle de l’eau </w:t>
      </w:r>
    </w:p>
    <w:p w:rsidR="005D657E" w:rsidRPr="003140E3" w:rsidRDefault="005D657E" w:rsidP="003140E3">
      <w:pPr>
        <w:pStyle w:val="PargrafodaLista"/>
        <w:numPr>
          <w:ilvl w:val="1"/>
          <w:numId w:val="246"/>
        </w:numPr>
        <w:spacing w:after="0" w:line="240" w:lineRule="auto"/>
        <w:ind w:left="851" w:hanging="447"/>
        <w:contextualSpacing w:val="0"/>
        <w:rPr>
          <w:rFonts w:ascii="Times New Roman" w:hAnsi="Times New Roman"/>
          <w:bCs/>
        </w:rPr>
      </w:pPr>
      <w:r w:rsidRPr="003140E3">
        <w:rPr>
          <w:rFonts w:ascii="Times New Roman" w:hAnsi="Times New Roman"/>
          <w:bCs/>
        </w:rPr>
        <w:t>Schéma directeur de l’eau et de l’assainissement en Guinée Bissau</w:t>
      </w:r>
    </w:p>
    <w:p w:rsidR="005D657E" w:rsidRPr="003140E3" w:rsidRDefault="005D657E" w:rsidP="005D657E">
      <w:pPr>
        <w:pStyle w:val="PargrafodaLista"/>
        <w:numPr>
          <w:ilvl w:val="0"/>
          <w:numId w:val="246"/>
        </w:numPr>
        <w:spacing w:after="0" w:line="240" w:lineRule="auto"/>
        <w:ind w:left="426"/>
        <w:contextualSpacing w:val="0"/>
        <w:rPr>
          <w:rFonts w:ascii="Times New Roman" w:hAnsi="Times New Roman"/>
          <w:b/>
          <w:bCs/>
        </w:rPr>
      </w:pPr>
      <w:r w:rsidRPr="003140E3">
        <w:rPr>
          <w:rFonts w:ascii="Times New Roman" w:hAnsi="Times New Roman"/>
          <w:b/>
          <w:bCs/>
        </w:rPr>
        <w:t>Documents de Politiques et de Stratégies Environnementales et Sociales</w:t>
      </w:r>
    </w:p>
    <w:p w:rsidR="005D657E" w:rsidRPr="003140E3" w:rsidRDefault="005D657E" w:rsidP="005D657E">
      <w:pPr>
        <w:pStyle w:val="PargrafodaLista"/>
        <w:numPr>
          <w:ilvl w:val="1"/>
          <w:numId w:val="246"/>
        </w:numPr>
        <w:spacing w:after="0" w:line="240" w:lineRule="auto"/>
        <w:ind w:left="851" w:hanging="447"/>
        <w:contextualSpacing w:val="0"/>
        <w:rPr>
          <w:rFonts w:ascii="Times New Roman" w:hAnsi="Times New Roman"/>
          <w:bCs/>
        </w:rPr>
      </w:pPr>
      <w:r w:rsidRPr="003140E3">
        <w:rPr>
          <w:rFonts w:ascii="Times New Roman" w:hAnsi="Times New Roman"/>
          <w:bCs/>
        </w:rPr>
        <w:t>Le plan national de gestion environnementale (PNGE)</w:t>
      </w:r>
    </w:p>
    <w:p w:rsidR="005D657E" w:rsidRPr="003140E3" w:rsidRDefault="005D657E" w:rsidP="005D657E">
      <w:pPr>
        <w:pStyle w:val="PargrafodaLista"/>
        <w:numPr>
          <w:ilvl w:val="1"/>
          <w:numId w:val="246"/>
        </w:numPr>
        <w:spacing w:after="0" w:line="240" w:lineRule="auto"/>
        <w:ind w:left="851" w:hanging="447"/>
        <w:contextualSpacing w:val="0"/>
        <w:rPr>
          <w:rFonts w:ascii="Times New Roman" w:hAnsi="Times New Roman"/>
          <w:bCs/>
        </w:rPr>
      </w:pPr>
      <w:r w:rsidRPr="003140E3">
        <w:rPr>
          <w:rFonts w:ascii="Times New Roman" w:hAnsi="Times New Roman"/>
          <w:bCs/>
        </w:rPr>
        <w:t>La Stratégie nationale et le plan d’action pour la conservation de la diversité biologie</w:t>
      </w:r>
    </w:p>
    <w:p w:rsidR="005D657E" w:rsidRPr="003140E3" w:rsidRDefault="005D657E" w:rsidP="005D657E">
      <w:pPr>
        <w:pStyle w:val="PargrafodaLista"/>
        <w:numPr>
          <w:ilvl w:val="1"/>
          <w:numId w:val="246"/>
        </w:numPr>
        <w:spacing w:after="0" w:line="240" w:lineRule="auto"/>
        <w:ind w:left="851" w:hanging="447"/>
        <w:contextualSpacing w:val="0"/>
        <w:rPr>
          <w:rFonts w:ascii="Times New Roman" w:hAnsi="Times New Roman"/>
          <w:bCs/>
        </w:rPr>
      </w:pPr>
      <w:r w:rsidRPr="003140E3">
        <w:rPr>
          <w:rFonts w:ascii="Times New Roman" w:hAnsi="Times New Roman"/>
          <w:bCs/>
        </w:rPr>
        <w:t>Le plan d’action pour la conservation de la diversité biologique</w:t>
      </w:r>
    </w:p>
    <w:p w:rsidR="005D657E" w:rsidRPr="003140E3" w:rsidRDefault="005D657E" w:rsidP="005D657E">
      <w:pPr>
        <w:pStyle w:val="PargrafodaLista"/>
        <w:numPr>
          <w:ilvl w:val="1"/>
          <w:numId w:val="246"/>
        </w:numPr>
        <w:spacing w:after="0" w:line="240" w:lineRule="auto"/>
        <w:ind w:left="851" w:hanging="447"/>
        <w:contextualSpacing w:val="0"/>
        <w:rPr>
          <w:rFonts w:ascii="Times New Roman" w:hAnsi="Times New Roman"/>
          <w:bCs/>
        </w:rPr>
      </w:pPr>
      <w:r w:rsidRPr="003140E3">
        <w:rPr>
          <w:rFonts w:ascii="Times New Roman" w:hAnsi="Times New Roman"/>
          <w:bCs/>
        </w:rPr>
        <w:t>Le Plan National d’Adaptation aux Changements Climatiques (NAPA)</w:t>
      </w:r>
    </w:p>
    <w:p w:rsidR="005D657E" w:rsidRPr="003140E3" w:rsidRDefault="005D657E" w:rsidP="005D657E">
      <w:pPr>
        <w:pStyle w:val="PargrafodaLista"/>
        <w:numPr>
          <w:ilvl w:val="1"/>
          <w:numId w:val="246"/>
        </w:numPr>
        <w:spacing w:after="0" w:line="240" w:lineRule="auto"/>
        <w:ind w:left="851" w:hanging="447"/>
        <w:contextualSpacing w:val="0"/>
        <w:rPr>
          <w:rFonts w:ascii="Times New Roman" w:hAnsi="Times New Roman"/>
          <w:bCs/>
        </w:rPr>
      </w:pPr>
      <w:r w:rsidRPr="003140E3">
        <w:rPr>
          <w:rFonts w:ascii="Times New Roman" w:hAnsi="Times New Roman"/>
          <w:bCs/>
        </w:rPr>
        <w:t>Document de Stratégie Nationale pour la Réduction de la pauvreté (DENARP II)</w:t>
      </w:r>
    </w:p>
    <w:p w:rsidR="005D657E" w:rsidRPr="003140E3" w:rsidRDefault="005D657E" w:rsidP="005D657E">
      <w:pPr>
        <w:pStyle w:val="PargrafodaLista"/>
        <w:numPr>
          <w:ilvl w:val="1"/>
          <w:numId w:val="246"/>
        </w:numPr>
        <w:spacing w:after="0" w:line="240" w:lineRule="auto"/>
        <w:ind w:left="851" w:hanging="447"/>
        <w:contextualSpacing w:val="0"/>
        <w:rPr>
          <w:rFonts w:ascii="Times New Roman" w:hAnsi="Times New Roman"/>
          <w:bCs/>
        </w:rPr>
      </w:pPr>
      <w:r w:rsidRPr="003140E3">
        <w:rPr>
          <w:rFonts w:ascii="Times New Roman" w:hAnsi="Times New Roman"/>
          <w:bCs/>
        </w:rPr>
        <w:t>Le Plan National de Développement Sanitaire (PNDS II)</w:t>
      </w:r>
    </w:p>
    <w:p w:rsidR="005D657E" w:rsidRPr="00C8017F" w:rsidRDefault="005D657E" w:rsidP="005D657E">
      <w:pPr>
        <w:spacing w:after="0" w:line="276" w:lineRule="auto"/>
        <w:ind w:left="720" w:right="-283"/>
        <w:jc w:val="both"/>
        <w:rPr>
          <w:rFonts w:ascii="Times New Roman" w:hAnsi="Times New Roman"/>
          <w:sz w:val="20"/>
          <w:szCs w:val="20"/>
        </w:rPr>
      </w:pPr>
    </w:p>
    <w:p w:rsidR="005D657E" w:rsidRPr="003140E3" w:rsidRDefault="005D657E" w:rsidP="003140E3">
      <w:pPr>
        <w:spacing w:after="120" w:line="240" w:lineRule="auto"/>
        <w:ind w:left="-284" w:right="-853"/>
        <w:jc w:val="both"/>
        <w:rPr>
          <w:rFonts w:ascii="Times New Roman" w:hAnsi="Times New Roman" w:cs="Times New Roman"/>
          <w:bCs/>
        </w:rPr>
      </w:pPr>
      <w:r w:rsidRPr="003140E3">
        <w:rPr>
          <w:rFonts w:ascii="Times New Roman" w:hAnsi="Times New Roman" w:cs="Times New Roman"/>
          <w:bCs/>
        </w:rPr>
        <w:t xml:space="preserve">Les textes nationaux et internationaux pertinents, les conventions, ainsi que les </w:t>
      </w:r>
      <w:r w:rsidR="00476B3B" w:rsidRPr="003140E3">
        <w:rPr>
          <w:rFonts w:ascii="Times New Roman" w:hAnsi="Times New Roman" w:cs="Times New Roman"/>
          <w:bCs/>
        </w:rPr>
        <w:t>Politiques</w:t>
      </w:r>
      <w:r w:rsidR="003140E3">
        <w:rPr>
          <w:rFonts w:ascii="Times New Roman" w:hAnsi="Times New Roman" w:cs="Times New Roman"/>
          <w:bCs/>
        </w:rPr>
        <w:t xml:space="preserve"> de sauvegarde de la B</w:t>
      </w:r>
      <w:r w:rsidR="00476B3B" w:rsidRPr="003140E3">
        <w:rPr>
          <w:rFonts w:ascii="Times New Roman" w:hAnsi="Times New Roman" w:cs="Times New Roman"/>
          <w:bCs/>
        </w:rPr>
        <w:t>anque mondiale</w:t>
      </w:r>
      <w:r w:rsidRPr="003140E3">
        <w:rPr>
          <w:rFonts w:ascii="Times New Roman" w:hAnsi="Times New Roman" w:cs="Times New Roman"/>
          <w:bCs/>
        </w:rPr>
        <w:t xml:space="preserve"> </w:t>
      </w:r>
      <w:r w:rsidR="00C16E83">
        <w:rPr>
          <w:rFonts w:ascii="Times New Roman" w:hAnsi="Times New Roman" w:cs="Times New Roman"/>
          <w:bCs/>
        </w:rPr>
        <w:t xml:space="preserve">et les directives en EHS </w:t>
      </w:r>
      <w:r w:rsidRPr="003140E3">
        <w:rPr>
          <w:rFonts w:ascii="Times New Roman" w:hAnsi="Times New Roman" w:cs="Times New Roman"/>
          <w:bCs/>
        </w:rPr>
        <w:t>ont été interpelés durant cette étude pour déterminer ceux ou celles qui sont applicables dans le cadre du présent sous projet n°2.</w:t>
      </w:r>
    </w:p>
    <w:p w:rsidR="00476B3B" w:rsidRPr="003140E3" w:rsidRDefault="00476B3B" w:rsidP="003140E3">
      <w:pPr>
        <w:spacing w:after="120" w:line="240" w:lineRule="auto"/>
        <w:ind w:left="-284" w:right="-853"/>
        <w:jc w:val="both"/>
        <w:rPr>
          <w:rFonts w:ascii="Times New Roman" w:hAnsi="Times New Roman" w:cs="Times New Roman"/>
          <w:bCs/>
        </w:rPr>
      </w:pPr>
      <w:r w:rsidRPr="003140E3">
        <w:rPr>
          <w:rFonts w:ascii="Times New Roman" w:hAnsi="Times New Roman" w:cs="Times New Roman"/>
          <w:bCs/>
        </w:rPr>
        <w:t xml:space="preserve">Le dispositif juridique de la Guinée Bissau en matière d’environnement concerne la loi de base n°1/2011 sur l’environnement et la loi n° 10/2010 sur l’évaluation environnementale. Spécifiquement pour les études d’impact sur l’environnement, le décret d’application est en cours de finalisation. La loi n°2/98 du 28 avril sur le foncier est également un texte pertinent dans le cadre de la mise en œuvre du sous- projet n°2 de PUASEE-FA. </w:t>
      </w:r>
    </w:p>
    <w:p w:rsidR="00476B3B" w:rsidRPr="003140E3" w:rsidRDefault="00476B3B" w:rsidP="003140E3">
      <w:pPr>
        <w:spacing w:after="120" w:line="240" w:lineRule="auto"/>
        <w:ind w:left="-284" w:right="-853"/>
        <w:jc w:val="both"/>
        <w:rPr>
          <w:rFonts w:ascii="Times New Roman" w:hAnsi="Times New Roman" w:cs="Times New Roman"/>
          <w:bCs/>
        </w:rPr>
      </w:pPr>
      <w:r w:rsidRPr="003140E3">
        <w:rPr>
          <w:rFonts w:ascii="Times New Roman" w:hAnsi="Times New Roman" w:cs="Times New Roman"/>
          <w:bCs/>
        </w:rPr>
        <w:t xml:space="preserve">Les normes et dispositions réglementaires sur la gestion des déchets en général et en particulier les déchets dangereux (huiles usagées, et autres équipements défaillants) issus des activités de fourniture d’eau ne sont pas réglementées en Guinée Bissau. Plusieurs autres dispositions sur la qualité des composantes environnementales ne sont pas réglementées, pour le suivi de la qualité de l’eau potable, les normes de l’OMS sont celles appliquées. </w:t>
      </w:r>
    </w:p>
    <w:p w:rsidR="005D657E" w:rsidRPr="003140E3" w:rsidRDefault="005D657E" w:rsidP="003140E3">
      <w:pPr>
        <w:spacing w:after="120" w:line="240" w:lineRule="auto"/>
        <w:ind w:left="-284" w:right="-853"/>
        <w:jc w:val="both"/>
        <w:rPr>
          <w:rFonts w:ascii="Times New Roman" w:hAnsi="Times New Roman" w:cs="Times New Roman"/>
          <w:bCs/>
        </w:rPr>
      </w:pPr>
      <w:r w:rsidRPr="003140E3">
        <w:rPr>
          <w:rFonts w:ascii="Times New Roman" w:hAnsi="Times New Roman" w:cs="Times New Roman"/>
          <w:bCs/>
        </w:rPr>
        <w:t xml:space="preserve">L’autorité de tutelle qui assure en Guinée Bissau les activités de production, transport et distribution de l’électricité et de l’eau est l’Entreprise de l’Electricité, Eau de Guinée Bissau. Mais l’EAGB travaille en étroite collaboration avec le Ministère de l’Energie et de l’Industrie, puis le Ministère des Ressources Naturelles à travers respectivement la Direction Générale de </w:t>
      </w:r>
      <w:r w:rsidR="00476B3B" w:rsidRPr="003140E3">
        <w:rPr>
          <w:rFonts w:ascii="Times New Roman" w:hAnsi="Times New Roman" w:cs="Times New Roman"/>
          <w:bCs/>
        </w:rPr>
        <w:t>l’Energie pour</w:t>
      </w:r>
      <w:r w:rsidRPr="003140E3">
        <w:rPr>
          <w:rFonts w:ascii="Times New Roman" w:hAnsi="Times New Roman" w:cs="Times New Roman"/>
          <w:bCs/>
        </w:rPr>
        <w:t xml:space="preserve"> l’obtention des différentes autorisations à l’installation de ses infrastructures de production, de transport et de distribution de l’électricité. Leurs rôles respectifs sont </w:t>
      </w:r>
      <w:r w:rsidR="00476B3B" w:rsidRPr="003140E3">
        <w:rPr>
          <w:rFonts w:ascii="Times New Roman" w:hAnsi="Times New Roman" w:cs="Times New Roman"/>
          <w:bCs/>
        </w:rPr>
        <w:t>décrits</w:t>
      </w:r>
      <w:r w:rsidRPr="003140E3">
        <w:rPr>
          <w:rFonts w:ascii="Times New Roman" w:hAnsi="Times New Roman" w:cs="Times New Roman"/>
          <w:bCs/>
        </w:rPr>
        <w:t xml:space="preserve"> dans le corps du document.</w:t>
      </w:r>
    </w:p>
    <w:p w:rsidR="005D657E" w:rsidRPr="003140E3" w:rsidRDefault="003140E3" w:rsidP="003140E3">
      <w:pPr>
        <w:pStyle w:val="PargrafodaLista"/>
        <w:numPr>
          <w:ilvl w:val="0"/>
          <w:numId w:val="245"/>
        </w:numPr>
        <w:tabs>
          <w:tab w:val="left" w:pos="1418"/>
          <w:tab w:val="left" w:pos="1843"/>
        </w:tabs>
        <w:spacing w:after="240" w:line="240" w:lineRule="auto"/>
        <w:ind w:right="-283"/>
        <w:contextualSpacing w:val="0"/>
        <w:rPr>
          <w:rFonts w:ascii="Times New Roman" w:hAnsi="Times New Roman"/>
          <w:b/>
          <w:bCs/>
          <w:i/>
          <w:sz w:val="22"/>
          <w:szCs w:val="22"/>
          <w:lang w:val="fr-FR"/>
        </w:rPr>
      </w:pPr>
      <w:r w:rsidRPr="003140E3">
        <w:rPr>
          <w:rFonts w:ascii="Times New Roman" w:hAnsi="Times New Roman"/>
          <w:b/>
          <w:bCs/>
          <w:i/>
          <w:sz w:val="22"/>
          <w:szCs w:val="22"/>
          <w:lang w:val="fr-FR"/>
        </w:rPr>
        <w:t xml:space="preserve">RAISONS DES </w:t>
      </w:r>
      <w:r w:rsidR="00E732C7" w:rsidRPr="003140E3">
        <w:rPr>
          <w:rFonts w:ascii="Times New Roman" w:hAnsi="Times New Roman"/>
          <w:b/>
          <w:bCs/>
          <w:i/>
          <w:sz w:val="22"/>
          <w:szCs w:val="22"/>
          <w:lang w:val="fr-FR"/>
        </w:rPr>
        <w:t xml:space="preserve">CHOIX </w:t>
      </w:r>
      <w:r w:rsidR="00E732C7">
        <w:rPr>
          <w:rFonts w:ascii="Times New Roman" w:hAnsi="Times New Roman"/>
          <w:b/>
          <w:bCs/>
          <w:i/>
          <w:sz w:val="22"/>
          <w:szCs w:val="22"/>
          <w:lang w:val="fr-FR"/>
        </w:rPr>
        <w:t>ET</w:t>
      </w:r>
      <w:r>
        <w:rPr>
          <w:rFonts w:ascii="Times New Roman" w:hAnsi="Times New Roman"/>
          <w:b/>
          <w:bCs/>
          <w:i/>
          <w:sz w:val="22"/>
          <w:szCs w:val="22"/>
          <w:lang w:val="fr-FR"/>
        </w:rPr>
        <w:t xml:space="preserve"> </w:t>
      </w:r>
      <w:r w:rsidR="00476B3B" w:rsidRPr="003140E3">
        <w:rPr>
          <w:rFonts w:ascii="Times New Roman" w:hAnsi="Times New Roman"/>
          <w:b/>
          <w:bCs/>
          <w:i/>
          <w:sz w:val="22"/>
          <w:szCs w:val="22"/>
          <w:lang w:val="fr-FR"/>
        </w:rPr>
        <w:t>ANALYSE DES ALTERNATIVES </w:t>
      </w:r>
    </w:p>
    <w:p w:rsidR="00476B3B" w:rsidRPr="003140E3" w:rsidRDefault="00476B3B" w:rsidP="003140E3">
      <w:pPr>
        <w:spacing w:after="120" w:line="240" w:lineRule="auto"/>
        <w:ind w:left="-284" w:right="-853"/>
        <w:jc w:val="both"/>
        <w:rPr>
          <w:rFonts w:ascii="Times New Roman" w:hAnsi="Times New Roman" w:cs="Times New Roman"/>
          <w:bCs/>
        </w:rPr>
      </w:pPr>
      <w:r w:rsidRPr="003140E3">
        <w:rPr>
          <w:rFonts w:ascii="Times New Roman" w:hAnsi="Times New Roman" w:cs="Times New Roman"/>
          <w:bCs/>
        </w:rPr>
        <w:t>La raison du choix du projet PUASEE-FA précisément le sous projet n°2 se résume par rapport à la situation malheureuse des conditions de vie de la population en terme surtout d’approvisionnement en eau potable dans certains quartiers.</w:t>
      </w:r>
    </w:p>
    <w:p w:rsidR="00476B3B" w:rsidRPr="003140E3" w:rsidRDefault="00476B3B" w:rsidP="003140E3">
      <w:pPr>
        <w:spacing w:after="120" w:line="240" w:lineRule="auto"/>
        <w:ind w:left="-284" w:right="-853"/>
        <w:jc w:val="both"/>
        <w:rPr>
          <w:rFonts w:ascii="Times New Roman" w:hAnsi="Times New Roman" w:cs="Times New Roman"/>
          <w:bCs/>
        </w:rPr>
      </w:pPr>
      <w:r w:rsidRPr="003140E3">
        <w:rPr>
          <w:rFonts w:ascii="Times New Roman" w:hAnsi="Times New Roman" w:cs="Times New Roman"/>
          <w:bCs/>
        </w:rPr>
        <w:t>Ainsi, de nombreux effort ont été faits par le projet PUASEE et les autres projets, ce qui a permis d’augmenter le volume fonctionnel actuel à 2 670 m3 grâce à la construction du réservoir de Guinée Telecom, de l’Hospital de Agosto et la réhabilitation du réservoir existant de Quartel G</w:t>
      </w:r>
      <w:r w:rsidR="003140E3">
        <w:rPr>
          <w:rFonts w:ascii="Times New Roman" w:hAnsi="Times New Roman" w:cs="Times New Roman"/>
          <w:bCs/>
        </w:rPr>
        <w:t xml:space="preserve">eneral et de l’Escola Técnica. </w:t>
      </w:r>
    </w:p>
    <w:p w:rsidR="00476B3B" w:rsidRPr="003140E3" w:rsidRDefault="00476B3B" w:rsidP="003140E3">
      <w:pPr>
        <w:spacing w:after="120" w:line="240" w:lineRule="auto"/>
        <w:ind w:left="-284" w:right="-853"/>
        <w:jc w:val="both"/>
        <w:rPr>
          <w:rFonts w:ascii="Times New Roman" w:hAnsi="Times New Roman" w:cs="Times New Roman"/>
          <w:bCs/>
        </w:rPr>
      </w:pPr>
      <w:r w:rsidRPr="003140E3">
        <w:rPr>
          <w:rFonts w:ascii="Times New Roman" w:hAnsi="Times New Roman" w:cs="Times New Roman"/>
          <w:bCs/>
        </w:rPr>
        <w:t>Malgré, ces réalisations et réhabilitations des réservoirs, le volume actuel est toujours très insuffisant pour satisfaire la demande de la population en matière d’approvisionnement en eau potable et de plusieurs quartiers dans la ville de Bissau (Hafia, Antula, Bor, etc…) et Biombo (Safim, Cumura, Quelele, Prabis, etc…) n’ont aucun réseau AEP.</w:t>
      </w:r>
    </w:p>
    <w:p w:rsidR="00476B3B" w:rsidRPr="003140E3" w:rsidRDefault="00476B3B" w:rsidP="003140E3">
      <w:pPr>
        <w:spacing w:after="120" w:line="240" w:lineRule="auto"/>
        <w:ind w:left="-284" w:right="-853"/>
        <w:jc w:val="both"/>
        <w:rPr>
          <w:rFonts w:ascii="Times New Roman" w:hAnsi="Times New Roman" w:cs="Times New Roman"/>
          <w:bCs/>
        </w:rPr>
      </w:pPr>
      <w:r w:rsidRPr="003140E3">
        <w:rPr>
          <w:rFonts w:ascii="Times New Roman" w:hAnsi="Times New Roman" w:cs="Times New Roman"/>
          <w:bCs/>
        </w:rPr>
        <w:lastRenderedPageBreak/>
        <w:t xml:space="preserve">C’est ainsi que, pour résoudre les difficultés notées dans le réseau de distribution d’eau potable de la ville de Bissau et Biombo, qu’il a été recommandé dans les études précédentes de diviser la ville en secteurs de distribution. </w:t>
      </w:r>
    </w:p>
    <w:p w:rsidR="00476B3B" w:rsidRPr="003140E3" w:rsidRDefault="00476B3B" w:rsidP="003140E3">
      <w:pPr>
        <w:spacing w:after="120" w:line="240" w:lineRule="auto"/>
        <w:ind w:left="-284" w:right="-853"/>
        <w:jc w:val="both"/>
        <w:rPr>
          <w:rFonts w:ascii="Times New Roman" w:hAnsi="Times New Roman" w:cs="Times New Roman"/>
          <w:bCs/>
        </w:rPr>
      </w:pPr>
      <w:r w:rsidRPr="003140E3">
        <w:rPr>
          <w:rFonts w:ascii="Times New Roman" w:hAnsi="Times New Roman" w:cs="Times New Roman"/>
          <w:bCs/>
        </w:rPr>
        <w:t>L’analyse consiste à identifier les variantes ou alternatives pertinentes et à les comparer en termes d’avantages et d’inconvénients selon l’environnement biophysique et socio - économique. Mais aussi par rapport aux solutions proposées en termes de constructions, d’équipements ou de modes</w:t>
      </w:r>
      <w:r w:rsidR="003140E3">
        <w:rPr>
          <w:rFonts w:ascii="Times New Roman" w:hAnsi="Times New Roman" w:cs="Times New Roman"/>
          <w:bCs/>
        </w:rPr>
        <w:t xml:space="preserve"> d’exploitation.</w:t>
      </w:r>
    </w:p>
    <w:p w:rsidR="00476B3B" w:rsidRPr="003140E3" w:rsidRDefault="00476B3B" w:rsidP="003140E3">
      <w:pPr>
        <w:spacing w:after="120" w:line="240" w:lineRule="auto"/>
        <w:ind w:left="-284" w:right="-853"/>
        <w:jc w:val="both"/>
        <w:rPr>
          <w:rFonts w:ascii="Times New Roman" w:hAnsi="Times New Roman" w:cs="Times New Roman"/>
          <w:bCs/>
        </w:rPr>
      </w:pPr>
      <w:r w:rsidRPr="003140E3">
        <w:rPr>
          <w:rFonts w:ascii="Times New Roman" w:hAnsi="Times New Roman" w:cs="Times New Roman"/>
          <w:bCs/>
        </w:rPr>
        <w:t>Dans le cadre de ce projet trois (03) variantes qui semblent importantes ont été analysées. Il s’agit essentiellement :</w:t>
      </w:r>
    </w:p>
    <w:p w:rsidR="00476B3B" w:rsidRPr="00E732C7" w:rsidRDefault="00476B3B" w:rsidP="00476B3B">
      <w:pPr>
        <w:pStyle w:val="PargrafodaLista"/>
        <w:numPr>
          <w:ilvl w:val="0"/>
          <w:numId w:val="48"/>
        </w:numPr>
        <w:overflowPunct w:val="0"/>
        <w:autoSpaceDE w:val="0"/>
        <w:autoSpaceDN w:val="0"/>
        <w:adjustRightInd w:val="0"/>
        <w:spacing w:after="240"/>
        <w:ind w:right="284"/>
        <w:jc w:val="both"/>
        <w:textAlignment w:val="baseline"/>
        <w:rPr>
          <w:rFonts w:ascii="Times New Roman" w:hAnsi="Times New Roman"/>
          <w:lang w:val="fr-FR"/>
        </w:rPr>
      </w:pPr>
      <w:r w:rsidRPr="00E732C7">
        <w:rPr>
          <w:rFonts w:ascii="Times New Roman" w:hAnsi="Times New Roman"/>
          <w:b/>
          <w:lang w:val="fr-FR"/>
        </w:rPr>
        <w:t>Variante 1 :</w:t>
      </w:r>
      <w:r w:rsidRPr="00E732C7">
        <w:rPr>
          <w:rFonts w:ascii="Times New Roman" w:hAnsi="Times New Roman"/>
          <w:lang w:val="fr-FR"/>
        </w:rPr>
        <w:t xml:space="preserve"> « </w:t>
      </w:r>
      <w:r w:rsidRPr="00E732C7">
        <w:rPr>
          <w:rFonts w:ascii="Times New Roman" w:hAnsi="Times New Roman"/>
          <w:b/>
          <w:i/>
          <w:lang w:val="fr-FR"/>
        </w:rPr>
        <w:t>Projet »</w:t>
      </w:r>
      <w:r w:rsidRPr="00E732C7">
        <w:rPr>
          <w:rFonts w:ascii="Times New Roman" w:hAnsi="Times New Roman"/>
          <w:lang w:val="fr-FR"/>
        </w:rPr>
        <w:t> </w:t>
      </w:r>
    </w:p>
    <w:p w:rsidR="00476B3B" w:rsidRPr="00E732C7" w:rsidRDefault="00476B3B" w:rsidP="00476B3B">
      <w:pPr>
        <w:pStyle w:val="PargrafodaLista"/>
        <w:numPr>
          <w:ilvl w:val="0"/>
          <w:numId w:val="70"/>
        </w:numPr>
        <w:overflowPunct w:val="0"/>
        <w:autoSpaceDE w:val="0"/>
        <w:autoSpaceDN w:val="0"/>
        <w:adjustRightInd w:val="0"/>
        <w:spacing w:after="240"/>
        <w:ind w:right="284"/>
        <w:jc w:val="both"/>
        <w:textAlignment w:val="baseline"/>
        <w:rPr>
          <w:rFonts w:ascii="Times New Roman" w:hAnsi="Times New Roman"/>
          <w:lang w:val="fr-FR"/>
        </w:rPr>
      </w:pPr>
      <w:r w:rsidRPr="00E732C7">
        <w:rPr>
          <w:rFonts w:ascii="Times New Roman" w:hAnsi="Times New Roman"/>
          <w:b/>
          <w:lang w:val="fr-FR"/>
        </w:rPr>
        <w:t>Alternative 1 :</w:t>
      </w:r>
      <w:r w:rsidRPr="00E732C7">
        <w:rPr>
          <w:rFonts w:ascii="Times New Roman" w:hAnsi="Times New Roman"/>
          <w:lang w:val="fr-FR"/>
        </w:rPr>
        <w:t xml:space="preserve"> « </w:t>
      </w:r>
      <w:r w:rsidRPr="00E732C7">
        <w:rPr>
          <w:rFonts w:ascii="Times New Roman" w:hAnsi="Times New Roman"/>
          <w:b/>
          <w:i/>
          <w:lang w:val="fr-FR"/>
        </w:rPr>
        <w:t>sans projet » ou ;</w:t>
      </w:r>
    </w:p>
    <w:p w:rsidR="00476B3B" w:rsidRPr="00E732C7" w:rsidRDefault="00476B3B" w:rsidP="00476B3B">
      <w:pPr>
        <w:pStyle w:val="PargrafodaLista"/>
        <w:numPr>
          <w:ilvl w:val="0"/>
          <w:numId w:val="70"/>
        </w:numPr>
        <w:overflowPunct w:val="0"/>
        <w:autoSpaceDE w:val="0"/>
        <w:autoSpaceDN w:val="0"/>
        <w:adjustRightInd w:val="0"/>
        <w:spacing w:after="240"/>
        <w:ind w:right="284"/>
        <w:jc w:val="both"/>
        <w:textAlignment w:val="baseline"/>
        <w:rPr>
          <w:rFonts w:ascii="Times New Roman" w:hAnsi="Times New Roman"/>
          <w:lang w:val="fr-FR"/>
        </w:rPr>
      </w:pPr>
      <w:r w:rsidRPr="00E732C7">
        <w:rPr>
          <w:rFonts w:ascii="Times New Roman" w:hAnsi="Times New Roman"/>
          <w:b/>
          <w:lang w:val="fr-FR"/>
        </w:rPr>
        <w:t>Alternative 2 :</w:t>
      </w:r>
      <w:r w:rsidRPr="00E732C7">
        <w:rPr>
          <w:rFonts w:ascii="Times New Roman" w:hAnsi="Times New Roman"/>
          <w:lang w:val="fr-FR"/>
        </w:rPr>
        <w:t xml:space="preserve"> « </w:t>
      </w:r>
      <w:r w:rsidRPr="00E732C7">
        <w:rPr>
          <w:rFonts w:ascii="Times New Roman" w:hAnsi="Times New Roman"/>
          <w:b/>
          <w:i/>
          <w:lang w:val="fr-FR"/>
        </w:rPr>
        <w:t>avec projet retardé</w:t>
      </w:r>
      <w:r w:rsidRPr="00E732C7">
        <w:rPr>
          <w:rFonts w:ascii="Times New Roman" w:hAnsi="Times New Roman"/>
          <w:lang w:val="fr-FR"/>
        </w:rPr>
        <w:t xml:space="preserve"> » </w:t>
      </w:r>
      <w:r w:rsidRPr="00E732C7">
        <w:rPr>
          <w:rFonts w:ascii="Times New Roman" w:hAnsi="Times New Roman"/>
          <w:b/>
          <w:lang w:val="fr-FR"/>
        </w:rPr>
        <w:t>ou ;</w:t>
      </w:r>
    </w:p>
    <w:p w:rsidR="00476B3B" w:rsidRPr="00E732C7" w:rsidRDefault="00476B3B" w:rsidP="00476B3B">
      <w:pPr>
        <w:pStyle w:val="PargrafodaLista"/>
        <w:numPr>
          <w:ilvl w:val="0"/>
          <w:numId w:val="70"/>
        </w:numPr>
        <w:overflowPunct w:val="0"/>
        <w:autoSpaceDE w:val="0"/>
        <w:autoSpaceDN w:val="0"/>
        <w:adjustRightInd w:val="0"/>
        <w:spacing w:after="240"/>
        <w:ind w:right="284"/>
        <w:jc w:val="both"/>
        <w:textAlignment w:val="baseline"/>
        <w:rPr>
          <w:rFonts w:ascii="Times New Roman" w:hAnsi="Times New Roman"/>
          <w:lang w:val="fr-FR"/>
        </w:rPr>
      </w:pPr>
      <w:r w:rsidRPr="00E732C7">
        <w:rPr>
          <w:rFonts w:ascii="Times New Roman" w:hAnsi="Times New Roman"/>
          <w:b/>
          <w:lang w:val="fr-FR"/>
        </w:rPr>
        <w:t>Alternative 3 :</w:t>
      </w:r>
      <w:r w:rsidRPr="00E732C7">
        <w:rPr>
          <w:rFonts w:ascii="Times New Roman" w:hAnsi="Times New Roman"/>
          <w:lang w:val="fr-FR"/>
        </w:rPr>
        <w:t xml:space="preserve"> « </w:t>
      </w:r>
      <w:r w:rsidRPr="00E732C7">
        <w:rPr>
          <w:rFonts w:ascii="Times New Roman" w:hAnsi="Times New Roman"/>
          <w:b/>
          <w:i/>
          <w:lang w:val="fr-FR"/>
        </w:rPr>
        <w:t>avec projet</w:t>
      </w:r>
      <w:r w:rsidRPr="00E732C7">
        <w:rPr>
          <w:rFonts w:ascii="Times New Roman" w:hAnsi="Times New Roman"/>
          <w:lang w:val="fr-FR"/>
        </w:rPr>
        <w:t xml:space="preserve"> »</w:t>
      </w:r>
    </w:p>
    <w:p w:rsidR="00476B3B" w:rsidRPr="00E732C7" w:rsidRDefault="00476B3B" w:rsidP="00476B3B">
      <w:pPr>
        <w:pStyle w:val="PargrafodaLista"/>
        <w:numPr>
          <w:ilvl w:val="0"/>
          <w:numId w:val="48"/>
        </w:numPr>
        <w:overflowPunct w:val="0"/>
        <w:autoSpaceDE w:val="0"/>
        <w:autoSpaceDN w:val="0"/>
        <w:adjustRightInd w:val="0"/>
        <w:spacing w:after="240"/>
        <w:ind w:right="284"/>
        <w:jc w:val="both"/>
        <w:textAlignment w:val="baseline"/>
        <w:rPr>
          <w:rFonts w:ascii="Times New Roman" w:hAnsi="Times New Roman"/>
          <w:b/>
          <w:lang w:val="fr-FR"/>
        </w:rPr>
      </w:pPr>
      <w:r w:rsidRPr="00E732C7">
        <w:rPr>
          <w:rFonts w:ascii="Times New Roman" w:hAnsi="Times New Roman"/>
          <w:b/>
          <w:lang w:val="fr-FR"/>
        </w:rPr>
        <w:t>Variante 2 : « Choix du réservoir » </w:t>
      </w:r>
    </w:p>
    <w:p w:rsidR="00476B3B" w:rsidRPr="00E732C7" w:rsidRDefault="00476B3B" w:rsidP="00476B3B">
      <w:pPr>
        <w:pStyle w:val="PargrafodaLista"/>
        <w:numPr>
          <w:ilvl w:val="0"/>
          <w:numId w:val="70"/>
        </w:numPr>
        <w:overflowPunct w:val="0"/>
        <w:autoSpaceDE w:val="0"/>
        <w:autoSpaceDN w:val="0"/>
        <w:adjustRightInd w:val="0"/>
        <w:spacing w:after="240"/>
        <w:ind w:right="284"/>
        <w:jc w:val="both"/>
        <w:textAlignment w:val="baseline"/>
        <w:rPr>
          <w:rFonts w:ascii="Times New Roman" w:hAnsi="Times New Roman"/>
          <w:b/>
          <w:lang w:val="fr-FR"/>
        </w:rPr>
      </w:pPr>
      <w:r w:rsidRPr="00E732C7">
        <w:rPr>
          <w:rFonts w:ascii="Times New Roman" w:hAnsi="Times New Roman"/>
          <w:b/>
          <w:lang w:val="fr-FR"/>
        </w:rPr>
        <w:t>Option 1 : « Châteaux en béton armé »</w:t>
      </w:r>
    </w:p>
    <w:p w:rsidR="00476B3B" w:rsidRPr="00E732C7" w:rsidRDefault="00476B3B" w:rsidP="00476B3B">
      <w:pPr>
        <w:pStyle w:val="PargrafodaLista"/>
        <w:numPr>
          <w:ilvl w:val="0"/>
          <w:numId w:val="70"/>
        </w:numPr>
        <w:overflowPunct w:val="0"/>
        <w:autoSpaceDE w:val="0"/>
        <w:autoSpaceDN w:val="0"/>
        <w:adjustRightInd w:val="0"/>
        <w:spacing w:after="240"/>
        <w:ind w:right="284"/>
        <w:jc w:val="both"/>
        <w:textAlignment w:val="baseline"/>
        <w:rPr>
          <w:rFonts w:ascii="Times New Roman" w:hAnsi="Times New Roman"/>
          <w:b/>
          <w:lang w:val="fr-FR"/>
        </w:rPr>
      </w:pPr>
      <w:r w:rsidRPr="00E732C7">
        <w:rPr>
          <w:rFonts w:ascii="Times New Roman" w:hAnsi="Times New Roman"/>
          <w:b/>
          <w:lang w:val="fr-FR"/>
        </w:rPr>
        <w:t>Option 2 : « Châteaux en résine de polyester »</w:t>
      </w:r>
      <w:r w:rsidRPr="00E732C7">
        <w:rPr>
          <w:rFonts w:ascii="Times New Roman" w:hAnsi="Times New Roman"/>
          <w:b/>
          <w:i/>
          <w:lang w:val="fr-FR"/>
        </w:rPr>
        <w:t xml:space="preserve"> </w:t>
      </w:r>
    </w:p>
    <w:p w:rsidR="00476B3B" w:rsidRPr="00E732C7" w:rsidRDefault="00476B3B" w:rsidP="00476B3B">
      <w:pPr>
        <w:pStyle w:val="PargrafodaLista"/>
        <w:numPr>
          <w:ilvl w:val="0"/>
          <w:numId w:val="70"/>
        </w:numPr>
        <w:overflowPunct w:val="0"/>
        <w:autoSpaceDE w:val="0"/>
        <w:autoSpaceDN w:val="0"/>
        <w:adjustRightInd w:val="0"/>
        <w:spacing w:after="240"/>
        <w:ind w:right="284"/>
        <w:jc w:val="both"/>
        <w:textAlignment w:val="baseline"/>
        <w:rPr>
          <w:rFonts w:ascii="Times New Roman" w:hAnsi="Times New Roman"/>
          <w:b/>
          <w:lang w:val="fr-FR"/>
        </w:rPr>
      </w:pPr>
      <w:r w:rsidRPr="00E732C7">
        <w:rPr>
          <w:rFonts w:ascii="Times New Roman" w:hAnsi="Times New Roman"/>
          <w:b/>
          <w:lang w:val="fr-FR"/>
        </w:rPr>
        <w:t>Option 3 : « Châteaux en métal »</w:t>
      </w:r>
    </w:p>
    <w:p w:rsidR="00476B3B" w:rsidRPr="00E732C7" w:rsidRDefault="00476B3B" w:rsidP="00476B3B">
      <w:pPr>
        <w:pStyle w:val="PargrafodaLista"/>
        <w:numPr>
          <w:ilvl w:val="0"/>
          <w:numId w:val="48"/>
        </w:numPr>
        <w:overflowPunct w:val="0"/>
        <w:autoSpaceDE w:val="0"/>
        <w:autoSpaceDN w:val="0"/>
        <w:adjustRightInd w:val="0"/>
        <w:spacing w:after="240"/>
        <w:ind w:right="284"/>
        <w:jc w:val="both"/>
        <w:textAlignment w:val="baseline"/>
        <w:rPr>
          <w:rFonts w:ascii="Times New Roman" w:hAnsi="Times New Roman"/>
          <w:lang w:val="fr-FR"/>
        </w:rPr>
      </w:pPr>
      <w:r w:rsidRPr="00E732C7">
        <w:rPr>
          <w:rFonts w:ascii="Times New Roman" w:hAnsi="Times New Roman"/>
          <w:b/>
          <w:lang w:val="fr-FR"/>
        </w:rPr>
        <w:t>Variante 3 :</w:t>
      </w:r>
      <w:r w:rsidRPr="00E732C7">
        <w:rPr>
          <w:rFonts w:ascii="Times New Roman" w:hAnsi="Times New Roman"/>
          <w:lang w:val="fr-FR"/>
        </w:rPr>
        <w:t xml:space="preserve"> «</w:t>
      </w:r>
      <w:r w:rsidRPr="00E732C7">
        <w:rPr>
          <w:rFonts w:ascii="Times New Roman" w:hAnsi="Times New Roman"/>
          <w:b/>
          <w:lang w:val="fr-FR"/>
        </w:rPr>
        <w:t xml:space="preserve"> Méthodes de réalisation des réservoirs </w:t>
      </w:r>
      <w:r w:rsidRPr="00E732C7">
        <w:rPr>
          <w:rFonts w:ascii="Times New Roman" w:hAnsi="Times New Roman"/>
          <w:lang w:val="fr-FR"/>
        </w:rPr>
        <w:t>» </w:t>
      </w:r>
    </w:p>
    <w:p w:rsidR="00476B3B" w:rsidRPr="00E732C7" w:rsidRDefault="00476B3B" w:rsidP="00476B3B">
      <w:pPr>
        <w:pStyle w:val="PargrafodaLista"/>
        <w:numPr>
          <w:ilvl w:val="0"/>
          <w:numId w:val="70"/>
        </w:numPr>
        <w:overflowPunct w:val="0"/>
        <w:autoSpaceDE w:val="0"/>
        <w:autoSpaceDN w:val="0"/>
        <w:adjustRightInd w:val="0"/>
        <w:spacing w:after="240"/>
        <w:ind w:right="284"/>
        <w:jc w:val="both"/>
        <w:textAlignment w:val="baseline"/>
        <w:rPr>
          <w:rFonts w:ascii="Times New Roman" w:hAnsi="Times New Roman"/>
          <w:b/>
          <w:i/>
          <w:lang w:val="fr-FR"/>
        </w:rPr>
      </w:pPr>
      <w:r w:rsidRPr="00E732C7">
        <w:rPr>
          <w:rFonts w:ascii="Times New Roman" w:hAnsi="Times New Roman"/>
          <w:b/>
          <w:i/>
          <w:lang w:val="fr-FR"/>
        </w:rPr>
        <w:t>Option 1 : méthode manuelle (HIMO) ;</w:t>
      </w:r>
    </w:p>
    <w:p w:rsidR="00476B3B" w:rsidRPr="00E732C7" w:rsidRDefault="00476B3B" w:rsidP="00476B3B">
      <w:pPr>
        <w:pStyle w:val="PargrafodaLista"/>
        <w:numPr>
          <w:ilvl w:val="0"/>
          <w:numId w:val="70"/>
        </w:numPr>
        <w:overflowPunct w:val="0"/>
        <w:autoSpaceDE w:val="0"/>
        <w:autoSpaceDN w:val="0"/>
        <w:adjustRightInd w:val="0"/>
        <w:spacing w:after="240"/>
        <w:ind w:right="284"/>
        <w:jc w:val="both"/>
        <w:textAlignment w:val="baseline"/>
        <w:rPr>
          <w:rFonts w:ascii="Times New Roman" w:hAnsi="Times New Roman"/>
          <w:b/>
          <w:i/>
          <w:lang w:val="fr-FR"/>
        </w:rPr>
      </w:pPr>
      <w:r w:rsidRPr="00E732C7">
        <w:rPr>
          <w:rFonts w:ascii="Times New Roman" w:hAnsi="Times New Roman"/>
          <w:b/>
          <w:i/>
          <w:lang w:val="fr-FR"/>
        </w:rPr>
        <w:t>Option 2 : méthode mécanisée (HIEQ) ;</w:t>
      </w:r>
    </w:p>
    <w:p w:rsidR="00E732C7" w:rsidRPr="00E732C7" w:rsidRDefault="00476B3B" w:rsidP="00E732C7">
      <w:pPr>
        <w:pStyle w:val="PargrafodaLista"/>
        <w:numPr>
          <w:ilvl w:val="0"/>
          <w:numId w:val="70"/>
        </w:numPr>
        <w:overflowPunct w:val="0"/>
        <w:autoSpaceDE w:val="0"/>
        <w:autoSpaceDN w:val="0"/>
        <w:adjustRightInd w:val="0"/>
        <w:spacing w:after="240"/>
        <w:ind w:right="284"/>
        <w:jc w:val="both"/>
        <w:textAlignment w:val="baseline"/>
        <w:rPr>
          <w:rFonts w:ascii="Times New Roman" w:hAnsi="Times New Roman"/>
          <w:b/>
          <w:i/>
          <w:lang w:val="fr-FR"/>
        </w:rPr>
      </w:pPr>
      <w:r w:rsidRPr="00E732C7">
        <w:rPr>
          <w:rFonts w:ascii="Times New Roman" w:hAnsi="Times New Roman"/>
          <w:b/>
          <w:i/>
          <w:lang w:val="fr-FR"/>
        </w:rPr>
        <w:t>Option 3 :  Combinaison Option a et b (HIMO + HIEQ)</w:t>
      </w:r>
    </w:p>
    <w:p w:rsidR="00384924" w:rsidRPr="00E732C7" w:rsidRDefault="00384924" w:rsidP="00E732C7">
      <w:pPr>
        <w:spacing w:after="120" w:line="240" w:lineRule="auto"/>
        <w:ind w:left="-284" w:right="-853"/>
        <w:jc w:val="both"/>
        <w:rPr>
          <w:rFonts w:ascii="Times New Roman" w:hAnsi="Times New Roman" w:cs="Times New Roman"/>
          <w:bCs/>
        </w:rPr>
      </w:pPr>
      <w:r w:rsidRPr="00E732C7">
        <w:rPr>
          <w:rFonts w:ascii="Times New Roman" w:hAnsi="Times New Roman" w:cs="Times New Roman"/>
          <w:bCs/>
        </w:rPr>
        <w:t>Pour la variantes 1 : « Projet » dont trois alternatives ont été analyse comparativement, les avantages induits par l’alternative 3 « Avec projet » sont réellement beaucoup plus bénéfique que les deux autres.  Car, elle serait en adéquation avec la politique sectorielle dans le secteur de l’hydraulique et permettra d’atteindre les Objectifs du Millénaire pour le Développement (OMD) da</w:t>
      </w:r>
      <w:r w:rsidR="00E732C7">
        <w:rPr>
          <w:rFonts w:ascii="Times New Roman" w:hAnsi="Times New Roman" w:cs="Times New Roman"/>
          <w:bCs/>
        </w:rPr>
        <w:t>ns le secteur de l’eau potable.</w:t>
      </w:r>
    </w:p>
    <w:p w:rsidR="00384924" w:rsidRPr="00E732C7" w:rsidRDefault="00384924" w:rsidP="00E732C7">
      <w:pPr>
        <w:spacing w:after="120" w:line="240" w:lineRule="auto"/>
        <w:ind w:left="-284" w:right="-853"/>
        <w:jc w:val="both"/>
        <w:rPr>
          <w:rFonts w:ascii="Times New Roman" w:hAnsi="Times New Roman" w:cs="Times New Roman"/>
          <w:bCs/>
        </w:rPr>
      </w:pPr>
      <w:r w:rsidRPr="00E732C7">
        <w:rPr>
          <w:rFonts w:ascii="Times New Roman" w:hAnsi="Times New Roman" w:cs="Times New Roman"/>
          <w:bCs/>
        </w:rPr>
        <w:t>Elle permettra à l’EAGB de disposer de plus grandes capacités de réserve d’eau de qualité pour atténuer fortement ce déficit actuel d’approvisionnement. Mais aussi, d’élargir ces zones d’interventions de distribution d’eau dans les quartiers actuellement desservis comme Hafia, Antula, Bor, Prabis, Safim, etc… Alors ce qui permettra aussi de réduire les risques de maladie hydrique (les maladies gastro-intestinales, les maladies parasitaires, le typhoïd</w:t>
      </w:r>
      <w:r w:rsidR="00E732C7">
        <w:rPr>
          <w:rFonts w:ascii="Times New Roman" w:hAnsi="Times New Roman" w:cs="Times New Roman"/>
          <w:bCs/>
        </w:rPr>
        <w:t xml:space="preserve">e, etc.) </w:t>
      </w:r>
    </w:p>
    <w:p w:rsidR="00476B3B" w:rsidRPr="00E732C7" w:rsidRDefault="00476B3B" w:rsidP="00E732C7">
      <w:pPr>
        <w:spacing w:after="120" w:line="240" w:lineRule="auto"/>
        <w:ind w:left="-284" w:right="-853"/>
        <w:jc w:val="both"/>
        <w:rPr>
          <w:rFonts w:ascii="Times New Roman" w:hAnsi="Times New Roman" w:cs="Times New Roman"/>
          <w:bCs/>
        </w:rPr>
      </w:pPr>
      <w:r w:rsidRPr="00E732C7">
        <w:rPr>
          <w:rFonts w:ascii="Times New Roman" w:hAnsi="Times New Roman" w:cs="Times New Roman"/>
          <w:bCs/>
        </w:rPr>
        <w:t>Pour la variante 3 « », l’option b « la méthode mécanique (HIEQ) » constitue une option à privilégier en vue de l’envergure des travaux en hauteur, avec des charges lourdes à déplacer par rapport de la topologie du terrain, et par rapport à la durée de réalisation du sous-projet. Bien qu’elle soit plus cher en investissement pour les réalisations des réservoirs.</w:t>
      </w:r>
    </w:p>
    <w:p w:rsidR="00476B3B" w:rsidRPr="00476B3B" w:rsidRDefault="00476B3B" w:rsidP="00E732C7">
      <w:pPr>
        <w:spacing w:after="120" w:line="240" w:lineRule="auto"/>
        <w:ind w:left="-284" w:right="-853"/>
        <w:jc w:val="both"/>
        <w:rPr>
          <w:rFonts w:ascii="Times New Roman" w:hAnsi="Times New Roman"/>
          <w:color w:val="000000"/>
          <w:sz w:val="24"/>
          <w:szCs w:val="24"/>
        </w:rPr>
      </w:pPr>
      <w:r w:rsidRPr="00E732C7">
        <w:rPr>
          <w:rFonts w:ascii="Times New Roman" w:hAnsi="Times New Roman" w:cs="Times New Roman"/>
          <w:bCs/>
        </w:rPr>
        <w:t>Ainsi, pour la réalisation des réservoirs, une solution mixe (Option a et b) a été retenue et recommandé. Car avec l’option a « la méthode manuelle (HIMO) » pourra engendre des emplois locaux et permettre à la population de bien s’approprier</w:t>
      </w:r>
      <w:r w:rsidRPr="00476B3B">
        <w:rPr>
          <w:rFonts w:ascii="Times New Roman" w:hAnsi="Times New Roman"/>
          <w:color w:val="000000"/>
          <w:sz w:val="24"/>
          <w:szCs w:val="24"/>
        </w:rPr>
        <w:t xml:space="preserve"> le sous-projet. Mais néanmoins dans cette solution mixe, </w:t>
      </w:r>
      <w:r w:rsidRPr="00476B3B">
        <w:rPr>
          <w:rFonts w:ascii="Times New Roman" w:hAnsi="Times New Roman"/>
          <w:b/>
          <w:color w:val="000000"/>
          <w:sz w:val="24"/>
          <w:szCs w:val="24"/>
        </w:rPr>
        <w:t>l’option b</w:t>
      </w:r>
      <w:r w:rsidRPr="00476B3B">
        <w:rPr>
          <w:rFonts w:ascii="Times New Roman" w:hAnsi="Times New Roman"/>
          <w:color w:val="000000"/>
          <w:sz w:val="24"/>
          <w:szCs w:val="24"/>
        </w:rPr>
        <w:t xml:space="preserve"> sera beaucoup plus mise en avant vu la difficulté des travaux.</w:t>
      </w:r>
    </w:p>
    <w:p w:rsidR="00384924" w:rsidRPr="00E732C7" w:rsidRDefault="00384924" w:rsidP="00E732C7">
      <w:pPr>
        <w:pStyle w:val="PargrafodaLista"/>
        <w:numPr>
          <w:ilvl w:val="0"/>
          <w:numId w:val="245"/>
        </w:numPr>
        <w:tabs>
          <w:tab w:val="left" w:pos="1418"/>
          <w:tab w:val="left" w:pos="1843"/>
        </w:tabs>
        <w:spacing w:after="240" w:line="240" w:lineRule="auto"/>
        <w:ind w:right="-283"/>
        <w:contextualSpacing w:val="0"/>
        <w:rPr>
          <w:rFonts w:ascii="Times New Roman" w:hAnsi="Times New Roman"/>
          <w:b/>
          <w:bCs/>
          <w:i/>
          <w:sz w:val="22"/>
          <w:szCs w:val="22"/>
          <w:lang w:val="fr-FR"/>
        </w:rPr>
      </w:pPr>
      <w:r w:rsidRPr="00E732C7">
        <w:rPr>
          <w:rFonts w:ascii="Times New Roman" w:hAnsi="Times New Roman"/>
          <w:b/>
          <w:bCs/>
          <w:i/>
          <w:sz w:val="22"/>
          <w:szCs w:val="22"/>
          <w:lang w:val="fr-FR"/>
        </w:rPr>
        <w:t>IDENTIFICATION ET EVALUATION DES IMPACTS POTENTIELS</w:t>
      </w:r>
    </w:p>
    <w:p w:rsidR="00384924" w:rsidRDefault="00384924" w:rsidP="00384924">
      <w:pPr>
        <w:spacing w:after="0" w:line="240" w:lineRule="auto"/>
        <w:ind w:left="-284" w:right="-283"/>
        <w:jc w:val="both"/>
        <w:rPr>
          <w:rFonts w:ascii="Times New Roman" w:hAnsi="Times New Roman"/>
          <w:sz w:val="20"/>
          <w:szCs w:val="20"/>
        </w:rPr>
      </w:pPr>
      <w:r w:rsidRPr="00C8017F">
        <w:rPr>
          <w:rFonts w:ascii="Times New Roman" w:hAnsi="Times New Roman"/>
          <w:sz w:val="20"/>
          <w:szCs w:val="20"/>
        </w:rPr>
        <w:t>Ainsi, les principaux impacts positifs et négatifs identifiés :</w:t>
      </w:r>
    </w:p>
    <w:p w:rsidR="00E732C7" w:rsidRDefault="00E732C7" w:rsidP="00384924">
      <w:pPr>
        <w:spacing w:after="0" w:line="240" w:lineRule="auto"/>
        <w:ind w:left="-284" w:right="-283"/>
        <w:jc w:val="both"/>
        <w:rPr>
          <w:rFonts w:ascii="Times New Roman" w:hAnsi="Times New Roman"/>
          <w:sz w:val="20"/>
          <w:szCs w:val="20"/>
        </w:rPr>
      </w:pPr>
    </w:p>
    <w:p w:rsidR="00E732C7" w:rsidRPr="00C8017F" w:rsidRDefault="00E732C7" w:rsidP="00384924">
      <w:pPr>
        <w:spacing w:after="0" w:line="240" w:lineRule="auto"/>
        <w:ind w:left="-284" w:right="-283"/>
        <w:jc w:val="both"/>
        <w:rPr>
          <w:rFonts w:ascii="Times New Roman" w:hAnsi="Times New Roman"/>
          <w:sz w:val="20"/>
          <w:szCs w:val="20"/>
        </w:rPr>
      </w:pPr>
    </w:p>
    <w:tbl>
      <w:tblPr>
        <w:tblW w:w="113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850"/>
        <w:gridCol w:w="233"/>
        <w:gridCol w:w="734"/>
        <w:gridCol w:w="685"/>
        <w:gridCol w:w="2884"/>
        <w:gridCol w:w="851"/>
        <w:gridCol w:w="283"/>
        <w:gridCol w:w="992"/>
        <w:gridCol w:w="284"/>
        <w:gridCol w:w="850"/>
        <w:gridCol w:w="284"/>
        <w:gridCol w:w="850"/>
        <w:gridCol w:w="567"/>
      </w:tblGrid>
      <w:tr w:rsidR="00C24515" w:rsidRPr="00C24515" w:rsidTr="00CB3670">
        <w:trPr>
          <w:jc w:val="center"/>
        </w:trPr>
        <w:tc>
          <w:tcPr>
            <w:tcW w:w="988" w:type="dxa"/>
            <w:shd w:val="clear" w:color="auto" w:fill="F2F2F2" w:themeFill="background1" w:themeFillShade="F2"/>
            <w:vAlign w:val="center"/>
          </w:tcPr>
          <w:p w:rsidR="0016753A" w:rsidRPr="00C24515" w:rsidRDefault="0016753A" w:rsidP="002C6E60">
            <w:pPr>
              <w:spacing w:after="0" w:line="240" w:lineRule="auto"/>
              <w:jc w:val="center"/>
              <w:rPr>
                <w:rFonts w:ascii="Times New Roman" w:hAnsi="Times New Roman"/>
                <w:b/>
                <w:sz w:val="16"/>
                <w:szCs w:val="16"/>
              </w:rPr>
            </w:pPr>
            <w:r w:rsidRPr="00C24515">
              <w:rPr>
                <w:rFonts w:ascii="Times New Roman" w:hAnsi="Times New Roman"/>
                <w:b/>
                <w:sz w:val="16"/>
                <w:szCs w:val="16"/>
              </w:rPr>
              <w:t>PHASES</w:t>
            </w:r>
          </w:p>
        </w:tc>
        <w:tc>
          <w:tcPr>
            <w:tcW w:w="850" w:type="dxa"/>
            <w:shd w:val="clear" w:color="auto" w:fill="F2F2F2" w:themeFill="background1" w:themeFillShade="F2"/>
            <w:vAlign w:val="center"/>
          </w:tcPr>
          <w:p w:rsidR="0016753A" w:rsidRPr="00C24515" w:rsidRDefault="0016753A" w:rsidP="002C6E60">
            <w:pPr>
              <w:spacing w:after="0" w:line="240" w:lineRule="auto"/>
              <w:jc w:val="center"/>
              <w:rPr>
                <w:rFonts w:ascii="Times New Roman" w:hAnsi="Times New Roman"/>
                <w:b/>
                <w:sz w:val="16"/>
                <w:szCs w:val="16"/>
              </w:rPr>
            </w:pPr>
            <w:r w:rsidRPr="00C24515">
              <w:rPr>
                <w:rFonts w:ascii="Times New Roman" w:hAnsi="Times New Roman"/>
                <w:b/>
                <w:sz w:val="16"/>
                <w:szCs w:val="16"/>
              </w:rPr>
              <w:t>MILIEU</w:t>
            </w:r>
          </w:p>
        </w:tc>
        <w:tc>
          <w:tcPr>
            <w:tcW w:w="4536" w:type="dxa"/>
            <w:gridSpan w:val="4"/>
            <w:shd w:val="clear" w:color="auto" w:fill="F2F2F2" w:themeFill="background1" w:themeFillShade="F2"/>
            <w:vAlign w:val="center"/>
          </w:tcPr>
          <w:p w:rsidR="0016753A" w:rsidRPr="00C24515" w:rsidRDefault="0016753A" w:rsidP="002C6E60">
            <w:pPr>
              <w:spacing w:after="0" w:line="240" w:lineRule="auto"/>
              <w:jc w:val="center"/>
              <w:rPr>
                <w:rFonts w:ascii="Times New Roman" w:hAnsi="Times New Roman"/>
                <w:b/>
                <w:sz w:val="16"/>
                <w:szCs w:val="16"/>
              </w:rPr>
            </w:pPr>
            <w:r w:rsidRPr="00C24515">
              <w:rPr>
                <w:rFonts w:ascii="Times New Roman" w:hAnsi="Times New Roman"/>
                <w:b/>
                <w:sz w:val="16"/>
                <w:szCs w:val="16"/>
              </w:rPr>
              <w:t>IMPACTS POSITIFS POTENTIELS</w:t>
            </w:r>
          </w:p>
        </w:tc>
        <w:tc>
          <w:tcPr>
            <w:tcW w:w="1134" w:type="dxa"/>
            <w:gridSpan w:val="2"/>
            <w:shd w:val="clear" w:color="auto" w:fill="002060"/>
            <w:vAlign w:val="center"/>
          </w:tcPr>
          <w:p w:rsidR="0016753A" w:rsidRPr="00C24515" w:rsidRDefault="0016753A" w:rsidP="002C6E60">
            <w:pPr>
              <w:spacing w:after="0" w:line="240" w:lineRule="auto"/>
              <w:jc w:val="both"/>
              <w:rPr>
                <w:rFonts w:ascii="Times New Roman" w:hAnsi="Times New Roman"/>
                <w:b/>
                <w:sz w:val="16"/>
                <w:szCs w:val="16"/>
              </w:rPr>
            </w:pPr>
            <w:r w:rsidRPr="00C24515">
              <w:rPr>
                <w:rFonts w:ascii="Times New Roman" w:hAnsi="Times New Roman"/>
                <w:b/>
                <w:sz w:val="16"/>
                <w:szCs w:val="16"/>
              </w:rPr>
              <w:t>Intensité</w:t>
            </w:r>
          </w:p>
        </w:tc>
        <w:tc>
          <w:tcPr>
            <w:tcW w:w="1276" w:type="dxa"/>
            <w:gridSpan w:val="2"/>
            <w:shd w:val="clear" w:color="auto" w:fill="002060"/>
            <w:vAlign w:val="center"/>
          </w:tcPr>
          <w:p w:rsidR="0016753A" w:rsidRPr="00C24515" w:rsidRDefault="0016753A" w:rsidP="002C6E60">
            <w:pPr>
              <w:spacing w:after="0" w:line="240" w:lineRule="auto"/>
              <w:jc w:val="both"/>
              <w:rPr>
                <w:rFonts w:ascii="Times New Roman" w:hAnsi="Times New Roman"/>
                <w:b/>
                <w:sz w:val="16"/>
                <w:szCs w:val="16"/>
              </w:rPr>
            </w:pPr>
            <w:r w:rsidRPr="00C24515">
              <w:rPr>
                <w:rFonts w:ascii="Times New Roman" w:hAnsi="Times New Roman"/>
                <w:b/>
                <w:sz w:val="16"/>
                <w:szCs w:val="16"/>
              </w:rPr>
              <w:t>Etendue</w:t>
            </w:r>
          </w:p>
        </w:tc>
        <w:tc>
          <w:tcPr>
            <w:tcW w:w="1134" w:type="dxa"/>
            <w:gridSpan w:val="2"/>
            <w:shd w:val="clear" w:color="auto" w:fill="002060"/>
            <w:vAlign w:val="center"/>
          </w:tcPr>
          <w:p w:rsidR="0016753A" w:rsidRPr="00C24515" w:rsidRDefault="0016753A" w:rsidP="002C6E60">
            <w:pPr>
              <w:spacing w:after="0" w:line="240" w:lineRule="auto"/>
              <w:jc w:val="both"/>
              <w:rPr>
                <w:rFonts w:ascii="Times New Roman" w:hAnsi="Times New Roman"/>
                <w:b/>
                <w:sz w:val="16"/>
                <w:szCs w:val="16"/>
              </w:rPr>
            </w:pPr>
            <w:r w:rsidRPr="00C24515">
              <w:rPr>
                <w:rFonts w:ascii="Times New Roman" w:hAnsi="Times New Roman"/>
                <w:b/>
                <w:sz w:val="16"/>
                <w:szCs w:val="16"/>
              </w:rPr>
              <w:t>Durée</w:t>
            </w:r>
          </w:p>
        </w:tc>
        <w:tc>
          <w:tcPr>
            <w:tcW w:w="1417" w:type="dxa"/>
            <w:gridSpan w:val="2"/>
            <w:shd w:val="clear" w:color="auto" w:fill="002060"/>
            <w:vAlign w:val="center"/>
          </w:tcPr>
          <w:p w:rsidR="0016753A" w:rsidRPr="00C24515" w:rsidRDefault="0016753A" w:rsidP="002C6E60">
            <w:pPr>
              <w:spacing w:after="0" w:line="240" w:lineRule="auto"/>
              <w:jc w:val="both"/>
              <w:rPr>
                <w:rFonts w:ascii="Times New Roman" w:hAnsi="Times New Roman"/>
                <w:b/>
                <w:sz w:val="16"/>
                <w:szCs w:val="16"/>
              </w:rPr>
            </w:pPr>
            <w:r w:rsidRPr="00C24515">
              <w:rPr>
                <w:rFonts w:ascii="Times New Roman" w:hAnsi="Times New Roman"/>
                <w:b/>
                <w:sz w:val="16"/>
                <w:szCs w:val="16"/>
              </w:rPr>
              <w:t>Importance</w:t>
            </w:r>
          </w:p>
        </w:tc>
      </w:tr>
      <w:tr w:rsidR="0016753A" w:rsidRPr="00CB3670" w:rsidTr="00CB3670">
        <w:trPr>
          <w:gridBefore w:val="1"/>
          <w:gridAfter w:val="9"/>
          <w:wBefore w:w="988" w:type="dxa"/>
          <w:wAfter w:w="7845" w:type="dxa"/>
          <w:trHeight w:val="70"/>
          <w:jc w:val="center"/>
        </w:trPr>
        <w:tc>
          <w:tcPr>
            <w:tcW w:w="2502" w:type="dxa"/>
            <w:gridSpan w:val="4"/>
            <w:shd w:val="clear" w:color="auto" w:fill="000000" w:themeFill="text1"/>
            <w:vAlign w:val="center"/>
          </w:tcPr>
          <w:p w:rsidR="0016753A" w:rsidRPr="00CB3670" w:rsidRDefault="0016753A" w:rsidP="002C6E60">
            <w:pPr>
              <w:spacing w:after="0" w:line="240" w:lineRule="auto"/>
              <w:jc w:val="both"/>
              <w:rPr>
                <w:rFonts w:ascii="Times New Roman" w:hAnsi="Times New Roman"/>
                <w:sz w:val="4"/>
                <w:szCs w:val="4"/>
              </w:rPr>
            </w:pPr>
          </w:p>
        </w:tc>
      </w:tr>
      <w:tr w:rsidR="00C24515" w:rsidRPr="00C24515" w:rsidTr="00CB3670">
        <w:trPr>
          <w:trHeight w:val="70"/>
          <w:jc w:val="center"/>
        </w:trPr>
        <w:tc>
          <w:tcPr>
            <w:tcW w:w="988" w:type="dxa"/>
            <w:vMerge w:val="restart"/>
            <w:shd w:val="clear" w:color="auto" w:fill="BDD6EE"/>
            <w:vAlign w:val="center"/>
          </w:tcPr>
          <w:p w:rsidR="0016753A" w:rsidRPr="00C24515" w:rsidRDefault="0016753A" w:rsidP="002C6E60">
            <w:pPr>
              <w:spacing w:after="0" w:line="240" w:lineRule="auto"/>
              <w:jc w:val="center"/>
              <w:rPr>
                <w:rFonts w:ascii="Times New Roman" w:eastAsia="MS Gothic" w:hAnsi="Times New Roman"/>
                <w:b/>
                <w:sz w:val="14"/>
                <w:szCs w:val="14"/>
              </w:rPr>
            </w:pPr>
            <w:r w:rsidRPr="00C24515">
              <w:rPr>
                <w:rFonts w:ascii="Times New Roman" w:eastAsia="MS Gothic" w:hAnsi="Times New Roman"/>
                <w:b/>
                <w:sz w:val="14"/>
                <w:szCs w:val="14"/>
              </w:rPr>
              <w:t>Pré-construction et</w:t>
            </w:r>
          </w:p>
          <w:p w:rsidR="0016753A" w:rsidRPr="00C24515" w:rsidRDefault="0016753A" w:rsidP="002C6E60">
            <w:pPr>
              <w:spacing w:after="0" w:line="240" w:lineRule="auto"/>
              <w:jc w:val="center"/>
              <w:rPr>
                <w:rFonts w:ascii="Times New Roman" w:hAnsi="Times New Roman"/>
                <w:sz w:val="16"/>
                <w:szCs w:val="16"/>
              </w:rPr>
            </w:pPr>
            <w:r w:rsidRPr="00C24515">
              <w:rPr>
                <w:rFonts w:ascii="Times New Roman" w:eastAsia="MS Gothic" w:hAnsi="Times New Roman"/>
                <w:b/>
                <w:sz w:val="14"/>
                <w:szCs w:val="14"/>
              </w:rPr>
              <w:t>Construction</w:t>
            </w:r>
          </w:p>
        </w:tc>
        <w:tc>
          <w:tcPr>
            <w:tcW w:w="850" w:type="dxa"/>
            <w:vMerge w:val="restart"/>
            <w:vAlign w:val="center"/>
          </w:tcPr>
          <w:p w:rsidR="0016753A" w:rsidRPr="00C24515" w:rsidRDefault="0016753A" w:rsidP="002C6E60">
            <w:pPr>
              <w:spacing w:after="0" w:line="240" w:lineRule="auto"/>
              <w:jc w:val="center"/>
              <w:rPr>
                <w:rFonts w:ascii="Times New Roman" w:eastAsia="MS Gothic" w:hAnsi="Times New Roman"/>
                <w:b/>
                <w:sz w:val="16"/>
                <w:szCs w:val="16"/>
              </w:rPr>
            </w:pPr>
            <w:r w:rsidRPr="00C24515">
              <w:rPr>
                <w:rFonts w:ascii="Times New Roman" w:eastAsia="MS Gothic" w:hAnsi="Times New Roman"/>
                <w:b/>
                <w:sz w:val="16"/>
                <w:szCs w:val="16"/>
              </w:rPr>
              <w:t>SOCIO-ECONOMIQUE</w:t>
            </w:r>
          </w:p>
        </w:tc>
        <w:tc>
          <w:tcPr>
            <w:tcW w:w="4536" w:type="dxa"/>
            <w:gridSpan w:val="4"/>
            <w:vAlign w:val="center"/>
          </w:tcPr>
          <w:p w:rsidR="0016753A" w:rsidRPr="00C24515" w:rsidRDefault="0016753A" w:rsidP="002C6E60">
            <w:pPr>
              <w:pStyle w:val="PargrafodaLista"/>
              <w:numPr>
                <w:ilvl w:val="0"/>
                <w:numId w:val="225"/>
              </w:numPr>
              <w:spacing w:after="0" w:line="240" w:lineRule="auto"/>
              <w:ind w:left="313" w:hanging="313"/>
              <w:jc w:val="both"/>
              <w:rPr>
                <w:rFonts w:ascii="Times New Roman" w:hAnsi="Times New Roman"/>
                <w:sz w:val="16"/>
                <w:szCs w:val="16"/>
              </w:rPr>
            </w:pPr>
            <w:r w:rsidRPr="00C24515">
              <w:rPr>
                <w:rFonts w:ascii="Times New Roman" w:hAnsi="Times New Roman"/>
                <w:sz w:val="16"/>
                <w:szCs w:val="16"/>
              </w:rPr>
              <w:t>Création d’emplois temporaires</w:t>
            </w:r>
          </w:p>
          <w:p w:rsidR="0016753A" w:rsidRPr="00C24515" w:rsidRDefault="0016753A" w:rsidP="002C6E60">
            <w:pPr>
              <w:pStyle w:val="PargrafodaLista"/>
              <w:numPr>
                <w:ilvl w:val="0"/>
                <w:numId w:val="80"/>
              </w:numPr>
              <w:spacing w:after="0" w:line="240" w:lineRule="auto"/>
              <w:ind w:hanging="265"/>
              <w:jc w:val="both"/>
              <w:rPr>
                <w:rFonts w:ascii="Times New Roman" w:hAnsi="Times New Roman"/>
                <w:sz w:val="16"/>
                <w:szCs w:val="16"/>
              </w:rPr>
            </w:pPr>
            <w:r w:rsidRPr="00C24515">
              <w:rPr>
                <w:rFonts w:ascii="Times New Roman" w:hAnsi="Times New Roman"/>
                <w:sz w:val="16"/>
                <w:szCs w:val="16"/>
              </w:rPr>
              <w:t>des manœuvres pour tous travaux de débroussaillage, de désherbage, de fouille,</w:t>
            </w:r>
          </w:p>
          <w:p w:rsidR="0016753A" w:rsidRPr="00C24515" w:rsidRDefault="0016753A" w:rsidP="002C6E60">
            <w:pPr>
              <w:pStyle w:val="PargrafodaLista"/>
              <w:numPr>
                <w:ilvl w:val="0"/>
                <w:numId w:val="80"/>
              </w:numPr>
              <w:spacing w:after="0" w:line="240" w:lineRule="auto"/>
              <w:ind w:hanging="265"/>
              <w:jc w:val="both"/>
              <w:rPr>
                <w:rFonts w:ascii="Times New Roman" w:hAnsi="Times New Roman"/>
                <w:sz w:val="16"/>
                <w:szCs w:val="16"/>
              </w:rPr>
            </w:pPr>
            <w:r w:rsidRPr="00C24515">
              <w:rPr>
                <w:rFonts w:ascii="Times New Roman" w:hAnsi="Times New Roman"/>
                <w:sz w:val="16"/>
                <w:szCs w:val="16"/>
              </w:rPr>
              <w:t>des maçons pour tous travaux de génie civil,</w:t>
            </w:r>
          </w:p>
          <w:p w:rsidR="0016753A" w:rsidRPr="00C24515" w:rsidRDefault="0016753A" w:rsidP="002C6E60">
            <w:pPr>
              <w:pStyle w:val="PargrafodaLista"/>
              <w:numPr>
                <w:ilvl w:val="0"/>
                <w:numId w:val="80"/>
              </w:numPr>
              <w:spacing w:after="0" w:line="240" w:lineRule="auto"/>
              <w:ind w:hanging="265"/>
              <w:jc w:val="both"/>
              <w:rPr>
                <w:rFonts w:ascii="Times New Roman" w:hAnsi="Times New Roman"/>
                <w:sz w:val="16"/>
                <w:szCs w:val="16"/>
              </w:rPr>
            </w:pPr>
            <w:r w:rsidRPr="00C24515">
              <w:rPr>
                <w:rFonts w:ascii="Times New Roman" w:hAnsi="Times New Roman"/>
                <w:sz w:val="16"/>
                <w:szCs w:val="16"/>
              </w:rPr>
              <w:t>des ferrailleurs,</w:t>
            </w:r>
          </w:p>
          <w:p w:rsidR="0016753A" w:rsidRPr="00C24515" w:rsidRDefault="0016753A" w:rsidP="002C6E60">
            <w:pPr>
              <w:pStyle w:val="PargrafodaLista"/>
              <w:numPr>
                <w:ilvl w:val="0"/>
                <w:numId w:val="80"/>
              </w:numPr>
              <w:spacing w:after="0" w:line="240" w:lineRule="auto"/>
              <w:ind w:hanging="265"/>
              <w:jc w:val="both"/>
              <w:rPr>
                <w:rFonts w:ascii="Times New Roman" w:hAnsi="Times New Roman"/>
                <w:sz w:val="16"/>
                <w:szCs w:val="16"/>
              </w:rPr>
            </w:pPr>
            <w:r w:rsidRPr="00C24515">
              <w:rPr>
                <w:rFonts w:ascii="Times New Roman" w:hAnsi="Times New Roman"/>
                <w:sz w:val="16"/>
                <w:szCs w:val="16"/>
              </w:rPr>
              <w:t>des peintres,</w:t>
            </w:r>
          </w:p>
          <w:p w:rsidR="0016753A" w:rsidRPr="00C24515" w:rsidRDefault="0016753A" w:rsidP="002C6E60">
            <w:pPr>
              <w:pStyle w:val="PargrafodaLista"/>
              <w:numPr>
                <w:ilvl w:val="0"/>
                <w:numId w:val="80"/>
              </w:numPr>
              <w:spacing w:after="0" w:line="240" w:lineRule="auto"/>
              <w:ind w:hanging="265"/>
              <w:jc w:val="both"/>
              <w:rPr>
                <w:rFonts w:ascii="Times New Roman" w:hAnsi="Times New Roman"/>
                <w:sz w:val="16"/>
                <w:szCs w:val="16"/>
              </w:rPr>
            </w:pPr>
            <w:r w:rsidRPr="00C24515">
              <w:rPr>
                <w:rFonts w:ascii="Times New Roman" w:hAnsi="Times New Roman"/>
                <w:sz w:val="16"/>
                <w:szCs w:val="16"/>
              </w:rPr>
              <w:t>des conducteurs d’engins spécifiques</w:t>
            </w:r>
          </w:p>
        </w:tc>
        <w:tc>
          <w:tcPr>
            <w:tcW w:w="851" w:type="dxa"/>
            <w:vAlign w:val="center"/>
          </w:tcPr>
          <w:p w:rsidR="0016753A" w:rsidRPr="00C24515" w:rsidRDefault="0016753A" w:rsidP="002C6E60">
            <w:pPr>
              <w:spacing w:after="0" w:line="240" w:lineRule="auto"/>
              <w:jc w:val="center"/>
              <w:rPr>
                <w:rFonts w:ascii="Times New Roman" w:hAnsi="Times New Roman"/>
                <w:sz w:val="16"/>
                <w:szCs w:val="16"/>
              </w:rPr>
            </w:pPr>
            <w:r w:rsidRPr="00C24515">
              <w:rPr>
                <w:rFonts w:ascii="Times New Roman" w:hAnsi="Times New Roman"/>
                <w:sz w:val="16"/>
                <w:szCs w:val="16"/>
              </w:rPr>
              <w:t>Forte</w:t>
            </w:r>
          </w:p>
        </w:tc>
        <w:tc>
          <w:tcPr>
            <w:tcW w:w="283" w:type="dxa"/>
            <w:shd w:val="clear" w:color="auto" w:fill="002060"/>
            <w:vAlign w:val="center"/>
          </w:tcPr>
          <w:p w:rsidR="0016753A" w:rsidRPr="00C24515" w:rsidRDefault="0016753A" w:rsidP="002C6E60">
            <w:pPr>
              <w:spacing w:after="0" w:line="240" w:lineRule="auto"/>
              <w:jc w:val="center"/>
              <w:rPr>
                <w:rFonts w:ascii="Times New Roman" w:hAnsi="Times New Roman"/>
                <w:b/>
                <w:sz w:val="16"/>
                <w:szCs w:val="16"/>
              </w:rPr>
            </w:pPr>
            <w:r w:rsidRPr="00C24515">
              <w:rPr>
                <w:rFonts w:ascii="Times New Roman" w:hAnsi="Times New Roman"/>
                <w:b/>
                <w:sz w:val="16"/>
                <w:szCs w:val="16"/>
              </w:rPr>
              <w:t>5</w:t>
            </w:r>
          </w:p>
        </w:tc>
        <w:tc>
          <w:tcPr>
            <w:tcW w:w="992" w:type="dxa"/>
            <w:vAlign w:val="center"/>
          </w:tcPr>
          <w:p w:rsidR="0016753A" w:rsidRPr="00C24515" w:rsidRDefault="0016753A" w:rsidP="002C6E60">
            <w:pPr>
              <w:spacing w:after="0" w:line="240" w:lineRule="auto"/>
              <w:jc w:val="center"/>
              <w:rPr>
                <w:rFonts w:ascii="Times New Roman" w:hAnsi="Times New Roman"/>
                <w:sz w:val="16"/>
                <w:szCs w:val="16"/>
              </w:rPr>
            </w:pPr>
            <w:r w:rsidRPr="00C24515">
              <w:rPr>
                <w:rFonts w:ascii="Times New Roman" w:hAnsi="Times New Roman"/>
                <w:sz w:val="16"/>
                <w:szCs w:val="16"/>
              </w:rPr>
              <w:t>Régionale</w:t>
            </w:r>
          </w:p>
        </w:tc>
        <w:tc>
          <w:tcPr>
            <w:tcW w:w="284" w:type="dxa"/>
            <w:shd w:val="clear" w:color="auto" w:fill="002060"/>
            <w:vAlign w:val="center"/>
          </w:tcPr>
          <w:p w:rsidR="0016753A" w:rsidRPr="00C24515" w:rsidRDefault="0016753A" w:rsidP="002C6E60">
            <w:pPr>
              <w:spacing w:after="0" w:line="240" w:lineRule="auto"/>
              <w:jc w:val="center"/>
              <w:rPr>
                <w:rFonts w:ascii="Times New Roman" w:hAnsi="Times New Roman"/>
                <w:b/>
                <w:sz w:val="16"/>
                <w:szCs w:val="16"/>
              </w:rPr>
            </w:pPr>
            <w:r w:rsidRPr="00C24515">
              <w:rPr>
                <w:rFonts w:ascii="Times New Roman" w:hAnsi="Times New Roman"/>
                <w:b/>
                <w:sz w:val="16"/>
                <w:szCs w:val="16"/>
              </w:rPr>
              <w:t>5</w:t>
            </w:r>
          </w:p>
        </w:tc>
        <w:tc>
          <w:tcPr>
            <w:tcW w:w="850" w:type="dxa"/>
            <w:vAlign w:val="center"/>
          </w:tcPr>
          <w:p w:rsidR="0016753A" w:rsidRPr="00C24515" w:rsidRDefault="0016753A" w:rsidP="002C6E60">
            <w:pPr>
              <w:spacing w:after="0" w:line="240" w:lineRule="auto"/>
              <w:jc w:val="center"/>
              <w:rPr>
                <w:rFonts w:ascii="Times New Roman" w:hAnsi="Times New Roman"/>
                <w:sz w:val="16"/>
                <w:szCs w:val="16"/>
              </w:rPr>
            </w:pPr>
            <w:r w:rsidRPr="00C24515">
              <w:rPr>
                <w:rFonts w:ascii="Times New Roman" w:hAnsi="Times New Roman"/>
                <w:sz w:val="16"/>
                <w:szCs w:val="16"/>
              </w:rPr>
              <w:t>Courte</w:t>
            </w:r>
          </w:p>
        </w:tc>
        <w:tc>
          <w:tcPr>
            <w:tcW w:w="284" w:type="dxa"/>
            <w:shd w:val="clear" w:color="auto" w:fill="002060"/>
            <w:vAlign w:val="center"/>
          </w:tcPr>
          <w:p w:rsidR="0016753A" w:rsidRPr="00C24515" w:rsidRDefault="0016753A" w:rsidP="002C6E60">
            <w:pPr>
              <w:spacing w:after="0" w:line="240" w:lineRule="auto"/>
              <w:jc w:val="center"/>
              <w:rPr>
                <w:rFonts w:ascii="Times New Roman" w:hAnsi="Times New Roman"/>
                <w:b/>
                <w:sz w:val="16"/>
                <w:szCs w:val="16"/>
              </w:rPr>
            </w:pPr>
            <w:r w:rsidRPr="00C24515">
              <w:rPr>
                <w:rFonts w:ascii="Times New Roman" w:hAnsi="Times New Roman"/>
                <w:b/>
                <w:sz w:val="16"/>
                <w:szCs w:val="16"/>
              </w:rPr>
              <w:t>1</w:t>
            </w:r>
          </w:p>
        </w:tc>
        <w:tc>
          <w:tcPr>
            <w:tcW w:w="850" w:type="dxa"/>
            <w:shd w:val="clear" w:color="auto" w:fill="FFE599" w:themeFill="accent4" w:themeFillTint="66"/>
            <w:vAlign w:val="center"/>
          </w:tcPr>
          <w:p w:rsidR="0016753A" w:rsidRPr="00C24515" w:rsidRDefault="0016753A" w:rsidP="002C6E60">
            <w:pPr>
              <w:spacing w:after="0" w:line="240" w:lineRule="auto"/>
              <w:jc w:val="center"/>
              <w:rPr>
                <w:rFonts w:ascii="Times New Roman" w:hAnsi="Times New Roman"/>
                <w:b/>
                <w:sz w:val="16"/>
                <w:szCs w:val="16"/>
              </w:rPr>
            </w:pPr>
            <w:r w:rsidRPr="00C24515">
              <w:rPr>
                <w:rFonts w:ascii="Times New Roman" w:hAnsi="Times New Roman"/>
                <w:b/>
                <w:sz w:val="16"/>
                <w:szCs w:val="16"/>
              </w:rPr>
              <w:t>Moyenne</w:t>
            </w:r>
          </w:p>
        </w:tc>
        <w:tc>
          <w:tcPr>
            <w:tcW w:w="567" w:type="dxa"/>
            <w:shd w:val="clear" w:color="auto" w:fill="FFE599" w:themeFill="accent4" w:themeFillTint="66"/>
            <w:vAlign w:val="center"/>
          </w:tcPr>
          <w:p w:rsidR="0016753A" w:rsidRPr="00C24515" w:rsidRDefault="0016753A" w:rsidP="002C6E60">
            <w:pPr>
              <w:spacing w:after="0" w:line="240" w:lineRule="auto"/>
              <w:jc w:val="center"/>
              <w:rPr>
                <w:rFonts w:ascii="Times New Roman" w:hAnsi="Times New Roman"/>
                <w:b/>
                <w:sz w:val="16"/>
                <w:szCs w:val="16"/>
              </w:rPr>
            </w:pPr>
            <w:r w:rsidRPr="00C24515">
              <w:rPr>
                <w:rFonts w:ascii="Times New Roman" w:hAnsi="Times New Roman"/>
                <w:b/>
                <w:sz w:val="16"/>
                <w:szCs w:val="16"/>
              </w:rPr>
              <w:t>25</w:t>
            </w:r>
          </w:p>
        </w:tc>
      </w:tr>
      <w:tr w:rsidR="00C24515" w:rsidRPr="00C24515" w:rsidTr="00CB3670">
        <w:trPr>
          <w:trHeight w:val="273"/>
          <w:jc w:val="center"/>
        </w:trPr>
        <w:tc>
          <w:tcPr>
            <w:tcW w:w="988" w:type="dxa"/>
            <w:vMerge/>
            <w:shd w:val="clear" w:color="auto" w:fill="BDD6EE"/>
            <w:vAlign w:val="center"/>
          </w:tcPr>
          <w:p w:rsidR="0016753A" w:rsidRPr="00C24515" w:rsidRDefault="0016753A" w:rsidP="002C6E60">
            <w:pPr>
              <w:spacing w:after="0" w:line="240" w:lineRule="auto"/>
              <w:jc w:val="center"/>
              <w:rPr>
                <w:rFonts w:ascii="Times New Roman" w:hAnsi="Times New Roman"/>
                <w:sz w:val="16"/>
                <w:szCs w:val="16"/>
              </w:rPr>
            </w:pPr>
          </w:p>
        </w:tc>
        <w:tc>
          <w:tcPr>
            <w:tcW w:w="850" w:type="dxa"/>
            <w:vMerge/>
            <w:vAlign w:val="center"/>
          </w:tcPr>
          <w:p w:rsidR="0016753A" w:rsidRPr="00C24515" w:rsidRDefault="0016753A" w:rsidP="002C6E60">
            <w:pPr>
              <w:spacing w:after="0" w:line="240" w:lineRule="auto"/>
              <w:jc w:val="center"/>
              <w:rPr>
                <w:rFonts w:ascii="Times New Roman" w:hAnsi="Times New Roman"/>
                <w:sz w:val="16"/>
                <w:szCs w:val="16"/>
              </w:rPr>
            </w:pPr>
          </w:p>
        </w:tc>
        <w:tc>
          <w:tcPr>
            <w:tcW w:w="4536" w:type="dxa"/>
            <w:gridSpan w:val="4"/>
            <w:vAlign w:val="center"/>
          </w:tcPr>
          <w:p w:rsidR="0016753A" w:rsidRPr="00C24515" w:rsidRDefault="0016753A" w:rsidP="002C6E60">
            <w:pPr>
              <w:pStyle w:val="PargrafodaLista"/>
              <w:numPr>
                <w:ilvl w:val="0"/>
                <w:numId w:val="225"/>
              </w:numPr>
              <w:spacing w:after="0" w:line="240" w:lineRule="auto"/>
              <w:ind w:left="313" w:hanging="313"/>
              <w:jc w:val="both"/>
              <w:rPr>
                <w:rFonts w:ascii="Times New Roman" w:hAnsi="Times New Roman"/>
                <w:sz w:val="16"/>
                <w:szCs w:val="16"/>
              </w:rPr>
            </w:pPr>
            <w:r w:rsidRPr="00C24515">
              <w:rPr>
                <w:rFonts w:ascii="Times New Roman" w:hAnsi="Times New Roman"/>
                <w:sz w:val="16"/>
                <w:szCs w:val="16"/>
              </w:rPr>
              <w:tab/>
              <w:t>Opportunités d’affaires pour des opérateurs économiques privés</w:t>
            </w:r>
          </w:p>
        </w:tc>
        <w:tc>
          <w:tcPr>
            <w:tcW w:w="851" w:type="dxa"/>
            <w:vAlign w:val="center"/>
          </w:tcPr>
          <w:p w:rsidR="0016753A" w:rsidRPr="00C24515" w:rsidRDefault="0016753A" w:rsidP="002C6E60">
            <w:pPr>
              <w:spacing w:after="0" w:line="240" w:lineRule="auto"/>
              <w:jc w:val="center"/>
              <w:rPr>
                <w:rFonts w:ascii="Times New Roman" w:hAnsi="Times New Roman"/>
                <w:sz w:val="16"/>
                <w:szCs w:val="16"/>
              </w:rPr>
            </w:pPr>
            <w:r w:rsidRPr="00C24515">
              <w:rPr>
                <w:rFonts w:ascii="Times New Roman" w:hAnsi="Times New Roman"/>
                <w:sz w:val="16"/>
                <w:szCs w:val="16"/>
              </w:rPr>
              <w:t>Forte</w:t>
            </w:r>
          </w:p>
        </w:tc>
        <w:tc>
          <w:tcPr>
            <w:tcW w:w="283" w:type="dxa"/>
            <w:shd w:val="clear" w:color="auto" w:fill="002060"/>
            <w:vAlign w:val="center"/>
          </w:tcPr>
          <w:p w:rsidR="0016753A" w:rsidRPr="00C24515" w:rsidRDefault="0016753A" w:rsidP="002C6E60">
            <w:pPr>
              <w:spacing w:after="0" w:line="240" w:lineRule="auto"/>
              <w:jc w:val="center"/>
              <w:rPr>
                <w:rFonts w:ascii="Times New Roman" w:hAnsi="Times New Roman"/>
                <w:b/>
                <w:sz w:val="16"/>
                <w:szCs w:val="16"/>
              </w:rPr>
            </w:pPr>
            <w:r w:rsidRPr="00C24515">
              <w:rPr>
                <w:rFonts w:ascii="Times New Roman" w:hAnsi="Times New Roman"/>
                <w:b/>
                <w:sz w:val="16"/>
                <w:szCs w:val="16"/>
              </w:rPr>
              <w:t>5</w:t>
            </w:r>
          </w:p>
        </w:tc>
        <w:tc>
          <w:tcPr>
            <w:tcW w:w="992" w:type="dxa"/>
            <w:vAlign w:val="center"/>
          </w:tcPr>
          <w:p w:rsidR="0016753A" w:rsidRPr="00C24515" w:rsidRDefault="0016753A" w:rsidP="002C6E60">
            <w:pPr>
              <w:spacing w:after="0" w:line="240" w:lineRule="auto"/>
              <w:jc w:val="center"/>
              <w:rPr>
                <w:rFonts w:ascii="Times New Roman" w:hAnsi="Times New Roman"/>
                <w:sz w:val="16"/>
                <w:szCs w:val="16"/>
              </w:rPr>
            </w:pPr>
            <w:r w:rsidRPr="00C24515">
              <w:rPr>
                <w:rFonts w:ascii="Times New Roman" w:hAnsi="Times New Roman"/>
                <w:sz w:val="16"/>
                <w:szCs w:val="16"/>
              </w:rPr>
              <w:t>Régionale</w:t>
            </w:r>
          </w:p>
        </w:tc>
        <w:tc>
          <w:tcPr>
            <w:tcW w:w="284" w:type="dxa"/>
            <w:shd w:val="clear" w:color="auto" w:fill="002060"/>
            <w:vAlign w:val="center"/>
          </w:tcPr>
          <w:p w:rsidR="0016753A" w:rsidRPr="00C24515" w:rsidRDefault="0016753A" w:rsidP="002C6E60">
            <w:pPr>
              <w:spacing w:after="0" w:line="240" w:lineRule="auto"/>
              <w:jc w:val="center"/>
              <w:rPr>
                <w:rFonts w:ascii="Times New Roman" w:hAnsi="Times New Roman"/>
                <w:b/>
                <w:sz w:val="16"/>
                <w:szCs w:val="16"/>
              </w:rPr>
            </w:pPr>
            <w:r w:rsidRPr="00C24515">
              <w:rPr>
                <w:rFonts w:ascii="Times New Roman" w:hAnsi="Times New Roman"/>
                <w:b/>
                <w:sz w:val="16"/>
                <w:szCs w:val="16"/>
              </w:rPr>
              <w:t>5</w:t>
            </w:r>
          </w:p>
        </w:tc>
        <w:tc>
          <w:tcPr>
            <w:tcW w:w="850" w:type="dxa"/>
            <w:tcBorders>
              <w:bottom w:val="single" w:sz="4" w:space="0" w:color="auto"/>
            </w:tcBorders>
            <w:vAlign w:val="center"/>
          </w:tcPr>
          <w:p w:rsidR="0016753A" w:rsidRPr="00C24515" w:rsidRDefault="0016753A" w:rsidP="002C6E60">
            <w:pPr>
              <w:spacing w:after="0" w:line="240" w:lineRule="auto"/>
              <w:jc w:val="center"/>
              <w:rPr>
                <w:rFonts w:ascii="Times New Roman" w:hAnsi="Times New Roman"/>
                <w:sz w:val="16"/>
                <w:szCs w:val="16"/>
              </w:rPr>
            </w:pPr>
            <w:r w:rsidRPr="00C24515">
              <w:rPr>
                <w:rFonts w:ascii="Times New Roman" w:hAnsi="Times New Roman"/>
                <w:sz w:val="16"/>
                <w:szCs w:val="16"/>
              </w:rPr>
              <w:t>Courte</w:t>
            </w:r>
          </w:p>
        </w:tc>
        <w:tc>
          <w:tcPr>
            <w:tcW w:w="284" w:type="dxa"/>
            <w:shd w:val="clear" w:color="auto" w:fill="002060"/>
            <w:vAlign w:val="center"/>
          </w:tcPr>
          <w:p w:rsidR="0016753A" w:rsidRPr="00C24515" w:rsidRDefault="0016753A" w:rsidP="002C6E60">
            <w:pPr>
              <w:spacing w:after="0" w:line="240" w:lineRule="auto"/>
              <w:jc w:val="center"/>
              <w:rPr>
                <w:rFonts w:ascii="Times New Roman" w:hAnsi="Times New Roman"/>
                <w:b/>
                <w:sz w:val="16"/>
                <w:szCs w:val="16"/>
              </w:rPr>
            </w:pPr>
            <w:r w:rsidRPr="00C24515">
              <w:rPr>
                <w:rFonts w:ascii="Times New Roman" w:hAnsi="Times New Roman"/>
                <w:b/>
                <w:sz w:val="16"/>
                <w:szCs w:val="16"/>
              </w:rPr>
              <w:t>1</w:t>
            </w:r>
          </w:p>
        </w:tc>
        <w:tc>
          <w:tcPr>
            <w:tcW w:w="850" w:type="dxa"/>
            <w:tcBorders>
              <w:bottom w:val="single" w:sz="4" w:space="0" w:color="auto"/>
            </w:tcBorders>
            <w:shd w:val="clear" w:color="auto" w:fill="FFE599" w:themeFill="accent4" w:themeFillTint="66"/>
            <w:vAlign w:val="center"/>
          </w:tcPr>
          <w:p w:rsidR="0016753A" w:rsidRPr="00C24515" w:rsidRDefault="0016753A" w:rsidP="002C6E60">
            <w:pPr>
              <w:spacing w:after="0" w:line="240" w:lineRule="auto"/>
              <w:jc w:val="center"/>
              <w:rPr>
                <w:rFonts w:ascii="Times New Roman" w:hAnsi="Times New Roman"/>
                <w:b/>
                <w:sz w:val="16"/>
                <w:szCs w:val="16"/>
              </w:rPr>
            </w:pPr>
            <w:r w:rsidRPr="00C24515">
              <w:rPr>
                <w:rFonts w:ascii="Times New Roman" w:hAnsi="Times New Roman"/>
                <w:b/>
                <w:sz w:val="16"/>
                <w:szCs w:val="16"/>
              </w:rPr>
              <w:t>Moyenne</w:t>
            </w:r>
          </w:p>
        </w:tc>
        <w:tc>
          <w:tcPr>
            <w:tcW w:w="567" w:type="dxa"/>
            <w:tcBorders>
              <w:bottom w:val="single" w:sz="4" w:space="0" w:color="auto"/>
            </w:tcBorders>
            <w:shd w:val="clear" w:color="auto" w:fill="FFE599" w:themeFill="accent4" w:themeFillTint="66"/>
            <w:vAlign w:val="center"/>
          </w:tcPr>
          <w:p w:rsidR="0016753A" w:rsidRPr="00C24515" w:rsidRDefault="0016753A" w:rsidP="002C6E60">
            <w:pPr>
              <w:spacing w:after="0" w:line="240" w:lineRule="auto"/>
              <w:jc w:val="center"/>
              <w:rPr>
                <w:rFonts w:ascii="Times New Roman" w:hAnsi="Times New Roman"/>
                <w:b/>
                <w:sz w:val="16"/>
                <w:szCs w:val="16"/>
              </w:rPr>
            </w:pPr>
            <w:r w:rsidRPr="00C24515">
              <w:rPr>
                <w:rFonts w:ascii="Times New Roman" w:hAnsi="Times New Roman"/>
                <w:b/>
                <w:sz w:val="16"/>
                <w:szCs w:val="16"/>
              </w:rPr>
              <w:t>25</w:t>
            </w:r>
          </w:p>
        </w:tc>
      </w:tr>
      <w:tr w:rsidR="00C24515" w:rsidRPr="00C24515" w:rsidTr="00CB3670">
        <w:trPr>
          <w:jc w:val="center"/>
        </w:trPr>
        <w:tc>
          <w:tcPr>
            <w:tcW w:w="988" w:type="dxa"/>
            <w:vMerge/>
            <w:shd w:val="clear" w:color="auto" w:fill="BDD6EE"/>
            <w:vAlign w:val="center"/>
          </w:tcPr>
          <w:p w:rsidR="0016753A" w:rsidRPr="00C24515" w:rsidRDefault="0016753A" w:rsidP="002C6E60">
            <w:pPr>
              <w:spacing w:after="0" w:line="240" w:lineRule="auto"/>
              <w:jc w:val="center"/>
              <w:rPr>
                <w:rFonts w:ascii="Times New Roman" w:hAnsi="Times New Roman"/>
                <w:sz w:val="16"/>
                <w:szCs w:val="16"/>
              </w:rPr>
            </w:pPr>
          </w:p>
        </w:tc>
        <w:tc>
          <w:tcPr>
            <w:tcW w:w="850" w:type="dxa"/>
            <w:vMerge/>
            <w:vAlign w:val="center"/>
          </w:tcPr>
          <w:p w:rsidR="0016753A" w:rsidRPr="00C24515" w:rsidRDefault="0016753A" w:rsidP="002C6E60">
            <w:pPr>
              <w:spacing w:after="0" w:line="240" w:lineRule="auto"/>
              <w:jc w:val="center"/>
              <w:rPr>
                <w:rFonts w:ascii="Times New Roman" w:hAnsi="Times New Roman"/>
                <w:sz w:val="16"/>
                <w:szCs w:val="16"/>
              </w:rPr>
            </w:pPr>
          </w:p>
        </w:tc>
        <w:tc>
          <w:tcPr>
            <w:tcW w:w="4536" w:type="dxa"/>
            <w:gridSpan w:val="4"/>
            <w:vAlign w:val="center"/>
          </w:tcPr>
          <w:p w:rsidR="0016753A" w:rsidRPr="00C24515" w:rsidRDefault="0016753A" w:rsidP="002C6E60">
            <w:pPr>
              <w:pStyle w:val="PargrafodaLista"/>
              <w:numPr>
                <w:ilvl w:val="0"/>
                <w:numId w:val="225"/>
              </w:numPr>
              <w:spacing w:after="0" w:line="240" w:lineRule="auto"/>
              <w:ind w:left="313" w:hanging="313"/>
              <w:jc w:val="both"/>
              <w:rPr>
                <w:rFonts w:ascii="Times New Roman" w:hAnsi="Times New Roman"/>
                <w:sz w:val="16"/>
                <w:szCs w:val="16"/>
              </w:rPr>
            </w:pPr>
            <w:r w:rsidRPr="00C24515">
              <w:rPr>
                <w:rFonts w:ascii="Times New Roman" w:hAnsi="Times New Roman"/>
                <w:sz w:val="16"/>
                <w:szCs w:val="16"/>
              </w:rPr>
              <w:tab/>
              <w:t>Création de relation sociale</w:t>
            </w:r>
          </w:p>
        </w:tc>
        <w:tc>
          <w:tcPr>
            <w:tcW w:w="851" w:type="dxa"/>
            <w:vAlign w:val="center"/>
          </w:tcPr>
          <w:p w:rsidR="0016753A" w:rsidRPr="00C24515" w:rsidRDefault="0016753A" w:rsidP="002C6E60">
            <w:pPr>
              <w:spacing w:after="0" w:line="240" w:lineRule="auto"/>
              <w:jc w:val="center"/>
              <w:rPr>
                <w:rFonts w:ascii="Times New Roman" w:hAnsi="Times New Roman"/>
                <w:sz w:val="16"/>
                <w:szCs w:val="16"/>
              </w:rPr>
            </w:pPr>
            <w:r w:rsidRPr="00C24515">
              <w:rPr>
                <w:rFonts w:ascii="Times New Roman" w:hAnsi="Times New Roman"/>
                <w:sz w:val="16"/>
                <w:szCs w:val="16"/>
              </w:rPr>
              <w:t>Forte</w:t>
            </w:r>
          </w:p>
        </w:tc>
        <w:tc>
          <w:tcPr>
            <w:tcW w:w="283" w:type="dxa"/>
            <w:shd w:val="clear" w:color="auto" w:fill="002060"/>
            <w:vAlign w:val="center"/>
          </w:tcPr>
          <w:p w:rsidR="0016753A" w:rsidRPr="00C24515" w:rsidRDefault="0016753A" w:rsidP="002C6E60">
            <w:pPr>
              <w:spacing w:after="0" w:line="240" w:lineRule="auto"/>
              <w:jc w:val="center"/>
              <w:rPr>
                <w:rFonts w:ascii="Times New Roman" w:hAnsi="Times New Roman"/>
                <w:sz w:val="16"/>
                <w:szCs w:val="16"/>
              </w:rPr>
            </w:pPr>
            <w:r w:rsidRPr="00C24515">
              <w:rPr>
                <w:rFonts w:ascii="Times New Roman" w:hAnsi="Times New Roman"/>
                <w:b/>
                <w:sz w:val="16"/>
                <w:szCs w:val="16"/>
              </w:rPr>
              <w:t>5</w:t>
            </w:r>
          </w:p>
        </w:tc>
        <w:tc>
          <w:tcPr>
            <w:tcW w:w="992" w:type="dxa"/>
          </w:tcPr>
          <w:p w:rsidR="0016753A" w:rsidRPr="00C24515" w:rsidRDefault="0016753A" w:rsidP="002C6E60">
            <w:pPr>
              <w:spacing w:after="0" w:line="240" w:lineRule="auto"/>
              <w:jc w:val="center"/>
              <w:rPr>
                <w:rFonts w:ascii="Times New Roman" w:hAnsi="Times New Roman"/>
                <w:sz w:val="16"/>
                <w:szCs w:val="16"/>
              </w:rPr>
            </w:pPr>
            <w:r w:rsidRPr="00C24515">
              <w:rPr>
                <w:rFonts w:ascii="Times New Roman" w:hAnsi="Times New Roman"/>
                <w:sz w:val="16"/>
                <w:szCs w:val="16"/>
              </w:rPr>
              <w:t>Locale</w:t>
            </w:r>
          </w:p>
        </w:tc>
        <w:tc>
          <w:tcPr>
            <w:tcW w:w="284" w:type="dxa"/>
            <w:shd w:val="clear" w:color="auto" w:fill="002060"/>
          </w:tcPr>
          <w:p w:rsidR="0016753A" w:rsidRPr="00C24515" w:rsidRDefault="0016753A" w:rsidP="002C6E60">
            <w:pPr>
              <w:spacing w:after="0" w:line="240" w:lineRule="auto"/>
              <w:jc w:val="center"/>
              <w:rPr>
                <w:rFonts w:ascii="Times New Roman" w:hAnsi="Times New Roman"/>
                <w:b/>
                <w:sz w:val="16"/>
                <w:szCs w:val="16"/>
              </w:rPr>
            </w:pPr>
            <w:r w:rsidRPr="00C24515">
              <w:rPr>
                <w:rFonts w:ascii="Times New Roman" w:hAnsi="Times New Roman"/>
                <w:b/>
                <w:sz w:val="16"/>
                <w:szCs w:val="16"/>
              </w:rPr>
              <w:t>3</w:t>
            </w:r>
          </w:p>
        </w:tc>
        <w:tc>
          <w:tcPr>
            <w:tcW w:w="850" w:type="dxa"/>
            <w:tcBorders>
              <w:bottom w:val="single" w:sz="4" w:space="0" w:color="auto"/>
            </w:tcBorders>
          </w:tcPr>
          <w:p w:rsidR="0016753A" w:rsidRPr="00C24515" w:rsidRDefault="0016753A" w:rsidP="002C6E60">
            <w:pPr>
              <w:spacing w:after="0" w:line="240" w:lineRule="auto"/>
              <w:jc w:val="center"/>
              <w:rPr>
                <w:rFonts w:ascii="Times New Roman" w:hAnsi="Times New Roman"/>
                <w:sz w:val="16"/>
                <w:szCs w:val="16"/>
              </w:rPr>
            </w:pPr>
            <w:r w:rsidRPr="00C24515">
              <w:rPr>
                <w:rFonts w:ascii="Times New Roman" w:hAnsi="Times New Roman"/>
                <w:sz w:val="16"/>
                <w:szCs w:val="16"/>
              </w:rPr>
              <w:t>Moyenne</w:t>
            </w:r>
          </w:p>
        </w:tc>
        <w:tc>
          <w:tcPr>
            <w:tcW w:w="284" w:type="dxa"/>
            <w:shd w:val="clear" w:color="auto" w:fill="002060"/>
          </w:tcPr>
          <w:p w:rsidR="0016753A" w:rsidRPr="00C24515" w:rsidRDefault="0016753A" w:rsidP="002C6E60">
            <w:pPr>
              <w:spacing w:after="0" w:line="240" w:lineRule="auto"/>
              <w:jc w:val="center"/>
              <w:rPr>
                <w:rFonts w:ascii="Times New Roman" w:hAnsi="Times New Roman"/>
                <w:b/>
                <w:sz w:val="16"/>
                <w:szCs w:val="16"/>
              </w:rPr>
            </w:pPr>
            <w:r w:rsidRPr="00C24515">
              <w:rPr>
                <w:rFonts w:ascii="Times New Roman" w:hAnsi="Times New Roman"/>
                <w:b/>
                <w:sz w:val="16"/>
                <w:szCs w:val="16"/>
              </w:rPr>
              <w:t>3</w:t>
            </w:r>
          </w:p>
        </w:tc>
        <w:tc>
          <w:tcPr>
            <w:tcW w:w="850" w:type="dxa"/>
            <w:tcBorders>
              <w:bottom w:val="single" w:sz="4" w:space="0" w:color="auto"/>
            </w:tcBorders>
            <w:shd w:val="clear" w:color="auto" w:fill="FFE599" w:themeFill="accent4" w:themeFillTint="66"/>
            <w:vAlign w:val="center"/>
          </w:tcPr>
          <w:p w:rsidR="0016753A" w:rsidRPr="00C24515" w:rsidRDefault="0016753A" w:rsidP="002C6E60">
            <w:pPr>
              <w:spacing w:after="0" w:line="240" w:lineRule="auto"/>
              <w:jc w:val="center"/>
              <w:rPr>
                <w:rFonts w:ascii="Times New Roman" w:hAnsi="Times New Roman"/>
                <w:b/>
                <w:sz w:val="16"/>
                <w:szCs w:val="16"/>
              </w:rPr>
            </w:pPr>
            <w:r w:rsidRPr="00C24515">
              <w:rPr>
                <w:rFonts w:ascii="Times New Roman" w:hAnsi="Times New Roman"/>
                <w:b/>
                <w:sz w:val="16"/>
                <w:szCs w:val="16"/>
              </w:rPr>
              <w:t>Moyenne</w:t>
            </w:r>
          </w:p>
        </w:tc>
        <w:tc>
          <w:tcPr>
            <w:tcW w:w="567" w:type="dxa"/>
            <w:tcBorders>
              <w:bottom w:val="single" w:sz="4" w:space="0" w:color="auto"/>
            </w:tcBorders>
            <w:shd w:val="clear" w:color="auto" w:fill="FFE599" w:themeFill="accent4" w:themeFillTint="66"/>
            <w:vAlign w:val="center"/>
          </w:tcPr>
          <w:p w:rsidR="0016753A" w:rsidRPr="00C24515" w:rsidRDefault="0016753A" w:rsidP="002C6E60">
            <w:pPr>
              <w:spacing w:after="0" w:line="240" w:lineRule="auto"/>
              <w:jc w:val="center"/>
              <w:rPr>
                <w:rFonts w:ascii="Times New Roman" w:hAnsi="Times New Roman"/>
                <w:b/>
                <w:sz w:val="16"/>
                <w:szCs w:val="16"/>
              </w:rPr>
            </w:pPr>
            <w:r w:rsidRPr="00C24515">
              <w:rPr>
                <w:rFonts w:ascii="Times New Roman" w:hAnsi="Times New Roman"/>
                <w:b/>
                <w:sz w:val="16"/>
                <w:szCs w:val="16"/>
              </w:rPr>
              <w:t>27</w:t>
            </w:r>
          </w:p>
        </w:tc>
      </w:tr>
      <w:tr w:rsidR="0016753A" w:rsidRPr="00CB3670" w:rsidTr="00CB3670">
        <w:trPr>
          <w:gridBefore w:val="3"/>
          <w:gridAfter w:val="9"/>
          <w:wBefore w:w="2071" w:type="dxa"/>
          <w:wAfter w:w="7845" w:type="dxa"/>
          <w:trHeight w:val="70"/>
          <w:jc w:val="center"/>
        </w:trPr>
        <w:tc>
          <w:tcPr>
            <w:tcW w:w="734" w:type="dxa"/>
            <w:shd w:val="clear" w:color="auto" w:fill="0D0D0D"/>
            <w:vAlign w:val="center"/>
          </w:tcPr>
          <w:p w:rsidR="0016753A" w:rsidRPr="00CB3670" w:rsidRDefault="0016753A" w:rsidP="00CB3670">
            <w:pPr>
              <w:spacing w:after="0" w:line="240" w:lineRule="auto"/>
              <w:rPr>
                <w:rFonts w:ascii="Times New Roman" w:hAnsi="Times New Roman"/>
                <w:color w:val="FFFFFF"/>
                <w:sz w:val="4"/>
                <w:szCs w:val="4"/>
              </w:rPr>
            </w:pPr>
          </w:p>
        </w:tc>
        <w:tc>
          <w:tcPr>
            <w:tcW w:w="685" w:type="dxa"/>
            <w:shd w:val="clear" w:color="auto" w:fill="0D0D0D"/>
            <w:vAlign w:val="center"/>
          </w:tcPr>
          <w:p w:rsidR="0016753A" w:rsidRPr="00CB3670" w:rsidRDefault="0016753A" w:rsidP="002C6E60">
            <w:pPr>
              <w:spacing w:after="0" w:line="240" w:lineRule="auto"/>
              <w:jc w:val="center"/>
              <w:rPr>
                <w:rFonts w:ascii="Times New Roman" w:hAnsi="Times New Roman"/>
                <w:b/>
                <w:sz w:val="4"/>
                <w:szCs w:val="4"/>
              </w:rPr>
            </w:pPr>
          </w:p>
        </w:tc>
      </w:tr>
      <w:tr w:rsidR="00C24515" w:rsidRPr="00C24515" w:rsidTr="00CB3670">
        <w:trPr>
          <w:jc w:val="center"/>
        </w:trPr>
        <w:tc>
          <w:tcPr>
            <w:tcW w:w="988" w:type="dxa"/>
            <w:vMerge w:val="restart"/>
            <w:shd w:val="clear" w:color="auto" w:fill="BDD6EE"/>
            <w:vAlign w:val="center"/>
          </w:tcPr>
          <w:p w:rsidR="0016753A" w:rsidRPr="00C24515" w:rsidRDefault="0016753A" w:rsidP="002C6E60">
            <w:pPr>
              <w:spacing w:after="0" w:line="240" w:lineRule="auto"/>
              <w:jc w:val="center"/>
              <w:rPr>
                <w:rFonts w:ascii="Times New Roman" w:eastAsia="MS Gothic" w:hAnsi="Times New Roman"/>
                <w:b/>
                <w:sz w:val="16"/>
                <w:szCs w:val="16"/>
              </w:rPr>
            </w:pPr>
            <w:r w:rsidRPr="00C24515">
              <w:rPr>
                <w:rFonts w:ascii="Times New Roman" w:eastAsia="MS Gothic" w:hAnsi="Times New Roman"/>
                <w:b/>
                <w:sz w:val="16"/>
                <w:szCs w:val="16"/>
              </w:rPr>
              <w:t>Exploitation</w:t>
            </w:r>
          </w:p>
        </w:tc>
        <w:tc>
          <w:tcPr>
            <w:tcW w:w="850" w:type="dxa"/>
            <w:vAlign w:val="center"/>
          </w:tcPr>
          <w:p w:rsidR="0016753A" w:rsidRPr="00C24515" w:rsidRDefault="0016753A" w:rsidP="002C6E60">
            <w:pPr>
              <w:spacing w:after="0" w:line="240" w:lineRule="auto"/>
              <w:jc w:val="center"/>
              <w:rPr>
                <w:rFonts w:ascii="Times New Roman" w:hAnsi="Times New Roman"/>
                <w:b/>
                <w:sz w:val="16"/>
                <w:szCs w:val="16"/>
              </w:rPr>
            </w:pPr>
            <w:r w:rsidRPr="00C24515">
              <w:rPr>
                <w:rFonts w:ascii="Times New Roman" w:hAnsi="Times New Roman"/>
                <w:b/>
                <w:sz w:val="16"/>
                <w:szCs w:val="16"/>
              </w:rPr>
              <w:t>PAYSAGE</w:t>
            </w:r>
          </w:p>
        </w:tc>
        <w:tc>
          <w:tcPr>
            <w:tcW w:w="4536" w:type="dxa"/>
            <w:gridSpan w:val="4"/>
            <w:vAlign w:val="center"/>
          </w:tcPr>
          <w:p w:rsidR="0016753A" w:rsidRPr="00C24515" w:rsidRDefault="0016753A" w:rsidP="002C6E60">
            <w:pPr>
              <w:pStyle w:val="PargrafodaLista"/>
              <w:numPr>
                <w:ilvl w:val="0"/>
                <w:numId w:val="225"/>
              </w:numPr>
              <w:spacing w:after="0" w:line="240" w:lineRule="auto"/>
              <w:ind w:left="313" w:hanging="313"/>
              <w:jc w:val="both"/>
              <w:rPr>
                <w:rFonts w:ascii="Times New Roman" w:hAnsi="Times New Roman"/>
                <w:sz w:val="16"/>
                <w:szCs w:val="16"/>
              </w:rPr>
            </w:pPr>
            <w:r w:rsidRPr="00C24515">
              <w:rPr>
                <w:rFonts w:ascii="Times New Roman" w:hAnsi="Times New Roman"/>
                <w:sz w:val="16"/>
                <w:szCs w:val="16"/>
              </w:rPr>
              <w:t xml:space="preserve">Création d’une végétation verdoyante avec des arbres d’ornement ou d’ombrage.   </w:t>
            </w:r>
          </w:p>
        </w:tc>
        <w:tc>
          <w:tcPr>
            <w:tcW w:w="851" w:type="dxa"/>
            <w:vAlign w:val="center"/>
          </w:tcPr>
          <w:p w:rsidR="0016753A" w:rsidRPr="00C24515" w:rsidRDefault="0016753A" w:rsidP="002C6E60">
            <w:pPr>
              <w:spacing w:after="0" w:line="240" w:lineRule="auto"/>
              <w:jc w:val="center"/>
              <w:rPr>
                <w:rFonts w:ascii="Times New Roman" w:hAnsi="Times New Roman"/>
                <w:sz w:val="16"/>
                <w:szCs w:val="16"/>
              </w:rPr>
            </w:pPr>
            <w:r w:rsidRPr="00C24515">
              <w:rPr>
                <w:rFonts w:ascii="Times New Roman" w:hAnsi="Times New Roman"/>
                <w:sz w:val="16"/>
                <w:szCs w:val="16"/>
              </w:rPr>
              <w:t>Faible</w:t>
            </w:r>
          </w:p>
        </w:tc>
        <w:tc>
          <w:tcPr>
            <w:tcW w:w="283" w:type="dxa"/>
            <w:shd w:val="clear" w:color="auto" w:fill="002060"/>
            <w:vAlign w:val="center"/>
          </w:tcPr>
          <w:p w:rsidR="0016753A" w:rsidRPr="00C24515" w:rsidRDefault="0016753A" w:rsidP="002C6E60">
            <w:pPr>
              <w:spacing w:after="0" w:line="240" w:lineRule="auto"/>
              <w:jc w:val="center"/>
              <w:rPr>
                <w:rFonts w:ascii="Times New Roman" w:hAnsi="Times New Roman"/>
                <w:b/>
                <w:sz w:val="16"/>
                <w:szCs w:val="16"/>
              </w:rPr>
            </w:pPr>
            <w:r w:rsidRPr="00C24515">
              <w:rPr>
                <w:rFonts w:ascii="Times New Roman" w:hAnsi="Times New Roman"/>
                <w:b/>
                <w:sz w:val="16"/>
                <w:szCs w:val="16"/>
              </w:rPr>
              <w:t>1</w:t>
            </w:r>
          </w:p>
        </w:tc>
        <w:tc>
          <w:tcPr>
            <w:tcW w:w="992" w:type="dxa"/>
            <w:vAlign w:val="center"/>
          </w:tcPr>
          <w:p w:rsidR="0016753A" w:rsidRPr="00C24515" w:rsidRDefault="0016753A" w:rsidP="002C6E60">
            <w:pPr>
              <w:spacing w:after="0" w:line="240" w:lineRule="auto"/>
              <w:jc w:val="center"/>
              <w:rPr>
                <w:rFonts w:ascii="Times New Roman" w:hAnsi="Times New Roman"/>
                <w:sz w:val="16"/>
                <w:szCs w:val="16"/>
              </w:rPr>
            </w:pPr>
            <w:r w:rsidRPr="00C24515">
              <w:rPr>
                <w:rFonts w:ascii="Times New Roman" w:hAnsi="Times New Roman"/>
                <w:sz w:val="16"/>
                <w:szCs w:val="16"/>
              </w:rPr>
              <w:t>Ponctuelle</w:t>
            </w:r>
          </w:p>
        </w:tc>
        <w:tc>
          <w:tcPr>
            <w:tcW w:w="284" w:type="dxa"/>
            <w:shd w:val="clear" w:color="auto" w:fill="002060"/>
            <w:vAlign w:val="center"/>
          </w:tcPr>
          <w:p w:rsidR="0016753A" w:rsidRPr="00C24515" w:rsidRDefault="0016753A" w:rsidP="002C6E60">
            <w:pPr>
              <w:spacing w:after="0" w:line="240" w:lineRule="auto"/>
              <w:jc w:val="center"/>
              <w:rPr>
                <w:rFonts w:ascii="Times New Roman" w:hAnsi="Times New Roman"/>
                <w:b/>
                <w:sz w:val="16"/>
                <w:szCs w:val="16"/>
              </w:rPr>
            </w:pPr>
            <w:r w:rsidRPr="00C24515">
              <w:rPr>
                <w:rFonts w:ascii="Times New Roman" w:hAnsi="Times New Roman"/>
                <w:b/>
                <w:sz w:val="16"/>
                <w:szCs w:val="16"/>
              </w:rPr>
              <w:t>1</w:t>
            </w:r>
          </w:p>
        </w:tc>
        <w:tc>
          <w:tcPr>
            <w:tcW w:w="850" w:type="dxa"/>
            <w:vAlign w:val="center"/>
          </w:tcPr>
          <w:p w:rsidR="0016753A" w:rsidRPr="00C24515" w:rsidRDefault="0016753A" w:rsidP="002C6E60">
            <w:pPr>
              <w:spacing w:after="0" w:line="240" w:lineRule="auto"/>
              <w:jc w:val="center"/>
              <w:rPr>
                <w:rFonts w:ascii="Times New Roman" w:hAnsi="Times New Roman"/>
                <w:sz w:val="16"/>
                <w:szCs w:val="16"/>
              </w:rPr>
            </w:pPr>
            <w:r w:rsidRPr="00C24515">
              <w:rPr>
                <w:rFonts w:ascii="Times New Roman" w:hAnsi="Times New Roman"/>
                <w:sz w:val="16"/>
                <w:szCs w:val="16"/>
              </w:rPr>
              <w:t>Longue</w:t>
            </w:r>
          </w:p>
        </w:tc>
        <w:tc>
          <w:tcPr>
            <w:tcW w:w="284" w:type="dxa"/>
            <w:shd w:val="clear" w:color="auto" w:fill="002060"/>
            <w:vAlign w:val="center"/>
          </w:tcPr>
          <w:p w:rsidR="0016753A" w:rsidRPr="00C24515" w:rsidRDefault="0016753A" w:rsidP="002C6E60">
            <w:pPr>
              <w:spacing w:after="0" w:line="240" w:lineRule="auto"/>
              <w:jc w:val="center"/>
              <w:rPr>
                <w:rFonts w:ascii="Times New Roman" w:hAnsi="Times New Roman"/>
                <w:b/>
                <w:sz w:val="16"/>
                <w:szCs w:val="16"/>
              </w:rPr>
            </w:pPr>
            <w:r w:rsidRPr="00C24515">
              <w:rPr>
                <w:rFonts w:ascii="Times New Roman" w:hAnsi="Times New Roman"/>
                <w:b/>
                <w:sz w:val="16"/>
                <w:szCs w:val="16"/>
              </w:rPr>
              <w:t>5</w:t>
            </w:r>
          </w:p>
        </w:tc>
        <w:tc>
          <w:tcPr>
            <w:tcW w:w="850" w:type="dxa"/>
            <w:shd w:val="clear" w:color="auto" w:fill="F7CAAC" w:themeFill="accent2" w:themeFillTint="66"/>
            <w:vAlign w:val="center"/>
          </w:tcPr>
          <w:p w:rsidR="0016753A" w:rsidRPr="00C24515" w:rsidRDefault="0016753A" w:rsidP="002C6E60">
            <w:pPr>
              <w:spacing w:after="0" w:line="240" w:lineRule="auto"/>
              <w:jc w:val="center"/>
              <w:rPr>
                <w:rFonts w:ascii="Times New Roman" w:hAnsi="Times New Roman"/>
                <w:b/>
                <w:sz w:val="16"/>
                <w:szCs w:val="16"/>
              </w:rPr>
            </w:pPr>
            <w:r w:rsidRPr="00C24515">
              <w:rPr>
                <w:rFonts w:ascii="Times New Roman" w:hAnsi="Times New Roman"/>
                <w:b/>
                <w:sz w:val="16"/>
                <w:szCs w:val="16"/>
              </w:rPr>
              <w:t>Mineure</w:t>
            </w:r>
          </w:p>
        </w:tc>
        <w:tc>
          <w:tcPr>
            <w:tcW w:w="567" w:type="dxa"/>
            <w:shd w:val="clear" w:color="auto" w:fill="F7CAAC" w:themeFill="accent2" w:themeFillTint="66"/>
            <w:vAlign w:val="center"/>
          </w:tcPr>
          <w:p w:rsidR="0016753A" w:rsidRPr="00C24515" w:rsidRDefault="0016753A" w:rsidP="002C6E60">
            <w:pPr>
              <w:spacing w:after="0" w:line="240" w:lineRule="auto"/>
              <w:jc w:val="center"/>
              <w:rPr>
                <w:rFonts w:ascii="Times New Roman" w:hAnsi="Times New Roman"/>
                <w:b/>
                <w:sz w:val="16"/>
                <w:szCs w:val="16"/>
              </w:rPr>
            </w:pPr>
            <w:r w:rsidRPr="00C24515">
              <w:rPr>
                <w:rFonts w:ascii="Times New Roman" w:hAnsi="Times New Roman"/>
                <w:b/>
                <w:sz w:val="16"/>
                <w:szCs w:val="16"/>
              </w:rPr>
              <w:t>5</w:t>
            </w:r>
          </w:p>
        </w:tc>
      </w:tr>
      <w:tr w:rsidR="00C24515" w:rsidRPr="00C24515" w:rsidTr="00CB3670">
        <w:trPr>
          <w:jc w:val="center"/>
        </w:trPr>
        <w:tc>
          <w:tcPr>
            <w:tcW w:w="988" w:type="dxa"/>
            <w:vMerge/>
            <w:shd w:val="clear" w:color="auto" w:fill="BDD6EE"/>
          </w:tcPr>
          <w:p w:rsidR="0016753A" w:rsidRPr="00C24515" w:rsidRDefault="0016753A" w:rsidP="002C6E60">
            <w:pPr>
              <w:spacing w:after="0" w:line="240" w:lineRule="auto"/>
              <w:jc w:val="both"/>
              <w:rPr>
                <w:rFonts w:ascii="Times New Roman" w:hAnsi="Times New Roman"/>
                <w:sz w:val="16"/>
                <w:szCs w:val="16"/>
              </w:rPr>
            </w:pPr>
          </w:p>
        </w:tc>
        <w:tc>
          <w:tcPr>
            <w:tcW w:w="850" w:type="dxa"/>
            <w:vAlign w:val="center"/>
          </w:tcPr>
          <w:p w:rsidR="0016753A" w:rsidRPr="00C24515" w:rsidRDefault="0016753A" w:rsidP="002C6E60">
            <w:pPr>
              <w:spacing w:after="0" w:line="240" w:lineRule="auto"/>
              <w:jc w:val="center"/>
              <w:rPr>
                <w:rFonts w:ascii="Times New Roman" w:hAnsi="Times New Roman"/>
                <w:b/>
                <w:sz w:val="16"/>
                <w:szCs w:val="16"/>
              </w:rPr>
            </w:pPr>
            <w:r w:rsidRPr="00C24515">
              <w:rPr>
                <w:rFonts w:ascii="Times New Roman" w:hAnsi="Times New Roman"/>
                <w:b/>
                <w:sz w:val="16"/>
                <w:szCs w:val="16"/>
              </w:rPr>
              <w:t>EAUX</w:t>
            </w:r>
          </w:p>
        </w:tc>
        <w:tc>
          <w:tcPr>
            <w:tcW w:w="4536" w:type="dxa"/>
            <w:gridSpan w:val="4"/>
            <w:vAlign w:val="center"/>
          </w:tcPr>
          <w:p w:rsidR="0016753A" w:rsidRPr="00C24515" w:rsidRDefault="0016753A" w:rsidP="002C6E60">
            <w:pPr>
              <w:pStyle w:val="PargrafodaLista"/>
              <w:numPr>
                <w:ilvl w:val="0"/>
                <w:numId w:val="225"/>
              </w:numPr>
              <w:spacing w:after="0" w:line="240" w:lineRule="auto"/>
              <w:ind w:left="313" w:hanging="313"/>
              <w:jc w:val="both"/>
              <w:rPr>
                <w:rFonts w:ascii="Times New Roman" w:hAnsi="Times New Roman"/>
                <w:sz w:val="16"/>
                <w:szCs w:val="16"/>
              </w:rPr>
            </w:pPr>
            <w:r w:rsidRPr="00C24515">
              <w:rPr>
                <w:rFonts w:ascii="Times New Roman" w:hAnsi="Times New Roman"/>
                <w:sz w:val="16"/>
                <w:szCs w:val="16"/>
              </w:rPr>
              <w:t>Maintenir le ruissellement à l’exutoire.</w:t>
            </w:r>
          </w:p>
        </w:tc>
        <w:tc>
          <w:tcPr>
            <w:tcW w:w="851" w:type="dxa"/>
            <w:vAlign w:val="center"/>
          </w:tcPr>
          <w:p w:rsidR="0016753A" w:rsidRPr="00C24515" w:rsidRDefault="0016753A" w:rsidP="002C6E60">
            <w:pPr>
              <w:spacing w:after="0" w:line="240" w:lineRule="auto"/>
              <w:jc w:val="center"/>
              <w:rPr>
                <w:rFonts w:ascii="Times New Roman" w:hAnsi="Times New Roman"/>
                <w:sz w:val="16"/>
                <w:szCs w:val="16"/>
              </w:rPr>
            </w:pPr>
            <w:r w:rsidRPr="00C24515">
              <w:rPr>
                <w:rFonts w:ascii="Times New Roman" w:hAnsi="Times New Roman"/>
                <w:sz w:val="16"/>
                <w:szCs w:val="16"/>
              </w:rPr>
              <w:t>Faible</w:t>
            </w:r>
          </w:p>
        </w:tc>
        <w:tc>
          <w:tcPr>
            <w:tcW w:w="283" w:type="dxa"/>
            <w:shd w:val="clear" w:color="auto" w:fill="002060"/>
            <w:vAlign w:val="center"/>
          </w:tcPr>
          <w:p w:rsidR="0016753A" w:rsidRPr="00C24515" w:rsidRDefault="0016753A" w:rsidP="002C6E60">
            <w:pPr>
              <w:spacing w:after="0" w:line="240" w:lineRule="auto"/>
              <w:jc w:val="center"/>
              <w:rPr>
                <w:rFonts w:ascii="Times New Roman" w:hAnsi="Times New Roman"/>
                <w:b/>
                <w:sz w:val="16"/>
                <w:szCs w:val="16"/>
              </w:rPr>
            </w:pPr>
            <w:r w:rsidRPr="00C24515">
              <w:rPr>
                <w:rFonts w:ascii="Times New Roman" w:hAnsi="Times New Roman"/>
                <w:b/>
                <w:sz w:val="16"/>
                <w:szCs w:val="16"/>
              </w:rPr>
              <w:t>1</w:t>
            </w:r>
          </w:p>
        </w:tc>
        <w:tc>
          <w:tcPr>
            <w:tcW w:w="992" w:type="dxa"/>
            <w:vAlign w:val="center"/>
          </w:tcPr>
          <w:p w:rsidR="0016753A" w:rsidRPr="00C24515" w:rsidRDefault="0016753A" w:rsidP="002C6E60">
            <w:pPr>
              <w:spacing w:after="0" w:line="240" w:lineRule="auto"/>
              <w:jc w:val="center"/>
              <w:rPr>
                <w:rFonts w:ascii="Times New Roman" w:hAnsi="Times New Roman"/>
                <w:sz w:val="16"/>
                <w:szCs w:val="16"/>
              </w:rPr>
            </w:pPr>
            <w:r w:rsidRPr="00C24515">
              <w:rPr>
                <w:rFonts w:ascii="Times New Roman" w:hAnsi="Times New Roman"/>
                <w:sz w:val="16"/>
                <w:szCs w:val="16"/>
              </w:rPr>
              <w:t>Ponctuelle</w:t>
            </w:r>
          </w:p>
        </w:tc>
        <w:tc>
          <w:tcPr>
            <w:tcW w:w="284" w:type="dxa"/>
            <w:shd w:val="clear" w:color="auto" w:fill="002060"/>
            <w:vAlign w:val="center"/>
          </w:tcPr>
          <w:p w:rsidR="0016753A" w:rsidRPr="00C24515" w:rsidRDefault="0016753A" w:rsidP="002C6E60">
            <w:pPr>
              <w:spacing w:after="0" w:line="240" w:lineRule="auto"/>
              <w:jc w:val="center"/>
              <w:rPr>
                <w:rFonts w:ascii="Times New Roman" w:hAnsi="Times New Roman"/>
                <w:b/>
                <w:sz w:val="16"/>
                <w:szCs w:val="16"/>
              </w:rPr>
            </w:pPr>
            <w:r w:rsidRPr="00C24515">
              <w:rPr>
                <w:rFonts w:ascii="Times New Roman" w:hAnsi="Times New Roman"/>
                <w:b/>
                <w:sz w:val="16"/>
                <w:szCs w:val="16"/>
              </w:rPr>
              <w:t>1</w:t>
            </w:r>
          </w:p>
        </w:tc>
        <w:tc>
          <w:tcPr>
            <w:tcW w:w="850" w:type="dxa"/>
            <w:vAlign w:val="center"/>
          </w:tcPr>
          <w:p w:rsidR="0016753A" w:rsidRPr="00C24515" w:rsidRDefault="0016753A" w:rsidP="002C6E60">
            <w:pPr>
              <w:spacing w:after="0" w:line="240" w:lineRule="auto"/>
              <w:jc w:val="center"/>
              <w:rPr>
                <w:rFonts w:ascii="Times New Roman" w:hAnsi="Times New Roman"/>
                <w:sz w:val="16"/>
                <w:szCs w:val="16"/>
              </w:rPr>
            </w:pPr>
            <w:r w:rsidRPr="00C24515">
              <w:rPr>
                <w:rFonts w:ascii="Times New Roman" w:hAnsi="Times New Roman"/>
                <w:sz w:val="16"/>
                <w:szCs w:val="16"/>
              </w:rPr>
              <w:t>Longue</w:t>
            </w:r>
          </w:p>
        </w:tc>
        <w:tc>
          <w:tcPr>
            <w:tcW w:w="284" w:type="dxa"/>
            <w:shd w:val="clear" w:color="auto" w:fill="002060"/>
            <w:vAlign w:val="center"/>
          </w:tcPr>
          <w:p w:rsidR="0016753A" w:rsidRPr="00C24515" w:rsidRDefault="0016753A" w:rsidP="002C6E60">
            <w:pPr>
              <w:spacing w:after="0" w:line="240" w:lineRule="auto"/>
              <w:jc w:val="center"/>
              <w:rPr>
                <w:rFonts w:ascii="Times New Roman" w:hAnsi="Times New Roman"/>
                <w:b/>
                <w:sz w:val="16"/>
                <w:szCs w:val="16"/>
              </w:rPr>
            </w:pPr>
            <w:r w:rsidRPr="00C24515">
              <w:rPr>
                <w:rFonts w:ascii="Times New Roman" w:hAnsi="Times New Roman"/>
                <w:b/>
                <w:sz w:val="16"/>
                <w:szCs w:val="16"/>
              </w:rPr>
              <w:t>5</w:t>
            </w:r>
          </w:p>
        </w:tc>
        <w:tc>
          <w:tcPr>
            <w:tcW w:w="850" w:type="dxa"/>
            <w:shd w:val="clear" w:color="auto" w:fill="F7CAAC" w:themeFill="accent2" w:themeFillTint="66"/>
            <w:vAlign w:val="center"/>
          </w:tcPr>
          <w:p w:rsidR="0016753A" w:rsidRPr="00C24515" w:rsidRDefault="0016753A" w:rsidP="002C6E60">
            <w:pPr>
              <w:spacing w:after="0" w:line="240" w:lineRule="auto"/>
              <w:jc w:val="center"/>
              <w:rPr>
                <w:rFonts w:ascii="Times New Roman" w:hAnsi="Times New Roman"/>
                <w:b/>
                <w:sz w:val="16"/>
                <w:szCs w:val="16"/>
              </w:rPr>
            </w:pPr>
            <w:r w:rsidRPr="00C24515">
              <w:rPr>
                <w:rFonts w:ascii="Times New Roman" w:hAnsi="Times New Roman"/>
                <w:b/>
                <w:sz w:val="16"/>
                <w:szCs w:val="16"/>
              </w:rPr>
              <w:t>Mineure</w:t>
            </w:r>
          </w:p>
        </w:tc>
        <w:tc>
          <w:tcPr>
            <w:tcW w:w="567" w:type="dxa"/>
            <w:shd w:val="clear" w:color="auto" w:fill="F7CAAC" w:themeFill="accent2" w:themeFillTint="66"/>
            <w:vAlign w:val="center"/>
          </w:tcPr>
          <w:p w:rsidR="0016753A" w:rsidRPr="00C24515" w:rsidRDefault="0016753A" w:rsidP="002C6E60">
            <w:pPr>
              <w:spacing w:after="0" w:line="240" w:lineRule="auto"/>
              <w:jc w:val="center"/>
              <w:rPr>
                <w:rFonts w:ascii="Times New Roman" w:hAnsi="Times New Roman"/>
                <w:b/>
                <w:sz w:val="16"/>
                <w:szCs w:val="16"/>
              </w:rPr>
            </w:pPr>
            <w:r w:rsidRPr="00C24515">
              <w:rPr>
                <w:rFonts w:ascii="Times New Roman" w:hAnsi="Times New Roman"/>
                <w:b/>
                <w:sz w:val="16"/>
                <w:szCs w:val="16"/>
              </w:rPr>
              <w:t>5</w:t>
            </w:r>
          </w:p>
        </w:tc>
      </w:tr>
      <w:tr w:rsidR="00C24515" w:rsidRPr="00C24515" w:rsidTr="00CB3670">
        <w:trPr>
          <w:jc w:val="center"/>
        </w:trPr>
        <w:tc>
          <w:tcPr>
            <w:tcW w:w="988" w:type="dxa"/>
            <w:vMerge/>
            <w:shd w:val="clear" w:color="auto" w:fill="BDD6EE"/>
          </w:tcPr>
          <w:p w:rsidR="0016753A" w:rsidRPr="00C24515" w:rsidRDefault="0016753A" w:rsidP="002C6E60">
            <w:pPr>
              <w:spacing w:after="0" w:line="240" w:lineRule="auto"/>
              <w:jc w:val="both"/>
              <w:rPr>
                <w:rFonts w:ascii="Times New Roman" w:hAnsi="Times New Roman"/>
                <w:sz w:val="16"/>
                <w:szCs w:val="16"/>
              </w:rPr>
            </w:pPr>
          </w:p>
        </w:tc>
        <w:tc>
          <w:tcPr>
            <w:tcW w:w="850" w:type="dxa"/>
            <w:vMerge w:val="restart"/>
            <w:vAlign w:val="center"/>
          </w:tcPr>
          <w:p w:rsidR="0016753A" w:rsidRPr="00C24515" w:rsidRDefault="0016753A" w:rsidP="002C6E60">
            <w:pPr>
              <w:spacing w:after="0" w:line="240" w:lineRule="auto"/>
              <w:jc w:val="center"/>
              <w:rPr>
                <w:rFonts w:ascii="Times New Roman" w:hAnsi="Times New Roman"/>
                <w:b/>
                <w:sz w:val="16"/>
                <w:szCs w:val="16"/>
              </w:rPr>
            </w:pPr>
            <w:r w:rsidRPr="00C24515">
              <w:rPr>
                <w:rFonts w:ascii="Times New Roman" w:eastAsia="MS Gothic" w:hAnsi="Times New Roman"/>
                <w:b/>
                <w:sz w:val="16"/>
                <w:szCs w:val="16"/>
              </w:rPr>
              <w:t>SOCIO-ECONOMIQUE</w:t>
            </w:r>
          </w:p>
        </w:tc>
        <w:tc>
          <w:tcPr>
            <w:tcW w:w="4536" w:type="dxa"/>
            <w:gridSpan w:val="4"/>
            <w:vAlign w:val="center"/>
          </w:tcPr>
          <w:p w:rsidR="0016753A" w:rsidRPr="00C24515" w:rsidRDefault="0016753A" w:rsidP="002C6E60">
            <w:pPr>
              <w:pStyle w:val="PargrafodaLista"/>
              <w:numPr>
                <w:ilvl w:val="0"/>
                <w:numId w:val="225"/>
              </w:numPr>
              <w:spacing w:after="0" w:line="240" w:lineRule="auto"/>
              <w:ind w:left="313" w:hanging="313"/>
              <w:jc w:val="both"/>
              <w:rPr>
                <w:rFonts w:ascii="Times New Roman" w:hAnsi="Times New Roman"/>
                <w:sz w:val="16"/>
                <w:szCs w:val="16"/>
              </w:rPr>
            </w:pPr>
            <w:r w:rsidRPr="00C24515">
              <w:rPr>
                <w:rFonts w:ascii="Times New Roman" w:hAnsi="Times New Roman"/>
                <w:sz w:val="16"/>
                <w:szCs w:val="16"/>
              </w:rPr>
              <w:t>Atténuations significativement des déficits d’approvisionnement en eau potable.</w:t>
            </w:r>
          </w:p>
        </w:tc>
        <w:tc>
          <w:tcPr>
            <w:tcW w:w="851" w:type="dxa"/>
            <w:vAlign w:val="center"/>
          </w:tcPr>
          <w:p w:rsidR="0016753A" w:rsidRPr="00C24515" w:rsidRDefault="0016753A" w:rsidP="002C6E60">
            <w:pPr>
              <w:spacing w:after="0" w:line="240" w:lineRule="auto"/>
              <w:jc w:val="center"/>
              <w:rPr>
                <w:rFonts w:ascii="Times New Roman" w:hAnsi="Times New Roman"/>
                <w:sz w:val="16"/>
                <w:szCs w:val="16"/>
              </w:rPr>
            </w:pPr>
            <w:r w:rsidRPr="00C24515">
              <w:rPr>
                <w:rFonts w:ascii="Times New Roman" w:hAnsi="Times New Roman"/>
                <w:sz w:val="16"/>
                <w:szCs w:val="16"/>
              </w:rPr>
              <w:t>Forte</w:t>
            </w:r>
          </w:p>
        </w:tc>
        <w:tc>
          <w:tcPr>
            <w:tcW w:w="283" w:type="dxa"/>
            <w:shd w:val="clear" w:color="auto" w:fill="002060"/>
            <w:vAlign w:val="center"/>
          </w:tcPr>
          <w:p w:rsidR="0016753A" w:rsidRPr="00C24515" w:rsidRDefault="0016753A" w:rsidP="002C6E60">
            <w:pPr>
              <w:spacing w:after="0" w:line="240" w:lineRule="auto"/>
              <w:jc w:val="center"/>
              <w:rPr>
                <w:rFonts w:ascii="Times New Roman" w:hAnsi="Times New Roman"/>
                <w:b/>
                <w:sz w:val="16"/>
                <w:szCs w:val="16"/>
              </w:rPr>
            </w:pPr>
            <w:r w:rsidRPr="00C24515">
              <w:rPr>
                <w:rFonts w:ascii="Times New Roman" w:hAnsi="Times New Roman"/>
                <w:b/>
                <w:sz w:val="16"/>
                <w:szCs w:val="16"/>
              </w:rPr>
              <w:t>5</w:t>
            </w:r>
          </w:p>
        </w:tc>
        <w:tc>
          <w:tcPr>
            <w:tcW w:w="992" w:type="dxa"/>
            <w:vAlign w:val="center"/>
          </w:tcPr>
          <w:p w:rsidR="0016753A" w:rsidRPr="00C24515" w:rsidRDefault="0016753A" w:rsidP="002C6E60">
            <w:pPr>
              <w:spacing w:after="0" w:line="240" w:lineRule="auto"/>
              <w:jc w:val="center"/>
              <w:rPr>
                <w:rFonts w:ascii="Times New Roman" w:hAnsi="Times New Roman"/>
                <w:sz w:val="16"/>
                <w:szCs w:val="16"/>
              </w:rPr>
            </w:pPr>
            <w:r w:rsidRPr="00C24515">
              <w:rPr>
                <w:rFonts w:ascii="Times New Roman" w:hAnsi="Times New Roman"/>
                <w:sz w:val="16"/>
                <w:szCs w:val="16"/>
              </w:rPr>
              <w:t>Locale</w:t>
            </w:r>
          </w:p>
        </w:tc>
        <w:tc>
          <w:tcPr>
            <w:tcW w:w="284" w:type="dxa"/>
            <w:shd w:val="clear" w:color="auto" w:fill="002060"/>
            <w:vAlign w:val="center"/>
          </w:tcPr>
          <w:p w:rsidR="0016753A" w:rsidRPr="00C24515" w:rsidRDefault="0016753A" w:rsidP="002C6E60">
            <w:pPr>
              <w:spacing w:after="0" w:line="240" w:lineRule="auto"/>
              <w:jc w:val="center"/>
              <w:rPr>
                <w:rFonts w:ascii="Times New Roman" w:hAnsi="Times New Roman"/>
                <w:b/>
                <w:sz w:val="16"/>
                <w:szCs w:val="16"/>
              </w:rPr>
            </w:pPr>
            <w:r w:rsidRPr="00C24515">
              <w:rPr>
                <w:rFonts w:ascii="Times New Roman" w:hAnsi="Times New Roman"/>
                <w:b/>
                <w:sz w:val="16"/>
                <w:szCs w:val="16"/>
              </w:rPr>
              <w:t>3</w:t>
            </w:r>
          </w:p>
        </w:tc>
        <w:tc>
          <w:tcPr>
            <w:tcW w:w="850" w:type="dxa"/>
            <w:vAlign w:val="center"/>
          </w:tcPr>
          <w:p w:rsidR="0016753A" w:rsidRPr="00C24515" w:rsidRDefault="0016753A" w:rsidP="002C6E60">
            <w:pPr>
              <w:spacing w:after="0" w:line="240" w:lineRule="auto"/>
              <w:jc w:val="center"/>
              <w:rPr>
                <w:rFonts w:ascii="Times New Roman" w:hAnsi="Times New Roman"/>
                <w:sz w:val="16"/>
                <w:szCs w:val="16"/>
              </w:rPr>
            </w:pPr>
            <w:r w:rsidRPr="00C24515">
              <w:rPr>
                <w:rFonts w:ascii="Times New Roman" w:hAnsi="Times New Roman"/>
                <w:sz w:val="16"/>
                <w:szCs w:val="16"/>
              </w:rPr>
              <w:t>Longue</w:t>
            </w:r>
          </w:p>
        </w:tc>
        <w:tc>
          <w:tcPr>
            <w:tcW w:w="284" w:type="dxa"/>
            <w:shd w:val="clear" w:color="auto" w:fill="002060"/>
            <w:vAlign w:val="center"/>
          </w:tcPr>
          <w:p w:rsidR="0016753A" w:rsidRPr="00C24515" w:rsidRDefault="0016753A" w:rsidP="002C6E60">
            <w:pPr>
              <w:spacing w:after="0" w:line="240" w:lineRule="auto"/>
              <w:jc w:val="center"/>
              <w:rPr>
                <w:rFonts w:ascii="Times New Roman" w:hAnsi="Times New Roman"/>
                <w:b/>
                <w:sz w:val="16"/>
                <w:szCs w:val="16"/>
              </w:rPr>
            </w:pPr>
            <w:r w:rsidRPr="00C24515">
              <w:rPr>
                <w:rFonts w:ascii="Times New Roman" w:hAnsi="Times New Roman"/>
                <w:b/>
                <w:sz w:val="16"/>
                <w:szCs w:val="16"/>
              </w:rPr>
              <w:t>5</w:t>
            </w:r>
          </w:p>
        </w:tc>
        <w:tc>
          <w:tcPr>
            <w:tcW w:w="850" w:type="dxa"/>
            <w:shd w:val="clear" w:color="auto" w:fill="92D050"/>
            <w:vAlign w:val="center"/>
          </w:tcPr>
          <w:p w:rsidR="0016753A" w:rsidRPr="00C24515" w:rsidRDefault="0016753A" w:rsidP="002C6E60">
            <w:pPr>
              <w:spacing w:after="0" w:line="240" w:lineRule="auto"/>
              <w:jc w:val="center"/>
              <w:rPr>
                <w:rFonts w:ascii="Times New Roman" w:hAnsi="Times New Roman"/>
                <w:b/>
                <w:sz w:val="16"/>
                <w:szCs w:val="16"/>
              </w:rPr>
            </w:pPr>
            <w:r w:rsidRPr="00C24515">
              <w:rPr>
                <w:rFonts w:ascii="Times New Roman" w:hAnsi="Times New Roman"/>
                <w:b/>
                <w:sz w:val="16"/>
                <w:szCs w:val="16"/>
              </w:rPr>
              <w:t>Majeure</w:t>
            </w:r>
          </w:p>
        </w:tc>
        <w:tc>
          <w:tcPr>
            <w:tcW w:w="567" w:type="dxa"/>
            <w:shd w:val="clear" w:color="auto" w:fill="92D050"/>
            <w:vAlign w:val="center"/>
          </w:tcPr>
          <w:p w:rsidR="0016753A" w:rsidRPr="00C24515" w:rsidRDefault="0016753A" w:rsidP="002C6E60">
            <w:pPr>
              <w:spacing w:after="0" w:line="240" w:lineRule="auto"/>
              <w:jc w:val="center"/>
              <w:rPr>
                <w:rFonts w:ascii="Times New Roman" w:hAnsi="Times New Roman"/>
                <w:b/>
                <w:sz w:val="16"/>
                <w:szCs w:val="16"/>
              </w:rPr>
            </w:pPr>
            <w:r w:rsidRPr="00C24515">
              <w:rPr>
                <w:rFonts w:ascii="Times New Roman" w:hAnsi="Times New Roman"/>
                <w:b/>
                <w:sz w:val="16"/>
                <w:szCs w:val="16"/>
              </w:rPr>
              <w:t>75</w:t>
            </w:r>
          </w:p>
        </w:tc>
      </w:tr>
      <w:tr w:rsidR="00C24515" w:rsidRPr="00C24515" w:rsidTr="00CB3670">
        <w:trPr>
          <w:jc w:val="center"/>
        </w:trPr>
        <w:tc>
          <w:tcPr>
            <w:tcW w:w="988" w:type="dxa"/>
            <w:vMerge/>
            <w:shd w:val="clear" w:color="auto" w:fill="BDD6EE"/>
          </w:tcPr>
          <w:p w:rsidR="0016753A" w:rsidRPr="00C24515" w:rsidRDefault="0016753A" w:rsidP="002C6E60">
            <w:pPr>
              <w:spacing w:after="0" w:line="240" w:lineRule="auto"/>
              <w:jc w:val="both"/>
              <w:rPr>
                <w:rFonts w:ascii="Times New Roman" w:hAnsi="Times New Roman"/>
                <w:sz w:val="16"/>
                <w:szCs w:val="16"/>
              </w:rPr>
            </w:pPr>
          </w:p>
        </w:tc>
        <w:tc>
          <w:tcPr>
            <w:tcW w:w="850" w:type="dxa"/>
            <w:vMerge/>
          </w:tcPr>
          <w:p w:rsidR="0016753A" w:rsidRPr="00C24515" w:rsidRDefault="0016753A" w:rsidP="002C6E60">
            <w:pPr>
              <w:spacing w:after="0" w:line="240" w:lineRule="auto"/>
              <w:jc w:val="both"/>
              <w:rPr>
                <w:rFonts w:ascii="Times New Roman" w:hAnsi="Times New Roman"/>
                <w:b/>
                <w:sz w:val="16"/>
                <w:szCs w:val="16"/>
              </w:rPr>
            </w:pPr>
          </w:p>
        </w:tc>
        <w:tc>
          <w:tcPr>
            <w:tcW w:w="4536" w:type="dxa"/>
            <w:gridSpan w:val="4"/>
            <w:vAlign w:val="center"/>
          </w:tcPr>
          <w:p w:rsidR="0016753A" w:rsidRPr="00C24515" w:rsidRDefault="0016753A" w:rsidP="002C6E60">
            <w:pPr>
              <w:pStyle w:val="PargrafodaLista"/>
              <w:numPr>
                <w:ilvl w:val="0"/>
                <w:numId w:val="225"/>
              </w:numPr>
              <w:spacing w:after="0" w:line="240" w:lineRule="auto"/>
              <w:ind w:left="313" w:hanging="313"/>
              <w:jc w:val="both"/>
              <w:rPr>
                <w:rFonts w:ascii="Times New Roman" w:hAnsi="Times New Roman"/>
                <w:sz w:val="16"/>
                <w:szCs w:val="16"/>
              </w:rPr>
            </w:pPr>
            <w:r w:rsidRPr="00C24515">
              <w:rPr>
                <w:rFonts w:ascii="Times New Roman" w:hAnsi="Times New Roman"/>
                <w:sz w:val="16"/>
                <w:szCs w:val="16"/>
              </w:rPr>
              <w:t>Réduction de la prévalence des maladies d’origines hydriques</w:t>
            </w:r>
          </w:p>
        </w:tc>
        <w:tc>
          <w:tcPr>
            <w:tcW w:w="851" w:type="dxa"/>
            <w:vMerge w:val="restart"/>
            <w:vAlign w:val="center"/>
          </w:tcPr>
          <w:p w:rsidR="0016753A" w:rsidRPr="00C24515" w:rsidRDefault="0016753A" w:rsidP="002C6E60">
            <w:pPr>
              <w:spacing w:after="0" w:line="240" w:lineRule="auto"/>
              <w:jc w:val="center"/>
              <w:rPr>
                <w:rFonts w:ascii="Times New Roman" w:hAnsi="Times New Roman"/>
                <w:sz w:val="16"/>
                <w:szCs w:val="16"/>
              </w:rPr>
            </w:pPr>
            <w:r w:rsidRPr="00C24515">
              <w:rPr>
                <w:rFonts w:ascii="Times New Roman" w:hAnsi="Times New Roman"/>
                <w:sz w:val="16"/>
                <w:szCs w:val="16"/>
              </w:rPr>
              <w:t>Forte</w:t>
            </w:r>
          </w:p>
        </w:tc>
        <w:tc>
          <w:tcPr>
            <w:tcW w:w="283" w:type="dxa"/>
            <w:vMerge w:val="restart"/>
            <w:shd w:val="clear" w:color="auto" w:fill="002060"/>
            <w:vAlign w:val="center"/>
          </w:tcPr>
          <w:p w:rsidR="0016753A" w:rsidRPr="00C24515" w:rsidRDefault="0016753A" w:rsidP="002C6E60">
            <w:pPr>
              <w:spacing w:after="0" w:line="240" w:lineRule="auto"/>
              <w:jc w:val="center"/>
              <w:rPr>
                <w:rFonts w:ascii="Times New Roman" w:hAnsi="Times New Roman"/>
                <w:b/>
                <w:sz w:val="16"/>
                <w:szCs w:val="16"/>
              </w:rPr>
            </w:pPr>
            <w:r w:rsidRPr="00C24515">
              <w:rPr>
                <w:rFonts w:ascii="Times New Roman" w:hAnsi="Times New Roman"/>
                <w:b/>
                <w:sz w:val="16"/>
                <w:szCs w:val="16"/>
              </w:rPr>
              <w:t>5</w:t>
            </w:r>
          </w:p>
        </w:tc>
        <w:tc>
          <w:tcPr>
            <w:tcW w:w="992" w:type="dxa"/>
            <w:vMerge w:val="restart"/>
            <w:vAlign w:val="center"/>
          </w:tcPr>
          <w:p w:rsidR="0016753A" w:rsidRPr="00C24515" w:rsidRDefault="0016753A" w:rsidP="002C6E60">
            <w:pPr>
              <w:spacing w:after="0" w:line="240" w:lineRule="auto"/>
              <w:jc w:val="center"/>
              <w:rPr>
                <w:rFonts w:ascii="Times New Roman" w:hAnsi="Times New Roman"/>
                <w:sz w:val="16"/>
                <w:szCs w:val="16"/>
              </w:rPr>
            </w:pPr>
            <w:r w:rsidRPr="00C24515">
              <w:rPr>
                <w:rFonts w:ascii="Times New Roman" w:hAnsi="Times New Roman"/>
                <w:sz w:val="16"/>
                <w:szCs w:val="16"/>
              </w:rPr>
              <w:t>Régionale</w:t>
            </w:r>
          </w:p>
        </w:tc>
        <w:tc>
          <w:tcPr>
            <w:tcW w:w="284" w:type="dxa"/>
            <w:vMerge w:val="restart"/>
            <w:shd w:val="clear" w:color="auto" w:fill="002060"/>
            <w:vAlign w:val="center"/>
          </w:tcPr>
          <w:p w:rsidR="0016753A" w:rsidRPr="00C24515" w:rsidRDefault="0016753A" w:rsidP="002C6E60">
            <w:pPr>
              <w:spacing w:after="0" w:line="240" w:lineRule="auto"/>
              <w:jc w:val="center"/>
              <w:rPr>
                <w:rFonts w:ascii="Times New Roman" w:hAnsi="Times New Roman"/>
                <w:b/>
                <w:sz w:val="16"/>
                <w:szCs w:val="16"/>
              </w:rPr>
            </w:pPr>
            <w:r w:rsidRPr="00C24515">
              <w:rPr>
                <w:rFonts w:ascii="Times New Roman" w:hAnsi="Times New Roman"/>
                <w:b/>
                <w:sz w:val="16"/>
                <w:szCs w:val="16"/>
              </w:rPr>
              <w:t>5</w:t>
            </w:r>
          </w:p>
        </w:tc>
        <w:tc>
          <w:tcPr>
            <w:tcW w:w="850" w:type="dxa"/>
            <w:vMerge w:val="restart"/>
            <w:vAlign w:val="center"/>
          </w:tcPr>
          <w:p w:rsidR="0016753A" w:rsidRPr="00C24515" w:rsidRDefault="0016753A" w:rsidP="002C6E60">
            <w:pPr>
              <w:spacing w:after="0" w:line="240" w:lineRule="auto"/>
              <w:jc w:val="center"/>
              <w:rPr>
                <w:rFonts w:ascii="Times New Roman" w:hAnsi="Times New Roman"/>
                <w:sz w:val="16"/>
                <w:szCs w:val="16"/>
              </w:rPr>
            </w:pPr>
            <w:r w:rsidRPr="00C24515">
              <w:rPr>
                <w:rFonts w:ascii="Times New Roman" w:hAnsi="Times New Roman"/>
                <w:sz w:val="16"/>
                <w:szCs w:val="16"/>
              </w:rPr>
              <w:t>Longue</w:t>
            </w:r>
          </w:p>
        </w:tc>
        <w:tc>
          <w:tcPr>
            <w:tcW w:w="284" w:type="dxa"/>
            <w:vMerge w:val="restart"/>
            <w:shd w:val="clear" w:color="auto" w:fill="002060"/>
            <w:vAlign w:val="center"/>
          </w:tcPr>
          <w:p w:rsidR="0016753A" w:rsidRPr="00C24515" w:rsidRDefault="0016753A" w:rsidP="002C6E60">
            <w:pPr>
              <w:spacing w:after="0" w:line="240" w:lineRule="auto"/>
              <w:jc w:val="center"/>
              <w:rPr>
                <w:rFonts w:ascii="Times New Roman" w:hAnsi="Times New Roman"/>
                <w:b/>
                <w:sz w:val="16"/>
                <w:szCs w:val="16"/>
              </w:rPr>
            </w:pPr>
            <w:r w:rsidRPr="00C24515">
              <w:rPr>
                <w:rFonts w:ascii="Times New Roman" w:hAnsi="Times New Roman"/>
                <w:b/>
                <w:sz w:val="16"/>
                <w:szCs w:val="16"/>
              </w:rPr>
              <w:t>5</w:t>
            </w:r>
          </w:p>
        </w:tc>
        <w:tc>
          <w:tcPr>
            <w:tcW w:w="850" w:type="dxa"/>
            <w:vMerge w:val="restart"/>
            <w:shd w:val="clear" w:color="auto" w:fill="92D050"/>
            <w:vAlign w:val="center"/>
          </w:tcPr>
          <w:p w:rsidR="0016753A" w:rsidRPr="00C24515" w:rsidRDefault="0016753A" w:rsidP="002C6E60">
            <w:pPr>
              <w:spacing w:after="0" w:line="240" w:lineRule="auto"/>
              <w:jc w:val="center"/>
              <w:rPr>
                <w:rFonts w:ascii="Times New Roman" w:hAnsi="Times New Roman"/>
                <w:b/>
                <w:sz w:val="16"/>
                <w:szCs w:val="16"/>
              </w:rPr>
            </w:pPr>
            <w:r w:rsidRPr="00C24515">
              <w:rPr>
                <w:rFonts w:ascii="Times New Roman" w:hAnsi="Times New Roman"/>
                <w:b/>
                <w:sz w:val="16"/>
                <w:szCs w:val="16"/>
              </w:rPr>
              <w:t>Majeure</w:t>
            </w:r>
          </w:p>
        </w:tc>
        <w:tc>
          <w:tcPr>
            <w:tcW w:w="567" w:type="dxa"/>
            <w:vMerge w:val="restart"/>
            <w:shd w:val="clear" w:color="auto" w:fill="92D050"/>
            <w:vAlign w:val="center"/>
          </w:tcPr>
          <w:p w:rsidR="0016753A" w:rsidRPr="00C24515" w:rsidRDefault="0016753A" w:rsidP="002C6E60">
            <w:pPr>
              <w:spacing w:after="0" w:line="240" w:lineRule="auto"/>
              <w:jc w:val="center"/>
              <w:rPr>
                <w:rFonts w:ascii="Times New Roman" w:hAnsi="Times New Roman"/>
                <w:b/>
                <w:sz w:val="16"/>
                <w:szCs w:val="16"/>
              </w:rPr>
            </w:pPr>
            <w:r w:rsidRPr="00C24515">
              <w:rPr>
                <w:rFonts w:ascii="Times New Roman" w:hAnsi="Times New Roman"/>
                <w:b/>
                <w:sz w:val="16"/>
                <w:szCs w:val="16"/>
              </w:rPr>
              <w:t>125</w:t>
            </w:r>
          </w:p>
        </w:tc>
      </w:tr>
      <w:tr w:rsidR="00C24515" w:rsidRPr="00C24515" w:rsidTr="00CB3670">
        <w:trPr>
          <w:jc w:val="center"/>
        </w:trPr>
        <w:tc>
          <w:tcPr>
            <w:tcW w:w="988" w:type="dxa"/>
            <w:vMerge/>
            <w:shd w:val="clear" w:color="auto" w:fill="BDD6EE"/>
          </w:tcPr>
          <w:p w:rsidR="0016753A" w:rsidRPr="00C24515" w:rsidRDefault="0016753A" w:rsidP="002C6E60">
            <w:pPr>
              <w:spacing w:after="0" w:line="240" w:lineRule="auto"/>
              <w:jc w:val="both"/>
              <w:rPr>
                <w:rFonts w:ascii="Times New Roman" w:hAnsi="Times New Roman"/>
                <w:sz w:val="16"/>
                <w:szCs w:val="16"/>
              </w:rPr>
            </w:pPr>
          </w:p>
        </w:tc>
        <w:tc>
          <w:tcPr>
            <w:tcW w:w="850" w:type="dxa"/>
            <w:vMerge/>
          </w:tcPr>
          <w:p w:rsidR="0016753A" w:rsidRPr="00C24515" w:rsidRDefault="0016753A" w:rsidP="002C6E60">
            <w:pPr>
              <w:spacing w:after="0" w:line="240" w:lineRule="auto"/>
              <w:jc w:val="both"/>
              <w:rPr>
                <w:rFonts w:ascii="Times New Roman" w:hAnsi="Times New Roman"/>
                <w:b/>
                <w:sz w:val="16"/>
                <w:szCs w:val="16"/>
              </w:rPr>
            </w:pPr>
          </w:p>
        </w:tc>
        <w:tc>
          <w:tcPr>
            <w:tcW w:w="4536" w:type="dxa"/>
            <w:gridSpan w:val="4"/>
          </w:tcPr>
          <w:p w:rsidR="0016753A" w:rsidRPr="00C24515" w:rsidRDefault="0016753A" w:rsidP="002C6E60">
            <w:pPr>
              <w:pStyle w:val="PargrafodaLista"/>
              <w:numPr>
                <w:ilvl w:val="0"/>
                <w:numId w:val="225"/>
              </w:numPr>
              <w:spacing w:after="0" w:line="240" w:lineRule="auto"/>
              <w:ind w:left="313" w:hanging="313"/>
              <w:jc w:val="both"/>
              <w:rPr>
                <w:rFonts w:ascii="Times New Roman" w:hAnsi="Times New Roman"/>
                <w:sz w:val="16"/>
                <w:szCs w:val="16"/>
              </w:rPr>
            </w:pPr>
            <w:r w:rsidRPr="00C24515">
              <w:rPr>
                <w:rFonts w:ascii="Times New Roman" w:hAnsi="Times New Roman"/>
                <w:sz w:val="16"/>
                <w:szCs w:val="16"/>
              </w:rPr>
              <w:t>Réduction des déplacements des populations en quête d’eau potable</w:t>
            </w:r>
          </w:p>
        </w:tc>
        <w:tc>
          <w:tcPr>
            <w:tcW w:w="851" w:type="dxa"/>
            <w:vMerge/>
            <w:vAlign w:val="center"/>
          </w:tcPr>
          <w:p w:rsidR="0016753A" w:rsidRPr="00C24515" w:rsidRDefault="0016753A" w:rsidP="002C6E60">
            <w:pPr>
              <w:spacing w:after="0" w:line="240" w:lineRule="auto"/>
              <w:jc w:val="center"/>
              <w:rPr>
                <w:rFonts w:ascii="Times New Roman" w:hAnsi="Times New Roman"/>
                <w:sz w:val="16"/>
                <w:szCs w:val="16"/>
              </w:rPr>
            </w:pPr>
          </w:p>
        </w:tc>
        <w:tc>
          <w:tcPr>
            <w:tcW w:w="283" w:type="dxa"/>
            <w:vMerge/>
            <w:shd w:val="clear" w:color="auto" w:fill="002060"/>
            <w:vAlign w:val="center"/>
          </w:tcPr>
          <w:p w:rsidR="0016753A" w:rsidRPr="00C24515" w:rsidRDefault="0016753A" w:rsidP="002C6E60">
            <w:pPr>
              <w:spacing w:after="0" w:line="240" w:lineRule="auto"/>
              <w:jc w:val="center"/>
              <w:rPr>
                <w:rFonts w:ascii="Times New Roman" w:hAnsi="Times New Roman"/>
                <w:b/>
                <w:sz w:val="16"/>
                <w:szCs w:val="16"/>
              </w:rPr>
            </w:pPr>
          </w:p>
        </w:tc>
        <w:tc>
          <w:tcPr>
            <w:tcW w:w="992" w:type="dxa"/>
            <w:vMerge/>
            <w:vAlign w:val="center"/>
          </w:tcPr>
          <w:p w:rsidR="0016753A" w:rsidRPr="00C24515" w:rsidRDefault="0016753A" w:rsidP="002C6E60">
            <w:pPr>
              <w:spacing w:after="0" w:line="240" w:lineRule="auto"/>
              <w:jc w:val="center"/>
              <w:rPr>
                <w:rFonts w:ascii="Times New Roman" w:hAnsi="Times New Roman"/>
                <w:sz w:val="16"/>
                <w:szCs w:val="16"/>
              </w:rPr>
            </w:pPr>
          </w:p>
        </w:tc>
        <w:tc>
          <w:tcPr>
            <w:tcW w:w="284" w:type="dxa"/>
            <w:vMerge/>
            <w:shd w:val="clear" w:color="auto" w:fill="002060"/>
            <w:vAlign w:val="center"/>
          </w:tcPr>
          <w:p w:rsidR="0016753A" w:rsidRPr="00C24515" w:rsidRDefault="0016753A" w:rsidP="002C6E60">
            <w:pPr>
              <w:spacing w:after="0" w:line="240" w:lineRule="auto"/>
              <w:jc w:val="center"/>
              <w:rPr>
                <w:rFonts w:ascii="Times New Roman" w:hAnsi="Times New Roman"/>
                <w:b/>
                <w:sz w:val="16"/>
                <w:szCs w:val="16"/>
              </w:rPr>
            </w:pPr>
          </w:p>
        </w:tc>
        <w:tc>
          <w:tcPr>
            <w:tcW w:w="850" w:type="dxa"/>
            <w:vMerge/>
            <w:vAlign w:val="center"/>
          </w:tcPr>
          <w:p w:rsidR="0016753A" w:rsidRPr="00C24515" w:rsidRDefault="0016753A" w:rsidP="002C6E60">
            <w:pPr>
              <w:spacing w:after="0" w:line="240" w:lineRule="auto"/>
              <w:jc w:val="center"/>
              <w:rPr>
                <w:rFonts w:ascii="Times New Roman" w:hAnsi="Times New Roman"/>
                <w:sz w:val="16"/>
                <w:szCs w:val="16"/>
              </w:rPr>
            </w:pPr>
          </w:p>
        </w:tc>
        <w:tc>
          <w:tcPr>
            <w:tcW w:w="284" w:type="dxa"/>
            <w:vMerge/>
            <w:shd w:val="clear" w:color="auto" w:fill="002060"/>
            <w:vAlign w:val="center"/>
          </w:tcPr>
          <w:p w:rsidR="0016753A" w:rsidRPr="00C24515" w:rsidRDefault="0016753A" w:rsidP="002C6E60">
            <w:pPr>
              <w:spacing w:after="0" w:line="240" w:lineRule="auto"/>
              <w:jc w:val="center"/>
              <w:rPr>
                <w:rFonts w:ascii="Times New Roman" w:hAnsi="Times New Roman"/>
                <w:b/>
                <w:sz w:val="16"/>
                <w:szCs w:val="16"/>
              </w:rPr>
            </w:pPr>
          </w:p>
        </w:tc>
        <w:tc>
          <w:tcPr>
            <w:tcW w:w="850" w:type="dxa"/>
            <w:vMerge/>
            <w:shd w:val="clear" w:color="auto" w:fill="92D050"/>
            <w:vAlign w:val="center"/>
          </w:tcPr>
          <w:p w:rsidR="0016753A" w:rsidRPr="00C24515" w:rsidRDefault="0016753A" w:rsidP="002C6E60">
            <w:pPr>
              <w:spacing w:after="0" w:line="240" w:lineRule="auto"/>
              <w:jc w:val="center"/>
              <w:rPr>
                <w:rFonts w:ascii="Times New Roman" w:hAnsi="Times New Roman"/>
                <w:b/>
                <w:sz w:val="16"/>
                <w:szCs w:val="16"/>
              </w:rPr>
            </w:pPr>
          </w:p>
        </w:tc>
        <w:tc>
          <w:tcPr>
            <w:tcW w:w="567" w:type="dxa"/>
            <w:vMerge/>
            <w:shd w:val="clear" w:color="auto" w:fill="92D050"/>
            <w:vAlign w:val="center"/>
          </w:tcPr>
          <w:p w:rsidR="0016753A" w:rsidRPr="00C24515" w:rsidRDefault="0016753A" w:rsidP="002C6E60">
            <w:pPr>
              <w:spacing w:after="0" w:line="240" w:lineRule="auto"/>
              <w:jc w:val="center"/>
              <w:rPr>
                <w:rFonts w:ascii="Times New Roman" w:hAnsi="Times New Roman"/>
                <w:b/>
                <w:sz w:val="16"/>
                <w:szCs w:val="16"/>
              </w:rPr>
            </w:pPr>
          </w:p>
        </w:tc>
      </w:tr>
      <w:tr w:rsidR="00C24515" w:rsidRPr="00C24515" w:rsidTr="00CB3670">
        <w:trPr>
          <w:jc w:val="center"/>
        </w:trPr>
        <w:tc>
          <w:tcPr>
            <w:tcW w:w="988" w:type="dxa"/>
            <w:vMerge/>
            <w:shd w:val="clear" w:color="auto" w:fill="BDD6EE"/>
          </w:tcPr>
          <w:p w:rsidR="0016753A" w:rsidRPr="00C24515" w:rsidRDefault="0016753A" w:rsidP="002C6E60">
            <w:pPr>
              <w:spacing w:after="0" w:line="240" w:lineRule="auto"/>
              <w:jc w:val="both"/>
              <w:rPr>
                <w:rFonts w:ascii="Times New Roman" w:hAnsi="Times New Roman"/>
                <w:sz w:val="16"/>
                <w:szCs w:val="16"/>
              </w:rPr>
            </w:pPr>
          </w:p>
        </w:tc>
        <w:tc>
          <w:tcPr>
            <w:tcW w:w="850" w:type="dxa"/>
            <w:vMerge/>
          </w:tcPr>
          <w:p w:rsidR="0016753A" w:rsidRPr="00C24515" w:rsidRDefault="0016753A" w:rsidP="002C6E60">
            <w:pPr>
              <w:tabs>
                <w:tab w:val="left" w:pos="2193"/>
              </w:tabs>
              <w:spacing w:after="0" w:line="240" w:lineRule="auto"/>
              <w:jc w:val="both"/>
              <w:rPr>
                <w:rFonts w:ascii="Times New Roman" w:hAnsi="Times New Roman"/>
                <w:b/>
                <w:sz w:val="16"/>
                <w:szCs w:val="16"/>
              </w:rPr>
            </w:pPr>
          </w:p>
        </w:tc>
        <w:tc>
          <w:tcPr>
            <w:tcW w:w="4536" w:type="dxa"/>
            <w:gridSpan w:val="4"/>
          </w:tcPr>
          <w:p w:rsidR="0016753A" w:rsidRPr="00C24515" w:rsidRDefault="0016753A" w:rsidP="002C6E60">
            <w:pPr>
              <w:pStyle w:val="PargrafodaLista"/>
              <w:numPr>
                <w:ilvl w:val="0"/>
                <w:numId w:val="225"/>
              </w:numPr>
              <w:spacing w:after="0" w:line="240" w:lineRule="auto"/>
              <w:ind w:left="313" w:hanging="313"/>
              <w:jc w:val="both"/>
              <w:rPr>
                <w:rFonts w:ascii="Times New Roman" w:hAnsi="Times New Roman"/>
                <w:sz w:val="16"/>
                <w:szCs w:val="16"/>
              </w:rPr>
            </w:pPr>
            <w:r w:rsidRPr="00C24515">
              <w:rPr>
                <w:rFonts w:ascii="Times New Roman" w:hAnsi="Times New Roman"/>
                <w:sz w:val="16"/>
                <w:szCs w:val="16"/>
              </w:rPr>
              <w:t>Diminution des risques d’accident corporel dus au transport de l’eau sur de longues distances et à des heures matinales ou tardives</w:t>
            </w:r>
          </w:p>
        </w:tc>
        <w:tc>
          <w:tcPr>
            <w:tcW w:w="851" w:type="dxa"/>
            <w:vMerge/>
            <w:shd w:val="clear" w:color="auto" w:fill="FFFFFF"/>
            <w:vAlign w:val="center"/>
          </w:tcPr>
          <w:p w:rsidR="0016753A" w:rsidRPr="00C24515" w:rsidRDefault="0016753A" w:rsidP="002C6E60">
            <w:pPr>
              <w:spacing w:after="0" w:line="240" w:lineRule="auto"/>
              <w:jc w:val="center"/>
              <w:rPr>
                <w:rFonts w:ascii="Times New Roman" w:hAnsi="Times New Roman"/>
                <w:sz w:val="16"/>
                <w:szCs w:val="16"/>
              </w:rPr>
            </w:pPr>
          </w:p>
        </w:tc>
        <w:tc>
          <w:tcPr>
            <w:tcW w:w="283" w:type="dxa"/>
            <w:vMerge/>
            <w:shd w:val="clear" w:color="auto" w:fill="002060"/>
            <w:vAlign w:val="center"/>
          </w:tcPr>
          <w:p w:rsidR="0016753A" w:rsidRPr="00C24515" w:rsidRDefault="0016753A" w:rsidP="002C6E60">
            <w:pPr>
              <w:spacing w:after="0" w:line="240" w:lineRule="auto"/>
              <w:jc w:val="center"/>
              <w:rPr>
                <w:rFonts w:ascii="Times New Roman" w:hAnsi="Times New Roman"/>
                <w:b/>
                <w:sz w:val="16"/>
                <w:szCs w:val="16"/>
              </w:rPr>
            </w:pPr>
          </w:p>
        </w:tc>
        <w:tc>
          <w:tcPr>
            <w:tcW w:w="992" w:type="dxa"/>
            <w:vMerge/>
            <w:shd w:val="clear" w:color="auto" w:fill="FFFFFF"/>
            <w:vAlign w:val="center"/>
          </w:tcPr>
          <w:p w:rsidR="0016753A" w:rsidRPr="00C24515" w:rsidRDefault="0016753A" w:rsidP="002C6E60">
            <w:pPr>
              <w:spacing w:after="0" w:line="240" w:lineRule="auto"/>
              <w:jc w:val="center"/>
              <w:rPr>
                <w:rFonts w:ascii="Times New Roman" w:hAnsi="Times New Roman"/>
                <w:sz w:val="16"/>
                <w:szCs w:val="16"/>
              </w:rPr>
            </w:pPr>
          </w:p>
        </w:tc>
        <w:tc>
          <w:tcPr>
            <w:tcW w:w="284" w:type="dxa"/>
            <w:vMerge/>
            <w:shd w:val="clear" w:color="auto" w:fill="002060"/>
            <w:vAlign w:val="center"/>
          </w:tcPr>
          <w:p w:rsidR="0016753A" w:rsidRPr="00C24515" w:rsidRDefault="0016753A" w:rsidP="002C6E60">
            <w:pPr>
              <w:spacing w:after="0" w:line="240" w:lineRule="auto"/>
              <w:jc w:val="center"/>
              <w:rPr>
                <w:rFonts w:ascii="Times New Roman" w:hAnsi="Times New Roman"/>
                <w:b/>
                <w:sz w:val="16"/>
                <w:szCs w:val="16"/>
              </w:rPr>
            </w:pPr>
          </w:p>
        </w:tc>
        <w:tc>
          <w:tcPr>
            <w:tcW w:w="850" w:type="dxa"/>
            <w:vMerge/>
            <w:shd w:val="clear" w:color="auto" w:fill="FFFFFF"/>
            <w:vAlign w:val="center"/>
          </w:tcPr>
          <w:p w:rsidR="0016753A" w:rsidRPr="00C24515" w:rsidRDefault="0016753A" w:rsidP="002C6E60">
            <w:pPr>
              <w:spacing w:after="0" w:line="240" w:lineRule="auto"/>
              <w:jc w:val="center"/>
              <w:rPr>
                <w:rFonts w:ascii="Times New Roman" w:hAnsi="Times New Roman"/>
                <w:sz w:val="16"/>
                <w:szCs w:val="16"/>
              </w:rPr>
            </w:pPr>
          </w:p>
        </w:tc>
        <w:tc>
          <w:tcPr>
            <w:tcW w:w="284" w:type="dxa"/>
            <w:vMerge/>
            <w:shd w:val="clear" w:color="auto" w:fill="002060"/>
            <w:vAlign w:val="center"/>
          </w:tcPr>
          <w:p w:rsidR="0016753A" w:rsidRPr="00C24515" w:rsidRDefault="0016753A" w:rsidP="002C6E60">
            <w:pPr>
              <w:spacing w:after="0" w:line="240" w:lineRule="auto"/>
              <w:jc w:val="center"/>
              <w:rPr>
                <w:rFonts w:ascii="Times New Roman" w:hAnsi="Times New Roman"/>
                <w:b/>
                <w:sz w:val="16"/>
                <w:szCs w:val="16"/>
              </w:rPr>
            </w:pPr>
          </w:p>
        </w:tc>
        <w:tc>
          <w:tcPr>
            <w:tcW w:w="850" w:type="dxa"/>
            <w:vMerge/>
            <w:shd w:val="clear" w:color="auto" w:fill="92D050"/>
            <w:vAlign w:val="center"/>
          </w:tcPr>
          <w:p w:rsidR="0016753A" w:rsidRPr="00C24515" w:rsidRDefault="0016753A" w:rsidP="002C6E60">
            <w:pPr>
              <w:spacing w:after="0" w:line="240" w:lineRule="auto"/>
              <w:jc w:val="center"/>
              <w:rPr>
                <w:rFonts w:ascii="Times New Roman" w:hAnsi="Times New Roman"/>
                <w:b/>
                <w:sz w:val="16"/>
                <w:szCs w:val="16"/>
              </w:rPr>
            </w:pPr>
          </w:p>
        </w:tc>
        <w:tc>
          <w:tcPr>
            <w:tcW w:w="567" w:type="dxa"/>
            <w:vMerge/>
            <w:shd w:val="clear" w:color="auto" w:fill="92D050"/>
            <w:vAlign w:val="center"/>
          </w:tcPr>
          <w:p w:rsidR="0016753A" w:rsidRPr="00C24515" w:rsidRDefault="0016753A" w:rsidP="002C6E60">
            <w:pPr>
              <w:spacing w:after="0" w:line="240" w:lineRule="auto"/>
              <w:jc w:val="center"/>
              <w:rPr>
                <w:rFonts w:ascii="Times New Roman" w:hAnsi="Times New Roman"/>
                <w:b/>
                <w:sz w:val="16"/>
                <w:szCs w:val="16"/>
              </w:rPr>
            </w:pPr>
          </w:p>
        </w:tc>
      </w:tr>
      <w:tr w:rsidR="00C24515" w:rsidRPr="00C24515" w:rsidTr="00CB3670">
        <w:trPr>
          <w:jc w:val="center"/>
        </w:trPr>
        <w:tc>
          <w:tcPr>
            <w:tcW w:w="988" w:type="dxa"/>
            <w:vMerge/>
            <w:shd w:val="clear" w:color="auto" w:fill="BDD6EE"/>
          </w:tcPr>
          <w:p w:rsidR="0016753A" w:rsidRPr="00C24515" w:rsidRDefault="0016753A" w:rsidP="002C6E60">
            <w:pPr>
              <w:spacing w:after="0" w:line="240" w:lineRule="auto"/>
              <w:jc w:val="both"/>
              <w:rPr>
                <w:rFonts w:ascii="Times New Roman" w:hAnsi="Times New Roman"/>
                <w:sz w:val="16"/>
                <w:szCs w:val="16"/>
              </w:rPr>
            </w:pPr>
          </w:p>
        </w:tc>
        <w:tc>
          <w:tcPr>
            <w:tcW w:w="850" w:type="dxa"/>
            <w:vMerge/>
          </w:tcPr>
          <w:p w:rsidR="0016753A" w:rsidRPr="00C24515" w:rsidRDefault="0016753A" w:rsidP="002C6E60">
            <w:pPr>
              <w:spacing w:after="0" w:line="240" w:lineRule="auto"/>
              <w:jc w:val="both"/>
              <w:rPr>
                <w:rFonts w:ascii="Times New Roman" w:hAnsi="Times New Roman"/>
                <w:b/>
                <w:sz w:val="16"/>
                <w:szCs w:val="16"/>
              </w:rPr>
            </w:pPr>
          </w:p>
        </w:tc>
        <w:tc>
          <w:tcPr>
            <w:tcW w:w="4536" w:type="dxa"/>
            <w:gridSpan w:val="4"/>
          </w:tcPr>
          <w:p w:rsidR="0016753A" w:rsidRPr="00C24515" w:rsidRDefault="0016753A" w:rsidP="002C6E60">
            <w:pPr>
              <w:pStyle w:val="PargrafodaLista"/>
              <w:numPr>
                <w:ilvl w:val="0"/>
                <w:numId w:val="225"/>
              </w:numPr>
              <w:spacing w:after="0" w:line="240" w:lineRule="auto"/>
              <w:ind w:left="313" w:hanging="313"/>
              <w:jc w:val="both"/>
              <w:rPr>
                <w:rFonts w:ascii="Times New Roman" w:hAnsi="Times New Roman"/>
                <w:sz w:val="16"/>
                <w:szCs w:val="16"/>
              </w:rPr>
            </w:pPr>
            <w:r w:rsidRPr="00C24515">
              <w:rPr>
                <w:rFonts w:ascii="Times New Roman" w:hAnsi="Times New Roman"/>
                <w:sz w:val="16"/>
                <w:szCs w:val="16"/>
              </w:rPr>
              <w:t xml:space="preserve">Amélioration du cadre et des conditions de vie des populations mais aussi à une dynamique </w:t>
            </w:r>
            <w:r w:rsidRPr="00C24515">
              <w:rPr>
                <w:rFonts w:ascii="Times New Roman" w:hAnsi="Times New Roman"/>
                <w:sz w:val="16"/>
                <w:szCs w:val="16"/>
                <w:lang w:val="fr-FR"/>
              </w:rPr>
              <w:t xml:space="preserve">de </w:t>
            </w:r>
            <w:r w:rsidRPr="00C24515">
              <w:rPr>
                <w:rFonts w:ascii="Times New Roman" w:hAnsi="Times New Roman"/>
                <w:sz w:val="16"/>
                <w:szCs w:val="16"/>
              </w:rPr>
              <w:t>peuplement des secteurs ou des quartiers</w:t>
            </w:r>
          </w:p>
        </w:tc>
        <w:tc>
          <w:tcPr>
            <w:tcW w:w="851" w:type="dxa"/>
            <w:vMerge w:val="restart"/>
            <w:vAlign w:val="center"/>
          </w:tcPr>
          <w:p w:rsidR="0016753A" w:rsidRPr="00C24515" w:rsidRDefault="0016753A" w:rsidP="002C6E60">
            <w:pPr>
              <w:spacing w:after="0" w:line="240" w:lineRule="auto"/>
              <w:jc w:val="center"/>
              <w:rPr>
                <w:rFonts w:ascii="Times New Roman" w:hAnsi="Times New Roman"/>
                <w:sz w:val="16"/>
                <w:szCs w:val="16"/>
              </w:rPr>
            </w:pPr>
            <w:r w:rsidRPr="00C24515">
              <w:rPr>
                <w:rFonts w:ascii="Times New Roman" w:hAnsi="Times New Roman"/>
                <w:sz w:val="16"/>
                <w:szCs w:val="16"/>
              </w:rPr>
              <w:t>Moyenne</w:t>
            </w:r>
          </w:p>
        </w:tc>
        <w:tc>
          <w:tcPr>
            <w:tcW w:w="283" w:type="dxa"/>
            <w:vMerge w:val="restart"/>
            <w:shd w:val="clear" w:color="auto" w:fill="002060"/>
            <w:vAlign w:val="center"/>
          </w:tcPr>
          <w:p w:rsidR="0016753A" w:rsidRPr="00C24515" w:rsidRDefault="0016753A" w:rsidP="002C6E60">
            <w:pPr>
              <w:spacing w:after="0" w:line="240" w:lineRule="auto"/>
              <w:jc w:val="center"/>
              <w:rPr>
                <w:rFonts w:ascii="Times New Roman" w:hAnsi="Times New Roman"/>
                <w:b/>
                <w:sz w:val="16"/>
                <w:szCs w:val="16"/>
              </w:rPr>
            </w:pPr>
            <w:r w:rsidRPr="00C24515">
              <w:rPr>
                <w:rFonts w:ascii="Times New Roman" w:hAnsi="Times New Roman"/>
                <w:b/>
                <w:sz w:val="16"/>
                <w:szCs w:val="16"/>
              </w:rPr>
              <w:t>3</w:t>
            </w:r>
          </w:p>
        </w:tc>
        <w:tc>
          <w:tcPr>
            <w:tcW w:w="992" w:type="dxa"/>
            <w:vMerge w:val="restart"/>
            <w:vAlign w:val="center"/>
          </w:tcPr>
          <w:p w:rsidR="0016753A" w:rsidRPr="00C24515" w:rsidRDefault="0016753A" w:rsidP="002C6E60">
            <w:pPr>
              <w:spacing w:after="0" w:line="240" w:lineRule="auto"/>
              <w:jc w:val="center"/>
              <w:rPr>
                <w:rFonts w:ascii="Times New Roman" w:hAnsi="Times New Roman"/>
                <w:sz w:val="16"/>
                <w:szCs w:val="16"/>
              </w:rPr>
            </w:pPr>
            <w:r w:rsidRPr="00C24515">
              <w:rPr>
                <w:rFonts w:ascii="Times New Roman" w:hAnsi="Times New Roman"/>
                <w:sz w:val="16"/>
                <w:szCs w:val="16"/>
              </w:rPr>
              <w:t>Locale</w:t>
            </w:r>
          </w:p>
        </w:tc>
        <w:tc>
          <w:tcPr>
            <w:tcW w:w="284" w:type="dxa"/>
            <w:vMerge w:val="restart"/>
            <w:shd w:val="clear" w:color="auto" w:fill="002060"/>
            <w:vAlign w:val="center"/>
          </w:tcPr>
          <w:p w:rsidR="0016753A" w:rsidRPr="00C24515" w:rsidRDefault="0016753A" w:rsidP="002C6E60">
            <w:pPr>
              <w:spacing w:after="0" w:line="240" w:lineRule="auto"/>
              <w:jc w:val="center"/>
              <w:rPr>
                <w:rFonts w:ascii="Times New Roman" w:hAnsi="Times New Roman"/>
                <w:b/>
                <w:sz w:val="16"/>
                <w:szCs w:val="16"/>
              </w:rPr>
            </w:pPr>
            <w:r w:rsidRPr="00C24515">
              <w:rPr>
                <w:rFonts w:ascii="Times New Roman" w:hAnsi="Times New Roman"/>
                <w:b/>
                <w:sz w:val="16"/>
                <w:szCs w:val="16"/>
              </w:rPr>
              <w:t>3</w:t>
            </w:r>
          </w:p>
        </w:tc>
        <w:tc>
          <w:tcPr>
            <w:tcW w:w="850" w:type="dxa"/>
            <w:vMerge w:val="restart"/>
            <w:vAlign w:val="center"/>
          </w:tcPr>
          <w:p w:rsidR="0016753A" w:rsidRPr="00C24515" w:rsidRDefault="0016753A" w:rsidP="002C6E60">
            <w:pPr>
              <w:spacing w:after="0" w:line="240" w:lineRule="auto"/>
              <w:jc w:val="center"/>
              <w:rPr>
                <w:rFonts w:ascii="Times New Roman" w:hAnsi="Times New Roman"/>
                <w:sz w:val="16"/>
                <w:szCs w:val="16"/>
              </w:rPr>
            </w:pPr>
            <w:r w:rsidRPr="00C24515">
              <w:rPr>
                <w:rFonts w:ascii="Times New Roman" w:hAnsi="Times New Roman"/>
                <w:sz w:val="16"/>
                <w:szCs w:val="16"/>
              </w:rPr>
              <w:t>Longue</w:t>
            </w:r>
          </w:p>
        </w:tc>
        <w:tc>
          <w:tcPr>
            <w:tcW w:w="284" w:type="dxa"/>
            <w:vMerge w:val="restart"/>
            <w:shd w:val="clear" w:color="auto" w:fill="002060"/>
            <w:vAlign w:val="center"/>
          </w:tcPr>
          <w:p w:rsidR="0016753A" w:rsidRPr="00C24515" w:rsidRDefault="0016753A" w:rsidP="002C6E60">
            <w:pPr>
              <w:spacing w:after="0" w:line="240" w:lineRule="auto"/>
              <w:jc w:val="center"/>
              <w:rPr>
                <w:rFonts w:ascii="Times New Roman" w:hAnsi="Times New Roman"/>
                <w:b/>
                <w:sz w:val="16"/>
                <w:szCs w:val="16"/>
              </w:rPr>
            </w:pPr>
            <w:r w:rsidRPr="00C24515">
              <w:rPr>
                <w:rFonts w:ascii="Times New Roman" w:hAnsi="Times New Roman"/>
                <w:b/>
                <w:sz w:val="16"/>
                <w:szCs w:val="16"/>
              </w:rPr>
              <w:t>5</w:t>
            </w:r>
          </w:p>
        </w:tc>
        <w:tc>
          <w:tcPr>
            <w:tcW w:w="850" w:type="dxa"/>
            <w:vMerge w:val="restart"/>
            <w:shd w:val="clear" w:color="auto" w:fill="FFE599" w:themeFill="accent4" w:themeFillTint="66"/>
            <w:vAlign w:val="center"/>
          </w:tcPr>
          <w:p w:rsidR="0016753A" w:rsidRPr="00C24515" w:rsidRDefault="0016753A" w:rsidP="002C6E60">
            <w:pPr>
              <w:spacing w:after="0" w:line="240" w:lineRule="auto"/>
              <w:jc w:val="center"/>
              <w:rPr>
                <w:rFonts w:ascii="Times New Roman" w:hAnsi="Times New Roman"/>
                <w:b/>
                <w:sz w:val="16"/>
                <w:szCs w:val="16"/>
              </w:rPr>
            </w:pPr>
            <w:r w:rsidRPr="00C24515">
              <w:rPr>
                <w:rFonts w:ascii="Times New Roman" w:hAnsi="Times New Roman"/>
                <w:b/>
                <w:sz w:val="16"/>
                <w:szCs w:val="16"/>
              </w:rPr>
              <w:t>Moyenne</w:t>
            </w:r>
          </w:p>
        </w:tc>
        <w:tc>
          <w:tcPr>
            <w:tcW w:w="567" w:type="dxa"/>
            <w:vMerge w:val="restart"/>
            <w:shd w:val="clear" w:color="auto" w:fill="FFE599" w:themeFill="accent4" w:themeFillTint="66"/>
            <w:vAlign w:val="center"/>
          </w:tcPr>
          <w:p w:rsidR="0016753A" w:rsidRPr="00C24515" w:rsidRDefault="0016753A" w:rsidP="002C6E60">
            <w:pPr>
              <w:spacing w:after="0" w:line="240" w:lineRule="auto"/>
              <w:jc w:val="center"/>
              <w:rPr>
                <w:rFonts w:ascii="Times New Roman" w:hAnsi="Times New Roman"/>
                <w:b/>
                <w:sz w:val="16"/>
                <w:szCs w:val="16"/>
              </w:rPr>
            </w:pPr>
            <w:r w:rsidRPr="00C24515">
              <w:rPr>
                <w:rFonts w:ascii="Times New Roman" w:hAnsi="Times New Roman"/>
                <w:b/>
                <w:sz w:val="16"/>
                <w:szCs w:val="16"/>
              </w:rPr>
              <w:t>45</w:t>
            </w:r>
          </w:p>
        </w:tc>
      </w:tr>
      <w:tr w:rsidR="00C24515" w:rsidRPr="00C24515" w:rsidTr="00CB3670">
        <w:trPr>
          <w:jc w:val="center"/>
        </w:trPr>
        <w:tc>
          <w:tcPr>
            <w:tcW w:w="988" w:type="dxa"/>
            <w:vMerge/>
            <w:shd w:val="clear" w:color="auto" w:fill="BDD6EE"/>
          </w:tcPr>
          <w:p w:rsidR="0016753A" w:rsidRPr="00C24515" w:rsidRDefault="0016753A" w:rsidP="002C6E60">
            <w:pPr>
              <w:spacing w:after="0" w:line="240" w:lineRule="auto"/>
              <w:jc w:val="both"/>
              <w:rPr>
                <w:rFonts w:ascii="Times New Roman" w:hAnsi="Times New Roman"/>
                <w:sz w:val="16"/>
                <w:szCs w:val="16"/>
              </w:rPr>
            </w:pPr>
          </w:p>
        </w:tc>
        <w:tc>
          <w:tcPr>
            <w:tcW w:w="850" w:type="dxa"/>
            <w:vMerge/>
          </w:tcPr>
          <w:p w:rsidR="0016753A" w:rsidRPr="00C24515" w:rsidRDefault="0016753A" w:rsidP="002C6E60">
            <w:pPr>
              <w:spacing w:after="0" w:line="240" w:lineRule="auto"/>
              <w:jc w:val="both"/>
              <w:rPr>
                <w:rFonts w:ascii="Times New Roman" w:hAnsi="Times New Roman"/>
                <w:b/>
                <w:sz w:val="16"/>
                <w:szCs w:val="16"/>
              </w:rPr>
            </w:pPr>
          </w:p>
        </w:tc>
        <w:tc>
          <w:tcPr>
            <w:tcW w:w="4536" w:type="dxa"/>
            <w:gridSpan w:val="4"/>
          </w:tcPr>
          <w:p w:rsidR="0016753A" w:rsidRPr="00C24515" w:rsidRDefault="0016753A" w:rsidP="002C6E60">
            <w:pPr>
              <w:pStyle w:val="PargrafodaLista"/>
              <w:numPr>
                <w:ilvl w:val="0"/>
                <w:numId w:val="225"/>
              </w:numPr>
              <w:spacing w:after="0" w:line="240" w:lineRule="auto"/>
              <w:ind w:left="313" w:hanging="313"/>
              <w:jc w:val="both"/>
              <w:rPr>
                <w:rFonts w:ascii="Times New Roman" w:hAnsi="Times New Roman"/>
                <w:sz w:val="16"/>
                <w:szCs w:val="16"/>
              </w:rPr>
            </w:pPr>
            <w:r w:rsidRPr="00C24515">
              <w:rPr>
                <w:rFonts w:ascii="Times New Roman" w:hAnsi="Times New Roman"/>
                <w:sz w:val="16"/>
                <w:szCs w:val="16"/>
              </w:rPr>
              <w:t>Réduction des risques de tensions sociales</w:t>
            </w:r>
          </w:p>
        </w:tc>
        <w:tc>
          <w:tcPr>
            <w:tcW w:w="851" w:type="dxa"/>
            <w:vMerge/>
            <w:vAlign w:val="center"/>
          </w:tcPr>
          <w:p w:rsidR="0016753A" w:rsidRPr="00C24515" w:rsidRDefault="0016753A" w:rsidP="002C6E60">
            <w:pPr>
              <w:spacing w:after="0" w:line="240" w:lineRule="auto"/>
              <w:jc w:val="center"/>
              <w:rPr>
                <w:rFonts w:ascii="Times New Roman" w:hAnsi="Times New Roman"/>
                <w:sz w:val="16"/>
                <w:szCs w:val="16"/>
              </w:rPr>
            </w:pPr>
          </w:p>
        </w:tc>
        <w:tc>
          <w:tcPr>
            <w:tcW w:w="283" w:type="dxa"/>
            <w:vMerge/>
            <w:shd w:val="clear" w:color="auto" w:fill="002060"/>
            <w:vAlign w:val="center"/>
          </w:tcPr>
          <w:p w:rsidR="0016753A" w:rsidRPr="00C24515" w:rsidRDefault="0016753A" w:rsidP="002C6E60">
            <w:pPr>
              <w:spacing w:after="0" w:line="240" w:lineRule="auto"/>
              <w:jc w:val="center"/>
              <w:rPr>
                <w:rFonts w:ascii="Times New Roman" w:hAnsi="Times New Roman"/>
                <w:b/>
                <w:sz w:val="16"/>
                <w:szCs w:val="16"/>
              </w:rPr>
            </w:pPr>
          </w:p>
        </w:tc>
        <w:tc>
          <w:tcPr>
            <w:tcW w:w="992" w:type="dxa"/>
            <w:vMerge/>
            <w:vAlign w:val="center"/>
          </w:tcPr>
          <w:p w:rsidR="0016753A" w:rsidRPr="00C24515" w:rsidRDefault="0016753A" w:rsidP="002C6E60">
            <w:pPr>
              <w:spacing w:after="0" w:line="240" w:lineRule="auto"/>
              <w:jc w:val="center"/>
              <w:rPr>
                <w:rFonts w:ascii="Times New Roman" w:hAnsi="Times New Roman"/>
                <w:sz w:val="16"/>
                <w:szCs w:val="16"/>
              </w:rPr>
            </w:pPr>
          </w:p>
        </w:tc>
        <w:tc>
          <w:tcPr>
            <w:tcW w:w="284" w:type="dxa"/>
            <w:vMerge/>
            <w:shd w:val="clear" w:color="auto" w:fill="002060"/>
            <w:vAlign w:val="center"/>
          </w:tcPr>
          <w:p w:rsidR="0016753A" w:rsidRPr="00C24515" w:rsidRDefault="0016753A" w:rsidP="002C6E60">
            <w:pPr>
              <w:spacing w:after="0" w:line="240" w:lineRule="auto"/>
              <w:jc w:val="center"/>
              <w:rPr>
                <w:rFonts w:ascii="Times New Roman" w:hAnsi="Times New Roman"/>
                <w:b/>
                <w:sz w:val="16"/>
                <w:szCs w:val="16"/>
              </w:rPr>
            </w:pPr>
          </w:p>
        </w:tc>
        <w:tc>
          <w:tcPr>
            <w:tcW w:w="850" w:type="dxa"/>
            <w:vMerge/>
            <w:vAlign w:val="center"/>
          </w:tcPr>
          <w:p w:rsidR="0016753A" w:rsidRPr="00C24515" w:rsidRDefault="0016753A" w:rsidP="002C6E60">
            <w:pPr>
              <w:spacing w:after="0" w:line="240" w:lineRule="auto"/>
              <w:jc w:val="center"/>
              <w:rPr>
                <w:rFonts w:ascii="Times New Roman" w:hAnsi="Times New Roman"/>
                <w:sz w:val="16"/>
                <w:szCs w:val="16"/>
              </w:rPr>
            </w:pPr>
          </w:p>
        </w:tc>
        <w:tc>
          <w:tcPr>
            <w:tcW w:w="284" w:type="dxa"/>
            <w:vMerge/>
            <w:shd w:val="clear" w:color="auto" w:fill="002060"/>
            <w:vAlign w:val="center"/>
          </w:tcPr>
          <w:p w:rsidR="0016753A" w:rsidRPr="00C24515" w:rsidRDefault="0016753A" w:rsidP="002C6E60">
            <w:pPr>
              <w:spacing w:after="0" w:line="240" w:lineRule="auto"/>
              <w:jc w:val="center"/>
              <w:rPr>
                <w:rFonts w:ascii="Times New Roman" w:hAnsi="Times New Roman"/>
                <w:b/>
                <w:sz w:val="16"/>
                <w:szCs w:val="16"/>
              </w:rPr>
            </w:pPr>
          </w:p>
        </w:tc>
        <w:tc>
          <w:tcPr>
            <w:tcW w:w="850" w:type="dxa"/>
            <w:vMerge/>
            <w:shd w:val="clear" w:color="auto" w:fill="FFE599" w:themeFill="accent4" w:themeFillTint="66"/>
            <w:vAlign w:val="center"/>
          </w:tcPr>
          <w:p w:rsidR="0016753A" w:rsidRPr="00C24515" w:rsidRDefault="0016753A" w:rsidP="002C6E60">
            <w:pPr>
              <w:spacing w:after="0" w:line="240" w:lineRule="auto"/>
              <w:jc w:val="center"/>
              <w:rPr>
                <w:rFonts w:ascii="Times New Roman" w:hAnsi="Times New Roman"/>
                <w:b/>
                <w:sz w:val="16"/>
                <w:szCs w:val="16"/>
              </w:rPr>
            </w:pPr>
          </w:p>
        </w:tc>
        <w:tc>
          <w:tcPr>
            <w:tcW w:w="567" w:type="dxa"/>
            <w:vMerge/>
            <w:shd w:val="clear" w:color="auto" w:fill="FFE599" w:themeFill="accent4" w:themeFillTint="66"/>
            <w:vAlign w:val="center"/>
          </w:tcPr>
          <w:p w:rsidR="0016753A" w:rsidRPr="00C24515" w:rsidRDefault="0016753A" w:rsidP="002C6E60">
            <w:pPr>
              <w:spacing w:after="0" w:line="240" w:lineRule="auto"/>
              <w:jc w:val="center"/>
              <w:rPr>
                <w:rFonts w:ascii="Times New Roman" w:hAnsi="Times New Roman"/>
                <w:b/>
                <w:sz w:val="16"/>
                <w:szCs w:val="16"/>
              </w:rPr>
            </w:pPr>
          </w:p>
        </w:tc>
      </w:tr>
      <w:tr w:rsidR="00C24515" w:rsidRPr="00C24515" w:rsidTr="00CB3670">
        <w:trPr>
          <w:jc w:val="center"/>
        </w:trPr>
        <w:tc>
          <w:tcPr>
            <w:tcW w:w="988" w:type="dxa"/>
            <w:vMerge/>
            <w:shd w:val="clear" w:color="auto" w:fill="BDD6EE"/>
          </w:tcPr>
          <w:p w:rsidR="0016753A" w:rsidRPr="00C24515" w:rsidRDefault="0016753A" w:rsidP="002C6E60">
            <w:pPr>
              <w:spacing w:after="0" w:line="240" w:lineRule="auto"/>
              <w:jc w:val="both"/>
              <w:rPr>
                <w:rFonts w:ascii="Times New Roman" w:hAnsi="Times New Roman"/>
                <w:sz w:val="16"/>
                <w:szCs w:val="16"/>
              </w:rPr>
            </w:pPr>
          </w:p>
        </w:tc>
        <w:tc>
          <w:tcPr>
            <w:tcW w:w="850" w:type="dxa"/>
            <w:vMerge/>
          </w:tcPr>
          <w:p w:rsidR="0016753A" w:rsidRPr="00C24515" w:rsidRDefault="0016753A" w:rsidP="002C6E60">
            <w:pPr>
              <w:spacing w:after="0" w:line="240" w:lineRule="auto"/>
              <w:jc w:val="both"/>
              <w:rPr>
                <w:rFonts w:ascii="Times New Roman" w:hAnsi="Times New Roman"/>
                <w:b/>
                <w:sz w:val="16"/>
                <w:szCs w:val="16"/>
              </w:rPr>
            </w:pPr>
          </w:p>
        </w:tc>
        <w:tc>
          <w:tcPr>
            <w:tcW w:w="4536" w:type="dxa"/>
            <w:gridSpan w:val="4"/>
          </w:tcPr>
          <w:p w:rsidR="0016753A" w:rsidRPr="00C24515" w:rsidRDefault="0016753A" w:rsidP="002C6E60">
            <w:pPr>
              <w:pStyle w:val="PargrafodaLista"/>
              <w:numPr>
                <w:ilvl w:val="0"/>
                <w:numId w:val="225"/>
              </w:numPr>
              <w:spacing w:after="0" w:line="240" w:lineRule="auto"/>
              <w:ind w:left="313" w:hanging="313"/>
              <w:jc w:val="both"/>
              <w:rPr>
                <w:rFonts w:ascii="Times New Roman" w:hAnsi="Times New Roman"/>
                <w:sz w:val="16"/>
                <w:szCs w:val="16"/>
              </w:rPr>
            </w:pPr>
            <w:r w:rsidRPr="00C24515">
              <w:rPr>
                <w:rFonts w:ascii="Times New Roman" w:hAnsi="Times New Roman"/>
                <w:sz w:val="16"/>
                <w:szCs w:val="16"/>
              </w:rPr>
              <w:t>Création d’emploi dans les localités concernées</w:t>
            </w:r>
          </w:p>
        </w:tc>
        <w:tc>
          <w:tcPr>
            <w:tcW w:w="851" w:type="dxa"/>
            <w:vMerge w:val="restart"/>
            <w:vAlign w:val="center"/>
          </w:tcPr>
          <w:p w:rsidR="0016753A" w:rsidRPr="00C24515" w:rsidRDefault="0016753A" w:rsidP="002C6E60">
            <w:pPr>
              <w:spacing w:after="0" w:line="240" w:lineRule="auto"/>
              <w:jc w:val="center"/>
              <w:rPr>
                <w:rFonts w:ascii="Times New Roman" w:hAnsi="Times New Roman"/>
                <w:sz w:val="16"/>
                <w:szCs w:val="16"/>
              </w:rPr>
            </w:pPr>
            <w:r w:rsidRPr="00C24515">
              <w:rPr>
                <w:rFonts w:ascii="Times New Roman" w:hAnsi="Times New Roman"/>
                <w:sz w:val="16"/>
                <w:szCs w:val="16"/>
              </w:rPr>
              <w:t>Moyenne</w:t>
            </w:r>
          </w:p>
        </w:tc>
        <w:tc>
          <w:tcPr>
            <w:tcW w:w="283" w:type="dxa"/>
            <w:vMerge w:val="restart"/>
            <w:shd w:val="clear" w:color="auto" w:fill="002060"/>
            <w:vAlign w:val="center"/>
          </w:tcPr>
          <w:p w:rsidR="0016753A" w:rsidRPr="00C24515" w:rsidRDefault="0016753A" w:rsidP="002C6E60">
            <w:pPr>
              <w:spacing w:after="0" w:line="240" w:lineRule="auto"/>
              <w:jc w:val="center"/>
              <w:rPr>
                <w:rFonts w:ascii="Times New Roman" w:hAnsi="Times New Roman"/>
                <w:b/>
                <w:sz w:val="16"/>
                <w:szCs w:val="16"/>
              </w:rPr>
            </w:pPr>
            <w:r w:rsidRPr="00C24515">
              <w:rPr>
                <w:rFonts w:ascii="Times New Roman" w:hAnsi="Times New Roman"/>
                <w:b/>
                <w:sz w:val="16"/>
                <w:szCs w:val="16"/>
              </w:rPr>
              <w:t>3</w:t>
            </w:r>
          </w:p>
        </w:tc>
        <w:tc>
          <w:tcPr>
            <w:tcW w:w="992" w:type="dxa"/>
            <w:vMerge w:val="restart"/>
            <w:vAlign w:val="center"/>
          </w:tcPr>
          <w:p w:rsidR="0016753A" w:rsidRPr="00C24515" w:rsidRDefault="0016753A" w:rsidP="002C6E60">
            <w:pPr>
              <w:spacing w:after="0" w:line="240" w:lineRule="auto"/>
              <w:jc w:val="center"/>
              <w:rPr>
                <w:rFonts w:ascii="Times New Roman" w:hAnsi="Times New Roman"/>
                <w:sz w:val="16"/>
                <w:szCs w:val="16"/>
              </w:rPr>
            </w:pPr>
            <w:r w:rsidRPr="00C24515">
              <w:rPr>
                <w:rFonts w:ascii="Times New Roman" w:hAnsi="Times New Roman"/>
                <w:sz w:val="16"/>
                <w:szCs w:val="16"/>
              </w:rPr>
              <w:t>Locale</w:t>
            </w:r>
          </w:p>
        </w:tc>
        <w:tc>
          <w:tcPr>
            <w:tcW w:w="284" w:type="dxa"/>
            <w:vMerge w:val="restart"/>
            <w:shd w:val="clear" w:color="auto" w:fill="002060"/>
            <w:vAlign w:val="center"/>
          </w:tcPr>
          <w:p w:rsidR="0016753A" w:rsidRPr="00C24515" w:rsidRDefault="0016753A" w:rsidP="002C6E60">
            <w:pPr>
              <w:spacing w:after="0" w:line="240" w:lineRule="auto"/>
              <w:jc w:val="center"/>
              <w:rPr>
                <w:rFonts w:ascii="Times New Roman" w:hAnsi="Times New Roman"/>
                <w:b/>
                <w:sz w:val="16"/>
                <w:szCs w:val="16"/>
              </w:rPr>
            </w:pPr>
            <w:r w:rsidRPr="00C24515">
              <w:rPr>
                <w:rFonts w:ascii="Times New Roman" w:hAnsi="Times New Roman"/>
                <w:b/>
                <w:sz w:val="16"/>
                <w:szCs w:val="16"/>
              </w:rPr>
              <w:t>3</w:t>
            </w:r>
          </w:p>
        </w:tc>
        <w:tc>
          <w:tcPr>
            <w:tcW w:w="850" w:type="dxa"/>
            <w:vMerge w:val="restart"/>
            <w:vAlign w:val="center"/>
          </w:tcPr>
          <w:p w:rsidR="0016753A" w:rsidRPr="00C24515" w:rsidRDefault="0016753A" w:rsidP="002C6E60">
            <w:pPr>
              <w:spacing w:after="0" w:line="240" w:lineRule="auto"/>
              <w:jc w:val="center"/>
              <w:rPr>
                <w:rFonts w:ascii="Times New Roman" w:hAnsi="Times New Roman"/>
                <w:sz w:val="16"/>
                <w:szCs w:val="16"/>
              </w:rPr>
            </w:pPr>
            <w:r w:rsidRPr="00C24515">
              <w:rPr>
                <w:rFonts w:ascii="Times New Roman" w:hAnsi="Times New Roman"/>
                <w:sz w:val="16"/>
                <w:szCs w:val="16"/>
              </w:rPr>
              <w:t>Longue</w:t>
            </w:r>
          </w:p>
        </w:tc>
        <w:tc>
          <w:tcPr>
            <w:tcW w:w="284" w:type="dxa"/>
            <w:vMerge w:val="restart"/>
            <w:shd w:val="clear" w:color="auto" w:fill="002060"/>
            <w:vAlign w:val="center"/>
          </w:tcPr>
          <w:p w:rsidR="0016753A" w:rsidRPr="00C24515" w:rsidRDefault="0016753A" w:rsidP="002C6E60">
            <w:pPr>
              <w:spacing w:after="0" w:line="240" w:lineRule="auto"/>
              <w:jc w:val="center"/>
              <w:rPr>
                <w:rFonts w:ascii="Times New Roman" w:hAnsi="Times New Roman"/>
                <w:b/>
                <w:sz w:val="16"/>
                <w:szCs w:val="16"/>
              </w:rPr>
            </w:pPr>
            <w:r w:rsidRPr="00C24515">
              <w:rPr>
                <w:rFonts w:ascii="Times New Roman" w:hAnsi="Times New Roman"/>
                <w:b/>
                <w:sz w:val="16"/>
                <w:szCs w:val="16"/>
              </w:rPr>
              <w:t>5</w:t>
            </w:r>
          </w:p>
        </w:tc>
        <w:tc>
          <w:tcPr>
            <w:tcW w:w="850" w:type="dxa"/>
            <w:vMerge w:val="restart"/>
            <w:shd w:val="clear" w:color="auto" w:fill="FFE599" w:themeFill="accent4" w:themeFillTint="66"/>
            <w:vAlign w:val="center"/>
          </w:tcPr>
          <w:p w:rsidR="0016753A" w:rsidRPr="00C24515" w:rsidRDefault="0016753A" w:rsidP="002C6E60">
            <w:pPr>
              <w:spacing w:after="0" w:line="240" w:lineRule="auto"/>
              <w:jc w:val="center"/>
              <w:rPr>
                <w:rFonts w:ascii="Times New Roman" w:hAnsi="Times New Roman"/>
                <w:b/>
                <w:sz w:val="16"/>
                <w:szCs w:val="16"/>
              </w:rPr>
            </w:pPr>
            <w:r w:rsidRPr="00C24515">
              <w:rPr>
                <w:rFonts w:ascii="Times New Roman" w:hAnsi="Times New Roman"/>
                <w:b/>
                <w:sz w:val="16"/>
                <w:szCs w:val="16"/>
              </w:rPr>
              <w:t>Moyenne</w:t>
            </w:r>
          </w:p>
        </w:tc>
        <w:tc>
          <w:tcPr>
            <w:tcW w:w="567" w:type="dxa"/>
            <w:vMerge w:val="restart"/>
            <w:shd w:val="clear" w:color="auto" w:fill="FFE599" w:themeFill="accent4" w:themeFillTint="66"/>
            <w:vAlign w:val="center"/>
          </w:tcPr>
          <w:p w:rsidR="0016753A" w:rsidRPr="00C24515" w:rsidRDefault="0016753A" w:rsidP="002C6E60">
            <w:pPr>
              <w:spacing w:after="0" w:line="240" w:lineRule="auto"/>
              <w:jc w:val="center"/>
              <w:rPr>
                <w:rFonts w:ascii="Times New Roman" w:hAnsi="Times New Roman"/>
                <w:b/>
                <w:sz w:val="16"/>
                <w:szCs w:val="16"/>
              </w:rPr>
            </w:pPr>
            <w:r w:rsidRPr="00C24515">
              <w:rPr>
                <w:rFonts w:ascii="Times New Roman" w:hAnsi="Times New Roman"/>
                <w:b/>
                <w:sz w:val="16"/>
                <w:szCs w:val="16"/>
              </w:rPr>
              <w:t>45</w:t>
            </w:r>
          </w:p>
        </w:tc>
      </w:tr>
      <w:tr w:rsidR="00C24515" w:rsidRPr="00C24515" w:rsidTr="00CB3670">
        <w:trPr>
          <w:jc w:val="center"/>
        </w:trPr>
        <w:tc>
          <w:tcPr>
            <w:tcW w:w="988" w:type="dxa"/>
            <w:vMerge/>
            <w:shd w:val="clear" w:color="auto" w:fill="BDD6EE"/>
          </w:tcPr>
          <w:p w:rsidR="0016753A" w:rsidRPr="00C24515" w:rsidRDefault="0016753A" w:rsidP="002C6E60">
            <w:pPr>
              <w:spacing w:after="0" w:line="240" w:lineRule="auto"/>
              <w:jc w:val="both"/>
              <w:rPr>
                <w:rFonts w:ascii="Times New Roman" w:hAnsi="Times New Roman"/>
                <w:sz w:val="16"/>
                <w:szCs w:val="16"/>
              </w:rPr>
            </w:pPr>
          </w:p>
        </w:tc>
        <w:tc>
          <w:tcPr>
            <w:tcW w:w="850" w:type="dxa"/>
            <w:vMerge/>
          </w:tcPr>
          <w:p w:rsidR="0016753A" w:rsidRPr="00C24515" w:rsidRDefault="0016753A" w:rsidP="002C6E60">
            <w:pPr>
              <w:spacing w:after="0" w:line="240" w:lineRule="auto"/>
              <w:jc w:val="both"/>
              <w:rPr>
                <w:rFonts w:ascii="Times New Roman" w:hAnsi="Times New Roman"/>
                <w:b/>
                <w:sz w:val="16"/>
                <w:szCs w:val="16"/>
              </w:rPr>
            </w:pPr>
          </w:p>
        </w:tc>
        <w:tc>
          <w:tcPr>
            <w:tcW w:w="4536" w:type="dxa"/>
            <w:gridSpan w:val="4"/>
          </w:tcPr>
          <w:p w:rsidR="0016753A" w:rsidRPr="00C24515" w:rsidRDefault="0016753A" w:rsidP="002C6E60">
            <w:pPr>
              <w:pStyle w:val="PargrafodaLista"/>
              <w:numPr>
                <w:ilvl w:val="0"/>
                <w:numId w:val="225"/>
              </w:numPr>
              <w:spacing w:after="0" w:line="240" w:lineRule="auto"/>
              <w:ind w:left="313" w:hanging="313"/>
              <w:jc w:val="both"/>
              <w:rPr>
                <w:rFonts w:ascii="Times New Roman" w:hAnsi="Times New Roman"/>
                <w:sz w:val="16"/>
                <w:szCs w:val="16"/>
              </w:rPr>
            </w:pPr>
            <w:r w:rsidRPr="00C24515">
              <w:rPr>
                <w:rFonts w:ascii="Times New Roman" w:hAnsi="Times New Roman"/>
                <w:sz w:val="16"/>
                <w:szCs w:val="16"/>
              </w:rPr>
              <w:t>Augmentation des gains financiers pour les propriétaires et promoteurs immobiliers</w:t>
            </w:r>
          </w:p>
        </w:tc>
        <w:tc>
          <w:tcPr>
            <w:tcW w:w="851" w:type="dxa"/>
            <w:vMerge/>
            <w:vAlign w:val="center"/>
          </w:tcPr>
          <w:p w:rsidR="0016753A" w:rsidRPr="00C24515" w:rsidRDefault="0016753A" w:rsidP="002C6E60">
            <w:pPr>
              <w:spacing w:after="0" w:line="240" w:lineRule="auto"/>
              <w:jc w:val="center"/>
              <w:rPr>
                <w:rFonts w:ascii="Times New Roman" w:hAnsi="Times New Roman"/>
                <w:sz w:val="16"/>
                <w:szCs w:val="16"/>
              </w:rPr>
            </w:pPr>
          </w:p>
        </w:tc>
        <w:tc>
          <w:tcPr>
            <w:tcW w:w="283" w:type="dxa"/>
            <w:vMerge/>
            <w:shd w:val="clear" w:color="auto" w:fill="002060"/>
            <w:vAlign w:val="center"/>
          </w:tcPr>
          <w:p w:rsidR="0016753A" w:rsidRPr="00C24515" w:rsidRDefault="0016753A" w:rsidP="002C6E60">
            <w:pPr>
              <w:spacing w:after="0" w:line="240" w:lineRule="auto"/>
              <w:jc w:val="center"/>
              <w:rPr>
                <w:rFonts w:ascii="Times New Roman" w:hAnsi="Times New Roman"/>
                <w:b/>
                <w:sz w:val="16"/>
                <w:szCs w:val="16"/>
              </w:rPr>
            </w:pPr>
          </w:p>
        </w:tc>
        <w:tc>
          <w:tcPr>
            <w:tcW w:w="992" w:type="dxa"/>
            <w:vMerge/>
            <w:vAlign w:val="center"/>
          </w:tcPr>
          <w:p w:rsidR="0016753A" w:rsidRPr="00C24515" w:rsidRDefault="0016753A" w:rsidP="002C6E60">
            <w:pPr>
              <w:spacing w:after="0" w:line="240" w:lineRule="auto"/>
              <w:jc w:val="center"/>
              <w:rPr>
                <w:rFonts w:ascii="Times New Roman" w:hAnsi="Times New Roman"/>
                <w:sz w:val="16"/>
                <w:szCs w:val="16"/>
              </w:rPr>
            </w:pPr>
          </w:p>
        </w:tc>
        <w:tc>
          <w:tcPr>
            <w:tcW w:w="284" w:type="dxa"/>
            <w:vMerge/>
            <w:shd w:val="clear" w:color="auto" w:fill="002060"/>
            <w:vAlign w:val="center"/>
          </w:tcPr>
          <w:p w:rsidR="0016753A" w:rsidRPr="00C24515" w:rsidRDefault="0016753A" w:rsidP="002C6E60">
            <w:pPr>
              <w:spacing w:after="0" w:line="240" w:lineRule="auto"/>
              <w:jc w:val="center"/>
              <w:rPr>
                <w:rFonts w:ascii="Times New Roman" w:hAnsi="Times New Roman"/>
                <w:b/>
                <w:sz w:val="16"/>
                <w:szCs w:val="16"/>
              </w:rPr>
            </w:pPr>
          </w:p>
        </w:tc>
        <w:tc>
          <w:tcPr>
            <w:tcW w:w="850" w:type="dxa"/>
            <w:vMerge/>
            <w:vAlign w:val="center"/>
          </w:tcPr>
          <w:p w:rsidR="0016753A" w:rsidRPr="00C24515" w:rsidRDefault="0016753A" w:rsidP="002C6E60">
            <w:pPr>
              <w:spacing w:after="0" w:line="240" w:lineRule="auto"/>
              <w:jc w:val="center"/>
              <w:rPr>
                <w:rFonts w:ascii="Times New Roman" w:hAnsi="Times New Roman"/>
                <w:sz w:val="16"/>
                <w:szCs w:val="16"/>
              </w:rPr>
            </w:pPr>
          </w:p>
        </w:tc>
        <w:tc>
          <w:tcPr>
            <w:tcW w:w="284" w:type="dxa"/>
            <w:vMerge/>
            <w:shd w:val="clear" w:color="auto" w:fill="002060"/>
            <w:vAlign w:val="center"/>
          </w:tcPr>
          <w:p w:rsidR="0016753A" w:rsidRPr="00C24515" w:rsidRDefault="0016753A" w:rsidP="002C6E60">
            <w:pPr>
              <w:spacing w:after="0" w:line="240" w:lineRule="auto"/>
              <w:jc w:val="center"/>
              <w:rPr>
                <w:rFonts w:ascii="Times New Roman" w:hAnsi="Times New Roman"/>
                <w:b/>
                <w:sz w:val="16"/>
                <w:szCs w:val="16"/>
              </w:rPr>
            </w:pPr>
          </w:p>
        </w:tc>
        <w:tc>
          <w:tcPr>
            <w:tcW w:w="850" w:type="dxa"/>
            <w:vMerge/>
            <w:shd w:val="clear" w:color="auto" w:fill="FFE599" w:themeFill="accent4" w:themeFillTint="66"/>
            <w:vAlign w:val="center"/>
          </w:tcPr>
          <w:p w:rsidR="0016753A" w:rsidRPr="00C24515" w:rsidRDefault="0016753A" w:rsidP="002C6E60">
            <w:pPr>
              <w:spacing w:after="0" w:line="240" w:lineRule="auto"/>
              <w:jc w:val="center"/>
              <w:rPr>
                <w:rFonts w:ascii="Times New Roman" w:hAnsi="Times New Roman"/>
                <w:b/>
                <w:sz w:val="16"/>
                <w:szCs w:val="16"/>
              </w:rPr>
            </w:pPr>
          </w:p>
        </w:tc>
        <w:tc>
          <w:tcPr>
            <w:tcW w:w="567" w:type="dxa"/>
            <w:vMerge/>
            <w:shd w:val="clear" w:color="auto" w:fill="FFE599" w:themeFill="accent4" w:themeFillTint="66"/>
            <w:vAlign w:val="center"/>
          </w:tcPr>
          <w:p w:rsidR="0016753A" w:rsidRPr="00C24515" w:rsidRDefault="0016753A" w:rsidP="002C6E60">
            <w:pPr>
              <w:spacing w:after="0" w:line="240" w:lineRule="auto"/>
              <w:jc w:val="center"/>
              <w:rPr>
                <w:rFonts w:ascii="Times New Roman" w:hAnsi="Times New Roman"/>
                <w:b/>
                <w:sz w:val="16"/>
                <w:szCs w:val="16"/>
              </w:rPr>
            </w:pPr>
          </w:p>
        </w:tc>
      </w:tr>
      <w:tr w:rsidR="00C24515" w:rsidRPr="00C24515" w:rsidTr="00CB3670">
        <w:trPr>
          <w:jc w:val="center"/>
        </w:trPr>
        <w:tc>
          <w:tcPr>
            <w:tcW w:w="988" w:type="dxa"/>
            <w:vMerge/>
            <w:shd w:val="clear" w:color="auto" w:fill="BDD6EE"/>
          </w:tcPr>
          <w:p w:rsidR="0016753A" w:rsidRPr="00C24515" w:rsidRDefault="0016753A" w:rsidP="002C6E60">
            <w:pPr>
              <w:spacing w:after="0" w:line="240" w:lineRule="auto"/>
              <w:jc w:val="both"/>
              <w:rPr>
                <w:rFonts w:ascii="Times New Roman" w:hAnsi="Times New Roman"/>
                <w:sz w:val="16"/>
                <w:szCs w:val="16"/>
              </w:rPr>
            </w:pPr>
          </w:p>
        </w:tc>
        <w:tc>
          <w:tcPr>
            <w:tcW w:w="850" w:type="dxa"/>
            <w:vMerge/>
          </w:tcPr>
          <w:p w:rsidR="0016753A" w:rsidRPr="00C24515" w:rsidRDefault="0016753A" w:rsidP="002C6E60">
            <w:pPr>
              <w:spacing w:after="0" w:line="240" w:lineRule="auto"/>
              <w:jc w:val="both"/>
              <w:rPr>
                <w:rFonts w:ascii="Times New Roman" w:hAnsi="Times New Roman"/>
                <w:b/>
                <w:sz w:val="16"/>
                <w:szCs w:val="16"/>
              </w:rPr>
            </w:pPr>
          </w:p>
        </w:tc>
        <w:tc>
          <w:tcPr>
            <w:tcW w:w="4536" w:type="dxa"/>
            <w:gridSpan w:val="4"/>
          </w:tcPr>
          <w:p w:rsidR="0016753A" w:rsidRPr="00C24515" w:rsidRDefault="0016753A" w:rsidP="002C6E60">
            <w:pPr>
              <w:pStyle w:val="PargrafodaLista"/>
              <w:numPr>
                <w:ilvl w:val="0"/>
                <w:numId w:val="225"/>
              </w:numPr>
              <w:spacing w:after="0" w:line="240" w:lineRule="auto"/>
              <w:ind w:left="313" w:hanging="313"/>
              <w:jc w:val="both"/>
              <w:rPr>
                <w:rFonts w:ascii="Times New Roman" w:hAnsi="Times New Roman"/>
                <w:sz w:val="16"/>
                <w:szCs w:val="16"/>
              </w:rPr>
            </w:pPr>
            <w:r w:rsidRPr="00C24515">
              <w:rPr>
                <w:rFonts w:ascii="Times New Roman" w:hAnsi="Times New Roman"/>
                <w:sz w:val="16"/>
                <w:szCs w:val="16"/>
              </w:rPr>
              <w:t>Création et/ou le développement des activités liées à la vente d’eau et de glaces</w:t>
            </w:r>
          </w:p>
        </w:tc>
        <w:tc>
          <w:tcPr>
            <w:tcW w:w="851" w:type="dxa"/>
            <w:vMerge/>
            <w:vAlign w:val="center"/>
          </w:tcPr>
          <w:p w:rsidR="0016753A" w:rsidRPr="00C24515" w:rsidRDefault="0016753A" w:rsidP="002C6E60">
            <w:pPr>
              <w:spacing w:after="0" w:line="240" w:lineRule="auto"/>
              <w:jc w:val="center"/>
              <w:rPr>
                <w:rFonts w:ascii="Times New Roman" w:hAnsi="Times New Roman"/>
                <w:sz w:val="16"/>
                <w:szCs w:val="16"/>
              </w:rPr>
            </w:pPr>
          </w:p>
        </w:tc>
        <w:tc>
          <w:tcPr>
            <w:tcW w:w="283" w:type="dxa"/>
            <w:vMerge/>
            <w:shd w:val="clear" w:color="auto" w:fill="002060"/>
            <w:vAlign w:val="center"/>
          </w:tcPr>
          <w:p w:rsidR="0016753A" w:rsidRPr="00C24515" w:rsidRDefault="0016753A" w:rsidP="002C6E60">
            <w:pPr>
              <w:spacing w:after="0" w:line="240" w:lineRule="auto"/>
              <w:jc w:val="center"/>
              <w:rPr>
                <w:rFonts w:ascii="Times New Roman" w:hAnsi="Times New Roman"/>
                <w:b/>
                <w:sz w:val="16"/>
                <w:szCs w:val="16"/>
              </w:rPr>
            </w:pPr>
          </w:p>
        </w:tc>
        <w:tc>
          <w:tcPr>
            <w:tcW w:w="992" w:type="dxa"/>
            <w:vMerge/>
            <w:vAlign w:val="center"/>
          </w:tcPr>
          <w:p w:rsidR="0016753A" w:rsidRPr="00C24515" w:rsidRDefault="0016753A" w:rsidP="002C6E60">
            <w:pPr>
              <w:spacing w:after="0" w:line="240" w:lineRule="auto"/>
              <w:jc w:val="center"/>
              <w:rPr>
                <w:rFonts w:ascii="Times New Roman" w:hAnsi="Times New Roman"/>
                <w:sz w:val="16"/>
                <w:szCs w:val="16"/>
              </w:rPr>
            </w:pPr>
          </w:p>
        </w:tc>
        <w:tc>
          <w:tcPr>
            <w:tcW w:w="284" w:type="dxa"/>
            <w:vMerge/>
            <w:shd w:val="clear" w:color="auto" w:fill="002060"/>
            <w:vAlign w:val="center"/>
          </w:tcPr>
          <w:p w:rsidR="0016753A" w:rsidRPr="00C24515" w:rsidRDefault="0016753A" w:rsidP="002C6E60">
            <w:pPr>
              <w:spacing w:after="0" w:line="240" w:lineRule="auto"/>
              <w:jc w:val="center"/>
              <w:rPr>
                <w:rFonts w:ascii="Times New Roman" w:hAnsi="Times New Roman"/>
                <w:b/>
                <w:sz w:val="16"/>
                <w:szCs w:val="16"/>
              </w:rPr>
            </w:pPr>
          </w:p>
        </w:tc>
        <w:tc>
          <w:tcPr>
            <w:tcW w:w="850" w:type="dxa"/>
            <w:vMerge/>
            <w:vAlign w:val="center"/>
          </w:tcPr>
          <w:p w:rsidR="0016753A" w:rsidRPr="00C24515" w:rsidRDefault="0016753A" w:rsidP="002C6E60">
            <w:pPr>
              <w:spacing w:after="0" w:line="240" w:lineRule="auto"/>
              <w:jc w:val="center"/>
              <w:rPr>
                <w:rFonts w:ascii="Times New Roman" w:hAnsi="Times New Roman"/>
                <w:sz w:val="16"/>
                <w:szCs w:val="16"/>
              </w:rPr>
            </w:pPr>
          </w:p>
        </w:tc>
        <w:tc>
          <w:tcPr>
            <w:tcW w:w="284" w:type="dxa"/>
            <w:vMerge/>
            <w:shd w:val="clear" w:color="auto" w:fill="002060"/>
            <w:vAlign w:val="center"/>
          </w:tcPr>
          <w:p w:rsidR="0016753A" w:rsidRPr="00C24515" w:rsidRDefault="0016753A" w:rsidP="002C6E60">
            <w:pPr>
              <w:spacing w:after="0" w:line="240" w:lineRule="auto"/>
              <w:jc w:val="center"/>
              <w:rPr>
                <w:rFonts w:ascii="Times New Roman" w:hAnsi="Times New Roman"/>
                <w:b/>
                <w:sz w:val="16"/>
                <w:szCs w:val="16"/>
              </w:rPr>
            </w:pPr>
          </w:p>
        </w:tc>
        <w:tc>
          <w:tcPr>
            <w:tcW w:w="850" w:type="dxa"/>
            <w:vMerge/>
            <w:shd w:val="clear" w:color="auto" w:fill="FFE599" w:themeFill="accent4" w:themeFillTint="66"/>
            <w:vAlign w:val="center"/>
          </w:tcPr>
          <w:p w:rsidR="0016753A" w:rsidRPr="00C24515" w:rsidRDefault="0016753A" w:rsidP="002C6E60">
            <w:pPr>
              <w:spacing w:after="0" w:line="240" w:lineRule="auto"/>
              <w:jc w:val="center"/>
              <w:rPr>
                <w:rFonts w:ascii="Times New Roman" w:hAnsi="Times New Roman"/>
                <w:b/>
                <w:sz w:val="16"/>
                <w:szCs w:val="16"/>
              </w:rPr>
            </w:pPr>
          </w:p>
        </w:tc>
        <w:tc>
          <w:tcPr>
            <w:tcW w:w="567" w:type="dxa"/>
            <w:vMerge/>
            <w:shd w:val="clear" w:color="auto" w:fill="FFE599" w:themeFill="accent4" w:themeFillTint="66"/>
            <w:vAlign w:val="center"/>
          </w:tcPr>
          <w:p w:rsidR="0016753A" w:rsidRPr="00C24515" w:rsidRDefault="0016753A" w:rsidP="002C6E60">
            <w:pPr>
              <w:spacing w:after="0" w:line="240" w:lineRule="auto"/>
              <w:jc w:val="center"/>
              <w:rPr>
                <w:rFonts w:ascii="Times New Roman" w:hAnsi="Times New Roman"/>
                <w:b/>
                <w:sz w:val="16"/>
                <w:szCs w:val="16"/>
              </w:rPr>
            </w:pPr>
          </w:p>
        </w:tc>
      </w:tr>
      <w:tr w:rsidR="00C24515" w:rsidRPr="00C24515" w:rsidTr="00CB3670">
        <w:trPr>
          <w:jc w:val="center"/>
        </w:trPr>
        <w:tc>
          <w:tcPr>
            <w:tcW w:w="988" w:type="dxa"/>
            <w:vMerge/>
            <w:shd w:val="clear" w:color="auto" w:fill="BDD6EE"/>
          </w:tcPr>
          <w:p w:rsidR="0016753A" w:rsidRPr="00C24515" w:rsidRDefault="0016753A" w:rsidP="002C6E60">
            <w:pPr>
              <w:spacing w:after="0" w:line="240" w:lineRule="auto"/>
              <w:jc w:val="both"/>
              <w:rPr>
                <w:rFonts w:ascii="Times New Roman" w:hAnsi="Times New Roman"/>
                <w:sz w:val="16"/>
                <w:szCs w:val="16"/>
              </w:rPr>
            </w:pPr>
          </w:p>
        </w:tc>
        <w:tc>
          <w:tcPr>
            <w:tcW w:w="850" w:type="dxa"/>
            <w:vMerge/>
          </w:tcPr>
          <w:p w:rsidR="0016753A" w:rsidRPr="00C24515" w:rsidRDefault="0016753A" w:rsidP="002C6E60">
            <w:pPr>
              <w:spacing w:after="0" w:line="240" w:lineRule="auto"/>
              <w:jc w:val="both"/>
              <w:rPr>
                <w:rFonts w:ascii="Times New Roman" w:hAnsi="Times New Roman"/>
                <w:b/>
                <w:sz w:val="16"/>
                <w:szCs w:val="16"/>
              </w:rPr>
            </w:pPr>
          </w:p>
        </w:tc>
        <w:tc>
          <w:tcPr>
            <w:tcW w:w="4536" w:type="dxa"/>
            <w:gridSpan w:val="4"/>
          </w:tcPr>
          <w:p w:rsidR="0016753A" w:rsidRPr="00C24515" w:rsidRDefault="0016753A" w:rsidP="002C6E60">
            <w:pPr>
              <w:pStyle w:val="PargrafodaLista"/>
              <w:numPr>
                <w:ilvl w:val="0"/>
                <w:numId w:val="225"/>
              </w:numPr>
              <w:spacing w:after="0" w:line="240" w:lineRule="auto"/>
              <w:ind w:left="313" w:hanging="313"/>
              <w:jc w:val="both"/>
              <w:rPr>
                <w:rFonts w:ascii="Times New Roman" w:hAnsi="Times New Roman"/>
                <w:sz w:val="16"/>
                <w:szCs w:val="16"/>
              </w:rPr>
            </w:pPr>
            <w:r w:rsidRPr="00C24515">
              <w:rPr>
                <w:rFonts w:ascii="Times New Roman" w:hAnsi="Times New Roman"/>
                <w:sz w:val="16"/>
                <w:szCs w:val="16"/>
              </w:rPr>
              <w:t>Extension des services de distribution d’eau aux localités desservies par d’autres opérateurs.</w:t>
            </w:r>
          </w:p>
        </w:tc>
        <w:tc>
          <w:tcPr>
            <w:tcW w:w="851" w:type="dxa"/>
            <w:vAlign w:val="center"/>
          </w:tcPr>
          <w:p w:rsidR="0016753A" w:rsidRPr="00C24515" w:rsidRDefault="0016753A" w:rsidP="002C6E60">
            <w:pPr>
              <w:spacing w:after="0" w:line="240" w:lineRule="auto"/>
              <w:jc w:val="center"/>
              <w:rPr>
                <w:rFonts w:ascii="Times New Roman" w:hAnsi="Times New Roman"/>
                <w:sz w:val="16"/>
                <w:szCs w:val="16"/>
              </w:rPr>
            </w:pPr>
            <w:r w:rsidRPr="00C24515">
              <w:rPr>
                <w:rFonts w:ascii="Times New Roman" w:hAnsi="Times New Roman"/>
                <w:sz w:val="16"/>
                <w:szCs w:val="16"/>
              </w:rPr>
              <w:t>Faible</w:t>
            </w:r>
          </w:p>
        </w:tc>
        <w:tc>
          <w:tcPr>
            <w:tcW w:w="283" w:type="dxa"/>
            <w:shd w:val="clear" w:color="auto" w:fill="002060"/>
            <w:vAlign w:val="center"/>
          </w:tcPr>
          <w:p w:rsidR="0016753A" w:rsidRPr="00C24515" w:rsidRDefault="0016753A" w:rsidP="002C6E60">
            <w:pPr>
              <w:spacing w:after="0" w:line="240" w:lineRule="auto"/>
              <w:jc w:val="center"/>
              <w:rPr>
                <w:rFonts w:ascii="Times New Roman" w:hAnsi="Times New Roman"/>
                <w:b/>
                <w:sz w:val="16"/>
                <w:szCs w:val="16"/>
              </w:rPr>
            </w:pPr>
            <w:r w:rsidRPr="00C24515">
              <w:rPr>
                <w:rFonts w:ascii="Times New Roman" w:hAnsi="Times New Roman"/>
                <w:b/>
                <w:sz w:val="16"/>
                <w:szCs w:val="16"/>
              </w:rPr>
              <w:t>1</w:t>
            </w:r>
          </w:p>
        </w:tc>
        <w:tc>
          <w:tcPr>
            <w:tcW w:w="992" w:type="dxa"/>
            <w:vAlign w:val="center"/>
          </w:tcPr>
          <w:p w:rsidR="0016753A" w:rsidRPr="00C24515" w:rsidRDefault="0016753A" w:rsidP="002C6E60">
            <w:pPr>
              <w:spacing w:after="0" w:line="240" w:lineRule="auto"/>
              <w:jc w:val="center"/>
              <w:rPr>
                <w:rFonts w:ascii="Times New Roman" w:hAnsi="Times New Roman"/>
                <w:sz w:val="16"/>
                <w:szCs w:val="16"/>
              </w:rPr>
            </w:pPr>
            <w:r w:rsidRPr="00C24515">
              <w:rPr>
                <w:rFonts w:ascii="Times New Roman" w:hAnsi="Times New Roman"/>
                <w:sz w:val="16"/>
                <w:szCs w:val="16"/>
              </w:rPr>
              <w:t>Locale</w:t>
            </w:r>
          </w:p>
        </w:tc>
        <w:tc>
          <w:tcPr>
            <w:tcW w:w="284" w:type="dxa"/>
            <w:shd w:val="clear" w:color="auto" w:fill="002060"/>
            <w:vAlign w:val="center"/>
          </w:tcPr>
          <w:p w:rsidR="0016753A" w:rsidRPr="00C24515" w:rsidRDefault="0016753A" w:rsidP="002C6E60">
            <w:pPr>
              <w:spacing w:after="0" w:line="240" w:lineRule="auto"/>
              <w:jc w:val="center"/>
              <w:rPr>
                <w:rFonts w:ascii="Times New Roman" w:hAnsi="Times New Roman"/>
                <w:b/>
                <w:sz w:val="16"/>
                <w:szCs w:val="16"/>
              </w:rPr>
            </w:pPr>
            <w:r w:rsidRPr="00C24515">
              <w:rPr>
                <w:rFonts w:ascii="Times New Roman" w:hAnsi="Times New Roman"/>
                <w:b/>
                <w:sz w:val="16"/>
                <w:szCs w:val="16"/>
              </w:rPr>
              <w:t>3</w:t>
            </w:r>
          </w:p>
        </w:tc>
        <w:tc>
          <w:tcPr>
            <w:tcW w:w="850" w:type="dxa"/>
            <w:vAlign w:val="center"/>
          </w:tcPr>
          <w:p w:rsidR="0016753A" w:rsidRPr="00C24515" w:rsidRDefault="0016753A" w:rsidP="002C6E60">
            <w:pPr>
              <w:spacing w:after="0" w:line="240" w:lineRule="auto"/>
              <w:jc w:val="center"/>
              <w:rPr>
                <w:rFonts w:ascii="Times New Roman" w:hAnsi="Times New Roman"/>
                <w:sz w:val="16"/>
                <w:szCs w:val="16"/>
              </w:rPr>
            </w:pPr>
            <w:r w:rsidRPr="00C24515">
              <w:rPr>
                <w:rFonts w:ascii="Times New Roman" w:hAnsi="Times New Roman"/>
                <w:sz w:val="16"/>
                <w:szCs w:val="16"/>
              </w:rPr>
              <w:t>Longue</w:t>
            </w:r>
          </w:p>
        </w:tc>
        <w:tc>
          <w:tcPr>
            <w:tcW w:w="284" w:type="dxa"/>
            <w:shd w:val="clear" w:color="auto" w:fill="002060"/>
            <w:vAlign w:val="center"/>
          </w:tcPr>
          <w:p w:rsidR="0016753A" w:rsidRPr="00C24515" w:rsidRDefault="0016753A" w:rsidP="002C6E60">
            <w:pPr>
              <w:spacing w:after="0" w:line="240" w:lineRule="auto"/>
              <w:jc w:val="center"/>
              <w:rPr>
                <w:rFonts w:ascii="Times New Roman" w:hAnsi="Times New Roman"/>
                <w:b/>
                <w:sz w:val="16"/>
                <w:szCs w:val="16"/>
              </w:rPr>
            </w:pPr>
            <w:r w:rsidRPr="00C24515">
              <w:rPr>
                <w:rFonts w:ascii="Times New Roman" w:hAnsi="Times New Roman"/>
                <w:b/>
                <w:sz w:val="16"/>
                <w:szCs w:val="16"/>
              </w:rPr>
              <w:t>5</w:t>
            </w:r>
          </w:p>
        </w:tc>
        <w:tc>
          <w:tcPr>
            <w:tcW w:w="850" w:type="dxa"/>
            <w:shd w:val="clear" w:color="auto" w:fill="F7CAAC" w:themeFill="accent2" w:themeFillTint="66"/>
            <w:vAlign w:val="center"/>
          </w:tcPr>
          <w:p w:rsidR="0016753A" w:rsidRPr="00C24515" w:rsidRDefault="0016753A" w:rsidP="002C6E60">
            <w:pPr>
              <w:spacing w:after="0" w:line="240" w:lineRule="auto"/>
              <w:jc w:val="center"/>
              <w:rPr>
                <w:rFonts w:ascii="Times New Roman" w:hAnsi="Times New Roman"/>
                <w:b/>
                <w:sz w:val="16"/>
                <w:szCs w:val="16"/>
              </w:rPr>
            </w:pPr>
            <w:r w:rsidRPr="00C24515">
              <w:rPr>
                <w:rFonts w:ascii="Times New Roman" w:hAnsi="Times New Roman"/>
                <w:b/>
                <w:sz w:val="16"/>
                <w:szCs w:val="16"/>
              </w:rPr>
              <w:t>Mineure</w:t>
            </w:r>
          </w:p>
        </w:tc>
        <w:tc>
          <w:tcPr>
            <w:tcW w:w="567" w:type="dxa"/>
            <w:shd w:val="clear" w:color="auto" w:fill="F7CAAC" w:themeFill="accent2" w:themeFillTint="66"/>
            <w:vAlign w:val="center"/>
          </w:tcPr>
          <w:p w:rsidR="0016753A" w:rsidRPr="00C24515" w:rsidRDefault="0016753A" w:rsidP="002C6E60">
            <w:pPr>
              <w:spacing w:after="0" w:line="240" w:lineRule="auto"/>
              <w:jc w:val="center"/>
              <w:rPr>
                <w:rFonts w:ascii="Times New Roman" w:hAnsi="Times New Roman"/>
                <w:b/>
                <w:sz w:val="16"/>
                <w:szCs w:val="16"/>
              </w:rPr>
            </w:pPr>
            <w:r w:rsidRPr="00C24515">
              <w:rPr>
                <w:rFonts w:ascii="Times New Roman" w:hAnsi="Times New Roman"/>
                <w:b/>
                <w:sz w:val="16"/>
                <w:szCs w:val="16"/>
              </w:rPr>
              <w:t>15</w:t>
            </w:r>
          </w:p>
        </w:tc>
      </w:tr>
      <w:tr w:rsidR="00C24515" w:rsidRPr="00C24515" w:rsidTr="00CB3670">
        <w:trPr>
          <w:jc w:val="center"/>
        </w:trPr>
        <w:tc>
          <w:tcPr>
            <w:tcW w:w="988" w:type="dxa"/>
            <w:vMerge/>
            <w:shd w:val="clear" w:color="auto" w:fill="BDD6EE"/>
          </w:tcPr>
          <w:p w:rsidR="0016753A" w:rsidRPr="00C24515" w:rsidRDefault="0016753A" w:rsidP="002C6E60">
            <w:pPr>
              <w:spacing w:after="0" w:line="240" w:lineRule="auto"/>
              <w:jc w:val="both"/>
              <w:rPr>
                <w:rFonts w:ascii="Times New Roman" w:hAnsi="Times New Roman"/>
                <w:sz w:val="16"/>
                <w:szCs w:val="16"/>
              </w:rPr>
            </w:pPr>
          </w:p>
        </w:tc>
        <w:tc>
          <w:tcPr>
            <w:tcW w:w="850" w:type="dxa"/>
            <w:vMerge/>
          </w:tcPr>
          <w:p w:rsidR="0016753A" w:rsidRPr="00C24515" w:rsidRDefault="0016753A" w:rsidP="002C6E60">
            <w:pPr>
              <w:spacing w:after="0" w:line="240" w:lineRule="auto"/>
              <w:jc w:val="both"/>
              <w:rPr>
                <w:rFonts w:ascii="Times New Roman" w:hAnsi="Times New Roman"/>
                <w:b/>
                <w:sz w:val="16"/>
                <w:szCs w:val="16"/>
              </w:rPr>
            </w:pPr>
          </w:p>
        </w:tc>
        <w:tc>
          <w:tcPr>
            <w:tcW w:w="4536" w:type="dxa"/>
            <w:gridSpan w:val="4"/>
          </w:tcPr>
          <w:p w:rsidR="0016753A" w:rsidRPr="00C24515" w:rsidRDefault="0016753A" w:rsidP="002C6E60">
            <w:pPr>
              <w:pStyle w:val="PargrafodaLista"/>
              <w:numPr>
                <w:ilvl w:val="0"/>
                <w:numId w:val="225"/>
              </w:numPr>
              <w:spacing w:after="0" w:line="240" w:lineRule="auto"/>
              <w:ind w:left="313" w:hanging="313"/>
              <w:jc w:val="both"/>
              <w:rPr>
                <w:rFonts w:ascii="Times New Roman" w:hAnsi="Times New Roman"/>
                <w:sz w:val="16"/>
                <w:szCs w:val="16"/>
              </w:rPr>
            </w:pPr>
            <w:r w:rsidRPr="00C24515">
              <w:rPr>
                <w:rFonts w:ascii="Times New Roman" w:hAnsi="Times New Roman"/>
                <w:sz w:val="16"/>
                <w:szCs w:val="16"/>
              </w:rPr>
              <w:t>Amélioration de la performance de l’EAGB</w:t>
            </w:r>
          </w:p>
        </w:tc>
        <w:tc>
          <w:tcPr>
            <w:tcW w:w="851" w:type="dxa"/>
            <w:vAlign w:val="center"/>
          </w:tcPr>
          <w:p w:rsidR="0016753A" w:rsidRPr="00C24515" w:rsidRDefault="0016753A" w:rsidP="002C6E60">
            <w:pPr>
              <w:spacing w:after="0" w:line="240" w:lineRule="auto"/>
              <w:jc w:val="center"/>
              <w:rPr>
                <w:rFonts w:ascii="Times New Roman" w:hAnsi="Times New Roman"/>
                <w:sz w:val="16"/>
                <w:szCs w:val="16"/>
              </w:rPr>
            </w:pPr>
            <w:r w:rsidRPr="00C24515">
              <w:rPr>
                <w:rFonts w:ascii="Times New Roman" w:hAnsi="Times New Roman"/>
                <w:sz w:val="16"/>
                <w:szCs w:val="16"/>
              </w:rPr>
              <w:t>Forte</w:t>
            </w:r>
          </w:p>
        </w:tc>
        <w:tc>
          <w:tcPr>
            <w:tcW w:w="283" w:type="dxa"/>
            <w:shd w:val="clear" w:color="auto" w:fill="002060"/>
            <w:vAlign w:val="center"/>
          </w:tcPr>
          <w:p w:rsidR="0016753A" w:rsidRPr="00C24515" w:rsidRDefault="0016753A" w:rsidP="002C6E60">
            <w:pPr>
              <w:spacing w:after="0" w:line="240" w:lineRule="auto"/>
              <w:jc w:val="center"/>
              <w:rPr>
                <w:rFonts w:ascii="Times New Roman" w:hAnsi="Times New Roman"/>
                <w:b/>
                <w:sz w:val="16"/>
                <w:szCs w:val="16"/>
              </w:rPr>
            </w:pPr>
            <w:r w:rsidRPr="00C24515">
              <w:rPr>
                <w:rFonts w:ascii="Times New Roman" w:hAnsi="Times New Roman"/>
                <w:b/>
                <w:sz w:val="16"/>
                <w:szCs w:val="16"/>
              </w:rPr>
              <w:t>5</w:t>
            </w:r>
          </w:p>
        </w:tc>
        <w:tc>
          <w:tcPr>
            <w:tcW w:w="992" w:type="dxa"/>
            <w:vAlign w:val="center"/>
          </w:tcPr>
          <w:p w:rsidR="0016753A" w:rsidRPr="00C24515" w:rsidRDefault="0016753A" w:rsidP="002C6E60">
            <w:pPr>
              <w:spacing w:after="0" w:line="240" w:lineRule="auto"/>
              <w:jc w:val="center"/>
              <w:rPr>
                <w:rFonts w:ascii="Times New Roman" w:hAnsi="Times New Roman"/>
                <w:sz w:val="16"/>
                <w:szCs w:val="16"/>
              </w:rPr>
            </w:pPr>
            <w:r w:rsidRPr="00C24515">
              <w:rPr>
                <w:rFonts w:ascii="Times New Roman" w:hAnsi="Times New Roman"/>
                <w:sz w:val="16"/>
                <w:szCs w:val="16"/>
              </w:rPr>
              <w:t>Régionale</w:t>
            </w:r>
          </w:p>
        </w:tc>
        <w:tc>
          <w:tcPr>
            <w:tcW w:w="284" w:type="dxa"/>
            <w:shd w:val="clear" w:color="auto" w:fill="002060"/>
            <w:vAlign w:val="center"/>
          </w:tcPr>
          <w:p w:rsidR="0016753A" w:rsidRPr="00C24515" w:rsidRDefault="0016753A" w:rsidP="002C6E60">
            <w:pPr>
              <w:spacing w:after="0" w:line="240" w:lineRule="auto"/>
              <w:jc w:val="center"/>
              <w:rPr>
                <w:rFonts w:ascii="Times New Roman" w:hAnsi="Times New Roman"/>
                <w:b/>
                <w:sz w:val="16"/>
                <w:szCs w:val="16"/>
              </w:rPr>
            </w:pPr>
            <w:r w:rsidRPr="00C24515">
              <w:rPr>
                <w:rFonts w:ascii="Times New Roman" w:hAnsi="Times New Roman"/>
                <w:b/>
                <w:sz w:val="16"/>
                <w:szCs w:val="16"/>
              </w:rPr>
              <w:t>5</w:t>
            </w:r>
          </w:p>
        </w:tc>
        <w:tc>
          <w:tcPr>
            <w:tcW w:w="850" w:type="dxa"/>
            <w:vAlign w:val="center"/>
          </w:tcPr>
          <w:p w:rsidR="0016753A" w:rsidRPr="00C24515" w:rsidRDefault="0016753A" w:rsidP="002C6E60">
            <w:pPr>
              <w:spacing w:after="0" w:line="240" w:lineRule="auto"/>
              <w:jc w:val="center"/>
              <w:rPr>
                <w:rFonts w:ascii="Times New Roman" w:hAnsi="Times New Roman"/>
                <w:sz w:val="16"/>
                <w:szCs w:val="16"/>
              </w:rPr>
            </w:pPr>
            <w:r w:rsidRPr="00C24515">
              <w:rPr>
                <w:rFonts w:ascii="Times New Roman" w:hAnsi="Times New Roman"/>
                <w:sz w:val="16"/>
                <w:szCs w:val="16"/>
              </w:rPr>
              <w:t>Longue</w:t>
            </w:r>
          </w:p>
        </w:tc>
        <w:tc>
          <w:tcPr>
            <w:tcW w:w="284" w:type="dxa"/>
            <w:shd w:val="clear" w:color="auto" w:fill="002060"/>
            <w:vAlign w:val="center"/>
          </w:tcPr>
          <w:p w:rsidR="0016753A" w:rsidRPr="00C24515" w:rsidRDefault="0016753A" w:rsidP="002C6E60">
            <w:pPr>
              <w:spacing w:after="0" w:line="240" w:lineRule="auto"/>
              <w:jc w:val="center"/>
              <w:rPr>
                <w:rFonts w:ascii="Times New Roman" w:hAnsi="Times New Roman"/>
                <w:b/>
                <w:sz w:val="16"/>
                <w:szCs w:val="16"/>
              </w:rPr>
            </w:pPr>
            <w:r w:rsidRPr="00C24515">
              <w:rPr>
                <w:rFonts w:ascii="Times New Roman" w:hAnsi="Times New Roman"/>
                <w:b/>
                <w:sz w:val="16"/>
                <w:szCs w:val="16"/>
              </w:rPr>
              <w:t>5</w:t>
            </w:r>
          </w:p>
        </w:tc>
        <w:tc>
          <w:tcPr>
            <w:tcW w:w="850" w:type="dxa"/>
            <w:shd w:val="clear" w:color="auto" w:fill="92D050"/>
            <w:vAlign w:val="center"/>
          </w:tcPr>
          <w:p w:rsidR="0016753A" w:rsidRPr="00C24515" w:rsidRDefault="0016753A" w:rsidP="002C6E60">
            <w:pPr>
              <w:spacing w:after="0" w:line="240" w:lineRule="auto"/>
              <w:jc w:val="center"/>
              <w:rPr>
                <w:rFonts w:ascii="Times New Roman" w:hAnsi="Times New Roman"/>
                <w:b/>
                <w:sz w:val="16"/>
                <w:szCs w:val="16"/>
              </w:rPr>
            </w:pPr>
            <w:r w:rsidRPr="00C24515">
              <w:rPr>
                <w:rFonts w:ascii="Times New Roman" w:hAnsi="Times New Roman"/>
                <w:b/>
                <w:sz w:val="16"/>
                <w:szCs w:val="16"/>
              </w:rPr>
              <w:t>Majeure</w:t>
            </w:r>
          </w:p>
        </w:tc>
        <w:tc>
          <w:tcPr>
            <w:tcW w:w="567" w:type="dxa"/>
            <w:shd w:val="clear" w:color="auto" w:fill="92D050"/>
            <w:vAlign w:val="center"/>
          </w:tcPr>
          <w:p w:rsidR="0016753A" w:rsidRPr="00C24515" w:rsidRDefault="0016753A" w:rsidP="002C6E60">
            <w:pPr>
              <w:spacing w:after="0" w:line="240" w:lineRule="auto"/>
              <w:jc w:val="center"/>
              <w:rPr>
                <w:rFonts w:ascii="Times New Roman" w:hAnsi="Times New Roman"/>
                <w:b/>
                <w:sz w:val="16"/>
                <w:szCs w:val="16"/>
              </w:rPr>
            </w:pPr>
            <w:r w:rsidRPr="00C24515">
              <w:rPr>
                <w:rFonts w:ascii="Times New Roman" w:hAnsi="Times New Roman"/>
                <w:b/>
                <w:sz w:val="16"/>
                <w:szCs w:val="16"/>
              </w:rPr>
              <w:t>125</w:t>
            </w:r>
          </w:p>
        </w:tc>
      </w:tr>
    </w:tbl>
    <w:p w:rsidR="00CB3670" w:rsidRPr="00BA3EE1" w:rsidRDefault="00384924" w:rsidP="00E732C7">
      <w:pPr>
        <w:spacing w:after="0"/>
        <w:jc w:val="center"/>
        <w:rPr>
          <w:rFonts w:ascii="Times New Roman" w:hAnsi="Times New Roman" w:cs="Times New Roman"/>
          <w:b/>
          <w:sz w:val="20"/>
          <w:szCs w:val="20"/>
        </w:rPr>
      </w:pPr>
      <w:r>
        <w:rPr>
          <w:rFonts w:ascii="Times New Roman" w:hAnsi="Times New Roman" w:cs="Times New Roman"/>
          <w:b/>
          <w:sz w:val="24"/>
          <w:szCs w:val="24"/>
        </w:rPr>
        <w:tab/>
      </w:r>
      <w:r w:rsidR="00CB3670" w:rsidRPr="00BA3EE1">
        <w:rPr>
          <w:rFonts w:ascii="Times New Roman" w:hAnsi="Times New Roman" w:cs="Times New Roman"/>
          <w:b/>
          <w:sz w:val="20"/>
          <w:szCs w:val="20"/>
        </w:rPr>
        <w:t>Synthèse des impacts négatifs attendus au niveau du sous-projet n°2</w:t>
      </w:r>
    </w:p>
    <w:tbl>
      <w:tblPr>
        <w:tblW w:w="113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850"/>
        <w:gridCol w:w="992"/>
        <w:gridCol w:w="1201"/>
        <w:gridCol w:w="2343"/>
        <w:gridCol w:w="851"/>
        <w:gridCol w:w="283"/>
        <w:gridCol w:w="992"/>
        <w:gridCol w:w="284"/>
        <w:gridCol w:w="850"/>
        <w:gridCol w:w="284"/>
        <w:gridCol w:w="850"/>
        <w:gridCol w:w="586"/>
      </w:tblGrid>
      <w:tr w:rsidR="00CB3670" w:rsidRPr="00CB3670" w:rsidTr="00CB3670">
        <w:trPr>
          <w:jc w:val="center"/>
        </w:trPr>
        <w:tc>
          <w:tcPr>
            <w:tcW w:w="988" w:type="dxa"/>
            <w:shd w:val="clear" w:color="auto" w:fill="F2F2F2" w:themeFill="background1" w:themeFillShade="F2"/>
            <w:vAlign w:val="center"/>
          </w:tcPr>
          <w:p w:rsidR="00CB3670" w:rsidRPr="00CB3670" w:rsidRDefault="00CB3670" w:rsidP="002C6E60">
            <w:pPr>
              <w:spacing w:after="0" w:line="240" w:lineRule="auto"/>
              <w:jc w:val="center"/>
              <w:rPr>
                <w:rFonts w:ascii="Times New Roman" w:hAnsi="Times New Roman"/>
                <w:b/>
                <w:sz w:val="16"/>
                <w:szCs w:val="16"/>
              </w:rPr>
            </w:pPr>
            <w:r w:rsidRPr="00CB3670">
              <w:rPr>
                <w:rFonts w:ascii="Times New Roman" w:hAnsi="Times New Roman"/>
                <w:b/>
                <w:sz w:val="16"/>
                <w:szCs w:val="16"/>
              </w:rPr>
              <w:t>PHASES</w:t>
            </w:r>
          </w:p>
        </w:tc>
        <w:tc>
          <w:tcPr>
            <w:tcW w:w="850" w:type="dxa"/>
            <w:shd w:val="clear" w:color="auto" w:fill="F2F2F2" w:themeFill="background1" w:themeFillShade="F2"/>
            <w:vAlign w:val="center"/>
          </w:tcPr>
          <w:p w:rsidR="00CB3670" w:rsidRPr="00CB3670" w:rsidRDefault="00CB3670" w:rsidP="002C6E60">
            <w:pPr>
              <w:spacing w:after="0" w:line="240" w:lineRule="auto"/>
              <w:jc w:val="center"/>
              <w:rPr>
                <w:rFonts w:ascii="Times New Roman" w:hAnsi="Times New Roman"/>
                <w:b/>
                <w:sz w:val="16"/>
                <w:szCs w:val="16"/>
              </w:rPr>
            </w:pPr>
            <w:r w:rsidRPr="00CB3670">
              <w:rPr>
                <w:rFonts w:ascii="Times New Roman" w:hAnsi="Times New Roman"/>
                <w:b/>
                <w:sz w:val="16"/>
                <w:szCs w:val="16"/>
              </w:rPr>
              <w:t>MILIEU</w:t>
            </w:r>
          </w:p>
        </w:tc>
        <w:tc>
          <w:tcPr>
            <w:tcW w:w="4536" w:type="dxa"/>
            <w:gridSpan w:val="3"/>
            <w:shd w:val="clear" w:color="auto" w:fill="F2F2F2" w:themeFill="background1" w:themeFillShade="F2"/>
            <w:vAlign w:val="center"/>
          </w:tcPr>
          <w:p w:rsidR="00CB3670" w:rsidRPr="00CB3670" w:rsidRDefault="00CB3670" w:rsidP="002C6E60">
            <w:pPr>
              <w:spacing w:after="0" w:line="240" w:lineRule="auto"/>
              <w:jc w:val="center"/>
              <w:rPr>
                <w:rFonts w:ascii="Times New Roman" w:hAnsi="Times New Roman"/>
                <w:b/>
                <w:sz w:val="16"/>
                <w:szCs w:val="16"/>
              </w:rPr>
            </w:pPr>
            <w:r w:rsidRPr="00CB3670">
              <w:rPr>
                <w:rFonts w:ascii="Times New Roman" w:hAnsi="Times New Roman"/>
                <w:b/>
                <w:sz w:val="16"/>
                <w:szCs w:val="16"/>
              </w:rPr>
              <w:t>IMPACTS NEGATIFS POTENTIELS</w:t>
            </w:r>
          </w:p>
        </w:tc>
        <w:tc>
          <w:tcPr>
            <w:tcW w:w="1134" w:type="dxa"/>
            <w:gridSpan w:val="2"/>
            <w:shd w:val="clear" w:color="auto" w:fill="002060"/>
            <w:vAlign w:val="center"/>
          </w:tcPr>
          <w:p w:rsidR="00CB3670" w:rsidRPr="00CB3670" w:rsidRDefault="00CB3670" w:rsidP="002C6E60">
            <w:pPr>
              <w:spacing w:after="0" w:line="240" w:lineRule="auto"/>
              <w:jc w:val="both"/>
              <w:rPr>
                <w:rFonts w:ascii="Times New Roman" w:hAnsi="Times New Roman"/>
                <w:b/>
                <w:sz w:val="16"/>
                <w:szCs w:val="16"/>
              </w:rPr>
            </w:pPr>
            <w:r w:rsidRPr="00CB3670">
              <w:rPr>
                <w:rFonts w:ascii="Times New Roman" w:hAnsi="Times New Roman"/>
                <w:b/>
                <w:sz w:val="16"/>
                <w:szCs w:val="16"/>
              </w:rPr>
              <w:t>Intensité</w:t>
            </w:r>
          </w:p>
        </w:tc>
        <w:tc>
          <w:tcPr>
            <w:tcW w:w="1276" w:type="dxa"/>
            <w:gridSpan w:val="2"/>
            <w:shd w:val="clear" w:color="auto" w:fill="002060"/>
            <w:vAlign w:val="center"/>
          </w:tcPr>
          <w:p w:rsidR="00CB3670" w:rsidRPr="00CB3670" w:rsidRDefault="00CB3670" w:rsidP="002C6E60">
            <w:pPr>
              <w:spacing w:after="0" w:line="240" w:lineRule="auto"/>
              <w:jc w:val="both"/>
              <w:rPr>
                <w:rFonts w:ascii="Times New Roman" w:hAnsi="Times New Roman"/>
                <w:b/>
                <w:sz w:val="16"/>
                <w:szCs w:val="16"/>
              </w:rPr>
            </w:pPr>
            <w:r w:rsidRPr="00CB3670">
              <w:rPr>
                <w:rFonts w:ascii="Times New Roman" w:hAnsi="Times New Roman"/>
                <w:b/>
                <w:sz w:val="16"/>
                <w:szCs w:val="16"/>
              </w:rPr>
              <w:t>Etendue</w:t>
            </w:r>
          </w:p>
        </w:tc>
        <w:tc>
          <w:tcPr>
            <w:tcW w:w="1134" w:type="dxa"/>
            <w:gridSpan w:val="2"/>
            <w:shd w:val="clear" w:color="auto" w:fill="002060"/>
            <w:vAlign w:val="center"/>
          </w:tcPr>
          <w:p w:rsidR="00CB3670" w:rsidRPr="00CB3670" w:rsidRDefault="00CB3670" w:rsidP="002C6E60">
            <w:pPr>
              <w:spacing w:after="0" w:line="240" w:lineRule="auto"/>
              <w:jc w:val="both"/>
              <w:rPr>
                <w:rFonts w:ascii="Times New Roman" w:hAnsi="Times New Roman"/>
                <w:b/>
                <w:sz w:val="16"/>
                <w:szCs w:val="16"/>
              </w:rPr>
            </w:pPr>
            <w:r w:rsidRPr="00CB3670">
              <w:rPr>
                <w:rFonts w:ascii="Times New Roman" w:hAnsi="Times New Roman"/>
                <w:b/>
                <w:sz w:val="16"/>
                <w:szCs w:val="16"/>
              </w:rPr>
              <w:t>Durée</w:t>
            </w:r>
          </w:p>
        </w:tc>
        <w:tc>
          <w:tcPr>
            <w:tcW w:w="1436" w:type="dxa"/>
            <w:gridSpan w:val="2"/>
            <w:shd w:val="clear" w:color="auto" w:fill="002060"/>
            <w:vAlign w:val="center"/>
          </w:tcPr>
          <w:p w:rsidR="00CB3670" w:rsidRPr="00CB3670" w:rsidRDefault="00CB3670" w:rsidP="002C6E60">
            <w:pPr>
              <w:spacing w:after="0" w:line="240" w:lineRule="auto"/>
              <w:jc w:val="both"/>
              <w:rPr>
                <w:rFonts w:ascii="Times New Roman" w:hAnsi="Times New Roman"/>
                <w:b/>
                <w:sz w:val="16"/>
                <w:szCs w:val="16"/>
              </w:rPr>
            </w:pPr>
            <w:r w:rsidRPr="00CB3670">
              <w:rPr>
                <w:rFonts w:ascii="Times New Roman" w:hAnsi="Times New Roman"/>
                <w:b/>
                <w:sz w:val="16"/>
                <w:szCs w:val="16"/>
              </w:rPr>
              <w:t>Importance</w:t>
            </w:r>
          </w:p>
        </w:tc>
      </w:tr>
      <w:tr w:rsidR="00CB3670" w:rsidRPr="00CB3670" w:rsidTr="00CB3670">
        <w:trPr>
          <w:gridBefore w:val="2"/>
          <w:gridAfter w:val="10"/>
          <w:wBefore w:w="1838" w:type="dxa"/>
          <w:wAfter w:w="8524" w:type="dxa"/>
          <w:trHeight w:val="70"/>
          <w:jc w:val="center"/>
        </w:trPr>
        <w:tc>
          <w:tcPr>
            <w:tcW w:w="992" w:type="dxa"/>
            <w:shd w:val="clear" w:color="auto" w:fill="000000" w:themeFill="text1"/>
            <w:vAlign w:val="center"/>
          </w:tcPr>
          <w:p w:rsidR="00CB3670" w:rsidRPr="00CB3670" w:rsidRDefault="00CB3670" w:rsidP="002C6E60">
            <w:pPr>
              <w:spacing w:after="0" w:line="240" w:lineRule="auto"/>
              <w:jc w:val="both"/>
              <w:rPr>
                <w:rFonts w:ascii="Times New Roman" w:hAnsi="Times New Roman"/>
                <w:sz w:val="4"/>
                <w:szCs w:val="4"/>
              </w:rPr>
            </w:pPr>
          </w:p>
        </w:tc>
      </w:tr>
      <w:tr w:rsidR="00CB3670" w:rsidRPr="00CB3670" w:rsidTr="00CB3670">
        <w:trPr>
          <w:jc w:val="center"/>
        </w:trPr>
        <w:tc>
          <w:tcPr>
            <w:tcW w:w="988" w:type="dxa"/>
            <w:vMerge w:val="restart"/>
            <w:shd w:val="clear" w:color="auto" w:fill="BDD6EE"/>
            <w:vAlign w:val="center"/>
          </w:tcPr>
          <w:p w:rsidR="00CB3670" w:rsidRPr="00CB3670" w:rsidRDefault="00CB3670" w:rsidP="002C6E60">
            <w:pPr>
              <w:spacing w:after="0" w:line="240" w:lineRule="auto"/>
              <w:jc w:val="center"/>
              <w:rPr>
                <w:rFonts w:ascii="Times New Roman" w:eastAsia="MS Gothic" w:hAnsi="Times New Roman"/>
                <w:b/>
                <w:sz w:val="16"/>
                <w:szCs w:val="16"/>
              </w:rPr>
            </w:pPr>
            <w:r w:rsidRPr="00CB3670">
              <w:rPr>
                <w:rFonts w:ascii="Times New Roman" w:eastAsia="MS Gothic" w:hAnsi="Times New Roman"/>
                <w:b/>
                <w:sz w:val="16"/>
                <w:szCs w:val="16"/>
              </w:rPr>
              <w:t>Pré-construction et</w:t>
            </w:r>
          </w:p>
          <w:p w:rsidR="00CB3670" w:rsidRPr="00CB3670" w:rsidRDefault="00CB3670" w:rsidP="002C6E60">
            <w:pPr>
              <w:spacing w:after="0" w:line="240" w:lineRule="auto"/>
              <w:jc w:val="center"/>
              <w:rPr>
                <w:rFonts w:ascii="Times New Roman" w:eastAsia="MS Gothic" w:hAnsi="Times New Roman"/>
                <w:b/>
                <w:sz w:val="16"/>
                <w:szCs w:val="16"/>
              </w:rPr>
            </w:pPr>
            <w:r w:rsidRPr="00CB3670">
              <w:rPr>
                <w:rFonts w:ascii="Times New Roman" w:eastAsia="MS Gothic" w:hAnsi="Times New Roman"/>
                <w:b/>
                <w:sz w:val="16"/>
                <w:szCs w:val="16"/>
              </w:rPr>
              <w:t>Construction</w:t>
            </w:r>
          </w:p>
        </w:tc>
        <w:tc>
          <w:tcPr>
            <w:tcW w:w="850" w:type="dxa"/>
            <w:vAlign w:val="center"/>
          </w:tcPr>
          <w:p w:rsidR="00CB3670" w:rsidRPr="00CB3670" w:rsidRDefault="00CB3670" w:rsidP="002C6E60">
            <w:pPr>
              <w:spacing w:after="0" w:line="240" w:lineRule="auto"/>
              <w:jc w:val="center"/>
              <w:rPr>
                <w:rFonts w:ascii="Times New Roman" w:hAnsi="Times New Roman"/>
                <w:b/>
                <w:sz w:val="12"/>
                <w:szCs w:val="12"/>
              </w:rPr>
            </w:pPr>
            <w:r w:rsidRPr="00CB3670">
              <w:rPr>
                <w:rFonts w:ascii="Times New Roman" w:hAnsi="Times New Roman"/>
                <w:b/>
                <w:sz w:val="12"/>
                <w:szCs w:val="12"/>
              </w:rPr>
              <w:t>AIR</w:t>
            </w:r>
          </w:p>
        </w:tc>
        <w:tc>
          <w:tcPr>
            <w:tcW w:w="4536" w:type="dxa"/>
            <w:gridSpan w:val="3"/>
            <w:vAlign w:val="center"/>
          </w:tcPr>
          <w:p w:rsidR="00CB3670" w:rsidRPr="00CB3670" w:rsidRDefault="00CB3670" w:rsidP="00CB3670">
            <w:pPr>
              <w:spacing w:after="0" w:line="240" w:lineRule="auto"/>
              <w:jc w:val="both"/>
              <w:rPr>
                <w:rFonts w:ascii="Times New Roman" w:hAnsi="Times New Roman"/>
                <w:sz w:val="16"/>
                <w:szCs w:val="16"/>
              </w:rPr>
            </w:pPr>
            <w:r w:rsidRPr="00CB3670">
              <w:rPr>
                <w:rFonts w:ascii="Times New Roman" w:hAnsi="Times New Roman"/>
                <w:sz w:val="16"/>
                <w:szCs w:val="16"/>
              </w:rPr>
              <w:t>Risque de dégradation de la qualité de l’air (bruits, poussières et gaz d’échappement)</w:t>
            </w:r>
          </w:p>
        </w:tc>
        <w:tc>
          <w:tcPr>
            <w:tcW w:w="851" w:type="dxa"/>
            <w:vAlign w:val="center"/>
          </w:tcPr>
          <w:p w:rsidR="00CB3670" w:rsidRPr="00CB3670" w:rsidRDefault="00CB3670" w:rsidP="002C6E60">
            <w:pPr>
              <w:spacing w:after="0" w:line="240" w:lineRule="auto"/>
              <w:jc w:val="center"/>
              <w:rPr>
                <w:rFonts w:ascii="Times New Roman" w:hAnsi="Times New Roman"/>
                <w:sz w:val="16"/>
                <w:szCs w:val="16"/>
              </w:rPr>
            </w:pPr>
            <w:r w:rsidRPr="00CB3670">
              <w:rPr>
                <w:rFonts w:ascii="Times New Roman" w:hAnsi="Times New Roman"/>
                <w:sz w:val="16"/>
                <w:szCs w:val="16"/>
              </w:rPr>
              <w:t>Moyenne</w:t>
            </w:r>
          </w:p>
        </w:tc>
        <w:tc>
          <w:tcPr>
            <w:tcW w:w="283" w:type="dxa"/>
            <w:shd w:val="clear" w:color="auto" w:fill="002060"/>
            <w:vAlign w:val="center"/>
          </w:tcPr>
          <w:p w:rsidR="00CB3670" w:rsidRPr="00CB3670" w:rsidRDefault="00CB3670" w:rsidP="002C6E60">
            <w:pPr>
              <w:spacing w:after="0" w:line="240" w:lineRule="auto"/>
              <w:jc w:val="center"/>
              <w:rPr>
                <w:rFonts w:ascii="Times New Roman" w:hAnsi="Times New Roman"/>
                <w:b/>
                <w:sz w:val="16"/>
                <w:szCs w:val="16"/>
              </w:rPr>
            </w:pPr>
            <w:r w:rsidRPr="00CB3670">
              <w:rPr>
                <w:rFonts w:ascii="Times New Roman" w:hAnsi="Times New Roman"/>
                <w:b/>
                <w:sz w:val="16"/>
                <w:szCs w:val="16"/>
              </w:rPr>
              <w:t>3</w:t>
            </w:r>
          </w:p>
        </w:tc>
        <w:tc>
          <w:tcPr>
            <w:tcW w:w="992" w:type="dxa"/>
            <w:vAlign w:val="center"/>
          </w:tcPr>
          <w:p w:rsidR="00CB3670" w:rsidRPr="00CB3670" w:rsidRDefault="00CB3670" w:rsidP="002C6E60">
            <w:pPr>
              <w:spacing w:after="0" w:line="240" w:lineRule="auto"/>
              <w:jc w:val="center"/>
              <w:rPr>
                <w:rFonts w:ascii="Times New Roman" w:hAnsi="Times New Roman"/>
                <w:sz w:val="16"/>
                <w:szCs w:val="16"/>
              </w:rPr>
            </w:pPr>
            <w:r w:rsidRPr="00CB3670">
              <w:rPr>
                <w:rFonts w:ascii="Times New Roman" w:hAnsi="Times New Roman"/>
                <w:sz w:val="16"/>
                <w:szCs w:val="16"/>
              </w:rPr>
              <w:t>Locale</w:t>
            </w:r>
          </w:p>
        </w:tc>
        <w:tc>
          <w:tcPr>
            <w:tcW w:w="284" w:type="dxa"/>
            <w:shd w:val="clear" w:color="auto" w:fill="002060"/>
            <w:vAlign w:val="center"/>
          </w:tcPr>
          <w:p w:rsidR="00CB3670" w:rsidRPr="00CB3670" w:rsidRDefault="00CB3670" w:rsidP="002C6E60">
            <w:pPr>
              <w:spacing w:after="0" w:line="240" w:lineRule="auto"/>
              <w:jc w:val="center"/>
              <w:rPr>
                <w:rFonts w:ascii="Times New Roman" w:hAnsi="Times New Roman"/>
                <w:b/>
                <w:sz w:val="16"/>
                <w:szCs w:val="16"/>
              </w:rPr>
            </w:pPr>
            <w:r w:rsidRPr="00CB3670">
              <w:rPr>
                <w:rFonts w:ascii="Times New Roman" w:hAnsi="Times New Roman"/>
                <w:b/>
                <w:sz w:val="16"/>
                <w:szCs w:val="16"/>
              </w:rPr>
              <w:t>3</w:t>
            </w:r>
          </w:p>
        </w:tc>
        <w:tc>
          <w:tcPr>
            <w:tcW w:w="850" w:type="dxa"/>
            <w:vAlign w:val="center"/>
          </w:tcPr>
          <w:p w:rsidR="00CB3670" w:rsidRPr="00CB3670" w:rsidRDefault="00CB3670" w:rsidP="002C6E60">
            <w:pPr>
              <w:spacing w:after="0" w:line="240" w:lineRule="auto"/>
              <w:jc w:val="center"/>
              <w:rPr>
                <w:rFonts w:ascii="Times New Roman" w:hAnsi="Times New Roman"/>
                <w:sz w:val="16"/>
                <w:szCs w:val="16"/>
              </w:rPr>
            </w:pPr>
            <w:r w:rsidRPr="00CB3670">
              <w:rPr>
                <w:rFonts w:ascii="Times New Roman" w:hAnsi="Times New Roman"/>
                <w:sz w:val="16"/>
                <w:szCs w:val="16"/>
              </w:rPr>
              <w:t>Courte</w:t>
            </w:r>
          </w:p>
        </w:tc>
        <w:tc>
          <w:tcPr>
            <w:tcW w:w="284" w:type="dxa"/>
            <w:shd w:val="clear" w:color="auto" w:fill="002060"/>
            <w:vAlign w:val="center"/>
          </w:tcPr>
          <w:p w:rsidR="00CB3670" w:rsidRPr="00CB3670" w:rsidRDefault="00CB3670" w:rsidP="002C6E60">
            <w:pPr>
              <w:spacing w:after="0" w:line="240" w:lineRule="auto"/>
              <w:jc w:val="center"/>
              <w:rPr>
                <w:rFonts w:ascii="Times New Roman" w:hAnsi="Times New Roman"/>
                <w:b/>
                <w:sz w:val="16"/>
                <w:szCs w:val="16"/>
              </w:rPr>
            </w:pPr>
            <w:r w:rsidRPr="00CB3670">
              <w:rPr>
                <w:rFonts w:ascii="Times New Roman" w:hAnsi="Times New Roman"/>
                <w:b/>
                <w:sz w:val="16"/>
                <w:szCs w:val="16"/>
              </w:rPr>
              <w:t>1</w:t>
            </w:r>
          </w:p>
        </w:tc>
        <w:tc>
          <w:tcPr>
            <w:tcW w:w="850" w:type="dxa"/>
            <w:shd w:val="clear" w:color="auto" w:fill="92D050"/>
            <w:vAlign w:val="center"/>
          </w:tcPr>
          <w:p w:rsidR="00CB3670" w:rsidRPr="00CB3670" w:rsidRDefault="00CB3670" w:rsidP="002C6E60">
            <w:pPr>
              <w:spacing w:after="0" w:line="240" w:lineRule="auto"/>
              <w:jc w:val="center"/>
              <w:rPr>
                <w:rFonts w:ascii="Times New Roman" w:hAnsi="Times New Roman"/>
                <w:b/>
                <w:sz w:val="16"/>
                <w:szCs w:val="16"/>
              </w:rPr>
            </w:pPr>
            <w:r w:rsidRPr="00CB3670">
              <w:rPr>
                <w:rFonts w:ascii="Times New Roman" w:hAnsi="Times New Roman"/>
                <w:b/>
                <w:sz w:val="16"/>
                <w:szCs w:val="16"/>
              </w:rPr>
              <w:t>Mineure</w:t>
            </w:r>
          </w:p>
        </w:tc>
        <w:tc>
          <w:tcPr>
            <w:tcW w:w="586" w:type="dxa"/>
            <w:shd w:val="clear" w:color="auto" w:fill="92D050"/>
            <w:vAlign w:val="center"/>
          </w:tcPr>
          <w:p w:rsidR="00CB3670" w:rsidRPr="00CB3670" w:rsidRDefault="00CB3670" w:rsidP="002C6E60">
            <w:pPr>
              <w:spacing w:after="0" w:line="240" w:lineRule="auto"/>
              <w:jc w:val="center"/>
              <w:rPr>
                <w:rFonts w:ascii="Times New Roman" w:hAnsi="Times New Roman"/>
                <w:b/>
                <w:sz w:val="16"/>
                <w:szCs w:val="16"/>
              </w:rPr>
            </w:pPr>
            <w:r w:rsidRPr="00CB3670">
              <w:rPr>
                <w:rFonts w:ascii="Times New Roman" w:hAnsi="Times New Roman"/>
                <w:b/>
                <w:sz w:val="16"/>
                <w:szCs w:val="16"/>
              </w:rPr>
              <w:t>9</w:t>
            </w:r>
          </w:p>
        </w:tc>
      </w:tr>
      <w:tr w:rsidR="00CB3670" w:rsidRPr="00CB3670" w:rsidTr="00CB3670">
        <w:trPr>
          <w:jc w:val="center"/>
        </w:trPr>
        <w:tc>
          <w:tcPr>
            <w:tcW w:w="988" w:type="dxa"/>
            <w:vMerge/>
            <w:shd w:val="clear" w:color="auto" w:fill="BDD6EE"/>
            <w:vAlign w:val="center"/>
          </w:tcPr>
          <w:p w:rsidR="00CB3670" w:rsidRPr="00CB3670" w:rsidRDefault="00CB3670" w:rsidP="002C6E60">
            <w:pPr>
              <w:spacing w:after="0" w:line="240" w:lineRule="auto"/>
              <w:jc w:val="center"/>
              <w:rPr>
                <w:rFonts w:ascii="Times New Roman" w:hAnsi="Times New Roman"/>
                <w:sz w:val="16"/>
                <w:szCs w:val="16"/>
              </w:rPr>
            </w:pPr>
          </w:p>
        </w:tc>
        <w:tc>
          <w:tcPr>
            <w:tcW w:w="850" w:type="dxa"/>
            <w:vMerge w:val="restart"/>
            <w:vAlign w:val="center"/>
          </w:tcPr>
          <w:p w:rsidR="00CB3670" w:rsidRPr="00CB3670" w:rsidRDefault="00CB3670" w:rsidP="002C6E60">
            <w:pPr>
              <w:spacing w:after="0" w:line="240" w:lineRule="auto"/>
              <w:jc w:val="center"/>
              <w:rPr>
                <w:rFonts w:ascii="Times New Roman" w:hAnsi="Times New Roman"/>
                <w:b/>
                <w:sz w:val="12"/>
                <w:szCs w:val="12"/>
              </w:rPr>
            </w:pPr>
            <w:r w:rsidRPr="00CB3670">
              <w:rPr>
                <w:rFonts w:ascii="Times New Roman" w:hAnsi="Times New Roman"/>
                <w:b/>
                <w:sz w:val="12"/>
                <w:szCs w:val="12"/>
              </w:rPr>
              <w:t>SOL</w:t>
            </w:r>
          </w:p>
        </w:tc>
        <w:tc>
          <w:tcPr>
            <w:tcW w:w="4536" w:type="dxa"/>
            <w:gridSpan w:val="3"/>
            <w:vAlign w:val="center"/>
          </w:tcPr>
          <w:p w:rsidR="00CB3670" w:rsidRPr="00CB3670" w:rsidRDefault="00CB3670" w:rsidP="002C6E60">
            <w:pPr>
              <w:spacing w:after="0" w:line="240" w:lineRule="auto"/>
              <w:jc w:val="both"/>
              <w:rPr>
                <w:rFonts w:ascii="Times New Roman" w:hAnsi="Times New Roman"/>
                <w:sz w:val="16"/>
                <w:szCs w:val="16"/>
              </w:rPr>
            </w:pPr>
            <w:r w:rsidRPr="00CB3670">
              <w:rPr>
                <w:rFonts w:ascii="Times New Roman" w:hAnsi="Times New Roman"/>
                <w:sz w:val="16"/>
                <w:szCs w:val="16"/>
              </w:rPr>
              <w:t>Risque de production de déblais et de modification de la texture des sols</w:t>
            </w:r>
          </w:p>
        </w:tc>
        <w:tc>
          <w:tcPr>
            <w:tcW w:w="851" w:type="dxa"/>
            <w:vMerge w:val="restart"/>
            <w:vAlign w:val="center"/>
          </w:tcPr>
          <w:p w:rsidR="00CB3670" w:rsidRPr="00CB3670" w:rsidRDefault="00CB3670" w:rsidP="002C6E60">
            <w:pPr>
              <w:spacing w:after="0" w:line="240" w:lineRule="auto"/>
              <w:jc w:val="center"/>
              <w:rPr>
                <w:rFonts w:ascii="Times New Roman" w:hAnsi="Times New Roman"/>
                <w:sz w:val="16"/>
                <w:szCs w:val="16"/>
              </w:rPr>
            </w:pPr>
            <w:r w:rsidRPr="00CB3670">
              <w:rPr>
                <w:rFonts w:ascii="Times New Roman" w:hAnsi="Times New Roman"/>
                <w:sz w:val="16"/>
                <w:szCs w:val="16"/>
              </w:rPr>
              <w:t>Forte</w:t>
            </w:r>
          </w:p>
        </w:tc>
        <w:tc>
          <w:tcPr>
            <w:tcW w:w="283" w:type="dxa"/>
            <w:vMerge w:val="restart"/>
            <w:shd w:val="clear" w:color="auto" w:fill="002060"/>
            <w:vAlign w:val="center"/>
          </w:tcPr>
          <w:p w:rsidR="00CB3670" w:rsidRPr="00CB3670" w:rsidRDefault="00CB3670" w:rsidP="002C6E60">
            <w:pPr>
              <w:spacing w:after="0" w:line="240" w:lineRule="auto"/>
              <w:jc w:val="center"/>
              <w:rPr>
                <w:rFonts w:ascii="Times New Roman" w:hAnsi="Times New Roman"/>
                <w:b/>
                <w:sz w:val="16"/>
                <w:szCs w:val="16"/>
              </w:rPr>
            </w:pPr>
            <w:r w:rsidRPr="00CB3670">
              <w:rPr>
                <w:rFonts w:ascii="Times New Roman" w:hAnsi="Times New Roman"/>
                <w:b/>
                <w:sz w:val="16"/>
                <w:szCs w:val="16"/>
              </w:rPr>
              <w:t>5</w:t>
            </w:r>
          </w:p>
        </w:tc>
        <w:tc>
          <w:tcPr>
            <w:tcW w:w="992" w:type="dxa"/>
            <w:vMerge w:val="restart"/>
            <w:vAlign w:val="center"/>
          </w:tcPr>
          <w:p w:rsidR="00CB3670" w:rsidRPr="00CB3670" w:rsidRDefault="00CB3670" w:rsidP="002C6E60">
            <w:pPr>
              <w:spacing w:after="0" w:line="240" w:lineRule="auto"/>
              <w:jc w:val="center"/>
              <w:rPr>
                <w:rFonts w:ascii="Times New Roman" w:hAnsi="Times New Roman"/>
                <w:sz w:val="16"/>
                <w:szCs w:val="16"/>
              </w:rPr>
            </w:pPr>
            <w:r w:rsidRPr="00CB3670">
              <w:rPr>
                <w:rFonts w:ascii="Times New Roman" w:hAnsi="Times New Roman"/>
                <w:sz w:val="16"/>
                <w:szCs w:val="16"/>
              </w:rPr>
              <w:t>Ponctuelle</w:t>
            </w:r>
          </w:p>
        </w:tc>
        <w:tc>
          <w:tcPr>
            <w:tcW w:w="284" w:type="dxa"/>
            <w:vMerge w:val="restart"/>
            <w:shd w:val="clear" w:color="auto" w:fill="002060"/>
            <w:vAlign w:val="center"/>
          </w:tcPr>
          <w:p w:rsidR="00CB3670" w:rsidRPr="00CB3670" w:rsidRDefault="00CB3670" w:rsidP="002C6E60">
            <w:pPr>
              <w:spacing w:after="0" w:line="240" w:lineRule="auto"/>
              <w:jc w:val="center"/>
              <w:rPr>
                <w:rFonts w:ascii="Times New Roman" w:hAnsi="Times New Roman"/>
                <w:b/>
                <w:sz w:val="16"/>
                <w:szCs w:val="16"/>
              </w:rPr>
            </w:pPr>
            <w:r w:rsidRPr="00CB3670">
              <w:rPr>
                <w:rFonts w:ascii="Times New Roman" w:hAnsi="Times New Roman"/>
                <w:b/>
                <w:sz w:val="16"/>
                <w:szCs w:val="16"/>
              </w:rPr>
              <w:t>1</w:t>
            </w:r>
          </w:p>
        </w:tc>
        <w:tc>
          <w:tcPr>
            <w:tcW w:w="850" w:type="dxa"/>
            <w:vMerge w:val="restart"/>
            <w:vAlign w:val="center"/>
          </w:tcPr>
          <w:p w:rsidR="00CB3670" w:rsidRPr="00CB3670" w:rsidRDefault="00CB3670" w:rsidP="002C6E60">
            <w:pPr>
              <w:spacing w:after="0" w:line="240" w:lineRule="auto"/>
              <w:jc w:val="center"/>
              <w:rPr>
                <w:rFonts w:ascii="Times New Roman" w:hAnsi="Times New Roman"/>
                <w:sz w:val="16"/>
                <w:szCs w:val="16"/>
              </w:rPr>
            </w:pPr>
            <w:r w:rsidRPr="00CB3670">
              <w:rPr>
                <w:rFonts w:ascii="Times New Roman" w:hAnsi="Times New Roman"/>
                <w:sz w:val="16"/>
                <w:szCs w:val="16"/>
              </w:rPr>
              <w:t>Courte</w:t>
            </w:r>
          </w:p>
        </w:tc>
        <w:tc>
          <w:tcPr>
            <w:tcW w:w="284" w:type="dxa"/>
            <w:vMerge w:val="restart"/>
            <w:shd w:val="clear" w:color="auto" w:fill="002060"/>
            <w:vAlign w:val="center"/>
          </w:tcPr>
          <w:p w:rsidR="00CB3670" w:rsidRPr="00CB3670" w:rsidRDefault="00CB3670" w:rsidP="002C6E60">
            <w:pPr>
              <w:spacing w:after="0" w:line="240" w:lineRule="auto"/>
              <w:jc w:val="center"/>
              <w:rPr>
                <w:rFonts w:ascii="Times New Roman" w:hAnsi="Times New Roman"/>
                <w:b/>
                <w:sz w:val="16"/>
                <w:szCs w:val="16"/>
              </w:rPr>
            </w:pPr>
            <w:r w:rsidRPr="00CB3670">
              <w:rPr>
                <w:rFonts w:ascii="Times New Roman" w:hAnsi="Times New Roman"/>
                <w:b/>
                <w:sz w:val="16"/>
                <w:szCs w:val="16"/>
              </w:rPr>
              <w:t>1</w:t>
            </w:r>
          </w:p>
        </w:tc>
        <w:tc>
          <w:tcPr>
            <w:tcW w:w="850" w:type="dxa"/>
            <w:vMerge w:val="restart"/>
            <w:shd w:val="clear" w:color="auto" w:fill="92D050"/>
            <w:vAlign w:val="center"/>
          </w:tcPr>
          <w:p w:rsidR="00CB3670" w:rsidRPr="00CB3670" w:rsidRDefault="00CB3670" w:rsidP="002C6E60">
            <w:pPr>
              <w:spacing w:after="0" w:line="240" w:lineRule="auto"/>
              <w:jc w:val="center"/>
              <w:rPr>
                <w:rFonts w:ascii="Times New Roman" w:hAnsi="Times New Roman"/>
                <w:b/>
                <w:sz w:val="16"/>
                <w:szCs w:val="16"/>
              </w:rPr>
            </w:pPr>
            <w:r w:rsidRPr="00CB3670">
              <w:rPr>
                <w:rFonts w:ascii="Times New Roman" w:hAnsi="Times New Roman"/>
                <w:b/>
                <w:sz w:val="16"/>
                <w:szCs w:val="16"/>
              </w:rPr>
              <w:t>Mineure</w:t>
            </w:r>
          </w:p>
        </w:tc>
        <w:tc>
          <w:tcPr>
            <w:tcW w:w="586" w:type="dxa"/>
            <w:vMerge w:val="restart"/>
            <w:shd w:val="clear" w:color="auto" w:fill="92D050"/>
            <w:vAlign w:val="center"/>
          </w:tcPr>
          <w:p w:rsidR="00CB3670" w:rsidRPr="00CB3670" w:rsidRDefault="00CB3670" w:rsidP="002C6E60">
            <w:pPr>
              <w:spacing w:after="0" w:line="240" w:lineRule="auto"/>
              <w:jc w:val="center"/>
              <w:rPr>
                <w:rFonts w:ascii="Times New Roman" w:hAnsi="Times New Roman"/>
                <w:b/>
                <w:sz w:val="16"/>
                <w:szCs w:val="16"/>
              </w:rPr>
            </w:pPr>
            <w:r w:rsidRPr="00CB3670">
              <w:rPr>
                <w:rFonts w:ascii="Times New Roman" w:hAnsi="Times New Roman"/>
                <w:b/>
                <w:sz w:val="16"/>
                <w:szCs w:val="16"/>
              </w:rPr>
              <w:t>5</w:t>
            </w:r>
          </w:p>
        </w:tc>
      </w:tr>
      <w:tr w:rsidR="00CB3670" w:rsidRPr="00CB3670" w:rsidTr="00CB3670">
        <w:trPr>
          <w:jc w:val="center"/>
        </w:trPr>
        <w:tc>
          <w:tcPr>
            <w:tcW w:w="988" w:type="dxa"/>
            <w:vMerge/>
            <w:shd w:val="clear" w:color="auto" w:fill="BDD6EE"/>
            <w:vAlign w:val="center"/>
          </w:tcPr>
          <w:p w:rsidR="00CB3670" w:rsidRPr="00CB3670" w:rsidRDefault="00CB3670" w:rsidP="002C6E60">
            <w:pPr>
              <w:spacing w:after="0" w:line="240" w:lineRule="auto"/>
              <w:jc w:val="center"/>
              <w:rPr>
                <w:rFonts w:ascii="Times New Roman" w:hAnsi="Times New Roman"/>
                <w:sz w:val="16"/>
                <w:szCs w:val="16"/>
              </w:rPr>
            </w:pPr>
          </w:p>
        </w:tc>
        <w:tc>
          <w:tcPr>
            <w:tcW w:w="850" w:type="dxa"/>
            <w:vMerge/>
            <w:vAlign w:val="center"/>
          </w:tcPr>
          <w:p w:rsidR="00CB3670" w:rsidRPr="00CB3670" w:rsidRDefault="00CB3670" w:rsidP="002C6E60">
            <w:pPr>
              <w:spacing w:after="0" w:line="240" w:lineRule="auto"/>
              <w:jc w:val="center"/>
              <w:rPr>
                <w:rFonts w:ascii="Times New Roman" w:hAnsi="Times New Roman"/>
                <w:b/>
                <w:sz w:val="12"/>
                <w:szCs w:val="12"/>
              </w:rPr>
            </w:pPr>
          </w:p>
        </w:tc>
        <w:tc>
          <w:tcPr>
            <w:tcW w:w="4536" w:type="dxa"/>
            <w:gridSpan w:val="3"/>
            <w:vAlign w:val="center"/>
          </w:tcPr>
          <w:p w:rsidR="00CB3670" w:rsidRPr="00CB3670" w:rsidRDefault="00CB3670" w:rsidP="00CB3670">
            <w:pPr>
              <w:spacing w:after="0" w:line="240" w:lineRule="auto"/>
              <w:jc w:val="both"/>
              <w:rPr>
                <w:rFonts w:ascii="Times New Roman" w:hAnsi="Times New Roman"/>
                <w:sz w:val="16"/>
                <w:szCs w:val="16"/>
              </w:rPr>
            </w:pPr>
            <w:r w:rsidRPr="00CB3670">
              <w:rPr>
                <w:rFonts w:ascii="Times New Roman" w:hAnsi="Times New Roman"/>
                <w:sz w:val="16"/>
                <w:szCs w:val="16"/>
              </w:rPr>
              <w:t>Risque de pollution accidentelle des sols est à craindre dues à d’éventuelles fuites de carburant ou de lubrifiant.</w:t>
            </w:r>
          </w:p>
        </w:tc>
        <w:tc>
          <w:tcPr>
            <w:tcW w:w="851" w:type="dxa"/>
            <w:vMerge/>
            <w:vAlign w:val="center"/>
          </w:tcPr>
          <w:p w:rsidR="00CB3670" w:rsidRPr="00CB3670" w:rsidRDefault="00CB3670" w:rsidP="002C6E60">
            <w:pPr>
              <w:spacing w:after="0" w:line="240" w:lineRule="auto"/>
              <w:jc w:val="center"/>
              <w:rPr>
                <w:rFonts w:ascii="Times New Roman" w:hAnsi="Times New Roman"/>
                <w:sz w:val="16"/>
                <w:szCs w:val="16"/>
              </w:rPr>
            </w:pPr>
          </w:p>
        </w:tc>
        <w:tc>
          <w:tcPr>
            <w:tcW w:w="283" w:type="dxa"/>
            <w:vMerge/>
            <w:shd w:val="clear" w:color="auto" w:fill="002060"/>
            <w:vAlign w:val="center"/>
          </w:tcPr>
          <w:p w:rsidR="00CB3670" w:rsidRPr="00CB3670" w:rsidRDefault="00CB3670" w:rsidP="002C6E60">
            <w:pPr>
              <w:spacing w:after="0" w:line="240" w:lineRule="auto"/>
              <w:jc w:val="center"/>
              <w:rPr>
                <w:rFonts w:ascii="Times New Roman" w:hAnsi="Times New Roman"/>
                <w:b/>
                <w:sz w:val="16"/>
                <w:szCs w:val="16"/>
              </w:rPr>
            </w:pPr>
          </w:p>
        </w:tc>
        <w:tc>
          <w:tcPr>
            <w:tcW w:w="992" w:type="dxa"/>
            <w:vMerge/>
            <w:vAlign w:val="center"/>
          </w:tcPr>
          <w:p w:rsidR="00CB3670" w:rsidRPr="00CB3670" w:rsidRDefault="00CB3670" w:rsidP="002C6E60">
            <w:pPr>
              <w:spacing w:after="0" w:line="240" w:lineRule="auto"/>
              <w:jc w:val="center"/>
              <w:rPr>
                <w:rFonts w:ascii="Times New Roman" w:hAnsi="Times New Roman"/>
                <w:sz w:val="16"/>
                <w:szCs w:val="16"/>
              </w:rPr>
            </w:pPr>
          </w:p>
        </w:tc>
        <w:tc>
          <w:tcPr>
            <w:tcW w:w="284" w:type="dxa"/>
            <w:vMerge/>
            <w:shd w:val="clear" w:color="auto" w:fill="002060"/>
            <w:vAlign w:val="center"/>
          </w:tcPr>
          <w:p w:rsidR="00CB3670" w:rsidRPr="00CB3670" w:rsidRDefault="00CB3670" w:rsidP="002C6E60">
            <w:pPr>
              <w:spacing w:after="0" w:line="240" w:lineRule="auto"/>
              <w:jc w:val="center"/>
              <w:rPr>
                <w:rFonts w:ascii="Times New Roman" w:hAnsi="Times New Roman"/>
                <w:b/>
                <w:sz w:val="16"/>
                <w:szCs w:val="16"/>
              </w:rPr>
            </w:pPr>
          </w:p>
        </w:tc>
        <w:tc>
          <w:tcPr>
            <w:tcW w:w="850" w:type="dxa"/>
            <w:vMerge/>
            <w:vAlign w:val="center"/>
          </w:tcPr>
          <w:p w:rsidR="00CB3670" w:rsidRPr="00CB3670" w:rsidRDefault="00CB3670" w:rsidP="002C6E60">
            <w:pPr>
              <w:spacing w:after="0" w:line="240" w:lineRule="auto"/>
              <w:jc w:val="center"/>
              <w:rPr>
                <w:rFonts w:ascii="Times New Roman" w:hAnsi="Times New Roman"/>
                <w:sz w:val="16"/>
                <w:szCs w:val="16"/>
              </w:rPr>
            </w:pPr>
          </w:p>
        </w:tc>
        <w:tc>
          <w:tcPr>
            <w:tcW w:w="284" w:type="dxa"/>
            <w:vMerge/>
            <w:shd w:val="clear" w:color="auto" w:fill="002060"/>
            <w:vAlign w:val="center"/>
          </w:tcPr>
          <w:p w:rsidR="00CB3670" w:rsidRPr="00CB3670" w:rsidRDefault="00CB3670" w:rsidP="002C6E60">
            <w:pPr>
              <w:spacing w:after="0" w:line="240" w:lineRule="auto"/>
              <w:jc w:val="center"/>
              <w:rPr>
                <w:rFonts w:ascii="Times New Roman" w:hAnsi="Times New Roman"/>
                <w:b/>
                <w:sz w:val="16"/>
                <w:szCs w:val="16"/>
              </w:rPr>
            </w:pPr>
          </w:p>
        </w:tc>
        <w:tc>
          <w:tcPr>
            <w:tcW w:w="850" w:type="dxa"/>
            <w:vMerge/>
            <w:shd w:val="clear" w:color="auto" w:fill="92D050"/>
            <w:vAlign w:val="center"/>
          </w:tcPr>
          <w:p w:rsidR="00CB3670" w:rsidRPr="00CB3670" w:rsidRDefault="00CB3670" w:rsidP="002C6E60">
            <w:pPr>
              <w:spacing w:after="0" w:line="240" w:lineRule="auto"/>
              <w:jc w:val="center"/>
              <w:rPr>
                <w:rFonts w:ascii="Times New Roman" w:hAnsi="Times New Roman"/>
                <w:b/>
                <w:sz w:val="16"/>
                <w:szCs w:val="16"/>
              </w:rPr>
            </w:pPr>
          </w:p>
        </w:tc>
        <w:tc>
          <w:tcPr>
            <w:tcW w:w="586" w:type="dxa"/>
            <w:vMerge/>
            <w:shd w:val="clear" w:color="auto" w:fill="92D050"/>
            <w:vAlign w:val="center"/>
          </w:tcPr>
          <w:p w:rsidR="00CB3670" w:rsidRPr="00CB3670" w:rsidRDefault="00CB3670" w:rsidP="002C6E60">
            <w:pPr>
              <w:spacing w:after="0" w:line="240" w:lineRule="auto"/>
              <w:jc w:val="center"/>
              <w:rPr>
                <w:rFonts w:ascii="Times New Roman" w:hAnsi="Times New Roman"/>
                <w:b/>
                <w:sz w:val="16"/>
                <w:szCs w:val="16"/>
              </w:rPr>
            </w:pPr>
          </w:p>
        </w:tc>
      </w:tr>
      <w:tr w:rsidR="00CB3670" w:rsidRPr="00CB3670" w:rsidTr="00CB3670">
        <w:trPr>
          <w:jc w:val="center"/>
        </w:trPr>
        <w:tc>
          <w:tcPr>
            <w:tcW w:w="988" w:type="dxa"/>
            <w:vMerge/>
            <w:shd w:val="clear" w:color="auto" w:fill="BDD6EE"/>
            <w:vAlign w:val="center"/>
          </w:tcPr>
          <w:p w:rsidR="00CB3670" w:rsidRPr="00CB3670" w:rsidRDefault="00CB3670" w:rsidP="002C6E60">
            <w:pPr>
              <w:spacing w:after="0" w:line="240" w:lineRule="auto"/>
              <w:jc w:val="center"/>
              <w:rPr>
                <w:rFonts w:ascii="Times New Roman" w:hAnsi="Times New Roman"/>
                <w:sz w:val="16"/>
                <w:szCs w:val="16"/>
              </w:rPr>
            </w:pPr>
          </w:p>
        </w:tc>
        <w:tc>
          <w:tcPr>
            <w:tcW w:w="850" w:type="dxa"/>
            <w:vMerge/>
            <w:vAlign w:val="center"/>
          </w:tcPr>
          <w:p w:rsidR="00CB3670" w:rsidRPr="00CB3670" w:rsidRDefault="00CB3670" w:rsidP="002C6E60">
            <w:pPr>
              <w:spacing w:after="0" w:line="240" w:lineRule="auto"/>
              <w:jc w:val="center"/>
              <w:rPr>
                <w:rFonts w:ascii="Times New Roman" w:hAnsi="Times New Roman"/>
                <w:b/>
                <w:sz w:val="12"/>
                <w:szCs w:val="12"/>
              </w:rPr>
            </w:pPr>
          </w:p>
        </w:tc>
        <w:tc>
          <w:tcPr>
            <w:tcW w:w="4536" w:type="dxa"/>
            <w:gridSpan w:val="3"/>
            <w:vAlign w:val="center"/>
          </w:tcPr>
          <w:p w:rsidR="00CB3670" w:rsidRPr="00CB3670" w:rsidRDefault="00CB3670" w:rsidP="00CB3670">
            <w:pPr>
              <w:spacing w:after="0" w:line="240" w:lineRule="auto"/>
              <w:jc w:val="both"/>
              <w:rPr>
                <w:rFonts w:ascii="Times New Roman" w:hAnsi="Times New Roman"/>
                <w:sz w:val="16"/>
                <w:szCs w:val="16"/>
              </w:rPr>
            </w:pPr>
            <w:r w:rsidRPr="00CB3670">
              <w:rPr>
                <w:rFonts w:ascii="Times New Roman" w:hAnsi="Times New Roman"/>
                <w:sz w:val="16"/>
                <w:szCs w:val="16"/>
              </w:rPr>
              <w:t>Risque d’une fragilisation et d’un tassement des sols  et  du  sous-sol</w:t>
            </w:r>
          </w:p>
        </w:tc>
        <w:tc>
          <w:tcPr>
            <w:tcW w:w="851" w:type="dxa"/>
            <w:vMerge/>
            <w:vAlign w:val="center"/>
          </w:tcPr>
          <w:p w:rsidR="00CB3670" w:rsidRPr="00CB3670" w:rsidRDefault="00CB3670" w:rsidP="002C6E60">
            <w:pPr>
              <w:spacing w:after="0" w:line="240" w:lineRule="auto"/>
              <w:jc w:val="center"/>
              <w:rPr>
                <w:rFonts w:ascii="Times New Roman" w:hAnsi="Times New Roman"/>
                <w:sz w:val="16"/>
                <w:szCs w:val="16"/>
              </w:rPr>
            </w:pPr>
          </w:p>
        </w:tc>
        <w:tc>
          <w:tcPr>
            <w:tcW w:w="283" w:type="dxa"/>
            <w:vMerge/>
            <w:shd w:val="clear" w:color="auto" w:fill="002060"/>
            <w:vAlign w:val="center"/>
          </w:tcPr>
          <w:p w:rsidR="00CB3670" w:rsidRPr="00CB3670" w:rsidRDefault="00CB3670" w:rsidP="002C6E60">
            <w:pPr>
              <w:spacing w:after="0" w:line="240" w:lineRule="auto"/>
              <w:jc w:val="center"/>
              <w:rPr>
                <w:rFonts w:ascii="Times New Roman" w:hAnsi="Times New Roman"/>
                <w:b/>
                <w:sz w:val="16"/>
                <w:szCs w:val="16"/>
              </w:rPr>
            </w:pPr>
          </w:p>
        </w:tc>
        <w:tc>
          <w:tcPr>
            <w:tcW w:w="992" w:type="dxa"/>
            <w:vMerge/>
            <w:vAlign w:val="center"/>
          </w:tcPr>
          <w:p w:rsidR="00CB3670" w:rsidRPr="00CB3670" w:rsidRDefault="00CB3670" w:rsidP="002C6E60">
            <w:pPr>
              <w:spacing w:after="0" w:line="240" w:lineRule="auto"/>
              <w:jc w:val="center"/>
              <w:rPr>
                <w:rFonts w:ascii="Times New Roman" w:hAnsi="Times New Roman"/>
                <w:sz w:val="16"/>
                <w:szCs w:val="16"/>
              </w:rPr>
            </w:pPr>
          </w:p>
        </w:tc>
        <w:tc>
          <w:tcPr>
            <w:tcW w:w="284" w:type="dxa"/>
            <w:vMerge/>
            <w:shd w:val="clear" w:color="auto" w:fill="002060"/>
            <w:vAlign w:val="center"/>
          </w:tcPr>
          <w:p w:rsidR="00CB3670" w:rsidRPr="00CB3670" w:rsidRDefault="00CB3670" w:rsidP="002C6E60">
            <w:pPr>
              <w:spacing w:after="0" w:line="240" w:lineRule="auto"/>
              <w:jc w:val="center"/>
              <w:rPr>
                <w:rFonts w:ascii="Times New Roman" w:hAnsi="Times New Roman"/>
                <w:b/>
                <w:sz w:val="16"/>
                <w:szCs w:val="16"/>
              </w:rPr>
            </w:pPr>
          </w:p>
        </w:tc>
        <w:tc>
          <w:tcPr>
            <w:tcW w:w="850" w:type="dxa"/>
            <w:vMerge/>
            <w:vAlign w:val="center"/>
          </w:tcPr>
          <w:p w:rsidR="00CB3670" w:rsidRPr="00CB3670" w:rsidRDefault="00CB3670" w:rsidP="002C6E60">
            <w:pPr>
              <w:spacing w:after="0" w:line="240" w:lineRule="auto"/>
              <w:jc w:val="center"/>
              <w:rPr>
                <w:rFonts w:ascii="Times New Roman" w:hAnsi="Times New Roman"/>
                <w:sz w:val="16"/>
                <w:szCs w:val="16"/>
              </w:rPr>
            </w:pPr>
          </w:p>
        </w:tc>
        <w:tc>
          <w:tcPr>
            <w:tcW w:w="284" w:type="dxa"/>
            <w:vMerge/>
            <w:shd w:val="clear" w:color="auto" w:fill="002060"/>
            <w:vAlign w:val="center"/>
          </w:tcPr>
          <w:p w:rsidR="00CB3670" w:rsidRPr="00CB3670" w:rsidRDefault="00CB3670" w:rsidP="002C6E60">
            <w:pPr>
              <w:spacing w:after="0" w:line="240" w:lineRule="auto"/>
              <w:jc w:val="center"/>
              <w:rPr>
                <w:rFonts w:ascii="Times New Roman" w:hAnsi="Times New Roman"/>
                <w:b/>
                <w:sz w:val="16"/>
                <w:szCs w:val="16"/>
              </w:rPr>
            </w:pPr>
          </w:p>
        </w:tc>
        <w:tc>
          <w:tcPr>
            <w:tcW w:w="850" w:type="dxa"/>
            <w:vMerge/>
            <w:shd w:val="clear" w:color="auto" w:fill="92D050"/>
            <w:vAlign w:val="center"/>
          </w:tcPr>
          <w:p w:rsidR="00CB3670" w:rsidRPr="00CB3670" w:rsidRDefault="00CB3670" w:rsidP="002C6E60">
            <w:pPr>
              <w:spacing w:after="0" w:line="240" w:lineRule="auto"/>
              <w:jc w:val="center"/>
              <w:rPr>
                <w:rFonts w:ascii="Times New Roman" w:hAnsi="Times New Roman"/>
                <w:b/>
                <w:sz w:val="16"/>
                <w:szCs w:val="16"/>
              </w:rPr>
            </w:pPr>
          </w:p>
        </w:tc>
        <w:tc>
          <w:tcPr>
            <w:tcW w:w="586" w:type="dxa"/>
            <w:vMerge/>
            <w:shd w:val="clear" w:color="auto" w:fill="92D050"/>
            <w:vAlign w:val="center"/>
          </w:tcPr>
          <w:p w:rsidR="00CB3670" w:rsidRPr="00CB3670" w:rsidRDefault="00CB3670" w:rsidP="002C6E60">
            <w:pPr>
              <w:spacing w:after="0" w:line="240" w:lineRule="auto"/>
              <w:jc w:val="center"/>
              <w:rPr>
                <w:rFonts w:ascii="Times New Roman" w:hAnsi="Times New Roman"/>
                <w:b/>
                <w:sz w:val="16"/>
                <w:szCs w:val="16"/>
              </w:rPr>
            </w:pPr>
          </w:p>
        </w:tc>
      </w:tr>
      <w:tr w:rsidR="00CB3670" w:rsidRPr="00CB3670" w:rsidTr="00CB3670">
        <w:trPr>
          <w:jc w:val="center"/>
        </w:trPr>
        <w:tc>
          <w:tcPr>
            <w:tcW w:w="988" w:type="dxa"/>
            <w:vMerge/>
            <w:shd w:val="clear" w:color="auto" w:fill="BDD6EE"/>
            <w:vAlign w:val="center"/>
          </w:tcPr>
          <w:p w:rsidR="00CB3670" w:rsidRPr="00CB3670" w:rsidRDefault="00CB3670" w:rsidP="002C6E60">
            <w:pPr>
              <w:spacing w:after="0" w:line="240" w:lineRule="auto"/>
              <w:jc w:val="center"/>
              <w:rPr>
                <w:rFonts w:ascii="Times New Roman" w:hAnsi="Times New Roman"/>
                <w:sz w:val="16"/>
                <w:szCs w:val="16"/>
              </w:rPr>
            </w:pPr>
          </w:p>
        </w:tc>
        <w:tc>
          <w:tcPr>
            <w:tcW w:w="850" w:type="dxa"/>
            <w:vMerge w:val="restart"/>
            <w:vAlign w:val="center"/>
          </w:tcPr>
          <w:p w:rsidR="00CB3670" w:rsidRPr="00CB3670" w:rsidRDefault="00CB3670" w:rsidP="002C6E60">
            <w:pPr>
              <w:spacing w:after="0" w:line="240" w:lineRule="auto"/>
              <w:jc w:val="center"/>
              <w:rPr>
                <w:rFonts w:ascii="Times New Roman" w:hAnsi="Times New Roman"/>
                <w:b/>
                <w:sz w:val="12"/>
                <w:szCs w:val="12"/>
              </w:rPr>
            </w:pPr>
            <w:r w:rsidRPr="00CB3670">
              <w:rPr>
                <w:rFonts w:ascii="Times New Roman" w:hAnsi="Times New Roman"/>
                <w:b/>
                <w:sz w:val="12"/>
                <w:szCs w:val="12"/>
              </w:rPr>
              <w:t>EAUX</w:t>
            </w:r>
          </w:p>
        </w:tc>
        <w:tc>
          <w:tcPr>
            <w:tcW w:w="4536" w:type="dxa"/>
            <w:gridSpan w:val="3"/>
            <w:vAlign w:val="center"/>
          </w:tcPr>
          <w:p w:rsidR="00CB3670" w:rsidRPr="00CB3670" w:rsidRDefault="00CB3670" w:rsidP="00CB3670">
            <w:pPr>
              <w:spacing w:after="0" w:line="240" w:lineRule="auto"/>
              <w:jc w:val="both"/>
              <w:rPr>
                <w:rFonts w:ascii="Times New Roman" w:hAnsi="Times New Roman"/>
                <w:sz w:val="16"/>
                <w:szCs w:val="16"/>
              </w:rPr>
            </w:pPr>
            <w:r w:rsidRPr="00CB3670">
              <w:rPr>
                <w:rFonts w:ascii="Times New Roman" w:hAnsi="Times New Roman"/>
                <w:sz w:val="16"/>
                <w:szCs w:val="16"/>
              </w:rPr>
              <w:t>Risque potentiel de contamination de ces eaux de ruissellement due à d’éventuelles fuites de carburant ou de lubrifiant</w:t>
            </w:r>
          </w:p>
        </w:tc>
        <w:tc>
          <w:tcPr>
            <w:tcW w:w="851" w:type="dxa"/>
            <w:vMerge w:val="restart"/>
            <w:vAlign w:val="center"/>
          </w:tcPr>
          <w:p w:rsidR="00CB3670" w:rsidRPr="00CB3670" w:rsidRDefault="00CB3670" w:rsidP="002C6E60">
            <w:pPr>
              <w:spacing w:after="0" w:line="240" w:lineRule="auto"/>
              <w:jc w:val="center"/>
              <w:rPr>
                <w:rFonts w:ascii="Times New Roman" w:hAnsi="Times New Roman"/>
                <w:sz w:val="16"/>
                <w:szCs w:val="16"/>
              </w:rPr>
            </w:pPr>
            <w:r w:rsidRPr="00CB3670">
              <w:rPr>
                <w:rFonts w:ascii="Times New Roman" w:hAnsi="Times New Roman"/>
                <w:sz w:val="16"/>
                <w:szCs w:val="16"/>
              </w:rPr>
              <w:t>Forte</w:t>
            </w:r>
          </w:p>
        </w:tc>
        <w:tc>
          <w:tcPr>
            <w:tcW w:w="283" w:type="dxa"/>
            <w:vMerge w:val="restart"/>
            <w:shd w:val="clear" w:color="auto" w:fill="002060"/>
            <w:vAlign w:val="center"/>
          </w:tcPr>
          <w:p w:rsidR="00CB3670" w:rsidRPr="00CB3670" w:rsidRDefault="00CB3670" w:rsidP="002C6E60">
            <w:pPr>
              <w:spacing w:after="0" w:line="240" w:lineRule="auto"/>
              <w:jc w:val="center"/>
              <w:rPr>
                <w:rFonts w:ascii="Times New Roman" w:hAnsi="Times New Roman"/>
                <w:b/>
                <w:sz w:val="16"/>
                <w:szCs w:val="16"/>
              </w:rPr>
            </w:pPr>
            <w:r w:rsidRPr="00CB3670">
              <w:rPr>
                <w:rFonts w:ascii="Times New Roman" w:hAnsi="Times New Roman"/>
                <w:b/>
                <w:sz w:val="16"/>
                <w:szCs w:val="16"/>
              </w:rPr>
              <w:t>5</w:t>
            </w:r>
          </w:p>
        </w:tc>
        <w:tc>
          <w:tcPr>
            <w:tcW w:w="992" w:type="dxa"/>
            <w:vMerge w:val="restart"/>
            <w:vAlign w:val="center"/>
          </w:tcPr>
          <w:p w:rsidR="00CB3670" w:rsidRPr="00CB3670" w:rsidRDefault="00CB3670" w:rsidP="002C6E60">
            <w:pPr>
              <w:spacing w:after="0" w:line="240" w:lineRule="auto"/>
              <w:jc w:val="center"/>
              <w:rPr>
                <w:rFonts w:ascii="Times New Roman" w:hAnsi="Times New Roman"/>
                <w:sz w:val="16"/>
                <w:szCs w:val="16"/>
              </w:rPr>
            </w:pPr>
            <w:r w:rsidRPr="00CB3670">
              <w:rPr>
                <w:rFonts w:ascii="Times New Roman" w:hAnsi="Times New Roman"/>
                <w:sz w:val="16"/>
                <w:szCs w:val="16"/>
              </w:rPr>
              <w:t>Locale</w:t>
            </w:r>
          </w:p>
        </w:tc>
        <w:tc>
          <w:tcPr>
            <w:tcW w:w="284" w:type="dxa"/>
            <w:vMerge w:val="restart"/>
            <w:shd w:val="clear" w:color="auto" w:fill="002060"/>
            <w:vAlign w:val="center"/>
          </w:tcPr>
          <w:p w:rsidR="00CB3670" w:rsidRPr="00CB3670" w:rsidRDefault="00CB3670" w:rsidP="002C6E60">
            <w:pPr>
              <w:spacing w:after="0" w:line="240" w:lineRule="auto"/>
              <w:jc w:val="center"/>
              <w:rPr>
                <w:rFonts w:ascii="Times New Roman" w:hAnsi="Times New Roman"/>
                <w:b/>
                <w:sz w:val="16"/>
                <w:szCs w:val="16"/>
              </w:rPr>
            </w:pPr>
            <w:r w:rsidRPr="00CB3670">
              <w:rPr>
                <w:rFonts w:ascii="Times New Roman" w:hAnsi="Times New Roman"/>
                <w:b/>
                <w:sz w:val="16"/>
                <w:szCs w:val="16"/>
              </w:rPr>
              <w:t>3</w:t>
            </w:r>
          </w:p>
        </w:tc>
        <w:tc>
          <w:tcPr>
            <w:tcW w:w="850" w:type="dxa"/>
            <w:vMerge w:val="restart"/>
            <w:vAlign w:val="center"/>
          </w:tcPr>
          <w:p w:rsidR="00CB3670" w:rsidRPr="00CB3670" w:rsidRDefault="00CB3670" w:rsidP="002C6E60">
            <w:pPr>
              <w:spacing w:after="0" w:line="240" w:lineRule="auto"/>
              <w:jc w:val="center"/>
              <w:rPr>
                <w:rFonts w:ascii="Times New Roman" w:hAnsi="Times New Roman"/>
                <w:sz w:val="16"/>
                <w:szCs w:val="16"/>
              </w:rPr>
            </w:pPr>
            <w:r w:rsidRPr="00CB3670">
              <w:rPr>
                <w:rFonts w:ascii="Times New Roman" w:hAnsi="Times New Roman"/>
                <w:sz w:val="16"/>
                <w:szCs w:val="16"/>
              </w:rPr>
              <w:t>Moyenne</w:t>
            </w:r>
          </w:p>
        </w:tc>
        <w:tc>
          <w:tcPr>
            <w:tcW w:w="284" w:type="dxa"/>
            <w:vMerge w:val="restart"/>
            <w:shd w:val="clear" w:color="auto" w:fill="002060"/>
            <w:vAlign w:val="center"/>
          </w:tcPr>
          <w:p w:rsidR="00CB3670" w:rsidRPr="00CB3670" w:rsidRDefault="00CB3670" w:rsidP="002C6E60">
            <w:pPr>
              <w:spacing w:after="0" w:line="240" w:lineRule="auto"/>
              <w:jc w:val="center"/>
              <w:rPr>
                <w:rFonts w:ascii="Times New Roman" w:hAnsi="Times New Roman"/>
                <w:b/>
                <w:sz w:val="16"/>
                <w:szCs w:val="16"/>
              </w:rPr>
            </w:pPr>
            <w:r w:rsidRPr="00CB3670">
              <w:rPr>
                <w:rFonts w:ascii="Times New Roman" w:hAnsi="Times New Roman"/>
                <w:b/>
                <w:sz w:val="16"/>
                <w:szCs w:val="16"/>
              </w:rPr>
              <w:t>3</w:t>
            </w:r>
          </w:p>
        </w:tc>
        <w:tc>
          <w:tcPr>
            <w:tcW w:w="850" w:type="dxa"/>
            <w:vMerge w:val="restart"/>
            <w:shd w:val="clear" w:color="auto" w:fill="FFFF00"/>
            <w:vAlign w:val="center"/>
          </w:tcPr>
          <w:p w:rsidR="00CB3670" w:rsidRPr="00CB3670" w:rsidRDefault="00CB3670" w:rsidP="002C6E60">
            <w:pPr>
              <w:spacing w:after="0" w:line="240" w:lineRule="auto"/>
              <w:jc w:val="center"/>
              <w:rPr>
                <w:rFonts w:ascii="Times New Roman" w:hAnsi="Times New Roman"/>
                <w:b/>
                <w:sz w:val="16"/>
                <w:szCs w:val="16"/>
              </w:rPr>
            </w:pPr>
            <w:r w:rsidRPr="00CB3670">
              <w:rPr>
                <w:rFonts w:ascii="Times New Roman" w:hAnsi="Times New Roman"/>
                <w:b/>
                <w:sz w:val="16"/>
                <w:szCs w:val="16"/>
              </w:rPr>
              <w:t>Moyenne</w:t>
            </w:r>
          </w:p>
        </w:tc>
        <w:tc>
          <w:tcPr>
            <w:tcW w:w="586" w:type="dxa"/>
            <w:vMerge w:val="restart"/>
            <w:shd w:val="clear" w:color="auto" w:fill="FFFF00"/>
            <w:vAlign w:val="center"/>
          </w:tcPr>
          <w:p w:rsidR="00CB3670" w:rsidRPr="00CB3670" w:rsidRDefault="00CB3670" w:rsidP="002C6E60">
            <w:pPr>
              <w:spacing w:after="0" w:line="240" w:lineRule="auto"/>
              <w:jc w:val="center"/>
              <w:rPr>
                <w:rFonts w:ascii="Times New Roman" w:hAnsi="Times New Roman"/>
                <w:b/>
                <w:sz w:val="16"/>
                <w:szCs w:val="16"/>
              </w:rPr>
            </w:pPr>
            <w:r w:rsidRPr="00CB3670">
              <w:rPr>
                <w:rFonts w:ascii="Times New Roman" w:hAnsi="Times New Roman"/>
                <w:b/>
                <w:sz w:val="16"/>
                <w:szCs w:val="16"/>
              </w:rPr>
              <w:t>45</w:t>
            </w:r>
          </w:p>
        </w:tc>
      </w:tr>
      <w:tr w:rsidR="00CB3670" w:rsidRPr="00CB3670" w:rsidTr="00CB3670">
        <w:trPr>
          <w:jc w:val="center"/>
        </w:trPr>
        <w:tc>
          <w:tcPr>
            <w:tcW w:w="988" w:type="dxa"/>
            <w:vMerge/>
            <w:shd w:val="clear" w:color="auto" w:fill="BDD6EE"/>
            <w:vAlign w:val="center"/>
          </w:tcPr>
          <w:p w:rsidR="00CB3670" w:rsidRPr="00CB3670" w:rsidRDefault="00CB3670" w:rsidP="002C6E60">
            <w:pPr>
              <w:spacing w:after="0" w:line="240" w:lineRule="auto"/>
              <w:jc w:val="center"/>
              <w:rPr>
                <w:rFonts w:ascii="Times New Roman" w:hAnsi="Times New Roman"/>
                <w:sz w:val="16"/>
                <w:szCs w:val="16"/>
              </w:rPr>
            </w:pPr>
          </w:p>
        </w:tc>
        <w:tc>
          <w:tcPr>
            <w:tcW w:w="850" w:type="dxa"/>
            <w:vMerge/>
            <w:vAlign w:val="center"/>
          </w:tcPr>
          <w:p w:rsidR="00CB3670" w:rsidRPr="00CB3670" w:rsidRDefault="00CB3670" w:rsidP="002C6E60">
            <w:pPr>
              <w:spacing w:after="0" w:line="240" w:lineRule="auto"/>
              <w:jc w:val="center"/>
              <w:rPr>
                <w:rFonts w:ascii="Times New Roman" w:hAnsi="Times New Roman"/>
                <w:b/>
                <w:sz w:val="12"/>
                <w:szCs w:val="12"/>
              </w:rPr>
            </w:pPr>
          </w:p>
        </w:tc>
        <w:tc>
          <w:tcPr>
            <w:tcW w:w="4536" w:type="dxa"/>
            <w:gridSpan w:val="3"/>
            <w:vAlign w:val="center"/>
          </w:tcPr>
          <w:p w:rsidR="00CB3670" w:rsidRPr="00CB3670" w:rsidRDefault="00CB3670" w:rsidP="00CB3670">
            <w:pPr>
              <w:spacing w:after="0" w:line="240" w:lineRule="auto"/>
              <w:jc w:val="both"/>
              <w:rPr>
                <w:rFonts w:ascii="Times New Roman" w:hAnsi="Times New Roman"/>
                <w:sz w:val="16"/>
                <w:szCs w:val="16"/>
              </w:rPr>
            </w:pPr>
            <w:r w:rsidRPr="00CB3670">
              <w:rPr>
                <w:rFonts w:ascii="Times New Roman" w:hAnsi="Times New Roman"/>
                <w:sz w:val="16"/>
                <w:szCs w:val="16"/>
              </w:rPr>
              <w:t>Risque de dégradation de la qualité des eaux souterraines</w:t>
            </w:r>
          </w:p>
        </w:tc>
        <w:tc>
          <w:tcPr>
            <w:tcW w:w="851" w:type="dxa"/>
            <w:vMerge/>
            <w:vAlign w:val="center"/>
          </w:tcPr>
          <w:p w:rsidR="00CB3670" w:rsidRPr="00CB3670" w:rsidRDefault="00CB3670" w:rsidP="002C6E60">
            <w:pPr>
              <w:spacing w:after="0" w:line="240" w:lineRule="auto"/>
              <w:jc w:val="center"/>
              <w:rPr>
                <w:rFonts w:ascii="Times New Roman" w:hAnsi="Times New Roman"/>
                <w:sz w:val="16"/>
                <w:szCs w:val="16"/>
              </w:rPr>
            </w:pPr>
          </w:p>
        </w:tc>
        <w:tc>
          <w:tcPr>
            <w:tcW w:w="283" w:type="dxa"/>
            <w:vMerge/>
            <w:shd w:val="clear" w:color="auto" w:fill="002060"/>
            <w:vAlign w:val="center"/>
          </w:tcPr>
          <w:p w:rsidR="00CB3670" w:rsidRPr="00CB3670" w:rsidRDefault="00CB3670" w:rsidP="002C6E60">
            <w:pPr>
              <w:spacing w:after="0" w:line="240" w:lineRule="auto"/>
              <w:jc w:val="center"/>
              <w:rPr>
                <w:rFonts w:ascii="Times New Roman" w:hAnsi="Times New Roman"/>
                <w:b/>
                <w:sz w:val="16"/>
                <w:szCs w:val="16"/>
              </w:rPr>
            </w:pPr>
          </w:p>
        </w:tc>
        <w:tc>
          <w:tcPr>
            <w:tcW w:w="992" w:type="dxa"/>
            <w:vMerge/>
            <w:vAlign w:val="center"/>
          </w:tcPr>
          <w:p w:rsidR="00CB3670" w:rsidRPr="00CB3670" w:rsidRDefault="00CB3670" w:rsidP="002C6E60">
            <w:pPr>
              <w:spacing w:after="0" w:line="240" w:lineRule="auto"/>
              <w:jc w:val="center"/>
              <w:rPr>
                <w:rFonts w:ascii="Times New Roman" w:hAnsi="Times New Roman"/>
                <w:sz w:val="16"/>
                <w:szCs w:val="16"/>
              </w:rPr>
            </w:pPr>
          </w:p>
        </w:tc>
        <w:tc>
          <w:tcPr>
            <w:tcW w:w="284" w:type="dxa"/>
            <w:vMerge/>
            <w:shd w:val="clear" w:color="auto" w:fill="002060"/>
            <w:vAlign w:val="center"/>
          </w:tcPr>
          <w:p w:rsidR="00CB3670" w:rsidRPr="00CB3670" w:rsidRDefault="00CB3670" w:rsidP="002C6E60">
            <w:pPr>
              <w:spacing w:after="0" w:line="240" w:lineRule="auto"/>
              <w:jc w:val="center"/>
              <w:rPr>
                <w:rFonts w:ascii="Times New Roman" w:hAnsi="Times New Roman"/>
                <w:b/>
                <w:sz w:val="16"/>
                <w:szCs w:val="16"/>
              </w:rPr>
            </w:pPr>
          </w:p>
        </w:tc>
        <w:tc>
          <w:tcPr>
            <w:tcW w:w="850" w:type="dxa"/>
            <w:vMerge/>
            <w:vAlign w:val="center"/>
          </w:tcPr>
          <w:p w:rsidR="00CB3670" w:rsidRPr="00CB3670" w:rsidRDefault="00CB3670" w:rsidP="002C6E60">
            <w:pPr>
              <w:spacing w:after="0" w:line="240" w:lineRule="auto"/>
              <w:jc w:val="center"/>
              <w:rPr>
                <w:rFonts w:ascii="Times New Roman" w:hAnsi="Times New Roman"/>
                <w:sz w:val="16"/>
                <w:szCs w:val="16"/>
              </w:rPr>
            </w:pPr>
          </w:p>
        </w:tc>
        <w:tc>
          <w:tcPr>
            <w:tcW w:w="284" w:type="dxa"/>
            <w:vMerge/>
            <w:shd w:val="clear" w:color="auto" w:fill="002060"/>
            <w:vAlign w:val="center"/>
          </w:tcPr>
          <w:p w:rsidR="00CB3670" w:rsidRPr="00CB3670" w:rsidRDefault="00CB3670" w:rsidP="002C6E60">
            <w:pPr>
              <w:spacing w:after="0" w:line="240" w:lineRule="auto"/>
              <w:jc w:val="center"/>
              <w:rPr>
                <w:rFonts w:ascii="Times New Roman" w:hAnsi="Times New Roman"/>
                <w:b/>
                <w:sz w:val="16"/>
                <w:szCs w:val="16"/>
              </w:rPr>
            </w:pPr>
          </w:p>
        </w:tc>
        <w:tc>
          <w:tcPr>
            <w:tcW w:w="850" w:type="dxa"/>
            <w:vMerge/>
            <w:shd w:val="clear" w:color="auto" w:fill="FFFF00"/>
            <w:vAlign w:val="center"/>
          </w:tcPr>
          <w:p w:rsidR="00CB3670" w:rsidRPr="00CB3670" w:rsidRDefault="00CB3670" w:rsidP="002C6E60">
            <w:pPr>
              <w:spacing w:after="0" w:line="240" w:lineRule="auto"/>
              <w:jc w:val="center"/>
              <w:rPr>
                <w:rFonts w:ascii="Times New Roman" w:hAnsi="Times New Roman"/>
                <w:b/>
                <w:sz w:val="16"/>
                <w:szCs w:val="16"/>
              </w:rPr>
            </w:pPr>
          </w:p>
        </w:tc>
        <w:tc>
          <w:tcPr>
            <w:tcW w:w="586" w:type="dxa"/>
            <w:vMerge/>
            <w:shd w:val="clear" w:color="auto" w:fill="FFFF00"/>
            <w:vAlign w:val="center"/>
          </w:tcPr>
          <w:p w:rsidR="00CB3670" w:rsidRPr="00CB3670" w:rsidRDefault="00CB3670" w:rsidP="002C6E60">
            <w:pPr>
              <w:spacing w:after="0" w:line="240" w:lineRule="auto"/>
              <w:jc w:val="center"/>
              <w:rPr>
                <w:rFonts w:ascii="Times New Roman" w:hAnsi="Times New Roman"/>
                <w:b/>
                <w:sz w:val="16"/>
                <w:szCs w:val="16"/>
              </w:rPr>
            </w:pPr>
          </w:p>
        </w:tc>
      </w:tr>
      <w:tr w:rsidR="00CB3670" w:rsidRPr="00CB3670" w:rsidTr="00CB3670">
        <w:trPr>
          <w:jc w:val="center"/>
        </w:trPr>
        <w:tc>
          <w:tcPr>
            <w:tcW w:w="988" w:type="dxa"/>
            <w:vMerge/>
            <w:shd w:val="clear" w:color="auto" w:fill="BDD6EE"/>
            <w:vAlign w:val="center"/>
          </w:tcPr>
          <w:p w:rsidR="00CB3670" w:rsidRPr="00CB3670" w:rsidRDefault="00CB3670" w:rsidP="002C6E60">
            <w:pPr>
              <w:spacing w:after="0" w:line="240" w:lineRule="auto"/>
              <w:jc w:val="center"/>
              <w:rPr>
                <w:rFonts w:ascii="Times New Roman" w:hAnsi="Times New Roman"/>
                <w:sz w:val="16"/>
                <w:szCs w:val="16"/>
              </w:rPr>
            </w:pPr>
          </w:p>
        </w:tc>
        <w:tc>
          <w:tcPr>
            <w:tcW w:w="850" w:type="dxa"/>
            <w:vMerge w:val="restart"/>
            <w:vAlign w:val="center"/>
          </w:tcPr>
          <w:p w:rsidR="00CB3670" w:rsidRPr="00CB3670" w:rsidRDefault="00CB3670" w:rsidP="002C6E60">
            <w:pPr>
              <w:tabs>
                <w:tab w:val="left" w:pos="2193"/>
              </w:tabs>
              <w:spacing w:after="0" w:line="240" w:lineRule="auto"/>
              <w:jc w:val="center"/>
              <w:rPr>
                <w:rFonts w:ascii="Times New Roman" w:hAnsi="Times New Roman"/>
                <w:b/>
                <w:sz w:val="12"/>
                <w:szCs w:val="12"/>
              </w:rPr>
            </w:pPr>
            <w:r w:rsidRPr="00CB3670">
              <w:rPr>
                <w:rFonts w:ascii="Times New Roman" w:hAnsi="Times New Roman"/>
                <w:b/>
                <w:sz w:val="12"/>
                <w:szCs w:val="12"/>
              </w:rPr>
              <w:t>FLORE/</w:t>
            </w:r>
          </w:p>
          <w:p w:rsidR="00CB3670" w:rsidRPr="00CB3670" w:rsidRDefault="00CB3670" w:rsidP="002C6E60">
            <w:pPr>
              <w:tabs>
                <w:tab w:val="left" w:pos="2193"/>
              </w:tabs>
              <w:spacing w:after="0" w:line="240" w:lineRule="auto"/>
              <w:jc w:val="center"/>
              <w:rPr>
                <w:rFonts w:ascii="Times New Roman" w:hAnsi="Times New Roman"/>
                <w:b/>
                <w:sz w:val="12"/>
                <w:szCs w:val="12"/>
              </w:rPr>
            </w:pPr>
            <w:r w:rsidRPr="00CB3670">
              <w:rPr>
                <w:rFonts w:ascii="Times New Roman" w:hAnsi="Times New Roman"/>
                <w:b/>
                <w:sz w:val="12"/>
                <w:szCs w:val="12"/>
              </w:rPr>
              <w:t>FAUNE</w:t>
            </w:r>
          </w:p>
        </w:tc>
        <w:tc>
          <w:tcPr>
            <w:tcW w:w="4536" w:type="dxa"/>
            <w:gridSpan w:val="3"/>
            <w:vAlign w:val="center"/>
          </w:tcPr>
          <w:p w:rsidR="00CB3670" w:rsidRPr="00CB3670" w:rsidRDefault="00CB3670" w:rsidP="00CB3670">
            <w:pPr>
              <w:spacing w:after="0" w:line="240" w:lineRule="auto"/>
              <w:jc w:val="both"/>
              <w:rPr>
                <w:rFonts w:ascii="Times New Roman" w:hAnsi="Times New Roman"/>
                <w:sz w:val="16"/>
                <w:szCs w:val="16"/>
              </w:rPr>
            </w:pPr>
            <w:r w:rsidRPr="00CB3670">
              <w:rPr>
                <w:rFonts w:ascii="Times New Roman" w:hAnsi="Times New Roman"/>
                <w:sz w:val="16"/>
                <w:szCs w:val="16"/>
              </w:rPr>
              <w:t>Risque de détruire la végétation herbacée au niveau de Antula.</w:t>
            </w:r>
          </w:p>
        </w:tc>
        <w:tc>
          <w:tcPr>
            <w:tcW w:w="851" w:type="dxa"/>
            <w:vMerge w:val="restart"/>
            <w:shd w:val="clear" w:color="auto" w:fill="FFFFFF"/>
            <w:vAlign w:val="center"/>
          </w:tcPr>
          <w:p w:rsidR="00CB3670" w:rsidRPr="00CB3670" w:rsidRDefault="00CB3670" w:rsidP="002C6E60">
            <w:pPr>
              <w:spacing w:after="0" w:line="240" w:lineRule="auto"/>
              <w:jc w:val="center"/>
              <w:rPr>
                <w:rFonts w:ascii="Times New Roman" w:hAnsi="Times New Roman"/>
                <w:sz w:val="16"/>
                <w:szCs w:val="16"/>
              </w:rPr>
            </w:pPr>
            <w:r w:rsidRPr="00CB3670">
              <w:rPr>
                <w:rFonts w:ascii="Times New Roman" w:hAnsi="Times New Roman"/>
                <w:sz w:val="16"/>
                <w:szCs w:val="16"/>
              </w:rPr>
              <w:t>Faible</w:t>
            </w:r>
          </w:p>
        </w:tc>
        <w:tc>
          <w:tcPr>
            <w:tcW w:w="283" w:type="dxa"/>
            <w:vMerge w:val="restart"/>
            <w:shd w:val="clear" w:color="auto" w:fill="002060"/>
            <w:vAlign w:val="center"/>
          </w:tcPr>
          <w:p w:rsidR="00CB3670" w:rsidRPr="00CB3670" w:rsidRDefault="00CB3670" w:rsidP="002C6E60">
            <w:pPr>
              <w:spacing w:after="0" w:line="240" w:lineRule="auto"/>
              <w:jc w:val="center"/>
              <w:rPr>
                <w:rFonts w:ascii="Times New Roman" w:hAnsi="Times New Roman"/>
                <w:b/>
                <w:sz w:val="16"/>
                <w:szCs w:val="16"/>
              </w:rPr>
            </w:pPr>
            <w:r w:rsidRPr="00CB3670">
              <w:rPr>
                <w:rFonts w:ascii="Times New Roman" w:hAnsi="Times New Roman"/>
                <w:b/>
                <w:sz w:val="16"/>
                <w:szCs w:val="16"/>
              </w:rPr>
              <w:t>1</w:t>
            </w:r>
          </w:p>
        </w:tc>
        <w:tc>
          <w:tcPr>
            <w:tcW w:w="992" w:type="dxa"/>
            <w:vMerge w:val="restart"/>
            <w:shd w:val="clear" w:color="auto" w:fill="FFFFFF"/>
            <w:vAlign w:val="center"/>
          </w:tcPr>
          <w:p w:rsidR="00CB3670" w:rsidRPr="00CB3670" w:rsidRDefault="00CB3670" w:rsidP="002C6E60">
            <w:pPr>
              <w:spacing w:after="0" w:line="240" w:lineRule="auto"/>
              <w:jc w:val="center"/>
              <w:rPr>
                <w:rFonts w:ascii="Times New Roman" w:hAnsi="Times New Roman"/>
                <w:sz w:val="16"/>
                <w:szCs w:val="16"/>
              </w:rPr>
            </w:pPr>
            <w:r w:rsidRPr="00CB3670">
              <w:rPr>
                <w:rFonts w:ascii="Times New Roman" w:hAnsi="Times New Roman"/>
                <w:sz w:val="16"/>
                <w:szCs w:val="16"/>
              </w:rPr>
              <w:t>Locale</w:t>
            </w:r>
          </w:p>
        </w:tc>
        <w:tc>
          <w:tcPr>
            <w:tcW w:w="284" w:type="dxa"/>
            <w:vMerge w:val="restart"/>
            <w:shd w:val="clear" w:color="auto" w:fill="002060"/>
            <w:vAlign w:val="center"/>
          </w:tcPr>
          <w:p w:rsidR="00CB3670" w:rsidRPr="00CB3670" w:rsidRDefault="00CB3670" w:rsidP="002C6E60">
            <w:pPr>
              <w:spacing w:after="0" w:line="240" w:lineRule="auto"/>
              <w:jc w:val="center"/>
              <w:rPr>
                <w:rFonts w:ascii="Times New Roman" w:hAnsi="Times New Roman"/>
                <w:b/>
                <w:sz w:val="16"/>
                <w:szCs w:val="16"/>
              </w:rPr>
            </w:pPr>
            <w:r w:rsidRPr="00CB3670">
              <w:rPr>
                <w:rFonts w:ascii="Times New Roman" w:hAnsi="Times New Roman"/>
                <w:b/>
                <w:sz w:val="16"/>
                <w:szCs w:val="16"/>
              </w:rPr>
              <w:t>3</w:t>
            </w:r>
          </w:p>
        </w:tc>
        <w:tc>
          <w:tcPr>
            <w:tcW w:w="850" w:type="dxa"/>
            <w:vMerge w:val="restart"/>
            <w:shd w:val="clear" w:color="auto" w:fill="FFFFFF"/>
            <w:vAlign w:val="center"/>
          </w:tcPr>
          <w:p w:rsidR="00CB3670" w:rsidRPr="00CB3670" w:rsidRDefault="00CB3670" w:rsidP="002C6E60">
            <w:pPr>
              <w:spacing w:after="0" w:line="240" w:lineRule="auto"/>
              <w:jc w:val="center"/>
              <w:rPr>
                <w:rFonts w:ascii="Times New Roman" w:hAnsi="Times New Roman"/>
                <w:sz w:val="16"/>
                <w:szCs w:val="16"/>
              </w:rPr>
            </w:pPr>
            <w:r w:rsidRPr="00CB3670">
              <w:rPr>
                <w:rFonts w:ascii="Times New Roman" w:hAnsi="Times New Roman"/>
                <w:sz w:val="16"/>
                <w:szCs w:val="16"/>
              </w:rPr>
              <w:t>Moyenne</w:t>
            </w:r>
          </w:p>
        </w:tc>
        <w:tc>
          <w:tcPr>
            <w:tcW w:w="284" w:type="dxa"/>
            <w:vMerge w:val="restart"/>
            <w:shd w:val="clear" w:color="auto" w:fill="002060"/>
            <w:vAlign w:val="center"/>
          </w:tcPr>
          <w:p w:rsidR="00CB3670" w:rsidRPr="00CB3670" w:rsidRDefault="00CB3670" w:rsidP="002C6E60">
            <w:pPr>
              <w:spacing w:after="0" w:line="240" w:lineRule="auto"/>
              <w:jc w:val="center"/>
              <w:rPr>
                <w:rFonts w:ascii="Times New Roman" w:hAnsi="Times New Roman"/>
                <w:b/>
                <w:sz w:val="16"/>
                <w:szCs w:val="16"/>
              </w:rPr>
            </w:pPr>
            <w:r w:rsidRPr="00CB3670">
              <w:rPr>
                <w:rFonts w:ascii="Times New Roman" w:hAnsi="Times New Roman"/>
                <w:b/>
                <w:sz w:val="16"/>
                <w:szCs w:val="16"/>
              </w:rPr>
              <w:t>3</w:t>
            </w:r>
          </w:p>
        </w:tc>
        <w:tc>
          <w:tcPr>
            <w:tcW w:w="850" w:type="dxa"/>
            <w:vMerge w:val="restart"/>
            <w:shd w:val="clear" w:color="auto" w:fill="92D050"/>
            <w:vAlign w:val="center"/>
          </w:tcPr>
          <w:p w:rsidR="00CB3670" w:rsidRPr="00CB3670" w:rsidRDefault="00CB3670" w:rsidP="002C6E60">
            <w:pPr>
              <w:spacing w:after="0" w:line="240" w:lineRule="auto"/>
              <w:jc w:val="center"/>
              <w:rPr>
                <w:rFonts w:ascii="Times New Roman" w:hAnsi="Times New Roman"/>
                <w:b/>
                <w:sz w:val="16"/>
                <w:szCs w:val="16"/>
              </w:rPr>
            </w:pPr>
            <w:r w:rsidRPr="00CB3670">
              <w:rPr>
                <w:rFonts w:ascii="Times New Roman" w:hAnsi="Times New Roman"/>
                <w:b/>
                <w:sz w:val="16"/>
                <w:szCs w:val="16"/>
              </w:rPr>
              <w:t>Mineure</w:t>
            </w:r>
          </w:p>
        </w:tc>
        <w:tc>
          <w:tcPr>
            <w:tcW w:w="586" w:type="dxa"/>
            <w:vMerge w:val="restart"/>
            <w:shd w:val="clear" w:color="auto" w:fill="92D050"/>
            <w:vAlign w:val="center"/>
          </w:tcPr>
          <w:p w:rsidR="00CB3670" w:rsidRPr="00CB3670" w:rsidRDefault="00CB3670" w:rsidP="002C6E60">
            <w:pPr>
              <w:spacing w:after="0" w:line="240" w:lineRule="auto"/>
              <w:jc w:val="center"/>
              <w:rPr>
                <w:rFonts w:ascii="Times New Roman" w:hAnsi="Times New Roman"/>
                <w:b/>
                <w:sz w:val="16"/>
                <w:szCs w:val="16"/>
              </w:rPr>
            </w:pPr>
            <w:r w:rsidRPr="00CB3670">
              <w:rPr>
                <w:rFonts w:ascii="Times New Roman" w:hAnsi="Times New Roman"/>
                <w:b/>
                <w:sz w:val="16"/>
                <w:szCs w:val="16"/>
              </w:rPr>
              <w:t>9</w:t>
            </w:r>
          </w:p>
        </w:tc>
      </w:tr>
      <w:tr w:rsidR="00CB3670" w:rsidRPr="00CB3670" w:rsidTr="00CB3670">
        <w:trPr>
          <w:trHeight w:val="255"/>
          <w:jc w:val="center"/>
        </w:trPr>
        <w:tc>
          <w:tcPr>
            <w:tcW w:w="988" w:type="dxa"/>
            <w:vMerge/>
            <w:shd w:val="clear" w:color="auto" w:fill="BDD6EE"/>
            <w:vAlign w:val="center"/>
          </w:tcPr>
          <w:p w:rsidR="00CB3670" w:rsidRPr="00CB3670" w:rsidRDefault="00CB3670" w:rsidP="002C6E60">
            <w:pPr>
              <w:spacing w:after="0" w:line="240" w:lineRule="auto"/>
              <w:jc w:val="center"/>
              <w:rPr>
                <w:rFonts w:ascii="Times New Roman" w:hAnsi="Times New Roman"/>
                <w:sz w:val="16"/>
                <w:szCs w:val="16"/>
              </w:rPr>
            </w:pPr>
          </w:p>
        </w:tc>
        <w:tc>
          <w:tcPr>
            <w:tcW w:w="850" w:type="dxa"/>
            <w:vMerge/>
            <w:vAlign w:val="center"/>
          </w:tcPr>
          <w:p w:rsidR="00CB3670" w:rsidRPr="00CB3670" w:rsidRDefault="00CB3670" w:rsidP="002C6E60">
            <w:pPr>
              <w:tabs>
                <w:tab w:val="left" w:pos="2193"/>
              </w:tabs>
              <w:spacing w:after="0" w:line="240" w:lineRule="auto"/>
              <w:jc w:val="center"/>
              <w:rPr>
                <w:rFonts w:ascii="Times New Roman" w:hAnsi="Times New Roman"/>
                <w:b/>
                <w:sz w:val="12"/>
                <w:szCs w:val="12"/>
              </w:rPr>
            </w:pPr>
          </w:p>
        </w:tc>
        <w:tc>
          <w:tcPr>
            <w:tcW w:w="4536" w:type="dxa"/>
            <w:gridSpan w:val="3"/>
            <w:vAlign w:val="center"/>
          </w:tcPr>
          <w:p w:rsidR="00CB3670" w:rsidRPr="00CB3670" w:rsidRDefault="00CB3670" w:rsidP="00CB3670">
            <w:pPr>
              <w:spacing w:after="0" w:line="240" w:lineRule="auto"/>
              <w:jc w:val="both"/>
              <w:rPr>
                <w:rFonts w:ascii="Times New Roman" w:hAnsi="Times New Roman"/>
                <w:sz w:val="16"/>
                <w:szCs w:val="16"/>
              </w:rPr>
            </w:pPr>
            <w:r w:rsidRPr="00CB3670">
              <w:rPr>
                <w:rFonts w:ascii="Times New Roman" w:hAnsi="Times New Roman"/>
                <w:sz w:val="16"/>
                <w:szCs w:val="16"/>
              </w:rPr>
              <w:t>Risque d’abattage de quelques pieds d’anacardiers à BOR</w:t>
            </w:r>
          </w:p>
        </w:tc>
        <w:tc>
          <w:tcPr>
            <w:tcW w:w="851" w:type="dxa"/>
            <w:vMerge/>
            <w:shd w:val="clear" w:color="auto" w:fill="FFFFFF"/>
            <w:vAlign w:val="center"/>
          </w:tcPr>
          <w:p w:rsidR="00CB3670" w:rsidRPr="00CB3670" w:rsidRDefault="00CB3670" w:rsidP="002C6E60">
            <w:pPr>
              <w:spacing w:after="0" w:line="240" w:lineRule="auto"/>
              <w:jc w:val="center"/>
              <w:rPr>
                <w:rFonts w:ascii="Times New Roman" w:hAnsi="Times New Roman"/>
                <w:sz w:val="16"/>
                <w:szCs w:val="16"/>
              </w:rPr>
            </w:pPr>
          </w:p>
        </w:tc>
        <w:tc>
          <w:tcPr>
            <w:tcW w:w="283" w:type="dxa"/>
            <w:vMerge/>
            <w:shd w:val="clear" w:color="auto" w:fill="002060"/>
            <w:vAlign w:val="center"/>
          </w:tcPr>
          <w:p w:rsidR="00CB3670" w:rsidRPr="00CB3670" w:rsidRDefault="00CB3670" w:rsidP="002C6E60">
            <w:pPr>
              <w:spacing w:after="0" w:line="240" w:lineRule="auto"/>
              <w:jc w:val="center"/>
              <w:rPr>
                <w:rFonts w:ascii="Times New Roman" w:hAnsi="Times New Roman"/>
                <w:b/>
                <w:sz w:val="16"/>
                <w:szCs w:val="16"/>
              </w:rPr>
            </w:pPr>
          </w:p>
        </w:tc>
        <w:tc>
          <w:tcPr>
            <w:tcW w:w="992" w:type="dxa"/>
            <w:vMerge/>
            <w:shd w:val="clear" w:color="auto" w:fill="FFFFFF"/>
            <w:vAlign w:val="center"/>
          </w:tcPr>
          <w:p w:rsidR="00CB3670" w:rsidRPr="00CB3670" w:rsidRDefault="00CB3670" w:rsidP="002C6E60">
            <w:pPr>
              <w:spacing w:after="0" w:line="240" w:lineRule="auto"/>
              <w:jc w:val="center"/>
              <w:rPr>
                <w:rFonts w:ascii="Times New Roman" w:hAnsi="Times New Roman"/>
                <w:sz w:val="16"/>
                <w:szCs w:val="16"/>
              </w:rPr>
            </w:pPr>
          </w:p>
        </w:tc>
        <w:tc>
          <w:tcPr>
            <w:tcW w:w="284" w:type="dxa"/>
            <w:vMerge/>
            <w:shd w:val="clear" w:color="auto" w:fill="002060"/>
            <w:vAlign w:val="center"/>
          </w:tcPr>
          <w:p w:rsidR="00CB3670" w:rsidRPr="00CB3670" w:rsidRDefault="00CB3670" w:rsidP="002C6E60">
            <w:pPr>
              <w:spacing w:after="0" w:line="240" w:lineRule="auto"/>
              <w:jc w:val="center"/>
              <w:rPr>
                <w:rFonts w:ascii="Times New Roman" w:hAnsi="Times New Roman"/>
                <w:b/>
                <w:sz w:val="16"/>
                <w:szCs w:val="16"/>
              </w:rPr>
            </w:pPr>
          </w:p>
        </w:tc>
        <w:tc>
          <w:tcPr>
            <w:tcW w:w="850" w:type="dxa"/>
            <w:vMerge/>
            <w:shd w:val="clear" w:color="auto" w:fill="FFFFFF"/>
            <w:vAlign w:val="center"/>
          </w:tcPr>
          <w:p w:rsidR="00CB3670" w:rsidRPr="00CB3670" w:rsidRDefault="00CB3670" w:rsidP="002C6E60">
            <w:pPr>
              <w:spacing w:after="0" w:line="240" w:lineRule="auto"/>
              <w:jc w:val="center"/>
              <w:rPr>
                <w:rFonts w:ascii="Times New Roman" w:hAnsi="Times New Roman"/>
                <w:sz w:val="16"/>
                <w:szCs w:val="16"/>
              </w:rPr>
            </w:pPr>
          </w:p>
        </w:tc>
        <w:tc>
          <w:tcPr>
            <w:tcW w:w="284" w:type="dxa"/>
            <w:vMerge/>
            <w:shd w:val="clear" w:color="auto" w:fill="002060"/>
            <w:vAlign w:val="center"/>
          </w:tcPr>
          <w:p w:rsidR="00CB3670" w:rsidRPr="00CB3670" w:rsidRDefault="00CB3670" w:rsidP="002C6E60">
            <w:pPr>
              <w:spacing w:after="0" w:line="240" w:lineRule="auto"/>
              <w:jc w:val="center"/>
              <w:rPr>
                <w:rFonts w:ascii="Times New Roman" w:hAnsi="Times New Roman"/>
                <w:b/>
                <w:sz w:val="16"/>
                <w:szCs w:val="16"/>
              </w:rPr>
            </w:pPr>
          </w:p>
        </w:tc>
        <w:tc>
          <w:tcPr>
            <w:tcW w:w="850" w:type="dxa"/>
            <w:vMerge/>
            <w:shd w:val="clear" w:color="auto" w:fill="92D050"/>
            <w:vAlign w:val="center"/>
          </w:tcPr>
          <w:p w:rsidR="00CB3670" w:rsidRPr="00CB3670" w:rsidRDefault="00CB3670" w:rsidP="002C6E60">
            <w:pPr>
              <w:spacing w:after="0" w:line="240" w:lineRule="auto"/>
              <w:jc w:val="center"/>
              <w:rPr>
                <w:rFonts w:ascii="Times New Roman" w:hAnsi="Times New Roman"/>
                <w:b/>
                <w:sz w:val="16"/>
                <w:szCs w:val="16"/>
              </w:rPr>
            </w:pPr>
          </w:p>
        </w:tc>
        <w:tc>
          <w:tcPr>
            <w:tcW w:w="586" w:type="dxa"/>
            <w:vMerge/>
            <w:shd w:val="clear" w:color="auto" w:fill="92D050"/>
            <w:vAlign w:val="center"/>
          </w:tcPr>
          <w:p w:rsidR="00CB3670" w:rsidRPr="00CB3670" w:rsidRDefault="00CB3670" w:rsidP="002C6E60">
            <w:pPr>
              <w:spacing w:after="0" w:line="240" w:lineRule="auto"/>
              <w:jc w:val="center"/>
              <w:rPr>
                <w:rFonts w:ascii="Times New Roman" w:hAnsi="Times New Roman"/>
                <w:b/>
                <w:sz w:val="16"/>
                <w:szCs w:val="16"/>
              </w:rPr>
            </w:pPr>
          </w:p>
        </w:tc>
      </w:tr>
      <w:tr w:rsidR="00CB3670" w:rsidRPr="00CB3670" w:rsidTr="00CB3670">
        <w:trPr>
          <w:trHeight w:val="255"/>
          <w:jc w:val="center"/>
        </w:trPr>
        <w:tc>
          <w:tcPr>
            <w:tcW w:w="988" w:type="dxa"/>
            <w:vMerge/>
            <w:shd w:val="clear" w:color="auto" w:fill="BDD6EE"/>
            <w:vAlign w:val="center"/>
          </w:tcPr>
          <w:p w:rsidR="00CB3670" w:rsidRPr="00CB3670" w:rsidRDefault="00CB3670" w:rsidP="002C6E60">
            <w:pPr>
              <w:spacing w:after="0" w:line="240" w:lineRule="auto"/>
              <w:jc w:val="center"/>
              <w:rPr>
                <w:rFonts w:ascii="Times New Roman" w:hAnsi="Times New Roman"/>
                <w:sz w:val="16"/>
                <w:szCs w:val="16"/>
              </w:rPr>
            </w:pPr>
          </w:p>
        </w:tc>
        <w:tc>
          <w:tcPr>
            <w:tcW w:w="850" w:type="dxa"/>
            <w:vMerge/>
            <w:vAlign w:val="center"/>
          </w:tcPr>
          <w:p w:rsidR="00CB3670" w:rsidRPr="00CB3670" w:rsidRDefault="00CB3670" w:rsidP="002C6E60">
            <w:pPr>
              <w:tabs>
                <w:tab w:val="left" w:pos="2193"/>
              </w:tabs>
              <w:spacing w:after="0" w:line="240" w:lineRule="auto"/>
              <w:jc w:val="center"/>
              <w:rPr>
                <w:rFonts w:ascii="Times New Roman" w:hAnsi="Times New Roman"/>
                <w:b/>
                <w:sz w:val="12"/>
                <w:szCs w:val="12"/>
              </w:rPr>
            </w:pPr>
          </w:p>
        </w:tc>
        <w:tc>
          <w:tcPr>
            <w:tcW w:w="4536" w:type="dxa"/>
            <w:gridSpan w:val="3"/>
            <w:vAlign w:val="center"/>
          </w:tcPr>
          <w:p w:rsidR="00CB3670" w:rsidRPr="00CB3670" w:rsidRDefault="00CB3670" w:rsidP="00CB3670">
            <w:pPr>
              <w:spacing w:after="0" w:line="240" w:lineRule="auto"/>
              <w:jc w:val="both"/>
              <w:rPr>
                <w:rFonts w:ascii="Times New Roman" w:hAnsi="Times New Roman"/>
                <w:sz w:val="16"/>
                <w:szCs w:val="16"/>
              </w:rPr>
            </w:pPr>
            <w:r w:rsidRPr="00CB3670">
              <w:rPr>
                <w:rFonts w:ascii="Times New Roman" w:hAnsi="Times New Roman"/>
                <w:sz w:val="16"/>
                <w:szCs w:val="16"/>
              </w:rPr>
              <w:t>Risque de perturbation de certains espèces (oiseaux, rongeurs, animaux domestique, etc.) due aux production de bruit</w:t>
            </w:r>
          </w:p>
        </w:tc>
        <w:tc>
          <w:tcPr>
            <w:tcW w:w="851" w:type="dxa"/>
            <w:vMerge/>
            <w:shd w:val="clear" w:color="auto" w:fill="FFFFFF"/>
            <w:vAlign w:val="center"/>
          </w:tcPr>
          <w:p w:rsidR="00CB3670" w:rsidRPr="00CB3670" w:rsidRDefault="00CB3670" w:rsidP="002C6E60">
            <w:pPr>
              <w:spacing w:after="0" w:line="240" w:lineRule="auto"/>
              <w:jc w:val="center"/>
              <w:rPr>
                <w:rFonts w:ascii="Times New Roman" w:hAnsi="Times New Roman"/>
                <w:sz w:val="16"/>
                <w:szCs w:val="16"/>
              </w:rPr>
            </w:pPr>
          </w:p>
        </w:tc>
        <w:tc>
          <w:tcPr>
            <w:tcW w:w="283" w:type="dxa"/>
            <w:vMerge/>
            <w:shd w:val="clear" w:color="auto" w:fill="002060"/>
            <w:vAlign w:val="center"/>
          </w:tcPr>
          <w:p w:rsidR="00CB3670" w:rsidRPr="00CB3670" w:rsidRDefault="00CB3670" w:rsidP="002C6E60">
            <w:pPr>
              <w:spacing w:after="0" w:line="240" w:lineRule="auto"/>
              <w:jc w:val="center"/>
              <w:rPr>
                <w:rFonts w:ascii="Times New Roman" w:hAnsi="Times New Roman"/>
                <w:b/>
                <w:sz w:val="16"/>
                <w:szCs w:val="16"/>
              </w:rPr>
            </w:pPr>
          </w:p>
        </w:tc>
        <w:tc>
          <w:tcPr>
            <w:tcW w:w="992" w:type="dxa"/>
            <w:vMerge/>
            <w:shd w:val="clear" w:color="auto" w:fill="FFFFFF"/>
            <w:vAlign w:val="center"/>
          </w:tcPr>
          <w:p w:rsidR="00CB3670" w:rsidRPr="00CB3670" w:rsidRDefault="00CB3670" w:rsidP="002C6E60">
            <w:pPr>
              <w:spacing w:after="0" w:line="240" w:lineRule="auto"/>
              <w:jc w:val="center"/>
              <w:rPr>
                <w:rFonts w:ascii="Times New Roman" w:hAnsi="Times New Roman"/>
                <w:sz w:val="16"/>
                <w:szCs w:val="16"/>
              </w:rPr>
            </w:pPr>
          </w:p>
        </w:tc>
        <w:tc>
          <w:tcPr>
            <w:tcW w:w="284" w:type="dxa"/>
            <w:vMerge/>
            <w:shd w:val="clear" w:color="auto" w:fill="002060"/>
            <w:vAlign w:val="center"/>
          </w:tcPr>
          <w:p w:rsidR="00CB3670" w:rsidRPr="00CB3670" w:rsidRDefault="00CB3670" w:rsidP="002C6E60">
            <w:pPr>
              <w:spacing w:after="0" w:line="240" w:lineRule="auto"/>
              <w:jc w:val="center"/>
              <w:rPr>
                <w:rFonts w:ascii="Times New Roman" w:hAnsi="Times New Roman"/>
                <w:b/>
                <w:sz w:val="16"/>
                <w:szCs w:val="16"/>
              </w:rPr>
            </w:pPr>
          </w:p>
        </w:tc>
        <w:tc>
          <w:tcPr>
            <w:tcW w:w="850" w:type="dxa"/>
            <w:vMerge/>
            <w:shd w:val="clear" w:color="auto" w:fill="FFFFFF"/>
            <w:vAlign w:val="center"/>
          </w:tcPr>
          <w:p w:rsidR="00CB3670" w:rsidRPr="00CB3670" w:rsidRDefault="00CB3670" w:rsidP="002C6E60">
            <w:pPr>
              <w:spacing w:after="0" w:line="240" w:lineRule="auto"/>
              <w:jc w:val="center"/>
              <w:rPr>
                <w:rFonts w:ascii="Times New Roman" w:hAnsi="Times New Roman"/>
                <w:sz w:val="16"/>
                <w:szCs w:val="16"/>
              </w:rPr>
            </w:pPr>
          </w:p>
        </w:tc>
        <w:tc>
          <w:tcPr>
            <w:tcW w:w="284" w:type="dxa"/>
            <w:vMerge/>
            <w:shd w:val="clear" w:color="auto" w:fill="002060"/>
            <w:vAlign w:val="center"/>
          </w:tcPr>
          <w:p w:rsidR="00CB3670" w:rsidRPr="00CB3670" w:rsidRDefault="00CB3670" w:rsidP="002C6E60">
            <w:pPr>
              <w:spacing w:after="0" w:line="240" w:lineRule="auto"/>
              <w:jc w:val="center"/>
              <w:rPr>
                <w:rFonts w:ascii="Times New Roman" w:hAnsi="Times New Roman"/>
                <w:b/>
                <w:sz w:val="16"/>
                <w:szCs w:val="16"/>
              </w:rPr>
            </w:pPr>
          </w:p>
        </w:tc>
        <w:tc>
          <w:tcPr>
            <w:tcW w:w="850" w:type="dxa"/>
            <w:vMerge/>
            <w:shd w:val="clear" w:color="auto" w:fill="92D050"/>
            <w:vAlign w:val="center"/>
          </w:tcPr>
          <w:p w:rsidR="00CB3670" w:rsidRPr="00CB3670" w:rsidRDefault="00CB3670" w:rsidP="002C6E60">
            <w:pPr>
              <w:spacing w:after="0" w:line="240" w:lineRule="auto"/>
              <w:jc w:val="center"/>
              <w:rPr>
                <w:rFonts w:ascii="Times New Roman" w:hAnsi="Times New Roman"/>
                <w:b/>
                <w:sz w:val="16"/>
                <w:szCs w:val="16"/>
              </w:rPr>
            </w:pPr>
          </w:p>
        </w:tc>
        <w:tc>
          <w:tcPr>
            <w:tcW w:w="586" w:type="dxa"/>
            <w:vMerge/>
            <w:shd w:val="clear" w:color="auto" w:fill="92D050"/>
            <w:vAlign w:val="center"/>
          </w:tcPr>
          <w:p w:rsidR="00CB3670" w:rsidRPr="00CB3670" w:rsidRDefault="00CB3670" w:rsidP="002C6E60">
            <w:pPr>
              <w:spacing w:after="0" w:line="240" w:lineRule="auto"/>
              <w:jc w:val="center"/>
              <w:rPr>
                <w:rFonts w:ascii="Times New Roman" w:hAnsi="Times New Roman"/>
                <w:b/>
                <w:sz w:val="16"/>
                <w:szCs w:val="16"/>
              </w:rPr>
            </w:pPr>
          </w:p>
        </w:tc>
      </w:tr>
      <w:tr w:rsidR="00CB3670" w:rsidRPr="00CB3670" w:rsidTr="00CB3670">
        <w:trPr>
          <w:jc w:val="center"/>
        </w:trPr>
        <w:tc>
          <w:tcPr>
            <w:tcW w:w="988" w:type="dxa"/>
            <w:vMerge/>
            <w:shd w:val="clear" w:color="auto" w:fill="BDD6EE"/>
            <w:vAlign w:val="center"/>
          </w:tcPr>
          <w:p w:rsidR="00CB3670" w:rsidRPr="00CB3670" w:rsidRDefault="00CB3670" w:rsidP="002C6E60">
            <w:pPr>
              <w:spacing w:after="0" w:line="240" w:lineRule="auto"/>
              <w:jc w:val="center"/>
              <w:rPr>
                <w:rFonts w:ascii="Times New Roman" w:hAnsi="Times New Roman"/>
                <w:sz w:val="16"/>
                <w:szCs w:val="16"/>
              </w:rPr>
            </w:pPr>
          </w:p>
        </w:tc>
        <w:tc>
          <w:tcPr>
            <w:tcW w:w="850" w:type="dxa"/>
            <w:vAlign w:val="center"/>
          </w:tcPr>
          <w:p w:rsidR="00CB3670" w:rsidRPr="00CB3670" w:rsidRDefault="00CB3670" w:rsidP="002C6E60">
            <w:pPr>
              <w:tabs>
                <w:tab w:val="left" w:pos="2193"/>
              </w:tabs>
              <w:spacing w:after="0" w:line="240" w:lineRule="auto"/>
              <w:jc w:val="center"/>
              <w:rPr>
                <w:rFonts w:ascii="Times New Roman" w:hAnsi="Times New Roman"/>
                <w:b/>
                <w:sz w:val="12"/>
                <w:szCs w:val="12"/>
              </w:rPr>
            </w:pPr>
            <w:r w:rsidRPr="00CB3670">
              <w:rPr>
                <w:rFonts w:ascii="Times New Roman" w:hAnsi="Times New Roman"/>
                <w:b/>
                <w:sz w:val="12"/>
                <w:szCs w:val="12"/>
              </w:rPr>
              <w:t>PAYSAGE</w:t>
            </w:r>
          </w:p>
        </w:tc>
        <w:tc>
          <w:tcPr>
            <w:tcW w:w="4536" w:type="dxa"/>
            <w:gridSpan w:val="3"/>
            <w:vAlign w:val="center"/>
          </w:tcPr>
          <w:p w:rsidR="00CB3670" w:rsidRPr="00CB3670" w:rsidRDefault="00CB3670" w:rsidP="00CB3670">
            <w:pPr>
              <w:spacing w:after="0" w:line="240" w:lineRule="auto"/>
              <w:jc w:val="both"/>
              <w:rPr>
                <w:rFonts w:ascii="Times New Roman" w:hAnsi="Times New Roman"/>
                <w:sz w:val="16"/>
                <w:szCs w:val="16"/>
              </w:rPr>
            </w:pPr>
            <w:r w:rsidRPr="00CB3670">
              <w:rPr>
                <w:rFonts w:ascii="Times New Roman" w:hAnsi="Times New Roman"/>
                <w:sz w:val="16"/>
                <w:szCs w:val="16"/>
              </w:rPr>
              <w:t>Modification de l’aspect du paysage</w:t>
            </w:r>
          </w:p>
        </w:tc>
        <w:tc>
          <w:tcPr>
            <w:tcW w:w="851" w:type="dxa"/>
            <w:shd w:val="clear" w:color="auto" w:fill="FFFFFF"/>
            <w:vAlign w:val="center"/>
          </w:tcPr>
          <w:p w:rsidR="00CB3670" w:rsidRPr="00CB3670" w:rsidRDefault="00CB3670" w:rsidP="002C6E60">
            <w:pPr>
              <w:spacing w:after="0" w:line="240" w:lineRule="auto"/>
              <w:jc w:val="center"/>
              <w:rPr>
                <w:rFonts w:ascii="Times New Roman" w:hAnsi="Times New Roman"/>
                <w:sz w:val="16"/>
                <w:szCs w:val="16"/>
              </w:rPr>
            </w:pPr>
            <w:r w:rsidRPr="00CB3670">
              <w:rPr>
                <w:rFonts w:ascii="Times New Roman" w:hAnsi="Times New Roman"/>
                <w:sz w:val="16"/>
                <w:szCs w:val="16"/>
              </w:rPr>
              <w:t>Faible</w:t>
            </w:r>
          </w:p>
        </w:tc>
        <w:tc>
          <w:tcPr>
            <w:tcW w:w="283" w:type="dxa"/>
            <w:shd w:val="clear" w:color="auto" w:fill="002060"/>
            <w:vAlign w:val="center"/>
          </w:tcPr>
          <w:p w:rsidR="00CB3670" w:rsidRPr="00CB3670" w:rsidRDefault="00CB3670" w:rsidP="002C6E60">
            <w:pPr>
              <w:spacing w:after="0" w:line="240" w:lineRule="auto"/>
              <w:jc w:val="center"/>
              <w:rPr>
                <w:rFonts w:ascii="Times New Roman" w:hAnsi="Times New Roman"/>
                <w:b/>
                <w:sz w:val="16"/>
                <w:szCs w:val="16"/>
              </w:rPr>
            </w:pPr>
            <w:r w:rsidRPr="00CB3670">
              <w:rPr>
                <w:rFonts w:ascii="Times New Roman" w:hAnsi="Times New Roman"/>
                <w:b/>
                <w:sz w:val="16"/>
                <w:szCs w:val="16"/>
              </w:rPr>
              <w:t>1</w:t>
            </w:r>
          </w:p>
        </w:tc>
        <w:tc>
          <w:tcPr>
            <w:tcW w:w="992" w:type="dxa"/>
            <w:shd w:val="clear" w:color="auto" w:fill="FFFFFF"/>
            <w:vAlign w:val="center"/>
          </w:tcPr>
          <w:p w:rsidR="00CB3670" w:rsidRPr="00CB3670" w:rsidRDefault="00CB3670" w:rsidP="002C6E60">
            <w:pPr>
              <w:spacing w:after="0" w:line="240" w:lineRule="auto"/>
              <w:jc w:val="center"/>
              <w:rPr>
                <w:rFonts w:ascii="Times New Roman" w:hAnsi="Times New Roman"/>
                <w:sz w:val="16"/>
                <w:szCs w:val="16"/>
              </w:rPr>
            </w:pPr>
            <w:r w:rsidRPr="00CB3670">
              <w:rPr>
                <w:rFonts w:ascii="Times New Roman" w:hAnsi="Times New Roman"/>
                <w:sz w:val="16"/>
                <w:szCs w:val="16"/>
              </w:rPr>
              <w:t>Locale</w:t>
            </w:r>
          </w:p>
        </w:tc>
        <w:tc>
          <w:tcPr>
            <w:tcW w:w="284" w:type="dxa"/>
            <w:shd w:val="clear" w:color="auto" w:fill="002060"/>
            <w:vAlign w:val="center"/>
          </w:tcPr>
          <w:p w:rsidR="00CB3670" w:rsidRPr="00CB3670" w:rsidRDefault="00CB3670" w:rsidP="002C6E60">
            <w:pPr>
              <w:spacing w:after="0" w:line="240" w:lineRule="auto"/>
              <w:jc w:val="center"/>
              <w:rPr>
                <w:rFonts w:ascii="Times New Roman" w:hAnsi="Times New Roman"/>
                <w:b/>
                <w:sz w:val="16"/>
                <w:szCs w:val="16"/>
              </w:rPr>
            </w:pPr>
            <w:r w:rsidRPr="00CB3670">
              <w:rPr>
                <w:rFonts w:ascii="Times New Roman" w:hAnsi="Times New Roman"/>
                <w:b/>
                <w:sz w:val="16"/>
                <w:szCs w:val="16"/>
              </w:rPr>
              <w:t>3</w:t>
            </w:r>
          </w:p>
        </w:tc>
        <w:tc>
          <w:tcPr>
            <w:tcW w:w="850" w:type="dxa"/>
            <w:shd w:val="clear" w:color="auto" w:fill="FFFFFF"/>
            <w:vAlign w:val="center"/>
          </w:tcPr>
          <w:p w:rsidR="00CB3670" w:rsidRPr="00CB3670" w:rsidRDefault="00CB3670" w:rsidP="002C6E60">
            <w:pPr>
              <w:spacing w:after="0" w:line="240" w:lineRule="auto"/>
              <w:jc w:val="center"/>
              <w:rPr>
                <w:rFonts w:ascii="Times New Roman" w:hAnsi="Times New Roman"/>
                <w:sz w:val="16"/>
                <w:szCs w:val="16"/>
              </w:rPr>
            </w:pPr>
            <w:r w:rsidRPr="00CB3670">
              <w:rPr>
                <w:rFonts w:ascii="Times New Roman" w:hAnsi="Times New Roman"/>
                <w:sz w:val="16"/>
                <w:szCs w:val="16"/>
              </w:rPr>
              <w:t>Moyenne</w:t>
            </w:r>
          </w:p>
        </w:tc>
        <w:tc>
          <w:tcPr>
            <w:tcW w:w="284" w:type="dxa"/>
            <w:shd w:val="clear" w:color="auto" w:fill="002060"/>
            <w:vAlign w:val="center"/>
          </w:tcPr>
          <w:p w:rsidR="00CB3670" w:rsidRPr="00CB3670" w:rsidRDefault="00CB3670" w:rsidP="002C6E60">
            <w:pPr>
              <w:spacing w:after="0" w:line="240" w:lineRule="auto"/>
              <w:jc w:val="center"/>
              <w:rPr>
                <w:rFonts w:ascii="Times New Roman" w:hAnsi="Times New Roman"/>
                <w:b/>
                <w:sz w:val="16"/>
                <w:szCs w:val="16"/>
              </w:rPr>
            </w:pPr>
            <w:r w:rsidRPr="00CB3670">
              <w:rPr>
                <w:rFonts w:ascii="Times New Roman" w:hAnsi="Times New Roman"/>
                <w:b/>
                <w:sz w:val="16"/>
                <w:szCs w:val="16"/>
              </w:rPr>
              <w:t>3</w:t>
            </w:r>
          </w:p>
        </w:tc>
        <w:tc>
          <w:tcPr>
            <w:tcW w:w="850" w:type="dxa"/>
            <w:shd w:val="clear" w:color="auto" w:fill="92D050"/>
            <w:vAlign w:val="center"/>
          </w:tcPr>
          <w:p w:rsidR="00CB3670" w:rsidRPr="00CB3670" w:rsidRDefault="00CB3670" w:rsidP="002C6E60">
            <w:pPr>
              <w:spacing w:after="0" w:line="240" w:lineRule="auto"/>
              <w:jc w:val="center"/>
              <w:rPr>
                <w:rFonts w:ascii="Times New Roman" w:hAnsi="Times New Roman"/>
                <w:b/>
                <w:sz w:val="16"/>
                <w:szCs w:val="16"/>
              </w:rPr>
            </w:pPr>
            <w:r w:rsidRPr="00CB3670">
              <w:rPr>
                <w:rFonts w:ascii="Times New Roman" w:hAnsi="Times New Roman"/>
                <w:b/>
                <w:sz w:val="16"/>
                <w:szCs w:val="16"/>
              </w:rPr>
              <w:t>Mineure</w:t>
            </w:r>
          </w:p>
        </w:tc>
        <w:tc>
          <w:tcPr>
            <w:tcW w:w="586" w:type="dxa"/>
            <w:shd w:val="clear" w:color="auto" w:fill="92D050"/>
            <w:vAlign w:val="center"/>
          </w:tcPr>
          <w:p w:rsidR="00CB3670" w:rsidRPr="00CB3670" w:rsidRDefault="00CB3670" w:rsidP="002C6E60">
            <w:pPr>
              <w:spacing w:after="0" w:line="240" w:lineRule="auto"/>
              <w:jc w:val="center"/>
              <w:rPr>
                <w:rFonts w:ascii="Times New Roman" w:hAnsi="Times New Roman"/>
                <w:b/>
                <w:sz w:val="16"/>
                <w:szCs w:val="16"/>
              </w:rPr>
            </w:pPr>
            <w:r w:rsidRPr="00CB3670">
              <w:rPr>
                <w:rFonts w:ascii="Times New Roman" w:hAnsi="Times New Roman"/>
                <w:b/>
                <w:sz w:val="16"/>
                <w:szCs w:val="16"/>
              </w:rPr>
              <w:t>9</w:t>
            </w:r>
          </w:p>
        </w:tc>
      </w:tr>
      <w:tr w:rsidR="00CB3670" w:rsidRPr="00CB3670" w:rsidTr="00CB3670">
        <w:trPr>
          <w:jc w:val="center"/>
        </w:trPr>
        <w:tc>
          <w:tcPr>
            <w:tcW w:w="988" w:type="dxa"/>
            <w:vMerge/>
            <w:shd w:val="clear" w:color="auto" w:fill="BDD6EE"/>
            <w:vAlign w:val="center"/>
          </w:tcPr>
          <w:p w:rsidR="00CB3670" w:rsidRPr="00CB3670" w:rsidRDefault="00CB3670" w:rsidP="002C6E60">
            <w:pPr>
              <w:spacing w:after="0" w:line="240" w:lineRule="auto"/>
              <w:jc w:val="center"/>
              <w:rPr>
                <w:rFonts w:ascii="Times New Roman" w:hAnsi="Times New Roman"/>
                <w:sz w:val="16"/>
                <w:szCs w:val="16"/>
              </w:rPr>
            </w:pPr>
          </w:p>
        </w:tc>
        <w:tc>
          <w:tcPr>
            <w:tcW w:w="850" w:type="dxa"/>
            <w:vMerge w:val="restart"/>
            <w:vAlign w:val="center"/>
          </w:tcPr>
          <w:p w:rsidR="00CB3670" w:rsidRPr="00CB3670" w:rsidRDefault="00CB3670" w:rsidP="002C6E60">
            <w:pPr>
              <w:spacing w:after="0" w:line="240" w:lineRule="auto"/>
              <w:jc w:val="center"/>
              <w:rPr>
                <w:rFonts w:ascii="Times New Roman" w:hAnsi="Times New Roman"/>
                <w:b/>
                <w:sz w:val="12"/>
                <w:szCs w:val="12"/>
              </w:rPr>
            </w:pPr>
            <w:r w:rsidRPr="00CB3670">
              <w:rPr>
                <w:rFonts w:ascii="Times New Roman" w:hAnsi="Times New Roman"/>
                <w:b/>
                <w:sz w:val="12"/>
                <w:szCs w:val="12"/>
              </w:rPr>
              <w:t>HUMAIN</w:t>
            </w:r>
          </w:p>
        </w:tc>
        <w:tc>
          <w:tcPr>
            <w:tcW w:w="4536" w:type="dxa"/>
            <w:gridSpan w:val="3"/>
            <w:vAlign w:val="center"/>
          </w:tcPr>
          <w:p w:rsidR="00CB3670" w:rsidRPr="00CB3670" w:rsidRDefault="00CB3670" w:rsidP="00CB3670">
            <w:pPr>
              <w:spacing w:after="0" w:line="240" w:lineRule="auto"/>
              <w:jc w:val="both"/>
              <w:rPr>
                <w:rFonts w:ascii="Times New Roman" w:hAnsi="Times New Roman"/>
                <w:sz w:val="16"/>
                <w:szCs w:val="16"/>
              </w:rPr>
            </w:pPr>
            <w:r w:rsidRPr="00CB3670">
              <w:rPr>
                <w:rFonts w:ascii="Times New Roman" w:hAnsi="Times New Roman"/>
                <w:sz w:val="16"/>
                <w:szCs w:val="16"/>
              </w:rPr>
              <w:t xml:space="preserve">Risque de perturbation du cadre de vie des populations riveraines dû aux productions de poussières, de bruit </w:t>
            </w:r>
          </w:p>
        </w:tc>
        <w:tc>
          <w:tcPr>
            <w:tcW w:w="851" w:type="dxa"/>
            <w:vAlign w:val="center"/>
          </w:tcPr>
          <w:p w:rsidR="00CB3670" w:rsidRPr="00CB3670" w:rsidRDefault="00CB3670" w:rsidP="002C6E60">
            <w:pPr>
              <w:spacing w:after="0" w:line="240" w:lineRule="auto"/>
              <w:jc w:val="center"/>
              <w:rPr>
                <w:rFonts w:ascii="Times New Roman" w:hAnsi="Times New Roman"/>
                <w:sz w:val="16"/>
                <w:szCs w:val="16"/>
              </w:rPr>
            </w:pPr>
            <w:r w:rsidRPr="00CB3670">
              <w:rPr>
                <w:rFonts w:ascii="Times New Roman" w:hAnsi="Times New Roman"/>
                <w:sz w:val="16"/>
                <w:szCs w:val="16"/>
              </w:rPr>
              <w:t>Forte</w:t>
            </w:r>
          </w:p>
        </w:tc>
        <w:tc>
          <w:tcPr>
            <w:tcW w:w="283" w:type="dxa"/>
            <w:shd w:val="clear" w:color="auto" w:fill="002060"/>
            <w:vAlign w:val="center"/>
          </w:tcPr>
          <w:p w:rsidR="00CB3670" w:rsidRPr="00CB3670" w:rsidRDefault="00CB3670" w:rsidP="002C6E60">
            <w:pPr>
              <w:spacing w:after="0" w:line="240" w:lineRule="auto"/>
              <w:jc w:val="center"/>
              <w:rPr>
                <w:rFonts w:ascii="Times New Roman" w:hAnsi="Times New Roman"/>
                <w:b/>
                <w:sz w:val="16"/>
                <w:szCs w:val="16"/>
              </w:rPr>
            </w:pPr>
            <w:r w:rsidRPr="00CB3670">
              <w:rPr>
                <w:rFonts w:ascii="Times New Roman" w:hAnsi="Times New Roman"/>
                <w:b/>
                <w:sz w:val="16"/>
                <w:szCs w:val="16"/>
              </w:rPr>
              <w:t>5</w:t>
            </w:r>
          </w:p>
        </w:tc>
        <w:tc>
          <w:tcPr>
            <w:tcW w:w="992" w:type="dxa"/>
            <w:vAlign w:val="center"/>
          </w:tcPr>
          <w:p w:rsidR="00CB3670" w:rsidRPr="00CB3670" w:rsidRDefault="00CB3670" w:rsidP="002C6E60">
            <w:pPr>
              <w:spacing w:after="0" w:line="240" w:lineRule="auto"/>
              <w:jc w:val="center"/>
              <w:rPr>
                <w:rFonts w:ascii="Times New Roman" w:hAnsi="Times New Roman"/>
                <w:sz w:val="16"/>
                <w:szCs w:val="16"/>
              </w:rPr>
            </w:pPr>
            <w:r w:rsidRPr="00CB3670">
              <w:rPr>
                <w:rFonts w:ascii="Times New Roman" w:hAnsi="Times New Roman"/>
                <w:sz w:val="16"/>
                <w:szCs w:val="16"/>
              </w:rPr>
              <w:t>Locale</w:t>
            </w:r>
          </w:p>
        </w:tc>
        <w:tc>
          <w:tcPr>
            <w:tcW w:w="284" w:type="dxa"/>
            <w:shd w:val="clear" w:color="auto" w:fill="002060"/>
            <w:vAlign w:val="center"/>
          </w:tcPr>
          <w:p w:rsidR="00CB3670" w:rsidRPr="00CB3670" w:rsidRDefault="00CB3670" w:rsidP="002C6E60">
            <w:pPr>
              <w:spacing w:after="0" w:line="240" w:lineRule="auto"/>
              <w:jc w:val="center"/>
              <w:rPr>
                <w:rFonts w:ascii="Times New Roman" w:hAnsi="Times New Roman"/>
                <w:b/>
                <w:sz w:val="16"/>
                <w:szCs w:val="16"/>
              </w:rPr>
            </w:pPr>
            <w:r w:rsidRPr="00CB3670">
              <w:rPr>
                <w:rFonts w:ascii="Times New Roman" w:hAnsi="Times New Roman"/>
                <w:b/>
                <w:sz w:val="16"/>
                <w:szCs w:val="16"/>
              </w:rPr>
              <w:t>3</w:t>
            </w:r>
          </w:p>
        </w:tc>
        <w:tc>
          <w:tcPr>
            <w:tcW w:w="850" w:type="dxa"/>
            <w:vAlign w:val="center"/>
          </w:tcPr>
          <w:p w:rsidR="00CB3670" w:rsidRPr="00CB3670" w:rsidRDefault="00CB3670" w:rsidP="002C6E60">
            <w:pPr>
              <w:spacing w:after="0" w:line="240" w:lineRule="auto"/>
              <w:jc w:val="center"/>
              <w:rPr>
                <w:rFonts w:ascii="Times New Roman" w:hAnsi="Times New Roman"/>
                <w:sz w:val="16"/>
                <w:szCs w:val="16"/>
              </w:rPr>
            </w:pPr>
            <w:r w:rsidRPr="00CB3670">
              <w:rPr>
                <w:rFonts w:ascii="Times New Roman" w:hAnsi="Times New Roman"/>
                <w:sz w:val="16"/>
                <w:szCs w:val="16"/>
              </w:rPr>
              <w:t>Courte</w:t>
            </w:r>
          </w:p>
        </w:tc>
        <w:tc>
          <w:tcPr>
            <w:tcW w:w="284" w:type="dxa"/>
            <w:shd w:val="clear" w:color="auto" w:fill="002060"/>
            <w:vAlign w:val="center"/>
          </w:tcPr>
          <w:p w:rsidR="00CB3670" w:rsidRPr="00CB3670" w:rsidRDefault="00CB3670" w:rsidP="002C6E60">
            <w:pPr>
              <w:spacing w:after="0" w:line="240" w:lineRule="auto"/>
              <w:jc w:val="center"/>
              <w:rPr>
                <w:rFonts w:ascii="Times New Roman" w:hAnsi="Times New Roman"/>
                <w:b/>
                <w:sz w:val="16"/>
                <w:szCs w:val="16"/>
              </w:rPr>
            </w:pPr>
            <w:r w:rsidRPr="00CB3670">
              <w:rPr>
                <w:rFonts w:ascii="Times New Roman" w:hAnsi="Times New Roman"/>
                <w:b/>
                <w:sz w:val="16"/>
                <w:szCs w:val="16"/>
              </w:rPr>
              <w:t>1</w:t>
            </w:r>
          </w:p>
        </w:tc>
        <w:tc>
          <w:tcPr>
            <w:tcW w:w="850" w:type="dxa"/>
            <w:shd w:val="clear" w:color="auto" w:fill="92D050"/>
            <w:vAlign w:val="center"/>
          </w:tcPr>
          <w:p w:rsidR="00CB3670" w:rsidRPr="00CB3670" w:rsidRDefault="00CB3670" w:rsidP="002C6E60">
            <w:pPr>
              <w:spacing w:after="0" w:line="240" w:lineRule="auto"/>
              <w:jc w:val="center"/>
              <w:rPr>
                <w:rFonts w:ascii="Times New Roman" w:hAnsi="Times New Roman"/>
                <w:b/>
                <w:sz w:val="16"/>
                <w:szCs w:val="16"/>
              </w:rPr>
            </w:pPr>
            <w:r w:rsidRPr="00CB3670">
              <w:rPr>
                <w:rFonts w:ascii="Times New Roman" w:hAnsi="Times New Roman"/>
                <w:b/>
                <w:sz w:val="16"/>
                <w:szCs w:val="16"/>
              </w:rPr>
              <w:t>Mineure</w:t>
            </w:r>
          </w:p>
        </w:tc>
        <w:tc>
          <w:tcPr>
            <w:tcW w:w="586" w:type="dxa"/>
            <w:shd w:val="clear" w:color="auto" w:fill="92D050"/>
            <w:vAlign w:val="center"/>
          </w:tcPr>
          <w:p w:rsidR="00CB3670" w:rsidRPr="00CB3670" w:rsidRDefault="00CB3670" w:rsidP="002C6E60">
            <w:pPr>
              <w:spacing w:after="0" w:line="240" w:lineRule="auto"/>
              <w:jc w:val="center"/>
              <w:rPr>
                <w:rFonts w:ascii="Times New Roman" w:hAnsi="Times New Roman"/>
                <w:b/>
                <w:sz w:val="16"/>
                <w:szCs w:val="16"/>
              </w:rPr>
            </w:pPr>
            <w:r w:rsidRPr="00CB3670">
              <w:rPr>
                <w:rFonts w:ascii="Times New Roman" w:hAnsi="Times New Roman"/>
                <w:b/>
                <w:sz w:val="16"/>
                <w:szCs w:val="16"/>
              </w:rPr>
              <w:t>15</w:t>
            </w:r>
          </w:p>
        </w:tc>
      </w:tr>
      <w:tr w:rsidR="00CB3670" w:rsidRPr="00CB3670" w:rsidTr="00CB3670">
        <w:trPr>
          <w:jc w:val="center"/>
        </w:trPr>
        <w:tc>
          <w:tcPr>
            <w:tcW w:w="988" w:type="dxa"/>
            <w:vMerge/>
            <w:shd w:val="clear" w:color="auto" w:fill="BDD6EE"/>
            <w:vAlign w:val="center"/>
          </w:tcPr>
          <w:p w:rsidR="00CB3670" w:rsidRPr="00CB3670" w:rsidRDefault="00CB3670" w:rsidP="002C6E60">
            <w:pPr>
              <w:spacing w:after="0" w:line="240" w:lineRule="auto"/>
              <w:jc w:val="center"/>
              <w:rPr>
                <w:rFonts w:ascii="Times New Roman" w:hAnsi="Times New Roman"/>
                <w:sz w:val="16"/>
                <w:szCs w:val="16"/>
              </w:rPr>
            </w:pPr>
          </w:p>
        </w:tc>
        <w:tc>
          <w:tcPr>
            <w:tcW w:w="850" w:type="dxa"/>
            <w:vMerge/>
            <w:vAlign w:val="center"/>
          </w:tcPr>
          <w:p w:rsidR="00CB3670" w:rsidRPr="00CB3670" w:rsidRDefault="00CB3670" w:rsidP="002C6E60">
            <w:pPr>
              <w:spacing w:after="0" w:line="240" w:lineRule="auto"/>
              <w:jc w:val="center"/>
              <w:rPr>
                <w:rFonts w:ascii="Times New Roman" w:hAnsi="Times New Roman"/>
                <w:b/>
                <w:sz w:val="16"/>
                <w:szCs w:val="16"/>
              </w:rPr>
            </w:pPr>
          </w:p>
        </w:tc>
        <w:tc>
          <w:tcPr>
            <w:tcW w:w="4536" w:type="dxa"/>
            <w:gridSpan w:val="3"/>
            <w:vAlign w:val="center"/>
          </w:tcPr>
          <w:p w:rsidR="00CB3670" w:rsidRPr="00CB3670" w:rsidRDefault="00CB3670" w:rsidP="00CB3670">
            <w:pPr>
              <w:spacing w:after="0" w:line="240" w:lineRule="auto"/>
              <w:jc w:val="both"/>
              <w:rPr>
                <w:rFonts w:ascii="Times New Roman" w:hAnsi="Times New Roman"/>
                <w:sz w:val="16"/>
                <w:szCs w:val="16"/>
              </w:rPr>
            </w:pPr>
            <w:r w:rsidRPr="00CB3670">
              <w:rPr>
                <w:rFonts w:ascii="Times New Roman" w:hAnsi="Times New Roman"/>
                <w:sz w:val="16"/>
                <w:szCs w:val="16"/>
              </w:rPr>
              <w:t>Risque de gêner la circulation des passants et des automobilistes</w:t>
            </w:r>
          </w:p>
        </w:tc>
        <w:tc>
          <w:tcPr>
            <w:tcW w:w="851" w:type="dxa"/>
            <w:vAlign w:val="center"/>
          </w:tcPr>
          <w:p w:rsidR="00CB3670" w:rsidRPr="00CB3670" w:rsidRDefault="00CB3670" w:rsidP="002C6E60">
            <w:pPr>
              <w:spacing w:after="0" w:line="240" w:lineRule="auto"/>
              <w:jc w:val="center"/>
              <w:rPr>
                <w:rFonts w:ascii="Times New Roman" w:hAnsi="Times New Roman"/>
                <w:sz w:val="16"/>
                <w:szCs w:val="16"/>
              </w:rPr>
            </w:pPr>
            <w:r w:rsidRPr="00CB3670">
              <w:rPr>
                <w:rFonts w:ascii="Times New Roman" w:hAnsi="Times New Roman"/>
                <w:sz w:val="16"/>
                <w:szCs w:val="16"/>
              </w:rPr>
              <w:t>Forte</w:t>
            </w:r>
          </w:p>
        </w:tc>
        <w:tc>
          <w:tcPr>
            <w:tcW w:w="283" w:type="dxa"/>
            <w:shd w:val="clear" w:color="auto" w:fill="002060"/>
            <w:vAlign w:val="center"/>
          </w:tcPr>
          <w:p w:rsidR="00CB3670" w:rsidRPr="00CB3670" w:rsidRDefault="00CB3670" w:rsidP="002C6E60">
            <w:pPr>
              <w:spacing w:after="0" w:line="240" w:lineRule="auto"/>
              <w:jc w:val="center"/>
              <w:rPr>
                <w:rFonts w:ascii="Times New Roman" w:hAnsi="Times New Roman"/>
                <w:b/>
                <w:sz w:val="16"/>
                <w:szCs w:val="16"/>
              </w:rPr>
            </w:pPr>
            <w:r w:rsidRPr="00CB3670">
              <w:rPr>
                <w:rFonts w:ascii="Times New Roman" w:hAnsi="Times New Roman"/>
                <w:b/>
                <w:sz w:val="16"/>
                <w:szCs w:val="16"/>
              </w:rPr>
              <w:t>5</w:t>
            </w:r>
          </w:p>
        </w:tc>
        <w:tc>
          <w:tcPr>
            <w:tcW w:w="992" w:type="dxa"/>
            <w:vAlign w:val="center"/>
          </w:tcPr>
          <w:p w:rsidR="00CB3670" w:rsidRPr="00CB3670" w:rsidRDefault="00CB3670" w:rsidP="002C6E60">
            <w:pPr>
              <w:spacing w:after="0" w:line="240" w:lineRule="auto"/>
              <w:jc w:val="center"/>
              <w:rPr>
                <w:rFonts w:ascii="Times New Roman" w:hAnsi="Times New Roman"/>
                <w:sz w:val="16"/>
                <w:szCs w:val="16"/>
              </w:rPr>
            </w:pPr>
            <w:r w:rsidRPr="00CB3670">
              <w:rPr>
                <w:rFonts w:ascii="Times New Roman" w:hAnsi="Times New Roman"/>
                <w:sz w:val="16"/>
                <w:szCs w:val="16"/>
              </w:rPr>
              <w:t>Locale</w:t>
            </w:r>
          </w:p>
        </w:tc>
        <w:tc>
          <w:tcPr>
            <w:tcW w:w="284" w:type="dxa"/>
            <w:shd w:val="clear" w:color="auto" w:fill="002060"/>
            <w:vAlign w:val="center"/>
          </w:tcPr>
          <w:p w:rsidR="00CB3670" w:rsidRPr="00CB3670" w:rsidRDefault="00CB3670" w:rsidP="002C6E60">
            <w:pPr>
              <w:spacing w:after="0" w:line="240" w:lineRule="auto"/>
              <w:jc w:val="center"/>
              <w:rPr>
                <w:rFonts w:ascii="Times New Roman" w:hAnsi="Times New Roman"/>
                <w:b/>
                <w:sz w:val="16"/>
                <w:szCs w:val="16"/>
              </w:rPr>
            </w:pPr>
            <w:r w:rsidRPr="00CB3670">
              <w:rPr>
                <w:rFonts w:ascii="Times New Roman" w:hAnsi="Times New Roman"/>
                <w:b/>
                <w:sz w:val="16"/>
                <w:szCs w:val="16"/>
              </w:rPr>
              <w:t>3</w:t>
            </w:r>
          </w:p>
        </w:tc>
        <w:tc>
          <w:tcPr>
            <w:tcW w:w="850" w:type="dxa"/>
            <w:vAlign w:val="center"/>
          </w:tcPr>
          <w:p w:rsidR="00CB3670" w:rsidRPr="00CB3670" w:rsidRDefault="00CB3670" w:rsidP="002C6E60">
            <w:pPr>
              <w:spacing w:after="0" w:line="240" w:lineRule="auto"/>
              <w:jc w:val="center"/>
              <w:rPr>
                <w:rFonts w:ascii="Times New Roman" w:hAnsi="Times New Roman"/>
                <w:sz w:val="16"/>
                <w:szCs w:val="16"/>
              </w:rPr>
            </w:pPr>
            <w:r w:rsidRPr="00CB3670">
              <w:rPr>
                <w:rFonts w:ascii="Times New Roman" w:hAnsi="Times New Roman"/>
                <w:sz w:val="16"/>
                <w:szCs w:val="16"/>
              </w:rPr>
              <w:t>Courte</w:t>
            </w:r>
          </w:p>
        </w:tc>
        <w:tc>
          <w:tcPr>
            <w:tcW w:w="284" w:type="dxa"/>
            <w:shd w:val="clear" w:color="auto" w:fill="002060"/>
            <w:vAlign w:val="center"/>
          </w:tcPr>
          <w:p w:rsidR="00CB3670" w:rsidRPr="00CB3670" w:rsidRDefault="00CB3670" w:rsidP="002C6E60">
            <w:pPr>
              <w:spacing w:after="0" w:line="240" w:lineRule="auto"/>
              <w:jc w:val="center"/>
              <w:rPr>
                <w:rFonts w:ascii="Times New Roman" w:hAnsi="Times New Roman"/>
                <w:b/>
                <w:sz w:val="16"/>
                <w:szCs w:val="16"/>
              </w:rPr>
            </w:pPr>
            <w:r w:rsidRPr="00CB3670">
              <w:rPr>
                <w:rFonts w:ascii="Times New Roman" w:hAnsi="Times New Roman"/>
                <w:b/>
                <w:sz w:val="16"/>
                <w:szCs w:val="16"/>
              </w:rPr>
              <w:t>1</w:t>
            </w:r>
          </w:p>
        </w:tc>
        <w:tc>
          <w:tcPr>
            <w:tcW w:w="850" w:type="dxa"/>
            <w:shd w:val="clear" w:color="auto" w:fill="92D050"/>
            <w:vAlign w:val="center"/>
          </w:tcPr>
          <w:p w:rsidR="00CB3670" w:rsidRPr="00CB3670" w:rsidRDefault="00CB3670" w:rsidP="002C6E60">
            <w:pPr>
              <w:spacing w:after="0" w:line="240" w:lineRule="auto"/>
              <w:jc w:val="center"/>
              <w:rPr>
                <w:rFonts w:ascii="Times New Roman" w:hAnsi="Times New Roman"/>
                <w:b/>
                <w:sz w:val="16"/>
                <w:szCs w:val="16"/>
              </w:rPr>
            </w:pPr>
            <w:r w:rsidRPr="00CB3670">
              <w:rPr>
                <w:rFonts w:ascii="Times New Roman" w:hAnsi="Times New Roman"/>
                <w:b/>
                <w:sz w:val="16"/>
                <w:szCs w:val="16"/>
              </w:rPr>
              <w:t>Mineure</w:t>
            </w:r>
          </w:p>
        </w:tc>
        <w:tc>
          <w:tcPr>
            <w:tcW w:w="586" w:type="dxa"/>
            <w:shd w:val="clear" w:color="auto" w:fill="92D050"/>
            <w:vAlign w:val="center"/>
          </w:tcPr>
          <w:p w:rsidR="00CB3670" w:rsidRPr="00CB3670" w:rsidRDefault="00CB3670" w:rsidP="002C6E60">
            <w:pPr>
              <w:spacing w:after="0" w:line="240" w:lineRule="auto"/>
              <w:jc w:val="center"/>
              <w:rPr>
                <w:rFonts w:ascii="Times New Roman" w:hAnsi="Times New Roman"/>
                <w:b/>
                <w:sz w:val="16"/>
                <w:szCs w:val="16"/>
              </w:rPr>
            </w:pPr>
            <w:r w:rsidRPr="00CB3670">
              <w:rPr>
                <w:rFonts w:ascii="Times New Roman" w:hAnsi="Times New Roman"/>
                <w:b/>
                <w:sz w:val="16"/>
                <w:szCs w:val="16"/>
              </w:rPr>
              <w:t>15</w:t>
            </w:r>
          </w:p>
        </w:tc>
      </w:tr>
      <w:tr w:rsidR="00CB3670" w:rsidRPr="00CB3670" w:rsidTr="00CB3670">
        <w:trPr>
          <w:jc w:val="center"/>
        </w:trPr>
        <w:tc>
          <w:tcPr>
            <w:tcW w:w="988" w:type="dxa"/>
            <w:vMerge/>
            <w:shd w:val="clear" w:color="auto" w:fill="BDD6EE"/>
            <w:vAlign w:val="center"/>
          </w:tcPr>
          <w:p w:rsidR="00CB3670" w:rsidRPr="00CB3670" w:rsidRDefault="00CB3670" w:rsidP="002C6E60">
            <w:pPr>
              <w:spacing w:after="0" w:line="240" w:lineRule="auto"/>
              <w:jc w:val="center"/>
              <w:rPr>
                <w:rFonts w:ascii="Times New Roman" w:hAnsi="Times New Roman"/>
                <w:sz w:val="16"/>
                <w:szCs w:val="16"/>
              </w:rPr>
            </w:pPr>
          </w:p>
        </w:tc>
        <w:tc>
          <w:tcPr>
            <w:tcW w:w="850" w:type="dxa"/>
            <w:vMerge/>
            <w:vAlign w:val="center"/>
          </w:tcPr>
          <w:p w:rsidR="00CB3670" w:rsidRPr="00CB3670" w:rsidRDefault="00CB3670" w:rsidP="002C6E60">
            <w:pPr>
              <w:spacing w:after="0" w:line="240" w:lineRule="auto"/>
              <w:jc w:val="center"/>
              <w:rPr>
                <w:rFonts w:ascii="Times New Roman" w:hAnsi="Times New Roman"/>
                <w:b/>
                <w:sz w:val="16"/>
                <w:szCs w:val="16"/>
              </w:rPr>
            </w:pPr>
          </w:p>
        </w:tc>
        <w:tc>
          <w:tcPr>
            <w:tcW w:w="4536" w:type="dxa"/>
            <w:gridSpan w:val="3"/>
            <w:vAlign w:val="center"/>
          </w:tcPr>
          <w:p w:rsidR="00CB3670" w:rsidRPr="00CB3670" w:rsidRDefault="00CB3670" w:rsidP="00CB3670">
            <w:pPr>
              <w:spacing w:after="0" w:line="240" w:lineRule="auto"/>
              <w:jc w:val="both"/>
              <w:rPr>
                <w:rFonts w:ascii="Times New Roman" w:hAnsi="Times New Roman"/>
                <w:sz w:val="16"/>
                <w:szCs w:val="16"/>
              </w:rPr>
            </w:pPr>
            <w:r w:rsidRPr="00CB3670">
              <w:rPr>
                <w:rFonts w:ascii="Times New Roman" w:hAnsi="Times New Roman"/>
                <w:sz w:val="16"/>
                <w:szCs w:val="16"/>
              </w:rPr>
              <w:t>Risques de propagation de maladies sexuellement transmissibles comme le VIH/SIDA</w:t>
            </w:r>
          </w:p>
        </w:tc>
        <w:tc>
          <w:tcPr>
            <w:tcW w:w="851" w:type="dxa"/>
            <w:vAlign w:val="center"/>
          </w:tcPr>
          <w:p w:rsidR="00CB3670" w:rsidRPr="00CB3670" w:rsidRDefault="00CB3670" w:rsidP="002C6E60">
            <w:pPr>
              <w:spacing w:after="0" w:line="240" w:lineRule="auto"/>
              <w:jc w:val="center"/>
              <w:rPr>
                <w:rFonts w:ascii="Times New Roman" w:hAnsi="Times New Roman"/>
                <w:sz w:val="16"/>
                <w:szCs w:val="16"/>
              </w:rPr>
            </w:pPr>
            <w:r w:rsidRPr="00CB3670">
              <w:rPr>
                <w:rFonts w:ascii="Times New Roman" w:hAnsi="Times New Roman"/>
                <w:sz w:val="16"/>
                <w:szCs w:val="16"/>
              </w:rPr>
              <w:t>Forte</w:t>
            </w:r>
          </w:p>
        </w:tc>
        <w:tc>
          <w:tcPr>
            <w:tcW w:w="283" w:type="dxa"/>
            <w:shd w:val="clear" w:color="auto" w:fill="002060"/>
            <w:vAlign w:val="center"/>
          </w:tcPr>
          <w:p w:rsidR="00CB3670" w:rsidRPr="00CB3670" w:rsidRDefault="00CB3670" w:rsidP="002C6E60">
            <w:pPr>
              <w:spacing w:after="0" w:line="240" w:lineRule="auto"/>
              <w:jc w:val="center"/>
              <w:rPr>
                <w:rFonts w:ascii="Times New Roman" w:hAnsi="Times New Roman"/>
                <w:b/>
                <w:sz w:val="16"/>
                <w:szCs w:val="16"/>
              </w:rPr>
            </w:pPr>
            <w:r w:rsidRPr="00CB3670">
              <w:rPr>
                <w:rFonts w:ascii="Times New Roman" w:hAnsi="Times New Roman"/>
                <w:b/>
                <w:sz w:val="16"/>
                <w:szCs w:val="16"/>
              </w:rPr>
              <w:t>5</w:t>
            </w:r>
          </w:p>
        </w:tc>
        <w:tc>
          <w:tcPr>
            <w:tcW w:w="992" w:type="dxa"/>
            <w:vAlign w:val="center"/>
          </w:tcPr>
          <w:p w:rsidR="00CB3670" w:rsidRPr="00CB3670" w:rsidRDefault="00CB3670" w:rsidP="002C6E60">
            <w:pPr>
              <w:spacing w:after="0" w:line="240" w:lineRule="auto"/>
              <w:jc w:val="center"/>
              <w:rPr>
                <w:rFonts w:ascii="Times New Roman" w:hAnsi="Times New Roman"/>
                <w:sz w:val="16"/>
                <w:szCs w:val="16"/>
              </w:rPr>
            </w:pPr>
            <w:r w:rsidRPr="00CB3670">
              <w:rPr>
                <w:rFonts w:ascii="Times New Roman" w:hAnsi="Times New Roman"/>
                <w:sz w:val="16"/>
                <w:szCs w:val="16"/>
              </w:rPr>
              <w:t>Régionale</w:t>
            </w:r>
          </w:p>
        </w:tc>
        <w:tc>
          <w:tcPr>
            <w:tcW w:w="284" w:type="dxa"/>
            <w:shd w:val="clear" w:color="auto" w:fill="002060"/>
            <w:vAlign w:val="center"/>
          </w:tcPr>
          <w:p w:rsidR="00CB3670" w:rsidRPr="00CB3670" w:rsidRDefault="00CB3670" w:rsidP="002C6E60">
            <w:pPr>
              <w:spacing w:after="0" w:line="240" w:lineRule="auto"/>
              <w:jc w:val="center"/>
              <w:rPr>
                <w:rFonts w:ascii="Times New Roman" w:hAnsi="Times New Roman"/>
                <w:b/>
                <w:sz w:val="16"/>
                <w:szCs w:val="16"/>
              </w:rPr>
            </w:pPr>
            <w:r w:rsidRPr="00CB3670">
              <w:rPr>
                <w:rFonts w:ascii="Times New Roman" w:hAnsi="Times New Roman"/>
                <w:b/>
                <w:sz w:val="16"/>
                <w:szCs w:val="16"/>
              </w:rPr>
              <w:t>5</w:t>
            </w:r>
          </w:p>
        </w:tc>
        <w:tc>
          <w:tcPr>
            <w:tcW w:w="850" w:type="dxa"/>
            <w:vAlign w:val="center"/>
          </w:tcPr>
          <w:p w:rsidR="00CB3670" w:rsidRPr="00CB3670" w:rsidRDefault="00CB3670" w:rsidP="002C6E60">
            <w:pPr>
              <w:spacing w:after="0" w:line="240" w:lineRule="auto"/>
              <w:jc w:val="center"/>
              <w:rPr>
                <w:rFonts w:ascii="Times New Roman" w:hAnsi="Times New Roman"/>
                <w:sz w:val="16"/>
                <w:szCs w:val="16"/>
              </w:rPr>
            </w:pPr>
            <w:r w:rsidRPr="00CB3670">
              <w:rPr>
                <w:rFonts w:ascii="Times New Roman" w:hAnsi="Times New Roman"/>
                <w:sz w:val="16"/>
                <w:szCs w:val="16"/>
              </w:rPr>
              <w:t>Courte</w:t>
            </w:r>
          </w:p>
        </w:tc>
        <w:tc>
          <w:tcPr>
            <w:tcW w:w="284" w:type="dxa"/>
            <w:shd w:val="clear" w:color="auto" w:fill="002060"/>
            <w:vAlign w:val="center"/>
          </w:tcPr>
          <w:p w:rsidR="00CB3670" w:rsidRPr="00CB3670" w:rsidRDefault="00CB3670" w:rsidP="002C6E60">
            <w:pPr>
              <w:spacing w:after="0" w:line="240" w:lineRule="auto"/>
              <w:jc w:val="center"/>
              <w:rPr>
                <w:rFonts w:ascii="Times New Roman" w:hAnsi="Times New Roman"/>
                <w:b/>
                <w:sz w:val="16"/>
                <w:szCs w:val="16"/>
              </w:rPr>
            </w:pPr>
            <w:r w:rsidRPr="00CB3670">
              <w:rPr>
                <w:rFonts w:ascii="Times New Roman" w:hAnsi="Times New Roman"/>
                <w:b/>
                <w:sz w:val="16"/>
                <w:szCs w:val="16"/>
              </w:rPr>
              <w:t>1</w:t>
            </w:r>
          </w:p>
        </w:tc>
        <w:tc>
          <w:tcPr>
            <w:tcW w:w="850" w:type="dxa"/>
            <w:shd w:val="clear" w:color="auto" w:fill="FFFF00"/>
            <w:vAlign w:val="center"/>
          </w:tcPr>
          <w:p w:rsidR="00CB3670" w:rsidRPr="00CB3670" w:rsidRDefault="00CB3670" w:rsidP="002C6E60">
            <w:pPr>
              <w:spacing w:after="0" w:line="240" w:lineRule="auto"/>
              <w:jc w:val="center"/>
              <w:rPr>
                <w:rFonts w:ascii="Times New Roman" w:hAnsi="Times New Roman"/>
                <w:b/>
                <w:sz w:val="16"/>
                <w:szCs w:val="16"/>
              </w:rPr>
            </w:pPr>
            <w:r w:rsidRPr="00CB3670">
              <w:rPr>
                <w:rFonts w:ascii="Times New Roman" w:hAnsi="Times New Roman"/>
                <w:b/>
                <w:sz w:val="16"/>
                <w:szCs w:val="16"/>
              </w:rPr>
              <w:t>Moyenne</w:t>
            </w:r>
          </w:p>
        </w:tc>
        <w:tc>
          <w:tcPr>
            <w:tcW w:w="586" w:type="dxa"/>
            <w:shd w:val="clear" w:color="auto" w:fill="FFFF00"/>
            <w:vAlign w:val="center"/>
          </w:tcPr>
          <w:p w:rsidR="00CB3670" w:rsidRPr="00CB3670" w:rsidRDefault="00CB3670" w:rsidP="002C6E60">
            <w:pPr>
              <w:spacing w:after="0" w:line="240" w:lineRule="auto"/>
              <w:jc w:val="center"/>
              <w:rPr>
                <w:rFonts w:ascii="Times New Roman" w:hAnsi="Times New Roman"/>
                <w:b/>
                <w:sz w:val="16"/>
                <w:szCs w:val="16"/>
              </w:rPr>
            </w:pPr>
            <w:r w:rsidRPr="00CB3670">
              <w:rPr>
                <w:rFonts w:ascii="Times New Roman" w:hAnsi="Times New Roman"/>
                <w:b/>
                <w:sz w:val="16"/>
                <w:szCs w:val="16"/>
              </w:rPr>
              <w:t>25</w:t>
            </w:r>
          </w:p>
        </w:tc>
      </w:tr>
      <w:tr w:rsidR="00CB3670" w:rsidRPr="00CB3670" w:rsidTr="00CB3670">
        <w:trPr>
          <w:jc w:val="center"/>
        </w:trPr>
        <w:tc>
          <w:tcPr>
            <w:tcW w:w="988" w:type="dxa"/>
            <w:vMerge/>
            <w:shd w:val="clear" w:color="auto" w:fill="BDD6EE"/>
            <w:vAlign w:val="center"/>
          </w:tcPr>
          <w:p w:rsidR="00CB3670" w:rsidRPr="00CB3670" w:rsidRDefault="00CB3670" w:rsidP="002C6E60">
            <w:pPr>
              <w:spacing w:after="0" w:line="240" w:lineRule="auto"/>
              <w:jc w:val="center"/>
              <w:rPr>
                <w:rFonts w:ascii="Times New Roman" w:hAnsi="Times New Roman"/>
                <w:sz w:val="16"/>
                <w:szCs w:val="16"/>
              </w:rPr>
            </w:pPr>
          </w:p>
        </w:tc>
        <w:tc>
          <w:tcPr>
            <w:tcW w:w="850" w:type="dxa"/>
            <w:vMerge/>
            <w:vAlign w:val="center"/>
          </w:tcPr>
          <w:p w:rsidR="00CB3670" w:rsidRPr="00CB3670" w:rsidRDefault="00CB3670" w:rsidP="002C6E60">
            <w:pPr>
              <w:spacing w:after="0" w:line="240" w:lineRule="auto"/>
              <w:jc w:val="center"/>
              <w:rPr>
                <w:rFonts w:ascii="Times New Roman" w:hAnsi="Times New Roman"/>
                <w:b/>
                <w:sz w:val="16"/>
                <w:szCs w:val="16"/>
              </w:rPr>
            </w:pPr>
          </w:p>
        </w:tc>
        <w:tc>
          <w:tcPr>
            <w:tcW w:w="4536" w:type="dxa"/>
            <w:gridSpan w:val="3"/>
            <w:vAlign w:val="center"/>
          </w:tcPr>
          <w:p w:rsidR="00CB3670" w:rsidRPr="00CB3670" w:rsidRDefault="00CB3670" w:rsidP="00CB3670">
            <w:pPr>
              <w:spacing w:after="0" w:line="240" w:lineRule="auto"/>
              <w:jc w:val="both"/>
              <w:rPr>
                <w:rFonts w:ascii="Times New Roman" w:hAnsi="Times New Roman"/>
                <w:sz w:val="16"/>
                <w:szCs w:val="16"/>
              </w:rPr>
            </w:pPr>
            <w:r w:rsidRPr="00CB3670">
              <w:rPr>
                <w:rFonts w:ascii="Times New Roman" w:hAnsi="Times New Roman"/>
                <w:sz w:val="16"/>
                <w:szCs w:val="16"/>
              </w:rPr>
              <w:t>Risques d’accident liés aux engins/instruments de chantier et à la présence de matériaux de construction mal protégés ou mal utilisé.</w:t>
            </w:r>
          </w:p>
          <w:p w:rsidR="00CB3670" w:rsidRPr="00CB3670" w:rsidRDefault="00CB3670" w:rsidP="00CB3670">
            <w:pPr>
              <w:spacing w:after="0" w:line="240" w:lineRule="auto"/>
              <w:jc w:val="both"/>
              <w:rPr>
                <w:rFonts w:ascii="Times New Roman" w:hAnsi="Times New Roman"/>
                <w:sz w:val="16"/>
                <w:szCs w:val="16"/>
              </w:rPr>
            </w:pPr>
            <w:r w:rsidRPr="00CB3670">
              <w:rPr>
                <w:rFonts w:ascii="Times New Roman" w:hAnsi="Times New Roman"/>
                <w:sz w:val="16"/>
                <w:szCs w:val="16"/>
              </w:rPr>
              <w:t>Risque de blessures dû à la manutention manuelle et mécanique</w:t>
            </w:r>
          </w:p>
        </w:tc>
        <w:tc>
          <w:tcPr>
            <w:tcW w:w="851" w:type="dxa"/>
            <w:vAlign w:val="center"/>
          </w:tcPr>
          <w:p w:rsidR="00CB3670" w:rsidRPr="00CB3670" w:rsidRDefault="00CB3670" w:rsidP="002C6E60">
            <w:pPr>
              <w:spacing w:after="0" w:line="240" w:lineRule="auto"/>
              <w:jc w:val="center"/>
              <w:rPr>
                <w:rFonts w:ascii="Times New Roman" w:hAnsi="Times New Roman"/>
                <w:sz w:val="16"/>
                <w:szCs w:val="16"/>
              </w:rPr>
            </w:pPr>
            <w:r w:rsidRPr="00CB3670">
              <w:rPr>
                <w:rFonts w:ascii="Times New Roman" w:hAnsi="Times New Roman"/>
                <w:sz w:val="16"/>
                <w:szCs w:val="16"/>
              </w:rPr>
              <w:t>Forte</w:t>
            </w:r>
          </w:p>
        </w:tc>
        <w:tc>
          <w:tcPr>
            <w:tcW w:w="283" w:type="dxa"/>
            <w:shd w:val="clear" w:color="auto" w:fill="002060"/>
            <w:vAlign w:val="center"/>
          </w:tcPr>
          <w:p w:rsidR="00CB3670" w:rsidRPr="00CB3670" w:rsidRDefault="00CB3670" w:rsidP="002C6E60">
            <w:pPr>
              <w:spacing w:after="0" w:line="240" w:lineRule="auto"/>
              <w:jc w:val="center"/>
              <w:rPr>
                <w:rFonts w:ascii="Times New Roman" w:hAnsi="Times New Roman"/>
                <w:b/>
                <w:sz w:val="16"/>
                <w:szCs w:val="16"/>
              </w:rPr>
            </w:pPr>
            <w:r w:rsidRPr="00CB3670">
              <w:rPr>
                <w:rFonts w:ascii="Times New Roman" w:hAnsi="Times New Roman"/>
                <w:b/>
                <w:sz w:val="16"/>
                <w:szCs w:val="16"/>
              </w:rPr>
              <w:t>5</w:t>
            </w:r>
          </w:p>
        </w:tc>
        <w:tc>
          <w:tcPr>
            <w:tcW w:w="992" w:type="dxa"/>
            <w:vAlign w:val="center"/>
          </w:tcPr>
          <w:p w:rsidR="00CB3670" w:rsidRPr="00CB3670" w:rsidRDefault="00CB3670" w:rsidP="002C6E60">
            <w:pPr>
              <w:spacing w:after="0" w:line="240" w:lineRule="auto"/>
              <w:jc w:val="center"/>
              <w:rPr>
                <w:rFonts w:ascii="Times New Roman" w:hAnsi="Times New Roman"/>
                <w:sz w:val="16"/>
                <w:szCs w:val="16"/>
              </w:rPr>
            </w:pPr>
            <w:r w:rsidRPr="00CB3670">
              <w:rPr>
                <w:rFonts w:ascii="Times New Roman" w:hAnsi="Times New Roman"/>
                <w:sz w:val="16"/>
                <w:szCs w:val="16"/>
              </w:rPr>
              <w:t>Locale</w:t>
            </w:r>
          </w:p>
        </w:tc>
        <w:tc>
          <w:tcPr>
            <w:tcW w:w="284" w:type="dxa"/>
            <w:shd w:val="clear" w:color="auto" w:fill="002060"/>
            <w:vAlign w:val="center"/>
          </w:tcPr>
          <w:p w:rsidR="00CB3670" w:rsidRPr="00CB3670" w:rsidRDefault="00CB3670" w:rsidP="002C6E60">
            <w:pPr>
              <w:spacing w:after="0" w:line="240" w:lineRule="auto"/>
              <w:jc w:val="center"/>
              <w:rPr>
                <w:rFonts w:ascii="Times New Roman" w:hAnsi="Times New Roman"/>
                <w:b/>
                <w:sz w:val="16"/>
                <w:szCs w:val="16"/>
              </w:rPr>
            </w:pPr>
            <w:r w:rsidRPr="00CB3670">
              <w:rPr>
                <w:rFonts w:ascii="Times New Roman" w:hAnsi="Times New Roman"/>
                <w:b/>
                <w:sz w:val="16"/>
                <w:szCs w:val="16"/>
              </w:rPr>
              <w:t>3</w:t>
            </w:r>
          </w:p>
        </w:tc>
        <w:tc>
          <w:tcPr>
            <w:tcW w:w="850" w:type="dxa"/>
            <w:vAlign w:val="center"/>
          </w:tcPr>
          <w:p w:rsidR="00CB3670" w:rsidRPr="00CB3670" w:rsidRDefault="00CB3670" w:rsidP="002C6E60">
            <w:pPr>
              <w:spacing w:after="0" w:line="240" w:lineRule="auto"/>
              <w:jc w:val="center"/>
              <w:rPr>
                <w:rFonts w:ascii="Times New Roman" w:hAnsi="Times New Roman"/>
                <w:sz w:val="16"/>
                <w:szCs w:val="16"/>
              </w:rPr>
            </w:pPr>
            <w:r w:rsidRPr="00CB3670">
              <w:rPr>
                <w:rFonts w:ascii="Times New Roman" w:hAnsi="Times New Roman"/>
                <w:sz w:val="16"/>
                <w:szCs w:val="16"/>
              </w:rPr>
              <w:t>Courte</w:t>
            </w:r>
          </w:p>
        </w:tc>
        <w:tc>
          <w:tcPr>
            <w:tcW w:w="284" w:type="dxa"/>
            <w:shd w:val="clear" w:color="auto" w:fill="002060"/>
            <w:vAlign w:val="center"/>
          </w:tcPr>
          <w:p w:rsidR="00CB3670" w:rsidRPr="00CB3670" w:rsidRDefault="00CB3670" w:rsidP="002C6E60">
            <w:pPr>
              <w:spacing w:after="0" w:line="240" w:lineRule="auto"/>
              <w:jc w:val="center"/>
              <w:rPr>
                <w:rFonts w:ascii="Times New Roman" w:hAnsi="Times New Roman"/>
                <w:b/>
                <w:sz w:val="16"/>
                <w:szCs w:val="16"/>
              </w:rPr>
            </w:pPr>
            <w:r w:rsidRPr="00CB3670">
              <w:rPr>
                <w:rFonts w:ascii="Times New Roman" w:hAnsi="Times New Roman"/>
                <w:b/>
                <w:sz w:val="16"/>
                <w:szCs w:val="16"/>
              </w:rPr>
              <w:t>1</w:t>
            </w:r>
          </w:p>
        </w:tc>
        <w:tc>
          <w:tcPr>
            <w:tcW w:w="850" w:type="dxa"/>
            <w:shd w:val="clear" w:color="auto" w:fill="92D050"/>
            <w:vAlign w:val="center"/>
          </w:tcPr>
          <w:p w:rsidR="00CB3670" w:rsidRPr="00CB3670" w:rsidRDefault="00CB3670" w:rsidP="002C6E60">
            <w:pPr>
              <w:spacing w:after="0" w:line="240" w:lineRule="auto"/>
              <w:jc w:val="center"/>
              <w:rPr>
                <w:rFonts w:ascii="Times New Roman" w:hAnsi="Times New Roman"/>
                <w:b/>
                <w:sz w:val="16"/>
                <w:szCs w:val="16"/>
              </w:rPr>
            </w:pPr>
            <w:r w:rsidRPr="00CB3670">
              <w:rPr>
                <w:rFonts w:ascii="Times New Roman" w:hAnsi="Times New Roman"/>
                <w:b/>
                <w:sz w:val="16"/>
                <w:szCs w:val="16"/>
              </w:rPr>
              <w:t>Mineure</w:t>
            </w:r>
          </w:p>
        </w:tc>
        <w:tc>
          <w:tcPr>
            <w:tcW w:w="586" w:type="dxa"/>
            <w:shd w:val="clear" w:color="auto" w:fill="92D050"/>
            <w:vAlign w:val="center"/>
          </w:tcPr>
          <w:p w:rsidR="00CB3670" w:rsidRPr="00CB3670" w:rsidRDefault="00CB3670" w:rsidP="002C6E60">
            <w:pPr>
              <w:spacing w:after="0" w:line="240" w:lineRule="auto"/>
              <w:jc w:val="center"/>
              <w:rPr>
                <w:rFonts w:ascii="Times New Roman" w:hAnsi="Times New Roman"/>
                <w:b/>
                <w:sz w:val="16"/>
                <w:szCs w:val="16"/>
              </w:rPr>
            </w:pPr>
            <w:r w:rsidRPr="00CB3670">
              <w:rPr>
                <w:rFonts w:ascii="Times New Roman" w:hAnsi="Times New Roman"/>
                <w:b/>
                <w:sz w:val="16"/>
                <w:szCs w:val="16"/>
              </w:rPr>
              <w:t>15</w:t>
            </w:r>
          </w:p>
        </w:tc>
      </w:tr>
      <w:tr w:rsidR="00CB3670" w:rsidRPr="00CB3670" w:rsidTr="00CB3670">
        <w:trPr>
          <w:jc w:val="center"/>
        </w:trPr>
        <w:tc>
          <w:tcPr>
            <w:tcW w:w="988" w:type="dxa"/>
            <w:vMerge/>
            <w:shd w:val="clear" w:color="auto" w:fill="BDD6EE"/>
            <w:vAlign w:val="center"/>
          </w:tcPr>
          <w:p w:rsidR="00CB3670" w:rsidRPr="00CB3670" w:rsidRDefault="00CB3670" w:rsidP="002C6E60">
            <w:pPr>
              <w:spacing w:after="0" w:line="240" w:lineRule="auto"/>
              <w:jc w:val="center"/>
              <w:rPr>
                <w:rFonts w:ascii="Times New Roman" w:hAnsi="Times New Roman"/>
                <w:sz w:val="16"/>
                <w:szCs w:val="16"/>
              </w:rPr>
            </w:pPr>
          </w:p>
        </w:tc>
        <w:tc>
          <w:tcPr>
            <w:tcW w:w="850" w:type="dxa"/>
            <w:vMerge/>
            <w:vAlign w:val="center"/>
          </w:tcPr>
          <w:p w:rsidR="00CB3670" w:rsidRPr="00CB3670" w:rsidRDefault="00CB3670" w:rsidP="002C6E60">
            <w:pPr>
              <w:spacing w:after="0" w:line="240" w:lineRule="auto"/>
              <w:jc w:val="center"/>
              <w:rPr>
                <w:rFonts w:ascii="Times New Roman" w:hAnsi="Times New Roman"/>
                <w:b/>
                <w:sz w:val="16"/>
                <w:szCs w:val="16"/>
              </w:rPr>
            </w:pPr>
          </w:p>
        </w:tc>
        <w:tc>
          <w:tcPr>
            <w:tcW w:w="4536" w:type="dxa"/>
            <w:gridSpan w:val="3"/>
            <w:vAlign w:val="center"/>
          </w:tcPr>
          <w:p w:rsidR="00CB3670" w:rsidRPr="00CB3670" w:rsidRDefault="00CB3670" w:rsidP="00CB3670">
            <w:pPr>
              <w:spacing w:after="0" w:line="240" w:lineRule="auto"/>
              <w:jc w:val="both"/>
              <w:rPr>
                <w:rFonts w:ascii="Times New Roman" w:hAnsi="Times New Roman"/>
                <w:sz w:val="16"/>
                <w:szCs w:val="16"/>
              </w:rPr>
            </w:pPr>
            <w:r w:rsidRPr="00CB3670">
              <w:rPr>
                <w:rFonts w:ascii="Times New Roman" w:hAnsi="Times New Roman"/>
                <w:sz w:val="16"/>
                <w:szCs w:val="16"/>
              </w:rPr>
              <w:t>Risque de production de quantités de déchets significatives (les déchets inertes de roches, la sous -couche arable, résidus de conduites PVC, emballages souillés de peinture, solvants, cuve à hydrocarbure)</w:t>
            </w:r>
          </w:p>
        </w:tc>
        <w:tc>
          <w:tcPr>
            <w:tcW w:w="851" w:type="dxa"/>
            <w:vAlign w:val="center"/>
          </w:tcPr>
          <w:p w:rsidR="00CB3670" w:rsidRPr="00CB3670" w:rsidRDefault="00CB3670" w:rsidP="002C6E60">
            <w:pPr>
              <w:spacing w:after="0" w:line="240" w:lineRule="auto"/>
              <w:jc w:val="center"/>
              <w:rPr>
                <w:rFonts w:ascii="Times New Roman" w:hAnsi="Times New Roman"/>
                <w:sz w:val="16"/>
                <w:szCs w:val="16"/>
              </w:rPr>
            </w:pPr>
            <w:r w:rsidRPr="00CB3670">
              <w:rPr>
                <w:rFonts w:ascii="Times New Roman" w:hAnsi="Times New Roman"/>
                <w:sz w:val="16"/>
                <w:szCs w:val="16"/>
              </w:rPr>
              <w:t>Forte</w:t>
            </w:r>
          </w:p>
        </w:tc>
        <w:tc>
          <w:tcPr>
            <w:tcW w:w="283" w:type="dxa"/>
            <w:shd w:val="clear" w:color="auto" w:fill="002060"/>
            <w:vAlign w:val="center"/>
          </w:tcPr>
          <w:p w:rsidR="00CB3670" w:rsidRPr="00CB3670" w:rsidRDefault="00CB3670" w:rsidP="002C6E60">
            <w:pPr>
              <w:spacing w:after="0" w:line="240" w:lineRule="auto"/>
              <w:jc w:val="center"/>
              <w:rPr>
                <w:rFonts w:ascii="Times New Roman" w:hAnsi="Times New Roman"/>
                <w:b/>
                <w:sz w:val="16"/>
                <w:szCs w:val="16"/>
              </w:rPr>
            </w:pPr>
            <w:r w:rsidRPr="00CB3670">
              <w:rPr>
                <w:rFonts w:ascii="Times New Roman" w:hAnsi="Times New Roman"/>
                <w:b/>
                <w:sz w:val="16"/>
                <w:szCs w:val="16"/>
              </w:rPr>
              <w:t>5</w:t>
            </w:r>
          </w:p>
        </w:tc>
        <w:tc>
          <w:tcPr>
            <w:tcW w:w="992" w:type="dxa"/>
            <w:vAlign w:val="center"/>
          </w:tcPr>
          <w:p w:rsidR="00CB3670" w:rsidRPr="00CB3670" w:rsidRDefault="00CB3670" w:rsidP="002C6E60">
            <w:pPr>
              <w:spacing w:after="0" w:line="240" w:lineRule="auto"/>
              <w:jc w:val="center"/>
              <w:rPr>
                <w:rFonts w:ascii="Times New Roman" w:hAnsi="Times New Roman"/>
                <w:sz w:val="16"/>
                <w:szCs w:val="16"/>
              </w:rPr>
            </w:pPr>
            <w:r w:rsidRPr="00CB3670">
              <w:rPr>
                <w:rFonts w:ascii="Times New Roman" w:hAnsi="Times New Roman"/>
                <w:sz w:val="16"/>
                <w:szCs w:val="16"/>
              </w:rPr>
              <w:t>Locale</w:t>
            </w:r>
          </w:p>
        </w:tc>
        <w:tc>
          <w:tcPr>
            <w:tcW w:w="284" w:type="dxa"/>
            <w:shd w:val="clear" w:color="auto" w:fill="002060"/>
            <w:vAlign w:val="center"/>
          </w:tcPr>
          <w:p w:rsidR="00CB3670" w:rsidRPr="00CB3670" w:rsidRDefault="00CB3670" w:rsidP="002C6E60">
            <w:pPr>
              <w:spacing w:after="0" w:line="240" w:lineRule="auto"/>
              <w:jc w:val="center"/>
              <w:rPr>
                <w:rFonts w:ascii="Times New Roman" w:hAnsi="Times New Roman"/>
                <w:b/>
                <w:sz w:val="16"/>
                <w:szCs w:val="16"/>
              </w:rPr>
            </w:pPr>
            <w:r w:rsidRPr="00CB3670">
              <w:rPr>
                <w:rFonts w:ascii="Times New Roman" w:hAnsi="Times New Roman"/>
                <w:b/>
                <w:sz w:val="16"/>
                <w:szCs w:val="16"/>
              </w:rPr>
              <w:t>3</w:t>
            </w:r>
          </w:p>
        </w:tc>
        <w:tc>
          <w:tcPr>
            <w:tcW w:w="850" w:type="dxa"/>
            <w:vAlign w:val="center"/>
          </w:tcPr>
          <w:p w:rsidR="00CB3670" w:rsidRPr="00CB3670" w:rsidRDefault="00CB3670" w:rsidP="002C6E60">
            <w:pPr>
              <w:spacing w:after="0" w:line="240" w:lineRule="auto"/>
              <w:jc w:val="center"/>
              <w:rPr>
                <w:rFonts w:ascii="Times New Roman" w:hAnsi="Times New Roman"/>
                <w:sz w:val="16"/>
                <w:szCs w:val="16"/>
              </w:rPr>
            </w:pPr>
            <w:r w:rsidRPr="00CB3670">
              <w:rPr>
                <w:rFonts w:ascii="Times New Roman" w:hAnsi="Times New Roman"/>
                <w:sz w:val="16"/>
                <w:szCs w:val="16"/>
              </w:rPr>
              <w:t>Moyenne</w:t>
            </w:r>
          </w:p>
        </w:tc>
        <w:tc>
          <w:tcPr>
            <w:tcW w:w="284" w:type="dxa"/>
            <w:shd w:val="clear" w:color="auto" w:fill="002060"/>
            <w:vAlign w:val="center"/>
          </w:tcPr>
          <w:p w:rsidR="00CB3670" w:rsidRPr="00CB3670" w:rsidRDefault="00CB3670" w:rsidP="002C6E60">
            <w:pPr>
              <w:spacing w:after="0" w:line="240" w:lineRule="auto"/>
              <w:jc w:val="center"/>
              <w:rPr>
                <w:rFonts w:ascii="Times New Roman" w:hAnsi="Times New Roman"/>
                <w:b/>
                <w:sz w:val="16"/>
                <w:szCs w:val="16"/>
              </w:rPr>
            </w:pPr>
            <w:r w:rsidRPr="00CB3670">
              <w:rPr>
                <w:rFonts w:ascii="Times New Roman" w:hAnsi="Times New Roman"/>
                <w:b/>
                <w:sz w:val="16"/>
                <w:szCs w:val="16"/>
              </w:rPr>
              <w:t>3</w:t>
            </w:r>
          </w:p>
        </w:tc>
        <w:tc>
          <w:tcPr>
            <w:tcW w:w="850" w:type="dxa"/>
            <w:shd w:val="clear" w:color="auto" w:fill="FFFF00"/>
            <w:vAlign w:val="center"/>
          </w:tcPr>
          <w:p w:rsidR="00CB3670" w:rsidRPr="00CB3670" w:rsidRDefault="00CB3670" w:rsidP="002C6E60">
            <w:pPr>
              <w:spacing w:after="0" w:line="240" w:lineRule="auto"/>
              <w:jc w:val="center"/>
              <w:rPr>
                <w:rFonts w:ascii="Times New Roman" w:hAnsi="Times New Roman"/>
                <w:b/>
                <w:sz w:val="16"/>
                <w:szCs w:val="16"/>
              </w:rPr>
            </w:pPr>
            <w:r w:rsidRPr="00CB3670">
              <w:rPr>
                <w:rFonts w:ascii="Times New Roman" w:hAnsi="Times New Roman"/>
                <w:b/>
                <w:sz w:val="16"/>
                <w:szCs w:val="16"/>
              </w:rPr>
              <w:t>Moyenne</w:t>
            </w:r>
          </w:p>
        </w:tc>
        <w:tc>
          <w:tcPr>
            <w:tcW w:w="586" w:type="dxa"/>
            <w:shd w:val="clear" w:color="auto" w:fill="FFFF00"/>
            <w:vAlign w:val="center"/>
          </w:tcPr>
          <w:p w:rsidR="00CB3670" w:rsidRPr="00CB3670" w:rsidRDefault="00CB3670" w:rsidP="002C6E60">
            <w:pPr>
              <w:spacing w:after="0" w:line="240" w:lineRule="auto"/>
              <w:jc w:val="center"/>
              <w:rPr>
                <w:rFonts w:ascii="Times New Roman" w:hAnsi="Times New Roman"/>
                <w:b/>
                <w:sz w:val="16"/>
                <w:szCs w:val="16"/>
              </w:rPr>
            </w:pPr>
            <w:r w:rsidRPr="00CB3670">
              <w:rPr>
                <w:rFonts w:ascii="Times New Roman" w:hAnsi="Times New Roman"/>
                <w:b/>
                <w:sz w:val="16"/>
                <w:szCs w:val="16"/>
              </w:rPr>
              <w:t>45</w:t>
            </w:r>
          </w:p>
        </w:tc>
      </w:tr>
      <w:tr w:rsidR="00CB3670" w:rsidRPr="00CB3670" w:rsidTr="00CB3670">
        <w:trPr>
          <w:jc w:val="center"/>
        </w:trPr>
        <w:tc>
          <w:tcPr>
            <w:tcW w:w="988" w:type="dxa"/>
            <w:vMerge/>
            <w:shd w:val="clear" w:color="auto" w:fill="BDD6EE"/>
            <w:vAlign w:val="center"/>
          </w:tcPr>
          <w:p w:rsidR="00CB3670" w:rsidRPr="00CB3670" w:rsidRDefault="00CB3670" w:rsidP="002C6E60">
            <w:pPr>
              <w:spacing w:after="0" w:line="240" w:lineRule="auto"/>
              <w:jc w:val="center"/>
              <w:rPr>
                <w:rFonts w:ascii="Times New Roman" w:hAnsi="Times New Roman"/>
                <w:sz w:val="16"/>
                <w:szCs w:val="16"/>
              </w:rPr>
            </w:pPr>
          </w:p>
        </w:tc>
        <w:tc>
          <w:tcPr>
            <w:tcW w:w="850" w:type="dxa"/>
            <w:vMerge/>
            <w:vAlign w:val="center"/>
          </w:tcPr>
          <w:p w:rsidR="00CB3670" w:rsidRPr="00CB3670" w:rsidRDefault="00CB3670" w:rsidP="002C6E60">
            <w:pPr>
              <w:spacing w:after="0" w:line="240" w:lineRule="auto"/>
              <w:jc w:val="center"/>
              <w:rPr>
                <w:rFonts w:ascii="Times New Roman" w:hAnsi="Times New Roman"/>
                <w:b/>
                <w:sz w:val="16"/>
                <w:szCs w:val="16"/>
              </w:rPr>
            </w:pPr>
          </w:p>
        </w:tc>
        <w:tc>
          <w:tcPr>
            <w:tcW w:w="4536" w:type="dxa"/>
            <w:gridSpan w:val="3"/>
            <w:vAlign w:val="center"/>
          </w:tcPr>
          <w:p w:rsidR="00CB3670" w:rsidRPr="00CB3670" w:rsidRDefault="00CB3670" w:rsidP="00CB3670">
            <w:pPr>
              <w:spacing w:after="0" w:line="240" w:lineRule="auto"/>
              <w:jc w:val="both"/>
              <w:rPr>
                <w:rFonts w:ascii="Times New Roman" w:hAnsi="Times New Roman"/>
                <w:sz w:val="16"/>
                <w:szCs w:val="16"/>
              </w:rPr>
            </w:pPr>
            <w:r w:rsidRPr="00CB3670">
              <w:rPr>
                <w:rFonts w:ascii="Times New Roman" w:hAnsi="Times New Roman"/>
                <w:sz w:val="16"/>
                <w:szCs w:val="16"/>
              </w:rPr>
              <w:t>Risque de perturbations des activités commerciales sur les commerces (boutiques, échoppes et magasins) trop proches des sites</w:t>
            </w:r>
          </w:p>
        </w:tc>
        <w:tc>
          <w:tcPr>
            <w:tcW w:w="851" w:type="dxa"/>
            <w:vAlign w:val="center"/>
          </w:tcPr>
          <w:p w:rsidR="00CB3670" w:rsidRPr="00CB3670" w:rsidRDefault="00CB3670" w:rsidP="002C6E60">
            <w:pPr>
              <w:spacing w:after="0" w:line="240" w:lineRule="auto"/>
              <w:jc w:val="center"/>
              <w:rPr>
                <w:rFonts w:ascii="Times New Roman" w:hAnsi="Times New Roman"/>
                <w:sz w:val="16"/>
                <w:szCs w:val="16"/>
              </w:rPr>
            </w:pPr>
            <w:r w:rsidRPr="00CB3670">
              <w:rPr>
                <w:rFonts w:ascii="Times New Roman" w:hAnsi="Times New Roman"/>
                <w:sz w:val="16"/>
                <w:szCs w:val="16"/>
              </w:rPr>
              <w:t>Moyenne</w:t>
            </w:r>
          </w:p>
        </w:tc>
        <w:tc>
          <w:tcPr>
            <w:tcW w:w="283" w:type="dxa"/>
            <w:shd w:val="clear" w:color="auto" w:fill="002060"/>
            <w:vAlign w:val="center"/>
          </w:tcPr>
          <w:p w:rsidR="00CB3670" w:rsidRPr="00CB3670" w:rsidRDefault="00CB3670" w:rsidP="002C6E60">
            <w:pPr>
              <w:spacing w:after="0" w:line="240" w:lineRule="auto"/>
              <w:jc w:val="center"/>
              <w:rPr>
                <w:rFonts w:ascii="Times New Roman" w:hAnsi="Times New Roman"/>
                <w:b/>
                <w:sz w:val="16"/>
                <w:szCs w:val="16"/>
              </w:rPr>
            </w:pPr>
            <w:r w:rsidRPr="00CB3670">
              <w:rPr>
                <w:rFonts w:ascii="Times New Roman" w:hAnsi="Times New Roman"/>
                <w:b/>
                <w:sz w:val="16"/>
                <w:szCs w:val="16"/>
              </w:rPr>
              <w:t>3</w:t>
            </w:r>
          </w:p>
        </w:tc>
        <w:tc>
          <w:tcPr>
            <w:tcW w:w="992" w:type="dxa"/>
            <w:vAlign w:val="center"/>
          </w:tcPr>
          <w:p w:rsidR="00CB3670" w:rsidRPr="00CB3670" w:rsidRDefault="00CB3670" w:rsidP="002C6E60">
            <w:pPr>
              <w:spacing w:after="0" w:line="240" w:lineRule="auto"/>
              <w:jc w:val="center"/>
              <w:rPr>
                <w:rFonts w:ascii="Times New Roman" w:hAnsi="Times New Roman"/>
                <w:sz w:val="16"/>
                <w:szCs w:val="16"/>
              </w:rPr>
            </w:pPr>
            <w:r w:rsidRPr="00CB3670">
              <w:rPr>
                <w:rFonts w:ascii="Times New Roman" w:hAnsi="Times New Roman"/>
                <w:sz w:val="16"/>
                <w:szCs w:val="16"/>
              </w:rPr>
              <w:t>Locale</w:t>
            </w:r>
          </w:p>
        </w:tc>
        <w:tc>
          <w:tcPr>
            <w:tcW w:w="284" w:type="dxa"/>
            <w:shd w:val="clear" w:color="auto" w:fill="002060"/>
            <w:vAlign w:val="center"/>
          </w:tcPr>
          <w:p w:rsidR="00CB3670" w:rsidRPr="00CB3670" w:rsidRDefault="00CB3670" w:rsidP="002C6E60">
            <w:pPr>
              <w:spacing w:after="0" w:line="240" w:lineRule="auto"/>
              <w:jc w:val="center"/>
              <w:rPr>
                <w:rFonts w:ascii="Times New Roman" w:hAnsi="Times New Roman"/>
                <w:b/>
                <w:sz w:val="16"/>
                <w:szCs w:val="16"/>
              </w:rPr>
            </w:pPr>
            <w:r w:rsidRPr="00CB3670">
              <w:rPr>
                <w:rFonts w:ascii="Times New Roman" w:hAnsi="Times New Roman"/>
                <w:b/>
                <w:sz w:val="16"/>
                <w:szCs w:val="16"/>
              </w:rPr>
              <w:t>3</w:t>
            </w:r>
          </w:p>
        </w:tc>
        <w:tc>
          <w:tcPr>
            <w:tcW w:w="850" w:type="dxa"/>
            <w:vAlign w:val="center"/>
          </w:tcPr>
          <w:p w:rsidR="00CB3670" w:rsidRPr="00CB3670" w:rsidRDefault="00CB3670" w:rsidP="002C6E60">
            <w:pPr>
              <w:spacing w:after="0" w:line="240" w:lineRule="auto"/>
              <w:jc w:val="center"/>
              <w:rPr>
                <w:rFonts w:ascii="Times New Roman" w:hAnsi="Times New Roman"/>
                <w:sz w:val="16"/>
                <w:szCs w:val="16"/>
              </w:rPr>
            </w:pPr>
            <w:r w:rsidRPr="00CB3670">
              <w:rPr>
                <w:rFonts w:ascii="Times New Roman" w:hAnsi="Times New Roman"/>
                <w:sz w:val="16"/>
                <w:szCs w:val="16"/>
              </w:rPr>
              <w:t>Courte</w:t>
            </w:r>
          </w:p>
        </w:tc>
        <w:tc>
          <w:tcPr>
            <w:tcW w:w="284" w:type="dxa"/>
            <w:shd w:val="clear" w:color="auto" w:fill="002060"/>
            <w:vAlign w:val="center"/>
          </w:tcPr>
          <w:p w:rsidR="00CB3670" w:rsidRPr="00CB3670" w:rsidRDefault="00CB3670" w:rsidP="002C6E60">
            <w:pPr>
              <w:spacing w:after="0" w:line="240" w:lineRule="auto"/>
              <w:jc w:val="center"/>
              <w:rPr>
                <w:rFonts w:ascii="Times New Roman" w:hAnsi="Times New Roman"/>
                <w:b/>
                <w:sz w:val="16"/>
                <w:szCs w:val="16"/>
              </w:rPr>
            </w:pPr>
            <w:r w:rsidRPr="00CB3670">
              <w:rPr>
                <w:rFonts w:ascii="Times New Roman" w:hAnsi="Times New Roman"/>
                <w:b/>
                <w:sz w:val="16"/>
                <w:szCs w:val="16"/>
              </w:rPr>
              <w:t>1</w:t>
            </w:r>
          </w:p>
        </w:tc>
        <w:tc>
          <w:tcPr>
            <w:tcW w:w="850" w:type="dxa"/>
            <w:shd w:val="clear" w:color="auto" w:fill="92D050"/>
            <w:vAlign w:val="center"/>
          </w:tcPr>
          <w:p w:rsidR="00CB3670" w:rsidRPr="00CB3670" w:rsidRDefault="00CB3670" w:rsidP="002C6E60">
            <w:pPr>
              <w:spacing w:after="0" w:line="240" w:lineRule="auto"/>
              <w:jc w:val="center"/>
              <w:rPr>
                <w:rFonts w:ascii="Times New Roman" w:hAnsi="Times New Roman"/>
                <w:b/>
                <w:sz w:val="16"/>
                <w:szCs w:val="16"/>
              </w:rPr>
            </w:pPr>
            <w:r w:rsidRPr="00CB3670">
              <w:rPr>
                <w:rFonts w:ascii="Times New Roman" w:hAnsi="Times New Roman"/>
                <w:b/>
                <w:sz w:val="16"/>
                <w:szCs w:val="16"/>
              </w:rPr>
              <w:t>Mineure</w:t>
            </w:r>
          </w:p>
        </w:tc>
        <w:tc>
          <w:tcPr>
            <w:tcW w:w="586" w:type="dxa"/>
            <w:shd w:val="clear" w:color="auto" w:fill="92D050"/>
            <w:vAlign w:val="center"/>
          </w:tcPr>
          <w:p w:rsidR="00CB3670" w:rsidRPr="00CB3670" w:rsidRDefault="00CB3670" w:rsidP="002C6E60">
            <w:pPr>
              <w:spacing w:after="0" w:line="240" w:lineRule="auto"/>
              <w:jc w:val="center"/>
              <w:rPr>
                <w:rFonts w:ascii="Times New Roman" w:hAnsi="Times New Roman"/>
                <w:b/>
                <w:sz w:val="16"/>
                <w:szCs w:val="16"/>
              </w:rPr>
            </w:pPr>
            <w:r w:rsidRPr="00CB3670">
              <w:rPr>
                <w:rFonts w:ascii="Times New Roman" w:hAnsi="Times New Roman"/>
                <w:b/>
                <w:sz w:val="16"/>
                <w:szCs w:val="16"/>
              </w:rPr>
              <w:t>9</w:t>
            </w:r>
          </w:p>
        </w:tc>
      </w:tr>
      <w:tr w:rsidR="00CB3670" w:rsidRPr="00CB3670" w:rsidTr="00CB3670">
        <w:trPr>
          <w:jc w:val="center"/>
        </w:trPr>
        <w:tc>
          <w:tcPr>
            <w:tcW w:w="988" w:type="dxa"/>
            <w:vMerge/>
            <w:shd w:val="clear" w:color="auto" w:fill="BDD6EE"/>
            <w:vAlign w:val="center"/>
          </w:tcPr>
          <w:p w:rsidR="00CB3670" w:rsidRPr="00CB3670" w:rsidRDefault="00CB3670" w:rsidP="002C6E60">
            <w:pPr>
              <w:spacing w:after="0" w:line="240" w:lineRule="auto"/>
              <w:jc w:val="center"/>
              <w:rPr>
                <w:rFonts w:ascii="Times New Roman" w:hAnsi="Times New Roman"/>
                <w:sz w:val="16"/>
                <w:szCs w:val="16"/>
              </w:rPr>
            </w:pPr>
          </w:p>
        </w:tc>
        <w:tc>
          <w:tcPr>
            <w:tcW w:w="850" w:type="dxa"/>
            <w:vMerge/>
            <w:vAlign w:val="center"/>
          </w:tcPr>
          <w:p w:rsidR="00CB3670" w:rsidRPr="00CB3670" w:rsidRDefault="00CB3670" w:rsidP="002C6E60">
            <w:pPr>
              <w:spacing w:after="0" w:line="240" w:lineRule="auto"/>
              <w:jc w:val="center"/>
              <w:rPr>
                <w:rFonts w:ascii="Times New Roman" w:hAnsi="Times New Roman"/>
                <w:b/>
                <w:sz w:val="16"/>
                <w:szCs w:val="16"/>
              </w:rPr>
            </w:pPr>
          </w:p>
        </w:tc>
        <w:tc>
          <w:tcPr>
            <w:tcW w:w="4536" w:type="dxa"/>
            <w:gridSpan w:val="3"/>
            <w:vAlign w:val="center"/>
          </w:tcPr>
          <w:p w:rsidR="00CB3670" w:rsidRPr="00CB3670" w:rsidRDefault="00CB3670" w:rsidP="00CB3670">
            <w:pPr>
              <w:spacing w:after="0" w:line="240" w:lineRule="auto"/>
              <w:jc w:val="both"/>
              <w:rPr>
                <w:rFonts w:ascii="Times New Roman" w:hAnsi="Times New Roman"/>
                <w:sz w:val="16"/>
                <w:szCs w:val="16"/>
              </w:rPr>
            </w:pPr>
            <w:r w:rsidRPr="00CB3670">
              <w:rPr>
                <w:rFonts w:ascii="Times New Roman" w:hAnsi="Times New Roman"/>
                <w:sz w:val="16"/>
                <w:szCs w:val="16"/>
              </w:rPr>
              <w:t>Risques de perturbation/dégradation des réseaux des concessionnaires</w:t>
            </w:r>
          </w:p>
        </w:tc>
        <w:tc>
          <w:tcPr>
            <w:tcW w:w="851" w:type="dxa"/>
            <w:vAlign w:val="center"/>
          </w:tcPr>
          <w:p w:rsidR="00CB3670" w:rsidRPr="00CB3670" w:rsidRDefault="00CB3670" w:rsidP="002C6E60">
            <w:pPr>
              <w:spacing w:after="0" w:line="240" w:lineRule="auto"/>
              <w:jc w:val="center"/>
              <w:rPr>
                <w:rFonts w:ascii="Times New Roman" w:hAnsi="Times New Roman"/>
                <w:sz w:val="16"/>
                <w:szCs w:val="16"/>
              </w:rPr>
            </w:pPr>
            <w:r w:rsidRPr="00CB3670">
              <w:rPr>
                <w:rFonts w:ascii="Times New Roman" w:hAnsi="Times New Roman"/>
                <w:sz w:val="16"/>
                <w:szCs w:val="16"/>
              </w:rPr>
              <w:t>Moyenne</w:t>
            </w:r>
          </w:p>
        </w:tc>
        <w:tc>
          <w:tcPr>
            <w:tcW w:w="283" w:type="dxa"/>
            <w:shd w:val="clear" w:color="auto" w:fill="002060"/>
            <w:vAlign w:val="center"/>
          </w:tcPr>
          <w:p w:rsidR="00CB3670" w:rsidRPr="00CB3670" w:rsidRDefault="00CB3670" w:rsidP="002C6E60">
            <w:pPr>
              <w:spacing w:after="0" w:line="240" w:lineRule="auto"/>
              <w:jc w:val="center"/>
              <w:rPr>
                <w:rFonts w:ascii="Times New Roman" w:hAnsi="Times New Roman"/>
                <w:b/>
                <w:sz w:val="16"/>
                <w:szCs w:val="16"/>
              </w:rPr>
            </w:pPr>
            <w:r w:rsidRPr="00CB3670">
              <w:rPr>
                <w:rFonts w:ascii="Times New Roman" w:hAnsi="Times New Roman"/>
                <w:b/>
                <w:sz w:val="16"/>
                <w:szCs w:val="16"/>
              </w:rPr>
              <w:t>3</w:t>
            </w:r>
          </w:p>
        </w:tc>
        <w:tc>
          <w:tcPr>
            <w:tcW w:w="992" w:type="dxa"/>
            <w:vAlign w:val="center"/>
          </w:tcPr>
          <w:p w:rsidR="00CB3670" w:rsidRPr="00CB3670" w:rsidRDefault="00CB3670" w:rsidP="002C6E60">
            <w:pPr>
              <w:spacing w:after="0" w:line="240" w:lineRule="auto"/>
              <w:jc w:val="center"/>
              <w:rPr>
                <w:rFonts w:ascii="Times New Roman" w:hAnsi="Times New Roman"/>
                <w:sz w:val="16"/>
                <w:szCs w:val="16"/>
              </w:rPr>
            </w:pPr>
            <w:r w:rsidRPr="00CB3670">
              <w:rPr>
                <w:rFonts w:ascii="Times New Roman" w:hAnsi="Times New Roman"/>
                <w:sz w:val="16"/>
                <w:szCs w:val="16"/>
              </w:rPr>
              <w:t>Ponctuelle</w:t>
            </w:r>
          </w:p>
        </w:tc>
        <w:tc>
          <w:tcPr>
            <w:tcW w:w="284" w:type="dxa"/>
            <w:shd w:val="clear" w:color="auto" w:fill="002060"/>
            <w:vAlign w:val="center"/>
          </w:tcPr>
          <w:p w:rsidR="00CB3670" w:rsidRPr="00CB3670" w:rsidRDefault="00CB3670" w:rsidP="002C6E60">
            <w:pPr>
              <w:spacing w:after="0" w:line="240" w:lineRule="auto"/>
              <w:jc w:val="center"/>
              <w:rPr>
                <w:rFonts w:ascii="Times New Roman" w:hAnsi="Times New Roman"/>
                <w:b/>
                <w:sz w:val="16"/>
                <w:szCs w:val="16"/>
              </w:rPr>
            </w:pPr>
            <w:r w:rsidRPr="00CB3670">
              <w:rPr>
                <w:rFonts w:ascii="Times New Roman" w:hAnsi="Times New Roman"/>
                <w:b/>
                <w:sz w:val="16"/>
                <w:szCs w:val="16"/>
              </w:rPr>
              <w:t>1</w:t>
            </w:r>
          </w:p>
        </w:tc>
        <w:tc>
          <w:tcPr>
            <w:tcW w:w="850" w:type="dxa"/>
            <w:vAlign w:val="center"/>
          </w:tcPr>
          <w:p w:rsidR="00CB3670" w:rsidRPr="00CB3670" w:rsidRDefault="00CB3670" w:rsidP="002C6E60">
            <w:pPr>
              <w:spacing w:after="0" w:line="240" w:lineRule="auto"/>
              <w:jc w:val="center"/>
              <w:rPr>
                <w:rFonts w:ascii="Times New Roman" w:hAnsi="Times New Roman"/>
                <w:sz w:val="16"/>
                <w:szCs w:val="16"/>
              </w:rPr>
            </w:pPr>
            <w:r w:rsidRPr="00CB3670">
              <w:rPr>
                <w:rFonts w:ascii="Times New Roman" w:hAnsi="Times New Roman"/>
                <w:sz w:val="16"/>
                <w:szCs w:val="16"/>
              </w:rPr>
              <w:t>Moyenne</w:t>
            </w:r>
          </w:p>
        </w:tc>
        <w:tc>
          <w:tcPr>
            <w:tcW w:w="284" w:type="dxa"/>
            <w:shd w:val="clear" w:color="auto" w:fill="002060"/>
            <w:vAlign w:val="center"/>
          </w:tcPr>
          <w:p w:rsidR="00CB3670" w:rsidRPr="00CB3670" w:rsidRDefault="00CB3670" w:rsidP="002C6E60">
            <w:pPr>
              <w:spacing w:after="0" w:line="240" w:lineRule="auto"/>
              <w:jc w:val="center"/>
              <w:rPr>
                <w:rFonts w:ascii="Times New Roman" w:hAnsi="Times New Roman"/>
                <w:b/>
                <w:sz w:val="16"/>
                <w:szCs w:val="16"/>
              </w:rPr>
            </w:pPr>
            <w:r w:rsidRPr="00CB3670">
              <w:rPr>
                <w:rFonts w:ascii="Times New Roman" w:hAnsi="Times New Roman"/>
                <w:b/>
                <w:sz w:val="16"/>
                <w:szCs w:val="16"/>
              </w:rPr>
              <w:t>3</w:t>
            </w:r>
          </w:p>
        </w:tc>
        <w:tc>
          <w:tcPr>
            <w:tcW w:w="850" w:type="dxa"/>
            <w:shd w:val="clear" w:color="auto" w:fill="92D050"/>
            <w:vAlign w:val="center"/>
          </w:tcPr>
          <w:p w:rsidR="00CB3670" w:rsidRPr="00CB3670" w:rsidRDefault="00CB3670" w:rsidP="002C6E60">
            <w:pPr>
              <w:spacing w:after="0" w:line="240" w:lineRule="auto"/>
              <w:jc w:val="center"/>
              <w:rPr>
                <w:rFonts w:ascii="Times New Roman" w:hAnsi="Times New Roman"/>
                <w:b/>
                <w:sz w:val="16"/>
                <w:szCs w:val="16"/>
              </w:rPr>
            </w:pPr>
            <w:r w:rsidRPr="00CB3670">
              <w:rPr>
                <w:rFonts w:ascii="Times New Roman" w:hAnsi="Times New Roman"/>
                <w:b/>
                <w:sz w:val="16"/>
                <w:szCs w:val="16"/>
              </w:rPr>
              <w:t>Mineure</w:t>
            </w:r>
          </w:p>
        </w:tc>
        <w:tc>
          <w:tcPr>
            <w:tcW w:w="586" w:type="dxa"/>
            <w:shd w:val="clear" w:color="auto" w:fill="92D050"/>
            <w:vAlign w:val="center"/>
          </w:tcPr>
          <w:p w:rsidR="00CB3670" w:rsidRPr="00CB3670" w:rsidRDefault="00CB3670" w:rsidP="002C6E60">
            <w:pPr>
              <w:spacing w:after="0" w:line="240" w:lineRule="auto"/>
              <w:jc w:val="center"/>
              <w:rPr>
                <w:rFonts w:ascii="Times New Roman" w:hAnsi="Times New Roman"/>
                <w:b/>
                <w:sz w:val="16"/>
                <w:szCs w:val="16"/>
              </w:rPr>
            </w:pPr>
            <w:r w:rsidRPr="00CB3670">
              <w:rPr>
                <w:rFonts w:ascii="Times New Roman" w:hAnsi="Times New Roman"/>
                <w:b/>
                <w:sz w:val="16"/>
                <w:szCs w:val="16"/>
              </w:rPr>
              <w:t>9</w:t>
            </w:r>
          </w:p>
        </w:tc>
      </w:tr>
      <w:tr w:rsidR="00CB3670" w:rsidRPr="00CB3670" w:rsidTr="00CB3670">
        <w:trPr>
          <w:jc w:val="center"/>
        </w:trPr>
        <w:tc>
          <w:tcPr>
            <w:tcW w:w="988" w:type="dxa"/>
            <w:vMerge/>
            <w:shd w:val="clear" w:color="auto" w:fill="BDD6EE"/>
            <w:vAlign w:val="center"/>
          </w:tcPr>
          <w:p w:rsidR="00CB3670" w:rsidRPr="00CB3670" w:rsidRDefault="00CB3670" w:rsidP="002C6E60">
            <w:pPr>
              <w:spacing w:after="0" w:line="240" w:lineRule="auto"/>
              <w:jc w:val="center"/>
              <w:rPr>
                <w:rFonts w:ascii="Times New Roman" w:hAnsi="Times New Roman"/>
                <w:sz w:val="16"/>
                <w:szCs w:val="16"/>
              </w:rPr>
            </w:pPr>
          </w:p>
        </w:tc>
        <w:tc>
          <w:tcPr>
            <w:tcW w:w="850" w:type="dxa"/>
            <w:vMerge/>
            <w:vAlign w:val="center"/>
          </w:tcPr>
          <w:p w:rsidR="00CB3670" w:rsidRPr="00CB3670" w:rsidRDefault="00CB3670" w:rsidP="002C6E60">
            <w:pPr>
              <w:spacing w:after="0" w:line="240" w:lineRule="auto"/>
              <w:jc w:val="center"/>
              <w:rPr>
                <w:rFonts w:ascii="Times New Roman" w:hAnsi="Times New Roman"/>
                <w:b/>
                <w:sz w:val="16"/>
                <w:szCs w:val="16"/>
              </w:rPr>
            </w:pPr>
          </w:p>
        </w:tc>
        <w:tc>
          <w:tcPr>
            <w:tcW w:w="4536" w:type="dxa"/>
            <w:gridSpan w:val="3"/>
            <w:vAlign w:val="center"/>
          </w:tcPr>
          <w:p w:rsidR="00CB3670" w:rsidRPr="00CB3670" w:rsidRDefault="00CB3670" w:rsidP="00CB3670">
            <w:pPr>
              <w:spacing w:after="0" w:line="240" w:lineRule="auto"/>
              <w:jc w:val="both"/>
              <w:rPr>
                <w:rFonts w:ascii="Times New Roman" w:hAnsi="Times New Roman"/>
                <w:sz w:val="16"/>
                <w:szCs w:val="16"/>
              </w:rPr>
            </w:pPr>
            <w:r w:rsidRPr="00CB3670">
              <w:rPr>
                <w:rFonts w:ascii="Times New Roman" w:hAnsi="Times New Roman"/>
                <w:sz w:val="16"/>
                <w:szCs w:val="16"/>
              </w:rPr>
              <w:t xml:space="preserve">Risques de conflits sociaux </w:t>
            </w:r>
          </w:p>
        </w:tc>
        <w:tc>
          <w:tcPr>
            <w:tcW w:w="851" w:type="dxa"/>
            <w:vAlign w:val="center"/>
          </w:tcPr>
          <w:p w:rsidR="00CB3670" w:rsidRPr="00CB3670" w:rsidRDefault="00CB3670" w:rsidP="002C6E60">
            <w:pPr>
              <w:spacing w:after="0" w:line="240" w:lineRule="auto"/>
              <w:jc w:val="center"/>
              <w:rPr>
                <w:rFonts w:ascii="Times New Roman" w:hAnsi="Times New Roman"/>
                <w:sz w:val="16"/>
                <w:szCs w:val="16"/>
              </w:rPr>
            </w:pPr>
            <w:r w:rsidRPr="00CB3670">
              <w:rPr>
                <w:rFonts w:ascii="Times New Roman" w:hAnsi="Times New Roman"/>
                <w:sz w:val="16"/>
                <w:szCs w:val="16"/>
              </w:rPr>
              <w:t>Forte</w:t>
            </w:r>
          </w:p>
        </w:tc>
        <w:tc>
          <w:tcPr>
            <w:tcW w:w="283" w:type="dxa"/>
            <w:shd w:val="clear" w:color="auto" w:fill="002060"/>
            <w:vAlign w:val="center"/>
          </w:tcPr>
          <w:p w:rsidR="00CB3670" w:rsidRPr="00CB3670" w:rsidRDefault="00CB3670" w:rsidP="002C6E60">
            <w:pPr>
              <w:spacing w:after="0" w:line="240" w:lineRule="auto"/>
              <w:jc w:val="center"/>
              <w:rPr>
                <w:rFonts w:ascii="Times New Roman" w:hAnsi="Times New Roman"/>
                <w:b/>
                <w:sz w:val="16"/>
                <w:szCs w:val="16"/>
              </w:rPr>
            </w:pPr>
            <w:r w:rsidRPr="00CB3670">
              <w:rPr>
                <w:rFonts w:ascii="Times New Roman" w:hAnsi="Times New Roman"/>
                <w:b/>
                <w:sz w:val="16"/>
                <w:szCs w:val="16"/>
              </w:rPr>
              <w:t>5</w:t>
            </w:r>
          </w:p>
        </w:tc>
        <w:tc>
          <w:tcPr>
            <w:tcW w:w="992" w:type="dxa"/>
            <w:vAlign w:val="center"/>
          </w:tcPr>
          <w:p w:rsidR="00CB3670" w:rsidRPr="00CB3670" w:rsidRDefault="00CB3670" w:rsidP="002C6E60">
            <w:pPr>
              <w:spacing w:after="0" w:line="240" w:lineRule="auto"/>
              <w:jc w:val="center"/>
              <w:rPr>
                <w:rFonts w:ascii="Times New Roman" w:hAnsi="Times New Roman"/>
                <w:sz w:val="16"/>
                <w:szCs w:val="16"/>
              </w:rPr>
            </w:pPr>
            <w:r w:rsidRPr="00CB3670">
              <w:rPr>
                <w:rFonts w:ascii="Times New Roman" w:hAnsi="Times New Roman"/>
                <w:sz w:val="16"/>
                <w:szCs w:val="16"/>
              </w:rPr>
              <w:t>Locale</w:t>
            </w:r>
          </w:p>
        </w:tc>
        <w:tc>
          <w:tcPr>
            <w:tcW w:w="284" w:type="dxa"/>
            <w:shd w:val="clear" w:color="auto" w:fill="002060"/>
            <w:vAlign w:val="center"/>
          </w:tcPr>
          <w:p w:rsidR="00CB3670" w:rsidRPr="00CB3670" w:rsidRDefault="00CB3670" w:rsidP="002C6E60">
            <w:pPr>
              <w:spacing w:after="0" w:line="240" w:lineRule="auto"/>
              <w:jc w:val="center"/>
              <w:rPr>
                <w:rFonts w:ascii="Times New Roman" w:hAnsi="Times New Roman"/>
                <w:b/>
                <w:sz w:val="16"/>
                <w:szCs w:val="16"/>
              </w:rPr>
            </w:pPr>
            <w:r w:rsidRPr="00CB3670">
              <w:rPr>
                <w:rFonts w:ascii="Times New Roman" w:hAnsi="Times New Roman"/>
                <w:b/>
                <w:sz w:val="16"/>
                <w:szCs w:val="16"/>
              </w:rPr>
              <w:t>3</w:t>
            </w:r>
          </w:p>
        </w:tc>
        <w:tc>
          <w:tcPr>
            <w:tcW w:w="850" w:type="dxa"/>
            <w:vAlign w:val="center"/>
          </w:tcPr>
          <w:p w:rsidR="00CB3670" w:rsidRPr="00CB3670" w:rsidRDefault="00CB3670" w:rsidP="002C6E60">
            <w:pPr>
              <w:spacing w:after="0" w:line="240" w:lineRule="auto"/>
              <w:jc w:val="center"/>
              <w:rPr>
                <w:rFonts w:ascii="Times New Roman" w:hAnsi="Times New Roman"/>
                <w:sz w:val="16"/>
                <w:szCs w:val="16"/>
              </w:rPr>
            </w:pPr>
            <w:r w:rsidRPr="00CB3670">
              <w:rPr>
                <w:rFonts w:ascii="Times New Roman" w:hAnsi="Times New Roman"/>
                <w:sz w:val="16"/>
                <w:szCs w:val="16"/>
              </w:rPr>
              <w:t>Moyenne</w:t>
            </w:r>
          </w:p>
        </w:tc>
        <w:tc>
          <w:tcPr>
            <w:tcW w:w="284" w:type="dxa"/>
            <w:shd w:val="clear" w:color="auto" w:fill="002060"/>
            <w:vAlign w:val="center"/>
          </w:tcPr>
          <w:p w:rsidR="00CB3670" w:rsidRPr="00CB3670" w:rsidRDefault="00CB3670" w:rsidP="002C6E60">
            <w:pPr>
              <w:spacing w:after="0" w:line="240" w:lineRule="auto"/>
              <w:jc w:val="center"/>
              <w:rPr>
                <w:rFonts w:ascii="Times New Roman" w:hAnsi="Times New Roman"/>
                <w:b/>
                <w:sz w:val="16"/>
                <w:szCs w:val="16"/>
              </w:rPr>
            </w:pPr>
            <w:r w:rsidRPr="00CB3670">
              <w:rPr>
                <w:rFonts w:ascii="Times New Roman" w:hAnsi="Times New Roman"/>
                <w:b/>
                <w:sz w:val="16"/>
                <w:szCs w:val="16"/>
              </w:rPr>
              <w:t>3</w:t>
            </w:r>
          </w:p>
        </w:tc>
        <w:tc>
          <w:tcPr>
            <w:tcW w:w="850" w:type="dxa"/>
            <w:shd w:val="clear" w:color="auto" w:fill="FFFF00"/>
            <w:vAlign w:val="center"/>
          </w:tcPr>
          <w:p w:rsidR="00CB3670" w:rsidRPr="00CB3670" w:rsidRDefault="00CB3670" w:rsidP="002C6E60">
            <w:pPr>
              <w:spacing w:after="0" w:line="240" w:lineRule="auto"/>
              <w:jc w:val="center"/>
              <w:rPr>
                <w:rFonts w:ascii="Times New Roman" w:hAnsi="Times New Roman"/>
                <w:b/>
                <w:sz w:val="16"/>
                <w:szCs w:val="16"/>
              </w:rPr>
            </w:pPr>
            <w:r w:rsidRPr="00CB3670">
              <w:rPr>
                <w:rFonts w:ascii="Times New Roman" w:hAnsi="Times New Roman"/>
                <w:b/>
                <w:sz w:val="16"/>
                <w:szCs w:val="16"/>
              </w:rPr>
              <w:t>Moyenne</w:t>
            </w:r>
          </w:p>
        </w:tc>
        <w:tc>
          <w:tcPr>
            <w:tcW w:w="586" w:type="dxa"/>
            <w:shd w:val="clear" w:color="auto" w:fill="FFFF00"/>
            <w:vAlign w:val="center"/>
          </w:tcPr>
          <w:p w:rsidR="00CB3670" w:rsidRPr="00CB3670" w:rsidRDefault="00CB3670" w:rsidP="002C6E60">
            <w:pPr>
              <w:spacing w:after="0" w:line="240" w:lineRule="auto"/>
              <w:jc w:val="center"/>
              <w:rPr>
                <w:rFonts w:ascii="Times New Roman" w:hAnsi="Times New Roman"/>
                <w:b/>
                <w:sz w:val="16"/>
                <w:szCs w:val="16"/>
              </w:rPr>
            </w:pPr>
            <w:r w:rsidRPr="00CB3670">
              <w:rPr>
                <w:rFonts w:ascii="Times New Roman" w:hAnsi="Times New Roman"/>
                <w:b/>
                <w:sz w:val="16"/>
                <w:szCs w:val="16"/>
              </w:rPr>
              <w:t>45</w:t>
            </w:r>
          </w:p>
        </w:tc>
      </w:tr>
      <w:tr w:rsidR="00CB3670" w:rsidRPr="00CB3670" w:rsidTr="00CB3670">
        <w:trPr>
          <w:jc w:val="center"/>
        </w:trPr>
        <w:tc>
          <w:tcPr>
            <w:tcW w:w="988" w:type="dxa"/>
            <w:vMerge/>
            <w:shd w:val="clear" w:color="auto" w:fill="BDD6EE"/>
            <w:vAlign w:val="center"/>
          </w:tcPr>
          <w:p w:rsidR="00CB3670" w:rsidRPr="00CB3670" w:rsidRDefault="00CB3670" w:rsidP="002C6E60">
            <w:pPr>
              <w:spacing w:after="0" w:line="240" w:lineRule="auto"/>
              <w:jc w:val="center"/>
              <w:rPr>
                <w:rFonts w:ascii="Times New Roman" w:hAnsi="Times New Roman"/>
                <w:sz w:val="16"/>
                <w:szCs w:val="16"/>
              </w:rPr>
            </w:pPr>
          </w:p>
        </w:tc>
        <w:tc>
          <w:tcPr>
            <w:tcW w:w="850" w:type="dxa"/>
            <w:vMerge/>
            <w:vAlign w:val="center"/>
          </w:tcPr>
          <w:p w:rsidR="00CB3670" w:rsidRPr="00CB3670" w:rsidRDefault="00CB3670" w:rsidP="002C6E60">
            <w:pPr>
              <w:spacing w:after="0" w:line="240" w:lineRule="auto"/>
              <w:jc w:val="center"/>
              <w:rPr>
                <w:rFonts w:ascii="Times New Roman" w:hAnsi="Times New Roman"/>
                <w:b/>
                <w:sz w:val="16"/>
                <w:szCs w:val="16"/>
              </w:rPr>
            </w:pPr>
          </w:p>
        </w:tc>
        <w:tc>
          <w:tcPr>
            <w:tcW w:w="4536" w:type="dxa"/>
            <w:gridSpan w:val="3"/>
            <w:vAlign w:val="center"/>
          </w:tcPr>
          <w:p w:rsidR="00CB3670" w:rsidRPr="00CB3670" w:rsidRDefault="00CB3670" w:rsidP="00CB3670">
            <w:pPr>
              <w:spacing w:after="0" w:line="240" w:lineRule="auto"/>
              <w:jc w:val="both"/>
              <w:rPr>
                <w:rFonts w:ascii="Times New Roman" w:hAnsi="Times New Roman"/>
                <w:sz w:val="16"/>
                <w:szCs w:val="16"/>
              </w:rPr>
            </w:pPr>
            <w:r w:rsidRPr="00CB3670">
              <w:rPr>
                <w:rFonts w:ascii="Times New Roman" w:hAnsi="Times New Roman"/>
                <w:sz w:val="16"/>
                <w:szCs w:val="16"/>
              </w:rPr>
              <w:t>Risque de perte de terre ou de dégradation de biens lors des travaux de libération des emprises</w:t>
            </w:r>
          </w:p>
        </w:tc>
        <w:tc>
          <w:tcPr>
            <w:tcW w:w="851" w:type="dxa"/>
            <w:vAlign w:val="center"/>
          </w:tcPr>
          <w:p w:rsidR="00CB3670" w:rsidRPr="00CB3670" w:rsidRDefault="00CB3670" w:rsidP="002C6E60">
            <w:pPr>
              <w:spacing w:after="0" w:line="240" w:lineRule="auto"/>
              <w:jc w:val="center"/>
              <w:rPr>
                <w:rFonts w:ascii="Times New Roman" w:hAnsi="Times New Roman"/>
                <w:sz w:val="16"/>
                <w:szCs w:val="16"/>
              </w:rPr>
            </w:pPr>
            <w:r w:rsidRPr="00CB3670">
              <w:rPr>
                <w:rFonts w:ascii="Times New Roman" w:hAnsi="Times New Roman"/>
                <w:sz w:val="16"/>
                <w:szCs w:val="16"/>
              </w:rPr>
              <w:t>Moyenne</w:t>
            </w:r>
          </w:p>
        </w:tc>
        <w:tc>
          <w:tcPr>
            <w:tcW w:w="283" w:type="dxa"/>
            <w:shd w:val="clear" w:color="auto" w:fill="002060"/>
            <w:vAlign w:val="center"/>
          </w:tcPr>
          <w:p w:rsidR="00CB3670" w:rsidRPr="00CB3670" w:rsidRDefault="00CB3670" w:rsidP="002C6E60">
            <w:pPr>
              <w:spacing w:after="0" w:line="240" w:lineRule="auto"/>
              <w:jc w:val="center"/>
              <w:rPr>
                <w:rFonts w:ascii="Times New Roman" w:hAnsi="Times New Roman"/>
                <w:b/>
                <w:sz w:val="16"/>
                <w:szCs w:val="16"/>
              </w:rPr>
            </w:pPr>
            <w:r w:rsidRPr="00CB3670">
              <w:rPr>
                <w:rFonts w:ascii="Times New Roman" w:hAnsi="Times New Roman"/>
                <w:b/>
                <w:sz w:val="16"/>
                <w:szCs w:val="16"/>
              </w:rPr>
              <w:t>3</w:t>
            </w:r>
          </w:p>
        </w:tc>
        <w:tc>
          <w:tcPr>
            <w:tcW w:w="992" w:type="dxa"/>
            <w:vAlign w:val="center"/>
          </w:tcPr>
          <w:p w:rsidR="00CB3670" w:rsidRPr="00CB3670" w:rsidRDefault="00CB3670" w:rsidP="002C6E60">
            <w:pPr>
              <w:spacing w:after="0" w:line="240" w:lineRule="auto"/>
              <w:jc w:val="center"/>
              <w:rPr>
                <w:rFonts w:ascii="Times New Roman" w:hAnsi="Times New Roman"/>
                <w:sz w:val="16"/>
                <w:szCs w:val="16"/>
              </w:rPr>
            </w:pPr>
            <w:r w:rsidRPr="00CB3670">
              <w:rPr>
                <w:rFonts w:ascii="Times New Roman" w:hAnsi="Times New Roman"/>
                <w:sz w:val="16"/>
                <w:szCs w:val="16"/>
              </w:rPr>
              <w:t>Ponctuelle</w:t>
            </w:r>
          </w:p>
        </w:tc>
        <w:tc>
          <w:tcPr>
            <w:tcW w:w="284" w:type="dxa"/>
            <w:shd w:val="clear" w:color="auto" w:fill="002060"/>
            <w:vAlign w:val="center"/>
          </w:tcPr>
          <w:p w:rsidR="00CB3670" w:rsidRPr="00CB3670" w:rsidRDefault="00CB3670" w:rsidP="002C6E60">
            <w:pPr>
              <w:spacing w:after="0" w:line="240" w:lineRule="auto"/>
              <w:jc w:val="center"/>
              <w:rPr>
                <w:rFonts w:ascii="Times New Roman" w:hAnsi="Times New Roman"/>
                <w:b/>
                <w:sz w:val="16"/>
                <w:szCs w:val="16"/>
              </w:rPr>
            </w:pPr>
            <w:r w:rsidRPr="00CB3670">
              <w:rPr>
                <w:rFonts w:ascii="Times New Roman" w:hAnsi="Times New Roman"/>
                <w:b/>
                <w:sz w:val="16"/>
                <w:szCs w:val="16"/>
              </w:rPr>
              <w:t>1</w:t>
            </w:r>
          </w:p>
        </w:tc>
        <w:tc>
          <w:tcPr>
            <w:tcW w:w="850" w:type="dxa"/>
            <w:vAlign w:val="center"/>
          </w:tcPr>
          <w:p w:rsidR="00CB3670" w:rsidRPr="00CB3670" w:rsidRDefault="00CB3670" w:rsidP="002C6E60">
            <w:pPr>
              <w:spacing w:after="0" w:line="240" w:lineRule="auto"/>
              <w:jc w:val="center"/>
              <w:rPr>
                <w:rFonts w:ascii="Times New Roman" w:hAnsi="Times New Roman"/>
                <w:sz w:val="16"/>
                <w:szCs w:val="16"/>
              </w:rPr>
            </w:pPr>
            <w:r w:rsidRPr="00CB3670">
              <w:rPr>
                <w:rFonts w:ascii="Times New Roman" w:hAnsi="Times New Roman"/>
                <w:sz w:val="16"/>
                <w:szCs w:val="16"/>
              </w:rPr>
              <w:t>Moyenne</w:t>
            </w:r>
          </w:p>
        </w:tc>
        <w:tc>
          <w:tcPr>
            <w:tcW w:w="284" w:type="dxa"/>
            <w:shd w:val="clear" w:color="auto" w:fill="002060"/>
            <w:vAlign w:val="center"/>
          </w:tcPr>
          <w:p w:rsidR="00CB3670" w:rsidRPr="00CB3670" w:rsidRDefault="00CB3670" w:rsidP="002C6E60">
            <w:pPr>
              <w:spacing w:after="0" w:line="240" w:lineRule="auto"/>
              <w:jc w:val="center"/>
              <w:rPr>
                <w:rFonts w:ascii="Times New Roman" w:hAnsi="Times New Roman"/>
                <w:b/>
                <w:sz w:val="16"/>
                <w:szCs w:val="16"/>
              </w:rPr>
            </w:pPr>
            <w:r w:rsidRPr="00CB3670">
              <w:rPr>
                <w:rFonts w:ascii="Times New Roman" w:hAnsi="Times New Roman"/>
                <w:b/>
                <w:sz w:val="16"/>
                <w:szCs w:val="16"/>
              </w:rPr>
              <w:t>3</w:t>
            </w:r>
          </w:p>
        </w:tc>
        <w:tc>
          <w:tcPr>
            <w:tcW w:w="850" w:type="dxa"/>
            <w:shd w:val="clear" w:color="auto" w:fill="92D050"/>
            <w:vAlign w:val="center"/>
          </w:tcPr>
          <w:p w:rsidR="00CB3670" w:rsidRPr="00CB3670" w:rsidRDefault="00CB3670" w:rsidP="002C6E60">
            <w:pPr>
              <w:spacing w:after="0" w:line="240" w:lineRule="auto"/>
              <w:jc w:val="center"/>
              <w:rPr>
                <w:rFonts w:ascii="Times New Roman" w:hAnsi="Times New Roman"/>
                <w:b/>
                <w:sz w:val="16"/>
                <w:szCs w:val="16"/>
              </w:rPr>
            </w:pPr>
            <w:r w:rsidRPr="00CB3670">
              <w:rPr>
                <w:rFonts w:ascii="Times New Roman" w:hAnsi="Times New Roman"/>
                <w:b/>
                <w:sz w:val="16"/>
                <w:szCs w:val="16"/>
              </w:rPr>
              <w:t>Mineure</w:t>
            </w:r>
          </w:p>
        </w:tc>
        <w:tc>
          <w:tcPr>
            <w:tcW w:w="586" w:type="dxa"/>
            <w:shd w:val="clear" w:color="auto" w:fill="92D050"/>
            <w:vAlign w:val="center"/>
          </w:tcPr>
          <w:p w:rsidR="00CB3670" w:rsidRPr="00CB3670" w:rsidRDefault="00CB3670" w:rsidP="002C6E60">
            <w:pPr>
              <w:spacing w:after="0" w:line="240" w:lineRule="auto"/>
              <w:jc w:val="center"/>
              <w:rPr>
                <w:rFonts w:ascii="Times New Roman" w:hAnsi="Times New Roman"/>
                <w:b/>
                <w:sz w:val="16"/>
                <w:szCs w:val="16"/>
              </w:rPr>
            </w:pPr>
            <w:r w:rsidRPr="00CB3670">
              <w:rPr>
                <w:rFonts w:ascii="Times New Roman" w:hAnsi="Times New Roman"/>
                <w:b/>
                <w:sz w:val="16"/>
                <w:szCs w:val="16"/>
              </w:rPr>
              <w:t>9</w:t>
            </w:r>
          </w:p>
        </w:tc>
      </w:tr>
      <w:tr w:rsidR="00CB3670" w:rsidRPr="00CB3670" w:rsidTr="00CB3670">
        <w:trPr>
          <w:gridBefore w:val="2"/>
          <w:gridAfter w:val="9"/>
          <w:wBefore w:w="1838" w:type="dxa"/>
          <w:wAfter w:w="7323" w:type="dxa"/>
          <w:jc w:val="center"/>
        </w:trPr>
        <w:tc>
          <w:tcPr>
            <w:tcW w:w="2193" w:type="dxa"/>
            <w:gridSpan w:val="2"/>
            <w:shd w:val="clear" w:color="auto" w:fill="000000" w:themeFill="text1"/>
            <w:vAlign w:val="center"/>
          </w:tcPr>
          <w:p w:rsidR="00CB3670" w:rsidRPr="00CB3670" w:rsidRDefault="00CB3670" w:rsidP="002C6E60">
            <w:pPr>
              <w:spacing w:after="0" w:line="240" w:lineRule="auto"/>
              <w:jc w:val="center"/>
              <w:rPr>
                <w:rFonts w:ascii="Times New Roman" w:hAnsi="Times New Roman"/>
                <w:b/>
                <w:sz w:val="4"/>
                <w:szCs w:val="4"/>
              </w:rPr>
            </w:pPr>
          </w:p>
        </w:tc>
      </w:tr>
      <w:tr w:rsidR="00CB3670" w:rsidRPr="00CB3670" w:rsidTr="00CB3670">
        <w:trPr>
          <w:jc w:val="center"/>
        </w:trPr>
        <w:tc>
          <w:tcPr>
            <w:tcW w:w="988" w:type="dxa"/>
            <w:vMerge w:val="restart"/>
            <w:shd w:val="clear" w:color="auto" w:fill="BDD6EE"/>
            <w:vAlign w:val="center"/>
          </w:tcPr>
          <w:p w:rsidR="00CB3670" w:rsidRPr="00CB3670" w:rsidRDefault="00CB3670" w:rsidP="002C6E60">
            <w:pPr>
              <w:spacing w:after="0" w:line="240" w:lineRule="auto"/>
              <w:jc w:val="center"/>
              <w:rPr>
                <w:rFonts w:ascii="Times New Roman" w:hAnsi="Times New Roman"/>
                <w:sz w:val="16"/>
                <w:szCs w:val="16"/>
              </w:rPr>
            </w:pPr>
            <w:r w:rsidRPr="00CB3670">
              <w:rPr>
                <w:rFonts w:ascii="Times New Roman" w:eastAsia="MS Gothic" w:hAnsi="Times New Roman"/>
                <w:b/>
                <w:sz w:val="16"/>
                <w:szCs w:val="16"/>
              </w:rPr>
              <w:t>Exploitation</w:t>
            </w:r>
          </w:p>
        </w:tc>
        <w:tc>
          <w:tcPr>
            <w:tcW w:w="850" w:type="dxa"/>
            <w:vAlign w:val="center"/>
          </w:tcPr>
          <w:p w:rsidR="00CB3670" w:rsidRPr="00CB3670" w:rsidRDefault="00CB3670" w:rsidP="002C6E60">
            <w:pPr>
              <w:spacing w:after="0" w:line="240" w:lineRule="auto"/>
              <w:jc w:val="center"/>
              <w:rPr>
                <w:rFonts w:ascii="Times New Roman" w:hAnsi="Times New Roman"/>
                <w:b/>
                <w:sz w:val="12"/>
                <w:szCs w:val="12"/>
              </w:rPr>
            </w:pPr>
            <w:r w:rsidRPr="00CB3670">
              <w:rPr>
                <w:rFonts w:ascii="Times New Roman" w:hAnsi="Times New Roman"/>
                <w:b/>
                <w:sz w:val="12"/>
                <w:szCs w:val="12"/>
              </w:rPr>
              <w:t>PAYSAGE</w:t>
            </w:r>
          </w:p>
        </w:tc>
        <w:tc>
          <w:tcPr>
            <w:tcW w:w="4536" w:type="dxa"/>
            <w:gridSpan w:val="3"/>
            <w:vAlign w:val="center"/>
          </w:tcPr>
          <w:p w:rsidR="00CB3670" w:rsidRPr="00CB3670" w:rsidRDefault="00CB3670" w:rsidP="00CB3670">
            <w:pPr>
              <w:spacing w:after="0" w:line="240" w:lineRule="auto"/>
              <w:jc w:val="both"/>
              <w:rPr>
                <w:rFonts w:ascii="Times New Roman" w:hAnsi="Times New Roman"/>
                <w:sz w:val="16"/>
                <w:szCs w:val="16"/>
              </w:rPr>
            </w:pPr>
            <w:r w:rsidRPr="00CB3670">
              <w:rPr>
                <w:rFonts w:ascii="Times New Roman" w:hAnsi="Times New Roman"/>
                <w:sz w:val="16"/>
                <w:szCs w:val="16"/>
              </w:rPr>
              <w:t>Risque de dégradation et d’altérer l’aspect visuel du paysage</w:t>
            </w:r>
          </w:p>
        </w:tc>
        <w:tc>
          <w:tcPr>
            <w:tcW w:w="851" w:type="dxa"/>
            <w:vAlign w:val="center"/>
          </w:tcPr>
          <w:p w:rsidR="00CB3670" w:rsidRPr="00CB3670" w:rsidRDefault="00CB3670" w:rsidP="002C6E60">
            <w:pPr>
              <w:spacing w:after="0" w:line="240" w:lineRule="auto"/>
              <w:jc w:val="center"/>
              <w:rPr>
                <w:rFonts w:ascii="Times New Roman" w:hAnsi="Times New Roman"/>
                <w:sz w:val="16"/>
                <w:szCs w:val="16"/>
              </w:rPr>
            </w:pPr>
            <w:r w:rsidRPr="00CB3670">
              <w:rPr>
                <w:rFonts w:ascii="Times New Roman" w:hAnsi="Times New Roman"/>
                <w:sz w:val="16"/>
                <w:szCs w:val="16"/>
              </w:rPr>
              <w:t>Faible</w:t>
            </w:r>
          </w:p>
        </w:tc>
        <w:tc>
          <w:tcPr>
            <w:tcW w:w="283" w:type="dxa"/>
            <w:shd w:val="clear" w:color="auto" w:fill="002060"/>
            <w:vAlign w:val="center"/>
          </w:tcPr>
          <w:p w:rsidR="00CB3670" w:rsidRPr="00CB3670" w:rsidRDefault="00CB3670" w:rsidP="002C6E60">
            <w:pPr>
              <w:spacing w:after="0" w:line="240" w:lineRule="auto"/>
              <w:jc w:val="center"/>
              <w:rPr>
                <w:rFonts w:ascii="Times New Roman" w:hAnsi="Times New Roman"/>
                <w:b/>
                <w:sz w:val="16"/>
                <w:szCs w:val="16"/>
              </w:rPr>
            </w:pPr>
            <w:r w:rsidRPr="00CB3670">
              <w:rPr>
                <w:rFonts w:ascii="Times New Roman" w:hAnsi="Times New Roman"/>
                <w:b/>
                <w:sz w:val="16"/>
                <w:szCs w:val="16"/>
              </w:rPr>
              <w:t>1</w:t>
            </w:r>
          </w:p>
        </w:tc>
        <w:tc>
          <w:tcPr>
            <w:tcW w:w="992" w:type="dxa"/>
            <w:vAlign w:val="center"/>
          </w:tcPr>
          <w:p w:rsidR="00CB3670" w:rsidRPr="00CB3670" w:rsidRDefault="00CB3670" w:rsidP="002C6E60">
            <w:pPr>
              <w:spacing w:after="0" w:line="240" w:lineRule="auto"/>
              <w:jc w:val="center"/>
              <w:rPr>
                <w:rFonts w:ascii="Times New Roman" w:hAnsi="Times New Roman"/>
                <w:sz w:val="16"/>
                <w:szCs w:val="16"/>
              </w:rPr>
            </w:pPr>
            <w:r w:rsidRPr="00CB3670">
              <w:rPr>
                <w:rFonts w:ascii="Times New Roman" w:hAnsi="Times New Roman"/>
                <w:sz w:val="16"/>
                <w:szCs w:val="16"/>
              </w:rPr>
              <w:t>Ponctuelle</w:t>
            </w:r>
          </w:p>
        </w:tc>
        <w:tc>
          <w:tcPr>
            <w:tcW w:w="284" w:type="dxa"/>
            <w:shd w:val="clear" w:color="auto" w:fill="002060"/>
            <w:vAlign w:val="center"/>
          </w:tcPr>
          <w:p w:rsidR="00CB3670" w:rsidRPr="00CB3670" w:rsidRDefault="00CB3670" w:rsidP="002C6E60">
            <w:pPr>
              <w:spacing w:after="0" w:line="240" w:lineRule="auto"/>
              <w:jc w:val="center"/>
              <w:rPr>
                <w:rFonts w:ascii="Times New Roman" w:hAnsi="Times New Roman"/>
                <w:b/>
                <w:sz w:val="16"/>
                <w:szCs w:val="16"/>
              </w:rPr>
            </w:pPr>
            <w:r w:rsidRPr="00CB3670">
              <w:rPr>
                <w:rFonts w:ascii="Times New Roman" w:hAnsi="Times New Roman"/>
                <w:b/>
                <w:sz w:val="16"/>
                <w:szCs w:val="16"/>
              </w:rPr>
              <w:t>1</w:t>
            </w:r>
          </w:p>
        </w:tc>
        <w:tc>
          <w:tcPr>
            <w:tcW w:w="850" w:type="dxa"/>
            <w:vAlign w:val="center"/>
          </w:tcPr>
          <w:p w:rsidR="00CB3670" w:rsidRPr="00CB3670" w:rsidRDefault="00CB3670" w:rsidP="002C6E60">
            <w:pPr>
              <w:spacing w:after="0" w:line="240" w:lineRule="auto"/>
              <w:jc w:val="center"/>
              <w:rPr>
                <w:rFonts w:ascii="Times New Roman" w:hAnsi="Times New Roman"/>
                <w:sz w:val="16"/>
                <w:szCs w:val="16"/>
              </w:rPr>
            </w:pPr>
            <w:r w:rsidRPr="00CB3670">
              <w:rPr>
                <w:rFonts w:ascii="Times New Roman" w:hAnsi="Times New Roman"/>
                <w:sz w:val="16"/>
                <w:szCs w:val="16"/>
              </w:rPr>
              <w:t>Longue</w:t>
            </w:r>
          </w:p>
        </w:tc>
        <w:tc>
          <w:tcPr>
            <w:tcW w:w="284" w:type="dxa"/>
            <w:shd w:val="clear" w:color="auto" w:fill="002060"/>
            <w:vAlign w:val="center"/>
          </w:tcPr>
          <w:p w:rsidR="00CB3670" w:rsidRPr="00CB3670" w:rsidRDefault="00CB3670" w:rsidP="002C6E60">
            <w:pPr>
              <w:spacing w:after="0" w:line="240" w:lineRule="auto"/>
              <w:jc w:val="center"/>
              <w:rPr>
                <w:rFonts w:ascii="Times New Roman" w:hAnsi="Times New Roman"/>
                <w:b/>
                <w:sz w:val="16"/>
                <w:szCs w:val="16"/>
              </w:rPr>
            </w:pPr>
            <w:r w:rsidRPr="00CB3670">
              <w:rPr>
                <w:rFonts w:ascii="Times New Roman" w:hAnsi="Times New Roman"/>
                <w:b/>
                <w:sz w:val="16"/>
                <w:szCs w:val="16"/>
              </w:rPr>
              <w:t>5</w:t>
            </w:r>
          </w:p>
        </w:tc>
        <w:tc>
          <w:tcPr>
            <w:tcW w:w="850" w:type="dxa"/>
            <w:shd w:val="clear" w:color="auto" w:fill="92D050"/>
            <w:vAlign w:val="center"/>
          </w:tcPr>
          <w:p w:rsidR="00CB3670" w:rsidRPr="00CB3670" w:rsidRDefault="00CB3670" w:rsidP="002C6E60">
            <w:pPr>
              <w:spacing w:after="0" w:line="240" w:lineRule="auto"/>
              <w:jc w:val="center"/>
              <w:rPr>
                <w:rFonts w:ascii="Times New Roman" w:hAnsi="Times New Roman"/>
                <w:b/>
                <w:sz w:val="16"/>
                <w:szCs w:val="16"/>
              </w:rPr>
            </w:pPr>
            <w:r w:rsidRPr="00CB3670">
              <w:rPr>
                <w:rFonts w:ascii="Times New Roman" w:hAnsi="Times New Roman"/>
                <w:b/>
                <w:sz w:val="16"/>
                <w:szCs w:val="16"/>
              </w:rPr>
              <w:t>Mineure</w:t>
            </w:r>
          </w:p>
        </w:tc>
        <w:tc>
          <w:tcPr>
            <w:tcW w:w="586" w:type="dxa"/>
            <w:shd w:val="clear" w:color="auto" w:fill="92D050"/>
            <w:vAlign w:val="center"/>
          </w:tcPr>
          <w:p w:rsidR="00CB3670" w:rsidRPr="00CB3670" w:rsidRDefault="00CB3670" w:rsidP="002C6E60">
            <w:pPr>
              <w:spacing w:after="0" w:line="240" w:lineRule="auto"/>
              <w:jc w:val="center"/>
              <w:rPr>
                <w:rFonts w:ascii="Times New Roman" w:hAnsi="Times New Roman"/>
                <w:b/>
                <w:sz w:val="16"/>
                <w:szCs w:val="16"/>
              </w:rPr>
            </w:pPr>
            <w:r w:rsidRPr="00CB3670">
              <w:rPr>
                <w:rFonts w:ascii="Times New Roman" w:hAnsi="Times New Roman"/>
                <w:b/>
                <w:sz w:val="16"/>
                <w:szCs w:val="16"/>
              </w:rPr>
              <w:t>5</w:t>
            </w:r>
          </w:p>
        </w:tc>
      </w:tr>
      <w:tr w:rsidR="00CB3670" w:rsidRPr="00CB3670" w:rsidTr="00CB3670">
        <w:trPr>
          <w:jc w:val="center"/>
        </w:trPr>
        <w:tc>
          <w:tcPr>
            <w:tcW w:w="988" w:type="dxa"/>
            <w:vMerge/>
            <w:shd w:val="clear" w:color="auto" w:fill="BDD6EE"/>
          </w:tcPr>
          <w:p w:rsidR="00CB3670" w:rsidRPr="00CB3670" w:rsidRDefault="00CB3670" w:rsidP="002C6E60">
            <w:pPr>
              <w:spacing w:after="0" w:line="240" w:lineRule="auto"/>
              <w:jc w:val="both"/>
              <w:rPr>
                <w:rFonts w:ascii="Times New Roman" w:hAnsi="Times New Roman"/>
                <w:sz w:val="16"/>
                <w:szCs w:val="16"/>
              </w:rPr>
            </w:pPr>
          </w:p>
        </w:tc>
        <w:tc>
          <w:tcPr>
            <w:tcW w:w="850" w:type="dxa"/>
            <w:vAlign w:val="center"/>
          </w:tcPr>
          <w:p w:rsidR="00CB3670" w:rsidRPr="00CB3670" w:rsidRDefault="00CB3670" w:rsidP="002C6E60">
            <w:pPr>
              <w:spacing w:after="0" w:line="240" w:lineRule="auto"/>
              <w:jc w:val="center"/>
              <w:rPr>
                <w:rFonts w:ascii="Times New Roman" w:hAnsi="Times New Roman"/>
                <w:b/>
                <w:sz w:val="12"/>
                <w:szCs w:val="12"/>
              </w:rPr>
            </w:pPr>
            <w:r w:rsidRPr="00CB3670">
              <w:rPr>
                <w:rFonts w:ascii="Times New Roman" w:hAnsi="Times New Roman"/>
                <w:b/>
                <w:sz w:val="12"/>
                <w:szCs w:val="12"/>
              </w:rPr>
              <w:t>EAUX</w:t>
            </w:r>
          </w:p>
        </w:tc>
        <w:tc>
          <w:tcPr>
            <w:tcW w:w="4536" w:type="dxa"/>
            <w:gridSpan w:val="3"/>
            <w:vAlign w:val="center"/>
          </w:tcPr>
          <w:p w:rsidR="00CB3670" w:rsidRPr="00CB3670" w:rsidRDefault="00CB3670" w:rsidP="00CB3670">
            <w:pPr>
              <w:spacing w:after="0" w:line="240" w:lineRule="auto"/>
              <w:jc w:val="both"/>
              <w:rPr>
                <w:rFonts w:ascii="Times New Roman" w:hAnsi="Times New Roman"/>
                <w:sz w:val="16"/>
                <w:szCs w:val="16"/>
              </w:rPr>
            </w:pPr>
            <w:r w:rsidRPr="00CB3670">
              <w:rPr>
                <w:rFonts w:ascii="Times New Roman" w:hAnsi="Times New Roman"/>
                <w:sz w:val="16"/>
                <w:szCs w:val="16"/>
              </w:rPr>
              <w:t>Risque de pollution des Eaux de ruissellement et des eaux pluviales ;</w:t>
            </w:r>
          </w:p>
        </w:tc>
        <w:tc>
          <w:tcPr>
            <w:tcW w:w="851" w:type="dxa"/>
            <w:vAlign w:val="center"/>
          </w:tcPr>
          <w:p w:rsidR="00CB3670" w:rsidRPr="00CB3670" w:rsidRDefault="00CB3670" w:rsidP="002C6E60">
            <w:pPr>
              <w:spacing w:after="0" w:line="240" w:lineRule="auto"/>
              <w:jc w:val="center"/>
              <w:rPr>
                <w:rFonts w:ascii="Times New Roman" w:hAnsi="Times New Roman"/>
                <w:sz w:val="16"/>
                <w:szCs w:val="16"/>
              </w:rPr>
            </w:pPr>
            <w:r w:rsidRPr="00CB3670">
              <w:rPr>
                <w:rFonts w:ascii="Times New Roman" w:hAnsi="Times New Roman"/>
                <w:sz w:val="16"/>
                <w:szCs w:val="16"/>
              </w:rPr>
              <w:t>Moyenne</w:t>
            </w:r>
          </w:p>
        </w:tc>
        <w:tc>
          <w:tcPr>
            <w:tcW w:w="283" w:type="dxa"/>
            <w:shd w:val="clear" w:color="auto" w:fill="002060"/>
            <w:vAlign w:val="center"/>
          </w:tcPr>
          <w:p w:rsidR="00CB3670" w:rsidRPr="00CB3670" w:rsidRDefault="00CB3670" w:rsidP="002C6E60">
            <w:pPr>
              <w:spacing w:after="0" w:line="240" w:lineRule="auto"/>
              <w:jc w:val="center"/>
              <w:rPr>
                <w:rFonts w:ascii="Times New Roman" w:hAnsi="Times New Roman"/>
                <w:b/>
                <w:sz w:val="16"/>
                <w:szCs w:val="16"/>
              </w:rPr>
            </w:pPr>
            <w:r w:rsidRPr="00CB3670">
              <w:rPr>
                <w:rFonts w:ascii="Times New Roman" w:hAnsi="Times New Roman"/>
                <w:b/>
                <w:sz w:val="16"/>
                <w:szCs w:val="16"/>
              </w:rPr>
              <w:t>3</w:t>
            </w:r>
          </w:p>
        </w:tc>
        <w:tc>
          <w:tcPr>
            <w:tcW w:w="992" w:type="dxa"/>
            <w:vAlign w:val="center"/>
          </w:tcPr>
          <w:p w:rsidR="00CB3670" w:rsidRPr="00CB3670" w:rsidRDefault="00CB3670" w:rsidP="002C6E60">
            <w:pPr>
              <w:spacing w:after="0" w:line="240" w:lineRule="auto"/>
              <w:jc w:val="center"/>
              <w:rPr>
                <w:rFonts w:ascii="Times New Roman" w:hAnsi="Times New Roman"/>
                <w:sz w:val="16"/>
                <w:szCs w:val="16"/>
              </w:rPr>
            </w:pPr>
            <w:r w:rsidRPr="00CB3670">
              <w:rPr>
                <w:rFonts w:ascii="Times New Roman" w:hAnsi="Times New Roman"/>
                <w:sz w:val="16"/>
                <w:szCs w:val="16"/>
              </w:rPr>
              <w:t>Locale</w:t>
            </w:r>
          </w:p>
        </w:tc>
        <w:tc>
          <w:tcPr>
            <w:tcW w:w="284" w:type="dxa"/>
            <w:shd w:val="clear" w:color="auto" w:fill="002060"/>
            <w:vAlign w:val="center"/>
          </w:tcPr>
          <w:p w:rsidR="00CB3670" w:rsidRPr="00CB3670" w:rsidRDefault="00CB3670" w:rsidP="002C6E60">
            <w:pPr>
              <w:spacing w:after="0" w:line="240" w:lineRule="auto"/>
              <w:jc w:val="center"/>
              <w:rPr>
                <w:rFonts w:ascii="Times New Roman" w:hAnsi="Times New Roman"/>
                <w:b/>
                <w:sz w:val="16"/>
                <w:szCs w:val="16"/>
              </w:rPr>
            </w:pPr>
            <w:r w:rsidRPr="00CB3670">
              <w:rPr>
                <w:rFonts w:ascii="Times New Roman" w:hAnsi="Times New Roman"/>
                <w:b/>
                <w:sz w:val="16"/>
                <w:szCs w:val="16"/>
              </w:rPr>
              <w:t>3</w:t>
            </w:r>
          </w:p>
        </w:tc>
        <w:tc>
          <w:tcPr>
            <w:tcW w:w="850" w:type="dxa"/>
            <w:vAlign w:val="center"/>
          </w:tcPr>
          <w:p w:rsidR="00CB3670" w:rsidRPr="00CB3670" w:rsidRDefault="00CB3670" w:rsidP="002C6E60">
            <w:pPr>
              <w:spacing w:after="0" w:line="240" w:lineRule="auto"/>
              <w:jc w:val="center"/>
              <w:rPr>
                <w:rFonts w:ascii="Times New Roman" w:hAnsi="Times New Roman"/>
                <w:sz w:val="16"/>
                <w:szCs w:val="16"/>
              </w:rPr>
            </w:pPr>
            <w:r w:rsidRPr="00CB3670">
              <w:rPr>
                <w:rFonts w:ascii="Times New Roman" w:hAnsi="Times New Roman"/>
                <w:sz w:val="16"/>
                <w:szCs w:val="16"/>
              </w:rPr>
              <w:t>Longue</w:t>
            </w:r>
          </w:p>
        </w:tc>
        <w:tc>
          <w:tcPr>
            <w:tcW w:w="284" w:type="dxa"/>
            <w:shd w:val="clear" w:color="auto" w:fill="002060"/>
            <w:vAlign w:val="center"/>
          </w:tcPr>
          <w:p w:rsidR="00CB3670" w:rsidRPr="00CB3670" w:rsidRDefault="00CB3670" w:rsidP="002C6E60">
            <w:pPr>
              <w:spacing w:after="0" w:line="240" w:lineRule="auto"/>
              <w:jc w:val="center"/>
              <w:rPr>
                <w:rFonts w:ascii="Times New Roman" w:hAnsi="Times New Roman"/>
                <w:b/>
                <w:sz w:val="16"/>
                <w:szCs w:val="16"/>
              </w:rPr>
            </w:pPr>
            <w:r w:rsidRPr="00CB3670">
              <w:rPr>
                <w:rFonts w:ascii="Times New Roman" w:hAnsi="Times New Roman"/>
                <w:b/>
                <w:sz w:val="16"/>
                <w:szCs w:val="16"/>
              </w:rPr>
              <w:t>5</w:t>
            </w:r>
          </w:p>
        </w:tc>
        <w:tc>
          <w:tcPr>
            <w:tcW w:w="850" w:type="dxa"/>
            <w:shd w:val="clear" w:color="auto" w:fill="FFFF00"/>
            <w:vAlign w:val="center"/>
          </w:tcPr>
          <w:p w:rsidR="00CB3670" w:rsidRPr="00CB3670" w:rsidRDefault="00CB3670" w:rsidP="002C6E60">
            <w:pPr>
              <w:spacing w:after="0" w:line="240" w:lineRule="auto"/>
              <w:jc w:val="center"/>
              <w:rPr>
                <w:rFonts w:ascii="Times New Roman" w:hAnsi="Times New Roman"/>
                <w:b/>
                <w:sz w:val="16"/>
                <w:szCs w:val="16"/>
              </w:rPr>
            </w:pPr>
            <w:r w:rsidRPr="00CB3670">
              <w:rPr>
                <w:rFonts w:ascii="Times New Roman" w:hAnsi="Times New Roman"/>
                <w:b/>
                <w:sz w:val="16"/>
                <w:szCs w:val="16"/>
              </w:rPr>
              <w:t>Moyenne</w:t>
            </w:r>
          </w:p>
        </w:tc>
        <w:tc>
          <w:tcPr>
            <w:tcW w:w="586" w:type="dxa"/>
            <w:shd w:val="clear" w:color="auto" w:fill="FFFF00"/>
            <w:vAlign w:val="center"/>
          </w:tcPr>
          <w:p w:rsidR="00CB3670" w:rsidRPr="00CB3670" w:rsidRDefault="00CB3670" w:rsidP="002C6E60">
            <w:pPr>
              <w:spacing w:after="0" w:line="240" w:lineRule="auto"/>
              <w:jc w:val="center"/>
              <w:rPr>
                <w:rFonts w:ascii="Times New Roman" w:hAnsi="Times New Roman"/>
                <w:b/>
                <w:sz w:val="16"/>
                <w:szCs w:val="16"/>
              </w:rPr>
            </w:pPr>
            <w:r w:rsidRPr="00CB3670">
              <w:rPr>
                <w:rFonts w:ascii="Times New Roman" w:hAnsi="Times New Roman"/>
                <w:b/>
                <w:sz w:val="16"/>
                <w:szCs w:val="16"/>
              </w:rPr>
              <w:t>45</w:t>
            </w:r>
          </w:p>
        </w:tc>
      </w:tr>
      <w:tr w:rsidR="00CB3670" w:rsidRPr="00CB3670" w:rsidTr="00CB3670">
        <w:trPr>
          <w:jc w:val="center"/>
        </w:trPr>
        <w:tc>
          <w:tcPr>
            <w:tcW w:w="988" w:type="dxa"/>
            <w:vMerge/>
            <w:shd w:val="clear" w:color="auto" w:fill="BDD6EE"/>
          </w:tcPr>
          <w:p w:rsidR="00CB3670" w:rsidRPr="00CB3670" w:rsidRDefault="00CB3670" w:rsidP="002C6E60">
            <w:pPr>
              <w:spacing w:after="0" w:line="240" w:lineRule="auto"/>
              <w:jc w:val="both"/>
              <w:rPr>
                <w:rFonts w:ascii="Times New Roman" w:hAnsi="Times New Roman"/>
                <w:sz w:val="16"/>
                <w:szCs w:val="16"/>
              </w:rPr>
            </w:pPr>
          </w:p>
        </w:tc>
        <w:tc>
          <w:tcPr>
            <w:tcW w:w="850" w:type="dxa"/>
            <w:vMerge w:val="restart"/>
            <w:vAlign w:val="center"/>
          </w:tcPr>
          <w:p w:rsidR="00CB3670" w:rsidRPr="00CB3670" w:rsidRDefault="00CB3670" w:rsidP="002C6E60">
            <w:pPr>
              <w:spacing w:after="0" w:line="240" w:lineRule="auto"/>
              <w:jc w:val="center"/>
              <w:rPr>
                <w:rFonts w:ascii="Times New Roman" w:hAnsi="Times New Roman"/>
                <w:b/>
                <w:sz w:val="12"/>
                <w:szCs w:val="12"/>
              </w:rPr>
            </w:pPr>
            <w:r w:rsidRPr="00CB3670">
              <w:rPr>
                <w:rFonts w:ascii="Times New Roman" w:hAnsi="Times New Roman"/>
                <w:b/>
                <w:sz w:val="12"/>
                <w:szCs w:val="12"/>
              </w:rPr>
              <w:t>HUMAIN</w:t>
            </w:r>
          </w:p>
        </w:tc>
        <w:tc>
          <w:tcPr>
            <w:tcW w:w="4536" w:type="dxa"/>
            <w:gridSpan w:val="3"/>
            <w:vAlign w:val="center"/>
          </w:tcPr>
          <w:p w:rsidR="00CB3670" w:rsidRPr="00CB3670" w:rsidRDefault="00CB3670" w:rsidP="00CB3670">
            <w:pPr>
              <w:spacing w:after="0" w:line="240" w:lineRule="auto"/>
              <w:jc w:val="both"/>
              <w:rPr>
                <w:rFonts w:ascii="Times New Roman" w:hAnsi="Times New Roman"/>
                <w:sz w:val="16"/>
                <w:szCs w:val="16"/>
              </w:rPr>
            </w:pPr>
            <w:r w:rsidRPr="00CB3670">
              <w:rPr>
                <w:rFonts w:ascii="Times New Roman" w:hAnsi="Times New Roman"/>
                <w:sz w:val="16"/>
                <w:szCs w:val="16"/>
              </w:rPr>
              <w:t>Risque de générer des nuisances sonores et des productions de GES.</w:t>
            </w:r>
          </w:p>
        </w:tc>
        <w:tc>
          <w:tcPr>
            <w:tcW w:w="851" w:type="dxa"/>
            <w:vAlign w:val="center"/>
          </w:tcPr>
          <w:p w:rsidR="00CB3670" w:rsidRPr="00CB3670" w:rsidRDefault="00CB3670" w:rsidP="002C6E60">
            <w:pPr>
              <w:spacing w:after="0" w:line="240" w:lineRule="auto"/>
              <w:jc w:val="center"/>
              <w:rPr>
                <w:rFonts w:ascii="Times New Roman" w:hAnsi="Times New Roman"/>
                <w:sz w:val="16"/>
                <w:szCs w:val="16"/>
              </w:rPr>
            </w:pPr>
            <w:r w:rsidRPr="00CB3670">
              <w:rPr>
                <w:rFonts w:ascii="Times New Roman" w:hAnsi="Times New Roman"/>
                <w:sz w:val="16"/>
                <w:szCs w:val="16"/>
              </w:rPr>
              <w:t>Faible</w:t>
            </w:r>
          </w:p>
        </w:tc>
        <w:tc>
          <w:tcPr>
            <w:tcW w:w="283" w:type="dxa"/>
            <w:shd w:val="clear" w:color="auto" w:fill="002060"/>
            <w:vAlign w:val="center"/>
          </w:tcPr>
          <w:p w:rsidR="00CB3670" w:rsidRPr="00CB3670" w:rsidRDefault="00CB3670" w:rsidP="002C6E60">
            <w:pPr>
              <w:spacing w:after="0" w:line="240" w:lineRule="auto"/>
              <w:jc w:val="center"/>
              <w:rPr>
                <w:rFonts w:ascii="Times New Roman" w:hAnsi="Times New Roman"/>
                <w:b/>
                <w:sz w:val="16"/>
                <w:szCs w:val="16"/>
              </w:rPr>
            </w:pPr>
            <w:r w:rsidRPr="00CB3670">
              <w:rPr>
                <w:rFonts w:ascii="Times New Roman" w:hAnsi="Times New Roman"/>
                <w:b/>
                <w:sz w:val="16"/>
                <w:szCs w:val="16"/>
              </w:rPr>
              <w:t>1</w:t>
            </w:r>
          </w:p>
        </w:tc>
        <w:tc>
          <w:tcPr>
            <w:tcW w:w="992" w:type="dxa"/>
            <w:vAlign w:val="center"/>
          </w:tcPr>
          <w:p w:rsidR="00CB3670" w:rsidRPr="00CB3670" w:rsidRDefault="00CB3670" w:rsidP="002C6E60">
            <w:pPr>
              <w:spacing w:after="0" w:line="240" w:lineRule="auto"/>
              <w:jc w:val="center"/>
              <w:rPr>
                <w:rFonts w:ascii="Times New Roman" w:hAnsi="Times New Roman"/>
                <w:sz w:val="16"/>
                <w:szCs w:val="16"/>
              </w:rPr>
            </w:pPr>
            <w:r w:rsidRPr="00CB3670">
              <w:rPr>
                <w:rFonts w:ascii="Times New Roman" w:hAnsi="Times New Roman"/>
                <w:sz w:val="16"/>
                <w:szCs w:val="16"/>
              </w:rPr>
              <w:t>Locale</w:t>
            </w:r>
          </w:p>
        </w:tc>
        <w:tc>
          <w:tcPr>
            <w:tcW w:w="284" w:type="dxa"/>
            <w:shd w:val="clear" w:color="auto" w:fill="002060"/>
            <w:vAlign w:val="center"/>
          </w:tcPr>
          <w:p w:rsidR="00CB3670" w:rsidRPr="00CB3670" w:rsidRDefault="00CB3670" w:rsidP="002C6E60">
            <w:pPr>
              <w:spacing w:after="0" w:line="240" w:lineRule="auto"/>
              <w:jc w:val="center"/>
              <w:rPr>
                <w:rFonts w:ascii="Times New Roman" w:hAnsi="Times New Roman"/>
                <w:b/>
                <w:sz w:val="16"/>
                <w:szCs w:val="16"/>
              </w:rPr>
            </w:pPr>
            <w:r w:rsidRPr="00CB3670">
              <w:rPr>
                <w:rFonts w:ascii="Times New Roman" w:hAnsi="Times New Roman"/>
                <w:b/>
                <w:sz w:val="16"/>
                <w:szCs w:val="16"/>
              </w:rPr>
              <w:t>3</w:t>
            </w:r>
          </w:p>
        </w:tc>
        <w:tc>
          <w:tcPr>
            <w:tcW w:w="850" w:type="dxa"/>
            <w:vAlign w:val="center"/>
          </w:tcPr>
          <w:p w:rsidR="00CB3670" w:rsidRPr="00CB3670" w:rsidRDefault="00CB3670" w:rsidP="002C6E60">
            <w:pPr>
              <w:spacing w:after="0" w:line="240" w:lineRule="auto"/>
              <w:jc w:val="center"/>
              <w:rPr>
                <w:rFonts w:ascii="Times New Roman" w:hAnsi="Times New Roman"/>
                <w:sz w:val="16"/>
                <w:szCs w:val="16"/>
              </w:rPr>
            </w:pPr>
            <w:r w:rsidRPr="00CB3670">
              <w:rPr>
                <w:rFonts w:ascii="Times New Roman" w:hAnsi="Times New Roman"/>
                <w:sz w:val="16"/>
                <w:szCs w:val="16"/>
              </w:rPr>
              <w:t>Longue</w:t>
            </w:r>
          </w:p>
        </w:tc>
        <w:tc>
          <w:tcPr>
            <w:tcW w:w="284" w:type="dxa"/>
            <w:shd w:val="clear" w:color="auto" w:fill="002060"/>
            <w:vAlign w:val="center"/>
          </w:tcPr>
          <w:p w:rsidR="00CB3670" w:rsidRPr="00CB3670" w:rsidRDefault="00CB3670" w:rsidP="002C6E60">
            <w:pPr>
              <w:spacing w:after="0" w:line="240" w:lineRule="auto"/>
              <w:jc w:val="center"/>
              <w:rPr>
                <w:rFonts w:ascii="Times New Roman" w:hAnsi="Times New Roman"/>
                <w:b/>
                <w:sz w:val="16"/>
                <w:szCs w:val="16"/>
              </w:rPr>
            </w:pPr>
            <w:r w:rsidRPr="00CB3670">
              <w:rPr>
                <w:rFonts w:ascii="Times New Roman" w:hAnsi="Times New Roman"/>
                <w:b/>
                <w:sz w:val="16"/>
                <w:szCs w:val="16"/>
              </w:rPr>
              <w:t>5</w:t>
            </w:r>
          </w:p>
        </w:tc>
        <w:tc>
          <w:tcPr>
            <w:tcW w:w="850" w:type="dxa"/>
            <w:shd w:val="clear" w:color="auto" w:fill="92D050"/>
            <w:vAlign w:val="center"/>
          </w:tcPr>
          <w:p w:rsidR="00CB3670" w:rsidRPr="00CB3670" w:rsidRDefault="00CB3670" w:rsidP="002C6E60">
            <w:pPr>
              <w:spacing w:after="0" w:line="240" w:lineRule="auto"/>
              <w:jc w:val="center"/>
              <w:rPr>
                <w:rFonts w:ascii="Times New Roman" w:hAnsi="Times New Roman"/>
                <w:b/>
                <w:sz w:val="16"/>
                <w:szCs w:val="16"/>
              </w:rPr>
            </w:pPr>
            <w:r w:rsidRPr="00CB3670">
              <w:rPr>
                <w:rFonts w:ascii="Times New Roman" w:hAnsi="Times New Roman"/>
                <w:b/>
                <w:sz w:val="16"/>
                <w:szCs w:val="16"/>
              </w:rPr>
              <w:t>Mineure</w:t>
            </w:r>
          </w:p>
        </w:tc>
        <w:tc>
          <w:tcPr>
            <w:tcW w:w="586" w:type="dxa"/>
            <w:shd w:val="clear" w:color="auto" w:fill="92D050"/>
            <w:vAlign w:val="center"/>
          </w:tcPr>
          <w:p w:rsidR="00CB3670" w:rsidRPr="00CB3670" w:rsidRDefault="00CB3670" w:rsidP="002C6E60">
            <w:pPr>
              <w:spacing w:after="0" w:line="240" w:lineRule="auto"/>
              <w:jc w:val="center"/>
              <w:rPr>
                <w:rFonts w:ascii="Times New Roman" w:hAnsi="Times New Roman"/>
                <w:b/>
                <w:sz w:val="16"/>
                <w:szCs w:val="16"/>
              </w:rPr>
            </w:pPr>
            <w:r w:rsidRPr="00CB3670">
              <w:rPr>
                <w:rFonts w:ascii="Times New Roman" w:hAnsi="Times New Roman"/>
                <w:b/>
                <w:sz w:val="16"/>
                <w:szCs w:val="16"/>
              </w:rPr>
              <w:t>15</w:t>
            </w:r>
          </w:p>
        </w:tc>
      </w:tr>
      <w:tr w:rsidR="00CB3670" w:rsidRPr="00CB3670" w:rsidTr="00CB3670">
        <w:trPr>
          <w:jc w:val="center"/>
        </w:trPr>
        <w:tc>
          <w:tcPr>
            <w:tcW w:w="988" w:type="dxa"/>
            <w:vMerge/>
            <w:shd w:val="clear" w:color="auto" w:fill="BDD6EE"/>
          </w:tcPr>
          <w:p w:rsidR="00CB3670" w:rsidRPr="00CB3670" w:rsidRDefault="00CB3670" w:rsidP="002C6E60">
            <w:pPr>
              <w:spacing w:after="0" w:line="240" w:lineRule="auto"/>
              <w:jc w:val="both"/>
              <w:rPr>
                <w:rFonts w:ascii="Times New Roman" w:hAnsi="Times New Roman"/>
                <w:sz w:val="16"/>
                <w:szCs w:val="16"/>
              </w:rPr>
            </w:pPr>
          </w:p>
        </w:tc>
        <w:tc>
          <w:tcPr>
            <w:tcW w:w="850" w:type="dxa"/>
            <w:vMerge/>
          </w:tcPr>
          <w:p w:rsidR="00CB3670" w:rsidRPr="00CB3670" w:rsidRDefault="00CB3670" w:rsidP="002C6E60">
            <w:pPr>
              <w:spacing w:after="0" w:line="240" w:lineRule="auto"/>
              <w:jc w:val="both"/>
              <w:rPr>
                <w:rFonts w:ascii="Times New Roman" w:hAnsi="Times New Roman"/>
                <w:b/>
                <w:sz w:val="16"/>
                <w:szCs w:val="16"/>
              </w:rPr>
            </w:pPr>
          </w:p>
        </w:tc>
        <w:tc>
          <w:tcPr>
            <w:tcW w:w="4536" w:type="dxa"/>
            <w:gridSpan w:val="3"/>
            <w:vAlign w:val="center"/>
          </w:tcPr>
          <w:p w:rsidR="00CB3670" w:rsidRPr="00CB3670" w:rsidRDefault="00CB3670" w:rsidP="00CB3670">
            <w:pPr>
              <w:spacing w:after="0" w:line="240" w:lineRule="auto"/>
              <w:jc w:val="both"/>
              <w:rPr>
                <w:rFonts w:ascii="Times New Roman" w:hAnsi="Times New Roman"/>
                <w:sz w:val="16"/>
                <w:szCs w:val="16"/>
              </w:rPr>
            </w:pPr>
            <w:r w:rsidRPr="00CB3670">
              <w:rPr>
                <w:rFonts w:ascii="Times New Roman" w:hAnsi="Times New Roman"/>
                <w:sz w:val="16"/>
                <w:szCs w:val="16"/>
              </w:rPr>
              <w:t>Risque d’engendrer des perturbations au niveau des réseaux de distribution d’eau ou des risques d’arrêt de fonctionnement des réservoirs pendant des heures</w:t>
            </w:r>
          </w:p>
        </w:tc>
        <w:tc>
          <w:tcPr>
            <w:tcW w:w="851" w:type="dxa"/>
            <w:vAlign w:val="center"/>
          </w:tcPr>
          <w:p w:rsidR="00CB3670" w:rsidRPr="00CB3670" w:rsidRDefault="00CB3670" w:rsidP="002C6E60">
            <w:pPr>
              <w:spacing w:after="0" w:line="240" w:lineRule="auto"/>
              <w:jc w:val="center"/>
              <w:rPr>
                <w:rFonts w:ascii="Times New Roman" w:hAnsi="Times New Roman"/>
                <w:sz w:val="16"/>
                <w:szCs w:val="16"/>
              </w:rPr>
            </w:pPr>
            <w:r w:rsidRPr="00CB3670">
              <w:rPr>
                <w:rFonts w:ascii="Times New Roman" w:hAnsi="Times New Roman"/>
                <w:sz w:val="16"/>
                <w:szCs w:val="16"/>
              </w:rPr>
              <w:t>Moyenne</w:t>
            </w:r>
          </w:p>
        </w:tc>
        <w:tc>
          <w:tcPr>
            <w:tcW w:w="283" w:type="dxa"/>
            <w:shd w:val="clear" w:color="auto" w:fill="002060"/>
            <w:vAlign w:val="center"/>
          </w:tcPr>
          <w:p w:rsidR="00CB3670" w:rsidRPr="00CB3670" w:rsidRDefault="00CB3670" w:rsidP="002C6E60">
            <w:pPr>
              <w:spacing w:after="0" w:line="240" w:lineRule="auto"/>
              <w:jc w:val="center"/>
              <w:rPr>
                <w:rFonts w:ascii="Times New Roman" w:hAnsi="Times New Roman"/>
                <w:b/>
                <w:sz w:val="16"/>
                <w:szCs w:val="16"/>
              </w:rPr>
            </w:pPr>
            <w:r w:rsidRPr="00CB3670">
              <w:rPr>
                <w:rFonts w:ascii="Times New Roman" w:hAnsi="Times New Roman"/>
                <w:b/>
                <w:sz w:val="16"/>
                <w:szCs w:val="16"/>
              </w:rPr>
              <w:t>3</w:t>
            </w:r>
          </w:p>
        </w:tc>
        <w:tc>
          <w:tcPr>
            <w:tcW w:w="992" w:type="dxa"/>
            <w:vAlign w:val="center"/>
          </w:tcPr>
          <w:p w:rsidR="00CB3670" w:rsidRPr="00CB3670" w:rsidRDefault="00CB3670" w:rsidP="002C6E60">
            <w:pPr>
              <w:spacing w:after="0" w:line="240" w:lineRule="auto"/>
              <w:jc w:val="center"/>
              <w:rPr>
                <w:rFonts w:ascii="Times New Roman" w:hAnsi="Times New Roman"/>
                <w:sz w:val="16"/>
                <w:szCs w:val="16"/>
              </w:rPr>
            </w:pPr>
            <w:r w:rsidRPr="00CB3670">
              <w:rPr>
                <w:rFonts w:ascii="Times New Roman" w:hAnsi="Times New Roman"/>
                <w:sz w:val="16"/>
                <w:szCs w:val="16"/>
              </w:rPr>
              <w:t>Locale</w:t>
            </w:r>
          </w:p>
        </w:tc>
        <w:tc>
          <w:tcPr>
            <w:tcW w:w="284" w:type="dxa"/>
            <w:shd w:val="clear" w:color="auto" w:fill="002060"/>
            <w:vAlign w:val="center"/>
          </w:tcPr>
          <w:p w:rsidR="00CB3670" w:rsidRPr="00CB3670" w:rsidRDefault="00CB3670" w:rsidP="002C6E60">
            <w:pPr>
              <w:spacing w:after="0" w:line="240" w:lineRule="auto"/>
              <w:jc w:val="center"/>
              <w:rPr>
                <w:rFonts w:ascii="Times New Roman" w:hAnsi="Times New Roman"/>
                <w:b/>
                <w:sz w:val="16"/>
                <w:szCs w:val="16"/>
              </w:rPr>
            </w:pPr>
            <w:r w:rsidRPr="00CB3670">
              <w:rPr>
                <w:rFonts w:ascii="Times New Roman" w:hAnsi="Times New Roman"/>
                <w:b/>
                <w:sz w:val="16"/>
                <w:szCs w:val="16"/>
              </w:rPr>
              <w:t>3</w:t>
            </w:r>
          </w:p>
        </w:tc>
        <w:tc>
          <w:tcPr>
            <w:tcW w:w="850" w:type="dxa"/>
            <w:vAlign w:val="center"/>
          </w:tcPr>
          <w:p w:rsidR="00CB3670" w:rsidRPr="00CB3670" w:rsidRDefault="00CB3670" w:rsidP="002C6E60">
            <w:pPr>
              <w:spacing w:after="0" w:line="240" w:lineRule="auto"/>
              <w:jc w:val="center"/>
              <w:rPr>
                <w:rFonts w:ascii="Times New Roman" w:hAnsi="Times New Roman"/>
                <w:sz w:val="16"/>
                <w:szCs w:val="16"/>
              </w:rPr>
            </w:pPr>
            <w:r w:rsidRPr="00CB3670">
              <w:rPr>
                <w:rFonts w:ascii="Times New Roman" w:hAnsi="Times New Roman"/>
                <w:sz w:val="16"/>
                <w:szCs w:val="16"/>
              </w:rPr>
              <w:t>Courte</w:t>
            </w:r>
          </w:p>
        </w:tc>
        <w:tc>
          <w:tcPr>
            <w:tcW w:w="284" w:type="dxa"/>
            <w:shd w:val="clear" w:color="auto" w:fill="002060"/>
            <w:vAlign w:val="center"/>
          </w:tcPr>
          <w:p w:rsidR="00CB3670" w:rsidRPr="00CB3670" w:rsidRDefault="00CB3670" w:rsidP="002C6E60">
            <w:pPr>
              <w:spacing w:after="0" w:line="240" w:lineRule="auto"/>
              <w:jc w:val="center"/>
              <w:rPr>
                <w:rFonts w:ascii="Times New Roman" w:hAnsi="Times New Roman"/>
                <w:b/>
                <w:sz w:val="16"/>
                <w:szCs w:val="16"/>
              </w:rPr>
            </w:pPr>
            <w:r w:rsidRPr="00CB3670">
              <w:rPr>
                <w:rFonts w:ascii="Times New Roman" w:hAnsi="Times New Roman"/>
                <w:b/>
                <w:sz w:val="16"/>
                <w:szCs w:val="16"/>
              </w:rPr>
              <w:t>1</w:t>
            </w:r>
          </w:p>
        </w:tc>
        <w:tc>
          <w:tcPr>
            <w:tcW w:w="850" w:type="dxa"/>
            <w:shd w:val="clear" w:color="auto" w:fill="92D050"/>
            <w:vAlign w:val="center"/>
          </w:tcPr>
          <w:p w:rsidR="00CB3670" w:rsidRPr="00CB3670" w:rsidRDefault="00CB3670" w:rsidP="002C6E60">
            <w:pPr>
              <w:spacing w:after="0" w:line="240" w:lineRule="auto"/>
              <w:jc w:val="center"/>
              <w:rPr>
                <w:rFonts w:ascii="Times New Roman" w:hAnsi="Times New Roman"/>
                <w:b/>
                <w:sz w:val="16"/>
                <w:szCs w:val="16"/>
              </w:rPr>
            </w:pPr>
            <w:r w:rsidRPr="00CB3670">
              <w:rPr>
                <w:rFonts w:ascii="Times New Roman" w:hAnsi="Times New Roman"/>
                <w:b/>
                <w:sz w:val="16"/>
                <w:szCs w:val="16"/>
              </w:rPr>
              <w:t>Mineure</w:t>
            </w:r>
          </w:p>
        </w:tc>
        <w:tc>
          <w:tcPr>
            <w:tcW w:w="586" w:type="dxa"/>
            <w:shd w:val="clear" w:color="auto" w:fill="92D050"/>
            <w:vAlign w:val="center"/>
          </w:tcPr>
          <w:p w:rsidR="00CB3670" w:rsidRPr="00CB3670" w:rsidRDefault="00CB3670" w:rsidP="002C6E60">
            <w:pPr>
              <w:spacing w:after="0" w:line="240" w:lineRule="auto"/>
              <w:jc w:val="center"/>
              <w:rPr>
                <w:rFonts w:ascii="Times New Roman" w:hAnsi="Times New Roman"/>
                <w:b/>
                <w:sz w:val="16"/>
                <w:szCs w:val="16"/>
              </w:rPr>
            </w:pPr>
            <w:r w:rsidRPr="00CB3670">
              <w:rPr>
                <w:rFonts w:ascii="Times New Roman" w:hAnsi="Times New Roman"/>
                <w:b/>
                <w:sz w:val="16"/>
                <w:szCs w:val="16"/>
              </w:rPr>
              <w:t>9</w:t>
            </w:r>
          </w:p>
        </w:tc>
      </w:tr>
      <w:tr w:rsidR="00CB3670" w:rsidRPr="00CB3670" w:rsidTr="00CB3670">
        <w:trPr>
          <w:jc w:val="center"/>
        </w:trPr>
        <w:tc>
          <w:tcPr>
            <w:tcW w:w="988" w:type="dxa"/>
            <w:vMerge/>
            <w:shd w:val="clear" w:color="auto" w:fill="BDD6EE"/>
          </w:tcPr>
          <w:p w:rsidR="00CB3670" w:rsidRPr="00CB3670" w:rsidRDefault="00CB3670" w:rsidP="002C6E60">
            <w:pPr>
              <w:spacing w:after="0" w:line="240" w:lineRule="auto"/>
              <w:jc w:val="both"/>
              <w:rPr>
                <w:rFonts w:ascii="Times New Roman" w:hAnsi="Times New Roman"/>
                <w:sz w:val="16"/>
                <w:szCs w:val="16"/>
              </w:rPr>
            </w:pPr>
          </w:p>
        </w:tc>
        <w:tc>
          <w:tcPr>
            <w:tcW w:w="850" w:type="dxa"/>
            <w:vMerge/>
          </w:tcPr>
          <w:p w:rsidR="00CB3670" w:rsidRPr="00CB3670" w:rsidRDefault="00CB3670" w:rsidP="002C6E60">
            <w:pPr>
              <w:spacing w:after="0" w:line="240" w:lineRule="auto"/>
              <w:jc w:val="both"/>
              <w:rPr>
                <w:rFonts w:ascii="Times New Roman" w:hAnsi="Times New Roman"/>
                <w:b/>
                <w:sz w:val="16"/>
                <w:szCs w:val="16"/>
              </w:rPr>
            </w:pPr>
          </w:p>
        </w:tc>
        <w:tc>
          <w:tcPr>
            <w:tcW w:w="4536" w:type="dxa"/>
            <w:gridSpan w:val="3"/>
            <w:vAlign w:val="center"/>
          </w:tcPr>
          <w:p w:rsidR="00CB3670" w:rsidRPr="00CB3670" w:rsidRDefault="00CB3670" w:rsidP="00CB3670">
            <w:pPr>
              <w:spacing w:after="0" w:line="240" w:lineRule="auto"/>
              <w:jc w:val="both"/>
              <w:rPr>
                <w:rFonts w:ascii="Times New Roman" w:hAnsi="Times New Roman"/>
                <w:sz w:val="16"/>
                <w:szCs w:val="16"/>
              </w:rPr>
            </w:pPr>
            <w:r w:rsidRPr="00CB3670">
              <w:rPr>
                <w:rFonts w:ascii="Times New Roman" w:hAnsi="Times New Roman"/>
                <w:sz w:val="16"/>
                <w:szCs w:val="16"/>
              </w:rPr>
              <w:t>Risque d’augmentation de l’insalubrité liée à la mauvaise gestion des eaux usées.</w:t>
            </w:r>
          </w:p>
        </w:tc>
        <w:tc>
          <w:tcPr>
            <w:tcW w:w="851" w:type="dxa"/>
            <w:vAlign w:val="center"/>
          </w:tcPr>
          <w:p w:rsidR="00CB3670" w:rsidRPr="00CB3670" w:rsidRDefault="00CB3670" w:rsidP="002C6E60">
            <w:pPr>
              <w:spacing w:after="0" w:line="240" w:lineRule="auto"/>
              <w:jc w:val="center"/>
              <w:rPr>
                <w:rFonts w:ascii="Times New Roman" w:hAnsi="Times New Roman"/>
                <w:sz w:val="16"/>
                <w:szCs w:val="16"/>
              </w:rPr>
            </w:pPr>
            <w:r w:rsidRPr="00CB3670">
              <w:rPr>
                <w:rFonts w:ascii="Times New Roman" w:hAnsi="Times New Roman"/>
                <w:sz w:val="16"/>
                <w:szCs w:val="16"/>
              </w:rPr>
              <w:t>Forte</w:t>
            </w:r>
          </w:p>
        </w:tc>
        <w:tc>
          <w:tcPr>
            <w:tcW w:w="283" w:type="dxa"/>
            <w:shd w:val="clear" w:color="auto" w:fill="002060"/>
            <w:vAlign w:val="center"/>
          </w:tcPr>
          <w:p w:rsidR="00CB3670" w:rsidRPr="00CB3670" w:rsidRDefault="00CB3670" w:rsidP="002C6E60">
            <w:pPr>
              <w:spacing w:after="0" w:line="240" w:lineRule="auto"/>
              <w:jc w:val="center"/>
              <w:rPr>
                <w:rFonts w:ascii="Times New Roman" w:hAnsi="Times New Roman"/>
                <w:b/>
                <w:sz w:val="16"/>
                <w:szCs w:val="16"/>
              </w:rPr>
            </w:pPr>
            <w:r w:rsidRPr="00CB3670">
              <w:rPr>
                <w:rFonts w:ascii="Times New Roman" w:hAnsi="Times New Roman"/>
                <w:b/>
                <w:sz w:val="16"/>
                <w:szCs w:val="16"/>
              </w:rPr>
              <w:t>5</w:t>
            </w:r>
          </w:p>
        </w:tc>
        <w:tc>
          <w:tcPr>
            <w:tcW w:w="992" w:type="dxa"/>
            <w:vAlign w:val="center"/>
          </w:tcPr>
          <w:p w:rsidR="00CB3670" w:rsidRPr="00CB3670" w:rsidRDefault="00CB3670" w:rsidP="002C6E60">
            <w:pPr>
              <w:spacing w:after="0" w:line="240" w:lineRule="auto"/>
              <w:jc w:val="center"/>
              <w:rPr>
                <w:rFonts w:ascii="Times New Roman" w:hAnsi="Times New Roman"/>
                <w:sz w:val="16"/>
                <w:szCs w:val="16"/>
              </w:rPr>
            </w:pPr>
            <w:r w:rsidRPr="00CB3670">
              <w:rPr>
                <w:rFonts w:ascii="Times New Roman" w:hAnsi="Times New Roman"/>
                <w:sz w:val="16"/>
                <w:szCs w:val="16"/>
              </w:rPr>
              <w:t>Locale</w:t>
            </w:r>
          </w:p>
        </w:tc>
        <w:tc>
          <w:tcPr>
            <w:tcW w:w="284" w:type="dxa"/>
            <w:shd w:val="clear" w:color="auto" w:fill="002060"/>
            <w:vAlign w:val="center"/>
          </w:tcPr>
          <w:p w:rsidR="00CB3670" w:rsidRPr="00CB3670" w:rsidRDefault="00CB3670" w:rsidP="002C6E60">
            <w:pPr>
              <w:spacing w:after="0" w:line="240" w:lineRule="auto"/>
              <w:jc w:val="center"/>
              <w:rPr>
                <w:rFonts w:ascii="Times New Roman" w:hAnsi="Times New Roman"/>
                <w:b/>
                <w:sz w:val="16"/>
                <w:szCs w:val="16"/>
              </w:rPr>
            </w:pPr>
            <w:r w:rsidRPr="00CB3670">
              <w:rPr>
                <w:rFonts w:ascii="Times New Roman" w:hAnsi="Times New Roman"/>
                <w:b/>
                <w:sz w:val="16"/>
                <w:szCs w:val="16"/>
              </w:rPr>
              <w:t>3</w:t>
            </w:r>
          </w:p>
        </w:tc>
        <w:tc>
          <w:tcPr>
            <w:tcW w:w="850" w:type="dxa"/>
            <w:vAlign w:val="center"/>
          </w:tcPr>
          <w:p w:rsidR="00CB3670" w:rsidRPr="00CB3670" w:rsidRDefault="00CB3670" w:rsidP="002C6E60">
            <w:pPr>
              <w:spacing w:after="0" w:line="240" w:lineRule="auto"/>
              <w:jc w:val="center"/>
              <w:rPr>
                <w:rFonts w:ascii="Times New Roman" w:hAnsi="Times New Roman"/>
                <w:sz w:val="16"/>
                <w:szCs w:val="16"/>
              </w:rPr>
            </w:pPr>
            <w:r w:rsidRPr="00CB3670">
              <w:rPr>
                <w:rFonts w:ascii="Times New Roman" w:hAnsi="Times New Roman"/>
                <w:sz w:val="16"/>
                <w:szCs w:val="16"/>
              </w:rPr>
              <w:t>Longue</w:t>
            </w:r>
          </w:p>
        </w:tc>
        <w:tc>
          <w:tcPr>
            <w:tcW w:w="284" w:type="dxa"/>
            <w:shd w:val="clear" w:color="auto" w:fill="002060"/>
            <w:vAlign w:val="center"/>
          </w:tcPr>
          <w:p w:rsidR="00CB3670" w:rsidRPr="00CB3670" w:rsidRDefault="00CB3670" w:rsidP="002C6E60">
            <w:pPr>
              <w:spacing w:after="0" w:line="240" w:lineRule="auto"/>
              <w:jc w:val="center"/>
              <w:rPr>
                <w:rFonts w:ascii="Times New Roman" w:hAnsi="Times New Roman"/>
                <w:b/>
                <w:sz w:val="16"/>
                <w:szCs w:val="16"/>
              </w:rPr>
            </w:pPr>
            <w:r w:rsidRPr="00CB3670">
              <w:rPr>
                <w:rFonts w:ascii="Times New Roman" w:hAnsi="Times New Roman"/>
                <w:b/>
                <w:sz w:val="16"/>
                <w:szCs w:val="16"/>
              </w:rPr>
              <w:t>5</w:t>
            </w:r>
          </w:p>
        </w:tc>
        <w:tc>
          <w:tcPr>
            <w:tcW w:w="850" w:type="dxa"/>
            <w:shd w:val="clear" w:color="auto" w:fill="FF0000"/>
            <w:vAlign w:val="center"/>
          </w:tcPr>
          <w:p w:rsidR="00CB3670" w:rsidRPr="00CB3670" w:rsidRDefault="00CB3670" w:rsidP="002C6E60">
            <w:pPr>
              <w:spacing w:after="0" w:line="240" w:lineRule="auto"/>
              <w:jc w:val="center"/>
              <w:rPr>
                <w:rFonts w:ascii="Times New Roman" w:hAnsi="Times New Roman"/>
                <w:b/>
                <w:sz w:val="16"/>
                <w:szCs w:val="16"/>
              </w:rPr>
            </w:pPr>
            <w:r w:rsidRPr="00CB3670">
              <w:rPr>
                <w:rFonts w:ascii="Times New Roman" w:hAnsi="Times New Roman"/>
                <w:b/>
                <w:sz w:val="16"/>
                <w:szCs w:val="16"/>
              </w:rPr>
              <w:t>Majeure</w:t>
            </w:r>
          </w:p>
        </w:tc>
        <w:tc>
          <w:tcPr>
            <w:tcW w:w="586" w:type="dxa"/>
            <w:shd w:val="clear" w:color="auto" w:fill="FF0000"/>
            <w:vAlign w:val="center"/>
          </w:tcPr>
          <w:p w:rsidR="00CB3670" w:rsidRPr="00CB3670" w:rsidRDefault="00CB3670" w:rsidP="002C6E60">
            <w:pPr>
              <w:spacing w:after="0" w:line="240" w:lineRule="auto"/>
              <w:jc w:val="center"/>
              <w:rPr>
                <w:rFonts w:ascii="Times New Roman" w:hAnsi="Times New Roman"/>
                <w:b/>
                <w:sz w:val="16"/>
                <w:szCs w:val="16"/>
              </w:rPr>
            </w:pPr>
            <w:r w:rsidRPr="00CB3670">
              <w:rPr>
                <w:rFonts w:ascii="Times New Roman" w:hAnsi="Times New Roman"/>
                <w:b/>
                <w:sz w:val="16"/>
                <w:szCs w:val="16"/>
              </w:rPr>
              <w:t>75</w:t>
            </w:r>
          </w:p>
        </w:tc>
      </w:tr>
    </w:tbl>
    <w:p w:rsidR="00647913" w:rsidRDefault="00647913" w:rsidP="00647913">
      <w:pPr>
        <w:pStyle w:val="PargrafodaLista"/>
        <w:tabs>
          <w:tab w:val="left" w:pos="1418"/>
          <w:tab w:val="left" w:pos="1843"/>
        </w:tabs>
        <w:spacing w:after="0" w:line="240" w:lineRule="auto"/>
        <w:ind w:right="-283"/>
        <w:contextualSpacing w:val="0"/>
        <w:rPr>
          <w:rFonts w:ascii="Times New Roman" w:hAnsi="Times New Roman"/>
          <w:b/>
          <w:bCs/>
          <w:i/>
          <w:sz w:val="22"/>
          <w:szCs w:val="22"/>
          <w:lang w:val="fr-FR"/>
        </w:rPr>
      </w:pPr>
    </w:p>
    <w:p w:rsidR="002C6E60" w:rsidRPr="00E732C7" w:rsidRDefault="002C6E60" w:rsidP="00E732C7">
      <w:pPr>
        <w:pStyle w:val="PargrafodaLista"/>
        <w:numPr>
          <w:ilvl w:val="0"/>
          <w:numId w:val="245"/>
        </w:numPr>
        <w:tabs>
          <w:tab w:val="left" w:pos="1418"/>
          <w:tab w:val="left" w:pos="1843"/>
        </w:tabs>
        <w:spacing w:after="240" w:line="240" w:lineRule="auto"/>
        <w:ind w:right="-283"/>
        <w:contextualSpacing w:val="0"/>
        <w:rPr>
          <w:rFonts w:ascii="Times New Roman" w:hAnsi="Times New Roman"/>
          <w:b/>
          <w:bCs/>
          <w:i/>
          <w:sz w:val="22"/>
          <w:szCs w:val="22"/>
          <w:lang w:val="fr-FR"/>
        </w:rPr>
      </w:pPr>
      <w:r w:rsidRPr="00E732C7">
        <w:rPr>
          <w:rFonts w:ascii="Times New Roman" w:hAnsi="Times New Roman"/>
          <w:b/>
          <w:bCs/>
          <w:i/>
          <w:sz w:val="22"/>
          <w:szCs w:val="22"/>
          <w:lang w:val="fr-FR"/>
        </w:rPr>
        <w:t>ANALYSE DES RISQUES</w:t>
      </w:r>
    </w:p>
    <w:p w:rsidR="002C6E60" w:rsidRPr="00E732C7" w:rsidRDefault="002C6E60" w:rsidP="00E732C7">
      <w:pPr>
        <w:spacing w:after="120" w:line="240" w:lineRule="auto"/>
        <w:ind w:left="-284" w:right="-853"/>
        <w:jc w:val="both"/>
        <w:rPr>
          <w:rFonts w:ascii="Times New Roman" w:hAnsi="Times New Roman" w:cs="Times New Roman"/>
          <w:bCs/>
        </w:rPr>
      </w:pPr>
      <w:r w:rsidRPr="00E732C7">
        <w:rPr>
          <w:rFonts w:ascii="Times New Roman" w:hAnsi="Times New Roman" w:cs="Times New Roman"/>
          <w:bCs/>
        </w:rPr>
        <w:t xml:space="preserve">Dans ce chapitre, seront analysés les risques technologiques </w:t>
      </w:r>
      <w:r w:rsidR="00E732C7" w:rsidRPr="00E732C7">
        <w:rPr>
          <w:rFonts w:ascii="Times New Roman" w:hAnsi="Times New Roman" w:cs="Times New Roman"/>
          <w:bCs/>
        </w:rPr>
        <w:t>et les</w:t>
      </w:r>
      <w:r w:rsidRPr="00E732C7">
        <w:rPr>
          <w:rFonts w:ascii="Times New Roman" w:hAnsi="Times New Roman" w:cs="Times New Roman"/>
          <w:bCs/>
        </w:rPr>
        <w:t xml:space="preserve"> risques professionnels liés au projet. L’analyse des risques concerne la phase construction ainsi que la phase exploitation.</w:t>
      </w:r>
    </w:p>
    <w:p w:rsidR="002C6E60" w:rsidRPr="00E732C7" w:rsidRDefault="002C6E60" w:rsidP="00E732C7">
      <w:pPr>
        <w:pStyle w:val="PargrafodaLista"/>
        <w:keepNext/>
        <w:numPr>
          <w:ilvl w:val="1"/>
          <w:numId w:val="244"/>
        </w:numPr>
        <w:spacing w:before="240" w:after="0"/>
        <w:jc w:val="both"/>
        <w:rPr>
          <w:rFonts w:ascii="Times New Roman" w:hAnsi="Times New Roman"/>
          <w:b/>
          <w:i/>
          <w:lang w:val="fr-FR" w:eastAsia="fr-FR"/>
        </w:rPr>
      </w:pPr>
      <w:r w:rsidRPr="00E732C7">
        <w:rPr>
          <w:rFonts w:ascii="Times New Roman" w:hAnsi="Times New Roman"/>
          <w:b/>
          <w:i/>
          <w:lang w:val="fr-FR" w:eastAsia="fr-FR"/>
        </w:rPr>
        <w:lastRenderedPageBreak/>
        <w:t>Analyse des risques technologiques</w:t>
      </w:r>
    </w:p>
    <w:p w:rsidR="002C6E60" w:rsidRPr="00E732C7" w:rsidRDefault="002C6E60" w:rsidP="00E732C7">
      <w:pPr>
        <w:spacing w:after="120" w:line="240" w:lineRule="auto"/>
        <w:ind w:left="-284" w:right="-853"/>
        <w:jc w:val="both"/>
        <w:rPr>
          <w:rFonts w:ascii="Times New Roman" w:hAnsi="Times New Roman" w:cs="Times New Roman"/>
          <w:bCs/>
        </w:rPr>
      </w:pPr>
      <w:r w:rsidRPr="00E732C7">
        <w:rPr>
          <w:rFonts w:ascii="Times New Roman" w:hAnsi="Times New Roman" w:cs="Times New Roman"/>
          <w:bCs/>
        </w:rPr>
        <w:t>L’analyse des risques a pour objectif, d’une part, d’identifier les situations qui peuvent être à l’origine d’un accident, et d’autre part, d’analyser les barrières de sécurité (mesures de prévention, moyens de protection et d’intervention) qui y sont associées. Il s’agit en définitive d’examiner :</w:t>
      </w:r>
    </w:p>
    <w:p w:rsidR="002C6E60" w:rsidRPr="00C8017F" w:rsidRDefault="002C6E60" w:rsidP="002C6E60">
      <w:pPr>
        <w:numPr>
          <w:ilvl w:val="0"/>
          <w:numId w:val="249"/>
        </w:numPr>
        <w:spacing w:after="200" w:line="240" w:lineRule="auto"/>
        <w:ind w:right="-283"/>
        <w:contextualSpacing/>
        <w:jc w:val="both"/>
        <w:rPr>
          <w:rFonts w:ascii="Times New Roman" w:hAnsi="Times New Roman"/>
          <w:sz w:val="20"/>
          <w:szCs w:val="20"/>
        </w:rPr>
      </w:pPr>
      <w:r w:rsidRPr="00C8017F">
        <w:rPr>
          <w:rFonts w:ascii="Times New Roman" w:hAnsi="Times New Roman"/>
          <w:sz w:val="20"/>
          <w:szCs w:val="20"/>
        </w:rPr>
        <w:t>Les défaillances d’origine interne : dangers liés aux produits, défaillances intrinsèques liées au dysfonctionnement des installations, mauvaise conception ou exploitation du matériel…,</w:t>
      </w:r>
    </w:p>
    <w:p w:rsidR="002C6E60" w:rsidRDefault="002C6E60" w:rsidP="002C6E60">
      <w:pPr>
        <w:numPr>
          <w:ilvl w:val="0"/>
          <w:numId w:val="249"/>
        </w:numPr>
        <w:spacing w:after="200" w:line="240" w:lineRule="auto"/>
        <w:ind w:right="-283"/>
        <w:contextualSpacing/>
        <w:jc w:val="both"/>
        <w:rPr>
          <w:rFonts w:ascii="Times New Roman" w:hAnsi="Times New Roman"/>
          <w:sz w:val="20"/>
          <w:szCs w:val="20"/>
        </w:rPr>
      </w:pPr>
      <w:r w:rsidRPr="00C8017F">
        <w:rPr>
          <w:rFonts w:ascii="Times New Roman" w:hAnsi="Times New Roman"/>
          <w:sz w:val="20"/>
          <w:szCs w:val="20"/>
        </w:rPr>
        <w:t>Les défaillances d’origine externe, qui résultent de la défaillance du matériel, elle-même consécutive à une agression externe (autres activités extérieures, risques naturels…).</w:t>
      </w:r>
    </w:p>
    <w:p w:rsidR="002C6E60" w:rsidRPr="00C8017F" w:rsidRDefault="002C6E60" w:rsidP="002C6E60">
      <w:pPr>
        <w:spacing w:after="200" w:line="240" w:lineRule="auto"/>
        <w:ind w:left="720" w:right="-283"/>
        <w:contextualSpacing/>
        <w:jc w:val="both"/>
        <w:rPr>
          <w:rFonts w:ascii="Times New Roman" w:hAnsi="Times New Roman"/>
          <w:sz w:val="20"/>
          <w:szCs w:val="20"/>
        </w:rPr>
      </w:pPr>
    </w:p>
    <w:p w:rsidR="002C6E60" w:rsidRPr="00E732C7" w:rsidRDefault="002C6E60" w:rsidP="00E732C7">
      <w:pPr>
        <w:spacing w:after="120" w:line="240" w:lineRule="auto"/>
        <w:ind w:left="-284" w:right="-853"/>
        <w:jc w:val="both"/>
        <w:rPr>
          <w:rFonts w:ascii="Times New Roman" w:hAnsi="Times New Roman" w:cs="Times New Roman"/>
          <w:bCs/>
        </w:rPr>
      </w:pPr>
      <w:r w:rsidRPr="00E732C7">
        <w:rPr>
          <w:rFonts w:ascii="Times New Roman" w:hAnsi="Times New Roman" w:cs="Times New Roman"/>
          <w:bCs/>
        </w:rPr>
        <w:t>Les principaux éléments sensibles aux dangers sont décrits au chapitre portant description des conditions environnementales de base et au chapitre présentation du projet.</w:t>
      </w:r>
    </w:p>
    <w:p w:rsidR="002C6E60" w:rsidRPr="00E732C7" w:rsidRDefault="002C6E60" w:rsidP="002C6E60">
      <w:pPr>
        <w:pStyle w:val="PargrafodaLista"/>
        <w:numPr>
          <w:ilvl w:val="0"/>
          <w:numId w:val="250"/>
        </w:numPr>
        <w:spacing w:after="0" w:line="240" w:lineRule="auto"/>
        <w:ind w:right="-283"/>
        <w:contextualSpacing w:val="0"/>
        <w:jc w:val="both"/>
        <w:rPr>
          <w:rFonts w:ascii="Times New Roman" w:hAnsi="Times New Roman"/>
          <w:lang w:val="fr-FR"/>
        </w:rPr>
      </w:pPr>
      <w:r w:rsidRPr="00E732C7">
        <w:rPr>
          <w:rFonts w:ascii="Times New Roman" w:hAnsi="Times New Roman"/>
          <w:lang w:val="fr-FR"/>
        </w:rPr>
        <w:t>Dangers liés aux produits utilisés en phase chantier</w:t>
      </w:r>
    </w:p>
    <w:p w:rsidR="002C6E60" w:rsidRPr="00E732C7" w:rsidRDefault="002C6E60" w:rsidP="002C6E60">
      <w:pPr>
        <w:pStyle w:val="PargrafodaLista"/>
        <w:numPr>
          <w:ilvl w:val="0"/>
          <w:numId w:val="250"/>
        </w:numPr>
        <w:spacing w:after="0" w:line="240" w:lineRule="auto"/>
        <w:ind w:right="-283"/>
        <w:contextualSpacing w:val="0"/>
        <w:jc w:val="both"/>
        <w:rPr>
          <w:rFonts w:ascii="Times New Roman" w:hAnsi="Times New Roman"/>
          <w:lang w:val="fr-FR"/>
        </w:rPr>
      </w:pPr>
      <w:r w:rsidRPr="00E732C7">
        <w:rPr>
          <w:rFonts w:ascii="Times New Roman" w:hAnsi="Times New Roman"/>
          <w:lang w:val="fr-FR"/>
        </w:rPr>
        <w:t>Dangers liés aux équipements/procédés en phase chantier</w:t>
      </w:r>
    </w:p>
    <w:p w:rsidR="002C6E60" w:rsidRPr="00E732C7" w:rsidRDefault="002C6E60" w:rsidP="002C6E60">
      <w:pPr>
        <w:pStyle w:val="PargrafodaLista"/>
        <w:numPr>
          <w:ilvl w:val="0"/>
          <w:numId w:val="250"/>
        </w:numPr>
        <w:spacing w:after="0" w:line="240" w:lineRule="auto"/>
        <w:ind w:right="-283"/>
        <w:contextualSpacing w:val="0"/>
        <w:jc w:val="both"/>
        <w:rPr>
          <w:rFonts w:ascii="Times New Roman" w:hAnsi="Times New Roman"/>
          <w:lang w:val="fr-FR"/>
        </w:rPr>
      </w:pPr>
      <w:r w:rsidRPr="00E732C7">
        <w:rPr>
          <w:rFonts w:ascii="Times New Roman" w:hAnsi="Times New Roman"/>
          <w:lang w:val="fr-FR"/>
        </w:rPr>
        <w:t>Dangers liés aux installations en exploitation </w:t>
      </w:r>
    </w:p>
    <w:p w:rsidR="002C6E60" w:rsidRPr="00E732C7" w:rsidRDefault="002C6E60" w:rsidP="002C6E60">
      <w:pPr>
        <w:pStyle w:val="PargrafodaLista"/>
        <w:ind w:right="-283"/>
        <w:jc w:val="both"/>
        <w:rPr>
          <w:rFonts w:ascii="Times New Roman" w:hAnsi="Times New Roman"/>
          <w:lang w:val="fr-FR"/>
        </w:rPr>
      </w:pPr>
    </w:p>
    <w:p w:rsidR="002C6E60" w:rsidRPr="00236795" w:rsidRDefault="002C6E60" w:rsidP="002C6E60">
      <w:pPr>
        <w:pStyle w:val="PargrafodaLista"/>
        <w:numPr>
          <w:ilvl w:val="0"/>
          <w:numId w:val="251"/>
        </w:numPr>
        <w:spacing w:after="0" w:line="240" w:lineRule="auto"/>
        <w:ind w:right="-283"/>
        <w:contextualSpacing w:val="0"/>
        <w:jc w:val="both"/>
        <w:rPr>
          <w:b/>
          <w:i/>
        </w:rPr>
      </w:pPr>
      <w:r w:rsidRPr="00236795">
        <w:rPr>
          <w:b/>
          <w:i/>
        </w:rPr>
        <w:t>ETUDE DE L’ACCIDENTOLOGIE</w:t>
      </w:r>
    </w:p>
    <w:p w:rsidR="002C6E60" w:rsidRPr="00E732C7" w:rsidRDefault="002C6E60" w:rsidP="00E732C7">
      <w:pPr>
        <w:spacing w:after="120" w:line="240" w:lineRule="auto"/>
        <w:ind w:left="-284" w:right="-853"/>
        <w:jc w:val="both"/>
        <w:rPr>
          <w:rFonts w:ascii="Times New Roman" w:hAnsi="Times New Roman" w:cs="Times New Roman"/>
          <w:bCs/>
        </w:rPr>
      </w:pPr>
      <w:r w:rsidRPr="00E732C7">
        <w:rPr>
          <w:rFonts w:ascii="Times New Roman" w:hAnsi="Times New Roman" w:cs="Times New Roman"/>
          <w:bCs/>
        </w:rPr>
        <w:t xml:space="preserve">L’analyse de l’accidentologie montre que les </w:t>
      </w:r>
      <w:r w:rsidR="00E732C7">
        <w:rPr>
          <w:rFonts w:ascii="Times New Roman" w:hAnsi="Times New Roman" w:cs="Times New Roman"/>
          <w:bCs/>
        </w:rPr>
        <w:t>réalisations de recevoir sont</w:t>
      </w:r>
      <w:r w:rsidRPr="00E732C7">
        <w:rPr>
          <w:rFonts w:ascii="Times New Roman" w:hAnsi="Times New Roman" w:cs="Times New Roman"/>
          <w:bCs/>
        </w:rPr>
        <w:t xml:space="preserve"> susc</w:t>
      </w:r>
      <w:r w:rsidR="00E732C7">
        <w:rPr>
          <w:rFonts w:ascii="Times New Roman" w:hAnsi="Times New Roman" w:cs="Times New Roman"/>
          <w:bCs/>
        </w:rPr>
        <w:t xml:space="preserve">eptibles d’être à l’origine de plusieurs </w:t>
      </w:r>
      <w:r w:rsidR="00E732C7" w:rsidRPr="00E732C7">
        <w:rPr>
          <w:rFonts w:ascii="Times New Roman" w:hAnsi="Times New Roman" w:cs="Times New Roman"/>
          <w:bCs/>
        </w:rPr>
        <w:t>accidents</w:t>
      </w:r>
      <w:r w:rsidRPr="00E732C7">
        <w:rPr>
          <w:rFonts w:ascii="Times New Roman" w:hAnsi="Times New Roman" w:cs="Times New Roman"/>
          <w:bCs/>
        </w:rPr>
        <w:t xml:space="preserve"> majeur.</w:t>
      </w:r>
    </w:p>
    <w:p w:rsidR="002C6E60" w:rsidRPr="00E732C7" w:rsidRDefault="002C6E60" w:rsidP="00E732C7">
      <w:pPr>
        <w:spacing w:after="120" w:line="240" w:lineRule="auto"/>
        <w:ind w:left="-284" w:right="-853"/>
        <w:jc w:val="both"/>
        <w:rPr>
          <w:rFonts w:ascii="Times New Roman" w:hAnsi="Times New Roman" w:cs="Times New Roman"/>
          <w:bCs/>
        </w:rPr>
      </w:pPr>
      <w:r w:rsidRPr="00E732C7">
        <w:rPr>
          <w:rFonts w:ascii="Times New Roman" w:hAnsi="Times New Roman" w:cs="Times New Roman"/>
          <w:bCs/>
        </w:rPr>
        <w:t>Les causes vont des défaillances matérielles aux actes criminels en passant par des erreurs humaines ou de procédure.</w:t>
      </w:r>
    </w:p>
    <w:p w:rsidR="002C6E60" w:rsidRPr="00E732C7" w:rsidRDefault="002C6E60" w:rsidP="00E732C7">
      <w:pPr>
        <w:spacing w:after="120" w:line="240" w:lineRule="auto"/>
        <w:ind w:left="-284" w:right="-853"/>
        <w:jc w:val="both"/>
        <w:rPr>
          <w:rFonts w:ascii="Times New Roman" w:hAnsi="Times New Roman" w:cs="Times New Roman"/>
          <w:bCs/>
        </w:rPr>
      </w:pPr>
      <w:r w:rsidRPr="00E732C7">
        <w:rPr>
          <w:rFonts w:ascii="Times New Roman" w:hAnsi="Times New Roman" w:cs="Times New Roman"/>
          <w:bCs/>
        </w:rPr>
        <w:t xml:space="preserve">Les causes </w:t>
      </w:r>
      <w:r w:rsidR="001A349D" w:rsidRPr="00E732C7">
        <w:rPr>
          <w:rFonts w:ascii="Times New Roman" w:hAnsi="Times New Roman" w:cs="Times New Roman"/>
          <w:bCs/>
        </w:rPr>
        <w:t>principales qui</w:t>
      </w:r>
      <w:r w:rsidRPr="00E732C7">
        <w:rPr>
          <w:rFonts w:ascii="Times New Roman" w:hAnsi="Times New Roman" w:cs="Times New Roman"/>
          <w:bCs/>
        </w:rPr>
        <w:t xml:space="preserve"> ont été répertoriées pour ce projet de </w:t>
      </w:r>
      <w:r w:rsidR="001A349D" w:rsidRPr="00E732C7">
        <w:rPr>
          <w:rFonts w:ascii="Times New Roman" w:hAnsi="Times New Roman" w:cs="Times New Roman"/>
          <w:bCs/>
        </w:rPr>
        <w:t>son</w:t>
      </w:r>
      <w:r w:rsidRPr="00E732C7">
        <w:rPr>
          <w:rFonts w:ascii="Times New Roman" w:hAnsi="Times New Roman" w:cs="Times New Roman"/>
          <w:bCs/>
        </w:rPr>
        <w:t> :</w:t>
      </w:r>
    </w:p>
    <w:p w:rsidR="002C6E60" w:rsidRPr="00C8017F" w:rsidRDefault="002C6E60" w:rsidP="002C6E60">
      <w:pPr>
        <w:pStyle w:val="PargrafodaLista"/>
        <w:numPr>
          <w:ilvl w:val="1"/>
          <w:numId w:val="248"/>
        </w:numPr>
        <w:spacing w:after="240" w:line="240" w:lineRule="auto"/>
        <w:ind w:left="924" w:right="-283" w:hanging="357"/>
        <w:jc w:val="both"/>
        <w:rPr>
          <w:rFonts w:ascii="Times New Roman" w:hAnsi="Times New Roman"/>
        </w:rPr>
      </w:pPr>
      <w:r w:rsidRPr="00C8017F">
        <w:rPr>
          <w:rFonts w:ascii="Times New Roman" w:hAnsi="Times New Roman"/>
        </w:rPr>
        <w:t>Défaillance matérielle,</w:t>
      </w:r>
    </w:p>
    <w:p w:rsidR="002C6E60" w:rsidRPr="00C8017F" w:rsidRDefault="002C6E60" w:rsidP="002C6E60">
      <w:pPr>
        <w:pStyle w:val="PargrafodaLista"/>
        <w:numPr>
          <w:ilvl w:val="1"/>
          <w:numId w:val="248"/>
        </w:numPr>
        <w:spacing w:after="240" w:line="240" w:lineRule="auto"/>
        <w:ind w:left="924" w:right="-283" w:hanging="357"/>
        <w:jc w:val="both"/>
        <w:rPr>
          <w:rFonts w:ascii="Times New Roman" w:hAnsi="Times New Roman"/>
        </w:rPr>
      </w:pPr>
      <w:r w:rsidRPr="00C8017F">
        <w:rPr>
          <w:rFonts w:ascii="Times New Roman" w:hAnsi="Times New Roman"/>
        </w:rPr>
        <w:t>Défaillance humaine,</w:t>
      </w:r>
    </w:p>
    <w:p w:rsidR="002C6E60" w:rsidRPr="00C8017F" w:rsidRDefault="002C6E60" w:rsidP="002C6E60">
      <w:pPr>
        <w:pStyle w:val="PargrafodaLista"/>
        <w:numPr>
          <w:ilvl w:val="1"/>
          <w:numId w:val="248"/>
        </w:numPr>
        <w:spacing w:after="240" w:line="240" w:lineRule="auto"/>
        <w:ind w:left="924" w:right="-283" w:hanging="357"/>
        <w:jc w:val="both"/>
        <w:rPr>
          <w:rFonts w:ascii="Times New Roman" w:hAnsi="Times New Roman"/>
        </w:rPr>
      </w:pPr>
      <w:r w:rsidRPr="00C8017F">
        <w:rPr>
          <w:rFonts w:ascii="Times New Roman" w:hAnsi="Times New Roman"/>
        </w:rPr>
        <w:t>Malveillance,</w:t>
      </w:r>
    </w:p>
    <w:p w:rsidR="002C6E60" w:rsidRPr="00C8017F" w:rsidRDefault="002C6E60" w:rsidP="002C6E60">
      <w:pPr>
        <w:pStyle w:val="PargrafodaLista"/>
        <w:numPr>
          <w:ilvl w:val="1"/>
          <w:numId w:val="248"/>
        </w:numPr>
        <w:spacing w:after="240" w:line="240" w:lineRule="auto"/>
        <w:ind w:left="924" w:right="-283" w:hanging="357"/>
        <w:jc w:val="both"/>
        <w:rPr>
          <w:rFonts w:ascii="Times New Roman" w:hAnsi="Times New Roman"/>
        </w:rPr>
      </w:pPr>
      <w:r w:rsidRPr="00C8017F">
        <w:rPr>
          <w:rFonts w:ascii="Times New Roman" w:hAnsi="Times New Roman"/>
        </w:rPr>
        <w:t>Intervention insuffisante,</w:t>
      </w:r>
    </w:p>
    <w:p w:rsidR="002C6E60" w:rsidRPr="00C8017F" w:rsidRDefault="002C6E60" w:rsidP="002C6E60">
      <w:pPr>
        <w:pStyle w:val="PargrafodaLista"/>
        <w:numPr>
          <w:ilvl w:val="1"/>
          <w:numId w:val="248"/>
        </w:numPr>
        <w:spacing w:after="240" w:line="240" w:lineRule="auto"/>
        <w:ind w:left="924" w:right="-283" w:hanging="357"/>
        <w:jc w:val="both"/>
        <w:rPr>
          <w:rFonts w:ascii="Times New Roman" w:hAnsi="Times New Roman"/>
        </w:rPr>
      </w:pPr>
      <w:r w:rsidRPr="00C8017F">
        <w:rPr>
          <w:rFonts w:ascii="Times New Roman" w:hAnsi="Times New Roman"/>
        </w:rPr>
        <w:t>Accident extérieur.</w:t>
      </w:r>
    </w:p>
    <w:p w:rsidR="002C6E60" w:rsidRPr="00E732C7" w:rsidRDefault="002C6E60" w:rsidP="00E732C7">
      <w:pPr>
        <w:spacing w:after="120" w:line="240" w:lineRule="auto"/>
        <w:ind w:left="-284" w:right="-853"/>
        <w:jc w:val="both"/>
        <w:rPr>
          <w:rFonts w:ascii="Times New Roman" w:hAnsi="Times New Roman" w:cs="Times New Roman"/>
          <w:bCs/>
        </w:rPr>
      </w:pPr>
      <w:r w:rsidRPr="00E732C7">
        <w:rPr>
          <w:rFonts w:ascii="Times New Roman" w:hAnsi="Times New Roman" w:cs="Times New Roman"/>
          <w:bCs/>
        </w:rPr>
        <w:t>Ainsi, l’analyse de l’accidentologie et de l’identification des dangers potentiels liés aux réservoirs et équipements et aux substances stockées, montre que les évènements qui peuvent être redoutés pour de tels projets sont :</w:t>
      </w:r>
    </w:p>
    <w:p w:rsidR="002C6E60" w:rsidRPr="00E732C7" w:rsidRDefault="002C6E60" w:rsidP="002C6E60">
      <w:pPr>
        <w:numPr>
          <w:ilvl w:val="0"/>
          <w:numId w:val="96"/>
        </w:numPr>
        <w:spacing w:after="0"/>
        <w:jc w:val="both"/>
        <w:rPr>
          <w:rFonts w:ascii="Times New Roman" w:hAnsi="Times New Roman"/>
          <w:sz w:val="20"/>
          <w:szCs w:val="20"/>
        </w:rPr>
      </w:pPr>
      <w:r w:rsidRPr="00E732C7">
        <w:rPr>
          <w:rFonts w:ascii="Times New Roman" w:hAnsi="Times New Roman"/>
          <w:sz w:val="20"/>
          <w:szCs w:val="20"/>
        </w:rPr>
        <w:t>Incendie et/ou explosion du groupe électrogène ;</w:t>
      </w:r>
    </w:p>
    <w:p w:rsidR="002C6E60" w:rsidRPr="00E732C7" w:rsidRDefault="002C6E60" w:rsidP="002C6E60">
      <w:pPr>
        <w:numPr>
          <w:ilvl w:val="0"/>
          <w:numId w:val="96"/>
        </w:numPr>
        <w:spacing w:after="0"/>
        <w:jc w:val="both"/>
        <w:rPr>
          <w:rFonts w:ascii="Times New Roman" w:hAnsi="Times New Roman"/>
          <w:sz w:val="20"/>
          <w:szCs w:val="20"/>
        </w:rPr>
      </w:pPr>
      <w:r w:rsidRPr="00E732C7">
        <w:rPr>
          <w:rFonts w:ascii="Times New Roman" w:hAnsi="Times New Roman"/>
          <w:sz w:val="20"/>
          <w:szCs w:val="20"/>
        </w:rPr>
        <w:t>Incendie d’une cuvette de rétention d’hydrocarbure ;</w:t>
      </w:r>
    </w:p>
    <w:p w:rsidR="002C6E60" w:rsidRPr="00E732C7" w:rsidRDefault="002C6E60" w:rsidP="002C6E60">
      <w:pPr>
        <w:numPr>
          <w:ilvl w:val="0"/>
          <w:numId w:val="96"/>
        </w:numPr>
        <w:spacing w:after="0"/>
        <w:jc w:val="both"/>
        <w:rPr>
          <w:rFonts w:ascii="Times New Roman" w:hAnsi="Times New Roman"/>
          <w:sz w:val="20"/>
          <w:szCs w:val="20"/>
        </w:rPr>
      </w:pPr>
      <w:r w:rsidRPr="00E732C7">
        <w:rPr>
          <w:rFonts w:ascii="Times New Roman" w:hAnsi="Times New Roman"/>
          <w:sz w:val="20"/>
          <w:szCs w:val="20"/>
        </w:rPr>
        <w:t>Effondrement d’un château d’eau ;</w:t>
      </w:r>
    </w:p>
    <w:p w:rsidR="002C6E60" w:rsidRPr="00E732C7" w:rsidRDefault="002C6E60" w:rsidP="002C6E60">
      <w:pPr>
        <w:numPr>
          <w:ilvl w:val="0"/>
          <w:numId w:val="96"/>
        </w:numPr>
        <w:spacing w:after="0"/>
        <w:jc w:val="both"/>
        <w:rPr>
          <w:rFonts w:ascii="Times New Roman" w:hAnsi="Times New Roman"/>
          <w:sz w:val="20"/>
          <w:szCs w:val="20"/>
        </w:rPr>
      </w:pPr>
      <w:r w:rsidRPr="00E732C7">
        <w:rPr>
          <w:rFonts w:ascii="Times New Roman" w:hAnsi="Times New Roman"/>
          <w:sz w:val="20"/>
          <w:szCs w:val="20"/>
        </w:rPr>
        <w:t>Rupture des canalisations ;</w:t>
      </w:r>
    </w:p>
    <w:p w:rsidR="002C6E60" w:rsidRDefault="002C6E60" w:rsidP="002C6E60">
      <w:pPr>
        <w:numPr>
          <w:ilvl w:val="0"/>
          <w:numId w:val="96"/>
        </w:numPr>
        <w:spacing w:after="0"/>
        <w:jc w:val="both"/>
        <w:rPr>
          <w:rFonts w:ascii="Times New Roman" w:hAnsi="Times New Roman"/>
          <w:sz w:val="20"/>
          <w:szCs w:val="20"/>
        </w:rPr>
      </w:pPr>
      <w:r w:rsidRPr="00E732C7">
        <w:rPr>
          <w:rFonts w:ascii="Times New Roman" w:hAnsi="Times New Roman"/>
          <w:sz w:val="20"/>
          <w:szCs w:val="20"/>
        </w:rPr>
        <w:t>Pollution des eaux du réservoir ;</w:t>
      </w:r>
    </w:p>
    <w:p w:rsidR="002264AD" w:rsidRDefault="002264AD" w:rsidP="002264AD">
      <w:pPr>
        <w:spacing w:after="0"/>
        <w:jc w:val="both"/>
        <w:rPr>
          <w:rFonts w:ascii="Times New Roman" w:hAnsi="Times New Roman"/>
          <w:sz w:val="20"/>
          <w:szCs w:val="20"/>
        </w:rPr>
      </w:pPr>
    </w:p>
    <w:p w:rsidR="002264AD" w:rsidRDefault="002264AD" w:rsidP="002264AD">
      <w:pPr>
        <w:spacing w:after="0" w:line="240" w:lineRule="auto"/>
        <w:ind w:right="-283"/>
        <w:jc w:val="both"/>
        <w:rPr>
          <w:rFonts w:ascii="Times New Roman" w:hAnsi="Times New Roman"/>
        </w:rPr>
      </w:pPr>
      <w:r>
        <w:rPr>
          <w:rFonts w:ascii="Times New Roman" w:hAnsi="Times New Roman"/>
        </w:rPr>
        <w:t xml:space="preserve">Ainsi, des mesures </w:t>
      </w:r>
      <w:r w:rsidRPr="00E732C7">
        <w:rPr>
          <w:rFonts w:ascii="Times New Roman" w:hAnsi="Times New Roman" w:cs="Times New Roman"/>
          <w:bCs/>
        </w:rPr>
        <w:t>de prévention, moyens de protection et d’intervention</w:t>
      </w:r>
      <w:r>
        <w:rPr>
          <w:rFonts w:ascii="Times New Roman" w:hAnsi="Times New Roman" w:cs="Times New Roman"/>
          <w:bCs/>
        </w:rPr>
        <w:t xml:space="preserve"> ont était largement décrit avec un plan de gestion de ces risques identifiés.</w:t>
      </w:r>
    </w:p>
    <w:p w:rsidR="002C6E60" w:rsidRDefault="002C6E60" w:rsidP="002C6E60">
      <w:pPr>
        <w:spacing w:after="0"/>
        <w:ind w:left="720"/>
        <w:jc w:val="both"/>
        <w:rPr>
          <w:rFonts w:ascii="Times New Roman" w:hAnsi="Times New Roman"/>
          <w:sz w:val="24"/>
          <w:szCs w:val="24"/>
        </w:rPr>
      </w:pPr>
    </w:p>
    <w:p w:rsidR="002C6E60" w:rsidRPr="00E732C7" w:rsidRDefault="002C6E60" w:rsidP="00E732C7">
      <w:pPr>
        <w:pStyle w:val="PargrafodaLista"/>
        <w:numPr>
          <w:ilvl w:val="0"/>
          <w:numId w:val="245"/>
        </w:numPr>
        <w:tabs>
          <w:tab w:val="left" w:pos="1418"/>
          <w:tab w:val="left" w:pos="1843"/>
        </w:tabs>
        <w:spacing w:after="240" w:line="240" w:lineRule="auto"/>
        <w:ind w:right="-283"/>
        <w:contextualSpacing w:val="0"/>
        <w:rPr>
          <w:rFonts w:ascii="Times New Roman" w:hAnsi="Times New Roman"/>
          <w:b/>
          <w:bCs/>
          <w:i/>
          <w:sz w:val="22"/>
          <w:szCs w:val="22"/>
          <w:lang w:val="fr-FR"/>
        </w:rPr>
      </w:pPr>
      <w:r w:rsidRPr="00E732C7">
        <w:rPr>
          <w:rFonts w:ascii="Times New Roman" w:hAnsi="Times New Roman"/>
          <w:b/>
          <w:bCs/>
          <w:i/>
          <w:sz w:val="22"/>
          <w:szCs w:val="22"/>
          <w:lang w:val="fr-FR"/>
        </w:rPr>
        <w:t>PLAN DE GESTI</w:t>
      </w:r>
      <w:r w:rsidR="00E732C7">
        <w:rPr>
          <w:rFonts w:ascii="Times New Roman" w:hAnsi="Times New Roman"/>
          <w:b/>
          <w:bCs/>
          <w:i/>
          <w:sz w:val="22"/>
          <w:szCs w:val="22"/>
          <w:lang w:val="fr-FR"/>
        </w:rPr>
        <w:t xml:space="preserve">ON ENVIRONNEMENTALE ET SOCIALE </w:t>
      </w:r>
    </w:p>
    <w:p w:rsidR="002C6E60" w:rsidRPr="00D335A7" w:rsidRDefault="002C6E60" w:rsidP="002C6E60">
      <w:pPr>
        <w:spacing w:before="240" w:after="0" w:line="240" w:lineRule="auto"/>
        <w:ind w:left="-142" w:right="-141"/>
        <w:jc w:val="both"/>
        <w:rPr>
          <w:rFonts w:ascii="Times New Roman" w:hAnsi="Times New Roman"/>
          <w:iCs/>
          <w:sz w:val="24"/>
          <w:szCs w:val="24"/>
        </w:rPr>
      </w:pPr>
      <w:r w:rsidRPr="00E732C7">
        <w:rPr>
          <w:rFonts w:ascii="Times New Roman" w:hAnsi="Times New Roman" w:cs="Times New Roman"/>
          <w:bCs/>
        </w:rPr>
        <w:t>Le plan de gestion environnementale vise à assurer la réalisation correcte, et dans les délais prévus,</w:t>
      </w:r>
      <w:r w:rsidRPr="00D335A7">
        <w:rPr>
          <w:rFonts w:ascii="Times New Roman" w:hAnsi="Times New Roman"/>
          <w:iCs/>
          <w:sz w:val="24"/>
          <w:szCs w:val="24"/>
        </w:rPr>
        <w:t xml:space="preserve"> de toutes les mesures d’atténuation des impacts négatifs et la bonification des impacts positifs.</w:t>
      </w:r>
    </w:p>
    <w:p w:rsidR="00384924" w:rsidRDefault="002C6E60" w:rsidP="00362638">
      <w:pPr>
        <w:spacing w:after="0"/>
        <w:ind w:right="-283"/>
        <w:jc w:val="center"/>
        <w:rPr>
          <w:rFonts w:ascii="Times New Roman" w:hAnsi="Times New Roman" w:cs="Times New Roman"/>
          <w:b/>
          <w:sz w:val="24"/>
          <w:szCs w:val="24"/>
        </w:rPr>
      </w:pPr>
      <w:r w:rsidRPr="00E732C7">
        <w:rPr>
          <w:b/>
          <w:bCs/>
          <w:sz w:val="28"/>
          <w:szCs w:val="28"/>
          <w:u w:val="single"/>
        </w:rPr>
        <w:t>Récapitulatif du plan de gestion environnementale et sociale (PGES)</w:t>
      </w:r>
    </w:p>
    <w:p w:rsidR="005A6322" w:rsidRDefault="005A6322" w:rsidP="002C6E60">
      <w:pPr>
        <w:overflowPunct w:val="0"/>
        <w:autoSpaceDE w:val="0"/>
        <w:autoSpaceDN w:val="0"/>
        <w:adjustRightInd w:val="0"/>
        <w:spacing w:after="0" w:line="240" w:lineRule="auto"/>
        <w:ind w:right="-711"/>
        <w:jc w:val="center"/>
        <w:rPr>
          <w:rFonts w:ascii="Times New Roman" w:eastAsia="Times New Roman" w:hAnsi="Times New Roman"/>
          <w:b/>
          <w:bCs/>
          <w:sz w:val="20"/>
          <w:szCs w:val="20"/>
          <w:lang w:eastAsia="fr-FR"/>
        </w:rPr>
        <w:sectPr w:rsidR="005A6322" w:rsidSect="00362638">
          <w:headerReference w:type="default" r:id="rId22"/>
          <w:footerReference w:type="default" r:id="rId23"/>
          <w:pgSz w:w="11906" w:h="16838"/>
          <w:pgMar w:top="1135" w:right="1418" w:bottom="1418" w:left="1418" w:header="142" w:footer="709" w:gutter="0"/>
          <w:cols w:space="708"/>
          <w:docGrid w:linePitch="360"/>
        </w:sectPr>
      </w:pPr>
    </w:p>
    <w:p w:rsidR="002C6E60" w:rsidRPr="00D335A7" w:rsidRDefault="00E732C7" w:rsidP="002C6E60">
      <w:pPr>
        <w:overflowPunct w:val="0"/>
        <w:autoSpaceDE w:val="0"/>
        <w:autoSpaceDN w:val="0"/>
        <w:adjustRightInd w:val="0"/>
        <w:spacing w:after="0" w:line="240" w:lineRule="auto"/>
        <w:ind w:right="-711"/>
        <w:jc w:val="center"/>
        <w:rPr>
          <w:rFonts w:ascii="Times New Roman" w:eastAsia="Times New Roman" w:hAnsi="Times New Roman"/>
          <w:b/>
          <w:bCs/>
          <w:sz w:val="20"/>
          <w:szCs w:val="20"/>
          <w:lang w:eastAsia="fr-FR"/>
        </w:rPr>
      </w:pPr>
      <w:r w:rsidRPr="00D335A7">
        <w:rPr>
          <w:rFonts w:ascii="Times New Roman" w:eastAsia="Times New Roman" w:hAnsi="Times New Roman"/>
          <w:b/>
          <w:bCs/>
          <w:sz w:val="20"/>
          <w:szCs w:val="20"/>
          <w:lang w:eastAsia="fr-FR"/>
        </w:rPr>
        <w:lastRenderedPageBreak/>
        <w:t>Les</w:t>
      </w:r>
      <w:r w:rsidR="002C6E60" w:rsidRPr="00D335A7">
        <w:rPr>
          <w:rFonts w:ascii="Times New Roman" w:eastAsia="Times New Roman" w:hAnsi="Times New Roman"/>
          <w:b/>
          <w:bCs/>
          <w:sz w:val="20"/>
          <w:szCs w:val="20"/>
          <w:lang w:eastAsia="fr-FR"/>
        </w:rPr>
        <w:t xml:space="preserve"> moyens de bonification des impacts positifs potentiels </w:t>
      </w:r>
    </w:p>
    <w:tbl>
      <w:tblPr>
        <w:tblW w:w="16013" w:type="dxa"/>
        <w:jc w:val="center"/>
        <w:tblBorders>
          <w:top w:val="single" w:sz="4" w:space="0" w:color="7F7F7F"/>
          <w:bottom w:val="single" w:sz="4" w:space="0" w:color="7F7F7F"/>
        </w:tblBorders>
        <w:tblLayout w:type="fixed"/>
        <w:tblLook w:val="04A0" w:firstRow="1" w:lastRow="0" w:firstColumn="1" w:lastColumn="0" w:noHBand="0" w:noVBand="1"/>
      </w:tblPr>
      <w:tblGrid>
        <w:gridCol w:w="1129"/>
        <w:gridCol w:w="2131"/>
        <w:gridCol w:w="4673"/>
        <w:gridCol w:w="3402"/>
        <w:gridCol w:w="1276"/>
        <w:gridCol w:w="1134"/>
        <w:gridCol w:w="1134"/>
        <w:gridCol w:w="1134"/>
      </w:tblGrid>
      <w:tr w:rsidR="005A6322" w:rsidRPr="005A6322" w:rsidTr="005A6322">
        <w:trPr>
          <w:trHeight w:val="70"/>
          <w:jc w:val="center"/>
        </w:trPr>
        <w:tc>
          <w:tcPr>
            <w:tcW w:w="16013" w:type="dxa"/>
            <w:gridSpan w:val="8"/>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rsidR="005A6322" w:rsidRPr="005A6322" w:rsidRDefault="005A6322" w:rsidP="005A6322">
            <w:pPr>
              <w:autoSpaceDE w:val="0"/>
              <w:autoSpaceDN w:val="0"/>
              <w:adjustRightInd w:val="0"/>
              <w:spacing w:after="0" w:line="240" w:lineRule="auto"/>
              <w:jc w:val="center"/>
              <w:rPr>
                <w:rFonts w:ascii="Times New Roman" w:hAnsi="Times New Roman" w:cs="Times New Roman"/>
                <w:b/>
                <w:bCs/>
                <w:sz w:val="16"/>
                <w:szCs w:val="16"/>
              </w:rPr>
            </w:pPr>
            <w:r w:rsidRPr="005A6322">
              <w:rPr>
                <w:rFonts w:ascii="Times New Roman" w:hAnsi="Times New Roman" w:cs="Times New Roman"/>
                <w:b/>
                <w:bCs/>
                <w:sz w:val="16"/>
                <w:szCs w:val="16"/>
              </w:rPr>
              <w:t>Moyens de bonification des impacts positifs potentiels en phase de pré-construction et construction</w:t>
            </w:r>
          </w:p>
        </w:tc>
      </w:tr>
      <w:tr w:rsidR="005A6322" w:rsidRPr="005A6322" w:rsidTr="003A6643">
        <w:trPr>
          <w:trHeight w:val="70"/>
          <w:jc w:val="center"/>
        </w:trPr>
        <w:tc>
          <w:tcPr>
            <w:tcW w:w="1129"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rsidR="005A6322" w:rsidRPr="005A6322" w:rsidRDefault="005A6322" w:rsidP="005A6322">
            <w:pPr>
              <w:autoSpaceDE w:val="0"/>
              <w:autoSpaceDN w:val="0"/>
              <w:adjustRightInd w:val="0"/>
              <w:spacing w:after="0" w:line="240" w:lineRule="auto"/>
              <w:jc w:val="center"/>
              <w:rPr>
                <w:rFonts w:ascii="Times New Roman" w:hAnsi="Times New Roman" w:cs="Times New Roman"/>
                <w:b/>
                <w:bCs/>
                <w:sz w:val="16"/>
                <w:szCs w:val="16"/>
              </w:rPr>
            </w:pPr>
            <w:r w:rsidRPr="005A6322">
              <w:rPr>
                <w:rFonts w:ascii="Times New Roman" w:hAnsi="Times New Roman" w:cs="Times New Roman"/>
                <w:b/>
                <w:bCs/>
                <w:sz w:val="16"/>
                <w:szCs w:val="16"/>
              </w:rPr>
              <w:t>Composante du milieu affecté</w:t>
            </w:r>
          </w:p>
        </w:tc>
        <w:tc>
          <w:tcPr>
            <w:tcW w:w="2131"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rsidR="005A6322" w:rsidRPr="005A6322" w:rsidRDefault="005A6322" w:rsidP="005A6322">
            <w:pPr>
              <w:autoSpaceDE w:val="0"/>
              <w:autoSpaceDN w:val="0"/>
              <w:adjustRightInd w:val="0"/>
              <w:spacing w:after="0" w:line="240" w:lineRule="auto"/>
              <w:jc w:val="center"/>
              <w:rPr>
                <w:rFonts w:ascii="Times New Roman" w:hAnsi="Times New Roman" w:cs="Times New Roman"/>
                <w:b/>
                <w:sz w:val="16"/>
                <w:szCs w:val="16"/>
              </w:rPr>
            </w:pPr>
            <w:r w:rsidRPr="005A6322">
              <w:rPr>
                <w:rFonts w:ascii="Times New Roman" w:hAnsi="Times New Roman" w:cs="Times New Roman"/>
                <w:b/>
                <w:sz w:val="16"/>
                <w:szCs w:val="16"/>
              </w:rPr>
              <w:t>Nature de l’impact potentiel</w:t>
            </w:r>
          </w:p>
        </w:tc>
        <w:tc>
          <w:tcPr>
            <w:tcW w:w="4673"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rsidR="005A6322" w:rsidRPr="005A6322" w:rsidRDefault="005A6322" w:rsidP="005A6322">
            <w:pPr>
              <w:autoSpaceDE w:val="0"/>
              <w:autoSpaceDN w:val="0"/>
              <w:adjustRightInd w:val="0"/>
              <w:spacing w:after="0" w:line="240" w:lineRule="auto"/>
              <w:jc w:val="center"/>
              <w:rPr>
                <w:rFonts w:ascii="Times New Roman" w:hAnsi="Times New Roman" w:cs="Times New Roman"/>
                <w:b/>
                <w:sz w:val="16"/>
                <w:szCs w:val="16"/>
              </w:rPr>
            </w:pPr>
            <w:r w:rsidRPr="005A6322">
              <w:rPr>
                <w:rFonts w:ascii="Times New Roman" w:hAnsi="Times New Roman" w:cs="Times New Roman"/>
                <w:b/>
                <w:sz w:val="16"/>
                <w:szCs w:val="16"/>
              </w:rPr>
              <w:t>Mesures  préconisées</w:t>
            </w:r>
          </w:p>
        </w:tc>
        <w:tc>
          <w:tcPr>
            <w:tcW w:w="3402"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rsidR="005A6322" w:rsidRPr="005A6322" w:rsidRDefault="005A6322" w:rsidP="005A6322">
            <w:pPr>
              <w:autoSpaceDE w:val="0"/>
              <w:autoSpaceDN w:val="0"/>
              <w:adjustRightInd w:val="0"/>
              <w:spacing w:after="0" w:line="240" w:lineRule="auto"/>
              <w:jc w:val="center"/>
              <w:rPr>
                <w:rFonts w:ascii="Times New Roman" w:hAnsi="Times New Roman" w:cs="Times New Roman"/>
                <w:b/>
                <w:sz w:val="16"/>
                <w:szCs w:val="16"/>
              </w:rPr>
            </w:pPr>
            <w:r w:rsidRPr="005A6322">
              <w:rPr>
                <w:rFonts w:ascii="Times New Roman" w:hAnsi="Times New Roman" w:cs="Times New Roman"/>
                <w:b/>
                <w:sz w:val="16"/>
                <w:szCs w:val="16"/>
              </w:rPr>
              <w:t>Indicateur de suivi</w:t>
            </w:r>
          </w:p>
        </w:tc>
        <w:tc>
          <w:tcPr>
            <w:tcW w:w="2410" w:type="dxa"/>
            <w:gridSpan w:val="2"/>
            <w:tcBorders>
              <w:top w:val="single" w:sz="4" w:space="0" w:color="auto"/>
              <w:left w:val="single" w:sz="4" w:space="0" w:color="auto"/>
              <w:bottom w:val="single" w:sz="4" w:space="0" w:color="auto"/>
              <w:right w:val="single" w:sz="4" w:space="0" w:color="auto"/>
            </w:tcBorders>
            <w:shd w:val="clear" w:color="auto" w:fill="F2F2F2"/>
            <w:vAlign w:val="center"/>
            <w:hideMark/>
          </w:tcPr>
          <w:p w:rsidR="005A6322" w:rsidRPr="005A6322" w:rsidRDefault="005A6322" w:rsidP="005A6322">
            <w:pPr>
              <w:autoSpaceDE w:val="0"/>
              <w:autoSpaceDN w:val="0"/>
              <w:adjustRightInd w:val="0"/>
              <w:spacing w:after="0" w:line="240" w:lineRule="auto"/>
              <w:jc w:val="center"/>
              <w:rPr>
                <w:rFonts w:ascii="Times New Roman" w:hAnsi="Times New Roman" w:cs="Times New Roman"/>
                <w:b/>
                <w:sz w:val="16"/>
                <w:szCs w:val="16"/>
              </w:rPr>
            </w:pPr>
            <w:r w:rsidRPr="005A6322">
              <w:rPr>
                <w:rFonts w:ascii="Times New Roman" w:hAnsi="Times New Roman" w:cs="Times New Roman"/>
                <w:b/>
                <w:bCs/>
                <w:sz w:val="16"/>
                <w:szCs w:val="16"/>
              </w:rPr>
              <w:t>Responsable (s)</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rsidR="005A6322" w:rsidRPr="005A6322" w:rsidRDefault="005A6322" w:rsidP="005A6322">
            <w:pPr>
              <w:autoSpaceDE w:val="0"/>
              <w:autoSpaceDN w:val="0"/>
              <w:adjustRightInd w:val="0"/>
              <w:spacing w:after="0" w:line="240" w:lineRule="auto"/>
              <w:jc w:val="center"/>
              <w:rPr>
                <w:rFonts w:ascii="Times New Roman" w:hAnsi="Times New Roman" w:cs="Times New Roman"/>
                <w:b/>
                <w:bCs/>
                <w:sz w:val="16"/>
                <w:szCs w:val="16"/>
              </w:rPr>
            </w:pPr>
            <w:r w:rsidRPr="005A6322">
              <w:rPr>
                <w:rFonts w:ascii="Times New Roman" w:hAnsi="Times New Roman" w:cs="Times New Roman"/>
                <w:b/>
                <w:bCs/>
                <w:sz w:val="16"/>
                <w:szCs w:val="16"/>
              </w:rPr>
              <w:t>Échéances /</w:t>
            </w:r>
          </w:p>
          <w:p w:rsidR="005A6322" w:rsidRPr="005A6322" w:rsidRDefault="005A6322" w:rsidP="005A6322">
            <w:pPr>
              <w:autoSpaceDE w:val="0"/>
              <w:autoSpaceDN w:val="0"/>
              <w:adjustRightInd w:val="0"/>
              <w:spacing w:after="0" w:line="240" w:lineRule="auto"/>
              <w:jc w:val="center"/>
              <w:rPr>
                <w:rFonts w:ascii="Times New Roman" w:hAnsi="Times New Roman" w:cs="Times New Roman"/>
                <w:b/>
                <w:sz w:val="16"/>
                <w:szCs w:val="16"/>
              </w:rPr>
            </w:pPr>
            <w:r w:rsidRPr="005A6322">
              <w:rPr>
                <w:rFonts w:ascii="Times New Roman" w:hAnsi="Times New Roman" w:cs="Times New Roman"/>
                <w:b/>
                <w:bCs/>
                <w:sz w:val="16"/>
                <w:szCs w:val="16"/>
              </w:rPr>
              <w:t>Période</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rsidR="005A6322" w:rsidRPr="005A6322" w:rsidRDefault="005A6322" w:rsidP="005A6322">
            <w:pPr>
              <w:autoSpaceDE w:val="0"/>
              <w:autoSpaceDN w:val="0"/>
              <w:adjustRightInd w:val="0"/>
              <w:spacing w:after="0" w:line="240" w:lineRule="auto"/>
              <w:jc w:val="center"/>
              <w:rPr>
                <w:rFonts w:ascii="Times New Roman" w:hAnsi="Times New Roman" w:cs="Times New Roman"/>
                <w:b/>
                <w:bCs/>
                <w:sz w:val="16"/>
                <w:szCs w:val="16"/>
              </w:rPr>
            </w:pPr>
            <w:r w:rsidRPr="005A6322">
              <w:rPr>
                <w:rFonts w:ascii="Times New Roman" w:hAnsi="Times New Roman" w:cs="Times New Roman"/>
                <w:b/>
                <w:bCs/>
                <w:sz w:val="16"/>
                <w:szCs w:val="16"/>
              </w:rPr>
              <w:t>Coût (FCFA)</w:t>
            </w:r>
          </w:p>
          <w:p w:rsidR="005A6322" w:rsidRPr="005A6322" w:rsidRDefault="005A6322" w:rsidP="005A6322">
            <w:pPr>
              <w:autoSpaceDE w:val="0"/>
              <w:autoSpaceDN w:val="0"/>
              <w:adjustRightInd w:val="0"/>
              <w:spacing w:after="0" w:line="240" w:lineRule="auto"/>
              <w:jc w:val="center"/>
              <w:rPr>
                <w:rFonts w:ascii="Times New Roman" w:hAnsi="Times New Roman" w:cs="Times New Roman"/>
                <w:b/>
                <w:sz w:val="16"/>
                <w:szCs w:val="16"/>
              </w:rPr>
            </w:pPr>
            <w:r w:rsidRPr="005A6322">
              <w:rPr>
                <w:rFonts w:ascii="Times New Roman" w:hAnsi="Times New Roman" w:cs="Times New Roman"/>
                <w:b/>
                <w:bCs/>
                <w:sz w:val="16"/>
                <w:szCs w:val="16"/>
              </w:rPr>
              <w:t>De mise en œuvre</w:t>
            </w:r>
          </w:p>
        </w:tc>
      </w:tr>
      <w:tr w:rsidR="005A6322" w:rsidRPr="005A6322" w:rsidTr="003A6643">
        <w:trPr>
          <w:trHeight w:val="70"/>
          <w:jc w:val="center"/>
        </w:trPr>
        <w:tc>
          <w:tcPr>
            <w:tcW w:w="1129" w:type="dxa"/>
            <w:vMerge/>
            <w:tcBorders>
              <w:top w:val="single" w:sz="4" w:space="0" w:color="auto"/>
              <w:left w:val="single" w:sz="4" w:space="0" w:color="auto"/>
              <w:bottom w:val="single" w:sz="4" w:space="0" w:color="auto"/>
              <w:right w:val="single" w:sz="4" w:space="0" w:color="auto"/>
            </w:tcBorders>
            <w:vAlign w:val="center"/>
            <w:hideMark/>
          </w:tcPr>
          <w:p w:rsidR="005A6322" w:rsidRPr="005A6322" w:rsidRDefault="005A6322" w:rsidP="005A6322">
            <w:pPr>
              <w:autoSpaceDE w:val="0"/>
              <w:autoSpaceDN w:val="0"/>
              <w:adjustRightInd w:val="0"/>
              <w:spacing w:after="0" w:line="240" w:lineRule="auto"/>
              <w:jc w:val="center"/>
              <w:rPr>
                <w:rFonts w:ascii="Times New Roman" w:hAnsi="Times New Roman" w:cs="Times New Roman"/>
                <w:b/>
                <w:bCs/>
                <w:sz w:val="16"/>
                <w:szCs w:val="16"/>
              </w:rPr>
            </w:pPr>
          </w:p>
        </w:tc>
        <w:tc>
          <w:tcPr>
            <w:tcW w:w="2131" w:type="dxa"/>
            <w:vMerge/>
            <w:tcBorders>
              <w:top w:val="single" w:sz="4" w:space="0" w:color="auto"/>
              <w:left w:val="single" w:sz="4" w:space="0" w:color="auto"/>
              <w:bottom w:val="single" w:sz="4" w:space="0" w:color="auto"/>
              <w:right w:val="single" w:sz="4" w:space="0" w:color="auto"/>
            </w:tcBorders>
            <w:vAlign w:val="center"/>
            <w:hideMark/>
          </w:tcPr>
          <w:p w:rsidR="005A6322" w:rsidRPr="005A6322" w:rsidRDefault="005A6322" w:rsidP="005A6322">
            <w:pPr>
              <w:autoSpaceDE w:val="0"/>
              <w:autoSpaceDN w:val="0"/>
              <w:adjustRightInd w:val="0"/>
              <w:spacing w:after="0" w:line="240" w:lineRule="auto"/>
              <w:jc w:val="center"/>
              <w:rPr>
                <w:rFonts w:ascii="Times New Roman" w:hAnsi="Times New Roman" w:cs="Times New Roman"/>
                <w:b/>
                <w:sz w:val="16"/>
                <w:szCs w:val="16"/>
              </w:rPr>
            </w:pPr>
          </w:p>
        </w:tc>
        <w:tc>
          <w:tcPr>
            <w:tcW w:w="4673" w:type="dxa"/>
            <w:vMerge/>
            <w:tcBorders>
              <w:top w:val="single" w:sz="4" w:space="0" w:color="auto"/>
              <w:left w:val="single" w:sz="4" w:space="0" w:color="auto"/>
              <w:bottom w:val="single" w:sz="4" w:space="0" w:color="auto"/>
              <w:right w:val="single" w:sz="4" w:space="0" w:color="auto"/>
            </w:tcBorders>
            <w:vAlign w:val="center"/>
            <w:hideMark/>
          </w:tcPr>
          <w:p w:rsidR="005A6322" w:rsidRPr="005A6322" w:rsidRDefault="005A6322" w:rsidP="005A6322">
            <w:pPr>
              <w:autoSpaceDE w:val="0"/>
              <w:autoSpaceDN w:val="0"/>
              <w:adjustRightInd w:val="0"/>
              <w:spacing w:after="0" w:line="240" w:lineRule="auto"/>
              <w:jc w:val="center"/>
              <w:rPr>
                <w:rFonts w:ascii="Times New Roman" w:hAnsi="Times New Roman" w:cs="Times New Roman"/>
                <w:b/>
                <w:sz w:val="16"/>
                <w:szCs w:val="16"/>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5A6322" w:rsidRPr="005A6322" w:rsidRDefault="005A6322" w:rsidP="005A6322">
            <w:pPr>
              <w:autoSpaceDE w:val="0"/>
              <w:autoSpaceDN w:val="0"/>
              <w:adjustRightInd w:val="0"/>
              <w:spacing w:after="0" w:line="240" w:lineRule="auto"/>
              <w:jc w:val="center"/>
              <w:rPr>
                <w:rFonts w:ascii="Times New Roman" w:hAnsi="Times New Roman" w:cs="Times New Roman"/>
                <w:b/>
                <w:sz w:val="16"/>
                <w:szCs w:val="16"/>
              </w:rPr>
            </w:pPr>
          </w:p>
        </w:tc>
        <w:tc>
          <w:tcPr>
            <w:tcW w:w="1276"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rsidR="005A6322" w:rsidRPr="005A6322" w:rsidRDefault="005A6322" w:rsidP="005A6322">
            <w:pPr>
              <w:autoSpaceDE w:val="0"/>
              <w:autoSpaceDN w:val="0"/>
              <w:adjustRightInd w:val="0"/>
              <w:spacing w:after="0" w:line="240" w:lineRule="auto"/>
              <w:jc w:val="center"/>
              <w:rPr>
                <w:rFonts w:ascii="Times New Roman" w:hAnsi="Times New Roman" w:cs="Times New Roman"/>
                <w:b/>
                <w:bCs/>
                <w:sz w:val="16"/>
                <w:szCs w:val="16"/>
              </w:rPr>
            </w:pPr>
            <w:r w:rsidRPr="005A6322">
              <w:rPr>
                <w:rFonts w:ascii="Times New Roman" w:hAnsi="Times New Roman" w:cs="Times New Roman"/>
                <w:b/>
                <w:bCs/>
                <w:sz w:val="16"/>
                <w:szCs w:val="16"/>
              </w:rPr>
              <w:t>Mise en œuvre</w:t>
            </w:r>
          </w:p>
        </w:tc>
        <w:tc>
          <w:tcPr>
            <w:tcW w:w="1134"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rsidR="005A6322" w:rsidRPr="005A6322" w:rsidRDefault="005A6322" w:rsidP="005A6322">
            <w:pPr>
              <w:autoSpaceDE w:val="0"/>
              <w:autoSpaceDN w:val="0"/>
              <w:adjustRightInd w:val="0"/>
              <w:spacing w:after="0" w:line="240" w:lineRule="auto"/>
              <w:jc w:val="center"/>
              <w:rPr>
                <w:rFonts w:ascii="Times New Roman" w:hAnsi="Times New Roman" w:cs="Times New Roman"/>
                <w:b/>
                <w:bCs/>
                <w:sz w:val="16"/>
                <w:szCs w:val="16"/>
              </w:rPr>
            </w:pPr>
            <w:r w:rsidRPr="005A6322">
              <w:rPr>
                <w:rFonts w:ascii="Times New Roman" w:hAnsi="Times New Roman" w:cs="Times New Roman"/>
                <w:b/>
                <w:bCs/>
                <w:sz w:val="16"/>
                <w:szCs w:val="16"/>
              </w:rPr>
              <w:t>Suivi / Contrôle</w:t>
            </w: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5A6322" w:rsidRPr="005A6322" w:rsidRDefault="005A6322" w:rsidP="005A6322">
            <w:pPr>
              <w:autoSpaceDE w:val="0"/>
              <w:autoSpaceDN w:val="0"/>
              <w:adjustRightInd w:val="0"/>
              <w:spacing w:after="0" w:line="240" w:lineRule="auto"/>
              <w:jc w:val="center"/>
              <w:rPr>
                <w:rFonts w:ascii="Times New Roman" w:hAnsi="Times New Roman" w:cs="Times New Roman"/>
                <w:b/>
                <w:sz w:val="16"/>
                <w:szCs w:val="16"/>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5A6322" w:rsidRPr="005A6322" w:rsidRDefault="005A6322" w:rsidP="005A6322">
            <w:pPr>
              <w:autoSpaceDE w:val="0"/>
              <w:autoSpaceDN w:val="0"/>
              <w:adjustRightInd w:val="0"/>
              <w:spacing w:after="0" w:line="240" w:lineRule="auto"/>
              <w:jc w:val="center"/>
              <w:rPr>
                <w:rFonts w:ascii="Times New Roman" w:hAnsi="Times New Roman" w:cs="Times New Roman"/>
                <w:b/>
                <w:sz w:val="16"/>
                <w:szCs w:val="16"/>
              </w:rPr>
            </w:pPr>
          </w:p>
        </w:tc>
      </w:tr>
      <w:tr w:rsidR="005A6322" w:rsidRPr="005A6322" w:rsidTr="003A6643">
        <w:trPr>
          <w:trHeight w:val="552"/>
          <w:jc w:val="center"/>
        </w:trPr>
        <w:tc>
          <w:tcPr>
            <w:tcW w:w="1129" w:type="dxa"/>
            <w:vMerge w:val="restart"/>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rsidR="005A6322" w:rsidRPr="005A6322" w:rsidRDefault="005A6322" w:rsidP="005A6322">
            <w:pPr>
              <w:autoSpaceDE w:val="0"/>
              <w:autoSpaceDN w:val="0"/>
              <w:adjustRightInd w:val="0"/>
              <w:spacing w:after="0" w:line="240" w:lineRule="auto"/>
              <w:jc w:val="center"/>
              <w:rPr>
                <w:rFonts w:ascii="Times New Roman" w:hAnsi="Times New Roman" w:cs="Times New Roman"/>
                <w:b/>
                <w:bCs/>
                <w:sz w:val="16"/>
                <w:szCs w:val="16"/>
              </w:rPr>
            </w:pPr>
            <w:r w:rsidRPr="005A6322">
              <w:rPr>
                <w:rFonts w:ascii="Times New Roman" w:hAnsi="Times New Roman" w:cs="Times New Roman"/>
                <w:bCs/>
                <w:sz w:val="16"/>
                <w:szCs w:val="16"/>
              </w:rPr>
              <w:t>Socio-Economique</w:t>
            </w:r>
          </w:p>
          <w:p w:rsidR="005A6322" w:rsidRPr="005A6322" w:rsidRDefault="005A6322" w:rsidP="005A6322">
            <w:pPr>
              <w:autoSpaceDE w:val="0"/>
              <w:autoSpaceDN w:val="0"/>
              <w:adjustRightInd w:val="0"/>
              <w:spacing w:after="0" w:line="240" w:lineRule="auto"/>
              <w:jc w:val="center"/>
              <w:rPr>
                <w:rFonts w:ascii="Times New Roman" w:hAnsi="Times New Roman" w:cs="Times New Roman"/>
                <w:b/>
                <w:bCs/>
                <w:sz w:val="16"/>
                <w:szCs w:val="16"/>
              </w:rPr>
            </w:pPr>
          </w:p>
        </w:tc>
        <w:tc>
          <w:tcPr>
            <w:tcW w:w="2131" w:type="dxa"/>
            <w:tcBorders>
              <w:top w:val="single" w:sz="4" w:space="0" w:color="auto"/>
              <w:left w:val="single" w:sz="4" w:space="0" w:color="auto"/>
              <w:bottom w:val="single" w:sz="4" w:space="0" w:color="auto"/>
              <w:right w:val="single" w:sz="4" w:space="0" w:color="auto"/>
            </w:tcBorders>
            <w:vAlign w:val="center"/>
          </w:tcPr>
          <w:p w:rsidR="005A6322" w:rsidRPr="005A6322" w:rsidRDefault="005A6322" w:rsidP="005A6322">
            <w:pPr>
              <w:autoSpaceDE w:val="0"/>
              <w:autoSpaceDN w:val="0"/>
              <w:adjustRightInd w:val="0"/>
              <w:spacing w:after="0" w:line="240" w:lineRule="auto"/>
              <w:jc w:val="center"/>
              <w:rPr>
                <w:rFonts w:ascii="Times New Roman" w:hAnsi="Times New Roman" w:cs="Times New Roman"/>
                <w:sz w:val="16"/>
                <w:szCs w:val="16"/>
              </w:rPr>
            </w:pPr>
            <w:r w:rsidRPr="005A6322">
              <w:rPr>
                <w:rFonts w:ascii="Times New Roman" w:hAnsi="Times New Roman" w:cs="Times New Roman"/>
                <w:sz w:val="16"/>
                <w:szCs w:val="16"/>
              </w:rPr>
              <w:t>Opportunités d’emplois (création d’emploi pour les jeunes et utilisation de la main d'œuvre locale)</w:t>
            </w:r>
          </w:p>
        </w:tc>
        <w:tc>
          <w:tcPr>
            <w:tcW w:w="4673" w:type="dxa"/>
            <w:tcBorders>
              <w:top w:val="single" w:sz="4" w:space="0" w:color="auto"/>
              <w:left w:val="single" w:sz="4" w:space="0" w:color="auto"/>
              <w:bottom w:val="single" w:sz="4" w:space="0" w:color="auto"/>
              <w:right w:val="single" w:sz="4" w:space="0" w:color="auto"/>
            </w:tcBorders>
            <w:vAlign w:val="center"/>
          </w:tcPr>
          <w:p w:rsidR="005A6322" w:rsidRPr="005A6322" w:rsidRDefault="005A6322" w:rsidP="005A6322">
            <w:pPr>
              <w:autoSpaceDE w:val="0"/>
              <w:autoSpaceDN w:val="0"/>
              <w:adjustRightInd w:val="0"/>
              <w:spacing w:after="0" w:line="240" w:lineRule="auto"/>
              <w:jc w:val="both"/>
              <w:rPr>
                <w:rFonts w:ascii="Times New Roman" w:hAnsi="Times New Roman" w:cs="Times New Roman"/>
                <w:sz w:val="16"/>
                <w:szCs w:val="16"/>
              </w:rPr>
            </w:pPr>
            <w:r w:rsidRPr="005A6322">
              <w:rPr>
                <w:rFonts w:ascii="Times New Roman" w:hAnsi="Times New Roman" w:cs="Times New Roman"/>
                <w:sz w:val="16"/>
                <w:szCs w:val="16"/>
              </w:rPr>
              <w:t>- Faire jouer la transparence dans les procédures de recrutement de la main d’œuvre locale ;</w:t>
            </w:r>
          </w:p>
          <w:p w:rsidR="005A6322" w:rsidRPr="005A6322" w:rsidRDefault="005A6322" w:rsidP="005A6322">
            <w:pPr>
              <w:autoSpaceDE w:val="0"/>
              <w:autoSpaceDN w:val="0"/>
              <w:adjustRightInd w:val="0"/>
              <w:spacing w:after="0" w:line="240" w:lineRule="auto"/>
              <w:jc w:val="both"/>
              <w:rPr>
                <w:rFonts w:ascii="Times New Roman" w:hAnsi="Times New Roman" w:cs="Times New Roman"/>
                <w:sz w:val="16"/>
                <w:szCs w:val="16"/>
              </w:rPr>
            </w:pPr>
            <w:r w:rsidRPr="005A6322">
              <w:rPr>
                <w:rFonts w:ascii="Times New Roman" w:hAnsi="Times New Roman" w:cs="Times New Roman"/>
                <w:sz w:val="16"/>
                <w:szCs w:val="16"/>
              </w:rPr>
              <w:t>- Favoriser, pour les emplois non qualifiés, le recrutement direct sans intermédiaire des jeunes des quartiers ou villages ;</w:t>
            </w:r>
          </w:p>
          <w:p w:rsidR="005A6322" w:rsidRPr="005A6322" w:rsidRDefault="005A6322" w:rsidP="005A6322">
            <w:pPr>
              <w:autoSpaceDE w:val="0"/>
              <w:autoSpaceDN w:val="0"/>
              <w:adjustRightInd w:val="0"/>
              <w:spacing w:after="0" w:line="240" w:lineRule="auto"/>
              <w:jc w:val="both"/>
              <w:rPr>
                <w:rFonts w:ascii="Times New Roman" w:hAnsi="Times New Roman" w:cs="Times New Roman"/>
                <w:sz w:val="16"/>
                <w:szCs w:val="16"/>
              </w:rPr>
            </w:pPr>
            <w:r w:rsidRPr="005A6322">
              <w:rPr>
                <w:rFonts w:ascii="Times New Roman" w:hAnsi="Times New Roman" w:cs="Times New Roman"/>
                <w:sz w:val="16"/>
                <w:szCs w:val="16"/>
              </w:rPr>
              <w:t>- Effectuer les paiements des salaires à temps,</w:t>
            </w:r>
          </w:p>
          <w:p w:rsidR="005A6322" w:rsidRPr="005A6322" w:rsidRDefault="005A6322" w:rsidP="005A6322">
            <w:pPr>
              <w:autoSpaceDE w:val="0"/>
              <w:autoSpaceDN w:val="0"/>
              <w:adjustRightInd w:val="0"/>
              <w:spacing w:after="0" w:line="240" w:lineRule="auto"/>
              <w:jc w:val="both"/>
              <w:rPr>
                <w:rFonts w:ascii="Times New Roman" w:hAnsi="Times New Roman" w:cs="Times New Roman"/>
                <w:sz w:val="16"/>
                <w:szCs w:val="16"/>
              </w:rPr>
            </w:pPr>
            <w:r w:rsidRPr="005A6322">
              <w:rPr>
                <w:rFonts w:ascii="Times New Roman" w:hAnsi="Times New Roman" w:cs="Times New Roman"/>
                <w:sz w:val="16"/>
                <w:szCs w:val="16"/>
              </w:rPr>
              <w:t>- Respecter le salaire minimum en vigueur ;</w:t>
            </w:r>
          </w:p>
          <w:p w:rsidR="005A6322" w:rsidRPr="005A6322" w:rsidRDefault="005A6322" w:rsidP="005A6322">
            <w:pPr>
              <w:autoSpaceDE w:val="0"/>
              <w:autoSpaceDN w:val="0"/>
              <w:adjustRightInd w:val="0"/>
              <w:spacing w:after="0" w:line="240" w:lineRule="auto"/>
              <w:jc w:val="both"/>
              <w:rPr>
                <w:rFonts w:ascii="Times New Roman" w:hAnsi="Times New Roman" w:cs="Times New Roman"/>
                <w:sz w:val="16"/>
                <w:szCs w:val="16"/>
              </w:rPr>
            </w:pPr>
            <w:r w:rsidRPr="005A6322">
              <w:rPr>
                <w:rFonts w:ascii="Times New Roman" w:hAnsi="Times New Roman" w:cs="Times New Roman"/>
                <w:sz w:val="16"/>
                <w:szCs w:val="16"/>
              </w:rPr>
              <w:t>-A compétence égale privilégier le recrutement des femmes.</w:t>
            </w:r>
          </w:p>
        </w:tc>
        <w:tc>
          <w:tcPr>
            <w:tcW w:w="3402" w:type="dxa"/>
            <w:tcBorders>
              <w:top w:val="single" w:sz="4" w:space="0" w:color="auto"/>
              <w:left w:val="single" w:sz="4" w:space="0" w:color="auto"/>
              <w:bottom w:val="single" w:sz="4" w:space="0" w:color="auto"/>
              <w:right w:val="single" w:sz="4" w:space="0" w:color="auto"/>
            </w:tcBorders>
            <w:vAlign w:val="center"/>
          </w:tcPr>
          <w:p w:rsidR="005A6322" w:rsidRPr="005A6322" w:rsidRDefault="005A6322" w:rsidP="005A6322">
            <w:pPr>
              <w:autoSpaceDE w:val="0"/>
              <w:autoSpaceDN w:val="0"/>
              <w:adjustRightInd w:val="0"/>
              <w:spacing w:after="0" w:line="240" w:lineRule="auto"/>
              <w:rPr>
                <w:rFonts w:ascii="Times New Roman" w:hAnsi="Times New Roman" w:cs="Times New Roman"/>
                <w:sz w:val="16"/>
                <w:szCs w:val="16"/>
              </w:rPr>
            </w:pPr>
            <w:r w:rsidRPr="005A6322">
              <w:rPr>
                <w:rFonts w:ascii="Times New Roman" w:hAnsi="Times New Roman" w:cs="Times New Roman"/>
                <w:sz w:val="16"/>
                <w:szCs w:val="16"/>
              </w:rPr>
              <w:t>-Nombre de jeunes habitants embauchés</w:t>
            </w:r>
          </w:p>
          <w:p w:rsidR="005A6322" w:rsidRPr="005A6322" w:rsidRDefault="005A6322" w:rsidP="005A6322">
            <w:pPr>
              <w:autoSpaceDE w:val="0"/>
              <w:autoSpaceDN w:val="0"/>
              <w:adjustRightInd w:val="0"/>
              <w:spacing w:after="0" w:line="240" w:lineRule="auto"/>
              <w:rPr>
                <w:rFonts w:ascii="Times New Roman" w:hAnsi="Times New Roman" w:cs="Times New Roman"/>
                <w:sz w:val="16"/>
                <w:szCs w:val="16"/>
              </w:rPr>
            </w:pPr>
            <w:r w:rsidRPr="005A6322">
              <w:rPr>
                <w:rFonts w:ascii="Times New Roman" w:hAnsi="Times New Roman" w:cs="Times New Roman"/>
                <w:sz w:val="16"/>
                <w:szCs w:val="16"/>
              </w:rPr>
              <w:t>- Présence des bulletins de salaire</w:t>
            </w:r>
          </w:p>
          <w:p w:rsidR="005A6322" w:rsidRPr="005A6322" w:rsidRDefault="005A6322" w:rsidP="005A6322">
            <w:pPr>
              <w:autoSpaceDE w:val="0"/>
              <w:autoSpaceDN w:val="0"/>
              <w:adjustRightInd w:val="0"/>
              <w:spacing w:after="0" w:line="240" w:lineRule="auto"/>
              <w:rPr>
                <w:rFonts w:ascii="Times New Roman" w:hAnsi="Times New Roman" w:cs="Times New Roman"/>
                <w:sz w:val="16"/>
                <w:szCs w:val="16"/>
              </w:rPr>
            </w:pPr>
            <w:r w:rsidRPr="005A6322">
              <w:rPr>
                <w:rFonts w:ascii="Times New Roman" w:hAnsi="Times New Roman" w:cs="Times New Roman"/>
                <w:sz w:val="16"/>
                <w:szCs w:val="16"/>
              </w:rPr>
              <w:t>-Nombre de femme embauchés</w:t>
            </w:r>
          </w:p>
        </w:tc>
        <w:tc>
          <w:tcPr>
            <w:tcW w:w="1276"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5A6322" w:rsidRPr="005A6322" w:rsidRDefault="005A6322" w:rsidP="005A6322">
            <w:pPr>
              <w:autoSpaceDE w:val="0"/>
              <w:autoSpaceDN w:val="0"/>
              <w:adjustRightInd w:val="0"/>
              <w:spacing w:after="0" w:line="240" w:lineRule="auto"/>
              <w:jc w:val="center"/>
              <w:rPr>
                <w:rFonts w:ascii="Times New Roman" w:hAnsi="Times New Roman" w:cs="Times New Roman"/>
                <w:b/>
                <w:sz w:val="16"/>
                <w:szCs w:val="16"/>
              </w:rPr>
            </w:pPr>
            <w:r w:rsidRPr="005A6322">
              <w:rPr>
                <w:rFonts w:ascii="Times New Roman" w:hAnsi="Times New Roman" w:cs="Times New Roman"/>
                <w:b/>
                <w:sz w:val="16"/>
                <w:szCs w:val="16"/>
              </w:rPr>
              <w:t xml:space="preserve">Entreprise </w:t>
            </w:r>
          </w:p>
          <w:p w:rsidR="005A6322" w:rsidRPr="005A6322" w:rsidRDefault="005A6322" w:rsidP="005A6322">
            <w:pPr>
              <w:autoSpaceDE w:val="0"/>
              <w:autoSpaceDN w:val="0"/>
              <w:adjustRightInd w:val="0"/>
              <w:spacing w:after="0" w:line="240" w:lineRule="auto"/>
              <w:jc w:val="center"/>
              <w:rPr>
                <w:rFonts w:ascii="Times New Roman" w:hAnsi="Times New Roman" w:cs="Times New Roman"/>
                <w:b/>
                <w:sz w:val="16"/>
                <w:szCs w:val="16"/>
              </w:rPr>
            </w:pPr>
          </w:p>
          <w:p w:rsidR="005A6322" w:rsidRPr="005A6322" w:rsidRDefault="005A6322" w:rsidP="005A6322">
            <w:pPr>
              <w:autoSpaceDE w:val="0"/>
              <w:autoSpaceDN w:val="0"/>
              <w:adjustRightInd w:val="0"/>
              <w:spacing w:after="0" w:line="240" w:lineRule="auto"/>
              <w:jc w:val="center"/>
              <w:rPr>
                <w:rFonts w:ascii="Times New Roman" w:hAnsi="Times New Roman" w:cs="Times New Roman"/>
                <w:b/>
                <w:sz w:val="16"/>
                <w:szCs w:val="16"/>
              </w:rPr>
            </w:pPr>
            <w:r w:rsidRPr="005A6322">
              <w:rPr>
                <w:rFonts w:ascii="Times New Roman" w:hAnsi="Times New Roman" w:cs="Times New Roman"/>
                <w:b/>
                <w:sz w:val="16"/>
                <w:szCs w:val="16"/>
              </w:rPr>
              <w:t xml:space="preserve">Mairie de </w:t>
            </w:r>
          </w:p>
          <w:p w:rsidR="005A6322" w:rsidRPr="005A6322" w:rsidRDefault="005A6322" w:rsidP="005A6322">
            <w:pPr>
              <w:autoSpaceDE w:val="0"/>
              <w:autoSpaceDN w:val="0"/>
              <w:adjustRightInd w:val="0"/>
              <w:spacing w:after="0" w:line="240" w:lineRule="auto"/>
              <w:jc w:val="center"/>
              <w:rPr>
                <w:rFonts w:ascii="Times New Roman" w:hAnsi="Times New Roman" w:cs="Times New Roman"/>
                <w:b/>
                <w:sz w:val="16"/>
                <w:szCs w:val="16"/>
              </w:rPr>
            </w:pPr>
            <w:r w:rsidRPr="005A6322">
              <w:rPr>
                <w:rFonts w:ascii="Times New Roman" w:hAnsi="Times New Roman" w:cs="Times New Roman"/>
                <w:b/>
                <w:sz w:val="16"/>
                <w:szCs w:val="16"/>
              </w:rPr>
              <w:t>Prabis,</w:t>
            </w:r>
          </w:p>
          <w:p w:rsidR="005A6322" w:rsidRPr="005A6322" w:rsidRDefault="005A6322" w:rsidP="005A6322">
            <w:pPr>
              <w:autoSpaceDE w:val="0"/>
              <w:autoSpaceDN w:val="0"/>
              <w:adjustRightInd w:val="0"/>
              <w:spacing w:after="0" w:line="240" w:lineRule="auto"/>
              <w:jc w:val="center"/>
              <w:rPr>
                <w:rFonts w:ascii="Times New Roman" w:hAnsi="Times New Roman" w:cs="Times New Roman"/>
                <w:b/>
                <w:sz w:val="16"/>
                <w:szCs w:val="16"/>
              </w:rPr>
            </w:pPr>
            <w:r w:rsidRPr="005A6322">
              <w:rPr>
                <w:rFonts w:ascii="Times New Roman" w:hAnsi="Times New Roman" w:cs="Times New Roman"/>
                <w:b/>
                <w:sz w:val="16"/>
                <w:szCs w:val="16"/>
              </w:rPr>
              <w:t xml:space="preserve">de Safim et de </w:t>
            </w:r>
          </w:p>
          <w:p w:rsidR="005A6322" w:rsidRPr="005A6322" w:rsidRDefault="005A6322" w:rsidP="005A6322">
            <w:pPr>
              <w:autoSpaceDE w:val="0"/>
              <w:autoSpaceDN w:val="0"/>
              <w:adjustRightInd w:val="0"/>
              <w:spacing w:after="0" w:line="240" w:lineRule="auto"/>
              <w:jc w:val="center"/>
              <w:rPr>
                <w:rFonts w:ascii="Times New Roman" w:hAnsi="Times New Roman" w:cs="Times New Roman"/>
                <w:b/>
                <w:sz w:val="16"/>
                <w:szCs w:val="16"/>
              </w:rPr>
            </w:pPr>
            <w:r w:rsidRPr="005A6322">
              <w:rPr>
                <w:rFonts w:ascii="Times New Roman" w:hAnsi="Times New Roman" w:cs="Times New Roman"/>
                <w:b/>
                <w:sz w:val="16"/>
                <w:szCs w:val="16"/>
              </w:rPr>
              <w:t xml:space="preserve"> Bissau</w:t>
            </w:r>
          </w:p>
        </w:tc>
        <w:tc>
          <w:tcPr>
            <w:tcW w:w="1134"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5A6322" w:rsidRPr="005A6322" w:rsidRDefault="005A6322" w:rsidP="005A6322">
            <w:pPr>
              <w:autoSpaceDE w:val="0"/>
              <w:autoSpaceDN w:val="0"/>
              <w:adjustRightInd w:val="0"/>
              <w:spacing w:after="0" w:line="240" w:lineRule="auto"/>
              <w:jc w:val="center"/>
              <w:rPr>
                <w:rFonts w:ascii="Times New Roman" w:hAnsi="Times New Roman" w:cs="Times New Roman"/>
                <w:b/>
                <w:sz w:val="16"/>
                <w:szCs w:val="16"/>
              </w:rPr>
            </w:pPr>
            <w:r w:rsidRPr="005A6322">
              <w:rPr>
                <w:rFonts w:ascii="Times New Roman" w:hAnsi="Times New Roman" w:cs="Times New Roman"/>
                <w:b/>
                <w:sz w:val="16"/>
                <w:szCs w:val="16"/>
              </w:rPr>
              <w:t>PUASEE-FA</w:t>
            </w:r>
          </w:p>
          <w:p w:rsidR="005A6322" w:rsidRPr="005A6322" w:rsidRDefault="005A6322" w:rsidP="005A6322">
            <w:pPr>
              <w:autoSpaceDE w:val="0"/>
              <w:autoSpaceDN w:val="0"/>
              <w:adjustRightInd w:val="0"/>
              <w:spacing w:after="0" w:line="240" w:lineRule="auto"/>
              <w:jc w:val="center"/>
              <w:rPr>
                <w:rFonts w:ascii="Times New Roman" w:hAnsi="Times New Roman" w:cs="Times New Roman"/>
                <w:b/>
                <w:sz w:val="16"/>
                <w:szCs w:val="16"/>
              </w:rPr>
            </w:pPr>
            <w:r w:rsidRPr="005A6322">
              <w:rPr>
                <w:rFonts w:ascii="Times New Roman" w:hAnsi="Times New Roman" w:cs="Times New Roman"/>
                <w:b/>
                <w:sz w:val="16"/>
                <w:szCs w:val="16"/>
              </w:rPr>
              <w:t>Mairie</w:t>
            </w:r>
          </w:p>
          <w:p w:rsidR="005A6322" w:rsidRPr="005A6322" w:rsidRDefault="005A6322" w:rsidP="005A6322">
            <w:pPr>
              <w:autoSpaceDE w:val="0"/>
              <w:autoSpaceDN w:val="0"/>
              <w:adjustRightInd w:val="0"/>
              <w:spacing w:after="0" w:line="240" w:lineRule="auto"/>
              <w:jc w:val="center"/>
              <w:rPr>
                <w:rFonts w:ascii="Times New Roman" w:hAnsi="Times New Roman" w:cs="Times New Roman"/>
                <w:b/>
                <w:sz w:val="16"/>
                <w:szCs w:val="16"/>
              </w:rPr>
            </w:pPr>
            <w:r w:rsidRPr="005A6322">
              <w:rPr>
                <w:rFonts w:ascii="Times New Roman" w:hAnsi="Times New Roman" w:cs="Times New Roman"/>
                <w:b/>
                <w:sz w:val="16"/>
                <w:szCs w:val="16"/>
              </w:rPr>
              <w:t>MDC</w:t>
            </w:r>
          </w:p>
        </w:tc>
        <w:tc>
          <w:tcPr>
            <w:tcW w:w="1134" w:type="dxa"/>
            <w:tcBorders>
              <w:top w:val="single" w:sz="4" w:space="0" w:color="auto"/>
              <w:left w:val="single" w:sz="4" w:space="0" w:color="auto"/>
              <w:bottom w:val="single" w:sz="4" w:space="0" w:color="auto"/>
              <w:right w:val="single" w:sz="4" w:space="0" w:color="auto"/>
            </w:tcBorders>
            <w:vAlign w:val="center"/>
          </w:tcPr>
          <w:p w:rsidR="005A6322" w:rsidRPr="005A6322" w:rsidRDefault="005A6322" w:rsidP="005A6322">
            <w:pPr>
              <w:autoSpaceDE w:val="0"/>
              <w:autoSpaceDN w:val="0"/>
              <w:adjustRightInd w:val="0"/>
              <w:spacing w:after="0" w:line="240" w:lineRule="auto"/>
              <w:jc w:val="center"/>
              <w:rPr>
                <w:rFonts w:ascii="Times New Roman" w:hAnsi="Times New Roman" w:cs="Times New Roman"/>
                <w:sz w:val="16"/>
                <w:szCs w:val="16"/>
              </w:rPr>
            </w:pPr>
            <w:r w:rsidRPr="005A6322">
              <w:rPr>
                <w:rFonts w:ascii="Times New Roman" w:hAnsi="Times New Roman" w:cs="Times New Roman"/>
                <w:sz w:val="16"/>
                <w:szCs w:val="16"/>
              </w:rPr>
              <w:t>Durant les travaux / Mensuelle</w:t>
            </w:r>
          </w:p>
        </w:tc>
        <w:tc>
          <w:tcPr>
            <w:tcW w:w="1134"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rsidR="005A6322" w:rsidRPr="005A6322" w:rsidRDefault="005A6322" w:rsidP="005A6322">
            <w:pPr>
              <w:autoSpaceDE w:val="0"/>
              <w:autoSpaceDN w:val="0"/>
              <w:adjustRightInd w:val="0"/>
              <w:spacing w:after="0" w:line="240" w:lineRule="auto"/>
              <w:jc w:val="center"/>
              <w:rPr>
                <w:rFonts w:ascii="Times New Roman" w:hAnsi="Times New Roman" w:cs="Times New Roman"/>
                <w:b/>
                <w:sz w:val="16"/>
                <w:szCs w:val="16"/>
              </w:rPr>
            </w:pPr>
            <w:r w:rsidRPr="005A6322">
              <w:rPr>
                <w:rFonts w:ascii="Times New Roman" w:hAnsi="Times New Roman" w:cs="Times New Roman"/>
                <w:b/>
                <w:sz w:val="16"/>
                <w:szCs w:val="16"/>
              </w:rPr>
              <w:t>Coût associé au projet</w:t>
            </w:r>
          </w:p>
        </w:tc>
      </w:tr>
      <w:tr w:rsidR="005A6322" w:rsidRPr="005A6322" w:rsidTr="003A6643">
        <w:trPr>
          <w:trHeight w:val="243"/>
          <w:jc w:val="center"/>
        </w:trPr>
        <w:tc>
          <w:tcPr>
            <w:tcW w:w="1129" w:type="dxa"/>
            <w:vMerge/>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rsidR="005A6322" w:rsidRPr="005A6322" w:rsidRDefault="005A6322" w:rsidP="005A6322">
            <w:pPr>
              <w:autoSpaceDE w:val="0"/>
              <w:autoSpaceDN w:val="0"/>
              <w:adjustRightInd w:val="0"/>
              <w:spacing w:after="0" w:line="240" w:lineRule="auto"/>
              <w:jc w:val="center"/>
              <w:rPr>
                <w:rFonts w:ascii="Times New Roman" w:hAnsi="Times New Roman" w:cs="Times New Roman"/>
                <w:b/>
                <w:bCs/>
                <w:sz w:val="16"/>
                <w:szCs w:val="16"/>
              </w:rPr>
            </w:pPr>
          </w:p>
        </w:tc>
        <w:tc>
          <w:tcPr>
            <w:tcW w:w="2131" w:type="dxa"/>
            <w:tcBorders>
              <w:top w:val="single" w:sz="4" w:space="0" w:color="auto"/>
              <w:left w:val="single" w:sz="4" w:space="0" w:color="auto"/>
              <w:bottom w:val="single" w:sz="4" w:space="0" w:color="auto"/>
              <w:right w:val="single" w:sz="4" w:space="0" w:color="auto"/>
            </w:tcBorders>
            <w:vAlign w:val="center"/>
          </w:tcPr>
          <w:p w:rsidR="005A6322" w:rsidRPr="005A6322" w:rsidRDefault="005A6322" w:rsidP="005A6322">
            <w:pPr>
              <w:autoSpaceDE w:val="0"/>
              <w:autoSpaceDN w:val="0"/>
              <w:adjustRightInd w:val="0"/>
              <w:spacing w:after="0" w:line="240" w:lineRule="auto"/>
              <w:jc w:val="center"/>
              <w:rPr>
                <w:rFonts w:ascii="Times New Roman" w:hAnsi="Times New Roman" w:cs="Times New Roman"/>
                <w:sz w:val="16"/>
                <w:szCs w:val="16"/>
              </w:rPr>
            </w:pPr>
            <w:r w:rsidRPr="005A6322">
              <w:rPr>
                <w:rFonts w:ascii="Times New Roman" w:hAnsi="Times New Roman" w:cs="Times New Roman"/>
                <w:sz w:val="16"/>
                <w:szCs w:val="16"/>
              </w:rPr>
              <w:t>Opportunités d’affaires pour des opérateurs économiques privés</w:t>
            </w:r>
          </w:p>
        </w:tc>
        <w:tc>
          <w:tcPr>
            <w:tcW w:w="4673" w:type="dxa"/>
            <w:tcBorders>
              <w:top w:val="single" w:sz="4" w:space="0" w:color="auto"/>
              <w:left w:val="single" w:sz="4" w:space="0" w:color="auto"/>
              <w:bottom w:val="single" w:sz="4" w:space="0" w:color="auto"/>
              <w:right w:val="single" w:sz="4" w:space="0" w:color="auto"/>
            </w:tcBorders>
            <w:vAlign w:val="center"/>
          </w:tcPr>
          <w:p w:rsidR="005A6322" w:rsidRPr="005A6322" w:rsidRDefault="005A6322" w:rsidP="005A6322">
            <w:pPr>
              <w:autoSpaceDE w:val="0"/>
              <w:autoSpaceDN w:val="0"/>
              <w:adjustRightInd w:val="0"/>
              <w:spacing w:after="0" w:line="240" w:lineRule="auto"/>
              <w:jc w:val="both"/>
              <w:rPr>
                <w:rFonts w:ascii="Times New Roman" w:hAnsi="Times New Roman" w:cs="Times New Roman"/>
                <w:sz w:val="16"/>
                <w:szCs w:val="16"/>
              </w:rPr>
            </w:pPr>
            <w:r w:rsidRPr="005A6322">
              <w:rPr>
                <w:rFonts w:ascii="Times New Roman" w:hAnsi="Times New Roman" w:cs="Times New Roman"/>
                <w:sz w:val="16"/>
                <w:szCs w:val="16"/>
              </w:rPr>
              <w:t>- Mettre l’accent sur la concurrence lors de l’appel d’offre en prenant en compte la qualité des matériaux ;</w:t>
            </w:r>
          </w:p>
          <w:p w:rsidR="005A6322" w:rsidRPr="005A6322" w:rsidRDefault="005A6322" w:rsidP="005A6322">
            <w:pPr>
              <w:autoSpaceDE w:val="0"/>
              <w:autoSpaceDN w:val="0"/>
              <w:adjustRightInd w:val="0"/>
              <w:spacing w:after="0" w:line="240" w:lineRule="auto"/>
              <w:jc w:val="both"/>
              <w:rPr>
                <w:rFonts w:ascii="Times New Roman" w:hAnsi="Times New Roman" w:cs="Times New Roman"/>
                <w:sz w:val="16"/>
                <w:szCs w:val="16"/>
              </w:rPr>
            </w:pPr>
            <w:r w:rsidRPr="005A6322">
              <w:rPr>
                <w:rFonts w:ascii="Times New Roman" w:hAnsi="Times New Roman" w:cs="Times New Roman"/>
                <w:sz w:val="16"/>
                <w:szCs w:val="16"/>
              </w:rPr>
              <w:t>- Passer des contrats avec des sociétés légalement constituées ;</w:t>
            </w:r>
          </w:p>
          <w:p w:rsidR="005A6322" w:rsidRPr="005A6322" w:rsidRDefault="005A6322" w:rsidP="005A6322">
            <w:pPr>
              <w:autoSpaceDE w:val="0"/>
              <w:autoSpaceDN w:val="0"/>
              <w:adjustRightInd w:val="0"/>
              <w:spacing w:after="0" w:line="240" w:lineRule="auto"/>
              <w:jc w:val="both"/>
              <w:rPr>
                <w:rFonts w:ascii="Times New Roman" w:hAnsi="Times New Roman" w:cs="Times New Roman"/>
                <w:sz w:val="16"/>
                <w:szCs w:val="16"/>
              </w:rPr>
            </w:pPr>
            <w:r w:rsidRPr="005A6322">
              <w:rPr>
                <w:rFonts w:ascii="Times New Roman" w:hAnsi="Times New Roman" w:cs="Times New Roman"/>
                <w:sz w:val="16"/>
                <w:szCs w:val="16"/>
              </w:rPr>
              <w:t>- Privilégier les entreprises locales ;</w:t>
            </w:r>
          </w:p>
        </w:tc>
        <w:tc>
          <w:tcPr>
            <w:tcW w:w="3402" w:type="dxa"/>
            <w:tcBorders>
              <w:top w:val="single" w:sz="4" w:space="0" w:color="auto"/>
              <w:left w:val="single" w:sz="4" w:space="0" w:color="auto"/>
              <w:bottom w:val="single" w:sz="4" w:space="0" w:color="auto"/>
              <w:right w:val="single" w:sz="4" w:space="0" w:color="auto"/>
            </w:tcBorders>
            <w:vAlign w:val="center"/>
          </w:tcPr>
          <w:p w:rsidR="005A6322" w:rsidRPr="005A6322" w:rsidRDefault="005A6322" w:rsidP="005A6322">
            <w:pPr>
              <w:autoSpaceDE w:val="0"/>
              <w:autoSpaceDN w:val="0"/>
              <w:adjustRightInd w:val="0"/>
              <w:spacing w:after="0" w:line="240" w:lineRule="auto"/>
              <w:rPr>
                <w:rFonts w:ascii="Times New Roman" w:hAnsi="Times New Roman" w:cs="Times New Roman"/>
                <w:sz w:val="16"/>
                <w:szCs w:val="16"/>
              </w:rPr>
            </w:pPr>
            <w:r w:rsidRPr="005A6322">
              <w:rPr>
                <w:rFonts w:ascii="Times New Roman" w:hAnsi="Times New Roman" w:cs="Times New Roman"/>
                <w:sz w:val="16"/>
                <w:szCs w:val="16"/>
              </w:rPr>
              <w:t>-Nombre d’entreprises locales recrutées pour les travaux ;</w:t>
            </w:r>
          </w:p>
          <w:p w:rsidR="005A6322" w:rsidRPr="005A6322" w:rsidRDefault="005A6322" w:rsidP="005A6322">
            <w:pPr>
              <w:autoSpaceDE w:val="0"/>
              <w:autoSpaceDN w:val="0"/>
              <w:adjustRightInd w:val="0"/>
              <w:spacing w:after="0" w:line="240" w:lineRule="auto"/>
              <w:rPr>
                <w:rFonts w:ascii="Times New Roman" w:hAnsi="Times New Roman" w:cs="Times New Roman"/>
                <w:sz w:val="16"/>
                <w:szCs w:val="16"/>
              </w:rPr>
            </w:pPr>
            <w:r w:rsidRPr="005A6322">
              <w:rPr>
                <w:rFonts w:ascii="Times New Roman" w:hAnsi="Times New Roman" w:cs="Times New Roman"/>
                <w:sz w:val="16"/>
                <w:szCs w:val="16"/>
              </w:rPr>
              <w:t>-Présence du contrat ;</w:t>
            </w:r>
          </w:p>
          <w:p w:rsidR="005A6322" w:rsidRPr="005A6322" w:rsidRDefault="005A6322" w:rsidP="005A6322">
            <w:pPr>
              <w:autoSpaceDE w:val="0"/>
              <w:autoSpaceDN w:val="0"/>
              <w:adjustRightInd w:val="0"/>
              <w:spacing w:after="0" w:line="240" w:lineRule="auto"/>
              <w:rPr>
                <w:rFonts w:ascii="Times New Roman" w:hAnsi="Times New Roman" w:cs="Times New Roman"/>
                <w:sz w:val="16"/>
                <w:szCs w:val="16"/>
              </w:rPr>
            </w:pPr>
            <w:r w:rsidRPr="005A6322">
              <w:rPr>
                <w:rFonts w:ascii="Times New Roman" w:hAnsi="Times New Roman" w:cs="Times New Roman"/>
                <w:sz w:val="16"/>
                <w:szCs w:val="16"/>
              </w:rPr>
              <w:t>-Présence des factures d’achat des matériaux ;</w:t>
            </w:r>
          </w:p>
        </w:tc>
        <w:tc>
          <w:tcPr>
            <w:tcW w:w="1276"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5A6322" w:rsidRPr="005A6322" w:rsidRDefault="005A6322" w:rsidP="005A6322">
            <w:pPr>
              <w:autoSpaceDE w:val="0"/>
              <w:autoSpaceDN w:val="0"/>
              <w:adjustRightInd w:val="0"/>
              <w:spacing w:after="0" w:line="240" w:lineRule="auto"/>
              <w:jc w:val="center"/>
              <w:rPr>
                <w:rFonts w:ascii="Times New Roman" w:hAnsi="Times New Roman" w:cs="Times New Roman"/>
                <w:b/>
                <w:sz w:val="16"/>
                <w:szCs w:val="16"/>
              </w:rPr>
            </w:pPr>
            <w:r w:rsidRPr="005A6322">
              <w:rPr>
                <w:rFonts w:ascii="Times New Roman" w:hAnsi="Times New Roman" w:cs="Times New Roman"/>
                <w:b/>
                <w:sz w:val="16"/>
                <w:szCs w:val="16"/>
              </w:rPr>
              <w:t>PUASEE-FA</w:t>
            </w:r>
          </w:p>
          <w:p w:rsidR="005A6322" w:rsidRPr="005A6322" w:rsidRDefault="005A6322" w:rsidP="005A6322">
            <w:pPr>
              <w:autoSpaceDE w:val="0"/>
              <w:autoSpaceDN w:val="0"/>
              <w:adjustRightInd w:val="0"/>
              <w:spacing w:after="0" w:line="240" w:lineRule="auto"/>
              <w:jc w:val="center"/>
              <w:rPr>
                <w:rFonts w:ascii="Times New Roman" w:hAnsi="Times New Roman" w:cs="Times New Roman"/>
                <w:b/>
                <w:sz w:val="16"/>
                <w:szCs w:val="16"/>
              </w:rPr>
            </w:pPr>
            <w:r w:rsidRPr="005A6322">
              <w:rPr>
                <w:rFonts w:ascii="Times New Roman" w:hAnsi="Times New Roman" w:cs="Times New Roman"/>
                <w:b/>
                <w:sz w:val="16"/>
                <w:szCs w:val="16"/>
              </w:rPr>
              <w:t>Entreprise</w:t>
            </w:r>
          </w:p>
        </w:tc>
        <w:tc>
          <w:tcPr>
            <w:tcW w:w="1134"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5A6322" w:rsidRPr="005A6322" w:rsidRDefault="005A6322" w:rsidP="005A6322">
            <w:pPr>
              <w:autoSpaceDE w:val="0"/>
              <w:autoSpaceDN w:val="0"/>
              <w:adjustRightInd w:val="0"/>
              <w:spacing w:after="0" w:line="240" w:lineRule="auto"/>
              <w:jc w:val="center"/>
              <w:rPr>
                <w:rFonts w:ascii="Times New Roman" w:hAnsi="Times New Roman" w:cs="Times New Roman"/>
                <w:b/>
                <w:sz w:val="16"/>
                <w:szCs w:val="16"/>
              </w:rPr>
            </w:pPr>
            <w:r w:rsidRPr="005A6322">
              <w:rPr>
                <w:rFonts w:ascii="Times New Roman" w:hAnsi="Times New Roman" w:cs="Times New Roman"/>
                <w:b/>
                <w:sz w:val="16"/>
                <w:szCs w:val="16"/>
              </w:rPr>
              <w:t>MDC</w:t>
            </w:r>
          </w:p>
          <w:p w:rsidR="005A6322" w:rsidRPr="005A6322" w:rsidRDefault="005A6322" w:rsidP="005A6322">
            <w:pPr>
              <w:autoSpaceDE w:val="0"/>
              <w:autoSpaceDN w:val="0"/>
              <w:adjustRightInd w:val="0"/>
              <w:spacing w:after="0" w:line="240" w:lineRule="auto"/>
              <w:jc w:val="center"/>
              <w:rPr>
                <w:rFonts w:ascii="Times New Roman" w:hAnsi="Times New Roman" w:cs="Times New Roman"/>
                <w:b/>
                <w:sz w:val="16"/>
                <w:szCs w:val="16"/>
              </w:rPr>
            </w:pPr>
          </w:p>
          <w:p w:rsidR="005A6322" w:rsidRPr="005A6322" w:rsidRDefault="005A6322" w:rsidP="005A6322">
            <w:pPr>
              <w:autoSpaceDE w:val="0"/>
              <w:autoSpaceDN w:val="0"/>
              <w:adjustRightInd w:val="0"/>
              <w:spacing w:after="0" w:line="240" w:lineRule="auto"/>
              <w:jc w:val="center"/>
              <w:rPr>
                <w:rFonts w:ascii="Times New Roman" w:hAnsi="Times New Roman" w:cs="Times New Roman"/>
                <w:b/>
                <w:sz w:val="16"/>
                <w:szCs w:val="16"/>
              </w:rPr>
            </w:pPr>
            <w:r w:rsidRPr="005A6322">
              <w:rPr>
                <w:rFonts w:ascii="Times New Roman" w:hAnsi="Times New Roman" w:cs="Times New Roman"/>
                <w:b/>
                <w:sz w:val="16"/>
                <w:szCs w:val="16"/>
              </w:rPr>
              <w:t>PUASEE-FA</w:t>
            </w:r>
          </w:p>
        </w:tc>
        <w:tc>
          <w:tcPr>
            <w:tcW w:w="1134" w:type="dxa"/>
            <w:tcBorders>
              <w:top w:val="single" w:sz="4" w:space="0" w:color="auto"/>
              <w:left w:val="single" w:sz="4" w:space="0" w:color="auto"/>
              <w:bottom w:val="single" w:sz="4" w:space="0" w:color="auto"/>
              <w:right w:val="single" w:sz="4" w:space="0" w:color="auto"/>
            </w:tcBorders>
            <w:vAlign w:val="center"/>
          </w:tcPr>
          <w:p w:rsidR="005A6322" w:rsidRPr="005A6322" w:rsidRDefault="005A6322" w:rsidP="005A6322">
            <w:pPr>
              <w:autoSpaceDE w:val="0"/>
              <w:autoSpaceDN w:val="0"/>
              <w:adjustRightInd w:val="0"/>
              <w:spacing w:after="0" w:line="240" w:lineRule="auto"/>
              <w:jc w:val="center"/>
              <w:rPr>
                <w:rFonts w:ascii="Times New Roman" w:hAnsi="Times New Roman" w:cs="Times New Roman"/>
                <w:sz w:val="16"/>
                <w:szCs w:val="16"/>
              </w:rPr>
            </w:pPr>
            <w:r w:rsidRPr="005A6322">
              <w:rPr>
                <w:rFonts w:ascii="Times New Roman" w:hAnsi="Times New Roman" w:cs="Times New Roman"/>
                <w:sz w:val="16"/>
                <w:szCs w:val="16"/>
              </w:rPr>
              <w:t>Avant les travaux / A chaque appel d’offre</w:t>
            </w:r>
          </w:p>
        </w:tc>
        <w:tc>
          <w:tcPr>
            <w:tcW w:w="1134"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rsidR="005A6322" w:rsidRPr="005A6322" w:rsidRDefault="005A6322" w:rsidP="005A6322">
            <w:pPr>
              <w:autoSpaceDE w:val="0"/>
              <w:autoSpaceDN w:val="0"/>
              <w:adjustRightInd w:val="0"/>
              <w:spacing w:after="0" w:line="240" w:lineRule="auto"/>
              <w:jc w:val="center"/>
              <w:rPr>
                <w:rFonts w:ascii="Times New Roman" w:hAnsi="Times New Roman" w:cs="Times New Roman"/>
                <w:b/>
                <w:sz w:val="16"/>
                <w:szCs w:val="16"/>
              </w:rPr>
            </w:pPr>
            <w:r w:rsidRPr="005A6322">
              <w:rPr>
                <w:rFonts w:ascii="Times New Roman" w:hAnsi="Times New Roman" w:cs="Times New Roman"/>
                <w:b/>
                <w:sz w:val="16"/>
                <w:szCs w:val="16"/>
              </w:rPr>
              <w:t>Coût associé au projet</w:t>
            </w:r>
          </w:p>
        </w:tc>
      </w:tr>
      <w:tr w:rsidR="005A6322" w:rsidRPr="005A6322" w:rsidTr="003A6643">
        <w:trPr>
          <w:trHeight w:val="699"/>
          <w:jc w:val="center"/>
        </w:trPr>
        <w:tc>
          <w:tcPr>
            <w:tcW w:w="1129" w:type="dxa"/>
            <w:vMerge/>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rsidR="005A6322" w:rsidRPr="005A6322" w:rsidRDefault="005A6322" w:rsidP="005A6322">
            <w:pPr>
              <w:autoSpaceDE w:val="0"/>
              <w:autoSpaceDN w:val="0"/>
              <w:adjustRightInd w:val="0"/>
              <w:spacing w:after="0" w:line="240" w:lineRule="auto"/>
              <w:jc w:val="center"/>
              <w:rPr>
                <w:rFonts w:ascii="Times New Roman" w:hAnsi="Times New Roman" w:cs="Times New Roman"/>
                <w:b/>
                <w:bCs/>
                <w:sz w:val="16"/>
                <w:szCs w:val="16"/>
              </w:rPr>
            </w:pPr>
          </w:p>
        </w:tc>
        <w:tc>
          <w:tcPr>
            <w:tcW w:w="2131" w:type="dxa"/>
            <w:tcBorders>
              <w:top w:val="single" w:sz="4" w:space="0" w:color="auto"/>
              <w:left w:val="single" w:sz="4" w:space="0" w:color="auto"/>
              <w:bottom w:val="single" w:sz="4" w:space="0" w:color="auto"/>
              <w:right w:val="single" w:sz="4" w:space="0" w:color="auto"/>
            </w:tcBorders>
            <w:vAlign w:val="center"/>
          </w:tcPr>
          <w:p w:rsidR="005A6322" w:rsidRPr="005A6322" w:rsidRDefault="005A6322" w:rsidP="005A6322">
            <w:pPr>
              <w:autoSpaceDE w:val="0"/>
              <w:autoSpaceDN w:val="0"/>
              <w:adjustRightInd w:val="0"/>
              <w:spacing w:after="0" w:line="240" w:lineRule="auto"/>
              <w:jc w:val="center"/>
              <w:rPr>
                <w:rFonts w:ascii="Times New Roman" w:hAnsi="Times New Roman" w:cs="Times New Roman"/>
                <w:sz w:val="16"/>
                <w:szCs w:val="16"/>
              </w:rPr>
            </w:pPr>
            <w:r w:rsidRPr="005A6322">
              <w:rPr>
                <w:rFonts w:ascii="Times New Roman" w:hAnsi="Times New Roman" w:cs="Times New Roman"/>
                <w:sz w:val="16"/>
                <w:szCs w:val="16"/>
              </w:rPr>
              <w:t xml:space="preserve">Augmentation des revenus liés aux emplois directs du projet </w:t>
            </w:r>
          </w:p>
        </w:tc>
        <w:tc>
          <w:tcPr>
            <w:tcW w:w="4673" w:type="dxa"/>
            <w:tcBorders>
              <w:top w:val="single" w:sz="4" w:space="0" w:color="auto"/>
              <w:left w:val="single" w:sz="4" w:space="0" w:color="auto"/>
              <w:bottom w:val="single" w:sz="4" w:space="0" w:color="auto"/>
              <w:right w:val="single" w:sz="4" w:space="0" w:color="auto"/>
            </w:tcBorders>
            <w:vAlign w:val="center"/>
          </w:tcPr>
          <w:p w:rsidR="005A6322" w:rsidRPr="005A6322" w:rsidRDefault="005A6322" w:rsidP="005A6322">
            <w:pPr>
              <w:autoSpaceDE w:val="0"/>
              <w:autoSpaceDN w:val="0"/>
              <w:adjustRightInd w:val="0"/>
              <w:spacing w:after="0" w:line="240" w:lineRule="auto"/>
              <w:jc w:val="both"/>
              <w:rPr>
                <w:rFonts w:ascii="Times New Roman" w:hAnsi="Times New Roman" w:cs="Times New Roman"/>
                <w:sz w:val="16"/>
                <w:szCs w:val="16"/>
              </w:rPr>
            </w:pPr>
            <w:r w:rsidRPr="005A6322">
              <w:rPr>
                <w:rFonts w:ascii="Times New Roman" w:hAnsi="Times New Roman" w:cs="Times New Roman"/>
                <w:sz w:val="16"/>
                <w:szCs w:val="16"/>
              </w:rPr>
              <w:t>-Mettre en place des zones pour la restauration respectant l’hygiène et la sécurité ;</w:t>
            </w:r>
          </w:p>
          <w:p w:rsidR="005A6322" w:rsidRPr="005A6322" w:rsidRDefault="005A6322" w:rsidP="005A6322">
            <w:pPr>
              <w:autoSpaceDE w:val="0"/>
              <w:autoSpaceDN w:val="0"/>
              <w:adjustRightInd w:val="0"/>
              <w:spacing w:after="0" w:line="240" w:lineRule="auto"/>
              <w:jc w:val="both"/>
              <w:rPr>
                <w:rFonts w:ascii="Times New Roman" w:hAnsi="Times New Roman" w:cs="Times New Roman"/>
                <w:sz w:val="16"/>
                <w:szCs w:val="16"/>
              </w:rPr>
            </w:pPr>
            <w:r w:rsidRPr="005A6322">
              <w:rPr>
                <w:rFonts w:ascii="Times New Roman" w:hAnsi="Times New Roman" w:cs="Times New Roman"/>
                <w:sz w:val="16"/>
                <w:szCs w:val="16"/>
              </w:rPr>
              <w:t>-Respecter les cahiers de charge établis ;</w:t>
            </w:r>
          </w:p>
          <w:p w:rsidR="005A6322" w:rsidRPr="005A6322" w:rsidRDefault="005A6322" w:rsidP="005A6322">
            <w:pPr>
              <w:autoSpaceDE w:val="0"/>
              <w:autoSpaceDN w:val="0"/>
              <w:adjustRightInd w:val="0"/>
              <w:spacing w:after="0" w:line="240" w:lineRule="auto"/>
              <w:jc w:val="both"/>
              <w:rPr>
                <w:rFonts w:ascii="Times New Roman" w:hAnsi="Times New Roman" w:cs="Times New Roman"/>
                <w:sz w:val="16"/>
                <w:szCs w:val="16"/>
              </w:rPr>
            </w:pPr>
            <w:r w:rsidRPr="005A6322">
              <w:rPr>
                <w:rFonts w:ascii="Times New Roman" w:hAnsi="Times New Roman" w:cs="Times New Roman"/>
                <w:sz w:val="16"/>
                <w:szCs w:val="16"/>
              </w:rPr>
              <w:t>-S’approvisionner en matériaux divers (ciments, fer, béton, etc.) auprès  des opérateurs privés ;</w:t>
            </w:r>
          </w:p>
        </w:tc>
        <w:tc>
          <w:tcPr>
            <w:tcW w:w="3402" w:type="dxa"/>
            <w:tcBorders>
              <w:top w:val="single" w:sz="4" w:space="0" w:color="auto"/>
              <w:left w:val="single" w:sz="4" w:space="0" w:color="auto"/>
              <w:bottom w:val="single" w:sz="4" w:space="0" w:color="auto"/>
              <w:right w:val="single" w:sz="4" w:space="0" w:color="auto"/>
            </w:tcBorders>
            <w:vAlign w:val="center"/>
          </w:tcPr>
          <w:p w:rsidR="005A6322" w:rsidRPr="005A6322" w:rsidRDefault="005A6322" w:rsidP="005A6322">
            <w:pPr>
              <w:autoSpaceDE w:val="0"/>
              <w:autoSpaceDN w:val="0"/>
              <w:adjustRightInd w:val="0"/>
              <w:spacing w:after="0" w:line="240" w:lineRule="auto"/>
              <w:rPr>
                <w:rFonts w:ascii="Times New Roman" w:hAnsi="Times New Roman" w:cs="Times New Roman"/>
                <w:sz w:val="16"/>
                <w:szCs w:val="16"/>
              </w:rPr>
            </w:pPr>
            <w:r w:rsidRPr="005A6322">
              <w:rPr>
                <w:rFonts w:ascii="Times New Roman" w:hAnsi="Times New Roman" w:cs="Times New Roman"/>
                <w:sz w:val="16"/>
                <w:szCs w:val="16"/>
              </w:rPr>
              <w:t>-Présence de restaurant</w:t>
            </w:r>
          </w:p>
          <w:p w:rsidR="005A6322" w:rsidRPr="005A6322" w:rsidRDefault="005A6322" w:rsidP="005A6322">
            <w:pPr>
              <w:autoSpaceDE w:val="0"/>
              <w:autoSpaceDN w:val="0"/>
              <w:adjustRightInd w:val="0"/>
              <w:spacing w:after="0" w:line="240" w:lineRule="auto"/>
              <w:rPr>
                <w:rFonts w:ascii="Times New Roman" w:hAnsi="Times New Roman" w:cs="Times New Roman"/>
                <w:sz w:val="16"/>
                <w:szCs w:val="16"/>
              </w:rPr>
            </w:pPr>
            <w:r w:rsidRPr="005A6322">
              <w:rPr>
                <w:rFonts w:ascii="Times New Roman" w:hAnsi="Times New Roman" w:cs="Times New Roman"/>
                <w:sz w:val="16"/>
                <w:szCs w:val="16"/>
              </w:rPr>
              <w:t>-Augmentation des opérateurs privés (vente de matériel de construction)</w:t>
            </w:r>
          </w:p>
          <w:p w:rsidR="005A6322" w:rsidRPr="005A6322" w:rsidRDefault="005A6322" w:rsidP="005A6322">
            <w:pPr>
              <w:autoSpaceDE w:val="0"/>
              <w:autoSpaceDN w:val="0"/>
              <w:adjustRightInd w:val="0"/>
              <w:spacing w:after="0" w:line="240" w:lineRule="auto"/>
              <w:rPr>
                <w:rFonts w:ascii="Times New Roman" w:hAnsi="Times New Roman" w:cs="Times New Roman"/>
                <w:sz w:val="16"/>
                <w:szCs w:val="16"/>
              </w:rPr>
            </w:pPr>
            <w:r w:rsidRPr="005A6322">
              <w:rPr>
                <w:rFonts w:ascii="Times New Roman" w:hAnsi="Times New Roman" w:cs="Times New Roman"/>
                <w:sz w:val="16"/>
                <w:szCs w:val="16"/>
              </w:rPr>
              <w:t xml:space="preserve">-Augmentation des revenus </w:t>
            </w:r>
          </w:p>
          <w:p w:rsidR="005A6322" w:rsidRPr="005A6322" w:rsidRDefault="005A6322" w:rsidP="005A6322">
            <w:pPr>
              <w:autoSpaceDE w:val="0"/>
              <w:autoSpaceDN w:val="0"/>
              <w:adjustRightInd w:val="0"/>
              <w:spacing w:after="0" w:line="240" w:lineRule="auto"/>
              <w:rPr>
                <w:rFonts w:ascii="Times New Roman" w:hAnsi="Times New Roman" w:cs="Times New Roman"/>
                <w:sz w:val="16"/>
                <w:szCs w:val="16"/>
              </w:rPr>
            </w:pPr>
          </w:p>
        </w:tc>
        <w:tc>
          <w:tcPr>
            <w:tcW w:w="1276"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5A6322" w:rsidRPr="005A6322" w:rsidRDefault="005A6322" w:rsidP="005A6322">
            <w:pPr>
              <w:autoSpaceDE w:val="0"/>
              <w:autoSpaceDN w:val="0"/>
              <w:adjustRightInd w:val="0"/>
              <w:spacing w:after="0" w:line="240" w:lineRule="auto"/>
              <w:jc w:val="center"/>
              <w:rPr>
                <w:rFonts w:ascii="Times New Roman" w:hAnsi="Times New Roman" w:cs="Times New Roman"/>
                <w:b/>
                <w:sz w:val="16"/>
                <w:szCs w:val="16"/>
              </w:rPr>
            </w:pPr>
            <w:r w:rsidRPr="005A6322">
              <w:rPr>
                <w:rFonts w:ascii="Times New Roman" w:hAnsi="Times New Roman" w:cs="Times New Roman"/>
                <w:b/>
                <w:sz w:val="16"/>
                <w:szCs w:val="16"/>
              </w:rPr>
              <w:t xml:space="preserve">Entreprise </w:t>
            </w:r>
          </w:p>
        </w:tc>
        <w:tc>
          <w:tcPr>
            <w:tcW w:w="1134"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5A6322" w:rsidRPr="005A6322" w:rsidRDefault="005A6322" w:rsidP="005A6322">
            <w:pPr>
              <w:autoSpaceDE w:val="0"/>
              <w:autoSpaceDN w:val="0"/>
              <w:adjustRightInd w:val="0"/>
              <w:spacing w:after="0" w:line="240" w:lineRule="auto"/>
              <w:jc w:val="center"/>
              <w:rPr>
                <w:rFonts w:ascii="Times New Roman" w:hAnsi="Times New Roman" w:cs="Times New Roman"/>
                <w:b/>
                <w:sz w:val="16"/>
                <w:szCs w:val="16"/>
              </w:rPr>
            </w:pPr>
            <w:r w:rsidRPr="005A6322">
              <w:rPr>
                <w:rFonts w:ascii="Times New Roman" w:hAnsi="Times New Roman" w:cs="Times New Roman"/>
                <w:b/>
                <w:sz w:val="16"/>
                <w:szCs w:val="16"/>
              </w:rPr>
              <w:t>MDC</w:t>
            </w:r>
          </w:p>
          <w:p w:rsidR="005A6322" w:rsidRPr="005A6322" w:rsidRDefault="005A6322" w:rsidP="005A6322">
            <w:pPr>
              <w:autoSpaceDE w:val="0"/>
              <w:autoSpaceDN w:val="0"/>
              <w:adjustRightInd w:val="0"/>
              <w:spacing w:after="0" w:line="240" w:lineRule="auto"/>
              <w:jc w:val="center"/>
              <w:rPr>
                <w:rFonts w:ascii="Times New Roman" w:hAnsi="Times New Roman" w:cs="Times New Roman"/>
                <w:b/>
                <w:sz w:val="16"/>
                <w:szCs w:val="16"/>
              </w:rPr>
            </w:pPr>
            <w:r w:rsidRPr="005A6322">
              <w:rPr>
                <w:rFonts w:ascii="Times New Roman" w:hAnsi="Times New Roman" w:cs="Times New Roman"/>
                <w:b/>
                <w:sz w:val="16"/>
                <w:szCs w:val="16"/>
              </w:rPr>
              <w:t>PUASEE-FA</w:t>
            </w:r>
          </w:p>
        </w:tc>
        <w:tc>
          <w:tcPr>
            <w:tcW w:w="1134" w:type="dxa"/>
            <w:tcBorders>
              <w:top w:val="single" w:sz="4" w:space="0" w:color="auto"/>
              <w:left w:val="single" w:sz="4" w:space="0" w:color="auto"/>
              <w:bottom w:val="single" w:sz="4" w:space="0" w:color="auto"/>
              <w:right w:val="single" w:sz="4" w:space="0" w:color="auto"/>
            </w:tcBorders>
            <w:vAlign w:val="center"/>
          </w:tcPr>
          <w:p w:rsidR="005A6322" w:rsidRPr="005A6322" w:rsidRDefault="005A6322" w:rsidP="005A6322">
            <w:pPr>
              <w:autoSpaceDE w:val="0"/>
              <w:autoSpaceDN w:val="0"/>
              <w:adjustRightInd w:val="0"/>
              <w:spacing w:after="0" w:line="240" w:lineRule="auto"/>
              <w:jc w:val="center"/>
              <w:rPr>
                <w:rFonts w:ascii="Times New Roman" w:hAnsi="Times New Roman" w:cs="Times New Roman"/>
                <w:sz w:val="16"/>
                <w:szCs w:val="16"/>
              </w:rPr>
            </w:pPr>
            <w:r w:rsidRPr="005A6322">
              <w:rPr>
                <w:rFonts w:ascii="Times New Roman" w:hAnsi="Times New Roman" w:cs="Times New Roman"/>
                <w:sz w:val="16"/>
                <w:szCs w:val="16"/>
              </w:rPr>
              <w:t>Durant les travaux / Mensuelle</w:t>
            </w:r>
          </w:p>
        </w:tc>
        <w:tc>
          <w:tcPr>
            <w:tcW w:w="1134"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rsidR="005A6322" w:rsidRPr="005A6322" w:rsidRDefault="005A6322" w:rsidP="005A6322">
            <w:pPr>
              <w:autoSpaceDE w:val="0"/>
              <w:autoSpaceDN w:val="0"/>
              <w:adjustRightInd w:val="0"/>
              <w:spacing w:after="0" w:line="240" w:lineRule="auto"/>
              <w:jc w:val="center"/>
              <w:rPr>
                <w:rFonts w:ascii="Times New Roman" w:hAnsi="Times New Roman" w:cs="Times New Roman"/>
                <w:b/>
                <w:sz w:val="16"/>
                <w:szCs w:val="16"/>
              </w:rPr>
            </w:pPr>
            <w:r w:rsidRPr="005A6322">
              <w:rPr>
                <w:rFonts w:ascii="Times New Roman" w:hAnsi="Times New Roman" w:cs="Times New Roman"/>
                <w:b/>
                <w:sz w:val="16"/>
                <w:szCs w:val="16"/>
              </w:rPr>
              <w:t>Coût associé au projet</w:t>
            </w:r>
          </w:p>
        </w:tc>
      </w:tr>
      <w:tr w:rsidR="005A6322" w:rsidRPr="005A6322" w:rsidTr="003A6643">
        <w:trPr>
          <w:trHeight w:val="227"/>
          <w:jc w:val="center"/>
        </w:trPr>
        <w:tc>
          <w:tcPr>
            <w:tcW w:w="1129" w:type="dxa"/>
            <w:vMerge/>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rsidR="005A6322" w:rsidRPr="005A6322" w:rsidRDefault="005A6322" w:rsidP="005A6322">
            <w:pPr>
              <w:autoSpaceDE w:val="0"/>
              <w:autoSpaceDN w:val="0"/>
              <w:adjustRightInd w:val="0"/>
              <w:spacing w:after="0" w:line="240" w:lineRule="auto"/>
              <w:jc w:val="center"/>
              <w:rPr>
                <w:rFonts w:ascii="Times New Roman" w:hAnsi="Times New Roman" w:cs="Times New Roman"/>
                <w:b/>
                <w:bCs/>
                <w:sz w:val="16"/>
                <w:szCs w:val="16"/>
              </w:rPr>
            </w:pPr>
          </w:p>
        </w:tc>
        <w:tc>
          <w:tcPr>
            <w:tcW w:w="2131" w:type="dxa"/>
            <w:tcBorders>
              <w:top w:val="single" w:sz="4" w:space="0" w:color="auto"/>
              <w:left w:val="single" w:sz="4" w:space="0" w:color="auto"/>
              <w:bottom w:val="single" w:sz="4" w:space="0" w:color="auto"/>
              <w:right w:val="single" w:sz="4" w:space="0" w:color="auto"/>
            </w:tcBorders>
            <w:vAlign w:val="center"/>
          </w:tcPr>
          <w:p w:rsidR="005A6322" w:rsidRPr="005A6322" w:rsidRDefault="005A6322" w:rsidP="005A6322">
            <w:pPr>
              <w:autoSpaceDE w:val="0"/>
              <w:autoSpaceDN w:val="0"/>
              <w:adjustRightInd w:val="0"/>
              <w:spacing w:after="0" w:line="240" w:lineRule="auto"/>
              <w:jc w:val="center"/>
              <w:rPr>
                <w:rFonts w:ascii="Times New Roman" w:hAnsi="Times New Roman" w:cs="Times New Roman"/>
                <w:sz w:val="16"/>
                <w:szCs w:val="16"/>
              </w:rPr>
            </w:pPr>
            <w:r w:rsidRPr="005A6322">
              <w:rPr>
                <w:rFonts w:ascii="Times New Roman" w:hAnsi="Times New Roman" w:cs="Times New Roman"/>
                <w:sz w:val="16"/>
                <w:szCs w:val="16"/>
              </w:rPr>
              <w:t>Création de relation sociale</w:t>
            </w:r>
          </w:p>
        </w:tc>
        <w:tc>
          <w:tcPr>
            <w:tcW w:w="4673" w:type="dxa"/>
            <w:tcBorders>
              <w:top w:val="single" w:sz="4" w:space="0" w:color="auto"/>
              <w:left w:val="single" w:sz="4" w:space="0" w:color="auto"/>
              <w:bottom w:val="single" w:sz="4" w:space="0" w:color="auto"/>
              <w:right w:val="single" w:sz="4" w:space="0" w:color="auto"/>
            </w:tcBorders>
            <w:vAlign w:val="center"/>
          </w:tcPr>
          <w:p w:rsidR="005A6322" w:rsidRPr="005A6322" w:rsidRDefault="005A6322" w:rsidP="005A6322">
            <w:pPr>
              <w:autoSpaceDE w:val="0"/>
              <w:autoSpaceDN w:val="0"/>
              <w:adjustRightInd w:val="0"/>
              <w:spacing w:after="0" w:line="240" w:lineRule="auto"/>
              <w:jc w:val="both"/>
              <w:rPr>
                <w:rFonts w:ascii="Times New Roman" w:hAnsi="Times New Roman" w:cs="Times New Roman"/>
                <w:sz w:val="16"/>
                <w:szCs w:val="16"/>
              </w:rPr>
            </w:pPr>
            <w:r w:rsidRPr="005A6322">
              <w:rPr>
                <w:rFonts w:ascii="Times New Roman" w:hAnsi="Times New Roman" w:cs="Times New Roman"/>
                <w:sz w:val="16"/>
                <w:szCs w:val="16"/>
              </w:rPr>
              <w:t xml:space="preserve"> - Respecter les cadres de vie des populations ;</w:t>
            </w:r>
          </w:p>
          <w:p w:rsidR="005A6322" w:rsidRPr="005A6322" w:rsidRDefault="005A6322" w:rsidP="005A6322">
            <w:pPr>
              <w:autoSpaceDE w:val="0"/>
              <w:autoSpaceDN w:val="0"/>
              <w:adjustRightInd w:val="0"/>
              <w:spacing w:after="0" w:line="240" w:lineRule="auto"/>
              <w:jc w:val="both"/>
              <w:rPr>
                <w:rFonts w:ascii="Times New Roman" w:hAnsi="Times New Roman" w:cs="Times New Roman"/>
                <w:sz w:val="16"/>
                <w:szCs w:val="16"/>
              </w:rPr>
            </w:pPr>
            <w:r w:rsidRPr="005A6322">
              <w:rPr>
                <w:rFonts w:ascii="Times New Roman" w:hAnsi="Times New Roman" w:cs="Times New Roman"/>
                <w:sz w:val="16"/>
                <w:szCs w:val="16"/>
              </w:rPr>
              <w:t>- respecter les usages et coutumes des localités concernées ;</w:t>
            </w:r>
          </w:p>
          <w:p w:rsidR="005A6322" w:rsidRPr="005A6322" w:rsidRDefault="005A6322" w:rsidP="005A6322">
            <w:pPr>
              <w:autoSpaceDE w:val="0"/>
              <w:autoSpaceDN w:val="0"/>
              <w:adjustRightInd w:val="0"/>
              <w:spacing w:after="0" w:line="240" w:lineRule="auto"/>
              <w:jc w:val="both"/>
              <w:rPr>
                <w:rFonts w:ascii="Times New Roman" w:hAnsi="Times New Roman" w:cs="Times New Roman"/>
                <w:sz w:val="16"/>
                <w:szCs w:val="16"/>
              </w:rPr>
            </w:pPr>
            <w:r w:rsidRPr="005A6322">
              <w:rPr>
                <w:rFonts w:ascii="Times New Roman" w:hAnsi="Times New Roman" w:cs="Times New Roman"/>
                <w:sz w:val="16"/>
                <w:szCs w:val="16"/>
              </w:rPr>
              <w:t>- Entretenir des relations paix avec la population ;</w:t>
            </w:r>
          </w:p>
          <w:p w:rsidR="005A6322" w:rsidRPr="005A6322" w:rsidRDefault="005A6322" w:rsidP="005A6322">
            <w:pPr>
              <w:autoSpaceDE w:val="0"/>
              <w:autoSpaceDN w:val="0"/>
              <w:adjustRightInd w:val="0"/>
              <w:spacing w:after="0" w:line="240" w:lineRule="auto"/>
              <w:jc w:val="both"/>
              <w:rPr>
                <w:rFonts w:ascii="Times New Roman" w:hAnsi="Times New Roman" w:cs="Times New Roman"/>
                <w:sz w:val="16"/>
                <w:szCs w:val="16"/>
              </w:rPr>
            </w:pPr>
            <w:r w:rsidRPr="005A6322">
              <w:rPr>
                <w:rFonts w:ascii="Times New Roman" w:hAnsi="Times New Roman" w:cs="Times New Roman"/>
                <w:sz w:val="16"/>
                <w:szCs w:val="16"/>
              </w:rPr>
              <w:t>Respecter les engagements pris ;</w:t>
            </w:r>
          </w:p>
        </w:tc>
        <w:tc>
          <w:tcPr>
            <w:tcW w:w="3402" w:type="dxa"/>
            <w:tcBorders>
              <w:top w:val="single" w:sz="4" w:space="0" w:color="auto"/>
              <w:left w:val="single" w:sz="4" w:space="0" w:color="auto"/>
              <w:bottom w:val="single" w:sz="4" w:space="0" w:color="auto"/>
              <w:right w:val="single" w:sz="4" w:space="0" w:color="auto"/>
            </w:tcBorders>
            <w:vAlign w:val="center"/>
          </w:tcPr>
          <w:p w:rsidR="005A6322" w:rsidRPr="005A6322" w:rsidRDefault="005A6322" w:rsidP="005A6322">
            <w:pPr>
              <w:autoSpaceDE w:val="0"/>
              <w:autoSpaceDN w:val="0"/>
              <w:adjustRightInd w:val="0"/>
              <w:spacing w:after="0" w:line="240" w:lineRule="auto"/>
              <w:rPr>
                <w:rFonts w:ascii="Times New Roman" w:hAnsi="Times New Roman" w:cs="Times New Roman"/>
                <w:color w:val="000000"/>
                <w:sz w:val="16"/>
                <w:szCs w:val="16"/>
              </w:rPr>
            </w:pPr>
            <w:r w:rsidRPr="005A6322">
              <w:rPr>
                <w:rFonts w:ascii="Times New Roman" w:hAnsi="Times New Roman" w:cs="Times New Roman"/>
                <w:sz w:val="16"/>
                <w:szCs w:val="16"/>
              </w:rPr>
              <w:t>-</w:t>
            </w:r>
            <w:r w:rsidRPr="005A6322">
              <w:rPr>
                <w:rFonts w:ascii="Times New Roman" w:hAnsi="Times New Roman" w:cs="Times New Roman"/>
                <w:color w:val="000000"/>
                <w:sz w:val="16"/>
                <w:szCs w:val="16"/>
              </w:rPr>
              <w:t xml:space="preserve"> Présence de relation allant à des interconnaissances sociales, culturelles, techniques, commerciales ;</w:t>
            </w:r>
          </w:p>
          <w:p w:rsidR="005A6322" w:rsidRPr="005A6322" w:rsidRDefault="005A6322" w:rsidP="005A6322">
            <w:pPr>
              <w:autoSpaceDE w:val="0"/>
              <w:autoSpaceDN w:val="0"/>
              <w:adjustRightInd w:val="0"/>
              <w:spacing w:after="0" w:line="240" w:lineRule="auto"/>
              <w:rPr>
                <w:rFonts w:ascii="Times New Roman" w:hAnsi="Times New Roman" w:cs="Times New Roman"/>
                <w:sz w:val="16"/>
                <w:szCs w:val="16"/>
              </w:rPr>
            </w:pPr>
            <w:r w:rsidRPr="005A6322">
              <w:rPr>
                <w:rFonts w:ascii="Times New Roman" w:hAnsi="Times New Roman" w:cs="Times New Roman"/>
                <w:color w:val="000000"/>
                <w:sz w:val="16"/>
                <w:szCs w:val="16"/>
              </w:rPr>
              <w:t>- Nombre de plainte enregistrée</w:t>
            </w:r>
            <w:r w:rsidRPr="005A6322">
              <w:rPr>
                <w:rFonts w:ascii="Times New Roman" w:hAnsi="Times New Roman" w:cs="Times New Roman"/>
                <w:sz w:val="16"/>
                <w:szCs w:val="16"/>
              </w:rPr>
              <w:t> ;</w:t>
            </w:r>
          </w:p>
        </w:tc>
        <w:tc>
          <w:tcPr>
            <w:tcW w:w="1276"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5A6322" w:rsidRPr="005A6322" w:rsidRDefault="005A6322" w:rsidP="005A6322">
            <w:pPr>
              <w:autoSpaceDE w:val="0"/>
              <w:autoSpaceDN w:val="0"/>
              <w:adjustRightInd w:val="0"/>
              <w:spacing w:after="0" w:line="240" w:lineRule="auto"/>
              <w:jc w:val="center"/>
              <w:rPr>
                <w:rFonts w:ascii="Times New Roman" w:hAnsi="Times New Roman" w:cs="Times New Roman"/>
                <w:b/>
                <w:sz w:val="16"/>
                <w:szCs w:val="16"/>
              </w:rPr>
            </w:pPr>
            <w:r w:rsidRPr="005A6322">
              <w:rPr>
                <w:rFonts w:ascii="Times New Roman" w:hAnsi="Times New Roman" w:cs="Times New Roman"/>
                <w:b/>
                <w:sz w:val="16"/>
                <w:szCs w:val="16"/>
              </w:rPr>
              <w:t xml:space="preserve">Entreprise </w:t>
            </w:r>
          </w:p>
        </w:tc>
        <w:tc>
          <w:tcPr>
            <w:tcW w:w="1134"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5A6322" w:rsidRPr="005A6322" w:rsidRDefault="005A6322" w:rsidP="005A6322">
            <w:pPr>
              <w:autoSpaceDE w:val="0"/>
              <w:autoSpaceDN w:val="0"/>
              <w:adjustRightInd w:val="0"/>
              <w:spacing w:after="0" w:line="240" w:lineRule="auto"/>
              <w:jc w:val="center"/>
              <w:rPr>
                <w:rFonts w:ascii="Times New Roman" w:hAnsi="Times New Roman" w:cs="Times New Roman"/>
                <w:b/>
                <w:sz w:val="16"/>
                <w:szCs w:val="16"/>
              </w:rPr>
            </w:pPr>
            <w:r w:rsidRPr="005A6322">
              <w:rPr>
                <w:rFonts w:ascii="Times New Roman" w:hAnsi="Times New Roman" w:cs="Times New Roman"/>
                <w:b/>
                <w:sz w:val="16"/>
                <w:szCs w:val="16"/>
              </w:rPr>
              <w:t>MDC</w:t>
            </w:r>
          </w:p>
          <w:p w:rsidR="005A6322" w:rsidRPr="005A6322" w:rsidRDefault="005A6322" w:rsidP="005A6322">
            <w:pPr>
              <w:autoSpaceDE w:val="0"/>
              <w:autoSpaceDN w:val="0"/>
              <w:adjustRightInd w:val="0"/>
              <w:spacing w:after="0" w:line="240" w:lineRule="auto"/>
              <w:jc w:val="center"/>
              <w:rPr>
                <w:rFonts w:ascii="Times New Roman" w:hAnsi="Times New Roman" w:cs="Times New Roman"/>
                <w:b/>
                <w:sz w:val="16"/>
                <w:szCs w:val="16"/>
              </w:rPr>
            </w:pPr>
            <w:r w:rsidRPr="005A6322">
              <w:rPr>
                <w:rFonts w:ascii="Times New Roman" w:hAnsi="Times New Roman" w:cs="Times New Roman"/>
                <w:b/>
                <w:sz w:val="16"/>
                <w:szCs w:val="16"/>
              </w:rPr>
              <w:t>PUASEE-FA</w:t>
            </w:r>
          </w:p>
        </w:tc>
        <w:tc>
          <w:tcPr>
            <w:tcW w:w="1134" w:type="dxa"/>
            <w:tcBorders>
              <w:top w:val="single" w:sz="4" w:space="0" w:color="auto"/>
              <w:left w:val="single" w:sz="4" w:space="0" w:color="auto"/>
              <w:bottom w:val="single" w:sz="4" w:space="0" w:color="auto"/>
              <w:right w:val="single" w:sz="4" w:space="0" w:color="auto"/>
            </w:tcBorders>
            <w:vAlign w:val="center"/>
          </w:tcPr>
          <w:p w:rsidR="005A6322" w:rsidRPr="005A6322" w:rsidRDefault="005A6322" w:rsidP="005A6322">
            <w:pPr>
              <w:autoSpaceDE w:val="0"/>
              <w:autoSpaceDN w:val="0"/>
              <w:adjustRightInd w:val="0"/>
              <w:spacing w:after="0" w:line="240" w:lineRule="auto"/>
              <w:jc w:val="center"/>
              <w:rPr>
                <w:rFonts w:ascii="Times New Roman" w:hAnsi="Times New Roman" w:cs="Times New Roman"/>
                <w:sz w:val="16"/>
                <w:szCs w:val="16"/>
              </w:rPr>
            </w:pPr>
            <w:r w:rsidRPr="005A6322">
              <w:rPr>
                <w:rFonts w:ascii="Times New Roman" w:hAnsi="Times New Roman" w:cs="Times New Roman"/>
                <w:sz w:val="16"/>
                <w:szCs w:val="16"/>
              </w:rPr>
              <w:t>Durant les travaux / Mensuelle</w:t>
            </w:r>
          </w:p>
        </w:tc>
        <w:tc>
          <w:tcPr>
            <w:tcW w:w="1134"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rsidR="005A6322" w:rsidRPr="005A6322" w:rsidRDefault="005A6322" w:rsidP="005A6322">
            <w:pPr>
              <w:autoSpaceDE w:val="0"/>
              <w:autoSpaceDN w:val="0"/>
              <w:adjustRightInd w:val="0"/>
              <w:spacing w:after="0" w:line="240" w:lineRule="auto"/>
              <w:jc w:val="center"/>
              <w:rPr>
                <w:rFonts w:ascii="Times New Roman" w:hAnsi="Times New Roman" w:cs="Times New Roman"/>
                <w:b/>
                <w:sz w:val="16"/>
                <w:szCs w:val="16"/>
              </w:rPr>
            </w:pPr>
            <w:r w:rsidRPr="005A6322">
              <w:rPr>
                <w:rFonts w:ascii="Times New Roman" w:hAnsi="Times New Roman" w:cs="Times New Roman"/>
                <w:b/>
                <w:sz w:val="16"/>
                <w:szCs w:val="16"/>
              </w:rPr>
              <w:t>Coût associé au projet</w:t>
            </w:r>
          </w:p>
        </w:tc>
      </w:tr>
      <w:tr w:rsidR="005A6322" w:rsidRPr="005A6322" w:rsidTr="005A6322">
        <w:trPr>
          <w:trHeight w:val="70"/>
          <w:jc w:val="center"/>
        </w:trPr>
        <w:tc>
          <w:tcPr>
            <w:tcW w:w="16013" w:type="dxa"/>
            <w:gridSpan w:val="8"/>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rsidR="005A6322" w:rsidRPr="005A6322" w:rsidRDefault="005A6322" w:rsidP="005A6322">
            <w:pPr>
              <w:autoSpaceDE w:val="0"/>
              <w:autoSpaceDN w:val="0"/>
              <w:adjustRightInd w:val="0"/>
              <w:spacing w:after="0" w:line="240" w:lineRule="auto"/>
              <w:jc w:val="center"/>
              <w:rPr>
                <w:rFonts w:ascii="Times New Roman" w:hAnsi="Times New Roman" w:cs="Times New Roman"/>
                <w:b/>
                <w:bCs/>
                <w:sz w:val="16"/>
                <w:szCs w:val="16"/>
              </w:rPr>
            </w:pPr>
            <w:r w:rsidRPr="005A6322">
              <w:rPr>
                <w:rFonts w:ascii="Times New Roman" w:hAnsi="Times New Roman" w:cs="Times New Roman"/>
                <w:b/>
                <w:bCs/>
                <w:sz w:val="16"/>
                <w:szCs w:val="16"/>
              </w:rPr>
              <w:t>Moyens de bonification des impacts positifs potentiels en phase d’exploitation</w:t>
            </w:r>
          </w:p>
        </w:tc>
      </w:tr>
      <w:tr w:rsidR="005A6322" w:rsidRPr="005A6322" w:rsidTr="003A6643">
        <w:trPr>
          <w:trHeight w:val="70"/>
          <w:jc w:val="center"/>
        </w:trPr>
        <w:tc>
          <w:tcPr>
            <w:tcW w:w="1129"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rsidR="005A6322" w:rsidRPr="005A6322" w:rsidRDefault="005A6322" w:rsidP="005A6322">
            <w:pPr>
              <w:autoSpaceDE w:val="0"/>
              <w:autoSpaceDN w:val="0"/>
              <w:adjustRightInd w:val="0"/>
              <w:spacing w:after="0" w:line="240" w:lineRule="auto"/>
              <w:jc w:val="center"/>
              <w:rPr>
                <w:rFonts w:ascii="Times New Roman" w:hAnsi="Times New Roman" w:cs="Times New Roman"/>
                <w:b/>
                <w:bCs/>
                <w:sz w:val="16"/>
                <w:szCs w:val="16"/>
              </w:rPr>
            </w:pPr>
            <w:r w:rsidRPr="005A6322">
              <w:rPr>
                <w:rFonts w:ascii="Times New Roman" w:hAnsi="Times New Roman" w:cs="Times New Roman"/>
                <w:b/>
                <w:bCs/>
                <w:sz w:val="16"/>
                <w:szCs w:val="16"/>
              </w:rPr>
              <w:t>Composante du milieu affecté</w:t>
            </w:r>
          </w:p>
        </w:tc>
        <w:tc>
          <w:tcPr>
            <w:tcW w:w="2131"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rsidR="005A6322" w:rsidRPr="005A6322" w:rsidRDefault="005A6322" w:rsidP="005A6322">
            <w:pPr>
              <w:autoSpaceDE w:val="0"/>
              <w:autoSpaceDN w:val="0"/>
              <w:adjustRightInd w:val="0"/>
              <w:spacing w:after="0" w:line="240" w:lineRule="auto"/>
              <w:jc w:val="center"/>
              <w:rPr>
                <w:rFonts w:ascii="Times New Roman" w:hAnsi="Times New Roman" w:cs="Times New Roman"/>
                <w:b/>
                <w:sz w:val="16"/>
                <w:szCs w:val="16"/>
              </w:rPr>
            </w:pPr>
            <w:r w:rsidRPr="005A6322">
              <w:rPr>
                <w:rFonts w:ascii="Times New Roman" w:hAnsi="Times New Roman" w:cs="Times New Roman"/>
                <w:b/>
                <w:sz w:val="16"/>
                <w:szCs w:val="16"/>
              </w:rPr>
              <w:t>Nature de l’impact potentiel</w:t>
            </w:r>
          </w:p>
        </w:tc>
        <w:tc>
          <w:tcPr>
            <w:tcW w:w="4673"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rsidR="005A6322" w:rsidRPr="005A6322" w:rsidRDefault="005A6322" w:rsidP="005A6322">
            <w:pPr>
              <w:autoSpaceDE w:val="0"/>
              <w:autoSpaceDN w:val="0"/>
              <w:adjustRightInd w:val="0"/>
              <w:spacing w:after="0" w:line="240" w:lineRule="auto"/>
              <w:jc w:val="center"/>
              <w:rPr>
                <w:rFonts w:ascii="Times New Roman" w:hAnsi="Times New Roman" w:cs="Times New Roman"/>
                <w:b/>
                <w:sz w:val="16"/>
                <w:szCs w:val="16"/>
              </w:rPr>
            </w:pPr>
            <w:r w:rsidRPr="005A6322">
              <w:rPr>
                <w:rFonts w:ascii="Times New Roman" w:hAnsi="Times New Roman" w:cs="Times New Roman"/>
                <w:b/>
                <w:sz w:val="16"/>
                <w:szCs w:val="16"/>
              </w:rPr>
              <w:t>Mesures  préconisées</w:t>
            </w:r>
          </w:p>
        </w:tc>
        <w:tc>
          <w:tcPr>
            <w:tcW w:w="3402"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rsidR="005A6322" w:rsidRPr="005A6322" w:rsidRDefault="005A6322" w:rsidP="005A6322">
            <w:pPr>
              <w:autoSpaceDE w:val="0"/>
              <w:autoSpaceDN w:val="0"/>
              <w:adjustRightInd w:val="0"/>
              <w:spacing w:after="0" w:line="240" w:lineRule="auto"/>
              <w:jc w:val="center"/>
              <w:rPr>
                <w:rFonts w:ascii="Times New Roman" w:hAnsi="Times New Roman" w:cs="Times New Roman"/>
                <w:b/>
                <w:sz w:val="16"/>
                <w:szCs w:val="16"/>
              </w:rPr>
            </w:pPr>
            <w:r w:rsidRPr="005A6322">
              <w:rPr>
                <w:rFonts w:ascii="Times New Roman" w:hAnsi="Times New Roman" w:cs="Times New Roman"/>
                <w:b/>
                <w:sz w:val="16"/>
                <w:szCs w:val="16"/>
              </w:rPr>
              <w:t>Indicateur de suivi</w:t>
            </w:r>
          </w:p>
        </w:tc>
        <w:tc>
          <w:tcPr>
            <w:tcW w:w="2410" w:type="dxa"/>
            <w:gridSpan w:val="2"/>
            <w:tcBorders>
              <w:top w:val="single" w:sz="4" w:space="0" w:color="auto"/>
              <w:left w:val="single" w:sz="4" w:space="0" w:color="auto"/>
              <w:bottom w:val="single" w:sz="4" w:space="0" w:color="auto"/>
              <w:right w:val="single" w:sz="4" w:space="0" w:color="auto"/>
            </w:tcBorders>
            <w:shd w:val="clear" w:color="auto" w:fill="F2F2F2"/>
            <w:vAlign w:val="center"/>
            <w:hideMark/>
          </w:tcPr>
          <w:p w:rsidR="005A6322" w:rsidRPr="005A6322" w:rsidRDefault="005A6322" w:rsidP="005A6322">
            <w:pPr>
              <w:autoSpaceDE w:val="0"/>
              <w:autoSpaceDN w:val="0"/>
              <w:adjustRightInd w:val="0"/>
              <w:spacing w:after="0" w:line="240" w:lineRule="auto"/>
              <w:jc w:val="center"/>
              <w:rPr>
                <w:rFonts w:ascii="Times New Roman" w:hAnsi="Times New Roman" w:cs="Times New Roman"/>
                <w:b/>
                <w:sz w:val="16"/>
                <w:szCs w:val="16"/>
              </w:rPr>
            </w:pPr>
            <w:r w:rsidRPr="005A6322">
              <w:rPr>
                <w:rFonts w:ascii="Times New Roman" w:hAnsi="Times New Roman" w:cs="Times New Roman"/>
                <w:b/>
                <w:bCs/>
                <w:sz w:val="16"/>
                <w:szCs w:val="16"/>
              </w:rPr>
              <w:t>Responsable(s)</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rsidR="005A6322" w:rsidRPr="005A6322" w:rsidRDefault="005A6322" w:rsidP="005A6322">
            <w:pPr>
              <w:autoSpaceDE w:val="0"/>
              <w:autoSpaceDN w:val="0"/>
              <w:adjustRightInd w:val="0"/>
              <w:spacing w:after="0" w:line="240" w:lineRule="auto"/>
              <w:jc w:val="center"/>
              <w:rPr>
                <w:rFonts w:ascii="Times New Roman" w:hAnsi="Times New Roman" w:cs="Times New Roman"/>
                <w:b/>
                <w:sz w:val="16"/>
                <w:szCs w:val="16"/>
              </w:rPr>
            </w:pPr>
            <w:r w:rsidRPr="005A6322">
              <w:rPr>
                <w:rFonts w:ascii="Times New Roman" w:hAnsi="Times New Roman" w:cs="Times New Roman"/>
                <w:b/>
                <w:bCs/>
                <w:sz w:val="16"/>
                <w:szCs w:val="16"/>
              </w:rPr>
              <w:t>Échéances/Période</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rsidR="005A6322" w:rsidRPr="005A6322" w:rsidRDefault="005A6322" w:rsidP="005A6322">
            <w:pPr>
              <w:autoSpaceDE w:val="0"/>
              <w:autoSpaceDN w:val="0"/>
              <w:adjustRightInd w:val="0"/>
              <w:spacing w:after="0" w:line="240" w:lineRule="auto"/>
              <w:jc w:val="center"/>
              <w:rPr>
                <w:rFonts w:ascii="Times New Roman" w:hAnsi="Times New Roman" w:cs="Times New Roman"/>
                <w:b/>
                <w:sz w:val="16"/>
                <w:szCs w:val="16"/>
              </w:rPr>
            </w:pPr>
            <w:r w:rsidRPr="005A6322">
              <w:rPr>
                <w:rFonts w:ascii="Times New Roman" w:hAnsi="Times New Roman" w:cs="Times New Roman"/>
                <w:b/>
                <w:bCs/>
                <w:sz w:val="16"/>
                <w:szCs w:val="16"/>
              </w:rPr>
              <w:t>Coût (FCFA)</w:t>
            </w:r>
          </w:p>
        </w:tc>
      </w:tr>
      <w:tr w:rsidR="005A6322" w:rsidRPr="005A6322" w:rsidTr="003A6643">
        <w:trPr>
          <w:trHeight w:val="70"/>
          <w:jc w:val="center"/>
        </w:trPr>
        <w:tc>
          <w:tcPr>
            <w:tcW w:w="1129" w:type="dxa"/>
            <w:vMerge/>
            <w:tcBorders>
              <w:top w:val="single" w:sz="4" w:space="0" w:color="auto"/>
              <w:left w:val="single" w:sz="4" w:space="0" w:color="auto"/>
              <w:bottom w:val="single" w:sz="4" w:space="0" w:color="auto"/>
              <w:right w:val="single" w:sz="4" w:space="0" w:color="auto"/>
            </w:tcBorders>
            <w:vAlign w:val="center"/>
            <w:hideMark/>
          </w:tcPr>
          <w:p w:rsidR="005A6322" w:rsidRPr="005A6322" w:rsidRDefault="005A6322" w:rsidP="005A6322">
            <w:pPr>
              <w:autoSpaceDE w:val="0"/>
              <w:autoSpaceDN w:val="0"/>
              <w:adjustRightInd w:val="0"/>
              <w:spacing w:after="0" w:line="240" w:lineRule="auto"/>
              <w:jc w:val="center"/>
              <w:rPr>
                <w:rFonts w:ascii="Times New Roman" w:hAnsi="Times New Roman" w:cs="Times New Roman"/>
                <w:b/>
                <w:bCs/>
                <w:sz w:val="16"/>
                <w:szCs w:val="16"/>
              </w:rPr>
            </w:pPr>
          </w:p>
        </w:tc>
        <w:tc>
          <w:tcPr>
            <w:tcW w:w="2131" w:type="dxa"/>
            <w:vMerge/>
            <w:tcBorders>
              <w:top w:val="single" w:sz="4" w:space="0" w:color="auto"/>
              <w:left w:val="single" w:sz="4" w:space="0" w:color="auto"/>
              <w:bottom w:val="single" w:sz="4" w:space="0" w:color="auto"/>
              <w:right w:val="single" w:sz="4" w:space="0" w:color="auto"/>
            </w:tcBorders>
            <w:vAlign w:val="center"/>
            <w:hideMark/>
          </w:tcPr>
          <w:p w:rsidR="005A6322" w:rsidRPr="005A6322" w:rsidRDefault="005A6322" w:rsidP="005A6322">
            <w:pPr>
              <w:autoSpaceDE w:val="0"/>
              <w:autoSpaceDN w:val="0"/>
              <w:adjustRightInd w:val="0"/>
              <w:spacing w:after="0" w:line="240" w:lineRule="auto"/>
              <w:jc w:val="center"/>
              <w:rPr>
                <w:rFonts w:ascii="Times New Roman" w:hAnsi="Times New Roman" w:cs="Times New Roman"/>
                <w:b/>
                <w:sz w:val="16"/>
                <w:szCs w:val="16"/>
              </w:rPr>
            </w:pPr>
          </w:p>
        </w:tc>
        <w:tc>
          <w:tcPr>
            <w:tcW w:w="4673" w:type="dxa"/>
            <w:vMerge/>
            <w:tcBorders>
              <w:top w:val="single" w:sz="4" w:space="0" w:color="auto"/>
              <w:left w:val="single" w:sz="4" w:space="0" w:color="auto"/>
              <w:bottom w:val="single" w:sz="4" w:space="0" w:color="auto"/>
              <w:right w:val="single" w:sz="4" w:space="0" w:color="auto"/>
            </w:tcBorders>
            <w:vAlign w:val="center"/>
            <w:hideMark/>
          </w:tcPr>
          <w:p w:rsidR="005A6322" w:rsidRPr="005A6322" w:rsidRDefault="005A6322" w:rsidP="005A6322">
            <w:pPr>
              <w:autoSpaceDE w:val="0"/>
              <w:autoSpaceDN w:val="0"/>
              <w:adjustRightInd w:val="0"/>
              <w:spacing w:after="0" w:line="240" w:lineRule="auto"/>
              <w:jc w:val="center"/>
              <w:rPr>
                <w:rFonts w:ascii="Times New Roman" w:hAnsi="Times New Roman" w:cs="Times New Roman"/>
                <w:b/>
                <w:sz w:val="16"/>
                <w:szCs w:val="16"/>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5A6322" w:rsidRPr="005A6322" w:rsidRDefault="005A6322" w:rsidP="005A6322">
            <w:pPr>
              <w:autoSpaceDE w:val="0"/>
              <w:autoSpaceDN w:val="0"/>
              <w:adjustRightInd w:val="0"/>
              <w:spacing w:after="0" w:line="240" w:lineRule="auto"/>
              <w:jc w:val="center"/>
              <w:rPr>
                <w:rFonts w:ascii="Times New Roman" w:hAnsi="Times New Roman" w:cs="Times New Roman"/>
                <w:b/>
                <w:sz w:val="16"/>
                <w:szCs w:val="16"/>
              </w:rPr>
            </w:pPr>
          </w:p>
        </w:tc>
        <w:tc>
          <w:tcPr>
            <w:tcW w:w="1276"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rsidR="005A6322" w:rsidRPr="005A6322" w:rsidRDefault="005A6322" w:rsidP="005A6322">
            <w:pPr>
              <w:autoSpaceDE w:val="0"/>
              <w:autoSpaceDN w:val="0"/>
              <w:adjustRightInd w:val="0"/>
              <w:spacing w:after="0" w:line="240" w:lineRule="auto"/>
              <w:jc w:val="center"/>
              <w:rPr>
                <w:rFonts w:ascii="Times New Roman" w:hAnsi="Times New Roman" w:cs="Times New Roman"/>
                <w:b/>
                <w:bCs/>
                <w:sz w:val="16"/>
                <w:szCs w:val="16"/>
              </w:rPr>
            </w:pPr>
            <w:r w:rsidRPr="005A6322">
              <w:rPr>
                <w:rFonts w:ascii="Times New Roman" w:hAnsi="Times New Roman" w:cs="Times New Roman"/>
                <w:b/>
                <w:bCs/>
                <w:sz w:val="16"/>
                <w:szCs w:val="16"/>
              </w:rPr>
              <w:t>Mise en œuvre</w:t>
            </w:r>
          </w:p>
        </w:tc>
        <w:tc>
          <w:tcPr>
            <w:tcW w:w="1134"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rsidR="005A6322" w:rsidRPr="005A6322" w:rsidRDefault="005A6322" w:rsidP="005A6322">
            <w:pPr>
              <w:autoSpaceDE w:val="0"/>
              <w:autoSpaceDN w:val="0"/>
              <w:adjustRightInd w:val="0"/>
              <w:spacing w:after="0" w:line="240" w:lineRule="auto"/>
              <w:jc w:val="center"/>
              <w:rPr>
                <w:rFonts w:ascii="Times New Roman" w:hAnsi="Times New Roman" w:cs="Times New Roman"/>
                <w:b/>
                <w:bCs/>
                <w:sz w:val="16"/>
                <w:szCs w:val="16"/>
              </w:rPr>
            </w:pPr>
            <w:r w:rsidRPr="005A6322">
              <w:rPr>
                <w:rFonts w:ascii="Times New Roman" w:hAnsi="Times New Roman" w:cs="Times New Roman"/>
                <w:b/>
                <w:bCs/>
                <w:sz w:val="16"/>
                <w:szCs w:val="16"/>
              </w:rPr>
              <w:t>Suivi / Contrôle</w:t>
            </w: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5A6322" w:rsidRPr="005A6322" w:rsidRDefault="005A6322" w:rsidP="005A6322">
            <w:pPr>
              <w:autoSpaceDE w:val="0"/>
              <w:autoSpaceDN w:val="0"/>
              <w:adjustRightInd w:val="0"/>
              <w:spacing w:after="0" w:line="240" w:lineRule="auto"/>
              <w:jc w:val="center"/>
              <w:rPr>
                <w:rFonts w:ascii="Times New Roman" w:hAnsi="Times New Roman" w:cs="Times New Roman"/>
                <w:b/>
                <w:sz w:val="16"/>
                <w:szCs w:val="16"/>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5A6322" w:rsidRPr="005A6322" w:rsidRDefault="005A6322" w:rsidP="005A6322">
            <w:pPr>
              <w:autoSpaceDE w:val="0"/>
              <w:autoSpaceDN w:val="0"/>
              <w:adjustRightInd w:val="0"/>
              <w:spacing w:after="0" w:line="240" w:lineRule="auto"/>
              <w:jc w:val="center"/>
              <w:rPr>
                <w:rFonts w:ascii="Times New Roman" w:hAnsi="Times New Roman" w:cs="Times New Roman"/>
                <w:b/>
                <w:sz w:val="16"/>
                <w:szCs w:val="16"/>
              </w:rPr>
            </w:pPr>
          </w:p>
        </w:tc>
      </w:tr>
      <w:tr w:rsidR="005A6322" w:rsidRPr="005A6322" w:rsidTr="003A6643">
        <w:trPr>
          <w:trHeight w:val="389"/>
          <w:jc w:val="center"/>
        </w:trPr>
        <w:tc>
          <w:tcPr>
            <w:tcW w:w="1129"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rsidR="005A6322" w:rsidRPr="005A6322" w:rsidRDefault="005A6322" w:rsidP="005A6322">
            <w:pPr>
              <w:autoSpaceDE w:val="0"/>
              <w:autoSpaceDN w:val="0"/>
              <w:adjustRightInd w:val="0"/>
              <w:spacing w:after="0" w:line="240" w:lineRule="auto"/>
              <w:jc w:val="center"/>
              <w:rPr>
                <w:rFonts w:ascii="Times New Roman" w:hAnsi="Times New Roman" w:cs="Times New Roman"/>
                <w:b/>
                <w:bCs/>
                <w:sz w:val="16"/>
                <w:szCs w:val="16"/>
              </w:rPr>
            </w:pPr>
            <w:r w:rsidRPr="005A6322">
              <w:rPr>
                <w:rFonts w:ascii="Times New Roman" w:hAnsi="Times New Roman" w:cs="Times New Roman"/>
                <w:b/>
                <w:bCs/>
                <w:sz w:val="16"/>
                <w:szCs w:val="16"/>
              </w:rPr>
              <w:t>Paysages</w:t>
            </w:r>
          </w:p>
        </w:tc>
        <w:tc>
          <w:tcPr>
            <w:tcW w:w="2131" w:type="dxa"/>
            <w:tcBorders>
              <w:top w:val="single" w:sz="4" w:space="0" w:color="auto"/>
              <w:left w:val="single" w:sz="4" w:space="0" w:color="auto"/>
              <w:bottom w:val="single" w:sz="4" w:space="0" w:color="auto"/>
              <w:right w:val="single" w:sz="4" w:space="0" w:color="auto"/>
            </w:tcBorders>
            <w:vAlign w:val="center"/>
          </w:tcPr>
          <w:p w:rsidR="005A6322" w:rsidRPr="005A6322" w:rsidRDefault="005A6322" w:rsidP="005A6322">
            <w:pPr>
              <w:spacing w:after="0" w:line="240" w:lineRule="auto"/>
              <w:jc w:val="both"/>
              <w:rPr>
                <w:rFonts w:ascii="Times New Roman" w:hAnsi="Times New Roman" w:cs="Times New Roman"/>
                <w:color w:val="000000"/>
                <w:sz w:val="16"/>
                <w:szCs w:val="16"/>
              </w:rPr>
            </w:pPr>
            <w:r w:rsidRPr="005A6322">
              <w:rPr>
                <w:rFonts w:ascii="Times New Roman" w:hAnsi="Times New Roman" w:cs="Times New Roman"/>
                <w:color w:val="000000"/>
                <w:sz w:val="16"/>
                <w:szCs w:val="16"/>
              </w:rPr>
              <w:t xml:space="preserve">Création d’une végétation verdoyante et des arbres d’ornement ou d’ombrage au niveau des sites  </w:t>
            </w:r>
          </w:p>
        </w:tc>
        <w:tc>
          <w:tcPr>
            <w:tcW w:w="4673" w:type="dxa"/>
            <w:tcBorders>
              <w:top w:val="single" w:sz="4" w:space="0" w:color="auto"/>
              <w:left w:val="single" w:sz="4" w:space="0" w:color="auto"/>
              <w:bottom w:val="single" w:sz="4" w:space="0" w:color="auto"/>
              <w:right w:val="single" w:sz="4" w:space="0" w:color="auto"/>
            </w:tcBorders>
            <w:vAlign w:val="center"/>
          </w:tcPr>
          <w:p w:rsidR="005A6322" w:rsidRPr="005A6322" w:rsidRDefault="005A6322" w:rsidP="005A6322">
            <w:pPr>
              <w:autoSpaceDE w:val="0"/>
              <w:autoSpaceDN w:val="0"/>
              <w:adjustRightInd w:val="0"/>
              <w:spacing w:after="0" w:line="240" w:lineRule="auto"/>
              <w:jc w:val="both"/>
              <w:rPr>
                <w:rFonts w:ascii="Times New Roman" w:hAnsi="Times New Roman" w:cs="Times New Roman"/>
                <w:sz w:val="16"/>
                <w:szCs w:val="16"/>
              </w:rPr>
            </w:pPr>
            <w:r w:rsidRPr="005A6322">
              <w:rPr>
                <w:rFonts w:ascii="Times New Roman" w:hAnsi="Times New Roman" w:cs="Times New Roman"/>
                <w:sz w:val="16"/>
                <w:szCs w:val="16"/>
              </w:rPr>
              <w:t>-Utiliser les eaux au niveau des déversements du trop-plein pour arrosage des arbres d’ornement ou d’ombrage ;</w:t>
            </w:r>
          </w:p>
          <w:p w:rsidR="005A6322" w:rsidRPr="005A6322" w:rsidRDefault="005A6322" w:rsidP="005A6322">
            <w:pPr>
              <w:autoSpaceDE w:val="0"/>
              <w:autoSpaceDN w:val="0"/>
              <w:adjustRightInd w:val="0"/>
              <w:spacing w:after="0" w:line="240" w:lineRule="auto"/>
              <w:jc w:val="both"/>
              <w:rPr>
                <w:rFonts w:ascii="Times New Roman" w:hAnsi="Times New Roman" w:cs="Times New Roman"/>
                <w:sz w:val="16"/>
                <w:szCs w:val="16"/>
              </w:rPr>
            </w:pPr>
            <w:r w:rsidRPr="005A6322">
              <w:rPr>
                <w:rFonts w:ascii="Times New Roman" w:hAnsi="Times New Roman" w:cs="Times New Roman"/>
                <w:sz w:val="16"/>
                <w:szCs w:val="16"/>
              </w:rPr>
              <w:t xml:space="preserve">-Recruter des jardiniers pour l’entretien des jardins ; </w:t>
            </w:r>
          </w:p>
        </w:tc>
        <w:tc>
          <w:tcPr>
            <w:tcW w:w="3402" w:type="dxa"/>
            <w:tcBorders>
              <w:top w:val="single" w:sz="4" w:space="0" w:color="auto"/>
              <w:left w:val="single" w:sz="4" w:space="0" w:color="auto"/>
              <w:bottom w:val="single" w:sz="4" w:space="0" w:color="auto"/>
              <w:right w:val="single" w:sz="4" w:space="0" w:color="auto"/>
            </w:tcBorders>
            <w:vAlign w:val="center"/>
          </w:tcPr>
          <w:p w:rsidR="005A6322" w:rsidRPr="005A6322" w:rsidRDefault="005A6322" w:rsidP="005A6322">
            <w:pPr>
              <w:autoSpaceDE w:val="0"/>
              <w:autoSpaceDN w:val="0"/>
              <w:adjustRightInd w:val="0"/>
              <w:spacing w:after="0" w:line="240" w:lineRule="auto"/>
              <w:jc w:val="both"/>
              <w:rPr>
                <w:rFonts w:ascii="Times New Roman" w:hAnsi="Times New Roman" w:cs="Times New Roman"/>
                <w:sz w:val="16"/>
                <w:szCs w:val="16"/>
              </w:rPr>
            </w:pPr>
            <w:r w:rsidRPr="005A6322">
              <w:rPr>
                <w:rFonts w:ascii="Times New Roman" w:hAnsi="Times New Roman" w:cs="Times New Roman"/>
                <w:sz w:val="16"/>
                <w:szCs w:val="16"/>
              </w:rPr>
              <w:t xml:space="preserve">-Présence d’arbres d’ornement ou d’ombrage </w:t>
            </w:r>
          </w:p>
          <w:p w:rsidR="005A6322" w:rsidRPr="005A6322" w:rsidRDefault="005A6322" w:rsidP="005A6322">
            <w:pPr>
              <w:autoSpaceDE w:val="0"/>
              <w:autoSpaceDN w:val="0"/>
              <w:adjustRightInd w:val="0"/>
              <w:spacing w:after="0" w:line="240" w:lineRule="auto"/>
              <w:jc w:val="both"/>
              <w:rPr>
                <w:rFonts w:ascii="Times New Roman" w:hAnsi="Times New Roman" w:cs="Times New Roman"/>
                <w:sz w:val="16"/>
                <w:szCs w:val="16"/>
              </w:rPr>
            </w:pPr>
            <w:r w:rsidRPr="005A6322">
              <w:rPr>
                <w:rFonts w:ascii="Times New Roman" w:hAnsi="Times New Roman" w:cs="Times New Roman"/>
                <w:sz w:val="16"/>
                <w:szCs w:val="16"/>
              </w:rPr>
              <w:t>-Présence d’un contrat</w:t>
            </w:r>
          </w:p>
          <w:p w:rsidR="005A6322" w:rsidRPr="005A6322" w:rsidRDefault="005A6322" w:rsidP="005A6322">
            <w:pPr>
              <w:autoSpaceDE w:val="0"/>
              <w:autoSpaceDN w:val="0"/>
              <w:adjustRightInd w:val="0"/>
              <w:spacing w:after="0" w:line="240" w:lineRule="auto"/>
              <w:jc w:val="both"/>
              <w:rPr>
                <w:rFonts w:ascii="Times New Roman" w:hAnsi="Times New Roman" w:cs="Times New Roman"/>
                <w:sz w:val="16"/>
                <w:szCs w:val="16"/>
              </w:rPr>
            </w:pPr>
            <w:r w:rsidRPr="005A6322">
              <w:rPr>
                <w:rFonts w:ascii="Times New Roman" w:hAnsi="Times New Roman" w:cs="Times New Roman"/>
                <w:sz w:val="16"/>
                <w:szCs w:val="16"/>
              </w:rPr>
              <w:t xml:space="preserve">-Présence d’un jardin </w:t>
            </w:r>
          </w:p>
        </w:tc>
        <w:tc>
          <w:tcPr>
            <w:tcW w:w="1276"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5A6322" w:rsidRPr="005A6322" w:rsidRDefault="005A6322" w:rsidP="005A6322">
            <w:pPr>
              <w:autoSpaceDE w:val="0"/>
              <w:autoSpaceDN w:val="0"/>
              <w:adjustRightInd w:val="0"/>
              <w:spacing w:after="0" w:line="240" w:lineRule="auto"/>
              <w:jc w:val="center"/>
              <w:rPr>
                <w:rFonts w:ascii="Times New Roman" w:hAnsi="Times New Roman" w:cs="Times New Roman"/>
                <w:b/>
                <w:bCs/>
                <w:sz w:val="16"/>
                <w:szCs w:val="16"/>
              </w:rPr>
            </w:pPr>
            <w:r w:rsidRPr="005A6322">
              <w:rPr>
                <w:rFonts w:ascii="Times New Roman" w:hAnsi="Times New Roman" w:cs="Times New Roman"/>
                <w:b/>
                <w:bCs/>
                <w:sz w:val="16"/>
                <w:szCs w:val="16"/>
              </w:rPr>
              <w:t>PUASEE-FA</w:t>
            </w:r>
          </w:p>
          <w:p w:rsidR="005A6322" w:rsidRPr="005A6322" w:rsidRDefault="005A6322" w:rsidP="005A6322">
            <w:pPr>
              <w:autoSpaceDE w:val="0"/>
              <w:autoSpaceDN w:val="0"/>
              <w:adjustRightInd w:val="0"/>
              <w:spacing w:after="0" w:line="240" w:lineRule="auto"/>
              <w:jc w:val="center"/>
              <w:rPr>
                <w:rFonts w:ascii="Times New Roman" w:hAnsi="Times New Roman" w:cs="Times New Roman"/>
                <w:b/>
                <w:bCs/>
                <w:sz w:val="16"/>
                <w:szCs w:val="16"/>
              </w:rPr>
            </w:pPr>
            <w:r w:rsidRPr="005A6322">
              <w:rPr>
                <w:rFonts w:ascii="Times New Roman" w:hAnsi="Times New Roman" w:cs="Times New Roman"/>
                <w:b/>
                <w:bCs/>
                <w:sz w:val="16"/>
                <w:szCs w:val="16"/>
              </w:rPr>
              <w:t>EAGB</w:t>
            </w:r>
          </w:p>
        </w:tc>
        <w:tc>
          <w:tcPr>
            <w:tcW w:w="1134"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5A6322" w:rsidRPr="005A6322" w:rsidRDefault="005A6322" w:rsidP="005A6322">
            <w:pPr>
              <w:autoSpaceDE w:val="0"/>
              <w:autoSpaceDN w:val="0"/>
              <w:adjustRightInd w:val="0"/>
              <w:spacing w:after="0" w:line="240" w:lineRule="auto"/>
              <w:rPr>
                <w:rFonts w:ascii="Times New Roman" w:hAnsi="Times New Roman" w:cs="Times New Roman"/>
                <w:b/>
                <w:sz w:val="16"/>
                <w:szCs w:val="16"/>
              </w:rPr>
            </w:pPr>
            <w:r w:rsidRPr="005A6322">
              <w:rPr>
                <w:rFonts w:ascii="Times New Roman" w:hAnsi="Times New Roman" w:cs="Times New Roman"/>
                <w:b/>
                <w:sz w:val="16"/>
                <w:szCs w:val="16"/>
              </w:rPr>
              <w:t xml:space="preserve">        MDC</w:t>
            </w:r>
          </w:p>
          <w:p w:rsidR="005A6322" w:rsidRPr="005A6322" w:rsidRDefault="005A6322" w:rsidP="005A6322">
            <w:pPr>
              <w:autoSpaceDE w:val="0"/>
              <w:autoSpaceDN w:val="0"/>
              <w:adjustRightInd w:val="0"/>
              <w:spacing w:after="0" w:line="240" w:lineRule="auto"/>
              <w:jc w:val="center"/>
              <w:rPr>
                <w:rFonts w:ascii="Times New Roman" w:hAnsi="Times New Roman" w:cs="Times New Roman"/>
                <w:b/>
                <w:bCs/>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5A6322" w:rsidRPr="005A6322" w:rsidRDefault="005A6322" w:rsidP="005A6322">
            <w:pPr>
              <w:autoSpaceDE w:val="0"/>
              <w:autoSpaceDN w:val="0"/>
              <w:adjustRightInd w:val="0"/>
              <w:spacing w:after="0" w:line="240" w:lineRule="auto"/>
              <w:jc w:val="center"/>
              <w:rPr>
                <w:rFonts w:ascii="Times New Roman" w:hAnsi="Times New Roman" w:cs="Times New Roman"/>
                <w:b/>
                <w:sz w:val="16"/>
                <w:szCs w:val="16"/>
              </w:rPr>
            </w:pPr>
            <w:r w:rsidRPr="005A6322">
              <w:rPr>
                <w:rFonts w:ascii="Times New Roman" w:hAnsi="Times New Roman" w:cs="Times New Roman"/>
                <w:sz w:val="16"/>
                <w:szCs w:val="16"/>
              </w:rPr>
              <w:t>Durant l’exploitation / deux fois par an</w:t>
            </w:r>
          </w:p>
        </w:tc>
        <w:tc>
          <w:tcPr>
            <w:tcW w:w="1134"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rsidR="005A6322" w:rsidRPr="005A6322" w:rsidRDefault="005A6322" w:rsidP="005A6322">
            <w:pPr>
              <w:autoSpaceDE w:val="0"/>
              <w:autoSpaceDN w:val="0"/>
              <w:adjustRightInd w:val="0"/>
              <w:spacing w:after="0" w:line="240" w:lineRule="auto"/>
              <w:jc w:val="center"/>
              <w:rPr>
                <w:rFonts w:ascii="Times New Roman" w:hAnsi="Times New Roman" w:cs="Times New Roman"/>
                <w:b/>
                <w:sz w:val="16"/>
                <w:szCs w:val="16"/>
              </w:rPr>
            </w:pPr>
            <w:r w:rsidRPr="005A6322">
              <w:rPr>
                <w:rFonts w:ascii="Times New Roman" w:hAnsi="Times New Roman" w:cs="Times New Roman"/>
                <w:b/>
                <w:sz w:val="16"/>
                <w:szCs w:val="16"/>
              </w:rPr>
              <w:t>750 000</w:t>
            </w:r>
          </w:p>
        </w:tc>
      </w:tr>
      <w:tr w:rsidR="005A6322" w:rsidRPr="005A6322" w:rsidTr="003A6643">
        <w:trPr>
          <w:trHeight w:val="347"/>
          <w:jc w:val="center"/>
        </w:trPr>
        <w:tc>
          <w:tcPr>
            <w:tcW w:w="1129" w:type="dxa"/>
            <w:vMerge w:val="restart"/>
            <w:tcBorders>
              <w:top w:val="single" w:sz="4" w:space="0" w:color="auto"/>
              <w:left w:val="single" w:sz="4" w:space="0" w:color="auto"/>
              <w:right w:val="single" w:sz="4" w:space="0" w:color="auto"/>
            </w:tcBorders>
            <w:shd w:val="clear" w:color="auto" w:fill="BDD6EE" w:themeFill="accent1" w:themeFillTint="66"/>
            <w:vAlign w:val="center"/>
            <w:hideMark/>
          </w:tcPr>
          <w:p w:rsidR="005A6322" w:rsidRPr="005A6322" w:rsidRDefault="005A6322" w:rsidP="005A6322">
            <w:pPr>
              <w:autoSpaceDE w:val="0"/>
              <w:autoSpaceDN w:val="0"/>
              <w:adjustRightInd w:val="0"/>
              <w:spacing w:after="0" w:line="240" w:lineRule="auto"/>
              <w:jc w:val="center"/>
              <w:rPr>
                <w:rFonts w:ascii="Times New Roman" w:hAnsi="Times New Roman" w:cs="Times New Roman"/>
                <w:b/>
                <w:bCs/>
                <w:sz w:val="16"/>
                <w:szCs w:val="16"/>
              </w:rPr>
            </w:pPr>
            <w:r w:rsidRPr="005A6322">
              <w:rPr>
                <w:rFonts w:ascii="Times New Roman" w:hAnsi="Times New Roman" w:cs="Times New Roman"/>
                <w:b/>
                <w:bCs/>
                <w:sz w:val="16"/>
                <w:szCs w:val="16"/>
              </w:rPr>
              <w:t>Humain</w:t>
            </w:r>
          </w:p>
        </w:tc>
        <w:tc>
          <w:tcPr>
            <w:tcW w:w="2131" w:type="dxa"/>
            <w:tcBorders>
              <w:top w:val="single" w:sz="4" w:space="0" w:color="auto"/>
              <w:left w:val="single" w:sz="4" w:space="0" w:color="auto"/>
              <w:bottom w:val="single" w:sz="4" w:space="0" w:color="auto"/>
              <w:right w:val="single" w:sz="4" w:space="0" w:color="auto"/>
            </w:tcBorders>
            <w:vAlign w:val="center"/>
          </w:tcPr>
          <w:p w:rsidR="005A6322" w:rsidRPr="005A6322" w:rsidRDefault="005A6322" w:rsidP="005A6322">
            <w:pPr>
              <w:autoSpaceDE w:val="0"/>
              <w:autoSpaceDN w:val="0"/>
              <w:adjustRightInd w:val="0"/>
              <w:spacing w:after="0" w:line="240" w:lineRule="auto"/>
              <w:jc w:val="both"/>
              <w:rPr>
                <w:rFonts w:ascii="Times New Roman" w:hAnsi="Times New Roman" w:cs="Times New Roman"/>
                <w:sz w:val="16"/>
                <w:szCs w:val="16"/>
              </w:rPr>
            </w:pPr>
            <w:r w:rsidRPr="005A6322">
              <w:rPr>
                <w:rFonts w:ascii="Times New Roman" w:hAnsi="Times New Roman" w:cs="Times New Roman"/>
                <w:color w:val="000000"/>
                <w:sz w:val="16"/>
                <w:szCs w:val="16"/>
              </w:rPr>
              <w:t>Atténuation significativement les déficits d’approvisionnement en eau potable</w:t>
            </w:r>
          </w:p>
        </w:tc>
        <w:tc>
          <w:tcPr>
            <w:tcW w:w="4673" w:type="dxa"/>
            <w:tcBorders>
              <w:top w:val="single" w:sz="4" w:space="0" w:color="auto"/>
              <w:left w:val="single" w:sz="4" w:space="0" w:color="auto"/>
              <w:bottom w:val="single" w:sz="4" w:space="0" w:color="auto"/>
              <w:right w:val="single" w:sz="4" w:space="0" w:color="auto"/>
            </w:tcBorders>
            <w:vAlign w:val="center"/>
          </w:tcPr>
          <w:p w:rsidR="005A6322" w:rsidRPr="005A6322" w:rsidRDefault="005A6322" w:rsidP="005A6322">
            <w:pPr>
              <w:autoSpaceDE w:val="0"/>
              <w:autoSpaceDN w:val="0"/>
              <w:adjustRightInd w:val="0"/>
              <w:spacing w:after="0" w:line="240" w:lineRule="auto"/>
              <w:jc w:val="both"/>
              <w:rPr>
                <w:rFonts w:ascii="Times New Roman" w:hAnsi="Times New Roman" w:cs="Times New Roman"/>
                <w:sz w:val="16"/>
                <w:szCs w:val="16"/>
              </w:rPr>
            </w:pPr>
            <w:r w:rsidRPr="005A6322">
              <w:rPr>
                <w:rFonts w:ascii="Times New Roman" w:hAnsi="Times New Roman" w:cs="Times New Roman"/>
                <w:sz w:val="16"/>
                <w:szCs w:val="16"/>
              </w:rPr>
              <w:t>-Connecter le maximum de ménage au niveau des nouveaux réservoirs ;</w:t>
            </w:r>
          </w:p>
          <w:p w:rsidR="005A6322" w:rsidRPr="005A6322" w:rsidRDefault="005A6322" w:rsidP="005A6322">
            <w:pPr>
              <w:autoSpaceDE w:val="0"/>
              <w:autoSpaceDN w:val="0"/>
              <w:adjustRightInd w:val="0"/>
              <w:spacing w:after="0" w:line="240" w:lineRule="auto"/>
              <w:jc w:val="both"/>
              <w:rPr>
                <w:rFonts w:ascii="Times New Roman" w:hAnsi="Times New Roman" w:cs="Times New Roman"/>
                <w:sz w:val="16"/>
                <w:szCs w:val="16"/>
              </w:rPr>
            </w:pPr>
            <w:r w:rsidRPr="005A6322">
              <w:rPr>
                <w:rFonts w:ascii="Times New Roman" w:hAnsi="Times New Roman" w:cs="Times New Roman"/>
                <w:sz w:val="16"/>
                <w:szCs w:val="16"/>
              </w:rPr>
              <w:t>-Mettre en place un système d’abonnement facile pour la population ;</w:t>
            </w:r>
          </w:p>
          <w:p w:rsidR="005A6322" w:rsidRPr="005A6322" w:rsidRDefault="005A6322" w:rsidP="005A6322">
            <w:pPr>
              <w:autoSpaceDE w:val="0"/>
              <w:autoSpaceDN w:val="0"/>
              <w:adjustRightInd w:val="0"/>
              <w:spacing w:after="0" w:line="240" w:lineRule="auto"/>
              <w:jc w:val="both"/>
              <w:rPr>
                <w:rFonts w:ascii="Times New Roman" w:hAnsi="Times New Roman" w:cs="Times New Roman"/>
                <w:sz w:val="16"/>
                <w:szCs w:val="16"/>
              </w:rPr>
            </w:pPr>
            <w:r w:rsidRPr="005A6322">
              <w:rPr>
                <w:rFonts w:ascii="Times New Roman" w:hAnsi="Times New Roman" w:cs="Times New Roman"/>
                <w:sz w:val="16"/>
                <w:szCs w:val="16"/>
              </w:rPr>
              <w:t>-Diminuer les frais d’adhésion au service ;</w:t>
            </w:r>
          </w:p>
        </w:tc>
        <w:tc>
          <w:tcPr>
            <w:tcW w:w="3402" w:type="dxa"/>
            <w:tcBorders>
              <w:top w:val="single" w:sz="4" w:space="0" w:color="auto"/>
              <w:left w:val="single" w:sz="4" w:space="0" w:color="auto"/>
              <w:bottom w:val="single" w:sz="4" w:space="0" w:color="auto"/>
              <w:right w:val="single" w:sz="4" w:space="0" w:color="auto"/>
            </w:tcBorders>
            <w:vAlign w:val="center"/>
          </w:tcPr>
          <w:p w:rsidR="005A6322" w:rsidRPr="005A6322" w:rsidRDefault="005A6322" w:rsidP="005A6322">
            <w:pPr>
              <w:autoSpaceDE w:val="0"/>
              <w:autoSpaceDN w:val="0"/>
              <w:adjustRightInd w:val="0"/>
              <w:spacing w:after="0" w:line="240" w:lineRule="auto"/>
              <w:jc w:val="both"/>
              <w:rPr>
                <w:rFonts w:ascii="Times New Roman" w:hAnsi="Times New Roman" w:cs="Times New Roman"/>
                <w:sz w:val="16"/>
                <w:szCs w:val="16"/>
              </w:rPr>
            </w:pPr>
            <w:r w:rsidRPr="005A6322">
              <w:rPr>
                <w:rFonts w:ascii="Times New Roman" w:hAnsi="Times New Roman" w:cs="Times New Roman"/>
                <w:sz w:val="16"/>
                <w:szCs w:val="16"/>
              </w:rPr>
              <w:t>-Nombre de ménages connectés au réservoir ;</w:t>
            </w:r>
          </w:p>
          <w:p w:rsidR="005A6322" w:rsidRPr="005A6322" w:rsidRDefault="005A6322" w:rsidP="005A6322">
            <w:pPr>
              <w:autoSpaceDE w:val="0"/>
              <w:autoSpaceDN w:val="0"/>
              <w:adjustRightInd w:val="0"/>
              <w:spacing w:after="0" w:line="240" w:lineRule="auto"/>
              <w:jc w:val="both"/>
              <w:rPr>
                <w:rFonts w:ascii="Times New Roman" w:hAnsi="Times New Roman" w:cs="Times New Roman"/>
                <w:sz w:val="16"/>
                <w:szCs w:val="16"/>
              </w:rPr>
            </w:pPr>
            <w:r w:rsidRPr="005A6322">
              <w:rPr>
                <w:rFonts w:ascii="Times New Roman" w:hAnsi="Times New Roman" w:cs="Times New Roman"/>
                <w:sz w:val="16"/>
                <w:szCs w:val="16"/>
              </w:rPr>
              <w:t>-Nombre de plainant par rapport au procédure d’abonnement ;</w:t>
            </w:r>
          </w:p>
          <w:p w:rsidR="005A6322" w:rsidRPr="005A6322" w:rsidRDefault="005A6322" w:rsidP="005A6322">
            <w:pPr>
              <w:autoSpaceDE w:val="0"/>
              <w:autoSpaceDN w:val="0"/>
              <w:adjustRightInd w:val="0"/>
              <w:spacing w:after="0" w:line="240" w:lineRule="auto"/>
              <w:jc w:val="both"/>
              <w:rPr>
                <w:rFonts w:ascii="Times New Roman" w:hAnsi="Times New Roman" w:cs="Times New Roman"/>
                <w:sz w:val="16"/>
                <w:szCs w:val="16"/>
              </w:rPr>
            </w:pPr>
            <w:r w:rsidRPr="005A6322">
              <w:rPr>
                <w:rFonts w:ascii="Times New Roman" w:hAnsi="Times New Roman" w:cs="Times New Roman"/>
                <w:sz w:val="16"/>
                <w:szCs w:val="16"/>
              </w:rPr>
              <w:t>-Présence des factures d’abonnement ;</w:t>
            </w:r>
          </w:p>
          <w:p w:rsidR="005A6322" w:rsidRPr="005A6322" w:rsidRDefault="005A6322" w:rsidP="005A6322">
            <w:pPr>
              <w:autoSpaceDE w:val="0"/>
              <w:autoSpaceDN w:val="0"/>
              <w:adjustRightInd w:val="0"/>
              <w:spacing w:after="0" w:line="240" w:lineRule="auto"/>
              <w:jc w:val="both"/>
              <w:rPr>
                <w:rFonts w:ascii="Times New Roman" w:hAnsi="Times New Roman" w:cs="Times New Roman"/>
                <w:sz w:val="16"/>
                <w:szCs w:val="16"/>
              </w:rPr>
            </w:pPr>
          </w:p>
        </w:tc>
        <w:tc>
          <w:tcPr>
            <w:tcW w:w="1276"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rsidR="005A6322" w:rsidRPr="005A6322" w:rsidRDefault="005A6322" w:rsidP="005A6322">
            <w:pPr>
              <w:autoSpaceDE w:val="0"/>
              <w:autoSpaceDN w:val="0"/>
              <w:adjustRightInd w:val="0"/>
              <w:spacing w:after="0" w:line="240" w:lineRule="auto"/>
              <w:jc w:val="center"/>
              <w:rPr>
                <w:rFonts w:ascii="Times New Roman" w:hAnsi="Times New Roman" w:cs="Times New Roman"/>
                <w:b/>
                <w:sz w:val="16"/>
                <w:szCs w:val="16"/>
              </w:rPr>
            </w:pPr>
            <w:r w:rsidRPr="005A6322">
              <w:rPr>
                <w:rFonts w:ascii="Times New Roman" w:hAnsi="Times New Roman" w:cs="Times New Roman"/>
                <w:b/>
                <w:sz w:val="16"/>
                <w:szCs w:val="16"/>
              </w:rPr>
              <w:t>ETAT</w:t>
            </w:r>
          </w:p>
          <w:p w:rsidR="005A6322" w:rsidRPr="005A6322" w:rsidRDefault="005A6322" w:rsidP="005A6322">
            <w:pPr>
              <w:autoSpaceDE w:val="0"/>
              <w:autoSpaceDN w:val="0"/>
              <w:adjustRightInd w:val="0"/>
              <w:spacing w:after="0" w:line="240" w:lineRule="auto"/>
              <w:jc w:val="center"/>
              <w:rPr>
                <w:rFonts w:ascii="Times New Roman" w:hAnsi="Times New Roman" w:cs="Times New Roman"/>
                <w:b/>
                <w:sz w:val="16"/>
                <w:szCs w:val="16"/>
              </w:rPr>
            </w:pPr>
            <w:r w:rsidRPr="005A6322">
              <w:rPr>
                <w:rFonts w:ascii="Times New Roman" w:hAnsi="Times New Roman" w:cs="Times New Roman"/>
                <w:b/>
                <w:sz w:val="16"/>
                <w:szCs w:val="16"/>
              </w:rPr>
              <w:t>EAGB</w:t>
            </w:r>
          </w:p>
        </w:tc>
        <w:tc>
          <w:tcPr>
            <w:tcW w:w="1134"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rsidR="005A6322" w:rsidRPr="005A6322" w:rsidRDefault="005A6322" w:rsidP="005A6322">
            <w:pPr>
              <w:autoSpaceDE w:val="0"/>
              <w:autoSpaceDN w:val="0"/>
              <w:adjustRightInd w:val="0"/>
              <w:spacing w:after="0" w:line="240" w:lineRule="auto"/>
              <w:jc w:val="center"/>
              <w:rPr>
                <w:rFonts w:ascii="Times New Roman" w:hAnsi="Times New Roman" w:cs="Times New Roman"/>
                <w:b/>
                <w:sz w:val="16"/>
                <w:szCs w:val="16"/>
              </w:rPr>
            </w:pPr>
            <w:r w:rsidRPr="005A6322">
              <w:rPr>
                <w:rFonts w:ascii="Times New Roman" w:hAnsi="Times New Roman" w:cs="Times New Roman"/>
                <w:b/>
                <w:sz w:val="16"/>
                <w:szCs w:val="16"/>
              </w:rPr>
              <w:t>Comité de suivi</w:t>
            </w:r>
          </w:p>
        </w:tc>
        <w:tc>
          <w:tcPr>
            <w:tcW w:w="1134" w:type="dxa"/>
            <w:tcBorders>
              <w:top w:val="single" w:sz="4" w:space="0" w:color="auto"/>
              <w:left w:val="single" w:sz="4" w:space="0" w:color="auto"/>
              <w:bottom w:val="single" w:sz="4" w:space="0" w:color="auto"/>
              <w:right w:val="single" w:sz="4" w:space="0" w:color="auto"/>
            </w:tcBorders>
            <w:vAlign w:val="center"/>
            <w:hideMark/>
          </w:tcPr>
          <w:p w:rsidR="005A6322" w:rsidRPr="005A6322" w:rsidRDefault="005A6322" w:rsidP="005A6322">
            <w:pPr>
              <w:autoSpaceDE w:val="0"/>
              <w:autoSpaceDN w:val="0"/>
              <w:adjustRightInd w:val="0"/>
              <w:spacing w:after="0" w:line="240" w:lineRule="auto"/>
              <w:jc w:val="center"/>
              <w:rPr>
                <w:rFonts w:ascii="Times New Roman" w:hAnsi="Times New Roman" w:cs="Times New Roman"/>
                <w:sz w:val="16"/>
                <w:szCs w:val="16"/>
              </w:rPr>
            </w:pPr>
            <w:r w:rsidRPr="005A6322">
              <w:rPr>
                <w:rFonts w:ascii="Times New Roman" w:hAnsi="Times New Roman" w:cs="Times New Roman"/>
                <w:sz w:val="16"/>
                <w:szCs w:val="16"/>
              </w:rPr>
              <w:t>Durant l’exploitation / deux fois par an</w:t>
            </w:r>
          </w:p>
        </w:tc>
        <w:tc>
          <w:tcPr>
            <w:tcW w:w="1134"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rsidR="005A6322" w:rsidRPr="005A6322" w:rsidRDefault="005A6322" w:rsidP="005A6322">
            <w:pPr>
              <w:autoSpaceDE w:val="0"/>
              <w:autoSpaceDN w:val="0"/>
              <w:adjustRightInd w:val="0"/>
              <w:spacing w:after="0" w:line="240" w:lineRule="auto"/>
              <w:jc w:val="center"/>
              <w:rPr>
                <w:rFonts w:ascii="Times New Roman" w:hAnsi="Times New Roman" w:cs="Times New Roman"/>
                <w:b/>
                <w:sz w:val="16"/>
                <w:szCs w:val="16"/>
              </w:rPr>
            </w:pPr>
            <w:r w:rsidRPr="005A6322">
              <w:rPr>
                <w:rFonts w:ascii="Times New Roman" w:hAnsi="Times New Roman" w:cs="Times New Roman"/>
                <w:b/>
                <w:sz w:val="16"/>
                <w:szCs w:val="16"/>
              </w:rPr>
              <w:t>PM</w:t>
            </w:r>
          </w:p>
          <w:p w:rsidR="005A6322" w:rsidRPr="005A6322" w:rsidRDefault="005A6322" w:rsidP="005A6322">
            <w:pPr>
              <w:autoSpaceDE w:val="0"/>
              <w:autoSpaceDN w:val="0"/>
              <w:adjustRightInd w:val="0"/>
              <w:spacing w:after="0" w:line="240" w:lineRule="auto"/>
              <w:jc w:val="center"/>
              <w:rPr>
                <w:rFonts w:ascii="Times New Roman" w:hAnsi="Times New Roman" w:cs="Times New Roman"/>
                <w:b/>
                <w:sz w:val="16"/>
                <w:szCs w:val="16"/>
              </w:rPr>
            </w:pPr>
          </w:p>
        </w:tc>
      </w:tr>
      <w:tr w:rsidR="005A6322" w:rsidRPr="005A6322" w:rsidTr="003A6643">
        <w:trPr>
          <w:trHeight w:val="70"/>
          <w:jc w:val="center"/>
        </w:trPr>
        <w:tc>
          <w:tcPr>
            <w:tcW w:w="1129" w:type="dxa"/>
            <w:vMerge/>
            <w:tcBorders>
              <w:left w:val="single" w:sz="4" w:space="0" w:color="auto"/>
              <w:right w:val="single" w:sz="4" w:space="0" w:color="auto"/>
            </w:tcBorders>
            <w:shd w:val="clear" w:color="auto" w:fill="BDD6EE" w:themeFill="accent1" w:themeFillTint="66"/>
            <w:vAlign w:val="center"/>
          </w:tcPr>
          <w:p w:rsidR="005A6322" w:rsidRPr="005A6322" w:rsidRDefault="005A6322" w:rsidP="005A6322">
            <w:pPr>
              <w:autoSpaceDE w:val="0"/>
              <w:autoSpaceDN w:val="0"/>
              <w:adjustRightInd w:val="0"/>
              <w:spacing w:after="0" w:line="240" w:lineRule="auto"/>
              <w:jc w:val="center"/>
              <w:rPr>
                <w:rFonts w:ascii="Times New Roman" w:hAnsi="Times New Roman" w:cs="Times New Roman"/>
                <w:b/>
                <w:bCs/>
                <w:sz w:val="16"/>
                <w:szCs w:val="16"/>
              </w:rPr>
            </w:pPr>
          </w:p>
        </w:tc>
        <w:tc>
          <w:tcPr>
            <w:tcW w:w="2131" w:type="dxa"/>
            <w:tcBorders>
              <w:top w:val="single" w:sz="4" w:space="0" w:color="auto"/>
              <w:left w:val="single" w:sz="4" w:space="0" w:color="auto"/>
              <w:bottom w:val="single" w:sz="4" w:space="0" w:color="auto"/>
              <w:right w:val="single" w:sz="4" w:space="0" w:color="auto"/>
            </w:tcBorders>
            <w:vAlign w:val="center"/>
          </w:tcPr>
          <w:p w:rsidR="005A6322" w:rsidRPr="005A6322" w:rsidRDefault="005A6322" w:rsidP="005A6322">
            <w:pPr>
              <w:autoSpaceDE w:val="0"/>
              <w:autoSpaceDN w:val="0"/>
              <w:adjustRightInd w:val="0"/>
              <w:spacing w:after="0" w:line="240" w:lineRule="auto"/>
              <w:jc w:val="both"/>
              <w:rPr>
                <w:rFonts w:ascii="Times New Roman" w:hAnsi="Times New Roman" w:cs="Times New Roman"/>
                <w:color w:val="000000"/>
                <w:sz w:val="16"/>
                <w:szCs w:val="16"/>
              </w:rPr>
            </w:pPr>
            <w:r w:rsidRPr="005A6322">
              <w:rPr>
                <w:rFonts w:ascii="Times New Roman" w:hAnsi="Times New Roman" w:cs="Times New Roman"/>
                <w:color w:val="000000"/>
                <w:sz w:val="16"/>
                <w:szCs w:val="16"/>
              </w:rPr>
              <w:t>Réduction de la prévalence des maladies d’origine hydrique</w:t>
            </w:r>
          </w:p>
        </w:tc>
        <w:tc>
          <w:tcPr>
            <w:tcW w:w="4673" w:type="dxa"/>
            <w:tcBorders>
              <w:top w:val="single" w:sz="4" w:space="0" w:color="auto"/>
              <w:left w:val="single" w:sz="4" w:space="0" w:color="auto"/>
              <w:bottom w:val="single" w:sz="4" w:space="0" w:color="auto"/>
              <w:right w:val="single" w:sz="4" w:space="0" w:color="auto"/>
            </w:tcBorders>
            <w:vAlign w:val="center"/>
          </w:tcPr>
          <w:p w:rsidR="005A6322" w:rsidRPr="005A6322" w:rsidRDefault="005A6322" w:rsidP="003A6643">
            <w:pPr>
              <w:autoSpaceDE w:val="0"/>
              <w:autoSpaceDN w:val="0"/>
              <w:adjustRightInd w:val="0"/>
              <w:spacing w:after="0" w:line="240" w:lineRule="auto"/>
              <w:jc w:val="both"/>
              <w:rPr>
                <w:rFonts w:ascii="Times New Roman" w:hAnsi="Times New Roman" w:cs="Times New Roman"/>
                <w:sz w:val="16"/>
                <w:szCs w:val="16"/>
              </w:rPr>
            </w:pPr>
            <w:r w:rsidRPr="005A6322">
              <w:rPr>
                <w:rFonts w:ascii="Times New Roman" w:hAnsi="Times New Roman" w:cs="Times New Roman"/>
                <w:sz w:val="16"/>
                <w:szCs w:val="16"/>
              </w:rPr>
              <w:t xml:space="preserve">Organiser des campagnes de sensibilisation avec les services sanitaires pour lutter contre utilisation </w:t>
            </w:r>
            <w:r w:rsidRPr="003A6643">
              <w:rPr>
                <w:rFonts w:ascii="Times New Roman" w:hAnsi="Times New Roman" w:cs="Times New Roman"/>
                <w:sz w:val="16"/>
                <w:szCs w:val="16"/>
              </w:rPr>
              <w:t>certaines nappes polluées directement par les ménages ;</w:t>
            </w:r>
          </w:p>
          <w:p w:rsidR="005A6322" w:rsidRPr="005A6322" w:rsidRDefault="005A6322" w:rsidP="003A6643">
            <w:pPr>
              <w:autoSpaceDE w:val="0"/>
              <w:autoSpaceDN w:val="0"/>
              <w:adjustRightInd w:val="0"/>
              <w:spacing w:after="0" w:line="240" w:lineRule="auto"/>
              <w:jc w:val="both"/>
              <w:rPr>
                <w:rFonts w:ascii="Times New Roman" w:hAnsi="Times New Roman" w:cs="Times New Roman"/>
                <w:sz w:val="16"/>
                <w:szCs w:val="16"/>
              </w:rPr>
            </w:pPr>
            <w:r w:rsidRPr="005A6322">
              <w:rPr>
                <w:rFonts w:ascii="Times New Roman" w:hAnsi="Times New Roman" w:cs="Times New Roman"/>
                <w:sz w:val="16"/>
                <w:szCs w:val="16"/>
              </w:rPr>
              <w:t>Installer des bornes fontaines dans les localisés qui ont pas les moyens de s’abonner ;</w:t>
            </w:r>
          </w:p>
        </w:tc>
        <w:tc>
          <w:tcPr>
            <w:tcW w:w="3402" w:type="dxa"/>
            <w:tcBorders>
              <w:top w:val="single" w:sz="4" w:space="0" w:color="auto"/>
              <w:left w:val="single" w:sz="4" w:space="0" w:color="auto"/>
              <w:bottom w:val="single" w:sz="4" w:space="0" w:color="auto"/>
              <w:right w:val="single" w:sz="4" w:space="0" w:color="auto"/>
            </w:tcBorders>
            <w:vAlign w:val="center"/>
          </w:tcPr>
          <w:p w:rsidR="005A6322" w:rsidRPr="005A6322" w:rsidRDefault="005A6322" w:rsidP="005A6322">
            <w:pPr>
              <w:autoSpaceDE w:val="0"/>
              <w:autoSpaceDN w:val="0"/>
              <w:adjustRightInd w:val="0"/>
              <w:spacing w:after="0" w:line="240" w:lineRule="auto"/>
              <w:jc w:val="both"/>
              <w:rPr>
                <w:rFonts w:ascii="Times New Roman" w:hAnsi="Times New Roman" w:cs="Times New Roman"/>
                <w:sz w:val="16"/>
                <w:szCs w:val="16"/>
              </w:rPr>
            </w:pPr>
            <w:r w:rsidRPr="005A6322">
              <w:rPr>
                <w:rFonts w:ascii="Times New Roman" w:hAnsi="Times New Roman" w:cs="Times New Roman"/>
                <w:sz w:val="16"/>
                <w:szCs w:val="16"/>
              </w:rPr>
              <w:t>- Nombre de campagnes organisée ;</w:t>
            </w:r>
          </w:p>
          <w:p w:rsidR="005A6322" w:rsidRPr="005A6322" w:rsidRDefault="005A6322" w:rsidP="005A6322">
            <w:pPr>
              <w:autoSpaceDE w:val="0"/>
              <w:autoSpaceDN w:val="0"/>
              <w:adjustRightInd w:val="0"/>
              <w:spacing w:after="0" w:line="240" w:lineRule="auto"/>
              <w:jc w:val="both"/>
              <w:rPr>
                <w:rFonts w:ascii="Times New Roman" w:hAnsi="Times New Roman" w:cs="Times New Roman"/>
                <w:sz w:val="16"/>
                <w:szCs w:val="16"/>
              </w:rPr>
            </w:pPr>
            <w:r w:rsidRPr="005A6322">
              <w:rPr>
                <w:rFonts w:ascii="Times New Roman" w:hAnsi="Times New Roman" w:cs="Times New Roman"/>
                <w:sz w:val="16"/>
                <w:szCs w:val="16"/>
              </w:rPr>
              <w:t>- Nombre de personnes sensibilisées ;</w:t>
            </w:r>
          </w:p>
          <w:p w:rsidR="005A6322" w:rsidRPr="005A6322" w:rsidRDefault="005A6322" w:rsidP="005A6322">
            <w:pPr>
              <w:autoSpaceDE w:val="0"/>
              <w:autoSpaceDN w:val="0"/>
              <w:adjustRightInd w:val="0"/>
              <w:spacing w:after="0" w:line="240" w:lineRule="auto"/>
              <w:jc w:val="both"/>
              <w:rPr>
                <w:rFonts w:ascii="Times New Roman" w:hAnsi="Times New Roman" w:cs="Times New Roman"/>
                <w:sz w:val="16"/>
                <w:szCs w:val="16"/>
              </w:rPr>
            </w:pPr>
            <w:r w:rsidRPr="005A6322">
              <w:rPr>
                <w:rFonts w:ascii="Times New Roman" w:hAnsi="Times New Roman" w:cs="Times New Roman"/>
                <w:sz w:val="16"/>
                <w:szCs w:val="16"/>
              </w:rPr>
              <w:t>- Nombre de bornes fontaine installés ;</w:t>
            </w:r>
          </w:p>
          <w:p w:rsidR="005A6322" w:rsidRPr="005A6322" w:rsidRDefault="005A6322" w:rsidP="005A6322">
            <w:pPr>
              <w:autoSpaceDE w:val="0"/>
              <w:autoSpaceDN w:val="0"/>
              <w:adjustRightInd w:val="0"/>
              <w:spacing w:after="0" w:line="240" w:lineRule="auto"/>
              <w:jc w:val="both"/>
              <w:rPr>
                <w:rFonts w:ascii="Times New Roman" w:hAnsi="Times New Roman" w:cs="Times New Roman"/>
                <w:sz w:val="16"/>
                <w:szCs w:val="16"/>
              </w:rPr>
            </w:pPr>
          </w:p>
          <w:p w:rsidR="005A6322" w:rsidRPr="005A6322" w:rsidRDefault="005A6322" w:rsidP="005A6322">
            <w:pPr>
              <w:autoSpaceDE w:val="0"/>
              <w:autoSpaceDN w:val="0"/>
              <w:adjustRightInd w:val="0"/>
              <w:spacing w:after="0" w:line="240" w:lineRule="auto"/>
              <w:jc w:val="both"/>
              <w:rPr>
                <w:rFonts w:ascii="Times New Roman" w:hAnsi="Times New Roman" w:cs="Times New Roman"/>
                <w:sz w:val="16"/>
                <w:szCs w:val="16"/>
              </w:rPr>
            </w:pPr>
          </w:p>
        </w:tc>
        <w:tc>
          <w:tcPr>
            <w:tcW w:w="1276"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5A6322" w:rsidRPr="005A6322" w:rsidRDefault="005A6322" w:rsidP="005A6322">
            <w:pPr>
              <w:autoSpaceDE w:val="0"/>
              <w:autoSpaceDN w:val="0"/>
              <w:adjustRightInd w:val="0"/>
              <w:spacing w:after="0" w:line="240" w:lineRule="auto"/>
              <w:jc w:val="center"/>
              <w:rPr>
                <w:rFonts w:ascii="Times New Roman" w:hAnsi="Times New Roman" w:cs="Times New Roman"/>
                <w:b/>
                <w:sz w:val="16"/>
                <w:szCs w:val="16"/>
              </w:rPr>
            </w:pPr>
            <w:r w:rsidRPr="005A6322">
              <w:rPr>
                <w:rFonts w:ascii="Times New Roman" w:hAnsi="Times New Roman" w:cs="Times New Roman"/>
                <w:b/>
                <w:sz w:val="16"/>
                <w:szCs w:val="16"/>
              </w:rPr>
              <w:t>ETAT</w:t>
            </w:r>
          </w:p>
          <w:p w:rsidR="005A6322" w:rsidRPr="005A6322" w:rsidRDefault="005A6322" w:rsidP="005A6322">
            <w:pPr>
              <w:autoSpaceDE w:val="0"/>
              <w:autoSpaceDN w:val="0"/>
              <w:adjustRightInd w:val="0"/>
              <w:spacing w:after="0" w:line="240" w:lineRule="auto"/>
              <w:jc w:val="center"/>
              <w:rPr>
                <w:rFonts w:ascii="Times New Roman" w:hAnsi="Times New Roman" w:cs="Times New Roman"/>
                <w:b/>
                <w:sz w:val="16"/>
                <w:szCs w:val="16"/>
              </w:rPr>
            </w:pPr>
            <w:r w:rsidRPr="005A6322">
              <w:rPr>
                <w:rFonts w:ascii="Times New Roman" w:hAnsi="Times New Roman" w:cs="Times New Roman"/>
                <w:b/>
                <w:sz w:val="16"/>
                <w:szCs w:val="16"/>
              </w:rPr>
              <w:t>PUASEE-FA</w:t>
            </w:r>
          </w:p>
          <w:p w:rsidR="005A6322" w:rsidRPr="005A6322" w:rsidRDefault="005A6322" w:rsidP="005A6322">
            <w:pPr>
              <w:autoSpaceDE w:val="0"/>
              <w:autoSpaceDN w:val="0"/>
              <w:adjustRightInd w:val="0"/>
              <w:spacing w:after="0" w:line="240" w:lineRule="auto"/>
              <w:jc w:val="center"/>
              <w:rPr>
                <w:rFonts w:ascii="Times New Roman" w:hAnsi="Times New Roman" w:cs="Times New Roman"/>
                <w:b/>
                <w:sz w:val="16"/>
                <w:szCs w:val="16"/>
              </w:rPr>
            </w:pPr>
            <w:r w:rsidRPr="005A6322">
              <w:rPr>
                <w:rFonts w:ascii="Times New Roman" w:hAnsi="Times New Roman" w:cs="Times New Roman"/>
                <w:b/>
                <w:sz w:val="16"/>
                <w:szCs w:val="16"/>
              </w:rPr>
              <w:t>EAGB</w:t>
            </w:r>
          </w:p>
        </w:tc>
        <w:tc>
          <w:tcPr>
            <w:tcW w:w="1134"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5A6322" w:rsidRPr="005A6322" w:rsidRDefault="005A6322" w:rsidP="005A6322">
            <w:pPr>
              <w:autoSpaceDE w:val="0"/>
              <w:autoSpaceDN w:val="0"/>
              <w:adjustRightInd w:val="0"/>
              <w:spacing w:after="0" w:line="240" w:lineRule="auto"/>
              <w:jc w:val="center"/>
              <w:rPr>
                <w:rFonts w:ascii="Times New Roman" w:hAnsi="Times New Roman" w:cs="Times New Roman"/>
                <w:b/>
                <w:sz w:val="16"/>
                <w:szCs w:val="16"/>
              </w:rPr>
            </w:pPr>
            <w:r w:rsidRPr="005A6322">
              <w:rPr>
                <w:rFonts w:ascii="Times New Roman" w:hAnsi="Times New Roman" w:cs="Times New Roman"/>
                <w:b/>
                <w:sz w:val="16"/>
                <w:szCs w:val="16"/>
              </w:rPr>
              <w:t>Comité de suivi</w:t>
            </w:r>
          </w:p>
        </w:tc>
        <w:tc>
          <w:tcPr>
            <w:tcW w:w="1134" w:type="dxa"/>
            <w:tcBorders>
              <w:top w:val="single" w:sz="4" w:space="0" w:color="auto"/>
              <w:left w:val="single" w:sz="4" w:space="0" w:color="auto"/>
              <w:bottom w:val="single" w:sz="4" w:space="0" w:color="auto"/>
              <w:right w:val="single" w:sz="4" w:space="0" w:color="auto"/>
            </w:tcBorders>
            <w:vAlign w:val="center"/>
          </w:tcPr>
          <w:p w:rsidR="005A6322" w:rsidRPr="005A6322" w:rsidRDefault="005A6322" w:rsidP="005A6322">
            <w:pPr>
              <w:autoSpaceDE w:val="0"/>
              <w:autoSpaceDN w:val="0"/>
              <w:adjustRightInd w:val="0"/>
              <w:spacing w:after="0" w:line="240" w:lineRule="auto"/>
              <w:jc w:val="center"/>
              <w:rPr>
                <w:rFonts w:ascii="Times New Roman" w:hAnsi="Times New Roman" w:cs="Times New Roman"/>
                <w:sz w:val="16"/>
                <w:szCs w:val="16"/>
              </w:rPr>
            </w:pPr>
            <w:r w:rsidRPr="005A6322">
              <w:rPr>
                <w:rFonts w:ascii="Times New Roman" w:hAnsi="Times New Roman" w:cs="Times New Roman"/>
                <w:sz w:val="16"/>
                <w:szCs w:val="16"/>
              </w:rPr>
              <w:t>Durant l’exploitation / Trois fois par an</w:t>
            </w:r>
          </w:p>
        </w:tc>
        <w:tc>
          <w:tcPr>
            <w:tcW w:w="1134"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rsidR="005A6322" w:rsidRPr="005A6322" w:rsidRDefault="005A6322" w:rsidP="005A6322">
            <w:pPr>
              <w:autoSpaceDE w:val="0"/>
              <w:autoSpaceDN w:val="0"/>
              <w:adjustRightInd w:val="0"/>
              <w:spacing w:after="0" w:line="240" w:lineRule="auto"/>
              <w:jc w:val="center"/>
              <w:rPr>
                <w:rFonts w:ascii="Times New Roman" w:hAnsi="Times New Roman" w:cs="Times New Roman"/>
                <w:b/>
                <w:sz w:val="16"/>
                <w:szCs w:val="16"/>
              </w:rPr>
            </w:pPr>
            <w:r w:rsidRPr="005A6322">
              <w:rPr>
                <w:rFonts w:ascii="Times New Roman" w:hAnsi="Times New Roman" w:cs="Times New Roman"/>
                <w:b/>
                <w:sz w:val="16"/>
                <w:szCs w:val="16"/>
              </w:rPr>
              <w:t>3 000 000</w:t>
            </w:r>
          </w:p>
        </w:tc>
      </w:tr>
      <w:tr w:rsidR="005A6322" w:rsidRPr="005A6322" w:rsidTr="003A6643">
        <w:trPr>
          <w:trHeight w:val="70"/>
          <w:jc w:val="center"/>
        </w:trPr>
        <w:tc>
          <w:tcPr>
            <w:tcW w:w="1129" w:type="dxa"/>
            <w:vMerge/>
            <w:tcBorders>
              <w:left w:val="single" w:sz="4" w:space="0" w:color="auto"/>
              <w:right w:val="single" w:sz="4" w:space="0" w:color="auto"/>
            </w:tcBorders>
            <w:shd w:val="clear" w:color="auto" w:fill="BDD6EE" w:themeFill="accent1" w:themeFillTint="66"/>
            <w:vAlign w:val="center"/>
          </w:tcPr>
          <w:p w:rsidR="005A6322" w:rsidRPr="005A6322" w:rsidRDefault="005A6322" w:rsidP="005A6322">
            <w:pPr>
              <w:autoSpaceDE w:val="0"/>
              <w:autoSpaceDN w:val="0"/>
              <w:adjustRightInd w:val="0"/>
              <w:spacing w:after="0" w:line="240" w:lineRule="auto"/>
              <w:jc w:val="center"/>
              <w:rPr>
                <w:rFonts w:ascii="Times New Roman" w:hAnsi="Times New Roman" w:cs="Times New Roman"/>
                <w:b/>
                <w:bCs/>
                <w:sz w:val="16"/>
                <w:szCs w:val="16"/>
              </w:rPr>
            </w:pPr>
          </w:p>
        </w:tc>
        <w:tc>
          <w:tcPr>
            <w:tcW w:w="2131" w:type="dxa"/>
            <w:tcBorders>
              <w:top w:val="single" w:sz="4" w:space="0" w:color="auto"/>
              <w:left w:val="single" w:sz="4" w:space="0" w:color="auto"/>
              <w:bottom w:val="single" w:sz="4" w:space="0" w:color="auto"/>
              <w:right w:val="single" w:sz="4" w:space="0" w:color="auto"/>
            </w:tcBorders>
            <w:vAlign w:val="center"/>
          </w:tcPr>
          <w:p w:rsidR="005A6322" w:rsidRPr="005A6322" w:rsidRDefault="005A6322" w:rsidP="005A6322">
            <w:pPr>
              <w:autoSpaceDE w:val="0"/>
              <w:autoSpaceDN w:val="0"/>
              <w:adjustRightInd w:val="0"/>
              <w:spacing w:after="0" w:line="240" w:lineRule="auto"/>
              <w:jc w:val="both"/>
              <w:rPr>
                <w:rFonts w:ascii="Times New Roman" w:hAnsi="Times New Roman" w:cs="Times New Roman"/>
                <w:sz w:val="16"/>
                <w:szCs w:val="16"/>
              </w:rPr>
            </w:pPr>
            <w:r w:rsidRPr="005A6322">
              <w:rPr>
                <w:rFonts w:ascii="Times New Roman" w:hAnsi="Times New Roman" w:cs="Times New Roman"/>
                <w:sz w:val="16"/>
                <w:szCs w:val="16"/>
              </w:rPr>
              <w:t xml:space="preserve">Réduction des coûts liés à l’utilisation de l’eau </w:t>
            </w:r>
          </w:p>
        </w:tc>
        <w:tc>
          <w:tcPr>
            <w:tcW w:w="4673" w:type="dxa"/>
            <w:tcBorders>
              <w:top w:val="single" w:sz="4" w:space="0" w:color="auto"/>
              <w:left w:val="single" w:sz="4" w:space="0" w:color="auto"/>
              <w:bottom w:val="single" w:sz="4" w:space="0" w:color="auto"/>
              <w:right w:val="single" w:sz="4" w:space="0" w:color="auto"/>
            </w:tcBorders>
            <w:vAlign w:val="center"/>
          </w:tcPr>
          <w:p w:rsidR="005A6322" w:rsidRPr="005A6322" w:rsidRDefault="005A6322" w:rsidP="005A6322">
            <w:pPr>
              <w:autoSpaceDE w:val="0"/>
              <w:autoSpaceDN w:val="0"/>
              <w:adjustRightInd w:val="0"/>
              <w:spacing w:after="0" w:line="240" w:lineRule="auto"/>
              <w:jc w:val="both"/>
              <w:rPr>
                <w:rFonts w:ascii="Times New Roman" w:hAnsi="Times New Roman" w:cs="Times New Roman"/>
                <w:sz w:val="16"/>
                <w:szCs w:val="16"/>
              </w:rPr>
            </w:pPr>
            <w:r w:rsidRPr="005A6322">
              <w:rPr>
                <w:rFonts w:ascii="Times New Roman" w:hAnsi="Times New Roman" w:cs="Times New Roman"/>
                <w:sz w:val="16"/>
                <w:szCs w:val="16"/>
              </w:rPr>
              <w:t>-Réduire les couts de manière significative au niveau de l’EAGB ;</w:t>
            </w:r>
          </w:p>
          <w:p w:rsidR="005A6322" w:rsidRPr="005A6322" w:rsidRDefault="005A6322" w:rsidP="005A6322">
            <w:pPr>
              <w:autoSpaceDE w:val="0"/>
              <w:autoSpaceDN w:val="0"/>
              <w:adjustRightInd w:val="0"/>
              <w:spacing w:after="0" w:line="240" w:lineRule="auto"/>
              <w:jc w:val="both"/>
              <w:rPr>
                <w:rFonts w:ascii="Times New Roman" w:hAnsi="Times New Roman" w:cs="Times New Roman"/>
                <w:sz w:val="16"/>
                <w:szCs w:val="16"/>
              </w:rPr>
            </w:pPr>
            <w:r w:rsidRPr="005A6322">
              <w:rPr>
                <w:rFonts w:ascii="Times New Roman" w:hAnsi="Times New Roman" w:cs="Times New Roman"/>
                <w:sz w:val="16"/>
                <w:szCs w:val="16"/>
              </w:rPr>
              <w:t>-Mettre en place un service de régulation et de contrôle des prix ;</w:t>
            </w:r>
          </w:p>
        </w:tc>
        <w:tc>
          <w:tcPr>
            <w:tcW w:w="3402" w:type="dxa"/>
            <w:tcBorders>
              <w:top w:val="single" w:sz="4" w:space="0" w:color="auto"/>
              <w:left w:val="single" w:sz="4" w:space="0" w:color="auto"/>
              <w:bottom w:val="single" w:sz="4" w:space="0" w:color="auto"/>
              <w:right w:val="single" w:sz="4" w:space="0" w:color="auto"/>
            </w:tcBorders>
            <w:vAlign w:val="center"/>
          </w:tcPr>
          <w:p w:rsidR="005A6322" w:rsidRPr="005A6322" w:rsidRDefault="005A6322" w:rsidP="005A6322">
            <w:pPr>
              <w:autoSpaceDE w:val="0"/>
              <w:autoSpaceDN w:val="0"/>
              <w:adjustRightInd w:val="0"/>
              <w:spacing w:after="0" w:line="240" w:lineRule="auto"/>
              <w:jc w:val="both"/>
              <w:rPr>
                <w:rFonts w:ascii="Times New Roman" w:hAnsi="Times New Roman" w:cs="Times New Roman"/>
                <w:sz w:val="16"/>
                <w:szCs w:val="16"/>
              </w:rPr>
            </w:pPr>
            <w:r w:rsidRPr="005A6322">
              <w:rPr>
                <w:rFonts w:ascii="Times New Roman" w:hAnsi="Times New Roman" w:cs="Times New Roman"/>
                <w:sz w:val="16"/>
                <w:szCs w:val="16"/>
              </w:rPr>
              <w:t>-Couts d’accès réduits</w:t>
            </w:r>
          </w:p>
          <w:p w:rsidR="005A6322" w:rsidRPr="005A6322" w:rsidRDefault="005A6322" w:rsidP="005A6322">
            <w:pPr>
              <w:autoSpaceDE w:val="0"/>
              <w:autoSpaceDN w:val="0"/>
              <w:adjustRightInd w:val="0"/>
              <w:spacing w:after="0" w:line="240" w:lineRule="auto"/>
              <w:jc w:val="both"/>
              <w:rPr>
                <w:rFonts w:ascii="Times New Roman" w:hAnsi="Times New Roman" w:cs="Times New Roman"/>
                <w:sz w:val="16"/>
                <w:szCs w:val="16"/>
              </w:rPr>
            </w:pPr>
            <w:r w:rsidRPr="005A6322">
              <w:rPr>
                <w:rFonts w:ascii="Times New Roman" w:hAnsi="Times New Roman" w:cs="Times New Roman"/>
                <w:sz w:val="16"/>
                <w:szCs w:val="16"/>
              </w:rPr>
              <w:t xml:space="preserve">-Présence d’un service de régulation </w:t>
            </w:r>
          </w:p>
        </w:tc>
        <w:tc>
          <w:tcPr>
            <w:tcW w:w="1276"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5A6322" w:rsidRPr="005A6322" w:rsidRDefault="005A6322" w:rsidP="005A6322">
            <w:pPr>
              <w:autoSpaceDE w:val="0"/>
              <w:autoSpaceDN w:val="0"/>
              <w:adjustRightInd w:val="0"/>
              <w:spacing w:after="0" w:line="240" w:lineRule="auto"/>
              <w:jc w:val="center"/>
              <w:rPr>
                <w:rFonts w:ascii="Times New Roman" w:hAnsi="Times New Roman" w:cs="Times New Roman"/>
                <w:b/>
                <w:sz w:val="16"/>
                <w:szCs w:val="16"/>
              </w:rPr>
            </w:pPr>
            <w:r w:rsidRPr="005A6322">
              <w:rPr>
                <w:rFonts w:ascii="Times New Roman" w:hAnsi="Times New Roman" w:cs="Times New Roman"/>
                <w:b/>
                <w:sz w:val="16"/>
                <w:szCs w:val="16"/>
              </w:rPr>
              <w:t>ETAT</w:t>
            </w:r>
          </w:p>
        </w:tc>
        <w:tc>
          <w:tcPr>
            <w:tcW w:w="1134"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5A6322" w:rsidRPr="005A6322" w:rsidRDefault="005A6322" w:rsidP="005A6322">
            <w:pPr>
              <w:autoSpaceDE w:val="0"/>
              <w:autoSpaceDN w:val="0"/>
              <w:adjustRightInd w:val="0"/>
              <w:spacing w:after="0" w:line="240" w:lineRule="auto"/>
              <w:jc w:val="center"/>
              <w:rPr>
                <w:rFonts w:ascii="Times New Roman" w:hAnsi="Times New Roman" w:cs="Times New Roman"/>
                <w:b/>
                <w:sz w:val="16"/>
                <w:szCs w:val="16"/>
              </w:rPr>
            </w:pPr>
            <w:r w:rsidRPr="005A6322">
              <w:rPr>
                <w:rFonts w:ascii="Times New Roman" w:hAnsi="Times New Roman" w:cs="Times New Roman"/>
                <w:b/>
                <w:sz w:val="16"/>
                <w:szCs w:val="16"/>
              </w:rPr>
              <w:t>Comité de suivi</w:t>
            </w:r>
          </w:p>
        </w:tc>
        <w:tc>
          <w:tcPr>
            <w:tcW w:w="1134" w:type="dxa"/>
            <w:tcBorders>
              <w:top w:val="single" w:sz="4" w:space="0" w:color="auto"/>
              <w:left w:val="single" w:sz="4" w:space="0" w:color="auto"/>
              <w:bottom w:val="single" w:sz="4" w:space="0" w:color="auto"/>
              <w:right w:val="single" w:sz="4" w:space="0" w:color="auto"/>
            </w:tcBorders>
            <w:vAlign w:val="center"/>
          </w:tcPr>
          <w:p w:rsidR="005A6322" w:rsidRPr="005A6322" w:rsidRDefault="005A6322" w:rsidP="005A6322">
            <w:pPr>
              <w:autoSpaceDE w:val="0"/>
              <w:autoSpaceDN w:val="0"/>
              <w:adjustRightInd w:val="0"/>
              <w:spacing w:after="0" w:line="240" w:lineRule="auto"/>
              <w:jc w:val="center"/>
              <w:rPr>
                <w:rFonts w:ascii="Times New Roman" w:hAnsi="Times New Roman" w:cs="Times New Roman"/>
                <w:sz w:val="16"/>
                <w:szCs w:val="16"/>
              </w:rPr>
            </w:pPr>
            <w:r w:rsidRPr="005A6322">
              <w:rPr>
                <w:rFonts w:ascii="Times New Roman" w:hAnsi="Times New Roman" w:cs="Times New Roman"/>
                <w:sz w:val="16"/>
                <w:szCs w:val="16"/>
              </w:rPr>
              <w:t>Durant l’exploitation / une  fois par an</w:t>
            </w:r>
          </w:p>
        </w:tc>
        <w:tc>
          <w:tcPr>
            <w:tcW w:w="1134"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rsidR="005A6322" w:rsidRPr="005A6322" w:rsidRDefault="005A6322" w:rsidP="005A6322">
            <w:pPr>
              <w:autoSpaceDE w:val="0"/>
              <w:autoSpaceDN w:val="0"/>
              <w:adjustRightInd w:val="0"/>
              <w:spacing w:after="0" w:line="240" w:lineRule="auto"/>
              <w:jc w:val="center"/>
              <w:rPr>
                <w:rFonts w:ascii="Times New Roman" w:hAnsi="Times New Roman" w:cs="Times New Roman"/>
                <w:b/>
                <w:sz w:val="16"/>
                <w:szCs w:val="16"/>
              </w:rPr>
            </w:pPr>
            <w:r w:rsidRPr="005A6322">
              <w:rPr>
                <w:rFonts w:ascii="Times New Roman" w:hAnsi="Times New Roman" w:cs="Times New Roman"/>
                <w:b/>
                <w:sz w:val="16"/>
                <w:szCs w:val="16"/>
              </w:rPr>
              <w:t>2 500 000</w:t>
            </w:r>
          </w:p>
        </w:tc>
      </w:tr>
      <w:tr w:rsidR="005A6322" w:rsidRPr="005A6322" w:rsidTr="003A6643">
        <w:trPr>
          <w:trHeight w:val="505"/>
          <w:jc w:val="center"/>
        </w:trPr>
        <w:tc>
          <w:tcPr>
            <w:tcW w:w="1129" w:type="dxa"/>
            <w:vMerge/>
            <w:tcBorders>
              <w:left w:val="single" w:sz="4" w:space="0" w:color="auto"/>
              <w:bottom w:val="single" w:sz="4" w:space="0" w:color="auto"/>
              <w:right w:val="single" w:sz="4" w:space="0" w:color="auto"/>
            </w:tcBorders>
            <w:shd w:val="clear" w:color="auto" w:fill="BDD6EE" w:themeFill="accent1" w:themeFillTint="66"/>
            <w:vAlign w:val="center"/>
            <w:hideMark/>
          </w:tcPr>
          <w:p w:rsidR="005A6322" w:rsidRPr="005A6322" w:rsidRDefault="005A6322" w:rsidP="005A6322">
            <w:pPr>
              <w:autoSpaceDE w:val="0"/>
              <w:autoSpaceDN w:val="0"/>
              <w:adjustRightInd w:val="0"/>
              <w:spacing w:after="0" w:line="240" w:lineRule="auto"/>
              <w:jc w:val="center"/>
              <w:rPr>
                <w:rFonts w:ascii="Times New Roman" w:hAnsi="Times New Roman" w:cs="Times New Roman"/>
                <w:b/>
                <w:bCs/>
                <w:sz w:val="16"/>
                <w:szCs w:val="16"/>
              </w:rPr>
            </w:pPr>
          </w:p>
        </w:tc>
        <w:tc>
          <w:tcPr>
            <w:tcW w:w="2131" w:type="dxa"/>
            <w:tcBorders>
              <w:top w:val="single" w:sz="4" w:space="0" w:color="auto"/>
              <w:left w:val="single" w:sz="4" w:space="0" w:color="auto"/>
              <w:bottom w:val="single" w:sz="4" w:space="0" w:color="auto"/>
              <w:right w:val="single" w:sz="4" w:space="0" w:color="auto"/>
            </w:tcBorders>
            <w:vAlign w:val="center"/>
          </w:tcPr>
          <w:p w:rsidR="005A6322" w:rsidRPr="005A6322" w:rsidRDefault="005A6322" w:rsidP="005A6322">
            <w:pPr>
              <w:autoSpaceDE w:val="0"/>
              <w:autoSpaceDN w:val="0"/>
              <w:adjustRightInd w:val="0"/>
              <w:spacing w:after="0" w:line="240" w:lineRule="auto"/>
              <w:jc w:val="both"/>
              <w:rPr>
                <w:rFonts w:ascii="Times New Roman" w:hAnsi="Times New Roman" w:cs="Times New Roman"/>
                <w:sz w:val="16"/>
                <w:szCs w:val="16"/>
              </w:rPr>
            </w:pPr>
            <w:r w:rsidRPr="005A6322">
              <w:rPr>
                <w:rFonts w:ascii="Times New Roman" w:hAnsi="Times New Roman" w:cs="Times New Roman"/>
                <w:sz w:val="16"/>
                <w:szCs w:val="16"/>
              </w:rPr>
              <w:t>Opportunités d’emplois</w:t>
            </w:r>
          </w:p>
        </w:tc>
        <w:tc>
          <w:tcPr>
            <w:tcW w:w="4673" w:type="dxa"/>
            <w:tcBorders>
              <w:top w:val="single" w:sz="4" w:space="0" w:color="auto"/>
              <w:left w:val="single" w:sz="4" w:space="0" w:color="auto"/>
              <w:bottom w:val="single" w:sz="4" w:space="0" w:color="auto"/>
              <w:right w:val="single" w:sz="4" w:space="0" w:color="auto"/>
            </w:tcBorders>
            <w:vAlign w:val="center"/>
          </w:tcPr>
          <w:p w:rsidR="005A6322" w:rsidRPr="005A6322" w:rsidRDefault="005A6322" w:rsidP="005A6322">
            <w:pPr>
              <w:autoSpaceDE w:val="0"/>
              <w:autoSpaceDN w:val="0"/>
              <w:adjustRightInd w:val="0"/>
              <w:spacing w:after="0" w:line="240" w:lineRule="auto"/>
              <w:jc w:val="both"/>
              <w:rPr>
                <w:rFonts w:ascii="Times New Roman" w:hAnsi="Times New Roman" w:cs="Times New Roman"/>
                <w:sz w:val="16"/>
                <w:szCs w:val="16"/>
              </w:rPr>
            </w:pPr>
            <w:r w:rsidRPr="005A6322">
              <w:rPr>
                <w:rFonts w:ascii="Times New Roman" w:hAnsi="Times New Roman" w:cs="Times New Roman"/>
                <w:sz w:val="16"/>
                <w:szCs w:val="16"/>
              </w:rPr>
              <w:t xml:space="preserve">- Faire jouer la transparence dans les procédures de recrutement des </w:t>
            </w:r>
            <w:r w:rsidRPr="005A6322">
              <w:rPr>
                <w:rFonts w:ascii="Times New Roman" w:hAnsi="Times New Roman" w:cs="Times New Roman"/>
                <w:color w:val="000000"/>
                <w:sz w:val="16"/>
                <w:szCs w:val="16"/>
              </w:rPr>
              <w:t>main-d’œuvre qualifiées pendant les opérations d’entretien et de maintenance ;</w:t>
            </w:r>
          </w:p>
          <w:p w:rsidR="005A6322" w:rsidRPr="005A6322" w:rsidRDefault="005A6322" w:rsidP="005A6322">
            <w:pPr>
              <w:autoSpaceDE w:val="0"/>
              <w:autoSpaceDN w:val="0"/>
              <w:adjustRightInd w:val="0"/>
              <w:spacing w:after="0" w:line="240" w:lineRule="auto"/>
              <w:jc w:val="both"/>
              <w:rPr>
                <w:rFonts w:ascii="Times New Roman" w:hAnsi="Times New Roman" w:cs="Times New Roman"/>
                <w:sz w:val="16"/>
                <w:szCs w:val="16"/>
              </w:rPr>
            </w:pPr>
            <w:r w:rsidRPr="005A6322">
              <w:rPr>
                <w:rFonts w:ascii="Times New Roman" w:hAnsi="Times New Roman" w:cs="Times New Roman"/>
                <w:sz w:val="16"/>
                <w:szCs w:val="16"/>
              </w:rPr>
              <w:t>- Favoriser le recrutement direct sans intermédiaire ;</w:t>
            </w:r>
          </w:p>
          <w:p w:rsidR="005A6322" w:rsidRPr="005A6322" w:rsidRDefault="005A6322" w:rsidP="005A6322">
            <w:pPr>
              <w:autoSpaceDE w:val="0"/>
              <w:autoSpaceDN w:val="0"/>
              <w:adjustRightInd w:val="0"/>
              <w:spacing w:after="0" w:line="240" w:lineRule="auto"/>
              <w:jc w:val="both"/>
              <w:rPr>
                <w:rFonts w:ascii="Times New Roman" w:hAnsi="Times New Roman" w:cs="Times New Roman"/>
                <w:sz w:val="16"/>
                <w:szCs w:val="16"/>
              </w:rPr>
            </w:pPr>
            <w:r w:rsidRPr="005A6322">
              <w:rPr>
                <w:rFonts w:ascii="Times New Roman" w:hAnsi="Times New Roman" w:cs="Times New Roman"/>
                <w:sz w:val="16"/>
                <w:szCs w:val="16"/>
              </w:rPr>
              <w:t>-recruter un service de gardiennage expérimenté ;</w:t>
            </w:r>
          </w:p>
          <w:p w:rsidR="005A6322" w:rsidRPr="005A6322" w:rsidRDefault="005A6322" w:rsidP="005A6322">
            <w:pPr>
              <w:autoSpaceDE w:val="0"/>
              <w:autoSpaceDN w:val="0"/>
              <w:adjustRightInd w:val="0"/>
              <w:spacing w:after="0" w:line="240" w:lineRule="auto"/>
              <w:jc w:val="both"/>
              <w:rPr>
                <w:rFonts w:ascii="Times New Roman" w:hAnsi="Times New Roman" w:cs="Times New Roman"/>
                <w:sz w:val="16"/>
                <w:szCs w:val="16"/>
              </w:rPr>
            </w:pPr>
            <w:r w:rsidRPr="005A6322">
              <w:rPr>
                <w:rFonts w:ascii="Times New Roman" w:hAnsi="Times New Roman" w:cs="Times New Roman"/>
                <w:sz w:val="16"/>
                <w:szCs w:val="16"/>
              </w:rPr>
              <w:t>- Respecter le salaire minimum en vigueur;</w:t>
            </w:r>
          </w:p>
        </w:tc>
        <w:tc>
          <w:tcPr>
            <w:tcW w:w="3402" w:type="dxa"/>
            <w:tcBorders>
              <w:top w:val="single" w:sz="4" w:space="0" w:color="auto"/>
              <w:left w:val="single" w:sz="4" w:space="0" w:color="auto"/>
              <w:bottom w:val="single" w:sz="4" w:space="0" w:color="auto"/>
              <w:right w:val="single" w:sz="4" w:space="0" w:color="auto"/>
            </w:tcBorders>
            <w:vAlign w:val="center"/>
          </w:tcPr>
          <w:p w:rsidR="005A6322" w:rsidRPr="005A6322" w:rsidRDefault="005A6322" w:rsidP="005A6322">
            <w:pPr>
              <w:autoSpaceDE w:val="0"/>
              <w:autoSpaceDN w:val="0"/>
              <w:adjustRightInd w:val="0"/>
              <w:spacing w:after="0" w:line="240" w:lineRule="auto"/>
              <w:rPr>
                <w:rFonts w:ascii="Times New Roman" w:hAnsi="Times New Roman" w:cs="Times New Roman"/>
                <w:sz w:val="16"/>
                <w:szCs w:val="16"/>
              </w:rPr>
            </w:pPr>
            <w:r w:rsidRPr="005A6322">
              <w:rPr>
                <w:rFonts w:ascii="Times New Roman" w:hAnsi="Times New Roman" w:cs="Times New Roman"/>
                <w:sz w:val="16"/>
                <w:szCs w:val="16"/>
              </w:rPr>
              <w:t>-Nombre de main-d’œuvre embauchés</w:t>
            </w:r>
          </w:p>
          <w:p w:rsidR="005A6322" w:rsidRPr="005A6322" w:rsidRDefault="005A6322" w:rsidP="005A6322">
            <w:pPr>
              <w:autoSpaceDE w:val="0"/>
              <w:autoSpaceDN w:val="0"/>
              <w:adjustRightInd w:val="0"/>
              <w:spacing w:after="0" w:line="240" w:lineRule="auto"/>
              <w:rPr>
                <w:rFonts w:ascii="Times New Roman" w:hAnsi="Times New Roman" w:cs="Times New Roman"/>
                <w:sz w:val="16"/>
                <w:szCs w:val="16"/>
              </w:rPr>
            </w:pPr>
            <w:r w:rsidRPr="005A6322">
              <w:rPr>
                <w:rFonts w:ascii="Times New Roman" w:hAnsi="Times New Roman" w:cs="Times New Roman"/>
                <w:sz w:val="16"/>
                <w:szCs w:val="16"/>
              </w:rPr>
              <w:t>-Présence d’un service de gardiennage</w:t>
            </w:r>
          </w:p>
          <w:p w:rsidR="005A6322" w:rsidRPr="005A6322" w:rsidRDefault="005A6322" w:rsidP="005A6322">
            <w:pPr>
              <w:autoSpaceDE w:val="0"/>
              <w:autoSpaceDN w:val="0"/>
              <w:adjustRightInd w:val="0"/>
              <w:spacing w:after="0" w:line="240" w:lineRule="auto"/>
              <w:rPr>
                <w:rFonts w:ascii="Times New Roman" w:hAnsi="Times New Roman" w:cs="Times New Roman"/>
                <w:sz w:val="16"/>
                <w:szCs w:val="16"/>
              </w:rPr>
            </w:pPr>
            <w:r w:rsidRPr="005A6322">
              <w:rPr>
                <w:rFonts w:ascii="Times New Roman" w:hAnsi="Times New Roman" w:cs="Times New Roman"/>
                <w:sz w:val="16"/>
                <w:szCs w:val="16"/>
              </w:rPr>
              <w:t>-Présence des bulletins de salaire</w:t>
            </w:r>
          </w:p>
          <w:p w:rsidR="005A6322" w:rsidRPr="005A6322" w:rsidRDefault="005A6322" w:rsidP="005A6322">
            <w:pPr>
              <w:autoSpaceDE w:val="0"/>
              <w:autoSpaceDN w:val="0"/>
              <w:adjustRightInd w:val="0"/>
              <w:spacing w:after="0" w:line="240" w:lineRule="auto"/>
              <w:rPr>
                <w:rFonts w:ascii="Times New Roman" w:hAnsi="Times New Roman" w:cs="Times New Roman"/>
                <w:sz w:val="16"/>
                <w:szCs w:val="16"/>
              </w:rPr>
            </w:pPr>
          </w:p>
        </w:tc>
        <w:tc>
          <w:tcPr>
            <w:tcW w:w="1276"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rsidR="005A6322" w:rsidRPr="005A6322" w:rsidRDefault="005A6322" w:rsidP="005A6322">
            <w:pPr>
              <w:autoSpaceDE w:val="0"/>
              <w:autoSpaceDN w:val="0"/>
              <w:adjustRightInd w:val="0"/>
              <w:spacing w:after="0" w:line="240" w:lineRule="auto"/>
              <w:jc w:val="center"/>
              <w:rPr>
                <w:rFonts w:ascii="Times New Roman" w:hAnsi="Times New Roman" w:cs="Times New Roman"/>
                <w:b/>
                <w:sz w:val="16"/>
                <w:szCs w:val="16"/>
              </w:rPr>
            </w:pPr>
          </w:p>
          <w:p w:rsidR="005A6322" w:rsidRPr="005A6322" w:rsidRDefault="005A6322" w:rsidP="005A6322">
            <w:pPr>
              <w:autoSpaceDE w:val="0"/>
              <w:autoSpaceDN w:val="0"/>
              <w:adjustRightInd w:val="0"/>
              <w:spacing w:after="0" w:line="240" w:lineRule="auto"/>
              <w:jc w:val="center"/>
              <w:rPr>
                <w:rFonts w:ascii="Times New Roman" w:hAnsi="Times New Roman" w:cs="Times New Roman"/>
                <w:b/>
                <w:sz w:val="16"/>
                <w:szCs w:val="16"/>
              </w:rPr>
            </w:pPr>
            <w:r w:rsidRPr="005A6322">
              <w:rPr>
                <w:rFonts w:ascii="Times New Roman" w:hAnsi="Times New Roman" w:cs="Times New Roman"/>
                <w:b/>
                <w:sz w:val="16"/>
                <w:szCs w:val="16"/>
              </w:rPr>
              <w:t>Mairie</w:t>
            </w:r>
          </w:p>
          <w:p w:rsidR="005A6322" w:rsidRPr="005A6322" w:rsidRDefault="005A6322" w:rsidP="005A6322">
            <w:pPr>
              <w:autoSpaceDE w:val="0"/>
              <w:autoSpaceDN w:val="0"/>
              <w:adjustRightInd w:val="0"/>
              <w:spacing w:after="0" w:line="240" w:lineRule="auto"/>
              <w:jc w:val="center"/>
              <w:rPr>
                <w:rFonts w:ascii="Times New Roman" w:hAnsi="Times New Roman" w:cs="Times New Roman"/>
                <w:b/>
                <w:sz w:val="16"/>
                <w:szCs w:val="16"/>
              </w:rPr>
            </w:pPr>
            <w:r w:rsidRPr="005A6322">
              <w:rPr>
                <w:rFonts w:ascii="Times New Roman" w:hAnsi="Times New Roman" w:cs="Times New Roman"/>
                <w:b/>
                <w:sz w:val="16"/>
                <w:szCs w:val="16"/>
              </w:rPr>
              <w:t>PUASEE-FA</w:t>
            </w:r>
          </w:p>
        </w:tc>
        <w:tc>
          <w:tcPr>
            <w:tcW w:w="1134"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rsidR="005A6322" w:rsidRPr="005A6322" w:rsidRDefault="005A6322" w:rsidP="005A6322">
            <w:pPr>
              <w:autoSpaceDE w:val="0"/>
              <w:autoSpaceDN w:val="0"/>
              <w:adjustRightInd w:val="0"/>
              <w:spacing w:after="0" w:line="240" w:lineRule="auto"/>
              <w:jc w:val="center"/>
              <w:rPr>
                <w:rFonts w:ascii="Times New Roman" w:hAnsi="Times New Roman" w:cs="Times New Roman"/>
                <w:b/>
                <w:sz w:val="16"/>
                <w:szCs w:val="16"/>
              </w:rPr>
            </w:pPr>
            <w:r w:rsidRPr="005A6322">
              <w:rPr>
                <w:rFonts w:ascii="Times New Roman" w:hAnsi="Times New Roman" w:cs="Times New Roman"/>
                <w:b/>
                <w:sz w:val="16"/>
                <w:szCs w:val="16"/>
              </w:rPr>
              <w:t>Inspection du travail</w:t>
            </w:r>
          </w:p>
          <w:p w:rsidR="005A6322" w:rsidRPr="005A6322" w:rsidRDefault="005A6322" w:rsidP="005A6322">
            <w:pPr>
              <w:autoSpaceDE w:val="0"/>
              <w:autoSpaceDN w:val="0"/>
              <w:adjustRightInd w:val="0"/>
              <w:spacing w:after="0" w:line="240" w:lineRule="auto"/>
              <w:jc w:val="center"/>
              <w:rPr>
                <w:rFonts w:ascii="Times New Roman" w:hAnsi="Times New Roman" w:cs="Times New Roman"/>
                <w:b/>
                <w:sz w:val="16"/>
                <w:szCs w:val="16"/>
              </w:rPr>
            </w:pPr>
          </w:p>
          <w:p w:rsidR="005A6322" w:rsidRPr="005A6322" w:rsidRDefault="005A6322" w:rsidP="005A6322">
            <w:pPr>
              <w:autoSpaceDE w:val="0"/>
              <w:autoSpaceDN w:val="0"/>
              <w:adjustRightInd w:val="0"/>
              <w:spacing w:after="0" w:line="240" w:lineRule="auto"/>
              <w:jc w:val="center"/>
              <w:rPr>
                <w:rFonts w:ascii="Times New Roman" w:hAnsi="Times New Roman" w:cs="Times New Roman"/>
                <w:b/>
                <w:sz w:val="16"/>
                <w:szCs w:val="16"/>
              </w:rPr>
            </w:pPr>
            <w:r w:rsidRPr="005A6322">
              <w:rPr>
                <w:rFonts w:ascii="Times New Roman" w:hAnsi="Times New Roman" w:cs="Times New Roman"/>
                <w:b/>
                <w:sz w:val="16"/>
                <w:szCs w:val="16"/>
              </w:rPr>
              <w:t>Comité de suivi</w:t>
            </w:r>
          </w:p>
        </w:tc>
        <w:tc>
          <w:tcPr>
            <w:tcW w:w="1134" w:type="dxa"/>
            <w:tcBorders>
              <w:top w:val="single" w:sz="4" w:space="0" w:color="auto"/>
              <w:left w:val="single" w:sz="4" w:space="0" w:color="auto"/>
              <w:bottom w:val="single" w:sz="4" w:space="0" w:color="auto"/>
              <w:right w:val="single" w:sz="4" w:space="0" w:color="auto"/>
            </w:tcBorders>
            <w:vAlign w:val="center"/>
            <w:hideMark/>
          </w:tcPr>
          <w:p w:rsidR="005A6322" w:rsidRPr="005A6322" w:rsidRDefault="005A6322" w:rsidP="005A6322">
            <w:pPr>
              <w:autoSpaceDE w:val="0"/>
              <w:autoSpaceDN w:val="0"/>
              <w:adjustRightInd w:val="0"/>
              <w:spacing w:after="0" w:line="240" w:lineRule="auto"/>
              <w:jc w:val="center"/>
              <w:rPr>
                <w:rFonts w:ascii="Times New Roman" w:hAnsi="Times New Roman" w:cs="Times New Roman"/>
                <w:sz w:val="16"/>
                <w:szCs w:val="16"/>
              </w:rPr>
            </w:pPr>
            <w:r w:rsidRPr="005A6322">
              <w:rPr>
                <w:rFonts w:ascii="Times New Roman" w:hAnsi="Times New Roman" w:cs="Times New Roman"/>
                <w:sz w:val="16"/>
                <w:szCs w:val="16"/>
              </w:rPr>
              <w:t>Pendant chaque campagne de recrutement / Une fois par an</w:t>
            </w:r>
          </w:p>
        </w:tc>
        <w:tc>
          <w:tcPr>
            <w:tcW w:w="1134"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rsidR="005A6322" w:rsidRPr="005A6322" w:rsidRDefault="005A6322" w:rsidP="005A6322">
            <w:pPr>
              <w:autoSpaceDE w:val="0"/>
              <w:autoSpaceDN w:val="0"/>
              <w:adjustRightInd w:val="0"/>
              <w:spacing w:after="0" w:line="240" w:lineRule="auto"/>
              <w:jc w:val="center"/>
              <w:rPr>
                <w:rFonts w:ascii="Times New Roman" w:hAnsi="Times New Roman" w:cs="Times New Roman"/>
                <w:b/>
                <w:sz w:val="16"/>
                <w:szCs w:val="16"/>
              </w:rPr>
            </w:pPr>
            <w:r w:rsidRPr="005A6322">
              <w:rPr>
                <w:rFonts w:ascii="Times New Roman" w:hAnsi="Times New Roman" w:cs="Times New Roman"/>
                <w:b/>
                <w:sz w:val="16"/>
                <w:szCs w:val="16"/>
              </w:rPr>
              <w:t>1 500 000</w:t>
            </w:r>
          </w:p>
        </w:tc>
      </w:tr>
      <w:tr w:rsidR="005A6322" w:rsidRPr="005A6322" w:rsidTr="003A6643">
        <w:trPr>
          <w:trHeight w:val="134"/>
          <w:jc w:val="center"/>
        </w:trPr>
        <w:tc>
          <w:tcPr>
            <w:tcW w:w="1129"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rsidR="005A6322" w:rsidRPr="005A6322" w:rsidRDefault="005A6322" w:rsidP="005A6322">
            <w:pPr>
              <w:autoSpaceDE w:val="0"/>
              <w:autoSpaceDN w:val="0"/>
              <w:adjustRightInd w:val="0"/>
              <w:spacing w:after="0" w:line="240" w:lineRule="auto"/>
              <w:jc w:val="center"/>
              <w:rPr>
                <w:rFonts w:ascii="Times New Roman" w:hAnsi="Times New Roman" w:cs="Times New Roman"/>
                <w:b/>
                <w:bCs/>
                <w:sz w:val="16"/>
                <w:szCs w:val="16"/>
              </w:rPr>
            </w:pPr>
            <w:r w:rsidRPr="005A6322">
              <w:rPr>
                <w:rFonts w:ascii="Times New Roman" w:hAnsi="Times New Roman" w:cs="Times New Roman"/>
                <w:b/>
                <w:bCs/>
                <w:sz w:val="16"/>
                <w:szCs w:val="16"/>
              </w:rPr>
              <w:lastRenderedPageBreak/>
              <w:t>Economie</w:t>
            </w:r>
          </w:p>
        </w:tc>
        <w:tc>
          <w:tcPr>
            <w:tcW w:w="2131" w:type="dxa"/>
            <w:tcBorders>
              <w:top w:val="single" w:sz="4" w:space="0" w:color="auto"/>
              <w:left w:val="single" w:sz="4" w:space="0" w:color="auto"/>
              <w:bottom w:val="single" w:sz="4" w:space="0" w:color="auto"/>
              <w:right w:val="single" w:sz="4" w:space="0" w:color="auto"/>
            </w:tcBorders>
            <w:vAlign w:val="center"/>
          </w:tcPr>
          <w:p w:rsidR="005A6322" w:rsidRPr="005A6322" w:rsidRDefault="005A6322" w:rsidP="005A6322">
            <w:pPr>
              <w:autoSpaceDE w:val="0"/>
              <w:autoSpaceDN w:val="0"/>
              <w:adjustRightInd w:val="0"/>
              <w:spacing w:after="0" w:line="240" w:lineRule="auto"/>
              <w:jc w:val="both"/>
              <w:rPr>
                <w:rFonts w:ascii="Times New Roman" w:hAnsi="Times New Roman" w:cs="Times New Roman"/>
                <w:sz w:val="16"/>
                <w:szCs w:val="16"/>
              </w:rPr>
            </w:pPr>
            <w:r w:rsidRPr="005A6322">
              <w:rPr>
                <w:rFonts w:ascii="Times New Roman" w:hAnsi="Times New Roman" w:cs="Times New Roman"/>
                <w:sz w:val="16"/>
                <w:szCs w:val="16"/>
              </w:rPr>
              <w:t xml:space="preserve">Création d’emplois </w:t>
            </w:r>
          </w:p>
        </w:tc>
        <w:tc>
          <w:tcPr>
            <w:tcW w:w="4673" w:type="dxa"/>
            <w:tcBorders>
              <w:top w:val="single" w:sz="4" w:space="0" w:color="auto"/>
              <w:left w:val="single" w:sz="4" w:space="0" w:color="auto"/>
              <w:bottom w:val="single" w:sz="4" w:space="0" w:color="auto"/>
              <w:right w:val="single" w:sz="4" w:space="0" w:color="auto"/>
            </w:tcBorders>
            <w:vAlign w:val="center"/>
          </w:tcPr>
          <w:p w:rsidR="005A6322" w:rsidRPr="005A6322" w:rsidRDefault="005A6322" w:rsidP="005A6322">
            <w:pPr>
              <w:autoSpaceDE w:val="0"/>
              <w:autoSpaceDN w:val="0"/>
              <w:adjustRightInd w:val="0"/>
              <w:spacing w:after="0" w:line="240" w:lineRule="auto"/>
              <w:jc w:val="both"/>
              <w:rPr>
                <w:rFonts w:ascii="Times New Roman" w:hAnsi="Times New Roman" w:cs="Times New Roman"/>
                <w:sz w:val="16"/>
                <w:szCs w:val="16"/>
              </w:rPr>
            </w:pPr>
            <w:r w:rsidRPr="005A6322">
              <w:rPr>
                <w:rFonts w:ascii="Times New Roman" w:hAnsi="Times New Roman" w:cs="Times New Roman"/>
                <w:sz w:val="16"/>
                <w:szCs w:val="16"/>
              </w:rPr>
              <w:t>-Création ou d’appuis au développement des liées à la vente de glace par la femme ;</w:t>
            </w:r>
          </w:p>
          <w:p w:rsidR="005A6322" w:rsidRPr="005A6322" w:rsidRDefault="005A6322" w:rsidP="005A6322">
            <w:pPr>
              <w:autoSpaceDE w:val="0"/>
              <w:autoSpaceDN w:val="0"/>
              <w:adjustRightInd w:val="0"/>
              <w:spacing w:after="0" w:line="240" w:lineRule="auto"/>
              <w:jc w:val="both"/>
              <w:rPr>
                <w:rFonts w:ascii="Times New Roman" w:hAnsi="Times New Roman" w:cs="Times New Roman"/>
                <w:sz w:val="16"/>
                <w:szCs w:val="16"/>
              </w:rPr>
            </w:pPr>
            <w:r w:rsidRPr="005A6322">
              <w:rPr>
                <w:rFonts w:ascii="Times New Roman" w:hAnsi="Times New Roman" w:cs="Times New Roman"/>
                <w:sz w:val="16"/>
                <w:szCs w:val="16"/>
              </w:rPr>
              <w:t>-Augmenter le nombre de borne fontaine payant ;</w:t>
            </w:r>
          </w:p>
          <w:p w:rsidR="005A6322" w:rsidRPr="005A6322" w:rsidRDefault="005A6322" w:rsidP="005A6322">
            <w:pPr>
              <w:autoSpaceDE w:val="0"/>
              <w:autoSpaceDN w:val="0"/>
              <w:adjustRightInd w:val="0"/>
              <w:spacing w:after="0" w:line="240" w:lineRule="auto"/>
              <w:jc w:val="both"/>
              <w:rPr>
                <w:rFonts w:ascii="Times New Roman" w:hAnsi="Times New Roman" w:cs="Times New Roman"/>
                <w:sz w:val="16"/>
                <w:szCs w:val="16"/>
              </w:rPr>
            </w:pPr>
            <w:r w:rsidRPr="005A6322">
              <w:rPr>
                <w:rFonts w:ascii="Times New Roman" w:hAnsi="Times New Roman" w:cs="Times New Roman"/>
                <w:sz w:val="16"/>
                <w:szCs w:val="16"/>
              </w:rPr>
              <w:t>-Renforcer les groupements de femmes qui interviennent dans les activités liées à la vente d’eau ;</w:t>
            </w:r>
          </w:p>
        </w:tc>
        <w:tc>
          <w:tcPr>
            <w:tcW w:w="3402" w:type="dxa"/>
            <w:tcBorders>
              <w:top w:val="single" w:sz="4" w:space="0" w:color="auto"/>
              <w:left w:val="single" w:sz="4" w:space="0" w:color="auto"/>
              <w:bottom w:val="single" w:sz="4" w:space="0" w:color="auto"/>
              <w:right w:val="single" w:sz="4" w:space="0" w:color="auto"/>
            </w:tcBorders>
            <w:vAlign w:val="center"/>
          </w:tcPr>
          <w:p w:rsidR="005A6322" w:rsidRPr="005A6322" w:rsidRDefault="005A6322" w:rsidP="005A6322">
            <w:pPr>
              <w:autoSpaceDE w:val="0"/>
              <w:autoSpaceDN w:val="0"/>
              <w:adjustRightInd w:val="0"/>
              <w:spacing w:after="0" w:line="240" w:lineRule="auto"/>
              <w:jc w:val="both"/>
              <w:rPr>
                <w:rFonts w:ascii="Times New Roman" w:hAnsi="Times New Roman" w:cs="Times New Roman"/>
                <w:sz w:val="16"/>
                <w:szCs w:val="16"/>
              </w:rPr>
            </w:pPr>
            <w:r w:rsidRPr="005A6322">
              <w:rPr>
                <w:rFonts w:ascii="Times New Roman" w:hAnsi="Times New Roman" w:cs="Times New Roman"/>
                <w:sz w:val="16"/>
                <w:szCs w:val="16"/>
              </w:rPr>
              <w:t>-Nombre de femmes appuyées ;</w:t>
            </w:r>
          </w:p>
          <w:p w:rsidR="005A6322" w:rsidRPr="005A6322" w:rsidRDefault="005A6322" w:rsidP="005A6322">
            <w:pPr>
              <w:autoSpaceDE w:val="0"/>
              <w:autoSpaceDN w:val="0"/>
              <w:adjustRightInd w:val="0"/>
              <w:spacing w:after="0" w:line="240" w:lineRule="auto"/>
              <w:jc w:val="both"/>
              <w:rPr>
                <w:rFonts w:ascii="Times New Roman" w:hAnsi="Times New Roman" w:cs="Times New Roman"/>
                <w:sz w:val="16"/>
                <w:szCs w:val="16"/>
              </w:rPr>
            </w:pPr>
            <w:r w:rsidRPr="005A6322">
              <w:rPr>
                <w:rFonts w:ascii="Times New Roman" w:hAnsi="Times New Roman" w:cs="Times New Roman"/>
                <w:sz w:val="16"/>
                <w:szCs w:val="16"/>
              </w:rPr>
              <w:t>-Nombre de borne fontaine payant mises en place ;</w:t>
            </w:r>
          </w:p>
          <w:p w:rsidR="005A6322" w:rsidRPr="005A6322" w:rsidRDefault="005A6322" w:rsidP="005A6322">
            <w:pPr>
              <w:autoSpaceDE w:val="0"/>
              <w:autoSpaceDN w:val="0"/>
              <w:adjustRightInd w:val="0"/>
              <w:spacing w:after="0" w:line="240" w:lineRule="auto"/>
              <w:jc w:val="both"/>
              <w:rPr>
                <w:rFonts w:ascii="Times New Roman" w:hAnsi="Times New Roman" w:cs="Times New Roman"/>
                <w:sz w:val="16"/>
                <w:szCs w:val="16"/>
              </w:rPr>
            </w:pPr>
            <w:r w:rsidRPr="005A6322">
              <w:rPr>
                <w:rFonts w:ascii="Times New Roman" w:hAnsi="Times New Roman" w:cs="Times New Roman"/>
                <w:sz w:val="16"/>
                <w:szCs w:val="16"/>
              </w:rPr>
              <w:t>- Nombre de groupement renforcés ;</w:t>
            </w:r>
          </w:p>
          <w:p w:rsidR="005A6322" w:rsidRPr="005A6322" w:rsidRDefault="005A6322" w:rsidP="005A6322">
            <w:pPr>
              <w:autoSpaceDE w:val="0"/>
              <w:autoSpaceDN w:val="0"/>
              <w:adjustRightInd w:val="0"/>
              <w:spacing w:after="0" w:line="240" w:lineRule="auto"/>
              <w:jc w:val="both"/>
              <w:rPr>
                <w:rFonts w:ascii="Times New Roman" w:hAnsi="Times New Roman" w:cs="Times New Roman"/>
                <w:sz w:val="16"/>
                <w:szCs w:val="16"/>
              </w:rPr>
            </w:pPr>
          </w:p>
        </w:tc>
        <w:tc>
          <w:tcPr>
            <w:tcW w:w="1276"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5A6322" w:rsidRPr="005A6322" w:rsidRDefault="005A6322" w:rsidP="005A6322">
            <w:pPr>
              <w:autoSpaceDE w:val="0"/>
              <w:autoSpaceDN w:val="0"/>
              <w:adjustRightInd w:val="0"/>
              <w:spacing w:after="0" w:line="240" w:lineRule="auto"/>
              <w:jc w:val="center"/>
              <w:rPr>
                <w:rFonts w:ascii="Times New Roman" w:hAnsi="Times New Roman" w:cs="Times New Roman"/>
                <w:b/>
                <w:sz w:val="16"/>
                <w:szCs w:val="16"/>
              </w:rPr>
            </w:pPr>
            <w:r w:rsidRPr="005A6322">
              <w:rPr>
                <w:rFonts w:ascii="Times New Roman" w:hAnsi="Times New Roman" w:cs="Times New Roman"/>
                <w:b/>
                <w:sz w:val="16"/>
                <w:szCs w:val="16"/>
              </w:rPr>
              <w:t>ETAT</w:t>
            </w:r>
          </w:p>
          <w:p w:rsidR="005A6322" w:rsidRPr="005A6322" w:rsidRDefault="005A6322" w:rsidP="005A6322">
            <w:pPr>
              <w:autoSpaceDE w:val="0"/>
              <w:autoSpaceDN w:val="0"/>
              <w:adjustRightInd w:val="0"/>
              <w:spacing w:after="0" w:line="240" w:lineRule="auto"/>
              <w:jc w:val="center"/>
              <w:rPr>
                <w:rFonts w:ascii="Times New Roman" w:hAnsi="Times New Roman" w:cs="Times New Roman"/>
                <w:b/>
                <w:sz w:val="16"/>
                <w:szCs w:val="16"/>
              </w:rPr>
            </w:pPr>
            <w:r w:rsidRPr="005A6322">
              <w:rPr>
                <w:rFonts w:ascii="Times New Roman" w:hAnsi="Times New Roman" w:cs="Times New Roman"/>
                <w:b/>
                <w:sz w:val="16"/>
                <w:szCs w:val="16"/>
              </w:rPr>
              <w:t>PUASEE-FA</w:t>
            </w:r>
          </w:p>
          <w:p w:rsidR="005A6322" w:rsidRPr="005A6322" w:rsidRDefault="005A6322" w:rsidP="005A6322">
            <w:pPr>
              <w:autoSpaceDE w:val="0"/>
              <w:autoSpaceDN w:val="0"/>
              <w:adjustRightInd w:val="0"/>
              <w:spacing w:after="0" w:line="240" w:lineRule="auto"/>
              <w:jc w:val="center"/>
              <w:rPr>
                <w:rFonts w:ascii="Times New Roman" w:hAnsi="Times New Roman" w:cs="Times New Roman"/>
                <w:b/>
                <w:sz w:val="16"/>
                <w:szCs w:val="16"/>
              </w:rPr>
            </w:pPr>
            <w:r w:rsidRPr="005A6322">
              <w:rPr>
                <w:rFonts w:ascii="Times New Roman" w:hAnsi="Times New Roman" w:cs="Times New Roman"/>
                <w:b/>
                <w:sz w:val="16"/>
                <w:szCs w:val="16"/>
              </w:rPr>
              <w:t>EAGB</w:t>
            </w:r>
          </w:p>
        </w:tc>
        <w:tc>
          <w:tcPr>
            <w:tcW w:w="1134"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rsidR="005A6322" w:rsidRPr="005A6322" w:rsidRDefault="005A6322" w:rsidP="005A6322">
            <w:pPr>
              <w:autoSpaceDE w:val="0"/>
              <w:autoSpaceDN w:val="0"/>
              <w:adjustRightInd w:val="0"/>
              <w:spacing w:after="0" w:line="240" w:lineRule="auto"/>
              <w:jc w:val="center"/>
              <w:rPr>
                <w:rFonts w:ascii="Times New Roman" w:hAnsi="Times New Roman" w:cs="Times New Roman"/>
                <w:b/>
                <w:sz w:val="16"/>
                <w:szCs w:val="16"/>
              </w:rPr>
            </w:pPr>
            <w:r w:rsidRPr="005A6322">
              <w:rPr>
                <w:rFonts w:ascii="Times New Roman" w:hAnsi="Times New Roman" w:cs="Times New Roman"/>
                <w:b/>
                <w:sz w:val="16"/>
                <w:szCs w:val="16"/>
              </w:rPr>
              <w:t>Comité de suivi</w:t>
            </w:r>
          </w:p>
        </w:tc>
        <w:tc>
          <w:tcPr>
            <w:tcW w:w="1134" w:type="dxa"/>
            <w:tcBorders>
              <w:top w:val="single" w:sz="4" w:space="0" w:color="auto"/>
              <w:left w:val="single" w:sz="4" w:space="0" w:color="auto"/>
              <w:bottom w:val="single" w:sz="4" w:space="0" w:color="auto"/>
              <w:right w:val="single" w:sz="4" w:space="0" w:color="auto"/>
            </w:tcBorders>
            <w:vAlign w:val="center"/>
            <w:hideMark/>
          </w:tcPr>
          <w:p w:rsidR="005A6322" w:rsidRPr="005A6322" w:rsidRDefault="005A6322" w:rsidP="005A6322">
            <w:pPr>
              <w:autoSpaceDE w:val="0"/>
              <w:autoSpaceDN w:val="0"/>
              <w:adjustRightInd w:val="0"/>
              <w:spacing w:after="0" w:line="240" w:lineRule="auto"/>
              <w:jc w:val="center"/>
              <w:rPr>
                <w:rFonts w:ascii="Times New Roman" w:hAnsi="Times New Roman" w:cs="Times New Roman"/>
                <w:sz w:val="16"/>
                <w:szCs w:val="16"/>
              </w:rPr>
            </w:pPr>
            <w:r w:rsidRPr="005A6322">
              <w:rPr>
                <w:rFonts w:ascii="Times New Roman" w:hAnsi="Times New Roman" w:cs="Times New Roman"/>
                <w:sz w:val="16"/>
                <w:szCs w:val="16"/>
              </w:rPr>
              <w:t>Durant l’exploitation / Une fois par an</w:t>
            </w:r>
          </w:p>
        </w:tc>
        <w:tc>
          <w:tcPr>
            <w:tcW w:w="1134"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rsidR="005A6322" w:rsidRPr="005A6322" w:rsidRDefault="005A6322" w:rsidP="005A6322">
            <w:pPr>
              <w:autoSpaceDE w:val="0"/>
              <w:autoSpaceDN w:val="0"/>
              <w:adjustRightInd w:val="0"/>
              <w:spacing w:after="0" w:line="240" w:lineRule="auto"/>
              <w:jc w:val="center"/>
              <w:rPr>
                <w:rFonts w:ascii="Times New Roman" w:hAnsi="Times New Roman" w:cs="Times New Roman"/>
                <w:b/>
                <w:sz w:val="16"/>
                <w:szCs w:val="16"/>
              </w:rPr>
            </w:pPr>
            <w:r w:rsidRPr="005A6322">
              <w:rPr>
                <w:rFonts w:ascii="Times New Roman" w:hAnsi="Times New Roman" w:cs="Times New Roman"/>
                <w:b/>
                <w:sz w:val="16"/>
                <w:szCs w:val="16"/>
              </w:rPr>
              <w:t>5 000 000</w:t>
            </w:r>
          </w:p>
        </w:tc>
      </w:tr>
      <w:tr w:rsidR="005A6322" w:rsidRPr="005A6322" w:rsidTr="003A6643">
        <w:trPr>
          <w:trHeight w:val="134"/>
          <w:jc w:val="center"/>
        </w:trPr>
        <w:tc>
          <w:tcPr>
            <w:tcW w:w="1129"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rsidR="005A6322" w:rsidRPr="005A6322" w:rsidRDefault="005A6322" w:rsidP="005A6322">
            <w:pPr>
              <w:autoSpaceDE w:val="0"/>
              <w:autoSpaceDN w:val="0"/>
              <w:adjustRightInd w:val="0"/>
              <w:spacing w:after="0" w:line="240" w:lineRule="auto"/>
              <w:jc w:val="center"/>
              <w:rPr>
                <w:rFonts w:ascii="Times New Roman" w:hAnsi="Times New Roman" w:cs="Times New Roman"/>
                <w:b/>
                <w:bCs/>
                <w:sz w:val="16"/>
                <w:szCs w:val="16"/>
              </w:rPr>
            </w:pPr>
            <w:r w:rsidRPr="005A6322">
              <w:rPr>
                <w:rFonts w:ascii="Times New Roman" w:hAnsi="Times New Roman" w:cs="Times New Roman"/>
                <w:b/>
                <w:bCs/>
                <w:sz w:val="16"/>
                <w:szCs w:val="16"/>
              </w:rPr>
              <w:t>Humain</w:t>
            </w:r>
          </w:p>
        </w:tc>
        <w:tc>
          <w:tcPr>
            <w:tcW w:w="2131" w:type="dxa"/>
            <w:tcBorders>
              <w:top w:val="single" w:sz="4" w:space="0" w:color="auto"/>
              <w:left w:val="single" w:sz="4" w:space="0" w:color="auto"/>
              <w:bottom w:val="single" w:sz="4" w:space="0" w:color="auto"/>
              <w:right w:val="single" w:sz="4" w:space="0" w:color="auto"/>
            </w:tcBorders>
            <w:vAlign w:val="center"/>
          </w:tcPr>
          <w:p w:rsidR="005A6322" w:rsidRPr="005A6322" w:rsidRDefault="005A6322" w:rsidP="005A6322">
            <w:pPr>
              <w:autoSpaceDE w:val="0"/>
              <w:autoSpaceDN w:val="0"/>
              <w:adjustRightInd w:val="0"/>
              <w:spacing w:after="0" w:line="240" w:lineRule="auto"/>
              <w:jc w:val="both"/>
              <w:rPr>
                <w:rFonts w:ascii="Times New Roman" w:hAnsi="Times New Roman" w:cs="Times New Roman"/>
                <w:sz w:val="16"/>
                <w:szCs w:val="16"/>
              </w:rPr>
            </w:pPr>
            <w:r w:rsidRPr="005A6322">
              <w:rPr>
                <w:rFonts w:ascii="Times New Roman" w:hAnsi="Times New Roman" w:cs="Times New Roman"/>
                <w:sz w:val="16"/>
                <w:szCs w:val="16"/>
              </w:rPr>
              <w:t>Meilleure couverture d’accès à l’eau portable dans les zones desservis</w:t>
            </w:r>
          </w:p>
        </w:tc>
        <w:tc>
          <w:tcPr>
            <w:tcW w:w="4673" w:type="dxa"/>
            <w:tcBorders>
              <w:top w:val="single" w:sz="4" w:space="0" w:color="auto"/>
              <w:left w:val="single" w:sz="4" w:space="0" w:color="auto"/>
              <w:bottom w:val="single" w:sz="4" w:space="0" w:color="auto"/>
              <w:right w:val="single" w:sz="4" w:space="0" w:color="auto"/>
            </w:tcBorders>
            <w:vAlign w:val="center"/>
          </w:tcPr>
          <w:p w:rsidR="005A6322" w:rsidRPr="005A6322" w:rsidRDefault="005A6322" w:rsidP="005A6322">
            <w:pPr>
              <w:autoSpaceDE w:val="0"/>
              <w:autoSpaceDN w:val="0"/>
              <w:adjustRightInd w:val="0"/>
              <w:spacing w:after="0" w:line="240" w:lineRule="auto"/>
              <w:jc w:val="both"/>
              <w:rPr>
                <w:rFonts w:ascii="Times New Roman" w:hAnsi="Times New Roman" w:cs="Times New Roman"/>
                <w:sz w:val="16"/>
                <w:szCs w:val="16"/>
              </w:rPr>
            </w:pPr>
            <w:r w:rsidRPr="005A6322">
              <w:rPr>
                <w:rFonts w:ascii="Times New Roman" w:hAnsi="Times New Roman" w:cs="Times New Roman"/>
                <w:sz w:val="16"/>
                <w:szCs w:val="16"/>
              </w:rPr>
              <w:t>-Diminuer les taxes aux opérateurs privés pour faciliter la couverture des zones desservis en eau potable ;</w:t>
            </w:r>
          </w:p>
          <w:p w:rsidR="005A6322" w:rsidRPr="005A6322" w:rsidRDefault="005A6322" w:rsidP="005A6322">
            <w:pPr>
              <w:autoSpaceDE w:val="0"/>
              <w:autoSpaceDN w:val="0"/>
              <w:adjustRightInd w:val="0"/>
              <w:spacing w:after="0" w:line="240" w:lineRule="auto"/>
              <w:jc w:val="both"/>
              <w:rPr>
                <w:rFonts w:ascii="Times New Roman" w:hAnsi="Times New Roman" w:cs="Times New Roman"/>
                <w:sz w:val="16"/>
                <w:szCs w:val="16"/>
              </w:rPr>
            </w:pPr>
            <w:r w:rsidRPr="005A6322">
              <w:rPr>
                <w:rFonts w:ascii="Times New Roman" w:hAnsi="Times New Roman" w:cs="Times New Roman"/>
                <w:sz w:val="16"/>
                <w:szCs w:val="16"/>
              </w:rPr>
              <w:t>-Appuyer les opérateurs privés à couvrir le maximum de zones ;</w:t>
            </w:r>
          </w:p>
        </w:tc>
        <w:tc>
          <w:tcPr>
            <w:tcW w:w="3402" w:type="dxa"/>
            <w:tcBorders>
              <w:top w:val="single" w:sz="4" w:space="0" w:color="auto"/>
              <w:left w:val="single" w:sz="4" w:space="0" w:color="auto"/>
              <w:bottom w:val="single" w:sz="4" w:space="0" w:color="auto"/>
              <w:right w:val="single" w:sz="4" w:space="0" w:color="auto"/>
            </w:tcBorders>
            <w:vAlign w:val="center"/>
          </w:tcPr>
          <w:p w:rsidR="005A6322" w:rsidRPr="005A6322" w:rsidRDefault="005A6322" w:rsidP="005A6322">
            <w:pPr>
              <w:autoSpaceDE w:val="0"/>
              <w:autoSpaceDN w:val="0"/>
              <w:adjustRightInd w:val="0"/>
              <w:spacing w:after="0" w:line="240" w:lineRule="auto"/>
              <w:jc w:val="both"/>
              <w:rPr>
                <w:rFonts w:ascii="Times New Roman" w:hAnsi="Times New Roman" w:cs="Times New Roman"/>
                <w:sz w:val="16"/>
                <w:szCs w:val="16"/>
              </w:rPr>
            </w:pPr>
            <w:r w:rsidRPr="005A6322">
              <w:rPr>
                <w:rFonts w:ascii="Times New Roman" w:hAnsi="Times New Roman" w:cs="Times New Roman"/>
                <w:sz w:val="16"/>
                <w:szCs w:val="16"/>
              </w:rPr>
              <w:t xml:space="preserve">-Implantation de nouveaux opérateurs privés dans le pays </w:t>
            </w:r>
          </w:p>
          <w:p w:rsidR="005A6322" w:rsidRPr="005A6322" w:rsidRDefault="005A6322" w:rsidP="005A6322">
            <w:pPr>
              <w:autoSpaceDE w:val="0"/>
              <w:autoSpaceDN w:val="0"/>
              <w:adjustRightInd w:val="0"/>
              <w:spacing w:after="0" w:line="240" w:lineRule="auto"/>
              <w:jc w:val="both"/>
              <w:rPr>
                <w:rFonts w:ascii="Times New Roman" w:hAnsi="Times New Roman" w:cs="Times New Roman"/>
                <w:sz w:val="16"/>
                <w:szCs w:val="16"/>
              </w:rPr>
            </w:pPr>
            <w:r w:rsidRPr="005A6322">
              <w:rPr>
                <w:rFonts w:ascii="Times New Roman" w:hAnsi="Times New Roman" w:cs="Times New Roman"/>
                <w:sz w:val="16"/>
                <w:szCs w:val="16"/>
              </w:rPr>
              <w:t xml:space="preserve">-Présence de réservoir dans les zones isolées </w:t>
            </w:r>
          </w:p>
        </w:tc>
        <w:tc>
          <w:tcPr>
            <w:tcW w:w="1276"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rsidR="005A6322" w:rsidRPr="005A6322" w:rsidRDefault="005A6322" w:rsidP="005A6322">
            <w:pPr>
              <w:autoSpaceDE w:val="0"/>
              <w:autoSpaceDN w:val="0"/>
              <w:adjustRightInd w:val="0"/>
              <w:spacing w:after="0" w:line="240" w:lineRule="auto"/>
              <w:jc w:val="center"/>
              <w:rPr>
                <w:rFonts w:ascii="Times New Roman" w:hAnsi="Times New Roman" w:cs="Times New Roman"/>
                <w:b/>
                <w:sz w:val="16"/>
                <w:szCs w:val="16"/>
              </w:rPr>
            </w:pPr>
            <w:r w:rsidRPr="005A6322">
              <w:rPr>
                <w:rFonts w:ascii="Times New Roman" w:hAnsi="Times New Roman" w:cs="Times New Roman"/>
                <w:b/>
                <w:sz w:val="16"/>
                <w:szCs w:val="16"/>
              </w:rPr>
              <w:t>ETAT</w:t>
            </w:r>
          </w:p>
          <w:p w:rsidR="005A6322" w:rsidRPr="005A6322" w:rsidRDefault="005A6322" w:rsidP="005A6322">
            <w:pPr>
              <w:autoSpaceDE w:val="0"/>
              <w:autoSpaceDN w:val="0"/>
              <w:adjustRightInd w:val="0"/>
              <w:spacing w:after="0" w:line="240" w:lineRule="auto"/>
              <w:jc w:val="center"/>
              <w:rPr>
                <w:rFonts w:ascii="Times New Roman" w:hAnsi="Times New Roman" w:cs="Times New Roman"/>
                <w:b/>
                <w:sz w:val="16"/>
                <w:szCs w:val="16"/>
              </w:rPr>
            </w:pPr>
            <w:r w:rsidRPr="005A6322">
              <w:rPr>
                <w:rFonts w:ascii="Times New Roman" w:hAnsi="Times New Roman" w:cs="Times New Roman"/>
                <w:b/>
                <w:sz w:val="16"/>
                <w:szCs w:val="16"/>
              </w:rPr>
              <w:t>PUASEE-FA</w:t>
            </w:r>
          </w:p>
        </w:tc>
        <w:tc>
          <w:tcPr>
            <w:tcW w:w="1134"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rsidR="005A6322" w:rsidRPr="005A6322" w:rsidRDefault="005A6322" w:rsidP="005A6322">
            <w:pPr>
              <w:autoSpaceDE w:val="0"/>
              <w:autoSpaceDN w:val="0"/>
              <w:adjustRightInd w:val="0"/>
              <w:spacing w:after="0" w:line="240" w:lineRule="auto"/>
              <w:jc w:val="center"/>
              <w:rPr>
                <w:rFonts w:ascii="Times New Roman" w:hAnsi="Times New Roman" w:cs="Times New Roman"/>
                <w:b/>
                <w:sz w:val="16"/>
                <w:szCs w:val="16"/>
              </w:rPr>
            </w:pPr>
            <w:r w:rsidRPr="005A6322">
              <w:rPr>
                <w:rFonts w:ascii="Times New Roman" w:hAnsi="Times New Roman" w:cs="Times New Roman"/>
                <w:b/>
                <w:sz w:val="16"/>
                <w:szCs w:val="16"/>
              </w:rPr>
              <w:t>Comité de suivi</w:t>
            </w:r>
          </w:p>
        </w:tc>
        <w:tc>
          <w:tcPr>
            <w:tcW w:w="1134" w:type="dxa"/>
            <w:tcBorders>
              <w:top w:val="single" w:sz="4" w:space="0" w:color="auto"/>
              <w:left w:val="single" w:sz="4" w:space="0" w:color="auto"/>
              <w:bottom w:val="single" w:sz="4" w:space="0" w:color="auto"/>
              <w:right w:val="single" w:sz="4" w:space="0" w:color="auto"/>
            </w:tcBorders>
            <w:vAlign w:val="center"/>
            <w:hideMark/>
          </w:tcPr>
          <w:p w:rsidR="005A6322" w:rsidRPr="005A6322" w:rsidRDefault="005A6322" w:rsidP="005A6322">
            <w:pPr>
              <w:autoSpaceDE w:val="0"/>
              <w:autoSpaceDN w:val="0"/>
              <w:adjustRightInd w:val="0"/>
              <w:spacing w:after="0" w:line="240" w:lineRule="auto"/>
              <w:jc w:val="center"/>
              <w:rPr>
                <w:rFonts w:ascii="Times New Roman" w:hAnsi="Times New Roman" w:cs="Times New Roman"/>
                <w:sz w:val="16"/>
                <w:szCs w:val="16"/>
              </w:rPr>
            </w:pPr>
            <w:r w:rsidRPr="005A6322">
              <w:rPr>
                <w:rFonts w:ascii="Times New Roman" w:hAnsi="Times New Roman" w:cs="Times New Roman"/>
                <w:sz w:val="16"/>
                <w:szCs w:val="16"/>
              </w:rPr>
              <w:t>Durant l’exploitation / Une fois par an</w:t>
            </w:r>
          </w:p>
        </w:tc>
        <w:tc>
          <w:tcPr>
            <w:tcW w:w="1134"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rsidR="005A6322" w:rsidRPr="005A6322" w:rsidRDefault="005A6322" w:rsidP="005A6322">
            <w:pPr>
              <w:autoSpaceDE w:val="0"/>
              <w:autoSpaceDN w:val="0"/>
              <w:adjustRightInd w:val="0"/>
              <w:spacing w:after="0" w:line="240" w:lineRule="auto"/>
              <w:jc w:val="center"/>
              <w:rPr>
                <w:rFonts w:ascii="Times New Roman" w:hAnsi="Times New Roman" w:cs="Times New Roman"/>
                <w:b/>
                <w:sz w:val="16"/>
                <w:szCs w:val="16"/>
              </w:rPr>
            </w:pPr>
            <w:r w:rsidRPr="005A6322">
              <w:rPr>
                <w:rFonts w:ascii="Times New Roman" w:hAnsi="Times New Roman" w:cs="Times New Roman"/>
                <w:b/>
                <w:sz w:val="16"/>
                <w:szCs w:val="16"/>
              </w:rPr>
              <w:t>3 000 000</w:t>
            </w:r>
          </w:p>
        </w:tc>
      </w:tr>
      <w:tr w:rsidR="005A6322" w:rsidRPr="005A6322" w:rsidTr="003A6643">
        <w:trPr>
          <w:trHeight w:val="417"/>
          <w:jc w:val="center"/>
        </w:trPr>
        <w:tc>
          <w:tcPr>
            <w:tcW w:w="1129" w:type="dxa"/>
            <w:tcBorders>
              <w:top w:val="single" w:sz="4" w:space="0" w:color="auto"/>
              <w:left w:val="single" w:sz="4" w:space="0" w:color="auto"/>
              <w:right w:val="single" w:sz="4" w:space="0" w:color="auto"/>
            </w:tcBorders>
            <w:shd w:val="clear" w:color="auto" w:fill="BDD6EE" w:themeFill="accent1" w:themeFillTint="66"/>
            <w:vAlign w:val="center"/>
          </w:tcPr>
          <w:p w:rsidR="005A6322" w:rsidRPr="005A6322" w:rsidRDefault="005A6322" w:rsidP="005A6322">
            <w:pPr>
              <w:autoSpaceDE w:val="0"/>
              <w:autoSpaceDN w:val="0"/>
              <w:adjustRightInd w:val="0"/>
              <w:spacing w:after="0" w:line="240" w:lineRule="auto"/>
              <w:jc w:val="center"/>
              <w:rPr>
                <w:rFonts w:ascii="Times New Roman" w:hAnsi="Times New Roman" w:cs="Times New Roman"/>
                <w:b/>
                <w:bCs/>
                <w:sz w:val="16"/>
                <w:szCs w:val="16"/>
              </w:rPr>
            </w:pPr>
            <w:r w:rsidRPr="005A6322">
              <w:rPr>
                <w:rFonts w:ascii="Times New Roman" w:hAnsi="Times New Roman" w:cs="Times New Roman"/>
                <w:b/>
                <w:bCs/>
                <w:sz w:val="16"/>
                <w:szCs w:val="16"/>
              </w:rPr>
              <w:t>EAGB</w:t>
            </w:r>
          </w:p>
        </w:tc>
        <w:tc>
          <w:tcPr>
            <w:tcW w:w="2131" w:type="dxa"/>
            <w:tcBorders>
              <w:top w:val="single" w:sz="4" w:space="0" w:color="auto"/>
              <w:left w:val="single" w:sz="4" w:space="0" w:color="auto"/>
              <w:bottom w:val="single" w:sz="4" w:space="0" w:color="auto"/>
              <w:right w:val="single" w:sz="4" w:space="0" w:color="auto"/>
            </w:tcBorders>
            <w:vAlign w:val="center"/>
          </w:tcPr>
          <w:p w:rsidR="005A6322" w:rsidRPr="005A6322" w:rsidRDefault="005A6322" w:rsidP="005A6322">
            <w:pPr>
              <w:autoSpaceDE w:val="0"/>
              <w:autoSpaceDN w:val="0"/>
              <w:adjustRightInd w:val="0"/>
              <w:spacing w:after="0" w:line="240" w:lineRule="auto"/>
              <w:jc w:val="both"/>
              <w:rPr>
                <w:rFonts w:ascii="Times New Roman" w:hAnsi="Times New Roman" w:cs="Times New Roman"/>
                <w:sz w:val="16"/>
                <w:szCs w:val="16"/>
                <w:lang w:val="x-none"/>
              </w:rPr>
            </w:pPr>
            <w:r w:rsidRPr="005A6322">
              <w:rPr>
                <w:rFonts w:ascii="Times New Roman" w:hAnsi="Times New Roman" w:cs="Times New Roman"/>
                <w:sz w:val="16"/>
                <w:szCs w:val="16"/>
                <w:lang w:val="x-none"/>
              </w:rPr>
              <w:t>Amélioration de la performance de l’EAGB</w:t>
            </w:r>
          </w:p>
        </w:tc>
        <w:tc>
          <w:tcPr>
            <w:tcW w:w="4673" w:type="dxa"/>
            <w:tcBorders>
              <w:top w:val="single" w:sz="4" w:space="0" w:color="auto"/>
              <w:left w:val="single" w:sz="4" w:space="0" w:color="auto"/>
              <w:bottom w:val="single" w:sz="4" w:space="0" w:color="auto"/>
              <w:right w:val="single" w:sz="4" w:space="0" w:color="auto"/>
            </w:tcBorders>
            <w:vAlign w:val="center"/>
          </w:tcPr>
          <w:p w:rsidR="005A6322" w:rsidRPr="005A6322" w:rsidRDefault="005A6322" w:rsidP="005A6322">
            <w:pPr>
              <w:autoSpaceDE w:val="0"/>
              <w:autoSpaceDN w:val="0"/>
              <w:adjustRightInd w:val="0"/>
              <w:spacing w:after="0" w:line="240" w:lineRule="auto"/>
              <w:jc w:val="both"/>
              <w:rPr>
                <w:rFonts w:ascii="Times New Roman" w:hAnsi="Times New Roman" w:cs="Times New Roman"/>
                <w:sz w:val="16"/>
                <w:szCs w:val="16"/>
              </w:rPr>
            </w:pPr>
            <w:r w:rsidRPr="005A6322">
              <w:rPr>
                <w:rFonts w:ascii="Times New Roman" w:hAnsi="Times New Roman" w:cs="Times New Roman"/>
                <w:sz w:val="16"/>
                <w:szCs w:val="16"/>
              </w:rPr>
              <w:t>-Renforcer, encadrer, former l’EAGB en terme de performance,</w:t>
            </w:r>
            <w:r w:rsidRPr="005A6322">
              <w:rPr>
                <w:rFonts w:ascii="Times New Roman" w:hAnsi="Times New Roman" w:cs="Times New Roman"/>
                <w:color w:val="000000"/>
                <w:sz w:val="16"/>
                <w:szCs w:val="16"/>
              </w:rPr>
              <w:t xml:space="preserve"> performance, d’efficacité, d’efficience, de rentabilité, de maîtrise des investissements et de maximisation du rendement ;</w:t>
            </w:r>
          </w:p>
        </w:tc>
        <w:tc>
          <w:tcPr>
            <w:tcW w:w="3402" w:type="dxa"/>
            <w:tcBorders>
              <w:top w:val="single" w:sz="4" w:space="0" w:color="auto"/>
              <w:left w:val="single" w:sz="4" w:space="0" w:color="auto"/>
              <w:bottom w:val="single" w:sz="4" w:space="0" w:color="auto"/>
              <w:right w:val="single" w:sz="4" w:space="0" w:color="auto"/>
            </w:tcBorders>
            <w:vAlign w:val="center"/>
          </w:tcPr>
          <w:p w:rsidR="005A6322" w:rsidRPr="005A6322" w:rsidRDefault="005A6322" w:rsidP="005A6322">
            <w:pPr>
              <w:autoSpaceDE w:val="0"/>
              <w:autoSpaceDN w:val="0"/>
              <w:adjustRightInd w:val="0"/>
              <w:spacing w:after="0" w:line="240" w:lineRule="auto"/>
              <w:jc w:val="both"/>
              <w:rPr>
                <w:rFonts w:ascii="Times New Roman" w:hAnsi="Times New Roman" w:cs="Times New Roman"/>
                <w:sz w:val="16"/>
                <w:szCs w:val="16"/>
              </w:rPr>
            </w:pPr>
            <w:r w:rsidRPr="005A6322">
              <w:rPr>
                <w:rFonts w:ascii="Times New Roman" w:hAnsi="Times New Roman" w:cs="Times New Roman"/>
                <w:sz w:val="16"/>
                <w:szCs w:val="16"/>
              </w:rPr>
              <w:t>- Nombre de personnes formées, encadrées, renforcées au niveau EAGB ;</w:t>
            </w:r>
          </w:p>
        </w:tc>
        <w:tc>
          <w:tcPr>
            <w:tcW w:w="1276"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5A6322" w:rsidRPr="005A6322" w:rsidRDefault="005A6322" w:rsidP="005A6322">
            <w:pPr>
              <w:autoSpaceDE w:val="0"/>
              <w:autoSpaceDN w:val="0"/>
              <w:adjustRightInd w:val="0"/>
              <w:spacing w:after="0" w:line="240" w:lineRule="auto"/>
              <w:jc w:val="center"/>
              <w:rPr>
                <w:rFonts w:ascii="Times New Roman" w:hAnsi="Times New Roman" w:cs="Times New Roman"/>
                <w:b/>
                <w:sz w:val="16"/>
                <w:szCs w:val="16"/>
              </w:rPr>
            </w:pPr>
            <w:r w:rsidRPr="005A6322">
              <w:rPr>
                <w:rFonts w:ascii="Times New Roman" w:hAnsi="Times New Roman" w:cs="Times New Roman"/>
                <w:b/>
                <w:sz w:val="16"/>
                <w:szCs w:val="16"/>
              </w:rPr>
              <w:t xml:space="preserve"> ETAT</w:t>
            </w:r>
          </w:p>
          <w:p w:rsidR="005A6322" w:rsidRPr="005A6322" w:rsidRDefault="005A6322" w:rsidP="005A6322">
            <w:pPr>
              <w:autoSpaceDE w:val="0"/>
              <w:autoSpaceDN w:val="0"/>
              <w:adjustRightInd w:val="0"/>
              <w:spacing w:after="0" w:line="240" w:lineRule="auto"/>
              <w:jc w:val="center"/>
              <w:rPr>
                <w:rFonts w:ascii="Times New Roman" w:hAnsi="Times New Roman" w:cs="Times New Roman"/>
                <w:b/>
                <w:sz w:val="16"/>
                <w:szCs w:val="16"/>
              </w:rPr>
            </w:pPr>
            <w:r w:rsidRPr="005A6322">
              <w:rPr>
                <w:rFonts w:ascii="Times New Roman" w:hAnsi="Times New Roman" w:cs="Times New Roman"/>
                <w:b/>
                <w:sz w:val="16"/>
                <w:szCs w:val="16"/>
              </w:rPr>
              <w:t>PUASEE-FA</w:t>
            </w:r>
          </w:p>
        </w:tc>
        <w:tc>
          <w:tcPr>
            <w:tcW w:w="1134"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5A6322" w:rsidRPr="005A6322" w:rsidRDefault="005A6322" w:rsidP="005A6322">
            <w:pPr>
              <w:autoSpaceDE w:val="0"/>
              <w:autoSpaceDN w:val="0"/>
              <w:adjustRightInd w:val="0"/>
              <w:spacing w:after="0" w:line="240" w:lineRule="auto"/>
              <w:jc w:val="center"/>
              <w:rPr>
                <w:rFonts w:ascii="Times New Roman" w:hAnsi="Times New Roman" w:cs="Times New Roman"/>
                <w:b/>
                <w:sz w:val="16"/>
                <w:szCs w:val="16"/>
              </w:rPr>
            </w:pPr>
            <w:r w:rsidRPr="005A6322">
              <w:rPr>
                <w:rFonts w:ascii="Times New Roman" w:hAnsi="Times New Roman" w:cs="Times New Roman"/>
                <w:b/>
                <w:sz w:val="16"/>
                <w:szCs w:val="16"/>
              </w:rPr>
              <w:t>Comité de suivi</w:t>
            </w:r>
          </w:p>
        </w:tc>
        <w:tc>
          <w:tcPr>
            <w:tcW w:w="1134" w:type="dxa"/>
            <w:tcBorders>
              <w:top w:val="single" w:sz="4" w:space="0" w:color="auto"/>
              <w:left w:val="single" w:sz="4" w:space="0" w:color="auto"/>
              <w:bottom w:val="single" w:sz="4" w:space="0" w:color="auto"/>
              <w:right w:val="single" w:sz="4" w:space="0" w:color="auto"/>
            </w:tcBorders>
            <w:vAlign w:val="center"/>
          </w:tcPr>
          <w:p w:rsidR="005A6322" w:rsidRPr="005A6322" w:rsidRDefault="005A6322" w:rsidP="005A6322">
            <w:pPr>
              <w:autoSpaceDE w:val="0"/>
              <w:autoSpaceDN w:val="0"/>
              <w:adjustRightInd w:val="0"/>
              <w:spacing w:after="0" w:line="240" w:lineRule="auto"/>
              <w:jc w:val="center"/>
              <w:rPr>
                <w:rFonts w:ascii="Times New Roman" w:hAnsi="Times New Roman" w:cs="Times New Roman"/>
                <w:sz w:val="16"/>
                <w:szCs w:val="16"/>
              </w:rPr>
            </w:pPr>
            <w:r w:rsidRPr="005A6322">
              <w:rPr>
                <w:rFonts w:ascii="Times New Roman" w:hAnsi="Times New Roman" w:cs="Times New Roman"/>
                <w:sz w:val="16"/>
                <w:szCs w:val="16"/>
              </w:rPr>
              <w:t xml:space="preserve">Durant l’exploitation </w:t>
            </w:r>
          </w:p>
          <w:p w:rsidR="005A6322" w:rsidRPr="005A6322" w:rsidRDefault="005A6322" w:rsidP="005A6322">
            <w:pPr>
              <w:autoSpaceDE w:val="0"/>
              <w:autoSpaceDN w:val="0"/>
              <w:adjustRightInd w:val="0"/>
              <w:spacing w:after="0" w:line="240" w:lineRule="auto"/>
              <w:jc w:val="center"/>
              <w:rPr>
                <w:rFonts w:ascii="Times New Roman" w:hAnsi="Times New Roman" w:cs="Times New Roman"/>
                <w:sz w:val="16"/>
                <w:szCs w:val="16"/>
              </w:rPr>
            </w:pPr>
            <w:r w:rsidRPr="005A6322">
              <w:rPr>
                <w:rFonts w:ascii="Times New Roman" w:hAnsi="Times New Roman" w:cs="Times New Roman"/>
                <w:sz w:val="16"/>
                <w:szCs w:val="16"/>
              </w:rPr>
              <w:t>/Une fois par an</w:t>
            </w:r>
          </w:p>
        </w:tc>
        <w:tc>
          <w:tcPr>
            <w:tcW w:w="1134"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rsidR="005A6322" w:rsidRPr="005A6322" w:rsidRDefault="005A6322" w:rsidP="005A6322">
            <w:pPr>
              <w:autoSpaceDE w:val="0"/>
              <w:autoSpaceDN w:val="0"/>
              <w:adjustRightInd w:val="0"/>
              <w:spacing w:after="0" w:line="240" w:lineRule="auto"/>
              <w:jc w:val="center"/>
              <w:rPr>
                <w:rFonts w:ascii="Times New Roman" w:hAnsi="Times New Roman" w:cs="Times New Roman"/>
                <w:b/>
                <w:sz w:val="16"/>
                <w:szCs w:val="16"/>
              </w:rPr>
            </w:pPr>
            <w:r w:rsidRPr="005A6322">
              <w:rPr>
                <w:rFonts w:ascii="Times New Roman" w:hAnsi="Times New Roman" w:cs="Times New Roman"/>
                <w:b/>
                <w:sz w:val="16"/>
                <w:szCs w:val="16"/>
              </w:rPr>
              <w:t>2 500 000</w:t>
            </w:r>
          </w:p>
        </w:tc>
      </w:tr>
      <w:tr w:rsidR="005A6322" w:rsidRPr="005A6322" w:rsidTr="005A6322">
        <w:trPr>
          <w:trHeight w:val="134"/>
          <w:jc w:val="center"/>
        </w:trPr>
        <w:tc>
          <w:tcPr>
            <w:tcW w:w="14879" w:type="dxa"/>
            <w:gridSpan w:val="7"/>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rsidR="005A6322" w:rsidRPr="005A6322" w:rsidRDefault="005A6322" w:rsidP="005A6322">
            <w:pPr>
              <w:autoSpaceDE w:val="0"/>
              <w:autoSpaceDN w:val="0"/>
              <w:adjustRightInd w:val="0"/>
              <w:spacing w:after="0" w:line="240" w:lineRule="auto"/>
              <w:jc w:val="center"/>
              <w:rPr>
                <w:rFonts w:ascii="Times New Roman" w:hAnsi="Times New Roman" w:cs="Times New Roman"/>
                <w:b/>
                <w:bCs/>
                <w:sz w:val="16"/>
                <w:szCs w:val="16"/>
              </w:rPr>
            </w:pPr>
            <w:r w:rsidRPr="005A6322">
              <w:rPr>
                <w:rFonts w:ascii="Times New Roman" w:hAnsi="Times New Roman" w:cs="Times New Roman"/>
                <w:b/>
                <w:bCs/>
                <w:sz w:val="16"/>
                <w:szCs w:val="16"/>
              </w:rPr>
              <w:t>SOUS TOTAL 1</w:t>
            </w:r>
          </w:p>
        </w:tc>
        <w:tc>
          <w:tcPr>
            <w:tcW w:w="1134"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rsidR="005A6322" w:rsidRPr="005A6322" w:rsidRDefault="005A6322" w:rsidP="005A6322">
            <w:pPr>
              <w:autoSpaceDE w:val="0"/>
              <w:autoSpaceDN w:val="0"/>
              <w:adjustRightInd w:val="0"/>
              <w:spacing w:after="0" w:line="240" w:lineRule="auto"/>
              <w:jc w:val="center"/>
              <w:rPr>
                <w:rFonts w:ascii="Times New Roman" w:hAnsi="Times New Roman" w:cs="Times New Roman"/>
                <w:b/>
                <w:sz w:val="16"/>
                <w:szCs w:val="16"/>
              </w:rPr>
            </w:pPr>
            <w:r w:rsidRPr="005A6322">
              <w:rPr>
                <w:rFonts w:ascii="Times New Roman" w:hAnsi="Times New Roman" w:cs="Times New Roman"/>
                <w:b/>
                <w:sz w:val="16"/>
                <w:szCs w:val="16"/>
              </w:rPr>
              <w:t>18 250 000</w:t>
            </w:r>
          </w:p>
        </w:tc>
      </w:tr>
    </w:tbl>
    <w:p w:rsidR="002C6E60" w:rsidRPr="005A6322" w:rsidRDefault="002C6E60" w:rsidP="005A6322">
      <w:pPr>
        <w:spacing w:after="0" w:line="240" w:lineRule="auto"/>
        <w:jc w:val="center"/>
        <w:rPr>
          <w:rFonts w:ascii="Times New Roman" w:hAnsi="Times New Roman" w:cs="Times New Roman"/>
          <w:sz w:val="16"/>
          <w:szCs w:val="16"/>
        </w:rPr>
      </w:pPr>
      <w:r w:rsidRPr="005A6322">
        <w:rPr>
          <w:rFonts w:ascii="Times New Roman" w:eastAsia="Times New Roman" w:hAnsi="Times New Roman" w:cs="Times New Roman"/>
          <w:b/>
          <w:bCs/>
          <w:sz w:val="16"/>
          <w:szCs w:val="16"/>
          <w:lang w:eastAsia="fr-FR"/>
        </w:rPr>
        <w:t xml:space="preserve"> Tableau plan de gestion environnementale et sociale (PGES)</w:t>
      </w:r>
    </w:p>
    <w:tbl>
      <w:tblPr>
        <w:tblW w:w="16013" w:type="dxa"/>
        <w:jc w:val="center"/>
        <w:tblBorders>
          <w:top w:val="single" w:sz="4" w:space="0" w:color="7F7F7F"/>
          <w:bottom w:val="single" w:sz="4" w:space="0" w:color="7F7F7F"/>
        </w:tblBorders>
        <w:tblLook w:val="04A0" w:firstRow="1" w:lastRow="0" w:firstColumn="1" w:lastColumn="0" w:noHBand="0" w:noVBand="1"/>
      </w:tblPr>
      <w:tblGrid>
        <w:gridCol w:w="1212"/>
        <w:gridCol w:w="2079"/>
        <w:gridCol w:w="4335"/>
        <w:gridCol w:w="3568"/>
        <w:gridCol w:w="1134"/>
        <w:gridCol w:w="1120"/>
        <w:gridCol w:w="1445"/>
        <w:gridCol w:w="1120"/>
      </w:tblGrid>
      <w:tr w:rsidR="005A6322" w:rsidRPr="005A6322" w:rsidTr="003A6643">
        <w:trPr>
          <w:trHeight w:val="70"/>
          <w:jc w:val="center"/>
        </w:trPr>
        <w:tc>
          <w:tcPr>
            <w:tcW w:w="16013" w:type="dxa"/>
            <w:gridSpan w:val="8"/>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rsidR="005A6322" w:rsidRPr="005A6322" w:rsidRDefault="005A6322" w:rsidP="005A6322">
            <w:pPr>
              <w:spacing w:after="0" w:line="240" w:lineRule="auto"/>
              <w:jc w:val="center"/>
              <w:rPr>
                <w:rFonts w:ascii="Times New Roman" w:hAnsi="Times New Roman" w:cs="Times New Roman"/>
                <w:b/>
                <w:bCs/>
                <w:sz w:val="16"/>
                <w:szCs w:val="16"/>
              </w:rPr>
            </w:pPr>
            <w:r w:rsidRPr="005A6322">
              <w:rPr>
                <w:rFonts w:ascii="Times New Roman" w:hAnsi="Times New Roman" w:cs="Times New Roman"/>
                <w:b/>
                <w:bCs/>
                <w:sz w:val="16"/>
                <w:szCs w:val="16"/>
              </w:rPr>
              <w:t>PHASE PRE-CONSTRUCTION ET CONSTRUCTION</w:t>
            </w:r>
          </w:p>
        </w:tc>
      </w:tr>
      <w:tr w:rsidR="003A6643" w:rsidRPr="005A6322" w:rsidTr="001A349D">
        <w:trPr>
          <w:trHeight w:val="70"/>
          <w:jc w:val="center"/>
        </w:trPr>
        <w:tc>
          <w:tcPr>
            <w:tcW w:w="1212" w:type="dxa"/>
            <w:vMerge w:val="restart"/>
            <w:tcBorders>
              <w:top w:val="single" w:sz="4" w:space="0" w:color="auto"/>
              <w:left w:val="single" w:sz="4" w:space="0" w:color="auto"/>
              <w:bottom w:val="single" w:sz="4" w:space="0" w:color="auto"/>
              <w:right w:val="single" w:sz="4" w:space="0" w:color="auto"/>
            </w:tcBorders>
            <w:shd w:val="clear" w:color="auto" w:fill="F2F2F2"/>
            <w:vAlign w:val="center"/>
          </w:tcPr>
          <w:p w:rsidR="005A6322" w:rsidRPr="005A6322" w:rsidRDefault="005A6322" w:rsidP="005A6322">
            <w:pPr>
              <w:spacing w:after="0" w:line="240" w:lineRule="auto"/>
              <w:jc w:val="center"/>
              <w:rPr>
                <w:rFonts w:ascii="Times New Roman" w:hAnsi="Times New Roman" w:cs="Times New Roman"/>
                <w:b/>
                <w:bCs/>
                <w:sz w:val="16"/>
                <w:szCs w:val="16"/>
              </w:rPr>
            </w:pPr>
            <w:r w:rsidRPr="005A6322">
              <w:rPr>
                <w:rFonts w:ascii="Times New Roman" w:hAnsi="Times New Roman" w:cs="Times New Roman"/>
                <w:b/>
                <w:bCs/>
                <w:sz w:val="16"/>
                <w:szCs w:val="16"/>
              </w:rPr>
              <w:t>Composante du milieu affecté</w:t>
            </w:r>
          </w:p>
        </w:tc>
        <w:tc>
          <w:tcPr>
            <w:tcW w:w="2079" w:type="dxa"/>
            <w:vMerge w:val="restart"/>
            <w:tcBorders>
              <w:top w:val="single" w:sz="4" w:space="0" w:color="auto"/>
              <w:left w:val="single" w:sz="4" w:space="0" w:color="auto"/>
              <w:bottom w:val="single" w:sz="4" w:space="0" w:color="auto"/>
              <w:right w:val="single" w:sz="4" w:space="0" w:color="auto"/>
            </w:tcBorders>
            <w:shd w:val="clear" w:color="auto" w:fill="F2F2F2"/>
            <w:vAlign w:val="center"/>
          </w:tcPr>
          <w:p w:rsidR="005A6322" w:rsidRPr="005A6322" w:rsidRDefault="005A6322" w:rsidP="005A6322">
            <w:pPr>
              <w:spacing w:after="0" w:line="240" w:lineRule="auto"/>
              <w:jc w:val="center"/>
              <w:rPr>
                <w:rFonts w:ascii="Times New Roman" w:hAnsi="Times New Roman" w:cs="Times New Roman"/>
                <w:b/>
                <w:sz w:val="16"/>
                <w:szCs w:val="16"/>
              </w:rPr>
            </w:pPr>
            <w:r w:rsidRPr="005A6322">
              <w:rPr>
                <w:rFonts w:ascii="Times New Roman" w:hAnsi="Times New Roman" w:cs="Times New Roman"/>
                <w:b/>
                <w:sz w:val="16"/>
                <w:szCs w:val="16"/>
              </w:rPr>
              <w:t>Nature de l’impact potentiel</w:t>
            </w:r>
          </w:p>
        </w:tc>
        <w:tc>
          <w:tcPr>
            <w:tcW w:w="4335" w:type="dxa"/>
            <w:vMerge w:val="restart"/>
            <w:tcBorders>
              <w:top w:val="single" w:sz="4" w:space="0" w:color="auto"/>
              <w:left w:val="single" w:sz="4" w:space="0" w:color="auto"/>
              <w:bottom w:val="single" w:sz="4" w:space="0" w:color="auto"/>
              <w:right w:val="single" w:sz="4" w:space="0" w:color="auto"/>
            </w:tcBorders>
            <w:shd w:val="clear" w:color="auto" w:fill="F2F2F2"/>
            <w:vAlign w:val="center"/>
          </w:tcPr>
          <w:p w:rsidR="005A6322" w:rsidRPr="005A6322" w:rsidRDefault="005A6322" w:rsidP="005A6322">
            <w:pPr>
              <w:spacing w:after="0" w:line="240" w:lineRule="auto"/>
              <w:jc w:val="center"/>
              <w:rPr>
                <w:rFonts w:ascii="Times New Roman" w:hAnsi="Times New Roman" w:cs="Times New Roman"/>
                <w:b/>
                <w:sz w:val="16"/>
                <w:szCs w:val="16"/>
              </w:rPr>
            </w:pPr>
            <w:r w:rsidRPr="005A6322">
              <w:rPr>
                <w:rFonts w:ascii="Times New Roman" w:hAnsi="Times New Roman" w:cs="Times New Roman"/>
                <w:b/>
                <w:sz w:val="16"/>
                <w:szCs w:val="16"/>
              </w:rPr>
              <w:t>Mesures d’atténuation</w:t>
            </w:r>
          </w:p>
        </w:tc>
        <w:tc>
          <w:tcPr>
            <w:tcW w:w="3568" w:type="dxa"/>
            <w:vMerge w:val="restart"/>
            <w:tcBorders>
              <w:top w:val="single" w:sz="4" w:space="0" w:color="auto"/>
              <w:left w:val="single" w:sz="4" w:space="0" w:color="auto"/>
              <w:bottom w:val="single" w:sz="4" w:space="0" w:color="auto"/>
              <w:right w:val="single" w:sz="4" w:space="0" w:color="auto"/>
            </w:tcBorders>
            <w:shd w:val="clear" w:color="auto" w:fill="F2F2F2"/>
            <w:vAlign w:val="center"/>
          </w:tcPr>
          <w:p w:rsidR="005A6322" w:rsidRPr="005A6322" w:rsidRDefault="005A6322" w:rsidP="005A6322">
            <w:pPr>
              <w:spacing w:after="0" w:line="240" w:lineRule="auto"/>
              <w:jc w:val="center"/>
              <w:rPr>
                <w:rFonts w:ascii="Times New Roman" w:hAnsi="Times New Roman" w:cs="Times New Roman"/>
                <w:b/>
                <w:sz w:val="16"/>
                <w:szCs w:val="16"/>
              </w:rPr>
            </w:pPr>
            <w:r w:rsidRPr="005A6322">
              <w:rPr>
                <w:rFonts w:ascii="Times New Roman" w:hAnsi="Times New Roman" w:cs="Times New Roman"/>
                <w:b/>
                <w:sz w:val="16"/>
                <w:szCs w:val="16"/>
              </w:rPr>
              <w:t>Indicateur de suivi</w:t>
            </w:r>
          </w:p>
        </w:tc>
        <w:tc>
          <w:tcPr>
            <w:tcW w:w="2254"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rsidR="005A6322" w:rsidRPr="005A6322" w:rsidRDefault="005A6322" w:rsidP="005A6322">
            <w:pPr>
              <w:spacing w:after="0" w:line="240" w:lineRule="auto"/>
              <w:jc w:val="center"/>
              <w:rPr>
                <w:rFonts w:ascii="Times New Roman" w:hAnsi="Times New Roman" w:cs="Times New Roman"/>
                <w:b/>
                <w:sz w:val="16"/>
                <w:szCs w:val="16"/>
              </w:rPr>
            </w:pPr>
            <w:r w:rsidRPr="005A6322">
              <w:rPr>
                <w:rFonts w:ascii="Times New Roman" w:hAnsi="Times New Roman" w:cs="Times New Roman"/>
                <w:b/>
                <w:bCs/>
                <w:spacing w:val="-3"/>
                <w:sz w:val="16"/>
                <w:szCs w:val="16"/>
              </w:rPr>
              <w:t>Responsable(s)</w:t>
            </w:r>
          </w:p>
        </w:tc>
        <w:tc>
          <w:tcPr>
            <w:tcW w:w="1445" w:type="dxa"/>
            <w:vMerge w:val="restart"/>
            <w:tcBorders>
              <w:top w:val="single" w:sz="4" w:space="0" w:color="auto"/>
              <w:left w:val="single" w:sz="4" w:space="0" w:color="auto"/>
              <w:bottom w:val="single" w:sz="4" w:space="0" w:color="auto"/>
              <w:right w:val="single" w:sz="4" w:space="0" w:color="auto"/>
            </w:tcBorders>
            <w:shd w:val="clear" w:color="auto" w:fill="F2F2F2"/>
            <w:vAlign w:val="center"/>
          </w:tcPr>
          <w:p w:rsidR="005A6322" w:rsidRPr="005A6322" w:rsidRDefault="005A6322" w:rsidP="005A6322">
            <w:pPr>
              <w:spacing w:after="0" w:line="240" w:lineRule="auto"/>
              <w:jc w:val="center"/>
              <w:rPr>
                <w:rFonts w:ascii="Times New Roman" w:hAnsi="Times New Roman" w:cs="Times New Roman"/>
                <w:b/>
                <w:sz w:val="16"/>
                <w:szCs w:val="16"/>
              </w:rPr>
            </w:pPr>
            <w:r w:rsidRPr="005A6322">
              <w:rPr>
                <w:rFonts w:ascii="Times New Roman" w:hAnsi="Times New Roman" w:cs="Times New Roman"/>
                <w:b/>
                <w:bCs/>
                <w:spacing w:val="-3"/>
                <w:sz w:val="16"/>
                <w:szCs w:val="16"/>
              </w:rPr>
              <w:t>Échéances/Période</w:t>
            </w:r>
          </w:p>
        </w:tc>
        <w:tc>
          <w:tcPr>
            <w:tcW w:w="1120" w:type="dxa"/>
            <w:vMerge w:val="restart"/>
            <w:tcBorders>
              <w:top w:val="single" w:sz="4" w:space="0" w:color="auto"/>
              <w:left w:val="single" w:sz="4" w:space="0" w:color="auto"/>
              <w:bottom w:val="single" w:sz="4" w:space="0" w:color="auto"/>
              <w:right w:val="single" w:sz="4" w:space="0" w:color="auto"/>
            </w:tcBorders>
            <w:shd w:val="clear" w:color="auto" w:fill="F2F2F2"/>
            <w:vAlign w:val="center"/>
          </w:tcPr>
          <w:p w:rsidR="005A6322" w:rsidRPr="005A6322" w:rsidRDefault="005A6322" w:rsidP="005A6322">
            <w:pPr>
              <w:spacing w:after="0" w:line="240" w:lineRule="auto"/>
              <w:jc w:val="center"/>
              <w:rPr>
                <w:rFonts w:ascii="Times New Roman" w:hAnsi="Times New Roman" w:cs="Times New Roman"/>
                <w:b/>
                <w:sz w:val="16"/>
                <w:szCs w:val="16"/>
              </w:rPr>
            </w:pPr>
            <w:r w:rsidRPr="005A6322">
              <w:rPr>
                <w:rFonts w:ascii="Times New Roman" w:hAnsi="Times New Roman" w:cs="Times New Roman"/>
                <w:b/>
                <w:bCs/>
                <w:spacing w:val="-3"/>
                <w:sz w:val="16"/>
                <w:szCs w:val="16"/>
              </w:rPr>
              <w:t>Coût (FCFA)</w:t>
            </w:r>
          </w:p>
        </w:tc>
      </w:tr>
      <w:tr w:rsidR="001A349D" w:rsidRPr="005A6322" w:rsidTr="001A349D">
        <w:trPr>
          <w:trHeight w:val="70"/>
          <w:jc w:val="center"/>
        </w:trPr>
        <w:tc>
          <w:tcPr>
            <w:tcW w:w="1212" w:type="dxa"/>
            <w:vMerge/>
            <w:tcBorders>
              <w:top w:val="single" w:sz="4" w:space="0" w:color="auto"/>
              <w:left w:val="single" w:sz="4" w:space="0" w:color="auto"/>
              <w:bottom w:val="single" w:sz="4" w:space="0" w:color="auto"/>
              <w:right w:val="single" w:sz="4" w:space="0" w:color="auto"/>
            </w:tcBorders>
          </w:tcPr>
          <w:p w:rsidR="005A6322" w:rsidRPr="005A6322" w:rsidRDefault="005A6322" w:rsidP="005A6322">
            <w:pPr>
              <w:spacing w:after="0" w:line="240" w:lineRule="auto"/>
              <w:jc w:val="both"/>
              <w:rPr>
                <w:rFonts w:ascii="Times New Roman" w:hAnsi="Times New Roman" w:cs="Times New Roman"/>
                <w:b/>
                <w:bCs/>
                <w:sz w:val="16"/>
                <w:szCs w:val="16"/>
              </w:rPr>
            </w:pPr>
          </w:p>
        </w:tc>
        <w:tc>
          <w:tcPr>
            <w:tcW w:w="2079" w:type="dxa"/>
            <w:vMerge/>
            <w:tcBorders>
              <w:top w:val="single" w:sz="4" w:space="0" w:color="auto"/>
              <w:left w:val="single" w:sz="4" w:space="0" w:color="auto"/>
              <w:bottom w:val="single" w:sz="4" w:space="0" w:color="auto"/>
              <w:right w:val="single" w:sz="4" w:space="0" w:color="auto"/>
            </w:tcBorders>
          </w:tcPr>
          <w:p w:rsidR="005A6322" w:rsidRPr="005A6322" w:rsidRDefault="005A6322" w:rsidP="005A6322">
            <w:pPr>
              <w:spacing w:after="0" w:line="240" w:lineRule="auto"/>
              <w:jc w:val="both"/>
              <w:rPr>
                <w:rFonts w:ascii="Times New Roman" w:hAnsi="Times New Roman" w:cs="Times New Roman"/>
                <w:b/>
                <w:sz w:val="16"/>
                <w:szCs w:val="16"/>
              </w:rPr>
            </w:pPr>
          </w:p>
        </w:tc>
        <w:tc>
          <w:tcPr>
            <w:tcW w:w="4335" w:type="dxa"/>
            <w:vMerge/>
            <w:tcBorders>
              <w:top w:val="single" w:sz="4" w:space="0" w:color="auto"/>
              <w:left w:val="single" w:sz="4" w:space="0" w:color="auto"/>
              <w:bottom w:val="single" w:sz="4" w:space="0" w:color="auto"/>
              <w:right w:val="single" w:sz="4" w:space="0" w:color="auto"/>
            </w:tcBorders>
          </w:tcPr>
          <w:p w:rsidR="005A6322" w:rsidRPr="005A6322" w:rsidRDefault="005A6322" w:rsidP="005A6322">
            <w:pPr>
              <w:spacing w:after="0" w:line="240" w:lineRule="auto"/>
              <w:jc w:val="both"/>
              <w:rPr>
                <w:rFonts w:ascii="Times New Roman" w:hAnsi="Times New Roman" w:cs="Times New Roman"/>
                <w:b/>
                <w:sz w:val="16"/>
                <w:szCs w:val="16"/>
              </w:rPr>
            </w:pPr>
          </w:p>
        </w:tc>
        <w:tc>
          <w:tcPr>
            <w:tcW w:w="3568" w:type="dxa"/>
            <w:vMerge/>
            <w:tcBorders>
              <w:top w:val="single" w:sz="4" w:space="0" w:color="auto"/>
              <w:left w:val="single" w:sz="4" w:space="0" w:color="auto"/>
              <w:bottom w:val="single" w:sz="4" w:space="0" w:color="auto"/>
              <w:right w:val="single" w:sz="4" w:space="0" w:color="auto"/>
            </w:tcBorders>
          </w:tcPr>
          <w:p w:rsidR="005A6322" w:rsidRPr="005A6322" w:rsidRDefault="005A6322" w:rsidP="005A6322">
            <w:pPr>
              <w:spacing w:after="0" w:line="240" w:lineRule="auto"/>
              <w:jc w:val="both"/>
              <w:rPr>
                <w:rFonts w:ascii="Times New Roman" w:hAnsi="Times New Roman" w:cs="Times New Roman"/>
                <w:b/>
                <w:sz w:val="16"/>
                <w:szCs w:val="16"/>
              </w:rPr>
            </w:pPr>
          </w:p>
        </w:tc>
        <w:tc>
          <w:tcPr>
            <w:tcW w:w="1134"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rsidR="005A6322" w:rsidRPr="005A6322" w:rsidRDefault="005A6322" w:rsidP="005A6322">
            <w:pPr>
              <w:spacing w:after="0" w:line="240" w:lineRule="auto"/>
              <w:jc w:val="center"/>
              <w:rPr>
                <w:rFonts w:ascii="Times New Roman" w:hAnsi="Times New Roman" w:cs="Times New Roman"/>
                <w:b/>
                <w:bCs/>
                <w:spacing w:val="-3"/>
                <w:sz w:val="16"/>
                <w:szCs w:val="16"/>
              </w:rPr>
            </w:pPr>
            <w:r w:rsidRPr="005A6322">
              <w:rPr>
                <w:rFonts w:ascii="Times New Roman" w:hAnsi="Times New Roman" w:cs="Times New Roman"/>
                <w:b/>
                <w:bCs/>
                <w:spacing w:val="-3"/>
                <w:sz w:val="16"/>
                <w:szCs w:val="16"/>
              </w:rPr>
              <w:t>Mise en œuvre</w:t>
            </w:r>
          </w:p>
        </w:tc>
        <w:tc>
          <w:tcPr>
            <w:tcW w:w="1120"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rsidR="005A6322" w:rsidRPr="005A6322" w:rsidRDefault="005A6322" w:rsidP="005A6322">
            <w:pPr>
              <w:spacing w:after="0" w:line="240" w:lineRule="auto"/>
              <w:jc w:val="center"/>
              <w:rPr>
                <w:rFonts w:ascii="Times New Roman" w:hAnsi="Times New Roman" w:cs="Times New Roman"/>
                <w:b/>
                <w:bCs/>
                <w:spacing w:val="-3"/>
                <w:sz w:val="16"/>
                <w:szCs w:val="16"/>
              </w:rPr>
            </w:pPr>
            <w:r w:rsidRPr="005A6322">
              <w:rPr>
                <w:rFonts w:ascii="Times New Roman" w:hAnsi="Times New Roman" w:cs="Times New Roman"/>
                <w:b/>
                <w:bCs/>
                <w:spacing w:val="-3"/>
                <w:sz w:val="16"/>
                <w:szCs w:val="16"/>
              </w:rPr>
              <w:t>Suivi / Contrôle</w:t>
            </w:r>
          </w:p>
        </w:tc>
        <w:tc>
          <w:tcPr>
            <w:tcW w:w="1445" w:type="dxa"/>
            <w:vMerge/>
            <w:tcBorders>
              <w:top w:val="single" w:sz="4" w:space="0" w:color="auto"/>
              <w:left w:val="single" w:sz="4" w:space="0" w:color="auto"/>
              <w:bottom w:val="single" w:sz="4" w:space="0" w:color="auto"/>
              <w:right w:val="single" w:sz="4" w:space="0" w:color="auto"/>
            </w:tcBorders>
          </w:tcPr>
          <w:p w:rsidR="005A6322" w:rsidRPr="005A6322" w:rsidRDefault="005A6322" w:rsidP="005A6322">
            <w:pPr>
              <w:spacing w:after="0" w:line="240" w:lineRule="auto"/>
              <w:jc w:val="both"/>
              <w:rPr>
                <w:rFonts w:ascii="Times New Roman" w:hAnsi="Times New Roman" w:cs="Times New Roman"/>
                <w:b/>
                <w:bCs/>
                <w:spacing w:val="-3"/>
                <w:sz w:val="16"/>
                <w:szCs w:val="16"/>
              </w:rPr>
            </w:pPr>
          </w:p>
        </w:tc>
        <w:tc>
          <w:tcPr>
            <w:tcW w:w="1120" w:type="dxa"/>
            <w:vMerge/>
            <w:tcBorders>
              <w:top w:val="single" w:sz="4" w:space="0" w:color="auto"/>
              <w:left w:val="single" w:sz="4" w:space="0" w:color="auto"/>
              <w:bottom w:val="single" w:sz="4" w:space="0" w:color="auto"/>
              <w:right w:val="single" w:sz="4" w:space="0" w:color="auto"/>
            </w:tcBorders>
          </w:tcPr>
          <w:p w:rsidR="005A6322" w:rsidRPr="005A6322" w:rsidRDefault="005A6322" w:rsidP="005A6322">
            <w:pPr>
              <w:spacing w:after="0" w:line="240" w:lineRule="auto"/>
              <w:jc w:val="both"/>
              <w:rPr>
                <w:rFonts w:ascii="Times New Roman" w:hAnsi="Times New Roman" w:cs="Times New Roman"/>
                <w:b/>
                <w:bCs/>
                <w:spacing w:val="-3"/>
                <w:sz w:val="16"/>
                <w:szCs w:val="16"/>
              </w:rPr>
            </w:pPr>
          </w:p>
        </w:tc>
      </w:tr>
      <w:tr w:rsidR="001A349D" w:rsidRPr="005A6322" w:rsidTr="001A349D">
        <w:trPr>
          <w:trHeight w:val="70"/>
          <w:jc w:val="center"/>
        </w:trPr>
        <w:tc>
          <w:tcPr>
            <w:tcW w:w="1212"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5A6322" w:rsidRPr="005A6322" w:rsidRDefault="005A6322" w:rsidP="005A6322">
            <w:pPr>
              <w:spacing w:after="0" w:line="240" w:lineRule="auto"/>
              <w:jc w:val="center"/>
              <w:rPr>
                <w:rFonts w:ascii="Times New Roman" w:hAnsi="Times New Roman" w:cs="Times New Roman"/>
                <w:b/>
                <w:bCs/>
                <w:sz w:val="16"/>
                <w:szCs w:val="16"/>
              </w:rPr>
            </w:pPr>
            <w:r w:rsidRPr="005A6322">
              <w:rPr>
                <w:rFonts w:ascii="Times New Roman" w:hAnsi="Times New Roman" w:cs="Times New Roman"/>
                <w:b/>
                <w:bCs/>
                <w:sz w:val="16"/>
                <w:szCs w:val="16"/>
              </w:rPr>
              <w:t>Air</w:t>
            </w:r>
          </w:p>
        </w:tc>
        <w:tc>
          <w:tcPr>
            <w:tcW w:w="2079" w:type="dxa"/>
            <w:tcBorders>
              <w:top w:val="single" w:sz="4" w:space="0" w:color="auto"/>
              <w:left w:val="single" w:sz="4" w:space="0" w:color="auto"/>
              <w:bottom w:val="single" w:sz="4" w:space="0" w:color="auto"/>
              <w:right w:val="single" w:sz="4" w:space="0" w:color="auto"/>
            </w:tcBorders>
            <w:vAlign w:val="center"/>
          </w:tcPr>
          <w:p w:rsidR="005A6322" w:rsidRPr="005A6322" w:rsidRDefault="005A6322" w:rsidP="005A6322">
            <w:pPr>
              <w:spacing w:after="0" w:line="240" w:lineRule="auto"/>
              <w:jc w:val="both"/>
              <w:rPr>
                <w:rFonts w:ascii="Times New Roman" w:hAnsi="Times New Roman" w:cs="Times New Roman"/>
                <w:sz w:val="16"/>
                <w:szCs w:val="16"/>
              </w:rPr>
            </w:pPr>
            <w:r w:rsidRPr="005A6322">
              <w:rPr>
                <w:rFonts w:ascii="Times New Roman" w:hAnsi="Times New Roman" w:cs="Times New Roman"/>
                <w:sz w:val="16"/>
                <w:szCs w:val="16"/>
              </w:rPr>
              <w:t>Risque d’émissions de poussières de natures diverses</w:t>
            </w:r>
          </w:p>
          <w:p w:rsidR="005A6322" w:rsidRPr="005A6322" w:rsidRDefault="005A6322" w:rsidP="005A6322">
            <w:pPr>
              <w:spacing w:after="0" w:line="240" w:lineRule="auto"/>
              <w:jc w:val="both"/>
              <w:rPr>
                <w:rFonts w:ascii="Times New Roman" w:hAnsi="Times New Roman" w:cs="Times New Roman"/>
                <w:sz w:val="16"/>
                <w:szCs w:val="16"/>
              </w:rPr>
            </w:pPr>
          </w:p>
          <w:p w:rsidR="005A6322" w:rsidRPr="005A6322" w:rsidRDefault="005A6322" w:rsidP="005A6322">
            <w:pPr>
              <w:spacing w:after="0" w:line="240" w:lineRule="auto"/>
              <w:jc w:val="both"/>
              <w:rPr>
                <w:rFonts w:ascii="Times New Roman" w:hAnsi="Times New Roman" w:cs="Times New Roman"/>
                <w:sz w:val="16"/>
                <w:szCs w:val="16"/>
              </w:rPr>
            </w:pPr>
            <w:r w:rsidRPr="005A6322">
              <w:rPr>
                <w:rFonts w:ascii="Times New Roman" w:hAnsi="Times New Roman" w:cs="Times New Roman"/>
                <w:sz w:val="16"/>
                <w:szCs w:val="16"/>
              </w:rPr>
              <w:t>Risque d’émission de GES</w:t>
            </w:r>
          </w:p>
          <w:p w:rsidR="005A6322" w:rsidRPr="005A6322" w:rsidRDefault="005A6322" w:rsidP="005A6322">
            <w:pPr>
              <w:spacing w:after="0" w:line="240" w:lineRule="auto"/>
              <w:jc w:val="both"/>
              <w:rPr>
                <w:rFonts w:ascii="Times New Roman" w:hAnsi="Times New Roman" w:cs="Times New Roman"/>
                <w:sz w:val="16"/>
                <w:szCs w:val="16"/>
              </w:rPr>
            </w:pPr>
          </w:p>
          <w:p w:rsidR="005A6322" w:rsidRPr="005A6322" w:rsidRDefault="005A6322" w:rsidP="005A6322">
            <w:pPr>
              <w:spacing w:after="0" w:line="240" w:lineRule="auto"/>
              <w:jc w:val="both"/>
              <w:rPr>
                <w:rFonts w:ascii="Times New Roman" w:hAnsi="Times New Roman" w:cs="Times New Roman"/>
                <w:sz w:val="16"/>
                <w:szCs w:val="16"/>
              </w:rPr>
            </w:pPr>
            <w:r w:rsidRPr="005A6322">
              <w:rPr>
                <w:rFonts w:ascii="Times New Roman" w:hAnsi="Times New Roman" w:cs="Times New Roman"/>
                <w:sz w:val="16"/>
                <w:szCs w:val="16"/>
              </w:rPr>
              <w:t>Risque de dégagement d’un mélange de particules et de gaz, appelé fumée de soudure ;</w:t>
            </w:r>
          </w:p>
        </w:tc>
        <w:tc>
          <w:tcPr>
            <w:tcW w:w="4335" w:type="dxa"/>
            <w:tcBorders>
              <w:top w:val="single" w:sz="4" w:space="0" w:color="auto"/>
              <w:left w:val="single" w:sz="4" w:space="0" w:color="auto"/>
              <w:bottom w:val="single" w:sz="4" w:space="0" w:color="auto"/>
              <w:right w:val="single" w:sz="4" w:space="0" w:color="auto"/>
            </w:tcBorders>
            <w:vAlign w:val="center"/>
          </w:tcPr>
          <w:p w:rsidR="005A6322" w:rsidRPr="005A6322" w:rsidRDefault="005A6322" w:rsidP="005A6322">
            <w:pPr>
              <w:spacing w:after="0" w:line="240" w:lineRule="auto"/>
              <w:jc w:val="both"/>
              <w:rPr>
                <w:rFonts w:ascii="Times New Roman" w:hAnsi="Times New Roman" w:cs="Times New Roman"/>
                <w:sz w:val="16"/>
                <w:szCs w:val="16"/>
              </w:rPr>
            </w:pPr>
            <w:r w:rsidRPr="005A6322">
              <w:rPr>
                <w:rFonts w:ascii="Times New Roman" w:hAnsi="Times New Roman" w:cs="Times New Roman"/>
                <w:sz w:val="16"/>
                <w:szCs w:val="16"/>
              </w:rPr>
              <w:t>- Organiser des Campagnes de sensibilisation des ouvriers contre les maladies respiratoires ;</w:t>
            </w:r>
          </w:p>
          <w:p w:rsidR="005A6322" w:rsidRPr="005A6322" w:rsidRDefault="005A6322" w:rsidP="005A6322">
            <w:pPr>
              <w:spacing w:after="0" w:line="240" w:lineRule="auto"/>
              <w:jc w:val="both"/>
              <w:rPr>
                <w:rFonts w:ascii="Times New Roman" w:hAnsi="Times New Roman" w:cs="Times New Roman"/>
                <w:sz w:val="16"/>
                <w:szCs w:val="16"/>
              </w:rPr>
            </w:pPr>
            <w:r w:rsidRPr="005A6322">
              <w:rPr>
                <w:rFonts w:ascii="Times New Roman" w:hAnsi="Times New Roman" w:cs="Times New Roman"/>
                <w:sz w:val="16"/>
                <w:szCs w:val="16"/>
              </w:rPr>
              <w:t>- Doter les ouvriers de masques anti-poussières ;</w:t>
            </w:r>
          </w:p>
          <w:p w:rsidR="005A6322" w:rsidRPr="005A6322" w:rsidRDefault="005A6322" w:rsidP="005A6322">
            <w:pPr>
              <w:spacing w:after="0" w:line="240" w:lineRule="auto"/>
              <w:jc w:val="both"/>
              <w:rPr>
                <w:rFonts w:ascii="Times New Roman" w:hAnsi="Times New Roman" w:cs="Times New Roman"/>
                <w:sz w:val="16"/>
                <w:szCs w:val="16"/>
              </w:rPr>
            </w:pPr>
            <w:r w:rsidRPr="005A6322">
              <w:rPr>
                <w:rFonts w:ascii="Times New Roman" w:hAnsi="Times New Roman" w:cs="Times New Roman"/>
                <w:sz w:val="16"/>
                <w:szCs w:val="16"/>
              </w:rPr>
              <w:t>-Bien bâcher les camions transporteurs de sable ou des matériaux poussiéreux pendant le transport ;</w:t>
            </w:r>
          </w:p>
          <w:p w:rsidR="005A6322" w:rsidRPr="005A6322" w:rsidRDefault="005A6322" w:rsidP="005A6322">
            <w:pPr>
              <w:spacing w:after="0" w:line="240" w:lineRule="auto"/>
              <w:jc w:val="both"/>
              <w:rPr>
                <w:rFonts w:ascii="Times New Roman" w:hAnsi="Times New Roman" w:cs="Times New Roman"/>
                <w:sz w:val="16"/>
                <w:szCs w:val="16"/>
              </w:rPr>
            </w:pPr>
            <w:r w:rsidRPr="005A6322">
              <w:rPr>
                <w:rFonts w:ascii="Times New Roman" w:hAnsi="Times New Roman" w:cs="Times New Roman"/>
                <w:sz w:val="16"/>
                <w:szCs w:val="16"/>
              </w:rPr>
              <w:t>- Arroser régulièrement les chantiers, les voies d’accès ;</w:t>
            </w:r>
          </w:p>
          <w:p w:rsidR="005A6322" w:rsidRPr="005A6322" w:rsidRDefault="005A6322" w:rsidP="005A6322">
            <w:pPr>
              <w:spacing w:after="0" w:line="240" w:lineRule="auto"/>
              <w:jc w:val="both"/>
              <w:rPr>
                <w:rFonts w:ascii="Times New Roman" w:hAnsi="Times New Roman" w:cs="Times New Roman"/>
                <w:sz w:val="16"/>
                <w:szCs w:val="16"/>
              </w:rPr>
            </w:pPr>
            <w:r w:rsidRPr="005A6322">
              <w:rPr>
                <w:rFonts w:ascii="Times New Roman" w:hAnsi="Times New Roman" w:cs="Times New Roman"/>
                <w:sz w:val="16"/>
                <w:szCs w:val="16"/>
              </w:rPr>
              <w:t>- Entretien et stockage approprié des matériaux friables afin de minimiser la dispersion de la poussière ;</w:t>
            </w:r>
          </w:p>
          <w:p w:rsidR="005A6322" w:rsidRPr="005A6322" w:rsidRDefault="005A6322" w:rsidP="005A6322">
            <w:pPr>
              <w:spacing w:after="0" w:line="240" w:lineRule="auto"/>
              <w:jc w:val="both"/>
              <w:rPr>
                <w:rFonts w:ascii="Times New Roman" w:hAnsi="Times New Roman" w:cs="Times New Roman"/>
                <w:sz w:val="16"/>
                <w:szCs w:val="16"/>
              </w:rPr>
            </w:pPr>
            <w:r w:rsidRPr="005A6322">
              <w:rPr>
                <w:rFonts w:ascii="Times New Roman" w:hAnsi="Times New Roman" w:cs="Times New Roman"/>
                <w:sz w:val="16"/>
                <w:szCs w:val="16"/>
              </w:rPr>
              <w:t>-Bien organiser les déblais provenant des fondations de structure et d’autre ;</w:t>
            </w:r>
          </w:p>
          <w:p w:rsidR="005A6322" w:rsidRPr="005A6322" w:rsidRDefault="005A6322" w:rsidP="005A6322">
            <w:pPr>
              <w:spacing w:after="0" w:line="240" w:lineRule="auto"/>
              <w:jc w:val="both"/>
              <w:rPr>
                <w:rFonts w:ascii="Times New Roman" w:hAnsi="Times New Roman" w:cs="Times New Roman"/>
                <w:sz w:val="16"/>
                <w:szCs w:val="16"/>
              </w:rPr>
            </w:pPr>
            <w:r w:rsidRPr="005A6322">
              <w:rPr>
                <w:rFonts w:ascii="Times New Roman" w:hAnsi="Times New Roman" w:cs="Times New Roman"/>
                <w:sz w:val="16"/>
                <w:szCs w:val="16"/>
              </w:rPr>
              <w:t>- Etude préalable des voies d’accès au chantier des réservoirs par un choix judicieux des routes ;</w:t>
            </w:r>
          </w:p>
          <w:p w:rsidR="005A6322" w:rsidRPr="005A6322" w:rsidRDefault="005A6322" w:rsidP="005A6322">
            <w:pPr>
              <w:spacing w:after="0" w:line="240" w:lineRule="auto"/>
              <w:jc w:val="both"/>
              <w:rPr>
                <w:rFonts w:ascii="Times New Roman" w:hAnsi="Times New Roman" w:cs="Times New Roman"/>
                <w:sz w:val="16"/>
                <w:szCs w:val="16"/>
              </w:rPr>
            </w:pPr>
            <w:r w:rsidRPr="005A6322">
              <w:rPr>
                <w:rFonts w:ascii="Times New Roman" w:hAnsi="Times New Roman" w:cs="Times New Roman"/>
                <w:sz w:val="16"/>
                <w:szCs w:val="16"/>
              </w:rPr>
              <w:t>-Protéger les puits et les points d’eau trop exposés à la poussière ;</w:t>
            </w:r>
          </w:p>
          <w:p w:rsidR="005A6322" w:rsidRPr="005A6322" w:rsidRDefault="005A6322" w:rsidP="005A6322">
            <w:pPr>
              <w:spacing w:after="0" w:line="240" w:lineRule="auto"/>
              <w:jc w:val="both"/>
              <w:rPr>
                <w:rFonts w:ascii="Times New Roman" w:hAnsi="Times New Roman" w:cs="Times New Roman"/>
                <w:sz w:val="16"/>
                <w:szCs w:val="16"/>
              </w:rPr>
            </w:pPr>
            <w:r w:rsidRPr="005A6322">
              <w:rPr>
                <w:rFonts w:ascii="Times New Roman" w:hAnsi="Times New Roman" w:cs="Times New Roman"/>
                <w:sz w:val="16"/>
                <w:szCs w:val="16"/>
              </w:rPr>
              <w:t>- Veiller au bon état des véhicules lourds ;</w:t>
            </w:r>
          </w:p>
          <w:p w:rsidR="005A6322" w:rsidRPr="005A6322" w:rsidRDefault="005A6322" w:rsidP="005A6322">
            <w:pPr>
              <w:spacing w:after="0" w:line="240" w:lineRule="auto"/>
              <w:jc w:val="both"/>
              <w:rPr>
                <w:rFonts w:ascii="Times New Roman" w:hAnsi="Times New Roman" w:cs="Times New Roman"/>
                <w:sz w:val="16"/>
                <w:szCs w:val="16"/>
              </w:rPr>
            </w:pPr>
            <w:r w:rsidRPr="005A6322">
              <w:rPr>
                <w:rFonts w:ascii="Times New Roman" w:hAnsi="Times New Roman" w:cs="Times New Roman"/>
                <w:sz w:val="16"/>
                <w:szCs w:val="16"/>
              </w:rPr>
              <w:t>- Veiller aux visites techniques des véhicules ;</w:t>
            </w:r>
          </w:p>
        </w:tc>
        <w:tc>
          <w:tcPr>
            <w:tcW w:w="3568" w:type="dxa"/>
            <w:tcBorders>
              <w:top w:val="single" w:sz="4" w:space="0" w:color="auto"/>
              <w:left w:val="single" w:sz="4" w:space="0" w:color="auto"/>
              <w:bottom w:val="single" w:sz="4" w:space="0" w:color="auto"/>
              <w:right w:val="single" w:sz="4" w:space="0" w:color="auto"/>
            </w:tcBorders>
            <w:vAlign w:val="center"/>
          </w:tcPr>
          <w:p w:rsidR="005A6322" w:rsidRPr="005A6322" w:rsidRDefault="005A6322" w:rsidP="005A6322">
            <w:pPr>
              <w:spacing w:after="0" w:line="240" w:lineRule="auto"/>
              <w:jc w:val="both"/>
              <w:rPr>
                <w:rFonts w:ascii="Times New Roman" w:hAnsi="Times New Roman" w:cs="Times New Roman"/>
                <w:sz w:val="16"/>
                <w:szCs w:val="16"/>
              </w:rPr>
            </w:pPr>
            <w:r w:rsidRPr="005A6322">
              <w:rPr>
                <w:rFonts w:ascii="Times New Roman" w:hAnsi="Times New Roman" w:cs="Times New Roman"/>
                <w:sz w:val="16"/>
                <w:szCs w:val="16"/>
              </w:rPr>
              <w:t>-Nombre de campagnes organisées</w:t>
            </w:r>
            <w:r>
              <w:rPr>
                <w:rFonts w:ascii="Times New Roman" w:hAnsi="Times New Roman" w:cs="Times New Roman"/>
                <w:sz w:val="16"/>
                <w:szCs w:val="16"/>
              </w:rPr>
              <w:t> ;</w:t>
            </w:r>
          </w:p>
          <w:p w:rsidR="005A6322" w:rsidRPr="005A6322" w:rsidRDefault="005A6322" w:rsidP="005A6322">
            <w:pPr>
              <w:spacing w:after="0" w:line="240" w:lineRule="auto"/>
              <w:jc w:val="both"/>
              <w:rPr>
                <w:rFonts w:ascii="Times New Roman" w:hAnsi="Times New Roman" w:cs="Times New Roman"/>
                <w:sz w:val="16"/>
                <w:szCs w:val="16"/>
              </w:rPr>
            </w:pPr>
            <w:r w:rsidRPr="005A6322">
              <w:rPr>
                <w:rFonts w:ascii="Times New Roman" w:hAnsi="Times New Roman" w:cs="Times New Roman"/>
                <w:sz w:val="16"/>
                <w:szCs w:val="16"/>
              </w:rPr>
              <w:t>-Plan de circulation validé par le bureau de contrôle</w:t>
            </w:r>
            <w:r>
              <w:rPr>
                <w:rFonts w:ascii="Times New Roman" w:hAnsi="Times New Roman" w:cs="Times New Roman"/>
                <w:sz w:val="16"/>
                <w:szCs w:val="16"/>
              </w:rPr>
              <w:t> ;</w:t>
            </w:r>
          </w:p>
          <w:p w:rsidR="005A6322" w:rsidRPr="005A6322" w:rsidRDefault="005A6322" w:rsidP="005A6322">
            <w:pPr>
              <w:spacing w:after="0" w:line="240" w:lineRule="auto"/>
              <w:jc w:val="both"/>
              <w:rPr>
                <w:rFonts w:ascii="Times New Roman" w:hAnsi="Times New Roman" w:cs="Times New Roman"/>
                <w:sz w:val="16"/>
                <w:szCs w:val="16"/>
              </w:rPr>
            </w:pPr>
            <w:r w:rsidRPr="005A6322">
              <w:rPr>
                <w:rFonts w:ascii="Times New Roman" w:hAnsi="Times New Roman" w:cs="Times New Roman"/>
                <w:sz w:val="16"/>
                <w:szCs w:val="16"/>
              </w:rPr>
              <w:t>- Nombre de camions bâchés ;</w:t>
            </w:r>
          </w:p>
          <w:p w:rsidR="005A6322" w:rsidRPr="005A6322" w:rsidRDefault="005A6322" w:rsidP="005A6322">
            <w:pPr>
              <w:spacing w:after="0" w:line="240" w:lineRule="auto"/>
              <w:jc w:val="both"/>
              <w:rPr>
                <w:rFonts w:ascii="Times New Roman" w:hAnsi="Times New Roman" w:cs="Times New Roman"/>
                <w:sz w:val="16"/>
                <w:szCs w:val="16"/>
              </w:rPr>
            </w:pPr>
            <w:r w:rsidRPr="005A6322">
              <w:rPr>
                <w:rFonts w:ascii="Times New Roman" w:hAnsi="Times New Roman" w:cs="Times New Roman"/>
                <w:sz w:val="16"/>
                <w:szCs w:val="16"/>
              </w:rPr>
              <w:t>-Superficie de chantier arrosée ;</w:t>
            </w:r>
          </w:p>
          <w:p w:rsidR="005A6322" w:rsidRPr="005A6322" w:rsidRDefault="005A6322" w:rsidP="005A6322">
            <w:pPr>
              <w:spacing w:after="0" w:line="240" w:lineRule="auto"/>
              <w:jc w:val="both"/>
              <w:rPr>
                <w:rFonts w:ascii="Times New Roman" w:hAnsi="Times New Roman" w:cs="Times New Roman"/>
                <w:sz w:val="16"/>
                <w:szCs w:val="16"/>
              </w:rPr>
            </w:pPr>
            <w:r w:rsidRPr="005A6322">
              <w:rPr>
                <w:rFonts w:ascii="Times New Roman" w:hAnsi="Times New Roman" w:cs="Times New Roman"/>
                <w:sz w:val="16"/>
                <w:szCs w:val="16"/>
              </w:rPr>
              <w:t>-Présence d’un système entassement des déblais ;</w:t>
            </w:r>
          </w:p>
          <w:p w:rsidR="005A6322" w:rsidRPr="005A6322" w:rsidRDefault="005A6322" w:rsidP="005A6322">
            <w:pPr>
              <w:spacing w:after="0" w:line="240" w:lineRule="auto"/>
              <w:jc w:val="both"/>
              <w:rPr>
                <w:rFonts w:ascii="Times New Roman" w:hAnsi="Times New Roman" w:cs="Times New Roman"/>
                <w:sz w:val="16"/>
                <w:szCs w:val="16"/>
              </w:rPr>
            </w:pPr>
            <w:r w:rsidRPr="005A6322">
              <w:rPr>
                <w:rFonts w:ascii="Times New Roman" w:hAnsi="Times New Roman" w:cs="Times New Roman"/>
                <w:sz w:val="16"/>
                <w:szCs w:val="16"/>
              </w:rPr>
              <w:t>-Le système de stockage des matériaux de l’Entreprise est v</w:t>
            </w:r>
            <w:r>
              <w:rPr>
                <w:rFonts w:ascii="Times New Roman" w:hAnsi="Times New Roman" w:cs="Times New Roman"/>
                <w:sz w:val="16"/>
                <w:szCs w:val="16"/>
              </w:rPr>
              <w:t>alidé par le bureau de contrôle</w:t>
            </w:r>
          </w:p>
          <w:p w:rsidR="005A6322" w:rsidRPr="005A6322" w:rsidRDefault="005A6322" w:rsidP="005A6322">
            <w:pPr>
              <w:spacing w:after="0" w:line="240" w:lineRule="auto"/>
              <w:jc w:val="both"/>
              <w:rPr>
                <w:rFonts w:ascii="Times New Roman" w:hAnsi="Times New Roman" w:cs="Times New Roman"/>
                <w:sz w:val="16"/>
                <w:szCs w:val="16"/>
              </w:rPr>
            </w:pPr>
            <w:r w:rsidRPr="005A6322">
              <w:rPr>
                <w:rFonts w:ascii="Times New Roman" w:hAnsi="Times New Roman" w:cs="Times New Roman"/>
                <w:sz w:val="16"/>
                <w:szCs w:val="16"/>
              </w:rPr>
              <w:t>-Nombre de plaintes du voisinage enregistrées</w:t>
            </w:r>
            <w:r>
              <w:rPr>
                <w:rFonts w:ascii="Times New Roman" w:hAnsi="Times New Roman" w:cs="Times New Roman"/>
                <w:sz w:val="16"/>
                <w:szCs w:val="16"/>
              </w:rPr>
              <w:t> ;</w:t>
            </w:r>
          </w:p>
          <w:p w:rsidR="005A6322" w:rsidRPr="005A6322" w:rsidRDefault="005A6322" w:rsidP="005A6322">
            <w:pPr>
              <w:spacing w:after="0" w:line="240" w:lineRule="auto"/>
              <w:jc w:val="both"/>
              <w:rPr>
                <w:rFonts w:ascii="Times New Roman" w:hAnsi="Times New Roman" w:cs="Times New Roman"/>
                <w:sz w:val="16"/>
                <w:szCs w:val="16"/>
              </w:rPr>
            </w:pPr>
            <w:r w:rsidRPr="005A6322">
              <w:rPr>
                <w:rFonts w:ascii="Times New Roman" w:hAnsi="Times New Roman" w:cs="Times New Roman"/>
                <w:sz w:val="16"/>
                <w:szCs w:val="16"/>
              </w:rPr>
              <w:t>-Nombre de puits et de points d’eau protégés ;</w:t>
            </w:r>
          </w:p>
          <w:p w:rsidR="005A6322" w:rsidRPr="005A6322" w:rsidRDefault="005A6322" w:rsidP="005A6322">
            <w:pPr>
              <w:spacing w:after="0" w:line="240" w:lineRule="auto"/>
              <w:jc w:val="both"/>
              <w:rPr>
                <w:rFonts w:ascii="Times New Roman" w:hAnsi="Times New Roman" w:cs="Times New Roman"/>
                <w:sz w:val="16"/>
                <w:szCs w:val="16"/>
              </w:rPr>
            </w:pPr>
            <w:r w:rsidRPr="005A6322">
              <w:rPr>
                <w:rFonts w:ascii="Times New Roman" w:hAnsi="Times New Roman" w:cs="Times New Roman"/>
                <w:sz w:val="16"/>
                <w:szCs w:val="16"/>
              </w:rPr>
              <w:t>-Attestation des conformités des véhicules ;</w:t>
            </w:r>
          </w:p>
        </w:tc>
        <w:tc>
          <w:tcPr>
            <w:tcW w:w="1134"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5A6322" w:rsidRPr="005A6322" w:rsidRDefault="005A6322" w:rsidP="005A6322">
            <w:pPr>
              <w:spacing w:after="0" w:line="240" w:lineRule="auto"/>
              <w:jc w:val="both"/>
              <w:rPr>
                <w:rFonts w:ascii="Times New Roman" w:hAnsi="Times New Roman" w:cs="Times New Roman"/>
                <w:b/>
                <w:sz w:val="16"/>
                <w:szCs w:val="16"/>
              </w:rPr>
            </w:pPr>
            <w:r w:rsidRPr="005A6322">
              <w:rPr>
                <w:rFonts w:ascii="Times New Roman" w:hAnsi="Times New Roman" w:cs="Times New Roman"/>
                <w:b/>
                <w:sz w:val="16"/>
                <w:szCs w:val="16"/>
              </w:rPr>
              <w:t>Entreprise</w:t>
            </w:r>
          </w:p>
        </w:tc>
        <w:tc>
          <w:tcPr>
            <w:tcW w:w="1120"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5A6322" w:rsidRPr="005A6322" w:rsidRDefault="005A6322" w:rsidP="005A6322">
            <w:pPr>
              <w:spacing w:after="0" w:line="240" w:lineRule="auto"/>
              <w:jc w:val="both"/>
              <w:rPr>
                <w:rFonts w:ascii="Times New Roman" w:hAnsi="Times New Roman" w:cs="Times New Roman"/>
                <w:b/>
                <w:sz w:val="16"/>
                <w:szCs w:val="16"/>
              </w:rPr>
            </w:pPr>
            <w:r w:rsidRPr="005A6322">
              <w:rPr>
                <w:rFonts w:ascii="Times New Roman" w:hAnsi="Times New Roman" w:cs="Times New Roman"/>
                <w:b/>
                <w:sz w:val="16"/>
                <w:szCs w:val="16"/>
              </w:rPr>
              <w:t>Comité de suivi</w:t>
            </w:r>
          </w:p>
          <w:p w:rsidR="005A6322" w:rsidRPr="005A6322" w:rsidRDefault="005A6322" w:rsidP="005A6322">
            <w:pPr>
              <w:spacing w:after="0" w:line="240" w:lineRule="auto"/>
              <w:jc w:val="both"/>
              <w:rPr>
                <w:rFonts w:ascii="Times New Roman" w:hAnsi="Times New Roman" w:cs="Times New Roman"/>
                <w:b/>
                <w:sz w:val="16"/>
                <w:szCs w:val="16"/>
              </w:rPr>
            </w:pPr>
          </w:p>
          <w:p w:rsidR="005A6322" w:rsidRPr="005A6322" w:rsidRDefault="005A6322" w:rsidP="005A6322">
            <w:pPr>
              <w:spacing w:after="0" w:line="240" w:lineRule="auto"/>
              <w:jc w:val="both"/>
              <w:rPr>
                <w:rFonts w:ascii="Times New Roman" w:hAnsi="Times New Roman" w:cs="Times New Roman"/>
                <w:b/>
                <w:sz w:val="16"/>
                <w:szCs w:val="16"/>
              </w:rPr>
            </w:pPr>
            <w:r w:rsidRPr="005A6322">
              <w:rPr>
                <w:rFonts w:ascii="Times New Roman" w:hAnsi="Times New Roman" w:cs="Times New Roman"/>
                <w:b/>
                <w:sz w:val="16"/>
                <w:szCs w:val="16"/>
              </w:rPr>
              <w:t>PUASEE-FA</w:t>
            </w:r>
          </w:p>
        </w:tc>
        <w:tc>
          <w:tcPr>
            <w:tcW w:w="1445" w:type="dxa"/>
            <w:tcBorders>
              <w:top w:val="single" w:sz="4" w:space="0" w:color="auto"/>
              <w:left w:val="single" w:sz="4" w:space="0" w:color="auto"/>
              <w:bottom w:val="single" w:sz="4" w:space="0" w:color="auto"/>
              <w:right w:val="single" w:sz="4" w:space="0" w:color="auto"/>
            </w:tcBorders>
            <w:vAlign w:val="center"/>
          </w:tcPr>
          <w:p w:rsidR="005A6322" w:rsidRPr="005A6322" w:rsidRDefault="005A6322" w:rsidP="005A6322">
            <w:pPr>
              <w:spacing w:after="0" w:line="240" w:lineRule="auto"/>
              <w:jc w:val="both"/>
              <w:rPr>
                <w:rFonts w:ascii="Times New Roman" w:hAnsi="Times New Roman" w:cs="Times New Roman"/>
                <w:sz w:val="16"/>
                <w:szCs w:val="16"/>
              </w:rPr>
            </w:pPr>
            <w:r w:rsidRPr="005A6322">
              <w:rPr>
                <w:rFonts w:ascii="Times New Roman" w:hAnsi="Times New Roman" w:cs="Times New Roman"/>
                <w:sz w:val="16"/>
                <w:szCs w:val="16"/>
              </w:rPr>
              <w:t>Durant les travaux / Trimestrielle</w:t>
            </w:r>
          </w:p>
        </w:tc>
        <w:tc>
          <w:tcPr>
            <w:tcW w:w="112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5A6322" w:rsidRPr="005A6322" w:rsidRDefault="005A6322" w:rsidP="005A6322">
            <w:pPr>
              <w:spacing w:after="0" w:line="240" w:lineRule="auto"/>
              <w:jc w:val="both"/>
              <w:rPr>
                <w:rFonts w:ascii="Times New Roman" w:hAnsi="Times New Roman" w:cs="Times New Roman"/>
                <w:b/>
                <w:sz w:val="16"/>
                <w:szCs w:val="16"/>
              </w:rPr>
            </w:pPr>
            <w:r w:rsidRPr="005A6322">
              <w:rPr>
                <w:rFonts w:ascii="Times New Roman" w:hAnsi="Times New Roman" w:cs="Times New Roman"/>
                <w:b/>
                <w:sz w:val="16"/>
                <w:szCs w:val="16"/>
              </w:rPr>
              <w:t>3 500 000</w:t>
            </w:r>
          </w:p>
        </w:tc>
      </w:tr>
      <w:tr w:rsidR="001A349D" w:rsidRPr="005A6322" w:rsidTr="001A349D">
        <w:trPr>
          <w:trHeight w:val="446"/>
          <w:jc w:val="center"/>
        </w:trPr>
        <w:tc>
          <w:tcPr>
            <w:tcW w:w="1212"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5A6322" w:rsidRPr="005A6322" w:rsidRDefault="005A6322" w:rsidP="005A6322">
            <w:pPr>
              <w:spacing w:after="0" w:line="240" w:lineRule="auto"/>
              <w:jc w:val="both"/>
              <w:rPr>
                <w:rFonts w:ascii="Times New Roman" w:hAnsi="Times New Roman" w:cs="Times New Roman"/>
                <w:b/>
                <w:bCs/>
                <w:sz w:val="16"/>
                <w:szCs w:val="16"/>
              </w:rPr>
            </w:pPr>
            <w:r w:rsidRPr="005A6322">
              <w:rPr>
                <w:rFonts w:ascii="Times New Roman" w:hAnsi="Times New Roman" w:cs="Times New Roman"/>
                <w:b/>
                <w:bCs/>
                <w:sz w:val="16"/>
                <w:szCs w:val="16"/>
              </w:rPr>
              <w:t>Sol et la géologie</w:t>
            </w:r>
            <w:r w:rsidRPr="005A6322">
              <w:rPr>
                <w:rFonts w:ascii="Times New Roman" w:hAnsi="Times New Roman" w:cs="Times New Roman"/>
                <w:b/>
                <w:sz w:val="16"/>
                <w:szCs w:val="16"/>
              </w:rPr>
              <w:t xml:space="preserve"> </w:t>
            </w:r>
          </w:p>
        </w:tc>
        <w:tc>
          <w:tcPr>
            <w:tcW w:w="2079" w:type="dxa"/>
            <w:tcBorders>
              <w:top w:val="single" w:sz="4" w:space="0" w:color="auto"/>
              <w:left w:val="single" w:sz="4" w:space="0" w:color="auto"/>
              <w:bottom w:val="single" w:sz="4" w:space="0" w:color="auto"/>
              <w:right w:val="single" w:sz="4" w:space="0" w:color="auto"/>
            </w:tcBorders>
            <w:vAlign w:val="center"/>
          </w:tcPr>
          <w:p w:rsidR="005A6322" w:rsidRPr="005A6322" w:rsidRDefault="005A6322" w:rsidP="005A6322">
            <w:pPr>
              <w:spacing w:after="0" w:line="240" w:lineRule="auto"/>
              <w:jc w:val="both"/>
              <w:rPr>
                <w:rFonts w:ascii="Times New Roman" w:hAnsi="Times New Roman" w:cs="Times New Roman"/>
                <w:sz w:val="16"/>
                <w:szCs w:val="16"/>
              </w:rPr>
            </w:pPr>
            <w:r w:rsidRPr="005A6322">
              <w:rPr>
                <w:rFonts w:ascii="Times New Roman" w:hAnsi="Times New Roman" w:cs="Times New Roman"/>
                <w:sz w:val="16"/>
                <w:szCs w:val="16"/>
              </w:rPr>
              <w:t>Modification et fragilisation de la structure et de la texture du sol et des sous-sols</w:t>
            </w:r>
          </w:p>
          <w:p w:rsidR="005A6322" w:rsidRPr="005A6322" w:rsidRDefault="005A6322" w:rsidP="005A6322">
            <w:pPr>
              <w:spacing w:after="0" w:line="240" w:lineRule="auto"/>
              <w:jc w:val="both"/>
              <w:rPr>
                <w:rFonts w:ascii="Times New Roman" w:hAnsi="Times New Roman" w:cs="Times New Roman"/>
                <w:sz w:val="16"/>
                <w:szCs w:val="16"/>
              </w:rPr>
            </w:pPr>
          </w:p>
          <w:p w:rsidR="005A6322" w:rsidRPr="005A6322" w:rsidRDefault="005A6322" w:rsidP="005A6322">
            <w:pPr>
              <w:spacing w:after="0" w:line="240" w:lineRule="auto"/>
              <w:jc w:val="both"/>
              <w:rPr>
                <w:rFonts w:ascii="Times New Roman" w:hAnsi="Times New Roman" w:cs="Times New Roman"/>
                <w:sz w:val="16"/>
                <w:szCs w:val="16"/>
              </w:rPr>
            </w:pPr>
            <w:r w:rsidRPr="005A6322">
              <w:rPr>
                <w:rFonts w:ascii="Times New Roman" w:hAnsi="Times New Roman" w:cs="Times New Roman"/>
                <w:sz w:val="16"/>
                <w:szCs w:val="16"/>
              </w:rPr>
              <w:t xml:space="preserve">Risque de pollution du sol du déversement accidentel de polluants (solvant, peinture, batterie morte, les sachets de </w:t>
            </w:r>
            <w:r w:rsidRPr="005A6322">
              <w:rPr>
                <w:rFonts w:ascii="Times New Roman" w:hAnsi="Times New Roman" w:cs="Times New Roman"/>
                <w:sz w:val="16"/>
                <w:szCs w:val="16"/>
              </w:rPr>
              <w:lastRenderedPageBreak/>
              <w:t>ciment, les morceaux de bois etc.)</w:t>
            </w:r>
          </w:p>
          <w:p w:rsidR="005A6322" w:rsidRPr="005A6322" w:rsidRDefault="005A6322" w:rsidP="005A6322">
            <w:pPr>
              <w:spacing w:after="0" w:line="240" w:lineRule="auto"/>
              <w:jc w:val="both"/>
              <w:rPr>
                <w:rFonts w:ascii="Times New Roman" w:hAnsi="Times New Roman" w:cs="Times New Roman"/>
                <w:sz w:val="16"/>
                <w:szCs w:val="16"/>
              </w:rPr>
            </w:pPr>
            <w:r w:rsidRPr="005A6322">
              <w:rPr>
                <w:rFonts w:ascii="Times New Roman" w:hAnsi="Times New Roman" w:cs="Times New Roman"/>
                <w:sz w:val="16"/>
                <w:szCs w:val="16"/>
              </w:rPr>
              <w:t>Risque de pollution accidentelle des sols est à craindre dû à d’éventuelles fuites de carburant ou de lubrifiant.</w:t>
            </w:r>
          </w:p>
        </w:tc>
        <w:tc>
          <w:tcPr>
            <w:tcW w:w="4335" w:type="dxa"/>
            <w:tcBorders>
              <w:top w:val="single" w:sz="4" w:space="0" w:color="auto"/>
              <w:left w:val="single" w:sz="4" w:space="0" w:color="auto"/>
              <w:bottom w:val="single" w:sz="4" w:space="0" w:color="auto"/>
              <w:right w:val="single" w:sz="4" w:space="0" w:color="auto"/>
            </w:tcBorders>
            <w:vAlign w:val="center"/>
          </w:tcPr>
          <w:p w:rsidR="005A6322" w:rsidRPr="005A6322" w:rsidRDefault="005A6322" w:rsidP="005A6322">
            <w:pPr>
              <w:spacing w:after="0" w:line="240" w:lineRule="auto"/>
              <w:jc w:val="both"/>
              <w:rPr>
                <w:rFonts w:ascii="Times New Roman" w:hAnsi="Times New Roman" w:cs="Times New Roman"/>
                <w:sz w:val="16"/>
                <w:szCs w:val="16"/>
              </w:rPr>
            </w:pPr>
            <w:r w:rsidRPr="005A6322">
              <w:rPr>
                <w:rFonts w:ascii="Times New Roman" w:hAnsi="Times New Roman" w:cs="Times New Roman"/>
                <w:sz w:val="16"/>
                <w:szCs w:val="16"/>
              </w:rPr>
              <w:lastRenderedPageBreak/>
              <w:t>-Minimiser le compactage des sols ;</w:t>
            </w:r>
          </w:p>
          <w:p w:rsidR="005A6322" w:rsidRPr="005A6322" w:rsidRDefault="005A6322" w:rsidP="005A6322">
            <w:pPr>
              <w:spacing w:after="0" w:line="240" w:lineRule="auto"/>
              <w:jc w:val="both"/>
              <w:rPr>
                <w:rFonts w:ascii="Times New Roman" w:hAnsi="Times New Roman" w:cs="Times New Roman"/>
                <w:sz w:val="16"/>
                <w:szCs w:val="16"/>
              </w:rPr>
            </w:pPr>
            <w:r w:rsidRPr="005A6322">
              <w:rPr>
                <w:rFonts w:ascii="Times New Roman" w:hAnsi="Times New Roman" w:cs="Times New Roman"/>
                <w:sz w:val="16"/>
                <w:szCs w:val="16"/>
              </w:rPr>
              <w:t>-Veiller à bien remblai les bordures des réservoirs pour éviter des phénomènes d’affaissement et d’érosion ;</w:t>
            </w:r>
          </w:p>
          <w:p w:rsidR="005A6322" w:rsidRPr="005A6322" w:rsidRDefault="005A6322" w:rsidP="005A6322">
            <w:pPr>
              <w:spacing w:after="0" w:line="240" w:lineRule="auto"/>
              <w:jc w:val="both"/>
              <w:rPr>
                <w:rFonts w:ascii="Times New Roman" w:hAnsi="Times New Roman" w:cs="Times New Roman"/>
                <w:sz w:val="16"/>
                <w:szCs w:val="16"/>
              </w:rPr>
            </w:pPr>
            <w:r w:rsidRPr="005A6322">
              <w:rPr>
                <w:rFonts w:ascii="Times New Roman" w:hAnsi="Times New Roman" w:cs="Times New Roman"/>
                <w:sz w:val="16"/>
                <w:szCs w:val="16"/>
              </w:rPr>
              <w:t>- Stocker toutes les matières polluantes (solvant, peinture, batterie morte, etc.) dans des bacs de rétention dans un local bien étanche ;</w:t>
            </w:r>
          </w:p>
          <w:p w:rsidR="005A6322" w:rsidRPr="005A6322" w:rsidRDefault="005A6322" w:rsidP="005A6322">
            <w:pPr>
              <w:spacing w:after="0" w:line="240" w:lineRule="auto"/>
              <w:jc w:val="both"/>
              <w:rPr>
                <w:rFonts w:ascii="Times New Roman" w:hAnsi="Times New Roman" w:cs="Times New Roman"/>
                <w:sz w:val="16"/>
                <w:szCs w:val="16"/>
              </w:rPr>
            </w:pPr>
            <w:r w:rsidRPr="005A6322">
              <w:rPr>
                <w:rFonts w:ascii="Times New Roman" w:hAnsi="Times New Roman" w:cs="Times New Roman"/>
                <w:sz w:val="16"/>
                <w:szCs w:val="16"/>
              </w:rPr>
              <w:t>-Mettre en place un système de gestion des déchets (tri, collecte, transport et élimination)</w:t>
            </w:r>
          </w:p>
          <w:p w:rsidR="005A6322" w:rsidRPr="005A6322" w:rsidRDefault="005A6322" w:rsidP="005A6322">
            <w:pPr>
              <w:spacing w:after="0" w:line="240" w:lineRule="auto"/>
              <w:jc w:val="both"/>
              <w:rPr>
                <w:rFonts w:ascii="Times New Roman" w:hAnsi="Times New Roman" w:cs="Times New Roman"/>
                <w:sz w:val="16"/>
                <w:szCs w:val="16"/>
              </w:rPr>
            </w:pPr>
            <w:r w:rsidRPr="005A6322">
              <w:rPr>
                <w:rFonts w:ascii="Times New Roman" w:hAnsi="Times New Roman" w:cs="Times New Roman"/>
                <w:sz w:val="16"/>
                <w:szCs w:val="16"/>
              </w:rPr>
              <w:lastRenderedPageBreak/>
              <w:t>- Mettre en place un système de gestion des huiles usagées (collecte, transport et élimination)</w:t>
            </w:r>
          </w:p>
          <w:p w:rsidR="005A6322" w:rsidRPr="005A6322" w:rsidRDefault="005A6322" w:rsidP="005A6322">
            <w:pPr>
              <w:spacing w:after="0" w:line="240" w:lineRule="auto"/>
              <w:jc w:val="both"/>
              <w:rPr>
                <w:rFonts w:ascii="Times New Roman" w:hAnsi="Times New Roman" w:cs="Times New Roman"/>
                <w:sz w:val="16"/>
                <w:szCs w:val="16"/>
              </w:rPr>
            </w:pPr>
            <w:r w:rsidRPr="005A6322">
              <w:rPr>
                <w:rFonts w:ascii="Times New Roman" w:hAnsi="Times New Roman" w:cs="Times New Roman"/>
                <w:sz w:val="16"/>
                <w:szCs w:val="16"/>
              </w:rPr>
              <w:t>- Signer un protocole d’accord   avec une entreprise et prestataires chargés de l’évacuation et du traitement ;</w:t>
            </w:r>
          </w:p>
          <w:p w:rsidR="005A6322" w:rsidRPr="005A6322" w:rsidRDefault="005A6322" w:rsidP="005A6322">
            <w:pPr>
              <w:spacing w:after="0" w:line="240" w:lineRule="auto"/>
              <w:jc w:val="both"/>
              <w:rPr>
                <w:rFonts w:ascii="Times New Roman" w:hAnsi="Times New Roman" w:cs="Times New Roman"/>
                <w:sz w:val="16"/>
                <w:szCs w:val="16"/>
              </w:rPr>
            </w:pPr>
            <w:r w:rsidRPr="005A6322">
              <w:rPr>
                <w:rFonts w:ascii="Times New Roman" w:hAnsi="Times New Roman" w:cs="Times New Roman"/>
                <w:sz w:val="16"/>
                <w:szCs w:val="16"/>
              </w:rPr>
              <w:t xml:space="preserve">-S’approvisionner en carburant ou lubrifiant au niveau des stations-services comme les bases chantiers (Bor, Safim, Antula) se trouve près en ville ; </w:t>
            </w:r>
          </w:p>
          <w:p w:rsidR="005A6322" w:rsidRPr="005A6322" w:rsidRDefault="005A6322" w:rsidP="005A6322">
            <w:pPr>
              <w:spacing w:after="0" w:line="240" w:lineRule="auto"/>
              <w:jc w:val="both"/>
              <w:rPr>
                <w:rFonts w:ascii="Times New Roman" w:hAnsi="Times New Roman" w:cs="Times New Roman"/>
                <w:sz w:val="16"/>
                <w:szCs w:val="16"/>
              </w:rPr>
            </w:pPr>
            <w:r w:rsidRPr="005A6322">
              <w:rPr>
                <w:rFonts w:ascii="Times New Roman" w:hAnsi="Times New Roman" w:cs="Times New Roman"/>
                <w:sz w:val="16"/>
                <w:szCs w:val="16"/>
              </w:rPr>
              <w:t>- Aménager un drainage adéquat des eaux de ruissellements.</w:t>
            </w:r>
          </w:p>
        </w:tc>
        <w:tc>
          <w:tcPr>
            <w:tcW w:w="3568" w:type="dxa"/>
            <w:tcBorders>
              <w:top w:val="single" w:sz="4" w:space="0" w:color="auto"/>
              <w:left w:val="single" w:sz="4" w:space="0" w:color="auto"/>
              <w:bottom w:val="single" w:sz="4" w:space="0" w:color="auto"/>
              <w:right w:val="single" w:sz="4" w:space="0" w:color="auto"/>
            </w:tcBorders>
            <w:vAlign w:val="center"/>
          </w:tcPr>
          <w:p w:rsidR="005A6322" w:rsidRPr="005A6322" w:rsidRDefault="005A6322" w:rsidP="005A6322">
            <w:pPr>
              <w:spacing w:after="0" w:line="240" w:lineRule="auto"/>
              <w:jc w:val="both"/>
              <w:rPr>
                <w:rFonts w:ascii="Times New Roman" w:hAnsi="Times New Roman" w:cs="Times New Roman"/>
                <w:sz w:val="16"/>
                <w:szCs w:val="16"/>
              </w:rPr>
            </w:pPr>
            <w:r w:rsidRPr="005A6322">
              <w:rPr>
                <w:rFonts w:ascii="Times New Roman" w:hAnsi="Times New Roman" w:cs="Times New Roman"/>
                <w:sz w:val="16"/>
                <w:szCs w:val="16"/>
              </w:rPr>
              <w:lastRenderedPageBreak/>
              <w:t>- Pas de présence d’affaissement ou d’érosion au niveau des sites ;</w:t>
            </w:r>
          </w:p>
          <w:p w:rsidR="005A6322" w:rsidRPr="005A6322" w:rsidRDefault="005A6322" w:rsidP="005A6322">
            <w:pPr>
              <w:spacing w:after="0" w:line="240" w:lineRule="auto"/>
              <w:jc w:val="both"/>
              <w:rPr>
                <w:rFonts w:ascii="Times New Roman" w:hAnsi="Times New Roman" w:cs="Times New Roman"/>
                <w:sz w:val="16"/>
                <w:szCs w:val="16"/>
              </w:rPr>
            </w:pPr>
            <w:r w:rsidRPr="005A6322">
              <w:rPr>
                <w:rFonts w:ascii="Times New Roman" w:hAnsi="Times New Roman" w:cs="Times New Roman"/>
                <w:sz w:val="16"/>
                <w:szCs w:val="16"/>
              </w:rPr>
              <w:t>-Taux de surface revêtue ;</w:t>
            </w:r>
          </w:p>
          <w:p w:rsidR="005A6322" w:rsidRPr="005A6322" w:rsidRDefault="005A6322" w:rsidP="005A6322">
            <w:pPr>
              <w:spacing w:after="0" w:line="240" w:lineRule="auto"/>
              <w:jc w:val="both"/>
              <w:rPr>
                <w:rFonts w:ascii="Times New Roman" w:hAnsi="Times New Roman" w:cs="Times New Roman"/>
                <w:sz w:val="16"/>
                <w:szCs w:val="16"/>
              </w:rPr>
            </w:pPr>
            <w:r w:rsidRPr="005A6322">
              <w:rPr>
                <w:rFonts w:ascii="Times New Roman" w:hAnsi="Times New Roman" w:cs="Times New Roman"/>
                <w:sz w:val="16"/>
                <w:szCs w:val="16"/>
              </w:rPr>
              <w:t>-Présence d’une demi-douzaine de futs pour la collecte des déchets,</w:t>
            </w:r>
          </w:p>
          <w:p w:rsidR="005A6322" w:rsidRPr="005A6322" w:rsidRDefault="005A6322" w:rsidP="005A6322">
            <w:pPr>
              <w:spacing w:after="0" w:line="240" w:lineRule="auto"/>
              <w:jc w:val="both"/>
              <w:rPr>
                <w:rFonts w:ascii="Times New Roman" w:hAnsi="Times New Roman" w:cs="Times New Roman"/>
                <w:sz w:val="16"/>
                <w:szCs w:val="16"/>
              </w:rPr>
            </w:pPr>
            <w:r w:rsidRPr="005A6322">
              <w:rPr>
                <w:rFonts w:ascii="Times New Roman" w:hAnsi="Times New Roman" w:cs="Times New Roman"/>
                <w:sz w:val="16"/>
                <w:szCs w:val="16"/>
              </w:rPr>
              <w:t>- Protocole d’accord signé avec les mairies et prestataires chargés d’évacuer les ordures ;</w:t>
            </w:r>
          </w:p>
          <w:p w:rsidR="005A6322" w:rsidRPr="005A6322" w:rsidRDefault="005A6322" w:rsidP="005A6322">
            <w:pPr>
              <w:spacing w:after="0" w:line="240" w:lineRule="auto"/>
              <w:jc w:val="both"/>
              <w:rPr>
                <w:rFonts w:ascii="Times New Roman" w:hAnsi="Times New Roman" w:cs="Times New Roman"/>
                <w:sz w:val="16"/>
                <w:szCs w:val="16"/>
              </w:rPr>
            </w:pPr>
            <w:r w:rsidRPr="005A6322">
              <w:rPr>
                <w:rFonts w:ascii="Times New Roman" w:hAnsi="Times New Roman" w:cs="Times New Roman"/>
                <w:sz w:val="16"/>
                <w:szCs w:val="16"/>
              </w:rPr>
              <w:t>-Quantité de déchets collectés, triés et éliminés ;</w:t>
            </w:r>
          </w:p>
          <w:p w:rsidR="005A6322" w:rsidRPr="005A6322" w:rsidRDefault="005A6322" w:rsidP="005A6322">
            <w:pPr>
              <w:spacing w:after="0" w:line="240" w:lineRule="auto"/>
              <w:jc w:val="both"/>
              <w:rPr>
                <w:rFonts w:ascii="Times New Roman" w:hAnsi="Times New Roman" w:cs="Times New Roman"/>
                <w:sz w:val="16"/>
                <w:szCs w:val="16"/>
              </w:rPr>
            </w:pPr>
            <w:r w:rsidRPr="005A6322">
              <w:rPr>
                <w:rFonts w:ascii="Times New Roman" w:hAnsi="Times New Roman" w:cs="Times New Roman"/>
                <w:sz w:val="16"/>
                <w:szCs w:val="16"/>
              </w:rPr>
              <w:lastRenderedPageBreak/>
              <w:t>-Existence d’un réseau de drainage ;</w:t>
            </w:r>
          </w:p>
          <w:p w:rsidR="005A6322" w:rsidRPr="005A6322" w:rsidRDefault="005A6322" w:rsidP="005A6322">
            <w:pPr>
              <w:spacing w:after="0" w:line="240" w:lineRule="auto"/>
              <w:jc w:val="both"/>
              <w:rPr>
                <w:rFonts w:ascii="Times New Roman" w:hAnsi="Times New Roman" w:cs="Times New Roman"/>
                <w:sz w:val="16"/>
                <w:szCs w:val="16"/>
              </w:rPr>
            </w:pPr>
            <w:r w:rsidRPr="005A6322">
              <w:rPr>
                <w:rFonts w:ascii="Times New Roman" w:hAnsi="Times New Roman" w:cs="Times New Roman"/>
                <w:sz w:val="16"/>
                <w:szCs w:val="16"/>
              </w:rPr>
              <w:t>-Quantité d’hydrocarbure stocké ;</w:t>
            </w:r>
          </w:p>
          <w:p w:rsidR="005A6322" w:rsidRPr="005A6322" w:rsidRDefault="005A6322" w:rsidP="005A6322">
            <w:pPr>
              <w:spacing w:after="0" w:line="240" w:lineRule="auto"/>
              <w:jc w:val="both"/>
              <w:rPr>
                <w:rFonts w:ascii="Times New Roman" w:hAnsi="Times New Roman" w:cs="Times New Roman"/>
                <w:sz w:val="16"/>
                <w:szCs w:val="16"/>
              </w:rPr>
            </w:pPr>
            <w:r w:rsidRPr="005A6322">
              <w:rPr>
                <w:rFonts w:ascii="Times New Roman" w:hAnsi="Times New Roman" w:cs="Times New Roman"/>
                <w:sz w:val="16"/>
                <w:szCs w:val="16"/>
              </w:rPr>
              <w:t>-Protocole d’accord signé avec une entreprise et prestataires chargés de l’évacuation et du traitement ;</w:t>
            </w:r>
          </w:p>
          <w:p w:rsidR="005A6322" w:rsidRPr="005A6322" w:rsidRDefault="005A6322" w:rsidP="005A6322">
            <w:pPr>
              <w:spacing w:after="0" w:line="240" w:lineRule="auto"/>
              <w:jc w:val="both"/>
              <w:rPr>
                <w:rFonts w:ascii="Times New Roman" w:hAnsi="Times New Roman" w:cs="Times New Roman"/>
                <w:sz w:val="16"/>
                <w:szCs w:val="16"/>
              </w:rPr>
            </w:pPr>
            <w:r w:rsidRPr="005A6322">
              <w:rPr>
                <w:rFonts w:ascii="Times New Roman" w:hAnsi="Times New Roman" w:cs="Times New Roman"/>
                <w:sz w:val="16"/>
                <w:szCs w:val="16"/>
              </w:rPr>
              <w:t>-Présence des factures d’Operations effectués au niveau des stations-services ;</w:t>
            </w:r>
          </w:p>
        </w:tc>
        <w:tc>
          <w:tcPr>
            <w:tcW w:w="1134"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5A6322" w:rsidRPr="005A6322" w:rsidRDefault="005A6322" w:rsidP="005A6322">
            <w:pPr>
              <w:spacing w:after="0" w:line="240" w:lineRule="auto"/>
              <w:jc w:val="center"/>
              <w:rPr>
                <w:rFonts w:ascii="Times New Roman" w:hAnsi="Times New Roman" w:cs="Times New Roman"/>
                <w:b/>
                <w:sz w:val="16"/>
                <w:szCs w:val="16"/>
              </w:rPr>
            </w:pPr>
            <w:r w:rsidRPr="005A6322">
              <w:rPr>
                <w:rFonts w:ascii="Times New Roman" w:hAnsi="Times New Roman" w:cs="Times New Roman"/>
                <w:b/>
                <w:sz w:val="16"/>
                <w:szCs w:val="16"/>
              </w:rPr>
              <w:lastRenderedPageBreak/>
              <w:t>Entreprise</w:t>
            </w:r>
          </w:p>
        </w:tc>
        <w:tc>
          <w:tcPr>
            <w:tcW w:w="1120"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5A6322" w:rsidRPr="005A6322" w:rsidRDefault="005A6322" w:rsidP="005A6322">
            <w:pPr>
              <w:spacing w:after="0" w:line="240" w:lineRule="auto"/>
              <w:jc w:val="center"/>
              <w:rPr>
                <w:rFonts w:ascii="Times New Roman" w:hAnsi="Times New Roman" w:cs="Times New Roman"/>
                <w:b/>
                <w:sz w:val="16"/>
                <w:szCs w:val="16"/>
              </w:rPr>
            </w:pPr>
            <w:r w:rsidRPr="005A6322">
              <w:rPr>
                <w:rFonts w:ascii="Times New Roman" w:hAnsi="Times New Roman" w:cs="Times New Roman"/>
                <w:b/>
                <w:sz w:val="16"/>
                <w:szCs w:val="16"/>
              </w:rPr>
              <w:t>Comité de suivi</w:t>
            </w:r>
          </w:p>
          <w:p w:rsidR="005A6322" w:rsidRPr="005A6322" w:rsidRDefault="005A6322" w:rsidP="005A6322">
            <w:pPr>
              <w:spacing w:after="0" w:line="240" w:lineRule="auto"/>
              <w:jc w:val="center"/>
              <w:rPr>
                <w:rFonts w:ascii="Times New Roman" w:hAnsi="Times New Roman" w:cs="Times New Roman"/>
                <w:b/>
                <w:sz w:val="16"/>
                <w:szCs w:val="16"/>
              </w:rPr>
            </w:pPr>
          </w:p>
          <w:p w:rsidR="005A6322" w:rsidRPr="005A6322" w:rsidRDefault="005A6322" w:rsidP="005A6322">
            <w:pPr>
              <w:spacing w:after="0" w:line="240" w:lineRule="auto"/>
              <w:jc w:val="center"/>
              <w:rPr>
                <w:rFonts w:ascii="Times New Roman" w:hAnsi="Times New Roman" w:cs="Times New Roman"/>
                <w:b/>
                <w:sz w:val="16"/>
                <w:szCs w:val="16"/>
              </w:rPr>
            </w:pPr>
            <w:r w:rsidRPr="005A6322">
              <w:rPr>
                <w:rFonts w:ascii="Times New Roman" w:hAnsi="Times New Roman" w:cs="Times New Roman"/>
                <w:b/>
                <w:sz w:val="16"/>
                <w:szCs w:val="16"/>
              </w:rPr>
              <w:t>PUASEE-FA</w:t>
            </w:r>
          </w:p>
        </w:tc>
        <w:tc>
          <w:tcPr>
            <w:tcW w:w="1445" w:type="dxa"/>
            <w:tcBorders>
              <w:top w:val="single" w:sz="4" w:space="0" w:color="auto"/>
              <w:left w:val="single" w:sz="4" w:space="0" w:color="auto"/>
              <w:bottom w:val="single" w:sz="4" w:space="0" w:color="auto"/>
              <w:right w:val="single" w:sz="4" w:space="0" w:color="auto"/>
            </w:tcBorders>
            <w:vAlign w:val="center"/>
          </w:tcPr>
          <w:p w:rsidR="005A6322" w:rsidRPr="005A6322" w:rsidRDefault="005A6322" w:rsidP="005A6322">
            <w:pPr>
              <w:spacing w:after="0" w:line="240" w:lineRule="auto"/>
              <w:jc w:val="center"/>
              <w:rPr>
                <w:rFonts w:ascii="Times New Roman" w:hAnsi="Times New Roman" w:cs="Times New Roman"/>
                <w:sz w:val="16"/>
                <w:szCs w:val="16"/>
              </w:rPr>
            </w:pPr>
            <w:r w:rsidRPr="005A6322">
              <w:rPr>
                <w:rFonts w:ascii="Times New Roman" w:hAnsi="Times New Roman" w:cs="Times New Roman"/>
                <w:sz w:val="16"/>
                <w:szCs w:val="16"/>
              </w:rPr>
              <w:t>Durant les travaux / Trimestrielle</w:t>
            </w:r>
          </w:p>
        </w:tc>
        <w:tc>
          <w:tcPr>
            <w:tcW w:w="112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5A6322" w:rsidRPr="005A6322" w:rsidRDefault="005A6322" w:rsidP="005A6322">
            <w:pPr>
              <w:spacing w:after="0" w:line="240" w:lineRule="auto"/>
              <w:jc w:val="center"/>
              <w:rPr>
                <w:rFonts w:ascii="Times New Roman" w:hAnsi="Times New Roman" w:cs="Times New Roman"/>
                <w:b/>
                <w:sz w:val="16"/>
                <w:szCs w:val="16"/>
              </w:rPr>
            </w:pPr>
            <w:r w:rsidRPr="005A6322">
              <w:rPr>
                <w:rFonts w:ascii="Times New Roman" w:hAnsi="Times New Roman" w:cs="Times New Roman"/>
                <w:b/>
                <w:sz w:val="16"/>
                <w:szCs w:val="16"/>
              </w:rPr>
              <w:t>6 000 000</w:t>
            </w:r>
          </w:p>
        </w:tc>
      </w:tr>
      <w:tr w:rsidR="001A349D" w:rsidRPr="005A6322" w:rsidTr="001A349D">
        <w:trPr>
          <w:trHeight w:val="1404"/>
          <w:jc w:val="center"/>
        </w:trPr>
        <w:tc>
          <w:tcPr>
            <w:tcW w:w="1212"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5A6322" w:rsidRPr="005A6322" w:rsidRDefault="005A6322" w:rsidP="005A6322">
            <w:pPr>
              <w:spacing w:after="0" w:line="240" w:lineRule="auto"/>
              <w:jc w:val="center"/>
              <w:rPr>
                <w:rFonts w:ascii="Times New Roman" w:hAnsi="Times New Roman" w:cs="Times New Roman"/>
                <w:b/>
                <w:bCs/>
                <w:sz w:val="16"/>
                <w:szCs w:val="16"/>
              </w:rPr>
            </w:pPr>
            <w:r w:rsidRPr="005A6322">
              <w:rPr>
                <w:rFonts w:ascii="Times New Roman" w:hAnsi="Times New Roman" w:cs="Times New Roman"/>
                <w:b/>
                <w:bCs/>
                <w:sz w:val="16"/>
                <w:szCs w:val="16"/>
              </w:rPr>
              <w:lastRenderedPageBreak/>
              <w:t>Eaux de surface</w:t>
            </w:r>
          </w:p>
          <w:p w:rsidR="005A6322" w:rsidRPr="005A6322" w:rsidRDefault="005A6322" w:rsidP="005A6322">
            <w:pPr>
              <w:spacing w:after="0" w:line="240" w:lineRule="auto"/>
              <w:jc w:val="center"/>
              <w:rPr>
                <w:rFonts w:ascii="Times New Roman" w:hAnsi="Times New Roman" w:cs="Times New Roman"/>
                <w:b/>
                <w:bCs/>
                <w:sz w:val="16"/>
                <w:szCs w:val="16"/>
              </w:rPr>
            </w:pPr>
            <w:r w:rsidRPr="005A6322">
              <w:rPr>
                <w:rFonts w:ascii="Times New Roman" w:hAnsi="Times New Roman" w:cs="Times New Roman"/>
                <w:b/>
                <w:bCs/>
                <w:sz w:val="16"/>
                <w:szCs w:val="16"/>
              </w:rPr>
              <w:t>/</w:t>
            </w:r>
          </w:p>
          <w:p w:rsidR="005A6322" w:rsidRPr="005A6322" w:rsidRDefault="005A6322" w:rsidP="005A6322">
            <w:pPr>
              <w:spacing w:after="0" w:line="240" w:lineRule="auto"/>
              <w:jc w:val="center"/>
              <w:rPr>
                <w:rFonts w:ascii="Times New Roman" w:hAnsi="Times New Roman" w:cs="Times New Roman"/>
                <w:b/>
                <w:bCs/>
                <w:sz w:val="16"/>
                <w:szCs w:val="16"/>
              </w:rPr>
            </w:pPr>
            <w:r w:rsidRPr="005A6322">
              <w:rPr>
                <w:rFonts w:ascii="Times New Roman" w:hAnsi="Times New Roman" w:cs="Times New Roman"/>
                <w:b/>
                <w:bCs/>
                <w:sz w:val="16"/>
                <w:szCs w:val="16"/>
              </w:rPr>
              <w:t>Eaux souterraines</w:t>
            </w:r>
          </w:p>
          <w:p w:rsidR="005A6322" w:rsidRPr="005A6322" w:rsidRDefault="005A6322" w:rsidP="005A6322">
            <w:pPr>
              <w:spacing w:after="0" w:line="240" w:lineRule="auto"/>
              <w:jc w:val="center"/>
              <w:rPr>
                <w:rFonts w:ascii="Times New Roman" w:hAnsi="Times New Roman" w:cs="Times New Roman"/>
                <w:b/>
                <w:bCs/>
                <w:sz w:val="16"/>
                <w:szCs w:val="16"/>
              </w:rPr>
            </w:pPr>
          </w:p>
        </w:tc>
        <w:tc>
          <w:tcPr>
            <w:tcW w:w="2079" w:type="dxa"/>
            <w:tcBorders>
              <w:top w:val="single" w:sz="4" w:space="0" w:color="auto"/>
              <w:left w:val="single" w:sz="4" w:space="0" w:color="auto"/>
              <w:bottom w:val="single" w:sz="4" w:space="0" w:color="auto"/>
              <w:right w:val="single" w:sz="4" w:space="0" w:color="auto"/>
            </w:tcBorders>
            <w:vAlign w:val="center"/>
          </w:tcPr>
          <w:p w:rsidR="005A6322" w:rsidRPr="005A6322" w:rsidRDefault="005A6322" w:rsidP="005A6322">
            <w:pPr>
              <w:spacing w:after="0" w:line="240" w:lineRule="auto"/>
              <w:jc w:val="both"/>
              <w:rPr>
                <w:rFonts w:ascii="Times New Roman" w:hAnsi="Times New Roman" w:cs="Times New Roman"/>
                <w:sz w:val="16"/>
                <w:szCs w:val="16"/>
              </w:rPr>
            </w:pPr>
            <w:r w:rsidRPr="005A6322">
              <w:rPr>
                <w:rFonts w:ascii="Times New Roman" w:hAnsi="Times New Roman" w:cs="Times New Roman"/>
                <w:sz w:val="16"/>
                <w:szCs w:val="16"/>
              </w:rPr>
              <w:t>- Risque de dégradation de la qualité des eaux de surface (</w:t>
            </w:r>
            <w:r w:rsidRPr="005A6322">
              <w:rPr>
                <w:rFonts w:ascii="Times New Roman" w:hAnsi="Times New Roman" w:cs="Times New Roman"/>
                <w:color w:val="000000"/>
                <w:sz w:val="16"/>
                <w:szCs w:val="16"/>
              </w:rPr>
              <w:t>peintures, chaux, eaux usées, ciment, etc.)</w:t>
            </w:r>
          </w:p>
          <w:p w:rsidR="005A6322" w:rsidRPr="005A6322" w:rsidRDefault="005A6322" w:rsidP="005A6322">
            <w:pPr>
              <w:spacing w:after="0" w:line="240" w:lineRule="auto"/>
              <w:jc w:val="both"/>
              <w:rPr>
                <w:rFonts w:ascii="Times New Roman" w:hAnsi="Times New Roman" w:cs="Times New Roman"/>
                <w:sz w:val="16"/>
                <w:szCs w:val="16"/>
              </w:rPr>
            </w:pPr>
          </w:p>
          <w:p w:rsidR="005A6322" w:rsidRPr="005A6322" w:rsidRDefault="005A6322" w:rsidP="005A6322">
            <w:pPr>
              <w:spacing w:after="0" w:line="240" w:lineRule="auto"/>
              <w:jc w:val="both"/>
              <w:rPr>
                <w:rFonts w:ascii="Times New Roman" w:hAnsi="Times New Roman" w:cs="Times New Roman"/>
                <w:sz w:val="16"/>
                <w:szCs w:val="16"/>
              </w:rPr>
            </w:pPr>
            <w:r w:rsidRPr="005A6322">
              <w:rPr>
                <w:rFonts w:ascii="Times New Roman" w:hAnsi="Times New Roman" w:cs="Times New Roman"/>
                <w:sz w:val="16"/>
                <w:szCs w:val="16"/>
              </w:rPr>
              <w:t>- Risque de pollutions des eaux de ruissellement et souterraines par des huiles, de batteries mortes, des filtres à huile.</w:t>
            </w:r>
          </w:p>
          <w:p w:rsidR="005A6322" w:rsidRPr="005A6322" w:rsidRDefault="005A6322" w:rsidP="005A6322">
            <w:pPr>
              <w:spacing w:after="0" w:line="240" w:lineRule="auto"/>
              <w:jc w:val="both"/>
              <w:rPr>
                <w:rFonts w:ascii="Times New Roman" w:hAnsi="Times New Roman" w:cs="Times New Roman"/>
                <w:sz w:val="16"/>
                <w:szCs w:val="16"/>
              </w:rPr>
            </w:pPr>
          </w:p>
        </w:tc>
        <w:tc>
          <w:tcPr>
            <w:tcW w:w="4335" w:type="dxa"/>
            <w:tcBorders>
              <w:top w:val="single" w:sz="4" w:space="0" w:color="auto"/>
              <w:left w:val="single" w:sz="4" w:space="0" w:color="auto"/>
              <w:bottom w:val="single" w:sz="4" w:space="0" w:color="auto"/>
              <w:right w:val="single" w:sz="4" w:space="0" w:color="auto"/>
            </w:tcBorders>
            <w:vAlign w:val="center"/>
          </w:tcPr>
          <w:p w:rsidR="005A6322" w:rsidRPr="005A6322" w:rsidRDefault="005A6322" w:rsidP="005A6322">
            <w:pPr>
              <w:spacing w:after="0" w:line="240" w:lineRule="auto"/>
              <w:jc w:val="both"/>
              <w:rPr>
                <w:rFonts w:ascii="Times New Roman" w:hAnsi="Times New Roman" w:cs="Times New Roman"/>
                <w:sz w:val="16"/>
                <w:szCs w:val="16"/>
              </w:rPr>
            </w:pPr>
            <w:r w:rsidRPr="005A6322">
              <w:rPr>
                <w:rFonts w:ascii="Times New Roman" w:hAnsi="Times New Roman" w:cs="Times New Roman"/>
                <w:sz w:val="16"/>
                <w:szCs w:val="16"/>
              </w:rPr>
              <w:t>-Appliquer rigoureusement un Plan de gestion des déchets solides et des eaux usées ;</w:t>
            </w:r>
          </w:p>
          <w:p w:rsidR="005A6322" w:rsidRPr="005A6322" w:rsidRDefault="005A6322" w:rsidP="005A6322">
            <w:pPr>
              <w:spacing w:after="0" w:line="240" w:lineRule="auto"/>
              <w:jc w:val="both"/>
              <w:rPr>
                <w:rFonts w:ascii="Times New Roman" w:hAnsi="Times New Roman" w:cs="Times New Roman"/>
                <w:sz w:val="16"/>
                <w:szCs w:val="16"/>
              </w:rPr>
            </w:pPr>
            <w:r w:rsidRPr="005A6322">
              <w:rPr>
                <w:rFonts w:ascii="Times New Roman" w:hAnsi="Times New Roman" w:cs="Times New Roman"/>
                <w:sz w:val="16"/>
                <w:szCs w:val="16"/>
              </w:rPr>
              <w:t>-Assainir les sites de la base chantier ;</w:t>
            </w:r>
          </w:p>
          <w:p w:rsidR="005A6322" w:rsidRPr="005A6322" w:rsidRDefault="005A6322" w:rsidP="005A6322">
            <w:pPr>
              <w:spacing w:after="0" w:line="240" w:lineRule="auto"/>
              <w:jc w:val="both"/>
              <w:rPr>
                <w:rFonts w:ascii="Times New Roman" w:hAnsi="Times New Roman" w:cs="Times New Roman"/>
                <w:sz w:val="16"/>
                <w:szCs w:val="16"/>
              </w:rPr>
            </w:pPr>
            <w:r w:rsidRPr="005A6322">
              <w:rPr>
                <w:rFonts w:ascii="Times New Roman" w:hAnsi="Times New Roman" w:cs="Times New Roman"/>
                <w:sz w:val="16"/>
                <w:szCs w:val="16"/>
              </w:rPr>
              <w:t xml:space="preserve">- Suivre de la qualité des eaux de surface le plus proche des sites ; </w:t>
            </w:r>
          </w:p>
          <w:p w:rsidR="005A6322" w:rsidRPr="005A6322" w:rsidRDefault="005A6322" w:rsidP="005A6322">
            <w:pPr>
              <w:spacing w:after="0" w:line="240" w:lineRule="auto"/>
              <w:jc w:val="both"/>
              <w:rPr>
                <w:rFonts w:ascii="Times New Roman" w:hAnsi="Times New Roman" w:cs="Times New Roman"/>
                <w:sz w:val="16"/>
                <w:szCs w:val="16"/>
              </w:rPr>
            </w:pPr>
            <w:r w:rsidRPr="005A6322">
              <w:rPr>
                <w:rFonts w:ascii="Times New Roman" w:hAnsi="Times New Roman" w:cs="Times New Roman"/>
                <w:sz w:val="16"/>
                <w:szCs w:val="16"/>
              </w:rPr>
              <w:t>-Stocker toutes les matières polluantes (hydrocarbures, etc.) dans des bacs de rétention dans un local bien étanche ;</w:t>
            </w:r>
          </w:p>
          <w:p w:rsidR="005A6322" w:rsidRPr="005A6322" w:rsidRDefault="005A6322" w:rsidP="005A6322">
            <w:pPr>
              <w:spacing w:after="0" w:line="240" w:lineRule="auto"/>
              <w:jc w:val="both"/>
              <w:rPr>
                <w:rFonts w:ascii="Times New Roman" w:hAnsi="Times New Roman" w:cs="Times New Roman"/>
                <w:sz w:val="16"/>
                <w:szCs w:val="16"/>
              </w:rPr>
            </w:pPr>
            <w:r w:rsidRPr="005A6322">
              <w:rPr>
                <w:rFonts w:ascii="Times New Roman" w:hAnsi="Times New Roman" w:cs="Times New Roman"/>
                <w:sz w:val="16"/>
                <w:szCs w:val="16"/>
              </w:rPr>
              <w:t>-Signer un protocole d’accord   avec une entreprise et prestataires chargés de l’évacuation et du traitement ;</w:t>
            </w:r>
          </w:p>
          <w:p w:rsidR="005A6322" w:rsidRPr="005A6322" w:rsidRDefault="005A6322" w:rsidP="005A6322">
            <w:pPr>
              <w:spacing w:after="0" w:line="240" w:lineRule="auto"/>
              <w:jc w:val="both"/>
              <w:rPr>
                <w:rFonts w:ascii="Times New Roman" w:hAnsi="Times New Roman" w:cs="Times New Roman"/>
                <w:sz w:val="16"/>
                <w:szCs w:val="16"/>
              </w:rPr>
            </w:pPr>
            <w:r w:rsidRPr="005A6322">
              <w:rPr>
                <w:rFonts w:ascii="Times New Roman" w:hAnsi="Times New Roman" w:cs="Times New Roman"/>
                <w:sz w:val="16"/>
                <w:szCs w:val="16"/>
              </w:rPr>
              <w:t>-Mettre en place un système de gestion des huiles usagées (collecte, transport et élimination) ;</w:t>
            </w:r>
          </w:p>
          <w:p w:rsidR="005A6322" w:rsidRPr="005A6322" w:rsidRDefault="005A6322" w:rsidP="005A6322">
            <w:pPr>
              <w:spacing w:after="0" w:line="240" w:lineRule="auto"/>
              <w:jc w:val="both"/>
              <w:rPr>
                <w:rFonts w:ascii="Times New Roman" w:hAnsi="Times New Roman" w:cs="Times New Roman"/>
                <w:sz w:val="16"/>
                <w:szCs w:val="16"/>
              </w:rPr>
            </w:pPr>
            <w:r w:rsidRPr="005A6322">
              <w:rPr>
                <w:rFonts w:ascii="Times New Roman" w:hAnsi="Times New Roman" w:cs="Times New Roman"/>
                <w:sz w:val="16"/>
                <w:szCs w:val="16"/>
              </w:rPr>
              <w:t>- Aménager un drainage adéquat des eaux de ruissellements.</w:t>
            </w:r>
          </w:p>
        </w:tc>
        <w:tc>
          <w:tcPr>
            <w:tcW w:w="3568" w:type="dxa"/>
            <w:tcBorders>
              <w:top w:val="single" w:sz="4" w:space="0" w:color="auto"/>
              <w:left w:val="single" w:sz="4" w:space="0" w:color="auto"/>
              <w:bottom w:val="single" w:sz="4" w:space="0" w:color="auto"/>
              <w:right w:val="single" w:sz="4" w:space="0" w:color="auto"/>
            </w:tcBorders>
            <w:vAlign w:val="center"/>
          </w:tcPr>
          <w:p w:rsidR="005A6322" w:rsidRPr="005A6322" w:rsidRDefault="005A6322" w:rsidP="005A6322">
            <w:pPr>
              <w:spacing w:after="0" w:line="240" w:lineRule="auto"/>
              <w:jc w:val="both"/>
              <w:rPr>
                <w:rFonts w:ascii="Times New Roman" w:hAnsi="Times New Roman" w:cs="Times New Roman"/>
                <w:sz w:val="16"/>
                <w:szCs w:val="16"/>
              </w:rPr>
            </w:pPr>
            <w:r w:rsidRPr="005A6322">
              <w:rPr>
                <w:rFonts w:ascii="Times New Roman" w:hAnsi="Times New Roman" w:cs="Times New Roman"/>
                <w:sz w:val="16"/>
                <w:szCs w:val="16"/>
              </w:rPr>
              <w:t>- Plan de gestion des déchets solides et liquides validés ;</w:t>
            </w:r>
          </w:p>
          <w:p w:rsidR="005A6322" w:rsidRPr="005A6322" w:rsidRDefault="005A6322" w:rsidP="005A6322">
            <w:pPr>
              <w:spacing w:after="0" w:line="240" w:lineRule="auto"/>
              <w:jc w:val="both"/>
              <w:rPr>
                <w:rFonts w:ascii="Times New Roman" w:hAnsi="Times New Roman" w:cs="Times New Roman"/>
                <w:sz w:val="16"/>
                <w:szCs w:val="16"/>
              </w:rPr>
            </w:pPr>
            <w:r w:rsidRPr="005A6322">
              <w:rPr>
                <w:rFonts w:ascii="Times New Roman" w:hAnsi="Times New Roman" w:cs="Times New Roman"/>
                <w:sz w:val="16"/>
                <w:szCs w:val="16"/>
              </w:rPr>
              <w:t>-Base de chantier bien assainie ;</w:t>
            </w:r>
          </w:p>
          <w:p w:rsidR="005A6322" w:rsidRPr="005A6322" w:rsidRDefault="005A6322" w:rsidP="005A6322">
            <w:pPr>
              <w:spacing w:after="0" w:line="240" w:lineRule="auto"/>
              <w:jc w:val="both"/>
              <w:rPr>
                <w:rFonts w:ascii="Times New Roman" w:hAnsi="Times New Roman" w:cs="Times New Roman"/>
                <w:sz w:val="16"/>
                <w:szCs w:val="16"/>
              </w:rPr>
            </w:pPr>
            <w:r w:rsidRPr="005A6322">
              <w:rPr>
                <w:rFonts w:ascii="Times New Roman" w:hAnsi="Times New Roman" w:cs="Times New Roman"/>
                <w:sz w:val="16"/>
                <w:szCs w:val="16"/>
              </w:rPr>
              <w:t>-Fiche d’analyse de la qualité des eaux ;</w:t>
            </w:r>
          </w:p>
          <w:p w:rsidR="005A6322" w:rsidRPr="005A6322" w:rsidRDefault="005A6322" w:rsidP="005A6322">
            <w:pPr>
              <w:spacing w:after="0" w:line="240" w:lineRule="auto"/>
              <w:jc w:val="both"/>
              <w:rPr>
                <w:rFonts w:ascii="Times New Roman" w:hAnsi="Times New Roman" w:cs="Times New Roman"/>
                <w:sz w:val="16"/>
                <w:szCs w:val="16"/>
              </w:rPr>
            </w:pPr>
            <w:r w:rsidRPr="005A6322">
              <w:rPr>
                <w:rFonts w:ascii="Times New Roman" w:hAnsi="Times New Roman" w:cs="Times New Roman"/>
                <w:sz w:val="16"/>
                <w:szCs w:val="16"/>
              </w:rPr>
              <w:t>-Quantité d’hydrocarbure correctement stockée ;</w:t>
            </w:r>
          </w:p>
          <w:p w:rsidR="005A6322" w:rsidRPr="005A6322" w:rsidRDefault="005A6322" w:rsidP="005A6322">
            <w:pPr>
              <w:spacing w:after="0" w:line="240" w:lineRule="auto"/>
              <w:jc w:val="both"/>
              <w:rPr>
                <w:rFonts w:ascii="Times New Roman" w:hAnsi="Times New Roman" w:cs="Times New Roman"/>
                <w:sz w:val="16"/>
                <w:szCs w:val="16"/>
              </w:rPr>
            </w:pPr>
            <w:r w:rsidRPr="005A6322">
              <w:rPr>
                <w:rFonts w:ascii="Times New Roman" w:hAnsi="Times New Roman" w:cs="Times New Roman"/>
                <w:sz w:val="16"/>
                <w:szCs w:val="16"/>
              </w:rPr>
              <w:t>- Protocole d’accord signé avec une entreprise et prestataires chargés de l’évacuation et du traitement ;</w:t>
            </w:r>
          </w:p>
          <w:p w:rsidR="005A6322" w:rsidRPr="005A6322" w:rsidRDefault="005A6322" w:rsidP="005A6322">
            <w:pPr>
              <w:spacing w:after="0" w:line="240" w:lineRule="auto"/>
              <w:jc w:val="both"/>
              <w:rPr>
                <w:rFonts w:ascii="Times New Roman" w:hAnsi="Times New Roman" w:cs="Times New Roman"/>
                <w:sz w:val="16"/>
                <w:szCs w:val="16"/>
              </w:rPr>
            </w:pPr>
            <w:r w:rsidRPr="005A6322">
              <w:rPr>
                <w:rFonts w:ascii="Times New Roman" w:hAnsi="Times New Roman" w:cs="Times New Roman"/>
                <w:sz w:val="16"/>
                <w:szCs w:val="16"/>
              </w:rPr>
              <w:t>-Présence d’un système de gestion des huiles usages dans les sites ;</w:t>
            </w:r>
          </w:p>
          <w:p w:rsidR="005A6322" w:rsidRPr="005A6322" w:rsidRDefault="005A6322" w:rsidP="005A6322">
            <w:pPr>
              <w:spacing w:after="0" w:line="240" w:lineRule="auto"/>
              <w:jc w:val="both"/>
              <w:rPr>
                <w:rFonts w:ascii="Times New Roman" w:hAnsi="Times New Roman" w:cs="Times New Roman"/>
                <w:sz w:val="16"/>
                <w:szCs w:val="16"/>
              </w:rPr>
            </w:pPr>
            <w:r w:rsidRPr="005A6322">
              <w:rPr>
                <w:rFonts w:ascii="Times New Roman" w:hAnsi="Times New Roman" w:cs="Times New Roman"/>
                <w:sz w:val="16"/>
                <w:szCs w:val="16"/>
              </w:rPr>
              <w:t>-Présence d’aménagement pour le drainage des eaux de ruissellements dans les sites ;</w:t>
            </w:r>
          </w:p>
        </w:tc>
        <w:tc>
          <w:tcPr>
            <w:tcW w:w="1134"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5A6322" w:rsidRPr="005A6322" w:rsidRDefault="005A6322" w:rsidP="005A6322">
            <w:pPr>
              <w:spacing w:after="0" w:line="240" w:lineRule="auto"/>
              <w:jc w:val="center"/>
              <w:rPr>
                <w:rFonts w:ascii="Times New Roman" w:hAnsi="Times New Roman" w:cs="Times New Roman"/>
                <w:b/>
                <w:sz w:val="16"/>
                <w:szCs w:val="16"/>
              </w:rPr>
            </w:pPr>
            <w:r w:rsidRPr="005A6322">
              <w:rPr>
                <w:rFonts w:ascii="Times New Roman" w:hAnsi="Times New Roman" w:cs="Times New Roman"/>
                <w:b/>
                <w:sz w:val="16"/>
                <w:szCs w:val="16"/>
              </w:rPr>
              <w:t>Entreprise</w:t>
            </w:r>
          </w:p>
          <w:p w:rsidR="005A6322" w:rsidRPr="005A6322" w:rsidRDefault="005A6322" w:rsidP="005A6322">
            <w:pPr>
              <w:spacing w:after="0" w:line="240" w:lineRule="auto"/>
              <w:jc w:val="center"/>
              <w:rPr>
                <w:rFonts w:ascii="Times New Roman" w:hAnsi="Times New Roman" w:cs="Times New Roman"/>
                <w:b/>
                <w:sz w:val="16"/>
                <w:szCs w:val="16"/>
              </w:rPr>
            </w:pPr>
          </w:p>
        </w:tc>
        <w:tc>
          <w:tcPr>
            <w:tcW w:w="1120"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5A6322" w:rsidRPr="005A6322" w:rsidRDefault="005A6322" w:rsidP="005A6322">
            <w:pPr>
              <w:spacing w:after="0" w:line="240" w:lineRule="auto"/>
              <w:jc w:val="center"/>
              <w:rPr>
                <w:rFonts w:ascii="Times New Roman" w:hAnsi="Times New Roman" w:cs="Times New Roman"/>
                <w:b/>
                <w:sz w:val="16"/>
                <w:szCs w:val="16"/>
              </w:rPr>
            </w:pPr>
            <w:r w:rsidRPr="005A6322">
              <w:rPr>
                <w:rFonts w:ascii="Times New Roman" w:hAnsi="Times New Roman" w:cs="Times New Roman"/>
                <w:b/>
                <w:sz w:val="16"/>
                <w:szCs w:val="16"/>
              </w:rPr>
              <w:t>Comité de suivi</w:t>
            </w:r>
          </w:p>
          <w:p w:rsidR="005A6322" w:rsidRPr="005A6322" w:rsidRDefault="005A6322" w:rsidP="005A6322">
            <w:pPr>
              <w:spacing w:after="0" w:line="240" w:lineRule="auto"/>
              <w:jc w:val="center"/>
              <w:rPr>
                <w:rFonts w:ascii="Times New Roman" w:hAnsi="Times New Roman" w:cs="Times New Roman"/>
                <w:b/>
                <w:sz w:val="16"/>
                <w:szCs w:val="16"/>
              </w:rPr>
            </w:pPr>
          </w:p>
          <w:p w:rsidR="005A6322" w:rsidRPr="005A6322" w:rsidRDefault="005A6322" w:rsidP="005A6322">
            <w:pPr>
              <w:spacing w:after="0" w:line="240" w:lineRule="auto"/>
              <w:jc w:val="center"/>
              <w:rPr>
                <w:rFonts w:ascii="Times New Roman" w:hAnsi="Times New Roman" w:cs="Times New Roman"/>
                <w:b/>
                <w:sz w:val="16"/>
                <w:szCs w:val="16"/>
              </w:rPr>
            </w:pPr>
            <w:r w:rsidRPr="005A6322">
              <w:rPr>
                <w:rFonts w:ascii="Times New Roman" w:hAnsi="Times New Roman" w:cs="Times New Roman"/>
                <w:b/>
                <w:sz w:val="16"/>
                <w:szCs w:val="16"/>
              </w:rPr>
              <w:t>PUASEE-FA</w:t>
            </w:r>
          </w:p>
        </w:tc>
        <w:tc>
          <w:tcPr>
            <w:tcW w:w="1445" w:type="dxa"/>
            <w:tcBorders>
              <w:top w:val="single" w:sz="4" w:space="0" w:color="auto"/>
              <w:left w:val="single" w:sz="4" w:space="0" w:color="auto"/>
              <w:bottom w:val="single" w:sz="4" w:space="0" w:color="auto"/>
              <w:right w:val="single" w:sz="4" w:space="0" w:color="auto"/>
            </w:tcBorders>
            <w:vAlign w:val="center"/>
          </w:tcPr>
          <w:p w:rsidR="005A6322" w:rsidRPr="005A6322" w:rsidRDefault="005A6322" w:rsidP="005A6322">
            <w:pPr>
              <w:spacing w:after="0" w:line="240" w:lineRule="auto"/>
              <w:jc w:val="center"/>
              <w:rPr>
                <w:rFonts w:ascii="Times New Roman" w:hAnsi="Times New Roman" w:cs="Times New Roman"/>
                <w:sz w:val="16"/>
                <w:szCs w:val="16"/>
              </w:rPr>
            </w:pPr>
            <w:r w:rsidRPr="005A6322">
              <w:rPr>
                <w:rFonts w:ascii="Times New Roman" w:hAnsi="Times New Roman" w:cs="Times New Roman"/>
                <w:sz w:val="16"/>
                <w:szCs w:val="16"/>
              </w:rPr>
              <w:t>Durant les travaux / mensuelle</w:t>
            </w:r>
          </w:p>
        </w:tc>
        <w:tc>
          <w:tcPr>
            <w:tcW w:w="112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5A6322" w:rsidRPr="005A6322" w:rsidRDefault="005A6322" w:rsidP="005A6322">
            <w:pPr>
              <w:spacing w:after="0" w:line="240" w:lineRule="auto"/>
              <w:jc w:val="center"/>
              <w:rPr>
                <w:rFonts w:ascii="Times New Roman" w:hAnsi="Times New Roman" w:cs="Times New Roman"/>
                <w:b/>
                <w:sz w:val="16"/>
                <w:szCs w:val="16"/>
              </w:rPr>
            </w:pPr>
            <w:r w:rsidRPr="005A6322">
              <w:rPr>
                <w:rFonts w:ascii="Times New Roman" w:hAnsi="Times New Roman" w:cs="Times New Roman"/>
                <w:b/>
                <w:sz w:val="16"/>
                <w:szCs w:val="16"/>
              </w:rPr>
              <w:t xml:space="preserve">4 000 000 </w:t>
            </w:r>
          </w:p>
        </w:tc>
      </w:tr>
      <w:tr w:rsidR="001A349D" w:rsidRPr="005A6322" w:rsidTr="001A349D">
        <w:trPr>
          <w:trHeight w:val="662"/>
          <w:jc w:val="center"/>
        </w:trPr>
        <w:tc>
          <w:tcPr>
            <w:tcW w:w="1212"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5A6322" w:rsidRPr="005A6322" w:rsidRDefault="005A6322" w:rsidP="005A6322">
            <w:pPr>
              <w:spacing w:after="0" w:line="240" w:lineRule="auto"/>
              <w:jc w:val="center"/>
              <w:rPr>
                <w:rFonts w:ascii="Times New Roman" w:hAnsi="Times New Roman" w:cs="Times New Roman"/>
                <w:b/>
                <w:bCs/>
                <w:sz w:val="16"/>
                <w:szCs w:val="16"/>
              </w:rPr>
            </w:pPr>
            <w:r w:rsidRPr="005A6322">
              <w:rPr>
                <w:rFonts w:ascii="Times New Roman" w:hAnsi="Times New Roman" w:cs="Times New Roman"/>
                <w:b/>
                <w:sz w:val="16"/>
                <w:szCs w:val="16"/>
              </w:rPr>
              <w:t>Flore</w:t>
            </w:r>
          </w:p>
        </w:tc>
        <w:tc>
          <w:tcPr>
            <w:tcW w:w="2079" w:type="dxa"/>
            <w:tcBorders>
              <w:top w:val="single" w:sz="4" w:space="0" w:color="auto"/>
              <w:left w:val="single" w:sz="4" w:space="0" w:color="auto"/>
              <w:bottom w:val="single" w:sz="4" w:space="0" w:color="auto"/>
              <w:right w:val="single" w:sz="4" w:space="0" w:color="auto"/>
            </w:tcBorders>
            <w:vAlign w:val="center"/>
          </w:tcPr>
          <w:p w:rsidR="005A6322" w:rsidRPr="005A6322" w:rsidRDefault="005A6322" w:rsidP="005A6322">
            <w:pPr>
              <w:spacing w:after="0" w:line="240" w:lineRule="auto"/>
              <w:jc w:val="both"/>
              <w:rPr>
                <w:rFonts w:ascii="Times New Roman" w:hAnsi="Times New Roman" w:cs="Times New Roman"/>
                <w:color w:val="000000"/>
                <w:sz w:val="16"/>
                <w:szCs w:val="16"/>
              </w:rPr>
            </w:pPr>
            <w:r w:rsidRPr="005A6322">
              <w:rPr>
                <w:rFonts w:ascii="Times New Roman" w:hAnsi="Times New Roman" w:cs="Times New Roman"/>
                <w:color w:val="000000"/>
                <w:sz w:val="16"/>
                <w:szCs w:val="16"/>
              </w:rPr>
              <w:t>Risque de destruction de la végétation herbacée au niveau de Antula.</w:t>
            </w:r>
          </w:p>
          <w:p w:rsidR="005A6322" w:rsidRPr="005A6322" w:rsidRDefault="005A6322" w:rsidP="005A6322">
            <w:pPr>
              <w:spacing w:after="0" w:line="240" w:lineRule="auto"/>
              <w:jc w:val="both"/>
              <w:rPr>
                <w:rFonts w:ascii="Times New Roman" w:hAnsi="Times New Roman" w:cs="Times New Roman"/>
                <w:sz w:val="16"/>
                <w:szCs w:val="16"/>
              </w:rPr>
            </w:pPr>
            <w:r w:rsidRPr="005A6322">
              <w:rPr>
                <w:rFonts w:ascii="Times New Roman" w:hAnsi="Times New Roman" w:cs="Times New Roman"/>
                <w:color w:val="000000"/>
                <w:sz w:val="16"/>
                <w:szCs w:val="16"/>
              </w:rPr>
              <w:t>Risque d’abattage de quelques pieds d’anacardiers à BOR</w:t>
            </w:r>
          </w:p>
        </w:tc>
        <w:tc>
          <w:tcPr>
            <w:tcW w:w="4335" w:type="dxa"/>
            <w:tcBorders>
              <w:top w:val="single" w:sz="4" w:space="0" w:color="auto"/>
              <w:left w:val="single" w:sz="4" w:space="0" w:color="auto"/>
              <w:bottom w:val="single" w:sz="4" w:space="0" w:color="auto"/>
              <w:right w:val="single" w:sz="4" w:space="0" w:color="auto"/>
            </w:tcBorders>
            <w:vAlign w:val="center"/>
          </w:tcPr>
          <w:p w:rsidR="005A6322" w:rsidRPr="005A6322" w:rsidRDefault="005A6322" w:rsidP="005A6322">
            <w:pPr>
              <w:spacing w:after="0" w:line="240" w:lineRule="auto"/>
              <w:jc w:val="both"/>
              <w:rPr>
                <w:rFonts w:ascii="Times New Roman" w:eastAsia="Times New Roman" w:hAnsi="Times New Roman" w:cs="Times New Roman"/>
                <w:sz w:val="16"/>
                <w:szCs w:val="16"/>
              </w:rPr>
            </w:pPr>
            <w:r w:rsidRPr="005A6322">
              <w:rPr>
                <w:rFonts w:ascii="Times New Roman" w:eastAsia="Times New Roman" w:hAnsi="Times New Roman" w:cs="Times New Roman"/>
                <w:sz w:val="16"/>
                <w:szCs w:val="16"/>
              </w:rPr>
              <w:t>-Nécessiter d’une demande d’autorisation spéciale auprès des Services des Eaux et Forêts</w:t>
            </w:r>
          </w:p>
          <w:p w:rsidR="005A6322" w:rsidRPr="005A6322" w:rsidRDefault="005A6322" w:rsidP="005A6322">
            <w:pPr>
              <w:spacing w:after="0" w:line="240" w:lineRule="auto"/>
              <w:jc w:val="both"/>
              <w:rPr>
                <w:rFonts w:ascii="Times New Roman" w:hAnsi="Times New Roman" w:cs="Times New Roman"/>
                <w:sz w:val="16"/>
                <w:szCs w:val="16"/>
              </w:rPr>
            </w:pPr>
            <w:r w:rsidRPr="005A6322">
              <w:rPr>
                <w:rFonts w:ascii="Times New Roman" w:hAnsi="Times New Roman" w:cs="Times New Roman"/>
                <w:sz w:val="16"/>
                <w:szCs w:val="16"/>
              </w:rPr>
              <w:t>- Etablir un protocole d’accord pour le reboisement compensatoire ;</w:t>
            </w:r>
          </w:p>
          <w:p w:rsidR="005A6322" w:rsidRPr="005A6322" w:rsidRDefault="005A6322" w:rsidP="005A6322">
            <w:pPr>
              <w:spacing w:after="0" w:line="240" w:lineRule="auto"/>
              <w:jc w:val="both"/>
              <w:rPr>
                <w:rFonts w:ascii="Times New Roman" w:hAnsi="Times New Roman" w:cs="Times New Roman"/>
                <w:sz w:val="16"/>
                <w:szCs w:val="16"/>
              </w:rPr>
            </w:pPr>
            <w:r w:rsidRPr="005A6322">
              <w:rPr>
                <w:rFonts w:ascii="Times New Roman" w:hAnsi="Times New Roman" w:cs="Times New Roman"/>
                <w:sz w:val="16"/>
                <w:szCs w:val="16"/>
              </w:rPr>
              <w:t>- Mettre en œuvre le PAR au niveau de Bor pour l’indemnisation des pieds d’anacardiers.</w:t>
            </w:r>
          </w:p>
        </w:tc>
        <w:tc>
          <w:tcPr>
            <w:tcW w:w="3568" w:type="dxa"/>
            <w:tcBorders>
              <w:top w:val="single" w:sz="4" w:space="0" w:color="auto"/>
              <w:left w:val="single" w:sz="4" w:space="0" w:color="auto"/>
              <w:bottom w:val="single" w:sz="4" w:space="0" w:color="auto"/>
              <w:right w:val="single" w:sz="4" w:space="0" w:color="auto"/>
            </w:tcBorders>
            <w:vAlign w:val="center"/>
          </w:tcPr>
          <w:p w:rsidR="005A6322" w:rsidRPr="005A6322" w:rsidRDefault="005A6322" w:rsidP="005A6322">
            <w:pPr>
              <w:pStyle w:val="Listecouleur-Accent11"/>
              <w:ind w:left="0"/>
              <w:rPr>
                <w:rFonts w:ascii="Times New Roman" w:hAnsi="Times New Roman"/>
                <w:sz w:val="16"/>
                <w:szCs w:val="16"/>
                <w:lang w:val="fr-FR"/>
              </w:rPr>
            </w:pPr>
            <w:r w:rsidRPr="005A6322">
              <w:rPr>
                <w:rFonts w:ascii="Times New Roman" w:hAnsi="Times New Roman"/>
                <w:sz w:val="16"/>
                <w:szCs w:val="16"/>
                <w:lang w:val="fr-FR"/>
              </w:rPr>
              <w:t>-Présence de l’autorisation signée ;</w:t>
            </w:r>
          </w:p>
          <w:p w:rsidR="005A6322" w:rsidRPr="005A6322" w:rsidRDefault="005A6322" w:rsidP="005A6322">
            <w:pPr>
              <w:pStyle w:val="Listecouleur-Accent11"/>
              <w:ind w:left="0"/>
              <w:rPr>
                <w:rFonts w:ascii="Times New Roman" w:hAnsi="Times New Roman"/>
                <w:sz w:val="16"/>
                <w:szCs w:val="16"/>
                <w:lang w:val="fr-FR"/>
              </w:rPr>
            </w:pPr>
            <w:r w:rsidRPr="005A6322">
              <w:rPr>
                <w:rFonts w:ascii="Times New Roman" w:hAnsi="Times New Roman"/>
                <w:sz w:val="16"/>
                <w:szCs w:val="16"/>
                <w:lang w:val="fr-FR"/>
              </w:rPr>
              <w:t>-Présence du protocole signé ;</w:t>
            </w:r>
          </w:p>
          <w:p w:rsidR="005A6322" w:rsidRPr="005A6322" w:rsidRDefault="005A6322" w:rsidP="005A6322">
            <w:pPr>
              <w:pStyle w:val="Listecouleur-Accent11"/>
              <w:ind w:left="0"/>
              <w:rPr>
                <w:rFonts w:ascii="Times New Roman" w:hAnsi="Times New Roman"/>
                <w:sz w:val="16"/>
                <w:szCs w:val="16"/>
                <w:lang w:val="fr-FR"/>
              </w:rPr>
            </w:pPr>
            <w:r w:rsidRPr="005A6322">
              <w:rPr>
                <w:rFonts w:ascii="Times New Roman" w:hAnsi="Times New Roman"/>
                <w:sz w:val="16"/>
                <w:szCs w:val="16"/>
                <w:lang w:val="fr-FR"/>
              </w:rPr>
              <w:t>-Mise en œuvre effectif du PAR ;</w:t>
            </w:r>
          </w:p>
          <w:p w:rsidR="005A6322" w:rsidRPr="005A6322" w:rsidRDefault="005A6322" w:rsidP="005A6322">
            <w:pPr>
              <w:pStyle w:val="Listecouleur-Accent11"/>
              <w:ind w:left="0"/>
              <w:rPr>
                <w:rFonts w:ascii="Times New Roman" w:hAnsi="Times New Roman"/>
                <w:sz w:val="16"/>
                <w:szCs w:val="16"/>
              </w:rPr>
            </w:pPr>
            <w:r w:rsidRPr="005A6322">
              <w:rPr>
                <w:rFonts w:ascii="Times New Roman" w:hAnsi="Times New Roman"/>
                <w:sz w:val="16"/>
                <w:szCs w:val="16"/>
                <w:lang w:val="fr-FR"/>
              </w:rPr>
              <w:t>-Indemnisation des PAPs effectués ;</w:t>
            </w:r>
          </w:p>
          <w:p w:rsidR="005A6322" w:rsidRPr="005A6322" w:rsidRDefault="005A6322" w:rsidP="005A6322">
            <w:pPr>
              <w:spacing w:after="0" w:line="240" w:lineRule="auto"/>
              <w:jc w:val="both"/>
              <w:rPr>
                <w:rFonts w:ascii="Times New Roman" w:hAnsi="Times New Roman" w:cs="Times New Roman"/>
                <w:sz w:val="16"/>
                <w:szCs w:val="16"/>
              </w:rPr>
            </w:pPr>
          </w:p>
        </w:tc>
        <w:tc>
          <w:tcPr>
            <w:tcW w:w="1134"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5A6322" w:rsidRPr="005A6322" w:rsidRDefault="005A6322" w:rsidP="005A6322">
            <w:pPr>
              <w:spacing w:after="0" w:line="240" w:lineRule="auto"/>
              <w:jc w:val="center"/>
              <w:rPr>
                <w:rFonts w:ascii="Times New Roman" w:hAnsi="Times New Roman" w:cs="Times New Roman"/>
                <w:b/>
                <w:sz w:val="16"/>
                <w:szCs w:val="16"/>
              </w:rPr>
            </w:pPr>
            <w:r w:rsidRPr="005A6322">
              <w:rPr>
                <w:rFonts w:ascii="Times New Roman" w:hAnsi="Times New Roman" w:cs="Times New Roman"/>
                <w:b/>
                <w:sz w:val="16"/>
                <w:szCs w:val="16"/>
              </w:rPr>
              <w:t>Entreprise</w:t>
            </w:r>
          </w:p>
          <w:p w:rsidR="005A6322" w:rsidRPr="005A6322" w:rsidRDefault="005A6322" w:rsidP="005A6322">
            <w:pPr>
              <w:spacing w:after="0" w:line="240" w:lineRule="auto"/>
              <w:jc w:val="center"/>
              <w:rPr>
                <w:rFonts w:ascii="Times New Roman" w:hAnsi="Times New Roman" w:cs="Times New Roman"/>
                <w:b/>
                <w:sz w:val="16"/>
                <w:szCs w:val="16"/>
              </w:rPr>
            </w:pPr>
          </w:p>
          <w:p w:rsidR="005A6322" w:rsidRPr="005A6322" w:rsidRDefault="005A6322" w:rsidP="005A6322">
            <w:pPr>
              <w:spacing w:after="0" w:line="240" w:lineRule="auto"/>
              <w:jc w:val="center"/>
              <w:rPr>
                <w:rFonts w:ascii="Times New Roman" w:hAnsi="Times New Roman" w:cs="Times New Roman"/>
                <w:b/>
                <w:sz w:val="16"/>
                <w:szCs w:val="16"/>
              </w:rPr>
            </w:pPr>
            <w:r w:rsidRPr="005A6322">
              <w:rPr>
                <w:rFonts w:ascii="Times New Roman" w:hAnsi="Times New Roman" w:cs="Times New Roman"/>
                <w:b/>
                <w:sz w:val="16"/>
                <w:szCs w:val="16"/>
              </w:rPr>
              <w:t>PUASEE-FA</w:t>
            </w:r>
          </w:p>
        </w:tc>
        <w:tc>
          <w:tcPr>
            <w:tcW w:w="1120"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5A6322" w:rsidRPr="005A6322" w:rsidRDefault="005A6322" w:rsidP="005A6322">
            <w:pPr>
              <w:spacing w:after="0" w:line="240" w:lineRule="auto"/>
              <w:jc w:val="center"/>
              <w:rPr>
                <w:rFonts w:ascii="Times New Roman" w:hAnsi="Times New Roman" w:cs="Times New Roman"/>
                <w:b/>
                <w:sz w:val="16"/>
                <w:szCs w:val="16"/>
              </w:rPr>
            </w:pPr>
            <w:r w:rsidRPr="005A6322">
              <w:rPr>
                <w:rFonts w:ascii="Times New Roman" w:hAnsi="Times New Roman" w:cs="Times New Roman"/>
                <w:b/>
                <w:sz w:val="16"/>
                <w:szCs w:val="16"/>
              </w:rPr>
              <w:t>Comité de suivi</w:t>
            </w:r>
          </w:p>
          <w:p w:rsidR="005A6322" w:rsidRPr="005A6322" w:rsidRDefault="005A6322" w:rsidP="005A6322">
            <w:pPr>
              <w:spacing w:after="0" w:line="240" w:lineRule="auto"/>
              <w:jc w:val="center"/>
              <w:rPr>
                <w:rFonts w:ascii="Times New Roman" w:hAnsi="Times New Roman" w:cs="Times New Roman"/>
                <w:b/>
                <w:sz w:val="16"/>
                <w:szCs w:val="16"/>
              </w:rPr>
            </w:pPr>
          </w:p>
        </w:tc>
        <w:tc>
          <w:tcPr>
            <w:tcW w:w="1445" w:type="dxa"/>
            <w:tcBorders>
              <w:top w:val="single" w:sz="4" w:space="0" w:color="auto"/>
              <w:left w:val="single" w:sz="4" w:space="0" w:color="auto"/>
              <w:bottom w:val="single" w:sz="4" w:space="0" w:color="auto"/>
              <w:right w:val="single" w:sz="4" w:space="0" w:color="auto"/>
            </w:tcBorders>
            <w:vAlign w:val="center"/>
          </w:tcPr>
          <w:p w:rsidR="005A6322" w:rsidRPr="005A6322" w:rsidRDefault="005A6322" w:rsidP="005A6322">
            <w:pPr>
              <w:spacing w:after="0" w:line="240" w:lineRule="auto"/>
              <w:jc w:val="center"/>
              <w:rPr>
                <w:rFonts w:ascii="Times New Roman" w:hAnsi="Times New Roman" w:cs="Times New Roman"/>
                <w:sz w:val="16"/>
                <w:szCs w:val="16"/>
              </w:rPr>
            </w:pPr>
            <w:r w:rsidRPr="005A6322">
              <w:rPr>
                <w:rFonts w:ascii="Times New Roman" w:hAnsi="Times New Roman" w:cs="Times New Roman"/>
                <w:sz w:val="16"/>
                <w:szCs w:val="16"/>
              </w:rPr>
              <w:t>Avant les travaux</w:t>
            </w:r>
          </w:p>
        </w:tc>
        <w:tc>
          <w:tcPr>
            <w:tcW w:w="112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5A6322" w:rsidRPr="005A6322" w:rsidRDefault="005A6322" w:rsidP="005A6322">
            <w:pPr>
              <w:spacing w:after="0" w:line="240" w:lineRule="auto"/>
              <w:jc w:val="center"/>
              <w:rPr>
                <w:rFonts w:ascii="Times New Roman" w:hAnsi="Times New Roman" w:cs="Times New Roman"/>
                <w:b/>
                <w:sz w:val="16"/>
                <w:szCs w:val="16"/>
              </w:rPr>
            </w:pPr>
            <w:r w:rsidRPr="005A6322">
              <w:rPr>
                <w:rFonts w:ascii="Times New Roman" w:hAnsi="Times New Roman" w:cs="Times New Roman"/>
                <w:b/>
                <w:sz w:val="16"/>
                <w:szCs w:val="16"/>
              </w:rPr>
              <w:t>Coût associé au PAR</w:t>
            </w:r>
          </w:p>
        </w:tc>
      </w:tr>
      <w:tr w:rsidR="001A349D" w:rsidRPr="005A6322" w:rsidTr="001A349D">
        <w:trPr>
          <w:trHeight w:val="207"/>
          <w:jc w:val="center"/>
        </w:trPr>
        <w:tc>
          <w:tcPr>
            <w:tcW w:w="1212"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5A6322" w:rsidRPr="005A6322" w:rsidRDefault="005A6322" w:rsidP="005A6322">
            <w:pPr>
              <w:spacing w:after="0" w:line="240" w:lineRule="auto"/>
              <w:jc w:val="center"/>
              <w:rPr>
                <w:rFonts w:ascii="Times New Roman" w:hAnsi="Times New Roman" w:cs="Times New Roman"/>
                <w:b/>
                <w:bCs/>
                <w:sz w:val="16"/>
                <w:szCs w:val="16"/>
              </w:rPr>
            </w:pPr>
            <w:r w:rsidRPr="005A6322">
              <w:rPr>
                <w:rFonts w:ascii="Times New Roman" w:hAnsi="Times New Roman" w:cs="Times New Roman"/>
                <w:b/>
                <w:bCs/>
                <w:sz w:val="16"/>
                <w:szCs w:val="16"/>
              </w:rPr>
              <w:t>Paysage</w:t>
            </w:r>
          </w:p>
        </w:tc>
        <w:tc>
          <w:tcPr>
            <w:tcW w:w="2079" w:type="dxa"/>
            <w:tcBorders>
              <w:top w:val="single" w:sz="4" w:space="0" w:color="auto"/>
              <w:left w:val="single" w:sz="4" w:space="0" w:color="auto"/>
              <w:bottom w:val="single" w:sz="4" w:space="0" w:color="auto"/>
              <w:right w:val="single" w:sz="4" w:space="0" w:color="auto"/>
            </w:tcBorders>
            <w:vAlign w:val="center"/>
          </w:tcPr>
          <w:p w:rsidR="005A6322" w:rsidRPr="005A6322" w:rsidRDefault="005A6322" w:rsidP="005A6322">
            <w:pPr>
              <w:spacing w:after="0" w:line="240" w:lineRule="auto"/>
              <w:jc w:val="both"/>
              <w:rPr>
                <w:rFonts w:ascii="Times New Roman" w:hAnsi="Times New Roman" w:cs="Times New Roman"/>
                <w:sz w:val="16"/>
                <w:szCs w:val="16"/>
              </w:rPr>
            </w:pPr>
            <w:r w:rsidRPr="005A6322">
              <w:rPr>
                <w:rFonts w:ascii="Times New Roman" w:hAnsi="Times New Roman" w:cs="Times New Roman"/>
                <w:sz w:val="16"/>
                <w:szCs w:val="16"/>
              </w:rPr>
              <w:t>Modification de l’aspect du paysage</w:t>
            </w:r>
          </w:p>
        </w:tc>
        <w:tc>
          <w:tcPr>
            <w:tcW w:w="4335" w:type="dxa"/>
            <w:tcBorders>
              <w:top w:val="single" w:sz="4" w:space="0" w:color="auto"/>
              <w:left w:val="single" w:sz="4" w:space="0" w:color="auto"/>
              <w:bottom w:val="single" w:sz="4" w:space="0" w:color="auto"/>
              <w:right w:val="single" w:sz="4" w:space="0" w:color="auto"/>
            </w:tcBorders>
            <w:vAlign w:val="center"/>
          </w:tcPr>
          <w:p w:rsidR="005A6322" w:rsidRPr="005A6322" w:rsidRDefault="005A6322" w:rsidP="005A6322">
            <w:pPr>
              <w:spacing w:after="0" w:line="240" w:lineRule="auto"/>
              <w:jc w:val="both"/>
              <w:rPr>
                <w:rFonts w:ascii="Times New Roman" w:hAnsi="Times New Roman" w:cs="Times New Roman"/>
                <w:sz w:val="16"/>
                <w:szCs w:val="16"/>
              </w:rPr>
            </w:pPr>
            <w:r w:rsidRPr="005A6322">
              <w:rPr>
                <w:rFonts w:ascii="Times New Roman" w:hAnsi="Times New Roman" w:cs="Times New Roman"/>
                <w:sz w:val="16"/>
                <w:szCs w:val="16"/>
              </w:rPr>
              <w:t>- Adopter une configuration intégrant son environnement</w:t>
            </w:r>
          </w:p>
        </w:tc>
        <w:tc>
          <w:tcPr>
            <w:tcW w:w="3568" w:type="dxa"/>
            <w:tcBorders>
              <w:top w:val="single" w:sz="4" w:space="0" w:color="auto"/>
              <w:left w:val="single" w:sz="4" w:space="0" w:color="auto"/>
              <w:bottom w:val="single" w:sz="4" w:space="0" w:color="auto"/>
              <w:right w:val="single" w:sz="4" w:space="0" w:color="auto"/>
            </w:tcBorders>
            <w:vAlign w:val="center"/>
          </w:tcPr>
          <w:p w:rsidR="005A6322" w:rsidRPr="005A6322" w:rsidRDefault="005A6322" w:rsidP="005A6322">
            <w:pPr>
              <w:spacing w:after="0" w:line="240" w:lineRule="auto"/>
              <w:jc w:val="both"/>
              <w:rPr>
                <w:rFonts w:ascii="Times New Roman" w:hAnsi="Times New Roman" w:cs="Times New Roman"/>
                <w:sz w:val="16"/>
                <w:szCs w:val="16"/>
              </w:rPr>
            </w:pPr>
            <w:r w:rsidRPr="005A6322">
              <w:rPr>
                <w:rFonts w:ascii="Times New Roman" w:hAnsi="Times New Roman" w:cs="Times New Roman"/>
                <w:sz w:val="16"/>
                <w:szCs w:val="16"/>
              </w:rPr>
              <w:t>-L’aspect du paysage correspondant au milieu</w:t>
            </w:r>
          </w:p>
        </w:tc>
        <w:tc>
          <w:tcPr>
            <w:tcW w:w="1134"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5A6322" w:rsidRPr="005A6322" w:rsidRDefault="005A6322" w:rsidP="005A6322">
            <w:pPr>
              <w:spacing w:after="0" w:line="240" w:lineRule="auto"/>
              <w:jc w:val="center"/>
              <w:rPr>
                <w:rFonts w:ascii="Times New Roman" w:hAnsi="Times New Roman" w:cs="Times New Roman"/>
                <w:b/>
                <w:sz w:val="16"/>
                <w:szCs w:val="16"/>
              </w:rPr>
            </w:pPr>
            <w:r w:rsidRPr="005A6322">
              <w:rPr>
                <w:rFonts w:ascii="Times New Roman" w:hAnsi="Times New Roman" w:cs="Times New Roman"/>
                <w:b/>
                <w:sz w:val="16"/>
                <w:szCs w:val="16"/>
              </w:rPr>
              <w:t>Entreprise</w:t>
            </w:r>
          </w:p>
          <w:p w:rsidR="005A6322" w:rsidRPr="005A6322" w:rsidRDefault="005A6322" w:rsidP="005A6322">
            <w:pPr>
              <w:spacing w:after="0" w:line="240" w:lineRule="auto"/>
              <w:jc w:val="center"/>
              <w:rPr>
                <w:rFonts w:ascii="Times New Roman" w:hAnsi="Times New Roman" w:cs="Times New Roman"/>
                <w:b/>
                <w:sz w:val="16"/>
                <w:szCs w:val="16"/>
              </w:rPr>
            </w:pPr>
          </w:p>
        </w:tc>
        <w:tc>
          <w:tcPr>
            <w:tcW w:w="1120"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5A6322" w:rsidRPr="005A6322" w:rsidRDefault="005A6322" w:rsidP="005A6322">
            <w:pPr>
              <w:pStyle w:val="Listecouleur-Accent11"/>
              <w:ind w:left="0"/>
              <w:jc w:val="center"/>
              <w:rPr>
                <w:rFonts w:ascii="Times New Roman" w:hAnsi="Times New Roman"/>
                <w:b/>
                <w:sz w:val="16"/>
                <w:szCs w:val="16"/>
                <w:lang w:val="fr-FR"/>
              </w:rPr>
            </w:pPr>
            <w:r w:rsidRPr="005A6322">
              <w:rPr>
                <w:rFonts w:ascii="Times New Roman" w:hAnsi="Times New Roman"/>
                <w:b/>
                <w:sz w:val="16"/>
                <w:szCs w:val="16"/>
                <w:lang w:val="fr-FR"/>
              </w:rPr>
              <w:t>Comité de suivi</w:t>
            </w:r>
          </w:p>
        </w:tc>
        <w:tc>
          <w:tcPr>
            <w:tcW w:w="1445" w:type="dxa"/>
            <w:tcBorders>
              <w:top w:val="single" w:sz="4" w:space="0" w:color="auto"/>
              <w:left w:val="single" w:sz="4" w:space="0" w:color="auto"/>
              <w:bottom w:val="single" w:sz="4" w:space="0" w:color="auto"/>
              <w:right w:val="single" w:sz="4" w:space="0" w:color="auto"/>
            </w:tcBorders>
            <w:vAlign w:val="center"/>
          </w:tcPr>
          <w:p w:rsidR="005A6322" w:rsidRPr="005A6322" w:rsidRDefault="005A6322" w:rsidP="005A6322">
            <w:pPr>
              <w:spacing w:after="0" w:line="240" w:lineRule="auto"/>
              <w:jc w:val="center"/>
              <w:rPr>
                <w:rFonts w:ascii="Times New Roman" w:hAnsi="Times New Roman" w:cs="Times New Roman"/>
                <w:sz w:val="16"/>
                <w:szCs w:val="16"/>
              </w:rPr>
            </w:pPr>
            <w:r w:rsidRPr="005A6322">
              <w:rPr>
                <w:rFonts w:ascii="Times New Roman" w:hAnsi="Times New Roman" w:cs="Times New Roman"/>
                <w:sz w:val="16"/>
                <w:szCs w:val="16"/>
              </w:rPr>
              <w:t>Durant les travaux / trimestrielle</w:t>
            </w:r>
          </w:p>
        </w:tc>
        <w:tc>
          <w:tcPr>
            <w:tcW w:w="112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5A6322" w:rsidRPr="005A6322" w:rsidRDefault="005A6322" w:rsidP="005A6322">
            <w:pPr>
              <w:spacing w:after="0" w:line="240" w:lineRule="auto"/>
              <w:jc w:val="center"/>
              <w:rPr>
                <w:rFonts w:ascii="Times New Roman" w:hAnsi="Times New Roman" w:cs="Times New Roman"/>
                <w:b/>
                <w:sz w:val="16"/>
                <w:szCs w:val="16"/>
              </w:rPr>
            </w:pPr>
            <w:r w:rsidRPr="005A6322">
              <w:rPr>
                <w:rFonts w:ascii="Times New Roman" w:hAnsi="Times New Roman" w:cs="Times New Roman"/>
                <w:b/>
                <w:sz w:val="16"/>
                <w:szCs w:val="16"/>
              </w:rPr>
              <w:t>2 000 000/4 sites</w:t>
            </w:r>
          </w:p>
        </w:tc>
      </w:tr>
      <w:tr w:rsidR="001A349D" w:rsidRPr="005A6322" w:rsidTr="001A349D">
        <w:trPr>
          <w:trHeight w:val="1295"/>
          <w:jc w:val="center"/>
        </w:trPr>
        <w:tc>
          <w:tcPr>
            <w:tcW w:w="1212"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5A6322" w:rsidRPr="005A6322" w:rsidRDefault="005A6322" w:rsidP="005A6322">
            <w:pPr>
              <w:spacing w:after="0" w:line="240" w:lineRule="auto"/>
              <w:jc w:val="center"/>
              <w:rPr>
                <w:rFonts w:ascii="Times New Roman" w:hAnsi="Times New Roman" w:cs="Times New Roman"/>
                <w:b/>
                <w:bCs/>
                <w:sz w:val="16"/>
                <w:szCs w:val="16"/>
              </w:rPr>
            </w:pPr>
            <w:r w:rsidRPr="005A6322">
              <w:rPr>
                <w:rFonts w:ascii="Times New Roman" w:hAnsi="Times New Roman" w:cs="Times New Roman"/>
                <w:b/>
                <w:color w:val="000000"/>
                <w:sz w:val="16"/>
                <w:szCs w:val="16"/>
              </w:rPr>
              <w:t>Personnel de chantier et les habitants</w:t>
            </w:r>
          </w:p>
        </w:tc>
        <w:tc>
          <w:tcPr>
            <w:tcW w:w="2079" w:type="dxa"/>
            <w:tcBorders>
              <w:top w:val="single" w:sz="4" w:space="0" w:color="auto"/>
              <w:left w:val="single" w:sz="4" w:space="0" w:color="auto"/>
              <w:bottom w:val="single" w:sz="4" w:space="0" w:color="auto"/>
              <w:right w:val="single" w:sz="4" w:space="0" w:color="auto"/>
            </w:tcBorders>
            <w:vAlign w:val="center"/>
          </w:tcPr>
          <w:p w:rsidR="005A6322" w:rsidRPr="005A6322" w:rsidRDefault="005A6322" w:rsidP="005A6322">
            <w:pPr>
              <w:spacing w:after="0" w:line="240" w:lineRule="auto"/>
              <w:jc w:val="both"/>
              <w:rPr>
                <w:rFonts w:ascii="Times New Roman" w:hAnsi="Times New Roman" w:cs="Times New Roman"/>
                <w:sz w:val="16"/>
                <w:szCs w:val="16"/>
              </w:rPr>
            </w:pPr>
            <w:r w:rsidRPr="005A6322">
              <w:rPr>
                <w:rFonts w:ascii="Times New Roman" w:hAnsi="Times New Roman" w:cs="Times New Roman"/>
                <w:sz w:val="16"/>
                <w:szCs w:val="16"/>
              </w:rPr>
              <w:t>Nuisances sonores</w:t>
            </w:r>
          </w:p>
        </w:tc>
        <w:tc>
          <w:tcPr>
            <w:tcW w:w="4335" w:type="dxa"/>
            <w:tcBorders>
              <w:top w:val="single" w:sz="4" w:space="0" w:color="auto"/>
              <w:left w:val="single" w:sz="4" w:space="0" w:color="auto"/>
              <w:bottom w:val="single" w:sz="4" w:space="0" w:color="auto"/>
              <w:right w:val="single" w:sz="4" w:space="0" w:color="auto"/>
            </w:tcBorders>
            <w:vAlign w:val="center"/>
          </w:tcPr>
          <w:p w:rsidR="005A6322" w:rsidRPr="005A6322" w:rsidRDefault="005A6322" w:rsidP="005A6322">
            <w:pPr>
              <w:spacing w:after="0" w:line="240" w:lineRule="auto"/>
              <w:jc w:val="both"/>
              <w:rPr>
                <w:rFonts w:ascii="Times New Roman" w:hAnsi="Times New Roman" w:cs="Times New Roman"/>
                <w:sz w:val="16"/>
                <w:szCs w:val="16"/>
              </w:rPr>
            </w:pPr>
            <w:r w:rsidRPr="005A6322">
              <w:rPr>
                <w:rFonts w:ascii="Times New Roman" w:hAnsi="Times New Roman" w:cs="Times New Roman"/>
                <w:sz w:val="16"/>
                <w:szCs w:val="16"/>
              </w:rPr>
              <w:t>-Respecter les seuils sonores admis par rapport au chantier ;</w:t>
            </w:r>
          </w:p>
          <w:p w:rsidR="005A6322" w:rsidRPr="005A6322" w:rsidRDefault="005A6322" w:rsidP="005A6322">
            <w:pPr>
              <w:spacing w:after="0" w:line="240" w:lineRule="auto"/>
              <w:jc w:val="both"/>
              <w:rPr>
                <w:rFonts w:ascii="Times New Roman" w:hAnsi="Times New Roman" w:cs="Times New Roman"/>
                <w:sz w:val="16"/>
                <w:szCs w:val="16"/>
              </w:rPr>
            </w:pPr>
            <w:r w:rsidRPr="005A6322">
              <w:rPr>
                <w:rFonts w:ascii="Times New Roman" w:hAnsi="Times New Roman" w:cs="Times New Roman"/>
                <w:sz w:val="16"/>
                <w:szCs w:val="16"/>
              </w:rPr>
              <w:t>-Respecter les heures de travail ;</w:t>
            </w:r>
          </w:p>
          <w:p w:rsidR="005A6322" w:rsidRPr="005A6322" w:rsidRDefault="005A6322" w:rsidP="005A6322">
            <w:pPr>
              <w:spacing w:after="0" w:line="240" w:lineRule="auto"/>
              <w:jc w:val="both"/>
              <w:rPr>
                <w:rFonts w:ascii="Times New Roman" w:hAnsi="Times New Roman" w:cs="Times New Roman"/>
                <w:sz w:val="16"/>
                <w:szCs w:val="16"/>
              </w:rPr>
            </w:pPr>
            <w:r w:rsidRPr="005A6322">
              <w:rPr>
                <w:rFonts w:ascii="Times New Roman" w:hAnsi="Times New Roman" w:cs="Times New Roman"/>
                <w:sz w:val="16"/>
                <w:szCs w:val="16"/>
              </w:rPr>
              <w:t>-Limiter les émissions de bruit pendant les heures de repos des populations riveraines ;</w:t>
            </w:r>
          </w:p>
          <w:p w:rsidR="005A6322" w:rsidRPr="005A6322" w:rsidRDefault="005A6322" w:rsidP="005A6322">
            <w:pPr>
              <w:spacing w:after="0" w:line="240" w:lineRule="auto"/>
              <w:jc w:val="both"/>
              <w:rPr>
                <w:rFonts w:ascii="Times New Roman" w:hAnsi="Times New Roman" w:cs="Times New Roman"/>
                <w:sz w:val="16"/>
                <w:szCs w:val="16"/>
              </w:rPr>
            </w:pPr>
            <w:r w:rsidRPr="005A6322">
              <w:rPr>
                <w:rFonts w:ascii="Times New Roman" w:hAnsi="Times New Roman" w:cs="Times New Roman"/>
                <w:sz w:val="16"/>
                <w:szCs w:val="16"/>
              </w:rPr>
              <w:t>-Doter aux ouvriers des casques de protection ;</w:t>
            </w:r>
          </w:p>
          <w:p w:rsidR="005A6322" w:rsidRPr="005A6322" w:rsidRDefault="005A6322" w:rsidP="005A6322">
            <w:pPr>
              <w:spacing w:after="0" w:line="240" w:lineRule="auto"/>
              <w:jc w:val="both"/>
              <w:rPr>
                <w:rFonts w:ascii="Times New Roman" w:hAnsi="Times New Roman" w:cs="Times New Roman"/>
                <w:sz w:val="16"/>
                <w:szCs w:val="16"/>
              </w:rPr>
            </w:pPr>
            <w:r w:rsidRPr="005A6322">
              <w:rPr>
                <w:rFonts w:ascii="Times New Roman" w:hAnsi="Times New Roman" w:cs="Times New Roman"/>
                <w:sz w:val="16"/>
                <w:szCs w:val="16"/>
              </w:rPr>
              <w:t>-Mettre en place des panneaux d’indication des niveaux de bruit maximum ;</w:t>
            </w:r>
          </w:p>
          <w:p w:rsidR="005A6322" w:rsidRPr="005A6322" w:rsidRDefault="005A6322" w:rsidP="005A6322">
            <w:pPr>
              <w:spacing w:after="0" w:line="240" w:lineRule="auto"/>
              <w:jc w:val="both"/>
              <w:rPr>
                <w:rFonts w:ascii="Times New Roman" w:hAnsi="Times New Roman" w:cs="Times New Roman"/>
                <w:sz w:val="16"/>
                <w:szCs w:val="16"/>
              </w:rPr>
            </w:pPr>
            <w:r w:rsidRPr="005A6322">
              <w:rPr>
                <w:rFonts w:ascii="Times New Roman" w:hAnsi="Times New Roman" w:cs="Times New Roman"/>
                <w:sz w:val="16"/>
                <w:szCs w:val="16"/>
              </w:rPr>
              <w:t>-Sensibiliser les ouvriers sur les risques de nuisance sonore ;</w:t>
            </w:r>
          </w:p>
        </w:tc>
        <w:tc>
          <w:tcPr>
            <w:tcW w:w="3568" w:type="dxa"/>
            <w:tcBorders>
              <w:top w:val="single" w:sz="4" w:space="0" w:color="auto"/>
              <w:left w:val="single" w:sz="4" w:space="0" w:color="auto"/>
              <w:bottom w:val="single" w:sz="4" w:space="0" w:color="auto"/>
              <w:right w:val="single" w:sz="4" w:space="0" w:color="auto"/>
            </w:tcBorders>
            <w:vAlign w:val="center"/>
          </w:tcPr>
          <w:p w:rsidR="005A6322" w:rsidRPr="005A6322" w:rsidRDefault="005A6322" w:rsidP="005A6322">
            <w:pPr>
              <w:spacing w:after="0" w:line="240" w:lineRule="auto"/>
              <w:jc w:val="both"/>
              <w:rPr>
                <w:rFonts w:ascii="Times New Roman" w:hAnsi="Times New Roman" w:cs="Times New Roman"/>
                <w:sz w:val="16"/>
                <w:szCs w:val="16"/>
              </w:rPr>
            </w:pPr>
            <w:r w:rsidRPr="005A6322">
              <w:rPr>
                <w:rFonts w:ascii="Times New Roman" w:hAnsi="Times New Roman" w:cs="Times New Roman"/>
                <w:sz w:val="16"/>
                <w:szCs w:val="16"/>
              </w:rPr>
              <w:t>- Nombre de plaintes reçues ;</w:t>
            </w:r>
          </w:p>
          <w:p w:rsidR="005A6322" w:rsidRPr="005A6322" w:rsidRDefault="005A6322" w:rsidP="005A6322">
            <w:pPr>
              <w:spacing w:after="0" w:line="240" w:lineRule="auto"/>
              <w:jc w:val="both"/>
              <w:rPr>
                <w:rFonts w:ascii="Times New Roman" w:hAnsi="Times New Roman" w:cs="Times New Roman"/>
                <w:sz w:val="16"/>
                <w:szCs w:val="16"/>
              </w:rPr>
            </w:pPr>
            <w:r w:rsidRPr="005A6322">
              <w:rPr>
                <w:rFonts w:ascii="Times New Roman" w:hAnsi="Times New Roman" w:cs="Times New Roman"/>
                <w:sz w:val="16"/>
                <w:szCs w:val="16"/>
              </w:rPr>
              <w:t>-Nombre d’ouvriers équipés en casque ;</w:t>
            </w:r>
          </w:p>
          <w:p w:rsidR="005A6322" w:rsidRPr="005A6322" w:rsidRDefault="005A6322" w:rsidP="005A6322">
            <w:pPr>
              <w:spacing w:after="0" w:line="240" w:lineRule="auto"/>
              <w:jc w:val="both"/>
              <w:rPr>
                <w:rFonts w:ascii="Times New Roman" w:hAnsi="Times New Roman" w:cs="Times New Roman"/>
                <w:sz w:val="16"/>
                <w:szCs w:val="16"/>
              </w:rPr>
            </w:pPr>
            <w:r w:rsidRPr="005A6322">
              <w:rPr>
                <w:rFonts w:ascii="Times New Roman" w:hAnsi="Times New Roman" w:cs="Times New Roman"/>
                <w:sz w:val="16"/>
                <w:szCs w:val="16"/>
              </w:rPr>
              <w:t>-Présence d’un panneau d’indication sur les chantiers ;</w:t>
            </w:r>
          </w:p>
          <w:p w:rsidR="005A6322" w:rsidRPr="005A6322" w:rsidRDefault="005A6322" w:rsidP="005A6322">
            <w:pPr>
              <w:spacing w:after="0" w:line="240" w:lineRule="auto"/>
              <w:jc w:val="both"/>
              <w:rPr>
                <w:rFonts w:ascii="Times New Roman" w:hAnsi="Times New Roman" w:cs="Times New Roman"/>
                <w:sz w:val="16"/>
                <w:szCs w:val="16"/>
              </w:rPr>
            </w:pPr>
            <w:r w:rsidRPr="005A6322">
              <w:rPr>
                <w:rFonts w:ascii="Times New Roman" w:hAnsi="Times New Roman" w:cs="Times New Roman"/>
                <w:sz w:val="16"/>
                <w:szCs w:val="16"/>
              </w:rPr>
              <w:t>-PV et le nombre d’ouvriers sensibilisés ;</w:t>
            </w:r>
          </w:p>
          <w:p w:rsidR="005A6322" w:rsidRPr="005A6322" w:rsidRDefault="005A6322" w:rsidP="005A6322">
            <w:pPr>
              <w:spacing w:after="0" w:line="240" w:lineRule="auto"/>
              <w:jc w:val="both"/>
              <w:rPr>
                <w:rFonts w:ascii="Times New Roman" w:hAnsi="Times New Roman" w:cs="Times New Roman"/>
                <w:sz w:val="16"/>
                <w:szCs w:val="16"/>
              </w:rPr>
            </w:pPr>
          </w:p>
        </w:tc>
        <w:tc>
          <w:tcPr>
            <w:tcW w:w="1134"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5A6322" w:rsidRPr="005A6322" w:rsidRDefault="005A6322" w:rsidP="005A6322">
            <w:pPr>
              <w:spacing w:after="0" w:line="240" w:lineRule="auto"/>
              <w:jc w:val="center"/>
              <w:rPr>
                <w:rFonts w:ascii="Times New Roman" w:hAnsi="Times New Roman" w:cs="Times New Roman"/>
                <w:b/>
                <w:sz w:val="16"/>
                <w:szCs w:val="16"/>
              </w:rPr>
            </w:pPr>
            <w:r w:rsidRPr="005A6322">
              <w:rPr>
                <w:rFonts w:ascii="Times New Roman" w:hAnsi="Times New Roman" w:cs="Times New Roman"/>
                <w:b/>
                <w:sz w:val="16"/>
                <w:szCs w:val="16"/>
              </w:rPr>
              <w:t>Entreprise</w:t>
            </w:r>
          </w:p>
          <w:p w:rsidR="005A6322" w:rsidRPr="005A6322" w:rsidRDefault="005A6322" w:rsidP="005A6322">
            <w:pPr>
              <w:spacing w:after="0" w:line="240" w:lineRule="auto"/>
              <w:jc w:val="center"/>
              <w:rPr>
                <w:rFonts w:ascii="Times New Roman" w:hAnsi="Times New Roman" w:cs="Times New Roman"/>
                <w:b/>
                <w:sz w:val="16"/>
                <w:szCs w:val="16"/>
              </w:rPr>
            </w:pPr>
          </w:p>
        </w:tc>
        <w:tc>
          <w:tcPr>
            <w:tcW w:w="1120"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5A6322" w:rsidRPr="005A6322" w:rsidRDefault="005A6322" w:rsidP="005A6322">
            <w:pPr>
              <w:spacing w:after="0" w:line="240" w:lineRule="auto"/>
              <w:jc w:val="center"/>
              <w:rPr>
                <w:rFonts w:ascii="Times New Roman" w:hAnsi="Times New Roman" w:cs="Times New Roman"/>
                <w:b/>
                <w:sz w:val="16"/>
                <w:szCs w:val="16"/>
              </w:rPr>
            </w:pPr>
            <w:r w:rsidRPr="005A6322">
              <w:rPr>
                <w:rFonts w:ascii="Times New Roman" w:hAnsi="Times New Roman" w:cs="Times New Roman"/>
                <w:b/>
                <w:sz w:val="16"/>
                <w:szCs w:val="16"/>
              </w:rPr>
              <w:t>Comité de suivi</w:t>
            </w:r>
          </w:p>
          <w:p w:rsidR="005A6322" w:rsidRPr="005A6322" w:rsidRDefault="005A6322" w:rsidP="005A6322">
            <w:pPr>
              <w:spacing w:after="0" w:line="240" w:lineRule="auto"/>
              <w:jc w:val="center"/>
              <w:rPr>
                <w:rFonts w:ascii="Times New Roman" w:hAnsi="Times New Roman" w:cs="Times New Roman"/>
                <w:b/>
                <w:sz w:val="16"/>
                <w:szCs w:val="16"/>
              </w:rPr>
            </w:pPr>
          </w:p>
          <w:p w:rsidR="005A6322" w:rsidRPr="005A6322" w:rsidRDefault="005A6322" w:rsidP="005A6322">
            <w:pPr>
              <w:spacing w:after="0" w:line="240" w:lineRule="auto"/>
              <w:jc w:val="center"/>
              <w:rPr>
                <w:rFonts w:ascii="Times New Roman" w:hAnsi="Times New Roman" w:cs="Times New Roman"/>
                <w:b/>
                <w:sz w:val="16"/>
                <w:szCs w:val="16"/>
              </w:rPr>
            </w:pPr>
            <w:r w:rsidRPr="005A6322">
              <w:rPr>
                <w:rFonts w:ascii="Times New Roman" w:hAnsi="Times New Roman" w:cs="Times New Roman"/>
                <w:b/>
                <w:sz w:val="16"/>
                <w:szCs w:val="16"/>
              </w:rPr>
              <w:t>PUASEE-FA</w:t>
            </w:r>
          </w:p>
        </w:tc>
        <w:tc>
          <w:tcPr>
            <w:tcW w:w="1445" w:type="dxa"/>
            <w:tcBorders>
              <w:top w:val="single" w:sz="4" w:space="0" w:color="auto"/>
              <w:left w:val="single" w:sz="4" w:space="0" w:color="auto"/>
              <w:bottom w:val="single" w:sz="4" w:space="0" w:color="auto"/>
              <w:right w:val="single" w:sz="4" w:space="0" w:color="auto"/>
            </w:tcBorders>
            <w:vAlign w:val="center"/>
          </w:tcPr>
          <w:p w:rsidR="005A6322" w:rsidRPr="005A6322" w:rsidRDefault="005A6322" w:rsidP="005A6322">
            <w:pPr>
              <w:spacing w:after="0" w:line="240" w:lineRule="auto"/>
              <w:jc w:val="center"/>
              <w:rPr>
                <w:rFonts w:ascii="Times New Roman" w:hAnsi="Times New Roman" w:cs="Times New Roman"/>
                <w:sz w:val="16"/>
                <w:szCs w:val="16"/>
              </w:rPr>
            </w:pPr>
            <w:r w:rsidRPr="005A6322">
              <w:rPr>
                <w:rFonts w:ascii="Times New Roman" w:hAnsi="Times New Roman" w:cs="Times New Roman"/>
                <w:sz w:val="16"/>
                <w:szCs w:val="16"/>
              </w:rPr>
              <w:t>Durant les travaux / mensuelle</w:t>
            </w:r>
          </w:p>
        </w:tc>
        <w:tc>
          <w:tcPr>
            <w:tcW w:w="112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5A6322" w:rsidRPr="005A6322" w:rsidRDefault="005A6322" w:rsidP="005A6322">
            <w:pPr>
              <w:spacing w:after="0" w:line="240" w:lineRule="auto"/>
              <w:jc w:val="center"/>
              <w:rPr>
                <w:rFonts w:ascii="Times New Roman" w:hAnsi="Times New Roman" w:cs="Times New Roman"/>
                <w:b/>
                <w:sz w:val="16"/>
                <w:szCs w:val="16"/>
              </w:rPr>
            </w:pPr>
            <w:r w:rsidRPr="005A6322">
              <w:rPr>
                <w:rFonts w:ascii="Times New Roman" w:hAnsi="Times New Roman" w:cs="Times New Roman"/>
                <w:b/>
                <w:sz w:val="16"/>
                <w:szCs w:val="16"/>
              </w:rPr>
              <w:t>500 000</w:t>
            </w:r>
          </w:p>
        </w:tc>
      </w:tr>
      <w:tr w:rsidR="001A349D" w:rsidRPr="005A6322" w:rsidTr="001A349D">
        <w:trPr>
          <w:trHeight w:val="126"/>
          <w:jc w:val="center"/>
        </w:trPr>
        <w:tc>
          <w:tcPr>
            <w:tcW w:w="1212"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5A6322" w:rsidRPr="005A6322" w:rsidRDefault="005A6322" w:rsidP="005A6322">
            <w:pPr>
              <w:spacing w:after="0" w:line="240" w:lineRule="auto"/>
              <w:jc w:val="center"/>
              <w:rPr>
                <w:rFonts w:ascii="Times New Roman" w:hAnsi="Times New Roman" w:cs="Times New Roman"/>
                <w:b/>
                <w:sz w:val="16"/>
                <w:szCs w:val="16"/>
              </w:rPr>
            </w:pPr>
            <w:r w:rsidRPr="005A6322">
              <w:rPr>
                <w:rFonts w:ascii="Times New Roman" w:hAnsi="Times New Roman" w:cs="Times New Roman"/>
                <w:b/>
                <w:sz w:val="16"/>
                <w:szCs w:val="16"/>
              </w:rPr>
              <w:t xml:space="preserve">Cadre de vie </w:t>
            </w:r>
          </w:p>
        </w:tc>
        <w:tc>
          <w:tcPr>
            <w:tcW w:w="2079" w:type="dxa"/>
            <w:tcBorders>
              <w:top w:val="single" w:sz="4" w:space="0" w:color="auto"/>
              <w:left w:val="single" w:sz="4" w:space="0" w:color="auto"/>
              <w:bottom w:val="single" w:sz="4" w:space="0" w:color="auto"/>
              <w:right w:val="single" w:sz="4" w:space="0" w:color="auto"/>
            </w:tcBorders>
            <w:vAlign w:val="center"/>
          </w:tcPr>
          <w:p w:rsidR="005A6322" w:rsidRPr="005A6322" w:rsidRDefault="005A6322" w:rsidP="005A6322">
            <w:pPr>
              <w:spacing w:after="0" w:line="240" w:lineRule="auto"/>
              <w:jc w:val="both"/>
              <w:rPr>
                <w:rFonts w:ascii="Times New Roman" w:hAnsi="Times New Roman" w:cs="Times New Roman"/>
                <w:sz w:val="16"/>
                <w:szCs w:val="16"/>
              </w:rPr>
            </w:pPr>
            <w:r w:rsidRPr="005A6322">
              <w:rPr>
                <w:rFonts w:ascii="Times New Roman" w:hAnsi="Times New Roman" w:cs="Times New Roman"/>
                <w:sz w:val="16"/>
                <w:szCs w:val="16"/>
              </w:rPr>
              <w:t>Risque de gêner la circulation des personnes et des biens ;</w:t>
            </w:r>
          </w:p>
          <w:p w:rsidR="005A6322" w:rsidRPr="005A6322" w:rsidRDefault="005A6322" w:rsidP="005A6322">
            <w:pPr>
              <w:spacing w:after="0" w:line="240" w:lineRule="auto"/>
              <w:jc w:val="both"/>
              <w:rPr>
                <w:rFonts w:ascii="Times New Roman" w:hAnsi="Times New Roman" w:cs="Times New Roman"/>
                <w:sz w:val="16"/>
                <w:szCs w:val="16"/>
              </w:rPr>
            </w:pPr>
          </w:p>
          <w:p w:rsidR="005A6322" w:rsidRPr="005A6322" w:rsidRDefault="005A6322" w:rsidP="005A6322">
            <w:pPr>
              <w:spacing w:after="0" w:line="240" w:lineRule="auto"/>
              <w:jc w:val="both"/>
              <w:rPr>
                <w:rFonts w:ascii="Times New Roman" w:hAnsi="Times New Roman" w:cs="Times New Roman"/>
                <w:color w:val="000000"/>
                <w:sz w:val="16"/>
                <w:szCs w:val="16"/>
              </w:rPr>
            </w:pPr>
            <w:r w:rsidRPr="005A6322">
              <w:rPr>
                <w:rFonts w:ascii="Times New Roman" w:hAnsi="Times New Roman" w:cs="Times New Roman"/>
                <w:color w:val="000000"/>
                <w:sz w:val="16"/>
                <w:szCs w:val="16"/>
              </w:rPr>
              <w:t>Risque de perturbations du trafic routier ;</w:t>
            </w:r>
          </w:p>
        </w:tc>
        <w:tc>
          <w:tcPr>
            <w:tcW w:w="4335" w:type="dxa"/>
            <w:tcBorders>
              <w:top w:val="single" w:sz="4" w:space="0" w:color="auto"/>
              <w:left w:val="single" w:sz="4" w:space="0" w:color="auto"/>
              <w:bottom w:val="single" w:sz="4" w:space="0" w:color="auto"/>
              <w:right w:val="single" w:sz="4" w:space="0" w:color="auto"/>
            </w:tcBorders>
            <w:vAlign w:val="center"/>
          </w:tcPr>
          <w:p w:rsidR="005A6322" w:rsidRPr="005A6322" w:rsidRDefault="005A6322" w:rsidP="005A6322">
            <w:pPr>
              <w:spacing w:after="0" w:line="240" w:lineRule="auto"/>
              <w:jc w:val="both"/>
              <w:rPr>
                <w:rFonts w:ascii="Times New Roman" w:hAnsi="Times New Roman" w:cs="Times New Roman"/>
                <w:sz w:val="16"/>
                <w:szCs w:val="16"/>
              </w:rPr>
            </w:pPr>
            <w:r w:rsidRPr="005A6322">
              <w:rPr>
                <w:rFonts w:ascii="Times New Roman" w:hAnsi="Times New Roman" w:cs="Times New Roman"/>
                <w:sz w:val="16"/>
                <w:szCs w:val="16"/>
              </w:rPr>
              <w:t>-Bien baliser les zones d’intervention des travaux ;</w:t>
            </w:r>
          </w:p>
          <w:p w:rsidR="005A6322" w:rsidRPr="005A6322" w:rsidRDefault="005A6322" w:rsidP="005A6322">
            <w:pPr>
              <w:spacing w:after="0" w:line="240" w:lineRule="auto"/>
              <w:jc w:val="both"/>
              <w:rPr>
                <w:rFonts w:ascii="Times New Roman" w:hAnsi="Times New Roman" w:cs="Times New Roman"/>
                <w:sz w:val="16"/>
                <w:szCs w:val="16"/>
              </w:rPr>
            </w:pPr>
            <w:r w:rsidRPr="005A6322">
              <w:rPr>
                <w:rFonts w:ascii="Times New Roman" w:hAnsi="Times New Roman" w:cs="Times New Roman"/>
                <w:sz w:val="16"/>
                <w:szCs w:val="16"/>
              </w:rPr>
              <w:t>-Elaborer un plan de circulation dans les milieux denses ;</w:t>
            </w:r>
          </w:p>
          <w:p w:rsidR="005A6322" w:rsidRPr="005A6322" w:rsidRDefault="005A6322" w:rsidP="005A6322">
            <w:pPr>
              <w:spacing w:after="0" w:line="240" w:lineRule="auto"/>
              <w:jc w:val="both"/>
              <w:rPr>
                <w:rFonts w:ascii="Times New Roman" w:hAnsi="Times New Roman" w:cs="Times New Roman"/>
                <w:sz w:val="16"/>
                <w:szCs w:val="16"/>
              </w:rPr>
            </w:pPr>
            <w:r w:rsidRPr="005A6322">
              <w:rPr>
                <w:rFonts w:ascii="Times New Roman" w:hAnsi="Times New Roman" w:cs="Times New Roman"/>
                <w:sz w:val="16"/>
                <w:szCs w:val="16"/>
              </w:rPr>
              <w:t>-Prendre des positions pour permettre la mobilité des usagers :</w:t>
            </w:r>
          </w:p>
          <w:p w:rsidR="005A6322" w:rsidRPr="005A6322" w:rsidRDefault="005A6322" w:rsidP="005A6322">
            <w:pPr>
              <w:spacing w:after="0" w:line="240" w:lineRule="auto"/>
              <w:jc w:val="both"/>
              <w:rPr>
                <w:rFonts w:ascii="Times New Roman" w:hAnsi="Times New Roman" w:cs="Times New Roman"/>
                <w:sz w:val="16"/>
                <w:szCs w:val="16"/>
              </w:rPr>
            </w:pPr>
            <w:r w:rsidRPr="005A6322">
              <w:rPr>
                <w:rFonts w:ascii="Times New Roman" w:hAnsi="Times New Roman" w:cs="Times New Roman"/>
                <w:sz w:val="16"/>
                <w:szCs w:val="16"/>
              </w:rPr>
              <w:t>-Approvisionner les chantiers en matériaux pendant que la circulation est fluide si possible ;</w:t>
            </w:r>
          </w:p>
          <w:p w:rsidR="005A6322" w:rsidRPr="005A6322" w:rsidRDefault="005A6322" w:rsidP="005A6322">
            <w:pPr>
              <w:spacing w:after="0" w:line="240" w:lineRule="auto"/>
              <w:jc w:val="both"/>
              <w:rPr>
                <w:rFonts w:ascii="Times New Roman" w:hAnsi="Times New Roman" w:cs="Times New Roman"/>
                <w:sz w:val="16"/>
                <w:szCs w:val="16"/>
              </w:rPr>
            </w:pPr>
            <w:r w:rsidRPr="005A6322">
              <w:rPr>
                <w:rFonts w:ascii="Times New Roman" w:hAnsi="Times New Roman" w:cs="Times New Roman"/>
                <w:sz w:val="16"/>
                <w:szCs w:val="16"/>
              </w:rPr>
              <w:t>-Eviter le stationnement prolongé des camions au bord des voies d’accès ;</w:t>
            </w:r>
          </w:p>
          <w:p w:rsidR="005A6322" w:rsidRPr="005A6322" w:rsidRDefault="005A6322" w:rsidP="005A6322">
            <w:pPr>
              <w:spacing w:after="0" w:line="240" w:lineRule="auto"/>
              <w:jc w:val="both"/>
              <w:rPr>
                <w:rFonts w:ascii="Times New Roman" w:hAnsi="Times New Roman" w:cs="Times New Roman"/>
                <w:sz w:val="16"/>
                <w:szCs w:val="16"/>
              </w:rPr>
            </w:pPr>
            <w:r w:rsidRPr="005A6322">
              <w:rPr>
                <w:rFonts w:ascii="Times New Roman" w:hAnsi="Times New Roman" w:cs="Times New Roman"/>
                <w:sz w:val="16"/>
                <w:szCs w:val="16"/>
              </w:rPr>
              <w:t>-Informer et sensibiliser les habitants et les commerçants se trouvant à côté des bases de chantier sur la nature et la durée de travaux ;</w:t>
            </w:r>
          </w:p>
          <w:p w:rsidR="005A6322" w:rsidRPr="005A6322" w:rsidRDefault="005A6322" w:rsidP="005A6322">
            <w:pPr>
              <w:spacing w:after="0" w:line="240" w:lineRule="auto"/>
              <w:jc w:val="both"/>
              <w:rPr>
                <w:rFonts w:ascii="Times New Roman" w:hAnsi="Times New Roman" w:cs="Times New Roman"/>
                <w:sz w:val="16"/>
                <w:szCs w:val="16"/>
              </w:rPr>
            </w:pPr>
            <w:r w:rsidRPr="005A6322">
              <w:rPr>
                <w:rFonts w:ascii="Times New Roman" w:hAnsi="Times New Roman" w:cs="Times New Roman"/>
                <w:sz w:val="16"/>
                <w:szCs w:val="16"/>
              </w:rPr>
              <w:t>- Régulariser la circulation par l’installation des panneaux de circulation dans les zones d’intervention du projet ;</w:t>
            </w:r>
          </w:p>
        </w:tc>
        <w:tc>
          <w:tcPr>
            <w:tcW w:w="3568" w:type="dxa"/>
            <w:tcBorders>
              <w:top w:val="single" w:sz="4" w:space="0" w:color="auto"/>
              <w:left w:val="single" w:sz="4" w:space="0" w:color="auto"/>
              <w:bottom w:val="single" w:sz="4" w:space="0" w:color="auto"/>
              <w:right w:val="single" w:sz="4" w:space="0" w:color="auto"/>
            </w:tcBorders>
            <w:vAlign w:val="center"/>
          </w:tcPr>
          <w:p w:rsidR="005A6322" w:rsidRPr="005A6322" w:rsidRDefault="005A6322" w:rsidP="005A6322">
            <w:pPr>
              <w:pStyle w:val="Listecouleur-Accent11"/>
              <w:ind w:left="0"/>
              <w:rPr>
                <w:rFonts w:ascii="Times New Roman" w:hAnsi="Times New Roman"/>
                <w:sz w:val="16"/>
                <w:szCs w:val="16"/>
                <w:lang w:val="fr-FR"/>
              </w:rPr>
            </w:pPr>
            <w:r w:rsidRPr="005A6322">
              <w:rPr>
                <w:rFonts w:ascii="Times New Roman" w:hAnsi="Times New Roman"/>
                <w:sz w:val="16"/>
                <w:szCs w:val="16"/>
              </w:rPr>
              <w:t>-Présence d’un plan de circulation</w:t>
            </w:r>
            <w:r w:rsidRPr="005A6322">
              <w:rPr>
                <w:rFonts w:ascii="Times New Roman" w:hAnsi="Times New Roman"/>
                <w:sz w:val="16"/>
                <w:szCs w:val="16"/>
                <w:lang w:val="fr-FR"/>
              </w:rPr>
              <w:t xml:space="preserve"> validé ;</w:t>
            </w:r>
          </w:p>
          <w:p w:rsidR="005A6322" w:rsidRPr="005A6322" w:rsidRDefault="005A6322" w:rsidP="005A6322">
            <w:pPr>
              <w:pStyle w:val="Listecouleur-Accent11"/>
              <w:ind w:left="0"/>
              <w:rPr>
                <w:rFonts w:ascii="Times New Roman" w:hAnsi="Times New Roman"/>
                <w:sz w:val="16"/>
                <w:szCs w:val="16"/>
                <w:lang w:val="fr-FR"/>
              </w:rPr>
            </w:pPr>
            <w:r w:rsidRPr="005A6322">
              <w:rPr>
                <w:rFonts w:ascii="Times New Roman" w:hAnsi="Times New Roman"/>
                <w:sz w:val="16"/>
                <w:szCs w:val="16"/>
                <w:lang w:val="fr-FR"/>
              </w:rPr>
              <w:t>-Zone d’intervention balisée ;</w:t>
            </w:r>
          </w:p>
          <w:p w:rsidR="005A6322" w:rsidRPr="005A6322" w:rsidRDefault="005A6322" w:rsidP="005A6322">
            <w:pPr>
              <w:pStyle w:val="Listecouleur-Accent11"/>
              <w:ind w:left="0"/>
              <w:rPr>
                <w:rFonts w:ascii="Times New Roman" w:hAnsi="Times New Roman"/>
                <w:sz w:val="16"/>
                <w:szCs w:val="16"/>
                <w:lang w:val="fr-FR"/>
              </w:rPr>
            </w:pPr>
            <w:r w:rsidRPr="005A6322">
              <w:rPr>
                <w:rFonts w:ascii="Times New Roman" w:hAnsi="Times New Roman"/>
                <w:sz w:val="16"/>
                <w:szCs w:val="16"/>
                <w:lang w:val="fr-FR"/>
              </w:rPr>
              <w:t>-Nombre d’habitants et de commerçants informés et sensibilisés ;</w:t>
            </w:r>
          </w:p>
          <w:p w:rsidR="005A6322" w:rsidRPr="005A6322" w:rsidRDefault="005A6322" w:rsidP="005A6322">
            <w:pPr>
              <w:pStyle w:val="Listecouleur-Accent11"/>
              <w:ind w:left="0"/>
              <w:rPr>
                <w:rFonts w:ascii="Times New Roman" w:hAnsi="Times New Roman"/>
                <w:sz w:val="16"/>
                <w:szCs w:val="16"/>
                <w:lang w:val="fr-FR"/>
              </w:rPr>
            </w:pPr>
            <w:r w:rsidRPr="005A6322">
              <w:rPr>
                <w:rFonts w:ascii="Times New Roman" w:hAnsi="Times New Roman"/>
                <w:sz w:val="16"/>
                <w:szCs w:val="16"/>
                <w:lang w:val="fr-FR"/>
              </w:rPr>
              <w:t>-Présence des panneaux de circulation dans les zones intervention ;</w:t>
            </w:r>
          </w:p>
        </w:tc>
        <w:tc>
          <w:tcPr>
            <w:tcW w:w="1134"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5A6322" w:rsidRPr="005A6322" w:rsidRDefault="005A6322" w:rsidP="005A6322">
            <w:pPr>
              <w:spacing w:after="0" w:line="240" w:lineRule="auto"/>
              <w:jc w:val="center"/>
              <w:rPr>
                <w:rFonts w:ascii="Times New Roman" w:hAnsi="Times New Roman" w:cs="Times New Roman"/>
                <w:b/>
                <w:sz w:val="16"/>
                <w:szCs w:val="16"/>
              </w:rPr>
            </w:pPr>
            <w:r w:rsidRPr="005A6322">
              <w:rPr>
                <w:rFonts w:ascii="Times New Roman" w:hAnsi="Times New Roman" w:cs="Times New Roman"/>
                <w:b/>
                <w:sz w:val="16"/>
                <w:szCs w:val="16"/>
              </w:rPr>
              <w:t>Entreprise</w:t>
            </w:r>
          </w:p>
          <w:p w:rsidR="005A6322" w:rsidRPr="005A6322" w:rsidRDefault="005A6322" w:rsidP="005A6322">
            <w:pPr>
              <w:spacing w:after="0" w:line="240" w:lineRule="auto"/>
              <w:jc w:val="center"/>
              <w:rPr>
                <w:rFonts w:ascii="Times New Roman" w:hAnsi="Times New Roman" w:cs="Times New Roman"/>
                <w:b/>
                <w:sz w:val="16"/>
                <w:szCs w:val="16"/>
              </w:rPr>
            </w:pPr>
          </w:p>
        </w:tc>
        <w:tc>
          <w:tcPr>
            <w:tcW w:w="1120"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5A6322" w:rsidRPr="005A6322" w:rsidRDefault="005A6322" w:rsidP="005A6322">
            <w:pPr>
              <w:spacing w:after="0" w:line="240" w:lineRule="auto"/>
              <w:jc w:val="center"/>
              <w:rPr>
                <w:rFonts w:ascii="Times New Roman" w:hAnsi="Times New Roman" w:cs="Times New Roman"/>
                <w:b/>
                <w:sz w:val="16"/>
                <w:szCs w:val="16"/>
              </w:rPr>
            </w:pPr>
            <w:r w:rsidRPr="005A6322">
              <w:rPr>
                <w:rFonts w:ascii="Times New Roman" w:hAnsi="Times New Roman" w:cs="Times New Roman"/>
                <w:b/>
                <w:sz w:val="16"/>
                <w:szCs w:val="16"/>
              </w:rPr>
              <w:t>Comité de suivi</w:t>
            </w:r>
          </w:p>
          <w:p w:rsidR="005A6322" w:rsidRPr="005A6322" w:rsidRDefault="005A6322" w:rsidP="005A6322">
            <w:pPr>
              <w:spacing w:after="0" w:line="240" w:lineRule="auto"/>
              <w:jc w:val="center"/>
              <w:rPr>
                <w:rFonts w:ascii="Times New Roman" w:hAnsi="Times New Roman" w:cs="Times New Roman"/>
                <w:b/>
                <w:sz w:val="16"/>
                <w:szCs w:val="16"/>
              </w:rPr>
            </w:pPr>
          </w:p>
          <w:p w:rsidR="005A6322" w:rsidRPr="005A6322" w:rsidRDefault="005A6322" w:rsidP="005A6322">
            <w:pPr>
              <w:spacing w:after="0" w:line="240" w:lineRule="auto"/>
              <w:jc w:val="center"/>
              <w:rPr>
                <w:rFonts w:ascii="Times New Roman" w:hAnsi="Times New Roman" w:cs="Times New Roman"/>
                <w:b/>
                <w:sz w:val="16"/>
                <w:szCs w:val="16"/>
              </w:rPr>
            </w:pPr>
            <w:r w:rsidRPr="005A6322">
              <w:rPr>
                <w:rFonts w:ascii="Times New Roman" w:hAnsi="Times New Roman" w:cs="Times New Roman"/>
                <w:b/>
                <w:sz w:val="16"/>
                <w:szCs w:val="16"/>
              </w:rPr>
              <w:t>PUASEE-FA</w:t>
            </w:r>
          </w:p>
        </w:tc>
        <w:tc>
          <w:tcPr>
            <w:tcW w:w="1445" w:type="dxa"/>
            <w:tcBorders>
              <w:top w:val="single" w:sz="4" w:space="0" w:color="auto"/>
              <w:left w:val="single" w:sz="4" w:space="0" w:color="auto"/>
              <w:bottom w:val="single" w:sz="4" w:space="0" w:color="auto"/>
              <w:right w:val="single" w:sz="4" w:space="0" w:color="auto"/>
            </w:tcBorders>
            <w:vAlign w:val="center"/>
          </w:tcPr>
          <w:p w:rsidR="005A6322" w:rsidRPr="005A6322" w:rsidRDefault="005A6322" w:rsidP="005A6322">
            <w:pPr>
              <w:spacing w:after="0" w:line="240" w:lineRule="auto"/>
              <w:jc w:val="center"/>
              <w:rPr>
                <w:rFonts w:ascii="Times New Roman" w:hAnsi="Times New Roman" w:cs="Times New Roman"/>
                <w:sz w:val="16"/>
                <w:szCs w:val="16"/>
              </w:rPr>
            </w:pPr>
            <w:r w:rsidRPr="005A6322">
              <w:rPr>
                <w:rFonts w:ascii="Times New Roman" w:hAnsi="Times New Roman" w:cs="Times New Roman"/>
                <w:sz w:val="16"/>
                <w:szCs w:val="16"/>
              </w:rPr>
              <w:t>Au début et en continu</w:t>
            </w:r>
          </w:p>
          <w:p w:rsidR="005A6322" w:rsidRPr="005A6322" w:rsidRDefault="005A6322" w:rsidP="005A6322">
            <w:pPr>
              <w:spacing w:after="0" w:line="240" w:lineRule="auto"/>
              <w:jc w:val="center"/>
              <w:rPr>
                <w:rFonts w:ascii="Times New Roman" w:hAnsi="Times New Roman" w:cs="Times New Roman"/>
                <w:sz w:val="16"/>
                <w:szCs w:val="16"/>
              </w:rPr>
            </w:pPr>
          </w:p>
        </w:tc>
        <w:tc>
          <w:tcPr>
            <w:tcW w:w="112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5A6322" w:rsidRPr="005A6322" w:rsidRDefault="005A6322" w:rsidP="005A6322">
            <w:pPr>
              <w:spacing w:after="0" w:line="240" w:lineRule="auto"/>
              <w:jc w:val="center"/>
              <w:rPr>
                <w:rFonts w:ascii="Times New Roman" w:hAnsi="Times New Roman" w:cs="Times New Roman"/>
                <w:b/>
                <w:sz w:val="16"/>
                <w:szCs w:val="16"/>
              </w:rPr>
            </w:pPr>
            <w:r w:rsidRPr="005A6322">
              <w:rPr>
                <w:rFonts w:ascii="Times New Roman" w:hAnsi="Times New Roman" w:cs="Times New Roman"/>
                <w:b/>
                <w:sz w:val="16"/>
                <w:szCs w:val="16"/>
              </w:rPr>
              <w:t>2 000 000</w:t>
            </w:r>
          </w:p>
        </w:tc>
      </w:tr>
      <w:tr w:rsidR="001A349D" w:rsidRPr="005A6322" w:rsidTr="001A349D">
        <w:trPr>
          <w:trHeight w:val="526"/>
          <w:jc w:val="center"/>
        </w:trPr>
        <w:tc>
          <w:tcPr>
            <w:tcW w:w="1212"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5A6322" w:rsidRPr="005A6322" w:rsidRDefault="005A6322" w:rsidP="005A6322">
            <w:pPr>
              <w:spacing w:after="0" w:line="240" w:lineRule="auto"/>
              <w:jc w:val="center"/>
              <w:rPr>
                <w:rFonts w:ascii="Times New Roman" w:hAnsi="Times New Roman" w:cs="Times New Roman"/>
                <w:b/>
                <w:bCs/>
                <w:sz w:val="16"/>
                <w:szCs w:val="16"/>
              </w:rPr>
            </w:pPr>
            <w:r w:rsidRPr="005A6322">
              <w:rPr>
                <w:rFonts w:ascii="Times New Roman" w:hAnsi="Times New Roman" w:cs="Times New Roman"/>
                <w:b/>
                <w:bCs/>
                <w:sz w:val="16"/>
                <w:szCs w:val="16"/>
              </w:rPr>
              <w:lastRenderedPageBreak/>
              <w:t>Santé</w:t>
            </w:r>
          </w:p>
        </w:tc>
        <w:tc>
          <w:tcPr>
            <w:tcW w:w="2079" w:type="dxa"/>
            <w:tcBorders>
              <w:top w:val="single" w:sz="4" w:space="0" w:color="auto"/>
              <w:left w:val="single" w:sz="4" w:space="0" w:color="auto"/>
              <w:bottom w:val="single" w:sz="4" w:space="0" w:color="auto"/>
              <w:right w:val="single" w:sz="4" w:space="0" w:color="auto"/>
            </w:tcBorders>
            <w:vAlign w:val="center"/>
          </w:tcPr>
          <w:p w:rsidR="005A6322" w:rsidRPr="005A6322" w:rsidRDefault="005A6322" w:rsidP="005A6322">
            <w:pPr>
              <w:spacing w:after="0" w:line="240" w:lineRule="auto"/>
              <w:jc w:val="center"/>
              <w:rPr>
                <w:rFonts w:ascii="Times New Roman" w:hAnsi="Times New Roman" w:cs="Times New Roman"/>
                <w:sz w:val="16"/>
                <w:szCs w:val="16"/>
              </w:rPr>
            </w:pPr>
            <w:r w:rsidRPr="005A6322">
              <w:rPr>
                <w:rFonts w:ascii="Times New Roman" w:hAnsi="Times New Roman" w:cs="Times New Roman"/>
                <w:sz w:val="16"/>
                <w:szCs w:val="16"/>
              </w:rPr>
              <w:t>Risque d’accident</w:t>
            </w:r>
          </w:p>
        </w:tc>
        <w:tc>
          <w:tcPr>
            <w:tcW w:w="4335" w:type="dxa"/>
            <w:tcBorders>
              <w:top w:val="single" w:sz="4" w:space="0" w:color="auto"/>
              <w:left w:val="single" w:sz="4" w:space="0" w:color="auto"/>
              <w:bottom w:val="single" w:sz="4" w:space="0" w:color="auto"/>
              <w:right w:val="single" w:sz="4" w:space="0" w:color="auto"/>
            </w:tcBorders>
            <w:vAlign w:val="center"/>
          </w:tcPr>
          <w:p w:rsidR="005A6322" w:rsidRPr="005A6322" w:rsidRDefault="005A6322" w:rsidP="005A6322">
            <w:pPr>
              <w:spacing w:after="0" w:line="240" w:lineRule="auto"/>
              <w:jc w:val="both"/>
              <w:rPr>
                <w:rFonts w:ascii="Times New Roman" w:hAnsi="Times New Roman" w:cs="Times New Roman"/>
                <w:sz w:val="16"/>
                <w:szCs w:val="16"/>
              </w:rPr>
            </w:pPr>
            <w:r w:rsidRPr="005A6322">
              <w:rPr>
                <w:rFonts w:ascii="Times New Roman" w:hAnsi="Times New Roman" w:cs="Times New Roman"/>
                <w:sz w:val="16"/>
                <w:szCs w:val="16"/>
              </w:rPr>
              <w:t>-Etablir un périmètre de sécurité au niveau des différents chantiers (site des réalisations des réservoirs) ;</w:t>
            </w:r>
          </w:p>
          <w:p w:rsidR="005A6322" w:rsidRPr="005A6322" w:rsidRDefault="005A6322" w:rsidP="005A6322">
            <w:pPr>
              <w:spacing w:after="0" w:line="240" w:lineRule="auto"/>
              <w:jc w:val="both"/>
              <w:rPr>
                <w:rFonts w:ascii="Times New Roman" w:hAnsi="Times New Roman" w:cs="Times New Roman"/>
                <w:sz w:val="16"/>
                <w:szCs w:val="16"/>
              </w:rPr>
            </w:pPr>
            <w:r w:rsidRPr="005A6322">
              <w:rPr>
                <w:rFonts w:ascii="Times New Roman" w:hAnsi="Times New Roman" w:cs="Times New Roman"/>
                <w:sz w:val="16"/>
                <w:szCs w:val="16"/>
              </w:rPr>
              <w:t>-Installation des panneaux de circulation ;</w:t>
            </w:r>
          </w:p>
          <w:p w:rsidR="005A6322" w:rsidRPr="005A6322" w:rsidRDefault="005A6322" w:rsidP="005A6322">
            <w:pPr>
              <w:spacing w:after="0" w:line="240" w:lineRule="auto"/>
              <w:jc w:val="both"/>
              <w:rPr>
                <w:rFonts w:ascii="Times New Roman" w:hAnsi="Times New Roman" w:cs="Times New Roman"/>
                <w:sz w:val="16"/>
                <w:szCs w:val="16"/>
              </w:rPr>
            </w:pPr>
            <w:r w:rsidRPr="005A6322">
              <w:rPr>
                <w:rFonts w:ascii="Times New Roman" w:hAnsi="Times New Roman" w:cs="Times New Roman"/>
                <w:sz w:val="16"/>
                <w:szCs w:val="16"/>
              </w:rPr>
              <w:t>-Eviter le stationnement prolongé des camions au bord des voies d’accès ;</w:t>
            </w:r>
          </w:p>
          <w:p w:rsidR="005A6322" w:rsidRPr="005A6322" w:rsidRDefault="005A6322" w:rsidP="005A6322">
            <w:pPr>
              <w:spacing w:after="0" w:line="240" w:lineRule="auto"/>
              <w:jc w:val="both"/>
              <w:rPr>
                <w:rFonts w:ascii="Times New Roman" w:hAnsi="Times New Roman" w:cs="Times New Roman"/>
                <w:sz w:val="16"/>
                <w:szCs w:val="16"/>
              </w:rPr>
            </w:pPr>
            <w:r w:rsidRPr="005A6322">
              <w:rPr>
                <w:rFonts w:ascii="Times New Roman" w:hAnsi="Times New Roman" w:cs="Times New Roman"/>
                <w:sz w:val="16"/>
                <w:szCs w:val="16"/>
              </w:rPr>
              <w:t>- Exiger le port obligatoire des EPI, etc. ;</w:t>
            </w:r>
          </w:p>
        </w:tc>
        <w:tc>
          <w:tcPr>
            <w:tcW w:w="3568" w:type="dxa"/>
            <w:tcBorders>
              <w:top w:val="single" w:sz="4" w:space="0" w:color="auto"/>
              <w:left w:val="single" w:sz="4" w:space="0" w:color="auto"/>
              <w:bottom w:val="single" w:sz="4" w:space="0" w:color="auto"/>
              <w:right w:val="single" w:sz="4" w:space="0" w:color="auto"/>
            </w:tcBorders>
            <w:vAlign w:val="center"/>
          </w:tcPr>
          <w:p w:rsidR="005A6322" w:rsidRPr="005A6322" w:rsidRDefault="005A6322" w:rsidP="005A6322">
            <w:pPr>
              <w:spacing w:after="0" w:line="240" w:lineRule="auto"/>
              <w:jc w:val="both"/>
              <w:rPr>
                <w:rFonts w:ascii="Times New Roman" w:hAnsi="Times New Roman" w:cs="Times New Roman"/>
                <w:sz w:val="16"/>
                <w:szCs w:val="16"/>
              </w:rPr>
            </w:pPr>
            <w:r w:rsidRPr="005A6322">
              <w:rPr>
                <w:rFonts w:ascii="Times New Roman" w:hAnsi="Times New Roman" w:cs="Times New Roman"/>
                <w:sz w:val="16"/>
                <w:szCs w:val="16"/>
              </w:rPr>
              <w:t>-Nombre d’accident ou incident ;</w:t>
            </w:r>
          </w:p>
          <w:p w:rsidR="005A6322" w:rsidRPr="005A6322" w:rsidRDefault="005A6322" w:rsidP="005A6322">
            <w:pPr>
              <w:spacing w:after="0" w:line="240" w:lineRule="auto"/>
              <w:jc w:val="both"/>
              <w:rPr>
                <w:rFonts w:ascii="Times New Roman" w:hAnsi="Times New Roman" w:cs="Times New Roman"/>
                <w:sz w:val="16"/>
                <w:szCs w:val="16"/>
              </w:rPr>
            </w:pPr>
            <w:r w:rsidRPr="005A6322">
              <w:rPr>
                <w:rFonts w:ascii="Times New Roman" w:hAnsi="Times New Roman" w:cs="Times New Roman"/>
                <w:sz w:val="16"/>
                <w:szCs w:val="16"/>
              </w:rPr>
              <w:t>-Nombre de plainte ;</w:t>
            </w:r>
          </w:p>
          <w:p w:rsidR="005A6322" w:rsidRPr="005A6322" w:rsidRDefault="005A6322" w:rsidP="005A6322">
            <w:pPr>
              <w:spacing w:after="0" w:line="240" w:lineRule="auto"/>
              <w:jc w:val="both"/>
              <w:rPr>
                <w:rFonts w:ascii="Times New Roman" w:hAnsi="Times New Roman" w:cs="Times New Roman"/>
                <w:sz w:val="16"/>
                <w:szCs w:val="16"/>
              </w:rPr>
            </w:pPr>
            <w:r w:rsidRPr="005A6322">
              <w:rPr>
                <w:rFonts w:ascii="Times New Roman" w:hAnsi="Times New Roman" w:cs="Times New Roman"/>
                <w:sz w:val="16"/>
                <w:szCs w:val="16"/>
              </w:rPr>
              <w:t>- Port effectif d’EPI ;</w:t>
            </w:r>
          </w:p>
        </w:tc>
        <w:tc>
          <w:tcPr>
            <w:tcW w:w="1134"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5A6322" w:rsidRPr="005A6322" w:rsidRDefault="005A6322" w:rsidP="005A6322">
            <w:pPr>
              <w:spacing w:after="0" w:line="240" w:lineRule="auto"/>
              <w:jc w:val="center"/>
              <w:rPr>
                <w:rFonts w:ascii="Times New Roman" w:hAnsi="Times New Roman" w:cs="Times New Roman"/>
                <w:b/>
                <w:sz w:val="16"/>
                <w:szCs w:val="16"/>
              </w:rPr>
            </w:pPr>
            <w:r w:rsidRPr="005A6322">
              <w:rPr>
                <w:rFonts w:ascii="Times New Roman" w:hAnsi="Times New Roman" w:cs="Times New Roman"/>
                <w:b/>
                <w:sz w:val="16"/>
                <w:szCs w:val="16"/>
              </w:rPr>
              <w:t>Entreprise</w:t>
            </w:r>
          </w:p>
          <w:p w:rsidR="005A6322" w:rsidRPr="005A6322" w:rsidRDefault="005A6322" w:rsidP="005A6322">
            <w:pPr>
              <w:spacing w:after="0" w:line="240" w:lineRule="auto"/>
              <w:jc w:val="center"/>
              <w:rPr>
                <w:rFonts w:ascii="Times New Roman" w:hAnsi="Times New Roman" w:cs="Times New Roman"/>
                <w:b/>
                <w:sz w:val="16"/>
                <w:szCs w:val="16"/>
              </w:rPr>
            </w:pPr>
          </w:p>
        </w:tc>
        <w:tc>
          <w:tcPr>
            <w:tcW w:w="1120"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5A6322" w:rsidRPr="005A6322" w:rsidRDefault="005A6322" w:rsidP="005A6322">
            <w:pPr>
              <w:spacing w:after="0" w:line="240" w:lineRule="auto"/>
              <w:jc w:val="center"/>
              <w:rPr>
                <w:rFonts w:ascii="Times New Roman" w:hAnsi="Times New Roman" w:cs="Times New Roman"/>
                <w:b/>
                <w:sz w:val="16"/>
                <w:szCs w:val="16"/>
              </w:rPr>
            </w:pPr>
            <w:r w:rsidRPr="005A6322">
              <w:rPr>
                <w:rFonts w:ascii="Times New Roman" w:hAnsi="Times New Roman" w:cs="Times New Roman"/>
                <w:b/>
                <w:sz w:val="16"/>
                <w:szCs w:val="16"/>
              </w:rPr>
              <w:t>Comité de suivi</w:t>
            </w:r>
          </w:p>
          <w:p w:rsidR="005A6322" w:rsidRPr="005A6322" w:rsidRDefault="005A6322" w:rsidP="005A6322">
            <w:pPr>
              <w:spacing w:after="0" w:line="240" w:lineRule="auto"/>
              <w:jc w:val="center"/>
              <w:rPr>
                <w:rFonts w:ascii="Times New Roman" w:hAnsi="Times New Roman" w:cs="Times New Roman"/>
                <w:b/>
                <w:sz w:val="16"/>
                <w:szCs w:val="16"/>
              </w:rPr>
            </w:pPr>
          </w:p>
          <w:p w:rsidR="005A6322" w:rsidRPr="005A6322" w:rsidRDefault="005A6322" w:rsidP="005A6322">
            <w:pPr>
              <w:spacing w:after="0" w:line="240" w:lineRule="auto"/>
              <w:jc w:val="center"/>
              <w:rPr>
                <w:rFonts w:ascii="Times New Roman" w:hAnsi="Times New Roman" w:cs="Times New Roman"/>
                <w:b/>
                <w:sz w:val="16"/>
                <w:szCs w:val="16"/>
              </w:rPr>
            </w:pPr>
            <w:r w:rsidRPr="005A6322">
              <w:rPr>
                <w:rFonts w:ascii="Times New Roman" w:hAnsi="Times New Roman" w:cs="Times New Roman"/>
                <w:b/>
                <w:sz w:val="16"/>
                <w:szCs w:val="16"/>
              </w:rPr>
              <w:t>PUASEE-FA</w:t>
            </w:r>
          </w:p>
        </w:tc>
        <w:tc>
          <w:tcPr>
            <w:tcW w:w="1445" w:type="dxa"/>
            <w:tcBorders>
              <w:top w:val="single" w:sz="4" w:space="0" w:color="auto"/>
              <w:left w:val="single" w:sz="4" w:space="0" w:color="auto"/>
              <w:bottom w:val="single" w:sz="4" w:space="0" w:color="auto"/>
              <w:right w:val="single" w:sz="4" w:space="0" w:color="auto"/>
            </w:tcBorders>
            <w:vAlign w:val="center"/>
          </w:tcPr>
          <w:p w:rsidR="005A6322" w:rsidRPr="005A6322" w:rsidRDefault="005A6322" w:rsidP="005A6322">
            <w:pPr>
              <w:spacing w:after="0" w:line="240" w:lineRule="auto"/>
              <w:jc w:val="center"/>
              <w:rPr>
                <w:rFonts w:ascii="Times New Roman" w:hAnsi="Times New Roman" w:cs="Times New Roman"/>
                <w:sz w:val="16"/>
                <w:szCs w:val="16"/>
              </w:rPr>
            </w:pPr>
            <w:r w:rsidRPr="005A6322">
              <w:rPr>
                <w:rFonts w:ascii="Times New Roman" w:hAnsi="Times New Roman" w:cs="Times New Roman"/>
                <w:sz w:val="16"/>
                <w:szCs w:val="16"/>
              </w:rPr>
              <w:t>Durant les travaux / Trimestrielle</w:t>
            </w:r>
          </w:p>
        </w:tc>
        <w:tc>
          <w:tcPr>
            <w:tcW w:w="112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5A6322" w:rsidRPr="005A6322" w:rsidRDefault="005A6322" w:rsidP="005A6322">
            <w:pPr>
              <w:spacing w:after="0" w:line="240" w:lineRule="auto"/>
              <w:jc w:val="center"/>
              <w:rPr>
                <w:rFonts w:ascii="Times New Roman" w:hAnsi="Times New Roman" w:cs="Times New Roman"/>
                <w:b/>
                <w:sz w:val="16"/>
                <w:szCs w:val="16"/>
              </w:rPr>
            </w:pPr>
            <w:r w:rsidRPr="005A6322">
              <w:rPr>
                <w:rFonts w:ascii="Times New Roman" w:hAnsi="Times New Roman" w:cs="Times New Roman"/>
                <w:b/>
                <w:sz w:val="16"/>
                <w:szCs w:val="16"/>
              </w:rPr>
              <w:t>2 500 000</w:t>
            </w:r>
          </w:p>
        </w:tc>
      </w:tr>
      <w:tr w:rsidR="001A349D" w:rsidRPr="005A6322" w:rsidTr="001A349D">
        <w:trPr>
          <w:trHeight w:val="1992"/>
          <w:jc w:val="center"/>
        </w:trPr>
        <w:tc>
          <w:tcPr>
            <w:tcW w:w="1212"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5A6322" w:rsidRPr="005A6322" w:rsidRDefault="005A6322" w:rsidP="005A6322">
            <w:pPr>
              <w:spacing w:after="0" w:line="240" w:lineRule="auto"/>
              <w:jc w:val="center"/>
              <w:rPr>
                <w:rFonts w:ascii="Times New Roman" w:hAnsi="Times New Roman" w:cs="Times New Roman"/>
                <w:b/>
                <w:bCs/>
                <w:sz w:val="16"/>
                <w:szCs w:val="16"/>
              </w:rPr>
            </w:pPr>
            <w:r w:rsidRPr="005A6322">
              <w:rPr>
                <w:rFonts w:ascii="Times New Roman" w:hAnsi="Times New Roman" w:cs="Times New Roman"/>
                <w:b/>
                <w:bCs/>
                <w:sz w:val="16"/>
                <w:szCs w:val="16"/>
              </w:rPr>
              <w:t>Santé</w:t>
            </w:r>
          </w:p>
        </w:tc>
        <w:tc>
          <w:tcPr>
            <w:tcW w:w="2079" w:type="dxa"/>
            <w:tcBorders>
              <w:top w:val="single" w:sz="4" w:space="0" w:color="auto"/>
              <w:left w:val="single" w:sz="4" w:space="0" w:color="auto"/>
              <w:bottom w:val="single" w:sz="4" w:space="0" w:color="auto"/>
              <w:right w:val="single" w:sz="4" w:space="0" w:color="auto"/>
            </w:tcBorders>
            <w:vAlign w:val="center"/>
          </w:tcPr>
          <w:p w:rsidR="005A6322" w:rsidRPr="005A6322" w:rsidRDefault="005A6322" w:rsidP="005A6322">
            <w:pPr>
              <w:spacing w:after="0" w:line="240" w:lineRule="auto"/>
              <w:jc w:val="both"/>
              <w:rPr>
                <w:rFonts w:ascii="Times New Roman" w:hAnsi="Times New Roman" w:cs="Times New Roman"/>
                <w:sz w:val="16"/>
                <w:szCs w:val="16"/>
              </w:rPr>
            </w:pPr>
            <w:r w:rsidRPr="005A6322">
              <w:rPr>
                <w:rFonts w:ascii="Times New Roman" w:hAnsi="Times New Roman" w:cs="Times New Roman"/>
                <w:sz w:val="16"/>
                <w:szCs w:val="16"/>
              </w:rPr>
              <w:t>- Atteinte à la santé des travailleurs ;</w:t>
            </w:r>
          </w:p>
          <w:p w:rsidR="005A6322" w:rsidRPr="005A6322" w:rsidRDefault="005A6322" w:rsidP="005A6322">
            <w:pPr>
              <w:spacing w:after="0" w:line="240" w:lineRule="auto"/>
              <w:jc w:val="both"/>
              <w:rPr>
                <w:rFonts w:ascii="Times New Roman" w:hAnsi="Times New Roman" w:cs="Times New Roman"/>
                <w:sz w:val="16"/>
                <w:szCs w:val="16"/>
              </w:rPr>
            </w:pPr>
            <w:r w:rsidRPr="005A6322">
              <w:rPr>
                <w:rFonts w:ascii="Times New Roman" w:hAnsi="Times New Roman" w:cs="Times New Roman"/>
                <w:sz w:val="16"/>
                <w:szCs w:val="16"/>
              </w:rPr>
              <w:t>-Dommages corporels ;</w:t>
            </w:r>
          </w:p>
          <w:p w:rsidR="005A6322" w:rsidRPr="005A6322" w:rsidRDefault="005A6322" w:rsidP="005A6322">
            <w:pPr>
              <w:spacing w:after="0" w:line="240" w:lineRule="auto"/>
              <w:jc w:val="both"/>
              <w:rPr>
                <w:rFonts w:ascii="Times New Roman" w:hAnsi="Times New Roman" w:cs="Times New Roman"/>
                <w:sz w:val="16"/>
                <w:szCs w:val="16"/>
              </w:rPr>
            </w:pPr>
            <w:r w:rsidRPr="005A6322">
              <w:rPr>
                <w:rFonts w:ascii="Times New Roman" w:hAnsi="Times New Roman" w:cs="Times New Roman"/>
                <w:sz w:val="16"/>
                <w:szCs w:val="16"/>
              </w:rPr>
              <w:t>-Risque d’expansion du SIDA et des maladies sexuellement transmissibles ;</w:t>
            </w:r>
          </w:p>
          <w:p w:rsidR="005A6322" w:rsidRPr="005A6322" w:rsidRDefault="005A6322" w:rsidP="005A6322">
            <w:pPr>
              <w:spacing w:after="0" w:line="240" w:lineRule="auto"/>
              <w:jc w:val="both"/>
              <w:rPr>
                <w:rFonts w:ascii="Times New Roman" w:hAnsi="Times New Roman" w:cs="Times New Roman"/>
                <w:sz w:val="16"/>
                <w:szCs w:val="16"/>
              </w:rPr>
            </w:pPr>
            <w:r w:rsidRPr="005A6322">
              <w:rPr>
                <w:rFonts w:ascii="Times New Roman" w:hAnsi="Times New Roman" w:cs="Times New Roman"/>
                <w:sz w:val="16"/>
                <w:szCs w:val="16"/>
              </w:rPr>
              <w:t>-Risque de maladies professionnelles consécutives à des efforts physiques, des écrasements, des chocs, des gestes répétitifs, des mauvaises postures, blessures, de chute, d’accident de travail etc.</w:t>
            </w:r>
          </w:p>
        </w:tc>
        <w:tc>
          <w:tcPr>
            <w:tcW w:w="4335" w:type="dxa"/>
            <w:tcBorders>
              <w:top w:val="single" w:sz="4" w:space="0" w:color="auto"/>
              <w:left w:val="single" w:sz="4" w:space="0" w:color="auto"/>
              <w:bottom w:val="single" w:sz="4" w:space="0" w:color="auto"/>
              <w:right w:val="single" w:sz="4" w:space="0" w:color="auto"/>
            </w:tcBorders>
            <w:vAlign w:val="center"/>
          </w:tcPr>
          <w:p w:rsidR="005A6322" w:rsidRPr="005A6322" w:rsidRDefault="005A6322" w:rsidP="005A6322">
            <w:pPr>
              <w:spacing w:after="0" w:line="240" w:lineRule="auto"/>
              <w:jc w:val="both"/>
              <w:rPr>
                <w:rFonts w:ascii="Times New Roman" w:hAnsi="Times New Roman" w:cs="Times New Roman"/>
                <w:sz w:val="16"/>
                <w:szCs w:val="16"/>
              </w:rPr>
            </w:pPr>
            <w:r w:rsidRPr="005A6322">
              <w:rPr>
                <w:rFonts w:ascii="Times New Roman" w:hAnsi="Times New Roman" w:cs="Times New Roman"/>
                <w:sz w:val="16"/>
                <w:szCs w:val="16"/>
              </w:rPr>
              <w:t>- Matérialiser les bases de chantiers et interdire l’accès à toute personne autre que le personnel de chantier ;</w:t>
            </w:r>
          </w:p>
          <w:p w:rsidR="005A6322" w:rsidRPr="005A6322" w:rsidRDefault="005A6322" w:rsidP="005A6322">
            <w:pPr>
              <w:spacing w:after="0" w:line="240" w:lineRule="auto"/>
              <w:jc w:val="both"/>
              <w:rPr>
                <w:rFonts w:ascii="Times New Roman" w:hAnsi="Times New Roman" w:cs="Times New Roman"/>
                <w:sz w:val="16"/>
                <w:szCs w:val="16"/>
              </w:rPr>
            </w:pPr>
            <w:r w:rsidRPr="005A6322">
              <w:rPr>
                <w:rFonts w:ascii="Times New Roman" w:hAnsi="Times New Roman" w:cs="Times New Roman"/>
                <w:sz w:val="16"/>
                <w:szCs w:val="16"/>
              </w:rPr>
              <w:t>- Etablir un périmètre de sécurité aux abords du chantier ;</w:t>
            </w:r>
          </w:p>
          <w:p w:rsidR="005A6322" w:rsidRPr="005A6322" w:rsidRDefault="005A6322" w:rsidP="005A6322">
            <w:pPr>
              <w:spacing w:after="0" w:line="240" w:lineRule="auto"/>
              <w:jc w:val="both"/>
              <w:rPr>
                <w:rFonts w:ascii="Times New Roman" w:hAnsi="Times New Roman" w:cs="Times New Roman"/>
                <w:sz w:val="16"/>
                <w:szCs w:val="16"/>
              </w:rPr>
            </w:pPr>
            <w:r w:rsidRPr="005A6322">
              <w:rPr>
                <w:rFonts w:ascii="Times New Roman" w:hAnsi="Times New Roman" w:cs="Times New Roman"/>
                <w:sz w:val="16"/>
                <w:szCs w:val="16"/>
              </w:rPr>
              <w:t>- Mettre à la disposition du personnel des EPI requis ;</w:t>
            </w:r>
          </w:p>
          <w:p w:rsidR="005A6322" w:rsidRPr="005A6322" w:rsidRDefault="005A6322" w:rsidP="005A6322">
            <w:pPr>
              <w:spacing w:after="0" w:line="240" w:lineRule="auto"/>
              <w:jc w:val="both"/>
              <w:rPr>
                <w:rFonts w:ascii="Times New Roman" w:hAnsi="Times New Roman" w:cs="Times New Roman"/>
                <w:sz w:val="16"/>
                <w:szCs w:val="16"/>
              </w:rPr>
            </w:pPr>
            <w:r w:rsidRPr="005A6322">
              <w:rPr>
                <w:rFonts w:ascii="Times New Roman" w:hAnsi="Times New Roman" w:cs="Times New Roman"/>
                <w:sz w:val="16"/>
                <w:szCs w:val="16"/>
              </w:rPr>
              <w:t>-Exiger le port obligatoire des EPI ;</w:t>
            </w:r>
          </w:p>
          <w:p w:rsidR="005A6322" w:rsidRPr="005A6322" w:rsidRDefault="005A6322" w:rsidP="005A6322">
            <w:pPr>
              <w:spacing w:after="0" w:line="240" w:lineRule="auto"/>
              <w:jc w:val="both"/>
              <w:rPr>
                <w:rFonts w:ascii="Times New Roman" w:hAnsi="Times New Roman" w:cs="Times New Roman"/>
                <w:sz w:val="16"/>
                <w:szCs w:val="16"/>
              </w:rPr>
            </w:pPr>
            <w:r w:rsidRPr="005A6322">
              <w:rPr>
                <w:rFonts w:ascii="Times New Roman" w:hAnsi="Times New Roman" w:cs="Times New Roman"/>
                <w:sz w:val="16"/>
                <w:szCs w:val="16"/>
              </w:rPr>
              <w:t>-Afficher des consignes de sécurité ;</w:t>
            </w:r>
          </w:p>
          <w:p w:rsidR="005A6322" w:rsidRPr="005A6322" w:rsidRDefault="005A6322" w:rsidP="005A6322">
            <w:pPr>
              <w:spacing w:after="0" w:line="240" w:lineRule="auto"/>
              <w:jc w:val="both"/>
              <w:rPr>
                <w:rFonts w:ascii="Times New Roman" w:hAnsi="Times New Roman" w:cs="Times New Roman"/>
                <w:sz w:val="16"/>
                <w:szCs w:val="16"/>
              </w:rPr>
            </w:pPr>
            <w:r w:rsidRPr="005A6322">
              <w:rPr>
                <w:rFonts w:ascii="Times New Roman" w:hAnsi="Times New Roman" w:cs="Times New Roman"/>
                <w:sz w:val="16"/>
                <w:szCs w:val="16"/>
              </w:rPr>
              <w:t>- Isoler les zones à risque ;</w:t>
            </w:r>
          </w:p>
          <w:p w:rsidR="005A6322" w:rsidRPr="005A6322" w:rsidRDefault="005A6322" w:rsidP="005A6322">
            <w:pPr>
              <w:spacing w:after="0" w:line="240" w:lineRule="auto"/>
              <w:jc w:val="both"/>
              <w:rPr>
                <w:rFonts w:ascii="Times New Roman" w:hAnsi="Times New Roman" w:cs="Times New Roman"/>
                <w:sz w:val="16"/>
                <w:szCs w:val="16"/>
              </w:rPr>
            </w:pPr>
            <w:r w:rsidRPr="005A6322">
              <w:rPr>
                <w:rFonts w:ascii="Times New Roman" w:hAnsi="Times New Roman" w:cs="Times New Roman"/>
                <w:sz w:val="16"/>
                <w:szCs w:val="16"/>
              </w:rPr>
              <w:t>-Suivre périodiquement la santé des travailleurs ;</w:t>
            </w:r>
          </w:p>
          <w:p w:rsidR="005A6322" w:rsidRPr="005A6322" w:rsidRDefault="005A6322" w:rsidP="005A6322">
            <w:pPr>
              <w:spacing w:after="0" w:line="240" w:lineRule="auto"/>
              <w:jc w:val="both"/>
              <w:rPr>
                <w:rFonts w:ascii="Times New Roman" w:hAnsi="Times New Roman" w:cs="Times New Roman"/>
                <w:sz w:val="16"/>
                <w:szCs w:val="16"/>
              </w:rPr>
            </w:pPr>
            <w:r w:rsidRPr="005A6322">
              <w:rPr>
                <w:rFonts w:ascii="Times New Roman" w:hAnsi="Times New Roman" w:cs="Times New Roman"/>
                <w:sz w:val="16"/>
                <w:szCs w:val="16"/>
              </w:rPr>
              <w:t>-Avoir une trousse de premier secours bien fournie ;</w:t>
            </w:r>
          </w:p>
          <w:p w:rsidR="005A6322" w:rsidRPr="005A6322" w:rsidRDefault="005A6322" w:rsidP="005A6322">
            <w:pPr>
              <w:spacing w:after="0" w:line="240" w:lineRule="auto"/>
              <w:jc w:val="both"/>
              <w:rPr>
                <w:rFonts w:ascii="Times New Roman" w:hAnsi="Times New Roman" w:cs="Times New Roman"/>
                <w:sz w:val="16"/>
                <w:szCs w:val="16"/>
              </w:rPr>
            </w:pPr>
            <w:r w:rsidRPr="005A6322">
              <w:rPr>
                <w:rFonts w:ascii="Times New Roman" w:hAnsi="Times New Roman" w:cs="Times New Roman"/>
                <w:sz w:val="16"/>
                <w:szCs w:val="16"/>
              </w:rPr>
              <w:t>-Former le personnel sur l’utilisation du matériel de secours ;</w:t>
            </w:r>
          </w:p>
          <w:p w:rsidR="005A6322" w:rsidRPr="005A6322" w:rsidRDefault="005A6322" w:rsidP="005A6322">
            <w:pPr>
              <w:spacing w:after="0" w:line="240" w:lineRule="auto"/>
              <w:jc w:val="both"/>
              <w:rPr>
                <w:rFonts w:ascii="Times New Roman" w:hAnsi="Times New Roman" w:cs="Times New Roman"/>
                <w:sz w:val="16"/>
                <w:szCs w:val="16"/>
              </w:rPr>
            </w:pPr>
            <w:r w:rsidRPr="005A6322">
              <w:rPr>
                <w:rFonts w:ascii="Times New Roman" w:hAnsi="Times New Roman" w:cs="Times New Roman"/>
                <w:sz w:val="16"/>
                <w:szCs w:val="16"/>
              </w:rPr>
              <w:t>-Signer une convention avec le centre de santé le plus proche ;</w:t>
            </w:r>
          </w:p>
          <w:p w:rsidR="005A6322" w:rsidRPr="005A6322" w:rsidRDefault="005A6322" w:rsidP="005A6322">
            <w:pPr>
              <w:spacing w:after="0" w:line="240" w:lineRule="auto"/>
              <w:jc w:val="both"/>
              <w:rPr>
                <w:rFonts w:ascii="Times New Roman" w:hAnsi="Times New Roman" w:cs="Times New Roman"/>
                <w:sz w:val="16"/>
                <w:szCs w:val="16"/>
              </w:rPr>
            </w:pPr>
            <w:r w:rsidRPr="005A6322">
              <w:rPr>
                <w:rFonts w:ascii="Times New Roman" w:hAnsi="Times New Roman" w:cs="Times New Roman"/>
                <w:sz w:val="16"/>
                <w:szCs w:val="16"/>
              </w:rPr>
              <w:t>-Organiser des campagnes de sensibilisation contre le SIDA ;</w:t>
            </w:r>
          </w:p>
          <w:p w:rsidR="005A6322" w:rsidRPr="005A6322" w:rsidRDefault="005A6322" w:rsidP="005A6322">
            <w:pPr>
              <w:spacing w:after="0" w:line="240" w:lineRule="auto"/>
              <w:jc w:val="both"/>
              <w:rPr>
                <w:rFonts w:ascii="Times New Roman" w:hAnsi="Times New Roman" w:cs="Times New Roman"/>
                <w:sz w:val="16"/>
                <w:szCs w:val="16"/>
              </w:rPr>
            </w:pPr>
            <w:r w:rsidRPr="005A6322">
              <w:rPr>
                <w:rFonts w:ascii="Times New Roman" w:hAnsi="Times New Roman" w:cs="Times New Roman"/>
                <w:sz w:val="16"/>
                <w:szCs w:val="16"/>
              </w:rPr>
              <w:t>-Distribuer des préservatifs ;</w:t>
            </w:r>
          </w:p>
          <w:p w:rsidR="005A6322" w:rsidRPr="005A6322" w:rsidRDefault="005A6322" w:rsidP="005A6322">
            <w:pPr>
              <w:spacing w:after="0" w:line="240" w:lineRule="auto"/>
              <w:jc w:val="both"/>
              <w:rPr>
                <w:rFonts w:ascii="Times New Roman" w:hAnsi="Times New Roman" w:cs="Times New Roman"/>
                <w:sz w:val="16"/>
                <w:szCs w:val="16"/>
              </w:rPr>
            </w:pPr>
            <w:r w:rsidRPr="005A6322">
              <w:rPr>
                <w:rFonts w:ascii="Times New Roman" w:hAnsi="Times New Roman" w:cs="Times New Roman"/>
                <w:sz w:val="16"/>
                <w:szCs w:val="16"/>
              </w:rPr>
              <w:t>-Lutter contre la pratique du sexe de survie ;</w:t>
            </w:r>
          </w:p>
        </w:tc>
        <w:tc>
          <w:tcPr>
            <w:tcW w:w="3568" w:type="dxa"/>
            <w:tcBorders>
              <w:top w:val="single" w:sz="4" w:space="0" w:color="auto"/>
              <w:left w:val="single" w:sz="4" w:space="0" w:color="auto"/>
              <w:bottom w:val="single" w:sz="4" w:space="0" w:color="auto"/>
              <w:right w:val="single" w:sz="4" w:space="0" w:color="auto"/>
            </w:tcBorders>
            <w:vAlign w:val="center"/>
          </w:tcPr>
          <w:p w:rsidR="005A6322" w:rsidRPr="005A6322" w:rsidRDefault="005A6322" w:rsidP="005A6322">
            <w:pPr>
              <w:spacing w:after="0" w:line="240" w:lineRule="auto"/>
              <w:jc w:val="both"/>
              <w:rPr>
                <w:rFonts w:ascii="Times New Roman" w:hAnsi="Times New Roman" w:cs="Times New Roman"/>
                <w:sz w:val="16"/>
                <w:szCs w:val="16"/>
              </w:rPr>
            </w:pPr>
            <w:r w:rsidRPr="005A6322">
              <w:rPr>
                <w:rFonts w:ascii="Times New Roman" w:hAnsi="Times New Roman" w:cs="Times New Roman"/>
                <w:sz w:val="16"/>
                <w:szCs w:val="16"/>
              </w:rPr>
              <w:t>-Nombre de plainte reçu ;</w:t>
            </w:r>
          </w:p>
          <w:p w:rsidR="005A6322" w:rsidRPr="005A6322" w:rsidRDefault="005A6322" w:rsidP="005A6322">
            <w:pPr>
              <w:spacing w:after="0" w:line="240" w:lineRule="auto"/>
              <w:jc w:val="both"/>
              <w:rPr>
                <w:rFonts w:ascii="Times New Roman" w:hAnsi="Times New Roman" w:cs="Times New Roman"/>
                <w:sz w:val="16"/>
                <w:szCs w:val="16"/>
              </w:rPr>
            </w:pPr>
            <w:r w:rsidRPr="005A6322">
              <w:rPr>
                <w:rFonts w:ascii="Times New Roman" w:hAnsi="Times New Roman" w:cs="Times New Roman"/>
                <w:sz w:val="16"/>
                <w:szCs w:val="16"/>
              </w:rPr>
              <w:t>- Nombre d’accident signalé ;</w:t>
            </w:r>
          </w:p>
          <w:p w:rsidR="005A6322" w:rsidRPr="005A6322" w:rsidRDefault="005A6322" w:rsidP="005A6322">
            <w:pPr>
              <w:spacing w:after="0" w:line="240" w:lineRule="auto"/>
              <w:jc w:val="both"/>
              <w:rPr>
                <w:rFonts w:ascii="Times New Roman" w:hAnsi="Times New Roman" w:cs="Times New Roman"/>
                <w:sz w:val="16"/>
                <w:szCs w:val="16"/>
              </w:rPr>
            </w:pPr>
            <w:r w:rsidRPr="005A6322">
              <w:rPr>
                <w:rFonts w:ascii="Times New Roman" w:hAnsi="Times New Roman" w:cs="Times New Roman"/>
                <w:sz w:val="16"/>
                <w:szCs w:val="16"/>
              </w:rPr>
              <w:t>-Présence des panneaux de circulation ;</w:t>
            </w:r>
          </w:p>
          <w:p w:rsidR="005A6322" w:rsidRPr="005A6322" w:rsidRDefault="005A6322" w:rsidP="005A6322">
            <w:pPr>
              <w:spacing w:after="0" w:line="240" w:lineRule="auto"/>
              <w:jc w:val="both"/>
              <w:rPr>
                <w:rFonts w:ascii="Times New Roman" w:hAnsi="Times New Roman" w:cs="Times New Roman"/>
                <w:sz w:val="16"/>
                <w:szCs w:val="16"/>
              </w:rPr>
            </w:pPr>
            <w:r w:rsidRPr="005A6322">
              <w:rPr>
                <w:rFonts w:ascii="Times New Roman" w:hAnsi="Times New Roman" w:cs="Times New Roman"/>
                <w:sz w:val="16"/>
                <w:szCs w:val="16"/>
              </w:rPr>
              <w:t>-Port effectif d’EPI ;</w:t>
            </w:r>
          </w:p>
          <w:p w:rsidR="005A6322" w:rsidRPr="005A6322" w:rsidRDefault="005A6322" w:rsidP="005A6322">
            <w:pPr>
              <w:spacing w:after="0" w:line="240" w:lineRule="auto"/>
              <w:jc w:val="both"/>
              <w:rPr>
                <w:rFonts w:ascii="Times New Roman" w:hAnsi="Times New Roman" w:cs="Times New Roman"/>
                <w:sz w:val="16"/>
                <w:szCs w:val="16"/>
              </w:rPr>
            </w:pPr>
            <w:r w:rsidRPr="005A6322">
              <w:rPr>
                <w:rFonts w:ascii="Times New Roman" w:hAnsi="Times New Roman" w:cs="Times New Roman"/>
                <w:sz w:val="16"/>
                <w:szCs w:val="16"/>
              </w:rPr>
              <w:t>-Nombre de travailleurs portant leur EPI ;</w:t>
            </w:r>
          </w:p>
          <w:p w:rsidR="005A6322" w:rsidRPr="005A6322" w:rsidRDefault="005A6322" w:rsidP="005A6322">
            <w:pPr>
              <w:spacing w:after="0" w:line="240" w:lineRule="auto"/>
              <w:jc w:val="both"/>
              <w:rPr>
                <w:rFonts w:ascii="Times New Roman" w:hAnsi="Times New Roman" w:cs="Times New Roman"/>
                <w:sz w:val="16"/>
                <w:szCs w:val="16"/>
              </w:rPr>
            </w:pPr>
            <w:r w:rsidRPr="005A6322">
              <w:rPr>
                <w:rFonts w:ascii="Times New Roman" w:hAnsi="Times New Roman" w:cs="Times New Roman"/>
                <w:sz w:val="16"/>
                <w:szCs w:val="16"/>
              </w:rPr>
              <w:t>-Nombre de personnes formées ;</w:t>
            </w:r>
          </w:p>
          <w:p w:rsidR="005A6322" w:rsidRPr="005A6322" w:rsidRDefault="005A6322" w:rsidP="005A6322">
            <w:pPr>
              <w:spacing w:after="0" w:line="240" w:lineRule="auto"/>
              <w:jc w:val="both"/>
              <w:rPr>
                <w:rFonts w:ascii="Times New Roman" w:hAnsi="Times New Roman" w:cs="Times New Roman"/>
                <w:sz w:val="16"/>
                <w:szCs w:val="16"/>
              </w:rPr>
            </w:pPr>
            <w:r w:rsidRPr="005A6322">
              <w:rPr>
                <w:rFonts w:ascii="Times New Roman" w:hAnsi="Times New Roman" w:cs="Times New Roman"/>
                <w:sz w:val="16"/>
                <w:szCs w:val="16"/>
              </w:rPr>
              <w:t>-Nombre de consultation pour maladie ;</w:t>
            </w:r>
          </w:p>
          <w:p w:rsidR="005A6322" w:rsidRPr="005A6322" w:rsidRDefault="005A6322" w:rsidP="005A6322">
            <w:pPr>
              <w:spacing w:after="0" w:line="240" w:lineRule="auto"/>
              <w:jc w:val="both"/>
              <w:rPr>
                <w:rFonts w:ascii="Times New Roman" w:hAnsi="Times New Roman" w:cs="Times New Roman"/>
                <w:sz w:val="16"/>
                <w:szCs w:val="16"/>
              </w:rPr>
            </w:pPr>
            <w:r w:rsidRPr="005A6322">
              <w:rPr>
                <w:rFonts w:ascii="Times New Roman" w:hAnsi="Times New Roman" w:cs="Times New Roman"/>
                <w:sz w:val="16"/>
                <w:szCs w:val="16"/>
              </w:rPr>
              <w:t>-Présence de la trousse de secours ;</w:t>
            </w:r>
          </w:p>
          <w:p w:rsidR="005A6322" w:rsidRPr="005A6322" w:rsidRDefault="005A6322" w:rsidP="005A6322">
            <w:pPr>
              <w:spacing w:after="0" w:line="240" w:lineRule="auto"/>
              <w:jc w:val="both"/>
              <w:rPr>
                <w:rFonts w:ascii="Times New Roman" w:hAnsi="Times New Roman" w:cs="Times New Roman"/>
                <w:sz w:val="16"/>
                <w:szCs w:val="16"/>
              </w:rPr>
            </w:pPr>
            <w:r w:rsidRPr="005A6322">
              <w:rPr>
                <w:rFonts w:ascii="Times New Roman" w:hAnsi="Times New Roman" w:cs="Times New Roman"/>
                <w:sz w:val="16"/>
                <w:szCs w:val="16"/>
              </w:rPr>
              <w:t>-Copie des conventions signées ;</w:t>
            </w:r>
          </w:p>
          <w:p w:rsidR="005A6322" w:rsidRPr="005A6322" w:rsidRDefault="005A6322" w:rsidP="005A6322">
            <w:pPr>
              <w:spacing w:after="0" w:line="240" w:lineRule="auto"/>
              <w:jc w:val="both"/>
              <w:rPr>
                <w:rFonts w:ascii="Times New Roman" w:hAnsi="Times New Roman" w:cs="Times New Roman"/>
                <w:sz w:val="16"/>
                <w:szCs w:val="16"/>
              </w:rPr>
            </w:pPr>
            <w:r w:rsidRPr="005A6322">
              <w:rPr>
                <w:rFonts w:ascii="Times New Roman" w:hAnsi="Times New Roman" w:cs="Times New Roman"/>
                <w:sz w:val="16"/>
                <w:szCs w:val="16"/>
              </w:rPr>
              <w:t>-Nombre de personnes sensibilisées ;</w:t>
            </w:r>
          </w:p>
          <w:p w:rsidR="005A6322" w:rsidRPr="005A6322" w:rsidRDefault="005A6322" w:rsidP="005A6322">
            <w:pPr>
              <w:spacing w:after="0" w:line="240" w:lineRule="auto"/>
              <w:jc w:val="both"/>
              <w:rPr>
                <w:rFonts w:ascii="Times New Roman" w:hAnsi="Times New Roman" w:cs="Times New Roman"/>
                <w:sz w:val="16"/>
                <w:szCs w:val="16"/>
              </w:rPr>
            </w:pPr>
            <w:r w:rsidRPr="005A6322">
              <w:rPr>
                <w:rFonts w:ascii="Times New Roman" w:hAnsi="Times New Roman" w:cs="Times New Roman"/>
                <w:sz w:val="16"/>
                <w:szCs w:val="16"/>
              </w:rPr>
              <w:t>-Nombre de préservatifs distribués ;</w:t>
            </w:r>
          </w:p>
        </w:tc>
        <w:tc>
          <w:tcPr>
            <w:tcW w:w="1134"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5A6322" w:rsidRPr="005A6322" w:rsidRDefault="005A6322" w:rsidP="005A6322">
            <w:pPr>
              <w:spacing w:after="0" w:line="240" w:lineRule="auto"/>
              <w:jc w:val="center"/>
              <w:rPr>
                <w:rFonts w:ascii="Times New Roman" w:hAnsi="Times New Roman" w:cs="Times New Roman"/>
                <w:b/>
                <w:sz w:val="16"/>
                <w:szCs w:val="16"/>
              </w:rPr>
            </w:pPr>
            <w:r w:rsidRPr="005A6322">
              <w:rPr>
                <w:rFonts w:ascii="Times New Roman" w:hAnsi="Times New Roman" w:cs="Times New Roman"/>
                <w:b/>
                <w:sz w:val="16"/>
                <w:szCs w:val="16"/>
              </w:rPr>
              <w:t>Entreprise</w:t>
            </w:r>
          </w:p>
          <w:p w:rsidR="005A6322" w:rsidRPr="005A6322" w:rsidRDefault="005A6322" w:rsidP="005A6322">
            <w:pPr>
              <w:spacing w:after="0" w:line="240" w:lineRule="auto"/>
              <w:jc w:val="center"/>
              <w:rPr>
                <w:rFonts w:ascii="Times New Roman" w:hAnsi="Times New Roman" w:cs="Times New Roman"/>
                <w:b/>
                <w:sz w:val="16"/>
                <w:szCs w:val="16"/>
              </w:rPr>
            </w:pPr>
          </w:p>
        </w:tc>
        <w:tc>
          <w:tcPr>
            <w:tcW w:w="1120"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5A6322" w:rsidRPr="005A6322" w:rsidRDefault="005A6322" w:rsidP="005A6322">
            <w:pPr>
              <w:spacing w:after="0" w:line="240" w:lineRule="auto"/>
              <w:jc w:val="center"/>
              <w:rPr>
                <w:rFonts w:ascii="Times New Roman" w:hAnsi="Times New Roman" w:cs="Times New Roman"/>
                <w:b/>
                <w:sz w:val="16"/>
                <w:szCs w:val="16"/>
              </w:rPr>
            </w:pPr>
            <w:r w:rsidRPr="005A6322">
              <w:rPr>
                <w:rFonts w:ascii="Times New Roman" w:hAnsi="Times New Roman" w:cs="Times New Roman"/>
                <w:b/>
                <w:sz w:val="16"/>
                <w:szCs w:val="16"/>
              </w:rPr>
              <w:t>Comité de suivi</w:t>
            </w:r>
          </w:p>
          <w:p w:rsidR="005A6322" w:rsidRPr="005A6322" w:rsidRDefault="005A6322" w:rsidP="005A6322">
            <w:pPr>
              <w:spacing w:after="0" w:line="240" w:lineRule="auto"/>
              <w:jc w:val="center"/>
              <w:rPr>
                <w:rFonts w:ascii="Times New Roman" w:hAnsi="Times New Roman" w:cs="Times New Roman"/>
                <w:b/>
                <w:sz w:val="16"/>
                <w:szCs w:val="16"/>
              </w:rPr>
            </w:pPr>
          </w:p>
          <w:p w:rsidR="005A6322" w:rsidRPr="005A6322" w:rsidRDefault="005A6322" w:rsidP="005A6322">
            <w:pPr>
              <w:spacing w:after="0" w:line="240" w:lineRule="auto"/>
              <w:jc w:val="center"/>
              <w:rPr>
                <w:rFonts w:ascii="Times New Roman" w:hAnsi="Times New Roman" w:cs="Times New Roman"/>
                <w:b/>
                <w:sz w:val="16"/>
                <w:szCs w:val="16"/>
              </w:rPr>
            </w:pPr>
            <w:r w:rsidRPr="005A6322">
              <w:rPr>
                <w:rFonts w:ascii="Times New Roman" w:hAnsi="Times New Roman" w:cs="Times New Roman"/>
                <w:b/>
                <w:sz w:val="16"/>
                <w:szCs w:val="16"/>
              </w:rPr>
              <w:t>PUASEE-FA</w:t>
            </w:r>
          </w:p>
        </w:tc>
        <w:tc>
          <w:tcPr>
            <w:tcW w:w="1445" w:type="dxa"/>
            <w:tcBorders>
              <w:top w:val="single" w:sz="4" w:space="0" w:color="auto"/>
              <w:left w:val="single" w:sz="4" w:space="0" w:color="auto"/>
              <w:bottom w:val="single" w:sz="4" w:space="0" w:color="auto"/>
              <w:right w:val="single" w:sz="4" w:space="0" w:color="auto"/>
            </w:tcBorders>
            <w:vAlign w:val="center"/>
          </w:tcPr>
          <w:p w:rsidR="005A6322" w:rsidRPr="005A6322" w:rsidRDefault="005A6322" w:rsidP="005A6322">
            <w:pPr>
              <w:spacing w:after="0" w:line="240" w:lineRule="auto"/>
              <w:jc w:val="center"/>
              <w:rPr>
                <w:rFonts w:ascii="Times New Roman" w:hAnsi="Times New Roman" w:cs="Times New Roman"/>
                <w:sz w:val="16"/>
                <w:szCs w:val="16"/>
              </w:rPr>
            </w:pPr>
            <w:r w:rsidRPr="005A6322">
              <w:rPr>
                <w:rFonts w:ascii="Times New Roman" w:hAnsi="Times New Roman" w:cs="Times New Roman"/>
                <w:sz w:val="16"/>
                <w:szCs w:val="16"/>
              </w:rPr>
              <w:t>Durant les travaux / Trimestrielle</w:t>
            </w:r>
          </w:p>
        </w:tc>
        <w:tc>
          <w:tcPr>
            <w:tcW w:w="112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5A6322" w:rsidRPr="005A6322" w:rsidRDefault="005A6322" w:rsidP="005A6322">
            <w:pPr>
              <w:spacing w:after="0" w:line="240" w:lineRule="auto"/>
              <w:jc w:val="center"/>
              <w:rPr>
                <w:rFonts w:ascii="Times New Roman" w:hAnsi="Times New Roman" w:cs="Times New Roman"/>
                <w:b/>
                <w:sz w:val="16"/>
                <w:szCs w:val="16"/>
              </w:rPr>
            </w:pPr>
            <w:r w:rsidRPr="005A6322">
              <w:rPr>
                <w:rFonts w:ascii="Times New Roman" w:hAnsi="Times New Roman" w:cs="Times New Roman"/>
                <w:b/>
                <w:sz w:val="16"/>
                <w:szCs w:val="16"/>
              </w:rPr>
              <w:t>8 000 000</w:t>
            </w:r>
          </w:p>
        </w:tc>
      </w:tr>
      <w:tr w:rsidR="001A349D" w:rsidRPr="005A6322" w:rsidTr="001A349D">
        <w:trPr>
          <w:trHeight w:val="116"/>
          <w:jc w:val="center"/>
        </w:trPr>
        <w:tc>
          <w:tcPr>
            <w:tcW w:w="1212"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5A6322" w:rsidRPr="005A6322" w:rsidRDefault="005A6322" w:rsidP="005A6322">
            <w:pPr>
              <w:spacing w:after="0" w:line="240" w:lineRule="auto"/>
              <w:jc w:val="center"/>
              <w:rPr>
                <w:rFonts w:ascii="Times New Roman" w:hAnsi="Times New Roman" w:cs="Times New Roman"/>
                <w:b/>
                <w:bCs/>
                <w:sz w:val="16"/>
                <w:szCs w:val="16"/>
              </w:rPr>
            </w:pPr>
            <w:r w:rsidRPr="005A6322">
              <w:rPr>
                <w:rFonts w:ascii="Times New Roman" w:hAnsi="Times New Roman" w:cs="Times New Roman"/>
                <w:b/>
                <w:bCs/>
                <w:sz w:val="16"/>
                <w:szCs w:val="16"/>
              </w:rPr>
              <w:t>Economie</w:t>
            </w:r>
          </w:p>
        </w:tc>
        <w:tc>
          <w:tcPr>
            <w:tcW w:w="2079" w:type="dxa"/>
            <w:tcBorders>
              <w:top w:val="single" w:sz="4" w:space="0" w:color="auto"/>
              <w:left w:val="single" w:sz="4" w:space="0" w:color="auto"/>
              <w:bottom w:val="single" w:sz="4" w:space="0" w:color="auto"/>
              <w:right w:val="single" w:sz="4" w:space="0" w:color="auto"/>
            </w:tcBorders>
            <w:vAlign w:val="center"/>
          </w:tcPr>
          <w:p w:rsidR="005A6322" w:rsidRPr="005A6322" w:rsidRDefault="005A6322" w:rsidP="005A6322">
            <w:pPr>
              <w:spacing w:after="0" w:line="240" w:lineRule="auto"/>
              <w:jc w:val="both"/>
              <w:rPr>
                <w:rFonts w:ascii="Times New Roman" w:hAnsi="Times New Roman" w:cs="Times New Roman"/>
                <w:sz w:val="16"/>
                <w:szCs w:val="16"/>
              </w:rPr>
            </w:pPr>
            <w:r w:rsidRPr="005A6322">
              <w:rPr>
                <w:rFonts w:ascii="Times New Roman" w:hAnsi="Times New Roman" w:cs="Times New Roman"/>
                <w:color w:val="000000"/>
                <w:sz w:val="16"/>
                <w:szCs w:val="16"/>
              </w:rPr>
              <w:t>Risque de perturbation des activités commerciales</w:t>
            </w:r>
          </w:p>
        </w:tc>
        <w:tc>
          <w:tcPr>
            <w:tcW w:w="4335" w:type="dxa"/>
            <w:tcBorders>
              <w:top w:val="single" w:sz="4" w:space="0" w:color="auto"/>
              <w:left w:val="single" w:sz="4" w:space="0" w:color="auto"/>
              <w:bottom w:val="single" w:sz="4" w:space="0" w:color="auto"/>
              <w:right w:val="single" w:sz="4" w:space="0" w:color="auto"/>
            </w:tcBorders>
            <w:vAlign w:val="center"/>
          </w:tcPr>
          <w:p w:rsidR="005A6322" w:rsidRPr="005A6322" w:rsidRDefault="005A6322" w:rsidP="005A6322">
            <w:pPr>
              <w:spacing w:after="0" w:line="240" w:lineRule="auto"/>
              <w:jc w:val="both"/>
              <w:rPr>
                <w:rFonts w:ascii="Times New Roman" w:hAnsi="Times New Roman" w:cs="Times New Roman"/>
                <w:sz w:val="16"/>
                <w:szCs w:val="16"/>
              </w:rPr>
            </w:pPr>
            <w:r w:rsidRPr="005A6322">
              <w:rPr>
                <w:rFonts w:ascii="Times New Roman" w:hAnsi="Times New Roman" w:cs="Times New Roman"/>
                <w:sz w:val="16"/>
                <w:szCs w:val="16"/>
              </w:rPr>
              <w:t>-Informer les commerçants qui seront impactés avant le démarrage des travaux ;</w:t>
            </w:r>
          </w:p>
          <w:p w:rsidR="005A6322" w:rsidRPr="005A6322" w:rsidRDefault="005A6322" w:rsidP="005A6322">
            <w:pPr>
              <w:spacing w:after="0" w:line="240" w:lineRule="auto"/>
              <w:jc w:val="both"/>
              <w:rPr>
                <w:rFonts w:ascii="Times New Roman" w:hAnsi="Times New Roman" w:cs="Times New Roman"/>
                <w:sz w:val="16"/>
                <w:szCs w:val="16"/>
              </w:rPr>
            </w:pPr>
            <w:r w:rsidRPr="005A6322">
              <w:rPr>
                <w:rFonts w:ascii="Times New Roman" w:hAnsi="Times New Roman" w:cs="Times New Roman"/>
                <w:sz w:val="16"/>
                <w:szCs w:val="16"/>
              </w:rPr>
              <w:t xml:space="preserve">-Eviter de bloquer les accès aux commerces ou une simple entrave à la circulation des biens et des personnes (surtout à Safim) ; </w:t>
            </w:r>
          </w:p>
          <w:p w:rsidR="005A6322" w:rsidRPr="005A6322" w:rsidRDefault="005A6322" w:rsidP="005A6322">
            <w:pPr>
              <w:spacing w:after="0" w:line="240" w:lineRule="auto"/>
              <w:jc w:val="both"/>
              <w:rPr>
                <w:rFonts w:ascii="Times New Roman" w:hAnsi="Times New Roman" w:cs="Times New Roman"/>
                <w:sz w:val="16"/>
                <w:szCs w:val="16"/>
              </w:rPr>
            </w:pPr>
            <w:r w:rsidRPr="005A6322">
              <w:rPr>
                <w:rFonts w:ascii="Times New Roman" w:hAnsi="Times New Roman" w:cs="Times New Roman"/>
                <w:sz w:val="16"/>
                <w:szCs w:val="16"/>
              </w:rPr>
              <w:t>-Mettre en œuvre le PAR ;</w:t>
            </w:r>
          </w:p>
        </w:tc>
        <w:tc>
          <w:tcPr>
            <w:tcW w:w="3568" w:type="dxa"/>
            <w:tcBorders>
              <w:top w:val="single" w:sz="4" w:space="0" w:color="auto"/>
              <w:left w:val="single" w:sz="4" w:space="0" w:color="auto"/>
              <w:bottom w:val="single" w:sz="4" w:space="0" w:color="auto"/>
              <w:right w:val="single" w:sz="4" w:space="0" w:color="auto"/>
            </w:tcBorders>
            <w:vAlign w:val="center"/>
          </w:tcPr>
          <w:p w:rsidR="005A6322" w:rsidRPr="005A6322" w:rsidRDefault="005A6322" w:rsidP="005A6322">
            <w:pPr>
              <w:spacing w:after="0" w:line="240" w:lineRule="auto"/>
              <w:jc w:val="both"/>
              <w:rPr>
                <w:rFonts w:ascii="Times New Roman" w:hAnsi="Times New Roman" w:cs="Times New Roman"/>
                <w:sz w:val="16"/>
                <w:szCs w:val="16"/>
              </w:rPr>
            </w:pPr>
            <w:r w:rsidRPr="005A6322">
              <w:rPr>
                <w:rFonts w:ascii="Times New Roman" w:hAnsi="Times New Roman" w:cs="Times New Roman"/>
                <w:sz w:val="16"/>
                <w:szCs w:val="16"/>
              </w:rPr>
              <w:t>-Nombre de commerçants informés ;</w:t>
            </w:r>
          </w:p>
          <w:p w:rsidR="005A6322" w:rsidRPr="005A6322" w:rsidRDefault="005A6322" w:rsidP="005A6322">
            <w:pPr>
              <w:spacing w:after="0" w:line="240" w:lineRule="auto"/>
              <w:jc w:val="both"/>
              <w:rPr>
                <w:rFonts w:ascii="Times New Roman" w:hAnsi="Times New Roman" w:cs="Times New Roman"/>
                <w:sz w:val="16"/>
                <w:szCs w:val="16"/>
              </w:rPr>
            </w:pPr>
            <w:r w:rsidRPr="005A6322">
              <w:rPr>
                <w:rFonts w:ascii="Times New Roman" w:hAnsi="Times New Roman" w:cs="Times New Roman"/>
                <w:sz w:val="16"/>
                <w:szCs w:val="16"/>
              </w:rPr>
              <w:t>-Pas d’accès bloqué ;</w:t>
            </w:r>
          </w:p>
          <w:p w:rsidR="005A6322" w:rsidRPr="005A6322" w:rsidRDefault="005A6322" w:rsidP="005A6322">
            <w:pPr>
              <w:spacing w:after="0" w:line="240" w:lineRule="auto"/>
              <w:jc w:val="both"/>
              <w:rPr>
                <w:rFonts w:ascii="Times New Roman" w:hAnsi="Times New Roman" w:cs="Times New Roman"/>
                <w:sz w:val="16"/>
                <w:szCs w:val="16"/>
              </w:rPr>
            </w:pPr>
            <w:r w:rsidRPr="005A6322">
              <w:rPr>
                <w:rFonts w:ascii="Times New Roman" w:hAnsi="Times New Roman" w:cs="Times New Roman"/>
                <w:sz w:val="16"/>
                <w:szCs w:val="16"/>
              </w:rPr>
              <w:t>-Mise en œuvre du PAR effectif ;</w:t>
            </w:r>
          </w:p>
          <w:p w:rsidR="005A6322" w:rsidRPr="005A6322" w:rsidRDefault="005A6322" w:rsidP="005A6322">
            <w:pPr>
              <w:spacing w:after="0" w:line="240" w:lineRule="auto"/>
              <w:jc w:val="both"/>
              <w:rPr>
                <w:rFonts w:ascii="Times New Roman" w:hAnsi="Times New Roman" w:cs="Times New Roman"/>
                <w:sz w:val="16"/>
                <w:szCs w:val="16"/>
              </w:rPr>
            </w:pPr>
            <w:r w:rsidRPr="005A6322">
              <w:rPr>
                <w:rFonts w:ascii="Times New Roman" w:hAnsi="Times New Roman" w:cs="Times New Roman"/>
                <w:sz w:val="16"/>
                <w:szCs w:val="16"/>
              </w:rPr>
              <w:t>-PV d’indemnisation des PAPs</w:t>
            </w:r>
          </w:p>
        </w:tc>
        <w:tc>
          <w:tcPr>
            <w:tcW w:w="1134"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5A6322" w:rsidRPr="005A6322" w:rsidRDefault="005A6322" w:rsidP="005A6322">
            <w:pPr>
              <w:spacing w:after="0" w:line="240" w:lineRule="auto"/>
              <w:jc w:val="center"/>
              <w:rPr>
                <w:rFonts w:ascii="Times New Roman" w:hAnsi="Times New Roman" w:cs="Times New Roman"/>
                <w:b/>
                <w:sz w:val="16"/>
                <w:szCs w:val="16"/>
              </w:rPr>
            </w:pPr>
            <w:r w:rsidRPr="005A6322">
              <w:rPr>
                <w:rFonts w:ascii="Times New Roman" w:hAnsi="Times New Roman" w:cs="Times New Roman"/>
                <w:b/>
                <w:sz w:val="16"/>
                <w:szCs w:val="16"/>
              </w:rPr>
              <w:t>Entreprise</w:t>
            </w:r>
          </w:p>
          <w:p w:rsidR="005A6322" w:rsidRPr="005A6322" w:rsidRDefault="005A6322" w:rsidP="005A6322">
            <w:pPr>
              <w:spacing w:after="0" w:line="240" w:lineRule="auto"/>
              <w:jc w:val="center"/>
              <w:rPr>
                <w:rFonts w:ascii="Times New Roman" w:hAnsi="Times New Roman" w:cs="Times New Roman"/>
                <w:b/>
                <w:sz w:val="16"/>
                <w:szCs w:val="16"/>
              </w:rPr>
            </w:pPr>
            <w:r w:rsidRPr="005A6322">
              <w:rPr>
                <w:rFonts w:ascii="Times New Roman" w:hAnsi="Times New Roman" w:cs="Times New Roman"/>
                <w:b/>
                <w:sz w:val="16"/>
                <w:szCs w:val="16"/>
              </w:rPr>
              <w:t>PUASEE-FA</w:t>
            </w:r>
          </w:p>
        </w:tc>
        <w:tc>
          <w:tcPr>
            <w:tcW w:w="1120"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5A6322" w:rsidRPr="005A6322" w:rsidRDefault="005A6322" w:rsidP="005A6322">
            <w:pPr>
              <w:spacing w:after="0" w:line="240" w:lineRule="auto"/>
              <w:jc w:val="center"/>
              <w:rPr>
                <w:rFonts w:ascii="Times New Roman" w:hAnsi="Times New Roman" w:cs="Times New Roman"/>
                <w:b/>
                <w:sz w:val="16"/>
                <w:szCs w:val="16"/>
              </w:rPr>
            </w:pPr>
            <w:r w:rsidRPr="005A6322">
              <w:rPr>
                <w:rFonts w:ascii="Times New Roman" w:hAnsi="Times New Roman" w:cs="Times New Roman"/>
                <w:b/>
                <w:sz w:val="16"/>
                <w:szCs w:val="16"/>
              </w:rPr>
              <w:t>Comité de suivi</w:t>
            </w:r>
          </w:p>
          <w:p w:rsidR="005A6322" w:rsidRPr="005A6322" w:rsidRDefault="005A6322" w:rsidP="005A6322">
            <w:pPr>
              <w:spacing w:after="0" w:line="240" w:lineRule="auto"/>
              <w:jc w:val="center"/>
              <w:rPr>
                <w:rFonts w:ascii="Times New Roman" w:hAnsi="Times New Roman" w:cs="Times New Roman"/>
                <w:b/>
                <w:sz w:val="16"/>
                <w:szCs w:val="16"/>
              </w:rPr>
            </w:pPr>
          </w:p>
          <w:p w:rsidR="005A6322" w:rsidRPr="005A6322" w:rsidRDefault="005A6322" w:rsidP="005A6322">
            <w:pPr>
              <w:autoSpaceDE w:val="0"/>
              <w:autoSpaceDN w:val="0"/>
              <w:adjustRightInd w:val="0"/>
              <w:spacing w:after="0" w:line="240" w:lineRule="auto"/>
              <w:jc w:val="center"/>
              <w:rPr>
                <w:rFonts w:ascii="Times New Roman" w:hAnsi="Times New Roman" w:cs="Times New Roman"/>
                <w:b/>
                <w:sz w:val="16"/>
                <w:szCs w:val="16"/>
              </w:rPr>
            </w:pPr>
          </w:p>
        </w:tc>
        <w:tc>
          <w:tcPr>
            <w:tcW w:w="1445" w:type="dxa"/>
            <w:tcBorders>
              <w:top w:val="single" w:sz="4" w:space="0" w:color="auto"/>
              <w:left w:val="single" w:sz="4" w:space="0" w:color="auto"/>
              <w:bottom w:val="single" w:sz="4" w:space="0" w:color="auto"/>
              <w:right w:val="single" w:sz="4" w:space="0" w:color="auto"/>
            </w:tcBorders>
            <w:vAlign w:val="center"/>
          </w:tcPr>
          <w:p w:rsidR="005A6322" w:rsidRPr="005A6322" w:rsidRDefault="005A6322" w:rsidP="005A6322">
            <w:pPr>
              <w:spacing w:after="0" w:line="240" w:lineRule="auto"/>
              <w:jc w:val="center"/>
              <w:rPr>
                <w:rFonts w:ascii="Times New Roman" w:hAnsi="Times New Roman" w:cs="Times New Roman"/>
                <w:sz w:val="16"/>
                <w:szCs w:val="16"/>
              </w:rPr>
            </w:pPr>
            <w:r w:rsidRPr="005A6322">
              <w:rPr>
                <w:rFonts w:ascii="Times New Roman" w:hAnsi="Times New Roman" w:cs="Times New Roman"/>
                <w:sz w:val="16"/>
                <w:szCs w:val="16"/>
              </w:rPr>
              <w:t>Durant les travaux / Trimestrielle</w:t>
            </w:r>
          </w:p>
        </w:tc>
        <w:tc>
          <w:tcPr>
            <w:tcW w:w="112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5A6322" w:rsidRPr="005A6322" w:rsidRDefault="005A6322" w:rsidP="005A6322">
            <w:pPr>
              <w:spacing w:after="0" w:line="240" w:lineRule="auto"/>
              <w:jc w:val="center"/>
              <w:rPr>
                <w:rFonts w:ascii="Times New Roman" w:hAnsi="Times New Roman" w:cs="Times New Roman"/>
                <w:b/>
                <w:sz w:val="16"/>
                <w:szCs w:val="16"/>
              </w:rPr>
            </w:pPr>
            <w:r w:rsidRPr="005A6322">
              <w:rPr>
                <w:rFonts w:ascii="Times New Roman" w:hAnsi="Times New Roman" w:cs="Times New Roman"/>
                <w:b/>
                <w:sz w:val="16"/>
                <w:szCs w:val="16"/>
              </w:rPr>
              <w:t>4 000 000</w:t>
            </w:r>
          </w:p>
        </w:tc>
      </w:tr>
      <w:tr w:rsidR="001A349D" w:rsidRPr="005A6322" w:rsidTr="001A349D">
        <w:trPr>
          <w:trHeight w:val="185"/>
          <w:jc w:val="center"/>
        </w:trPr>
        <w:tc>
          <w:tcPr>
            <w:tcW w:w="1212"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5A6322" w:rsidRPr="005A6322" w:rsidRDefault="005A6322" w:rsidP="005A6322">
            <w:pPr>
              <w:spacing w:after="0" w:line="240" w:lineRule="auto"/>
              <w:jc w:val="center"/>
              <w:rPr>
                <w:rFonts w:ascii="Times New Roman" w:hAnsi="Times New Roman" w:cs="Times New Roman"/>
                <w:b/>
                <w:bCs/>
                <w:sz w:val="16"/>
                <w:szCs w:val="16"/>
              </w:rPr>
            </w:pPr>
            <w:r w:rsidRPr="005A6322">
              <w:rPr>
                <w:rFonts w:ascii="Times New Roman" w:hAnsi="Times New Roman" w:cs="Times New Roman"/>
                <w:b/>
                <w:bCs/>
                <w:sz w:val="16"/>
                <w:szCs w:val="16"/>
              </w:rPr>
              <w:t>Humain</w:t>
            </w:r>
          </w:p>
        </w:tc>
        <w:tc>
          <w:tcPr>
            <w:tcW w:w="2079" w:type="dxa"/>
            <w:tcBorders>
              <w:top w:val="single" w:sz="4" w:space="0" w:color="auto"/>
              <w:left w:val="single" w:sz="4" w:space="0" w:color="auto"/>
              <w:bottom w:val="single" w:sz="4" w:space="0" w:color="auto"/>
              <w:right w:val="single" w:sz="4" w:space="0" w:color="auto"/>
            </w:tcBorders>
            <w:vAlign w:val="center"/>
          </w:tcPr>
          <w:p w:rsidR="005A6322" w:rsidRPr="005A6322" w:rsidRDefault="005A6322" w:rsidP="005A6322">
            <w:pPr>
              <w:spacing w:after="0" w:line="240" w:lineRule="auto"/>
              <w:jc w:val="center"/>
              <w:rPr>
                <w:rFonts w:ascii="Times New Roman" w:hAnsi="Times New Roman" w:cs="Times New Roman"/>
                <w:sz w:val="16"/>
                <w:szCs w:val="16"/>
              </w:rPr>
            </w:pPr>
            <w:r w:rsidRPr="005A6322">
              <w:rPr>
                <w:rFonts w:ascii="Times New Roman" w:hAnsi="Times New Roman" w:cs="Times New Roman"/>
                <w:sz w:val="16"/>
                <w:szCs w:val="16"/>
              </w:rPr>
              <w:t>Risques de perte de terre</w:t>
            </w:r>
          </w:p>
        </w:tc>
        <w:tc>
          <w:tcPr>
            <w:tcW w:w="4335" w:type="dxa"/>
            <w:tcBorders>
              <w:top w:val="single" w:sz="4" w:space="0" w:color="auto"/>
              <w:left w:val="single" w:sz="4" w:space="0" w:color="auto"/>
              <w:bottom w:val="single" w:sz="4" w:space="0" w:color="auto"/>
              <w:right w:val="single" w:sz="4" w:space="0" w:color="auto"/>
            </w:tcBorders>
            <w:vAlign w:val="center"/>
          </w:tcPr>
          <w:p w:rsidR="005A6322" w:rsidRPr="005A6322" w:rsidRDefault="005A6322" w:rsidP="005A6322">
            <w:pPr>
              <w:spacing w:after="0" w:line="240" w:lineRule="auto"/>
              <w:jc w:val="both"/>
              <w:rPr>
                <w:rFonts w:ascii="Times New Roman" w:hAnsi="Times New Roman" w:cs="Times New Roman"/>
                <w:sz w:val="16"/>
                <w:szCs w:val="16"/>
              </w:rPr>
            </w:pPr>
            <w:r w:rsidRPr="005A6322">
              <w:rPr>
                <w:rFonts w:ascii="Times New Roman" w:hAnsi="Times New Roman" w:cs="Times New Roman"/>
                <w:sz w:val="16"/>
                <w:szCs w:val="16"/>
              </w:rPr>
              <w:t>-Recenser et sensibiliser les parties affectées ;</w:t>
            </w:r>
          </w:p>
          <w:p w:rsidR="005A6322" w:rsidRPr="005A6322" w:rsidRDefault="005A6322" w:rsidP="005A6322">
            <w:pPr>
              <w:spacing w:after="0" w:line="240" w:lineRule="auto"/>
              <w:jc w:val="both"/>
              <w:rPr>
                <w:rFonts w:ascii="Times New Roman" w:hAnsi="Times New Roman" w:cs="Times New Roman"/>
                <w:sz w:val="16"/>
                <w:szCs w:val="16"/>
              </w:rPr>
            </w:pPr>
            <w:r w:rsidRPr="005A6322">
              <w:rPr>
                <w:rFonts w:ascii="Times New Roman" w:hAnsi="Times New Roman" w:cs="Times New Roman"/>
                <w:sz w:val="16"/>
                <w:szCs w:val="16"/>
              </w:rPr>
              <w:t>-Envisager la compensation financière des pertes ;</w:t>
            </w:r>
          </w:p>
          <w:p w:rsidR="005A6322" w:rsidRPr="005A6322" w:rsidRDefault="005A6322" w:rsidP="005A6322">
            <w:pPr>
              <w:spacing w:after="0" w:line="240" w:lineRule="auto"/>
              <w:jc w:val="both"/>
              <w:rPr>
                <w:rFonts w:ascii="Times New Roman" w:hAnsi="Times New Roman" w:cs="Times New Roman"/>
                <w:sz w:val="16"/>
                <w:szCs w:val="16"/>
              </w:rPr>
            </w:pPr>
            <w:r w:rsidRPr="005A6322">
              <w:rPr>
                <w:rFonts w:ascii="Times New Roman" w:hAnsi="Times New Roman" w:cs="Times New Roman"/>
                <w:sz w:val="16"/>
                <w:szCs w:val="16"/>
              </w:rPr>
              <w:t>- Mettre en œuvre le PAR ;</w:t>
            </w:r>
          </w:p>
          <w:p w:rsidR="005A6322" w:rsidRPr="005A6322" w:rsidRDefault="005A6322" w:rsidP="005A6322">
            <w:pPr>
              <w:spacing w:after="0" w:line="240" w:lineRule="auto"/>
              <w:jc w:val="both"/>
              <w:rPr>
                <w:rFonts w:ascii="Times New Roman" w:hAnsi="Times New Roman" w:cs="Times New Roman"/>
                <w:sz w:val="16"/>
                <w:szCs w:val="16"/>
              </w:rPr>
            </w:pPr>
            <w:r w:rsidRPr="005A6322">
              <w:rPr>
                <w:rFonts w:ascii="Times New Roman" w:hAnsi="Times New Roman" w:cs="Times New Roman"/>
                <w:sz w:val="16"/>
                <w:szCs w:val="16"/>
              </w:rPr>
              <w:t>-Impliquer les autorités administratives et locales ;</w:t>
            </w:r>
          </w:p>
        </w:tc>
        <w:tc>
          <w:tcPr>
            <w:tcW w:w="3568" w:type="dxa"/>
            <w:tcBorders>
              <w:top w:val="single" w:sz="4" w:space="0" w:color="auto"/>
              <w:left w:val="single" w:sz="4" w:space="0" w:color="auto"/>
              <w:bottom w:val="single" w:sz="4" w:space="0" w:color="auto"/>
              <w:right w:val="single" w:sz="4" w:space="0" w:color="auto"/>
            </w:tcBorders>
            <w:vAlign w:val="center"/>
          </w:tcPr>
          <w:p w:rsidR="005A6322" w:rsidRPr="005A6322" w:rsidRDefault="005A6322" w:rsidP="005A6322">
            <w:pPr>
              <w:spacing w:after="0" w:line="240" w:lineRule="auto"/>
              <w:jc w:val="both"/>
              <w:rPr>
                <w:rFonts w:ascii="Times New Roman" w:hAnsi="Times New Roman" w:cs="Times New Roman"/>
                <w:sz w:val="16"/>
                <w:szCs w:val="16"/>
              </w:rPr>
            </w:pPr>
            <w:r w:rsidRPr="005A6322">
              <w:rPr>
                <w:rFonts w:ascii="Times New Roman" w:hAnsi="Times New Roman" w:cs="Times New Roman"/>
                <w:sz w:val="16"/>
                <w:szCs w:val="16"/>
              </w:rPr>
              <w:t>-Nombre d’impactés recensés ;</w:t>
            </w:r>
          </w:p>
          <w:p w:rsidR="005A6322" w:rsidRPr="005A6322" w:rsidRDefault="005A6322" w:rsidP="005A6322">
            <w:pPr>
              <w:spacing w:after="0" w:line="240" w:lineRule="auto"/>
              <w:jc w:val="both"/>
              <w:rPr>
                <w:rFonts w:ascii="Times New Roman" w:hAnsi="Times New Roman" w:cs="Times New Roman"/>
                <w:sz w:val="16"/>
                <w:szCs w:val="16"/>
              </w:rPr>
            </w:pPr>
            <w:r w:rsidRPr="005A6322">
              <w:rPr>
                <w:rFonts w:ascii="Times New Roman" w:hAnsi="Times New Roman" w:cs="Times New Roman"/>
                <w:sz w:val="16"/>
                <w:szCs w:val="16"/>
              </w:rPr>
              <w:t>-les PV signés par l’ensemble des acteurs ;</w:t>
            </w:r>
          </w:p>
          <w:p w:rsidR="005A6322" w:rsidRPr="005A6322" w:rsidRDefault="005A6322" w:rsidP="005A6322">
            <w:pPr>
              <w:spacing w:after="0" w:line="240" w:lineRule="auto"/>
              <w:jc w:val="both"/>
              <w:rPr>
                <w:rFonts w:ascii="Times New Roman" w:hAnsi="Times New Roman" w:cs="Times New Roman"/>
                <w:sz w:val="16"/>
                <w:szCs w:val="16"/>
              </w:rPr>
            </w:pPr>
            <w:r w:rsidRPr="005A6322">
              <w:rPr>
                <w:rFonts w:ascii="Times New Roman" w:hAnsi="Times New Roman" w:cs="Times New Roman"/>
                <w:sz w:val="16"/>
                <w:szCs w:val="16"/>
              </w:rPr>
              <w:t>-Nombre de personnes indemnisées ;</w:t>
            </w:r>
          </w:p>
        </w:tc>
        <w:tc>
          <w:tcPr>
            <w:tcW w:w="1134"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5A6322" w:rsidRPr="005A6322" w:rsidRDefault="005A6322" w:rsidP="005A6322">
            <w:pPr>
              <w:autoSpaceDE w:val="0"/>
              <w:autoSpaceDN w:val="0"/>
              <w:adjustRightInd w:val="0"/>
              <w:spacing w:after="0" w:line="240" w:lineRule="auto"/>
              <w:jc w:val="center"/>
              <w:rPr>
                <w:rFonts w:ascii="Times New Roman" w:hAnsi="Times New Roman" w:cs="Times New Roman"/>
                <w:b/>
                <w:sz w:val="16"/>
                <w:szCs w:val="16"/>
              </w:rPr>
            </w:pPr>
            <w:r w:rsidRPr="005A6322">
              <w:rPr>
                <w:rFonts w:ascii="Times New Roman" w:hAnsi="Times New Roman" w:cs="Times New Roman"/>
                <w:b/>
                <w:sz w:val="16"/>
                <w:szCs w:val="16"/>
              </w:rPr>
              <w:t>PUASEE-FA</w:t>
            </w:r>
          </w:p>
        </w:tc>
        <w:tc>
          <w:tcPr>
            <w:tcW w:w="1120"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5A6322" w:rsidRPr="005A6322" w:rsidRDefault="005A6322" w:rsidP="005A6322">
            <w:pPr>
              <w:autoSpaceDE w:val="0"/>
              <w:autoSpaceDN w:val="0"/>
              <w:adjustRightInd w:val="0"/>
              <w:spacing w:after="0" w:line="240" w:lineRule="auto"/>
              <w:jc w:val="center"/>
              <w:rPr>
                <w:rFonts w:ascii="Times New Roman" w:hAnsi="Times New Roman" w:cs="Times New Roman"/>
                <w:b/>
                <w:sz w:val="16"/>
                <w:szCs w:val="16"/>
              </w:rPr>
            </w:pPr>
            <w:r w:rsidRPr="005A6322">
              <w:rPr>
                <w:rFonts w:ascii="Times New Roman" w:hAnsi="Times New Roman" w:cs="Times New Roman"/>
                <w:b/>
                <w:sz w:val="16"/>
                <w:szCs w:val="16"/>
              </w:rPr>
              <w:t>Comité de suivi</w:t>
            </w:r>
          </w:p>
        </w:tc>
        <w:tc>
          <w:tcPr>
            <w:tcW w:w="1445" w:type="dxa"/>
            <w:tcBorders>
              <w:top w:val="single" w:sz="4" w:space="0" w:color="auto"/>
              <w:left w:val="single" w:sz="4" w:space="0" w:color="auto"/>
              <w:bottom w:val="single" w:sz="4" w:space="0" w:color="auto"/>
              <w:right w:val="single" w:sz="4" w:space="0" w:color="auto"/>
            </w:tcBorders>
            <w:vAlign w:val="center"/>
          </w:tcPr>
          <w:p w:rsidR="005A6322" w:rsidRPr="005A6322" w:rsidRDefault="005A6322" w:rsidP="005A6322">
            <w:pPr>
              <w:spacing w:after="0" w:line="240" w:lineRule="auto"/>
              <w:jc w:val="center"/>
              <w:rPr>
                <w:rFonts w:ascii="Times New Roman" w:hAnsi="Times New Roman" w:cs="Times New Roman"/>
                <w:sz w:val="16"/>
                <w:szCs w:val="16"/>
              </w:rPr>
            </w:pPr>
            <w:r w:rsidRPr="005A6322">
              <w:rPr>
                <w:rFonts w:ascii="Times New Roman" w:hAnsi="Times New Roman" w:cs="Times New Roman"/>
                <w:sz w:val="16"/>
                <w:szCs w:val="16"/>
              </w:rPr>
              <w:t>Avant les travaux</w:t>
            </w:r>
          </w:p>
        </w:tc>
        <w:tc>
          <w:tcPr>
            <w:tcW w:w="112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5A6322" w:rsidRPr="005A6322" w:rsidRDefault="005A6322" w:rsidP="005A6322">
            <w:pPr>
              <w:spacing w:after="0" w:line="240" w:lineRule="auto"/>
              <w:jc w:val="center"/>
              <w:rPr>
                <w:rFonts w:ascii="Times New Roman" w:hAnsi="Times New Roman" w:cs="Times New Roman"/>
                <w:b/>
                <w:sz w:val="16"/>
                <w:szCs w:val="16"/>
              </w:rPr>
            </w:pPr>
            <w:r w:rsidRPr="005A6322">
              <w:rPr>
                <w:rFonts w:ascii="Times New Roman" w:hAnsi="Times New Roman" w:cs="Times New Roman"/>
                <w:b/>
                <w:sz w:val="16"/>
                <w:szCs w:val="16"/>
              </w:rPr>
              <w:t>Coût associé au projet</w:t>
            </w:r>
          </w:p>
        </w:tc>
      </w:tr>
      <w:tr w:rsidR="001A349D" w:rsidRPr="005A6322" w:rsidTr="001A349D">
        <w:trPr>
          <w:trHeight w:val="70"/>
          <w:jc w:val="center"/>
        </w:trPr>
        <w:tc>
          <w:tcPr>
            <w:tcW w:w="1212"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5A6322" w:rsidRPr="005A6322" w:rsidRDefault="005A6322" w:rsidP="005A6322">
            <w:pPr>
              <w:spacing w:after="0" w:line="240" w:lineRule="auto"/>
              <w:jc w:val="center"/>
              <w:rPr>
                <w:rFonts w:ascii="Times New Roman" w:hAnsi="Times New Roman" w:cs="Times New Roman"/>
                <w:b/>
                <w:bCs/>
                <w:sz w:val="16"/>
                <w:szCs w:val="16"/>
              </w:rPr>
            </w:pPr>
            <w:r w:rsidRPr="005A6322">
              <w:rPr>
                <w:rFonts w:ascii="Times New Roman" w:hAnsi="Times New Roman" w:cs="Times New Roman"/>
                <w:b/>
                <w:bCs/>
                <w:sz w:val="16"/>
                <w:szCs w:val="16"/>
              </w:rPr>
              <w:t>Humain / économique</w:t>
            </w:r>
          </w:p>
        </w:tc>
        <w:tc>
          <w:tcPr>
            <w:tcW w:w="2079" w:type="dxa"/>
            <w:tcBorders>
              <w:top w:val="single" w:sz="4" w:space="0" w:color="auto"/>
              <w:left w:val="single" w:sz="4" w:space="0" w:color="auto"/>
              <w:bottom w:val="single" w:sz="4" w:space="0" w:color="auto"/>
              <w:right w:val="single" w:sz="4" w:space="0" w:color="auto"/>
            </w:tcBorders>
            <w:vAlign w:val="center"/>
          </w:tcPr>
          <w:p w:rsidR="005A6322" w:rsidRPr="005A6322" w:rsidRDefault="005A6322" w:rsidP="005A6322">
            <w:pPr>
              <w:spacing w:after="0" w:line="240" w:lineRule="auto"/>
              <w:jc w:val="both"/>
              <w:rPr>
                <w:rFonts w:ascii="Times New Roman" w:hAnsi="Times New Roman" w:cs="Times New Roman"/>
                <w:sz w:val="16"/>
                <w:szCs w:val="16"/>
              </w:rPr>
            </w:pPr>
            <w:r w:rsidRPr="005A6322">
              <w:rPr>
                <w:rFonts w:ascii="Times New Roman" w:hAnsi="Times New Roman" w:cs="Times New Roman"/>
                <w:sz w:val="16"/>
                <w:szCs w:val="16"/>
              </w:rPr>
              <w:t>Risque de perturbation/dégradation des réseaux des concessionnaires</w:t>
            </w:r>
          </w:p>
        </w:tc>
        <w:tc>
          <w:tcPr>
            <w:tcW w:w="4335" w:type="dxa"/>
            <w:tcBorders>
              <w:top w:val="single" w:sz="4" w:space="0" w:color="auto"/>
              <w:left w:val="single" w:sz="4" w:space="0" w:color="auto"/>
              <w:bottom w:val="single" w:sz="4" w:space="0" w:color="auto"/>
              <w:right w:val="single" w:sz="4" w:space="0" w:color="auto"/>
            </w:tcBorders>
            <w:vAlign w:val="center"/>
          </w:tcPr>
          <w:p w:rsidR="005A6322" w:rsidRPr="005A6322" w:rsidRDefault="005A6322" w:rsidP="005A6322">
            <w:pPr>
              <w:spacing w:after="0" w:line="240" w:lineRule="auto"/>
              <w:jc w:val="both"/>
              <w:rPr>
                <w:rFonts w:ascii="Times New Roman" w:hAnsi="Times New Roman" w:cs="Times New Roman"/>
                <w:sz w:val="16"/>
                <w:szCs w:val="16"/>
              </w:rPr>
            </w:pPr>
            <w:r w:rsidRPr="005A6322">
              <w:rPr>
                <w:rFonts w:ascii="Times New Roman" w:hAnsi="Times New Roman" w:cs="Times New Roman"/>
                <w:sz w:val="16"/>
                <w:szCs w:val="16"/>
              </w:rPr>
              <w:t>-Impliquer tous les concessionnaires lors du déroulement des travaux,</w:t>
            </w:r>
          </w:p>
          <w:p w:rsidR="005A6322" w:rsidRPr="005A6322" w:rsidRDefault="005A6322" w:rsidP="005A6322">
            <w:pPr>
              <w:spacing w:after="0" w:line="240" w:lineRule="auto"/>
              <w:jc w:val="both"/>
              <w:rPr>
                <w:rFonts w:ascii="Times New Roman" w:hAnsi="Times New Roman" w:cs="Times New Roman"/>
                <w:sz w:val="16"/>
                <w:szCs w:val="16"/>
              </w:rPr>
            </w:pPr>
            <w:r w:rsidRPr="005A6322">
              <w:rPr>
                <w:rFonts w:ascii="Times New Roman" w:hAnsi="Times New Roman" w:cs="Times New Roman"/>
                <w:sz w:val="16"/>
                <w:szCs w:val="16"/>
              </w:rPr>
              <w:t>-Eviter autant que possible de toucher les réseaux d’eau, d’électricité, d’assainissement, Télécommunication, etc.</w:t>
            </w:r>
          </w:p>
        </w:tc>
        <w:tc>
          <w:tcPr>
            <w:tcW w:w="3568" w:type="dxa"/>
            <w:tcBorders>
              <w:top w:val="single" w:sz="4" w:space="0" w:color="auto"/>
              <w:left w:val="single" w:sz="4" w:space="0" w:color="auto"/>
              <w:bottom w:val="single" w:sz="4" w:space="0" w:color="auto"/>
              <w:right w:val="single" w:sz="4" w:space="0" w:color="auto"/>
            </w:tcBorders>
            <w:vAlign w:val="center"/>
          </w:tcPr>
          <w:p w:rsidR="005A6322" w:rsidRPr="005A6322" w:rsidRDefault="005A6322" w:rsidP="005A6322">
            <w:pPr>
              <w:spacing w:after="0" w:line="240" w:lineRule="auto"/>
              <w:jc w:val="both"/>
              <w:rPr>
                <w:rFonts w:ascii="Times New Roman" w:hAnsi="Times New Roman" w:cs="Times New Roman"/>
                <w:sz w:val="16"/>
                <w:szCs w:val="16"/>
              </w:rPr>
            </w:pPr>
            <w:r w:rsidRPr="005A6322">
              <w:rPr>
                <w:rFonts w:ascii="Times New Roman" w:hAnsi="Times New Roman" w:cs="Times New Roman"/>
                <w:sz w:val="16"/>
                <w:szCs w:val="16"/>
              </w:rPr>
              <w:t>-Présence d’agent pour chaque concessionnaire ;</w:t>
            </w:r>
          </w:p>
          <w:p w:rsidR="005A6322" w:rsidRPr="005A6322" w:rsidRDefault="005A6322" w:rsidP="005A6322">
            <w:pPr>
              <w:spacing w:after="0" w:line="240" w:lineRule="auto"/>
              <w:jc w:val="both"/>
              <w:rPr>
                <w:rFonts w:ascii="Times New Roman" w:hAnsi="Times New Roman" w:cs="Times New Roman"/>
                <w:sz w:val="16"/>
                <w:szCs w:val="16"/>
              </w:rPr>
            </w:pPr>
            <w:r w:rsidRPr="005A6322">
              <w:rPr>
                <w:rFonts w:ascii="Times New Roman" w:hAnsi="Times New Roman" w:cs="Times New Roman"/>
                <w:sz w:val="16"/>
                <w:szCs w:val="16"/>
              </w:rPr>
              <w:t>-Nombre incident de coupure ou détérioration de réseau noté ;</w:t>
            </w:r>
          </w:p>
        </w:tc>
        <w:tc>
          <w:tcPr>
            <w:tcW w:w="1134"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5A6322" w:rsidRPr="005A6322" w:rsidRDefault="005A6322" w:rsidP="005A6322">
            <w:pPr>
              <w:spacing w:after="0" w:line="240" w:lineRule="auto"/>
              <w:jc w:val="center"/>
              <w:rPr>
                <w:rFonts w:ascii="Times New Roman" w:hAnsi="Times New Roman" w:cs="Times New Roman"/>
                <w:b/>
                <w:sz w:val="16"/>
                <w:szCs w:val="16"/>
              </w:rPr>
            </w:pPr>
            <w:r w:rsidRPr="005A6322">
              <w:rPr>
                <w:rFonts w:ascii="Times New Roman" w:hAnsi="Times New Roman" w:cs="Times New Roman"/>
                <w:b/>
                <w:sz w:val="16"/>
                <w:szCs w:val="16"/>
              </w:rPr>
              <w:t>Entreprise</w:t>
            </w:r>
          </w:p>
          <w:p w:rsidR="005A6322" w:rsidRPr="005A6322" w:rsidRDefault="005A6322" w:rsidP="005A6322">
            <w:pPr>
              <w:spacing w:after="0" w:line="240" w:lineRule="auto"/>
              <w:jc w:val="center"/>
              <w:rPr>
                <w:rFonts w:ascii="Times New Roman" w:hAnsi="Times New Roman" w:cs="Times New Roman"/>
                <w:b/>
                <w:sz w:val="16"/>
                <w:szCs w:val="16"/>
              </w:rPr>
            </w:pPr>
          </w:p>
          <w:p w:rsidR="005A6322" w:rsidRPr="005A6322" w:rsidRDefault="005A6322" w:rsidP="005A6322">
            <w:pPr>
              <w:spacing w:after="0" w:line="240" w:lineRule="auto"/>
              <w:jc w:val="center"/>
              <w:rPr>
                <w:rFonts w:ascii="Times New Roman" w:hAnsi="Times New Roman" w:cs="Times New Roman"/>
                <w:b/>
                <w:sz w:val="16"/>
                <w:szCs w:val="16"/>
              </w:rPr>
            </w:pPr>
            <w:r w:rsidRPr="005A6322">
              <w:rPr>
                <w:rFonts w:ascii="Times New Roman" w:hAnsi="Times New Roman" w:cs="Times New Roman"/>
                <w:b/>
                <w:sz w:val="16"/>
                <w:szCs w:val="16"/>
              </w:rPr>
              <w:t>PUASEE-FA</w:t>
            </w:r>
          </w:p>
        </w:tc>
        <w:tc>
          <w:tcPr>
            <w:tcW w:w="1120"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5A6322" w:rsidRPr="005A6322" w:rsidRDefault="005A6322" w:rsidP="005A6322">
            <w:pPr>
              <w:spacing w:after="0" w:line="240" w:lineRule="auto"/>
              <w:jc w:val="center"/>
              <w:rPr>
                <w:rFonts w:ascii="Times New Roman" w:hAnsi="Times New Roman" w:cs="Times New Roman"/>
                <w:b/>
                <w:sz w:val="16"/>
                <w:szCs w:val="16"/>
              </w:rPr>
            </w:pPr>
            <w:r w:rsidRPr="005A6322">
              <w:rPr>
                <w:rFonts w:ascii="Times New Roman" w:hAnsi="Times New Roman" w:cs="Times New Roman"/>
                <w:b/>
                <w:sz w:val="16"/>
                <w:szCs w:val="16"/>
              </w:rPr>
              <w:t>Comité de suivi</w:t>
            </w:r>
          </w:p>
          <w:p w:rsidR="005A6322" w:rsidRPr="005A6322" w:rsidRDefault="005A6322" w:rsidP="005A6322">
            <w:pPr>
              <w:spacing w:after="0" w:line="240" w:lineRule="auto"/>
              <w:jc w:val="center"/>
              <w:rPr>
                <w:rFonts w:ascii="Times New Roman" w:hAnsi="Times New Roman" w:cs="Times New Roman"/>
                <w:b/>
                <w:sz w:val="16"/>
                <w:szCs w:val="16"/>
              </w:rPr>
            </w:pPr>
          </w:p>
          <w:p w:rsidR="005A6322" w:rsidRPr="005A6322" w:rsidRDefault="005A6322" w:rsidP="005A6322">
            <w:pPr>
              <w:spacing w:after="0" w:line="240" w:lineRule="auto"/>
              <w:jc w:val="center"/>
              <w:rPr>
                <w:rFonts w:ascii="Times New Roman" w:hAnsi="Times New Roman" w:cs="Times New Roman"/>
                <w:b/>
                <w:sz w:val="16"/>
                <w:szCs w:val="16"/>
              </w:rPr>
            </w:pPr>
            <w:r w:rsidRPr="005A6322">
              <w:rPr>
                <w:rFonts w:ascii="Times New Roman" w:hAnsi="Times New Roman" w:cs="Times New Roman"/>
                <w:b/>
                <w:sz w:val="16"/>
                <w:szCs w:val="16"/>
              </w:rPr>
              <w:t>PUASEE-FA</w:t>
            </w:r>
          </w:p>
        </w:tc>
        <w:tc>
          <w:tcPr>
            <w:tcW w:w="1445" w:type="dxa"/>
            <w:tcBorders>
              <w:top w:val="single" w:sz="4" w:space="0" w:color="auto"/>
              <w:left w:val="single" w:sz="4" w:space="0" w:color="auto"/>
              <w:bottom w:val="single" w:sz="4" w:space="0" w:color="auto"/>
              <w:right w:val="single" w:sz="4" w:space="0" w:color="auto"/>
            </w:tcBorders>
            <w:vAlign w:val="center"/>
          </w:tcPr>
          <w:p w:rsidR="005A6322" w:rsidRPr="005A6322" w:rsidRDefault="005A6322" w:rsidP="005A6322">
            <w:pPr>
              <w:spacing w:after="0" w:line="240" w:lineRule="auto"/>
              <w:jc w:val="center"/>
              <w:rPr>
                <w:rFonts w:ascii="Times New Roman" w:hAnsi="Times New Roman" w:cs="Times New Roman"/>
                <w:sz w:val="16"/>
                <w:szCs w:val="16"/>
              </w:rPr>
            </w:pPr>
            <w:r w:rsidRPr="005A6322">
              <w:rPr>
                <w:rFonts w:ascii="Times New Roman" w:hAnsi="Times New Roman" w:cs="Times New Roman"/>
                <w:sz w:val="16"/>
                <w:szCs w:val="16"/>
              </w:rPr>
              <w:t>Au début et en continu</w:t>
            </w:r>
          </w:p>
        </w:tc>
        <w:tc>
          <w:tcPr>
            <w:tcW w:w="112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5A6322" w:rsidRPr="005A6322" w:rsidRDefault="005A6322" w:rsidP="005A6322">
            <w:pPr>
              <w:spacing w:after="0" w:line="240" w:lineRule="auto"/>
              <w:jc w:val="center"/>
              <w:rPr>
                <w:rFonts w:ascii="Times New Roman" w:hAnsi="Times New Roman" w:cs="Times New Roman"/>
                <w:b/>
                <w:sz w:val="16"/>
                <w:szCs w:val="16"/>
              </w:rPr>
            </w:pPr>
            <w:r w:rsidRPr="005A6322">
              <w:rPr>
                <w:rFonts w:ascii="Times New Roman" w:hAnsi="Times New Roman" w:cs="Times New Roman"/>
                <w:b/>
                <w:sz w:val="16"/>
                <w:szCs w:val="16"/>
              </w:rPr>
              <w:t>2 000 000</w:t>
            </w:r>
          </w:p>
        </w:tc>
      </w:tr>
      <w:tr w:rsidR="001A349D" w:rsidRPr="005A6322" w:rsidTr="001A349D">
        <w:trPr>
          <w:trHeight w:val="70"/>
          <w:jc w:val="center"/>
        </w:trPr>
        <w:tc>
          <w:tcPr>
            <w:tcW w:w="1212"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5A6322" w:rsidRPr="005A6322" w:rsidRDefault="005A6322" w:rsidP="005A6322">
            <w:pPr>
              <w:spacing w:after="0" w:line="240" w:lineRule="auto"/>
              <w:jc w:val="center"/>
              <w:rPr>
                <w:rFonts w:ascii="Times New Roman" w:hAnsi="Times New Roman" w:cs="Times New Roman"/>
                <w:b/>
                <w:bCs/>
                <w:sz w:val="16"/>
                <w:szCs w:val="16"/>
              </w:rPr>
            </w:pPr>
            <w:r w:rsidRPr="005A6322">
              <w:rPr>
                <w:rFonts w:ascii="Times New Roman" w:hAnsi="Times New Roman" w:cs="Times New Roman"/>
                <w:b/>
                <w:bCs/>
                <w:sz w:val="16"/>
                <w:szCs w:val="16"/>
              </w:rPr>
              <w:t>Humain</w:t>
            </w:r>
          </w:p>
        </w:tc>
        <w:tc>
          <w:tcPr>
            <w:tcW w:w="2079" w:type="dxa"/>
            <w:tcBorders>
              <w:top w:val="single" w:sz="4" w:space="0" w:color="auto"/>
              <w:left w:val="single" w:sz="4" w:space="0" w:color="auto"/>
              <w:bottom w:val="single" w:sz="4" w:space="0" w:color="auto"/>
              <w:right w:val="single" w:sz="4" w:space="0" w:color="auto"/>
            </w:tcBorders>
            <w:vAlign w:val="center"/>
          </w:tcPr>
          <w:p w:rsidR="005A6322" w:rsidRPr="005A6322" w:rsidRDefault="005A6322" w:rsidP="005A6322">
            <w:pPr>
              <w:spacing w:after="0" w:line="240" w:lineRule="auto"/>
              <w:jc w:val="both"/>
              <w:rPr>
                <w:rFonts w:ascii="Times New Roman" w:hAnsi="Times New Roman" w:cs="Times New Roman"/>
                <w:sz w:val="16"/>
                <w:szCs w:val="16"/>
              </w:rPr>
            </w:pPr>
            <w:r w:rsidRPr="005A6322">
              <w:rPr>
                <w:rFonts w:ascii="Times New Roman" w:hAnsi="Times New Roman" w:cs="Times New Roman"/>
                <w:sz w:val="16"/>
                <w:szCs w:val="16"/>
              </w:rPr>
              <w:t>Risque de conflits sociaux</w:t>
            </w:r>
          </w:p>
        </w:tc>
        <w:tc>
          <w:tcPr>
            <w:tcW w:w="4335" w:type="dxa"/>
            <w:tcBorders>
              <w:top w:val="single" w:sz="4" w:space="0" w:color="auto"/>
              <w:left w:val="single" w:sz="4" w:space="0" w:color="auto"/>
              <w:bottom w:val="single" w:sz="4" w:space="0" w:color="auto"/>
              <w:right w:val="single" w:sz="4" w:space="0" w:color="auto"/>
            </w:tcBorders>
            <w:vAlign w:val="center"/>
          </w:tcPr>
          <w:p w:rsidR="005A6322" w:rsidRPr="005A6322" w:rsidRDefault="005A6322" w:rsidP="005A6322">
            <w:pPr>
              <w:spacing w:after="0" w:line="240" w:lineRule="auto"/>
              <w:jc w:val="both"/>
              <w:rPr>
                <w:rFonts w:ascii="Times New Roman" w:hAnsi="Times New Roman" w:cs="Times New Roman"/>
                <w:sz w:val="16"/>
                <w:szCs w:val="16"/>
              </w:rPr>
            </w:pPr>
            <w:r w:rsidRPr="005A6322">
              <w:rPr>
                <w:rFonts w:ascii="Times New Roman" w:hAnsi="Times New Roman" w:cs="Times New Roman"/>
                <w:sz w:val="16"/>
                <w:szCs w:val="16"/>
              </w:rPr>
              <w:t>-Impliquer et sensibiliser les autorités locales, les chefs de village et la population sur tout le déroulement des activités du sous-projet n°1 ;</w:t>
            </w:r>
          </w:p>
          <w:p w:rsidR="005A6322" w:rsidRPr="005A6322" w:rsidRDefault="005A6322" w:rsidP="005A6322">
            <w:pPr>
              <w:spacing w:after="0" w:line="240" w:lineRule="auto"/>
              <w:jc w:val="both"/>
              <w:rPr>
                <w:rFonts w:ascii="Times New Roman" w:hAnsi="Times New Roman" w:cs="Times New Roman"/>
                <w:sz w:val="16"/>
                <w:szCs w:val="16"/>
              </w:rPr>
            </w:pPr>
            <w:r w:rsidRPr="005A6322">
              <w:rPr>
                <w:rFonts w:ascii="Times New Roman" w:hAnsi="Times New Roman" w:cs="Times New Roman"/>
                <w:sz w:val="16"/>
                <w:szCs w:val="16"/>
              </w:rPr>
              <w:t>-Respecter les avis et les recommandations des autorités locales et des populations.</w:t>
            </w:r>
          </w:p>
          <w:p w:rsidR="005A6322" w:rsidRPr="005A6322" w:rsidRDefault="005A6322" w:rsidP="005A6322">
            <w:pPr>
              <w:spacing w:after="0" w:line="240" w:lineRule="auto"/>
              <w:jc w:val="both"/>
              <w:rPr>
                <w:rFonts w:ascii="Times New Roman" w:hAnsi="Times New Roman" w:cs="Times New Roman"/>
                <w:sz w:val="16"/>
                <w:szCs w:val="16"/>
              </w:rPr>
            </w:pPr>
            <w:r w:rsidRPr="005A6322">
              <w:rPr>
                <w:rFonts w:ascii="Times New Roman" w:hAnsi="Times New Roman" w:cs="Times New Roman"/>
                <w:sz w:val="16"/>
                <w:szCs w:val="16"/>
              </w:rPr>
              <w:t xml:space="preserve">-Respecter les engagements pris par PUASEE-FA et les entreprises lors des rencontres ; </w:t>
            </w:r>
          </w:p>
          <w:p w:rsidR="005A6322" w:rsidRPr="005A6322" w:rsidRDefault="005A6322" w:rsidP="005A6322">
            <w:pPr>
              <w:spacing w:after="0" w:line="240" w:lineRule="auto"/>
              <w:jc w:val="both"/>
              <w:rPr>
                <w:rFonts w:ascii="Times New Roman" w:hAnsi="Times New Roman" w:cs="Times New Roman"/>
                <w:sz w:val="16"/>
                <w:szCs w:val="16"/>
              </w:rPr>
            </w:pPr>
            <w:r w:rsidRPr="005A6322">
              <w:rPr>
                <w:rFonts w:ascii="Times New Roman" w:hAnsi="Times New Roman" w:cs="Times New Roman"/>
                <w:sz w:val="16"/>
                <w:szCs w:val="16"/>
              </w:rPr>
              <w:t>-Appuyer les programmes intégrant la mobilisation communautaire sur la VBG ; </w:t>
            </w:r>
          </w:p>
          <w:p w:rsidR="005A6322" w:rsidRPr="005A6322" w:rsidRDefault="005A6322" w:rsidP="005A6322">
            <w:pPr>
              <w:spacing w:after="0" w:line="240" w:lineRule="auto"/>
              <w:jc w:val="both"/>
              <w:rPr>
                <w:rFonts w:ascii="Times New Roman" w:hAnsi="Times New Roman" w:cs="Times New Roman"/>
                <w:sz w:val="16"/>
                <w:szCs w:val="16"/>
              </w:rPr>
            </w:pPr>
            <w:r w:rsidRPr="005A6322">
              <w:rPr>
                <w:rFonts w:ascii="Times New Roman" w:hAnsi="Times New Roman" w:cs="Times New Roman"/>
                <w:sz w:val="16"/>
                <w:szCs w:val="16"/>
              </w:rPr>
              <w:t>-Appuyer les activités de réduction de la tolérance de la violence impliquant tout sexe masculin ;</w:t>
            </w:r>
          </w:p>
          <w:p w:rsidR="005A6322" w:rsidRPr="005A6322" w:rsidRDefault="005A6322" w:rsidP="005A6322">
            <w:pPr>
              <w:spacing w:after="0" w:line="240" w:lineRule="auto"/>
              <w:jc w:val="both"/>
              <w:rPr>
                <w:rFonts w:ascii="Times New Roman" w:hAnsi="Times New Roman" w:cs="Times New Roman"/>
                <w:sz w:val="16"/>
                <w:szCs w:val="16"/>
              </w:rPr>
            </w:pPr>
            <w:r w:rsidRPr="005A6322">
              <w:rPr>
                <w:rFonts w:ascii="Times New Roman" w:hAnsi="Times New Roman" w:cs="Times New Roman"/>
                <w:sz w:val="16"/>
                <w:szCs w:val="16"/>
              </w:rPr>
              <w:t>-Appuyer les activités ayant une large représentation de la communauté de base ; </w:t>
            </w:r>
          </w:p>
          <w:p w:rsidR="005A6322" w:rsidRPr="005A6322" w:rsidRDefault="005A6322" w:rsidP="005A6322">
            <w:pPr>
              <w:spacing w:after="0" w:line="240" w:lineRule="auto"/>
              <w:jc w:val="both"/>
              <w:rPr>
                <w:rFonts w:ascii="Times New Roman" w:hAnsi="Times New Roman" w:cs="Times New Roman"/>
                <w:sz w:val="16"/>
                <w:szCs w:val="16"/>
              </w:rPr>
            </w:pPr>
            <w:r w:rsidRPr="005A6322">
              <w:rPr>
                <w:rFonts w:ascii="Times New Roman" w:hAnsi="Times New Roman" w:cs="Times New Roman"/>
                <w:sz w:val="16"/>
                <w:szCs w:val="16"/>
              </w:rPr>
              <w:lastRenderedPageBreak/>
              <w:t>-Lutter contre tous types de d</w:t>
            </w:r>
            <w:r w:rsidR="00C35DC2">
              <w:rPr>
                <w:rFonts w:ascii="Times New Roman" w:hAnsi="Times New Roman" w:cs="Times New Roman"/>
                <w:sz w:val="16"/>
                <w:szCs w:val="16"/>
              </w:rPr>
              <w:t>iscrimination de genre ;</w:t>
            </w:r>
          </w:p>
        </w:tc>
        <w:tc>
          <w:tcPr>
            <w:tcW w:w="3568" w:type="dxa"/>
            <w:tcBorders>
              <w:top w:val="single" w:sz="4" w:space="0" w:color="auto"/>
              <w:left w:val="single" w:sz="4" w:space="0" w:color="auto"/>
              <w:bottom w:val="single" w:sz="4" w:space="0" w:color="auto"/>
              <w:right w:val="single" w:sz="4" w:space="0" w:color="auto"/>
            </w:tcBorders>
            <w:vAlign w:val="center"/>
          </w:tcPr>
          <w:p w:rsidR="005A6322" w:rsidRPr="005A6322" w:rsidRDefault="005A6322" w:rsidP="005A6322">
            <w:pPr>
              <w:spacing w:after="0" w:line="240" w:lineRule="auto"/>
              <w:jc w:val="both"/>
              <w:rPr>
                <w:rFonts w:ascii="Times New Roman" w:hAnsi="Times New Roman" w:cs="Times New Roman"/>
                <w:sz w:val="16"/>
                <w:szCs w:val="16"/>
              </w:rPr>
            </w:pPr>
            <w:r w:rsidRPr="005A6322">
              <w:rPr>
                <w:rFonts w:ascii="Times New Roman" w:hAnsi="Times New Roman" w:cs="Times New Roman"/>
                <w:sz w:val="16"/>
                <w:szCs w:val="16"/>
              </w:rPr>
              <w:lastRenderedPageBreak/>
              <w:t>-Implication de tous les acteurs concernés par le projet ;</w:t>
            </w:r>
          </w:p>
          <w:p w:rsidR="005A6322" w:rsidRPr="005A6322" w:rsidRDefault="005A6322" w:rsidP="005A6322">
            <w:pPr>
              <w:spacing w:after="0" w:line="240" w:lineRule="auto"/>
              <w:jc w:val="both"/>
              <w:rPr>
                <w:rFonts w:ascii="Times New Roman" w:hAnsi="Times New Roman" w:cs="Times New Roman"/>
                <w:sz w:val="16"/>
                <w:szCs w:val="16"/>
              </w:rPr>
            </w:pPr>
            <w:r w:rsidRPr="005A6322">
              <w:rPr>
                <w:rFonts w:ascii="Times New Roman" w:hAnsi="Times New Roman" w:cs="Times New Roman"/>
                <w:sz w:val="16"/>
                <w:szCs w:val="16"/>
              </w:rPr>
              <w:t>-Réalisation des engagements pris ;</w:t>
            </w:r>
          </w:p>
          <w:p w:rsidR="005A6322" w:rsidRPr="005A6322" w:rsidRDefault="005A6322" w:rsidP="005A6322">
            <w:pPr>
              <w:spacing w:after="0" w:line="240" w:lineRule="auto"/>
              <w:jc w:val="both"/>
              <w:rPr>
                <w:rFonts w:ascii="Times New Roman" w:hAnsi="Times New Roman" w:cs="Times New Roman"/>
                <w:sz w:val="16"/>
                <w:szCs w:val="16"/>
              </w:rPr>
            </w:pPr>
            <w:r w:rsidRPr="005A6322">
              <w:rPr>
                <w:rFonts w:ascii="Times New Roman" w:hAnsi="Times New Roman" w:cs="Times New Roman"/>
                <w:sz w:val="16"/>
                <w:szCs w:val="16"/>
              </w:rPr>
              <w:t>-Nombre de personnes sensibilisées et impliquées ;</w:t>
            </w:r>
          </w:p>
          <w:p w:rsidR="005A6322" w:rsidRPr="005A6322" w:rsidRDefault="005A6322" w:rsidP="005A6322">
            <w:pPr>
              <w:spacing w:after="0" w:line="240" w:lineRule="auto"/>
              <w:jc w:val="both"/>
              <w:rPr>
                <w:rFonts w:ascii="Times New Roman" w:hAnsi="Times New Roman" w:cs="Times New Roman"/>
                <w:sz w:val="16"/>
                <w:szCs w:val="16"/>
              </w:rPr>
            </w:pPr>
            <w:r w:rsidRPr="005A6322">
              <w:rPr>
                <w:rFonts w:ascii="Times New Roman" w:hAnsi="Times New Roman" w:cs="Times New Roman"/>
                <w:sz w:val="16"/>
                <w:szCs w:val="16"/>
              </w:rPr>
              <w:t>-Nombre d’activités appuyés ;</w:t>
            </w:r>
          </w:p>
          <w:p w:rsidR="005A6322" w:rsidRPr="005A6322" w:rsidRDefault="005A6322" w:rsidP="005A6322">
            <w:pPr>
              <w:spacing w:after="0" w:line="240" w:lineRule="auto"/>
              <w:jc w:val="both"/>
              <w:rPr>
                <w:rFonts w:ascii="Times New Roman" w:hAnsi="Times New Roman" w:cs="Times New Roman"/>
                <w:sz w:val="16"/>
                <w:szCs w:val="16"/>
              </w:rPr>
            </w:pPr>
            <w:r w:rsidRPr="005A6322">
              <w:rPr>
                <w:rFonts w:ascii="Times New Roman" w:hAnsi="Times New Roman" w:cs="Times New Roman"/>
                <w:sz w:val="16"/>
                <w:szCs w:val="16"/>
              </w:rPr>
              <w:t>-Nombre de programmes appuyés ;</w:t>
            </w:r>
          </w:p>
          <w:p w:rsidR="005A6322" w:rsidRPr="005A6322" w:rsidRDefault="005A6322" w:rsidP="005A6322">
            <w:pPr>
              <w:spacing w:after="0" w:line="240" w:lineRule="auto"/>
              <w:jc w:val="both"/>
              <w:rPr>
                <w:rFonts w:ascii="Times New Roman" w:hAnsi="Times New Roman" w:cs="Times New Roman"/>
                <w:sz w:val="16"/>
                <w:szCs w:val="16"/>
              </w:rPr>
            </w:pPr>
          </w:p>
        </w:tc>
        <w:tc>
          <w:tcPr>
            <w:tcW w:w="1134"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5A6322" w:rsidRPr="005A6322" w:rsidRDefault="005A6322" w:rsidP="005A6322">
            <w:pPr>
              <w:spacing w:after="0" w:line="240" w:lineRule="auto"/>
              <w:jc w:val="center"/>
              <w:rPr>
                <w:rFonts w:ascii="Times New Roman" w:hAnsi="Times New Roman" w:cs="Times New Roman"/>
                <w:b/>
                <w:sz w:val="16"/>
                <w:szCs w:val="16"/>
              </w:rPr>
            </w:pPr>
            <w:r w:rsidRPr="005A6322">
              <w:rPr>
                <w:rFonts w:ascii="Times New Roman" w:hAnsi="Times New Roman" w:cs="Times New Roman"/>
                <w:b/>
                <w:sz w:val="16"/>
                <w:szCs w:val="16"/>
              </w:rPr>
              <w:t>Entreprise</w:t>
            </w:r>
          </w:p>
          <w:p w:rsidR="005A6322" w:rsidRPr="005A6322" w:rsidRDefault="005A6322" w:rsidP="005A6322">
            <w:pPr>
              <w:spacing w:after="0" w:line="240" w:lineRule="auto"/>
              <w:jc w:val="center"/>
              <w:rPr>
                <w:rFonts w:ascii="Times New Roman" w:hAnsi="Times New Roman" w:cs="Times New Roman"/>
                <w:b/>
                <w:sz w:val="16"/>
                <w:szCs w:val="16"/>
              </w:rPr>
            </w:pPr>
          </w:p>
          <w:p w:rsidR="005A6322" w:rsidRPr="005A6322" w:rsidRDefault="005A6322" w:rsidP="005A6322">
            <w:pPr>
              <w:spacing w:after="0" w:line="240" w:lineRule="auto"/>
              <w:jc w:val="center"/>
              <w:rPr>
                <w:rFonts w:ascii="Times New Roman" w:hAnsi="Times New Roman" w:cs="Times New Roman"/>
                <w:b/>
                <w:sz w:val="16"/>
                <w:szCs w:val="16"/>
              </w:rPr>
            </w:pPr>
            <w:r w:rsidRPr="005A6322">
              <w:rPr>
                <w:rFonts w:ascii="Times New Roman" w:hAnsi="Times New Roman" w:cs="Times New Roman"/>
                <w:b/>
                <w:sz w:val="16"/>
                <w:szCs w:val="16"/>
              </w:rPr>
              <w:t>PUASEE-FA</w:t>
            </w:r>
          </w:p>
        </w:tc>
        <w:tc>
          <w:tcPr>
            <w:tcW w:w="1120"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5A6322" w:rsidRPr="005A6322" w:rsidRDefault="005A6322" w:rsidP="005A6322">
            <w:pPr>
              <w:spacing w:after="0" w:line="240" w:lineRule="auto"/>
              <w:jc w:val="center"/>
              <w:rPr>
                <w:rFonts w:ascii="Times New Roman" w:hAnsi="Times New Roman" w:cs="Times New Roman"/>
                <w:b/>
                <w:sz w:val="16"/>
                <w:szCs w:val="16"/>
              </w:rPr>
            </w:pPr>
            <w:r w:rsidRPr="005A6322">
              <w:rPr>
                <w:rFonts w:ascii="Times New Roman" w:hAnsi="Times New Roman" w:cs="Times New Roman"/>
                <w:b/>
                <w:sz w:val="16"/>
                <w:szCs w:val="16"/>
              </w:rPr>
              <w:t>Comité de suivi</w:t>
            </w:r>
          </w:p>
          <w:p w:rsidR="005A6322" w:rsidRPr="005A6322" w:rsidRDefault="005A6322" w:rsidP="005A6322">
            <w:pPr>
              <w:spacing w:after="0" w:line="240" w:lineRule="auto"/>
              <w:jc w:val="center"/>
              <w:rPr>
                <w:rFonts w:ascii="Times New Roman" w:hAnsi="Times New Roman" w:cs="Times New Roman"/>
                <w:b/>
                <w:sz w:val="16"/>
                <w:szCs w:val="16"/>
              </w:rPr>
            </w:pPr>
          </w:p>
          <w:p w:rsidR="005A6322" w:rsidRPr="005A6322" w:rsidRDefault="005A6322" w:rsidP="005A6322">
            <w:pPr>
              <w:spacing w:after="0" w:line="240" w:lineRule="auto"/>
              <w:jc w:val="center"/>
              <w:rPr>
                <w:rFonts w:ascii="Times New Roman" w:hAnsi="Times New Roman" w:cs="Times New Roman"/>
                <w:b/>
                <w:sz w:val="16"/>
                <w:szCs w:val="16"/>
              </w:rPr>
            </w:pPr>
            <w:r w:rsidRPr="005A6322">
              <w:rPr>
                <w:rFonts w:ascii="Times New Roman" w:hAnsi="Times New Roman" w:cs="Times New Roman"/>
                <w:b/>
                <w:sz w:val="16"/>
                <w:szCs w:val="16"/>
              </w:rPr>
              <w:t>PUASEE-FA</w:t>
            </w:r>
          </w:p>
        </w:tc>
        <w:tc>
          <w:tcPr>
            <w:tcW w:w="1445" w:type="dxa"/>
            <w:tcBorders>
              <w:top w:val="single" w:sz="4" w:space="0" w:color="auto"/>
              <w:left w:val="single" w:sz="4" w:space="0" w:color="auto"/>
              <w:bottom w:val="single" w:sz="4" w:space="0" w:color="auto"/>
              <w:right w:val="single" w:sz="4" w:space="0" w:color="auto"/>
            </w:tcBorders>
            <w:vAlign w:val="center"/>
          </w:tcPr>
          <w:p w:rsidR="005A6322" w:rsidRPr="005A6322" w:rsidRDefault="005A6322" w:rsidP="005A6322">
            <w:pPr>
              <w:spacing w:after="0" w:line="240" w:lineRule="auto"/>
              <w:jc w:val="center"/>
              <w:rPr>
                <w:rFonts w:ascii="Times New Roman" w:hAnsi="Times New Roman" w:cs="Times New Roman"/>
                <w:sz w:val="16"/>
                <w:szCs w:val="16"/>
              </w:rPr>
            </w:pPr>
            <w:r w:rsidRPr="005A6322">
              <w:rPr>
                <w:rFonts w:ascii="Times New Roman" w:hAnsi="Times New Roman" w:cs="Times New Roman"/>
                <w:sz w:val="16"/>
                <w:szCs w:val="16"/>
              </w:rPr>
              <w:t>Au début et en continu</w:t>
            </w:r>
          </w:p>
        </w:tc>
        <w:tc>
          <w:tcPr>
            <w:tcW w:w="112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5A6322" w:rsidRPr="005A6322" w:rsidRDefault="005A6322" w:rsidP="005A6322">
            <w:pPr>
              <w:spacing w:after="0" w:line="240" w:lineRule="auto"/>
              <w:jc w:val="center"/>
              <w:rPr>
                <w:rFonts w:ascii="Times New Roman" w:hAnsi="Times New Roman" w:cs="Times New Roman"/>
                <w:b/>
                <w:sz w:val="16"/>
                <w:szCs w:val="16"/>
              </w:rPr>
            </w:pPr>
            <w:r w:rsidRPr="005A6322">
              <w:rPr>
                <w:rFonts w:ascii="Times New Roman" w:hAnsi="Times New Roman" w:cs="Times New Roman"/>
                <w:b/>
                <w:sz w:val="16"/>
                <w:szCs w:val="16"/>
              </w:rPr>
              <w:t>2 000 000</w:t>
            </w:r>
          </w:p>
        </w:tc>
      </w:tr>
      <w:tr w:rsidR="001A349D" w:rsidRPr="005A6322" w:rsidTr="001A349D">
        <w:trPr>
          <w:trHeight w:val="70"/>
          <w:jc w:val="center"/>
        </w:trPr>
        <w:tc>
          <w:tcPr>
            <w:tcW w:w="1212"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5A6322" w:rsidRPr="005A6322" w:rsidRDefault="005A6322" w:rsidP="005A6322">
            <w:pPr>
              <w:spacing w:after="0" w:line="240" w:lineRule="auto"/>
              <w:jc w:val="center"/>
              <w:rPr>
                <w:rFonts w:ascii="Times New Roman" w:hAnsi="Times New Roman" w:cs="Times New Roman"/>
                <w:b/>
                <w:bCs/>
                <w:sz w:val="16"/>
                <w:szCs w:val="16"/>
              </w:rPr>
            </w:pPr>
            <w:r w:rsidRPr="005A6322">
              <w:rPr>
                <w:rFonts w:ascii="Times New Roman" w:hAnsi="Times New Roman" w:cs="Times New Roman"/>
                <w:b/>
                <w:bCs/>
                <w:sz w:val="16"/>
                <w:szCs w:val="16"/>
              </w:rPr>
              <w:lastRenderedPageBreak/>
              <w:t>Humain</w:t>
            </w:r>
          </w:p>
        </w:tc>
        <w:tc>
          <w:tcPr>
            <w:tcW w:w="2079" w:type="dxa"/>
            <w:tcBorders>
              <w:top w:val="single" w:sz="4" w:space="0" w:color="auto"/>
              <w:left w:val="single" w:sz="4" w:space="0" w:color="auto"/>
              <w:bottom w:val="single" w:sz="4" w:space="0" w:color="auto"/>
              <w:right w:val="single" w:sz="4" w:space="0" w:color="auto"/>
            </w:tcBorders>
            <w:vAlign w:val="center"/>
          </w:tcPr>
          <w:p w:rsidR="005A6322" w:rsidRPr="005A6322" w:rsidRDefault="005A6322" w:rsidP="005A6322">
            <w:pPr>
              <w:spacing w:after="0" w:line="240" w:lineRule="auto"/>
              <w:rPr>
                <w:rFonts w:ascii="Times New Roman" w:hAnsi="Times New Roman" w:cs="Times New Roman"/>
                <w:sz w:val="16"/>
                <w:szCs w:val="16"/>
              </w:rPr>
            </w:pPr>
            <w:r w:rsidRPr="005A6322">
              <w:rPr>
                <w:rFonts w:ascii="Times New Roman" w:hAnsi="Times New Roman" w:cs="Times New Roman"/>
                <w:sz w:val="16"/>
                <w:szCs w:val="16"/>
              </w:rPr>
              <w:t>Risque de vol, de pillage d’effraction et de sabotage des chantiers</w:t>
            </w:r>
          </w:p>
        </w:tc>
        <w:tc>
          <w:tcPr>
            <w:tcW w:w="4335" w:type="dxa"/>
            <w:tcBorders>
              <w:top w:val="single" w:sz="4" w:space="0" w:color="auto"/>
              <w:left w:val="single" w:sz="4" w:space="0" w:color="auto"/>
              <w:bottom w:val="single" w:sz="4" w:space="0" w:color="auto"/>
              <w:right w:val="single" w:sz="4" w:space="0" w:color="auto"/>
            </w:tcBorders>
            <w:vAlign w:val="center"/>
          </w:tcPr>
          <w:p w:rsidR="005A6322" w:rsidRPr="005A6322" w:rsidRDefault="005A6322" w:rsidP="005A6322">
            <w:pPr>
              <w:spacing w:after="0" w:line="240" w:lineRule="auto"/>
              <w:jc w:val="both"/>
              <w:rPr>
                <w:rFonts w:ascii="Times New Roman" w:hAnsi="Times New Roman" w:cs="Times New Roman"/>
                <w:sz w:val="16"/>
                <w:szCs w:val="16"/>
              </w:rPr>
            </w:pPr>
            <w:r w:rsidRPr="005A6322">
              <w:rPr>
                <w:rFonts w:ascii="Times New Roman" w:hAnsi="Times New Roman" w:cs="Times New Roman"/>
                <w:sz w:val="16"/>
                <w:szCs w:val="16"/>
              </w:rPr>
              <w:t>- Recruter un service de gardiennage expérimenté ;</w:t>
            </w:r>
          </w:p>
          <w:p w:rsidR="005A6322" w:rsidRPr="005A6322" w:rsidRDefault="005A6322" w:rsidP="005A6322">
            <w:pPr>
              <w:spacing w:after="0" w:line="240" w:lineRule="auto"/>
              <w:jc w:val="both"/>
              <w:rPr>
                <w:rFonts w:ascii="Times New Roman" w:hAnsi="Times New Roman" w:cs="Times New Roman"/>
                <w:sz w:val="16"/>
                <w:szCs w:val="16"/>
              </w:rPr>
            </w:pPr>
            <w:r w:rsidRPr="005A6322">
              <w:rPr>
                <w:rFonts w:ascii="Times New Roman" w:hAnsi="Times New Roman" w:cs="Times New Roman"/>
                <w:sz w:val="16"/>
                <w:szCs w:val="16"/>
              </w:rPr>
              <w:t>-Bien sécuriser les alentours des chantiers ;</w:t>
            </w:r>
          </w:p>
          <w:p w:rsidR="005A6322" w:rsidRPr="005A6322" w:rsidRDefault="005A6322" w:rsidP="005A6322">
            <w:pPr>
              <w:spacing w:after="0" w:line="240" w:lineRule="auto"/>
              <w:jc w:val="both"/>
              <w:rPr>
                <w:rFonts w:ascii="Times New Roman" w:hAnsi="Times New Roman" w:cs="Times New Roman"/>
                <w:sz w:val="16"/>
                <w:szCs w:val="16"/>
              </w:rPr>
            </w:pPr>
            <w:r w:rsidRPr="005A6322">
              <w:rPr>
                <w:rFonts w:ascii="Times New Roman" w:hAnsi="Times New Roman" w:cs="Times New Roman"/>
                <w:sz w:val="16"/>
                <w:szCs w:val="16"/>
              </w:rPr>
              <w:t>-Bien éclairer les chantiers ;</w:t>
            </w:r>
          </w:p>
        </w:tc>
        <w:tc>
          <w:tcPr>
            <w:tcW w:w="3568" w:type="dxa"/>
            <w:tcBorders>
              <w:top w:val="single" w:sz="4" w:space="0" w:color="auto"/>
              <w:left w:val="single" w:sz="4" w:space="0" w:color="auto"/>
              <w:bottom w:val="single" w:sz="4" w:space="0" w:color="auto"/>
              <w:right w:val="single" w:sz="4" w:space="0" w:color="auto"/>
            </w:tcBorders>
            <w:vAlign w:val="center"/>
          </w:tcPr>
          <w:p w:rsidR="005A6322" w:rsidRPr="005A6322" w:rsidRDefault="005A6322" w:rsidP="005A6322">
            <w:pPr>
              <w:spacing w:after="0" w:line="240" w:lineRule="auto"/>
              <w:jc w:val="both"/>
              <w:rPr>
                <w:rFonts w:ascii="Times New Roman" w:hAnsi="Times New Roman" w:cs="Times New Roman"/>
                <w:sz w:val="16"/>
                <w:szCs w:val="16"/>
              </w:rPr>
            </w:pPr>
            <w:r w:rsidRPr="005A6322">
              <w:rPr>
                <w:rFonts w:ascii="Times New Roman" w:hAnsi="Times New Roman" w:cs="Times New Roman"/>
                <w:sz w:val="16"/>
                <w:szCs w:val="16"/>
              </w:rPr>
              <w:t>-Présence de postes de gardiennage ;</w:t>
            </w:r>
          </w:p>
          <w:p w:rsidR="005A6322" w:rsidRPr="005A6322" w:rsidRDefault="005A6322" w:rsidP="005A6322">
            <w:pPr>
              <w:spacing w:after="0" w:line="240" w:lineRule="auto"/>
              <w:rPr>
                <w:rFonts w:ascii="Times New Roman" w:hAnsi="Times New Roman" w:cs="Times New Roman"/>
                <w:sz w:val="16"/>
                <w:szCs w:val="16"/>
              </w:rPr>
            </w:pPr>
            <w:r w:rsidRPr="005A6322">
              <w:rPr>
                <w:rFonts w:ascii="Times New Roman" w:hAnsi="Times New Roman" w:cs="Times New Roman"/>
                <w:sz w:val="16"/>
                <w:szCs w:val="16"/>
              </w:rPr>
              <w:t>-Enceinte du chantier bien éclairé ;</w:t>
            </w:r>
          </w:p>
          <w:p w:rsidR="005A6322" w:rsidRPr="005A6322" w:rsidRDefault="005A6322" w:rsidP="005A6322">
            <w:pPr>
              <w:spacing w:after="0" w:line="240" w:lineRule="auto"/>
              <w:jc w:val="both"/>
              <w:rPr>
                <w:rFonts w:ascii="Times New Roman" w:hAnsi="Times New Roman" w:cs="Times New Roman"/>
                <w:sz w:val="16"/>
                <w:szCs w:val="16"/>
              </w:rPr>
            </w:pPr>
          </w:p>
        </w:tc>
        <w:tc>
          <w:tcPr>
            <w:tcW w:w="1134"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5A6322" w:rsidRPr="005A6322" w:rsidRDefault="005A6322" w:rsidP="005A6322">
            <w:pPr>
              <w:spacing w:after="0" w:line="240" w:lineRule="auto"/>
              <w:jc w:val="center"/>
              <w:rPr>
                <w:rFonts w:ascii="Times New Roman" w:hAnsi="Times New Roman" w:cs="Times New Roman"/>
                <w:b/>
                <w:sz w:val="16"/>
                <w:szCs w:val="16"/>
              </w:rPr>
            </w:pPr>
            <w:r w:rsidRPr="005A6322">
              <w:rPr>
                <w:rFonts w:ascii="Times New Roman" w:hAnsi="Times New Roman" w:cs="Times New Roman"/>
                <w:b/>
                <w:sz w:val="16"/>
                <w:szCs w:val="16"/>
              </w:rPr>
              <w:t>Entreprise</w:t>
            </w:r>
          </w:p>
          <w:p w:rsidR="005A6322" w:rsidRPr="005A6322" w:rsidRDefault="005A6322" w:rsidP="005A6322">
            <w:pPr>
              <w:spacing w:after="0" w:line="240" w:lineRule="auto"/>
              <w:jc w:val="center"/>
              <w:rPr>
                <w:rFonts w:ascii="Times New Roman" w:hAnsi="Times New Roman" w:cs="Times New Roman"/>
                <w:b/>
                <w:sz w:val="16"/>
                <w:szCs w:val="16"/>
              </w:rPr>
            </w:pPr>
          </w:p>
          <w:p w:rsidR="005A6322" w:rsidRPr="005A6322" w:rsidRDefault="005A6322" w:rsidP="005A6322">
            <w:pPr>
              <w:spacing w:after="0" w:line="240" w:lineRule="auto"/>
              <w:jc w:val="center"/>
              <w:rPr>
                <w:rFonts w:ascii="Times New Roman" w:hAnsi="Times New Roman" w:cs="Times New Roman"/>
                <w:b/>
                <w:sz w:val="16"/>
                <w:szCs w:val="16"/>
              </w:rPr>
            </w:pPr>
            <w:r w:rsidRPr="005A6322">
              <w:rPr>
                <w:rFonts w:ascii="Times New Roman" w:hAnsi="Times New Roman" w:cs="Times New Roman"/>
                <w:b/>
                <w:sz w:val="16"/>
                <w:szCs w:val="16"/>
              </w:rPr>
              <w:t>PUASEE-FA</w:t>
            </w:r>
          </w:p>
        </w:tc>
        <w:tc>
          <w:tcPr>
            <w:tcW w:w="1120"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5A6322" w:rsidRPr="005A6322" w:rsidRDefault="005A6322" w:rsidP="005A6322">
            <w:pPr>
              <w:spacing w:after="0" w:line="240" w:lineRule="auto"/>
              <w:jc w:val="center"/>
              <w:rPr>
                <w:rFonts w:ascii="Times New Roman" w:hAnsi="Times New Roman" w:cs="Times New Roman"/>
                <w:b/>
                <w:sz w:val="16"/>
                <w:szCs w:val="16"/>
              </w:rPr>
            </w:pPr>
            <w:r w:rsidRPr="005A6322">
              <w:rPr>
                <w:rFonts w:ascii="Times New Roman" w:hAnsi="Times New Roman" w:cs="Times New Roman"/>
                <w:b/>
                <w:sz w:val="16"/>
                <w:szCs w:val="16"/>
              </w:rPr>
              <w:t>Comité de suivi</w:t>
            </w:r>
          </w:p>
          <w:p w:rsidR="005A6322" w:rsidRPr="005A6322" w:rsidRDefault="005A6322" w:rsidP="005A6322">
            <w:pPr>
              <w:spacing w:after="0" w:line="240" w:lineRule="auto"/>
              <w:jc w:val="center"/>
              <w:rPr>
                <w:rFonts w:ascii="Times New Roman" w:hAnsi="Times New Roman" w:cs="Times New Roman"/>
                <w:b/>
                <w:sz w:val="16"/>
                <w:szCs w:val="16"/>
              </w:rPr>
            </w:pPr>
          </w:p>
          <w:p w:rsidR="005A6322" w:rsidRPr="005A6322" w:rsidRDefault="005A6322" w:rsidP="005A6322">
            <w:pPr>
              <w:spacing w:after="0" w:line="240" w:lineRule="auto"/>
              <w:jc w:val="center"/>
              <w:rPr>
                <w:rFonts w:ascii="Times New Roman" w:hAnsi="Times New Roman" w:cs="Times New Roman"/>
                <w:b/>
                <w:sz w:val="16"/>
                <w:szCs w:val="16"/>
              </w:rPr>
            </w:pPr>
            <w:r w:rsidRPr="005A6322">
              <w:rPr>
                <w:rFonts w:ascii="Times New Roman" w:hAnsi="Times New Roman" w:cs="Times New Roman"/>
                <w:b/>
                <w:sz w:val="16"/>
                <w:szCs w:val="16"/>
              </w:rPr>
              <w:t>PUASEE-FA</w:t>
            </w:r>
          </w:p>
        </w:tc>
        <w:tc>
          <w:tcPr>
            <w:tcW w:w="1445" w:type="dxa"/>
            <w:tcBorders>
              <w:top w:val="single" w:sz="4" w:space="0" w:color="auto"/>
              <w:left w:val="single" w:sz="4" w:space="0" w:color="auto"/>
              <w:bottom w:val="single" w:sz="4" w:space="0" w:color="auto"/>
              <w:right w:val="single" w:sz="4" w:space="0" w:color="auto"/>
            </w:tcBorders>
            <w:vAlign w:val="center"/>
          </w:tcPr>
          <w:p w:rsidR="005A6322" w:rsidRPr="005A6322" w:rsidRDefault="005A6322" w:rsidP="005A6322">
            <w:pPr>
              <w:spacing w:after="0" w:line="240" w:lineRule="auto"/>
              <w:jc w:val="center"/>
              <w:rPr>
                <w:rFonts w:ascii="Times New Roman" w:hAnsi="Times New Roman" w:cs="Times New Roman"/>
                <w:sz w:val="16"/>
                <w:szCs w:val="16"/>
              </w:rPr>
            </w:pPr>
            <w:r w:rsidRPr="005A6322">
              <w:rPr>
                <w:rFonts w:ascii="Times New Roman" w:hAnsi="Times New Roman" w:cs="Times New Roman"/>
                <w:sz w:val="16"/>
                <w:szCs w:val="16"/>
              </w:rPr>
              <w:t>Au début et en continu</w:t>
            </w:r>
          </w:p>
        </w:tc>
        <w:tc>
          <w:tcPr>
            <w:tcW w:w="112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5A6322" w:rsidRPr="005A6322" w:rsidRDefault="005A6322" w:rsidP="005A6322">
            <w:pPr>
              <w:spacing w:after="0" w:line="240" w:lineRule="auto"/>
              <w:jc w:val="center"/>
              <w:rPr>
                <w:rFonts w:ascii="Times New Roman" w:hAnsi="Times New Roman" w:cs="Times New Roman"/>
                <w:b/>
                <w:sz w:val="16"/>
                <w:szCs w:val="16"/>
              </w:rPr>
            </w:pPr>
            <w:r w:rsidRPr="005A6322">
              <w:rPr>
                <w:rFonts w:ascii="Times New Roman" w:hAnsi="Times New Roman" w:cs="Times New Roman"/>
                <w:b/>
                <w:sz w:val="16"/>
                <w:szCs w:val="16"/>
              </w:rPr>
              <w:t>Coût associé au projet</w:t>
            </w:r>
          </w:p>
        </w:tc>
      </w:tr>
      <w:tr w:rsidR="001A349D" w:rsidRPr="005A6322" w:rsidTr="001A349D">
        <w:trPr>
          <w:trHeight w:val="70"/>
          <w:jc w:val="center"/>
        </w:trPr>
        <w:tc>
          <w:tcPr>
            <w:tcW w:w="1212"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5A6322" w:rsidRPr="005A6322" w:rsidRDefault="005A6322" w:rsidP="005A6322">
            <w:pPr>
              <w:spacing w:after="0" w:line="240" w:lineRule="auto"/>
              <w:jc w:val="center"/>
              <w:rPr>
                <w:rFonts w:ascii="Times New Roman" w:eastAsia="Times New Roman" w:hAnsi="Times New Roman" w:cs="Times New Roman"/>
                <w:b/>
                <w:bCs/>
                <w:sz w:val="16"/>
                <w:szCs w:val="16"/>
              </w:rPr>
            </w:pPr>
            <w:r w:rsidRPr="005A6322">
              <w:rPr>
                <w:rFonts w:ascii="Times New Roman" w:eastAsia="Times New Roman" w:hAnsi="Times New Roman" w:cs="Times New Roman"/>
                <w:b/>
                <w:sz w:val="16"/>
                <w:szCs w:val="16"/>
              </w:rPr>
              <w:t>Création d’emplois</w:t>
            </w:r>
          </w:p>
          <w:p w:rsidR="005A6322" w:rsidRPr="005A6322" w:rsidRDefault="005A6322" w:rsidP="005A6322">
            <w:pPr>
              <w:spacing w:after="0" w:line="240" w:lineRule="auto"/>
              <w:jc w:val="center"/>
              <w:rPr>
                <w:rFonts w:ascii="Times New Roman" w:eastAsia="Times New Roman" w:hAnsi="Times New Roman" w:cs="Times New Roman"/>
                <w:b/>
                <w:bCs/>
                <w:sz w:val="16"/>
                <w:szCs w:val="16"/>
              </w:rPr>
            </w:pPr>
          </w:p>
        </w:tc>
        <w:tc>
          <w:tcPr>
            <w:tcW w:w="2079" w:type="dxa"/>
            <w:tcBorders>
              <w:top w:val="single" w:sz="4" w:space="0" w:color="auto"/>
              <w:left w:val="single" w:sz="4" w:space="0" w:color="auto"/>
              <w:bottom w:val="single" w:sz="4" w:space="0" w:color="auto"/>
              <w:right w:val="single" w:sz="4" w:space="0" w:color="auto"/>
            </w:tcBorders>
            <w:vAlign w:val="center"/>
          </w:tcPr>
          <w:p w:rsidR="005A6322" w:rsidRPr="005A6322" w:rsidRDefault="005A6322" w:rsidP="005A6322">
            <w:pPr>
              <w:spacing w:after="0" w:line="240" w:lineRule="auto"/>
              <w:jc w:val="both"/>
              <w:rPr>
                <w:rFonts w:ascii="Times New Roman" w:hAnsi="Times New Roman" w:cs="Times New Roman"/>
                <w:sz w:val="16"/>
                <w:szCs w:val="16"/>
              </w:rPr>
            </w:pPr>
            <w:r w:rsidRPr="005A6322">
              <w:rPr>
                <w:rFonts w:ascii="Times New Roman" w:hAnsi="Times New Roman" w:cs="Times New Roman"/>
                <w:sz w:val="16"/>
                <w:szCs w:val="16"/>
              </w:rPr>
              <w:t>Recrutement des jeunes (homme/ femme)</w:t>
            </w:r>
          </w:p>
        </w:tc>
        <w:tc>
          <w:tcPr>
            <w:tcW w:w="4335" w:type="dxa"/>
            <w:tcBorders>
              <w:top w:val="single" w:sz="4" w:space="0" w:color="auto"/>
              <w:left w:val="single" w:sz="4" w:space="0" w:color="auto"/>
              <w:bottom w:val="single" w:sz="4" w:space="0" w:color="auto"/>
              <w:right w:val="single" w:sz="4" w:space="0" w:color="auto"/>
            </w:tcBorders>
            <w:vAlign w:val="center"/>
          </w:tcPr>
          <w:p w:rsidR="005A6322" w:rsidRPr="005A6322" w:rsidRDefault="005A6322" w:rsidP="005A6322">
            <w:pPr>
              <w:spacing w:after="0" w:line="240" w:lineRule="auto"/>
              <w:jc w:val="both"/>
              <w:rPr>
                <w:rFonts w:ascii="Times New Roman" w:hAnsi="Times New Roman" w:cs="Times New Roman"/>
                <w:sz w:val="16"/>
                <w:szCs w:val="16"/>
              </w:rPr>
            </w:pPr>
            <w:r w:rsidRPr="005A6322">
              <w:rPr>
                <w:rFonts w:ascii="Times New Roman" w:hAnsi="Times New Roman" w:cs="Times New Roman"/>
                <w:sz w:val="16"/>
                <w:szCs w:val="16"/>
              </w:rPr>
              <w:t>Recruter en priorité les populations riveraines pour les postes temporaires.</w:t>
            </w:r>
          </w:p>
        </w:tc>
        <w:tc>
          <w:tcPr>
            <w:tcW w:w="3568" w:type="dxa"/>
            <w:tcBorders>
              <w:top w:val="single" w:sz="4" w:space="0" w:color="auto"/>
              <w:left w:val="single" w:sz="4" w:space="0" w:color="auto"/>
              <w:bottom w:val="single" w:sz="4" w:space="0" w:color="auto"/>
              <w:right w:val="single" w:sz="4" w:space="0" w:color="auto"/>
            </w:tcBorders>
            <w:vAlign w:val="center"/>
          </w:tcPr>
          <w:p w:rsidR="005A6322" w:rsidRPr="005A6322" w:rsidRDefault="005A6322" w:rsidP="005A6322">
            <w:pPr>
              <w:spacing w:after="0" w:line="240" w:lineRule="auto"/>
              <w:jc w:val="both"/>
              <w:rPr>
                <w:rFonts w:ascii="Times New Roman" w:hAnsi="Times New Roman" w:cs="Times New Roman"/>
                <w:sz w:val="16"/>
                <w:szCs w:val="16"/>
              </w:rPr>
            </w:pPr>
            <w:r w:rsidRPr="005A6322">
              <w:rPr>
                <w:rFonts w:ascii="Times New Roman" w:hAnsi="Times New Roman" w:cs="Times New Roman"/>
                <w:sz w:val="16"/>
                <w:szCs w:val="16"/>
              </w:rPr>
              <w:t>-Combien de jeunes sont recrutés au total ;</w:t>
            </w:r>
          </w:p>
          <w:p w:rsidR="005A6322" w:rsidRPr="005A6322" w:rsidRDefault="005A6322" w:rsidP="005A6322">
            <w:pPr>
              <w:spacing w:after="0" w:line="240" w:lineRule="auto"/>
              <w:jc w:val="both"/>
              <w:rPr>
                <w:rFonts w:ascii="Times New Roman" w:hAnsi="Times New Roman" w:cs="Times New Roman"/>
                <w:sz w:val="16"/>
                <w:szCs w:val="16"/>
              </w:rPr>
            </w:pPr>
            <w:r w:rsidRPr="005A6322">
              <w:rPr>
                <w:rFonts w:ascii="Times New Roman" w:hAnsi="Times New Roman" w:cs="Times New Roman"/>
                <w:sz w:val="16"/>
                <w:szCs w:val="16"/>
              </w:rPr>
              <w:t>-Combien de jeunes sont recrutés  dans chaque secteur concerné ;</w:t>
            </w:r>
          </w:p>
        </w:tc>
        <w:tc>
          <w:tcPr>
            <w:tcW w:w="1134"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5A6322" w:rsidRPr="005A6322" w:rsidRDefault="005A6322" w:rsidP="005A6322">
            <w:pPr>
              <w:spacing w:after="0" w:line="240" w:lineRule="auto"/>
              <w:jc w:val="center"/>
              <w:rPr>
                <w:rFonts w:ascii="Times New Roman" w:hAnsi="Times New Roman" w:cs="Times New Roman"/>
                <w:b/>
                <w:sz w:val="16"/>
                <w:szCs w:val="16"/>
              </w:rPr>
            </w:pPr>
            <w:r w:rsidRPr="005A6322">
              <w:rPr>
                <w:rFonts w:ascii="Times New Roman" w:hAnsi="Times New Roman" w:cs="Times New Roman"/>
                <w:b/>
                <w:sz w:val="16"/>
                <w:szCs w:val="16"/>
              </w:rPr>
              <w:t>Entreprise</w:t>
            </w:r>
          </w:p>
          <w:p w:rsidR="005A6322" w:rsidRPr="005A6322" w:rsidRDefault="005A6322" w:rsidP="005A6322">
            <w:pPr>
              <w:spacing w:after="0" w:line="240" w:lineRule="auto"/>
              <w:jc w:val="center"/>
              <w:rPr>
                <w:rFonts w:ascii="Times New Roman" w:hAnsi="Times New Roman" w:cs="Times New Roman"/>
                <w:b/>
                <w:sz w:val="16"/>
                <w:szCs w:val="16"/>
              </w:rPr>
            </w:pPr>
          </w:p>
          <w:p w:rsidR="005A6322" w:rsidRPr="005A6322" w:rsidRDefault="005A6322" w:rsidP="005A6322">
            <w:pPr>
              <w:spacing w:after="0" w:line="240" w:lineRule="auto"/>
              <w:jc w:val="center"/>
              <w:rPr>
                <w:rFonts w:ascii="Times New Roman" w:hAnsi="Times New Roman" w:cs="Times New Roman"/>
                <w:b/>
                <w:sz w:val="16"/>
                <w:szCs w:val="16"/>
              </w:rPr>
            </w:pPr>
            <w:r w:rsidRPr="005A6322">
              <w:rPr>
                <w:rFonts w:ascii="Times New Roman" w:hAnsi="Times New Roman" w:cs="Times New Roman"/>
                <w:b/>
                <w:sz w:val="16"/>
                <w:szCs w:val="16"/>
              </w:rPr>
              <w:t>PUASEE-FA</w:t>
            </w:r>
          </w:p>
          <w:p w:rsidR="005A6322" w:rsidRPr="005A6322" w:rsidRDefault="005A6322" w:rsidP="005A6322">
            <w:pPr>
              <w:spacing w:after="0" w:line="240" w:lineRule="auto"/>
              <w:jc w:val="center"/>
              <w:rPr>
                <w:rFonts w:ascii="Times New Roman" w:hAnsi="Times New Roman" w:cs="Times New Roman"/>
                <w:b/>
                <w:sz w:val="16"/>
                <w:szCs w:val="16"/>
              </w:rPr>
            </w:pPr>
          </w:p>
          <w:p w:rsidR="005A6322" w:rsidRPr="005A6322" w:rsidRDefault="005A6322" w:rsidP="005A6322">
            <w:pPr>
              <w:spacing w:after="0" w:line="240" w:lineRule="auto"/>
              <w:jc w:val="center"/>
              <w:rPr>
                <w:rFonts w:ascii="Times New Roman" w:hAnsi="Times New Roman" w:cs="Times New Roman"/>
                <w:b/>
                <w:sz w:val="16"/>
                <w:szCs w:val="16"/>
              </w:rPr>
            </w:pPr>
            <w:r w:rsidRPr="005A6322">
              <w:rPr>
                <w:rFonts w:ascii="Times New Roman" w:hAnsi="Times New Roman" w:cs="Times New Roman"/>
                <w:b/>
                <w:sz w:val="16"/>
                <w:szCs w:val="16"/>
              </w:rPr>
              <w:t>Mairie</w:t>
            </w:r>
          </w:p>
        </w:tc>
        <w:tc>
          <w:tcPr>
            <w:tcW w:w="1120"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5A6322" w:rsidRPr="005A6322" w:rsidRDefault="005A6322" w:rsidP="005A6322">
            <w:pPr>
              <w:spacing w:after="0" w:line="240" w:lineRule="auto"/>
              <w:jc w:val="center"/>
              <w:rPr>
                <w:rFonts w:ascii="Times New Roman" w:hAnsi="Times New Roman" w:cs="Times New Roman"/>
                <w:b/>
                <w:sz w:val="16"/>
                <w:szCs w:val="16"/>
              </w:rPr>
            </w:pPr>
            <w:r w:rsidRPr="005A6322">
              <w:rPr>
                <w:rFonts w:ascii="Times New Roman" w:hAnsi="Times New Roman" w:cs="Times New Roman"/>
                <w:b/>
                <w:sz w:val="16"/>
                <w:szCs w:val="16"/>
              </w:rPr>
              <w:t>Comité de suivi</w:t>
            </w:r>
          </w:p>
          <w:p w:rsidR="005A6322" w:rsidRPr="005A6322" w:rsidRDefault="005A6322" w:rsidP="005A6322">
            <w:pPr>
              <w:spacing w:after="0" w:line="240" w:lineRule="auto"/>
              <w:jc w:val="center"/>
              <w:rPr>
                <w:rFonts w:ascii="Times New Roman" w:hAnsi="Times New Roman" w:cs="Times New Roman"/>
                <w:b/>
                <w:sz w:val="16"/>
                <w:szCs w:val="16"/>
              </w:rPr>
            </w:pPr>
          </w:p>
          <w:p w:rsidR="005A6322" w:rsidRPr="005A6322" w:rsidRDefault="005A6322" w:rsidP="005A6322">
            <w:pPr>
              <w:pStyle w:val="Listecouleur-Accent11"/>
              <w:ind w:left="0"/>
              <w:jc w:val="center"/>
              <w:rPr>
                <w:rFonts w:ascii="Times New Roman" w:hAnsi="Times New Roman"/>
                <w:b/>
                <w:sz w:val="16"/>
                <w:szCs w:val="16"/>
                <w:lang w:val="fr-FR"/>
              </w:rPr>
            </w:pPr>
            <w:r w:rsidRPr="005A6322">
              <w:rPr>
                <w:rFonts w:ascii="Times New Roman" w:hAnsi="Times New Roman"/>
                <w:b/>
                <w:sz w:val="16"/>
                <w:szCs w:val="16"/>
              </w:rPr>
              <w:t>PUASEE-FA</w:t>
            </w:r>
          </w:p>
        </w:tc>
        <w:tc>
          <w:tcPr>
            <w:tcW w:w="1445" w:type="dxa"/>
            <w:tcBorders>
              <w:top w:val="single" w:sz="4" w:space="0" w:color="auto"/>
              <w:left w:val="single" w:sz="4" w:space="0" w:color="auto"/>
              <w:bottom w:val="single" w:sz="4" w:space="0" w:color="auto"/>
              <w:right w:val="single" w:sz="4" w:space="0" w:color="auto"/>
            </w:tcBorders>
            <w:vAlign w:val="center"/>
          </w:tcPr>
          <w:p w:rsidR="005A6322" w:rsidRPr="005A6322" w:rsidRDefault="005A6322" w:rsidP="005A6322">
            <w:pPr>
              <w:spacing w:after="0" w:line="240" w:lineRule="auto"/>
              <w:jc w:val="center"/>
              <w:rPr>
                <w:rFonts w:ascii="Times New Roman" w:hAnsi="Times New Roman" w:cs="Times New Roman"/>
                <w:sz w:val="16"/>
                <w:szCs w:val="16"/>
              </w:rPr>
            </w:pPr>
            <w:r w:rsidRPr="005A6322">
              <w:rPr>
                <w:rFonts w:ascii="Times New Roman" w:hAnsi="Times New Roman" w:cs="Times New Roman"/>
                <w:sz w:val="16"/>
                <w:szCs w:val="16"/>
              </w:rPr>
              <w:t>Durant les travaux / trimestrielle</w:t>
            </w:r>
          </w:p>
        </w:tc>
        <w:tc>
          <w:tcPr>
            <w:tcW w:w="112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5A6322" w:rsidRPr="005A6322" w:rsidRDefault="005A6322" w:rsidP="005A6322">
            <w:pPr>
              <w:spacing w:after="0" w:line="240" w:lineRule="auto"/>
              <w:jc w:val="center"/>
              <w:rPr>
                <w:rFonts w:ascii="Times New Roman" w:hAnsi="Times New Roman" w:cs="Times New Roman"/>
                <w:b/>
                <w:sz w:val="16"/>
                <w:szCs w:val="16"/>
              </w:rPr>
            </w:pPr>
            <w:r w:rsidRPr="005A6322">
              <w:rPr>
                <w:rFonts w:ascii="Times New Roman" w:hAnsi="Times New Roman" w:cs="Times New Roman"/>
                <w:b/>
                <w:sz w:val="16"/>
                <w:szCs w:val="16"/>
              </w:rPr>
              <w:t>Coût associé au projet</w:t>
            </w:r>
          </w:p>
        </w:tc>
      </w:tr>
      <w:tr w:rsidR="001A349D" w:rsidRPr="005A6322" w:rsidTr="001A349D">
        <w:trPr>
          <w:trHeight w:val="596"/>
          <w:jc w:val="center"/>
        </w:trPr>
        <w:tc>
          <w:tcPr>
            <w:tcW w:w="1212"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5A6322" w:rsidRPr="005A6322" w:rsidRDefault="005A6322" w:rsidP="005A6322">
            <w:pPr>
              <w:autoSpaceDE w:val="0"/>
              <w:autoSpaceDN w:val="0"/>
              <w:adjustRightInd w:val="0"/>
              <w:spacing w:after="0" w:line="240" w:lineRule="auto"/>
              <w:jc w:val="center"/>
              <w:rPr>
                <w:rFonts w:ascii="Times New Roman" w:hAnsi="Times New Roman" w:cs="Times New Roman"/>
                <w:b/>
                <w:bCs/>
                <w:sz w:val="16"/>
                <w:szCs w:val="16"/>
              </w:rPr>
            </w:pPr>
            <w:r w:rsidRPr="005A6322">
              <w:rPr>
                <w:rFonts w:ascii="Times New Roman" w:hAnsi="Times New Roman" w:cs="Times New Roman"/>
                <w:b/>
                <w:bCs/>
                <w:sz w:val="16"/>
                <w:szCs w:val="16"/>
              </w:rPr>
              <w:t>Responsabilité sociétale</w:t>
            </w:r>
          </w:p>
        </w:tc>
        <w:tc>
          <w:tcPr>
            <w:tcW w:w="2079" w:type="dxa"/>
            <w:tcBorders>
              <w:top w:val="single" w:sz="4" w:space="0" w:color="auto"/>
              <w:left w:val="single" w:sz="4" w:space="0" w:color="auto"/>
              <w:bottom w:val="single" w:sz="4" w:space="0" w:color="auto"/>
              <w:right w:val="single" w:sz="4" w:space="0" w:color="auto"/>
            </w:tcBorders>
            <w:vAlign w:val="center"/>
          </w:tcPr>
          <w:p w:rsidR="005A6322" w:rsidRPr="005A6322" w:rsidRDefault="005A6322" w:rsidP="005A6322">
            <w:pPr>
              <w:autoSpaceDE w:val="0"/>
              <w:autoSpaceDN w:val="0"/>
              <w:adjustRightInd w:val="0"/>
              <w:spacing w:after="0" w:line="240" w:lineRule="auto"/>
              <w:jc w:val="both"/>
              <w:rPr>
                <w:rFonts w:ascii="Times New Roman" w:hAnsi="Times New Roman" w:cs="Times New Roman"/>
                <w:sz w:val="16"/>
                <w:szCs w:val="16"/>
              </w:rPr>
            </w:pPr>
            <w:r w:rsidRPr="005A6322">
              <w:rPr>
                <w:rFonts w:ascii="Times New Roman" w:hAnsi="Times New Roman" w:cs="Times New Roman"/>
                <w:sz w:val="16"/>
                <w:szCs w:val="16"/>
              </w:rPr>
              <w:t>Accompagnement</w:t>
            </w:r>
          </w:p>
        </w:tc>
        <w:tc>
          <w:tcPr>
            <w:tcW w:w="4335" w:type="dxa"/>
            <w:tcBorders>
              <w:top w:val="single" w:sz="4" w:space="0" w:color="auto"/>
              <w:left w:val="single" w:sz="4" w:space="0" w:color="auto"/>
              <w:bottom w:val="single" w:sz="4" w:space="0" w:color="auto"/>
              <w:right w:val="single" w:sz="4" w:space="0" w:color="auto"/>
            </w:tcBorders>
            <w:vAlign w:val="center"/>
          </w:tcPr>
          <w:p w:rsidR="005A6322" w:rsidRPr="005A6322" w:rsidRDefault="005A6322" w:rsidP="005A6322">
            <w:pPr>
              <w:autoSpaceDE w:val="0"/>
              <w:autoSpaceDN w:val="0"/>
              <w:adjustRightInd w:val="0"/>
              <w:spacing w:after="0" w:line="240" w:lineRule="auto"/>
              <w:jc w:val="both"/>
              <w:rPr>
                <w:rFonts w:ascii="Times New Roman" w:hAnsi="Times New Roman" w:cs="Times New Roman"/>
                <w:sz w:val="16"/>
                <w:szCs w:val="16"/>
              </w:rPr>
            </w:pPr>
            <w:r w:rsidRPr="005A6322">
              <w:rPr>
                <w:rFonts w:ascii="Times New Roman" w:hAnsi="Times New Roman" w:cs="Times New Roman"/>
                <w:sz w:val="16"/>
                <w:szCs w:val="16"/>
              </w:rPr>
              <w:t>- Participer aux activités et aux projets des secteurs de Bissau, de Prabis et de Safim ;</w:t>
            </w:r>
          </w:p>
        </w:tc>
        <w:tc>
          <w:tcPr>
            <w:tcW w:w="3568" w:type="dxa"/>
            <w:tcBorders>
              <w:top w:val="single" w:sz="4" w:space="0" w:color="auto"/>
              <w:left w:val="single" w:sz="4" w:space="0" w:color="auto"/>
              <w:bottom w:val="single" w:sz="4" w:space="0" w:color="auto"/>
              <w:right w:val="single" w:sz="4" w:space="0" w:color="auto"/>
            </w:tcBorders>
            <w:vAlign w:val="center"/>
          </w:tcPr>
          <w:p w:rsidR="005A6322" w:rsidRPr="005A6322" w:rsidRDefault="005A6322" w:rsidP="005A6322">
            <w:pPr>
              <w:autoSpaceDE w:val="0"/>
              <w:autoSpaceDN w:val="0"/>
              <w:adjustRightInd w:val="0"/>
              <w:spacing w:after="0" w:line="240" w:lineRule="auto"/>
              <w:jc w:val="both"/>
              <w:rPr>
                <w:rFonts w:ascii="Times New Roman" w:hAnsi="Times New Roman" w:cs="Times New Roman"/>
                <w:sz w:val="16"/>
                <w:szCs w:val="16"/>
              </w:rPr>
            </w:pPr>
            <w:r w:rsidRPr="005A6322">
              <w:rPr>
                <w:rFonts w:ascii="Times New Roman" w:hAnsi="Times New Roman" w:cs="Times New Roman"/>
                <w:sz w:val="16"/>
                <w:szCs w:val="16"/>
              </w:rPr>
              <w:t>- Effectivité des mesures d’accompagnement ;</w:t>
            </w:r>
          </w:p>
          <w:p w:rsidR="005A6322" w:rsidRPr="005A6322" w:rsidRDefault="005A6322" w:rsidP="005A6322">
            <w:pPr>
              <w:autoSpaceDE w:val="0"/>
              <w:autoSpaceDN w:val="0"/>
              <w:adjustRightInd w:val="0"/>
              <w:spacing w:after="0" w:line="240" w:lineRule="auto"/>
              <w:jc w:val="both"/>
              <w:rPr>
                <w:rFonts w:ascii="Times New Roman" w:hAnsi="Times New Roman" w:cs="Times New Roman"/>
                <w:sz w:val="16"/>
                <w:szCs w:val="16"/>
              </w:rPr>
            </w:pPr>
            <w:r w:rsidRPr="005A6322">
              <w:rPr>
                <w:rFonts w:ascii="Times New Roman" w:hAnsi="Times New Roman" w:cs="Times New Roman"/>
                <w:sz w:val="16"/>
                <w:szCs w:val="16"/>
              </w:rPr>
              <w:t>-Participation aux activités des communes ;</w:t>
            </w:r>
          </w:p>
          <w:p w:rsidR="005A6322" w:rsidRPr="005A6322" w:rsidRDefault="005A6322" w:rsidP="005A6322">
            <w:pPr>
              <w:autoSpaceDE w:val="0"/>
              <w:autoSpaceDN w:val="0"/>
              <w:adjustRightInd w:val="0"/>
              <w:spacing w:after="0" w:line="240" w:lineRule="auto"/>
              <w:jc w:val="both"/>
              <w:rPr>
                <w:rFonts w:ascii="Times New Roman" w:hAnsi="Times New Roman" w:cs="Times New Roman"/>
                <w:sz w:val="16"/>
                <w:szCs w:val="16"/>
              </w:rPr>
            </w:pPr>
            <w:r w:rsidRPr="005A6322">
              <w:rPr>
                <w:rFonts w:ascii="Times New Roman" w:hAnsi="Times New Roman" w:cs="Times New Roman"/>
                <w:sz w:val="16"/>
                <w:szCs w:val="16"/>
              </w:rPr>
              <w:t>- Nombre de projets accompagnés ;</w:t>
            </w:r>
          </w:p>
        </w:tc>
        <w:tc>
          <w:tcPr>
            <w:tcW w:w="1134"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5A6322" w:rsidRPr="005A6322" w:rsidRDefault="005A6322" w:rsidP="005A6322">
            <w:pPr>
              <w:spacing w:after="0" w:line="240" w:lineRule="auto"/>
              <w:jc w:val="center"/>
              <w:rPr>
                <w:rFonts w:ascii="Times New Roman" w:hAnsi="Times New Roman" w:cs="Times New Roman"/>
                <w:b/>
                <w:sz w:val="16"/>
                <w:szCs w:val="16"/>
              </w:rPr>
            </w:pPr>
            <w:r w:rsidRPr="005A6322">
              <w:rPr>
                <w:rFonts w:ascii="Times New Roman" w:hAnsi="Times New Roman" w:cs="Times New Roman"/>
                <w:b/>
                <w:sz w:val="16"/>
                <w:szCs w:val="16"/>
              </w:rPr>
              <w:t>Entreprise</w:t>
            </w:r>
          </w:p>
          <w:p w:rsidR="005A6322" w:rsidRPr="005A6322" w:rsidRDefault="005A6322" w:rsidP="005A6322">
            <w:pPr>
              <w:autoSpaceDE w:val="0"/>
              <w:autoSpaceDN w:val="0"/>
              <w:adjustRightInd w:val="0"/>
              <w:spacing w:after="0" w:line="240" w:lineRule="auto"/>
              <w:jc w:val="center"/>
              <w:rPr>
                <w:rFonts w:ascii="Times New Roman" w:hAnsi="Times New Roman" w:cs="Times New Roman"/>
                <w:b/>
                <w:sz w:val="16"/>
                <w:szCs w:val="16"/>
              </w:rPr>
            </w:pPr>
          </w:p>
        </w:tc>
        <w:tc>
          <w:tcPr>
            <w:tcW w:w="1120"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5A6322" w:rsidRPr="005A6322" w:rsidRDefault="005A6322" w:rsidP="005A6322">
            <w:pPr>
              <w:spacing w:after="0" w:line="240" w:lineRule="auto"/>
              <w:jc w:val="center"/>
              <w:rPr>
                <w:rFonts w:ascii="Times New Roman" w:hAnsi="Times New Roman" w:cs="Times New Roman"/>
                <w:b/>
                <w:sz w:val="16"/>
                <w:szCs w:val="16"/>
              </w:rPr>
            </w:pPr>
            <w:r w:rsidRPr="005A6322">
              <w:rPr>
                <w:rFonts w:ascii="Times New Roman" w:hAnsi="Times New Roman" w:cs="Times New Roman"/>
                <w:b/>
                <w:sz w:val="16"/>
                <w:szCs w:val="16"/>
              </w:rPr>
              <w:t>Comité de suivi</w:t>
            </w:r>
          </w:p>
          <w:p w:rsidR="005A6322" w:rsidRPr="005A6322" w:rsidRDefault="005A6322" w:rsidP="005A6322">
            <w:pPr>
              <w:spacing w:after="0" w:line="240" w:lineRule="auto"/>
              <w:jc w:val="center"/>
              <w:rPr>
                <w:rFonts w:ascii="Times New Roman" w:hAnsi="Times New Roman" w:cs="Times New Roman"/>
                <w:b/>
                <w:sz w:val="16"/>
                <w:szCs w:val="16"/>
              </w:rPr>
            </w:pPr>
          </w:p>
          <w:p w:rsidR="005A6322" w:rsidRPr="005A6322" w:rsidRDefault="005A6322" w:rsidP="005A6322">
            <w:pPr>
              <w:autoSpaceDE w:val="0"/>
              <w:autoSpaceDN w:val="0"/>
              <w:adjustRightInd w:val="0"/>
              <w:spacing w:after="0" w:line="240" w:lineRule="auto"/>
              <w:jc w:val="center"/>
              <w:rPr>
                <w:rFonts w:ascii="Times New Roman" w:hAnsi="Times New Roman" w:cs="Times New Roman"/>
                <w:b/>
                <w:sz w:val="16"/>
                <w:szCs w:val="16"/>
              </w:rPr>
            </w:pPr>
            <w:r w:rsidRPr="005A6322">
              <w:rPr>
                <w:rFonts w:ascii="Times New Roman" w:hAnsi="Times New Roman" w:cs="Times New Roman"/>
                <w:b/>
                <w:sz w:val="16"/>
                <w:szCs w:val="16"/>
              </w:rPr>
              <w:t>PUASEE-FA</w:t>
            </w:r>
          </w:p>
        </w:tc>
        <w:tc>
          <w:tcPr>
            <w:tcW w:w="1445" w:type="dxa"/>
            <w:tcBorders>
              <w:top w:val="single" w:sz="4" w:space="0" w:color="auto"/>
              <w:left w:val="single" w:sz="4" w:space="0" w:color="auto"/>
              <w:bottom w:val="single" w:sz="4" w:space="0" w:color="auto"/>
              <w:right w:val="single" w:sz="4" w:space="0" w:color="auto"/>
            </w:tcBorders>
            <w:vAlign w:val="center"/>
          </w:tcPr>
          <w:p w:rsidR="005A6322" w:rsidRPr="005A6322" w:rsidRDefault="005A6322" w:rsidP="005A6322">
            <w:pPr>
              <w:autoSpaceDE w:val="0"/>
              <w:autoSpaceDN w:val="0"/>
              <w:adjustRightInd w:val="0"/>
              <w:spacing w:after="0" w:line="240" w:lineRule="auto"/>
              <w:jc w:val="center"/>
              <w:rPr>
                <w:rFonts w:ascii="Times New Roman" w:hAnsi="Times New Roman" w:cs="Times New Roman"/>
                <w:sz w:val="16"/>
                <w:szCs w:val="16"/>
              </w:rPr>
            </w:pPr>
            <w:r w:rsidRPr="005A6322">
              <w:rPr>
                <w:rFonts w:ascii="Times New Roman" w:hAnsi="Times New Roman" w:cs="Times New Roman"/>
                <w:sz w:val="16"/>
                <w:szCs w:val="16"/>
              </w:rPr>
              <w:t>Au début et en continu</w:t>
            </w:r>
          </w:p>
        </w:tc>
        <w:tc>
          <w:tcPr>
            <w:tcW w:w="112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5A6322" w:rsidRPr="005A6322" w:rsidRDefault="005A6322" w:rsidP="005A6322">
            <w:pPr>
              <w:autoSpaceDE w:val="0"/>
              <w:autoSpaceDN w:val="0"/>
              <w:adjustRightInd w:val="0"/>
              <w:spacing w:after="0" w:line="240" w:lineRule="auto"/>
              <w:jc w:val="center"/>
              <w:rPr>
                <w:rFonts w:ascii="Times New Roman" w:hAnsi="Times New Roman" w:cs="Times New Roman"/>
                <w:b/>
                <w:sz w:val="16"/>
                <w:szCs w:val="16"/>
              </w:rPr>
            </w:pPr>
            <w:r w:rsidRPr="005A6322">
              <w:rPr>
                <w:rFonts w:ascii="Times New Roman" w:hAnsi="Times New Roman" w:cs="Times New Roman"/>
                <w:b/>
                <w:sz w:val="16"/>
                <w:szCs w:val="16"/>
              </w:rPr>
              <w:t>15 000 000</w:t>
            </w:r>
          </w:p>
        </w:tc>
      </w:tr>
      <w:tr w:rsidR="005A6322" w:rsidRPr="005A6322" w:rsidTr="001A349D">
        <w:trPr>
          <w:trHeight w:val="133"/>
          <w:jc w:val="center"/>
        </w:trPr>
        <w:tc>
          <w:tcPr>
            <w:tcW w:w="14893" w:type="dxa"/>
            <w:gridSpan w:val="7"/>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5A6322" w:rsidRPr="005A6322" w:rsidRDefault="005A6322" w:rsidP="005A6322">
            <w:pPr>
              <w:spacing w:after="0" w:line="240" w:lineRule="auto"/>
              <w:jc w:val="center"/>
              <w:rPr>
                <w:rFonts w:ascii="Times New Roman" w:hAnsi="Times New Roman" w:cs="Times New Roman"/>
                <w:b/>
                <w:bCs/>
                <w:sz w:val="16"/>
                <w:szCs w:val="16"/>
              </w:rPr>
            </w:pPr>
            <w:r w:rsidRPr="005A6322">
              <w:rPr>
                <w:rFonts w:ascii="Times New Roman" w:hAnsi="Times New Roman" w:cs="Times New Roman"/>
                <w:b/>
                <w:bCs/>
                <w:sz w:val="16"/>
                <w:szCs w:val="16"/>
              </w:rPr>
              <w:t>SOUS TOTAL 2</w:t>
            </w:r>
          </w:p>
        </w:tc>
        <w:tc>
          <w:tcPr>
            <w:tcW w:w="112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5A6322" w:rsidRPr="005A6322" w:rsidRDefault="005A6322" w:rsidP="005A6322">
            <w:pPr>
              <w:spacing w:after="0" w:line="240" w:lineRule="auto"/>
              <w:jc w:val="center"/>
              <w:rPr>
                <w:rFonts w:ascii="Times New Roman" w:hAnsi="Times New Roman" w:cs="Times New Roman"/>
                <w:b/>
                <w:sz w:val="16"/>
                <w:szCs w:val="16"/>
              </w:rPr>
            </w:pPr>
            <w:r w:rsidRPr="005A6322">
              <w:rPr>
                <w:rFonts w:ascii="Times New Roman" w:hAnsi="Times New Roman" w:cs="Times New Roman"/>
                <w:b/>
                <w:sz w:val="16"/>
                <w:szCs w:val="16"/>
              </w:rPr>
              <w:t>51 500 000</w:t>
            </w:r>
          </w:p>
        </w:tc>
      </w:tr>
    </w:tbl>
    <w:p w:rsidR="002C6E60" w:rsidRDefault="002C6E60" w:rsidP="003A6643">
      <w:pPr>
        <w:spacing w:after="0" w:line="240" w:lineRule="auto"/>
        <w:rPr>
          <w:rFonts w:ascii="Times New Roman" w:hAnsi="Times New Roman"/>
        </w:rPr>
      </w:pPr>
    </w:p>
    <w:tbl>
      <w:tblPr>
        <w:tblW w:w="15871" w:type="dxa"/>
        <w:jc w:val="center"/>
        <w:tblBorders>
          <w:top w:val="single" w:sz="4" w:space="0" w:color="7F7F7F"/>
          <w:bottom w:val="single" w:sz="4" w:space="0" w:color="7F7F7F"/>
        </w:tblBorders>
        <w:tblLayout w:type="fixed"/>
        <w:tblLook w:val="04A0" w:firstRow="1" w:lastRow="0" w:firstColumn="1" w:lastColumn="0" w:noHBand="0" w:noVBand="1"/>
      </w:tblPr>
      <w:tblGrid>
        <w:gridCol w:w="1008"/>
        <w:gridCol w:w="2386"/>
        <w:gridCol w:w="4529"/>
        <w:gridCol w:w="2845"/>
        <w:gridCol w:w="993"/>
        <w:gridCol w:w="1134"/>
        <w:gridCol w:w="978"/>
        <w:gridCol w:w="865"/>
        <w:gridCol w:w="1133"/>
      </w:tblGrid>
      <w:tr w:rsidR="003A6643" w:rsidRPr="00C35DC2" w:rsidTr="001A349D">
        <w:trPr>
          <w:trHeight w:val="89"/>
          <w:jc w:val="center"/>
        </w:trPr>
        <w:tc>
          <w:tcPr>
            <w:tcW w:w="15871" w:type="dxa"/>
            <w:gridSpan w:val="9"/>
            <w:tcBorders>
              <w:top w:val="single" w:sz="4" w:space="0" w:color="auto"/>
              <w:left w:val="single" w:sz="4" w:space="0" w:color="auto"/>
              <w:bottom w:val="single" w:sz="4" w:space="0" w:color="auto"/>
              <w:right w:val="single" w:sz="4" w:space="0" w:color="auto"/>
            </w:tcBorders>
            <w:shd w:val="clear" w:color="auto" w:fill="DEEAF6" w:themeFill="accent1" w:themeFillTint="33"/>
            <w:hideMark/>
          </w:tcPr>
          <w:p w:rsidR="003A6643" w:rsidRPr="00C35DC2" w:rsidRDefault="003A6643" w:rsidP="00884DFC">
            <w:pPr>
              <w:spacing w:after="0" w:line="240" w:lineRule="auto"/>
              <w:ind w:right="-389"/>
              <w:jc w:val="center"/>
              <w:rPr>
                <w:rFonts w:ascii="Times New Roman" w:hAnsi="Times New Roman"/>
                <w:b/>
                <w:bCs/>
                <w:sz w:val="16"/>
                <w:szCs w:val="16"/>
              </w:rPr>
            </w:pPr>
            <w:r w:rsidRPr="00C35DC2">
              <w:rPr>
                <w:rFonts w:ascii="Times New Roman" w:hAnsi="Times New Roman"/>
                <w:b/>
                <w:bCs/>
                <w:sz w:val="16"/>
                <w:szCs w:val="16"/>
              </w:rPr>
              <w:t>PHASE EXPLOITATION</w:t>
            </w:r>
          </w:p>
        </w:tc>
      </w:tr>
      <w:tr w:rsidR="003A6643" w:rsidRPr="00C35DC2" w:rsidTr="001A349D">
        <w:trPr>
          <w:trHeight w:val="70"/>
          <w:jc w:val="center"/>
        </w:trPr>
        <w:tc>
          <w:tcPr>
            <w:tcW w:w="1008"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rsidR="003A6643" w:rsidRPr="00C35DC2" w:rsidRDefault="003A6643" w:rsidP="00884DFC">
            <w:pPr>
              <w:autoSpaceDE w:val="0"/>
              <w:autoSpaceDN w:val="0"/>
              <w:adjustRightInd w:val="0"/>
              <w:spacing w:after="0" w:line="276" w:lineRule="auto"/>
              <w:jc w:val="center"/>
              <w:rPr>
                <w:rFonts w:ascii="Times New Roman" w:hAnsi="Times New Roman"/>
                <w:b/>
                <w:bCs/>
                <w:sz w:val="16"/>
                <w:szCs w:val="16"/>
              </w:rPr>
            </w:pPr>
            <w:r w:rsidRPr="00C35DC2">
              <w:rPr>
                <w:rFonts w:ascii="Times New Roman" w:hAnsi="Times New Roman"/>
                <w:b/>
                <w:bCs/>
                <w:sz w:val="16"/>
                <w:szCs w:val="16"/>
              </w:rPr>
              <w:t>Milieu affectée</w:t>
            </w:r>
          </w:p>
        </w:tc>
        <w:tc>
          <w:tcPr>
            <w:tcW w:w="2386"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rsidR="003A6643" w:rsidRPr="00C35DC2" w:rsidRDefault="003A6643" w:rsidP="00884DFC">
            <w:pPr>
              <w:autoSpaceDE w:val="0"/>
              <w:autoSpaceDN w:val="0"/>
              <w:adjustRightInd w:val="0"/>
              <w:spacing w:after="0" w:line="276" w:lineRule="auto"/>
              <w:jc w:val="center"/>
              <w:rPr>
                <w:rFonts w:ascii="Times New Roman" w:hAnsi="Times New Roman"/>
                <w:b/>
                <w:sz w:val="16"/>
                <w:szCs w:val="16"/>
              </w:rPr>
            </w:pPr>
            <w:r w:rsidRPr="00C35DC2">
              <w:rPr>
                <w:rFonts w:ascii="Times New Roman" w:hAnsi="Times New Roman"/>
                <w:b/>
                <w:sz w:val="16"/>
                <w:szCs w:val="16"/>
              </w:rPr>
              <w:t>Nature de l’impact potentiel</w:t>
            </w:r>
          </w:p>
        </w:tc>
        <w:tc>
          <w:tcPr>
            <w:tcW w:w="4529"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rsidR="003A6643" w:rsidRPr="00C35DC2" w:rsidRDefault="003A6643" w:rsidP="00884DFC">
            <w:pPr>
              <w:autoSpaceDE w:val="0"/>
              <w:autoSpaceDN w:val="0"/>
              <w:adjustRightInd w:val="0"/>
              <w:spacing w:after="0" w:line="276" w:lineRule="auto"/>
              <w:jc w:val="center"/>
              <w:rPr>
                <w:rFonts w:ascii="Times New Roman" w:hAnsi="Times New Roman"/>
                <w:b/>
                <w:sz w:val="16"/>
                <w:szCs w:val="16"/>
              </w:rPr>
            </w:pPr>
            <w:r w:rsidRPr="00C35DC2">
              <w:rPr>
                <w:rFonts w:ascii="Times New Roman" w:hAnsi="Times New Roman"/>
                <w:b/>
                <w:sz w:val="16"/>
                <w:szCs w:val="16"/>
              </w:rPr>
              <w:t>Mesure d’atténuation</w:t>
            </w:r>
          </w:p>
        </w:tc>
        <w:tc>
          <w:tcPr>
            <w:tcW w:w="2845"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rsidR="003A6643" w:rsidRPr="00C35DC2" w:rsidRDefault="003A6643" w:rsidP="00884DFC">
            <w:pPr>
              <w:autoSpaceDE w:val="0"/>
              <w:autoSpaceDN w:val="0"/>
              <w:adjustRightInd w:val="0"/>
              <w:spacing w:after="0" w:line="276" w:lineRule="auto"/>
              <w:jc w:val="center"/>
              <w:rPr>
                <w:rFonts w:ascii="Times New Roman" w:hAnsi="Times New Roman"/>
                <w:b/>
                <w:sz w:val="16"/>
                <w:szCs w:val="16"/>
              </w:rPr>
            </w:pPr>
            <w:r w:rsidRPr="00C35DC2">
              <w:rPr>
                <w:rFonts w:ascii="Times New Roman" w:hAnsi="Times New Roman"/>
                <w:b/>
                <w:sz w:val="16"/>
                <w:szCs w:val="16"/>
              </w:rPr>
              <w:t>Indicateur de suivi</w:t>
            </w:r>
          </w:p>
        </w:tc>
        <w:tc>
          <w:tcPr>
            <w:tcW w:w="2127" w:type="dxa"/>
            <w:gridSpan w:val="2"/>
            <w:tcBorders>
              <w:top w:val="single" w:sz="4" w:space="0" w:color="auto"/>
              <w:left w:val="single" w:sz="4" w:space="0" w:color="auto"/>
              <w:bottom w:val="single" w:sz="4" w:space="0" w:color="auto"/>
              <w:right w:val="single" w:sz="4" w:space="0" w:color="auto"/>
            </w:tcBorders>
            <w:shd w:val="clear" w:color="auto" w:fill="F2F2F2"/>
            <w:vAlign w:val="center"/>
            <w:hideMark/>
          </w:tcPr>
          <w:p w:rsidR="003A6643" w:rsidRPr="00C35DC2" w:rsidRDefault="003A6643" w:rsidP="00884DFC">
            <w:pPr>
              <w:autoSpaceDE w:val="0"/>
              <w:autoSpaceDN w:val="0"/>
              <w:adjustRightInd w:val="0"/>
              <w:spacing w:after="0" w:line="276" w:lineRule="auto"/>
              <w:jc w:val="center"/>
              <w:rPr>
                <w:rFonts w:ascii="Times New Roman" w:hAnsi="Times New Roman"/>
                <w:b/>
                <w:sz w:val="16"/>
                <w:szCs w:val="16"/>
              </w:rPr>
            </w:pPr>
            <w:r w:rsidRPr="00C35DC2">
              <w:rPr>
                <w:rFonts w:ascii="Times New Roman" w:hAnsi="Times New Roman"/>
                <w:b/>
                <w:bCs/>
                <w:sz w:val="16"/>
                <w:szCs w:val="16"/>
              </w:rPr>
              <w:t>Responsable(s)</w:t>
            </w:r>
          </w:p>
        </w:tc>
        <w:tc>
          <w:tcPr>
            <w:tcW w:w="1843" w:type="dxa"/>
            <w:gridSpan w:val="2"/>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rsidR="003A6643" w:rsidRPr="00C35DC2" w:rsidRDefault="003A6643" w:rsidP="00884DFC">
            <w:pPr>
              <w:autoSpaceDE w:val="0"/>
              <w:autoSpaceDN w:val="0"/>
              <w:adjustRightInd w:val="0"/>
              <w:spacing w:after="0" w:line="276" w:lineRule="auto"/>
              <w:jc w:val="center"/>
              <w:rPr>
                <w:rFonts w:ascii="Times New Roman" w:hAnsi="Times New Roman"/>
                <w:b/>
                <w:sz w:val="16"/>
                <w:szCs w:val="16"/>
              </w:rPr>
            </w:pPr>
            <w:r w:rsidRPr="00C35DC2">
              <w:rPr>
                <w:rFonts w:ascii="Times New Roman" w:hAnsi="Times New Roman"/>
                <w:b/>
                <w:bCs/>
                <w:sz w:val="16"/>
                <w:szCs w:val="16"/>
              </w:rPr>
              <w:t>Échéances/Période</w:t>
            </w:r>
          </w:p>
        </w:tc>
        <w:tc>
          <w:tcPr>
            <w:tcW w:w="1133"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rsidR="003A6643" w:rsidRPr="00C35DC2" w:rsidRDefault="003A6643" w:rsidP="00884DFC">
            <w:pPr>
              <w:autoSpaceDE w:val="0"/>
              <w:autoSpaceDN w:val="0"/>
              <w:adjustRightInd w:val="0"/>
              <w:spacing w:after="0" w:line="276" w:lineRule="auto"/>
              <w:jc w:val="center"/>
              <w:rPr>
                <w:rFonts w:ascii="Times New Roman" w:hAnsi="Times New Roman"/>
                <w:b/>
                <w:sz w:val="16"/>
                <w:szCs w:val="16"/>
              </w:rPr>
            </w:pPr>
            <w:r w:rsidRPr="00C35DC2">
              <w:rPr>
                <w:rFonts w:ascii="Times New Roman" w:hAnsi="Times New Roman"/>
                <w:b/>
                <w:bCs/>
                <w:sz w:val="16"/>
                <w:szCs w:val="16"/>
              </w:rPr>
              <w:t>Coût (FCFA)</w:t>
            </w:r>
          </w:p>
        </w:tc>
      </w:tr>
      <w:tr w:rsidR="003A6643" w:rsidRPr="00C35DC2" w:rsidTr="001A349D">
        <w:trPr>
          <w:trHeight w:val="389"/>
          <w:jc w:val="center"/>
        </w:trPr>
        <w:tc>
          <w:tcPr>
            <w:tcW w:w="1008" w:type="dxa"/>
            <w:vMerge/>
            <w:tcBorders>
              <w:top w:val="single" w:sz="4" w:space="0" w:color="auto"/>
              <w:left w:val="single" w:sz="4" w:space="0" w:color="auto"/>
              <w:bottom w:val="single" w:sz="4" w:space="0" w:color="auto"/>
              <w:right w:val="single" w:sz="4" w:space="0" w:color="auto"/>
            </w:tcBorders>
            <w:hideMark/>
          </w:tcPr>
          <w:p w:rsidR="003A6643" w:rsidRPr="00C35DC2" w:rsidRDefault="003A6643" w:rsidP="00884DFC">
            <w:pPr>
              <w:autoSpaceDE w:val="0"/>
              <w:autoSpaceDN w:val="0"/>
              <w:adjustRightInd w:val="0"/>
              <w:spacing w:after="0" w:line="276" w:lineRule="auto"/>
              <w:jc w:val="both"/>
              <w:rPr>
                <w:rFonts w:ascii="Times New Roman" w:hAnsi="Times New Roman"/>
                <w:b/>
                <w:bCs/>
                <w:sz w:val="16"/>
                <w:szCs w:val="16"/>
              </w:rPr>
            </w:pPr>
          </w:p>
        </w:tc>
        <w:tc>
          <w:tcPr>
            <w:tcW w:w="2386" w:type="dxa"/>
            <w:vMerge/>
            <w:tcBorders>
              <w:top w:val="single" w:sz="4" w:space="0" w:color="auto"/>
              <w:left w:val="single" w:sz="4" w:space="0" w:color="auto"/>
              <w:bottom w:val="single" w:sz="4" w:space="0" w:color="auto"/>
              <w:right w:val="single" w:sz="4" w:space="0" w:color="auto"/>
            </w:tcBorders>
            <w:hideMark/>
          </w:tcPr>
          <w:p w:rsidR="003A6643" w:rsidRPr="00C35DC2" w:rsidRDefault="003A6643" w:rsidP="00884DFC">
            <w:pPr>
              <w:autoSpaceDE w:val="0"/>
              <w:autoSpaceDN w:val="0"/>
              <w:adjustRightInd w:val="0"/>
              <w:spacing w:after="0" w:line="276" w:lineRule="auto"/>
              <w:jc w:val="both"/>
              <w:rPr>
                <w:rFonts w:ascii="Times New Roman" w:hAnsi="Times New Roman"/>
                <w:b/>
                <w:sz w:val="16"/>
                <w:szCs w:val="16"/>
              </w:rPr>
            </w:pPr>
          </w:p>
        </w:tc>
        <w:tc>
          <w:tcPr>
            <w:tcW w:w="4529" w:type="dxa"/>
            <w:vMerge/>
            <w:tcBorders>
              <w:top w:val="single" w:sz="4" w:space="0" w:color="auto"/>
              <w:left w:val="single" w:sz="4" w:space="0" w:color="auto"/>
              <w:bottom w:val="single" w:sz="4" w:space="0" w:color="auto"/>
              <w:right w:val="single" w:sz="4" w:space="0" w:color="auto"/>
            </w:tcBorders>
            <w:hideMark/>
          </w:tcPr>
          <w:p w:rsidR="003A6643" w:rsidRPr="00C35DC2" w:rsidRDefault="003A6643" w:rsidP="00884DFC">
            <w:pPr>
              <w:autoSpaceDE w:val="0"/>
              <w:autoSpaceDN w:val="0"/>
              <w:adjustRightInd w:val="0"/>
              <w:spacing w:after="0" w:line="276" w:lineRule="auto"/>
              <w:jc w:val="both"/>
              <w:rPr>
                <w:rFonts w:ascii="Times New Roman" w:hAnsi="Times New Roman"/>
                <w:b/>
                <w:sz w:val="16"/>
                <w:szCs w:val="16"/>
              </w:rPr>
            </w:pPr>
          </w:p>
        </w:tc>
        <w:tc>
          <w:tcPr>
            <w:tcW w:w="2845" w:type="dxa"/>
            <w:vMerge/>
            <w:tcBorders>
              <w:top w:val="single" w:sz="4" w:space="0" w:color="auto"/>
              <w:left w:val="single" w:sz="4" w:space="0" w:color="auto"/>
              <w:bottom w:val="single" w:sz="4" w:space="0" w:color="auto"/>
              <w:right w:val="single" w:sz="4" w:space="0" w:color="auto"/>
            </w:tcBorders>
            <w:hideMark/>
          </w:tcPr>
          <w:p w:rsidR="003A6643" w:rsidRPr="00C35DC2" w:rsidRDefault="003A6643" w:rsidP="00884DFC">
            <w:pPr>
              <w:autoSpaceDE w:val="0"/>
              <w:autoSpaceDN w:val="0"/>
              <w:adjustRightInd w:val="0"/>
              <w:spacing w:after="0" w:line="276" w:lineRule="auto"/>
              <w:jc w:val="both"/>
              <w:rPr>
                <w:rFonts w:ascii="Times New Roman" w:hAnsi="Times New Roman"/>
                <w:b/>
                <w:sz w:val="16"/>
                <w:szCs w:val="16"/>
              </w:rPr>
            </w:pPr>
          </w:p>
        </w:tc>
        <w:tc>
          <w:tcPr>
            <w:tcW w:w="993"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rsidR="003A6643" w:rsidRPr="00C35DC2" w:rsidRDefault="003A6643" w:rsidP="00884DFC">
            <w:pPr>
              <w:autoSpaceDE w:val="0"/>
              <w:autoSpaceDN w:val="0"/>
              <w:adjustRightInd w:val="0"/>
              <w:spacing w:after="0" w:line="276" w:lineRule="auto"/>
              <w:jc w:val="center"/>
              <w:rPr>
                <w:rFonts w:ascii="Times New Roman" w:hAnsi="Times New Roman"/>
                <w:b/>
                <w:bCs/>
                <w:sz w:val="16"/>
                <w:szCs w:val="16"/>
              </w:rPr>
            </w:pPr>
            <w:r w:rsidRPr="00C35DC2">
              <w:rPr>
                <w:rFonts w:ascii="Times New Roman" w:hAnsi="Times New Roman"/>
                <w:b/>
                <w:bCs/>
                <w:sz w:val="16"/>
                <w:szCs w:val="16"/>
              </w:rPr>
              <w:t>Mise en œuvre</w:t>
            </w:r>
          </w:p>
        </w:tc>
        <w:tc>
          <w:tcPr>
            <w:tcW w:w="1134"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rsidR="003A6643" w:rsidRPr="00C35DC2" w:rsidRDefault="003A6643" w:rsidP="00884DFC">
            <w:pPr>
              <w:autoSpaceDE w:val="0"/>
              <w:autoSpaceDN w:val="0"/>
              <w:adjustRightInd w:val="0"/>
              <w:spacing w:after="0" w:line="276" w:lineRule="auto"/>
              <w:jc w:val="center"/>
              <w:rPr>
                <w:rFonts w:ascii="Times New Roman" w:hAnsi="Times New Roman"/>
                <w:b/>
                <w:bCs/>
                <w:sz w:val="16"/>
                <w:szCs w:val="16"/>
              </w:rPr>
            </w:pPr>
            <w:r w:rsidRPr="00C35DC2">
              <w:rPr>
                <w:rFonts w:ascii="Times New Roman" w:hAnsi="Times New Roman"/>
                <w:b/>
                <w:bCs/>
                <w:sz w:val="16"/>
                <w:szCs w:val="16"/>
              </w:rPr>
              <w:t>Suivi / Contrôle</w:t>
            </w:r>
          </w:p>
        </w:tc>
        <w:tc>
          <w:tcPr>
            <w:tcW w:w="1843" w:type="dxa"/>
            <w:gridSpan w:val="2"/>
            <w:vMerge/>
            <w:tcBorders>
              <w:top w:val="single" w:sz="4" w:space="0" w:color="auto"/>
              <w:left w:val="single" w:sz="4" w:space="0" w:color="auto"/>
              <w:bottom w:val="single" w:sz="4" w:space="0" w:color="auto"/>
              <w:right w:val="single" w:sz="4" w:space="0" w:color="auto"/>
            </w:tcBorders>
            <w:hideMark/>
          </w:tcPr>
          <w:p w:rsidR="003A6643" w:rsidRPr="00C35DC2" w:rsidRDefault="003A6643" w:rsidP="00884DFC">
            <w:pPr>
              <w:autoSpaceDE w:val="0"/>
              <w:autoSpaceDN w:val="0"/>
              <w:adjustRightInd w:val="0"/>
              <w:spacing w:after="0" w:line="276" w:lineRule="auto"/>
              <w:jc w:val="both"/>
              <w:rPr>
                <w:rFonts w:ascii="Times New Roman" w:hAnsi="Times New Roman"/>
                <w:b/>
                <w:sz w:val="16"/>
                <w:szCs w:val="16"/>
              </w:rPr>
            </w:pPr>
          </w:p>
        </w:tc>
        <w:tc>
          <w:tcPr>
            <w:tcW w:w="1133" w:type="dxa"/>
            <w:vMerge/>
            <w:tcBorders>
              <w:top w:val="single" w:sz="4" w:space="0" w:color="auto"/>
              <w:left w:val="single" w:sz="4" w:space="0" w:color="auto"/>
              <w:bottom w:val="single" w:sz="4" w:space="0" w:color="auto"/>
              <w:right w:val="single" w:sz="4" w:space="0" w:color="auto"/>
            </w:tcBorders>
            <w:hideMark/>
          </w:tcPr>
          <w:p w:rsidR="003A6643" w:rsidRPr="00C35DC2" w:rsidRDefault="003A6643" w:rsidP="00884DFC">
            <w:pPr>
              <w:autoSpaceDE w:val="0"/>
              <w:autoSpaceDN w:val="0"/>
              <w:adjustRightInd w:val="0"/>
              <w:spacing w:after="0" w:line="276" w:lineRule="auto"/>
              <w:jc w:val="both"/>
              <w:rPr>
                <w:rFonts w:ascii="Times New Roman" w:hAnsi="Times New Roman"/>
                <w:b/>
                <w:sz w:val="16"/>
                <w:szCs w:val="16"/>
              </w:rPr>
            </w:pPr>
          </w:p>
        </w:tc>
      </w:tr>
      <w:tr w:rsidR="003A6643" w:rsidRPr="00C35DC2" w:rsidTr="001A349D">
        <w:trPr>
          <w:trHeight w:val="389"/>
          <w:jc w:val="center"/>
        </w:trPr>
        <w:tc>
          <w:tcPr>
            <w:tcW w:w="100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3A6643" w:rsidRPr="00C35DC2" w:rsidRDefault="003A6643" w:rsidP="00884DFC">
            <w:pPr>
              <w:autoSpaceDE w:val="0"/>
              <w:autoSpaceDN w:val="0"/>
              <w:adjustRightInd w:val="0"/>
              <w:spacing w:after="0" w:line="276" w:lineRule="auto"/>
              <w:jc w:val="center"/>
              <w:rPr>
                <w:rFonts w:ascii="Times New Roman" w:hAnsi="Times New Roman"/>
                <w:b/>
                <w:bCs/>
                <w:sz w:val="16"/>
                <w:szCs w:val="16"/>
              </w:rPr>
            </w:pPr>
            <w:r w:rsidRPr="00C35DC2">
              <w:rPr>
                <w:rFonts w:ascii="Times New Roman" w:hAnsi="Times New Roman"/>
                <w:b/>
                <w:sz w:val="16"/>
                <w:szCs w:val="16"/>
              </w:rPr>
              <w:t>Paysage</w:t>
            </w:r>
          </w:p>
        </w:tc>
        <w:tc>
          <w:tcPr>
            <w:tcW w:w="2386" w:type="dxa"/>
            <w:tcBorders>
              <w:top w:val="single" w:sz="4" w:space="0" w:color="auto"/>
              <w:left w:val="single" w:sz="4" w:space="0" w:color="auto"/>
              <w:bottom w:val="single" w:sz="4" w:space="0" w:color="auto"/>
              <w:right w:val="single" w:sz="4" w:space="0" w:color="auto"/>
            </w:tcBorders>
            <w:vAlign w:val="center"/>
          </w:tcPr>
          <w:p w:rsidR="003A6643" w:rsidRPr="00C35DC2" w:rsidRDefault="003A6643" w:rsidP="00884DFC">
            <w:pPr>
              <w:autoSpaceDE w:val="0"/>
              <w:autoSpaceDN w:val="0"/>
              <w:adjustRightInd w:val="0"/>
              <w:spacing w:after="0" w:line="276" w:lineRule="auto"/>
              <w:rPr>
                <w:rFonts w:ascii="Times New Roman" w:hAnsi="Times New Roman"/>
                <w:sz w:val="16"/>
                <w:szCs w:val="16"/>
              </w:rPr>
            </w:pPr>
            <w:r w:rsidRPr="00C35DC2">
              <w:rPr>
                <w:rFonts w:ascii="Times New Roman" w:hAnsi="Times New Roman"/>
                <w:sz w:val="16"/>
                <w:szCs w:val="16"/>
              </w:rPr>
              <w:t>Risque de dégradation et d’altérer l’aspect visuel du paysage</w:t>
            </w:r>
          </w:p>
        </w:tc>
        <w:tc>
          <w:tcPr>
            <w:tcW w:w="4529" w:type="dxa"/>
            <w:tcBorders>
              <w:top w:val="single" w:sz="4" w:space="0" w:color="auto"/>
              <w:left w:val="single" w:sz="4" w:space="0" w:color="auto"/>
              <w:bottom w:val="single" w:sz="4" w:space="0" w:color="auto"/>
              <w:right w:val="single" w:sz="4" w:space="0" w:color="auto"/>
            </w:tcBorders>
            <w:vAlign w:val="center"/>
          </w:tcPr>
          <w:p w:rsidR="003A6643" w:rsidRPr="00C35DC2" w:rsidRDefault="003A6643" w:rsidP="00884DFC">
            <w:pPr>
              <w:autoSpaceDE w:val="0"/>
              <w:autoSpaceDN w:val="0"/>
              <w:adjustRightInd w:val="0"/>
              <w:spacing w:after="0" w:line="276" w:lineRule="auto"/>
              <w:rPr>
                <w:rFonts w:ascii="Times New Roman" w:hAnsi="Times New Roman"/>
                <w:sz w:val="16"/>
                <w:szCs w:val="16"/>
              </w:rPr>
            </w:pPr>
            <w:r w:rsidRPr="00C35DC2">
              <w:rPr>
                <w:rFonts w:ascii="Times New Roman" w:hAnsi="Times New Roman"/>
                <w:sz w:val="16"/>
                <w:szCs w:val="16"/>
              </w:rPr>
              <w:t>-</w:t>
            </w:r>
            <w:r w:rsidRPr="00C35DC2">
              <w:rPr>
                <w:rFonts w:ascii="Times New Roman" w:hAnsi="Times New Roman"/>
                <w:bCs/>
                <w:sz w:val="16"/>
                <w:szCs w:val="16"/>
              </w:rPr>
              <w:t xml:space="preserve"> Veiller sur l’aspect esthétique des zones implantation des réservoirs ;</w:t>
            </w:r>
          </w:p>
          <w:p w:rsidR="003A6643" w:rsidRPr="00C35DC2" w:rsidRDefault="003A6643" w:rsidP="00884DFC">
            <w:pPr>
              <w:autoSpaceDE w:val="0"/>
              <w:autoSpaceDN w:val="0"/>
              <w:adjustRightInd w:val="0"/>
              <w:spacing w:after="0" w:line="276" w:lineRule="auto"/>
              <w:rPr>
                <w:rFonts w:ascii="Times New Roman" w:hAnsi="Times New Roman"/>
                <w:sz w:val="16"/>
                <w:szCs w:val="16"/>
              </w:rPr>
            </w:pPr>
            <w:r w:rsidRPr="00C35DC2">
              <w:rPr>
                <w:rFonts w:ascii="Times New Roman" w:hAnsi="Times New Roman"/>
                <w:sz w:val="16"/>
                <w:szCs w:val="16"/>
              </w:rPr>
              <w:t>-Réadapter les alentours des réservoirs pour avoir une bonne appréciation visuelle ;</w:t>
            </w:r>
          </w:p>
          <w:p w:rsidR="003A6643" w:rsidRPr="00C35DC2" w:rsidRDefault="003A6643" w:rsidP="00884DFC">
            <w:pPr>
              <w:autoSpaceDE w:val="0"/>
              <w:autoSpaceDN w:val="0"/>
              <w:adjustRightInd w:val="0"/>
              <w:spacing w:after="0" w:line="276" w:lineRule="auto"/>
              <w:rPr>
                <w:rFonts w:ascii="Times New Roman" w:hAnsi="Times New Roman"/>
                <w:sz w:val="16"/>
                <w:szCs w:val="16"/>
              </w:rPr>
            </w:pPr>
            <w:r w:rsidRPr="00C35DC2">
              <w:rPr>
                <w:rFonts w:ascii="Times New Roman" w:hAnsi="Times New Roman"/>
                <w:sz w:val="16"/>
                <w:szCs w:val="16"/>
              </w:rPr>
              <w:t>-Effectuer une remise en état des zones intervention du sous-projet ;</w:t>
            </w:r>
          </w:p>
        </w:tc>
        <w:tc>
          <w:tcPr>
            <w:tcW w:w="2845" w:type="dxa"/>
            <w:tcBorders>
              <w:top w:val="single" w:sz="4" w:space="0" w:color="auto"/>
              <w:left w:val="single" w:sz="4" w:space="0" w:color="auto"/>
              <w:bottom w:val="single" w:sz="4" w:space="0" w:color="auto"/>
              <w:right w:val="single" w:sz="4" w:space="0" w:color="auto"/>
            </w:tcBorders>
            <w:vAlign w:val="center"/>
          </w:tcPr>
          <w:p w:rsidR="003A6643" w:rsidRPr="00C35DC2" w:rsidRDefault="003A6643" w:rsidP="00884DFC">
            <w:pPr>
              <w:autoSpaceDE w:val="0"/>
              <w:autoSpaceDN w:val="0"/>
              <w:adjustRightInd w:val="0"/>
              <w:spacing w:after="0" w:line="276" w:lineRule="auto"/>
              <w:rPr>
                <w:rFonts w:ascii="Times New Roman" w:hAnsi="Times New Roman"/>
                <w:sz w:val="16"/>
                <w:szCs w:val="16"/>
              </w:rPr>
            </w:pPr>
            <w:r w:rsidRPr="00C35DC2">
              <w:rPr>
                <w:rFonts w:ascii="Times New Roman" w:hAnsi="Times New Roman"/>
                <w:sz w:val="16"/>
                <w:szCs w:val="16"/>
              </w:rPr>
              <w:t>-Aspect esthétique des usagers non changé ;</w:t>
            </w:r>
          </w:p>
          <w:p w:rsidR="003A6643" w:rsidRPr="00C35DC2" w:rsidRDefault="003A6643" w:rsidP="00884DFC">
            <w:pPr>
              <w:autoSpaceDE w:val="0"/>
              <w:autoSpaceDN w:val="0"/>
              <w:adjustRightInd w:val="0"/>
              <w:spacing w:after="0" w:line="276" w:lineRule="auto"/>
              <w:rPr>
                <w:rFonts w:ascii="Times New Roman" w:hAnsi="Times New Roman"/>
                <w:sz w:val="16"/>
                <w:szCs w:val="16"/>
              </w:rPr>
            </w:pPr>
            <w:r w:rsidRPr="00C35DC2">
              <w:rPr>
                <w:rFonts w:ascii="Times New Roman" w:hAnsi="Times New Roman"/>
                <w:sz w:val="16"/>
                <w:szCs w:val="16"/>
              </w:rPr>
              <w:t>-Remise en état des sites interventions après les travaux ;</w:t>
            </w:r>
          </w:p>
          <w:p w:rsidR="003A6643" w:rsidRPr="00C35DC2" w:rsidRDefault="003A6643" w:rsidP="00884DFC">
            <w:pPr>
              <w:autoSpaceDE w:val="0"/>
              <w:autoSpaceDN w:val="0"/>
              <w:adjustRightInd w:val="0"/>
              <w:spacing w:after="0" w:line="276" w:lineRule="auto"/>
              <w:rPr>
                <w:rFonts w:ascii="Times New Roman" w:hAnsi="Times New Roman"/>
                <w:sz w:val="16"/>
                <w:szCs w:val="16"/>
              </w:rPr>
            </w:pPr>
            <w:r w:rsidRPr="00C35DC2">
              <w:rPr>
                <w:rFonts w:ascii="Times New Roman" w:hAnsi="Times New Roman"/>
                <w:sz w:val="16"/>
                <w:szCs w:val="16"/>
              </w:rPr>
              <w:t>-Présence d’un bonne appréciation visuelle ;</w:t>
            </w:r>
          </w:p>
        </w:tc>
        <w:tc>
          <w:tcPr>
            <w:tcW w:w="993"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3A6643" w:rsidRPr="00C35DC2" w:rsidRDefault="003A6643" w:rsidP="00884DFC">
            <w:pPr>
              <w:spacing w:after="0" w:line="240" w:lineRule="auto"/>
              <w:jc w:val="center"/>
              <w:rPr>
                <w:rFonts w:ascii="Times New Roman" w:hAnsi="Times New Roman"/>
                <w:b/>
                <w:sz w:val="16"/>
                <w:szCs w:val="16"/>
              </w:rPr>
            </w:pPr>
            <w:r w:rsidRPr="00C35DC2">
              <w:rPr>
                <w:rFonts w:ascii="Times New Roman" w:hAnsi="Times New Roman"/>
                <w:b/>
                <w:sz w:val="16"/>
                <w:szCs w:val="16"/>
              </w:rPr>
              <w:t>Entreprise</w:t>
            </w:r>
          </w:p>
          <w:p w:rsidR="003A6643" w:rsidRPr="00C35DC2" w:rsidRDefault="003A6643" w:rsidP="00884DFC">
            <w:pPr>
              <w:autoSpaceDE w:val="0"/>
              <w:autoSpaceDN w:val="0"/>
              <w:adjustRightInd w:val="0"/>
              <w:spacing w:after="0" w:line="276" w:lineRule="auto"/>
              <w:jc w:val="center"/>
              <w:rPr>
                <w:rFonts w:ascii="Times New Roman" w:hAnsi="Times New Roman"/>
                <w:b/>
                <w:bCs/>
                <w:sz w:val="16"/>
                <w:szCs w:val="16"/>
              </w:rPr>
            </w:pPr>
          </w:p>
        </w:tc>
        <w:tc>
          <w:tcPr>
            <w:tcW w:w="1134"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3A6643" w:rsidRPr="00C35DC2" w:rsidRDefault="003A6643" w:rsidP="00884DFC">
            <w:pPr>
              <w:spacing w:after="0" w:line="240" w:lineRule="auto"/>
              <w:jc w:val="center"/>
              <w:rPr>
                <w:rFonts w:ascii="Times New Roman" w:hAnsi="Times New Roman"/>
                <w:b/>
                <w:sz w:val="16"/>
                <w:szCs w:val="16"/>
              </w:rPr>
            </w:pPr>
            <w:r w:rsidRPr="00C35DC2">
              <w:rPr>
                <w:rFonts w:ascii="Times New Roman" w:hAnsi="Times New Roman"/>
                <w:b/>
                <w:sz w:val="16"/>
                <w:szCs w:val="16"/>
              </w:rPr>
              <w:t>Comité de suivi</w:t>
            </w:r>
          </w:p>
          <w:p w:rsidR="003A6643" w:rsidRPr="00C35DC2" w:rsidRDefault="003A6643" w:rsidP="00884DFC">
            <w:pPr>
              <w:spacing w:after="0" w:line="240" w:lineRule="auto"/>
              <w:jc w:val="center"/>
              <w:rPr>
                <w:rFonts w:ascii="Times New Roman" w:hAnsi="Times New Roman"/>
                <w:b/>
                <w:sz w:val="16"/>
                <w:szCs w:val="16"/>
              </w:rPr>
            </w:pPr>
          </w:p>
          <w:p w:rsidR="003A6643" w:rsidRPr="00C35DC2" w:rsidRDefault="003A6643" w:rsidP="00884DFC">
            <w:pPr>
              <w:autoSpaceDE w:val="0"/>
              <w:autoSpaceDN w:val="0"/>
              <w:adjustRightInd w:val="0"/>
              <w:spacing w:after="0" w:line="276" w:lineRule="auto"/>
              <w:jc w:val="center"/>
              <w:rPr>
                <w:rFonts w:ascii="Times New Roman" w:hAnsi="Times New Roman"/>
                <w:b/>
                <w:bCs/>
                <w:sz w:val="16"/>
                <w:szCs w:val="16"/>
              </w:rPr>
            </w:pPr>
            <w:r w:rsidRPr="00C35DC2">
              <w:rPr>
                <w:rFonts w:ascii="Times New Roman" w:hAnsi="Times New Roman"/>
                <w:b/>
                <w:sz w:val="16"/>
                <w:szCs w:val="16"/>
              </w:rPr>
              <w:t>PUASEE-FA</w:t>
            </w:r>
          </w:p>
        </w:tc>
        <w:tc>
          <w:tcPr>
            <w:tcW w:w="978" w:type="dxa"/>
            <w:tcBorders>
              <w:top w:val="single" w:sz="4" w:space="0" w:color="auto"/>
              <w:left w:val="single" w:sz="4" w:space="0" w:color="auto"/>
              <w:bottom w:val="single" w:sz="4" w:space="0" w:color="auto"/>
              <w:right w:val="single" w:sz="4" w:space="0" w:color="auto"/>
            </w:tcBorders>
            <w:vAlign w:val="center"/>
          </w:tcPr>
          <w:p w:rsidR="003A6643" w:rsidRPr="00C35DC2" w:rsidRDefault="003A6643" w:rsidP="00884DFC">
            <w:pPr>
              <w:autoSpaceDE w:val="0"/>
              <w:autoSpaceDN w:val="0"/>
              <w:adjustRightInd w:val="0"/>
              <w:spacing w:after="0" w:line="276" w:lineRule="auto"/>
              <w:jc w:val="center"/>
              <w:rPr>
                <w:rFonts w:ascii="Times New Roman" w:hAnsi="Times New Roman"/>
                <w:b/>
                <w:sz w:val="16"/>
                <w:szCs w:val="16"/>
              </w:rPr>
            </w:pPr>
            <w:r w:rsidRPr="00C35DC2">
              <w:rPr>
                <w:rFonts w:ascii="Times New Roman" w:hAnsi="Times New Roman"/>
                <w:sz w:val="16"/>
                <w:szCs w:val="16"/>
              </w:rPr>
              <w:t>Au début et en continu</w:t>
            </w:r>
          </w:p>
        </w:tc>
        <w:tc>
          <w:tcPr>
            <w:tcW w:w="865" w:type="dxa"/>
            <w:tcBorders>
              <w:top w:val="single" w:sz="4" w:space="0" w:color="auto"/>
              <w:left w:val="single" w:sz="4" w:space="0" w:color="auto"/>
              <w:bottom w:val="single" w:sz="4" w:space="0" w:color="auto"/>
              <w:right w:val="single" w:sz="4" w:space="0" w:color="auto"/>
            </w:tcBorders>
            <w:vAlign w:val="center"/>
          </w:tcPr>
          <w:p w:rsidR="003A6643" w:rsidRPr="00C35DC2" w:rsidRDefault="003A6643" w:rsidP="00884DFC">
            <w:pPr>
              <w:autoSpaceDE w:val="0"/>
              <w:autoSpaceDN w:val="0"/>
              <w:adjustRightInd w:val="0"/>
              <w:spacing w:after="0" w:line="276" w:lineRule="auto"/>
              <w:jc w:val="center"/>
              <w:rPr>
                <w:rFonts w:ascii="Times New Roman" w:hAnsi="Times New Roman"/>
                <w:b/>
                <w:sz w:val="16"/>
                <w:szCs w:val="16"/>
              </w:rPr>
            </w:pPr>
            <w:r w:rsidRPr="00C35DC2">
              <w:rPr>
                <w:rFonts w:ascii="Times New Roman" w:hAnsi="Times New Roman"/>
                <w:sz w:val="16"/>
                <w:szCs w:val="16"/>
              </w:rPr>
              <w:t>Trois fois  par an</w:t>
            </w:r>
          </w:p>
        </w:tc>
        <w:tc>
          <w:tcPr>
            <w:tcW w:w="1133" w:type="dxa"/>
            <w:tcBorders>
              <w:top w:val="single" w:sz="4" w:space="0" w:color="auto"/>
              <w:left w:val="single" w:sz="4" w:space="0" w:color="auto"/>
              <w:bottom w:val="single" w:sz="4" w:space="0" w:color="auto"/>
              <w:right w:val="single" w:sz="4" w:space="0" w:color="auto"/>
            </w:tcBorders>
            <w:vAlign w:val="center"/>
          </w:tcPr>
          <w:p w:rsidR="003A6643" w:rsidRPr="00C35DC2" w:rsidRDefault="003A6643" w:rsidP="00884DFC">
            <w:pPr>
              <w:autoSpaceDE w:val="0"/>
              <w:autoSpaceDN w:val="0"/>
              <w:adjustRightInd w:val="0"/>
              <w:spacing w:after="0" w:line="276" w:lineRule="auto"/>
              <w:jc w:val="center"/>
              <w:rPr>
                <w:rFonts w:ascii="Times New Roman" w:hAnsi="Times New Roman"/>
                <w:b/>
                <w:sz w:val="16"/>
                <w:szCs w:val="16"/>
              </w:rPr>
            </w:pPr>
            <w:r w:rsidRPr="00C35DC2">
              <w:rPr>
                <w:rFonts w:ascii="Times New Roman" w:hAnsi="Times New Roman"/>
                <w:b/>
                <w:sz w:val="16"/>
                <w:szCs w:val="16"/>
              </w:rPr>
              <w:t>Coût associé au projet</w:t>
            </w:r>
          </w:p>
        </w:tc>
      </w:tr>
      <w:tr w:rsidR="003A6643" w:rsidRPr="00C35DC2" w:rsidTr="001A349D">
        <w:trPr>
          <w:trHeight w:val="389"/>
          <w:jc w:val="center"/>
        </w:trPr>
        <w:tc>
          <w:tcPr>
            <w:tcW w:w="100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3A6643" w:rsidRPr="00C35DC2" w:rsidRDefault="003A6643" w:rsidP="00884DFC">
            <w:pPr>
              <w:autoSpaceDE w:val="0"/>
              <w:autoSpaceDN w:val="0"/>
              <w:adjustRightInd w:val="0"/>
              <w:spacing w:after="0" w:line="276" w:lineRule="auto"/>
              <w:jc w:val="center"/>
              <w:rPr>
                <w:rFonts w:ascii="Times New Roman" w:hAnsi="Times New Roman"/>
                <w:b/>
                <w:sz w:val="16"/>
                <w:szCs w:val="16"/>
              </w:rPr>
            </w:pPr>
            <w:r w:rsidRPr="00C35DC2">
              <w:rPr>
                <w:rFonts w:ascii="Times New Roman" w:hAnsi="Times New Roman"/>
                <w:b/>
                <w:sz w:val="16"/>
                <w:szCs w:val="16"/>
              </w:rPr>
              <w:t>Eaux</w:t>
            </w:r>
          </w:p>
        </w:tc>
        <w:tc>
          <w:tcPr>
            <w:tcW w:w="2386" w:type="dxa"/>
            <w:tcBorders>
              <w:top w:val="single" w:sz="4" w:space="0" w:color="auto"/>
              <w:left w:val="single" w:sz="4" w:space="0" w:color="auto"/>
              <w:bottom w:val="single" w:sz="4" w:space="0" w:color="auto"/>
              <w:right w:val="single" w:sz="4" w:space="0" w:color="auto"/>
            </w:tcBorders>
            <w:vAlign w:val="center"/>
          </w:tcPr>
          <w:p w:rsidR="003A6643" w:rsidRPr="00C35DC2" w:rsidRDefault="003A6643" w:rsidP="00884DFC">
            <w:pPr>
              <w:autoSpaceDE w:val="0"/>
              <w:autoSpaceDN w:val="0"/>
              <w:adjustRightInd w:val="0"/>
              <w:spacing w:after="0" w:line="276" w:lineRule="auto"/>
              <w:rPr>
                <w:rFonts w:ascii="Times New Roman" w:hAnsi="Times New Roman"/>
                <w:sz w:val="16"/>
                <w:szCs w:val="16"/>
              </w:rPr>
            </w:pPr>
            <w:r w:rsidRPr="00C35DC2">
              <w:rPr>
                <w:rFonts w:ascii="Times New Roman" w:hAnsi="Times New Roman"/>
                <w:sz w:val="16"/>
                <w:szCs w:val="16"/>
              </w:rPr>
              <w:t xml:space="preserve">Risque de pollution des Eaux de ruissellement et des eaux pluviales ; </w:t>
            </w:r>
          </w:p>
        </w:tc>
        <w:tc>
          <w:tcPr>
            <w:tcW w:w="4529" w:type="dxa"/>
            <w:tcBorders>
              <w:top w:val="single" w:sz="4" w:space="0" w:color="auto"/>
              <w:left w:val="single" w:sz="4" w:space="0" w:color="auto"/>
              <w:bottom w:val="single" w:sz="4" w:space="0" w:color="auto"/>
              <w:right w:val="single" w:sz="4" w:space="0" w:color="auto"/>
            </w:tcBorders>
            <w:vAlign w:val="center"/>
          </w:tcPr>
          <w:p w:rsidR="003A6643" w:rsidRPr="00C35DC2" w:rsidRDefault="003A6643" w:rsidP="00884DFC">
            <w:pPr>
              <w:autoSpaceDE w:val="0"/>
              <w:autoSpaceDN w:val="0"/>
              <w:adjustRightInd w:val="0"/>
              <w:spacing w:after="0" w:line="276" w:lineRule="auto"/>
              <w:rPr>
                <w:rFonts w:ascii="Times New Roman" w:hAnsi="Times New Roman" w:cs="Times New Roman"/>
                <w:color w:val="000000"/>
                <w:sz w:val="16"/>
                <w:szCs w:val="16"/>
              </w:rPr>
            </w:pPr>
            <w:r w:rsidRPr="00C35DC2">
              <w:rPr>
                <w:rFonts w:ascii="Times New Roman" w:hAnsi="Times New Roman"/>
                <w:sz w:val="16"/>
                <w:szCs w:val="16"/>
              </w:rPr>
              <w:t>-</w:t>
            </w:r>
            <w:r w:rsidRPr="00C35DC2">
              <w:rPr>
                <w:rFonts w:ascii="Times New Roman" w:hAnsi="Times New Roman" w:cs="Times New Roman"/>
                <w:color w:val="000000"/>
                <w:sz w:val="16"/>
                <w:szCs w:val="16"/>
              </w:rPr>
              <w:t xml:space="preserve"> Mettre en place un système de gestion des eaux de lavage des ouvrages ;</w:t>
            </w:r>
          </w:p>
          <w:p w:rsidR="003A6643" w:rsidRPr="00C35DC2" w:rsidRDefault="003A6643" w:rsidP="00884DFC">
            <w:pPr>
              <w:autoSpaceDE w:val="0"/>
              <w:autoSpaceDN w:val="0"/>
              <w:adjustRightInd w:val="0"/>
              <w:spacing w:after="0" w:line="276" w:lineRule="auto"/>
              <w:rPr>
                <w:rFonts w:ascii="Times New Roman" w:hAnsi="Times New Roman"/>
                <w:sz w:val="16"/>
                <w:szCs w:val="16"/>
              </w:rPr>
            </w:pPr>
            <w:r w:rsidRPr="00C35DC2">
              <w:rPr>
                <w:rFonts w:ascii="Times New Roman" w:hAnsi="Times New Roman"/>
                <w:sz w:val="16"/>
                <w:szCs w:val="16"/>
              </w:rPr>
              <w:t>-Séparer les eaux de drainage des eaux pluviales et ceux des eaux de lavages ;</w:t>
            </w:r>
          </w:p>
        </w:tc>
        <w:tc>
          <w:tcPr>
            <w:tcW w:w="2845" w:type="dxa"/>
            <w:tcBorders>
              <w:top w:val="single" w:sz="4" w:space="0" w:color="auto"/>
              <w:left w:val="single" w:sz="4" w:space="0" w:color="auto"/>
              <w:bottom w:val="single" w:sz="4" w:space="0" w:color="auto"/>
              <w:right w:val="single" w:sz="4" w:space="0" w:color="auto"/>
            </w:tcBorders>
            <w:vAlign w:val="center"/>
          </w:tcPr>
          <w:p w:rsidR="003A6643" w:rsidRPr="00C35DC2" w:rsidRDefault="003A6643" w:rsidP="00884DFC">
            <w:pPr>
              <w:autoSpaceDE w:val="0"/>
              <w:autoSpaceDN w:val="0"/>
              <w:adjustRightInd w:val="0"/>
              <w:spacing w:after="0" w:line="276" w:lineRule="auto"/>
              <w:rPr>
                <w:rFonts w:ascii="Times New Roman" w:hAnsi="Times New Roman"/>
                <w:sz w:val="16"/>
                <w:szCs w:val="16"/>
              </w:rPr>
            </w:pPr>
            <w:r w:rsidRPr="00C35DC2">
              <w:rPr>
                <w:rFonts w:ascii="Times New Roman" w:hAnsi="Times New Roman"/>
                <w:sz w:val="16"/>
                <w:szCs w:val="16"/>
              </w:rPr>
              <w:t>-Présence d’un système de gestion des eaux de lavages dans tous les sites des réservoirs ;</w:t>
            </w:r>
          </w:p>
          <w:p w:rsidR="003A6643" w:rsidRPr="00C35DC2" w:rsidRDefault="003A6643" w:rsidP="00884DFC">
            <w:pPr>
              <w:autoSpaceDE w:val="0"/>
              <w:autoSpaceDN w:val="0"/>
              <w:adjustRightInd w:val="0"/>
              <w:spacing w:after="0" w:line="276" w:lineRule="auto"/>
              <w:rPr>
                <w:rFonts w:ascii="Times New Roman" w:hAnsi="Times New Roman"/>
                <w:sz w:val="16"/>
                <w:szCs w:val="16"/>
              </w:rPr>
            </w:pPr>
            <w:r w:rsidRPr="00C35DC2">
              <w:rPr>
                <w:rFonts w:ascii="Times New Roman" w:hAnsi="Times New Roman"/>
                <w:sz w:val="16"/>
                <w:szCs w:val="16"/>
              </w:rPr>
              <w:t>-Drainage des eaux de pluviales et lavages séparés ;</w:t>
            </w:r>
          </w:p>
        </w:tc>
        <w:tc>
          <w:tcPr>
            <w:tcW w:w="993"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3A6643" w:rsidRPr="00C35DC2" w:rsidRDefault="003A6643" w:rsidP="00884DFC">
            <w:pPr>
              <w:spacing w:after="0" w:line="240" w:lineRule="auto"/>
              <w:jc w:val="center"/>
              <w:rPr>
                <w:rFonts w:ascii="Times New Roman" w:hAnsi="Times New Roman"/>
                <w:b/>
                <w:sz w:val="16"/>
                <w:szCs w:val="16"/>
              </w:rPr>
            </w:pPr>
            <w:r w:rsidRPr="00C35DC2">
              <w:rPr>
                <w:rFonts w:ascii="Times New Roman" w:hAnsi="Times New Roman"/>
                <w:b/>
                <w:sz w:val="16"/>
                <w:szCs w:val="16"/>
              </w:rPr>
              <w:t>Entreprise</w:t>
            </w:r>
          </w:p>
          <w:p w:rsidR="003A6643" w:rsidRPr="00C35DC2" w:rsidRDefault="003A6643" w:rsidP="00884DFC">
            <w:pPr>
              <w:spacing w:after="0" w:line="240" w:lineRule="auto"/>
              <w:jc w:val="center"/>
              <w:rPr>
                <w:rFonts w:ascii="Times New Roman" w:hAnsi="Times New Roman"/>
                <w:b/>
                <w:sz w:val="16"/>
                <w:szCs w:val="16"/>
              </w:rPr>
            </w:pPr>
          </w:p>
          <w:p w:rsidR="003A6643" w:rsidRPr="00C35DC2" w:rsidRDefault="003A6643" w:rsidP="00884DFC">
            <w:pPr>
              <w:spacing w:after="0" w:line="240" w:lineRule="auto"/>
              <w:jc w:val="center"/>
              <w:rPr>
                <w:rFonts w:ascii="Times New Roman" w:hAnsi="Times New Roman"/>
                <w:b/>
                <w:sz w:val="16"/>
                <w:szCs w:val="16"/>
              </w:rPr>
            </w:pPr>
            <w:r w:rsidRPr="00C35DC2">
              <w:rPr>
                <w:rFonts w:ascii="Times New Roman" w:hAnsi="Times New Roman"/>
                <w:b/>
                <w:sz w:val="16"/>
                <w:szCs w:val="16"/>
              </w:rPr>
              <w:t>PUASEE-FA</w:t>
            </w:r>
          </w:p>
        </w:tc>
        <w:tc>
          <w:tcPr>
            <w:tcW w:w="1134"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3A6643" w:rsidRPr="00C35DC2" w:rsidRDefault="003A6643" w:rsidP="00884DFC">
            <w:pPr>
              <w:spacing w:after="0" w:line="240" w:lineRule="auto"/>
              <w:jc w:val="center"/>
              <w:rPr>
                <w:rFonts w:ascii="Times New Roman" w:hAnsi="Times New Roman"/>
                <w:b/>
                <w:sz w:val="16"/>
                <w:szCs w:val="16"/>
              </w:rPr>
            </w:pPr>
            <w:r w:rsidRPr="00C35DC2">
              <w:rPr>
                <w:rFonts w:ascii="Times New Roman" w:hAnsi="Times New Roman"/>
                <w:b/>
                <w:sz w:val="16"/>
                <w:szCs w:val="16"/>
              </w:rPr>
              <w:t>Comité de suivi</w:t>
            </w:r>
          </w:p>
          <w:p w:rsidR="003A6643" w:rsidRPr="00C35DC2" w:rsidRDefault="003A6643" w:rsidP="00884DFC">
            <w:pPr>
              <w:spacing w:after="0" w:line="240" w:lineRule="auto"/>
              <w:jc w:val="center"/>
              <w:rPr>
                <w:rFonts w:ascii="Times New Roman" w:hAnsi="Times New Roman"/>
                <w:b/>
                <w:sz w:val="16"/>
                <w:szCs w:val="16"/>
              </w:rPr>
            </w:pPr>
          </w:p>
        </w:tc>
        <w:tc>
          <w:tcPr>
            <w:tcW w:w="978" w:type="dxa"/>
            <w:tcBorders>
              <w:top w:val="single" w:sz="4" w:space="0" w:color="auto"/>
              <w:left w:val="single" w:sz="4" w:space="0" w:color="auto"/>
              <w:bottom w:val="single" w:sz="4" w:space="0" w:color="auto"/>
              <w:right w:val="single" w:sz="4" w:space="0" w:color="auto"/>
            </w:tcBorders>
            <w:vAlign w:val="center"/>
          </w:tcPr>
          <w:p w:rsidR="003A6643" w:rsidRPr="00C35DC2" w:rsidRDefault="003A6643" w:rsidP="00884DFC">
            <w:pPr>
              <w:autoSpaceDE w:val="0"/>
              <w:autoSpaceDN w:val="0"/>
              <w:adjustRightInd w:val="0"/>
              <w:spacing w:after="0" w:line="276" w:lineRule="auto"/>
              <w:jc w:val="center"/>
              <w:rPr>
                <w:rFonts w:ascii="Times New Roman" w:hAnsi="Times New Roman"/>
                <w:sz w:val="16"/>
                <w:szCs w:val="16"/>
              </w:rPr>
            </w:pPr>
            <w:r w:rsidRPr="00C35DC2">
              <w:rPr>
                <w:rFonts w:ascii="Times New Roman" w:hAnsi="Times New Roman"/>
                <w:sz w:val="16"/>
                <w:szCs w:val="16"/>
              </w:rPr>
              <w:t>Au début et en continu</w:t>
            </w:r>
          </w:p>
        </w:tc>
        <w:tc>
          <w:tcPr>
            <w:tcW w:w="865" w:type="dxa"/>
            <w:tcBorders>
              <w:top w:val="single" w:sz="4" w:space="0" w:color="auto"/>
              <w:left w:val="single" w:sz="4" w:space="0" w:color="auto"/>
              <w:bottom w:val="single" w:sz="4" w:space="0" w:color="auto"/>
              <w:right w:val="single" w:sz="4" w:space="0" w:color="auto"/>
            </w:tcBorders>
            <w:vAlign w:val="center"/>
          </w:tcPr>
          <w:p w:rsidR="003A6643" w:rsidRPr="00C35DC2" w:rsidRDefault="003A6643" w:rsidP="00884DFC">
            <w:pPr>
              <w:autoSpaceDE w:val="0"/>
              <w:autoSpaceDN w:val="0"/>
              <w:adjustRightInd w:val="0"/>
              <w:spacing w:after="0" w:line="276" w:lineRule="auto"/>
              <w:jc w:val="center"/>
              <w:rPr>
                <w:rFonts w:ascii="Times New Roman" w:hAnsi="Times New Roman"/>
                <w:sz w:val="16"/>
                <w:szCs w:val="16"/>
              </w:rPr>
            </w:pPr>
            <w:r w:rsidRPr="00C35DC2">
              <w:rPr>
                <w:rFonts w:ascii="Times New Roman" w:hAnsi="Times New Roman"/>
                <w:sz w:val="16"/>
                <w:szCs w:val="16"/>
              </w:rPr>
              <w:t>Pendant chaque saison des pluies</w:t>
            </w:r>
          </w:p>
        </w:tc>
        <w:tc>
          <w:tcPr>
            <w:tcW w:w="1133" w:type="dxa"/>
            <w:tcBorders>
              <w:top w:val="single" w:sz="4" w:space="0" w:color="auto"/>
              <w:left w:val="single" w:sz="4" w:space="0" w:color="auto"/>
              <w:bottom w:val="single" w:sz="4" w:space="0" w:color="auto"/>
              <w:right w:val="single" w:sz="4" w:space="0" w:color="auto"/>
            </w:tcBorders>
            <w:vAlign w:val="center"/>
          </w:tcPr>
          <w:p w:rsidR="003A6643" w:rsidRPr="00C35DC2" w:rsidRDefault="003A6643" w:rsidP="00884DFC">
            <w:pPr>
              <w:autoSpaceDE w:val="0"/>
              <w:autoSpaceDN w:val="0"/>
              <w:adjustRightInd w:val="0"/>
              <w:spacing w:after="0" w:line="276" w:lineRule="auto"/>
              <w:jc w:val="center"/>
              <w:rPr>
                <w:rFonts w:ascii="Times New Roman" w:hAnsi="Times New Roman"/>
                <w:b/>
                <w:sz w:val="16"/>
                <w:szCs w:val="16"/>
              </w:rPr>
            </w:pPr>
            <w:r w:rsidRPr="00C35DC2">
              <w:rPr>
                <w:rFonts w:ascii="Times New Roman" w:hAnsi="Times New Roman"/>
                <w:b/>
                <w:sz w:val="16"/>
                <w:szCs w:val="16"/>
              </w:rPr>
              <w:t>Coût associé au projet</w:t>
            </w:r>
          </w:p>
        </w:tc>
      </w:tr>
      <w:tr w:rsidR="003A6643" w:rsidRPr="00C35DC2" w:rsidTr="001A349D">
        <w:trPr>
          <w:trHeight w:val="412"/>
          <w:jc w:val="center"/>
        </w:trPr>
        <w:tc>
          <w:tcPr>
            <w:tcW w:w="1008" w:type="dxa"/>
            <w:vMerge w:val="restar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rsidR="003A6643" w:rsidRPr="00C35DC2" w:rsidRDefault="003A6643" w:rsidP="00884DFC">
            <w:pPr>
              <w:autoSpaceDE w:val="0"/>
              <w:autoSpaceDN w:val="0"/>
              <w:adjustRightInd w:val="0"/>
              <w:spacing w:after="0" w:line="276" w:lineRule="auto"/>
              <w:jc w:val="center"/>
              <w:rPr>
                <w:rFonts w:ascii="Times New Roman" w:hAnsi="Times New Roman"/>
                <w:b/>
                <w:bCs/>
                <w:sz w:val="16"/>
                <w:szCs w:val="16"/>
              </w:rPr>
            </w:pPr>
            <w:r w:rsidRPr="00C35DC2">
              <w:rPr>
                <w:rFonts w:ascii="Times New Roman" w:hAnsi="Times New Roman"/>
                <w:b/>
                <w:bCs/>
                <w:sz w:val="16"/>
                <w:szCs w:val="16"/>
              </w:rPr>
              <w:t>Humain</w:t>
            </w:r>
          </w:p>
        </w:tc>
        <w:tc>
          <w:tcPr>
            <w:tcW w:w="2386" w:type="dxa"/>
            <w:tcBorders>
              <w:top w:val="single" w:sz="4" w:space="0" w:color="auto"/>
              <w:left w:val="single" w:sz="4" w:space="0" w:color="auto"/>
              <w:bottom w:val="single" w:sz="4" w:space="0" w:color="auto"/>
              <w:right w:val="single" w:sz="4" w:space="0" w:color="auto"/>
            </w:tcBorders>
            <w:vAlign w:val="center"/>
          </w:tcPr>
          <w:p w:rsidR="003A6643" w:rsidRPr="00C35DC2" w:rsidRDefault="003A6643" w:rsidP="00884DFC">
            <w:pPr>
              <w:autoSpaceDE w:val="0"/>
              <w:autoSpaceDN w:val="0"/>
              <w:adjustRightInd w:val="0"/>
              <w:spacing w:after="0" w:line="276" w:lineRule="auto"/>
              <w:jc w:val="both"/>
              <w:rPr>
                <w:rFonts w:ascii="Times New Roman" w:hAnsi="Times New Roman"/>
                <w:sz w:val="16"/>
                <w:szCs w:val="16"/>
              </w:rPr>
            </w:pPr>
            <w:r w:rsidRPr="00C35DC2">
              <w:rPr>
                <w:rFonts w:ascii="Times New Roman" w:hAnsi="Times New Roman"/>
                <w:bCs/>
                <w:sz w:val="16"/>
                <w:szCs w:val="16"/>
              </w:rPr>
              <w:t>Risque de générer des nuisances sonores et des productions de GES.</w:t>
            </w:r>
          </w:p>
        </w:tc>
        <w:tc>
          <w:tcPr>
            <w:tcW w:w="4529" w:type="dxa"/>
            <w:tcBorders>
              <w:top w:val="single" w:sz="4" w:space="0" w:color="auto"/>
              <w:left w:val="single" w:sz="4" w:space="0" w:color="auto"/>
              <w:bottom w:val="single" w:sz="4" w:space="0" w:color="auto"/>
              <w:right w:val="single" w:sz="4" w:space="0" w:color="auto"/>
            </w:tcBorders>
            <w:vAlign w:val="center"/>
          </w:tcPr>
          <w:p w:rsidR="003A6643" w:rsidRPr="00C35DC2" w:rsidRDefault="003A6643" w:rsidP="00884DFC">
            <w:pPr>
              <w:spacing w:after="0" w:line="240" w:lineRule="auto"/>
              <w:jc w:val="both"/>
              <w:rPr>
                <w:rFonts w:ascii="Times New Roman" w:hAnsi="Times New Roman"/>
                <w:bCs/>
                <w:sz w:val="16"/>
                <w:szCs w:val="16"/>
              </w:rPr>
            </w:pPr>
            <w:r w:rsidRPr="00C35DC2">
              <w:rPr>
                <w:rFonts w:ascii="Times New Roman" w:hAnsi="Times New Roman"/>
                <w:bCs/>
                <w:sz w:val="16"/>
                <w:szCs w:val="16"/>
              </w:rPr>
              <w:t>-Mettre des locaux bien dimensionnés pour le confinement des groupes électrogènes,</w:t>
            </w:r>
          </w:p>
          <w:p w:rsidR="003A6643" w:rsidRPr="00C35DC2" w:rsidRDefault="003A6643" w:rsidP="00884DFC">
            <w:pPr>
              <w:spacing w:after="0" w:line="240" w:lineRule="auto"/>
              <w:jc w:val="both"/>
              <w:rPr>
                <w:rFonts w:ascii="Times New Roman" w:hAnsi="Times New Roman"/>
                <w:bCs/>
                <w:sz w:val="16"/>
                <w:szCs w:val="16"/>
              </w:rPr>
            </w:pPr>
            <w:r w:rsidRPr="00C35DC2">
              <w:rPr>
                <w:rFonts w:ascii="Times New Roman" w:hAnsi="Times New Roman"/>
                <w:sz w:val="16"/>
                <w:szCs w:val="16"/>
              </w:rPr>
              <w:t>-Mettre en place</w:t>
            </w:r>
            <w:r w:rsidRPr="00C35DC2">
              <w:rPr>
                <w:sz w:val="16"/>
                <w:szCs w:val="16"/>
              </w:rPr>
              <w:t xml:space="preserve"> </w:t>
            </w:r>
            <w:r w:rsidRPr="00C35DC2">
              <w:rPr>
                <w:rFonts w:ascii="Times New Roman" w:hAnsi="Times New Roman"/>
                <w:bCs/>
                <w:sz w:val="16"/>
                <w:szCs w:val="16"/>
              </w:rPr>
              <w:t>des suspensions anti-vibratiles</w:t>
            </w:r>
          </w:p>
          <w:p w:rsidR="003A6643" w:rsidRPr="00C35DC2" w:rsidRDefault="003A6643" w:rsidP="00884DFC">
            <w:pPr>
              <w:spacing w:after="0" w:line="240" w:lineRule="auto"/>
              <w:jc w:val="both"/>
              <w:rPr>
                <w:rFonts w:ascii="Times New Roman" w:hAnsi="Times New Roman"/>
                <w:bCs/>
                <w:sz w:val="16"/>
                <w:szCs w:val="16"/>
              </w:rPr>
            </w:pPr>
            <w:r w:rsidRPr="00C35DC2">
              <w:rPr>
                <w:rFonts w:ascii="Times New Roman" w:hAnsi="Times New Roman"/>
                <w:bCs/>
                <w:sz w:val="16"/>
                <w:szCs w:val="16"/>
              </w:rPr>
              <w:t>-Mettre en place des groupes silencieux</w:t>
            </w:r>
          </w:p>
          <w:p w:rsidR="003A6643" w:rsidRPr="00C35DC2" w:rsidRDefault="003A6643" w:rsidP="00884DFC">
            <w:pPr>
              <w:spacing w:after="0" w:line="240" w:lineRule="auto"/>
              <w:jc w:val="both"/>
              <w:rPr>
                <w:rFonts w:ascii="Times New Roman" w:hAnsi="Times New Roman"/>
                <w:bCs/>
                <w:sz w:val="16"/>
                <w:szCs w:val="16"/>
              </w:rPr>
            </w:pPr>
            <w:r w:rsidRPr="00C35DC2">
              <w:rPr>
                <w:rFonts w:ascii="Times New Roman" w:hAnsi="Times New Roman"/>
                <w:bCs/>
                <w:sz w:val="16"/>
                <w:szCs w:val="16"/>
              </w:rPr>
              <w:t>-Mettre en place un ou des groupes puissants pour diminuer le nombre de groupe</w:t>
            </w:r>
          </w:p>
          <w:p w:rsidR="003A6643" w:rsidRPr="00C35DC2" w:rsidRDefault="003A6643" w:rsidP="00884DFC">
            <w:pPr>
              <w:spacing w:after="0" w:line="240" w:lineRule="auto"/>
              <w:jc w:val="both"/>
              <w:rPr>
                <w:rFonts w:ascii="Times New Roman" w:hAnsi="Times New Roman"/>
                <w:bCs/>
                <w:sz w:val="16"/>
                <w:szCs w:val="16"/>
              </w:rPr>
            </w:pPr>
            <w:r w:rsidRPr="00C35DC2">
              <w:rPr>
                <w:rFonts w:ascii="Times New Roman" w:hAnsi="Times New Roman"/>
                <w:bCs/>
                <w:sz w:val="16"/>
                <w:szCs w:val="16"/>
              </w:rPr>
              <w:t>-Entretenir régulièrement les groupes électrogènes</w:t>
            </w:r>
          </w:p>
          <w:p w:rsidR="003A6643" w:rsidRPr="00C35DC2" w:rsidRDefault="003A6643" w:rsidP="00884DFC">
            <w:pPr>
              <w:autoSpaceDE w:val="0"/>
              <w:autoSpaceDN w:val="0"/>
              <w:adjustRightInd w:val="0"/>
              <w:spacing w:after="0" w:line="276" w:lineRule="auto"/>
              <w:jc w:val="both"/>
              <w:rPr>
                <w:rFonts w:ascii="Times New Roman" w:hAnsi="Times New Roman"/>
                <w:sz w:val="16"/>
                <w:szCs w:val="16"/>
              </w:rPr>
            </w:pPr>
            <w:r w:rsidRPr="00C35DC2">
              <w:rPr>
                <w:rFonts w:ascii="Times New Roman" w:hAnsi="Times New Roman"/>
                <w:bCs/>
                <w:sz w:val="16"/>
                <w:szCs w:val="16"/>
              </w:rPr>
              <w:t>-Choisir des groupes moins polluants ou mettre en place des dispositions anti-pollution</w:t>
            </w:r>
          </w:p>
        </w:tc>
        <w:tc>
          <w:tcPr>
            <w:tcW w:w="2845" w:type="dxa"/>
            <w:tcBorders>
              <w:top w:val="single" w:sz="4" w:space="0" w:color="auto"/>
              <w:left w:val="single" w:sz="4" w:space="0" w:color="auto"/>
              <w:bottom w:val="single" w:sz="4" w:space="0" w:color="auto"/>
              <w:right w:val="single" w:sz="4" w:space="0" w:color="auto"/>
            </w:tcBorders>
            <w:vAlign w:val="center"/>
          </w:tcPr>
          <w:p w:rsidR="003A6643" w:rsidRPr="00C35DC2" w:rsidRDefault="003A6643" w:rsidP="00884DFC">
            <w:pPr>
              <w:autoSpaceDE w:val="0"/>
              <w:autoSpaceDN w:val="0"/>
              <w:adjustRightInd w:val="0"/>
              <w:spacing w:after="0" w:line="276" w:lineRule="auto"/>
              <w:jc w:val="both"/>
              <w:rPr>
                <w:rFonts w:ascii="Times New Roman" w:hAnsi="Times New Roman"/>
                <w:sz w:val="16"/>
                <w:szCs w:val="16"/>
              </w:rPr>
            </w:pPr>
            <w:r w:rsidRPr="00C35DC2">
              <w:rPr>
                <w:rFonts w:ascii="Times New Roman" w:hAnsi="Times New Roman"/>
                <w:sz w:val="16"/>
                <w:szCs w:val="16"/>
              </w:rPr>
              <w:t xml:space="preserve">-Présence des locaux </w:t>
            </w:r>
          </w:p>
          <w:p w:rsidR="003A6643" w:rsidRPr="00C35DC2" w:rsidRDefault="003A6643" w:rsidP="00884DFC">
            <w:pPr>
              <w:autoSpaceDE w:val="0"/>
              <w:autoSpaceDN w:val="0"/>
              <w:adjustRightInd w:val="0"/>
              <w:spacing w:after="0" w:line="276" w:lineRule="auto"/>
              <w:jc w:val="both"/>
              <w:rPr>
                <w:rFonts w:ascii="Times New Roman" w:hAnsi="Times New Roman"/>
                <w:sz w:val="16"/>
                <w:szCs w:val="16"/>
              </w:rPr>
            </w:pPr>
            <w:r w:rsidRPr="00C35DC2">
              <w:rPr>
                <w:rFonts w:ascii="Times New Roman" w:hAnsi="Times New Roman"/>
                <w:sz w:val="16"/>
                <w:szCs w:val="16"/>
              </w:rPr>
              <w:t>-Présence des suspensions anti-vibratiles</w:t>
            </w:r>
          </w:p>
          <w:p w:rsidR="003A6643" w:rsidRPr="00C35DC2" w:rsidRDefault="003A6643" w:rsidP="00884DFC">
            <w:pPr>
              <w:autoSpaceDE w:val="0"/>
              <w:autoSpaceDN w:val="0"/>
              <w:adjustRightInd w:val="0"/>
              <w:spacing w:after="0" w:line="276" w:lineRule="auto"/>
              <w:jc w:val="both"/>
              <w:rPr>
                <w:rFonts w:ascii="Times New Roman" w:hAnsi="Times New Roman"/>
                <w:sz w:val="16"/>
                <w:szCs w:val="16"/>
              </w:rPr>
            </w:pPr>
            <w:r w:rsidRPr="00C35DC2">
              <w:rPr>
                <w:rFonts w:ascii="Times New Roman" w:hAnsi="Times New Roman"/>
                <w:sz w:val="16"/>
                <w:szCs w:val="16"/>
              </w:rPr>
              <w:t>-Présence de groupe électrogène silencieux</w:t>
            </w:r>
          </w:p>
          <w:p w:rsidR="003A6643" w:rsidRPr="00C35DC2" w:rsidRDefault="003A6643" w:rsidP="00884DFC">
            <w:pPr>
              <w:autoSpaceDE w:val="0"/>
              <w:autoSpaceDN w:val="0"/>
              <w:adjustRightInd w:val="0"/>
              <w:spacing w:after="0" w:line="276" w:lineRule="auto"/>
              <w:jc w:val="both"/>
              <w:rPr>
                <w:rFonts w:ascii="Times New Roman" w:hAnsi="Times New Roman"/>
                <w:sz w:val="16"/>
                <w:szCs w:val="16"/>
              </w:rPr>
            </w:pPr>
            <w:r w:rsidRPr="00C35DC2">
              <w:rPr>
                <w:rFonts w:ascii="Times New Roman" w:hAnsi="Times New Roman"/>
                <w:sz w:val="16"/>
                <w:szCs w:val="16"/>
              </w:rPr>
              <w:t>-</w:t>
            </w:r>
            <w:r w:rsidRPr="00C35DC2">
              <w:rPr>
                <w:rFonts w:ascii="Times New Roman" w:hAnsi="Times New Roman"/>
                <w:bCs/>
                <w:sz w:val="16"/>
                <w:szCs w:val="16"/>
              </w:rPr>
              <w:t xml:space="preserve"> Présence d’anti-pollution et n’affectant pas la qualité de l’air</w:t>
            </w:r>
          </w:p>
          <w:p w:rsidR="003A6643" w:rsidRPr="003A6643" w:rsidRDefault="003A6643" w:rsidP="00884DFC">
            <w:pPr>
              <w:autoSpaceDE w:val="0"/>
              <w:autoSpaceDN w:val="0"/>
              <w:adjustRightInd w:val="0"/>
              <w:spacing w:after="0" w:line="276" w:lineRule="auto"/>
              <w:jc w:val="both"/>
              <w:rPr>
                <w:rFonts w:ascii="Times New Roman" w:hAnsi="Times New Roman"/>
                <w:bCs/>
                <w:sz w:val="16"/>
                <w:szCs w:val="16"/>
              </w:rPr>
            </w:pPr>
            <w:r w:rsidRPr="00C35DC2">
              <w:rPr>
                <w:rFonts w:ascii="Times New Roman" w:hAnsi="Times New Roman"/>
                <w:sz w:val="16"/>
                <w:szCs w:val="16"/>
              </w:rPr>
              <w:t>- Présence des PV d’e</w:t>
            </w:r>
            <w:r>
              <w:rPr>
                <w:rFonts w:ascii="Times New Roman" w:hAnsi="Times New Roman"/>
                <w:bCs/>
                <w:sz w:val="16"/>
                <w:szCs w:val="16"/>
              </w:rPr>
              <w:t>ntretien</w:t>
            </w:r>
          </w:p>
        </w:tc>
        <w:tc>
          <w:tcPr>
            <w:tcW w:w="993"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rsidR="003A6643" w:rsidRPr="00C35DC2" w:rsidRDefault="003A6643" w:rsidP="00884DFC">
            <w:pPr>
              <w:autoSpaceDE w:val="0"/>
              <w:autoSpaceDN w:val="0"/>
              <w:adjustRightInd w:val="0"/>
              <w:spacing w:after="0" w:line="276" w:lineRule="auto"/>
              <w:jc w:val="center"/>
              <w:rPr>
                <w:rFonts w:ascii="Times New Roman" w:hAnsi="Times New Roman"/>
                <w:b/>
                <w:sz w:val="16"/>
                <w:szCs w:val="16"/>
              </w:rPr>
            </w:pPr>
            <w:r w:rsidRPr="00C35DC2">
              <w:rPr>
                <w:rFonts w:ascii="Times New Roman" w:hAnsi="Times New Roman"/>
                <w:b/>
                <w:sz w:val="16"/>
                <w:szCs w:val="16"/>
              </w:rPr>
              <w:t>EAGB</w:t>
            </w:r>
          </w:p>
          <w:p w:rsidR="003A6643" w:rsidRPr="00C35DC2" w:rsidRDefault="003A6643" w:rsidP="00884DFC">
            <w:pPr>
              <w:autoSpaceDE w:val="0"/>
              <w:autoSpaceDN w:val="0"/>
              <w:adjustRightInd w:val="0"/>
              <w:spacing w:after="0" w:line="276" w:lineRule="auto"/>
              <w:jc w:val="center"/>
              <w:rPr>
                <w:rFonts w:ascii="Times New Roman" w:hAnsi="Times New Roman"/>
                <w:b/>
                <w:sz w:val="16"/>
                <w:szCs w:val="16"/>
              </w:rPr>
            </w:pPr>
            <w:r w:rsidRPr="00C35DC2">
              <w:rPr>
                <w:rFonts w:ascii="Times New Roman" w:hAnsi="Times New Roman"/>
                <w:b/>
                <w:sz w:val="16"/>
                <w:szCs w:val="16"/>
              </w:rPr>
              <w:t>PUASEE-FA</w:t>
            </w:r>
          </w:p>
        </w:tc>
        <w:tc>
          <w:tcPr>
            <w:tcW w:w="1134"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rsidR="003A6643" w:rsidRPr="00C35DC2" w:rsidRDefault="003A6643" w:rsidP="00884DFC">
            <w:pPr>
              <w:autoSpaceDE w:val="0"/>
              <w:autoSpaceDN w:val="0"/>
              <w:adjustRightInd w:val="0"/>
              <w:spacing w:after="0" w:line="276" w:lineRule="auto"/>
              <w:jc w:val="center"/>
              <w:rPr>
                <w:rFonts w:ascii="Times New Roman" w:hAnsi="Times New Roman"/>
                <w:b/>
                <w:sz w:val="16"/>
                <w:szCs w:val="16"/>
              </w:rPr>
            </w:pPr>
          </w:p>
          <w:p w:rsidR="003A6643" w:rsidRPr="00C35DC2" w:rsidRDefault="003A6643" w:rsidP="00884DFC">
            <w:pPr>
              <w:autoSpaceDE w:val="0"/>
              <w:autoSpaceDN w:val="0"/>
              <w:adjustRightInd w:val="0"/>
              <w:spacing w:after="0" w:line="276" w:lineRule="auto"/>
              <w:jc w:val="center"/>
              <w:rPr>
                <w:rFonts w:ascii="Times New Roman" w:hAnsi="Times New Roman"/>
                <w:b/>
                <w:sz w:val="16"/>
                <w:szCs w:val="16"/>
              </w:rPr>
            </w:pPr>
            <w:r w:rsidRPr="00C35DC2">
              <w:rPr>
                <w:rFonts w:ascii="Times New Roman" w:hAnsi="Times New Roman"/>
                <w:b/>
                <w:sz w:val="16"/>
                <w:szCs w:val="16"/>
              </w:rPr>
              <w:t>Comité de suivi</w:t>
            </w:r>
          </w:p>
        </w:tc>
        <w:tc>
          <w:tcPr>
            <w:tcW w:w="978" w:type="dxa"/>
            <w:tcBorders>
              <w:top w:val="single" w:sz="4" w:space="0" w:color="auto"/>
              <w:left w:val="single" w:sz="4" w:space="0" w:color="auto"/>
              <w:bottom w:val="single" w:sz="4" w:space="0" w:color="auto"/>
              <w:right w:val="single" w:sz="4" w:space="0" w:color="auto"/>
            </w:tcBorders>
            <w:vAlign w:val="center"/>
            <w:hideMark/>
          </w:tcPr>
          <w:p w:rsidR="003A6643" w:rsidRPr="00C35DC2" w:rsidRDefault="003A6643" w:rsidP="00884DFC">
            <w:pPr>
              <w:autoSpaceDE w:val="0"/>
              <w:autoSpaceDN w:val="0"/>
              <w:adjustRightInd w:val="0"/>
              <w:spacing w:after="0" w:line="276" w:lineRule="auto"/>
              <w:jc w:val="center"/>
              <w:rPr>
                <w:rFonts w:ascii="Times New Roman" w:hAnsi="Times New Roman"/>
                <w:sz w:val="16"/>
                <w:szCs w:val="16"/>
              </w:rPr>
            </w:pPr>
            <w:r w:rsidRPr="00C35DC2">
              <w:rPr>
                <w:rFonts w:ascii="Times New Roman" w:hAnsi="Times New Roman"/>
                <w:sz w:val="16"/>
                <w:szCs w:val="16"/>
              </w:rPr>
              <w:t>Au début et en continu</w:t>
            </w:r>
          </w:p>
        </w:tc>
        <w:tc>
          <w:tcPr>
            <w:tcW w:w="865" w:type="dxa"/>
            <w:tcBorders>
              <w:top w:val="single" w:sz="4" w:space="0" w:color="auto"/>
              <w:left w:val="single" w:sz="4" w:space="0" w:color="auto"/>
              <w:bottom w:val="single" w:sz="4" w:space="0" w:color="auto"/>
              <w:right w:val="single" w:sz="4" w:space="0" w:color="auto"/>
            </w:tcBorders>
            <w:vAlign w:val="center"/>
          </w:tcPr>
          <w:p w:rsidR="003A6643" w:rsidRPr="00C35DC2" w:rsidRDefault="003A6643" w:rsidP="00884DFC">
            <w:pPr>
              <w:autoSpaceDE w:val="0"/>
              <w:autoSpaceDN w:val="0"/>
              <w:adjustRightInd w:val="0"/>
              <w:spacing w:after="0" w:line="276" w:lineRule="auto"/>
              <w:jc w:val="center"/>
              <w:rPr>
                <w:rFonts w:ascii="Times New Roman" w:hAnsi="Times New Roman"/>
                <w:sz w:val="16"/>
                <w:szCs w:val="16"/>
              </w:rPr>
            </w:pPr>
            <w:r w:rsidRPr="00C35DC2">
              <w:rPr>
                <w:rFonts w:ascii="Times New Roman" w:hAnsi="Times New Roman"/>
                <w:sz w:val="16"/>
                <w:szCs w:val="16"/>
              </w:rPr>
              <w:t>Trois fois par an</w:t>
            </w:r>
          </w:p>
        </w:tc>
        <w:tc>
          <w:tcPr>
            <w:tcW w:w="1133" w:type="dxa"/>
            <w:tcBorders>
              <w:top w:val="single" w:sz="4" w:space="0" w:color="auto"/>
              <w:left w:val="single" w:sz="4" w:space="0" w:color="auto"/>
              <w:bottom w:val="single" w:sz="4" w:space="0" w:color="auto"/>
              <w:right w:val="single" w:sz="4" w:space="0" w:color="auto"/>
            </w:tcBorders>
            <w:vAlign w:val="center"/>
            <w:hideMark/>
          </w:tcPr>
          <w:p w:rsidR="003A6643" w:rsidRPr="00C35DC2" w:rsidRDefault="003A6643" w:rsidP="00884DFC">
            <w:pPr>
              <w:autoSpaceDE w:val="0"/>
              <w:autoSpaceDN w:val="0"/>
              <w:adjustRightInd w:val="0"/>
              <w:spacing w:after="0" w:line="276" w:lineRule="auto"/>
              <w:jc w:val="center"/>
              <w:rPr>
                <w:rFonts w:ascii="Times New Roman" w:hAnsi="Times New Roman"/>
                <w:b/>
                <w:sz w:val="16"/>
                <w:szCs w:val="16"/>
              </w:rPr>
            </w:pPr>
            <w:r w:rsidRPr="00C35DC2">
              <w:rPr>
                <w:rFonts w:ascii="Times New Roman" w:hAnsi="Times New Roman"/>
                <w:b/>
                <w:sz w:val="16"/>
                <w:szCs w:val="16"/>
              </w:rPr>
              <w:t>4 000 000</w:t>
            </w:r>
          </w:p>
        </w:tc>
      </w:tr>
      <w:tr w:rsidR="001A349D" w:rsidRPr="00C35DC2" w:rsidTr="001A349D">
        <w:trPr>
          <w:trHeight w:val="1049"/>
          <w:jc w:val="center"/>
        </w:trPr>
        <w:tc>
          <w:tcPr>
            <w:tcW w:w="1008" w:type="dxa"/>
            <w:vMerge/>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3A6643" w:rsidRPr="00C35DC2" w:rsidRDefault="003A6643" w:rsidP="00884DFC">
            <w:pPr>
              <w:autoSpaceDE w:val="0"/>
              <w:autoSpaceDN w:val="0"/>
              <w:adjustRightInd w:val="0"/>
              <w:spacing w:after="0" w:line="276" w:lineRule="auto"/>
              <w:jc w:val="center"/>
              <w:rPr>
                <w:rFonts w:ascii="Times New Roman" w:hAnsi="Times New Roman"/>
                <w:b/>
                <w:bCs/>
                <w:sz w:val="16"/>
                <w:szCs w:val="16"/>
              </w:rPr>
            </w:pPr>
          </w:p>
        </w:tc>
        <w:tc>
          <w:tcPr>
            <w:tcW w:w="2386" w:type="dxa"/>
            <w:tcBorders>
              <w:top w:val="single" w:sz="4" w:space="0" w:color="auto"/>
              <w:left w:val="single" w:sz="4" w:space="0" w:color="auto"/>
              <w:bottom w:val="single" w:sz="4" w:space="0" w:color="auto"/>
              <w:right w:val="single" w:sz="4" w:space="0" w:color="auto"/>
            </w:tcBorders>
            <w:vAlign w:val="center"/>
          </w:tcPr>
          <w:p w:rsidR="003A6643" w:rsidRPr="00C35DC2" w:rsidRDefault="003A6643" w:rsidP="00884DFC">
            <w:pPr>
              <w:autoSpaceDE w:val="0"/>
              <w:autoSpaceDN w:val="0"/>
              <w:adjustRightInd w:val="0"/>
              <w:spacing w:after="0" w:line="276" w:lineRule="auto"/>
              <w:jc w:val="both"/>
              <w:rPr>
                <w:rFonts w:ascii="Times New Roman" w:hAnsi="Times New Roman"/>
                <w:sz w:val="16"/>
                <w:szCs w:val="16"/>
              </w:rPr>
            </w:pPr>
            <w:r w:rsidRPr="00C35DC2">
              <w:rPr>
                <w:rFonts w:ascii="Times New Roman" w:hAnsi="Times New Roman"/>
                <w:bCs/>
                <w:sz w:val="16"/>
                <w:szCs w:val="16"/>
              </w:rPr>
              <w:t xml:space="preserve">Risque d’engendrer des perturbations au niveau des réseaux de distribution d’eau ou des risques d’arrêt de </w:t>
            </w:r>
            <w:r w:rsidRPr="00C35DC2">
              <w:rPr>
                <w:rFonts w:ascii="Times New Roman" w:hAnsi="Times New Roman"/>
                <w:bCs/>
                <w:sz w:val="16"/>
                <w:szCs w:val="16"/>
              </w:rPr>
              <w:lastRenderedPageBreak/>
              <w:t>fonctionnement des réservoirs pendant des heures.</w:t>
            </w:r>
          </w:p>
        </w:tc>
        <w:tc>
          <w:tcPr>
            <w:tcW w:w="4529" w:type="dxa"/>
            <w:tcBorders>
              <w:top w:val="single" w:sz="4" w:space="0" w:color="auto"/>
              <w:left w:val="single" w:sz="4" w:space="0" w:color="auto"/>
              <w:bottom w:val="single" w:sz="4" w:space="0" w:color="auto"/>
              <w:right w:val="single" w:sz="4" w:space="0" w:color="auto"/>
            </w:tcBorders>
            <w:vAlign w:val="center"/>
          </w:tcPr>
          <w:p w:rsidR="003A6643" w:rsidRPr="00C35DC2" w:rsidRDefault="003A6643" w:rsidP="00884DFC">
            <w:pPr>
              <w:spacing w:after="0" w:line="276" w:lineRule="auto"/>
              <w:jc w:val="both"/>
              <w:rPr>
                <w:rFonts w:ascii="Times New Roman" w:hAnsi="Times New Roman"/>
                <w:bCs/>
                <w:sz w:val="16"/>
                <w:szCs w:val="16"/>
              </w:rPr>
            </w:pPr>
            <w:r w:rsidRPr="00C35DC2">
              <w:rPr>
                <w:rFonts w:ascii="Times New Roman" w:hAnsi="Times New Roman"/>
                <w:bCs/>
                <w:sz w:val="16"/>
                <w:szCs w:val="16"/>
              </w:rPr>
              <w:lastRenderedPageBreak/>
              <w:t>-Informer les utilisateurs lors des travaux d’entretien et de réparation ;</w:t>
            </w:r>
          </w:p>
          <w:p w:rsidR="003A6643" w:rsidRPr="00C35DC2" w:rsidRDefault="003A6643" w:rsidP="00884DFC">
            <w:pPr>
              <w:spacing w:after="0" w:line="276" w:lineRule="auto"/>
              <w:jc w:val="both"/>
              <w:rPr>
                <w:rFonts w:ascii="Times New Roman" w:hAnsi="Times New Roman"/>
                <w:bCs/>
                <w:sz w:val="16"/>
                <w:szCs w:val="16"/>
              </w:rPr>
            </w:pPr>
            <w:r w:rsidRPr="00C35DC2">
              <w:rPr>
                <w:rFonts w:ascii="Times New Roman" w:hAnsi="Times New Roman"/>
                <w:bCs/>
                <w:sz w:val="16"/>
                <w:szCs w:val="16"/>
              </w:rPr>
              <w:t>-Faire des spots à la télévision en indiquant les zones concernées ;</w:t>
            </w:r>
          </w:p>
          <w:p w:rsidR="003A6643" w:rsidRPr="00C35DC2" w:rsidRDefault="003A6643" w:rsidP="00884DFC">
            <w:pPr>
              <w:spacing w:after="0" w:line="276" w:lineRule="auto"/>
              <w:jc w:val="both"/>
              <w:rPr>
                <w:rFonts w:ascii="Times New Roman" w:hAnsi="Times New Roman"/>
                <w:bCs/>
                <w:sz w:val="16"/>
                <w:szCs w:val="16"/>
              </w:rPr>
            </w:pPr>
            <w:r w:rsidRPr="00C35DC2">
              <w:rPr>
                <w:rFonts w:ascii="Times New Roman" w:hAnsi="Times New Roman"/>
                <w:bCs/>
                <w:sz w:val="16"/>
                <w:szCs w:val="16"/>
              </w:rPr>
              <w:t>-Elaborer un plan de communication ;</w:t>
            </w:r>
          </w:p>
          <w:p w:rsidR="003A6643" w:rsidRPr="00C35DC2" w:rsidRDefault="003A6643" w:rsidP="00884DFC">
            <w:pPr>
              <w:spacing w:after="0" w:line="276" w:lineRule="auto"/>
              <w:jc w:val="both"/>
              <w:rPr>
                <w:rFonts w:ascii="Times New Roman" w:hAnsi="Times New Roman"/>
                <w:bCs/>
                <w:sz w:val="16"/>
                <w:szCs w:val="16"/>
              </w:rPr>
            </w:pPr>
            <w:r w:rsidRPr="00C35DC2">
              <w:rPr>
                <w:rFonts w:ascii="Times New Roman" w:hAnsi="Times New Roman"/>
                <w:bCs/>
                <w:sz w:val="16"/>
                <w:szCs w:val="16"/>
              </w:rPr>
              <w:lastRenderedPageBreak/>
              <w:t>- Mettre en place des plannings bien adaptés par rapport au fonctionnement des activités du milieu.</w:t>
            </w:r>
          </w:p>
        </w:tc>
        <w:tc>
          <w:tcPr>
            <w:tcW w:w="2845" w:type="dxa"/>
            <w:tcBorders>
              <w:top w:val="single" w:sz="4" w:space="0" w:color="auto"/>
              <w:left w:val="single" w:sz="4" w:space="0" w:color="auto"/>
              <w:bottom w:val="single" w:sz="4" w:space="0" w:color="auto"/>
              <w:right w:val="single" w:sz="4" w:space="0" w:color="auto"/>
            </w:tcBorders>
            <w:vAlign w:val="center"/>
          </w:tcPr>
          <w:p w:rsidR="003A6643" w:rsidRPr="00C35DC2" w:rsidRDefault="003A6643" w:rsidP="00884DFC">
            <w:pPr>
              <w:autoSpaceDE w:val="0"/>
              <w:autoSpaceDN w:val="0"/>
              <w:adjustRightInd w:val="0"/>
              <w:spacing w:after="0" w:line="276" w:lineRule="auto"/>
              <w:jc w:val="both"/>
              <w:rPr>
                <w:rFonts w:ascii="Times New Roman" w:hAnsi="Times New Roman"/>
                <w:sz w:val="16"/>
                <w:szCs w:val="16"/>
              </w:rPr>
            </w:pPr>
            <w:r w:rsidRPr="00C35DC2">
              <w:rPr>
                <w:rFonts w:ascii="Times New Roman" w:hAnsi="Times New Roman"/>
                <w:sz w:val="16"/>
                <w:szCs w:val="16"/>
              </w:rPr>
              <w:lastRenderedPageBreak/>
              <w:t>-Nombre de personnes ou utilisateurs informés ;</w:t>
            </w:r>
          </w:p>
          <w:p w:rsidR="003A6643" w:rsidRPr="00C35DC2" w:rsidRDefault="003A6643" w:rsidP="00884DFC">
            <w:pPr>
              <w:autoSpaceDE w:val="0"/>
              <w:autoSpaceDN w:val="0"/>
              <w:adjustRightInd w:val="0"/>
              <w:spacing w:after="0" w:line="276" w:lineRule="auto"/>
              <w:jc w:val="both"/>
              <w:rPr>
                <w:rFonts w:ascii="Times New Roman" w:hAnsi="Times New Roman"/>
                <w:sz w:val="16"/>
                <w:szCs w:val="16"/>
              </w:rPr>
            </w:pPr>
            <w:r w:rsidRPr="00C35DC2">
              <w:rPr>
                <w:rFonts w:ascii="Times New Roman" w:hAnsi="Times New Roman"/>
                <w:sz w:val="16"/>
                <w:szCs w:val="16"/>
              </w:rPr>
              <w:t>-Présence d’un planning pour les activités de contrôle des réservoirs ;</w:t>
            </w:r>
          </w:p>
          <w:p w:rsidR="003A6643" w:rsidRPr="00C35DC2" w:rsidRDefault="003A6643" w:rsidP="00884DFC">
            <w:pPr>
              <w:autoSpaceDE w:val="0"/>
              <w:autoSpaceDN w:val="0"/>
              <w:adjustRightInd w:val="0"/>
              <w:spacing w:after="0" w:line="276" w:lineRule="auto"/>
              <w:jc w:val="both"/>
              <w:rPr>
                <w:rFonts w:ascii="Times New Roman" w:hAnsi="Times New Roman"/>
                <w:sz w:val="16"/>
                <w:szCs w:val="16"/>
              </w:rPr>
            </w:pPr>
            <w:r w:rsidRPr="00C35DC2">
              <w:rPr>
                <w:rFonts w:ascii="Times New Roman" w:hAnsi="Times New Roman"/>
                <w:sz w:val="16"/>
                <w:szCs w:val="16"/>
              </w:rPr>
              <w:lastRenderedPageBreak/>
              <w:t>-Présence d’un plan de circulation en cas de forte réparation sur les voies d’accès ;</w:t>
            </w:r>
          </w:p>
          <w:p w:rsidR="003A6643" w:rsidRPr="00C35DC2" w:rsidRDefault="003A6643" w:rsidP="00884DFC">
            <w:pPr>
              <w:autoSpaceDE w:val="0"/>
              <w:autoSpaceDN w:val="0"/>
              <w:adjustRightInd w:val="0"/>
              <w:spacing w:after="0" w:line="276" w:lineRule="auto"/>
              <w:jc w:val="both"/>
              <w:rPr>
                <w:rFonts w:ascii="Times New Roman" w:hAnsi="Times New Roman"/>
                <w:sz w:val="16"/>
                <w:szCs w:val="16"/>
              </w:rPr>
            </w:pPr>
            <w:r w:rsidRPr="00C35DC2">
              <w:rPr>
                <w:rFonts w:ascii="Times New Roman" w:hAnsi="Times New Roman"/>
                <w:sz w:val="16"/>
                <w:szCs w:val="16"/>
              </w:rPr>
              <w:t>-Présence d’un plan de communication ;</w:t>
            </w:r>
          </w:p>
        </w:tc>
        <w:tc>
          <w:tcPr>
            <w:tcW w:w="993"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3A6643" w:rsidRPr="00C35DC2" w:rsidRDefault="003A6643" w:rsidP="00884DFC">
            <w:pPr>
              <w:autoSpaceDE w:val="0"/>
              <w:autoSpaceDN w:val="0"/>
              <w:adjustRightInd w:val="0"/>
              <w:spacing w:after="0" w:line="276" w:lineRule="auto"/>
              <w:jc w:val="center"/>
              <w:rPr>
                <w:rFonts w:ascii="Times New Roman" w:hAnsi="Times New Roman"/>
                <w:b/>
                <w:sz w:val="16"/>
                <w:szCs w:val="16"/>
              </w:rPr>
            </w:pPr>
            <w:r w:rsidRPr="00C35DC2">
              <w:rPr>
                <w:rFonts w:ascii="Times New Roman" w:hAnsi="Times New Roman"/>
                <w:b/>
                <w:sz w:val="16"/>
                <w:szCs w:val="16"/>
              </w:rPr>
              <w:lastRenderedPageBreak/>
              <w:t>EAGB</w:t>
            </w:r>
          </w:p>
          <w:p w:rsidR="003A6643" w:rsidRPr="00C35DC2" w:rsidRDefault="003A6643" w:rsidP="00884DFC">
            <w:pPr>
              <w:autoSpaceDE w:val="0"/>
              <w:autoSpaceDN w:val="0"/>
              <w:adjustRightInd w:val="0"/>
              <w:spacing w:after="0" w:line="276" w:lineRule="auto"/>
              <w:jc w:val="center"/>
              <w:rPr>
                <w:rFonts w:ascii="Times New Roman" w:hAnsi="Times New Roman"/>
                <w:b/>
                <w:sz w:val="16"/>
                <w:szCs w:val="16"/>
              </w:rPr>
            </w:pPr>
          </w:p>
        </w:tc>
        <w:tc>
          <w:tcPr>
            <w:tcW w:w="1134"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3A6643" w:rsidRPr="00C35DC2" w:rsidRDefault="003A6643" w:rsidP="00884DFC">
            <w:pPr>
              <w:autoSpaceDE w:val="0"/>
              <w:autoSpaceDN w:val="0"/>
              <w:adjustRightInd w:val="0"/>
              <w:spacing w:after="0" w:line="276" w:lineRule="auto"/>
              <w:jc w:val="center"/>
              <w:rPr>
                <w:rFonts w:ascii="Times New Roman" w:hAnsi="Times New Roman"/>
                <w:b/>
                <w:sz w:val="16"/>
                <w:szCs w:val="16"/>
              </w:rPr>
            </w:pPr>
            <w:r w:rsidRPr="00C35DC2">
              <w:rPr>
                <w:rFonts w:ascii="Times New Roman" w:hAnsi="Times New Roman"/>
                <w:b/>
                <w:sz w:val="16"/>
                <w:szCs w:val="16"/>
              </w:rPr>
              <w:t>Comité de suivi</w:t>
            </w:r>
          </w:p>
          <w:p w:rsidR="003A6643" w:rsidRPr="00C35DC2" w:rsidRDefault="003A6643" w:rsidP="00884DFC">
            <w:pPr>
              <w:autoSpaceDE w:val="0"/>
              <w:autoSpaceDN w:val="0"/>
              <w:adjustRightInd w:val="0"/>
              <w:spacing w:after="0" w:line="276" w:lineRule="auto"/>
              <w:jc w:val="center"/>
              <w:rPr>
                <w:rFonts w:ascii="Times New Roman" w:hAnsi="Times New Roman"/>
                <w:b/>
                <w:sz w:val="16"/>
                <w:szCs w:val="16"/>
              </w:rPr>
            </w:pPr>
          </w:p>
          <w:p w:rsidR="003A6643" w:rsidRPr="00C35DC2" w:rsidRDefault="003A6643" w:rsidP="00884DFC">
            <w:pPr>
              <w:autoSpaceDE w:val="0"/>
              <w:autoSpaceDN w:val="0"/>
              <w:adjustRightInd w:val="0"/>
              <w:spacing w:after="0" w:line="276" w:lineRule="auto"/>
              <w:jc w:val="center"/>
              <w:rPr>
                <w:rFonts w:ascii="Times New Roman" w:hAnsi="Times New Roman"/>
                <w:b/>
                <w:sz w:val="16"/>
                <w:szCs w:val="16"/>
              </w:rPr>
            </w:pPr>
            <w:r w:rsidRPr="00C35DC2">
              <w:rPr>
                <w:rFonts w:ascii="Times New Roman" w:hAnsi="Times New Roman"/>
                <w:b/>
                <w:sz w:val="16"/>
                <w:szCs w:val="16"/>
              </w:rPr>
              <w:t>PUASEE-FA</w:t>
            </w:r>
          </w:p>
        </w:tc>
        <w:tc>
          <w:tcPr>
            <w:tcW w:w="978" w:type="dxa"/>
            <w:tcBorders>
              <w:top w:val="single" w:sz="4" w:space="0" w:color="auto"/>
              <w:left w:val="single" w:sz="4" w:space="0" w:color="auto"/>
              <w:bottom w:val="single" w:sz="4" w:space="0" w:color="auto"/>
              <w:right w:val="single" w:sz="4" w:space="0" w:color="auto"/>
            </w:tcBorders>
            <w:vAlign w:val="center"/>
          </w:tcPr>
          <w:p w:rsidR="003A6643" w:rsidRPr="00C35DC2" w:rsidRDefault="003A6643" w:rsidP="00884DFC">
            <w:pPr>
              <w:autoSpaceDE w:val="0"/>
              <w:autoSpaceDN w:val="0"/>
              <w:adjustRightInd w:val="0"/>
              <w:spacing w:after="0" w:line="276" w:lineRule="auto"/>
              <w:jc w:val="center"/>
              <w:rPr>
                <w:rFonts w:ascii="Times New Roman" w:hAnsi="Times New Roman"/>
                <w:sz w:val="16"/>
                <w:szCs w:val="16"/>
              </w:rPr>
            </w:pPr>
            <w:r w:rsidRPr="00C35DC2">
              <w:rPr>
                <w:rFonts w:ascii="Times New Roman" w:hAnsi="Times New Roman"/>
                <w:sz w:val="16"/>
                <w:szCs w:val="16"/>
              </w:rPr>
              <w:t>Au début et en continu</w:t>
            </w:r>
          </w:p>
        </w:tc>
        <w:tc>
          <w:tcPr>
            <w:tcW w:w="865" w:type="dxa"/>
            <w:tcBorders>
              <w:top w:val="single" w:sz="4" w:space="0" w:color="auto"/>
              <w:left w:val="single" w:sz="4" w:space="0" w:color="auto"/>
              <w:bottom w:val="single" w:sz="4" w:space="0" w:color="auto"/>
              <w:right w:val="single" w:sz="4" w:space="0" w:color="auto"/>
            </w:tcBorders>
            <w:vAlign w:val="center"/>
          </w:tcPr>
          <w:p w:rsidR="003A6643" w:rsidRPr="00C35DC2" w:rsidRDefault="003A6643" w:rsidP="00884DFC">
            <w:pPr>
              <w:autoSpaceDE w:val="0"/>
              <w:autoSpaceDN w:val="0"/>
              <w:adjustRightInd w:val="0"/>
              <w:spacing w:after="0" w:line="276" w:lineRule="auto"/>
              <w:jc w:val="center"/>
              <w:rPr>
                <w:rFonts w:ascii="Times New Roman" w:hAnsi="Times New Roman"/>
                <w:sz w:val="16"/>
                <w:szCs w:val="16"/>
              </w:rPr>
            </w:pPr>
            <w:r w:rsidRPr="00C35DC2">
              <w:rPr>
                <w:rFonts w:ascii="Times New Roman" w:hAnsi="Times New Roman"/>
                <w:sz w:val="16"/>
                <w:szCs w:val="16"/>
              </w:rPr>
              <w:t>Avant chaque réparation du réseau</w:t>
            </w:r>
          </w:p>
        </w:tc>
        <w:tc>
          <w:tcPr>
            <w:tcW w:w="1133" w:type="dxa"/>
            <w:tcBorders>
              <w:top w:val="single" w:sz="4" w:space="0" w:color="auto"/>
              <w:left w:val="single" w:sz="4" w:space="0" w:color="auto"/>
              <w:bottom w:val="single" w:sz="4" w:space="0" w:color="auto"/>
              <w:right w:val="single" w:sz="4" w:space="0" w:color="auto"/>
            </w:tcBorders>
            <w:vAlign w:val="center"/>
          </w:tcPr>
          <w:p w:rsidR="003A6643" w:rsidRPr="00C35DC2" w:rsidRDefault="003A6643" w:rsidP="00884DFC">
            <w:pPr>
              <w:autoSpaceDE w:val="0"/>
              <w:autoSpaceDN w:val="0"/>
              <w:adjustRightInd w:val="0"/>
              <w:spacing w:after="0" w:line="276" w:lineRule="auto"/>
              <w:jc w:val="center"/>
              <w:rPr>
                <w:rFonts w:ascii="Times New Roman" w:hAnsi="Times New Roman"/>
                <w:b/>
                <w:sz w:val="16"/>
                <w:szCs w:val="16"/>
              </w:rPr>
            </w:pPr>
            <w:r w:rsidRPr="00C35DC2">
              <w:rPr>
                <w:rFonts w:ascii="Times New Roman" w:hAnsi="Times New Roman"/>
                <w:b/>
                <w:sz w:val="16"/>
                <w:szCs w:val="16"/>
              </w:rPr>
              <w:t> 4 000 000</w:t>
            </w:r>
          </w:p>
        </w:tc>
      </w:tr>
      <w:tr w:rsidR="001A349D" w:rsidRPr="00C35DC2" w:rsidTr="001A349D">
        <w:trPr>
          <w:trHeight w:val="678"/>
          <w:jc w:val="center"/>
        </w:trPr>
        <w:tc>
          <w:tcPr>
            <w:tcW w:w="1008" w:type="dxa"/>
            <w:vMerge/>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3A6643" w:rsidRPr="00C35DC2" w:rsidRDefault="003A6643" w:rsidP="00884DFC">
            <w:pPr>
              <w:autoSpaceDE w:val="0"/>
              <w:autoSpaceDN w:val="0"/>
              <w:adjustRightInd w:val="0"/>
              <w:spacing w:after="0" w:line="276" w:lineRule="auto"/>
              <w:jc w:val="center"/>
              <w:rPr>
                <w:rFonts w:ascii="Times New Roman" w:hAnsi="Times New Roman"/>
                <w:b/>
                <w:bCs/>
                <w:sz w:val="16"/>
                <w:szCs w:val="16"/>
              </w:rPr>
            </w:pPr>
          </w:p>
        </w:tc>
        <w:tc>
          <w:tcPr>
            <w:tcW w:w="2386" w:type="dxa"/>
            <w:tcBorders>
              <w:top w:val="single" w:sz="4" w:space="0" w:color="auto"/>
              <w:left w:val="single" w:sz="4" w:space="0" w:color="auto"/>
              <w:bottom w:val="single" w:sz="4" w:space="0" w:color="auto"/>
              <w:right w:val="single" w:sz="4" w:space="0" w:color="auto"/>
            </w:tcBorders>
            <w:vAlign w:val="center"/>
          </w:tcPr>
          <w:p w:rsidR="003A6643" w:rsidRPr="00C35DC2" w:rsidRDefault="003A6643" w:rsidP="00884DFC">
            <w:pPr>
              <w:autoSpaceDE w:val="0"/>
              <w:autoSpaceDN w:val="0"/>
              <w:adjustRightInd w:val="0"/>
              <w:spacing w:after="0" w:line="276" w:lineRule="auto"/>
              <w:jc w:val="both"/>
              <w:rPr>
                <w:rFonts w:ascii="Times New Roman" w:hAnsi="Times New Roman"/>
                <w:sz w:val="16"/>
                <w:szCs w:val="16"/>
              </w:rPr>
            </w:pPr>
            <w:r w:rsidRPr="00C35DC2">
              <w:rPr>
                <w:rFonts w:ascii="Times New Roman" w:hAnsi="Times New Roman"/>
                <w:bCs/>
                <w:sz w:val="16"/>
                <w:szCs w:val="16"/>
              </w:rPr>
              <w:t>Risque d’augmentation de l’insalubrité liée à la mauvaise gestion des eaux usées.</w:t>
            </w:r>
          </w:p>
        </w:tc>
        <w:tc>
          <w:tcPr>
            <w:tcW w:w="4529" w:type="dxa"/>
            <w:tcBorders>
              <w:top w:val="single" w:sz="4" w:space="0" w:color="auto"/>
              <w:left w:val="single" w:sz="4" w:space="0" w:color="auto"/>
              <w:bottom w:val="single" w:sz="4" w:space="0" w:color="auto"/>
              <w:right w:val="single" w:sz="4" w:space="0" w:color="auto"/>
            </w:tcBorders>
            <w:vAlign w:val="center"/>
          </w:tcPr>
          <w:p w:rsidR="003A6643" w:rsidRPr="00C35DC2" w:rsidRDefault="003A6643" w:rsidP="00884DFC">
            <w:pPr>
              <w:spacing w:after="0" w:line="276" w:lineRule="auto"/>
              <w:jc w:val="both"/>
              <w:rPr>
                <w:rFonts w:ascii="Times New Roman" w:hAnsi="Times New Roman"/>
                <w:bCs/>
                <w:sz w:val="16"/>
                <w:szCs w:val="16"/>
              </w:rPr>
            </w:pPr>
            <w:r w:rsidRPr="00C35DC2">
              <w:rPr>
                <w:rFonts w:ascii="Times New Roman" w:hAnsi="Times New Roman"/>
                <w:bCs/>
                <w:sz w:val="16"/>
                <w:szCs w:val="16"/>
              </w:rPr>
              <w:t>-Faire des campagnes de sensibilisation contre les effets négatifs des eaux usées ménagères déversées dans la rue ;</w:t>
            </w:r>
          </w:p>
          <w:p w:rsidR="003A6643" w:rsidRPr="00C35DC2" w:rsidRDefault="003A6643" w:rsidP="00884DFC">
            <w:pPr>
              <w:spacing w:after="0" w:line="276" w:lineRule="auto"/>
              <w:jc w:val="both"/>
              <w:rPr>
                <w:rFonts w:ascii="Times New Roman" w:hAnsi="Times New Roman"/>
                <w:bCs/>
                <w:sz w:val="16"/>
                <w:szCs w:val="16"/>
              </w:rPr>
            </w:pPr>
            <w:r w:rsidRPr="00C35DC2">
              <w:rPr>
                <w:rFonts w:ascii="Times New Roman" w:hAnsi="Times New Roman"/>
                <w:bCs/>
                <w:sz w:val="16"/>
                <w:szCs w:val="16"/>
              </w:rPr>
              <w:t>-Mettre en place des système d’assainissement des eaux usées dans le pays ;</w:t>
            </w:r>
          </w:p>
          <w:p w:rsidR="003A6643" w:rsidRPr="00C35DC2" w:rsidRDefault="003A6643" w:rsidP="00884DFC">
            <w:pPr>
              <w:spacing w:after="0" w:line="276" w:lineRule="auto"/>
              <w:jc w:val="both"/>
              <w:rPr>
                <w:rFonts w:ascii="Times New Roman" w:hAnsi="Times New Roman"/>
                <w:bCs/>
                <w:sz w:val="16"/>
                <w:szCs w:val="16"/>
              </w:rPr>
            </w:pPr>
            <w:r w:rsidRPr="00C35DC2">
              <w:rPr>
                <w:rFonts w:ascii="Times New Roman" w:hAnsi="Times New Roman"/>
                <w:bCs/>
                <w:sz w:val="16"/>
                <w:szCs w:val="16"/>
              </w:rPr>
              <w:t>-Encadrer et former les services d’assainissement, d’hygiène et de santé sur les risques existants ;</w:t>
            </w:r>
          </w:p>
          <w:p w:rsidR="003A6643" w:rsidRPr="00C35DC2" w:rsidRDefault="003A6643" w:rsidP="00884DFC">
            <w:pPr>
              <w:spacing w:after="0" w:line="276" w:lineRule="auto"/>
              <w:jc w:val="both"/>
              <w:rPr>
                <w:rFonts w:ascii="Times New Roman" w:hAnsi="Times New Roman"/>
                <w:bCs/>
                <w:sz w:val="16"/>
                <w:szCs w:val="16"/>
              </w:rPr>
            </w:pPr>
            <w:r w:rsidRPr="00C35DC2">
              <w:rPr>
                <w:rFonts w:ascii="Times New Roman" w:hAnsi="Times New Roman"/>
                <w:bCs/>
                <w:sz w:val="16"/>
                <w:szCs w:val="16"/>
              </w:rPr>
              <w:t>-Mettre en place de nouvelle loi et règlementation adaptée au niveau de l’assainissement.</w:t>
            </w:r>
          </w:p>
        </w:tc>
        <w:tc>
          <w:tcPr>
            <w:tcW w:w="2845" w:type="dxa"/>
            <w:tcBorders>
              <w:top w:val="single" w:sz="4" w:space="0" w:color="auto"/>
              <w:left w:val="single" w:sz="4" w:space="0" w:color="auto"/>
              <w:bottom w:val="single" w:sz="4" w:space="0" w:color="auto"/>
              <w:right w:val="single" w:sz="4" w:space="0" w:color="auto"/>
            </w:tcBorders>
            <w:vAlign w:val="center"/>
          </w:tcPr>
          <w:p w:rsidR="003A6643" w:rsidRPr="00C35DC2" w:rsidRDefault="003A6643" w:rsidP="00884DFC">
            <w:pPr>
              <w:autoSpaceDE w:val="0"/>
              <w:autoSpaceDN w:val="0"/>
              <w:adjustRightInd w:val="0"/>
              <w:spacing w:after="0" w:line="276" w:lineRule="auto"/>
              <w:jc w:val="both"/>
              <w:rPr>
                <w:rFonts w:ascii="Times New Roman" w:hAnsi="Times New Roman"/>
                <w:sz w:val="16"/>
                <w:szCs w:val="16"/>
              </w:rPr>
            </w:pPr>
            <w:r w:rsidRPr="00C35DC2">
              <w:rPr>
                <w:rFonts w:ascii="Times New Roman" w:hAnsi="Times New Roman"/>
                <w:sz w:val="16"/>
                <w:szCs w:val="16"/>
              </w:rPr>
              <w:t>-Nombre de campagne de sensibilisation effectué ;</w:t>
            </w:r>
          </w:p>
          <w:p w:rsidR="003A6643" w:rsidRPr="00C35DC2" w:rsidRDefault="003A6643" w:rsidP="00884DFC">
            <w:pPr>
              <w:autoSpaceDE w:val="0"/>
              <w:autoSpaceDN w:val="0"/>
              <w:adjustRightInd w:val="0"/>
              <w:spacing w:after="0" w:line="276" w:lineRule="auto"/>
              <w:jc w:val="both"/>
              <w:rPr>
                <w:rFonts w:ascii="Times New Roman" w:hAnsi="Times New Roman"/>
                <w:sz w:val="16"/>
                <w:szCs w:val="16"/>
              </w:rPr>
            </w:pPr>
            <w:r w:rsidRPr="00C35DC2">
              <w:rPr>
                <w:rFonts w:ascii="Times New Roman" w:hAnsi="Times New Roman"/>
                <w:sz w:val="16"/>
                <w:szCs w:val="16"/>
              </w:rPr>
              <w:t>-Présence d’un service spécialisé ;</w:t>
            </w:r>
          </w:p>
          <w:p w:rsidR="003A6643" w:rsidRPr="00C35DC2" w:rsidRDefault="003A6643" w:rsidP="00884DFC">
            <w:pPr>
              <w:autoSpaceDE w:val="0"/>
              <w:autoSpaceDN w:val="0"/>
              <w:adjustRightInd w:val="0"/>
              <w:spacing w:after="0" w:line="276" w:lineRule="auto"/>
              <w:jc w:val="both"/>
              <w:rPr>
                <w:rFonts w:ascii="Times New Roman" w:hAnsi="Times New Roman"/>
                <w:sz w:val="16"/>
                <w:szCs w:val="16"/>
              </w:rPr>
            </w:pPr>
            <w:r w:rsidRPr="00C35DC2">
              <w:rPr>
                <w:rFonts w:ascii="Times New Roman" w:hAnsi="Times New Roman"/>
                <w:sz w:val="16"/>
                <w:szCs w:val="16"/>
              </w:rPr>
              <w:t>-Nombre de personne encadré et formé ;</w:t>
            </w:r>
          </w:p>
          <w:p w:rsidR="003A6643" w:rsidRPr="00C35DC2" w:rsidRDefault="003A6643" w:rsidP="00884DFC">
            <w:pPr>
              <w:autoSpaceDE w:val="0"/>
              <w:autoSpaceDN w:val="0"/>
              <w:adjustRightInd w:val="0"/>
              <w:spacing w:after="0" w:line="276" w:lineRule="auto"/>
              <w:jc w:val="both"/>
              <w:rPr>
                <w:rFonts w:ascii="Times New Roman" w:hAnsi="Times New Roman"/>
                <w:sz w:val="16"/>
                <w:szCs w:val="16"/>
              </w:rPr>
            </w:pPr>
            <w:r w:rsidRPr="00C35DC2">
              <w:rPr>
                <w:rFonts w:ascii="Times New Roman" w:hAnsi="Times New Roman"/>
                <w:sz w:val="16"/>
                <w:szCs w:val="16"/>
              </w:rPr>
              <w:t>-Existence d’une loi ou règlementation ;</w:t>
            </w:r>
          </w:p>
        </w:tc>
        <w:tc>
          <w:tcPr>
            <w:tcW w:w="993"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3A6643" w:rsidRPr="00C35DC2" w:rsidRDefault="003A6643" w:rsidP="00884DFC">
            <w:pPr>
              <w:autoSpaceDE w:val="0"/>
              <w:autoSpaceDN w:val="0"/>
              <w:adjustRightInd w:val="0"/>
              <w:spacing w:after="0" w:line="276" w:lineRule="auto"/>
              <w:jc w:val="center"/>
              <w:rPr>
                <w:rFonts w:ascii="Times New Roman" w:hAnsi="Times New Roman"/>
                <w:b/>
                <w:sz w:val="16"/>
                <w:szCs w:val="16"/>
              </w:rPr>
            </w:pPr>
            <w:r w:rsidRPr="00C35DC2">
              <w:rPr>
                <w:rFonts w:ascii="Times New Roman" w:hAnsi="Times New Roman"/>
                <w:b/>
                <w:sz w:val="16"/>
                <w:szCs w:val="16"/>
              </w:rPr>
              <w:t>ETAT</w:t>
            </w:r>
          </w:p>
        </w:tc>
        <w:tc>
          <w:tcPr>
            <w:tcW w:w="1134"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3A6643" w:rsidRPr="00C35DC2" w:rsidRDefault="003A6643" w:rsidP="00884DFC">
            <w:pPr>
              <w:autoSpaceDE w:val="0"/>
              <w:autoSpaceDN w:val="0"/>
              <w:adjustRightInd w:val="0"/>
              <w:spacing w:after="0" w:line="276" w:lineRule="auto"/>
              <w:jc w:val="center"/>
              <w:rPr>
                <w:rFonts w:ascii="Times New Roman" w:hAnsi="Times New Roman"/>
                <w:b/>
                <w:sz w:val="16"/>
                <w:szCs w:val="16"/>
              </w:rPr>
            </w:pPr>
            <w:r w:rsidRPr="00C35DC2">
              <w:rPr>
                <w:rFonts w:ascii="Times New Roman" w:hAnsi="Times New Roman"/>
                <w:b/>
                <w:sz w:val="16"/>
                <w:szCs w:val="16"/>
              </w:rPr>
              <w:t>Comité de suivi</w:t>
            </w:r>
          </w:p>
        </w:tc>
        <w:tc>
          <w:tcPr>
            <w:tcW w:w="978" w:type="dxa"/>
            <w:tcBorders>
              <w:top w:val="single" w:sz="4" w:space="0" w:color="auto"/>
              <w:left w:val="single" w:sz="4" w:space="0" w:color="auto"/>
              <w:bottom w:val="single" w:sz="4" w:space="0" w:color="auto"/>
              <w:right w:val="single" w:sz="4" w:space="0" w:color="auto"/>
            </w:tcBorders>
            <w:vAlign w:val="center"/>
          </w:tcPr>
          <w:p w:rsidR="003A6643" w:rsidRPr="00C35DC2" w:rsidRDefault="003A6643" w:rsidP="00884DFC">
            <w:pPr>
              <w:autoSpaceDE w:val="0"/>
              <w:autoSpaceDN w:val="0"/>
              <w:adjustRightInd w:val="0"/>
              <w:spacing w:after="0" w:line="276" w:lineRule="auto"/>
              <w:jc w:val="center"/>
              <w:rPr>
                <w:rFonts w:ascii="Times New Roman" w:hAnsi="Times New Roman"/>
                <w:sz w:val="16"/>
                <w:szCs w:val="16"/>
              </w:rPr>
            </w:pPr>
            <w:r w:rsidRPr="00C35DC2">
              <w:rPr>
                <w:rFonts w:ascii="Times New Roman" w:hAnsi="Times New Roman"/>
                <w:sz w:val="16"/>
                <w:szCs w:val="16"/>
              </w:rPr>
              <w:t>Au début et en continu</w:t>
            </w:r>
          </w:p>
        </w:tc>
        <w:tc>
          <w:tcPr>
            <w:tcW w:w="865" w:type="dxa"/>
            <w:tcBorders>
              <w:top w:val="single" w:sz="4" w:space="0" w:color="auto"/>
              <w:left w:val="single" w:sz="4" w:space="0" w:color="auto"/>
              <w:bottom w:val="single" w:sz="4" w:space="0" w:color="auto"/>
              <w:right w:val="single" w:sz="4" w:space="0" w:color="auto"/>
            </w:tcBorders>
            <w:vAlign w:val="center"/>
          </w:tcPr>
          <w:p w:rsidR="003A6643" w:rsidRPr="00C35DC2" w:rsidRDefault="003A6643" w:rsidP="00884DFC">
            <w:pPr>
              <w:autoSpaceDE w:val="0"/>
              <w:autoSpaceDN w:val="0"/>
              <w:adjustRightInd w:val="0"/>
              <w:spacing w:after="0" w:line="276" w:lineRule="auto"/>
              <w:jc w:val="center"/>
              <w:rPr>
                <w:rFonts w:ascii="Times New Roman" w:hAnsi="Times New Roman"/>
                <w:sz w:val="16"/>
                <w:szCs w:val="16"/>
              </w:rPr>
            </w:pPr>
            <w:r w:rsidRPr="00C35DC2">
              <w:rPr>
                <w:rFonts w:ascii="Times New Roman" w:hAnsi="Times New Roman"/>
                <w:sz w:val="16"/>
                <w:szCs w:val="16"/>
              </w:rPr>
              <w:t>Trois fois par an</w:t>
            </w:r>
          </w:p>
        </w:tc>
        <w:tc>
          <w:tcPr>
            <w:tcW w:w="1133" w:type="dxa"/>
            <w:tcBorders>
              <w:top w:val="single" w:sz="4" w:space="0" w:color="auto"/>
              <w:left w:val="single" w:sz="4" w:space="0" w:color="auto"/>
              <w:bottom w:val="single" w:sz="4" w:space="0" w:color="auto"/>
              <w:right w:val="single" w:sz="4" w:space="0" w:color="auto"/>
            </w:tcBorders>
            <w:vAlign w:val="center"/>
          </w:tcPr>
          <w:p w:rsidR="003A6643" w:rsidRPr="00C35DC2" w:rsidRDefault="003A6643" w:rsidP="00884DFC">
            <w:pPr>
              <w:autoSpaceDE w:val="0"/>
              <w:autoSpaceDN w:val="0"/>
              <w:adjustRightInd w:val="0"/>
              <w:spacing w:after="0" w:line="276" w:lineRule="auto"/>
              <w:jc w:val="center"/>
              <w:rPr>
                <w:rFonts w:ascii="Times New Roman" w:hAnsi="Times New Roman"/>
                <w:b/>
                <w:sz w:val="16"/>
                <w:szCs w:val="16"/>
              </w:rPr>
            </w:pPr>
            <w:r w:rsidRPr="00C35DC2">
              <w:rPr>
                <w:rFonts w:ascii="Times New Roman" w:hAnsi="Times New Roman"/>
                <w:b/>
                <w:sz w:val="16"/>
                <w:szCs w:val="16"/>
              </w:rPr>
              <w:t>PM</w:t>
            </w:r>
          </w:p>
        </w:tc>
      </w:tr>
      <w:tr w:rsidR="003A6643" w:rsidRPr="00C35DC2" w:rsidTr="001A349D">
        <w:trPr>
          <w:trHeight w:val="70"/>
          <w:jc w:val="center"/>
        </w:trPr>
        <w:tc>
          <w:tcPr>
            <w:tcW w:w="14738" w:type="dxa"/>
            <w:gridSpan w:val="8"/>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rsidR="003A6643" w:rsidRPr="00C35DC2" w:rsidRDefault="003A6643" w:rsidP="00884DFC">
            <w:pPr>
              <w:autoSpaceDE w:val="0"/>
              <w:autoSpaceDN w:val="0"/>
              <w:adjustRightInd w:val="0"/>
              <w:spacing w:after="0" w:line="276" w:lineRule="auto"/>
              <w:jc w:val="center"/>
              <w:rPr>
                <w:rFonts w:ascii="Times New Roman" w:hAnsi="Times New Roman"/>
                <w:b/>
                <w:bCs/>
                <w:sz w:val="16"/>
                <w:szCs w:val="16"/>
              </w:rPr>
            </w:pPr>
            <w:r w:rsidRPr="00C35DC2">
              <w:rPr>
                <w:rFonts w:ascii="Times New Roman" w:hAnsi="Times New Roman"/>
                <w:b/>
                <w:bCs/>
                <w:sz w:val="16"/>
                <w:szCs w:val="16"/>
              </w:rPr>
              <w:t xml:space="preserve"> TOTAL</w:t>
            </w:r>
          </w:p>
        </w:tc>
        <w:tc>
          <w:tcPr>
            <w:tcW w:w="1133"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rsidR="003A6643" w:rsidRPr="00C35DC2" w:rsidRDefault="003A6643" w:rsidP="00884DFC">
            <w:pPr>
              <w:autoSpaceDE w:val="0"/>
              <w:autoSpaceDN w:val="0"/>
              <w:adjustRightInd w:val="0"/>
              <w:spacing w:after="0" w:line="276" w:lineRule="auto"/>
              <w:jc w:val="center"/>
              <w:rPr>
                <w:rFonts w:ascii="Times New Roman" w:hAnsi="Times New Roman"/>
                <w:b/>
                <w:sz w:val="16"/>
                <w:szCs w:val="16"/>
              </w:rPr>
            </w:pPr>
            <w:r w:rsidRPr="00C35DC2">
              <w:rPr>
                <w:rFonts w:ascii="Times New Roman" w:hAnsi="Times New Roman"/>
                <w:b/>
                <w:sz w:val="16"/>
                <w:szCs w:val="16"/>
              </w:rPr>
              <w:t>8 000 000</w:t>
            </w:r>
          </w:p>
        </w:tc>
      </w:tr>
    </w:tbl>
    <w:p w:rsidR="003A6643" w:rsidRPr="00D335A7" w:rsidRDefault="003A6643" w:rsidP="002C6E60">
      <w:pPr>
        <w:rPr>
          <w:rFonts w:ascii="Times New Roman" w:hAnsi="Times New Roman"/>
        </w:rPr>
      </w:pPr>
    </w:p>
    <w:p w:rsidR="002C6E60" w:rsidRPr="001A349D" w:rsidRDefault="002C6E60" w:rsidP="003A6643">
      <w:pPr>
        <w:pBdr>
          <w:top w:val="single" w:sz="4" w:space="1" w:color="auto"/>
          <w:left w:val="single" w:sz="4" w:space="4" w:color="auto"/>
          <w:bottom w:val="single" w:sz="4" w:space="1" w:color="auto"/>
          <w:right w:val="single" w:sz="4" w:space="31" w:color="auto"/>
        </w:pBdr>
        <w:shd w:val="clear" w:color="auto" w:fill="FFFFFF" w:themeFill="background1"/>
        <w:autoSpaceDE w:val="0"/>
        <w:autoSpaceDN w:val="0"/>
        <w:adjustRightInd w:val="0"/>
        <w:spacing w:after="0" w:line="276" w:lineRule="auto"/>
        <w:jc w:val="center"/>
        <w:rPr>
          <w:rFonts w:ascii="Times New Roman" w:hAnsi="Times New Roman"/>
          <w:b/>
          <w:bCs/>
          <w:color w:val="FF0000"/>
          <w:sz w:val="32"/>
          <w:szCs w:val="32"/>
        </w:rPr>
      </w:pPr>
      <w:r w:rsidRPr="001A349D">
        <w:rPr>
          <w:rFonts w:ascii="Times New Roman" w:hAnsi="Times New Roman"/>
          <w:b/>
          <w:bCs/>
          <w:color w:val="FF0000"/>
          <w:sz w:val="32"/>
          <w:szCs w:val="32"/>
        </w:rPr>
        <w:t xml:space="preserve">COUT GLOBAL DE LA MISE EN ŒUVRE DU PGES EST DE </w:t>
      </w:r>
    </w:p>
    <w:p w:rsidR="002C6E60" w:rsidRPr="001A349D" w:rsidRDefault="003A6643" w:rsidP="003A6643">
      <w:pPr>
        <w:pBdr>
          <w:top w:val="single" w:sz="4" w:space="1" w:color="auto"/>
          <w:left w:val="single" w:sz="4" w:space="4" w:color="auto"/>
          <w:bottom w:val="single" w:sz="4" w:space="1" w:color="auto"/>
          <w:right w:val="single" w:sz="4" w:space="31" w:color="auto"/>
        </w:pBdr>
        <w:shd w:val="clear" w:color="auto" w:fill="FFFFFF" w:themeFill="background1"/>
        <w:autoSpaceDE w:val="0"/>
        <w:autoSpaceDN w:val="0"/>
        <w:adjustRightInd w:val="0"/>
        <w:spacing w:after="0" w:line="276" w:lineRule="auto"/>
        <w:jc w:val="center"/>
        <w:rPr>
          <w:rFonts w:ascii="Times New Roman" w:hAnsi="Times New Roman"/>
          <w:b/>
          <w:bCs/>
          <w:color w:val="FF0000"/>
          <w:sz w:val="32"/>
          <w:szCs w:val="32"/>
        </w:rPr>
      </w:pPr>
      <w:r w:rsidRPr="001A349D">
        <w:rPr>
          <w:rFonts w:ascii="Times New Roman" w:hAnsi="Times New Roman"/>
          <w:b/>
          <w:bCs/>
          <w:color w:val="FF0000"/>
          <w:sz w:val="32"/>
          <w:szCs w:val="32"/>
        </w:rPr>
        <w:t>83 750 000 FCFA</w:t>
      </w:r>
    </w:p>
    <w:p w:rsidR="001A349D" w:rsidRDefault="002C6E60" w:rsidP="001A349D">
      <w:pPr>
        <w:pBdr>
          <w:top w:val="single" w:sz="4" w:space="1" w:color="auto"/>
          <w:left w:val="single" w:sz="4" w:space="4" w:color="auto"/>
          <w:bottom w:val="single" w:sz="4" w:space="1" w:color="auto"/>
          <w:right w:val="single" w:sz="4" w:space="31" w:color="auto"/>
        </w:pBdr>
        <w:jc w:val="center"/>
        <w:rPr>
          <w:rFonts w:ascii="Times New Roman" w:hAnsi="Times New Roman"/>
          <w:b/>
          <w:sz w:val="40"/>
          <w:szCs w:val="40"/>
        </w:rPr>
      </w:pPr>
      <w:r w:rsidRPr="001A349D">
        <w:rPr>
          <w:rFonts w:ascii="Times New Roman" w:hAnsi="Times New Roman"/>
          <w:b/>
          <w:sz w:val="40"/>
          <w:szCs w:val="40"/>
          <w:u w:val="single"/>
        </w:rPr>
        <w:t>Remarques</w:t>
      </w:r>
      <w:r w:rsidR="001A349D">
        <w:rPr>
          <w:rFonts w:ascii="Times New Roman" w:hAnsi="Times New Roman"/>
          <w:b/>
          <w:sz w:val="40"/>
          <w:szCs w:val="40"/>
        </w:rPr>
        <w:t xml:space="preserve"> :</w:t>
      </w:r>
    </w:p>
    <w:p w:rsidR="001A349D" w:rsidRPr="001A349D" w:rsidRDefault="002C6E60" w:rsidP="001A349D">
      <w:pPr>
        <w:pBdr>
          <w:top w:val="single" w:sz="4" w:space="1" w:color="auto"/>
          <w:left w:val="single" w:sz="4" w:space="4" w:color="auto"/>
          <w:bottom w:val="single" w:sz="4" w:space="1" w:color="auto"/>
          <w:right w:val="single" w:sz="4" w:space="31" w:color="auto"/>
        </w:pBdr>
        <w:jc w:val="both"/>
        <w:rPr>
          <w:rFonts w:ascii="Times New Roman" w:hAnsi="Times New Roman"/>
          <w:b/>
          <w:sz w:val="40"/>
          <w:szCs w:val="40"/>
        </w:rPr>
      </w:pPr>
      <w:r w:rsidRPr="00523A9F">
        <w:rPr>
          <w:rFonts w:ascii="Times New Roman" w:hAnsi="Times New Roman"/>
          <w:sz w:val="28"/>
          <w:szCs w:val="28"/>
        </w:rPr>
        <w:t>Les co</w:t>
      </w:r>
      <w:r>
        <w:rPr>
          <w:rFonts w:ascii="Times New Roman" w:hAnsi="Times New Roman"/>
          <w:sz w:val="28"/>
          <w:szCs w:val="28"/>
        </w:rPr>
        <w:t>û</w:t>
      </w:r>
      <w:r w:rsidRPr="00523A9F">
        <w:rPr>
          <w:rFonts w:ascii="Times New Roman" w:hAnsi="Times New Roman"/>
          <w:sz w:val="28"/>
          <w:szCs w:val="28"/>
        </w:rPr>
        <w:t>ts proposés dans le cadre de la mise en œuvre du PGES, ont été estimé</w:t>
      </w:r>
      <w:r>
        <w:rPr>
          <w:rFonts w:ascii="Times New Roman" w:hAnsi="Times New Roman"/>
          <w:sz w:val="28"/>
          <w:szCs w:val="28"/>
        </w:rPr>
        <w:t>s</w:t>
      </w:r>
      <w:r w:rsidRPr="00523A9F">
        <w:rPr>
          <w:rFonts w:ascii="Times New Roman" w:hAnsi="Times New Roman"/>
          <w:sz w:val="28"/>
          <w:szCs w:val="28"/>
        </w:rPr>
        <w:t xml:space="preserve"> sur la base de notre propre expérience, des échanges que nous avons eus avec les services techniques lors de la consultation publique, des prix appliqués dans la zone du projet et des réalités socio-économiques rencontrées sur le terrain.  Ces co</w:t>
      </w:r>
      <w:r>
        <w:rPr>
          <w:rFonts w:ascii="Times New Roman" w:hAnsi="Times New Roman"/>
          <w:sz w:val="28"/>
          <w:szCs w:val="28"/>
        </w:rPr>
        <w:t>û</w:t>
      </w:r>
      <w:r w:rsidRPr="00523A9F">
        <w:rPr>
          <w:rFonts w:ascii="Times New Roman" w:hAnsi="Times New Roman"/>
          <w:sz w:val="28"/>
          <w:szCs w:val="28"/>
        </w:rPr>
        <w:t>ts ne sont pas issus d’un calcul à partir de prix unitaires car ils y’a des mesures qui ne sont pas quantifiable</w:t>
      </w:r>
      <w:r>
        <w:rPr>
          <w:rFonts w:ascii="Times New Roman" w:hAnsi="Times New Roman"/>
          <w:sz w:val="28"/>
          <w:szCs w:val="28"/>
        </w:rPr>
        <w:t>s</w:t>
      </w:r>
      <w:r w:rsidRPr="00523A9F">
        <w:rPr>
          <w:rFonts w:ascii="Times New Roman" w:hAnsi="Times New Roman"/>
          <w:sz w:val="28"/>
          <w:szCs w:val="28"/>
        </w:rPr>
        <w:t>, elles dépendent uniquement des paramètres socio-économiques de la zone du projet. Il appartient au maitre d’ouvrage de faire une revue de ces co</w:t>
      </w:r>
      <w:r>
        <w:rPr>
          <w:rFonts w:ascii="Times New Roman" w:hAnsi="Times New Roman"/>
          <w:sz w:val="28"/>
          <w:szCs w:val="28"/>
        </w:rPr>
        <w:t>û</w:t>
      </w:r>
      <w:r w:rsidRPr="00523A9F">
        <w:rPr>
          <w:rFonts w:ascii="Times New Roman" w:hAnsi="Times New Roman"/>
          <w:sz w:val="28"/>
          <w:szCs w:val="28"/>
        </w:rPr>
        <w:t>ts pour mieux les adapter au cour</w:t>
      </w:r>
      <w:r>
        <w:rPr>
          <w:rFonts w:ascii="Times New Roman" w:hAnsi="Times New Roman"/>
          <w:sz w:val="28"/>
          <w:szCs w:val="28"/>
        </w:rPr>
        <w:t>s</w:t>
      </w:r>
      <w:r w:rsidRPr="00523A9F">
        <w:rPr>
          <w:rFonts w:ascii="Times New Roman" w:hAnsi="Times New Roman"/>
          <w:sz w:val="28"/>
          <w:szCs w:val="28"/>
        </w:rPr>
        <w:t xml:space="preserve"> des travaux.</w:t>
      </w:r>
    </w:p>
    <w:p w:rsidR="002C6E60" w:rsidRPr="00AB6BD8" w:rsidRDefault="002C6E60" w:rsidP="002C6E60">
      <w:pPr>
        <w:pBdr>
          <w:top w:val="single" w:sz="4" w:space="1" w:color="auto"/>
          <w:left w:val="single" w:sz="4" w:space="4" w:color="auto"/>
          <w:bottom w:val="single" w:sz="4" w:space="1" w:color="auto"/>
          <w:right w:val="single" w:sz="4" w:space="4" w:color="auto"/>
        </w:pBdr>
        <w:shd w:val="clear" w:color="auto" w:fill="E2EFD9" w:themeFill="accent6" w:themeFillTint="33"/>
        <w:spacing w:after="0" w:line="276" w:lineRule="auto"/>
        <w:jc w:val="center"/>
        <w:rPr>
          <w:rFonts w:ascii="Times New Roman" w:hAnsi="Times New Roman"/>
          <w:b/>
          <w:sz w:val="32"/>
          <w:szCs w:val="32"/>
          <w:u w:val="single"/>
        </w:rPr>
      </w:pPr>
      <w:r w:rsidRPr="00AB6BD8">
        <w:rPr>
          <w:rFonts w:ascii="Times New Roman" w:hAnsi="Times New Roman"/>
          <w:b/>
          <w:sz w:val="32"/>
          <w:szCs w:val="32"/>
          <w:u w:val="single"/>
        </w:rPr>
        <w:t>COUT ESTIMATIF DU SUIVI DE LA MISE EN ŒUVRE DU PGES PAR LE COMITE DE SUIVI A TRAVERS LE PROTOCOLE D’ACCORD AVEC LE PROMOTEUR EST DE :</w:t>
      </w:r>
    </w:p>
    <w:p w:rsidR="002C6E60" w:rsidRPr="00AB6BD8" w:rsidRDefault="002C6E60" w:rsidP="002C6E60">
      <w:pPr>
        <w:pBdr>
          <w:top w:val="single" w:sz="4" w:space="1" w:color="auto"/>
          <w:left w:val="single" w:sz="4" w:space="4" w:color="auto"/>
          <w:bottom w:val="single" w:sz="4" w:space="1" w:color="auto"/>
          <w:right w:val="single" w:sz="4" w:space="4" w:color="auto"/>
        </w:pBdr>
        <w:shd w:val="clear" w:color="auto" w:fill="E2EFD9" w:themeFill="accent6" w:themeFillTint="33"/>
        <w:spacing w:after="0" w:line="276" w:lineRule="auto"/>
        <w:jc w:val="center"/>
        <w:rPr>
          <w:rFonts w:ascii="Times New Roman" w:hAnsi="Times New Roman"/>
          <w:b/>
          <w:sz w:val="32"/>
          <w:szCs w:val="32"/>
          <w:u w:val="single"/>
        </w:rPr>
      </w:pPr>
      <w:r w:rsidRPr="00AB6BD8">
        <w:rPr>
          <w:rFonts w:ascii="Times New Roman" w:hAnsi="Times New Roman"/>
          <w:b/>
          <w:sz w:val="32"/>
          <w:szCs w:val="32"/>
          <w:u w:val="single"/>
        </w:rPr>
        <w:t>27 000 000 F CFA</w:t>
      </w:r>
    </w:p>
    <w:p w:rsidR="002C6E60" w:rsidRPr="00D335A7" w:rsidRDefault="002C6E60" w:rsidP="002C6E60">
      <w:pPr>
        <w:overflowPunct w:val="0"/>
        <w:autoSpaceDE w:val="0"/>
        <w:autoSpaceDN w:val="0"/>
        <w:adjustRightInd w:val="0"/>
        <w:spacing w:after="0" w:line="276" w:lineRule="auto"/>
        <w:rPr>
          <w:rFonts w:ascii="Times New Roman" w:eastAsia="Times New Roman" w:hAnsi="Times New Roman"/>
          <w:b/>
          <w:bCs/>
          <w:sz w:val="20"/>
          <w:szCs w:val="20"/>
          <w:lang w:eastAsia="fr-FR"/>
        </w:rPr>
        <w:sectPr w:rsidR="002C6E60" w:rsidRPr="00D335A7" w:rsidSect="005A6322">
          <w:pgSz w:w="16838" w:h="11906" w:orient="landscape"/>
          <w:pgMar w:top="1418" w:right="1418" w:bottom="1418" w:left="1418" w:header="709" w:footer="709" w:gutter="0"/>
          <w:cols w:space="708"/>
          <w:docGrid w:linePitch="360"/>
        </w:sectPr>
      </w:pPr>
    </w:p>
    <w:p w:rsidR="00932696" w:rsidRPr="00E732C7" w:rsidRDefault="00932696" w:rsidP="00FF68F5">
      <w:pPr>
        <w:pStyle w:val="PargrafodaLista"/>
        <w:numPr>
          <w:ilvl w:val="0"/>
          <w:numId w:val="245"/>
        </w:numPr>
        <w:tabs>
          <w:tab w:val="left" w:pos="1418"/>
          <w:tab w:val="left" w:pos="1843"/>
        </w:tabs>
        <w:spacing w:after="0" w:line="240" w:lineRule="auto"/>
        <w:ind w:right="-283"/>
        <w:contextualSpacing w:val="0"/>
        <w:rPr>
          <w:rFonts w:ascii="Times New Roman" w:hAnsi="Times New Roman"/>
          <w:b/>
          <w:bCs/>
          <w:i/>
          <w:sz w:val="22"/>
          <w:szCs w:val="22"/>
          <w:lang w:val="fr-FR"/>
        </w:rPr>
      </w:pPr>
      <w:r w:rsidRPr="00E732C7">
        <w:rPr>
          <w:rFonts w:ascii="Times New Roman" w:hAnsi="Times New Roman"/>
          <w:b/>
          <w:bCs/>
          <w:i/>
          <w:sz w:val="22"/>
          <w:szCs w:val="22"/>
          <w:lang w:val="fr-FR"/>
        </w:rPr>
        <w:lastRenderedPageBreak/>
        <w:t>CONSULTATION PUBLIQUE</w:t>
      </w:r>
    </w:p>
    <w:p w:rsidR="00932696" w:rsidRPr="001A349D" w:rsidRDefault="00932696" w:rsidP="00FF68F5">
      <w:pPr>
        <w:spacing w:after="0" w:line="240" w:lineRule="auto"/>
        <w:ind w:left="-284" w:right="-853"/>
        <w:jc w:val="both"/>
        <w:rPr>
          <w:rFonts w:ascii="Times New Roman" w:hAnsi="Times New Roman" w:cs="Times New Roman"/>
          <w:b/>
          <w:u w:val="single"/>
        </w:rPr>
      </w:pPr>
      <w:r w:rsidRPr="001A349D">
        <w:rPr>
          <w:rFonts w:ascii="Times New Roman" w:hAnsi="Times New Roman" w:cs="Times New Roman"/>
        </w:rPr>
        <w:t xml:space="preserve">Les consultations publiques avec les populations des communes bénéficiaires et leurs représentants ont concerné : </w:t>
      </w:r>
      <w:r w:rsidRPr="001A349D">
        <w:rPr>
          <w:rFonts w:ascii="Times New Roman" w:hAnsi="Times New Roman" w:cs="Times New Roman"/>
          <w:b/>
        </w:rPr>
        <w:t>les quartiers de Prabis, de Bor, de Hafia, de l’Aéroport, et d’Antula</w:t>
      </w:r>
      <w:r w:rsidRPr="001A349D">
        <w:rPr>
          <w:rFonts w:ascii="Times New Roman" w:hAnsi="Times New Roman" w:cs="Times New Roman"/>
        </w:rPr>
        <w:t>.</w:t>
      </w:r>
    </w:p>
    <w:p w:rsidR="00932696" w:rsidRPr="001A349D" w:rsidRDefault="00932696" w:rsidP="00E732C7">
      <w:pPr>
        <w:spacing w:line="240" w:lineRule="auto"/>
        <w:ind w:left="-284" w:right="-853"/>
        <w:jc w:val="both"/>
        <w:rPr>
          <w:rFonts w:ascii="Times New Roman" w:hAnsi="Times New Roman" w:cs="Times New Roman"/>
          <w:b/>
          <w:u w:val="single"/>
        </w:rPr>
      </w:pPr>
      <w:r w:rsidRPr="001A349D">
        <w:rPr>
          <w:rFonts w:ascii="Times New Roman" w:hAnsi="Times New Roman" w:cs="Times New Roman"/>
        </w:rPr>
        <w:t xml:space="preserve"> Il est apparu très largement et de façon générale aux cours des consultations publiques, une forte acceptabilité sociale du projet par les populations consultées.  D’après elles, le PUASEE vient répondre à une demande sociale, environnementale et d’urbanisation exprimée depuis des années par des populations qui subissent les manquements d’eau potable et d’éclairage public. Les populations et leurs chefs de quartiers rencontrés, lors des assemblées de consultation, ont montré une claire compréhension des enjeux environnementaux et sociaux du projet et sont prêtes à y prêter main forte pour l’atteinte des objectifs visés. Les populations fondent un immense espoir de voir les activités et les composantes prévues dans le cadre du projet se matérialiser rapidement, afin de bénéficier d’un cadre de vie amélioré avec de nouvelles constructions, des réhabilitations et d’extension de réseaux d’eau et d’électricité. Pour l’essentiel, les populations et les élus locaux estiment que la prise en charge des problèmes de l’eau et de l’électricité est une question urgente pour assurer la durabilité des quartiers.</w:t>
      </w:r>
    </w:p>
    <w:p w:rsidR="00932696" w:rsidRPr="00E732C7" w:rsidRDefault="00932696" w:rsidP="00FF68F5">
      <w:pPr>
        <w:pStyle w:val="PargrafodaLista"/>
        <w:numPr>
          <w:ilvl w:val="0"/>
          <w:numId w:val="245"/>
        </w:numPr>
        <w:tabs>
          <w:tab w:val="left" w:pos="1418"/>
          <w:tab w:val="left" w:pos="1843"/>
        </w:tabs>
        <w:spacing w:before="240" w:after="0" w:line="240" w:lineRule="auto"/>
        <w:ind w:right="-283"/>
        <w:contextualSpacing w:val="0"/>
        <w:rPr>
          <w:rFonts w:ascii="Times New Roman" w:hAnsi="Times New Roman"/>
          <w:b/>
          <w:bCs/>
          <w:i/>
          <w:sz w:val="22"/>
          <w:szCs w:val="22"/>
          <w:lang w:val="fr-FR"/>
        </w:rPr>
      </w:pPr>
      <w:r w:rsidRPr="00E732C7">
        <w:rPr>
          <w:rFonts w:ascii="Times New Roman" w:hAnsi="Times New Roman"/>
          <w:b/>
          <w:bCs/>
          <w:i/>
          <w:sz w:val="22"/>
          <w:szCs w:val="22"/>
          <w:lang w:val="fr-FR"/>
        </w:rPr>
        <w:t>PLAN DE GESTION DES DÉCHETS</w:t>
      </w:r>
    </w:p>
    <w:p w:rsidR="00932696" w:rsidRPr="00E732C7" w:rsidRDefault="00932696" w:rsidP="00E732C7">
      <w:pPr>
        <w:spacing w:line="240" w:lineRule="auto"/>
        <w:ind w:left="-284" w:right="-853"/>
        <w:jc w:val="both"/>
        <w:rPr>
          <w:rFonts w:ascii="Times New Roman" w:hAnsi="Times New Roman" w:cs="Times New Roman"/>
        </w:rPr>
      </w:pPr>
      <w:r w:rsidRPr="00E732C7">
        <w:rPr>
          <w:rFonts w:ascii="Times New Roman" w:hAnsi="Times New Roman" w:cs="Times New Roman"/>
        </w:rPr>
        <w:t>Souvent, au cours des travaux, les activités des entreprises sont à l’origine de la production de grandes quantités de déchets solides et liquides (destruction de constructions, abattage d’arbres, production de déchets plastiques, de bois, de cartons, de batteries usagées, d’huile de vidange, de pièces de rechange mécaniques, déversement de bitume et de toutes sortes de déchets dangereux ou spéciaux) et qu’il faudra gérer rigoureusement. Ces déchets viennent s’ajouter aux déchets déjà produits par les populations riveraines</w:t>
      </w:r>
    </w:p>
    <w:p w:rsidR="00932696" w:rsidRPr="00E732C7" w:rsidRDefault="00932696" w:rsidP="00E732C7">
      <w:pPr>
        <w:spacing w:line="240" w:lineRule="auto"/>
        <w:ind w:left="-284" w:right="-853"/>
        <w:jc w:val="both"/>
        <w:rPr>
          <w:rFonts w:ascii="Times New Roman" w:hAnsi="Times New Roman" w:cs="Times New Roman"/>
        </w:rPr>
      </w:pPr>
      <w:r w:rsidRPr="00E732C7">
        <w:rPr>
          <w:rFonts w:ascii="Times New Roman" w:hAnsi="Times New Roman" w:cs="Times New Roman"/>
        </w:rPr>
        <w:t>Ainsi, pour une gestion écologiquement rationnelle de ces déchets, lors des travaux, plusieurs recommandations et suggestions sont formulées. </w:t>
      </w:r>
    </w:p>
    <w:p w:rsidR="00932696" w:rsidRPr="00E732C7" w:rsidRDefault="00932696" w:rsidP="00FF68F5">
      <w:pPr>
        <w:pStyle w:val="PargrafodaLista"/>
        <w:numPr>
          <w:ilvl w:val="0"/>
          <w:numId w:val="245"/>
        </w:numPr>
        <w:tabs>
          <w:tab w:val="left" w:pos="1418"/>
          <w:tab w:val="left" w:pos="1843"/>
        </w:tabs>
        <w:spacing w:after="0" w:line="240" w:lineRule="auto"/>
        <w:ind w:right="-283"/>
        <w:contextualSpacing w:val="0"/>
        <w:rPr>
          <w:rFonts w:ascii="Times New Roman" w:hAnsi="Times New Roman"/>
          <w:b/>
          <w:bCs/>
          <w:i/>
          <w:sz w:val="22"/>
          <w:szCs w:val="22"/>
          <w:lang w:val="fr-FR"/>
        </w:rPr>
      </w:pPr>
      <w:r w:rsidRPr="00E732C7">
        <w:rPr>
          <w:rFonts w:ascii="Times New Roman" w:hAnsi="Times New Roman"/>
          <w:b/>
          <w:bCs/>
          <w:i/>
          <w:sz w:val="22"/>
          <w:szCs w:val="22"/>
          <w:lang w:val="fr-FR"/>
        </w:rPr>
        <w:t xml:space="preserve">GESTION DES VIOLENCES BASÉES SUR LE GENRE (GBV) </w:t>
      </w:r>
    </w:p>
    <w:p w:rsidR="00932696" w:rsidRPr="00E732C7" w:rsidRDefault="00932696" w:rsidP="00E732C7">
      <w:pPr>
        <w:spacing w:line="240" w:lineRule="auto"/>
        <w:ind w:left="-284" w:right="-853"/>
        <w:jc w:val="both"/>
        <w:rPr>
          <w:rFonts w:ascii="Times New Roman" w:hAnsi="Times New Roman" w:cs="Times New Roman"/>
        </w:rPr>
      </w:pPr>
      <w:r w:rsidRPr="00E732C7">
        <w:rPr>
          <w:rFonts w:ascii="Times New Roman" w:hAnsi="Times New Roman" w:cs="Times New Roman"/>
        </w:rPr>
        <w:t>La sacralisation de la dignité humaine requiert une grande importance. De ce fait, aucun traitement inhumain et cruel ne peut être toléré et certains actes de barbarie sont sévèrement réprimés :</w:t>
      </w:r>
    </w:p>
    <w:p w:rsidR="00932696" w:rsidRPr="00E732C7" w:rsidRDefault="00932696" w:rsidP="00E732C7">
      <w:pPr>
        <w:pStyle w:val="Listecouleur-Accent11"/>
        <w:numPr>
          <w:ilvl w:val="0"/>
          <w:numId w:val="253"/>
        </w:numPr>
        <w:ind w:left="851" w:right="-283"/>
        <w:rPr>
          <w:rFonts w:ascii="Times New Roman" w:hAnsi="Times New Roman"/>
          <w:sz w:val="20"/>
          <w:szCs w:val="20"/>
        </w:rPr>
      </w:pPr>
      <w:r w:rsidRPr="00E732C7">
        <w:rPr>
          <w:rFonts w:ascii="Times New Roman" w:hAnsi="Times New Roman"/>
          <w:sz w:val="20"/>
          <w:szCs w:val="20"/>
        </w:rPr>
        <w:t>Du Harcèlement moral</w:t>
      </w:r>
    </w:p>
    <w:p w:rsidR="00932696" w:rsidRPr="00E732C7" w:rsidRDefault="00932696" w:rsidP="00E732C7">
      <w:pPr>
        <w:pStyle w:val="Listecouleur-Accent11"/>
        <w:numPr>
          <w:ilvl w:val="0"/>
          <w:numId w:val="253"/>
        </w:numPr>
        <w:ind w:left="851" w:right="-283"/>
        <w:rPr>
          <w:rFonts w:ascii="Times New Roman" w:hAnsi="Times New Roman"/>
          <w:sz w:val="20"/>
          <w:szCs w:val="20"/>
        </w:rPr>
      </w:pPr>
      <w:r w:rsidRPr="00E732C7">
        <w:rPr>
          <w:rFonts w:ascii="Times New Roman" w:hAnsi="Times New Roman"/>
          <w:sz w:val="20"/>
          <w:szCs w:val="20"/>
        </w:rPr>
        <w:t>Des violences physiques</w:t>
      </w:r>
    </w:p>
    <w:p w:rsidR="00932696" w:rsidRPr="00E732C7" w:rsidRDefault="00932696" w:rsidP="00E732C7">
      <w:pPr>
        <w:pStyle w:val="Listecouleur-Accent11"/>
        <w:numPr>
          <w:ilvl w:val="0"/>
          <w:numId w:val="253"/>
        </w:numPr>
        <w:ind w:left="851" w:right="-283"/>
        <w:rPr>
          <w:rFonts w:ascii="Times New Roman" w:hAnsi="Times New Roman"/>
          <w:sz w:val="20"/>
          <w:szCs w:val="20"/>
          <w:lang w:val="fr-FR"/>
        </w:rPr>
      </w:pPr>
      <w:r w:rsidRPr="00E732C7">
        <w:rPr>
          <w:rFonts w:ascii="Times New Roman" w:hAnsi="Times New Roman"/>
          <w:sz w:val="20"/>
          <w:szCs w:val="20"/>
          <w:lang w:val="fr-FR"/>
        </w:rPr>
        <w:t>De proxénétisme, harcèlement et violences sexuels et pédophilie</w:t>
      </w:r>
    </w:p>
    <w:p w:rsidR="00932696" w:rsidRPr="00E732C7" w:rsidRDefault="00932696" w:rsidP="00E732C7">
      <w:pPr>
        <w:pStyle w:val="Listecouleur-Accent11"/>
        <w:numPr>
          <w:ilvl w:val="0"/>
          <w:numId w:val="253"/>
        </w:numPr>
        <w:ind w:left="851" w:right="-283"/>
        <w:rPr>
          <w:rFonts w:ascii="Times New Roman" w:hAnsi="Times New Roman"/>
          <w:sz w:val="20"/>
          <w:szCs w:val="20"/>
        </w:rPr>
      </w:pPr>
      <w:r w:rsidRPr="00E732C7">
        <w:rPr>
          <w:rFonts w:ascii="Times New Roman" w:hAnsi="Times New Roman"/>
          <w:sz w:val="20"/>
          <w:szCs w:val="20"/>
        </w:rPr>
        <w:t>De l’exploitation des enfants</w:t>
      </w:r>
    </w:p>
    <w:p w:rsidR="00932696" w:rsidRPr="00E732C7" w:rsidRDefault="00932696" w:rsidP="00E732C7">
      <w:pPr>
        <w:pStyle w:val="Listecouleur-Accent11"/>
        <w:numPr>
          <w:ilvl w:val="0"/>
          <w:numId w:val="253"/>
        </w:numPr>
        <w:ind w:left="851" w:right="-283"/>
        <w:rPr>
          <w:rFonts w:ascii="Times New Roman" w:hAnsi="Times New Roman"/>
          <w:sz w:val="20"/>
          <w:szCs w:val="20"/>
        </w:rPr>
      </w:pPr>
      <w:r w:rsidRPr="00E732C7">
        <w:rPr>
          <w:rFonts w:ascii="Times New Roman" w:hAnsi="Times New Roman"/>
          <w:sz w:val="20"/>
          <w:szCs w:val="20"/>
        </w:rPr>
        <w:t>Etc.</w:t>
      </w:r>
    </w:p>
    <w:p w:rsidR="00932696" w:rsidRPr="00FF68F5" w:rsidRDefault="00932696" w:rsidP="00FF68F5">
      <w:pPr>
        <w:spacing w:after="0" w:line="240" w:lineRule="auto"/>
        <w:ind w:left="-284" w:right="-853"/>
        <w:jc w:val="both"/>
        <w:rPr>
          <w:rFonts w:ascii="Times New Roman" w:hAnsi="Times New Roman" w:cs="Times New Roman"/>
        </w:rPr>
      </w:pPr>
      <w:r w:rsidRPr="00FF68F5">
        <w:rPr>
          <w:rFonts w:ascii="Times New Roman" w:hAnsi="Times New Roman" w:cs="Times New Roman"/>
        </w:rPr>
        <w:t>Dans la lutte contre la violence basée sur le genre, l’entreprise peut privilégier les actions suivantes :</w:t>
      </w:r>
    </w:p>
    <w:p w:rsidR="00932696" w:rsidRPr="00FF68F5" w:rsidRDefault="00932696" w:rsidP="00FF68F5">
      <w:pPr>
        <w:pStyle w:val="Listecouleur-Accent11"/>
        <w:numPr>
          <w:ilvl w:val="0"/>
          <w:numId w:val="253"/>
        </w:numPr>
        <w:ind w:left="851" w:right="-283"/>
        <w:rPr>
          <w:rFonts w:ascii="Times New Roman" w:hAnsi="Times New Roman"/>
          <w:sz w:val="20"/>
          <w:szCs w:val="20"/>
        </w:rPr>
      </w:pPr>
      <w:r w:rsidRPr="00FF68F5">
        <w:rPr>
          <w:rFonts w:ascii="Times New Roman" w:hAnsi="Times New Roman"/>
          <w:sz w:val="20"/>
          <w:szCs w:val="20"/>
        </w:rPr>
        <w:t>Appuyer les programmes intégrant la mobilisation communautaire sur la VBG ;</w:t>
      </w:r>
    </w:p>
    <w:p w:rsidR="00932696" w:rsidRPr="00FF68F5" w:rsidRDefault="00932696" w:rsidP="00FF68F5">
      <w:pPr>
        <w:pStyle w:val="Listecouleur-Accent11"/>
        <w:numPr>
          <w:ilvl w:val="0"/>
          <w:numId w:val="253"/>
        </w:numPr>
        <w:ind w:left="851" w:right="-283"/>
        <w:rPr>
          <w:rFonts w:ascii="Times New Roman" w:hAnsi="Times New Roman"/>
          <w:sz w:val="20"/>
          <w:szCs w:val="20"/>
        </w:rPr>
      </w:pPr>
      <w:r w:rsidRPr="00FF68F5">
        <w:rPr>
          <w:rFonts w:ascii="Times New Roman" w:hAnsi="Times New Roman"/>
          <w:sz w:val="20"/>
          <w:szCs w:val="20"/>
        </w:rPr>
        <w:t>Au niveau communautaire, appuyer les activités de réduction de la tolérance de la violence impliquant tout sexe masculin ;</w:t>
      </w:r>
    </w:p>
    <w:p w:rsidR="00932696" w:rsidRPr="00FF68F5" w:rsidRDefault="00932696" w:rsidP="00FF68F5">
      <w:pPr>
        <w:spacing w:after="0" w:line="240" w:lineRule="auto"/>
        <w:ind w:left="-284" w:right="-853"/>
        <w:jc w:val="both"/>
        <w:rPr>
          <w:rFonts w:ascii="Times New Roman" w:hAnsi="Times New Roman" w:cs="Times New Roman"/>
        </w:rPr>
      </w:pPr>
      <w:r w:rsidRPr="00FF68F5">
        <w:rPr>
          <w:rFonts w:ascii="Times New Roman" w:hAnsi="Times New Roman" w:cs="Times New Roman"/>
        </w:rPr>
        <w:t>Appuyer les activités ayant une large représentation de la communauté de base ;</w:t>
      </w:r>
    </w:p>
    <w:p w:rsidR="00932696" w:rsidRPr="00FF68F5" w:rsidRDefault="00932696" w:rsidP="00FF68F5">
      <w:pPr>
        <w:pStyle w:val="Listecouleur-Accent11"/>
        <w:numPr>
          <w:ilvl w:val="0"/>
          <w:numId w:val="253"/>
        </w:numPr>
        <w:ind w:left="851" w:right="-283"/>
        <w:rPr>
          <w:rFonts w:ascii="Times New Roman" w:hAnsi="Times New Roman"/>
          <w:sz w:val="20"/>
          <w:szCs w:val="20"/>
        </w:rPr>
      </w:pPr>
      <w:r w:rsidRPr="00FF68F5">
        <w:rPr>
          <w:rFonts w:ascii="Times New Roman" w:hAnsi="Times New Roman"/>
          <w:sz w:val="20"/>
          <w:szCs w:val="20"/>
        </w:rPr>
        <w:t>Appuyer les élus locaux et régionaux dans la création de partenariats avec les ONG dans la lutte au niveau communautaire ;</w:t>
      </w:r>
    </w:p>
    <w:p w:rsidR="00932696" w:rsidRPr="00FF68F5" w:rsidRDefault="00932696" w:rsidP="00FF68F5">
      <w:pPr>
        <w:pStyle w:val="Listecouleur-Accent11"/>
        <w:numPr>
          <w:ilvl w:val="0"/>
          <w:numId w:val="253"/>
        </w:numPr>
        <w:ind w:left="851" w:right="-283"/>
        <w:rPr>
          <w:rFonts w:ascii="Times New Roman" w:hAnsi="Times New Roman"/>
          <w:sz w:val="20"/>
          <w:szCs w:val="20"/>
        </w:rPr>
      </w:pPr>
      <w:r w:rsidRPr="00FF68F5">
        <w:rPr>
          <w:rFonts w:ascii="Times New Roman" w:hAnsi="Times New Roman"/>
          <w:sz w:val="20"/>
          <w:szCs w:val="20"/>
        </w:rPr>
        <w:t>Appuyer la mobilisation communautaire concernant l’amélioration de l’accès aux survivantes à des services ;</w:t>
      </w:r>
    </w:p>
    <w:p w:rsidR="00932696" w:rsidRPr="00FF68F5" w:rsidRDefault="00932696" w:rsidP="00FF68F5">
      <w:pPr>
        <w:pStyle w:val="Listecouleur-Accent11"/>
        <w:numPr>
          <w:ilvl w:val="0"/>
          <w:numId w:val="253"/>
        </w:numPr>
        <w:ind w:left="851" w:right="-283"/>
        <w:rPr>
          <w:rFonts w:ascii="Times New Roman" w:hAnsi="Times New Roman"/>
          <w:sz w:val="20"/>
          <w:szCs w:val="20"/>
        </w:rPr>
      </w:pPr>
      <w:r w:rsidRPr="00FF68F5">
        <w:rPr>
          <w:rFonts w:ascii="Times New Roman" w:hAnsi="Times New Roman"/>
          <w:sz w:val="20"/>
          <w:szCs w:val="20"/>
        </w:rPr>
        <w:t>Soutenir financièrement et dans le long terme les activités de mobilisation communautaire pour la réalisation de résultats considérablement positifs.</w:t>
      </w:r>
    </w:p>
    <w:p w:rsidR="00932696" w:rsidRPr="00FF68F5" w:rsidRDefault="00932696" w:rsidP="00FF68F5">
      <w:pPr>
        <w:pStyle w:val="Listecouleur-Accent11"/>
        <w:numPr>
          <w:ilvl w:val="0"/>
          <w:numId w:val="253"/>
        </w:numPr>
        <w:ind w:left="851" w:right="-283"/>
        <w:rPr>
          <w:rFonts w:ascii="Times New Roman" w:hAnsi="Times New Roman"/>
          <w:sz w:val="20"/>
          <w:szCs w:val="20"/>
        </w:rPr>
      </w:pPr>
      <w:r w:rsidRPr="00FF68F5">
        <w:rPr>
          <w:rFonts w:ascii="Times New Roman" w:hAnsi="Times New Roman"/>
          <w:sz w:val="20"/>
          <w:szCs w:val="20"/>
        </w:rPr>
        <w:t>Etc.</w:t>
      </w:r>
    </w:p>
    <w:p w:rsidR="00932696" w:rsidRPr="00C8017F" w:rsidRDefault="00932696" w:rsidP="00932696">
      <w:pPr>
        <w:spacing w:after="0" w:line="240" w:lineRule="auto"/>
        <w:ind w:left="-284" w:right="-283"/>
        <w:jc w:val="both"/>
        <w:rPr>
          <w:rFonts w:ascii="Times New Roman" w:hAnsi="Times New Roman"/>
          <w:sz w:val="20"/>
          <w:szCs w:val="20"/>
        </w:rPr>
      </w:pPr>
    </w:p>
    <w:p w:rsidR="00932696" w:rsidRPr="00FF68F5" w:rsidRDefault="00932696" w:rsidP="00FF68F5">
      <w:pPr>
        <w:pStyle w:val="PargrafodaLista"/>
        <w:numPr>
          <w:ilvl w:val="0"/>
          <w:numId w:val="245"/>
        </w:numPr>
        <w:tabs>
          <w:tab w:val="left" w:pos="1418"/>
          <w:tab w:val="left" w:pos="1843"/>
        </w:tabs>
        <w:spacing w:after="0" w:line="240" w:lineRule="auto"/>
        <w:ind w:right="-283"/>
        <w:contextualSpacing w:val="0"/>
        <w:rPr>
          <w:rFonts w:ascii="Times New Roman" w:hAnsi="Times New Roman"/>
          <w:b/>
          <w:bCs/>
          <w:i/>
          <w:sz w:val="22"/>
          <w:szCs w:val="22"/>
          <w:lang w:val="fr-FR"/>
        </w:rPr>
      </w:pPr>
      <w:r w:rsidRPr="00FF68F5">
        <w:rPr>
          <w:rFonts w:ascii="Times New Roman" w:hAnsi="Times New Roman"/>
          <w:b/>
          <w:bCs/>
          <w:i/>
          <w:sz w:val="22"/>
          <w:szCs w:val="22"/>
          <w:lang w:val="fr-FR"/>
        </w:rPr>
        <w:t>MÉCANISME DE GESTION DES PLAINTES</w:t>
      </w:r>
    </w:p>
    <w:p w:rsidR="00932696" w:rsidRPr="00FF68F5" w:rsidRDefault="00932696" w:rsidP="00FF68F5">
      <w:pPr>
        <w:spacing w:line="240" w:lineRule="auto"/>
        <w:ind w:left="-284" w:right="-853"/>
        <w:jc w:val="both"/>
        <w:rPr>
          <w:rFonts w:ascii="Times New Roman" w:hAnsi="Times New Roman" w:cs="Times New Roman"/>
        </w:rPr>
      </w:pPr>
      <w:r w:rsidRPr="00FF68F5">
        <w:rPr>
          <w:rFonts w:ascii="Times New Roman" w:hAnsi="Times New Roman" w:cs="Times New Roman"/>
        </w:rPr>
        <w:t xml:space="preserve">Ce mécanisme se justifie par le fait que dans la mise en œuvre des travaux et des mesures compensatoires y relatives, plusieurs conflits peuvent surgir. Ces conflits peuvent être liés aux problèmes suivants : </w:t>
      </w:r>
    </w:p>
    <w:p w:rsidR="00932696" w:rsidRPr="00177D5A" w:rsidRDefault="00932696" w:rsidP="00932696">
      <w:pPr>
        <w:pStyle w:val="Listecouleur-Accent12"/>
        <w:numPr>
          <w:ilvl w:val="0"/>
          <w:numId w:val="89"/>
        </w:numPr>
        <w:spacing w:after="0" w:line="240" w:lineRule="auto"/>
        <w:ind w:right="-850"/>
        <w:jc w:val="both"/>
        <w:rPr>
          <w:rFonts w:ascii="Times New Roman" w:hAnsi="Times New Roman"/>
          <w:sz w:val="20"/>
          <w:szCs w:val="20"/>
          <w:lang w:val="fr-FR"/>
        </w:rPr>
      </w:pPr>
      <w:r w:rsidRPr="00177D5A">
        <w:rPr>
          <w:rFonts w:ascii="Times New Roman" w:hAnsi="Times New Roman"/>
          <w:sz w:val="20"/>
          <w:szCs w:val="20"/>
          <w:lang w:val="fr-FR"/>
        </w:rPr>
        <w:t xml:space="preserve">erreur dans l’identification des PAP ; </w:t>
      </w:r>
    </w:p>
    <w:p w:rsidR="00932696" w:rsidRPr="00177D5A" w:rsidRDefault="00932696" w:rsidP="00932696">
      <w:pPr>
        <w:pStyle w:val="Listecouleur-Accent12"/>
        <w:numPr>
          <w:ilvl w:val="0"/>
          <w:numId w:val="89"/>
        </w:numPr>
        <w:spacing w:after="0" w:line="240" w:lineRule="auto"/>
        <w:ind w:right="-850"/>
        <w:jc w:val="both"/>
        <w:rPr>
          <w:rFonts w:ascii="Times New Roman" w:hAnsi="Times New Roman"/>
          <w:sz w:val="20"/>
          <w:szCs w:val="20"/>
          <w:lang w:val="fr-FR"/>
        </w:rPr>
      </w:pPr>
      <w:r w:rsidRPr="00177D5A">
        <w:rPr>
          <w:rFonts w:ascii="Times New Roman" w:hAnsi="Times New Roman"/>
          <w:sz w:val="20"/>
          <w:szCs w:val="20"/>
          <w:lang w:val="fr-FR"/>
        </w:rPr>
        <w:t xml:space="preserve">erreur dans l’évaluation des biens des PAP ; </w:t>
      </w:r>
    </w:p>
    <w:p w:rsidR="00932696" w:rsidRPr="00177D5A" w:rsidRDefault="00932696" w:rsidP="00932696">
      <w:pPr>
        <w:pStyle w:val="Listecouleur-Accent12"/>
        <w:numPr>
          <w:ilvl w:val="0"/>
          <w:numId w:val="89"/>
        </w:numPr>
        <w:spacing w:after="0" w:line="240" w:lineRule="auto"/>
        <w:ind w:right="-850"/>
        <w:jc w:val="both"/>
        <w:rPr>
          <w:rFonts w:ascii="Times New Roman" w:hAnsi="Times New Roman"/>
          <w:sz w:val="20"/>
          <w:szCs w:val="20"/>
          <w:lang w:val="fr-FR"/>
        </w:rPr>
      </w:pPr>
      <w:r w:rsidRPr="00177D5A">
        <w:rPr>
          <w:rFonts w:ascii="Times New Roman" w:hAnsi="Times New Roman"/>
          <w:sz w:val="20"/>
          <w:szCs w:val="20"/>
          <w:lang w:val="fr-FR"/>
        </w:rPr>
        <w:t xml:space="preserve">conflit sur la propriété d’un bien  ou sur le titre de succession, à l’issue d’un divorce, conflits entre héritiers ; </w:t>
      </w:r>
    </w:p>
    <w:p w:rsidR="00932696" w:rsidRPr="00177D5A" w:rsidRDefault="00932696" w:rsidP="00932696">
      <w:pPr>
        <w:pStyle w:val="Listecouleur-Accent12"/>
        <w:numPr>
          <w:ilvl w:val="0"/>
          <w:numId w:val="89"/>
        </w:numPr>
        <w:spacing w:after="0" w:line="240" w:lineRule="auto"/>
        <w:ind w:right="-850"/>
        <w:jc w:val="both"/>
        <w:rPr>
          <w:rFonts w:ascii="Times New Roman" w:hAnsi="Times New Roman"/>
          <w:sz w:val="20"/>
          <w:szCs w:val="20"/>
          <w:lang w:val="fr-FR"/>
        </w:rPr>
      </w:pPr>
      <w:r w:rsidRPr="00177D5A">
        <w:rPr>
          <w:rFonts w:ascii="Times New Roman" w:hAnsi="Times New Roman"/>
          <w:sz w:val="20"/>
          <w:szCs w:val="20"/>
          <w:lang w:val="fr-FR"/>
        </w:rPr>
        <w:t xml:space="preserve">divergences dans l’acquisition et l’occupation des terres ; </w:t>
      </w:r>
    </w:p>
    <w:p w:rsidR="00932696" w:rsidRPr="00177D5A" w:rsidRDefault="00932696" w:rsidP="00932696">
      <w:pPr>
        <w:pStyle w:val="Listecouleur-Accent12"/>
        <w:numPr>
          <w:ilvl w:val="0"/>
          <w:numId w:val="89"/>
        </w:numPr>
        <w:spacing w:after="0" w:line="240" w:lineRule="auto"/>
        <w:ind w:right="-850"/>
        <w:jc w:val="both"/>
        <w:rPr>
          <w:rFonts w:ascii="Times New Roman" w:hAnsi="Times New Roman"/>
          <w:sz w:val="20"/>
          <w:szCs w:val="20"/>
          <w:lang w:val="fr-FR"/>
        </w:rPr>
      </w:pPr>
      <w:r w:rsidRPr="00177D5A">
        <w:rPr>
          <w:rFonts w:ascii="Times New Roman" w:hAnsi="Times New Roman"/>
          <w:sz w:val="20"/>
          <w:szCs w:val="20"/>
          <w:lang w:val="fr-FR"/>
        </w:rPr>
        <w:t xml:space="preserve">atteinte à une activité commerciale d’un riverain ; </w:t>
      </w:r>
    </w:p>
    <w:p w:rsidR="00932696" w:rsidRPr="00177D5A" w:rsidRDefault="00932696" w:rsidP="00932696">
      <w:pPr>
        <w:pStyle w:val="Listecouleur-Accent12"/>
        <w:numPr>
          <w:ilvl w:val="0"/>
          <w:numId w:val="89"/>
        </w:numPr>
        <w:spacing w:after="0" w:line="240" w:lineRule="auto"/>
        <w:ind w:right="-850"/>
        <w:jc w:val="both"/>
        <w:rPr>
          <w:rFonts w:ascii="Times New Roman" w:hAnsi="Times New Roman"/>
          <w:sz w:val="20"/>
          <w:szCs w:val="20"/>
          <w:lang w:val="fr-FR"/>
        </w:rPr>
      </w:pPr>
      <w:r w:rsidRPr="00177D5A">
        <w:rPr>
          <w:rFonts w:ascii="Times New Roman" w:hAnsi="Times New Roman"/>
          <w:sz w:val="20"/>
          <w:szCs w:val="20"/>
          <w:lang w:val="fr-FR"/>
        </w:rPr>
        <w:t>dégradation des biens au de la de l’emprise du projet ;</w:t>
      </w:r>
    </w:p>
    <w:p w:rsidR="00932696" w:rsidRPr="00177D5A" w:rsidRDefault="00932696" w:rsidP="00932696">
      <w:pPr>
        <w:pStyle w:val="Listecouleur-Accent12"/>
        <w:numPr>
          <w:ilvl w:val="0"/>
          <w:numId w:val="89"/>
        </w:numPr>
        <w:spacing w:after="0" w:line="240" w:lineRule="auto"/>
        <w:ind w:right="-850"/>
        <w:jc w:val="both"/>
        <w:rPr>
          <w:rFonts w:ascii="Times New Roman" w:hAnsi="Times New Roman"/>
          <w:sz w:val="20"/>
          <w:szCs w:val="20"/>
          <w:lang w:val="fr-FR"/>
        </w:rPr>
      </w:pPr>
      <w:r w:rsidRPr="00177D5A">
        <w:rPr>
          <w:rFonts w:ascii="Times New Roman" w:hAnsi="Times New Roman"/>
          <w:sz w:val="20"/>
          <w:szCs w:val="20"/>
          <w:lang w:val="fr-FR"/>
        </w:rPr>
        <w:t xml:space="preserve">nuisances et perturbations permanentes des riverains par les travaux… </w:t>
      </w:r>
    </w:p>
    <w:p w:rsidR="00932696" w:rsidRPr="00177D5A" w:rsidRDefault="00932696" w:rsidP="00932696">
      <w:pPr>
        <w:pStyle w:val="Listecouleur-Accent12"/>
        <w:numPr>
          <w:ilvl w:val="0"/>
          <w:numId w:val="89"/>
        </w:numPr>
        <w:spacing w:after="0" w:line="240" w:lineRule="auto"/>
        <w:ind w:right="-850"/>
        <w:jc w:val="both"/>
        <w:rPr>
          <w:rFonts w:ascii="Times New Roman" w:hAnsi="Times New Roman"/>
          <w:sz w:val="20"/>
          <w:szCs w:val="20"/>
          <w:lang w:val="fr-FR"/>
        </w:rPr>
      </w:pPr>
      <w:r w:rsidRPr="00177D5A">
        <w:rPr>
          <w:rFonts w:ascii="Times New Roman" w:hAnsi="Times New Roman"/>
          <w:sz w:val="20"/>
          <w:szCs w:val="20"/>
          <w:lang w:val="fr-FR"/>
        </w:rPr>
        <w:t>harcèlement sexuel, pédophilie, etc. ;</w:t>
      </w:r>
    </w:p>
    <w:p w:rsidR="00932696" w:rsidRDefault="00932696" w:rsidP="00932696">
      <w:pPr>
        <w:pStyle w:val="Listecouleur-Accent12"/>
        <w:numPr>
          <w:ilvl w:val="0"/>
          <w:numId w:val="89"/>
        </w:numPr>
        <w:spacing w:after="0" w:line="240" w:lineRule="auto"/>
        <w:ind w:right="-850"/>
        <w:jc w:val="both"/>
        <w:rPr>
          <w:rFonts w:ascii="Times New Roman" w:hAnsi="Times New Roman"/>
          <w:sz w:val="20"/>
          <w:szCs w:val="20"/>
          <w:lang w:val="fr-FR"/>
        </w:rPr>
      </w:pPr>
      <w:r w:rsidRPr="00177D5A">
        <w:rPr>
          <w:rFonts w:ascii="Times New Roman" w:hAnsi="Times New Roman"/>
          <w:sz w:val="20"/>
          <w:szCs w:val="20"/>
          <w:lang w:val="fr-FR"/>
        </w:rPr>
        <w:t>discrimination basée sur le genre ou la vulnérabilité ;</w:t>
      </w:r>
    </w:p>
    <w:p w:rsidR="00FF68F5" w:rsidRDefault="00FF68F5" w:rsidP="00FF68F5">
      <w:pPr>
        <w:pStyle w:val="Listecouleur-Accent12"/>
        <w:spacing w:after="0" w:line="240" w:lineRule="auto"/>
        <w:ind w:right="-850"/>
        <w:jc w:val="both"/>
        <w:rPr>
          <w:rFonts w:ascii="Times New Roman" w:hAnsi="Times New Roman"/>
          <w:sz w:val="20"/>
          <w:szCs w:val="20"/>
          <w:lang w:val="fr-FR"/>
        </w:rPr>
      </w:pPr>
    </w:p>
    <w:p w:rsidR="00932696" w:rsidRPr="00FF68F5" w:rsidRDefault="00932696" w:rsidP="00FF68F5">
      <w:pPr>
        <w:pStyle w:val="PargrafodaLista"/>
        <w:numPr>
          <w:ilvl w:val="1"/>
          <w:numId w:val="245"/>
        </w:numPr>
        <w:tabs>
          <w:tab w:val="left" w:pos="1418"/>
          <w:tab w:val="left" w:pos="1843"/>
        </w:tabs>
        <w:spacing w:after="0" w:line="240" w:lineRule="auto"/>
        <w:ind w:right="-283"/>
        <w:contextualSpacing w:val="0"/>
        <w:rPr>
          <w:rFonts w:ascii="Times New Roman" w:hAnsi="Times New Roman"/>
          <w:b/>
          <w:bCs/>
          <w:i/>
          <w:sz w:val="22"/>
          <w:szCs w:val="22"/>
          <w:lang w:val="fr-FR"/>
        </w:rPr>
      </w:pPr>
      <w:r w:rsidRPr="00FF68F5">
        <w:rPr>
          <w:rFonts w:ascii="Times New Roman" w:hAnsi="Times New Roman"/>
          <w:b/>
          <w:bCs/>
          <w:i/>
          <w:sz w:val="22"/>
          <w:szCs w:val="22"/>
          <w:lang w:val="fr-FR"/>
        </w:rPr>
        <w:t>Organisation du Mécanisme de Gestion des Plaintes</w:t>
      </w:r>
    </w:p>
    <w:p w:rsidR="00932696" w:rsidRPr="00FF68F5" w:rsidRDefault="00932696" w:rsidP="00FF68F5">
      <w:pPr>
        <w:spacing w:line="240" w:lineRule="auto"/>
        <w:ind w:left="-284" w:right="-853"/>
        <w:jc w:val="both"/>
        <w:rPr>
          <w:rFonts w:ascii="Times New Roman" w:hAnsi="Times New Roman" w:cs="Times New Roman"/>
        </w:rPr>
      </w:pPr>
      <w:r w:rsidRPr="00FF68F5">
        <w:rPr>
          <w:rFonts w:ascii="Times New Roman" w:hAnsi="Times New Roman" w:cs="Times New Roman"/>
        </w:rPr>
        <w:t>Le Mécanisme de Gestion des Plaintes du PUASEE-FA s’organise en deux niveaux, ce qui permet aussi de définir les organes de gestion à chaque niveau.</w:t>
      </w:r>
    </w:p>
    <w:p w:rsidR="00932696" w:rsidRPr="00D335A7" w:rsidRDefault="00932696" w:rsidP="00FF68F5">
      <w:pPr>
        <w:pStyle w:val="Listecouleur-Accent12"/>
        <w:numPr>
          <w:ilvl w:val="0"/>
          <w:numId w:val="120"/>
        </w:numPr>
        <w:spacing w:after="0"/>
        <w:rPr>
          <w:rFonts w:ascii="Times New Roman" w:hAnsi="Times New Roman"/>
          <w:b/>
          <w:sz w:val="24"/>
          <w:szCs w:val="24"/>
          <w:lang w:val="fr-FR"/>
        </w:rPr>
      </w:pPr>
      <w:r w:rsidRPr="00D335A7">
        <w:rPr>
          <w:rFonts w:ascii="Times New Roman" w:hAnsi="Times New Roman"/>
          <w:b/>
          <w:sz w:val="24"/>
          <w:szCs w:val="24"/>
          <w:lang w:val="fr-FR"/>
        </w:rPr>
        <w:t xml:space="preserve">Niveau </w:t>
      </w:r>
      <w:r>
        <w:rPr>
          <w:rFonts w:ascii="Times New Roman" w:hAnsi="Times New Roman"/>
          <w:b/>
          <w:sz w:val="24"/>
          <w:szCs w:val="24"/>
          <w:lang w:val="fr-FR"/>
        </w:rPr>
        <w:t xml:space="preserve">du </w:t>
      </w:r>
      <w:r w:rsidRPr="00D335A7">
        <w:rPr>
          <w:rFonts w:ascii="Times New Roman" w:hAnsi="Times New Roman"/>
          <w:b/>
          <w:sz w:val="24"/>
          <w:szCs w:val="24"/>
          <w:lang w:val="fr-FR"/>
        </w:rPr>
        <w:t>projet</w:t>
      </w:r>
      <w:r>
        <w:rPr>
          <w:rFonts w:ascii="Times New Roman" w:hAnsi="Times New Roman"/>
          <w:b/>
          <w:sz w:val="24"/>
          <w:szCs w:val="24"/>
          <w:lang w:val="fr-FR"/>
        </w:rPr>
        <w:t xml:space="preserve"> (PUASEE-FA)</w:t>
      </w:r>
    </w:p>
    <w:p w:rsidR="00932696" w:rsidRPr="00FF68F5" w:rsidRDefault="00932696" w:rsidP="00FF68F5">
      <w:pPr>
        <w:spacing w:line="240" w:lineRule="auto"/>
        <w:ind w:left="-284" w:right="-853"/>
        <w:jc w:val="both"/>
        <w:rPr>
          <w:rFonts w:ascii="Times New Roman" w:hAnsi="Times New Roman" w:cs="Times New Roman"/>
        </w:rPr>
      </w:pPr>
      <w:r w:rsidRPr="00FF68F5">
        <w:rPr>
          <w:rFonts w:ascii="Times New Roman" w:hAnsi="Times New Roman" w:cs="Times New Roman"/>
        </w:rPr>
        <w:t>Le PUASEE-FA assure la supervision de la mise en œuvre du MGP (Voir PAR plus détaillé). Il travaille en étroite collaboration avec les autorités locales et communales, y compris les acteurs institutionnels, l’ONG et les PAP pour le suivi, le traitement et le reporting de l’ensemble des plaintes liées directement ou indirectement aux activités du projet.</w:t>
      </w:r>
    </w:p>
    <w:p w:rsidR="00932696" w:rsidRPr="00D335A7" w:rsidRDefault="00932696" w:rsidP="00932696">
      <w:pPr>
        <w:pStyle w:val="Listecouleur-Accent12"/>
        <w:numPr>
          <w:ilvl w:val="0"/>
          <w:numId w:val="120"/>
        </w:numPr>
        <w:rPr>
          <w:rFonts w:ascii="Times New Roman" w:hAnsi="Times New Roman"/>
          <w:sz w:val="24"/>
          <w:szCs w:val="24"/>
          <w:lang w:val="fr-FR"/>
        </w:rPr>
      </w:pPr>
      <w:r w:rsidRPr="00D335A7">
        <w:rPr>
          <w:rFonts w:ascii="Times New Roman" w:hAnsi="Times New Roman"/>
          <w:b/>
          <w:sz w:val="24"/>
          <w:szCs w:val="24"/>
          <w:lang w:val="fr-FR"/>
        </w:rPr>
        <w:t>Niveau local</w:t>
      </w:r>
      <w:r w:rsidRPr="00D335A7">
        <w:rPr>
          <w:rFonts w:ascii="Times New Roman" w:hAnsi="Times New Roman"/>
          <w:sz w:val="24"/>
          <w:szCs w:val="24"/>
          <w:lang w:val="fr-FR"/>
        </w:rPr>
        <w:t> :</w:t>
      </w:r>
    </w:p>
    <w:p w:rsidR="00932696" w:rsidRPr="00FF68F5" w:rsidRDefault="00932696" w:rsidP="00FF68F5">
      <w:pPr>
        <w:pStyle w:val="Listecouleur-Accent12"/>
        <w:numPr>
          <w:ilvl w:val="0"/>
          <w:numId w:val="89"/>
        </w:numPr>
        <w:spacing w:after="0" w:line="240" w:lineRule="auto"/>
        <w:ind w:right="-850"/>
        <w:jc w:val="both"/>
        <w:rPr>
          <w:rFonts w:ascii="Times New Roman" w:hAnsi="Times New Roman"/>
          <w:sz w:val="20"/>
          <w:szCs w:val="20"/>
          <w:lang w:val="fr-FR"/>
        </w:rPr>
      </w:pPr>
      <w:r w:rsidRPr="00FF68F5">
        <w:rPr>
          <w:rFonts w:ascii="Times New Roman" w:hAnsi="Times New Roman"/>
          <w:sz w:val="20"/>
          <w:szCs w:val="20"/>
          <w:lang w:val="fr-FR"/>
        </w:rPr>
        <w:t xml:space="preserve">les responsables des quartiers (communautés locales, notabilités); </w:t>
      </w:r>
    </w:p>
    <w:p w:rsidR="00932696" w:rsidRPr="00FF68F5" w:rsidRDefault="00932696" w:rsidP="00FF68F5">
      <w:pPr>
        <w:pStyle w:val="Listecouleur-Accent12"/>
        <w:numPr>
          <w:ilvl w:val="0"/>
          <w:numId w:val="89"/>
        </w:numPr>
        <w:spacing w:after="0" w:line="240" w:lineRule="auto"/>
        <w:ind w:right="-850"/>
        <w:jc w:val="both"/>
        <w:rPr>
          <w:rFonts w:ascii="Times New Roman" w:hAnsi="Times New Roman"/>
          <w:sz w:val="20"/>
          <w:szCs w:val="20"/>
          <w:lang w:val="fr-FR"/>
        </w:rPr>
      </w:pPr>
      <w:r w:rsidRPr="00FF68F5">
        <w:rPr>
          <w:rFonts w:ascii="Times New Roman" w:hAnsi="Times New Roman"/>
          <w:sz w:val="20"/>
          <w:szCs w:val="20"/>
          <w:lang w:val="fr-FR"/>
        </w:rPr>
        <w:t>les autorités municipales (mairie Bissau, Safim et Prabis ) ;</w:t>
      </w:r>
    </w:p>
    <w:p w:rsidR="00932696" w:rsidRPr="00FF68F5" w:rsidRDefault="00932696" w:rsidP="00FF68F5">
      <w:pPr>
        <w:pStyle w:val="Listecouleur-Accent12"/>
        <w:numPr>
          <w:ilvl w:val="0"/>
          <w:numId w:val="89"/>
        </w:numPr>
        <w:spacing w:after="0" w:line="240" w:lineRule="auto"/>
        <w:ind w:right="-850"/>
        <w:jc w:val="both"/>
        <w:rPr>
          <w:rFonts w:ascii="Times New Roman" w:hAnsi="Times New Roman"/>
          <w:sz w:val="20"/>
          <w:szCs w:val="20"/>
          <w:lang w:val="fr-FR"/>
        </w:rPr>
      </w:pPr>
      <w:r w:rsidRPr="00FF68F5">
        <w:rPr>
          <w:rFonts w:ascii="Times New Roman" w:hAnsi="Times New Roman"/>
          <w:sz w:val="20"/>
          <w:szCs w:val="20"/>
          <w:lang w:val="fr-FR"/>
        </w:rPr>
        <w:t>les acteurs institutionnels (services techniques) ;</w:t>
      </w:r>
    </w:p>
    <w:p w:rsidR="00932696" w:rsidRPr="00FF68F5" w:rsidRDefault="00932696" w:rsidP="00FF68F5">
      <w:pPr>
        <w:pStyle w:val="Listecouleur-Accent12"/>
        <w:numPr>
          <w:ilvl w:val="0"/>
          <w:numId w:val="89"/>
        </w:numPr>
        <w:spacing w:after="0" w:line="240" w:lineRule="auto"/>
        <w:ind w:right="-850"/>
        <w:jc w:val="both"/>
        <w:rPr>
          <w:rFonts w:ascii="Times New Roman" w:hAnsi="Times New Roman"/>
          <w:sz w:val="20"/>
          <w:szCs w:val="20"/>
          <w:lang w:val="fr-FR"/>
        </w:rPr>
      </w:pPr>
      <w:r w:rsidRPr="00FF68F5">
        <w:rPr>
          <w:rFonts w:ascii="Times New Roman" w:hAnsi="Times New Roman"/>
          <w:sz w:val="20"/>
          <w:szCs w:val="20"/>
          <w:lang w:val="fr-FR"/>
        </w:rPr>
        <w:t>une ONG locale comme tierce partie</w:t>
      </w:r>
    </w:p>
    <w:p w:rsidR="00932696" w:rsidRDefault="00932696" w:rsidP="00FF68F5">
      <w:pPr>
        <w:pStyle w:val="Listecouleur-Accent12"/>
        <w:numPr>
          <w:ilvl w:val="0"/>
          <w:numId w:val="89"/>
        </w:numPr>
        <w:spacing w:after="0" w:line="240" w:lineRule="auto"/>
        <w:ind w:right="-850"/>
        <w:jc w:val="both"/>
        <w:rPr>
          <w:rFonts w:ascii="Times New Roman" w:hAnsi="Times New Roman"/>
          <w:sz w:val="20"/>
          <w:szCs w:val="20"/>
          <w:lang w:val="fr-FR"/>
        </w:rPr>
      </w:pPr>
      <w:r w:rsidRPr="00FF68F5">
        <w:rPr>
          <w:rFonts w:ascii="Times New Roman" w:hAnsi="Times New Roman"/>
          <w:sz w:val="20"/>
          <w:szCs w:val="20"/>
          <w:lang w:val="fr-FR"/>
        </w:rPr>
        <w:t xml:space="preserve">les Personnes Affectées par Projet (PAP). </w:t>
      </w:r>
    </w:p>
    <w:p w:rsidR="00FF68F5" w:rsidRPr="00FF68F5" w:rsidRDefault="00FF68F5" w:rsidP="00FF68F5">
      <w:pPr>
        <w:pStyle w:val="Listecouleur-Accent12"/>
        <w:spacing w:after="0" w:line="240" w:lineRule="auto"/>
        <w:ind w:right="-850"/>
        <w:jc w:val="both"/>
        <w:rPr>
          <w:rFonts w:ascii="Times New Roman" w:hAnsi="Times New Roman"/>
          <w:sz w:val="20"/>
          <w:szCs w:val="20"/>
          <w:lang w:val="fr-FR"/>
        </w:rPr>
      </w:pPr>
    </w:p>
    <w:p w:rsidR="00932696" w:rsidRPr="00FF68F5" w:rsidRDefault="00932696" w:rsidP="00FF68F5">
      <w:pPr>
        <w:pStyle w:val="PargrafodaLista"/>
        <w:numPr>
          <w:ilvl w:val="1"/>
          <w:numId w:val="245"/>
        </w:numPr>
        <w:tabs>
          <w:tab w:val="left" w:pos="1418"/>
          <w:tab w:val="left" w:pos="1843"/>
        </w:tabs>
        <w:spacing w:after="0" w:line="240" w:lineRule="auto"/>
        <w:ind w:right="-283"/>
        <w:contextualSpacing w:val="0"/>
        <w:rPr>
          <w:rFonts w:ascii="Times New Roman" w:hAnsi="Times New Roman"/>
          <w:b/>
          <w:bCs/>
          <w:i/>
          <w:sz w:val="22"/>
          <w:szCs w:val="22"/>
          <w:lang w:val="fr-FR"/>
        </w:rPr>
      </w:pPr>
      <w:r w:rsidRPr="00FF68F5">
        <w:rPr>
          <w:rFonts w:ascii="Times New Roman" w:hAnsi="Times New Roman"/>
          <w:b/>
          <w:bCs/>
          <w:i/>
          <w:sz w:val="22"/>
          <w:szCs w:val="22"/>
          <w:lang w:val="fr-FR"/>
        </w:rPr>
        <w:t>Fonctionnement du mécanisme de gestion des plaintes</w:t>
      </w:r>
    </w:p>
    <w:p w:rsidR="00932696" w:rsidRPr="00D335A7" w:rsidRDefault="00932696" w:rsidP="00932696">
      <w:pPr>
        <w:ind w:left="-284"/>
        <w:jc w:val="both"/>
        <w:rPr>
          <w:rFonts w:ascii="Times New Roman" w:hAnsi="Times New Roman"/>
          <w:sz w:val="24"/>
          <w:szCs w:val="24"/>
        </w:rPr>
      </w:pPr>
      <w:r w:rsidRPr="00D335A7">
        <w:rPr>
          <w:rFonts w:ascii="Times New Roman" w:hAnsi="Times New Roman"/>
          <w:sz w:val="24"/>
          <w:szCs w:val="24"/>
        </w:rPr>
        <w:t>Le mécanisme de gestion des plaintes se structure en trois niveaux, à savoir :</w:t>
      </w:r>
    </w:p>
    <w:p w:rsidR="00932696" w:rsidRPr="00FF68F5" w:rsidRDefault="00932696" w:rsidP="00FF68F5">
      <w:pPr>
        <w:pStyle w:val="Listecouleur-Accent12"/>
        <w:numPr>
          <w:ilvl w:val="0"/>
          <w:numId w:val="89"/>
        </w:numPr>
        <w:spacing w:after="0" w:line="240" w:lineRule="auto"/>
        <w:ind w:right="-850"/>
        <w:jc w:val="both"/>
        <w:rPr>
          <w:rFonts w:ascii="Times New Roman" w:hAnsi="Times New Roman"/>
          <w:sz w:val="20"/>
          <w:szCs w:val="20"/>
          <w:lang w:val="fr-FR"/>
        </w:rPr>
      </w:pPr>
      <w:r w:rsidRPr="00FF68F5">
        <w:rPr>
          <w:rFonts w:ascii="Times New Roman" w:hAnsi="Times New Roman"/>
          <w:sz w:val="20"/>
          <w:szCs w:val="20"/>
          <w:lang w:val="fr-FR"/>
        </w:rPr>
        <w:t xml:space="preserve">Niveau I : Le chef de village ou les responsables de quartiers et les notables ; </w:t>
      </w:r>
    </w:p>
    <w:p w:rsidR="00932696" w:rsidRPr="00FF68F5" w:rsidRDefault="00932696" w:rsidP="00FF68F5">
      <w:pPr>
        <w:pStyle w:val="Listecouleur-Accent12"/>
        <w:numPr>
          <w:ilvl w:val="0"/>
          <w:numId w:val="89"/>
        </w:numPr>
        <w:spacing w:after="0" w:line="240" w:lineRule="auto"/>
        <w:ind w:right="-850"/>
        <w:jc w:val="both"/>
        <w:rPr>
          <w:rFonts w:ascii="Times New Roman" w:hAnsi="Times New Roman"/>
          <w:sz w:val="20"/>
          <w:szCs w:val="20"/>
          <w:lang w:val="fr-FR"/>
        </w:rPr>
      </w:pPr>
      <w:r w:rsidRPr="00FF68F5">
        <w:rPr>
          <w:rFonts w:ascii="Times New Roman" w:hAnsi="Times New Roman"/>
          <w:sz w:val="20"/>
          <w:szCs w:val="20"/>
          <w:lang w:val="fr-FR"/>
        </w:rPr>
        <w:t>Niveau II : Le comité local de gestion de plaintes ;</w:t>
      </w:r>
    </w:p>
    <w:p w:rsidR="00932696" w:rsidRDefault="00932696" w:rsidP="00FF68F5">
      <w:pPr>
        <w:pStyle w:val="Listecouleur-Accent12"/>
        <w:numPr>
          <w:ilvl w:val="0"/>
          <w:numId w:val="89"/>
        </w:numPr>
        <w:spacing w:after="0" w:line="240" w:lineRule="auto"/>
        <w:ind w:right="-850"/>
        <w:jc w:val="both"/>
        <w:rPr>
          <w:rFonts w:ascii="Times New Roman" w:hAnsi="Times New Roman"/>
          <w:sz w:val="20"/>
          <w:szCs w:val="20"/>
          <w:lang w:val="fr-FR"/>
        </w:rPr>
      </w:pPr>
      <w:r w:rsidRPr="00FF68F5">
        <w:rPr>
          <w:rFonts w:ascii="Times New Roman" w:hAnsi="Times New Roman"/>
          <w:sz w:val="20"/>
          <w:szCs w:val="20"/>
          <w:lang w:val="fr-FR"/>
        </w:rPr>
        <w:t>Niveau III : Le PUASEE-FA.</w:t>
      </w:r>
    </w:p>
    <w:p w:rsidR="00FF68F5" w:rsidRPr="00FF68F5" w:rsidRDefault="00FF68F5" w:rsidP="00FF68F5">
      <w:pPr>
        <w:pStyle w:val="Listecouleur-Accent12"/>
        <w:spacing w:after="0" w:line="240" w:lineRule="auto"/>
        <w:ind w:right="-850"/>
        <w:jc w:val="both"/>
        <w:rPr>
          <w:rFonts w:ascii="Times New Roman" w:hAnsi="Times New Roman"/>
          <w:sz w:val="20"/>
          <w:szCs w:val="20"/>
          <w:lang w:val="fr-FR"/>
        </w:rPr>
      </w:pPr>
    </w:p>
    <w:p w:rsidR="00932696" w:rsidRPr="00FF68F5" w:rsidRDefault="00932696" w:rsidP="00FF68F5">
      <w:pPr>
        <w:pStyle w:val="PargrafodaLista"/>
        <w:numPr>
          <w:ilvl w:val="1"/>
          <w:numId w:val="245"/>
        </w:numPr>
        <w:tabs>
          <w:tab w:val="left" w:pos="1418"/>
          <w:tab w:val="left" w:pos="1843"/>
        </w:tabs>
        <w:spacing w:after="240" w:line="240" w:lineRule="auto"/>
        <w:ind w:right="-283"/>
        <w:contextualSpacing w:val="0"/>
        <w:rPr>
          <w:rFonts w:ascii="Times New Roman" w:hAnsi="Times New Roman"/>
          <w:b/>
          <w:bCs/>
          <w:i/>
          <w:sz w:val="22"/>
          <w:szCs w:val="22"/>
          <w:lang w:val="fr-FR"/>
        </w:rPr>
      </w:pPr>
      <w:bookmarkStart w:id="22" w:name="_Toc50135825"/>
      <w:r w:rsidRPr="00FF68F5">
        <w:rPr>
          <w:rFonts w:ascii="Times New Roman" w:hAnsi="Times New Roman"/>
          <w:b/>
          <w:bCs/>
          <w:i/>
          <w:sz w:val="22"/>
          <w:szCs w:val="22"/>
          <w:lang w:val="fr-FR"/>
        </w:rPr>
        <w:t>Enregistrement des plaintes</w:t>
      </w:r>
      <w:bookmarkEnd w:id="22"/>
    </w:p>
    <w:p w:rsidR="00932696" w:rsidRPr="00FF68F5" w:rsidRDefault="00932696" w:rsidP="00FF68F5">
      <w:pPr>
        <w:spacing w:line="240" w:lineRule="auto"/>
        <w:ind w:left="-284" w:right="-853"/>
        <w:jc w:val="both"/>
        <w:rPr>
          <w:rFonts w:ascii="Times New Roman" w:hAnsi="Times New Roman" w:cs="Times New Roman"/>
        </w:rPr>
      </w:pPr>
      <w:r w:rsidRPr="00FF68F5">
        <w:rPr>
          <w:rFonts w:ascii="Times New Roman" w:hAnsi="Times New Roman" w:cs="Times New Roman"/>
        </w:rPr>
        <w:t xml:space="preserve">Les plaignants seront informés par le l’UGP du PASEB, sur le mécanisme de gestion de plaintes se fera à travers la mise en place d’un registre de doléances auprès du chef de quartier et d’un numéro de téléphone. Ensuite, le responsable des sauvegardes sociales du PASEB à travers des séances de consultation du public informera les plaignants sur la procédure à suivre pour pouvoir se plaindre. </w:t>
      </w:r>
    </w:p>
    <w:p w:rsidR="00932696" w:rsidRPr="00FF68F5" w:rsidRDefault="00932696" w:rsidP="00FF68F5">
      <w:pPr>
        <w:spacing w:line="240" w:lineRule="auto"/>
        <w:ind w:left="-284" w:right="-853"/>
        <w:jc w:val="both"/>
        <w:rPr>
          <w:rFonts w:ascii="Times New Roman" w:hAnsi="Times New Roman" w:cs="Times New Roman"/>
        </w:rPr>
      </w:pPr>
      <w:r w:rsidRPr="00FF68F5">
        <w:rPr>
          <w:rFonts w:ascii="Times New Roman" w:hAnsi="Times New Roman" w:cs="Times New Roman"/>
        </w:rPr>
        <w:t>Le chef de quartier assurera la tenue du registre et va aider les plaignants à remplir et déposer leur plainte ; le plaignant peut aussi rédiger sa propre plainte, ou s’appuyer sur des personnes ressources ou une ONG ; un modèle d’enregistrement des plaintes est joint en Annexe 9. Par souci de discrétion le plaignant peut aussi appeler au téléphone pour déposer sa plainte.</w:t>
      </w:r>
    </w:p>
    <w:p w:rsidR="00932696" w:rsidRPr="00FF68F5" w:rsidRDefault="00932696" w:rsidP="00FF68F5">
      <w:pPr>
        <w:spacing w:line="240" w:lineRule="auto"/>
        <w:ind w:left="-284" w:right="-853"/>
        <w:jc w:val="both"/>
        <w:rPr>
          <w:rFonts w:ascii="Times New Roman" w:hAnsi="Times New Roman" w:cs="Times New Roman"/>
        </w:rPr>
      </w:pPr>
      <w:r w:rsidRPr="00FF68F5">
        <w:rPr>
          <w:rFonts w:ascii="Times New Roman" w:hAnsi="Times New Roman" w:cs="Times New Roman"/>
        </w:rPr>
        <w:t xml:space="preserve">La figure suivante résume le circuit du MGP du PASEB : </w:t>
      </w:r>
    </w:p>
    <w:p w:rsidR="002C6E60" w:rsidRDefault="00FF68F5" w:rsidP="00932696">
      <w:pPr>
        <w:tabs>
          <w:tab w:val="left" w:pos="2325"/>
        </w:tabs>
        <w:spacing w:line="276" w:lineRule="auto"/>
        <w:jc w:val="both"/>
        <w:rPr>
          <w:rFonts w:ascii="Times New Roman" w:hAnsi="Times New Roman" w:cs="Times New Roman"/>
          <w:b/>
          <w:sz w:val="24"/>
          <w:szCs w:val="24"/>
        </w:rPr>
      </w:pPr>
      <w:r>
        <w:rPr>
          <w:rFonts w:ascii="Times New Roman" w:hAnsi="Times New Roman"/>
          <w:b/>
          <w:bCs/>
          <w:noProof/>
          <w:sz w:val="24"/>
          <w:szCs w:val="24"/>
          <w:lang w:val="pt-PT" w:eastAsia="pt-PT"/>
        </w:rPr>
        <w:drawing>
          <wp:anchor distT="0" distB="0" distL="114300" distR="114300" simplePos="0" relativeHeight="252313088" behindDoc="1" locked="0" layoutInCell="1" allowOverlap="1" wp14:anchorId="67D1A8F2" wp14:editId="714B44EC">
            <wp:simplePos x="0" y="0"/>
            <wp:positionH relativeFrom="margin">
              <wp:align>center</wp:align>
            </wp:positionH>
            <wp:positionV relativeFrom="margin">
              <wp:posOffset>5828030</wp:posOffset>
            </wp:positionV>
            <wp:extent cx="3962400" cy="2526030"/>
            <wp:effectExtent l="0" t="0" r="0" b="7620"/>
            <wp:wrapTight wrapText="bothSides">
              <wp:wrapPolygon edited="0">
                <wp:start x="0" y="0"/>
                <wp:lineTo x="0" y="21502"/>
                <wp:lineTo x="21496" y="21502"/>
                <wp:lineTo x="21496" y="0"/>
                <wp:lineTo x="0" y="0"/>
              </wp:wrapPolygon>
            </wp:wrapTight>
            <wp:docPr id="32" name="Imag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cstate="email">
                      <a:extLst>
                        <a:ext uri="{28A0092B-C50C-407E-A947-70E740481C1C}">
                          <a14:useLocalDpi xmlns:a14="http://schemas.microsoft.com/office/drawing/2010/main"/>
                        </a:ext>
                      </a:extLst>
                    </a:blip>
                    <a:srcRect/>
                    <a:stretch>
                      <a:fillRect/>
                    </a:stretch>
                  </pic:blipFill>
                  <pic:spPr bwMode="auto">
                    <a:xfrm>
                      <a:off x="0" y="0"/>
                      <a:ext cx="3962400" cy="252603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384924" w:rsidRDefault="00384924" w:rsidP="00384924">
      <w:pPr>
        <w:tabs>
          <w:tab w:val="left" w:pos="2325"/>
        </w:tabs>
        <w:spacing w:line="276" w:lineRule="auto"/>
        <w:jc w:val="both"/>
        <w:rPr>
          <w:rFonts w:ascii="Times New Roman" w:hAnsi="Times New Roman" w:cs="Times New Roman"/>
          <w:b/>
          <w:sz w:val="24"/>
          <w:szCs w:val="24"/>
        </w:rPr>
      </w:pPr>
    </w:p>
    <w:p w:rsidR="00384924" w:rsidRDefault="00384924" w:rsidP="00384924">
      <w:pPr>
        <w:tabs>
          <w:tab w:val="left" w:pos="2325"/>
        </w:tabs>
        <w:spacing w:line="276" w:lineRule="auto"/>
        <w:jc w:val="both"/>
        <w:rPr>
          <w:rFonts w:ascii="Times New Roman" w:hAnsi="Times New Roman" w:cs="Times New Roman"/>
          <w:b/>
          <w:sz w:val="24"/>
          <w:szCs w:val="24"/>
        </w:rPr>
      </w:pPr>
    </w:p>
    <w:p w:rsidR="00FF68F5" w:rsidRDefault="00FF68F5" w:rsidP="00384924">
      <w:pPr>
        <w:tabs>
          <w:tab w:val="left" w:pos="2325"/>
        </w:tabs>
        <w:spacing w:line="276" w:lineRule="auto"/>
        <w:jc w:val="both"/>
        <w:rPr>
          <w:rFonts w:ascii="Times New Roman" w:hAnsi="Times New Roman" w:cs="Times New Roman"/>
          <w:b/>
          <w:sz w:val="24"/>
          <w:szCs w:val="24"/>
        </w:rPr>
      </w:pPr>
    </w:p>
    <w:p w:rsidR="00FF68F5" w:rsidRDefault="00FF68F5" w:rsidP="00384924">
      <w:pPr>
        <w:tabs>
          <w:tab w:val="left" w:pos="2325"/>
        </w:tabs>
        <w:spacing w:line="276" w:lineRule="auto"/>
        <w:jc w:val="both"/>
        <w:rPr>
          <w:rFonts w:ascii="Times New Roman" w:hAnsi="Times New Roman" w:cs="Times New Roman"/>
          <w:b/>
          <w:sz w:val="24"/>
          <w:szCs w:val="24"/>
        </w:rPr>
      </w:pPr>
    </w:p>
    <w:p w:rsidR="00FF68F5" w:rsidRDefault="00FF68F5" w:rsidP="00384924">
      <w:pPr>
        <w:tabs>
          <w:tab w:val="left" w:pos="2325"/>
        </w:tabs>
        <w:spacing w:line="276" w:lineRule="auto"/>
        <w:jc w:val="both"/>
        <w:rPr>
          <w:rFonts w:ascii="Times New Roman" w:hAnsi="Times New Roman" w:cs="Times New Roman"/>
          <w:b/>
          <w:sz w:val="24"/>
          <w:szCs w:val="24"/>
        </w:rPr>
      </w:pPr>
    </w:p>
    <w:p w:rsidR="00FF68F5" w:rsidRDefault="00FF68F5" w:rsidP="00384924">
      <w:pPr>
        <w:tabs>
          <w:tab w:val="left" w:pos="2325"/>
        </w:tabs>
        <w:spacing w:line="276" w:lineRule="auto"/>
        <w:jc w:val="both"/>
        <w:rPr>
          <w:rFonts w:ascii="Times New Roman" w:hAnsi="Times New Roman" w:cs="Times New Roman"/>
          <w:b/>
          <w:sz w:val="24"/>
          <w:szCs w:val="24"/>
        </w:rPr>
      </w:pPr>
    </w:p>
    <w:p w:rsidR="00FF68F5" w:rsidRDefault="00FF68F5" w:rsidP="00384924">
      <w:pPr>
        <w:tabs>
          <w:tab w:val="left" w:pos="2325"/>
        </w:tabs>
        <w:spacing w:line="276" w:lineRule="auto"/>
        <w:jc w:val="both"/>
        <w:rPr>
          <w:rFonts w:ascii="Times New Roman" w:hAnsi="Times New Roman" w:cs="Times New Roman"/>
          <w:b/>
          <w:sz w:val="24"/>
          <w:szCs w:val="24"/>
        </w:rPr>
      </w:pPr>
    </w:p>
    <w:p w:rsidR="00FF68F5" w:rsidRDefault="00FF68F5" w:rsidP="00384924">
      <w:pPr>
        <w:tabs>
          <w:tab w:val="left" w:pos="2325"/>
        </w:tabs>
        <w:spacing w:line="276" w:lineRule="auto"/>
        <w:jc w:val="both"/>
        <w:rPr>
          <w:rFonts w:ascii="Times New Roman" w:hAnsi="Times New Roman" w:cs="Times New Roman"/>
          <w:b/>
          <w:sz w:val="24"/>
          <w:szCs w:val="24"/>
        </w:rPr>
      </w:pPr>
    </w:p>
    <w:p w:rsidR="00FF68F5" w:rsidRDefault="00FF68F5" w:rsidP="00384924">
      <w:pPr>
        <w:tabs>
          <w:tab w:val="left" w:pos="2325"/>
        </w:tabs>
        <w:spacing w:line="276" w:lineRule="auto"/>
        <w:jc w:val="both"/>
        <w:rPr>
          <w:rFonts w:ascii="Times New Roman" w:hAnsi="Times New Roman" w:cs="Times New Roman"/>
          <w:b/>
          <w:sz w:val="24"/>
          <w:szCs w:val="24"/>
        </w:rPr>
      </w:pPr>
    </w:p>
    <w:p w:rsidR="00FF68F5" w:rsidRDefault="00FF68F5" w:rsidP="00384924">
      <w:pPr>
        <w:tabs>
          <w:tab w:val="left" w:pos="2325"/>
        </w:tabs>
        <w:spacing w:line="276" w:lineRule="auto"/>
        <w:jc w:val="both"/>
        <w:rPr>
          <w:rFonts w:ascii="Times New Roman" w:hAnsi="Times New Roman" w:cs="Times New Roman"/>
          <w:b/>
          <w:sz w:val="24"/>
          <w:szCs w:val="24"/>
        </w:rPr>
      </w:pPr>
    </w:p>
    <w:p w:rsidR="005A4237" w:rsidRPr="00CD5496" w:rsidRDefault="00C030D5" w:rsidP="00CD5496">
      <w:pPr>
        <w:keepNext/>
        <w:keepLines/>
        <w:pBdr>
          <w:top w:val="outset" w:sz="12" w:space="1" w:color="auto"/>
          <w:left w:val="outset" w:sz="12" w:space="4" w:color="auto"/>
          <w:bottom w:val="outset" w:sz="12" w:space="1" w:color="auto"/>
          <w:right w:val="outset" w:sz="12" w:space="4" w:color="auto"/>
        </w:pBdr>
        <w:shd w:val="clear" w:color="auto" w:fill="F2F2F2" w:themeFill="background1" w:themeFillShade="F2"/>
        <w:spacing w:after="0" w:line="240" w:lineRule="auto"/>
        <w:ind w:left="-1417" w:right="-567"/>
        <w:jc w:val="center"/>
        <w:outlineLvl w:val="0"/>
        <w:rPr>
          <w:rFonts w:ascii="Times New Roman" w:eastAsia="Calibri" w:hAnsi="Times New Roman" w:cs="Times New Roman"/>
          <w:b/>
          <w:sz w:val="32"/>
          <w:szCs w:val="32"/>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id="23" w:name="_Toc527881984"/>
      <w:bookmarkStart w:id="24" w:name="_Toc51072497"/>
      <w:r>
        <w:rPr>
          <w:rFonts w:ascii="Times New Roman" w:eastAsia="Calibri" w:hAnsi="Times New Roman" w:cs="Times New Roman"/>
          <w:b/>
          <w:sz w:val="32"/>
          <w:szCs w:val="32"/>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1</w:t>
      </w:r>
      <w:r w:rsidR="005A4237" w:rsidRPr="00CD5496">
        <w:rPr>
          <w:rFonts w:ascii="Times New Roman" w:eastAsia="Calibri" w:hAnsi="Times New Roman" w:cs="Times New Roman"/>
          <w:b/>
          <w:sz w:val="32"/>
          <w:szCs w:val="32"/>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INTRODUCTION   *</w:t>
      </w:r>
      <w:bookmarkEnd w:id="23"/>
      <w:bookmarkEnd w:id="24"/>
    </w:p>
    <w:p w:rsidR="005F22C0" w:rsidRPr="006C0C34" w:rsidRDefault="009F7B0A" w:rsidP="00620290">
      <w:pPr>
        <w:pStyle w:val="PargrafodaLista"/>
        <w:keepNext/>
        <w:spacing w:before="240" w:after="0"/>
        <w:ind w:left="450" w:hanging="450"/>
        <w:jc w:val="both"/>
        <w:outlineLvl w:val="1"/>
        <w:rPr>
          <w:rFonts w:ascii="Times New Roman" w:hAnsi="Times New Roman"/>
          <w:b/>
          <w:sz w:val="24"/>
          <w:szCs w:val="24"/>
          <w:lang w:val="fr-FR" w:eastAsia="fr-FR"/>
        </w:rPr>
      </w:pPr>
      <w:bookmarkStart w:id="25" w:name="_Toc51072498"/>
      <w:bookmarkStart w:id="26" w:name="_Toc527881985"/>
      <w:r>
        <w:rPr>
          <w:rFonts w:ascii="Times New Roman" w:hAnsi="Times New Roman"/>
          <w:b/>
          <w:sz w:val="24"/>
          <w:szCs w:val="24"/>
          <w:lang w:val="fr-FR" w:eastAsia="fr-FR"/>
        </w:rPr>
        <w:t>1</w:t>
      </w:r>
      <w:r w:rsidR="005F22C0" w:rsidRPr="006C0C34">
        <w:rPr>
          <w:rFonts w:ascii="Times New Roman" w:hAnsi="Times New Roman"/>
          <w:b/>
          <w:sz w:val="24"/>
          <w:szCs w:val="24"/>
          <w:lang w:val="fr-FR" w:eastAsia="fr-FR"/>
        </w:rPr>
        <w:t>.1. CONTEXTE ET JUSTIFICATION GENERAL</w:t>
      </w:r>
      <w:r w:rsidR="009B35B8">
        <w:rPr>
          <w:rFonts w:ascii="Times New Roman" w:hAnsi="Times New Roman"/>
          <w:b/>
          <w:sz w:val="24"/>
          <w:szCs w:val="24"/>
          <w:lang w:val="fr-FR" w:eastAsia="fr-FR"/>
        </w:rPr>
        <w:t>E</w:t>
      </w:r>
      <w:bookmarkEnd w:id="25"/>
    </w:p>
    <w:p w:rsidR="00815DA1" w:rsidRDefault="005E212E" w:rsidP="00CD5496">
      <w:pPr>
        <w:autoSpaceDE w:val="0"/>
        <w:autoSpaceDN w:val="0"/>
        <w:adjustRightInd w:val="0"/>
        <w:spacing w:after="0" w:line="240" w:lineRule="auto"/>
        <w:ind w:left="-284" w:right="-851"/>
        <w:jc w:val="both"/>
        <w:rPr>
          <w:rFonts w:ascii="Times New Roman" w:hAnsi="Times New Roman" w:cs="Times New Roman"/>
          <w:sz w:val="24"/>
          <w:szCs w:val="24"/>
        </w:rPr>
      </w:pPr>
      <w:r w:rsidRPr="006C0C34">
        <w:rPr>
          <w:rFonts w:ascii="Times New Roman" w:hAnsi="Times New Roman" w:cs="Times New Roman"/>
          <w:sz w:val="24"/>
          <w:szCs w:val="24"/>
        </w:rPr>
        <w:t xml:space="preserve">Dans les pays en voie de développement, l’accès à l’eau potable reste </w:t>
      </w:r>
      <w:r w:rsidR="00AF1DBE" w:rsidRPr="006C0C34">
        <w:rPr>
          <w:rFonts w:ascii="Times New Roman" w:hAnsi="Times New Roman" w:cs="Times New Roman"/>
          <w:sz w:val="24"/>
          <w:szCs w:val="24"/>
        </w:rPr>
        <w:t>l’un</w:t>
      </w:r>
      <w:r w:rsidR="00D43278">
        <w:rPr>
          <w:rFonts w:ascii="Times New Roman" w:hAnsi="Times New Roman" w:cs="Times New Roman"/>
          <w:sz w:val="24"/>
          <w:szCs w:val="24"/>
        </w:rPr>
        <w:t>e</w:t>
      </w:r>
      <w:r w:rsidR="00AF1DBE" w:rsidRPr="006C0C34">
        <w:rPr>
          <w:rFonts w:ascii="Times New Roman" w:hAnsi="Times New Roman" w:cs="Times New Roman"/>
          <w:sz w:val="24"/>
          <w:szCs w:val="24"/>
        </w:rPr>
        <w:t xml:space="preserve"> </w:t>
      </w:r>
      <w:r w:rsidR="00D43278">
        <w:rPr>
          <w:rFonts w:ascii="Times New Roman" w:hAnsi="Times New Roman" w:cs="Times New Roman"/>
          <w:sz w:val="24"/>
          <w:szCs w:val="24"/>
        </w:rPr>
        <w:t xml:space="preserve">des grandes difficultés </w:t>
      </w:r>
      <w:r w:rsidR="00FA20DE">
        <w:rPr>
          <w:rFonts w:ascii="Times New Roman" w:hAnsi="Times New Roman" w:cs="Times New Roman"/>
          <w:sz w:val="24"/>
          <w:szCs w:val="24"/>
        </w:rPr>
        <w:t>auxquelles</w:t>
      </w:r>
      <w:r w:rsidR="00D43278">
        <w:rPr>
          <w:rFonts w:ascii="Times New Roman" w:hAnsi="Times New Roman" w:cs="Times New Roman"/>
          <w:sz w:val="24"/>
          <w:szCs w:val="24"/>
        </w:rPr>
        <w:t xml:space="preserve"> le</w:t>
      </w:r>
      <w:r w:rsidR="00AF1DBE" w:rsidRPr="006C0C34">
        <w:rPr>
          <w:rFonts w:ascii="Times New Roman" w:hAnsi="Times New Roman" w:cs="Times New Roman"/>
          <w:sz w:val="24"/>
          <w:szCs w:val="24"/>
        </w:rPr>
        <w:t>s gouvernements doivent faire face pour l’amélioration des conditions de vie de</w:t>
      </w:r>
      <w:r w:rsidR="00D43278">
        <w:rPr>
          <w:rFonts w:ascii="Times New Roman" w:hAnsi="Times New Roman" w:cs="Times New Roman"/>
          <w:sz w:val="24"/>
          <w:szCs w:val="24"/>
        </w:rPr>
        <w:t>s</w:t>
      </w:r>
      <w:r w:rsidR="00AF1DBE" w:rsidRPr="006C0C34">
        <w:rPr>
          <w:rFonts w:ascii="Times New Roman" w:hAnsi="Times New Roman" w:cs="Times New Roman"/>
          <w:sz w:val="24"/>
          <w:szCs w:val="24"/>
        </w:rPr>
        <w:t xml:space="preserve"> population</w:t>
      </w:r>
      <w:r w:rsidR="00D43278">
        <w:rPr>
          <w:rFonts w:ascii="Times New Roman" w:hAnsi="Times New Roman" w:cs="Times New Roman"/>
          <w:sz w:val="24"/>
          <w:szCs w:val="24"/>
        </w:rPr>
        <w:t>s</w:t>
      </w:r>
      <w:r w:rsidR="00AF1DBE" w:rsidRPr="006C0C34">
        <w:rPr>
          <w:rFonts w:ascii="Times New Roman" w:hAnsi="Times New Roman" w:cs="Times New Roman"/>
          <w:sz w:val="24"/>
          <w:szCs w:val="24"/>
        </w:rPr>
        <w:t>.</w:t>
      </w:r>
      <w:r w:rsidRPr="006C0C34">
        <w:rPr>
          <w:rFonts w:ascii="Times New Roman" w:hAnsi="Times New Roman" w:cs="Times New Roman"/>
          <w:sz w:val="24"/>
          <w:szCs w:val="24"/>
        </w:rPr>
        <w:t xml:space="preserve"> En effet, la relation entre l’accès à l’eau potable et la disponibilité d’énergie est intrinsèque. La mise en place de systèmes d’alimentation en eau nécessite, dans la plupart des cas, le</w:t>
      </w:r>
      <w:r w:rsidR="000D0F18">
        <w:rPr>
          <w:rFonts w:ascii="Times New Roman" w:hAnsi="Times New Roman" w:cs="Times New Roman"/>
          <w:sz w:val="24"/>
          <w:szCs w:val="24"/>
        </w:rPr>
        <w:t xml:space="preserve"> recours à une source d’énergie.</w:t>
      </w:r>
    </w:p>
    <w:p w:rsidR="00FA20DE" w:rsidRPr="006C0C34" w:rsidRDefault="00FA20DE" w:rsidP="00CD5496">
      <w:pPr>
        <w:autoSpaceDE w:val="0"/>
        <w:autoSpaceDN w:val="0"/>
        <w:adjustRightInd w:val="0"/>
        <w:spacing w:after="0" w:line="240" w:lineRule="auto"/>
        <w:ind w:left="-284" w:right="-851"/>
        <w:jc w:val="both"/>
        <w:rPr>
          <w:rFonts w:ascii="Times New Roman" w:hAnsi="Times New Roman" w:cs="Times New Roman"/>
          <w:sz w:val="24"/>
          <w:szCs w:val="24"/>
        </w:rPr>
      </w:pPr>
    </w:p>
    <w:p w:rsidR="00815DA1" w:rsidRPr="006C0C34" w:rsidRDefault="002D0D7D" w:rsidP="00CD5496">
      <w:pPr>
        <w:autoSpaceDE w:val="0"/>
        <w:autoSpaceDN w:val="0"/>
        <w:adjustRightInd w:val="0"/>
        <w:spacing w:after="0" w:line="240" w:lineRule="auto"/>
        <w:ind w:left="-284" w:right="-851"/>
        <w:jc w:val="both"/>
        <w:rPr>
          <w:rFonts w:ascii="Times New Roman" w:hAnsi="Times New Roman" w:cs="Times New Roman"/>
          <w:sz w:val="24"/>
          <w:szCs w:val="24"/>
        </w:rPr>
      </w:pPr>
      <w:r w:rsidRPr="006C0C34">
        <w:rPr>
          <w:rFonts w:ascii="Times New Roman" w:hAnsi="Times New Roman" w:cs="Times New Roman"/>
          <w:sz w:val="24"/>
          <w:szCs w:val="24"/>
        </w:rPr>
        <w:t>Eu égard à ce qui précède l</w:t>
      </w:r>
      <w:r w:rsidR="00815DA1" w:rsidRPr="006C0C34">
        <w:rPr>
          <w:rFonts w:ascii="Times New Roman" w:hAnsi="Times New Roman" w:cs="Times New Roman"/>
          <w:sz w:val="24"/>
          <w:szCs w:val="24"/>
        </w:rPr>
        <w:t xml:space="preserve">e Gouvernement Bissau-guinéen en partenariat avec la Banque Mondiale, </w:t>
      </w:r>
      <w:r w:rsidR="005A158E">
        <w:rPr>
          <w:rFonts w:ascii="Times New Roman" w:hAnsi="Times New Roman" w:cs="Times New Roman"/>
          <w:sz w:val="24"/>
          <w:szCs w:val="24"/>
        </w:rPr>
        <w:t>a</w:t>
      </w:r>
      <w:r w:rsidR="00815DA1" w:rsidRPr="006C0C34">
        <w:rPr>
          <w:rFonts w:ascii="Times New Roman" w:hAnsi="Times New Roman" w:cs="Times New Roman"/>
          <w:sz w:val="24"/>
          <w:szCs w:val="24"/>
        </w:rPr>
        <w:t xml:space="preserve"> mis en œuvre le Projet d’Urgence pour l’amélioration des Services d’Eau et d'Électricité (PUASEE), projet en cours </w:t>
      </w:r>
      <w:r w:rsidR="00DF7E0C" w:rsidRPr="006C0C34">
        <w:rPr>
          <w:rFonts w:ascii="Times New Roman" w:hAnsi="Times New Roman" w:cs="Times New Roman"/>
          <w:sz w:val="24"/>
          <w:szCs w:val="24"/>
        </w:rPr>
        <w:t>d’exécution</w:t>
      </w:r>
      <w:r w:rsidR="00DF7E0C" w:rsidRPr="00DF7E0C">
        <w:rPr>
          <w:rFonts w:ascii="Times New Roman" w:hAnsi="Times New Roman" w:cs="Times New Roman"/>
          <w:sz w:val="24"/>
          <w:szCs w:val="24"/>
        </w:rPr>
        <w:t xml:space="preserve"> qui a démarré ses activités depuis 2014. Forts de ces premières actions et de la nécessité d’améliorer à l’eau potable et l’électricité dans la ville de Bissau, le gouvernement Bissau-guinéen a obtenu un fonds additionnel (PUASEE- FA) pour un financement de 22,5 MUSD</w:t>
      </w:r>
      <w:r w:rsidR="00DF7E0C" w:rsidRPr="006C0C34">
        <w:rPr>
          <w:rFonts w:ascii="Times New Roman" w:hAnsi="Times New Roman" w:cs="Times New Roman"/>
          <w:sz w:val="24"/>
          <w:szCs w:val="24"/>
        </w:rPr>
        <w:t>.</w:t>
      </w:r>
      <w:r w:rsidR="00815DA1" w:rsidRPr="006C0C34">
        <w:rPr>
          <w:rFonts w:ascii="Times New Roman" w:hAnsi="Times New Roman" w:cs="Times New Roman"/>
          <w:sz w:val="24"/>
          <w:szCs w:val="24"/>
        </w:rPr>
        <w:t xml:space="preserve"> L'objectif de développement du PUASEE est d'améliorer les conditions d’hygiènes de la population de la ville de Bissau à travers l’accès à l’eau potable en (i) rétablissant et en élargissant l’accès de la population de Bissau à l’eau potable tout en améliorant la qualité des services d’alimentation en eau ; et (ii) en améliorant la fiabilité de la fourniture d’électricité à la population de Bissau.</w:t>
      </w:r>
    </w:p>
    <w:p w:rsidR="00DD0A7A" w:rsidRDefault="00DD0A7A" w:rsidP="00CD5496">
      <w:pPr>
        <w:autoSpaceDE w:val="0"/>
        <w:autoSpaceDN w:val="0"/>
        <w:adjustRightInd w:val="0"/>
        <w:spacing w:after="0" w:line="240" w:lineRule="auto"/>
        <w:ind w:left="-284" w:right="-851"/>
        <w:jc w:val="both"/>
        <w:rPr>
          <w:rFonts w:ascii="Times New Roman" w:hAnsi="Times New Roman" w:cs="Times New Roman"/>
          <w:sz w:val="24"/>
          <w:szCs w:val="24"/>
        </w:rPr>
      </w:pPr>
      <w:r w:rsidRPr="006C0C34">
        <w:rPr>
          <w:rFonts w:ascii="Times New Roman" w:hAnsi="Times New Roman" w:cs="Times New Roman"/>
          <w:sz w:val="24"/>
          <w:szCs w:val="24"/>
        </w:rPr>
        <w:t>En effet, plusieurs quartiers de Bissau non couverts par les précédents projets connaissent un problème crucial d’eau potable à tel point que la majorité des communautés s’approvisionnent dans les puits traditionnels, avec des eaux insalubres, cause des nombreuses maladies</w:t>
      </w:r>
      <w:r w:rsidR="00FA20DE">
        <w:rPr>
          <w:rFonts w:ascii="Times New Roman" w:hAnsi="Times New Roman" w:cs="Times New Roman"/>
          <w:sz w:val="24"/>
          <w:szCs w:val="24"/>
        </w:rPr>
        <w:t>.</w:t>
      </w:r>
      <w:r w:rsidRPr="006C0C34">
        <w:rPr>
          <w:rFonts w:ascii="Times New Roman" w:hAnsi="Times New Roman" w:cs="Times New Roman"/>
          <w:sz w:val="24"/>
          <w:szCs w:val="24"/>
        </w:rPr>
        <w:t xml:space="preserve"> </w:t>
      </w:r>
    </w:p>
    <w:p w:rsidR="00FA20DE" w:rsidRPr="006C0C34" w:rsidRDefault="00FA20DE" w:rsidP="00CD5496">
      <w:pPr>
        <w:autoSpaceDE w:val="0"/>
        <w:autoSpaceDN w:val="0"/>
        <w:adjustRightInd w:val="0"/>
        <w:spacing w:after="0" w:line="240" w:lineRule="auto"/>
        <w:ind w:left="-284" w:right="-851"/>
        <w:jc w:val="both"/>
        <w:rPr>
          <w:rFonts w:ascii="Times New Roman" w:hAnsi="Times New Roman" w:cs="Times New Roman"/>
          <w:sz w:val="24"/>
          <w:szCs w:val="24"/>
        </w:rPr>
      </w:pPr>
    </w:p>
    <w:p w:rsidR="00DD0A7A" w:rsidRDefault="00DD0A7A" w:rsidP="00CD5496">
      <w:pPr>
        <w:autoSpaceDE w:val="0"/>
        <w:autoSpaceDN w:val="0"/>
        <w:adjustRightInd w:val="0"/>
        <w:spacing w:after="0" w:line="240" w:lineRule="auto"/>
        <w:ind w:left="-284" w:right="-851"/>
        <w:jc w:val="both"/>
        <w:rPr>
          <w:rFonts w:ascii="Times New Roman" w:hAnsi="Times New Roman" w:cs="Times New Roman"/>
          <w:sz w:val="24"/>
          <w:szCs w:val="24"/>
        </w:rPr>
      </w:pPr>
      <w:r w:rsidRPr="006C0C34">
        <w:rPr>
          <w:rFonts w:ascii="Times New Roman" w:hAnsi="Times New Roman" w:cs="Times New Roman"/>
          <w:sz w:val="24"/>
          <w:szCs w:val="24"/>
        </w:rPr>
        <w:t>En vue de réduire ces effets négatifs et d`améliorer les conditions d’hygiènes de la population à travers l’accès à l’eau potable, le Gouvernement et son Partenaire (Banque Mondiale), dans le cadre du projet d’Eau et Electricité, veulent renforcer le service d’alimentation en eau potable et électricité de la ville de Bissau et des quartiers périphériques.</w:t>
      </w:r>
    </w:p>
    <w:p w:rsidR="00FA20DE" w:rsidRPr="006C0C34" w:rsidRDefault="00FA20DE" w:rsidP="00CD5496">
      <w:pPr>
        <w:autoSpaceDE w:val="0"/>
        <w:autoSpaceDN w:val="0"/>
        <w:adjustRightInd w:val="0"/>
        <w:spacing w:after="0" w:line="240" w:lineRule="auto"/>
        <w:ind w:left="-284" w:right="-851"/>
        <w:jc w:val="both"/>
        <w:rPr>
          <w:rFonts w:ascii="Times New Roman" w:hAnsi="Times New Roman" w:cs="Times New Roman"/>
          <w:sz w:val="24"/>
          <w:szCs w:val="24"/>
        </w:rPr>
      </w:pPr>
    </w:p>
    <w:p w:rsidR="00DD0A7A" w:rsidRDefault="000D146D" w:rsidP="00CD5496">
      <w:pPr>
        <w:autoSpaceDE w:val="0"/>
        <w:autoSpaceDN w:val="0"/>
        <w:adjustRightInd w:val="0"/>
        <w:spacing w:after="0" w:line="240" w:lineRule="auto"/>
        <w:ind w:left="-284" w:right="-851"/>
        <w:jc w:val="both"/>
        <w:rPr>
          <w:rFonts w:ascii="Times New Roman" w:hAnsi="Times New Roman" w:cs="Times New Roman"/>
          <w:sz w:val="24"/>
          <w:szCs w:val="24"/>
        </w:rPr>
      </w:pPr>
      <w:r w:rsidRPr="006C0C34">
        <w:rPr>
          <w:rFonts w:ascii="Times New Roman" w:hAnsi="Times New Roman" w:cs="Times New Roman"/>
          <w:sz w:val="24"/>
          <w:szCs w:val="24"/>
        </w:rPr>
        <w:t xml:space="preserve">Ainsi, </w:t>
      </w:r>
      <w:r w:rsidR="009B35B8">
        <w:rPr>
          <w:rFonts w:ascii="Times New Roman" w:hAnsi="Times New Roman" w:cs="Times New Roman"/>
          <w:sz w:val="24"/>
          <w:szCs w:val="24"/>
        </w:rPr>
        <w:t xml:space="preserve">ceci </w:t>
      </w:r>
      <w:r w:rsidRPr="006C0C34">
        <w:rPr>
          <w:rFonts w:ascii="Times New Roman" w:hAnsi="Times New Roman" w:cs="Times New Roman"/>
          <w:sz w:val="24"/>
          <w:szCs w:val="24"/>
        </w:rPr>
        <w:t>exige l’application des directives opérationnelles de protection environnementale et sociale conformément à la réglementation en vigueur en Guinée-Bissau et celles des politiques/directives environnementales et sociales du bailleur de la Banque Mondiale. Il</w:t>
      </w:r>
      <w:r w:rsidR="00DD0A7A" w:rsidRPr="006C0C34">
        <w:rPr>
          <w:rFonts w:ascii="Times New Roman" w:hAnsi="Times New Roman" w:cs="Times New Roman"/>
          <w:sz w:val="24"/>
          <w:szCs w:val="24"/>
        </w:rPr>
        <w:t xml:space="preserve"> a été décidé de réaliser des</w:t>
      </w:r>
      <w:r w:rsidR="00624FE2" w:rsidRPr="006C0C34">
        <w:rPr>
          <w:rFonts w:ascii="Times New Roman" w:hAnsi="Times New Roman" w:cs="Times New Roman"/>
          <w:sz w:val="24"/>
          <w:szCs w:val="24"/>
        </w:rPr>
        <w:t xml:space="preserve"> E</w:t>
      </w:r>
      <w:r w:rsidR="00DD0A7A" w:rsidRPr="006C0C34">
        <w:rPr>
          <w:rFonts w:ascii="Times New Roman" w:hAnsi="Times New Roman" w:cs="Times New Roman"/>
          <w:sz w:val="24"/>
          <w:szCs w:val="24"/>
        </w:rPr>
        <w:t>tudes</w:t>
      </w:r>
      <w:r w:rsidR="00624FE2" w:rsidRPr="006C0C34">
        <w:rPr>
          <w:rFonts w:ascii="Times New Roman" w:hAnsi="Times New Roman" w:cs="Times New Roman"/>
          <w:sz w:val="24"/>
          <w:szCs w:val="24"/>
        </w:rPr>
        <w:t xml:space="preserve"> d’I</w:t>
      </w:r>
      <w:r w:rsidR="00DD0A7A" w:rsidRPr="006C0C34">
        <w:rPr>
          <w:rFonts w:ascii="Times New Roman" w:hAnsi="Times New Roman" w:cs="Times New Roman"/>
          <w:sz w:val="24"/>
          <w:szCs w:val="24"/>
        </w:rPr>
        <w:t>mpact</w:t>
      </w:r>
      <w:r w:rsidR="00F1521E" w:rsidRPr="006C0C34">
        <w:rPr>
          <w:rFonts w:ascii="Times New Roman" w:hAnsi="Times New Roman" w:cs="Times New Roman"/>
          <w:sz w:val="24"/>
          <w:szCs w:val="24"/>
        </w:rPr>
        <w:t xml:space="preserve"> Environnemental et S</w:t>
      </w:r>
      <w:r w:rsidR="00DD0A7A" w:rsidRPr="006C0C34">
        <w:rPr>
          <w:rFonts w:ascii="Times New Roman" w:hAnsi="Times New Roman" w:cs="Times New Roman"/>
          <w:sz w:val="24"/>
          <w:szCs w:val="24"/>
        </w:rPr>
        <w:t>ocial (EIES)</w:t>
      </w:r>
      <w:r w:rsidR="00624FE2" w:rsidRPr="006C0C34">
        <w:rPr>
          <w:rFonts w:ascii="Times New Roman" w:hAnsi="Times New Roman" w:cs="Times New Roman"/>
          <w:sz w:val="24"/>
          <w:szCs w:val="24"/>
        </w:rPr>
        <w:t xml:space="preserve"> et des Plans d’Actions de Réinstallation</w:t>
      </w:r>
      <w:r w:rsidRPr="006C0C34">
        <w:rPr>
          <w:rFonts w:ascii="Times New Roman" w:hAnsi="Times New Roman" w:cs="Times New Roman"/>
          <w:sz w:val="24"/>
          <w:szCs w:val="24"/>
        </w:rPr>
        <w:t>.</w:t>
      </w:r>
    </w:p>
    <w:p w:rsidR="00BA0FF2" w:rsidRPr="006C0C34" w:rsidRDefault="009F7B0A" w:rsidP="007E6AED">
      <w:pPr>
        <w:pStyle w:val="PargrafodaLista"/>
        <w:keepNext/>
        <w:spacing w:before="240" w:after="0"/>
        <w:ind w:left="450" w:hanging="450"/>
        <w:jc w:val="both"/>
        <w:outlineLvl w:val="1"/>
        <w:rPr>
          <w:rFonts w:ascii="Times New Roman" w:hAnsi="Times New Roman"/>
          <w:b/>
          <w:sz w:val="24"/>
          <w:szCs w:val="24"/>
          <w:lang w:val="fr-FR" w:eastAsia="fr-FR"/>
        </w:rPr>
      </w:pPr>
      <w:bookmarkStart w:id="27" w:name="_Toc527881986"/>
      <w:bookmarkStart w:id="28" w:name="_Toc51072499"/>
      <w:bookmarkEnd w:id="26"/>
      <w:r>
        <w:rPr>
          <w:rFonts w:ascii="Times New Roman" w:hAnsi="Times New Roman"/>
          <w:b/>
          <w:sz w:val="24"/>
          <w:szCs w:val="24"/>
          <w:lang w:val="fr-FR" w:eastAsia="fr-FR"/>
        </w:rPr>
        <w:t>1</w:t>
      </w:r>
      <w:r w:rsidR="00A9351D" w:rsidRPr="006C0C34">
        <w:rPr>
          <w:rFonts w:ascii="Times New Roman" w:hAnsi="Times New Roman"/>
          <w:b/>
          <w:sz w:val="24"/>
          <w:szCs w:val="24"/>
          <w:lang w:val="fr-FR" w:eastAsia="fr-FR"/>
        </w:rPr>
        <w:t>.</w:t>
      </w:r>
      <w:r w:rsidR="00634A57">
        <w:rPr>
          <w:rFonts w:ascii="Times New Roman" w:hAnsi="Times New Roman"/>
          <w:b/>
          <w:sz w:val="24"/>
          <w:szCs w:val="24"/>
          <w:lang w:val="fr-FR" w:eastAsia="fr-FR"/>
        </w:rPr>
        <w:t>2</w:t>
      </w:r>
      <w:r w:rsidR="005A4237" w:rsidRPr="006C0C34">
        <w:rPr>
          <w:rFonts w:ascii="Times New Roman" w:hAnsi="Times New Roman"/>
          <w:b/>
          <w:sz w:val="24"/>
          <w:szCs w:val="24"/>
          <w:lang w:val="fr-FR" w:eastAsia="fr-FR"/>
        </w:rPr>
        <w:t>. OBJECTIFS DE L’EIES</w:t>
      </w:r>
      <w:bookmarkEnd w:id="27"/>
      <w:bookmarkEnd w:id="28"/>
    </w:p>
    <w:p w:rsidR="00A14405" w:rsidRDefault="00BC10C0" w:rsidP="00997469">
      <w:pPr>
        <w:autoSpaceDE w:val="0"/>
        <w:autoSpaceDN w:val="0"/>
        <w:adjustRightInd w:val="0"/>
        <w:spacing w:after="0" w:line="240" w:lineRule="auto"/>
        <w:ind w:left="-284" w:right="-851"/>
        <w:jc w:val="both"/>
        <w:rPr>
          <w:rFonts w:ascii="Times New Roman" w:hAnsi="Times New Roman" w:cs="Times New Roman"/>
          <w:sz w:val="24"/>
          <w:szCs w:val="24"/>
        </w:rPr>
      </w:pPr>
      <w:r w:rsidRPr="006C0C34">
        <w:rPr>
          <w:rFonts w:ascii="Times New Roman" w:hAnsi="Times New Roman" w:cs="Times New Roman"/>
          <w:sz w:val="24"/>
          <w:szCs w:val="24"/>
        </w:rPr>
        <w:t>Cette</w:t>
      </w:r>
      <w:r w:rsidR="00126B5B" w:rsidRPr="006C0C34">
        <w:rPr>
          <w:rFonts w:ascii="Times New Roman" w:hAnsi="Times New Roman" w:cs="Times New Roman"/>
          <w:sz w:val="24"/>
          <w:szCs w:val="24"/>
        </w:rPr>
        <w:t xml:space="preserve"> étude </w:t>
      </w:r>
      <w:r w:rsidRPr="006C0C34">
        <w:rPr>
          <w:rFonts w:ascii="Times New Roman" w:hAnsi="Times New Roman" w:cs="Times New Roman"/>
          <w:sz w:val="24"/>
          <w:szCs w:val="24"/>
        </w:rPr>
        <w:t xml:space="preserve">vise </w:t>
      </w:r>
      <w:r w:rsidR="00277ADE">
        <w:rPr>
          <w:rFonts w:ascii="Times New Roman" w:hAnsi="Times New Roman" w:cs="Times New Roman"/>
          <w:sz w:val="24"/>
          <w:szCs w:val="24"/>
        </w:rPr>
        <w:t xml:space="preserve">à </w:t>
      </w:r>
      <w:r w:rsidR="00126B5B" w:rsidRPr="006C0C34">
        <w:rPr>
          <w:rFonts w:ascii="Times New Roman" w:hAnsi="Times New Roman" w:cs="Times New Roman"/>
          <w:sz w:val="24"/>
          <w:szCs w:val="24"/>
        </w:rPr>
        <w:t xml:space="preserve">cerner l’ensemble des impacts sur l’environnement biophysique et socio-économique liés au </w:t>
      </w:r>
      <w:r w:rsidR="00A14405">
        <w:rPr>
          <w:rFonts w:ascii="Times New Roman" w:hAnsi="Times New Roman" w:cs="Times New Roman"/>
          <w:sz w:val="24"/>
          <w:szCs w:val="24"/>
        </w:rPr>
        <w:t>sous-</w:t>
      </w:r>
      <w:r w:rsidR="00126B5B" w:rsidRPr="006C0C34">
        <w:rPr>
          <w:rFonts w:ascii="Times New Roman" w:hAnsi="Times New Roman" w:cs="Times New Roman"/>
          <w:sz w:val="24"/>
          <w:szCs w:val="24"/>
        </w:rPr>
        <w:t>projet</w:t>
      </w:r>
      <w:r w:rsidR="00997469">
        <w:rPr>
          <w:rFonts w:ascii="Times New Roman" w:hAnsi="Times New Roman" w:cs="Times New Roman"/>
          <w:sz w:val="24"/>
          <w:szCs w:val="24"/>
        </w:rPr>
        <w:t xml:space="preserve"> </w:t>
      </w:r>
      <w:r w:rsidR="00A14405">
        <w:rPr>
          <w:rFonts w:ascii="Times New Roman" w:hAnsi="Times New Roman" w:cs="Times New Roman"/>
          <w:sz w:val="24"/>
          <w:szCs w:val="24"/>
        </w:rPr>
        <w:t>n°2 (l</w:t>
      </w:r>
      <w:r w:rsidR="00A14405" w:rsidRPr="00A14405">
        <w:rPr>
          <w:rFonts w:ascii="Times New Roman" w:hAnsi="Times New Roman" w:cs="Times New Roman"/>
          <w:sz w:val="24"/>
          <w:szCs w:val="24"/>
        </w:rPr>
        <w:t>a Construction de trois nouveaux c</w:t>
      </w:r>
      <w:r w:rsidR="00A14405">
        <w:rPr>
          <w:rFonts w:ascii="Times New Roman" w:hAnsi="Times New Roman" w:cs="Times New Roman"/>
          <w:sz w:val="24"/>
          <w:szCs w:val="24"/>
        </w:rPr>
        <w:t xml:space="preserve">hâteaux d’eau (Prabis, Safim, </w:t>
      </w:r>
      <w:r w:rsidR="00A14405" w:rsidRPr="00A14405">
        <w:rPr>
          <w:rFonts w:ascii="Times New Roman" w:hAnsi="Times New Roman" w:cs="Times New Roman"/>
          <w:sz w:val="24"/>
          <w:szCs w:val="24"/>
        </w:rPr>
        <w:t>Bor</w:t>
      </w:r>
      <w:r w:rsidR="00A14405">
        <w:rPr>
          <w:rFonts w:ascii="Times New Roman" w:hAnsi="Times New Roman" w:cs="Times New Roman"/>
          <w:sz w:val="24"/>
          <w:szCs w:val="24"/>
        </w:rPr>
        <w:t xml:space="preserve"> et Antula</w:t>
      </w:r>
      <w:r w:rsidR="00A14405" w:rsidRPr="00A14405">
        <w:rPr>
          <w:rFonts w:ascii="Times New Roman" w:hAnsi="Times New Roman" w:cs="Times New Roman"/>
          <w:sz w:val="24"/>
          <w:szCs w:val="24"/>
        </w:rPr>
        <w:t>) et la réhabilitation des autres châteaux d’eau existants</w:t>
      </w:r>
      <w:r w:rsidR="00A14405">
        <w:rPr>
          <w:rFonts w:ascii="Times New Roman" w:hAnsi="Times New Roman" w:cs="Times New Roman"/>
          <w:sz w:val="24"/>
          <w:szCs w:val="24"/>
        </w:rPr>
        <w:t xml:space="preserve">) du projet </w:t>
      </w:r>
      <w:r w:rsidR="00126B5B" w:rsidRPr="006C0C34">
        <w:rPr>
          <w:rFonts w:ascii="Times New Roman" w:hAnsi="Times New Roman" w:cs="Times New Roman"/>
          <w:sz w:val="24"/>
          <w:szCs w:val="24"/>
        </w:rPr>
        <w:t>PUASEE-</w:t>
      </w:r>
      <w:r w:rsidRPr="006C0C34">
        <w:rPr>
          <w:rFonts w:ascii="Times New Roman" w:hAnsi="Times New Roman" w:cs="Times New Roman"/>
          <w:sz w:val="24"/>
          <w:szCs w:val="24"/>
        </w:rPr>
        <w:t xml:space="preserve">FA. </w:t>
      </w:r>
    </w:p>
    <w:p w:rsidR="00997469" w:rsidRDefault="00997469" w:rsidP="00997469">
      <w:pPr>
        <w:autoSpaceDE w:val="0"/>
        <w:autoSpaceDN w:val="0"/>
        <w:adjustRightInd w:val="0"/>
        <w:spacing w:after="0" w:line="240" w:lineRule="auto"/>
        <w:ind w:left="-284" w:right="-851"/>
        <w:jc w:val="both"/>
        <w:rPr>
          <w:rFonts w:ascii="Times New Roman" w:hAnsi="Times New Roman" w:cs="Times New Roman"/>
          <w:sz w:val="24"/>
          <w:szCs w:val="24"/>
        </w:rPr>
      </w:pPr>
    </w:p>
    <w:p w:rsidR="00277ADE" w:rsidRDefault="00BC10C0" w:rsidP="00997469">
      <w:pPr>
        <w:autoSpaceDE w:val="0"/>
        <w:autoSpaceDN w:val="0"/>
        <w:adjustRightInd w:val="0"/>
        <w:spacing w:after="0" w:line="240" w:lineRule="auto"/>
        <w:ind w:left="-284" w:right="-851"/>
        <w:jc w:val="both"/>
        <w:rPr>
          <w:rFonts w:ascii="Times New Roman" w:hAnsi="Times New Roman" w:cs="Times New Roman"/>
          <w:sz w:val="24"/>
          <w:szCs w:val="24"/>
        </w:rPr>
      </w:pPr>
      <w:r w:rsidRPr="006C0C34">
        <w:rPr>
          <w:rFonts w:ascii="Times New Roman" w:hAnsi="Times New Roman" w:cs="Times New Roman"/>
          <w:sz w:val="24"/>
          <w:szCs w:val="24"/>
        </w:rPr>
        <w:t>En termes d’approche, divers instruments régle</w:t>
      </w:r>
      <w:r w:rsidR="00277ADE">
        <w:rPr>
          <w:rFonts w:ascii="Times New Roman" w:hAnsi="Times New Roman" w:cs="Times New Roman"/>
          <w:sz w:val="24"/>
          <w:szCs w:val="24"/>
        </w:rPr>
        <w:t>mentaires et politiques prescrivent</w:t>
      </w:r>
      <w:r w:rsidRPr="006C0C34">
        <w:rPr>
          <w:rFonts w:ascii="Times New Roman" w:hAnsi="Times New Roman" w:cs="Times New Roman"/>
          <w:sz w:val="24"/>
          <w:szCs w:val="24"/>
        </w:rPr>
        <w:t xml:space="preserve"> la démarche devant conduire à l’élaborat</w:t>
      </w:r>
      <w:r w:rsidR="00277ADE">
        <w:rPr>
          <w:rFonts w:ascii="Times New Roman" w:hAnsi="Times New Roman" w:cs="Times New Roman"/>
          <w:sz w:val="24"/>
          <w:szCs w:val="24"/>
        </w:rPr>
        <w:t xml:space="preserve">ion du rapport d’EIES du </w:t>
      </w:r>
      <w:r w:rsidR="00997469">
        <w:rPr>
          <w:rFonts w:ascii="Times New Roman" w:hAnsi="Times New Roman" w:cs="Times New Roman"/>
          <w:sz w:val="24"/>
          <w:szCs w:val="24"/>
        </w:rPr>
        <w:t>sous-</w:t>
      </w:r>
      <w:r w:rsidR="00277ADE">
        <w:rPr>
          <w:rFonts w:ascii="Times New Roman" w:hAnsi="Times New Roman" w:cs="Times New Roman"/>
          <w:sz w:val="24"/>
          <w:szCs w:val="24"/>
        </w:rPr>
        <w:t>projet</w:t>
      </w:r>
      <w:r w:rsidR="00997469">
        <w:rPr>
          <w:rFonts w:ascii="Times New Roman" w:hAnsi="Times New Roman" w:cs="Times New Roman"/>
          <w:sz w:val="24"/>
          <w:szCs w:val="24"/>
        </w:rPr>
        <w:t xml:space="preserve"> n°2</w:t>
      </w:r>
      <w:r w:rsidR="00277ADE">
        <w:rPr>
          <w:rFonts w:ascii="Times New Roman" w:hAnsi="Times New Roman" w:cs="Times New Roman"/>
          <w:sz w:val="24"/>
          <w:szCs w:val="24"/>
        </w:rPr>
        <w:t>.</w:t>
      </w:r>
    </w:p>
    <w:p w:rsidR="004D581E" w:rsidRDefault="004D581E" w:rsidP="00997469">
      <w:pPr>
        <w:autoSpaceDE w:val="0"/>
        <w:autoSpaceDN w:val="0"/>
        <w:adjustRightInd w:val="0"/>
        <w:spacing w:after="0" w:line="240" w:lineRule="auto"/>
        <w:ind w:left="-284" w:right="-851"/>
        <w:jc w:val="both"/>
        <w:rPr>
          <w:rFonts w:ascii="Times New Roman" w:hAnsi="Times New Roman" w:cs="Times New Roman"/>
          <w:sz w:val="24"/>
          <w:szCs w:val="24"/>
        </w:rPr>
      </w:pPr>
    </w:p>
    <w:p w:rsidR="00BC10C0" w:rsidRPr="006C0C34" w:rsidRDefault="00277ADE" w:rsidP="00997469">
      <w:pPr>
        <w:autoSpaceDE w:val="0"/>
        <w:autoSpaceDN w:val="0"/>
        <w:adjustRightInd w:val="0"/>
        <w:spacing w:after="0" w:line="240" w:lineRule="auto"/>
        <w:ind w:left="-284" w:right="-851"/>
        <w:jc w:val="both"/>
        <w:rPr>
          <w:rFonts w:ascii="Times New Roman" w:hAnsi="Times New Roman" w:cs="Times New Roman"/>
          <w:sz w:val="24"/>
          <w:szCs w:val="24"/>
        </w:rPr>
      </w:pPr>
      <w:r>
        <w:rPr>
          <w:rFonts w:ascii="Times New Roman" w:hAnsi="Times New Roman" w:cs="Times New Roman"/>
          <w:sz w:val="24"/>
          <w:szCs w:val="24"/>
        </w:rPr>
        <w:t>Il s’agit</w:t>
      </w:r>
      <w:r w:rsidR="00BC10C0" w:rsidRPr="006C0C34">
        <w:rPr>
          <w:rFonts w:ascii="Times New Roman" w:hAnsi="Times New Roman" w:cs="Times New Roman"/>
          <w:sz w:val="24"/>
          <w:szCs w:val="24"/>
        </w:rPr>
        <w:t xml:space="preserve"> notamment </w:t>
      </w:r>
      <w:r>
        <w:rPr>
          <w:rFonts w:ascii="Times New Roman" w:hAnsi="Times New Roman" w:cs="Times New Roman"/>
          <w:sz w:val="24"/>
          <w:szCs w:val="24"/>
        </w:rPr>
        <w:t xml:space="preserve">de </w:t>
      </w:r>
      <w:r w:rsidR="00BC10C0" w:rsidRPr="006C0C34">
        <w:rPr>
          <w:rFonts w:ascii="Times New Roman" w:hAnsi="Times New Roman" w:cs="Times New Roman"/>
          <w:sz w:val="24"/>
          <w:szCs w:val="24"/>
        </w:rPr>
        <w:t>ceux qu’imposent les arrêtés complétant la législation nationale, en particulier la loi de base nº 1/2011 du 2 mars sur l’environnement et la loi n° 10/2010 sur l</w:t>
      </w:r>
      <w:r>
        <w:rPr>
          <w:rFonts w:ascii="Times New Roman" w:hAnsi="Times New Roman" w:cs="Times New Roman"/>
          <w:sz w:val="24"/>
          <w:szCs w:val="24"/>
        </w:rPr>
        <w:t xml:space="preserve">’évaluation environnementale ainsi que la </w:t>
      </w:r>
      <w:r w:rsidR="00BC10C0" w:rsidRPr="006C0C34">
        <w:rPr>
          <w:rFonts w:ascii="Times New Roman" w:hAnsi="Times New Roman" w:cs="Times New Roman"/>
          <w:sz w:val="24"/>
          <w:szCs w:val="24"/>
        </w:rPr>
        <w:t>politique de sauvegarde environnem</w:t>
      </w:r>
      <w:r>
        <w:rPr>
          <w:rFonts w:ascii="Times New Roman" w:hAnsi="Times New Roman" w:cs="Times New Roman"/>
          <w:sz w:val="24"/>
          <w:szCs w:val="24"/>
        </w:rPr>
        <w:t>entale et sociale de la Banque m</w:t>
      </w:r>
      <w:r w:rsidR="00BC10C0" w:rsidRPr="006C0C34">
        <w:rPr>
          <w:rFonts w:ascii="Times New Roman" w:hAnsi="Times New Roman" w:cs="Times New Roman"/>
          <w:sz w:val="24"/>
          <w:szCs w:val="24"/>
        </w:rPr>
        <w:t>ondiale.</w:t>
      </w:r>
    </w:p>
    <w:p w:rsidR="00BC10C0" w:rsidRPr="006C0C34" w:rsidRDefault="00BC10C0" w:rsidP="00997469">
      <w:pPr>
        <w:autoSpaceDE w:val="0"/>
        <w:autoSpaceDN w:val="0"/>
        <w:adjustRightInd w:val="0"/>
        <w:spacing w:after="0" w:line="240" w:lineRule="auto"/>
        <w:ind w:left="-284" w:right="-851"/>
        <w:jc w:val="both"/>
        <w:rPr>
          <w:rFonts w:ascii="Times New Roman" w:hAnsi="Times New Roman" w:cs="Times New Roman"/>
          <w:sz w:val="24"/>
          <w:szCs w:val="24"/>
        </w:rPr>
      </w:pPr>
      <w:r w:rsidRPr="006C0C34">
        <w:rPr>
          <w:rFonts w:ascii="Times New Roman" w:hAnsi="Times New Roman" w:cs="Times New Roman"/>
          <w:sz w:val="24"/>
          <w:szCs w:val="24"/>
        </w:rPr>
        <w:t xml:space="preserve"> </w:t>
      </w:r>
    </w:p>
    <w:p w:rsidR="00BC10C0" w:rsidRPr="006C0C34" w:rsidRDefault="00BC10C0" w:rsidP="00997469">
      <w:pPr>
        <w:autoSpaceDE w:val="0"/>
        <w:autoSpaceDN w:val="0"/>
        <w:adjustRightInd w:val="0"/>
        <w:spacing w:after="0" w:line="240" w:lineRule="auto"/>
        <w:ind w:left="-284" w:right="-851"/>
        <w:jc w:val="both"/>
        <w:rPr>
          <w:rFonts w:ascii="Times New Roman" w:hAnsi="Times New Roman" w:cs="Times New Roman"/>
          <w:sz w:val="24"/>
          <w:szCs w:val="24"/>
        </w:rPr>
      </w:pPr>
      <w:r w:rsidRPr="006C0C34">
        <w:rPr>
          <w:rFonts w:ascii="Times New Roman" w:hAnsi="Times New Roman" w:cs="Times New Roman"/>
          <w:sz w:val="24"/>
          <w:szCs w:val="24"/>
        </w:rPr>
        <w:t>Les enjeux environnementaux et sociaux constituent les préoccupations majeures que suscite</w:t>
      </w:r>
      <w:r w:rsidR="00277ADE">
        <w:rPr>
          <w:rFonts w:ascii="Times New Roman" w:hAnsi="Times New Roman" w:cs="Times New Roman"/>
          <w:sz w:val="24"/>
          <w:szCs w:val="24"/>
        </w:rPr>
        <w:t>nt</w:t>
      </w:r>
      <w:r w:rsidRPr="006C0C34">
        <w:rPr>
          <w:rFonts w:ascii="Times New Roman" w:hAnsi="Times New Roman" w:cs="Times New Roman"/>
          <w:sz w:val="24"/>
          <w:szCs w:val="24"/>
        </w:rPr>
        <w:t xml:space="preserve"> un tel projet. </w:t>
      </w:r>
      <w:r w:rsidR="00277ADE">
        <w:rPr>
          <w:rFonts w:ascii="Times New Roman" w:hAnsi="Times New Roman" w:cs="Times New Roman"/>
          <w:sz w:val="24"/>
          <w:szCs w:val="24"/>
        </w:rPr>
        <w:t>En effet, l</w:t>
      </w:r>
      <w:r w:rsidRPr="006C0C34">
        <w:rPr>
          <w:rFonts w:ascii="Times New Roman" w:hAnsi="Times New Roman" w:cs="Times New Roman"/>
          <w:sz w:val="24"/>
          <w:szCs w:val="24"/>
        </w:rPr>
        <w:t>a m</w:t>
      </w:r>
      <w:r w:rsidR="00277ADE">
        <w:rPr>
          <w:rFonts w:ascii="Times New Roman" w:hAnsi="Times New Roman" w:cs="Times New Roman"/>
          <w:sz w:val="24"/>
          <w:szCs w:val="24"/>
        </w:rPr>
        <w:t xml:space="preserve">ise en œuvre du </w:t>
      </w:r>
      <w:r w:rsidR="00997469">
        <w:rPr>
          <w:rFonts w:ascii="Times New Roman" w:hAnsi="Times New Roman" w:cs="Times New Roman"/>
          <w:sz w:val="24"/>
          <w:szCs w:val="24"/>
        </w:rPr>
        <w:t xml:space="preserve">sous-projet n°2 </w:t>
      </w:r>
      <w:r w:rsidR="00277ADE">
        <w:rPr>
          <w:rFonts w:ascii="Times New Roman" w:hAnsi="Times New Roman" w:cs="Times New Roman"/>
          <w:sz w:val="24"/>
          <w:szCs w:val="24"/>
        </w:rPr>
        <w:t>est</w:t>
      </w:r>
      <w:r w:rsidRPr="006C0C34">
        <w:rPr>
          <w:rFonts w:ascii="Times New Roman" w:hAnsi="Times New Roman" w:cs="Times New Roman"/>
          <w:sz w:val="24"/>
          <w:szCs w:val="24"/>
        </w:rPr>
        <w:t xml:space="preserve"> susceptible de causer des dommages d’ampleur variable à l’environnement physique et humain </w:t>
      </w:r>
      <w:r w:rsidR="00277ADE" w:rsidRPr="00997469">
        <w:rPr>
          <w:rFonts w:ascii="Times New Roman" w:hAnsi="Times New Roman" w:cs="Times New Roman"/>
          <w:sz w:val="24"/>
          <w:szCs w:val="24"/>
        </w:rPr>
        <w:t xml:space="preserve">dans les </w:t>
      </w:r>
      <w:r w:rsidRPr="00997469">
        <w:rPr>
          <w:rFonts w:ascii="Times New Roman" w:hAnsi="Times New Roman" w:cs="Times New Roman"/>
          <w:sz w:val="24"/>
          <w:szCs w:val="24"/>
        </w:rPr>
        <w:t>quartiers concernés</w:t>
      </w:r>
      <w:r w:rsidRPr="006C0C34">
        <w:rPr>
          <w:rFonts w:ascii="Times New Roman" w:hAnsi="Times New Roman" w:cs="Times New Roman"/>
          <w:sz w:val="24"/>
          <w:szCs w:val="24"/>
        </w:rPr>
        <w:t>. Ainsi, l’identification de ces impacts permettra de cerner les composantes du milieu qui méritent une attention particulière et qui dev</w:t>
      </w:r>
      <w:r w:rsidR="00277ADE">
        <w:rPr>
          <w:rFonts w:ascii="Times New Roman" w:hAnsi="Times New Roman" w:cs="Times New Roman"/>
          <w:sz w:val="24"/>
          <w:szCs w:val="24"/>
        </w:rPr>
        <w:t>raient être exposées et discutées</w:t>
      </w:r>
      <w:r w:rsidRPr="006C0C34">
        <w:rPr>
          <w:rFonts w:ascii="Times New Roman" w:hAnsi="Times New Roman" w:cs="Times New Roman"/>
          <w:sz w:val="24"/>
          <w:szCs w:val="24"/>
        </w:rPr>
        <w:t xml:space="preserve"> de façon approfondie avec les communautés riveraines </w:t>
      </w:r>
      <w:r w:rsidR="00277ADE">
        <w:rPr>
          <w:rFonts w:ascii="Times New Roman" w:hAnsi="Times New Roman" w:cs="Times New Roman"/>
          <w:sz w:val="24"/>
          <w:szCs w:val="24"/>
        </w:rPr>
        <w:t>et toute autre partie prenante</w:t>
      </w:r>
      <w:r w:rsidRPr="006C0C34">
        <w:rPr>
          <w:rFonts w:ascii="Times New Roman" w:hAnsi="Times New Roman" w:cs="Times New Roman"/>
          <w:sz w:val="24"/>
          <w:szCs w:val="24"/>
        </w:rPr>
        <w:t xml:space="preserve"> des zones d’influence du projet afin d’éviter ou de réduire au mieux les impacts négatifs sur </w:t>
      </w:r>
      <w:r w:rsidRPr="006C0C34">
        <w:rPr>
          <w:rFonts w:ascii="Times New Roman" w:hAnsi="Times New Roman" w:cs="Times New Roman"/>
          <w:sz w:val="24"/>
          <w:szCs w:val="24"/>
        </w:rPr>
        <w:lastRenderedPageBreak/>
        <w:t>l’environnement et rendre optimal les impacts positifs. Ce qui permettra d</w:t>
      </w:r>
      <w:r w:rsidR="006A0D33" w:rsidRPr="006C0C34">
        <w:rPr>
          <w:rFonts w:ascii="Times New Roman" w:hAnsi="Times New Roman" w:cs="Times New Roman"/>
          <w:sz w:val="24"/>
          <w:szCs w:val="24"/>
        </w:rPr>
        <w:t xml:space="preserve">e tirer le meilleur parti possible </w:t>
      </w:r>
      <w:r w:rsidR="00FE4BC1" w:rsidRPr="006C0C34">
        <w:rPr>
          <w:rFonts w:ascii="Times New Roman" w:hAnsi="Times New Roman" w:cs="Times New Roman"/>
          <w:sz w:val="24"/>
          <w:szCs w:val="24"/>
        </w:rPr>
        <w:t xml:space="preserve">du </w:t>
      </w:r>
      <w:r w:rsidR="00997469">
        <w:rPr>
          <w:rFonts w:ascii="Times New Roman" w:hAnsi="Times New Roman" w:cs="Times New Roman"/>
          <w:sz w:val="24"/>
          <w:szCs w:val="24"/>
        </w:rPr>
        <w:t xml:space="preserve">sous-projet n°2 </w:t>
      </w:r>
      <w:r w:rsidR="00277ADE">
        <w:rPr>
          <w:rFonts w:ascii="Times New Roman" w:hAnsi="Times New Roman" w:cs="Times New Roman"/>
          <w:sz w:val="24"/>
          <w:szCs w:val="24"/>
        </w:rPr>
        <w:t>au cour</w:t>
      </w:r>
      <w:r w:rsidRPr="006C0C34">
        <w:rPr>
          <w:rFonts w:ascii="Times New Roman" w:hAnsi="Times New Roman" w:cs="Times New Roman"/>
          <w:sz w:val="24"/>
          <w:szCs w:val="24"/>
        </w:rPr>
        <w:t xml:space="preserve">s de sa mise en œuvre et lors de sa phase d’exploitation. </w:t>
      </w:r>
    </w:p>
    <w:p w:rsidR="00BC10C0" w:rsidRPr="006C0C34" w:rsidRDefault="00BC10C0" w:rsidP="00997469">
      <w:pPr>
        <w:autoSpaceDE w:val="0"/>
        <w:autoSpaceDN w:val="0"/>
        <w:adjustRightInd w:val="0"/>
        <w:spacing w:after="0" w:line="240" w:lineRule="auto"/>
        <w:ind w:left="-284" w:right="-851"/>
        <w:jc w:val="both"/>
        <w:rPr>
          <w:rFonts w:ascii="Times New Roman" w:hAnsi="Times New Roman" w:cs="Times New Roman"/>
          <w:sz w:val="24"/>
          <w:szCs w:val="24"/>
        </w:rPr>
      </w:pPr>
      <w:r w:rsidRPr="006C0C34">
        <w:rPr>
          <w:rFonts w:ascii="Times New Roman" w:hAnsi="Times New Roman" w:cs="Times New Roman"/>
          <w:sz w:val="24"/>
          <w:szCs w:val="24"/>
        </w:rPr>
        <w:t xml:space="preserve">En résumé l’EIES doit permettre : </w:t>
      </w:r>
    </w:p>
    <w:p w:rsidR="00BC10C0" w:rsidRPr="00997469" w:rsidRDefault="00BC10C0" w:rsidP="00FA3FAE">
      <w:pPr>
        <w:pStyle w:val="PargrafodaLista"/>
        <w:numPr>
          <w:ilvl w:val="0"/>
          <w:numId w:val="216"/>
        </w:numPr>
        <w:autoSpaceDE w:val="0"/>
        <w:autoSpaceDN w:val="0"/>
        <w:adjustRightInd w:val="0"/>
        <w:spacing w:after="0" w:line="240" w:lineRule="auto"/>
        <w:ind w:right="-851"/>
        <w:jc w:val="both"/>
        <w:rPr>
          <w:rFonts w:ascii="Times New Roman" w:hAnsi="Times New Roman"/>
          <w:sz w:val="24"/>
          <w:szCs w:val="24"/>
        </w:rPr>
      </w:pPr>
      <w:r w:rsidRPr="00997469">
        <w:rPr>
          <w:rFonts w:ascii="Times New Roman" w:hAnsi="Times New Roman"/>
          <w:sz w:val="24"/>
          <w:szCs w:val="24"/>
        </w:rPr>
        <w:t xml:space="preserve">Une meilleure prise en compte de l’environnement dès la conception du projet ; </w:t>
      </w:r>
    </w:p>
    <w:p w:rsidR="00BC10C0" w:rsidRPr="00997469" w:rsidRDefault="00BC10C0" w:rsidP="00FA3FAE">
      <w:pPr>
        <w:pStyle w:val="PargrafodaLista"/>
        <w:numPr>
          <w:ilvl w:val="0"/>
          <w:numId w:val="216"/>
        </w:numPr>
        <w:autoSpaceDE w:val="0"/>
        <w:autoSpaceDN w:val="0"/>
        <w:adjustRightInd w:val="0"/>
        <w:spacing w:after="0" w:line="240" w:lineRule="auto"/>
        <w:ind w:right="-851"/>
        <w:jc w:val="both"/>
        <w:rPr>
          <w:rFonts w:ascii="Times New Roman" w:hAnsi="Times New Roman"/>
          <w:sz w:val="24"/>
          <w:szCs w:val="24"/>
        </w:rPr>
      </w:pPr>
      <w:r w:rsidRPr="00997469">
        <w:rPr>
          <w:rFonts w:ascii="Times New Roman" w:hAnsi="Times New Roman"/>
          <w:sz w:val="24"/>
          <w:szCs w:val="24"/>
        </w:rPr>
        <w:t xml:space="preserve">Une anticipation des incidences environnementales et sociales éventuelles ; </w:t>
      </w:r>
    </w:p>
    <w:p w:rsidR="00997469" w:rsidRDefault="00BC10C0" w:rsidP="00FA3FAE">
      <w:pPr>
        <w:pStyle w:val="PargrafodaLista"/>
        <w:numPr>
          <w:ilvl w:val="0"/>
          <w:numId w:val="216"/>
        </w:numPr>
        <w:autoSpaceDE w:val="0"/>
        <w:autoSpaceDN w:val="0"/>
        <w:adjustRightInd w:val="0"/>
        <w:spacing w:after="0" w:line="240" w:lineRule="auto"/>
        <w:ind w:right="-851"/>
        <w:jc w:val="both"/>
        <w:rPr>
          <w:rFonts w:ascii="Times New Roman" w:hAnsi="Times New Roman"/>
          <w:sz w:val="24"/>
          <w:szCs w:val="24"/>
        </w:rPr>
      </w:pPr>
      <w:r w:rsidRPr="00997469">
        <w:rPr>
          <w:rFonts w:ascii="Times New Roman" w:hAnsi="Times New Roman"/>
          <w:sz w:val="24"/>
          <w:szCs w:val="24"/>
        </w:rPr>
        <w:t xml:space="preserve">La recherche d’amélioration des actions envisagées ; </w:t>
      </w:r>
    </w:p>
    <w:p w:rsidR="00A9351D" w:rsidRPr="00997469" w:rsidRDefault="00BC10C0" w:rsidP="00FA3FAE">
      <w:pPr>
        <w:pStyle w:val="PargrafodaLista"/>
        <w:numPr>
          <w:ilvl w:val="0"/>
          <w:numId w:val="216"/>
        </w:numPr>
        <w:autoSpaceDE w:val="0"/>
        <w:autoSpaceDN w:val="0"/>
        <w:adjustRightInd w:val="0"/>
        <w:spacing w:after="0" w:line="240" w:lineRule="auto"/>
        <w:ind w:right="-851"/>
        <w:jc w:val="both"/>
        <w:rPr>
          <w:rFonts w:ascii="Times New Roman" w:hAnsi="Times New Roman"/>
          <w:sz w:val="24"/>
          <w:szCs w:val="24"/>
        </w:rPr>
      </w:pPr>
      <w:r w:rsidRPr="00997469">
        <w:rPr>
          <w:rFonts w:ascii="Times New Roman" w:hAnsi="Times New Roman"/>
          <w:sz w:val="24"/>
          <w:szCs w:val="24"/>
        </w:rPr>
        <w:t xml:space="preserve">La définition de mesures correctrices ou alternatives et des conditionnalités pour le choix des opérations. </w:t>
      </w:r>
    </w:p>
    <w:p w:rsidR="00997469" w:rsidRDefault="00997469" w:rsidP="00997469">
      <w:pPr>
        <w:autoSpaceDE w:val="0"/>
        <w:autoSpaceDN w:val="0"/>
        <w:adjustRightInd w:val="0"/>
        <w:spacing w:after="0" w:line="240" w:lineRule="auto"/>
        <w:ind w:left="-284" w:right="-851"/>
        <w:jc w:val="both"/>
        <w:rPr>
          <w:rFonts w:ascii="Times New Roman" w:hAnsi="Times New Roman" w:cs="Times New Roman"/>
          <w:sz w:val="24"/>
          <w:szCs w:val="24"/>
        </w:rPr>
      </w:pPr>
    </w:p>
    <w:p w:rsidR="00FE4BC1" w:rsidRPr="006C0C34" w:rsidRDefault="00FE4BC1" w:rsidP="00997469">
      <w:pPr>
        <w:autoSpaceDE w:val="0"/>
        <w:autoSpaceDN w:val="0"/>
        <w:adjustRightInd w:val="0"/>
        <w:spacing w:after="0" w:line="240" w:lineRule="auto"/>
        <w:ind w:left="-284" w:right="-851"/>
        <w:jc w:val="both"/>
        <w:rPr>
          <w:rFonts w:ascii="Times New Roman" w:hAnsi="Times New Roman" w:cs="Times New Roman"/>
          <w:sz w:val="24"/>
          <w:szCs w:val="24"/>
        </w:rPr>
      </w:pPr>
      <w:r w:rsidRPr="006C0C34">
        <w:rPr>
          <w:rFonts w:ascii="Times New Roman" w:hAnsi="Times New Roman" w:cs="Times New Roman"/>
          <w:sz w:val="24"/>
          <w:szCs w:val="24"/>
        </w:rPr>
        <w:t xml:space="preserve">L’objectif de cette EIES est d’identifier les véritables enjeux environnementaux et sociaux du projet à partir de la caractérisation des zones d’influence du </w:t>
      </w:r>
      <w:r w:rsidR="00997469">
        <w:rPr>
          <w:rFonts w:ascii="Times New Roman" w:hAnsi="Times New Roman" w:cs="Times New Roman"/>
          <w:sz w:val="24"/>
          <w:szCs w:val="24"/>
        </w:rPr>
        <w:t>sous-projet n°2</w:t>
      </w:r>
      <w:r w:rsidRPr="006C0C34">
        <w:rPr>
          <w:rFonts w:ascii="Times New Roman" w:hAnsi="Times New Roman" w:cs="Times New Roman"/>
          <w:sz w:val="24"/>
          <w:szCs w:val="24"/>
        </w:rPr>
        <w:t xml:space="preserve"> et, en rapport avec les activités prévues, identifier, analyser et évaluer les impacts susceptibles d'être engendrés.</w:t>
      </w:r>
    </w:p>
    <w:p w:rsidR="00FE4BC1" w:rsidRPr="006C0C34" w:rsidRDefault="00FE4BC1" w:rsidP="00997469">
      <w:pPr>
        <w:autoSpaceDE w:val="0"/>
        <w:autoSpaceDN w:val="0"/>
        <w:adjustRightInd w:val="0"/>
        <w:spacing w:after="0" w:line="240" w:lineRule="auto"/>
        <w:ind w:left="-284" w:right="-851"/>
        <w:jc w:val="both"/>
        <w:rPr>
          <w:rFonts w:ascii="Times New Roman" w:hAnsi="Times New Roman" w:cs="Times New Roman"/>
          <w:sz w:val="24"/>
          <w:szCs w:val="24"/>
        </w:rPr>
      </w:pPr>
    </w:p>
    <w:p w:rsidR="00937ED2" w:rsidRPr="006C0C34" w:rsidRDefault="00FE4BC1" w:rsidP="00997469">
      <w:pPr>
        <w:autoSpaceDE w:val="0"/>
        <w:autoSpaceDN w:val="0"/>
        <w:adjustRightInd w:val="0"/>
        <w:spacing w:after="0" w:line="240" w:lineRule="auto"/>
        <w:ind w:left="-284" w:right="-851"/>
        <w:jc w:val="both"/>
        <w:rPr>
          <w:rFonts w:ascii="Times New Roman" w:hAnsi="Times New Roman" w:cs="Times New Roman"/>
          <w:sz w:val="24"/>
          <w:szCs w:val="24"/>
        </w:rPr>
      </w:pPr>
      <w:r w:rsidRPr="006C0C34">
        <w:rPr>
          <w:rFonts w:ascii="Times New Roman" w:hAnsi="Times New Roman" w:cs="Times New Roman"/>
          <w:sz w:val="24"/>
          <w:szCs w:val="24"/>
        </w:rPr>
        <w:t>Le Plan de Gestion Environnementale et Sociale (PGES)</w:t>
      </w:r>
      <w:r w:rsidR="00997469">
        <w:rPr>
          <w:rFonts w:ascii="Times New Roman" w:hAnsi="Times New Roman" w:cs="Times New Roman"/>
          <w:sz w:val="24"/>
          <w:szCs w:val="24"/>
        </w:rPr>
        <w:t xml:space="preserve"> du sous-projet n°2</w:t>
      </w:r>
      <w:r w:rsidRPr="006C0C34">
        <w:rPr>
          <w:rFonts w:ascii="Times New Roman" w:hAnsi="Times New Roman" w:cs="Times New Roman"/>
          <w:sz w:val="24"/>
          <w:szCs w:val="24"/>
        </w:rPr>
        <w:t xml:space="preserve">, issu de cette évaluation définira des mesures d’atténuation et de bonification, mais également de sécurité, de surveillance et de suivi environnemental à inclure dans les dossiers d’appel d’offres et de travaux. Il déterminera aussi les dispositions institutionnelles à prendre durant la mise en œuvre du </w:t>
      </w:r>
      <w:r w:rsidR="00997469">
        <w:rPr>
          <w:rFonts w:ascii="Times New Roman" w:hAnsi="Times New Roman" w:cs="Times New Roman"/>
          <w:sz w:val="24"/>
          <w:szCs w:val="24"/>
        </w:rPr>
        <w:t xml:space="preserve">sous-projet n°2 </w:t>
      </w:r>
      <w:r w:rsidR="00997469" w:rsidRPr="006C0C34">
        <w:rPr>
          <w:rFonts w:ascii="Times New Roman" w:hAnsi="Times New Roman" w:cs="Times New Roman"/>
          <w:sz w:val="24"/>
          <w:szCs w:val="24"/>
        </w:rPr>
        <w:t>y</w:t>
      </w:r>
      <w:r w:rsidRPr="006C0C34">
        <w:rPr>
          <w:rFonts w:ascii="Times New Roman" w:hAnsi="Times New Roman" w:cs="Times New Roman"/>
          <w:sz w:val="24"/>
          <w:szCs w:val="24"/>
        </w:rPr>
        <w:t xml:space="preserve"> compris celles relatives à la communication et au renforcement des capacités.</w:t>
      </w:r>
    </w:p>
    <w:p w:rsidR="00434BCC" w:rsidRPr="006C0C34" w:rsidRDefault="009F7B0A" w:rsidP="007E6AED">
      <w:pPr>
        <w:pStyle w:val="PargrafodaLista"/>
        <w:keepNext/>
        <w:spacing w:before="240" w:after="0"/>
        <w:ind w:left="450" w:hanging="450"/>
        <w:jc w:val="both"/>
        <w:outlineLvl w:val="1"/>
        <w:rPr>
          <w:rFonts w:ascii="Times New Roman" w:hAnsi="Times New Roman"/>
          <w:b/>
          <w:sz w:val="24"/>
          <w:szCs w:val="24"/>
          <w:lang w:val="fr-FR" w:eastAsia="fr-FR"/>
        </w:rPr>
      </w:pPr>
      <w:bookmarkStart w:id="29" w:name="_Toc527881987"/>
      <w:bookmarkStart w:id="30" w:name="_Toc51072500"/>
      <w:r>
        <w:rPr>
          <w:rFonts w:ascii="Times New Roman" w:hAnsi="Times New Roman"/>
          <w:b/>
          <w:sz w:val="24"/>
          <w:szCs w:val="24"/>
          <w:lang w:val="fr-FR" w:eastAsia="fr-FR"/>
        </w:rPr>
        <w:t>I.3</w:t>
      </w:r>
      <w:r w:rsidR="00434BCC" w:rsidRPr="006C0C34">
        <w:rPr>
          <w:rFonts w:ascii="Times New Roman" w:hAnsi="Times New Roman"/>
          <w:b/>
          <w:sz w:val="24"/>
          <w:szCs w:val="24"/>
          <w:lang w:val="fr-FR" w:eastAsia="fr-FR"/>
        </w:rPr>
        <w:t>. DEMARCHE METHODOLOGIQUE</w:t>
      </w:r>
      <w:bookmarkEnd w:id="29"/>
      <w:r w:rsidR="00937ED2" w:rsidRPr="006C0C34">
        <w:rPr>
          <w:rFonts w:ascii="Times New Roman" w:hAnsi="Times New Roman"/>
          <w:b/>
          <w:sz w:val="24"/>
          <w:szCs w:val="24"/>
          <w:lang w:val="fr-FR" w:eastAsia="fr-FR"/>
        </w:rPr>
        <w:t xml:space="preserve"> EIES</w:t>
      </w:r>
      <w:bookmarkEnd w:id="30"/>
      <w:r w:rsidR="00937ED2" w:rsidRPr="006C0C34">
        <w:rPr>
          <w:rFonts w:ascii="Times New Roman" w:hAnsi="Times New Roman"/>
          <w:b/>
          <w:sz w:val="24"/>
          <w:szCs w:val="24"/>
          <w:lang w:val="fr-FR" w:eastAsia="fr-FR"/>
        </w:rPr>
        <w:t xml:space="preserve"> </w:t>
      </w:r>
    </w:p>
    <w:p w:rsidR="00FD17C6" w:rsidRPr="00D43278" w:rsidRDefault="00B6708D" w:rsidP="00997469">
      <w:pPr>
        <w:autoSpaceDE w:val="0"/>
        <w:autoSpaceDN w:val="0"/>
        <w:adjustRightInd w:val="0"/>
        <w:spacing w:after="0" w:line="240" w:lineRule="auto"/>
        <w:ind w:left="-284" w:right="-851"/>
        <w:jc w:val="both"/>
        <w:rPr>
          <w:rFonts w:ascii="Times New Roman" w:hAnsi="Times New Roman" w:cs="Times New Roman"/>
          <w:sz w:val="24"/>
          <w:szCs w:val="24"/>
        </w:rPr>
      </w:pPr>
      <w:r w:rsidRPr="00D43278">
        <w:rPr>
          <w:rFonts w:ascii="Times New Roman" w:hAnsi="Times New Roman" w:cs="Times New Roman"/>
          <w:sz w:val="24"/>
          <w:szCs w:val="24"/>
        </w:rPr>
        <w:t>La méthodologie de l’étude, s’est inspirée des dispositions réglementaires en matière d’études d’impacts portant contenu du rapport de l’EIES au Guinée Bissau tout en respectant les indications contenues dans les TDR.</w:t>
      </w:r>
    </w:p>
    <w:p w:rsidR="007811FB" w:rsidRPr="006C0C34" w:rsidRDefault="004A0461" w:rsidP="009F7B0A">
      <w:pPr>
        <w:pStyle w:val="PargrafodaLista"/>
        <w:keepNext/>
        <w:spacing w:before="240" w:after="0"/>
        <w:ind w:left="450"/>
        <w:jc w:val="both"/>
        <w:outlineLvl w:val="2"/>
        <w:rPr>
          <w:rFonts w:ascii="Times New Roman" w:hAnsi="Times New Roman"/>
          <w:b/>
          <w:sz w:val="24"/>
          <w:szCs w:val="24"/>
          <w:lang w:val="fr-FR"/>
        </w:rPr>
      </w:pPr>
      <w:bookmarkStart w:id="31" w:name="_Toc51072501"/>
      <w:r>
        <w:rPr>
          <w:rFonts w:ascii="Times New Roman" w:hAnsi="Times New Roman"/>
          <w:b/>
          <w:sz w:val="24"/>
          <w:szCs w:val="24"/>
          <w:lang w:val="fr-FR"/>
        </w:rPr>
        <w:t>1</w:t>
      </w:r>
      <w:r w:rsidR="009F7B0A">
        <w:rPr>
          <w:rFonts w:ascii="Times New Roman" w:hAnsi="Times New Roman"/>
          <w:b/>
          <w:sz w:val="24"/>
          <w:szCs w:val="24"/>
          <w:lang w:val="fr-FR"/>
        </w:rPr>
        <w:t>.3</w:t>
      </w:r>
      <w:r w:rsidR="00634A57">
        <w:rPr>
          <w:rFonts w:ascii="Times New Roman" w:hAnsi="Times New Roman"/>
          <w:b/>
          <w:sz w:val="24"/>
          <w:szCs w:val="24"/>
          <w:lang w:val="fr-FR"/>
        </w:rPr>
        <w:t>.1. D</w:t>
      </w:r>
      <w:r w:rsidR="00634A57" w:rsidRPr="006C0C34">
        <w:rPr>
          <w:rFonts w:ascii="Times New Roman" w:hAnsi="Times New Roman"/>
          <w:b/>
          <w:sz w:val="24"/>
          <w:szCs w:val="24"/>
          <w:lang w:val="fr-FR"/>
        </w:rPr>
        <w:t>émarche méthodologique pour EIES</w:t>
      </w:r>
      <w:bookmarkEnd w:id="31"/>
    </w:p>
    <w:p w:rsidR="00F07800" w:rsidRPr="006C0C34" w:rsidRDefault="00310DC3" w:rsidP="007E6AED">
      <w:pPr>
        <w:pStyle w:val="PargrafodaLista"/>
        <w:keepNext/>
        <w:spacing w:before="240" w:after="240"/>
        <w:ind w:left="0"/>
        <w:jc w:val="both"/>
        <w:rPr>
          <w:rFonts w:ascii="Times New Roman" w:hAnsi="Times New Roman"/>
          <w:sz w:val="24"/>
          <w:szCs w:val="24"/>
          <w:lang w:val="fr-FR" w:eastAsia="fr-FR"/>
        </w:rPr>
      </w:pPr>
      <w:r w:rsidRPr="006C0C34">
        <w:rPr>
          <w:rFonts w:ascii="Times New Roman" w:hAnsi="Times New Roman"/>
          <w:sz w:val="24"/>
          <w:szCs w:val="24"/>
          <w:lang w:val="fr-FR" w:eastAsia="fr-FR"/>
        </w:rPr>
        <w:t>Conformément</w:t>
      </w:r>
      <w:r w:rsidR="007811FB" w:rsidRPr="006C0C34">
        <w:rPr>
          <w:rFonts w:ascii="Times New Roman" w:hAnsi="Times New Roman"/>
          <w:sz w:val="24"/>
          <w:szCs w:val="24"/>
          <w:lang w:val="fr-FR" w:eastAsia="fr-FR"/>
        </w:rPr>
        <w:t xml:space="preserve"> au TDR</w:t>
      </w:r>
      <w:r w:rsidR="007811FB" w:rsidRPr="006C0C34">
        <w:rPr>
          <w:rFonts w:ascii="Times New Roman" w:hAnsi="Times New Roman"/>
          <w:b/>
          <w:sz w:val="24"/>
          <w:szCs w:val="24"/>
          <w:lang w:val="fr-FR" w:eastAsia="fr-FR"/>
        </w:rPr>
        <w:t xml:space="preserve">, </w:t>
      </w:r>
      <w:r w:rsidR="003049FD" w:rsidRPr="006C0C34">
        <w:rPr>
          <w:rFonts w:ascii="Times New Roman" w:hAnsi="Times New Roman"/>
          <w:sz w:val="24"/>
          <w:szCs w:val="24"/>
          <w:lang w:val="fr-FR" w:eastAsia="fr-FR"/>
        </w:rPr>
        <w:t>La structuration de l’étude peut se dérouler en trois (03) phases :</w:t>
      </w:r>
    </w:p>
    <w:p w:rsidR="003049FD" w:rsidRPr="006C0C34" w:rsidRDefault="003049FD" w:rsidP="00095CF9">
      <w:pPr>
        <w:pStyle w:val="PargrafodaLista"/>
        <w:numPr>
          <w:ilvl w:val="3"/>
          <w:numId w:val="12"/>
        </w:numPr>
        <w:pBdr>
          <w:top w:val="single" w:sz="4" w:space="1" w:color="000000" w:themeColor="text1"/>
          <w:left w:val="single" w:sz="4" w:space="4" w:color="000000" w:themeColor="text1"/>
          <w:bottom w:val="single" w:sz="4" w:space="1" w:color="000000" w:themeColor="text1"/>
          <w:right w:val="single" w:sz="4" w:space="4" w:color="000000" w:themeColor="text1"/>
        </w:pBdr>
        <w:spacing w:after="0" w:line="240" w:lineRule="auto"/>
        <w:ind w:right="-709"/>
        <w:jc w:val="both"/>
        <w:rPr>
          <w:rFonts w:ascii="Times New Roman" w:hAnsi="Times New Roman"/>
          <w:sz w:val="24"/>
          <w:szCs w:val="24"/>
          <w:lang w:val="fr-FR"/>
        </w:rPr>
      </w:pPr>
      <w:r w:rsidRPr="006C0C34">
        <w:rPr>
          <w:rFonts w:ascii="Times New Roman" w:hAnsi="Times New Roman"/>
          <w:sz w:val="24"/>
          <w:szCs w:val="24"/>
          <w:lang w:val="fr-FR"/>
        </w:rPr>
        <w:t>Une phase de reconnaissance de terrain au cours de laquelle l’équipe du consultant acc</w:t>
      </w:r>
      <w:r w:rsidR="00BD7651">
        <w:rPr>
          <w:rFonts w:ascii="Times New Roman" w:hAnsi="Times New Roman"/>
          <w:sz w:val="24"/>
          <w:szCs w:val="24"/>
          <w:lang w:val="fr-FR"/>
        </w:rPr>
        <w:t>ompagné</w:t>
      </w:r>
      <w:r w:rsidR="009B35B8">
        <w:rPr>
          <w:rFonts w:ascii="Times New Roman" w:hAnsi="Times New Roman"/>
          <w:sz w:val="24"/>
          <w:szCs w:val="24"/>
          <w:lang w:val="fr-FR"/>
        </w:rPr>
        <w:t>e</w:t>
      </w:r>
      <w:r w:rsidR="00BD7651">
        <w:rPr>
          <w:rFonts w:ascii="Times New Roman" w:hAnsi="Times New Roman"/>
          <w:sz w:val="24"/>
          <w:szCs w:val="24"/>
          <w:lang w:val="fr-FR"/>
        </w:rPr>
        <w:t xml:space="preserve"> du personnel de PUASEE-F</w:t>
      </w:r>
      <w:r w:rsidRPr="006C0C34">
        <w:rPr>
          <w:rFonts w:ascii="Times New Roman" w:hAnsi="Times New Roman"/>
          <w:sz w:val="24"/>
          <w:szCs w:val="24"/>
          <w:lang w:val="fr-FR"/>
        </w:rPr>
        <w:t>A ont pris connaissance des sites</w:t>
      </w:r>
      <w:r w:rsidR="008C6C84" w:rsidRPr="006C0C34">
        <w:rPr>
          <w:rFonts w:ascii="Times New Roman" w:hAnsi="Times New Roman"/>
          <w:sz w:val="24"/>
          <w:szCs w:val="24"/>
          <w:lang w:val="fr-FR"/>
        </w:rPr>
        <w:t xml:space="preserve"> d’implantation du projet ;</w:t>
      </w:r>
    </w:p>
    <w:p w:rsidR="003049FD" w:rsidRPr="006C0C34" w:rsidRDefault="003049FD" w:rsidP="00095CF9">
      <w:pPr>
        <w:pStyle w:val="PargrafodaLista"/>
        <w:numPr>
          <w:ilvl w:val="3"/>
          <w:numId w:val="12"/>
        </w:numPr>
        <w:pBdr>
          <w:top w:val="single" w:sz="4" w:space="1" w:color="000000" w:themeColor="text1"/>
          <w:left w:val="single" w:sz="4" w:space="4" w:color="000000" w:themeColor="text1"/>
          <w:bottom w:val="single" w:sz="4" w:space="1" w:color="000000" w:themeColor="text1"/>
          <w:right w:val="single" w:sz="4" w:space="4" w:color="000000" w:themeColor="text1"/>
        </w:pBdr>
        <w:spacing w:after="0" w:line="240" w:lineRule="auto"/>
        <w:ind w:right="-709"/>
        <w:jc w:val="both"/>
        <w:rPr>
          <w:rFonts w:ascii="Times New Roman" w:hAnsi="Times New Roman"/>
          <w:sz w:val="24"/>
          <w:szCs w:val="24"/>
          <w:lang w:val="fr-FR"/>
        </w:rPr>
      </w:pPr>
      <w:r w:rsidRPr="006C0C34">
        <w:rPr>
          <w:rFonts w:ascii="Times New Roman" w:hAnsi="Times New Roman"/>
          <w:sz w:val="24"/>
          <w:szCs w:val="24"/>
          <w:lang w:val="fr-FR"/>
        </w:rPr>
        <w:t>Une phase de collecte des données sur le terrain centré sur une démarche participative, avec des séries de rencontres avec les populations locales et les acteurs institutionnels principalement concernés par le projet dans tout le département : autorités administratives ; collectivités locales ; services techniques de l’Etat ; organisations communautaires de base, etc.  Au cours de cette phase, il a été question de faire l’élaboration du schéma itinéraire environnemental, la reconnaissance de l’état initial de l’environnement physique, humain, biologique et socio-économique par des observations directes et des entretiens formels et informels, l’identification des impacts potentiels et les actions environnementales à prendre pour les atténuer.</w:t>
      </w:r>
    </w:p>
    <w:p w:rsidR="00F07800" w:rsidRPr="006C0C34" w:rsidRDefault="003049FD" w:rsidP="00095CF9">
      <w:pPr>
        <w:pStyle w:val="PargrafodaLista"/>
        <w:numPr>
          <w:ilvl w:val="3"/>
          <w:numId w:val="12"/>
        </w:numPr>
        <w:pBdr>
          <w:top w:val="single" w:sz="4" w:space="1" w:color="000000" w:themeColor="text1"/>
          <w:left w:val="single" w:sz="4" w:space="4" w:color="000000" w:themeColor="text1"/>
          <w:bottom w:val="single" w:sz="4" w:space="1" w:color="000000" w:themeColor="text1"/>
          <w:right w:val="single" w:sz="4" w:space="4" w:color="000000" w:themeColor="text1"/>
        </w:pBdr>
        <w:spacing w:after="0" w:line="240" w:lineRule="auto"/>
        <w:ind w:right="-709"/>
        <w:jc w:val="both"/>
        <w:rPr>
          <w:rFonts w:ascii="Times New Roman" w:hAnsi="Times New Roman"/>
          <w:sz w:val="24"/>
          <w:szCs w:val="24"/>
          <w:lang w:val="fr-FR"/>
        </w:rPr>
      </w:pPr>
      <w:r w:rsidRPr="006C0C34">
        <w:rPr>
          <w:rFonts w:ascii="Times New Roman" w:hAnsi="Times New Roman"/>
          <w:sz w:val="24"/>
          <w:szCs w:val="24"/>
          <w:lang w:val="fr-FR"/>
        </w:rPr>
        <w:t>Une phase de synthèse des données collectées et d'élaboration du rapport. Les différentes phases ont été accompagnées de recherche bibliographique sur les divers aspects du projet.</w:t>
      </w:r>
    </w:p>
    <w:p w:rsidR="00997469" w:rsidRDefault="00997469" w:rsidP="00997469">
      <w:pPr>
        <w:autoSpaceDE w:val="0"/>
        <w:autoSpaceDN w:val="0"/>
        <w:adjustRightInd w:val="0"/>
        <w:spacing w:after="0" w:line="240" w:lineRule="auto"/>
        <w:ind w:left="-284" w:right="-851"/>
        <w:jc w:val="both"/>
        <w:rPr>
          <w:rFonts w:ascii="Times New Roman" w:hAnsi="Times New Roman" w:cs="Times New Roman"/>
          <w:sz w:val="24"/>
          <w:szCs w:val="24"/>
        </w:rPr>
      </w:pPr>
    </w:p>
    <w:p w:rsidR="00997469" w:rsidRDefault="00310DC3" w:rsidP="00997469">
      <w:pPr>
        <w:autoSpaceDE w:val="0"/>
        <w:autoSpaceDN w:val="0"/>
        <w:adjustRightInd w:val="0"/>
        <w:spacing w:after="0" w:line="240" w:lineRule="auto"/>
        <w:ind w:left="-284" w:right="-851"/>
        <w:jc w:val="both"/>
        <w:rPr>
          <w:rFonts w:ascii="Times New Roman" w:hAnsi="Times New Roman" w:cs="Times New Roman"/>
          <w:sz w:val="24"/>
          <w:szCs w:val="24"/>
        </w:rPr>
      </w:pPr>
      <w:r w:rsidRPr="006C0C34">
        <w:rPr>
          <w:rFonts w:ascii="Times New Roman" w:hAnsi="Times New Roman" w:cs="Times New Roman"/>
          <w:sz w:val="24"/>
          <w:szCs w:val="24"/>
        </w:rPr>
        <w:t>Suivant la catégorisation proposée par la loi d’application du Code de l’environnement, à travers des zones rurales, pouvant être vierges de toutes infrastructures d’importance et, à travers des zones susceptibles d’être protégées pour leur importanc</w:t>
      </w:r>
      <w:r w:rsidR="00BB0410">
        <w:rPr>
          <w:rFonts w:ascii="Times New Roman" w:hAnsi="Times New Roman" w:cs="Times New Roman"/>
          <w:sz w:val="24"/>
          <w:szCs w:val="24"/>
        </w:rPr>
        <w:t>e écologique ou socioculturelle, l</w:t>
      </w:r>
      <w:r w:rsidRPr="006C0C34">
        <w:rPr>
          <w:rFonts w:ascii="Times New Roman" w:hAnsi="Times New Roman" w:cs="Times New Roman"/>
          <w:sz w:val="24"/>
          <w:szCs w:val="24"/>
        </w:rPr>
        <w:t>e projet PUASEE-FA doit faire l’objet d’une étude d’impacts environnemental et social (EIES).</w:t>
      </w:r>
    </w:p>
    <w:p w:rsidR="00310DC3" w:rsidRPr="006C0C34" w:rsidRDefault="00310DC3" w:rsidP="00997469">
      <w:pPr>
        <w:autoSpaceDE w:val="0"/>
        <w:autoSpaceDN w:val="0"/>
        <w:adjustRightInd w:val="0"/>
        <w:spacing w:after="0" w:line="240" w:lineRule="auto"/>
        <w:ind w:left="-284" w:right="-851"/>
        <w:jc w:val="both"/>
        <w:rPr>
          <w:rFonts w:ascii="Times New Roman" w:hAnsi="Times New Roman" w:cs="Times New Roman"/>
          <w:sz w:val="24"/>
          <w:szCs w:val="24"/>
        </w:rPr>
      </w:pPr>
      <w:r w:rsidRPr="006C0C34">
        <w:rPr>
          <w:rFonts w:ascii="Times New Roman" w:hAnsi="Times New Roman" w:cs="Times New Roman"/>
          <w:sz w:val="24"/>
          <w:szCs w:val="24"/>
        </w:rPr>
        <w:t xml:space="preserve"> </w:t>
      </w:r>
    </w:p>
    <w:p w:rsidR="00310DC3" w:rsidRPr="006C0C34" w:rsidRDefault="00310DC3" w:rsidP="00997469">
      <w:pPr>
        <w:autoSpaceDE w:val="0"/>
        <w:autoSpaceDN w:val="0"/>
        <w:adjustRightInd w:val="0"/>
        <w:spacing w:after="0" w:line="240" w:lineRule="auto"/>
        <w:ind w:left="-284" w:right="-851"/>
        <w:jc w:val="both"/>
        <w:rPr>
          <w:rFonts w:ascii="Times New Roman" w:hAnsi="Times New Roman" w:cs="Times New Roman"/>
          <w:sz w:val="24"/>
          <w:szCs w:val="24"/>
        </w:rPr>
      </w:pPr>
      <w:r w:rsidRPr="006C0C34">
        <w:rPr>
          <w:rFonts w:ascii="Times New Roman" w:hAnsi="Times New Roman" w:cs="Times New Roman"/>
          <w:sz w:val="24"/>
          <w:szCs w:val="24"/>
        </w:rPr>
        <w:t>Ainsi, l’EIES que nou</w:t>
      </w:r>
      <w:r w:rsidR="00BB0410">
        <w:rPr>
          <w:rFonts w:ascii="Times New Roman" w:hAnsi="Times New Roman" w:cs="Times New Roman"/>
          <w:sz w:val="24"/>
          <w:szCs w:val="24"/>
        </w:rPr>
        <w:t xml:space="preserve">s proposons intégrera, entre autres, </w:t>
      </w:r>
      <w:r w:rsidRPr="006C0C34">
        <w:rPr>
          <w:rFonts w:ascii="Times New Roman" w:hAnsi="Times New Roman" w:cs="Times New Roman"/>
          <w:sz w:val="24"/>
          <w:szCs w:val="24"/>
        </w:rPr>
        <w:t>les principaux aspects suivants :</w:t>
      </w:r>
    </w:p>
    <w:p w:rsidR="00310DC3" w:rsidRPr="006C0C34" w:rsidRDefault="00310DC3" w:rsidP="00095CF9">
      <w:pPr>
        <w:numPr>
          <w:ilvl w:val="0"/>
          <w:numId w:val="13"/>
        </w:numPr>
        <w:pBdr>
          <w:top w:val="single" w:sz="4" w:space="1" w:color="000000" w:themeColor="text1"/>
          <w:left w:val="single" w:sz="4" w:space="4" w:color="000000" w:themeColor="text1"/>
          <w:bottom w:val="single" w:sz="4" w:space="1" w:color="000000" w:themeColor="text1"/>
          <w:right w:val="single" w:sz="4" w:space="4" w:color="000000" w:themeColor="text1"/>
        </w:pBdr>
        <w:tabs>
          <w:tab w:val="clear" w:pos="644"/>
          <w:tab w:val="num" w:pos="1276"/>
        </w:tabs>
        <w:spacing w:after="0" w:line="276" w:lineRule="auto"/>
        <w:ind w:left="1134" w:right="-851"/>
        <w:jc w:val="both"/>
        <w:rPr>
          <w:rFonts w:ascii="Times New Roman" w:hAnsi="Times New Roman" w:cs="Times New Roman"/>
          <w:sz w:val="24"/>
          <w:szCs w:val="24"/>
        </w:rPr>
      </w:pPr>
      <w:r w:rsidRPr="006C0C34">
        <w:rPr>
          <w:rFonts w:ascii="Times New Roman" w:hAnsi="Times New Roman" w:cs="Times New Roman"/>
          <w:sz w:val="24"/>
          <w:szCs w:val="24"/>
        </w:rPr>
        <w:t>Les effets sur la santé et le bien-être des populations, les milieux de l’environnement et les écosystèmes (faunes et flores incluses) ;</w:t>
      </w:r>
    </w:p>
    <w:p w:rsidR="00310DC3" w:rsidRPr="006C0C34" w:rsidRDefault="00310DC3" w:rsidP="00095CF9">
      <w:pPr>
        <w:numPr>
          <w:ilvl w:val="0"/>
          <w:numId w:val="13"/>
        </w:numPr>
        <w:pBdr>
          <w:top w:val="single" w:sz="4" w:space="1" w:color="000000" w:themeColor="text1"/>
          <w:left w:val="single" w:sz="4" w:space="4" w:color="000000" w:themeColor="text1"/>
          <w:bottom w:val="single" w:sz="4" w:space="1" w:color="000000" w:themeColor="text1"/>
          <w:right w:val="single" w:sz="4" w:space="4" w:color="000000" w:themeColor="text1"/>
        </w:pBdr>
        <w:tabs>
          <w:tab w:val="clear" w:pos="644"/>
          <w:tab w:val="num" w:pos="1276"/>
        </w:tabs>
        <w:spacing w:after="0" w:line="276" w:lineRule="auto"/>
        <w:ind w:left="1134" w:right="-851"/>
        <w:jc w:val="both"/>
        <w:rPr>
          <w:rFonts w:ascii="Times New Roman" w:hAnsi="Times New Roman" w:cs="Times New Roman"/>
          <w:sz w:val="24"/>
          <w:szCs w:val="24"/>
        </w:rPr>
      </w:pPr>
      <w:r w:rsidRPr="006C0C34">
        <w:rPr>
          <w:rFonts w:ascii="Times New Roman" w:hAnsi="Times New Roman" w:cs="Times New Roman"/>
          <w:sz w:val="24"/>
          <w:szCs w:val="24"/>
        </w:rPr>
        <w:t>Les effets sur l’agriculture et l’habitat ;</w:t>
      </w:r>
    </w:p>
    <w:p w:rsidR="00310DC3" w:rsidRPr="006C0C34" w:rsidRDefault="00310DC3" w:rsidP="00095CF9">
      <w:pPr>
        <w:numPr>
          <w:ilvl w:val="0"/>
          <w:numId w:val="13"/>
        </w:numPr>
        <w:pBdr>
          <w:top w:val="single" w:sz="4" w:space="1" w:color="000000" w:themeColor="text1"/>
          <w:left w:val="single" w:sz="4" w:space="4" w:color="000000" w:themeColor="text1"/>
          <w:bottom w:val="single" w:sz="4" w:space="1" w:color="000000" w:themeColor="text1"/>
          <w:right w:val="single" w:sz="4" w:space="4" w:color="000000" w:themeColor="text1"/>
        </w:pBdr>
        <w:tabs>
          <w:tab w:val="clear" w:pos="644"/>
          <w:tab w:val="num" w:pos="1276"/>
        </w:tabs>
        <w:spacing w:after="0" w:line="276" w:lineRule="auto"/>
        <w:ind w:left="1134" w:right="-851"/>
        <w:jc w:val="both"/>
        <w:rPr>
          <w:rFonts w:ascii="Times New Roman" w:hAnsi="Times New Roman" w:cs="Times New Roman"/>
          <w:sz w:val="24"/>
          <w:szCs w:val="24"/>
        </w:rPr>
      </w:pPr>
      <w:r w:rsidRPr="006C0C34">
        <w:rPr>
          <w:rFonts w:ascii="Times New Roman" w:hAnsi="Times New Roman" w:cs="Times New Roman"/>
          <w:sz w:val="24"/>
          <w:szCs w:val="24"/>
        </w:rPr>
        <w:t>Les effets sur le climat et l’atmosphère ;</w:t>
      </w:r>
    </w:p>
    <w:p w:rsidR="00310DC3" w:rsidRPr="006C0C34" w:rsidRDefault="00310DC3" w:rsidP="00095CF9">
      <w:pPr>
        <w:numPr>
          <w:ilvl w:val="0"/>
          <w:numId w:val="13"/>
        </w:numPr>
        <w:pBdr>
          <w:top w:val="single" w:sz="4" w:space="1" w:color="000000" w:themeColor="text1"/>
          <w:left w:val="single" w:sz="4" w:space="4" w:color="000000" w:themeColor="text1"/>
          <w:bottom w:val="single" w:sz="4" w:space="1" w:color="000000" w:themeColor="text1"/>
          <w:right w:val="single" w:sz="4" w:space="4" w:color="000000" w:themeColor="text1"/>
        </w:pBdr>
        <w:tabs>
          <w:tab w:val="clear" w:pos="644"/>
          <w:tab w:val="num" w:pos="1276"/>
        </w:tabs>
        <w:spacing w:after="0" w:line="276" w:lineRule="auto"/>
        <w:ind w:left="1134" w:right="-851"/>
        <w:jc w:val="both"/>
        <w:rPr>
          <w:rFonts w:ascii="Times New Roman" w:hAnsi="Times New Roman" w:cs="Times New Roman"/>
          <w:sz w:val="24"/>
          <w:szCs w:val="24"/>
        </w:rPr>
      </w:pPr>
      <w:r w:rsidRPr="006C0C34">
        <w:rPr>
          <w:rFonts w:ascii="Times New Roman" w:hAnsi="Times New Roman" w:cs="Times New Roman"/>
          <w:sz w:val="24"/>
          <w:szCs w:val="24"/>
        </w:rPr>
        <w:t>Les effets sur l’utilisation des ressources naturelles ;</w:t>
      </w:r>
    </w:p>
    <w:p w:rsidR="00310DC3" w:rsidRPr="006C0C34" w:rsidRDefault="00310DC3" w:rsidP="00095CF9">
      <w:pPr>
        <w:numPr>
          <w:ilvl w:val="0"/>
          <w:numId w:val="13"/>
        </w:numPr>
        <w:pBdr>
          <w:top w:val="single" w:sz="4" w:space="1" w:color="000000" w:themeColor="text1"/>
          <w:left w:val="single" w:sz="4" w:space="4" w:color="000000" w:themeColor="text1"/>
          <w:bottom w:val="single" w:sz="4" w:space="1" w:color="000000" w:themeColor="text1"/>
          <w:right w:val="single" w:sz="4" w:space="4" w:color="000000" w:themeColor="text1"/>
        </w:pBdr>
        <w:tabs>
          <w:tab w:val="clear" w:pos="644"/>
          <w:tab w:val="num" w:pos="1276"/>
        </w:tabs>
        <w:spacing w:after="0" w:line="276" w:lineRule="auto"/>
        <w:ind w:left="1134" w:right="-851"/>
        <w:jc w:val="both"/>
        <w:rPr>
          <w:rFonts w:ascii="Times New Roman" w:hAnsi="Times New Roman" w:cs="Times New Roman"/>
          <w:sz w:val="24"/>
          <w:szCs w:val="24"/>
        </w:rPr>
      </w:pPr>
      <w:r w:rsidRPr="006C0C34">
        <w:rPr>
          <w:rFonts w:ascii="Times New Roman" w:hAnsi="Times New Roman" w:cs="Times New Roman"/>
          <w:sz w:val="24"/>
          <w:szCs w:val="24"/>
        </w:rPr>
        <w:lastRenderedPageBreak/>
        <w:t>Les effets sur le recyclage, l’élimination des résidus et des déchets ;</w:t>
      </w:r>
    </w:p>
    <w:p w:rsidR="00310DC3" w:rsidRPr="006C0C34" w:rsidRDefault="00310DC3" w:rsidP="00095CF9">
      <w:pPr>
        <w:numPr>
          <w:ilvl w:val="0"/>
          <w:numId w:val="13"/>
        </w:numPr>
        <w:pBdr>
          <w:top w:val="single" w:sz="4" w:space="1" w:color="000000" w:themeColor="text1"/>
          <w:left w:val="single" w:sz="4" w:space="4" w:color="000000" w:themeColor="text1"/>
          <w:bottom w:val="single" w:sz="4" w:space="1" w:color="000000" w:themeColor="text1"/>
          <w:right w:val="single" w:sz="4" w:space="4" w:color="000000" w:themeColor="text1"/>
        </w:pBdr>
        <w:tabs>
          <w:tab w:val="clear" w:pos="644"/>
          <w:tab w:val="num" w:pos="1276"/>
        </w:tabs>
        <w:spacing w:after="0" w:line="276" w:lineRule="auto"/>
        <w:ind w:left="1134" w:right="-851"/>
        <w:jc w:val="both"/>
        <w:rPr>
          <w:rFonts w:ascii="Times New Roman" w:hAnsi="Times New Roman" w:cs="Times New Roman"/>
          <w:sz w:val="24"/>
          <w:szCs w:val="24"/>
        </w:rPr>
      </w:pPr>
      <w:r w:rsidRPr="006C0C34">
        <w:rPr>
          <w:rFonts w:ascii="Times New Roman" w:hAnsi="Times New Roman" w:cs="Times New Roman"/>
          <w:sz w:val="24"/>
          <w:szCs w:val="24"/>
        </w:rPr>
        <w:t>Tous les au</w:t>
      </w:r>
      <w:r w:rsidR="0079244B" w:rsidRPr="006C0C34">
        <w:rPr>
          <w:rFonts w:ascii="Times New Roman" w:hAnsi="Times New Roman" w:cs="Times New Roman"/>
          <w:sz w:val="24"/>
          <w:szCs w:val="24"/>
        </w:rPr>
        <w:t>tres aspects relatés dans les TD</w:t>
      </w:r>
      <w:r w:rsidRPr="006C0C34">
        <w:rPr>
          <w:rFonts w:ascii="Times New Roman" w:hAnsi="Times New Roman" w:cs="Times New Roman"/>
          <w:sz w:val="24"/>
          <w:szCs w:val="24"/>
        </w:rPr>
        <w:t>R du projet PUASEE-FA pouvant avoir des conséquences sur la situation sociale et économique des populations.</w:t>
      </w:r>
    </w:p>
    <w:p w:rsidR="00B569DC" w:rsidRDefault="00B569DC" w:rsidP="00647913">
      <w:pPr>
        <w:autoSpaceDE w:val="0"/>
        <w:autoSpaceDN w:val="0"/>
        <w:adjustRightInd w:val="0"/>
        <w:spacing w:after="0" w:line="240" w:lineRule="auto"/>
        <w:ind w:right="-851"/>
        <w:jc w:val="both"/>
        <w:rPr>
          <w:rFonts w:ascii="Times New Roman" w:hAnsi="Times New Roman" w:cs="Times New Roman"/>
          <w:sz w:val="24"/>
          <w:szCs w:val="24"/>
        </w:rPr>
      </w:pPr>
    </w:p>
    <w:p w:rsidR="008101F1" w:rsidRPr="00A419E7" w:rsidRDefault="008101F1" w:rsidP="00B569DC">
      <w:pPr>
        <w:autoSpaceDE w:val="0"/>
        <w:autoSpaceDN w:val="0"/>
        <w:adjustRightInd w:val="0"/>
        <w:spacing w:after="0" w:line="240" w:lineRule="auto"/>
        <w:ind w:left="-284" w:right="-851"/>
        <w:jc w:val="both"/>
        <w:rPr>
          <w:rFonts w:ascii="Times New Roman" w:hAnsi="Times New Roman" w:cs="Times New Roman"/>
          <w:sz w:val="24"/>
          <w:szCs w:val="24"/>
        </w:rPr>
      </w:pPr>
      <w:r w:rsidRPr="00A419E7">
        <w:rPr>
          <w:rFonts w:ascii="Times New Roman" w:hAnsi="Times New Roman" w:cs="Times New Roman"/>
          <w:sz w:val="24"/>
          <w:szCs w:val="24"/>
        </w:rPr>
        <w:t>L’approche proposée pour mener cette étude est représentée de manière schématique ci-dessous :</w:t>
      </w:r>
    </w:p>
    <w:p w:rsidR="008101F1" w:rsidRPr="002363CB" w:rsidRDefault="008101F1" w:rsidP="008101F1">
      <w:pPr>
        <w:autoSpaceDE w:val="0"/>
        <w:autoSpaceDN w:val="0"/>
        <w:adjustRightInd w:val="0"/>
        <w:rPr>
          <w:noProof/>
          <w:lang w:eastAsia="pt-PT"/>
        </w:rPr>
      </w:pPr>
      <w:r w:rsidRPr="002363CB">
        <w:rPr>
          <w:noProof/>
          <w:lang w:val="pt-PT" w:eastAsia="pt-PT"/>
        </w:rPr>
        <w:drawing>
          <wp:inline distT="0" distB="0" distL="0" distR="0" wp14:anchorId="6F9FF8FC" wp14:editId="671FC113">
            <wp:extent cx="5764530" cy="3594100"/>
            <wp:effectExtent l="0" t="0" r="7620" b="6350"/>
            <wp:docPr id="472" name="Image 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24" cstate="email">
                      <a:extLst>
                        <a:ext uri="{28A0092B-C50C-407E-A947-70E740481C1C}">
                          <a14:useLocalDpi xmlns:a14="http://schemas.microsoft.com/office/drawing/2010/main"/>
                        </a:ext>
                      </a:extLst>
                    </a:blip>
                    <a:srcRect/>
                    <a:stretch>
                      <a:fillRect/>
                    </a:stretch>
                  </pic:blipFill>
                  <pic:spPr bwMode="auto">
                    <a:xfrm>
                      <a:off x="0" y="0"/>
                      <a:ext cx="5764530" cy="3594100"/>
                    </a:xfrm>
                    <a:prstGeom prst="rect">
                      <a:avLst/>
                    </a:prstGeom>
                    <a:noFill/>
                    <a:ln>
                      <a:noFill/>
                    </a:ln>
                  </pic:spPr>
                </pic:pic>
              </a:graphicData>
            </a:graphic>
          </wp:inline>
        </w:drawing>
      </w:r>
    </w:p>
    <w:p w:rsidR="008101F1" w:rsidRPr="00E15410" w:rsidRDefault="002E1404" w:rsidP="002E1404">
      <w:pPr>
        <w:pStyle w:val="Legenda"/>
        <w:rPr>
          <w:rFonts w:ascii="Times New Roman" w:hAnsi="Times New Roman" w:cs="Times New Roman"/>
          <w:color w:val="auto"/>
          <w:sz w:val="20"/>
          <w:szCs w:val="20"/>
          <w:lang w:val="fr-FR"/>
        </w:rPr>
      </w:pPr>
      <w:bookmarkStart w:id="32" w:name="_Toc32512023"/>
      <w:r w:rsidRPr="00E15410">
        <w:rPr>
          <w:rFonts w:ascii="Times New Roman" w:hAnsi="Times New Roman" w:cs="Times New Roman"/>
          <w:color w:val="auto"/>
          <w:sz w:val="20"/>
          <w:szCs w:val="20"/>
          <w:lang w:val="fr-FR"/>
        </w:rPr>
        <w:t xml:space="preserve">Figure </w:t>
      </w:r>
      <w:r w:rsidRPr="00E15410">
        <w:rPr>
          <w:rFonts w:ascii="Times New Roman" w:hAnsi="Times New Roman" w:cs="Times New Roman"/>
          <w:color w:val="auto"/>
          <w:sz w:val="20"/>
          <w:szCs w:val="20"/>
        </w:rPr>
        <w:fldChar w:fldCharType="begin"/>
      </w:r>
      <w:r w:rsidRPr="00E15410">
        <w:rPr>
          <w:rFonts w:ascii="Times New Roman" w:hAnsi="Times New Roman" w:cs="Times New Roman"/>
          <w:color w:val="auto"/>
          <w:sz w:val="20"/>
          <w:szCs w:val="20"/>
          <w:lang w:val="fr-FR"/>
        </w:rPr>
        <w:instrText xml:space="preserve"> SEQ Figure \* ARABIC </w:instrText>
      </w:r>
      <w:r w:rsidRPr="00E15410">
        <w:rPr>
          <w:rFonts w:ascii="Times New Roman" w:hAnsi="Times New Roman" w:cs="Times New Roman"/>
          <w:color w:val="auto"/>
          <w:sz w:val="20"/>
          <w:szCs w:val="20"/>
        </w:rPr>
        <w:fldChar w:fldCharType="separate"/>
      </w:r>
      <w:r w:rsidR="002C6E60">
        <w:rPr>
          <w:rFonts w:ascii="Times New Roman" w:hAnsi="Times New Roman" w:cs="Times New Roman"/>
          <w:noProof/>
          <w:color w:val="auto"/>
          <w:sz w:val="20"/>
          <w:szCs w:val="20"/>
          <w:lang w:val="fr-FR"/>
        </w:rPr>
        <w:t>1</w:t>
      </w:r>
      <w:r w:rsidRPr="00E15410">
        <w:rPr>
          <w:rFonts w:ascii="Times New Roman" w:hAnsi="Times New Roman" w:cs="Times New Roman"/>
          <w:color w:val="auto"/>
          <w:sz w:val="20"/>
          <w:szCs w:val="20"/>
        </w:rPr>
        <w:fldChar w:fldCharType="end"/>
      </w:r>
      <w:r w:rsidR="00E15410" w:rsidRPr="00E15410">
        <w:rPr>
          <w:rFonts w:ascii="Times New Roman" w:hAnsi="Times New Roman" w:cs="Times New Roman"/>
          <w:color w:val="auto"/>
          <w:sz w:val="20"/>
          <w:szCs w:val="20"/>
          <w:lang w:val="fr-FR"/>
        </w:rPr>
        <w:t xml:space="preserve">: </w:t>
      </w:r>
      <w:r w:rsidR="00A419E7" w:rsidRPr="00E15410">
        <w:rPr>
          <w:rFonts w:ascii="Times New Roman" w:hAnsi="Times New Roman" w:cs="Times New Roman"/>
          <w:color w:val="auto"/>
          <w:sz w:val="20"/>
          <w:szCs w:val="20"/>
          <w:lang w:val="fr-FR"/>
        </w:rPr>
        <w:t>L’approche proposée pour mener cette étude</w:t>
      </w:r>
      <w:r w:rsidR="00E15410">
        <w:rPr>
          <w:rFonts w:ascii="Times New Roman" w:hAnsi="Times New Roman" w:cs="Times New Roman"/>
          <w:color w:val="auto"/>
          <w:sz w:val="20"/>
          <w:szCs w:val="20"/>
          <w:lang w:val="fr-FR"/>
        </w:rPr>
        <w:t xml:space="preserve"> EIES</w:t>
      </w:r>
      <w:bookmarkEnd w:id="32"/>
    </w:p>
    <w:p w:rsidR="00434BCC" w:rsidRPr="006C0C34" w:rsidRDefault="004A0461" w:rsidP="004A0461">
      <w:pPr>
        <w:pStyle w:val="PargrafodaLista"/>
        <w:keepNext/>
        <w:spacing w:before="240" w:after="0"/>
        <w:ind w:left="450"/>
        <w:jc w:val="both"/>
        <w:outlineLvl w:val="2"/>
        <w:rPr>
          <w:rFonts w:ascii="Times New Roman" w:hAnsi="Times New Roman"/>
          <w:b/>
          <w:sz w:val="24"/>
          <w:szCs w:val="24"/>
          <w:lang w:val="fr-FR"/>
        </w:rPr>
      </w:pPr>
      <w:bookmarkStart w:id="33" w:name="_Toc51072502"/>
      <w:r>
        <w:rPr>
          <w:rFonts w:ascii="Times New Roman" w:hAnsi="Times New Roman"/>
          <w:b/>
          <w:sz w:val="24"/>
          <w:szCs w:val="24"/>
          <w:lang w:val="fr-FR"/>
        </w:rPr>
        <w:t>1.3.2. Structuration</w:t>
      </w:r>
      <w:r w:rsidRPr="006C0C34">
        <w:rPr>
          <w:rFonts w:ascii="Times New Roman" w:hAnsi="Times New Roman"/>
          <w:b/>
          <w:sz w:val="24"/>
          <w:szCs w:val="24"/>
          <w:lang w:val="fr-FR"/>
        </w:rPr>
        <w:t xml:space="preserve"> de l’étude de l’EIES</w:t>
      </w:r>
      <w:bookmarkEnd w:id="33"/>
      <w:r w:rsidRPr="006C0C34">
        <w:rPr>
          <w:rFonts w:ascii="Times New Roman" w:hAnsi="Times New Roman"/>
          <w:b/>
          <w:sz w:val="24"/>
          <w:szCs w:val="24"/>
          <w:lang w:val="fr-FR"/>
        </w:rPr>
        <w:t xml:space="preserve"> </w:t>
      </w:r>
    </w:p>
    <w:p w:rsidR="00B6708D" w:rsidRPr="00A419E7" w:rsidRDefault="00434BCC" w:rsidP="00B569DC">
      <w:pPr>
        <w:autoSpaceDE w:val="0"/>
        <w:autoSpaceDN w:val="0"/>
        <w:adjustRightInd w:val="0"/>
        <w:spacing w:after="0" w:line="240" w:lineRule="auto"/>
        <w:ind w:left="-284" w:right="-851"/>
        <w:jc w:val="both"/>
        <w:rPr>
          <w:rFonts w:ascii="Times New Roman" w:hAnsi="Times New Roman" w:cs="Times New Roman"/>
          <w:sz w:val="24"/>
          <w:szCs w:val="24"/>
        </w:rPr>
      </w:pPr>
      <w:r w:rsidRPr="006C0C34">
        <w:rPr>
          <w:rFonts w:ascii="Times New Roman" w:hAnsi="Times New Roman" w:cs="Times New Roman"/>
          <w:sz w:val="24"/>
          <w:szCs w:val="24"/>
        </w:rPr>
        <w:t>Conformément aux Termes de Références et à la réglementation nationale, le rapport d’étude d’impact environnemental et social comprend les parties suivantes :</w:t>
      </w:r>
    </w:p>
    <w:p w:rsidR="00B6708D" w:rsidRPr="00DC0975" w:rsidRDefault="00B6708D" w:rsidP="00FA3FAE">
      <w:pPr>
        <w:pStyle w:val="PargrafodaLista"/>
        <w:widowControl w:val="0"/>
        <w:numPr>
          <w:ilvl w:val="0"/>
          <w:numId w:val="14"/>
        </w:numPr>
        <w:tabs>
          <w:tab w:val="left" w:pos="426"/>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Times New Roman" w:hAnsi="Times New Roman"/>
          <w:lang w:eastAsia="fr-FR"/>
        </w:rPr>
      </w:pPr>
      <w:r w:rsidRPr="00DC0975">
        <w:rPr>
          <w:rFonts w:ascii="Times New Roman" w:hAnsi="Times New Roman"/>
          <w:lang w:eastAsia="fr-FR"/>
        </w:rPr>
        <w:t>Page de garde</w:t>
      </w:r>
    </w:p>
    <w:p w:rsidR="008B19E5" w:rsidRPr="00DC0975" w:rsidRDefault="008B19E5" w:rsidP="00FA3FAE">
      <w:pPr>
        <w:pStyle w:val="PargrafodaLista"/>
        <w:widowControl w:val="0"/>
        <w:numPr>
          <w:ilvl w:val="0"/>
          <w:numId w:val="14"/>
        </w:numPr>
        <w:tabs>
          <w:tab w:val="left" w:pos="426"/>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Times New Roman" w:hAnsi="Times New Roman"/>
          <w:lang w:eastAsia="fr-FR"/>
        </w:rPr>
      </w:pPr>
      <w:r w:rsidRPr="00DC0975">
        <w:rPr>
          <w:rFonts w:ascii="Times New Roman" w:hAnsi="Times New Roman"/>
          <w:lang w:eastAsia="fr-FR"/>
        </w:rPr>
        <w:t>Table des matières</w:t>
      </w:r>
    </w:p>
    <w:p w:rsidR="008B19E5" w:rsidRPr="00DC0975" w:rsidRDefault="008B19E5" w:rsidP="00FA3FAE">
      <w:pPr>
        <w:pStyle w:val="Corpodetexto"/>
        <w:numPr>
          <w:ilvl w:val="0"/>
          <w:numId w:val="14"/>
        </w:numPr>
        <w:tabs>
          <w:tab w:val="clear" w:pos="-720"/>
        </w:tabs>
        <w:suppressAutoHyphens w:val="0"/>
        <w:overflowPunct/>
        <w:autoSpaceDE/>
        <w:autoSpaceDN/>
        <w:adjustRightInd/>
        <w:spacing w:line="240" w:lineRule="auto"/>
        <w:ind w:right="284"/>
        <w:rPr>
          <w:rFonts w:ascii="Times New Roman" w:eastAsiaTheme="minorHAnsi" w:hAnsi="Times New Roman"/>
          <w:spacing w:val="0"/>
          <w:sz w:val="20"/>
          <w:lang w:val="fr-FR" w:eastAsia="en-US"/>
        </w:rPr>
      </w:pPr>
      <w:r w:rsidRPr="00DC0975">
        <w:rPr>
          <w:rFonts w:ascii="Times New Roman" w:eastAsiaTheme="minorHAnsi" w:hAnsi="Times New Roman"/>
          <w:spacing w:val="0"/>
          <w:sz w:val="20"/>
          <w:lang w:val="fr-FR" w:eastAsia="en-US"/>
        </w:rPr>
        <w:t xml:space="preserve">Résumé de </w:t>
      </w:r>
      <w:r w:rsidR="006F4040" w:rsidRPr="00DC0975">
        <w:rPr>
          <w:rFonts w:ascii="Times New Roman" w:eastAsiaTheme="minorHAnsi" w:hAnsi="Times New Roman"/>
          <w:spacing w:val="0"/>
          <w:sz w:val="20"/>
          <w:lang w:val="fr-FR" w:eastAsia="en-US"/>
        </w:rPr>
        <w:t>l’étude ;</w:t>
      </w:r>
    </w:p>
    <w:p w:rsidR="008B19E5" w:rsidRPr="00DC0975" w:rsidRDefault="008B19E5" w:rsidP="00FA3FAE">
      <w:pPr>
        <w:pStyle w:val="Corpodetexto"/>
        <w:numPr>
          <w:ilvl w:val="0"/>
          <w:numId w:val="14"/>
        </w:numPr>
        <w:tabs>
          <w:tab w:val="clear" w:pos="-720"/>
        </w:tabs>
        <w:suppressAutoHyphens w:val="0"/>
        <w:overflowPunct/>
        <w:autoSpaceDE/>
        <w:autoSpaceDN/>
        <w:adjustRightInd/>
        <w:spacing w:line="240" w:lineRule="auto"/>
        <w:ind w:right="284"/>
        <w:rPr>
          <w:rFonts w:ascii="Times New Roman" w:eastAsiaTheme="minorHAnsi" w:hAnsi="Times New Roman"/>
          <w:spacing w:val="0"/>
          <w:sz w:val="20"/>
          <w:lang w:val="fr-FR" w:eastAsia="en-US"/>
        </w:rPr>
      </w:pPr>
      <w:r w:rsidRPr="00DC0975">
        <w:rPr>
          <w:rFonts w:ascii="Times New Roman" w:eastAsiaTheme="minorHAnsi" w:hAnsi="Times New Roman"/>
          <w:spacing w:val="0"/>
          <w:sz w:val="20"/>
          <w:lang w:val="fr-FR" w:eastAsia="en-US"/>
        </w:rPr>
        <w:t>Introduction et justification de l’étude ;</w:t>
      </w:r>
    </w:p>
    <w:p w:rsidR="008B19E5" w:rsidRPr="00DC0975" w:rsidRDefault="008B19E5" w:rsidP="00FA3FAE">
      <w:pPr>
        <w:pStyle w:val="Corpodetexto"/>
        <w:numPr>
          <w:ilvl w:val="0"/>
          <w:numId w:val="14"/>
        </w:numPr>
        <w:tabs>
          <w:tab w:val="clear" w:pos="-720"/>
        </w:tabs>
        <w:suppressAutoHyphens w:val="0"/>
        <w:overflowPunct/>
        <w:autoSpaceDE/>
        <w:autoSpaceDN/>
        <w:adjustRightInd/>
        <w:spacing w:line="240" w:lineRule="auto"/>
        <w:ind w:right="284"/>
        <w:rPr>
          <w:rFonts w:ascii="Times New Roman" w:eastAsiaTheme="minorHAnsi" w:hAnsi="Times New Roman"/>
          <w:spacing w:val="0"/>
          <w:sz w:val="20"/>
          <w:lang w:val="fr-FR" w:eastAsia="en-US"/>
        </w:rPr>
      </w:pPr>
      <w:r w:rsidRPr="00DC0975">
        <w:rPr>
          <w:rFonts w:ascii="Times New Roman" w:eastAsiaTheme="minorHAnsi" w:hAnsi="Times New Roman"/>
          <w:spacing w:val="0"/>
          <w:sz w:val="20"/>
          <w:lang w:val="fr-FR" w:eastAsia="en-US"/>
        </w:rPr>
        <w:t>Cadre légal et réglementaire y compris les politiques de sauvegardes de la Banque Mondial</w:t>
      </w:r>
      <w:r w:rsidR="009B35B8" w:rsidRPr="00DC0975">
        <w:rPr>
          <w:rFonts w:ascii="Times New Roman" w:eastAsiaTheme="minorHAnsi" w:hAnsi="Times New Roman"/>
          <w:spacing w:val="0"/>
          <w:sz w:val="20"/>
          <w:lang w:val="fr-FR" w:eastAsia="en-US"/>
        </w:rPr>
        <w:t>e</w:t>
      </w:r>
      <w:r w:rsidRPr="00DC0975">
        <w:rPr>
          <w:rFonts w:ascii="Times New Roman" w:eastAsiaTheme="minorHAnsi" w:hAnsi="Times New Roman"/>
          <w:spacing w:val="0"/>
          <w:sz w:val="20"/>
          <w:lang w:val="fr-FR" w:eastAsia="en-US"/>
        </w:rPr>
        <w:t xml:space="preserve"> ;</w:t>
      </w:r>
    </w:p>
    <w:p w:rsidR="008B19E5" w:rsidRPr="00DC0975" w:rsidRDefault="008B19E5" w:rsidP="00FA3FAE">
      <w:pPr>
        <w:pStyle w:val="Corpodetexto"/>
        <w:numPr>
          <w:ilvl w:val="0"/>
          <w:numId w:val="14"/>
        </w:numPr>
        <w:tabs>
          <w:tab w:val="clear" w:pos="-720"/>
        </w:tabs>
        <w:suppressAutoHyphens w:val="0"/>
        <w:overflowPunct/>
        <w:autoSpaceDE/>
        <w:autoSpaceDN/>
        <w:adjustRightInd/>
        <w:spacing w:line="240" w:lineRule="auto"/>
        <w:ind w:right="284"/>
        <w:rPr>
          <w:rFonts w:ascii="Times New Roman" w:eastAsiaTheme="minorHAnsi" w:hAnsi="Times New Roman"/>
          <w:spacing w:val="0"/>
          <w:sz w:val="20"/>
          <w:lang w:val="fr-FR" w:eastAsia="en-US"/>
        </w:rPr>
      </w:pPr>
      <w:r w:rsidRPr="00DC0975">
        <w:rPr>
          <w:rFonts w:ascii="Times New Roman" w:eastAsiaTheme="minorHAnsi" w:hAnsi="Times New Roman"/>
          <w:spacing w:val="0"/>
          <w:sz w:val="20"/>
          <w:lang w:val="fr-FR" w:eastAsia="en-US"/>
        </w:rPr>
        <w:t>Description du projet ;</w:t>
      </w:r>
    </w:p>
    <w:p w:rsidR="008B19E5" w:rsidRPr="00DC0975" w:rsidRDefault="008B19E5" w:rsidP="00FA3FAE">
      <w:pPr>
        <w:pStyle w:val="Corpodetexto"/>
        <w:numPr>
          <w:ilvl w:val="0"/>
          <w:numId w:val="14"/>
        </w:numPr>
        <w:tabs>
          <w:tab w:val="clear" w:pos="-720"/>
        </w:tabs>
        <w:suppressAutoHyphens w:val="0"/>
        <w:overflowPunct/>
        <w:autoSpaceDE/>
        <w:autoSpaceDN/>
        <w:adjustRightInd/>
        <w:spacing w:line="240" w:lineRule="auto"/>
        <w:ind w:right="284"/>
        <w:rPr>
          <w:rFonts w:ascii="Times New Roman" w:eastAsiaTheme="minorHAnsi" w:hAnsi="Times New Roman"/>
          <w:spacing w:val="0"/>
          <w:sz w:val="20"/>
          <w:lang w:val="fr-FR" w:eastAsia="en-US"/>
        </w:rPr>
      </w:pPr>
      <w:r w:rsidRPr="00DC0975">
        <w:rPr>
          <w:rFonts w:ascii="Times New Roman" w:eastAsiaTheme="minorHAnsi" w:hAnsi="Times New Roman"/>
          <w:spacing w:val="0"/>
          <w:sz w:val="20"/>
          <w:lang w:val="fr-FR" w:eastAsia="en-US"/>
        </w:rPr>
        <w:t>Présentation et analyse des alternatives ;</w:t>
      </w:r>
    </w:p>
    <w:p w:rsidR="008B19E5" w:rsidRPr="00DC0975" w:rsidRDefault="008B19E5" w:rsidP="00FA3FAE">
      <w:pPr>
        <w:pStyle w:val="Corpodetexto"/>
        <w:numPr>
          <w:ilvl w:val="1"/>
          <w:numId w:val="14"/>
        </w:numPr>
        <w:tabs>
          <w:tab w:val="clear" w:pos="-720"/>
        </w:tabs>
        <w:suppressAutoHyphens w:val="0"/>
        <w:overflowPunct/>
        <w:autoSpaceDE/>
        <w:autoSpaceDN/>
        <w:adjustRightInd/>
        <w:spacing w:line="240" w:lineRule="auto"/>
        <w:ind w:right="284"/>
        <w:rPr>
          <w:rFonts w:ascii="Times New Roman" w:eastAsiaTheme="minorHAnsi" w:hAnsi="Times New Roman"/>
          <w:spacing w:val="0"/>
          <w:sz w:val="20"/>
          <w:lang w:val="fr-FR" w:eastAsia="en-US"/>
        </w:rPr>
      </w:pPr>
      <w:r w:rsidRPr="00DC0975">
        <w:rPr>
          <w:rFonts w:ascii="Times New Roman" w:eastAsiaTheme="minorHAnsi" w:hAnsi="Times New Roman"/>
          <w:spacing w:val="0"/>
          <w:sz w:val="20"/>
          <w:lang w:val="fr-FR" w:eastAsia="en-US"/>
        </w:rPr>
        <w:t>Raisons du choix du projet parmi les autres solutions possibles ;</w:t>
      </w:r>
    </w:p>
    <w:p w:rsidR="008B19E5" w:rsidRPr="00DC0975" w:rsidRDefault="008B19E5" w:rsidP="00FA3FAE">
      <w:pPr>
        <w:pStyle w:val="Corpodetexto"/>
        <w:numPr>
          <w:ilvl w:val="0"/>
          <w:numId w:val="14"/>
        </w:numPr>
        <w:tabs>
          <w:tab w:val="clear" w:pos="-720"/>
        </w:tabs>
        <w:suppressAutoHyphens w:val="0"/>
        <w:overflowPunct/>
        <w:autoSpaceDE/>
        <w:autoSpaceDN/>
        <w:adjustRightInd/>
        <w:spacing w:line="240" w:lineRule="auto"/>
        <w:ind w:right="284"/>
        <w:rPr>
          <w:rFonts w:ascii="Times New Roman" w:eastAsiaTheme="minorHAnsi" w:hAnsi="Times New Roman"/>
          <w:spacing w:val="0"/>
          <w:sz w:val="20"/>
          <w:lang w:val="fr-FR" w:eastAsia="en-US"/>
        </w:rPr>
      </w:pPr>
      <w:r w:rsidRPr="00DC0975">
        <w:rPr>
          <w:rFonts w:ascii="Times New Roman" w:eastAsiaTheme="minorHAnsi" w:hAnsi="Times New Roman"/>
          <w:spacing w:val="0"/>
          <w:sz w:val="20"/>
          <w:lang w:val="fr-FR" w:eastAsia="en-US"/>
        </w:rPr>
        <w:t>Description et analyse de tous les éléments socioculturels et ressources naturelles susceptibles d’être affectés par le projet ;</w:t>
      </w:r>
    </w:p>
    <w:p w:rsidR="008B19E5" w:rsidRPr="00DC0975" w:rsidRDefault="008B19E5" w:rsidP="00FA3FAE">
      <w:pPr>
        <w:pStyle w:val="Corpodetexto"/>
        <w:numPr>
          <w:ilvl w:val="0"/>
          <w:numId w:val="14"/>
        </w:numPr>
        <w:tabs>
          <w:tab w:val="clear" w:pos="-720"/>
        </w:tabs>
        <w:suppressAutoHyphens w:val="0"/>
        <w:overflowPunct/>
        <w:autoSpaceDE/>
        <w:autoSpaceDN/>
        <w:adjustRightInd/>
        <w:spacing w:line="240" w:lineRule="auto"/>
        <w:ind w:right="284"/>
        <w:rPr>
          <w:rFonts w:ascii="Times New Roman" w:eastAsiaTheme="minorHAnsi" w:hAnsi="Times New Roman"/>
          <w:spacing w:val="0"/>
          <w:sz w:val="20"/>
          <w:lang w:val="fr-FR" w:eastAsia="en-US"/>
        </w:rPr>
      </w:pPr>
      <w:r w:rsidRPr="00DC0975">
        <w:rPr>
          <w:rFonts w:ascii="Times New Roman" w:eastAsiaTheme="minorHAnsi" w:hAnsi="Times New Roman"/>
          <w:spacing w:val="0"/>
          <w:sz w:val="20"/>
          <w:lang w:val="fr-FR" w:eastAsia="en-US"/>
        </w:rPr>
        <w:t>Raisons du choix du site ;</w:t>
      </w:r>
    </w:p>
    <w:p w:rsidR="008B19E5" w:rsidRPr="00DC0975" w:rsidRDefault="008B19E5" w:rsidP="00FA3FAE">
      <w:pPr>
        <w:pStyle w:val="Corpodetexto"/>
        <w:numPr>
          <w:ilvl w:val="0"/>
          <w:numId w:val="14"/>
        </w:numPr>
        <w:tabs>
          <w:tab w:val="clear" w:pos="-720"/>
        </w:tabs>
        <w:suppressAutoHyphens w:val="0"/>
        <w:overflowPunct/>
        <w:autoSpaceDE/>
        <w:autoSpaceDN/>
        <w:adjustRightInd/>
        <w:spacing w:line="240" w:lineRule="auto"/>
        <w:ind w:right="284"/>
        <w:rPr>
          <w:rFonts w:ascii="Times New Roman" w:eastAsiaTheme="minorHAnsi" w:hAnsi="Times New Roman"/>
          <w:spacing w:val="0"/>
          <w:sz w:val="20"/>
          <w:lang w:val="fr-FR" w:eastAsia="en-US"/>
        </w:rPr>
      </w:pPr>
      <w:r w:rsidRPr="00DC0975">
        <w:rPr>
          <w:rFonts w:ascii="Times New Roman" w:eastAsiaTheme="minorHAnsi" w:hAnsi="Times New Roman"/>
          <w:spacing w:val="0"/>
          <w:sz w:val="20"/>
          <w:lang w:val="fr-FR" w:eastAsia="en-US"/>
        </w:rPr>
        <w:t>Identification et évaluation des effets possibles de la mise en œuvre du projet sur l’environnement naturel et humain ;</w:t>
      </w:r>
    </w:p>
    <w:p w:rsidR="008B19E5" w:rsidRPr="00DC0975" w:rsidRDefault="008B19E5" w:rsidP="00FA3FAE">
      <w:pPr>
        <w:pStyle w:val="Corpodetexto"/>
        <w:numPr>
          <w:ilvl w:val="0"/>
          <w:numId w:val="14"/>
        </w:numPr>
        <w:tabs>
          <w:tab w:val="clear" w:pos="-720"/>
        </w:tabs>
        <w:suppressAutoHyphens w:val="0"/>
        <w:overflowPunct/>
        <w:autoSpaceDE/>
        <w:autoSpaceDN/>
        <w:adjustRightInd/>
        <w:spacing w:line="240" w:lineRule="auto"/>
        <w:ind w:right="284"/>
        <w:rPr>
          <w:rFonts w:ascii="Times New Roman" w:eastAsiaTheme="minorHAnsi" w:hAnsi="Times New Roman"/>
          <w:spacing w:val="0"/>
          <w:sz w:val="20"/>
          <w:lang w:val="fr-FR" w:eastAsia="en-US"/>
        </w:rPr>
      </w:pPr>
      <w:r w:rsidRPr="00DC0975">
        <w:rPr>
          <w:rFonts w:ascii="Times New Roman" w:eastAsiaTheme="minorHAnsi" w:hAnsi="Times New Roman"/>
          <w:spacing w:val="0"/>
          <w:sz w:val="20"/>
          <w:lang w:val="fr-FR" w:eastAsia="en-US"/>
        </w:rPr>
        <w:t>Identification des mesures prévues pour éviter, réduire ou éliminer les effets dommageables du projet sur l’environnement ;</w:t>
      </w:r>
    </w:p>
    <w:p w:rsidR="008B19E5" w:rsidRPr="00DC0975" w:rsidRDefault="008B19E5" w:rsidP="00FA3FAE">
      <w:pPr>
        <w:pStyle w:val="Corpodetexto"/>
        <w:numPr>
          <w:ilvl w:val="0"/>
          <w:numId w:val="14"/>
        </w:numPr>
        <w:tabs>
          <w:tab w:val="clear" w:pos="-720"/>
        </w:tabs>
        <w:suppressAutoHyphens w:val="0"/>
        <w:overflowPunct/>
        <w:autoSpaceDE/>
        <w:autoSpaceDN/>
        <w:adjustRightInd/>
        <w:spacing w:line="240" w:lineRule="auto"/>
        <w:ind w:right="284"/>
        <w:rPr>
          <w:rFonts w:ascii="Times New Roman" w:eastAsiaTheme="minorHAnsi" w:hAnsi="Times New Roman"/>
          <w:spacing w:val="0"/>
          <w:sz w:val="20"/>
          <w:lang w:val="fr-FR" w:eastAsia="en-US"/>
        </w:rPr>
      </w:pPr>
      <w:r w:rsidRPr="00DC0975">
        <w:rPr>
          <w:rFonts w:ascii="Times New Roman" w:eastAsiaTheme="minorHAnsi" w:hAnsi="Times New Roman"/>
          <w:spacing w:val="0"/>
          <w:sz w:val="20"/>
          <w:lang w:val="fr-FR" w:eastAsia="en-US"/>
        </w:rPr>
        <w:t>Plan de gestion environnementale et sociale (PGES) comportant :</w:t>
      </w:r>
    </w:p>
    <w:p w:rsidR="008B19E5" w:rsidRPr="00DC0975" w:rsidRDefault="000E55F8" w:rsidP="00280098">
      <w:pPr>
        <w:pStyle w:val="Corpodetexto"/>
        <w:numPr>
          <w:ilvl w:val="0"/>
          <w:numId w:val="7"/>
        </w:numPr>
        <w:tabs>
          <w:tab w:val="clear" w:pos="-720"/>
        </w:tabs>
        <w:suppressAutoHyphens w:val="0"/>
        <w:overflowPunct/>
        <w:autoSpaceDE/>
        <w:autoSpaceDN/>
        <w:adjustRightInd/>
        <w:spacing w:line="240" w:lineRule="auto"/>
        <w:ind w:left="993" w:right="284" w:hanging="284"/>
        <w:rPr>
          <w:rFonts w:ascii="Times New Roman" w:eastAsiaTheme="minorHAnsi" w:hAnsi="Times New Roman"/>
          <w:spacing w:val="0"/>
          <w:sz w:val="20"/>
          <w:lang w:val="fr-FR" w:eastAsia="en-US"/>
        </w:rPr>
      </w:pPr>
      <w:r w:rsidRPr="00DC0975">
        <w:rPr>
          <w:rFonts w:ascii="Times New Roman" w:eastAsiaTheme="minorHAnsi" w:hAnsi="Times New Roman"/>
          <w:spacing w:val="0"/>
          <w:sz w:val="20"/>
          <w:lang w:val="fr-FR" w:eastAsia="en-US"/>
        </w:rPr>
        <w:t>Les</w:t>
      </w:r>
      <w:r w:rsidR="008B19E5" w:rsidRPr="00DC0975">
        <w:rPr>
          <w:rFonts w:ascii="Times New Roman" w:eastAsiaTheme="minorHAnsi" w:hAnsi="Times New Roman"/>
          <w:spacing w:val="0"/>
          <w:sz w:val="20"/>
          <w:lang w:val="fr-FR" w:eastAsia="en-US"/>
        </w:rPr>
        <w:t xml:space="preserve"> mécanismes de surveillance du projet et de suivi environnemental,</w:t>
      </w:r>
    </w:p>
    <w:p w:rsidR="008B19E5" w:rsidRPr="00DC0975" w:rsidRDefault="000E55F8" w:rsidP="00280098">
      <w:pPr>
        <w:pStyle w:val="Corpodetexto"/>
        <w:numPr>
          <w:ilvl w:val="0"/>
          <w:numId w:val="7"/>
        </w:numPr>
        <w:tabs>
          <w:tab w:val="clear" w:pos="-720"/>
        </w:tabs>
        <w:suppressAutoHyphens w:val="0"/>
        <w:overflowPunct/>
        <w:autoSpaceDE/>
        <w:autoSpaceDN/>
        <w:adjustRightInd/>
        <w:spacing w:line="240" w:lineRule="auto"/>
        <w:ind w:left="993" w:right="284" w:hanging="284"/>
        <w:rPr>
          <w:rFonts w:ascii="Times New Roman" w:eastAsiaTheme="minorHAnsi" w:hAnsi="Times New Roman"/>
          <w:spacing w:val="0"/>
          <w:sz w:val="20"/>
          <w:lang w:val="fr-FR" w:eastAsia="en-US"/>
        </w:rPr>
      </w:pPr>
      <w:r w:rsidRPr="00DC0975">
        <w:rPr>
          <w:rFonts w:ascii="Times New Roman" w:eastAsiaTheme="minorHAnsi" w:hAnsi="Times New Roman"/>
          <w:spacing w:val="0"/>
          <w:sz w:val="20"/>
          <w:lang w:val="fr-FR" w:eastAsia="en-US"/>
        </w:rPr>
        <w:t>Les</w:t>
      </w:r>
      <w:r w:rsidR="008B19E5" w:rsidRPr="00DC0975">
        <w:rPr>
          <w:rFonts w:ascii="Times New Roman" w:eastAsiaTheme="minorHAnsi" w:hAnsi="Times New Roman"/>
          <w:spacing w:val="0"/>
          <w:sz w:val="20"/>
          <w:lang w:val="fr-FR" w:eastAsia="en-US"/>
        </w:rPr>
        <w:t xml:space="preserve"> mesures d’atténuation environnementale et estimation des coûts de ces mesures </w:t>
      </w:r>
    </w:p>
    <w:p w:rsidR="008B19E5" w:rsidRPr="00DC0975" w:rsidRDefault="000E55F8" w:rsidP="00280098">
      <w:pPr>
        <w:pStyle w:val="Corpodetexto"/>
        <w:numPr>
          <w:ilvl w:val="0"/>
          <w:numId w:val="7"/>
        </w:numPr>
        <w:tabs>
          <w:tab w:val="clear" w:pos="-720"/>
        </w:tabs>
        <w:suppressAutoHyphens w:val="0"/>
        <w:overflowPunct/>
        <w:autoSpaceDE/>
        <w:autoSpaceDN/>
        <w:adjustRightInd/>
        <w:spacing w:line="240" w:lineRule="auto"/>
        <w:ind w:left="993" w:right="284" w:hanging="284"/>
        <w:rPr>
          <w:rFonts w:ascii="Times New Roman" w:eastAsiaTheme="minorHAnsi" w:hAnsi="Times New Roman"/>
          <w:spacing w:val="0"/>
          <w:sz w:val="20"/>
          <w:lang w:val="fr-FR" w:eastAsia="en-US"/>
        </w:rPr>
      </w:pPr>
      <w:r w:rsidRPr="00DC0975">
        <w:rPr>
          <w:rFonts w:ascii="Times New Roman" w:eastAsiaTheme="minorHAnsi" w:hAnsi="Times New Roman"/>
          <w:spacing w:val="0"/>
          <w:sz w:val="20"/>
          <w:lang w:val="fr-FR" w:eastAsia="en-US"/>
        </w:rPr>
        <w:t>Le</w:t>
      </w:r>
      <w:r w:rsidR="008B19E5" w:rsidRPr="00DC0975">
        <w:rPr>
          <w:rFonts w:ascii="Times New Roman" w:eastAsiaTheme="minorHAnsi" w:hAnsi="Times New Roman"/>
          <w:spacing w:val="0"/>
          <w:sz w:val="20"/>
          <w:lang w:val="fr-FR" w:eastAsia="en-US"/>
        </w:rPr>
        <w:t xml:space="preserve"> renforcement et formation institutionnelle pour superviser le </w:t>
      </w:r>
      <w:r w:rsidRPr="00DC0975">
        <w:rPr>
          <w:rFonts w:ascii="Times New Roman" w:eastAsiaTheme="minorHAnsi" w:hAnsi="Times New Roman"/>
          <w:spacing w:val="0"/>
          <w:sz w:val="20"/>
          <w:lang w:val="fr-FR" w:eastAsia="en-US"/>
        </w:rPr>
        <w:t>PGES ;</w:t>
      </w:r>
    </w:p>
    <w:p w:rsidR="000E55F8" w:rsidRPr="00DC0975" w:rsidRDefault="000E55F8" w:rsidP="00280098">
      <w:pPr>
        <w:pStyle w:val="Corpodetexto"/>
        <w:numPr>
          <w:ilvl w:val="0"/>
          <w:numId w:val="7"/>
        </w:numPr>
        <w:tabs>
          <w:tab w:val="clear" w:pos="-720"/>
        </w:tabs>
        <w:suppressAutoHyphens w:val="0"/>
        <w:overflowPunct/>
        <w:autoSpaceDE/>
        <w:autoSpaceDN/>
        <w:adjustRightInd/>
        <w:spacing w:line="240" w:lineRule="auto"/>
        <w:ind w:left="993" w:right="284" w:hanging="284"/>
        <w:rPr>
          <w:rFonts w:ascii="Times New Roman" w:eastAsiaTheme="minorHAnsi" w:hAnsi="Times New Roman"/>
          <w:spacing w:val="0"/>
          <w:sz w:val="20"/>
          <w:lang w:val="fr-FR" w:eastAsia="en-US"/>
        </w:rPr>
      </w:pPr>
      <w:r w:rsidRPr="00DC0975">
        <w:rPr>
          <w:rFonts w:ascii="Times New Roman" w:eastAsiaTheme="minorHAnsi" w:hAnsi="Times New Roman"/>
          <w:spacing w:val="0"/>
          <w:sz w:val="20"/>
          <w:lang w:val="fr-FR" w:eastAsia="en-US"/>
        </w:rPr>
        <w:t xml:space="preserve">Mécanisme de </w:t>
      </w:r>
    </w:p>
    <w:p w:rsidR="000E55F8" w:rsidRPr="00DC0975" w:rsidRDefault="000E55F8" w:rsidP="00FA3FAE">
      <w:pPr>
        <w:pStyle w:val="Corpodetexto"/>
        <w:numPr>
          <w:ilvl w:val="0"/>
          <w:numId w:val="15"/>
        </w:numPr>
        <w:tabs>
          <w:tab w:val="clear" w:pos="-720"/>
        </w:tabs>
        <w:suppressAutoHyphens w:val="0"/>
        <w:overflowPunct/>
        <w:autoSpaceDE/>
        <w:autoSpaceDN/>
        <w:adjustRightInd/>
        <w:spacing w:line="240" w:lineRule="auto"/>
        <w:ind w:right="284"/>
        <w:rPr>
          <w:rFonts w:ascii="Times New Roman" w:eastAsiaTheme="minorHAnsi" w:hAnsi="Times New Roman"/>
          <w:spacing w:val="0"/>
          <w:sz w:val="20"/>
          <w:lang w:val="fr-FR" w:eastAsia="en-US"/>
        </w:rPr>
      </w:pPr>
      <w:r w:rsidRPr="00DC0975">
        <w:rPr>
          <w:rFonts w:ascii="Times New Roman" w:eastAsiaTheme="minorHAnsi" w:hAnsi="Times New Roman"/>
          <w:spacing w:val="0"/>
          <w:sz w:val="20"/>
          <w:lang w:val="fr-FR" w:eastAsia="en-US"/>
        </w:rPr>
        <w:t>Plan de gestion des déchets</w:t>
      </w:r>
    </w:p>
    <w:p w:rsidR="000E55F8" w:rsidRPr="00DC0975" w:rsidRDefault="000E55F8" w:rsidP="00FA3FAE">
      <w:pPr>
        <w:pStyle w:val="Corpodetexto"/>
        <w:numPr>
          <w:ilvl w:val="0"/>
          <w:numId w:val="15"/>
        </w:numPr>
        <w:tabs>
          <w:tab w:val="clear" w:pos="-720"/>
        </w:tabs>
        <w:suppressAutoHyphens w:val="0"/>
        <w:overflowPunct/>
        <w:autoSpaceDE/>
        <w:autoSpaceDN/>
        <w:adjustRightInd/>
        <w:spacing w:line="240" w:lineRule="auto"/>
        <w:ind w:right="284"/>
        <w:rPr>
          <w:rFonts w:ascii="Times New Roman" w:eastAsiaTheme="minorHAnsi" w:hAnsi="Times New Roman"/>
          <w:spacing w:val="0"/>
          <w:sz w:val="20"/>
          <w:lang w:val="fr-FR" w:eastAsia="en-US"/>
        </w:rPr>
      </w:pPr>
      <w:r w:rsidRPr="00DC0975">
        <w:rPr>
          <w:rFonts w:ascii="Times New Roman" w:eastAsiaTheme="minorHAnsi" w:hAnsi="Times New Roman"/>
          <w:spacing w:val="0"/>
          <w:sz w:val="20"/>
          <w:lang w:val="fr-FR" w:eastAsia="en-US"/>
        </w:rPr>
        <w:t>Mécanisme de gestion des plaintes</w:t>
      </w:r>
    </w:p>
    <w:p w:rsidR="000E55F8" w:rsidRPr="00DC0975" w:rsidRDefault="00F1521E" w:rsidP="00FA3FAE">
      <w:pPr>
        <w:pStyle w:val="Corpodetexto"/>
        <w:numPr>
          <w:ilvl w:val="0"/>
          <w:numId w:val="15"/>
        </w:numPr>
        <w:tabs>
          <w:tab w:val="clear" w:pos="-720"/>
        </w:tabs>
        <w:suppressAutoHyphens w:val="0"/>
        <w:overflowPunct/>
        <w:autoSpaceDE/>
        <w:autoSpaceDN/>
        <w:adjustRightInd/>
        <w:spacing w:line="240" w:lineRule="auto"/>
        <w:ind w:right="284"/>
        <w:rPr>
          <w:rFonts w:ascii="Times New Roman" w:eastAsiaTheme="minorHAnsi" w:hAnsi="Times New Roman"/>
          <w:spacing w:val="0"/>
          <w:sz w:val="20"/>
          <w:lang w:val="fr-FR" w:eastAsia="en-US"/>
        </w:rPr>
      </w:pPr>
      <w:r w:rsidRPr="00DC0975">
        <w:rPr>
          <w:rFonts w:ascii="Times New Roman" w:eastAsiaTheme="minorHAnsi" w:hAnsi="Times New Roman"/>
          <w:spacing w:val="0"/>
          <w:sz w:val="20"/>
          <w:lang w:val="fr-FR" w:eastAsia="en-US"/>
        </w:rPr>
        <w:t>Gestion des Violences B</w:t>
      </w:r>
      <w:r w:rsidR="009B35B8" w:rsidRPr="00DC0975">
        <w:rPr>
          <w:rFonts w:ascii="Times New Roman" w:eastAsiaTheme="minorHAnsi" w:hAnsi="Times New Roman"/>
          <w:spacing w:val="0"/>
          <w:sz w:val="20"/>
          <w:lang w:val="fr-FR" w:eastAsia="en-US"/>
        </w:rPr>
        <w:t>asée</w:t>
      </w:r>
      <w:r w:rsidR="000E55F8" w:rsidRPr="00DC0975">
        <w:rPr>
          <w:rFonts w:ascii="Times New Roman" w:eastAsiaTheme="minorHAnsi" w:hAnsi="Times New Roman"/>
          <w:spacing w:val="0"/>
          <w:sz w:val="20"/>
          <w:lang w:val="fr-FR" w:eastAsia="en-US"/>
        </w:rPr>
        <w:t xml:space="preserve"> </w:t>
      </w:r>
      <w:r w:rsidRPr="00DC0975">
        <w:rPr>
          <w:rFonts w:ascii="Times New Roman" w:eastAsiaTheme="minorHAnsi" w:hAnsi="Times New Roman"/>
          <w:spacing w:val="0"/>
          <w:sz w:val="20"/>
          <w:lang w:val="fr-FR" w:eastAsia="en-US"/>
        </w:rPr>
        <w:t>sur le G</w:t>
      </w:r>
      <w:r w:rsidR="000E55F8" w:rsidRPr="00DC0975">
        <w:rPr>
          <w:rFonts w:ascii="Times New Roman" w:eastAsiaTheme="minorHAnsi" w:hAnsi="Times New Roman"/>
          <w:spacing w:val="0"/>
          <w:sz w:val="20"/>
          <w:lang w:val="fr-FR" w:eastAsia="en-US"/>
        </w:rPr>
        <w:t>enre</w:t>
      </w:r>
      <w:r w:rsidRPr="00DC0975">
        <w:rPr>
          <w:rFonts w:ascii="Times New Roman" w:eastAsiaTheme="minorHAnsi" w:hAnsi="Times New Roman"/>
          <w:spacing w:val="0"/>
          <w:sz w:val="20"/>
          <w:lang w:val="fr-FR" w:eastAsia="en-US"/>
        </w:rPr>
        <w:t xml:space="preserve"> </w:t>
      </w:r>
      <w:r w:rsidR="000E55F8" w:rsidRPr="00DC0975">
        <w:rPr>
          <w:rFonts w:ascii="Times New Roman" w:eastAsiaTheme="minorHAnsi" w:hAnsi="Times New Roman"/>
          <w:spacing w:val="0"/>
          <w:sz w:val="20"/>
          <w:lang w:val="fr-FR" w:eastAsia="en-US"/>
        </w:rPr>
        <w:t>(GVBG)</w:t>
      </w:r>
    </w:p>
    <w:p w:rsidR="000E55F8" w:rsidRPr="00DC0975" w:rsidRDefault="000E55F8" w:rsidP="00FA3FAE">
      <w:pPr>
        <w:pStyle w:val="Corpodetexto"/>
        <w:numPr>
          <w:ilvl w:val="0"/>
          <w:numId w:val="15"/>
        </w:numPr>
        <w:tabs>
          <w:tab w:val="clear" w:pos="-720"/>
        </w:tabs>
        <w:suppressAutoHyphens w:val="0"/>
        <w:overflowPunct/>
        <w:autoSpaceDE/>
        <w:autoSpaceDN/>
        <w:adjustRightInd/>
        <w:spacing w:line="240" w:lineRule="auto"/>
        <w:ind w:right="284"/>
        <w:rPr>
          <w:rFonts w:ascii="Times New Roman" w:eastAsiaTheme="minorHAnsi" w:hAnsi="Times New Roman"/>
          <w:spacing w:val="0"/>
          <w:sz w:val="20"/>
          <w:lang w:val="fr-FR" w:eastAsia="en-US"/>
        </w:rPr>
      </w:pPr>
      <w:r w:rsidRPr="00DC0975">
        <w:rPr>
          <w:rFonts w:ascii="Times New Roman" w:eastAsiaTheme="minorHAnsi" w:hAnsi="Times New Roman"/>
          <w:spacing w:val="0"/>
          <w:sz w:val="20"/>
          <w:lang w:val="fr-FR" w:eastAsia="en-US"/>
        </w:rPr>
        <w:lastRenderedPageBreak/>
        <w:t>F</w:t>
      </w:r>
      <w:r w:rsidR="0078314F" w:rsidRPr="00DC0975">
        <w:rPr>
          <w:rFonts w:ascii="Times New Roman" w:eastAsiaTheme="minorHAnsi" w:hAnsi="Times New Roman"/>
          <w:spacing w:val="0"/>
          <w:sz w:val="20"/>
          <w:lang w:val="fr-FR" w:eastAsia="en-US"/>
        </w:rPr>
        <w:t>l</w:t>
      </w:r>
      <w:r w:rsidRPr="00DC0975">
        <w:rPr>
          <w:rFonts w:ascii="Times New Roman" w:eastAsiaTheme="minorHAnsi" w:hAnsi="Times New Roman"/>
          <w:spacing w:val="0"/>
          <w:sz w:val="20"/>
          <w:lang w:val="fr-FR" w:eastAsia="en-US"/>
        </w:rPr>
        <w:t>ux des travailleurs</w:t>
      </w:r>
    </w:p>
    <w:p w:rsidR="000E55F8" w:rsidRPr="00DC0975" w:rsidRDefault="000E55F8" w:rsidP="00FA3FAE">
      <w:pPr>
        <w:pStyle w:val="Corpodetexto"/>
        <w:numPr>
          <w:ilvl w:val="0"/>
          <w:numId w:val="15"/>
        </w:numPr>
        <w:tabs>
          <w:tab w:val="clear" w:pos="-720"/>
        </w:tabs>
        <w:suppressAutoHyphens w:val="0"/>
        <w:overflowPunct/>
        <w:autoSpaceDE/>
        <w:autoSpaceDN/>
        <w:adjustRightInd/>
        <w:spacing w:line="240" w:lineRule="auto"/>
        <w:ind w:right="284"/>
        <w:rPr>
          <w:rFonts w:ascii="Times New Roman" w:eastAsiaTheme="minorHAnsi" w:hAnsi="Times New Roman"/>
          <w:spacing w:val="0"/>
          <w:sz w:val="20"/>
          <w:lang w:val="fr-FR" w:eastAsia="en-US"/>
        </w:rPr>
      </w:pPr>
      <w:r w:rsidRPr="00DC0975">
        <w:rPr>
          <w:rFonts w:ascii="Times New Roman" w:eastAsiaTheme="minorHAnsi" w:hAnsi="Times New Roman"/>
          <w:spacing w:val="0"/>
          <w:sz w:val="20"/>
          <w:lang w:val="fr-FR" w:eastAsia="en-US"/>
        </w:rPr>
        <w:t>Travail des enfants</w:t>
      </w:r>
    </w:p>
    <w:p w:rsidR="000E55F8" w:rsidRPr="00DC0975" w:rsidRDefault="000E55F8" w:rsidP="00FA3FAE">
      <w:pPr>
        <w:pStyle w:val="Corpodetexto"/>
        <w:numPr>
          <w:ilvl w:val="0"/>
          <w:numId w:val="15"/>
        </w:numPr>
        <w:tabs>
          <w:tab w:val="clear" w:pos="-720"/>
        </w:tabs>
        <w:suppressAutoHyphens w:val="0"/>
        <w:overflowPunct/>
        <w:autoSpaceDE/>
        <w:autoSpaceDN/>
        <w:adjustRightInd/>
        <w:spacing w:line="240" w:lineRule="auto"/>
        <w:ind w:right="284"/>
        <w:rPr>
          <w:rFonts w:ascii="Times New Roman" w:eastAsiaTheme="minorHAnsi" w:hAnsi="Times New Roman"/>
          <w:spacing w:val="0"/>
          <w:sz w:val="20"/>
          <w:lang w:val="fr-FR" w:eastAsia="en-US"/>
        </w:rPr>
      </w:pPr>
      <w:r w:rsidRPr="00DC0975">
        <w:rPr>
          <w:rFonts w:ascii="Times New Roman" w:eastAsiaTheme="minorHAnsi" w:hAnsi="Times New Roman"/>
          <w:spacing w:val="0"/>
          <w:sz w:val="20"/>
          <w:lang w:val="fr-FR" w:eastAsia="en-US"/>
        </w:rPr>
        <w:t>Diffusion de l’information</w:t>
      </w:r>
    </w:p>
    <w:p w:rsidR="009D4B0C" w:rsidRPr="00DC0975" w:rsidRDefault="009D4B0C" w:rsidP="00FA3FAE">
      <w:pPr>
        <w:pStyle w:val="Corpodetexto"/>
        <w:numPr>
          <w:ilvl w:val="0"/>
          <w:numId w:val="15"/>
        </w:numPr>
        <w:tabs>
          <w:tab w:val="clear" w:pos="-720"/>
        </w:tabs>
        <w:suppressAutoHyphens w:val="0"/>
        <w:overflowPunct/>
        <w:autoSpaceDE/>
        <w:autoSpaceDN/>
        <w:adjustRightInd/>
        <w:spacing w:line="240" w:lineRule="auto"/>
        <w:ind w:right="284"/>
        <w:rPr>
          <w:rFonts w:ascii="Times New Roman" w:eastAsiaTheme="minorHAnsi" w:hAnsi="Times New Roman"/>
          <w:spacing w:val="0"/>
          <w:sz w:val="20"/>
          <w:lang w:val="fr-FR" w:eastAsia="en-US"/>
        </w:rPr>
      </w:pPr>
      <w:r w:rsidRPr="00DC0975">
        <w:rPr>
          <w:rFonts w:ascii="Times New Roman" w:eastAsiaTheme="minorHAnsi" w:hAnsi="Times New Roman"/>
          <w:spacing w:val="0"/>
          <w:sz w:val="20"/>
          <w:lang w:val="fr-FR" w:eastAsia="en-US"/>
        </w:rPr>
        <w:t>Conclusion</w:t>
      </w:r>
    </w:p>
    <w:p w:rsidR="008B19E5" w:rsidRPr="00DC0975" w:rsidRDefault="008B19E5" w:rsidP="00FA3FAE">
      <w:pPr>
        <w:pStyle w:val="Corpodetexto"/>
        <w:numPr>
          <w:ilvl w:val="0"/>
          <w:numId w:val="15"/>
        </w:numPr>
        <w:tabs>
          <w:tab w:val="clear" w:pos="-720"/>
        </w:tabs>
        <w:suppressAutoHyphens w:val="0"/>
        <w:overflowPunct/>
        <w:autoSpaceDE/>
        <w:autoSpaceDN/>
        <w:adjustRightInd/>
        <w:spacing w:line="240" w:lineRule="auto"/>
        <w:ind w:right="284"/>
        <w:rPr>
          <w:rFonts w:ascii="Times New Roman" w:eastAsiaTheme="minorHAnsi" w:hAnsi="Times New Roman"/>
          <w:spacing w:val="0"/>
          <w:sz w:val="20"/>
          <w:lang w:val="fr-FR" w:eastAsia="en-US"/>
        </w:rPr>
      </w:pPr>
      <w:r w:rsidRPr="00DC0975">
        <w:rPr>
          <w:rFonts w:ascii="Times New Roman" w:eastAsiaTheme="minorHAnsi" w:hAnsi="Times New Roman"/>
          <w:spacing w:val="0"/>
          <w:sz w:val="20"/>
          <w:lang w:val="fr-FR" w:eastAsia="en-US"/>
        </w:rPr>
        <w:t>Annexes :</w:t>
      </w:r>
    </w:p>
    <w:p w:rsidR="008B19E5" w:rsidRPr="00DC0975" w:rsidRDefault="008B19E5" w:rsidP="00280098">
      <w:pPr>
        <w:pStyle w:val="Corpodetexto"/>
        <w:numPr>
          <w:ilvl w:val="0"/>
          <w:numId w:val="6"/>
        </w:numPr>
        <w:tabs>
          <w:tab w:val="clear" w:pos="-720"/>
          <w:tab w:val="clear" w:pos="1440"/>
          <w:tab w:val="num" w:pos="900"/>
        </w:tabs>
        <w:suppressAutoHyphens w:val="0"/>
        <w:overflowPunct/>
        <w:autoSpaceDE/>
        <w:autoSpaceDN/>
        <w:adjustRightInd/>
        <w:spacing w:line="240" w:lineRule="auto"/>
        <w:ind w:left="900" w:right="284" w:hanging="180"/>
        <w:rPr>
          <w:rFonts w:ascii="Times New Roman" w:eastAsiaTheme="minorHAnsi" w:hAnsi="Times New Roman"/>
          <w:spacing w:val="0"/>
          <w:sz w:val="20"/>
          <w:lang w:val="fr-FR" w:eastAsia="en-US"/>
        </w:rPr>
      </w:pPr>
      <w:r w:rsidRPr="00DC0975">
        <w:rPr>
          <w:rFonts w:ascii="Times New Roman" w:eastAsiaTheme="minorHAnsi" w:hAnsi="Times New Roman"/>
          <w:spacing w:val="0"/>
          <w:sz w:val="20"/>
          <w:lang w:val="fr-FR" w:eastAsia="en-US"/>
        </w:rPr>
        <w:t>Programme de sensibilisation et d’information ainsi que les procès-verbaux des réunions tenues avec les populations, les organisations non gouvernementales, les syndicats, les leaders d’opinions et autres groupes organisés, concernés par le projet ;</w:t>
      </w:r>
    </w:p>
    <w:p w:rsidR="008B19E5" w:rsidRPr="00DC0975" w:rsidRDefault="008B19E5" w:rsidP="00280098">
      <w:pPr>
        <w:pStyle w:val="Corpodetexto"/>
        <w:numPr>
          <w:ilvl w:val="0"/>
          <w:numId w:val="6"/>
        </w:numPr>
        <w:tabs>
          <w:tab w:val="clear" w:pos="-720"/>
          <w:tab w:val="clear" w:pos="1440"/>
          <w:tab w:val="num" w:pos="900"/>
        </w:tabs>
        <w:suppressAutoHyphens w:val="0"/>
        <w:overflowPunct/>
        <w:autoSpaceDE/>
        <w:autoSpaceDN/>
        <w:adjustRightInd/>
        <w:spacing w:line="240" w:lineRule="auto"/>
        <w:ind w:left="900" w:right="284" w:hanging="180"/>
        <w:rPr>
          <w:rFonts w:ascii="Times New Roman" w:eastAsiaTheme="minorHAnsi" w:hAnsi="Times New Roman"/>
          <w:spacing w:val="0"/>
          <w:sz w:val="20"/>
          <w:lang w:val="fr-FR" w:eastAsia="en-US"/>
        </w:rPr>
      </w:pPr>
      <w:r w:rsidRPr="00DC0975">
        <w:rPr>
          <w:rFonts w:ascii="Times New Roman" w:eastAsiaTheme="minorHAnsi" w:hAnsi="Times New Roman"/>
          <w:spacing w:val="0"/>
          <w:sz w:val="20"/>
          <w:lang w:val="fr-FR" w:eastAsia="en-US"/>
        </w:rPr>
        <w:t>Liste des abréviations et acronymes ;</w:t>
      </w:r>
    </w:p>
    <w:p w:rsidR="008B19E5" w:rsidRPr="00DC0975" w:rsidRDefault="008B19E5" w:rsidP="00280098">
      <w:pPr>
        <w:pStyle w:val="Corpodetexto"/>
        <w:numPr>
          <w:ilvl w:val="0"/>
          <w:numId w:val="6"/>
        </w:numPr>
        <w:tabs>
          <w:tab w:val="clear" w:pos="-720"/>
          <w:tab w:val="clear" w:pos="1440"/>
          <w:tab w:val="num" w:pos="900"/>
        </w:tabs>
        <w:suppressAutoHyphens w:val="0"/>
        <w:overflowPunct/>
        <w:autoSpaceDE/>
        <w:autoSpaceDN/>
        <w:adjustRightInd/>
        <w:spacing w:line="240" w:lineRule="auto"/>
        <w:ind w:left="900" w:right="284" w:hanging="180"/>
        <w:rPr>
          <w:rFonts w:ascii="Times New Roman" w:eastAsiaTheme="minorHAnsi" w:hAnsi="Times New Roman"/>
          <w:spacing w:val="0"/>
          <w:sz w:val="20"/>
          <w:lang w:val="fr-FR" w:eastAsia="en-US"/>
        </w:rPr>
      </w:pPr>
      <w:r w:rsidRPr="00DC0975">
        <w:rPr>
          <w:rFonts w:ascii="Times New Roman" w:eastAsiaTheme="minorHAnsi" w:hAnsi="Times New Roman"/>
          <w:spacing w:val="0"/>
          <w:sz w:val="20"/>
          <w:lang w:val="fr-FR" w:eastAsia="en-US"/>
        </w:rPr>
        <w:t>Listes des personnes consultées ;</w:t>
      </w:r>
    </w:p>
    <w:p w:rsidR="008B19E5" w:rsidRPr="00DC0975" w:rsidRDefault="008B19E5" w:rsidP="00280098">
      <w:pPr>
        <w:pStyle w:val="Corpodetexto"/>
        <w:numPr>
          <w:ilvl w:val="0"/>
          <w:numId w:val="6"/>
        </w:numPr>
        <w:tabs>
          <w:tab w:val="clear" w:pos="-720"/>
          <w:tab w:val="clear" w:pos="1440"/>
          <w:tab w:val="num" w:pos="900"/>
        </w:tabs>
        <w:suppressAutoHyphens w:val="0"/>
        <w:overflowPunct/>
        <w:autoSpaceDE/>
        <w:autoSpaceDN/>
        <w:adjustRightInd/>
        <w:spacing w:line="240" w:lineRule="auto"/>
        <w:ind w:left="900" w:right="284" w:hanging="180"/>
        <w:rPr>
          <w:rFonts w:ascii="Times New Roman" w:eastAsiaTheme="minorHAnsi" w:hAnsi="Times New Roman"/>
          <w:spacing w:val="0"/>
          <w:sz w:val="20"/>
          <w:lang w:val="fr-FR" w:eastAsia="en-US"/>
        </w:rPr>
      </w:pPr>
      <w:r w:rsidRPr="00DC0975">
        <w:rPr>
          <w:rFonts w:ascii="Times New Roman" w:eastAsiaTheme="minorHAnsi" w:hAnsi="Times New Roman"/>
          <w:spacing w:val="0"/>
          <w:sz w:val="20"/>
          <w:lang w:val="fr-FR" w:eastAsia="en-US"/>
        </w:rPr>
        <w:t>Termes de Référence de l’étude ;</w:t>
      </w:r>
    </w:p>
    <w:p w:rsidR="009D4B0C" w:rsidRPr="00DC0975" w:rsidRDefault="008B19E5" w:rsidP="00280098">
      <w:pPr>
        <w:pStyle w:val="Corpodetexto"/>
        <w:numPr>
          <w:ilvl w:val="0"/>
          <w:numId w:val="6"/>
        </w:numPr>
        <w:tabs>
          <w:tab w:val="clear" w:pos="-720"/>
          <w:tab w:val="clear" w:pos="1440"/>
          <w:tab w:val="num" w:pos="900"/>
        </w:tabs>
        <w:suppressAutoHyphens w:val="0"/>
        <w:overflowPunct/>
        <w:autoSpaceDE/>
        <w:autoSpaceDN/>
        <w:adjustRightInd/>
        <w:spacing w:line="240" w:lineRule="auto"/>
        <w:ind w:left="900" w:right="284" w:hanging="180"/>
        <w:rPr>
          <w:rFonts w:ascii="Times New Roman" w:eastAsiaTheme="minorHAnsi" w:hAnsi="Times New Roman"/>
          <w:spacing w:val="0"/>
          <w:sz w:val="20"/>
          <w:lang w:val="fr-FR" w:eastAsia="en-US"/>
        </w:rPr>
      </w:pPr>
      <w:r w:rsidRPr="00DC0975">
        <w:rPr>
          <w:rFonts w:ascii="Times New Roman" w:eastAsiaTheme="minorHAnsi" w:hAnsi="Times New Roman"/>
          <w:spacing w:val="0"/>
          <w:sz w:val="20"/>
          <w:lang w:val="fr-FR" w:eastAsia="en-US"/>
        </w:rPr>
        <w:t>Références bibliographiques ;</w:t>
      </w:r>
    </w:p>
    <w:p w:rsidR="008B19E5" w:rsidRPr="00DC0975" w:rsidRDefault="008B19E5" w:rsidP="00280098">
      <w:pPr>
        <w:pStyle w:val="Corpodetexto"/>
        <w:numPr>
          <w:ilvl w:val="0"/>
          <w:numId w:val="6"/>
        </w:numPr>
        <w:tabs>
          <w:tab w:val="clear" w:pos="-720"/>
          <w:tab w:val="clear" w:pos="1440"/>
          <w:tab w:val="num" w:pos="900"/>
        </w:tabs>
        <w:suppressAutoHyphens w:val="0"/>
        <w:overflowPunct/>
        <w:autoSpaceDE/>
        <w:autoSpaceDN/>
        <w:adjustRightInd/>
        <w:spacing w:line="240" w:lineRule="auto"/>
        <w:ind w:left="900" w:right="284" w:hanging="180"/>
        <w:rPr>
          <w:rFonts w:ascii="Times New Roman" w:eastAsiaTheme="minorHAnsi" w:hAnsi="Times New Roman"/>
          <w:spacing w:val="0"/>
          <w:sz w:val="20"/>
          <w:lang w:val="fr-FR" w:eastAsia="en-US"/>
        </w:rPr>
      </w:pPr>
      <w:r w:rsidRPr="00DC0975">
        <w:rPr>
          <w:rFonts w:ascii="Times New Roman" w:hAnsi="Times New Roman"/>
          <w:sz w:val="20"/>
        </w:rPr>
        <w:t>Liste et CV des personnes ayant participé à la réalisation de l’EIES.</w:t>
      </w:r>
    </w:p>
    <w:p w:rsidR="00B569DC" w:rsidRPr="00DC0975" w:rsidRDefault="00B569DC" w:rsidP="00280098">
      <w:pPr>
        <w:pStyle w:val="Corpodetexto"/>
        <w:numPr>
          <w:ilvl w:val="0"/>
          <w:numId w:val="6"/>
        </w:numPr>
        <w:tabs>
          <w:tab w:val="clear" w:pos="-720"/>
          <w:tab w:val="clear" w:pos="1440"/>
          <w:tab w:val="num" w:pos="900"/>
        </w:tabs>
        <w:suppressAutoHyphens w:val="0"/>
        <w:overflowPunct/>
        <w:autoSpaceDE/>
        <w:autoSpaceDN/>
        <w:adjustRightInd/>
        <w:spacing w:line="240" w:lineRule="auto"/>
        <w:ind w:left="900" w:right="284" w:hanging="180"/>
        <w:rPr>
          <w:rFonts w:ascii="Times New Roman" w:eastAsiaTheme="minorHAnsi" w:hAnsi="Times New Roman"/>
          <w:spacing w:val="0"/>
          <w:sz w:val="20"/>
          <w:lang w:val="fr-FR" w:eastAsia="en-US"/>
        </w:rPr>
      </w:pPr>
      <w:r w:rsidRPr="00DC0975">
        <w:rPr>
          <w:rFonts w:ascii="Times New Roman" w:hAnsi="Times New Roman"/>
          <w:sz w:val="20"/>
        </w:rPr>
        <w:t>Etc.</w:t>
      </w:r>
    </w:p>
    <w:p w:rsidR="00634A57" w:rsidRDefault="00634A57" w:rsidP="0079244B">
      <w:pPr>
        <w:ind w:right="284"/>
        <w:jc w:val="both"/>
        <w:rPr>
          <w:rFonts w:ascii="Times New Roman" w:hAnsi="Times New Roman" w:cs="Times New Roman"/>
          <w:sz w:val="24"/>
          <w:szCs w:val="24"/>
        </w:rPr>
      </w:pPr>
    </w:p>
    <w:p w:rsidR="00EE0400" w:rsidRDefault="00EE0400" w:rsidP="0079244B">
      <w:pPr>
        <w:ind w:right="284"/>
        <w:jc w:val="both"/>
        <w:rPr>
          <w:rFonts w:ascii="Times New Roman" w:hAnsi="Times New Roman" w:cs="Times New Roman"/>
          <w:sz w:val="24"/>
          <w:szCs w:val="24"/>
        </w:rPr>
      </w:pPr>
    </w:p>
    <w:p w:rsidR="00EE0400" w:rsidRDefault="00EE0400" w:rsidP="0079244B">
      <w:pPr>
        <w:ind w:right="284"/>
        <w:jc w:val="both"/>
        <w:rPr>
          <w:rFonts w:ascii="Times New Roman" w:hAnsi="Times New Roman" w:cs="Times New Roman"/>
          <w:sz w:val="24"/>
          <w:szCs w:val="24"/>
        </w:rPr>
      </w:pPr>
    </w:p>
    <w:p w:rsidR="00EE0400" w:rsidRDefault="00EE0400" w:rsidP="0079244B">
      <w:pPr>
        <w:ind w:right="284"/>
        <w:jc w:val="both"/>
        <w:rPr>
          <w:rFonts w:ascii="Times New Roman" w:hAnsi="Times New Roman" w:cs="Times New Roman"/>
          <w:sz w:val="24"/>
          <w:szCs w:val="24"/>
        </w:rPr>
      </w:pPr>
    </w:p>
    <w:p w:rsidR="00EE0400" w:rsidRDefault="00EE0400" w:rsidP="0079244B">
      <w:pPr>
        <w:ind w:right="284"/>
        <w:jc w:val="both"/>
        <w:rPr>
          <w:rFonts w:ascii="Times New Roman" w:hAnsi="Times New Roman" w:cs="Times New Roman"/>
          <w:sz w:val="24"/>
          <w:szCs w:val="24"/>
        </w:rPr>
      </w:pPr>
    </w:p>
    <w:p w:rsidR="00EE0400" w:rsidRDefault="00EE0400" w:rsidP="0079244B">
      <w:pPr>
        <w:ind w:right="284"/>
        <w:jc w:val="both"/>
        <w:rPr>
          <w:rFonts w:ascii="Times New Roman" w:hAnsi="Times New Roman" w:cs="Times New Roman"/>
          <w:sz w:val="24"/>
          <w:szCs w:val="24"/>
        </w:rPr>
      </w:pPr>
    </w:p>
    <w:p w:rsidR="00EE0400" w:rsidRDefault="00EE0400" w:rsidP="0079244B">
      <w:pPr>
        <w:ind w:right="284"/>
        <w:jc w:val="both"/>
        <w:rPr>
          <w:rFonts w:ascii="Times New Roman" w:hAnsi="Times New Roman" w:cs="Times New Roman"/>
          <w:sz w:val="24"/>
          <w:szCs w:val="24"/>
        </w:rPr>
      </w:pPr>
    </w:p>
    <w:p w:rsidR="00EE0400" w:rsidRDefault="00EE0400" w:rsidP="0079244B">
      <w:pPr>
        <w:ind w:right="284"/>
        <w:jc w:val="both"/>
        <w:rPr>
          <w:rFonts w:ascii="Times New Roman" w:hAnsi="Times New Roman" w:cs="Times New Roman"/>
          <w:sz w:val="24"/>
          <w:szCs w:val="24"/>
        </w:rPr>
      </w:pPr>
    </w:p>
    <w:p w:rsidR="00EE0400" w:rsidRDefault="00EE0400" w:rsidP="0079244B">
      <w:pPr>
        <w:ind w:right="284"/>
        <w:jc w:val="both"/>
        <w:rPr>
          <w:rFonts w:ascii="Times New Roman" w:hAnsi="Times New Roman" w:cs="Times New Roman"/>
          <w:sz w:val="24"/>
          <w:szCs w:val="24"/>
        </w:rPr>
      </w:pPr>
    </w:p>
    <w:p w:rsidR="00EE0400" w:rsidRDefault="00EE0400" w:rsidP="0079244B">
      <w:pPr>
        <w:ind w:right="284"/>
        <w:jc w:val="both"/>
        <w:rPr>
          <w:rFonts w:ascii="Times New Roman" w:hAnsi="Times New Roman" w:cs="Times New Roman"/>
          <w:sz w:val="24"/>
          <w:szCs w:val="24"/>
        </w:rPr>
      </w:pPr>
    </w:p>
    <w:p w:rsidR="00EE0400" w:rsidRDefault="00EE0400" w:rsidP="0079244B">
      <w:pPr>
        <w:ind w:right="284"/>
        <w:jc w:val="both"/>
        <w:rPr>
          <w:rFonts w:ascii="Times New Roman" w:hAnsi="Times New Roman" w:cs="Times New Roman"/>
          <w:sz w:val="24"/>
          <w:szCs w:val="24"/>
        </w:rPr>
      </w:pPr>
    </w:p>
    <w:p w:rsidR="00EE0400" w:rsidRDefault="00EE0400" w:rsidP="0079244B">
      <w:pPr>
        <w:ind w:right="284"/>
        <w:jc w:val="both"/>
        <w:rPr>
          <w:rFonts w:ascii="Times New Roman" w:hAnsi="Times New Roman" w:cs="Times New Roman"/>
          <w:sz w:val="24"/>
          <w:szCs w:val="24"/>
        </w:rPr>
      </w:pPr>
    </w:p>
    <w:p w:rsidR="00EE0400" w:rsidRDefault="00EE0400" w:rsidP="0079244B">
      <w:pPr>
        <w:ind w:right="284"/>
        <w:jc w:val="both"/>
        <w:rPr>
          <w:rFonts w:ascii="Times New Roman" w:hAnsi="Times New Roman" w:cs="Times New Roman"/>
          <w:sz w:val="24"/>
          <w:szCs w:val="24"/>
        </w:rPr>
      </w:pPr>
    </w:p>
    <w:p w:rsidR="00EE0400" w:rsidRDefault="00EE0400" w:rsidP="0079244B">
      <w:pPr>
        <w:ind w:right="284"/>
        <w:jc w:val="both"/>
        <w:rPr>
          <w:rFonts w:ascii="Times New Roman" w:hAnsi="Times New Roman" w:cs="Times New Roman"/>
          <w:sz w:val="24"/>
          <w:szCs w:val="24"/>
        </w:rPr>
      </w:pPr>
    </w:p>
    <w:p w:rsidR="002F5EFA" w:rsidRDefault="002F5EFA" w:rsidP="0079244B">
      <w:pPr>
        <w:ind w:right="284"/>
        <w:jc w:val="both"/>
        <w:rPr>
          <w:rFonts w:ascii="Times New Roman" w:hAnsi="Times New Roman" w:cs="Times New Roman"/>
          <w:sz w:val="24"/>
          <w:szCs w:val="24"/>
        </w:rPr>
      </w:pPr>
    </w:p>
    <w:p w:rsidR="002F5EFA" w:rsidRDefault="002F5EFA" w:rsidP="0079244B">
      <w:pPr>
        <w:ind w:right="284"/>
        <w:jc w:val="both"/>
        <w:rPr>
          <w:rFonts w:ascii="Times New Roman" w:hAnsi="Times New Roman" w:cs="Times New Roman"/>
          <w:sz w:val="24"/>
          <w:szCs w:val="24"/>
        </w:rPr>
      </w:pPr>
    </w:p>
    <w:p w:rsidR="002F5EFA" w:rsidRDefault="002F5EFA" w:rsidP="0079244B">
      <w:pPr>
        <w:ind w:right="284"/>
        <w:jc w:val="both"/>
        <w:rPr>
          <w:rFonts w:ascii="Times New Roman" w:hAnsi="Times New Roman" w:cs="Times New Roman"/>
          <w:sz w:val="24"/>
          <w:szCs w:val="24"/>
        </w:rPr>
      </w:pPr>
    </w:p>
    <w:p w:rsidR="002F5EFA" w:rsidRDefault="002F5EFA" w:rsidP="0079244B">
      <w:pPr>
        <w:ind w:right="284"/>
        <w:jc w:val="both"/>
        <w:rPr>
          <w:rFonts w:ascii="Times New Roman" w:hAnsi="Times New Roman" w:cs="Times New Roman"/>
          <w:sz w:val="24"/>
          <w:szCs w:val="24"/>
        </w:rPr>
      </w:pPr>
    </w:p>
    <w:p w:rsidR="002F5EFA" w:rsidRDefault="002F5EFA" w:rsidP="0079244B">
      <w:pPr>
        <w:ind w:right="284"/>
        <w:jc w:val="both"/>
        <w:rPr>
          <w:rFonts w:ascii="Times New Roman" w:hAnsi="Times New Roman" w:cs="Times New Roman"/>
          <w:sz w:val="24"/>
          <w:szCs w:val="24"/>
        </w:rPr>
      </w:pPr>
    </w:p>
    <w:p w:rsidR="002F5EFA" w:rsidRDefault="002F5EFA" w:rsidP="0079244B">
      <w:pPr>
        <w:ind w:right="284"/>
        <w:jc w:val="both"/>
        <w:rPr>
          <w:rFonts w:ascii="Times New Roman" w:hAnsi="Times New Roman" w:cs="Times New Roman"/>
          <w:sz w:val="24"/>
          <w:szCs w:val="24"/>
        </w:rPr>
      </w:pPr>
    </w:p>
    <w:p w:rsidR="009C7E7C" w:rsidRDefault="009C7E7C" w:rsidP="0079244B">
      <w:pPr>
        <w:ind w:right="284"/>
        <w:jc w:val="both"/>
        <w:rPr>
          <w:rFonts w:ascii="Times New Roman" w:hAnsi="Times New Roman" w:cs="Times New Roman"/>
          <w:sz w:val="24"/>
          <w:szCs w:val="24"/>
        </w:rPr>
      </w:pPr>
    </w:p>
    <w:p w:rsidR="00EE0400" w:rsidRDefault="00EE0400" w:rsidP="0079244B">
      <w:pPr>
        <w:ind w:right="284"/>
        <w:jc w:val="both"/>
        <w:rPr>
          <w:rFonts w:ascii="Times New Roman" w:hAnsi="Times New Roman" w:cs="Times New Roman"/>
          <w:sz w:val="24"/>
          <w:szCs w:val="24"/>
        </w:rPr>
      </w:pPr>
    </w:p>
    <w:p w:rsidR="009B02CA" w:rsidRPr="009F7B0A" w:rsidRDefault="00C030D5" w:rsidP="009F7B0A">
      <w:pPr>
        <w:keepNext/>
        <w:keepLines/>
        <w:pBdr>
          <w:top w:val="outset" w:sz="12" w:space="1" w:color="auto"/>
          <w:left w:val="outset" w:sz="12" w:space="4" w:color="auto"/>
          <w:bottom w:val="outset" w:sz="12" w:space="1" w:color="auto"/>
          <w:right w:val="outset" w:sz="12" w:space="4" w:color="auto"/>
        </w:pBdr>
        <w:shd w:val="clear" w:color="auto" w:fill="F2F2F2" w:themeFill="background1" w:themeFillShade="F2"/>
        <w:spacing w:after="0" w:line="240" w:lineRule="auto"/>
        <w:ind w:left="-1417" w:right="-567"/>
        <w:jc w:val="center"/>
        <w:outlineLvl w:val="0"/>
        <w:rPr>
          <w:rFonts w:ascii="Times New Roman" w:eastAsia="Calibri" w:hAnsi="Times New Roman" w:cs="Times New Roman"/>
          <w:b/>
          <w:sz w:val="32"/>
          <w:szCs w:val="32"/>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id="34" w:name="_Toc527882014"/>
      <w:bookmarkStart w:id="35" w:name="_Toc51072503"/>
      <w:r>
        <w:rPr>
          <w:rFonts w:ascii="Times New Roman" w:eastAsia="Calibri" w:hAnsi="Times New Roman" w:cs="Times New Roman"/>
          <w:b/>
          <w:sz w:val="32"/>
          <w:szCs w:val="32"/>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2</w:t>
      </w:r>
      <w:r w:rsidR="009B02CA" w:rsidRPr="009F7B0A">
        <w:rPr>
          <w:rFonts w:ascii="Times New Roman" w:eastAsia="Calibri" w:hAnsi="Times New Roman" w:cs="Times New Roman"/>
          <w:b/>
          <w:sz w:val="32"/>
          <w:szCs w:val="32"/>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DESCRIPTION DU PROJET *</w:t>
      </w:r>
      <w:bookmarkEnd w:id="34"/>
      <w:bookmarkEnd w:id="35"/>
    </w:p>
    <w:p w:rsidR="009B02CA" w:rsidRPr="00D2682F" w:rsidRDefault="003B7939" w:rsidP="009B02CA">
      <w:pPr>
        <w:pStyle w:val="PargrafodaLista"/>
        <w:keepNext/>
        <w:spacing w:before="240" w:after="240"/>
        <w:ind w:left="450" w:right="284" w:hanging="450"/>
        <w:jc w:val="both"/>
        <w:outlineLvl w:val="1"/>
        <w:rPr>
          <w:rFonts w:ascii="Times New Roman" w:hAnsi="Times New Roman"/>
          <w:b/>
          <w:sz w:val="24"/>
          <w:szCs w:val="24"/>
          <w:lang w:val="fr-FR" w:eastAsia="fr-FR"/>
        </w:rPr>
      </w:pPr>
      <w:bookmarkStart w:id="36" w:name="_Toc527882015"/>
      <w:bookmarkStart w:id="37" w:name="_Toc51072504"/>
      <w:r>
        <w:rPr>
          <w:rFonts w:ascii="Times New Roman" w:hAnsi="Times New Roman"/>
          <w:b/>
          <w:sz w:val="24"/>
          <w:szCs w:val="24"/>
          <w:lang w:val="fr-FR" w:eastAsia="fr-FR"/>
        </w:rPr>
        <w:t>2</w:t>
      </w:r>
      <w:r w:rsidR="009B02CA" w:rsidRPr="006C0C34">
        <w:rPr>
          <w:rFonts w:ascii="Times New Roman" w:hAnsi="Times New Roman"/>
          <w:b/>
          <w:sz w:val="24"/>
          <w:szCs w:val="24"/>
          <w:lang w:val="fr-FR" w:eastAsia="fr-FR"/>
        </w:rPr>
        <w:t xml:space="preserve">.1. PRESENTATION DU </w:t>
      </w:r>
      <w:bookmarkEnd w:id="36"/>
      <w:r w:rsidR="009B02CA">
        <w:rPr>
          <w:rFonts w:ascii="Times New Roman" w:hAnsi="Times New Roman"/>
          <w:b/>
          <w:sz w:val="24"/>
          <w:szCs w:val="24"/>
          <w:lang w:val="fr-FR" w:eastAsia="fr-FR"/>
        </w:rPr>
        <w:t>PUASEE</w:t>
      </w:r>
      <w:bookmarkEnd w:id="37"/>
    </w:p>
    <w:p w:rsidR="009B02CA" w:rsidRDefault="009B02CA" w:rsidP="00B569DC">
      <w:pPr>
        <w:autoSpaceDE w:val="0"/>
        <w:autoSpaceDN w:val="0"/>
        <w:adjustRightInd w:val="0"/>
        <w:spacing w:after="0" w:line="240" w:lineRule="auto"/>
        <w:ind w:left="-284" w:right="-851"/>
        <w:jc w:val="both"/>
        <w:rPr>
          <w:rFonts w:ascii="Times New Roman" w:hAnsi="Times New Roman" w:cs="Times New Roman"/>
          <w:sz w:val="24"/>
          <w:szCs w:val="24"/>
        </w:rPr>
      </w:pPr>
      <w:r w:rsidRPr="006C0C34">
        <w:rPr>
          <w:rFonts w:ascii="Times New Roman" w:hAnsi="Times New Roman" w:cs="Times New Roman"/>
          <w:sz w:val="24"/>
          <w:szCs w:val="24"/>
        </w:rPr>
        <w:t>Le Projet d’Urgence pour l’amélioration des Services d’Eau et d'Électricité (PUASEE) a pour objectif général d'améliorer les conditions d’hygiènes de la population de la ville de Bissau à travers l’accès à l’eau potable. Les objectifs spécifiques de développement du projet sont : (i) rétablir et élargir l’accès de la population de Bissau à l’eau potable et améliorer la qualité des services d’alimentation en eau ; et (ii) améliorer la fiabilité de la fourniture d’électricité à la population de Bissau.</w:t>
      </w:r>
    </w:p>
    <w:p w:rsidR="00B569DC" w:rsidRDefault="00B569DC" w:rsidP="00B569DC">
      <w:pPr>
        <w:autoSpaceDE w:val="0"/>
        <w:autoSpaceDN w:val="0"/>
        <w:adjustRightInd w:val="0"/>
        <w:spacing w:after="0" w:line="240" w:lineRule="auto"/>
        <w:ind w:left="-284" w:right="-851"/>
        <w:jc w:val="both"/>
        <w:rPr>
          <w:rFonts w:ascii="Times New Roman" w:hAnsi="Times New Roman" w:cs="Times New Roman"/>
          <w:sz w:val="24"/>
          <w:szCs w:val="24"/>
        </w:rPr>
      </w:pPr>
    </w:p>
    <w:p w:rsidR="009B02CA" w:rsidRDefault="009B02CA" w:rsidP="00B569DC">
      <w:pPr>
        <w:autoSpaceDE w:val="0"/>
        <w:autoSpaceDN w:val="0"/>
        <w:adjustRightInd w:val="0"/>
        <w:spacing w:after="0" w:line="240" w:lineRule="auto"/>
        <w:ind w:left="-284" w:right="-851"/>
        <w:jc w:val="both"/>
        <w:rPr>
          <w:rFonts w:ascii="Times New Roman" w:hAnsi="Times New Roman" w:cs="Times New Roman"/>
          <w:sz w:val="24"/>
          <w:szCs w:val="24"/>
        </w:rPr>
      </w:pPr>
      <w:r w:rsidRPr="006C0C34">
        <w:rPr>
          <w:rFonts w:ascii="Times New Roman" w:hAnsi="Times New Roman" w:cs="Times New Roman"/>
          <w:sz w:val="24"/>
          <w:szCs w:val="24"/>
        </w:rPr>
        <w:t>La zone d’intervention du projet englobe la ville de Bissau, surtout dans les quartiers périphériques, notamment, Antula/Indame, Hafia, Bissaquel, Djal/safim, Breme, Bissalanca, Kupul, Bor et parties des quartiers non intégrés dans l’actuel phase du projet notamment, Plack II, Plack I, Kelele, Antula et entre autres, la zone d’influence englobe</w:t>
      </w:r>
      <w:r>
        <w:rPr>
          <w:rFonts w:ascii="Times New Roman" w:hAnsi="Times New Roman" w:cs="Times New Roman"/>
          <w:sz w:val="24"/>
          <w:szCs w:val="24"/>
        </w:rPr>
        <w:t xml:space="preserve"> alentour des sites mentionnés.</w:t>
      </w:r>
    </w:p>
    <w:p w:rsidR="00B569DC" w:rsidRPr="006C0C34" w:rsidRDefault="00B569DC" w:rsidP="00B569DC">
      <w:pPr>
        <w:autoSpaceDE w:val="0"/>
        <w:autoSpaceDN w:val="0"/>
        <w:adjustRightInd w:val="0"/>
        <w:spacing w:after="0" w:line="240" w:lineRule="auto"/>
        <w:ind w:left="-284" w:right="-851"/>
        <w:jc w:val="both"/>
        <w:rPr>
          <w:rFonts w:ascii="Times New Roman" w:hAnsi="Times New Roman" w:cs="Times New Roman"/>
          <w:sz w:val="24"/>
          <w:szCs w:val="24"/>
        </w:rPr>
      </w:pPr>
    </w:p>
    <w:p w:rsidR="009B02CA" w:rsidRPr="00B569DC" w:rsidRDefault="003B7939" w:rsidP="00DA6B28">
      <w:pPr>
        <w:pStyle w:val="PargrafodaLista"/>
        <w:ind w:left="1134"/>
        <w:outlineLvl w:val="2"/>
        <w:rPr>
          <w:rFonts w:ascii="Times New Roman" w:hAnsi="Times New Roman"/>
          <w:b/>
          <w:sz w:val="24"/>
          <w:szCs w:val="24"/>
        </w:rPr>
      </w:pPr>
      <w:bookmarkStart w:id="38" w:name="_Toc473191068"/>
      <w:bookmarkStart w:id="39" w:name="_Toc51072505"/>
      <w:r>
        <w:rPr>
          <w:rFonts w:ascii="Times New Roman" w:hAnsi="Times New Roman"/>
          <w:b/>
          <w:sz w:val="24"/>
          <w:szCs w:val="24"/>
          <w:lang w:val="fr-FR"/>
        </w:rPr>
        <w:t>2</w:t>
      </w:r>
      <w:r w:rsidR="00B569DC">
        <w:rPr>
          <w:rFonts w:ascii="Times New Roman" w:hAnsi="Times New Roman"/>
          <w:b/>
          <w:sz w:val="24"/>
          <w:szCs w:val="24"/>
          <w:lang w:val="fr-FR"/>
        </w:rPr>
        <w:t xml:space="preserve">.1.1. </w:t>
      </w:r>
      <w:r w:rsidR="009B02CA" w:rsidRPr="00B569DC">
        <w:rPr>
          <w:rFonts w:ascii="Times New Roman" w:hAnsi="Times New Roman"/>
          <w:b/>
          <w:sz w:val="24"/>
          <w:szCs w:val="24"/>
        </w:rPr>
        <w:t>Composantes du PUASEE</w:t>
      </w:r>
      <w:bookmarkEnd w:id="38"/>
      <w:bookmarkEnd w:id="39"/>
    </w:p>
    <w:p w:rsidR="009B02CA" w:rsidRDefault="009B02CA" w:rsidP="00B569DC">
      <w:pPr>
        <w:autoSpaceDE w:val="0"/>
        <w:autoSpaceDN w:val="0"/>
        <w:adjustRightInd w:val="0"/>
        <w:spacing w:after="0" w:line="240" w:lineRule="auto"/>
        <w:ind w:left="-284" w:right="-851"/>
        <w:jc w:val="both"/>
        <w:rPr>
          <w:rFonts w:ascii="Times New Roman" w:hAnsi="Times New Roman" w:cs="Times New Roman"/>
          <w:sz w:val="24"/>
          <w:szCs w:val="24"/>
        </w:rPr>
      </w:pPr>
      <w:r w:rsidRPr="006C0C34">
        <w:rPr>
          <w:rFonts w:ascii="Times New Roman" w:hAnsi="Times New Roman" w:cs="Times New Roman"/>
          <w:sz w:val="24"/>
          <w:szCs w:val="24"/>
        </w:rPr>
        <w:t>Le PUASEE comprend trois (3) composantes :</w:t>
      </w:r>
    </w:p>
    <w:p w:rsidR="00B569DC" w:rsidRPr="006C0C34" w:rsidRDefault="00B569DC" w:rsidP="00B569DC">
      <w:pPr>
        <w:autoSpaceDE w:val="0"/>
        <w:autoSpaceDN w:val="0"/>
        <w:adjustRightInd w:val="0"/>
        <w:spacing w:after="0" w:line="240" w:lineRule="auto"/>
        <w:ind w:left="-284" w:right="-851"/>
        <w:jc w:val="both"/>
        <w:rPr>
          <w:rFonts w:ascii="Times New Roman" w:hAnsi="Times New Roman" w:cs="Times New Roman"/>
          <w:sz w:val="24"/>
          <w:szCs w:val="24"/>
        </w:rPr>
      </w:pPr>
    </w:p>
    <w:p w:rsidR="009B02CA" w:rsidRPr="006C0C34" w:rsidRDefault="009B02CA" w:rsidP="00B569DC">
      <w:pPr>
        <w:spacing w:line="276" w:lineRule="auto"/>
        <w:ind w:left="-284" w:right="-851"/>
        <w:jc w:val="both"/>
        <w:rPr>
          <w:rFonts w:ascii="Times New Roman" w:hAnsi="Times New Roman" w:cs="Times New Roman"/>
          <w:sz w:val="24"/>
          <w:szCs w:val="24"/>
        </w:rPr>
      </w:pPr>
      <w:r w:rsidRPr="00B569DC">
        <w:rPr>
          <w:rFonts w:ascii="Times New Roman" w:hAnsi="Times New Roman" w:cs="Times New Roman"/>
          <w:b/>
          <w:sz w:val="24"/>
          <w:szCs w:val="24"/>
        </w:rPr>
        <w:t>Composante 1.</w:t>
      </w:r>
      <w:r w:rsidRPr="00B569DC">
        <w:rPr>
          <w:rFonts w:ascii="Times New Roman" w:hAnsi="Times New Roman" w:cs="Times New Roman"/>
          <w:sz w:val="24"/>
          <w:szCs w:val="24"/>
        </w:rPr>
        <w:t xml:space="preserve"> Alimentation en eau : </w:t>
      </w:r>
      <w:r w:rsidRPr="006C0C34">
        <w:rPr>
          <w:rFonts w:ascii="Times New Roman" w:hAnsi="Times New Roman" w:cs="Times New Roman"/>
          <w:sz w:val="24"/>
          <w:szCs w:val="24"/>
        </w:rPr>
        <w:t>cette composante vise à améliorer les services d’eau et à élargir l’accès à travers les sous-composantes suivantes :</w:t>
      </w:r>
    </w:p>
    <w:p w:rsidR="009B02CA" w:rsidRPr="006C0C34" w:rsidRDefault="009B02CA" w:rsidP="00095CF9">
      <w:pPr>
        <w:pStyle w:val="PargrafodaLista"/>
        <w:numPr>
          <w:ilvl w:val="0"/>
          <w:numId w:val="8"/>
        </w:numPr>
        <w:spacing w:after="120" w:line="240" w:lineRule="auto"/>
        <w:ind w:right="-851"/>
        <w:contextualSpacing w:val="0"/>
        <w:jc w:val="both"/>
        <w:rPr>
          <w:rFonts w:ascii="Times New Roman" w:hAnsi="Times New Roman"/>
          <w:sz w:val="24"/>
          <w:szCs w:val="24"/>
        </w:rPr>
      </w:pPr>
      <w:r w:rsidRPr="006C0C34">
        <w:rPr>
          <w:rFonts w:ascii="Times New Roman" w:hAnsi="Times New Roman"/>
          <w:sz w:val="24"/>
          <w:szCs w:val="24"/>
        </w:rPr>
        <w:t>Augmentation des disponibilités en eau et amélioration de la qualité des services d’eau à travers la ville de Bissau grâce aux activités suivantes : (i) augmentation de la capacité de production d’eau grâce au forage, à l’installation d’équipement de pompage et au remplacement du refoulement d’ouvrages de production sélectionnés ; (ii) assurance de la continuité de la production d’eau par l’installation de groupes électrogènes diesel spécifiques; (iii) extension de la capacité de stockage d’eau grâce à l’installation d’un château d’eau et à la réparation et la réhabilitation de trois châteaux d’eau, et (iv) financement de gasoil pour sécuriser le fonctionnement des groupes électrogènes pour la production d’eau.</w:t>
      </w:r>
    </w:p>
    <w:p w:rsidR="009B02CA" w:rsidRPr="006C0C34" w:rsidRDefault="009B02CA" w:rsidP="00095CF9">
      <w:pPr>
        <w:pStyle w:val="PargrafodaLista"/>
        <w:numPr>
          <w:ilvl w:val="0"/>
          <w:numId w:val="8"/>
        </w:numPr>
        <w:spacing w:after="120" w:line="240" w:lineRule="auto"/>
        <w:ind w:right="-851"/>
        <w:contextualSpacing w:val="0"/>
        <w:jc w:val="both"/>
        <w:rPr>
          <w:rFonts w:ascii="Times New Roman" w:hAnsi="Times New Roman"/>
          <w:sz w:val="24"/>
          <w:szCs w:val="24"/>
        </w:rPr>
      </w:pPr>
      <w:r w:rsidRPr="006C0C34">
        <w:rPr>
          <w:rFonts w:ascii="Times New Roman" w:hAnsi="Times New Roman"/>
          <w:sz w:val="24"/>
          <w:szCs w:val="24"/>
        </w:rPr>
        <w:t>Élargissement de l’accès aux services d’eau dans les quartiers périurbains de Bissau  grâce aux activités suivantes : (i) extension des réseaux de distribution d’eau ; (ii) réalisation de branchements sociaux ; et (iii) construction de bornes fontaines.</w:t>
      </w:r>
    </w:p>
    <w:p w:rsidR="009B02CA" w:rsidRPr="006C0C34" w:rsidRDefault="009B02CA" w:rsidP="00095CF9">
      <w:pPr>
        <w:pStyle w:val="PargrafodaLista"/>
        <w:numPr>
          <w:ilvl w:val="0"/>
          <w:numId w:val="8"/>
        </w:numPr>
        <w:spacing w:after="120" w:line="240" w:lineRule="auto"/>
        <w:ind w:right="-851"/>
        <w:contextualSpacing w:val="0"/>
        <w:jc w:val="both"/>
        <w:rPr>
          <w:rFonts w:ascii="Times New Roman" w:hAnsi="Times New Roman"/>
          <w:sz w:val="24"/>
          <w:szCs w:val="24"/>
        </w:rPr>
      </w:pPr>
      <w:r w:rsidRPr="006C0C34">
        <w:rPr>
          <w:rFonts w:ascii="Times New Roman" w:hAnsi="Times New Roman"/>
          <w:sz w:val="24"/>
          <w:szCs w:val="24"/>
        </w:rPr>
        <w:t>Réduction de l’eau non comptabilisée dans la ville de Bissau grâce aux activités suivantes : (i) remplacement de restants conduites en amiante-ciment ; et (ii) installation des compteurs sur les branchements existants.</w:t>
      </w:r>
    </w:p>
    <w:p w:rsidR="009B02CA" w:rsidRPr="006C0C34" w:rsidRDefault="009B02CA" w:rsidP="00B569DC">
      <w:pPr>
        <w:spacing w:after="120"/>
        <w:ind w:left="-284" w:right="-851"/>
        <w:jc w:val="both"/>
        <w:rPr>
          <w:rFonts w:ascii="Times New Roman" w:hAnsi="Times New Roman" w:cs="Times New Roman"/>
          <w:sz w:val="24"/>
          <w:szCs w:val="24"/>
        </w:rPr>
      </w:pPr>
      <w:r w:rsidRPr="006C0C34">
        <w:rPr>
          <w:rFonts w:ascii="Times New Roman" w:hAnsi="Times New Roman" w:cs="Times New Roman"/>
          <w:b/>
          <w:i/>
          <w:sz w:val="24"/>
          <w:szCs w:val="24"/>
        </w:rPr>
        <w:t>Composante 2. Fourniture d’Électricité :</w:t>
      </w:r>
      <w:r w:rsidRPr="006C0C34">
        <w:rPr>
          <w:rFonts w:ascii="Times New Roman" w:hAnsi="Times New Roman" w:cs="Times New Roman"/>
          <w:sz w:val="24"/>
          <w:szCs w:val="24"/>
        </w:rPr>
        <w:t xml:space="preserve"> cette composante vise à améliorer la fiabilité des services d’électricité à travers les sous-composantes suivantes :</w:t>
      </w:r>
    </w:p>
    <w:p w:rsidR="009B02CA" w:rsidRPr="006C0C34" w:rsidRDefault="009B02CA" w:rsidP="00095CF9">
      <w:pPr>
        <w:pStyle w:val="PargrafodaLista"/>
        <w:numPr>
          <w:ilvl w:val="0"/>
          <w:numId w:val="10"/>
        </w:numPr>
        <w:spacing w:after="120" w:line="240" w:lineRule="auto"/>
        <w:ind w:right="-851"/>
        <w:contextualSpacing w:val="0"/>
        <w:jc w:val="both"/>
        <w:rPr>
          <w:rFonts w:ascii="Times New Roman" w:hAnsi="Times New Roman"/>
          <w:sz w:val="24"/>
          <w:szCs w:val="24"/>
        </w:rPr>
      </w:pPr>
      <w:r w:rsidRPr="006C0C34">
        <w:rPr>
          <w:rFonts w:ascii="Times New Roman" w:hAnsi="Times New Roman"/>
          <w:sz w:val="24"/>
          <w:szCs w:val="24"/>
        </w:rPr>
        <w:t>Augmentation de la disponibilité de l’offre d’électricité en finançant la réhabilitation des groupes électrogènes de Centrale EAGB (Société d’Électricité et d’Eau de Guinée Bissau) a fioul lourd pour aider à mettre en place une filière d’approvisionnement durable pour la centrale thermique, en plus de l’hybridation solaire à étudier.</w:t>
      </w:r>
    </w:p>
    <w:p w:rsidR="009B02CA" w:rsidRPr="006C0C34" w:rsidRDefault="009B02CA" w:rsidP="00095CF9">
      <w:pPr>
        <w:pStyle w:val="PargrafodaLista"/>
        <w:numPr>
          <w:ilvl w:val="0"/>
          <w:numId w:val="10"/>
        </w:numPr>
        <w:spacing w:after="120" w:line="240" w:lineRule="auto"/>
        <w:ind w:right="-851"/>
        <w:contextualSpacing w:val="0"/>
        <w:jc w:val="both"/>
        <w:rPr>
          <w:rFonts w:ascii="Times New Roman" w:hAnsi="Times New Roman"/>
          <w:sz w:val="24"/>
          <w:szCs w:val="24"/>
        </w:rPr>
      </w:pPr>
      <w:r w:rsidRPr="006C0C34">
        <w:rPr>
          <w:rFonts w:ascii="Times New Roman" w:hAnsi="Times New Roman"/>
          <w:sz w:val="24"/>
          <w:szCs w:val="24"/>
        </w:rPr>
        <w:t>Amélioration de la fiabilité et du rendement des réseaux de distribution moyenne et basse tension grâce aux activités suivantes : (i) réhabilitation du poste de départ de la centrale ; (ii) remplacement des câbles de distribution et accessoires ; (iii) fourniture et installation des transformateurs MT/BT ; et (iv) création des quelques postes supplémentaires MT/BT.</w:t>
      </w:r>
    </w:p>
    <w:p w:rsidR="009B02CA" w:rsidRPr="006C0C34" w:rsidRDefault="009B02CA" w:rsidP="00095CF9">
      <w:pPr>
        <w:pStyle w:val="PargrafodaLista"/>
        <w:numPr>
          <w:ilvl w:val="0"/>
          <w:numId w:val="10"/>
        </w:numPr>
        <w:spacing w:after="120" w:line="240" w:lineRule="auto"/>
        <w:ind w:right="-851"/>
        <w:contextualSpacing w:val="0"/>
        <w:jc w:val="both"/>
        <w:rPr>
          <w:rFonts w:ascii="Times New Roman" w:hAnsi="Times New Roman"/>
          <w:sz w:val="24"/>
          <w:szCs w:val="24"/>
        </w:rPr>
      </w:pPr>
      <w:r w:rsidRPr="006C0C34">
        <w:rPr>
          <w:rFonts w:ascii="Times New Roman" w:hAnsi="Times New Roman"/>
          <w:sz w:val="24"/>
          <w:szCs w:val="24"/>
        </w:rPr>
        <w:t>Sécurisation de l’alimentation en électricité de la production d’eau grâce aux activités suivantes : (i) raccordement de quatre forages au réseau MT ; et (ii) installation de quatre postes MT/BT.</w:t>
      </w:r>
    </w:p>
    <w:p w:rsidR="009B02CA" w:rsidRPr="006C0C34" w:rsidRDefault="009B02CA" w:rsidP="00095CF9">
      <w:pPr>
        <w:pStyle w:val="PargrafodaLista"/>
        <w:numPr>
          <w:ilvl w:val="0"/>
          <w:numId w:val="10"/>
        </w:numPr>
        <w:spacing w:after="120" w:line="240" w:lineRule="auto"/>
        <w:ind w:right="-851"/>
        <w:contextualSpacing w:val="0"/>
        <w:jc w:val="both"/>
        <w:rPr>
          <w:rFonts w:ascii="Times New Roman" w:hAnsi="Times New Roman"/>
          <w:sz w:val="24"/>
          <w:szCs w:val="24"/>
        </w:rPr>
      </w:pPr>
      <w:r w:rsidRPr="006C0C34">
        <w:rPr>
          <w:rFonts w:ascii="Times New Roman" w:hAnsi="Times New Roman"/>
          <w:sz w:val="24"/>
          <w:szCs w:val="24"/>
        </w:rPr>
        <w:lastRenderedPageBreak/>
        <w:t>Amélioration de la gestion de la clientèle et du recouvrement des recettes grâce aux activités suivantes : (i) installation des compteurs à prépaiement sur les branchements non dotés de compteurs ; et (ii) remplacement des anciens compteurs analogiques par des compteurs à prépaiement.</w:t>
      </w:r>
    </w:p>
    <w:p w:rsidR="009B02CA" w:rsidRPr="006C0C34" w:rsidRDefault="009B02CA" w:rsidP="00B569DC">
      <w:pPr>
        <w:spacing w:line="240" w:lineRule="auto"/>
        <w:ind w:left="-284" w:right="-851"/>
        <w:jc w:val="both"/>
        <w:rPr>
          <w:rFonts w:ascii="Times New Roman" w:hAnsi="Times New Roman" w:cs="Times New Roman"/>
          <w:b/>
          <w:sz w:val="24"/>
          <w:szCs w:val="24"/>
        </w:rPr>
      </w:pPr>
      <w:r w:rsidRPr="006C0C34">
        <w:rPr>
          <w:rFonts w:ascii="Times New Roman" w:hAnsi="Times New Roman" w:cs="Times New Roman"/>
          <w:b/>
          <w:i/>
          <w:sz w:val="24"/>
          <w:szCs w:val="24"/>
        </w:rPr>
        <w:t xml:space="preserve">Composante3. Appui à la mise en œuvre du projet et à EAGB. </w:t>
      </w:r>
      <w:r w:rsidRPr="006C0C34">
        <w:rPr>
          <w:rFonts w:ascii="Times New Roman" w:hAnsi="Times New Roman" w:cs="Times New Roman"/>
          <w:sz w:val="24"/>
          <w:szCs w:val="24"/>
        </w:rPr>
        <w:t>Cette composante vise à permettre à l’Unité de Gestion du PUASEE (UGP) de s’acquitter de ses responsabilités et à améliorer le sens de la responsabilité et la gestion à EAGB au moyen des sous-composantes suivantes :</w:t>
      </w:r>
    </w:p>
    <w:p w:rsidR="009B02CA" w:rsidRPr="006C0C34" w:rsidRDefault="009B02CA" w:rsidP="00095CF9">
      <w:pPr>
        <w:pStyle w:val="PargrafodaLista"/>
        <w:numPr>
          <w:ilvl w:val="0"/>
          <w:numId w:val="9"/>
        </w:numPr>
        <w:spacing w:after="120" w:line="240" w:lineRule="auto"/>
        <w:contextualSpacing w:val="0"/>
        <w:jc w:val="both"/>
        <w:rPr>
          <w:rFonts w:ascii="Times New Roman" w:hAnsi="Times New Roman"/>
          <w:sz w:val="24"/>
          <w:szCs w:val="24"/>
        </w:rPr>
      </w:pPr>
      <w:r w:rsidRPr="006C0C34">
        <w:rPr>
          <w:rFonts w:ascii="Times New Roman" w:hAnsi="Times New Roman"/>
          <w:sz w:val="24"/>
          <w:szCs w:val="24"/>
        </w:rPr>
        <w:t>Appui à la mise en œuvre, à la coordination au suivi et à l’évaluation du projet, y compris : (i) le financement des coûts de fonctionnement et la mise à dispositions de consultants pour l’UGP; et (ii) l’audit des états financiers du projet.</w:t>
      </w:r>
    </w:p>
    <w:p w:rsidR="009B02CA" w:rsidRPr="006C0C34" w:rsidRDefault="009B02CA" w:rsidP="00095CF9">
      <w:pPr>
        <w:pStyle w:val="PargrafodaLista"/>
        <w:numPr>
          <w:ilvl w:val="0"/>
          <w:numId w:val="9"/>
        </w:numPr>
        <w:spacing w:after="120" w:line="240" w:lineRule="auto"/>
        <w:contextualSpacing w:val="0"/>
        <w:jc w:val="both"/>
        <w:rPr>
          <w:rFonts w:ascii="Times New Roman" w:hAnsi="Times New Roman"/>
          <w:sz w:val="24"/>
          <w:szCs w:val="24"/>
        </w:rPr>
      </w:pPr>
      <w:r w:rsidRPr="006C0C34">
        <w:rPr>
          <w:rFonts w:ascii="Times New Roman" w:hAnsi="Times New Roman"/>
          <w:sz w:val="24"/>
          <w:szCs w:val="24"/>
        </w:rPr>
        <w:t xml:space="preserve"> Renforcement des capacités d’exécution de l’UIP par la fourniture : (i) d’un véhicule et d’équipement pour l’UIP ; et (ii) formation et services de consultants pour la réalisation d’études institutionnelles et techniques.</w:t>
      </w:r>
    </w:p>
    <w:p w:rsidR="009B02CA" w:rsidRPr="006C0C34" w:rsidRDefault="009B02CA" w:rsidP="00095CF9">
      <w:pPr>
        <w:pStyle w:val="PargrafodaLista"/>
        <w:numPr>
          <w:ilvl w:val="0"/>
          <w:numId w:val="9"/>
        </w:numPr>
        <w:spacing w:after="120" w:line="240" w:lineRule="auto"/>
        <w:contextualSpacing w:val="0"/>
        <w:jc w:val="both"/>
        <w:rPr>
          <w:rFonts w:ascii="Times New Roman" w:hAnsi="Times New Roman"/>
          <w:sz w:val="24"/>
          <w:szCs w:val="24"/>
        </w:rPr>
      </w:pPr>
      <w:r w:rsidRPr="006C0C34">
        <w:rPr>
          <w:rFonts w:ascii="Times New Roman" w:hAnsi="Times New Roman"/>
          <w:sz w:val="24"/>
          <w:szCs w:val="24"/>
        </w:rPr>
        <w:t>Renforcement des capacités d’EAGB sur le plan social, ainsi que par la fourniture : (i) d’audits techniques des performances d’EAGB, incluant un audit externe du programme d’achat de combustible ; (ii) d’audits des comptes financiers d’EAGB ; et (iii) formations et assistance technique pour une meilleure gestion opérationnelle d’EAGB.</w:t>
      </w:r>
    </w:p>
    <w:p w:rsidR="009B02CA" w:rsidRPr="006C0C34" w:rsidRDefault="009B02CA" w:rsidP="00095CF9">
      <w:pPr>
        <w:pStyle w:val="PargrafodaLista"/>
        <w:numPr>
          <w:ilvl w:val="0"/>
          <w:numId w:val="9"/>
        </w:numPr>
        <w:spacing w:after="0" w:line="240" w:lineRule="auto"/>
        <w:contextualSpacing w:val="0"/>
        <w:jc w:val="both"/>
        <w:rPr>
          <w:rFonts w:ascii="Times New Roman" w:hAnsi="Times New Roman"/>
          <w:sz w:val="24"/>
          <w:szCs w:val="24"/>
        </w:rPr>
      </w:pPr>
      <w:r w:rsidRPr="006C0C34">
        <w:rPr>
          <w:rFonts w:ascii="Times New Roman" w:hAnsi="Times New Roman"/>
          <w:sz w:val="24"/>
          <w:szCs w:val="24"/>
        </w:rPr>
        <w:t>Appui à la gestion environnementale et sociale du projet envisagé et renforcement des capacités en matière de sauvegarde.</w:t>
      </w:r>
    </w:p>
    <w:p w:rsidR="009B02CA" w:rsidRPr="006C0C34" w:rsidRDefault="009B02CA" w:rsidP="009B02CA">
      <w:pPr>
        <w:pStyle w:val="PargrafodaLista"/>
        <w:spacing w:after="120" w:line="240" w:lineRule="auto"/>
        <w:contextualSpacing w:val="0"/>
        <w:jc w:val="both"/>
        <w:rPr>
          <w:rFonts w:ascii="Times New Roman" w:hAnsi="Times New Roman"/>
          <w:sz w:val="24"/>
          <w:szCs w:val="24"/>
        </w:rPr>
      </w:pPr>
    </w:p>
    <w:p w:rsidR="009B02CA" w:rsidRPr="006C0C34" w:rsidRDefault="003B7939" w:rsidP="009B02CA">
      <w:pPr>
        <w:pStyle w:val="PargrafodaLista"/>
        <w:keepNext/>
        <w:spacing w:before="240" w:after="240"/>
        <w:ind w:left="450" w:right="284" w:hanging="450"/>
        <w:jc w:val="both"/>
        <w:outlineLvl w:val="1"/>
        <w:rPr>
          <w:rFonts w:ascii="Times New Roman" w:hAnsi="Times New Roman"/>
          <w:b/>
          <w:sz w:val="24"/>
          <w:szCs w:val="24"/>
          <w:lang w:val="fr-FR" w:eastAsia="fr-FR"/>
        </w:rPr>
      </w:pPr>
      <w:bookmarkStart w:id="40" w:name="_Toc527882016"/>
      <w:bookmarkStart w:id="41" w:name="_Toc51072506"/>
      <w:r>
        <w:rPr>
          <w:rFonts w:ascii="Times New Roman" w:hAnsi="Times New Roman"/>
          <w:b/>
          <w:sz w:val="24"/>
          <w:szCs w:val="24"/>
          <w:lang w:val="fr-FR" w:eastAsia="fr-FR"/>
        </w:rPr>
        <w:t>2</w:t>
      </w:r>
      <w:r w:rsidR="009B02CA" w:rsidRPr="006C0C34">
        <w:rPr>
          <w:rFonts w:ascii="Times New Roman" w:hAnsi="Times New Roman"/>
          <w:b/>
          <w:sz w:val="24"/>
          <w:szCs w:val="24"/>
          <w:lang w:val="fr-FR" w:eastAsia="fr-FR"/>
        </w:rPr>
        <w:t xml:space="preserve">.2.  OBJECTIF DU PROJET </w:t>
      </w:r>
      <w:bookmarkEnd w:id="40"/>
      <w:r w:rsidR="00DA6B28">
        <w:rPr>
          <w:rFonts w:ascii="Times New Roman" w:hAnsi="Times New Roman"/>
          <w:b/>
          <w:sz w:val="24"/>
          <w:szCs w:val="24"/>
          <w:lang w:val="fr-FR" w:eastAsia="fr-FR"/>
        </w:rPr>
        <w:t>PUASEE</w:t>
      </w:r>
      <w:bookmarkEnd w:id="41"/>
    </w:p>
    <w:p w:rsidR="002F3583" w:rsidRDefault="002F3583" w:rsidP="00B569DC">
      <w:pPr>
        <w:autoSpaceDE w:val="0"/>
        <w:autoSpaceDN w:val="0"/>
        <w:adjustRightInd w:val="0"/>
        <w:spacing w:after="0" w:line="240" w:lineRule="auto"/>
        <w:ind w:left="-284" w:right="-851"/>
        <w:jc w:val="both"/>
        <w:rPr>
          <w:rFonts w:ascii="Times New Roman" w:hAnsi="Times New Roman" w:cs="Times New Roman"/>
          <w:sz w:val="24"/>
          <w:szCs w:val="24"/>
        </w:rPr>
      </w:pPr>
      <w:r w:rsidRPr="007C1A28">
        <w:rPr>
          <w:rFonts w:ascii="Times New Roman" w:hAnsi="Times New Roman" w:cs="Times New Roman"/>
          <w:sz w:val="24"/>
          <w:szCs w:val="24"/>
        </w:rPr>
        <w:t>Le Gouvernement a fixé les objectifs du secteur l’eau dans le cadre du Schéma Directeur pour l`Eau et l’Assainissement et des Objectif du Millénaire de Développement (OMD), axés sur l’éradication de la pauvreté, l’amélioration de la santé des populations à travers notamment l’accès élargi à l’eau potable.</w:t>
      </w:r>
    </w:p>
    <w:p w:rsidR="00B569DC" w:rsidRPr="007C1A28" w:rsidRDefault="00B569DC" w:rsidP="00B569DC">
      <w:pPr>
        <w:autoSpaceDE w:val="0"/>
        <w:autoSpaceDN w:val="0"/>
        <w:adjustRightInd w:val="0"/>
        <w:spacing w:after="0" w:line="240" w:lineRule="auto"/>
        <w:ind w:left="-284" w:right="-851"/>
        <w:jc w:val="both"/>
        <w:rPr>
          <w:rFonts w:ascii="Times New Roman" w:hAnsi="Times New Roman" w:cs="Times New Roman"/>
          <w:sz w:val="24"/>
          <w:szCs w:val="24"/>
        </w:rPr>
      </w:pPr>
    </w:p>
    <w:p w:rsidR="002F3583" w:rsidRDefault="002F3583" w:rsidP="00B569DC">
      <w:pPr>
        <w:autoSpaceDE w:val="0"/>
        <w:autoSpaceDN w:val="0"/>
        <w:adjustRightInd w:val="0"/>
        <w:spacing w:after="0" w:line="240" w:lineRule="auto"/>
        <w:ind w:left="-284" w:right="-851"/>
        <w:jc w:val="both"/>
        <w:rPr>
          <w:rFonts w:ascii="Times New Roman" w:hAnsi="Times New Roman" w:cs="Times New Roman"/>
          <w:sz w:val="24"/>
          <w:szCs w:val="24"/>
        </w:rPr>
      </w:pPr>
      <w:r w:rsidRPr="007C1A28">
        <w:rPr>
          <w:rFonts w:ascii="Times New Roman" w:hAnsi="Times New Roman" w:cs="Times New Roman"/>
          <w:sz w:val="24"/>
          <w:szCs w:val="24"/>
        </w:rPr>
        <w:t>Avec l’appui de la Banque Mondiale (BM) et de la Banque Ouest Africain pour le Développement (BOAD), le Gouvernement de la République de Guinée-Bissau s’est engagé dans la réforme des secteurs électricité et d`eau en vue de restaurer une qualité de service acceptable pour l’eau et l’électricité à Bissau et ainsi relancer le développement durable des deux sous-secteurs avec la mise en œuvre du Projet Multisectoriel de Réhabilitation des Infrastructures (PMRI) et du Projet d`Urgence Réhabilitation des secteurs Électricité et Eau (PURSEE).</w:t>
      </w:r>
    </w:p>
    <w:p w:rsidR="002F3583" w:rsidRDefault="002F3583" w:rsidP="00B569DC">
      <w:pPr>
        <w:autoSpaceDE w:val="0"/>
        <w:autoSpaceDN w:val="0"/>
        <w:adjustRightInd w:val="0"/>
        <w:spacing w:after="0" w:line="240" w:lineRule="auto"/>
        <w:ind w:left="-284" w:right="-851"/>
        <w:jc w:val="both"/>
        <w:rPr>
          <w:rFonts w:ascii="Times New Roman" w:hAnsi="Times New Roman" w:cs="Times New Roman"/>
          <w:sz w:val="24"/>
          <w:szCs w:val="24"/>
        </w:rPr>
      </w:pPr>
      <w:r w:rsidRPr="007C1A28">
        <w:rPr>
          <w:rFonts w:ascii="Times New Roman" w:hAnsi="Times New Roman" w:cs="Times New Roman"/>
          <w:sz w:val="24"/>
          <w:szCs w:val="24"/>
        </w:rPr>
        <w:t>Plusieurs quartiers de Bissau, qui ne sont pas concernés par ces projets, éprouvent toujours un problème crucial d’eau potable à tel point que la majorité des communautés s’approvisionnent dans les puits traditionnels, avec des eaux insalubres, cause des nombreuses maladies (bilharziose, maux de ventre, diarrhée, …).</w:t>
      </w:r>
    </w:p>
    <w:p w:rsidR="00DA6B28" w:rsidRPr="007C1A28" w:rsidRDefault="00DA6B28" w:rsidP="00B569DC">
      <w:pPr>
        <w:autoSpaceDE w:val="0"/>
        <w:autoSpaceDN w:val="0"/>
        <w:adjustRightInd w:val="0"/>
        <w:spacing w:after="0" w:line="240" w:lineRule="auto"/>
        <w:ind w:left="-284" w:right="-851"/>
        <w:jc w:val="both"/>
        <w:rPr>
          <w:rFonts w:ascii="Times New Roman" w:hAnsi="Times New Roman" w:cs="Times New Roman"/>
          <w:sz w:val="24"/>
          <w:szCs w:val="24"/>
        </w:rPr>
      </w:pPr>
    </w:p>
    <w:p w:rsidR="009B02CA" w:rsidRDefault="009B02CA" w:rsidP="00B569DC">
      <w:pPr>
        <w:autoSpaceDE w:val="0"/>
        <w:autoSpaceDN w:val="0"/>
        <w:adjustRightInd w:val="0"/>
        <w:spacing w:after="0" w:line="240" w:lineRule="auto"/>
        <w:ind w:left="-284" w:right="-851"/>
        <w:jc w:val="both"/>
        <w:rPr>
          <w:rFonts w:ascii="Times New Roman" w:hAnsi="Times New Roman" w:cs="Times New Roman"/>
          <w:sz w:val="24"/>
          <w:szCs w:val="24"/>
        </w:rPr>
      </w:pPr>
      <w:r w:rsidRPr="007C1A28">
        <w:rPr>
          <w:rFonts w:ascii="Times New Roman" w:hAnsi="Times New Roman" w:cs="Times New Roman"/>
          <w:sz w:val="24"/>
          <w:szCs w:val="24"/>
        </w:rPr>
        <w:t>L’objectif de développement du projet envisagé est le suivant : (i) rétablir et élargir l’accès de la population de Bissau à l’eau potable et améliorer la qualité des services d’alimentation en eau ; et (ii) améliorer la fiabilité de la fourniture d’électricité à la population de Bissau.</w:t>
      </w:r>
    </w:p>
    <w:p w:rsidR="00DA6B28" w:rsidRPr="007C1A28" w:rsidRDefault="00DA6B28" w:rsidP="00B569DC">
      <w:pPr>
        <w:autoSpaceDE w:val="0"/>
        <w:autoSpaceDN w:val="0"/>
        <w:adjustRightInd w:val="0"/>
        <w:spacing w:after="0" w:line="240" w:lineRule="auto"/>
        <w:ind w:left="-284" w:right="-851"/>
        <w:jc w:val="both"/>
        <w:rPr>
          <w:rFonts w:ascii="Times New Roman" w:hAnsi="Times New Roman" w:cs="Times New Roman"/>
          <w:sz w:val="24"/>
          <w:szCs w:val="24"/>
        </w:rPr>
      </w:pPr>
    </w:p>
    <w:p w:rsidR="009B02CA" w:rsidRPr="007C1A28" w:rsidRDefault="009B02CA" w:rsidP="00B569DC">
      <w:pPr>
        <w:autoSpaceDE w:val="0"/>
        <w:autoSpaceDN w:val="0"/>
        <w:adjustRightInd w:val="0"/>
        <w:spacing w:after="0" w:line="240" w:lineRule="auto"/>
        <w:ind w:left="-284" w:right="-851"/>
        <w:jc w:val="both"/>
        <w:rPr>
          <w:rFonts w:ascii="Times New Roman" w:hAnsi="Times New Roman" w:cs="Times New Roman"/>
          <w:sz w:val="24"/>
          <w:szCs w:val="24"/>
        </w:rPr>
      </w:pPr>
      <w:r w:rsidRPr="007C1A28">
        <w:rPr>
          <w:rFonts w:ascii="Times New Roman" w:hAnsi="Times New Roman" w:cs="Times New Roman"/>
          <w:sz w:val="24"/>
          <w:szCs w:val="24"/>
        </w:rPr>
        <w:t>Objectifs spécifiques :</w:t>
      </w:r>
    </w:p>
    <w:p w:rsidR="009B02CA" w:rsidRPr="007C1A28" w:rsidRDefault="009B02CA" w:rsidP="00095CF9">
      <w:pPr>
        <w:pStyle w:val="PargrafodaLista"/>
        <w:numPr>
          <w:ilvl w:val="0"/>
          <w:numId w:val="11"/>
        </w:numPr>
        <w:spacing w:after="0" w:line="240" w:lineRule="auto"/>
        <w:ind w:left="426" w:right="-851" w:hanging="284"/>
        <w:jc w:val="both"/>
        <w:rPr>
          <w:rFonts w:ascii="Times New Roman" w:hAnsi="Times New Roman"/>
          <w:sz w:val="24"/>
          <w:szCs w:val="24"/>
          <w:lang w:val="fr-FR"/>
        </w:rPr>
      </w:pPr>
      <w:r w:rsidRPr="007C1A28">
        <w:rPr>
          <w:rFonts w:ascii="Times New Roman" w:hAnsi="Times New Roman"/>
          <w:sz w:val="24"/>
          <w:szCs w:val="24"/>
          <w:lang w:val="fr-FR"/>
        </w:rPr>
        <w:t>Accroître la pression de l’eau dans les conduites de distribution et au niveau des branchements.</w:t>
      </w:r>
    </w:p>
    <w:p w:rsidR="009B02CA" w:rsidRPr="007C1A28" w:rsidRDefault="009B02CA" w:rsidP="00095CF9">
      <w:pPr>
        <w:pStyle w:val="PargrafodaLista"/>
        <w:numPr>
          <w:ilvl w:val="0"/>
          <w:numId w:val="11"/>
        </w:numPr>
        <w:spacing w:after="0" w:line="240" w:lineRule="auto"/>
        <w:ind w:left="426" w:right="-851" w:hanging="284"/>
        <w:jc w:val="both"/>
        <w:rPr>
          <w:rFonts w:ascii="Times New Roman" w:hAnsi="Times New Roman"/>
          <w:sz w:val="24"/>
          <w:szCs w:val="24"/>
          <w:lang w:val="fr-FR"/>
        </w:rPr>
      </w:pPr>
      <w:r w:rsidRPr="007C1A28">
        <w:rPr>
          <w:rFonts w:ascii="Times New Roman" w:hAnsi="Times New Roman"/>
          <w:sz w:val="24"/>
          <w:szCs w:val="24"/>
          <w:lang w:val="fr-FR"/>
        </w:rPr>
        <w:t>Alimenter en eau potable les quartiers péri-urbaines non desservis, connecter au réseau des ménages en grande majorité pauvres à des conditions abordables et desservir les zones où la densité de la population ne peut justifier la construction de réseaux de distribution tertiaires.</w:t>
      </w:r>
    </w:p>
    <w:p w:rsidR="009B02CA" w:rsidRPr="007C1A28" w:rsidRDefault="009B02CA" w:rsidP="00095CF9">
      <w:pPr>
        <w:pStyle w:val="PargrafodaLista"/>
        <w:numPr>
          <w:ilvl w:val="0"/>
          <w:numId w:val="11"/>
        </w:numPr>
        <w:spacing w:after="0" w:line="240" w:lineRule="auto"/>
        <w:ind w:left="426" w:right="-851" w:hanging="284"/>
        <w:jc w:val="both"/>
        <w:rPr>
          <w:rFonts w:ascii="Times New Roman" w:hAnsi="Times New Roman"/>
          <w:sz w:val="24"/>
          <w:szCs w:val="24"/>
          <w:lang w:val="fr-FR"/>
        </w:rPr>
      </w:pPr>
      <w:r w:rsidRPr="007C1A28">
        <w:rPr>
          <w:rFonts w:ascii="Times New Roman" w:hAnsi="Times New Roman"/>
          <w:sz w:val="24"/>
          <w:szCs w:val="24"/>
          <w:lang w:val="fr-FR"/>
        </w:rPr>
        <w:t>Aider à réduire les pertes techniques et commerciales.</w:t>
      </w:r>
    </w:p>
    <w:p w:rsidR="002F3583" w:rsidRPr="007C1A28" w:rsidRDefault="009B02CA" w:rsidP="00095CF9">
      <w:pPr>
        <w:pStyle w:val="PargrafodaLista"/>
        <w:numPr>
          <w:ilvl w:val="0"/>
          <w:numId w:val="11"/>
        </w:numPr>
        <w:spacing w:after="0" w:line="240" w:lineRule="auto"/>
        <w:ind w:left="426" w:right="-851" w:hanging="284"/>
        <w:jc w:val="both"/>
        <w:rPr>
          <w:rFonts w:ascii="Times New Roman" w:hAnsi="Times New Roman"/>
          <w:sz w:val="24"/>
          <w:szCs w:val="24"/>
          <w:lang w:val="fr-FR"/>
        </w:rPr>
      </w:pPr>
      <w:r w:rsidRPr="007C1A28">
        <w:rPr>
          <w:rFonts w:ascii="Times New Roman" w:hAnsi="Times New Roman"/>
          <w:sz w:val="24"/>
          <w:szCs w:val="24"/>
          <w:lang w:val="fr-FR"/>
        </w:rPr>
        <w:lastRenderedPageBreak/>
        <w:t>Améliorer la qualité de la tension, à réduire les coupures et à améliorer la fiabilité de la distribution, mais aussi à réduire les pertes techniques sur les réseaux de distribution MT et BT.</w:t>
      </w:r>
    </w:p>
    <w:p w:rsidR="00DA6B28" w:rsidRDefault="00DA6B28" w:rsidP="00DA6B28">
      <w:pPr>
        <w:spacing w:after="0"/>
        <w:jc w:val="both"/>
        <w:rPr>
          <w:rFonts w:ascii="Times New Roman" w:hAnsi="Times New Roman" w:cs="Times New Roman"/>
          <w:sz w:val="24"/>
          <w:szCs w:val="24"/>
        </w:rPr>
      </w:pPr>
    </w:p>
    <w:p w:rsidR="002F3583" w:rsidRDefault="002F3583" w:rsidP="000623F6">
      <w:pPr>
        <w:shd w:val="clear" w:color="auto" w:fill="FFFFFF" w:themeFill="background1"/>
        <w:autoSpaceDE w:val="0"/>
        <w:autoSpaceDN w:val="0"/>
        <w:adjustRightInd w:val="0"/>
        <w:spacing w:after="0" w:line="240" w:lineRule="auto"/>
        <w:ind w:left="-284" w:right="-851"/>
        <w:jc w:val="both"/>
        <w:rPr>
          <w:rFonts w:ascii="Times New Roman" w:hAnsi="Times New Roman" w:cs="Times New Roman"/>
          <w:sz w:val="24"/>
          <w:szCs w:val="24"/>
        </w:rPr>
      </w:pPr>
      <w:r w:rsidRPr="007C1A28">
        <w:rPr>
          <w:rFonts w:ascii="Times New Roman" w:hAnsi="Times New Roman" w:cs="Times New Roman"/>
          <w:sz w:val="24"/>
          <w:szCs w:val="24"/>
        </w:rPr>
        <w:t xml:space="preserve">En vue de réduire ces effets négatifs et d`améliorer les conditions d’hygiène de la population à travers l’accès à l’eau potable, le Gouvernement et son Partenaire (Banque Mondiale) ont mis en place </w:t>
      </w:r>
      <w:r w:rsidR="007C1A28" w:rsidRPr="007C1A28">
        <w:rPr>
          <w:rFonts w:ascii="Times New Roman" w:hAnsi="Times New Roman" w:cs="Times New Roman"/>
          <w:sz w:val="24"/>
          <w:szCs w:val="24"/>
        </w:rPr>
        <w:t>le projet d’urgence pour l’amélioration des services d’eau potable et d’électricité</w:t>
      </w:r>
      <w:r w:rsidR="007C1A28">
        <w:rPr>
          <w:rFonts w:ascii="Times New Roman" w:hAnsi="Times New Roman" w:cs="Times New Roman"/>
          <w:sz w:val="24"/>
          <w:szCs w:val="24"/>
        </w:rPr>
        <w:t xml:space="preserve"> pour la ville de B</w:t>
      </w:r>
      <w:r w:rsidR="007C1A28" w:rsidRPr="007C1A28">
        <w:rPr>
          <w:rFonts w:ascii="Times New Roman" w:hAnsi="Times New Roman" w:cs="Times New Roman"/>
          <w:sz w:val="24"/>
          <w:szCs w:val="24"/>
        </w:rPr>
        <w:t xml:space="preserve">issau </w:t>
      </w:r>
      <w:r w:rsidR="007C1A28">
        <w:rPr>
          <w:rFonts w:ascii="Times New Roman" w:hAnsi="Times New Roman" w:cs="Times New Roman"/>
          <w:sz w:val="24"/>
          <w:szCs w:val="24"/>
        </w:rPr>
        <w:t>(PUASEE</w:t>
      </w:r>
      <w:r w:rsidR="000623F6">
        <w:rPr>
          <w:rFonts w:ascii="Times New Roman" w:hAnsi="Times New Roman" w:cs="Times New Roman"/>
          <w:sz w:val="24"/>
          <w:szCs w:val="24"/>
        </w:rPr>
        <w:t>-FA</w:t>
      </w:r>
      <w:r w:rsidR="007C1A28">
        <w:rPr>
          <w:rFonts w:ascii="Times New Roman" w:hAnsi="Times New Roman" w:cs="Times New Roman"/>
          <w:sz w:val="24"/>
          <w:szCs w:val="24"/>
        </w:rPr>
        <w:t>).</w:t>
      </w:r>
    </w:p>
    <w:p w:rsidR="00DA6B28" w:rsidRDefault="00DA6B28" w:rsidP="00DA6B28">
      <w:pPr>
        <w:autoSpaceDE w:val="0"/>
        <w:autoSpaceDN w:val="0"/>
        <w:adjustRightInd w:val="0"/>
        <w:spacing w:after="0" w:line="240" w:lineRule="auto"/>
        <w:ind w:left="-284" w:right="-851"/>
        <w:jc w:val="both"/>
        <w:rPr>
          <w:rFonts w:ascii="Times New Roman" w:hAnsi="Times New Roman" w:cs="Times New Roman"/>
          <w:sz w:val="24"/>
          <w:szCs w:val="24"/>
        </w:rPr>
      </w:pPr>
    </w:p>
    <w:p w:rsidR="00DA6B28" w:rsidRPr="006C0C34" w:rsidRDefault="003B7939" w:rsidP="00DA6B28">
      <w:pPr>
        <w:pStyle w:val="PargrafodaLista"/>
        <w:keepNext/>
        <w:spacing w:after="240"/>
        <w:ind w:left="450" w:right="284" w:hanging="450"/>
        <w:jc w:val="both"/>
        <w:outlineLvl w:val="1"/>
        <w:rPr>
          <w:rFonts w:ascii="Times New Roman" w:hAnsi="Times New Roman"/>
          <w:b/>
          <w:sz w:val="24"/>
          <w:szCs w:val="24"/>
          <w:lang w:val="fr-FR" w:eastAsia="fr-FR"/>
        </w:rPr>
      </w:pPr>
      <w:bookmarkStart w:id="42" w:name="_Toc51072507"/>
      <w:r>
        <w:rPr>
          <w:rFonts w:ascii="Times New Roman" w:hAnsi="Times New Roman"/>
          <w:b/>
          <w:sz w:val="24"/>
          <w:szCs w:val="24"/>
          <w:lang w:val="fr-FR" w:eastAsia="fr-FR"/>
        </w:rPr>
        <w:t>2</w:t>
      </w:r>
      <w:r w:rsidR="00DA6B28">
        <w:rPr>
          <w:rFonts w:ascii="Times New Roman" w:hAnsi="Times New Roman"/>
          <w:b/>
          <w:sz w:val="24"/>
          <w:szCs w:val="24"/>
          <w:lang w:val="fr-FR" w:eastAsia="fr-FR"/>
        </w:rPr>
        <w:t xml:space="preserve">.3. </w:t>
      </w:r>
      <w:r w:rsidR="00DA6B28" w:rsidRPr="006C0C34">
        <w:rPr>
          <w:rFonts w:ascii="Times New Roman" w:hAnsi="Times New Roman"/>
          <w:b/>
          <w:sz w:val="24"/>
          <w:szCs w:val="24"/>
          <w:lang w:val="fr-FR" w:eastAsia="fr-FR"/>
        </w:rPr>
        <w:t xml:space="preserve">OBJECTIF DU PROJET </w:t>
      </w:r>
      <w:r w:rsidR="00DA6B28">
        <w:rPr>
          <w:rFonts w:ascii="Times New Roman" w:hAnsi="Times New Roman"/>
          <w:b/>
          <w:sz w:val="24"/>
          <w:szCs w:val="24"/>
          <w:lang w:val="fr-FR" w:eastAsia="fr-FR"/>
        </w:rPr>
        <w:t>PUASEE-FA</w:t>
      </w:r>
      <w:bookmarkEnd w:id="42"/>
    </w:p>
    <w:p w:rsidR="000623F6" w:rsidRDefault="000623F6" w:rsidP="000623F6">
      <w:pPr>
        <w:pBdr>
          <w:top w:val="outset" w:sz="12" w:space="1" w:color="auto"/>
          <w:left w:val="outset" w:sz="12" w:space="4" w:color="auto"/>
          <w:bottom w:val="inset" w:sz="12" w:space="1" w:color="auto"/>
          <w:right w:val="inset" w:sz="12" w:space="4" w:color="auto"/>
        </w:pBdr>
        <w:shd w:val="clear" w:color="auto" w:fill="FFE599" w:themeFill="accent4" w:themeFillTint="66"/>
        <w:autoSpaceDE w:val="0"/>
        <w:autoSpaceDN w:val="0"/>
        <w:adjustRightInd w:val="0"/>
        <w:spacing w:after="0" w:line="240" w:lineRule="auto"/>
        <w:ind w:left="-284" w:right="-851"/>
        <w:jc w:val="both"/>
        <w:rPr>
          <w:rFonts w:ascii="Times New Roman" w:hAnsi="Times New Roman" w:cs="Times New Roman"/>
          <w:sz w:val="24"/>
          <w:szCs w:val="24"/>
        </w:rPr>
      </w:pPr>
      <w:r w:rsidRPr="00AE0B72">
        <w:rPr>
          <w:rFonts w:ascii="Times New Roman" w:hAnsi="Times New Roman" w:cs="Times New Roman"/>
          <w:sz w:val="24"/>
          <w:szCs w:val="24"/>
        </w:rPr>
        <w:t>Le Projet a été mis en vigueur en juillet 2014 et sa date de clôture était initialement prévue au 30 juin 2018. La Banque Mondiale et les autorités bissau-guinéennes ont cependant convenu de la préparation d’un Financement Additionnel (FA) au projet pour appui à de nouvelles actions, dans les domaines suivants :</w:t>
      </w:r>
    </w:p>
    <w:p w:rsidR="000623F6" w:rsidRPr="00AE0B72" w:rsidRDefault="000623F6" w:rsidP="00FA3FAE">
      <w:pPr>
        <w:pStyle w:val="PargrafodaLista"/>
        <w:numPr>
          <w:ilvl w:val="0"/>
          <w:numId w:val="61"/>
        </w:numPr>
        <w:spacing w:before="120" w:after="0" w:line="240" w:lineRule="auto"/>
        <w:jc w:val="both"/>
        <w:rPr>
          <w:rFonts w:ascii="Times New Roman" w:hAnsi="Times New Roman"/>
          <w:sz w:val="24"/>
          <w:szCs w:val="24"/>
          <w:lang w:val="fr-FR"/>
        </w:rPr>
      </w:pPr>
      <w:r w:rsidRPr="00AE0B72">
        <w:rPr>
          <w:rFonts w:ascii="Times New Roman" w:hAnsi="Times New Roman"/>
          <w:sz w:val="24"/>
          <w:szCs w:val="24"/>
          <w:lang w:val="fr-FR"/>
        </w:rPr>
        <w:t>Renforcement de la capacité de production d`eau ;</w:t>
      </w:r>
    </w:p>
    <w:p w:rsidR="000623F6" w:rsidRPr="00AE0B72" w:rsidRDefault="000623F6" w:rsidP="00FA3FAE">
      <w:pPr>
        <w:pStyle w:val="PargrafodaLista"/>
        <w:numPr>
          <w:ilvl w:val="0"/>
          <w:numId w:val="61"/>
        </w:numPr>
        <w:spacing w:before="120" w:after="0" w:line="240" w:lineRule="auto"/>
        <w:jc w:val="both"/>
        <w:rPr>
          <w:rFonts w:ascii="Times New Roman" w:hAnsi="Times New Roman"/>
          <w:sz w:val="24"/>
          <w:szCs w:val="24"/>
          <w:lang w:val="fr-FR"/>
        </w:rPr>
      </w:pPr>
      <w:r w:rsidRPr="00AE0B72">
        <w:rPr>
          <w:rFonts w:ascii="Times New Roman" w:hAnsi="Times New Roman"/>
          <w:sz w:val="24"/>
          <w:szCs w:val="24"/>
          <w:lang w:val="fr-FR"/>
        </w:rPr>
        <w:t>Augmentation de capacité de stockage ;</w:t>
      </w:r>
    </w:p>
    <w:p w:rsidR="000623F6" w:rsidRPr="00AE0B72" w:rsidRDefault="000623F6" w:rsidP="00FA3FAE">
      <w:pPr>
        <w:pStyle w:val="PargrafodaLista"/>
        <w:numPr>
          <w:ilvl w:val="0"/>
          <w:numId w:val="61"/>
        </w:numPr>
        <w:spacing w:before="120" w:after="0" w:line="240" w:lineRule="auto"/>
        <w:jc w:val="both"/>
        <w:rPr>
          <w:rFonts w:ascii="Times New Roman" w:hAnsi="Times New Roman"/>
          <w:sz w:val="24"/>
          <w:szCs w:val="24"/>
          <w:lang w:val="fr-FR"/>
        </w:rPr>
      </w:pPr>
      <w:r w:rsidRPr="00AE0B72">
        <w:rPr>
          <w:rFonts w:ascii="Times New Roman" w:hAnsi="Times New Roman"/>
          <w:sz w:val="24"/>
          <w:szCs w:val="24"/>
          <w:lang w:val="fr-FR"/>
        </w:rPr>
        <w:t>Réhabilitation de réseaux existants ;</w:t>
      </w:r>
    </w:p>
    <w:p w:rsidR="000623F6" w:rsidRPr="00AE0B72" w:rsidRDefault="000623F6" w:rsidP="00FA3FAE">
      <w:pPr>
        <w:pStyle w:val="PargrafodaLista"/>
        <w:numPr>
          <w:ilvl w:val="0"/>
          <w:numId w:val="61"/>
        </w:numPr>
        <w:spacing w:before="120" w:after="0" w:line="240" w:lineRule="auto"/>
        <w:jc w:val="both"/>
        <w:rPr>
          <w:rFonts w:ascii="Times New Roman" w:hAnsi="Times New Roman"/>
          <w:sz w:val="24"/>
          <w:szCs w:val="24"/>
          <w:lang w:val="fr-FR"/>
        </w:rPr>
      </w:pPr>
      <w:r w:rsidRPr="00AE0B72">
        <w:rPr>
          <w:rFonts w:ascii="Times New Roman" w:hAnsi="Times New Roman"/>
          <w:sz w:val="24"/>
          <w:szCs w:val="24"/>
          <w:lang w:val="fr-FR"/>
        </w:rPr>
        <w:t>Extension des réseaux secondaires et tertiaires et réalisation de branchements sociaux et de bornes fontaines dans les quartiers périphériques.</w:t>
      </w:r>
    </w:p>
    <w:p w:rsidR="000623F6" w:rsidRDefault="000623F6" w:rsidP="00DA6B28">
      <w:pPr>
        <w:autoSpaceDE w:val="0"/>
        <w:autoSpaceDN w:val="0"/>
        <w:adjustRightInd w:val="0"/>
        <w:spacing w:after="0" w:line="240" w:lineRule="auto"/>
        <w:ind w:left="-284" w:right="-851"/>
        <w:jc w:val="both"/>
        <w:rPr>
          <w:rFonts w:ascii="Times New Roman" w:hAnsi="Times New Roman" w:cs="Times New Roman"/>
          <w:sz w:val="24"/>
          <w:szCs w:val="24"/>
        </w:rPr>
      </w:pPr>
    </w:p>
    <w:p w:rsidR="00960124" w:rsidRPr="00AE0B72" w:rsidRDefault="00960124" w:rsidP="00DA6B28">
      <w:pPr>
        <w:autoSpaceDE w:val="0"/>
        <w:autoSpaceDN w:val="0"/>
        <w:adjustRightInd w:val="0"/>
        <w:spacing w:after="0" w:line="240" w:lineRule="auto"/>
        <w:ind w:left="-284" w:right="-851"/>
        <w:jc w:val="both"/>
        <w:rPr>
          <w:rFonts w:ascii="Times New Roman" w:hAnsi="Times New Roman" w:cs="Times New Roman"/>
          <w:sz w:val="24"/>
          <w:szCs w:val="24"/>
        </w:rPr>
      </w:pPr>
      <w:r w:rsidRPr="00AE0B72">
        <w:rPr>
          <w:rFonts w:ascii="Times New Roman" w:hAnsi="Times New Roman" w:cs="Times New Roman"/>
          <w:sz w:val="24"/>
          <w:szCs w:val="24"/>
        </w:rPr>
        <w:t xml:space="preserve">L’objectif de développement du projet </w:t>
      </w:r>
      <w:r w:rsidRPr="00DA6B28">
        <w:rPr>
          <w:rFonts w:ascii="Times New Roman" w:hAnsi="Times New Roman" w:cs="Times New Roman"/>
          <w:sz w:val="24"/>
          <w:szCs w:val="24"/>
        </w:rPr>
        <w:t>PUASEE</w:t>
      </w:r>
      <w:r w:rsidR="000623F6">
        <w:rPr>
          <w:rFonts w:ascii="Times New Roman" w:hAnsi="Times New Roman" w:cs="Times New Roman"/>
          <w:sz w:val="24"/>
          <w:szCs w:val="24"/>
        </w:rPr>
        <w:t>-FA</w:t>
      </w:r>
      <w:r w:rsidRPr="00AE0B72">
        <w:rPr>
          <w:rFonts w:ascii="Times New Roman" w:hAnsi="Times New Roman" w:cs="Times New Roman"/>
          <w:sz w:val="24"/>
          <w:szCs w:val="24"/>
        </w:rPr>
        <w:t xml:space="preserve"> est le suivant :</w:t>
      </w:r>
    </w:p>
    <w:p w:rsidR="00960124" w:rsidRPr="00AE0B72" w:rsidRDefault="00960124" w:rsidP="00FA3FAE">
      <w:pPr>
        <w:pStyle w:val="PargrafodaLista"/>
        <w:numPr>
          <w:ilvl w:val="0"/>
          <w:numId w:val="47"/>
        </w:numPr>
        <w:spacing w:before="120" w:after="0" w:line="240" w:lineRule="auto"/>
        <w:ind w:left="567" w:right="-709" w:hanging="425"/>
        <w:contextualSpacing w:val="0"/>
        <w:jc w:val="both"/>
        <w:rPr>
          <w:rFonts w:ascii="Times New Roman" w:hAnsi="Times New Roman"/>
          <w:sz w:val="24"/>
          <w:szCs w:val="24"/>
          <w:lang w:val="fr-FR"/>
        </w:rPr>
      </w:pPr>
      <w:r w:rsidRPr="00AE0B72">
        <w:rPr>
          <w:rFonts w:ascii="Times New Roman" w:hAnsi="Times New Roman"/>
          <w:sz w:val="24"/>
          <w:szCs w:val="24"/>
          <w:lang w:val="fr-FR"/>
        </w:rPr>
        <w:t xml:space="preserve">Rétablir et élargir l’accès de la population de Bissau à l’eau potable et améliorer la qualité des services d’alimentation en eau ; et </w:t>
      </w:r>
    </w:p>
    <w:p w:rsidR="00960124" w:rsidRDefault="00960124" w:rsidP="00FA3FAE">
      <w:pPr>
        <w:pStyle w:val="PargrafodaLista"/>
        <w:numPr>
          <w:ilvl w:val="0"/>
          <w:numId w:val="47"/>
        </w:numPr>
        <w:spacing w:before="120" w:after="0" w:line="240" w:lineRule="auto"/>
        <w:ind w:left="567" w:right="-709" w:hanging="425"/>
        <w:contextualSpacing w:val="0"/>
        <w:jc w:val="both"/>
        <w:rPr>
          <w:rFonts w:ascii="Times New Roman" w:hAnsi="Times New Roman"/>
          <w:sz w:val="24"/>
          <w:szCs w:val="24"/>
          <w:lang w:val="fr-FR"/>
        </w:rPr>
      </w:pPr>
      <w:r w:rsidRPr="00AE0B72">
        <w:rPr>
          <w:rFonts w:ascii="Times New Roman" w:hAnsi="Times New Roman"/>
          <w:sz w:val="24"/>
          <w:szCs w:val="24"/>
          <w:lang w:val="fr-FR"/>
        </w:rPr>
        <w:t>Améliorer la fiabilité de la fourniture d’électricité à la population de Bissau.</w:t>
      </w:r>
    </w:p>
    <w:p w:rsidR="0011796F" w:rsidRDefault="0011796F" w:rsidP="00DA6B28">
      <w:pPr>
        <w:pStyle w:val="PargrafodaLista"/>
        <w:keepNext/>
        <w:spacing w:before="240" w:after="240"/>
        <w:ind w:left="450" w:hanging="450"/>
        <w:jc w:val="both"/>
        <w:rPr>
          <w:rFonts w:ascii="Times New Roman" w:hAnsi="Times New Roman"/>
          <w:b/>
          <w:sz w:val="24"/>
          <w:szCs w:val="24"/>
          <w:lang w:val="fr-FR" w:eastAsia="fr-FR"/>
        </w:rPr>
      </w:pPr>
      <w:bookmarkStart w:id="43" w:name="_Toc527882017"/>
    </w:p>
    <w:p w:rsidR="009B02CA" w:rsidRPr="006C0C34" w:rsidRDefault="003B7939" w:rsidP="00DA6B28">
      <w:pPr>
        <w:pStyle w:val="PargrafodaLista"/>
        <w:keepNext/>
        <w:spacing w:after="240"/>
        <w:ind w:left="450" w:right="284" w:hanging="450"/>
        <w:jc w:val="both"/>
        <w:outlineLvl w:val="1"/>
        <w:rPr>
          <w:rFonts w:ascii="Times New Roman" w:hAnsi="Times New Roman"/>
          <w:b/>
          <w:sz w:val="24"/>
          <w:szCs w:val="24"/>
          <w:lang w:val="fr-FR" w:eastAsia="fr-FR"/>
        </w:rPr>
      </w:pPr>
      <w:bookmarkStart w:id="44" w:name="_Toc51072508"/>
      <w:r>
        <w:rPr>
          <w:rFonts w:ascii="Times New Roman" w:hAnsi="Times New Roman"/>
          <w:b/>
          <w:sz w:val="24"/>
          <w:szCs w:val="24"/>
          <w:lang w:val="fr-FR" w:eastAsia="fr-FR"/>
        </w:rPr>
        <w:t>2</w:t>
      </w:r>
      <w:r w:rsidR="00DA6B28">
        <w:rPr>
          <w:rFonts w:ascii="Times New Roman" w:hAnsi="Times New Roman"/>
          <w:b/>
          <w:sz w:val="24"/>
          <w:szCs w:val="24"/>
          <w:lang w:val="fr-FR" w:eastAsia="fr-FR"/>
        </w:rPr>
        <w:t>.4.</w:t>
      </w:r>
      <w:r w:rsidR="009B02CA" w:rsidRPr="006C0C34">
        <w:rPr>
          <w:rFonts w:ascii="Times New Roman" w:hAnsi="Times New Roman"/>
          <w:b/>
          <w:sz w:val="24"/>
          <w:szCs w:val="24"/>
          <w:lang w:val="fr-FR" w:eastAsia="fr-FR"/>
        </w:rPr>
        <w:t xml:space="preserve"> </w:t>
      </w:r>
      <w:bookmarkEnd w:id="43"/>
      <w:r w:rsidR="009B02CA" w:rsidRPr="006C0C34">
        <w:rPr>
          <w:rFonts w:ascii="Times New Roman" w:hAnsi="Times New Roman"/>
          <w:b/>
          <w:sz w:val="24"/>
          <w:szCs w:val="24"/>
          <w:lang w:val="fr-FR" w:eastAsia="fr-FR"/>
        </w:rPr>
        <w:t xml:space="preserve">LOCALISATION DU </w:t>
      </w:r>
      <w:r w:rsidR="00DA6B28">
        <w:rPr>
          <w:rFonts w:ascii="Times New Roman" w:hAnsi="Times New Roman"/>
          <w:b/>
          <w:sz w:val="24"/>
          <w:szCs w:val="24"/>
          <w:lang w:val="fr-FR" w:eastAsia="fr-FR"/>
        </w:rPr>
        <w:t>SOUS-</w:t>
      </w:r>
      <w:r w:rsidR="009B02CA" w:rsidRPr="006C0C34">
        <w:rPr>
          <w:rFonts w:ascii="Times New Roman" w:hAnsi="Times New Roman"/>
          <w:b/>
          <w:sz w:val="24"/>
          <w:szCs w:val="24"/>
          <w:lang w:val="fr-FR" w:eastAsia="fr-FR"/>
        </w:rPr>
        <w:t>PROJET</w:t>
      </w:r>
      <w:r w:rsidR="00DA6B28">
        <w:rPr>
          <w:rFonts w:ascii="Times New Roman" w:hAnsi="Times New Roman"/>
          <w:b/>
          <w:sz w:val="24"/>
          <w:szCs w:val="24"/>
          <w:lang w:val="fr-FR" w:eastAsia="fr-FR"/>
        </w:rPr>
        <w:t xml:space="preserve"> N°2 DE PUASEE-FA</w:t>
      </w:r>
      <w:bookmarkEnd w:id="44"/>
    </w:p>
    <w:p w:rsidR="005505AF" w:rsidRDefault="00344CDF" w:rsidP="00DA6B28">
      <w:pPr>
        <w:autoSpaceDE w:val="0"/>
        <w:autoSpaceDN w:val="0"/>
        <w:adjustRightInd w:val="0"/>
        <w:spacing w:after="0" w:line="240" w:lineRule="auto"/>
        <w:ind w:left="-284" w:right="-851"/>
        <w:jc w:val="both"/>
        <w:rPr>
          <w:rFonts w:ascii="Times New Roman" w:hAnsi="Times New Roman" w:cs="Times New Roman"/>
          <w:sz w:val="24"/>
          <w:szCs w:val="24"/>
        </w:rPr>
      </w:pPr>
      <w:r>
        <w:rPr>
          <w:rFonts w:ascii="Times New Roman" w:hAnsi="Times New Roman" w:cs="Times New Roman"/>
          <w:sz w:val="24"/>
          <w:szCs w:val="24"/>
        </w:rPr>
        <w:t>La c</w:t>
      </w:r>
      <w:r w:rsidR="00DA6B28">
        <w:rPr>
          <w:rFonts w:ascii="Times New Roman" w:hAnsi="Times New Roman" w:cs="Times New Roman"/>
          <w:sz w:val="24"/>
          <w:szCs w:val="24"/>
        </w:rPr>
        <w:t>onstruction de quatre</w:t>
      </w:r>
      <w:r w:rsidR="00DA6B28" w:rsidRPr="00A14405">
        <w:rPr>
          <w:rFonts w:ascii="Times New Roman" w:hAnsi="Times New Roman" w:cs="Times New Roman"/>
          <w:sz w:val="24"/>
          <w:szCs w:val="24"/>
        </w:rPr>
        <w:t xml:space="preserve"> nouveaux c</w:t>
      </w:r>
      <w:r w:rsidR="00DA6B28">
        <w:rPr>
          <w:rFonts w:ascii="Times New Roman" w:hAnsi="Times New Roman" w:cs="Times New Roman"/>
          <w:sz w:val="24"/>
          <w:szCs w:val="24"/>
        </w:rPr>
        <w:t xml:space="preserve">hâteaux d’eau (Prabis, Safim, </w:t>
      </w:r>
      <w:r w:rsidR="00DA6B28" w:rsidRPr="00A14405">
        <w:rPr>
          <w:rFonts w:ascii="Times New Roman" w:hAnsi="Times New Roman" w:cs="Times New Roman"/>
          <w:sz w:val="24"/>
          <w:szCs w:val="24"/>
        </w:rPr>
        <w:t>Bor</w:t>
      </w:r>
      <w:r w:rsidR="00DA6B28">
        <w:rPr>
          <w:rFonts w:ascii="Times New Roman" w:hAnsi="Times New Roman" w:cs="Times New Roman"/>
          <w:sz w:val="24"/>
          <w:szCs w:val="24"/>
        </w:rPr>
        <w:t xml:space="preserve"> et Antula</w:t>
      </w:r>
      <w:r w:rsidR="00DA6B28" w:rsidRPr="00A14405">
        <w:rPr>
          <w:rFonts w:ascii="Times New Roman" w:hAnsi="Times New Roman" w:cs="Times New Roman"/>
          <w:sz w:val="24"/>
          <w:szCs w:val="24"/>
        </w:rPr>
        <w:t>) et la réhabilitation des autres châteaux d’eau existants</w:t>
      </w:r>
      <w:r w:rsidR="005505AF" w:rsidRPr="00AE0B72">
        <w:rPr>
          <w:rFonts w:ascii="Times New Roman" w:hAnsi="Times New Roman" w:cs="Times New Roman"/>
          <w:sz w:val="24"/>
          <w:szCs w:val="24"/>
        </w:rPr>
        <w:t xml:space="preserve"> du </w:t>
      </w:r>
      <w:r w:rsidR="00DA6B28">
        <w:rPr>
          <w:rFonts w:ascii="Times New Roman" w:hAnsi="Times New Roman" w:cs="Times New Roman"/>
          <w:sz w:val="24"/>
          <w:szCs w:val="24"/>
        </w:rPr>
        <w:t>sous-</w:t>
      </w:r>
      <w:r w:rsidR="005505AF" w:rsidRPr="00AE0B72">
        <w:rPr>
          <w:rFonts w:ascii="Times New Roman" w:hAnsi="Times New Roman" w:cs="Times New Roman"/>
          <w:sz w:val="24"/>
          <w:szCs w:val="24"/>
        </w:rPr>
        <w:t>projet</w:t>
      </w:r>
      <w:r w:rsidR="00DA6B28">
        <w:rPr>
          <w:rFonts w:ascii="Times New Roman" w:hAnsi="Times New Roman" w:cs="Times New Roman"/>
          <w:sz w:val="24"/>
          <w:szCs w:val="24"/>
        </w:rPr>
        <w:t xml:space="preserve"> n°2 de</w:t>
      </w:r>
      <w:r w:rsidR="005505AF" w:rsidRPr="00AE0B72">
        <w:rPr>
          <w:rFonts w:ascii="Times New Roman" w:hAnsi="Times New Roman" w:cs="Times New Roman"/>
          <w:sz w:val="24"/>
          <w:szCs w:val="24"/>
        </w:rPr>
        <w:t xml:space="preserve"> PUASEE-FA von</w:t>
      </w:r>
      <w:r w:rsidR="00DA6B28">
        <w:rPr>
          <w:rFonts w:ascii="Times New Roman" w:hAnsi="Times New Roman" w:cs="Times New Roman"/>
          <w:sz w:val="24"/>
          <w:szCs w:val="24"/>
        </w:rPr>
        <w:t>t exécuter principalement dans trois</w:t>
      </w:r>
      <w:r w:rsidR="005505AF" w:rsidRPr="00AE0B72">
        <w:rPr>
          <w:rFonts w:ascii="Times New Roman" w:hAnsi="Times New Roman" w:cs="Times New Roman"/>
          <w:sz w:val="24"/>
          <w:szCs w:val="24"/>
        </w:rPr>
        <w:t xml:space="preserve"> quartiers (Aéroport, Antule-Pime et Bôr) dans la région de Bissau qui est la capitale politique et économique de la République de Guinée-Bissau et dans la région de Biombo précisément dans deux villes (Safim et Prabis).</w:t>
      </w:r>
    </w:p>
    <w:p w:rsidR="0011796F" w:rsidRPr="00AE0B72" w:rsidRDefault="0011796F" w:rsidP="005505AF">
      <w:pPr>
        <w:spacing w:after="120"/>
        <w:jc w:val="both"/>
        <w:rPr>
          <w:rFonts w:ascii="Times New Roman" w:hAnsi="Times New Roman" w:cs="Times New Roman"/>
          <w:sz w:val="24"/>
          <w:szCs w:val="24"/>
          <w:lang w:bidi="fr-FR"/>
        </w:rPr>
      </w:pPr>
    </w:p>
    <w:p w:rsidR="0011796F" w:rsidRPr="003B7939" w:rsidRDefault="0011796F" w:rsidP="003B7939">
      <w:pPr>
        <w:spacing w:before="360" w:after="240" w:line="240" w:lineRule="auto"/>
        <w:jc w:val="both"/>
        <w:outlineLvl w:val="1"/>
        <w:rPr>
          <w:rFonts w:ascii="Times New Roman" w:hAnsi="Times New Roman"/>
          <w:b/>
          <w:sz w:val="24"/>
          <w:szCs w:val="24"/>
        </w:rPr>
        <w:sectPr w:rsidR="0011796F" w:rsidRPr="003B7939" w:rsidSect="00362638">
          <w:headerReference w:type="default" r:id="rId25"/>
          <w:footerReference w:type="default" r:id="rId26"/>
          <w:footerReference w:type="first" r:id="rId27"/>
          <w:pgSz w:w="11906" w:h="16838"/>
          <w:pgMar w:top="992" w:right="1418" w:bottom="1418" w:left="1418" w:header="284" w:footer="0" w:gutter="0"/>
          <w:cols w:space="708"/>
          <w:docGrid w:linePitch="360"/>
        </w:sectPr>
      </w:pPr>
      <w:bookmarkStart w:id="45" w:name="_Toc20820268"/>
      <w:bookmarkStart w:id="46" w:name="_Toc21355389"/>
    </w:p>
    <w:bookmarkStart w:id="47" w:name="_Toc51072509"/>
    <w:p w:rsidR="00AF76B8" w:rsidRPr="00F60CD0" w:rsidRDefault="0047697F" w:rsidP="00820701">
      <w:pPr>
        <w:pStyle w:val="Cabealho3"/>
      </w:pPr>
      <w:r>
        <w:rPr>
          <w:noProof/>
          <w:lang w:val="pt-PT" w:eastAsia="pt-PT"/>
        </w:rPr>
        <w:lastRenderedPageBreak/>
        <mc:AlternateContent>
          <mc:Choice Requires="wps">
            <w:drawing>
              <wp:anchor distT="0" distB="0" distL="114300" distR="114300" simplePos="0" relativeHeight="252310016" behindDoc="0" locked="0" layoutInCell="1" allowOverlap="1" wp14:anchorId="0DBEAE80" wp14:editId="673922D7">
                <wp:simplePos x="0" y="0"/>
                <wp:positionH relativeFrom="column">
                  <wp:posOffset>2042795</wp:posOffset>
                </wp:positionH>
                <wp:positionV relativeFrom="paragraph">
                  <wp:posOffset>5421630</wp:posOffset>
                </wp:positionV>
                <wp:extent cx="7620000" cy="635"/>
                <wp:effectExtent l="0" t="0" r="19050" b="16510"/>
                <wp:wrapSquare wrapText="bothSides"/>
                <wp:docPr id="492" name="Zone de texte 492"/>
                <wp:cNvGraphicFramePr/>
                <a:graphic xmlns:a="http://schemas.openxmlformats.org/drawingml/2006/main">
                  <a:graphicData uri="http://schemas.microsoft.com/office/word/2010/wordprocessingShape">
                    <wps:wsp>
                      <wps:cNvSpPr txBox="1"/>
                      <wps:spPr>
                        <a:xfrm>
                          <a:off x="0" y="0"/>
                          <a:ext cx="7620000" cy="635"/>
                        </a:xfrm>
                        <a:prstGeom prst="rect">
                          <a:avLst/>
                        </a:prstGeom>
                        <a:ln/>
                      </wps:spPr>
                      <wps:style>
                        <a:lnRef idx="2">
                          <a:schemeClr val="accent5"/>
                        </a:lnRef>
                        <a:fillRef idx="1">
                          <a:schemeClr val="lt1"/>
                        </a:fillRef>
                        <a:effectRef idx="0">
                          <a:schemeClr val="accent5"/>
                        </a:effectRef>
                        <a:fontRef idx="minor">
                          <a:schemeClr val="dk1"/>
                        </a:fontRef>
                      </wps:style>
                      <wps:txbx>
                        <w:txbxContent>
                          <w:p w:rsidR="003C548E" w:rsidRPr="0047697F" w:rsidRDefault="003C548E" w:rsidP="0047697F">
                            <w:pPr>
                              <w:pStyle w:val="Legenda"/>
                              <w:rPr>
                                <w:rFonts w:ascii="Times New Roman" w:eastAsia="Calibri" w:hAnsi="Times New Roman" w:cs="Times New Roman"/>
                                <w:bCs/>
                                <w:noProof/>
                                <w:color w:val="auto"/>
                                <w:sz w:val="22"/>
                                <w:szCs w:val="22"/>
                                <w:lang w:val="fr-FR"/>
                              </w:rPr>
                            </w:pPr>
                            <w:r w:rsidRPr="0047697F">
                              <w:rPr>
                                <w:rFonts w:ascii="Times New Roman" w:hAnsi="Times New Roman" w:cs="Times New Roman"/>
                                <w:color w:val="auto"/>
                                <w:sz w:val="22"/>
                                <w:szCs w:val="22"/>
                                <w:lang w:val="fr-FR"/>
                              </w:rPr>
                              <w:t xml:space="preserve">Carte </w:t>
                            </w:r>
                            <w:r w:rsidRPr="0047697F">
                              <w:rPr>
                                <w:rFonts w:ascii="Times New Roman" w:hAnsi="Times New Roman" w:cs="Times New Roman"/>
                                <w:color w:val="auto"/>
                                <w:sz w:val="22"/>
                                <w:szCs w:val="22"/>
                              </w:rPr>
                              <w:fldChar w:fldCharType="begin"/>
                            </w:r>
                            <w:r w:rsidRPr="0047697F">
                              <w:rPr>
                                <w:rFonts w:ascii="Times New Roman" w:hAnsi="Times New Roman" w:cs="Times New Roman"/>
                                <w:color w:val="auto"/>
                                <w:sz w:val="22"/>
                                <w:szCs w:val="22"/>
                                <w:lang w:val="fr-FR"/>
                              </w:rPr>
                              <w:instrText xml:space="preserve"> SEQ Carte \* ARABIC </w:instrText>
                            </w:r>
                            <w:r w:rsidRPr="0047697F">
                              <w:rPr>
                                <w:rFonts w:ascii="Times New Roman" w:hAnsi="Times New Roman" w:cs="Times New Roman"/>
                                <w:color w:val="auto"/>
                                <w:sz w:val="22"/>
                                <w:szCs w:val="22"/>
                              </w:rPr>
                              <w:fldChar w:fldCharType="separate"/>
                            </w:r>
                            <w:r>
                              <w:rPr>
                                <w:rFonts w:ascii="Times New Roman" w:hAnsi="Times New Roman" w:cs="Times New Roman"/>
                                <w:noProof/>
                                <w:color w:val="auto"/>
                                <w:sz w:val="22"/>
                                <w:szCs w:val="22"/>
                                <w:lang w:val="fr-FR"/>
                              </w:rPr>
                              <w:t>1</w:t>
                            </w:r>
                            <w:r w:rsidRPr="0047697F">
                              <w:rPr>
                                <w:rFonts w:ascii="Times New Roman" w:hAnsi="Times New Roman" w:cs="Times New Roman"/>
                                <w:color w:val="auto"/>
                                <w:sz w:val="22"/>
                                <w:szCs w:val="22"/>
                              </w:rPr>
                              <w:fldChar w:fldCharType="end"/>
                            </w:r>
                            <w:r w:rsidRPr="0047697F">
                              <w:rPr>
                                <w:rFonts w:ascii="Times New Roman" w:hAnsi="Times New Roman" w:cs="Times New Roman"/>
                                <w:color w:val="auto"/>
                                <w:sz w:val="22"/>
                                <w:szCs w:val="22"/>
                                <w:lang w:val="fr-FR"/>
                              </w:rPr>
                              <w:t xml:space="preserve">: </w:t>
                            </w:r>
                            <w:r w:rsidRPr="0047697F">
                              <w:rPr>
                                <w:rFonts w:ascii="Times New Roman" w:hAnsi="Times New Roman" w:cs="Times New Roman"/>
                                <w:color w:val="auto"/>
                                <w:sz w:val="22"/>
                                <w:szCs w:val="22"/>
                                <w:shd w:val="clear" w:color="auto" w:fill="FFFFFF" w:themeFill="background1"/>
                                <w:lang w:val="fr-FR"/>
                              </w:rPr>
                              <w:t>Carte de situation géographique de la région de Bissau</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cx1="http://schemas.microsoft.com/office/drawing/2015/9/8/chartex">
            <w:pict>
              <v:shape w14:anchorId="0DBEAE80" id="Zone de texte 492" o:spid="_x0000_s1039" type="#_x0000_t202" style="position:absolute;left:0;text-align:left;margin-left:160.85pt;margin-top:426.9pt;width:600pt;height:.05pt;z-index:2523100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" fillcolor="white [3201]" strokecolor="#4472c4 [3208]" strokeweight="1pt">
                <v:textbox style="mso-fit-shape-to-text:t" inset="0,0,0,0">
                  <w:txbxContent>
                    <w:p w:rsidR="003C548E" w:rsidRPr="0047697F" w:rsidRDefault="003C548E" w:rsidP="0047697F">
                      <w:pPr>
                        <w:pStyle w:val="Lgende"/>
                        <w:rPr>
                          <w:rFonts w:ascii="Times New Roman" w:eastAsia="Calibri" w:hAnsi="Times New Roman" w:cs="Times New Roman"/>
                          <w:bCs/>
                          <w:noProof/>
                          <w:color w:val="auto"/>
                          <w:sz w:val="22"/>
                          <w:szCs w:val="22"/>
                          <w:lang w:val="fr-FR"/>
                        </w:rPr>
                      </w:pPr>
                      <w:r w:rsidRPr="0047697F">
                        <w:rPr>
                          <w:rFonts w:ascii="Times New Roman" w:hAnsi="Times New Roman" w:cs="Times New Roman"/>
                          <w:color w:val="auto"/>
                          <w:sz w:val="22"/>
                          <w:szCs w:val="22"/>
                          <w:lang w:val="fr-FR"/>
                        </w:rPr>
                        <w:t xml:space="preserve">Carte </w:t>
                      </w:r>
                      <w:r w:rsidRPr="0047697F">
                        <w:rPr>
                          <w:rFonts w:ascii="Times New Roman" w:hAnsi="Times New Roman" w:cs="Times New Roman"/>
                          <w:color w:val="auto"/>
                          <w:sz w:val="22"/>
                          <w:szCs w:val="22"/>
                        </w:rPr>
                        <w:fldChar w:fldCharType="begin"/>
                      </w:r>
                      <w:r w:rsidRPr="0047697F">
                        <w:rPr>
                          <w:rFonts w:ascii="Times New Roman" w:hAnsi="Times New Roman" w:cs="Times New Roman"/>
                          <w:color w:val="auto"/>
                          <w:sz w:val="22"/>
                          <w:szCs w:val="22"/>
                          <w:lang w:val="fr-FR"/>
                        </w:rPr>
                        <w:instrText xml:space="preserve"> SEQ Carte \* ARABIC </w:instrText>
                      </w:r>
                      <w:r w:rsidRPr="0047697F">
                        <w:rPr>
                          <w:rFonts w:ascii="Times New Roman" w:hAnsi="Times New Roman" w:cs="Times New Roman"/>
                          <w:color w:val="auto"/>
                          <w:sz w:val="22"/>
                          <w:szCs w:val="22"/>
                        </w:rPr>
                        <w:fldChar w:fldCharType="separate"/>
                      </w:r>
                      <w:r>
                        <w:rPr>
                          <w:rFonts w:ascii="Times New Roman" w:hAnsi="Times New Roman" w:cs="Times New Roman"/>
                          <w:noProof/>
                          <w:color w:val="auto"/>
                          <w:sz w:val="22"/>
                          <w:szCs w:val="22"/>
                          <w:lang w:val="fr-FR"/>
                        </w:rPr>
                        <w:t>1</w:t>
                      </w:r>
                      <w:r w:rsidRPr="0047697F">
                        <w:rPr>
                          <w:rFonts w:ascii="Times New Roman" w:hAnsi="Times New Roman" w:cs="Times New Roman"/>
                          <w:color w:val="auto"/>
                          <w:sz w:val="22"/>
                          <w:szCs w:val="22"/>
                        </w:rPr>
                        <w:fldChar w:fldCharType="end"/>
                      </w:r>
                      <w:r w:rsidRPr="0047697F">
                        <w:rPr>
                          <w:rFonts w:ascii="Times New Roman" w:hAnsi="Times New Roman" w:cs="Times New Roman"/>
                          <w:color w:val="auto"/>
                          <w:sz w:val="22"/>
                          <w:szCs w:val="22"/>
                          <w:lang w:val="fr-FR"/>
                        </w:rPr>
                        <w:t xml:space="preserve">: </w:t>
                      </w:r>
                      <w:r w:rsidRPr="0047697F">
                        <w:rPr>
                          <w:rFonts w:ascii="Times New Roman" w:hAnsi="Times New Roman" w:cs="Times New Roman"/>
                          <w:color w:val="auto"/>
                          <w:sz w:val="22"/>
                          <w:szCs w:val="22"/>
                          <w:shd w:val="clear" w:color="auto" w:fill="FFFFFF" w:themeFill="background1"/>
                          <w:lang w:val="fr-FR"/>
                        </w:rPr>
                        <w:t>Carte de situation géographique de la région de Bissau</w:t>
                      </w:r>
                    </w:p>
                  </w:txbxContent>
                </v:textbox>
                <w10:wrap type="square"/>
              </v:shape>
            </w:pict>
          </mc:Fallback>
        </mc:AlternateContent>
      </w:r>
      <w:r w:rsidR="004A5AB9" w:rsidRPr="00F60CD0">
        <w:rPr>
          <w:noProof/>
          <w:lang w:val="pt-PT" w:eastAsia="pt-PT"/>
        </w:rPr>
        <mc:AlternateContent>
          <mc:Choice Requires="wps">
            <w:drawing>
              <wp:anchor distT="45720" distB="45720" distL="114300" distR="114300" simplePos="0" relativeHeight="252231168" behindDoc="0" locked="0" layoutInCell="1" allowOverlap="1" wp14:anchorId="15FA70BE" wp14:editId="43C3EC4F">
                <wp:simplePos x="0" y="0"/>
                <wp:positionH relativeFrom="margin">
                  <wp:posOffset>2042795</wp:posOffset>
                </wp:positionH>
                <wp:positionV relativeFrom="paragraph">
                  <wp:posOffset>5432425</wp:posOffset>
                </wp:positionV>
                <wp:extent cx="7620000" cy="296545"/>
                <wp:effectExtent l="0" t="0" r="19050" b="27305"/>
                <wp:wrapSquare wrapText="bothSides"/>
                <wp:docPr id="509"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20000" cy="296545"/>
                        </a:xfrm>
                        <a:prstGeom prst="rect">
                          <a:avLst/>
                        </a:prstGeom>
                        <a:ln>
                          <a:headEnd/>
                          <a:tailEnd/>
                        </a:ln>
                      </wps:spPr>
                      <wps:style>
                        <a:lnRef idx="2">
                          <a:schemeClr val="accent1"/>
                        </a:lnRef>
                        <a:fillRef idx="1">
                          <a:schemeClr val="lt1"/>
                        </a:fillRef>
                        <a:effectRef idx="0">
                          <a:schemeClr val="accent1"/>
                        </a:effectRef>
                        <a:fontRef idx="minor">
                          <a:schemeClr val="dk1"/>
                        </a:fontRef>
                      </wps:style>
                      <wps:txbx>
                        <w:txbxContent>
                          <w:p w:rsidR="003C548E" w:rsidRDefault="003C548E" w:rsidP="005B2068">
                            <w:pPr>
                              <w:shd w:val="clear" w:color="auto" w:fill="FFFFFF" w:themeFill="background1"/>
                              <w:jc w:val="center"/>
                            </w:pPr>
                            <w:r>
                              <w:rPr>
                                <w:rFonts w:ascii="Times New Roman" w:hAnsi="Times New Roman"/>
                                <w:b/>
                                <w:sz w:val="28"/>
                                <w:szCs w:val="28"/>
                                <w:shd w:val="clear" w:color="auto" w:fill="FFFFFF" w:themeFill="background1"/>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15FA70BE" id="_x0000_s1040" type="#_x0000_t202" style="position:absolute;left:0;text-align:left;margin-left:160.85pt;margin-top:427.75pt;width:600pt;height:23.35pt;z-index:25223116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" fillcolor="white [3201]" strokecolor="#5b9bd5 [3204]" strokeweight="1pt">
                <v:textbox>
                  <w:txbxContent>
                    <w:p w:rsidR="003C548E" w:rsidRDefault="003C548E" w:rsidP="005B2068">
                      <w:pPr>
                        <w:shd w:val="clear" w:color="auto" w:fill="FFFFFF" w:themeFill="background1"/>
                        <w:jc w:val="center"/>
                      </w:pPr>
                      <w:r>
                        <w:rPr>
                          <w:rFonts w:ascii="Times New Roman" w:hAnsi="Times New Roman"/>
                          <w:b/>
                          <w:sz w:val="28"/>
                          <w:szCs w:val="28"/>
                          <w:shd w:val="clear" w:color="auto" w:fill="FFFFFF" w:themeFill="background1"/>
                        </w:rPr>
                        <w:t xml:space="preserve">: </w:t>
                      </w:r>
                    </w:p>
                  </w:txbxContent>
                </v:textbox>
                <w10:wrap type="square" anchorx="margin"/>
              </v:shape>
            </w:pict>
          </mc:Fallback>
        </mc:AlternateContent>
      </w:r>
      <w:r w:rsidR="004A5AB9" w:rsidRPr="00F60CD0">
        <w:rPr>
          <w:noProof/>
          <w:lang w:val="pt-PT" w:eastAsia="pt-PT"/>
        </w:rPr>
        <w:drawing>
          <wp:anchor distT="0" distB="0" distL="114300" distR="114300" simplePos="0" relativeHeight="252219904" behindDoc="1" locked="0" layoutInCell="1" allowOverlap="1" wp14:anchorId="4E4D70E2" wp14:editId="0BF0744F">
            <wp:simplePos x="0" y="0"/>
            <wp:positionH relativeFrom="column">
              <wp:posOffset>2051685</wp:posOffset>
            </wp:positionH>
            <wp:positionV relativeFrom="margin">
              <wp:posOffset>-580390</wp:posOffset>
            </wp:positionV>
            <wp:extent cx="7598410" cy="5996940"/>
            <wp:effectExtent l="19050" t="19050" r="21590" b="22860"/>
            <wp:wrapTight wrapText="bothSides">
              <wp:wrapPolygon edited="0">
                <wp:start x="-54" y="-69"/>
                <wp:lineTo x="-54" y="21614"/>
                <wp:lineTo x="21607" y="21614"/>
                <wp:lineTo x="21607" y="-69"/>
                <wp:lineTo x="-54" y="-69"/>
              </wp:wrapPolygon>
            </wp:wrapTight>
            <wp:docPr id="474" name="Image 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8">
                      <a:extLst>
                        <a:ext uri="{28A0092B-C50C-407E-A947-70E740481C1C}">
                          <a14:useLocalDpi xmlns:a14="http://schemas.microsoft.com/office/drawing/2010/main"/>
                        </a:ext>
                      </a:extLst>
                    </a:blip>
                    <a:srcRect/>
                    <a:stretch>
                      <a:fillRect/>
                    </a:stretch>
                  </pic:blipFill>
                  <pic:spPr bwMode="auto">
                    <a:xfrm>
                      <a:off x="0" y="0"/>
                      <a:ext cx="7598410" cy="5996940"/>
                    </a:xfrm>
                    <a:prstGeom prst="rect">
                      <a:avLst/>
                    </a:prstGeom>
                    <a:noFill/>
                    <a:ln>
                      <a:solidFill>
                        <a:schemeClr val="accent1"/>
                      </a:solidFill>
                    </a:ln>
                  </pic:spPr>
                </pic:pic>
              </a:graphicData>
            </a:graphic>
            <wp14:sizeRelH relativeFrom="margin">
              <wp14:pctWidth>0</wp14:pctWidth>
            </wp14:sizeRelH>
            <wp14:sizeRelV relativeFrom="margin">
              <wp14:pctHeight>0</wp14:pctHeight>
            </wp14:sizeRelV>
          </wp:anchor>
        </w:drawing>
      </w:r>
      <w:r w:rsidR="00E70B56" w:rsidRPr="00F60CD0">
        <w:rPr>
          <w:noProof/>
          <w:lang w:val="pt-PT" w:eastAsia="pt-PT"/>
        </w:rPr>
        <mc:AlternateContent>
          <mc:Choice Requires="wps">
            <w:drawing>
              <wp:anchor distT="0" distB="0" distL="114300" distR="114300" simplePos="0" relativeHeight="252218880" behindDoc="0" locked="0" layoutInCell="1" allowOverlap="1" wp14:anchorId="22AAA4E3" wp14:editId="0784560F">
                <wp:simplePos x="0" y="0"/>
                <wp:positionH relativeFrom="column">
                  <wp:posOffset>-651510</wp:posOffset>
                </wp:positionH>
                <wp:positionV relativeFrom="paragraph">
                  <wp:posOffset>607695</wp:posOffset>
                </wp:positionV>
                <wp:extent cx="2683510" cy="5129530"/>
                <wp:effectExtent l="0" t="0" r="21590" b="13970"/>
                <wp:wrapSquare wrapText="bothSides"/>
                <wp:docPr id="200" name="Zone de texte 200"/>
                <wp:cNvGraphicFramePr/>
                <a:graphic xmlns:a="http://schemas.openxmlformats.org/drawingml/2006/main">
                  <a:graphicData uri="http://schemas.microsoft.com/office/word/2010/wordprocessingShape">
                    <wps:wsp>
                      <wps:cNvSpPr txBox="1"/>
                      <wps:spPr>
                        <a:xfrm>
                          <a:off x="0" y="0"/>
                          <a:ext cx="2683510" cy="5129530"/>
                        </a:xfrm>
                        <a:prstGeom prst="rect">
                          <a:avLst/>
                        </a:prstGeom>
                        <a:noFill/>
                        <a:ln w="6350">
                          <a:solidFill>
                            <a:schemeClr val="accent1"/>
                          </a:solidFill>
                        </a:ln>
                        <a:effectLst/>
                      </wps:spPr>
                      <wps:style>
                        <a:lnRef idx="0">
                          <a:schemeClr val="accent1"/>
                        </a:lnRef>
                        <a:fillRef idx="0">
                          <a:schemeClr val="accent1"/>
                        </a:fillRef>
                        <a:effectRef idx="0">
                          <a:schemeClr val="accent1"/>
                        </a:effectRef>
                        <a:fontRef idx="minor">
                          <a:schemeClr val="dk1"/>
                        </a:fontRef>
                      </wps:style>
                      <wps:txbx>
                        <w:txbxContent>
                          <w:p w:rsidR="003C548E" w:rsidRPr="00AE0B72" w:rsidRDefault="003C548E" w:rsidP="0011796F">
                            <w:pPr>
                              <w:jc w:val="both"/>
                              <w:rPr>
                                <w:rFonts w:ascii="Times New Roman" w:hAnsi="Times New Roman" w:cs="Times New Roman"/>
                                <w:sz w:val="24"/>
                                <w:szCs w:val="24"/>
                              </w:rPr>
                            </w:pPr>
                            <w:r w:rsidRPr="00AE0B72">
                              <w:rPr>
                                <w:rFonts w:ascii="Times New Roman" w:hAnsi="Times New Roman" w:cs="Times New Roman"/>
                                <w:sz w:val="24"/>
                                <w:szCs w:val="24"/>
                              </w:rPr>
                              <w:t>La ville de Bissau</w:t>
                            </w:r>
                            <w:r w:rsidRPr="00AE0B72">
                              <w:rPr>
                                <w:rFonts w:ascii="Times New Roman" w:hAnsi="Times New Roman" w:cs="Times New Roman"/>
                                <w:sz w:val="24"/>
                                <w:szCs w:val="24"/>
                                <w:lang w:bidi="fr-FR"/>
                              </w:rPr>
                              <w:t xml:space="preserve"> se situe sur la côte Ouest de la Guinée-Bissau, la ville a une superficie de 77 km2 et s’étend entre les 11° 49’ Latitude Nord et 15°34’ longitude Ouest puis 11°55’ latitude Nord et 15°39’longitude Ouest. Elle est limitée au Nord par la ville de Safim et Prabis tous de la région de Biombo, à l’Est par la ville de Nhacra secteur de Mansoa, région de Oio, au Sud par la ville de Tite, Sector de Tite Região de Quinara par l’océan Atlantique et l’archipel des Bijagos. </w:t>
                            </w:r>
                            <w:r w:rsidRPr="00AE0B72">
                              <w:rPr>
                                <w:rFonts w:ascii="Times New Roman" w:hAnsi="Times New Roman" w:cs="Times New Roman"/>
                                <w:sz w:val="24"/>
                                <w:szCs w:val="24"/>
                              </w:rPr>
                              <w:t>Elle a une population environ 480 000 habitants en 2018.</w:t>
                            </w:r>
                          </w:p>
                          <w:p w:rsidR="003C548E" w:rsidRPr="0011796F" w:rsidRDefault="003C548E" w:rsidP="0011796F">
                            <w:pPr>
                              <w:spacing w:after="120"/>
                              <w:jc w:val="both"/>
                              <w:rPr>
                                <w:rFonts w:ascii="Times New Roman" w:hAnsi="Times New Roman" w:cs="Times New Roman"/>
                                <w:sz w:val="24"/>
                                <w:szCs w:val="24"/>
                              </w:rPr>
                            </w:pPr>
                            <w:r w:rsidRPr="00AE0B72">
                              <w:rPr>
                                <w:rFonts w:ascii="Times New Roman" w:hAnsi="Times New Roman" w:cs="Times New Roman"/>
                                <w:sz w:val="24"/>
                                <w:szCs w:val="24"/>
                              </w:rPr>
                              <w:t>La ville de Bissau s'est développée sur un site estuarien. Son relief est très bas avec une petite élévation vers le nord-ouest donnant sur le plateau de Bissalanca. Les sols sont argileux et de type ferralitique de couleur rouge. Au niveau de la zone de contact avec le Rio Géba, le sol est halo-hydromorphe (Texeira, 1962). Ses sols sont relativement perméables permettant une infiltration facile des eaux de pluie.</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22AAA4E3" id="Zone de texte 200" o:spid="_x0000_s1041" type="#_x0000_t202" style="position:absolute;left:0;text-align:left;margin-left:-51.3pt;margin-top:47.85pt;width:211.3pt;height:403.9pt;z-index:252218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" filled="f" strokecolor="#5b9bd5 [3204]" strokeweight=".5pt">
                <v:textbox inset=",7.2pt,,0">
                  <w:txbxContent>
                    <w:p w:rsidR="003C548E" w:rsidRPr="00AE0B72" w:rsidRDefault="003C548E" w:rsidP="0011796F">
                      <w:pPr>
                        <w:jc w:val="both"/>
                        <w:rPr>
                          <w:rFonts w:ascii="Times New Roman" w:hAnsi="Times New Roman" w:cs="Times New Roman"/>
                          <w:sz w:val="24"/>
                          <w:szCs w:val="24"/>
                        </w:rPr>
                      </w:pPr>
                      <w:r w:rsidRPr="00AE0B72">
                        <w:rPr>
                          <w:rFonts w:ascii="Times New Roman" w:hAnsi="Times New Roman" w:cs="Times New Roman"/>
                          <w:sz w:val="24"/>
                          <w:szCs w:val="24"/>
                        </w:rPr>
                        <w:t>La ville de Bissau</w:t>
                      </w:r>
                      <w:r w:rsidRPr="00AE0B72">
                        <w:rPr>
                          <w:rFonts w:ascii="Times New Roman" w:hAnsi="Times New Roman" w:cs="Times New Roman"/>
                          <w:sz w:val="24"/>
                          <w:szCs w:val="24"/>
                          <w:lang w:bidi="fr-FR"/>
                        </w:rPr>
                        <w:t xml:space="preserve"> se situe sur la côte Ouest de la Guinée-Bissau, la ville a une superficie de 77 km2 et s’étend entre les 11° 49’ Latitude Nord et 15°34’ longitude Ouest puis 11°55’ latitude Nord et 15°39’longitude Ouest. Elle est limitée au Nord par la ville de Safim et Prabis tous de la région de Biombo, à l’Est par la ville de Nhacra secteur de Mansoa, région de Oio, au Sud par la ville de Tite, Sector de Tite Região de Quinara par l’océan Atlantique et l’archipel des Bijagos. </w:t>
                      </w:r>
                      <w:r w:rsidRPr="00AE0B72">
                        <w:rPr>
                          <w:rFonts w:ascii="Times New Roman" w:hAnsi="Times New Roman" w:cs="Times New Roman"/>
                          <w:sz w:val="24"/>
                          <w:szCs w:val="24"/>
                        </w:rPr>
                        <w:t>Elle a une population environ 480 000 habitants en 2018.</w:t>
                      </w:r>
                    </w:p>
                    <w:p w:rsidR="003C548E" w:rsidRPr="0011796F" w:rsidRDefault="003C548E" w:rsidP="0011796F">
                      <w:pPr>
                        <w:spacing w:after="120"/>
                        <w:jc w:val="both"/>
                        <w:rPr>
                          <w:rFonts w:ascii="Times New Roman" w:hAnsi="Times New Roman" w:cs="Times New Roman"/>
                          <w:sz w:val="24"/>
                          <w:szCs w:val="24"/>
                        </w:rPr>
                      </w:pPr>
                      <w:r w:rsidRPr="00AE0B72">
                        <w:rPr>
                          <w:rFonts w:ascii="Times New Roman" w:hAnsi="Times New Roman" w:cs="Times New Roman"/>
                          <w:sz w:val="24"/>
                          <w:szCs w:val="24"/>
                        </w:rPr>
                        <w:t>La ville de Bissau s'est développée sur un site estuarien. Son relief est très bas avec une petite élévation vers le nord-ouest donnant sur le plateau de Bissalanca. Les sols sont argileux et de type ferralitique de couleur rouge. Au niveau de la zone de contact avec le Rio Géba, le sol est halo-hydromorphe (Texeira, 1962). Ses sols sont relativement perméables permettant une infiltration facile des eaux de pluie.</w:t>
                      </w:r>
                    </w:p>
                  </w:txbxContent>
                </v:textbox>
                <w10:wrap type="square"/>
              </v:shape>
            </w:pict>
          </mc:Fallback>
        </mc:AlternateContent>
      </w:r>
      <w:r w:rsidR="003B7939">
        <w:t xml:space="preserve">2.4.1. </w:t>
      </w:r>
      <w:r w:rsidR="005505AF" w:rsidRPr="00F60CD0">
        <w:t xml:space="preserve">Situation géographique </w:t>
      </w:r>
      <w:r w:rsidR="005505AF" w:rsidRPr="00F60CD0">
        <w:lastRenderedPageBreak/>
        <w:t>de la région de Bissau</w:t>
      </w:r>
      <w:bookmarkEnd w:id="45"/>
      <w:bookmarkEnd w:id="46"/>
      <w:bookmarkEnd w:id="47"/>
    </w:p>
    <w:p w:rsidR="00667083" w:rsidRPr="0047697F" w:rsidRDefault="0047697F" w:rsidP="0047697F">
      <w:pPr>
        <w:jc w:val="center"/>
        <w:rPr>
          <w:rFonts w:ascii="Times New Roman" w:eastAsia="Calibri" w:hAnsi="Times New Roman" w:cs="Times New Roman"/>
          <w:b/>
          <w:sz w:val="24"/>
          <w:szCs w:val="24"/>
          <w:shd w:val="clear" w:color="auto" w:fill="9CC2E5" w:themeFill="accent1" w:themeFillTint="99"/>
          <w:lang w:eastAsia="x-none"/>
        </w:rPr>
      </w:pPr>
      <w:r w:rsidRPr="0047697F">
        <w:rPr>
          <w:b/>
          <w:noProof/>
          <w:lang w:val="pt-PT" w:eastAsia="pt-PT"/>
        </w:rPr>
        <w:lastRenderedPageBreak/>
        <w:drawing>
          <wp:anchor distT="0" distB="0" distL="114300" distR="114300" simplePos="0" relativeHeight="252311040" behindDoc="1" locked="0" layoutInCell="1" allowOverlap="1" wp14:anchorId="7AE63CC3" wp14:editId="6DB5F155">
            <wp:simplePos x="0" y="0"/>
            <wp:positionH relativeFrom="margin">
              <wp:posOffset>-424180</wp:posOffset>
            </wp:positionH>
            <wp:positionV relativeFrom="margin">
              <wp:align>bottom</wp:align>
            </wp:positionV>
            <wp:extent cx="9886950" cy="6362700"/>
            <wp:effectExtent l="38100" t="38100" r="38100" b="38100"/>
            <wp:wrapTight wrapText="bothSides">
              <wp:wrapPolygon edited="0">
                <wp:start x="-83" y="-129"/>
                <wp:lineTo x="-83" y="21665"/>
                <wp:lineTo x="21642" y="21665"/>
                <wp:lineTo x="21642" y="-129"/>
                <wp:lineTo x="-83" y="-129"/>
              </wp:wrapPolygon>
            </wp:wrapTight>
            <wp:docPr id="493" name="Image 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CARO 2"/>
                    <pic:cNvPicPr>
                      <a:picLocks noChangeAspect="1" noChangeArrowheads="1"/>
                    </pic:cNvPicPr>
                  </pic:nvPicPr>
                  <pic:blipFill>
                    <a:blip r:embed="rId29">
                      <a:extLst>
                        <a:ext uri="{28A0092B-C50C-407E-A947-70E740481C1C}">
                          <a14:useLocalDpi xmlns:a14="http://schemas.microsoft.com/office/drawing/2010/main"/>
                        </a:ext>
                      </a:extLst>
                    </a:blip>
                    <a:stretch>
                      <a:fillRect/>
                    </a:stretch>
                  </pic:blipFill>
                  <pic:spPr bwMode="auto">
                    <a:xfrm>
                      <a:off x="0" y="0"/>
                      <a:ext cx="9886950" cy="6362700"/>
                    </a:xfrm>
                    <a:prstGeom prst="rect">
                      <a:avLst/>
                    </a:prstGeom>
                    <a:noFill/>
                    <a:ln w="2857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Pr="0047697F">
        <w:rPr>
          <w:rFonts w:ascii="Times New Roman" w:hAnsi="Times New Roman" w:cs="Times New Roman"/>
          <w:b/>
        </w:rPr>
        <w:t xml:space="preserve">Carte </w:t>
      </w:r>
      <w:r w:rsidRPr="0047697F">
        <w:rPr>
          <w:rFonts w:ascii="Times New Roman" w:hAnsi="Times New Roman" w:cs="Times New Roman"/>
          <w:b/>
        </w:rPr>
        <w:fldChar w:fldCharType="begin"/>
      </w:r>
      <w:r w:rsidRPr="0047697F">
        <w:rPr>
          <w:rFonts w:ascii="Times New Roman" w:hAnsi="Times New Roman" w:cs="Times New Roman"/>
          <w:b/>
        </w:rPr>
        <w:instrText xml:space="preserve"> SEQ Carte \* ARABIC </w:instrText>
      </w:r>
      <w:r w:rsidRPr="0047697F">
        <w:rPr>
          <w:rFonts w:ascii="Times New Roman" w:hAnsi="Times New Roman" w:cs="Times New Roman"/>
          <w:b/>
        </w:rPr>
        <w:fldChar w:fldCharType="separate"/>
      </w:r>
      <w:r w:rsidR="002C6E60">
        <w:rPr>
          <w:rFonts w:ascii="Times New Roman" w:hAnsi="Times New Roman" w:cs="Times New Roman"/>
          <w:b/>
          <w:noProof/>
        </w:rPr>
        <w:t>2</w:t>
      </w:r>
      <w:r w:rsidRPr="0047697F">
        <w:rPr>
          <w:rFonts w:ascii="Times New Roman" w:hAnsi="Times New Roman" w:cs="Times New Roman"/>
          <w:b/>
        </w:rPr>
        <w:fldChar w:fldCharType="end"/>
      </w:r>
      <w:r w:rsidRPr="0047697F">
        <w:rPr>
          <w:rFonts w:ascii="Times New Roman" w:hAnsi="Times New Roman" w:cs="Times New Roman"/>
          <w:b/>
        </w:rPr>
        <w:t>: Carte d’occupation du sol de la région de BISSAU</w:t>
      </w:r>
      <w:r w:rsidR="00833733">
        <w:rPr>
          <w:rFonts w:ascii="Times New Roman" w:hAnsi="Times New Roman" w:cs="Times New Roman"/>
          <w:b/>
        </w:rPr>
        <w:t>, 2020</w:t>
      </w:r>
      <w:r w:rsidR="00667083" w:rsidRPr="0047697F">
        <w:rPr>
          <w:rFonts w:ascii="Times New Roman" w:hAnsi="Times New Roman"/>
          <w:b/>
          <w:sz w:val="24"/>
          <w:szCs w:val="24"/>
          <w:shd w:val="clear" w:color="auto" w:fill="9CC2E5" w:themeFill="accent1" w:themeFillTint="99"/>
        </w:rPr>
        <w:br w:type="page"/>
      </w:r>
    </w:p>
    <w:bookmarkStart w:id="48" w:name="_Toc51072510"/>
    <w:p w:rsidR="0074695A" w:rsidRPr="003B7939" w:rsidRDefault="003A7798" w:rsidP="00FA3FAE">
      <w:pPr>
        <w:pStyle w:val="PargrafodaLista"/>
        <w:numPr>
          <w:ilvl w:val="2"/>
          <w:numId w:val="217"/>
        </w:numPr>
        <w:spacing w:before="360" w:after="240" w:line="240" w:lineRule="auto"/>
        <w:jc w:val="both"/>
        <w:outlineLvl w:val="2"/>
        <w:rPr>
          <w:rFonts w:ascii="Times New Roman" w:hAnsi="Times New Roman"/>
          <w:b/>
          <w:bCs/>
          <w:sz w:val="24"/>
          <w:szCs w:val="24"/>
          <w:lang w:eastAsia="fr-FR"/>
        </w:rPr>
      </w:pPr>
      <w:r w:rsidRPr="00F60CD0">
        <w:rPr>
          <w:noProof/>
          <w:lang w:val="pt-PT" w:eastAsia="pt-PT"/>
        </w:rPr>
        <w:lastRenderedPageBreak/>
        <mc:AlternateContent>
          <mc:Choice Requires="wps">
            <w:drawing>
              <wp:anchor distT="0" distB="0" distL="114300" distR="114300" simplePos="0" relativeHeight="252225024" behindDoc="0" locked="0" layoutInCell="1" allowOverlap="1" wp14:anchorId="77F84AAD" wp14:editId="0B55D858">
                <wp:simplePos x="0" y="0"/>
                <wp:positionH relativeFrom="page">
                  <wp:posOffset>403761</wp:posOffset>
                </wp:positionH>
                <wp:positionV relativeFrom="page">
                  <wp:posOffset>1235034</wp:posOffset>
                </wp:positionV>
                <wp:extent cx="3657600" cy="5617029"/>
                <wp:effectExtent l="0" t="0" r="19050" b="22225"/>
                <wp:wrapSquare wrapText="bothSides"/>
                <wp:docPr id="480" name="Zone de texte 480"/>
                <wp:cNvGraphicFramePr/>
                <a:graphic xmlns:a="http://schemas.openxmlformats.org/drawingml/2006/main">
                  <a:graphicData uri="http://schemas.microsoft.com/office/word/2010/wordprocessingShape">
                    <wps:wsp>
                      <wps:cNvSpPr txBox="1"/>
                      <wps:spPr>
                        <a:xfrm>
                          <a:off x="0" y="0"/>
                          <a:ext cx="3657600" cy="5617029"/>
                        </a:xfrm>
                        <a:prstGeom prst="rect">
                          <a:avLst/>
                        </a:prstGeom>
                        <a:noFill/>
                        <a:ln w="9525" cap="flat" cmpd="sng" algn="ctr">
                          <a:solidFill>
                            <a:schemeClr val="accent1"/>
                          </a:solidFill>
                          <a:prstDash val="solid"/>
                          <a:round/>
                          <a:headEnd type="none" w="med" len="med"/>
                          <a:tailEnd type="none" w="med" len="med"/>
                        </a:ln>
                      </wps:spPr>
                      <wps:style>
                        <a:lnRef idx="0">
                          <a:scrgbClr r="0" g="0" b="0"/>
                        </a:lnRef>
                        <a:fillRef idx="0">
                          <a:scrgbClr r="0" g="0" b="0"/>
                        </a:fillRef>
                        <a:effectRef idx="0">
                          <a:scrgbClr r="0" g="0" b="0"/>
                        </a:effectRef>
                        <a:fontRef idx="minor">
                          <a:schemeClr val="accent1"/>
                        </a:fontRef>
                      </wps:style>
                      <wps:txbx>
                        <w:txbxContent>
                          <w:p w:rsidR="003C548E" w:rsidRPr="00AE0B72" w:rsidRDefault="003C548E" w:rsidP="0074695A">
                            <w:pPr>
                              <w:autoSpaceDE w:val="0"/>
                              <w:autoSpaceDN w:val="0"/>
                              <w:adjustRightInd w:val="0"/>
                              <w:jc w:val="both"/>
                              <w:rPr>
                                <w:rFonts w:ascii="Times New Roman" w:hAnsi="Times New Roman" w:cs="Times New Roman"/>
                                <w:color w:val="222222"/>
                                <w:sz w:val="24"/>
                                <w:szCs w:val="24"/>
                              </w:rPr>
                            </w:pPr>
                            <w:r w:rsidRPr="00AE0B72">
                              <w:rPr>
                                <w:rStyle w:val="fontstyle01"/>
                                <w:rFonts w:ascii="Times New Roman" w:hAnsi="Times New Roman" w:cs="Times New Roman"/>
                                <w:b w:val="0"/>
                                <w:sz w:val="24"/>
                                <w:szCs w:val="24"/>
                              </w:rPr>
                              <w:t>La région de Biombo (</w:t>
                            </w:r>
                            <w:r w:rsidRPr="00AE0B72">
                              <w:rPr>
                                <w:rFonts w:ascii="Times New Roman" w:hAnsi="Times New Roman" w:cs="Times New Roman"/>
                                <w:sz w:val="24"/>
                                <w:szCs w:val="24"/>
                              </w:rPr>
                              <w:t>11° 50′ nord, 15° 45′ ouest)</w:t>
                            </w:r>
                            <w:r w:rsidRPr="00AE0B72">
                              <w:rPr>
                                <w:rStyle w:val="fontstyle01"/>
                                <w:rFonts w:ascii="Times New Roman" w:hAnsi="Times New Roman" w:cs="Times New Roman"/>
                                <w:b w:val="0"/>
                                <w:sz w:val="24"/>
                                <w:szCs w:val="24"/>
                              </w:rPr>
                              <w:t xml:space="preserve">, voisin de la capitale Bissau, au Nord, avec un peu plus de </w:t>
                            </w:r>
                            <w:r w:rsidRPr="00AE0B72">
                              <w:rPr>
                                <w:rFonts w:ascii="Times New Roman" w:hAnsi="Times New Roman" w:cs="Times New Roman"/>
                                <w:color w:val="000000"/>
                                <w:sz w:val="24"/>
                                <w:szCs w:val="24"/>
                                <w:shd w:val="clear" w:color="auto" w:fill="F9F9F9"/>
                              </w:rPr>
                              <w:t>97 120 </w:t>
                            </w:r>
                            <w:r w:rsidRPr="00AE0B72">
                              <w:rPr>
                                <w:rFonts w:ascii="Times New Roman" w:hAnsi="Times New Roman" w:cs="Times New Roman"/>
                                <w:sz w:val="24"/>
                                <w:szCs w:val="24"/>
                              </w:rPr>
                              <w:t>hab.</w:t>
                            </w:r>
                            <w:r w:rsidRPr="00AE0B72">
                              <w:rPr>
                                <w:rFonts w:ascii="Times New Roman" w:hAnsi="Times New Roman" w:cs="Times New Roman"/>
                                <w:color w:val="000000"/>
                                <w:sz w:val="24"/>
                                <w:szCs w:val="24"/>
                                <w:shd w:val="clear" w:color="auto" w:fill="F9F9F9"/>
                              </w:rPr>
                              <w:t xml:space="preserve"> (2009) </w:t>
                            </w:r>
                            <w:r w:rsidRPr="00AE0B72">
                              <w:rPr>
                                <w:rStyle w:val="fontstyle01"/>
                                <w:rFonts w:ascii="Times New Roman" w:hAnsi="Times New Roman" w:cs="Times New Roman"/>
                                <w:b w:val="0"/>
                                <w:sz w:val="24"/>
                                <w:szCs w:val="24"/>
                              </w:rPr>
                              <w:t xml:space="preserve">et une surface 836,37km2. </w:t>
                            </w:r>
                            <w:r w:rsidRPr="00AE0B72">
                              <w:rPr>
                                <w:rFonts w:ascii="Times New Roman" w:hAnsi="Times New Roman" w:cs="Times New Roman"/>
                                <w:color w:val="222222"/>
                                <w:sz w:val="24"/>
                                <w:szCs w:val="24"/>
                              </w:rPr>
                              <w:t>La région de Biombo est divisée en 3 secteurs :</w:t>
                            </w:r>
                            <w:r w:rsidRPr="00AE0B72">
                              <w:rPr>
                                <w:rFonts w:ascii="Times New Roman" w:hAnsi="Times New Roman" w:cs="Times New Roman"/>
                                <w:color w:val="000000"/>
                                <w:sz w:val="24"/>
                                <w:szCs w:val="24"/>
                              </w:rPr>
                              <w:t xml:space="preserve"> </w:t>
                            </w:r>
                            <w:r w:rsidRPr="00AE0B72">
                              <w:rPr>
                                <w:rFonts w:ascii="Times New Roman" w:hAnsi="Times New Roman" w:cs="Times New Roman"/>
                                <w:color w:val="222222"/>
                                <w:sz w:val="24"/>
                                <w:szCs w:val="24"/>
                              </w:rPr>
                              <w:t>Prábis, Quinhámel</w:t>
                            </w:r>
                            <w:r w:rsidRPr="00AE0B72">
                              <w:rPr>
                                <w:rFonts w:ascii="Times New Roman" w:hAnsi="Times New Roman" w:cs="Times New Roman"/>
                                <w:color w:val="000000"/>
                                <w:sz w:val="24"/>
                                <w:szCs w:val="24"/>
                              </w:rPr>
                              <w:t xml:space="preserve">, </w:t>
                            </w:r>
                            <w:r>
                              <w:rPr>
                                <w:rFonts w:ascii="Times New Roman" w:hAnsi="Times New Roman" w:cs="Times New Roman"/>
                                <w:color w:val="222222"/>
                                <w:sz w:val="24"/>
                                <w:szCs w:val="24"/>
                              </w:rPr>
                              <w:t xml:space="preserve">Safim. </w:t>
                            </w:r>
                            <w:r w:rsidRPr="00AE0B72">
                              <w:rPr>
                                <w:rFonts w:ascii="Times New Roman" w:hAnsi="Times New Roman" w:cs="Times New Roman"/>
                                <w:color w:val="222222"/>
                                <w:sz w:val="24"/>
                                <w:szCs w:val="24"/>
                              </w:rPr>
                              <w:t>Ainsi, Quinhamel, qui est situé à 37 km de Bissau représente la ville hôte de la région.</w:t>
                            </w:r>
                          </w:p>
                          <w:p w:rsidR="003C548E" w:rsidRPr="00AE0B72" w:rsidRDefault="003C548E" w:rsidP="0074695A">
                            <w:pPr>
                              <w:autoSpaceDE w:val="0"/>
                              <w:autoSpaceDN w:val="0"/>
                              <w:adjustRightInd w:val="0"/>
                              <w:jc w:val="both"/>
                              <w:rPr>
                                <w:rFonts w:ascii="Times New Roman" w:hAnsi="Times New Roman" w:cs="Times New Roman"/>
                                <w:color w:val="000000"/>
                                <w:sz w:val="24"/>
                                <w:szCs w:val="24"/>
                              </w:rPr>
                            </w:pPr>
                            <w:r w:rsidRPr="00AE0B72">
                              <w:rPr>
                                <w:rStyle w:val="fontstyle01"/>
                                <w:rFonts w:ascii="Times New Roman" w:hAnsi="Times New Roman" w:cs="Times New Roman"/>
                                <w:b w:val="0"/>
                                <w:sz w:val="24"/>
                                <w:szCs w:val="24"/>
                              </w:rPr>
                              <w:t>La Région de Biombo, situé dans la partie centrale nord de Bissau, se trouve précisément dans la région</w:t>
                            </w:r>
                            <w:r w:rsidRPr="00AE0B72">
                              <w:rPr>
                                <w:rFonts w:ascii="Times New Roman" w:hAnsi="Times New Roman" w:cs="Times New Roman"/>
                                <w:color w:val="000000"/>
                                <w:sz w:val="24"/>
                                <w:szCs w:val="24"/>
                              </w:rPr>
                              <w:t xml:space="preserve"> </w:t>
                            </w:r>
                            <w:r w:rsidRPr="00AE0B72">
                              <w:rPr>
                                <w:rStyle w:val="fontstyle01"/>
                                <w:rFonts w:ascii="Times New Roman" w:hAnsi="Times New Roman" w:cs="Times New Roman"/>
                                <w:b w:val="0"/>
                                <w:sz w:val="24"/>
                                <w:szCs w:val="24"/>
                              </w:rPr>
                              <w:t>de l'Ouest-Nord de la Guinée-Bissau. Elle est limitée à l'ouest par les principales branches de la rivière de la</w:t>
                            </w:r>
                            <w:r w:rsidRPr="00AE0B72">
                              <w:rPr>
                                <w:rFonts w:ascii="Times New Roman" w:hAnsi="Times New Roman" w:cs="Times New Roman"/>
                                <w:color w:val="000000"/>
                                <w:sz w:val="24"/>
                                <w:szCs w:val="24"/>
                              </w:rPr>
                              <w:t xml:space="preserve"> </w:t>
                            </w:r>
                            <w:r w:rsidRPr="00AE0B72">
                              <w:rPr>
                                <w:rStyle w:val="fontstyle01"/>
                                <w:rFonts w:ascii="Times New Roman" w:hAnsi="Times New Roman" w:cs="Times New Roman"/>
                                <w:b w:val="0"/>
                                <w:sz w:val="24"/>
                                <w:szCs w:val="24"/>
                              </w:rPr>
                              <w:t>Guinée (Rio Canal Geba et le Rio Mansoa), qui divisait en plusieurs canaux petites et moyennes avec ses</w:t>
                            </w:r>
                            <w:r w:rsidRPr="00AE0B72">
                              <w:rPr>
                                <w:rFonts w:ascii="Times New Roman" w:hAnsi="Times New Roman" w:cs="Times New Roman"/>
                                <w:color w:val="000000"/>
                                <w:sz w:val="24"/>
                                <w:szCs w:val="24"/>
                              </w:rPr>
                              <w:t xml:space="preserve"> </w:t>
                            </w:r>
                            <w:r w:rsidRPr="00AE0B72">
                              <w:rPr>
                                <w:rStyle w:val="fontstyle01"/>
                                <w:rFonts w:ascii="Times New Roman" w:hAnsi="Times New Roman" w:cs="Times New Roman"/>
                                <w:b w:val="0"/>
                                <w:sz w:val="24"/>
                                <w:szCs w:val="24"/>
                              </w:rPr>
                              <w:t>belles plages intégrées dans une entrée de la mer sans vagues et étendues dans tous les coins intérieurs de</w:t>
                            </w:r>
                            <w:r w:rsidRPr="00AE0B72">
                              <w:rPr>
                                <w:rFonts w:ascii="Times New Roman" w:hAnsi="Times New Roman" w:cs="Times New Roman"/>
                                <w:color w:val="000000"/>
                                <w:sz w:val="24"/>
                                <w:szCs w:val="24"/>
                              </w:rPr>
                              <w:t xml:space="preserve"> </w:t>
                            </w:r>
                            <w:r w:rsidRPr="00AE0B72">
                              <w:rPr>
                                <w:rStyle w:val="fontstyle01"/>
                                <w:rFonts w:ascii="Times New Roman" w:hAnsi="Times New Roman" w:cs="Times New Roman"/>
                                <w:b w:val="0"/>
                                <w:sz w:val="24"/>
                                <w:szCs w:val="24"/>
                              </w:rPr>
                              <w:t>la région, permettant ainsi l'accès facile par voie maritime.</w:t>
                            </w:r>
                            <w:r w:rsidRPr="00AE0B72">
                              <w:rPr>
                                <w:rFonts w:ascii="Times New Roman" w:hAnsi="Times New Roman" w:cs="Times New Roman"/>
                                <w:color w:val="000000"/>
                                <w:sz w:val="24"/>
                                <w:szCs w:val="24"/>
                              </w:rPr>
                              <w:t xml:space="preserve"> </w:t>
                            </w:r>
                          </w:p>
                          <w:p w:rsidR="003C548E" w:rsidRPr="00AE0B72" w:rsidRDefault="003C548E" w:rsidP="0074695A">
                            <w:pPr>
                              <w:autoSpaceDE w:val="0"/>
                              <w:autoSpaceDN w:val="0"/>
                              <w:adjustRightInd w:val="0"/>
                              <w:jc w:val="both"/>
                              <w:rPr>
                                <w:rStyle w:val="fontstyle01"/>
                                <w:rFonts w:ascii="Times New Roman" w:hAnsi="Times New Roman" w:cs="Times New Roman"/>
                                <w:b w:val="0"/>
                                <w:sz w:val="24"/>
                                <w:szCs w:val="24"/>
                              </w:rPr>
                            </w:pPr>
                            <w:r w:rsidRPr="00AE0B72">
                              <w:rPr>
                                <w:rStyle w:val="fontstyle01"/>
                                <w:rFonts w:ascii="Times New Roman" w:hAnsi="Times New Roman" w:cs="Times New Roman"/>
                                <w:b w:val="0"/>
                                <w:sz w:val="24"/>
                                <w:szCs w:val="24"/>
                              </w:rPr>
                              <w:t>La région de Biombo présente une végétation forestière dense, avec ses arbres feuillus, pluies abondantes,</w:t>
                            </w:r>
                            <w:r w:rsidRPr="00AE0B72">
                              <w:rPr>
                                <w:rFonts w:ascii="Times New Roman" w:hAnsi="Times New Roman" w:cs="Times New Roman"/>
                                <w:color w:val="000000"/>
                                <w:sz w:val="24"/>
                                <w:szCs w:val="24"/>
                              </w:rPr>
                              <w:t xml:space="preserve"> </w:t>
                            </w:r>
                            <w:r w:rsidRPr="00AE0B72">
                              <w:rPr>
                                <w:rStyle w:val="fontstyle01"/>
                                <w:rFonts w:ascii="Times New Roman" w:hAnsi="Times New Roman" w:cs="Times New Roman"/>
                                <w:b w:val="0"/>
                                <w:sz w:val="24"/>
                                <w:szCs w:val="24"/>
                              </w:rPr>
                              <w:t>le climat tropical avec des températures douces et petites plages gracieuses de mer calme et les eaux douces, en</w:t>
                            </w:r>
                            <w:r w:rsidRPr="00AE0B72">
                              <w:rPr>
                                <w:rFonts w:ascii="Times New Roman" w:hAnsi="Times New Roman" w:cs="Times New Roman"/>
                                <w:color w:val="000000"/>
                                <w:sz w:val="24"/>
                                <w:szCs w:val="24"/>
                              </w:rPr>
                              <w:t xml:space="preserve"> </w:t>
                            </w:r>
                            <w:r w:rsidRPr="00AE0B72">
                              <w:rPr>
                                <w:rStyle w:val="fontstyle01"/>
                                <w:rFonts w:ascii="Times New Roman" w:hAnsi="Times New Roman" w:cs="Times New Roman"/>
                                <w:b w:val="0"/>
                                <w:sz w:val="24"/>
                                <w:szCs w:val="24"/>
                              </w:rPr>
                              <w:t xml:space="preserve">faveur d'une bonne pratique de l'agriculture et le tourisme. </w:t>
                            </w:r>
                          </w:p>
                          <w:p w:rsidR="003C548E" w:rsidRPr="00AE0B72" w:rsidRDefault="003C548E" w:rsidP="0074695A">
                            <w:pPr>
                              <w:autoSpaceDE w:val="0"/>
                              <w:autoSpaceDN w:val="0"/>
                              <w:adjustRightInd w:val="0"/>
                              <w:jc w:val="both"/>
                              <w:rPr>
                                <w:rStyle w:val="fontstyle01"/>
                                <w:rFonts w:ascii="Times New Roman" w:hAnsi="Times New Roman" w:cs="Times New Roman"/>
                                <w:b w:val="0"/>
                                <w:sz w:val="24"/>
                                <w:szCs w:val="24"/>
                              </w:rPr>
                            </w:pPr>
                            <w:r w:rsidRPr="00AE0B72">
                              <w:rPr>
                                <w:rStyle w:val="fontstyle01"/>
                                <w:rFonts w:ascii="Times New Roman" w:hAnsi="Times New Roman" w:cs="Times New Roman"/>
                                <w:b w:val="0"/>
                                <w:sz w:val="24"/>
                                <w:szCs w:val="24"/>
                              </w:rPr>
                              <w:t>Elle est une</w:t>
                            </w:r>
                            <w:r w:rsidRPr="00AE0B72">
                              <w:rPr>
                                <w:rFonts w:ascii="Times New Roman" w:hAnsi="Times New Roman" w:cs="Times New Roman"/>
                                <w:color w:val="000000"/>
                                <w:sz w:val="24"/>
                                <w:szCs w:val="24"/>
                              </w:rPr>
                              <w:t xml:space="preserve"> </w:t>
                            </w:r>
                            <w:r w:rsidRPr="00AE0B72">
                              <w:rPr>
                                <w:rStyle w:val="fontstyle01"/>
                                <w:rFonts w:ascii="Times New Roman" w:hAnsi="Times New Roman" w:cs="Times New Roman"/>
                                <w:b w:val="0"/>
                                <w:sz w:val="24"/>
                                <w:szCs w:val="24"/>
                              </w:rPr>
                              <w:t>région plate et présente des caractéristiques naturelles favorisent la</w:t>
                            </w:r>
                            <w:r w:rsidRPr="00AE0B72">
                              <w:rPr>
                                <w:rFonts w:ascii="Times New Roman" w:hAnsi="Times New Roman" w:cs="Times New Roman"/>
                                <w:color w:val="000000"/>
                                <w:sz w:val="24"/>
                                <w:szCs w:val="24"/>
                              </w:rPr>
                              <w:t xml:space="preserve"> </w:t>
                            </w:r>
                            <w:r w:rsidRPr="00AE0B72">
                              <w:rPr>
                                <w:rStyle w:val="fontstyle01"/>
                                <w:rFonts w:ascii="Times New Roman" w:hAnsi="Times New Roman" w:cs="Times New Roman"/>
                                <w:b w:val="0"/>
                                <w:sz w:val="24"/>
                                <w:szCs w:val="24"/>
                              </w:rPr>
                              <w:t>mise en œuvre de tout développement célèbre du projet au profit de la communauté locale.</w:t>
                            </w:r>
                            <w:r w:rsidRPr="00AE0B72">
                              <w:rPr>
                                <w:rFonts w:ascii="Times New Roman" w:hAnsi="Times New Roman" w:cs="Times New Roman"/>
                                <w:color w:val="000000"/>
                                <w:sz w:val="24"/>
                                <w:szCs w:val="24"/>
                              </w:rPr>
                              <w:t xml:space="preserve"> </w:t>
                            </w:r>
                            <w:r w:rsidRPr="00AE0B72">
                              <w:rPr>
                                <w:rStyle w:val="fontstyle01"/>
                                <w:rFonts w:ascii="Times New Roman" w:hAnsi="Times New Roman" w:cs="Times New Roman"/>
                                <w:b w:val="0"/>
                                <w:sz w:val="24"/>
                                <w:szCs w:val="24"/>
                              </w:rPr>
                              <w:t>Les habitants de la région sont pour la plupart origine ethnique pépère. La religion prédominante est animiste.</w:t>
                            </w:r>
                          </w:p>
                          <w:p w:rsidR="003C548E" w:rsidRDefault="003C548E" w:rsidP="0074695A">
                            <w:pPr>
                              <w:rPr>
                                <w:caps/>
                                <w:color w:val="5B9BD5" w:themeColor="accent1"/>
                                <w:sz w:val="26"/>
                                <w:szCs w:val="2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77F84AAD" id="Zone de texte 480" o:spid="_x0000_s1042" type="#_x0000_t202" style="position:absolute;left:0;text-align:left;margin-left:31.8pt;margin-top:97.25pt;width:4in;height:442.3pt;z-index:252225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" filled="f" strokecolor="#5b9bd5 [3204]">
                <v:stroke joinstyle="round"/>
                <v:textbox inset=",7.2pt,,0">
                  <w:txbxContent>
                    <w:p w:rsidR="003C548E" w:rsidRPr="00AE0B72" w:rsidRDefault="003C548E" w:rsidP="0074695A">
                      <w:pPr>
                        <w:autoSpaceDE w:val="0"/>
                        <w:autoSpaceDN w:val="0"/>
                        <w:adjustRightInd w:val="0"/>
                        <w:jc w:val="both"/>
                        <w:rPr>
                          <w:rFonts w:ascii="Times New Roman" w:hAnsi="Times New Roman" w:cs="Times New Roman"/>
                          <w:color w:val="222222"/>
                          <w:sz w:val="24"/>
                          <w:szCs w:val="24"/>
                        </w:rPr>
                      </w:pPr>
                      <w:r w:rsidRPr="00AE0B72">
                        <w:rPr>
                          <w:rStyle w:val="fontstyle01"/>
                          <w:rFonts w:ascii="Times New Roman" w:hAnsi="Times New Roman" w:cs="Times New Roman"/>
                          <w:b w:val="0"/>
                          <w:sz w:val="24"/>
                          <w:szCs w:val="24"/>
                        </w:rPr>
                        <w:t>La région de Biombo (</w:t>
                      </w:r>
                      <w:r w:rsidRPr="00AE0B72">
                        <w:rPr>
                          <w:rFonts w:ascii="Times New Roman" w:hAnsi="Times New Roman" w:cs="Times New Roman"/>
                          <w:sz w:val="24"/>
                          <w:szCs w:val="24"/>
                        </w:rPr>
                        <w:t>11° 50′ nord, 15° 45′ ouest)</w:t>
                      </w:r>
                      <w:r w:rsidRPr="00AE0B72">
                        <w:rPr>
                          <w:rStyle w:val="fontstyle01"/>
                          <w:rFonts w:ascii="Times New Roman" w:hAnsi="Times New Roman" w:cs="Times New Roman"/>
                          <w:b w:val="0"/>
                          <w:sz w:val="24"/>
                          <w:szCs w:val="24"/>
                        </w:rPr>
                        <w:t xml:space="preserve">, voisin de la capitale Bissau, au Nord, avec un peu plus de </w:t>
                      </w:r>
                      <w:r w:rsidRPr="00AE0B72">
                        <w:rPr>
                          <w:rFonts w:ascii="Times New Roman" w:hAnsi="Times New Roman" w:cs="Times New Roman"/>
                          <w:color w:val="000000"/>
                          <w:sz w:val="24"/>
                          <w:szCs w:val="24"/>
                          <w:shd w:val="clear" w:color="auto" w:fill="F9F9F9"/>
                        </w:rPr>
                        <w:t>97 120 </w:t>
                      </w:r>
                      <w:r w:rsidRPr="00AE0B72">
                        <w:rPr>
                          <w:rFonts w:ascii="Times New Roman" w:hAnsi="Times New Roman" w:cs="Times New Roman"/>
                          <w:sz w:val="24"/>
                          <w:szCs w:val="24"/>
                        </w:rPr>
                        <w:t>hab.</w:t>
                      </w:r>
                      <w:r w:rsidRPr="00AE0B72">
                        <w:rPr>
                          <w:rFonts w:ascii="Times New Roman" w:hAnsi="Times New Roman" w:cs="Times New Roman"/>
                          <w:color w:val="000000"/>
                          <w:sz w:val="24"/>
                          <w:szCs w:val="24"/>
                          <w:shd w:val="clear" w:color="auto" w:fill="F9F9F9"/>
                        </w:rPr>
                        <w:t xml:space="preserve"> (2009) </w:t>
                      </w:r>
                      <w:r w:rsidRPr="00AE0B72">
                        <w:rPr>
                          <w:rStyle w:val="fontstyle01"/>
                          <w:rFonts w:ascii="Times New Roman" w:hAnsi="Times New Roman" w:cs="Times New Roman"/>
                          <w:b w:val="0"/>
                          <w:sz w:val="24"/>
                          <w:szCs w:val="24"/>
                        </w:rPr>
                        <w:t xml:space="preserve">et une surface 836,37km2. </w:t>
                      </w:r>
                      <w:r w:rsidRPr="00AE0B72">
                        <w:rPr>
                          <w:rFonts w:ascii="Times New Roman" w:hAnsi="Times New Roman" w:cs="Times New Roman"/>
                          <w:color w:val="222222"/>
                          <w:sz w:val="24"/>
                          <w:szCs w:val="24"/>
                        </w:rPr>
                        <w:t>La région de Biombo est divisée en 3 secteurs :</w:t>
                      </w:r>
                      <w:r w:rsidRPr="00AE0B72">
                        <w:rPr>
                          <w:rFonts w:ascii="Times New Roman" w:hAnsi="Times New Roman" w:cs="Times New Roman"/>
                          <w:color w:val="000000"/>
                          <w:sz w:val="24"/>
                          <w:szCs w:val="24"/>
                        </w:rPr>
                        <w:t xml:space="preserve"> </w:t>
                      </w:r>
                      <w:r w:rsidRPr="00AE0B72">
                        <w:rPr>
                          <w:rFonts w:ascii="Times New Roman" w:hAnsi="Times New Roman" w:cs="Times New Roman"/>
                          <w:color w:val="222222"/>
                          <w:sz w:val="24"/>
                          <w:szCs w:val="24"/>
                        </w:rPr>
                        <w:t>Prábis, Quinhámel</w:t>
                      </w:r>
                      <w:r w:rsidRPr="00AE0B72">
                        <w:rPr>
                          <w:rFonts w:ascii="Times New Roman" w:hAnsi="Times New Roman" w:cs="Times New Roman"/>
                          <w:color w:val="000000"/>
                          <w:sz w:val="24"/>
                          <w:szCs w:val="24"/>
                        </w:rPr>
                        <w:t xml:space="preserve">, </w:t>
                      </w:r>
                      <w:r>
                        <w:rPr>
                          <w:rFonts w:ascii="Times New Roman" w:hAnsi="Times New Roman" w:cs="Times New Roman"/>
                          <w:color w:val="222222"/>
                          <w:sz w:val="24"/>
                          <w:szCs w:val="24"/>
                        </w:rPr>
                        <w:t xml:space="preserve">Safim. </w:t>
                      </w:r>
                      <w:r w:rsidRPr="00AE0B72">
                        <w:rPr>
                          <w:rFonts w:ascii="Times New Roman" w:hAnsi="Times New Roman" w:cs="Times New Roman"/>
                          <w:color w:val="222222"/>
                          <w:sz w:val="24"/>
                          <w:szCs w:val="24"/>
                        </w:rPr>
                        <w:t>Ainsi, Quinhamel, qui est situé à 37 km de Bissau représente la ville hôte de la région.</w:t>
                      </w:r>
                    </w:p>
                    <w:p w:rsidR="003C548E" w:rsidRPr="00AE0B72" w:rsidRDefault="003C548E" w:rsidP="0074695A">
                      <w:pPr>
                        <w:autoSpaceDE w:val="0"/>
                        <w:autoSpaceDN w:val="0"/>
                        <w:adjustRightInd w:val="0"/>
                        <w:jc w:val="both"/>
                        <w:rPr>
                          <w:rFonts w:ascii="Times New Roman" w:hAnsi="Times New Roman" w:cs="Times New Roman"/>
                          <w:color w:val="000000"/>
                          <w:sz w:val="24"/>
                          <w:szCs w:val="24"/>
                        </w:rPr>
                      </w:pPr>
                      <w:r w:rsidRPr="00AE0B72">
                        <w:rPr>
                          <w:rStyle w:val="fontstyle01"/>
                          <w:rFonts w:ascii="Times New Roman" w:hAnsi="Times New Roman" w:cs="Times New Roman"/>
                          <w:b w:val="0"/>
                          <w:sz w:val="24"/>
                          <w:szCs w:val="24"/>
                        </w:rPr>
                        <w:t>La Région de Biombo, situé dans la partie centrale nord de Bissau, se trouve précisément dans la région</w:t>
                      </w:r>
                      <w:r w:rsidRPr="00AE0B72">
                        <w:rPr>
                          <w:rFonts w:ascii="Times New Roman" w:hAnsi="Times New Roman" w:cs="Times New Roman"/>
                          <w:color w:val="000000"/>
                          <w:sz w:val="24"/>
                          <w:szCs w:val="24"/>
                        </w:rPr>
                        <w:t xml:space="preserve"> </w:t>
                      </w:r>
                      <w:r w:rsidRPr="00AE0B72">
                        <w:rPr>
                          <w:rStyle w:val="fontstyle01"/>
                          <w:rFonts w:ascii="Times New Roman" w:hAnsi="Times New Roman" w:cs="Times New Roman"/>
                          <w:b w:val="0"/>
                          <w:sz w:val="24"/>
                          <w:szCs w:val="24"/>
                        </w:rPr>
                        <w:t>de l'Ouest-Nord de la Guinée-Bissau. Elle est limitée à l'ouest par les principales branches de la rivière de la</w:t>
                      </w:r>
                      <w:r w:rsidRPr="00AE0B72">
                        <w:rPr>
                          <w:rFonts w:ascii="Times New Roman" w:hAnsi="Times New Roman" w:cs="Times New Roman"/>
                          <w:color w:val="000000"/>
                          <w:sz w:val="24"/>
                          <w:szCs w:val="24"/>
                        </w:rPr>
                        <w:t xml:space="preserve"> </w:t>
                      </w:r>
                      <w:r w:rsidRPr="00AE0B72">
                        <w:rPr>
                          <w:rStyle w:val="fontstyle01"/>
                          <w:rFonts w:ascii="Times New Roman" w:hAnsi="Times New Roman" w:cs="Times New Roman"/>
                          <w:b w:val="0"/>
                          <w:sz w:val="24"/>
                          <w:szCs w:val="24"/>
                        </w:rPr>
                        <w:t>Guinée (Rio Canal Geba et le Rio Mansoa), qui divisait en plusieurs canaux petites et moyennes avec ses</w:t>
                      </w:r>
                      <w:r w:rsidRPr="00AE0B72">
                        <w:rPr>
                          <w:rFonts w:ascii="Times New Roman" w:hAnsi="Times New Roman" w:cs="Times New Roman"/>
                          <w:color w:val="000000"/>
                          <w:sz w:val="24"/>
                          <w:szCs w:val="24"/>
                        </w:rPr>
                        <w:t xml:space="preserve"> </w:t>
                      </w:r>
                      <w:r w:rsidRPr="00AE0B72">
                        <w:rPr>
                          <w:rStyle w:val="fontstyle01"/>
                          <w:rFonts w:ascii="Times New Roman" w:hAnsi="Times New Roman" w:cs="Times New Roman"/>
                          <w:b w:val="0"/>
                          <w:sz w:val="24"/>
                          <w:szCs w:val="24"/>
                        </w:rPr>
                        <w:t>belles plages intégrées dans une entrée de la mer sans vagues et étendues dans tous les coins intérieurs de</w:t>
                      </w:r>
                      <w:r w:rsidRPr="00AE0B72">
                        <w:rPr>
                          <w:rFonts w:ascii="Times New Roman" w:hAnsi="Times New Roman" w:cs="Times New Roman"/>
                          <w:color w:val="000000"/>
                          <w:sz w:val="24"/>
                          <w:szCs w:val="24"/>
                        </w:rPr>
                        <w:t xml:space="preserve"> </w:t>
                      </w:r>
                      <w:r w:rsidRPr="00AE0B72">
                        <w:rPr>
                          <w:rStyle w:val="fontstyle01"/>
                          <w:rFonts w:ascii="Times New Roman" w:hAnsi="Times New Roman" w:cs="Times New Roman"/>
                          <w:b w:val="0"/>
                          <w:sz w:val="24"/>
                          <w:szCs w:val="24"/>
                        </w:rPr>
                        <w:t>la région, permettant ainsi l'accès facile par voie maritime.</w:t>
                      </w:r>
                      <w:r w:rsidRPr="00AE0B72">
                        <w:rPr>
                          <w:rFonts w:ascii="Times New Roman" w:hAnsi="Times New Roman" w:cs="Times New Roman"/>
                          <w:color w:val="000000"/>
                          <w:sz w:val="24"/>
                          <w:szCs w:val="24"/>
                        </w:rPr>
                        <w:t xml:space="preserve"> </w:t>
                      </w:r>
                    </w:p>
                    <w:p w:rsidR="003C548E" w:rsidRPr="00AE0B72" w:rsidRDefault="003C548E" w:rsidP="0074695A">
                      <w:pPr>
                        <w:autoSpaceDE w:val="0"/>
                        <w:autoSpaceDN w:val="0"/>
                        <w:adjustRightInd w:val="0"/>
                        <w:jc w:val="both"/>
                        <w:rPr>
                          <w:rStyle w:val="fontstyle01"/>
                          <w:rFonts w:ascii="Times New Roman" w:hAnsi="Times New Roman" w:cs="Times New Roman"/>
                          <w:b w:val="0"/>
                          <w:sz w:val="24"/>
                          <w:szCs w:val="24"/>
                        </w:rPr>
                      </w:pPr>
                      <w:r w:rsidRPr="00AE0B72">
                        <w:rPr>
                          <w:rStyle w:val="fontstyle01"/>
                          <w:rFonts w:ascii="Times New Roman" w:hAnsi="Times New Roman" w:cs="Times New Roman"/>
                          <w:b w:val="0"/>
                          <w:sz w:val="24"/>
                          <w:szCs w:val="24"/>
                        </w:rPr>
                        <w:t>La région de Biombo présente une végétation forestière dense, avec ses arbres feuillus, pluies abondantes,</w:t>
                      </w:r>
                      <w:r w:rsidRPr="00AE0B72">
                        <w:rPr>
                          <w:rFonts w:ascii="Times New Roman" w:hAnsi="Times New Roman" w:cs="Times New Roman"/>
                          <w:color w:val="000000"/>
                          <w:sz w:val="24"/>
                          <w:szCs w:val="24"/>
                        </w:rPr>
                        <w:t xml:space="preserve"> </w:t>
                      </w:r>
                      <w:r w:rsidRPr="00AE0B72">
                        <w:rPr>
                          <w:rStyle w:val="fontstyle01"/>
                          <w:rFonts w:ascii="Times New Roman" w:hAnsi="Times New Roman" w:cs="Times New Roman"/>
                          <w:b w:val="0"/>
                          <w:sz w:val="24"/>
                          <w:szCs w:val="24"/>
                        </w:rPr>
                        <w:t>le climat tropical avec des températures douces et petites plages gracieuses de mer calme et les eaux douces, en</w:t>
                      </w:r>
                      <w:r w:rsidRPr="00AE0B72">
                        <w:rPr>
                          <w:rFonts w:ascii="Times New Roman" w:hAnsi="Times New Roman" w:cs="Times New Roman"/>
                          <w:color w:val="000000"/>
                          <w:sz w:val="24"/>
                          <w:szCs w:val="24"/>
                        </w:rPr>
                        <w:t xml:space="preserve"> </w:t>
                      </w:r>
                      <w:r w:rsidRPr="00AE0B72">
                        <w:rPr>
                          <w:rStyle w:val="fontstyle01"/>
                          <w:rFonts w:ascii="Times New Roman" w:hAnsi="Times New Roman" w:cs="Times New Roman"/>
                          <w:b w:val="0"/>
                          <w:sz w:val="24"/>
                          <w:szCs w:val="24"/>
                        </w:rPr>
                        <w:t xml:space="preserve">faveur d'une bonne pratique de l'agriculture et le tourisme. </w:t>
                      </w:r>
                    </w:p>
                    <w:p w:rsidR="003C548E" w:rsidRPr="00AE0B72" w:rsidRDefault="003C548E" w:rsidP="0074695A">
                      <w:pPr>
                        <w:autoSpaceDE w:val="0"/>
                        <w:autoSpaceDN w:val="0"/>
                        <w:adjustRightInd w:val="0"/>
                        <w:jc w:val="both"/>
                        <w:rPr>
                          <w:rStyle w:val="fontstyle01"/>
                          <w:rFonts w:ascii="Times New Roman" w:hAnsi="Times New Roman" w:cs="Times New Roman"/>
                          <w:b w:val="0"/>
                          <w:sz w:val="24"/>
                          <w:szCs w:val="24"/>
                        </w:rPr>
                      </w:pPr>
                      <w:r w:rsidRPr="00AE0B72">
                        <w:rPr>
                          <w:rStyle w:val="fontstyle01"/>
                          <w:rFonts w:ascii="Times New Roman" w:hAnsi="Times New Roman" w:cs="Times New Roman"/>
                          <w:b w:val="0"/>
                          <w:sz w:val="24"/>
                          <w:szCs w:val="24"/>
                        </w:rPr>
                        <w:t>Elle est une</w:t>
                      </w:r>
                      <w:r w:rsidRPr="00AE0B72">
                        <w:rPr>
                          <w:rFonts w:ascii="Times New Roman" w:hAnsi="Times New Roman" w:cs="Times New Roman"/>
                          <w:color w:val="000000"/>
                          <w:sz w:val="24"/>
                          <w:szCs w:val="24"/>
                        </w:rPr>
                        <w:t xml:space="preserve"> </w:t>
                      </w:r>
                      <w:r w:rsidRPr="00AE0B72">
                        <w:rPr>
                          <w:rStyle w:val="fontstyle01"/>
                          <w:rFonts w:ascii="Times New Roman" w:hAnsi="Times New Roman" w:cs="Times New Roman"/>
                          <w:b w:val="0"/>
                          <w:sz w:val="24"/>
                          <w:szCs w:val="24"/>
                        </w:rPr>
                        <w:t>région plate et présente des caractéristiques naturelles favorisent la</w:t>
                      </w:r>
                      <w:r w:rsidRPr="00AE0B72">
                        <w:rPr>
                          <w:rFonts w:ascii="Times New Roman" w:hAnsi="Times New Roman" w:cs="Times New Roman"/>
                          <w:color w:val="000000"/>
                          <w:sz w:val="24"/>
                          <w:szCs w:val="24"/>
                        </w:rPr>
                        <w:t xml:space="preserve"> </w:t>
                      </w:r>
                      <w:r w:rsidRPr="00AE0B72">
                        <w:rPr>
                          <w:rStyle w:val="fontstyle01"/>
                          <w:rFonts w:ascii="Times New Roman" w:hAnsi="Times New Roman" w:cs="Times New Roman"/>
                          <w:b w:val="0"/>
                          <w:sz w:val="24"/>
                          <w:szCs w:val="24"/>
                        </w:rPr>
                        <w:t>mise en œuvre de tout développement célèbre du projet au profit de la communauté locale.</w:t>
                      </w:r>
                      <w:r w:rsidRPr="00AE0B72">
                        <w:rPr>
                          <w:rFonts w:ascii="Times New Roman" w:hAnsi="Times New Roman" w:cs="Times New Roman"/>
                          <w:color w:val="000000"/>
                          <w:sz w:val="24"/>
                          <w:szCs w:val="24"/>
                        </w:rPr>
                        <w:t xml:space="preserve"> </w:t>
                      </w:r>
                      <w:r w:rsidRPr="00AE0B72">
                        <w:rPr>
                          <w:rStyle w:val="fontstyle01"/>
                          <w:rFonts w:ascii="Times New Roman" w:hAnsi="Times New Roman" w:cs="Times New Roman"/>
                          <w:b w:val="0"/>
                          <w:sz w:val="24"/>
                          <w:szCs w:val="24"/>
                        </w:rPr>
                        <w:t>Les habitants de la région sont pour la plupart origine ethnique pépère. La religion prédominante est animiste.</w:t>
                      </w:r>
                    </w:p>
                    <w:p w:rsidR="003C548E" w:rsidRDefault="003C548E" w:rsidP="0074695A">
                      <w:pPr>
                        <w:rPr>
                          <w:caps/>
                          <w:color w:val="5B9BD5" w:themeColor="accent1"/>
                          <w:sz w:val="26"/>
                          <w:szCs w:val="26"/>
                        </w:rPr>
                      </w:pPr>
                    </w:p>
                  </w:txbxContent>
                </v:textbox>
                <w10:wrap type="square" anchorx="page" anchory="page"/>
              </v:shape>
            </w:pict>
          </mc:Fallback>
        </mc:AlternateContent>
      </w:r>
      <w:r w:rsidR="0074695A" w:rsidRPr="003B7939">
        <w:rPr>
          <w:rFonts w:ascii="Times New Roman" w:hAnsi="Times New Roman"/>
          <w:b/>
          <w:bCs/>
          <w:sz w:val="24"/>
          <w:szCs w:val="24"/>
          <w:lang w:eastAsia="fr-FR"/>
        </w:rPr>
        <w:t>Situation géographique de la région de Biombo</w:t>
      </w:r>
      <w:bookmarkEnd w:id="48"/>
    </w:p>
    <w:p w:rsidR="003C455B" w:rsidRDefault="005B2068" w:rsidP="0074695A">
      <w:pPr>
        <w:spacing w:after="120"/>
        <w:jc w:val="both"/>
        <w:rPr>
          <w:rFonts w:ascii="Times New Roman" w:hAnsi="Times New Roman" w:cs="Times New Roman"/>
          <w:sz w:val="24"/>
          <w:szCs w:val="24"/>
        </w:rPr>
      </w:pPr>
      <w:r>
        <w:rPr>
          <w:rFonts w:ascii="Times New Roman" w:hAnsi="Times New Roman" w:cs="Times New Roman"/>
          <w:noProof/>
          <w:sz w:val="24"/>
          <w:szCs w:val="24"/>
          <w:lang w:val="pt-PT" w:eastAsia="pt-PT"/>
        </w:rPr>
        <mc:AlternateContent>
          <mc:Choice Requires="wpg">
            <w:drawing>
              <wp:anchor distT="0" distB="0" distL="114300" distR="114300" simplePos="0" relativeHeight="252238336" behindDoc="0" locked="0" layoutInCell="1" allowOverlap="1" wp14:anchorId="7759676E" wp14:editId="3BE1E165">
                <wp:simplePos x="0" y="0"/>
                <wp:positionH relativeFrom="column">
                  <wp:posOffset>3195320</wp:posOffset>
                </wp:positionH>
                <wp:positionV relativeFrom="paragraph">
                  <wp:posOffset>29209</wp:posOffset>
                </wp:positionV>
                <wp:extent cx="6245860" cy="5267325"/>
                <wp:effectExtent l="19050" t="19050" r="21590" b="28575"/>
                <wp:wrapNone/>
                <wp:docPr id="65" name="Groupe 65"/>
                <wp:cNvGraphicFramePr/>
                <a:graphic xmlns:a="http://schemas.openxmlformats.org/drawingml/2006/main">
                  <a:graphicData uri="http://schemas.microsoft.com/office/word/2010/wordprocessingGroup">
                    <wpg:wgp>
                      <wpg:cNvGrpSpPr/>
                      <wpg:grpSpPr>
                        <a:xfrm>
                          <a:off x="0" y="0"/>
                          <a:ext cx="6245860" cy="5267325"/>
                          <a:chOff x="0" y="0"/>
                          <a:chExt cx="6245860" cy="4821382"/>
                        </a:xfrm>
                      </wpg:grpSpPr>
                      <pic:pic xmlns:pic="http://schemas.openxmlformats.org/drawingml/2006/picture">
                        <pic:nvPicPr>
                          <pic:cNvPr id="481" name="Image 481" descr="Biombo_sectors"/>
                          <pic:cNvPicPr>
                            <a:picLocks noChangeAspect="1"/>
                          </pic:cNvPicPr>
                        </pic:nvPicPr>
                        <pic:blipFill>
                          <a:blip r:embed="rId30" cstate="email">
                            <a:extLst>
                              <a:ext uri="{28A0092B-C50C-407E-A947-70E740481C1C}">
                                <a14:useLocalDpi xmlns:a14="http://schemas.microsoft.com/office/drawing/2010/main"/>
                              </a:ext>
                            </a:extLst>
                          </a:blip>
                          <a:srcRect/>
                          <a:stretch>
                            <a:fillRect/>
                          </a:stretch>
                        </pic:blipFill>
                        <pic:spPr bwMode="auto">
                          <a:xfrm>
                            <a:off x="0" y="0"/>
                            <a:ext cx="6245860" cy="4821382"/>
                          </a:xfrm>
                          <a:prstGeom prst="rect">
                            <a:avLst/>
                          </a:prstGeom>
                          <a:noFill/>
                          <a:ln w="19050">
                            <a:solidFill>
                              <a:schemeClr val="accent1"/>
                            </a:solidFill>
                            <a:miter lim="800000"/>
                            <a:headEnd/>
                            <a:tailEnd/>
                          </a:ln>
                        </pic:spPr>
                      </pic:pic>
                      <wps:wsp>
                        <wps:cNvPr id="510" name="Zone de texte 2"/>
                        <wps:cNvSpPr txBox="1">
                          <a:spLocks noChangeArrowheads="1"/>
                        </wps:cNvSpPr>
                        <wps:spPr bwMode="auto">
                          <a:xfrm>
                            <a:off x="5225143" y="831273"/>
                            <a:ext cx="415290" cy="296545"/>
                          </a:xfrm>
                          <a:prstGeom prst="rect">
                            <a:avLst/>
                          </a:prstGeom>
                          <a:solidFill>
                            <a:srgbClr val="FFFFFF"/>
                          </a:solidFill>
                          <a:ln w="9525">
                            <a:solidFill>
                              <a:srgbClr val="000000"/>
                            </a:solidFill>
                            <a:miter lim="800000"/>
                            <a:headEnd/>
                            <a:tailEnd/>
                          </a:ln>
                        </wps:spPr>
                        <wps:txbx>
                          <w:txbxContent>
                            <w:p w:rsidR="003C548E" w:rsidRPr="005B2068" w:rsidRDefault="003C548E" w:rsidP="005B2068">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B2068">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OIO</w:t>
                              </w:r>
                            </w:p>
                          </w:txbxContent>
                        </wps:txbx>
                        <wps:bodyPr rot="0" vert="horz" wrap="square" lIns="91440" tIns="45720" rIns="91440" bIns="45720" anchor="t" anchorCtr="0">
                          <a:noAutofit/>
                        </wps:bodyPr>
                      </wps:wsp>
                      <wps:wsp>
                        <wps:cNvPr id="511" name="Zone de texte 2"/>
                        <wps:cNvSpPr txBox="1">
                          <a:spLocks noChangeArrowheads="1"/>
                        </wps:cNvSpPr>
                        <wps:spPr bwMode="auto">
                          <a:xfrm>
                            <a:off x="1033153" y="142504"/>
                            <a:ext cx="807085" cy="296545"/>
                          </a:xfrm>
                          <a:prstGeom prst="rect">
                            <a:avLst/>
                          </a:prstGeom>
                          <a:solidFill>
                            <a:srgbClr val="FFFFFF"/>
                          </a:solidFill>
                          <a:ln w="9525">
                            <a:solidFill>
                              <a:srgbClr val="000000"/>
                            </a:solidFill>
                            <a:miter lim="800000"/>
                            <a:headEnd/>
                            <a:tailEnd/>
                          </a:ln>
                        </wps:spPr>
                        <wps:txbx>
                          <w:txbxContent>
                            <w:p w:rsidR="003C548E" w:rsidRPr="005B2068" w:rsidRDefault="003C548E" w:rsidP="005B2068">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CACHEU</w:t>
                              </w:r>
                            </w:p>
                          </w:txbxContent>
                        </wps:txbx>
                        <wps:bodyPr rot="0" vert="horz" wrap="square" lIns="91440" tIns="45720" rIns="91440" bIns="45720" anchor="t" anchorCtr="0">
                          <a:noAutofit/>
                        </wps:bodyPr>
                      </wps:wsp>
                      <wps:wsp>
                        <wps:cNvPr id="64" name="Zone de texte 2"/>
                        <wps:cNvSpPr txBox="1">
                          <a:spLocks noChangeArrowheads="1"/>
                        </wps:cNvSpPr>
                        <wps:spPr bwMode="auto">
                          <a:xfrm rot="19203616">
                            <a:off x="4512623" y="2351315"/>
                            <a:ext cx="629285" cy="296545"/>
                          </a:xfrm>
                          <a:prstGeom prst="rect">
                            <a:avLst/>
                          </a:prstGeom>
                          <a:solidFill>
                            <a:srgbClr val="FFFFFF"/>
                          </a:solidFill>
                          <a:ln w="9525">
                            <a:solidFill>
                              <a:srgbClr val="000000"/>
                            </a:solidFill>
                            <a:miter lim="800000"/>
                            <a:headEnd/>
                            <a:tailEnd/>
                          </a:ln>
                        </wps:spPr>
                        <wps:txbx>
                          <w:txbxContent>
                            <w:p w:rsidR="003C548E" w:rsidRPr="005B2068" w:rsidRDefault="003C548E" w:rsidP="005B2068">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BISSAU</w:t>
                              </w:r>
                            </w:p>
                          </w:txbxContent>
                        </wps:txbx>
                        <wps:bodyPr rot="0" vert="horz" wrap="square" lIns="91440" tIns="45720" rIns="91440" bIns="45720" anchor="t" anchorCtr="0">
                          <a:noAutofit/>
                        </wps:bodyPr>
                      </wps:wsp>
                    </wpg:wgp>
                  </a:graphicData>
                </a:graphic>
                <wp14:sizeRelV relativeFrom="margin">
                  <wp14:pctHeight>0</wp14:pctHeight>
                </wp14:sizeRelV>
              </wp:anchor>
            </w:drawing>
          </mc:Choice>
          <mc:Fallback xmlns:cx1="http://schemas.microsoft.com/office/drawing/2015/9/8/chartex">
            <w:pict>
              <v:group w14:anchorId="7759676E" id="Groupe 65" o:spid="_x0000_s1043" style="position:absolute;left:0;text-align:left;margin-left:251.6pt;margin-top:2.3pt;width:491.8pt;height:414.75pt;z-index:252238336;mso-height-relative:margin" coordsize="62458,4821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">
                <v:shape id="Image 481" o:spid="_x0000_s1044" type="#_x0000_t75" alt="Biombo_sectors" style="position:absolute;width:62458;height:482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" stroked="t" strokecolor="#5b9bd5 [3204]" strokeweight="1.5pt">
                  <v:imagedata r:id="rId31" o:title="Biombo_sectors"/>
                  <v:path arrowok="t"/>
                </v:shape>
                <v:shapetype id="_x0000_t202" coordsize="21600,21600" o:spt="202" path="m,l,21600r21600,l21600,xe">
                  <v:stroke joinstyle="miter"/>
                  <v:path gradientshapeok="t" o:connecttype="rect"/>
                </v:shapetype>
                <v:shape id="_x0000_s1045" type="#_x0000_t202" style="position:absolute;left:52251;top:8312;width:4153;height:29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">
                  <v:textbox>
                    <w:txbxContent>
                      <w:p w:rsidR="003C548E" w:rsidRPr="005B2068" w:rsidRDefault="003C548E" w:rsidP="005B2068">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B2068">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OIO</w:t>
                        </w:r>
                      </w:p>
                    </w:txbxContent>
                  </v:textbox>
                </v:shape>
                <v:shape id="_x0000_s1046" type="#_x0000_t202" style="position:absolute;left:10331;top:1425;width:8071;height:29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">
                  <v:textbox>
                    <w:txbxContent>
                      <w:p w:rsidR="003C548E" w:rsidRPr="005B2068" w:rsidRDefault="003C548E" w:rsidP="005B2068">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CACHEU</w:t>
                        </w:r>
                      </w:p>
                    </w:txbxContent>
                  </v:textbox>
                </v:shape>
                <v:shape id="_x0000_s1047" type="#_x0000_t202" style="position:absolute;left:45126;top:23513;width:6293;height:2965;rotation:-2617490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">
                  <v:textbox>
                    <w:txbxContent>
                      <w:p w:rsidR="003C548E" w:rsidRPr="005B2068" w:rsidRDefault="003C548E" w:rsidP="005B2068">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BISSAU</w:t>
                        </w:r>
                      </w:p>
                    </w:txbxContent>
                  </v:textbox>
                </v:shape>
              </v:group>
            </w:pict>
          </mc:Fallback>
        </mc:AlternateContent>
      </w:r>
    </w:p>
    <w:p w:rsidR="003C455B" w:rsidRPr="003C455B" w:rsidRDefault="003C455B" w:rsidP="003C455B">
      <w:pPr>
        <w:rPr>
          <w:rFonts w:ascii="Times New Roman" w:hAnsi="Times New Roman" w:cs="Times New Roman"/>
          <w:sz w:val="24"/>
          <w:szCs w:val="24"/>
        </w:rPr>
      </w:pPr>
    </w:p>
    <w:p w:rsidR="003C455B" w:rsidRPr="003C455B" w:rsidRDefault="003C455B" w:rsidP="003C455B">
      <w:pPr>
        <w:rPr>
          <w:rFonts w:ascii="Times New Roman" w:hAnsi="Times New Roman" w:cs="Times New Roman"/>
          <w:sz w:val="24"/>
          <w:szCs w:val="24"/>
        </w:rPr>
      </w:pPr>
    </w:p>
    <w:p w:rsidR="003C455B" w:rsidRPr="003C455B" w:rsidRDefault="003C455B" w:rsidP="003C455B">
      <w:pPr>
        <w:rPr>
          <w:rFonts w:ascii="Times New Roman" w:hAnsi="Times New Roman" w:cs="Times New Roman"/>
          <w:sz w:val="24"/>
          <w:szCs w:val="24"/>
        </w:rPr>
      </w:pPr>
    </w:p>
    <w:p w:rsidR="003C455B" w:rsidRPr="003C455B" w:rsidRDefault="003C455B" w:rsidP="003C455B">
      <w:pPr>
        <w:rPr>
          <w:rFonts w:ascii="Times New Roman" w:hAnsi="Times New Roman" w:cs="Times New Roman"/>
          <w:sz w:val="24"/>
          <w:szCs w:val="24"/>
        </w:rPr>
      </w:pPr>
    </w:p>
    <w:p w:rsidR="003C455B" w:rsidRPr="003C455B" w:rsidRDefault="003C455B" w:rsidP="003C455B">
      <w:pPr>
        <w:rPr>
          <w:rFonts w:ascii="Times New Roman" w:hAnsi="Times New Roman" w:cs="Times New Roman"/>
          <w:sz w:val="24"/>
          <w:szCs w:val="24"/>
        </w:rPr>
      </w:pPr>
    </w:p>
    <w:p w:rsidR="003C455B" w:rsidRPr="003C455B" w:rsidRDefault="003C455B" w:rsidP="003C455B">
      <w:pPr>
        <w:rPr>
          <w:rFonts w:ascii="Times New Roman" w:hAnsi="Times New Roman" w:cs="Times New Roman"/>
          <w:sz w:val="24"/>
          <w:szCs w:val="24"/>
        </w:rPr>
      </w:pPr>
    </w:p>
    <w:p w:rsidR="003C455B" w:rsidRPr="003C455B" w:rsidRDefault="003C455B" w:rsidP="003C455B">
      <w:pPr>
        <w:rPr>
          <w:rFonts w:ascii="Times New Roman" w:hAnsi="Times New Roman" w:cs="Times New Roman"/>
          <w:sz w:val="24"/>
          <w:szCs w:val="24"/>
        </w:rPr>
      </w:pPr>
    </w:p>
    <w:p w:rsidR="003C455B" w:rsidRPr="003C455B" w:rsidRDefault="003C455B" w:rsidP="003C455B">
      <w:pPr>
        <w:rPr>
          <w:rFonts w:ascii="Times New Roman" w:hAnsi="Times New Roman" w:cs="Times New Roman"/>
          <w:sz w:val="24"/>
          <w:szCs w:val="24"/>
        </w:rPr>
      </w:pPr>
    </w:p>
    <w:p w:rsidR="003C455B" w:rsidRPr="003C455B" w:rsidRDefault="003C455B" w:rsidP="003C455B">
      <w:pPr>
        <w:rPr>
          <w:rFonts w:ascii="Times New Roman" w:hAnsi="Times New Roman" w:cs="Times New Roman"/>
          <w:sz w:val="24"/>
          <w:szCs w:val="24"/>
        </w:rPr>
      </w:pPr>
    </w:p>
    <w:p w:rsidR="003C455B" w:rsidRPr="003C455B" w:rsidRDefault="003C455B" w:rsidP="003C455B">
      <w:pPr>
        <w:rPr>
          <w:rFonts w:ascii="Times New Roman" w:hAnsi="Times New Roman" w:cs="Times New Roman"/>
          <w:sz w:val="24"/>
          <w:szCs w:val="24"/>
        </w:rPr>
      </w:pPr>
    </w:p>
    <w:p w:rsidR="003C455B" w:rsidRPr="003C455B" w:rsidRDefault="003C455B" w:rsidP="003C455B">
      <w:pPr>
        <w:rPr>
          <w:rFonts w:ascii="Times New Roman" w:hAnsi="Times New Roman" w:cs="Times New Roman"/>
          <w:sz w:val="24"/>
          <w:szCs w:val="24"/>
        </w:rPr>
      </w:pPr>
    </w:p>
    <w:p w:rsidR="003C455B" w:rsidRPr="003C455B" w:rsidRDefault="003C455B" w:rsidP="003C455B">
      <w:pPr>
        <w:rPr>
          <w:rFonts w:ascii="Times New Roman" w:hAnsi="Times New Roman" w:cs="Times New Roman"/>
          <w:sz w:val="24"/>
          <w:szCs w:val="24"/>
        </w:rPr>
      </w:pPr>
    </w:p>
    <w:p w:rsidR="003C455B" w:rsidRPr="003C455B" w:rsidRDefault="003A7798" w:rsidP="003C455B">
      <w:pPr>
        <w:rPr>
          <w:rFonts w:ascii="Times New Roman" w:hAnsi="Times New Roman" w:cs="Times New Roman"/>
          <w:sz w:val="24"/>
          <w:szCs w:val="24"/>
        </w:rPr>
      </w:pPr>
      <w:r w:rsidRPr="002363CB">
        <w:rPr>
          <w:noProof/>
          <w:lang w:val="pt-PT" w:eastAsia="pt-PT"/>
        </w:rPr>
        <mc:AlternateContent>
          <mc:Choice Requires="wps">
            <w:drawing>
              <wp:anchor distT="45720" distB="45720" distL="114300" distR="114300" simplePos="0" relativeHeight="252229120" behindDoc="1" locked="0" layoutInCell="1" allowOverlap="1" wp14:anchorId="6390B209" wp14:editId="410AF503">
                <wp:simplePos x="0" y="0"/>
                <wp:positionH relativeFrom="page">
                  <wp:posOffset>7077075</wp:posOffset>
                </wp:positionH>
                <wp:positionV relativeFrom="margin">
                  <wp:posOffset>4324350</wp:posOffset>
                </wp:positionV>
                <wp:extent cx="1377315" cy="273050"/>
                <wp:effectExtent l="0" t="0" r="0" b="0"/>
                <wp:wrapTight wrapText="bothSides">
                  <wp:wrapPolygon edited="0">
                    <wp:start x="598" y="0"/>
                    <wp:lineTo x="598" y="19591"/>
                    <wp:lineTo x="20614" y="19591"/>
                    <wp:lineTo x="20614" y="0"/>
                    <wp:lineTo x="598" y="0"/>
                  </wp:wrapPolygon>
                </wp:wrapTight>
                <wp:docPr id="482" name="Zone de texte 4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7315" cy="273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548E" w:rsidRPr="003A7798" w:rsidRDefault="003C548E" w:rsidP="0074695A">
                            <w:pPr>
                              <w:rPr>
                                <w:b/>
                                <w:color w:val="FF0000"/>
                              </w:rPr>
                            </w:pPr>
                            <w:r w:rsidRPr="003A7798">
                              <w:rPr>
                                <w:b/>
                                <w:color w:val="FF0000"/>
                              </w:rPr>
                              <w:t>REGION DE BIOMBO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6390B209" id="Zone de texte 482" o:spid="_x0000_s1048" type="#_x0000_t202" style="position:absolute;margin-left:557.25pt;margin-top:340.5pt;width:108.45pt;height:21.5pt;z-index:-251087360;visibility:visible;mso-wrap-style:square;mso-width-percent:0;mso-height-percent:0;mso-wrap-distance-left:9pt;mso-wrap-distance-top:3.6pt;mso-wrap-distance-right:9pt;mso-wrap-distance-bottom:3.6pt;mso-position-horizontal:absolute;mso-position-horizontal-relative:page;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" filled="f" stroked="f">
                <v:textbox>
                  <w:txbxContent>
                    <w:p w:rsidR="003C548E" w:rsidRPr="003A7798" w:rsidRDefault="003C548E" w:rsidP="0074695A">
                      <w:pPr>
                        <w:rPr>
                          <w:b/>
                          <w:color w:val="FF0000"/>
                        </w:rPr>
                      </w:pPr>
                      <w:r w:rsidRPr="003A7798">
                        <w:rPr>
                          <w:b/>
                          <w:color w:val="FF0000"/>
                        </w:rPr>
                        <w:t>REGION DE BIOMBO</w:t>
                      </w:r>
                    </w:p>
                  </w:txbxContent>
                </v:textbox>
                <w10:wrap type="tight" anchorx="page" anchory="margin"/>
              </v:shape>
            </w:pict>
          </mc:Fallback>
        </mc:AlternateContent>
      </w:r>
    </w:p>
    <w:p w:rsidR="003C455B" w:rsidRDefault="003C455B" w:rsidP="003C455B">
      <w:pPr>
        <w:rPr>
          <w:rFonts w:ascii="Times New Roman" w:hAnsi="Times New Roman" w:cs="Times New Roman"/>
          <w:sz w:val="24"/>
          <w:szCs w:val="24"/>
        </w:rPr>
      </w:pPr>
    </w:p>
    <w:p w:rsidR="003C455B" w:rsidRPr="003C455B" w:rsidRDefault="003C455B" w:rsidP="003C455B">
      <w:pPr>
        <w:rPr>
          <w:rFonts w:ascii="Times New Roman" w:hAnsi="Times New Roman" w:cs="Times New Roman"/>
          <w:sz w:val="24"/>
          <w:szCs w:val="24"/>
        </w:rPr>
      </w:pPr>
    </w:p>
    <w:p w:rsidR="003C455B" w:rsidRDefault="003C455B" w:rsidP="003C455B">
      <w:pPr>
        <w:tabs>
          <w:tab w:val="left" w:pos="3965"/>
        </w:tabs>
        <w:rPr>
          <w:rFonts w:ascii="Times New Roman" w:hAnsi="Times New Roman" w:cs="Times New Roman"/>
          <w:sz w:val="24"/>
          <w:szCs w:val="24"/>
        </w:rPr>
      </w:pPr>
      <w:r>
        <w:rPr>
          <w:rFonts w:ascii="Times New Roman" w:hAnsi="Times New Roman" w:cs="Times New Roman"/>
          <w:sz w:val="24"/>
          <w:szCs w:val="24"/>
        </w:rPr>
        <w:tab/>
      </w:r>
    </w:p>
    <w:p w:rsidR="0074695A" w:rsidRPr="003C455B" w:rsidRDefault="004E578A" w:rsidP="003C455B">
      <w:pPr>
        <w:tabs>
          <w:tab w:val="left" w:pos="1234"/>
          <w:tab w:val="left" w:pos="3965"/>
        </w:tabs>
        <w:rPr>
          <w:rFonts w:ascii="Times New Roman" w:hAnsi="Times New Roman" w:cs="Times New Roman"/>
          <w:sz w:val="24"/>
          <w:szCs w:val="24"/>
        </w:rPr>
        <w:sectPr w:rsidR="0074695A" w:rsidRPr="003C455B" w:rsidSect="0058308B">
          <w:pgSz w:w="16838" w:h="11906" w:orient="landscape"/>
          <w:pgMar w:top="1418" w:right="992" w:bottom="1418" w:left="1418" w:header="709" w:footer="601" w:gutter="0"/>
          <w:cols w:space="708"/>
          <w:docGrid w:linePitch="360"/>
        </w:sectPr>
      </w:pPr>
      <w:r w:rsidRPr="003A7798">
        <w:rPr>
          <w:rFonts w:ascii="Times New Roman" w:hAnsi="Times New Roman" w:cs="Times New Roman"/>
          <w:noProof/>
          <w:sz w:val="24"/>
          <w:szCs w:val="24"/>
          <w:lang w:val="pt-PT" w:eastAsia="pt-PT"/>
        </w:rPr>
        <mc:AlternateContent>
          <mc:Choice Requires="wps">
            <w:drawing>
              <wp:anchor distT="45720" distB="45720" distL="114300" distR="114300" simplePos="0" relativeHeight="252240384" behindDoc="1" locked="0" layoutInCell="1" allowOverlap="1" wp14:anchorId="5C664396" wp14:editId="5A3BC6FA">
                <wp:simplePos x="0" y="0"/>
                <wp:positionH relativeFrom="margin">
                  <wp:posOffset>3176270</wp:posOffset>
                </wp:positionH>
                <wp:positionV relativeFrom="page">
                  <wp:posOffset>6558280</wp:posOffset>
                </wp:positionV>
                <wp:extent cx="6266815" cy="296545"/>
                <wp:effectExtent l="0" t="0" r="19685" b="27305"/>
                <wp:wrapTight wrapText="bothSides">
                  <wp:wrapPolygon edited="0">
                    <wp:start x="0" y="0"/>
                    <wp:lineTo x="0" y="22201"/>
                    <wp:lineTo x="21602" y="22201"/>
                    <wp:lineTo x="21602" y="0"/>
                    <wp:lineTo x="0" y="0"/>
                  </wp:wrapPolygon>
                </wp:wrapTight>
                <wp:docPr id="66"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6815" cy="296545"/>
                        </a:xfrm>
                        <a:prstGeom prst="rect">
                          <a:avLst/>
                        </a:prstGeom>
                        <a:ln>
                          <a:headEnd/>
                          <a:tailEnd/>
                        </a:ln>
                      </wps:spPr>
                      <wps:style>
                        <a:lnRef idx="2">
                          <a:schemeClr val="accent1"/>
                        </a:lnRef>
                        <a:fillRef idx="1">
                          <a:schemeClr val="lt1"/>
                        </a:fillRef>
                        <a:effectRef idx="0">
                          <a:schemeClr val="accent1"/>
                        </a:effectRef>
                        <a:fontRef idx="minor">
                          <a:schemeClr val="dk1"/>
                        </a:fontRef>
                      </wps:style>
                      <wps:txbx>
                        <w:txbxContent>
                          <w:p w:rsidR="003C548E" w:rsidRPr="00833733" w:rsidRDefault="003C548E" w:rsidP="005B2068">
                            <w:pPr>
                              <w:shd w:val="clear" w:color="auto" w:fill="FFFFFF" w:themeFill="background1"/>
                              <w:jc w:val="center"/>
                              <w:rPr>
                                <w:b/>
                              </w:rPr>
                            </w:pPr>
                            <w:r w:rsidRPr="00833733">
                              <w:rPr>
                                <w:rFonts w:ascii="Times New Roman" w:hAnsi="Times New Roman" w:cs="Times New Roman"/>
                                <w:b/>
                              </w:rPr>
                              <w:t xml:space="preserve">Carte </w:t>
                            </w:r>
                            <w:r w:rsidRPr="00833733">
                              <w:rPr>
                                <w:rFonts w:ascii="Times New Roman" w:hAnsi="Times New Roman" w:cs="Times New Roman"/>
                                <w:b/>
                              </w:rPr>
                              <w:fldChar w:fldCharType="begin"/>
                            </w:r>
                            <w:r w:rsidRPr="00833733">
                              <w:rPr>
                                <w:rFonts w:ascii="Times New Roman" w:hAnsi="Times New Roman" w:cs="Times New Roman"/>
                                <w:b/>
                              </w:rPr>
                              <w:instrText xml:space="preserve"> SEQ Carte \* ARABIC </w:instrText>
                            </w:r>
                            <w:r w:rsidRPr="00833733">
                              <w:rPr>
                                <w:rFonts w:ascii="Times New Roman" w:hAnsi="Times New Roman" w:cs="Times New Roman"/>
                                <w:b/>
                              </w:rPr>
                              <w:fldChar w:fldCharType="separate"/>
                            </w:r>
                            <w:r>
                              <w:rPr>
                                <w:rFonts w:ascii="Times New Roman" w:hAnsi="Times New Roman" w:cs="Times New Roman"/>
                                <w:b/>
                                <w:noProof/>
                              </w:rPr>
                              <w:t>3</w:t>
                            </w:r>
                            <w:r w:rsidRPr="00833733">
                              <w:rPr>
                                <w:rFonts w:ascii="Times New Roman" w:hAnsi="Times New Roman" w:cs="Times New Roman"/>
                                <w:b/>
                              </w:rPr>
                              <w:fldChar w:fldCharType="end"/>
                            </w:r>
                            <w:r w:rsidRPr="00833733">
                              <w:rPr>
                                <w:rFonts w:ascii="Times New Roman" w:hAnsi="Times New Roman" w:cs="Times New Roman"/>
                                <w:b/>
                              </w:rPr>
                              <w:t xml:space="preserve">: </w:t>
                            </w:r>
                            <w:r w:rsidRPr="00833733">
                              <w:rPr>
                                <w:rFonts w:ascii="Times New Roman" w:hAnsi="Times New Roman"/>
                                <w:b/>
                                <w:shd w:val="clear" w:color="auto" w:fill="FFFFFF" w:themeFill="background1"/>
                              </w:rPr>
                              <w:t>Carte de situation géographique de la région de Biombo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5C664396" id="_x0000_s1049" type="#_x0000_t202" style="position:absolute;margin-left:250.1pt;margin-top:516.4pt;width:493.45pt;height:23.35pt;z-index:-251076096;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" fillcolor="white [3201]" strokecolor="#5b9bd5 [3204]" strokeweight="1pt">
                <v:textbox>
                  <w:txbxContent>
                    <w:p w:rsidR="003C548E" w:rsidRPr="00833733" w:rsidRDefault="003C548E" w:rsidP="005B2068">
                      <w:pPr>
                        <w:shd w:val="clear" w:color="auto" w:fill="FFFFFF" w:themeFill="background1"/>
                        <w:jc w:val="center"/>
                        <w:rPr>
                          <w:b/>
                        </w:rPr>
                      </w:pPr>
                      <w:r w:rsidRPr="00833733">
                        <w:rPr>
                          <w:rFonts w:ascii="Times New Roman" w:hAnsi="Times New Roman" w:cs="Times New Roman"/>
                          <w:b/>
                        </w:rPr>
                        <w:t xml:space="preserve">Carte </w:t>
                      </w:r>
                      <w:r w:rsidRPr="00833733">
                        <w:rPr>
                          <w:rFonts w:ascii="Times New Roman" w:hAnsi="Times New Roman" w:cs="Times New Roman"/>
                          <w:b/>
                        </w:rPr>
                        <w:fldChar w:fldCharType="begin"/>
                      </w:r>
                      <w:r w:rsidRPr="00833733">
                        <w:rPr>
                          <w:rFonts w:ascii="Times New Roman" w:hAnsi="Times New Roman" w:cs="Times New Roman"/>
                          <w:b/>
                        </w:rPr>
                        <w:instrText xml:space="preserve"> SEQ Carte \* ARABIC </w:instrText>
                      </w:r>
                      <w:r w:rsidRPr="00833733">
                        <w:rPr>
                          <w:rFonts w:ascii="Times New Roman" w:hAnsi="Times New Roman" w:cs="Times New Roman"/>
                          <w:b/>
                        </w:rPr>
                        <w:fldChar w:fldCharType="separate"/>
                      </w:r>
                      <w:r>
                        <w:rPr>
                          <w:rFonts w:ascii="Times New Roman" w:hAnsi="Times New Roman" w:cs="Times New Roman"/>
                          <w:b/>
                          <w:noProof/>
                        </w:rPr>
                        <w:t>3</w:t>
                      </w:r>
                      <w:r w:rsidRPr="00833733">
                        <w:rPr>
                          <w:rFonts w:ascii="Times New Roman" w:hAnsi="Times New Roman" w:cs="Times New Roman"/>
                          <w:b/>
                        </w:rPr>
                        <w:fldChar w:fldCharType="end"/>
                      </w:r>
                      <w:r w:rsidRPr="00833733">
                        <w:rPr>
                          <w:rFonts w:ascii="Times New Roman" w:hAnsi="Times New Roman" w:cs="Times New Roman"/>
                          <w:b/>
                        </w:rPr>
                        <w:t xml:space="preserve">: </w:t>
                      </w:r>
                      <w:r w:rsidRPr="00833733">
                        <w:rPr>
                          <w:rFonts w:ascii="Times New Roman" w:hAnsi="Times New Roman"/>
                          <w:b/>
                          <w:shd w:val="clear" w:color="auto" w:fill="FFFFFF" w:themeFill="background1"/>
                        </w:rPr>
                        <w:t>Carte de situation géographique de la région de Biombo</w:t>
                      </w:r>
                    </w:p>
                  </w:txbxContent>
                </v:textbox>
                <w10:wrap type="tight" anchorx="margin" anchory="page"/>
              </v:shape>
            </w:pict>
          </mc:Fallback>
        </mc:AlternateContent>
      </w:r>
      <w:r w:rsidR="003C455B">
        <w:rPr>
          <w:rFonts w:ascii="Times New Roman" w:hAnsi="Times New Roman" w:cs="Times New Roman"/>
          <w:sz w:val="24"/>
          <w:szCs w:val="24"/>
        </w:rPr>
        <w:tab/>
      </w:r>
      <w:r w:rsidR="003C455B">
        <w:rPr>
          <w:rFonts w:ascii="Times New Roman" w:hAnsi="Times New Roman" w:cs="Times New Roman"/>
          <w:sz w:val="24"/>
          <w:szCs w:val="24"/>
        </w:rPr>
        <w:tab/>
      </w:r>
    </w:p>
    <w:p w:rsidR="00D0707B" w:rsidRPr="007A50B1" w:rsidRDefault="008101F1" w:rsidP="00833733">
      <w:pPr>
        <w:autoSpaceDE w:val="0"/>
        <w:autoSpaceDN w:val="0"/>
        <w:adjustRightInd w:val="0"/>
        <w:jc w:val="center"/>
        <w:rPr>
          <w:rFonts w:ascii="Times New Roman" w:hAnsi="Times New Roman" w:cs="Times New Roman"/>
          <w:b/>
          <w:sz w:val="24"/>
          <w:szCs w:val="24"/>
        </w:rPr>
        <w:sectPr w:rsidR="00D0707B" w:rsidRPr="007A50B1" w:rsidSect="0058308B">
          <w:headerReference w:type="default" r:id="rId32"/>
          <w:footerReference w:type="default" r:id="rId33"/>
          <w:headerReference w:type="first" r:id="rId34"/>
          <w:pgSz w:w="16838" w:h="11906" w:orient="landscape"/>
          <w:pgMar w:top="567" w:right="1134" w:bottom="1418" w:left="851" w:header="284" w:footer="709" w:gutter="0"/>
          <w:cols w:space="708"/>
          <w:titlePg/>
          <w:docGrid w:linePitch="360"/>
        </w:sectPr>
      </w:pPr>
      <w:r w:rsidRPr="002363CB">
        <w:rPr>
          <w:rStyle w:val="fontstyle01"/>
          <w:noProof/>
          <w:lang w:val="pt-PT" w:eastAsia="pt-PT"/>
        </w:rPr>
        <w:lastRenderedPageBreak/>
        <w:drawing>
          <wp:inline distT="0" distB="0" distL="0" distR="0" wp14:anchorId="424D5DD4" wp14:editId="2D157545">
            <wp:extent cx="9752556" cy="5762625"/>
            <wp:effectExtent l="38100" t="38100" r="39370" b="28575"/>
            <wp:docPr id="465" name="Image 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descr="zz"/>
                    <pic:cNvPicPr>
                      <a:picLocks noChangeAspect="1" noChangeArrowheads="1"/>
                    </pic:cNvPicPr>
                  </pic:nvPicPr>
                  <pic:blipFill>
                    <a:blip r:embed="rId35" cstate="email">
                      <a:extLst>
                        <a:ext uri="{28A0092B-C50C-407E-A947-70E740481C1C}">
                          <a14:useLocalDpi xmlns:a14="http://schemas.microsoft.com/office/drawing/2010/main"/>
                        </a:ext>
                      </a:extLst>
                    </a:blip>
                    <a:stretch>
                      <a:fillRect/>
                    </a:stretch>
                  </pic:blipFill>
                  <pic:spPr bwMode="auto">
                    <a:xfrm>
                      <a:off x="0" y="0"/>
                      <a:ext cx="9780819" cy="5779325"/>
                    </a:xfrm>
                    <a:prstGeom prst="rect">
                      <a:avLst/>
                    </a:prstGeom>
                    <a:noFill/>
                    <a:ln w="28575">
                      <a:solidFill>
                        <a:schemeClr val="accent1"/>
                      </a:solidFill>
                    </a:ln>
                  </pic:spPr>
                </pic:pic>
              </a:graphicData>
            </a:graphic>
          </wp:inline>
        </w:drawing>
      </w:r>
      <w:r w:rsidR="00833733" w:rsidRPr="0047697F">
        <w:rPr>
          <w:rFonts w:ascii="Times New Roman" w:hAnsi="Times New Roman" w:cs="Times New Roman"/>
          <w:b/>
        </w:rPr>
        <w:t xml:space="preserve">Carte </w:t>
      </w:r>
      <w:r w:rsidR="00833733" w:rsidRPr="0047697F">
        <w:rPr>
          <w:rFonts w:ascii="Times New Roman" w:hAnsi="Times New Roman" w:cs="Times New Roman"/>
          <w:b/>
        </w:rPr>
        <w:fldChar w:fldCharType="begin"/>
      </w:r>
      <w:r w:rsidR="00833733" w:rsidRPr="0047697F">
        <w:rPr>
          <w:rFonts w:ascii="Times New Roman" w:hAnsi="Times New Roman" w:cs="Times New Roman"/>
          <w:b/>
        </w:rPr>
        <w:instrText xml:space="preserve"> SEQ Carte \* ARABIC </w:instrText>
      </w:r>
      <w:r w:rsidR="00833733" w:rsidRPr="0047697F">
        <w:rPr>
          <w:rFonts w:ascii="Times New Roman" w:hAnsi="Times New Roman" w:cs="Times New Roman"/>
          <w:b/>
        </w:rPr>
        <w:fldChar w:fldCharType="separate"/>
      </w:r>
      <w:r w:rsidR="002C6E60">
        <w:rPr>
          <w:rFonts w:ascii="Times New Roman" w:hAnsi="Times New Roman" w:cs="Times New Roman"/>
          <w:b/>
          <w:noProof/>
        </w:rPr>
        <w:t>4</w:t>
      </w:r>
      <w:r w:rsidR="00833733" w:rsidRPr="0047697F">
        <w:rPr>
          <w:rFonts w:ascii="Times New Roman" w:hAnsi="Times New Roman" w:cs="Times New Roman"/>
          <w:b/>
        </w:rPr>
        <w:fldChar w:fldCharType="end"/>
      </w:r>
      <w:r w:rsidR="00833733" w:rsidRPr="0047697F">
        <w:rPr>
          <w:rFonts w:ascii="Times New Roman" w:hAnsi="Times New Roman" w:cs="Times New Roman"/>
          <w:b/>
        </w:rPr>
        <w:t>: Carte d’occupation du sol de la ré</w:t>
      </w:r>
      <w:r w:rsidR="00833733">
        <w:rPr>
          <w:rFonts w:ascii="Times New Roman" w:hAnsi="Times New Roman" w:cs="Times New Roman"/>
          <w:b/>
        </w:rPr>
        <w:t>gion de BIOMBO, 2020</w:t>
      </w:r>
    </w:p>
    <w:p w:rsidR="005505AF" w:rsidRPr="003B7939" w:rsidRDefault="00F60CD0" w:rsidP="00FA3FAE">
      <w:pPr>
        <w:pStyle w:val="PargrafodaLista"/>
        <w:keepNext/>
        <w:numPr>
          <w:ilvl w:val="1"/>
          <w:numId w:val="218"/>
        </w:numPr>
        <w:spacing w:after="240"/>
        <w:ind w:right="284"/>
        <w:jc w:val="both"/>
        <w:outlineLvl w:val="1"/>
        <w:rPr>
          <w:rFonts w:ascii="Times New Roman" w:hAnsi="Times New Roman"/>
          <w:b/>
          <w:sz w:val="24"/>
          <w:szCs w:val="24"/>
          <w:lang w:eastAsia="fr-FR"/>
        </w:rPr>
      </w:pPr>
      <w:bookmarkStart w:id="49" w:name="_Toc51072511"/>
      <w:bookmarkStart w:id="50" w:name="_Toc20820254"/>
      <w:bookmarkStart w:id="51" w:name="_Toc21355374"/>
      <w:r w:rsidRPr="003B7939">
        <w:rPr>
          <w:rFonts w:ascii="Times New Roman" w:hAnsi="Times New Roman"/>
          <w:b/>
          <w:sz w:val="24"/>
          <w:szCs w:val="24"/>
          <w:lang w:eastAsia="fr-FR"/>
        </w:rPr>
        <w:lastRenderedPageBreak/>
        <w:t>SITUATION ACTUEL</w:t>
      </w:r>
      <w:r w:rsidR="009B35B8">
        <w:rPr>
          <w:rFonts w:ascii="Times New Roman" w:hAnsi="Times New Roman"/>
          <w:b/>
          <w:sz w:val="24"/>
          <w:szCs w:val="24"/>
          <w:lang w:val="fr-FR" w:eastAsia="fr-FR"/>
        </w:rPr>
        <w:t>LE</w:t>
      </w:r>
      <w:r w:rsidRPr="003B7939">
        <w:rPr>
          <w:rFonts w:ascii="Times New Roman" w:hAnsi="Times New Roman"/>
          <w:b/>
          <w:sz w:val="24"/>
          <w:szCs w:val="24"/>
          <w:lang w:eastAsia="fr-FR"/>
        </w:rPr>
        <w:t xml:space="preserve"> PAR RAPPORT A</w:t>
      </w:r>
      <w:r w:rsidR="00247507">
        <w:rPr>
          <w:rFonts w:ascii="Times New Roman" w:hAnsi="Times New Roman"/>
          <w:b/>
          <w:sz w:val="24"/>
          <w:szCs w:val="24"/>
          <w:lang w:val="fr-FR" w:eastAsia="fr-FR"/>
        </w:rPr>
        <w:t xml:space="preserve"> LA</w:t>
      </w:r>
      <w:r w:rsidRPr="003B7939">
        <w:rPr>
          <w:rFonts w:ascii="Times New Roman" w:hAnsi="Times New Roman"/>
          <w:b/>
          <w:sz w:val="24"/>
          <w:szCs w:val="24"/>
          <w:lang w:eastAsia="fr-FR"/>
        </w:rPr>
        <w:t xml:space="preserve"> PRODUCTION D’EAU DANS LA ZONE D’INTERVENTION DU SOUS-PROJET N°2 DE PUASEE-FA</w:t>
      </w:r>
      <w:bookmarkEnd w:id="49"/>
      <w:r w:rsidRPr="003B7939">
        <w:rPr>
          <w:rFonts w:ascii="Times New Roman" w:hAnsi="Times New Roman"/>
          <w:b/>
          <w:sz w:val="24"/>
          <w:szCs w:val="24"/>
          <w:lang w:eastAsia="fr-FR"/>
        </w:rPr>
        <w:t xml:space="preserve"> </w:t>
      </w:r>
      <w:bookmarkEnd w:id="50"/>
      <w:bookmarkEnd w:id="51"/>
      <w:r w:rsidRPr="003B7939">
        <w:rPr>
          <w:rFonts w:ascii="Times New Roman" w:hAnsi="Times New Roman"/>
          <w:b/>
          <w:sz w:val="24"/>
          <w:szCs w:val="24"/>
          <w:lang w:eastAsia="fr-FR"/>
        </w:rPr>
        <w:t xml:space="preserve"> </w:t>
      </w:r>
    </w:p>
    <w:p w:rsidR="005505AF" w:rsidRDefault="005505AF" w:rsidP="00F60CD0">
      <w:pPr>
        <w:autoSpaceDE w:val="0"/>
        <w:autoSpaceDN w:val="0"/>
        <w:adjustRightInd w:val="0"/>
        <w:spacing w:after="0" w:line="240" w:lineRule="auto"/>
        <w:ind w:left="-284"/>
        <w:jc w:val="both"/>
        <w:rPr>
          <w:rFonts w:ascii="Times New Roman" w:hAnsi="Times New Roman" w:cs="Times New Roman"/>
          <w:sz w:val="24"/>
          <w:szCs w:val="24"/>
        </w:rPr>
      </w:pPr>
      <w:r w:rsidRPr="007A50B1">
        <w:rPr>
          <w:rFonts w:ascii="Times New Roman" w:hAnsi="Times New Roman" w:cs="Times New Roman"/>
          <w:sz w:val="24"/>
          <w:szCs w:val="24"/>
        </w:rPr>
        <w:t>Le volume de stockage effectivement disponible en date de Mai 2019 était d’environ 1.920 m</w:t>
      </w:r>
      <w:r w:rsidRPr="00F60CD0">
        <w:rPr>
          <w:rFonts w:ascii="Times New Roman" w:hAnsi="Times New Roman" w:cs="Times New Roman"/>
          <w:sz w:val="24"/>
          <w:szCs w:val="24"/>
        </w:rPr>
        <w:t>3.</w:t>
      </w:r>
      <w:r w:rsidRPr="007A50B1">
        <w:rPr>
          <w:rFonts w:ascii="Times New Roman" w:hAnsi="Times New Roman" w:cs="Times New Roman"/>
          <w:sz w:val="24"/>
          <w:szCs w:val="24"/>
        </w:rPr>
        <w:t xml:space="preserve"> Avec la conclusion de construction du réservoir « Guinée Telecom » (750 m</w:t>
      </w:r>
      <w:r w:rsidRPr="00F60CD0">
        <w:rPr>
          <w:rFonts w:ascii="Times New Roman" w:hAnsi="Times New Roman" w:cs="Times New Roman"/>
          <w:sz w:val="24"/>
          <w:szCs w:val="24"/>
        </w:rPr>
        <w:t>3</w:t>
      </w:r>
      <w:r w:rsidRPr="007A50B1">
        <w:rPr>
          <w:rFonts w:ascii="Times New Roman" w:hAnsi="Times New Roman" w:cs="Times New Roman"/>
          <w:sz w:val="24"/>
          <w:szCs w:val="24"/>
        </w:rPr>
        <w:t>), le volume effectivement disponible augmenta jusqu’à 2.670 m</w:t>
      </w:r>
      <w:r w:rsidRPr="00F60CD0">
        <w:rPr>
          <w:rFonts w:ascii="Times New Roman" w:hAnsi="Times New Roman" w:cs="Times New Roman"/>
          <w:sz w:val="24"/>
          <w:szCs w:val="24"/>
        </w:rPr>
        <w:t>3</w:t>
      </w:r>
      <w:r w:rsidRPr="007A50B1">
        <w:rPr>
          <w:rFonts w:ascii="Times New Roman" w:hAnsi="Times New Roman" w:cs="Times New Roman"/>
          <w:sz w:val="24"/>
          <w:szCs w:val="24"/>
        </w:rPr>
        <w:t xml:space="preserve"> soit 8% du volume produit., ce qui équivaut à un volume correspondant à 1h15’ de fonctionnement des forages, et 40 minutes de fonctionnement des réseaux de distribution en période de pointe.</w:t>
      </w:r>
    </w:p>
    <w:p w:rsidR="00F60CD0" w:rsidRPr="007A50B1" w:rsidRDefault="00F60CD0" w:rsidP="00F60CD0">
      <w:pPr>
        <w:autoSpaceDE w:val="0"/>
        <w:autoSpaceDN w:val="0"/>
        <w:adjustRightInd w:val="0"/>
        <w:spacing w:after="0" w:line="240" w:lineRule="auto"/>
        <w:ind w:left="-284"/>
        <w:jc w:val="both"/>
        <w:rPr>
          <w:rFonts w:ascii="Times New Roman" w:hAnsi="Times New Roman" w:cs="Times New Roman"/>
          <w:sz w:val="24"/>
          <w:szCs w:val="24"/>
        </w:rPr>
      </w:pPr>
    </w:p>
    <w:p w:rsidR="005505AF" w:rsidRDefault="005505AF" w:rsidP="00F60CD0">
      <w:pPr>
        <w:autoSpaceDE w:val="0"/>
        <w:autoSpaceDN w:val="0"/>
        <w:adjustRightInd w:val="0"/>
        <w:spacing w:after="0" w:line="240" w:lineRule="auto"/>
        <w:ind w:left="-284"/>
        <w:jc w:val="both"/>
        <w:rPr>
          <w:rFonts w:ascii="Times New Roman" w:hAnsi="Times New Roman" w:cs="Times New Roman"/>
          <w:sz w:val="24"/>
          <w:szCs w:val="24"/>
        </w:rPr>
      </w:pPr>
      <w:r w:rsidRPr="007A50B1">
        <w:rPr>
          <w:rFonts w:ascii="Times New Roman" w:hAnsi="Times New Roman" w:cs="Times New Roman"/>
          <w:sz w:val="24"/>
          <w:szCs w:val="24"/>
        </w:rPr>
        <w:t xml:space="preserve">Ces réserves sont insuffisantes et doivent être renforcées. Les conséquences de ce déficit de stockage sont aggravées par les arrêts fréquents de pompage au niveau des centres de captage dû aux nombreux délestages électriques. </w:t>
      </w:r>
    </w:p>
    <w:p w:rsidR="00F60CD0" w:rsidRPr="007A50B1" w:rsidRDefault="00F60CD0" w:rsidP="00F60CD0">
      <w:pPr>
        <w:autoSpaceDE w:val="0"/>
        <w:autoSpaceDN w:val="0"/>
        <w:adjustRightInd w:val="0"/>
        <w:spacing w:after="0" w:line="240" w:lineRule="auto"/>
        <w:ind w:left="-284"/>
        <w:jc w:val="both"/>
        <w:rPr>
          <w:rFonts w:ascii="Times New Roman" w:hAnsi="Times New Roman" w:cs="Times New Roman"/>
          <w:sz w:val="24"/>
          <w:szCs w:val="24"/>
        </w:rPr>
      </w:pPr>
    </w:p>
    <w:p w:rsidR="00F60CD0" w:rsidRPr="007A50B1" w:rsidRDefault="005505AF" w:rsidP="009C7E7C">
      <w:pPr>
        <w:autoSpaceDE w:val="0"/>
        <w:autoSpaceDN w:val="0"/>
        <w:adjustRightInd w:val="0"/>
        <w:spacing w:after="0" w:line="240" w:lineRule="auto"/>
        <w:ind w:left="-284"/>
        <w:jc w:val="both"/>
        <w:rPr>
          <w:rFonts w:ascii="Times New Roman" w:hAnsi="Times New Roman" w:cs="Times New Roman"/>
          <w:sz w:val="24"/>
          <w:szCs w:val="24"/>
        </w:rPr>
      </w:pPr>
      <w:r w:rsidRPr="007A50B1">
        <w:rPr>
          <w:rFonts w:ascii="Times New Roman" w:hAnsi="Times New Roman" w:cs="Times New Roman"/>
          <w:sz w:val="24"/>
          <w:szCs w:val="24"/>
        </w:rPr>
        <w:t>Pour avoir un fonctionnement normal des réseaux de distribution, ces arrêts devraient être compensés par une capacité de réservation plus grande, capable d’assurer la continuité de desserte des réseaux de distribution, même en cas de défaillance du pompage des forages causés par des coupures d’énergie.</w:t>
      </w:r>
      <w:r w:rsidR="00024D1D" w:rsidRPr="007A50B1">
        <w:rPr>
          <w:rFonts w:ascii="Times New Roman" w:hAnsi="Times New Roman" w:cs="Times New Roman"/>
          <w:sz w:val="24"/>
          <w:szCs w:val="24"/>
        </w:rPr>
        <w:t xml:space="preserve"> </w:t>
      </w:r>
      <w:r w:rsidRPr="007A50B1">
        <w:rPr>
          <w:rFonts w:ascii="Times New Roman" w:hAnsi="Times New Roman" w:cs="Times New Roman"/>
          <w:sz w:val="24"/>
          <w:szCs w:val="24"/>
        </w:rPr>
        <w:t>La proposition de projet est de prévoir un volume de stockage minimum correspondant à 17% du volume distribué en jour de pointe : pour un temps de fonctionnement normal des forages de 15h30’/jour, 17% de réservation correspondent à 2h40’ de pompage et à 1h30’ de fonctionnement des réseaux de distribution en période de pointe.</w:t>
      </w:r>
    </w:p>
    <w:p w:rsidR="005505AF" w:rsidRPr="00EE0400" w:rsidRDefault="00EE0400" w:rsidP="00EE0400">
      <w:pPr>
        <w:pStyle w:val="Legenda"/>
        <w:rPr>
          <w:rFonts w:ascii="Times New Roman" w:hAnsi="Times New Roman" w:cs="Times New Roman"/>
          <w:color w:val="auto"/>
          <w:sz w:val="20"/>
          <w:szCs w:val="20"/>
          <w:lang w:val="fr-FR"/>
        </w:rPr>
      </w:pPr>
      <w:bookmarkStart w:id="52" w:name="_Toc51073992"/>
      <w:r w:rsidRPr="00EE0400">
        <w:rPr>
          <w:rFonts w:ascii="Times New Roman" w:hAnsi="Times New Roman" w:cs="Times New Roman"/>
          <w:color w:val="auto"/>
          <w:sz w:val="20"/>
          <w:szCs w:val="20"/>
          <w:lang w:val="fr-FR"/>
        </w:rPr>
        <w:t xml:space="preserve">Tableau </w:t>
      </w:r>
      <w:r w:rsidRPr="00EE0400">
        <w:rPr>
          <w:rFonts w:ascii="Times New Roman" w:hAnsi="Times New Roman" w:cs="Times New Roman"/>
          <w:color w:val="auto"/>
          <w:sz w:val="20"/>
          <w:szCs w:val="20"/>
        </w:rPr>
        <w:fldChar w:fldCharType="begin"/>
      </w:r>
      <w:r w:rsidRPr="00EE0400">
        <w:rPr>
          <w:rFonts w:ascii="Times New Roman" w:hAnsi="Times New Roman" w:cs="Times New Roman"/>
          <w:color w:val="auto"/>
          <w:sz w:val="20"/>
          <w:szCs w:val="20"/>
          <w:lang w:val="fr-FR"/>
        </w:rPr>
        <w:instrText xml:space="preserve"> SEQ Tableau \* ARABIC </w:instrText>
      </w:r>
      <w:r w:rsidRPr="00EE0400">
        <w:rPr>
          <w:rFonts w:ascii="Times New Roman" w:hAnsi="Times New Roman" w:cs="Times New Roman"/>
          <w:color w:val="auto"/>
          <w:sz w:val="20"/>
          <w:szCs w:val="20"/>
        </w:rPr>
        <w:fldChar w:fldCharType="separate"/>
      </w:r>
      <w:r w:rsidR="00EB726E">
        <w:rPr>
          <w:rFonts w:ascii="Times New Roman" w:hAnsi="Times New Roman" w:cs="Times New Roman"/>
          <w:noProof/>
          <w:color w:val="auto"/>
          <w:sz w:val="20"/>
          <w:szCs w:val="20"/>
          <w:lang w:val="fr-FR"/>
        </w:rPr>
        <w:t>1</w:t>
      </w:r>
      <w:r w:rsidRPr="00EE0400">
        <w:rPr>
          <w:rFonts w:ascii="Times New Roman" w:hAnsi="Times New Roman" w:cs="Times New Roman"/>
          <w:color w:val="auto"/>
          <w:sz w:val="20"/>
          <w:szCs w:val="20"/>
        </w:rPr>
        <w:fldChar w:fldCharType="end"/>
      </w:r>
      <w:r w:rsidR="005505AF" w:rsidRPr="00EE0400">
        <w:rPr>
          <w:rFonts w:ascii="Times New Roman" w:hAnsi="Times New Roman" w:cs="Times New Roman"/>
          <w:bCs/>
          <w:color w:val="auto"/>
          <w:sz w:val="20"/>
          <w:szCs w:val="20"/>
          <w:lang w:val="fr-FR"/>
        </w:rPr>
        <w:t>: Volume de stockage minimal p</w:t>
      </w:r>
      <w:r w:rsidR="00F60CD0" w:rsidRPr="00EE0400">
        <w:rPr>
          <w:rFonts w:ascii="Times New Roman" w:hAnsi="Times New Roman" w:cs="Times New Roman"/>
          <w:bCs/>
          <w:color w:val="auto"/>
          <w:sz w:val="20"/>
          <w:szCs w:val="20"/>
          <w:lang w:val="fr-FR"/>
        </w:rPr>
        <w:t xml:space="preserve">our le système d’AEP de Bissau </w:t>
      </w:r>
      <w:r w:rsidR="005505AF" w:rsidRPr="00EE0400">
        <w:rPr>
          <w:rFonts w:ascii="Times New Roman" w:hAnsi="Times New Roman" w:cs="Times New Roman"/>
          <w:bCs/>
          <w:color w:val="auto"/>
          <w:sz w:val="20"/>
          <w:szCs w:val="20"/>
          <w:lang w:val="fr-FR"/>
        </w:rPr>
        <w:t>/ horizon d’étude</w:t>
      </w:r>
      <w:bookmarkEnd w:id="52"/>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4327"/>
        <w:gridCol w:w="1045"/>
        <w:gridCol w:w="1197"/>
        <w:gridCol w:w="1045"/>
        <w:gridCol w:w="1197"/>
        <w:gridCol w:w="1102"/>
      </w:tblGrid>
      <w:tr w:rsidR="005505AF" w:rsidRPr="00F60CD0" w:rsidTr="00F60CD0">
        <w:trPr>
          <w:trHeight w:val="350"/>
          <w:jc w:val="center"/>
        </w:trPr>
        <w:tc>
          <w:tcPr>
            <w:tcW w:w="2182" w:type="pct"/>
            <w:vMerge w:val="restart"/>
            <w:shd w:val="clear" w:color="auto" w:fill="002060"/>
            <w:vAlign w:val="center"/>
          </w:tcPr>
          <w:p w:rsidR="005505AF" w:rsidRPr="00F60CD0" w:rsidRDefault="005505AF" w:rsidP="00F60CD0">
            <w:pPr>
              <w:pStyle w:val="TableParagraph"/>
              <w:spacing w:before="0" w:line="240" w:lineRule="auto"/>
              <w:ind w:left="107"/>
              <w:contextualSpacing/>
              <w:jc w:val="center"/>
              <w:rPr>
                <w:rFonts w:ascii="Times New Roman" w:hAnsi="Times New Roman" w:cs="Times New Roman"/>
                <w:b/>
              </w:rPr>
            </w:pPr>
            <w:r w:rsidRPr="00F60CD0">
              <w:rPr>
                <w:rFonts w:ascii="Times New Roman" w:hAnsi="Times New Roman" w:cs="Times New Roman"/>
                <w:b/>
              </w:rPr>
              <w:t>Désignation</w:t>
            </w:r>
          </w:p>
        </w:tc>
        <w:tc>
          <w:tcPr>
            <w:tcW w:w="2818" w:type="pct"/>
            <w:gridSpan w:val="5"/>
            <w:shd w:val="clear" w:color="auto" w:fill="002060"/>
            <w:vAlign w:val="center"/>
          </w:tcPr>
          <w:p w:rsidR="005505AF" w:rsidRPr="00F60CD0" w:rsidRDefault="005505AF" w:rsidP="00F60CD0">
            <w:pPr>
              <w:pStyle w:val="TableParagraph"/>
              <w:spacing w:before="0" w:line="240" w:lineRule="auto"/>
              <w:contextualSpacing/>
              <w:jc w:val="center"/>
              <w:rPr>
                <w:rFonts w:ascii="Times New Roman" w:hAnsi="Times New Roman" w:cs="Times New Roman"/>
                <w:b/>
              </w:rPr>
            </w:pPr>
            <w:r w:rsidRPr="00F60CD0">
              <w:rPr>
                <w:rFonts w:ascii="Times New Roman" w:hAnsi="Times New Roman" w:cs="Times New Roman"/>
                <w:b/>
              </w:rPr>
              <w:t>Horizon d’étude</w:t>
            </w:r>
          </w:p>
        </w:tc>
      </w:tr>
      <w:tr w:rsidR="005505AF" w:rsidRPr="00F60CD0" w:rsidTr="00F60CD0">
        <w:trPr>
          <w:trHeight w:val="350"/>
          <w:jc w:val="center"/>
        </w:trPr>
        <w:tc>
          <w:tcPr>
            <w:tcW w:w="2182" w:type="pct"/>
            <w:vMerge/>
            <w:vAlign w:val="center"/>
          </w:tcPr>
          <w:p w:rsidR="005505AF" w:rsidRPr="00F60CD0" w:rsidRDefault="005505AF" w:rsidP="00F60CD0">
            <w:pPr>
              <w:pStyle w:val="TableParagraph"/>
              <w:spacing w:before="0" w:line="240" w:lineRule="auto"/>
              <w:contextualSpacing/>
              <w:jc w:val="left"/>
              <w:rPr>
                <w:rFonts w:ascii="Times New Roman" w:hAnsi="Times New Roman" w:cs="Times New Roman"/>
              </w:rPr>
            </w:pPr>
          </w:p>
        </w:tc>
        <w:tc>
          <w:tcPr>
            <w:tcW w:w="527" w:type="pct"/>
            <w:shd w:val="clear" w:color="auto" w:fill="A8D08D" w:themeFill="accent6" w:themeFillTint="99"/>
            <w:vAlign w:val="center"/>
          </w:tcPr>
          <w:p w:rsidR="005505AF" w:rsidRPr="00F60CD0" w:rsidRDefault="005505AF" w:rsidP="00F60CD0">
            <w:pPr>
              <w:pStyle w:val="TableParagraph"/>
              <w:spacing w:before="0" w:line="240" w:lineRule="auto"/>
              <w:ind w:right="95"/>
              <w:contextualSpacing/>
              <w:jc w:val="center"/>
              <w:rPr>
                <w:rFonts w:ascii="Times New Roman" w:hAnsi="Times New Roman" w:cs="Times New Roman"/>
                <w:b/>
              </w:rPr>
            </w:pPr>
            <w:r w:rsidRPr="00F60CD0">
              <w:rPr>
                <w:rFonts w:ascii="Times New Roman" w:hAnsi="Times New Roman" w:cs="Times New Roman"/>
                <w:b/>
              </w:rPr>
              <w:t>2020</w:t>
            </w:r>
          </w:p>
        </w:tc>
        <w:tc>
          <w:tcPr>
            <w:tcW w:w="604" w:type="pct"/>
            <w:shd w:val="clear" w:color="auto" w:fill="A8D08D" w:themeFill="accent6" w:themeFillTint="99"/>
            <w:vAlign w:val="center"/>
          </w:tcPr>
          <w:p w:rsidR="005505AF" w:rsidRPr="00F60CD0" w:rsidRDefault="005505AF" w:rsidP="00F60CD0">
            <w:pPr>
              <w:pStyle w:val="TableParagraph"/>
              <w:spacing w:before="0" w:line="240" w:lineRule="auto"/>
              <w:ind w:right="96"/>
              <w:contextualSpacing/>
              <w:jc w:val="center"/>
              <w:rPr>
                <w:rFonts w:ascii="Times New Roman" w:hAnsi="Times New Roman" w:cs="Times New Roman"/>
                <w:b/>
              </w:rPr>
            </w:pPr>
            <w:r w:rsidRPr="00F60CD0">
              <w:rPr>
                <w:rFonts w:ascii="Times New Roman" w:hAnsi="Times New Roman" w:cs="Times New Roman"/>
                <w:b/>
              </w:rPr>
              <w:t>2025</w:t>
            </w:r>
          </w:p>
        </w:tc>
        <w:tc>
          <w:tcPr>
            <w:tcW w:w="527" w:type="pct"/>
            <w:shd w:val="clear" w:color="auto" w:fill="A8D08D" w:themeFill="accent6" w:themeFillTint="99"/>
            <w:vAlign w:val="center"/>
          </w:tcPr>
          <w:p w:rsidR="005505AF" w:rsidRPr="00F60CD0" w:rsidRDefault="005505AF" w:rsidP="00F60CD0">
            <w:pPr>
              <w:pStyle w:val="TableParagraph"/>
              <w:spacing w:before="0" w:line="240" w:lineRule="auto"/>
              <w:ind w:right="96"/>
              <w:contextualSpacing/>
              <w:jc w:val="center"/>
              <w:rPr>
                <w:rFonts w:ascii="Times New Roman" w:hAnsi="Times New Roman" w:cs="Times New Roman"/>
                <w:b/>
              </w:rPr>
            </w:pPr>
            <w:r w:rsidRPr="00F60CD0">
              <w:rPr>
                <w:rFonts w:ascii="Times New Roman" w:hAnsi="Times New Roman" w:cs="Times New Roman"/>
                <w:b/>
              </w:rPr>
              <w:t>2030</w:t>
            </w:r>
          </w:p>
        </w:tc>
        <w:tc>
          <w:tcPr>
            <w:tcW w:w="604" w:type="pct"/>
            <w:shd w:val="clear" w:color="auto" w:fill="A8D08D" w:themeFill="accent6" w:themeFillTint="99"/>
            <w:vAlign w:val="center"/>
          </w:tcPr>
          <w:p w:rsidR="005505AF" w:rsidRPr="00F60CD0" w:rsidRDefault="005505AF" w:rsidP="00F60CD0">
            <w:pPr>
              <w:pStyle w:val="TableParagraph"/>
              <w:spacing w:before="0" w:line="240" w:lineRule="auto"/>
              <w:ind w:right="96"/>
              <w:contextualSpacing/>
              <w:jc w:val="center"/>
              <w:rPr>
                <w:rFonts w:ascii="Times New Roman" w:hAnsi="Times New Roman" w:cs="Times New Roman"/>
                <w:b/>
              </w:rPr>
            </w:pPr>
            <w:r w:rsidRPr="00F60CD0">
              <w:rPr>
                <w:rFonts w:ascii="Times New Roman" w:hAnsi="Times New Roman" w:cs="Times New Roman"/>
                <w:b/>
              </w:rPr>
              <w:t>2035</w:t>
            </w:r>
          </w:p>
        </w:tc>
        <w:tc>
          <w:tcPr>
            <w:tcW w:w="555" w:type="pct"/>
            <w:shd w:val="clear" w:color="auto" w:fill="A8D08D" w:themeFill="accent6" w:themeFillTint="99"/>
            <w:vAlign w:val="center"/>
          </w:tcPr>
          <w:p w:rsidR="005505AF" w:rsidRPr="00F60CD0" w:rsidRDefault="005505AF" w:rsidP="00F60CD0">
            <w:pPr>
              <w:pStyle w:val="TableParagraph"/>
              <w:spacing w:before="0" w:line="240" w:lineRule="auto"/>
              <w:ind w:right="96"/>
              <w:contextualSpacing/>
              <w:jc w:val="center"/>
              <w:rPr>
                <w:rFonts w:ascii="Times New Roman" w:hAnsi="Times New Roman" w:cs="Times New Roman"/>
                <w:b/>
              </w:rPr>
            </w:pPr>
            <w:r w:rsidRPr="00F60CD0">
              <w:rPr>
                <w:rFonts w:ascii="Times New Roman" w:hAnsi="Times New Roman" w:cs="Times New Roman"/>
                <w:b/>
              </w:rPr>
              <w:t>2040</w:t>
            </w:r>
          </w:p>
        </w:tc>
      </w:tr>
      <w:tr w:rsidR="005505AF" w:rsidRPr="00F60CD0" w:rsidTr="00F60CD0">
        <w:trPr>
          <w:trHeight w:val="350"/>
          <w:jc w:val="center"/>
        </w:trPr>
        <w:tc>
          <w:tcPr>
            <w:tcW w:w="2182" w:type="pct"/>
            <w:shd w:val="clear" w:color="auto" w:fill="F2F2F2" w:themeFill="background1" w:themeFillShade="F2"/>
            <w:vAlign w:val="center"/>
          </w:tcPr>
          <w:p w:rsidR="005505AF" w:rsidRPr="00F60CD0" w:rsidRDefault="005505AF" w:rsidP="00F60CD0">
            <w:pPr>
              <w:pStyle w:val="TableParagraph"/>
              <w:spacing w:before="0" w:line="240" w:lineRule="auto"/>
              <w:ind w:left="107"/>
              <w:contextualSpacing/>
              <w:jc w:val="left"/>
              <w:rPr>
                <w:rFonts w:ascii="Times New Roman" w:hAnsi="Times New Roman" w:cs="Times New Roman"/>
              </w:rPr>
            </w:pPr>
            <w:r w:rsidRPr="00F60CD0">
              <w:rPr>
                <w:rFonts w:ascii="Times New Roman" w:hAnsi="Times New Roman" w:cs="Times New Roman"/>
              </w:rPr>
              <w:t>Population totale</w:t>
            </w:r>
          </w:p>
        </w:tc>
        <w:tc>
          <w:tcPr>
            <w:tcW w:w="527" w:type="pct"/>
            <w:vAlign w:val="center"/>
          </w:tcPr>
          <w:p w:rsidR="005505AF" w:rsidRPr="00F60CD0" w:rsidRDefault="005505AF" w:rsidP="00F60CD0">
            <w:pPr>
              <w:pStyle w:val="TableParagraph"/>
              <w:spacing w:before="0" w:line="240" w:lineRule="auto"/>
              <w:ind w:right="95"/>
              <w:contextualSpacing/>
              <w:jc w:val="center"/>
              <w:rPr>
                <w:rFonts w:ascii="Times New Roman" w:hAnsi="Times New Roman" w:cs="Times New Roman"/>
                <w:color w:val="000000"/>
              </w:rPr>
            </w:pPr>
            <w:r w:rsidRPr="00F60CD0">
              <w:rPr>
                <w:rFonts w:ascii="Times New Roman" w:hAnsi="Times New Roman" w:cs="Times New Roman"/>
                <w:color w:val="000000"/>
              </w:rPr>
              <w:t>500.299</w:t>
            </w:r>
          </w:p>
        </w:tc>
        <w:tc>
          <w:tcPr>
            <w:tcW w:w="604" w:type="pct"/>
            <w:vAlign w:val="center"/>
          </w:tcPr>
          <w:p w:rsidR="005505AF" w:rsidRPr="00F60CD0" w:rsidRDefault="005505AF" w:rsidP="00F60CD0">
            <w:pPr>
              <w:pStyle w:val="TableParagraph"/>
              <w:spacing w:before="0" w:line="240" w:lineRule="auto"/>
              <w:ind w:right="96"/>
              <w:contextualSpacing/>
              <w:jc w:val="center"/>
              <w:rPr>
                <w:rFonts w:ascii="Times New Roman" w:hAnsi="Times New Roman" w:cs="Times New Roman"/>
                <w:color w:val="000000"/>
              </w:rPr>
            </w:pPr>
            <w:r w:rsidRPr="00F60CD0">
              <w:rPr>
                <w:rFonts w:ascii="Times New Roman" w:hAnsi="Times New Roman" w:cs="Times New Roman"/>
                <w:color w:val="000000"/>
              </w:rPr>
              <w:t>561.638</w:t>
            </w:r>
          </w:p>
        </w:tc>
        <w:tc>
          <w:tcPr>
            <w:tcW w:w="527" w:type="pct"/>
            <w:vAlign w:val="center"/>
          </w:tcPr>
          <w:p w:rsidR="005505AF" w:rsidRPr="00F60CD0" w:rsidRDefault="005505AF" w:rsidP="00F60CD0">
            <w:pPr>
              <w:pStyle w:val="TableParagraph"/>
              <w:spacing w:before="0" w:line="240" w:lineRule="auto"/>
              <w:ind w:right="96"/>
              <w:contextualSpacing/>
              <w:jc w:val="center"/>
              <w:rPr>
                <w:rFonts w:ascii="Times New Roman" w:hAnsi="Times New Roman" w:cs="Times New Roman"/>
                <w:color w:val="000000"/>
              </w:rPr>
            </w:pPr>
            <w:r w:rsidRPr="00F60CD0">
              <w:rPr>
                <w:rFonts w:ascii="Times New Roman" w:hAnsi="Times New Roman" w:cs="Times New Roman"/>
                <w:color w:val="000000"/>
              </w:rPr>
              <w:t>630.498</w:t>
            </w:r>
          </w:p>
        </w:tc>
        <w:tc>
          <w:tcPr>
            <w:tcW w:w="604" w:type="pct"/>
            <w:vAlign w:val="center"/>
          </w:tcPr>
          <w:p w:rsidR="005505AF" w:rsidRPr="00F60CD0" w:rsidRDefault="005505AF" w:rsidP="00F60CD0">
            <w:pPr>
              <w:pStyle w:val="TableParagraph"/>
              <w:spacing w:before="0" w:line="240" w:lineRule="auto"/>
              <w:ind w:right="96"/>
              <w:contextualSpacing/>
              <w:jc w:val="center"/>
              <w:rPr>
                <w:rFonts w:ascii="Times New Roman" w:hAnsi="Times New Roman" w:cs="Times New Roman"/>
                <w:color w:val="000000"/>
              </w:rPr>
            </w:pPr>
            <w:r w:rsidRPr="00F60CD0">
              <w:rPr>
                <w:rFonts w:ascii="Times New Roman" w:hAnsi="Times New Roman" w:cs="Times New Roman"/>
                <w:color w:val="000000"/>
              </w:rPr>
              <w:t>707.800</w:t>
            </w:r>
          </w:p>
        </w:tc>
        <w:tc>
          <w:tcPr>
            <w:tcW w:w="555" w:type="pct"/>
            <w:vAlign w:val="center"/>
          </w:tcPr>
          <w:p w:rsidR="005505AF" w:rsidRPr="00F60CD0" w:rsidRDefault="005505AF" w:rsidP="00F60CD0">
            <w:pPr>
              <w:pStyle w:val="TableParagraph"/>
              <w:spacing w:before="0" w:line="240" w:lineRule="auto"/>
              <w:ind w:right="96"/>
              <w:contextualSpacing/>
              <w:jc w:val="center"/>
              <w:rPr>
                <w:rFonts w:ascii="Times New Roman" w:hAnsi="Times New Roman" w:cs="Times New Roman"/>
                <w:color w:val="000000"/>
              </w:rPr>
            </w:pPr>
            <w:r w:rsidRPr="00F60CD0">
              <w:rPr>
                <w:rFonts w:ascii="Times New Roman" w:hAnsi="Times New Roman" w:cs="Times New Roman"/>
                <w:color w:val="000000"/>
              </w:rPr>
              <w:t>794.580</w:t>
            </w:r>
          </w:p>
        </w:tc>
      </w:tr>
      <w:tr w:rsidR="005505AF" w:rsidRPr="00F60CD0" w:rsidTr="00F60CD0">
        <w:trPr>
          <w:trHeight w:val="350"/>
          <w:jc w:val="center"/>
        </w:trPr>
        <w:tc>
          <w:tcPr>
            <w:tcW w:w="2182" w:type="pct"/>
            <w:shd w:val="clear" w:color="auto" w:fill="F2F2F2" w:themeFill="background1" w:themeFillShade="F2"/>
            <w:vAlign w:val="center"/>
          </w:tcPr>
          <w:p w:rsidR="005505AF" w:rsidRPr="00F60CD0" w:rsidRDefault="005505AF" w:rsidP="00F60CD0">
            <w:pPr>
              <w:pStyle w:val="TableParagraph"/>
              <w:spacing w:before="0" w:line="240" w:lineRule="auto"/>
              <w:ind w:left="107"/>
              <w:contextualSpacing/>
              <w:jc w:val="left"/>
              <w:rPr>
                <w:rFonts w:ascii="Times New Roman" w:hAnsi="Times New Roman" w:cs="Times New Roman"/>
              </w:rPr>
            </w:pPr>
            <w:r w:rsidRPr="00F60CD0">
              <w:rPr>
                <w:rFonts w:ascii="Times New Roman" w:hAnsi="Times New Roman" w:cs="Times New Roman"/>
              </w:rPr>
              <w:t>Besoins bruts en jour moyen (m3/jour)</w:t>
            </w:r>
          </w:p>
        </w:tc>
        <w:tc>
          <w:tcPr>
            <w:tcW w:w="527" w:type="pct"/>
            <w:vAlign w:val="center"/>
          </w:tcPr>
          <w:p w:rsidR="005505AF" w:rsidRPr="00F60CD0" w:rsidRDefault="005505AF" w:rsidP="00F60CD0">
            <w:pPr>
              <w:pStyle w:val="TableParagraph"/>
              <w:spacing w:before="0" w:line="240" w:lineRule="auto"/>
              <w:ind w:right="95"/>
              <w:contextualSpacing/>
              <w:jc w:val="center"/>
              <w:rPr>
                <w:rFonts w:ascii="Times New Roman" w:hAnsi="Times New Roman" w:cs="Times New Roman"/>
              </w:rPr>
            </w:pPr>
            <w:r w:rsidRPr="00F60CD0">
              <w:rPr>
                <w:rFonts w:ascii="Times New Roman" w:hAnsi="Times New Roman" w:cs="Times New Roman"/>
                <w:color w:val="000000"/>
              </w:rPr>
              <w:t>32.519</w:t>
            </w:r>
          </w:p>
        </w:tc>
        <w:tc>
          <w:tcPr>
            <w:tcW w:w="604" w:type="pct"/>
            <w:vAlign w:val="center"/>
          </w:tcPr>
          <w:p w:rsidR="005505AF" w:rsidRPr="00F60CD0" w:rsidRDefault="005505AF" w:rsidP="00F60CD0">
            <w:pPr>
              <w:pStyle w:val="TableParagraph"/>
              <w:spacing w:before="0" w:line="240" w:lineRule="auto"/>
              <w:ind w:right="96"/>
              <w:contextualSpacing/>
              <w:jc w:val="center"/>
              <w:rPr>
                <w:rFonts w:ascii="Times New Roman" w:hAnsi="Times New Roman" w:cs="Times New Roman"/>
              </w:rPr>
            </w:pPr>
            <w:r w:rsidRPr="00F60CD0">
              <w:rPr>
                <w:rFonts w:ascii="Times New Roman" w:hAnsi="Times New Roman" w:cs="Times New Roman"/>
                <w:color w:val="000000"/>
              </w:rPr>
              <w:t>40.318</w:t>
            </w:r>
          </w:p>
        </w:tc>
        <w:tc>
          <w:tcPr>
            <w:tcW w:w="527" w:type="pct"/>
            <w:vAlign w:val="center"/>
          </w:tcPr>
          <w:p w:rsidR="005505AF" w:rsidRPr="00F60CD0" w:rsidRDefault="005505AF" w:rsidP="00F60CD0">
            <w:pPr>
              <w:pStyle w:val="TableParagraph"/>
              <w:spacing w:before="0" w:line="240" w:lineRule="auto"/>
              <w:ind w:right="96"/>
              <w:contextualSpacing/>
              <w:jc w:val="center"/>
              <w:rPr>
                <w:rFonts w:ascii="Times New Roman" w:hAnsi="Times New Roman" w:cs="Times New Roman"/>
              </w:rPr>
            </w:pPr>
            <w:r w:rsidRPr="00F60CD0">
              <w:rPr>
                <w:rFonts w:ascii="Times New Roman" w:hAnsi="Times New Roman" w:cs="Times New Roman"/>
                <w:color w:val="000000"/>
              </w:rPr>
              <w:t>42.874</w:t>
            </w:r>
          </w:p>
        </w:tc>
        <w:tc>
          <w:tcPr>
            <w:tcW w:w="604" w:type="pct"/>
            <w:vAlign w:val="center"/>
          </w:tcPr>
          <w:p w:rsidR="005505AF" w:rsidRPr="00F60CD0" w:rsidRDefault="005505AF" w:rsidP="00F60CD0">
            <w:pPr>
              <w:pStyle w:val="TableParagraph"/>
              <w:spacing w:before="0" w:line="240" w:lineRule="auto"/>
              <w:ind w:right="96"/>
              <w:contextualSpacing/>
              <w:jc w:val="center"/>
              <w:rPr>
                <w:rFonts w:ascii="Times New Roman" w:hAnsi="Times New Roman" w:cs="Times New Roman"/>
              </w:rPr>
            </w:pPr>
            <w:r w:rsidRPr="00F60CD0">
              <w:rPr>
                <w:rFonts w:ascii="Times New Roman" w:hAnsi="Times New Roman" w:cs="Times New Roman"/>
                <w:color w:val="000000"/>
              </w:rPr>
              <w:t>49.546</w:t>
            </w:r>
          </w:p>
        </w:tc>
        <w:tc>
          <w:tcPr>
            <w:tcW w:w="555" w:type="pct"/>
            <w:vAlign w:val="center"/>
          </w:tcPr>
          <w:p w:rsidR="005505AF" w:rsidRPr="00F60CD0" w:rsidRDefault="005505AF" w:rsidP="00F60CD0">
            <w:pPr>
              <w:pStyle w:val="TableParagraph"/>
              <w:spacing w:before="0" w:line="240" w:lineRule="auto"/>
              <w:ind w:right="96"/>
              <w:contextualSpacing/>
              <w:jc w:val="center"/>
              <w:rPr>
                <w:rFonts w:ascii="Times New Roman" w:hAnsi="Times New Roman" w:cs="Times New Roman"/>
              </w:rPr>
            </w:pPr>
            <w:r w:rsidRPr="00F60CD0">
              <w:rPr>
                <w:rFonts w:ascii="Times New Roman" w:hAnsi="Times New Roman" w:cs="Times New Roman"/>
                <w:color w:val="000000"/>
              </w:rPr>
              <w:t>63.566</w:t>
            </w:r>
          </w:p>
        </w:tc>
      </w:tr>
      <w:tr w:rsidR="005505AF" w:rsidRPr="00F60CD0" w:rsidTr="00F60CD0">
        <w:trPr>
          <w:trHeight w:val="350"/>
          <w:jc w:val="center"/>
        </w:trPr>
        <w:tc>
          <w:tcPr>
            <w:tcW w:w="2182" w:type="pct"/>
            <w:shd w:val="clear" w:color="auto" w:fill="F2F2F2" w:themeFill="background1" w:themeFillShade="F2"/>
            <w:vAlign w:val="center"/>
          </w:tcPr>
          <w:p w:rsidR="005505AF" w:rsidRPr="00F60CD0" w:rsidRDefault="005505AF" w:rsidP="00F60CD0">
            <w:pPr>
              <w:pStyle w:val="TableParagraph"/>
              <w:spacing w:before="0" w:line="240" w:lineRule="auto"/>
              <w:ind w:left="107"/>
              <w:contextualSpacing/>
              <w:jc w:val="left"/>
              <w:rPr>
                <w:rFonts w:ascii="Times New Roman" w:hAnsi="Times New Roman" w:cs="Times New Roman"/>
              </w:rPr>
            </w:pPr>
            <w:r w:rsidRPr="00F60CD0">
              <w:rPr>
                <w:rFonts w:ascii="Times New Roman" w:hAnsi="Times New Roman" w:cs="Times New Roman"/>
              </w:rPr>
              <w:t>Besoin brut en eau en jour de pointe, en tête du réseau (m</w:t>
            </w:r>
            <w:r w:rsidRPr="00F60CD0">
              <w:rPr>
                <w:rFonts w:ascii="Times New Roman" w:hAnsi="Times New Roman" w:cs="Times New Roman"/>
                <w:vertAlign w:val="superscript"/>
              </w:rPr>
              <w:t>3</w:t>
            </w:r>
            <w:r w:rsidRPr="00F60CD0">
              <w:rPr>
                <w:rFonts w:ascii="Times New Roman" w:hAnsi="Times New Roman" w:cs="Times New Roman"/>
              </w:rPr>
              <w:t>/jour)</w:t>
            </w:r>
          </w:p>
        </w:tc>
        <w:tc>
          <w:tcPr>
            <w:tcW w:w="527" w:type="pct"/>
            <w:vAlign w:val="center"/>
          </w:tcPr>
          <w:p w:rsidR="005505AF" w:rsidRPr="00F60CD0" w:rsidRDefault="005505AF" w:rsidP="00F60CD0">
            <w:pPr>
              <w:pStyle w:val="TableParagraph"/>
              <w:spacing w:before="0" w:line="240" w:lineRule="auto"/>
              <w:ind w:right="95"/>
              <w:contextualSpacing/>
              <w:jc w:val="center"/>
              <w:rPr>
                <w:rFonts w:ascii="Times New Roman" w:hAnsi="Times New Roman" w:cs="Times New Roman"/>
              </w:rPr>
            </w:pPr>
            <w:r w:rsidRPr="00F60CD0">
              <w:rPr>
                <w:rFonts w:ascii="Times New Roman" w:hAnsi="Times New Roman" w:cs="Times New Roman"/>
                <w:color w:val="000000"/>
              </w:rPr>
              <w:t>35.771</w:t>
            </w:r>
          </w:p>
        </w:tc>
        <w:tc>
          <w:tcPr>
            <w:tcW w:w="604" w:type="pct"/>
            <w:vAlign w:val="center"/>
          </w:tcPr>
          <w:p w:rsidR="005505AF" w:rsidRPr="00F60CD0" w:rsidRDefault="005505AF" w:rsidP="00F60CD0">
            <w:pPr>
              <w:pStyle w:val="TableParagraph"/>
              <w:spacing w:before="0" w:line="240" w:lineRule="auto"/>
              <w:ind w:right="96"/>
              <w:contextualSpacing/>
              <w:jc w:val="center"/>
              <w:rPr>
                <w:rFonts w:ascii="Times New Roman" w:hAnsi="Times New Roman" w:cs="Times New Roman"/>
              </w:rPr>
            </w:pPr>
            <w:r w:rsidRPr="00F60CD0">
              <w:rPr>
                <w:rFonts w:ascii="Times New Roman" w:hAnsi="Times New Roman" w:cs="Times New Roman"/>
                <w:color w:val="000000"/>
              </w:rPr>
              <w:t>44.349</w:t>
            </w:r>
          </w:p>
        </w:tc>
        <w:tc>
          <w:tcPr>
            <w:tcW w:w="527" w:type="pct"/>
            <w:vAlign w:val="center"/>
          </w:tcPr>
          <w:p w:rsidR="005505AF" w:rsidRPr="00F60CD0" w:rsidRDefault="005505AF" w:rsidP="00F60CD0">
            <w:pPr>
              <w:pStyle w:val="TableParagraph"/>
              <w:spacing w:before="0" w:line="240" w:lineRule="auto"/>
              <w:ind w:right="96"/>
              <w:contextualSpacing/>
              <w:jc w:val="center"/>
              <w:rPr>
                <w:rFonts w:ascii="Times New Roman" w:hAnsi="Times New Roman" w:cs="Times New Roman"/>
              </w:rPr>
            </w:pPr>
            <w:r w:rsidRPr="00F60CD0">
              <w:rPr>
                <w:rFonts w:ascii="Times New Roman" w:hAnsi="Times New Roman" w:cs="Times New Roman"/>
                <w:color w:val="000000"/>
              </w:rPr>
              <w:t>47.161</w:t>
            </w:r>
          </w:p>
        </w:tc>
        <w:tc>
          <w:tcPr>
            <w:tcW w:w="604" w:type="pct"/>
            <w:vAlign w:val="center"/>
          </w:tcPr>
          <w:p w:rsidR="005505AF" w:rsidRPr="00F60CD0" w:rsidRDefault="005505AF" w:rsidP="00F60CD0">
            <w:pPr>
              <w:pStyle w:val="TableParagraph"/>
              <w:spacing w:before="0" w:line="240" w:lineRule="auto"/>
              <w:ind w:right="96"/>
              <w:contextualSpacing/>
              <w:jc w:val="center"/>
              <w:rPr>
                <w:rFonts w:ascii="Times New Roman" w:hAnsi="Times New Roman" w:cs="Times New Roman"/>
              </w:rPr>
            </w:pPr>
            <w:r w:rsidRPr="00F60CD0">
              <w:rPr>
                <w:rFonts w:ascii="Times New Roman" w:hAnsi="Times New Roman" w:cs="Times New Roman"/>
                <w:color w:val="000000"/>
              </w:rPr>
              <w:t>54.501</w:t>
            </w:r>
          </w:p>
        </w:tc>
        <w:tc>
          <w:tcPr>
            <w:tcW w:w="555" w:type="pct"/>
            <w:vAlign w:val="center"/>
          </w:tcPr>
          <w:p w:rsidR="005505AF" w:rsidRPr="00F60CD0" w:rsidRDefault="005505AF" w:rsidP="00F60CD0">
            <w:pPr>
              <w:pStyle w:val="TableParagraph"/>
              <w:spacing w:before="0" w:line="240" w:lineRule="auto"/>
              <w:ind w:right="96"/>
              <w:contextualSpacing/>
              <w:jc w:val="center"/>
              <w:rPr>
                <w:rFonts w:ascii="Times New Roman" w:hAnsi="Times New Roman" w:cs="Times New Roman"/>
              </w:rPr>
            </w:pPr>
            <w:r w:rsidRPr="00F60CD0">
              <w:rPr>
                <w:rFonts w:ascii="Times New Roman" w:hAnsi="Times New Roman" w:cs="Times New Roman"/>
                <w:color w:val="000000"/>
              </w:rPr>
              <w:t>69.923</w:t>
            </w:r>
          </w:p>
        </w:tc>
      </w:tr>
      <w:tr w:rsidR="005505AF" w:rsidRPr="00F60CD0" w:rsidTr="00F60CD0">
        <w:trPr>
          <w:trHeight w:val="350"/>
          <w:jc w:val="center"/>
        </w:trPr>
        <w:tc>
          <w:tcPr>
            <w:tcW w:w="2182" w:type="pct"/>
            <w:shd w:val="clear" w:color="auto" w:fill="F2F2F2" w:themeFill="background1" w:themeFillShade="F2"/>
            <w:vAlign w:val="center"/>
          </w:tcPr>
          <w:p w:rsidR="005505AF" w:rsidRPr="00F60CD0" w:rsidRDefault="005505AF" w:rsidP="00F60CD0">
            <w:pPr>
              <w:pStyle w:val="TableParagraph"/>
              <w:spacing w:before="0" w:line="240" w:lineRule="auto"/>
              <w:ind w:left="107"/>
              <w:contextualSpacing/>
              <w:jc w:val="left"/>
              <w:rPr>
                <w:rFonts w:ascii="Times New Roman" w:hAnsi="Times New Roman" w:cs="Times New Roman"/>
              </w:rPr>
            </w:pPr>
            <w:r w:rsidRPr="00F60CD0">
              <w:rPr>
                <w:rFonts w:ascii="Times New Roman" w:hAnsi="Times New Roman" w:cs="Times New Roman"/>
              </w:rPr>
              <w:t>% de stockage</w:t>
            </w:r>
          </w:p>
        </w:tc>
        <w:tc>
          <w:tcPr>
            <w:tcW w:w="527" w:type="pct"/>
            <w:vAlign w:val="center"/>
          </w:tcPr>
          <w:p w:rsidR="005505AF" w:rsidRPr="00F60CD0" w:rsidRDefault="005505AF" w:rsidP="00F60CD0">
            <w:pPr>
              <w:pStyle w:val="TableParagraph"/>
              <w:spacing w:before="0" w:line="240" w:lineRule="auto"/>
              <w:ind w:right="95"/>
              <w:contextualSpacing/>
              <w:jc w:val="center"/>
              <w:rPr>
                <w:rFonts w:ascii="Times New Roman" w:hAnsi="Times New Roman" w:cs="Times New Roman"/>
              </w:rPr>
            </w:pPr>
            <w:r w:rsidRPr="00F60CD0">
              <w:rPr>
                <w:rFonts w:ascii="Times New Roman" w:hAnsi="Times New Roman" w:cs="Times New Roman"/>
                <w:color w:val="000000"/>
              </w:rPr>
              <w:t>17%</w:t>
            </w:r>
          </w:p>
        </w:tc>
        <w:tc>
          <w:tcPr>
            <w:tcW w:w="604" w:type="pct"/>
            <w:vAlign w:val="center"/>
          </w:tcPr>
          <w:p w:rsidR="005505AF" w:rsidRPr="00F60CD0" w:rsidRDefault="005505AF" w:rsidP="00F60CD0">
            <w:pPr>
              <w:pStyle w:val="TableParagraph"/>
              <w:spacing w:before="0" w:line="240" w:lineRule="auto"/>
              <w:ind w:right="97"/>
              <w:contextualSpacing/>
              <w:jc w:val="center"/>
              <w:rPr>
                <w:rFonts w:ascii="Times New Roman" w:hAnsi="Times New Roman" w:cs="Times New Roman"/>
              </w:rPr>
            </w:pPr>
            <w:r w:rsidRPr="00F60CD0">
              <w:rPr>
                <w:rFonts w:ascii="Times New Roman" w:hAnsi="Times New Roman" w:cs="Times New Roman"/>
                <w:color w:val="000000"/>
              </w:rPr>
              <w:t>17%</w:t>
            </w:r>
          </w:p>
        </w:tc>
        <w:tc>
          <w:tcPr>
            <w:tcW w:w="527" w:type="pct"/>
            <w:vAlign w:val="center"/>
          </w:tcPr>
          <w:p w:rsidR="005505AF" w:rsidRPr="00F60CD0" w:rsidRDefault="005505AF" w:rsidP="00F60CD0">
            <w:pPr>
              <w:pStyle w:val="TableParagraph"/>
              <w:spacing w:before="0" w:line="240" w:lineRule="auto"/>
              <w:ind w:right="97"/>
              <w:contextualSpacing/>
              <w:jc w:val="center"/>
              <w:rPr>
                <w:rFonts w:ascii="Times New Roman" w:hAnsi="Times New Roman" w:cs="Times New Roman"/>
              </w:rPr>
            </w:pPr>
            <w:r w:rsidRPr="00F60CD0">
              <w:rPr>
                <w:rFonts w:ascii="Times New Roman" w:hAnsi="Times New Roman" w:cs="Times New Roman"/>
                <w:color w:val="000000"/>
              </w:rPr>
              <w:t>17%</w:t>
            </w:r>
          </w:p>
        </w:tc>
        <w:tc>
          <w:tcPr>
            <w:tcW w:w="604" w:type="pct"/>
            <w:vAlign w:val="center"/>
          </w:tcPr>
          <w:p w:rsidR="005505AF" w:rsidRPr="00F60CD0" w:rsidRDefault="005505AF" w:rsidP="00F60CD0">
            <w:pPr>
              <w:pStyle w:val="TableParagraph"/>
              <w:spacing w:before="0" w:line="240" w:lineRule="auto"/>
              <w:ind w:right="97"/>
              <w:contextualSpacing/>
              <w:jc w:val="center"/>
              <w:rPr>
                <w:rFonts w:ascii="Times New Roman" w:hAnsi="Times New Roman" w:cs="Times New Roman"/>
              </w:rPr>
            </w:pPr>
            <w:r w:rsidRPr="00F60CD0">
              <w:rPr>
                <w:rFonts w:ascii="Times New Roman" w:hAnsi="Times New Roman" w:cs="Times New Roman"/>
                <w:color w:val="000000"/>
              </w:rPr>
              <w:t>17%</w:t>
            </w:r>
          </w:p>
        </w:tc>
        <w:tc>
          <w:tcPr>
            <w:tcW w:w="555" w:type="pct"/>
            <w:vAlign w:val="center"/>
          </w:tcPr>
          <w:p w:rsidR="005505AF" w:rsidRPr="00F60CD0" w:rsidRDefault="005505AF" w:rsidP="00F60CD0">
            <w:pPr>
              <w:pStyle w:val="TableParagraph"/>
              <w:spacing w:before="0" w:line="240" w:lineRule="auto"/>
              <w:ind w:right="97"/>
              <w:contextualSpacing/>
              <w:jc w:val="center"/>
              <w:rPr>
                <w:rFonts w:ascii="Times New Roman" w:hAnsi="Times New Roman" w:cs="Times New Roman"/>
              </w:rPr>
            </w:pPr>
            <w:r w:rsidRPr="00F60CD0">
              <w:rPr>
                <w:rFonts w:ascii="Times New Roman" w:hAnsi="Times New Roman" w:cs="Times New Roman"/>
                <w:color w:val="000000"/>
              </w:rPr>
              <w:t>17%</w:t>
            </w:r>
          </w:p>
        </w:tc>
      </w:tr>
      <w:tr w:rsidR="005505AF" w:rsidRPr="00F60CD0" w:rsidTr="00F60CD0">
        <w:trPr>
          <w:trHeight w:val="349"/>
          <w:jc w:val="center"/>
        </w:trPr>
        <w:tc>
          <w:tcPr>
            <w:tcW w:w="2182" w:type="pct"/>
            <w:shd w:val="clear" w:color="auto" w:fill="F2F2F2" w:themeFill="background1" w:themeFillShade="F2"/>
            <w:vAlign w:val="center"/>
          </w:tcPr>
          <w:p w:rsidR="005505AF" w:rsidRPr="00F60CD0" w:rsidRDefault="005505AF" w:rsidP="00F60CD0">
            <w:pPr>
              <w:pStyle w:val="TableParagraph"/>
              <w:spacing w:before="0" w:line="240" w:lineRule="auto"/>
              <w:ind w:left="107"/>
              <w:contextualSpacing/>
              <w:jc w:val="left"/>
              <w:rPr>
                <w:rFonts w:ascii="Times New Roman" w:hAnsi="Times New Roman" w:cs="Times New Roman"/>
                <w:b/>
                <w:bCs/>
              </w:rPr>
            </w:pPr>
            <w:r w:rsidRPr="00F60CD0">
              <w:rPr>
                <w:rFonts w:ascii="Times New Roman" w:hAnsi="Times New Roman" w:cs="Times New Roman"/>
                <w:b/>
                <w:bCs/>
              </w:rPr>
              <w:t>Volume de stockage nécessaire (m</w:t>
            </w:r>
            <w:r w:rsidRPr="00F60CD0">
              <w:rPr>
                <w:rFonts w:ascii="Times New Roman" w:hAnsi="Times New Roman" w:cs="Times New Roman"/>
                <w:b/>
                <w:bCs/>
                <w:vertAlign w:val="superscript"/>
              </w:rPr>
              <w:t>3</w:t>
            </w:r>
            <w:r w:rsidRPr="00F60CD0">
              <w:rPr>
                <w:rFonts w:ascii="Times New Roman" w:hAnsi="Times New Roman" w:cs="Times New Roman"/>
                <w:b/>
                <w:bCs/>
              </w:rPr>
              <w:t>)</w:t>
            </w:r>
          </w:p>
        </w:tc>
        <w:tc>
          <w:tcPr>
            <w:tcW w:w="527" w:type="pct"/>
            <w:vAlign w:val="center"/>
          </w:tcPr>
          <w:p w:rsidR="005505AF" w:rsidRPr="00F60CD0" w:rsidRDefault="005505AF" w:rsidP="00F60CD0">
            <w:pPr>
              <w:pStyle w:val="TableParagraph"/>
              <w:spacing w:before="0" w:line="240" w:lineRule="auto"/>
              <w:ind w:right="95"/>
              <w:contextualSpacing/>
              <w:jc w:val="center"/>
              <w:rPr>
                <w:rFonts w:ascii="Times New Roman" w:hAnsi="Times New Roman" w:cs="Times New Roman"/>
                <w:b/>
                <w:bCs/>
              </w:rPr>
            </w:pPr>
            <w:r w:rsidRPr="00F60CD0">
              <w:rPr>
                <w:rFonts w:ascii="Times New Roman" w:hAnsi="Times New Roman" w:cs="Times New Roman"/>
                <w:b/>
                <w:bCs/>
                <w:color w:val="000000"/>
              </w:rPr>
              <w:t>6.081</w:t>
            </w:r>
          </w:p>
        </w:tc>
        <w:tc>
          <w:tcPr>
            <w:tcW w:w="604" w:type="pct"/>
            <w:vAlign w:val="center"/>
          </w:tcPr>
          <w:p w:rsidR="005505AF" w:rsidRPr="00F60CD0" w:rsidRDefault="005505AF" w:rsidP="00F60CD0">
            <w:pPr>
              <w:pStyle w:val="TableParagraph"/>
              <w:spacing w:before="0" w:line="240" w:lineRule="auto"/>
              <w:ind w:right="96"/>
              <w:contextualSpacing/>
              <w:jc w:val="center"/>
              <w:rPr>
                <w:rFonts w:ascii="Times New Roman" w:hAnsi="Times New Roman" w:cs="Times New Roman"/>
                <w:b/>
                <w:bCs/>
              </w:rPr>
            </w:pPr>
            <w:r w:rsidRPr="00F60CD0">
              <w:rPr>
                <w:rFonts w:ascii="Times New Roman" w:hAnsi="Times New Roman" w:cs="Times New Roman"/>
                <w:b/>
                <w:bCs/>
                <w:color w:val="000000"/>
              </w:rPr>
              <w:t>7.539</w:t>
            </w:r>
          </w:p>
        </w:tc>
        <w:tc>
          <w:tcPr>
            <w:tcW w:w="527" w:type="pct"/>
            <w:vAlign w:val="center"/>
          </w:tcPr>
          <w:p w:rsidR="005505AF" w:rsidRPr="00F60CD0" w:rsidRDefault="005505AF" w:rsidP="00F60CD0">
            <w:pPr>
              <w:pStyle w:val="TableParagraph"/>
              <w:spacing w:before="0" w:line="240" w:lineRule="auto"/>
              <w:ind w:right="96"/>
              <w:contextualSpacing/>
              <w:jc w:val="center"/>
              <w:rPr>
                <w:rFonts w:ascii="Times New Roman" w:hAnsi="Times New Roman" w:cs="Times New Roman"/>
                <w:b/>
                <w:bCs/>
              </w:rPr>
            </w:pPr>
            <w:r w:rsidRPr="00F60CD0">
              <w:rPr>
                <w:rFonts w:ascii="Times New Roman" w:hAnsi="Times New Roman" w:cs="Times New Roman"/>
                <w:b/>
                <w:bCs/>
                <w:color w:val="000000"/>
              </w:rPr>
              <w:t>8.017</w:t>
            </w:r>
          </w:p>
        </w:tc>
        <w:tc>
          <w:tcPr>
            <w:tcW w:w="604" w:type="pct"/>
            <w:vAlign w:val="center"/>
          </w:tcPr>
          <w:p w:rsidR="005505AF" w:rsidRPr="00F60CD0" w:rsidRDefault="005505AF" w:rsidP="00F60CD0">
            <w:pPr>
              <w:pStyle w:val="TableParagraph"/>
              <w:spacing w:before="0" w:line="240" w:lineRule="auto"/>
              <w:ind w:right="96"/>
              <w:contextualSpacing/>
              <w:jc w:val="center"/>
              <w:rPr>
                <w:rFonts w:ascii="Times New Roman" w:hAnsi="Times New Roman" w:cs="Times New Roman"/>
                <w:b/>
                <w:bCs/>
              </w:rPr>
            </w:pPr>
            <w:r w:rsidRPr="00F60CD0">
              <w:rPr>
                <w:rFonts w:ascii="Times New Roman" w:hAnsi="Times New Roman" w:cs="Times New Roman"/>
                <w:b/>
                <w:bCs/>
                <w:color w:val="000000"/>
              </w:rPr>
              <w:t>9.265</w:t>
            </w:r>
          </w:p>
        </w:tc>
        <w:tc>
          <w:tcPr>
            <w:tcW w:w="555" w:type="pct"/>
            <w:vAlign w:val="center"/>
          </w:tcPr>
          <w:p w:rsidR="005505AF" w:rsidRPr="00F60CD0" w:rsidRDefault="005505AF" w:rsidP="00F60CD0">
            <w:pPr>
              <w:pStyle w:val="TableParagraph"/>
              <w:spacing w:before="0" w:line="240" w:lineRule="auto"/>
              <w:ind w:right="96"/>
              <w:contextualSpacing/>
              <w:jc w:val="center"/>
              <w:rPr>
                <w:rFonts w:ascii="Times New Roman" w:hAnsi="Times New Roman" w:cs="Times New Roman"/>
                <w:b/>
                <w:bCs/>
              </w:rPr>
            </w:pPr>
            <w:r w:rsidRPr="00F60CD0">
              <w:rPr>
                <w:rFonts w:ascii="Times New Roman" w:hAnsi="Times New Roman" w:cs="Times New Roman"/>
                <w:b/>
                <w:bCs/>
                <w:color w:val="000000"/>
              </w:rPr>
              <w:t>11.887</w:t>
            </w:r>
          </w:p>
        </w:tc>
      </w:tr>
      <w:tr w:rsidR="005505AF" w:rsidRPr="00F60CD0" w:rsidTr="00F60CD0">
        <w:trPr>
          <w:trHeight w:val="349"/>
          <w:jc w:val="center"/>
        </w:trPr>
        <w:tc>
          <w:tcPr>
            <w:tcW w:w="2182" w:type="pct"/>
            <w:shd w:val="clear" w:color="auto" w:fill="F2F2F2" w:themeFill="background1" w:themeFillShade="F2"/>
            <w:vAlign w:val="center"/>
          </w:tcPr>
          <w:p w:rsidR="005505AF" w:rsidRPr="00F60CD0" w:rsidRDefault="005505AF" w:rsidP="00F60CD0">
            <w:pPr>
              <w:pStyle w:val="TableParagraph"/>
              <w:spacing w:before="0" w:line="240" w:lineRule="auto"/>
              <w:ind w:left="107"/>
              <w:contextualSpacing/>
              <w:jc w:val="both"/>
              <w:rPr>
                <w:rFonts w:ascii="Times New Roman" w:hAnsi="Times New Roman" w:cs="Times New Roman"/>
              </w:rPr>
            </w:pPr>
            <w:r w:rsidRPr="00F60CD0">
              <w:rPr>
                <w:rFonts w:ascii="Times New Roman" w:hAnsi="Times New Roman" w:cs="Times New Roman"/>
              </w:rPr>
              <w:t>Volume correspondant à 1,5 h de fonctionnement des réseaux de distribution en periode de pointe (m3)</w:t>
            </w:r>
          </w:p>
        </w:tc>
        <w:tc>
          <w:tcPr>
            <w:tcW w:w="527" w:type="pct"/>
            <w:vAlign w:val="center"/>
          </w:tcPr>
          <w:p w:rsidR="005505AF" w:rsidRPr="00F60CD0" w:rsidRDefault="005505AF" w:rsidP="00F60CD0">
            <w:pPr>
              <w:pStyle w:val="TableParagraph"/>
              <w:spacing w:before="0" w:line="240" w:lineRule="auto"/>
              <w:ind w:right="95"/>
              <w:contextualSpacing/>
              <w:jc w:val="center"/>
              <w:rPr>
                <w:rFonts w:ascii="Times New Roman" w:hAnsi="Times New Roman" w:cs="Times New Roman"/>
                <w:color w:val="000000"/>
              </w:rPr>
            </w:pPr>
            <w:r w:rsidRPr="00F60CD0">
              <w:rPr>
                <w:rFonts w:ascii="Times New Roman" w:hAnsi="Times New Roman" w:cs="Times New Roman"/>
                <w:color w:val="000000"/>
              </w:rPr>
              <w:t>6.097</w:t>
            </w:r>
          </w:p>
        </w:tc>
        <w:tc>
          <w:tcPr>
            <w:tcW w:w="604" w:type="pct"/>
            <w:vAlign w:val="center"/>
          </w:tcPr>
          <w:p w:rsidR="005505AF" w:rsidRPr="00F60CD0" w:rsidRDefault="005505AF" w:rsidP="00F60CD0">
            <w:pPr>
              <w:pStyle w:val="TableParagraph"/>
              <w:spacing w:before="0" w:line="240" w:lineRule="auto"/>
              <w:ind w:right="96"/>
              <w:contextualSpacing/>
              <w:jc w:val="center"/>
              <w:rPr>
                <w:rFonts w:ascii="Times New Roman" w:hAnsi="Times New Roman" w:cs="Times New Roman"/>
                <w:color w:val="000000"/>
              </w:rPr>
            </w:pPr>
            <w:r w:rsidRPr="00F60CD0">
              <w:rPr>
                <w:rFonts w:ascii="Times New Roman" w:hAnsi="Times New Roman" w:cs="Times New Roman"/>
                <w:color w:val="000000"/>
              </w:rPr>
              <w:t>7.560</w:t>
            </w:r>
          </w:p>
        </w:tc>
        <w:tc>
          <w:tcPr>
            <w:tcW w:w="527" w:type="pct"/>
            <w:vAlign w:val="center"/>
          </w:tcPr>
          <w:p w:rsidR="005505AF" w:rsidRPr="00F60CD0" w:rsidRDefault="005505AF" w:rsidP="00F60CD0">
            <w:pPr>
              <w:pStyle w:val="TableParagraph"/>
              <w:spacing w:before="0" w:line="240" w:lineRule="auto"/>
              <w:ind w:right="96"/>
              <w:contextualSpacing/>
              <w:jc w:val="center"/>
              <w:rPr>
                <w:rFonts w:ascii="Times New Roman" w:hAnsi="Times New Roman" w:cs="Times New Roman"/>
                <w:color w:val="000000"/>
              </w:rPr>
            </w:pPr>
            <w:r w:rsidRPr="00F60CD0">
              <w:rPr>
                <w:rFonts w:ascii="Times New Roman" w:hAnsi="Times New Roman" w:cs="Times New Roman"/>
                <w:color w:val="000000"/>
              </w:rPr>
              <w:t>8.039</w:t>
            </w:r>
          </w:p>
        </w:tc>
        <w:tc>
          <w:tcPr>
            <w:tcW w:w="604" w:type="pct"/>
            <w:vAlign w:val="center"/>
          </w:tcPr>
          <w:p w:rsidR="005505AF" w:rsidRPr="00F60CD0" w:rsidRDefault="005505AF" w:rsidP="00F60CD0">
            <w:pPr>
              <w:pStyle w:val="TableParagraph"/>
              <w:spacing w:before="0" w:line="240" w:lineRule="auto"/>
              <w:ind w:right="96"/>
              <w:contextualSpacing/>
              <w:jc w:val="center"/>
              <w:rPr>
                <w:rFonts w:ascii="Times New Roman" w:hAnsi="Times New Roman" w:cs="Times New Roman"/>
                <w:color w:val="000000"/>
              </w:rPr>
            </w:pPr>
            <w:r w:rsidRPr="00F60CD0">
              <w:rPr>
                <w:rFonts w:ascii="Times New Roman" w:hAnsi="Times New Roman" w:cs="Times New Roman"/>
                <w:color w:val="000000"/>
              </w:rPr>
              <w:t>9.290</w:t>
            </w:r>
          </w:p>
        </w:tc>
        <w:tc>
          <w:tcPr>
            <w:tcW w:w="555" w:type="pct"/>
            <w:vAlign w:val="center"/>
          </w:tcPr>
          <w:p w:rsidR="005505AF" w:rsidRPr="00F60CD0" w:rsidRDefault="005505AF" w:rsidP="00F60CD0">
            <w:pPr>
              <w:pStyle w:val="TableParagraph"/>
              <w:spacing w:before="0" w:line="240" w:lineRule="auto"/>
              <w:ind w:right="96"/>
              <w:contextualSpacing/>
              <w:jc w:val="center"/>
              <w:rPr>
                <w:rFonts w:ascii="Times New Roman" w:hAnsi="Times New Roman" w:cs="Times New Roman"/>
                <w:color w:val="000000"/>
              </w:rPr>
            </w:pPr>
            <w:r w:rsidRPr="00F60CD0">
              <w:rPr>
                <w:rFonts w:ascii="Times New Roman" w:hAnsi="Times New Roman" w:cs="Times New Roman"/>
                <w:color w:val="000000"/>
              </w:rPr>
              <w:t>11.919</w:t>
            </w:r>
          </w:p>
        </w:tc>
      </w:tr>
    </w:tbl>
    <w:p w:rsidR="00F60CD0" w:rsidRDefault="00F60CD0" w:rsidP="00F60CD0">
      <w:pPr>
        <w:spacing w:after="0"/>
        <w:jc w:val="both"/>
        <w:rPr>
          <w:rFonts w:ascii="Times New Roman" w:hAnsi="Times New Roman" w:cs="Times New Roman"/>
          <w:sz w:val="24"/>
          <w:szCs w:val="24"/>
        </w:rPr>
      </w:pPr>
    </w:p>
    <w:p w:rsidR="005505AF" w:rsidRDefault="005505AF" w:rsidP="00F60CD0">
      <w:pPr>
        <w:autoSpaceDE w:val="0"/>
        <w:autoSpaceDN w:val="0"/>
        <w:adjustRightInd w:val="0"/>
        <w:spacing w:after="0" w:line="240" w:lineRule="auto"/>
        <w:ind w:left="-284"/>
        <w:jc w:val="both"/>
        <w:rPr>
          <w:rFonts w:ascii="Times New Roman" w:hAnsi="Times New Roman" w:cs="Times New Roman"/>
          <w:sz w:val="24"/>
          <w:szCs w:val="24"/>
        </w:rPr>
      </w:pPr>
      <w:r w:rsidRPr="002217C4">
        <w:rPr>
          <w:rFonts w:ascii="Times New Roman" w:hAnsi="Times New Roman" w:cs="Times New Roman"/>
          <w:sz w:val="24"/>
          <w:szCs w:val="24"/>
        </w:rPr>
        <w:t xml:space="preserve">Le volume de stockage fonctionnel dans la ville de Bissau était de 1530 m3 en 2015. </w:t>
      </w:r>
    </w:p>
    <w:p w:rsidR="00F60CD0" w:rsidRPr="002217C4" w:rsidRDefault="00F60CD0" w:rsidP="00F60CD0">
      <w:pPr>
        <w:autoSpaceDE w:val="0"/>
        <w:autoSpaceDN w:val="0"/>
        <w:adjustRightInd w:val="0"/>
        <w:spacing w:after="0" w:line="240" w:lineRule="auto"/>
        <w:ind w:left="-284"/>
        <w:jc w:val="both"/>
        <w:rPr>
          <w:rFonts w:ascii="Times New Roman" w:hAnsi="Times New Roman" w:cs="Times New Roman"/>
          <w:sz w:val="24"/>
          <w:szCs w:val="24"/>
        </w:rPr>
      </w:pPr>
    </w:p>
    <w:p w:rsidR="005505AF" w:rsidRDefault="005505AF" w:rsidP="00F60CD0">
      <w:pPr>
        <w:autoSpaceDE w:val="0"/>
        <w:autoSpaceDN w:val="0"/>
        <w:adjustRightInd w:val="0"/>
        <w:spacing w:after="0" w:line="240" w:lineRule="auto"/>
        <w:ind w:left="-284"/>
        <w:jc w:val="both"/>
        <w:rPr>
          <w:rFonts w:ascii="Times New Roman" w:hAnsi="Times New Roman" w:cs="Times New Roman"/>
          <w:sz w:val="24"/>
          <w:szCs w:val="24"/>
        </w:rPr>
      </w:pPr>
      <w:r w:rsidRPr="002217C4">
        <w:rPr>
          <w:rFonts w:ascii="Times New Roman" w:hAnsi="Times New Roman" w:cs="Times New Roman"/>
          <w:sz w:val="24"/>
          <w:szCs w:val="24"/>
        </w:rPr>
        <w:t>Avec le projet PUASEE, en 2019</w:t>
      </w:r>
      <w:r w:rsidR="00F60CD0">
        <w:rPr>
          <w:rFonts w:ascii="Times New Roman" w:hAnsi="Times New Roman" w:cs="Times New Roman"/>
          <w:sz w:val="24"/>
          <w:szCs w:val="24"/>
        </w:rPr>
        <w:t>,</w:t>
      </w:r>
      <w:r w:rsidRPr="002217C4">
        <w:rPr>
          <w:rFonts w:ascii="Times New Roman" w:hAnsi="Times New Roman" w:cs="Times New Roman"/>
          <w:sz w:val="24"/>
          <w:szCs w:val="24"/>
        </w:rPr>
        <w:t xml:space="preserve"> ce volume fonctionnel passera (avec la conclusion du réservoir Guiné Telecom) à 2.670 m</w:t>
      </w:r>
      <w:r w:rsidRPr="00F60CD0">
        <w:rPr>
          <w:rFonts w:ascii="Times New Roman" w:hAnsi="Times New Roman" w:cs="Times New Roman"/>
          <w:sz w:val="24"/>
          <w:szCs w:val="24"/>
        </w:rPr>
        <w:t>3</w:t>
      </w:r>
      <w:r w:rsidRPr="002217C4">
        <w:rPr>
          <w:rFonts w:ascii="Times New Roman" w:hAnsi="Times New Roman" w:cs="Times New Roman"/>
          <w:sz w:val="24"/>
          <w:szCs w:val="24"/>
        </w:rPr>
        <w:t xml:space="preserve"> par la construction de 2 châteaux d’eau – « Guiné Telecom »</w:t>
      </w:r>
      <w:r w:rsidRPr="00F60CD0">
        <w:footnoteReference w:id="1"/>
      </w:r>
      <w:r w:rsidRPr="002217C4">
        <w:rPr>
          <w:rFonts w:ascii="Times New Roman" w:hAnsi="Times New Roman" w:cs="Times New Roman"/>
          <w:sz w:val="24"/>
          <w:szCs w:val="24"/>
        </w:rPr>
        <w:t xml:space="preserve"> (de 750 m</w:t>
      </w:r>
      <w:r w:rsidRPr="00F60CD0">
        <w:rPr>
          <w:rFonts w:ascii="Times New Roman" w:hAnsi="Times New Roman" w:cs="Times New Roman"/>
          <w:sz w:val="24"/>
          <w:szCs w:val="24"/>
        </w:rPr>
        <w:t>3</w:t>
      </w:r>
      <w:r w:rsidRPr="002217C4">
        <w:rPr>
          <w:rFonts w:ascii="Times New Roman" w:hAnsi="Times New Roman" w:cs="Times New Roman"/>
          <w:sz w:val="24"/>
          <w:szCs w:val="24"/>
        </w:rPr>
        <w:t>) et « Hospital 3 de Agosto » (de 700 m</w:t>
      </w:r>
      <w:r w:rsidRPr="00F60CD0">
        <w:rPr>
          <w:rFonts w:ascii="Times New Roman" w:hAnsi="Times New Roman" w:cs="Times New Roman"/>
          <w:sz w:val="24"/>
          <w:szCs w:val="24"/>
        </w:rPr>
        <w:t>3</w:t>
      </w:r>
      <w:r w:rsidRPr="002217C4">
        <w:rPr>
          <w:rFonts w:ascii="Times New Roman" w:hAnsi="Times New Roman" w:cs="Times New Roman"/>
          <w:sz w:val="24"/>
          <w:szCs w:val="24"/>
        </w:rPr>
        <w:t>) et la réhabilitation de 2 réservoirs existants – « Quartel General » (de 80 m</w:t>
      </w:r>
      <w:r w:rsidRPr="00F60CD0">
        <w:rPr>
          <w:rFonts w:ascii="Times New Roman" w:hAnsi="Times New Roman" w:cs="Times New Roman"/>
          <w:sz w:val="24"/>
          <w:szCs w:val="24"/>
        </w:rPr>
        <w:t>3</w:t>
      </w:r>
      <w:r w:rsidRPr="002217C4">
        <w:rPr>
          <w:rFonts w:ascii="Times New Roman" w:hAnsi="Times New Roman" w:cs="Times New Roman"/>
          <w:sz w:val="24"/>
          <w:szCs w:val="24"/>
        </w:rPr>
        <w:t>) et « Bra – Escola Técnica » (de 300 m</w:t>
      </w:r>
      <w:r w:rsidRPr="00F60CD0">
        <w:rPr>
          <w:rFonts w:ascii="Times New Roman" w:hAnsi="Times New Roman" w:cs="Times New Roman"/>
          <w:sz w:val="24"/>
          <w:szCs w:val="24"/>
        </w:rPr>
        <w:t>3</w:t>
      </w:r>
      <w:r w:rsidRPr="002217C4">
        <w:rPr>
          <w:rFonts w:ascii="Times New Roman" w:hAnsi="Times New Roman" w:cs="Times New Roman"/>
          <w:sz w:val="24"/>
          <w:szCs w:val="24"/>
        </w:rPr>
        <w:t xml:space="preserve">), </w:t>
      </w:r>
      <w:r w:rsidRPr="003D080D">
        <w:rPr>
          <w:rFonts w:ascii="Times New Roman" w:hAnsi="Times New Roman" w:cs="Times New Roman"/>
          <w:sz w:val="24"/>
          <w:szCs w:val="24"/>
          <w:u w:val="single"/>
        </w:rPr>
        <w:t>mais demeurera insuffisant</w:t>
      </w:r>
      <w:r w:rsidRPr="002217C4">
        <w:rPr>
          <w:rFonts w:ascii="Times New Roman" w:hAnsi="Times New Roman" w:cs="Times New Roman"/>
          <w:sz w:val="24"/>
          <w:szCs w:val="24"/>
        </w:rPr>
        <w:t xml:space="preserve">. </w:t>
      </w:r>
    </w:p>
    <w:p w:rsidR="00F60CD0" w:rsidRPr="002217C4" w:rsidRDefault="00F60CD0" w:rsidP="00F60CD0">
      <w:pPr>
        <w:autoSpaceDE w:val="0"/>
        <w:autoSpaceDN w:val="0"/>
        <w:adjustRightInd w:val="0"/>
        <w:spacing w:after="0" w:line="240" w:lineRule="auto"/>
        <w:ind w:left="-284"/>
        <w:jc w:val="both"/>
        <w:rPr>
          <w:rFonts w:ascii="Times New Roman" w:hAnsi="Times New Roman" w:cs="Times New Roman"/>
          <w:sz w:val="24"/>
          <w:szCs w:val="24"/>
        </w:rPr>
      </w:pPr>
    </w:p>
    <w:p w:rsidR="005505AF" w:rsidRDefault="005505AF" w:rsidP="00F60CD0">
      <w:pPr>
        <w:autoSpaceDE w:val="0"/>
        <w:autoSpaceDN w:val="0"/>
        <w:adjustRightInd w:val="0"/>
        <w:spacing w:after="0" w:line="240" w:lineRule="auto"/>
        <w:ind w:left="-284"/>
        <w:jc w:val="both"/>
        <w:rPr>
          <w:rFonts w:ascii="Times New Roman" w:hAnsi="Times New Roman" w:cs="Times New Roman"/>
          <w:sz w:val="24"/>
          <w:szCs w:val="24"/>
        </w:rPr>
      </w:pPr>
      <w:r w:rsidRPr="002217C4">
        <w:rPr>
          <w:rFonts w:ascii="Times New Roman" w:hAnsi="Times New Roman" w:cs="Times New Roman"/>
          <w:sz w:val="24"/>
          <w:szCs w:val="24"/>
        </w:rPr>
        <w:t xml:space="preserve">En outre, pour améliorer et contrôler le réseau de la distribution d’eau potable de la ville de Bissau, il a été recommandé dans les études précédentes de diviser la ville en secteurs de distribution. Chaque étape sera donc divisée en secteurs. </w:t>
      </w:r>
    </w:p>
    <w:p w:rsidR="003D080D" w:rsidRPr="002217C4" w:rsidRDefault="003D080D" w:rsidP="00F60CD0">
      <w:pPr>
        <w:autoSpaceDE w:val="0"/>
        <w:autoSpaceDN w:val="0"/>
        <w:adjustRightInd w:val="0"/>
        <w:spacing w:after="0" w:line="240" w:lineRule="auto"/>
        <w:ind w:left="-284"/>
        <w:jc w:val="both"/>
        <w:rPr>
          <w:rFonts w:ascii="Times New Roman" w:hAnsi="Times New Roman" w:cs="Times New Roman"/>
          <w:sz w:val="24"/>
          <w:szCs w:val="24"/>
        </w:rPr>
      </w:pPr>
    </w:p>
    <w:p w:rsidR="005505AF" w:rsidRDefault="005505AF" w:rsidP="003D080D">
      <w:pPr>
        <w:autoSpaceDE w:val="0"/>
        <w:autoSpaceDN w:val="0"/>
        <w:adjustRightInd w:val="0"/>
        <w:spacing w:after="0" w:line="240" w:lineRule="auto"/>
        <w:ind w:left="-284"/>
        <w:jc w:val="both"/>
        <w:rPr>
          <w:rFonts w:ascii="Times New Roman" w:hAnsi="Times New Roman" w:cs="Times New Roman"/>
          <w:sz w:val="24"/>
          <w:szCs w:val="24"/>
        </w:rPr>
      </w:pPr>
      <w:r w:rsidRPr="002217C4">
        <w:rPr>
          <w:rFonts w:ascii="Times New Roman" w:hAnsi="Times New Roman" w:cs="Times New Roman"/>
          <w:sz w:val="24"/>
          <w:szCs w:val="24"/>
        </w:rPr>
        <w:lastRenderedPageBreak/>
        <w:t>Le tableau suivant donne la proposition de découpage et les quart</w:t>
      </w:r>
      <w:r w:rsidR="003D080D">
        <w:rPr>
          <w:rFonts w:ascii="Times New Roman" w:hAnsi="Times New Roman" w:cs="Times New Roman"/>
          <w:sz w:val="24"/>
          <w:szCs w:val="24"/>
        </w:rPr>
        <w:t>iers de chaque secteur (APS 2018</w:t>
      </w:r>
      <w:r w:rsidRPr="002217C4">
        <w:rPr>
          <w:rFonts w:ascii="Times New Roman" w:hAnsi="Times New Roman" w:cs="Times New Roman"/>
          <w:sz w:val="24"/>
          <w:szCs w:val="24"/>
        </w:rPr>
        <w:t>). Les quartiers et les réservoirs qui font l’objet de la présente étude (en rouge) ont été intégrés dans les secteurs des quartiers adjacents. Un nouveau secteur, intégrant le quartier Bôr ainsi que Cumura et Ponta Gardete, a été créé en fonction de la dimension des réseaux qui les desservent.</w:t>
      </w:r>
    </w:p>
    <w:p w:rsidR="003D080D" w:rsidRPr="002217C4" w:rsidRDefault="003D080D" w:rsidP="003D080D">
      <w:pPr>
        <w:autoSpaceDE w:val="0"/>
        <w:autoSpaceDN w:val="0"/>
        <w:adjustRightInd w:val="0"/>
        <w:spacing w:after="0" w:line="240" w:lineRule="auto"/>
        <w:ind w:left="-284"/>
        <w:jc w:val="both"/>
        <w:rPr>
          <w:rFonts w:ascii="Times New Roman" w:hAnsi="Times New Roman" w:cs="Times New Roman"/>
          <w:sz w:val="24"/>
          <w:szCs w:val="24"/>
        </w:rPr>
      </w:pPr>
    </w:p>
    <w:p w:rsidR="005505AF" w:rsidRPr="00EE0400" w:rsidRDefault="00EE0400" w:rsidP="005505AF">
      <w:pPr>
        <w:jc w:val="center"/>
        <w:rPr>
          <w:rFonts w:ascii="Times New Roman" w:hAnsi="Times New Roman" w:cs="Times New Roman"/>
          <w:b/>
          <w:bCs/>
          <w:sz w:val="20"/>
          <w:szCs w:val="20"/>
        </w:rPr>
      </w:pPr>
      <w:bookmarkStart w:id="53" w:name="_Toc51073993"/>
      <w:r w:rsidRPr="00EE0400">
        <w:rPr>
          <w:rFonts w:ascii="Times New Roman" w:hAnsi="Times New Roman" w:cs="Times New Roman"/>
          <w:b/>
          <w:sz w:val="20"/>
          <w:szCs w:val="20"/>
        </w:rPr>
        <w:t xml:space="preserve">Tableau </w:t>
      </w:r>
      <w:r w:rsidRPr="00EE0400">
        <w:rPr>
          <w:rFonts w:ascii="Times New Roman" w:hAnsi="Times New Roman" w:cs="Times New Roman"/>
          <w:b/>
          <w:sz w:val="20"/>
          <w:szCs w:val="20"/>
        </w:rPr>
        <w:fldChar w:fldCharType="begin"/>
      </w:r>
      <w:r w:rsidRPr="00EE0400">
        <w:rPr>
          <w:rFonts w:ascii="Times New Roman" w:hAnsi="Times New Roman" w:cs="Times New Roman"/>
          <w:b/>
          <w:sz w:val="20"/>
          <w:szCs w:val="20"/>
        </w:rPr>
        <w:instrText xml:space="preserve"> SEQ Tableau \* ARABIC </w:instrText>
      </w:r>
      <w:r w:rsidRPr="00EE0400">
        <w:rPr>
          <w:rFonts w:ascii="Times New Roman" w:hAnsi="Times New Roman" w:cs="Times New Roman"/>
          <w:b/>
          <w:sz w:val="20"/>
          <w:szCs w:val="20"/>
        </w:rPr>
        <w:fldChar w:fldCharType="separate"/>
      </w:r>
      <w:r w:rsidR="00EB726E">
        <w:rPr>
          <w:rFonts w:ascii="Times New Roman" w:hAnsi="Times New Roman" w:cs="Times New Roman"/>
          <w:b/>
          <w:noProof/>
          <w:sz w:val="20"/>
          <w:szCs w:val="20"/>
        </w:rPr>
        <w:t>2</w:t>
      </w:r>
      <w:r w:rsidRPr="00EE0400">
        <w:rPr>
          <w:rFonts w:ascii="Times New Roman" w:hAnsi="Times New Roman" w:cs="Times New Roman"/>
          <w:b/>
          <w:sz w:val="20"/>
          <w:szCs w:val="20"/>
        </w:rPr>
        <w:fldChar w:fldCharType="end"/>
      </w:r>
      <w:r w:rsidR="005505AF" w:rsidRPr="00EE0400">
        <w:rPr>
          <w:rFonts w:ascii="Times New Roman" w:hAnsi="Times New Roman" w:cs="Times New Roman"/>
          <w:b/>
          <w:bCs/>
          <w:sz w:val="20"/>
          <w:szCs w:val="20"/>
        </w:rPr>
        <w:t>: Répartition des quartiers de la ville de Bissau par secteur</w:t>
      </w:r>
      <w:bookmarkEnd w:id="53"/>
    </w:p>
    <w:tbl>
      <w:tblPr>
        <w:tblW w:w="514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555"/>
        <w:gridCol w:w="1807"/>
        <w:gridCol w:w="4712"/>
        <w:gridCol w:w="2126"/>
      </w:tblGrid>
      <w:tr w:rsidR="005505AF" w:rsidRPr="002363CB" w:rsidTr="003D080D">
        <w:trPr>
          <w:cantSplit/>
          <w:trHeight w:val="625"/>
          <w:jc w:val="center"/>
        </w:trPr>
        <w:tc>
          <w:tcPr>
            <w:tcW w:w="762" w:type="pct"/>
            <w:shd w:val="clear" w:color="auto" w:fill="E2EFD9" w:themeFill="accent6" w:themeFillTint="33"/>
            <w:vAlign w:val="center"/>
          </w:tcPr>
          <w:p w:rsidR="005505AF" w:rsidRPr="002217C4" w:rsidRDefault="005505AF" w:rsidP="003D080D">
            <w:pPr>
              <w:pStyle w:val="TableParagraph"/>
              <w:spacing w:before="0" w:line="240" w:lineRule="auto"/>
              <w:ind w:left="178" w:right="127" w:hanging="29"/>
              <w:contextualSpacing/>
              <w:jc w:val="center"/>
              <w:rPr>
                <w:rFonts w:ascii="Times New Roman" w:hAnsi="Times New Roman" w:cs="Times New Roman"/>
                <w:b/>
                <w:sz w:val="24"/>
                <w:szCs w:val="24"/>
              </w:rPr>
            </w:pPr>
            <w:r w:rsidRPr="002217C4">
              <w:rPr>
                <w:rFonts w:ascii="Times New Roman" w:hAnsi="Times New Roman" w:cs="Times New Roman"/>
                <w:b/>
                <w:sz w:val="24"/>
                <w:szCs w:val="24"/>
              </w:rPr>
              <w:t>Numéro d’étape</w:t>
            </w:r>
          </w:p>
        </w:tc>
        <w:tc>
          <w:tcPr>
            <w:tcW w:w="886" w:type="pct"/>
            <w:shd w:val="clear" w:color="auto" w:fill="E2EFD9" w:themeFill="accent6" w:themeFillTint="33"/>
            <w:vAlign w:val="center"/>
          </w:tcPr>
          <w:p w:rsidR="005505AF" w:rsidRPr="002217C4" w:rsidRDefault="005505AF" w:rsidP="003D080D">
            <w:pPr>
              <w:pStyle w:val="TableParagraph"/>
              <w:spacing w:before="0" w:line="240" w:lineRule="auto"/>
              <w:contextualSpacing/>
              <w:jc w:val="center"/>
              <w:rPr>
                <w:rFonts w:ascii="Times New Roman" w:hAnsi="Times New Roman" w:cs="Times New Roman"/>
                <w:b/>
                <w:sz w:val="24"/>
                <w:szCs w:val="24"/>
              </w:rPr>
            </w:pPr>
            <w:r w:rsidRPr="002217C4">
              <w:rPr>
                <w:rFonts w:ascii="Times New Roman" w:hAnsi="Times New Roman" w:cs="Times New Roman"/>
                <w:b/>
                <w:sz w:val="24"/>
                <w:szCs w:val="24"/>
              </w:rPr>
              <w:t>Numéro du secteur</w:t>
            </w:r>
          </w:p>
        </w:tc>
        <w:tc>
          <w:tcPr>
            <w:tcW w:w="2310" w:type="pct"/>
            <w:shd w:val="clear" w:color="auto" w:fill="E2EFD9" w:themeFill="accent6" w:themeFillTint="33"/>
            <w:vAlign w:val="center"/>
          </w:tcPr>
          <w:p w:rsidR="005505AF" w:rsidRPr="002217C4" w:rsidRDefault="005505AF" w:rsidP="003D080D">
            <w:pPr>
              <w:pStyle w:val="TableParagraph"/>
              <w:spacing w:before="0" w:line="240" w:lineRule="auto"/>
              <w:contextualSpacing/>
              <w:jc w:val="center"/>
              <w:rPr>
                <w:rFonts w:ascii="Times New Roman" w:hAnsi="Times New Roman" w:cs="Times New Roman"/>
                <w:b/>
                <w:sz w:val="24"/>
                <w:szCs w:val="24"/>
              </w:rPr>
            </w:pPr>
            <w:r w:rsidRPr="002217C4">
              <w:rPr>
                <w:rFonts w:ascii="Times New Roman" w:hAnsi="Times New Roman" w:cs="Times New Roman"/>
                <w:b/>
                <w:sz w:val="24"/>
                <w:szCs w:val="24"/>
              </w:rPr>
              <w:t>Nom des quartiers</w:t>
            </w:r>
          </w:p>
        </w:tc>
        <w:tc>
          <w:tcPr>
            <w:tcW w:w="1042" w:type="pct"/>
            <w:shd w:val="clear" w:color="auto" w:fill="E2EFD9" w:themeFill="accent6" w:themeFillTint="33"/>
            <w:vAlign w:val="center"/>
          </w:tcPr>
          <w:p w:rsidR="005505AF" w:rsidRPr="002217C4" w:rsidRDefault="005505AF" w:rsidP="003D080D">
            <w:pPr>
              <w:pStyle w:val="TableParagraph"/>
              <w:spacing w:before="0" w:line="240" w:lineRule="auto"/>
              <w:ind w:left="616" w:hanging="288"/>
              <w:contextualSpacing/>
              <w:jc w:val="center"/>
              <w:rPr>
                <w:rFonts w:ascii="Times New Roman" w:hAnsi="Times New Roman" w:cs="Times New Roman"/>
                <w:b/>
                <w:sz w:val="24"/>
                <w:szCs w:val="24"/>
              </w:rPr>
            </w:pPr>
            <w:r w:rsidRPr="002217C4">
              <w:rPr>
                <w:rFonts w:ascii="Times New Roman" w:hAnsi="Times New Roman" w:cs="Times New Roman"/>
                <w:b/>
                <w:sz w:val="24"/>
                <w:szCs w:val="24"/>
              </w:rPr>
              <w:t>Réservoir par secteur</w:t>
            </w:r>
          </w:p>
        </w:tc>
      </w:tr>
      <w:tr w:rsidR="005505AF" w:rsidRPr="00DF7E0C" w:rsidTr="003D080D">
        <w:trPr>
          <w:trHeight w:val="459"/>
          <w:jc w:val="center"/>
        </w:trPr>
        <w:tc>
          <w:tcPr>
            <w:tcW w:w="762" w:type="pct"/>
            <w:vMerge w:val="restart"/>
            <w:shd w:val="clear" w:color="auto" w:fill="F2F2F2" w:themeFill="background1" w:themeFillShade="F2"/>
            <w:vAlign w:val="center"/>
          </w:tcPr>
          <w:p w:rsidR="005505AF" w:rsidRPr="002217C4" w:rsidRDefault="005505AF" w:rsidP="003D080D">
            <w:pPr>
              <w:pStyle w:val="TableParagraph"/>
              <w:spacing w:before="0" w:line="240" w:lineRule="auto"/>
              <w:ind w:left="4"/>
              <w:contextualSpacing/>
              <w:jc w:val="center"/>
              <w:rPr>
                <w:rFonts w:ascii="Times New Roman" w:hAnsi="Times New Roman" w:cs="Times New Roman"/>
                <w:sz w:val="24"/>
                <w:szCs w:val="24"/>
              </w:rPr>
            </w:pPr>
            <w:r w:rsidRPr="002217C4">
              <w:rPr>
                <w:rFonts w:ascii="Times New Roman" w:hAnsi="Times New Roman" w:cs="Times New Roman"/>
                <w:sz w:val="24"/>
                <w:szCs w:val="24"/>
              </w:rPr>
              <w:t>2</w:t>
            </w:r>
          </w:p>
          <w:p w:rsidR="005505AF" w:rsidRPr="002217C4" w:rsidRDefault="005505AF" w:rsidP="003D080D">
            <w:pPr>
              <w:pStyle w:val="TableParagraph"/>
              <w:spacing w:before="0" w:line="240" w:lineRule="auto"/>
              <w:ind w:left="4"/>
              <w:contextualSpacing/>
              <w:jc w:val="center"/>
              <w:rPr>
                <w:rFonts w:ascii="Times New Roman" w:hAnsi="Times New Roman" w:cs="Times New Roman"/>
                <w:sz w:val="24"/>
                <w:szCs w:val="24"/>
              </w:rPr>
            </w:pPr>
            <w:r w:rsidRPr="002217C4">
              <w:rPr>
                <w:rFonts w:ascii="Times New Roman" w:hAnsi="Times New Roman" w:cs="Times New Roman"/>
                <w:sz w:val="24"/>
                <w:szCs w:val="24"/>
              </w:rPr>
              <w:t>(PHE 48 m)</w:t>
            </w:r>
          </w:p>
        </w:tc>
        <w:tc>
          <w:tcPr>
            <w:tcW w:w="886" w:type="pct"/>
            <w:vAlign w:val="center"/>
          </w:tcPr>
          <w:p w:rsidR="005505AF" w:rsidRPr="002217C4" w:rsidRDefault="005505AF" w:rsidP="003D080D">
            <w:pPr>
              <w:pStyle w:val="TableParagraph"/>
              <w:spacing w:before="0" w:line="240" w:lineRule="auto"/>
              <w:ind w:left="106"/>
              <w:contextualSpacing/>
              <w:jc w:val="center"/>
              <w:rPr>
                <w:rFonts w:ascii="Times New Roman" w:hAnsi="Times New Roman" w:cs="Times New Roman"/>
                <w:sz w:val="24"/>
                <w:szCs w:val="24"/>
              </w:rPr>
            </w:pPr>
            <w:r w:rsidRPr="002217C4">
              <w:rPr>
                <w:rFonts w:ascii="Times New Roman" w:hAnsi="Times New Roman" w:cs="Times New Roman"/>
                <w:sz w:val="24"/>
                <w:szCs w:val="24"/>
              </w:rPr>
              <w:t>Secteur 1</w:t>
            </w:r>
          </w:p>
        </w:tc>
        <w:tc>
          <w:tcPr>
            <w:tcW w:w="2310" w:type="pct"/>
            <w:vAlign w:val="center"/>
          </w:tcPr>
          <w:p w:rsidR="005505AF" w:rsidRPr="002217C4" w:rsidRDefault="005505AF" w:rsidP="003D080D">
            <w:pPr>
              <w:pStyle w:val="TableParagraph"/>
              <w:spacing w:before="0" w:line="240" w:lineRule="auto"/>
              <w:ind w:left="107"/>
              <w:contextualSpacing/>
              <w:jc w:val="center"/>
              <w:rPr>
                <w:rFonts w:ascii="Times New Roman" w:hAnsi="Times New Roman" w:cs="Times New Roman"/>
                <w:sz w:val="24"/>
                <w:szCs w:val="24"/>
                <w:lang w:val="pt-PT"/>
              </w:rPr>
            </w:pPr>
            <w:r w:rsidRPr="002217C4">
              <w:rPr>
                <w:rFonts w:ascii="Times New Roman" w:hAnsi="Times New Roman" w:cs="Times New Roman"/>
                <w:sz w:val="24"/>
                <w:szCs w:val="24"/>
                <w:lang w:val="pt-PT"/>
              </w:rPr>
              <w:t>24 setembro, Achada, Chao Papel, Varela, Mindara, Reino Gambeafada, Sintra Nema, Cupélum Cima, Cupélum Baxio</w:t>
            </w:r>
          </w:p>
        </w:tc>
        <w:tc>
          <w:tcPr>
            <w:tcW w:w="1042" w:type="pct"/>
            <w:vAlign w:val="center"/>
          </w:tcPr>
          <w:p w:rsidR="005505AF" w:rsidRPr="002217C4" w:rsidRDefault="005505AF" w:rsidP="003D080D">
            <w:pPr>
              <w:pStyle w:val="TableParagraph"/>
              <w:spacing w:before="0" w:line="240" w:lineRule="auto"/>
              <w:ind w:right="405"/>
              <w:contextualSpacing/>
              <w:jc w:val="center"/>
              <w:rPr>
                <w:rFonts w:ascii="Times New Roman" w:hAnsi="Times New Roman" w:cs="Times New Roman"/>
                <w:sz w:val="24"/>
                <w:szCs w:val="24"/>
                <w:lang w:val="pt-PT"/>
              </w:rPr>
            </w:pPr>
            <w:r w:rsidRPr="002217C4">
              <w:rPr>
                <w:rFonts w:ascii="Times New Roman" w:hAnsi="Times New Roman" w:cs="Times New Roman"/>
                <w:sz w:val="24"/>
                <w:szCs w:val="24"/>
                <w:lang w:val="pt-PT"/>
              </w:rPr>
              <w:t>Alto Crim Hospital Simão Mendes</w:t>
            </w:r>
          </w:p>
        </w:tc>
      </w:tr>
      <w:tr w:rsidR="005505AF" w:rsidRPr="002363CB" w:rsidTr="003D080D">
        <w:trPr>
          <w:trHeight w:val="579"/>
          <w:jc w:val="center"/>
        </w:trPr>
        <w:tc>
          <w:tcPr>
            <w:tcW w:w="762" w:type="pct"/>
            <w:vMerge/>
            <w:tcBorders>
              <w:top w:val="nil"/>
            </w:tcBorders>
            <w:shd w:val="clear" w:color="auto" w:fill="F2F2F2" w:themeFill="background1" w:themeFillShade="F2"/>
            <w:vAlign w:val="center"/>
          </w:tcPr>
          <w:p w:rsidR="005505AF" w:rsidRPr="002217C4" w:rsidRDefault="005505AF" w:rsidP="003D080D">
            <w:pPr>
              <w:spacing w:line="240" w:lineRule="auto"/>
              <w:contextualSpacing/>
              <w:jc w:val="center"/>
              <w:rPr>
                <w:lang w:val="pt-PT"/>
              </w:rPr>
            </w:pPr>
          </w:p>
        </w:tc>
        <w:tc>
          <w:tcPr>
            <w:tcW w:w="886" w:type="pct"/>
            <w:vAlign w:val="center"/>
          </w:tcPr>
          <w:p w:rsidR="005505AF" w:rsidRPr="002217C4" w:rsidRDefault="005505AF" w:rsidP="003D080D">
            <w:pPr>
              <w:pStyle w:val="TableParagraph"/>
              <w:spacing w:before="0" w:line="240" w:lineRule="auto"/>
              <w:ind w:left="106"/>
              <w:contextualSpacing/>
              <w:jc w:val="center"/>
              <w:rPr>
                <w:rFonts w:ascii="Times New Roman" w:hAnsi="Times New Roman" w:cs="Times New Roman"/>
                <w:sz w:val="24"/>
                <w:szCs w:val="24"/>
              </w:rPr>
            </w:pPr>
            <w:r w:rsidRPr="002217C4">
              <w:rPr>
                <w:rFonts w:ascii="Times New Roman" w:hAnsi="Times New Roman" w:cs="Times New Roman"/>
                <w:sz w:val="24"/>
                <w:szCs w:val="24"/>
              </w:rPr>
              <w:t>Secteur 2</w:t>
            </w:r>
          </w:p>
        </w:tc>
        <w:tc>
          <w:tcPr>
            <w:tcW w:w="2310" w:type="pct"/>
            <w:vAlign w:val="center"/>
          </w:tcPr>
          <w:p w:rsidR="005505AF" w:rsidRPr="002217C4" w:rsidRDefault="005505AF" w:rsidP="003D080D">
            <w:pPr>
              <w:pStyle w:val="TableParagraph"/>
              <w:spacing w:before="0" w:line="240" w:lineRule="auto"/>
              <w:ind w:left="107"/>
              <w:contextualSpacing/>
              <w:jc w:val="center"/>
              <w:rPr>
                <w:rFonts w:ascii="Times New Roman" w:hAnsi="Times New Roman" w:cs="Times New Roman"/>
                <w:sz w:val="24"/>
                <w:szCs w:val="24"/>
                <w:lang w:val="pt-PT"/>
              </w:rPr>
            </w:pPr>
            <w:r w:rsidRPr="002217C4">
              <w:rPr>
                <w:rFonts w:ascii="Times New Roman" w:hAnsi="Times New Roman" w:cs="Times New Roman"/>
                <w:sz w:val="24"/>
                <w:szCs w:val="24"/>
                <w:lang w:val="pt-PT"/>
              </w:rPr>
              <w:t>Melhoramento, Pefini, Rossio Caléquir, Pluba, Luanda, Embantcha et SV Paulo et Medina</w:t>
            </w:r>
          </w:p>
        </w:tc>
        <w:tc>
          <w:tcPr>
            <w:tcW w:w="1042" w:type="pct"/>
            <w:vAlign w:val="center"/>
          </w:tcPr>
          <w:p w:rsidR="005505AF" w:rsidRPr="002217C4" w:rsidRDefault="005505AF" w:rsidP="003D080D">
            <w:pPr>
              <w:pStyle w:val="TableParagraph"/>
              <w:spacing w:before="0" w:line="240" w:lineRule="auto"/>
              <w:contextualSpacing/>
              <w:jc w:val="center"/>
              <w:rPr>
                <w:rFonts w:ascii="Times New Roman" w:hAnsi="Times New Roman" w:cs="Times New Roman"/>
                <w:sz w:val="24"/>
                <w:szCs w:val="24"/>
              </w:rPr>
            </w:pPr>
            <w:r w:rsidRPr="002217C4">
              <w:rPr>
                <w:rFonts w:ascii="Times New Roman" w:hAnsi="Times New Roman" w:cs="Times New Roman"/>
                <w:sz w:val="24"/>
                <w:szCs w:val="24"/>
              </w:rPr>
              <w:t>Quartel general</w:t>
            </w:r>
          </w:p>
        </w:tc>
      </w:tr>
      <w:tr w:rsidR="005505AF" w:rsidRPr="002363CB" w:rsidTr="003D080D">
        <w:trPr>
          <w:trHeight w:val="540"/>
          <w:jc w:val="center"/>
        </w:trPr>
        <w:tc>
          <w:tcPr>
            <w:tcW w:w="762" w:type="pct"/>
            <w:vMerge/>
            <w:tcBorders>
              <w:top w:val="nil"/>
            </w:tcBorders>
            <w:shd w:val="clear" w:color="auto" w:fill="F2F2F2" w:themeFill="background1" w:themeFillShade="F2"/>
            <w:vAlign w:val="center"/>
          </w:tcPr>
          <w:p w:rsidR="005505AF" w:rsidRPr="002217C4" w:rsidRDefault="005505AF" w:rsidP="003D080D">
            <w:pPr>
              <w:spacing w:line="240" w:lineRule="auto"/>
              <w:contextualSpacing/>
              <w:jc w:val="center"/>
            </w:pPr>
          </w:p>
        </w:tc>
        <w:tc>
          <w:tcPr>
            <w:tcW w:w="886" w:type="pct"/>
            <w:vAlign w:val="center"/>
          </w:tcPr>
          <w:p w:rsidR="005505AF" w:rsidRPr="002217C4" w:rsidRDefault="005505AF" w:rsidP="003D080D">
            <w:pPr>
              <w:pStyle w:val="TableParagraph"/>
              <w:spacing w:before="0" w:line="240" w:lineRule="auto"/>
              <w:ind w:left="106"/>
              <w:contextualSpacing/>
              <w:jc w:val="center"/>
              <w:rPr>
                <w:rFonts w:ascii="Times New Roman" w:hAnsi="Times New Roman" w:cs="Times New Roman"/>
                <w:sz w:val="24"/>
                <w:szCs w:val="24"/>
              </w:rPr>
            </w:pPr>
            <w:r w:rsidRPr="002217C4">
              <w:rPr>
                <w:rFonts w:ascii="Times New Roman" w:hAnsi="Times New Roman" w:cs="Times New Roman"/>
                <w:sz w:val="24"/>
                <w:szCs w:val="24"/>
              </w:rPr>
              <w:t>Secteur 3</w:t>
            </w:r>
          </w:p>
        </w:tc>
        <w:tc>
          <w:tcPr>
            <w:tcW w:w="2310" w:type="pct"/>
            <w:vAlign w:val="center"/>
          </w:tcPr>
          <w:p w:rsidR="005505AF" w:rsidRPr="002217C4" w:rsidRDefault="005505AF" w:rsidP="003D080D">
            <w:pPr>
              <w:pStyle w:val="TableParagraph"/>
              <w:spacing w:before="0" w:line="240" w:lineRule="auto"/>
              <w:ind w:left="107" w:right="110"/>
              <w:contextualSpacing/>
              <w:jc w:val="center"/>
              <w:rPr>
                <w:rFonts w:ascii="Times New Roman" w:hAnsi="Times New Roman" w:cs="Times New Roman"/>
                <w:sz w:val="24"/>
                <w:szCs w:val="24"/>
                <w:lang w:val="pt-PT"/>
              </w:rPr>
            </w:pPr>
            <w:r w:rsidRPr="002217C4">
              <w:rPr>
                <w:rFonts w:ascii="Times New Roman" w:hAnsi="Times New Roman" w:cs="Times New Roman"/>
                <w:sz w:val="24"/>
                <w:szCs w:val="24"/>
                <w:lang w:val="pt-PT"/>
              </w:rPr>
              <w:t>Antula, Antula Bono, Lala Quéma, Djogoro, Flefe, Antula 1 et Antula2 – ANTULA-PIME</w:t>
            </w:r>
          </w:p>
        </w:tc>
        <w:tc>
          <w:tcPr>
            <w:tcW w:w="1042" w:type="pct"/>
            <w:vAlign w:val="center"/>
          </w:tcPr>
          <w:p w:rsidR="005505AF" w:rsidRPr="002217C4" w:rsidRDefault="005505AF" w:rsidP="003D080D">
            <w:pPr>
              <w:pStyle w:val="TableParagraph"/>
              <w:spacing w:before="0" w:line="240" w:lineRule="auto"/>
              <w:contextualSpacing/>
              <w:jc w:val="center"/>
              <w:rPr>
                <w:rFonts w:ascii="Times New Roman" w:hAnsi="Times New Roman" w:cs="Times New Roman"/>
                <w:sz w:val="24"/>
                <w:szCs w:val="24"/>
              </w:rPr>
            </w:pPr>
            <w:r w:rsidRPr="002217C4">
              <w:rPr>
                <w:rFonts w:ascii="Times New Roman" w:hAnsi="Times New Roman" w:cs="Times New Roman"/>
                <w:sz w:val="24"/>
                <w:szCs w:val="24"/>
              </w:rPr>
              <w:t>Antula (reconstruit)</w:t>
            </w:r>
          </w:p>
          <w:p w:rsidR="005505AF" w:rsidRPr="002217C4" w:rsidRDefault="005505AF" w:rsidP="003D080D">
            <w:pPr>
              <w:pStyle w:val="TableParagraph"/>
              <w:spacing w:before="0" w:line="240" w:lineRule="auto"/>
              <w:contextualSpacing/>
              <w:jc w:val="center"/>
              <w:rPr>
                <w:rFonts w:ascii="Times New Roman" w:hAnsi="Times New Roman" w:cs="Times New Roman"/>
                <w:sz w:val="24"/>
                <w:szCs w:val="24"/>
              </w:rPr>
            </w:pPr>
            <w:r w:rsidRPr="002217C4">
              <w:rPr>
                <w:rFonts w:ascii="Times New Roman" w:hAnsi="Times New Roman" w:cs="Times New Roman"/>
                <w:sz w:val="24"/>
                <w:szCs w:val="24"/>
              </w:rPr>
              <w:t>Antula-Pime (nouveau)</w:t>
            </w:r>
          </w:p>
        </w:tc>
      </w:tr>
      <w:tr w:rsidR="005505AF" w:rsidRPr="002363CB" w:rsidTr="003D080D">
        <w:trPr>
          <w:trHeight w:val="580"/>
          <w:jc w:val="center"/>
        </w:trPr>
        <w:tc>
          <w:tcPr>
            <w:tcW w:w="762" w:type="pct"/>
            <w:vMerge w:val="restart"/>
            <w:shd w:val="clear" w:color="auto" w:fill="F2F2F2" w:themeFill="background1" w:themeFillShade="F2"/>
            <w:vAlign w:val="center"/>
          </w:tcPr>
          <w:p w:rsidR="005505AF" w:rsidRPr="002217C4" w:rsidRDefault="005505AF" w:rsidP="003D080D">
            <w:pPr>
              <w:pStyle w:val="TableParagraph"/>
              <w:spacing w:before="0" w:line="240" w:lineRule="auto"/>
              <w:ind w:left="4"/>
              <w:contextualSpacing/>
              <w:jc w:val="center"/>
              <w:rPr>
                <w:rFonts w:ascii="Times New Roman" w:hAnsi="Times New Roman" w:cs="Times New Roman"/>
                <w:sz w:val="24"/>
                <w:szCs w:val="24"/>
              </w:rPr>
            </w:pPr>
            <w:r w:rsidRPr="002217C4">
              <w:rPr>
                <w:rFonts w:ascii="Times New Roman" w:hAnsi="Times New Roman" w:cs="Times New Roman"/>
                <w:sz w:val="24"/>
                <w:szCs w:val="24"/>
              </w:rPr>
              <w:t>1</w:t>
            </w:r>
          </w:p>
          <w:p w:rsidR="005505AF" w:rsidRPr="002217C4" w:rsidRDefault="005505AF" w:rsidP="003D080D">
            <w:pPr>
              <w:pStyle w:val="TableParagraph"/>
              <w:spacing w:before="0" w:line="240" w:lineRule="auto"/>
              <w:ind w:left="4"/>
              <w:contextualSpacing/>
              <w:jc w:val="center"/>
              <w:rPr>
                <w:rFonts w:ascii="Times New Roman" w:hAnsi="Times New Roman" w:cs="Times New Roman"/>
                <w:sz w:val="24"/>
                <w:szCs w:val="24"/>
              </w:rPr>
            </w:pPr>
            <w:r w:rsidRPr="002217C4">
              <w:rPr>
                <w:rFonts w:ascii="Times New Roman" w:hAnsi="Times New Roman" w:cs="Times New Roman"/>
                <w:sz w:val="24"/>
                <w:szCs w:val="24"/>
              </w:rPr>
              <w:t>(PHE 67 m)</w:t>
            </w:r>
          </w:p>
        </w:tc>
        <w:tc>
          <w:tcPr>
            <w:tcW w:w="886" w:type="pct"/>
            <w:vAlign w:val="center"/>
          </w:tcPr>
          <w:p w:rsidR="005505AF" w:rsidRPr="002217C4" w:rsidRDefault="005505AF" w:rsidP="003D080D">
            <w:pPr>
              <w:pStyle w:val="TableParagraph"/>
              <w:spacing w:before="0" w:line="240" w:lineRule="auto"/>
              <w:ind w:left="106"/>
              <w:contextualSpacing/>
              <w:jc w:val="center"/>
              <w:rPr>
                <w:rFonts w:ascii="Times New Roman" w:hAnsi="Times New Roman" w:cs="Times New Roman"/>
                <w:sz w:val="24"/>
                <w:szCs w:val="24"/>
              </w:rPr>
            </w:pPr>
            <w:r w:rsidRPr="002217C4">
              <w:rPr>
                <w:rFonts w:ascii="Times New Roman" w:hAnsi="Times New Roman" w:cs="Times New Roman"/>
                <w:sz w:val="24"/>
                <w:szCs w:val="24"/>
              </w:rPr>
              <w:t>Secteur 4</w:t>
            </w:r>
          </w:p>
        </w:tc>
        <w:tc>
          <w:tcPr>
            <w:tcW w:w="2310" w:type="pct"/>
            <w:vAlign w:val="center"/>
          </w:tcPr>
          <w:p w:rsidR="005505AF" w:rsidRPr="002217C4" w:rsidRDefault="005505AF" w:rsidP="003D080D">
            <w:pPr>
              <w:pStyle w:val="TableParagraph"/>
              <w:spacing w:before="0" w:line="240" w:lineRule="auto"/>
              <w:ind w:left="107"/>
              <w:contextualSpacing/>
              <w:jc w:val="center"/>
              <w:rPr>
                <w:rFonts w:ascii="Times New Roman" w:hAnsi="Times New Roman" w:cs="Times New Roman"/>
                <w:sz w:val="24"/>
                <w:szCs w:val="24"/>
                <w:lang w:val="pt-PT"/>
              </w:rPr>
            </w:pPr>
            <w:r w:rsidRPr="002217C4">
              <w:rPr>
                <w:rFonts w:ascii="Times New Roman" w:hAnsi="Times New Roman" w:cs="Times New Roman"/>
                <w:sz w:val="24"/>
                <w:szCs w:val="24"/>
                <w:lang w:val="pt-PT"/>
              </w:rPr>
              <w:t>Belem, Missara, Ajuda 1, International, Ajuda2, Cuntum, Cuntum meédina</w:t>
            </w:r>
          </w:p>
        </w:tc>
        <w:tc>
          <w:tcPr>
            <w:tcW w:w="1042" w:type="pct"/>
            <w:vAlign w:val="center"/>
          </w:tcPr>
          <w:p w:rsidR="005505AF" w:rsidRPr="002217C4" w:rsidRDefault="005505AF" w:rsidP="003D080D">
            <w:pPr>
              <w:pStyle w:val="TableParagraph"/>
              <w:spacing w:before="0" w:line="240" w:lineRule="auto"/>
              <w:contextualSpacing/>
              <w:jc w:val="center"/>
              <w:rPr>
                <w:rFonts w:ascii="Times New Roman" w:hAnsi="Times New Roman" w:cs="Times New Roman"/>
                <w:sz w:val="24"/>
                <w:szCs w:val="24"/>
              </w:rPr>
            </w:pPr>
            <w:r w:rsidRPr="002217C4">
              <w:rPr>
                <w:rFonts w:ascii="Times New Roman" w:hAnsi="Times New Roman" w:cs="Times New Roman"/>
                <w:sz w:val="24"/>
                <w:szCs w:val="24"/>
              </w:rPr>
              <w:t>Hospital 3 Agosto</w:t>
            </w:r>
          </w:p>
        </w:tc>
      </w:tr>
      <w:tr w:rsidR="005505AF" w:rsidRPr="002363CB" w:rsidTr="003D080D">
        <w:trPr>
          <w:trHeight w:val="579"/>
          <w:jc w:val="center"/>
        </w:trPr>
        <w:tc>
          <w:tcPr>
            <w:tcW w:w="762" w:type="pct"/>
            <w:vMerge/>
            <w:shd w:val="clear" w:color="auto" w:fill="F2F2F2" w:themeFill="background1" w:themeFillShade="F2"/>
            <w:vAlign w:val="center"/>
          </w:tcPr>
          <w:p w:rsidR="005505AF" w:rsidRPr="002217C4" w:rsidRDefault="005505AF" w:rsidP="003D080D">
            <w:pPr>
              <w:pStyle w:val="TableParagraph"/>
              <w:spacing w:before="0" w:line="240" w:lineRule="auto"/>
              <w:ind w:left="4"/>
              <w:contextualSpacing/>
              <w:jc w:val="center"/>
              <w:rPr>
                <w:rFonts w:ascii="Times New Roman" w:hAnsi="Times New Roman" w:cs="Times New Roman"/>
                <w:sz w:val="24"/>
                <w:szCs w:val="24"/>
              </w:rPr>
            </w:pPr>
          </w:p>
        </w:tc>
        <w:tc>
          <w:tcPr>
            <w:tcW w:w="886" w:type="pct"/>
            <w:vAlign w:val="center"/>
          </w:tcPr>
          <w:p w:rsidR="005505AF" w:rsidRPr="002217C4" w:rsidRDefault="005505AF" w:rsidP="003D080D">
            <w:pPr>
              <w:pStyle w:val="TableParagraph"/>
              <w:spacing w:before="0" w:line="240" w:lineRule="auto"/>
              <w:ind w:left="106"/>
              <w:contextualSpacing/>
              <w:jc w:val="center"/>
              <w:rPr>
                <w:rFonts w:ascii="Times New Roman" w:hAnsi="Times New Roman" w:cs="Times New Roman"/>
                <w:sz w:val="24"/>
                <w:szCs w:val="24"/>
              </w:rPr>
            </w:pPr>
            <w:r w:rsidRPr="002217C4">
              <w:rPr>
                <w:rFonts w:ascii="Times New Roman" w:hAnsi="Times New Roman" w:cs="Times New Roman"/>
                <w:sz w:val="24"/>
                <w:szCs w:val="24"/>
              </w:rPr>
              <w:t>Secteur 5</w:t>
            </w:r>
          </w:p>
        </w:tc>
        <w:tc>
          <w:tcPr>
            <w:tcW w:w="2310" w:type="pct"/>
            <w:vAlign w:val="center"/>
          </w:tcPr>
          <w:p w:rsidR="005505AF" w:rsidRPr="002217C4" w:rsidRDefault="005505AF" w:rsidP="003D080D">
            <w:pPr>
              <w:pStyle w:val="TableParagraph"/>
              <w:spacing w:before="0" w:line="240" w:lineRule="auto"/>
              <w:ind w:left="107"/>
              <w:contextualSpacing/>
              <w:jc w:val="center"/>
              <w:rPr>
                <w:rFonts w:ascii="Times New Roman" w:hAnsi="Times New Roman" w:cs="Times New Roman"/>
                <w:sz w:val="24"/>
                <w:szCs w:val="24"/>
                <w:lang w:val="pt-PT"/>
              </w:rPr>
            </w:pPr>
            <w:r w:rsidRPr="002217C4">
              <w:rPr>
                <w:rFonts w:ascii="Times New Roman" w:hAnsi="Times New Roman" w:cs="Times New Roman"/>
                <w:sz w:val="24"/>
                <w:szCs w:val="24"/>
                <w:lang w:val="pt-PT"/>
              </w:rPr>
              <w:t>Quélélé, Enterramento, Bra, Plaque2 – AEROPORTO (Brene)</w:t>
            </w:r>
          </w:p>
        </w:tc>
        <w:tc>
          <w:tcPr>
            <w:tcW w:w="1042" w:type="pct"/>
            <w:vAlign w:val="center"/>
          </w:tcPr>
          <w:p w:rsidR="005505AF" w:rsidRPr="002217C4" w:rsidRDefault="005505AF" w:rsidP="003D080D">
            <w:pPr>
              <w:pStyle w:val="TableParagraph"/>
              <w:spacing w:before="0" w:line="240" w:lineRule="auto"/>
              <w:contextualSpacing/>
              <w:jc w:val="center"/>
              <w:rPr>
                <w:rFonts w:ascii="Times New Roman" w:hAnsi="Times New Roman" w:cs="Times New Roman"/>
                <w:sz w:val="24"/>
                <w:szCs w:val="24"/>
              </w:rPr>
            </w:pPr>
            <w:r w:rsidRPr="002217C4">
              <w:rPr>
                <w:rFonts w:ascii="Times New Roman" w:hAnsi="Times New Roman" w:cs="Times New Roman"/>
                <w:sz w:val="24"/>
                <w:szCs w:val="24"/>
              </w:rPr>
              <w:t>Bra</w:t>
            </w:r>
          </w:p>
          <w:p w:rsidR="005505AF" w:rsidRPr="002217C4" w:rsidRDefault="005505AF" w:rsidP="003D080D">
            <w:pPr>
              <w:pStyle w:val="TableParagraph"/>
              <w:spacing w:before="0" w:line="240" w:lineRule="auto"/>
              <w:contextualSpacing/>
              <w:jc w:val="center"/>
              <w:rPr>
                <w:rFonts w:ascii="Times New Roman" w:hAnsi="Times New Roman" w:cs="Times New Roman"/>
                <w:sz w:val="24"/>
                <w:szCs w:val="24"/>
              </w:rPr>
            </w:pPr>
            <w:r w:rsidRPr="002217C4">
              <w:rPr>
                <w:rFonts w:ascii="Times New Roman" w:hAnsi="Times New Roman" w:cs="Times New Roman"/>
                <w:sz w:val="24"/>
                <w:szCs w:val="24"/>
              </w:rPr>
              <w:t>Aeroporto 1</w:t>
            </w:r>
          </w:p>
          <w:p w:rsidR="005505AF" w:rsidRPr="002217C4" w:rsidRDefault="005505AF" w:rsidP="003D080D">
            <w:pPr>
              <w:pStyle w:val="TableParagraph"/>
              <w:spacing w:before="0" w:line="240" w:lineRule="auto"/>
              <w:contextualSpacing/>
              <w:jc w:val="center"/>
              <w:rPr>
                <w:rFonts w:ascii="Times New Roman" w:hAnsi="Times New Roman" w:cs="Times New Roman"/>
                <w:sz w:val="24"/>
                <w:szCs w:val="24"/>
              </w:rPr>
            </w:pPr>
            <w:r w:rsidRPr="002217C4">
              <w:rPr>
                <w:rFonts w:ascii="Times New Roman" w:hAnsi="Times New Roman" w:cs="Times New Roman"/>
                <w:sz w:val="24"/>
                <w:szCs w:val="24"/>
              </w:rPr>
              <w:t>Aeroporto 2</w:t>
            </w:r>
          </w:p>
        </w:tc>
      </w:tr>
      <w:tr w:rsidR="005505AF" w:rsidRPr="002363CB" w:rsidTr="003D080D">
        <w:trPr>
          <w:trHeight w:val="580"/>
          <w:jc w:val="center"/>
        </w:trPr>
        <w:tc>
          <w:tcPr>
            <w:tcW w:w="762" w:type="pct"/>
            <w:vMerge/>
            <w:tcBorders>
              <w:bottom w:val="nil"/>
            </w:tcBorders>
            <w:shd w:val="clear" w:color="auto" w:fill="F2F2F2" w:themeFill="background1" w:themeFillShade="F2"/>
            <w:vAlign w:val="center"/>
          </w:tcPr>
          <w:p w:rsidR="005505AF" w:rsidRPr="002217C4" w:rsidRDefault="005505AF" w:rsidP="003D080D">
            <w:pPr>
              <w:spacing w:line="240" w:lineRule="auto"/>
              <w:contextualSpacing/>
              <w:jc w:val="center"/>
            </w:pPr>
          </w:p>
        </w:tc>
        <w:tc>
          <w:tcPr>
            <w:tcW w:w="886" w:type="pct"/>
            <w:vAlign w:val="center"/>
          </w:tcPr>
          <w:p w:rsidR="005505AF" w:rsidRPr="002217C4" w:rsidRDefault="005505AF" w:rsidP="003D080D">
            <w:pPr>
              <w:pStyle w:val="TableParagraph"/>
              <w:spacing w:before="0" w:line="240" w:lineRule="auto"/>
              <w:ind w:left="106"/>
              <w:contextualSpacing/>
              <w:jc w:val="center"/>
              <w:rPr>
                <w:rFonts w:ascii="Times New Roman" w:hAnsi="Times New Roman" w:cs="Times New Roman"/>
                <w:sz w:val="24"/>
                <w:szCs w:val="24"/>
              </w:rPr>
            </w:pPr>
            <w:r w:rsidRPr="002217C4">
              <w:rPr>
                <w:rFonts w:ascii="Times New Roman" w:hAnsi="Times New Roman" w:cs="Times New Roman"/>
                <w:sz w:val="24"/>
                <w:szCs w:val="24"/>
              </w:rPr>
              <w:t>Secteur 6</w:t>
            </w:r>
          </w:p>
        </w:tc>
        <w:tc>
          <w:tcPr>
            <w:tcW w:w="2310" w:type="pct"/>
            <w:vAlign w:val="center"/>
          </w:tcPr>
          <w:p w:rsidR="005505AF" w:rsidRPr="002217C4" w:rsidRDefault="005505AF" w:rsidP="003D080D">
            <w:pPr>
              <w:pStyle w:val="TableParagraph"/>
              <w:spacing w:before="0" w:line="240" w:lineRule="auto"/>
              <w:ind w:left="107"/>
              <w:contextualSpacing/>
              <w:jc w:val="center"/>
              <w:rPr>
                <w:rFonts w:ascii="Times New Roman" w:hAnsi="Times New Roman" w:cs="Times New Roman"/>
                <w:sz w:val="24"/>
                <w:szCs w:val="24"/>
                <w:lang w:val="pt-PT"/>
              </w:rPr>
            </w:pPr>
            <w:r w:rsidRPr="002217C4">
              <w:rPr>
                <w:rFonts w:ascii="Times New Roman" w:hAnsi="Times New Roman" w:cs="Times New Roman"/>
                <w:sz w:val="24"/>
                <w:szCs w:val="24"/>
                <w:lang w:val="pt-PT"/>
              </w:rPr>
              <w:t>Penha, Militar, Bissaue, Plaque1, São Paulo, Djolo, HAFIA, Bissaquil, Bissaquil 1 et Reino de Jal</w:t>
            </w:r>
          </w:p>
        </w:tc>
        <w:tc>
          <w:tcPr>
            <w:tcW w:w="1042" w:type="pct"/>
            <w:vAlign w:val="center"/>
          </w:tcPr>
          <w:p w:rsidR="005505AF" w:rsidRPr="002217C4" w:rsidRDefault="005505AF" w:rsidP="003D080D">
            <w:pPr>
              <w:pStyle w:val="TableParagraph"/>
              <w:spacing w:before="0" w:line="240" w:lineRule="auto"/>
              <w:contextualSpacing/>
              <w:jc w:val="center"/>
              <w:rPr>
                <w:rFonts w:ascii="Times New Roman" w:hAnsi="Times New Roman" w:cs="Times New Roman"/>
                <w:sz w:val="24"/>
                <w:szCs w:val="24"/>
              </w:rPr>
            </w:pPr>
            <w:r w:rsidRPr="002217C4">
              <w:rPr>
                <w:rFonts w:ascii="Times New Roman" w:hAnsi="Times New Roman" w:cs="Times New Roman"/>
                <w:sz w:val="24"/>
                <w:szCs w:val="24"/>
              </w:rPr>
              <w:t>Guiné Télécom</w:t>
            </w:r>
          </w:p>
        </w:tc>
      </w:tr>
      <w:tr w:rsidR="005505AF" w:rsidRPr="002363CB" w:rsidTr="00053C62">
        <w:trPr>
          <w:trHeight w:val="580"/>
          <w:jc w:val="center"/>
        </w:trPr>
        <w:tc>
          <w:tcPr>
            <w:tcW w:w="762" w:type="pct"/>
            <w:tcBorders>
              <w:top w:val="nil"/>
              <w:bottom w:val="single" w:sz="4" w:space="0" w:color="000000"/>
            </w:tcBorders>
            <w:vAlign w:val="center"/>
          </w:tcPr>
          <w:p w:rsidR="005505AF" w:rsidRPr="002217C4" w:rsidRDefault="005505AF" w:rsidP="003D080D">
            <w:pPr>
              <w:spacing w:line="240" w:lineRule="auto"/>
              <w:contextualSpacing/>
              <w:jc w:val="center"/>
            </w:pPr>
          </w:p>
        </w:tc>
        <w:tc>
          <w:tcPr>
            <w:tcW w:w="886" w:type="pct"/>
            <w:tcBorders>
              <w:bottom w:val="single" w:sz="4" w:space="0" w:color="000000"/>
            </w:tcBorders>
            <w:vAlign w:val="center"/>
          </w:tcPr>
          <w:p w:rsidR="005505AF" w:rsidRPr="002217C4" w:rsidRDefault="005505AF" w:rsidP="003D080D">
            <w:pPr>
              <w:pStyle w:val="TableParagraph"/>
              <w:spacing w:before="0" w:line="240" w:lineRule="auto"/>
              <w:ind w:left="106"/>
              <w:contextualSpacing/>
              <w:jc w:val="center"/>
              <w:rPr>
                <w:rFonts w:ascii="Times New Roman" w:hAnsi="Times New Roman" w:cs="Times New Roman"/>
                <w:sz w:val="24"/>
                <w:szCs w:val="24"/>
              </w:rPr>
            </w:pPr>
            <w:r w:rsidRPr="002217C4">
              <w:rPr>
                <w:rFonts w:ascii="Times New Roman" w:hAnsi="Times New Roman" w:cs="Times New Roman"/>
                <w:sz w:val="24"/>
                <w:szCs w:val="24"/>
              </w:rPr>
              <w:t>Secteur 7</w:t>
            </w:r>
          </w:p>
        </w:tc>
        <w:tc>
          <w:tcPr>
            <w:tcW w:w="2310" w:type="pct"/>
            <w:tcBorders>
              <w:bottom w:val="single" w:sz="4" w:space="0" w:color="000000"/>
            </w:tcBorders>
            <w:vAlign w:val="center"/>
          </w:tcPr>
          <w:p w:rsidR="005505AF" w:rsidRPr="002217C4" w:rsidRDefault="005505AF" w:rsidP="003D080D">
            <w:pPr>
              <w:pStyle w:val="TableParagraph"/>
              <w:spacing w:before="0" w:line="240" w:lineRule="auto"/>
              <w:ind w:left="107"/>
              <w:contextualSpacing/>
              <w:jc w:val="center"/>
              <w:rPr>
                <w:rFonts w:ascii="Times New Roman" w:hAnsi="Times New Roman" w:cs="Times New Roman"/>
                <w:sz w:val="24"/>
                <w:szCs w:val="24"/>
              </w:rPr>
            </w:pPr>
            <w:r w:rsidRPr="002217C4">
              <w:rPr>
                <w:rFonts w:ascii="Times New Roman" w:hAnsi="Times New Roman" w:cs="Times New Roman"/>
                <w:sz w:val="24"/>
                <w:szCs w:val="24"/>
              </w:rPr>
              <w:t>Cumura et Ponta gardete - BÔR</w:t>
            </w:r>
          </w:p>
        </w:tc>
        <w:tc>
          <w:tcPr>
            <w:tcW w:w="1042" w:type="pct"/>
            <w:tcBorders>
              <w:bottom w:val="single" w:sz="4" w:space="0" w:color="000000"/>
            </w:tcBorders>
            <w:vAlign w:val="center"/>
          </w:tcPr>
          <w:p w:rsidR="005505AF" w:rsidRPr="002217C4" w:rsidRDefault="005505AF" w:rsidP="003D080D">
            <w:pPr>
              <w:pStyle w:val="TableParagraph"/>
              <w:spacing w:before="0" w:line="240" w:lineRule="auto"/>
              <w:contextualSpacing/>
              <w:jc w:val="center"/>
              <w:rPr>
                <w:rFonts w:ascii="Times New Roman" w:hAnsi="Times New Roman" w:cs="Times New Roman"/>
                <w:sz w:val="24"/>
                <w:szCs w:val="24"/>
              </w:rPr>
            </w:pPr>
            <w:r w:rsidRPr="002217C4">
              <w:rPr>
                <w:rFonts w:ascii="Times New Roman" w:hAnsi="Times New Roman" w:cs="Times New Roman"/>
                <w:sz w:val="24"/>
                <w:szCs w:val="24"/>
              </w:rPr>
              <w:t>Bôr</w:t>
            </w:r>
          </w:p>
        </w:tc>
      </w:tr>
    </w:tbl>
    <w:p w:rsidR="005505AF" w:rsidRPr="003D080D" w:rsidRDefault="005505AF" w:rsidP="005505AF">
      <w:pPr>
        <w:jc w:val="both"/>
        <w:rPr>
          <w:b/>
        </w:rPr>
      </w:pPr>
    </w:p>
    <w:p w:rsidR="005505AF" w:rsidRPr="00EE0400" w:rsidRDefault="00EE0400" w:rsidP="005505AF">
      <w:pPr>
        <w:jc w:val="center"/>
        <w:rPr>
          <w:rFonts w:ascii="Times New Roman" w:hAnsi="Times New Roman" w:cs="Times New Roman"/>
          <w:b/>
          <w:sz w:val="20"/>
          <w:szCs w:val="20"/>
        </w:rPr>
      </w:pPr>
      <w:bookmarkStart w:id="54" w:name="_Toc51073994"/>
      <w:r w:rsidRPr="00EE0400">
        <w:rPr>
          <w:rFonts w:ascii="Times New Roman" w:hAnsi="Times New Roman" w:cs="Times New Roman"/>
          <w:b/>
          <w:sz w:val="20"/>
          <w:szCs w:val="20"/>
        </w:rPr>
        <w:t xml:space="preserve">Tableau </w:t>
      </w:r>
      <w:r w:rsidRPr="00EE0400">
        <w:rPr>
          <w:rFonts w:ascii="Times New Roman" w:hAnsi="Times New Roman" w:cs="Times New Roman"/>
          <w:b/>
          <w:sz w:val="20"/>
          <w:szCs w:val="20"/>
        </w:rPr>
        <w:fldChar w:fldCharType="begin"/>
      </w:r>
      <w:r w:rsidRPr="00EE0400">
        <w:rPr>
          <w:rFonts w:ascii="Times New Roman" w:hAnsi="Times New Roman" w:cs="Times New Roman"/>
          <w:b/>
          <w:sz w:val="20"/>
          <w:szCs w:val="20"/>
        </w:rPr>
        <w:instrText xml:space="preserve"> SEQ Tableau \* ARABIC </w:instrText>
      </w:r>
      <w:r w:rsidRPr="00EE0400">
        <w:rPr>
          <w:rFonts w:ascii="Times New Roman" w:hAnsi="Times New Roman" w:cs="Times New Roman"/>
          <w:b/>
          <w:sz w:val="20"/>
          <w:szCs w:val="20"/>
        </w:rPr>
        <w:fldChar w:fldCharType="separate"/>
      </w:r>
      <w:r w:rsidR="002C6E60">
        <w:rPr>
          <w:rFonts w:ascii="Times New Roman" w:hAnsi="Times New Roman" w:cs="Times New Roman"/>
          <w:b/>
          <w:noProof/>
          <w:sz w:val="20"/>
          <w:szCs w:val="20"/>
        </w:rPr>
        <w:t>4</w:t>
      </w:r>
      <w:r w:rsidRPr="00EE0400">
        <w:rPr>
          <w:rFonts w:ascii="Times New Roman" w:hAnsi="Times New Roman" w:cs="Times New Roman"/>
          <w:b/>
          <w:sz w:val="20"/>
          <w:szCs w:val="20"/>
        </w:rPr>
        <w:fldChar w:fldCharType="end"/>
      </w:r>
      <w:r w:rsidRPr="00EE0400">
        <w:rPr>
          <w:rFonts w:ascii="Times New Roman" w:hAnsi="Times New Roman" w:cs="Times New Roman"/>
          <w:b/>
          <w:sz w:val="20"/>
          <w:szCs w:val="20"/>
        </w:rPr>
        <w:t xml:space="preserve">: </w:t>
      </w:r>
      <w:r w:rsidR="005505AF" w:rsidRPr="00EE0400">
        <w:rPr>
          <w:rFonts w:ascii="Times New Roman" w:hAnsi="Times New Roman" w:cs="Times New Roman"/>
          <w:b/>
          <w:sz w:val="20"/>
          <w:szCs w:val="20"/>
        </w:rPr>
        <w:t>Répartition des réservoirs par étape</w:t>
      </w:r>
      <w:bookmarkEnd w:id="54"/>
    </w:p>
    <w:tbl>
      <w:tblPr>
        <w:tblW w:w="10774"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45"/>
        <w:gridCol w:w="5529"/>
      </w:tblGrid>
      <w:tr w:rsidR="005505AF" w:rsidRPr="009D57CA" w:rsidTr="00053C62">
        <w:tc>
          <w:tcPr>
            <w:tcW w:w="5245" w:type="dxa"/>
            <w:tcBorders>
              <w:bottom w:val="nil"/>
            </w:tcBorders>
          </w:tcPr>
          <w:p w:rsidR="005505AF" w:rsidRPr="009D57CA" w:rsidRDefault="005505AF" w:rsidP="001D1EBD">
            <w:pPr>
              <w:jc w:val="center"/>
              <w:rPr>
                <w:rFonts w:ascii="Times New Roman" w:hAnsi="Times New Roman" w:cs="Times New Roman"/>
                <w:noProof/>
                <w:sz w:val="24"/>
                <w:szCs w:val="24"/>
                <w:u w:val="single"/>
              </w:rPr>
            </w:pPr>
            <w:r w:rsidRPr="009D57CA">
              <w:rPr>
                <w:rFonts w:ascii="Times New Roman" w:hAnsi="Times New Roman" w:cs="Times New Roman"/>
                <w:noProof/>
                <w:sz w:val="24"/>
                <w:szCs w:val="24"/>
                <w:u w:val="single"/>
              </w:rPr>
              <w:t>RESERVOIRS DE L’ETAPE 1</w:t>
            </w:r>
          </w:p>
        </w:tc>
        <w:tc>
          <w:tcPr>
            <w:tcW w:w="5529" w:type="dxa"/>
            <w:tcBorders>
              <w:bottom w:val="nil"/>
            </w:tcBorders>
          </w:tcPr>
          <w:p w:rsidR="005505AF" w:rsidRPr="009D57CA" w:rsidRDefault="005505AF" w:rsidP="001D1EBD">
            <w:pPr>
              <w:jc w:val="center"/>
              <w:rPr>
                <w:rFonts w:ascii="Times New Roman" w:hAnsi="Times New Roman" w:cs="Times New Roman"/>
                <w:noProof/>
                <w:sz w:val="24"/>
                <w:szCs w:val="24"/>
                <w:u w:val="single"/>
              </w:rPr>
            </w:pPr>
            <w:r w:rsidRPr="009D57CA">
              <w:rPr>
                <w:rFonts w:ascii="Times New Roman" w:hAnsi="Times New Roman" w:cs="Times New Roman"/>
                <w:noProof/>
                <w:sz w:val="24"/>
                <w:szCs w:val="24"/>
                <w:u w:val="single"/>
              </w:rPr>
              <w:t>RESERVOIRS DE L’ETAPE 2</w:t>
            </w:r>
          </w:p>
        </w:tc>
      </w:tr>
      <w:tr w:rsidR="005505AF" w:rsidRPr="00DF7E0C" w:rsidTr="00053C62">
        <w:tc>
          <w:tcPr>
            <w:tcW w:w="5245" w:type="dxa"/>
            <w:tcBorders>
              <w:top w:val="nil"/>
              <w:bottom w:val="nil"/>
            </w:tcBorders>
          </w:tcPr>
          <w:p w:rsidR="005505AF" w:rsidRPr="009D57CA" w:rsidRDefault="005505AF" w:rsidP="00FA3FAE">
            <w:pPr>
              <w:pStyle w:val="PargrafodaLista"/>
              <w:numPr>
                <w:ilvl w:val="0"/>
                <w:numId w:val="62"/>
              </w:numPr>
              <w:spacing w:after="0" w:line="240" w:lineRule="auto"/>
              <w:ind w:left="0" w:firstLine="0"/>
              <w:contextualSpacing w:val="0"/>
              <w:rPr>
                <w:rFonts w:ascii="Times New Roman" w:hAnsi="Times New Roman"/>
                <w:color w:val="0070C0"/>
                <w:sz w:val="24"/>
                <w:szCs w:val="24"/>
                <w:lang w:val="fr-FR"/>
              </w:rPr>
            </w:pPr>
            <w:r w:rsidRPr="009D57CA">
              <w:rPr>
                <w:rFonts w:ascii="Times New Roman" w:hAnsi="Times New Roman"/>
                <w:color w:val="0070C0"/>
                <w:sz w:val="24"/>
                <w:szCs w:val="24"/>
                <w:lang w:val="fr-FR"/>
              </w:rPr>
              <w:t>Réservoir Aéroport2 (à réhabiliter) 150m</w:t>
            </w:r>
            <w:r w:rsidRPr="009D57CA">
              <w:rPr>
                <w:rFonts w:ascii="Times New Roman" w:hAnsi="Times New Roman"/>
                <w:color w:val="0070C0"/>
                <w:sz w:val="24"/>
                <w:szCs w:val="24"/>
                <w:vertAlign w:val="superscript"/>
                <w:lang w:val="fr-FR"/>
              </w:rPr>
              <w:t>3</w:t>
            </w:r>
          </w:p>
          <w:p w:rsidR="005505AF" w:rsidRPr="009D57CA" w:rsidRDefault="005505AF" w:rsidP="00FA3FAE">
            <w:pPr>
              <w:pStyle w:val="PargrafodaLista"/>
              <w:numPr>
                <w:ilvl w:val="0"/>
                <w:numId w:val="62"/>
              </w:numPr>
              <w:spacing w:after="0" w:line="240" w:lineRule="auto"/>
              <w:ind w:left="0" w:firstLine="0"/>
              <w:contextualSpacing w:val="0"/>
              <w:rPr>
                <w:rFonts w:ascii="Times New Roman" w:hAnsi="Times New Roman"/>
                <w:color w:val="0070C0"/>
                <w:sz w:val="24"/>
                <w:szCs w:val="24"/>
                <w:lang w:val="fr-FR"/>
              </w:rPr>
            </w:pPr>
            <w:r w:rsidRPr="009D57CA">
              <w:rPr>
                <w:rFonts w:ascii="Times New Roman" w:hAnsi="Times New Roman"/>
                <w:color w:val="0070C0"/>
                <w:sz w:val="24"/>
                <w:szCs w:val="24"/>
                <w:lang w:val="fr-FR"/>
              </w:rPr>
              <w:t>Réservoir Aéroport1 (à réhabiliter) 200m</w:t>
            </w:r>
            <w:r w:rsidRPr="009D57CA">
              <w:rPr>
                <w:rFonts w:ascii="Times New Roman" w:hAnsi="Times New Roman"/>
                <w:color w:val="0070C0"/>
                <w:sz w:val="24"/>
                <w:szCs w:val="24"/>
                <w:vertAlign w:val="superscript"/>
                <w:lang w:val="fr-FR"/>
              </w:rPr>
              <w:t>3</w:t>
            </w:r>
          </w:p>
          <w:p w:rsidR="005505AF" w:rsidRPr="009D57CA" w:rsidRDefault="005505AF" w:rsidP="00FA3FAE">
            <w:pPr>
              <w:pStyle w:val="PargrafodaLista"/>
              <w:numPr>
                <w:ilvl w:val="0"/>
                <w:numId w:val="62"/>
              </w:numPr>
              <w:spacing w:after="0" w:line="240" w:lineRule="auto"/>
              <w:ind w:left="0" w:firstLine="0"/>
              <w:contextualSpacing w:val="0"/>
              <w:rPr>
                <w:rFonts w:ascii="Times New Roman" w:hAnsi="Times New Roman"/>
                <w:color w:val="70AD47"/>
                <w:sz w:val="24"/>
                <w:szCs w:val="24"/>
                <w:lang w:val="fr-FR"/>
              </w:rPr>
            </w:pPr>
            <w:r w:rsidRPr="009D57CA">
              <w:rPr>
                <w:rFonts w:ascii="Times New Roman" w:hAnsi="Times New Roman"/>
                <w:color w:val="70AD47"/>
                <w:sz w:val="24"/>
                <w:szCs w:val="24"/>
                <w:lang w:val="fr-FR"/>
              </w:rPr>
              <w:t>Réservoir Guinée Telecom (existant) 750m</w:t>
            </w:r>
            <w:r w:rsidRPr="009D57CA">
              <w:rPr>
                <w:rFonts w:ascii="Times New Roman" w:hAnsi="Times New Roman"/>
                <w:color w:val="70AD47"/>
                <w:sz w:val="24"/>
                <w:szCs w:val="24"/>
                <w:vertAlign w:val="superscript"/>
                <w:lang w:val="fr-FR"/>
              </w:rPr>
              <w:t>3</w:t>
            </w:r>
          </w:p>
          <w:p w:rsidR="005505AF" w:rsidRPr="009D57CA" w:rsidRDefault="005505AF" w:rsidP="00FA3FAE">
            <w:pPr>
              <w:pStyle w:val="PargrafodaLista"/>
              <w:numPr>
                <w:ilvl w:val="0"/>
                <w:numId w:val="62"/>
              </w:numPr>
              <w:spacing w:after="0" w:line="240" w:lineRule="auto"/>
              <w:ind w:left="0" w:firstLine="0"/>
              <w:contextualSpacing w:val="0"/>
              <w:rPr>
                <w:rFonts w:ascii="Times New Roman" w:hAnsi="Times New Roman"/>
                <w:color w:val="70AD47"/>
                <w:sz w:val="24"/>
                <w:szCs w:val="24"/>
                <w:lang w:val="pt-PT"/>
              </w:rPr>
            </w:pPr>
            <w:r w:rsidRPr="009D57CA">
              <w:rPr>
                <w:rFonts w:ascii="Times New Roman" w:hAnsi="Times New Roman"/>
                <w:color w:val="70AD47"/>
                <w:sz w:val="24"/>
                <w:szCs w:val="24"/>
                <w:lang w:val="pt-PT"/>
              </w:rPr>
              <w:t>Réservoir Bra Esc.Tecnica (existant) 300m</w:t>
            </w:r>
            <w:r w:rsidRPr="009D57CA">
              <w:rPr>
                <w:rFonts w:ascii="Times New Roman" w:hAnsi="Times New Roman"/>
                <w:color w:val="70AD47"/>
                <w:sz w:val="24"/>
                <w:szCs w:val="24"/>
                <w:vertAlign w:val="superscript"/>
                <w:lang w:val="pt-PT"/>
              </w:rPr>
              <w:t>3</w:t>
            </w:r>
          </w:p>
          <w:p w:rsidR="005505AF" w:rsidRPr="009D57CA" w:rsidRDefault="005505AF" w:rsidP="00FA3FAE">
            <w:pPr>
              <w:pStyle w:val="PargrafodaLista"/>
              <w:numPr>
                <w:ilvl w:val="0"/>
                <w:numId w:val="62"/>
              </w:numPr>
              <w:spacing w:after="0" w:line="240" w:lineRule="auto"/>
              <w:ind w:left="0" w:firstLine="0"/>
              <w:rPr>
                <w:rFonts w:ascii="Times New Roman" w:hAnsi="Times New Roman"/>
                <w:color w:val="7030A0"/>
                <w:sz w:val="24"/>
                <w:szCs w:val="24"/>
                <w:lang w:val="fr-FR"/>
              </w:rPr>
            </w:pPr>
            <w:r w:rsidRPr="009D57CA">
              <w:rPr>
                <w:rFonts w:ascii="Times New Roman" w:hAnsi="Times New Roman"/>
                <w:color w:val="7030A0"/>
                <w:sz w:val="24"/>
                <w:szCs w:val="24"/>
                <w:lang w:val="fr-FR"/>
              </w:rPr>
              <w:t>Réservoir Bôr (nouveau) 700m</w:t>
            </w:r>
            <w:r w:rsidRPr="009D57CA">
              <w:rPr>
                <w:rFonts w:ascii="Times New Roman" w:hAnsi="Times New Roman"/>
                <w:color w:val="7030A0"/>
                <w:sz w:val="24"/>
                <w:szCs w:val="24"/>
                <w:vertAlign w:val="superscript"/>
                <w:lang w:val="fr-FR"/>
              </w:rPr>
              <w:t>3</w:t>
            </w:r>
          </w:p>
          <w:p w:rsidR="005505AF" w:rsidRPr="009D57CA" w:rsidRDefault="005505AF" w:rsidP="00FA3FAE">
            <w:pPr>
              <w:pStyle w:val="PargrafodaLista"/>
              <w:numPr>
                <w:ilvl w:val="0"/>
                <w:numId w:val="62"/>
              </w:numPr>
              <w:spacing w:after="0" w:line="240" w:lineRule="auto"/>
              <w:ind w:left="0" w:firstLine="0"/>
              <w:contextualSpacing w:val="0"/>
              <w:rPr>
                <w:rFonts w:ascii="Times New Roman" w:hAnsi="Times New Roman"/>
                <w:noProof/>
                <w:sz w:val="24"/>
                <w:szCs w:val="24"/>
                <w:lang w:val="fr-FR"/>
              </w:rPr>
            </w:pPr>
            <w:r w:rsidRPr="009D57CA">
              <w:rPr>
                <w:rFonts w:ascii="Times New Roman" w:hAnsi="Times New Roman"/>
                <w:color w:val="70AD47"/>
                <w:sz w:val="24"/>
                <w:szCs w:val="24"/>
                <w:lang w:val="fr-FR"/>
              </w:rPr>
              <w:t>Réservoir 3 Agosto (existant) 700m</w:t>
            </w:r>
            <w:r w:rsidRPr="009D57CA">
              <w:rPr>
                <w:rFonts w:ascii="Times New Roman" w:hAnsi="Times New Roman"/>
                <w:color w:val="70AD47"/>
                <w:sz w:val="24"/>
                <w:szCs w:val="24"/>
                <w:vertAlign w:val="superscript"/>
                <w:lang w:val="fr-FR"/>
              </w:rPr>
              <w:t>3</w:t>
            </w:r>
          </w:p>
          <w:p w:rsidR="005505AF" w:rsidRPr="009D57CA" w:rsidRDefault="005505AF" w:rsidP="00FA3FAE">
            <w:pPr>
              <w:pStyle w:val="PargrafodaLista"/>
              <w:numPr>
                <w:ilvl w:val="0"/>
                <w:numId w:val="62"/>
              </w:numPr>
              <w:spacing w:after="0" w:line="240" w:lineRule="auto"/>
              <w:ind w:left="0" w:firstLine="0"/>
              <w:contextualSpacing w:val="0"/>
              <w:rPr>
                <w:rFonts w:ascii="Times New Roman" w:hAnsi="Times New Roman"/>
                <w:noProof/>
                <w:sz w:val="24"/>
                <w:szCs w:val="24"/>
                <w:lang w:val="fr-FR"/>
              </w:rPr>
            </w:pPr>
            <w:r w:rsidRPr="009D57CA">
              <w:rPr>
                <w:rFonts w:ascii="Times New Roman" w:hAnsi="Times New Roman"/>
                <w:color w:val="0070C0"/>
                <w:sz w:val="24"/>
                <w:szCs w:val="24"/>
                <w:lang w:val="fr-FR"/>
              </w:rPr>
              <w:t>Réservoir Djolo (ex-CE 3 de Agosto) 100m3</w:t>
            </w:r>
          </w:p>
        </w:tc>
        <w:tc>
          <w:tcPr>
            <w:tcW w:w="5529" w:type="dxa"/>
            <w:tcBorders>
              <w:top w:val="nil"/>
              <w:bottom w:val="nil"/>
            </w:tcBorders>
          </w:tcPr>
          <w:p w:rsidR="005505AF" w:rsidRPr="009D57CA" w:rsidRDefault="005505AF" w:rsidP="00FA3FAE">
            <w:pPr>
              <w:pStyle w:val="PargrafodaLista"/>
              <w:numPr>
                <w:ilvl w:val="0"/>
                <w:numId w:val="62"/>
              </w:numPr>
              <w:spacing w:after="0" w:line="240" w:lineRule="auto"/>
              <w:ind w:left="0" w:firstLine="0"/>
              <w:contextualSpacing w:val="0"/>
              <w:rPr>
                <w:rFonts w:ascii="Times New Roman" w:hAnsi="Times New Roman"/>
                <w:color w:val="7030A0"/>
                <w:sz w:val="24"/>
                <w:szCs w:val="24"/>
                <w:lang w:val="fr-FR"/>
              </w:rPr>
            </w:pPr>
            <w:r w:rsidRPr="009D57CA">
              <w:rPr>
                <w:rFonts w:ascii="Times New Roman" w:hAnsi="Times New Roman"/>
                <w:color w:val="7030A0"/>
                <w:sz w:val="24"/>
                <w:szCs w:val="24"/>
                <w:lang w:val="fr-FR"/>
              </w:rPr>
              <w:t>Réservoir Antula-Pime (nouveau) 700 m</w:t>
            </w:r>
            <w:r w:rsidRPr="009D57CA">
              <w:rPr>
                <w:rFonts w:ascii="Times New Roman" w:hAnsi="Times New Roman"/>
                <w:color w:val="7030A0"/>
                <w:sz w:val="24"/>
                <w:szCs w:val="24"/>
                <w:vertAlign w:val="superscript"/>
                <w:lang w:val="fr-FR"/>
              </w:rPr>
              <w:t>3</w:t>
            </w:r>
          </w:p>
          <w:p w:rsidR="005505AF" w:rsidRPr="009D57CA" w:rsidRDefault="005505AF" w:rsidP="00FA3FAE">
            <w:pPr>
              <w:pStyle w:val="PargrafodaLista"/>
              <w:numPr>
                <w:ilvl w:val="0"/>
                <w:numId w:val="62"/>
              </w:numPr>
              <w:spacing w:after="0" w:line="240" w:lineRule="auto"/>
              <w:ind w:left="0" w:firstLine="0"/>
              <w:contextualSpacing w:val="0"/>
              <w:rPr>
                <w:rFonts w:ascii="Times New Roman" w:hAnsi="Times New Roman"/>
                <w:color w:val="7030A0"/>
                <w:sz w:val="24"/>
                <w:szCs w:val="24"/>
                <w:lang w:val="fr-FR"/>
              </w:rPr>
            </w:pPr>
            <w:r w:rsidRPr="009D57CA">
              <w:rPr>
                <w:rFonts w:ascii="Times New Roman" w:hAnsi="Times New Roman"/>
                <w:color w:val="7030A0"/>
                <w:sz w:val="24"/>
                <w:szCs w:val="24"/>
                <w:lang w:val="fr-FR"/>
              </w:rPr>
              <w:t xml:space="preserve">Réservoir Antula-Bono (nouveau / </w:t>
            </w:r>
            <w:r w:rsidRPr="009D57CA">
              <w:rPr>
                <w:rFonts w:ascii="Times New Roman" w:hAnsi="Times New Roman"/>
                <w:color w:val="0070C0"/>
                <w:sz w:val="24"/>
                <w:szCs w:val="24"/>
                <w:lang w:val="fr-FR"/>
              </w:rPr>
              <w:t>à rénover</w:t>
            </w:r>
            <w:r w:rsidRPr="009D57CA">
              <w:rPr>
                <w:rFonts w:ascii="Times New Roman" w:hAnsi="Times New Roman"/>
                <w:color w:val="7030A0"/>
                <w:sz w:val="24"/>
                <w:szCs w:val="24"/>
                <w:lang w:val="fr-FR"/>
              </w:rPr>
              <w:t>) 700m</w:t>
            </w:r>
            <w:r w:rsidRPr="009D57CA">
              <w:rPr>
                <w:rFonts w:ascii="Times New Roman" w:hAnsi="Times New Roman"/>
                <w:color w:val="7030A0"/>
                <w:sz w:val="24"/>
                <w:szCs w:val="24"/>
                <w:vertAlign w:val="superscript"/>
                <w:lang w:val="fr-FR"/>
              </w:rPr>
              <w:t>3</w:t>
            </w:r>
          </w:p>
          <w:p w:rsidR="005505AF" w:rsidRPr="009D57CA" w:rsidRDefault="005505AF" w:rsidP="00FA3FAE">
            <w:pPr>
              <w:pStyle w:val="PargrafodaLista"/>
              <w:numPr>
                <w:ilvl w:val="0"/>
                <w:numId w:val="62"/>
              </w:numPr>
              <w:spacing w:after="0" w:line="240" w:lineRule="auto"/>
              <w:ind w:left="0" w:firstLine="0"/>
              <w:contextualSpacing w:val="0"/>
              <w:rPr>
                <w:rFonts w:ascii="Times New Roman" w:hAnsi="Times New Roman"/>
                <w:color w:val="70AD47"/>
                <w:sz w:val="24"/>
                <w:szCs w:val="24"/>
                <w:lang w:val="fr-FR"/>
              </w:rPr>
            </w:pPr>
            <w:r w:rsidRPr="009D57CA">
              <w:rPr>
                <w:rFonts w:ascii="Times New Roman" w:hAnsi="Times New Roman"/>
                <w:color w:val="70AD47"/>
                <w:sz w:val="24"/>
                <w:szCs w:val="24"/>
                <w:lang w:val="fr-FR"/>
              </w:rPr>
              <w:t>Réservoir Quartier Général (existant) 80m</w:t>
            </w:r>
            <w:r w:rsidRPr="009D57CA">
              <w:rPr>
                <w:rFonts w:ascii="Times New Roman" w:hAnsi="Times New Roman"/>
                <w:color w:val="70AD47"/>
                <w:sz w:val="24"/>
                <w:szCs w:val="24"/>
                <w:vertAlign w:val="superscript"/>
                <w:lang w:val="fr-FR"/>
              </w:rPr>
              <w:t>3</w:t>
            </w:r>
          </w:p>
          <w:p w:rsidR="005505AF" w:rsidRPr="009D57CA" w:rsidRDefault="005505AF" w:rsidP="00FA3FAE">
            <w:pPr>
              <w:pStyle w:val="PargrafodaLista"/>
              <w:numPr>
                <w:ilvl w:val="0"/>
                <w:numId w:val="62"/>
              </w:numPr>
              <w:spacing w:after="0" w:line="240" w:lineRule="auto"/>
              <w:ind w:left="0" w:firstLine="0"/>
              <w:contextualSpacing w:val="0"/>
              <w:rPr>
                <w:rFonts w:ascii="Times New Roman" w:hAnsi="Times New Roman"/>
                <w:color w:val="70AD47"/>
                <w:sz w:val="24"/>
                <w:szCs w:val="24"/>
                <w:lang w:val="fr-FR"/>
              </w:rPr>
            </w:pPr>
            <w:r w:rsidRPr="009D57CA">
              <w:rPr>
                <w:rFonts w:ascii="Times New Roman" w:hAnsi="Times New Roman"/>
                <w:color w:val="70AD47"/>
                <w:sz w:val="24"/>
                <w:szCs w:val="24"/>
                <w:lang w:val="fr-FR"/>
              </w:rPr>
              <w:t>Réservoir H Simão Mendes (existant) 300m</w:t>
            </w:r>
            <w:r w:rsidRPr="009D57CA">
              <w:rPr>
                <w:rFonts w:ascii="Times New Roman" w:hAnsi="Times New Roman"/>
                <w:color w:val="70AD47"/>
                <w:sz w:val="24"/>
                <w:szCs w:val="24"/>
                <w:vertAlign w:val="superscript"/>
                <w:lang w:val="fr-FR"/>
              </w:rPr>
              <w:t>3</w:t>
            </w:r>
          </w:p>
          <w:p w:rsidR="005505AF" w:rsidRPr="009D57CA" w:rsidRDefault="005505AF" w:rsidP="00FA3FAE">
            <w:pPr>
              <w:pStyle w:val="PargrafodaLista"/>
              <w:numPr>
                <w:ilvl w:val="0"/>
                <w:numId w:val="62"/>
              </w:numPr>
              <w:spacing w:after="0" w:line="240" w:lineRule="auto"/>
              <w:ind w:left="0" w:firstLine="0"/>
              <w:contextualSpacing w:val="0"/>
              <w:rPr>
                <w:rFonts w:ascii="Times New Roman" w:hAnsi="Times New Roman"/>
                <w:color w:val="70AD47"/>
                <w:sz w:val="24"/>
                <w:szCs w:val="24"/>
                <w:lang w:val="fr-FR"/>
              </w:rPr>
            </w:pPr>
            <w:r w:rsidRPr="009D57CA">
              <w:rPr>
                <w:rFonts w:ascii="Times New Roman" w:hAnsi="Times New Roman"/>
                <w:color w:val="70AD47"/>
                <w:sz w:val="24"/>
                <w:szCs w:val="24"/>
                <w:lang w:val="fr-FR"/>
              </w:rPr>
              <w:t>Réservoir Alto Crim (existant) 250m</w:t>
            </w:r>
            <w:r w:rsidRPr="009D57CA">
              <w:rPr>
                <w:rFonts w:ascii="Times New Roman" w:hAnsi="Times New Roman"/>
                <w:color w:val="70AD47"/>
                <w:sz w:val="24"/>
                <w:szCs w:val="24"/>
                <w:vertAlign w:val="superscript"/>
                <w:lang w:val="fr-FR"/>
              </w:rPr>
              <w:t>3</w:t>
            </w:r>
          </w:p>
          <w:p w:rsidR="005505AF" w:rsidRPr="009D57CA" w:rsidRDefault="005505AF" w:rsidP="00FA3FAE">
            <w:pPr>
              <w:pStyle w:val="PargrafodaLista"/>
              <w:numPr>
                <w:ilvl w:val="0"/>
                <w:numId w:val="62"/>
              </w:numPr>
              <w:spacing w:after="0" w:line="240" w:lineRule="auto"/>
              <w:ind w:left="0" w:firstLine="0"/>
              <w:contextualSpacing w:val="0"/>
              <w:rPr>
                <w:rFonts w:ascii="Times New Roman" w:hAnsi="Times New Roman"/>
                <w:color w:val="70AD47"/>
                <w:sz w:val="24"/>
                <w:szCs w:val="24"/>
                <w:lang w:val="pt-PT"/>
              </w:rPr>
            </w:pPr>
            <w:r w:rsidRPr="009D57CA">
              <w:rPr>
                <w:rFonts w:ascii="Times New Roman" w:hAnsi="Times New Roman"/>
                <w:color w:val="70AD47"/>
                <w:sz w:val="24"/>
                <w:szCs w:val="24"/>
                <w:lang w:val="pt-PT"/>
              </w:rPr>
              <w:t>Réservoir Hotel 24 de Setembro (existant) 40 m3</w:t>
            </w:r>
          </w:p>
          <w:p w:rsidR="005505AF" w:rsidRPr="009D57CA" w:rsidRDefault="005505AF" w:rsidP="00FA3FAE">
            <w:pPr>
              <w:pStyle w:val="PargrafodaLista"/>
              <w:numPr>
                <w:ilvl w:val="0"/>
                <w:numId w:val="62"/>
              </w:numPr>
              <w:spacing w:after="0" w:line="240" w:lineRule="auto"/>
              <w:ind w:left="0" w:firstLine="0"/>
              <w:contextualSpacing w:val="0"/>
              <w:rPr>
                <w:rFonts w:ascii="Times New Roman" w:hAnsi="Times New Roman"/>
                <w:color w:val="0070C0"/>
                <w:sz w:val="24"/>
                <w:szCs w:val="24"/>
                <w:lang w:val="pt-PT"/>
              </w:rPr>
            </w:pPr>
            <w:r w:rsidRPr="009D57CA">
              <w:rPr>
                <w:rFonts w:ascii="Times New Roman" w:hAnsi="Times New Roman"/>
                <w:color w:val="70AD47"/>
                <w:sz w:val="24"/>
                <w:szCs w:val="24"/>
                <w:lang w:val="pt-PT"/>
              </w:rPr>
              <w:t>Réservoir Bairo dos Ministros (existant) 20 m3</w:t>
            </w:r>
          </w:p>
        </w:tc>
      </w:tr>
      <w:tr w:rsidR="005505AF" w:rsidRPr="009D57CA" w:rsidTr="00053C62">
        <w:tc>
          <w:tcPr>
            <w:tcW w:w="5245" w:type="dxa"/>
            <w:tcBorders>
              <w:top w:val="nil"/>
              <w:bottom w:val="single" w:sz="4" w:space="0" w:color="auto"/>
            </w:tcBorders>
          </w:tcPr>
          <w:p w:rsidR="005505AF" w:rsidRPr="009D57CA" w:rsidRDefault="005505AF" w:rsidP="001D1EBD">
            <w:pPr>
              <w:rPr>
                <w:rFonts w:ascii="Times New Roman" w:hAnsi="Times New Roman" w:cs="Times New Roman"/>
                <w:i/>
                <w:iCs/>
                <w:sz w:val="24"/>
                <w:szCs w:val="24"/>
              </w:rPr>
            </w:pPr>
            <w:r w:rsidRPr="009D57CA">
              <w:rPr>
                <w:rFonts w:ascii="Times New Roman" w:hAnsi="Times New Roman" w:cs="Times New Roman"/>
                <w:i/>
                <w:iCs/>
                <w:sz w:val="24"/>
                <w:szCs w:val="24"/>
              </w:rPr>
              <w:t>Total (situation projetée): 2 900 m</w:t>
            </w:r>
            <w:r w:rsidRPr="009D57CA">
              <w:rPr>
                <w:rFonts w:ascii="Times New Roman" w:hAnsi="Times New Roman" w:cs="Times New Roman"/>
                <w:i/>
                <w:iCs/>
                <w:sz w:val="24"/>
                <w:szCs w:val="24"/>
                <w:vertAlign w:val="superscript"/>
              </w:rPr>
              <w:t>3</w:t>
            </w:r>
          </w:p>
        </w:tc>
        <w:tc>
          <w:tcPr>
            <w:tcW w:w="5529" w:type="dxa"/>
            <w:tcBorders>
              <w:top w:val="nil"/>
              <w:bottom w:val="single" w:sz="4" w:space="0" w:color="auto"/>
            </w:tcBorders>
          </w:tcPr>
          <w:p w:rsidR="005505AF" w:rsidRPr="009D57CA" w:rsidRDefault="005505AF" w:rsidP="001D1EBD">
            <w:pPr>
              <w:rPr>
                <w:rFonts w:ascii="Times New Roman" w:hAnsi="Times New Roman" w:cs="Times New Roman"/>
                <w:i/>
                <w:iCs/>
                <w:color w:val="7030A0"/>
                <w:sz w:val="24"/>
                <w:szCs w:val="24"/>
              </w:rPr>
            </w:pPr>
            <w:r w:rsidRPr="009D57CA">
              <w:rPr>
                <w:rFonts w:ascii="Times New Roman" w:hAnsi="Times New Roman" w:cs="Times New Roman"/>
                <w:i/>
                <w:iCs/>
                <w:sz w:val="24"/>
                <w:szCs w:val="24"/>
              </w:rPr>
              <w:t>Total (situation projetée): 2 090 m3</w:t>
            </w:r>
          </w:p>
        </w:tc>
      </w:tr>
    </w:tbl>
    <w:p w:rsidR="005505AF" w:rsidRPr="002363CB" w:rsidRDefault="005505AF" w:rsidP="005505AF">
      <w:pPr>
        <w:jc w:val="both"/>
      </w:pPr>
    </w:p>
    <w:p w:rsidR="005505AF" w:rsidRDefault="005505AF" w:rsidP="003D080D">
      <w:pPr>
        <w:autoSpaceDE w:val="0"/>
        <w:autoSpaceDN w:val="0"/>
        <w:adjustRightInd w:val="0"/>
        <w:spacing w:after="0" w:line="240" w:lineRule="auto"/>
        <w:ind w:left="-284"/>
        <w:jc w:val="both"/>
        <w:rPr>
          <w:rFonts w:ascii="Times New Roman" w:hAnsi="Times New Roman" w:cs="Times New Roman"/>
          <w:sz w:val="24"/>
          <w:szCs w:val="24"/>
        </w:rPr>
      </w:pPr>
      <w:r w:rsidRPr="00053C62">
        <w:rPr>
          <w:rFonts w:ascii="Times New Roman" w:hAnsi="Times New Roman" w:cs="Times New Roman"/>
          <w:sz w:val="24"/>
          <w:szCs w:val="24"/>
        </w:rPr>
        <w:t>La ville dispose actuellement d’une capacité de stockage d’eau de 2670m</w:t>
      </w:r>
      <w:r w:rsidRPr="003D080D">
        <w:rPr>
          <w:rFonts w:ascii="Times New Roman" w:hAnsi="Times New Roman" w:cs="Times New Roman"/>
          <w:sz w:val="24"/>
          <w:szCs w:val="24"/>
        </w:rPr>
        <w:t>3</w:t>
      </w:r>
      <w:r w:rsidRPr="00053C62">
        <w:rPr>
          <w:rFonts w:ascii="Times New Roman" w:hAnsi="Times New Roman" w:cs="Times New Roman"/>
          <w:sz w:val="24"/>
          <w:szCs w:val="24"/>
        </w:rPr>
        <w:t>, répartie entre une dizaine de châteaux d’eau de capacités comprises entre 80 et 750 m</w:t>
      </w:r>
      <w:r w:rsidRPr="003D080D">
        <w:rPr>
          <w:rFonts w:ascii="Times New Roman" w:hAnsi="Times New Roman" w:cs="Times New Roman"/>
          <w:sz w:val="24"/>
          <w:szCs w:val="24"/>
        </w:rPr>
        <w:t>3.</w:t>
      </w:r>
    </w:p>
    <w:p w:rsidR="003D080D" w:rsidRPr="00053C62" w:rsidRDefault="003D080D" w:rsidP="003D080D">
      <w:pPr>
        <w:autoSpaceDE w:val="0"/>
        <w:autoSpaceDN w:val="0"/>
        <w:adjustRightInd w:val="0"/>
        <w:spacing w:after="0" w:line="240" w:lineRule="auto"/>
        <w:ind w:left="-284"/>
        <w:jc w:val="both"/>
        <w:rPr>
          <w:rFonts w:ascii="Times New Roman" w:hAnsi="Times New Roman" w:cs="Times New Roman"/>
          <w:sz w:val="24"/>
          <w:szCs w:val="24"/>
        </w:rPr>
      </w:pPr>
    </w:p>
    <w:p w:rsidR="005505AF" w:rsidRDefault="005505AF" w:rsidP="003D080D">
      <w:pPr>
        <w:autoSpaceDE w:val="0"/>
        <w:autoSpaceDN w:val="0"/>
        <w:adjustRightInd w:val="0"/>
        <w:spacing w:after="0" w:line="240" w:lineRule="auto"/>
        <w:ind w:left="-284"/>
        <w:jc w:val="both"/>
        <w:rPr>
          <w:rFonts w:ascii="Times New Roman" w:hAnsi="Times New Roman" w:cs="Times New Roman"/>
          <w:sz w:val="24"/>
          <w:szCs w:val="24"/>
        </w:rPr>
      </w:pPr>
      <w:r w:rsidRPr="00053C62">
        <w:rPr>
          <w:rFonts w:ascii="Times New Roman" w:hAnsi="Times New Roman" w:cs="Times New Roman"/>
          <w:sz w:val="24"/>
          <w:szCs w:val="24"/>
        </w:rPr>
        <w:t>En ce qui concerne la capacité de réservation du réseau, les interventions déjà réalisées dans le cadre du PUASEE sont les suivantes :</w:t>
      </w:r>
    </w:p>
    <w:p w:rsidR="003D080D" w:rsidRDefault="003D080D" w:rsidP="003D080D">
      <w:pPr>
        <w:autoSpaceDE w:val="0"/>
        <w:autoSpaceDN w:val="0"/>
        <w:adjustRightInd w:val="0"/>
        <w:spacing w:after="0" w:line="240" w:lineRule="auto"/>
        <w:ind w:left="-284"/>
        <w:jc w:val="both"/>
        <w:rPr>
          <w:rFonts w:ascii="Times New Roman" w:hAnsi="Times New Roman" w:cs="Times New Roman"/>
          <w:sz w:val="24"/>
          <w:szCs w:val="24"/>
        </w:rPr>
      </w:pPr>
    </w:p>
    <w:p w:rsidR="005505AF" w:rsidRPr="00053C62" w:rsidRDefault="005505AF" w:rsidP="00FA3FAE">
      <w:pPr>
        <w:pStyle w:val="PargrafodaLista"/>
        <w:numPr>
          <w:ilvl w:val="0"/>
          <w:numId w:val="63"/>
        </w:numPr>
        <w:spacing w:after="0" w:line="240" w:lineRule="auto"/>
        <w:jc w:val="both"/>
        <w:rPr>
          <w:rFonts w:ascii="Times New Roman" w:hAnsi="Times New Roman"/>
          <w:sz w:val="24"/>
          <w:szCs w:val="24"/>
          <w:lang w:val="fr-FR"/>
        </w:rPr>
      </w:pPr>
      <w:r w:rsidRPr="00053C62">
        <w:rPr>
          <w:rFonts w:ascii="Times New Roman" w:hAnsi="Times New Roman"/>
          <w:sz w:val="24"/>
          <w:szCs w:val="24"/>
          <w:lang w:val="fr-FR"/>
        </w:rPr>
        <w:lastRenderedPageBreak/>
        <w:t>Construction d’un réservoir de 750 m</w:t>
      </w:r>
      <w:r w:rsidRPr="00053C62">
        <w:rPr>
          <w:rFonts w:ascii="Times New Roman" w:hAnsi="Times New Roman"/>
          <w:sz w:val="24"/>
          <w:szCs w:val="24"/>
          <w:vertAlign w:val="superscript"/>
          <w:lang w:val="fr-FR"/>
        </w:rPr>
        <w:t>3</w:t>
      </w:r>
      <w:r w:rsidRPr="00053C62">
        <w:rPr>
          <w:rFonts w:ascii="Times New Roman" w:hAnsi="Times New Roman"/>
          <w:sz w:val="24"/>
          <w:szCs w:val="24"/>
          <w:lang w:val="fr-FR"/>
        </w:rPr>
        <w:t xml:space="preserve"> (Guinée Telecom)</w:t>
      </w:r>
    </w:p>
    <w:p w:rsidR="005505AF" w:rsidRPr="00053C62" w:rsidRDefault="005505AF" w:rsidP="00FA3FAE">
      <w:pPr>
        <w:pStyle w:val="PargrafodaLista"/>
        <w:numPr>
          <w:ilvl w:val="0"/>
          <w:numId w:val="63"/>
        </w:numPr>
        <w:spacing w:after="0" w:line="240" w:lineRule="auto"/>
        <w:jc w:val="both"/>
        <w:rPr>
          <w:rFonts w:ascii="Times New Roman" w:hAnsi="Times New Roman"/>
          <w:sz w:val="24"/>
          <w:szCs w:val="24"/>
          <w:lang w:val="fr-FR"/>
        </w:rPr>
      </w:pPr>
      <w:r w:rsidRPr="00053C62">
        <w:rPr>
          <w:rFonts w:ascii="Times New Roman" w:hAnsi="Times New Roman"/>
          <w:sz w:val="24"/>
          <w:szCs w:val="24"/>
          <w:lang w:val="fr-FR"/>
        </w:rPr>
        <w:t>Réhabilitation du réservoir en béton « Quartel Général » : 80 m</w:t>
      </w:r>
      <w:r w:rsidRPr="00053C62">
        <w:rPr>
          <w:rFonts w:ascii="Times New Roman" w:hAnsi="Times New Roman"/>
          <w:sz w:val="24"/>
          <w:szCs w:val="24"/>
          <w:vertAlign w:val="superscript"/>
          <w:lang w:val="fr-FR"/>
        </w:rPr>
        <w:t>3</w:t>
      </w:r>
    </w:p>
    <w:p w:rsidR="005505AF" w:rsidRDefault="005505AF" w:rsidP="00FA3FAE">
      <w:pPr>
        <w:pStyle w:val="PargrafodaLista"/>
        <w:numPr>
          <w:ilvl w:val="0"/>
          <w:numId w:val="63"/>
        </w:numPr>
        <w:spacing w:after="0" w:line="240" w:lineRule="auto"/>
        <w:jc w:val="both"/>
        <w:rPr>
          <w:rFonts w:ascii="Times New Roman" w:hAnsi="Times New Roman"/>
          <w:sz w:val="24"/>
          <w:szCs w:val="24"/>
          <w:lang w:val="fr-FR"/>
        </w:rPr>
      </w:pPr>
      <w:r w:rsidRPr="00053C62">
        <w:rPr>
          <w:rFonts w:ascii="Times New Roman" w:hAnsi="Times New Roman"/>
          <w:sz w:val="24"/>
          <w:szCs w:val="24"/>
          <w:lang w:val="fr-FR"/>
        </w:rPr>
        <w:t>Réhabilitation du réservoir en acier « Bra » : 300 m</w:t>
      </w:r>
      <w:r w:rsidRPr="00053C62">
        <w:rPr>
          <w:rFonts w:ascii="Times New Roman" w:hAnsi="Times New Roman"/>
          <w:sz w:val="24"/>
          <w:szCs w:val="24"/>
          <w:vertAlign w:val="superscript"/>
          <w:lang w:val="fr-FR"/>
        </w:rPr>
        <w:t>3</w:t>
      </w:r>
      <w:r w:rsidRPr="00053C62">
        <w:rPr>
          <w:rFonts w:ascii="Times New Roman" w:hAnsi="Times New Roman"/>
          <w:sz w:val="24"/>
          <w:szCs w:val="24"/>
          <w:lang w:val="fr-FR"/>
        </w:rPr>
        <w:t>.</w:t>
      </w:r>
    </w:p>
    <w:p w:rsidR="003D080D" w:rsidRPr="00053C62" w:rsidRDefault="003D080D" w:rsidP="003D080D">
      <w:pPr>
        <w:pStyle w:val="PargrafodaLista"/>
        <w:spacing w:after="0" w:line="240" w:lineRule="auto"/>
        <w:jc w:val="both"/>
        <w:rPr>
          <w:rFonts w:ascii="Times New Roman" w:hAnsi="Times New Roman"/>
          <w:sz w:val="24"/>
          <w:szCs w:val="24"/>
          <w:lang w:val="fr-FR"/>
        </w:rPr>
      </w:pPr>
    </w:p>
    <w:p w:rsidR="005505AF" w:rsidRPr="00053C62" w:rsidRDefault="005505AF" w:rsidP="003D080D">
      <w:pPr>
        <w:autoSpaceDE w:val="0"/>
        <w:autoSpaceDN w:val="0"/>
        <w:adjustRightInd w:val="0"/>
        <w:spacing w:after="0" w:line="240" w:lineRule="auto"/>
        <w:ind w:left="-284"/>
        <w:jc w:val="both"/>
        <w:rPr>
          <w:rFonts w:ascii="Times New Roman" w:hAnsi="Times New Roman" w:cs="Times New Roman"/>
          <w:sz w:val="24"/>
          <w:szCs w:val="24"/>
        </w:rPr>
      </w:pPr>
      <w:r w:rsidRPr="00053C62">
        <w:rPr>
          <w:rFonts w:ascii="Times New Roman" w:hAnsi="Times New Roman" w:cs="Times New Roman"/>
          <w:sz w:val="24"/>
          <w:szCs w:val="24"/>
        </w:rPr>
        <w:t>En plus de ces 3 châteaux d’eau, un réservoir de 700 m3 – Hôpital 3 de Agosto - a été réalisé dans le cadre d’un autre projet.</w:t>
      </w:r>
    </w:p>
    <w:p w:rsidR="005505AF" w:rsidRPr="00EE0400" w:rsidRDefault="00EE0400" w:rsidP="005505AF">
      <w:pPr>
        <w:jc w:val="center"/>
        <w:rPr>
          <w:rFonts w:ascii="Times New Roman" w:hAnsi="Times New Roman" w:cs="Times New Roman"/>
          <w:b/>
          <w:sz w:val="20"/>
          <w:szCs w:val="20"/>
        </w:rPr>
      </w:pPr>
      <w:bookmarkStart w:id="55" w:name="_Toc51073995"/>
      <w:r w:rsidRPr="00EE0400">
        <w:rPr>
          <w:rFonts w:ascii="Times New Roman" w:hAnsi="Times New Roman" w:cs="Times New Roman"/>
          <w:b/>
          <w:sz w:val="20"/>
          <w:szCs w:val="20"/>
        </w:rPr>
        <w:t xml:space="preserve">Tableau </w:t>
      </w:r>
      <w:r w:rsidRPr="00EE0400">
        <w:rPr>
          <w:rFonts w:ascii="Times New Roman" w:hAnsi="Times New Roman" w:cs="Times New Roman"/>
          <w:b/>
          <w:sz w:val="20"/>
          <w:szCs w:val="20"/>
        </w:rPr>
        <w:fldChar w:fldCharType="begin"/>
      </w:r>
      <w:r w:rsidRPr="00EE0400">
        <w:rPr>
          <w:rFonts w:ascii="Times New Roman" w:hAnsi="Times New Roman" w:cs="Times New Roman"/>
          <w:b/>
          <w:sz w:val="20"/>
          <w:szCs w:val="20"/>
        </w:rPr>
        <w:instrText xml:space="preserve"> SEQ Tableau \* ARABIC </w:instrText>
      </w:r>
      <w:r w:rsidRPr="00EE0400">
        <w:rPr>
          <w:rFonts w:ascii="Times New Roman" w:hAnsi="Times New Roman" w:cs="Times New Roman"/>
          <w:b/>
          <w:sz w:val="20"/>
          <w:szCs w:val="20"/>
        </w:rPr>
        <w:fldChar w:fldCharType="separate"/>
      </w:r>
      <w:r w:rsidR="00EB726E">
        <w:rPr>
          <w:rFonts w:ascii="Times New Roman" w:hAnsi="Times New Roman" w:cs="Times New Roman"/>
          <w:b/>
          <w:noProof/>
          <w:sz w:val="20"/>
          <w:szCs w:val="20"/>
        </w:rPr>
        <w:t>4</w:t>
      </w:r>
      <w:r w:rsidRPr="00EE0400">
        <w:rPr>
          <w:rFonts w:ascii="Times New Roman" w:hAnsi="Times New Roman" w:cs="Times New Roman"/>
          <w:b/>
          <w:sz w:val="20"/>
          <w:szCs w:val="20"/>
        </w:rPr>
        <w:fldChar w:fldCharType="end"/>
      </w:r>
      <w:r w:rsidRPr="00EE0400">
        <w:rPr>
          <w:rFonts w:ascii="Times New Roman" w:hAnsi="Times New Roman" w:cs="Times New Roman"/>
          <w:b/>
          <w:sz w:val="20"/>
          <w:szCs w:val="20"/>
        </w:rPr>
        <w:t xml:space="preserve">: </w:t>
      </w:r>
      <w:r w:rsidR="005505AF" w:rsidRPr="00EE0400">
        <w:rPr>
          <w:rFonts w:ascii="Times New Roman" w:hAnsi="Times New Roman" w:cs="Times New Roman"/>
          <w:b/>
          <w:sz w:val="20"/>
          <w:szCs w:val="20"/>
        </w:rPr>
        <w:t>Châteaux d’Eau en exploitation</w:t>
      </w:r>
      <w:bookmarkEnd w:id="55"/>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3"/>
        <w:gridCol w:w="2624"/>
        <w:gridCol w:w="2014"/>
        <w:gridCol w:w="1853"/>
        <w:gridCol w:w="2224"/>
      </w:tblGrid>
      <w:tr w:rsidR="005505AF" w:rsidRPr="00053C62" w:rsidTr="003D080D">
        <w:trPr>
          <w:trHeight w:val="397"/>
          <w:jc w:val="center"/>
        </w:trPr>
        <w:tc>
          <w:tcPr>
            <w:tcW w:w="573" w:type="dxa"/>
            <w:shd w:val="clear" w:color="auto" w:fill="002060"/>
            <w:vAlign w:val="center"/>
            <w:hideMark/>
          </w:tcPr>
          <w:p w:rsidR="005505AF" w:rsidRPr="00053C62" w:rsidRDefault="005505AF" w:rsidP="001D1EBD">
            <w:pPr>
              <w:contextualSpacing/>
              <w:jc w:val="both"/>
              <w:rPr>
                <w:rFonts w:ascii="Times New Roman" w:hAnsi="Times New Roman" w:cs="Times New Roman"/>
                <w:b/>
                <w:bCs/>
              </w:rPr>
            </w:pPr>
            <w:r w:rsidRPr="00053C62">
              <w:rPr>
                <w:rFonts w:ascii="Times New Roman" w:hAnsi="Times New Roman" w:cs="Times New Roman"/>
                <w:b/>
                <w:bCs/>
              </w:rPr>
              <w:t>N°</w:t>
            </w:r>
          </w:p>
        </w:tc>
        <w:tc>
          <w:tcPr>
            <w:tcW w:w="2624" w:type="dxa"/>
            <w:shd w:val="clear" w:color="auto" w:fill="002060"/>
            <w:vAlign w:val="center"/>
            <w:hideMark/>
          </w:tcPr>
          <w:p w:rsidR="005505AF" w:rsidRPr="00053C62" w:rsidRDefault="005505AF" w:rsidP="001D1EBD">
            <w:pPr>
              <w:contextualSpacing/>
              <w:jc w:val="center"/>
              <w:rPr>
                <w:rFonts w:ascii="Times New Roman" w:hAnsi="Times New Roman" w:cs="Times New Roman"/>
                <w:b/>
                <w:bCs/>
              </w:rPr>
            </w:pPr>
            <w:r w:rsidRPr="00053C62">
              <w:rPr>
                <w:rFonts w:ascii="Times New Roman" w:hAnsi="Times New Roman" w:cs="Times New Roman"/>
                <w:b/>
                <w:bCs/>
              </w:rPr>
              <w:t>CHATEAU D'EAU</w:t>
            </w:r>
          </w:p>
        </w:tc>
        <w:tc>
          <w:tcPr>
            <w:tcW w:w="2014" w:type="dxa"/>
            <w:shd w:val="clear" w:color="auto" w:fill="002060"/>
            <w:vAlign w:val="center"/>
            <w:hideMark/>
          </w:tcPr>
          <w:p w:rsidR="005505AF" w:rsidRPr="00053C62" w:rsidRDefault="005505AF" w:rsidP="001D1EBD">
            <w:pPr>
              <w:contextualSpacing/>
              <w:jc w:val="center"/>
              <w:rPr>
                <w:rFonts w:ascii="Times New Roman" w:hAnsi="Times New Roman" w:cs="Times New Roman"/>
                <w:b/>
                <w:bCs/>
              </w:rPr>
            </w:pPr>
            <w:r w:rsidRPr="00053C62">
              <w:rPr>
                <w:rFonts w:ascii="Times New Roman" w:hAnsi="Times New Roman" w:cs="Times New Roman"/>
                <w:b/>
                <w:bCs/>
              </w:rPr>
              <w:t>CAPACITÉ (m</w:t>
            </w:r>
            <w:r w:rsidRPr="00053C62">
              <w:rPr>
                <w:rFonts w:ascii="Times New Roman" w:hAnsi="Times New Roman" w:cs="Times New Roman"/>
                <w:b/>
                <w:bCs/>
                <w:vertAlign w:val="superscript"/>
              </w:rPr>
              <w:t>3</w:t>
            </w:r>
            <w:r w:rsidRPr="00053C62">
              <w:rPr>
                <w:rFonts w:ascii="Times New Roman" w:hAnsi="Times New Roman" w:cs="Times New Roman"/>
                <w:b/>
                <w:bCs/>
              </w:rPr>
              <w:t>)</w:t>
            </w:r>
          </w:p>
        </w:tc>
        <w:tc>
          <w:tcPr>
            <w:tcW w:w="1853" w:type="dxa"/>
            <w:shd w:val="clear" w:color="auto" w:fill="002060"/>
            <w:vAlign w:val="center"/>
            <w:hideMark/>
          </w:tcPr>
          <w:p w:rsidR="005505AF" w:rsidRPr="00053C62" w:rsidRDefault="005505AF" w:rsidP="001D1EBD">
            <w:pPr>
              <w:contextualSpacing/>
              <w:jc w:val="center"/>
              <w:rPr>
                <w:rFonts w:ascii="Times New Roman" w:hAnsi="Times New Roman" w:cs="Times New Roman"/>
                <w:b/>
                <w:bCs/>
              </w:rPr>
            </w:pPr>
            <w:r w:rsidRPr="00053C62">
              <w:rPr>
                <w:rFonts w:ascii="Times New Roman" w:hAnsi="Times New Roman" w:cs="Times New Roman"/>
                <w:b/>
                <w:bCs/>
              </w:rPr>
              <w:t>HAUTEUR (m)</w:t>
            </w:r>
          </w:p>
        </w:tc>
        <w:tc>
          <w:tcPr>
            <w:tcW w:w="2224" w:type="dxa"/>
            <w:shd w:val="clear" w:color="auto" w:fill="002060"/>
            <w:vAlign w:val="center"/>
            <w:hideMark/>
          </w:tcPr>
          <w:p w:rsidR="005505AF" w:rsidRPr="00053C62" w:rsidRDefault="005505AF" w:rsidP="001D1EBD">
            <w:pPr>
              <w:contextualSpacing/>
              <w:jc w:val="center"/>
              <w:rPr>
                <w:rFonts w:ascii="Times New Roman" w:hAnsi="Times New Roman" w:cs="Times New Roman"/>
                <w:b/>
                <w:bCs/>
              </w:rPr>
            </w:pPr>
            <w:r w:rsidRPr="00053C62">
              <w:rPr>
                <w:rFonts w:ascii="Times New Roman" w:hAnsi="Times New Roman" w:cs="Times New Roman"/>
                <w:b/>
                <w:bCs/>
              </w:rPr>
              <w:t>MATERIAU</w:t>
            </w:r>
          </w:p>
        </w:tc>
      </w:tr>
      <w:tr w:rsidR="005505AF" w:rsidRPr="00053C62" w:rsidTr="001D1EBD">
        <w:trPr>
          <w:trHeight w:val="397"/>
          <w:jc w:val="center"/>
        </w:trPr>
        <w:tc>
          <w:tcPr>
            <w:tcW w:w="573" w:type="dxa"/>
            <w:vAlign w:val="center"/>
            <w:hideMark/>
          </w:tcPr>
          <w:p w:rsidR="005505AF" w:rsidRPr="00053C62" w:rsidRDefault="005505AF" w:rsidP="009C7E7C">
            <w:pPr>
              <w:spacing w:after="0"/>
              <w:contextualSpacing/>
              <w:jc w:val="center"/>
              <w:rPr>
                <w:rFonts w:ascii="Times New Roman" w:hAnsi="Times New Roman" w:cs="Times New Roman"/>
              </w:rPr>
            </w:pPr>
            <w:r w:rsidRPr="00053C62">
              <w:rPr>
                <w:rFonts w:ascii="Times New Roman" w:hAnsi="Times New Roman" w:cs="Times New Roman"/>
              </w:rPr>
              <w:t>1</w:t>
            </w:r>
          </w:p>
        </w:tc>
        <w:tc>
          <w:tcPr>
            <w:tcW w:w="2624" w:type="dxa"/>
            <w:vAlign w:val="center"/>
            <w:hideMark/>
          </w:tcPr>
          <w:p w:rsidR="005505AF" w:rsidRPr="00053C62" w:rsidRDefault="005505AF" w:rsidP="009C7E7C">
            <w:pPr>
              <w:spacing w:after="0"/>
              <w:contextualSpacing/>
              <w:jc w:val="center"/>
              <w:rPr>
                <w:rFonts w:ascii="Times New Roman" w:hAnsi="Times New Roman" w:cs="Times New Roman"/>
              </w:rPr>
            </w:pPr>
            <w:r w:rsidRPr="00053C62">
              <w:rPr>
                <w:rFonts w:ascii="Times New Roman" w:hAnsi="Times New Roman" w:cs="Times New Roman"/>
              </w:rPr>
              <w:t>H N Simão Mendes</w:t>
            </w:r>
          </w:p>
        </w:tc>
        <w:tc>
          <w:tcPr>
            <w:tcW w:w="2014" w:type="dxa"/>
            <w:vAlign w:val="center"/>
            <w:hideMark/>
          </w:tcPr>
          <w:p w:rsidR="005505AF" w:rsidRPr="00053C62" w:rsidRDefault="005505AF" w:rsidP="009C7E7C">
            <w:pPr>
              <w:spacing w:after="0"/>
              <w:contextualSpacing/>
              <w:jc w:val="center"/>
              <w:rPr>
                <w:rFonts w:ascii="Times New Roman" w:hAnsi="Times New Roman" w:cs="Times New Roman"/>
              </w:rPr>
            </w:pPr>
            <w:r w:rsidRPr="00053C62">
              <w:rPr>
                <w:rFonts w:ascii="Times New Roman" w:hAnsi="Times New Roman" w:cs="Times New Roman"/>
              </w:rPr>
              <w:t>300</w:t>
            </w:r>
          </w:p>
        </w:tc>
        <w:tc>
          <w:tcPr>
            <w:tcW w:w="1853" w:type="dxa"/>
            <w:vAlign w:val="center"/>
            <w:hideMark/>
          </w:tcPr>
          <w:p w:rsidR="005505AF" w:rsidRPr="00053C62" w:rsidRDefault="005505AF" w:rsidP="009C7E7C">
            <w:pPr>
              <w:spacing w:after="0"/>
              <w:contextualSpacing/>
              <w:jc w:val="center"/>
              <w:rPr>
                <w:rFonts w:ascii="Times New Roman" w:hAnsi="Times New Roman" w:cs="Times New Roman"/>
              </w:rPr>
            </w:pPr>
            <w:r w:rsidRPr="00053C62">
              <w:rPr>
                <w:rFonts w:ascii="Times New Roman" w:hAnsi="Times New Roman" w:cs="Times New Roman"/>
              </w:rPr>
              <w:t>30</w:t>
            </w:r>
          </w:p>
        </w:tc>
        <w:tc>
          <w:tcPr>
            <w:tcW w:w="2224" w:type="dxa"/>
            <w:vAlign w:val="center"/>
            <w:hideMark/>
          </w:tcPr>
          <w:p w:rsidR="005505AF" w:rsidRPr="00053C62" w:rsidRDefault="005505AF" w:rsidP="009C7E7C">
            <w:pPr>
              <w:spacing w:after="0"/>
              <w:contextualSpacing/>
              <w:jc w:val="center"/>
              <w:rPr>
                <w:rFonts w:ascii="Times New Roman" w:hAnsi="Times New Roman" w:cs="Times New Roman"/>
              </w:rPr>
            </w:pPr>
            <w:r w:rsidRPr="00053C62">
              <w:rPr>
                <w:rFonts w:ascii="Times New Roman" w:hAnsi="Times New Roman" w:cs="Times New Roman"/>
              </w:rPr>
              <w:t>Metal</w:t>
            </w:r>
          </w:p>
        </w:tc>
      </w:tr>
      <w:tr w:rsidR="005505AF" w:rsidRPr="00053C62" w:rsidTr="001D1EBD">
        <w:trPr>
          <w:trHeight w:val="397"/>
          <w:jc w:val="center"/>
        </w:trPr>
        <w:tc>
          <w:tcPr>
            <w:tcW w:w="573" w:type="dxa"/>
            <w:vAlign w:val="center"/>
            <w:hideMark/>
          </w:tcPr>
          <w:p w:rsidR="005505AF" w:rsidRPr="00053C62" w:rsidRDefault="005505AF" w:rsidP="009C7E7C">
            <w:pPr>
              <w:spacing w:after="0"/>
              <w:contextualSpacing/>
              <w:jc w:val="center"/>
              <w:rPr>
                <w:rFonts w:ascii="Times New Roman" w:hAnsi="Times New Roman" w:cs="Times New Roman"/>
              </w:rPr>
            </w:pPr>
            <w:r w:rsidRPr="00053C62">
              <w:rPr>
                <w:rFonts w:ascii="Times New Roman" w:hAnsi="Times New Roman" w:cs="Times New Roman"/>
              </w:rPr>
              <w:t>2</w:t>
            </w:r>
          </w:p>
        </w:tc>
        <w:tc>
          <w:tcPr>
            <w:tcW w:w="2624" w:type="dxa"/>
            <w:vAlign w:val="center"/>
            <w:hideMark/>
          </w:tcPr>
          <w:p w:rsidR="005505AF" w:rsidRPr="00053C62" w:rsidRDefault="005505AF" w:rsidP="009C7E7C">
            <w:pPr>
              <w:spacing w:after="0"/>
              <w:contextualSpacing/>
              <w:jc w:val="center"/>
              <w:rPr>
                <w:rFonts w:ascii="Times New Roman" w:hAnsi="Times New Roman" w:cs="Times New Roman"/>
              </w:rPr>
            </w:pPr>
            <w:r w:rsidRPr="00053C62">
              <w:rPr>
                <w:rFonts w:ascii="Times New Roman" w:hAnsi="Times New Roman" w:cs="Times New Roman"/>
              </w:rPr>
              <w:t>Hotel 24 Setembro</w:t>
            </w:r>
          </w:p>
        </w:tc>
        <w:tc>
          <w:tcPr>
            <w:tcW w:w="2014" w:type="dxa"/>
            <w:vAlign w:val="center"/>
            <w:hideMark/>
          </w:tcPr>
          <w:p w:rsidR="005505AF" w:rsidRPr="00053C62" w:rsidRDefault="005505AF" w:rsidP="009C7E7C">
            <w:pPr>
              <w:spacing w:after="0"/>
              <w:contextualSpacing/>
              <w:jc w:val="center"/>
              <w:rPr>
                <w:rFonts w:ascii="Times New Roman" w:hAnsi="Times New Roman" w:cs="Times New Roman"/>
              </w:rPr>
            </w:pPr>
            <w:r w:rsidRPr="00053C62">
              <w:rPr>
                <w:rFonts w:ascii="Times New Roman" w:hAnsi="Times New Roman" w:cs="Times New Roman"/>
              </w:rPr>
              <w:t>40</w:t>
            </w:r>
          </w:p>
        </w:tc>
        <w:tc>
          <w:tcPr>
            <w:tcW w:w="1853" w:type="dxa"/>
            <w:vAlign w:val="center"/>
            <w:hideMark/>
          </w:tcPr>
          <w:p w:rsidR="005505AF" w:rsidRPr="00053C62" w:rsidRDefault="005505AF" w:rsidP="009C7E7C">
            <w:pPr>
              <w:spacing w:after="0"/>
              <w:contextualSpacing/>
              <w:jc w:val="center"/>
              <w:rPr>
                <w:rFonts w:ascii="Times New Roman" w:hAnsi="Times New Roman" w:cs="Times New Roman"/>
              </w:rPr>
            </w:pPr>
            <w:r w:rsidRPr="00053C62">
              <w:rPr>
                <w:rFonts w:ascii="Times New Roman" w:hAnsi="Times New Roman" w:cs="Times New Roman"/>
              </w:rPr>
              <w:t>15</w:t>
            </w:r>
          </w:p>
        </w:tc>
        <w:tc>
          <w:tcPr>
            <w:tcW w:w="2224" w:type="dxa"/>
            <w:vAlign w:val="center"/>
            <w:hideMark/>
          </w:tcPr>
          <w:p w:rsidR="005505AF" w:rsidRPr="00053C62" w:rsidRDefault="005505AF" w:rsidP="009C7E7C">
            <w:pPr>
              <w:spacing w:after="0"/>
              <w:contextualSpacing/>
              <w:jc w:val="center"/>
              <w:rPr>
                <w:rFonts w:ascii="Times New Roman" w:hAnsi="Times New Roman" w:cs="Times New Roman"/>
              </w:rPr>
            </w:pPr>
            <w:r w:rsidRPr="00053C62">
              <w:rPr>
                <w:rFonts w:ascii="Times New Roman" w:hAnsi="Times New Roman" w:cs="Times New Roman"/>
              </w:rPr>
              <w:t>Metal</w:t>
            </w:r>
          </w:p>
        </w:tc>
      </w:tr>
      <w:tr w:rsidR="005505AF" w:rsidRPr="00053C62" w:rsidTr="001D1EBD">
        <w:trPr>
          <w:trHeight w:val="397"/>
          <w:jc w:val="center"/>
        </w:trPr>
        <w:tc>
          <w:tcPr>
            <w:tcW w:w="573" w:type="dxa"/>
            <w:vAlign w:val="center"/>
            <w:hideMark/>
          </w:tcPr>
          <w:p w:rsidR="005505AF" w:rsidRPr="00053C62" w:rsidRDefault="005505AF" w:rsidP="009C7E7C">
            <w:pPr>
              <w:spacing w:after="0"/>
              <w:contextualSpacing/>
              <w:jc w:val="center"/>
              <w:rPr>
                <w:rFonts w:ascii="Times New Roman" w:hAnsi="Times New Roman" w:cs="Times New Roman"/>
              </w:rPr>
            </w:pPr>
            <w:r w:rsidRPr="00053C62">
              <w:rPr>
                <w:rFonts w:ascii="Times New Roman" w:hAnsi="Times New Roman" w:cs="Times New Roman"/>
              </w:rPr>
              <w:t>3</w:t>
            </w:r>
          </w:p>
        </w:tc>
        <w:tc>
          <w:tcPr>
            <w:tcW w:w="2624" w:type="dxa"/>
            <w:vAlign w:val="center"/>
            <w:hideMark/>
          </w:tcPr>
          <w:p w:rsidR="005505AF" w:rsidRPr="00053C62" w:rsidRDefault="005505AF" w:rsidP="009C7E7C">
            <w:pPr>
              <w:spacing w:after="0"/>
              <w:contextualSpacing/>
              <w:jc w:val="center"/>
              <w:rPr>
                <w:rFonts w:ascii="Times New Roman" w:hAnsi="Times New Roman" w:cs="Times New Roman"/>
              </w:rPr>
            </w:pPr>
            <w:r w:rsidRPr="00053C62">
              <w:rPr>
                <w:rFonts w:ascii="Times New Roman" w:hAnsi="Times New Roman" w:cs="Times New Roman"/>
              </w:rPr>
              <w:t>Quartier General</w:t>
            </w:r>
          </w:p>
        </w:tc>
        <w:tc>
          <w:tcPr>
            <w:tcW w:w="2014" w:type="dxa"/>
            <w:vAlign w:val="center"/>
            <w:hideMark/>
          </w:tcPr>
          <w:p w:rsidR="005505AF" w:rsidRPr="00053C62" w:rsidRDefault="005505AF" w:rsidP="009C7E7C">
            <w:pPr>
              <w:spacing w:after="0"/>
              <w:contextualSpacing/>
              <w:jc w:val="center"/>
              <w:rPr>
                <w:rFonts w:ascii="Times New Roman" w:hAnsi="Times New Roman" w:cs="Times New Roman"/>
              </w:rPr>
            </w:pPr>
            <w:r w:rsidRPr="00053C62">
              <w:rPr>
                <w:rFonts w:ascii="Times New Roman" w:hAnsi="Times New Roman" w:cs="Times New Roman"/>
              </w:rPr>
              <w:t>80</w:t>
            </w:r>
          </w:p>
        </w:tc>
        <w:tc>
          <w:tcPr>
            <w:tcW w:w="1853" w:type="dxa"/>
            <w:vAlign w:val="center"/>
            <w:hideMark/>
          </w:tcPr>
          <w:p w:rsidR="005505AF" w:rsidRPr="00053C62" w:rsidRDefault="005505AF" w:rsidP="009C7E7C">
            <w:pPr>
              <w:spacing w:after="0"/>
              <w:contextualSpacing/>
              <w:jc w:val="center"/>
              <w:rPr>
                <w:rFonts w:ascii="Times New Roman" w:hAnsi="Times New Roman" w:cs="Times New Roman"/>
              </w:rPr>
            </w:pPr>
            <w:r w:rsidRPr="00053C62">
              <w:rPr>
                <w:rFonts w:ascii="Times New Roman" w:hAnsi="Times New Roman" w:cs="Times New Roman"/>
              </w:rPr>
              <w:t>15</w:t>
            </w:r>
          </w:p>
        </w:tc>
        <w:tc>
          <w:tcPr>
            <w:tcW w:w="2224" w:type="dxa"/>
            <w:vAlign w:val="center"/>
            <w:hideMark/>
          </w:tcPr>
          <w:p w:rsidR="005505AF" w:rsidRPr="00053C62" w:rsidRDefault="005505AF" w:rsidP="009C7E7C">
            <w:pPr>
              <w:spacing w:after="0"/>
              <w:contextualSpacing/>
              <w:jc w:val="center"/>
              <w:rPr>
                <w:rFonts w:ascii="Times New Roman" w:hAnsi="Times New Roman" w:cs="Times New Roman"/>
              </w:rPr>
            </w:pPr>
            <w:r w:rsidRPr="00053C62">
              <w:rPr>
                <w:rFonts w:ascii="Times New Roman" w:hAnsi="Times New Roman" w:cs="Times New Roman"/>
              </w:rPr>
              <w:t>Béton</w:t>
            </w:r>
          </w:p>
        </w:tc>
      </w:tr>
      <w:tr w:rsidR="005505AF" w:rsidRPr="00053C62" w:rsidTr="001D1EBD">
        <w:trPr>
          <w:trHeight w:val="397"/>
          <w:jc w:val="center"/>
        </w:trPr>
        <w:tc>
          <w:tcPr>
            <w:tcW w:w="573" w:type="dxa"/>
            <w:vAlign w:val="center"/>
            <w:hideMark/>
          </w:tcPr>
          <w:p w:rsidR="005505AF" w:rsidRPr="00053C62" w:rsidRDefault="005505AF" w:rsidP="009C7E7C">
            <w:pPr>
              <w:spacing w:after="0"/>
              <w:contextualSpacing/>
              <w:jc w:val="center"/>
              <w:rPr>
                <w:rFonts w:ascii="Times New Roman" w:hAnsi="Times New Roman" w:cs="Times New Roman"/>
              </w:rPr>
            </w:pPr>
            <w:r w:rsidRPr="00053C62">
              <w:rPr>
                <w:rFonts w:ascii="Times New Roman" w:hAnsi="Times New Roman" w:cs="Times New Roman"/>
              </w:rPr>
              <w:t>4</w:t>
            </w:r>
          </w:p>
        </w:tc>
        <w:tc>
          <w:tcPr>
            <w:tcW w:w="2624" w:type="dxa"/>
            <w:vAlign w:val="center"/>
            <w:hideMark/>
          </w:tcPr>
          <w:p w:rsidR="005505AF" w:rsidRPr="00053C62" w:rsidRDefault="005505AF" w:rsidP="009C7E7C">
            <w:pPr>
              <w:spacing w:after="0"/>
              <w:contextualSpacing/>
              <w:jc w:val="center"/>
              <w:rPr>
                <w:rFonts w:ascii="Times New Roman" w:hAnsi="Times New Roman" w:cs="Times New Roman"/>
              </w:rPr>
            </w:pPr>
            <w:r w:rsidRPr="00053C62">
              <w:rPr>
                <w:rFonts w:ascii="Times New Roman" w:hAnsi="Times New Roman" w:cs="Times New Roman"/>
              </w:rPr>
              <w:t>Alto Crim</w:t>
            </w:r>
          </w:p>
        </w:tc>
        <w:tc>
          <w:tcPr>
            <w:tcW w:w="2014" w:type="dxa"/>
            <w:vAlign w:val="center"/>
            <w:hideMark/>
          </w:tcPr>
          <w:p w:rsidR="005505AF" w:rsidRPr="00053C62" w:rsidRDefault="005505AF" w:rsidP="009C7E7C">
            <w:pPr>
              <w:spacing w:after="0"/>
              <w:contextualSpacing/>
              <w:jc w:val="center"/>
              <w:rPr>
                <w:rFonts w:ascii="Times New Roman" w:hAnsi="Times New Roman" w:cs="Times New Roman"/>
              </w:rPr>
            </w:pPr>
            <w:r w:rsidRPr="00053C62">
              <w:rPr>
                <w:rFonts w:ascii="Times New Roman" w:hAnsi="Times New Roman" w:cs="Times New Roman"/>
              </w:rPr>
              <w:t>250</w:t>
            </w:r>
          </w:p>
        </w:tc>
        <w:tc>
          <w:tcPr>
            <w:tcW w:w="1853" w:type="dxa"/>
            <w:vAlign w:val="center"/>
            <w:hideMark/>
          </w:tcPr>
          <w:p w:rsidR="005505AF" w:rsidRPr="00053C62" w:rsidRDefault="005505AF" w:rsidP="009C7E7C">
            <w:pPr>
              <w:spacing w:after="0"/>
              <w:contextualSpacing/>
              <w:jc w:val="center"/>
              <w:rPr>
                <w:rFonts w:ascii="Times New Roman" w:hAnsi="Times New Roman" w:cs="Times New Roman"/>
              </w:rPr>
            </w:pPr>
            <w:r w:rsidRPr="00053C62">
              <w:rPr>
                <w:rFonts w:ascii="Times New Roman" w:hAnsi="Times New Roman" w:cs="Times New Roman"/>
              </w:rPr>
              <w:t>16</w:t>
            </w:r>
          </w:p>
        </w:tc>
        <w:tc>
          <w:tcPr>
            <w:tcW w:w="2224" w:type="dxa"/>
            <w:vAlign w:val="center"/>
            <w:hideMark/>
          </w:tcPr>
          <w:p w:rsidR="005505AF" w:rsidRPr="00053C62" w:rsidRDefault="005505AF" w:rsidP="009C7E7C">
            <w:pPr>
              <w:spacing w:after="0"/>
              <w:contextualSpacing/>
              <w:jc w:val="center"/>
              <w:rPr>
                <w:rFonts w:ascii="Times New Roman" w:hAnsi="Times New Roman" w:cs="Times New Roman"/>
              </w:rPr>
            </w:pPr>
            <w:r w:rsidRPr="00053C62">
              <w:rPr>
                <w:rFonts w:ascii="Times New Roman" w:hAnsi="Times New Roman" w:cs="Times New Roman"/>
              </w:rPr>
              <w:t>Béton</w:t>
            </w:r>
          </w:p>
        </w:tc>
      </w:tr>
      <w:tr w:rsidR="005505AF" w:rsidRPr="00053C62" w:rsidTr="001D1EBD">
        <w:trPr>
          <w:trHeight w:val="397"/>
          <w:jc w:val="center"/>
        </w:trPr>
        <w:tc>
          <w:tcPr>
            <w:tcW w:w="573" w:type="dxa"/>
            <w:vAlign w:val="center"/>
            <w:hideMark/>
          </w:tcPr>
          <w:p w:rsidR="005505AF" w:rsidRPr="00053C62" w:rsidRDefault="005505AF" w:rsidP="009C7E7C">
            <w:pPr>
              <w:spacing w:after="0"/>
              <w:contextualSpacing/>
              <w:jc w:val="center"/>
              <w:rPr>
                <w:rFonts w:ascii="Times New Roman" w:hAnsi="Times New Roman" w:cs="Times New Roman"/>
              </w:rPr>
            </w:pPr>
            <w:r w:rsidRPr="00053C62">
              <w:rPr>
                <w:rFonts w:ascii="Times New Roman" w:hAnsi="Times New Roman" w:cs="Times New Roman"/>
              </w:rPr>
              <w:t>5</w:t>
            </w:r>
          </w:p>
        </w:tc>
        <w:tc>
          <w:tcPr>
            <w:tcW w:w="2624" w:type="dxa"/>
            <w:vAlign w:val="center"/>
            <w:hideMark/>
          </w:tcPr>
          <w:p w:rsidR="005505AF" w:rsidRPr="00053C62" w:rsidRDefault="005505AF" w:rsidP="009C7E7C">
            <w:pPr>
              <w:spacing w:after="0"/>
              <w:contextualSpacing/>
              <w:jc w:val="center"/>
              <w:rPr>
                <w:rFonts w:ascii="Times New Roman" w:hAnsi="Times New Roman" w:cs="Times New Roman"/>
              </w:rPr>
            </w:pPr>
            <w:r w:rsidRPr="00053C62">
              <w:rPr>
                <w:rFonts w:ascii="Times New Roman" w:hAnsi="Times New Roman" w:cs="Times New Roman"/>
              </w:rPr>
              <w:t>3 de Agosto 2(*)</w:t>
            </w:r>
          </w:p>
        </w:tc>
        <w:tc>
          <w:tcPr>
            <w:tcW w:w="2014" w:type="dxa"/>
            <w:vAlign w:val="center"/>
            <w:hideMark/>
          </w:tcPr>
          <w:p w:rsidR="005505AF" w:rsidRPr="00053C62" w:rsidRDefault="005505AF" w:rsidP="009C7E7C">
            <w:pPr>
              <w:spacing w:after="0"/>
              <w:contextualSpacing/>
              <w:jc w:val="center"/>
              <w:rPr>
                <w:rFonts w:ascii="Times New Roman" w:hAnsi="Times New Roman" w:cs="Times New Roman"/>
              </w:rPr>
            </w:pPr>
            <w:r w:rsidRPr="00053C62">
              <w:rPr>
                <w:rFonts w:ascii="Times New Roman" w:hAnsi="Times New Roman" w:cs="Times New Roman"/>
              </w:rPr>
              <w:t>100</w:t>
            </w:r>
          </w:p>
        </w:tc>
        <w:tc>
          <w:tcPr>
            <w:tcW w:w="1853" w:type="dxa"/>
            <w:vAlign w:val="center"/>
            <w:hideMark/>
          </w:tcPr>
          <w:p w:rsidR="005505AF" w:rsidRPr="00053C62" w:rsidRDefault="005505AF" w:rsidP="009C7E7C">
            <w:pPr>
              <w:spacing w:after="0"/>
              <w:contextualSpacing/>
              <w:jc w:val="center"/>
              <w:rPr>
                <w:rFonts w:ascii="Times New Roman" w:hAnsi="Times New Roman" w:cs="Times New Roman"/>
              </w:rPr>
            </w:pPr>
            <w:r w:rsidRPr="00053C62">
              <w:rPr>
                <w:rFonts w:ascii="Times New Roman" w:hAnsi="Times New Roman" w:cs="Times New Roman"/>
              </w:rPr>
              <w:t>20</w:t>
            </w:r>
          </w:p>
        </w:tc>
        <w:tc>
          <w:tcPr>
            <w:tcW w:w="2224" w:type="dxa"/>
            <w:vAlign w:val="center"/>
            <w:hideMark/>
          </w:tcPr>
          <w:p w:rsidR="005505AF" w:rsidRPr="00053C62" w:rsidRDefault="005505AF" w:rsidP="009C7E7C">
            <w:pPr>
              <w:spacing w:after="0"/>
              <w:contextualSpacing/>
              <w:jc w:val="center"/>
              <w:rPr>
                <w:rFonts w:ascii="Times New Roman" w:hAnsi="Times New Roman" w:cs="Times New Roman"/>
              </w:rPr>
            </w:pPr>
            <w:r w:rsidRPr="00053C62">
              <w:rPr>
                <w:rFonts w:ascii="Times New Roman" w:hAnsi="Times New Roman" w:cs="Times New Roman"/>
              </w:rPr>
              <w:t>Metal</w:t>
            </w:r>
          </w:p>
        </w:tc>
      </w:tr>
      <w:tr w:rsidR="005505AF" w:rsidRPr="00053C62" w:rsidTr="001D1EBD">
        <w:trPr>
          <w:trHeight w:val="397"/>
          <w:jc w:val="center"/>
        </w:trPr>
        <w:tc>
          <w:tcPr>
            <w:tcW w:w="573" w:type="dxa"/>
            <w:vAlign w:val="center"/>
            <w:hideMark/>
          </w:tcPr>
          <w:p w:rsidR="005505AF" w:rsidRPr="00053C62" w:rsidRDefault="005505AF" w:rsidP="009C7E7C">
            <w:pPr>
              <w:spacing w:after="0"/>
              <w:contextualSpacing/>
              <w:jc w:val="center"/>
              <w:rPr>
                <w:rFonts w:ascii="Times New Roman" w:hAnsi="Times New Roman" w:cs="Times New Roman"/>
              </w:rPr>
            </w:pPr>
            <w:r w:rsidRPr="00053C62">
              <w:rPr>
                <w:rFonts w:ascii="Times New Roman" w:hAnsi="Times New Roman" w:cs="Times New Roman"/>
              </w:rPr>
              <w:t>6</w:t>
            </w:r>
          </w:p>
        </w:tc>
        <w:tc>
          <w:tcPr>
            <w:tcW w:w="2624" w:type="dxa"/>
            <w:vAlign w:val="center"/>
            <w:hideMark/>
          </w:tcPr>
          <w:p w:rsidR="005505AF" w:rsidRPr="00053C62" w:rsidRDefault="005505AF" w:rsidP="009C7E7C">
            <w:pPr>
              <w:spacing w:after="0"/>
              <w:contextualSpacing/>
              <w:jc w:val="center"/>
              <w:rPr>
                <w:rFonts w:ascii="Times New Roman" w:hAnsi="Times New Roman" w:cs="Times New Roman"/>
              </w:rPr>
            </w:pPr>
            <w:r w:rsidRPr="00053C62">
              <w:rPr>
                <w:rFonts w:ascii="Times New Roman" w:hAnsi="Times New Roman" w:cs="Times New Roman"/>
              </w:rPr>
              <w:t>3 de Agosto</w:t>
            </w:r>
          </w:p>
        </w:tc>
        <w:tc>
          <w:tcPr>
            <w:tcW w:w="2014" w:type="dxa"/>
            <w:vAlign w:val="center"/>
            <w:hideMark/>
          </w:tcPr>
          <w:p w:rsidR="005505AF" w:rsidRPr="00053C62" w:rsidRDefault="005505AF" w:rsidP="009C7E7C">
            <w:pPr>
              <w:spacing w:after="0"/>
              <w:contextualSpacing/>
              <w:jc w:val="center"/>
              <w:rPr>
                <w:rFonts w:ascii="Times New Roman" w:hAnsi="Times New Roman" w:cs="Times New Roman"/>
              </w:rPr>
            </w:pPr>
            <w:r w:rsidRPr="00053C62">
              <w:rPr>
                <w:rFonts w:ascii="Times New Roman" w:hAnsi="Times New Roman" w:cs="Times New Roman"/>
              </w:rPr>
              <w:t>700</w:t>
            </w:r>
          </w:p>
        </w:tc>
        <w:tc>
          <w:tcPr>
            <w:tcW w:w="1853" w:type="dxa"/>
            <w:vAlign w:val="center"/>
            <w:hideMark/>
          </w:tcPr>
          <w:p w:rsidR="005505AF" w:rsidRPr="00053C62" w:rsidRDefault="005505AF" w:rsidP="009C7E7C">
            <w:pPr>
              <w:spacing w:after="0"/>
              <w:contextualSpacing/>
              <w:jc w:val="center"/>
              <w:rPr>
                <w:rFonts w:ascii="Times New Roman" w:hAnsi="Times New Roman" w:cs="Times New Roman"/>
              </w:rPr>
            </w:pPr>
            <w:r w:rsidRPr="00053C62">
              <w:rPr>
                <w:rFonts w:ascii="Times New Roman" w:hAnsi="Times New Roman" w:cs="Times New Roman"/>
              </w:rPr>
              <w:t>30</w:t>
            </w:r>
          </w:p>
        </w:tc>
        <w:tc>
          <w:tcPr>
            <w:tcW w:w="2224" w:type="dxa"/>
            <w:vAlign w:val="center"/>
            <w:hideMark/>
          </w:tcPr>
          <w:p w:rsidR="005505AF" w:rsidRPr="00053C62" w:rsidRDefault="005505AF" w:rsidP="009C7E7C">
            <w:pPr>
              <w:spacing w:after="0"/>
              <w:contextualSpacing/>
              <w:jc w:val="center"/>
              <w:rPr>
                <w:rFonts w:ascii="Times New Roman" w:hAnsi="Times New Roman" w:cs="Times New Roman"/>
              </w:rPr>
            </w:pPr>
            <w:r w:rsidRPr="00053C62">
              <w:rPr>
                <w:rFonts w:ascii="Times New Roman" w:hAnsi="Times New Roman" w:cs="Times New Roman"/>
              </w:rPr>
              <w:t>Béton</w:t>
            </w:r>
          </w:p>
        </w:tc>
      </w:tr>
      <w:tr w:rsidR="005505AF" w:rsidRPr="00053C62" w:rsidTr="001D1EBD">
        <w:trPr>
          <w:trHeight w:val="397"/>
          <w:jc w:val="center"/>
        </w:trPr>
        <w:tc>
          <w:tcPr>
            <w:tcW w:w="573" w:type="dxa"/>
            <w:vAlign w:val="center"/>
            <w:hideMark/>
          </w:tcPr>
          <w:p w:rsidR="005505AF" w:rsidRPr="00053C62" w:rsidRDefault="005505AF" w:rsidP="009C7E7C">
            <w:pPr>
              <w:spacing w:after="0"/>
              <w:contextualSpacing/>
              <w:jc w:val="center"/>
              <w:rPr>
                <w:rFonts w:ascii="Times New Roman" w:hAnsi="Times New Roman" w:cs="Times New Roman"/>
              </w:rPr>
            </w:pPr>
            <w:r w:rsidRPr="00053C62">
              <w:rPr>
                <w:rFonts w:ascii="Times New Roman" w:hAnsi="Times New Roman" w:cs="Times New Roman"/>
              </w:rPr>
              <w:t>7</w:t>
            </w:r>
          </w:p>
        </w:tc>
        <w:tc>
          <w:tcPr>
            <w:tcW w:w="2624" w:type="dxa"/>
            <w:vAlign w:val="center"/>
            <w:hideMark/>
          </w:tcPr>
          <w:p w:rsidR="005505AF" w:rsidRPr="00053C62" w:rsidRDefault="005505AF" w:rsidP="009C7E7C">
            <w:pPr>
              <w:spacing w:after="0"/>
              <w:contextualSpacing/>
              <w:jc w:val="center"/>
              <w:rPr>
                <w:rFonts w:ascii="Times New Roman" w:hAnsi="Times New Roman" w:cs="Times New Roman"/>
              </w:rPr>
            </w:pPr>
            <w:r w:rsidRPr="00053C62">
              <w:rPr>
                <w:rFonts w:ascii="Times New Roman" w:hAnsi="Times New Roman" w:cs="Times New Roman"/>
              </w:rPr>
              <w:t>Bra - Escola Técnica</w:t>
            </w:r>
          </w:p>
        </w:tc>
        <w:tc>
          <w:tcPr>
            <w:tcW w:w="2014" w:type="dxa"/>
            <w:vAlign w:val="center"/>
            <w:hideMark/>
          </w:tcPr>
          <w:p w:rsidR="005505AF" w:rsidRPr="00053C62" w:rsidRDefault="005505AF" w:rsidP="009C7E7C">
            <w:pPr>
              <w:spacing w:after="0"/>
              <w:contextualSpacing/>
              <w:jc w:val="center"/>
              <w:rPr>
                <w:rFonts w:ascii="Times New Roman" w:hAnsi="Times New Roman" w:cs="Times New Roman"/>
              </w:rPr>
            </w:pPr>
            <w:r w:rsidRPr="00053C62">
              <w:rPr>
                <w:rFonts w:ascii="Times New Roman" w:hAnsi="Times New Roman" w:cs="Times New Roman"/>
              </w:rPr>
              <w:t>300</w:t>
            </w:r>
          </w:p>
        </w:tc>
        <w:tc>
          <w:tcPr>
            <w:tcW w:w="1853" w:type="dxa"/>
            <w:vAlign w:val="center"/>
            <w:hideMark/>
          </w:tcPr>
          <w:p w:rsidR="005505AF" w:rsidRPr="00053C62" w:rsidRDefault="005505AF" w:rsidP="009C7E7C">
            <w:pPr>
              <w:spacing w:after="0"/>
              <w:contextualSpacing/>
              <w:jc w:val="center"/>
              <w:rPr>
                <w:rFonts w:ascii="Times New Roman" w:hAnsi="Times New Roman" w:cs="Times New Roman"/>
              </w:rPr>
            </w:pPr>
            <w:r w:rsidRPr="00053C62">
              <w:rPr>
                <w:rFonts w:ascii="Times New Roman" w:hAnsi="Times New Roman" w:cs="Times New Roman"/>
              </w:rPr>
              <w:t>30</w:t>
            </w:r>
          </w:p>
        </w:tc>
        <w:tc>
          <w:tcPr>
            <w:tcW w:w="2224" w:type="dxa"/>
            <w:vAlign w:val="center"/>
            <w:hideMark/>
          </w:tcPr>
          <w:p w:rsidR="005505AF" w:rsidRPr="00053C62" w:rsidRDefault="005505AF" w:rsidP="009C7E7C">
            <w:pPr>
              <w:spacing w:after="0"/>
              <w:contextualSpacing/>
              <w:jc w:val="center"/>
              <w:rPr>
                <w:rFonts w:ascii="Times New Roman" w:hAnsi="Times New Roman" w:cs="Times New Roman"/>
              </w:rPr>
            </w:pPr>
            <w:r w:rsidRPr="00053C62">
              <w:rPr>
                <w:rFonts w:ascii="Times New Roman" w:hAnsi="Times New Roman" w:cs="Times New Roman"/>
              </w:rPr>
              <w:t>Metal</w:t>
            </w:r>
          </w:p>
        </w:tc>
      </w:tr>
      <w:tr w:rsidR="005505AF" w:rsidRPr="00053C62" w:rsidTr="001D1EBD">
        <w:trPr>
          <w:trHeight w:val="397"/>
          <w:jc w:val="center"/>
        </w:trPr>
        <w:tc>
          <w:tcPr>
            <w:tcW w:w="573" w:type="dxa"/>
            <w:vAlign w:val="center"/>
            <w:hideMark/>
          </w:tcPr>
          <w:p w:rsidR="005505AF" w:rsidRPr="00053C62" w:rsidRDefault="005505AF" w:rsidP="009C7E7C">
            <w:pPr>
              <w:spacing w:after="0"/>
              <w:contextualSpacing/>
              <w:jc w:val="center"/>
              <w:rPr>
                <w:rFonts w:ascii="Times New Roman" w:hAnsi="Times New Roman" w:cs="Times New Roman"/>
              </w:rPr>
            </w:pPr>
            <w:r w:rsidRPr="00053C62">
              <w:rPr>
                <w:rFonts w:ascii="Times New Roman" w:hAnsi="Times New Roman" w:cs="Times New Roman"/>
              </w:rPr>
              <w:t>8</w:t>
            </w:r>
          </w:p>
        </w:tc>
        <w:tc>
          <w:tcPr>
            <w:tcW w:w="2624" w:type="dxa"/>
            <w:vAlign w:val="center"/>
            <w:hideMark/>
          </w:tcPr>
          <w:p w:rsidR="005505AF" w:rsidRPr="00053C62" w:rsidRDefault="005505AF" w:rsidP="009C7E7C">
            <w:pPr>
              <w:spacing w:after="0"/>
              <w:contextualSpacing/>
              <w:jc w:val="center"/>
              <w:rPr>
                <w:rFonts w:ascii="Times New Roman" w:hAnsi="Times New Roman" w:cs="Times New Roman"/>
              </w:rPr>
            </w:pPr>
            <w:r w:rsidRPr="00053C62">
              <w:rPr>
                <w:rFonts w:ascii="Times New Roman" w:hAnsi="Times New Roman" w:cs="Times New Roman"/>
              </w:rPr>
              <w:t>Antula Bono</w:t>
            </w:r>
          </w:p>
        </w:tc>
        <w:tc>
          <w:tcPr>
            <w:tcW w:w="2014" w:type="dxa"/>
            <w:vAlign w:val="center"/>
            <w:hideMark/>
          </w:tcPr>
          <w:p w:rsidR="005505AF" w:rsidRPr="00053C62" w:rsidRDefault="005505AF" w:rsidP="009C7E7C">
            <w:pPr>
              <w:spacing w:after="0"/>
              <w:contextualSpacing/>
              <w:jc w:val="center"/>
              <w:rPr>
                <w:rFonts w:ascii="Times New Roman" w:hAnsi="Times New Roman" w:cs="Times New Roman"/>
              </w:rPr>
            </w:pPr>
            <w:r w:rsidRPr="00053C62">
              <w:rPr>
                <w:rFonts w:ascii="Times New Roman" w:hAnsi="Times New Roman" w:cs="Times New Roman"/>
              </w:rPr>
              <w:t>130</w:t>
            </w:r>
          </w:p>
        </w:tc>
        <w:tc>
          <w:tcPr>
            <w:tcW w:w="1853" w:type="dxa"/>
            <w:vAlign w:val="center"/>
            <w:hideMark/>
          </w:tcPr>
          <w:p w:rsidR="005505AF" w:rsidRPr="00053C62" w:rsidRDefault="005505AF" w:rsidP="009C7E7C">
            <w:pPr>
              <w:spacing w:after="0"/>
              <w:contextualSpacing/>
              <w:jc w:val="center"/>
              <w:rPr>
                <w:rFonts w:ascii="Times New Roman" w:hAnsi="Times New Roman" w:cs="Times New Roman"/>
              </w:rPr>
            </w:pPr>
            <w:r w:rsidRPr="00053C62">
              <w:rPr>
                <w:rFonts w:ascii="Times New Roman" w:hAnsi="Times New Roman" w:cs="Times New Roman"/>
              </w:rPr>
              <w:t>20</w:t>
            </w:r>
          </w:p>
        </w:tc>
        <w:tc>
          <w:tcPr>
            <w:tcW w:w="2224" w:type="dxa"/>
            <w:vAlign w:val="center"/>
            <w:hideMark/>
          </w:tcPr>
          <w:p w:rsidR="005505AF" w:rsidRPr="00053C62" w:rsidRDefault="005505AF" w:rsidP="009C7E7C">
            <w:pPr>
              <w:spacing w:after="0"/>
              <w:contextualSpacing/>
              <w:jc w:val="center"/>
              <w:rPr>
                <w:rFonts w:ascii="Times New Roman" w:hAnsi="Times New Roman" w:cs="Times New Roman"/>
              </w:rPr>
            </w:pPr>
            <w:r w:rsidRPr="00053C62">
              <w:rPr>
                <w:rFonts w:ascii="Times New Roman" w:hAnsi="Times New Roman" w:cs="Times New Roman"/>
              </w:rPr>
              <w:t>Metal</w:t>
            </w:r>
          </w:p>
        </w:tc>
      </w:tr>
      <w:tr w:rsidR="005505AF" w:rsidRPr="00053C62" w:rsidTr="001D1EBD">
        <w:trPr>
          <w:trHeight w:val="397"/>
          <w:jc w:val="center"/>
        </w:trPr>
        <w:tc>
          <w:tcPr>
            <w:tcW w:w="573" w:type="dxa"/>
            <w:vAlign w:val="center"/>
            <w:hideMark/>
          </w:tcPr>
          <w:p w:rsidR="005505AF" w:rsidRPr="00053C62" w:rsidRDefault="005505AF" w:rsidP="009C7E7C">
            <w:pPr>
              <w:spacing w:after="0"/>
              <w:contextualSpacing/>
              <w:jc w:val="center"/>
              <w:rPr>
                <w:rFonts w:ascii="Times New Roman" w:hAnsi="Times New Roman" w:cs="Times New Roman"/>
              </w:rPr>
            </w:pPr>
            <w:r w:rsidRPr="00053C62">
              <w:rPr>
                <w:rFonts w:ascii="Times New Roman" w:hAnsi="Times New Roman" w:cs="Times New Roman"/>
              </w:rPr>
              <w:t>9</w:t>
            </w:r>
          </w:p>
        </w:tc>
        <w:tc>
          <w:tcPr>
            <w:tcW w:w="2624" w:type="dxa"/>
            <w:vAlign w:val="center"/>
            <w:hideMark/>
          </w:tcPr>
          <w:p w:rsidR="005505AF" w:rsidRPr="00053C62" w:rsidRDefault="005505AF" w:rsidP="009C7E7C">
            <w:pPr>
              <w:spacing w:after="0"/>
              <w:contextualSpacing/>
              <w:jc w:val="center"/>
              <w:rPr>
                <w:rFonts w:ascii="Times New Roman" w:hAnsi="Times New Roman" w:cs="Times New Roman"/>
              </w:rPr>
            </w:pPr>
            <w:r w:rsidRPr="00053C62">
              <w:rPr>
                <w:rFonts w:ascii="Times New Roman" w:hAnsi="Times New Roman" w:cs="Times New Roman"/>
              </w:rPr>
              <w:t>Bairro dos Ministros</w:t>
            </w:r>
          </w:p>
        </w:tc>
        <w:tc>
          <w:tcPr>
            <w:tcW w:w="2014" w:type="dxa"/>
            <w:vAlign w:val="center"/>
            <w:hideMark/>
          </w:tcPr>
          <w:p w:rsidR="005505AF" w:rsidRPr="00053C62" w:rsidRDefault="005505AF" w:rsidP="009C7E7C">
            <w:pPr>
              <w:spacing w:after="0"/>
              <w:contextualSpacing/>
              <w:jc w:val="center"/>
              <w:rPr>
                <w:rFonts w:ascii="Times New Roman" w:hAnsi="Times New Roman" w:cs="Times New Roman"/>
              </w:rPr>
            </w:pPr>
            <w:r w:rsidRPr="00053C62">
              <w:rPr>
                <w:rFonts w:ascii="Times New Roman" w:hAnsi="Times New Roman" w:cs="Times New Roman"/>
              </w:rPr>
              <w:t>20</w:t>
            </w:r>
          </w:p>
        </w:tc>
        <w:tc>
          <w:tcPr>
            <w:tcW w:w="1853" w:type="dxa"/>
            <w:vAlign w:val="center"/>
            <w:hideMark/>
          </w:tcPr>
          <w:p w:rsidR="005505AF" w:rsidRPr="00053C62" w:rsidRDefault="005505AF" w:rsidP="009C7E7C">
            <w:pPr>
              <w:spacing w:after="0"/>
              <w:contextualSpacing/>
              <w:jc w:val="center"/>
              <w:rPr>
                <w:rFonts w:ascii="Times New Roman" w:hAnsi="Times New Roman" w:cs="Times New Roman"/>
              </w:rPr>
            </w:pPr>
            <w:r w:rsidRPr="00053C62">
              <w:rPr>
                <w:rFonts w:ascii="Times New Roman" w:hAnsi="Times New Roman" w:cs="Times New Roman"/>
              </w:rPr>
              <w:t>10</w:t>
            </w:r>
          </w:p>
        </w:tc>
        <w:tc>
          <w:tcPr>
            <w:tcW w:w="2224" w:type="dxa"/>
            <w:vAlign w:val="center"/>
            <w:hideMark/>
          </w:tcPr>
          <w:p w:rsidR="005505AF" w:rsidRPr="00053C62" w:rsidRDefault="005505AF" w:rsidP="009C7E7C">
            <w:pPr>
              <w:spacing w:after="0"/>
              <w:contextualSpacing/>
              <w:jc w:val="center"/>
              <w:rPr>
                <w:rFonts w:ascii="Times New Roman" w:hAnsi="Times New Roman" w:cs="Times New Roman"/>
              </w:rPr>
            </w:pPr>
            <w:r w:rsidRPr="00053C62">
              <w:rPr>
                <w:rFonts w:ascii="Times New Roman" w:hAnsi="Times New Roman" w:cs="Times New Roman"/>
              </w:rPr>
              <w:t>Metal</w:t>
            </w:r>
          </w:p>
        </w:tc>
      </w:tr>
      <w:tr w:rsidR="005505AF" w:rsidRPr="00053C62" w:rsidTr="001D1EBD">
        <w:trPr>
          <w:trHeight w:val="397"/>
          <w:jc w:val="center"/>
        </w:trPr>
        <w:tc>
          <w:tcPr>
            <w:tcW w:w="573" w:type="dxa"/>
            <w:vAlign w:val="center"/>
            <w:hideMark/>
          </w:tcPr>
          <w:p w:rsidR="005505AF" w:rsidRPr="00053C62" w:rsidRDefault="005505AF" w:rsidP="009C7E7C">
            <w:pPr>
              <w:spacing w:after="0"/>
              <w:contextualSpacing/>
              <w:jc w:val="center"/>
              <w:rPr>
                <w:rFonts w:ascii="Times New Roman" w:hAnsi="Times New Roman" w:cs="Times New Roman"/>
              </w:rPr>
            </w:pPr>
            <w:r w:rsidRPr="00053C62">
              <w:rPr>
                <w:rFonts w:ascii="Times New Roman" w:hAnsi="Times New Roman" w:cs="Times New Roman"/>
              </w:rPr>
              <w:t>10</w:t>
            </w:r>
          </w:p>
        </w:tc>
        <w:tc>
          <w:tcPr>
            <w:tcW w:w="2624" w:type="dxa"/>
            <w:vAlign w:val="center"/>
            <w:hideMark/>
          </w:tcPr>
          <w:p w:rsidR="005505AF" w:rsidRPr="00053C62" w:rsidRDefault="005505AF" w:rsidP="009C7E7C">
            <w:pPr>
              <w:spacing w:after="0"/>
              <w:contextualSpacing/>
              <w:jc w:val="center"/>
              <w:rPr>
                <w:rFonts w:ascii="Times New Roman" w:hAnsi="Times New Roman" w:cs="Times New Roman"/>
              </w:rPr>
            </w:pPr>
            <w:r w:rsidRPr="00053C62">
              <w:rPr>
                <w:rFonts w:ascii="Times New Roman" w:hAnsi="Times New Roman" w:cs="Times New Roman"/>
              </w:rPr>
              <w:t>Guiné Telecom</w:t>
            </w:r>
          </w:p>
        </w:tc>
        <w:tc>
          <w:tcPr>
            <w:tcW w:w="2014" w:type="dxa"/>
            <w:vAlign w:val="center"/>
            <w:hideMark/>
          </w:tcPr>
          <w:p w:rsidR="005505AF" w:rsidRPr="00053C62" w:rsidRDefault="005505AF" w:rsidP="009C7E7C">
            <w:pPr>
              <w:spacing w:after="0"/>
              <w:contextualSpacing/>
              <w:jc w:val="center"/>
              <w:rPr>
                <w:rFonts w:ascii="Times New Roman" w:hAnsi="Times New Roman" w:cs="Times New Roman"/>
              </w:rPr>
            </w:pPr>
            <w:r w:rsidRPr="00053C62">
              <w:rPr>
                <w:rFonts w:ascii="Times New Roman" w:hAnsi="Times New Roman" w:cs="Times New Roman"/>
              </w:rPr>
              <w:t>750</w:t>
            </w:r>
          </w:p>
        </w:tc>
        <w:tc>
          <w:tcPr>
            <w:tcW w:w="1853" w:type="dxa"/>
            <w:vAlign w:val="center"/>
            <w:hideMark/>
          </w:tcPr>
          <w:p w:rsidR="005505AF" w:rsidRPr="00053C62" w:rsidRDefault="005505AF" w:rsidP="009C7E7C">
            <w:pPr>
              <w:spacing w:after="0"/>
              <w:contextualSpacing/>
              <w:jc w:val="center"/>
              <w:rPr>
                <w:rFonts w:ascii="Times New Roman" w:hAnsi="Times New Roman" w:cs="Times New Roman"/>
              </w:rPr>
            </w:pPr>
            <w:r w:rsidRPr="00053C62">
              <w:rPr>
                <w:rFonts w:ascii="Times New Roman" w:hAnsi="Times New Roman" w:cs="Times New Roman"/>
              </w:rPr>
              <w:t>28</w:t>
            </w:r>
          </w:p>
        </w:tc>
        <w:tc>
          <w:tcPr>
            <w:tcW w:w="2224" w:type="dxa"/>
            <w:vAlign w:val="center"/>
            <w:hideMark/>
          </w:tcPr>
          <w:p w:rsidR="005505AF" w:rsidRPr="00053C62" w:rsidRDefault="005505AF" w:rsidP="009C7E7C">
            <w:pPr>
              <w:spacing w:after="0"/>
              <w:contextualSpacing/>
              <w:jc w:val="center"/>
              <w:rPr>
                <w:rFonts w:ascii="Times New Roman" w:hAnsi="Times New Roman" w:cs="Times New Roman"/>
              </w:rPr>
            </w:pPr>
            <w:r w:rsidRPr="00053C62">
              <w:rPr>
                <w:rFonts w:ascii="Times New Roman" w:hAnsi="Times New Roman" w:cs="Times New Roman"/>
              </w:rPr>
              <w:t>Béton</w:t>
            </w:r>
          </w:p>
        </w:tc>
      </w:tr>
    </w:tbl>
    <w:p w:rsidR="005505AF" w:rsidRPr="00053C62" w:rsidRDefault="005505AF" w:rsidP="00833733">
      <w:pPr>
        <w:pStyle w:val="PargrafodaLista"/>
        <w:autoSpaceDE w:val="0"/>
        <w:autoSpaceDN w:val="0"/>
        <w:adjustRightInd w:val="0"/>
        <w:spacing w:before="240" w:after="0" w:line="240" w:lineRule="auto"/>
        <w:ind w:left="1440"/>
        <w:contextualSpacing w:val="0"/>
        <w:jc w:val="both"/>
        <w:rPr>
          <w:rFonts w:ascii="Times New Roman" w:hAnsi="Times New Roman"/>
          <w:b/>
          <w:lang w:val="fr-FR"/>
        </w:rPr>
      </w:pPr>
    </w:p>
    <w:tbl>
      <w:tblPr>
        <w:tblW w:w="97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93"/>
        <w:gridCol w:w="2410"/>
        <w:gridCol w:w="2409"/>
        <w:gridCol w:w="2835"/>
      </w:tblGrid>
      <w:tr w:rsidR="005505AF" w:rsidRPr="00053C62" w:rsidTr="001D1EBD">
        <w:trPr>
          <w:jc w:val="center"/>
        </w:trPr>
        <w:tc>
          <w:tcPr>
            <w:tcW w:w="2093" w:type="dxa"/>
          </w:tcPr>
          <w:p w:rsidR="005505AF" w:rsidRPr="00053C62" w:rsidRDefault="005505AF" w:rsidP="00053C62">
            <w:pPr>
              <w:spacing w:after="0"/>
              <w:jc w:val="center"/>
              <w:rPr>
                <w:rFonts w:ascii="Times New Roman" w:hAnsi="Times New Roman" w:cs="Times New Roman"/>
                <w:b/>
                <w:bCs/>
                <w:i/>
                <w:iCs/>
                <w:sz w:val="20"/>
                <w:szCs w:val="20"/>
              </w:rPr>
            </w:pPr>
            <w:r w:rsidRPr="00053C62">
              <w:rPr>
                <w:rFonts w:ascii="Times New Roman" w:hAnsi="Times New Roman" w:cs="Times New Roman"/>
                <w:b/>
                <w:bCs/>
                <w:i/>
                <w:iCs/>
                <w:sz w:val="20"/>
                <w:szCs w:val="20"/>
              </w:rPr>
              <w:t>Réservoir HOSPITAL SIMAO MENDES</w:t>
            </w:r>
          </w:p>
          <w:p w:rsidR="005505AF" w:rsidRPr="00053C62" w:rsidRDefault="005505AF" w:rsidP="001D1EBD">
            <w:pPr>
              <w:jc w:val="center"/>
              <w:rPr>
                <w:rFonts w:ascii="Times New Roman" w:hAnsi="Times New Roman" w:cs="Times New Roman"/>
                <w:b/>
                <w:bCs/>
                <w:i/>
                <w:iCs/>
                <w:sz w:val="20"/>
                <w:szCs w:val="20"/>
              </w:rPr>
            </w:pPr>
            <w:r w:rsidRPr="00053C62">
              <w:rPr>
                <w:rFonts w:ascii="Times New Roman" w:hAnsi="Times New Roman" w:cs="Times New Roman"/>
                <w:b/>
                <w:bCs/>
                <w:i/>
                <w:iCs/>
                <w:sz w:val="20"/>
                <w:szCs w:val="20"/>
              </w:rPr>
              <w:t>Métallique 300 m3</w:t>
            </w:r>
          </w:p>
          <w:p w:rsidR="005505AF" w:rsidRPr="00053C62" w:rsidRDefault="005505AF" w:rsidP="001D1EBD">
            <w:pPr>
              <w:jc w:val="center"/>
              <w:rPr>
                <w:rFonts w:ascii="Times New Roman" w:hAnsi="Times New Roman" w:cs="Times New Roman"/>
              </w:rPr>
            </w:pPr>
            <w:r w:rsidRPr="00053C62">
              <w:rPr>
                <w:rFonts w:ascii="Times New Roman" w:hAnsi="Times New Roman" w:cs="Times New Roman"/>
                <w:noProof/>
                <w:lang w:val="pt-PT" w:eastAsia="pt-PT"/>
              </w:rPr>
              <w:drawing>
                <wp:inline distT="0" distB="0" distL="0" distR="0" wp14:anchorId="2B409715" wp14:editId="67F0D140">
                  <wp:extent cx="1248410" cy="1677670"/>
                  <wp:effectExtent l="0" t="0" r="8890" b="0"/>
                  <wp:docPr id="53" name="Image 53" descr="C:\Users\Prospectiva\Documents\TRABALHO\PROJECTOS\PUASEE BISSAU\FOTOS\DSC0668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8" descr="C:\Users\Prospectiva\Documents\TRABALHO\PROJECTOS\PUASEE BISSAU\FOTOS\DSC06686.JPG"/>
                          <pic:cNvPicPr>
                            <a:picLocks noChangeAspect="1" noChangeArrowheads="1"/>
                          </pic:cNvPicPr>
                        </pic:nvPicPr>
                        <pic:blipFill>
                          <a:blip r:embed="rId36" cstate="email">
                            <a:extLst>
                              <a:ext uri="{28A0092B-C50C-407E-A947-70E740481C1C}">
                                <a14:useLocalDpi xmlns:a14="http://schemas.microsoft.com/office/drawing/2010/main"/>
                              </a:ext>
                            </a:extLst>
                          </a:blip>
                          <a:srcRect/>
                          <a:stretch>
                            <a:fillRect/>
                          </a:stretch>
                        </pic:blipFill>
                        <pic:spPr bwMode="auto">
                          <a:xfrm>
                            <a:off x="0" y="0"/>
                            <a:ext cx="1248410" cy="1677670"/>
                          </a:xfrm>
                          <a:prstGeom prst="rect">
                            <a:avLst/>
                          </a:prstGeom>
                          <a:noFill/>
                          <a:ln>
                            <a:noFill/>
                          </a:ln>
                        </pic:spPr>
                      </pic:pic>
                    </a:graphicData>
                  </a:graphic>
                </wp:inline>
              </w:drawing>
            </w:r>
          </w:p>
        </w:tc>
        <w:tc>
          <w:tcPr>
            <w:tcW w:w="2410" w:type="dxa"/>
          </w:tcPr>
          <w:p w:rsidR="005505AF" w:rsidRPr="00053C62" w:rsidRDefault="005505AF" w:rsidP="00053C62">
            <w:pPr>
              <w:spacing w:after="0"/>
              <w:jc w:val="center"/>
              <w:rPr>
                <w:rFonts w:ascii="Times New Roman" w:hAnsi="Times New Roman" w:cs="Times New Roman"/>
                <w:b/>
                <w:bCs/>
                <w:i/>
                <w:iCs/>
                <w:sz w:val="20"/>
                <w:szCs w:val="20"/>
              </w:rPr>
            </w:pPr>
            <w:r w:rsidRPr="00053C62">
              <w:rPr>
                <w:rFonts w:ascii="Times New Roman" w:hAnsi="Times New Roman" w:cs="Times New Roman"/>
                <w:b/>
                <w:bCs/>
                <w:i/>
                <w:iCs/>
                <w:sz w:val="20"/>
                <w:szCs w:val="20"/>
              </w:rPr>
              <w:t>Réservoir QUARTEL GENERAL</w:t>
            </w:r>
          </w:p>
          <w:p w:rsidR="005505AF" w:rsidRPr="00053C62" w:rsidRDefault="005505AF" w:rsidP="001D1EBD">
            <w:pPr>
              <w:jc w:val="center"/>
              <w:rPr>
                <w:rFonts w:ascii="Times New Roman" w:hAnsi="Times New Roman" w:cs="Times New Roman"/>
                <w:b/>
                <w:bCs/>
                <w:i/>
                <w:iCs/>
                <w:sz w:val="20"/>
                <w:szCs w:val="20"/>
              </w:rPr>
            </w:pPr>
            <w:r w:rsidRPr="00053C62">
              <w:rPr>
                <w:rFonts w:ascii="Times New Roman" w:hAnsi="Times New Roman" w:cs="Times New Roman"/>
                <w:b/>
                <w:bCs/>
                <w:i/>
                <w:iCs/>
                <w:sz w:val="20"/>
                <w:szCs w:val="20"/>
              </w:rPr>
              <w:t>Béton, Réhabilité 80 m3</w:t>
            </w:r>
          </w:p>
          <w:p w:rsidR="005505AF" w:rsidRPr="00053C62" w:rsidRDefault="005505AF" w:rsidP="001D1EBD">
            <w:pPr>
              <w:jc w:val="center"/>
              <w:rPr>
                <w:rFonts w:ascii="Times New Roman" w:hAnsi="Times New Roman" w:cs="Times New Roman"/>
              </w:rPr>
            </w:pPr>
            <w:r w:rsidRPr="00053C62">
              <w:rPr>
                <w:rFonts w:ascii="Times New Roman" w:hAnsi="Times New Roman" w:cs="Times New Roman"/>
                <w:noProof/>
                <w:lang w:val="pt-PT" w:eastAsia="pt-PT"/>
              </w:rPr>
              <w:drawing>
                <wp:inline distT="0" distB="0" distL="0" distR="0" wp14:anchorId="1C986F2D" wp14:editId="1EEDCC8B">
                  <wp:extent cx="1431290" cy="1693545"/>
                  <wp:effectExtent l="0" t="0" r="0" b="1905"/>
                  <wp:docPr id="52" name="Imag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37" cstate="email">
                            <a:extLst>
                              <a:ext uri="{28A0092B-C50C-407E-A947-70E740481C1C}">
                                <a14:useLocalDpi xmlns:a14="http://schemas.microsoft.com/office/drawing/2010/main"/>
                              </a:ext>
                            </a:extLst>
                          </a:blip>
                          <a:srcRect/>
                          <a:stretch>
                            <a:fillRect/>
                          </a:stretch>
                        </pic:blipFill>
                        <pic:spPr bwMode="auto">
                          <a:xfrm>
                            <a:off x="0" y="0"/>
                            <a:ext cx="1431290" cy="1693545"/>
                          </a:xfrm>
                          <a:prstGeom prst="rect">
                            <a:avLst/>
                          </a:prstGeom>
                          <a:noFill/>
                          <a:ln>
                            <a:noFill/>
                          </a:ln>
                        </pic:spPr>
                      </pic:pic>
                    </a:graphicData>
                  </a:graphic>
                </wp:inline>
              </w:drawing>
            </w:r>
          </w:p>
        </w:tc>
        <w:tc>
          <w:tcPr>
            <w:tcW w:w="2409" w:type="dxa"/>
          </w:tcPr>
          <w:p w:rsidR="005505AF" w:rsidRPr="00053C62" w:rsidRDefault="005505AF" w:rsidP="00053C62">
            <w:pPr>
              <w:spacing w:after="0"/>
              <w:jc w:val="center"/>
              <w:rPr>
                <w:rFonts w:ascii="Times New Roman" w:hAnsi="Times New Roman" w:cs="Times New Roman"/>
                <w:b/>
                <w:bCs/>
                <w:i/>
                <w:iCs/>
                <w:sz w:val="20"/>
                <w:szCs w:val="20"/>
              </w:rPr>
            </w:pPr>
            <w:r w:rsidRPr="00053C62">
              <w:rPr>
                <w:rFonts w:ascii="Times New Roman" w:hAnsi="Times New Roman" w:cs="Times New Roman"/>
                <w:b/>
                <w:bCs/>
                <w:i/>
                <w:iCs/>
                <w:sz w:val="20"/>
                <w:szCs w:val="20"/>
              </w:rPr>
              <w:t>Réservoir ALTO CRIM</w:t>
            </w:r>
          </w:p>
          <w:p w:rsidR="005505AF" w:rsidRPr="00053C62" w:rsidRDefault="005505AF" w:rsidP="00053C62">
            <w:pPr>
              <w:spacing w:after="0"/>
              <w:jc w:val="center"/>
              <w:rPr>
                <w:rFonts w:ascii="Times New Roman" w:hAnsi="Times New Roman" w:cs="Times New Roman"/>
                <w:b/>
                <w:bCs/>
                <w:i/>
                <w:iCs/>
                <w:sz w:val="20"/>
                <w:szCs w:val="20"/>
              </w:rPr>
            </w:pPr>
            <w:r w:rsidRPr="00053C62">
              <w:rPr>
                <w:rFonts w:ascii="Times New Roman" w:hAnsi="Times New Roman" w:cs="Times New Roman"/>
                <w:b/>
                <w:bCs/>
                <w:i/>
                <w:iCs/>
                <w:sz w:val="20"/>
                <w:szCs w:val="20"/>
              </w:rPr>
              <w:t>Béton, Réhabilité</w:t>
            </w:r>
          </w:p>
          <w:p w:rsidR="005505AF" w:rsidRPr="00053C62" w:rsidRDefault="005505AF" w:rsidP="001D1EBD">
            <w:pPr>
              <w:jc w:val="center"/>
              <w:rPr>
                <w:rFonts w:ascii="Times New Roman" w:hAnsi="Times New Roman" w:cs="Times New Roman"/>
                <w:b/>
                <w:bCs/>
                <w:i/>
                <w:iCs/>
                <w:sz w:val="20"/>
                <w:szCs w:val="20"/>
              </w:rPr>
            </w:pPr>
            <w:r w:rsidRPr="00053C62">
              <w:rPr>
                <w:rFonts w:ascii="Times New Roman" w:hAnsi="Times New Roman" w:cs="Times New Roman"/>
                <w:b/>
                <w:bCs/>
                <w:i/>
                <w:iCs/>
                <w:sz w:val="20"/>
                <w:szCs w:val="20"/>
              </w:rPr>
              <w:t>Cote TN : 28,50 / 250 m3</w:t>
            </w:r>
          </w:p>
          <w:p w:rsidR="005505AF" w:rsidRPr="00053C62" w:rsidRDefault="005505AF" w:rsidP="001D1EBD">
            <w:pPr>
              <w:jc w:val="center"/>
              <w:rPr>
                <w:rFonts w:ascii="Times New Roman" w:hAnsi="Times New Roman" w:cs="Times New Roman"/>
              </w:rPr>
            </w:pPr>
            <w:r w:rsidRPr="00053C62">
              <w:rPr>
                <w:rFonts w:ascii="Times New Roman" w:hAnsi="Times New Roman" w:cs="Times New Roman"/>
                <w:noProof/>
                <w:lang w:val="pt-PT" w:eastAsia="pt-PT"/>
              </w:rPr>
              <w:drawing>
                <wp:inline distT="0" distB="0" distL="0" distR="0" wp14:anchorId="23CCB701" wp14:editId="7F957847">
                  <wp:extent cx="1709420" cy="1431290"/>
                  <wp:effectExtent l="5715" t="0" r="0" b="0"/>
                  <wp:docPr id="50" name="Image 50" descr="C:\Users\Prospectiva\Documents\TRABALHO\PROJECTOS\PUASEE BISSAU\FOTOS\Fotos Missao 3_8 nov 2018\DSC06033_res Alto Cri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0" descr="C:\Users\Prospectiva\Documents\TRABALHO\PROJECTOS\PUASEE BISSAU\FOTOS\Fotos Missao 3_8 nov 2018\DSC06033_res Alto Crim.JPG"/>
                          <pic:cNvPicPr>
                            <a:picLocks noChangeAspect="1" noChangeArrowheads="1"/>
                          </pic:cNvPicPr>
                        </pic:nvPicPr>
                        <pic:blipFill>
                          <a:blip r:embed="rId38" cstate="email">
                            <a:extLst>
                              <a:ext uri="{28A0092B-C50C-407E-A947-70E740481C1C}">
                                <a14:useLocalDpi xmlns:a14="http://schemas.microsoft.com/office/drawing/2010/main"/>
                              </a:ext>
                            </a:extLst>
                          </a:blip>
                          <a:srcRect/>
                          <a:stretch>
                            <a:fillRect/>
                          </a:stretch>
                        </pic:blipFill>
                        <pic:spPr bwMode="auto">
                          <a:xfrm rot="-5400000">
                            <a:off x="0" y="0"/>
                            <a:ext cx="1709420" cy="1431290"/>
                          </a:xfrm>
                          <a:prstGeom prst="rect">
                            <a:avLst/>
                          </a:prstGeom>
                          <a:noFill/>
                          <a:ln>
                            <a:noFill/>
                          </a:ln>
                        </pic:spPr>
                      </pic:pic>
                    </a:graphicData>
                  </a:graphic>
                </wp:inline>
              </w:drawing>
            </w:r>
          </w:p>
        </w:tc>
        <w:tc>
          <w:tcPr>
            <w:tcW w:w="2835" w:type="dxa"/>
          </w:tcPr>
          <w:p w:rsidR="005505AF" w:rsidRPr="00053C62" w:rsidRDefault="005505AF" w:rsidP="00053C62">
            <w:pPr>
              <w:spacing w:after="0"/>
              <w:jc w:val="center"/>
              <w:rPr>
                <w:rFonts w:ascii="Times New Roman" w:hAnsi="Times New Roman" w:cs="Times New Roman"/>
                <w:b/>
                <w:bCs/>
                <w:i/>
                <w:iCs/>
                <w:sz w:val="20"/>
                <w:szCs w:val="20"/>
              </w:rPr>
            </w:pPr>
            <w:r w:rsidRPr="00053C62">
              <w:rPr>
                <w:rFonts w:ascii="Times New Roman" w:hAnsi="Times New Roman" w:cs="Times New Roman"/>
                <w:b/>
                <w:bCs/>
                <w:i/>
                <w:iCs/>
                <w:sz w:val="20"/>
                <w:szCs w:val="20"/>
              </w:rPr>
              <w:t>Réservoir BRA (« Escola Técnica »)</w:t>
            </w:r>
          </w:p>
          <w:p w:rsidR="005505AF" w:rsidRPr="00053C62" w:rsidRDefault="005505AF" w:rsidP="001D1EBD">
            <w:pPr>
              <w:jc w:val="center"/>
              <w:rPr>
                <w:rFonts w:ascii="Times New Roman" w:hAnsi="Times New Roman" w:cs="Times New Roman"/>
                <w:b/>
                <w:bCs/>
                <w:i/>
                <w:iCs/>
                <w:sz w:val="20"/>
                <w:szCs w:val="20"/>
              </w:rPr>
            </w:pPr>
            <w:r w:rsidRPr="00053C62">
              <w:rPr>
                <w:rFonts w:ascii="Times New Roman" w:hAnsi="Times New Roman" w:cs="Times New Roman"/>
                <w:b/>
                <w:bCs/>
                <w:i/>
                <w:iCs/>
                <w:sz w:val="20"/>
                <w:szCs w:val="20"/>
              </w:rPr>
              <w:t>Métallique, Réhabilité 300 m3</w:t>
            </w:r>
          </w:p>
          <w:p w:rsidR="005505AF" w:rsidRPr="00053C62" w:rsidRDefault="005505AF" w:rsidP="001D1EBD">
            <w:pPr>
              <w:jc w:val="center"/>
              <w:rPr>
                <w:rFonts w:ascii="Times New Roman" w:hAnsi="Times New Roman" w:cs="Times New Roman"/>
              </w:rPr>
            </w:pPr>
            <w:r w:rsidRPr="00053C62">
              <w:rPr>
                <w:rFonts w:ascii="Times New Roman" w:hAnsi="Times New Roman" w:cs="Times New Roman"/>
                <w:noProof/>
                <w:lang w:val="pt-PT" w:eastAsia="pt-PT"/>
              </w:rPr>
              <w:drawing>
                <wp:inline distT="0" distB="0" distL="0" distR="0" wp14:anchorId="2434309C" wp14:editId="01398B0C">
                  <wp:extent cx="1630045" cy="1733550"/>
                  <wp:effectExtent l="0" t="0" r="8255" b="0"/>
                  <wp:docPr id="49" name="Image 49" descr="C:\Users\Prospectiva\Documents\TRABALHO\PROJECTOS\PUASEE BISSAU\TOPOGRAFIA\COTATION DES CHATEAUX D'EAU EXISTANT\IMG_20190506_1906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7" descr="C:\Users\Prospectiva\Documents\TRABALHO\PROJECTOS\PUASEE BISSAU\TOPOGRAFIA\COTATION DES CHATEAUX D'EAU EXISTANT\IMG_20190506_190637.jpg"/>
                          <pic:cNvPicPr>
                            <a:picLocks noChangeAspect="1" noChangeArrowheads="1"/>
                          </pic:cNvPicPr>
                        </pic:nvPicPr>
                        <pic:blipFill>
                          <a:blip r:embed="rId39" cstate="email">
                            <a:extLst>
                              <a:ext uri="{28A0092B-C50C-407E-A947-70E740481C1C}">
                                <a14:useLocalDpi xmlns:a14="http://schemas.microsoft.com/office/drawing/2010/main"/>
                              </a:ext>
                            </a:extLst>
                          </a:blip>
                          <a:srcRect/>
                          <a:stretch>
                            <a:fillRect/>
                          </a:stretch>
                        </pic:blipFill>
                        <pic:spPr bwMode="auto">
                          <a:xfrm>
                            <a:off x="0" y="0"/>
                            <a:ext cx="1630045" cy="1733550"/>
                          </a:xfrm>
                          <a:prstGeom prst="rect">
                            <a:avLst/>
                          </a:prstGeom>
                          <a:noFill/>
                          <a:ln>
                            <a:noFill/>
                          </a:ln>
                        </pic:spPr>
                      </pic:pic>
                    </a:graphicData>
                  </a:graphic>
                </wp:inline>
              </w:drawing>
            </w:r>
          </w:p>
        </w:tc>
      </w:tr>
      <w:tr w:rsidR="005505AF" w:rsidRPr="00053C62" w:rsidTr="001D1EBD">
        <w:trPr>
          <w:jc w:val="center"/>
        </w:trPr>
        <w:tc>
          <w:tcPr>
            <w:tcW w:w="2093" w:type="dxa"/>
          </w:tcPr>
          <w:p w:rsidR="005505AF" w:rsidRPr="00053C62" w:rsidRDefault="005505AF" w:rsidP="00053C62">
            <w:pPr>
              <w:spacing w:after="0"/>
              <w:jc w:val="center"/>
              <w:rPr>
                <w:rFonts w:ascii="Times New Roman" w:hAnsi="Times New Roman" w:cs="Times New Roman"/>
                <w:b/>
                <w:bCs/>
                <w:i/>
                <w:iCs/>
                <w:sz w:val="20"/>
                <w:szCs w:val="20"/>
              </w:rPr>
            </w:pPr>
            <w:r w:rsidRPr="00053C62">
              <w:rPr>
                <w:rFonts w:ascii="Times New Roman" w:hAnsi="Times New Roman" w:cs="Times New Roman"/>
                <w:b/>
                <w:bCs/>
                <w:i/>
                <w:iCs/>
                <w:sz w:val="20"/>
                <w:szCs w:val="20"/>
              </w:rPr>
              <w:t>Réservoir ANTULA-BONO Métallique 130 m3</w:t>
            </w:r>
          </w:p>
          <w:p w:rsidR="005505AF" w:rsidRPr="00053C62" w:rsidRDefault="005505AF" w:rsidP="001D1EBD">
            <w:pPr>
              <w:jc w:val="center"/>
              <w:rPr>
                <w:rFonts w:ascii="Times New Roman" w:hAnsi="Times New Roman" w:cs="Times New Roman"/>
              </w:rPr>
            </w:pPr>
            <w:r w:rsidRPr="00053C62">
              <w:rPr>
                <w:rFonts w:ascii="Times New Roman" w:hAnsi="Times New Roman" w:cs="Times New Roman"/>
                <w:noProof/>
                <w:lang w:val="pt-PT" w:eastAsia="pt-PT"/>
              </w:rPr>
              <w:drawing>
                <wp:inline distT="0" distB="0" distL="0" distR="0" wp14:anchorId="1797EB95" wp14:editId="3A356AA7">
                  <wp:extent cx="1407160" cy="1248410"/>
                  <wp:effectExtent l="3175" t="0" r="5715" b="5715"/>
                  <wp:docPr id="48" name="Imag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4"/>
                          <pic:cNvPicPr>
                            <a:picLocks noChangeAspect="1" noChangeArrowheads="1"/>
                          </pic:cNvPicPr>
                        </pic:nvPicPr>
                        <pic:blipFill>
                          <a:blip r:embed="rId40" cstate="email">
                            <a:extLst>
                              <a:ext uri="{28A0092B-C50C-407E-A947-70E740481C1C}">
                                <a14:useLocalDpi xmlns:a14="http://schemas.microsoft.com/office/drawing/2010/main"/>
                              </a:ext>
                            </a:extLst>
                          </a:blip>
                          <a:srcRect/>
                          <a:stretch>
                            <a:fillRect/>
                          </a:stretch>
                        </pic:blipFill>
                        <pic:spPr bwMode="auto">
                          <a:xfrm rot="-5400000">
                            <a:off x="0" y="0"/>
                            <a:ext cx="1407160" cy="1248410"/>
                          </a:xfrm>
                          <a:prstGeom prst="rect">
                            <a:avLst/>
                          </a:prstGeom>
                          <a:noFill/>
                          <a:ln>
                            <a:noFill/>
                          </a:ln>
                        </pic:spPr>
                      </pic:pic>
                    </a:graphicData>
                  </a:graphic>
                </wp:inline>
              </w:drawing>
            </w:r>
          </w:p>
        </w:tc>
        <w:tc>
          <w:tcPr>
            <w:tcW w:w="2410" w:type="dxa"/>
          </w:tcPr>
          <w:p w:rsidR="005505AF" w:rsidRPr="00053C62" w:rsidRDefault="005505AF" w:rsidP="00053C62">
            <w:pPr>
              <w:spacing w:after="0"/>
              <w:jc w:val="center"/>
              <w:rPr>
                <w:rFonts w:ascii="Times New Roman" w:hAnsi="Times New Roman" w:cs="Times New Roman"/>
                <w:b/>
                <w:bCs/>
                <w:i/>
                <w:iCs/>
                <w:sz w:val="20"/>
                <w:szCs w:val="20"/>
              </w:rPr>
            </w:pPr>
            <w:r w:rsidRPr="00053C62">
              <w:rPr>
                <w:rFonts w:ascii="Times New Roman" w:hAnsi="Times New Roman" w:cs="Times New Roman"/>
                <w:b/>
                <w:bCs/>
                <w:i/>
                <w:iCs/>
                <w:sz w:val="20"/>
                <w:szCs w:val="20"/>
              </w:rPr>
              <w:t>Réservoir HOSPITAL 3 de AGOSTO Béton 700 m3</w:t>
            </w:r>
          </w:p>
          <w:p w:rsidR="005505AF" w:rsidRPr="00053C62" w:rsidRDefault="005505AF" w:rsidP="001D1EBD">
            <w:pPr>
              <w:jc w:val="center"/>
              <w:rPr>
                <w:rFonts w:ascii="Times New Roman" w:hAnsi="Times New Roman" w:cs="Times New Roman"/>
                <w:b/>
                <w:bCs/>
                <w:i/>
                <w:iCs/>
                <w:sz w:val="20"/>
                <w:szCs w:val="20"/>
              </w:rPr>
            </w:pPr>
            <w:r w:rsidRPr="00053C62">
              <w:rPr>
                <w:rFonts w:ascii="Times New Roman" w:hAnsi="Times New Roman" w:cs="Times New Roman"/>
                <w:noProof/>
                <w:lang w:val="pt-PT" w:eastAsia="pt-PT"/>
              </w:rPr>
              <w:drawing>
                <wp:inline distT="0" distB="0" distL="0" distR="0" wp14:anchorId="2E495E80" wp14:editId="4FBB1DC7">
                  <wp:extent cx="1431290" cy="1383665"/>
                  <wp:effectExtent l="0" t="0" r="0" b="6985"/>
                  <wp:docPr id="47" name="Imag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6"/>
                          <pic:cNvPicPr>
                            <a:picLocks noChangeAspect="1" noChangeArrowheads="1"/>
                          </pic:cNvPicPr>
                        </pic:nvPicPr>
                        <pic:blipFill>
                          <a:blip r:embed="rId41" cstate="email">
                            <a:extLst>
                              <a:ext uri="{28A0092B-C50C-407E-A947-70E740481C1C}">
                                <a14:useLocalDpi xmlns:a14="http://schemas.microsoft.com/office/drawing/2010/main"/>
                              </a:ext>
                            </a:extLst>
                          </a:blip>
                          <a:srcRect/>
                          <a:stretch>
                            <a:fillRect/>
                          </a:stretch>
                        </pic:blipFill>
                        <pic:spPr bwMode="auto">
                          <a:xfrm>
                            <a:off x="0" y="0"/>
                            <a:ext cx="1431290" cy="1383665"/>
                          </a:xfrm>
                          <a:prstGeom prst="rect">
                            <a:avLst/>
                          </a:prstGeom>
                          <a:noFill/>
                          <a:ln>
                            <a:noFill/>
                          </a:ln>
                        </pic:spPr>
                      </pic:pic>
                    </a:graphicData>
                  </a:graphic>
                </wp:inline>
              </w:drawing>
            </w:r>
          </w:p>
        </w:tc>
        <w:tc>
          <w:tcPr>
            <w:tcW w:w="2409" w:type="dxa"/>
          </w:tcPr>
          <w:p w:rsidR="005505AF" w:rsidRPr="00053C62" w:rsidRDefault="005505AF" w:rsidP="00053C62">
            <w:pPr>
              <w:spacing w:after="0"/>
              <w:jc w:val="center"/>
              <w:rPr>
                <w:rFonts w:ascii="Times New Roman" w:hAnsi="Times New Roman" w:cs="Times New Roman"/>
                <w:b/>
                <w:bCs/>
                <w:i/>
                <w:iCs/>
                <w:sz w:val="20"/>
                <w:szCs w:val="20"/>
              </w:rPr>
            </w:pPr>
            <w:r w:rsidRPr="00053C62">
              <w:rPr>
                <w:rFonts w:ascii="Times New Roman" w:hAnsi="Times New Roman" w:cs="Times New Roman"/>
                <w:b/>
                <w:bCs/>
                <w:i/>
                <w:iCs/>
                <w:sz w:val="20"/>
                <w:szCs w:val="20"/>
              </w:rPr>
              <w:t>Réservoir GUINÉ TELECOM Béton 750 m3</w:t>
            </w:r>
          </w:p>
          <w:p w:rsidR="005505AF" w:rsidRPr="00053C62" w:rsidRDefault="005505AF" w:rsidP="001D1EBD">
            <w:pPr>
              <w:jc w:val="center"/>
              <w:rPr>
                <w:rFonts w:ascii="Times New Roman" w:hAnsi="Times New Roman" w:cs="Times New Roman"/>
                <w:b/>
                <w:bCs/>
                <w:i/>
                <w:iCs/>
                <w:sz w:val="20"/>
                <w:szCs w:val="20"/>
              </w:rPr>
            </w:pPr>
          </w:p>
          <w:p w:rsidR="005505AF" w:rsidRPr="00053C62" w:rsidRDefault="005505AF" w:rsidP="001D1EBD">
            <w:pPr>
              <w:jc w:val="center"/>
              <w:rPr>
                <w:rFonts w:ascii="Times New Roman" w:hAnsi="Times New Roman" w:cs="Times New Roman"/>
                <w:b/>
                <w:bCs/>
                <w:i/>
                <w:iCs/>
                <w:sz w:val="20"/>
                <w:szCs w:val="20"/>
              </w:rPr>
            </w:pPr>
            <w:r w:rsidRPr="00053C62">
              <w:rPr>
                <w:rFonts w:ascii="Times New Roman" w:hAnsi="Times New Roman" w:cs="Times New Roman"/>
                <w:noProof/>
                <w:lang w:val="pt-PT" w:eastAsia="pt-PT"/>
              </w:rPr>
              <w:drawing>
                <wp:inline distT="0" distB="0" distL="0" distR="0" wp14:anchorId="58724DDB" wp14:editId="3421C059">
                  <wp:extent cx="1383665" cy="1375410"/>
                  <wp:effectExtent l="0" t="0" r="6985" b="0"/>
                  <wp:docPr id="46" name="Imag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30"/>
                          <pic:cNvPicPr>
                            <a:picLocks noChangeAspect="1" noChangeArrowheads="1"/>
                          </pic:cNvPicPr>
                        </pic:nvPicPr>
                        <pic:blipFill>
                          <a:blip r:embed="rId42" cstate="email">
                            <a:extLst>
                              <a:ext uri="{28A0092B-C50C-407E-A947-70E740481C1C}">
                                <a14:useLocalDpi xmlns:a14="http://schemas.microsoft.com/office/drawing/2010/main"/>
                              </a:ext>
                            </a:extLst>
                          </a:blip>
                          <a:srcRect/>
                          <a:stretch>
                            <a:fillRect/>
                          </a:stretch>
                        </pic:blipFill>
                        <pic:spPr bwMode="auto">
                          <a:xfrm>
                            <a:off x="0" y="0"/>
                            <a:ext cx="1383665" cy="1375410"/>
                          </a:xfrm>
                          <a:prstGeom prst="rect">
                            <a:avLst/>
                          </a:prstGeom>
                          <a:noFill/>
                          <a:ln>
                            <a:noFill/>
                          </a:ln>
                        </pic:spPr>
                      </pic:pic>
                    </a:graphicData>
                  </a:graphic>
                </wp:inline>
              </w:drawing>
            </w:r>
          </w:p>
        </w:tc>
        <w:tc>
          <w:tcPr>
            <w:tcW w:w="2835" w:type="dxa"/>
          </w:tcPr>
          <w:p w:rsidR="005505AF" w:rsidRPr="00053C62" w:rsidRDefault="005505AF" w:rsidP="00053C62">
            <w:pPr>
              <w:spacing w:after="0"/>
              <w:jc w:val="center"/>
              <w:rPr>
                <w:rFonts w:ascii="Times New Roman" w:hAnsi="Times New Roman" w:cs="Times New Roman"/>
                <w:b/>
                <w:bCs/>
                <w:i/>
                <w:iCs/>
                <w:sz w:val="20"/>
                <w:szCs w:val="20"/>
              </w:rPr>
            </w:pPr>
            <w:r w:rsidRPr="00053C62">
              <w:rPr>
                <w:rFonts w:ascii="Times New Roman" w:hAnsi="Times New Roman" w:cs="Times New Roman"/>
                <w:b/>
                <w:bCs/>
                <w:i/>
                <w:iCs/>
                <w:sz w:val="20"/>
                <w:szCs w:val="20"/>
              </w:rPr>
              <w:t>Réservoir HOSPITAL 3 DE AGOSTO 2 100 m3</w:t>
            </w:r>
          </w:p>
          <w:p w:rsidR="005505AF" w:rsidRPr="00053C62" w:rsidRDefault="005505AF" w:rsidP="001D1EBD">
            <w:pPr>
              <w:jc w:val="center"/>
              <w:rPr>
                <w:rFonts w:ascii="Times New Roman" w:hAnsi="Times New Roman" w:cs="Times New Roman"/>
                <w:b/>
                <w:bCs/>
                <w:i/>
                <w:iCs/>
                <w:sz w:val="20"/>
                <w:szCs w:val="20"/>
              </w:rPr>
            </w:pPr>
            <w:r w:rsidRPr="00053C62">
              <w:rPr>
                <w:rFonts w:ascii="Times New Roman" w:hAnsi="Times New Roman" w:cs="Times New Roman"/>
                <w:noProof/>
                <w:lang w:val="pt-PT" w:eastAsia="pt-PT"/>
              </w:rPr>
              <w:drawing>
                <wp:inline distT="0" distB="0" distL="0" distR="0" wp14:anchorId="0DDCDE7E" wp14:editId="6D50382D">
                  <wp:extent cx="1487170" cy="1542415"/>
                  <wp:effectExtent l="0" t="0" r="0" b="635"/>
                  <wp:docPr id="45" name="Imag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8"/>
                          <pic:cNvPicPr>
                            <a:picLocks noChangeAspect="1" noChangeArrowheads="1"/>
                          </pic:cNvPicPr>
                        </pic:nvPicPr>
                        <pic:blipFill>
                          <a:blip r:embed="rId43" cstate="email">
                            <a:extLst>
                              <a:ext uri="{28A0092B-C50C-407E-A947-70E740481C1C}">
                                <a14:useLocalDpi xmlns:a14="http://schemas.microsoft.com/office/drawing/2010/main"/>
                              </a:ext>
                            </a:extLst>
                          </a:blip>
                          <a:srcRect b="-1572"/>
                          <a:stretch>
                            <a:fillRect/>
                          </a:stretch>
                        </pic:blipFill>
                        <pic:spPr bwMode="auto">
                          <a:xfrm>
                            <a:off x="0" y="0"/>
                            <a:ext cx="1487170" cy="1542415"/>
                          </a:xfrm>
                          <a:prstGeom prst="rect">
                            <a:avLst/>
                          </a:prstGeom>
                          <a:noFill/>
                          <a:ln>
                            <a:noFill/>
                          </a:ln>
                        </pic:spPr>
                      </pic:pic>
                    </a:graphicData>
                  </a:graphic>
                </wp:inline>
              </w:drawing>
            </w:r>
          </w:p>
        </w:tc>
      </w:tr>
    </w:tbl>
    <w:p w:rsidR="005505AF" w:rsidRPr="00053C62" w:rsidRDefault="00833733" w:rsidP="00833733">
      <w:pPr>
        <w:jc w:val="center"/>
        <w:rPr>
          <w:rFonts w:ascii="Times New Roman" w:hAnsi="Times New Roman" w:cs="Times New Roman"/>
        </w:rPr>
      </w:pPr>
      <w:bookmarkStart w:id="56" w:name="_Toc21355375"/>
      <w:bookmarkStart w:id="57" w:name="_Toc32512052"/>
      <w:r w:rsidRPr="00770F4C">
        <w:rPr>
          <w:rFonts w:ascii="Times New Roman" w:hAnsi="Times New Roman" w:cs="Times New Roman"/>
          <w:b/>
          <w:sz w:val="24"/>
          <w:szCs w:val="24"/>
        </w:rPr>
        <w:t xml:space="preserve">Photo </w:t>
      </w:r>
      <w:r w:rsidRPr="00770F4C">
        <w:rPr>
          <w:rFonts w:ascii="Times New Roman" w:hAnsi="Times New Roman" w:cs="Times New Roman"/>
          <w:b/>
          <w:sz w:val="24"/>
          <w:szCs w:val="24"/>
        </w:rPr>
        <w:fldChar w:fldCharType="begin"/>
      </w:r>
      <w:r w:rsidRPr="00770F4C">
        <w:rPr>
          <w:rFonts w:ascii="Times New Roman" w:hAnsi="Times New Roman" w:cs="Times New Roman"/>
          <w:b/>
          <w:sz w:val="24"/>
          <w:szCs w:val="24"/>
        </w:rPr>
        <w:instrText xml:space="preserve"> SEQ PHOTO \* ARABIC </w:instrText>
      </w:r>
      <w:r w:rsidRPr="00770F4C">
        <w:rPr>
          <w:rFonts w:ascii="Times New Roman" w:hAnsi="Times New Roman" w:cs="Times New Roman"/>
          <w:b/>
          <w:sz w:val="24"/>
          <w:szCs w:val="24"/>
        </w:rPr>
        <w:fldChar w:fldCharType="separate"/>
      </w:r>
      <w:r w:rsidR="002C6E60">
        <w:rPr>
          <w:rFonts w:ascii="Times New Roman" w:hAnsi="Times New Roman" w:cs="Times New Roman"/>
          <w:b/>
          <w:noProof/>
          <w:sz w:val="24"/>
          <w:szCs w:val="24"/>
        </w:rPr>
        <w:t>1</w:t>
      </w:r>
      <w:r w:rsidRPr="00770F4C">
        <w:rPr>
          <w:rFonts w:ascii="Times New Roman" w:hAnsi="Times New Roman" w:cs="Times New Roman"/>
          <w:b/>
          <w:sz w:val="24"/>
          <w:szCs w:val="24"/>
        </w:rPr>
        <w:fldChar w:fldCharType="end"/>
      </w:r>
      <w:r w:rsidRPr="00770F4C">
        <w:rPr>
          <w:rFonts w:ascii="Times New Roman" w:hAnsi="Times New Roman" w:cs="Times New Roman"/>
          <w:b/>
          <w:sz w:val="24"/>
          <w:szCs w:val="24"/>
        </w:rPr>
        <w:t xml:space="preserve"> : </w:t>
      </w:r>
      <w:r w:rsidR="003B7939" w:rsidRPr="00053C62">
        <w:rPr>
          <w:rFonts w:ascii="Times New Roman" w:hAnsi="Times New Roman"/>
          <w:b/>
        </w:rPr>
        <w:t>Illustration en image de quelques réservoirs en Guinée Bissau</w:t>
      </w:r>
      <w:bookmarkEnd w:id="56"/>
      <w:bookmarkEnd w:id="57"/>
    </w:p>
    <w:p w:rsidR="009B02CA" w:rsidRPr="006C0C34" w:rsidRDefault="003B7939" w:rsidP="003D080D">
      <w:pPr>
        <w:pStyle w:val="PargrafodaLista"/>
        <w:keepNext/>
        <w:spacing w:after="240"/>
        <w:ind w:left="450" w:right="284" w:hanging="450"/>
        <w:jc w:val="both"/>
        <w:outlineLvl w:val="1"/>
        <w:rPr>
          <w:rFonts w:ascii="Times New Roman" w:hAnsi="Times New Roman"/>
          <w:b/>
          <w:sz w:val="24"/>
          <w:szCs w:val="24"/>
          <w:lang w:val="fr-FR" w:eastAsia="fr-FR"/>
        </w:rPr>
      </w:pPr>
      <w:bookmarkStart w:id="58" w:name="_Toc497381761"/>
      <w:bookmarkStart w:id="59" w:name="_Toc499262479"/>
      <w:bookmarkStart w:id="60" w:name="_Toc527882019"/>
      <w:bookmarkStart w:id="61" w:name="_Toc51072512"/>
      <w:r>
        <w:rPr>
          <w:rFonts w:ascii="Times New Roman" w:hAnsi="Times New Roman"/>
          <w:b/>
          <w:sz w:val="24"/>
          <w:szCs w:val="24"/>
          <w:lang w:val="fr-FR" w:eastAsia="fr-FR"/>
        </w:rPr>
        <w:lastRenderedPageBreak/>
        <w:t>2</w:t>
      </w:r>
      <w:r w:rsidR="003D080D">
        <w:rPr>
          <w:rFonts w:ascii="Times New Roman" w:hAnsi="Times New Roman"/>
          <w:b/>
          <w:sz w:val="24"/>
          <w:szCs w:val="24"/>
          <w:lang w:val="fr-FR" w:eastAsia="fr-FR"/>
        </w:rPr>
        <w:t>.6</w:t>
      </w:r>
      <w:r w:rsidR="009B02CA" w:rsidRPr="006C0C34">
        <w:rPr>
          <w:rFonts w:ascii="Times New Roman" w:hAnsi="Times New Roman"/>
          <w:b/>
          <w:sz w:val="24"/>
          <w:szCs w:val="24"/>
          <w:lang w:val="fr-FR" w:eastAsia="fr-FR"/>
        </w:rPr>
        <w:t xml:space="preserve">. </w:t>
      </w:r>
      <w:r w:rsidR="003D080D">
        <w:rPr>
          <w:rFonts w:ascii="Times New Roman" w:hAnsi="Times New Roman"/>
          <w:b/>
          <w:sz w:val="24"/>
          <w:szCs w:val="24"/>
          <w:lang w:val="fr-FR" w:eastAsia="fr-FR"/>
        </w:rPr>
        <w:t>LES CARACTERIS</w:t>
      </w:r>
      <w:r w:rsidR="00217DAE">
        <w:rPr>
          <w:rFonts w:ascii="Times New Roman" w:hAnsi="Times New Roman"/>
          <w:b/>
          <w:sz w:val="24"/>
          <w:szCs w:val="24"/>
          <w:lang w:val="fr-FR" w:eastAsia="fr-FR"/>
        </w:rPr>
        <w:t>TIQU</w:t>
      </w:r>
      <w:r w:rsidR="003D080D">
        <w:rPr>
          <w:rFonts w:ascii="Times New Roman" w:hAnsi="Times New Roman"/>
          <w:b/>
          <w:sz w:val="24"/>
          <w:szCs w:val="24"/>
          <w:lang w:val="fr-FR" w:eastAsia="fr-FR"/>
        </w:rPr>
        <w:t xml:space="preserve">ES </w:t>
      </w:r>
      <w:r w:rsidR="003D080D" w:rsidRPr="006C0C34">
        <w:rPr>
          <w:rFonts w:ascii="Times New Roman" w:hAnsi="Times New Roman"/>
          <w:b/>
          <w:sz w:val="24"/>
          <w:szCs w:val="24"/>
          <w:lang w:val="fr-FR" w:eastAsia="fr-FR"/>
        </w:rPr>
        <w:t>DU</w:t>
      </w:r>
      <w:r w:rsidR="009B02CA" w:rsidRPr="006C0C34">
        <w:rPr>
          <w:rFonts w:ascii="Times New Roman" w:hAnsi="Times New Roman"/>
          <w:b/>
          <w:sz w:val="24"/>
          <w:szCs w:val="24"/>
          <w:lang w:val="fr-FR" w:eastAsia="fr-FR"/>
        </w:rPr>
        <w:t xml:space="preserve"> </w:t>
      </w:r>
      <w:r w:rsidR="003D080D">
        <w:rPr>
          <w:rFonts w:ascii="Times New Roman" w:hAnsi="Times New Roman"/>
          <w:b/>
          <w:sz w:val="24"/>
          <w:szCs w:val="24"/>
          <w:lang w:val="fr-FR" w:eastAsia="fr-FR"/>
        </w:rPr>
        <w:t>SOUS-</w:t>
      </w:r>
      <w:r w:rsidR="009B02CA" w:rsidRPr="006C0C34">
        <w:rPr>
          <w:rFonts w:ascii="Times New Roman" w:hAnsi="Times New Roman"/>
          <w:b/>
          <w:sz w:val="24"/>
          <w:szCs w:val="24"/>
          <w:lang w:val="fr-FR" w:eastAsia="fr-FR"/>
        </w:rPr>
        <w:t>PROJET</w:t>
      </w:r>
      <w:bookmarkEnd w:id="58"/>
      <w:bookmarkEnd w:id="59"/>
      <w:bookmarkEnd w:id="60"/>
      <w:r w:rsidR="003D080D">
        <w:rPr>
          <w:rFonts w:ascii="Times New Roman" w:hAnsi="Times New Roman"/>
          <w:b/>
          <w:sz w:val="24"/>
          <w:szCs w:val="24"/>
          <w:lang w:val="fr-FR" w:eastAsia="fr-FR"/>
        </w:rPr>
        <w:t xml:space="preserve"> N°2 DE PUASEE-FA</w:t>
      </w:r>
      <w:bookmarkEnd w:id="61"/>
    </w:p>
    <w:p w:rsidR="005505AF" w:rsidRDefault="009B35B8" w:rsidP="003D080D">
      <w:pPr>
        <w:autoSpaceDE w:val="0"/>
        <w:autoSpaceDN w:val="0"/>
        <w:adjustRightInd w:val="0"/>
        <w:spacing w:after="0" w:line="240" w:lineRule="auto"/>
        <w:ind w:left="-284"/>
        <w:jc w:val="both"/>
        <w:rPr>
          <w:rFonts w:ascii="Times New Roman" w:hAnsi="Times New Roman" w:cs="Times New Roman"/>
          <w:sz w:val="24"/>
          <w:szCs w:val="24"/>
        </w:rPr>
      </w:pPr>
      <w:r>
        <w:rPr>
          <w:rFonts w:ascii="Times New Roman" w:hAnsi="Times New Roman" w:cs="Times New Roman"/>
          <w:sz w:val="24"/>
          <w:szCs w:val="24"/>
        </w:rPr>
        <w:t>La Construction de quatre</w:t>
      </w:r>
      <w:r w:rsidR="005505AF" w:rsidRPr="00053C62">
        <w:rPr>
          <w:rFonts w:ascii="Times New Roman" w:hAnsi="Times New Roman" w:cs="Times New Roman"/>
          <w:sz w:val="24"/>
          <w:szCs w:val="24"/>
        </w:rPr>
        <w:t xml:space="preserve"> nouveaux châteaux d’eau (Pabis, Safim, Bor</w:t>
      </w:r>
      <w:r>
        <w:rPr>
          <w:rFonts w:ascii="Times New Roman" w:hAnsi="Times New Roman" w:cs="Times New Roman"/>
          <w:sz w:val="24"/>
          <w:szCs w:val="24"/>
        </w:rPr>
        <w:t xml:space="preserve"> et Antula</w:t>
      </w:r>
      <w:r w:rsidR="005505AF" w:rsidRPr="00053C62">
        <w:rPr>
          <w:rFonts w:ascii="Times New Roman" w:hAnsi="Times New Roman" w:cs="Times New Roman"/>
          <w:sz w:val="24"/>
          <w:szCs w:val="24"/>
        </w:rPr>
        <w:t>) et la réhabilitation des autres châteaux d’eau existants à Aéroport. Les</w:t>
      </w:r>
      <w:r>
        <w:rPr>
          <w:rFonts w:ascii="Times New Roman" w:hAnsi="Times New Roman" w:cs="Times New Roman"/>
          <w:sz w:val="24"/>
          <w:szCs w:val="24"/>
        </w:rPr>
        <w:t xml:space="preserve"> investissements prévus concerna</w:t>
      </w:r>
      <w:r w:rsidR="005505AF" w:rsidRPr="00053C62">
        <w:rPr>
          <w:rFonts w:ascii="Times New Roman" w:hAnsi="Times New Roman" w:cs="Times New Roman"/>
          <w:sz w:val="24"/>
          <w:szCs w:val="24"/>
        </w:rPr>
        <w:t>nt </w:t>
      </w:r>
      <w:r>
        <w:rPr>
          <w:rFonts w:ascii="Times New Roman" w:hAnsi="Times New Roman" w:cs="Times New Roman"/>
          <w:sz w:val="24"/>
          <w:szCs w:val="24"/>
        </w:rPr>
        <w:t xml:space="preserve">le </w:t>
      </w:r>
      <w:r w:rsidR="005505AF" w:rsidRPr="00053C62">
        <w:rPr>
          <w:rFonts w:ascii="Times New Roman" w:hAnsi="Times New Roman" w:cs="Times New Roman"/>
          <w:sz w:val="24"/>
          <w:szCs w:val="24"/>
        </w:rPr>
        <w:t>s</w:t>
      </w:r>
      <w:r>
        <w:rPr>
          <w:rFonts w:ascii="Times New Roman" w:hAnsi="Times New Roman" w:cs="Times New Roman"/>
          <w:sz w:val="24"/>
          <w:szCs w:val="24"/>
        </w:rPr>
        <w:t>ous-projet nº 02 se décrit sur l</w:t>
      </w:r>
      <w:r w:rsidR="005505AF" w:rsidRPr="00053C62">
        <w:rPr>
          <w:rFonts w:ascii="Times New Roman" w:hAnsi="Times New Roman" w:cs="Times New Roman"/>
          <w:sz w:val="24"/>
          <w:szCs w:val="24"/>
        </w:rPr>
        <w:t>e tableau ci-dessous :</w:t>
      </w:r>
    </w:p>
    <w:p w:rsidR="003D080D" w:rsidRPr="00053C62" w:rsidRDefault="003D080D" w:rsidP="003D080D">
      <w:pPr>
        <w:autoSpaceDE w:val="0"/>
        <w:autoSpaceDN w:val="0"/>
        <w:adjustRightInd w:val="0"/>
        <w:spacing w:after="0" w:line="240" w:lineRule="auto"/>
        <w:ind w:left="-284"/>
        <w:jc w:val="both"/>
        <w:rPr>
          <w:rFonts w:ascii="Times New Roman" w:hAnsi="Times New Roman" w:cs="Times New Roman"/>
          <w:sz w:val="24"/>
          <w:szCs w:val="24"/>
        </w:rPr>
      </w:pPr>
    </w:p>
    <w:tbl>
      <w:tblPr>
        <w:tblW w:w="529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2"/>
        <w:gridCol w:w="8376"/>
        <w:gridCol w:w="630"/>
        <w:gridCol w:w="828"/>
      </w:tblGrid>
      <w:tr w:rsidR="005505AF" w:rsidRPr="00053C62" w:rsidTr="003D080D">
        <w:trPr>
          <w:trHeight w:val="280"/>
          <w:jc w:val="center"/>
        </w:trPr>
        <w:tc>
          <w:tcPr>
            <w:tcW w:w="662" w:type="dxa"/>
            <w:shd w:val="clear" w:color="auto" w:fill="F2F2F2" w:themeFill="background1" w:themeFillShade="F2"/>
            <w:noWrap/>
            <w:vAlign w:val="center"/>
          </w:tcPr>
          <w:p w:rsidR="005505AF" w:rsidRPr="003D080D" w:rsidRDefault="005505AF" w:rsidP="001D1EBD">
            <w:pPr>
              <w:jc w:val="center"/>
              <w:rPr>
                <w:rFonts w:ascii="Times New Roman" w:hAnsi="Times New Roman" w:cs="Times New Roman"/>
                <w:b/>
                <w:bCs/>
                <w:color w:val="000000"/>
                <w:sz w:val="24"/>
                <w:szCs w:val="24"/>
              </w:rPr>
            </w:pPr>
            <w:r w:rsidRPr="003D080D">
              <w:rPr>
                <w:rFonts w:ascii="Times New Roman" w:hAnsi="Times New Roman" w:cs="Times New Roman"/>
                <w:b/>
                <w:bCs/>
                <w:color w:val="000000"/>
                <w:sz w:val="24"/>
                <w:szCs w:val="24"/>
              </w:rPr>
              <w:t>N°</w:t>
            </w:r>
          </w:p>
        </w:tc>
        <w:tc>
          <w:tcPr>
            <w:tcW w:w="8376" w:type="dxa"/>
            <w:shd w:val="clear" w:color="auto" w:fill="E7E6E6"/>
            <w:vAlign w:val="center"/>
          </w:tcPr>
          <w:p w:rsidR="005505AF" w:rsidRPr="00053C62" w:rsidRDefault="005505AF" w:rsidP="001D1EBD">
            <w:pPr>
              <w:jc w:val="center"/>
              <w:rPr>
                <w:rFonts w:ascii="Times New Roman" w:hAnsi="Times New Roman" w:cs="Times New Roman"/>
                <w:b/>
                <w:bCs/>
                <w:color w:val="000000"/>
                <w:sz w:val="24"/>
                <w:szCs w:val="24"/>
              </w:rPr>
            </w:pPr>
            <w:r w:rsidRPr="00053C62">
              <w:rPr>
                <w:rFonts w:ascii="Times New Roman" w:hAnsi="Times New Roman" w:cs="Times New Roman"/>
                <w:b/>
                <w:bCs/>
                <w:color w:val="000000"/>
                <w:sz w:val="24"/>
                <w:szCs w:val="24"/>
              </w:rPr>
              <w:t xml:space="preserve">Détail des activités du </w:t>
            </w:r>
            <w:r w:rsidR="00EE6ACD">
              <w:rPr>
                <w:rFonts w:ascii="Times New Roman" w:hAnsi="Times New Roman" w:cs="Times New Roman"/>
                <w:b/>
                <w:bCs/>
                <w:color w:val="000000"/>
                <w:sz w:val="24"/>
                <w:szCs w:val="24"/>
              </w:rPr>
              <w:t xml:space="preserve">sous- </w:t>
            </w:r>
            <w:r w:rsidRPr="00053C62">
              <w:rPr>
                <w:rFonts w:ascii="Times New Roman" w:hAnsi="Times New Roman" w:cs="Times New Roman"/>
                <w:b/>
                <w:bCs/>
                <w:color w:val="000000"/>
                <w:sz w:val="24"/>
                <w:szCs w:val="24"/>
              </w:rPr>
              <w:t>projet</w:t>
            </w:r>
            <w:r w:rsidR="00EE6ACD">
              <w:rPr>
                <w:rFonts w:ascii="Times New Roman" w:hAnsi="Times New Roman" w:cs="Times New Roman"/>
                <w:b/>
                <w:bCs/>
                <w:color w:val="000000"/>
                <w:sz w:val="24"/>
                <w:szCs w:val="24"/>
              </w:rPr>
              <w:t xml:space="preserve"> n°2</w:t>
            </w:r>
          </w:p>
        </w:tc>
        <w:tc>
          <w:tcPr>
            <w:tcW w:w="630" w:type="dxa"/>
            <w:shd w:val="clear" w:color="auto" w:fill="E7E6E6"/>
            <w:vAlign w:val="center"/>
          </w:tcPr>
          <w:p w:rsidR="005505AF" w:rsidRPr="00053C62" w:rsidRDefault="005505AF" w:rsidP="001D1EBD">
            <w:pPr>
              <w:jc w:val="center"/>
              <w:rPr>
                <w:rFonts w:ascii="Times New Roman" w:hAnsi="Times New Roman" w:cs="Times New Roman"/>
                <w:b/>
                <w:bCs/>
                <w:color w:val="000000"/>
                <w:sz w:val="24"/>
                <w:szCs w:val="24"/>
              </w:rPr>
            </w:pPr>
            <w:r w:rsidRPr="00053C62">
              <w:rPr>
                <w:rFonts w:ascii="Times New Roman" w:hAnsi="Times New Roman" w:cs="Times New Roman"/>
                <w:b/>
                <w:bCs/>
                <w:color w:val="000000"/>
                <w:sz w:val="24"/>
                <w:szCs w:val="24"/>
              </w:rPr>
              <w:t>Qté</w:t>
            </w:r>
          </w:p>
        </w:tc>
        <w:tc>
          <w:tcPr>
            <w:tcW w:w="828" w:type="dxa"/>
            <w:shd w:val="clear" w:color="auto" w:fill="E7E6E6"/>
            <w:vAlign w:val="center"/>
          </w:tcPr>
          <w:p w:rsidR="005505AF" w:rsidRPr="00053C62" w:rsidRDefault="005505AF" w:rsidP="001D1EBD">
            <w:pPr>
              <w:jc w:val="center"/>
              <w:rPr>
                <w:rFonts w:ascii="Times New Roman" w:hAnsi="Times New Roman" w:cs="Times New Roman"/>
                <w:b/>
                <w:bCs/>
                <w:color w:val="000000"/>
                <w:sz w:val="24"/>
                <w:szCs w:val="24"/>
              </w:rPr>
            </w:pPr>
            <w:r w:rsidRPr="00053C62">
              <w:rPr>
                <w:rFonts w:ascii="Times New Roman" w:hAnsi="Times New Roman" w:cs="Times New Roman"/>
                <w:b/>
                <w:bCs/>
                <w:color w:val="000000"/>
                <w:sz w:val="24"/>
                <w:szCs w:val="24"/>
              </w:rPr>
              <w:t>Unité</w:t>
            </w:r>
          </w:p>
        </w:tc>
      </w:tr>
      <w:tr w:rsidR="005505AF" w:rsidRPr="00053C62" w:rsidDel="001A6624" w:rsidTr="003D080D">
        <w:trPr>
          <w:trHeight w:val="280"/>
          <w:jc w:val="center"/>
        </w:trPr>
        <w:tc>
          <w:tcPr>
            <w:tcW w:w="662" w:type="dxa"/>
            <w:shd w:val="clear" w:color="auto" w:fill="F2F2F2" w:themeFill="background1" w:themeFillShade="F2"/>
            <w:noWrap/>
            <w:vAlign w:val="center"/>
          </w:tcPr>
          <w:p w:rsidR="005505AF" w:rsidRPr="003D080D" w:rsidRDefault="005505AF" w:rsidP="001D1EBD">
            <w:pPr>
              <w:jc w:val="center"/>
              <w:rPr>
                <w:rFonts w:ascii="Times New Roman" w:hAnsi="Times New Roman" w:cs="Times New Roman"/>
                <w:b/>
                <w:color w:val="000000"/>
                <w:sz w:val="24"/>
                <w:szCs w:val="24"/>
              </w:rPr>
            </w:pPr>
            <w:r w:rsidRPr="003D080D">
              <w:rPr>
                <w:rFonts w:ascii="Times New Roman" w:hAnsi="Times New Roman" w:cs="Times New Roman"/>
                <w:b/>
                <w:color w:val="000000"/>
                <w:sz w:val="24"/>
                <w:szCs w:val="24"/>
              </w:rPr>
              <w:t>01</w:t>
            </w:r>
          </w:p>
        </w:tc>
        <w:tc>
          <w:tcPr>
            <w:tcW w:w="8376" w:type="dxa"/>
            <w:shd w:val="clear" w:color="auto" w:fill="auto"/>
            <w:vAlign w:val="center"/>
          </w:tcPr>
          <w:p w:rsidR="005505AF" w:rsidRPr="00053C62" w:rsidRDefault="005505AF" w:rsidP="001D1EBD">
            <w:pPr>
              <w:jc w:val="both"/>
              <w:rPr>
                <w:rFonts w:ascii="Times New Roman" w:hAnsi="Times New Roman" w:cs="Times New Roman"/>
                <w:sz w:val="24"/>
                <w:szCs w:val="24"/>
              </w:rPr>
            </w:pPr>
            <w:r w:rsidRPr="00053C62">
              <w:rPr>
                <w:rFonts w:ascii="Times New Roman" w:hAnsi="Times New Roman" w:cs="Times New Roman"/>
                <w:sz w:val="24"/>
                <w:szCs w:val="24"/>
              </w:rPr>
              <w:t xml:space="preserve">Construction d'un réservoir de 300 m3 à </w:t>
            </w:r>
            <w:r w:rsidRPr="00053C62">
              <w:rPr>
                <w:rFonts w:ascii="Times New Roman" w:hAnsi="Times New Roman" w:cs="Times New Roman"/>
                <w:b/>
                <w:bCs/>
                <w:sz w:val="24"/>
                <w:szCs w:val="24"/>
              </w:rPr>
              <w:t xml:space="preserve">Bor </w:t>
            </w:r>
          </w:p>
        </w:tc>
        <w:tc>
          <w:tcPr>
            <w:tcW w:w="630" w:type="dxa"/>
            <w:shd w:val="clear" w:color="auto" w:fill="auto"/>
            <w:vAlign w:val="center"/>
          </w:tcPr>
          <w:p w:rsidR="005505AF" w:rsidRPr="00053C62" w:rsidRDefault="005505AF" w:rsidP="001D1EBD">
            <w:pPr>
              <w:jc w:val="center"/>
              <w:rPr>
                <w:rFonts w:ascii="Times New Roman" w:hAnsi="Times New Roman" w:cs="Times New Roman"/>
                <w:sz w:val="24"/>
                <w:szCs w:val="24"/>
              </w:rPr>
            </w:pPr>
            <w:r w:rsidRPr="00053C62">
              <w:rPr>
                <w:rFonts w:ascii="Times New Roman" w:hAnsi="Times New Roman" w:cs="Times New Roman"/>
                <w:sz w:val="24"/>
                <w:szCs w:val="24"/>
              </w:rPr>
              <w:t>1</w:t>
            </w:r>
          </w:p>
        </w:tc>
        <w:tc>
          <w:tcPr>
            <w:tcW w:w="828" w:type="dxa"/>
            <w:shd w:val="clear" w:color="auto" w:fill="auto"/>
            <w:vAlign w:val="center"/>
          </w:tcPr>
          <w:p w:rsidR="005505AF" w:rsidRPr="00053C62" w:rsidDel="001A6624" w:rsidRDefault="005505AF" w:rsidP="001D1EBD">
            <w:pPr>
              <w:jc w:val="center"/>
              <w:rPr>
                <w:rFonts w:ascii="Times New Roman" w:hAnsi="Times New Roman" w:cs="Times New Roman"/>
                <w:sz w:val="24"/>
                <w:szCs w:val="24"/>
              </w:rPr>
            </w:pPr>
            <w:r w:rsidRPr="00053C62">
              <w:rPr>
                <w:rFonts w:ascii="Times New Roman" w:hAnsi="Times New Roman" w:cs="Times New Roman"/>
                <w:sz w:val="24"/>
                <w:szCs w:val="24"/>
              </w:rPr>
              <w:t>U</w:t>
            </w:r>
          </w:p>
        </w:tc>
      </w:tr>
      <w:tr w:rsidR="005505AF" w:rsidRPr="00053C62" w:rsidDel="001A6624" w:rsidTr="003D080D">
        <w:trPr>
          <w:trHeight w:val="280"/>
          <w:jc w:val="center"/>
        </w:trPr>
        <w:tc>
          <w:tcPr>
            <w:tcW w:w="662" w:type="dxa"/>
            <w:shd w:val="clear" w:color="auto" w:fill="F2F2F2" w:themeFill="background1" w:themeFillShade="F2"/>
            <w:noWrap/>
            <w:vAlign w:val="center"/>
          </w:tcPr>
          <w:p w:rsidR="005505AF" w:rsidRPr="003D080D" w:rsidRDefault="005505AF" w:rsidP="001D1EBD">
            <w:pPr>
              <w:jc w:val="center"/>
              <w:rPr>
                <w:rFonts w:ascii="Times New Roman" w:hAnsi="Times New Roman" w:cs="Times New Roman"/>
                <w:b/>
                <w:color w:val="000000"/>
                <w:sz w:val="24"/>
                <w:szCs w:val="24"/>
              </w:rPr>
            </w:pPr>
            <w:r w:rsidRPr="003D080D">
              <w:rPr>
                <w:rFonts w:ascii="Times New Roman" w:hAnsi="Times New Roman" w:cs="Times New Roman"/>
                <w:b/>
                <w:color w:val="000000"/>
                <w:sz w:val="24"/>
                <w:szCs w:val="24"/>
              </w:rPr>
              <w:t>02</w:t>
            </w:r>
          </w:p>
        </w:tc>
        <w:tc>
          <w:tcPr>
            <w:tcW w:w="8376" w:type="dxa"/>
            <w:shd w:val="clear" w:color="auto" w:fill="auto"/>
            <w:vAlign w:val="center"/>
          </w:tcPr>
          <w:p w:rsidR="005505AF" w:rsidRPr="00053C62" w:rsidRDefault="005505AF" w:rsidP="001D1EBD">
            <w:pPr>
              <w:jc w:val="both"/>
              <w:rPr>
                <w:rFonts w:ascii="Times New Roman" w:hAnsi="Times New Roman" w:cs="Times New Roman"/>
                <w:sz w:val="24"/>
                <w:szCs w:val="24"/>
              </w:rPr>
            </w:pPr>
            <w:r w:rsidRPr="00053C62">
              <w:rPr>
                <w:rFonts w:ascii="Times New Roman" w:hAnsi="Times New Roman" w:cs="Times New Roman"/>
                <w:sz w:val="24"/>
                <w:szCs w:val="24"/>
              </w:rPr>
              <w:t>Construction d'un réservoir de 300 m3 à</w:t>
            </w:r>
            <w:r w:rsidRPr="00053C62">
              <w:rPr>
                <w:rFonts w:ascii="Times New Roman" w:hAnsi="Times New Roman" w:cs="Times New Roman"/>
                <w:b/>
                <w:sz w:val="24"/>
                <w:szCs w:val="24"/>
              </w:rPr>
              <w:t xml:space="preserve"> Safim</w:t>
            </w:r>
          </w:p>
        </w:tc>
        <w:tc>
          <w:tcPr>
            <w:tcW w:w="630" w:type="dxa"/>
            <w:shd w:val="clear" w:color="auto" w:fill="auto"/>
            <w:vAlign w:val="center"/>
          </w:tcPr>
          <w:p w:rsidR="005505AF" w:rsidRPr="00053C62" w:rsidRDefault="005505AF" w:rsidP="001D1EBD">
            <w:pPr>
              <w:jc w:val="center"/>
              <w:rPr>
                <w:rFonts w:ascii="Times New Roman" w:hAnsi="Times New Roman" w:cs="Times New Roman"/>
                <w:sz w:val="24"/>
                <w:szCs w:val="24"/>
              </w:rPr>
            </w:pPr>
            <w:r w:rsidRPr="00053C62">
              <w:rPr>
                <w:rFonts w:ascii="Times New Roman" w:hAnsi="Times New Roman" w:cs="Times New Roman"/>
                <w:sz w:val="24"/>
                <w:szCs w:val="24"/>
              </w:rPr>
              <w:t>1</w:t>
            </w:r>
          </w:p>
        </w:tc>
        <w:tc>
          <w:tcPr>
            <w:tcW w:w="828" w:type="dxa"/>
            <w:shd w:val="clear" w:color="auto" w:fill="auto"/>
            <w:vAlign w:val="center"/>
          </w:tcPr>
          <w:p w:rsidR="005505AF" w:rsidRPr="00053C62" w:rsidRDefault="005505AF" w:rsidP="001D1EBD">
            <w:pPr>
              <w:jc w:val="center"/>
              <w:rPr>
                <w:rFonts w:ascii="Times New Roman" w:hAnsi="Times New Roman" w:cs="Times New Roman"/>
                <w:sz w:val="24"/>
                <w:szCs w:val="24"/>
              </w:rPr>
            </w:pPr>
            <w:r w:rsidRPr="00053C62">
              <w:rPr>
                <w:rFonts w:ascii="Times New Roman" w:hAnsi="Times New Roman" w:cs="Times New Roman"/>
                <w:sz w:val="24"/>
                <w:szCs w:val="24"/>
              </w:rPr>
              <w:t>U</w:t>
            </w:r>
          </w:p>
        </w:tc>
      </w:tr>
      <w:tr w:rsidR="005505AF" w:rsidRPr="00053C62" w:rsidDel="001A6624" w:rsidTr="003D080D">
        <w:trPr>
          <w:trHeight w:val="280"/>
          <w:jc w:val="center"/>
        </w:trPr>
        <w:tc>
          <w:tcPr>
            <w:tcW w:w="662" w:type="dxa"/>
            <w:shd w:val="clear" w:color="auto" w:fill="F2F2F2" w:themeFill="background1" w:themeFillShade="F2"/>
            <w:noWrap/>
            <w:vAlign w:val="center"/>
          </w:tcPr>
          <w:p w:rsidR="005505AF" w:rsidRPr="003D080D" w:rsidRDefault="005505AF" w:rsidP="001D1EBD">
            <w:pPr>
              <w:jc w:val="center"/>
              <w:rPr>
                <w:rFonts w:ascii="Times New Roman" w:hAnsi="Times New Roman" w:cs="Times New Roman"/>
                <w:b/>
                <w:color w:val="000000"/>
                <w:sz w:val="24"/>
                <w:szCs w:val="24"/>
              </w:rPr>
            </w:pPr>
            <w:r w:rsidRPr="003D080D">
              <w:rPr>
                <w:rFonts w:ascii="Times New Roman" w:hAnsi="Times New Roman" w:cs="Times New Roman"/>
                <w:b/>
                <w:color w:val="000000"/>
                <w:sz w:val="24"/>
                <w:szCs w:val="24"/>
              </w:rPr>
              <w:t>03</w:t>
            </w:r>
          </w:p>
        </w:tc>
        <w:tc>
          <w:tcPr>
            <w:tcW w:w="8376" w:type="dxa"/>
            <w:shd w:val="clear" w:color="auto" w:fill="auto"/>
            <w:vAlign w:val="center"/>
          </w:tcPr>
          <w:p w:rsidR="005505AF" w:rsidRPr="00053C62" w:rsidRDefault="005505AF" w:rsidP="001D1EBD">
            <w:pPr>
              <w:jc w:val="both"/>
              <w:rPr>
                <w:rFonts w:ascii="Times New Roman" w:hAnsi="Times New Roman" w:cs="Times New Roman"/>
                <w:sz w:val="24"/>
                <w:szCs w:val="24"/>
              </w:rPr>
            </w:pPr>
            <w:r w:rsidRPr="00053C62">
              <w:rPr>
                <w:rFonts w:ascii="Times New Roman" w:hAnsi="Times New Roman" w:cs="Times New Roman"/>
                <w:sz w:val="24"/>
                <w:szCs w:val="24"/>
              </w:rPr>
              <w:t xml:space="preserve">Construction d'un réservoir de 100 m3 à </w:t>
            </w:r>
            <w:r w:rsidRPr="00053C62">
              <w:rPr>
                <w:rFonts w:ascii="Times New Roman" w:hAnsi="Times New Roman" w:cs="Times New Roman"/>
                <w:b/>
                <w:bCs/>
                <w:sz w:val="24"/>
                <w:szCs w:val="24"/>
              </w:rPr>
              <w:t>Prabis</w:t>
            </w:r>
          </w:p>
        </w:tc>
        <w:tc>
          <w:tcPr>
            <w:tcW w:w="630" w:type="dxa"/>
            <w:shd w:val="clear" w:color="auto" w:fill="auto"/>
            <w:vAlign w:val="center"/>
          </w:tcPr>
          <w:p w:rsidR="005505AF" w:rsidRPr="00053C62" w:rsidRDefault="005505AF" w:rsidP="001D1EBD">
            <w:pPr>
              <w:jc w:val="center"/>
              <w:rPr>
                <w:rFonts w:ascii="Times New Roman" w:hAnsi="Times New Roman" w:cs="Times New Roman"/>
                <w:sz w:val="24"/>
                <w:szCs w:val="24"/>
              </w:rPr>
            </w:pPr>
            <w:r w:rsidRPr="00053C62">
              <w:rPr>
                <w:rFonts w:ascii="Times New Roman" w:hAnsi="Times New Roman" w:cs="Times New Roman"/>
                <w:sz w:val="24"/>
                <w:szCs w:val="24"/>
              </w:rPr>
              <w:t>1</w:t>
            </w:r>
          </w:p>
        </w:tc>
        <w:tc>
          <w:tcPr>
            <w:tcW w:w="828" w:type="dxa"/>
            <w:shd w:val="clear" w:color="auto" w:fill="auto"/>
            <w:vAlign w:val="center"/>
          </w:tcPr>
          <w:p w:rsidR="005505AF" w:rsidRPr="00053C62" w:rsidDel="001A6624" w:rsidRDefault="005505AF" w:rsidP="001D1EBD">
            <w:pPr>
              <w:jc w:val="center"/>
              <w:rPr>
                <w:rFonts w:ascii="Times New Roman" w:hAnsi="Times New Roman" w:cs="Times New Roman"/>
                <w:sz w:val="24"/>
                <w:szCs w:val="24"/>
              </w:rPr>
            </w:pPr>
            <w:r w:rsidRPr="00053C62">
              <w:rPr>
                <w:rFonts w:ascii="Times New Roman" w:hAnsi="Times New Roman" w:cs="Times New Roman"/>
                <w:sz w:val="24"/>
                <w:szCs w:val="24"/>
              </w:rPr>
              <w:t>U</w:t>
            </w:r>
          </w:p>
        </w:tc>
      </w:tr>
      <w:tr w:rsidR="005505AF" w:rsidRPr="00053C62" w:rsidDel="001A6624" w:rsidTr="003D080D">
        <w:trPr>
          <w:trHeight w:val="280"/>
          <w:jc w:val="center"/>
        </w:trPr>
        <w:tc>
          <w:tcPr>
            <w:tcW w:w="662" w:type="dxa"/>
            <w:shd w:val="clear" w:color="auto" w:fill="F2F2F2" w:themeFill="background1" w:themeFillShade="F2"/>
            <w:noWrap/>
            <w:vAlign w:val="center"/>
          </w:tcPr>
          <w:p w:rsidR="005505AF" w:rsidRPr="003D080D" w:rsidRDefault="005505AF" w:rsidP="001D1EBD">
            <w:pPr>
              <w:jc w:val="center"/>
              <w:rPr>
                <w:rFonts w:ascii="Times New Roman" w:hAnsi="Times New Roman" w:cs="Times New Roman"/>
                <w:b/>
                <w:color w:val="000000"/>
                <w:sz w:val="24"/>
                <w:szCs w:val="24"/>
              </w:rPr>
            </w:pPr>
            <w:r w:rsidRPr="003D080D">
              <w:rPr>
                <w:rFonts w:ascii="Times New Roman" w:hAnsi="Times New Roman" w:cs="Times New Roman"/>
                <w:b/>
                <w:color w:val="000000"/>
                <w:sz w:val="24"/>
                <w:szCs w:val="24"/>
              </w:rPr>
              <w:t>04</w:t>
            </w:r>
          </w:p>
        </w:tc>
        <w:tc>
          <w:tcPr>
            <w:tcW w:w="8376" w:type="dxa"/>
            <w:shd w:val="clear" w:color="auto" w:fill="auto"/>
            <w:vAlign w:val="center"/>
          </w:tcPr>
          <w:p w:rsidR="005505AF" w:rsidRPr="00053C62" w:rsidRDefault="005505AF" w:rsidP="001D1EBD">
            <w:pPr>
              <w:jc w:val="both"/>
              <w:rPr>
                <w:rFonts w:ascii="Times New Roman" w:hAnsi="Times New Roman" w:cs="Times New Roman"/>
                <w:sz w:val="24"/>
                <w:szCs w:val="24"/>
              </w:rPr>
            </w:pPr>
            <w:r w:rsidRPr="00053C62">
              <w:rPr>
                <w:rFonts w:ascii="Times New Roman" w:hAnsi="Times New Roman" w:cs="Times New Roman"/>
                <w:sz w:val="24"/>
                <w:szCs w:val="24"/>
              </w:rPr>
              <w:t>Réhabilitation du réservoir</w:t>
            </w:r>
            <w:r w:rsidR="003D080D">
              <w:rPr>
                <w:rFonts w:ascii="Times New Roman" w:hAnsi="Times New Roman" w:cs="Times New Roman"/>
                <w:sz w:val="24"/>
                <w:szCs w:val="24"/>
              </w:rPr>
              <w:t xml:space="preserve"> </w:t>
            </w:r>
            <w:r w:rsidRPr="00053C62">
              <w:rPr>
                <w:rFonts w:ascii="Times New Roman" w:hAnsi="Times New Roman" w:cs="Times New Roman"/>
                <w:sz w:val="24"/>
                <w:szCs w:val="24"/>
              </w:rPr>
              <w:t xml:space="preserve">1 en béton armé de 100 m3, </w:t>
            </w:r>
            <w:r w:rsidRPr="00053C62">
              <w:rPr>
                <w:rFonts w:ascii="Times New Roman" w:hAnsi="Times New Roman" w:cs="Times New Roman"/>
                <w:b/>
                <w:bCs/>
                <w:sz w:val="24"/>
                <w:szCs w:val="24"/>
              </w:rPr>
              <w:t>quartier aéroport</w:t>
            </w:r>
          </w:p>
        </w:tc>
        <w:tc>
          <w:tcPr>
            <w:tcW w:w="630" w:type="dxa"/>
            <w:shd w:val="clear" w:color="auto" w:fill="auto"/>
            <w:vAlign w:val="center"/>
          </w:tcPr>
          <w:p w:rsidR="005505AF" w:rsidRPr="00053C62" w:rsidRDefault="005505AF" w:rsidP="001D1EBD">
            <w:pPr>
              <w:jc w:val="center"/>
              <w:rPr>
                <w:rFonts w:ascii="Times New Roman" w:hAnsi="Times New Roman" w:cs="Times New Roman"/>
                <w:sz w:val="24"/>
                <w:szCs w:val="24"/>
              </w:rPr>
            </w:pPr>
            <w:r w:rsidRPr="00053C62">
              <w:rPr>
                <w:rFonts w:ascii="Times New Roman" w:hAnsi="Times New Roman" w:cs="Times New Roman"/>
                <w:sz w:val="24"/>
                <w:szCs w:val="24"/>
              </w:rPr>
              <w:t>1</w:t>
            </w:r>
          </w:p>
        </w:tc>
        <w:tc>
          <w:tcPr>
            <w:tcW w:w="828" w:type="dxa"/>
            <w:shd w:val="clear" w:color="auto" w:fill="auto"/>
            <w:vAlign w:val="center"/>
          </w:tcPr>
          <w:p w:rsidR="005505AF" w:rsidRPr="00053C62" w:rsidDel="001A6624" w:rsidRDefault="005505AF" w:rsidP="001D1EBD">
            <w:pPr>
              <w:jc w:val="center"/>
              <w:rPr>
                <w:rFonts w:ascii="Times New Roman" w:hAnsi="Times New Roman" w:cs="Times New Roman"/>
                <w:sz w:val="24"/>
                <w:szCs w:val="24"/>
              </w:rPr>
            </w:pPr>
            <w:r w:rsidRPr="00053C62">
              <w:rPr>
                <w:rFonts w:ascii="Times New Roman" w:hAnsi="Times New Roman" w:cs="Times New Roman"/>
                <w:sz w:val="24"/>
                <w:szCs w:val="24"/>
              </w:rPr>
              <w:t>U</w:t>
            </w:r>
          </w:p>
        </w:tc>
      </w:tr>
      <w:tr w:rsidR="005505AF" w:rsidRPr="00053C62" w:rsidDel="001A6624" w:rsidTr="003D080D">
        <w:trPr>
          <w:trHeight w:val="280"/>
          <w:jc w:val="center"/>
        </w:trPr>
        <w:tc>
          <w:tcPr>
            <w:tcW w:w="662" w:type="dxa"/>
            <w:shd w:val="clear" w:color="auto" w:fill="F2F2F2" w:themeFill="background1" w:themeFillShade="F2"/>
            <w:noWrap/>
            <w:vAlign w:val="center"/>
          </w:tcPr>
          <w:p w:rsidR="005505AF" w:rsidRPr="003D080D" w:rsidRDefault="005505AF" w:rsidP="001D1EBD">
            <w:pPr>
              <w:jc w:val="center"/>
              <w:rPr>
                <w:rFonts w:ascii="Times New Roman" w:hAnsi="Times New Roman" w:cs="Times New Roman"/>
                <w:b/>
                <w:color w:val="000000"/>
                <w:sz w:val="24"/>
                <w:szCs w:val="24"/>
              </w:rPr>
            </w:pPr>
            <w:r w:rsidRPr="003D080D">
              <w:rPr>
                <w:rFonts w:ascii="Times New Roman" w:hAnsi="Times New Roman" w:cs="Times New Roman"/>
                <w:b/>
                <w:color w:val="000000"/>
                <w:sz w:val="24"/>
                <w:szCs w:val="24"/>
              </w:rPr>
              <w:t>05</w:t>
            </w:r>
          </w:p>
        </w:tc>
        <w:tc>
          <w:tcPr>
            <w:tcW w:w="8376" w:type="dxa"/>
            <w:shd w:val="clear" w:color="auto" w:fill="auto"/>
            <w:vAlign w:val="center"/>
          </w:tcPr>
          <w:p w:rsidR="005505AF" w:rsidRPr="00053C62" w:rsidRDefault="005505AF" w:rsidP="001D1EBD">
            <w:pPr>
              <w:jc w:val="both"/>
              <w:rPr>
                <w:rFonts w:ascii="Times New Roman" w:hAnsi="Times New Roman" w:cs="Times New Roman"/>
                <w:sz w:val="24"/>
                <w:szCs w:val="24"/>
              </w:rPr>
            </w:pPr>
            <w:r w:rsidRPr="00053C62">
              <w:rPr>
                <w:rFonts w:ascii="Times New Roman" w:hAnsi="Times New Roman" w:cs="Times New Roman"/>
                <w:sz w:val="24"/>
                <w:szCs w:val="24"/>
              </w:rPr>
              <w:t>Réhabilitation du réservoir</w:t>
            </w:r>
            <w:r w:rsidR="003D080D">
              <w:rPr>
                <w:rFonts w:ascii="Times New Roman" w:hAnsi="Times New Roman" w:cs="Times New Roman"/>
                <w:sz w:val="24"/>
                <w:szCs w:val="24"/>
              </w:rPr>
              <w:t xml:space="preserve"> 2</w:t>
            </w:r>
            <w:r w:rsidRPr="00053C62">
              <w:rPr>
                <w:rFonts w:ascii="Times New Roman" w:hAnsi="Times New Roman" w:cs="Times New Roman"/>
                <w:sz w:val="24"/>
                <w:szCs w:val="24"/>
              </w:rPr>
              <w:t xml:space="preserve"> en béton armé de 100 m3, </w:t>
            </w:r>
            <w:r w:rsidRPr="00053C62">
              <w:rPr>
                <w:rFonts w:ascii="Times New Roman" w:hAnsi="Times New Roman" w:cs="Times New Roman"/>
                <w:b/>
                <w:bCs/>
                <w:sz w:val="24"/>
                <w:szCs w:val="24"/>
              </w:rPr>
              <w:t>quartier aéroport</w:t>
            </w:r>
          </w:p>
        </w:tc>
        <w:tc>
          <w:tcPr>
            <w:tcW w:w="630" w:type="dxa"/>
            <w:shd w:val="clear" w:color="auto" w:fill="auto"/>
            <w:vAlign w:val="center"/>
          </w:tcPr>
          <w:p w:rsidR="005505AF" w:rsidRPr="00053C62" w:rsidRDefault="005505AF" w:rsidP="001D1EBD">
            <w:pPr>
              <w:jc w:val="center"/>
              <w:rPr>
                <w:rFonts w:ascii="Times New Roman" w:hAnsi="Times New Roman" w:cs="Times New Roman"/>
                <w:sz w:val="24"/>
                <w:szCs w:val="24"/>
              </w:rPr>
            </w:pPr>
            <w:r w:rsidRPr="00053C62">
              <w:rPr>
                <w:rFonts w:ascii="Times New Roman" w:hAnsi="Times New Roman" w:cs="Times New Roman"/>
                <w:sz w:val="24"/>
                <w:szCs w:val="24"/>
              </w:rPr>
              <w:t>1</w:t>
            </w:r>
          </w:p>
        </w:tc>
        <w:tc>
          <w:tcPr>
            <w:tcW w:w="828" w:type="dxa"/>
            <w:shd w:val="clear" w:color="auto" w:fill="auto"/>
            <w:vAlign w:val="center"/>
          </w:tcPr>
          <w:p w:rsidR="005505AF" w:rsidRPr="00053C62" w:rsidRDefault="005505AF" w:rsidP="001D1EBD">
            <w:pPr>
              <w:jc w:val="center"/>
              <w:rPr>
                <w:rFonts w:ascii="Times New Roman" w:hAnsi="Times New Roman" w:cs="Times New Roman"/>
                <w:sz w:val="24"/>
                <w:szCs w:val="24"/>
              </w:rPr>
            </w:pPr>
            <w:r w:rsidRPr="00053C62">
              <w:rPr>
                <w:rFonts w:ascii="Times New Roman" w:hAnsi="Times New Roman" w:cs="Times New Roman"/>
                <w:sz w:val="24"/>
                <w:szCs w:val="24"/>
              </w:rPr>
              <w:t>U</w:t>
            </w:r>
          </w:p>
        </w:tc>
      </w:tr>
      <w:tr w:rsidR="005505AF" w:rsidRPr="00053C62" w:rsidDel="001A6624" w:rsidTr="003D080D">
        <w:trPr>
          <w:trHeight w:val="280"/>
          <w:jc w:val="center"/>
        </w:trPr>
        <w:tc>
          <w:tcPr>
            <w:tcW w:w="662" w:type="dxa"/>
            <w:shd w:val="clear" w:color="auto" w:fill="F2F2F2" w:themeFill="background1" w:themeFillShade="F2"/>
            <w:noWrap/>
            <w:vAlign w:val="center"/>
          </w:tcPr>
          <w:p w:rsidR="005505AF" w:rsidRPr="003D080D" w:rsidRDefault="005505AF" w:rsidP="001D1EBD">
            <w:pPr>
              <w:jc w:val="center"/>
              <w:rPr>
                <w:rFonts w:ascii="Times New Roman" w:hAnsi="Times New Roman" w:cs="Times New Roman"/>
                <w:b/>
                <w:color w:val="000000"/>
                <w:sz w:val="24"/>
                <w:szCs w:val="24"/>
              </w:rPr>
            </w:pPr>
            <w:r w:rsidRPr="003D080D">
              <w:rPr>
                <w:rFonts w:ascii="Times New Roman" w:hAnsi="Times New Roman" w:cs="Times New Roman"/>
                <w:b/>
                <w:color w:val="000000"/>
                <w:sz w:val="24"/>
                <w:szCs w:val="24"/>
              </w:rPr>
              <w:t>06</w:t>
            </w:r>
          </w:p>
        </w:tc>
        <w:tc>
          <w:tcPr>
            <w:tcW w:w="8376" w:type="dxa"/>
            <w:shd w:val="clear" w:color="auto" w:fill="auto"/>
            <w:vAlign w:val="center"/>
          </w:tcPr>
          <w:p w:rsidR="005505AF" w:rsidRPr="00053C62" w:rsidRDefault="005505AF" w:rsidP="001D1EBD">
            <w:pPr>
              <w:jc w:val="both"/>
              <w:rPr>
                <w:rFonts w:ascii="Times New Roman" w:hAnsi="Times New Roman" w:cs="Times New Roman"/>
                <w:sz w:val="24"/>
                <w:szCs w:val="24"/>
              </w:rPr>
            </w:pPr>
            <w:r w:rsidRPr="00053C62">
              <w:rPr>
                <w:rFonts w:ascii="Times New Roman" w:hAnsi="Times New Roman" w:cs="Times New Roman"/>
                <w:sz w:val="24"/>
                <w:szCs w:val="24"/>
              </w:rPr>
              <w:t xml:space="preserve">Construction d'un réservoir de 100 m3 à </w:t>
            </w:r>
            <w:r w:rsidRPr="00053C62">
              <w:rPr>
                <w:rFonts w:ascii="Times New Roman" w:hAnsi="Times New Roman" w:cs="Times New Roman"/>
                <w:b/>
                <w:bCs/>
                <w:sz w:val="24"/>
                <w:szCs w:val="24"/>
              </w:rPr>
              <w:t>Antula-Pime</w:t>
            </w:r>
          </w:p>
        </w:tc>
        <w:tc>
          <w:tcPr>
            <w:tcW w:w="630" w:type="dxa"/>
            <w:shd w:val="clear" w:color="auto" w:fill="auto"/>
            <w:vAlign w:val="center"/>
          </w:tcPr>
          <w:p w:rsidR="005505AF" w:rsidRPr="00053C62" w:rsidRDefault="005505AF" w:rsidP="001D1EBD">
            <w:pPr>
              <w:jc w:val="center"/>
              <w:rPr>
                <w:rFonts w:ascii="Times New Roman" w:hAnsi="Times New Roman" w:cs="Times New Roman"/>
                <w:sz w:val="24"/>
                <w:szCs w:val="24"/>
              </w:rPr>
            </w:pPr>
            <w:r w:rsidRPr="00053C62">
              <w:rPr>
                <w:rFonts w:ascii="Times New Roman" w:hAnsi="Times New Roman" w:cs="Times New Roman"/>
                <w:sz w:val="24"/>
                <w:szCs w:val="24"/>
              </w:rPr>
              <w:t>1</w:t>
            </w:r>
          </w:p>
        </w:tc>
        <w:tc>
          <w:tcPr>
            <w:tcW w:w="828" w:type="dxa"/>
            <w:shd w:val="clear" w:color="auto" w:fill="auto"/>
            <w:vAlign w:val="center"/>
          </w:tcPr>
          <w:p w:rsidR="005505AF" w:rsidRPr="00053C62" w:rsidRDefault="005505AF" w:rsidP="001D1EBD">
            <w:pPr>
              <w:jc w:val="center"/>
              <w:rPr>
                <w:rFonts w:ascii="Times New Roman" w:hAnsi="Times New Roman" w:cs="Times New Roman"/>
                <w:sz w:val="24"/>
                <w:szCs w:val="24"/>
              </w:rPr>
            </w:pPr>
            <w:r w:rsidRPr="00053C62">
              <w:rPr>
                <w:rFonts w:ascii="Times New Roman" w:hAnsi="Times New Roman" w:cs="Times New Roman"/>
                <w:sz w:val="24"/>
                <w:szCs w:val="24"/>
              </w:rPr>
              <w:t>U</w:t>
            </w:r>
          </w:p>
        </w:tc>
      </w:tr>
    </w:tbl>
    <w:p w:rsidR="009B02CA" w:rsidRPr="0081268A" w:rsidRDefault="009B02CA" w:rsidP="009B02CA">
      <w:pPr>
        <w:spacing w:after="120"/>
        <w:jc w:val="both"/>
        <w:rPr>
          <w:rFonts w:ascii="Times New Roman" w:hAnsi="Times New Roman" w:cs="Times New Roman"/>
          <w:b/>
          <w:sz w:val="24"/>
          <w:szCs w:val="24"/>
          <w:lang w:bidi="fr-FR"/>
        </w:rPr>
      </w:pPr>
    </w:p>
    <w:p w:rsidR="00401F17" w:rsidRDefault="00401F17" w:rsidP="003D080D">
      <w:pPr>
        <w:autoSpaceDE w:val="0"/>
        <w:autoSpaceDN w:val="0"/>
        <w:adjustRightInd w:val="0"/>
        <w:spacing w:after="0" w:line="240" w:lineRule="auto"/>
        <w:ind w:left="-284"/>
        <w:jc w:val="both"/>
        <w:rPr>
          <w:rFonts w:ascii="Times New Roman" w:hAnsi="Times New Roman" w:cs="Times New Roman"/>
          <w:sz w:val="24"/>
          <w:szCs w:val="24"/>
        </w:rPr>
      </w:pPr>
      <w:r w:rsidRPr="0081268A">
        <w:rPr>
          <w:rFonts w:ascii="Times New Roman" w:hAnsi="Times New Roman" w:cs="Times New Roman"/>
          <w:sz w:val="24"/>
          <w:szCs w:val="24"/>
        </w:rPr>
        <w:t>En outre</w:t>
      </w:r>
      <w:r w:rsidR="00C47B3F" w:rsidRPr="0081268A">
        <w:rPr>
          <w:rFonts w:ascii="Times New Roman" w:hAnsi="Times New Roman" w:cs="Times New Roman"/>
          <w:sz w:val="24"/>
          <w:szCs w:val="24"/>
        </w:rPr>
        <w:t>,</w:t>
      </w:r>
      <w:r w:rsidRPr="0081268A">
        <w:rPr>
          <w:rFonts w:ascii="Times New Roman" w:hAnsi="Times New Roman" w:cs="Times New Roman"/>
          <w:sz w:val="24"/>
          <w:szCs w:val="24"/>
        </w:rPr>
        <w:t xml:space="preserve"> il faudra compter sur la construction du réservoir </w:t>
      </w:r>
      <w:r w:rsidR="00217DAE" w:rsidRPr="0081268A">
        <w:rPr>
          <w:rFonts w:ascii="Times New Roman" w:hAnsi="Times New Roman" w:cs="Times New Roman"/>
          <w:sz w:val="24"/>
          <w:szCs w:val="24"/>
        </w:rPr>
        <w:t>prévu</w:t>
      </w:r>
      <w:r w:rsidRPr="0081268A">
        <w:rPr>
          <w:rFonts w:ascii="Times New Roman" w:hAnsi="Times New Roman" w:cs="Times New Roman"/>
          <w:sz w:val="24"/>
          <w:szCs w:val="24"/>
        </w:rPr>
        <w:t xml:space="preserve"> pour Bôr et la réhabilitation de 2 réservoirs de l’</w:t>
      </w:r>
      <w:r w:rsidR="0081268A" w:rsidRPr="0081268A">
        <w:rPr>
          <w:rFonts w:ascii="Times New Roman" w:hAnsi="Times New Roman" w:cs="Times New Roman"/>
          <w:sz w:val="24"/>
          <w:szCs w:val="24"/>
        </w:rPr>
        <w:t>Aéroport</w:t>
      </w:r>
      <w:r w:rsidRPr="0081268A">
        <w:rPr>
          <w:rFonts w:ascii="Times New Roman" w:hAnsi="Times New Roman" w:cs="Times New Roman"/>
          <w:sz w:val="24"/>
          <w:szCs w:val="24"/>
        </w:rPr>
        <w:t xml:space="preserve"> (actuellement hors-service). Pour atteindre le volume réputé </w:t>
      </w:r>
      <w:r w:rsidR="00C47B3F" w:rsidRPr="0081268A">
        <w:rPr>
          <w:rFonts w:ascii="Times New Roman" w:hAnsi="Times New Roman" w:cs="Times New Roman"/>
          <w:sz w:val="24"/>
          <w:szCs w:val="24"/>
        </w:rPr>
        <w:t>nécessaire</w:t>
      </w:r>
      <w:r w:rsidRPr="0081268A">
        <w:rPr>
          <w:rFonts w:ascii="Times New Roman" w:hAnsi="Times New Roman" w:cs="Times New Roman"/>
          <w:sz w:val="24"/>
          <w:szCs w:val="24"/>
        </w:rPr>
        <w:t xml:space="preserve"> par les études de 2015, mises à jour en date de mai </w:t>
      </w:r>
      <w:r w:rsidR="00C47B3F" w:rsidRPr="0081268A">
        <w:rPr>
          <w:rFonts w:ascii="Times New Roman" w:hAnsi="Times New Roman" w:cs="Times New Roman"/>
          <w:sz w:val="24"/>
          <w:szCs w:val="24"/>
        </w:rPr>
        <w:t>2019, pour</w:t>
      </w:r>
      <w:r w:rsidRPr="0081268A">
        <w:rPr>
          <w:rFonts w:ascii="Times New Roman" w:hAnsi="Times New Roman" w:cs="Times New Roman"/>
          <w:sz w:val="24"/>
          <w:szCs w:val="24"/>
        </w:rPr>
        <w:t xml:space="preserve"> le système de Bissau (pour lequel les réservoirs de Safim et Prabis ne comptent pas), il faudra donc rechercher pour ces réservoirs (Bôr, Aeroport1 et Aeroport2</w:t>
      </w:r>
      <w:r w:rsidRPr="003D080D">
        <w:rPr>
          <w:rFonts w:ascii="Times New Roman" w:hAnsi="Times New Roman" w:cs="Times New Roman"/>
          <w:sz w:val="24"/>
          <w:szCs w:val="24"/>
        </w:rPr>
        <w:t xml:space="preserve">) </w:t>
      </w:r>
      <w:r w:rsidRPr="0081268A">
        <w:rPr>
          <w:rFonts w:ascii="Times New Roman" w:hAnsi="Times New Roman" w:cs="Times New Roman"/>
          <w:sz w:val="24"/>
          <w:szCs w:val="24"/>
        </w:rPr>
        <w:t xml:space="preserve">une capacité </w:t>
      </w:r>
      <w:r w:rsidR="00C47B3F" w:rsidRPr="0081268A">
        <w:rPr>
          <w:rFonts w:ascii="Times New Roman" w:hAnsi="Times New Roman" w:cs="Times New Roman"/>
          <w:sz w:val="24"/>
          <w:szCs w:val="24"/>
        </w:rPr>
        <w:t>additionnelle</w:t>
      </w:r>
      <w:r w:rsidRPr="0081268A">
        <w:rPr>
          <w:rFonts w:ascii="Times New Roman" w:hAnsi="Times New Roman" w:cs="Times New Roman"/>
          <w:sz w:val="24"/>
          <w:szCs w:val="24"/>
        </w:rPr>
        <w:t xml:space="preserve"> totale la plus proche possible de 2.011 m</w:t>
      </w:r>
      <w:r w:rsidRPr="003D080D">
        <w:rPr>
          <w:rFonts w:ascii="Times New Roman" w:hAnsi="Times New Roman" w:cs="Times New Roman"/>
          <w:sz w:val="24"/>
          <w:szCs w:val="24"/>
        </w:rPr>
        <w:t>3</w:t>
      </w:r>
      <w:r w:rsidRPr="0081268A">
        <w:rPr>
          <w:rFonts w:ascii="Times New Roman" w:hAnsi="Times New Roman" w:cs="Times New Roman"/>
          <w:sz w:val="24"/>
          <w:szCs w:val="24"/>
        </w:rPr>
        <w:t xml:space="preserve"> (3 411 m</w:t>
      </w:r>
      <w:r w:rsidRPr="003D080D">
        <w:rPr>
          <w:rFonts w:ascii="Times New Roman" w:hAnsi="Times New Roman" w:cs="Times New Roman"/>
          <w:sz w:val="24"/>
          <w:szCs w:val="24"/>
        </w:rPr>
        <w:t>3</w:t>
      </w:r>
      <w:r w:rsidRPr="0081268A">
        <w:rPr>
          <w:rFonts w:ascii="Times New Roman" w:hAnsi="Times New Roman" w:cs="Times New Roman"/>
          <w:sz w:val="24"/>
          <w:szCs w:val="24"/>
        </w:rPr>
        <w:t xml:space="preserve"> – 1400 m</w:t>
      </w:r>
      <w:r w:rsidRPr="003D080D">
        <w:rPr>
          <w:rFonts w:ascii="Times New Roman" w:hAnsi="Times New Roman" w:cs="Times New Roman"/>
          <w:sz w:val="24"/>
          <w:szCs w:val="24"/>
        </w:rPr>
        <w:t>3</w:t>
      </w:r>
      <w:r w:rsidRPr="0081268A">
        <w:rPr>
          <w:rFonts w:ascii="Times New Roman" w:hAnsi="Times New Roman" w:cs="Times New Roman"/>
          <w:sz w:val="24"/>
          <w:szCs w:val="24"/>
        </w:rPr>
        <w:t>).</w:t>
      </w:r>
    </w:p>
    <w:p w:rsidR="003D080D" w:rsidRPr="0081268A" w:rsidRDefault="003D080D" w:rsidP="003D080D">
      <w:pPr>
        <w:autoSpaceDE w:val="0"/>
        <w:autoSpaceDN w:val="0"/>
        <w:adjustRightInd w:val="0"/>
        <w:spacing w:after="0" w:line="240" w:lineRule="auto"/>
        <w:ind w:left="-284"/>
        <w:jc w:val="both"/>
        <w:rPr>
          <w:rFonts w:ascii="Times New Roman" w:hAnsi="Times New Roman" w:cs="Times New Roman"/>
          <w:sz w:val="24"/>
          <w:szCs w:val="24"/>
        </w:rPr>
      </w:pPr>
    </w:p>
    <w:p w:rsidR="00401F17" w:rsidRDefault="00401F17" w:rsidP="00EE6ACD">
      <w:pPr>
        <w:autoSpaceDE w:val="0"/>
        <w:autoSpaceDN w:val="0"/>
        <w:adjustRightInd w:val="0"/>
        <w:spacing w:after="0" w:line="240" w:lineRule="auto"/>
        <w:ind w:left="-284"/>
        <w:jc w:val="both"/>
        <w:rPr>
          <w:rFonts w:ascii="Times New Roman" w:hAnsi="Times New Roman" w:cs="Times New Roman"/>
          <w:sz w:val="24"/>
          <w:szCs w:val="24"/>
        </w:rPr>
      </w:pPr>
      <w:r w:rsidRPr="0081268A">
        <w:rPr>
          <w:rFonts w:ascii="Times New Roman" w:hAnsi="Times New Roman" w:cs="Times New Roman"/>
          <w:sz w:val="24"/>
          <w:szCs w:val="24"/>
        </w:rPr>
        <w:t xml:space="preserve">La capacité totale </w:t>
      </w:r>
      <w:r w:rsidR="00C47B3F" w:rsidRPr="0081268A">
        <w:rPr>
          <w:rFonts w:ascii="Times New Roman" w:hAnsi="Times New Roman" w:cs="Times New Roman"/>
          <w:sz w:val="24"/>
          <w:szCs w:val="24"/>
        </w:rPr>
        <w:t>de</w:t>
      </w:r>
      <w:r w:rsidRPr="0081268A">
        <w:rPr>
          <w:rFonts w:ascii="Times New Roman" w:hAnsi="Times New Roman" w:cs="Times New Roman"/>
          <w:sz w:val="24"/>
          <w:szCs w:val="24"/>
        </w:rPr>
        <w:t xml:space="preserve"> ces réservoirs sera donc de 2.450 m</w:t>
      </w:r>
      <w:r w:rsidR="00225743" w:rsidRPr="00EE6ACD">
        <w:rPr>
          <w:rFonts w:ascii="Times New Roman" w:hAnsi="Times New Roman" w:cs="Times New Roman"/>
          <w:sz w:val="24"/>
          <w:szCs w:val="24"/>
        </w:rPr>
        <w:t>3</w:t>
      </w:r>
      <w:r w:rsidR="00225743" w:rsidRPr="0081268A">
        <w:rPr>
          <w:rFonts w:ascii="Times New Roman" w:hAnsi="Times New Roman" w:cs="Times New Roman"/>
          <w:sz w:val="24"/>
          <w:szCs w:val="24"/>
        </w:rPr>
        <w:t xml:space="preserve"> </w:t>
      </w:r>
      <w:r w:rsidRPr="0081268A">
        <w:rPr>
          <w:rFonts w:ascii="Times New Roman" w:hAnsi="Times New Roman" w:cs="Times New Roman"/>
          <w:sz w:val="24"/>
          <w:szCs w:val="24"/>
        </w:rPr>
        <w:t>ou 2.050 m</w:t>
      </w:r>
      <w:r w:rsidRPr="00EE6ACD">
        <w:rPr>
          <w:rFonts w:ascii="Times New Roman" w:hAnsi="Times New Roman" w:cs="Times New Roman"/>
          <w:sz w:val="24"/>
          <w:szCs w:val="24"/>
        </w:rPr>
        <w:t>3</w:t>
      </w:r>
      <w:r w:rsidRPr="0081268A">
        <w:rPr>
          <w:rFonts w:ascii="Times New Roman" w:hAnsi="Times New Roman" w:cs="Times New Roman"/>
          <w:sz w:val="24"/>
          <w:szCs w:val="24"/>
        </w:rPr>
        <w:t xml:space="preserve">, au cas </w:t>
      </w:r>
      <w:r w:rsidR="00225743" w:rsidRPr="0081268A">
        <w:rPr>
          <w:rFonts w:ascii="Times New Roman" w:hAnsi="Times New Roman" w:cs="Times New Roman"/>
          <w:sz w:val="24"/>
          <w:szCs w:val="24"/>
        </w:rPr>
        <w:t>où le CE de Antu</w:t>
      </w:r>
      <w:r w:rsidRPr="0081268A">
        <w:rPr>
          <w:rFonts w:ascii="Times New Roman" w:hAnsi="Times New Roman" w:cs="Times New Roman"/>
          <w:sz w:val="24"/>
          <w:szCs w:val="24"/>
        </w:rPr>
        <w:t>la Bono sera de 300 m</w:t>
      </w:r>
      <w:r w:rsidRPr="00EE6ACD">
        <w:rPr>
          <w:rFonts w:ascii="Times New Roman" w:hAnsi="Times New Roman" w:cs="Times New Roman"/>
          <w:sz w:val="24"/>
          <w:szCs w:val="24"/>
        </w:rPr>
        <w:t>3</w:t>
      </w:r>
      <w:r w:rsidRPr="0081268A">
        <w:rPr>
          <w:rFonts w:ascii="Times New Roman" w:hAnsi="Times New Roman" w:cs="Times New Roman"/>
          <w:sz w:val="24"/>
          <w:szCs w:val="24"/>
        </w:rPr>
        <w:t>) Si cette capacité peut être atteinte, le déficit de capacité du réseau d’AEP de la ville de Bissau à combler, de 3411 m</w:t>
      </w:r>
      <w:r w:rsidRPr="00EE6ACD">
        <w:rPr>
          <w:rFonts w:ascii="Times New Roman" w:hAnsi="Times New Roman" w:cs="Times New Roman"/>
          <w:sz w:val="24"/>
          <w:szCs w:val="24"/>
        </w:rPr>
        <w:t>3</w:t>
      </w:r>
      <w:r w:rsidRPr="0081268A">
        <w:rPr>
          <w:rFonts w:ascii="Times New Roman" w:hAnsi="Times New Roman" w:cs="Times New Roman"/>
          <w:sz w:val="24"/>
          <w:szCs w:val="24"/>
        </w:rPr>
        <w:t xml:space="preserve">, sera </w:t>
      </w:r>
      <w:r w:rsidR="00225743" w:rsidRPr="0081268A">
        <w:rPr>
          <w:rFonts w:ascii="Times New Roman" w:hAnsi="Times New Roman" w:cs="Times New Roman"/>
          <w:sz w:val="24"/>
          <w:szCs w:val="24"/>
        </w:rPr>
        <w:t>réduit</w:t>
      </w:r>
      <w:r w:rsidRPr="0081268A">
        <w:rPr>
          <w:rFonts w:ascii="Times New Roman" w:hAnsi="Times New Roman" w:cs="Times New Roman"/>
          <w:sz w:val="24"/>
          <w:szCs w:val="24"/>
        </w:rPr>
        <w:t xml:space="preserve"> à 960 m</w:t>
      </w:r>
      <w:r w:rsidRPr="00EE6ACD">
        <w:rPr>
          <w:rFonts w:ascii="Times New Roman" w:hAnsi="Times New Roman" w:cs="Times New Roman"/>
          <w:sz w:val="24"/>
          <w:szCs w:val="24"/>
        </w:rPr>
        <w:t>3</w:t>
      </w:r>
      <w:r w:rsidRPr="0081268A">
        <w:rPr>
          <w:rFonts w:ascii="Times New Roman" w:hAnsi="Times New Roman" w:cs="Times New Roman"/>
          <w:sz w:val="24"/>
          <w:szCs w:val="24"/>
        </w:rPr>
        <w:t>.</w:t>
      </w:r>
    </w:p>
    <w:p w:rsidR="00EE6ACD" w:rsidRPr="0081268A" w:rsidRDefault="00EE6ACD" w:rsidP="00EE6ACD">
      <w:pPr>
        <w:autoSpaceDE w:val="0"/>
        <w:autoSpaceDN w:val="0"/>
        <w:adjustRightInd w:val="0"/>
        <w:spacing w:after="0" w:line="240" w:lineRule="auto"/>
        <w:ind w:left="-284"/>
        <w:jc w:val="both"/>
        <w:rPr>
          <w:rFonts w:ascii="Times New Roman" w:hAnsi="Times New Roman" w:cs="Times New Roman"/>
          <w:sz w:val="24"/>
          <w:szCs w:val="24"/>
        </w:rPr>
      </w:pPr>
    </w:p>
    <w:p w:rsidR="00401F17" w:rsidRDefault="00401F17" w:rsidP="00EE6ACD">
      <w:pPr>
        <w:autoSpaceDE w:val="0"/>
        <w:autoSpaceDN w:val="0"/>
        <w:adjustRightInd w:val="0"/>
        <w:spacing w:after="0" w:line="240" w:lineRule="auto"/>
        <w:ind w:left="-284"/>
        <w:jc w:val="both"/>
        <w:rPr>
          <w:rFonts w:ascii="Times New Roman" w:hAnsi="Times New Roman" w:cs="Times New Roman"/>
          <w:sz w:val="24"/>
          <w:szCs w:val="24"/>
        </w:rPr>
      </w:pPr>
      <w:r w:rsidRPr="0081268A">
        <w:rPr>
          <w:rFonts w:ascii="Times New Roman" w:hAnsi="Times New Roman" w:cs="Times New Roman"/>
          <w:sz w:val="24"/>
          <w:szCs w:val="24"/>
        </w:rPr>
        <w:t xml:space="preserve">Les caractéristiques des </w:t>
      </w:r>
      <w:r w:rsidR="00225743" w:rsidRPr="0081268A">
        <w:rPr>
          <w:rFonts w:ascii="Times New Roman" w:hAnsi="Times New Roman" w:cs="Times New Roman"/>
          <w:sz w:val="24"/>
          <w:szCs w:val="24"/>
        </w:rPr>
        <w:t>réservoirs</w:t>
      </w:r>
      <w:r w:rsidRPr="0081268A">
        <w:rPr>
          <w:rFonts w:ascii="Times New Roman" w:hAnsi="Times New Roman" w:cs="Times New Roman"/>
          <w:sz w:val="24"/>
          <w:szCs w:val="24"/>
        </w:rPr>
        <w:t xml:space="preserve"> (</w:t>
      </w:r>
      <w:r w:rsidR="00225743" w:rsidRPr="0081268A">
        <w:rPr>
          <w:rFonts w:ascii="Times New Roman" w:hAnsi="Times New Roman" w:cs="Times New Roman"/>
          <w:sz w:val="24"/>
          <w:szCs w:val="24"/>
        </w:rPr>
        <w:t>châteaux</w:t>
      </w:r>
      <w:r w:rsidRPr="0081268A">
        <w:rPr>
          <w:rFonts w:ascii="Times New Roman" w:hAnsi="Times New Roman" w:cs="Times New Roman"/>
          <w:sz w:val="24"/>
          <w:szCs w:val="24"/>
        </w:rPr>
        <w:t xml:space="preserve"> d’eau) à réaliser dans le cadre de ce projet sont réunies dans le tableau 14.</w:t>
      </w:r>
    </w:p>
    <w:tbl>
      <w:tblPr>
        <w:tblW w:w="4995" w:type="pct"/>
        <w:tblInd w:w="5" w:type="dxa"/>
        <w:tblLook w:val="04A0" w:firstRow="1" w:lastRow="0" w:firstColumn="1" w:lastColumn="0" w:noHBand="0" w:noVBand="1"/>
      </w:tblPr>
      <w:tblGrid>
        <w:gridCol w:w="3075"/>
        <w:gridCol w:w="1577"/>
        <w:gridCol w:w="1659"/>
        <w:gridCol w:w="1092"/>
        <w:gridCol w:w="2510"/>
      </w:tblGrid>
      <w:tr w:rsidR="00401F17" w:rsidRPr="00BA3EE1" w:rsidTr="009E388B">
        <w:trPr>
          <w:trHeight w:val="349"/>
        </w:trPr>
        <w:tc>
          <w:tcPr>
            <w:tcW w:w="5000" w:type="pct"/>
            <w:gridSpan w:val="5"/>
          </w:tcPr>
          <w:p w:rsidR="00401F17" w:rsidRPr="00BA3EE1" w:rsidRDefault="00BA3EE1" w:rsidP="00BA3EE1">
            <w:pPr>
              <w:jc w:val="center"/>
              <w:rPr>
                <w:rFonts w:ascii="Times New Roman" w:hAnsi="Times New Roman" w:cs="Times New Roman"/>
                <w:b/>
                <w:sz w:val="20"/>
                <w:szCs w:val="20"/>
              </w:rPr>
            </w:pPr>
            <w:bookmarkStart w:id="62" w:name="_Toc51073996"/>
            <w:r w:rsidRPr="00EE0400">
              <w:rPr>
                <w:rFonts w:ascii="Times New Roman" w:hAnsi="Times New Roman" w:cs="Times New Roman"/>
                <w:b/>
                <w:sz w:val="20"/>
                <w:szCs w:val="20"/>
              </w:rPr>
              <w:t xml:space="preserve">Tableau </w:t>
            </w:r>
            <w:r w:rsidRPr="00EE0400">
              <w:rPr>
                <w:rFonts w:ascii="Times New Roman" w:hAnsi="Times New Roman" w:cs="Times New Roman"/>
                <w:b/>
                <w:sz w:val="20"/>
                <w:szCs w:val="20"/>
              </w:rPr>
              <w:fldChar w:fldCharType="begin"/>
            </w:r>
            <w:r w:rsidRPr="00EE0400">
              <w:rPr>
                <w:rFonts w:ascii="Times New Roman" w:hAnsi="Times New Roman" w:cs="Times New Roman"/>
                <w:b/>
                <w:sz w:val="20"/>
                <w:szCs w:val="20"/>
              </w:rPr>
              <w:instrText xml:space="preserve"> SEQ Tableau \* ARABIC </w:instrText>
            </w:r>
            <w:r w:rsidRPr="00EE0400">
              <w:rPr>
                <w:rFonts w:ascii="Times New Roman" w:hAnsi="Times New Roman" w:cs="Times New Roman"/>
                <w:b/>
                <w:sz w:val="20"/>
                <w:szCs w:val="20"/>
              </w:rPr>
              <w:fldChar w:fldCharType="separate"/>
            </w:r>
            <w:r w:rsidR="00EB726E">
              <w:rPr>
                <w:rFonts w:ascii="Times New Roman" w:hAnsi="Times New Roman" w:cs="Times New Roman"/>
                <w:b/>
                <w:noProof/>
                <w:sz w:val="20"/>
                <w:szCs w:val="20"/>
              </w:rPr>
              <w:t>5</w:t>
            </w:r>
            <w:r w:rsidRPr="00EE0400">
              <w:rPr>
                <w:rFonts w:ascii="Times New Roman" w:hAnsi="Times New Roman" w:cs="Times New Roman"/>
                <w:b/>
                <w:sz w:val="20"/>
                <w:szCs w:val="20"/>
              </w:rPr>
              <w:fldChar w:fldCharType="end"/>
            </w:r>
            <w:r w:rsidRPr="00EE0400">
              <w:rPr>
                <w:rFonts w:ascii="Times New Roman" w:hAnsi="Times New Roman" w:cs="Times New Roman"/>
                <w:b/>
                <w:sz w:val="20"/>
                <w:szCs w:val="20"/>
              </w:rPr>
              <w:t xml:space="preserve">: </w:t>
            </w:r>
            <w:r w:rsidR="00401F17" w:rsidRPr="00BA3EE1">
              <w:rPr>
                <w:rFonts w:ascii="Times New Roman" w:hAnsi="Times New Roman" w:cs="Times New Roman"/>
                <w:b/>
                <w:sz w:val="20"/>
                <w:szCs w:val="20"/>
              </w:rPr>
              <w:t>Caractéristiques des réservoirs à réaliser</w:t>
            </w:r>
            <w:bookmarkEnd w:id="62"/>
          </w:p>
        </w:tc>
      </w:tr>
      <w:tr w:rsidR="00401F17" w:rsidRPr="0081268A" w:rsidTr="00EE6AC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Ex>
        <w:trPr>
          <w:trHeight w:val="350"/>
        </w:trPr>
        <w:tc>
          <w:tcPr>
            <w:tcW w:w="1561" w:type="pct"/>
            <w:tcBorders>
              <w:bottom w:val="single" w:sz="4" w:space="0" w:color="000000"/>
            </w:tcBorders>
            <w:shd w:val="clear" w:color="auto" w:fill="E2EFD9" w:themeFill="accent6" w:themeFillTint="33"/>
          </w:tcPr>
          <w:p w:rsidR="00401F17" w:rsidRPr="00EE6ACD" w:rsidRDefault="00401F17" w:rsidP="009E388B">
            <w:pPr>
              <w:pStyle w:val="TableParagraph"/>
              <w:spacing w:before="119" w:line="211" w:lineRule="exact"/>
              <w:ind w:left="107"/>
              <w:jc w:val="left"/>
              <w:rPr>
                <w:rFonts w:ascii="Times New Roman" w:hAnsi="Times New Roman" w:cs="Times New Roman"/>
                <w:b/>
                <w:bCs/>
                <w:sz w:val="24"/>
                <w:szCs w:val="24"/>
              </w:rPr>
            </w:pPr>
            <w:r w:rsidRPr="00EE6ACD">
              <w:rPr>
                <w:rFonts w:ascii="Times New Roman" w:hAnsi="Times New Roman" w:cs="Times New Roman"/>
                <w:b/>
                <w:bCs/>
                <w:sz w:val="24"/>
                <w:szCs w:val="24"/>
              </w:rPr>
              <w:t>SITE</w:t>
            </w:r>
            <w:r w:rsidR="00EE6ACD" w:rsidRPr="00EE6ACD">
              <w:rPr>
                <w:rFonts w:ascii="Times New Roman" w:hAnsi="Times New Roman" w:cs="Times New Roman"/>
                <w:b/>
                <w:bCs/>
                <w:sz w:val="24"/>
                <w:szCs w:val="24"/>
              </w:rPr>
              <w:t>S</w:t>
            </w:r>
          </w:p>
        </w:tc>
        <w:tc>
          <w:tcPr>
            <w:tcW w:w="755" w:type="pct"/>
            <w:shd w:val="clear" w:color="auto" w:fill="E2EFD9" w:themeFill="accent6" w:themeFillTint="33"/>
          </w:tcPr>
          <w:p w:rsidR="00401F17" w:rsidRPr="00EE6ACD" w:rsidRDefault="00401F17" w:rsidP="009E388B">
            <w:pPr>
              <w:pStyle w:val="TableParagraph"/>
              <w:spacing w:before="119" w:line="211" w:lineRule="exact"/>
              <w:ind w:left="107"/>
              <w:jc w:val="center"/>
              <w:rPr>
                <w:rFonts w:ascii="Times New Roman" w:hAnsi="Times New Roman" w:cs="Times New Roman"/>
                <w:b/>
                <w:bCs/>
                <w:sz w:val="24"/>
                <w:szCs w:val="24"/>
              </w:rPr>
            </w:pPr>
            <w:r w:rsidRPr="00EE6ACD">
              <w:rPr>
                <w:rFonts w:ascii="Times New Roman" w:hAnsi="Times New Roman" w:cs="Times New Roman"/>
                <w:b/>
                <w:bCs/>
                <w:sz w:val="24"/>
                <w:szCs w:val="24"/>
              </w:rPr>
              <w:t>CAPACITE (m</w:t>
            </w:r>
            <w:r w:rsidRPr="00EE6ACD">
              <w:rPr>
                <w:rFonts w:ascii="Times New Roman" w:hAnsi="Times New Roman" w:cs="Times New Roman"/>
                <w:b/>
                <w:bCs/>
                <w:sz w:val="24"/>
                <w:szCs w:val="24"/>
                <w:vertAlign w:val="superscript"/>
              </w:rPr>
              <w:t>3</w:t>
            </w:r>
            <w:r w:rsidRPr="00EE6ACD">
              <w:rPr>
                <w:rFonts w:ascii="Times New Roman" w:hAnsi="Times New Roman" w:cs="Times New Roman"/>
                <w:b/>
                <w:bCs/>
                <w:sz w:val="24"/>
                <w:szCs w:val="24"/>
              </w:rPr>
              <w:t>)</w:t>
            </w:r>
          </w:p>
        </w:tc>
        <w:tc>
          <w:tcPr>
            <w:tcW w:w="847" w:type="pct"/>
            <w:shd w:val="clear" w:color="auto" w:fill="E2EFD9" w:themeFill="accent6" w:themeFillTint="33"/>
          </w:tcPr>
          <w:p w:rsidR="00401F17" w:rsidRPr="00EE6ACD" w:rsidRDefault="00401F17" w:rsidP="009E388B">
            <w:pPr>
              <w:pStyle w:val="TableParagraph"/>
              <w:spacing w:before="119" w:line="211" w:lineRule="exact"/>
              <w:ind w:left="107"/>
              <w:jc w:val="center"/>
              <w:rPr>
                <w:rFonts w:ascii="Times New Roman" w:hAnsi="Times New Roman" w:cs="Times New Roman"/>
                <w:b/>
                <w:bCs/>
                <w:sz w:val="24"/>
                <w:szCs w:val="24"/>
              </w:rPr>
            </w:pPr>
            <w:r w:rsidRPr="00EE6ACD">
              <w:rPr>
                <w:rFonts w:ascii="Times New Roman" w:hAnsi="Times New Roman" w:cs="Times New Roman"/>
                <w:b/>
                <w:bCs/>
                <w:sz w:val="24"/>
                <w:szCs w:val="24"/>
              </w:rPr>
              <w:t>COTE TN (m)</w:t>
            </w:r>
          </w:p>
        </w:tc>
        <w:tc>
          <w:tcPr>
            <w:tcW w:w="561" w:type="pct"/>
            <w:shd w:val="clear" w:color="auto" w:fill="E2EFD9" w:themeFill="accent6" w:themeFillTint="33"/>
          </w:tcPr>
          <w:p w:rsidR="00401F17" w:rsidRPr="00EE6ACD" w:rsidRDefault="00401F17" w:rsidP="009E388B">
            <w:pPr>
              <w:pStyle w:val="TableParagraph"/>
              <w:spacing w:before="119" w:line="211" w:lineRule="exact"/>
              <w:ind w:left="107"/>
              <w:jc w:val="center"/>
              <w:rPr>
                <w:rFonts w:ascii="Times New Roman" w:hAnsi="Times New Roman" w:cs="Times New Roman"/>
                <w:b/>
                <w:bCs/>
                <w:sz w:val="24"/>
                <w:szCs w:val="24"/>
              </w:rPr>
            </w:pPr>
            <w:r w:rsidRPr="00EE6ACD">
              <w:rPr>
                <w:rFonts w:ascii="Times New Roman" w:hAnsi="Times New Roman" w:cs="Times New Roman"/>
                <w:b/>
                <w:bCs/>
                <w:sz w:val="24"/>
                <w:szCs w:val="24"/>
              </w:rPr>
              <w:t>COTE PHE</w:t>
            </w:r>
          </w:p>
        </w:tc>
        <w:tc>
          <w:tcPr>
            <w:tcW w:w="1276" w:type="pct"/>
            <w:shd w:val="clear" w:color="auto" w:fill="E2EFD9" w:themeFill="accent6" w:themeFillTint="33"/>
          </w:tcPr>
          <w:p w:rsidR="00401F17" w:rsidRPr="00EE6ACD" w:rsidRDefault="00401F17" w:rsidP="009E388B">
            <w:pPr>
              <w:pStyle w:val="TableParagraph"/>
              <w:spacing w:before="119" w:line="211" w:lineRule="exact"/>
              <w:ind w:left="107"/>
              <w:jc w:val="center"/>
              <w:rPr>
                <w:rFonts w:ascii="Times New Roman" w:hAnsi="Times New Roman" w:cs="Times New Roman"/>
                <w:b/>
                <w:bCs/>
                <w:sz w:val="24"/>
                <w:szCs w:val="24"/>
              </w:rPr>
            </w:pPr>
            <w:r w:rsidRPr="00EE6ACD">
              <w:rPr>
                <w:rFonts w:ascii="Times New Roman" w:hAnsi="Times New Roman" w:cs="Times New Roman"/>
                <w:b/>
                <w:bCs/>
                <w:sz w:val="24"/>
                <w:szCs w:val="24"/>
              </w:rPr>
              <w:t>HAUTEUR DE LA JUPE</w:t>
            </w:r>
          </w:p>
        </w:tc>
      </w:tr>
      <w:tr w:rsidR="00401F17" w:rsidRPr="0081268A" w:rsidTr="00EE6AC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Ex>
        <w:trPr>
          <w:trHeight w:val="350"/>
        </w:trPr>
        <w:tc>
          <w:tcPr>
            <w:tcW w:w="1561" w:type="pct"/>
            <w:tcBorders>
              <w:right w:val="outset" w:sz="12" w:space="0" w:color="auto"/>
            </w:tcBorders>
            <w:shd w:val="clear" w:color="auto" w:fill="F2F2F2" w:themeFill="background1" w:themeFillShade="F2"/>
          </w:tcPr>
          <w:p w:rsidR="00401F17" w:rsidRPr="0081268A" w:rsidRDefault="00401F17" w:rsidP="009E388B">
            <w:pPr>
              <w:pStyle w:val="TableParagraph"/>
              <w:spacing w:before="117" w:line="213" w:lineRule="exact"/>
              <w:ind w:left="108"/>
              <w:jc w:val="left"/>
              <w:rPr>
                <w:rFonts w:ascii="Times New Roman" w:hAnsi="Times New Roman" w:cs="Times New Roman"/>
                <w:sz w:val="24"/>
                <w:szCs w:val="24"/>
              </w:rPr>
            </w:pPr>
            <w:r w:rsidRPr="0081268A">
              <w:rPr>
                <w:rFonts w:ascii="Times New Roman" w:hAnsi="Times New Roman" w:cs="Times New Roman"/>
                <w:sz w:val="24"/>
                <w:szCs w:val="24"/>
              </w:rPr>
              <w:t>Bôr</w:t>
            </w:r>
          </w:p>
        </w:tc>
        <w:tc>
          <w:tcPr>
            <w:tcW w:w="755" w:type="pct"/>
            <w:tcBorders>
              <w:left w:val="outset" w:sz="12" w:space="0" w:color="auto"/>
            </w:tcBorders>
          </w:tcPr>
          <w:p w:rsidR="00401F17" w:rsidRPr="0081268A" w:rsidRDefault="00401F17" w:rsidP="009E388B">
            <w:pPr>
              <w:pStyle w:val="TableParagraph"/>
              <w:spacing w:before="117" w:line="213" w:lineRule="exact"/>
              <w:ind w:left="108"/>
              <w:jc w:val="center"/>
              <w:rPr>
                <w:rFonts w:ascii="Times New Roman" w:hAnsi="Times New Roman" w:cs="Times New Roman"/>
                <w:sz w:val="24"/>
                <w:szCs w:val="24"/>
              </w:rPr>
            </w:pPr>
            <w:r w:rsidRPr="0081268A">
              <w:rPr>
                <w:rFonts w:ascii="Times New Roman" w:hAnsi="Times New Roman" w:cs="Times New Roman"/>
                <w:sz w:val="24"/>
                <w:szCs w:val="24"/>
              </w:rPr>
              <w:t>700</w:t>
            </w:r>
          </w:p>
        </w:tc>
        <w:tc>
          <w:tcPr>
            <w:tcW w:w="847" w:type="pct"/>
          </w:tcPr>
          <w:p w:rsidR="00401F17" w:rsidRPr="0081268A" w:rsidRDefault="00401F17" w:rsidP="009E388B">
            <w:pPr>
              <w:pStyle w:val="TableParagraph"/>
              <w:spacing w:before="117" w:line="213" w:lineRule="exact"/>
              <w:ind w:left="107"/>
              <w:jc w:val="center"/>
              <w:rPr>
                <w:rFonts w:ascii="Times New Roman" w:hAnsi="Times New Roman" w:cs="Times New Roman"/>
                <w:sz w:val="24"/>
                <w:szCs w:val="24"/>
              </w:rPr>
            </w:pPr>
            <w:r w:rsidRPr="0081268A">
              <w:rPr>
                <w:rFonts w:ascii="Times New Roman" w:hAnsi="Times New Roman" w:cs="Times New Roman"/>
                <w:sz w:val="24"/>
                <w:szCs w:val="24"/>
              </w:rPr>
              <w:t>34</w:t>
            </w:r>
          </w:p>
        </w:tc>
        <w:tc>
          <w:tcPr>
            <w:tcW w:w="561" w:type="pct"/>
            <w:shd w:val="clear" w:color="auto" w:fill="auto"/>
          </w:tcPr>
          <w:p w:rsidR="00401F17" w:rsidRPr="0081268A" w:rsidRDefault="00401F17" w:rsidP="009E388B">
            <w:pPr>
              <w:pStyle w:val="TableParagraph"/>
              <w:spacing w:before="117" w:line="213" w:lineRule="exact"/>
              <w:ind w:left="107"/>
              <w:jc w:val="center"/>
              <w:rPr>
                <w:rFonts w:ascii="Times New Roman" w:hAnsi="Times New Roman" w:cs="Times New Roman"/>
                <w:sz w:val="24"/>
                <w:szCs w:val="24"/>
              </w:rPr>
            </w:pPr>
            <w:r w:rsidRPr="0081268A">
              <w:rPr>
                <w:rFonts w:ascii="Times New Roman" w:hAnsi="Times New Roman" w:cs="Times New Roman"/>
                <w:sz w:val="24"/>
                <w:szCs w:val="24"/>
              </w:rPr>
              <w:t>±67</w:t>
            </w:r>
          </w:p>
        </w:tc>
        <w:tc>
          <w:tcPr>
            <w:tcW w:w="1276" w:type="pct"/>
          </w:tcPr>
          <w:p w:rsidR="00401F17" w:rsidRPr="0081268A" w:rsidRDefault="00401F17" w:rsidP="009E388B">
            <w:pPr>
              <w:pStyle w:val="TableParagraph"/>
              <w:spacing w:before="117" w:line="213" w:lineRule="exact"/>
              <w:ind w:left="107"/>
              <w:jc w:val="center"/>
              <w:rPr>
                <w:rFonts w:ascii="Times New Roman" w:hAnsi="Times New Roman" w:cs="Times New Roman"/>
                <w:sz w:val="24"/>
                <w:szCs w:val="24"/>
              </w:rPr>
            </w:pPr>
            <w:r w:rsidRPr="0081268A">
              <w:rPr>
                <w:rFonts w:ascii="Times New Roman" w:hAnsi="Times New Roman" w:cs="Times New Roman"/>
                <w:sz w:val="24"/>
                <w:szCs w:val="24"/>
              </w:rPr>
              <w:t>±28 m</w:t>
            </w:r>
          </w:p>
        </w:tc>
      </w:tr>
      <w:tr w:rsidR="00401F17" w:rsidRPr="0081268A" w:rsidTr="00EE6AC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Ex>
        <w:trPr>
          <w:trHeight w:val="289"/>
        </w:trPr>
        <w:tc>
          <w:tcPr>
            <w:tcW w:w="1561" w:type="pct"/>
            <w:tcBorders>
              <w:right w:val="outset" w:sz="12" w:space="0" w:color="auto"/>
            </w:tcBorders>
            <w:shd w:val="clear" w:color="auto" w:fill="F2F2F2" w:themeFill="background1" w:themeFillShade="F2"/>
          </w:tcPr>
          <w:p w:rsidR="00401F17" w:rsidRPr="0081268A" w:rsidRDefault="00401F17" w:rsidP="009E388B">
            <w:pPr>
              <w:pStyle w:val="TableParagraph"/>
              <w:spacing w:before="117" w:line="230" w:lineRule="atLeast"/>
              <w:ind w:left="108"/>
              <w:jc w:val="left"/>
              <w:rPr>
                <w:rFonts w:ascii="Times New Roman" w:hAnsi="Times New Roman" w:cs="Times New Roman"/>
                <w:sz w:val="24"/>
                <w:szCs w:val="24"/>
              </w:rPr>
            </w:pPr>
            <w:r w:rsidRPr="0081268A">
              <w:rPr>
                <w:rFonts w:ascii="Times New Roman" w:hAnsi="Times New Roman" w:cs="Times New Roman"/>
                <w:sz w:val="24"/>
                <w:szCs w:val="24"/>
              </w:rPr>
              <w:t>Antula-Pime</w:t>
            </w:r>
          </w:p>
        </w:tc>
        <w:tc>
          <w:tcPr>
            <w:tcW w:w="755" w:type="pct"/>
            <w:tcBorders>
              <w:left w:val="outset" w:sz="12" w:space="0" w:color="auto"/>
            </w:tcBorders>
          </w:tcPr>
          <w:p w:rsidR="00401F17" w:rsidRPr="0081268A" w:rsidRDefault="00401F17" w:rsidP="009E388B">
            <w:pPr>
              <w:pStyle w:val="TableParagraph"/>
              <w:spacing w:before="117" w:line="240" w:lineRule="auto"/>
              <w:ind w:left="108"/>
              <w:jc w:val="center"/>
              <w:rPr>
                <w:rFonts w:ascii="Times New Roman" w:hAnsi="Times New Roman" w:cs="Times New Roman"/>
                <w:sz w:val="24"/>
                <w:szCs w:val="24"/>
              </w:rPr>
            </w:pPr>
            <w:r w:rsidRPr="0081268A">
              <w:rPr>
                <w:rFonts w:ascii="Times New Roman" w:hAnsi="Times New Roman" w:cs="Times New Roman"/>
                <w:sz w:val="24"/>
                <w:szCs w:val="24"/>
              </w:rPr>
              <w:t>700</w:t>
            </w:r>
          </w:p>
        </w:tc>
        <w:tc>
          <w:tcPr>
            <w:tcW w:w="847" w:type="pct"/>
          </w:tcPr>
          <w:p w:rsidR="00401F17" w:rsidRPr="0081268A" w:rsidRDefault="00401F17" w:rsidP="009E388B">
            <w:pPr>
              <w:pStyle w:val="TableParagraph"/>
              <w:spacing w:before="117" w:line="240" w:lineRule="auto"/>
              <w:ind w:left="107"/>
              <w:jc w:val="center"/>
              <w:rPr>
                <w:rFonts w:ascii="Times New Roman" w:hAnsi="Times New Roman" w:cs="Times New Roman"/>
                <w:sz w:val="24"/>
                <w:szCs w:val="24"/>
              </w:rPr>
            </w:pPr>
            <w:r w:rsidRPr="0081268A">
              <w:rPr>
                <w:rFonts w:ascii="Times New Roman" w:hAnsi="Times New Roman" w:cs="Times New Roman"/>
                <w:sz w:val="24"/>
                <w:szCs w:val="24"/>
              </w:rPr>
              <w:t>27,5</w:t>
            </w:r>
          </w:p>
        </w:tc>
        <w:tc>
          <w:tcPr>
            <w:tcW w:w="561" w:type="pct"/>
          </w:tcPr>
          <w:p w:rsidR="00401F17" w:rsidRPr="0081268A" w:rsidRDefault="00401F17" w:rsidP="009E388B">
            <w:pPr>
              <w:pStyle w:val="TableParagraph"/>
              <w:spacing w:before="117" w:line="240" w:lineRule="auto"/>
              <w:ind w:left="107"/>
              <w:jc w:val="center"/>
              <w:rPr>
                <w:rFonts w:ascii="Times New Roman" w:hAnsi="Times New Roman" w:cs="Times New Roman"/>
                <w:sz w:val="24"/>
                <w:szCs w:val="24"/>
                <w:highlight w:val="yellow"/>
              </w:rPr>
            </w:pPr>
            <w:r w:rsidRPr="0081268A">
              <w:rPr>
                <w:rFonts w:ascii="Times New Roman" w:hAnsi="Times New Roman" w:cs="Times New Roman"/>
                <w:sz w:val="24"/>
                <w:szCs w:val="24"/>
              </w:rPr>
              <w:t>±48</w:t>
            </w:r>
          </w:p>
        </w:tc>
        <w:tc>
          <w:tcPr>
            <w:tcW w:w="1276" w:type="pct"/>
          </w:tcPr>
          <w:p w:rsidR="00401F17" w:rsidRPr="0081268A" w:rsidRDefault="00401F17" w:rsidP="009E388B">
            <w:pPr>
              <w:pStyle w:val="TableParagraph"/>
              <w:spacing w:before="117" w:line="240" w:lineRule="auto"/>
              <w:ind w:left="107"/>
              <w:jc w:val="center"/>
              <w:rPr>
                <w:rFonts w:ascii="Times New Roman" w:hAnsi="Times New Roman" w:cs="Times New Roman"/>
                <w:sz w:val="24"/>
                <w:szCs w:val="24"/>
                <w:highlight w:val="yellow"/>
              </w:rPr>
            </w:pPr>
            <w:r w:rsidRPr="0081268A">
              <w:rPr>
                <w:rFonts w:ascii="Times New Roman" w:hAnsi="Times New Roman" w:cs="Times New Roman"/>
                <w:sz w:val="24"/>
                <w:szCs w:val="24"/>
              </w:rPr>
              <w:t>±16,5 m</w:t>
            </w:r>
          </w:p>
        </w:tc>
      </w:tr>
      <w:tr w:rsidR="00401F17" w:rsidRPr="0081268A" w:rsidTr="00EE6AC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Ex>
        <w:trPr>
          <w:trHeight w:val="350"/>
        </w:trPr>
        <w:tc>
          <w:tcPr>
            <w:tcW w:w="1561" w:type="pct"/>
            <w:tcBorders>
              <w:right w:val="outset" w:sz="12" w:space="0" w:color="auto"/>
            </w:tcBorders>
            <w:shd w:val="clear" w:color="auto" w:fill="F2F2F2" w:themeFill="background1" w:themeFillShade="F2"/>
          </w:tcPr>
          <w:p w:rsidR="00401F17" w:rsidRPr="0081268A" w:rsidRDefault="00401F17" w:rsidP="009E388B">
            <w:pPr>
              <w:pStyle w:val="TableParagraph"/>
              <w:spacing w:before="117" w:line="213" w:lineRule="exact"/>
              <w:ind w:left="108"/>
              <w:jc w:val="left"/>
              <w:rPr>
                <w:rFonts w:ascii="Times New Roman" w:hAnsi="Times New Roman" w:cs="Times New Roman"/>
                <w:sz w:val="24"/>
                <w:szCs w:val="24"/>
              </w:rPr>
            </w:pPr>
            <w:r w:rsidRPr="0081268A">
              <w:rPr>
                <w:rFonts w:ascii="Times New Roman" w:hAnsi="Times New Roman" w:cs="Times New Roman"/>
                <w:sz w:val="24"/>
                <w:szCs w:val="24"/>
              </w:rPr>
              <w:t>Safim</w:t>
            </w:r>
          </w:p>
        </w:tc>
        <w:tc>
          <w:tcPr>
            <w:tcW w:w="755" w:type="pct"/>
            <w:tcBorders>
              <w:left w:val="outset" w:sz="12" w:space="0" w:color="auto"/>
            </w:tcBorders>
          </w:tcPr>
          <w:p w:rsidR="00401F17" w:rsidRPr="0081268A" w:rsidRDefault="00401F17" w:rsidP="009E388B">
            <w:pPr>
              <w:pStyle w:val="TableParagraph"/>
              <w:spacing w:before="117" w:line="213" w:lineRule="exact"/>
              <w:ind w:left="108"/>
              <w:jc w:val="center"/>
              <w:rPr>
                <w:rFonts w:ascii="Times New Roman" w:hAnsi="Times New Roman" w:cs="Times New Roman"/>
                <w:sz w:val="24"/>
                <w:szCs w:val="24"/>
              </w:rPr>
            </w:pPr>
            <w:r w:rsidRPr="0081268A">
              <w:rPr>
                <w:rFonts w:ascii="Times New Roman" w:hAnsi="Times New Roman" w:cs="Times New Roman"/>
                <w:sz w:val="24"/>
                <w:szCs w:val="24"/>
              </w:rPr>
              <w:t>350</w:t>
            </w:r>
          </w:p>
        </w:tc>
        <w:tc>
          <w:tcPr>
            <w:tcW w:w="847" w:type="pct"/>
          </w:tcPr>
          <w:p w:rsidR="00401F17" w:rsidRPr="0081268A" w:rsidRDefault="00401F17" w:rsidP="009E388B">
            <w:pPr>
              <w:pStyle w:val="TableParagraph"/>
              <w:spacing w:before="117" w:line="213" w:lineRule="exact"/>
              <w:ind w:left="107"/>
              <w:jc w:val="center"/>
              <w:rPr>
                <w:rFonts w:ascii="Times New Roman" w:hAnsi="Times New Roman" w:cs="Times New Roman"/>
                <w:sz w:val="24"/>
                <w:szCs w:val="24"/>
              </w:rPr>
            </w:pPr>
            <w:r w:rsidRPr="0081268A">
              <w:rPr>
                <w:rFonts w:ascii="Times New Roman" w:hAnsi="Times New Roman" w:cs="Times New Roman"/>
                <w:sz w:val="24"/>
                <w:szCs w:val="24"/>
              </w:rPr>
              <w:t>23,5</w:t>
            </w:r>
            <w:r w:rsidRPr="0081268A">
              <w:rPr>
                <w:rFonts w:ascii="Times New Roman" w:hAnsi="Times New Roman" w:cs="Times New Roman"/>
                <w:sz w:val="24"/>
                <w:szCs w:val="24"/>
                <w:vertAlign w:val="superscript"/>
              </w:rPr>
              <w:t>(*)</w:t>
            </w:r>
          </w:p>
        </w:tc>
        <w:tc>
          <w:tcPr>
            <w:tcW w:w="561" w:type="pct"/>
          </w:tcPr>
          <w:p w:rsidR="00401F17" w:rsidRPr="0081268A" w:rsidRDefault="00401F17" w:rsidP="009E388B">
            <w:pPr>
              <w:pStyle w:val="TableParagraph"/>
              <w:spacing w:before="117" w:line="213" w:lineRule="exact"/>
              <w:ind w:left="107"/>
              <w:jc w:val="center"/>
              <w:rPr>
                <w:rFonts w:ascii="Times New Roman" w:hAnsi="Times New Roman" w:cs="Times New Roman"/>
                <w:sz w:val="24"/>
                <w:szCs w:val="24"/>
                <w:highlight w:val="yellow"/>
              </w:rPr>
            </w:pPr>
            <w:r w:rsidRPr="0081268A">
              <w:rPr>
                <w:rFonts w:ascii="Times New Roman" w:hAnsi="Times New Roman" w:cs="Times New Roman"/>
                <w:sz w:val="24"/>
                <w:szCs w:val="24"/>
              </w:rPr>
              <w:t>±44</w:t>
            </w:r>
          </w:p>
        </w:tc>
        <w:tc>
          <w:tcPr>
            <w:tcW w:w="1276" w:type="pct"/>
          </w:tcPr>
          <w:p w:rsidR="00401F17" w:rsidRPr="0081268A" w:rsidRDefault="00401F17" w:rsidP="009E388B">
            <w:pPr>
              <w:pStyle w:val="TableParagraph"/>
              <w:spacing w:before="117" w:line="213" w:lineRule="exact"/>
              <w:ind w:left="107"/>
              <w:jc w:val="center"/>
              <w:rPr>
                <w:rFonts w:ascii="Times New Roman" w:hAnsi="Times New Roman" w:cs="Times New Roman"/>
                <w:sz w:val="24"/>
                <w:szCs w:val="24"/>
                <w:highlight w:val="yellow"/>
              </w:rPr>
            </w:pPr>
            <w:r w:rsidRPr="0081268A">
              <w:rPr>
                <w:rFonts w:ascii="Times New Roman" w:hAnsi="Times New Roman" w:cs="Times New Roman"/>
                <w:sz w:val="24"/>
                <w:szCs w:val="24"/>
              </w:rPr>
              <w:t>±15,5 m</w:t>
            </w:r>
            <w:r w:rsidRPr="0081268A">
              <w:rPr>
                <w:rFonts w:ascii="Times New Roman" w:hAnsi="Times New Roman" w:cs="Times New Roman"/>
                <w:sz w:val="24"/>
                <w:szCs w:val="24"/>
                <w:vertAlign w:val="superscript"/>
              </w:rPr>
              <w:t>(**)</w:t>
            </w:r>
          </w:p>
        </w:tc>
      </w:tr>
      <w:tr w:rsidR="00401F17" w:rsidRPr="0081268A" w:rsidTr="00EE6AC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Ex>
        <w:trPr>
          <w:trHeight w:val="350"/>
        </w:trPr>
        <w:tc>
          <w:tcPr>
            <w:tcW w:w="1561" w:type="pct"/>
            <w:tcBorders>
              <w:right w:val="outset" w:sz="12" w:space="0" w:color="auto"/>
            </w:tcBorders>
            <w:shd w:val="clear" w:color="auto" w:fill="F2F2F2" w:themeFill="background1" w:themeFillShade="F2"/>
          </w:tcPr>
          <w:p w:rsidR="00401F17" w:rsidRPr="0081268A" w:rsidRDefault="00401F17" w:rsidP="009E388B">
            <w:pPr>
              <w:pStyle w:val="TableParagraph"/>
              <w:spacing w:before="117" w:line="213" w:lineRule="exact"/>
              <w:ind w:left="108"/>
              <w:jc w:val="left"/>
              <w:rPr>
                <w:rFonts w:ascii="Times New Roman" w:hAnsi="Times New Roman" w:cs="Times New Roman"/>
                <w:sz w:val="24"/>
                <w:szCs w:val="24"/>
              </w:rPr>
            </w:pPr>
            <w:r w:rsidRPr="0081268A">
              <w:rPr>
                <w:rFonts w:ascii="Times New Roman" w:hAnsi="Times New Roman" w:cs="Times New Roman"/>
                <w:sz w:val="24"/>
                <w:szCs w:val="24"/>
              </w:rPr>
              <w:t>Prábis</w:t>
            </w:r>
          </w:p>
        </w:tc>
        <w:tc>
          <w:tcPr>
            <w:tcW w:w="755" w:type="pct"/>
            <w:tcBorders>
              <w:left w:val="outset" w:sz="12" w:space="0" w:color="auto"/>
            </w:tcBorders>
          </w:tcPr>
          <w:p w:rsidR="00401F17" w:rsidRPr="0081268A" w:rsidRDefault="00401F17" w:rsidP="009E388B">
            <w:pPr>
              <w:pStyle w:val="TableParagraph"/>
              <w:spacing w:before="117" w:line="213" w:lineRule="exact"/>
              <w:ind w:left="108"/>
              <w:jc w:val="center"/>
              <w:rPr>
                <w:rFonts w:ascii="Times New Roman" w:hAnsi="Times New Roman" w:cs="Times New Roman"/>
                <w:sz w:val="24"/>
                <w:szCs w:val="24"/>
              </w:rPr>
            </w:pPr>
            <w:r w:rsidRPr="0081268A">
              <w:rPr>
                <w:rFonts w:ascii="Times New Roman" w:hAnsi="Times New Roman" w:cs="Times New Roman"/>
                <w:sz w:val="24"/>
                <w:szCs w:val="24"/>
              </w:rPr>
              <w:t>100</w:t>
            </w:r>
          </w:p>
        </w:tc>
        <w:tc>
          <w:tcPr>
            <w:tcW w:w="847" w:type="pct"/>
          </w:tcPr>
          <w:p w:rsidR="00401F17" w:rsidRPr="0081268A" w:rsidRDefault="00401F17" w:rsidP="009E388B">
            <w:pPr>
              <w:pStyle w:val="TableParagraph"/>
              <w:spacing w:before="117" w:line="213" w:lineRule="exact"/>
              <w:ind w:left="107"/>
              <w:jc w:val="center"/>
              <w:rPr>
                <w:rFonts w:ascii="Times New Roman" w:hAnsi="Times New Roman" w:cs="Times New Roman"/>
                <w:sz w:val="24"/>
                <w:szCs w:val="24"/>
              </w:rPr>
            </w:pPr>
            <w:r w:rsidRPr="0081268A">
              <w:rPr>
                <w:rFonts w:ascii="Times New Roman" w:hAnsi="Times New Roman" w:cs="Times New Roman"/>
                <w:sz w:val="24"/>
                <w:szCs w:val="24"/>
              </w:rPr>
              <w:t>13,5</w:t>
            </w:r>
          </w:p>
        </w:tc>
        <w:tc>
          <w:tcPr>
            <w:tcW w:w="561" w:type="pct"/>
          </w:tcPr>
          <w:p w:rsidR="00401F17" w:rsidRPr="0081268A" w:rsidRDefault="00401F17" w:rsidP="009E388B">
            <w:pPr>
              <w:pStyle w:val="TableParagraph"/>
              <w:spacing w:before="117" w:line="213" w:lineRule="exact"/>
              <w:ind w:left="107"/>
              <w:jc w:val="center"/>
              <w:rPr>
                <w:rFonts w:ascii="Times New Roman" w:hAnsi="Times New Roman" w:cs="Times New Roman"/>
                <w:sz w:val="24"/>
                <w:szCs w:val="24"/>
                <w:highlight w:val="yellow"/>
              </w:rPr>
            </w:pPr>
            <w:r w:rsidRPr="0081268A">
              <w:rPr>
                <w:rFonts w:ascii="Times New Roman" w:hAnsi="Times New Roman" w:cs="Times New Roman"/>
                <w:sz w:val="24"/>
                <w:szCs w:val="24"/>
              </w:rPr>
              <w:t>±30</w:t>
            </w:r>
          </w:p>
        </w:tc>
        <w:tc>
          <w:tcPr>
            <w:tcW w:w="1276" w:type="pct"/>
          </w:tcPr>
          <w:p w:rsidR="00401F17" w:rsidRPr="0081268A" w:rsidRDefault="00401F17" w:rsidP="009E388B">
            <w:pPr>
              <w:pStyle w:val="TableParagraph"/>
              <w:spacing w:before="117" w:line="213" w:lineRule="exact"/>
              <w:ind w:left="107"/>
              <w:jc w:val="center"/>
              <w:rPr>
                <w:rFonts w:ascii="Times New Roman" w:hAnsi="Times New Roman" w:cs="Times New Roman"/>
                <w:sz w:val="24"/>
                <w:szCs w:val="24"/>
                <w:highlight w:val="yellow"/>
              </w:rPr>
            </w:pPr>
            <w:r w:rsidRPr="0081268A">
              <w:rPr>
                <w:rFonts w:ascii="Times New Roman" w:hAnsi="Times New Roman" w:cs="Times New Roman"/>
                <w:sz w:val="24"/>
                <w:szCs w:val="24"/>
              </w:rPr>
              <w:t>±14 m</w:t>
            </w:r>
          </w:p>
        </w:tc>
      </w:tr>
    </w:tbl>
    <w:p w:rsidR="00401F17" w:rsidRPr="0081268A" w:rsidRDefault="00401F17" w:rsidP="00401F17">
      <w:pPr>
        <w:spacing w:line="240" w:lineRule="auto"/>
        <w:ind w:left="79" w:right="62"/>
        <w:contextualSpacing/>
        <w:jc w:val="both"/>
        <w:rPr>
          <w:rFonts w:ascii="Times New Roman" w:hAnsi="Times New Roman" w:cs="Times New Roman"/>
          <w:sz w:val="24"/>
          <w:szCs w:val="24"/>
        </w:rPr>
      </w:pPr>
      <w:r w:rsidRPr="0081268A">
        <w:rPr>
          <w:rFonts w:ascii="Times New Roman" w:hAnsi="Times New Roman" w:cs="Times New Roman"/>
          <w:sz w:val="24"/>
          <w:szCs w:val="24"/>
        </w:rPr>
        <w:t>(*) : ou bien 17 m, au cas oú l’emplacement R1 est adopté.</w:t>
      </w:r>
    </w:p>
    <w:p w:rsidR="00401F17" w:rsidRPr="0081268A" w:rsidRDefault="00401F17" w:rsidP="00401F17">
      <w:pPr>
        <w:spacing w:line="240" w:lineRule="auto"/>
        <w:ind w:left="79" w:right="62"/>
        <w:contextualSpacing/>
        <w:jc w:val="both"/>
        <w:rPr>
          <w:rFonts w:ascii="Times New Roman" w:hAnsi="Times New Roman" w:cs="Times New Roman"/>
          <w:sz w:val="24"/>
          <w:szCs w:val="24"/>
        </w:rPr>
      </w:pPr>
      <w:r w:rsidRPr="0081268A">
        <w:rPr>
          <w:rFonts w:ascii="Times New Roman" w:hAnsi="Times New Roman" w:cs="Times New Roman"/>
          <w:sz w:val="24"/>
          <w:szCs w:val="24"/>
        </w:rPr>
        <w:t>(**) : ou 22 m au cas oú l’emplacement R1 est adopté</w:t>
      </w:r>
    </w:p>
    <w:p w:rsidR="00401F17" w:rsidRPr="0081268A" w:rsidRDefault="00401F17" w:rsidP="00401F17">
      <w:pPr>
        <w:spacing w:line="240" w:lineRule="auto"/>
        <w:ind w:left="79" w:right="62"/>
        <w:contextualSpacing/>
        <w:jc w:val="both"/>
        <w:rPr>
          <w:rFonts w:ascii="Times New Roman" w:hAnsi="Times New Roman" w:cs="Times New Roman"/>
          <w:sz w:val="24"/>
          <w:szCs w:val="24"/>
        </w:rPr>
      </w:pPr>
      <w:r w:rsidRPr="0081268A">
        <w:rPr>
          <w:rFonts w:ascii="Times New Roman" w:hAnsi="Times New Roman" w:cs="Times New Roman"/>
          <w:sz w:val="24"/>
          <w:szCs w:val="24"/>
        </w:rPr>
        <w:t xml:space="preserve">(***) : ou 300 m3, en cas de limitation budgétaire, à décider para le MO. </w:t>
      </w:r>
    </w:p>
    <w:p w:rsidR="00EE6ACD" w:rsidRDefault="00EE6ACD" w:rsidP="00EE6ACD">
      <w:pPr>
        <w:autoSpaceDE w:val="0"/>
        <w:autoSpaceDN w:val="0"/>
        <w:adjustRightInd w:val="0"/>
        <w:spacing w:after="0" w:line="240" w:lineRule="auto"/>
        <w:ind w:left="-284"/>
        <w:jc w:val="both"/>
        <w:rPr>
          <w:rFonts w:ascii="Times New Roman" w:hAnsi="Times New Roman" w:cs="Times New Roman"/>
          <w:sz w:val="24"/>
          <w:szCs w:val="24"/>
        </w:rPr>
      </w:pPr>
    </w:p>
    <w:p w:rsidR="00401F17" w:rsidRDefault="00401F17" w:rsidP="00EE6ACD">
      <w:pPr>
        <w:autoSpaceDE w:val="0"/>
        <w:autoSpaceDN w:val="0"/>
        <w:adjustRightInd w:val="0"/>
        <w:spacing w:after="0" w:line="240" w:lineRule="auto"/>
        <w:ind w:left="-284"/>
        <w:jc w:val="both"/>
        <w:rPr>
          <w:rFonts w:ascii="Times New Roman" w:hAnsi="Times New Roman" w:cs="Times New Roman"/>
          <w:sz w:val="24"/>
          <w:szCs w:val="24"/>
        </w:rPr>
      </w:pPr>
      <w:r w:rsidRPr="00BD7651">
        <w:rPr>
          <w:rFonts w:ascii="Times New Roman" w:hAnsi="Times New Roman" w:cs="Times New Roman"/>
          <w:sz w:val="24"/>
          <w:szCs w:val="24"/>
        </w:rPr>
        <w:t xml:space="preserve">A noter que le calcul des volumes de réservation </w:t>
      </w:r>
      <w:r w:rsidR="009303C9" w:rsidRPr="00BD7651">
        <w:rPr>
          <w:rFonts w:ascii="Times New Roman" w:hAnsi="Times New Roman" w:cs="Times New Roman"/>
          <w:sz w:val="24"/>
          <w:szCs w:val="24"/>
        </w:rPr>
        <w:t>nécessaires</w:t>
      </w:r>
      <w:r w:rsidRPr="00BD7651">
        <w:rPr>
          <w:rFonts w:ascii="Times New Roman" w:hAnsi="Times New Roman" w:cs="Times New Roman"/>
          <w:sz w:val="24"/>
          <w:szCs w:val="24"/>
        </w:rPr>
        <w:t xml:space="preserve"> pour assurer seulement 17% du volume du jour de pointe pour chaque quartier a été réalisé au titre de vérification. Les volumes ainsi calculés sont inférieurs aux volumes proposés ci-dessus, calculés sur des besoins du </w:t>
      </w:r>
      <w:r w:rsidR="009303C9" w:rsidRPr="00BD7651">
        <w:rPr>
          <w:rFonts w:ascii="Times New Roman" w:hAnsi="Times New Roman" w:cs="Times New Roman"/>
          <w:sz w:val="24"/>
          <w:szCs w:val="24"/>
        </w:rPr>
        <w:t>système</w:t>
      </w:r>
      <w:r w:rsidRPr="00BD7651">
        <w:rPr>
          <w:rFonts w:ascii="Times New Roman" w:hAnsi="Times New Roman" w:cs="Times New Roman"/>
          <w:sz w:val="24"/>
          <w:szCs w:val="24"/>
        </w:rPr>
        <w:t xml:space="preserve"> de Bissau dans son ensemble.</w:t>
      </w:r>
    </w:p>
    <w:p w:rsidR="00EE6ACD" w:rsidRPr="00BD7651" w:rsidRDefault="00EE6ACD" w:rsidP="00EE6ACD">
      <w:pPr>
        <w:autoSpaceDE w:val="0"/>
        <w:autoSpaceDN w:val="0"/>
        <w:adjustRightInd w:val="0"/>
        <w:spacing w:after="0" w:line="240" w:lineRule="auto"/>
        <w:ind w:left="-284"/>
        <w:jc w:val="both"/>
        <w:rPr>
          <w:rFonts w:ascii="Times New Roman" w:hAnsi="Times New Roman" w:cs="Times New Roman"/>
          <w:sz w:val="24"/>
          <w:szCs w:val="24"/>
        </w:rPr>
      </w:pPr>
    </w:p>
    <w:p w:rsidR="00401F17" w:rsidRPr="00BD7651" w:rsidRDefault="00401F17" w:rsidP="00EE6ACD">
      <w:pPr>
        <w:autoSpaceDE w:val="0"/>
        <w:autoSpaceDN w:val="0"/>
        <w:adjustRightInd w:val="0"/>
        <w:spacing w:after="0" w:line="240" w:lineRule="auto"/>
        <w:ind w:left="-284"/>
        <w:jc w:val="both"/>
        <w:rPr>
          <w:rFonts w:ascii="Times New Roman" w:hAnsi="Times New Roman" w:cs="Times New Roman"/>
          <w:sz w:val="24"/>
          <w:szCs w:val="24"/>
        </w:rPr>
      </w:pPr>
      <w:r w:rsidRPr="00BD7651">
        <w:rPr>
          <w:rFonts w:ascii="Times New Roman" w:hAnsi="Times New Roman" w:cs="Times New Roman"/>
          <w:sz w:val="24"/>
          <w:szCs w:val="24"/>
        </w:rPr>
        <w:t>Les sites proposés pour l’</w:t>
      </w:r>
      <w:r w:rsidR="009303C9" w:rsidRPr="00BD7651">
        <w:rPr>
          <w:rFonts w:ascii="Times New Roman" w:hAnsi="Times New Roman" w:cs="Times New Roman"/>
          <w:sz w:val="24"/>
          <w:szCs w:val="24"/>
        </w:rPr>
        <w:t>implantation</w:t>
      </w:r>
      <w:r w:rsidRPr="00BD7651">
        <w:rPr>
          <w:rFonts w:ascii="Times New Roman" w:hAnsi="Times New Roman" w:cs="Times New Roman"/>
          <w:sz w:val="24"/>
          <w:szCs w:val="24"/>
        </w:rPr>
        <w:t xml:space="preserve"> des nouveaux réservoirs on fait l’objet d’une étude sur cartographie et de visites de site pour confirmation.</w:t>
      </w:r>
    </w:p>
    <w:p w:rsidR="001D1EBD" w:rsidRPr="00300730" w:rsidRDefault="003B7939" w:rsidP="00300730">
      <w:pPr>
        <w:pStyle w:val="PargrafodaLista"/>
        <w:spacing w:before="360" w:after="240" w:line="240" w:lineRule="auto"/>
        <w:ind w:left="1428"/>
        <w:contextualSpacing w:val="0"/>
        <w:jc w:val="both"/>
        <w:outlineLvl w:val="2"/>
        <w:rPr>
          <w:rFonts w:ascii="Times New Roman" w:hAnsi="Times New Roman"/>
          <w:b/>
          <w:bCs/>
          <w:sz w:val="24"/>
          <w:szCs w:val="24"/>
          <w:lang w:val="fr-FR" w:eastAsia="fr-FR"/>
        </w:rPr>
      </w:pPr>
      <w:bookmarkStart w:id="63" w:name="_Toc51072513"/>
      <w:r>
        <w:rPr>
          <w:rFonts w:ascii="Times New Roman" w:hAnsi="Times New Roman"/>
          <w:b/>
          <w:bCs/>
          <w:sz w:val="24"/>
          <w:szCs w:val="24"/>
          <w:lang w:val="fr-FR" w:eastAsia="fr-FR"/>
        </w:rPr>
        <w:lastRenderedPageBreak/>
        <w:t>2</w:t>
      </w:r>
      <w:r w:rsidR="00300730">
        <w:rPr>
          <w:rFonts w:ascii="Times New Roman" w:hAnsi="Times New Roman"/>
          <w:b/>
          <w:bCs/>
          <w:sz w:val="24"/>
          <w:szCs w:val="24"/>
          <w:lang w:val="fr-FR" w:eastAsia="fr-FR"/>
        </w:rPr>
        <w:t xml:space="preserve">.6.1. </w:t>
      </w:r>
      <w:r w:rsidR="001D1EBD" w:rsidRPr="00300730">
        <w:rPr>
          <w:rFonts w:ascii="Times New Roman" w:hAnsi="Times New Roman"/>
          <w:b/>
          <w:bCs/>
          <w:sz w:val="24"/>
          <w:szCs w:val="24"/>
          <w:lang w:val="fr-FR" w:eastAsia="fr-FR"/>
        </w:rPr>
        <w:t>Consistance des travaux</w:t>
      </w:r>
      <w:bookmarkEnd w:id="63"/>
    </w:p>
    <w:p w:rsidR="00300730" w:rsidRDefault="001D1EBD" w:rsidP="00EE6ACD">
      <w:pPr>
        <w:autoSpaceDE w:val="0"/>
        <w:autoSpaceDN w:val="0"/>
        <w:adjustRightInd w:val="0"/>
        <w:spacing w:after="0" w:line="240" w:lineRule="auto"/>
        <w:ind w:left="-284"/>
        <w:jc w:val="both"/>
        <w:rPr>
          <w:rFonts w:ascii="Times New Roman" w:hAnsi="Times New Roman" w:cs="Times New Roman"/>
          <w:sz w:val="24"/>
          <w:szCs w:val="24"/>
        </w:rPr>
      </w:pPr>
      <w:r w:rsidRPr="00EE6ACD">
        <w:rPr>
          <w:rFonts w:ascii="Times New Roman" w:hAnsi="Times New Roman" w:cs="Times New Roman"/>
          <w:sz w:val="24"/>
          <w:szCs w:val="24"/>
        </w:rPr>
        <w:t xml:space="preserve">Il s’agit </w:t>
      </w:r>
      <w:r w:rsidR="00217DAE">
        <w:rPr>
          <w:rFonts w:ascii="Times New Roman" w:hAnsi="Times New Roman" w:cs="Times New Roman"/>
          <w:sz w:val="24"/>
          <w:szCs w:val="24"/>
        </w:rPr>
        <w:t xml:space="preserve">de </w:t>
      </w:r>
      <w:r w:rsidRPr="00EE6ACD">
        <w:rPr>
          <w:rFonts w:ascii="Times New Roman" w:hAnsi="Times New Roman" w:cs="Times New Roman"/>
          <w:sz w:val="24"/>
          <w:szCs w:val="24"/>
        </w:rPr>
        <w:t>la construction de quatre (4) nouveaux</w:t>
      </w:r>
      <w:r w:rsidR="003E5892" w:rsidRPr="00EE6ACD">
        <w:rPr>
          <w:rFonts w:ascii="Times New Roman" w:hAnsi="Times New Roman" w:cs="Times New Roman"/>
          <w:sz w:val="24"/>
          <w:szCs w:val="24"/>
        </w:rPr>
        <w:t xml:space="preserve"> réservoir</w:t>
      </w:r>
      <w:r w:rsidRPr="00EE6ACD">
        <w:rPr>
          <w:rFonts w:ascii="Times New Roman" w:hAnsi="Times New Roman" w:cs="Times New Roman"/>
          <w:sz w:val="24"/>
          <w:szCs w:val="24"/>
        </w:rPr>
        <w:t xml:space="preserve">s </w:t>
      </w:r>
      <w:r w:rsidR="006538A7" w:rsidRPr="00EE6ACD">
        <w:rPr>
          <w:rFonts w:ascii="Times New Roman" w:hAnsi="Times New Roman" w:cs="Times New Roman"/>
          <w:sz w:val="24"/>
          <w:szCs w:val="24"/>
        </w:rPr>
        <w:t xml:space="preserve">(Prabis, Bor, Safim et Antula Pime) </w:t>
      </w:r>
      <w:r w:rsidRPr="00EE6ACD">
        <w:rPr>
          <w:rFonts w:ascii="Times New Roman" w:hAnsi="Times New Roman" w:cs="Times New Roman"/>
          <w:sz w:val="24"/>
          <w:szCs w:val="24"/>
        </w:rPr>
        <w:t>et</w:t>
      </w:r>
      <w:r w:rsidR="006538A7" w:rsidRPr="00EE6ACD">
        <w:rPr>
          <w:rFonts w:ascii="Times New Roman" w:hAnsi="Times New Roman" w:cs="Times New Roman"/>
          <w:sz w:val="24"/>
          <w:szCs w:val="24"/>
        </w:rPr>
        <w:t xml:space="preserve"> la réhabilitation de deux autres quartier Aéroport, ils </w:t>
      </w:r>
      <w:r w:rsidR="0018265D" w:rsidRPr="00EE6ACD">
        <w:rPr>
          <w:rFonts w:ascii="Times New Roman" w:hAnsi="Times New Roman" w:cs="Times New Roman"/>
          <w:sz w:val="24"/>
          <w:szCs w:val="24"/>
        </w:rPr>
        <w:t>seront surélevés</w:t>
      </w:r>
      <w:r w:rsidR="003E5892" w:rsidRPr="00EE6ACD">
        <w:rPr>
          <w:rFonts w:ascii="Times New Roman" w:hAnsi="Times New Roman" w:cs="Times New Roman"/>
          <w:sz w:val="24"/>
          <w:szCs w:val="24"/>
        </w:rPr>
        <w:t xml:space="preserve"> en béton armé qui </w:t>
      </w:r>
      <w:r w:rsidR="00300730" w:rsidRPr="00EE6ACD">
        <w:rPr>
          <w:rFonts w:ascii="Times New Roman" w:hAnsi="Times New Roman" w:cs="Times New Roman"/>
          <w:sz w:val="24"/>
          <w:szCs w:val="24"/>
        </w:rPr>
        <w:t>permettra d’augmenter</w:t>
      </w:r>
      <w:r w:rsidR="003E5892" w:rsidRPr="00EE6ACD">
        <w:rPr>
          <w:rFonts w:ascii="Times New Roman" w:hAnsi="Times New Roman" w:cs="Times New Roman"/>
          <w:sz w:val="24"/>
          <w:szCs w:val="24"/>
        </w:rPr>
        <w:t xml:space="preserve"> fortement la capacité de stockage</w:t>
      </w:r>
      <w:r w:rsidR="00300730">
        <w:rPr>
          <w:rFonts w:ascii="Times New Roman" w:hAnsi="Times New Roman" w:cs="Times New Roman"/>
          <w:sz w:val="24"/>
          <w:szCs w:val="24"/>
        </w:rPr>
        <w:t>.</w:t>
      </w:r>
    </w:p>
    <w:p w:rsidR="006538A7" w:rsidRPr="00EE6ACD" w:rsidRDefault="006538A7" w:rsidP="00EE6ACD">
      <w:pPr>
        <w:autoSpaceDE w:val="0"/>
        <w:autoSpaceDN w:val="0"/>
        <w:adjustRightInd w:val="0"/>
        <w:spacing w:after="0" w:line="240" w:lineRule="auto"/>
        <w:ind w:left="-284"/>
        <w:jc w:val="both"/>
        <w:rPr>
          <w:rFonts w:ascii="Times New Roman" w:hAnsi="Times New Roman" w:cs="Times New Roman"/>
          <w:sz w:val="24"/>
          <w:szCs w:val="24"/>
        </w:rPr>
      </w:pPr>
    </w:p>
    <w:p w:rsidR="0018265D" w:rsidRDefault="003E5892" w:rsidP="00EE6ACD">
      <w:pPr>
        <w:autoSpaceDE w:val="0"/>
        <w:autoSpaceDN w:val="0"/>
        <w:adjustRightInd w:val="0"/>
        <w:spacing w:after="0" w:line="240" w:lineRule="auto"/>
        <w:ind w:left="-284"/>
        <w:jc w:val="both"/>
        <w:rPr>
          <w:rFonts w:ascii="Times New Roman" w:hAnsi="Times New Roman" w:cs="Times New Roman"/>
          <w:sz w:val="24"/>
          <w:szCs w:val="24"/>
        </w:rPr>
      </w:pPr>
      <w:r w:rsidRPr="00965FCE">
        <w:rPr>
          <w:rFonts w:ascii="Times New Roman" w:hAnsi="Times New Roman" w:cs="Times New Roman"/>
          <w:sz w:val="24"/>
          <w:szCs w:val="24"/>
        </w:rPr>
        <w:t xml:space="preserve">Les tâches essentielles qui seront opérées dans le cadre du </w:t>
      </w:r>
      <w:r w:rsidR="00965FCE">
        <w:rPr>
          <w:rFonts w:ascii="Times New Roman" w:hAnsi="Times New Roman" w:cs="Times New Roman"/>
          <w:sz w:val="24"/>
          <w:szCs w:val="24"/>
        </w:rPr>
        <w:t>sous-</w:t>
      </w:r>
      <w:r w:rsidRPr="00965FCE">
        <w:rPr>
          <w:rFonts w:ascii="Times New Roman" w:hAnsi="Times New Roman" w:cs="Times New Roman"/>
          <w:sz w:val="24"/>
          <w:szCs w:val="24"/>
        </w:rPr>
        <w:t>projet</w:t>
      </w:r>
      <w:r w:rsidR="0018265D" w:rsidRPr="00965FCE">
        <w:rPr>
          <w:rFonts w:ascii="Times New Roman" w:hAnsi="Times New Roman" w:cs="Times New Roman"/>
          <w:sz w:val="24"/>
          <w:szCs w:val="24"/>
        </w:rPr>
        <w:t> n°2</w:t>
      </w:r>
      <w:r w:rsidRPr="00965FCE">
        <w:rPr>
          <w:rFonts w:ascii="Times New Roman" w:hAnsi="Times New Roman" w:cs="Times New Roman"/>
          <w:sz w:val="24"/>
          <w:szCs w:val="24"/>
        </w:rPr>
        <w:t xml:space="preserve"> sont :</w:t>
      </w:r>
    </w:p>
    <w:p w:rsidR="00965FCE" w:rsidRPr="00EE6ACD" w:rsidRDefault="00965FCE" w:rsidP="00EE6ACD">
      <w:pPr>
        <w:autoSpaceDE w:val="0"/>
        <w:autoSpaceDN w:val="0"/>
        <w:adjustRightInd w:val="0"/>
        <w:spacing w:after="0" w:line="240" w:lineRule="auto"/>
        <w:ind w:left="-284"/>
        <w:jc w:val="both"/>
        <w:rPr>
          <w:rFonts w:ascii="Times New Roman" w:hAnsi="Times New Roman" w:cs="Times New Roman"/>
          <w:sz w:val="24"/>
          <w:szCs w:val="24"/>
        </w:rPr>
      </w:pPr>
    </w:p>
    <w:p w:rsidR="0018265D" w:rsidRPr="001E2496" w:rsidRDefault="003E5892" w:rsidP="00FA3FAE">
      <w:pPr>
        <w:pStyle w:val="PargrafodaLista"/>
        <w:numPr>
          <w:ilvl w:val="0"/>
          <w:numId w:val="75"/>
        </w:numPr>
        <w:jc w:val="both"/>
        <w:rPr>
          <w:rFonts w:ascii="Times New Roman" w:hAnsi="Times New Roman"/>
          <w:color w:val="000000"/>
          <w:sz w:val="24"/>
          <w:szCs w:val="24"/>
        </w:rPr>
      </w:pPr>
      <w:r w:rsidRPr="001E2496">
        <w:rPr>
          <w:rStyle w:val="fontstyle21"/>
          <w:rFonts w:ascii="Times New Roman" w:hAnsi="Times New Roman"/>
          <w:sz w:val="24"/>
          <w:szCs w:val="24"/>
        </w:rPr>
        <w:t>l’Installations de chantier</w:t>
      </w:r>
      <w:r w:rsidR="0018265D" w:rsidRPr="001E2496">
        <w:rPr>
          <w:rStyle w:val="fontstyle21"/>
          <w:rFonts w:ascii="Times New Roman" w:hAnsi="Times New Roman"/>
          <w:sz w:val="24"/>
          <w:szCs w:val="24"/>
        </w:rPr>
        <w:t xml:space="preserve"> </w:t>
      </w:r>
      <w:r w:rsidRPr="001E2496">
        <w:rPr>
          <w:rStyle w:val="fontstyle21"/>
          <w:rFonts w:ascii="Times New Roman" w:hAnsi="Times New Roman"/>
          <w:sz w:val="24"/>
          <w:szCs w:val="24"/>
        </w:rPr>
        <w:t>;</w:t>
      </w:r>
    </w:p>
    <w:p w:rsidR="0018265D" w:rsidRPr="001E2496" w:rsidRDefault="003E5892" w:rsidP="00FA3FAE">
      <w:pPr>
        <w:pStyle w:val="PargrafodaLista"/>
        <w:numPr>
          <w:ilvl w:val="0"/>
          <w:numId w:val="75"/>
        </w:numPr>
        <w:jc w:val="both"/>
        <w:rPr>
          <w:rFonts w:ascii="Times New Roman" w:hAnsi="Times New Roman"/>
          <w:color w:val="000000"/>
          <w:sz w:val="24"/>
          <w:szCs w:val="24"/>
        </w:rPr>
      </w:pPr>
      <w:r w:rsidRPr="001E2496">
        <w:rPr>
          <w:rStyle w:val="fontstyle21"/>
          <w:rFonts w:ascii="Times New Roman" w:hAnsi="Times New Roman"/>
          <w:sz w:val="24"/>
          <w:szCs w:val="24"/>
        </w:rPr>
        <w:t>la const</w:t>
      </w:r>
      <w:r w:rsidR="0018265D" w:rsidRPr="001E2496">
        <w:rPr>
          <w:rStyle w:val="fontstyle21"/>
          <w:rFonts w:ascii="Times New Roman" w:hAnsi="Times New Roman"/>
          <w:sz w:val="24"/>
          <w:szCs w:val="24"/>
        </w:rPr>
        <w:t>ruction et la réhabilitation des</w:t>
      </w:r>
      <w:r w:rsidRPr="001E2496">
        <w:rPr>
          <w:rStyle w:val="fontstyle21"/>
          <w:rFonts w:ascii="Times New Roman" w:hAnsi="Times New Roman"/>
          <w:sz w:val="24"/>
          <w:szCs w:val="24"/>
        </w:rPr>
        <w:t xml:space="preserve"> </w:t>
      </w:r>
      <w:r w:rsidR="0018265D" w:rsidRPr="001E2496">
        <w:rPr>
          <w:rStyle w:val="fontstyle21"/>
          <w:rFonts w:ascii="Times New Roman" w:hAnsi="Times New Roman"/>
          <w:sz w:val="24"/>
          <w:szCs w:val="24"/>
        </w:rPr>
        <w:t>réservoirs ;</w:t>
      </w:r>
    </w:p>
    <w:p w:rsidR="0018265D" w:rsidRPr="001E2496" w:rsidRDefault="003E5892" w:rsidP="00FA3FAE">
      <w:pPr>
        <w:pStyle w:val="PargrafodaLista"/>
        <w:numPr>
          <w:ilvl w:val="0"/>
          <w:numId w:val="75"/>
        </w:numPr>
        <w:jc w:val="both"/>
        <w:rPr>
          <w:rFonts w:ascii="Times New Roman" w:hAnsi="Times New Roman"/>
          <w:color w:val="000000"/>
          <w:sz w:val="24"/>
          <w:szCs w:val="24"/>
        </w:rPr>
      </w:pPr>
      <w:r w:rsidRPr="001E2496">
        <w:rPr>
          <w:rStyle w:val="fontstyle21"/>
          <w:rFonts w:ascii="Times New Roman" w:hAnsi="Times New Roman"/>
          <w:sz w:val="24"/>
          <w:szCs w:val="24"/>
        </w:rPr>
        <w:t>les connexions aux réseaux de distribution</w:t>
      </w:r>
      <w:r w:rsidR="0018265D" w:rsidRPr="001E2496">
        <w:rPr>
          <w:rStyle w:val="fontstyle21"/>
          <w:rFonts w:ascii="Times New Roman" w:hAnsi="Times New Roman"/>
          <w:sz w:val="24"/>
          <w:szCs w:val="24"/>
        </w:rPr>
        <w:t xml:space="preserve"> </w:t>
      </w:r>
      <w:r w:rsidRPr="001E2496">
        <w:rPr>
          <w:rStyle w:val="fontstyle21"/>
          <w:rFonts w:ascii="Times New Roman" w:hAnsi="Times New Roman"/>
          <w:sz w:val="24"/>
          <w:szCs w:val="24"/>
        </w:rPr>
        <w:t>;</w:t>
      </w:r>
    </w:p>
    <w:p w:rsidR="0018265D" w:rsidRPr="001E2496" w:rsidRDefault="0018265D" w:rsidP="00FA3FAE">
      <w:pPr>
        <w:pStyle w:val="PargrafodaLista"/>
        <w:numPr>
          <w:ilvl w:val="0"/>
          <w:numId w:val="75"/>
        </w:numPr>
        <w:jc w:val="both"/>
        <w:rPr>
          <w:rStyle w:val="fontstyle31"/>
          <w:rFonts w:ascii="Times New Roman" w:hAnsi="Times New Roman"/>
          <w:sz w:val="24"/>
          <w:szCs w:val="24"/>
        </w:rPr>
      </w:pPr>
      <w:r w:rsidRPr="001E2496">
        <w:rPr>
          <w:rStyle w:val="fontstyle21"/>
          <w:rFonts w:ascii="Times New Roman" w:hAnsi="Times New Roman"/>
          <w:sz w:val="24"/>
          <w:szCs w:val="24"/>
        </w:rPr>
        <w:t>Descentes et trop plein des</w:t>
      </w:r>
      <w:r w:rsidR="003E5892" w:rsidRPr="001E2496">
        <w:rPr>
          <w:rStyle w:val="fontstyle21"/>
          <w:rFonts w:ascii="Times New Roman" w:hAnsi="Times New Roman"/>
          <w:sz w:val="24"/>
          <w:szCs w:val="24"/>
        </w:rPr>
        <w:t xml:space="preserve"> réservoir</w:t>
      </w:r>
      <w:r w:rsidRPr="001E2496">
        <w:rPr>
          <w:rStyle w:val="fontstyle21"/>
          <w:rFonts w:ascii="Times New Roman" w:hAnsi="Times New Roman"/>
          <w:sz w:val="24"/>
          <w:szCs w:val="24"/>
        </w:rPr>
        <w:t>s</w:t>
      </w:r>
      <w:r w:rsidR="003E5892" w:rsidRPr="001E2496">
        <w:rPr>
          <w:rStyle w:val="fontstyle21"/>
          <w:rFonts w:ascii="Times New Roman" w:hAnsi="Times New Roman"/>
          <w:sz w:val="24"/>
          <w:szCs w:val="24"/>
        </w:rPr>
        <w:t xml:space="preserve"> ;</w:t>
      </w:r>
    </w:p>
    <w:p w:rsidR="001E2496" w:rsidRDefault="0018265D" w:rsidP="00FA3FAE">
      <w:pPr>
        <w:pStyle w:val="PargrafodaLista"/>
        <w:numPr>
          <w:ilvl w:val="0"/>
          <w:numId w:val="75"/>
        </w:numPr>
        <w:jc w:val="both"/>
        <w:rPr>
          <w:rStyle w:val="fontstyle21"/>
          <w:rFonts w:ascii="Times New Roman" w:hAnsi="Times New Roman"/>
          <w:sz w:val="24"/>
          <w:szCs w:val="24"/>
        </w:rPr>
      </w:pPr>
      <w:r w:rsidRPr="001E2496">
        <w:rPr>
          <w:rStyle w:val="fontstyle21"/>
          <w:rFonts w:ascii="Times New Roman" w:hAnsi="Times New Roman"/>
          <w:sz w:val="24"/>
          <w:szCs w:val="24"/>
        </w:rPr>
        <w:t>Sécurisation des différents sites des réservoirs</w:t>
      </w:r>
      <w:r w:rsidR="003E5892" w:rsidRPr="001E2496">
        <w:rPr>
          <w:rStyle w:val="fontstyle21"/>
          <w:rFonts w:ascii="Times New Roman" w:hAnsi="Times New Roman"/>
          <w:sz w:val="24"/>
          <w:szCs w:val="24"/>
        </w:rPr>
        <w:t>.</w:t>
      </w:r>
    </w:p>
    <w:p w:rsidR="00E479EF" w:rsidRPr="00E479EF" w:rsidRDefault="00E479EF" w:rsidP="00E479EF">
      <w:pPr>
        <w:pStyle w:val="PargrafodaLista"/>
        <w:jc w:val="both"/>
        <w:rPr>
          <w:rFonts w:ascii="Times New Roman" w:hAnsi="Times New Roman"/>
          <w:color w:val="000000"/>
          <w:sz w:val="24"/>
          <w:szCs w:val="24"/>
        </w:rPr>
      </w:pPr>
    </w:p>
    <w:p w:rsidR="0018265D" w:rsidRPr="00BD7651" w:rsidRDefault="003E5892" w:rsidP="00FA3FAE">
      <w:pPr>
        <w:pStyle w:val="PargrafodaLista"/>
        <w:numPr>
          <w:ilvl w:val="0"/>
          <w:numId w:val="68"/>
        </w:numPr>
        <w:spacing w:after="0"/>
        <w:jc w:val="both"/>
        <w:rPr>
          <w:rFonts w:ascii="Times New Roman" w:hAnsi="Times New Roman"/>
          <w:b/>
          <w:bCs/>
          <w:color w:val="000000"/>
          <w:sz w:val="24"/>
          <w:szCs w:val="24"/>
        </w:rPr>
      </w:pPr>
      <w:r w:rsidRPr="00BD7651">
        <w:rPr>
          <w:rStyle w:val="fontstyle01"/>
          <w:rFonts w:ascii="Times New Roman" w:hAnsi="Times New Roman"/>
          <w:sz w:val="24"/>
          <w:szCs w:val="24"/>
        </w:rPr>
        <w:t>Installations de chantier avec salle de réunion, bureaux</w:t>
      </w:r>
    </w:p>
    <w:p w:rsidR="0018265D" w:rsidRPr="00E479EF" w:rsidRDefault="003E5892" w:rsidP="00E479EF">
      <w:pPr>
        <w:autoSpaceDE w:val="0"/>
        <w:autoSpaceDN w:val="0"/>
        <w:adjustRightInd w:val="0"/>
        <w:spacing w:after="0" w:line="240" w:lineRule="auto"/>
        <w:ind w:left="-284"/>
        <w:jc w:val="both"/>
        <w:rPr>
          <w:rFonts w:ascii="Times New Roman" w:hAnsi="Times New Roman" w:cs="Times New Roman"/>
          <w:sz w:val="24"/>
          <w:szCs w:val="24"/>
        </w:rPr>
      </w:pPr>
      <w:r w:rsidRPr="00E479EF">
        <w:rPr>
          <w:rFonts w:ascii="Times New Roman" w:hAnsi="Times New Roman" w:cs="Times New Roman"/>
          <w:sz w:val="24"/>
          <w:szCs w:val="24"/>
        </w:rPr>
        <w:t>Ces installations sont temporaires et seront immédiatement enlevées dès la fin des travaux.</w:t>
      </w:r>
      <w:r w:rsidR="009C0C8F" w:rsidRPr="00E479EF">
        <w:rPr>
          <w:rFonts w:ascii="Times New Roman" w:hAnsi="Times New Roman" w:cs="Times New Roman"/>
          <w:sz w:val="24"/>
          <w:szCs w:val="24"/>
        </w:rPr>
        <w:t xml:space="preserve"> </w:t>
      </w:r>
      <w:r w:rsidRPr="00E479EF">
        <w:rPr>
          <w:rFonts w:ascii="Times New Roman" w:hAnsi="Times New Roman" w:cs="Times New Roman"/>
          <w:sz w:val="24"/>
          <w:szCs w:val="24"/>
        </w:rPr>
        <w:t>Il s’agit de la mise à disposition sur le site de :</w:t>
      </w:r>
    </w:p>
    <w:p w:rsidR="0018265D" w:rsidRPr="001E2496" w:rsidRDefault="003E5892" w:rsidP="00FA3FAE">
      <w:pPr>
        <w:pStyle w:val="PargrafodaLista"/>
        <w:numPr>
          <w:ilvl w:val="0"/>
          <w:numId w:val="76"/>
        </w:numPr>
        <w:jc w:val="both"/>
        <w:rPr>
          <w:rFonts w:ascii="Times New Roman" w:hAnsi="Times New Roman"/>
          <w:color w:val="000000"/>
          <w:sz w:val="24"/>
          <w:szCs w:val="24"/>
        </w:rPr>
      </w:pPr>
      <w:r w:rsidRPr="001E2496">
        <w:rPr>
          <w:rStyle w:val="fontstyle21"/>
          <w:rFonts w:ascii="Times New Roman" w:hAnsi="Times New Roman"/>
          <w:sz w:val="24"/>
          <w:szCs w:val="24"/>
        </w:rPr>
        <w:t>un bureau du chef de mission de 20m2 minimum ;</w:t>
      </w:r>
    </w:p>
    <w:p w:rsidR="0018265D" w:rsidRPr="001E2496" w:rsidRDefault="003E5892" w:rsidP="00FA3FAE">
      <w:pPr>
        <w:pStyle w:val="PargrafodaLista"/>
        <w:numPr>
          <w:ilvl w:val="0"/>
          <w:numId w:val="76"/>
        </w:numPr>
        <w:jc w:val="both"/>
        <w:rPr>
          <w:rFonts w:ascii="Times New Roman" w:hAnsi="Times New Roman"/>
          <w:color w:val="000000"/>
          <w:sz w:val="24"/>
          <w:szCs w:val="24"/>
        </w:rPr>
      </w:pPr>
      <w:r w:rsidRPr="001E2496">
        <w:rPr>
          <w:rStyle w:val="fontstyle21"/>
          <w:rFonts w:ascii="Times New Roman" w:hAnsi="Times New Roman"/>
          <w:sz w:val="24"/>
          <w:szCs w:val="24"/>
        </w:rPr>
        <w:t>un bureau de 10m2 minimum pour la secrétaire ;</w:t>
      </w:r>
    </w:p>
    <w:p w:rsidR="0018265D" w:rsidRPr="001E2496" w:rsidRDefault="003E5892" w:rsidP="00FA3FAE">
      <w:pPr>
        <w:pStyle w:val="PargrafodaLista"/>
        <w:numPr>
          <w:ilvl w:val="0"/>
          <w:numId w:val="76"/>
        </w:numPr>
        <w:jc w:val="both"/>
        <w:rPr>
          <w:rFonts w:ascii="Times New Roman" w:hAnsi="Times New Roman"/>
          <w:color w:val="000000"/>
          <w:sz w:val="24"/>
          <w:szCs w:val="24"/>
        </w:rPr>
      </w:pPr>
      <w:r w:rsidRPr="001E2496">
        <w:rPr>
          <w:rStyle w:val="fontstyle21"/>
          <w:rFonts w:ascii="Times New Roman" w:hAnsi="Times New Roman"/>
          <w:sz w:val="24"/>
          <w:szCs w:val="24"/>
        </w:rPr>
        <w:t>une salle de réunion de 25m2 ;</w:t>
      </w:r>
    </w:p>
    <w:p w:rsidR="0018265D" w:rsidRPr="001E2496" w:rsidRDefault="003E5892" w:rsidP="00FA3FAE">
      <w:pPr>
        <w:pStyle w:val="PargrafodaLista"/>
        <w:numPr>
          <w:ilvl w:val="0"/>
          <w:numId w:val="76"/>
        </w:numPr>
        <w:jc w:val="both"/>
        <w:rPr>
          <w:rFonts w:ascii="Times New Roman" w:hAnsi="Times New Roman"/>
          <w:color w:val="000000"/>
          <w:sz w:val="24"/>
          <w:szCs w:val="24"/>
        </w:rPr>
      </w:pPr>
      <w:r w:rsidRPr="001E2496">
        <w:rPr>
          <w:rStyle w:val="fontstyle21"/>
          <w:rFonts w:ascii="Times New Roman" w:hAnsi="Times New Roman"/>
          <w:sz w:val="24"/>
          <w:szCs w:val="24"/>
        </w:rPr>
        <w:t>une salle de toilettes avec lavabo, chaise anglaise et bac à douche.</w:t>
      </w:r>
    </w:p>
    <w:p w:rsidR="001E2496" w:rsidRDefault="003E5892" w:rsidP="00FA3FAE">
      <w:pPr>
        <w:pStyle w:val="PargrafodaLista"/>
        <w:numPr>
          <w:ilvl w:val="0"/>
          <w:numId w:val="76"/>
        </w:numPr>
        <w:spacing w:after="0"/>
        <w:jc w:val="both"/>
        <w:rPr>
          <w:rStyle w:val="fontstyle21"/>
          <w:rFonts w:ascii="Times New Roman" w:hAnsi="Times New Roman"/>
          <w:sz w:val="24"/>
          <w:szCs w:val="24"/>
        </w:rPr>
      </w:pPr>
      <w:r w:rsidRPr="001E2496">
        <w:rPr>
          <w:rStyle w:val="fontstyle21"/>
          <w:rFonts w:ascii="Times New Roman" w:hAnsi="Times New Roman"/>
          <w:sz w:val="24"/>
          <w:szCs w:val="24"/>
        </w:rPr>
        <w:t>L’installation de chantier comprend également l’amené des engins sur le site.</w:t>
      </w:r>
    </w:p>
    <w:p w:rsidR="00E479EF" w:rsidRPr="00E479EF" w:rsidRDefault="00E479EF" w:rsidP="00E479EF">
      <w:pPr>
        <w:pStyle w:val="PargrafodaLista"/>
        <w:spacing w:after="0"/>
        <w:ind w:left="1080"/>
        <w:jc w:val="both"/>
        <w:rPr>
          <w:rFonts w:ascii="Times New Roman" w:hAnsi="Times New Roman"/>
          <w:color w:val="000000"/>
          <w:sz w:val="24"/>
          <w:szCs w:val="24"/>
        </w:rPr>
      </w:pPr>
    </w:p>
    <w:p w:rsidR="0018265D" w:rsidRPr="00BD7651" w:rsidRDefault="003E5892" w:rsidP="00FA3FAE">
      <w:pPr>
        <w:pStyle w:val="PargrafodaLista"/>
        <w:numPr>
          <w:ilvl w:val="0"/>
          <w:numId w:val="68"/>
        </w:numPr>
        <w:spacing w:after="0" w:line="240" w:lineRule="auto"/>
        <w:jc w:val="both"/>
        <w:rPr>
          <w:rFonts w:ascii="Times New Roman" w:hAnsi="Times New Roman"/>
          <w:b/>
          <w:bCs/>
          <w:color w:val="000000"/>
          <w:sz w:val="24"/>
          <w:szCs w:val="24"/>
        </w:rPr>
      </w:pPr>
      <w:r w:rsidRPr="00BD7651">
        <w:rPr>
          <w:rStyle w:val="fontstyle01"/>
          <w:rFonts w:ascii="Times New Roman" w:hAnsi="Times New Roman"/>
          <w:sz w:val="24"/>
          <w:szCs w:val="24"/>
        </w:rPr>
        <w:t xml:space="preserve">Construction du réservoir </w:t>
      </w:r>
    </w:p>
    <w:p w:rsidR="0018265D" w:rsidRPr="00E479EF" w:rsidRDefault="003E5892" w:rsidP="00E479EF">
      <w:pPr>
        <w:autoSpaceDE w:val="0"/>
        <w:autoSpaceDN w:val="0"/>
        <w:adjustRightInd w:val="0"/>
        <w:spacing w:after="0" w:line="240" w:lineRule="auto"/>
        <w:ind w:left="-284"/>
        <w:jc w:val="both"/>
        <w:rPr>
          <w:rFonts w:ascii="Times New Roman" w:hAnsi="Times New Roman" w:cs="Times New Roman"/>
          <w:sz w:val="24"/>
          <w:szCs w:val="24"/>
        </w:rPr>
      </w:pPr>
      <w:r w:rsidRPr="00E479EF">
        <w:rPr>
          <w:rFonts w:ascii="Times New Roman" w:hAnsi="Times New Roman" w:cs="Times New Roman"/>
          <w:sz w:val="24"/>
          <w:szCs w:val="24"/>
        </w:rPr>
        <w:t>Les travaux à effectuer sont :</w:t>
      </w:r>
    </w:p>
    <w:p w:rsidR="00B93567" w:rsidRPr="001E2496" w:rsidRDefault="003E5892" w:rsidP="00FA3FAE">
      <w:pPr>
        <w:pStyle w:val="PargrafodaLista"/>
        <w:numPr>
          <w:ilvl w:val="0"/>
          <w:numId w:val="77"/>
        </w:numPr>
        <w:jc w:val="both"/>
        <w:rPr>
          <w:rFonts w:ascii="Times New Roman" w:hAnsi="Times New Roman"/>
          <w:color w:val="000000"/>
          <w:sz w:val="24"/>
          <w:szCs w:val="24"/>
        </w:rPr>
      </w:pPr>
      <w:r w:rsidRPr="001E2496">
        <w:rPr>
          <w:rStyle w:val="fontstyle21"/>
          <w:rFonts w:ascii="Times New Roman" w:hAnsi="Times New Roman"/>
          <w:sz w:val="24"/>
          <w:szCs w:val="24"/>
        </w:rPr>
        <w:t>implantation ;</w:t>
      </w:r>
    </w:p>
    <w:p w:rsidR="00B93567" w:rsidRPr="001E2496" w:rsidRDefault="003E5892" w:rsidP="00FA3FAE">
      <w:pPr>
        <w:pStyle w:val="PargrafodaLista"/>
        <w:numPr>
          <w:ilvl w:val="0"/>
          <w:numId w:val="77"/>
        </w:numPr>
        <w:jc w:val="both"/>
        <w:rPr>
          <w:rFonts w:ascii="Times New Roman" w:hAnsi="Times New Roman"/>
          <w:color w:val="000000"/>
          <w:sz w:val="24"/>
          <w:szCs w:val="24"/>
        </w:rPr>
      </w:pPr>
      <w:r w:rsidRPr="001E2496">
        <w:rPr>
          <w:rStyle w:val="fontstyle21"/>
          <w:rFonts w:ascii="Times New Roman" w:hAnsi="Times New Roman"/>
          <w:sz w:val="24"/>
          <w:szCs w:val="24"/>
        </w:rPr>
        <w:t>reconnaissance géotechnique ;</w:t>
      </w:r>
    </w:p>
    <w:p w:rsidR="0018265D" w:rsidRPr="001E2496" w:rsidRDefault="003E5892" w:rsidP="00FA3FAE">
      <w:pPr>
        <w:pStyle w:val="PargrafodaLista"/>
        <w:numPr>
          <w:ilvl w:val="0"/>
          <w:numId w:val="77"/>
        </w:numPr>
        <w:jc w:val="both"/>
        <w:rPr>
          <w:rFonts w:ascii="Times New Roman" w:hAnsi="Times New Roman"/>
          <w:color w:val="000000"/>
          <w:sz w:val="24"/>
          <w:szCs w:val="24"/>
        </w:rPr>
      </w:pPr>
      <w:r w:rsidRPr="001E2496">
        <w:rPr>
          <w:rStyle w:val="fontstyle21"/>
          <w:rFonts w:ascii="Times New Roman" w:hAnsi="Times New Roman"/>
          <w:sz w:val="24"/>
          <w:szCs w:val="24"/>
        </w:rPr>
        <w:t>nivellement et terrassements à savoir : débroussaillage et nivellement général, excavation</w:t>
      </w:r>
    </w:p>
    <w:p w:rsidR="00B93567" w:rsidRPr="001E2496" w:rsidRDefault="003E5892" w:rsidP="00FA3FAE">
      <w:pPr>
        <w:pStyle w:val="PargrafodaLista"/>
        <w:numPr>
          <w:ilvl w:val="0"/>
          <w:numId w:val="77"/>
        </w:numPr>
        <w:jc w:val="both"/>
        <w:rPr>
          <w:rFonts w:ascii="Times New Roman" w:hAnsi="Times New Roman"/>
          <w:color w:val="000000"/>
          <w:sz w:val="24"/>
          <w:szCs w:val="24"/>
        </w:rPr>
      </w:pPr>
      <w:r w:rsidRPr="001E2496">
        <w:rPr>
          <w:rStyle w:val="fontstyle21"/>
          <w:rFonts w:ascii="Times New Roman" w:hAnsi="Times New Roman"/>
          <w:sz w:val="24"/>
          <w:szCs w:val="24"/>
        </w:rPr>
        <w:t>pour puits de fondation – solution de base, traitement anti termite ;</w:t>
      </w:r>
    </w:p>
    <w:p w:rsidR="0018265D" w:rsidRDefault="003E5892" w:rsidP="00FA3FAE">
      <w:pPr>
        <w:pStyle w:val="PargrafodaLista"/>
        <w:numPr>
          <w:ilvl w:val="0"/>
          <w:numId w:val="77"/>
        </w:numPr>
        <w:spacing w:after="0"/>
        <w:jc w:val="both"/>
        <w:rPr>
          <w:rStyle w:val="fontstyle21"/>
          <w:rFonts w:ascii="Times New Roman" w:hAnsi="Times New Roman"/>
          <w:sz w:val="24"/>
          <w:szCs w:val="24"/>
        </w:rPr>
      </w:pPr>
      <w:r w:rsidRPr="001E2496">
        <w:rPr>
          <w:rStyle w:val="fontstyle21"/>
          <w:rFonts w:ascii="Times New Roman" w:hAnsi="Times New Roman"/>
          <w:sz w:val="24"/>
          <w:szCs w:val="24"/>
        </w:rPr>
        <w:t>travaux de Génie civil notamment : Béton armé (CEM II ou III), coffrages, armatures.</w:t>
      </w:r>
    </w:p>
    <w:p w:rsidR="00E479EF" w:rsidRPr="001E2496" w:rsidRDefault="00E479EF" w:rsidP="00E479EF">
      <w:pPr>
        <w:pStyle w:val="PargrafodaLista"/>
        <w:spacing w:after="0"/>
        <w:ind w:left="1080"/>
        <w:jc w:val="both"/>
        <w:rPr>
          <w:rFonts w:ascii="Times New Roman" w:hAnsi="Times New Roman"/>
          <w:color w:val="000000"/>
          <w:sz w:val="24"/>
          <w:szCs w:val="24"/>
        </w:rPr>
      </w:pPr>
    </w:p>
    <w:p w:rsidR="000C6385" w:rsidRPr="00E479EF" w:rsidRDefault="003E5892" w:rsidP="00FA3FAE">
      <w:pPr>
        <w:pStyle w:val="PargrafodaLista"/>
        <w:numPr>
          <w:ilvl w:val="0"/>
          <w:numId w:val="68"/>
        </w:numPr>
        <w:spacing w:after="0" w:line="240" w:lineRule="auto"/>
        <w:jc w:val="both"/>
        <w:rPr>
          <w:rStyle w:val="fontstyle01"/>
          <w:rFonts w:ascii="Times New Roman" w:hAnsi="Times New Roman"/>
          <w:sz w:val="24"/>
          <w:szCs w:val="24"/>
        </w:rPr>
      </w:pPr>
      <w:r w:rsidRPr="00BD7651">
        <w:rPr>
          <w:rStyle w:val="fontstyle01"/>
          <w:rFonts w:ascii="Times New Roman" w:hAnsi="Times New Roman"/>
          <w:sz w:val="24"/>
          <w:szCs w:val="24"/>
        </w:rPr>
        <w:t>Connexions aux réseaux de distribution de l’EAGB</w:t>
      </w:r>
    </w:p>
    <w:p w:rsidR="00E479EF" w:rsidRDefault="00E479EF" w:rsidP="00E479EF">
      <w:pPr>
        <w:autoSpaceDE w:val="0"/>
        <w:autoSpaceDN w:val="0"/>
        <w:adjustRightInd w:val="0"/>
        <w:spacing w:after="0" w:line="240" w:lineRule="auto"/>
        <w:ind w:left="-284"/>
        <w:jc w:val="both"/>
        <w:rPr>
          <w:rFonts w:ascii="Times New Roman" w:hAnsi="Times New Roman" w:cs="Times New Roman"/>
          <w:sz w:val="24"/>
          <w:szCs w:val="24"/>
        </w:rPr>
      </w:pPr>
      <w:r>
        <w:rPr>
          <w:rFonts w:ascii="Times New Roman" w:hAnsi="Times New Roman" w:cs="Times New Roman"/>
          <w:sz w:val="24"/>
          <w:szCs w:val="24"/>
        </w:rPr>
        <w:t>U</w:t>
      </w:r>
      <w:r w:rsidR="003E5892" w:rsidRPr="00E479EF">
        <w:rPr>
          <w:rFonts w:ascii="Times New Roman" w:hAnsi="Times New Roman" w:cs="Times New Roman"/>
          <w:sz w:val="24"/>
          <w:szCs w:val="24"/>
        </w:rPr>
        <w:t xml:space="preserve">ne conduite DN </w:t>
      </w:r>
      <w:r>
        <w:rPr>
          <w:rFonts w:ascii="Times New Roman" w:hAnsi="Times New Roman" w:cs="Times New Roman"/>
          <w:sz w:val="24"/>
          <w:szCs w:val="24"/>
        </w:rPr>
        <w:t xml:space="preserve">(250 à </w:t>
      </w:r>
      <w:r w:rsidR="003E5892" w:rsidRPr="00E479EF">
        <w:rPr>
          <w:rFonts w:ascii="Times New Roman" w:hAnsi="Times New Roman" w:cs="Times New Roman"/>
          <w:sz w:val="24"/>
          <w:szCs w:val="24"/>
        </w:rPr>
        <w:t>400</w:t>
      </w:r>
      <w:r>
        <w:rPr>
          <w:rFonts w:ascii="Times New Roman" w:hAnsi="Times New Roman" w:cs="Times New Roman"/>
          <w:sz w:val="24"/>
          <w:szCs w:val="24"/>
        </w:rPr>
        <w:t>)</w:t>
      </w:r>
      <w:r w:rsidR="003E5892" w:rsidRPr="00E479EF">
        <w:rPr>
          <w:rFonts w:ascii="Times New Roman" w:hAnsi="Times New Roman" w:cs="Times New Roman"/>
          <w:sz w:val="24"/>
          <w:szCs w:val="24"/>
        </w:rPr>
        <w:t xml:space="preserve"> sera posée et reliée </w:t>
      </w:r>
      <w:r>
        <w:rPr>
          <w:rFonts w:ascii="Times New Roman" w:hAnsi="Times New Roman" w:cs="Times New Roman"/>
          <w:sz w:val="24"/>
          <w:szCs w:val="24"/>
        </w:rPr>
        <w:t>au</w:t>
      </w:r>
      <w:r w:rsidR="003E5892" w:rsidRPr="00E479EF">
        <w:rPr>
          <w:rFonts w:ascii="Times New Roman" w:hAnsi="Times New Roman" w:cs="Times New Roman"/>
          <w:sz w:val="24"/>
          <w:szCs w:val="24"/>
        </w:rPr>
        <w:t xml:space="preserve"> réseau primaire </w:t>
      </w:r>
      <w:r>
        <w:rPr>
          <w:rFonts w:ascii="Times New Roman" w:hAnsi="Times New Roman" w:cs="Times New Roman"/>
          <w:sz w:val="24"/>
          <w:szCs w:val="24"/>
        </w:rPr>
        <w:t>pour assurer la distribution.</w:t>
      </w:r>
    </w:p>
    <w:p w:rsidR="00E479EF" w:rsidRDefault="00E479EF" w:rsidP="00E479EF">
      <w:pPr>
        <w:autoSpaceDE w:val="0"/>
        <w:autoSpaceDN w:val="0"/>
        <w:adjustRightInd w:val="0"/>
        <w:spacing w:after="0" w:line="240" w:lineRule="auto"/>
        <w:ind w:left="-284"/>
        <w:jc w:val="both"/>
        <w:rPr>
          <w:rFonts w:ascii="Times New Roman" w:hAnsi="Times New Roman" w:cs="Times New Roman"/>
          <w:sz w:val="24"/>
          <w:szCs w:val="24"/>
        </w:rPr>
      </w:pPr>
    </w:p>
    <w:p w:rsidR="000C6385" w:rsidRPr="00E479EF" w:rsidRDefault="003E5892" w:rsidP="00FA3FAE">
      <w:pPr>
        <w:pStyle w:val="PargrafodaLista"/>
        <w:numPr>
          <w:ilvl w:val="0"/>
          <w:numId w:val="68"/>
        </w:numPr>
        <w:spacing w:after="0" w:line="240" w:lineRule="auto"/>
        <w:jc w:val="both"/>
        <w:rPr>
          <w:rStyle w:val="fontstyle01"/>
          <w:rFonts w:ascii="Times New Roman" w:hAnsi="Times New Roman"/>
          <w:sz w:val="24"/>
          <w:szCs w:val="24"/>
        </w:rPr>
      </w:pPr>
      <w:r w:rsidRPr="00BD7651">
        <w:rPr>
          <w:rStyle w:val="fontstyle01"/>
          <w:rFonts w:ascii="Times New Roman" w:hAnsi="Times New Roman"/>
          <w:sz w:val="24"/>
          <w:szCs w:val="24"/>
        </w:rPr>
        <w:t>Descentes et trop plein du réservoir</w:t>
      </w:r>
    </w:p>
    <w:p w:rsidR="000C6385" w:rsidRDefault="009B35B8" w:rsidP="00E479EF">
      <w:pPr>
        <w:autoSpaceDE w:val="0"/>
        <w:autoSpaceDN w:val="0"/>
        <w:adjustRightInd w:val="0"/>
        <w:spacing w:after="0" w:line="240" w:lineRule="auto"/>
        <w:ind w:left="-284"/>
        <w:jc w:val="both"/>
        <w:rPr>
          <w:rFonts w:ascii="Times New Roman" w:hAnsi="Times New Roman" w:cs="Times New Roman"/>
          <w:sz w:val="24"/>
          <w:szCs w:val="24"/>
        </w:rPr>
      </w:pPr>
      <w:r>
        <w:rPr>
          <w:rFonts w:ascii="Times New Roman" w:hAnsi="Times New Roman" w:cs="Times New Roman"/>
          <w:sz w:val="24"/>
          <w:szCs w:val="24"/>
        </w:rPr>
        <w:t>Un clapet de nez DN 200</w:t>
      </w:r>
      <w:r w:rsidR="003E5892" w:rsidRPr="00E479EF">
        <w:rPr>
          <w:rFonts w:ascii="Times New Roman" w:hAnsi="Times New Roman" w:cs="Times New Roman"/>
          <w:sz w:val="24"/>
          <w:szCs w:val="24"/>
        </w:rPr>
        <w:t xml:space="preserve"> sera placé dans un regard. Ce regard constituera le début de la conduite d'assainissement DN 200 qui reliera le réservoir au système existant d'évacuation des eaux</w:t>
      </w:r>
      <w:r w:rsidR="003E5892" w:rsidRPr="00E479EF">
        <w:rPr>
          <w:rFonts w:ascii="Times New Roman" w:hAnsi="Times New Roman" w:cs="Times New Roman"/>
          <w:sz w:val="24"/>
          <w:szCs w:val="24"/>
        </w:rPr>
        <w:br/>
        <w:t>pluviales acceptant le débit à évacuer, situé à proximité le long de la voie rapide. La fourniture et la</w:t>
      </w:r>
      <w:r w:rsidR="003E5892" w:rsidRPr="00E479EF">
        <w:rPr>
          <w:rFonts w:ascii="Times New Roman" w:hAnsi="Times New Roman" w:cs="Times New Roman"/>
          <w:sz w:val="24"/>
          <w:szCs w:val="24"/>
        </w:rPr>
        <w:br/>
        <w:t>pose de cette canalisation d'assainissement sont incluses dans les présents travaux, ainsi que le</w:t>
      </w:r>
      <w:r w:rsidR="000C6385" w:rsidRPr="00BD7651">
        <w:rPr>
          <w:rFonts w:ascii="Times New Roman" w:hAnsi="Times New Roman" w:cs="Times New Roman"/>
          <w:sz w:val="24"/>
          <w:szCs w:val="24"/>
        </w:rPr>
        <w:t xml:space="preserve"> </w:t>
      </w:r>
      <w:r w:rsidR="003E5892" w:rsidRPr="00E479EF">
        <w:rPr>
          <w:rFonts w:ascii="Times New Roman" w:hAnsi="Times New Roman" w:cs="Times New Roman"/>
          <w:sz w:val="24"/>
          <w:szCs w:val="24"/>
        </w:rPr>
        <w:t>curage éventuel d</w:t>
      </w:r>
      <w:r>
        <w:rPr>
          <w:rFonts w:ascii="Times New Roman" w:hAnsi="Times New Roman" w:cs="Times New Roman"/>
          <w:sz w:val="24"/>
          <w:szCs w:val="24"/>
        </w:rPr>
        <w:t>e l’exutoire qui devra avoir être</w:t>
      </w:r>
      <w:r w:rsidR="003E5892" w:rsidRPr="00E479EF">
        <w:rPr>
          <w:rFonts w:ascii="Times New Roman" w:hAnsi="Times New Roman" w:cs="Times New Roman"/>
          <w:sz w:val="24"/>
          <w:szCs w:val="24"/>
        </w:rPr>
        <w:t xml:space="preserve"> relevé pour donner la longueur de la canalisation</w:t>
      </w:r>
      <w:r w:rsidR="003E5892" w:rsidRPr="00E479EF">
        <w:rPr>
          <w:rFonts w:ascii="Times New Roman" w:hAnsi="Times New Roman" w:cs="Times New Roman"/>
          <w:sz w:val="24"/>
          <w:szCs w:val="24"/>
        </w:rPr>
        <w:br/>
        <w:t>d’évacuation.</w:t>
      </w:r>
    </w:p>
    <w:p w:rsidR="00E479EF" w:rsidRPr="00E479EF" w:rsidRDefault="00E479EF" w:rsidP="00E479EF">
      <w:pPr>
        <w:autoSpaceDE w:val="0"/>
        <w:autoSpaceDN w:val="0"/>
        <w:adjustRightInd w:val="0"/>
        <w:spacing w:after="0" w:line="240" w:lineRule="auto"/>
        <w:ind w:left="-284"/>
        <w:jc w:val="both"/>
        <w:rPr>
          <w:rFonts w:ascii="Times New Roman" w:hAnsi="Times New Roman" w:cs="Times New Roman"/>
          <w:sz w:val="24"/>
          <w:szCs w:val="24"/>
        </w:rPr>
      </w:pPr>
    </w:p>
    <w:p w:rsidR="000C6385" w:rsidRPr="001E2496" w:rsidRDefault="003E5892" w:rsidP="001E2496">
      <w:pPr>
        <w:pStyle w:val="PargrafodaLista"/>
        <w:jc w:val="both"/>
        <w:rPr>
          <w:rStyle w:val="fontstyle01"/>
          <w:rFonts w:ascii="Times New Roman" w:hAnsi="Times New Roman"/>
          <w:b w:val="0"/>
          <w:bCs w:val="0"/>
          <w:sz w:val="24"/>
          <w:szCs w:val="24"/>
        </w:rPr>
      </w:pPr>
      <w:r w:rsidRPr="001E2496">
        <w:rPr>
          <w:rStyle w:val="fontstyle01"/>
          <w:rFonts w:ascii="Times New Roman" w:hAnsi="Times New Roman"/>
          <w:sz w:val="24"/>
          <w:szCs w:val="24"/>
        </w:rPr>
        <w:t>E- Aménagements extérieurs : chaussée, loge gardien...</w:t>
      </w:r>
      <w:r w:rsidR="000C6385" w:rsidRPr="001E2496">
        <w:rPr>
          <w:rStyle w:val="fontstyle01"/>
          <w:rFonts w:ascii="Times New Roman" w:hAnsi="Times New Roman"/>
          <w:b w:val="0"/>
          <w:bCs w:val="0"/>
          <w:sz w:val="24"/>
          <w:szCs w:val="24"/>
        </w:rPr>
        <w:t xml:space="preserve"> </w:t>
      </w:r>
    </w:p>
    <w:p w:rsidR="000C6385" w:rsidRPr="00E479EF" w:rsidRDefault="00E479EF" w:rsidP="00E479EF">
      <w:pPr>
        <w:autoSpaceDE w:val="0"/>
        <w:autoSpaceDN w:val="0"/>
        <w:adjustRightInd w:val="0"/>
        <w:spacing w:after="0" w:line="240" w:lineRule="auto"/>
        <w:ind w:left="-284"/>
        <w:jc w:val="both"/>
        <w:rPr>
          <w:rFonts w:ascii="Times New Roman" w:hAnsi="Times New Roman" w:cs="Times New Roman"/>
          <w:sz w:val="24"/>
          <w:szCs w:val="24"/>
        </w:rPr>
      </w:pPr>
      <w:r w:rsidRPr="00E479EF">
        <w:rPr>
          <w:rFonts w:ascii="Times New Roman" w:hAnsi="Times New Roman" w:cs="Times New Roman"/>
          <w:bCs/>
          <w:sz w:val="24"/>
          <w:szCs w:val="24"/>
        </w:rPr>
        <w:t>Les</w:t>
      </w:r>
      <w:r w:rsidR="003E5892" w:rsidRPr="00E479EF">
        <w:rPr>
          <w:rFonts w:ascii="Times New Roman" w:hAnsi="Times New Roman" w:cs="Times New Roman"/>
          <w:bCs/>
          <w:sz w:val="24"/>
          <w:szCs w:val="24"/>
        </w:rPr>
        <w:t xml:space="preserve"> travaux de chaussées comporteront la mise en place de :</w:t>
      </w:r>
    </w:p>
    <w:p w:rsidR="000C6385" w:rsidRPr="009C0C8F" w:rsidRDefault="003E5892" w:rsidP="00FA3FAE">
      <w:pPr>
        <w:pStyle w:val="PargrafodaLista"/>
        <w:numPr>
          <w:ilvl w:val="0"/>
          <w:numId w:val="78"/>
        </w:numPr>
        <w:jc w:val="both"/>
        <w:rPr>
          <w:rFonts w:ascii="Times New Roman" w:hAnsi="Times New Roman"/>
          <w:b/>
          <w:color w:val="000000"/>
          <w:sz w:val="24"/>
          <w:szCs w:val="24"/>
        </w:rPr>
      </w:pPr>
      <w:r w:rsidRPr="009C0C8F">
        <w:rPr>
          <w:rStyle w:val="fontstyle01"/>
          <w:rFonts w:ascii="Times New Roman" w:hAnsi="Times New Roman"/>
          <w:b w:val="0"/>
          <w:sz w:val="24"/>
          <w:szCs w:val="24"/>
        </w:rPr>
        <w:t>la couche de fondation, avec indice portant (CBR) &gt; 30</w:t>
      </w:r>
    </w:p>
    <w:p w:rsidR="000C6385" w:rsidRPr="009C0C8F" w:rsidRDefault="003E5892" w:rsidP="00FA3FAE">
      <w:pPr>
        <w:pStyle w:val="PargrafodaLista"/>
        <w:numPr>
          <w:ilvl w:val="0"/>
          <w:numId w:val="78"/>
        </w:numPr>
        <w:jc w:val="both"/>
        <w:rPr>
          <w:rFonts w:ascii="Times New Roman" w:hAnsi="Times New Roman"/>
          <w:b/>
          <w:color w:val="000000"/>
          <w:sz w:val="24"/>
          <w:szCs w:val="24"/>
        </w:rPr>
      </w:pPr>
      <w:r w:rsidRPr="009C0C8F">
        <w:rPr>
          <w:rStyle w:val="fontstyle01"/>
          <w:rFonts w:ascii="Times New Roman" w:hAnsi="Times New Roman"/>
          <w:b w:val="0"/>
          <w:sz w:val="24"/>
          <w:szCs w:val="24"/>
        </w:rPr>
        <w:t>la couche de base en latérite graveleuse avec CBR &gt; 60</w:t>
      </w:r>
    </w:p>
    <w:p w:rsidR="000C6385" w:rsidRPr="009C0C8F" w:rsidRDefault="003E5892" w:rsidP="00FA3FAE">
      <w:pPr>
        <w:pStyle w:val="PargrafodaLista"/>
        <w:numPr>
          <w:ilvl w:val="0"/>
          <w:numId w:val="78"/>
        </w:numPr>
        <w:jc w:val="both"/>
        <w:rPr>
          <w:rFonts w:ascii="Times New Roman" w:hAnsi="Times New Roman"/>
          <w:b/>
          <w:color w:val="000000"/>
          <w:sz w:val="24"/>
          <w:szCs w:val="24"/>
        </w:rPr>
      </w:pPr>
      <w:r w:rsidRPr="009C0C8F">
        <w:rPr>
          <w:rStyle w:val="fontstyle01"/>
          <w:rFonts w:ascii="Times New Roman" w:hAnsi="Times New Roman"/>
          <w:b w:val="0"/>
          <w:sz w:val="24"/>
          <w:szCs w:val="24"/>
        </w:rPr>
        <w:t>la couche d'imprégnation (émulsion 2 à 2,5 kg/m2)</w:t>
      </w:r>
    </w:p>
    <w:p w:rsidR="000C6385" w:rsidRPr="009C0C8F" w:rsidRDefault="003E5892" w:rsidP="00FA3FAE">
      <w:pPr>
        <w:pStyle w:val="PargrafodaLista"/>
        <w:numPr>
          <w:ilvl w:val="0"/>
          <w:numId w:val="78"/>
        </w:numPr>
        <w:jc w:val="both"/>
        <w:rPr>
          <w:rFonts w:ascii="Times New Roman" w:hAnsi="Times New Roman"/>
          <w:b/>
          <w:color w:val="000000"/>
          <w:sz w:val="24"/>
          <w:szCs w:val="24"/>
        </w:rPr>
      </w:pPr>
      <w:r w:rsidRPr="009C0C8F">
        <w:rPr>
          <w:rStyle w:val="fontstyle01"/>
          <w:rFonts w:ascii="Times New Roman" w:hAnsi="Times New Roman"/>
          <w:b w:val="0"/>
          <w:sz w:val="24"/>
          <w:szCs w:val="24"/>
        </w:rPr>
        <w:t>une couche d'accrochage (bitume fluidifié 1 à 1,5 kg/m2)</w:t>
      </w:r>
    </w:p>
    <w:p w:rsidR="000C6385" w:rsidRPr="009C0C8F" w:rsidRDefault="003E5892" w:rsidP="00FA3FAE">
      <w:pPr>
        <w:pStyle w:val="PargrafodaLista"/>
        <w:numPr>
          <w:ilvl w:val="0"/>
          <w:numId w:val="78"/>
        </w:numPr>
        <w:spacing w:after="0"/>
        <w:jc w:val="both"/>
        <w:rPr>
          <w:rFonts w:ascii="Times New Roman" w:hAnsi="Times New Roman"/>
          <w:b/>
          <w:color w:val="000000"/>
          <w:sz w:val="24"/>
          <w:szCs w:val="24"/>
        </w:rPr>
      </w:pPr>
      <w:r w:rsidRPr="009C0C8F">
        <w:rPr>
          <w:rStyle w:val="fontstyle01"/>
          <w:rFonts w:ascii="Times New Roman" w:hAnsi="Times New Roman"/>
          <w:b w:val="0"/>
          <w:sz w:val="24"/>
          <w:szCs w:val="24"/>
        </w:rPr>
        <w:lastRenderedPageBreak/>
        <w:t>un double enduisage (bicouche)</w:t>
      </w:r>
    </w:p>
    <w:p w:rsidR="000C6385" w:rsidRPr="001E2496" w:rsidRDefault="003E5892" w:rsidP="009C0C8F">
      <w:pPr>
        <w:spacing w:after="0"/>
        <w:ind w:left="708"/>
        <w:jc w:val="both"/>
        <w:rPr>
          <w:rStyle w:val="fontstyle01"/>
          <w:rFonts w:ascii="Times New Roman" w:hAnsi="Times New Roman" w:cs="Times New Roman"/>
          <w:b w:val="0"/>
          <w:sz w:val="24"/>
          <w:szCs w:val="24"/>
        </w:rPr>
      </w:pPr>
      <w:r w:rsidRPr="001E2496">
        <w:rPr>
          <w:rStyle w:val="fontstyle01"/>
          <w:rFonts w:ascii="Times New Roman" w:hAnsi="Times New Roman" w:cs="Times New Roman"/>
          <w:b w:val="0"/>
          <w:sz w:val="24"/>
          <w:szCs w:val="24"/>
        </w:rPr>
        <w:t>- 1ère couche : BF &gt;1,1 kg/m2, granulats (10/15) 11 à 13 kg/m</w:t>
      </w:r>
    </w:p>
    <w:p w:rsidR="000C6385" w:rsidRDefault="003E5892" w:rsidP="009C0C8F">
      <w:pPr>
        <w:spacing w:after="0"/>
        <w:ind w:left="708"/>
        <w:jc w:val="both"/>
        <w:rPr>
          <w:rStyle w:val="fontstyle01"/>
          <w:rFonts w:ascii="Times New Roman" w:hAnsi="Times New Roman" w:cs="Times New Roman"/>
          <w:b w:val="0"/>
          <w:sz w:val="24"/>
          <w:szCs w:val="24"/>
        </w:rPr>
      </w:pPr>
      <w:r w:rsidRPr="001E2496">
        <w:rPr>
          <w:rStyle w:val="fontstyle01"/>
          <w:rFonts w:ascii="Times New Roman" w:hAnsi="Times New Roman" w:cs="Times New Roman"/>
          <w:b w:val="0"/>
          <w:sz w:val="24"/>
          <w:szCs w:val="24"/>
        </w:rPr>
        <w:t xml:space="preserve">- 2ème </w:t>
      </w:r>
      <w:r w:rsidR="009C0C8F" w:rsidRPr="001E2496">
        <w:rPr>
          <w:rStyle w:val="fontstyle01"/>
          <w:rFonts w:ascii="Times New Roman" w:hAnsi="Times New Roman" w:cs="Times New Roman"/>
          <w:b w:val="0"/>
          <w:sz w:val="24"/>
          <w:szCs w:val="24"/>
        </w:rPr>
        <w:t>couche :</w:t>
      </w:r>
      <w:r w:rsidRPr="001E2496">
        <w:rPr>
          <w:rStyle w:val="fontstyle01"/>
          <w:rFonts w:ascii="Times New Roman" w:hAnsi="Times New Roman" w:cs="Times New Roman"/>
          <w:b w:val="0"/>
          <w:sz w:val="24"/>
          <w:szCs w:val="24"/>
        </w:rPr>
        <w:t xml:space="preserve"> BF&gt;1,0 kg/m2, granulats (5/10) 7 à 8 kg/m2</w:t>
      </w:r>
    </w:p>
    <w:p w:rsidR="009C0C8F" w:rsidRPr="001E2496" w:rsidRDefault="009C0C8F" w:rsidP="009C0C8F">
      <w:pPr>
        <w:spacing w:after="0"/>
        <w:ind w:left="708"/>
        <w:jc w:val="both"/>
        <w:rPr>
          <w:rFonts w:ascii="Times New Roman" w:hAnsi="Times New Roman" w:cs="Times New Roman"/>
          <w:b/>
          <w:color w:val="000000"/>
          <w:sz w:val="24"/>
          <w:szCs w:val="24"/>
        </w:rPr>
      </w:pPr>
    </w:p>
    <w:p w:rsidR="000C6385" w:rsidRDefault="003E5892" w:rsidP="00E479EF">
      <w:pPr>
        <w:autoSpaceDE w:val="0"/>
        <w:autoSpaceDN w:val="0"/>
        <w:adjustRightInd w:val="0"/>
        <w:spacing w:after="0" w:line="240" w:lineRule="auto"/>
        <w:ind w:left="-284"/>
        <w:jc w:val="both"/>
        <w:rPr>
          <w:rFonts w:ascii="Times New Roman" w:hAnsi="Times New Roman" w:cs="Times New Roman"/>
          <w:bCs/>
          <w:sz w:val="24"/>
          <w:szCs w:val="24"/>
        </w:rPr>
      </w:pPr>
      <w:r w:rsidRPr="00E479EF">
        <w:rPr>
          <w:rFonts w:ascii="Times New Roman" w:hAnsi="Times New Roman" w:cs="Times New Roman"/>
          <w:bCs/>
          <w:sz w:val="24"/>
          <w:szCs w:val="24"/>
        </w:rPr>
        <w:t>Le reste de la zone circulable de la parcelle sera revêtue d’une couche en latérite graveleuse de</w:t>
      </w:r>
      <w:r w:rsidR="000C6385" w:rsidRPr="00E479EF">
        <w:rPr>
          <w:rFonts w:ascii="Times New Roman" w:hAnsi="Times New Roman" w:cs="Times New Roman"/>
          <w:bCs/>
          <w:sz w:val="24"/>
          <w:szCs w:val="24"/>
        </w:rPr>
        <w:t xml:space="preserve"> </w:t>
      </w:r>
      <w:r w:rsidRPr="00E479EF">
        <w:rPr>
          <w:rFonts w:ascii="Times New Roman" w:hAnsi="Times New Roman" w:cs="Times New Roman"/>
          <w:bCs/>
          <w:sz w:val="24"/>
          <w:szCs w:val="24"/>
        </w:rPr>
        <w:t>15 cm d’épaisseur, après décapage de la terre végétale qui sera répandue ultérieurement sur les</w:t>
      </w:r>
      <w:r w:rsidR="000C6385" w:rsidRPr="00E479EF">
        <w:rPr>
          <w:rFonts w:ascii="Times New Roman" w:hAnsi="Times New Roman" w:cs="Times New Roman"/>
          <w:bCs/>
          <w:sz w:val="24"/>
          <w:szCs w:val="24"/>
        </w:rPr>
        <w:t xml:space="preserve"> zones du site non </w:t>
      </w:r>
      <w:r w:rsidRPr="00E479EF">
        <w:rPr>
          <w:rFonts w:ascii="Times New Roman" w:hAnsi="Times New Roman" w:cs="Times New Roman"/>
          <w:bCs/>
          <w:sz w:val="24"/>
          <w:szCs w:val="24"/>
        </w:rPr>
        <w:t>prévues à la circulation notamment les zone d’engazonnement.</w:t>
      </w:r>
    </w:p>
    <w:p w:rsidR="00E479EF" w:rsidRPr="00E479EF" w:rsidRDefault="00E479EF" w:rsidP="00E479EF">
      <w:pPr>
        <w:autoSpaceDE w:val="0"/>
        <w:autoSpaceDN w:val="0"/>
        <w:adjustRightInd w:val="0"/>
        <w:spacing w:after="0" w:line="240" w:lineRule="auto"/>
        <w:ind w:left="-284"/>
        <w:jc w:val="both"/>
        <w:rPr>
          <w:rFonts w:ascii="Times New Roman" w:hAnsi="Times New Roman" w:cs="Times New Roman"/>
          <w:bCs/>
          <w:sz w:val="24"/>
          <w:szCs w:val="24"/>
        </w:rPr>
      </w:pPr>
    </w:p>
    <w:p w:rsidR="005567A8" w:rsidRPr="009C0C8F" w:rsidRDefault="009C0C8F" w:rsidP="00FA3FAE">
      <w:pPr>
        <w:pStyle w:val="PargrafodaLista"/>
        <w:numPr>
          <w:ilvl w:val="0"/>
          <w:numId w:val="68"/>
        </w:numPr>
        <w:spacing w:after="0" w:line="240" w:lineRule="auto"/>
        <w:jc w:val="both"/>
        <w:rPr>
          <w:rStyle w:val="fontstyle01"/>
          <w:rFonts w:ascii="Times New Roman" w:hAnsi="Times New Roman"/>
          <w:sz w:val="24"/>
          <w:szCs w:val="24"/>
        </w:rPr>
      </w:pPr>
      <w:r w:rsidRPr="000C6C54">
        <w:rPr>
          <w:rStyle w:val="fontstyle01"/>
          <w:rFonts w:ascii="Times New Roman" w:hAnsi="Times New Roman"/>
          <w:sz w:val="24"/>
          <w:szCs w:val="24"/>
        </w:rPr>
        <w:t>G-</w:t>
      </w:r>
      <w:r w:rsidR="003E5892" w:rsidRPr="009C0C8F">
        <w:rPr>
          <w:rStyle w:val="fontstyle01"/>
          <w:rFonts w:ascii="Times New Roman" w:hAnsi="Times New Roman"/>
          <w:sz w:val="24"/>
          <w:szCs w:val="24"/>
        </w:rPr>
        <w:t>Engins et matériaux à utiliser</w:t>
      </w:r>
    </w:p>
    <w:p w:rsidR="00DE78AE" w:rsidRPr="000C6C54" w:rsidRDefault="003E5892" w:rsidP="000C6C54">
      <w:pPr>
        <w:autoSpaceDE w:val="0"/>
        <w:autoSpaceDN w:val="0"/>
        <w:adjustRightInd w:val="0"/>
        <w:spacing w:after="0" w:line="240" w:lineRule="auto"/>
        <w:ind w:left="-284"/>
        <w:jc w:val="both"/>
        <w:rPr>
          <w:rFonts w:ascii="Times New Roman" w:hAnsi="Times New Roman" w:cs="Times New Roman"/>
          <w:bCs/>
          <w:sz w:val="24"/>
          <w:szCs w:val="24"/>
        </w:rPr>
      </w:pPr>
      <w:r w:rsidRPr="000C6C54">
        <w:rPr>
          <w:rFonts w:ascii="Times New Roman" w:hAnsi="Times New Roman" w:cs="Times New Roman"/>
          <w:bCs/>
          <w:sz w:val="24"/>
          <w:szCs w:val="24"/>
        </w:rPr>
        <w:t>Les principaux engins et véhicules suivants seront utilisés sur le chantier :</w:t>
      </w:r>
    </w:p>
    <w:p w:rsidR="00DE78AE" w:rsidRPr="00BD7651" w:rsidRDefault="003E5892" w:rsidP="00FA3FAE">
      <w:pPr>
        <w:pStyle w:val="PargrafodaLista"/>
        <w:numPr>
          <w:ilvl w:val="0"/>
          <w:numId w:val="69"/>
        </w:numPr>
        <w:jc w:val="both"/>
        <w:rPr>
          <w:rStyle w:val="fontstyle21"/>
          <w:rFonts w:ascii="Times New Roman" w:hAnsi="Times New Roman"/>
          <w:sz w:val="24"/>
          <w:szCs w:val="24"/>
        </w:rPr>
      </w:pPr>
      <w:r w:rsidRPr="00BD7651">
        <w:rPr>
          <w:rStyle w:val="fontstyle21"/>
          <w:rFonts w:ascii="Times New Roman" w:hAnsi="Times New Roman"/>
          <w:sz w:val="24"/>
          <w:szCs w:val="24"/>
        </w:rPr>
        <w:t>engins de levage,</w:t>
      </w:r>
    </w:p>
    <w:p w:rsidR="00DE78AE" w:rsidRPr="00BD7651" w:rsidRDefault="003E5892" w:rsidP="00FA3FAE">
      <w:pPr>
        <w:pStyle w:val="PargrafodaLista"/>
        <w:numPr>
          <w:ilvl w:val="0"/>
          <w:numId w:val="69"/>
        </w:numPr>
        <w:jc w:val="both"/>
        <w:rPr>
          <w:rStyle w:val="fontstyle21"/>
          <w:rFonts w:ascii="Times New Roman" w:hAnsi="Times New Roman"/>
          <w:sz w:val="24"/>
          <w:szCs w:val="24"/>
        </w:rPr>
      </w:pPr>
      <w:r w:rsidRPr="00BD7651">
        <w:rPr>
          <w:rStyle w:val="fontstyle21"/>
          <w:rFonts w:ascii="Times New Roman" w:hAnsi="Times New Roman"/>
          <w:sz w:val="24"/>
          <w:szCs w:val="24"/>
        </w:rPr>
        <w:t>niveleuses,</w:t>
      </w:r>
    </w:p>
    <w:p w:rsidR="00DE78AE" w:rsidRPr="00BD7651" w:rsidRDefault="003E5892" w:rsidP="00FA3FAE">
      <w:pPr>
        <w:pStyle w:val="PargrafodaLista"/>
        <w:numPr>
          <w:ilvl w:val="0"/>
          <w:numId w:val="69"/>
        </w:numPr>
        <w:jc w:val="both"/>
        <w:rPr>
          <w:rStyle w:val="fontstyle21"/>
          <w:rFonts w:ascii="Times New Roman" w:hAnsi="Times New Roman"/>
          <w:sz w:val="24"/>
          <w:szCs w:val="24"/>
        </w:rPr>
      </w:pPr>
      <w:r w:rsidRPr="00BD7651">
        <w:rPr>
          <w:rStyle w:val="fontstyle21"/>
          <w:rFonts w:ascii="Times New Roman" w:hAnsi="Times New Roman"/>
          <w:sz w:val="24"/>
          <w:szCs w:val="24"/>
        </w:rPr>
        <w:t>chargeuses,</w:t>
      </w:r>
    </w:p>
    <w:p w:rsidR="00DE78AE" w:rsidRPr="00BD7651" w:rsidRDefault="003E5892" w:rsidP="00FA3FAE">
      <w:pPr>
        <w:pStyle w:val="PargrafodaLista"/>
        <w:numPr>
          <w:ilvl w:val="0"/>
          <w:numId w:val="69"/>
        </w:numPr>
        <w:jc w:val="both"/>
        <w:rPr>
          <w:rStyle w:val="fontstyle21"/>
          <w:rFonts w:ascii="Times New Roman" w:hAnsi="Times New Roman"/>
          <w:sz w:val="24"/>
          <w:szCs w:val="24"/>
        </w:rPr>
      </w:pPr>
      <w:r w:rsidRPr="00BD7651">
        <w:rPr>
          <w:rStyle w:val="fontstyle21"/>
          <w:rFonts w:ascii="Times New Roman" w:hAnsi="Times New Roman"/>
          <w:sz w:val="24"/>
          <w:szCs w:val="24"/>
        </w:rPr>
        <w:t>compacteurs à pneus,</w:t>
      </w:r>
    </w:p>
    <w:p w:rsidR="00DE78AE" w:rsidRPr="00BD7651" w:rsidRDefault="003E5892" w:rsidP="00FA3FAE">
      <w:pPr>
        <w:pStyle w:val="PargrafodaLista"/>
        <w:numPr>
          <w:ilvl w:val="0"/>
          <w:numId w:val="69"/>
        </w:numPr>
        <w:jc w:val="both"/>
        <w:rPr>
          <w:rStyle w:val="fontstyle21"/>
          <w:rFonts w:ascii="Times New Roman" w:hAnsi="Times New Roman"/>
          <w:sz w:val="24"/>
          <w:szCs w:val="24"/>
        </w:rPr>
      </w:pPr>
      <w:r w:rsidRPr="00BD7651">
        <w:rPr>
          <w:rStyle w:val="fontstyle21"/>
          <w:rFonts w:ascii="Times New Roman" w:hAnsi="Times New Roman"/>
          <w:sz w:val="24"/>
          <w:szCs w:val="24"/>
        </w:rPr>
        <w:t>compacteurs vibrants,</w:t>
      </w:r>
    </w:p>
    <w:p w:rsidR="00DE78AE" w:rsidRPr="00BD7651" w:rsidRDefault="003E5892" w:rsidP="00FA3FAE">
      <w:pPr>
        <w:pStyle w:val="PargrafodaLista"/>
        <w:numPr>
          <w:ilvl w:val="0"/>
          <w:numId w:val="69"/>
        </w:numPr>
        <w:jc w:val="both"/>
        <w:rPr>
          <w:rStyle w:val="fontstyle21"/>
          <w:rFonts w:ascii="Times New Roman" w:hAnsi="Times New Roman"/>
          <w:sz w:val="24"/>
          <w:szCs w:val="24"/>
        </w:rPr>
      </w:pPr>
      <w:r w:rsidRPr="00BD7651">
        <w:rPr>
          <w:rStyle w:val="fontstyle21"/>
          <w:rFonts w:ascii="Times New Roman" w:hAnsi="Times New Roman"/>
          <w:sz w:val="24"/>
          <w:szCs w:val="24"/>
        </w:rPr>
        <w:t>pelle hydraulique ;</w:t>
      </w:r>
    </w:p>
    <w:p w:rsidR="00DE78AE" w:rsidRPr="00BD7651" w:rsidRDefault="003E5892" w:rsidP="00FA3FAE">
      <w:pPr>
        <w:pStyle w:val="PargrafodaLista"/>
        <w:numPr>
          <w:ilvl w:val="0"/>
          <w:numId w:val="69"/>
        </w:numPr>
        <w:jc w:val="both"/>
        <w:rPr>
          <w:rStyle w:val="fontstyle21"/>
          <w:rFonts w:ascii="Times New Roman" w:hAnsi="Times New Roman"/>
          <w:sz w:val="24"/>
          <w:szCs w:val="24"/>
        </w:rPr>
      </w:pPr>
      <w:r w:rsidRPr="00BD7651">
        <w:rPr>
          <w:rStyle w:val="fontstyle21"/>
          <w:rFonts w:ascii="Times New Roman" w:hAnsi="Times New Roman"/>
          <w:sz w:val="24"/>
          <w:szCs w:val="24"/>
        </w:rPr>
        <w:t>camions bennes,</w:t>
      </w:r>
    </w:p>
    <w:p w:rsidR="001A768D" w:rsidRPr="00BD7651" w:rsidRDefault="001A768D" w:rsidP="00FA3FAE">
      <w:pPr>
        <w:pStyle w:val="PargrafodaLista"/>
        <w:numPr>
          <w:ilvl w:val="0"/>
          <w:numId w:val="69"/>
        </w:numPr>
        <w:jc w:val="both"/>
        <w:rPr>
          <w:rStyle w:val="fontstyle21"/>
          <w:rFonts w:ascii="Times New Roman" w:hAnsi="Times New Roman"/>
          <w:sz w:val="24"/>
          <w:szCs w:val="24"/>
        </w:rPr>
      </w:pPr>
      <w:r w:rsidRPr="00BD7651">
        <w:rPr>
          <w:rStyle w:val="fontstyle21"/>
          <w:rFonts w:ascii="Times New Roman" w:hAnsi="Times New Roman"/>
          <w:sz w:val="24"/>
          <w:szCs w:val="24"/>
        </w:rPr>
        <w:t>camion-citerne</w:t>
      </w:r>
    </w:p>
    <w:p w:rsidR="001A768D" w:rsidRPr="00BD7651" w:rsidRDefault="003E5892" w:rsidP="00FA3FAE">
      <w:pPr>
        <w:pStyle w:val="PargrafodaLista"/>
        <w:numPr>
          <w:ilvl w:val="0"/>
          <w:numId w:val="69"/>
        </w:numPr>
        <w:jc w:val="both"/>
        <w:rPr>
          <w:rStyle w:val="fontstyle21"/>
          <w:rFonts w:ascii="Times New Roman" w:hAnsi="Times New Roman"/>
          <w:sz w:val="24"/>
          <w:szCs w:val="24"/>
        </w:rPr>
      </w:pPr>
      <w:r w:rsidRPr="00BD7651">
        <w:rPr>
          <w:rStyle w:val="fontstyle21"/>
          <w:rFonts w:ascii="Times New Roman" w:hAnsi="Times New Roman"/>
          <w:sz w:val="24"/>
          <w:szCs w:val="24"/>
        </w:rPr>
        <w:t>voitures de liaison,</w:t>
      </w:r>
    </w:p>
    <w:p w:rsidR="001A768D" w:rsidRPr="00BD7651" w:rsidRDefault="003E5892" w:rsidP="00FA3FAE">
      <w:pPr>
        <w:pStyle w:val="PargrafodaLista"/>
        <w:numPr>
          <w:ilvl w:val="0"/>
          <w:numId w:val="69"/>
        </w:numPr>
        <w:jc w:val="both"/>
        <w:rPr>
          <w:rStyle w:val="fontstyle21"/>
          <w:rFonts w:ascii="Times New Roman" w:hAnsi="Times New Roman"/>
          <w:sz w:val="24"/>
          <w:szCs w:val="24"/>
        </w:rPr>
      </w:pPr>
      <w:r w:rsidRPr="00BD7651">
        <w:rPr>
          <w:rStyle w:val="fontstyle21"/>
          <w:rFonts w:ascii="Times New Roman" w:hAnsi="Times New Roman"/>
          <w:sz w:val="24"/>
          <w:szCs w:val="24"/>
        </w:rPr>
        <w:t>Bétonnière et vibreurs ;</w:t>
      </w:r>
    </w:p>
    <w:p w:rsidR="001A768D" w:rsidRPr="00BD7651" w:rsidRDefault="003E5892" w:rsidP="00FA3FAE">
      <w:pPr>
        <w:pStyle w:val="PargrafodaLista"/>
        <w:numPr>
          <w:ilvl w:val="0"/>
          <w:numId w:val="69"/>
        </w:numPr>
        <w:jc w:val="both"/>
        <w:rPr>
          <w:rStyle w:val="fontstyle21"/>
          <w:rFonts w:ascii="Times New Roman" w:hAnsi="Times New Roman"/>
          <w:sz w:val="24"/>
          <w:szCs w:val="24"/>
        </w:rPr>
      </w:pPr>
      <w:r w:rsidRPr="00BD7651">
        <w:rPr>
          <w:rStyle w:val="fontstyle21"/>
          <w:rFonts w:ascii="Times New Roman" w:hAnsi="Times New Roman"/>
          <w:sz w:val="24"/>
          <w:szCs w:val="24"/>
        </w:rPr>
        <w:t>Marteau piqueur et compresseurs pneumatiques.</w:t>
      </w:r>
    </w:p>
    <w:p w:rsidR="001A768D" w:rsidRPr="00BD7651" w:rsidRDefault="003E5892" w:rsidP="00FA3FAE">
      <w:pPr>
        <w:pStyle w:val="PargrafodaLista"/>
        <w:numPr>
          <w:ilvl w:val="0"/>
          <w:numId w:val="69"/>
        </w:numPr>
        <w:jc w:val="both"/>
        <w:rPr>
          <w:rStyle w:val="fontstyle21"/>
          <w:rFonts w:ascii="Times New Roman" w:hAnsi="Times New Roman"/>
          <w:sz w:val="24"/>
          <w:szCs w:val="24"/>
        </w:rPr>
      </w:pPr>
      <w:r w:rsidRPr="00BD7651">
        <w:rPr>
          <w:rStyle w:val="fontstyle21"/>
          <w:rFonts w:ascii="Times New Roman" w:hAnsi="Times New Roman"/>
          <w:sz w:val="24"/>
          <w:szCs w:val="24"/>
        </w:rPr>
        <w:t>Etc.</w:t>
      </w:r>
    </w:p>
    <w:p w:rsidR="001A768D" w:rsidRPr="000C6C54" w:rsidRDefault="003E5892" w:rsidP="000C6C54">
      <w:pPr>
        <w:autoSpaceDE w:val="0"/>
        <w:autoSpaceDN w:val="0"/>
        <w:adjustRightInd w:val="0"/>
        <w:spacing w:after="0" w:line="240" w:lineRule="auto"/>
        <w:ind w:left="-284"/>
        <w:jc w:val="both"/>
        <w:rPr>
          <w:rFonts w:ascii="Times New Roman" w:hAnsi="Times New Roman" w:cs="Times New Roman"/>
          <w:bCs/>
          <w:sz w:val="24"/>
          <w:szCs w:val="24"/>
        </w:rPr>
      </w:pPr>
      <w:r w:rsidRPr="000C6C54">
        <w:rPr>
          <w:rFonts w:ascii="Times New Roman" w:hAnsi="Times New Roman" w:cs="Times New Roman"/>
          <w:bCs/>
          <w:sz w:val="24"/>
          <w:szCs w:val="24"/>
        </w:rPr>
        <w:t>Les matériaux qui seront utilisés pour la réalisation des travaux d’aménagement sont les suivants :</w:t>
      </w:r>
    </w:p>
    <w:p w:rsidR="001A768D" w:rsidRPr="00BD7651" w:rsidRDefault="003E5892" w:rsidP="00FA3FAE">
      <w:pPr>
        <w:pStyle w:val="PargrafodaLista"/>
        <w:numPr>
          <w:ilvl w:val="0"/>
          <w:numId w:val="69"/>
        </w:numPr>
        <w:jc w:val="both"/>
        <w:rPr>
          <w:rFonts w:ascii="Times New Roman" w:hAnsi="Times New Roman"/>
          <w:color w:val="000000"/>
          <w:sz w:val="24"/>
          <w:szCs w:val="24"/>
        </w:rPr>
      </w:pPr>
      <w:r w:rsidRPr="00BD7651">
        <w:rPr>
          <w:rStyle w:val="fontstyle21"/>
          <w:rFonts w:ascii="Times New Roman" w:hAnsi="Times New Roman"/>
          <w:sz w:val="24"/>
          <w:szCs w:val="24"/>
        </w:rPr>
        <w:t>Matériaux provenant de déblais ;</w:t>
      </w:r>
    </w:p>
    <w:p w:rsidR="001A768D" w:rsidRPr="00BD7651" w:rsidRDefault="003E5892" w:rsidP="00FA3FAE">
      <w:pPr>
        <w:pStyle w:val="PargrafodaLista"/>
        <w:numPr>
          <w:ilvl w:val="0"/>
          <w:numId w:val="69"/>
        </w:numPr>
        <w:jc w:val="both"/>
        <w:rPr>
          <w:rFonts w:ascii="Times New Roman" w:hAnsi="Times New Roman"/>
          <w:color w:val="000000"/>
          <w:sz w:val="24"/>
          <w:szCs w:val="24"/>
        </w:rPr>
      </w:pPr>
      <w:r w:rsidRPr="00BD7651">
        <w:rPr>
          <w:rStyle w:val="fontstyle21"/>
          <w:rFonts w:ascii="Times New Roman" w:hAnsi="Times New Roman"/>
          <w:sz w:val="24"/>
          <w:szCs w:val="24"/>
        </w:rPr>
        <w:t>Sable ;</w:t>
      </w:r>
    </w:p>
    <w:p w:rsidR="001A768D" w:rsidRPr="00BD7651" w:rsidRDefault="003E5892" w:rsidP="00FA3FAE">
      <w:pPr>
        <w:pStyle w:val="PargrafodaLista"/>
        <w:numPr>
          <w:ilvl w:val="0"/>
          <w:numId w:val="69"/>
        </w:numPr>
        <w:jc w:val="both"/>
        <w:rPr>
          <w:rFonts w:ascii="Times New Roman" w:hAnsi="Times New Roman"/>
          <w:color w:val="000000"/>
          <w:sz w:val="24"/>
          <w:szCs w:val="24"/>
        </w:rPr>
      </w:pPr>
      <w:r w:rsidRPr="00BD7651">
        <w:rPr>
          <w:rStyle w:val="fontstyle21"/>
          <w:rFonts w:ascii="Times New Roman" w:hAnsi="Times New Roman"/>
          <w:sz w:val="24"/>
          <w:szCs w:val="24"/>
        </w:rPr>
        <w:t>Ciment ;</w:t>
      </w:r>
    </w:p>
    <w:p w:rsidR="001A768D" w:rsidRPr="00BD7651" w:rsidRDefault="003E5892" w:rsidP="00FA3FAE">
      <w:pPr>
        <w:pStyle w:val="PargrafodaLista"/>
        <w:numPr>
          <w:ilvl w:val="0"/>
          <w:numId w:val="69"/>
        </w:numPr>
        <w:jc w:val="both"/>
        <w:rPr>
          <w:rFonts w:ascii="Times New Roman" w:hAnsi="Times New Roman"/>
          <w:color w:val="000000"/>
          <w:sz w:val="24"/>
          <w:szCs w:val="24"/>
        </w:rPr>
      </w:pPr>
      <w:r w:rsidRPr="00BD7651">
        <w:rPr>
          <w:rStyle w:val="fontstyle21"/>
          <w:rFonts w:ascii="Times New Roman" w:hAnsi="Times New Roman"/>
          <w:sz w:val="24"/>
          <w:szCs w:val="24"/>
        </w:rPr>
        <w:t>Gravier ;</w:t>
      </w:r>
    </w:p>
    <w:p w:rsidR="001A768D" w:rsidRPr="00BD7651" w:rsidRDefault="003E5892" w:rsidP="00FA3FAE">
      <w:pPr>
        <w:pStyle w:val="PargrafodaLista"/>
        <w:numPr>
          <w:ilvl w:val="0"/>
          <w:numId w:val="69"/>
        </w:numPr>
        <w:jc w:val="both"/>
        <w:rPr>
          <w:rFonts w:ascii="Times New Roman" w:hAnsi="Times New Roman"/>
          <w:color w:val="000000"/>
          <w:sz w:val="24"/>
          <w:szCs w:val="24"/>
        </w:rPr>
      </w:pPr>
      <w:r w:rsidRPr="00BD7651">
        <w:rPr>
          <w:rStyle w:val="fontstyle21"/>
          <w:rFonts w:ascii="Times New Roman" w:hAnsi="Times New Roman"/>
          <w:sz w:val="24"/>
          <w:szCs w:val="24"/>
        </w:rPr>
        <w:t>Matériaux pour coffrages ;</w:t>
      </w:r>
    </w:p>
    <w:p w:rsidR="001A768D" w:rsidRPr="00BD7651" w:rsidRDefault="003E5892" w:rsidP="00FA3FAE">
      <w:pPr>
        <w:pStyle w:val="PargrafodaLista"/>
        <w:numPr>
          <w:ilvl w:val="0"/>
          <w:numId w:val="69"/>
        </w:numPr>
        <w:jc w:val="both"/>
        <w:rPr>
          <w:rFonts w:ascii="Times New Roman" w:hAnsi="Times New Roman"/>
          <w:color w:val="000000"/>
          <w:sz w:val="24"/>
          <w:szCs w:val="24"/>
        </w:rPr>
      </w:pPr>
      <w:r w:rsidRPr="00BD7651">
        <w:rPr>
          <w:rStyle w:val="fontstyle21"/>
          <w:rFonts w:ascii="Times New Roman" w:hAnsi="Times New Roman"/>
          <w:sz w:val="24"/>
          <w:szCs w:val="24"/>
        </w:rPr>
        <w:t>Matériaux pour l’échafaudage ;</w:t>
      </w:r>
    </w:p>
    <w:p w:rsidR="001A768D" w:rsidRPr="00BD7651" w:rsidRDefault="003E5892" w:rsidP="00FA3FAE">
      <w:pPr>
        <w:pStyle w:val="PargrafodaLista"/>
        <w:numPr>
          <w:ilvl w:val="0"/>
          <w:numId w:val="69"/>
        </w:numPr>
        <w:jc w:val="both"/>
        <w:rPr>
          <w:rFonts w:ascii="Times New Roman" w:hAnsi="Times New Roman"/>
          <w:color w:val="000000"/>
          <w:sz w:val="24"/>
          <w:szCs w:val="24"/>
        </w:rPr>
      </w:pPr>
      <w:r w:rsidRPr="00BD7651">
        <w:rPr>
          <w:rStyle w:val="fontstyle21"/>
          <w:rFonts w:ascii="Times New Roman" w:hAnsi="Times New Roman"/>
          <w:sz w:val="24"/>
          <w:szCs w:val="24"/>
        </w:rPr>
        <w:t>Tuyaux PVC ;</w:t>
      </w:r>
    </w:p>
    <w:p w:rsidR="001A768D" w:rsidRPr="00BD7651" w:rsidRDefault="003E5892" w:rsidP="00FA3FAE">
      <w:pPr>
        <w:pStyle w:val="PargrafodaLista"/>
        <w:numPr>
          <w:ilvl w:val="0"/>
          <w:numId w:val="69"/>
        </w:numPr>
        <w:jc w:val="both"/>
        <w:rPr>
          <w:rFonts w:ascii="Times New Roman" w:hAnsi="Times New Roman"/>
          <w:color w:val="000000"/>
          <w:sz w:val="24"/>
          <w:szCs w:val="24"/>
        </w:rPr>
      </w:pPr>
      <w:r w:rsidRPr="00BD7651">
        <w:rPr>
          <w:rStyle w:val="fontstyle21"/>
          <w:rFonts w:ascii="Times New Roman" w:hAnsi="Times New Roman"/>
          <w:sz w:val="24"/>
          <w:szCs w:val="24"/>
        </w:rPr>
        <w:t>Fer à béton ;</w:t>
      </w:r>
    </w:p>
    <w:p w:rsidR="003E5892" w:rsidRDefault="003E5892" w:rsidP="00FA3FAE">
      <w:pPr>
        <w:pStyle w:val="PargrafodaLista"/>
        <w:numPr>
          <w:ilvl w:val="0"/>
          <w:numId w:val="69"/>
        </w:numPr>
        <w:jc w:val="both"/>
        <w:rPr>
          <w:rStyle w:val="fontstyle21"/>
          <w:rFonts w:ascii="Times New Roman" w:hAnsi="Times New Roman"/>
          <w:sz w:val="24"/>
          <w:szCs w:val="24"/>
        </w:rPr>
      </w:pPr>
      <w:r w:rsidRPr="00BD7651">
        <w:rPr>
          <w:rStyle w:val="fontstyle21"/>
          <w:rFonts w:ascii="Times New Roman" w:hAnsi="Times New Roman"/>
          <w:sz w:val="24"/>
          <w:szCs w:val="24"/>
        </w:rPr>
        <w:t>Etc.</w:t>
      </w:r>
    </w:p>
    <w:p w:rsidR="007B173C" w:rsidRPr="00BD7651" w:rsidRDefault="007B173C" w:rsidP="007B173C">
      <w:pPr>
        <w:pStyle w:val="PargrafodaLista"/>
        <w:jc w:val="both"/>
        <w:rPr>
          <w:rFonts w:ascii="Times New Roman" w:hAnsi="Times New Roman"/>
          <w:color w:val="000000"/>
          <w:sz w:val="24"/>
          <w:szCs w:val="24"/>
        </w:rPr>
      </w:pPr>
    </w:p>
    <w:p w:rsidR="003D5612" w:rsidRPr="003B7939" w:rsidRDefault="003D5612" w:rsidP="00FA3FAE">
      <w:pPr>
        <w:pStyle w:val="PargrafodaLista"/>
        <w:keepNext/>
        <w:numPr>
          <w:ilvl w:val="1"/>
          <w:numId w:val="219"/>
        </w:numPr>
        <w:spacing w:before="240" w:after="240"/>
        <w:ind w:right="284"/>
        <w:jc w:val="both"/>
        <w:outlineLvl w:val="1"/>
        <w:rPr>
          <w:rFonts w:ascii="Times New Roman" w:hAnsi="Times New Roman"/>
          <w:b/>
          <w:sz w:val="24"/>
          <w:szCs w:val="24"/>
          <w:lang w:eastAsia="fr-FR"/>
        </w:rPr>
      </w:pPr>
      <w:r w:rsidRPr="003B7939">
        <w:rPr>
          <w:rFonts w:ascii="Times New Roman" w:hAnsi="Times New Roman"/>
          <w:b/>
          <w:sz w:val="24"/>
          <w:szCs w:val="24"/>
          <w:lang w:eastAsia="fr-FR"/>
        </w:rPr>
        <w:t xml:space="preserve"> </w:t>
      </w:r>
      <w:bookmarkStart w:id="64" w:name="_Toc51072514"/>
      <w:r w:rsidRPr="003B7939">
        <w:rPr>
          <w:rFonts w:ascii="Times New Roman" w:hAnsi="Times New Roman"/>
          <w:b/>
          <w:sz w:val="24"/>
          <w:szCs w:val="24"/>
          <w:lang w:eastAsia="fr-FR"/>
        </w:rPr>
        <w:t xml:space="preserve">DESCRIPTION DES </w:t>
      </w:r>
      <w:r w:rsidR="007B173C" w:rsidRPr="003B7939">
        <w:rPr>
          <w:rFonts w:ascii="Times New Roman" w:hAnsi="Times New Roman"/>
          <w:b/>
          <w:sz w:val="24"/>
          <w:szCs w:val="24"/>
          <w:lang w:eastAsia="fr-FR"/>
        </w:rPr>
        <w:t>Z</w:t>
      </w:r>
      <w:r w:rsidR="005F7D3D" w:rsidRPr="003B7939">
        <w:rPr>
          <w:rFonts w:ascii="Times New Roman" w:hAnsi="Times New Roman"/>
          <w:b/>
          <w:sz w:val="24"/>
          <w:szCs w:val="24"/>
          <w:lang w:eastAsia="fr-FR"/>
        </w:rPr>
        <w:t>ONES IMPLANTATION DES RESERVOIRS</w:t>
      </w:r>
      <w:bookmarkEnd w:id="64"/>
    </w:p>
    <w:p w:rsidR="005F7D3D" w:rsidRPr="007B173C" w:rsidRDefault="005F7D3D" w:rsidP="005F7D3D">
      <w:pPr>
        <w:pStyle w:val="PargrafodaLista"/>
        <w:keepNext/>
        <w:spacing w:before="240" w:after="240"/>
        <w:ind w:left="900" w:right="284"/>
        <w:jc w:val="both"/>
        <w:rPr>
          <w:rFonts w:ascii="Times New Roman" w:hAnsi="Times New Roman"/>
          <w:b/>
          <w:sz w:val="24"/>
          <w:szCs w:val="24"/>
          <w:lang w:val="fr-FR" w:eastAsia="fr-FR"/>
        </w:rPr>
      </w:pPr>
    </w:p>
    <w:p w:rsidR="00BB26B9" w:rsidRPr="003B7939" w:rsidRDefault="005505AF" w:rsidP="00FA3FAE">
      <w:pPr>
        <w:pStyle w:val="PargrafodaLista"/>
        <w:numPr>
          <w:ilvl w:val="2"/>
          <w:numId w:val="219"/>
        </w:numPr>
        <w:spacing w:after="0" w:line="240" w:lineRule="auto"/>
        <w:jc w:val="both"/>
        <w:outlineLvl w:val="2"/>
        <w:rPr>
          <w:rFonts w:ascii="Times New Roman" w:hAnsi="Times New Roman"/>
          <w:b/>
          <w:bCs/>
          <w:sz w:val="24"/>
          <w:szCs w:val="24"/>
          <w:lang w:eastAsia="fr-FR"/>
        </w:rPr>
      </w:pPr>
      <w:bookmarkStart w:id="65" w:name="_Toc20820262"/>
      <w:bookmarkStart w:id="66" w:name="_Toc21355382"/>
      <w:bookmarkStart w:id="67" w:name="_Toc51072515"/>
      <w:bookmarkStart w:id="68" w:name="_TOC_250003"/>
      <w:bookmarkStart w:id="69" w:name="_Hlk14786817"/>
      <w:r w:rsidRPr="003B7939">
        <w:rPr>
          <w:rFonts w:ascii="Times New Roman" w:hAnsi="Times New Roman"/>
          <w:b/>
          <w:bCs/>
          <w:sz w:val="24"/>
          <w:szCs w:val="24"/>
          <w:lang w:eastAsia="fr-FR"/>
        </w:rPr>
        <w:t>Réhabilitation du réservoir 1 de Quartier de l'Aéroport</w:t>
      </w:r>
      <w:bookmarkEnd w:id="65"/>
      <w:bookmarkEnd w:id="66"/>
      <w:bookmarkEnd w:id="67"/>
      <w:r w:rsidRPr="003B7939">
        <w:rPr>
          <w:rFonts w:ascii="Times New Roman" w:hAnsi="Times New Roman"/>
          <w:b/>
          <w:bCs/>
          <w:sz w:val="24"/>
          <w:szCs w:val="24"/>
          <w:lang w:eastAsia="fr-FR"/>
        </w:rPr>
        <w:t xml:space="preserve"> </w:t>
      </w:r>
    </w:p>
    <w:p w:rsidR="00BB26B9" w:rsidRDefault="00BB26B9" w:rsidP="00BB26B9">
      <w:pPr>
        <w:pStyle w:val="Textodecomentrio"/>
        <w:keepLines w:val="0"/>
        <w:spacing w:after="0" w:line="240" w:lineRule="auto"/>
        <w:jc w:val="left"/>
        <w:rPr>
          <w:rFonts w:ascii="Times New Roman" w:hAnsi="Times New Roman"/>
          <w:sz w:val="24"/>
          <w:szCs w:val="24"/>
          <w:lang w:eastAsia="fr-FR"/>
        </w:rPr>
      </w:pPr>
    </w:p>
    <w:p w:rsidR="005F7D3D" w:rsidRDefault="005F7D3D" w:rsidP="005F7D3D">
      <w:pPr>
        <w:spacing w:line="276" w:lineRule="auto"/>
        <w:ind w:left="-426"/>
        <w:jc w:val="both"/>
        <w:rPr>
          <w:rFonts w:ascii="Times New Roman" w:eastAsia="Times New Roman" w:hAnsi="Times New Roman"/>
          <w:sz w:val="24"/>
          <w:szCs w:val="24"/>
          <w:lang w:eastAsia="fr-FR"/>
        </w:rPr>
      </w:pPr>
      <w:r w:rsidRPr="003E743A">
        <w:rPr>
          <w:rFonts w:ascii="Times New Roman" w:eastAsia="Times New Roman" w:hAnsi="Times New Roman"/>
          <w:sz w:val="24"/>
          <w:szCs w:val="24"/>
          <w:lang w:eastAsia="fr-FR"/>
        </w:rPr>
        <w:t>Dans le cadre de la visite</w:t>
      </w:r>
      <w:r>
        <w:rPr>
          <w:rFonts w:ascii="Times New Roman" w:eastAsia="Times New Roman" w:hAnsi="Times New Roman"/>
          <w:sz w:val="24"/>
          <w:szCs w:val="24"/>
          <w:lang w:eastAsia="fr-FR"/>
        </w:rPr>
        <w:t xml:space="preserve"> de terrain effectuée le 09 Mai 2019, l’équipe du consultant accompagné par Mr TONY de EAGB, ont faire ces constatations suivantes au niveau de quartier Aéroport.</w:t>
      </w:r>
    </w:p>
    <w:p w:rsidR="00BB26B9" w:rsidRDefault="00BB26B9" w:rsidP="00BB26B9">
      <w:pPr>
        <w:pStyle w:val="Textodecomentrio"/>
        <w:rPr>
          <w:rFonts w:ascii="Times New Roman" w:hAnsi="Times New Roman"/>
          <w:b/>
          <w:sz w:val="24"/>
          <w:szCs w:val="24"/>
        </w:rPr>
      </w:pPr>
    </w:p>
    <w:p w:rsidR="0058308B" w:rsidRDefault="0058308B" w:rsidP="00BB26B9">
      <w:pPr>
        <w:pStyle w:val="Textodecomentrio"/>
        <w:rPr>
          <w:rFonts w:ascii="Times New Roman" w:hAnsi="Times New Roman"/>
          <w:b/>
          <w:sz w:val="24"/>
          <w:szCs w:val="24"/>
        </w:rPr>
      </w:pPr>
    </w:p>
    <w:p w:rsidR="0058308B" w:rsidRDefault="0058308B" w:rsidP="00BB26B9">
      <w:pPr>
        <w:pStyle w:val="Textodecomentrio"/>
        <w:rPr>
          <w:rFonts w:ascii="Times New Roman" w:hAnsi="Times New Roman"/>
          <w:b/>
          <w:sz w:val="24"/>
          <w:szCs w:val="24"/>
        </w:rPr>
      </w:pPr>
    </w:p>
    <w:p w:rsidR="005F7D3D" w:rsidRDefault="005F7D3D" w:rsidP="00BB26B9">
      <w:pPr>
        <w:pStyle w:val="Textodecomentrio"/>
        <w:rPr>
          <w:rFonts w:ascii="Times New Roman" w:hAnsi="Times New Roman"/>
          <w:b/>
          <w:sz w:val="24"/>
          <w:szCs w:val="24"/>
        </w:rPr>
      </w:pPr>
    </w:p>
    <w:p w:rsidR="005F7D3D" w:rsidRDefault="005F7D3D" w:rsidP="00BB26B9">
      <w:pPr>
        <w:pStyle w:val="Textodecomentrio"/>
        <w:rPr>
          <w:rFonts w:ascii="Times New Roman" w:hAnsi="Times New Roman"/>
          <w:b/>
          <w:sz w:val="24"/>
          <w:szCs w:val="24"/>
        </w:rPr>
      </w:pPr>
    </w:p>
    <w:tbl>
      <w:tblPr>
        <w:tblW w:w="10941"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6"/>
        <w:gridCol w:w="2013"/>
        <w:gridCol w:w="1711"/>
        <w:gridCol w:w="2010"/>
        <w:gridCol w:w="2371"/>
      </w:tblGrid>
      <w:tr w:rsidR="005505AF" w:rsidRPr="00053C62" w:rsidTr="005F7D3D">
        <w:tc>
          <w:tcPr>
            <w:tcW w:w="2836" w:type="dxa"/>
            <w:shd w:val="clear" w:color="auto" w:fill="F2F2F2" w:themeFill="background1" w:themeFillShade="F2"/>
          </w:tcPr>
          <w:p w:rsidR="005505AF" w:rsidRPr="00053C62" w:rsidRDefault="005505AF" w:rsidP="008E0072">
            <w:pPr>
              <w:spacing w:after="0"/>
              <w:ind w:right="60"/>
              <w:jc w:val="both"/>
              <w:rPr>
                <w:rFonts w:ascii="Times New Roman" w:hAnsi="Times New Roman" w:cs="Times New Roman"/>
                <w:sz w:val="24"/>
                <w:szCs w:val="24"/>
              </w:rPr>
            </w:pPr>
            <w:r w:rsidRPr="00053C62">
              <w:rPr>
                <w:rFonts w:ascii="Times New Roman" w:hAnsi="Times New Roman" w:cs="Times New Roman"/>
                <w:b/>
                <w:color w:val="000000"/>
                <w:sz w:val="24"/>
                <w:szCs w:val="24"/>
              </w:rPr>
              <w:lastRenderedPageBreak/>
              <w:t>Composante du projet</w:t>
            </w:r>
          </w:p>
        </w:tc>
        <w:tc>
          <w:tcPr>
            <w:tcW w:w="8105" w:type="dxa"/>
            <w:gridSpan w:val="4"/>
            <w:shd w:val="clear" w:color="auto" w:fill="auto"/>
          </w:tcPr>
          <w:p w:rsidR="005505AF" w:rsidRPr="006A22C9" w:rsidRDefault="005505AF" w:rsidP="005F7D3D">
            <w:pPr>
              <w:spacing w:after="0"/>
              <w:ind w:right="60"/>
              <w:jc w:val="center"/>
              <w:rPr>
                <w:rFonts w:ascii="Times New Roman" w:hAnsi="Times New Roman" w:cs="Times New Roman"/>
                <w:b/>
                <w:sz w:val="24"/>
                <w:szCs w:val="24"/>
              </w:rPr>
            </w:pPr>
            <w:r w:rsidRPr="006A22C9">
              <w:rPr>
                <w:rFonts w:ascii="Times New Roman" w:hAnsi="Times New Roman" w:cs="Times New Roman"/>
                <w:b/>
                <w:sz w:val="24"/>
                <w:szCs w:val="24"/>
              </w:rPr>
              <w:t>Réhabilitation du réservoir 1 en béton armé de 100 m3</w:t>
            </w:r>
          </w:p>
        </w:tc>
      </w:tr>
      <w:tr w:rsidR="005505AF" w:rsidRPr="00053C62" w:rsidTr="005F7D3D">
        <w:tc>
          <w:tcPr>
            <w:tcW w:w="2836" w:type="dxa"/>
            <w:shd w:val="clear" w:color="auto" w:fill="F2F2F2" w:themeFill="background1" w:themeFillShade="F2"/>
          </w:tcPr>
          <w:p w:rsidR="005505AF" w:rsidRPr="00053C62" w:rsidRDefault="005505AF" w:rsidP="008E0072">
            <w:pPr>
              <w:spacing w:after="0"/>
              <w:ind w:right="60"/>
              <w:jc w:val="both"/>
              <w:rPr>
                <w:rFonts w:ascii="Times New Roman" w:hAnsi="Times New Roman" w:cs="Times New Roman"/>
                <w:b/>
                <w:color w:val="000000"/>
                <w:sz w:val="24"/>
                <w:szCs w:val="24"/>
              </w:rPr>
            </w:pPr>
            <w:r w:rsidRPr="00053C62">
              <w:rPr>
                <w:rFonts w:ascii="Times New Roman" w:hAnsi="Times New Roman" w:cs="Times New Roman"/>
                <w:b/>
                <w:color w:val="000000"/>
                <w:sz w:val="24"/>
                <w:szCs w:val="24"/>
              </w:rPr>
              <w:t>Localités associées</w:t>
            </w:r>
          </w:p>
        </w:tc>
        <w:tc>
          <w:tcPr>
            <w:tcW w:w="8105" w:type="dxa"/>
            <w:gridSpan w:val="4"/>
            <w:shd w:val="clear" w:color="auto" w:fill="auto"/>
          </w:tcPr>
          <w:p w:rsidR="005505AF" w:rsidRPr="006A22C9" w:rsidRDefault="005505AF" w:rsidP="005F7D3D">
            <w:pPr>
              <w:spacing w:after="0"/>
              <w:ind w:right="60"/>
              <w:jc w:val="center"/>
              <w:rPr>
                <w:rFonts w:ascii="Times New Roman" w:hAnsi="Times New Roman" w:cs="Times New Roman"/>
                <w:b/>
                <w:sz w:val="24"/>
                <w:szCs w:val="24"/>
              </w:rPr>
            </w:pPr>
            <w:r w:rsidRPr="006A22C9">
              <w:rPr>
                <w:rFonts w:ascii="Times New Roman" w:hAnsi="Times New Roman" w:cs="Times New Roman"/>
                <w:b/>
                <w:color w:val="000000"/>
                <w:sz w:val="24"/>
                <w:szCs w:val="24"/>
              </w:rPr>
              <w:t>Quartier Aéroport : à l’intérieur du Camp Militaire altérite</w:t>
            </w:r>
          </w:p>
        </w:tc>
      </w:tr>
      <w:tr w:rsidR="005505AF" w:rsidRPr="00053C62" w:rsidTr="004C52CE">
        <w:tc>
          <w:tcPr>
            <w:tcW w:w="4849" w:type="dxa"/>
            <w:gridSpan w:val="2"/>
            <w:vMerge w:val="restart"/>
            <w:shd w:val="clear" w:color="auto" w:fill="F2F2F2" w:themeFill="background1" w:themeFillShade="F2"/>
          </w:tcPr>
          <w:p w:rsidR="005505AF" w:rsidRPr="00053C62" w:rsidRDefault="005505AF" w:rsidP="008E0072">
            <w:pPr>
              <w:spacing w:after="0"/>
              <w:ind w:right="60"/>
              <w:jc w:val="both"/>
              <w:rPr>
                <w:rFonts w:ascii="Times New Roman" w:hAnsi="Times New Roman" w:cs="Times New Roman"/>
                <w:sz w:val="24"/>
                <w:szCs w:val="24"/>
              </w:rPr>
            </w:pPr>
          </w:p>
        </w:tc>
        <w:tc>
          <w:tcPr>
            <w:tcW w:w="1711" w:type="dxa"/>
            <w:shd w:val="clear" w:color="auto" w:fill="F2F2F2" w:themeFill="background1" w:themeFillShade="F2"/>
          </w:tcPr>
          <w:p w:rsidR="005505AF" w:rsidRPr="00053C62" w:rsidRDefault="005505AF" w:rsidP="005F7D3D">
            <w:pPr>
              <w:spacing w:after="0"/>
              <w:ind w:right="60"/>
              <w:jc w:val="center"/>
              <w:rPr>
                <w:rFonts w:ascii="Times New Roman" w:hAnsi="Times New Roman" w:cs="Times New Roman"/>
                <w:sz w:val="24"/>
                <w:szCs w:val="24"/>
              </w:rPr>
            </w:pPr>
            <w:r w:rsidRPr="00053C62">
              <w:rPr>
                <w:rFonts w:ascii="Times New Roman" w:hAnsi="Times New Roman" w:cs="Times New Roman"/>
                <w:b/>
                <w:sz w:val="24"/>
                <w:szCs w:val="24"/>
              </w:rPr>
              <w:t>Code GPS</w:t>
            </w:r>
          </w:p>
        </w:tc>
        <w:tc>
          <w:tcPr>
            <w:tcW w:w="2010" w:type="dxa"/>
            <w:shd w:val="clear" w:color="auto" w:fill="F2F2F2" w:themeFill="background1" w:themeFillShade="F2"/>
            <w:vAlign w:val="center"/>
          </w:tcPr>
          <w:p w:rsidR="005505AF" w:rsidRPr="00053C62" w:rsidRDefault="005505AF" w:rsidP="005F7D3D">
            <w:pPr>
              <w:spacing w:after="0"/>
              <w:ind w:right="60"/>
              <w:jc w:val="center"/>
              <w:rPr>
                <w:rFonts w:ascii="Times New Roman" w:hAnsi="Times New Roman" w:cs="Times New Roman"/>
                <w:sz w:val="24"/>
                <w:szCs w:val="24"/>
              </w:rPr>
            </w:pPr>
            <w:r w:rsidRPr="00053C62">
              <w:rPr>
                <w:rFonts w:ascii="Times New Roman" w:hAnsi="Times New Roman" w:cs="Times New Roman"/>
                <w:b/>
                <w:sz w:val="24"/>
                <w:szCs w:val="24"/>
              </w:rPr>
              <w:t>X</w:t>
            </w:r>
          </w:p>
        </w:tc>
        <w:tc>
          <w:tcPr>
            <w:tcW w:w="2371" w:type="dxa"/>
            <w:shd w:val="clear" w:color="auto" w:fill="F2F2F2" w:themeFill="background1" w:themeFillShade="F2"/>
            <w:vAlign w:val="center"/>
          </w:tcPr>
          <w:p w:rsidR="005505AF" w:rsidRPr="00053C62" w:rsidRDefault="005505AF" w:rsidP="005F7D3D">
            <w:pPr>
              <w:spacing w:after="0"/>
              <w:ind w:right="60"/>
              <w:jc w:val="center"/>
              <w:rPr>
                <w:rFonts w:ascii="Times New Roman" w:hAnsi="Times New Roman" w:cs="Times New Roman"/>
                <w:sz w:val="24"/>
                <w:szCs w:val="24"/>
              </w:rPr>
            </w:pPr>
            <w:r w:rsidRPr="00053C62">
              <w:rPr>
                <w:rFonts w:ascii="Times New Roman" w:hAnsi="Times New Roman" w:cs="Times New Roman"/>
                <w:b/>
                <w:sz w:val="24"/>
                <w:szCs w:val="24"/>
              </w:rPr>
              <w:t>Y</w:t>
            </w:r>
          </w:p>
        </w:tc>
      </w:tr>
      <w:tr w:rsidR="005505AF" w:rsidRPr="00053C62" w:rsidTr="004C52CE">
        <w:tc>
          <w:tcPr>
            <w:tcW w:w="4849" w:type="dxa"/>
            <w:gridSpan w:val="2"/>
            <w:vMerge/>
            <w:shd w:val="clear" w:color="auto" w:fill="F2F2F2" w:themeFill="background1" w:themeFillShade="F2"/>
          </w:tcPr>
          <w:p w:rsidR="005505AF" w:rsidRPr="00053C62" w:rsidRDefault="005505AF" w:rsidP="008E0072">
            <w:pPr>
              <w:spacing w:after="0"/>
              <w:ind w:right="60"/>
              <w:jc w:val="both"/>
              <w:rPr>
                <w:rFonts w:ascii="Times New Roman" w:hAnsi="Times New Roman" w:cs="Times New Roman"/>
                <w:sz w:val="24"/>
                <w:szCs w:val="24"/>
              </w:rPr>
            </w:pPr>
          </w:p>
        </w:tc>
        <w:tc>
          <w:tcPr>
            <w:tcW w:w="1711" w:type="dxa"/>
            <w:shd w:val="clear" w:color="auto" w:fill="auto"/>
            <w:vAlign w:val="center"/>
          </w:tcPr>
          <w:p w:rsidR="005505AF" w:rsidRPr="00053C62" w:rsidRDefault="005505AF" w:rsidP="008E0072">
            <w:pPr>
              <w:spacing w:after="0"/>
              <w:ind w:right="60"/>
              <w:jc w:val="center"/>
              <w:rPr>
                <w:rFonts w:ascii="Times New Roman" w:hAnsi="Times New Roman" w:cs="Times New Roman"/>
                <w:sz w:val="24"/>
                <w:szCs w:val="24"/>
              </w:rPr>
            </w:pPr>
            <w:r w:rsidRPr="00053C62">
              <w:rPr>
                <w:rFonts w:ascii="Times New Roman" w:hAnsi="Times New Roman" w:cs="Times New Roman"/>
                <w:color w:val="000000"/>
                <w:sz w:val="24"/>
                <w:szCs w:val="24"/>
              </w:rPr>
              <w:t>RE-1</w:t>
            </w:r>
          </w:p>
        </w:tc>
        <w:tc>
          <w:tcPr>
            <w:tcW w:w="2010" w:type="dxa"/>
            <w:shd w:val="clear" w:color="auto" w:fill="auto"/>
            <w:vAlign w:val="center"/>
          </w:tcPr>
          <w:p w:rsidR="005505AF" w:rsidRPr="00053C62" w:rsidRDefault="005505AF" w:rsidP="008E0072">
            <w:pPr>
              <w:spacing w:after="0"/>
              <w:ind w:right="60"/>
              <w:jc w:val="center"/>
              <w:rPr>
                <w:rFonts w:ascii="Times New Roman" w:hAnsi="Times New Roman" w:cs="Times New Roman"/>
                <w:sz w:val="24"/>
                <w:szCs w:val="24"/>
              </w:rPr>
            </w:pPr>
            <w:r w:rsidRPr="00053C62">
              <w:rPr>
                <w:rFonts w:ascii="Times New Roman" w:hAnsi="Times New Roman" w:cs="Times New Roman"/>
                <w:color w:val="000000"/>
                <w:sz w:val="24"/>
                <w:szCs w:val="24"/>
              </w:rPr>
              <w:t>428775</w:t>
            </w:r>
          </w:p>
        </w:tc>
        <w:tc>
          <w:tcPr>
            <w:tcW w:w="2371" w:type="dxa"/>
            <w:shd w:val="clear" w:color="auto" w:fill="auto"/>
            <w:vAlign w:val="center"/>
          </w:tcPr>
          <w:p w:rsidR="005505AF" w:rsidRPr="00053C62" w:rsidRDefault="005505AF" w:rsidP="008E0072">
            <w:pPr>
              <w:spacing w:after="0"/>
              <w:ind w:right="60"/>
              <w:jc w:val="center"/>
              <w:rPr>
                <w:rFonts w:ascii="Times New Roman" w:hAnsi="Times New Roman" w:cs="Times New Roman"/>
                <w:sz w:val="24"/>
                <w:szCs w:val="24"/>
              </w:rPr>
            </w:pPr>
            <w:r w:rsidRPr="00053C62">
              <w:rPr>
                <w:rFonts w:ascii="Times New Roman" w:hAnsi="Times New Roman" w:cs="Times New Roman"/>
                <w:color w:val="000000"/>
                <w:sz w:val="24"/>
                <w:szCs w:val="24"/>
              </w:rPr>
              <w:t>1313407</w:t>
            </w:r>
          </w:p>
        </w:tc>
      </w:tr>
      <w:tr w:rsidR="005505AF" w:rsidRPr="00053C62" w:rsidTr="005F7D3D">
        <w:tc>
          <w:tcPr>
            <w:tcW w:w="2836" w:type="dxa"/>
            <w:shd w:val="clear" w:color="auto" w:fill="F2F2F2" w:themeFill="background1" w:themeFillShade="F2"/>
            <w:vAlign w:val="center"/>
          </w:tcPr>
          <w:p w:rsidR="005505AF" w:rsidRPr="00053C62" w:rsidRDefault="005505AF" w:rsidP="005F7D3D">
            <w:pPr>
              <w:spacing w:after="0"/>
              <w:ind w:right="60"/>
              <w:jc w:val="center"/>
              <w:rPr>
                <w:rFonts w:ascii="Times New Roman" w:hAnsi="Times New Roman" w:cs="Times New Roman"/>
                <w:sz w:val="24"/>
                <w:szCs w:val="24"/>
              </w:rPr>
            </w:pPr>
            <w:r w:rsidRPr="00053C62">
              <w:rPr>
                <w:rFonts w:ascii="Times New Roman" w:hAnsi="Times New Roman" w:cs="Times New Roman"/>
                <w:b/>
                <w:color w:val="000000"/>
                <w:sz w:val="24"/>
                <w:szCs w:val="24"/>
              </w:rPr>
              <w:t>Caractéristiques (site et réservoir)</w:t>
            </w:r>
          </w:p>
        </w:tc>
        <w:tc>
          <w:tcPr>
            <w:tcW w:w="8105" w:type="dxa"/>
            <w:gridSpan w:val="4"/>
            <w:shd w:val="clear" w:color="auto" w:fill="auto"/>
          </w:tcPr>
          <w:p w:rsidR="005505AF" w:rsidRPr="00053C62" w:rsidRDefault="005505AF" w:rsidP="008E0072">
            <w:pPr>
              <w:spacing w:after="0"/>
              <w:ind w:left="80" w:right="60"/>
              <w:jc w:val="both"/>
              <w:rPr>
                <w:rFonts w:ascii="Times New Roman" w:hAnsi="Times New Roman" w:cs="Times New Roman"/>
                <w:sz w:val="24"/>
                <w:szCs w:val="24"/>
              </w:rPr>
            </w:pPr>
            <w:r w:rsidRPr="00053C62">
              <w:rPr>
                <w:rFonts w:ascii="Times New Roman" w:hAnsi="Times New Roman" w:cs="Times New Roman"/>
                <w:sz w:val="24"/>
                <w:szCs w:val="24"/>
              </w:rPr>
              <w:t>C’est un château d’eau de forme quadrangulaire en béton armé de capacité 100 m</w:t>
            </w:r>
            <w:r w:rsidRPr="00053C62">
              <w:rPr>
                <w:rFonts w:ascii="Times New Roman" w:hAnsi="Times New Roman" w:cs="Times New Roman"/>
                <w:sz w:val="24"/>
                <w:szCs w:val="24"/>
                <w:vertAlign w:val="superscript"/>
              </w:rPr>
              <w:t>3</w:t>
            </w:r>
            <w:r w:rsidRPr="00053C62">
              <w:rPr>
                <w:rFonts w:ascii="Times New Roman" w:hAnsi="Times New Roman" w:cs="Times New Roman"/>
                <w:sz w:val="24"/>
                <w:szCs w:val="24"/>
              </w:rPr>
              <w:t xml:space="preserve"> et de hauteur environ 18,7m (jupe) + 1,9 m (cuve). La cote du terrain naturel est 36 m, le niveau des PHE est environ 57 m.</w:t>
            </w:r>
          </w:p>
        </w:tc>
      </w:tr>
      <w:tr w:rsidR="005505AF" w:rsidRPr="00053C62" w:rsidTr="005F7D3D">
        <w:tc>
          <w:tcPr>
            <w:tcW w:w="2836" w:type="dxa"/>
            <w:shd w:val="clear" w:color="auto" w:fill="F2F2F2" w:themeFill="background1" w:themeFillShade="F2"/>
            <w:vAlign w:val="center"/>
          </w:tcPr>
          <w:p w:rsidR="005505AF" w:rsidRPr="00053C62" w:rsidRDefault="005505AF" w:rsidP="005F7D3D">
            <w:pPr>
              <w:spacing w:after="0"/>
              <w:ind w:right="60"/>
              <w:jc w:val="center"/>
              <w:rPr>
                <w:rFonts w:ascii="Times New Roman" w:hAnsi="Times New Roman" w:cs="Times New Roman"/>
                <w:b/>
                <w:color w:val="000000"/>
                <w:sz w:val="24"/>
                <w:szCs w:val="24"/>
              </w:rPr>
            </w:pPr>
            <w:r w:rsidRPr="00053C62">
              <w:rPr>
                <w:rFonts w:ascii="Times New Roman" w:hAnsi="Times New Roman" w:cs="Times New Roman"/>
                <w:b/>
                <w:color w:val="000000"/>
                <w:sz w:val="24"/>
                <w:szCs w:val="24"/>
              </w:rPr>
              <w:t>Description du milieu d’influence direct</w:t>
            </w:r>
          </w:p>
        </w:tc>
        <w:tc>
          <w:tcPr>
            <w:tcW w:w="8105" w:type="dxa"/>
            <w:gridSpan w:val="4"/>
            <w:shd w:val="clear" w:color="auto" w:fill="auto"/>
          </w:tcPr>
          <w:p w:rsidR="005505AF" w:rsidRPr="00053C62" w:rsidRDefault="005505AF" w:rsidP="008E0072">
            <w:pPr>
              <w:spacing w:after="0"/>
              <w:jc w:val="both"/>
              <w:rPr>
                <w:rFonts w:ascii="Times New Roman" w:hAnsi="Times New Roman" w:cs="Times New Roman"/>
                <w:color w:val="000000"/>
                <w:sz w:val="24"/>
                <w:szCs w:val="24"/>
              </w:rPr>
            </w:pPr>
            <w:r w:rsidRPr="00053C62">
              <w:rPr>
                <w:rFonts w:ascii="Times New Roman" w:hAnsi="Times New Roman" w:cs="Times New Roman"/>
                <w:color w:val="000000"/>
                <w:sz w:val="24"/>
                <w:szCs w:val="24"/>
              </w:rPr>
              <w:t>- Présence d’un réservoir d’où on note des dégradations partielles de la structure surtout en hauteur et des conduites défectueuses (réservoir non fonctionnel).</w:t>
            </w:r>
          </w:p>
          <w:p w:rsidR="005505AF" w:rsidRPr="00053C62" w:rsidRDefault="005505AF" w:rsidP="008E0072">
            <w:pPr>
              <w:spacing w:after="0"/>
              <w:ind w:right="60"/>
              <w:jc w:val="both"/>
              <w:rPr>
                <w:rFonts w:ascii="Times New Roman" w:hAnsi="Times New Roman" w:cs="Times New Roman"/>
                <w:color w:val="000000"/>
                <w:sz w:val="24"/>
                <w:szCs w:val="24"/>
              </w:rPr>
            </w:pPr>
            <w:r w:rsidRPr="00053C62">
              <w:rPr>
                <w:rFonts w:ascii="Times New Roman" w:hAnsi="Times New Roman" w:cs="Times New Roman"/>
                <w:color w:val="000000"/>
                <w:sz w:val="24"/>
                <w:szCs w:val="24"/>
              </w:rPr>
              <w:t>- Présence de route goudronnée avec des canalisations à ciel ouvert et présence de quelque pied de bananiers.</w:t>
            </w:r>
          </w:p>
          <w:p w:rsidR="005505AF" w:rsidRPr="00053C62" w:rsidRDefault="005505AF" w:rsidP="008E0072">
            <w:pPr>
              <w:spacing w:after="0"/>
              <w:ind w:right="60"/>
              <w:jc w:val="both"/>
              <w:rPr>
                <w:rFonts w:ascii="Times New Roman" w:hAnsi="Times New Roman" w:cs="Times New Roman"/>
                <w:sz w:val="24"/>
                <w:szCs w:val="24"/>
              </w:rPr>
            </w:pPr>
            <w:r w:rsidRPr="00053C62">
              <w:rPr>
                <w:rFonts w:ascii="Times New Roman" w:hAnsi="Times New Roman" w:cs="Times New Roman"/>
                <w:color w:val="000000"/>
                <w:sz w:val="24"/>
                <w:szCs w:val="24"/>
              </w:rPr>
              <w:t xml:space="preserve">- Existence d’un bâtiment à quelque mètre et d’un ancien groupe électrogène non fonctionnel qui permettait l’alimentation du forage. </w:t>
            </w:r>
          </w:p>
        </w:tc>
      </w:tr>
      <w:tr w:rsidR="005505AF" w:rsidRPr="00053C62" w:rsidTr="005F7D3D">
        <w:tc>
          <w:tcPr>
            <w:tcW w:w="10941" w:type="dxa"/>
            <w:gridSpan w:val="5"/>
            <w:shd w:val="clear" w:color="auto" w:fill="auto"/>
            <w:vAlign w:val="center"/>
          </w:tcPr>
          <w:p w:rsidR="005505AF" w:rsidRPr="00053C62" w:rsidRDefault="00833733" w:rsidP="005F7D3D">
            <w:pPr>
              <w:spacing w:after="0"/>
              <w:jc w:val="center"/>
              <w:rPr>
                <w:rFonts w:ascii="Times New Roman" w:hAnsi="Times New Roman" w:cs="Times New Roman"/>
                <w:color w:val="000000"/>
                <w:sz w:val="24"/>
                <w:szCs w:val="24"/>
              </w:rPr>
            </w:pPr>
            <w:bookmarkStart w:id="70" w:name="_Toc32512053"/>
            <w:r w:rsidRPr="00770F4C">
              <w:rPr>
                <w:rFonts w:ascii="Times New Roman" w:hAnsi="Times New Roman" w:cs="Times New Roman"/>
                <w:b/>
                <w:sz w:val="24"/>
                <w:szCs w:val="24"/>
              </w:rPr>
              <w:t xml:space="preserve">Photo </w:t>
            </w:r>
            <w:r w:rsidRPr="00770F4C">
              <w:rPr>
                <w:rFonts w:ascii="Times New Roman" w:hAnsi="Times New Roman" w:cs="Times New Roman"/>
                <w:b/>
                <w:sz w:val="24"/>
                <w:szCs w:val="24"/>
              </w:rPr>
              <w:fldChar w:fldCharType="begin"/>
            </w:r>
            <w:r w:rsidRPr="00770F4C">
              <w:rPr>
                <w:rFonts w:ascii="Times New Roman" w:hAnsi="Times New Roman" w:cs="Times New Roman"/>
                <w:b/>
                <w:sz w:val="24"/>
                <w:szCs w:val="24"/>
              </w:rPr>
              <w:instrText xml:space="preserve"> SEQ PHOTO \* ARABIC </w:instrText>
            </w:r>
            <w:r w:rsidRPr="00770F4C">
              <w:rPr>
                <w:rFonts w:ascii="Times New Roman" w:hAnsi="Times New Roman" w:cs="Times New Roman"/>
                <w:b/>
                <w:sz w:val="24"/>
                <w:szCs w:val="24"/>
              </w:rPr>
              <w:fldChar w:fldCharType="separate"/>
            </w:r>
            <w:r w:rsidR="002C6E60">
              <w:rPr>
                <w:rFonts w:ascii="Times New Roman" w:hAnsi="Times New Roman" w:cs="Times New Roman"/>
                <w:b/>
                <w:noProof/>
                <w:sz w:val="24"/>
                <w:szCs w:val="24"/>
              </w:rPr>
              <w:t>2</w:t>
            </w:r>
            <w:r w:rsidRPr="00770F4C">
              <w:rPr>
                <w:rFonts w:ascii="Times New Roman" w:hAnsi="Times New Roman" w:cs="Times New Roman"/>
                <w:b/>
                <w:sz w:val="24"/>
                <w:szCs w:val="24"/>
              </w:rPr>
              <w:fldChar w:fldCharType="end"/>
            </w:r>
            <w:r w:rsidRPr="00770F4C">
              <w:rPr>
                <w:rFonts w:ascii="Times New Roman" w:hAnsi="Times New Roman" w:cs="Times New Roman"/>
                <w:b/>
                <w:sz w:val="24"/>
                <w:szCs w:val="24"/>
              </w:rPr>
              <w:t xml:space="preserve"> : </w:t>
            </w:r>
            <w:r w:rsidR="005505AF" w:rsidRPr="00053C62">
              <w:rPr>
                <w:rFonts w:ascii="Times New Roman" w:hAnsi="Times New Roman" w:cs="Times New Roman"/>
                <w:b/>
                <w:color w:val="000000"/>
                <w:sz w:val="24"/>
                <w:szCs w:val="24"/>
              </w:rPr>
              <w:t>Photos Illustrations</w:t>
            </w:r>
            <w:r>
              <w:rPr>
                <w:rFonts w:ascii="Times New Roman" w:hAnsi="Times New Roman" w:cs="Times New Roman"/>
                <w:b/>
                <w:color w:val="000000"/>
                <w:sz w:val="24"/>
                <w:szCs w:val="24"/>
              </w:rPr>
              <w:t xml:space="preserve"> </w:t>
            </w:r>
            <w:r w:rsidR="00EE0400" w:rsidRPr="00EE0400">
              <w:rPr>
                <w:rFonts w:ascii="Times New Roman" w:hAnsi="Times New Roman" w:cs="Times New Roman"/>
                <w:b/>
                <w:color w:val="000000"/>
                <w:sz w:val="24"/>
                <w:szCs w:val="24"/>
              </w:rPr>
              <w:t>du réservoir 1 - quartier Aéroport</w:t>
            </w:r>
            <w:bookmarkEnd w:id="70"/>
          </w:p>
        </w:tc>
      </w:tr>
      <w:tr w:rsidR="005505AF" w:rsidRPr="00053C62" w:rsidTr="00210998">
        <w:tc>
          <w:tcPr>
            <w:tcW w:w="10941" w:type="dxa"/>
            <w:gridSpan w:val="5"/>
            <w:shd w:val="clear" w:color="auto" w:fill="auto"/>
          </w:tcPr>
          <w:p w:rsidR="005505AF" w:rsidRPr="00053C62" w:rsidRDefault="005505AF" w:rsidP="008E0072">
            <w:pPr>
              <w:spacing w:after="0"/>
              <w:ind w:right="60"/>
              <w:jc w:val="center"/>
              <w:rPr>
                <w:rFonts w:ascii="Times New Roman" w:hAnsi="Times New Roman" w:cs="Times New Roman"/>
                <w:color w:val="000000"/>
                <w:sz w:val="24"/>
                <w:szCs w:val="24"/>
              </w:rPr>
            </w:pPr>
            <w:r w:rsidRPr="00053C62">
              <w:rPr>
                <w:rFonts w:ascii="Times New Roman" w:hAnsi="Times New Roman" w:cs="Times New Roman"/>
                <w:noProof/>
                <w:color w:val="000000"/>
                <w:sz w:val="24"/>
                <w:szCs w:val="24"/>
                <w:lang w:val="pt-PT" w:eastAsia="pt-PT"/>
              </w:rPr>
              <w:drawing>
                <wp:inline distT="0" distB="0" distL="0" distR="0" wp14:anchorId="3987FD3A" wp14:editId="310A5CAF">
                  <wp:extent cx="1343660" cy="1781175"/>
                  <wp:effectExtent l="0" t="9208" r="0" b="0"/>
                  <wp:docPr id="461" name="Image 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01"/>
                          <pic:cNvPicPr>
                            <a:picLocks noChangeAspect="1" noChangeArrowheads="1"/>
                          </pic:cNvPicPr>
                        </pic:nvPicPr>
                        <pic:blipFill>
                          <a:blip r:embed="rId44" cstate="email">
                            <a:extLst>
                              <a:ext uri="{28A0092B-C50C-407E-A947-70E740481C1C}">
                                <a14:useLocalDpi xmlns:a14="http://schemas.microsoft.com/office/drawing/2010/main"/>
                              </a:ext>
                            </a:extLst>
                          </a:blip>
                          <a:srcRect/>
                          <a:stretch>
                            <a:fillRect/>
                          </a:stretch>
                        </pic:blipFill>
                        <pic:spPr bwMode="auto">
                          <a:xfrm rot="5400000">
                            <a:off x="0" y="0"/>
                            <a:ext cx="1343660" cy="1781175"/>
                          </a:xfrm>
                          <a:prstGeom prst="rect">
                            <a:avLst/>
                          </a:prstGeom>
                          <a:noFill/>
                          <a:ln>
                            <a:noFill/>
                          </a:ln>
                        </pic:spPr>
                      </pic:pic>
                    </a:graphicData>
                  </a:graphic>
                </wp:inline>
              </w:drawing>
            </w:r>
            <w:r w:rsidRPr="00053C62">
              <w:rPr>
                <w:rFonts w:ascii="Times New Roman" w:hAnsi="Times New Roman" w:cs="Times New Roman"/>
                <w:noProof/>
                <w:color w:val="000000"/>
                <w:sz w:val="24"/>
                <w:szCs w:val="24"/>
                <w:lang w:eastAsia="fr-FR"/>
              </w:rPr>
              <w:t xml:space="preserve"> </w:t>
            </w:r>
            <w:r w:rsidRPr="00053C62">
              <w:rPr>
                <w:rFonts w:ascii="Times New Roman" w:hAnsi="Times New Roman" w:cs="Times New Roman"/>
                <w:noProof/>
                <w:color w:val="000000"/>
                <w:sz w:val="24"/>
                <w:szCs w:val="24"/>
                <w:lang w:val="pt-PT" w:eastAsia="pt-PT"/>
              </w:rPr>
              <w:drawing>
                <wp:inline distT="0" distB="0" distL="0" distR="0" wp14:anchorId="75926B68" wp14:editId="0D2F59B7">
                  <wp:extent cx="2298065" cy="1351915"/>
                  <wp:effectExtent l="0" t="0" r="6985" b="635"/>
                  <wp:docPr id="460" name="Image 460" descr="IMG_15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IMG_1579"/>
                          <pic:cNvPicPr>
                            <a:picLocks noChangeAspect="1" noChangeArrowheads="1"/>
                          </pic:cNvPicPr>
                        </pic:nvPicPr>
                        <pic:blipFill>
                          <a:blip r:embed="rId45" cstate="email">
                            <a:extLst>
                              <a:ext uri="{28A0092B-C50C-407E-A947-70E740481C1C}">
                                <a14:useLocalDpi xmlns:a14="http://schemas.microsoft.com/office/drawing/2010/main"/>
                              </a:ext>
                            </a:extLst>
                          </a:blip>
                          <a:srcRect/>
                          <a:stretch>
                            <a:fillRect/>
                          </a:stretch>
                        </pic:blipFill>
                        <pic:spPr bwMode="auto">
                          <a:xfrm>
                            <a:off x="0" y="0"/>
                            <a:ext cx="2298065" cy="1351915"/>
                          </a:xfrm>
                          <a:prstGeom prst="rect">
                            <a:avLst/>
                          </a:prstGeom>
                          <a:noFill/>
                          <a:ln>
                            <a:noFill/>
                          </a:ln>
                        </pic:spPr>
                      </pic:pic>
                    </a:graphicData>
                  </a:graphic>
                </wp:inline>
              </w:drawing>
            </w:r>
            <w:r w:rsidRPr="00053C62">
              <w:rPr>
                <w:rFonts w:ascii="Times New Roman" w:hAnsi="Times New Roman" w:cs="Times New Roman"/>
                <w:noProof/>
                <w:color w:val="000000"/>
                <w:sz w:val="24"/>
                <w:szCs w:val="24"/>
                <w:lang w:val="pt-PT" w:eastAsia="pt-PT"/>
              </w:rPr>
              <w:drawing>
                <wp:inline distT="0" distB="0" distL="0" distR="0" wp14:anchorId="6C91685E" wp14:editId="215DC268">
                  <wp:extent cx="2194560" cy="1336040"/>
                  <wp:effectExtent l="0" t="0" r="0" b="0"/>
                  <wp:docPr id="459" name="Image 459" descr="IMG_1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IMG_1580"/>
                          <pic:cNvPicPr>
                            <a:picLocks noChangeAspect="1" noChangeArrowheads="1"/>
                          </pic:cNvPicPr>
                        </pic:nvPicPr>
                        <pic:blipFill>
                          <a:blip r:embed="rId46" cstate="email">
                            <a:extLst>
                              <a:ext uri="{28A0092B-C50C-407E-A947-70E740481C1C}">
                                <a14:useLocalDpi xmlns:a14="http://schemas.microsoft.com/office/drawing/2010/main"/>
                              </a:ext>
                            </a:extLst>
                          </a:blip>
                          <a:srcRect/>
                          <a:stretch>
                            <a:fillRect/>
                          </a:stretch>
                        </pic:blipFill>
                        <pic:spPr bwMode="auto">
                          <a:xfrm>
                            <a:off x="0" y="0"/>
                            <a:ext cx="2194560" cy="1336040"/>
                          </a:xfrm>
                          <a:prstGeom prst="rect">
                            <a:avLst/>
                          </a:prstGeom>
                          <a:noFill/>
                          <a:ln>
                            <a:noFill/>
                          </a:ln>
                        </pic:spPr>
                      </pic:pic>
                    </a:graphicData>
                  </a:graphic>
                </wp:inline>
              </w:drawing>
            </w:r>
          </w:p>
        </w:tc>
      </w:tr>
      <w:tr w:rsidR="005505AF" w:rsidRPr="00053C62" w:rsidTr="005F7D3D">
        <w:tc>
          <w:tcPr>
            <w:tcW w:w="10941" w:type="dxa"/>
            <w:gridSpan w:val="5"/>
            <w:shd w:val="clear" w:color="auto" w:fill="auto"/>
            <w:vAlign w:val="center"/>
          </w:tcPr>
          <w:p w:rsidR="005505AF" w:rsidRPr="00053C62" w:rsidRDefault="00833733" w:rsidP="005F7D3D">
            <w:pPr>
              <w:spacing w:after="0"/>
              <w:ind w:right="60"/>
              <w:jc w:val="center"/>
              <w:rPr>
                <w:rFonts w:ascii="Times New Roman" w:hAnsi="Times New Roman" w:cs="Times New Roman"/>
                <w:b/>
                <w:noProof/>
                <w:color w:val="000000"/>
                <w:sz w:val="24"/>
                <w:szCs w:val="24"/>
                <w:lang w:eastAsia="fr-FR"/>
              </w:rPr>
            </w:pPr>
            <w:r w:rsidRPr="0047697F">
              <w:rPr>
                <w:rFonts w:ascii="Times New Roman" w:hAnsi="Times New Roman" w:cs="Times New Roman"/>
                <w:b/>
              </w:rPr>
              <w:t xml:space="preserve">Carte </w:t>
            </w:r>
            <w:r w:rsidRPr="0047697F">
              <w:rPr>
                <w:rFonts w:ascii="Times New Roman" w:hAnsi="Times New Roman" w:cs="Times New Roman"/>
                <w:b/>
              </w:rPr>
              <w:fldChar w:fldCharType="begin"/>
            </w:r>
            <w:r w:rsidRPr="0047697F">
              <w:rPr>
                <w:rFonts w:ascii="Times New Roman" w:hAnsi="Times New Roman" w:cs="Times New Roman"/>
                <w:b/>
              </w:rPr>
              <w:instrText xml:space="preserve"> SEQ Carte \* ARABIC </w:instrText>
            </w:r>
            <w:r w:rsidRPr="0047697F">
              <w:rPr>
                <w:rFonts w:ascii="Times New Roman" w:hAnsi="Times New Roman" w:cs="Times New Roman"/>
                <w:b/>
              </w:rPr>
              <w:fldChar w:fldCharType="separate"/>
            </w:r>
            <w:r w:rsidR="002C6E60">
              <w:rPr>
                <w:rFonts w:ascii="Times New Roman" w:hAnsi="Times New Roman" w:cs="Times New Roman"/>
                <w:b/>
                <w:noProof/>
              </w:rPr>
              <w:t>5</w:t>
            </w:r>
            <w:r w:rsidRPr="0047697F">
              <w:rPr>
                <w:rFonts w:ascii="Times New Roman" w:hAnsi="Times New Roman" w:cs="Times New Roman"/>
                <w:b/>
              </w:rPr>
              <w:fldChar w:fldCharType="end"/>
            </w:r>
            <w:r w:rsidRPr="0047697F">
              <w:rPr>
                <w:rFonts w:ascii="Times New Roman" w:hAnsi="Times New Roman" w:cs="Times New Roman"/>
                <w:b/>
              </w:rPr>
              <w:t xml:space="preserve">: </w:t>
            </w:r>
            <w:r w:rsidR="005505AF" w:rsidRPr="00053C62">
              <w:rPr>
                <w:rFonts w:ascii="Times New Roman" w:eastAsia="Arial" w:hAnsi="Times New Roman" w:cs="Times New Roman"/>
                <w:b/>
                <w:sz w:val="24"/>
                <w:szCs w:val="24"/>
              </w:rPr>
              <w:t>Carte de localisation du réservoir 1 - quartier Aéroport</w:t>
            </w:r>
          </w:p>
        </w:tc>
      </w:tr>
      <w:tr w:rsidR="005505AF" w:rsidRPr="00053C62" w:rsidTr="00210998">
        <w:trPr>
          <w:trHeight w:val="6795"/>
        </w:trPr>
        <w:tc>
          <w:tcPr>
            <w:tcW w:w="10941" w:type="dxa"/>
            <w:gridSpan w:val="5"/>
            <w:shd w:val="clear" w:color="auto" w:fill="auto"/>
          </w:tcPr>
          <w:p w:rsidR="005505AF" w:rsidRPr="00053C62" w:rsidRDefault="005505AF" w:rsidP="008E0072">
            <w:pPr>
              <w:spacing w:after="0"/>
              <w:ind w:right="60"/>
              <w:jc w:val="both"/>
              <w:rPr>
                <w:rFonts w:ascii="Times New Roman" w:eastAsia="Arial" w:hAnsi="Times New Roman" w:cs="Times New Roman"/>
                <w:sz w:val="24"/>
                <w:szCs w:val="24"/>
              </w:rPr>
            </w:pPr>
            <w:r w:rsidRPr="00053C62">
              <w:rPr>
                <w:rFonts w:ascii="Times New Roman" w:eastAsia="Arial" w:hAnsi="Times New Roman" w:cs="Times New Roman"/>
                <w:noProof/>
                <w:sz w:val="24"/>
                <w:szCs w:val="24"/>
                <w:lang w:val="pt-PT" w:eastAsia="pt-PT"/>
              </w:rPr>
              <w:drawing>
                <wp:inline distT="0" distB="0" distL="0" distR="0" wp14:anchorId="24F7C4C2" wp14:editId="50440A10">
                  <wp:extent cx="6607810" cy="4269740"/>
                  <wp:effectExtent l="0" t="0" r="2540" b="0"/>
                  <wp:docPr id="458" name="Image 458" descr="1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1111"/>
                          <pic:cNvPicPr>
                            <a:picLocks noChangeAspect="1" noChangeArrowheads="1"/>
                          </pic:cNvPicPr>
                        </pic:nvPicPr>
                        <pic:blipFill>
                          <a:blip r:embed="rId47" cstate="email">
                            <a:extLst>
                              <a:ext uri="{28A0092B-C50C-407E-A947-70E740481C1C}">
                                <a14:useLocalDpi xmlns:a14="http://schemas.microsoft.com/office/drawing/2010/main"/>
                              </a:ext>
                            </a:extLst>
                          </a:blip>
                          <a:srcRect/>
                          <a:stretch>
                            <a:fillRect/>
                          </a:stretch>
                        </pic:blipFill>
                        <pic:spPr bwMode="auto">
                          <a:xfrm>
                            <a:off x="0" y="0"/>
                            <a:ext cx="6607810" cy="4269740"/>
                          </a:xfrm>
                          <a:prstGeom prst="rect">
                            <a:avLst/>
                          </a:prstGeom>
                          <a:noFill/>
                          <a:ln>
                            <a:noFill/>
                          </a:ln>
                        </pic:spPr>
                      </pic:pic>
                    </a:graphicData>
                  </a:graphic>
                </wp:inline>
              </w:drawing>
            </w:r>
          </w:p>
        </w:tc>
      </w:tr>
    </w:tbl>
    <w:p w:rsidR="005F7D3D" w:rsidRPr="00053C62" w:rsidRDefault="005F7D3D" w:rsidP="005505AF">
      <w:pPr>
        <w:pStyle w:val="Textodecomentrio"/>
        <w:ind w:left="1068"/>
        <w:rPr>
          <w:rFonts w:ascii="Times New Roman" w:hAnsi="Times New Roman"/>
          <w:sz w:val="24"/>
          <w:szCs w:val="24"/>
        </w:rPr>
      </w:pPr>
    </w:p>
    <w:p w:rsidR="005505AF" w:rsidRPr="005F7D3D" w:rsidRDefault="005505AF" w:rsidP="00FA3FAE">
      <w:pPr>
        <w:pStyle w:val="PargrafodaLista"/>
        <w:numPr>
          <w:ilvl w:val="2"/>
          <w:numId w:val="219"/>
        </w:numPr>
        <w:spacing w:after="0" w:line="240" w:lineRule="auto"/>
        <w:contextualSpacing w:val="0"/>
        <w:jc w:val="both"/>
        <w:outlineLvl w:val="2"/>
        <w:rPr>
          <w:rFonts w:ascii="Times New Roman" w:hAnsi="Times New Roman"/>
          <w:b/>
          <w:bCs/>
          <w:sz w:val="24"/>
          <w:szCs w:val="24"/>
          <w:lang w:val="fr-FR" w:eastAsia="fr-FR"/>
        </w:rPr>
      </w:pPr>
      <w:bookmarkStart w:id="71" w:name="_Toc20820263"/>
      <w:bookmarkStart w:id="72" w:name="_Toc21355383"/>
      <w:bookmarkStart w:id="73" w:name="_Toc51072516"/>
      <w:r w:rsidRPr="005F7D3D">
        <w:rPr>
          <w:rFonts w:ascii="Times New Roman" w:hAnsi="Times New Roman"/>
          <w:b/>
          <w:bCs/>
          <w:sz w:val="24"/>
          <w:szCs w:val="24"/>
          <w:lang w:val="fr-FR" w:eastAsia="fr-FR"/>
        </w:rPr>
        <w:t>Réhabilitation du réservoir 2 de Quartier de l'Aéroport</w:t>
      </w:r>
      <w:bookmarkEnd w:id="71"/>
      <w:bookmarkEnd w:id="72"/>
      <w:bookmarkEnd w:id="73"/>
      <w:r w:rsidRPr="005F7D3D">
        <w:rPr>
          <w:rFonts w:ascii="Times New Roman" w:hAnsi="Times New Roman"/>
          <w:b/>
          <w:bCs/>
          <w:sz w:val="24"/>
          <w:szCs w:val="24"/>
          <w:lang w:val="fr-FR" w:eastAsia="fr-FR"/>
        </w:rPr>
        <w:t xml:space="preserve"> </w:t>
      </w:r>
    </w:p>
    <w:tbl>
      <w:tblPr>
        <w:tblW w:w="10657"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81"/>
        <w:gridCol w:w="1939"/>
        <w:gridCol w:w="1628"/>
        <w:gridCol w:w="1978"/>
        <w:gridCol w:w="2531"/>
      </w:tblGrid>
      <w:tr w:rsidR="005505AF" w:rsidRPr="00053C62" w:rsidTr="005F7D3D">
        <w:tc>
          <w:tcPr>
            <w:tcW w:w="2581" w:type="dxa"/>
            <w:shd w:val="clear" w:color="auto" w:fill="F2F2F2" w:themeFill="background1" w:themeFillShade="F2"/>
          </w:tcPr>
          <w:p w:rsidR="005505AF" w:rsidRPr="00053C62" w:rsidRDefault="005505AF" w:rsidP="00210998">
            <w:pPr>
              <w:spacing w:after="0"/>
              <w:ind w:right="60"/>
              <w:jc w:val="both"/>
              <w:rPr>
                <w:rFonts w:ascii="Times New Roman" w:hAnsi="Times New Roman" w:cs="Times New Roman"/>
                <w:sz w:val="24"/>
                <w:szCs w:val="24"/>
              </w:rPr>
            </w:pPr>
            <w:r w:rsidRPr="00053C62">
              <w:rPr>
                <w:rFonts w:ascii="Times New Roman" w:hAnsi="Times New Roman" w:cs="Times New Roman"/>
                <w:sz w:val="24"/>
                <w:szCs w:val="24"/>
              </w:rPr>
              <w:lastRenderedPageBreak/>
              <w:br w:type="page"/>
            </w:r>
            <w:r w:rsidRPr="00053C62">
              <w:rPr>
                <w:rFonts w:ascii="Times New Roman" w:hAnsi="Times New Roman" w:cs="Times New Roman"/>
                <w:b/>
                <w:color w:val="000000"/>
                <w:sz w:val="24"/>
                <w:szCs w:val="24"/>
              </w:rPr>
              <w:t>Composante du projet</w:t>
            </w:r>
          </w:p>
        </w:tc>
        <w:tc>
          <w:tcPr>
            <w:tcW w:w="8076" w:type="dxa"/>
            <w:gridSpan w:val="4"/>
            <w:shd w:val="clear" w:color="auto" w:fill="auto"/>
            <w:vAlign w:val="center"/>
          </w:tcPr>
          <w:p w:rsidR="005505AF" w:rsidRPr="006A22C9" w:rsidRDefault="005505AF" w:rsidP="005F7D3D">
            <w:pPr>
              <w:spacing w:after="0"/>
              <w:ind w:right="60"/>
              <w:jc w:val="center"/>
              <w:rPr>
                <w:rFonts w:ascii="Times New Roman" w:hAnsi="Times New Roman" w:cs="Times New Roman"/>
                <w:b/>
                <w:sz w:val="24"/>
                <w:szCs w:val="24"/>
              </w:rPr>
            </w:pPr>
            <w:r w:rsidRPr="006A22C9">
              <w:rPr>
                <w:rFonts w:ascii="Times New Roman" w:hAnsi="Times New Roman" w:cs="Times New Roman"/>
                <w:b/>
                <w:sz w:val="24"/>
                <w:szCs w:val="24"/>
              </w:rPr>
              <w:t>Réhabilitation du réservoir 2 en béton armé de 100 m3</w:t>
            </w:r>
          </w:p>
        </w:tc>
      </w:tr>
      <w:tr w:rsidR="005505AF" w:rsidRPr="00053C62" w:rsidTr="005F7D3D">
        <w:tc>
          <w:tcPr>
            <w:tcW w:w="2581" w:type="dxa"/>
            <w:shd w:val="clear" w:color="auto" w:fill="F2F2F2" w:themeFill="background1" w:themeFillShade="F2"/>
          </w:tcPr>
          <w:p w:rsidR="005505AF" w:rsidRPr="00053C62" w:rsidRDefault="005505AF" w:rsidP="00210998">
            <w:pPr>
              <w:spacing w:after="0"/>
              <w:ind w:right="60"/>
              <w:jc w:val="both"/>
              <w:rPr>
                <w:rFonts w:ascii="Times New Roman" w:hAnsi="Times New Roman" w:cs="Times New Roman"/>
                <w:b/>
                <w:color w:val="000000"/>
                <w:sz w:val="24"/>
                <w:szCs w:val="24"/>
              </w:rPr>
            </w:pPr>
            <w:r w:rsidRPr="00053C62">
              <w:rPr>
                <w:rFonts w:ascii="Times New Roman" w:hAnsi="Times New Roman" w:cs="Times New Roman"/>
                <w:b/>
                <w:color w:val="000000"/>
                <w:sz w:val="24"/>
                <w:szCs w:val="24"/>
              </w:rPr>
              <w:t>Localités associées</w:t>
            </w:r>
          </w:p>
        </w:tc>
        <w:tc>
          <w:tcPr>
            <w:tcW w:w="8076" w:type="dxa"/>
            <w:gridSpan w:val="4"/>
            <w:shd w:val="clear" w:color="auto" w:fill="auto"/>
            <w:vAlign w:val="center"/>
          </w:tcPr>
          <w:p w:rsidR="005505AF" w:rsidRPr="006A22C9" w:rsidRDefault="005505AF" w:rsidP="005F7D3D">
            <w:pPr>
              <w:spacing w:after="0"/>
              <w:ind w:right="60"/>
              <w:jc w:val="center"/>
              <w:rPr>
                <w:rFonts w:ascii="Times New Roman" w:hAnsi="Times New Roman" w:cs="Times New Roman"/>
                <w:b/>
                <w:sz w:val="24"/>
                <w:szCs w:val="24"/>
              </w:rPr>
            </w:pPr>
            <w:r w:rsidRPr="006A22C9">
              <w:rPr>
                <w:rFonts w:ascii="Times New Roman" w:hAnsi="Times New Roman" w:cs="Times New Roman"/>
                <w:b/>
                <w:color w:val="000000"/>
                <w:sz w:val="24"/>
                <w:szCs w:val="24"/>
              </w:rPr>
              <w:t>Quartier Aéroport : à l’intérieur du Camp Militaire altérite</w:t>
            </w:r>
          </w:p>
        </w:tc>
      </w:tr>
      <w:tr w:rsidR="005505AF" w:rsidRPr="00053C62" w:rsidTr="005F7D3D">
        <w:tc>
          <w:tcPr>
            <w:tcW w:w="4520" w:type="dxa"/>
            <w:gridSpan w:val="2"/>
            <w:vMerge w:val="restart"/>
            <w:shd w:val="clear" w:color="auto" w:fill="FFFFFF" w:themeFill="background1"/>
          </w:tcPr>
          <w:p w:rsidR="005505AF" w:rsidRPr="00053C62" w:rsidRDefault="005505AF" w:rsidP="00210998">
            <w:pPr>
              <w:spacing w:after="0"/>
              <w:ind w:right="60"/>
              <w:jc w:val="both"/>
              <w:rPr>
                <w:rFonts w:ascii="Times New Roman" w:hAnsi="Times New Roman" w:cs="Times New Roman"/>
                <w:sz w:val="24"/>
                <w:szCs w:val="24"/>
              </w:rPr>
            </w:pPr>
          </w:p>
        </w:tc>
        <w:tc>
          <w:tcPr>
            <w:tcW w:w="1628" w:type="dxa"/>
            <w:shd w:val="clear" w:color="auto" w:fill="F2F2F2" w:themeFill="background1" w:themeFillShade="F2"/>
          </w:tcPr>
          <w:p w:rsidR="005505AF" w:rsidRPr="00053C62" w:rsidRDefault="005505AF" w:rsidP="005F7D3D">
            <w:pPr>
              <w:spacing w:after="0"/>
              <w:ind w:right="60"/>
              <w:jc w:val="center"/>
              <w:rPr>
                <w:rFonts w:ascii="Times New Roman" w:hAnsi="Times New Roman" w:cs="Times New Roman"/>
                <w:sz w:val="24"/>
                <w:szCs w:val="24"/>
              </w:rPr>
            </w:pPr>
            <w:r w:rsidRPr="00053C62">
              <w:rPr>
                <w:rFonts w:ascii="Times New Roman" w:hAnsi="Times New Roman" w:cs="Times New Roman"/>
                <w:b/>
                <w:sz w:val="24"/>
                <w:szCs w:val="24"/>
              </w:rPr>
              <w:t>Code GPS</w:t>
            </w:r>
          </w:p>
        </w:tc>
        <w:tc>
          <w:tcPr>
            <w:tcW w:w="1978" w:type="dxa"/>
            <w:shd w:val="clear" w:color="auto" w:fill="F2F2F2" w:themeFill="background1" w:themeFillShade="F2"/>
            <w:vAlign w:val="center"/>
          </w:tcPr>
          <w:p w:rsidR="005505AF" w:rsidRPr="00053C62" w:rsidRDefault="005505AF" w:rsidP="005F7D3D">
            <w:pPr>
              <w:spacing w:after="0"/>
              <w:ind w:right="60"/>
              <w:jc w:val="center"/>
              <w:rPr>
                <w:rFonts w:ascii="Times New Roman" w:hAnsi="Times New Roman" w:cs="Times New Roman"/>
                <w:sz w:val="24"/>
                <w:szCs w:val="24"/>
              </w:rPr>
            </w:pPr>
            <w:r w:rsidRPr="00053C62">
              <w:rPr>
                <w:rFonts w:ascii="Times New Roman" w:hAnsi="Times New Roman" w:cs="Times New Roman"/>
                <w:b/>
                <w:sz w:val="24"/>
                <w:szCs w:val="24"/>
              </w:rPr>
              <w:t>X</w:t>
            </w:r>
          </w:p>
        </w:tc>
        <w:tc>
          <w:tcPr>
            <w:tcW w:w="2531" w:type="dxa"/>
            <w:shd w:val="clear" w:color="auto" w:fill="F2F2F2" w:themeFill="background1" w:themeFillShade="F2"/>
            <w:vAlign w:val="center"/>
          </w:tcPr>
          <w:p w:rsidR="005505AF" w:rsidRPr="00053C62" w:rsidRDefault="005505AF" w:rsidP="005F7D3D">
            <w:pPr>
              <w:spacing w:after="0"/>
              <w:ind w:right="60"/>
              <w:jc w:val="center"/>
              <w:rPr>
                <w:rFonts w:ascii="Times New Roman" w:hAnsi="Times New Roman" w:cs="Times New Roman"/>
                <w:sz w:val="24"/>
                <w:szCs w:val="24"/>
              </w:rPr>
            </w:pPr>
            <w:r w:rsidRPr="00053C62">
              <w:rPr>
                <w:rFonts w:ascii="Times New Roman" w:hAnsi="Times New Roman" w:cs="Times New Roman"/>
                <w:b/>
                <w:sz w:val="24"/>
                <w:szCs w:val="24"/>
              </w:rPr>
              <w:t>Y</w:t>
            </w:r>
          </w:p>
        </w:tc>
      </w:tr>
      <w:tr w:rsidR="005505AF" w:rsidRPr="00053C62" w:rsidTr="005F7D3D">
        <w:tc>
          <w:tcPr>
            <w:tcW w:w="4520" w:type="dxa"/>
            <w:gridSpan w:val="2"/>
            <w:vMerge/>
            <w:shd w:val="clear" w:color="auto" w:fill="FFFFFF" w:themeFill="background1"/>
          </w:tcPr>
          <w:p w:rsidR="005505AF" w:rsidRPr="00053C62" w:rsidRDefault="005505AF" w:rsidP="00210998">
            <w:pPr>
              <w:spacing w:after="0"/>
              <w:ind w:right="60"/>
              <w:jc w:val="both"/>
              <w:rPr>
                <w:rFonts w:ascii="Times New Roman" w:hAnsi="Times New Roman" w:cs="Times New Roman"/>
                <w:sz w:val="24"/>
                <w:szCs w:val="24"/>
              </w:rPr>
            </w:pPr>
          </w:p>
        </w:tc>
        <w:tc>
          <w:tcPr>
            <w:tcW w:w="1628" w:type="dxa"/>
            <w:shd w:val="clear" w:color="auto" w:fill="auto"/>
            <w:vAlign w:val="center"/>
          </w:tcPr>
          <w:p w:rsidR="005505AF" w:rsidRPr="00053C62" w:rsidRDefault="005505AF" w:rsidP="005F7D3D">
            <w:pPr>
              <w:spacing w:after="0"/>
              <w:ind w:right="60"/>
              <w:jc w:val="center"/>
              <w:rPr>
                <w:rFonts w:ascii="Times New Roman" w:hAnsi="Times New Roman" w:cs="Times New Roman"/>
                <w:sz w:val="24"/>
                <w:szCs w:val="24"/>
              </w:rPr>
            </w:pPr>
            <w:r w:rsidRPr="00053C62">
              <w:rPr>
                <w:rFonts w:ascii="Times New Roman" w:hAnsi="Times New Roman" w:cs="Times New Roman"/>
                <w:color w:val="000000"/>
                <w:sz w:val="24"/>
                <w:szCs w:val="24"/>
              </w:rPr>
              <w:t>RE-2</w:t>
            </w:r>
          </w:p>
        </w:tc>
        <w:tc>
          <w:tcPr>
            <w:tcW w:w="1978" w:type="dxa"/>
            <w:shd w:val="clear" w:color="auto" w:fill="auto"/>
            <w:vAlign w:val="center"/>
          </w:tcPr>
          <w:p w:rsidR="005505AF" w:rsidRPr="00053C62" w:rsidRDefault="005505AF" w:rsidP="005F7D3D">
            <w:pPr>
              <w:spacing w:after="0"/>
              <w:ind w:right="60"/>
              <w:jc w:val="center"/>
              <w:rPr>
                <w:rFonts w:ascii="Times New Roman" w:hAnsi="Times New Roman" w:cs="Times New Roman"/>
                <w:sz w:val="24"/>
                <w:szCs w:val="24"/>
              </w:rPr>
            </w:pPr>
            <w:r w:rsidRPr="00053C62">
              <w:rPr>
                <w:rFonts w:ascii="Times New Roman" w:hAnsi="Times New Roman" w:cs="Times New Roman"/>
                <w:color w:val="000000"/>
                <w:sz w:val="24"/>
                <w:szCs w:val="24"/>
              </w:rPr>
              <w:t>428891</w:t>
            </w:r>
          </w:p>
        </w:tc>
        <w:tc>
          <w:tcPr>
            <w:tcW w:w="2531" w:type="dxa"/>
            <w:shd w:val="clear" w:color="auto" w:fill="auto"/>
            <w:vAlign w:val="center"/>
          </w:tcPr>
          <w:p w:rsidR="005505AF" w:rsidRPr="00053C62" w:rsidRDefault="005505AF" w:rsidP="005F7D3D">
            <w:pPr>
              <w:spacing w:after="0"/>
              <w:ind w:right="60"/>
              <w:jc w:val="center"/>
              <w:rPr>
                <w:rFonts w:ascii="Times New Roman" w:hAnsi="Times New Roman" w:cs="Times New Roman"/>
                <w:sz w:val="24"/>
                <w:szCs w:val="24"/>
              </w:rPr>
            </w:pPr>
            <w:r w:rsidRPr="00053C62">
              <w:rPr>
                <w:rFonts w:ascii="Times New Roman" w:hAnsi="Times New Roman" w:cs="Times New Roman"/>
                <w:color w:val="000000"/>
                <w:sz w:val="24"/>
                <w:szCs w:val="24"/>
              </w:rPr>
              <w:t>1313765</w:t>
            </w:r>
          </w:p>
        </w:tc>
      </w:tr>
      <w:tr w:rsidR="005505AF" w:rsidRPr="00053C62" w:rsidTr="005F7D3D">
        <w:tc>
          <w:tcPr>
            <w:tcW w:w="2581" w:type="dxa"/>
            <w:shd w:val="clear" w:color="auto" w:fill="F2F2F2" w:themeFill="background1" w:themeFillShade="F2"/>
            <w:vAlign w:val="center"/>
          </w:tcPr>
          <w:p w:rsidR="005505AF" w:rsidRPr="00053C62" w:rsidRDefault="005505AF" w:rsidP="005F7D3D">
            <w:pPr>
              <w:spacing w:after="0"/>
              <w:ind w:right="60"/>
              <w:jc w:val="center"/>
              <w:rPr>
                <w:rFonts w:ascii="Times New Roman" w:hAnsi="Times New Roman" w:cs="Times New Roman"/>
                <w:sz w:val="24"/>
                <w:szCs w:val="24"/>
              </w:rPr>
            </w:pPr>
            <w:r w:rsidRPr="00053C62">
              <w:rPr>
                <w:rFonts w:ascii="Times New Roman" w:hAnsi="Times New Roman" w:cs="Times New Roman"/>
                <w:b/>
                <w:color w:val="000000"/>
                <w:sz w:val="24"/>
                <w:szCs w:val="24"/>
              </w:rPr>
              <w:t>Caractéristiques (site et réservoir)</w:t>
            </w:r>
          </w:p>
        </w:tc>
        <w:tc>
          <w:tcPr>
            <w:tcW w:w="8076" w:type="dxa"/>
            <w:gridSpan w:val="4"/>
            <w:shd w:val="clear" w:color="auto" w:fill="auto"/>
          </w:tcPr>
          <w:p w:rsidR="005505AF" w:rsidRPr="00053C62" w:rsidRDefault="005505AF" w:rsidP="00210998">
            <w:pPr>
              <w:spacing w:after="0"/>
              <w:ind w:left="80" w:right="60"/>
              <w:jc w:val="both"/>
              <w:rPr>
                <w:rFonts w:ascii="Times New Roman" w:hAnsi="Times New Roman" w:cs="Times New Roman"/>
                <w:sz w:val="24"/>
                <w:szCs w:val="24"/>
              </w:rPr>
            </w:pPr>
            <w:r w:rsidRPr="00053C62">
              <w:rPr>
                <w:rFonts w:ascii="Times New Roman" w:hAnsi="Times New Roman" w:cs="Times New Roman"/>
                <w:sz w:val="24"/>
                <w:szCs w:val="24"/>
              </w:rPr>
              <w:t>C’est un château d’eau de forme circulaire en béton armé de capacité 120 m</w:t>
            </w:r>
            <w:r w:rsidRPr="00053C62">
              <w:rPr>
                <w:rFonts w:ascii="Times New Roman" w:hAnsi="Times New Roman" w:cs="Times New Roman"/>
                <w:sz w:val="24"/>
                <w:szCs w:val="24"/>
                <w:vertAlign w:val="superscript"/>
              </w:rPr>
              <w:t>3</w:t>
            </w:r>
            <w:r w:rsidRPr="00053C62">
              <w:rPr>
                <w:rFonts w:ascii="Times New Roman" w:hAnsi="Times New Roman" w:cs="Times New Roman"/>
                <w:sz w:val="24"/>
                <w:szCs w:val="24"/>
              </w:rPr>
              <w:t xml:space="preserve"> et de hauteur environ 17 m (jupe) + 4,4 m (cuve). La cote du terrain naturel est 35 m, le niveau des PHE sera environ 55,5 m.</w:t>
            </w:r>
          </w:p>
        </w:tc>
      </w:tr>
      <w:tr w:rsidR="005505AF" w:rsidRPr="00053C62" w:rsidTr="005F7D3D">
        <w:tc>
          <w:tcPr>
            <w:tcW w:w="2581" w:type="dxa"/>
            <w:shd w:val="clear" w:color="auto" w:fill="F2F2F2" w:themeFill="background1" w:themeFillShade="F2"/>
            <w:vAlign w:val="center"/>
          </w:tcPr>
          <w:p w:rsidR="005505AF" w:rsidRPr="00053C62" w:rsidRDefault="005505AF" w:rsidP="005F7D3D">
            <w:pPr>
              <w:spacing w:after="0"/>
              <w:ind w:right="60"/>
              <w:jc w:val="center"/>
              <w:rPr>
                <w:rFonts w:ascii="Times New Roman" w:hAnsi="Times New Roman" w:cs="Times New Roman"/>
                <w:b/>
                <w:color w:val="000000"/>
                <w:sz w:val="24"/>
                <w:szCs w:val="24"/>
              </w:rPr>
            </w:pPr>
            <w:r w:rsidRPr="00053C62">
              <w:rPr>
                <w:rFonts w:ascii="Times New Roman" w:hAnsi="Times New Roman" w:cs="Times New Roman"/>
                <w:b/>
                <w:color w:val="000000"/>
                <w:sz w:val="24"/>
                <w:szCs w:val="24"/>
              </w:rPr>
              <w:t>Description du milieu d’influence direct</w:t>
            </w:r>
          </w:p>
        </w:tc>
        <w:tc>
          <w:tcPr>
            <w:tcW w:w="8076" w:type="dxa"/>
            <w:gridSpan w:val="4"/>
            <w:shd w:val="clear" w:color="auto" w:fill="auto"/>
          </w:tcPr>
          <w:p w:rsidR="005505AF" w:rsidRPr="00053C62" w:rsidRDefault="005505AF" w:rsidP="00210998">
            <w:pPr>
              <w:spacing w:after="0"/>
              <w:ind w:right="60"/>
              <w:jc w:val="both"/>
              <w:rPr>
                <w:rFonts w:ascii="Times New Roman" w:hAnsi="Times New Roman" w:cs="Times New Roman"/>
                <w:color w:val="000000"/>
                <w:sz w:val="24"/>
                <w:szCs w:val="24"/>
              </w:rPr>
            </w:pPr>
            <w:r w:rsidRPr="00053C62">
              <w:rPr>
                <w:rFonts w:ascii="Times New Roman" w:hAnsi="Times New Roman" w:cs="Times New Roman"/>
                <w:color w:val="000000"/>
                <w:sz w:val="24"/>
                <w:szCs w:val="24"/>
              </w:rPr>
              <w:t>- Présence d’un recevoir qui ne présente pas de détérioration au niveau de la structure.</w:t>
            </w:r>
          </w:p>
          <w:p w:rsidR="005505AF" w:rsidRPr="00053C62" w:rsidRDefault="005505AF" w:rsidP="00210998">
            <w:pPr>
              <w:spacing w:after="0"/>
              <w:ind w:right="60"/>
              <w:jc w:val="both"/>
              <w:rPr>
                <w:rFonts w:ascii="Times New Roman" w:hAnsi="Times New Roman" w:cs="Times New Roman"/>
                <w:sz w:val="24"/>
                <w:szCs w:val="24"/>
              </w:rPr>
            </w:pPr>
            <w:r w:rsidRPr="00053C62">
              <w:rPr>
                <w:rFonts w:ascii="Times New Roman" w:hAnsi="Times New Roman" w:cs="Times New Roman"/>
                <w:color w:val="000000"/>
                <w:sz w:val="24"/>
                <w:szCs w:val="24"/>
              </w:rPr>
              <w:t>- Aux alentours du site, on note la présence de quelques pieds de manguiers adultes et le bâtiment qui abritait les équipements du réservoir suivi de locaux d’habitation.</w:t>
            </w:r>
          </w:p>
        </w:tc>
      </w:tr>
      <w:tr w:rsidR="005505AF" w:rsidRPr="00053C62" w:rsidTr="00210998">
        <w:tc>
          <w:tcPr>
            <w:tcW w:w="10657" w:type="dxa"/>
            <w:gridSpan w:val="5"/>
            <w:shd w:val="clear" w:color="auto" w:fill="auto"/>
          </w:tcPr>
          <w:p w:rsidR="005505AF" w:rsidRPr="00053C62" w:rsidRDefault="00EE0400" w:rsidP="005F7D3D">
            <w:pPr>
              <w:spacing w:after="0"/>
              <w:jc w:val="center"/>
              <w:rPr>
                <w:rFonts w:ascii="Times New Roman" w:hAnsi="Times New Roman" w:cs="Times New Roman"/>
                <w:color w:val="000000"/>
                <w:sz w:val="24"/>
                <w:szCs w:val="24"/>
              </w:rPr>
            </w:pPr>
            <w:bookmarkStart w:id="74" w:name="_Toc32512054"/>
            <w:r w:rsidRPr="00770F4C">
              <w:rPr>
                <w:rFonts w:ascii="Times New Roman" w:hAnsi="Times New Roman" w:cs="Times New Roman"/>
                <w:b/>
                <w:sz w:val="24"/>
                <w:szCs w:val="24"/>
              </w:rPr>
              <w:t xml:space="preserve">Photo </w:t>
            </w:r>
            <w:r w:rsidRPr="00770F4C">
              <w:rPr>
                <w:rFonts w:ascii="Times New Roman" w:hAnsi="Times New Roman" w:cs="Times New Roman"/>
                <w:b/>
                <w:sz w:val="24"/>
                <w:szCs w:val="24"/>
              </w:rPr>
              <w:fldChar w:fldCharType="begin"/>
            </w:r>
            <w:r w:rsidRPr="00770F4C">
              <w:rPr>
                <w:rFonts w:ascii="Times New Roman" w:hAnsi="Times New Roman" w:cs="Times New Roman"/>
                <w:b/>
                <w:sz w:val="24"/>
                <w:szCs w:val="24"/>
              </w:rPr>
              <w:instrText xml:space="preserve"> SEQ PHOTO \* ARABIC </w:instrText>
            </w:r>
            <w:r w:rsidRPr="00770F4C">
              <w:rPr>
                <w:rFonts w:ascii="Times New Roman" w:hAnsi="Times New Roman" w:cs="Times New Roman"/>
                <w:b/>
                <w:sz w:val="24"/>
                <w:szCs w:val="24"/>
              </w:rPr>
              <w:fldChar w:fldCharType="separate"/>
            </w:r>
            <w:r w:rsidR="002C6E60">
              <w:rPr>
                <w:rFonts w:ascii="Times New Roman" w:hAnsi="Times New Roman" w:cs="Times New Roman"/>
                <w:b/>
                <w:noProof/>
                <w:sz w:val="24"/>
                <w:szCs w:val="24"/>
              </w:rPr>
              <w:t>3</w:t>
            </w:r>
            <w:r w:rsidRPr="00770F4C">
              <w:rPr>
                <w:rFonts w:ascii="Times New Roman" w:hAnsi="Times New Roman" w:cs="Times New Roman"/>
                <w:b/>
                <w:sz w:val="24"/>
                <w:szCs w:val="24"/>
              </w:rPr>
              <w:fldChar w:fldCharType="end"/>
            </w:r>
            <w:r w:rsidRPr="00770F4C">
              <w:rPr>
                <w:rFonts w:ascii="Times New Roman" w:hAnsi="Times New Roman" w:cs="Times New Roman"/>
                <w:b/>
                <w:sz w:val="24"/>
                <w:szCs w:val="24"/>
              </w:rPr>
              <w:t xml:space="preserve"> : </w:t>
            </w:r>
            <w:r w:rsidR="005505AF" w:rsidRPr="00053C62">
              <w:rPr>
                <w:rFonts w:ascii="Times New Roman" w:hAnsi="Times New Roman" w:cs="Times New Roman"/>
                <w:b/>
                <w:color w:val="000000"/>
                <w:sz w:val="24"/>
                <w:szCs w:val="24"/>
              </w:rPr>
              <w:t>Photos Illustrations</w:t>
            </w:r>
            <w:r>
              <w:rPr>
                <w:rFonts w:ascii="Times New Roman" w:hAnsi="Times New Roman" w:cs="Times New Roman"/>
                <w:b/>
                <w:color w:val="000000"/>
                <w:sz w:val="24"/>
                <w:szCs w:val="24"/>
              </w:rPr>
              <w:t xml:space="preserve"> </w:t>
            </w:r>
            <w:r w:rsidRPr="00EE0400">
              <w:rPr>
                <w:rFonts w:ascii="Times New Roman" w:hAnsi="Times New Roman" w:cs="Times New Roman"/>
                <w:b/>
                <w:color w:val="000000"/>
                <w:sz w:val="24"/>
                <w:szCs w:val="24"/>
              </w:rPr>
              <w:t>du réservoir 2 - quartier Aéroport</w:t>
            </w:r>
            <w:bookmarkEnd w:id="74"/>
          </w:p>
        </w:tc>
      </w:tr>
      <w:tr w:rsidR="005505AF" w:rsidRPr="00053C62" w:rsidTr="00210998">
        <w:tc>
          <w:tcPr>
            <w:tcW w:w="10657" w:type="dxa"/>
            <w:gridSpan w:val="5"/>
            <w:shd w:val="clear" w:color="auto" w:fill="auto"/>
          </w:tcPr>
          <w:p w:rsidR="005505AF" w:rsidRPr="00053C62" w:rsidRDefault="005505AF" w:rsidP="00210998">
            <w:pPr>
              <w:spacing w:after="0"/>
              <w:ind w:right="60"/>
              <w:jc w:val="both"/>
              <w:rPr>
                <w:rFonts w:ascii="Times New Roman" w:hAnsi="Times New Roman" w:cs="Times New Roman"/>
                <w:color w:val="000000"/>
                <w:sz w:val="24"/>
                <w:szCs w:val="24"/>
              </w:rPr>
            </w:pPr>
            <w:r w:rsidRPr="00053C62">
              <w:rPr>
                <w:rFonts w:ascii="Times New Roman" w:hAnsi="Times New Roman" w:cs="Times New Roman"/>
                <w:noProof/>
                <w:color w:val="000000"/>
                <w:sz w:val="24"/>
                <w:szCs w:val="24"/>
                <w:lang w:eastAsia="fr-FR"/>
              </w:rPr>
              <w:t xml:space="preserve"> </w:t>
            </w:r>
            <w:r w:rsidRPr="00053C62">
              <w:rPr>
                <w:rFonts w:ascii="Times New Roman" w:hAnsi="Times New Roman" w:cs="Times New Roman"/>
                <w:noProof/>
                <w:color w:val="000000"/>
                <w:sz w:val="24"/>
                <w:szCs w:val="24"/>
                <w:lang w:val="pt-PT" w:eastAsia="pt-PT"/>
              </w:rPr>
              <w:drawing>
                <wp:inline distT="0" distB="0" distL="0" distR="0" wp14:anchorId="5D42DB82" wp14:editId="68EBDFF1">
                  <wp:extent cx="1672590" cy="1572895"/>
                  <wp:effectExtent l="0" t="0" r="3810" b="8255"/>
                  <wp:docPr id="464" name="Image 464" descr="IMG_15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G_1596"/>
                          <pic:cNvPicPr>
                            <a:picLocks noChangeAspect="1" noChangeArrowheads="1"/>
                          </pic:cNvPicPr>
                        </pic:nvPicPr>
                        <pic:blipFill>
                          <a:blip r:embed="rId48" cstate="email">
                            <a:extLst>
                              <a:ext uri="{28A0092B-C50C-407E-A947-70E740481C1C}">
                                <a14:useLocalDpi xmlns:a14="http://schemas.microsoft.com/office/drawing/2010/main"/>
                              </a:ext>
                            </a:extLst>
                          </a:blip>
                          <a:srcRect/>
                          <a:stretch>
                            <a:fillRect/>
                          </a:stretch>
                        </pic:blipFill>
                        <pic:spPr bwMode="auto">
                          <a:xfrm>
                            <a:off x="0" y="0"/>
                            <a:ext cx="1672590" cy="1572895"/>
                          </a:xfrm>
                          <a:prstGeom prst="rect">
                            <a:avLst/>
                          </a:prstGeom>
                          <a:noFill/>
                          <a:ln>
                            <a:noFill/>
                          </a:ln>
                        </pic:spPr>
                      </pic:pic>
                    </a:graphicData>
                  </a:graphic>
                </wp:inline>
              </w:drawing>
            </w:r>
            <w:r w:rsidRPr="00053C62">
              <w:rPr>
                <w:rFonts w:ascii="Times New Roman" w:hAnsi="Times New Roman" w:cs="Times New Roman"/>
                <w:noProof/>
                <w:color w:val="000000"/>
                <w:sz w:val="24"/>
                <w:szCs w:val="24"/>
                <w:lang w:val="pt-PT" w:eastAsia="pt-PT"/>
              </w:rPr>
              <w:drawing>
                <wp:inline distT="0" distB="0" distL="0" distR="0" wp14:anchorId="3BFB18F6" wp14:editId="2AF96B3D">
                  <wp:extent cx="2504440" cy="1558290"/>
                  <wp:effectExtent l="0" t="0" r="0" b="3810"/>
                  <wp:docPr id="457" name="Image 457" descr="IMG_16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IMG_1604"/>
                          <pic:cNvPicPr>
                            <a:picLocks noChangeAspect="1" noChangeArrowheads="1"/>
                          </pic:cNvPicPr>
                        </pic:nvPicPr>
                        <pic:blipFill>
                          <a:blip r:embed="rId49" cstate="email">
                            <a:extLst>
                              <a:ext uri="{28A0092B-C50C-407E-A947-70E740481C1C}">
                                <a14:useLocalDpi xmlns:a14="http://schemas.microsoft.com/office/drawing/2010/main"/>
                              </a:ext>
                            </a:extLst>
                          </a:blip>
                          <a:srcRect/>
                          <a:stretch>
                            <a:fillRect/>
                          </a:stretch>
                        </pic:blipFill>
                        <pic:spPr bwMode="auto">
                          <a:xfrm>
                            <a:off x="0" y="0"/>
                            <a:ext cx="2504440" cy="1558290"/>
                          </a:xfrm>
                          <a:prstGeom prst="rect">
                            <a:avLst/>
                          </a:prstGeom>
                          <a:noFill/>
                          <a:ln>
                            <a:noFill/>
                          </a:ln>
                        </pic:spPr>
                      </pic:pic>
                    </a:graphicData>
                  </a:graphic>
                </wp:inline>
              </w:drawing>
            </w:r>
            <w:r w:rsidRPr="00053C62">
              <w:rPr>
                <w:rFonts w:ascii="Times New Roman" w:hAnsi="Times New Roman" w:cs="Times New Roman"/>
                <w:noProof/>
                <w:color w:val="000000"/>
                <w:sz w:val="24"/>
                <w:szCs w:val="24"/>
                <w:lang w:val="pt-PT" w:eastAsia="pt-PT"/>
              </w:rPr>
              <w:drawing>
                <wp:inline distT="0" distB="0" distL="0" distR="0" wp14:anchorId="3D93BCC8" wp14:editId="67BE1248">
                  <wp:extent cx="1604010" cy="1570990"/>
                  <wp:effectExtent l="0" t="0" r="0" b="0"/>
                  <wp:docPr id="463" name="Image 463" descr="IMG_15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G_1595"/>
                          <pic:cNvPicPr>
                            <a:picLocks noChangeAspect="1" noChangeArrowheads="1"/>
                          </pic:cNvPicPr>
                        </pic:nvPicPr>
                        <pic:blipFill>
                          <a:blip r:embed="rId50" cstate="email">
                            <a:extLst>
                              <a:ext uri="{28A0092B-C50C-407E-A947-70E740481C1C}">
                                <a14:useLocalDpi xmlns:a14="http://schemas.microsoft.com/office/drawing/2010/main"/>
                              </a:ext>
                            </a:extLst>
                          </a:blip>
                          <a:srcRect/>
                          <a:stretch>
                            <a:fillRect/>
                          </a:stretch>
                        </pic:blipFill>
                        <pic:spPr bwMode="auto">
                          <a:xfrm>
                            <a:off x="0" y="0"/>
                            <a:ext cx="1604010" cy="1570990"/>
                          </a:xfrm>
                          <a:prstGeom prst="rect">
                            <a:avLst/>
                          </a:prstGeom>
                          <a:noFill/>
                          <a:ln>
                            <a:noFill/>
                          </a:ln>
                        </pic:spPr>
                      </pic:pic>
                    </a:graphicData>
                  </a:graphic>
                </wp:inline>
              </w:drawing>
            </w:r>
          </w:p>
        </w:tc>
      </w:tr>
      <w:tr w:rsidR="005505AF" w:rsidRPr="00053C62" w:rsidTr="00210998">
        <w:tc>
          <w:tcPr>
            <w:tcW w:w="10657" w:type="dxa"/>
            <w:gridSpan w:val="5"/>
            <w:shd w:val="clear" w:color="auto" w:fill="auto"/>
          </w:tcPr>
          <w:p w:rsidR="005505AF" w:rsidRPr="00053C62" w:rsidRDefault="00833733" w:rsidP="005F7D3D">
            <w:pPr>
              <w:spacing w:after="0"/>
              <w:ind w:right="60"/>
              <w:jc w:val="center"/>
              <w:rPr>
                <w:rFonts w:ascii="Times New Roman" w:hAnsi="Times New Roman" w:cs="Times New Roman"/>
                <w:noProof/>
                <w:color w:val="000000"/>
                <w:sz w:val="24"/>
                <w:szCs w:val="24"/>
                <w:lang w:eastAsia="fr-FR"/>
              </w:rPr>
            </w:pPr>
            <w:r w:rsidRPr="0047697F">
              <w:rPr>
                <w:rFonts w:ascii="Times New Roman" w:hAnsi="Times New Roman" w:cs="Times New Roman"/>
                <w:b/>
              </w:rPr>
              <w:t xml:space="preserve">Carte </w:t>
            </w:r>
            <w:r w:rsidRPr="0047697F">
              <w:rPr>
                <w:rFonts w:ascii="Times New Roman" w:hAnsi="Times New Roman" w:cs="Times New Roman"/>
                <w:b/>
              </w:rPr>
              <w:fldChar w:fldCharType="begin"/>
            </w:r>
            <w:r w:rsidRPr="0047697F">
              <w:rPr>
                <w:rFonts w:ascii="Times New Roman" w:hAnsi="Times New Roman" w:cs="Times New Roman"/>
                <w:b/>
              </w:rPr>
              <w:instrText xml:space="preserve"> SEQ Carte \* ARABIC </w:instrText>
            </w:r>
            <w:r w:rsidRPr="0047697F">
              <w:rPr>
                <w:rFonts w:ascii="Times New Roman" w:hAnsi="Times New Roman" w:cs="Times New Roman"/>
                <w:b/>
              </w:rPr>
              <w:fldChar w:fldCharType="separate"/>
            </w:r>
            <w:r w:rsidR="002C6E60">
              <w:rPr>
                <w:rFonts w:ascii="Times New Roman" w:hAnsi="Times New Roman" w:cs="Times New Roman"/>
                <w:b/>
                <w:noProof/>
              </w:rPr>
              <w:t>6</w:t>
            </w:r>
            <w:r w:rsidRPr="0047697F">
              <w:rPr>
                <w:rFonts w:ascii="Times New Roman" w:hAnsi="Times New Roman" w:cs="Times New Roman"/>
                <w:b/>
              </w:rPr>
              <w:fldChar w:fldCharType="end"/>
            </w:r>
            <w:r w:rsidRPr="0047697F">
              <w:rPr>
                <w:rFonts w:ascii="Times New Roman" w:hAnsi="Times New Roman" w:cs="Times New Roman"/>
                <w:b/>
              </w:rPr>
              <w:t xml:space="preserve">: </w:t>
            </w:r>
            <w:r w:rsidR="005505AF" w:rsidRPr="00053C62">
              <w:rPr>
                <w:rFonts w:ascii="Times New Roman" w:eastAsia="Arial" w:hAnsi="Times New Roman" w:cs="Times New Roman"/>
                <w:b/>
                <w:sz w:val="24"/>
                <w:szCs w:val="24"/>
              </w:rPr>
              <w:t>Carte de localisation du réservoir 2 - quartier Aéroport</w:t>
            </w:r>
          </w:p>
        </w:tc>
      </w:tr>
      <w:tr w:rsidR="005505AF" w:rsidRPr="00053C62" w:rsidTr="00210998">
        <w:tc>
          <w:tcPr>
            <w:tcW w:w="10657" w:type="dxa"/>
            <w:gridSpan w:val="5"/>
            <w:shd w:val="clear" w:color="auto" w:fill="auto"/>
          </w:tcPr>
          <w:p w:rsidR="005505AF" w:rsidRPr="00053C62" w:rsidRDefault="005505AF" w:rsidP="00210998">
            <w:pPr>
              <w:spacing w:after="0"/>
              <w:ind w:right="60"/>
              <w:jc w:val="both"/>
              <w:rPr>
                <w:rFonts w:ascii="Times New Roman" w:hAnsi="Times New Roman" w:cs="Times New Roman"/>
                <w:sz w:val="24"/>
                <w:szCs w:val="24"/>
              </w:rPr>
            </w:pPr>
            <w:r w:rsidRPr="00053C62">
              <w:rPr>
                <w:rFonts w:ascii="Times New Roman" w:hAnsi="Times New Roman" w:cs="Times New Roman"/>
                <w:noProof/>
                <w:sz w:val="24"/>
                <w:szCs w:val="24"/>
                <w:lang w:val="pt-PT" w:eastAsia="pt-PT"/>
              </w:rPr>
              <w:drawing>
                <wp:inline distT="0" distB="0" distL="0" distR="0" wp14:anchorId="01D034E5" wp14:editId="2B89D56A">
                  <wp:extent cx="6591935" cy="4277995"/>
                  <wp:effectExtent l="0" t="0" r="0" b="8255"/>
                  <wp:docPr id="456" name="Image 456" descr="2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2222"/>
                          <pic:cNvPicPr>
                            <a:picLocks noChangeAspect="1" noChangeArrowheads="1"/>
                          </pic:cNvPicPr>
                        </pic:nvPicPr>
                        <pic:blipFill>
                          <a:blip r:embed="rId51" cstate="email">
                            <a:extLst>
                              <a:ext uri="{28A0092B-C50C-407E-A947-70E740481C1C}">
                                <a14:useLocalDpi xmlns:a14="http://schemas.microsoft.com/office/drawing/2010/main"/>
                              </a:ext>
                            </a:extLst>
                          </a:blip>
                          <a:srcRect/>
                          <a:stretch>
                            <a:fillRect/>
                          </a:stretch>
                        </pic:blipFill>
                        <pic:spPr bwMode="auto">
                          <a:xfrm>
                            <a:off x="0" y="0"/>
                            <a:ext cx="6591935" cy="4277995"/>
                          </a:xfrm>
                          <a:prstGeom prst="rect">
                            <a:avLst/>
                          </a:prstGeom>
                          <a:noFill/>
                          <a:ln>
                            <a:noFill/>
                          </a:ln>
                        </pic:spPr>
                      </pic:pic>
                    </a:graphicData>
                  </a:graphic>
                </wp:inline>
              </w:drawing>
            </w:r>
          </w:p>
        </w:tc>
      </w:tr>
    </w:tbl>
    <w:p w:rsidR="005505AF" w:rsidRPr="00053C62" w:rsidRDefault="005505AF" w:rsidP="005505AF">
      <w:pPr>
        <w:pStyle w:val="Textodecomentrio"/>
        <w:ind w:left="1068"/>
        <w:rPr>
          <w:rFonts w:ascii="Times New Roman" w:hAnsi="Times New Roman"/>
          <w:sz w:val="24"/>
          <w:szCs w:val="24"/>
        </w:rPr>
      </w:pPr>
    </w:p>
    <w:p w:rsidR="005505AF" w:rsidRPr="005F7D3D" w:rsidRDefault="005505AF" w:rsidP="00FA3FAE">
      <w:pPr>
        <w:pStyle w:val="PargrafodaLista"/>
        <w:numPr>
          <w:ilvl w:val="2"/>
          <w:numId w:val="219"/>
        </w:numPr>
        <w:spacing w:after="0" w:line="240" w:lineRule="auto"/>
        <w:contextualSpacing w:val="0"/>
        <w:jc w:val="both"/>
        <w:outlineLvl w:val="2"/>
        <w:rPr>
          <w:rFonts w:ascii="Times New Roman" w:hAnsi="Times New Roman"/>
          <w:b/>
          <w:bCs/>
          <w:sz w:val="24"/>
          <w:szCs w:val="24"/>
          <w:lang w:val="fr-FR" w:eastAsia="fr-FR"/>
        </w:rPr>
      </w:pPr>
      <w:bookmarkStart w:id="75" w:name="_Toc20820264"/>
      <w:bookmarkStart w:id="76" w:name="_Toc21355384"/>
      <w:bookmarkStart w:id="77" w:name="_Toc51072517"/>
      <w:r w:rsidRPr="005F7D3D">
        <w:rPr>
          <w:rFonts w:ascii="Times New Roman" w:hAnsi="Times New Roman"/>
          <w:b/>
          <w:bCs/>
          <w:sz w:val="24"/>
          <w:szCs w:val="24"/>
          <w:lang w:val="fr-FR" w:eastAsia="fr-FR"/>
        </w:rPr>
        <w:t>Construction de nouveau réservoir de Bôr</w:t>
      </w:r>
      <w:bookmarkEnd w:id="75"/>
      <w:bookmarkEnd w:id="76"/>
      <w:bookmarkEnd w:id="77"/>
    </w:p>
    <w:tbl>
      <w:tblPr>
        <w:tblW w:w="10658"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81"/>
        <w:gridCol w:w="2254"/>
        <w:gridCol w:w="1638"/>
        <w:gridCol w:w="1808"/>
        <w:gridCol w:w="2377"/>
      </w:tblGrid>
      <w:tr w:rsidR="005505AF" w:rsidRPr="00053C62" w:rsidTr="005F7D3D">
        <w:tc>
          <w:tcPr>
            <w:tcW w:w="2581" w:type="dxa"/>
            <w:shd w:val="clear" w:color="auto" w:fill="F2F2F2" w:themeFill="background1" w:themeFillShade="F2"/>
          </w:tcPr>
          <w:p w:rsidR="005505AF" w:rsidRPr="00053C62" w:rsidRDefault="005505AF" w:rsidP="00210998">
            <w:pPr>
              <w:spacing w:after="0"/>
              <w:ind w:right="60"/>
              <w:jc w:val="both"/>
              <w:rPr>
                <w:rFonts w:ascii="Times New Roman" w:hAnsi="Times New Roman" w:cs="Times New Roman"/>
                <w:sz w:val="24"/>
                <w:szCs w:val="24"/>
              </w:rPr>
            </w:pPr>
            <w:r w:rsidRPr="00053C62">
              <w:rPr>
                <w:rFonts w:ascii="Times New Roman" w:hAnsi="Times New Roman" w:cs="Times New Roman"/>
                <w:sz w:val="24"/>
                <w:szCs w:val="24"/>
              </w:rPr>
              <w:lastRenderedPageBreak/>
              <w:br w:type="page"/>
            </w:r>
            <w:r w:rsidRPr="00053C62">
              <w:rPr>
                <w:rFonts w:ascii="Times New Roman" w:hAnsi="Times New Roman" w:cs="Times New Roman"/>
                <w:b/>
                <w:color w:val="000000"/>
                <w:sz w:val="24"/>
                <w:szCs w:val="24"/>
              </w:rPr>
              <w:t>Composante du projet</w:t>
            </w:r>
          </w:p>
        </w:tc>
        <w:tc>
          <w:tcPr>
            <w:tcW w:w="8077" w:type="dxa"/>
            <w:gridSpan w:val="4"/>
            <w:shd w:val="clear" w:color="auto" w:fill="auto"/>
            <w:vAlign w:val="center"/>
          </w:tcPr>
          <w:p w:rsidR="005505AF" w:rsidRPr="006A22C9" w:rsidRDefault="005505AF" w:rsidP="005F7D3D">
            <w:pPr>
              <w:spacing w:after="0"/>
              <w:ind w:right="60"/>
              <w:jc w:val="center"/>
              <w:rPr>
                <w:rFonts w:ascii="Times New Roman" w:hAnsi="Times New Roman" w:cs="Times New Roman"/>
                <w:b/>
                <w:sz w:val="24"/>
                <w:szCs w:val="24"/>
              </w:rPr>
            </w:pPr>
            <w:r w:rsidRPr="006A22C9">
              <w:rPr>
                <w:rFonts w:ascii="Times New Roman" w:hAnsi="Times New Roman" w:cs="Times New Roman"/>
                <w:b/>
                <w:sz w:val="24"/>
                <w:szCs w:val="24"/>
              </w:rPr>
              <w:t>Construction d'un réservoir de 300 m3</w:t>
            </w:r>
          </w:p>
        </w:tc>
      </w:tr>
      <w:tr w:rsidR="005505AF" w:rsidRPr="00053C62" w:rsidTr="005F7D3D">
        <w:tc>
          <w:tcPr>
            <w:tcW w:w="2581" w:type="dxa"/>
            <w:shd w:val="clear" w:color="auto" w:fill="F2F2F2" w:themeFill="background1" w:themeFillShade="F2"/>
          </w:tcPr>
          <w:p w:rsidR="005505AF" w:rsidRPr="00053C62" w:rsidRDefault="005505AF" w:rsidP="00210998">
            <w:pPr>
              <w:spacing w:after="0"/>
              <w:ind w:right="60"/>
              <w:jc w:val="both"/>
              <w:rPr>
                <w:rFonts w:ascii="Times New Roman" w:hAnsi="Times New Roman" w:cs="Times New Roman"/>
                <w:b/>
                <w:color w:val="000000"/>
                <w:sz w:val="24"/>
                <w:szCs w:val="24"/>
              </w:rPr>
            </w:pPr>
            <w:r w:rsidRPr="00053C62">
              <w:rPr>
                <w:rFonts w:ascii="Times New Roman" w:hAnsi="Times New Roman" w:cs="Times New Roman"/>
                <w:b/>
                <w:color w:val="000000"/>
                <w:sz w:val="24"/>
                <w:szCs w:val="24"/>
              </w:rPr>
              <w:t>Localités associées</w:t>
            </w:r>
          </w:p>
        </w:tc>
        <w:tc>
          <w:tcPr>
            <w:tcW w:w="8077" w:type="dxa"/>
            <w:gridSpan w:val="4"/>
            <w:shd w:val="clear" w:color="auto" w:fill="auto"/>
            <w:vAlign w:val="center"/>
          </w:tcPr>
          <w:p w:rsidR="005505AF" w:rsidRPr="006A22C9" w:rsidRDefault="005505AF" w:rsidP="005F7D3D">
            <w:pPr>
              <w:spacing w:after="0"/>
              <w:ind w:right="60"/>
              <w:jc w:val="center"/>
              <w:rPr>
                <w:rFonts w:ascii="Times New Roman" w:hAnsi="Times New Roman" w:cs="Times New Roman"/>
                <w:b/>
                <w:sz w:val="24"/>
                <w:szCs w:val="24"/>
              </w:rPr>
            </w:pPr>
            <w:r w:rsidRPr="006A22C9">
              <w:rPr>
                <w:rFonts w:ascii="Times New Roman" w:hAnsi="Times New Roman" w:cs="Times New Roman"/>
                <w:b/>
                <w:color w:val="000000"/>
                <w:sz w:val="24"/>
                <w:szCs w:val="24"/>
              </w:rPr>
              <w:t>BOR</w:t>
            </w:r>
          </w:p>
        </w:tc>
      </w:tr>
      <w:tr w:rsidR="005505AF" w:rsidRPr="00053C62" w:rsidTr="005F7D3D">
        <w:tc>
          <w:tcPr>
            <w:tcW w:w="4835" w:type="dxa"/>
            <w:gridSpan w:val="2"/>
            <w:vMerge w:val="restart"/>
            <w:shd w:val="clear" w:color="auto" w:fill="F2F2F2" w:themeFill="background1" w:themeFillShade="F2"/>
          </w:tcPr>
          <w:p w:rsidR="005505AF" w:rsidRPr="00053C62" w:rsidRDefault="005505AF" w:rsidP="00210998">
            <w:pPr>
              <w:spacing w:after="0"/>
              <w:ind w:right="60"/>
              <w:jc w:val="both"/>
              <w:rPr>
                <w:rFonts w:ascii="Times New Roman" w:hAnsi="Times New Roman" w:cs="Times New Roman"/>
                <w:sz w:val="24"/>
                <w:szCs w:val="24"/>
              </w:rPr>
            </w:pPr>
          </w:p>
        </w:tc>
        <w:tc>
          <w:tcPr>
            <w:tcW w:w="1638" w:type="dxa"/>
            <w:shd w:val="clear" w:color="auto" w:fill="F2F2F2" w:themeFill="background1" w:themeFillShade="F2"/>
          </w:tcPr>
          <w:p w:rsidR="005505AF" w:rsidRPr="00053C62" w:rsidRDefault="005505AF" w:rsidP="005F7D3D">
            <w:pPr>
              <w:spacing w:after="0"/>
              <w:ind w:right="60"/>
              <w:jc w:val="center"/>
              <w:rPr>
                <w:rFonts w:ascii="Times New Roman" w:hAnsi="Times New Roman" w:cs="Times New Roman"/>
                <w:sz w:val="24"/>
                <w:szCs w:val="24"/>
              </w:rPr>
            </w:pPr>
            <w:r w:rsidRPr="00053C62">
              <w:rPr>
                <w:rFonts w:ascii="Times New Roman" w:hAnsi="Times New Roman" w:cs="Times New Roman"/>
                <w:b/>
                <w:sz w:val="24"/>
                <w:szCs w:val="24"/>
              </w:rPr>
              <w:t>Code GPS</w:t>
            </w:r>
          </w:p>
        </w:tc>
        <w:tc>
          <w:tcPr>
            <w:tcW w:w="1808" w:type="dxa"/>
            <w:shd w:val="clear" w:color="auto" w:fill="F2F2F2" w:themeFill="background1" w:themeFillShade="F2"/>
            <w:vAlign w:val="center"/>
          </w:tcPr>
          <w:p w:rsidR="005505AF" w:rsidRPr="00053C62" w:rsidRDefault="005505AF" w:rsidP="005F7D3D">
            <w:pPr>
              <w:spacing w:after="0"/>
              <w:ind w:right="60"/>
              <w:jc w:val="center"/>
              <w:rPr>
                <w:rFonts w:ascii="Times New Roman" w:hAnsi="Times New Roman" w:cs="Times New Roman"/>
                <w:sz w:val="24"/>
                <w:szCs w:val="24"/>
              </w:rPr>
            </w:pPr>
            <w:r w:rsidRPr="00053C62">
              <w:rPr>
                <w:rFonts w:ascii="Times New Roman" w:hAnsi="Times New Roman" w:cs="Times New Roman"/>
                <w:b/>
                <w:sz w:val="24"/>
                <w:szCs w:val="24"/>
              </w:rPr>
              <w:t>X</w:t>
            </w:r>
          </w:p>
        </w:tc>
        <w:tc>
          <w:tcPr>
            <w:tcW w:w="2377" w:type="dxa"/>
            <w:shd w:val="clear" w:color="auto" w:fill="F2F2F2" w:themeFill="background1" w:themeFillShade="F2"/>
            <w:vAlign w:val="center"/>
          </w:tcPr>
          <w:p w:rsidR="005505AF" w:rsidRPr="00053C62" w:rsidRDefault="005505AF" w:rsidP="005F7D3D">
            <w:pPr>
              <w:spacing w:after="0"/>
              <w:ind w:right="60"/>
              <w:jc w:val="center"/>
              <w:rPr>
                <w:rFonts w:ascii="Times New Roman" w:hAnsi="Times New Roman" w:cs="Times New Roman"/>
                <w:sz w:val="24"/>
                <w:szCs w:val="24"/>
              </w:rPr>
            </w:pPr>
            <w:r w:rsidRPr="00053C62">
              <w:rPr>
                <w:rFonts w:ascii="Times New Roman" w:hAnsi="Times New Roman" w:cs="Times New Roman"/>
                <w:b/>
                <w:sz w:val="24"/>
                <w:szCs w:val="24"/>
              </w:rPr>
              <w:t>Y</w:t>
            </w:r>
          </w:p>
        </w:tc>
      </w:tr>
      <w:tr w:rsidR="005505AF" w:rsidRPr="00053C62" w:rsidTr="005F7D3D">
        <w:tc>
          <w:tcPr>
            <w:tcW w:w="4835" w:type="dxa"/>
            <w:gridSpan w:val="2"/>
            <w:vMerge/>
            <w:shd w:val="clear" w:color="auto" w:fill="F2F2F2" w:themeFill="background1" w:themeFillShade="F2"/>
          </w:tcPr>
          <w:p w:rsidR="005505AF" w:rsidRPr="00053C62" w:rsidRDefault="005505AF" w:rsidP="00210998">
            <w:pPr>
              <w:spacing w:after="0"/>
              <w:ind w:right="60"/>
              <w:jc w:val="both"/>
              <w:rPr>
                <w:rFonts w:ascii="Times New Roman" w:hAnsi="Times New Roman" w:cs="Times New Roman"/>
                <w:sz w:val="24"/>
                <w:szCs w:val="24"/>
              </w:rPr>
            </w:pPr>
          </w:p>
        </w:tc>
        <w:tc>
          <w:tcPr>
            <w:tcW w:w="1638" w:type="dxa"/>
            <w:shd w:val="clear" w:color="auto" w:fill="auto"/>
            <w:vAlign w:val="center"/>
          </w:tcPr>
          <w:p w:rsidR="005505AF" w:rsidRPr="00053C62" w:rsidRDefault="005505AF" w:rsidP="005F7D3D">
            <w:pPr>
              <w:spacing w:after="0"/>
              <w:ind w:right="60"/>
              <w:jc w:val="center"/>
              <w:rPr>
                <w:rFonts w:ascii="Times New Roman" w:hAnsi="Times New Roman" w:cs="Times New Roman"/>
                <w:sz w:val="24"/>
                <w:szCs w:val="24"/>
              </w:rPr>
            </w:pPr>
            <w:r w:rsidRPr="00053C62">
              <w:rPr>
                <w:rFonts w:ascii="Times New Roman" w:hAnsi="Times New Roman" w:cs="Times New Roman"/>
                <w:color w:val="000000"/>
                <w:sz w:val="24"/>
                <w:szCs w:val="24"/>
              </w:rPr>
              <w:t>RE-3</w:t>
            </w:r>
          </w:p>
        </w:tc>
        <w:tc>
          <w:tcPr>
            <w:tcW w:w="1808" w:type="dxa"/>
            <w:shd w:val="clear" w:color="auto" w:fill="auto"/>
            <w:vAlign w:val="center"/>
          </w:tcPr>
          <w:p w:rsidR="005505AF" w:rsidRPr="00053C62" w:rsidRDefault="005505AF" w:rsidP="005F7D3D">
            <w:pPr>
              <w:spacing w:after="0"/>
              <w:ind w:right="60"/>
              <w:jc w:val="center"/>
              <w:rPr>
                <w:rFonts w:ascii="Times New Roman" w:hAnsi="Times New Roman" w:cs="Times New Roman"/>
                <w:sz w:val="24"/>
                <w:szCs w:val="24"/>
              </w:rPr>
            </w:pPr>
            <w:r w:rsidRPr="00053C62">
              <w:rPr>
                <w:rFonts w:ascii="Times New Roman" w:hAnsi="Times New Roman" w:cs="Times New Roman"/>
                <w:color w:val="000000"/>
                <w:sz w:val="24"/>
                <w:szCs w:val="24"/>
              </w:rPr>
              <w:t>429643</w:t>
            </w:r>
          </w:p>
        </w:tc>
        <w:tc>
          <w:tcPr>
            <w:tcW w:w="2377" w:type="dxa"/>
            <w:shd w:val="clear" w:color="auto" w:fill="auto"/>
            <w:vAlign w:val="center"/>
          </w:tcPr>
          <w:p w:rsidR="005505AF" w:rsidRPr="00053C62" w:rsidRDefault="005505AF" w:rsidP="005F7D3D">
            <w:pPr>
              <w:spacing w:after="0"/>
              <w:ind w:right="60"/>
              <w:jc w:val="center"/>
              <w:rPr>
                <w:rFonts w:ascii="Times New Roman" w:hAnsi="Times New Roman" w:cs="Times New Roman"/>
                <w:sz w:val="24"/>
                <w:szCs w:val="24"/>
              </w:rPr>
            </w:pPr>
            <w:r w:rsidRPr="00053C62">
              <w:rPr>
                <w:rFonts w:ascii="Times New Roman" w:hAnsi="Times New Roman" w:cs="Times New Roman"/>
                <w:color w:val="000000"/>
                <w:sz w:val="24"/>
                <w:szCs w:val="24"/>
              </w:rPr>
              <w:t>1310125</w:t>
            </w:r>
          </w:p>
        </w:tc>
      </w:tr>
      <w:tr w:rsidR="005505AF" w:rsidRPr="00053C62" w:rsidTr="005F7D3D">
        <w:tc>
          <w:tcPr>
            <w:tcW w:w="2581" w:type="dxa"/>
            <w:shd w:val="clear" w:color="auto" w:fill="F2F2F2" w:themeFill="background1" w:themeFillShade="F2"/>
            <w:vAlign w:val="center"/>
          </w:tcPr>
          <w:p w:rsidR="005505AF" w:rsidRPr="00053C62" w:rsidRDefault="005505AF" w:rsidP="005F7D3D">
            <w:pPr>
              <w:spacing w:after="0"/>
              <w:ind w:right="60"/>
              <w:jc w:val="center"/>
              <w:rPr>
                <w:rFonts w:ascii="Times New Roman" w:hAnsi="Times New Roman" w:cs="Times New Roman"/>
                <w:sz w:val="24"/>
                <w:szCs w:val="24"/>
              </w:rPr>
            </w:pPr>
            <w:r w:rsidRPr="00053C62">
              <w:rPr>
                <w:rFonts w:ascii="Times New Roman" w:hAnsi="Times New Roman" w:cs="Times New Roman"/>
                <w:b/>
                <w:color w:val="000000"/>
                <w:sz w:val="24"/>
                <w:szCs w:val="24"/>
              </w:rPr>
              <w:t xml:space="preserve">Caractéristiques (site et </w:t>
            </w:r>
            <w:r w:rsidR="005F7D3D" w:rsidRPr="00053C62">
              <w:rPr>
                <w:rFonts w:ascii="Times New Roman" w:hAnsi="Times New Roman" w:cs="Times New Roman"/>
                <w:b/>
                <w:color w:val="000000"/>
                <w:sz w:val="24"/>
                <w:szCs w:val="24"/>
              </w:rPr>
              <w:t>réservoir</w:t>
            </w:r>
            <w:r w:rsidRPr="00053C62">
              <w:rPr>
                <w:rFonts w:ascii="Times New Roman" w:hAnsi="Times New Roman" w:cs="Times New Roman"/>
                <w:b/>
                <w:color w:val="000000"/>
                <w:sz w:val="24"/>
                <w:szCs w:val="24"/>
              </w:rPr>
              <w:t>)</w:t>
            </w:r>
          </w:p>
        </w:tc>
        <w:tc>
          <w:tcPr>
            <w:tcW w:w="8077" w:type="dxa"/>
            <w:gridSpan w:val="4"/>
            <w:shd w:val="clear" w:color="auto" w:fill="auto"/>
          </w:tcPr>
          <w:p w:rsidR="005505AF" w:rsidRPr="00053C62" w:rsidRDefault="005505AF" w:rsidP="00FA3FAE">
            <w:pPr>
              <w:pStyle w:val="PargrafodaLista"/>
              <w:numPr>
                <w:ilvl w:val="0"/>
                <w:numId w:val="66"/>
              </w:numPr>
              <w:spacing w:after="0" w:line="240" w:lineRule="auto"/>
              <w:ind w:right="60"/>
              <w:jc w:val="both"/>
              <w:rPr>
                <w:rFonts w:ascii="Times New Roman" w:hAnsi="Times New Roman"/>
                <w:sz w:val="24"/>
                <w:szCs w:val="24"/>
                <w:lang w:val="fr-FR"/>
              </w:rPr>
            </w:pPr>
            <w:r w:rsidRPr="00053C62">
              <w:rPr>
                <w:rFonts w:ascii="Times New Roman" w:hAnsi="Times New Roman"/>
                <w:sz w:val="24"/>
                <w:szCs w:val="24"/>
                <w:lang w:val="fr-FR"/>
              </w:rPr>
              <w:t>Cote du terrain naturel : 34 m</w:t>
            </w:r>
          </w:p>
          <w:p w:rsidR="005505AF" w:rsidRPr="00053C62" w:rsidRDefault="005505AF" w:rsidP="00FA3FAE">
            <w:pPr>
              <w:pStyle w:val="PargrafodaLista"/>
              <w:numPr>
                <w:ilvl w:val="0"/>
                <w:numId w:val="66"/>
              </w:numPr>
              <w:spacing w:after="0" w:line="240" w:lineRule="auto"/>
              <w:ind w:right="60"/>
              <w:jc w:val="both"/>
              <w:rPr>
                <w:rFonts w:ascii="Times New Roman" w:hAnsi="Times New Roman"/>
                <w:sz w:val="24"/>
                <w:szCs w:val="24"/>
                <w:lang w:val="fr-FR"/>
              </w:rPr>
            </w:pPr>
            <w:r w:rsidRPr="00053C62">
              <w:rPr>
                <w:rFonts w:ascii="Times New Roman" w:hAnsi="Times New Roman"/>
                <w:sz w:val="24"/>
                <w:szCs w:val="24"/>
                <w:lang w:val="fr-FR"/>
              </w:rPr>
              <w:t>Capacité : 700 m</w:t>
            </w:r>
            <w:r w:rsidRPr="00053C62">
              <w:rPr>
                <w:rFonts w:ascii="Times New Roman" w:hAnsi="Times New Roman"/>
                <w:sz w:val="24"/>
                <w:szCs w:val="24"/>
                <w:vertAlign w:val="superscript"/>
                <w:lang w:val="fr-FR"/>
              </w:rPr>
              <w:t>3</w:t>
            </w:r>
          </w:p>
          <w:p w:rsidR="005505AF" w:rsidRPr="00053C62" w:rsidRDefault="005505AF" w:rsidP="00FA3FAE">
            <w:pPr>
              <w:pStyle w:val="PargrafodaLista"/>
              <w:numPr>
                <w:ilvl w:val="0"/>
                <w:numId w:val="66"/>
              </w:numPr>
              <w:spacing w:after="0" w:line="240" w:lineRule="auto"/>
              <w:ind w:right="60"/>
              <w:jc w:val="both"/>
              <w:rPr>
                <w:rFonts w:ascii="Times New Roman" w:hAnsi="Times New Roman"/>
                <w:sz w:val="24"/>
                <w:szCs w:val="24"/>
                <w:lang w:val="fr-FR"/>
              </w:rPr>
            </w:pPr>
            <w:r w:rsidRPr="00053C62">
              <w:rPr>
                <w:rFonts w:ascii="Times New Roman" w:hAnsi="Times New Roman"/>
                <w:sz w:val="24"/>
                <w:szCs w:val="24"/>
                <w:lang w:val="fr-FR"/>
              </w:rPr>
              <w:t>Hauteur de la jupe sera de 28 m, environ</w:t>
            </w:r>
          </w:p>
          <w:p w:rsidR="005505AF" w:rsidRPr="00053C62" w:rsidRDefault="005505AF" w:rsidP="00210998">
            <w:pPr>
              <w:pStyle w:val="PargrafodaLista"/>
              <w:spacing w:after="0"/>
              <w:ind w:left="0" w:right="60"/>
              <w:jc w:val="both"/>
              <w:rPr>
                <w:rFonts w:ascii="Times New Roman" w:hAnsi="Times New Roman"/>
                <w:sz w:val="24"/>
                <w:szCs w:val="24"/>
                <w:lang w:val="fr-FR"/>
              </w:rPr>
            </w:pPr>
            <w:r w:rsidRPr="00053C62">
              <w:rPr>
                <w:rFonts w:ascii="Times New Roman" w:hAnsi="Times New Roman"/>
                <w:sz w:val="24"/>
                <w:szCs w:val="24"/>
                <w:lang w:val="fr-FR"/>
              </w:rPr>
              <w:t>La cote PHE de la cuve sera identique à celle du réservoir Bra (et/ou Guinée Telecom), à savoir ± 67 m, de façon à garantir une meilleure distribution de pression dans l’interconnexion entre ces deux réservoirs.</w:t>
            </w:r>
          </w:p>
        </w:tc>
      </w:tr>
      <w:tr w:rsidR="005505AF" w:rsidRPr="00053C62" w:rsidTr="005F7D3D">
        <w:tc>
          <w:tcPr>
            <w:tcW w:w="2581" w:type="dxa"/>
            <w:shd w:val="clear" w:color="auto" w:fill="F2F2F2" w:themeFill="background1" w:themeFillShade="F2"/>
            <w:vAlign w:val="center"/>
          </w:tcPr>
          <w:p w:rsidR="005505AF" w:rsidRPr="00053C62" w:rsidRDefault="005505AF" w:rsidP="005F7D3D">
            <w:pPr>
              <w:spacing w:after="0"/>
              <w:ind w:right="60"/>
              <w:jc w:val="center"/>
              <w:rPr>
                <w:rFonts w:ascii="Times New Roman" w:hAnsi="Times New Roman" w:cs="Times New Roman"/>
                <w:b/>
                <w:color w:val="000000"/>
                <w:sz w:val="24"/>
                <w:szCs w:val="24"/>
              </w:rPr>
            </w:pPr>
            <w:r w:rsidRPr="00053C62">
              <w:rPr>
                <w:rFonts w:ascii="Times New Roman" w:hAnsi="Times New Roman" w:cs="Times New Roman"/>
                <w:b/>
                <w:color w:val="000000"/>
                <w:sz w:val="24"/>
                <w:szCs w:val="24"/>
              </w:rPr>
              <w:t>Description du milieu d’influence direct</w:t>
            </w:r>
          </w:p>
        </w:tc>
        <w:tc>
          <w:tcPr>
            <w:tcW w:w="8077" w:type="dxa"/>
            <w:gridSpan w:val="4"/>
            <w:shd w:val="clear" w:color="auto" w:fill="auto"/>
          </w:tcPr>
          <w:p w:rsidR="005505AF" w:rsidRPr="00053C62" w:rsidRDefault="005505AF" w:rsidP="00210998">
            <w:pPr>
              <w:spacing w:after="0"/>
              <w:ind w:right="60"/>
              <w:jc w:val="both"/>
              <w:rPr>
                <w:rFonts w:ascii="Times New Roman" w:hAnsi="Times New Roman" w:cs="Times New Roman"/>
                <w:color w:val="000000"/>
                <w:sz w:val="24"/>
                <w:szCs w:val="24"/>
              </w:rPr>
            </w:pPr>
            <w:r w:rsidRPr="00053C62">
              <w:rPr>
                <w:rFonts w:ascii="Times New Roman" w:hAnsi="Times New Roman" w:cs="Times New Roman"/>
                <w:color w:val="000000"/>
                <w:sz w:val="24"/>
                <w:szCs w:val="24"/>
              </w:rPr>
              <w:t>L’emplacement pour la construction du réservoir se trouvera à l’intérieur d’un périmètre recouvert presque dans sa totalité de plantations d’anacardier appartenant à la mission catholique. Ainsi, l’emprise a été attribuée au projet par la mairie de Prabis et en collaboration avec la mission catholique.</w:t>
            </w:r>
          </w:p>
          <w:p w:rsidR="005505AF" w:rsidRPr="00053C62" w:rsidRDefault="005505AF" w:rsidP="00210998">
            <w:pPr>
              <w:spacing w:after="0"/>
              <w:ind w:right="60"/>
              <w:jc w:val="both"/>
              <w:rPr>
                <w:rFonts w:ascii="Times New Roman" w:hAnsi="Times New Roman" w:cs="Times New Roman"/>
                <w:sz w:val="24"/>
                <w:szCs w:val="24"/>
              </w:rPr>
            </w:pPr>
            <w:r w:rsidRPr="00053C62">
              <w:rPr>
                <w:rFonts w:ascii="Times New Roman" w:hAnsi="Times New Roman" w:cs="Times New Roman"/>
                <w:sz w:val="24"/>
                <w:szCs w:val="24"/>
              </w:rPr>
              <w:t>D’autre part, l’accès au local (pour installation des équipements, gestion courante, maintenance, etc…) est facile car l’emplacement est à côté d’une route existante.</w:t>
            </w:r>
          </w:p>
        </w:tc>
      </w:tr>
      <w:tr w:rsidR="005505AF" w:rsidRPr="00053C62" w:rsidTr="006A22C9">
        <w:tc>
          <w:tcPr>
            <w:tcW w:w="10658" w:type="dxa"/>
            <w:gridSpan w:val="5"/>
            <w:shd w:val="clear" w:color="auto" w:fill="auto"/>
          </w:tcPr>
          <w:p w:rsidR="005505AF" w:rsidRPr="00053C62" w:rsidRDefault="00EE0400" w:rsidP="005F7D3D">
            <w:pPr>
              <w:spacing w:after="0"/>
              <w:jc w:val="center"/>
              <w:rPr>
                <w:rFonts w:ascii="Times New Roman" w:hAnsi="Times New Roman" w:cs="Times New Roman"/>
                <w:color w:val="000000"/>
                <w:sz w:val="24"/>
                <w:szCs w:val="24"/>
              </w:rPr>
            </w:pPr>
            <w:bookmarkStart w:id="78" w:name="_Toc32512055"/>
            <w:r w:rsidRPr="00770F4C">
              <w:rPr>
                <w:rFonts w:ascii="Times New Roman" w:hAnsi="Times New Roman" w:cs="Times New Roman"/>
                <w:b/>
                <w:sz w:val="24"/>
                <w:szCs w:val="24"/>
              </w:rPr>
              <w:t xml:space="preserve">Photo </w:t>
            </w:r>
            <w:r w:rsidRPr="00770F4C">
              <w:rPr>
                <w:rFonts w:ascii="Times New Roman" w:hAnsi="Times New Roman" w:cs="Times New Roman"/>
                <w:b/>
                <w:sz w:val="24"/>
                <w:szCs w:val="24"/>
              </w:rPr>
              <w:fldChar w:fldCharType="begin"/>
            </w:r>
            <w:r w:rsidRPr="00770F4C">
              <w:rPr>
                <w:rFonts w:ascii="Times New Roman" w:hAnsi="Times New Roman" w:cs="Times New Roman"/>
                <w:b/>
                <w:sz w:val="24"/>
                <w:szCs w:val="24"/>
              </w:rPr>
              <w:instrText xml:space="preserve"> SEQ PHOTO \* ARABIC </w:instrText>
            </w:r>
            <w:r w:rsidRPr="00770F4C">
              <w:rPr>
                <w:rFonts w:ascii="Times New Roman" w:hAnsi="Times New Roman" w:cs="Times New Roman"/>
                <w:b/>
                <w:sz w:val="24"/>
                <w:szCs w:val="24"/>
              </w:rPr>
              <w:fldChar w:fldCharType="separate"/>
            </w:r>
            <w:r w:rsidR="002C6E60">
              <w:rPr>
                <w:rFonts w:ascii="Times New Roman" w:hAnsi="Times New Roman" w:cs="Times New Roman"/>
                <w:b/>
                <w:noProof/>
                <w:sz w:val="24"/>
                <w:szCs w:val="24"/>
              </w:rPr>
              <w:t>4</w:t>
            </w:r>
            <w:r w:rsidRPr="00770F4C">
              <w:rPr>
                <w:rFonts w:ascii="Times New Roman" w:hAnsi="Times New Roman" w:cs="Times New Roman"/>
                <w:b/>
                <w:sz w:val="24"/>
                <w:szCs w:val="24"/>
              </w:rPr>
              <w:fldChar w:fldCharType="end"/>
            </w:r>
            <w:r w:rsidRPr="00770F4C">
              <w:rPr>
                <w:rFonts w:ascii="Times New Roman" w:hAnsi="Times New Roman" w:cs="Times New Roman"/>
                <w:b/>
                <w:sz w:val="24"/>
                <w:szCs w:val="24"/>
              </w:rPr>
              <w:t xml:space="preserve"> : </w:t>
            </w:r>
            <w:r w:rsidR="005505AF" w:rsidRPr="00053C62">
              <w:rPr>
                <w:rFonts w:ascii="Times New Roman" w:hAnsi="Times New Roman" w:cs="Times New Roman"/>
                <w:b/>
                <w:color w:val="000000"/>
                <w:sz w:val="24"/>
                <w:szCs w:val="24"/>
              </w:rPr>
              <w:t>Photos Illustrations</w:t>
            </w:r>
            <w:r w:rsidRPr="00053C62">
              <w:rPr>
                <w:rFonts w:ascii="Times New Roman" w:eastAsia="Arial" w:hAnsi="Times New Roman" w:cs="Times New Roman"/>
                <w:b/>
                <w:sz w:val="24"/>
                <w:szCs w:val="24"/>
              </w:rPr>
              <w:t xml:space="preserve"> </w:t>
            </w:r>
            <w:r>
              <w:rPr>
                <w:rFonts w:ascii="Times New Roman" w:eastAsia="Arial" w:hAnsi="Times New Roman" w:cs="Times New Roman"/>
                <w:b/>
                <w:sz w:val="24"/>
                <w:szCs w:val="24"/>
              </w:rPr>
              <w:t>de l’emplacement prévu du</w:t>
            </w:r>
            <w:r w:rsidRPr="00053C62">
              <w:rPr>
                <w:rFonts w:ascii="Times New Roman" w:eastAsia="Arial" w:hAnsi="Times New Roman" w:cs="Times New Roman"/>
                <w:b/>
                <w:sz w:val="24"/>
                <w:szCs w:val="24"/>
              </w:rPr>
              <w:t xml:space="preserve"> réservoir à Bôr</w:t>
            </w:r>
            <w:bookmarkEnd w:id="78"/>
          </w:p>
        </w:tc>
      </w:tr>
      <w:tr w:rsidR="005505AF" w:rsidRPr="00053C62" w:rsidTr="006A22C9">
        <w:tc>
          <w:tcPr>
            <w:tcW w:w="10658" w:type="dxa"/>
            <w:gridSpan w:val="5"/>
            <w:shd w:val="clear" w:color="auto" w:fill="auto"/>
          </w:tcPr>
          <w:p w:rsidR="005505AF" w:rsidRPr="00053C62" w:rsidRDefault="005505AF" w:rsidP="00210998">
            <w:pPr>
              <w:spacing w:after="0"/>
              <w:ind w:right="60"/>
              <w:jc w:val="center"/>
              <w:rPr>
                <w:rFonts w:ascii="Times New Roman" w:hAnsi="Times New Roman" w:cs="Times New Roman"/>
                <w:color w:val="000000"/>
                <w:sz w:val="24"/>
                <w:szCs w:val="24"/>
              </w:rPr>
            </w:pPr>
            <w:r w:rsidRPr="00053C62">
              <w:rPr>
                <w:rFonts w:ascii="Times New Roman" w:hAnsi="Times New Roman" w:cs="Times New Roman"/>
                <w:noProof/>
                <w:color w:val="000000"/>
                <w:sz w:val="24"/>
                <w:szCs w:val="24"/>
                <w:lang w:val="pt-PT" w:eastAsia="pt-PT"/>
              </w:rPr>
              <w:drawing>
                <wp:inline distT="0" distB="0" distL="0" distR="0" wp14:anchorId="61CCFB08" wp14:editId="0FC7433E">
                  <wp:extent cx="1908175" cy="1333500"/>
                  <wp:effectExtent l="0" t="0" r="0" b="0"/>
                  <wp:docPr id="455" name="Image 455" descr="IMG_16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IMG_1671"/>
                          <pic:cNvPicPr>
                            <a:picLocks noChangeAspect="1" noChangeArrowheads="1"/>
                          </pic:cNvPicPr>
                        </pic:nvPicPr>
                        <pic:blipFill>
                          <a:blip r:embed="rId52" cstate="email">
                            <a:extLst>
                              <a:ext uri="{28A0092B-C50C-407E-A947-70E740481C1C}">
                                <a14:useLocalDpi xmlns:a14="http://schemas.microsoft.com/office/drawing/2010/main"/>
                              </a:ext>
                            </a:extLst>
                          </a:blip>
                          <a:srcRect/>
                          <a:stretch>
                            <a:fillRect/>
                          </a:stretch>
                        </pic:blipFill>
                        <pic:spPr bwMode="auto">
                          <a:xfrm>
                            <a:off x="0" y="0"/>
                            <a:ext cx="1908175" cy="1333500"/>
                          </a:xfrm>
                          <a:prstGeom prst="rect">
                            <a:avLst/>
                          </a:prstGeom>
                          <a:noFill/>
                          <a:ln>
                            <a:noFill/>
                          </a:ln>
                        </pic:spPr>
                      </pic:pic>
                    </a:graphicData>
                  </a:graphic>
                </wp:inline>
              </w:drawing>
            </w:r>
            <w:r w:rsidRPr="00053C62">
              <w:rPr>
                <w:rFonts w:ascii="Times New Roman" w:hAnsi="Times New Roman" w:cs="Times New Roman"/>
                <w:noProof/>
                <w:color w:val="000000"/>
                <w:sz w:val="24"/>
                <w:szCs w:val="24"/>
                <w:lang w:val="pt-PT" w:eastAsia="pt-PT"/>
              </w:rPr>
              <w:drawing>
                <wp:inline distT="0" distB="0" distL="0" distR="0" wp14:anchorId="6A6B5320" wp14:editId="3260D5E8">
                  <wp:extent cx="1884680" cy="1285875"/>
                  <wp:effectExtent l="0" t="0" r="1270" b="9525"/>
                  <wp:docPr id="454" name="Image 454" descr="IMG_16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IMG_1668"/>
                          <pic:cNvPicPr>
                            <a:picLocks noChangeAspect="1" noChangeArrowheads="1"/>
                          </pic:cNvPicPr>
                        </pic:nvPicPr>
                        <pic:blipFill>
                          <a:blip r:embed="rId53" cstate="email">
                            <a:extLst>
                              <a:ext uri="{28A0092B-C50C-407E-A947-70E740481C1C}">
                                <a14:useLocalDpi xmlns:a14="http://schemas.microsoft.com/office/drawing/2010/main"/>
                              </a:ext>
                            </a:extLst>
                          </a:blip>
                          <a:srcRect/>
                          <a:stretch>
                            <a:fillRect/>
                          </a:stretch>
                        </pic:blipFill>
                        <pic:spPr bwMode="auto">
                          <a:xfrm>
                            <a:off x="0" y="0"/>
                            <a:ext cx="1884680" cy="1285875"/>
                          </a:xfrm>
                          <a:prstGeom prst="rect">
                            <a:avLst/>
                          </a:prstGeom>
                          <a:noFill/>
                          <a:ln>
                            <a:noFill/>
                          </a:ln>
                        </pic:spPr>
                      </pic:pic>
                    </a:graphicData>
                  </a:graphic>
                </wp:inline>
              </w:drawing>
            </w:r>
            <w:r w:rsidRPr="00053C62">
              <w:rPr>
                <w:rFonts w:ascii="Times New Roman" w:hAnsi="Times New Roman" w:cs="Times New Roman"/>
                <w:noProof/>
                <w:color w:val="000000"/>
                <w:sz w:val="24"/>
                <w:szCs w:val="24"/>
                <w:lang w:val="pt-PT" w:eastAsia="pt-PT"/>
              </w:rPr>
              <w:drawing>
                <wp:inline distT="0" distB="0" distL="0" distR="0" wp14:anchorId="47FAF29B" wp14:editId="013A0F89">
                  <wp:extent cx="1844675" cy="1266825"/>
                  <wp:effectExtent l="0" t="0" r="3175" b="9525"/>
                  <wp:docPr id="453" name="Image 453" descr="IMG_16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IMG_1672"/>
                          <pic:cNvPicPr>
                            <a:picLocks noChangeAspect="1" noChangeArrowheads="1"/>
                          </pic:cNvPicPr>
                        </pic:nvPicPr>
                        <pic:blipFill>
                          <a:blip r:embed="rId54" cstate="email">
                            <a:extLst>
                              <a:ext uri="{28A0092B-C50C-407E-A947-70E740481C1C}">
                                <a14:useLocalDpi xmlns:a14="http://schemas.microsoft.com/office/drawing/2010/main"/>
                              </a:ext>
                            </a:extLst>
                          </a:blip>
                          <a:srcRect/>
                          <a:stretch>
                            <a:fillRect/>
                          </a:stretch>
                        </pic:blipFill>
                        <pic:spPr bwMode="auto">
                          <a:xfrm>
                            <a:off x="0" y="0"/>
                            <a:ext cx="1844675" cy="1266825"/>
                          </a:xfrm>
                          <a:prstGeom prst="rect">
                            <a:avLst/>
                          </a:prstGeom>
                          <a:noFill/>
                          <a:ln>
                            <a:noFill/>
                          </a:ln>
                        </pic:spPr>
                      </pic:pic>
                    </a:graphicData>
                  </a:graphic>
                </wp:inline>
              </w:drawing>
            </w:r>
          </w:p>
        </w:tc>
      </w:tr>
      <w:tr w:rsidR="005505AF" w:rsidRPr="00053C62" w:rsidTr="006A22C9">
        <w:tc>
          <w:tcPr>
            <w:tcW w:w="10658" w:type="dxa"/>
            <w:gridSpan w:val="5"/>
            <w:shd w:val="clear" w:color="auto" w:fill="auto"/>
          </w:tcPr>
          <w:p w:rsidR="005505AF" w:rsidRPr="00053C62" w:rsidRDefault="00833733" w:rsidP="005F7D3D">
            <w:pPr>
              <w:spacing w:after="0"/>
              <w:ind w:right="60"/>
              <w:jc w:val="center"/>
              <w:rPr>
                <w:rFonts w:ascii="Times New Roman" w:hAnsi="Times New Roman" w:cs="Times New Roman"/>
                <w:b/>
                <w:noProof/>
                <w:color w:val="000000"/>
                <w:sz w:val="24"/>
                <w:szCs w:val="24"/>
                <w:lang w:eastAsia="fr-FR"/>
              </w:rPr>
            </w:pPr>
            <w:r w:rsidRPr="0047697F">
              <w:rPr>
                <w:rFonts w:ascii="Times New Roman" w:hAnsi="Times New Roman" w:cs="Times New Roman"/>
                <w:b/>
              </w:rPr>
              <w:t xml:space="preserve">Carte </w:t>
            </w:r>
            <w:r w:rsidRPr="0047697F">
              <w:rPr>
                <w:rFonts w:ascii="Times New Roman" w:hAnsi="Times New Roman" w:cs="Times New Roman"/>
                <w:b/>
              </w:rPr>
              <w:fldChar w:fldCharType="begin"/>
            </w:r>
            <w:r w:rsidRPr="0047697F">
              <w:rPr>
                <w:rFonts w:ascii="Times New Roman" w:hAnsi="Times New Roman" w:cs="Times New Roman"/>
                <w:b/>
              </w:rPr>
              <w:instrText xml:space="preserve"> SEQ Carte \* ARABIC </w:instrText>
            </w:r>
            <w:r w:rsidRPr="0047697F">
              <w:rPr>
                <w:rFonts w:ascii="Times New Roman" w:hAnsi="Times New Roman" w:cs="Times New Roman"/>
                <w:b/>
              </w:rPr>
              <w:fldChar w:fldCharType="separate"/>
            </w:r>
            <w:r w:rsidR="002C6E60">
              <w:rPr>
                <w:rFonts w:ascii="Times New Roman" w:hAnsi="Times New Roman" w:cs="Times New Roman"/>
                <w:b/>
                <w:noProof/>
              </w:rPr>
              <w:t>7</w:t>
            </w:r>
            <w:r w:rsidRPr="0047697F">
              <w:rPr>
                <w:rFonts w:ascii="Times New Roman" w:hAnsi="Times New Roman" w:cs="Times New Roman"/>
                <w:b/>
              </w:rPr>
              <w:fldChar w:fldCharType="end"/>
            </w:r>
            <w:r w:rsidRPr="0047697F">
              <w:rPr>
                <w:rFonts w:ascii="Times New Roman" w:hAnsi="Times New Roman" w:cs="Times New Roman"/>
                <w:b/>
              </w:rPr>
              <w:t xml:space="preserve">: </w:t>
            </w:r>
            <w:r w:rsidR="005505AF" w:rsidRPr="00053C62">
              <w:rPr>
                <w:rFonts w:ascii="Times New Roman" w:eastAsia="Arial" w:hAnsi="Times New Roman" w:cs="Times New Roman"/>
                <w:b/>
                <w:sz w:val="24"/>
                <w:szCs w:val="24"/>
              </w:rPr>
              <w:t>Carte de localisation du réservoir à Bôr</w:t>
            </w:r>
          </w:p>
        </w:tc>
      </w:tr>
      <w:tr w:rsidR="005505AF" w:rsidRPr="00053C62" w:rsidTr="006A22C9">
        <w:tc>
          <w:tcPr>
            <w:tcW w:w="10658" w:type="dxa"/>
            <w:gridSpan w:val="5"/>
            <w:shd w:val="clear" w:color="auto" w:fill="auto"/>
          </w:tcPr>
          <w:p w:rsidR="005505AF" w:rsidRPr="00053C62" w:rsidRDefault="005505AF" w:rsidP="00210998">
            <w:pPr>
              <w:spacing w:after="0"/>
              <w:ind w:right="60"/>
              <w:jc w:val="both"/>
              <w:rPr>
                <w:rFonts w:ascii="Times New Roman" w:hAnsi="Times New Roman" w:cs="Times New Roman"/>
                <w:sz w:val="24"/>
                <w:szCs w:val="24"/>
              </w:rPr>
            </w:pPr>
            <w:r w:rsidRPr="00053C62">
              <w:rPr>
                <w:rFonts w:ascii="Times New Roman" w:hAnsi="Times New Roman" w:cs="Times New Roman"/>
                <w:noProof/>
                <w:sz w:val="24"/>
                <w:szCs w:val="24"/>
                <w:lang w:val="pt-PT" w:eastAsia="pt-PT"/>
              </w:rPr>
              <w:drawing>
                <wp:inline distT="0" distB="0" distL="0" distR="0" wp14:anchorId="2B72AB79" wp14:editId="69291D58">
                  <wp:extent cx="6361925" cy="3943350"/>
                  <wp:effectExtent l="0" t="0" r="1270" b="0"/>
                  <wp:docPr id="452" name="Image 452" descr="3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3333"/>
                          <pic:cNvPicPr>
                            <a:picLocks noChangeAspect="1" noChangeArrowheads="1"/>
                          </pic:cNvPicPr>
                        </pic:nvPicPr>
                        <pic:blipFill>
                          <a:blip r:embed="rId55" cstate="email">
                            <a:extLst>
                              <a:ext uri="{28A0092B-C50C-407E-A947-70E740481C1C}">
                                <a14:useLocalDpi xmlns:a14="http://schemas.microsoft.com/office/drawing/2010/main"/>
                              </a:ext>
                            </a:extLst>
                          </a:blip>
                          <a:srcRect/>
                          <a:stretch>
                            <a:fillRect/>
                          </a:stretch>
                        </pic:blipFill>
                        <pic:spPr bwMode="auto">
                          <a:xfrm>
                            <a:off x="0" y="0"/>
                            <a:ext cx="6365454" cy="3945538"/>
                          </a:xfrm>
                          <a:prstGeom prst="rect">
                            <a:avLst/>
                          </a:prstGeom>
                          <a:noFill/>
                          <a:ln>
                            <a:noFill/>
                          </a:ln>
                        </pic:spPr>
                      </pic:pic>
                    </a:graphicData>
                  </a:graphic>
                </wp:inline>
              </w:drawing>
            </w:r>
          </w:p>
        </w:tc>
      </w:tr>
    </w:tbl>
    <w:p w:rsidR="005505AF" w:rsidRDefault="005505AF" w:rsidP="005505AF">
      <w:pPr>
        <w:pStyle w:val="PargrafodaLista"/>
        <w:rPr>
          <w:rFonts w:ascii="Times New Roman" w:hAnsi="Times New Roman"/>
          <w:sz w:val="24"/>
          <w:szCs w:val="24"/>
          <w:lang w:val="fr-FR"/>
        </w:rPr>
      </w:pPr>
    </w:p>
    <w:p w:rsidR="005505AF" w:rsidRPr="005F7D3D" w:rsidRDefault="00210998" w:rsidP="00FA3FAE">
      <w:pPr>
        <w:pStyle w:val="PargrafodaLista"/>
        <w:numPr>
          <w:ilvl w:val="2"/>
          <w:numId w:val="219"/>
        </w:numPr>
        <w:spacing w:after="0" w:line="240" w:lineRule="auto"/>
        <w:contextualSpacing w:val="0"/>
        <w:jc w:val="both"/>
        <w:outlineLvl w:val="2"/>
        <w:rPr>
          <w:rFonts w:ascii="Times New Roman" w:hAnsi="Times New Roman"/>
          <w:b/>
          <w:bCs/>
          <w:sz w:val="24"/>
          <w:szCs w:val="24"/>
          <w:lang w:val="fr-FR" w:eastAsia="fr-FR"/>
        </w:rPr>
      </w:pPr>
      <w:bookmarkStart w:id="79" w:name="_Toc21355385"/>
      <w:r w:rsidRPr="005F7D3D">
        <w:rPr>
          <w:rFonts w:ascii="Times New Roman" w:hAnsi="Times New Roman"/>
          <w:b/>
          <w:bCs/>
          <w:sz w:val="24"/>
          <w:szCs w:val="24"/>
          <w:lang w:val="fr-FR" w:eastAsia="fr-FR"/>
        </w:rPr>
        <w:t xml:space="preserve"> </w:t>
      </w:r>
      <w:bookmarkStart w:id="80" w:name="_Toc51072518"/>
      <w:r w:rsidR="005505AF" w:rsidRPr="005F7D3D">
        <w:rPr>
          <w:rFonts w:ascii="Times New Roman" w:hAnsi="Times New Roman"/>
          <w:b/>
          <w:bCs/>
          <w:sz w:val="24"/>
          <w:szCs w:val="24"/>
          <w:lang w:val="fr-FR" w:eastAsia="fr-FR"/>
        </w:rPr>
        <w:t>Construction de nouveau réservoir de Prabis</w:t>
      </w:r>
      <w:bookmarkEnd w:id="79"/>
      <w:bookmarkEnd w:id="80"/>
    </w:p>
    <w:p w:rsidR="00AE15B0" w:rsidRPr="00053C62" w:rsidRDefault="00AE15B0" w:rsidP="00AE15B0">
      <w:pPr>
        <w:pStyle w:val="Textodecomentrio"/>
        <w:keepLines w:val="0"/>
        <w:spacing w:after="0" w:line="240" w:lineRule="auto"/>
        <w:jc w:val="left"/>
        <w:rPr>
          <w:rFonts w:ascii="Times New Roman" w:hAnsi="Times New Roman"/>
          <w:b/>
          <w:sz w:val="24"/>
          <w:szCs w:val="24"/>
        </w:rPr>
      </w:pPr>
    </w:p>
    <w:p w:rsidR="00AE15B0" w:rsidRDefault="00AE15B0" w:rsidP="00AE15B0">
      <w:pPr>
        <w:tabs>
          <w:tab w:val="left" w:pos="8322"/>
        </w:tabs>
        <w:spacing w:after="0"/>
        <w:rPr>
          <w:rFonts w:ascii="Times New Roman" w:hAnsi="Times New Roman"/>
          <w:sz w:val="24"/>
          <w:szCs w:val="24"/>
        </w:rPr>
      </w:pPr>
      <w:r w:rsidRPr="00AE15B0">
        <w:rPr>
          <w:rFonts w:ascii="Times New Roman" w:eastAsia="Times New Roman" w:hAnsi="Times New Roman"/>
          <w:sz w:val="24"/>
          <w:szCs w:val="24"/>
          <w:lang w:eastAsia="fr-FR"/>
        </w:rPr>
        <w:t>La visite de terrain a été effectuée le 13 Mai 2019 avec Mr GOMIS de EAGB et Mr JULIO de PUASEE. Ainsi,</w:t>
      </w:r>
      <w:r w:rsidRPr="00AE15B0">
        <w:rPr>
          <w:rFonts w:ascii="Times New Roman" w:hAnsi="Times New Roman"/>
          <w:sz w:val="24"/>
          <w:szCs w:val="24"/>
        </w:rPr>
        <w:t xml:space="preserve"> les </w:t>
      </w:r>
      <w:r w:rsidR="005F7D3D">
        <w:rPr>
          <w:rFonts w:ascii="Times New Roman" w:eastAsia="Times New Roman" w:hAnsi="Times New Roman"/>
          <w:sz w:val="24"/>
          <w:szCs w:val="24"/>
          <w:lang w:eastAsia="fr-FR"/>
        </w:rPr>
        <w:t xml:space="preserve">constatations suivantes ont été noter au niveau de Prabis </w:t>
      </w:r>
      <w:r>
        <w:rPr>
          <w:rFonts w:ascii="Times New Roman" w:hAnsi="Times New Roman"/>
          <w:sz w:val="24"/>
          <w:szCs w:val="24"/>
        </w:rPr>
        <w:t>:</w:t>
      </w:r>
    </w:p>
    <w:p w:rsidR="00AE15B0" w:rsidRPr="00CA000E" w:rsidRDefault="00AE15B0" w:rsidP="00AE15B0">
      <w:pPr>
        <w:tabs>
          <w:tab w:val="left" w:pos="8322"/>
        </w:tabs>
        <w:spacing w:after="0"/>
      </w:pPr>
    </w:p>
    <w:tbl>
      <w:tblPr>
        <w:tblW w:w="106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47"/>
        <w:gridCol w:w="1937"/>
        <w:gridCol w:w="1749"/>
        <w:gridCol w:w="2196"/>
        <w:gridCol w:w="2198"/>
      </w:tblGrid>
      <w:tr w:rsidR="005505AF" w:rsidRPr="00053C62" w:rsidTr="005F7D3D">
        <w:trPr>
          <w:jc w:val="center"/>
        </w:trPr>
        <w:tc>
          <w:tcPr>
            <w:tcW w:w="2547" w:type="dxa"/>
            <w:shd w:val="clear" w:color="auto" w:fill="F2F2F2" w:themeFill="background1" w:themeFillShade="F2"/>
          </w:tcPr>
          <w:p w:rsidR="005505AF" w:rsidRPr="00053C62" w:rsidRDefault="005505AF" w:rsidP="00210998">
            <w:pPr>
              <w:spacing w:after="0"/>
              <w:ind w:right="60"/>
              <w:jc w:val="both"/>
              <w:rPr>
                <w:rFonts w:ascii="Times New Roman" w:hAnsi="Times New Roman" w:cs="Times New Roman"/>
                <w:sz w:val="24"/>
                <w:szCs w:val="24"/>
              </w:rPr>
            </w:pPr>
            <w:r w:rsidRPr="00053C62">
              <w:rPr>
                <w:rFonts w:ascii="Times New Roman" w:hAnsi="Times New Roman" w:cs="Times New Roman"/>
                <w:sz w:val="24"/>
                <w:szCs w:val="24"/>
              </w:rPr>
              <w:br w:type="page"/>
            </w:r>
            <w:r w:rsidRPr="00053C62">
              <w:rPr>
                <w:rFonts w:ascii="Times New Roman" w:hAnsi="Times New Roman" w:cs="Times New Roman"/>
                <w:b/>
                <w:color w:val="000000"/>
                <w:sz w:val="24"/>
                <w:szCs w:val="24"/>
              </w:rPr>
              <w:t>Composante du projet</w:t>
            </w:r>
          </w:p>
        </w:tc>
        <w:tc>
          <w:tcPr>
            <w:tcW w:w="8080" w:type="dxa"/>
            <w:gridSpan w:val="4"/>
            <w:shd w:val="clear" w:color="auto" w:fill="auto"/>
            <w:vAlign w:val="center"/>
          </w:tcPr>
          <w:p w:rsidR="005505AF" w:rsidRPr="006A22C9" w:rsidRDefault="005505AF" w:rsidP="005F7D3D">
            <w:pPr>
              <w:spacing w:after="0"/>
              <w:ind w:right="60"/>
              <w:jc w:val="center"/>
              <w:rPr>
                <w:rFonts w:ascii="Times New Roman" w:hAnsi="Times New Roman" w:cs="Times New Roman"/>
                <w:b/>
                <w:sz w:val="24"/>
                <w:szCs w:val="24"/>
              </w:rPr>
            </w:pPr>
            <w:r w:rsidRPr="006A22C9">
              <w:rPr>
                <w:rFonts w:ascii="Times New Roman" w:hAnsi="Times New Roman" w:cs="Times New Roman"/>
                <w:b/>
                <w:sz w:val="24"/>
                <w:szCs w:val="24"/>
              </w:rPr>
              <w:t>Construction d'un réservoir de 100 m3</w:t>
            </w:r>
          </w:p>
        </w:tc>
      </w:tr>
      <w:tr w:rsidR="005505AF" w:rsidRPr="00053C62" w:rsidTr="005F7D3D">
        <w:trPr>
          <w:jc w:val="center"/>
        </w:trPr>
        <w:tc>
          <w:tcPr>
            <w:tcW w:w="2547" w:type="dxa"/>
            <w:shd w:val="clear" w:color="auto" w:fill="F2F2F2" w:themeFill="background1" w:themeFillShade="F2"/>
          </w:tcPr>
          <w:p w:rsidR="005505AF" w:rsidRPr="00053C62" w:rsidRDefault="005505AF" w:rsidP="00210998">
            <w:pPr>
              <w:spacing w:after="0"/>
              <w:ind w:right="60"/>
              <w:jc w:val="both"/>
              <w:rPr>
                <w:rFonts w:ascii="Times New Roman" w:hAnsi="Times New Roman" w:cs="Times New Roman"/>
                <w:b/>
                <w:color w:val="000000"/>
                <w:sz w:val="24"/>
                <w:szCs w:val="24"/>
              </w:rPr>
            </w:pPr>
            <w:r w:rsidRPr="00053C62">
              <w:rPr>
                <w:rFonts w:ascii="Times New Roman" w:hAnsi="Times New Roman" w:cs="Times New Roman"/>
                <w:b/>
                <w:color w:val="000000"/>
                <w:sz w:val="24"/>
                <w:szCs w:val="24"/>
              </w:rPr>
              <w:t>Localités associées</w:t>
            </w:r>
          </w:p>
        </w:tc>
        <w:tc>
          <w:tcPr>
            <w:tcW w:w="8080" w:type="dxa"/>
            <w:gridSpan w:val="4"/>
            <w:shd w:val="clear" w:color="auto" w:fill="auto"/>
            <w:vAlign w:val="center"/>
          </w:tcPr>
          <w:p w:rsidR="005505AF" w:rsidRPr="006A22C9" w:rsidRDefault="005505AF" w:rsidP="005F7D3D">
            <w:pPr>
              <w:spacing w:after="0"/>
              <w:ind w:right="60"/>
              <w:jc w:val="center"/>
              <w:rPr>
                <w:rFonts w:ascii="Times New Roman" w:hAnsi="Times New Roman" w:cs="Times New Roman"/>
                <w:b/>
                <w:sz w:val="24"/>
                <w:szCs w:val="24"/>
              </w:rPr>
            </w:pPr>
            <w:r w:rsidRPr="006A22C9">
              <w:rPr>
                <w:rFonts w:ascii="Times New Roman" w:hAnsi="Times New Roman" w:cs="Times New Roman"/>
                <w:b/>
                <w:sz w:val="24"/>
                <w:szCs w:val="24"/>
              </w:rPr>
              <w:t>PRÁBIS</w:t>
            </w:r>
          </w:p>
        </w:tc>
      </w:tr>
      <w:tr w:rsidR="005505AF" w:rsidRPr="00053C62" w:rsidTr="005F7D3D">
        <w:trPr>
          <w:jc w:val="center"/>
        </w:trPr>
        <w:tc>
          <w:tcPr>
            <w:tcW w:w="4484" w:type="dxa"/>
            <w:gridSpan w:val="2"/>
            <w:vMerge w:val="restart"/>
            <w:shd w:val="clear" w:color="auto" w:fill="F2F2F2" w:themeFill="background1" w:themeFillShade="F2"/>
          </w:tcPr>
          <w:p w:rsidR="005505AF" w:rsidRPr="00053C62" w:rsidRDefault="005505AF" w:rsidP="00210998">
            <w:pPr>
              <w:spacing w:after="0"/>
              <w:ind w:right="60"/>
              <w:jc w:val="both"/>
              <w:rPr>
                <w:rFonts w:ascii="Times New Roman" w:hAnsi="Times New Roman" w:cs="Times New Roman"/>
                <w:sz w:val="24"/>
                <w:szCs w:val="24"/>
              </w:rPr>
            </w:pPr>
          </w:p>
        </w:tc>
        <w:tc>
          <w:tcPr>
            <w:tcW w:w="1749" w:type="dxa"/>
            <w:shd w:val="clear" w:color="auto" w:fill="F2F2F2" w:themeFill="background1" w:themeFillShade="F2"/>
            <w:vAlign w:val="center"/>
          </w:tcPr>
          <w:p w:rsidR="005505AF" w:rsidRPr="00053C62" w:rsidRDefault="005505AF" w:rsidP="005F7D3D">
            <w:pPr>
              <w:spacing w:after="0"/>
              <w:ind w:right="60"/>
              <w:jc w:val="center"/>
              <w:rPr>
                <w:rFonts w:ascii="Times New Roman" w:hAnsi="Times New Roman" w:cs="Times New Roman"/>
                <w:sz w:val="24"/>
                <w:szCs w:val="24"/>
              </w:rPr>
            </w:pPr>
            <w:r w:rsidRPr="00053C62">
              <w:rPr>
                <w:rFonts w:ascii="Times New Roman" w:hAnsi="Times New Roman" w:cs="Times New Roman"/>
                <w:b/>
                <w:sz w:val="24"/>
                <w:szCs w:val="24"/>
              </w:rPr>
              <w:t>Code GPS</w:t>
            </w:r>
          </w:p>
        </w:tc>
        <w:tc>
          <w:tcPr>
            <w:tcW w:w="2196" w:type="dxa"/>
            <w:shd w:val="clear" w:color="auto" w:fill="F2F2F2" w:themeFill="background1" w:themeFillShade="F2"/>
            <w:vAlign w:val="center"/>
          </w:tcPr>
          <w:p w:rsidR="005505AF" w:rsidRPr="00053C62" w:rsidRDefault="005505AF" w:rsidP="005F7D3D">
            <w:pPr>
              <w:spacing w:after="0"/>
              <w:ind w:right="60"/>
              <w:jc w:val="center"/>
              <w:rPr>
                <w:rFonts w:ascii="Times New Roman" w:hAnsi="Times New Roman" w:cs="Times New Roman"/>
                <w:sz w:val="24"/>
                <w:szCs w:val="24"/>
              </w:rPr>
            </w:pPr>
            <w:r w:rsidRPr="00053C62">
              <w:rPr>
                <w:rFonts w:ascii="Times New Roman" w:hAnsi="Times New Roman" w:cs="Times New Roman"/>
                <w:b/>
                <w:sz w:val="24"/>
                <w:szCs w:val="24"/>
              </w:rPr>
              <w:t>X</w:t>
            </w:r>
          </w:p>
        </w:tc>
        <w:tc>
          <w:tcPr>
            <w:tcW w:w="2198" w:type="dxa"/>
            <w:shd w:val="clear" w:color="auto" w:fill="F2F2F2" w:themeFill="background1" w:themeFillShade="F2"/>
            <w:vAlign w:val="center"/>
          </w:tcPr>
          <w:p w:rsidR="005505AF" w:rsidRPr="00053C62" w:rsidRDefault="005505AF" w:rsidP="005F7D3D">
            <w:pPr>
              <w:spacing w:after="0"/>
              <w:ind w:right="60"/>
              <w:jc w:val="center"/>
              <w:rPr>
                <w:rFonts w:ascii="Times New Roman" w:hAnsi="Times New Roman" w:cs="Times New Roman"/>
                <w:sz w:val="24"/>
                <w:szCs w:val="24"/>
              </w:rPr>
            </w:pPr>
            <w:r w:rsidRPr="00053C62">
              <w:rPr>
                <w:rFonts w:ascii="Times New Roman" w:hAnsi="Times New Roman" w:cs="Times New Roman"/>
                <w:b/>
                <w:sz w:val="24"/>
                <w:szCs w:val="24"/>
              </w:rPr>
              <w:t>Y</w:t>
            </w:r>
          </w:p>
        </w:tc>
      </w:tr>
      <w:tr w:rsidR="005505AF" w:rsidRPr="00053C62" w:rsidTr="005F7D3D">
        <w:trPr>
          <w:jc w:val="center"/>
        </w:trPr>
        <w:tc>
          <w:tcPr>
            <w:tcW w:w="4484" w:type="dxa"/>
            <w:gridSpan w:val="2"/>
            <w:vMerge/>
            <w:shd w:val="clear" w:color="auto" w:fill="F2F2F2" w:themeFill="background1" w:themeFillShade="F2"/>
          </w:tcPr>
          <w:p w:rsidR="005505AF" w:rsidRPr="00053C62" w:rsidRDefault="005505AF" w:rsidP="00210998">
            <w:pPr>
              <w:spacing w:after="0"/>
              <w:ind w:right="60"/>
              <w:jc w:val="both"/>
              <w:rPr>
                <w:rFonts w:ascii="Times New Roman" w:hAnsi="Times New Roman" w:cs="Times New Roman"/>
                <w:sz w:val="24"/>
                <w:szCs w:val="24"/>
              </w:rPr>
            </w:pPr>
          </w:p>
        </w:tc>
        <w:tc>
          <w:tcPr>
            <w:tcW w:w="1749" w:type="dxa"/>
            <w:shd w:val="clear" w:color="auto" w:fill="auto"/>
            <w:vAlign w:val="center"/>
          </w:tcPr>
          <w:p w:rsidR="005505AF" w:rsidRPr="00053C62" w:rsidRDefault="005505AF" w:rsidP="005F7D3D">
            <w:pPr>
              <w:spacing w:after="0"/>
              <w:ind w:right="60"/>
              <w:jc w:val="center"/>
              <w:rPr>
                <w:rFonts w:ascii="Times New Roman" w:hAnsi="Times New Roman" w:cs="Times New Roman"/>
                <w:sz w:val="24"/>
                <w:szCs w:val="24"/>
              </w:rPr>
            </w:pPr>
            <w:r w:rsidRPr="00053C62">
              <w:rPr>
                <w:rFonts w:ascii="Times New Roman" w:hAnsi="Times New Roman" w:cs="Times New Roman"/>
                <w:sz w:val="24"/>
                <w:szCs w:val="24"/>
              </w:rPr>
              <w:t>RE-4</w:t>
            </w:r>
          </w:p>
        </w:tc>
        <w:tc>
          <w:tcPr>
            <w:tcW w:w="2196" w:type="dxa"/>
            <w:shd w:val="clear" w:color="auto" w:fill="auto"/>
            <w:vAlign w:val="center"/>
          </w:tcPr>
          <w:p w:rsidR="005505AF" w:rsidRPr="00053C62" w:rsidRDefault="005505AF" w:rsidP="005F7D3D">
            <w:pPr>
              <w:spacing w:after="0"/>
              <w:ind w:right="60"/>
              <w:jc w:val="center"/>
              <w:rPr>
                <w:rFonts w:ascii="Times New Roman" w:hAnsi="Times New Roman" w:cs="Times New Roman"/>
                <w:sz w:val="24"/>
                <w:szCs w:val="24"/>
              </w:rPr>
            </w:pPr>
            <w:r w:rsidRPr="00053C62">
              <w:rPr>
                <w:rFonts w:ascii="Times New Roman" w:hAnsi="Times New Roman" w:cs="Times New Roman"/>
                <w:color w:val="000000"/>
                <w:sz w:val="24"/>
                <w:szCs w:val="24"/>
              </w:rPr>
              <w:t>419382</w:t>
            </w:r>
          </w:p>
        </w:tc>
        <w:tc>
          <w:tcPr>
            <w:tcW w:w="2198" w:type="dxa"/>
            <w:shd w:val="clear" w:color="auto" w:fill="auto"/>
            <w:vAlign w:val="center"/>
          </w:tcPr>
          <w:p w:rsidR="005505AF" w:rsidRPr="00053C62" w:rsidRDefault="005505AF" w:rsidP="005F7D3D">
            <w:pPr>
              <w:spacing w:after="0"/>
              <w:ind w:right="60"/>
              <w:jc w:val="center"/>
              <w:rPr>
                <w:rFonts w:ascii="Times New Roman" w:hAnsi="Times New Roman" w:cs="Times New Roman"/>
                <w:sz w:val="24"/>
                <w:szCs w:val="24"/>
              </w:rPr>
            </w:pPr>
            <w:r w:rsidRPr="00053C62">
              <w:rPr>
                <w:rFonts w:ascii="Times New Roman" w:hAnsi="Times New Roman" w:cs="Times New Roman"/>
                <w:color w:val="000000"/>
                <w:sz w:val="24"/>
                <w:szCs w:val="24"/>
              </w:rPr>
              <w:t>1304703</w:t>
            </w:r>
          </w:p>
        </w:tc>
      </w:tr>
      <w:tr w:rsidR="005505AF" w:rsidRPr="00053C62" w:rsidTr="005F7D3D">
        <w:trPr>
          <w:jc w:val="center"/>
        </w:trPr>
        <w:tc>
          <w:tcPr>
            <w:tcW w:w="2547" w:type="dxa"/>
            <w:shd w:val="clear" w:color="auto" w:fill="F2F2F2" w:themeFill="background1" w:themeFillShade="F2"/>
            <w:vAlign w:val="center"/>
          </w:tcPr>
          <w:p w:rsidR="005505AF" w:rsidRPr="00053C62" w:rsidRDefault="005505AF" w:rsidP="005F7D3D">
            <w:pPr>
              <w:spacing w:after="0"/>
              <w:ind w:right="60"/>
              <w:jc w:val="center"/>
              <w:rPr>
                <w:rFonts w:ascii="Times New Roman" w:hAnsi="Times New Roman" w:cs="Times New Roman"/>
                <w:sz w:val="24"/>
                <w:szCs w:val="24"/>
              </w:rPr>
            </w:pPr>
            <w:r w:rsidRPr="00053C62">
              <w:rPr>
                <w:rFonts w:ascii="Times New Roman" w:hAnsi="Times New Roman" w:cs="Times New Roman"/>
                <w:b/>
                <w:color w:val="000000"/>
                <w:sz w:val="24"/>
                <w:szCs w:val="24"/>
              </w:rPr>
              <w:t>Caractéristiques (site et reservoir)</w:t>
            </w:r>
          </w:p>
        </w:tc>
        <w:tc>
          <w:tcPr>
            <w:tcW w:w="8080" w:type="dxa"/>
            <w:gridSpan w:val="4"/>
            <w:shd w:val="clear" w:color="auto" w:fill="auto"/>
          </w:tcPr>
          <w:p w:rsidR="005505AF" w:rsidRPr="00647913" w:rsidRDefault="005505AF" w:rsidP="00FA3FAE">
            <w:pPr>
              <w:pStyle w:val="PargrafodaLista"/>
              <w:numPr>
                <w:ilvl w:val="0"/>
                <w:numId w:val="46"/>
              </w:numPr>
              <w:spacing w:after="0" w:line="240" w:lineRule="auto"/>
              <w:ind w:right="60"/>
              <w:jc w:val="both"/>
              <w:rPr>
                <w:rFonts w:ascii="Times New Roman" w:hAnsi="Times New Roman"/>
                <w:sz w:val="22"/>
                <w:szCs w:val="22"/>
                <w:lang w:val="fr-FR"/>
              </w:rPr>
            </w:pPr>
            <w:r w:rsidRPr="00647913">
              <w:rPr>
                <w:rFonts w:ascii="Times New Roman" w:hAnsi="Times New Roman"/>
                <w:sz w:val="22"/>
                <w:szCs w:val="22"/>
                <w:lang w:val="fr-FR"/>
              </w:rPr>
              <w:t>Cote du terrain naturel : 13,5 m</w:t>
            </w:r>
          </w:p>
          <w:p w:rsidR="005505AF" w:rsidRPr="00647913" w:rsidRDefault="005505AF" w:rsidP="00FA3FAE">
            <w:pPr>
              <w:pStyle w:val="PargrafodaLista"/>
              <w:numPr>
                <w:ilvl w:val="0"/>
                <w:numId w:val="46"/>
              </w:numPr>
              <w:spacing w:after="0" w:line="240" w:lineRule="auto"/>
              <w:ind w:right="60"/>
              <w:jc w:val="both"/>
              <w:rPr>
                <w:rFonts w:ascii="Times New Roman" w:hAnsi="Times New Roman"/>
                <w:sz w:val="22"/>
                <w:szCs w:val="22"/>
                <w:lang w:val="fr-FR"/>
              </w:rPr>
            </w:pPr>
            <w:r w:rsidRPr="00647913">
              <w:rPr>
                <w:rFonts w:ascii="Times New Roman" w:hAnsi="Times New Roman"/>
                <w:sz w:val="22"/>
                <w:szCs w:val="22"/>
                <w:lang w:val="fr-FR"/>
              </w:rPr>
              <w:t>Capacité : 100 m</w:t>
            </w:r>
            <w:r w:rsidRPr="00647913">
              <w:rPr>
                <w:rFonts w:ascii="Times New Roman" w:hAnsi="Times New Roman"/>
                <w:sz w:val="22"/>
                <w:szCs w:val="22"/>
                <w:vertAlign w:val="superscript"/>
                <w:lang w:val="fr-FR"/>
              </w:rPr>
              <w:t>3</w:t>
            </w:r>
          </w:p>
          <w:p w:rsidR="005505AF" w:rsidRPr="00647913" w:rsidRDefault="005505AF" w:rsidP="00FA3FAE">
            <w:pPr>
              <w:pStyle w:val="PargrafodaLista"/>
              <w:numPr>
                <w:ilvl w:val="0"/>
                <w:numId w:val="46"/>
              </w:numPr>
              <w:spacing w:after="0" w:line="240" w:lineRule="auto"/>
              <w:ind w:right="60"/>
              <w:jc w:val="both"/>
              <w:rPr>
                <w:rFonts w:ascii="Times New Roman" w:hAnsi="Times New Roman"/>
                <w:sz w:val="22"/>
                <w:szCs w:val="22"/>
                <w:lang w:val="fr-FR"/>
              </w:rPr>
            </w:pPr>
            <w:r w:rsidRPr="00647913">
              <w:rPr>
                <w:rFonts w:ascii="Times New Roman" w:hAnsi="Times New Roman"/>
                <w:sz w:val="22"/>
                <w:szCs w:val="22"/>
                <w:lang w:val="fr-FR"/>
              </w:rPr>
              <w:t>Hauteur de la jupe au-dessus du TN sera de 14 m.</w:t>
            </w:r>
          </w:p>
          <w:p w:rsidR="005505AF" w:rsidRPr="00647913" w:rsidRDefault="005505AF" w:rsidP="00210998">
            <w:pPr>
              <w:spacing w:after="0"/>
              <w:ind w:left="80" w:right="60"/>
              <w:jc w:val="both"/>
              <w:rPr>
                <w:rFonts w:ascii="Times New Roman" w:hAnsi="Times New Roman" w:cs="Times New Roman"/>
              </w:rPr>
            </w:pPr>
            <w:r w:rsidRPr="00647913">
              <w:rPr>
                <w:rFonts w:ascii="Times New Roman" w:hAnsi="Times New Roman" w:cs="Times New Roman"/>
              </w:rPr>
              <w:t>Cote PBE de la cuve sera de 27,5 m, de façon à garantir une bonne alimentation gravitaire à tout le réseau de distribution. La hauteur de la cuve sera de l’ordre de 2,5 m, et le PHE atteindra environ 30 m.</w:t>
            </w:r>
          </w:p>
        </w:tc>
      </w:tr>
      <w:tr w:rsidR="005505AF" w:rsidRPr="00053C62" w:rsidTr="005F7D3D">
        <w:trPr>
          <w:jc w:val="center"/>
        </w:trPr>
        <w:tc>
          <w:tcPr>
            <w:tcW w:w="2547" w:type="dxa"/>
            <w:shd w:val="clear" w:color="auto" w:fill="F2F2F2" w:themeFill="background1" w:themeFillShade="F2"/>
            <w:vAlign w:val="center"/>
          </w:tcPr>
          <w:p w:rsidR="005505AF" w:rsidRPr="00053C62" w:rsidRDefault="005505AF" w:rsidP="005F7D3D">
            <w:pPr>
              <w:spacing w:after="0"/>
              <w:ind w:right="60"/>
              <w:jc w:val="center"/>
              <w:rPr>
                <w:rFonts w:ascii="Times New Roman" w:hAnsi="Times New Roman" w:cs="Times New Roman"/>
                <w:b/>
                <w:color w:val="000000"/>
                <w:sz w:val="24"/>
                <w:szCs w:val="24"/>
              </w:rPr>
            </w:pPr>
            <w:r w:rsidRPr="00053C62">
              <w:rPr>
                <w:rFonts w:ascii="Times New Roman" w:hAnsi="Times New Roman" w:cs="Times New Roman"/>
                <w:b/>
                <w:color w:val="000000"/>
                <w:sz w:val="24"/>
                <w:szCs w:val="24"/>
              </w:rPr>
              <w:t>Description du milieu d’influence direct</w:t>
            </w:r>
          </w:p>
        </w:tc>
        <w:tc>
          <w:tcPr>
            <w:tcW w:w="8080" w:type="dxa"/>
            <w:gridSpan w:val="4"/>
            <w:shd w:val="clear" w:color="auto" w:fill="auto"/>
          </w:tcPr>
          <w:p w:rsidR="005505AF" w:rsidRPr="00647913" w:rsidRDefault="005505AF" w:rsidP="00210998">
            <w:pPr>
              <w:spacing w:after="0"/>
              <w:ind w:left="80" w:right="60"/>
              <w:jc w:val="both"/>
              <w:rPr>
                <w:rFonts w:ascii="Times New Roman" w:hAnsi="Times New Roman" w:cs="Times New Roman"/>
              </w:rPr>
            </w:pPr>
            <w:r w:rsidRPr="00647913">
              <w:rPr>
                <w:rFonts w:ascii="Times New Roman" w:hAnsi="Times New Roman" w:cs="Times New Roman"/>
                <w:color w:val="000000"/>
              </w:rPr>
              <w:t>Le site pour la réalisation du réservoir se trouve derrière la mairie de Prabis près du poste d’alimentation d’électricité et un ancien bâtiment de EAGB, de l’entourage du site on peut citer des habitations, une borne fontaine et une école non loin.</w:t>
            </w:r>
          </w:p>
          <w:p w:rsidR="005505AF" w:rsidRPr="00647913" w:rsidRDefault="005505AF" w:rsidP="00210998">
            <w:pPr>
              <w:spacing w:after="0"/>
              <w:ind w:left="80" w:right="60"/>
              <w:jc w:val="both"/>
              <w:rPr>
                <w:rFonts w:ascii="Times New Roman" w:hAnsi="Times New Roman" w:cs="Times New Roman"/>
              </w:rPr>
            </w:pPr>
            <w:r w:rsidRPr="00647913">
              <w:rPr>
                <w:rFonts w:ascii="Times New Roman" w:hAnsi="Times New Roman" w:cs="Times New Roman"/>
              </w:rPr>
              <w:t>D’autre part, l’accès au local (pour installation des équipements, gestion courante, maintenance, etc…) est facile car l’emplacement est à côté d’une route existante.</w:t>
            </w:r>
          </w:p>
        </w:tc>
      </w:tr>
      <w:tr w:rsidR="005505AF" w:rsidRPr="00053C62" w:rsidTr="006A22C9">
        <w:trPr>
          <w:jc w:val="center"/>
        </w:trPr>
        <w:tc>
          <w:tcPr>
            <w:tcW w:w="10627" w:type="dxa"/>
            <w:gridSpan w:val="5"/>
            <w:shd w:val="clear" w:color="auto" w:fill="auto"/>
          </w:tcPr>
          <w:p w:rsidR="005505AF" w:rsidRPr="00053C62" w:rsidRDefault="00EE0400" w:rsidP="005F7D3D">
            <w:pPr>
              <w:spacing w:after="0"/>
              <w:jc w:val="center"/>
              <w:rPr>
                <w:rFonts w:ascii="Times New Roman" w:hAnsi="Times New Roman" w:cs="Times New Roman"/>
                <w:color w:val="000000"/>
                <w:sz w:val="24"/>
                <w:szCs w:val="24"/>
              </w:rPr>
            </w:pPr>
            <w:bookmarkStart w:id="81" w:name="_Toc32512056"/>
            <w:r w:rsidRPr="00770F4C">
              <w:rPr>
                <w:rFonts w:ascii="Times New Roman" w:hAnsi="Times New Roman" w:cs="Times New Roman"/>
                <w:b/>
                <w:sz w:val="24"/>
                <w:szCs w:val="24"/>
              </w:rPr>
              <w:t xml:space="preserve">Photo </w:t>
            </w:r>
            <w:r w:rsidRPr="00770F4C">
              <w:rPr>
                <w:rFonts w:ascii="Times New Roman" w:hAnsi="Times New Roman" w:cs="Times New Roman"/>
                <w:b/>
                <w:sz w:val="24"/>
                <w:szCs w:val="24"/>
              </w:rPr>
              <w:fldChar w:fldCharType="begin"/>
            </w:r>
            <w:r w:rsidRPr="00770F4C">
              <w:rPr>
                <w:rFonts w:ascii="Times New Roman" w:hAnsi="Times New Roman" w:cs="Times New Roman"/>
                <w:b/>
                <w:sz w:val="24"/>
                <w:szCs w:val="24"/>
              </w:rPr>
              <w:instrText xml:space="preserve"> SEQ PHOTO \* ARABIC </w:instrText>
            </w:r>
            <w:r w:rsidRPr="00770F4C">
              <w:rPr>
                <w:rFonts w:ascii="Times New Roman" w:hAnsi="Times New Roman" w:cs="Times New Roman"/>
                <w:b/>
                <w:sz w:val="24"/>
                <w:szCs w:val="24"/>
              </w:rPr>
              <w:fldChar w:fldCharType="separate"/>
            </w:r>
            <w:r w:rsidR="002C6E60">
              <w:rPr>
                <w:rFonts w:ascii="Times New Roman" w:hAnsi="Times New Roman" w:cs="Times New Roman"/>
                <w:b/>
                <w:noProof/>
                <w:sz w:val="24"/>
                <w:szCs w:val="24"/>
              </w:rPr>
              <w:t>5</w:t>
            </w:r>
            <w:r w:rsidRPr="00770F4C">
              <w:rPr>
                <w:rFonts w:ascii="Times New Roman" w:hAnsi="Times New Roman" w:cs="Times New Roman"/>
                <w:b/>
                <w:sz w:val="24"/>
                <w:szCs w:val="24"/>
              </w:rPr>
              <w:fldChar w:fldCharType="end"/>
            </w:r>
            <w:r w:rsidRPr="00770F4C">
              <w:rPr>
                <w:rFonts w:ascii="Times New Roman" w:hAnsi="Times New Roman" w:cs="Times New Roman"/>
                <w:b/>
                <w:sz w:val="24"/>
                <w:szCs w:val="24"/>
              </w:rPr>
              <w:t xml:space="preserve"> : </w:t>
            </w:r>
            <w:r w:rsidR="005505AF" w:rsidRPr="00053C62">
              <w:rPr>
                <w:rFonts w:ascii="Times New Roman" w:hAnsi="Times New Roman" w:cs="Times New Roman"/>
                <w:b/>
                <w:color w:val="000000"/>
                <w:sz w:val="24"/>
                <w:szCs w:val="24"/>
              </w:rPr>
              <w:t>Photos Illustrations</w:t>
            </w:r>
            <w:r>
              <w:rPr>
                <w:rFonts w:ascii="Times New Roman" w:hAnsi="Times New Roman" w:cs="Times New Roman"/>
                <w:b/>
                <w:color w:val="000000"/>
                <w:sz w:val="24"/>
                <w:szCs w:val="24"/>
              </w:rPr>
              <w:t xml:space="preserve"> de l’emplacement prévu du réservoir à Prabis</w:t>
            </w:r>
            <w:bookmarkEnd w:id="81"/>
          </w:p>
        </w:tc>
      </w:tr>
      <w:tr w:rsidR="005505AF" w:rsidRPr="00053C62" w:rsidTr="006A22C9">
        <w:trPr>
          <w:jc w:val="center"/>
        </w:trPr>
        <w:tc>
          <w:tcPr>
            <w:tcW w:w="10627" w:type="dxa"/>
            <w:gridSpan w:val="5"/>
            <w:shd w:val="clear" w:color="auto" w:fill="auto"/>
          </w:tcPr>
          <w:p w:rsidR="005505AF" w:rsidRPr="00053C62" w:rsidRDefault="005505AF" w:rsidP="00210998">
            <w:pPr>
              <w:spacing w:after="0"/>
              <w:ind w:right="60"/>
              <w:jc w:val="center"/>
              <w:rPr>
                <w:rFonts w:ascii="Times New Roman" w:hAnsi="Times New Roman" w:cs="Times New Roman"/>
                <w:color w:val="000000"/>
                <w:sz w:val="24"/>
                <w:szCs w:val="24"/>
              </w:rPr>
            </w:pPr>
            <w:r w:rsidRPr="00053C62">
              <w:rPr>
                <w:rFonts w:ascii="Times New Roman" w:hAnsi="Times New Roman" w:cs="Times New Roman"/>
                <w:noProof/>
                <w:color w:val="000000"/>
                <w:sz w:val="24"/>
                <w:szCs w:val="24"/>
                <w:lang w:val="pt-PT" w:eastAsia="pt-PT"/>
              </w:rPr>
              <w:drawing>
                <wp:inline distT="0" distB="0" distL="0" distR="0" wp14:anchorId="69579CE2" wp14:editId="612A7F70">
                  <wp:extent cx="2075180" cy="1399540"/>
                  <wp:effectExtent l="0" t="0" r="1270" b="0"/>
                  <wp:docPr id="451" name="Image 451" descr="IMG_2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IMG_2126"/>
                          <pic:cNvPicPr>
                            <a:picLocks noChangeAspect="1" noChangeArrowheads="1"/>
                          </pic:cNvPicPr>
                        </pic:nvPicPr>
                        <pic:blipFill>
                          <a:blip r:embed="rId56" cstate="email">
                            <a:extLst>
                              <a:ext uri="{28A0092B-C50C-407E-A947-70E740481C1C}">
                                <a14:useLocalDpi xmlns:a14="http://schemas.microsoft.com/office/drawing/2010/main"/>
                              </a:ext>
                            </a:extLst>
                          </a:blip>
                          <a:srcRect/>
                          <a:stretch>
                            <a:fillRect/>
                          </a:stretch>
                        </pic:blipFill>
                        <pic:spPr bwMode="auto">
                          <a:xfrm>
                            <a:off x="0" y="0"/>
                            <a:ext cx="2075180" cy="1399540"/>
                          </a:xfrm>
                          <a:prstGeom prst="rect">
                            <a:avLst/>
                          </a:prstGeom>
                          <a:noFill/>
                          <a:ln>
                            <a:noFill/>
                          </a:ln>
                        </pic:spPr>
                      </pic:pic>
                    </a:graphicData>
                  </a:graphic>
                </wp:inline>
              </w:drawing>
            </w:r>
            <w:r w:rsidRPr="00053C62">
              <w:rPr>
                <w:rFonts w:ascii="Times New Roman" w:hAnsi="Times New Roman" w:cs="Times New Roman"/>
                <w:noProof/>
                <w:color w:val="000000"/>
                <w:sz w:val="24"/>
                <w:szCs w:val="24"/>
                <w:lang w:val="pt-PT" w:eastAsia="pt-PT"/>
              </w:rPr>
              <w:drawing>
                <wp:inline distT="0" distB="0" distL="0" distR="0" wp14:anchorId="3667D6C3" wp14:editId="48A6BFF8">
                  <wp:extent cx="2075180" cy="1399540"/>
                  <wp:effectExtent l="0" t="0" r="1270" b="0"/>
                  <wp:docPr id="450" name="Image 450" descr="IMG_2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IMG_2122"/>
                          <pic:cNvPicPr>
                            <a:picLocks noChangeAspect="1" noChangeArrowheads="1"/>
                          </pic:cNvPicPr>
                        </pic:nvPicPr>
                        <pic:blipFill>
                          <a:blip r:embed="rId57" cstate="email">
                            <a:extLst>
                              <a:ext uri="{28A0092B-C50C-407E-A947-70E740481C1C}">
                                <a14:useLocalDpi xmlns:a14="http://schemas.microsoft.com/office/drawing/2010/main"/>
                              </a:ext>
                            </a:extLst>
                          </a:blip>
                          <a:srcRect/>
                          <a:stretch>
                            <a:fillRect/>
                          </a:stretch>
                        </pic:blipFill>
                        <pic:spPr bwMode="auto">
                          <a:xfrm>
                            <a:off x="0" y="0"/>
                            <a:ext cx="2075180" cy="1399540"/>
                          </a:xfrm>
                          <a:prstGeom prst="rect">
                            <a:avLst/>
                          </a:prstGeom>
                          <a:noFill/>
                          <a:ln>
                            <a:noFill/>
                          </a:ln>
                        </pic:spPr>
                      </pic:pic>
                    </a:graphicData>
                  </a:graphic>
                </wp:inline>
              </w:drawing>
            </w:r>
            <w:r w:rsidRPr="00053C62">
              <w:rPr>
                <w:rFonts w:ascii="Times New Roman" w:hAnsi="Times New Roman" w:cs="Times New Roman"/>
                <w:noProof/>
                <w:color w:val="000000"/>
                <w:sz w:val="24"/>
                <w:szCs w:val="24"/>
                <w:lang w:val="pt-PT" w:eastAsia="pt-PT"/>
              </w:rPr>
              <w:drawing>
                <wp:inline distT="0" distB="0" distL="0" distR="0" wp14:anchorId="401F71B9" wp14:editId="115A9DE0">
                  <wp:extent cx="2091055" cy="1399540"/>
                  <wp:effectExtent l="0" t="0" r="4445" b="0"/>
                  <wp:docPr id="449" name="Image 449" descr="IMG_2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IMG_2125"/>
                          <pic:cNvPicPr>
                            <a:picLocks noChangeAspect="1" noChangeArrowheads="1"/>
                          </pic:cNvPicPr>
                        </pic:nvPicPr>
                        <pic:blipFill>
                          <a:blip r:embed="rId58" cstate="email">
                            <a:extLst>
                              <a:ext uri="{28A0092B-C50C-407E-A947-70E740481C1C}">
                                <a14:useLocalDpi xmlns:a14="http://schemas.microsoft.com/office/drawing/2010/main"/>
                              </a:ext>
                            </a:extLst>
                          </a:blip>
                          <a:srcRect/>
                          <a:stretch>
                            <a:fillRect/>
                          </a:stretch>
                        </pic:blipFill>
                        <pic:spPr bwMode="auto">
                          <a:xfrm>
                            <a:off x="0" y="0"/>
                            <a:ext cx="2091055" cy="1399540"/>
                          </a:xfrm>
                          <a:prstGeom prst="rect">
                            <a:avLst/>
                          </a:prstGeom>
                          <a:noFill/>
                          <a:ln>
                            <a:noFill/>
                          </a:ln>
                        </pic:spPr>
                      </pic:pic>
                    </a:graphicData>
                  </a:graphic>
                </wp:inline>
              </w:drawing>
            </w:r>
          </w:p>
        </w:tc>
      </w:tr>
      <w:tr w:rsidR="005505AF" w:rsidRPr="00053C62" w:rsidTr="006A22C9">
        <w:trPr>
          <w:jc w:val="center"/>
        </w:trPr>
        <w:tc>
          <w:tcPr>
            <w:tcW w:w="10627" w:type="dxa"/>
            <w:gridSpan w:val="5"/>
            <w:shd w:val="clear" w:color="auto" w:fill="auto"/>
          </w:tcPr>
          <w:p w:rsidR="005505AF" w:rsidRPr="00053C62" w:rsidRDefault="00833733" w:rsidP="005F7D3D">
            <w:pPr>
              <w:spacing w:after="0"/>
              <w:ind w:right="60"/>
              <w:jc w:val="center"/>
              <w:rPr>
                <w:rFonts w:ascii="Times New Roman" w:hAnsi="Times New Roman" w:cs="Times New Roman"/>
                <w:b/>
                <w:noProof/>
                <w:color w:val="000000"/>
                <w:sz w:val="24"/>
                <w:szCs w:val="24"/>
                <w:lang w:eastAsia="fr-FR"/>
              </w:rPr>
            </w:pPr>
            <w:r w:rsidRPr="0047697F">
              <w:rPr>
                <w:rFonts w:ascii="Times New Roman" w:hAnsi="Times New Roman" w:cs="Times New Roman"/>
                <w:b/>
              </w:rPr>
              <w:t xml:space="preserve">Carte </w:t>
            </w:r>
            <w:r w:rsidRPr="0047697F">
              <w:rPr>
                <w:rFonts w:ascii="Times New Roman" w:hAnsi="Times New Roman" w:cs="Times New Roman"/>
                <w:b/>
              </w:rPr>
              <w:fldChar w:fldCharType="begin"/>
            </w:r>
            <w:r w:rsidRPr="0047697F">
              <w:rPr>
                <w:rFonts w:ascii="Times New Roman" w:hAnsi="Times New Roman" w:cs="Times New Roman"/>
                <w:b/>
              </w:rPr>
              <w:instrText xml:space="preserve"> SEQ Carte \* ARABIC </w:instrText>
            </w:r>
            <w:r w:rsidRPr="0047697F">
              <w:rPr>
                <w:rFonts w:ascii="Times New Roman" w:hAnsi="Times New Roman" w:cs="Times New Roman"/>
                <w:b/>
              </w:rPr>
              <w:fldChar w:fldCharType="separate"/>
            </w:r>
            <w:r w:rsidR="002C6E60">
              <w:rPr>
                <w:rFonts w:ascii="Times New Roman" w:hAnsi="Times New Roman" w:cs="Times New Roman"/>
                <w:b/>
                <w:noProof/>
              </w:rPr>
              <w:t>8</w:t>
            </w:r>
            <w:r w:rsidRPr="0047697F">
              <w:rPr>
                <w:rFonts w:ascii="Times New Roman" w:hAnsi="Times New Roman" w:cs="Times New Roman"/>
                <w:b/>
              </w:rPr>
              <w:fldChar w:fldCharType="end"/>
            </w:r>
            <w:r w:rsidRPr="0047697F">
              <w:rPr>
                <w:rFonts w:ascii="Times New Roman" w:hAnsi="Times New Roman" w:cs="Times New Roman"/>
                <w:b/>
              </w:rPr>
              <w:t xml:space="preserve">: </w:t>
            </w:r>
            <w:r w:rsidR="005505AF" w:rsidRPr="00053C62">
              <w:rPr>
                <w:rFonts w:ascii="Times New Roman" w:eastAsia="Arial" w:hAnsi="Times New Roman" w:cs="Times New Roman"/>
                <w:b/>
                <w:sz w:val="24"/>
                <w:szCs w:val="24"/>
              </w:rPr>
              <w:t>Carte de localisation du réservoir à construire à Prabis</w:t>
            </w:r>
          </w:p>
        </w:tc>
      </w:tr>
      <w:tr w:rsidR="005505AF" w:rsidRPr="00053C62" w:rsidTr="006A22C9">
        <w:trPr>
          <w:jc w:val="center"/>
        </w:trPr>
        <w:tc>
          <w:tcPr>
            <w:tcW w:w="10627" w:type="dxa"/>
            <w:gridSpan w:val="5"/>
            <w:shd w:val="clear" w:color="auto" w:fill="auto"/>
          </w:tcPr>
          <w:p w:rsidR="005505AF" w:rsidRPr="00053C62" w:rsidRDefault="005505AF" w:rsidP="00210998">
            <w:pPr>
              <w:spacing w:after="0"/>
              <w:ind w:right="60"/>
              <w:jc w:val="both"/>
              <w:rPr>
                <w:rFonts w:ascii="Times New Roman" w:hAnsi="Times New Roman" w:cs="Times New Roman"/>
                <w:sz w:val="24"/>
                <w:szCs w:val="24"/>
              </w:rPr>
            </w:pPr>
            <w:r w:rsidRPr="00053C62">
              <w:rPr>
                <w:rFonts w:ascii="Times New Roman" w:hAnsi="Times New Roman" w:cs="Times New Roman"/>
                <w:noProof/>
                <w:sz w:val="24"/>
                <w:szCs w:val="24"/>
                <w:lang w:val="pt-PT" w:eastAsia="pt-PT"/>
              </w:rPr>
              <w:drawing>
                <wp:inline distT="0" distB="0" distL="0" distR="0" wp14:anchorId="5C6761C8" wp14:editId="051F1378">
                  <wp:extent cx="6648450" cy="3869060"/>
                  <wp:effectExtent l="0" t="0" r="0" b="0"/>
                  <wp:docPr id="448" name="Image 448" descr="4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4444"/>
                          <pic:cNvPicPr>
                            <a:picLocks noChangeAspect="1" noChangeArrowheads="1"/>
                          </pic:cNvPicPr>
                        </pic:nvPicPr>
                        <pic:blipFill>
                          <a:blip r:embed="rId59" cstate="email">
                            <a:extLst>
                              <a:ext uri="{28A0092B-C50C-407E-A947-70E740481C1C}">
                                <a14:useLocalDpi xmlns:a14="http://schemas.microsoft.com/office/drawing/2010/main"/>
                              </a:ext>
                            </a:extLst>
                          </a:blip>
                          <a:srcRect/>
                          <a:stretch>
                            <a:fillRect/>
                          </a:stretch>
                        </pic:blipFill>
                        <pic:spPr bwMode="auto">
                          <a:xfrm>
                            <a:off x="0" y="0"/>
                            <a:ext cx="6665584" cy="3879031"/>
                          </a:xfrm>
                          <a:prstGeom prst="rect">
                            <a:avLst/>
                          </a:prstGeom>
                          <a:noFill/>
                          <a:ln>
                            <a:noFill/>
                          </a:ln>
                        </pic:spPr>
                      </pic:pic>
                    </a:graphicData>
                  </a:graphic>
                </wp:inline>
              </w:drawing>
            </w:r>
          </w:p>
        </w:tc>
      </w:tr>
    </w:tbl>
    <w:p w:rsidR="005505AF" w:rsidRPr="005F2DD4" w:rsidRDefault="005505AF" w:rsidP="00FA3FAE">
      <w:pPr>
        <w:pStyle w:val="PargrafodaLista"/>
        <w:numPr>
          <w:ilvl w:val="2"/>
          <w:numId w:val="219"/>
        </w:numPr>
        <w:spacing w:after="0" w:line="240" w:lineRule="auto"/>
        <w:contextualSpacing w:val="0"/>
        <w:jc w:val="both"/>
        <w:outlineLvl w:val="2"/>
        <w:rPr>
          <w:rFonts w:ascii="Times New Roman" w:hAnsi="Times New Roman"/>
          <w:b/>
          <w:bCs/>
          <w:sz w:val="24"/>
          <w:szCs w:val="24"/>
          <w:lang w:val="fr-FR" w:eastAsia="fr-FR"/>
        </w:rPr>
      </w:pPr>
      <w:bookmarkStart w:id="82" w:name="_Toc21355386"/>
      <w:bookmarkStart w:id="83" w:name="_Toc51072519"/>
      <w:r w:rsidRPr="005F2DD4">
        <w:rPr>
          <w:rFonts w:ascii="Times New Roman" w:hAnsi="Times New Roman"/>
          <w:b/>
          <w:bCs/>
          <w:sz w:val="24"/>
          <w:szCs w:val="24"/>
          <w:lang w:val="fr-FR" w:eastAsia="fr-FR"/>
        </w:rPr>
        <w:lastRenderedPageBreak/>
        <w:t>Construction de nouveau réservoir de Safim</w:t>
      </w:r>
      <w:bookmarkEnd w:id="82"/>
      <w:bookmarkEnd w:id="83"/>
    </w:p>
    <w:p w:rsidR="00BB26B9" w:rsidRDefault="00BB26B9" w:rsidP="00BB26B9">
      <w:pPr>
        <w:tabs>
          <w:tab w:val="left" w:pos="8322"/>
        </w:tabs>
        <w:spacing w:after="0"/>
        <w:rPr>
          <w:rFonts w:ascii="Times New Roman" w:eastAsia="Times New Roman" w:hAnsi="Times New Roman"/>
          <w:sz w:val="24"/>
          <w:szCs w:val="24"/>
          <w:lang w:eastAsia="fr-FR"/>
        </w:rPr>
      </w:pPr>
    </w:p>
    <w:p w:rsidR="00BB26B9" w:rsidRPr="00CA000E" w:rsidRDefault="00BB26B9" w:rsidP="005F2DD4">
      <w:pPr>
        <w:tabs>
          <w:tab w:val="left" w:pos="8322"/>
        </w:tabs>
        <w:spacing w:after="0"/>
      </w:pPr>
      <w:r w:rsidRPr="00BB26B9">
        <w:rPr>
          <w:rFonts w:ascii="Times New Roman" w:eastAsia="Times New Roman" w:hAnsi="Times New Roman"/>
          <w:sz w:val="24"/>
          <w:szCs w:val="24"/>
          <w:lang w:eastAsia="fr-FR"/>
        </w:rPr>
        <w:t>La visite de terrain a été effectuée le 14 Mai 2019 avec Mr INNO de EAGB et Mr JULIO de PUASEE. Ainsi,</w:t>
      </w:r>
      <w:r w:rsidRPr="00BB26B9">
        <w:rPr>
          <w:rFonts w:ascii="Times New Roman" w:hAnsi="Times New Roman"/>
          <w:sz w:val="24"/>
          <w:szCs w:val="24"/>
        </w:rPr>
        <w:t xml:space="preserve"> </w:t>
      </w:r>
      <w:r w:rsidR="005F2DD4" w:rsidRPr="00AE15B0">
        <w:rPr>
          <w:rFonts w:ascii="Times New Roman" w:hAnsi="Times New Roman"/>
          <w:sz w:val="24"/>
          <w:szCs w:val="24"/>
        </w:rPr>
        <w:t xml:space="preserve">les </w:t>
      </w:r>
      <w:r w:rsidR="005F2DD4">
        <w:rPr>
          <w:rFonts w:ascii="Times New Roman" w:eastAsia="Times New Roman" w:hAnsi="Times New Roman"/>
          <w:sz w:val="24"/>
          <w:szCs w:val="24"/>
          <w:lang w:eastAsia="fr-FR"/>
        </w:rPr>
        <w:t>constatations suivantes ont été not</w:t>
      </w:r>
      <w:r w:rsidR="00217DAE">
        <w:rPr>
          <w:rFonts w:ascii="Times New Roman" w:eastAsia="Times New Roman" w:hAnsi="Times New Roman"/>
          <w:sz w:val="24"/>
          <w:szCs w:val="24"/>
          <w:lang w:eastAsia="fr-FR"/>
        </w:rPr>
        <w:t>ées</w:t>
      </w:r>
      <w:r w:rsidR="005F2DD4">
        <w:rPr>
          <w:rFonts w:ascii="Times New Roman" w:eastAsia="Times New Roman" w:hAnsi="Times New Roman"/>
          <w:sz w:val="24"/>
          <w:szCs w:val="24"/>
          <w:lang w:eastAsia="fr-FR"/>
        </w:rPr>
        <w:t xml:space="preserve"> au niveau de Safim.</w:t>
      </w:r>
    </w:p>
    <w:tbl>
      <w:tblPr>
        <w:tblW w:w="104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2"/>
        <w:gridCol w:w="2257"/>
        <w:gridCol w:w="1743"/>
        <w:gridCol w:w="1970"/>
        <w:gridCol w:w="1548"/>
      </w:tblGrid>
      <w:tr w:rsidR="005505AF" w:rsidRPr="00053C62" w:rsidTr="005F2DD4">
        <w:trPr>
          <w:jc w:val="center"/>
        </w:trPr>
        <w:tc>
          <w:tcPr>
            <w:tcW w:w="2972" w:type="dxa"/>
            <w:shd w:val="clear" w:color="auto" w:fill="F2F2F2" w:themeFill="background1" w:themeFillShade="F2"/>
            <w:vAlign w:val="center"/>
          </w:tcPr>
          <w:p w:rsidR="005505AF" w:rsidRPr="00053C62" w:rsidRDefault="005505AF" w:rsidP="005F2DD4">
            <w:pPr>
              <w:spacing w:after="0"/>
              <w:ind w:right="60"/>
              <w:jc w:val="center"/>
              <w:rPr>
                <w:rFonts w:ascii="Times New Roman" w:hAnsi="Times New Roman" w:cs="Times New Roman"/>
                <w:sz w:val="24"/>
                <w:szCs w:val="24"/>
              </w:rPr>
            </w:pPr>
            <w:r w:rsidRPr="00053C62">
              <w:rPr>
                <w:rFonts w:ascii="Times New Roman" w:hAnsi="Times New Roman" w:cs="Times New Roman"/>
                <w:sz w:val="24"/>
                <w:szCs w:val="24"/>
              </w:rPr>
              <w:br w:type="page"/>
            </w:r>
            <w:r w:rsidRPr="00053C62">
              <w:rPr>
                <w:rFonts w:ascii="Times New Roman" w:hAnsi="Times New Roman" w:cs="Times New Roman"/>
                <w:b/>
                <w:color w:val="000000"/>
                <w:sz w:val="24"/>
                <w:szCs w:val="24"/>
              </w:rPr>
              <w:t>Composante du projet</w:t>
            </w:r>
          </w:p>
        </w:tc>
        <w:tc>
          <w:tcPr>
            <w:tcW w:w="7518" w:type="dxa"/>
            <w:gridSpan w:val="4"/>
            <w:shd w:val="clear" w:color="auto" w:fill="auto"/>
          </w:tcPr>
          <w:p w:rsidR="005505AF" w:rsidRPr="005F2DD4" w:rsidRDefault="005505AF" w:rsidP="005F2DD4">
            <w:pPr>
              <w:spacing w:after="0"/>
              <w:ind w:right="60"/>
              <w:jc w:val="center"/>
              <w:rPr>
                <w:rFonts w:ascii="Times New Roman" w:hAnsi="Times New Roman" w:cs="Times New Roman"/>
                <w:b/>
                <w:sz w:val="24"/>
                <w:szCs w:val="24"/>
              </w:rPr>
            </w:pPr>
            <w:r w:rsidRPr="005F2DD4">
              <w:rPr>
                <w:rFonts w:ascii="Times New Roman" w:hAnsi="Times New Roman" w:cs="Times New Roman"/>
                <w:b/>
                <w:sz w:val="24"/>
                <w:szCs w:val="24"/>
              </w:rPr>
              <w:t>Construction d'un réservoir de 300 m3</w:t>
            </w:r>
          </w:p>
        </w:tc>
      </w:tr>
      <w:tr w:rsidR="005505AF" w:rsidRPr="00053C62" w:rsidTr="005F2DD4">
        <w:trPr>
          <w:jc w:val="center"/>
        </w:trPr>
        <w:tc>
          <w:tcPr>
            <w:tcW w:w="2972" w:type="dxa"/>
            <w:shd w:val="clear" w:color="auto" w:fill="F2F2F2" w:themeFill="background1" w:themeFillShade="F2"/>
            <w:vAlign w:val="center"/>
          </w:tcPr>
          <w:p w:rsidR="005505AF" w:rsidRPr="00053C62" w:rsidRDefault="005505AF" w:rsidP="005F2DD4">
            <w:pPr>
              <w:spacing w:after="0"/>
              <w:ind w:right="60"/>
              <w:jc w:val="center"/>
              <w:rPr>
                <w:rFonts w:ascii="Times New Roman" w:hAnsi="Times New Roman" w:cs="Times New Roman"/>
                <w:b/>
                <w:color w:val="000000"/>
                <w:sz w:val="24"/>
                <w:szCs w:val="24"/>
              </w:rPr>
            </w:pPr>
            <w:r w:rsidRPr="00053C62">
              <w:rPr>
                <w:rFonts w:ascii="Times New Roman" w:hAnsi="Times New Roman" w:cs="Times New Roman"/>
                <w:b/>
                <w:color w:val="000000"/>
                <w:sz w:val="24"/>
                <w:szCs w:val="24"/>
              </w:rPr>
              <w:t>Localités associées</w:t>
            </w:r>
          </w:p>
        </w:tc>
        <w:tc>
          <w:tcPr>
            <w:tcW w:w="7518" w:type="dxa"/>
            <w:gridSpan w:val="4"/>
            <w:shd w:val="clear" w:color="auto" w:fill="auto"/>
          </w:tcPr>
          <w:p w:rsidR="005505AF" w:rsidRPr="00053C62" w:rsidRDefault="005505AF" w:rsidP="005F2DD4">
            <w:pPr>
              <w:spacing w:after="0"/>
              <w:ind w:right="60"/>
              <w:jc w:val="center"/>
              <w:rPr>
                <w:rFonts w:ascii="Times New Roman" w:hAnsi="Times New Roman" w:cs="Times New Roman"/>
                <w:b/>
                <w:sz w:val="24"/>
                <w:szCs w:val="24"/>
              </w:rPr>
            </w:pPr>
            <w:r w:rsidRPr="00053C62">
              <w:rPr>
                <w:rFonts w:ascii="Times New Roman" w:hAnsi="Times New Roman" w:cs="Times New Roman"/>
                <w:b/>
                <w:sz w:val="24"/>
                <w:szCs w:val="24"/>
              </w:rPr>
              <w:t>Safim</w:t>
            </w:r>
          </w:p>
        </w:tc>
      </w:tr>
      <w:tr w:rsidR="005505AF" w:rsidRPr="00053C62" w:rsidTr="005F2DD4">
        <w:trPr>
          <w:jc w:val="center"/>
        </w:trPr>
        <w:tc>
          <w:tcPr>
            <w:tcW w:w="5229" w:type="dxa"/>
            <w:gridSpan w:val="2"/>
            <w:vMerge w:val="restart"/>
            <w:shd w:val="clear" w:color="auto" w:fill="F2F2F2" w:themeFill="background1" w:themeFillShade="F2"/>
            <w:vAlign w:val="center"/>
          </w:tcPr>
          <w:p w:rsidR="005505AF" w:rsidRPr="00053C62" w:rsidRDefault="005505AF" w:rsidP="005F2DD4">
            <w:pPr>
              <w:spacing w:after="0"/>
              <w:ind w:right="60"/>
              <w:jc w:val="center"/>
              <w:rPr>
                <w:rFonts w:ascii="Times New Roman" w:hAnsi="Times New Roman" w:cs="Times New Roman"/>
                <w:sz w:val="24"/>
                <w:szCs w:val="24"/>
              </w:rPr>
            </w:pPr>
          </w:p>
        </w:tc>
        <w:tc>
          <w:tcPr>
            <w:tcW w:w="1743" w:type="dxa"/>
            <w:shd w:val="clear" w:color="auto" w:fill="F2F2F2" w:themeFill="background1" w:themeFillShade="F2"/>
          </w:tcPr>
          <w:p w:rsidR="005505AF" w:rsidRPr="00053C62" w:rsidRDefault="005505AF" w:rsidP="005F2DD4">
            <w:pPr>
              <w:spacing w:after="0"/>
              <w:ind w:right="60"/>
              <w:jc w:val="center"/>
              <w:rPr>
                <w:rFonts w:ascii="Times New Roman" w:hAnsi="Times New Roman" w:cs="Times New Roman"/>
                <w:sz w:val="24"/>
                <w:szCs w:val="24"/>
              </w:rPr>
            </w:pPr>
            <w:r w:rsidRPr="00053C62">
              <w:rPr>
                <w:rFonts w:ascii="Times New Roman" w:hAnsi="Times New Roman" w:cs="Times New Roman"/>
                <w:b/>
                <w:sz w:val="24"/>
                <w:szCs w:val="24"/>
              </w:rPr>
              <w:t>Code GPS</w:t>
            </w:r>
          </w:p>
        </w:tc>
        <w:tc>
          <w:tcPr>
            <w:tcW w:w="1970" w:type="dxa"/>
            <w:shd w:val="clear" w:color="auto" w:fill="F2F2F2" w:themeFill="background1" w:themeFillShade="F2"/>
            <w:vAlign w:val="center"/>
          </w:tcPr>
          <w:p w:rsidR="005505AF" w:rsidRPr="00053C62" w:rsidRDefault="005505AF" w:rsidP="005F2DD4">
            <w:pPr>
              <w:spacing w:after="0"/>
              <w:ind w:right="60"/>
              <w:jc w:val="center"/>
              <w:rPr>
                <w:rFonts w:ascii="Times New Roman" w:hAnsi="Times New Roman" w:cs="Times New Roman"/>
                <w:sz w:val="24"/>
                <w:szCs w:val="24"/>
              </w:rPr>
            </w:pPr>
            <w:r w:rsidRPr="00053C62">
              <w:rPr>
                <w:rFonts w:ascii="Times New Roman" w:hAnsi="Times New Roman" w:cs="Times New Roman"/>
                <w:b/>
                <w:sz w:val="24"/>
                <w:szCs w:val="24"/>
              </w:rPr>
              <w:t>X</w:t>
            </w:r>
          </w:p>
        </w:tc>
        <w:tc>
          <w:tcPr>
            <w:tcW w:w="1548" w:type="dxa"/>
            <w:shd w:val="clear" w:color="auto" w:fill="F2F2F2" w:themeFill="background1" w:themeFillShade="F2"/>
            <w:vAlign w:val="center"/>
          </w:tcPr>
          <w:p w:rsidR="005505AF" w:rsidRPr="00053C62" w:rsidRDefault="005505AF" w:rsidP="005F2DD4">
            <w:pPr>
              <w:spacing w:after="0"/>
              <w:ind w:right="60"/>
              <w:jc w:val="center"/>
              <w:rPr>
                <w:rFonts w:ascii="Times New Roman" w:hAnsi="Times New Roman" w:cs="Times New Roman"/>
                <w:sz w:val="24"/>
                <w:szCs w:val="24"/>
              </w:rPr>
            </w:pPr>
            <w:r w:rsidRPr="00053C62">
              <w:rPr>
                <w:rFonts w:ascii="Times New Roman" w:hAnsi="Times New Roman" w:cs="Times New Roman"/>
                <w:b/>
                <w:sz w:val="24"/>
                <w:szCs w:val="24"/>
              </w:rPr>
              <w:t>Y</w:t>
            </w:r>
          </w:p>
        </w:tc>
      </w:tr>
      <w:tr w:rsidR="005505AF" w:rsidRPr="00053C62" w:rsidTr="005F2DD4">
        <w:trPr>
          <w:jc w:val="center"/>
        </w:trPr>
        <w:tc>
          <w:tcPr>
            <w:tcW w:w="5229" w:type="dxa"/>
            <w:gridSpan w:val="2"/>
            <w:vMerge/>
            <w:shd w:val="clear" w:color="auto" w:fill="F2F2F2" w:themeFill="background1" w:themeFillShade="F2"/>
            <w:vAlign w:val="center"/>
          </w:tcPr>
          <w:p w:rsidR="005505AF" w:rsidRPr="00053C62" w:rsidRDefault="005505AF" w:rsidP="005F2DD4">
            <w:pPr>
              <w:spacing w:after="0"/>
              <w:ind w:right="60"/>
              <w:jc w:val="center"/>
              <w:rPr>
                <w:rFonts w:ascii="Times New Roman" w:hAnsi="Times New Roman" w:cs="Times New Roman"/>
                <w:sz w:val="24"/>
                <w:szCs w:val="24"/>
              </w:rPr>
            </w:pPr>
          </w:p>
        </w:tc>
        <w:tc>
          <w:tcPr>
            <w:tcW w:w="1743" w:type="dxa"/>
            <w:shd w:val="clear" w:color="auto" w:fill="auto"/>
            <w:vAlign w:val="center"/>
          </w:tcPr>
          <w:p w:rsidR="005505AF" w:rsidRPr="00053C62" w:rsidRDefault="005505AF" w:rsidP="005F2DD4">
            <w:pPr>
              <w:spacing w:after="0"/>
              <w:ind w:right="60"/>
              <w:jc w:val="center"/>
              <w:rPr>
                <w:rFonts w:ascii="Times New Roman" w:hAnsi="Times New Roman" w:cs="Times New Roman"/>
                <w:sz w:val="24"/>
                <w:szCs w:val="24"/>
              </w:rPr>
            </w:pPr>
            <w:r w:rsidRPr="00053C62">
              <w:rPr>
                <w:rFonts w:ascii="Times New Roman" w:hAnsi="Times New Roman" w:cs="Times New Roman"/>
                <w:sz w:val="24"/>
                <w:szCs w:val="24"/>
              </w:rPr>
              <w:t>RE-5</w:t>
            </w:r>
          </w:p>
        </w:tc>
        <w:tc>
          <w:tcPr>
            <w:tcW w:w="1970" w:type="dxa"/>
            <w:shd w:val="clear" w:color="auto" w:fill="auto"/>
            <w:vAlign w:val="center"/>
          </w:tcPr>
          <w:p w:rsidR="005505AF" w:rsidRPr="00053C62" w:rsidRDefault="005505AF" w:rsidP="005F2DD4">
            <w:pPr>
              <w:spacing w:after="0"/>
              <w:ind w:right="60"/>
              <w:jc w:val="center"/>
              <w:rPr>
                <w:rFonts w:ascii="Times New Roman" w:hAnsi="Times New Roman" w:cs="Times New Roman"/>
                <w:sz w:val="24"/>
                <w:szCs w:val="24"/>
              </w:rPr>
            </w:pPr>
            <w:r w:rsidRPr="00053C62">
              <w:rPr>
                <w:rFonts w:ascii="Times New Roman" w:hAnsi="Times New Roman" w:cs="Times New Roman"/>
                <w:color w:val="000000"/>
                <w:sz w:val="24"/>
                <w:szCs w:val="24"/>
              </w:rPr>
              <w:t>429258</w:t>
            </w:r>
          </w:p>
        </w:tc>
        <w:tc>
          <w:tcPr>
            <w:tcW w:w="1548" w:type="dxa"/>
            <w:shd w:val="clear" w:color="auto" w:fill="auto"/>
            <w:vAlign w:val="center"/>
          </w:tcPr>
          <w:p w:rsidR="005505AF" w:rsidRPr="00053C62" w:rsidRDefault="005505AF" w:rsidP="005F2DD4">
            <w:pPr>
              <w:spacing w:after="0"/>
              <w:ind w:right="60"/>
              <w:jc w:val="center"/>
              <w:rPr>
                <w:rFonts w:ascii="Times New Roman" w:hAnsi="Times New Roman" w:cs="Times New Roman"/>
                <w:sz w:val="24"/>
                <w:szCs w:val="24"/>
              </w:rPr>
            </w:pPr>
            <w:r w:rsidRPr="00053C62">
              <w:rPr>
                <w:rFonts w:ascii="Times New Roman" w:hAnsi="Times New Roman" w:cs="Times New Roman"/>
                <w:color w:val="000000"/>
                <w:sz w:val="24"/>
                <w:szCs w:val="24"/>
              </w:rPr>
              <w:t>1321747</w:t>
            </w:r>
          </w:p>
        </w:tc>
      </w:tr>
      <w:tr w:rsidR="005505AF" w:rsidRPr="00053C62" w:rsidTr="005F2DD4">
        <w:trPr>
          <w:trHeight w:val="333"/>
          <w:jc w:val="center"/>
        </w:trPr>
        <w:tc>
          <w:tcPr>
            <w:tcW w:w="2972" w:type="dxa"/>
            <w:shd w:val="clear" w:color="auto" w:fill="F2F2F2" w:themeFill="background1" w:themeFillShade="F2"/>
            <w:vAlign w:val="center"/>
          </w:tcPr>
          <w:p w:rsidR="005505AF" w:rsidRPr="00053C62" w:rsidRDefault="005505AF" w:rsidP="005F2DD4">
            <w:pPr>
              <w:spacing w:after="0"/>
              <w:ind w:right="60"/>
              <w:jc w:val="center"/>
              <w:rPr>
                <w:rFonts w:ascii="Times New Roman" w:hAnsi="Times New Roman" w:cs="Times New Roman"/>
                <w:b/>
                <w:color w:val="000000"/>
                <w:sz w:val="24"/>
                <w:szCs w:val="24"/>
              </w:rPr>
            </w:pPr>
            <w:r w:rsidRPr="00053C62">
              <w:rPr>
                <w:rFonts w:ascii="Times New Roman" w:hAnsi="Times New Roman" w:cs="Times New Roman"/>
                <w:b/>
                <w:color w:val="000000"/>
                <w:sz w:val="24"/>
                <w:szCs w:val="24"/>
              </w:rPr>
              <w:t xml:space="preserve">Caractéristiques (site et </w:t>
            </w:r>
            <w:r w:rsidR="005F2DD4" w:rsidRPr="00053C62">
              <w:rPr>
                <w:rFonts w:ascii="Times New Roman" w:hAnsi="Times New Roman" w:cs="Times New Roman"/>
                <w:b/>
                <w:color w:val="000000"/>
                <w:sz w:val="24"/>
                <w:szCs w:val="24"/>
              </w:rPr>
              <w:t>réservoir</w:t>
            </w:r>
            <w:r w:rsidRPr="00053C62">
              <w:rPr>
                <w:rFonts w:ascii="Times New Roman" w:hAnsi="Times New Roman" w:cs="Times New Roman"/>
                <w:b/>
                <w:color w:val="000000"/>
                <w:sz w:val="24"/>
                <w:szCs w:val="24"/>
              </w:rPr>
              <w:t>)</w:t>
            </w:r>
          </w:p>
        </w:tc>
        <w:tc>
          <w:tcPr>
            <w:tcW w:w="7518" w:type="dxa"/>
            <w:gridSpan w:val="4"/>
            <w:shd w:val="clear" w:color="auto" w:fill="auto"/>
          </w:tcPr>
          <w:p w:rsidR="005505AF" w:rsidRPr="00647913" w:rsidRDefault="005505AF" w:rsidP="00FA3FAE">
            <w:pPr>
              <w:pStyle w:val="PargrafodaLista"/>
              <w:numPr>
                <w:ilvl w:val="0"/>
                <w:numId w:val="46"/>
              </w:numPr>
              <w:spacing w:after="0" w:line="240" w:lineRule="auto"/>
              <w:ind w:right="60"/>
              <w:jc w:val="both"/>
              <w:rPr>
                <w:rFonts w:ascii="Times New Roman" w:hAnsi="Times New Roman"/>
                <w:sz w:val="22"/>
                <w:szCs w:val="22"/>
                <w:lang w:val="fr-FR"/>
              </w:rPr>
            </w:pPr>
            <w:r w:rsidRPr="00647913">
              <w:rPr>
                <w:rFonts w:ascii="Times New Roman" w:hAnsi="Times New Roman"/>
                <w:sz w:val="22"/>
                <w:szCs w:val="22"/>
                <w:lang w:val="fr-FR"/>
              </w:rPr>
              <w:t>Capacité : 350 m</w:t>
            </w:r>
            <w:r w:rsidRPr="00647913">
              <w:rPr>
                <w:rFonts w:ascii="Times New Roman" w:hAnsi="Times New Roman"/>
                <w:sz w:val="22"/>
                <w:szCs w:val="22"/>
                <w:vertAlign w:val="superscript"/>
                <w:lang w:val="fr-FR"/>
              </w:rPr>
              <w:t>3</w:t>
            </w:r>
          </w:p>
          <w:p w:rsidR="005505AF" w:rsidRPr="00647913" w:rsidRDefault="005505AF" w:rsidP="00FA3FAE">
            <w:pPr>
              <w:pStyle w:val="PargrafodaLista"/>
              <w:numPr>
                <w:ilvl w:val="0"/>
                <w:numId w:val="46"/>
              </w:numPr>
              <w:spacing w:after="0" w:line="240" w:lineRule="auto"/>
              <w:ind w:right="60"/>
              <w:jc w:val="both"/>
              <w:rPr>
                <w:rFonts w:ascii="Times New Roman" w:hAnsi="Times New Roman"/>
                <w:sz w:val="22"/>
                <w:szCs w:val="22"/>
                <w:lang w:val="fr-FR"/>
              </w:rPr>
            </w:pPr>
            <w:r w:rsidRPr="00647913">
              <w:rPr>
                <w:rFonts w:ascii="Times New Roman" w:hAnsi="Times New Roman"/>
                <w:sz w:val="22"/>
                <w:szCs w:val="22"/>
                <w:lang w:val="fr-FR"/>
              </w:rPr>
              <w:t>Hauteur de la jupe au-dessus du TN sera de ±22 m</w:t>
            </w:r>
          </w:p>
          <w:p w:rsidR="00210998" w:rsidRPr="00647913" w:rsidRDefault="005505AF" w:rsidP="005F2DD4">
            <w:pPr>
              <w:pStyle w:val="PargrafodaLista"/>
              <w:spacing w:after="0"/>
              <w:ind w:left="0" w:right="60"/>
              <w:jc w:val="both"/>
              <w:rPr>
                <w:rFonts w:ascii="Times New Roman" w:hAnsi="Times New Roman"/>
                <w:sz w:val="22"/>
                <w:szCs w:val="22"/>
                <w:lang w:val="fr-FR"/>
              </w:rPr>
            </w:pPr>
            <w:r w:rsidRPr="00647913">
              <w:rPr>
                <w:rFonts w:ascii="Times New Roman" w:hAnsi="Times New Roman"/>
                <w:sz w:val="22"/>
                <w:szCs w:val="22"/>
                <w:lang w:val="fr-FR"/>
              </w:rPr>
              <w:t xml:space="preserve">Les dimensions et cotes des réservoirs à construire permettront l’adduction gravitaire </w:t>
            </w:r>
            <w:r w:rsidR="00210998" w:rsidRPr="00647913">
              <w:rPr>
                <w:rFonts w:ascii="Times New Roman" w:hAnsi="Times New Roman"/>
                <w:sz w:val="22"/>
                <w:szCs w:val="22"/>
                <w:lang w:val="fr-FR"/>
              </w:rPr>
              <w:t>vers le réseau de distribution.</w:t>
            </w:r>
          </w:p>
          <w:p w:rsidR="005505AF" w:rsidRPr="00647913" w:rsidRDefault="005505AF" w:rsidP="005F2DD4">
            <w:pPr>
              <w:pStyle w:val="PargrafodaLista"/>
              <w:spacing w:after="0"/>
              <w:ind w:left="0" w:right="60"/>
              <w:jc w:val="both"/>
              <w:rPr>
                <w:rFonts w:ascii="Times New Roman" w:hAnsi="Times New Roman"/>
                <w:sz w:val="22"/>
                <w:szCs w:val="22"/>
                <w:lang w:val="fr-FR"/>
              </w:rPr>
            </w:pPr>
            <w:r w:rsidRPr="00647913">
              <w:rPr>
                <w:rFonts w:ascii="Times New Roman" w:hAnsi="Times New Roman"/>
                <w:color w:val="000000"/>
                <w:sz w:val="22"/>
                <w:szCs w:val="22"/>
              </w:rPr>
              <w:t>La cote de TN est de 23,5 m</w:t>
            </w:r>
          </w:p>
        </w:tc>
      </w:tr>
      <w:tr w:rsidR="005505AF" w:rsidRPr="00053C62" w:rsidTr="005F2DD4">
        <w:trPr>
          <w:trHeight w:val="1175"/>
          <w:jc w:val="center"/>
        </w:trPr>
        <w:tc>
          <w:tcPr>
            <w:tcW w:w="2972" w:type="dxa"/>
            <w:shd w:val="clear" w:color="auto" w:fill="F2F2F2" w:themeFill="background1" w:themeFillShade="F2"/>
            <w:vAlign w:val="center"/>
          </w:tcPr>
          <w:p w:rsidR="005505AF" w:rsidRPr="00053C62" w:rsidRDefault="005505AF" w:rsidP="005F2DD4">
            <w:pPr>
              <w:spacing w:after="0"/>
              <w:ind w:right="60"/>
              <w:jc w:val="center"/>
              <w:rPr>
                <w:rFonts w:ascii="Times New Roman" w:hAnsi="Times New Roman" w:cs="Times New Roman"/>
                <w:b/>
                <w:color w:val="000000"/>
                <w:sz w:val="24"/>
                <w:szCs w:val="24"/>
              </w:rPr>
            </w:pPr>
            <w:r w:rsidRPr="00053C62">
              <w:rPr>
                <w:rFonts w:ascii="Times New Roman" w:hAnsi="Times New Roman" w:cs="Times New Roman"/>
                <w:b/>
                <w:color w:val="000000"/>
                <w:sz w:val="24"/>
                <w:szCs w:val="24"/>
              </w:rPr>
              <w:t>Description du milieu d’influence direct</w:t>
            </w:r>
          </w:p>
        </w:tc>
        <w:tc>
          <w:tcPr>
            <w:tcW w:w="7518" w:type="dxa"/>
            <w:gridSpan w:val="4"/>
            <w:shd w:val="clear" w:color="auto" w:fill="auto"/>
          </w:tcPr>
          <w:p w:rsidR="005505AF" w:rsidRPr="00647913" w:rsidRDefault="005505AF" w:rsidP="005F2DD4">
            <w:pPr>
              <w:spacing w:after="0"/>
              <w:ind w:left="80" w:right="60"/>
              <w:jc w:val="both"/>
              <w:rPr>
                <w:rFonts w:ascii="Times New Roman" w:hAnsi="Times New Roman" w:cs="Times New Roman"/>
              </w:rPr>
            </w:pPr>
            <w:r w:rsidRPr="00647913">
              <w:rPr>
                <w:rFonts w:ascii="Times New Roman" w:hAnsi="Times New Roman" w:cs="Times New Roman"/>
                <w:color w:val="000000"/>
              </w:rPr>
              <w:t>L’environnement du site est caractérisé par la présence d’une habitation ancienne abandonnée, ancien forage et réservoir, derrière lequel on trouve un poste d’alimentation en électricité à côté d’un restaurant, le tout clôturé à moitié par du fil de fer barbelé et le mur d’un terrain.</w:t>
            </w:r>
          </w:p>
        </w:tc>
      </w:tr>
      <w:tr w:rsidR="005505AF" w:rsidRPr="00053C62" w:rsidTr="00435830">
        <w:trPr>
          <w:jc w:val="center"/>
        </w:trPr>
        <w:tc>
          <w:tcPr>
            <w:tcW w:w="10490" w:type="dxa"/>
            <w:gridSpan w:val="5"/>
            <w:shd w:val="clear" w:color="auto" w:fill="auto"/>
          </w:tcPr>
          <w:p w:rsidR="005505AF" w:rsidRPr="00053C62" w:rsidRDefault="00EE0400" w:rsidP="005F2DD4">
            <w:pPr>
              <w:spacing w:after="0"/>
              <w:jc w:val="center"/>
              <w:rPr>
                <w:rFonts w:ascii="Times New Roman" w:hAnsi="Times New Roman" w:cs="Times New Roman"/>
                <w:color w:val="000000"/>
                <w:sz w:val="24"/>
                <w:szCs w:val="24"/>
              </w:rPr>
            </w:pPr>
            <w:bookmarkStart w:id="84" w:name="_Toc32512057"/>
            <w:r w:rsidRPr="00770F4C">
              <w:rPr>
                <w:rFonts w:ascii="Times New Roman" w:hAnsi="Times New Roman" w:cs="Times New Roman"/>
                <w:b/>
                <w:sz w:val="24"/>
                <w:szCs w:val="24"/>
              </w:rPr>
              <w:t xml:space="preserve">Photo </w:t>
            </w:r>
            <w:r w:rsidRPr="00770F4C">
              <w:rPr>
                <w:rFonts w:ascii="Times New Roman" w:hAnsi="Times New Roman" w:cs="Times New Roman"/>
                <w:b/>
                <w:sz w:val="24"/>
                <w:szCs w:val="24"/>
              </w:rPr>
              <w:fldChar w:fldCharType="begin"/>
            </w:r>
            <w:r w:rsidRPr="00770F4C">
              <w:rPr>
                <w:rFonts w:ascii="Times New Roman" w:hAnsi="Times New Roman" w:cs="Times New Roman"/>
                <w:b/>
                <w:sz w:val="24"/>
                <w:szCs w:val="24"/>
              </w:rPr>
              <w:instrText xml:space="preserve"> SEQ PHOTO \* ARABIC </w:instrText>
            </w:r>
            <w:r w:rsidRPr="00770F4C">
              <w:rPr>
                <w:rFonts w:ascii="Times New Roman" w:hAnsi="Times New Roman" w:cs="Times New Roman"/>
                <w:b/>
                <w:sz w:val="24"/>
                <w:szCs w:val="24"/>
              </w:rPr>
              <w:fldChar w:fldCharType="separate"/>
            </w:r>
            <w:r w:rsidR="002C6E60">
              <w:rPr>
                <w:rFonts w:ascii="Times New Roman" w:hAnsi="Times New Roman" w:cs="Times New Roman"/>
                <w:b/>
                <w:noProof/>
                <w:sz w:val="24"/>
                <w:szCs w:val="24"/>
              </w:rPr>
              <w:t>6</w:t>
            </w:r>
            <w:r w:rsidRPr="00770F4C">
              <w:rPr>
                <w:rFonts w:ascii="Times New Roman" w:hAnsi="Times New Roman" w:cs="Times New Roman"/>
                <w:b/>
                <w:sz w:val="24"/>
                <w:szCs w:val="24"/>
              </w:rPr>
              <w:fldChar w:fldCharType="end"/>
            </w:r>
            <w:r w:rsidRPr="00770F4C">
              <w:rPr>
                <w:rFonts w:ascii="Times New Roman" w:hAnsi="Times New Roman" w:cs="Times New Roman"/>
                <w:b/>
                <w:sz w:val="24"/>
                <w:szCs w:val="24"/>
              </w:rPr>
              <w:t xml:space="preserve"> : </w:t>
            </w:r>
            <w:r w:rsidRPr="00053C62">
              <w:rPr>
                <w:rFonts w:ascii="Times New Roman" w:hAnsi="Times New Roman" w:cs="Times New Roman"/>
                <w:b/>
                <w:color w:val="000000"/>
                <w:sz w:val="24"/>
                <w:szCs w:val="24"/>
              </w:rPr>
              <w:t>Photos Illustrations</w:t>
            </w:r>
            <w:r>
              <w:rPr>
                <w:rFonts w:ascii="Times New Roman" w:hAnsi="Times New Roman" w:cs="Times New Roman"/>
                <w:b/>
                <w:color w:val="000000"/>
                <w:sz w:val="24"/>
                <w:szCs w:val="24"/>
              </w:rPr>
              <w:t xml:space="preserve"> de l’emplacement prévu du réservoir à Safim</w:t>
            </w:r>
            <w:bookmarkEnd w:id="84"/>
          </w:p>
        </w:tc>
      </w:tr>
      <w:tr w:rsidR="005505AF" w:rsidRPr="00053C62" w:rsidTr="00435830">
        <w:trPr>
          <w:trHeight w:val="2556"/>
          <w:jc w:val="center"/>
        </w:trPr>
        <w:tc>
          <w:tcPr>
            <w:tcW w:w="10490" w:type="dxa"/>
            <w:gridSpan w:val="5"/>
            <w:shd w:val="clear" w:color="auto" w:fill="auto"/>
          </w:tcPr>
          <w:p w:rsidR="005505AF" w:rsidRPr="00053C62" w:rsidRDefault="005505AF" w:rsidP="005F2DD4">
            <w:pPr>
              <w:spacing w:after="0"/>
              <w:ind w:right="60"/>
              <w:jc w:val="both"/>
              <w:rPr>
                <w:rFonts w:ascii="Times New Roman" w:hAnsi="Times New Roman" w:cs="Times New Roman"/>
                <w:color w:val="000000"/>
                <w:sz w:val="24"/>
                <w:szCs w:val="24"/>
              </w:rPr>
            </w:pPr>
            <w:r w:rsidRPr="00053C62">
              <w:rPr>
                <w:rFonts w:ascii="Times New Roman" w:hAnsi="Times New Roman" w:cs="Times New Roman"/>
                <w:noProof/>
                <w:color w:val="000000"/>
                <w:sz w:val="24"/>
                <w:szCs w:val="24"/>
                <w:lang w:eastAsia="fr-FR"/>
              </w:rPr>
              <w:t xml:space="preserve"> </w:t>
            </w:r>
            <w:r w:rsidRPr="00053C62">
              <w:rPr>
                <w:rFonts w:ascii="Times New Roman" w:hAnsi="Times New Roman" w:cs="Times New Roman"/>
                <w:noProof/>
                <w:color w:val="000000"/>
                <w:sz w:val="24"/>
                <w:szCs w:val="24"/>
                <w:lang w:val="pt-PT" w:eastAsia="pt-PT"/>
              </w:rPr>
              <w:drawing>
                <wp:inline distT="0" distB="0" distL="0" distR="0" wp14:anchorId="143AA5F5" wp14:editId="28FD66CC">
                  <wp:extent cx="2154555" cy="1614170"/>
                  <wp:effectExtent l="0" t="0" r="0" b="5080"/>
                  <wp:docPr id="63" name="Image 63" descr="IMG_2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IMG_2212"/>
                          <pic:cNvPicPr>
                            <a:picLocks noChangeAspect="1" noChangeArrowheads="1"/>
                          </pic:cNvPicPr>
                        </pic:nvPicPr>
                        <pic:blipFill>
                          <a:blip r:embed="rId60" cstate="email">
                            <a:extLst>
                              <a:ext uri="{28A0092B-C50C-407E-A947-70E740481C1C}">
                                <a14:useLocalDpi xmlns:a14="http://schemas.microsoft.com/office/drawing/2010/main"/>
                              </a:ext>
                            </a:extLst>
                          </a:blip>
                          <a:srcRect/>
                          <a:stretch>
                            <a:fillRect/>
                          </a:stretch>
                        </pic:blipFill>
                        <pic:spPr bwMode="auto">
                          <a:xfrm>
                            <a:off x="0" y="0"/>
                            <a:ext cx="2154555" cy="1614170"/>
                          </a:xfrm>
                          <a:prstGeom prst="rect">
                            <a:avLst/>
                          </a:prstGeom>
                          <a:noFill/>
                          <a:ln>
                            <a:noFill/>
                          </a:ln>
                        </pic:spPr>
                      </pic:pic>
                    </a:graphicData>
                  </a:graphic>
                </wp:inline>
              </w:drawing>
            </w:r>
            <w:r w:rsidRPr="00053C62">
              <w:rPr>
                <w:rFonts w:ascii="Times New Roman" w:hAnsi="Times New Roman" w:cs="Times New Roman"/>
                <w:noProof/>
                <w:color w:val="000000"/>
                <w:sz w:val="24"/>
                <w:szCs w:val="24"/>
                <w:lang w:val="pt-PT" w:eastAsia="pt-PT"/>
              </w:rPr>
              <w:drawing>
                <wp:inline distT="0" distB="0" distL="0" distR="0" wp14:anchorId="1C5D5BD4" wp14:editId="4498A4F0">
                  <wp:extent cx="2131060" cy="1598295"/>
                  <wp:effectExtent l="0" t="0" r="2540" b="1905"/>
                  <wp:docPr id="62" name="Image 62" descr="IMG_2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IMG_2214"/>
                          <pic:cNvPicPr>
                            <a:picLocks noChangeAspect="1" noChangeArrowheads="1"/>
                          </pic:cNvPicPr>
                        </pic:nvPicPr>
                        <pic:blipFill>
                          <a:blip r:embed="rId61" cstate="email">
                            <a:extLst>
                              <a:ext uri="{28A0092B-C50C-407E-A947-70E740481C1C}">
                                <a14:useLocalDpi xmlns:a14="http://schemas.microsoft.com/office/drawing/2010/main"/>
                              </a:ext>
                            </a:extLst>
                          </a:blip>
                          <a:srcRect/>
                          <a:stretch>
                            <a:fillRect/>
                          </a:stretch>
                        </pic:blipFill>
                        <pic:spPr bwMode="auto">
                          <a:xfrm>
                            <a:off x="0" y="0"/>
                            <a:ext cx="2131060" cy="1598295"/>
                          </a:xfrm>
                          <a:prstGeom prst="rect">
                            <a:avLst/>
                          </a:prstGeom>
                          <a:noFill/>
                          <a:ln>
                            <a:noFill/>
                          </a:ln>
                        </pic:spPr>
                      </pic:pic>
                    </a:graphicData>
                  </a:graphic>
                </wp:inline>
              </w:drawing>
            </w:r>
            <w:r w:rsidRPr="00053C62">
              <w:rPr>
                <w:rFonts w:ascii="Times New Roman" w:hAnsi="Times New Roman" w:cs="Times New Roman"/>
                <w:noProof/>
                <w:color w:val="000000"/>
                <w:sz w:val="24"/>
                <w:szCs w:val="24"/>
                <w:lang w:val="pt-PT" w:eastAsia="pt-PT"/>
              </w:rPr>
              <w:drawing>
                <wp:inline distT="0" distB="0" distL="0" distR="0" wp14:anchorId="2EFC6B9F" wp14:editId="24B983D6">
                  <wp:extent cx="2131060" cy="1598295"/>
                  <wp:effectExtent l="0" t="0" r="2540" b="1905"/>
                  <wp:docPr id="61" name="Image 61" descr="IMG_2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IMG_2215"/>
                          <pic:cNvPicPr>
                            <a:picLocks noChangeAspect="1" noChangeArrowheads="1"/>
                          </pic:cNvPicPr>
                        </pic:nvPicPr>
                        <pic:blipFill>
                          <a:blip r:embed="rId62" cstate="email">
                            <a:extLst>
                              <a:ext uri="{28A0092B-C50C-407E-A947-70E740481C1C}">
                                <a14:useLocalDpi xmlns:a14="http://schemas.microsoft.com/office/drawing/2010/main"/>
                              </a:ext>
                            </a:extLst>
                          </a:blip>
                          <a:srcRect/>
                          <a:stretch>
                            <a:fillRect/>
                          </a:stretch>
                        </pic:blipFill>
                        <pic:spPr bwMode="auto">
                          <a:xfrm>
                            <a:off x="0" y="0"/>
                            <a:ext cx="2131060" cy="1598295"/>
                          </a:xfrm>
                          <a:prstGeom prst="rect">
                            <a:avLst/>
                          </a:prstGeom>
                          <a:noFill/>
                          <a:ln>
                            <a:noFill/>
                          </a:ln>
                        </pic:spPr>
                      </pic:pic>
                    </a:graphicData>
                  </a:graphic>
                </wp:inline>
              </w:drawing>
            </w:r>
          </w:p>
        </w:tc>
      </w:tr>
      <w:tr w:rsidR="005505AF" w:rsidRPr="00053C62" w:rsidTr="00435830">
        <w:trPr>
          <w:jc w:val="center"/>
        </w:trPr>
        <w:tc>
          <w:tcPr>
            <w:tcW w:w="10490" w:type="dxa"/>
            <w:gridSpan w:val="5"/>
            <w:shd w:val="clear" w:color="auto" w:fill="auto"/>
          </w:tcPr>
          <w:p w:rsidR="005505AF" w:rsidRPr="00053C62" w:rsidRDefault="00833733" w:rsidP="005F2DD4">
            <w:pPr>
              <w:spacing w:after="0"/>
              <w:ind w:right="60"/>
              <w:jc w:val="center"/>
              <w:rPr>
                <w:rFonts w:ascii="Times New Roman" w:hAnsi="Times New Roman" w:cs="Times New Roman"/>
                <w:b/>
                <w:noProof/>
                <w:color w:val="000000"/>
                <w:sz w:val="24"/>
                <w:szCs w:val="24"/>
                <w:lang w:eastAsia="fr-FR"/>
              </w:rPr>
            </w:pPr>
            <w:r w:rsidRPr="0047697F">
              <w:rPr>
                <w:rFonts w:ascii="Times New Roman" w:hAnsi="Times New Roman" w:cs="Times New Roman"/>
                <w:b/>
              </w:rPr>
              <w:t xml:space="preserve">Carte </w:t>
            </w:r>
            <w:r w:rsidRPr="0047697F">
              <w:rPr>
                <w:rFonts w:ascii="Times New Roman" w:hAnsi="Times New Roman" w:cs="Times New Roman"/>
                <w:b/>
              </w:rPr>
              <w:fldChar w:fldCharType="begin"/>
            </w:r>
            <w:r w:rsidRPr="0047697F">
              <w:rPr>
                <w:rFonts w:ascii="Times New Roman" w:hAnsi="Times New Roman" w:cs="Times New Roman"/>
                <w:b/>
              </w:rPr>
              <w:instrText xml:space="preserve"> SEQ Carte \* ARABIC </w:instrText>
            </w:r>
            <w:r w:rsidRPr="0047697F">
              <w:rPr>
                <w:rFonts w:ascii="Times New Roman" w:hAnsi="Times New Roman" w:cs="Times New Roman"/>
                <w:b/>
              </w:rPr>
              <w:fldChar w:fldCharType="separate"/>
            </w:r>
            <w:r w:rsidR="002C6E60">
              <w:rPr>
                <w:rFonts w:ascii="Times New Roman" w:hAnsi="Times New Roman" w:cs="Times New Roman"/>
                <w:b/>
                <w:noProof/>
              </w:rPr>
              <w:t>9</w:t>
            </w:r>
            <w:r w:rsidRPr="0047697F">
              <w:rPr>
                <w:rFonts w:ascii="Times New Roman" w:hAnsi="Times New Roman" w:cs="Times New Roman"/>
                <w:b/>
              </w:rPr>
              <w:fldChar w:fldCharType="end"/>
            </w:r>
            <w:r w:rsidRPr="0047697F">
              <w:rPr>
                <w:rFonts w:ascii="Times New Roman" w:hAnsi="Times New Roman" w:cs="Times New Roman"/>
                <w:b/>
              </w:rPr>
              <w:t xml:space="preserve">: </w:t>
            </w:r>
            <w:r w:rsidR="005505AF" w:rsidRPr="00053C62">
              <w:rPr>
                <w:rFonts w:ascii="Times New Roman" w:eastAsia="Arial" w:hAnsi="Times New Roman" w:cs="Times New Roman"/>
                <w:b/>
                <w:sz w:val="24"/>
                <w:szCs w:val="24"/>
              </w:rPr>
              <w:t>Carte de localisation du réservoir à Safim</w:t>
            </w:r>
          </w:p>
        </w:tc>
      </w:tr>
      <w:tr w:rsidR="005505AF" w:rsidRPr="00053C62" w:rsidTr="00435830">
        <w:trPr>
          <w:jc w:val="center"/>
        </w:trPr>
        <w:tc>
          <w:tcPr>
            <w:tcW w:w="10490" w:type="dxa"/>
            <w:gridSpan w:val="5"/>
            <w:shd w:val="clear" w:color="auto" w:fill="auto"/>
          </w:tcPr>
          <w:p w:rsidR="005505AF" w:rsidRPr="00053C62" w:rsidRDefault="005505AF" w:rsidP="005F2DD4">
            <w:pPr>
              <w:spacing w:after="0"/>
              <w:ind w:right="60"/>
              <w:jc w:val="both"/>
              <w:rPr>
                <w:rFonts w:ascii="Times New Roman" w:hAnsi="Times New Roman" w:cs="Times New Roman"/>
                <w:sz w:val="24"/>
                <w:szCs w:val="24"/>
              </w:rPr>
            </w:pPr>
            <w:r w:rsidRPr="00053C62">
              <w:rPr>
                <w:rFonts w:ascii="Times New Roman" w:hAnsi="Times New Roman" w:cs="Times New Roman"/>
                <w:noProof/>
                <w:sz w:val="24"/>
                <w:szCs w:val="24"/>
                <w:lang w:val="pt-PT" w:eastAsia="pt-PT"/>
              </w:rPr>
              <w:drawing>
                <wp:inline distT="0" distB="0" distL="0" distR="0" wp14:anchorId="7C0370BF" wp14:editId="2B093E95">
                  <wp:extent cx="6790386" cy="3866606"/>
                  <wp:effectExtent l="0" t="0" r="0" b="635"/>
                  <wp:docPr id="60" name="Image 60" descr="5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5555"/>
                          <pic:cNvPicPr>
                            <a:picLocks noChangeAspect="1" noChangeArrowheads="1"/>
                          </pic:cNvPicPr>
                        </pic:nvPicPr>
                        <pic:blipFill>
                          <a:blip r:embed="rId63" cstate="email">
                            <a:extLst>
                              <a:ext uri="{28A0092B-C50C-407E-A947-70E740481C1C}">
                                <a14:useLocalDpi xmlns:a14="http://schemas.microsoft.com/office/drawing/2010/main"/>
                              </a:ext>
                            </a:extLst>
                          </a:blip>
                          <a:srcRect/>
                          <a:stretch>
                            <a:fillRect/>
                          </a:stretch>
                        </pic:blipFill>
                        <pic:spPr bwMode="auto">
                          <a:xfrm>
                            <a:off x="0" y="0"/>
                            <a:ext cx="6794361" cy="3868870"/>
                          </a:xfrm>
                          <a:prstGeom prst="rect">
                            <a:avLst/>
                          </a:prstGeom>
                          <a:noFill/>
                          <a:ln>
                            <a:noFill/>
                          </a:ln>
                        </pic:spPr>
                      </pic:pic>
                    </a:graphicData>
                  </a:graphic>
                </wp:inline>
              </w:drawing>
            </w:r>
          </w:p>
        </w:tc>
      </w:tr>
    </w:tbl>
    <w:p w:rsidR="005505AF" w:rsidRPr="005F2DD4" w:rsidRDefault="005505AF" w:rsidP="00FA3FAE">
      <w:pPr>
        <w:pStyle w:val="PargrafodaLista"/>
        <w:numPr>
          <w:ilvl w:val="2"/>
          <w:numId w:val="219"/>
        </w:numPr>
        <w:spacing w:after="0" w:line="240" w:lineRule="auto"/>
        <w:contextualSpacing w:val="0"/>
        <w:jc w:val="both"/>
        <w:outlineLvl w:val="2"/>
        <w:rPr>
          <w:rFonts w:ascii="Times New Roman" w:hAnsi="Times New Roman"/>
          <w:b/>
          <w:bCs/>
          <w:sz w:val="24"/>
          <w:szCs w:val="24"/>
          <w:lang w:val="fr-FR" w:eastAsia="fr-FR"/>
        </w:rPr>
      </w:pPr>
      <w:bookmarkStart w:id="85" w:name="_Toc21355387"/>
      <w:bookmarkStart w:id="86" w:name="_Toc51072520"/>
      <w:r w:rsidRPr="005F2DD4">
        <w:rPr>
          <w:rFonts w:ascii="Times New Roman" w:hAnsi="Times New Roman"/>
          <w:b/>
          <w:bCs/>
          <w:sz w:val="24"/>
          <w:szCs w:val="24"/>
          <w:lang w:val="fr-FR" w:eastAsia="fr-FR"/>
        </w:rPr>
        <w:lastRenderedPageBreak/>
        <w:t>Construction de nouveau réservoir de Antula-Pime</w:t>
      </w:r>
      <w:bookmarkEnd w:id="85"/>
      <w:bookmarkEnd w:id="86"/>
    </w:p>
    <w:p w:rsidR="00BB26B9" w:rsidRDefault="00BB26B9" w:rsidP="00BB26B9">
      <w:pPr>
        <w:tabs>
          <w:tab w:val="left" w:pos="8322"/>
        </w:tabs>
        <w:spacing w:after="0"/>
        <w:rPr>
          <w:rFonts w:ascii="Times New Roman" w:eastAsia="Times New Roman" w:hAnsi="Times New Roman"/>
          <w:sz w:val="24"/>
          <w:szCs w:val="24"/>
          <w:lang w:eastAsia="fr-FR"/>
        </w:rPr>
      </w:pPr>
    </w:p>
    <w:p w:rsidR="00BB26B9" w:rsidRPr="00CA000E" w:rsidRDefault="00BB26B9" w:rsidP="00BB26B9">
      <w:pPr>
        <w:tabs>
          <w:tab w:val="left" w:pos="8322"/>
        </w:tabs>
        <w:spacing w:after="0"/>
      </w:pPr>
      <w:r>
        <w:rPr>
          <w:rFonts w:ascii="Times New Roman" w:eastAsia="Times New Roman" w:hAnsi="Times New Roman"/>
          <w:sz w:val="24"/>
          <w:szCs w:val="24"/>
          <w:lang w:eastAsia="fr-FR"/>
        </w:rPr>
        <w:t>L</w:t>
      </w:r>
      <w:r w:rsidRPr="003E743A">
        <w:rPr>
          <w:rFonts w:ascii="Times New Roman" w:eastAsia="Times New Roman" w:hAnsi="Times New Roman"/>
          <w:sz w:val="24"/>
          <w:szCs w:val="24"/>
          <w:lang w:eastAsia="fr-FR"/>
        </w:rPr>
        <w:t>a visite</w:t>
      </w:r>
      <w:r>
        <w:rPr>
          <w:rFonts w:ascii="Times New Roman" w:eastAsia="Times New Roman" w:hAnsi="Times New Roman"/>
          <w:sz w:val="24"/>
          <w:szCs w:val="24"/>
          <w:lang w:eastAsia="fr-FR"/>
        </w:rPr>
        <w:t xml:space="preserve"> de terrain a été effectuée le 10 et 15 Mai 2019 avec Mr INNO de EA</w:t>
      </w:r>
      <w:r w:rsidR="005F2DD4">
        <w:rPr>
          <w:rFonts w:ascii="Times New Roman" w:eastAsia="Times New Roman" w:hAnsi="Times New Roman"/>
          <w:sz w:val="24"/>
          <w:szCs w:val="24"/>
          <w:lang w:eastAsia="fr-FR"/>
        </w:rPr>
        <w:t>GB et Mr JULIO de PUASEE. Ainsi</w:t>
      </w:r>
      <w:r w:rsidR="005F2DD4" w:rsidRPr="00AE15B0">
        <w:rPr>
          <w:rFonts w:ascii="Times New Roman" w:eastAsia="Times New Roman" w:hAnsi="Times New Roman"/>
          <w:sz w:val="24"/>
          <w:szCs w:val="24"/>
          <w:lang w:eastAsia="fr-FR"/>
        </w:rPr>
        <w:t>,</w:t>
      </w:r>
      <w:r w:rsidR="005F2DD4" w:rsidRPr="00AE15B0">
        <w:rPr>
          <w:rFonts w:ascii="Times New Roman" w:hAnsi="Times New Roman"/>
          <w:sz w:val="24"/>
          <w:szCs w:val="24"/>
        </w:rPr>
        <w:t xml:space="preserve"> les </w:t>
      </w:r>
      <w:r w:rsidR="005F2DD4">
        <w:rPr>
          <w:rFonts w:ascii="Times New Roman" w:eastAsia="Times New Roman" w:hAnsi="Times New Roman"/>
          <w:sz w:val="24"/>
          <w:szCs w:val="24"/>
          <w:lang w:eastAsia="fr-FR"/>
        </w:rPr>
        <w:t>constatations suivantes ont été noter au niveau de Antula-Pime</w:t>
      </w:r>
      <w:r w:rsidR="004C52CE">
        <w:rPr>
          <w:rFonts w:ascii="Times New Roman" w:eastAsia="Times New Roman" w:hAnsi="Times New Roman"/>
          <w:sz w:val="24"/>
          <w:szCs w:val="24"/>
          <w:lang w:eastAsia="fr-FR"/>
        </w:rPr>
        <w:t>.</w:t>
      </w:r>
    </w:p>
    <w:tbl>
      <w:tblPr>
        <w:tblW w:w="11166"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71"/>
        <w:gridCol w:w="771"/>
        <w:gridCol w:w="1637"/>
        <w:gridCol w:w="1899"/>
        <w:gridCol w:w="2688"/>
      </w:tblGrid>
      <w:tr w:rsidR="005505AF" w:rsidRPr="00053C62" w:rsidTr="00647913">
        <w:tc>
          <w:tcPr>
            <w:tcW w:w="4171" w:type="dxa"/>
            <w:shd w:val="clear" w:color="auto" w:fill="F2F2F2" w:themeFill="background1" w:themeFillShade="F2"/>
          </w:tcPr>
          <w:p w:rsidR="005505AF" w:rsidRPr="00053C62" w:rsidRDefault="005505AF" w:rsidP="005F2DD4">
            <w:pPr>
              <w:spacing w:after="0"/>
              <w:ind w:right="60"/>
              <w:jc w:val="both"/>
              <w:rPr>
                <w:rFonts w:ascii="Times New Roman" w:hAnsi="Times New Roman" w:cs="Times New Roman"/>
                <w:sz w:val="24"/>
                <w:szCs w:val="24"/>
              </w:rPr>
            </w:pPr>
            <w:r w:rsidRPr="00053C62">
              <w:rPr>
                <w:rFonts w:ascii="Times New Roman" w:hAnsi="Times New Roman" w:cs="Times New Roman"/>
                <w:sz w:val="24"/>
                <w:szCs w:val="24"/>
              </w:rPr>
              <w:br w:type="page"/>
            </w:r>
            <w:r w:rsidRPr="00053C62">
              <w:rPr>
                <w:rFonts w:ascii="Times New Roman" w:hAnsi="Times New Roman" w:cs="Times New Roman"/>
                <w:b/>
                <w:color w:val="000000"/>
                <w:sz w:val="24"/>
                <w:szCs w:val="24"/>
              </w:rPr>
              <w:t>Composante du projet</w:t>
            </w:r>
          </w:p>
        </w:tc>
        <w:tc>
          <w:tcPr>
            <w:tcW w:w="6995" w:type="dxa"/>
            <w:gridSpan w:val="4"/>
            <w:shd w:val="clear" w:color="auto" w:fill="auto"/>
            <w:vAlign w:val="center"/>
          </w:tcPr>
          <w:p w:rsidR="005505AF" w:rsidRPr="006A22C9" w:rsidRDefault="005505AF" w:rsidP="000623F6">
            <w:pPr>
              <w:spacing w:after="0"/>
              <w:ind w:right="60"/>
              <w:jc w:val="center"/>
              <w:rPr>
                <w:rFonts w:ascii="Times New Roman" w:hAnsi="Times New Roman" w:cs="Times New Roman"/>
                <w:b/>
                <w:sz w:val="24"/>
                <w:szCs w:val="24"/>
              </w:rPr>
            </w:pPr>
            <w:r w:rsidRPr="006A22C9">
              <w:rPr>
                <w:rFonts w:ascii="Times New Roman" w:hAnsi="Times New Roman" w:cs="Times New Roman"/>
                <w:b/>
                <w:color w:val="000000"/>
                <w:sz w:val="24"/>
                <w:szCs w:val="24"/>
              </w:rPr>
              <w:t>Construction d’un forage et exécution de forage</w:t>
            </w:r>
          </w:p>
        </w:tc>
      </w:tr>
      <w:tr w:rsidR="005505AF" w:rsidRPr="00053C62" w:rsidTr="00647913">
        <w:tc>
          <w:tcPr>
            <w:tcW w:w="4171" w:type="dxa"/>
            <w:shd w:val="clear" w:color="auto" w:fill="F2F2F2" w:themeFill="background1" w:themeFillShade="F2"/>
          </w:tcPr>
          <w:p w:rsidR="005505AF" w:rsidRPr="00053C62" w:rsidRDefault="005505AF" w:rsidP="005F2DD4">
            <w:pPr>
              <w:spacing w:after="0"/>
              <w:ind w:right="60"/>
              <w:jc w:val="both"/>
              <w:rPr>
                <w:rFonts w:ascii="Times New Roman" w:hAnsi="Times New Roman" w:cs="Times New Roman"/>
                <w:b/>
                <w:color w:val="000000"/>
                <w:sz w:val="24"/>
                <w:szCs w:val="24"/>
              </w:rPr>
            </w:pPr>
            <w:r w:rsidRPr="00053C62">
              <w:rPr>
                <w:rFonts w:ascii="Times New Roman" w:hAnsi="Times New Roman" w:cs="Times New Roman"/>
                <w:b/>
                <w:color w:val="000000"/>
                <w:sz w:val="24"/>
                <w:szCs w:val="24"/>
              </w:rPr>
              <w:t>Localités associées</w:t>
            </w:r>
          </w:p>
        </w:tc>
        <w:tc>
          <w:tcPr>
            <w:tcW w:w="6995" w:type="dxa"/>
            <w:gridSpan w:val="4"/>
            <w:shd w:val="clear" w:color="auto" w:fill="auto"/>
            <w:vAlign w:val="center"/>
          </w:tcPr>
          <w:p w:rsidR="005505AF" w:rsidRPr="006A22C9" w:rsidRDefault="005505AF" w:rsidP="000623F6">
            <w:pPr>
              <w:spacing w:after="0"/>
              <w:ind w:right="60"/>
              <w:jc w:val="center"/>
              <w:rPr>
                <w:rFonts w:ascii="Times New Roman" w:hAnsi="Times New Roman" w:cs="Times New Roman"/>
                <w:b/>
                <w:sz w:val="24"/>
                <w:szCs w:val="24"/>
              </w:rPr>
            </w:pPr>
            <w:r w:rsidRPr="006A22C9">
              <w:rPr>
                <w:rFonts w:ascii="Times New Roman" w:hAnsi="Times New Roman" w:cs="Times New Roman"/>
                <w:b/>
                <w:sz w:val="24"/>
                <w:szCs w:val="24"/>
              </w:rPr>
              <w:t>ANTULA-PIME</w:t>
            </w:r>
          </w:p>
        </w:tc>
      </w:tr>
      <w:tr w:rsidR="005505AF" w:rsidRPr="00053C62" w:rsidTr="00647913">
        <w:tc>
          <w:tcPr>
            <w:tcW w:w="4942" w:type="dxa"/>
            <w:gridSpan w:val="2"/>
            <w:vMerge w:val="restart"/>
            <w:shd w:val="clear" w:color="auto" w:fill="F2F2F2" w:themeFill="background1" w:themeFillShade="F2"/>
          </w:tcPr>
          <w:p w:rsidR="005505AF" w:rsidRPr="00053C62" w:rsidRDefault="005505AF" w:rsidP="005F2DD4">
            <w:pPr>
              <w:spacing w:after="0"/>
              <w:ind w:right="60"/>
              <w:jc w:val="both"/>
              <w:rPr>
                <w:rFonts w:ascii="Times New Roman" w:hAnsi="Times New Roman" w:cs="Times New Roman"/>
                <w:sz w:val="24"/>
                <w:szCs w:val="24"/>
              </w:rPr>
            </w:pPr>
          </w:p>
        </w:tc>
        <w:tc>
          <w:tcPr>
            <w:tcW w:w="1637" w:type="dxa"/>
            <w:shd w:val="clear" w:color="auto" w:fill="F2F2F2" w:themeFill="background1" w:themeFillShade="F2"/>
            <w:vAlign w:val="center"/>
          </w:tcPr>
          <w:p w:rsidR="005505AF" w:rsidRPr="00053C62" w:rsidRDefault="005505AF" w:rsidP="000623F6">
            <w:pPr>
              <w:spacing w:after="0"/>
              <w:ind w:right="60"/>
              <w:jc w:val="center"/>
              <w:rPr>
                <w:rFonts w:ascii="Times New Roman" w:hAnsi="Times New Roman" w:cs="Times New Roman"/>
                <w:sz w:val="24"/>
                <w:szCs w:val="24"/>
              </w:rPr>
            </w:pPr>
            <w:r w:rsidRPr="00053C62">
              <w:rPr>
                <w:rFonts w:ascii="Times New Roman" w:hAnsi="Times New Roman" w:cs="Times New Roman"/>
                <w:b/>
                <w:sz w:val="24"/>
                <w:szCs w:val="24"/>
              </w:rPr>
              <w:t>Code GPS</w:t>
            </w:r>
          </w:p>
        </w:tc>
        <w:tc>
          <w:tcPr>
            <w:tcW w:w="1899" w:type="dxa"/>
            <w:shd w:val="clear" w:color="auto" w:fill="F2F2F2" w:themeFill="background1" w:themeFillShade="F2"/>
            <w:vAlign w:val="center"/>
          </w:tcPr>
          <w:p w:rsidR="005505AF" w:rsidRPr="00053C62" w:rsidRDefault="005505AF" w:rsidP="000623F6">
            <w:pPr>
              <w:spacing w:after="0"/>
              <w:ind w:right="60"/>
              <w:jc w:val="center"/>
              <w:rPr>
                <w:rFonts w:ascii="Times New Roman" w:hAnsi="Times New Roman" w:cs="Times New Roman"/>
                <w:sz w:val="24"/>
                <w:szCs w:val="24"/>
              </w:rPr>
            </w:pPr>
            <w:r w:rsidRPr="00053C62">
              <w:rPr>
                <w:rFonts w:ascii="Times New Roman" w:hAnsi="Times New Roman" w:cs="Times New Roman"/>
                <w:b/>
                <w:sz w:val="24"/>
                <w:szCs w:val="24"/>
              </w:rPr>
              <w:t>X</w:t>
            </w:r>
          </w:p>
        </w:tc>
        <w:tc>
          <w:tcPr>
            <w:tcW w:w="2688" w:type="dxa"/>
            <w:shd w:val="clear" w:color="auto" w:fill="F2F2F2" w:themeFill="background1" w:themeFillShade="F2"/>
            <w:vAlign w:val="center"/>
          </w:tcPr>
          <w:p w:rsidR="005505AF" w:rsidRPr="00053C62" w:rsidRDefault="005505AF" w:rsidP="000623F6">
            <w:pPr>
              <w:spacing w:after="0"/>
              <w:ind w:right="60"/>
              <w:jc w:val="center"/>
              <w:rPr>
                <w:rFonts w:ascii="Times New Roman" w:hAnsi="Times New Roman" w:cs="Times New Roman"/>
                <w:sz w:val="24"/>
                <w:szCs w:val="24"/>
              </w:rPr>
            </w:pPr>
            <w:r w:rsidRPr="00053C62">
              <w:rPr>
                <w:rFonts w:ascii="Times New Roman" w:hAnsi="Times New Roman" w:cs="Times New Roman"/>
                <w:b/>
                <w:sz w:val="24"/>
                <w:szCs w:val="24"/>
              </w:rPr>
              <w:t>Y</w:t>
            </w:r>
          </w:p>
        </w:tc>
      </w:tr>
      <w:tr w:rsidR="005505AF" w:rsidRPr="00053C62" w:rsidTr="00647913">
        <w:tc>
          <w:tcPr>
            <w:tcW w:w="4942" w:type="dxa"/>
            <w:gridSpan w:val="2"/>
            <w:vMerge/>
            <w:shd w:val="clear" w:color="auto" w:fill="F2F2F2" w:themeFill="background1" w:themeFillShade="F2"/>
          </w:tcPr>
          <w:p w:rsidR="005505AF" w:rsidRPr="00053C62" w:rsidRDefault="005505AF" w:rsidP="005F2DD4">
            <w:pPr>
              <w:spacing w:after="0"/>
              <w:ind w:right="60"/>
              <w:jc w:val="both"/>
              <w:rPr>
                <w:rFonts w:ascii="Times New Roman" w:hAnsi="Times New Roman" w:cs="Times New Roman"/>
                <w:sz w:val="24"/>
                <w:szCs w:val="24"/>
              </w:rPr>
            </w:pPr>
          </w:p>
        </w:tc>
        <w:tc>
          <w:tcPr>
            <w:tcW w:w="1637" w:type="dxa"/>
            <w:shd w:val="clear" w:color="auto" w:fill="auto"/>
            <w:vAlign w:val="center"/>
          </w:tcPr>
          <w:p w:rsidR="005505AF" w:rsidRPr="00053C62" w:rsidRDefault="005505AF" w:rsidP="000623F6">
            <w:pPr>
              <w:spacing w:after="0"/>
              <w:ind w:right="60"/>
              <w:jc w:val="center"/>
              <w:rPr>
                <w:rFonts w:ascii="Times New Roman" w:hAnsi="Times New Roman" w:cs="Times New Roman"/>
                <w:sz w:val="24"/>
                <w:szCs w:val="24"/>
              </w:rPr>
            </w:pPr>
            <w:r w:rsidRPr="00053C62">
              <w:rPr>
                <w:rFonts w:ascii="Times New Roman" w:hAnsi="Times New Roman" w:cs="Times New Roman"/>
                <w:color w:val="000000"/>
                <w:sz w:val="24"/>
                <w:szCs w:val="24"/>
              </w:rPr>
              <w:t>RE-4</w:t>
            </w:r>
          </w:p>
        </w:tc>
        <w:tc>
          <w:tcPr>
            <w:tcW w:w="1899" w:type="dxa"/>
            <w:shd w:val="clear" w:color="auto" w:fill="auto"/>
            <w:vAlign w:val="center"/>
          </w:tcPr>
          <w:p w:rsidR="005505AF" w:rsidRPr="00053C62" w:rsidRDefault="005505AF" w:rsidP="000623F6">
            <w:pPr>
              <w:spacing w:after="0"/>
              <w:ind w:right="60"/>
              <w:jc w:val="center"/>
              <w:rPr>
                <w:rFonts w:ascii="Times New Roman" w:hAnsi="Times New Roman" w:cs="Times New Roman"/>
                <w:sz w:val="24"/>
                <w:szCs w:val="24"/>
              </w:rPr>
            </w:pPr>
            <w:r w:rsidRPr="00053C62">
              <w:rPr>
                <w:rFonts w:ascii="Times New Roman" w:hAnsi="Times New Roman" w:cs="Times New Roman"/>
                <w:color w:val="000000"/>
                <w:sz w:val="24"/>
                <w:szCs w:val="24"/>
              </w:rPr>
              <w:t>436924</w:t>
            </w:r>
          </w:p>
        </w:tc>
        <w:tc>
          <w:tcPr>
            <w:tcW w:w="2688" w:type="dxa"/>
            <w:shd w:val="clear" w:color="auto" w:fill="auto"/>
            <w:vAlign w:val="center"/>
          </w:tcPr>
          <w:p w:rsidR="005505AF" w:rsidRPr="00053C62" w:rsidRDefault="005505AF" w:rsidP="000623F6">
            <w:pPr>
              <w:spacing w:after="0"/>
              <w:ind w:right="60"/>
              <w:jc w:val="center"/>
              <w:rPr>
                <w:rFonts w:ascii="Times New Roman" w:hAnsi="Times New Roman" w:cs="Times New Roman"/>
                <w:sz w:val="24"/>
                <w:szCs w:val="24"/>
              </w:rPr>
            </w:pPr>
            <w:r w:rsidRPr="00053C62">
              <w:rPr>
                <w:rFonts w:ascii="Times New Roman" w:hAnsi="Times New Roman" w:cs="Times New Roman"/>
                <w:color w:val="000000"/>
                <w:sz w:val="24"/>
                <w:szCs w:val="24"/>
              </w:rPr>
              <w:t>1317038</w:t>
            </w:r>
          </w:p>
        </w:tc>
      </w:tr>
      <w:tr w:rsidR="005505AF" w:rsidRPr="00053C62" w:rsidTr="00647913">
        <w:tc>
          <w:tcPr>
            <w:tcW w:w="4171" w:type="dxa"/>
            <w:shd w:val="clear" w:color="auto" w:fill="F2F2F2" w:themeFill="background1" w:themeFillShade="F2"/>
            <w:vAlign w:val="center"/>
          </w:tcPr>
          <w:p w:rsidR="005505AF" w:rsidRPr="00053C62" w:rsidRDefault="005505AF" w:rsidP="000623F6">
            <w:pPr>
              <w:spacing w:after="0"/>
              <w:ind w:right="60"/>
              <w:jc w:val="center"/>
              <w:rPr>
                <w:rFonts w:ascii="Times New Roman" w:hAnsi="Times New Roman" w:cs="Times New Roman"/>
                <w:sz w:val="24"/>
                <w:szCs w:val="24"/>
              </w:rPr>
            </w:pPr>
            <w:r w:rsidRPr="00053C62">
              <w:rPr>
                <w:rFonts w:ascii="Times New Roman" w:hAnsi="Times New Roman" w:cs="Times New Roman"/>
                <w:b/>
                <w:color w:val="000000"/>
                <w:sz w:val="24"/>
                <w:szCs w:val="24"/>
              </w:rPr>
              <w:t>Caractéristiques (site et réservoir)</w:t>
            </w:r>
          </w:p>
        </w:tc>
        <w:tc>
          <w:tcPr>
            <w:tcW w:w="6995" w:type="dxa"/>
            <w:gridSpan w:val="4"/>
            <w:shd w:val="clear" w:color="auto" w:fill="auto"/>
          </w:tcPr>
          <w:p w:rsidR="005505AF" w:rsidRPr="00647913" w:rsidRDefault="005505AF" w:rsidP="00FA3FAE">
            <w:pPr>
              <w:pStyle w:val="PargrafodaLista"/>
              <w:numPr>
                <w:ilvl w:val="0"/>
                <w:numId w:val="46"/>
              </w:numPr>
              <w:spacing w:after="0" w:line="240" w:lineRule="auto"/>
              <w:ind w:right="60"/>
              <w:jc w:val="both"/>
              <w:rPr>
                <w:rFonts w:ascii="Times New Roman" w:hAnsi="Times New Roman"/>
                <w:sz w:val="22"/>
                <w:szCs w:val="22"/>
                <w:lang w:val="fr-FR"/>
              </w:rPr>
            </w:pPr>
            <w:r w:rsidRPr="00647913">
              <w:rPr>
                <w:rFonts w:ascii="Times New Roman" w:hAnsi="Times New Roman"/>
                <w:sz w:val="22"/>
                <w:szCs w:val="22"/>
                <w:lang w:val="fr-FR"/>
              </w:rPr>
              <w:t>Cote du terrain naturel : 26,5 m</w:t>
            </w:r>
          </w:p>
          <w:p w:rsidR="005505AF" w:rsidRPr="00647913" w:rsidRDefault="005505AF" w:rsidP="00FA3FAE">
            <w:pPr>
              <w:pStyle w:val="PargrafodaLista"/>
              <w:numPr>
                <w:ilvl w:val="0"/>
                <w:numId w:val="46"/>
              </w:numPr>
              <w:spacing w:after="0" w:line="240" w:lineRule="auto"/>
              <w:ind w:right="60"/>
              <w:jc w:val="both"/>
              <w:rPr>
                <w:rFonts w:ascii="Times New Roman" w:hAnsi="Times New Roman"/>
                <w:sz w:val="22"/>
                <w:szCs w:val="22"/>
                <w:lang w:val="fr-FR"/>
              </w:rPr>
            </w:pPr>
            <w:r w:rsidRPr="00647913">
              <w:rPr>
                <w:rFonts w:ascii="Times New Roman" w:hAnsi="Times New Roman"/>
                <w:sz w:val="22"/>
                <w:szCs w:val="22"/>
                <w:lang w:val="fr-FR"/>
              </w:rPr>
              <w:t>Capacité : 700 m</w:t>
            </w:r>
            <w:r w:rsidRPr="00647913">
              <w:rPr>
                <w:rFonts w:ascii="Times New Roman" w:hAnsi="Times New Roman"/>
                <w:sz w:val="22"/>
                <w:szCs w:val="22"/>
                <w:vertAlign w:val="superscript"/>
                <w:lang w:val="fr-FR"/>
              </w:rPr>
              <w:t>3</w:t>
            </w:r>
          </w:p>
          <w:p w:rsidR="005505AF" w:rsidRPr="00647913" w:rsidRDefault="005505AF" w:rsidP="00FA3FAE">
            <w:pPr>
              <w:pStyle w:val="PargrafodaLista"/>
              <w:numPr>
                <w:ilvl w:val="0"/>
                <w:numId w:val="46"/>
              </w:numPr>
              <w:spacing w:after="0" w:line="240" w:lineRule="auto"/>
              <w:ind w:right="60"/>
              <w:jc w:val="both"/>
              <w:rPr>
                <w:rFonts w:ascii="Times New Roman" w:hAnsi="Times New Roman"/>
                <w:sz w:val="22"/>
                <w:szCs w:val="22"/>
                <w:lang w:val="fr-FR"/>
              </w:rPr>
            </w:pPr>
            <w:r w:rsidRPr="00647913">
              <w:rPr>
                <w:rFonts w:ascii="Times New Roman" w:hAnsi="Times New Roman"/>
                <w:sz w:val="22"/>
                <w:szCs w:val="22"/>
                <w:lang w:val="fr-FR"/>
              </w:rPr>
              <w:t>Hauteur de la jupe au-dessus du TN sera de 13 m</w:t>
            </w:r>
          </w:p>
          <w:p w:rsidR="005505AF" w:rsidRPr="00647913" w:rsidRDefault="005505AF" w:rsidP="005F2DD4">
            <w:pPr>
              <w:spacing w:after="0"/>
              <w:ind w:left="80" w:right="60"/>
              <w:jc w:val="both"/>
              <w:rPr>
                <w:rFonts w:ascii="Times New Roman" w:hAnsi="Times New Roman" w:cs="Times New Roman"/>
              </w:rPr>
            </w:pPr>
            <w:r w:rsidRPr="00647913">
              <w:rPr>
                <w:rFonts w:ascii="Times New Roman" w:hAnsi="Times New Roman" w:cs="Times New Roman"/>
              </w:rPr>
              <w:t>La cote PHE de la cuve sera identique à celle du réservoir Antula Bono à savoir 48 m, de façon à garantir une meilleure distribution de pression dans l’interconnexion entre ces deux réservoirs.</w:t>
            </w:r>
          </w:p>
        </w:tc>
      </w:tr>
      <w:tr w:rsidR="005505AF" w:rsidRPr="00053C62" w:rsidTr="00647913">
        <w:tc>
          <w:tcPr>
            <w:tcW w:w="4171" w:type="dxa"/>
            <w:shd w:val="clear" w:color="auto" w:fill="F2F2F2" w:themeFill="background1" w:themeFillShade="F2"/>
            <w:vAlign w:val="center"/>
          </w:tcPr>
          <w:p w:rsidR="005505AF" w:rsidRPr="00053C62" w:rsidRDefault="005505AF" w:rsidP="000623F6">
            <w:pPr>
              <w:spacing w:after="0"/>
              <w:ind w:right="60"/>
              <w:jc w:val="center"/>
              <w:rPr>
                <w:rFonts w:ascii="Times New Roman" w:hAnsi="Times New Roman" w:cs="Times New Roman"/>
                <w:b/>
                <w:color w:val="000000"/>
                <w:sz w:val="24"/>
                <w:szCs w:val="24"/>
              </w:rPr>
            </w:pPr>
            <w:r w:rsidRPr="00053C62">
              <w:rPr>
                <w:rFonts w:ascii="Times New Roman" w:hAnsi="Times New Roman" w:cs="Times New Roman"/>
                <w:b/>
                <w:color w:val="000000"/>
                <w:sz w:val="24"/>
                <w:szCs w:val="24"/>
              </w:rPr>
              <w:t>Description du milieu d’influence direct</w:t>
            </w:r>
          </w:p>
        </w:tc>
        <w:tc>
          <w:tcPr>
            <w:tcW w:w="6995" w:type="dxa"/>
            <w:gridSpan w:val="4"/>
            <w:shd w:val="clear" w:color="auto" w:fill="auto"/>
          </w:tcPr>
          <w:p w:rsidR="005505AF" w:rsidRPr="00647913" w:rsidRDefault="005505AF" w:rsidP="005F2DD4">
            <w:pPr>
              <w:spacing w:after="0"/>
              <w:ind w:left="80" w:right="60"/>
              <w:jc w:val="both"/>
              <w:rPr>
                <w:rFonts w:ascii="Times New Roman" w:hAnsi="Times New Roman" w:cs="Times New Roman"/>
              </w:rPr>
            </w:pPr>
            <w:r w:rsidRPr="00647913">
              <w:rPr>
                <w:rFonts w:ascii="Times New Roman" w:hAnsi="Times New Roman" w:cs="Times New Roman"/>
              </w:rPr>
              <w:t>Le site proposé pour l’implantation du réservoir de Antula-Pime se trouve dans une zone élevée qui permettra l’adduction gravitaire vers le réseau de distribution.</w:t>
            </w:r>
          </w:p>
          <w:p w:rsidR="005505AF" w:rsidRPr="00647913" w:rsidRDefault="005505AF" w:rsidP="005F2DD4">
            <w:pPr>
              <w:spacing w:after="0"/>
              <w:ind w:left="80" w:right="60"/>
              <w:jc w:val="both"/>
              <w:rPr>
                <w:rFonts w:ascii="Times New Roman" w:hAnsi="Times New Roman" w:cs="Times New Roman"/>
              </w:rPr>
            </w:pPr>
            <w:r w:rsidRPr="00647913">
              <w:rPr>
                <w:rFonts w:ascii="Times New Roman" w:hAnsi="Times New Roman" w:cs="Times New Roman"/>
                <w:color w:val="000000"/>
              </w:rPr>
              <w:t>L’emplacement du nouveau réservoir avec exécution du forage se trouvera à l’enceinte d’une église précisément au niveau de l’espace de jardin. Cet entourage est dominé par des manguiers et de nouvelles plantations  d’arbres sur toute sa surface.</w:t>
            </w:r>
          </w:p>
        </w:tc>
      </w:tr>
      <w:tr w:rsidR="005505AF" w:rsidRPr="00053C62" w:rsidTr="00647913">
        <w:tc>
          <w:tcPr>
            <w:tcW w:w="11166" w:type="dxa"/>
            <w:gridSpan w:val="5"/>
            <w:shd w:val="clear" w:color="auto" w:fill="auto"/>
          </w:tcPr>
          <w:p w:rsidR="005505AF" w:rsidRPr="00053C62" w:rsidRDefault="00EE0400" w:rsidP="000623F6">
            <w:pPr>
              <w:spacing w:after="0"/>
              <w:jc w:val="center"/>
              <w:rPr>
                <w:rFonts w:ascii="Times New Roman" w:hAnsi="Times New Roman" w:cs="Times New Roman"/>
                <w:color w:val="000000"/>
                <w:sz w:val="24"/>
                <w:szCs w:val="24"/>
              </w:rPr>
            </w:pPr>
            <w:bookmarkStart w:id="87" w:name="_Toc32512058"/>
            <w:r w:rsidRPr="00770F4C">
              <w:rPr>
                <w:rFonts w:ascii="Times New Roman" w:hAnsi="Times New Roman" w:cs="Times New Roman"/>
                <w:b/>
                <w:sz w:val="24"/>
                <w:szCs w:val="24"/>
              </w:rPr>
              <w:t xml:space="preserve">Photo </w:t>
            </w:r>
            <w:r w:rsidRPr="00770F4C">
              <w:rPr>
                <w:rFonts w:ascii="Times New Roman" w:hAnsi="Times New Roman" w:cs="Times New Roman"/>
                <w:b/>
                <w:sz w:val="24"/>
                <w:szCs w:val="24"/>
              </w:rPr>
              <w:fldChar w:fldCharType="begin"/>
            </w:r>
            <w:r w:rsidRPr="00770F4C">
              <w:rPr>
                <w:rFonts w:ascii="Times New Roman" w:hAnsi="Times New Roman" w:cs="Times New Roman"/>
                <w:b/>
                <w:sz w:val="24"/>
                <w:szCs w:val="24"/>
              </w:rPr>
              <w:instrText xml:space="preserve"> SEQ PHOTO \* ARABIC </w:instrText>
            </w:r>
            <w:r w:rsidRPr="00770F4C">
              <w:rPr>
                <w:rFonts w:ascii="Times New Roman" w:hAnsi="Times New Roman" w:cs="Times New Roman"/>
                <w:b/>
                <w:sz w:val="24"/>
                <w:szCs w:val="24"/>
              </w:rPr>
              <w:fldChar w:fldCharType="separate"/>
            </w:r>
            <w:r w:rsidR="002C6E60">
              <w:rPr>
                <w:rFonts w:ascii="Times New Roman" w:hAnsi="Times New Roman" w:cs="Times New Roman"/>
                <w:b/>
                <w:noProof/>
                <w:sz w:val="24"/>
                <w:szCs w:val="24"/>
              </w:rPr>
              <w:t>7</w:t>
            </w:r>
            <w:r w:rsidRPr="00770F4C">
              <w:rPr>
                <w:rFonts w:ascii="Times New Roman" w:hAnsi="Times New Roman" w:cs="Times New Roman"/>
                <w:b/>
                <w:sz w:val="24"/>
                <w:szCs w:val="24"/>
              </w:rPr>
              <w:fldChar w:fldCharType="end"/>
            </w:r>
            <w:r w:rsidRPr="00770F4C">
              <w:rPr>
                <w:rFonts w:ascii="Times New Roman" w:hAnsi="Times New Roman" w:cs="Times New Roman"/>
                <w:b/>
                <w:sz w:val="24"/>
                <w:szCs w:val="24"/>
              </w:rPr>
              <w:t xml:space="preserve"> : </w:t>
            </w:r>
            <w:r w:rsidRPr="00053C62">
              <w:rPr>
                <w:rFonts w:ascii="Times New Roman" w:hAnsi="Times New Roman" w:cs="Times New Roman"/>
                <w:b/>
                <w:color w:val="000000"/>
                <w:sz w:val="24"/>
                <w:szCs w:val="24"/>
              </w:rPr>
              <w:t>Photos Illustrations</w:t>
            </w:r>
            <w:r>
              <w:rPr>
                <w:rFonts w:ascii="Times New Roman" w:hAnsi="Times New Roman" w:cs="Times New Roman"/>
                <w:b/>
                <w:color w:val="000000"/>
                <w:sz w:val="24"/>
                <w:szCs w:val="24"/>
              </w:rPr>
              <w:t xml:space="preserve"> de l’emplacement prévu du réservoir à Antula-Pime</w:t>
            </w:r>
            <w:bookmarkEnd w:id="87"/>
          </w:p>
        </w:tc>
      </w:tr>
      <w:tr w:rsidR="005505AF" w:rsidRPr="00053C62" w:rsidTr="00647913">
        <w:tc>
          <w:tcPr>
            <w:tcW w:w="11166" w:type="dxa"/>
            <w:gridSpan w:val="5"/>
            <w:shd w:val="clear" w:color="auto" w:fill="auto"/>
          </w:tcPr>
          <w:p w:rsidR="005505AF" w:rsidRPr="00053C62" w:rsidRDefault="005505AF" w:rsidP="005F2DD4">
            <w:pPr>
              <w:spacing w:after="0"/>
              <w:ind w:right="60"/>
              <w:jc w:val="center"/>
              <w:rPr>
                <w:rFonts w:ascii="Times New Roman" w:hAnsi="Times New Roman" w:cs="Times New Roman"/>
                <w:color w:val="000000"/>
                <w:sz w:val="24"/>
                <w:szCs w:val="24"/>
              </w:rPr>
            </w:pPr>
            <w:r w:rsidRPr="00053C62">
              <w:rPr>
                <w:rFonts w:ascii="Times New Roman" w:hAnsi="Times New Roman" w:cs="Times New Roman"/>
                <w:noProof/>
                <w:color w:val="000000"/>
                <w:sz w:val="24"/>
                <w:szCs w:val="24"/>
                <w:lang w:val="pt-PT" w:eastAsia="pt-PT"/>
              </w:rPr>
              <w:drawing>
                <wp:inline distT="0" distB="0" distL="0" distR="0" wp14:anchorId="1CB2A2E3" wp14:editId="0C1FA041">
                  <wp:extent cx="1812925" cy="1522730"/>
                  <wp:effectExtent l="0" t="0" r="0" b="1270"/>
                  <wp:docPr id="462" name="Image 462" descr="IMG_2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G_2394"/>
                          <pic:cNvPicPr>
                            <a:picLocks noChangeAspect="1" noChangeArrowheads="1"/>
                          </pic:cNvPicPr>
                        </pic:nvPicPr>
                        <pic:blipFill>
                          <a:blip r:embed="rId64" cstate="email">
                            <a:extLst>
                              <a:ext uri="{28A0092B-C50C-407E-A947-70E740481C1C}">
                                <a14:useLocalDpi xmlns:a14="http://schemas.microsoft.com/office/drawing/2010/main"/>
                              </a:ext>
                            </a:extLst>
                          </a:blip>
                          <a:srcRect/>
                          <a:stretch>
                            <a:fillRect/>
                          </a:stretch>
                        </pic:blipFill>
                        <pic:spPr bwMode="auto">
                          <a:xfrm>
                            <a:off x="0" y="0"/>
                            <a:ext cx="1812925" cy="1522730"/>
                          </a:xfrm>
                          <a:prstGeom prst="rect">
                            <a:avLst/>
                          </a:prstGeom>
                          <a:noFill/>
                          <a:ln>
                            <a:noFill/>
                          </a:ln>
                        </pic:spPr>
                      </pic:pic>
                    </a:graphicData>
                  </a:graphic>
                </wp:inline>
              </w:drawing>
            </w:r>
            <w:r w:rsidRPr="00053C62">
              <w:rPr>
                <w:rFonts w:ascii="Times New Roman" w:hAnsi="Times New Roman" w:cs="Times New Roman"/>
                <w:noProof/>
                <w:color w:val="000000"/>
                <w:sz w:val="24"/>
                <w:szCs w:val="24"/>
                <w:lang w:val="pt-PT" w:eastAsia="pt-PT"/>
              </w:rPr>
              <w:drawing>
                <wp:inline distT="0" distB="0" distL="0" distR="0" wp14:anchorId="3453A386" wp14:editId="07B51138">
                  <wp:extent cx="2003425" cy="1503045"/>
                  <wp:effectExtent l="0" t="0" r="0" b="1905"/>
                  <wp:docPr id="59" name="Image 59" descr="IMG_20190513_141928_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IMG_20190513_141928_5"/>
                          <pic:cNvPicPr>
                            <a:picLocks noChangeAspect="1" noChangeArrowheads="1"/>
                          </pic:cNvPicPr>
                        </pic:nvPicPr>
                        <pic:blipFill>
                          <a:blip r:embed="rId65" cstate="email">
                            <a:extLst>
                              <a:ext uri="{28A0092B-C50C-407E-A947-70E740481C1C}">
                                <a14:useLocalDpi xmlns:a14="http://schemas.microsoft.com/office/drawing/2010/main"/>
                              </a:ext>
                            </a:extLst>
                          </a:blip>
                          <a:srcRect/>
                          <a:stretch>
                            <a:fillRect/>
                          </a:stretch>
                        </pic:blipFill>
                        <pic:spPr bwMode="auto">
                          <a:xfrm>
                            <a:off x="0" y="0"/>
                            <a:ext cx="2003425" cy="1503045"/>
                          </a:xfrm>
                          <a:prstGeom prst="rect">
                            <a:avLst/>
                          </a:prstGeom>
                          <a:noFill/>
                          <a:ln>
                            <a:noFill/>
                          </a:ln>
                        </pic:spPr>
                      </pic:pic>
                    </a:graphicData>
                  </a:graphic>
                </wp:inline>
              </w:drawing>
            </w:r>
            <w:r w:rsidRPr="00053C62">
              <w:rPr>
                <w:rFonts w:ascii="Times New Roman" w:hAnsi="Times New Roman" w:cs="Times New Roman"/>
                <w:noProof/>
                <w:color w:val="000000"/>
                <w:sz w:val="24"/>
                <w:szCs w:val="24"/>
                <w:lang w:val="pt-PT" w:eastAsia="pt-PT"/>
              </w:rPr>
              <w:drawing>
                <wp:inline distT="0" distB="0" distL="0" distR="0" wp14:anchorId="48623409" wp14:editId="7A731AED">
                  <wp:extent cx="2019935" cy="1518920"/>
                  <wp:effectExtent l="0" t="0" r="0" b="5080"/>
                  <wp:docPr id="55" name="Image 55" descr="IMG_20190513_143643_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IMG_20190513_143643_0"/>
                          <pic:cNvPicPr>
                            <a:picLocks noChangeAspect="1" noChangeArrowheads="1"/>
                          </pic:cNvPicPr>
                        </pic:nvPicPr>
                        <pic:blipFill>
                          <a:blip r:embed="rId66" cstate="email">
                            <a:extLst>
                              <a:ext uri="{28A0092B-C50C-407E-A947-70E740481C1C}">
                                <a14:useLocalDpi xmlns:a14="http://schemas.microsoft.com/office/drawing/2010/main"/>
                              </a:ext>
                            </a:extLst>
                          </a:blip>
                          <a:srcRect/>
                          <a:stretch>
                            <a:fillRect/>
                          </a:stretch>
                        </pic:blipFill>
                        <pic:spPr bwMode="auto">
                          <a:xfrm>
                            <a:off x="0" y="0"/>
                            <a:ext cx="2019935" cy="1518920"/>
                          </a:xfrm>
                          <a:prstGeom prst="rect">
                            <a:avLst/>
                          </a:prstGeom>
                          <a:noFill/>
                          <a:ln>
                            <a:noFill/>
                          </a:ln>
                        </pic:spPr>
                      </pic:pic>
                    </a:graphicData>
                  </a:graphic>
                </wp:inline>
              </w:drawing>
            </w:r>
          </w:p>
        </w:tc>
      </w:tr>
      <w:tr w:rsidR="005505AF" w:rsidRPr="00053C62" w:rsidTr="00647913">
        <w:tc>
          <w:tcPr>
            <w:tcW w:w="11166" w:type="dxa"/>
            <w:gridSpan w:val="5"/>
            <w:shd w:val="clear" w:color="auto" w:fill="auto"/>
          </w:tcPr>
          <w:p w:rsidR="005505AF" w:rsidRPr="006A22C9" w:rsidRDefault="00833733" w:rsidP="000623F6">
            <w:pPr>
              <w:spacing w:after="0"/>
              <w:ind w:right="60"/>
              <w:jc w:val="center"/>
              <w:rPr>
                <w:rFonts w:ascii="Times New Roman" w:hAnsi="Times New Roman" w:cs="Times New Roman"/>
                <w:b/>
                <w:sz w:val="24"/>
                <w:szCs w:val="24"/>
              </w:rPr>
            </w:pPr>
            <w:r w:rsidRPr="0047697F">
              <w:rPr>
                <w:rFonts w:ascii="Times New Roman" w:hAnsi="Times New Roman" w:cs="Times New Roman"/>
                <w:b/>
              </w:rPr>
              <w:t xml:space="preserve">Carte </w:t>
            </w:r>
            <w:r w:rsidRPr="0047697F">
              <w:rPr>
                <w:rFonts w:ascii="Times New Roman" w:hAnsi="Times New Roman" w:cs="Times New Roman"/>
                <w:b/>
              </w:rPr>
              <w:fldChar w:fldCharType="begin"/>
            </w:r>
            <w:r w:rsidRPr="0047697F">
              <w:rPr>
                <w:rFonts w:ascii="Times New Roman" w:hAnsi="Times New Roman" w:cs="Times New Roman"/>
                <w:b/>
              </w:rPr>
              <w:instrText xml:space="preserve"> SEQ Carte \* ARABIC </w:instrText>
            </w:r>
            <w:r w:rsidRPr="0047697F">
              <w:rPr>
                <w:rFonts w:ascii="Times New Roman" w:hAnsi="Times New Roman" w:cs="Times New Roman"/>
                <w:b/>
              </w:rPr>
              <w:fldChar w:fldCharType="separate"/>
            </w:r>
            <w:r w:rsidR="002C6E60">
              <w:rPr>
                <w:rFonts w:ascii="Times New Roman" w:hAnsi="Times New Roman" w:cs="Times New Roman"/>
                <w:b/>
                <w:noProof/>
              </w:rPr>
              <w:t>10</w:t>
            </w:r>
            <w:r w:rsidRPr="0047697F">
              <w:rPr>
                <w:rFonts w:ascii="Times New Roman" w:hAnsi="Times New Roman" w:cs="Times New Roman"/>
                <w:b/>
              </w:rPr>
              <w:fldChar w:fldCharType="end"/>
            </w:r>
            <w:r w:rsidRPr="0047697F">
              <w:rPr>
                <w:rFonts w:ascii="Times New Roman" w:hAnsi="Times New Roman" w:cs="Times New Roman"/>
                <w:b/>
              </w:rPr>
              <w:t xml:space="preserve">: </w:t>
            </w:r>
            <w:r w:rsidR="005505AF" w:rsidRPr="006A22C9">
              <w:rPr>
                <w:rFonts w:ascii="Times New Roman" w:eastAsia="Arial" w:hAnsi="Times New Roman" w:cs="Times New Roman"/>
                <w:b/>
                <w:sz w:val="24"/>
                <w:szCs w:val="24"/>
              </w:rPr>
              <w:t>Carte de localisation du réservoir à construire</w:t>
            </w:r>
          </w:p>
        </w:tc>
      </w:tr>
      <w:tr w:rsidR="005505AF" w:rsidRPr="00053C62" w:rsidTr="00647913">
        <w:tc>
          <w:tcPr>
            <w:tcW w:w="11166" w:type="dxa"/>
            <w:gridSpan w:val="5"/>
            <w:shd w:val="clear" w:color="auto" w:fill="auto"/>
          </w:tcPr>
          <w:p w:rsidR="005505AF" w:rsidRPr="00053C62" w:rsidRDefault="005505AF" w:rsidP="005F2DD4">
            <w:pPr>
              <w:spacing w:after="0"/>
              <w:ind w:right="60"/>
              <w:jc w:val="both"/>
              <w:rPr>
                <w:rFonts w:ascii="Times New Roman" w:eastAsia="Arial" w:hAnsi="Times New Roman" w:cs="Times New Roman"/>
                <w:b/>
                <w:sz w:val="24"/>
                <w:szCs w:val="24"/>
              </w:rPr>
            </w:pPr>
            <w:r w:rsidRPr="00053C62">
              <w:rPr>
                <w:rFonts w:ascii="Times New Roman" w:eastAsia="Arial" w:hAnsi="Times New Roman" w:cs="Times New Roman"/>
                <w:b/>
                <w:noProof/>
                <w:sz w:val="24"/>
                <w:szCs w:val="24"/>
                <w:lang w:val="pt-PT" w:eastAsia="pt-PT"/>
              </w:rPr>
              <w:drawing>
                <wp:inline distT="0" distB="0" distL="0" distR="0" wp14:anchorId="2CDCF840" wp14:editId="342C765C">
                  <wp:extent cx="6908932" cy="3370217"/>
                  <wp:effectExtent l="0" t="0" r="6350" b="1905"/>
                  <wp:docPr id="54" name="Image 54" descr="66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6666"/>
                          <pic:cNvPicPr>
                            <a:picLocks noChangeAspect="1" noChangeArrowheads="1"/>
                          </pic:cNvPicPr>
                        </pic:nvPicPr>
                        <pic:blipFill>
                          <a:blip r:embed="rId67" cstate="email">
                            <a:extLst>
                              <a:ext uri="{28A0092B-C50C-407E-A947-70E740481C1C}">
                                <a14:useLocalDpi xmlns:a14="http://schemas.microsoft.com/office/drawing/2010/main"/>
                              </a:ext>
                            </a:extLst>
                          </a:blip>
                          <a:srcRect/>
                          <a:stretch>
                            <a:fillRect/>
                          </a:stretch>
                        </pic:blipFill>
                        <pic:spPr bwMode="auto">
                          <a:xfrm>
                            <a:off x="0" y="0"/>
                            <a:ext cx="6915558" cy="3373449"/>
                          </a:xfrm>
                          <a:prstGeom prst="rect">
                            <a:avLst/>
                          </a:prstGeom>
                          <a:noFill/>
                          <a:ln>
                            <a:noFill/>
                          </a:ln>
                        </pic:spPr>
                      </pic:pic>
                    </a:graphicData>
                  </a:graphic>
                </wp:inline>
              </w:drawing>
            </w:r>
          </w:p>
        </w:tc>
      </w:tr>
    </w:tbl>
    <w:p w:rsidR="00A268D7" w:rsidRPr="003B7939" w:rsidRDefault="00C030D5" w:rsidP="003B7939">
      <w:pPr>
        <w:keepNext/>
        <w:keepLines/>
        <w:pBdr>
          <w:top w:val="outset" w:sz="12" w:space="1" w:color="auto"/>
          <w:left w:val="outset" w:sz="12" w:space="4" w:color="auto"/>
          <w:bottom w:val="outset" w:sz="12" w:space="1" w:color="auto"/>
          <w:right w:val="outset" w:sz="12" w:space="4" w:color="auto"/>
        </w:pBdr>
        <w:shd w:val="clear" w:color="auto" w:fill="F2F2F2" w:themeFill="background1" w:themeFillShade="F2"/>
        <w:spacing w:after="0" w:line="240" w:lineRule="auto"/>
        <w:ind w:left="-1417" w:right="-567"/>
        <w:jc w:val="center"/>
        <w:outlineLvl w:val="0"/>
        <w:rPr>
          <w:rFonts w:ascii="Times New Roman" w:eastAsia="Calibri" w:hAnsi="Times New Roman" w:cs="Times New Roman"/>
          <w:b/>
          <w:sz w:val="32"/>
          <w:szCs w:val="32"/>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id="88" w:name="_Toc527881988"/>
      <w:bookmarkStart w:id="89" w:name="_Toc51072521"/>
      <w:bookmarkEnd w:id="68"/>
      <w:bookmarkEnd w:id="69"/>
      <w:r>
        <w:rPr>
          <w:rFonts w:ascii="Times New Roman" w:eastAsia="Calibri" w:hAnsi="Times New Roman" w:cs="Times New Roman"/>
          <w:b/>
          <w:sz w:val="32"/>
          <w:szCs w:val="32"/>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3</w:t>
      </w:r>
      <w:r w:rsidR="00FA0549" w:rsidRPr="003B7939">
        <w:rPr>
          <w:rFonts w:ascii="Times New Roman" w:eastAsia="Calibri" w:hAnsi="Times New Roman" w:cs="Times New Roman"/>
          <w:b/>
          <w:sz w:val="32"/>
          <w:szCs w:val="32"/>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A268D7" w:rsidRPr="003B7939">
        <w:rPr>
          <w:rFonts w:ascii="Times New Roman" w:eastAsia="Calibri" w:hAnsi="Times New Roman" w:cs="Times New Roman"/>
          <w:b/>
          <w:sz w:val="32"/>
          <w:szCs w:val="32"/>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CADRE POLITIQUE</w:t>
      </w:r>
      <w:r w:rsidR="00612317">
        <w:rPr>
          <w:rFonts w:ascii="Times New Roman" w:eastAsia="Calibri" w:hAnsi="Times New Roman" w:cs="Times New Roman"/>
          <w:b/>
          <w:sz w:val="32"/>
          <w:szCs w:val="32"/>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A268D7" w:rsidRPr="003B7939">
        <w:rPr>
          <w:rFonts w:ascii="Times New Roman" w:eastAsia="Calibri" w:hAnsi="Times New Roman" w:cs="Times New Roman"/>
          <w:b/>
          <w:sz w:val="32"/>
          <w:szCs w:val="32"/>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JURIDIQUE ET INSTITUTIONNEL *</w:t>
      </w:r>
      <w:bookmarkEnd w:id="88"/>
      <w:bookmarkEnd w:id="89"/>
    </w:p>
    <w:p w:rsidR="00EA26F0" w:rsidRDefault="00EA26F0" w:rsidP="003B7939">
      <w:pPr>
        <w:autoSpaceDE w:val="0"/>
        <w:autoSpaceDN w:val="0"/>
        <w:adjustRightInd w:val="0"/>
        <w:spacing w:after="0" w:line="240" w:lineRule="auto"/>
        <w:ind w:left="-284"/>
        <w:jc w:val="both"/>
        <w:rPr>
          <w:rFonts w:ascii="Times New Roman" w:hAnsi="Times New Roman" w:cs="Times New Roman"/>
          <w:sz w:val="24"/>
          <w:szCs w:val="24"/>
        </w:rPr>
      </w:pPr>
    </w:p>
    <w:p w:rsidR="00A268D7" w:rsidRPr="003B7939" w:rsidRDefault="006F4040" w:rsidP="003B7939">
      <w:pPr>
        <w:autoSpaceDE w:val="0"/>
        <w:autoSpaceDN w:val="0"/>
        <w:adjustRightInd w:val="0"/>
        <w:spacing w:after="0" w:line="240" w:lineRule="auto"/>
        <w:ind w:left="-284"/>
        <w:jc w:val="both"/>
        <w:rPr>
          <w:rFonts w:ascii="Times New Roman" w:hAnsi="Times New Roman" w:cs="Times New Roman"/>
          <w:sz w:val="24"/>
          <w:szCs w:val="24"/>
        </w:rPr>
      </w:pPr>
      <w:r w:rsidRPr="003B7939">
        <w:rPr>
          <w:rFonts w:ascii="Times New Roman" w:hAnsi="Times New Roman" w:cs="Times New Roman"/>
          <w:sz w:val="24"/>
          <w:szCs w:val="24"/>
        </w:rPr>
        <w:t>Su</w:t>
      </w:r>
      <w:r w:rsidR="00204104" w:rsidRPr="003B7939">
        <w:rPr>
          <w:rFonts w:ascii="Times New Roman" w:hAnsi="Times New Roman" w:cs="Times New Roman"/>
          <w:sz w:val="24"/>
          <w:szCs w:val="24"/>
        </w:rPr>
        <w:t>r le plan national, il existe des</w:t>
      </w:r>
      <w:r w:rsidRPr="003B7939">
        <w:rPr>
          <w:rFonts w:ascii="Times New Roman" w:hAnsi="Times New Roman" w:cs="Times New Roman"/>
          <w:sz w:val="24"/>
          <w:szCs w:val="24"/>
        </w:rPr>
        <w:t xml:space="preserve"> document</w:t>
      </w:r>
      <w:r w:rsidR="00204104" w:rsidRPr="003B7939">
        <w:rPr>
          <w:rFonts w:ascii="Times New Roman" w:hAnsi="Times New Roman" w:cs="Times New Roman"/>
          <w:sz w:val="24"/>
          <w:szCs w:val="24"/>
        </w:rPr>
        <w:t>s sur le</w:t>
      </w:r>
      <w:r w:rsidRPr="003B7939">
        <w:rPr>
          <w:rFonts w:ascii="Times New Roman" w:hAnsi="Times New Roman" w:cs="Times New Roman"/>
          <w:sz w:val="24"/>
          <w:szCs w:val="24"/>
        </w:rPr>
        <w:t xml:space="preserve"> déclaration de politique sectorielle dans le</w:t>
      </w:r>
      <w:r w:rsidRPr="003B7939">
        <w:rPr>
          <w:rFonts w:ascii="Times New Roman" w:hAnsi="Times New Roman" w:cs="Times New Roman"/>
          <w:sz w:val="24"/>
          <w:szCs w:val="24"/>
        </w:rPr>
        <w:br/>
        <w:t xml:space="preserve">domaine des sous-secteurs de l’eau potable, </w:t>
      </w:r>
      <w:r w:rsidRPr="00053C62">
        <w:rPr>
          <w:rFonts w:ascii="Times New Roman" w:hAnsi="Times New Roman" w:cs="Times New Roman"/>
          <w:sz w:val="24"/>
          <w:szCs w:val="24"/>
        </w:rPr>
        <w:t>sur le</w:t>
      </w:r>
      <w:r w:rsidR="00204104" w:rsidRPr="00053C62">
        <w:rPr>
          <w:rFonts w:ascii="Times New Roman" w:hAnsi="Times New Roman" w:cs="Times New Roman"/>
          <w:sz w:val="24"/>
          <w:szCs w:val="24"/>
        </w:rPr>
        <w:t xml:space="preserve"> plan environnemental et social.</w:t>
      </w:r>
      <w:r w:rsidRPr="00053C62">
        <w:rPr>
          <w:rFonts w:ascii="Times New Roman" w:hAnsi="Times New Roman" w:cs="Times New Roman"/>
          <w:sz w:val="24"/>
          <w:szCs w:val="24"/>
        </w:rPr>
        <w:t xml:space="preserve"> </w:t>
      </w:r>
      <w:r w:rsidR="00204104" w:rsidRPr="00053C62">
        <w:rPr>
          <w:rFonts w:ascii="Times New Roman" w:hAnsi="Times New Roman" w:cs="Times New Roman"/>
          <w:sz w:val="24"/>
          <w:szCs w:val="24"/>
        </w:rPr>
        <w:t>Le</w:t>
      </w:r>
      <w:r w:rsidRPr="00053C62">
        <w:rPr>
          <w:rFonts w:ascii="Times New Roman" w:hAnsi="Times New Roman" w:cs="Times New Roman"/>
          <w:sz w:val="24"/>
          <w:szCs w:val="24"/>
        </w:rPr>
        <w:t xml:space="preserve"> cadre institutionnel et les politiques de sauvegarde de la Banque en lien avec les activités du projet</w:t>
      </w:r>
      <w:r w:rsidR="00204104" w:rsidRPr="00053C62">
        <w:rPr>
          <w:rFonts w:ascii="Times New Roman" w:hAnsi="Times New Roman" w:cs="Times New Roman"/>
          <w:sz w:val="24"/>
          <w:szCs w:val="24"/>
        </w:rPr>
        <w:t xml:space="preserve"> PUASEE-FA</w:t>
      </w:r>
      <w:r w:rsidRPr="00053C62">
        <w:rPr>
          <w:rFonts w:ascii="Times New Roman" w:hAnsi="Times New Roman" w:cs="Times New Roman"/>
          <w:sz w:val="24"/>
          <w:szCs w:val="24"/>
        </w:rPr>
        <w:t xml:space="preserve"> seront les aspects abordés dans ce chapitre.</w:t>
      </w:r>
      <w:r w:rsidRPr="003B7939">
        <w:rPr>
          <w:rFonts w:ascii="Times New Roman" w:hAnsi="Times New Roman" w:cs="Times New Roman"/>
          <w:sz w:val="24"/>
          <w:szCs w:val="24"/>
        </w:rPr>
        <w:t xml:space="preserve"> </w:t>
      </w:r>
    </w:p>
    <w:p w:rsidR="00A268D7" w:rsidRPr="00053C62" w:rsidRDefault="00EA26F0" w:rsidP="002755E9">
      <w:pPr>
        <w:pStyle w:val="PargrafodaLista"/>
        <w:keepNext/>
        <w:spacing w:before="240" w:after="240"/>
        <w:ind w:left="450" w:right="284" w:hanging="450"/>
        <w:jc w:val="both"/>
        <w:outlineLvl w:val="1"/>
        <w:rPr>
          <w:rFonts w:ascii="Times New Roman" w:hAnsi="Times New Roman"/>
          <w:b/>
          <w:sz w:val="24"/>
          <w:szCs w:val="24"/>
          <w:lang w:val="fr-FR" w:eastAsia="fr-FR"/>
        </w:rPr>
      </w:pPr>
      <w:bookmarkStart w:id="90" w:name="_Toc527881989"/>
      <w:bookmarkStart w:id="91" w:name="_Toc51072522"/>
      <w:r>
        <w:rPr>
          <w:rFonts w:ascii="Times New Roman" w:hAnsi="Times New Roman"/>
          <w:b/>
          <w:sz w:val="24"/>
          <w:szCs w:val="24"/>
          <w:lang w:val="fr-FR" w:eastAsia="fr-FR"/>
        </w:rPr>
        <w:t>3.</w:t>
      </w:r>
      <w:r w:rsidR="00F84439" w:rsidRPr="00053C62">
        <w:rPr>
          <w:rFonts w:ascii="Times New Roman" w:hAnsi="Times New Roman"/>
          <w:b/>
          <w:sz w:val="24"/>
          <w:szCs w:val="24"/>
          <w:lang w:val="fr-FR" w:eastAsia="fr-FR"/>
        </w:rPr>
        <w:t>1. CADRE POLITIQUE</w:t>
      </w:r>
      <w:bookmarkEnd w:id="90"/>
      <w:bookmarkEnd w:id="91"/>
      <w:r w:rsidR="00F84439" w:rsidRPr="00053C62">
        <w:rPr>
          <w:rFonts w:ascii="Times New Roman" w:hAnsi="Times New Roman"/>
          <w:b/>
          <w:sz w:val="24"/>
          <w:szCs w:val="24"/>
          <w:lang w:val="fr-FR" w:eastAsia="fr-FR"/>
        </w:rPr>
        <w:t xml:space="preserve"> </w:t>
      </w:r>
    </w:p>
    <w:p w:rsidR="00116689" w:rsidRPr="003B7939" w:rsidRDefault="00116689" w:rsidP="003B7939">
      <w:pPr>
        <w:autoSpaceDE w:val="0"/>
        <w:autoSpaceDN w:val="0"/>
        <w:adjustRightInd w:val="0"/>
        <w:spacing w:after="0" w:line="240" w:lineRule="auto"/>
        <w:ind w:left="-284"/>
        <w:jc w:val="both"/>
        <w:rPr>
          <w:rFonts w:ascii="Times New Roman" w:hAnsi="Times New Roman" w:cs="Times New Roman"/>
          <w:sz w:val="24"/>
          <w:szCs w:val="24"/>
        </w:rPr>
      </w:pPr>
      <w:r w:rsidRPr="003B7939">
        <w:rPr>
          <w:rFonts w:ascii="Times New Roman" w:hAnsi="Times New Roman" w:cs="Times New Roman"/>
          <w:sz w:val="24"/>
          <w:szCs w:val="24"/>
        </w:rPr>
        <w:t>Sur le plan national, nous avons exploité le document de déclaration de politique sectorielle dans le domaine des sous-secteurs de l</w:t>
      </w:r>
      <w:r w:rsidR="00CB7DDD" w:rsidRPr="003B7939">
        <w:rPr>
          <w:rFonts w:ascii="Times New Roman" w:hAnsi="Times New Roman" w:cs="Times New Roman"/>
          <w:sz w:val="24"/>
          <w:szCs w:val="24"/>
        </w:rPr>
        <w:t>’eau potable.</w:t>
      </w:r>
    </w:p>
    <w:p w:rsidR="00AB27C3" w:rsidRPr="00053C62" w:rsidRDefault="00EA26F0" w:rsidP="00EA26F0">
      <w:pPr>
        <w:pStyle w:val="PargrafodaLista"/>
        <w:keepNext/>
        <w:spacing w:before="240" w:after="0"/>
        <w:ind w:left="450" w:right="284"/>
        <w:jc w:val="both"/>
        <w:outlineLvl w:val="2"/>
        <w:rPr>
          <w:rFonts w:ascii="Times New Roman" w:hAnsi="Times New Roman"/>
          <w:b/>
          <w:sz w:val="24"/>
          <w:szCs w:val="24"/>
          <w:lang w:val="fr-FR" w:eastAsia="fr-FR"/>
        </w:rPr>
      </w:pPr>
      <w:bookmarkStart w:id="92" w:name="_Toc51072523"/>
      <w:bookmarkStart w:id="93" w:name="_Toc527881997"/>
      <w:r>
        <w:rPr>
          <w:rFonts w:ascii="Times New Roman" w:hAnsi="Times New Roman"/>
          <w:b/>
          <w:sz w:val="24"/>
          <w:szCs w:val="24"/>
          <w:lang w:val="fr-FR" w:eastAsia="fr-FR"/>
        </w:rPr>
        <w:t>3</w:t>
      </w:r>
      <w:r w:rsidR="005A0386" w:rsidRPr="00053C62">
        <w:rPr>
          <w:rFonts w:ascii="Times New Roman" w:hAnsi="Times New Roman"/>
          <w:b/>
          <w:sz w:val="24"/>
          <w:szCs w:val="24"/>
          <w:lang w:val="fr-FR" w:eastAsia="fr-FR"/>
        </w:rPr>
        <w:t>.1.1. Déclaration Politique sectorielle de l’eau</w:t>
      </w:r>
      <w:bookmarkEnd w:id="92"/>
      <w:r w:rsidR="005A0386" w:rsidRPr="00053C62">
        <w:rPr>
          <w:rFonts w:ascii="Times New Roman" w:hAnsi="Times New Roman"/>
          <w:b/>
          <w:sz w:val="24"/>
          <w:szCs w:val="24"/>
          <w:lang w:val="fr-FR" w:eastAsia="fr-FR"/>
        </w:rPr>
        <w:t xml:space="preserve"> </w:t>
      </w:r>
    </w:p>
    <w:p w:rsidR="007E6AED" w:rsidRDefault="005A0386" w:rsidP="003B7939">
      <w:pPr>
        <w:autoSpaceDE w:val="0"/>
        <w:autoSpaceDN w:val="0"/>
        <w:adjustRightInd w:val="0"/>
        <w:spacing w:after="0" w:line="240" w:lineRule="auto"/>
        <w:ind w:left="-284"/>
        <w:jc w:val="both"/>
        <w:rPr>
          <w:rFonts w:ascii="Times New Roman" w:hAnsi="Times New Roman" w:cs="Times New Roman"/>
          <w:sz w:val="24"/>
          <w:szCs w:val="24"/>
        </w:rPr>
      </w:pPr>
      <w:r w:rsidRPr="003B7939">
        <w:rPr>
          <w:rFonts w:ascii="Times New Roman" w:hAnsi="Times New Roman" w:cs="Times New Roman"/>
          <w:sz w:val="24"/>
          <w:szCs w:val="24"/>
        </w:rPr>
        <w:t>Dans les sous-secteurs de l’eau potable et de l’énergie électrique, la Guinée-Bissau dispose d’une stratégie de développement des infrastructures de production, de transport et de distribution de l’énergie électrique et d’un schéma directeur pour l’eau et l’assainissement pour la période 2010-2020.</w:t>
      </w:r>
    </w:p>
    <w:p w:rsidR="00EA26F0" w:rsidRPr="003B7939" w:rsidRDefault="00EA26F0" w:rsidP="003B7939">
      <w:pPr>
        <w:autoSpaceDE w:val="0"/>
        <w:autoSpaceDN w:val="0"/>
        <w:adjustRightInd w:val="0"/>
        <w:spacing w:after="0" w:line="240" w:lineRule="auto"/>
        <w:ind w:left="-284"/>
        <w:jc w:val="both"/>
        <w:rPr>
          <w:rFonts w:ascii="Times New Roman" w:hAnsi="Times New Roman" w:cs="Times New Roman"/>
          <w:sz w:val="24"/>
          <w:szCs w:val="24"/>
        </w:rPr>
      </w:pPr>
    </w:p>
    <w:p w:rsidR="00BD52D2" w:rsidRPr="00053C62" w:rsidRDefault="00BD52D2" w:rsidP="00FA3FAE">
      <w:pPr>
        <w:pStyle w:val="PargrafodaLista"/>
        <w:numPr>
          <w:ilvl w:val="0"/>
          <w:numId w:val="16"/>
        </w:numPr>
        <w:rPr>
          <w:rFonts w:ascii="Times New Roman" w:hAnsi="Times New Roman"/>
          <w:b/>
          <w:sz w:val="24"/>
          <w:szCs w:val="24"/>
          <w:lang w:bidi="fr-FR"/>
        </w:rPr>
      </w:pPr>
      <w:r w:rsidRPr="00053C62">
        <w:rPr>
          <w:rFonts w:ascii="Times New Roman" w:hAnsi="Times New Roman"/>
          <w:b/>
          <w:sz w:val="24"/>
          <w:szCs w:val="24"/>
          <w:lang w:bidi="fr-FR"/>
        </w:rPr>
        <w:t>Schéma directeur de l’eau et de l’assainissement en Guinée Bissau</w:t>
      </w:r>
    </w:p>
    <w:p w:rsidR="00BD52D2" w:rsidRPr="003B7939" w:rsidRDefault="00BD52D2" w:rsidP="003B7939">
      <w:pPr>
        <w:autoSpaceDE w:val="0"/>
        <w:autoSpaceDN w:val="0"/>
        <w:adjustRightInd w:val="0"/>
        <w:spacing w:after="0" w:line="240" w:lineRule="auto"/>
        <w:ind w:left="-284"/>
        <w:jc w:val="both"/>
        <w:rPr>
          <w:rFonts w:ascii="Times New Roman" w:hAnsi="Times New Roman" w:cs="Times New Roman"/>
          <w:sz w:val="24"/>
          <w:szCs w:val="24"/>
        </w:rPr>
      </w:pPr>
      <w:r w:rsidRPr="003B7939">
        <w:rPr>
          <w:rFonts w:ascii="Times New Roman" w:hAnsi="Times New Roman" w:cs="Times New Roman"/>
          <w:sz w:val="24"/>
          <w:szCs w:val="24"/>
        </w:rPr>
        <w:t xml:space="preserve">Pour faire face à la situation alarmante dans le pays en matière d’assainissement, le Gouvernement bissau-guinéen reconnait l’indissociabilité des sous-secteurs de l’eau potable et de l’assainissement et s’engage à mobiliser des moyens humains et financiers à la mesure du désastre humanitaire et environnemental qui résulterait de l’inaction et de la poursuite des négligences du passé. </w:t>
      </w:r>
    </w:p>
    <w:p w:rsidR="00BD52D2" w:rsidRPr="003B7939" w:rsidRDefault="00BD52D2" w:rsidP="003B7939">
      <w:pPr>
        <w:autoSpaceDE w:val="0"/>
        <w:autoSpaceDN w:val="0"/>
        <w:adjustRightInd w:val="0"/>
        <w:spacing w:after="0" w:line="240" w:lineRule="auto"/>
        <w:ind w:left="-284"/>
        <w:jc w:val="both"/>
        <w:rPr>
          <w:rFonts w:ascii="Times New Roman" w:hAnsi="Times New Roman" w:cs="Times New Roman"/>
          <w:sz w:val="24"/>
          <w:szCs w:val="24"/>
        </w:rPr>
      </w:pPr>
      <w:r w:rsidRPr="003B7939">
        <w:rPr>
          <w:rFonts w:ascii="Times New Roman" w:hAnsi="Times New Roman" w:cs="Times New Roman"/>
          <w:sz w:val="24"/>
          <w:szCs w:val="24"/>
        </w:rPr>
        <w:t>Son action va désormais s’articuler autour des cinq axes suivants: i) garantir le respect du droit humain fondamental qu’est l’accès à l’assainissement ; ii) placer la protection des ressources en eau et de l’environnement au cœur de tous les projets de développement ; iii) assurer la pérennité du fonctionnement des systèmes d’eau potable et d’assainissement ; iv) reconnaître la valeur économique et sociale de l’eau et donc de l’assainissement ; et v) donner le rôle qui leur revient aux collectivités décentralisées et aux communautés de base.</w:t>
      </w:r>
    </w:p>
    <w:p w:rsidR="00E76A06" w:rsidRPr="00053C62" w:rsidRDefault="00EA26F0" w:rsidP="00EA26F0">
      <w:pPr>
        <w:pStyle w:val="PargrafodaLista"/>
        <w:keepNext/>
        <w:spacing w:before="240" w:after="0"/>
        <w:ind w:left="450" w:right="284"/>
        <w:jc w:val="both"/>
        <w:outlineLvl w:val="2"/>
        <w:rPr>
          <w:rFonts w:ascii="Times New Roman" w:hAnsi="Times New Roman"/>
          <w:b/>
          <w:sz w:val="24"/>
          <w:szCs w:val="24"/>
          <w:lang w:val="fr-FR" w:eastAsia="fr-FR"/>
        </w:rPr>
      </w:pPr>
      <w:bookmarkStart w:id="94" w:name="_Toc51072524"/>
      <w:r>
        <w:rPr>
          <w:rFonts w:ascii="Times New Roman" w:hAnsi="Times New Roman"/>
          <w:b/>
          <w:sz w:val="24"/>
          <w:szCs w:val="24"/>
          <w:lang w:val="fr-FR" w:eastAsia="fr-FR"/>
        </w:rPr>
        <w:t>3</w:t>
      </w:r>
      <w:r w:rsidR="00E76A06" w:rsidRPr="00053C62">
        <w:rPr>
          <w:rFonts w:ascii="Times New Roman" w:hAnsi="Times New Roman"/>
          <w:b/>
          <w:sz w:val="24"/>
          <w:szCs w:val="24"/>
          <w:lang w:val="fr-FR" w:eastAsia="fr-FR"/>
        </w:rPr>
        <w:t>.1.2. Documents de Politiques et de Stratégies Environnementales et Sociales</w:t>
      </w:r>
      <w:bookmarkEnd w:id="94"/>
    </w:p>
    <w:p w:rsidR="00E76A06" w:rsidRDefault="00E76A06" w:rsidP="003B7939">
      <w:pPr>
        <w:autoSpaceDE w:val="0"/>
        <w:autoSpaceDN w:val="0"/>
        <w:adjustRightInd w:val="0"/>
        <w:spacing w:after="0" w:line="240" w:lineRule="auto"/>
        <w:ind w:left="-284"/>
        <w:jc w:val="both"/>
        <w:rPr>
          <w:rFonts w:ascii="Times New Roman" w:hAnsi="Times New Roman" w:cs="Times New Roman"/>
          <w:sz w:val="24"/>
          <w:szCs w:val="24"/>
        </w:rPr>
      </w:pPr>
      <w:r w:rsidRPr="003B7939">
        <w:rPr>
          <w:rFonts w:ascii="Times New Roman" w:hAnsi="Times New Roman" w:cs="Times New Roman"/>
          <w:sz w:val="24"/>
          <w:szCs w:val="24"/>
        </w:rPr>
        <w:t>Le Gouvernement Bissau-guinéen dispose de plusieurs documents de stratégie environnementale et sociale dont les plus essentiels dans le cadre de la gestion environnementale et sociale du PUASEE</w:t>
      </w:r>
      <w:r w:rsidR="00EA26F0">
        <w:rPr>
          <w:rFonts w:ascii="Times New Roman" w:hAnsi="Times New Roman" w:cs="Times New Roman"/>
          <w:sz w:val="24"/>
          <w:szCs w:val="24"/>
        </w:rPr>
        <w:t>-FA</w:t>
      </w:r>
      <w:r w:rsidRPr="003B7939">
        <w:rPr>
          <w:rFonts w:ascii="Times New Roman" w:hAnsi="Times New Roman" w:cs="Times New Roman"/>
          <w:sz w:val="24"/>
          <w:szCs w:val="24"/>
        </w:rPr>
        <w:t xml:space="preserve"> sont : le Plan National de Gestion Environnementale (PNGE) ; le Plan d´Action National d’Adaptation aux Changements Climatiques ; la Stratégie Nationale de Lutte contre la pauvreté et le Plan National </w:t>
      </w:r>
      <w:r w:rsidR="00CB7DDD" w:rsidRPr="003B7939">
        <w:rPr>
          <w:rFonts w:ascii="Times New Roman" w:hAnsi="Times New Roman" w:cs="Times New Roman"/>
          <w:sz w:val="24"/>
          <w:szCs w:val="24"/>
        </w:rPr>
        <w:t>pour le Développement Sanitaire ; le plan d’action pour la conservation de la diversité biologique, la Stratégie Nationale pour les Aires Protégées.</w:t>
      </w:r>
    </w:p>
    <w:p w:rsidR="00EA26F0" w:rsidRPr="003B7939" w:rsidRDefault="00EA26F0" w:rsidP="003B7939">
      <w:pPr>
        <w:autoSpaceDE w:val="0"/>
        <w:autoSpaceDN w:val="0"/>
        <w:adjustRightInd w:val="0"/>
        <w:spacing w:after="0" w:line="240" w:lineRule="auto"/>
        <w:ind w:left="-284"/>
        <w:jc w:val="both"/>
        <w:rPr>
          <w:rFonts w:ascii="Times New Roman" w:hAnsi="Times New Roman" w:cs="Times New Roman"/>
          <w:sz w:val="24"/>
          <w:szCs w:val="24"/>
        </w:rPr>
      </w:pPr>
    </w:p>
    <w:p w:rsidR="00E76A06" w:rsidRPr="00053C62" w:rsidRDefault="00E76A06" w:rsidP="00FA3FAE">
      <w:pPr>
        <w:pStyle w:val="PargrafodaLista"/>
        <w:numPr>
          <w:ilvl w:val="0"/>
          <w:numId w:val="16"/>
        </w:numPr>
        <w:rPr>
          <w:rFonts w:ascii="Times New Roman" w:hAnsi="Times New Roman"/>
          <w:b/>
          <w:sz w:val="24"/>
          <w:szCs w:val="24"/>
          <w:lang w:bidi="fr-FR"/>
        </w:rPr>
      </w:pPr>
      <w:r w:rsidRPr="00053C62">
        <w:rPr>
          <w:rFonts w:ascii="Times New Roman" w:hAnsi="Times New Roman"/>
          <w:b/>
          <w:sz w:val="24"/>
          <w:szCs w:val="24"/>
          <w:lang w:bidi="fr-FR"/>
        </w:rPr>
        <w:t>Le plan national de gestion environnementale (PNGE)</w:t>
      </w:r>
    </w:p>
    <w:p w:rsidR="00E76A06" w:rsidRPr="003B7939" w:rsidRDefault="00E76A06" w:rsidP="003B7939">
      <w:pPr>
        <w:autoSpaceDE w:val="0"/>
        <w:autoSpaceDN w:val="0"/>
        <w:adjustRightInd w:val="0"/>
        <w:spacing w:after="0" w:line="240" w:lineRule="auto"/>
        <w:ind w:left="-284"/>
        <w:jc w:val="both"/>
        <w:rPr>
          <w:rFonts w:ascii="Times New Roman" w:hAnsi="Times New Roman" w:cs="Times New Roman"/>
          <w:sz w:val="24"/>
          <w:szCs w:val="24"/>
        </w:rPr>
      </w:pPr>
      <w:r w:rsidRPr="003B7939">
        <w:rPr>
          <w:rFonts w:ascii="Times New Roman" w:hAnsi="Times New Roman" w:cs="Times New Roman"/>
          <w:sz w:val="24"/>
          <w:szCs w:val="24"/>
        </w:rPr>
        <w:t>Cet instrument stratégique d´orientation pour la mise en œuvre de la politique Environnementale, propose dans ses objectifs généraux, que la politique nationale de gestion environnementale puisse contribuer au développement socio-économique durable et soutenable du pays et appuyer dans la recherche des solutions afin de garantir la sécurité alimentaire, l´éradication de la pauvreté, le contrôle des pollutions et assainissement.</w:t>
      </w:r>
    </w:p>
    <w:p w:rsidR="00E76A06" w:rsidRPr="003B7939" w:rsidRDefault="00E76A06" w:rsidP="003B7939">
      <w:pPr>
        <w:autoSpaceDE w:val="0"/>
        <w:autoSpaceDN w:val="0"/>
        <w:adjustRightInd w:val="0"/>
        <w:spacing w:after="0" w:line="240" w:lineRule="auto"/>
        <w:ind w:left="-284"/>
        <w:jc w:val="both"/>
        <w:rPr>
          <w:rFonts w:ascii="Times New Roman" w:hAnsi="Times New Roman" w:cs="Times New Roman"/>
          <w:sz w:val="24"/>
          <w:szCs w:val="24"/>
        </w:rPr>
      </w:pPr>
      <w:r w:rsidRPr="003B7939">
        <w:rPr>
          <w:rFonts w:ascii="Times New Roman" w:hAnsi="Times New Roman" w:cs="Times New Roman"/>
          <w:sz w:val="24"/>
          <w:szCs w:val="24"/>
        </w:rPr>
        <w:t>Dans ses objectifs spécifiques, les aspects suivants sont visés : (i) dans le cadre de la gestion participative, développer et appuyer la mise en place d´une gestion décentralisée et participative des ressources naturelles ; (ii) appuyer les différentes associations de base, ainsi que d´autres partenaires, pour pouvoir jouer un rôle prépondérant dans la gestion des ressources naturelles.</w:t>
      </w:r>
    </w:p>
    <w:p w:rsidR="00E76A06" w:rsidRPr="003B7939" w:rsidRDefault="00E76A06" w:rsidP="003B7939">
      <w:pPr>
        <w:autoSpaceDE w:val="0"/>
        <w:autoSpaceDN w:val="0"/>
        <w:adjustRightInd w:val="0"/>
        <w:spacing w:after="0" w:line="240" w:lineRule="auto"/>
        <w:ind w:left="-284"/>
        <w:jc w:val="both"/>
        <w:rPr>
          <w:rFonts w:ascii="Times New Roman" w:hAnsi="Times New Roman" w:cs="Times New Roman"/>
          <w:sz w:val="24"/>
          <w:szCs w:val="24"/>
        </w:rPr>
      </w:pPr>
      <w:r w:rsidRPr="003B7939">
        <w:rPr>
          <w:rFonts w:ascii="Times New Roman" w:hAnsi="Times New Roman" w:cs="Times New Roman"/>
          <w:sz w:val="24"/>
          <w:szCs w:val="24"/>
        </w:rPr>
        <w:lastRenderedPageBreak/>
        <w:t>Un autre rôle non moins important, concerne l´obligation à la réalisation d´étude d´impact environnementale au niveau de tous les projets susceptibles d´avoir une répercussion au niveau environnemental.</w:t>
      </w:r>
    </w:p>
    <w:p w:rsidR="00E76A06" w:rsidRPr="00053C62" w:rsidRDefault="00E76A06" w:rsidP="00FA3FAE">
      <w:pPr>
        <w:pStyle w:val="PargrafodaLista"/>
        <w:numPr>
          <w:ilvl w:val="0"/>
          <w:numId w:val="16"/>
        </w:numPr>
        <w:rPr>
          <w:rFonts w:ascii="Times New Roman" w:hAnsi="Times New Roman"/>
          <w:b/>
          <w:sz w:val="24"/>
          <w:szCs w:val="24"/>
          <w:lang w:bidi="fr-FR"/>
        </w:rPr>
      </w:pPr>
      <w:r w:rsidRPr="00053C62">
        <w:rPr>
          <w:rFonts w:ascii="Times New Roman" w:hAnsi="Times New Roman"/>
          <w:b/>
          <w:sz w:val="24"/>
          <w:szCs w:val="24"/>
          <w:lang w:bidi="fr-FR"/>
        </w:rPr>
        <w:t>La Stratégie nationale et le plan d’action pour la conservation de la diversité biologie</w:t>
      </w:r>
    </w:p>
    <w:p w:rsidR="00E76A06" w:rsidRPr="00053C62" w:rsidRDefault="00E76A06" w:rsidP="00E76A06">
      <w:pPr>
        <w:ind w:right="284"/>
        <w:jc w:val="both"/>
        <w:rPr>
          <w:rFonts w:ascii="Times New Roman" w:hAnsi="Times New Roman" w:cs="Times New Roman"/>
          <w:b/>
          <w:sz w:val="24"/>
          <w:szCs w:val="24"/>
          <w:u w:val="single"/>
        </w:rPr>
      </w:pPr>
      <w:r w:rsidRPr="00053C62">
        <w:rPr>
          <w:rFonts w:ascii="Times New Roman" w:hAnsi="Times New Roman" w:cs="Times New Roman"/>
          <w:b/>
          <w:sz w:val="24"/>
          <w:szCs w:val="24"/>
          <w:u w:val="single"/>
        </w:rPr>
        <w:t>La stratégie nationale</w:t>
      </w:r>
    </w:p>
    <w:p w:rsidR="00E76A06" w:rsidRPr="00EA26F0" w:rsidRDefault="00E76A06" w:rsidP="00EA26F0">
      <w:pPr>
        <w:autoSpaceDE w:val="0"/>
        <w:autoSpaceDN w:val="0"/>
        <w:adjustRightInd w:val="0"/>
        <w:spacing w:after="0" w:line="240" w:lineRule="auto"/>
        <w:ind w:left="-284"/>
        <w:jc w:val="both"/>
        <w:rPr>
          <w:rFonts w:ascii="Times New Roman" w:hAnsi="Times New Roman" w:cs="Times New Roman"/>
          <w:sz w:val="24"/>
          <w:szCs w:val="24"/>
        </w:rPr>
      </w:pPr>
      <w:r w:rsidRPr="00EA26F0">
        <w:rPr>
          <w:rFonts w:ascii="Times New Roman" w:hAnsi="Times New Roman" w:cs="Times New Roman"/>
          <w:sz w:val="24"/>
          <w:szCs w:val="24"/>
        </w:rPr>
        <w:t>La G</w:t>
      </w:r>
      <w:r w:rsidR="008449C4" w:rsidRPr="00EA26F0">
        <w:rPr>
          <w:rFonts w:ascii="Times New Roman" w:hAnsi="Times New Roman" w:cs="Times New Roman"/>
          <w:sz w:val="24"/>
          <w:szCs w:val="24"/>
        </w:rPr>
        <w:t>uinée-Bissau est un pays dans lequel</w:t>
      </w:r>
      <w:r w:rsidRPr="00EA26F0">
        <w:rPr>
          <w:rFonts w:ascii="Times New Roman" w:hAnsi="Times New Roman" w:cs="Times New Roman"/>
          <w:sz w:val="24"/>
          <w:szCs w:val="24"/>
        </w:rPr>
        <w:t xml:space="preserve"> les ressources biologiques constituent le support principal de l’économie nationale et où les tendances pour leur dégradation deviennent alarmantes. Cela étant, il s’impose de connaître les raisons, les solutions à préconiser et le type de recommandations à faire pour la conservation de la biodiversité, de manière à rendre l’intervention humaine plus rationnelle, évitant de cette manière l’érosion accélérée du patrimoine biologique et la consécutive diminution des coûts économiques et sociaux.</w:t>
      </w:r>
    </w:p>
    <w:p w:rsidR="00E76A06" w:rsidRPr="00EA26F0" w:rsidRDefault="00E76A06" w:rsidP="00EA26F0">
      <w:pPr>
        <w:autoSpaceDE w:val="0"/>
        <w:autoSpaceDN w:val="0"/>
        <w:adjustRightInd w:val="0"/>
        <w:spacing w:after="0" w:line="240" w:lineRule="auto"/>
        <w:ind w:left="-284"/>
        <w:jc w:val="both"/>
        <w:rPr>
          <w:rFonts w:ascii="Times New Roman" w:hAnsi="Times New Roman" w:cs="Times New Roman"/>
          <w:sz w:val="24"/>
          <w:szCs w:val="24"/>
        </w:rPr>
      </w:pPr>
      <w:r w:rsidRPr="00EA26F0">
        <w:rPr>
          <w:rFonts w:ascii="Times New Roman" w:hAnsi="Times New Roman" w:cs="Times New Roman"/>
          <w:sz w:val="24"/>
          <w:szCs w:val="24"/>
        </w:rPr>
        <w:t xml:space="preserve">La stratégie d’implémentation des actions de conservation et </w:t>
      </w:r>
      <w:r w:rsidR="008449C4" w:rsidRPr="00EA26F0">
        <w:rPr>
          <w:rFonts w:ascii="Times New Roman" w:hAnsi="Times New Roman" w:cs="Times New Roman"/>
          <w:sz w:val="24"/>
          <w:szCs w:val="24"/>
        </w:rPr>
        <w:t>d’</w:t>
      </w:r>
      <w:r w:rsidRPr="00EA26F0">
        <w:rPr>
          <w:rFonts w:ascii="Times New Roman" w:hAnsi="Times New Roman" w:cs="Times New Roman"/>
          <w:sz w:val="24"/>
          <w:szCs w:val="24"/>
        </w:rPr>
        <w:t>utilisa</w:t>
      </w:r>
      <w:r w:rsidR="008449C4" w:rsidRPr="00EA26F0">
        <w:rPr>
          <w:rFonts w:ascii="Times New Roman" w:hAnsi="Times New Roman" w:cs="Times New Roman"/>
          <w:sz w:val="24"/>
          <w:szCs w:val="24"/>
        </w:rPr>
        <w:t>tion de la biodiversité s’adosse</w:t>
      </w:r>
      <w:r w:rsidRPr="00EA26F0">
        <w:rPr>
          <w:rFonts w:ascii="Times New Roman" w:hAnsi="Times New Roman" w:cs="Times New Roman"/>
          <w:sz w:val="24"/>
          <w:szCs w:val="24"/>
        </w:rPr>
        <w:t xml:space="preserve"> sur les trois grands principes de la Convention : </w:t>
      </w:r>
    </w:p>
    <w:p w:rsidR="00E76A06" w:rsidRPr="00053C62" w:rsidRDefault="00E76A06" w:rsidP="00E76A06">
      <w:pPr>
        <w:autoSpaceDE w:val="0"/>
        <w:autoSpaceDN w:val="0"/>
        <w:adjustRightInd w:val="0"/>
        <w:spacing w:after="0" w:line="276" w:lineRule="auto"/>
        <w:ind w:right="284"/>
        <w:jc w:val="both"/>
        <w:rPr>
          <w:rFonts w:ascii="Times New Roman" w:hAnsi="Times New Roman" w:cs="Times New Roman"/>
          <w:color w:val="000000"/>
          <w:sz w:val="24"/>
          <w:szCs w:val="24"/>
        </w:rPr>
      </w:pPr>
    </w:p>
    <w:p w:rsidR="00E76A06" w:rsidRPr="00053C62" w:rsidRDefault="00E76A06" w:rsidP="00FA3FAE">
      <w:pPr>
        <w:pStyle w:val="PargrafodaLista"/>
        <w:numPr>
          <w:ilvl w:val="0"/>
          <w:numId w:val="17"/>
        </w:numPr>
        <w:autoSpaceDE w:val="0"/>
        <w:autoSpaceDN w:val="0"/>
        <w:adjustRightInd w:val="0"/>
        <w:spacing w:after="0"/>
        <w:ind w:right="284"/>
        <w:jc w:val="both"/>
        <w:rPr>
          <w:rFonts w:ascii="Times New Roman" w:hAnsi="Times New Roman"/>
          <w:b/>
          <w:color w:val="000000"/>
          <w:sz w:val="24"/>
          <w:szCs w:val="24"/>
        </w:rPr>
      </w:pPr>
      <w:r w:rsidRPr="00053C62">
        <w:rPr>
          <w:rFonts w:ascii="Times New Roman" w:hAnsi="Times New Roman"/>
          <w:b/>
          <w:color w:val="000000"/>
          <w:sz w:val="24"/>
          <w:szCs w:val="24"/>
        </w:rPr>
        <w:t xml:space="preserve">Participation des populations, </w:t>
      </w:r>
    </w:p>
    <w:p w:rsidR="00E76A06" w:rsidRPr="00053C62" w:rsidRDefault="00E76A06" w:rsidP="00FA3FAE">
      <w:pPr>
        <w:pStyle w:val="PargrafodaLista"/>
        <w:numPr>
          <w:ilvl w:val="0"/>
          <w:numId w:val="17"/>
        </w:numPr>
        <w:autoSpaceDE w:val="0"/>
        <w:autoSpaceDN w:val="0"/>
        <w:adjustRightInd w:val="0"/>
        <w:spacing w:after="0"/>
        <w:ind w:right="284"/>
        <w:jc w:val="both"/>
        <w:rPr>
          <w:rFonts w:ascii="Times New Roman" w:hAnsi="Times New Roman"/>
          <w:b/>
          <w:color w:val="000000"/>
          <w:sz w:val="24"/>
          <w:szCs w:val="24"/>
        </w:rPr>
      </w:pPr>
      <w:r w:rsidRPr="00053C62">
        <w:rPr>
          <w:rFonts w:ascii="Times New Roman" w:hAnsi="Times New Roman"/>
          <w:b/>
          <w:color w:val="000000"/>
          <w:sz w:val="24"/>
          <w:szCs w:val="24"/>
        </w:rPr>
        <w:t xml:space="preserve">Approche intégrée, </w:t>
      </w:r>
    </w:p>
    <w:p w:rsidR="00E76A06" w:rsidRPr="00053C62" w:rsidRDefault="00E76A06" w:rsidP="00FA3FAE">
      <w:pPr>
        <w:pStyle w:val="PargrafodaLista"/>
        <w:numPr>
          <w:ilvl w:val="0"/>
          <w:numId w:val="17"/>
        </w:numPr>
        <w:autoSpaceDE w:val="0"/>
        <w:autoSpaceDN w:val="0"/>
        <w:adjustRightInd w:val="0"/>
        <w:spacing w:after="0"/>
        <w:ind w:right="284"/>
        <w:jc w:val="both"/>
        <w:rPr>
          <w:rFonts w:ascii="Times New Roman" w:hAnsi="Times New Roman"/>
          <w:color w:val="000000"/>
          <w:sz w:val="24"/>
          <w:szCs w:val="24"/>
        </w:rPr>
      </w:pPr>
      <w:r w:rsidRPr="00053C62">
        <w:rPr>
          <w:rFonts w:ascii="Times New Roman" w:hAnsi="Times New Roman"/>
          <w:b/>
          <w:color w:val="000000"/>
          <w:sz w:val="24"/>
          <w:szCs w:val="24"/>
        </w:rPr>
        <w:t>Partenariat.</w:t>
      </w:r>
    </w:p>
    <w:p w:rsidR="00387298" w:rsidRPr="00EA26F0" w:rsidRDefault="00E76A06" w:rsidP="00EA26F0">
      <w:pPr>
        <w:autoSpaceDE w:val="0"/>
        <w:autoSpaceDN w:val="0"/>
        <w:adjustRightInd w:val="0"/>
        <w:spacing w:after="0" w:line="240" w:lineRule="auto"/>
        <w:ind w:left="-284"/>
        <w:jc w:val="both"/>
        <w:rPr>
          <w:rFonts w:ascii="Times New Roman" w:hAnsi="Times New Roman" w:cs="Times New Roman"/>
          <w:sz w:val="24"/>
          <w:szCs w:val="24"/>
        </w:rPr>
      </w:pPr>
      <w:r w:rsidRPr="00EA26F0">
        <w:rPr>
          <w:rFonts w:ascii="Times New Roman" w:hAnsi="Times New Roman" w:cs="Times New Roman"/>
          <w:sz w:val="24"/>
          <w:szCs w:val="24"/>
        </w:rPr>
        <w:t>Le développement économique ne peut se concevoir sans tenir compt</w:t>
      </w:r>
      <w:r w:rsidR="00387298" w:rsidRPr="00EA26F0">
        <w:rPr>
          <w:rFonts w:ascii="Times New Roman" w:hAnsi="Times New Roman" w:cs="Times New Roman"/>
          <w:sz w:val="24"/>
          <w:szCs w:val="24"/>
        </w:rPr>
        <w:t xml:space="preserve">e des aspects sociaux, la lutte </w:t>
      </w:r>
      <w:r w:rsidRPr="00EA26F0">
        <w:rPr>
          <w:rFonts w:ascii="Times New Roman" w:hAnsi="Times New Roman" w:cs="Times New Roman"/>
          <w:sz w:val="24"/>
          <w:szCs w:val="24"/>
        </w:rPr>
        <w:t>contre les inégalités et le respect de l’environnement.</w:t>
      </w:r>
    </w:p>
    <w:p w:rsidR="00E76A06" w:rsidRPr="00EA26F0" w:rsidRDefault="00E76A06" w:rsidP="00EA26F0">
      <w:pPr>
        <w:autoSpaceDE w:val="0"/>
        <w:autoSpaceDN w:val="0"/>
        <w:adjustRightInd w:val="0"/>
        <w:spacing w:after="0" w:line="240" w:lineRule="auto"/>
        <w:ind w:left="-284"/>
        <w:jc w:val="both"/>
        <w:rPr>
          <w:rFonts w:ascii="Times New Roman" w:hAnsi="Times New Roman" w:cs="Times New Roman"/>
          <w:sz w:val="24"/>
          <w:szCs w:val="24"/>
        </w:rPr>
      </w:pPr>
      <w:r w:rsidRPr="00EA26F0">
        <w:rPr>
          <w:rFonts w:ascii="Times New Roman" w:hAnsi="Times New Roman" w:cs="Times New Roman"/>
          <w:sz w:val="24"/>
          <w:szCs w:val="24"/>
        </w:rPr>
        <w:t xml:space="preserve">Ayant en vue que le développement ne peut être durable que s’il est simultanément économique, social et environnemental, les formes de développement qui mettent en danger les ressources naturelles et augmentent les inégalités entre les populations sont condamnées à l’échec. </w:t>
      </w:r>
    </w:p>
    <w:p w:rsidR="007E6AED" w:rsidRPr="00EA26F0" w:rsidRDefault="007E6AED" w:rsidP="00EA26F0">
      <w:pPr>
        <w:autoSpaceDE w:val="0"/>
        <w:autoSpaceDN w:val="0"/>
        <w:adjustRightInd w:val="0"/>
        <w:spacing w:after="0" w:line="240" w:lineRule="auto"/>
        <w:ind w:left="-284"/>
        <w:jc w:val="both"/>
        <w:rPr>
          <w:rFonts w:ascii="Times New Roman" w:hAnsi="Times New Roman" w:cs="Times New Roman"/>
          <w:sz w:val="24"/>
          <w:szCs w:val="24"/>
        </w:rPr>
      </w:pPr>
    </w:p>
    <w:p w:rsidR="00E76A06" w:rsidRPr="00053C62" w:rsidRDefault="00E76A06" w:rsidP="00E76A06">
      <w:pPr>
        <w:ind w:right="284"/>
        <w:jc w:val="both"/>
        <w:rPr>
          <w:rFonts w:ascii="Times New Roman" w:hAnsi="Times New Roman" w:cs="Times New Roman"/>
          <w:b/>
          <w:sz w:val="24"/>
          <w:szCs w:val="24"/>
          <w:u w:val="single"/>
        </w:rPr>
      </w:pPr>
      <w:r w:rsidRPr="00053C62">
        <w:rPr>
          <w:rFonts w:ascii="Times New Roman" w:hAnsi="Times New Roman" w:cs="Times New Roman"/>
          <w:b/>
          <w:sz w:val="24"/>
          <w:szCs w:val="24"/>
          <w:u w:val="single"/>
        </w:rPr>
        <w:t>Le plan d’action pour la conservation de la diversité biologique</w:t>
      </w:r>
    </w:p>
    <w:p w:rsidR="00E76A06" w:rsidRPr="00EA26F0" w:rsidRDefault="00E76A06" w:rsidP="00EA26F0">
      <w:pPr>
        <w:autoSpaceDE w:val="0"/>
        <w:autoSpaceDN w:val="0"/>
        <w:adjustRightInd w:val="0"/>
        <w:spacing w:after="0" w:line="240" w:lineRule="auto"/>
        <w:ind w:left="-284"/>
        <w:jc w:val="both"/>
        <w:rPr>
          <w:rFonts w:ascii="Times New Roman" w:hAnsi="Times New Roman" w:cs="Times New Roman"/>
          <w:sz w:val="24"/>
          <w:szCs w:val="24"/>
        </w:rPr>
      </w:pPr>
      <w:r w:rsidRPr="00EA26F0">
        <w:rPr>
          <w:rFonts w:ascii="Times New Roman" w:hAnsi="Times New Roman" w:cs="Times New Roman"/>
          <w:sz w:val="24"/>
          <w:szCs w:val="24"/>
        </w:rPr>
        <w:t>L’élaboration de la stratégie et du plan d’action représentent le fruit de l’engagement du Gouvernement de la Guinée-Bissau, à travers la signature et la ratification de la Convention sur la Diversité Biologique, le 27 octobre 1995.</w:t>
      </w:r>
    </w:p>
    <w:p w:rsidR="00E76A06" w:rsidRPr="00EA26F0" w:rsidRDefault="00E76A06" w:rsidP="00EA26F0">
      <w:pPr>
        <w:autoSpaceDE w:val="0"/>
        <w:autoSpaceDN w:val="0"/>
        <w:adjustRightInd w:val="0"/>
        <w:spacing w:after="0" w:line="240" w:lineRule="auto"/>
        <w:ind w:left="-284"/>
        <w:jc w:val="both"/>
        <w:rPr>
          <w:rFonts w:ascii="Times New Roman" w:hAnsi="Times New Roman" w:cs="Times New Roman"/>
          <w:sz w:val="24"/>
          <w:szCs w:val="24"/>
        </w:rPr>
      </w:pPr>
      <w:r w:rsidRPr="00EA26F0">
        <w:rPr>
          <w:rFonts w:ascii="Times New Roman" w:hAnsi="Times New Roman" w:cs="Times New Roman"/>
          <w:sz w:val="24"/>
          <w:szCs w:val="24"/>
        </w:rPr>
        <w:t>Le développement socio-économique de la Guinée-Bissau repose sur l’utilisation de ses ressources naturelles.</w:t>
      </w:r>
      <w:r w:rsidRPr="00EA26F0">
        <w:rPr>
          <w:rFonts w:ascii="Times New Roman" w:hAnsi="Times New Roman" w:cs="Times New Roman"/>
          <w:sz w:val="24"/>
          <w:szCs w:val="24"/>
        </w:rPr>
        <w:br/>
      </w:r>
    </w:p>
    <w:p w:rsidR="00EA26F0" w:rsidRDefault="00E76A06" w:rsidP="00EA26F0">
      <w:pPr>
        <w:autoSpaceDE w:val="0"/>
        <w:autoSpaceDN w:val="0"/>
        <w:adjustRightInd w:val="0"/>
        <w:spacing w:after="0" w:line="240" w:lineRule="auto"/>
        <w:ind w:left="-284"/>
        <w:jc w:val="both"/>
        <w:rPr>
          <w:rFonts w:ascii="Times New Roman" w:hAnsi="Times New Roman" w:cs="Times New Roman"/>
          <w:sz w:val="24"/>
          <w:szCs w:val="24"/>
        </w:rPr>
      </w:pPr>
      <w:r w:rsidRPr="00EA26F0">
        <w:rPr>
          <w:rFonts w:ascii="Times New Roman" w:hAnsi="Times New Roman" w:cs="Times New Roman"/>
          <w:sz w:val="24"/>
          <w:szCs w:val="24"/>
        </w:rPr>
        <w:t>Ce travail contient une analyse actuelle de la situation de la biodiversité en Guinée-Bissau et propose une série d’actions qui doit être réalisée dans le sens de permettre la mise en œuvre des orientations stratégiques en vue de la conservation et l’utilisation durable de la biodiversité, avec la participation directe de la société civile et de communautés de base, sans oublier la participation des femmes et de la jeunesse qui aussi, jouent un rôle important dans ce processus.</w:t>
      </w:r>
    </w:p>
    <w:p w:rsidR="00E76A06" w:rsidRPr="00EA26F0" w:rsidRDefault="00E76A06" w:rsidP="00EA26F0">
      <w:pPr>
        <w:autoSpaceDE w:val="0"/>
        <w:autoSpaceDN w:val="0"/>
        <w:adjustRightInd w:val="0"/>
        <w:spacing w:after="0" w:line="240" w:lineRule="auto"/>
        <w:ind w:left="-284"/>
        <w:jc w:val="both"/>
        <w:rPr>
          <w:rFonts w:ascii="Times New Roman" w:hAnsi="Times New Roman" w:cs="Times New Roman"/>
          <w:sz w:val="24"/>
          <w:szCs w:val="24"/>
        </w:rPr>
      </w:pPr>
      <w:r w:rsidRPr="00EA26F0">
        <w:rPr>
          <w:rFonts w:ascii="Times New Roman" w:hAnsi="Times New Roman" w:cs="Times New Roman"/>
          <w:sz w:val="24"/>
          <w:szCs w:val="24"/>
        </w:rPr>
        <w:br/>
        <w:t>Ceci entre dans le cadre des efforts de bonne gouvernance initiés par le Gouvernement de la Guinée-Bissau pour une préservation de la biodiversité. Pour cela, il faut combattre la menace de la perte de la biodiversité biologique, en faisant la promotion entre autres de la synergie entre les trois conventions de Rio (Convention sur la diversité biologique, convention sur les changements climatiques et la convention de la lutte contre la sécheresse et la désertification).</w:t>
      </w:r>
    </w:p>
    <w:p w:rsidR="00E76A06" w:rsidRPr="00EA26F0" w:rsidRDefault="00E76A06" w:rsidP="00EA26F0">
      <w:pPr>
        <w:autoSpaceDE w:val="0"/>
        <w:autoSpaceDN w:val="0"/>
        <w:adjustRightInd w:val="0"/>
        <w:spacing w:after="0" w:line="240" w:lineRule="auto"/>
        <w:ind w:left="-284"/>
        <w:jc w:val="both"/>
        <w:rPr>
          <w:rFonts w:ascii="Times New Roman" w:hAnsi="Times New Roman" w:cs="Times New Roman"/>
          <w:sz w:val="24"/>
          <w:szCs w:val="24"/>
        </w:rPr>
      </w:pPr>
      <w:r w:rsidRPr="00EA26F0">
        <w:rPr>
          <w:rFonts w:ascii="Times New Roman" w:hAnsi="Times New Roman" w:cs="Times New Roman"/>
          <w:sz w:val="24"/>
          <w:szCs w:val="24"/>
        </w:rPr>
        <w:br/>
        <w:t xml:space="preserve">Le plan d’action à moyen terme fait référence à la prise de décisions relatives à l’investissement et l’attribution de ressources aux programmes prioritaires de la biodiversité. </w:t>
      </w:r>
    </w:p>
    <w:p w:rsidR="00E76A06" w:rsidRPr="00053C62" w:rsidRDefault="00E76A06" w:rsidP="00E76A06">
      <w:pPr>
        <w:autoSpaceDE w:val="0"/>
        <w:autoSpaceDN w:val="0"/>
        <w:adjustRightInd w:val="0"/>
        <w:spacing w:after="0" w:line="276" w:lineRule="auto"/>
        <w:jc w:val="both"/>
        <w:rPr>
          <w:rFonts w:ascii="Times New Roman" w:hAnsi="Times New Roman" w:cs="Times New Roman"/>
          <w:color w:val="000000"/>
          <w:sz w:val="24"/>
          <w:szCs w:val="24"/>
        </w:rPr>
      </w:pPr>
    </w:p>
    <w:p w:rsidR="00E76A06" w:rsidRPr="00EA26F0" w:rsidRDefault="00E76A06" w:rsidP="00EA26F0">
      <w:pPr>
        <w:autoSpaceDE w:val="0"/>
        <w:autoSpaceDN w:val="0"/>
        <w:adjustRightInd w:val="0"/>
        <w:spacing w:after="0" w:line="240" w:lineRule="auto"/>
        <w:ind w:left="-284"/>
        <w:jc w:val="both"/>
        <w:rPr>
          <w:rFonts w:ascii="Times New Roman" w:hAnsi="Times New Roman" w:cs="Times New Roman"/>
          <w:sz w:val="24"/>
          <w:szCs w:val="24"/>
        </w:rPr>
      </w:pPr>
      <w:r w:rsidRPr="00EA26F0">
        <w:rPr>
          <w:rFonts w:ascii="Times New Roman" w:hAnsi="Times New Roman" w:cs="Times New Roman"/>
          <w:sz w:val="24"/>
          <w:szCs w:val="24"/>
        </w:rPr>
        <w:t>Ce plan constituera à partir des résultats espérés de la stratégie nationale, un ensemble d’actions cohérentes destinées à corriger les déséquilibres actuels et ainsi répondre de façon positive et efficace aux problèmes identifiés pendant les séminaires régionaux et nationaux.</w:t>
      </w:r>
    </w:p>
    <w:p w:rsidR="00E76A06" w:rsidRPr="00053C62" w:rsidRDefault="00E76A06" w:rsidP="00E76A06">
      <w:pPr>
        <w:autoSpaceDE w:val="0"/>
        <w:autoSpaceDN w:val="0"/>
        <w:adjustRightInd w:val="0"/>
        <w:spacing w:after="0" w:line="276" w:lineRule="auto"/>
        <w:ind w:right="284"/>
        <w:jc w:val="both"/>
        <w:rPr>
          <w:rFonts w:ascii="Times New Roman" w:hAnsi="Times New Roman" w:cs="Times New Roman"/>
          <w:b/>
          <w:bCs/>
          <w:color w:val="000000"/>
          <w:sz w:val="24"/>
          <w:szCs w:val="24"/>
          <w:u w:val="single"/>
        </w:rPr>
      </w:pPr>
      <w:r w:rsidRPr="00053C62">
        <w:rPr>
          <w:rFonts w:ascii="Times New Roman" w:hAnsi="Times New Roman" w:cs="Times New Roman"/>
          <w:b/>
          <w:bCs/>
          <w:color w:val="000000"/>
          <w:sz w:val="24"/>
          <w:szCs w:val="24"/>
        </w:rPr>
        <w:t xml:space="preserve">             </w:t>
      </w:r>
      <w:r w:rsidRPr="00053C62">
        <w:rPr>
          <w:rFonts w:ascii="Times New Roman" w:hAnsi="Times New Roman" w:cs="Times New Roman"/>
          <w:b/>
          <w:bCs/>
          <w:color w:val="000000"/>
          <w:sz w:val="24"/>
          <w:szCs w:val="24"/>
          <w:u w:val="single"/>
        </w:rPr>
        <w:t>Objectifs nationaux</w:t>
      </w:r>
    </w:p>
    <w:p w:rsidR="00E76A06" w:rsidRPr="009C7E7C" w:rsidRDefault="00E76A06" w:rsidP="00FA3FAE">
      <w:pPr>
        <w:pStyle w:val="PargrafodaLista"/>
        <w:numPr>
          <w:ilvl w:val="0"/>
          <w:numId w:val="18"/>
        </w:numPr>
        <w:autoSpaceDE w:val="0"/>
        <w:autoSpaceDN w:val="0"/>
        <w:adjustRightInd w:val="0"/>
        <w:spacing w:after="0" w:line="240" w:lineRule="auto"/>
        <w:ind w:right="284"/>
        <w:jc w:val="both"/>
        <w:rPr>
          <w:rFonts w:ascii="Times New Roman" w:hAnsi="Times New Roman"/>
          <w:b/>
          <w:i/>
          <w:color w:val="000000"/>
          <w:sz w:val="22"/>
          <w:szCs w:val="22"/>
        </w:rPr>
      </w:pPr>
      <w:r w:rsidRPr="009C7E7C">
        <w:rPr>
          <w:rFonts w:ascii="Times New Roman" w:hAnsi="Times New Roman"/>
          <w:i/>
          <w:color w:val="000000"/>
          <w:sz w:val="22"/>
          <w:szCs w:val="22"/>
        </w:rPr>
        <w:lastRenderedPageBreak/>
        <w:t>Protection des écosystèmes;</w:t>
      </w:r>
    </w:p>
    <w:p w:rsidR="00E76A06" w:rsidRPr="009C7E7C" w:rsidRDefault="00E76A06" w:rsidP="00FA3FAE">
      <w:pPr>
        <w:pStyle w:val="PargrafodaLista"/>
        <w:numPr>
          <w:ilvl w:val="0"/>
          <w:numId w:val="18"/>
        </w:numPr>
        <w:autoSpaceDE w:val="0"/>
        <w:autoSpaceDN w:val="0"/>
        <w:adjustRightInd w:val="0"/>
        <w:spacing w:after="0" w:line="240" w:lineRule="auto"/>
        <w:ind w:right="284"/>
        <w:jc w:val="both"/>
        <w:rPr>
          <w:rFonts w:ascii="Times New Roman" w:hAnsi="Times New Roman"/>
          <w:b/>
          <w:i/>
          <w:color w:val="000000"/>
          <w:sz w:val="22"/>
          <w:szCs w:val="22"/>
        </w:rPr>
      </w:pPr>
      <w:r w:rsidRPr="009C7E7C">
        <w:rPr>
          <w:rFonts w:ascii="Times New Roman" w:hAnsi="Times New Roman"/>
          <w:i/>
          <w:color w:val="000000"/>
          <w:sz w:val="22"/>
          <w:szCs w:val="22"/>
        </w:rPr>
        <w:t>Arborisation et repeuplement forestier;</w:t>
      </w:r>
    </w:p>
    <w:p w:rsidR="00E76A06" w:rsidRPr="009C7E7C" w:rsidRDefault="00E76A06" w:rsidP="00FA3FAE">
      <w:pPr>
        <w:pStyle w:val="PargrafodaLista"/>
        <w:numPr>
          <w:ilvl w:val="0"/>
          <w:numId w:val="18"/>
        </w:numPr>
        <w:autoSpaceDE w:val="0"/>
        <w:autoSpaceDN w:val="0"/>
        <w:adjustRightInd w:val="0"/>
        <w:spacing w:after="0" w:line="240" w:lineRule="auto"/>
        <w:ind w:right="284"/>
        <w:jc w:val="both"/>
        <w:rPr>
          <w:rFonts w:ascii="Times New Roman" w:hAnsi="Times New Roman"/>
          <w:b/>
          <w:i/>
          <w:color w:val="000000"/>
          <w:sz w:val="22"/>
          <w:szCs w:val="22"/>
        </w:rPr>
      </w:pPr>
      <w:r w:rsidRPr="009C7E7C">
        <w:rPr>
          <w:rFonts w:ascii="Times New Roman" w:hAnsi="Times New Roman"/>
          <w:i/>
          <w:color w:val="000000"/>
          <w:sz w:val="22"/>
          <w:szCs w:val="22"/>
        </w:rPr>
        <w:t>Optimisation des ressources hydriques;</w:t>
      </w:r>
    </w:p>
    <w:p w:rsidR="00E76A06" w:rsidRPr="009C7E7C" w:rsidRDefault="00E76A06" w:rsidP="00FA3FAE">
      <w:pPr>
        <w:pStyle w:val="PargrafodaLista"/>
        <w:numPr>
          <w:ilvl w:val="0"/>
          <w:numId w:val="18"/>
        </w:numPr>
        <w:autoSpaceDE w:val="0"/>
        <w:autoSpaceDN w:val="0"/>
        <w:adjustRightInd w:val="0"/>
        <w:spacing w:after="0" w:line="240" w:lineRule="auto"/>
        <w:ind w:right="284"/>
        <w:jc w:val="both"/>
        <w:rPr>
          <w:rFonts w:ascii="Times New Roman" w:hAnsi="Times New Roman"/>
          <w:b/>
          <w:i/>
          <w:color w:val="000000"/>
          <w:sz w:val="22"/>
          <w:szCs w:val="22"/>
        </w:rPr>
      </w:pPr>
      <w:r w:rsidRPr="009C7E7C">
        <w:rPr>
          <w:rFonts w:ascii="Times New Roman" w:hAnsi="Times New Roman"/>
          <w:i/>
          <w:color w:val="000000"/>
          <w:sz w:val="22"/>
          <w:szCs w:val="22"/>
        </w:rPr>
        <w:t>Exploitation de nouvelles sources d’énergies, pour en finir avec les brûlis pour la production de bois à brûler;</w:t>
      </w:r>
    </w:p>
    <w:p w:rsidR="00E76A06" w:rsidRPr="009C7E7C" w:rsidRDefault="00E76A06" w:rsidP="00FA3FAE">
      <w:pPr>
        <w:pStyle w:val="PargrafodaLista"/>
        <w:numPr>
          <w:ilvl w:val="0"/>
          <w:numId w:val="18"/>
        </w:numPr>
        <w:autoSpaceDE w:val="0"/>
        <w:autoSpaceDN w:val="0"/>
        <w:adjustRightInd w:val="0"/>
        <w:spacing w:after="0" w:line="240" w:lineRule="auto"/>
        <w:ind w:right="284"/>
        <w:jc w:val="both"/>
        <w:rPr>
          <w:rFonts w:ascii="Times New Roman" w:hAnsi="Times New Roman"/>
          <w:b/>
          <w:i/>
          <w:color w:val="000000"/>
          <w:sz w:val="22"/>
          <w:szCs w:val="22"/>
        </w:rPr>
      </w:pPr>
      <w:r w:rsidRPr="009C7E7C">
        <w:rPr>
          <w:rFonts w:ascii="Times New Roman" w:hAnsi="Times New Roman"/>
          <w:i/>
          <w:color w:val="000000"/>
          <w:sz w:val="22"/>
          <w:szCs w:val="22"/>
        </w:rPr>
        <w:t>Lutte contre l’érosion des sols;</w:t>
      </w:r>
    </w:p>
    <w:p w:rsidR="00E76A06" w:rsidRPr="009C7E7C" w:rsidRDefault="00E76A06" w:rsidP="00FA3FAE">
      <w:pPr>
        <w:pStyle w:val="PargrafodaLista"/>
        <w:numPr>
          <w:ilvl w:val="0"/>
          <w:numId w:val="18"/>
        </w:numPr>
        <w:autoSpaceDE w:val="0"/>
        <w:autoSpaceDN w:val="0"/>
        <w:adjustRightInd w:val="0"/>
        <w:spacing w:after="0" w:line="240" w:lineRule="auto"/>
        <w:ind w:right="284"/>
        <w:jc w:val="both"/>
        <w:rPr>
          <w:rFonts w:ascii="Times New Roman" w:hAnsi="Times New Roman"/>
          <w:b/>
          <w:i/>
          <w:color w:val="000000"/>
          <w:sz w:val="22"/>
          <w:szCs w:val="22"/>
        </w:rPr>
      </w:pPr>
      <w:r w:rsidRPr="009C7E7C">
        <w:rPr>
          <w:rFonts w:ascii="Times New Roman" w:hAnsi="Times New Roman"/>
          <w:i/>
          <w:color w:val="000000"/>
          <w:sz w:val="22"/>
          <w:szCs w:val="22"/>
        </w:rPr>
        <w:t>Lutte contre le salinage des zones côtières et fluviales;</w:t>
      </w:r>
    </w:p>
    <w:p w:rsidR="00E76A06" w:rsidRPr="009C7E7C" w:rsidRDefault="00E76A06" w:rsidP="00FA3FAE">
      <w:pPr>
        <w:pStyle w:val="PargrafodaLista"/>
        <w:numPr>
          <w:ilvl w:val="0"/>
          <w:numId w:val="18"/>
        </w:numPr>
        <w:autoSpaceDE w:val="0"/>
        <w:autoSpaceDN w:val="0"/>
        <w:adjustRightInd w:val="0"/>
        <w:spacing w:after="0" w:line="240" w:lineRule="auto"/>
        <w:ind w:right="284"/>
        <w:jc w:val="both"/>
        <w:rPr>
          <w:rFonts w:ascii="Times New Roman" w:hAnsi="Times New Roman"/>
          <w:b/>
          <w:i/>
          <w:color w:val="000000"/>
          <w:sz w:val="22"/>
          <w:szCs w:val="22"/>
        </w:rPr>
      </w:pPr>
      <w:r w:rsidRPr="009C7E7C">
        <w:rPr>
          <w:rFonts w:ascii="Times New Roman" w:hAnsi="Times New Roman"/>
          <w:i/>
          <w:color w:val="000000"/>
          <w:sz w:val="22"/>
          <w:szCs w:val="22"/>
        </w:rPr>
        <w:t>Lutte contre l’érosion côtière et des estuaires;</w:t>
      </w:r>
    </w:p>
    <w:p w:rsidR="00E76A06" w:rsidRPr="009C7E7C" w:rsidRDefault="00E76A06" w:rsidP="00FA3FAE">
      <w:pPr>
        <w:pStyle w:val="PargrafodaLista"/>
        <w:numPr>
          <w:ilvl w:val="0"/>
          <w:numId w:val="18"/>
        </w:numPr>
        <w:autoSpaceDE w:val="0"/>
        <w:autoSpaceDN w:val="0"/>
        <w:adjustRightInd w:val="0"/>
        <w:spacing w:after="0" w:line="240" w:lineRule="auto"/>
        <w:ind w:right="284"/>
        <w:jc w:val="both"/>
        <w:rPr>
          <w:rFonts w:ascii="Times New Roman" w:hAnsi="Times New Roman"/>
          <w:b/>
          <w:i/>
          <w:color w:val="000000"/>
          <w:sz w:val="22"/>
          <w:szCs w:val="22"/>
        </w:rPr>
      </w:pPr>
      <w:r w:rsidRPr="009C7E7C">
        <w:rPr>
          <w:rFonts w:ascii="Times New Roman" w:hAnsi="Times New Roman"/>
          <w:i/>
          <w:color w:val="000000"/>
          <w:sz w:val="22"/>
          <w:szCs w:val="22"/>
        </w:rPr>
        <w:t>Renforcement de la participation de la société civile ayant comme base l’éducation et la formation environnementale;</w:t>
      </w:r>
    </w:p>
    <w:p w:rsidR="00E76A06" w:rsidRPr="009C7E7C" w:rsidRDefault="00E76A06" w:rsidP="00FA3FAE">
      <w:pPr>
        <w:pStyle w:val="PargrafodaLista"/>
        <w:numPr>
          <w:ilvl w:val="0"/>
          <w:numId w:val="18"/>
        </w:numPr>
        <w:autoSpaceDE w:val="0"/>
        <w:autoSpaceDN w:val="0"/>
        <w:adjustRightInd w:val="0"/>
        <w:spacing w:after="0" w:line="240" w:lineRule="auto"/>
        <w:ind w:right="284"/>
        <w:jc w:val="both"/>
        <w:rPr>
          <w:rFonts w:ascii="Times New Roman" w:hAnsi="Times New Roman"/>
          <w:b/>
          <w:i/>
          <w:color w:val="000000"/>
          <w:sz w:val="22"/>
          <w:szCs w:val="22"/>
        </w:rPr>
      </w:pPr>
      <w:r w:rsidRPr="009C7E7C">
        <w:rPr>
          <w:rFonts w:ascii="Times New Roman" w:hAnsi="Times New Roman"/>
          <w:i/>
          <w:color w:val="000000"/>
          <w:sz w:val="22"/>
          <w:szCs w:val="22"/>
        </w:rPr>
        <w:t>Renforcement de la capacité d’intervention de l’administration publique, centrale et régionale, pour donner des réponses aux principaux thèmes liés à l’environnement;</w:t>
      </w:r>
    </w:p>
    <w:p w:rsidR="00E76A06" w:rsidRPr="009C7E7C" w:rsidRDefault="00E76A06" w:rsidP="00FA3FAE">
      <w:pPr>
        <w:pStyle w:val="PargrafodaLista"/>
        <w:numPr>
          <w:ilvl w:val="0"/>
          <w:numId w:val="18"/>
        </w:numPr>
        <w:autoSpaceDE w:val="0"/>
        <w:autoSpaceDN w:val="0"/>
        <w:adjustRightInd w:val="0"/>
        <w:spacing w:after="0" w:line="240" w:lineRule="auto"/>
        <w:ind w:right="284"/>
        <w:jc w:val="both"/>
        <w:rPr>
          <w:rFonts w:ascii="Times New Roman" w:hAnsi="Times New Roman"/>
          <w:b/>
          <w:i/>
          <w:color w:val="000000"/>
          <w:sz w:val="22"/>
          <w:szCs w:val="22"/>
        </w:rPr>
      </w:pPr>
      <w:r w:rsidRPr="009C7E7C">
        <w:rPr>
          <w:rFonts w:ascii="Times New Roman" w:hAnsi="Times New Roman"/>
          <w:i/>
          <w:color w:val="000000"/>
          <w:sz w:val="22"/>
          <w:szCs w:val="22"/>
        </w:rPr>
        <w:t>Recueil, systématisation et diffusion d’informations qui soient la base d’une connaissance progressive du territoire, de la manière de</w:t>
      </w:r>
      <w:r w:rsidRPr="009C7E7C">
        <w:rPr>
          <w:rFonts w:ascii="Times New Roman" w:hAnsi="Times New Roman"/>
          <w:i/>
          <w:sz w:val="22"/>
          <w:szCs w:val="22"/>
        </w:rPr>
        <w:t xml:space="preserve"> </w:t>
      </w:r>
      <w:r w:rsidRPr="009C7E7C">
        <w:rPr>
          <w:rFonts w:ascii="Times New Roman" w:hAnsi="Times New Roman"/>
          <w:i/>
          <w:color w:val="000000"/>
          <w:sz w:val="22"/>
          <w:szCs w:val="22"/>
        </w:rPr>
        <w:t>trouver des solutions adéquates pour les questions environnementales;</w:t>
      </w:r>
    </w:p>
    <w:p w:rsidR="00E76A06" w:rsidRPr="009C7E7C" w:rsidRDefault="00E76A06" w:rsidP="00FA3FAE">
      <w:pPr>
        <w:pStyle w:val="PargrafodaLista"/>
        <w:numPr>
          <w:ilvl w:val="0"/>
          <w:numId w:val="18"/>
        </w:numPr>
        <w:autoSpaceDE w:val="0"/>
        <w:autoSpaceDN w:val="0"/>
        <w:adjustRightInd w:val="0"/>
        <w:spacing w:after="0" w:line="240" w:lineRule="auto"/>
        <w:ind w:right="284"/>
        <w:jc w:val="both"/>
        <w:rPr>
          <w:rFonts w:ascii="Times New Roman" w:hAnsi="Times New Roman"/>
          <w:b/>
          <w:i/>
          <w:color w:val="000000"/>
          <w:sz w:val="22"/>
          <w:szCs w:val="22"/>
        </w:rPr>
      </w:pPr>
      <w:r w:rsidRPr="009C7E7C">
        <w:rPr>
          <w:rFonts w:ascii="Times New Roman" w:hAnsi="Times New Roman"/>
          <w:i/>
          <w:color w:val="000000"/>
          <w:sz w:val="22"/>
          <w:szCs w:val="22"/>
        </w:rPr>
        <w:t>Environnement urbain;</w:t>
      </w:r>
    </w:p>
    <w:p w:rsidR="00E76A06" w:rsidRPr="009C7E7C" w:rsidRDefault="00E76A06" w:rsidP="00FA3FAE">
      <w:pPr>
        <w:pStyle w:val="PargrafodaLista"/>
        <w:numPr>
          <w:ilvl w:val="0"/>
          <w:numId w:val="18"/>
        </w:numPr>
        <w:autoSpaceDE w:val="0"/>
        <w:autoSpaceDN w:val="0"/>
        <w:adjustRightInd w:val="0"/>
        <w:spacing w:after="0" w:line="240" w:lineRule="auto"/>
        <w:ind w:right="284"/>
        <w:jc w:val="both"/>
        <w:rPr>
          <w:rFonts w:ascii="Times New Roman" w:hAnsi="Times New Roman"/>
          <w:b/>
          <w:i/>
          <w:color w:val="000000"/>
          <w:sz w:val="22"/>
          <w:szCs w:val="22"/>
        </w:rPr>
      </w:pPr>
      <w:r w:rsidRPr="009C7E7C">
        <w:rPr>
          <w:rFonts w:ascii="Times New Roman" w:hAnsi="Times New Roman"/>
          <w:i/>
          <w:color w:val="000000"/>
          <w:sz w:val="22"/>
          <w:szCs w:val="22"/>
        </w:rPr>
        <w:t>Coopération internationale.</w:t>
      </w:r>
    </w:p>
    <w:p w:rsidR="00CB7DDD" w:rsidRPr="00053C62" w:rsidRDefault="00CB7DDD" w:rsidP="00CB7DDD">
      <w:pPr>
        <w:autoSpaceDE w:val="0"/>
        <w:autoSpaceDN w:val="0"/>
        <w:adjustRightInd w:val="0"/>
        <w:spacing w:after="0"/>
        <w:ind w:right="284"/>
        <w:jc w:val="both"/>
        <w:rPr>
          <w:rFonts w:ascii="Times New Roman" w:hAnsi="Times New Roman" w:cs="Times New Roman"/>
          <w:b/>
          <w:i/>
          <w:color w:val="000000"/>
          <w:sz w:val="24"/>
          <w:szCs w:val="24"/>
        </w:rPr>
      </w:pPr>
    </w:p>
    <w:p w:rsidR="00E76A06" w:rsidRPr="00053C62" w:rsidRDefault="00E76A06" w:rsidP="00FA3FAE">
      <w:pPr>
        <w:pStyle w:val="PargrafodaLista"/>
        <w:numPr>
          <w:ilvl w:val="0"/>
          <w:numId w:val="16"/>
        </w:numPr>
        <w:rPr>
          <w:rFonts w:ascii="Times New Roman" w:hAnsi="Times New Roman"/>
          <w:b/>
          <w:sz w:val="24"/>
          <w:szCs w:val="24"/>
          <w:lang w:bidi="fr-FR"/>
        </w:rPr>
      </w:pPr>
      <w:r w:rsidRPr="00053C62">
        <w:rPr>
          <w:rFonts w:ascii="Times New Roman" w:hAnsi="Times New Roman"/>
          <w:b/>
          <w:sz w:val="24"/>
          <w:szCs w:val="24"/>
          <w:lang w:bidi="fr-FR"/>
        </w:rPr>
        <w:t xml:space="preserve">Le </w:t>
      </w:r>
      <w:r w:rsidRPr="00EA26F0">
        <w:rPr>
          <w:rFonts w:ascii="Times New Roman" w:hAnsi="Times New Roman"/>
          <w:b/>
          <w:sz w:val="24"/>
          <w:szCs w:val="24"/>
          <w:lang w:bidi="fr-FR"/>
        </w:rPr>
        <w:t>Plan</w:t>
      </w:r>
      <w:r w:rsidRPr="00053C62">
        <w:rPr>
          <w:rFonts w:ascii="Times New Roman" w:hAnsi="Times New Roman"/>
          <w:b/>
          <w:sz w:val="24"/>
          <w:szCs w:val="24"/>
          <w:lang w:bidi="fr-FR"/>
        </w:rPr>
        <w:t xml:space="preserve"> National d’Adap</w:t>
      </w:r>
      <w:r w:rsidR="00612317">
        <w:rPr>
          <w:rFonts w:ascii="Times New Roman" w:hAnsi="Times New Roman"/>
          <w:b/>
          <w:sz w:val="24"/>
          <w:szCs w:val="24"/>
          <w:lang w:val="fr-FR" w:bidi="fr-FR"/>
        </w:rPr>
        <w:t>ta</w:t>
      </w:r>
      <w:r w:rsidRPr="00053C62">
        <w:rPr>
          <w:rFonts w:ascii="Times New Roman" w:hAnsi="Times New Roman"/>
          <w:b/>
          <w:sz w:val="24"/>
          <w:szCs w:val="24"/>
          <w:lang w:bidi="fr-FR"/>
        </w:rPr>
        <w:t>tion aux Changements Climatiques (NAPA)</w:t>
      </w:r>
    </w:p>
    <w:p w:rsidR="00172A53" w:rsidRDefault="00172A53" w:rsidP="00EA26F0">
      <w:pPr>
        <w:autoSpaceDE w:val="0"/>
        <w:autoSpaceDN w:val="0"/>
        <w:adjustRightInd w:val="0"/>
        <w:spacing w:after="0" w:line="240" w:lineRule="auto"/>
        <w:ind w:left="-284"/>
        <w:jc w:val="both"/>
        <w:rPr>
          <w:rFonts w:ascii="Times New Roman" w:hAnsi="Times New Roman" w:cs="Times New Roman"/>
          <w:sz w:val="24"/>
          <w:szCs w:val="24"/>
        </w:rPr>
      </w:pPr>
      <w:r w:rsidRPr="00EA26F0">
        <w:rPr>
          <w:rFonts w:ascii="Times New Roman" w:hAnsi="Times New Roman" w:cs="Times New Roman"/>
          <w:sz w:val="24"/>
          <w:szCs w:val="24"/>
        </w:rPr>
        <w:t>Les changements climatiques constituent, à présent, la plus grande menace à la vie sur la terre et sont intimement liés à la pauvreté. Ses impacts varient en fonction des différentes zones géographiques. Les Pays Moins Avancés (PMA) dont la Guinée-Bissau, sont les plus affectés à cause de leurs conditions géo-climatiques, leur dépendance élevée aux ressources naturelles et leur capacité limitée pour s’adapter aux impacts négatifs de ces changements.</w:t>
      </w:r>
    </w:p>
    <w:p w:rsidR="00EA26F0" w:rsidRPr="00EA26F0" w:rsidRDefault="00EA26F0" w:rsidP="00EA26F0">
      <w:pPr>
        <w:autoSpaceDE w:val="0"/>
        <w:autoSpaceDN w:val="0"/>
        <w:adjustRightInd w:val="0"/>
        <w:spacing w:after="0" w:line="240" w:lineRule="auto"/>
        <w:ind w:left="-284"/>
        <w:jc w:val="both"/>
        <w:rPr>
          <w:rFonts w:ascii="Times New Roman" w:hAnsi="Times New Roman" w:cs="Times New Roman"/>
          <w:sz w:val="24"/>
          <w:szCs w:val="24"/>
        </w:rPr>
      </w:pPr>
    </w:p>
    <w:p w:rsidR="00172A53" w:rsidRDefault="00172A53" w:rsidP="00EA26F0">
      <w:pPr>
        <w:autoSpaceDE w:val="0"/>
        <w:autoSpaceDN w:val="0"/>
        <w:adjustRightInd w:val="0"/>
        <w:spacing w:after="0" w:line="240" w:lineRule="auto"/>
        <w:ind w:left="-284"/>
        <w:jc w:val="both"/>
        <w:rPr>
          <w:rFonts w:ascii="Times New Roman" w:hAnsi="Times New Roman" w:cs="Times New Roman"/>
          <w:sz w:val="24"/>
          <w:szCs w:val="24"/>
        </w:rPr>
      </w:pPr>
      <w:r w:rsidRPr="00EA26F0">
        <w:rPr>
          <w:rFonts w:ascii="Times New Roman" w:hAnsi="Times New Roman" w:cs="Times New Roman"/>
          <w:sz w:val="24"/>
          <w:szCs w:val="24"/>
        </w:rPr>
        <w:t>La Guinée-Bissau se trouve ainsi exposée aux effets néfastes des changements climatiques dans presque tous les secteurs productifs de la vie nationale, en particulier sa population et les écosystèmes naturels. Parmi les conséquences, on note la baisse de la production agro-sylvo-pastorale, les pertes de vies humaines en raison de la malnutrition et de l’insécurité alimentaire, la perte de la biodiversité, l’augmentation du risque de maladies endémiques, telles que la diarrhée, le choléra, la typhoïde, la tuberculose, etc.</w:t>
      </w:r>
    </w:p>
    <w:p w:rsidR="00EA26F0" w:rsidRPr="00EA26F0" w:rsidRDefault="00EA26F0" w:rsidP="00EA26F0">
      <w:pPr>
        <w:autoSpaceDE w:val="0"/>
        <w:autoSpaceDN w:val="0"/>
        <w:adjustRightInd w:val="0"/>
        <w:spacing w:after="0" w:line="240" w:lineRule="auto"/>
        <w:ind w:left="-284"/>
        <w:jc w:val="both"/>
        <w:rPr>
          <w:rFonts w:ascii="Times New Roman" w:hAnsi="Times New Roman" w:cs="Times New Roman"/>
          <w:sz w:val="24"/>
          <w:szCs w:val="24"/>
        </w:rPr>
      </w:pPr>
    </w:p>
    <w:p w:rsidR="00172A53" w:rsidRDefault="00172A53" w:rsidP="00EA26F0">
      <w:pPr>
        <w:autoSpaceDE w:val="0"/>
        <w:autoSpaceDN w:val="0"/>
        <w:adjustRightInd w:val="0"/>
        <w:spacing w:after="0" w:line="240" w:lineRule="auto"/>
        <w:ind w:left="-284"/>
        <w:jc w:val="both"/>
        <w:rPr>
          <w:rFonts w:ascii="Times New Roman" w:hAnsi="Times New Roman" w:cs="Times New Roman"/>
          <w:sz w:val="24"/>
          <w:szCs w:val="24"/>
        </w:rPr>
      </w:pPr>
      <w:r w:rsidRPr="00EA26F0">
        <w:rPr>
          <w:rFonts w:ascii="Times New Roman" w:hAnsi="Times New Roman" w:cs="Times New Roman"/>
          <w:sz w:val="24"/>
          <w:szCs w:val="24"/>
        </w:rPr>
        <w:t>Dans ce scénario et contexte, la préparation et la conclusion du Programme d’Action National d’Adaptation aux effets des Changements Climatiques (PANA) financé par le Fonds Mondial pour l’Environnement (FME/GEF) dans le cadre de l’adhésion du pays à la Convention Cadre des Nations Unies sur les Changements Climatiques et le Protocole de Kyoto, ont visé à évaluer la vulnérabilité du pays devant les phénomènes référencés auparavant et à proposer des mesures et actions prioritaires qui permettent ou conduisent à la réduction et/ou l’atténuation des effets négatifs et à l’application de mesure de prévision et d’alerte précoce aux catastrophes futures.</w:t>
      </w:r>
    </w:p>
    <w:p w:rsidR="00EA26F0" w:rsidRPr="00EA26F0" w:rsidRDefault="00EA26F0" w:rsidP="00EA26F0">
      <w:pPr>
        <w:autoSpaceDE w:val="0"/>
        <w:autoSpaceDN w:val="0"/>
        <w:adjustRightInd w:val="0"/>
        <w:spacing w:after="0" w:line="240" w:lineRule="auto"/>
        <w:ind w:left="-284"/>
        <w:jc w:val="both"/>
        <w:rPr>
          <w:rFonts w:ascii="Times New Roman" w:hAnsi="Times New Roman" w:cs="Times New Roman"/>
          <w:sz w:val="24"/>
          <w:szCs w:val="24"/>
        </w:rPr>
      </w:pPr>
    </w:p>
    <w:p w:rsidR="00172A53" w:rsidRPr="00EA26F0" w:rsidRDefault="00172A53" w:rsidP="00EA26F0">
      <w:pPr>
        <w:autoSpaceDE w:val="0"/>
        <w:autoSpaceDN w:val="0"/>
        <w:adjustRightInd w:val="0"/>
        <w:spacing w:after="0" w:line="240" w:lineRule="auto"/>
        <w:ind w:left="-284"/>
        <w:jc w:val="both"/>
        <w:rPr>
          <w:rFonts w:ascii="Times New Roman" w:hAnsi="Times New Roman" w:cs="Times New Roman"/>
          <w:sz w:val="24"/>
          <w:szCs w:val="24"/>
        </w:rPr>
      </w:pPr>
      <w:r w:rsidRPr="00EA26F0">
        <w:rPr>
          <w:rFonts w:ascii="Times New Roman" w:hAnsi="Times New Roman" w:cs="Times New Roman"/>
          <w:sz w:val="24"/>
          <w:szCs w:val="24"/>
        </w:rPr>
        <w:t>L’exercice d’élaboration du PANA a eu comme épigraphe subjacent l’intégration de la dimension environnementale dans les stratégies sectorielles de lutte contre la pauvreté et le développement national.</w:t>
      </w:r>
    </w:p>
    <w:p w:rsidR="00172A53" w:rsidRPr="00EA26F0" w:rsidRDefault="00172A53" w:rsidP="00EA26F0">
      <w:pPr>
        <w:autoSpaceDE w:val="0"/>
        <w:autoSpaceDN w:val="0"/>
        <w:adjustRightInd w:val="0"/>
        <w:spacing w:after="0" w:line="240" w:lineRule="auto"/>
        <w:ind w:left="-284"/>
        <w:jc w:val="both"/>
        <w:rPr>
          <w:rFonts w:ascii="Times New Roman" w:hAnsi="Times New Roman" w:cs="Times New Roman"/>
          <w:sz w:val="24"/>
          <w:szCs w:val="24"/>
        </w:rPr>
      </w:pPr>
      <w:r w:rsidRPr="00EA26F0">
        <w:rPr>
          <w:rFonts w:ascii="Times New Roman" w:hAnsi="Times New Roman" w:cs="Times New Roman"/>
          <w:sz w:val="24"/>
          <w:szCs w:val="24"/>
        </w:rPr>
        <w:t>Cet exercice a conduit à l’identification des secteurs agricoles, ressources hydriques, santé et zone côtière comme prioritaires pour l’adoption de mesures et d’actions immédiates d’adaptation, représentant un effort financier global estimé à environ 6.300.000 USD, la Guinée-Bissau compte sur l’inestimable appui et solidarité de la Communauté Internationale.</w:t>
      </w:r>
    </w:p>
    <w:p w:rsidR="00172A53" w:rsidRPr="00172A53" w:rsidRDefault="00172A53" w:rsidP="00172A53">
      <w:pPr>
        <w:pStyle w:val="Corpodetexto"/>
        <w:spacing w:line="276" w:lineRule="auto"/>
        <w:ind w:right="-142"/>
        <w:rPr>
          <w:rFonts w:ascii="Times New Roman" w:eastAsia="Calibri" w:hAnsi="Times New Roman"/>
          <w:color w:val="000000"/>
          <w:spacing w:val="0"/>
          <w:szCs w:val="24"/>
          <w:lang w:val="fr-FR"/>
        </w:rPr>
      </w:pPr>
    </w:p>
    <w:p w:rsidR="00E76A06" w:rsidRPr="006C0C34" w:rsidRDefault="00E76A06" w:rsidP="00FA3FAE">
      <w:pPr>
        <w:pStyle w:val="PargrafodaLista"/>
        <w:numPr>
          <w:ilvl w:val="0"/>
          <w:numId w:val="16"/>
        </w:numPr>
        <w:rPr>
          <w:rFonts w:ascii="Times New Roman" w:hAnsi="Times New Roman"/>
          <w:b/>
          <w:sz w:val="24"/>
          <w:szCs w:val="24"/>
          <w:lang w:bidi="fr-FR"/>
        </w:rPr>
      </w:pPr>
      <w:r w:rsidRPr="006C0C34">
        <w:rPr>
          <w:rFonts w:ascii="Times New Roman" w:hAnsi="Times New Roman"/>
          <w:b/>
          <w:sz w:val="24"/>
          <w:szCs w:val="24"/>
          <w:lang w:bidi="fr-FR"/>
        </w:rPr>
        <w:t>Document de Stratégie National pour la Réduction de la pauvreté (DENARP II)</w:t>
      </w:r>
    </w:p>
    <w:p w:rsidR="00E76A06" w:rsidRPr="00EA26F0" w:rsidRDefault="00E76A06" w:rsidP="00EA26F0">
      <w:pPr>
        <w:autoSpaceDE w:val="0"/>
        <w:autoSpaceDN w:val="0"/>
        <w:adjustRightInd w:val="0"/>
        <w:spacing w:after="0" w:line="240" w:lineRule="auto"/>
        <w:ind w:left="-284"/>
        <w:jc w:val="both"/>
        <w:rPr>
          <w:rFonts w:ascii="Times New Roman" w:hAnsi="Times New Roman" w:cs="Times New Roman"/>
          <w:sz w:val="24"/>
          <w:szCs w:val="24"/>
        </w:rPr>
      </w:pPr>
      <w:r w:rsidRPr="00EA26F0">
        <w:rPr>
          <w:rFonts w:ascii="Times New Roman" w:hAnsi="Times New Roman" w:cs="Times New Roman"/>
          <w:sz w:val="24"/>
          <w:szCs w:val="24"/>
        </w:rPr>
        <w:t>L’objectif principal du DENARP II est de réduire de façon significative la pauvreté dans ses multiples dimensions en créant plus d’opportunités de revenus, d’emplois et en améliorant l’accès aux services publics de base de qualité dans un Etat de droit renforcé.</w:t>
      </w:r>
    </w:p>
    <w:p w:rsidR="00E76A06" w:rsidRPr="00EA26F0" w:rsidRDefault="00E76A06" w:rsidP="00EA26F0">
      <w:pPr>
        <w:autoSpaceDE w:val="0"/>
        <w:autoSpaceDN w:val="0"/>
        <w:adjustRightInd w:val="0"/>
        <w:spacing w:after="0" w:line="240" w:lineRule="auto"/>
        <w:ind w:left="-284"/>
        <w:jc w:val="both"/>
        <w:rPr>
          <w:rFonts w:ascii="Times New Roman" w:hAnsi="Times New Roman" w:cs="Times New Roman"/>
          <w:sz w:val="24"/>
          <w:szCs w:val="24"/>
        </w:rPr>
      </w:pPr>
      <w:r w:rsidRPr="00EA26F0">
        <w:rPr>
          <w:rFonts w:ascii="Times New Roman" w:hAnsi="Times New Roman" w:cs="Times New Roman"/>
          <w:sz w:val="24"/>
          <w:szCs w:val="24"/>
        </w:rPr>
        <w:lastRenderedPageBreak/>
        <w:t>Ses objectifs spécifiques sont :i) la réduction de l'incidence de la pauvreté au niveau national de 69,3 % en 2010 à 59 % en 2015 et celle de l'extrême pauvreté de 33 % à 20 % au cours de la même période, en tenant compte des disparités entre hommes et femmes; ii) la réduction du taux de l’insécurité alimentaire de 32% à 16% en 2015 ; iii) l’atteinte d’un taux de croissance économique annuel moyen de 5 % par an sur la période 2011-2015 ; iv) la stabilisation du contexte sécuritaire du pays par une réforme harmonisée des forces de sécurité et de défense ; v) l’élimination des inégalités structurelles entre l’homme et la femme.</w:t>
      </w:r>
    </w:p>
    <w:p w:rsidR="00E76A06" w:rsidRPr="00EA26F0" w:rsidRDefault="00E76A06" w:rsidP="00EA26F0">
      <w:pPr>
        <w:autoSpaceDE w:val="0"/>
        <w:autoSpaceDN w:val="0"/>
        <w:adjustRightInd w:val="0"/>
        <w:spacing w:after="0" w:line="240" w:lineRule="auto"/>
        <w:ind w:left="-284"/>
        <w:jc w:val="both"/>
        <w:rPr>
          <w:rFonts w:ascii="Times New Roman" w:hAnsi="Times New Roman" w:cs="Times New Roman"/>
          <w:sz w:val="24"/>
          <w:szCs w:val="24"/>
        </w:rPr>
      </w:pPr>
      <w:r w:rsidRPr="00EA26F0">
        <w:rPr>
          <w:rFonts w:ascii="Times New Roman" w:hAnsi="Times New Roman" w:cs="Times New Roman"/>
          <w:sz w:val="24"/>
          <w:szCs w:val="24"/>
        </w:rPr>
        <w:t>Pour atteindre ses objectifs, la DENARP II concentre les actions à mener sur quatre axes prioritaires que sont : i) le renforcement de l’Etat de droit et les institutions républicaines ; ii) l’assurance un environnement macro-économique stable et incitatif ; iii) la promotion d’un développement économique durable et inclusif ; iv) le relèvement du niveau de développement du capital humain. Ce document entre dans le cadre de la politique socioéconomique du pays.</w:t>
      </w:r>
    </w:p>
    <w:p w:rsidR="00E76A06" w:rsidRPr="006C0C34" w:rsidRDefault="00E76A06" w:rsidP="00E76A06">
      <w:pPr>
        <w:autoSpaceDE w:val="0"/>
        <w:autoSpaceDN w:val="0"/>
        <w:adjustRightInd w:val="0"/>
        <w:spacing w:after="0"/>
        <w:jc w:val="both"/>
        <w:rPr>
          <w:rFonts w:ascii="Times New Roman" w:hAnsi="Times New Roman" w:cs="Times New Roman"/>
          <w:sz w:val="24"/>
          <w:szCs w:val="24"/>
          <w:lang w:eastAsia="fr-FR"/>
        </w:rPr>
      </w:pPr>
    </w:p>
    <w:p w:rsidR="00E76A06" w:rsidRPr="006C0C34" w:rsidRDefault="00E76A06" w:rsidP="00FA3FAE">
      <w:pPr>
        <w:pStyle w:val="PargrafodaLista"/>
        <w:numPr>
          <w:ilvl w:val="0"/>
          <w:numId w:val="16"/>
        </w:numPr>
        <w:rPr>
          <w:rFonts w:ascii="Times New Roman" w:hAnsi="Times New Roman"/>
          <w:b/>
          <w:sz w:val="24"/>
          <w:szCs w:val="24"/>
          <w:lang w:bidi="fr-FR"/>
        </w:rPr>
      </w:pPr>
      <w:bookmarkStart w:id="95" w:name="_Toc473300339"/>
      <w:r w:rsidRPr="006C0C34">
        <w:rPr>
          <w:rFonts w:ascii="Times New Roman" w:hAnsi="Times New Roman"/>
          <w:b/>
          <w:sz w:val="24"/>
          <w:szCs w:val="24"/>
          <w:lang w:bidi="fr-FR"/>
        </w:rPr>
        <w:t>Le Plan National de Développement Sanitaire (PNDS II)</w:t>
      </w:r>
      <w:bookmarkEnd w:id="95"/>
    </w:p>
    <w:p w:rsidR="00E76A06" w:rsidRPr="006C0C34" w:rsidRDefault="00E76A06" w:rsidP="00E76A06">
      <w:pPr>
        <w:pStyle w:val="PargrafodaLista"/>
        <w:autoSpaceDE w:val="0"/>
        <w:autoSpaceDN w:val="0"/>
        <w:adjustRightInd w:val="0"/>
        <w:spacing w:after="0"/>
        <w:jc w:val="both"/>
        <w:rPr>
          <w:rFonts w:ascii="Times New Roman" w:hAnsi="Times New Roman"/>
          <w:sz w:val="24"/>
          <w:szCs w:val="24"/>
          <w:lang w:eastAsia="fr-FR"/>
        </w:rPr>
      </w:pPr>
    </w:p>
    <w:p w:rsidR="00E76A06" w:rsidRPr="00EA26F0" w:rsidRDefault="00E76A06" w:rsidP="00EA26F0">
      <w:pPr>
        <w:autoSpaceDE w:val="0"/>
        <w:autoSpaceDN w:val="0"/>
        <w:adjustRightInd w:val="0"/>
        <w:spacing w:after="0" w:line="240" w:lineRule="auto"/>
        <w:ind w:left="-284"/>
        <w:jc w:val="both"/>
        <w:rPr>
          <w:rFonts w:ascii="Times New Roman" w:hAnsi="Times New Roman" w:cs="Times New Roman"/>
          <w:sz w:val="24"/>
          <w:szCs w:val="24"/>
        </w:rPr>
      </w:pPr>
      <w:r w:rsidRPr="00EA26F0">
        <w:rPr>
          <w:rFonts w:ascii="Times New Roman" w:hAnsi="Times New Roman" w:cs="Times New Roman"/>
          <w:sz w:val="24"/>
          <w:szCs w:val="24"/>
        </w:rPr>
        <w:t>Le PNDS II constitue un cadre de référence pour les activités et actions de développement dans le domaine sanitaire durant la période 2008-2017 en Guinée Bissau. Ce document stratégique joue un rôle crucial dans l’orientation des mesures nécessaires pour la promotion de la santé de tous les guinéens. Il met l’accent sur le rassemblement de tous les acteurs autour du débat sur la santé et oriente les activités des institutions ministérielles au niveau national et dans les régions, des partenaires de développement, de la société civile afin de contribuer à la réduction de la pauvreté dans le secteur socioéconomique par l’amélioration de la santé de la population dans laquelle l’accès à l’eau potable reste un facteur déterminant.</w:t>
      </w:r>
    </w:p>
    <w:p w:rsidR="00172A53" w:rsidRPr="00EA26F0" w:rsidRDefault="00EA26F0" w:rsidP="00EA26F0">
      <w:pPr>
        <w:pStyle w:val="PargrafodaLista"/>
        <w:keepNext/>
        <w:spacing w:before="240" w:after="240"/>
        <w:ind w:left="450" w:right="284" w:hanging="450"/>
        <w:jc w:val="both"/>
        <w:outlineLvl w:val="1"/>
        <w:rPr>
          <w:rFonts w:ascii="Times New Roman" w:hAnsi="Times New Roman"/>
          <w:b/>
          <w:sz w:val="24"/>
          <w:szCs w:val="24"/>
          <w:lang w:val="fr-FR" w:eastAsia="fr-FR"/>
        </w:rPr>
      </w:pPr>
      <w:bookmarkStart w:id="96" w:name="_Toc527882002"/>
      <w:bookmarkStart w:id="97" w:name="_Toc51072525"/>
      <w:r>
        <w:rPr>
          <w:rFonts w:ascii="Times New Roman" w:hAnsi="Times New Roman"/>
          <w:b/>
          <w:sz w:val="24"/>
          <w:szCs w:val="24"/>
          <w:lang w:val="fr-FR" w:eastAsia="fr-FR"/>
        </w:rPr>
        <w:t>3.2</w:t>
      </w:r>
      <w:r w:rsidRPr="00EA26F0">
        <w:rPr>
          <w:rFonts w:ascii="Times New Roman" w:hAnsi="Times New Roman"/>
          <w:b/>
          <w:sz w:val="24"/>
          <w:szCs w:val="24"/>
          <w:lang w:val="fr-FR" w:eastAsia="fr-FR"/>
        </w:rPr>
        <w:t>. CADRE JURIDIQUE</w:t>
      </w:r>
      <w:bookmarkEnd w:id="96"/>
      <w:bookmarkEnd w:id="97"/>
    </w:p>
    <w:p w:rsidR="00052BEE" w:rsidRPr="00EA26F0" w:rsidRDefault="00172A53" w:rsidP="00EA26F0">
      <w:pPr>
        <w:autoSpaceDE w:val="0"/>
        <w:autoSpaceDN w:val="0"/>
        <w:adjustRightInd w:val="0"/>
        <w:spacing w:after="0" w:line="240" w:lineRule="auto"/>
        <w:ind w:left="-284"/>
        <w:jc w:val="both"/>
        <w:rPr>
          <w:rFonts w:ascii="Times New Roman" w:hAnsi="Times New Roman" w:cs="Times New Roman"/>
          <w:sz w:val="24"/>
          <w:szCs w:val="24"/>
        </w:rPr>
      </w:pPr>
      <w:r w:rsidRPr="00EA26F0">
        <w:rPr>
          <w:rFonts w:ascii="Times New Roman" w:hAnsi="Times New Roman" w:cs="Times New Roman"/>
          <w:sz w:val="24"/>
          <w:szCs w:val="24"/>
        </w:rPr>
        <w:t>Il est constitué d'un ensemble de textes nationaux et internationaux.</w:t>
      </w:r>
    </w:p>
    <w:p w:rsidR="00172A53" w:rsidRDefault="00EA26F0" w:rsidP="00EA26F0">
      <w:pPr>
        <w:pStyle w:val="PargrafodaLista"/>
        <w:keepNext/>
        <w:spacing w:before="240" w:after="240"/>
        <w:ind w:left="450" w:right="284" w:hanging="450"/>
        <w:jc w:val="center"/>
        <w:outlineLvl w:val="1"/>
        <w:rPr>
          <w:rFonts w:ascii="Times New Roman" w:hAnsi="Times New Roman"/>
          <w:b/>
          <w:bCs/>
          <w:color w:val="000000"/>
          <w:sz w:val="24"/>
          <w:szCs w:val="24"/>
          <w:u w:val="single"/>
        </w:rPr>
      </w:pPr>
      <w:bookmarkStart w:id="98" w:name="_Toc51072526"/>
      <w:r w:rsidRPr="00EA26F0">
        <w:rPr>
          <w:rFonts w:ascii="Times New Roman" w:hAnsi="Times New Roman"/>
          <w:b/>
          <w:bCs/>
          <w:color w:val="000000"/>
          <w:sz w:val="24"/>
          <w:szCs w:val="24"/>
          <w:u w:val="single"/>
        </w:rPr>
        <w:t>AU NIVEAU NATIONAL</w:t>
      </w:r>
      <w:bookmarkEnd w:id="98"/>
    </w:p>
    <w:p w:rsidR="00EA26F0" w:rsidRPr="00EA26F0" w:rsidRDefault="00EA26F0" w:rsidP="00EA26F0">
      <w:pPr>
        <w:pStyle w:val="PargrafodaLista"/>
        <w:keepNext/>
        <w:spacing w:before="240" w:after="240"/>
        <w:ind w:left="450" w:right="284" w:hanging="450"/>
        <w:jc w:val="center"/>
        <w:rPr>
          <w:rFonts w:ascii="Times New Roman" w:hAnsi="Times New Roman"/>
          <w:color w:val="000000"/>
          <w:sz w:val="24"/>
          <w:szCs w:val="24"/>
          <w:u w:val="single"/>
        </w:rPr>
      </w:pPr>
    </w:p>
    <w:p w:rsidR="00172A53" w:rsidRDefault="00EA26F0" w:rsidP="00EA26F0">
      <w:pPr>
        <w:pStyle w:val="PargrafodaLista"/>
        <w:keepNext/>
        <w:spacing w:before="240" w:after="0"/>
        <w:ind w:left="450" w:right="284"/>
        <w:jc w:val="both"/>
        <w:outlineLvl w:val="2"/>
        <w:rPr>
          <w:rFonts w:ascii="Times New Roman" w:hAnsi="Times New Roman"/>
          <w:b/>
          <w:sz w:val="24"/>
          <w:szCs w:val="24"/>
          <w:lang w:val="fr-FR" w:eastAsia="fr-FR"/>
        </w:rPr>
      </w:pPr>
      <w:bookmarkStart w:id="99" w:name="_Toc51072527"/>
      <w:r>
        <w:rPr>
          <w:rFonts w:ascii="Times New Roman" w:hAnsi="Times New Roman"/>
          <w:b/>
          <w:sz w:val="24"/>
          <w:szCs w:val="24"/>
          <w:lang w:val="fr-FR" w:eastAsia="fr-FR"/>
        </w:rPr>
        <w:t>3.2</w:t>
      </w:r>
      <w:r w:rsidR="00172A53" w:rsidRPr="00EA26F0">
        <w:rPr>
          <w:rFonts w:ascii="Times New Roman" w:hAnsi="Times New Roman"/>
          <w:b/>
          <w:sz w:val="24"/>
          <w:szCs w:val="24"/>
          <w:lang w:val="fr-FR" w:eastAsia="fr-FR"/>
        </w:rPr>
        <w:t>.1. Cadre réglementaire du secteur de l’eau</w:t>
      </w:r>
      <w:bookmarkEnd w:id="99"/>
    </w:p>
    <w:p w:rsidR="00EA26F0" w:rsidRPr="00EA26F0" w:rsidRDefault="00EA26F0" w:rsidP="00B5166D">
      <w:pPr>
        <w:pStyle w:val="PargrafodaLista"/>
        <w:keepNext/>
        <w:spacing w:before="240" w:after="0"/>
        <w:ind w:left="450" w:right="284"/>
        <w:jc w:val="both"/>
        <w:rPr>
          <w:rFonts w:ascii="Times New Roman" w:hAnsi="Times New Roman"/>
          <w:b/>
          <w:sz w:val="24"/>
          <w:szCs w:val="24"/>
          <w:lang w:val="fr-FR" w:eastAsia="fr-FR"/>
        </w:rPr>
      </w:pPr>
    </w:p>
    <w:p w:rsidR="00172A53" w:rsidRPr="006C0C34" w:rsidRDefault="00172A53" w:rsidP="00FA3FAE">
      <w:pPr>
        <w:pStyle w:val="PargrafodaLista"/>
        <w:numPr>
          <w:ilvl w:val="0"/>
          <w:numId w:val="16"/>
        </w:numPr>
        <w:rPr>
          <w:rFonts w:ascii="Times New Roman" w:hAnsi="Times New Roman"/>
          <w:b/>
          <w:i/>
          <w:sz w:val="24"/>
          <w:szCs w:val="24"/>
          <w:lang w:bidi="fr-FR"/>
        </w:rPr>
      </w:pPr>
      <w:r w:rsidRPr="006C0C34">
        <w:rPr>
          <w:rFonts w:ascii="Times New Roman" w:hAnsi="Times New Roman"/>
          <w:b/>
          <w:i/>
          <w:sz w:val="24"/>
          <w:szCs w:val="24"/>
          <w:lang w:bidi="fr-FR"/>
        </w:rPr>
        <w:t>Décret-loi n°5-A-1992 portant le régime juridique général de toutes les activités relatives à la gestion de l’eau</w:t>
      </w:r>
    </w:p>
    <w:p w:rsidR="00172A53" w:rsidRPr="00EA26F0" w:rsidRDefault="00172A53" w:rsidP="00EA26F0">
      <w:pPr>
        <w:autoSpaceDE w:val="0"/>
        <w:autoSpaceDN w:val="0"/>
        <w:adjustRightInd w:val="0"/>
        <w:spacing w:after="0" w:line="240" w:lineRule="auto"/>
        <w:ind w:left="-284"/>
        <w:jc w:val="both"/>
        <w:rPr>
          <w:rFonts w:ascii="Times New Roman" w:hAnsi="Times New Roman" w:cs="Times New Roman"/>
          <w:sz w:val="24"/>
          <w:szCs w:val="24"/>
        </w:rPr>
      </w:pPr>
      <w:r w:rsidRPr="00EA26F0">
        <w:rPr>
          <w:rFonts w:ascii="Times New Roman" w:hAnsi="Times New Roman" w:cs="Times New Roman"/>
          <w:sz w:val="24"/>
          <w:szCs w:val="24"/>
        </w:rPr>
        <w:t>Cette réglementation a donné les dispositions de base pour  i) définir le régime juridique général de toutes les activités relatives à la gestion des ressources hydriques ; ii) définir le cadre institutionnel et normatif d’exécution de la politique générale de gestion de l’eau au bénéfice de toute la population et dans l’intérêt économique et sociale du pays ; iii) assurer l’exécution de la politique de gestion des ressources hydriques de la Guinée Bissau quelle que soit la forme dans laquelle elles se présentent ; iv) assurer l’inventaire pour une utilisation profitable et une fiscalisation rationnelle des ressources hydriques et leur administration ; v) régulariser toute utilisation à des fins domestiques, agricoles, industrielles, hydroélectriques, etc. ;vi) assurer la protection qualitative de l’eau contre la pollution, le gaspillage et la surexploitation. Ce code stipule que l’utilisation des ressources en eau sera planifiée dans le plan directeur de l’eau.</w:t>
      </w:r>
    </w:p>
    <w:p w:rsidR="00052BEE" w:rsidRPr="00EA26F0" w:rsidRDefault="00EA26F0" w:rsidP="00EA26F0">
      <w:pPr>
        <w:pStyle w:val="PargrafodaLista"/>
        <w:keepNext/>
        <w:spacing w:before="240" w:after="0"/>
        <w:ind w:left="450" w:right="284"/>
        <w:jc w:val="both"/>
        <w:outlineLvl w:val="2"/>
        <w:rPr>
          <w:rFonts w:ascii="Times New Roman" w:hAnsi="Times New Roman"/>
          <w:b/>
          <w:sz w:val="24"/>
          <w:szCs w:val="24"/>
          <w:lang w:val="fr-FR" w:eastAsia="fr-FR"/>
        </w:rPr>
      </w:pPr>
      <w:bookmarkStart w:id="100" w:name="_Toc535396854"/>
      <w:bookmarkStart w:id="101" w:name="_Toc6310419"/>
      <w:bookmarkStart w:id="102" w:name="_Toc17385768"/>
      <w:bookmarkStart w:id="103" w:name="_Toc51072528"/>
      <w:r>
        <w:rPr>
          <w:rFonts w:ascii="Times New Roman" w:hAnsi="Times New Roman"/>
          <w:b/>
          <w:sz w:val="24"/>
          <w:szCs w:val="24"/>
          <w:lang w:val="fr-FR" w:eastAsia="fr-FR"/>
        </w:rPr>
        <w:t>3.2.1.</w:t>
      </w:r>
      <w:r w:rsidR="00052BEE" w:rsidRPr="00EA26F0">
        <w:rPr>
          <w:rFonts w:ascii="Times New Roman" w:hAnsi="Times New Roman"/>
          <w:b/>
          <w:sz w:val="24"/>
          <w:szCs w:val="24"/>
          <w:lang w:val="fr-FR" w:eastAsia="fr-FR"/>
        </w:rPr>
        <w:t xml:space="preserve"> Loi de base sur l’environnement</w:t>
      </w:r>
      <w:bookmarkEnd w:id="100"/>
      <w:bookmarkEnd w:id="101"/>
      <w:bookmarkEnd w:id="102"/>
      <w:bookmarkEnd w:id="103"/>
      <w:r w:rsidR="00052BEE" w:rsidRPr="00EA26F0">
        <w:rPr>
          <w:rFonts w:ascii="Times New Roman" w:hAnsi="Times New Roman"/>
          <w:b/>
          <w:sz w:val="24"/>
          <w:szCs w:val="24"/>
          <w:lang w:val="fr-FR" w:eastAsia="fr-FR"/>
        </w:rPr>
        <w:t xml:space="preserve"> </w:t>
      </w:r>
    </w:p>
    <w:p w:rsidR="00052BEE" w:rsidRPr="00DC216E" w:rsidRDefault="00052BEE" w:rsidP="00FA3FAE">
      <w:pPr>
        <w:numPr>
          <w:ilvl w:val="0"/>
          <w:numId w:val="41"/>
        </w:numPr>
        <w:spacing w:after="0" w:line="240" w:lineRule="auto"/>
        <w:ind w:right="-142"/>
        <w:contextualSpacing/>
        <w:jc w:val="both"/>
        <w:rPr>
          <w:rFonts w:ascii="Times New Roman" w:hAnsi="Times New Roman"/>
          <w:b/>
          <w:color w:val="000000"/>
          <w:sz w:val="24"/>
          <w:szCs w:val="24"/>
        </w:rPr>
      </w:pPr>
      <w:r w:rsidRPr="00DC216E">
        <w:rPr>
          <w:rFonts w:ascii="Times New Roman" w:hAnsi="Times New Roman"/>
          <w:b/>
          <w:color w:val="000000"/>
          <w:sz w:val="24"/>
          <w:szCs w:val="24"/>
        </w:rPr>
        <w:t>Loi de base nº 1/2011 du 2 mars 2011 sur l’environnement</w:t>
      </w:r>
    </w:p>
    <w:p w:rsidR="00052BEE" w:rsidRPr="00DC216E" w:rsidRDefault="00052BEE" w:rsidP="00052BEE">
      <w:pPr>
        <w:spacing w:after="0" w:line="240" w:lineRule="auto"/>
        <w:ind w:right="-142"/>
        <w:jc w:val="both"/>
        <w:rPr>
          <w:rFonts w:ascii="Times New Roman" w:hAnsi="Times New Roman"/>
          <w:color w:val="000000"/>
          <w:sz w:val="24"/>
          <w:szCs w:val="24"/>
        </w:rPr>
      </w:pPr>
    </w:p>
    <w:p w:rsidR="00EA26F0" w:rsidRDefault="00052BEE" w:rsidP="00EA26F0">
      <w:pPr>
        <w:autoSpaceDE w:val="0"/>
        <w:autoSpaceDN w:val="0"/>
        <w:adjustRightInd w:val="0"/>
        <w:spacing w:after="0" w:line="240" w:lineRule="auto"/>
        <w:ind w:left="-284"/>
        <w:jc w:val="both"/>
        <w:rPr>
          <w:rFonts w:ascii="Times New Roman" w:hAnsi="Times New Roman" w:cs="Times New Roman"/>
          <w:sz w:val="24"/>
          <w:szCs w:val="24"/>
        </w:rPr>
      </w:pPr>
      <w:r w:rsidRPr="00EA26F0">
        <w:rPr>
          <w:rFonts w:ascii="Times New Roman" w:hAnsi="Times New Roman" w:cs="Times New Roman"/>
          <w:sz w:val="24"/>
          <w:szCs w:val="24"/>
        </w:rPr>
        <w:t>La Loi organique sur l’environnement est un instrument législatif qui dispose comme principe général en son article 2 que : Toute personne a droit à un environnement humain écologiquement équilibré et a le devoir de le défendre, et il est de la responsabilité de l’Etat, par le biais d’organismes qualifiés et en faisant appel à l’initiative populaire et communautaire, d’œuvrer pour l’amélioration de la qualité de la vie, soit au niveau individuel, soit au niveau collectif.</w:t>
      </w:r>
    </w:p>
    <w:p w:rsidR="00052BEE" w:rsidRPr="00EA26F0" w:rsidRDefault="00052BEE" w:rsidP="00EA26F0">
      <w:pPr>
        <w:autoSpaceDE w:val="0"/>
        <w:autoSpaceDN w:val="0"/>
        <w:adjustRightInd w:val="0"/>
        <w:spacing w:after="0" w:line="240" w:lineRule="auto"/>
        <w:ind w:left="-284"/>
        <w:jc w:val="both"/>
        <w:rPr>
          <w:rFonts w:ascii="Times New Roman" w:hAnsi="Times New Roman" w:cs="Times New Roman"/>
          <w:sz w:val="24"/>
          <w:szCs w:val="24"/>
        </w:rPr>
      </w:pPr>
      <w:r w:rsidRPr="00EA26F0">
        <w:rPr>
          <w:rFonts w:ascii="Times New Roman" w:hAnsi="Times New Roman" w:cs="Times New Roman"/>
          <w:sz w:val="24"/>
          <w:szCs w:val="24"/>
        </w:rPr>
        <w:lastRenderedPageBreak/>
        <w:br/>
        <w:t>La politique de l’environnement cherche à optimiser et à garantir la continuité dans l’utilisation des ressources naturelles, qualitativement et quantitativement, comme principe fondamental pour un développement durable.</w:t>
      </w:r>
    </w:p>
    <w:p w:rsidR="00052BEE" w:rsidRPr="00EA26F0" w:rsidRDefault="00052BEE" w:rsidP="00EA26F0">
      <w:pPr>
        <w:autoSpaceDE w:val="0"/>
        <w:autoSpaceDN w:val="0"/>
        <w:adjustRightInd w:val="0"/>
        <w:spacing w:after="0" w:line="240" w:lineRule="auto"/>
        <w:ind w:left="-284"/>
        <w:jc w:val="both"/>
        <w:rPr>
          <w:rFonts w:ascii="Times New Roman" w:hAnsi="Times New Roman" w:cs="Times New Roman"/>
          <w:sz w:val="24"/>
          <w:szCs w:val="24"/>
        </w:rPr>
      </w:pPr>
    </w:p>
    <w:p w:rsidR="00052BEE" w:rsidRPr="00EA26F0" w:rsidRDefault="00052BEE" w:rsidP="00EA26F0">
      <w:pPr>
        <w:autoSpaceDE w:val="0"/>
        <w:autoSpaceDN w:val="0"/>
        <w:adjustRightInd w:val="0"/>
        <w:spacing w:after="0" w:line="240" w:lineRule="auto"/>
        <w:ind w:left="-284"/>
        <w:jc w:val="both"/>
        <w:rPr>
          <w:rFonts w:ascii="Times New Roman" w:hAnsi="Times New Roman" w:cs="Times New Roman"/>
          <w:sz w:val="24"/>
          <w:szCs w:val="24"/>
        </w:rPr>
      </w:pPr>
      <w:r w:rsidRPr="00EA26F0">
        <w:rPr>
          <w:rFonts w:ascii="Times New Roman" w:hAnsi="Times New Roman" w:cs="Times New Roman"/>
          <w:sz w:val="24"/>
          <w:szCs w:val="24"/>
        </w:rPr>
        <w:t>Ces principes sont établis à partir d’un éventail de mesures (article 4) dont l’objectif</w:t>
      </w:r>
      <w:r w:rsidRPr="00EA26F0">
        <w:rPr>
          <w:rFonts w:ascii="Times New Roman" w:hAnsi="Times New Roman" w:cs="Times New Roman"/>
          <w:sz w:val="24"/>
          <w:szCs w:val="24"/>
        </w:rPr>
        <w:br/>
        <w:t>est de fournir un cadre qui favorise la santé et le bien-être des personnes, le développement social et culturel des communautés, ainsi que l’amélioration de la qualité de vie.</w:t>
      </w:r>
    </w:p>
    <w:p w:rsidR="00052BEE" w:rsidRDefault="00052BEE" w:rsidP="00EA26F0">
      <w:pPr>
        <w:autoSpaceDE w:val="0"/>
        <w:autoSpaceDN w:val="0"/>
        <w:adjustRightInd w:val="0"/>
        <w:spacing w:after="0" w:line="240" w:lineRule="auto"/>
        <w:ind w:left="-284"/>
        <w:jc w:val="both"/>
        <w:rPr>
          <w:rFonts w:ascii="Times New Roman" w:hAnsi="Times New Roman" w:cs="Times New Roman"/>
          <w:sz w:val="24"/>
          <w:szCs w:val="24"/>
        </w:rPr>
      </w:pPr>
      <w:r w:rsidRPr="00EA26F0">
        <w:rPr>
          <w:rFonts w:ascii="Times New Roman" w:hAnsi="Times New Roman" w:cs="Times New Roman"/>
          <w:sz w:val="24"/>
          <w:szCs w:val="24"/>
        </w:rPr>
        <w:t>Au plan des normes, la loi ne dispose que sur les limites réglementaires environnementales, comme par exemple le bruit, la turbidité, la qualité de l'eau, et qui pourraient être applicables au projet.</w:t>
      </w:r>
    </w:p>
    <w:p w:rsidR="00EA26F0" w:rsidRPr="00EA26F0" w:rsidRDefault="00EA26F0" w:rsidP="00EA26F0">
      <w:pPr>
        <w:autoSpaceDE w:val="0"/>
        <w:autoSpaceDN w:val="0"/>
        <w:adjustRightInd w:val="0"/>
        <w:spacing w:after="0" w:line="240" w:lineRule="auto"/>
        <w:ind w:left="-284"/>
        <w:jc w:val="both"/>
        <w:rPr>
          <w:rFonts w:ascii="Times New Roman" w:hAnsi="Times New Roman" w:cs="Times New Roman"/>
          <w:sz w:val="24"/>
          <w:szCs w:val="24"/>
        </w:rPr>
      </w:pPr>
    </w:p>
    <w:p w:rsidR="00052BEE" w:rsidRPr="003D04B0" w:rsidRDefault="00052BEE" w:rsidP="00FA3FAE">
      <w:pPr>
        <w:numPr>
          <w:ilvl w:val="0"/>
          <w:numId w:val="41"/>
        </w:numPr>
        <w:spacing w:after="0" w:line="240" w:lineRule="auto"/>
        <w:ind w:right="-142"/>
        <w:contextualSpacing/>
        <w:jc w:val="both"/>
        <w:rPr>
          <w:rFonts w:ascii="Times New Roman" w:hAnsi="Times New Roman"/>
          <w:color w:val="000000"/>
          <w:sz w:val="24"/>
          <w:szCs w:val="24"/>
        </w:rPr>
      </w:pPr>
      <w:r w:rsidRPr="00DC216E">
        <w:rPr>
          <w:rFonts w:ascii="Times New Roman" w:hAnsi="Times New Roman"/>
          <w:b/>
          <w:bCs/>
          <w:color w:val="000000"/>
          <w:sz w:val="24"/>
          <w:szCs w:val="24"/>
        </w:rPr>
        <w:t>La Loi n°10/2010 du 24 septembre 2010 sur l’évaluation environnementale</w:t>
      </w:r>
    </w:p>
    <w:p w:rsidR="00052BEE" w:rsidRPr="00DC216E" w:rsidRDefault="00052BEE" w:rsidP="00052BEE">
      <w:pPr>
        <w:spacing w:after="0" w:line="240" w:lineRule="auto"/>
        <w:ind w:left="1803" w:right="-142"/>
        <w:contextualSpacing/>
        <w:jc w:val="both"/>
        <w:rPr>
          <w:rFonts w:ascii="Times New Roman" w:hAnsi="Times New Roman"/>
          <w:color w:val="000000"/>
          <w:sz w:val="24"/>
          <w:szCs w:val="24"/>
        </w:rPr>
      </w:pPr>
    </w:p>
    <w:p w:rsidR="00052BEE" w:rsidRPr="00EA26F0" w:rsidRDefault="00052BEE" w:rsidP="00EA26F0">
      <w:pPr>
        <w:autoSpaceDE w:val="0"/>
        <w:autoSpaceDN w:val="0"/>
        <w:adjustRightInd w:val="0"/>
        <w:spacing w:after="0" w:line="240" w:lineRule="auto"/>
        <w:ind w:left="-284"/>
        <w:jc w:val="both"/>
        <w:rPr>
          <w:rFonts w:ascii="Times New Roman" w:hAnsi="Times New Roman" w:cs="Times New Roman"/>
          <w:sz w:val="24"/>
          <w:szCs w:val="24"/>
        </w:rPr>
      </w:pPr>
      <w:r w:rsidRPr="00EA26F0">
        <w:rPr>
          <w:rFonts w:ascii="Times New Roman" w:hAnsi="Times New Roman" w:cs="Times New Roman"/>
          <w:sz w:val="24"/>
          <w:szCs w:val="24"/>
        </w:rPr>
        <w:t xml:space="preserve">La loi sur l’évaluation environnementale en son article 6 « intitulé instrument de classification des projets » définit en sa section 1, les outils d’évaluation environnementale et prévoit comme outils d’évaluation environnementale dans le cadre de la réalisation d’un projet, les outils suivants : </w:t>
      </w:r>
    </w:p>
    <w:p w:rsidR="00052BEE" w:rsidRPr="00DC216E" w:rsidRDefault="00052BEE" w:rsidP="00052BEE">
      <w:pPr>
        <w:spacing w:after="0" w:line="240" w:lineRule="auto"/>
        <w:ind w:right="-142"/>
        <w:jc w:val="both"/>
        <w:rPr>
          <w:rFonts w:ascii="Times New Roman" w:hAnsi="Times New Roman"/>
          <w:color w:val="000000"/>
          <w:sz w:val="24"/>
          <w:szCs w:val="24"/>
        </w:rPr>
      </w:pPr>
    </w:p>
    <w:p w:rsidR="00052BEE" w:rsidRPr="00DC216E" w:rsidRDefault="00052BEE" w:rsidP="00FA3FAE">
      <w:pPr>
        <w:numPr>
          <w:ilvl w:val="0"/>
          <w:numId w:val="43"/>
        </w:numPr>
        <w:spacing w:after="0" w:line="240" w:lineRule="auto"/>
        <w:ind w:right="-142"/>
        <w:contextualSpacing/>
        <w:jc w:val="both"/>
        <w:rPr>
          <w:rFonts w:ascii="Times New Roman" w:hAnsi="Times New Roman"/>
          <w:i/>
          <w:color w:val="000000"/>
          <w:sz w:val="24"/>
          <w:szCs w:val="24"/>
        </w:rPr>
      </w:pPr>
      <w:r w:rsidRPr="00DC216E">
        <w:rPr>
          <w:rFonts w:ascii="Times New Roman" w:hAnsi="Times New Roman"/>
          <w:i/>
          <w:color w:val="000000"/>
          <w:sz w:val="24"/>
          <w:szCs w:val="24"/>
        </w:rPr>
        <w:t>l’étude d’impact sur l’environnement ;</w:t>
      </w:r>
    </w:p>
    <w:p w:rsidR="00052BEE" w:rsidRPr="00DC216E" w:rsidRDefault="00052BEE" w:rsidP="00FA3FAE">
      <w:pPr>
        <w:numPr>
          <w:ilvl w:val="0"/>
          <w:numId w:val="43"/>
        </w:numPr>
        <w:spacing w:after="0" w:line="240" w:lineRule="auto"/>
        <w:ind w:right="-142"/>
        <w:contextualSpacing/>
        <w:jc w:val="both"/>
        <w:rPr>
          <w:rFonts w:ascii="Times New Roman" w:hAnsi="Times New Roman"/>
          <w:i/>
          <w:color w:val="000000"/>
          <w:sz w:val="24"/>
          <w:szCs w:val="24"/>
        </w:rPr>
      </w:pPr>
      <w:r w:rsidRPr="00DC216E">
        <w:rPr>
          <w:rFonts w:ascii="Times New Roman" w:hAnsi="Times New Roman"/>
          <w:i/>
          <w:color w:val="000000"/>
          <w:sz w:val="24"/>
          <w:szCs w:val="24"/>
        </w:rPr>
        <w:t xml:space="preserve">évaluation environnementale stratégique ; </w:t>
      </w:r>
    </w:p>
    <w:p w:rsidR="00052BEE" w:rsidRPr="00DC216E" w:rsidRDefault="00052BEE" w:rsidP="00FA3FAE">
      <w:pPr>
        <w:numPr>
          <w:ilvl w:val="0"/>
          <w:numId w:val="43"/>
        </w:numPr>
        <w:spacing w:after="0" w:line="240" w:lineRule="auto"/>
        <w:ind w:right="-142"/>
        <w:contextualSpacing/>
        <w:jc w:val="both"/>
        <w:rPr>
          <w:rFonts w:ascii="Times New Roman" w:hAnsi="Times New Roman"/>
          <w:i/>
          <w:color w:val="000000"/>
          <w:sz w:val="24"/>
          <w:szCs w:val="24"/>
        </w:rPr>
      </w:pPr>
      <w:r w:rsidRPr="00DC216E">
        <w:rPr>
          <w:rFonts w:ascii="Times New Roman" w:hAnsi="Times New Roman"/>
          <w:i/>
          <w:color w:val="000000"/>
          <w:sz w:val="24"/>
          <w:szCs w:val="24"/>
        </w:rPr>
        <w:t xml:space="preserve">l’analyse des risques et étude de dangers ;  </w:t>
      </w:r>
    </w:p>
    <w:p w:rsidR="00052BEE" w:rsidRPr="00DC216E" w:rsidRDefault="00052BEE" w:rsidP="00FA3FAE">
      <w:pPr>
        <w:numPr>
          <w:ilvl w:val="0"/>
          <w:numId w:val="43"/>
        </w:numPr>
        <w:spacing w:after="0" w:line="240" w:lineRule="auto"/>
        <w:ind w:right="-142"/>
        <w:contextualSpacing/>
        <w:jc w:val="both"/>
        <w:rPr>
          <w:rFonts w:ascii="Times New Roman" w:hAnsi="Times New Roman"/>
          <w:i/>
          <w:color w:val="000000"/>
          <w:sz w:val="24"/>
          <w:szCs w:val="24"/>
        </w:rPr>
      </w:pPr>
      <w:r w:rsidRPr="00DC216E">
        <w:rPr>
          <w:rFonts w:ascii="Times New Roman" w:hAnsi="Times New Roman"/>
          <w:i/>
          <w:color w:val="000000"/>
          <w:sz w:val="24"/>
          <w:szCs w:val="24"/>
        </w:rPr>
        <w:t>la consultation publique ;</w:t>
      </w:r>
    </w:p>
    <w:p w:rsidR="00052BEE" w:rsidRPr="00DC216E" w:rsidRDefault="00052BEE" w:rsidP="00FA3FAE">
      <w:pPr>
        <w:numPr>
          <w:ilvl w:val="0"/>
          <w:numId w:val="43"/>
        </w:numPr>
        <w:spacing w:after="0" w:line="240" w:lineRule="auto"/>
        <w:ind w:right="-142"/>
        <w:contextualSpacing/>
        <w:jc w:val="both"/>
        <w:rPr>
          <w:rFonts w:ascii="Times New Roman" w:hAnsi="Times New Roman"/>
          <w:i/>
          <w:color w:val="000000"/>
          <w:sz w:val="24"/>
          <w:szCs w:val="24"/>
        </w:rPr>
      </w:pPr>
      <w:r w:rsidRPr="00DC216E">
        <w:rPr>
          <w:rFonts w:ascii="Times New Roman" w:hAnsi="Times New Roman"/>
          <w:i/>
          <w:color w:val="000000"/>
          <w:sz w:val="24"/>
          <w:szCs w:val="24"/>
        </w:rPr>
        <w:t xml:space="preserve">l’audit environnemental ; </w:t>
      </w:r>
    </w:p>
    <w:p w:rsidR="00052BEE" w:rsidRPr="00DC216E" w:rsidRDefault="00052BEE" w:rsidP="00FA3FAE">
      <w:pPr>
        <w:numPr>
          <w:ilvl w:val="0"/>
          <w:numId w:val="43"/>
        </w:numPr>
        <w:spacing w:after="0" w:line="240" w:lineRule="auto"/>
        <w:ind w:right="-142"/>
        <w:contextualSpacing/>
        <w:jc w:val="both"/>
        <w:rPr>
          <w:rFonts w:ascii="Times New Roman" w:hAnsi="Times New Roman"/>
          <w:i/>
          <w:color w:val="000000"/>
          <w:sz w:val="24"/>
          <w:szCs w:val="24"/>
        </w:rPr>
      </w:pPr>
      <w:r w:rsidRPr="00DC216E">
        <w:rPr>
          <w:rFonts w:ascii="Times New Roman" w:hAnsi="Times New Roman"/>
          <w:i/>
          <w:color w:val="000000"/>
          <w:sz w:val="24"/>
          <w:szCs w:val="24"/>
        </w:rPr>
        <w:t xml:space="preserve">l’information sur l’environnement ; </w:t>
      </w:r>
    </w:p>
    <w:p w:rsidR="00052BEE" w:rsidRPr="00DC216E" w:rsidRDefault="00052BEE" w:rsidP="00FA3FAE">
      <w:pPr>
        <w:numPr>
          <w:ilvl w:val="0"/>
          <w:numId w:val="43"/>
        </w:numPr>
        <w:spacing w:after="0" w:line="240" w:lineRule="auto"/>
        <w:ind w:right="-142"/>
        <w:contextualSpacing/>
        <w:jc w:val="both"/>
        <w:rPr>
          <w:rFonts w:ascii="Times New Roman" w:hAnsi="Times New Roman"/>
          <w:i/>
          <w:color w:val="000000"/>
          <w:sz w:val="24"/>
          <w:szCs w:val="24"/>
        </w:rPr>
      </w:pPr>
      <w:r w:rsidRPr="00DC216E">
        <w:rPr>
          <w:rFonts w:ascii="Times New Roman" w:hAnsi="Times New Roman"/>
          <w:i/>
          <w:color w:val="000000"/>
          <w:sz w:val="24"/>
          <w:szCs w:val="24"/>
        </w:rPr>
        <w:t xml:space="preserve">l’évaluation économique de l’environnement ; </w:t>
      </w:r>
    </w:p>
    <w:p w:rsidR="00052BEE" w:rsidRPr="00DC216E" w:rsidRDefault="00052BEE" w:rsidP="00FA3FAE">
      <w:pPr>
        <w:numPr>
          <w:ilvl w:val="0"/>
          <w:numId w:val="43"/>
        </w:numPr>
        <w:spacing w:after="0" w:line="240" w:lineRule="auto"/>
        <w:ind w:right="-142"/>
        <w:contextualSpacing/>
        <w:jc w:val="both"/>
        <w:rPr>
          <w:rFonts w:ascii="Times New Roman" w:hAnsi="Times New Roman"/>
          <w:i/>
          <w:color w:val="000000"/>
          <w:sz w:val="24"/>
          <w:szCs w:val="24"/>
        </w:rPr>
      </w:pPr>
      <w:r w:rsidRPr="00DC216E">
        <w:rPr>
          <w:rFonts w:ascii="Times New Roman" w:hAnsi="Times New Roman"/>
          <w:i/>
          <w:color w:val="000000"/>
          <w:sz w:val="24"/>
          <w:szCs w:val="24"/>
        </w:rPr>
        <w:t xml:space="preserve">le suivi environnemental ; </w:t>
      </w:r>
    </w:p>
    <w:p w:rsidR="00052BEE" w:rsidRPr="00DC216E" w:rsidRDefault="00052BEE" w:rsidP="00FA3FAE">
      <w:pPr>
        <w:numPr>
          <w:ilvl w:val="0"/>
          <w:numId w:val="43"/>
        </w:numPr>
        <w:spacing w:after="0" w:line="240" w:lineRule="auto"/>
        <w:ind w:right="-142"/>
        <w:contextualSpacing/>
        <w:jc w:val="both"/>
        <w:rPr>
          <w:rFonts w:ascii="Times New Roman" w:hAnsi="Times New Roman"/>
          <w:i/>
          <w:color w:val="000000"/>
          <w:sz w:val="24"/>
          <w:szCs w:val="24"/>
        </w:rPr>
      </w:pPr>
      <w:r w:rsidRPr="00DC216E">
        <w:rPr>
          <w:rFonts w:ascii="Times New Roman" w:hAnsi="Times New Roman"/>
          <w:i/>
          <w:color w:val="000000"/>
          <w:sz w:val="24"/>
          <w:szCs w:val="24"/>
        </w:rPr>
        <w:t xml:space="preserve">le plan de gestion environnemental et social ; </w:t>
      </w:r>
    </w:p>
    <w:p w:rsidR="00052BEE" w:rsidRPr="00DC216E" w:rsidRDefault="00052BEE" w:rsidP="00FA3FAE">
      <w:pPr>
        <w:numPr>
          <w:ilvl w:val="0"/>
          <w:numId w:val="43"/>
        </w:numPr>
        <w:spacing w:after="0" w:line="240" w:lineRule="auto"/>
        <w:ind w:right="-142"/>
        <w:contextualSpacing/>
        <w:jc w:val="both"/>
        <w:rPr>
          <w:rFonts w:ascii="Times New Roman" w:hAnsi="Times New Roman"/>
          <w:i/>
          <w:color w:val="000000"/>
          <w:sz w:val="24"/>
          <w:szCs w:val="24"/>
        </w:rPr>
      </w:pPr>
      <w:r w:rsidRPr="00DC216E">
        <w:rPr>
          <w:rFonts w:ascii="Times New Roman" w:hAnsi="Times New Roman"/>
          <w:i/>
          <w:color w:val="000000"/>
          <w:sz w:val="24"/>
          <w:szCs w:val="24"/>
        </w:rPr>
        <w:t xml:space="preserve">le cadre de gestion environnemental et social ; </w:t>
      </w:r>
    </w:p>
    <w:p w:rsidR="00052BEE" w:rsidRPr="00DC216E" w:rsidRDefault="00052BEE" w:rsidP="00FA3FAE">
      <w:pPr>
        <w:numPr>
          <w:ilvl w:val="0"/>
          <w:numId w:val="43"/>
        </w:numPr>
        <w:spacing w:after="0" w:line="240" w:lineRule="auto"/>
        <w:ind w:right="-142"/>
        <w:contextualSpacing/>
        <w:jc w:val="both"/>
        <w:rPr>
          <w:rFonts w:ascii="Times New Roman" w:hAnsi="Times New Roman"/>
          <w:color w:val="000000"/>
          <w:sz w:val="24"/>
          <w:szCs w:val="24"/>
        </w:rPr>
      </w:pPr>
      <w:r w:rsidRPr="00DC216E">
        <w:rPr>
          <w:rFonts w:ascii="Times New Roman" w:hAnsi="Times New Roman"/>
          <w:i/>
          <w:color w:val="000000"/>
          <w:sz w:val="24"/>
          <w:szCs w:val="24"/>
        </w:rPr>
        <w:t>le plan d’action de réinstallation et le plan d’occupation interne.</w:t>
      </w:r>
    </w:p>
    <w:p w:rsidR="00052BEE" w:rsidRPr="00DC216E" w:rsidRDefault="00052BEE" w:rsidP="00052BEE">
      <w:pPr>
        <w:spacing w:after="0" w:line="240" w:lineRule="auto"/>
        <w:ind w:right="-142"/>
        <w:jc w:val="both"/>
        <w:rPr>
          <w:rFonts w:ascii="Times New Roman" w:hAnsi="Times New Roman"/>
          <w:color w:val="000000"/>
          <w:sz w:val="24"/>
          <w:szCs w:val="24"/>
        </w:rPr>
      </w:pPr>
    </w:p>
    <w:p w:rsidR="00052BEE" w:rsidRPr="00DC216E" w:rsidRDefault="00052BEE" w:rsidP="00052BEE">
      <w:pPr>
        <w:spacing w:after="0" w:line="240" w:lineRule="auto"/>
        <w:ind w:left="-284" w:right="-142"/>
        <w:jc w:val="both"/>
        <w:rPr>
          <w:rFonts w:ascii="Times New Roman" w:hAnsi="Times New Roman"/>
          <w:color w:val="000000"/>
          <w:sz w:val="24"/>
          <w:szCs w:val="24"/>
        </w:rPr>
      </w:pPr>
      <w:r w:rsidRPr="00DC216E">
        <w:rPr>
          <w:rFonts w:ascii="Times New Roman" w:hAnsi="Times New Roman"/>
          <w:color w:val="000000"/>
          <w:sz w:val="24"/>
          <w:szCs w:val="24"/>
        </w:rPr>
        <w:t>L’article 7 de la même loi classe les projets par catégorie :</w:t>
      </w:r>
    </w:p>
    <w:p w:rsidR="00052BEE" w:rsidRPr="00DC216E" w:rsidRDefault="00052BEE" w:rsidP="00FA3FAE">
      <w:pPr>
        <w:numPr>
          <w:ilvl w:val="0"/>
          <w:numId w:val="42"/>
        </w:numPr>
        <w:spacing w:after="0" w:line="240" w:lineRule="auto"/>
        <w:ind w:right="-142"/>
        <w:contextualSpacing/>
        <w:jc w:val="both"/>
        <w:rPr>
          <w:rFonts w:ascii="Times New Roman" w:hAnsi="Times New Roman"/>
          <w:color w:val="000000"/>
          <w:sz w:val="24"/>
          <w:szCs w:val="24"/>
        </w:rPr>
      </w:pPr>
      <w:r w:rsidRPr="00DC216E">
        <w:rPr>
          <w:rFonts w:ascii="Times New Roman" w:hAnsi="Times New Roman"/>
          <w:color w:val="000000"/>
          <w:sz w:val="24"/>
          <w:szCs w:val="24"/>
        </w:rPr>
        <w:t>projets de la catégorie A ;</w:t>
      </w:r>
    </w:p>
    <w:p w:rsidR="00052BEE" w:rsidRPr="00DC216E" w:rsidRDefault="00052BEE" w:rsidP="00FA3FAE">
      <w:pPr>
        <w:numPr>
          <w:ilvl w:val="0"/>
          <w:numId w:val="42"/>
        </w:numPr>
        <w:spacing w:after="0" w:line="240" w:lineRule="auto"/>
        <w:ind w:right="-142"/>
        <w:contextualSpacing/>
        <w:jc w:val="both"/>
        <w:rPr>
          <w:rFonts w:ascii="Times New Roman" w:hAnsi="Times New Roman"/>
          <w:color w:val="000000"/>
          <w:sz w:val="24"/>
          <w:szCs w:val="24"/>
        </w:rPr>
      </w:pPr>
      <w:r w:rsidRPr="00DC216E">
        <w:rPr>
          <w:rFonts w:ascii="Times New Roman" w:hAnsi="Times New Roman"/>
          <w:color w:val="000000"/>
          <w:sz w:val="24"/>
          <w:szCs w:val="24"/>
        </w:rPr>
        <w:t>projets de la catégorie B ;</w:t>
      </w:r>
    </w:p>
    <w:p w:rsidR="00052BEE" w:rsidRPr="00DC216E" w:rsidRDefault="00052BEE" w:rsidP="00FA3FAE">
      <w:pPr>
        <w:numPr>
          <w:ilvl w:val="0"/>
          <w:numId w:val="42"/>
        </w:numPr>
        <w:spacing w:after="0" w:line="240" w:lineRule="auto"/>
        <w:ind w:right="-142"/>
        <w:contextualSpacing/>
        <w:jc w:val="both"/>
        <w:rPr>
          <w:rFonts w:ascii="Times New Roman" w:hAnsi="Times New Roman"/>
          <w:color w:val="000000"/>
          <w:sz w:val="24"/>
          <w:szCs w:val="24"/>
        </w:rPr>
      </w:pPr>
      <w:r w:rsidRPr="00DC216E">
        <w:rPr>
          <w:rFonts w:ascii="Times New Roman" w:hAnsi="Times New Roman"/>
          <w:color w:val="000000"/>
          <w:sz w:val="24"/>
          <w:szCs w:val="24"/>
        </w:rPr>
        <w:t>projets de la catégorie C.</w:t>
      </w:r>
    </w:p>
    <w:p w:rsidR="00052BEE" w:rsidRPr="00DC216E" w:rsidRDefault="00052BEE" w:rsidP="00052BEE">
      <w:pPr>
        <w:spacing w:after="0" w:line="240" w:lineRule="auto"/>
        <w:ind w:right="-142"/>
        <w:jc w:val="both"/>
        <w:rPr>
          <w:rFonts w:ascii="Times New Roman" w:hAnsi="Times New Roman"/>
          <w:color w:val="000000"/>
          <w:sz w:val="24"/>
          <w:szCs w:val="24"/>
        </w:rPr>
      </w:pPr>
    </w:p>
    <w:p w:rsidR="00052BEE" w:rsidRPr="00DC216E" w:rsidRDefault="00052BEE" w:rsidP="00FA3FAE">
      <w:pPr>
        <w:numPr>
          <w:ilvl w:val="0"/>
          <w:numId w:val="44"/>
        </w:numPr>
        <w:spacing w:after="0" w:line="240" w:lineRule="auto"/>
        <w:ind w:right="-142"/>
        <w:contextualSpacing/>
        <w:jc w:val="both"/>
        <w:rPr>
          <w:rFonts w:ascii="Times New Roman" w:hAnsi="Times New Roman"/>
          <w:color w:val="000000"/>
          <w:sz w:val="24"/>
          <w:szCs w:val="24"/>
        </w:rPr>
      </w:pPr>
      <w:r w:rsidRPr="00DC216E">
        <w:rPr>
          <w:rFonts w:ascii="Times New Roman" w:hAnsi="Times New Roman"/>
          <w:b/>
          <w:color w:val="000000"/>
          <w:sz w:val="24"/>
          <w:szCs w:val="24"/>
        </w:rPr>
        <w:t>La catégorie A</w:t>
      </w:r>
      <w:r w:rsidRPr="00DC216E">
        <w:rPr>
          <w:rFonts w:ascii="Times New Roman" w:hAnsi="Times New Roman"/>
          <w:color w:val="000000"/>
          <w:sz w:val="24"/>
          <w:szCs w:val="24"/>
        </w:rPr>
        <w:t xml:space="preserve"> concerné les projets à risques élevés et pouvant avoir de multiples incidences négatives assez significatives sur l’environnement et la santé sociale, parfois avec des effets à grande échelle.</w:t>
      </w:r>
    </w:p>
    <w:p w:rsidR="00052BEE" w:rsidRPr="00DC216E" w:rsidRDefault="00052BEE" w:rsidP="00052BEE">
      <w:pPr>
        <w:spacing w:after="0" w:line="240" w:lineRule="auto"/>
        <w:ind w:right="-142"/>
        <w:jc w:val="both"/>
        <w:rPr>
          <w:rFonts w:ascii="Times New Roman" w:hAnsi="Times New Roman"/>
          <w:color w:val="000000"/>
          <w:sz w:val="24"/>
          <w:szCs w:val="24"/>
        </w:rPr>
      </w:pPr>
    </w:p>
    <w:p w:rsidR="00052BEE" w:rsidRPr="00DC216E" w:rsidRDefault="00052BEE" w:rsidP="00FA3FAE">
      <w:pPr>
        <w:numPr>
          <w:ilvl w:val="0"/>
          <w:numId w:val="44"/>
        </w:numPr>
        <w:spacing w:after="0" w:line="240" w:lineRule="auto"/>
        <w:ind w:right="-142"/>
        <w:contextualSpacing/>
        <w:jc w:val="both"/>
        <w:rPr>
          <w:rFonts w:ascii="Times New Roman" w:hAnsi="Times New Roman"/>
          <w:color w:val="000000"/>
          <w:sz w:val="24"/>
          <w:szCs w:val="24"/>
        </w:rPr>
      </w:pPr>
      <w:r w:rsidRPr="00DC216E">
        <w:rPr>
          <w:rFonts w:ascii="Times New Roman" w:hAnsi="Times New Roman"/>
          <w:b/>
          <w:color w:val="000000"/>
          <w:sz w:val="24"/>
          <w:szCs w:val="24"/>
        </w:rPr>
        <w:t>La catégorie B</w:t>
      </w:r>
      <w:r w:rsidRPr="00DC216E">
        <w:rPr>
          <w:rFonts w:ascii="Times New Roman" w:hAnsi="Times New Roman"/>
          <w:color w:val="000000"/>
          <w:sz w:val="24"/>
          <w:szCs w:val="24"/>
        </w:rPr>
        <w:t xml:space="preserve"> regroupe des projets susceptibles d’avoir, sur les populations et l’environnement, des incidences négatives moins graves que celles de la catégorie précédente et ce sont généralement des incidences de nature locale et de courte durée, avec des possibilités de prendre des mesures en vue de les</w:t>
      </w:r>
      <w:r w:rsidRPr="00DC216E">
        <w:rPr>
          <w:rFonts w:ascii="Times New Roman" w:hAnsi="Times New Roman"/>
          <w:sz w:val="24"/>
          <w:szCs w:val="24"/>
        </w:rPr>
        <w:t xml:space="preserve"> </w:t>
      </w:r>
      <w:r w:rsidRPr="00DC216E">
        <w:rPr>
          <w:rFonts w:ascii="Times New Roman" w:hAnsi="Times New Roman"/>
          <w:color w:val="000000"/>
          <w:sz w:val="24"/>
          <w:szCs w:val="24"/>
        </w:rPr>
        <w:t xml:space="preserve">atténuer. </w:t>
      </w:r>
    </w:p>
    <w:p w:rsidR="00052BEE" w:rsidRPr="00DC216E" w:rsidRDefault="00052BEE" w:rsidP="00052BEE">
      <w:pPr>
        <w:spacing w:after="0" w:line="240" w:lineRule="auto"/>
        <w:ind w:right="-142"/>
        <w:jc w:val="both"/>
        <w:rPr>
          <w:rFonts w:ascii="Times New Roman" w:hAnsi="Times New Roman"/>
          <w:color w:val="000000"/>
          <w:sz w:val="24"/>
          <w:szCs w:val="24"/>
        </w:rPr>
      </w:pPr>
    </w:p>
    <w:p w:rsidR="00052BEE" w:rsidRPr="00DC216E" w:rsidRDefault="00052BEE" w:rsidP="00FA3FAE">
      <w:pPr>
        <w:numPr>
          <w:ilvl w:val="0"/>
          <w:numId w:val="44"/>
        </w:numPr>
        <w:spacing w:after="0" w:line="240" w:lineRule="auto"/>
        <w:ind w:right="-142"/>
        <w:contextualSpacing/>
        <w:jc w:val="both"/>
        <w:rPr>
          <w:rFonts w:ascii="Times New Roman" w:hAnsi="Times New Roman"/>
          <w:color w:val="000000"/>
          <w:sz w:val="24"/>
          <w:szCs w:val="24"/>
        </w:rPr>
      </w:pPr>
      <w:r w:rsidRPr="00DC216E">
        <w:rPr>
          <w:rFonts w:ascii="Times New Roman" w:hAnsi="Times New Roman"/>
          <w:b/>
          <w:color w:val="000000"/>
          <w:sz w:val="24"/>
          <w:szCs w:val="24"/>
        </w:rPr>
        <w:t>La catégorie C</w:t>
      </w:r>
      <w:r w:rsidRPr="00DC216E">
        <w:rPr>
          <w:rFonts w:ascii="Times New Roman" w:hAnsi="Times New Roman"/>
          <w:color w:val="000000"/>
          <w:sz w:val="24"/>
          <w:szCs w:val="24"/>
        </w:rPr>
        <w:t xml:space="preserve"> représente les projets dont les incidences négatives sur l’environnement et sur la santé sont insignifiantes ou inexistantes.</w:t>
      </w:r>
    </w:p>
    <w:p w:rsidR="00052BEE" w:rsidRPr="00DC216E" w:rsidRDefault="00052BEE" w:rsidP="00052BEE">
      <w:pPr>
        <w:spacing w:after="0" w:line="240" w:lineRule="auto"/>
        <w:ind w:right="-142"/>
        <w:jc w:val="both"/>
        <w:rPr>
          <w:rFonts w:ascii="Times New Roman" w:hAnsi="Times New Roman"/>
          <w:color w:val="000000"/>
          <w:sz w:val="24"/>
          <w:szCs w:val="24"/>
        </w:rPr>
      </w:pPr>
    </w:p>
    <w:p w:rsidR="00052BEE" w:rsidRPr="00EA26F0" w:rsidRDefault="00052BEE" w:rsidP="00EA26F0">
      <w:pPr>
        <w:autoSpaceDE w:val="0"/>
        <w:autoSpaceDN w:val="0"/>
        <w:adjustRightInd w:val="0"/>
        <w:spacing w:after="0" w:line="240" w:lineRule="auto"/>
        <w:ind w:left="-284"/>
        <w:jc w:val="both"/>
        <w:rPr>
          <w:rFonts w:ascii="Times New Roman" w:hAnsi="Times New Roman" w:cs="Times New Roman"/>
          <w:sz w:val="24"/>
          <w:szCs w:val="24"/>
        </w:rPr>
      </w:pPr>
      <w:r w:rsidRPr="00EA26F0">
        <w:rPr>
          <w:rFonts w:ascii="Times New Roman" w:hAnsi="Times New Roman" w:cs="Times New Roman"/>
          <w:sz w:val="24"/>
          <w:szCs w:val="24"/>
        </w:rPr>
        <w:t>Après un examen préalable, aucune autre mesure relative à l’évaluation de l’environnement ne s’avère nécessaire pour les projets relevant de cette catégorie.</w:t>
      </w:r>
    </w:p>
    <w:p w:rsidR="00052BEE" w:rsidRPr="00EA26F0" w:rsidRDefault="00052BEE" w:rsidP="00EA26F0">
      <w:pPr>
        <w:autoSpaceDE w:val="0"/>
        <w:autoSpaceDN w:val="0"/>
        <w:adjustRightInd w:val="0"/>
        <w:spacing w:after="0" w:line="240" w:lineRule="auto"/>
        <w:ind w:left="-284"/>
        <w:jc w:val="both"/>
        <w:rPr>
          <w:rFonts w:ascii="Times New Roman" w:hAnsi="Times New Roman" w:cs="Times New Roman"/>
          <w:sz w:val="24"/>
          <w:szCs w:val="24"/>
        </w:rPr>
      </w:pPr>
    </w:p>
    <w:p w:rsidR="00052BEE" w:rsidRPr="00EA26F0" w:rsidRDefault="00052BEE" w:rsidP="00EA26F0">
      <w:pPr>
        <w:autoSpaceDE w:val="0"/>
        <w:autoSpaceDN w:val="0"/>
        <w:adjustRightInd w:val="0"/>
        <w:spacing w:after="0" w:line="240" w:lineRule="auto"/>
        <w:ind w:left="-284"/>
        <w:jc w:val="both"/>
        <w:rPr>
          <w:rFonts w:ascii="Times New Roman" w:hAnsi="Times New Roman" w:cs="Times New Roman"/>
          <w:sz w:val="24"/>
          <w:szCs w:val="24"/>
        </w:rPr>
      </w:pPr>
      <w:r w:rsidRPr="00EA26F0">
        <w:rPr>
          <w:rFonts w:ascii="Times New Roman" w:hAnsi="Times New Roman" w:cs="Times New Roman"/>
          <w:sz w:val="24"/>
          <w:szCs w:val="24"/>
        </w:rPr>
        <w:t xml:space="preserve">Les annexes I, II et III de cette réglementation déterminent la liste nominative des projets, politiques, plans et programmes des secteurs d’activités concernés par l’évaluation environnementale mais c’est la procédure </w:t>
      </w:r>
      <w:r w:rsidRPr="00EA26F0">
        <w:rPr>
          <w:rFonts w:ascii="Times New Roman" w:hAnsi="Times New Roman" w:cs="Times New Roman"/>
          <w:sz w:val="24"/>
          <w:szCs w:val="24"/>
        </w:rPr>
        <w:lastRenderedPageBreak/>
        <w:t>administrative des Évaluations Environnementales qui spécifie le processus qui aboutit à la classification des projets selon les catégories A, B, et C.</w:t>
      </w:r>
    </w:p>
    <w:p w:rsidR="00052BEE" w:rsidRPr="00DC216E" w:rsidRDefault="00052BEE" w:rsidP="00052BEE">
      <w:pPr>
        <w:spacing w:after="0" w:line="240" w:lineRule="auto"/>
        <w:ind w:left="-284" w:right="-142"/>
        <w:jc w:val="both"/>
        <w:rPr>
          <w:rFonts w:ascii="Times New Roman" w:hAnsi="Times New Roman"/>
          <w:color w:val="000000"/>
          <w:sz w:val="24"/>
          <w:szCs w:val="24"/>
        </w:rPr>
      </w:pPr>
    </w:p>
    <w:p w:rsidR="00052BEE" w:rsidRDefault="00052BEE" w:rsidP="00EA26F0">
      <w:pPr>
        <w:autoSpaceDE w:val="0"/>
        <w:autoSpaceDN w:val="0"/>
        <w:adjustRightInd w:val="0"/>
        <w:spacing w:after="0" w:line="240" w:lineRule="auto"/>
        <w:ind w:left="-284"/>
        <w:jc w:val="both"/>
        <w:rPr>
          <w:rFonts w:ascii="Times New Roman" w:hAnsi="Times New Roman" w:cs="Times New Roman"/>
          <w:sz w:val="24"/>
          <w:szCs w:val="24"/>
        </w:rPr>
      </w:pPr>
      <w:r w:rsidRPr="00EA26F0">
        <w:rPr>
          <w:rFonts w:ascii="Times New Roman" w:hAnsi="Times New Roman" w:cs="Times New Roman"/>
          <w:sz w:val="24"/>
          <w:szCs w:val="24"/>
        </w:rPr>
        <w:t>Aussi, en application de la constitution, le Projet est tenu au respect de l’ensemble des règles juridiques applicables dans de sa mise en œuvre. Cette réglementation est listée dans le tableau ci- dessous :</w:t>
      </w:r>
    </w:p>
    <w:p w:rsidR="00BA3EE1" w:rsidRPr="00EA26F0" w:rsidRDefault="00BA3EE1" w:rsidP="00EA26F0">
      <w:pPr>
        <w:autoSpaceDE w:val="0"/>
        <w:autoSpaceDN w:val="0"/>
        <w:adjustRightInd w:val="0"/>
        <w:spacing w:after="0" w:line="240" w:lineRule="auto"/>
        <w:ind w:left="-284"/>
        <w:jc w:val="both"/>
        <w:rPr>
          <w:rFonts w:ascii="Times New Roman" w:hAnsi="Times New Roman" w:cs="Times New Roman"/>
          <w:sz w:val="24"/>
          <w:szCs w:val="24"/>
        </w:rPr>
      </w:pPr>
    </w:p>
    <w:p w:rsidR="00052BEE" w:rsidRPr="00BA3EE1" w:rsidRDefault="00052BEE" w:rsidP="00BA3EE1">
      <w:pPr>
        <w:jc w:val="center"/>
        <w:rPr>
          <w:rFonts w:ascii="Times New Roman" w:hAnsi="Times New Roman" w:cs="Times New Roman"/>
          <w:b/>
          <w:sz w:val="20"/>
          <w:szCs w:val="20"/>
        </w:rPr>
      </w:pPr>
      <w:bookmarkStart w:id="104" w:name="_Toc17385895"/>
      <w:bookmarkStart w:id="105" w:name="_Toc51073997"/>
      <w:r w:rsidRPr="00BA3EE1">
        <w:rPr>
          <w:rFonts w:ascii="Times New Roman" w:hAnsi="Times New Roman" w:cs="Times New Roman"/>
          <w:b/>
          <w:sz w:val="20"/>
          <w:szCs w:val="20"/>
        </w:rPr>
        <w:t xml:space="preserve">Tableau </w:t>
      </w:r>
      <w:r w:rsidRPr="00BA3EE1">
        <w:rPr>
          <w:rFonts w:ascii="Times New Roman" w:hAnsi="Times New Roman" w:cs="Times New Roman"/>
          <w:b/>
          <w:sz w:val="20"/>
          <w:szCs w:val="20"/>
        </w:rPr>
        <w:fldChar w:fldCharType="begin"/>
      </w:r>
      <w:r w:rsidRPr="00BA3EE1">
        <w:rPr>
          <w:rFonts w:ascii="Times New Roman" w:hAnsi="Times New Roman" w:cs="Times New Roman"/>
          <w:b/>
          <w:sz w:val="20"/>
          <w:szCs w:val="20"/>
        </w:rPr>
        <w:instrText xml:space="preserve"> SEQ Tableau \* ARABIC </w:instrText>
      </w:r>
      <w:r w:rsidRPr="00BA3EE1">
        <w:rPr>
          <w:rFonts w:ascii="Times New Roman" w:hAnsi="Times New Roman" w:cs="Times New Roman"/>
          <w:b/>
          <w:sz w:val="20"/>
          <w:szCs w:val="20"/>
        </w:rPr>
        <w:fldChar w:fldCharType="separate"/>
      </w:r>
      <w:r w:rsidR="00EB726E">
        <w:rPr>
          <w:rFonts w:ascii="Times New Roman" w:hAnsi="Times New Roman" w:cs="Times New Roman"/>
          <w:b/>
          <w:noProof/>
          <w:sz w:val="20"/>
          <w:szCs w:val="20"/>
        </w:rPr>
        <w:t>6</w:t>
      </w:r>
      <w:r w:rsidRPr="00BA3EE1">
        <w:rPr>
          <w:rFonts w:ascii="Times New Roman" w:hAnsi="Times New Roman" w:cs="Times New Roman"/>
          <w:b/>
          <w:sz w:val="20"/>
          <w:szCs w:val="20"/>
        </w:rPr>
        <w:fldChar w:fldCharType="end"/>
      </w:r>
      <w:r w:rsidRPr="00BA3EE1">
        <w:rPr>
          <w:rFonts w:ascii="Times New Roman" w:hAnsi="Times New Roman" w:cs="Times New Roman"/>
          <w:b/>
          <w:sz w:val="20"/>
          <w:szCs w:val="20"/>
        </w:rPr>
        <w:t>: Les réglementations en terme environnemental et social en vigueur en Guinée Bissau</w:t>
      </w:r>
      <w:bookmarkEnd w:id="104"/>
      <w:bookmarkEnd w:id="105"/>
    </w:p>
    <w:tbl>
      <w:tblPr>
        <w:tblStyle w:val="Tabelacomgrelha"/>
        <w:tblW w:w="10611" w:type="dxa"/>
        <w:tblInd w:w="-779" w:type="dxa"/>
        <w:tblLook w:val="04A0" w:firstRow="1" w:lastRow="0" w:firstColumn="1" w:lastColumn="0" w:noHBand="0" w:noVBand="1"/>
      </w:tblPr>
      <w:tblGrid>
        <w:gridCol w:w="10611"/>
      </w:tblGrid>
      <w:tr w:rsidR="00052BEE" w:rsidRPr="00DC216E" w:rsidTr="00052BEE">
        <w:tc>
          <w:tcPr>
            <w:tcW w:w="10611" w:type="dxa"/>
            <w:vAlign w:val="center"/>
          </w:tcPr>
          <w:p w:rsidR="00052BEE" w:rsidRPr="00DC216E" w:rsidRDefault="00052BEE" w:rsidP="009E388B">
            <w:pPr>
              <w:jc w:val="both"/>
              <w:rPr>
                <w:rFonts w:ascii="Times New Roman" w:hAnsi="Times New Roman" w:cs="Times New Roman"/>
                <w:color w:val="000000"/>
                <w:sz w:val="24"/>
                <w:szCs w:val="24"/>
              </w:rPr>
            </w:pPr>
            <w:r w:rsidRPr="00AF645C">
              <w:rPr>
                <w:rFonts w:ascii="Times New Roman" w:hAnsi="Times New Roman" w:cs="Times New Roman"/>
                <w:b/>
                <w:color w:val="000000"/>
                <w:sz w:val="24"/>
                <w:szCs w:val="24"/>
              </w:rPr>
              <w:t>Loi N°1/2011 du 02 mars 2011</w:t>
            </w:r>
            <w:r>
              <w:rPr>
                <w:rFonts w:ascii="Times New Roman" w:hAnsi="Times New Roman" w:cs="Times New Roman"/>
                <w:color w:val="000000"/>
                <w:sz w:val="24"/>
                <w:szCs w:val="24"/>
              </w:rPr>
              <w:t xml:space="preserve"> portant principes </w:t>
            </w:r>
            <w:r w:rsidRPr="00DC216E">
              <w:rPr>
                <w:rFonts w:ascii="Times New Roman" w:hAnsi="Times New Roman" w:cs="Times New Roman"/>
                <w:color w:val="000000"/>
                <w:sz w:val="24"/>
                <w:szCs w:val="24"/>
              </w:rPr>
              <w:t>fondamentaux relatifs à la définition de la politique</w:t>
            </w:r>
            <w:r w:rsidRPr="00DC216E">
              <w:rPr>
                <w:rFonts w:ascii="Times New Roman" w:hAnsi="Times New Roman" w:cs="Times New Roman"/>
                <w:color w:val="000000"/>
                <w:sz w:val="24"/>
                <w:szCs w:val="24"/>
              </w:rPr>
              <w:br/>
              <w:t>nationale de la protection de l’environnement naturel et construit »</w:t>
            </w:r>
          </w:p>
        </w:tc>
      </w:tr>
      <w:tr w:rsidR="00052BEE" w:rsidRPr="00DC216E" w:rsidTr="00052BEE">
        <w:tc>
          <w:tcPr>
            <w:tcW w:w="10611" w:type="dxa"/>
            <w:vAlign w:val="center"/>
          </w:tcPr>
          <w:p w:rsidR="00052BEE" w:rsidRPr="00DC216E" w:rsidRDefault="00052BEE" w:rsidP="009E388B">
            <w:pPr>
              <w:jc w:val="both"/>
              <w:rPr>
                <w:rFonts w:ascii="Times New Roman" w:hAnsi="Times New Roman" w:cs="Times New Roman"/>
                <w:color w:val="000000"/>
                <w:sz w:val="24"/>
                <w:szCs w:val="24"/>
              </w:rPr>
            </w:pPr>
            <w:r w:rsidRPr="00DC216E">
              <w:rPr>
                <w:rFonts w:ascii="Times New Roman" w:hAnsi="Times New Roman" w:cs="Times New Roman"/>
                <w:color w:val="000000"/>
                <w:sz w:val="24"/>
                <w:szCs w:val="24"/>
              </w:rPr>
              <w:t xml:space="preserve">« </w:t>
            </w:r>
            <w:r w:rsidRPr="00AF645C">
              <w:rPr>
                <w:rFonts w:ascii="Times New Roman" w:hAnsi="Times New Roman" w:cs="Times New Roman"/>
                <w:b/>
                <w:color w:val="000000"/>
                <w:sz w:val="24"/>
                <w:szCs w:val="24"/>
              </w:rPr>
              <w:t>Loi N°10/2010 du 24 septembre 2010</w:t>
            </w:r>
            <w:r>
              <w:rPr>
                <w:rFonts w:ascii="Times New Roman" w:hAnsi="Times New Roman" w:cs="Times New Roman"/>
                <w:color w:val="000000"/>
                <w:sz w:val="24"/>
                <w:szCs w:val="24"/>
              </w:rPr>
              <w:t xml:space="preserve"> portant </w:t>
            </w:r>
            <w:r w:rsidRPr="00DC216E">
              <w:rPr>
                <w:rFonts w:ascii="Times New Roman" w:hAnsi="Times New Roman" w:cs="Times New Roman"/>
                <w:color w:val="000000"/>
                <w:sz w:val="24"/>
                <w:szCs w:val="24"/>
              </w:rPr>
              <w:t>principes fondamentaux relatifs à l’évaluation</w:t>
            </w:r>
            <w:r w:rsidRPr="00DC216E">
              <w:rPr>
                <w:rFonts w:ascii="Times New Roman" w:hAnsi="Times New Roman" w:cs="Times New Roman"/>
                <w:color w:val="000000"/>
                <w:sz w:val="24"/>
                <w:szCs w:val="24"/>
              </w:rPr>
              <w:br/>
              <w:t>environnementale et soc</w:t>
            </w:r>
            <w:r>
              <w:rPr>
                <w:rFonts w:ascii="Times New Roman" w:hAnsi="Times New Roman" w:cs="Times New Roman"/>
                <w:color w:val="000000"/>
                <w:sz w:val="24"/>
                <w:szCs w:val="24"/>
              </w:rPr>
              <w:t xml:space="preserve">iale des projets, </w:t>
            </w:r>
            <w:r w:rsidRPr="00DC216E">
              <w:rPr>
                <w:rFonts w:ascii="Times New Roman" w:hAnsi="Times New Roman" w:cs="Times New Roman"/>
                <w:color w:val="000000"/>
                <w:sz w:val="24"/>
                <w:szCs w:val="24"/>
              </w:rPr>
              <w:t>programmes plans et politiques du développement</w:t>
            </w:r>
          </w:p>
        </w:tc>
      </w:tr>
      <w:tr w:rsidR="00052BEE" w:rsidRPr="00DC216E" w:rsidTr="00052BEE">
        <w:tc>
          <w:tcPr>
            <w:tcW w:w="10611" w:type="dxa"/>
            <w:vAlign w:val="center"/>
          </w:tcPr>
          <w:p w:rsidR="00052BEE" w:rsidRPr="00DC216E" w:rsidRDefault="00052BEE" w:rsidP="009E388B">
            <w:pPr>
              <w:jc w:val="both"/>
              <w:rPr>
                <w:rFonts w:ascii="Times New Roman" w:hAnsi="Times New Roman" w:cs="Times New Roman"/>
                <w:color w:val="000000"/>
                <w:sz w:val="24"/>
                <w:szCs w:val="24"/>
              </w:rPr>
            </w:pPr>
            <w:r w:rsidRPr="00AF645C">
              <w:rPr>
                <w:rFonts w:ascii="Times New Roman" w:hAnsi="Times New Roman" w:cs="Times New Roman"/>
                <w:b/>
                <w:color w:val="000000"/>
                <w:sz w:val="24"/>
                <w:szCs w:val="24"/>
              </w:rPr>
              <w:t>Décret n° 07/2017 du 16 Juin 2017</w:t>
            </w:r>
            <w:r>
              <w:rPr>
                <w:rFonts w:ascii="Times New Roman" w:hAnsi="Times New Roman" w:cs="Times New Roman"/>
                <w:color w:val="000000"/>
                <w:sz w:val="24"/>
                <w:szCs w:val="24"/>
              </w:rPr>
              <w:t xml:space="preserve"> peut être </w:t>
            </w:r>
            <w:r w:rsidRPr="00DC216E">
              <w:rPr>
                <w:rFonts w:ascii="Times New Roman" w:hAnsi="Times New Roman" w:cs="Times New Roman"/>
                <w:color w:val="000000"/>
                <w:sz w:val="24"/>
                <w:szCs w:val="24"/>
              </w:rPr>
              <w:t>considéré comme le</w:t>
            </w:r>
            <w:r>
              <w:rPr>
                <w:rFonts w:ascii="Times New Roman" w:hAnsi="Times New Roman" w:cs="Times New Roman"/>
                <w:color w:val="000000"/>
                <w:sz w:val="24"/>
                <w:szCs w:val="24"/>
              </w:rPr>
              <w:t xml:space="preserve"> texte qui encadre la nécessité d’effectuer </w:t>
            </w:r>
            <w:r w:rsidRPr="00DC216E">
              <w:rPr>
                <w:rFonts w:ascii="Times New Roman" w:hAnsi="Times New Roman" w:cs="Times New Roman"/>
                <w:color w:val="000000"/>
                <w:sz w:val="24"/>
                <w:szCs w:val="24"/>
              </w:rPr>
              <w:t>une Et</w:t>
            </w:r>
            <w:r>
              <w:rPr>
                <w:rFonts w:ascii="Times New Roman" w:hAnsi="Times New Roman" w:cs="Times New Roman"/>
                <w:color w:val="000000"/>
                <w:sz w:val="24"/>
                <w:szCs w:val="24"/>
              </w:rPr>
              <w:t xml:space="preserve">ude d’Impact Environnemental et </w:t>
            </w:r>
            <w:r w:rsidRPr="00DC216E">
              <w:rPr>
                <w:rFonts w:ascii="Times New Roman" w:hAnsi="Times New Roman" w:cs="Times New Roman"/>
                <w:color w:val="000000"/>
                <w:sz w:val="24"/>
                <w:szCs w:val="24"/>
              </w:rPr>
              <w:t xml:space="preserve">Social (EIES) pour </w:t>
            </w:r>
            <w:r>
              <w:rPr>
                <w:rFonts w:ascii="Times New Roman" w:hAnsi="Times New Roman" w:cs="Times New Roman"/>
                <w:color w:val="000000"/>
                <w:sz w:val="24"/>
                <w:szCs w:val="24"/>
              </w:rPr>
              <w:t xml:space="preserve">s’assurer qu’un projet respecte </w:t>
            </w:r>
            <w:r w:rsidRPr="00DC216E">
              <w:rPr>
                <w:rFonts w:ascii="Times New Roman" w:hAnsi="Times New Roman" w:cs="Times New Roman"/>
                <w:color w:val="000000"/>
                <w:sz w:val="24"/>
                <w:szCs w:val="24"/>
              </w:rPr>
              <w:t>des normes existantes en matière d’environnement</w:t>
            </w:r>
          </w:p>
        </w:tc>
      </w:tr>
      <w:tr w:rsidR="00052BEE" w:rsidRPr="00DC216E" w:rsidTr="00052BEE">
        <w:tc>
          <w:tcPr>
            <w:tcW w:w="10611" w:type="dxa"/>
            <w:vAlign w:val="center"/>
          </w:tcPr>
          <w:p w:rsidR="00052BEE" w:rsidRPr="00DC216E" w:rsidRDefault="00052BEE" w:rsidP="009E388B">
            <w:pPr>
              <w:jc w:val="both"/>
              <w:rPr>
                <w:rFonts w:ascii="Times New Roman" w:hAnsi="Times New Roman" w:cs="Times New Roman"/>
                <w:color w:val="000000"/>
                <w:sz w:val="24"/>
                <w:szCs w:val="24"/>
              </w:rPr>
            </w:pPr>
            <w:r w:rsidRPr="00AF645C">
              <w:rPr>
                <w:rFonts w:ascii="Times New Roman" w:hAnsi="Times New Roman" w:cs="Times New Roman"/>
                <w:b/>
                <w:color w:val="000000"/>
                <w:sz w:val="24"/>
                <w:szCs w:val="24"/>
              </w:rPr>
              <w:t>Décret n° 08/2017 du 16 Juin 2017</w:t>
            </w:r>
            <w:r>
              <w:rPr>
                <w:rFonts w:ascii="Times New Roman" w:hAnsi="Times New Roman" w:cs="Times New Roman"/>
                <w:color w:val="000000"/>
                <w:sz w:val="24"/>
                <w:szCs w:val="24"/>
              </w:rPr>
              <w:t xml:space="preserve"> peut être </w:t>
            </w:r>
            <w:r w:rsidRPr="00DC216E">
              <w:rPr>
                <w:rFonts w:ascii="Times New Roman" w:hAnsi="Times New Roman" w:cs="Times New Roman"/>
                <w:color w:val="000000"/>
                <w:sz w:val="24"/>
                <w:szCs w:val="24"/>
              </w:rPr>
              <w:t>considéré comme le</w:t>
            </w:r>
            <w:r>
              <w:rPr>
                <w:rFonts w:ascii="Times New Roman" w:hAnsi="Times New Roman" w:cs="Times New Roman"/>
                <w:color w:val="000000"/>
                <w:sz w:val="24"/>
                <w:szCs w:val="24"/>
              </w:rPr>
              <w:t xml:space="preserve"> texte qui encadre la nécessité </w:t>
            </w:r>
            <w:r w:rsidRPr="00DC216E">
              <w:rPr>
                <w:rFonts w:ascii="Times New Roman" w:hAnsi="Times New Roman" w:cs="Times New Roman"/>
                <w:color w:val="000000"/>
                <w:sz w:val="24"/>
                <w:szCs w:val="24"/>
              </w:rPr>
              <w:t>d’avoi</w:t>
            </w:r>
            <w:r>
              <w:rPr>
                <w:rFonts w:ascii="Times New Roman" w:hAnsi="Times New Roman" w:cs="Times New Roman"/>
                <w:color w:val="000000"/>
                <w:sz w:val="24"/>
                <w:szCs w:val="24"/>
              </w:rPr>
              <w:t xml:space="preserve">r les licences et autorisations </w:t>
            </w:r>
            <w:r w:rsidRPr="00DC216E">
              <w:rPr>
                <w:rFonts w:ascii="Times New Roman" w:hAnsi="Times New Roman" w:cs="Times New Roman"/>
                <w:color w:val="000000"/>
                <w:sz w:val="24"/>
                <w:szCs w:val="24"/>
              </w:rPr>
              <w:t>environnementales après les analyses des impacts et risques de la mise en œuvre d’une activité donnée.</w:t>
            </w:r>
          </w:p>
        </w:tc>
      </w:tr>
      <w:tr w:rsidR="00052BEE" w:rsidRPr="00DC216E" w:rsidTr="00052BEE">
        <w:tc>
          <w:tcPr>
            <w:tcW w:w="10611" w:type="dxa"/>
            <w:vAlign w:val="center"/>
          </w:tcPr>
          <w:p w:rsidR="00052BEE" w:rsidRPr="00DC216E" w:rsidRDefault="00052BEE" w:rsidP="009E388B">
            <w:pPr>
              <w:jc w:val="both"/>
              <w:rPr>
                <w:rFonts w:ascii="Times New Roman" w:hAnsi="Times New Roman" w:cs="Times New Roman"/>
                <w:color w:val="000000"/>
                <w:sz w:val="24"/>
                <w:szCs w:val="24"/>
              </w:rPr>
            </w:pPr>
            <w:r w:rsidRPr="00AF645C">
              <w:rPr>
                <w:rFonts w:ascii="Times New Roman" w:hAnsi="Times New Roman" w:cs="Times New Roman"/>
                <w:b/>
                <w:color w:val="000000"/>
                <w:sz w:val="24"/>
                <w:szCs w:val="24"/>
              </w:rPr>
              <w:t>Décret n° 05/2017 du 16 Juin 2017</w:t>
            </w:r>
            <w:r>
              <w:rPr>
                <w:rFonts w:ascii="Times New Roman" w:hAnsi="Times New Roman" w:cs="Times New Roman"/>
                <w:color w:val="000000"/>
                <w:sz w:val="24"/>
                <w:szCs w:val="24"/>
              </w:rPr>
              <w:t xml:space="preserve"> peut être </w:t>
            </w:r>
            <w:r w:rsidRPr="00DC216E">
              <w:rPr>
                <w:rFonts w:ascii="Times New Roman" w:hAnsi="Times New Roman" w:cs="Times New Roman"/>
                <w:color w:val="000000"/>
                <w:sz w:val="24"/>
                <w:szCs w:val="24"/>
              </w:rPr>
              <w:t>considéré comme le texte qui encadre la nécessité de tenir en compte la participation publique dans la planification, prise de décision et monitoring de la mise en œuvre des projets, programmes, plans et politiques de développement nationale.</w:t>
            </w:r>
          </w:p>
        </w:tc>
      </w:tr>
      <w:tr w:rsidR="00052BEE" w:rsidRPr="00DC216E" w:rsidTr="00052BEE">
        <w:tc>
          <w:tcPr>
            <w:tcW w:w="10611" w:type="dxa"/>
            <w:vAlign w:val="center"/>
          </w:tcPr>
          <w:p w:rsidR="00052BEE" w:rsidRPr="00DC216E" w:rsidRDefault="00052BEE" w:rsidP="009E388B">
            <w:pPr>
              <w:jc w:val="both"/>
              <w:rPr>
                <w:rFonts w:ascii="Times New Roman" w:hAnsi="Times New Roman" w:cs="Times New Roman"/>
                <w:color w:val="000000"/>
                <w:sz w:val="24"/>
                <w:szCs w:val="24"/>
              </w:rPr>
            </w:pPr>
            <w:r w:rsidRPr="00AF645C">
              <w:rPr>
                <w:rFonts w:ascii="Times New Roman" w:hAnsi="Times New Roman" w:cs="Times New Roman"/>
                <w:b/>
                <w:color w:val="000000"/>
                <w:sz w:val="24"/>
                <w:szCs w:val="24"/>
              </w:rPr>
              <w:t xml:space="preserve">Décret n° 09/2017 du 16 Juin 2017 </w:t>
            </w:r>
            <w:r>
              <w:rPr>
                <w:rFonts w:ascii="Times New Roman" w:hAnsi="Times New Roman" w:cs="Times New Roman"/>
                <w:color w:val="000000"/>
                <w:sz w:val="24"/>
                <w:szCs w:val="24"/>
              </w:rPr>
              <w:t xml:space="preserve">peut être </w:t>
            </w:r>
            <w:r w:rsidRPr="00DC216E">
              <w:rPr>
                <w:rFonts w:ascii="Times New Roman" w:hAnsi="Times New Roman" w:cs="Times New Roman"/>
                <w:color w:val="000000"/>
                <w:sz w:val="24"/>
                <w:szCs w:val="24"/>
              </w:rPr>
              <w:t>considéré comme le</w:t>
            </w:r>
            <w:r>
              <w:rPr>
                <w:rFonts w:ascii="Times New Roman" w:hAnsi="Times New Roman" w:cs="Times New Roman"/>
                <w:color w:val="000000"/>
                <w:sz w:val="24"/>
                <w:szCs w:val="24"/>
              </w:rPr>
              <w:t xml:space="preserve"> texte qui encadre la nécessité </w:t>
            </w:r>
            <w:r w:rsidRPr="00DC216E">
              <w:rPr>
                <w:rFonts w:ascii="Times New Roman" w:hAnsi="Times New Roman" w:cs="Times New Roman"/>
                <w:color w:val="000000"/>
                <w:sz w:val="24"/>
                <w:szCs w:val="24"/>
              </w:rPr>
              <w:t>d’effectuer un</w:t>
            </w:r>
            <w:r>
              <w:rPr>
                <w:rFonts w:ascii="Times New Roman" w:hAnsi="Times New Roman" w:cs="Times New Roman"/>
                <w:color w:val="000000"/>
                <w:sz w:val="24"/>
                <w:szCs w:val="24"/>
              </w:rPr>
              <w:t xml:space="preserve"> Audit Environnemental pour les </w:t>
            </w:r>
            <w:r w:rsidRPr="00DC216E">
              <w:rPr>
                <w:rFonts w:ascii="Times New Roman" w:hAnsi="Times New Roman" w:cs="Times New Roman"/>
                <w:color w:val="000000"/>
                <w:sz w:val="24"/>
                <w:szCs w:val="24"/>
              </w:rPr>
              <w:t>projets, programmes plans et politiques.</w:t>
            </w:r>
          </w:p>
        </w:tc>
      </w:tr>
    </w:tbl>
    <w:p w:rsidR="00052BEE" w:rsidRDefault="00052BEE" w:rsidP="00052BEE">
      <w:pPr>
        <w:spacing w:after="0" w:line="240" w:lineRule="auto"/>
        <w:ind w:left="-284" w:right="-142"/>
        <w:jc w:val="both"/>
        <w:rPr>
          <w:rFonts w:ascii="Times New Roman" w:hAnsi="Times New Roman"/>
          <w:color w:val="000000"/>
          <w:sz w:val="24"/>
          <w:szCs w:val="24"/>
        </w:rPr>
      </w:pPr>
    </w:p>
    <w:p w:rsidR="00052BEE" w:rsidRDefault="00B5166D" w:rsidP="00B5166D">
      <w:pPr>
        <w:pStyle w:val="PargrafodaLista"/>
        <w:keepNext/>
        <w:spacing w:before="240" w:after="0"/>
        <w:ind w:left="450" w:right="284"/>
        <w:jc w:val="both"/>
        <w:outlineLvl w:val="2"/>
        <w:rPr>
          <w:rFonts w:ascii="Times New Roman" w:hAnsi="Times New Roman"/>
          <w:b/>
          <w:sz w:val="24"/>
          <w:szCs w:val="24"/>
          <w:lang w:val="fr-FR" w:eastAsia="fr-FR"/>
        </w:rPr>
      </w:pPr>
      <w:bookmarkStart w:id="106" w:name="_Toc17385769"/>
      <w:bookmarkStart w:id="107" w:name="_Toc51072529"/>
      <w:r>
        <w:rPr>
          <w:rFonts w:ascii="Times New Roman" w:hAnsi="Times New Roman"/>
          <w:b/>
          <w:sz w:val="24"/>
          <w:szCs w:val="24"/>
          <w:lang w:val="fr-FR" w:eastAsia="fr-FR"/>
        </w:rPr>
        <w:t>3.2.3.</w:t>
      </w:r>
      <w:r w:rsidR="00052BEE" w:rsidRPr="00B5166D">
        <w:rPr>
          <w:rFonts w:ascii="Times New Roman" w:hAnsi="Times New Roman"/>
          <w:b/>
          <w:sz w:val="24"/>
          <w:szCs w:val="24"/>
          <w:lang w:val="fr-FR" w:eastAsia="fr-FR"/>
        </w:rPr>
        <w:t xml:space="preserve"> Autres dispositions réglementaires applicables dans la mise en œuvre de ce projet</w:t>
      </w:r>
      <w:bookmarkEnd w:id="106"/>
      <w:bookmarkEnd w:id="107"/>
    </w:p>
    <w:p w:rsidR="00BA3EE1" w:rsidRPr="00B5166D" w:rsidRDefault="00BA3EE1" w:rsidP="00BA3EE1">
      <w:pPr>
        <w:pStyle w:val="PargrafodaLista"/>
        <w:keepNext/>
        <w:spacing w:before="240" w:after="0"/>
        <w:ind w:left="450" w:right="284"/>
        <w:jc w:val="both"/>
        <w:rPr>
          <w:rFonts w:ascii="Times New Roman" w:hAnsi="Times New Roman"/>
          <w:b/>
          <w:sz w:val="24"/>
          <w:szCs w:val="24"/>
          <w:lang w:val="fr-FR" w:eastAsia="fr-FR"/>
        </w:rPr>
      </w:pPr>
    </w:p>
    <w:p w:rsidR="00052BEE" w:rsidRPr="00BA3EE1" w:rsidRDefault="00052BEE" w:rsidP="00BA3EE1">
      <w:pPr>
        <w:jc w:val="center"/>
        <w:rPr>
          <w:rFonts w:ascii="Times New Roman" w:hAnsi="Times New Roman" w:cs="Times New Roman"/>
          <w:b/>
          <w:sz w:val="20"/>
          <w:szCs w:val="20"/>
        </w:rPr>
      </w:pPr>
      <w:bookmarkStart w:id="108" w:name="_Toc17385896"/>
      <w:bookmarkStart w:id="109" w:name="_Toc51073998"/>
      <w:r w:rsidRPr="00BA3EE1">
        <w:rPr>
          <w:rFonts w:ascii="Times New Roman" w:hAnsi="Times New Roman" w:cs="Times New Roman"/>
          <w:b/>
          <w:sz w:val="20"/>
          <w:szCs w:val="20"/>
        </w:rPr>
        <w:t xml:space="preserve">Tableau </w:t>
      </w:r>
      <w:r w:rsidRPr="00BA3EE1">
        <w:rPr>
          <w:rFonts w:ascii="Times New Roman" w:hAnsi="Times New Roman" w:cs="Times New Roman"/>
          <w:b/>
          <w:sz w:val="20"/>
          <w:szCs w:val="20"/>
        </w:rPr>
        <w:fldChar w:fldCharType="begin"/>
      </w:r>
      <w:r w:rsidRPr="00BA3EE1">
        <w:rPr>
          <w:rFonts w:ascii="Times New Roman" w:hAnsi="Times New Roman" w:cs="Times New Roman"/>
          <w:b/>
          <w:sz w:val="20"/>
          <w:szCs w:val="20"/>
        </w:rPr>
        <w:instrText xml:space="preserve"> SEQ Tableau \* ARABIC </w:instrText>
      </w:r>
      <w:r w:rsidRPr="00BA3EE1">
        <w:rPr>
          <w:rFonts w:ascii="Times New Roman" w:hAnsi="Times New Roman" w:cs="Times New Roman"/>
          <w:b/>
          <w:sz w:val="20"/>
          <w:szCs w:val="20"/>
        </w:rPr>
        <w:fldChar w:fldCharType="separate"/>
      </w:r>
      <w:r w:rsidR="00EB726E">
        <w:rPr>
          <w:rFonts w:ascii="Times New Roman" w:hAnsi="Times New Roman" w:cs="Times New Roman"/>
          <w:b/>
          <w:noProof/>
          <w:sz w:val="20"/>
          <w:szCs w:val="20"/>
        </w:rPr>
        <w:t>7</w:t>
      </w:r>
      <w:r w:rsidRPr="00BA3EE1">
        <w:rPr>
          <w:rFonts w:ascii="Times New Roman" w:hAnsi="Times New Roman" w:cs="Times New Roman"/>
          <w:b/>
          <w:sz w:val="20"/>
          <w:szCs w:val="20"/>
        </w:rPr>
        <w:fldChar w:fldCharType="end"/>
      </w:r>
      <w:r w:rsidRPr="00BA3EE1">
        <w:rPr>
          <w:rFonts w:ascii="Times New Roman" w:hAnsi="Times New Roman" w:cs="Times New Roman"/>
          <w:b/>
          <w:sz w:val="20"/>
          <w:szCs w:val="20"/>
        </w:rPr>
        <w:t>: Autres dispositions réglementaires applicables au projet</w:t>
      </w:r>
      <w:bookmarkEnd w:id="108"/>
      <w:bookmarkEnd w:id="109"/>
    </w:p>
    <w:tbl>
      <w:tblPr>
        <w:tblW w:w="10490"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69"/>
        <w:gridCol w:w="2455"/>
        <w:gridCol w:w="1403"/>
        <w:gridCol w:w="4863"/>
      </w:tblGrid>
      <w:tr w:rsidR="00052BEE" w:rsidRPr="00DC216E" w:rsidTr="009E388B">
        <w:tc>
          <w:tcPr>
            <w:tcW w:w="1769" w:type="dxa"/>
            <w:shd w:val="clear" w:color="auto" w:fill="1F3864"/>
            <w:vAlign w:val="center"/>
          </w:tcPr>
          <w:p w:rsidR="00052BEE" w:rsidRPr="00F8204E" w:rsidRDefault="00052BEE" w:rsidP="009E388B">
            <w:pPr>
              <w:spacing w:after="0" w:line="240" w:lineRule="auto"/>
              <w:jc w:val="center"/>
              <w:rPr>
                <w:rFonts w:ascii="Times New Roman" w:hAnsi="Times New Roman"/>
                <w:b/>
                <w:lang w:eastAsia="fr-FR"/>
              </w:rPr>
            </w:pPr>
            <w:r w:rsidRPr="00F8204E">
              <w:rPr>
                <w:rFonts w:ascii="Times New Roman" w:hAnsi="Times New Roman"/>
                <w:b/>
                <w:lang w:eastAsia="fr-FR"/>
              </w:rPr>
              <w:t>Secteurs de l’environnement concerné</w:t>
            </w:r>
          </w:p>
        </w:tc>
        <w:tc>
          <w:tcPr>
            <w:tcW w:w="2455" w:type="dxa"/>
            <w:shd w:val="clear" w:color="auto" w:fill="1F3864"/>
            <w:vAlign w:val="center"/>
          </w:tcPr>
          <w:p w:rsidR="00052BEE" w:rsidRPr="00F8204E" w:rsidRDefault="00052BEE" w:rsidP="009E388B">
            <w:pPr>
              <w:spacing w:after="0" w:line="240" w:lineRule="auto"/>
              <w:jc w:val="center"/>
              <w:rPr>
                <w:rFonts w:ascii="Times New Roman" w:hAnsi="Times New Roman"/>
                <w:b/>
                <w:lang w:eastAsia="fr-FR"/>
              </w:rPr>
            </w:pPr>
            <w:r w:rsidRPr="00F8204E">
              <w:rPr>
                <w:rFonts w:ascii="Times New Roman" w:hAnsi="Times New Roman"/>
                <w:b/>
                <w:lang w:eastAsia="fr-FR"/>
              </w:rPr>
              <w:t>Bases légales</w:t>
            </w:r>
          </w:p>
        </w:tc>
        <w:tc>
          <w:tcPr>
            <w:tcW w:w="1403" w:type="dxa"/>
            <w:shd w:val="clear" w:color="auto" w:fill="1F3864"/>
            <w:vAlign w:val="center"/>
          </w:tcPr>
          <w:p w:rsidR="00052BEE" w:rsidRPr="00DC216E" w:rsidRDefault="00052BEE" w:rsidP="009E388B">
            <w:pPr>
              <w:spacing w:after="0" w:line="240" w:lineRule="auto"/>
              <w:jc w:val="center"/>
              <w:rPr>
                <w:rFonts w:ascii="Times New Roman" w:hAnsi="Times New Roman"/>
                <w:b/>
                <w:lang w:eastAsia="fr-FR"/>
              </w:rPr>
            </w:pPr>
            <w:r w:rsidRPr="00DC216E">
              <w:rPr>
                <w:rFonts w:ascii="Times New Roman" w:hAnsi="Times New Roman"/>
                <w:b/>
                <w:lang w:eastAsia="fr-FR"/>
              </w:rPr>
              <w:t>Références de l’article ou du texte</w:t>
            </w:r>
          </w:p>
        </w:tc>
        <w:tc>
          <w:tcPr>
            <w:tcW w:w="4863" w:type="dxa"/>
            <w:shd w:val="clear" w:color="auto" w:fill="1F3864"/>
            <w:vAlign w:val="center"/>
          </w:tcPr>
          <w:p w:rsidR="00052BEE" w:rsidRPr="00DC216E" w:rsidRDefault="00052BEE" w:rsidP="009E388B">
            <w:pPr>
              <w:spacing w:after="0" w:line="240" w:lineRule="auto"/>
              <w:ind w:right="32"/>
              <w:jc w:val="center"/>
              <w:rPr>
                <w:rFonts w:ascii="Times New Roman" w:hAnsi="Times New Roman"/>
                <w:b/>
                <w:lang w:eastAsia="fr-FR"/>
              </w:rPr>
            </w:pPr>
            <w:r w:rsidRPr="00DC216E">
              <w:rPr>
                <w:rFonts w:ascii="Times New Roman" w:hAnsi="Times New Roman"/>
                <w:b/>
                <w:lang w:eastAsia="fr-FR"/>
              </w:rPr>
              <w:t>Contenu pertinent en rapport avec le projet</w:t>
            </w:r>
          </w:p>
        </w:tc>
      </w:tr>
      <w:tr w:rsidR="00052BEE" w:rsidRPr="00DC216E" w:rsidTr="009E388B">
        <w:tc>
          <w:tcPr>
            <w:tcW w:w="1769" w:type="dxa"/>
            <w:shd w:val="clear" w:color="auto" w:fill="auto"/>
            <w:vAlign w:val="center"/>
          </w:tcPr>
          <w:p w:rsidR="00052BEE" w:rsidRPr="00F8204E" w:rsidRDefault="00052BEE" w:rsidP="009E388B">
            <w:pPr>
              <w:spacing w:after="0" w:line="240" w:lineRule="auto"/>
              <w:jc w:val="center"/>
              <w:rPr>
                <w:rFonts w:ascii="Times New Roman" w:hAnsi="Times New Roman"/>
                <w:b/>
                <w:lang w:eastAsia="fr-FR"/>
              </w:rPr>
            </w:pPr>
            <w:r w:rsidRPr="00F8204E">
              <w:rPr>
                <w:rFonts w:ascii="Times New Roman" w:hAnsi="Times New Roman" w:cs="Times New Roman"/>
                <w:b/>
              </w:rPr>
              <w:t>EAU</w:t>
            </w:r>
          </w:p>
        </w:tc>
        <w:tc>
          <w:tcPr>
            <w:tcW w:w="2455" w:type="dxa"/>
            <w:shd w:val="clear" w:color="auto" w:fill="auto"/>
            <w:vAlign w:val="center"/>
          </w:tcPr>
          <w:p w:rsidR="00052BEE" w:rsidRPr="00F8204E" w:rsidRDefault="00052BEE" w:rsidP="00AE0B72">
            <w:pPr>
              <w:spacing w:after="0" w:line="240" w:lineRule="auto"/>
              <w:jc w:val="center"/>
              <w:rPr>
                <w:rFonts w:ascii="Times New Roman" w:hAnsi="Times New Roman" w:cs="Times New Roman"/>
                <w:b/>
                <w:i/>
                <w:sz w:val="24"/>
                <w:szCs w:val="24"/>
                <w:lang w:bidi="fr-FR"/>
              </w:rPr>
            </w:pPr>
            <w:r w:rsidRPr="00F8204E">
              <w:rPr>
                <w:rFonts w:ascii="Times New Roman" w:hAnsi="Times New Roman" w:cs="Times New Roman"/>
                <w:b/>
                <w:i/>
                <w:sz w:val="24"/>
                <w:szCs w:val="24"/>
                <w:lang w:bidi="fr-FR"/>
              </w:rPr>
              <w:t>Décret-loi n°5-A 1992 portant le régime juridique général de toutes les activités relatives à la gestion de l’eau</w:t>
            </w:r>
          </w:p>
          <w:p w:rsidR="00052BEE" w:rsidRPr="00F8204E" w:rsidRDefault="00052BEE" w:rsidP="009E388B">
            <w:pPr>
              <w:spacing w:after="0" w:line="240" w:lineRule="auto"/>
              <w:jc w:val="center"/>
              <w:rPr>
                <w:rFonts w:ascii="Times New Roman" w:hAnsi="Times New Roman"/>
                <w:b/>
                <w:i/>
                <w:lang w:eastAsia="fr-FR"/>
              </w:rPr>
            </w:pPr>
          </w:p>
        </w:tc>
        <w:tc>
          <w:tcPr>
            <w:tcW w:w="1403" w:type="dxa"/>
            <w:shd w:val="clear" w:color="auto" w:fill="auto"/>
            <w:vAlign w:val="center"/>
          </w:tcPr>
          <w:p w:rsidR="00052BEE" w:rsidRPr="00DC216E" w:rsidRDefault="00B5166D" w:rsidP="009E388B">
            <w:pPr>
              <w:spacing w:after="0" w:line="240" w:lineRule="auto"/>
              <w:jc w:val="center"/>
              <w:rPr>
                <w:rFonts w:ascii="Times New Roman" w:hAnsi="Times New Roman"/>
                <w:b/>
                <w:lang w:eastAsia="fr-FR"/>
              </w:rPr>
            </w:pPr>
            <w:r>
              <w:rPr>
                <w:rFonts w:ascii="Times New Roman" w:hAnsi="Times New Roman"/>
                <w:b/>
                <w:lang w:eastAsia="fr-FR"/>
              </w:rPr>
              <w:t>-</w:t>
            </w:r>
          </w:p>
        </w:tc>
        <w:tc>
          <w:tcPr>
            <w:tcW w:w="4863" w:type="dxa"/>
            <w:shd w:val="clear" w:color="auto" w:fill="auto"/>
            <w:vAlign w:val="center"/>
          </w:tcPr>
          <w:p w:rsidR="00052BEE" w:rsidRPr="00B5166D" w:rsidRDefault="00052BEE" w:rsidP="00B5166D">
            <w:pPr>
              <w:spacing w:line="240" w:lineRule="auto"/>
              <w:jc w:val="both"/>
              <w:rPr>
                <w:rFonts w:ascii="Times New Roman" w:hAnsi="Times New Roman" w:cs="Times New Roman"/>
                <w:color w:val="000000"/>
              </w:rPr>
            </w:pPr>
            <w:r w:rsidRPr="00B5166D">
              <w:rPr>
                <w:rFonts w:ascii="Times New Roman" w:hAnsi="Times New Roman" w:cs="Times New Roman"/>
                <w:color w:val="000000"/>
              </w:rPr>
              <w:t>Cette réglementation a donné les dispositions de base pour  i) définir le régime juridique général de toutes les activités relatives à la gestion des ressources hydriques ; ii) définir le cadre institutionnel et normatif d’exécution de la politique générale de gestion de l’eau au bénéfice de toute la population et dans l’intérêt économique et sociale du pays ; iii) assurer l’exécution de la politique de gestion des ressources hydriques de la Guinée Bissau quelle que soit la forme dans laquelle elles se présentent ; iv) assurer l’inventaire pour une utilisation profitable et une fiscalisation rationnelle des ressources hydriques et leur administration ; v) régulariser toute utilisation à des fins domestiques, agricoles, industrielles, hydroélectriques, etc. ;vi) assurer la protection qualitative de l’eau contre la pollution, le gaspillage et la surexploitation. Ce code stipule que l’utilisation des ressources en eau sera planifiée dans le plan directeur de l’eau.</w:t>
            </w:r>
          </w:p>
        </w:tc>
      </w:tr>
      <w:tr w:rsidR="00052BEE" w:rsidRPr="00DC216E" w:rsidTr="009E388B">
        <w:trPr>
          <w:trHeight w:val="1495"/>
        </w:trPr>
        <w:tc>
          <w:tcPr>
            <w:tcW w:w="1769" w:type="dxa"/>
            <w:vMerge w:val="restart"/>
            <w:vAlign w:val="center"/>
          </w:tcPr>
          <w:p w:rsidR="00052BEE" w:rsidRPr="00F8204E" w:rsidRDefault="00052BEE" w:rsidP="009E388B">
            <w:pPr>
              <w:spacing w:after="0" w:line="240" w:lineRule="auto"/>
              <w:jc w:val="center"/>
              <w:rPr>
                <w:b/>
                <w:lang w:eastAsia="fr-FR"/>
              </w:rPr>
            </w:pPr>
            <w:r>
              <w:rPr>
                <w:rFonts w:ascii="Times New Roman" w:hAnsi="Times New Roman"/>
                <w:b/>
                <w:bCs/>
                <w:color w:val="000000"/>
              </w:rPr>
              <w:lastRenderedPageBreak/>
              <w:t>F</w:t>
            </w:r>
            <w:r w:rsidRPr="00F8204E">
              <w:rPr>
                <w:rFonts w:ascii="Times New Roman" w:hAnsi="Times New Roman"/>
                <w:b/>
                <w:bCs/>
                <w:color w:val="000000"/>
              </w:rPr>
              <w:t>orêts</w:t>
            </w:r>
          </w:p>
        </w:tc>
        <w:tc>
          <w:tcPr>
            <w:tcW w:w="2455" w:type="dxa"/>
            <w:vMerge w:val="restart"/>
            <w:vAlign w:val="center"/>
          </w:tcPr>
          <w:p w:rsidR="00052BEE" w:rsidRPr="00F8204E" w:rsidRDefault="00052BEE" w:rsidP="009E388B">
            <w:pPr>
              <w:spacing w:after="0" w:line="240" w:lineRule="auto"/>
              <w:rPr>
                <w:b/>
                <w:i/>
                <w:lang w:eastAsia="fr-FR"/>
              </w:rPr>
            </w:pPr>
            <w:r w:rsidRPr="00F8204E">
              <w:rPr>
                <w:rFonts w:ascii="Times New Roman" w:hAnsi="Times New Roman"/>
                <w:b/>
                <w:bCs/>
                <w:i/>
                <w:color w:val="000000"/>
                <w:sz w:val="24"/>
                <w:szCs w:val="24"/>
              </w:rPr>
              <w:t>Décret 14/2011 du 22 février portant sur préservation de la foret</w:t>
            </w:r>
          </w:p>
        </w:tc>
        <w:tc>
          <w:tcPr>
            <w:tcW w:w="1403" w:type="dxa"/>
            <w:vAlign w:val="center"/>
          </w:tcPr>
          <w:p w:rsidR="00052BEE" w:rsidRPr="00DC216E" w:rsidRDefault="00052BEE" w:rsidP="009E388B">
            <w:pPr>
              <w:spacing w:after="0" w:line="240" w:lineRule="auto"/>
              <w:rPr>
                <w:lang w:eastAsia="fr-FR"/>
              </w:rPr>
            </w:pPr>
            <w:r w:rsidRPr="00DC216E">
              <w:rPr>
                <w:rFonts w:ascii="Times New Roman" w:hAnsi="Times New Roman"/>
                <w:color w:val="000000"/>
                <w:sz w:val="24"/>
                <w:szCs w:val="24"/>
              </w:rPr>
              <w:t>article 2 alinéa 3</w:t>
            </w:r>
          </w:p>
        </w:tc>
        <w:tc>
          <w:tcPr>
            <w:tcW w:w="4863" w:type="dxa"/>
            <w:vAlign w:val="center"/>
          </w:tcPr>
          <w:p w:rsidR="00052BEE" w:rsidRPr="00B5166D" w:rsidRDefault="00052BEE" w:rsidP="00B5166D">
            <w:pPr>
              <w:spacing w:after="0" w:line="240" w:lineRule="auto"/>
              <w:ind w:right="32"/>
              <w:jc w:val="both"/>
              <w:rPr>
                <w:rFonts w:ascii="Times New Roman" w:hAnsi="Times New Roman"/>
                <w:color w:val="000000"/>
              </w:rPr>
            </w:pPr>
            <w:r w:rsidRPr="00B5166D">
              <w:rPr>
                <w:rFonts w:ascii="Times New Roman" w:hAnsi="Times New Roman"/>
                <w:color w:val="000000"/>
              </w:rPr>
              <w:t xml:space="preserve">Elle définit qu’une forêt est une formation naturelle ou un système artificiel de formations composées des mangroves, palmeraies, forêts galeries et les autres types de formation végétale comme les forêts subhumides, denses, moyennement denses, subtropicales en régénérescence et les savanes arborées et herbacées. </w:t>
            </w:r>
          </w:p>
        </w:tc>
      </w:tr>
      <w:tr w:rsidR="00052BEE" w:rsidRPr="00DC216E" w:rsidTr="009E388B">
        <w:tc>
          <w:tcPr>
            <w:tcW w:w="1769" w:type="dxa"/>
            <w:vMerge/>
            <w:vAlign w:val="center"/>
          </w:tcPr>
          <w:p w:rsidR="00052BEE" w:rsidRPr="00F8204E" w:rsidRDefault="00052BEE" w:rsidP="009E388B">
            <w:pPr>
              <w:spacing w:after="0" w:line="240" w:lineRule="auto"/>
              <w:jc w:val="center"/>
              <w:rPr>
                <w:rFonts w:ascii="Times New Roman" w:hAnsi="Times New Roman"/>
                <w:b/>
                <w:bCs/>
                <w:color w:val="000000"/>
              </w:rPr>
            </w:pPr>
          </w:p>
        </w:tc>
        <w:tc>
          <w:tcPr>
            <w:tcW w:w="2455" w:type="dxa"/>
            <w:vMerge/>
            <w:vAlign w:val="center"/>
          </w:tcPr>
          <w:p w:rsidR="00052BEE" w:rsidRPr="00F8204E" w:rsidRDefault="00052BEE" w:rsidP="009E388B">
            <w:pPr>
              <w:spacing w:after="0" w:line="240" w:lineRule="auto"/>
              <w:rPr>
                <w:rFonts w:ascii="Times New Roman" w:hAnsi="Times New Roman"/>
                <w:b/>
                <w:bCs/>
                <w:i/>
                <w:color w:val="000000"/>
                <w:sz w:val="24"/>
                <w:szCs w:val="24"/>
              </w:rPr>
            </w:pPr>
          </w:p>
        </w:tc>
        <w:tc>
          <w:tcPr>
            <w:tcW w:w="1403" w:type="dxa"/>
            <w:vAlign w:val="center"/>
          </w:tcPr>
          <w:p w:rsidR="00052BEE" w:rsidRPr="00DC216E" w:rsidRDefault="00052BEE" w:rsidP="009E388B">
            <w:pPr>
              <w:spacing w:after="0" w:line="240" w:lineRule="auto"/>
              <w:rPr>
                <w:rFonts w:ascii="Times New Roman" w:hAnsi="Times New Roman"/>
                <w:color w:val="000000"/>
                <w:sz w:val="24"/>
                <w:szCs w:val="24"/>
              </w:rPr>
            </w:pPr>
            <w:r w:rsidRPr="00DC216E">
              <w:rPr>
                <w:rFonts w:ascii="Times New Roman" w:hAnsi="Times New Roman"/>
                <w:color w:val="000000"/>
                <w:sz w:val="24"/>
                <w:szCs w:val="24"/>
              </w:rPr>
              <w:t>article 10</w:t>
            </w:r>
          </w:p>
        </w:tc>
        <w:tc>
          <w:tcPr>
            <w:tcW w:w="4863" w:type="dxa"/>
            <w:vAlign w:val="center"/>
          </w:tcPr>
          <w:p w:rsidR="00052BEE" w:rsidRPr="00B5166D" w:rsidRDefault="00052BEE" w:rsidP="00B5166D">
            <w:pPr>
              <w:spacing w:after="0" w:line="240" w:lineRule="auto"/>
              <w:ind w:right="32"/>
              <w:jc w:val="both"/>
              <w:rPr>
                <w:rFonts w:ascii="Times New Roman" w:hAnsi="Times New Roman"/>
                <w:color w:val="000000"/>
              </w:rPr>
            </w:pPr>
            <w:r w:rsidRPr="00B5166D">
              <w:rPr>
                <w:rFonts w:ascii="Times New Roman" w:hAnsi="Times New Roman"/>
                <w:color w:val="000000"/>
              </w:rPr>
              <w:t>Elle stipule que la classification sous le régime de forêt doit être motivée par la nécessité de conservation des ressources forestières et ceci toute la durée que l’Etat juge nécessaire pour protéger l’intérêt général ou la sauvegarde de certaines formations naturelles.</w:t>
            </w:r>
          </w:p>
        </w:tc>
      </w:tr>
      <w:tr w:rsidR="00052BEE" w:rsidRPr="00DC216E" w:rsidTr="009E388B">
        <w:tc>
          <w:tcPr>
            <w:tcW w:w="1769" w:type="dxa"/>
            <w:vMerge/>
            <w:vAlign w:val="center"/>
          </w:tcPr>
          <w:p w:rsidR="00052BEE" w:rsidRPr="00F8204E" w:rsidRDefault="00052BEE" w:rsidP="009E388B">
            <w:pPr>
              <w:spacing w:after="0" w:line="240" w:lineRule="auto"/>
              <w:jc w:val="center"/>
              <w:rPr>
                <w:rFonts w:ascii="Times New Roman" w:hAnsi="Times New Roman"/>
                <w:b/>
                <w:bCs/>
                <w:color w:val="000000"/>
              </w:rPr>
            </w:pPr>
          </w:p>
        </w:tc>
        <w:tc>
          <w:tcPr>
            <w:tcW w:w="2455" w:type="dxa"/>
            <w:vAlign w:val="center"/>
          </w:tcPr>
          <w:p w:rsidR="00052BEE" w:rsidRPr="005849FF" w:rsidRDefault="00052BEE" w:rsidP="00AE0B72">
            <w:pPr>
              <w:spacing w:after="0" w:line="240" w:lineRule="auto"/>
              <w:jc w:val="center"/>
              <w:rPr>
                <w:rFonts w:ascii="Times New Roman" w:hAnsi="Times New Roman" w:cs="Times New Roman"/>
                <w:b/>
                <w:bCs/>
                <w:i/>
                <w:color w:val="000000"/>
                <w:sz w:val="20"/>
                <w:szCs w:val="20"/>
              </w:rPr>
            </w:pPr>
            <w:r w:rsidRPr="005849FF">
              <w:rPr>
                <w:rFonts w:ascii="Times New Roman" w:hAnsi="Times New Roman" w:cs="Times New Roman"/>
                <w:b/>
                <w:i/>
                <w:color w:val="000000"/>
                <w:sz w:val="20"/>
                <w:szCs w:val="20"/>
              </w:rPr>
              <w:t>Loi-cadre sur les aires protégées relative à la</w:t>
            </w:r>
            <w:r w:rsidRPr="005849FF">
              <w:rPr>
                <w:rFonts w:ascii="Times New Roman" w:hAnsi="Times New Roman" w:cs="Times New Roman"/>
                <w:b/>
                <w:i/>
                <w:color w:val="000000"/>
                <w:sz w:val="20"/>
                <w:szCs w:val="20"/>
              </w:rPr>
              <w:br/>
              <w:t>conservation de la nature - Biodiversité, Décret-Loi</w:t>
            </w:r>
            <w:r w:rsidRPr="005849FF">
              <w:rPr>
                <w:rFonts w:ascii="Times New Roman" w:hAnsi="Times New Roman" w:cs="Times New Roman"/>
                <w:b/>
                <w:i/>
                <w:color w:val="000000"/>
                <w:sz w:val="20"/>
                <w:szCs w:val="20"/>
              </w:rPr>
              <w:br/>
              <w:t>nº 5-A/2011, relative à la création des secteurs</w:t>
            </w:r>
            <w:r w:rsidRPr="005849FF">
              <w:rPr>
                <w:rFonts w:ascii="Times New Roman" w:hAnsi="Times New Roman" w:cs="Times New Roman"/>
                <w:b/>
                <w:i/>
                <w:color w:val="000000"/>
                <w:sz w:val="20"/>
                <w:szCs w:val="20"/>
              </w:rPr>
              <w:br/>
              <w:t>sauvegardés.</w:t>
            </w:r>
          </w:p>
        </w:tc>
        <w:tc>
          <w:tcPr>
            <w:tcW w:w="1403" w:type="dxa"/>
            <w:vAlign w:val="center"/>
          </w:tcPr>
          <w:p w:rsidR="00052BEE" w:rsidRPr="00DC216E" w:rsidRDefault="00B5166D" w:rsidP="00AE0B72">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4863" w:type="dxa"/>
            <w:vAlign w:val="center"/>
          </w:tcPr>
          <w:p w:rsidR="00052BEE" w:rsidRPr="004920F8" w:rsidRDefault="00052BEE" w:rsidP="004920F8">
            <w:pPr>
              <w:spacing w:after="0" w:line="240" w:lineRule="auto"/>
              <w:ind w:right="32"/>
              <w:jc w:val="both"/>
              <w:rPr>
                <w:rFonts w:ascii="Times New Roman" w:hAnsi="Times New Roman"/>
                <w:color w:val="000000"/>
              </w:rPr>
            </w:pPr>
            <w:r w:rsidRPr="004920F8">
              <w:rPr>
                <w:rFonts w:ascii="Times New Roman" w:hAnsi="Times New Roman"/>
                <w:color w:val="000000"/>
              </w:rPr>
              <w:t>Il établit les règles de l’interdiction</w:t>
            </w:r>
            <w:r w:rsidRPr="004920F8">
              <w:rPr>
                <w:rFonts w:ascii="Times New Roman" w:hAnsi="Times New Roman"/>
                <w:color w:val="000000"/>
              </w:rPr>
              <w:br/>
              <w:t>absolue des déboisements ou</w:t>
            </w:r>
            <w:r w:rsidRPr="004920F8">
              <w:rPr>
                <w:rFonts w:ascii="Times New Roman" w:hAnsi="Times New Roman"/>
                <w:color w:val="000000"/>
              </w:rPr>
              <w:br/>
              <w:t>débroussaillement, comme des feux de</w:t>
            </w:r>
            <w:r w:rsidRPr="004920F8">
              <w:rPr>
                <w:rFonts w:ascii="Times New Roman" w:hAnsi="Times New Roman"/>
                <w:color w:val="000000"/>
              </w:rPr>
              <w:br/>
              <w:t>brousse, taillis ou de bois dans la</w:t>
            </w:r>
            <w:r w:rsidRPr="004920F8">
              <w:rPr>
                <w:rFonts w:ascii="Times New Roman" w:hAnsi="Times New Roman"/>
                <w:color w:val="000000"/>
              </w:rPr>
              <w:br/>
              <w:t>concession ou dans tous les terrains</w:t>
            </w:r>
            <w:r w:rsidRPr="004920F8">
              <w:rPr>
                <w:rFonts w:ascii="Times New Roman" w:hAnsi="Times New Roman"/>
                <w:color w:val="000000"/>
              </w:rPr>
              <w:br/>
              <w:t>formant le domaine dénommé « Parcs</w:t>
            </w:r>
            <w:r w:rsidRPr="004920F8">
              <w:rPr>
                <w:rFonts w:ascii="Times New Roman" w:hAnsi="Times New Roman"/>
                <w:color w:val="000000"/>
              </w:rPr>
              <w:br/>
              <w:t>Nationaux, Naturelles</w:t>
            </w:r>
          </w:p>
        </w:tc>
      </w:tr>
      <w:tr w:rsidR="00052BEE" w:rsidRPr="00DC216E" w:rsidTr="009E388B">
        <w:tc>
          <w:tcPr>
            <w:tcW w:w="1769" w:type="dxa"/>
            <w:vMerge/>
            <w:vAlign w:val="center"/>
          </w:tcPr>
          <w:p w:rsidR="00052BEE" w:rsidRPr="00F8204E" w:rsidRDefault="00052BEE" w:rsidP="009E388B">
            <w:pPr>
              <w:spacing w:after="0" w:line="240" w:lineRule="auto"/>
              <w:jc w:val="center"/>
              <w:rPr>
                <w:rFonts w:ascii="Times New Roman" w:hAnsi="Times New Roman"/>
                <w:b/>
                <w:bCs/>
                <w:color w:val="000000"/>
              </w:rPr>
            </w:pPr>
          </w:p>
        </w:tc>
        <w:tc>
          <w:tcPr>
            <w:tcW w:w="2455" w:type="dxa"/>
            <w:vAlign w:val="center"/>
          </w:tcPr>
          <w:p w:rsidR="00052BEE" w:rsidRPr="00F8204E" w:rsidRDefault="00052BEE" w:rsidP="00AE0B72">
            <w:pPr>
              <w:spacing w:after="0" w:line="240" w:lineRule="auto"/>
              <w:jc w:val="center"/>
              <w:rPr>
                <w:rFonts w:ascii="Times New Roman" w:hAnsi="Times New Roman" w:cs="Times New Roman"/>
                <w:b/>
                <w:bCs/>
                <w:i/>
                <w:color w:val="000000"/>
                <w:sz w:val="24"/>
                <w:szCs w:val="24"/>
              </w:rPr>
            </w:pPr>
            <w:r w:rsidRPr="00F8204E">
              <w:rPr>
                <w:rFonts w:ascii="Times New Roman" w:hAnsi="Times New Roman" w:cs="Times New Roman"/>
                <w:b/>
                <w:i/>
                <w:color w:val="000000"/>
                <w:sz w:val="24"/>
                <w:szCs w:val="24"/>
              </w:rPr>
              <w:t>Loi nº 05/2011 du 22 février 2011 portant loi</w:t>
            </w:r>
            <w:r w:rsidRPr="00F8204E">
              <w:rPr>
                <w:rFonts w:ascii="Times New Roman" w:hAnsi="Times New Roman" w:cs="Times New Roman"/>
                <w:b/>
                <w:i/>
                <w:color w:val="000000"/>
                <w:sz w:val="24"/>
                <w:szCs w:val="24"/>
              </w:rPr>
              <w:br/>
              <w:t>forestière pour encadrer la coupe et le reboisement.</w:t>
            </w:r>
          </w:p>
        </w:tc>
        <w:tc>
          <w:tcPr>
            <w:tcW w:w="1403" w:type="dxa"/>
            <w:vAlign w:val="center"/>
          </w:tcPr>
          <w:p w:rsidR="00052BEE" w:rsidRPr="00DC216E" w:rsidRDefault="00B5166D" w:rsidP="00B5166D">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4863" w:type="dxa"/>
            <w:vAlign w:val="center"/>
          </w:tcPr>
          <w:p w:rsidR="00052BEE" w:rsidRPr="00B5166D" w:rsidRDefault="00052BEE" w:rsidP="00B5166D">
            <w:pPr>
              <w:spacing w:after="0" w:line="240" w:lineRule="auto"/>
              <w:ind w:right="32"/>
              <w:jc w:val="both"/>
              <w:rPr>
                <w:rFonts w:ascii="Times New Roman" w:hAnsi="Times New Roman" w:cs="Times New Roman"/>
                <w:color w:val="000000"/>
              </w:rPr>
            </w:pPr>
            <w:r w:rsidRPr="00B5166D">
              <w:rPr>
                <w:rFonts w:ascii="Times New Roman" w:hAnsi="Times New Roman" w:cs="Times New Roman"/>
                <w:color w:val="000000"/>
              </w:rPr>
              <w:t>Tout actes de déboisement des zones</w:t>
            </w:r>
            <w:r w:rsidRPr="00B5166D">
              <w:rPr>
                <w:rFonts w:ascii="Times New Roman" w:hAnsi="Times New Roman" w:cs="Times New Roman"/>
                <w:color w:val="000000"/>
              </w:rPr>
              <w:br/>
              <w:t>exposées au risque d’érosion et d’inondation</w:t>
            </w:r>
            <w:r w:rsidRPr="00B5166D">
              <w:rPr>
                <w:rFonts w:ascii="Times New Roman" w:hAnsi="Times New Roman" w:cs="Times New Roman"/>
                <w:color w:val="000000"/>
              </w:rPr>
              <w:br/>
              <w:t>; tout déboisement sur une distance de 50</w:t>
            </w:r>
            <w:r w:rsidRPr="00B5166D">
              <w:rPr>
                <w:rFonts w:ascii="Times New Roman" w:hAnsi="Times New Roman" w:cs="Times New Roman"/>
                <w:color w:val="000000"/>
              </w:rPr>
              <w:br/>
              <w:t>mètres de part et d’autre des cours d’eau et</w:t>
            </w:r>
            <w:r w:rsidRPr="00B5166D">
              <w:rPr>
                <w:rFonts w:ascii="Times New Roman" w:hAnsi="Times New Roman" w:cs="Times New Roman"/>
                <w:color w:val="000000"/>
              </w:rPr>
              <w:br/>
              <w:t>dans un rayon de 100 mètres autour de leurs</w:t>
            </w:r>
            <w:r w:rsidRPr="00B5166D">
              <w:rPr>
                <w:rFonts w:ascii="Times New Roman" w:hAnsi="Times New Roman" w:cs="Times New Roman"/>
                <w:color w:val="000000"/>
              </w:rPr>
              <w:br/>
              <w:t>sources ». En outre la loi précise que :</w:t>
            </w:r>
            <w:r w:rsidRPr="00B5166D">
              <w:rPr>
                <w:rFonts w:ascii="Times New Roman" w:hAnsi="Times New Roman" w:cs="Times New Roman"/>
                <w:color w:val="000000"/>
              </w:rPr>
              <w:br/>
              <w:t>« tout déboisement doit être compensé par un</w:t>
            </w:r>
            <w:r w:rsidRPr="00B5166D">
              <w:rPr>
                <w:rFonts w:ascii="Times New Roman" w:hAnsi="Times New Roman" w:cs="Times New Roman"/>
                <w:color w:val="000000"/>
              </w:rPr>
              <w:br/>
              <w:t>reboisement équivalent en qualité et en</w:t>
            </w:r>
            <w:r w:rsidRPr="00B5166D">
              <w:rPr>
                <w:rFonts w:ascii="Times New Roman" w:hAnsi="Times New Roman" w:cs="Times New Roman"/>
                <w:color w:val="000000"/>
              </w:rPr>
              <w:br/>
              <w:t>superficie au couvert forestier initial (…) et</w:t>
            </w:r>
            <w:r w:rsidRPr="00B5166D">
              <w:rPr>
                <w:rFonts w:ascii="Times New Roman" w:hAnsi="Times New Roman" w:cs="Times New Roman"/>
                <w:color w:val="000000"/>
              </w:rPr>
              <w:br/>
              <w:t>exige l’obtention d’une autorisation et/ou</w:t>
            </w:r>
            <w:r w:rsidRPr="00B5166D">
              <w:rPr>
                <w:rFonts w:ascii="Times New Roman" w:hAnsi="Times New Roman" w:cs="Times New Roman"/>
                <w:color w:val="000000"/>
              </w:rPr>
              <w:br/>
              <w:t>licence environnementale comme les</w:t>
            </w:r>
            <w:r w:rsidRPr="00B5166D">
              <w:rPr>
                <w:rFonts w:ascii="Times New Roman" w:hAnsi="Times New Roman" w:cs="Times New Roman"/>
                <w:color w:val="000000"/>
              </w:rPr>
              <w:br/>
              <w:t>conditions de base pour avoir le permis de</w:t>
            </w:r>
            <w:r w:rsidRPr="00B5166D">
              <w:rPr>
                <w:rFonts w:ascii="Times New Roman" w:hAnsi="Times New Roman" w:cs="Times New Roman"/>
                <w:color w:val="000000"/>
              </w:rPr>
              <w:br/>
              <w:t>déboisement pour une superficie supérieure à</w:t>
            </w:r>
            <w:r w:rsidRPr="00B5166D">
              <w:rPr>
                <w:rFonts w:ascii="Times New Roman" w:hAnsi="Times New Roman" w:cs="Times New Roman"/>
                <w:color w:val="000000"/>
              </w:rPr>
              <w:br/>
              <w:t>05 ha »</w:t>
            </w:r>
          </w:p>
        </w:tc>
      </w:tr>
      <w:tr w:rsidR="00052BEE" w:rsidRPr="00DC216E" w:rsidTr="009E388B">
        <w:tc>
          <w:tcPr>
            <w:tcW w:w="1769" w:type="dxa"/>
            <w:vAlign w:val="center"/>
          </w:tcPr>
          <w:p w:rsidR="00052BEE" w:rsidRPr="00F8204E" w:rsidRDefault="00052BEE" w:rsidP="009E388B">
            <w:pPr>
              <w:spacing w:after="0" w:line="240" w:lineRule="auto"/>
              <w:jc w:val="center"/>
              <w:rPr>
                <w:rFonts w:ascii="Times New Roman" w:hAnsi="Times New Roman"/>
                <w:b/>
                <w:bCs/>
                <w:color w:val="000000"/>
              </w:rPr>
            </w:pPr>
            <w:r w:rsidRPr="00F8204E">
              <w:rPr>
                <w:rFonts w:ascii="Times New Roman" w:hAnsi="Times New Roman"/>
                <w:b/>
                <w:bCs/>
                <w:color w:val="000000"/>
              </w:rPr>
              <w:t>Faune</w:t>
            </w:r>
          </w:p>
        </w:tc>
        <w:tc>
          <w:tcPr>
            <w:tcW w:w="2455" w:type="dxa"/>
            <w:vAlign w:val="center"/>
          </w:tcPr>
          <w:p w:rsidR="00052BEE" w:rsidRPr="00F8204E" w:rsidRDefault="00052BEE" w:rsidP="009E388B">
            <w:pPr>
              <w:spacing w:after="0" w:line="240" w:lineRule="auto"/>
              <w:rPr>
                <w:rFonts w:ascii="Times New Roman" w:hAnsi="Times New Roman" w:cs="Times New Roman"/>
                <w:b/>
                <w:i/>
                <w:color w:val="000000"/>
                <w:sz w:val="24"/>
                <w:szCs w:val="24"/>
              </w:rPr>
            </w:pPr>
            <w:r w:rsidRPr="00F8204E">
              <w:rPr>
                <w:rFonts w:ascii="Times New Roman" w:hAnsi="Times New Roman" w:cs="Times New Roman"/>
                <w:b/>
                <w:i/>
                <w:color w:val="000000"/>
                <w:sz w:val="24"/>
                <w:szCs w:val="24"/>
              </w:rPr>
              <w:t>décret de 1980 réglemente la chasse</w:t>
            </w:r>
          </w:p>
        </w:tc>
        <w:tc>
          <w:tcPr>
            <w:tcW w:w="1403" w:type="dxa"/>
            <w:vAlign w:val="center"/>
          </w:tcPr>
          <w:p w:rsidR="00052BEE" w:rsidRPr="00DC216E" w:rsidRDefault="00B5166D" w:rsidP="00B5166D">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4863" w:type="dxa"/>
            <w:vAlign w:val="center"/>
          </w:tcPr>
          <w:p w:rsidR="00052BEE" w:rsidRPr="00B5166D" w:rsidRDefault="00052BEE" w:rsidP="00B5166D">
            <w:pPr>
              <w:spacing w:after="0" w:line="240" w:lineRule="auto"/>
              <w:ind w:right="32"/>
              <w:jc w:val="both"/>
              <w:rPr>
                <w:rFonts w:ascii="Times New Roman" w:hAnsi="Times New Roman" w:cs="Times New Roman"/>
                <w:color w:val="000000"/>
              </w:rPr>
            </w:pPr>
            <w:r w:rsidRPr="00B5166D">
              <w:rPr>
                <w:rFonts w:ascii="Times New Roman" w:hAnsi="Times New Roman" w:cs="Times New Roman"/>
                <w:color w:val="000000"/>
              </w:rPr>
              <w:t>Il prévoit des « réserves de chasse » dont l’unique caractéristique est la définition du période de la chasse. Ces réserves sont mises en place dans des régions retenues pour la création de Parcs Nationaux. De la même façon, une loi sur la faune est en cours d’adoption. Cette loi est en net progrès par rapport à la précédente, elle vise à la rationalisation de la chasse et à une meilleure implication des populations dans la gestion des ressources de leur terroir.</w:t>
            </w:r>
          </w:p>
        </w:tc>
      </w:tr>
      <w:tr w:rsidR="00052BEE" w:rsidRPr="00DC216E" w:rsidTr="009E388B">
        <w:tc>
          <w:tcPr>
            <w:tcW w:w="1769" w:type="dxa"/>
            <w:vMerge w:val="restart"/>
            <w:vAlign w:val="center"/>
          </w:tcPr>
          <w:p w:rsidR="00052BEE" w:rsidRPr="00F8204E" w:rsidRDefault="00052BEE" w:rsidP="009E388B">
            <w:pPr>
              <w:spacing w:after="0" w:line="240" w:lineRule="auto"/>
              <w:jc w:val="center"/>
              <w:rPr>
                <w:rFonts w:ascii="Times New Roman" w:hAnsi="Times New Roman"/>
                <w:b/>
                <w:bCs/>
                <w:color w:val="000000"/>
              </w:rPr>
            </w:pPr>
            <w:r>
              <w:rPr>
                <w:rFonts w:ascii="Times New Roman" w:hAnsi="Times New Roman"/>
                <w:b/>
                <w:bCs/>
                <w:color w:val="000000"/>
              </w:rPr>
              <w:t>F</w:t>
            </w:r>
            <w:r w:rsidRPr="00F8204E">
              <w:rPr>
                <w:rFonts w:ascii="Times New Roman" w:hAnsi="Times New Roman"/>
                <w:b/>
                <w:bCs/>
                <w:color w:val="000000"/>
              </w:rPr>
              <w:t>oncier</w:t>
            </w:r>
          </w:p>
        </w:tc>
        <w:tc>
          <w:tcPr>
            <w:tcW w:w="2455" w:type="dxa"/>
            <w:vMerge w:val="restart"/>
            <w:vAlign w:val="center"/>
          </w:tcPr>
          <w:p w:rsidR="00052BEE" w:rsidRPr="00F8204E" w:rsidRDefault="00052BEE" w:rsidP="009E388B">
            <w:pPr>
              <w:spacing w:after="0" w:line="240" w:lineRule="auto"/>
              <w:jc w:val="center"/>
              <w:rPr>
                <w:rFonts w:ascii="Times New Roman" w:hAnsi="Times New Roman"/>
                <w:b/>
                <w:bCs/>
                <w:i/>
                <w:color w:val="000000"/>
                <w:sz w:val="24"/>
                <w:szCs w:val="24"/>
              </w:rPr>
            </w:pPr>
            <w:r w:rsidRPr="00F8204E">
              <w:rPr>
                <w:rFonts w:ascii="Times New Roman" w:hAnsi="Times New Roman"/>
                <w:b/>
                <w:i/>
                <w:color w:val="000000"/>
                <w:sz w:val="24"/>
                <w:szCs w:val="24"/>
              </w:rPr>
              <w:t>loi n°2/98 du 23 avril portant sur le foncier</w:t>
            </w:r>
          </w:p>
        </w:tc>
        <w:tc>
          <w:tcPr>
            <w:tcW w:w="1403" w:type="dxa"/>
            <w:vAlign w:val="center"/>
          </w:tcPr>
          <w:p w:rsidR="00052BEE" w:rsidRPr="00DC216E" w:rsidRDefault="00052BEE" w:rsidP="009E388B">
            <w:pPr>
              <w:spacing w:after="0" w:line="240" w:lineRule="auto"/>
              <w:jc w:val="center"/>
              <w:rPr>
                <w:rFonts w:ascii="Times New Roman" w:hAnsi="Times New Roman"/>
                <w:color w:val="000000"/>
                <w:sz w:val="24"/>
                <w:szCs w:val="24"/>
              </w:rPr>
            </w:pPr>
            <w:r w:rsidRPr="00DC216E">
              <w:rPr>
                <w:rFonts w:ascii="Times New Roman" w:hAnsi="Times New Roman"/>
                <w:color w:val="000000"/>
                <w:sz w:val="24"/>
                <w:szCs w:val="24"/>
              </w:rPr>
              <w:t>article 2</w:t>
            </w:r>
          </w:p>
        </w:tc>
        <w:tc>
          <w:tcPr>
            <w:tcW w:w="4863" w:type="dxa"/>
            <w:vAlign w:val="center"/>
          </w:tcPr>
          <w:p w:rsidR="00052BEE" w:rsidRPr="00B5166D" w:rsidRDefault="00052BEE" w:rsidP="00B5166D">
            <w:pPr>
              <w:spacing w:after="0" w:line="240" w:lineRule="auto"/>
              <w:ind w:right="32"/>
              <w:jc w:val="both"/>
              <w:rPr>
                <w:rFonts w:ascii="Times New Roman" w:hAnsi="Times New Roman"/>
                <w:color w:val="000000"/>
              </w:rPr>
            </w:pPr>
            <w:r w:rsidRPr="00B5166D">
              <w:rPr>
                <w:rFonts w:ascii="Times New Roman" w:hAnsi="Times New Roman"/>
                <w:color w:val="000000"/>
              </w:rPr>
              <w:t>Elle stipule que dans la République de Guinée Bissau, le foncier est la propriété de l’Etat et patrimoine commun de toute de la population.</w:t>
            </w:r>
          </w:p>
        </w:tc>
      </w:tr>
      <w:tr w:rsidR="00052BEE" w:rsidRPr="00DC216E" w:rsidTr="009E388B">
        <w:tc>
          <w:tcPr>
            <w:tcW w:w="1769" w:type="dxa"/>
            <w:vMerge/>
            <w:vAlign w:val="center"/>
          </w:tcPr>
          <w:p w:rsidR="00052BEE" w:rsidRPr="00F8204E" w:rsidRDefault="00052BEE" w:rsidP="009E388B">
            <w:pPr>
              <w:spacing w:after="0" w:line="240" w:lineRule="auto"/>
              <w:jc w:val="center"/>
              <w:rPr>
                <w:rFonts w:ascii="Times New Roman" w:hAnsi="Times New Roman"/>
                <w:b/>
                <w:bCs/>
                <w:color w:val="000000"/>
              </w:rPr>
            </w:pPr>
          </w:p>
        </w:tc>
        <w:tc>
          <w:tcPr>
            <w:tcW w:w="2455" w:type="dxa"/>
            <w:vMerge/>
            <w:vAlign w:val="center"/>
          </w:tcPr>
          <w:p w:rsidR="00052BEE" w:rsidRPr="00F8204E" w:rsidRDefault="00052BEE" w:rsidP="009E388B">
            <w:pPr>
              <w:spacing w:after="0" w:line="240" w:lineRule="auto"/>
              <w:jc w:val="center"/>
              <w:rPr>
                <w:rFonts w:ascii="Times New Roman" w:hAnsi="Times New Roman"/>
                <w:b/>
                <w:i/>
                <w:color w:val="000000"/>
                <w:sz w:val="24"/>
                <w:szCs w:val="24"/>
              </w:rPr>
            </w:pPr>
          </w:p>
        </w:tc>
        <w:tc>
          <w:tcPr>
            <w:tcW w:w="1403" w:type="dxa"/>
            <w:vAlign w:val="center"/>
          </w:tcPr>
          <w:p w:rsidR="00052BEE" w:rsidRPr="00DC216E" w:rsidRDefault="00052BEE" w:rsidP="009E388B">
            <w:pPr>
              <w:spacing w:after="0" w:line="240" w:lineRule="auto"/>
              <w:jc w:val="center"/>
              <w:rPr>
                <w:rFonts w:ascii="Times New Roman" w:hAnsi="Times New Roman"/>
                <w:color w:val="000000"/>
                <w:sz w:val="24"/>
                <w:szCs w:val="24"/>
              </w:rPr>
            </w:pPr>
            <w:r w:rsidRPr="00DC216E">
              <w:rPr>
                <w:rFonts w:ascii="Times New Roman" w:hAnsi="Times New Roman"/>
                <w:color w:val="000000"/>
                <w:sz w:val="24"/>
                <w:szCs w:val="24"/>
              </w:rPr>
              <w:t>article 4</w:t>
            </w:r>
          </w:p>
        </w:tc>
        <w:tc>
          <w:tcPr>
            <w:tcW w:w="4863" w:type="dxa"/>
            <w:vAlign w:val="center"/>
          </w:tcPr>
          <w:p w:rsidR="00052BEE" w:rsidRPr="00B5166D" w:rsidRDefault="00052BEE" w:rsidP="00B5166D">
            <w:pPr>
              <w:spacing w:after="0" w:line="240" w:lineRule="auto"/>
              <w:ind w:right="32"/>
              <w:jc w:val="both"/>
              <w:rPr>
                <w:rFonts w:ascii="Times New Roman" w:hAnsi="Times New Roman"/>
                <w:color w:val="000000"/>
              </w:rPr>
            </w:pPr>
            <w:r w:rsidRPr="00B5166D">
              <w:rPr>
                <w:rFonts w:ascii="Times New Roman" w:hAnsi="Times New Roman"/>
                <w:color w:val="000000"/>
              </w:rPr>
              <w:t>Elle stipule que la communauté locale exerce le pouvoir de gestion des terres en accord avec le régime coutumier sur la superficie située dans leur limite territoriale historique c’est-à-dire celle habitée ou utilisée à des fins agricoles telles que l’agriculture, l’élevage. Ce pouvoir s’exerce également sur les ressources hydriques et maritimes, les forêts sacrées ou destinées à autres fins socioculturelles et économiques.</w:t>
            </w:r>
          </w:p>
        </w:tc>
      </w:tr>
      <w:tr w:rsidR="00052BEE" w:rsidRPr="00DC216E" w:rsidTr="009E388B">
        <w:tc>
          <w:tcPr>
            <w:tcW w:w="1769" w:type="dxa"/>
            <w:vMerge/>
            <w:vAlign w:val="center"/>
          </w:tcPr>
          <w:p w:rsidR="00052BEE" w:rsidRPr="00F8204E" w:rsidRDefault="00052BEE" w:rsidP="009E388B">
            <w:pPr>
              <w:spacing w:after="0" w:line="240" w:lineRule="auto"/>
              <w:jc w:val="center"/>
              <w:rPr>
                <w:rFonts w:ascii="Times New Roman" w:hAnsi="Times New Roman"/>
                <w:b/>
                <w:bCs/>
                <w:color w:val="000000"/>
              </w:rPr>
            </w:pPr>
          </w:p>
        </w:tc>
        <w:tc>
          <w:tcPr>
            <w:tcW w:w="2455" w:type="dxa"/>
            <w:vAlign w:val="center"/>
          </w:tcPr>
          <w:p w:rsidR="00052BEE" w:rsidRPr="00F8204E" w:rsidRDefault="00052BEE" w:rsidP="009E388B">
            <w:pPr>
              <w:spacing w:after="0" w:line="240" w:lineRule="auto"/>
              <w:jc w:val="center"/>
              <w:rPr>
                <w:rFonts w:ascii="Times New Roman" w:hAnsi="Times New Roman" w:cs="Times New Roman"/>
                <w:b/>
                <w:i/>
                <w:color w:val="000000"/>
                <w:sz w:val="24"/>
                <w:szCs w:val="24"/>
              </w:rPr>
            </w:pPr>
            <w:r w:rsidRPr="00F8204E">
              <w:rPr>
                <w:rFonts w:ascii="Times New Roman" w:hAnsi="Times New Roman" w:cs="Times New Roman"/>
                <w:b/>
                <w:i/>
                <w:color w:val="000000"/>
              </w:rPr>
              <w:t>Décret nº 5/98 du 28 avril 1998 sur les</w:t>
            </w:r>
            <w:r w:rsidRPr="00F8204E">
              <w:rPr>
                <w:rFonts w:ascii="Times New Roman" w:hAnsi="Times New Roman" w:cs="Times New Roman"/>
                <w:b/>
                <w:i/>
                <w:color w:val="000000"/>
              </w:rPr>
              <w:br/>
              <w:t>concessions et l’administration des terres ; régime</w:t>
            </w:r>
            <w:r w:rsidRPr="00F8204E">
              <w:rPr>
                <w:rFonts w:ascii="Times New Roman" w:hAnsi="Times New Roman" w:cs="Times New Roman"/>
                <w:b/>
                <w:i/>
                <w:color w:val="000000"/>
              </w:rPr>
              <w:br/>
              <w:t>foncier et immobilier et régime des suretés.</w:t>
            </w:r>
          </w:p>
        </w:tc>
        <w:tc>
          <w:tcPr>
            <w:tcW w:w="1403" w:type="dxa"/>
            <w:vAlign w:val="center"/>
          </w:tcPr>
          <w:p w:rsidR="00052BEE" w:rsidRPr="00DC216E" w:rsidRDefault="00052BEE" w:rsidP="009E388B">
            <w:pPr>
              <w:spacing w:after="0" w:line="240" w:lineRule="auto"/>
              <w:jc w:val="center"/>
              <w:rPr>
                <w:rFonts w:ascii="Times New Roman" w:hAnsi="Times New Roman"/>
                <w:color w:val="000000"/>
                <w:sz w:val="24"/>
                <w:szCs w:val="24"/>
              </w:rPr>
            </w:pPr>
          </w:p>
        </w:tc>
        <w:tc>
          <w:tcPr>
            <w:tcW w:w="4863" w:type="dxa"/>
            <w:vAlign w:val="center"/>
          </w:tcPr>
          <w:p w:rsidR="00052BEE" w:rsidRPr="00B5166D" w:rsidRDefault="00052BEE" w:rsidP="00B5166D">
            <w:pPr>
              <w:spacing w:after="0" w:line="240" w:lineRule="auto"/>
              <w:ind w:right="32"/>
              <w:jc w:val="both"/>
              <w:rPr>
                <w:rFonts w:ascii="Times New Roman" w:hAnsi="Times New Roman"/>
                <w:color w:val="000000"/>
              </w:rPr>
            </w:pPr>
            <w:r w:rsidRPr="00B5166D">
              <w:rPr>
                <w:rFonts w:ascii="TimesNewRomanPSMT" w:hAnsi="TimesNewRomanPSMT"/>
                <w:color w:val="000000"/>
              </w:rPr>
              <w:t>Toute procédure d’expropriation devra</w:t>
            </w:r>
            <w:r w:rsidRPr="00B5166D">
              <w:rPr>
                <w:rFonts w:ascii="TimesNewRomanPSMT" w:hAnsi="TimesNewRomanPSMT"/>
                <w:color w:val="000000"/>
              </w:rPr>
              <w:br/>
              <w:t>être conforme aux procédures établies</w:t>
            </w:r>
            <w:r w:rsidRPr="00B5166D">
              <w:rPr>
                <w:rFonts w:ascii="TimesNewRomanPSMT" w:hAnsi="TimesNewRomanPSMT"/>
                <w:color w:val="000000"/>
              </w:rPr>
              <w:br/>
              <w:t>par la réglementation et aux principes de</w:t>
            </w:r>
            <w:r w:rsidRPr="00B5166D">
              <w:rPr>
                <w:rFonts w:ascii="TimesNewRomanPSMT" w:hAnsi="TimesNewRomanPSMT"/>
                <w:color w:val="000000"/>
              </w:rPr>
              <w:br/>
              <w:t>l’OP 4.12.</w:t>
            </w:r>
          </w:p>
        </w:tc>
      </w:tr>
      <w:tr w:rsidR="00052BEE" w:rsidRPr="00DC216E" w:rsidTr="009E388B">
        <w:tc>
          <w:tcPr>
            <w:tcW w:w="1769" w:type="dxa"/>
            <w:vMerge/>
            <w:vAlign w:val="center"/>
          </w:tcPr>
          <w:p w:rsidR="00052BEE" w:rsidRPr="00F8204E" w:rsidRDefault="00052BEE" w:rsidP="009E388B">
            <w:pPr>
              <w:spacing w:after="0" w:line="240" w:lineRule="auto"/>
              <w:jc w:val="center"/>
              <w:rPr>
                <w:rFonts w:ascii="Times New Roman" w:hAnsi="Times New Roman"/>
                <w:b/>
                <w:bCs/>
                <w:color w:val="000000"/>
              </w:rPr>
            </w:pPr>
          </w:p>
        </w:tc>
        <w:tc>
          <w:tcPr>
            <w:tcW w:w="2455" w:type="dxa"/>
            <w:vAlign w:val="center"/>
          </w:tcPr>
          <w:p w:rsidR="00052BEE" w:rsidRPr="00F8204E" w:rsidRDefault="00052BEE" w:rsidP="009E388B">
            <w:pPr>
              <w:spacing w:after="0" w:line="240" w:lineRule="auto"/>
              <w:jc w:val="center"/>
              <w:rPr>
                <w:rFonts w:ascii="Times New Roman" w:hAnsi="Times New Roman" w:cs="Times New Roman"/>
                <w:b/>
                <w:i/>
                <w:color w:val="000000"/>
              </w:rPr>
            </w:pPr>
            <w:r w:rsidRPr="00F8204E">
              <w:rPr>
                <w:rFonts w:ascii="Times New Roman" w:hAnsi="Times New Roman" w:cs="Times New Roman"/>
                <w:b/>
                <w:i/>
                <w:color w:val="000000"/>
              </w:rPr>
              <w:t>Loi nº 10/2010 de 24 septembre 2010, qui</w:t>
            </w:r>
            <w:r w:rsidRPr="00F8204E">
              <w:rPr>
                <w:rFonts w:ascii="Times New Roman" w:hAnsi="Times New Roman" w:cs="Times New Roman"/>
                <w:b/>
                <w:i/>
                <w:color w:val="000000"/>
              </w:rPr>
              <w:br/>
              <w:t>amène dans l’un de ses articles, le régime général</w:t>
            </w:r>
            <w:r w:rsidRPr="00F8204E">
              <w:rPr>
                <w:rFonts w:ascii="Times New Roman" w:hAnsi="Times New Roman" w:cs="Times New Roman"/>
                <w:b/>
                <w:i/>
                <w:color w:val="000000"/>
              </w:rPr>
              <w:br/>
              <w:t>pour minimiser les pertes des biens économiques</w:t>
            </w:r>
          </w:p>
        </w:tc>
        <w:tc>
          <w:tcPr>
            <w:tcW w:w="1403" w:type="dxa"/>
            <w:vAlign w:val="center"/>
          </w:tcPr>
          <w:p w:rsidR="00052BEE" w:rsidRPr="00DC216E" w:rsidRDefault="00052BEE" w:rsidP="009E388B">
            <w:pPr>
              <w:spacing w:after="0" w:line="240" w:lineRule="auto"/>
              <w:jc w:val="center"/>
              <w:rPr>
                <w:rFonts w:ascii="Times New Roman" w:hAnsi="Times New Roman"/>
                <w:color w:val="000000"/>
                <w:sz w:val="24"/>
                <w:szCs w:val="24"/>
              </w:rPr>
            </w:pPr>
          </w:p>
        </w:tc>
        <w:tc>
          <w:tcPr>
            <w:tcW w:w="4863" w:type="dxa"/>
            <w:vAlign w:val="center"/>
          </w:tcPr>
          <w:p w:rsidR="00052BEE" w:rsidRPr="00B5166D" w:rsidRDefault="00052BEE" w:rsidP="00B5166D">
            <w:pPr>
              <w:spacing w:after="0" w:line="240" w:lineRule="auto"/>
              <w:ind w:right="32"/>
              <w:jc w:val="both"/>
              <w:rPr>
                <w:rFonts w:ascii="TimesNewRomanPSMT" w:hAnsi="TimesNewRomanPSMT"/>
                <w:color w:val="000000"/>
              </w:rPr>
            </w:pPr>
            <w:r w:rsidRPr="00B5166D">
              <w:rPr>
                <w:rFonts w:ascii="TimesNewRomanPSMT" w:hAnsi="TimesNewRomanPSMT"/>
                <w:color w:val="000000"/>
              </w:rPr>
              <w:t>L’évaluation des impenses est réalisée</w:t>
            </w:r>
            <w:r w:rsidRPr="00B5166D">
              <w:rPr>
                <w:rFonts w:ascii="TimesNewRomanPSMT" w:hAnsi="TimesNewRomanPSMT"/>
                <w:color w:val="000000"/>
              </w:rPr>
              <w:br/>
              <w:t>par une commission d’évaluation des</w:t>
            </w:r>
            <w:r w:rsidRPr="00B5166D">
              <w:rPr>
                <w:rFonts w:ascii="TimesNewRomanPSMT" w:hAnsi="TimesNewRomanPSMT"/>
                <w:color w:val="000000"/>
              </w:rPr>
              <w:br/>
              <w:t>impenses en vue de l'évaluation des</w:t>
            </w:r>
            <w:r w:rsidRPr="00B5166D">
              <w:rPr>
                <w:rFonts w:ascii="TimesNewRomanPSMT" w:hAnsi="TimesNewRomanPSMT"/>
                <w:color w:val="000000"/>
              </w:rPr>
              <w:br/>
              <w:t>indemnités à verser à l'occupant en cas</w:t>
            </w:r>
            <w:r w:rsidRPr="00B5166D">
              <w:rPr>
                <w:rFonts w:ascii="TimesNewRomanPSMT" w:hAnsi="TimesNewRomanPSMT"/>
                <w:color w:val="000000"/>
              </w:rPr>
              <w:br/>
              <w:t>de reprise de terrain</w:t>
            </w:r>
          </w:p>
        </w:tc>
      </w:tr>
    </w:tbl>
    <w:p w:rsidR="00052BEE" w:rsidRDefault="00052BEE" w:rsidP="00172A53">
      <w:pPr>
        <w:jc w:val="both"/>
        <w:rPr>
          <w:rFonts w:ascii="Times New Roman" w:hAnsi="Times New Roman" w:cs="Times New Roman"/>
          <w:color w:val="000000"/>
          <w:sz w:val="24"/>
          <w:szCs w:val="24"/>
        </w:rPr>
      </w:pPr>
    </w:p>
    <w:p w:rsidR="0021459F" w:rsidRPr="00B5166D" w:rsidRDefault="00B5166D" w:rsidP="00B5166D">
      <w:pPr>
        <w:pStyle w:val="PargrafodaLista"/>
        <w:keepNext/>
        <w:spacing w:before="240" w:after="0"/>
        <w:ind w:left="450" w:right="284"/>
        <w:jc w:val="both"/>
        <w:outlineLvl w:val="2"/>
        <w:rPr>
          <w:rFonts w:ascii="Times New Roman" w:hAnsi="Times New Roman"/>
          <w:b/>
          <w:sz w:val="24"/>
          <w:szCs w:val="24"/>
          <w:lang w:val="fr-FR" w:eastAsia="fr-FR"/>
        </w:rPr>
      </w:pPr>
      <w:bookmarkStart w:id="110" w:name="_Toc51072530"/>
      <w:r>
        <w:rPr>
          <w:rFonts w:ascii="Times New Roman" w:hAnsi="Times New Roman"/>
          <w:b/>
          <w:sz w:val="24"/>
          <w:szCs w:val="24"/>
          <w:lang w:val="fr-FR" w:eastAsia="fr-FR"/>
        </w:rPr>
        <w:t>3.2.3</w:t>
      </w:r>
      <w:r w:rsidR="0021459F" w:rsidRPr="00B5166D">
        <w:rPr>
          <w:rFonts w:ascii="Times New Roman" w:hAnsi="Times New Roman"/>
          <w:b/>
          <w:sz w:val="24"/>
          <w:szCs w:val="24"/>
          <w:lang w:val="fr-FR" w:eastAsia="fr-FR"/>
        </w:rPr>
        <w:t>. Dispositifs réglementaires environnemental et social applicables au PUASEE</w:t>
      </w:r>
      <w:r w:rsidRPr="00B5166D">
        <w:rPr>
          <w:rFonts w:ascii="Times New Roman" w:hAnsi="Times New Roman"/>
          <w:b/>
          <w:sz w:val="24"/>
          <w:szCs w:val="24"/>
          <w:lang w:val="fr-FR" w:eastAsia="fr-FR"/>
        </w:rPr>
        <w:t>-FA</w:t>
      </w:r>
      <w:bookmarkEnd w:id="110"/>
    </w:p>
    <w:p w:rsidR="0021459F" w:rsidRPr="006C0C34" w:rsidRDefault="0021459F" w:rsidP="0021459F">
      <w:pPr>
        <w:jc w:val="both"/>
        <w:rPr>
          <w:rFonts w:ascii="Times New Roman" w:hAnsi="Times New Roman" w:cs="Times New Roman"/>
          <w:color w:val="000000"/>
          <w:sz w:val="24"/>
          <w:szCs w:val="24"/>
        </w:rPr>
      </w:pPr>
      <w:bookmarkStart w:id="111" w:name="_Toc443331460"/>
      <w:r w:rsidRPr="006C0C34">
        <w:rPr>
          <w:rFonts w:ascii="Times New Roman" w:hAnsi="Times New Roman" w:cs="Times New Roman"/>
          <w:color w:val="000000"/>
          <w:sz w:val="24"/>
          <w:szCs w:val="24"/>
        </w:rPr>
        <w:t>Le dispositif juridique de la Guinée Bissau en matière d’environnement concerne la loi de base n°1/2011 sur l’environnement et la loi n° 10/2010 sur l’évaluation environnementale. Spécifiquement pour les études d’impact sur l’environnement, le décret d’application est en cours de finalisation.</w:t>
      </w:r>
      <w:bookmarkEnd w:id="111"/>
      <w:r w:rsidRPr="006C0C34">
        <w:rPr>
          <w:rFonts w:ascii="Times New Roman" w:hAnsi="Times New Roman" w:cs="Times New Roman"/>
          <w:color w:val="000000"/>
          <w:sz w:val="24"/>
          <w:szCs w:val="24"/>
        </w:rPr>
        <w:t xml:space="preserve"> La loi n°2/98 du 28 avril sur le foncier est également un texte pertinent dans le cadre de la mise en œuvre du</w:t>
      </w:r>
      <w:r w:rsidR="00B5166D">
        <w:rPr>
          <w:rFonts w:ascii="Times New Roman" w:hAnsi="Times New Roman" w:cs="Times New Roman"/>
          <w:color w:val="000000"/>
          <w:sz w:val="24"/>
          <w:szCs w:val="24"/>
        </w:rPr>
        <w:t xml:space="preserve"> sous- projet n°2 de PUASEE-FA.</w:t>
      </w:r>
      <w:r w:rsidRPr="006C0C34">
        <w:rPr>
          <w:rFonts w:ascii="Times New Roman" w:hAnsi="Times New Roman" w:cs="Times New Roman"/>
          <w:color w:val="000000"/>
          <w:sz w:val="24"/>
          <w:szCs w:val="24"/>
        </w:rPr>
        <w:t xml:space="preserve"> </w:t>
      </w:r>
    </w:p>
    <w:p w:rsidR="0021459F" w:rsidRPr="006C0C34" w:rsidRDefault="0021459F" w:rsidP="0021459F">
      <w:pPr>
        <w:jc w:val="both"/>
        <w:rPr>
          <w:rFonts w:ascii="Times New Roman" w:hAnsi="Times New Roman" w:cs="Times New Roman"/>
          <w:color w:val="000000"/>
          <w:sz w:val="24"/>
          <w:szCs w:val="24"/>
        </w:rPr>
      </w:pPr>
      <w:r w:rsidRPr="006C0C34">
        <w:rPr>
          <w:rFonts w:ascii="Times New Roman" w:hAnsi="Times New Roman" w:cs="Times New Roman"/>
          <w:color w:val="000000"/>
          <w:sz w:val="24"/>
          <w:szCs w:val="24"/>
        </w:rPr>
        <w:t>Les normes et dispositions réglementaires sur la gestion des déchets en général et en particulier les déchets dangereux (huiles usagées, et autres équipements défaillants) issus des activités de fourniture d’</w:t>
      </w:r>
      <w:r w:rsidR="00476B3B">
        <w:rPr>
          <w:rFonts w:ascii="Times New Roman" w:hAnsi="Times New Roman" w:cs="Times New Roman"/>
          <w:color w:val="000000"/>
          <w:sz w:val="24"/>
          <w:szCs w:val="24"/>
        </w:rPr>
        <w:t>eau</w:t>
      </w:r>
      <w:r w:rsidRPr="006C0C34">
        <w:rPr>
          <w:rFonts w:ascii="Times New Roman" w:hAnsi="Times New Roman" w:cs="Times New Roman"/>
          <w:color w:val="000000"/>
          <w:sz w:val="24"/>
          <w:szCs w:val="24"/>
        </w:rPr>
        <w:t xml:space="preserve"> ne sont pas réglementées en Guinée Bissau. Plusieurs autres dispositions sur la qualité des composantes environnementales ne sont pas réglementées, pour le suivi de la qualité de l’eau potable, les normes de l’OMS sont celles appliquées. </w:t>
      </w:r>
    </w:p>
    <w:p w:rsidR="0021459F" w:rsidRDefault="0021459F" w:rsidP="0021459F">
      <w:pPr>
        <w:jc w:val="both"/>
        <w:rPr>
          <w:rFonts w:ascii="Times New Roman" w:hAnsi="Times New Roman" w:cs="Times New Roman"/>
          <w:color w:val="000000"/>
          <w:sz w:val="24"/>
          <w:szCs w:val="24"/>
        </w:rPr>
      </w:pPr>
      <w:r w:rsidRPr="006C0C34">
        <w:rPr>
          <w:rFonts w:ascii="Times New Roman" w:hAnsi="Times New Roman" w:cs="Times New Roman"/>
          <w:color w:val="000000"/>
          <w:sz w:val="24"/>
          <w:szCs w:val="24"/>
        </w:rPr>
        <w:t>Néanmoins, les dispositions réglementaires nationales sont renforcées par les engagements internationaux pris par la Guinée-Bissau à travers la ratification de certaines conventions internationales en matière d’environnement. Celles qui sont en lien avec l’exécution du PUASEE</w:t>
      </w:r>
      <w:r w:rsidR="00B5166D">
        <w:rPr>
          <w:rFonts w:ascii="Times New Roman" w:hAnsi="Times New Roman" w:cs="Times New Roman"/>
          <w:color w:val="000000"/>
          <w:sz w:val="24"/>
          <w:szCs w:val="24"/>
        </w:rPr>
        <w:t>-FA</w:t>
      </w:r>
      <w:r w:rsidRPr="006C0C34">
        <w:rPr>
          <w:rFonts w:ascii="Times New Roman" w:hAnsi="Times New Roman" w:cs="Times New Roman"/>
          <w:color w:val="000000"/>
          <w:sz w:val="24"/>
          <w:szCs w:val="24"/>
        </w:rPr>
        <w:t xml:space="preserve"> sont résumées dans le</w:t>
      </w:r>
      <w:r>
        <w:rPr>
          <w:rFonts w:ascii="Times New Roman" w:hAnsi="Times New Roman" w:cs="Times New Roman"/>
          <w:color w:val="000000"/>
          <w:sz w:val="24"/>
          <w:szCs w:val="24"/>
        </w:rPr>
        <w:t>s</w:t>
      </w:r>
      <w:r w:rsidRPr="006C0C34">
        <w:rPr>
          <w:rFonts w:ascii="Times New Roman" w:hAnsi="Times New Roman" w:cs="Times New Roman"/>
          <w:color w:val="000000"/>
          <w:sz w:val="24"/>
          <w:szCs w:val="24"/>
        </w:rPr>
        <w:t xml:space="preserve"> tableau</w:t>
      </w:r>
      <w:r>
        <w:rPr>
          <w:rFonts w:ascii="Times New Roman" w:hAnsi="Times New Roman" w:cs="Times New Roman"/>
          <w:color w:val="000000"/>
          <w:sz w:val="24"/>
          <w:szCs w:val="24"/>
        </w:rPr>
        <w:t>x suivants.</w:t>
      </w:r>
    </w:p>
    <w:p w:rsidR="00AF645C" w:rsidRPr="00B5166D" w:rsidRDefault="00B5166D" w:rsidP="00B5166D">
      <w:pPr>
        <w:pStyle w:val="PargrafodaLista"/>
        <w:keepNext/>
        <w:spacing w:before="240" w:after="240"/>
        <w:ind w:left="450" w:right="284" w:hanging="450"/>
        <w:jc w:val="center"/>
        <w:outlineLvl w:val="1"/>
        <w:rPr>
          <w:rFonts w:ascii="Times New Roman" w:hAnsi="Times New Roman"/>
          <w:b/>
          <w:bCs/>
          <w:color w:val="000000"/>
          <w:sz w:val="24"/>
          <w:szCs w:val="24"/>
          <w:u w:val="single"/>
        </w:rPr>
      </w:pPr>
      <w:bookmarkStart w:id="112" w:name="_Toc17385770"/>
      <w:bookmarkStart w:id="113" w:name="_Toc51072531"/>
      <w:r w:rsidRPr="00B5166D">
        <w:rPr>
          <w:rFonts w:ascii="Times New Roman" w:hAnsi="Times New Roman"/>
          <w:b/>
          <w:bCs/>
          <w:color w:val="000000"/>
          <w:sz w:val="24"/>
          <w:szCs w:val="24"/>
          <w:u w:val="single"/>
        </w:rPr>
        <w:t>AU NIVEAU INTERNATIONAL</w:t>
      </w:r>
      <w:bookmarkEnd w:id="112"/>
      <w:bookmarkEnd w:id="113"/>
    </w:p>
    <w:p w:rsidR="00B5166D" w:rsidRDefault="00B5166D" w:rsidP="00B5166D">
      <w:pPr>
        <w:pStyle w:val="PargrafodaLista"/>
        <w:keepNext/>
        <w:spacing w:before="240" w:after="0"/>
        <w:ind w:left="450" w:right="284"/>
        <w:jc w:val="both"/>
        <w:rPr>
          <w:rFonts w:ascii="Times New Roman" w:hAnsi="Times New Roman"/>
          <w:b/>
          <w:sz w:val="24"/>
          <w:szCs w:val="24"/>
          <w:lang w:val="fr-FR" w:eastAsia="fr-FR"/>
        </w:rPr>
      </w:pPr>
      <w:bookmarkStart w:id="114" w:name="_Toc17385771"/>
    </w:p>
    <w:p w:rsidR="00AF645C" w:rsidRDefault="00C11982" w:rsidP="00B5166D">
      <w:pPr>
        <w:pStyle w:val="PargrafodaLista"/>
        <w:keepNext/>
        <w:spacing w:before="240" w:after="0"/>
        <w:ind w:left="450" w:right="284"/>
        <w:jc w:val="both"/>
        <w:outlineLvl w:val="2"/>
        <w:rPr>
          <w:rFonts w:ascii="Times New Roman" w:hAnsi="Times New Roman"/>
          <w:b/>
          <w:sz w:val="24"/>
          <w:szCs w:val="24"/>
          <w:lang w:val="fr-FR" w:eastAsia="fr-FR"/>
        </w:rPr>
      </w:pPr>
      <w:bookmarkStart w:id="115" w:name="_Toc51072532"/>
      <w:r>
        <w:rPr>
          <w:rFonts w:ascii="Times New Roman" w:hAnsi="Times New Roman"/>
          <w:b/>
          <w:sz w:val="24"/>
          <w:szCs w:val="24"/>
          <w:lang w:val="fr-FR" w:eastAsia="fr-FR"/>
        </w:rPr>
        <w:t>3.2</w:t>
      </w:r>
      <w:r w:rsidR="00B5166D">
        <w:rPr>
          <w:rFonts w:ascii="Times New Roman" w:hAnsi="Times New Roman"/>
          <w:b/>
          <w:sz w:val="24"/>
          <w:szCs w:val="24"/>
          <w:lang w:val="fr-FR" w:eastAsia="fr-FR"/>
        </w:rPr>
        <w:t>.</w:t>
      </w:r>
      <w:r>
        <w:rPr>
          <w:rFonts w:ascii="Times New Roman" w:hAnsi="Times New Roman"/>
          <w:b/>
          <w:sz w:val="24"/>
          <w:szCs w:val="24"/>
          <w:lang w:val="fr-FR" w:eastAsia="fr-FR"/>
        </w:rPr>
        <w:t>4</w:t>
      </w:r>
      <w:r w:rsidR="00B5166D">
        <w:rPr>
          <w:rFonts w:ascii="Times New Roman" w:hAnsi="Times New Roman"/>
          <w:b/>
          <w:sz w:val="24"/>
          <w:szCs w:val="24"/>
          <w:lang w:val="fr-FR" w:eastAsia="fr-FR"/>
        </w:rPr>
        <w:t xml:space="preserve">. </w:t>
      </w:r>
      <w:r w:rsidR="00AF645C" w:rsidRPr="00B5166D">
        <w:rPr>
          <w:rFonts w:ascii="Times New Roman" w:hAnsi="Times New Roman"/>
          <w:b/>
          <w:sz w:val="24"/>
          <w:szCs w:val="24"/>
          <w:lang w:val="fr-FR" w:eastAsia="fr-FR"/>
        </w:rPr>
        <w:t>Les textes et accords internationaux pertinents</w:t>
      </w:r>
      <w:bookmarkEnd w:id="114"/>
      <w:bookmarkEnd w:id="115"/>
    </w:p>
    <w:p w:rsidR="00BA3EE1" w:rsidRPr="00B5166D" w:rsidRDefault="00BA3EE1" w:rsidP="00BA3EE1">
      <w:pPr>
        <w:pStyle w:val="PargrafodaLista"/>
        <w:keepNext/>
        <w:spacing w:before="240" w:after="0"/>
        <w:ind w:left="450" w:right="284"/>
        <w:jc w:val="both"/>
        <w:rPr>
          <w:rFonts w:ascii="Times New Roman" w:hAnsi="Times New Roman"/>
          <w:b/>
          <w:sz w:val="24"/>
          <w:szCs w:val="24"/>
          <w:lang w:val="fr-FR" w:eastAsia="fr-FR"/>
        </w:rPr>
      </w:pPr>
    </w:p>
    <w:p w:rsidR="00AF645C" w:rsidRPr="00BA3EE1" w:rsidRDefault="00AF645C" w:rsidP="00BA3EE1">
      <w:pPr>
        <w:jc w:val="center"/>
        <w:rPr>
          <w:rFonts w:ascii="Times New Roman" w:hAnsi="Times New Roman" w:cs="Times New Roman"/>
          <w:b/>
          <w:sz w:val="20"/>
          <w:szCs w:val="20"/>
        </w:rPr>
      </w:pPr>
      <w:bookmarkStart w:id="116" w:name="_Toc4770100"/>
      <w:bookmarkStart w:id="117" w:name="_Toc17385897"/>
      <w:bookmarkStart w:id="118" w:name="_Toc51073999"/>
      <w:r w:rsidRPr="00BA3EE1">
        <w:rPr>
          <w:rFonts w:ascii="Times New Roman" w:hAnsi="Times New Roman" w:cs="Times New Roman"/>
          <w:b/>
          <w:sz w:val="20"/>
          <w:szCs w:val="20"/>
        </w:rPr>
        <w:t xml:space="preserve">Tableau </w:t>
      </w:r>
      <w:r w:rsidRPr="00BA3EE1">
        <w:rPr>
          <w:rFonts w:ascii="Times New Roman" w:hAnsi="Times New Roman" w:cs="Times New Roman"/>
          <w:b/>
          <w:sz w:val="20"/>
          <w:szCs w:val="20"/>
        </w:rPr>
        <w:fldChar w:fldCharType="begin"/>
      </w:r>
      <w:r w:rsidRPr="00BA3EE1">
        <w:rPr>
          <w:rFonts w:ascii="Times New Roman" w:hAnsi="Times New Roman" w:cs="Times New Roman"/>
          <w:b/>
          <w:sz w:val="20"/>
          <w:szCs w:val="20"/>
        </w:rPr>
        <w:instrText xml:space="preserve"> SEQ Tableau \* ARABIC </w:instrText>
      </w:r>
      <w:r w:rsidRPr="00BA3EE1">
        <w:rPr>
          <w:rFonts w:ascii="Times New Roman" w:hAnsi="Times New Roman" w:cs="Times New Roman"/>
          <w:b/>
          <w:sz w:val="20"/>
          <w:szCs w:val="20"/>
        </w:rPr>
        <w:fldChar w:fldCharType="separate"/>
      </w:r>
      <w:r w:rsidR="00EB726E">
        <w:rPr>
          <w:rFonts w:ascii="Times New Roman" w:hAnsi="Times New Roman" w:cs="Times New Roman"/>
          <w:b/>
          <w:noProof/>
          <w:sz w:val="20"/>
          <w:szCs w:val="20"/>
        </w:rPr>
        <w:t>8</w:t>
      </w:r>
      <w:r w:rsidRPr="00BA3EE1">
        <w:rPr>
          <w:rFonts w:ascii="Times New Roman" w:hAnsi="Times New Roman" w:cs="Times New Roman"/>
          <w:b/>
          <w:sz w:val="20"/>
          <w:szCs w:val="20"/>
        </w:rPr>
        <w:fldChar w:fldCharType="end"/>
      </w:r>
      <w:r w:rsidRPr="00BA3EE1">
        <w:rPr>
          <w:rFonts w:ascii="Times New Roman" w:hAnsi="Times New Roman" w:cs="Times New Roman"/>
          <w:b/>
          <w:sz w:val="20"/>
          <w:szCs w:val="20"/>
        </w:rPr>
        <w:t xml:space="preserve"> : Liste des conventions ratifiées par la Guinée Bissau dans le domaine de l’environnement</w:t>
      </w:r>
      <w:bookmarkEnd w:id="116"/>
      <w:bookmarkEnd w:id="117"/>
      <w:bookmarkEnd w:id="118"/>
    </w:p>
    <w:tbl>
      <w:tblPr>
        <w:tblW w:w="96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690"/>
        <w:gridCol w:w="6109"/>
        <w:gridCol w:w="2835"/>
      </w:tblGrid>
      <w:tr w:rsidR="00AF645C" w:rsidRPr="00DC216E" w:rsidTr="00AE15B0">
        <w:tc>
          <w:tcPr>
            <w:tcW w:w="690" w:type="dxa"/>
            <w:tcBorders>
              <w:top w:val="single" w:sz="4" w:space="0" w:color="auto"/>
              <w:left w:val="single" w:sz="4" w:space="0" w:color="auto"/>
              <w:bottom w:val="single" w:sz="4" w:space="0" w:color="auto"/>
              <w:right w:val="single" w:sz="4" w:space="0" w:color="auto"/>
            </w:tcBorders>
            <w:shd w:val="clear" w:color="auto" w:fill="9CC2E5"/>
            <w:vAlign w:val="center"/>
            <w:hideMark/>
          </w:tcPr>
          <w:p w:rsidR="00AF645C" w:rsidRPr="00DC216E" w:rsidRDefault="00AF645C" w:rsidP="009E388B">
            <w:pPr>
              <w:spacing w:after="0" w:line="240" w:lineRule="auto"/>
              <w:ind w:right="-142"/>
              <w:jc w:val="center"/>
              <w:rPr>
                <w:rFonts w:ascii="Times New Roman" w:eastAsia="Times New Roman" w:hAnsi="Times New Roman"/>
                <w:b/>
                <w:bCs/>
                <w:color w:val="000000"/>
              </w:rPr>
            </w:pPr>
            <w:r w:rsidRPr="00DC216E">
              <w:rPr>
                <w:rFonts w:ascii="Times New Roman" w:eastAsia="Times New Roman" w:hAnsi="Times New Roman"/>
                <w:b/>
                <w:bCs/>
                <w:color w:val="000000"/>
              </w:rPr>
              <w:t>N°</w:t>
            </w:r>
          </w:p>
        </w:tc>
        <w:tc>
          <w:tcPr>
            <w:tcW w:w="6109" w:type="dxa"/>
            <w:tcBorders>
              <w:top w:val="single" w:sz="4" w:space="0" w:color="auto"/>
              <w:left w:val="single" w:sz="4" w:space="0" w:color="auto"/>
              <w:bottom w:val="single" w:sz="4" w:space="0" w:color="auto"/>
              <w:right w:val="single" w:sz="4" w:space="0" w:color="auto"/>
            </w:tcBorders>
            <w:shd w:val="clear" w:color="auto" w:fill="9CC2E5"/>
            <w:vAlign w:val="center"/>
            <w:hideMark/>
          </w:tcPr>
          <w:p w:rsidR="00AF645C" w:rsidRPr="00DC216E" w:rsidRDefault="00AF645C" w:rsidP="009E388B">
            <w:pPr>
              <w:spacing w:after="0" w:line="240" w:lineRule="auto"/>
              <w:ind w:right="-142"/>
              <w:jc w:val="center"/>
              <w:rPr>
                <w:rFonts w:ascii="Times New Roman" w:eastAsia="Times New Roman" w:hAnsi="Times New Roman"/>
              </w:rPr>
            </w:pPr>
            <w:r w:rsidRPr="00DC216E">
              <w:rPr>
                <w:rFonts w:ascii="Times New Roman" w:eastAsia="Times New Roman" w:hAnsi="Times New Roman"/>
                <w:b/>
                <w:bCs/>
                <w:color w:val="000000"/>
              </w:rPr>
              <w:t>Conventions</w:t>
            </w:r>
          </w:p>
        </w:tc>
        <w:tc>
          <w:tcPr>
            <w:tcW w:w="2835" w:type="dxa"/>
            <w:tcBorders>
              <w:top w:val="single" w:sz="4" w:space="0" w:color="auto"/>
              <w:left w:val="single" w:sz="4" w:space="0" w:color="auto"/>
              <w:bottom w:val="single" w:sz="4" w:space="0" w:color="auto"/>
              <w:right w:val="single" w:sz="4" w:space="0" w:color="auto"/>
            </w:tcBorders>
            <w:shd w:val="clear" w:color="auto" w:fill="9CC2E5"/>
            <w:vAlign w:val="center"/>
            <w:hideMark/>
          </w:tcPr>
          <w:p w:rsidR="00AF645C" w:rsidRPr="00DC216E" w:rsidRDefault="00AF645C" w:rsidP="009E388B">
            <w:pPr>
              <w:spacing w:after="0" w:line="240" w:lineRule="auto"/>
              <w:ind w:right="-142"/>
              <w:jc w:val="center"/>
              <w:rPr>
                <w:rFonts w:ascii="Times New Roman" w:eastAsia="Times New Roman" w:hAnsi="Times New Roman"/>
              </w:rPr>
            </w:pPr>
            <w:r w:rsidRPr="00DC216E">
              <w:rPr>
                <w:rFonts w:ascii="Times New Roman" w:eastAsia="Times New Roman" w:hAnsi="Times New Roman"/>
                <w:b/>
                <w:bCs/>
                <w:color w:val="000000"/>
              </w:rPr>
              <w:t>Dates d’entrée en vigueur</w:t>
            </w:r>
          </w:p>
        </w:tc>
      </w:tr>
      <w:tr w:rsidR="00AF645C" w:rsidRPr="00DC216E" w:rsidTr="00AE15B0">
        <w:tc>
          <w:tcPr>
            <w:tcW w:w="690" w:type="dxa"/>
            <w:tcBorders>
              <w:top w:val="single" w:sz="4" w:space="0" w:color="auto"/>
              <w:left w:val="single" w:sz="4" w:space="0" w:color="auto"/>
              <w:bottom w:val="single" w:sz="4" w:space="0" w:color="auto"/>
              <w:right w:val="single" w:sz="4" w:space="0" w:color="auto"/>
            </w:tcBorders>
            <w:vAlign w:val="center"/>
            <w:hideMark/>
          </w:tcPr>
          <w:p w:rsidR="00AF645C" w:rsidRPr="00DC216E" w:rsidRDefault="00AF645C" w:rsidP="009E388B">
            <w:pPr>
              <w:spacing w:after="0" w:line="240" w:lineRule="auto"/>
              <w:ind w:right="-142"/>
              <w:jc w:val="center"/>
              <w:rPr>
                <w:rFonts w:ascii="Times New Roman" w:eastAsia="Times New Roman" w:hAnsi="Times New Roman"/>
                <w:b/>
              </w:rPr>
            </w:pPr>
            <w:r w:rsidRPr="00DC216E">
              <w:rPr>
                <w:rFonts w:ascii="Times New Roman" w:eastAsia="Times New Roman" w:hAnsi="Times New Roman"/>
                <w:b/>
                <w:color w:val="000000"/>
              </w:rPr>
              <w:t>1</w:t>
            </w:r>
          </w:p>
        </w:tc>
        <w:tc>
          <w:tcPr>
            <w:tcW w:w="6109" w:type="dxa"/>
            <w:tcBorders>
              <w:top w:val="single" w:sz="4" w:space="0" w:color="auto"/>
              <w:left w:val="single" w:sz="4" w:space="0" w:color="auto"/>
              <w:bottom w:val="single" w:sz="4" w:space="0" w:color="auto"/>
              <w:right w:val="single" w:sz="4" w:space="0" w:color="auto"/>
            </w:tcBorders>
            <w:vAlign w:val="center"/>
            <w:hideMark/>
          </w:tcPr>
          <w:p w:rsidR="00AF645C" w:rsidRPr="00DC216E" w:rsidRDefault="00AF645C" w:rsidP="00AE15B0">
            <w:pPr>
              <w:spacing w:after="0" w:line="240" w:lineRule="auto"/>
              <w:ind w:right="32"/>
              <w:jc w:val="both"/>
              <w:rPr>
                <w:rFonts w:ascii="Times New Roman" w:eastAsia="Times New Roman" w:hAnsi="Times New Roman"/>
                <w:color w:val="000000"/>
              </w:rPr>
            </w:pPr>
            <w:r w:rsidRPr="00DC216E">
              <w:rPr>
                <w:rFonts w:ascii="Times New Roman" w:eastAsia="Times New Roman" w:hAnsi="Times New Roman"/>
                <w:color w:val="000000"/>
              </w:rPr>
              <w:t>Convention sur les zones humides d’importance</w:t>
            </w:r>
            <w:r w:rsidRPr="00DC216E">
              <w:rPr>
                <w:rFonts w:ascii="Times New Roman" w:eastAsia="Times New Roman" w:hAnsi="Times New Roman"/>
                <w:color w:val="000000"/>
              </w:rPr>
              <w:br/>
              <w:t>spécifiquement pour l’habitat des oiseaux sauvages</w:t>
            </w:r>
          </w:p>
        </w:tc>
        <w:tc>
          <w:tcPr>
            <w:tcW w:w="2835" w:type="dxa"/>
            <w:tcBorders>
              <w:top w:val="single" w:sz="4" w:space="0" w:color="auto"/>
              <w:left w:val="single" w:sz="4" w:space="0" w:color="auto"/>
              <w:bottom w:val="single" w:sz="4" w:space="0" w:color="auto"/>
              <w:right w:val="single" w:sz="4" w:space="0" w:color="auto"/>
            </w:tcBorders>
            <w:vAlign w:val="center"/>
            <w:hideMark/>
          </w:tcPr>
          <w:p w:rsidR="00AF645C" w:rsidRPr="00DC216E" w:rsidRDefault="00AF645C" w:rsidP="009E388B">
            <w:pPr>
              <w:spacing w:after="0" w:line="240" w:lineRule="auto"/>
              <w:ind w:right="-142"/>
              <w:jc w:val="both"/>
              <w:rPr>
                <w:rFonts w:ascii="Times New Roman" w:eastAsia="Times New Roman" w:hAnsi="Times New Roman"/>
              </w:rPr>
            </w:pPr>
            <w:r w:rsidRPr="00DC216E">
              <w:rPr>
                <w:rFonts w:ascii="Times New Roman" w:eastAsia="Times New Roman" w:hAnsi="Times New Roman"/>
                <w:color w:val="000000"/>
              </w:rPr>
              <w:t>14 mai 1990</w:t>
            </w:r>
          </w:p>
        </w:tc>
      </w:tr>
      <w:tr w:rsidR="00AF645C" w:rsidRPr="00DC216E" w:rsidTr="00AE15B0">
        <w:tc>
          <w:tcPr>
            <w:tcW w:w="690" w:type="dxa"/>
            <w:tcBorders>
              <w:top w:val="single" w:sz="4" w:space="0" w:color="auto"/>
              <w:left w:val="single" w:sz="4" w:space="0" w:color="auto"/>
              <w:bottom w:val="single" w:sz="4" w:space="0" w:color="auto"/>
              <w:right w:val="single" w:sz="4" w:space="0" w:color="auto"/>
            </w:tcBorders>
            <w:vAlign w:val="center"/>
            <w:hideMark/>
          </w:tcPr>
          <w:p w:rsidR="00AF645C" w:rsidRPr="00DC216E" w:rsidRDefault="00AF645C" w:rsidP="009E388B">
            <w:pPr>
              <w:spacing w:after="0" w:line="240" w:lineRule="auto"/>
              <w:ind w:right="-142"/>
              <w:jc w:val="center"/>
              <w:rPr>
                <w:rFonts w:ascii="Times New Roman" w:eastAsia="Times New Roman" w:hAnsi="Times New Roman"/>
                <w:b/>
              </w:rPr>
            </w:pPr>
            <w:r w:rsidRPr="00DC216E">
              <w:rPr>
                <w:rFonts w:ascii="Times New Roman" w:eastAsia="Times New Roman" w:hAnsi="Times New Roman"/>
                <w:b/>
                <w:color w:val="000000"/>
              </w:rPr>
              <w:t>3</w:t>
            </w:r>
          </w:p>
        </w:tc>
        <w:tc>
          <w:tcPr>
            <w:tcW w:w="6109" w:type="dxa"/>
            <w:tcBorders>
              <w:top w:val="single" w:sz="4" w:space="0" w:color="auto"/>
              <w:left w:val="single" w:sz="4" w:space="0" w:color="auto"/>
              <w:bottom w:val="single" w:sz="4" w:space="0" w:color="auto"/>
              <w:right w:val="single" w:sz="4" w:space="0" w:color="auto"/>
            </w:tcBorders>
            <w:vAlign w:val="center"/>
            <w:hideMark/>
          </w:tcPr>
          <w:p w:rsidR="00AF645C" w:rsidRPr="00DC216E" w:rsidRDefault="00AF645C" w:rsidP="00AE15B0">
            <w:pPr>
              <w:spacing w:after="0" w:line="240" w:lineRule="auto"/>
              <w:ind w:right="32"/>
              <w:jc w:val="both"/>
              <w:rPr>
                <w:rFonts w:ascii="Times New Roman" w:eastAsia="Times New Roman" w:hAnsi="Times New Roman"/>
                <w:color w:val="000000"/>
              </w:rPr>
            </w:pPr>
            <w:r w:rsidRPr="00DC216E">
              <w:rPr>
                <w:rFonts w:ascii="Times New Roman" w:eastAsia="Times New Roman" w:hAnsi="Times New Roman"/>
                <w:color w:val="000000"/>
              </w:rPr>
              <w:t>Convention de protection du patrimoine mondial et</w:t>
            </w:r>
            <w:r w:rsidRPr="00DC216E">
              <w:rPr>
                <w:rFonts w:ascii="Times New Roman" w:eastAsia="Times New Roman" w:hAnsi="Times New Roman"/>
                <w:color w:val="000000"/>
              </w:rPr>
              <w:br/>
              <w:t>culture</w:t>
            </w:r>
          </w:p>
        </w:tc>
        <w:tc>
          <w:tcPr>
            <w:tcW w:w="2835" w:type="dxa"/>
            <w:tcBorders>
              <w:top w:val="single" w:sz="4" w:space="0" w:color="auto"/>
              <w:left w:val="single" w:sz="4" w:space="0" w:color="auto"/>
              <w:bottom w:val="single" w:sz="4" w:space="0" w:color="auto"/>
              <w:right w:val="single" w:sz="4" w:space="0" w:color="auto"/>
            </w:tcBorders>
            <w:vAlign w:val="center"/>
            <w:hideMark/>
          </w:tcPr>
          <w:p w:rsidR="00AF645C" w:rsidRPr="00DC216E" w:rsidRDefault="00AF645C" w:rsidP="009E388B">
            <w:pPr>
              <w:spacing w:after="0" w:line="240" w:lineRule="auto"/>
              <w:ind w:right="-142"/>
              <w:jc w:val="both"/>
              <w:rPr>
                <w:rFonts w:ascii="Times New Roman" w:eastAsia="Times New Roman" w:hAnsi="Times New Roman"/>
              </w:rPr>
            </w:pPr>
            <w:r w:rsidRPr="00DC216E">
              <w:rPr>
                <w:rFonts w:ascii="Times New Roman" w:eastAsia="Times New Roman" w:hAnsi="Times New Roman"/>
                <w:color w:val="000000"/>
              </w:rPr>
              <w:t>25 avril 2016</w:t>
            </w:r>
          </w:p>
        </w:tc>
      </w:tr>
      <w:tr w:rsidR="00AF645C" w:rsidRPr="00DC216E" w:rsidTr="00AE15B0">
        <w:tc>
          <w:tcPr>
            <w:tcW w:w="690" w:type="dxa"/>
            <w:tcBorders>
              <w:top w:val="single" w:sz="4" w:space="0" w:color="auto"/>
              <w:left w:val="single" w:sz="4" w:space="0" w:color="auto"/>
              <w:bottom w:val="single" w:sz="4" w:space="0" w:color="auto"/>
              <w:right w:val="single" w:sz="4" w:space="0" w:color="auto"/>
            </w:tcBorders>
            <w:vAlign w:val="center"/>
            <w:hideMark/>
          </w:tcPr>
          <w:p w:rsidR="00AF645C" w:rsidRPr="00DC216E" w:rsidRDefault="00AF645C" w:rsidP="009E388B">
            <w:pPr>
              <w:spacing w:after="0" w:line="240" w:lineRule="auto"/>
              <w:ind w:right="-142"/>
              <w:jc w:val="center"/>
              <w:rPr>
                <w:rFonts w:ascii="Times New Roman" w:eastAsia="Times New Roman" w:hAnsi="Times New Roman"/>
                <w:b/>
              </w:rPr>
            </w:pPr>
            <w:r w:rsidRPr="00DC216E">
              <w:rPr>
                <w:rFonts w:ascii="Times New Roman" w:eastAsia="Times New Roman" w:hAnsi="Times New Roman"/>
                <w:b/>
                <w:color w:val="000000"/>
              </w:rPr>
              <w:t>4</w:t>
            </w:r>
          </w:p>
        </w:tc>
        <w:tc>
          <w:tcPr>
            <w:tcW w:w="6109" w:type="dxa"/>
            <w:tcBorders>
              <w:top w:val="single" w:sz="4" w:space="0" w:color="auto"/>
              <w:left w:val="single" w:sz="4" w:space="0" w:color="auto"/>
              <w:bottom w:val="single" w:sz="4" w:space="0" w:color="auto"/>
              <w:right w:val="single" w:sz="4" w:space="0" w:color="auto"/>
            </w:tcBorders>
            <w:vAlign w:val="center"/>
            <w:hideMark/>
          </w:tcPr>
          <w:p w:rsidR="00AF645C" w:rsidRPr="00DC216E" w:rsidRDefault="00AF645C" w:rsidP="00AE15B0">
            <w:pPr>
              <w:spacing w:after="0" w:line="240" w:lineRule="auto"/>
              <w:ind w:right="32"/>
              <w:jc w:val="both"/>
              <w:rPr>
                <w:rFonts w:ascii="Times New Roman" w:eastAsia="Times New Roman" w:hAnsi="Times New Roman"/>
                <w:color w:val="000000"/>
              </w:rPr>
            </w:pPr>
            <w:r w:rsidRPr="00DC216E">
              <w:rPr>
                <w:rFonts w:ascii="Times New Roman" w:eastAsia="Times New Roman" w:hAnsi="Times New Roman"/>
                <w:color w:val="000000"/>
              </w:rPr>
              <w:t>Convention sur la conservation des espèces migratoires de</w:t>
            </w:r>
            <w:r w:rsidRPr="00DC216E">
              <w:rPr>
                <w:rFonts w:ascii="Times New Roman" w:eastAsia="Times New Roman" w:hAnsi="Times New Roman"/>
                <w:color w:val="000000"/>
              </w:rPr>
              <w:br/>
              <w:t>la faune sauvage</w:t>
            </w:r>
          </w:p>
        </w:tc>
        <w:tc>
          <w:tcPr>
            <w:tcW w:w="2835" w:type="dxa"/>
            <w:tcBorders>
              <w:top w:val="single" w:sz="4" w:space="0" w:color="auto"/>
              <w:left w:val="single" w:sz="4" w:space="0" w:color="auto"/>
              <w:bottom w:val="single" w:sz="4" w:space="0" w:color="auto"/>
              <w:right w:val="single" w:sz="4" w:space="0" w:color="auto"/>
            </w:tcBorders>
            <w:vAlign w:val="center"/>
            <w:hideMark/>
          </w:tcPr>
          <w:p w:rsidR="00AF645C" w:rsidRPr="00DC216E" w:rsidRDefault="00AF645C" w:rsidP="009E388B">
            <w:pPr>
              <w:spacing w:after="0" w:line="240" w:lineRule="auto"/>
              <w:ind w:right="-142"/>
              <w:jc w:val="both"/>
              <w:rPr>
                <w:rFonts w:ascii="Times New Roman" w:eastAsia="Times New Roman" w:hAnsi="Times New Roman"/>
              </w:rPr>
            </w:pPr>
            <w:r w:rsidRPr="00DC216E">
              <w:rPr>
                <w:rFonts w:ascii="Times New Roman" w:eastAsia="Times New Roman" w:hAnsi="Times New Roman"/>
                <w:color w:val="000000"/>
              </w:rPr>
              <w:t>1 septembre 1995</w:t>
            </w:r>
          </w:p>
        </w:tc>
      </w:tr>
      <w:tr w:rsidR="00AF645C" w:rsidRPr="00DC216E" w:rsidTr="00AE15B0">
        <w:tc>
          <w:tcPr>
            <w:tcW w:w="690" w:type="dxa"/>
            <w:tcBorders>
              <w:top w:val="single" w:sz="4" w:space="0" w:color="auto"/>
              <w:left w:val="single" w:sz="4" w:space="0" w:color="auto"/>
              <w:bottom w:val="single" w:sz="4" w:space="0" w:color="auto"/>
              <w:right w:val="single" w:sz="4" w:space="0" w:color="auto"/>
            </w:tcBorders>
            <w:vAlign w:val="center"/>
            <w:hideMark/>
          </w:tcPr>
          <w:p w:rsidR="00AF645C" w:rsidRPr="00DC216E" w:rsidRDefault="00AF645C" w:rsidP="009E388B">
            <w:pPr>
              <w:spacing w:after="0" w:line="240" w:lineRule="auto"/>
              <w:ind w:right="-142"/>
              <w:jc w:val="center"/>
              <w:rPr>
                <w:rFonts w:ascii="Times New Roman" w:eastAsia="Times New Roman" w:hAnsi="Times New Roman"/>
                <w:b/>
              </w:rPr>
            </w:pPr>
            <w:r w:rsidRPr="00DC216E">
              <w:rPr>
                <w:rFonts w:ascii="Times New Roman" w:eastAsia="Times New Roman" w:hAnsi="Times New Roman"/>
                <w:b/>
                <w:color w:val="000000"/>
              </w:rPr>
              <w:t>5</w:t>
            </w:r>
          </w:p>
        </w:tc>
        <w:tc>
          <w:tcPr>
            <w:tcW w:w="6109" w:type="dxa"/>
            <w:tcBorders>
              <w:top w:val="single" w:sz="4" w:space="0" w:color="auto"/>
              <w:left w:val="single" w:sz="4" w:space="0" w:color="auto"/>
              <w:bottom w:val="single" w:sz="4" w:space="0" w:color="auto"/>
              <w:right w:val="single" w:sz="4" w:space="0" w:color="auto"/>
            </w:tcBorders>
            <w:vAlign w:val="center"/>
            <w:hideMark/>
          </w:tcPr>
          <w:p w:rsidR="00AF645C" w:rsidRPr="00DC216E" w:rsidRDefault="00AF645C" w:rsidP="00AE15B0">
            <w:pPr>
              <w:spacing w:after="0" w:line="240" w:lineRule="auto"/>
              <w:ind w:right="32"/>
              <w:jc w:val="both"/>
              <w:rPr>
                <w:rFonts w:ascii="Times New Roman" w:eastAsia="Times New Roman" w:hAnsi="Times New Roman"/>
                <w:color w:val="000000"/>
              </w:rPr>
            </w:pPr>
            <w:r w:rsidRPr="00DC216E">
              <w:rPr>
                <w:rFonts w:ascii="Times New Roman" w:eastAsia="Times New Roman" w:hAnsi="Times New Roman"/>
                <w:color w:val="000000"/>
              </w:rPr>
              <w:t>Convention sur la diversité biologique</w:t>
            </w:r>
          </w:p>
        </w:tc>
        <w:tc>
          <w:tcPr>
            <w:tcW w:w="2835" w:type="dxa"/>
            <w:tcBorders>
              <w:top w:val="single" w:sz="4" w:space="0" w:color="auto"/>
              <w:left w:val="single" w:sz="4" w:space="0" w:color="auto"/>
              <w:bottom w:val="single" w:sz="4" w:space="0" w:color="auto"/>
              <w:right w:val="single" w:sz="4" w:space="0" w:color="auto"/>
            </w:tcBorders>
            <w:vAlign w:val="center"/>
            <w:hideMark/>
          </w:tcPr>
          <w:p w:rsidR="00AF645C" w:rsidRPr="00DC216E" w:rsidRDefault="00AF645C" w:rsidP="009E388B">
            <w:pPr>
              <w:spacing w:after="0" w:line="240" w:lineRule="auto"/>
              <w:ind w:right="-142"/>
              <w:jc w:val="both"/>
              <w:rPr>
                <w:rFonts w:ascii="Times New Roman" w:eastAsia="Times New Roman" w:hAnsi="Times New Roman"/>
              </w:rPr>
            </w:pPr>
            <w:r w:rsidRPr="00DC216E">
              <w:rPr>
                <w:rFonts w:ascii="Times New Roman" w:eastAsia="Times New Roman" w:hAnsi="Times New Roman"/>
                <w:color w:val="000000"/>
              </w:rPr>
              <w:t>27 octobre 1995</w:t>
            </w:r>
          </w:p>
        </w:tc>
      </w:tr>
      <w:tr w:rsidR="00AF645C" w:rsidRPr="00DC216E" w:rsidTr="00AE15B0">
        <w:tc>
          <w:tcPr>
            <w:tcW w:w="690" w:type="dxa"/>
            <w:tcBorders>
              <w:top w:val="single" w:sz="4" w:space="0" w:color="auto"/>
              <w:left w:val="single" w:sz="4" w:space="0" w:color="auto"/>
              <w:bottom w:val="single" w:sz="4" w:space="0" w:color="auto"/>
              <w:right w:val="single" w:sz="4" w:space="0" w:color="auto"/>
            </w:tcBorders>
            <w:vAlign w:val="center"/>
            <w:hideMark/>
          </w:tcPr>
          <w:p w:rsidR="00AF645C" w:rsidRPr="00DC216E" w:rsidRDefault="00AF645C" w:rsidP="009E388B">
            <w:pPr>
              <w:spacing w:after="0" w:line="240" w:lineRule="auto"/>
              <w:ind w:right="-142"/>
              <w:jc w:val="center"/>
              <w:rPr>
                <w:rFonts w:ascii="Times New Roman" w:eastAsia="Times New Roman" w:hAnsi="Times New Roman"/>
                <w:b/>
              </w:rPr>
            </w:pPr>
            <w:r w:rsidRPr="00DC216E">
              <w:rPr>
                <w:rFonts w:ascii="Times New Roman" w:eastAsia="Times New Roman" w:hAnsi="Times New Roman"/>
                <w:b/>
                <w:color w:val="000000"/>
              </w:rPr>
              <w:t>6</w:t>
            </w:r>
          </w:p>
        </w:tc>
        <w:tc>
          <w:tcPr>
            <w:tcW w:w="6109" w:type="dxa"/>
            <w:tcBorders>
              <w:top w:val="single" w:sz="4" w:space="0" w:color="auto"/>
              <w:left w:val="single" w:sz="4" w:space="0" w:color="auto"/>
              <w:bottom w:val="single" w:sz="4" w:space="0" w:color="auto"/>
              <w:right w:val="single" w:sz="4" w:space="0" w:color="auto"/>
            </w:tcBorders>
            <w:vAlign w:val="center"/>
            <w:hideMark/>
          </w:tcPr>
          <w:p w:rsidR="00AF645C" w:rsidRPr="00DC216E" w:rsidRDefault="00AF645C" w:rsidP="00AE15B0">
            <w:pPr>
              <w:spacing w:after="0" w:line="240" w:lineRule="auto"/>
              <w:ind w:right="32"/>
              <w:jc w:val="both"/>
              <w:rPr>
                <w:rFonts w:ascii="Times New Roman" w:eastAsia="Times New Roman" w:hAnsi="Times New Roman"/>
                <w:color w:val="000000"/>
              </w:rPr>
            </w:pPr>
            <w:r w:rsidRPr="00DC216E">
              <w:rPr>
                <w:rFonts w:ascii="Times New Roman" w:eastAsia="Times New Roman" w:hAnsi="Times New Roman"/>
                <w:color w:val="000000"/>
              </w:rPr>
              <w:t>Convention sur les changements climatiques</w:t>
            </w:r>
          </w:p>
        </w:tc>
        <w:tc>
          <w:tcPr>
            <w:tcW w:w="2835" w:type="dxa"/>
            <w:tcBorders>
              <w:top w:val="single" w:sz="4" w:space="0" w:color="auto"/>
              <w:left w:val="single" w:sz="4" w:space="0" w:color="auto"/>
              <w:bottom w:val="single" w:sz="4" w:space="0" w:color="auto"/>
              <w:right w:val="single" w:sz="4" w:space="0" w:color="auto"/>
            </w:tcBorders>
            <w:vAlign w:val="center"/>
            <w:hideMark/>
          </w:tcPr>
          <w:p w:rsidR="00AF645C" w:rsidRPr="00DC216E" w:rsidRDefault="00AF645C" w:rsidP="009E388B">
            <w:pPr>
              <w:spacing w:after="0" w:line="240" w:lineRule="auto"/>
              <w:ind w:right="-142"/>
              <w:jc w:val="both"/>
              <w:rPr>
                <w:rFonts w:ascii="Times New Roman" w:eastAsia="Times New Roman" w:hAnsi="Times New Roman"/>
              </w:rPr>
            </w:pPr>
            <w:r w:rsidRPr="00DC216E">
              <w:rPr>
                <w:rFonts w:ascii="Times New Roman" w:eastAsia="Times New Roman" w:hAnsi="Times New Roman"/>
                <w:color w:val="000000"/>
              </w:rPr>
              <w:t>27 octobre 1995</w:t>
            </w:r>
          </w:p>
        </w:tc>
      </w:tr>
    </w:tbl>
    <w:p w:rsidR="00AF645C" w:rsidRPr="00DC216E" w:rsidRDefault="00AF645C" w:rsidP="00AF645C">
      <w:pPr>
        <w:spacing w:after="0" w:line="240" w:lineRule="auto"/>
        <w:ind w:right="-142"/>
        <w:jc w:val="both"/>
        <w:rPr>
          <w:rFonts w:ascii="Times New Roman" w:eastAsia="Times New Roman" w:hAnsi="Times New Roman"/>
          <w:b/>
          <w:iCs/>
          <w:color w:val="000000"/>
          <w:u w:val="single"/>
          <w:lang w:eastAsia="fr-FR"/>
        </w:rPr>
      </w:pPr>
    </w:p>
    <w:p w:rsidR="00AF645C" w:rsidRPr="00BA3EE1" w:rsidRDefault="00AF645C" w:rsidP="00BA3EE1">
      <w:pPr>
        <w:jc w:val="center"/>
        <w:rPr>
          <w:rFonts w:ascii="Times New Roman" w:hAnsi="Times New Roman" w:cs="Times New Roman"/>
          <w:b/>
          <w:sz w:val="20"/>
          <w:szCs w:val="20"/>
        </w:rPr>
      </w:pPr>
      <w:bookmarkStart w:id="119" w:name="_Toc4770101"/>
      <w:bookmarkStart w:id="120" w:name="_Toc17385898"/>
      <w:bookmarkStart w:id="121" w:name="_Toc51074000"/>
      <w:r w:rsidRPr="00BA3EE1">
        <w:rPr>
          <w:rFonts w:ascii="Times New Roman" w:hAnsi="Times New Roman" w:cs="Times New Roman"/>
          <w:b/>
          <w:sz w:val="20"/>
          <w:szCs w:val="20"/>
        </w:rPr>
        <w:t xml:space="preserve">Tableau </w:t>
      </w:r>
      <w:r w:rsidRPr="00BA3EE1">
        <w:rPr>
          <w:rFonts w:ascii="Times New Roman" w:hAnsi="Times New Roman" w:cs="Times New Roman"/>
          <w:b/>
          <w:sz w:val="20"/>
          <w:szCs w:val="20"/>
        </w:rPr>
        <w:fldChar w:fldCharType="begin"/>
      </w:r>
      <w:r w:rsidRPr="00BA3EE1">
        <w:rPr>
          <w:rFonts w:ascii="Times New Roman" w:hAnsi="Times New Roman" w:cs="Times New Roman"/>
          <w:b/>
          <w:sz w:val="20"/>
          <w:szCs w:val="20"/>
        </w:rPr>
        <w:instrText xml:space="preserve"> SEQ Tableau \* ARABIC </w:instrText>
      </w:r>
      <w:r w:rsidRPr="00BA3EE1">
        <w:rPr>
          <w:rFonts w:ascii="Times New Roman" w:hAnsi="Times New Roman" w:cs="Times New Roman"/>
          <w:b/>
          <w:sz w:val="20"/>
          <w:szCs w:val="20"/>
        </w:rPr>
        <w:fldChar w:fldCharType="separate"/>
      </w:r>
      <w:r w:rsidR="00EB726E">
        <w:rPr>
          <w:rFonts w:ascii="Times New Roman" w:hAnsi="Times New Roman" w:cs="Times New Roman"/>
          <w:b/>
          <w:noProof/>
          <w:sz w:val="20"/>
          <w:szCs w:val="20"/>
        </w:rPr>
        <w:t>9</w:t>
      </w:r>
      <w:r w:rsidRPr="00BA3EE1">
        <w:rPr>
          <w:rFonts w:ascii="Times New Roman" w:hAnsi="Times New Roman" w:cs="Times New Roman"/>
          <w:b/>
          <w:sz w:val="20"/>
          <w:szCs w:val="20"/>
        </w:rPr>
        <w:fldChar w:fldCharType="end"/>
      </w:r>
      <w:r w:rsidRPr="00BA3EE1">
        <w:rPr>
          <w:rFonts w:ascii="Times New Roman" w:hAnsi="Times New Roman" w:cs="Times New Roman"/>
          <w:b/>
          <w:sz w:val="20"/>
          <w:szCs w:val="20"/>
        </w:rPr>
        <w:t>: Accords régionaux ratifiés par la Guinée Bissau dans le domaine de l’environnement</w:t>
      </w:r>
      <w:bookmarkEnd w:id="119"/>
      <w:bookmarkEnd w:id="120"/>
      <w:bookmarkEnd w:id="121"/>
    </w:p>
    <w:tbl>
      <w:tblPr>
        <w:tblW w:w="96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9634"/>
      </w:tblGrid>
      <w:tr w:rsidR="00AF645C" w:rsidRPr="00DC216E" w:rsidTr="009E388B">
        <w:trPr>
          <w:trHeight w:val="235"/>
        </w:trPr>
        <w:tc>
          <w:tcPr>
            <w:tcW w:w="9634" w:type="dxa"/>
            <w:tcBorders>
              <w:top w:val="single" w:sz="4" w:space="0" w:color="auto"/>
              <w:left w:val="single" w:sz="4" w:space="0" w:color="auto"/>
              <w:bottom w:val="single" w:sz="4" w:space="0" w:color="auto"/>
              <w:right w:val="single" w:sz="4" w:space="0" w:color="auto"/>
            </w:tcBorders>
            <w:shd w:val="clear" w:color="auto" w:fill="9CC2E5"/>
            <w:vAlign w:val="center"/>
            <w:hideMark/>
          </w:tcPr>
          <w:p w:rsidR="00AF645C" w:rsidRPr="00DC216E" w:rsidRDefault="00AF645C" w:rsidP="009E388B">
            <w:pPr>
              <w:spacing w:after="0" w:line="240" w:lineRule="auto"/>
              <w:ind w:right="-142"/>
              <w:jc w:val="both"/>
              <w:rPr>
                <w:rFonts w:ascii="Times New Roman" w:eastAsia="Times New Roman" w:hAnsi="Times New Roman"/>
                <w:b/>
                <w:color w:val="000000"/>
                <w:lang w:eastAsia="fr-FR"/>
              </w:rPr>
            </w:pPr>
            <w:r w:rsidRPr="00DC216E">
              <w:rPr>
                <w:rFonts w:ascii="Times New Roman" w:eastAsia="Times New Roman" w:hAnsi="Times New Roman"/>
                <w:color w:val="000080"/>
                <w:lang w:eastAsia="fr-FR"/>
              </w:rPr>
              <w:t xml:space="preserve">                                                                </w:t>
            </w:r>
            <w:r w:rsidRPr="00DC216E">
              <w:rPr>
                <w:rFonts w:ascii="Times New Roman" w:eastAsia="Times New Roman" w:hAnsi="Times New Roman"/>
                <w:b/>
                <w:color w:val="000000"/>
                <w:lang w:eastAsia="fr-FR"/>
              </w:rPr>
              <w:t>Accords régionaux</w:t>
            </w:r>
          </w:p>
        </w:tc>
      </w:tr>
      <w:tr w:rsidR="00AF645C" w:rsidRPr="00DC216E" w:rsidTr="009E388B">
        <w:trPr>
          <w:trHeight w:val="245"/>
        </w:trPr>
        <w:tc>
          <w:tcPr>
            <w:tcW w:w="9634" w:type="dxa"/>
            <w:tcBorders>
              <w:top w:val="single" w:sz="4" w:space="0" w:color="auto"/>
              <w:left w:val="single" w:sz="4" w:space="0" w:color="auto"/>
              <w:bottom w:val="single" w:sz="4" w:space="0" w:color="auto"/>
              <w:right w:val="single" w:sz="4" w:space="0" w:color="auto"/>
            </w:tcBorders>
            <w:vAlign w:val="center"/>
            <w:hideMark/>
          </w:tcPr>
          <w:p w:rsidR="00AF645C" w:rsidRPr="00DC216E" w:rsidRDefault="00AF645C" w:rsidP="009E388B">
            <w:pPr>
              <w:spacing w:after="0" w:line="240" w:lineRule="auto"/>
              <w:jc w:val="both"/>
              <w:rPr>
                <w:rFonts w:ascii="Times New Roman" w:eastAsia="Times New Roman" w:hAnsi="Times New Roman"/>
                <w:lang w:eastAsia="fr-FR"/>
              </w:rPr>
            </w:pPr>
            <w:r w:rsidRPr="00DC216E">
              <w:rPr>
                <w:rFonts w:ascii="Times New Roman" w:eastAsia="Times New Roman" w:hAnsi="Times New Roman"/>
                <w:color w:val="000000"/>
                <w:lang w:eastAsia="fr-FR"/>
              </w:rPr>
              <w:lastRenderedPageBreak/>
              <w:t xml:space="preserve">Convention Africaine sur la Conservation de la Nature et des Ressources Naturelles  </w:t>
            </w:r>
          </w:p>
        </w:tc>
      </w:tr>
    </w:tbl>
    <w:p w:rsidR="00BA3EE1" w:rsidRDefault="00BA3EE1" w:rsidP="00BA3EE1">
      <w:pPr>
        <w:jc w:val="center"/>
        <w:rPr>
          <w:rFonts w:ascii="Times New Roman" w:hAnsi="Times New Roman" w:cs="Times New Roman"/>
          <w:b/>
          <w:sz w:val="20"/>
          <w:szCs w:val="20"/>
        </w:rPr>
      </w:pPr>
      <w:bookmarkStart w:id="122" w:name="_Toc4770102"/>
      <w:bookmarkStart w:id="123" w:name="_Toc17385899"/>
    </w:p>
    <w:p w:rsidR="00AF645C" w:rsidRPr="00BA3EE1" w:rsidRDefault="00AF645C" w:rsidP="00BA3EE1">
      <w:pPr>
        <w:jc w:val="center"/>
        <w:rPr>
          <w:rFonts w:ascii="Times New Roman" w:hAnsi="Times New Roman" w:cs="Times New Roman"/>
          <w:b/>
          <w:sz w:val="20"/>
          <w:szCs w:val="20"/>
        </w:rPr>
      </w:pPr>
      <w:bookmarkStart w:id="124" w:name="_Toc51074001"/>
      <w:r w:rsidRPr="00BA3EE1">
        <w:rPr>
          <w:rFonts w:ascii="Times New Roman" w:hAnsi="Times New Roman" w:cs="Times New Roman"/>
          <w:b/>
          <w:sz w:val="20"/>
          <w:szCs w:val="20"/>
        </w:rPr>
        <w:t xml:space="preserve">Tableau </w:t>
      </w:r>
      <w:r w:rsidRPr="00BA3EE1">
        <w:rPr>
          <w:rFonts w:ascii="Times New Roman" w:hAnsi="Times New Roman" w:cs="Times New Roman"/>
          <w:b/>
          <w:sz w:val="20"/>
          <w:szCs w:val="20"/>
        </w:rPr>
        <w:fldChar w:fldCharType="begin"/>
      </w:r>
      <w:r w:rsidRPr="00BA3EE1">
        <w:rPr>
          <w:rFonts w:ascii="Times New Roman" w:hAnsi="Times New Roman" w:cs="Times New Roman"/>
          <w:b/>
          <w:sz w:val="20"/>
          <w:szCs w:val="20"/>
        </w:rPr>
        <w:instrText xml:space="preserve"> SEQ Tableau \* ARABIC </w:instrText>
      </w:r>
      <w:r w:rsidRPr="00BA3EE1">
        <w:rPr>
          <w:rFonts w:ascii="Times New Roman" w:hAnsi="Times New Roman" w:cs="Times New Roman"/>
          <w:b/>
          <w:sz w:val="20"/>
          <w:szCs w:val="20"/>
        </w:rPr>
        <w:fldChar w:fldCharType="separate"/>
      </w:r>
      <w:r w:rsidR="00EB726E">
        <w:rPr>
          <w:rFonts w:ascii="Times New Roman" w:hAnsi="Times New Roman" w:cs="Times New Roman"/>
          <w:b/>
          <w:noProof/>
          <w:sz w:val="20"/>
          <w:szCs w:val="20"/>
        </w:rPr>
        <w:t>10</w:t>
      </w:r>
      <w:r w:rsidRPr="00BA3EE1">
        <w:rPr>
          <w:rFonts w:ascii="Times New Roman" w:hAnsi="Times New Roman" w:cs="Times New Roman"/>
          <w:b/>
          <w:sz w:val="20"/>
          <w:szCs w:val="20"/>
        </w:rPr>
        <w:fldChar w:fldCharType="end"/>
      </w:r>
      <w:r w:rsidRPr="00BA3EE1">
        <w:rPr>
          <w:rFonts w:ascii="Times New Roman" w:hAnsi="Times New Roman" w:cs="Times New Roman"/>
          <w:b/>
          <w:sz w:val="20"/>
          <w:szCs w:val="20"/>
        </w:rPr>
        <w:t>: Pertinence des conventions et accords ratifiés par rapport au projet</w:t>
      </w:r>
      <w:bookmarkEnd w:id="122"/>
      <w:bookmarkEnd w:id="123"/>
      <w:bookmarkEnd w:id="124"/>
      <w:r w:rsidRPr="00BA3EE1">
        <w:rPr>
          <w:rFonts w:ascii="Times New Roman" w:hAnsi="Times New Roman" w:cs="Times New Roman"/>
          <w:b/>
          <w:sz w:val="20"/>
          <w:szCs w:val="20"/>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87"/>
        <w:gridCol w:w="2983"/>
        <w:gridCol w:w="3380"/>
      </w:tblGrid>
      <w:tr w:rsidR="00AF645C" w:rsidRPr="00DC216E" w:rsidTr="009E388B">
        <w:trPr>
          <w:trHeight w:val="513"/>
        </w:trPr>
        <w:tc>
          <w:tcPr>
            <w:tcW w:w="2987" w:type="dxa"/>
            <w:shd w:val="clear" w:color="auto" w:fill="9CC2E5"/>
            <w:vAlign w:val="center"/>
          </w:tcPr>
          <w:p w:rsidR="00AF645C" w:rsidRPr="00DC216E" w:rsidRDefault="00AF645C" w:rsidP="009E388B">
            <w:pPr>
              <w:spacing w:after="0" w:line="240" w:lineRule="auto"/>
              <w:ind w:left="30" w:right="-142"/>
              <w:jc w:val="center"/>
              <w:rPr>
                <w:rFonts w:ascii="Times New Roman" w:eastAsia="Times New Roman" w:hAnsi="Times New Roman"/>
                <w:b/>
                <w:color w:val="000000"/>
                <w:sz w:val="20"/>
                <w:szCs w:val="20"/>
              </w:rPr>
            </w:pPr>
            <w:r w:rsidRPr="00DC216E">
              <w:rPr>
                <w:rFonts w:ascii="Times New Roman" w:eastAsia="Times New Roman" w:hAnsi="Times New Roman"/>
                <w:b/>
                <w:color w:val="000000"/>
                <w:sz w:val="20"/>
                <w:szCs w:val="20"/>
              </w:rPr>
              <w:t>Titres</w:t>
            </w:r>
          </w:p>
        </w:tc>
        <w:tc>
          <w:tcPr>
            <w:tcW w:w="2983" w:type="dxa"/>
            <w:shd w:val="clear" w:color="auto" w:fill="9CC2E5"/>
            <w:vAlign w:val="center"/>
          </w:tcPr>
          <w:p w:rsidR="00AF645C" w:rsidRPr="00DC216E" w:rsidRDefault="00AF645C" w:rsidP="009E388B">
            <w:pPr>
              <w:spacing w:after="0" w:line="240" w:lineRule="auto"/>
              <w:ind w:right="-142"/>
              <w:jc w:val="center"/>
              <w:rPr>
                <w:rFonts w:ascii="Times New Roman" w:eastAsia="Times New Roman" w:hAnsi="Times New Roman"/>
                <w:b/>
                <w:color w:val="000000"/>
                <w:sz w:val="20"/>
                <w:szCs w:val="20"/>
              </w:rPr>
            </w:pPr>
            <w:r w:rsidRPr="00DC216E">
              <w:rPr>
                <w:rFonts w:ascii="Times New Roman" w:eastAsia="Times New Roman" w:hAnsi="Times New Roman"/>
                <w:b/>
                <w:color w:val="000000"/>
                <w:sz w:val="20"/>
                <w:szCs w:val="20"/>
              </w:rPr>
              <w:t>Domaine réglementé</w:t>
            </w:r>
          </w:p>
        </w:tc>
        <w:tc>
          <w:tcPr>
            <w:tcW w:w="3380" w:type="dxa"/>
            <w:shd w:val="clear" w:color="auto" w:fill="9CC2E5"/>
            <w:vAlign w:val="center"/>
          </w:tcPr>
          <w:p w:rsidR="00AF645C" w:rsidRPr="00DC216E" w:rsidRDefault="00AF645C" w:rsidP="009E388B">
            <w:pPr>
              <w:spacing w:after="0" w:line="240" w:lineRule="auto"/>
              <w:ind w:right="-142"/>
              <w:jc w:val="center"/>
              <w:rPr>
                <w:rFonts w:ascii="Times New Roman" w:eastAsia="Times New Roman" w:hAnsi="Times New Roman"/>
                <w:b/>
                <w:color w:val="000000"/>
                <w:sz w:val="20"/>
                <w:szCs w:val="20"/>
              </w:rPr>
            </w:pPr>
            <w:r w:rsidRPr="00DC216E">
              <w:rPr>
                <w:rFonts w:ascii="Times New Roman" w:eastAsia="Times New Roman" w:hAnsi="Times New Roman"/>
                <w:b/>
                <w:color w:val="000000"/>
                <w:sz w:val="20"/>
                <w:szCs w:val="20"/>
              </w:rPr>
              <w:t>Justification et pertinence</w:t>
            </w:r>
          </w:p>
          <w:p w:rsidR="00AF645C" w:rsidRPr="00DC216E" w:rsidRDefault="00AF645C" w:rsidP="009E388B">
            <w:pPr>
              <w:spacing w:after="0" w:line="240" w:lineRule="auto"/>
              <w:ind w:right="-142"/>
              <w:jc w:val="center"/>
              <w:rPr>
                <w:rFonts w:ascii="Times New Roman" w:eastAsia="Times New Roman" w:hAnsi="Times New Roman"/>
                <w:b/>
                <w:color w:val="000000"/>
                <w:sz w:val="20"/>
                <w:szCs w:val="20"/>
              </w:rPr>
            </w:pPr>
            <w:r w:rsidRPr="00DC216E">
              <w:rPr>
                <w:rFonts w:ascii="Times New Roman" w:eastAsia="Times New Roman" w:hAnsi="Times New Roman"/>
                <w:b/>
                <w:color w:val="000000"/>
                <w:sz w:val="20"/>
                <w:szCs w:val="20"/>
              </w:rPr>
              <w:t>par rapport au projet</w:t>
            </w:r>
          </w:p>
        </w:tc>
      </w:tr>
      <w:tr w:rsidR="00AF645C" w:rsidRPr="00DC216E" w:rsidTr="009E388B">
        <w:trPr>
          <w:trHeight w:val="1386"/>
        </w:trPr>
        <w:tc>
          <w:tcPr>
            <w:tcW w:w="2987" w:type="dxa"/>
            <w:vAlign w:val="center"/>
          </w:tcPr>
          <w:p w:rsidR="00AF645C" w:rsidRPr="00DC216E" w:rsidRDefault="00AF645C" w:rsidP="009E388B">
            <w:pPr>
              <w:spacing w:after="0" w:line="240" w:lineRule="auto"/>
              <w:jc w:val="both"/>
              <w:rPr>
                <w:rFonts w:ascii="Times New Roman" w:eastAsia="Times New Roman" w:hAnsi="Times New Roman"/>
                <w:b/>
                <w:color w:val="000000"/>
                <w:sz w:val="20"/>
                <w:szCs w:val="20"/>
              </w:rPr>
            </w:pPr>
            <w:r w:rsidRPr="00DC216E">
              <w:rPr>
                <w:rFonts w:ascii="Times New Roman" w:eastAsia="Times New Roman" w:hAnsi="Times New Roman"/>
                <w:b/>
                <w:color w:val="000000"/>
                <w:sz w:val="20"/>
                <w:szCs w:val="20"/>
              </w:rPr>
              <w:t>Convention sur la diversité biologique</w:t>
            </w:r>
          </w:p>
        </w:tc>
        <w:tc>
          <w:tcPr>
            <w:tcW w:w="2983" w:type="dxa"/>
            <w:vAlign w:val="center"/>
          </w:tcPr>
          <w:p w:rsidR="00AF645C" w:rsidRPr="00DC216E" w:rsidRDefault="00AF645C" w:rsidP="009E388B">
            <w:pPr>
              <w:spacing w:after="0" w:line="240" w:lineRule="auto"/>
              <w:ind w:right="-142"/>
              <w:jc w:val="both"/>
              <w:rPr>
                <w:rFonts w:ascii="Times New Roman" w:eastAsia="Times New Roman" w:hAnsi="Times New Roman"/>
                <w:color w:val="000000"/>
                <w:sz w:val="20"/>
                <w:szCs w:val="20"/>
              </w:rPr>
            </w:pPr>
            <w:r w:rsidRPr="00DC216E">
              <w:rPr>
                <w:rFonts w:ascii="Times New Roman" w:eastAsia="Times New Roman" w:hAnsi="Times New Roman"/>
                <w:color w:val="000000"/>
                <w:sz w:val="20"/>
                <w:szCs w:val="20"/>
              </w:rPr>
              <w:t>Ressources biologiques</w:t>
            </w:r>
          </w:p>
        </w:tc>
        <w:tc>
          <w:tcPr>
            <w:tcW w:w="3380" w:type="dxa"/>
            <w:vAlign w:val="center"/>
          </w:tcPr>
          <w:p w:rsidR="00AF645C" w:rsidRPr="00DC216E" w:rsidRDefault="00AF645C" w:rsidP="00B5166D">
            <w:pPr>
              <w:spacing w:after="0" w:line="240" w:lineRule="auto"/>
              <w:jc w:val="both"/>
              <w:rPr>
                <w:rFonts w:ascii="Times New Roman" w:eastAsia="Times New Roman" w:hAnsi="Times New Roman"/>
                <w:color w:val="000000"/>
                <w:sz w:val="20"/>
                <w:szCs w:val="20"/>
              </w:rPr>
            </w:pPr>
            <w:r w:rsidRPr="00DC216E">
              <w:rPr>
                <w:rFonts w:ascii="Times New Roman" w:eastAsia="Times New Roman" w:hAnsi="Times New Roman"/>
                <w:color w:val="000000"/>
                <w:sz w:val="20"/>
                <w:szCs w:val="20"/>
              </w:rPr>
              <w:t xml:space="preserve">Existence de sites à forte concentration biologique </w:t>
            </w:r>
            <w:r w:rsidRPr="00DC216E">
              <w:rPr>
                <w:rFonts w:ascii="Times New Roman" w:eastAsia="Times New Roman" w:hAnsi="Times New Roman"/>
                <w:b/>
                <w:color w:val="000000"/>
                <w:sz w:val="20"/>
                <w:szCs w:val="20"/>
              </w:rPr>
              <w:t>(</w:t>
            </w:r>
            <w:r w:rsidRPr="00DC216E">
              <w:rPr>
                <w:rFonts w:ascii="Times New Roman" w:eastAsia="Times New Roman" w:hAnsi="Times New Roman"/>
                <w:color w:val="000000"/>
                <w:sz w:val="20"/>
                <w:szCs w:val="20"/>
              </w:rPr>
              <w:t>Forêts reliques sèches et dense avec des essences, végétation dominée par des cultures de rentes dans les zones intervention du</w:t>
            </w:r>
            <w:r w:rsidR="00B5166D">
              <w:rPr>
                <w:rFonts w:ascii="Times New Roman" w:eastAsia="Times New Roman" w:hAnsi="Times New Roman"/>
                <w:color w:val="000000"/>
                <w:sz w:val="20"/>
                <w:szCs w:val="20"/>
              </w:rPr>
              <w:t xml:space="preserve"> PUASEE-FA</w:t>
            </w:r>
            <w:r w:rsidRPr="00DC216E">
              <w:rPr>
                <w:rFonts w:ascii="Times New Roman" w:eastAsia="Times New Roman" w:hAnsi="Times New Roman"/>
                <w:color w:val="000000"/>
                <w:sz w:val="20"/>
                <w:szCs w:val="20"/>
              </w:rPr>
              <w:t>.</w:t>
            </w:r>
          </w:p>
        </w:tc>
      </w:tr>
      <w:tr w:rsidR="00AF645C" w:rsidRPr="00DC216E" w:rsidTr="009E388B">
        <w:trPr>
          <w:trHeight w:val="756"/>
        </w:trPr>
        <w:tc>
          <w:tcPr>
            <w:tcW w:w="2987" w:type="dxa"/>
          </w:tcPr>
          <w:p w:rsidR="00AF645C" w:rsidRPr="00DC216E" w:rsidRDefault="00AF645C" w:rsidP="009E388B">
            <w:pPr>
              <w:spacing w:after="0" w:line="240" w:lineRule="auto"/>
              <w:ind w:right="-7"/>
              <w:jc w:val="both"/>
              <w:rPr>
                <w:rFonts w:ascii="Times New Roman" w:eastAsia="Times New Roman" w:hAnsi="Times New Roman"/>
                <w:b/>
                <w:color w:val="000000"/>
                <w:sz w:val="20"/>
                <w:szCs w:val="20"/>
              </w:rPr>
            </w:pPr>
            <w:r w:rsidRPr="00DC216E">
              <w:rPr>
                <w:rFonts w:ascii="Times New Roman" w:eastAsia="Times New Roman" w:hAnsi="Times New Roman"/>
                <w:b/>
                <w:color w:val="000000"/>
                <w:sz w:val="20"/>
                <w:szCs w:val="20"/>
              </w:rPr>
              <w:t xml:space="preserve">Convention africaine pour la protection des ressources naturelles </w:t>
            </w:r>
          </w:p>
        </w:tc>
        <w:tc>
          <w:tcPr>
            <w:tcW w:w="2983" w:type="dxa"/>
            <w:vAlign w:val="center"/>
          </w:tcPr>
          <w:p w:rsidR="00AF645C" w:rsidRPr="00DC216E" w:rsidRDefault="00AF645C" w:rsidP="009E388B">
            <w:pPr>
              <w:spacing w:after="0" w:line="240" w:lineRule="auto"/>
              <w:ind w:right="-142"/>
              <w:jc w:val="both"/>
              <w:rPr>
                <w:rFonts w:ascii="Times New Roman" w:eastAsia="Times New Roman" w:hAnsi="Times New Roman"/>
                <w:color w:val="000000"/>
                <w:sz w:val="20"/>
                <w:szCs w:val="20"/>
              </w:rPr>
            </w:pPr>
            <w:r w:rsidRPr="00DC216E">
              <w:rPr>
                <w:rFonts w:ascii="Times New Roman" w:eastAsia="Times New Roman" w:hAnsi="Times New Roman"/>
                <w:color w:val="000000"/>
                <w:sz w:val="20"/>
                <w:szCs w:val="20"/>
              </w:rPr>
              <w:t>Ressources naturelles africaines</w:t>
            </w:r>
          </w:p>
        </w:tc>
        <w:tc>
          <w:tcPr>
            <w:tcW w:w="3380" w:type="dxa"/>
          </w:tcPr>
          <w:p w:rsidR="00AF645C" w:rsidRPr="00DC216E" w:rsidRDefault="00AF645C" w:rsidP="009E388B">
            <w:pPr>
              <w:spacing w:after="0" w:line="240" w:lineRule="auto"/>
              <w:jc w:val="both"/>
              <w:rPr>
                <w:rFonts w:ascii="Times New Roman" w:eastAsia="Times New Roman" w:hAnsi="Times New Roman"/>
                <w:sz w:val="20"/>
                <w:szCs w:val="20"/>
              </w:rPr>
            </w:pPr>
            <w:r w:rsidRPr="00DC216E">
              <w:rPr>
                <w:rFonts w:ascii="Times New Roman" w:eastAsia="Times New Roman" w:hAnsi="Times New Roman"/>
                <w:sz w:val="20"/>
                <w:szCs w:val="20"/>
              </w:rPr>
              <w:t>Les activités ne doivent pas être une source de dégradation des ressources naturelles (cours d’eau, forets, terres agricoles, etc…)</w:t>
            </w:r>
          </w:p>
        </w:tc>
      </w:tr>
      <w:tr w:rsidR="00AF645C" w:rsidRPr="00DC216E" w:rsidTr="009E388B">
        <w:trPr>
          <w:trHeight w:val="256"/>
        </w:trPr>
        <w:tc>
          <w:tcPr>
            <w:tcW w:w="2987" w:type="dxa"/>
            <w:vAlign w:val="center"/>
          </w:tcPr>
          <w:p w:rsidR="00AF645C" w:rsidRPr="00DC216E" w:rsidRDefault="00AF645C" w:rsidP="009E388B">
            <w:pPr>
              <w:spacing w:after="0" w:line="240" w:lineRule="auto"/>
              <w:ind w:right="-142"/>
              <w:rPr>
                <w:rFonts w:ascii="Times New Roman" w:eastAsia="Times New Roman" w:hAnsi="Times New Roman"/>
                <w:b/>
                <w:color w:val="000000"/>
                <w:sz w:val="20"/>
                <w:szCs w:val="20"/>
              </w:rPr>
            </w:pPr>
            <w:r w:rsidRPr="00DC216E">
              <w:rPr>
                <w:rFonts w:ascii="Times New Roman" w:eastAsia="Times New Roman" w:hAnsi="Times New Roman"/>
                <w:b/>
                <w:color w:val="000000"/>
                <w:sz w:val="20"/>
                <w:szCs w:val="20"/>
              </w:rPr>
              <w:t>Convention de Bonn</w:t>
            </w:r>
          </w:p>
        </w:tc>
        <w:tc>
          <w:tcPr>
            <w:tcW w:w="2983" w:type="dxa"/>
            <w:vAlign w:val="center"/>
          </w:tcPr>
          <w:p w:rsidR="00AF645C" w:rsidRPr="00DC216E" w:rsidRDefault="00AF645C" w:rsidP="009E388B">
            <w:pPr>
              <w:spacing w:after="0" w:line="240" w:lineRule="auto"/>
              <w:ind w:right="-142"/>
              <w:rPr>
                <w:rFonts w:ascii="Times New Roman" w:eastAsia="Times New Roman" w:hAnsi="Times New Roman"/>
                <w:color w:val="000000"/>
                <w:sz w:val="20"/>
                <w:szCs w:val="20"/>
              </w:rPr>
            </w:pPr>
            <w:r w:rsidRPr="00DC216E">
              <w:rPr>
                <w:rFonts w:ascii="Times New Roman" w:eastAsia="Times New Roman" w:hAnsi="Times New Roman"/>
                <w:color w:val="000000"/>
                <w:sz w:val="20"/>
                <w:szCs w:val="20"/>
              </w:rPr>
              <w:t>Gestion des espèces migratoires</w:t>
            </w:r>
          </w:p>
        </w:tc>
        <w:tc>
          <w:tcPr>
            <w:tcW w:w="3380" w:type="dxa"/>
          </w:tcPr>
          <w:p w:rsidR="00AF645C" w:rsidRPr="00DC216E" w:rsidRDefault="00B5166D" w:rsidP="00B5166D">
            <w:pPr>
              <w:spacing w:after="0" w:line="240" w:lineRule="auto"/>
              <w:jc w:val="both"/>
              <w:rPr>
                <w:rFonts w:ascii="Times New Roman" w:eastAsia="Times New Roman" w:hAnsi="Times New Roman"/>
                <w:color w:val="000000"/>
                <w:sz w:val="20"/>
                <w:szCs w:val="20"/>
              </w:rPr>
            </w:pPr>
            <w:r>
              <w:rPr>
                <w:rFonts w:ascii="Times New Roman" w:eastAsia="Times New Roman" w:hAnsi="Times New Roman"/>
                <w:color w:val="000000"/>
                <w:sz w:val="20"/>
                <w:szCs w:val="20"/>
              </w:rPr>
              <w:t>Les travaux de construction des réservoirs</w:t>
            </w:r>
            <w:r w:rsidR="00AF645C" w:rsidRPr="00DC216E">
              <w:rPr>
                <w:rFonts w:ascii="Times New Roman" w:eastAsia="Times New Roman" w:hAnsi="Times New Roman"/>
                <w:color w:val="000000"/>
                <w:sz w:val="20"/>
                <w:szCs w:val="20"/>
              </w:rPr>
              <w:t xml:space="preserve"> ne devraient pas perturber durablement la migration des espèces ( les mammifères, les poissons, etc..)</w:t>
            </w:r>
          </w:p>
        </w:tc>
      </w:tr>
      <w:tr w:rsidR="00AF645C" w:rsidRPr="00DC216E" w:rsidTr="009E388B">
        <w:trPr>
          <w:trHeight w:val="423"/>
        </w:trPr>
        <w:tc>
          <w:tcPr>
            <w:tcW w:w="2987" w:type="dxa"/>
          </w:tcPr>
          <w:p w:rsidR="00AF645C" w:rsidRPr="00DC216E" w:rsidRDefault="00AF645C" w:rsidP="009E388B">
            <w:pPr>
              <w:spacing w:after="0" w:line="240" w:lineRule="auto"/>
              <w:ind w:left="32" w:right="-7"/>
              <w:jc w:val="both"/>
              <w:rPr>
                <w:rFonts w:ascii="Times New Roman" w:eastAsia="Times New Roman" w:hAnsi="Times New Roman"/>
                <w:b/>
                <w:color w:val="000000"/>
                <w:sz w:val="20"/>
                <w:szCs w:val="20"/>
              </w:rPr>
            </w:pPr>
            <w:r w:rsidRPr="00DC216E">
              <w:rPr>
                <w:rFonts w:ascii="Times New Roman" w:eastAsia="Times New Roman" w:hAnsi="Times New Roman"/>
                <w:b/>
                <w:color w:val="000000"/>
                <w:sz w:val="20"/>
                <w:szCs w:val="20"/>
              </w:rPr>
              <w:t xml:space="preserve">Convention sur la lutte contre la désertification </w:t>
            </w:r>
          </w:p>
        </w:tc>
        <w:tc>
          <w:tcPr>
            <w:tcW w:w="2983" w:type="dxa"/>
            <w:vAlign w:val="center"/>
          </w:tcPr>
          <w:p w:rsidR="00AF645C" w:rsidRPr="00DC216E" w:rsidRDefault="00AF645C" w:rsidP="009E388B">
            <w:pPr>
              <w:spacing w:after="0" w:line="240" w:lineRule="auto"/>
              <w:ind w:right="-142"/>
              <w:jc w:val="both"/>
              <w:rPr>
                <w:rFonts w:ascii="Times New Roman" w:eastAsia="Times New Roman" w:hAnsi="Times New Roman"/>
                <w:color w:val="000000"/>
                <w:sz w:val="20"/>
                <w:szCs w:val="20"/>
              </w:rPr>
            </w:pPr>
            <w:r w:rsidRPr="00DC216E">
              <w:rPr>
                <w:rFonts w:ascii="Times New Roman" w:eastAsia="Times New Roman" w:hAnsi="Times New Roman"/>
                <w:color w:val="000000"/>
                <w:sz w:val="20"/>
                <w:szCs w:val="20"/>
              </w:rPr>
              <w:t>Lutte contre la désertification au sahel</w:t>
            </w:r>
          </w:p>
        </w:tc>
        <w:tc>
          <w:tcPr>
            <w:tcW w:w="3380" w:type="dxa"/>
          </w:tcPr>
          <w:p w:rsidR="00AF645C" w:rsidRPr="00DC216E" w:rsidRDefault="00C11982" w:rsidP="00C11982">
            <w:pPr>
              <w:spacing w:after="0" w:line="240" w:lineRule="auto"/>
              <w:jc w:val="both"/>
              <w:rPr>
                <w:rFonts w:ascii="Times New Roman" w:eastAsia="Times New Roman" w:hAnsi="Times New Roman"/>
                <w:color w:val="000000"/>
                <w:sz w:val="20"/>
                <w:szCs w:val="20"/>
              </w:rPr>
            </w:pPr>
            <w:r>
              <w:rPr>
                <w:rFonts w:ascii="Times New Roman" w:eastAsia="Times New Roman" w:hAnsi="Times New Roman"/>
                <w:color w:val="000000"/>
                <w:sz w:val="20"/>
                <w:szCs w:val="20"/>
              </w:rPr>
              <w:t>Les travaux de construction des réservoirs</w:t>
            </w:r>
            <w:r w:rsidRPr="00DC216E">
              <w:rPr>
                <w:rFonts w:ascii="Times New Roman" w:eastAsia="Times New Roman" w:hAnsi="Times New Roman"/>
                <w:color w:val="000000"/>
                <w:sz w:val="20"/>
                <w:szCs w:val="20"/>
              </w:rPr>
              <w:t xml:space="preserve"> </w:t>
            </w:r>
            <w:r w:rsidR="00AF645C" w:rsidRPr="00DC216E">
              <w:rPr>
                <w:rFonts w:ascii="Times New Roman" w:eastAsia="Times New Roman" w:hAnsi="Times New Roman"/>
                <w:color w:val="000000"/>
                <w:sz w:val="20"/>
                <w:szCs w:val="20"/>
              </w:rPr>
              <w:t>pourraient inté</w:t>
            </w:r>
            <w:r>
              <w:rPr>
                <w:rFonts w:ascii="Times New Roman" w:eastAsia="Times New Roman" w:hAnsi="Times New Roman"/>
                <w:color w:val="000000"/>
                <w:sz w:val="20"/>
                <w:szCs w:val="20"/>
              </w:rPr>
              <w:t>grer les actions de reboisement.</w:t>
            </w:r>
          </w:p>
        </w:tc>
      </w:tr>
    </w:tbl>
    <w:p w:rsidR="00EC40FD" w:rsidRDefault="00C11982" w:rsidP="00C11982">
      <w:pPr>
        <w:pStyle w:val="PargrafodaLista"/>
        <w:keepNext/>
        <w:spacing w:before="240" w:after="240"/>
        <w:ind w:left="450" w:right="284" w:hanging="450"/>
        <w:jc w:val="both"/>
        <w:outlineLvl w:val="1"/>
        <w:rPr>
          <w:rFonts w:ascii="Times New Roman" w:hAnsi="Times New Roman"/>
          <w:b/>
          <w:sz w:val="24"/>
          <w:szCs w:val="24"/>
          <w:lang w:val="fr-FR" w:eastAsia="fr-FR"/>
        </w:rPr>
      </w:pPr>
      <w:bookmarkStart w:id="125" w:name="_Toc51072533"/>
      <w:r>
        <w:rPr>
          <w:rFonts w:ascii="Times New Roman" w:hAnsi="Times New Roman"/>
          <w:b/>
          <w:sz w:val="24"/>
          <w:szCs w:val="24"/>
          <w:lang w:val="fr-FR" w:eastAsia="fr-FR"/>
        </w:rPr>
        <w:t>3</w:t>
      </w:r>
      <w:r w:rsidR="00EC40FD" w:rsidRPr="006C0C34">
        <w:rPr>
          <w:rFonts w:ascii="Times New Roman" w:hAnsi="Times New Roman"/>
          <w:b/>
          <w:sz w:val="24"/>
          <w:szCs w:val="24"/>
          <w:lang w:val="fr-FR" w:eastAsia="fr-FR"/>
        </w:rPr>
        <w:t>.</w:t>
      </w:r>
      <w:r>
        <w:rPr>
          <w:rFonts w:ascii="Times New Roman" w:hAnsi="Times New Roman"/>
          <w:b/>
          <w:sz w:val="24"/>
          <w:szCs w:val="24"/>
          <w:lang w:val="fr-FR" w:eastAsia="fr-FR"/>
        </w:rPr>
        <w:t>3</w:t>
      </w:r>
      <w:r w:rsidR="00EC40FD" w:rsidRPr="006C0C34">
        <w:rPr>
          <w:rFonts w:ascii="Times New Roman" w:hAnsi="Times New Roman"/>
          <w:b/>
          <w:sz w:val="24"/>
          <w:szCs w:val="24"/>
          <w:lang w:val="fr-FR" w:eastAsia="fr-FR"/>
        </w:rPr>
        <w:t>. CADRE INSTITUTIONNEL</w:t>
      </w:r>
      <w:bookmarkEnd w:id="93"/>
      <w:bookmarkEnd w:id="125"/>
    </w:p>
    <w:p w:rsidR="0009317E" w:rsidRPr="006C0C34" w:rsidRDefault="0009317E" w:rsidP="00C11982">
      <w:pPr>
        <w:pStyle w:val="PargrafodaLista"/>
        <w:keepNext/>
        <w:spacing w:before="240" w:after="240"/>
        <w:ind w:left="450" w:right="284" w:hanging="450"/>
        <w:jc w:val="both"/>
        <w:rPr>
          <w:rFonts w:ascii="Times New Roman" w:hAnsi="Times New Roman"/>
          <w:b/>
          <w:sz w:val="24"/>
          <w:szCs w:val="24"/>
          <w:lang w:val="fr-FR" w:eastAsia="fr-FR"/>
        </w:rPr>
      </w:pPr>
    </w:p>
    <w:p w:rsidR="00CD0789" w:rsidRPr="006C0C34" w:rsidRDefault="00C11982" w:rsidP="00C11982">
      <w:pPr>
        <w:pStyle w:val="PargrafodaLista"/>
        <w:keepNext/>
        <w:spacing w:before="240" w:after="0"/>
        <w:ind w:left="450" w:right="284"/>
        <w:jc w:val="both"/>
        <w:outlineLvl w:val="2"/>
        <w:rPr>
          <w:rFonts w:ascii="Times New Roman" w:hAnsi="Times New Roman"/>
          <w:b/>
          <w:sz w:val="24"/>
          <w:szCs w:val="24"/>
          <w:lang w:val="fr-FR" w:eastAsia="fr-FR"/>
        </w:rPr>
      </w:pPr>
      <w:bookmarkStart w:id="126" w:name="_Toc51072534"/>
      <w:r>
        <w:rPr>
          <w:rFonts w:ascii="Times New Roman" w:hAnsi="Times New Roman"/>
          <w:b/>
          <w:sz w:val="24"/>
          <w:szCs w:val="24"/>
          <w:lang w:val="fr-FR" w:eastAsia="fr-FR"/>
        </w:rPr>
        <w:t>3.3</w:t>
      </w:r>
      <w:r w:rsidR="00CD0789" w:rsidRPr="006C0C34">
        <w:rPr>
          <w:rFonts w:ascii="Times New Roman" w:hAnsi="Times New Roman"/>
          <w:b/>
          <w:sz w:val="24"/>
          <w:szCs w:val="24"/>
          <w:lang w:val="fr-FR" w:eastAsia="fr-FR"/>
        </w:rPr>
        <w:t xml:space="preserve">.1. Cadre institutionnel du secteur </w:t>
      </w:r>
      <w:r w:rsidR="00BC2B65" w:rsidRPr="006C0C34">
        <w:rPr>
          <w:rFonts w:ascii="Times New Roman" w:hAnsi="Times New Roman"/>
          <w:b/>
          <w:sz w:val="24"/>
          <w:szCs w:val="24"/>
          <w:lang w:val="fr-FR" w:eastAsia="fr-FR"/>
        </w:rPr>
        <w:t>de l’eau</w:t>
      </w:r>
      <w:bookmarkEnd w:id="126"/>
      <w:r w:rsidR="00BC2B65" w:rsidRPr="006C0C34">
        <w:rPr>
          <w:rFonts w:ascii="Times New Roman" w:hAnsi="Times New Roman"/>
          <w:b/>
          <w:sz w:val="24"/>
          <w:szCs w:val="24"/>
          <w:lang w:val="fr-FR" w:eastAsia="fr-FR"/>
        </w:rPr>
        <w:t xml:space="preserve"> </w:t>
      </w:r>
    </w:p>
    <w:p w:rsidR="00CD0789" w:rsidRDefault="00CD0789" w:rsidP="00C11982">
      <w:pPr>
        <w:autoSpaceDE w:val="0"/>
        <w:autoSpaceDN w:val="0"/>
        <w:adjustRightInd w:val="0"/>
        <w:spacing w:after="0" w:line="240" w:lineRule="auto"/>
        <w:ind w:left="-284"/>
        <w:jc w:val="both"/>
        <w:rPr>
          <w:rFonts w:ascii="Times New Roman" w:hAnsi="Times New Roman" w:cs="Times New Roman"/>
          <w:sz w:val="24"/>
          <w:szCs w:val="24"/>
        </w:rPr>
      </w:pPr>
      <w:r w:rsidRPr="00C11982">
        <w:rPr>
          <w:rFonts w:ascii="Times New Roman" w:hAnsi="Times New Roman" w:cs="Times New Roman"/>
          <w:sz w:val="24"/>
          <w:szCs w:val="24"/>
        </w:rPr>
        <w:t>L’autorité de tutelle qui assure en Guinée Bissau les activités de production, transport et distribution de l’électricité et de l’eau est l’Entreprise de l’Electricité, Eau de Guinée Bissau</w:t>
      </w:r>
      <w:r w:rsidR="00171B33" w:rsidRPr="00C11982">
        <w:rPr>
          <w:rFonts w:ascii="Times New Roman" w:hAnsi="Times New Roman" w:cs="Times New Roman"/>
          <w:sz w:val="24"/>
          <w:szCs w:val="24"/>
        </w:rPr>
        <w:t xml:space="preserve"> (EAGB)</w:t>
      </w:r>
      <w:r w:rsidRPr="00C11982">
        <w:rPr>
          <w:rFonts w:ascii="Times New Roman" w:hAnsi="Times New Roman" w:cs="Times New Roman"/>
          <w:sz w:val="24"/>
          <w:szCs w:val="24"/>
        </w:rPr>
        <w:t>. Mais l’EAGB travaille en étroite collaboration avec le Ministère des Ressources Naturelles à travers respectivement la Direction des Ressources en Eau pour l’obtention des différentes autorisations à l’installation de ses infrastructures de production, de transport et de distribution de l’électricité et de l’eau. Leurs rôles respectifs se définissent comme suit :</w:t>
      </w:r>
    </w:p>
    <w:p w:rsidR="00C11982" w:rsidRPr="00C11982" w:rsidRDefault="00C11982" w:rsidP="00C11982">
      <w:pPr>
        <w:autoSpaceDE w:val="0"/>
        <w:autoSpaceDN w:val="0"/>
        <w:adjustRightInd w:val="0"/>
        <w:spacing w:after="0" w:line="240" w:lineRule="auto"/>
        <w:ind w:left="-284"/>
        <w:jc w:val="both"/>
        <w:rPr>
          <w:rFonts w:ascii="Times New Roman" w:hAnsi="Times New Roman" w:cs="Times New Roman"/>
          <w:sz w:val="24"/>
          <w:szCs w:val="24"/>
        </w:rPr>
      </w:pPr>
    </w:p>
    <w:p w:rsidR="00CD0789" w:rsidRPr="006C0C34" w:rsidRDefault="00CD0789" w:rsidP="00FA3FAE">
      <w:pPr>
        <w:pStyle w:val="PargrafodaLista"/>
        <w:numPr>
          <w:ilvl w:val="0"/>
          <w:numId w:val="16"/>
        </w:numPr>
        <w:spacing w:after="0"/>
        <w:rPr>
          <w:rFonts w:ascii="Times New Roman" w:hAnsi="Times New Roman"/>
          <w:b/>
          <w:sz w:val="24"/>
          <w:szCs w:val="24"/>
          <w:lang w:bidi="fr-FR"/>
        </w:rPr>
      </w:pPr>
      <w:r w:rsidRPr="006C0C34">
        <w:rPr>
          <w:rFonts w:ascii="Times New Roman" w:hAnsi="Times New Roman"/>
          <w:b/>
          <w:sz w:val="24"/>
          <w:szCs w:val="24"/>
          <w:lang w:bidi="fr-FR"/>
        </w:rPr>
        <w:t>Entreprise de l’Electricité et Eau de la Guinée Bissau (EAGB)</w:t>
      </w:r>
    </w:p>
    <w:p w:rsidR="00CD0789" w:rsidRPr="00C11982" w:rsidRDefault="00CD0789" w:rsidP="00C11982">
      <w:pPr>
        <w:autoSpaceDE w:val="0"/>
        <w:autoSpaceDN w:val="0"/>
        <w:adjustRightInd w:val="0"/>
        <w:spacing w:after="0" w:line="240" w:lineRule="auto"/>
        <w:ind w:left="-284"/>
        <w:jc w:val="both"/>
        <w:rPr>
          <w:rFonts w:ascii="Times New Roman" w:hAnsi="Times New Roman" w:cs="Times New Roman"/>
          <w:sz w:val="24"/>
          <w:szCs w:val="24"/>
        </w:rPr>
      </w:pPr>
      <w:r w:rsidRPr="00C11982">
        <w:rPr>
          <w:rFonts w:ascii="Times New Roman" w:hAnsi="Times New Roman" w:cs="Times New Roman"/>
          <w:sz w:val="24"/>
          <w:szCs w:val="24"/>
        </w:rPr>
        <w:t>L’EAGB est une personne morale de droit public doté d’autonomie administrative, financière et patrimoniale. Elle a pour objet sur tout le territoire de la Guinée-Bissau de réaliser toutes les opérations relevant de l’exploitation des services publics de production, transport et distribution, importation et exportation d’énergie électrique dans les zones urbaines et rurales. Elle a aussi pour rôle, l’établissement et l’exploitation des services publics de captation, adduction, conservation et distribution de l’eau dans les zones urbaines.</w:t>
      </w:r>
    </w:p>
    <w:p w:rsidR="00CD0789" w:rsidRDefault="00CD0789" w:rsidP="00C11982">
      <w:pPr>
        <w:autoSpaceDE w:val="0"/>
        <w:autoSpaceDN w:val="0"/>
        <w:adjustRightInd w:val="0"/>
        <w:spacing w:after="0" w:line="240" w:lineRule="auto"/>
        <w:ind w:left="-284"/>
        <w:jc w:val="both"/>
        <w:rPr>
          <w:rFonts w:ascii="Times New Roman" w:hAnsi="Times New Roman" w:cs="Times New Roman"/>
          <w:sz w:val="24"/>
          <w:szCs w:val="24"/>
        </w:rPr>
      </w:pPr>
      <w:r w:rsidRPr="00C11982">
        <w:rPr>
          <w:rFonts w:ascii="Times New Roman" w:hAnsi="Times New Roman" w:cs="Times New Roman"/>
          <w:sz w:val="24"/>
          <w:szCs w:val="24"/>
        </w:rPr>
        <w:t>L’EAGB peut également mener toutes les opérations financières mobilières et immobilières dépendant directement ou indirectement des actions et objets visés ci-dessus ou de nature à favoriser son développement. L’EAGB ne dispose ni d’un département environnement ni d’un point focal environnement.</w:t>
      </w:r>
    </w:p>
    <w:p w:rsidR="00C11982" w:rsidRPr="00C11982" w:rsidRDefault="00C11982" w:rsidP="00C11982">
      <w:pPr>
        <w:autoSpaceDE w:val="0"/>
        <w:autoSpaceDN w:val="0"/>
        <w:adjustRightInd w:val="0"/>
        <w:spacing w:after="0" w:line="240" w:lineRule="auto"/>
        <w:ind w:left="-284"/>
        <w:jc w:val="both"/>
        <w:rPr>
          <w:rFonts w:ascii="Times New Roman" w:hAnsi="Times New Roman" w:cs="Times New Roman"/>
          <w:sz w:val="24"/>
          <w:szCs w:val="24"/>
        </w:rPr>
      </w:pPr>
    </w:p>
    <w:p w:rsidR="00281E0C" w:rsidRPr="006C0C34" w:rsidRDefault="00281E0C" w:rsidP="00FA3FAE">
      <w:pPr>
        <w:pStyle w:val="PargrafodaLista"/>
        <w:numPr>
          <w:ilvl w:val="0"/>
          <w:numId w:val="16"/>
        </w:numPr>
        <w:spacing w:after="0"/>
        <w:rPr>
          <w:rFonts w:ascii="Times New Roman" w:hAnsi="Times New Roman"/>
          <w:b/>
          <w:sz w:val="24"/>
          <w:szCs w:val="24"/>
          <w:lang w:bidi="fr-FR"/>
        </w:rPr>
      </w:pPr>
      <w:r w:rsidRPr="006C0C34">
        <w:rPr>
          <w:rFonts w:ascii="Times New Roman" w:hAnsi="Times New Roman"/>
          <w:b/>
          <w:sz w:val="24"/>
          <w:szCs w:val="24"/>
          <w:lang w:bidi="fr-FR"/>
        </w:rPr>
        <w:t>Direction des Ressources en Hydriques (DRH)</w:t>
      </w:r>
    </w:p>
    <w:p w:rsidR="00281E0C" w:rsidRDefault="00281E0C" w:rsidP="00C11982">
      <w:pPr>
        <w:autoSpaceDE w:val="0"/>
        <w:autoSpaceDN w:val="0"/>
        <w:adjustRightInd w:val="0"/>
        <w:spacing w:after="0" w:line="240" w:lineRule="auto"/>
        <w:ind w:left="-284"/>
        <w:jc w:val="both"/>
        <w:rPr>
          <w:rFonts w:ascii="Times New Roman" w:hAnsi="Times New Roman" w:cs="Times New Roman"/>
          <w:sz w:val="24"/>
          <w:szCs w:val="24"/>
        </w:rPr>
      </w:pPr>
      <w:r w:rsidRPr="00C11982">
        <w:rPr>
          <w:rFonts w:ascii="Times New Roman" w:hAnsi="Times New Roman" w:cs="Times New Roman"/>
          <w:sz w:val="24"/>
          <w:szCs w:val="24"/>
        </w:rPr>
        <w:t>Le Ministère des Ressources Naturelles à travers la Direction des ressources Hydriques gère les ressources hydriques du domaine public en coopération avec d’autres autorités compétentes concernées selon les dispositions du décret-loi n°5-A-1992 et d’autres réglementations nécessaires. Le Ministère des Ressources naturelles a un point focal environnement qui travaille en collaboration avec l’AAAC sur les projets du domaine des ressources naturelles.</w:t>
      </w:r>
    </w:p>
    <w:p w:rsidR="00C11982" w:rsidRPr="00C11982" w:rsidRDefault="00C11982" w:rsidP="00C11982">
      <w:pPr>
        <w:autoSpaceDE w:val="0"/>
        <w:autoSpaceDN w:val="0"/>
        <w:adjustRightInd w:val="0"/>
        <w:spacing w:after="0" w:line="240" w:lineRule="auto"/>
        <w:ind w:left="-284"/>
        <w:jc w:val="both"/>
        <w:rPr>
          <w:rFonts w:ascii="Times New Roman" w:hAnsi="Times New Roman" w:cs="Times New Roman"/>
          <w:sz w:val="24"/>
          <w:szCs w:val="24"/>
        </w:rPr>
      </w:pPr>
    </w:p>
    <w:p w:rsidR="00054398" w:rsidRPr="00213160" w:rsidRDefault="00054398" w:rsidP="00FA3FAE">
      <w:pPr>
        <w:pStyle w:val="PargrafodaLista"/>
        <w:numPr>
          <w:ilvl w:val="0"/>
          <w:numId w:val="16"/>
        </w:numPr>
        <w:spacing w:after="0"/>
        <w:rPr>
          <w:rFonts w:ascii="Times New Roman" w:hAnsi="Times New Roman"/>
          <w:b/>
          <w:sz w:val="24"/>
          <w:szCs w:val="24"/>
          <w:lang w:bidi="fr-FR"/>
        </w:rPr>
      </w:pPr>
      <w:bookmarkStart w:id="127" w:name="_Toc17385774"/>
      <w:r w:rsidRPr="00213160">
        <w:rPr>
          <w:rFonts w:ascii="Times New Roman" w:hAnsi="Times New Roman"/>
          <w:b/>
          <w:sz w:val="24"/>
          <w:szCs w:val="24"/>
          <w:lang w:bidi="fr-FR"/>
        </w:rPr>
        <w:t>Ministère des Travaux Publics, de l’Habitat et de l'Urbanisme</w:t>
      </w:r>
      <w:bookmarkEnd w:id="127"/>
    </w:p>
    <w:p w:rsidR="00054398" w:rsidRPr="00C11982" w:rsidRDefault="00054398" w:rsidP="00C11982">
      <w:pPr>
        <w:autoSpaceDE w:val="0"/>
        <w:autoSpaceDN w:val="0"/>
        <w:adjustRightInd w:val="0"/>
        <w:spacing w:after="0" w:line="240" w:lineRule="auto"/>
        <w:ind w:left="-284"/>
        <w:jc w:val="both"/>
        <w:rPr>
          <w:rFonts w:ascii="Times New Roman" w:hAnsi="Times New Roman" w:cs="Times New Roman"/>
          <w:sz w:val="24"/>
          <w:szCs w:val="24"/>
        </w:rPr>
      </w:pPr>
      <w:r w:rsidRPr="00C11982">
        <w:rPr>
          <w:rFonts w:ascii="Times New Roman" w:hAnsi="Times New Roman" w:cs="Times New Roman"/>
          <w:sz w:val="24"/>
          <w:szCs w:val="24"/>
        </w:rPr>
        <w:lastRenderedPageBreak/>
        <w:t>Le Ministère des Travaux Publics, de l’Habitat et de l'Urbanisme est responsable de la planification, de la promotion, de la régulation, du contrôle et de la coordination des activités contribuant au développement de tous les modes de transport. À ce titre, il est responsable des infrastructures de transport routier. A ce titre, il assure la maitrise d’ouvrage à travers la Direction Générale des Infrastructures de Transport (DGIT) qui est responsable de la gestion stratégique et opérationnelle de toutes les infrastructures routières et des traversiers fluviaux.</w:t>
      </w:r>
    </w:p>
    <w:p w:rsidR="00054398" w:rsidRPr="00C11982" w:rsidRDefault="00C11982" w:rsidP="00C11982">
      <w:pPr>
        <w:pStyle w:val="PargrafodaLista"/>
        <w:keepNext/>
        <w:spacing w:before="240" w:after="0"/>
        <w:ind w:left="450" w:right="284"/>
        <w:jc w:val="both"/>
        <w:outlineLvl w:val="2"/>
        <w:rPr>
          <w:rFonts w:ascii="Times New Roman" w:hAnsi="Times New Roman"/>
          <w:b/>
          <w:sz w:val="24"/>
          <w:szCs w:val="24"/>
          <w:lang w:val="fr-FR" w:eastAsia="fr-FR"/>
        </w:rPr>
      </w:pPr>
      <w:bookmarkStart w:id="128" w:name="_Toc51072535"/>
      <w:r>
        <w:rPr>
          <w:rFonts w:ascii="Times New Roman" w:hAnsi="Times New Roman"/>
          <w:b/>
          <w:sz w:val="24"/>
          <w:szCs w:val="24"/>
          <w:lang w:val="fr-FR" w:eastAsia="fr-FR"/>
        </w:rPr>
        <w:t xml:space="preserve">3.3.2. </w:t>
      </w:r>
      <w:r w:rsidR="00054398" w:rsidRPr="00C11982">
        <w:rPr>
          <w:rFonts w:ascii="Times New Roman" w:hAnsi="Times New Roman"/>
          <w:b/>
          <w:sz w:val="24"/>
          <w:szCs w:val="24"/>
          <w:lang w:val="fr-FR" w:eastAsia="fr-FR"/>
        </w:rPr>
        <w:t>Cadre institutionnelle de gestion environnementale du projet</w:t>
      </w:r>
      <w:bookmarkEnd w:id="128"/>
    </w:p>
    <w:p w:rsidR="00054398" w:rsidRDefault="00054398" w:rsidP="00C11982">
      <w:pPr>
        <w:autoSpaceDE w:val="0"/>
        <w:autoSpaceDN w:val="0"/>
        <w:adjustRightInd w:val="0"/>
        <w:spacing w:after="0" w:line="240" w:lineRule="auto"/>
        <w:ind w:left="-284"/>
        <w:jc w:val="both"/>
        <w:rPr>
          <w:rFonts w:ascii="Times New Roman" w:hAnsi="Times New Roman" w:cs="Times New Roman"/>
          <w:sz w:val="24"/>
          <w:szCs w:val="24"/>
        </w:rPr>
      </w:pPr>
      <w:r w:rsidRPr="00C11982">
        <w:rPr>
          <w:rFonts w:ascii="Times New Roman" w:hAnsi="Times New Roman" w:cs="Times New Roman"/>
          <w:sz w:val="24"/>
          <w:szCs w:val="24"/>
        </w:rPr>
        <w:t>En Guinée Bissau, la gestion environnementale relève de l’autorité du Secrétariat d’Etat à l’environnement à travers la Direction Générale de l’Environnement. L’Autorité Compétente d’Evaluation Environnementale rattachée directement au SEE, assure la mise en œuvre de la procédure d’Evaluation environnementale dans le pays.</w:t>
      </w:r>
    </w:p>
    <w:p w:rsidR="00C11982" w:rsidRPr="00C11982" w:rsidRDefault="00C11982" w:rsidP="00C11982">
      <w:pPr>
        <w:autoSpaceDE w:val="0"/>
        <w:autoSpaceDN w:val="0"/>
        <w:adjustRightInd w:val="0"/>
        <w:spacing w:after="0" w:line="240" w:lineRule="auto"/>
        <w:ind w:left="-284"/>
        <w:jc w:val="both"/>
        <w:rPr>
          <w:rFonts w:ascii="Times New Roman" w:hAnsi="Times New Roman" w:cs="Times New Roman"/>
          <w:sz w:val="24"/>
          <w:szCs w:val="24"/>
        </w:rPr>
      </w:pPr>
    </w:p>
    <w:p w:rsidR="00054398" w:rsidRPr="006C0C34" w:rsidRDefault="00054398" w:rsidP="00FA3FAE">
      <w:pPr>
        <w:pStyle w:val="PargrafodaLista"/>
        <w:numPr>
          <w:ilvl w:val="0"/>
          <w:numId w:val="16"/>
        </w:numPr>
        <w:spacing w:after="0"/>
        <w:rPr>
          <w:rFonts w:ascii="Times New Roman" w:hAnsi="Times New Roman"/>
          <w:b/>
          <w:sz w:val="24"/>
          <w:szCs w:val="24"/>
          <w:lang w:bidi="fr-FR"/>
        </w:rPr>
      </w:pPr>
      <w:r w:rsidRPr="006C0C34">
        <w:rPr>
          <w:rFonts w:ascii="Times New Roman" w:hAnsi="Times New Roman"/>
          <w:b/>
          <w:sz w:val="24"/>
          <w:szCs w:val="24"/>
          <w:lang w:bidi="fr-FR"/>
        </w:rPr>
        <w:t>Le Secrétariat d’Etat à l’Environnement (SEE)</w:t>
      </w:r>
    </w:p>
    <w:p w:rsidR="00054398" w:rsidRDefault="00054398" w:rsidP="00C11982">
      <w:pPr>
        <w:autoSpaceDE w:val="0"/>
        <w:autoSpaceDN w:val="0"/>
        <w:adjustRightInd w:val="0"/>
        <w:spacing w:after="0" w:line="240" w:lineRule="auto"/>
        <w:ind w:left="-284"/>
        <w:jc w:val="both"/>
        <w:rPr>
          <w:rFonts w:ascii="Times New Roman" w:hAnsi="Times New Roman" w:cs="Times New Roman"/>
          <w:sz w:val="24"/>
          <w:szCs w:val="24"/>
        </w:rPr>
      </w:pPr>
      <w:bookmarkStart w:id="129" w:name="_Toc443331474"/>
      <w:r w:rsidRPr="00C11982">
        <w:rPr>
          <w:rFonts w:ascii="Times New Roman" w:hAnsi="Times New Roman" w:cs="Times New Roman"/>
          <w:sz w:val="24"/>
          <w:szCs w:val="24"/>
        </w:rPr>
        <w:t>La Secrétariat d’Etat à l’Environnement a pour mission l’élaboration, la coordination et l’application de la politique et de l’action environnementale et de Développement Durable au niveau national dont la gestion implique autre acteur, notamment les collectivités locales. Il est aussi appuyé dans sa mission par plusieurs structures techniques dont la Direction Générale de l’Environnement (DGE).</w:t>
      </w:r>
      <w:bookmarkEnd w:id="129"/>
      <w:r w:rsidRPr="00C11982">
        <w:rPr>
          <w:rFonts w:ascii="Times New Roman" w:hAnsi="Times New Roman" w:cs="Times New Roman"/>
          <w:sz w:val="24"/>
          <w:szCs w:val="24"/>
        </w:rPr>
        <w:t xml:space="preserve"> </w:t>
      </w:r>
    </w:p>
    <w:p w:rsidR="00C11982" w:rsidRPr="00C11982" w:rsidRDefault="00C11982" w:rsidP="00C11982">
      <w:pPr>
        <w:autoSpaceDE w:val="0"/>
        <w:autoSpaceDN w:val="0"/>
        <w:adjustRightInd w:val="0"/>
        <w:spacing w:after="0" w:line="240" w:lineRule="auto"/>
        <w:ind w:left="-284"/>
        <w:jc w:val="both"/>
        <w:rPr>
          <w:rFonts w:ascii="Times New Roman" w:hAnsi="Times New Roman" w:cs="Times New Roman"/>
          <w:sz w:val="24"/>
          <w:szCs w:val="24"/>
        </w:rPr>
      </w:pPr>
    </w:p>
    <w:p w:rsidR="00054398" w:rsidRPr="006C0C34" w:rsidRDefault="00054398" w:rsidP="00FA3FAE">
      <w:pPr>
        <w:pStyle w:val="PargrafodaLista"/>
        <w:numPr>
          <w:ilvl w:val="0"/>
          <w:numId w:val="16"/>
        </w:numPr>
        <w:spacing w:after="0"/>
        <w:rPr>
          <w:rFonts w:ascii="Times New Roman" w:hAnsi="Times New Roman"/>
          <w:b/>
          <w:sz w:val="24"/>
          <w:szCs w:val="24"/>
          <w:lang w:bidi="fr-FR"/>
        </w:rPr>
      </w:pPr>
      <w:r w:rsidRPr="006C0C34">
        <w:rPr>
          <w:rFonts w:ascii="Times New Roman" w:hAnsi="Times New Roman"/>
          <w:b/>
          <w:sz w:val="24"/>
          <w:szCs w:val="24"/>
          <w:lang w:bidi="fr-FR"/>
        </w:rPr>
        <w:t>La Direction Générale de l’environnement (DGE)</w:t>
      </w:r>
    </w:p>
    <w:p w:rsidR="00054398" w:rsidRDefault="00054398" w:rsidP="00C11982">
      <w:pPr>
        <w:autoSpaceDE w:val="0"/>
        <w:autoSpaceDN w:val="0"/>
        <w:adjustRightInd w:val="0"/>
        <w:spacing w:after="0" w:line="240" w:lineRule="auto"/>
        <w:ind w:left="-284"/>
        <w:jc w:val="both"/>
        <w:rPr>
          <w:rFonts w:ascii="Times New Roman" w:hAnsi="Times New Roman" w:cs="Times New Roman"/>
          <w:sz w:val="24"/>
          <w:szCs w:val="24"/>
        </w:rPr>
      </w:pPr>
      <w:bookmarkStart w:id="130" w:name="_Toc443331476"/>
      <w:r w:rsidRPr="00C11982">
        <w:rPr>
          <w:rFonts w:ascii="Times New Roman" w:hAnsi="Times New Roman" w:cs="Times New Roman"/>
          <w:sz w:val="24"/>
          <w:szCs w:val="24"/>
        </w:rPr>
        <w:t>La DGE est l’institution chargée de la mise en œuvre et du suivi de la politique environnementale et de développement durable. Elle a pour mission l’élaboration des éléments de la politique nationale en matière d’environnement et de développement durable. Elle doit également participer au suivi de la mise en œuvre des PGES, des plans, politiques et programmes.</w:t>
      </w:r>
      <w:bookmarkEnd w:id="130"/>
      <w:r w:rsidRPr="00C11982">
        <w:rPr>
          <w:rFonts w:ascii="Times New Roman" w:hAnsi="Times New Roman" w:cs="Times New Roman"/>
          <w:sz w:val="24"/>
          <w:szCs w:val="24"/>
        </w:rPr>
        <w:t xml:space="preserve"> </w:t>
      </w:r>
    </w:p>
    <w:p w:rsidR="00C11982" w:rsidRPr="00C11982" w:rsidRDefault="00C11982" w:rsidP="00C11982">
      <w:pPr>
        <w:autoSpaceDE w:val="0"/>
        <w:autoSpaceDN w:val="0"/>
        <w:adjustRightInd w:val="0"/>
        <w:spacing w:after="0" w:line="240" w:lineRule="auto"/>
        <w:ind w:left="-284"/>
        <w:jc w:val="both"/>
        <w:rPr>
          <w:rFonts w:ascii="Times New Roman" w:hAnsi="Times New Roman" w:cs="Times New Roman"/>
          <w:sz w:val="24"/>
          <w:szCs w:val="24"/>
        </w:rPr>
      </w:pPr>
    </w:p>
    <w:p w:rsidR="00054398" w:rsidRPr="00213160" w:rsidRDefault="00054398" w:rsidP="00FA3FAE">
      <w:pPr>
        <w:pStyle w:val="PargrafodaLista"/>
        <w:numPr>
          <w:ilvl w:val="0"/>
          <w:numId w:val="16"/>
        </w:numPr>
        <w:spacing w:after="0"/>
        <w:rPr>
          <w:rFonts w:ascii="Times New Roman" w:hAnsi="Times New Roman"/>
          <w:b/>
          <w:sz w:val="24"/>
          <w:szCs w:val="24"/>
          <w:lang w:bidi="fr-FR"/>
        </w:rPr>
      </w:pPr>
      <w:r w:rsidRPr="00213160">
        <w:rPr>
          <w:rFonts w:ascii="Times New Roman" w:hAnsi="Times New Roman"/>
          <w:b/>
          <w:sz w:val="24"/>
          <w:szCs w:val="24"/>
          <w:lang w:bidi="fr-FR"/>
        </w:rPr>
        <w:t xml:space="preserve">Autorité d’Evaluation Environnementale Compétente (AAAC) </w:t>
      </w:r>
    </w:p>
    <w:p w:rsidR="007A6F13" w:rsidRPr="00C11982" w:rsidRDefault="00054398" w:rsidP="00C11982">
      <w:pPr>
        <w:autoSpaceDE w:val="0"/>
        <w:autoSpaceDN w:val="0"/>
        <w:adjustRightInd w:val="0"/>
        <w:spacing w:after="0" w:line="240" w:lineRule="auto"/>
        <w:ind w:left="-284"/>
        <w:jc w:val="both"/>
        <w:rPr>
          <w:rFonts w:ascii="Times New Roman" w:hAnsi="Times New Roman" w:cs="Times New Roman"/>
          <w:sz w:val="24"/>
          <w:szCs w:val="24"/>
        </w:rPr>
      </w:pPr>
      <w:bookmarkStart w:id="131" w:name="_Toc443331478"/>
      <w:r w:rsidRPr="00C11982">
        <w:rPr>
          <w:rFonts w:ascii="Times New Roman" w:hAnsi="Times New Roman" w:cs="Times New Roman"/>
          <w:sz w:val="24"/>
          <w:szCs w:val="24"/>
        </w:rPr>
        <w:t xml:space="preserve">L’Autorité d’Evaluation Environnementale Compétente (AAAC) est rattachée au Secrétariat d’Etat à l’Environnement. Elle est chargée de la coordination et du suivi de toute la procédure d’Evaluation Environnementale en Guinée Bissau. L’AAAC dispose de compétences humaines réduites dans le domaine des Evaluations et Etudes d’Impacts sur l’Environnement même si elle s’appuie sur des institutions sectorielles pour mener à bien sa mission. En effet, elle ne dispose de points focaux au niveau central de l’administration et au niveau régional également. </w:t>
      </w:r>
    </w:p>
    <w:p w:rsidR="00C11982" w:rsidRDefault="00054398" w:rsidP="00C11982">
      <w:pPr>
        <w:autoSpaceDE w:val="0"/>
        <w:autoSpaceDN w:val="0"/>
        <w:adjustRightInd w:val="0"/>
        <w:spacing w:after="0" w:line="240" w:lineRule="auto"/>
        <w:ind w:left="-284"/>
        <w:jc w:val="both"/>
        <w:rPr>
          <w:rFonts w:ascii="Times New Roman" w:hAnsi="Times New Roman" w:cs="Times New Roman"/>
          <w:sz w:val="24"/>
          <w:szCs w:val="24"/>
        </w:rPr>
      </w:pPr>
      <w:r w:rsidRPr="00C11982">
        <w:rPr>
          <w:rFonts w:ascii="Times New Roman" w:hAnsi="Times New Roman" w:cs="Times New Roman"/>
          <w:sz w:val="24"/>
          <w:szCs w:val="24"/>
        </w:rPr>
        <w:t>Ces Points Focaux représentent leurs ministères respectifs lors des séances d’examen et de validation des EIES, animent au sein de leurs départements respectifs la fonction environnementale et veillent à l’intégration des préoccupations environnementales et sociales dans leurs programmes et projets sectoriels.</w:t>
      </w:r>
    </w:p>
    <w:p w:rsidR="00054398" w:rsidRPr="00C11982" w:rsidRDefault="00054398" w:rsidP="00C11982">
      <w:pPr>
        <w:autoSpaceDE w:val="0"/>
        <w:autoSpaceDN w:val="0"/>
        <w:adjustRightInd w:val="0"/>
        <w:spacing w:after="0" w:line="240" w:lineRule="auto"/>
        <w:ind w:left="-284"/>
        <w:jc w:val="both"/>
        <w:rPr>
          <w:rFonts w:ascii="Times New Roman" w:hAnsi="Times New Roman" w:cs="Times New Roman"/>
          <w:sz w:val="24"/>
          <w:szCs w:val="24"/>
        </w:rPr>
      </w:pPr>
      <w:r w:rsidRPr="00C11982">
        <w:rPr>
          <w:rFonts w:ascii="Times New Roman" w:hAnsi="Times New Roman" w:cs="Times New Roman"/>
          <w:sz w:val="24"/>
          <w:szCs w:val="24"/>
        </w:rPr>
        <w:t xml:space="preserve"> </w:t>
      </w:r>
      <w:bookmarkEnd w:id="131"/>
    </w:p>
    <w:p w:rsidR="007A6F13" w:rsidRPr="00213160" w:rsidRDefault="00067282" w:rsidP="00FA3FAE">
      <w:pPr>
        <w:pStyle w:val="PargrafodaLista"/>
        <w:numPr>
          <w:ilvl w:val="0"/>
          <w:numId w:val="16"/>
        </w:numPr>
        <w:spacing w:after="0"/>
        <w:rPr>
          <w:rFonts w:ascii="Times New Roman" w:hAnsi="Times New Roman"/>
          <w:b/>
          <w:sz w:val="24"/>
          <w:szCs w:val="24"/>
          <w:lang w:bidi="fr-FR"/>
        </w:rPr>
      </w:pPr>
      <w:r w:rsidRPr="00213160">
        <w:rPr>
          <w:rFonts w:ascii="Times New Roman" w:hAnsi="Times New Roman"/>
          <w:b/>
          <w:sz w:val="24"/>
          <w:szCs w:val="24"/>
          <w:lang w:bidi="fr-FR"/>
        </w:rPr>
        <w:t xml:space="preserve"> </w:t>
      </w:r>
      <w:bookmarkStart w:id="132" w:name="_Toc17385779"/>
      <w:r w:rsidR="007A6F13" w:rsidRPr="00213160">
        <w:rPr>
          <w:rFonts w:ascii="Times New Roman" w:hAnsi="Times New Roman"/>
          <w:b/>
          <w:sz w:val="24"/>
          <w:szCs w:val="24"/>
          <w:lang w:bidi="fr-FR"/>
        </w:rPr>
        <w:t>Institut de Biodiversité et des Aires Protégées (IBAP) :</w:t>
      </w:r>
      <w:bookmarkEnd w:id="132"/>
    </w:p>
    <w:p w:rsidR="007A6F13" w:rsidRPr="00C11982" w:rsidRDefault="007A6F13" w:rsidP="00C11982">
      <w:pPr>
        <w:autoSpaceDE w:val="0"/>
        <w:autoSpaceDN w:val="0"/>
        <w:adjustRightInd w:val="0"/>
        <w:spacing w:after="0" w:line="240" w:lineRule="auto"/>
        <w:ind w:left="-284"/>
        <w:jc w:val="both"/>
        <w:rPr>
          <w:rFonts w:ascii="Times New Roman" w:hAnsi="Times New Roman" w:cs="Times New Roman"/>
          <w:sz w:val="24"/>
          <w:szCs w:val="24"/>
        </w:rPr>
      </w:pPr>
      <w:r w:rsidRPr="00C11982">
        <w:rPr>
          <w:rFonts w:ascii="Times New Roman" w:hAnsi="Times New Roman" w:cs="Times New Roman"/>
          <w:sz w:val="24"/>
          <w:szCs w:val="24"/>
        </w:rPr>
        <w:t>L’IBAP est responsable de la gestion des parcs et de la gestion et suivi des principales valeurs de la biodiversité (espèces, et habitats menacés) en Guinée-Bissau. L'IBAP a une autonomie administrative et financière pouvant assurer une continuité et une stabilité vis-à-vis de sa capacité de mener à bien les activités qui lui sont confiées, il sera renforcé avec la mise en place d’une Fondation de la Biodiversité qui va garantir un financement durable du réseau des aires protégées et des activités liées à la conservation de la biodiversité.</w:t>
      </w:r>
    </w:p>
    <w:p w:rsidR="00CD0789" w:rsidRPr="00C11982" w:rsidRDefault="00C11982" w:rsidP="00C11982">
      <w:pPr>
        <w:pStyle w:val="PargrafodaLista"/>
        <w:keepNext/>
        <w:spacing w:before="240" w:after="0"/>
        <w:ind w:left="450" w:right="284"/>
        <w:jc w:val="both"/>
        <w:outlineLvl w:val="2"/>
        <w:rPr>
          <w:rFonts w:ascii="Times New Roman" w:hAnsi="Times New Roman"/>
          <w:b/>
          <w:sz w:val="24"/>
          <w:szCs w:val="24"/>
          <w:lang w:val="fr-FR" w:eastAsia="fr-FR"/>
        </w:rPr>
      </w:pPr>
      <w:bookmarkStart w:id="133" w:name="_Toc51072536"/>
      <w:r>
        <w:rPr>
          <w:rFonts w:ascii="Times New Roman" w:hAnsi="Times New Roman"/>
          <w:b/>
          <w:sz w:val="24"/>
          <w:szCs w:val="24"/>
          <w:lang w:val="fr-FR" w:eastAsia="fr-FR"/>
        </w:rPr>
        <w:t>3.3.3</w:t>
      </w:r>
      <w:r w:rsidR="00281E0C" w:rsidRPr="00C11982">
        <w:rPr>
          <w:rFonts w:ascii="Times New Roman" w:hAnsi="Times New Roman"/>
          <w:b/>
          <w:sz w:val="24"/>
          <w:szCs w:val="24"/>
          <w:lang w:val="fr-FR" w:eastAsia="fr-FR"/>
        </w:rPr>
        <w:t xml:space="preserve">. Cadre Institutionnel de Mise en Œuvre du </w:t>
      </w:r>
      <w:r>
        <w:rPr>
          <w:rFonts w:ascii="Times New Roman" w:hAnsi="Times New Roman"/>
          <w:b/>
          <w:sz w:val="24"/>
          <w:szCs w:val="24"/>
          <w:lang w:val="fr-FR" w:eastAsia="fr-FR"/>
        </w:rPr>
        <w:t>sous-p</w:t>
      </w:r>
      <w:r w:rsidR="00281E0C" w:rsidRPr="00C11982">
        <w:rPr>
          <w:rFonts w:ascii="Times New Roman" w:hAnsi="Times New Roman"/>
          <w:b/>
          <w:sz w:val="24"/>
          <w:szCs w:val="24"/>
          <w:lang w:val="fr-FR" w:eastAsia="fr-FR"/>
        </w:rPr>
        <w:t>rojet</w:t>
      </w:r>
      <w:r>
        <w:rPr>
          <w:rFonts w:ascii="Times New Roman" w:hAnsi="Times New Roman"/>
          <w:b/>
          <w:sz w:val="24"/>
          <w:szCs w:val="24"/>
          <w:lang w:val="fr-FR" w:eastAsia="fr-FR"/>
        </w:rPr>
        <w:t xml:space="preserve"> n°2</w:t>
      </w:r>
      <w:bookmarkEnd w:id="133"/>
    </w:p>
    <w:p w:rsidR="00281E0C" w:rsidRDefault="00281E0C" w:rsidP="00C11982">
      <w:pPr>
        <w:autoSpaceDE w:val="0"/>
        <w:autoSpaceDN w:val="0"/>
        <w:adjustRightInd w:val="0"/>
        <w:spacing w:after="0" w:line="240" w:lineRule="auto"/>
        <w:ind w:left="-284"/>
        <w:jc w:val="both"/>
        <w:rPr>
          <w:rFonts w:ascii="Times New Roman" w:hAnsi="Times New Roman" w:cs="Times New Roman"/>
          <w:sz w:val="24"/>
          <w:szCs w:val="24"/>
        </w:rPr>
      </w:pPr>
      <w:r w:rsidRPr="00C11982">
        <w:rPr>
          <w:rFonts w:ascii="Times New Roman" w:hAnsi="Times New Roman" w:cs="Times New Roman"/>
          <w:sz w:val="24"/>
          <w:szCs w:val="24"/>
        </w:rPr>
        <w:t>Le PUASEE est mis en œuvre par une Unité d’implémentation du Projet sous l’autorité du comité de pilotage composée des ministres des institutions impliquées dans la mise en œuvre du projet.</w:t>
      </w:r>
    </w:p>
    <w:p w:rsidR="00C11982" w:rsidRPr="00C11982" w:rsidRDefault="00C11982" w:rsidP="00C11982">
      <w:pPr>
        <w:autoSpaceDE w:val="0"/>
        <w:autoSpaceDN w:val="0"/>
        <w:adjustRightInd w:val="0"/>
        <w:spacing w:after="0" w:line="240" w:lineRule="auto"/>
        <w:ind w:left="-284"/>
        <w:jc w:val="both"/>
        <w:rPr>
          <w:rFonts w:ascii="Times New Roman" w:hAnsi="Times New Roman" w:cs="Times New Roman"/>
          <w:sz w:val="24"/>
          <w:szCs w:val="24"/>
        </w:rPr>
      </w:pPr>
    </w:p>
    <w:p w:rsidR="00CD0789" w:rsidRPr="006C0C34" w:rsidRDefault="00701281" w:rsidP="00FA3FAE">
      <w:pPr>
        <w:pStyle w:val="PargrafodaLista"/>
        <w:numPr>
          <w:ilvl w:val="0"/>
          <w:numId w:val="16"/>
        </w:numPr>
        <w:spacing w:after="0"/>
        <w:rPr>
          <w:rFonts w:ascii="Times New Roman" w:hAnsi="Times New Roman"/>
          <w:b/>
          <w:sz w:val="24"/>
          <w:szCs w:val="24"/>
          <w:lang w:bidi="fr-FR"/>
        </w:rPr>
      </w:pPr>
      <w:r w:rsidRPr="006C0C34">
        <w:rPr>
          <w:rFonts w:ascii="Times New Roman" w:hAnsi="Times New Roman"/>
          <w:b/>
          <w:sz w:val="24"/>
          <w:szCs w:val="24"/>
          <w:lang w:bidi="fr-FR"/>
        </w:rPr>
        <w:t>Comité de pilotage du projet</w:t>
      </w:r>
      <w:r w:rsidR="00C11982">
        <w:rPr>
          <w:rFonts w:ascii="Times New Roman" w:hAnsi="Times New Roman"/>
          <w:b/>
          <w:sz w:val="24"/>
          <w:szCs w:val="24"/>
          <w:lang w:val="fr-FR" w:bidi="fr-FR"/>
        </w:rPr>
        <w:t xml:space="preserve"> PUASEE-FA</w:t>
      </w:r>
    </w:p>
    <w:p w:rsidR="00701281" w:rsidRDefault="00C11982" w:rsidP="00C11982">
      <w:pPr>
        <w:autoSpaceDE w:val="0"/>
        <w:autoSpaceDN w:val="0"/>
        <w:adjustRightInd w:val="0"/>
        <w:spacing w:after="0" w:line="240" w:lineRule="auto"/>
        <w:ind w:left="-284"/>
        <w:jc w:val="both"/>
        <w:rPr>
          <w:rFonts w:ascii="Times New Roman" w:hAnsi="Times New Roman" w:cs="Times New Roman"/>
          <w:color w:val="000000"/>
          <w:sz w:val="24"/>
          <w:szCs w:val="24"/>
        </w:rPr>
      </w:pPr>
      <w:r>
        <w:rPr>
          <w:rFonts w:ascii="Times New Roman" w:hAnsi="Times New Roman" w:cs="Times New Roman"/>
          <w:sz w:val="24"/>
          <w:szCs w:val="24"/>
        </w:rPr>
        <w:t xml:space="preserve">Le comité de pilotage du PUASEE-FA </w:t>
      </w:r>
      <w:r w:rsidR="00701281" w:rsidRPr="00C11982">
        <w:rPr>
          <w:rFonts w:ascii="Times New Roman" w:hAnsi="Times New Roman" w:cs="Times New Roman"/>
          <w:sz w:val="24"/>
          <w:szCs w:val="24"/>
        </w:rPr>
        <w:t xml:space="preserve">est composé du Ministre de l’Economie et des Finances, Ministre de l’Energie et de l’Industrie, Ministre des Ressources Naturelles et du Ministre de l’Environnement. Ces </w:t>
      </w:r>
      <w:r w:rsidR="00701281" w:rsidRPr="00C11982">
        <w:rPr>
          <w:rFonts w:ascii="Times New Roman" w:hAnsi="Times New Roman" w:cs="Times New Roman"/>
          <w:sz w:val="24"/>
          <w:szCs w:val="24"/>
        </w:rPr>
        <w:lastRenderedPageBreak/>
        <w:t>quatre ministres sont les membres du comité du pilotage et ont pour rôle de collaborer avec l’UIP dans la préparation et l’exécution du projet, de suivre et évaluer l’effectivité de la mise en œuvre des activités. Actuellement ce comité de pilotage ne joue pas réellement son rôle à cause non seulement de la situation politique du pays mais aussi du fait des nombreuses occupations de ces ministres. L’insuffisance relevée</w:t>
      </w:r>
      <w:r w:rsidR="00701281" w:rsidRPr="006C0C34">
        <w:rPr>
          <w:rFonts w:ascii="Times New Roman" w:hAnsi="Times New Roman" w:cs="Times New Roman"/>
          <w:color w:val="000000"/>
          <w:sz w:val="24"/>
          <w:szCs w:val="24"/>
        </w:rPr>
        <w:t xml:space="preserve"> ici est l’absence du Ministre des Infrastructures, certains travaux seront exécutés dans le domaine public et affecteront les infrastructures publiques en particulier les routes. Dans le cadre de l’appui du fonds additionnel, le comité devrait s’élargir à ce ministère en intégrant le ministre de tutelle.</w:t>
      </w:r>
    </w:p>
    <w:p w:rsidR="00C11982" w:rsidRPr="006C0C34" w:rsidRDefault="00C11982" w:rsidP="00C11982">
      <w:pPr>
        <w:autoSpaceDE w:val="0"/>
        <w:autoSpaceDN w:val="0"/>
        <w:adjustRightInd w:val="0"/>
        <w:spacing w:after="0" w:line="240" w:lineRule="auto"/>
        <w:ind w:left="-284"/>
        <w:jc w:val="both"/>
        <w:rPr>
          <w:rFonts w:ascii="Times New Roman" w:hAnsi="Times New Roman" w:cs="Times New Roman"/>
          <w:color w:val="000000"/>
          <w:sz w:val="24"/>
          <w:szCs w:val="24"/>
        </w:rPr>
      </w:pPr>
    </w:p>
    <w:p w:rsidR="00701281" w:rsidRPr="006C0C34" w:rsidRDefault="00701281" w:rsidP="00FA3FAE">
      <w:pPr>
        <w:pStyle w:val="PargrafodaLista"/>
        <w:numPr>
          <w:ilvl w:val="0"/>
          <w:numId w:val="16"/>
        </w:numPr>
        <w:spacing w:after="0"/>
        <w:rPr>
          <w:rFonts w:ascii="Times New Roman" w:hAnsi="Times New Roman"/>
          <w:b/>
          <w:sz w:val="24"/>
          <w:szCs w:val="24"/>
          <w:lang w:bidi="fr-FR"/>
        </w:rPr>
      </w:pPr>
      <w:r w:rsidRPr="006C0C34">
        <w:rPr>
          <w:rFonts w:ascii="Times New Roman" w:hAnsi="Times New Roman"/>
          <w:b/>
          <w:sz w:val="24"/>
          <w:szCs w:val="24"/>
          <w:lang w:bidi="fr-FR"/>
        </w:rPr>
        <w:t>Unité d’Implémentation du Projet (UIP)</w:t>
      </w:r>
    </w:p>
    <w:p w:rsidR="00701281" w:rsidRDefault="00701281" w:rsidP="00C11982">
      <w:pPr>
        <w:autoSpaceDE w:val="0"/>
        <w:autoSpaceDN w:val="0"/>
        <w:adjustRightInd w:val="0"/>
        <w:spacing w:after="0" w:line="240" w:lineRule="auto"/>
        <w:ind w:left="-284"/>
        <w:jc w:val="both"/>
        <w:rPr>
          <w:rFonts w:ascii="Times New Roman" w:hAnsi="Times New Roman" w:cs="Times New Roman"/>
          <w:sz w:val="24"/>
          <w:szCs w:val="24"/>
        </w:rPr>
      </w:pPr>
      <w:r w:rsidRPr="00C11982">
        <w:rPr>
          <w:rFonts w:ascii="Times New Roman" w:hAnsi="Times New Roman" w:cs="Times New Roman"/>
          <w:sz w:val="24"/>
          <w:szCs w:val="24"/>
        </w:rPr>
        <w:t>Dans le cadre de la mise en œuvre du projet, le PUASEE</w:t>
      </w:r>
      <w:r w:rsidR="00C11982">
        <w:rPr>
          <w:rFonts w:ascii="Times New Roman" w:hAnsi="Times New Roman" w:cs="Times New Roman"/>
          <w:sz w:val="24"/>
          <w:szCs w:val="24"/>
        </w:rPr>
        <w:t>-FA</w:t>
      </w:r>
      <w:r w:rsidRPr="00C11982">
        <w:rPr>
          <w:rFonts w:ascii="Times New Roman" w:hAnsi="Times New Roman" w:cs="Times New Roman"/>
          <w:sz w:val="24"/>
          <w:szCs w:val="24"/>
        </w:rPr>
        <w:t xml:space="preserve"> s’est dotée d’une équipe composée de sept (7) personnes qui assurent actuellement sa gestion. Il s’agit de : i) un coordonnateur qui coordonne les activités et en tant technicien dans le domaine électrique joue également le rôle de spécialiste en électricité dans le cadre des aspects techniques liés à cette activité dans le projet ; ii) le spécialiste en hydraulique qui assure tous les aspects techniques liés à l’installation des infrastructures hydrauliques et le suivi évaluation des activités du projet; iii) une spécialiste en gestion administrative et financière et iv) un comptable pour les questions administratives et financières ; v) un spécialiste en passation des marchés, v) une assistante de direction et un vi) un spécialiste en sauvegarde environnementale et sociale pour la mise en œuvre et le suivi des dispositions environnementales et sociales dans le cadre du projet.</w:t>
      </w:r>
    </w:p>
    <w:p w:rsidR="00C11982" w:rsidRPr="00C11982" w:rsidRDefault="00C11982" w:rsidP="00C11982">
      <w:pPr>
        <w:autoSpaceDE w:val="0"/>
        <w:autoSpaceDN w:val="0"/>
        <w:adjustRightInd w:val="0"/>
        <w:spacing w:after="0" w:line="240" w:lineRule="auto"/>
        <w:ind w:left="-284"/>
        <w:jc w:val="both"/>
        <w:rPr>
          <w:rFonts w:ascii="Times New Roman" w:hAnsi="Times New Roman" w:cs="Times New Roman"/>
          <w:sz w:val="24"/>
          <w:szCs w:val="24"/>
        </w:rPr>
      </w:pPr>
    </w:p>
    <w:p w:rsidR="001436E7" w:rsidRPr="006C0C34" w:rsidRDefault="001436E7" w:rsidP="00FA3FAE">
      <w:pPr>
        <w:pStyle w:val="PargrafodaLista"/>
        <w:numPr>
          <w:ilvl w:val="0"/>
          <w:numId w:val="16"/>
        </w:numPr>
        <w:spacing w:after="0"/>
        <w:rPr>
          <w:rFonts w:ascii="Times New Roman" w:hAnsi="Times New Roman"/>
          <w:b/>
          <w:sz w:val="24"/>
          <w:szCs w:val="24"/>
          <w:lang w:bidi="fr-FR"/>
        </w:rPr>
      </w:pPr>
      <w:r w:rsidRPr="006C0C34">
        <w:rPr>
          <w:rFonts w:ascii="Times New Roman" w:hAnsi="Times New Roman"/>
          <w:b/>
          <w:sz w:val="24"/>
          <w:szCs w:val="24"/>
          <w:lang w:bidi="fr-FR"/>
        </w:rPr>
        <w:t>Analyse de la capacité de gestion environnementale et sociale du PUASEE</w:t>
      </w:r>
      <w:r w:rsidR="00C11982">
        <w:rPr>
          <w:rFonts w:ascii="Times New Roman" w:hAnsi="Times New Roman"/>
          <w:b/>
          <w:sz w:val="24"/>
          <w:szCs w:val="24"/>
          <w:lang w:val="fr-FR" w:bidi="fr-FR"/>
        </w:rPr>
        <w:t>-FA</w:t>
      </w:r>
    </w:p>
    <w:p w:rsidR="001436E7" w:rsidRDefault="001436E7" w:rsidP="00C11982">
      <w:pPr>
        <w:autoSpaceDE w:val="0"/>
        <w:autoSpaceDN w:val="0"/>
        <w:adjustRightInd w:val="0"/>
        <w:spacing w:after="0" w:line="240" w:lineRule="auto"/>
        <w:ind w:left="-284"/>
        <w:jc w:val="both"/>
        <w:rPr>
          <w:rFonts w:ascii="Times New Roman" w:hAnsi="Times New Roman" w:cs="Times New Roman"/>
          <w:sz w:val="24"/>
          <w:szCs w:val="24"/>
        </w:rPr>
      </w:pPr>
      <w:r w:rsidRPr="00C11982">
        <w:rPr>
          <w:rFonts w:ascii="Times New Roman" w:hAnsi="Times New Roman" w:cs="Times New Roman"/>
          <w:sz w:val="24"/>
          <w:szCs w:val="24"/>
        </w:rPr>
        <w:t xml:space="preserve">Pour déterminer l’appui à apporter aux institutions impliquées dans la mise en œuvre de ce projet, une évaluation des capacités des institutions à considérer, intégrer les questions environnementales et sociales dans leurs activités a été faite. Les atouts et limites de chaque institution sont présentés dans le tableau suivant : </w:t>
      </w:r>
    </w:p>
    <w:p w:rsidR="00BA3EE1" w:rsidRPr="00C11982" w:rsidRDefault="00BA3EE1" w:rsidP="00C11982">
      <w:pPr>
        <w:autoSpaceDE w:val="0"/>
        <w:autoSpaceDN w:val="0"/>
        <w:adjustRightInd w:val="0"/>
        <w:spacing w:after="0" w:line="240" w:lineRule="auto"/>
        <w:ind w:left="-284"/>
        <w:jc w:val="both"/>
        <w:rPr>
          <w:rFonts w:ascii="Times New Roman" w:hAnsi="Times New Roman" w:cs="Times New Roman"/>
          <w:sz w:val="24"/>
          <w:szCs w:val="24"/>
        </w:rPr>
      </w:pPr>
    </w:p>
    <w:p w:rsidR="00701281" w:rsidRPr="00BA3EE1" w:rsidRDefault="00491B40" w:rsidP="00BA3EE1">
      <w:pPr>
        <w:jc w:val="center"/>
        <w:rPr>
          <w:rFonts w:ascii="Times New Roman" w:hAnsi="Times New Roman" w:cs="Times New Roman"/>
          <w:b/>
          <w:sz w:val="20"/>
          <w:szCs w:val="20"/>
        </w:rPr>
      </w:pPr>
      <w:bookmarkStart w:id="134" w:name="_Toc51074002"/>
      <w:r w:rsidRPr="00BA3EE1">
        <w:rPr>
          <w:rFonts w:ascii="Times New Roman" w:hAnsi="Times New Roman" w:cs="Times New Roman"/>
          <w:b/>
          <w:sz w:val="20"/>
          <w:szCs w:val="20"/>
        </w:rPr>
        <w:t xml:space="preserve">Tableau </w:t>
      </w:r>
      <w:r w:rsidRPr="00BA3EE1">
        <w:rPr>
          <w:rFonts w:ascii="Times New Roman" w:hAnsi="Times New Roman" w:cs="Times New Roman"/>
          <w:b/>
          <w:sz w:val="20"/>
          <w:szCs w:val="20"/>
        </w:rPr>
        <w:fldChar w:fldCharType="begin"/>
      </w:r>
      <w:r w:rsidRPr="00BA3EE1">
        <w:rPr>
          <w:rFonts w:ascii="Times New Roman" w:hAnsi="Times New Roman" w:cs="Times New Roman"/>
          <w:b/>
          <w:sz w:val="20"/>
          <w:szCs w:val="20"/>
        </w:rPr>
        <w:instrText xml:space="preserve"> SEQ Tableau \* ARABIC </w:instrText>
      </w:r>
      <w:r w:rsidRPr="00BA3EE1">
        <w:rPr>
          <w:rFonts w:ascii="Times New Roman" w:hAnsi="Times New Roman" w:cs="Times New Roman"/>
          <w:b/>
          <w:sz w:val="20"/>
          <w:szCs w:val="20"/>
        </w:rPr>
        <w:fldChar w:fldCharType="separate"/>
      </w:r>
      <w:r w:rsidR="00EB726E">
        <w:rPr>
          <w:rFonts w:ascii="Times New Roman" w:hAnsi="Times New Roman" w:cs="Times New Roman"/>
          <w:b/>
          <w:noProof/>
          <w:sz w:val="20"/>
          <w:szCs w:val="20"/>
        </w:rPr>
        <w:t>11</w:t>
      </w:r>
      <w:r w:rsidRPr="00BA3EE1">
        <w:rPr>
          <w:rFonts w:ascii="Times New Roman" w:hAnsi="Times New Roman" w:cs="Times New Roman"/>
          <w:b/>
          <w:sz w:val="20"/>
          <w:szCs w:val="20"/>
        </w:rPr>
        <w:fldChar w:fldCharType="end"/>
      </w:r>
      <w:r w:rsidRPr="00BA3EE1">
        <w:rPr>
          <w:rFonts w:ascii="Times New Roman" w:hAnsi="Times New Roman" w:cs="Times New Roman"/>
          <w:b/>
          <w:sz w:val="20"/>
          <w:szCs w:val="20"/>
        </w:rPr>
        <w:t xml:space="preserve"> : </w:t>
      </w:r>
      <w:r w:rsidR="001436E7" w:rsidRPr="00BA3EE1">
        <w:rPr>
          <w:rFonts w:ascii="Times New Roman" w:hAnsi="Times New Roman" w:cs="Times New Roman"/>
          <w:b/>
          <w:sz w:val="20"/>
          <w:szCs w:val="20"/>
        </w:rPr>
        <w:t>Synthèse de l’évaluation des capacités des institutions impliquées dans la mise en œuvre du projet</w:t>
      </w:r>
      <w:bookmarkEnd w:id="134"/>
    </w:p>
    <w:tbl>
      <w:tblPr>
        <w:tblStyle w:val="Tabelacomgrelha"/>
        <w:tblW w:w="10887" w:type="dxa"/>
        <w:tblInd w:w="-856" w:type="dxa"/>
        <w:tblLook w:val="00A0" w:firstRow="1" w:lastRow="0" w:firstColumn="1" w:lastColumn="0" w:noHBand="0" w:noVBand="0"/>
      </w:tblPr>
      <w:tblGrid>
        <w:gridCol w:w="1923"/>
        <w:gridCol w:w="4740"/>
        <w:gridCol w:w="4224"/>
      </w:tblGrid>
      <w:tr w:rsidR="001436E7" w:rsidRPr="00C11982" w:rsidTr="001F257B">
        <w:trPr>
          <w:trHeight w:val="345"/>
        </w:trPr>
        <w:tc>
          <w:tcPr>
            <w:tcW w:w="1923" w:type="dxa"/>
            <w:vMerge w:val="restart"/>
            <w:shd w:val="clear" w:color="auto" w:fill="BDD6EE" w:themeFill="accent1" w:themeFillTint="66"/>
            <w:vAlign w:val="center"/>
          </w:tcPr>
          <w:p w:rsidR="001436E7" w:rsidRPr="00C11982" w:rsidRDefault="001436E7" w:rsidP="00C11982">
            <w:pPr>
              <w:jc w:val="center"/>
              <w:rPr>
                <w:rFonts w:ascii="Times New Roman" w:hAnsi="Times New Roman" w:cs="Times New Roman"/>
                <w:b/>
                <w:lang w:eastAsia="fr-FR"/>
              </w:rPr>
            </w:pPr>
            <w:r w:rsidRPr="00C11982">
              <w:rPr>
                <w:rFonts w:ascii="Times New Roman" w:hAnsi="Times New Roman" w:cs="Times New Roman"/>
                <w:b/>
                <w:lang w:eastAsia="fr-FR"/>
              </w:rPr>
              <w:t>Acteurs</w:t>
            </w:r>
          </w:p>
        </w:tc>
        <w:tc>
          <w:tcPr>
            <w:tcW w:w="8964" w:type="dxa"/>
            <w:gridSpan w:val="2"/>
            <w:shd w:val="clear" w:color="auto" w:fill="BDD6EE" w:themeFill="accent1" w:themeFillTint="66"/>
            <w:vAlign w:val="center"/>
          </w:tcPr>
          <w:p w:rsidR="001436E7" w:rsidRPr="00C11982" w:rsidRDefault="001436E7" w:rsidP="00C11982">
            <w:pPr>
              <w:jc w:val="center"/>
              <w:rPr>
                <w:rFonts w:ascii="Times New Roman" w:hAnsi="Times New Roman" w:cs="Times New Roman"/>
                <w:b/>
                <w:lang w:eastAsia="fr-FR"/>
              </w:rPr>
            </w:pPr>
            <w:r w:rsidRPr="00C11982">
              <w:rPr>
                <w:rFonts w:ascii="Times New Roman" w:hAnsi="Times New Roman" w:cs="Times New Roman"/>
                <w:b/>
                <w:lang w:eastAsia="fr-FR"/>
              </w:rPr>
              <w:t>Capacités</w:t>
            </w:r>
          </w:p>
        </w:tc>
      </w:tr>
      <w:tr w:rsidR="001436E7" w:rsidRPr="00C11982" w:rsidTr="001F257B">
        <w:trPr>
          <w:trHeight w:val="85"/>
        </w:trPr>
        <w:tc>
          <w:tcPr>
            <w:tcW w:w="1923" w:type="dxa"/>
            <w:vMerge/>
            <w:shd w:val="clear" w:color="auto" w:fill="BDD6EE" w:themeFill="accent1" w:themeFillTint="66"/>
            <w:vAlign w:val="center"/>
          </w:tcPr>
          <w:p w:rsidR="001436E7" w:rsidRPr="00C11982" w:rsidRDefault="001436E7" w:rsidP="00C11982">
            <w:pPr>
              <w:jc w:val="center"/>
              <w:rPr>
                <w:rFonts w:ascii="Times New Roman" w:hAnsi="Times New Roman" w:cs="Times New Roman"/>
                <w:lang w:eastAsia="fr-FR"/>
              </w:rPr>
            </w:pPr>
          </w:p>
        </w:tc>
        <w:tc>
          <w:tcPr>
            <w:tcW w:w="4740" w:type="dxa"/>
            <w:shd w:val="clear" w:color="auto" w:fill="BDD6EE" w:themeFill="accent1" w:themeFillTint="66"/>
            <w:vAlign w:val="center"/>
          </w:tcPr>
          <w:p w:rsidR="001436E7" w:rsidRPr="00C11982" w:rsidRDefault="001436E7" w:rsidP="00C11982">
            <w:pPr>
              <w:jc w:val="center"/>
              <w:rPr>
                <w:rFonts w:ascii="Times New Roman" w:hAnsi="Times New Roman" w:cs="Times New Roman"/>
                <w:b/>
                <w:lang w:eastAsia="fr-FR"/>
              </w:rPr>
            </w:pPr>
            <w:r w:rsidRPr="00C11982">
              <w:rPr>
                <w:rFonts w:ascii="Times New Roman" w:hAnsi="Times New Roman" w:cs="Times New Roman"/>
                <w:b/>
                <w:lang w:eastAsia="fr-FR"/>
              </w:rPr>
              <w:t>Atouts</w:t>
            </w:r>
          </w:p>
        </w:tc>
        <w:tc>
          <w:tcPr>
            <w:tcW w:w="4224" w:type="dxa"/>
            <w:shd w:val="clear" w:color="auto" w:fill="BDD6EE" w:themeFill="accent1" w:themeFillTint="66"/>
            <w:vAlign w:val="center"/>
          </w:tcPr>
          <w:p w:rsidR="001436E7" w:rsidRPr="00C11982" w:rsidRDefault="001436E7" w:rsidP="00C11982">
            <w:pPr>
              <w:jc w:val="center"/>
              <w:rPr>
                <w:rFonts w:ascii="Times New Roman" w:hAnsi="Times New Roman" w:cs="Times New Roman"/>
                <w:b/>
                <w:lang w:eastAsia="fr-FR"/>
              </w:rPr>
            </w:pPr>
            <w:r w:rsidRPr="00C11982">
              <w:rPr>
                <w:rFonts w:ascii="Times New Roman" w:hAnsi="Times New Roman" w:cs="Times New Roman"/>
                <w:b/>
                <w:lang w:eastAsia="fr-FR"/>
              </w:rPr>
              <w:t>Limites</w:t>
            </w:r>
          </w:p>
        </w:tc>
      </w:tr>
      <w:tr w:rsidR="001436E7" w:rsidRPr="00C11982" w:rsidTr="001E1E2E">
        <w:trPr>
          <w:trHeight w:val="838"/>
        </w:trPr>
        <w:tc>
          <w:tcPr>
            <w:tcW w:w="1923" w:type="dxa"/>
            <w:shd w:val="clear" w:color="auto" w:fill="F2F2F2" w:themeFill="background1" w:themeFillShade="F2"/>
            <w:vAlign w:val="center"/>
          </w:tcPr>
          <w:p w:rsidR="001436E7" w:rsidRPr="004C52CE" w:rsidRDefault="001436E7" w:rsidP="00C11982">
            <w:pPr>
              <w:jc w:val="center"/>
              <w:rPr>
                <w:rFonts w:ascii="Times New Roman" w:hAnsi="Times New Roman" w:cs="Times New Roman"/>
                <w:b/>
                <w:lang w:eastAsia="fr-FR"/>
              </w:rPr>
            </w:pPr>
            <w:r w:rsidRPr="004C52CE">
              <w:rPr>
                <w:rFonts w:ascii="Times New Roman" w:hAnsi="Times New Roman" w:cs="Times New Roman"/>
                <w:b/>
                <w:lang w:eastAsia="fr-FR"/>
              </w:rPr>
              <w:t>Comité de pilotage</w:t>
            </w:r>
            <w:r w:rsidR="007A6F13" w:rsidRPr="004C52CE">
              <w:rPr>
                <w:rFonts w:ascii="Times New Roman" w:hAnsi="Times New Roman" w:cs="Times New Roman"/>
                <w:b/>
                <w:lang w:eastAsia="fr-FR"/>
              </w:rPr>
              <w:t xml:space="preserve"> du PUASEE</w:t>
            </w:r>
          </w:p>
        </w:tc>
        <w:tc>
          <w:tcPr>
            <w:tcW w:w="4740" w:type="dxa"/>
          </w:tcPr>
          <w:p w:rsidR="001436E7" w:rsidRPr="00C11982" w:rsidRDefault="001436E7" w:rsidP="00C11982">
            <w:pPr>
              <w:jc w:val="both"/>
              <w:rPr>
                <w:rFonts w:ascii="Times New Roman" w:hAnsi="Times New Roman" w:cs="Times New Roman"/>
                <w:bCs/>
                <w:lang w:eastAsia="fr-FR"/>
              </w:rPr>
            </w:pPr>
            <w:r w:rsidRPr="00C11982">
              <w:rPr>
                <w:rFonts w:ascii="Times New Roman" w:hAnsi="Times New Roman" w:cs="Times New Roman"/>
                <w:bCs/>
                <w:lang w:eastAsia="fr-FR"/>
              </w:rPr>
              <w:t>-Autorité des secteurs visés</w:t>
            </w:r>
          </w:p>
          <w:p w:rsidR="001436E7" w:rsidRPr="00C11982" w:rsidRDefault="001436E7" w:rsidP="00C11982">
            <w:pPr>
              <w:jc w:val="both"/>
              <w:rPr>
                <w:rFonts w:ascii="Times New Roman" w:hAnsi="Times New Roman" w:cs="Times New Roman"/>
                <w:bCs/>
                <w:lang w:eastAsia="fr-FR"/>
              </w:rPr>
            </w:pPr>
            <w:r w:rsidRPr="00C11982">
              <w:rPr>
                <w:rFonts w:ascii="Times New Roman" w:hAnsi="Times New Roman" w:cs="Times New Roman"/>
                <w:bCs/>
                <w:lang w:eastAsia="fr-FR"/>
              </w:rPr>
              <w:t>-Facilitation de la prise de décision</w:t>
            </w:r>
          </w:p>
          <w:p w:rsidR="001436E7" w:rsidRPr="00C11982" w:rsidRDefault="001436E7" w:rsidP="00C11982">
            <w:pPr>
              <w:jc w:val="both"/>
              <w:rPr>
                <w:rFonts w:ascii="Times New Roman" w:hAnsi="Times New Roman" w:cs="Times New Roman"/>
                <w:bCs/>
                <w:lang w:eastAsia="fr-FR"/>
              </w:rPr>
            </w:pPr>
            <w:r w:rsidRPr="00C11982">
              <w:rPr>
                <w:rFonts w:ascii="Times New Roman" w:hAnsi="Times New Roman" w:cs="Times New Roman"/>
                <w:bCs/>
                <w:lang w:eastAsia="fr-FR"/>
              </w:rPr>
              <w:t xml:space="preserve">-Présence du Secrétaire d’Etat en Environnement pour veiller à la prise en compte </w:t>
            </w:r>
            <w:r w:rsidR="007E6AED" w:rsidRPr="00C11982">
              <w:rPr>
                <w:rFonts w:ascii="Times New Roman" w:hAnsi="Times New Roman" w:cs="Times New Roman"/>
                <w:bCs/>
                <w:lang w:eastAsia="fr-FR"/>
              </w:rPr>
              <w:t>des dispositions réglementaires</w:t>
            </w:r>
          </w:p>
        </w:tc>
        <w:tc>
          <w:tcPr>
            <w:tcW w:w="4224" w:type="dxa"/>
          </w:tcPr>
          <w:p w:rsidR="001436E7" w:rsidRPr="00C11982" w:rsidRDefault="001436E7" w:rsidP="00C11982">
            <w:pPr>
              <w:jc w:val="both"/>
              <w:rPr>
                <w:rFonts w:ascii="Times New Roman" w:hAnsi="Times New Roman" w:cs="Times New Roman"/>
                <w:bCs/>
                <w:lang w:eastAsia="fr-FR"/>
              </w:rPr>
            </w:pPr>
            <w:r w:rsidRPr="00C11982">
              <w:rPr>
                <w:rFonts w:ascii="Times New Roman" w:hAnsi="Times New Roman" w:cs="Times New Roman"/>
                <w:bCs/>
                <w:lang w:eastAsia="fr-FR"/>
              </w:rPr>
              <w:t>-Difficulté liée à la disponibilité des autorités membres du comité</w:t>
            </w:r>
          </w:p>
          <w:p w:rsidR="001436E7" w:rsidRPr="00C11982" w:rsidRDefault="001436E7" w:rsidP="00C11982">
            <w:pPr>
              <w:jc w:val="both"/>
              <w:rPr>
                <w:rFonts w:ascii="Times New Roman" w:hAnsi="Times New Roman" w:cs="Times New Roman"/>
                <w:bCs/>
                <w:lang w:eastAsia="fr-FR"/>
              </w:rPr>
            </w:pPr>
            <w:r w:rsidRPr="00C11982">
              <w:rPr>
                <w:rFonts w:ascii="Times New Roman" w:hAnsi="Times New Roman" w:cs="Times New Roman"/>
                <w:bCs/>
                <w:lang w:eastAsia="fr-FR"/>
              </w:rPr>
              <w:t xml:space="preserve">-Absence </w:t>
            </w:r>
            <w:r w:rsidR="007E6AED" w:rsidRPr="00C11982">
              <w:rPr>
                <w:rFonts w:ascii="Times New Roman" w:hAnsi="Times New Roman" w:cs="Times New Roman"/>
                <w:bCs/>
                <w:lang w:eastAsia="fr-FR"/>
              </w:rPr>
              <w:t>du Ministre des Infrastructures</w:t>
            </w:r>
          </w:p>
        </w:tc>
      </w:tr>
      <w:tr w:rsidR="001436E7" w:rsidRPr="00C11982" w:rsidTr="001E1E2E">
        <w:trPr>
          <w:trHeight w:val="1266"/>
        </w:trPr>
        <w:tc>
          <w:tcPr>
            <w:tcW w:w="1923" w:type="dxa"/>
            <w:shd w:val="clear" w:color="auto" w:fill="F2F2F2" w:themeFill="background1" w:themeFillShade="F2"/>
            <w:vAlign w:val="center"/>
          </w:tcPr>
          <w:p w:rsidR="001436E7" w:rsidRPr="004C52CE" w:rsidRDefault="001436E7" w:rsidP="00C11982">
            <w:pPr>
              <w:jc w:val="center"/>
              <w:rPr>
                <w:rFonts w:ascii="Times New Roman" w:hAnsi="Times New Roman" w:cs="Times New Roman"/>
                <w:b/>
                <w:lang w:eastAsia="fr-FR"/>
              </w:rPr>
            </w:pPr>
            <w:r w:rsidRPr="004C52CE">
              <w:rPr>
                <w:rFonts w:ascii="Times New Roman" w:hAnsi="Times New Roman" w:cs="Times New Roman"/>
                <w:b/>
                <w:lang w:eastAsia="fr-FR"/>
              </w:rPr>
              <w:t>Unité d’implémentation du projet (UIP PUASEE)</w:t>
            </w:r>
          </w:p>
        </w:tc>
        <w:tc>
          <w:tcPr>
            <w:tcW w:w="4740" w:type="dxa"/>
          </w:tcPr>
          <w:p w:rsidR="001436E7" w:rsidRPr="00C11982" w:rsidRDefault="001436E7" w:rsidP="00C11982">
            <w:pPr>
              <w:jc w:val="both"/>
              <w:rPr>
                <w:rFonts w:ascii="Times New Roman" w:hAnsi="Times New Roman" w:cs="Times New Roman"/>
                <w:bCs/>
                <w:lang w:eastAsia="fr-FR"/>
              </w:rPr>
            </w:pPr>
            <w:r w:rsidRPr="00C11982">
              <w:rPr>
                <w:rFonts w:ascii="Times New Roman" w:hAnsi="Times New Roman" w:cs="Times New Roman"/>
                <w:bCs/>
                <w:lang w:eastAsia="fr-FR"/>
              </w:rPr>
              <w:t>-Formation sur la prise en compte des questions de sauvegarde environnementale et sociale pour les responsables de la coordination, passation de marché et administratif et financier ainsi que le spécialiste en sauvegarde</w:t>
            </w:r>
          </w:p>
          <w:p w:rsidR="001436E7" w:rsidRPr="00C11982" w:rsidRDefault="001436E7" w:rsidP="00C11982">
            <w:pPr>
              <w:jc w:val="both"/>
              <w:rPr>
                <w:rFonts w:ascii="Times New Roman" w:hAnsi="Times New Roman" w:cs="Times New Roman"/>
                <w:bCs/>
                <w:lang w:eastAsia="fr-FR"/>
              </w:rPr>
            </w:pPr>
            <w:r w:rsidRPr="00C11982">
              <w:rPr>
                <w:rFonts w:ascii="Times New Roman" w:hAnsi="Times New Roman" w:cs="Times New Roman"/>
                <w:bCs/>
                <w:lang w:eastAsia="fr-FR"/>
              </w:rPr>
              <w:t>-Existence d’un spécialiste en sauvegarde environnementale et sociale</w:t>
            </w:r>
          </w:p>
          <w:p w:rsidR="001436E7" w:rsidRPr="00C11982" w:rsidRDefault="001436E7" w:rsidP="00C11982">
            <w:pPr>
              <w:jc w:val="both"/>
              <w:rPr>
                <w:rFonts w:ascii="Times New Roman" w:hAnsi="Times New Roman" w:cs="Times New Roman"/>
                <w:bCs/>
                <w:lang w:eastAsia="fr-FR"/>
              </w:rPr>
            </w:pPr>
            <w:r w:rsidRPr="00C11982">
              <w:rPr>
                <w:rFonts w:ascii="Times New Roman" w:hAnsi="Times New Roman" w:cs="Times New Roman"/>
                <w:bCs/>
                <w:lang w:eastAsia="fr-FR"/>
              </w:rPr>
              <w:t>-Forte expérience en gestion de projet en énergie électrique et eau</w:t>
            </w:r>
          </w:p>
          <w:p w:rsidR="001436E7" w:rsidRPr="00C11982" w:rsidRDefault="001436E7" w:rsidP="00C11982">
            <w:pPr>
              <w:jc w:val="both"/>
              <w:rPr>
                <w:rFonts w:ascii="Times New Roman" w:hAnsi="Times New Roman" w:cs="Times New Roman"/>
                <w:bCs/>
                <w:lang w:eastAsia="fr-FR"/>
              </w:rPr>
            </w:pPr>
            <w:r w:rsidRPr="00C11982">
              <w:rPr>
                <w:rFonts w:ascii="Times New Roman" w:hAnsi="Times New Roman" w:cs="Times New Roman"/>
                <w:bCs/>
                <w:lang w:eastAsia="fr-FR"/>
              </w:rPr>
              <w:t>-Familiarité avec les politiques de sauvegarde de la Banque Mondiale</w:t>
            </w:r>
          </w:p>
          <w:p w:rsidR="001436E7" w:rsidRPr="00C11982" w:rsidRDefault="001436E7" w:rsidP="00C11982">
            <w:pPr>
              <w:jc w:val="both"/>
              <w:rPr>
                <w:rFonts w:ascii="Times New Roman" w:hAnsi="Times New Roman" w:cs="Times New Roman"/>
                <w:bCs/>
                <w:lang w:eastAsia="fr-FR"/>
              </w:rPr>
            </w:pPr>
            <w:r w:rsidRPr="00C11982">
              <w:rPr>
                <w:rFonts w:ascii="Times New Roman" w:hAnsi="Times New Roman" w:cs="Times New Roman"/>
                <w:bCs/>
                <w:lang w:eastAsia="fr-FR"/>
              </w:rPr>
              <w:t>-Respect des dispositions nationales en matière d’évaluation environnementale</w:t>
            </w:r>
          </w:p>
          <w:p w:rsidR="001436E7" w:rsidRPr="00C11982" w:rsidRDefault="001436E7" w:rsidP="00C11982">
            <w:pPr>
              <w:jc w:val="both"/>
              <w:rPr>
                <w:rFonts w:ascii="Times New Roman" w:hAnsi="Times New Roman" w:cs="Times New Roman"/>
                <w:bCs/>
                <w:lang w:eastAsia="fr-FR"/>
              </w:rPr>
            </w:pPr>
            <w:r w:rsidRPr="00C11982">
              <w:rPr>
                <w:rFonts w:ascii="Times New Roman" w:hAnsi="Times New Roman" w:cs="Times New Roman"/>
                <w:bCs/>
                <w:lang w:eastAsia="fr-FR"/>
              </w:rPr>
              <w:t xml:space="preserve">-Etroite collaboration avec l’Autorité Compétente d’Evaluation Environnementale nationale </w:t>
            </w:r>
          </w:p>
          <w:p w:rsidR="001436E7" w:rsidRPr="00C11982" w:rsidRDefault="001436E7" w:rsidP="00C11982">
            <w:pPr>
              <w:jc w:val="both"/>
              <w:rPr>
                <w:rFonts w:ascii="Times New Roman" w:hAnsi="Times New Roman" w:cs="Times New Roman"/>
                <w:bCs/>
                <w:lang w:eastAsia="fr-FR"/>
              </w:rPr>
            </w:pPr>
            <w:r w:rsidRPr="00C11982">
              <w:rPr>
                <w:rFonts w:ascii="Times New Roman" w:hAnsi="Times New Roman" w:cs="Times New Roman"/>
                <w:bCs/>
                <w:lang w:eastAsia="fr-FR"/>
              </w:rPr>
              <w:t>-Existence d’une convention entre l’AAAC et le projet pour les l’appui à la validation des documents de sauvegarde et le suivi environnemental et social de leur mise en œuvre</w:t>
            </w:r>
          </w:p>
          <w:p w:rsidR="001436E7" w:rsidRPr="00C11982" w:rsidRDefault="001436E7" w:rsidP="00C11982">
            <w:pPr>
              <w:jc w:val="both"/>
              <w:rPr>
                <w:rFonts w:ascii="Times New Roman" w:hAnsi="Times New Roman" w:cs="Times New Roman"/>
                <w:bCs/>
                <w:lang w:eastAsia="fr-FR"/>
              </w:rPr>
            </w:pPr>
            <w:r w:rsidRPr="00C11982">
              <w:rPr>
                <w:rFonts w:ascii="Times New Roman" w:hAnsi="Times New Roman" w:cs="Times New Roman"/>
                <w:bCs/>
                <w:lang w:eastAsia="fr-FR"/>
              </w:rPr>
              <w:lastRenderedPageBreak/>
              <w:t>-Réalisation des EIE, un PAR et une évaluation sociale des travaux déjà entamés</w:t>
            </w:r>
          </w:p>
          <w:p w:rsidR="001436E7" w:rsidRPr="00C11982" w:rsidRDefault="001436E7" w:rsidP="00C11982">
            <w:pPr>
              <w:jc w:val="both"/>
              <w:rPr>
                <w:rFonts w:ascii="Times New Roman" w:hAnsi="Times New Roman" w:cs="Times New Roman"/>
                <w:bCs/>
                <w:lang w:eastAsia="fr-FR"/>
              </w:rPr>
            </w:pPr>
            <w:r w:rsidRPr="00C11982">
              <w:rPr>
                <w:rFonts w:ascii="Times New Roman" w:hAnsi="Times New Roman" w:cs="Times New Roman"/>
                <w:bCs/>
                <w:lang w:eastAsia="fr-FR"/>
              </w:rPr>
              <w:t>-système de rapportage trimestriel sur le suivi environnemental et social dans le rap</w:t>
            </w:r>
            <w:r w:rsidR="007E6AED" w:rsidRPr="00C11982">
              <w:rPr>
                <w:rFonts w:ascii="Times New Roman" w:hAnsi="Times New Roman" w:cs="Times New Roman"/>
                <w:bCs/>
                <w:lang w:eastAsia="fr-FR"/>
              </w:rPr>
              <w:t>port général de suivi du projet</w:t>
            </w:r>
          </w:p>
        </w:tc>
        <w:tc>
          <w:tcPr>
            <w:tcW w:w="4224" w:type="dxa"/>
          </w:tcPr>
          <w:p w:rsidR="001436E7" w:rsidRPr="00C11982" w:rsidRDefault="001436E7" w:rsidP="00C11982">
            <w:pPr>
              <w:jc w:val="both"/>
              <w:rPr>
                <w:rFonts w:ascii="Times New Roman" w:hAnsi="Times New Roman" w:cs="Times New Roman"/>
                <w:bCs/>
                <w:lang w:eastAsia="fr-FR"/>
              </w:rPr>
            </w:pPr>
            <w:r w:rsidRPr="00C11982">
              <w:rPr>
                <w:rFonts w:ascii="Times New Roman" w:hAnsi="Times New Roman" w:cs="Times New Roman"/>
                <w:bCs/>
                <w:lang w:eastAsia="fr-FR"/>
              </w:rPr>
              <w:lastRenderedPageBreak/>
              <w:t>- absence d’un plan de communication sur le projet</w:t>
            </w:r>
          </w:p>
          <w:p w:rsidR="001436E7" w:rsidRPr="00C11982" w:rsidRDefault="001436E7" w:rsidP="00C11982">
            <w:pPr>
              <w:jc w:val="both"/>
              <w:rPr>
                <w:rFonts w:ascii="Times New Roman" w:hAnsi="Times New Roman" w:cs="Times New Roman"/>
                <w:bCs/>
                <w:lang w:eastAsia="fr-FR"/>
              </w:rPr>
            </w:pPr>
          </w:p>
          <w:p w:rsidR="001436E7" w:rsidRPr="00C11982" w:rsidRDefault="001436E7" w:rsidP="00C11982">
            <w:pPr>
              <w:jc w:val="both"/>
              <w:rPr>
                <w:rFonts w:ascii="Times New Roman" w:hAnsi="Times New Roman" w:cs="Times New Roman"/>
                <w:bCs/>
                <w:lang w:eastAsia="fr-FR"/>
              </w:rPr>
            </w:pPr>
            <w:r w:rsidRPr="00C11982">
              <w:rPr>
                <w:rFonts w:ascii="Times New Roman" w:hAnsi="Times New Roman" w:cs="Times New Roman"/>
                <w:bCs/>
                <w:lang w:eastAsia="fr-FR"/>
              </w:rPr>
              <w:t xml:space="preserve">-faible prise en compte des communautés locales </w:t>
            </w:r>
          </w:p>
          <w:p w:rsidR="001436E7" w:rsidRPr="00C11982" w:rsidRDefault="001436E7" w:rsidP="00C11982">
            <w:pPr>
              <w:jc w:val="both"/>
              <w:rPr>
                <w:rFonts w:ascii="Times New Roman" w:hAnsi="Times New Roman" w:cs="Times New Roman"/>
                <w:bCs/>
                <w:lang w:eastAsia="fr-FR"/>
              </w:rPr>
            </w:pPr>
          </w:p>
          <w:p w:rsidR="001436E7" w:rsidRPr="00C11982" w:rsidRDefault="001436E7" w:rsidP="00C11982">
            <w:pPr>
              <w:jc w:val="both"/>
              <w:rPr>
                <w:rFonts w:ascii="Times New Roman" w:hAnsi="Times New Roman" w:cs="Times New Roman"/>
                <w:bCs/>
                <w:highlight w:val="yellow"/>
                <w:lang w:eastAsia="fr-FR"/>
              </w:rPr>
            </w:pPr>
            <w:r w:rsidRPr="00C11982">
              <w:rPr>
                <w:rFonts w:ascii="Times New Roman" w:hAnsi="Times New Roman" w:cs="Times New Roman"/>
                <w:bCs/>
                <w:lang w:eastAsia="fr-FR"/>
              </w:rPr>
              <w:t>-absence de sensibilisation des communautés hormis les consultations publiques réalisées pour les études d’impact</w:t>
            </w:r>
          </w:p>
        </w:tc>
      </w:tr>
      <w:tr w:rsidR="001436E7" w:rsidRPr="00C11982" w:rsidTr="001E1E2E">
        <w:trPr>
          <w:trHeight w:val="1266"/>
        </w:trPr>
        <w:tc>
          <w:tcPr>
            <w:tcW w:w="1923" w:type="dxa"/>
            <w:shd w:val="clear" w:color="auto" w:fill="F2F2F2" w:themeFill="background1" w:themeFillShade="F2"/>
            <w:vAlign w:val="center"/>
          </w:tcPr>
          <w:p w:rsidR="001436E7" w:rsidRPr="004C52CE" w:rsidRDefault="001436E7" w:rsidP="00C11982">
            <w:pPr>
              <w:jc w:val="center"/>
              <w:rPr>
                <w:rFonts w:ascii="Times New Roman" w:hAnsi="Times New Roman" w:cs="Times New Roman"/>
                <w:b/>
                <w:lang w:eastAsia="fr-FR"/>
              </w:rPr>
            </w:pPr>
          </w:p>
          <w:p w:rsidR="001436E7" w:rsidRPr="004C52CE" w:rsidRDefault="001436E7" w:rsidP="00C11982">
            <w:pPr>
              <w:jc w:val="center"/>
              <w:rPr>
                <w:rFonts w:ascii="Times New Roman" w:hAnsi="Times New Roman" w:cs="Times New Roman"/>
                <w:b/>
                <w:lang w:eastAsia="fr-FR"/>
              </w:rPr>
            </w:pPr>
            <w:r w:rsidRPr="004C52CE">
              <w:rPr>
                <w:rFonts w:ascii="Times New Roman" w:hAnsi="Times New Roman" w:cs="Times New Roman"/>
                <w:b/>
                <w:lang w:eastAsia="fr-FR"/>
              </w:rPr>
              <w:t>EAGB</w:t>
            </w:r>
          </w:p>
        </w:tc>
        <w:tc>
          <w:tcPr>
            <w:tcW w:w="4740" w:type="dxa"/>
          </w:tcPr>
          <w:p w:rsidR="001436E7" w:rsidRPr="00C11982" w:rsidRDefault="001436E7" w:rsidP="00C11982">
            <w:pPr>
              <w:jc w:val="both"/>
              <w:rPr>
                <w:rFonts w:ascii="Times New Roman" w:hAnsi="Times New Roman" w:cs="Times New Roman"/>
                <w:bCs/>
                <w:lang w:eastAsia="fr-FR"/>
              </w:rPr>
            </w:pPr>
            <w:r w:rsidRPr="00C11982">
              <w:rPr>
                <w:rFonts w:ascii="Times New Roman" w:hAnsi="Times New Roman" w:cs="Times New Roman"/>
                <w:bCs/>
                <w:lang w:eastAsia="fr-FR"/>
              </w:rPr>
              <w:t>Expérience en travaux d’installation des infrastructures électricité et d’eau</w:t>
            </w:r>
          </w:p>
          <w:p w:rsidR="001436E7" w:rsidRPr="00C11982" w:rsidRDefault="001436E7" w:rsidP="00C11982">
            <w:pPr>
              <w:jc w:val="both"/>
              <w:rPr>
                <w:rFonts w:ascii="Times New Roman" w:hAnsi="Times New Roman" w:cs="Times New Roman"/>
                <w:bCs/>
                <w:highlight w:val="yellow"/>
                <w:lang w:eastAsia="fr-FR"/>
              </w:rPr>
            </w:pPr>
          </w:p>
          <w:p w:rsidR="001436E7" w:rsidRPr="00C11982" w:rsidRDefault="001436E7" w:rsidP="00C11982">
            <w:pPr>
              <w:jc w:val="both"/>
              <w:rPr>
                <w:rFonts w:ascii="Times New Roman" w:hAnsi="Times New Roman" w:cs="Times New Roman"/>
                <w:bCs/>
                <w:highlight w:val="yellow"/>
                <w:lang w:eastAsia="fr-FR"/>
              </w:rPr>
            </w:pPr>
            <w:r w:rsidRPr="00C11982">
              <w:rPr>
                <w:rFonts w:ascii="Times New Roman" w:hAnsi="Times New Roman" w:cs="Times New Roman"/>
                <w:bCs/>
                <w:lang w:eastAsia="fr-FR"/>
              </w:rPr>
              <w:t>Disponibilité en ressources humaines</w:t>
            </w:r>
          </w:p>
        </w:tc>
        <w:tc>
          <w:tcPr>
            <w:tcW w:w="4224" w:type="dxa"/>
          </w:tcPr>
          <w:p w:rsidR="001436E7" w:rsidRPr="00C11982" w:rsidRDefault="001436E7" w:rsidP="00C11982">
            <w:pPr>
              <w:jc w:val="both"/>
              <w:rPr>
                <w:rFonts w:ascii="Times New Roman" w:hAnsi="Times New Roman" w:cs="Times New Roman"/>
                <w:bCs/>
                <w:lang w:eastAsia="fr-FR"/>
              </w:rPr>
            </w:pPr>
            <w:r w:rsidRPr="00C11982">
              <w:rPr>
                <w:rFonts w:ascii="Times New Roman" w:hAnsi="Times New Roman" w:cs="Times New Roman"/>
                <w:bCs/>
                <w:lang w:eastAsia="fr-FR"/>
              </w:rPr>
              <w:t>-Absence de service environnementale et de contrôle de la qualité</w:t>
            </w:r>
          </w:p>
          <w:p w:rsidR="001436E7" w:rsidRPr="00C11982" w:rsidRDefault="001436E7" w:rsidP="00C11982">
            <w:pPr>
              <w:jc w:val="both"/>
              <w:rPr>
                <w:rFonts w:ascii="Times New Roman" w:hAnsi="Times New Roman" w:cs="Times New Roman"/>
                <w:bCs/>
                <w:lang w:eastAsia="fr-FR"/>
              </w:rPr>
            </w:pPr>
            <w:r w:rsidRPr="00C11982">
              <w:rPr>
                <w:rFonts w:ascii="Times New Roman" w:hAnsi="Times New Roman" w:cs="Times New Roman"/>
                <w:bCs/>
                <w:lang w:eastAsia="fr-FR"/>
              </w:rPr>
              <w:t>-Faible capacité de gestion des sources de pollution du site de la centrale électrique de Bissau</w:t>
            </w:r>
          </w:p>
          <w:p w:rsidR="001436E7" w:rsidRPr="00C11982" w:rsidRDefault="001436E7" w:rsidP="00C11982">
            <w:pPr>
              <w:jc w:val="both"/>
              <w:rPr>
                <w:rFonts w:ascii="Times New Roman" w:hAnsi="Times New Roman" w:cs="Times New Roman"/>
                <w:bCs/>
                <w:lang w:eastAsia="fr-FR"/>
              </w:rPr>
            </w:pPr>
            <w:r w:rsidRPr="00C11982">
              <w:rPr>
                <w:rFonts w:ascii="Times New Roman" w:hAnsi="Times New Roman" w:cs="Times New Roman"/>
                <w:bCs/>
                <w:lang w:eastAsia="fr-FR"/>
              </w:rPr>
              <w:t>-Mauvaise gestion des déchets</w:t>
            </w:r>
          </w:p>
          <w:p w:rsidR="001436E7" w:rsidRPr="00C11982" w:rsidRDefault="001436E7" w:rsidP="00C11982">
            <w:pPr>
              <w:jc w:val="both"/>
              <w:rPr>
                <w:rFonts w:ascii="Times New Roman" w:hAnsi="Times New Roman" w:cs="Times New Roman"/>
                <w:bCs/>
                <w:lang w:eastAsia="fr-FR"/>
              </w:rPr>
            </w:pPr>
            <w:r w:rsidRPr="00C11982">
              <w:rPr>
                <w:rFonts w:ascii="Times New Roman" w:hAnsi="Times New Roman" w:cs="Times New Roman"/>
                <w:bCs/>
                <w:lang w:eastAsia="fr-FR"/>
              </w:rPr>
              <w:t>-Non-respect des normes de sécurité sur le site</w:t>
            </w:r>
          </w:p>
          <w:p w:rsidR="001436E7" w:rsidRPr="00C11982" w:rsidRDefault="001436E7" w:rsidP="00C11982">
            <w:pPr>
              <w:jc w:val="both"/>
              <w:rPr>
                <w:rFonts w:ascii="Times New Roman" w:hAnsi="Times New Roman" w:cs="Times New Roman"/>
                <w:bCs/>
                <w:lang w:eastAsia="fr-FR"/>
              </w:rPr>
            </w:pPr>
            <w:r w:rsidRPr="00C11982">
              <w:rPr>
                <w:rFonts w:ascii="Times New Roman" w:hAnsi="Times New Roman" w:cs="Times New Roman"/>
                <w:bCs/>
                <w:lang w:eastAsia="fr-FR"/>
              </w:rPr>
              <w:t>-Absence d’un service de contrôle de la qualité de l’eau</w:t>
            </w:r>
          </w:p>
          <w:p w:rsidR="001436E7" w:rsidRPr="00C11982" w:rsidRDefault="001436E7" w:rsidP="00C11982">
            <w:pPr>
              <w:jc w:val="both"/>
              <w:rPr>
                <w:rFonts w:ascii="Times New Roman" w:hAnsi="Times New Roman" w:cs="Times New Roman"/>
                <w:bCs/>
                <w:lang w:eastAsia="fr-FR"/>
              </w:rPr>
            </w:pPr>
            <w:r w:rsidRPr="00C11982">
              <w:rPr>
                <w:rFonts w:ascii="Times New Roman" w:hAnsi="Times New Roman" w:cs="Times New Roman"/>
                <w:bCs/>
                <w:lang w:eastAsia="fr-FR"/>
              </w:rPr>
              <w:t>-Faible dispositif de surveillance des infrastructures</w:t>
            </w:r>
          </w:p>
          <w:p w:rsidR="001436E7" w:rsidRPr="00C11982" w:rsidRDefault="001436E7" w:rsidP="00C11982">
            <w:pPr>
              <w:jc w:val="both"/>
              <w:rPr>
                <w:rFonts w:ascii="Times New Roman" w:hAnsi="Times New Roman" w:cs="Times New Roman"/>
                <w:bCs/>
                <w:highlight w:val="yellow"/>
                <w:lang w:eastAsia="fr-FR"/>
              </w:rPr>
            </w:pPr>
            <w:r w:rsidRPr="00C11982">
              <w:rPr>
                <w:rFonts w:ascii="Times New Roman" w:hAnsi="Times New Roman" w:cs="Times New Roman"/>
                <w:bCs/>
                <w:lang w:eastAsia="fr-FR"/>
              </w:rPr>
              <w:t>-Aucune connaissance de la réglementation environnementale nationale</w:t>
            </w:r>
          </w:p>
        </w:tc>
      </w:tr>
      <w:tr w:rsidR="001436E7" w:rsidRPr="00C11982" w:rsidTr="001E1E2E">
        <w:trPr>
          <w:trHeight w:val="85"/>
        </w:trPr>
        <w:tc>
          <w:tcPr>
            <w:tcW w:w="1923" w:type="dxa"/>
            <w:shd w:val="clear" w:color="auto" w:fill="F2F2F2" w:themeFill="background1" w:themeFillShade="F2"/>
            <w:vAlign w:val="center"/>
          </w:tcPr>
          <w:p w:rsidR="001436E7" w:rsidRPr="004C52CE" w:rsidRDefault="001436E7" w:rsidP="00C11982">
            <w:pPr>
              <w:jc w:val="center"/>
              <w:rPr>
                <w:rFonts w:ascii="Times New Roman" w:hAnsi="Times New Roman" w:cs="Times New Roman"/>
                <w:b/>
                <w:lang w:eastAsia="fr-FR"/>
              </w:rPr>
            </w:pPr>
          </w:p>
          <w:p w:rsidR="001436E7" w:rsidRPr="004C52CE" w:rsidRDefault="001436E7" w:rsidP="00C11982">
            <w:pPr>
              <w:jc w:val="center"/>
              <w:rPr>
                <w:rFonts w:ascii="Times New Roman" w:hAnsi="Times New Roman" w:cs="Times New Roman"/>
                <w:b/>
                <w:lang w:eastAsia="fr-FR"/>
              </w:rPr>
            </w:pPr>
            <w:r w:rsidRPr="004C52CE">
              <w:rPr>
                <w:rFonts w:ascii="Times New Roman" w:hAnsi="Times New Roman" w:cs="Times New Roman"/>
                <w:b/>
                <w:lang w:eastAsia="fr-FR"/>
              </w:rPr>
              <w:t>AAAC</w:t>
            </w:r>
          </w:p>
        </w:tc>
        <w:tc>
          <w:tcPr>
            <w:tcW w:w="4740" w:type="dxa"/>
          </w:tcPr>
          <w:p w:rsidR="001436E7" w:rsidRPr="00C11982" w:rsidRDefault="001436E7" w:rsidP="00C11982">
            <w:pPr>
              <w:jc w:val="both"/>
              <w:rPr>
                <w:rFonts w:ascii="Times New Roman" w:hAnsi="Times New Roman" w:cs="Times New Roman"/>
                <w:lang w:eastAsia="fr-FR"/>
              </w:rPr>
            </w:pPr>
            <w:r w:rsidRPr="00C11982">
              <w:rPr>
                <w:rFonts w:ascii="Times New Roman" w:hAnsi="Times New Roman" w:cs="Times New Roman"/>
                <w:lang w:eastAsia="fr-FR"/>
              </w:rPr>
              <w:t>- Expertise en consultation publique</w:t>
            </w:r>
          </w:p>
          <w:p w:rsidR="001436E7" w:rsidRPr="00C11982" w:rsidRDefault="001436E7" w:rsidP="00C11982">
            <w:pPr>
              <w:jc w:val="both"/>
              <w:rPr>
                <w:rFonts w:ascii="Times New Roman" w:hAnsi="Times New Roman" w:cs="Times New Roman"/>
                <w:lang w:eastAsia="fr-FR"/>
              </w:rPr>
            </w:pPr>
            <w:r w:rsidRPr="00C11982">
              <w:rPr>
                <w:rFonts w:ascii="Times New Roman" w:hAnsi="Times New Roman" w:cs="Times New Roman"/>
                <w:lang w:eastAsia="fr-FR"/>
              </w:rPr>
              <w:t>-Expertise en validation des EIES et PAR</w:t>
            </w:r>
          </w:p>
          <w:p w:rsidR="001436E7" w:rsidRPr="00C11982" w:rsidRDefault="001436E7" w:rsidP="00C11982">
            <w:pPr>
              <w:jc w:val="both"/>
              <w:rPr>
                <w:rFonts w:ascii="Times New Roman" w:hAnsi="Times New Roman" w:cs="Times New Roman"/>
                <w:lang w:eastAsia="fr-FR"/>
              </w:rPr>
            </w:pPr>
            <w:r w:rsidRPr="00C11982">
              <w:rPr>
                <w:rFonts w:ascii="Times New Roman" w:hAnsi="Times New Roman" w:cs="Times New Roman"/>
                <w:lang w:eastAsia="fr-FR"/>
              </w:rPr>
              <w:t>-Existence d’une convention avec le Projet PUASEE</w:t>
            </w:r>
          </w:p>
          <w:p w:rsidR="001436E7" w:rsidRPr="00C11982" w:rsidRDefault="001436E7" w:rsidP="00C11982">
            <w:pPr>
              <w:jc w:val="both"/>
              <w:rPr>
                <w:rFonts w:ascii="Times New Roman" w:hAnsi="Times New Roman" w:cs="Times New Roman"/>
                <w:lang w:eastAsia="fr-FR"/>
              </w:rPr>
            </w:pPr>
            <w:r w:rsidRPr="00C11982">
              <w:rPr>
                <w:rFonts w:ascii="Times New Roman" w:hAnsi="Times New Roman" w:cs="Times New Roman"/>
                <w:lang w:eastAsia="fr-FR"/>
              </w:rPr>
              <w:t>- Disponibilité en ressources humaines</w:t>
            </w:r>
          </w:p>
          <w:p w:rsidR="001436E7" w:rsidRPr="00C11982" w:rsidRDefault="001436E7" w:rsidP="00C11982">
            <w:pPr>
              <w:jc w:val="both"/>
              <w:rPr>
                <w:rFonts w:ascii="Times New Roman" w:hAnsi="Times New Roman" w:cs="Times New Roman"/>
                <w:lang w:eastAsia="fr-FR"/>
              </w:rPr>
            </w:pPr>
          </w:p>
        </w:tc>
        <w:tc>
          <w:tcPr>
            <w:tcW w:w="4224" w:type="dxa"/>
          </w:tcPr>
          <w:p w:rsidR="001436E7" w:rsidRPr="00C11982" w:rsidRDefault="001436E7" w:rsidP="00C11982">
            <w:pPr>
              <w:jc w:val="both"/>
              <w:rPr>
                <w:rFonts w:ascii="Times New Roman" w:hAnsi="Times New Roman" w:cs="Times New Roman"/>
                <w:bCs/>
                <w:lang w:eastAsia="fr-FR"/>
              </w:rPr>
            </w:pPr>
            <w:r w:rsidRPr="00C11982">
              <w:rPr>
                <w:rFonts w:ascii="Times New Roman" w:hAnsi="Times New Roman" w:cs="Times New Roman"/>
                <w:bCs/>
                <w:lang w:eastAsia="fr-FR"/>
              </w:rPr>
              <w:t>- Absence d’outils pratique de suivi de PGES (progiciel de gestion)</w:t>
            </w:r>
          </w:p>
          <w:p w:rsidR="001436E7" w:rsidRPr="00C11982" w:rsidRDefault="001436E7" w:rsidP="00C11982">
            <w:pPr>
              <w:jc w:val="both"/>
              <w:rPr>
                <w:rFonts w:ascii="Times New Roman" w:hAnsi="Times New Roman" w:cs="Times New Roman"/>
                <w:bCs/>
                <w:lang w:eastAsia="fr-FR"/>
              </w:rPr>
            </w:pPr>
            <w:r w:rsidRPr="00C11982">
              <w:rPr>
                <w:rFonts w:ascii="Times New Roman" w:hAnsi="Times New Roman" w:cs="Times New Roman"/>
                <w:bCs/>
                <w:lang w:eastAsia="fr-FR"/>
              </w:rPr>
              <w:t>-Faible capacité en suivi évaluation environnementale lié au manque de matériel de suivi</w:t>
            </w:r>
          </w:p>
          <w:p w:rsidR="001436E7" w:rsidRPr="00C11982" w:rsidRDefault="001436E7" w:rsidP="00C11982">
            <w:pPr>
              <w:jc w:val="both"/>
              <w:rPr>
                <w:rFonts w:ascii="Times New Roman" w:hAnsi="Times New Roman" w:cs="Times New Roman"/>
                <w:bCs/>
                <w:lang w:eastAsia="fr-FR"/>
              </w:rPr>
            </w:pPr>
            <w:r w:rsidRPr="00C11982">
              <w:rPr>
                <w:rFonts w:ascii="Times New Roman" w:hAnsi="Times New Roman" w:cs="Times New Roman"/>
                <w:bCs/>
                <w:lang w:eastAsia="fr-FR"/>
              </w:rPr>
              <w:t>Faible expertise en Evaluation Environnementale</w:t>
            </w:r>
          </w:p>
          <w:p w:rsidR="001436E7" w:rsidRPr="00C11982" w:rsidRDefault="001436E7" w:rsidP="00C11982">
            <w:pPr>
              <w:jc w:val="both"/>
              <w:rPr>
                <w:rFonts w:ascii="Times New Roman" w:hAnsi="Times New Roman" w:cs="Times New Roman"/>
                <w:bCs/>
                <w:lang w:eastAsia="fr-FR"/>
              </w:rPr>
            </w:pPr>
            <w:r w:rsidRPr="00C11982">
              <w:rPr>
                <w:rFonts w:ascii="Times New Roman" w:hAnsi="Times New Roman" w:cs="Times New Roman"/>
                <w:bCs/>
                <w:lang w:eastAsia="fr-FR"/>
              </w:rPr>
              <w:t>-Manque d’équipements roulants</w:t>
            </w:r>
          </w:p>
          <w:p w:rsidR="001436E7" w:rsidRPr="00C11982" w:rsidRDefault="001436E7" w:rsidP="00C11982">
            <w:pPr>
              <w:jc w:val="both"/>
              <w:rPr>
                <w:rFonts w:ascii="Times New Roman" w:hAnsi="Times New Roman" w:cs="Times New Roman"/>
                <w:b/>
                <w:bCs/>
                <w:lang w:eastAsia="fr-FR"/>
              </w:rPr>
            </w:pPr>
            <w:r w:rsidRPr="00C11982">
              <w:rPr>
                <w:rFonts w:ascii="Times New Roman" w:hAnsi="Times New Roman" w:cs="Times New Roman"/>
                <w:bCs/>
                <w:lang w:eastAsia="fr-FR"/>
              </w:rPr>
              <w:t>- Ressources financières limitées</w:t>
            </w:r>
          </w:p>
        </w:tc>
      </w:tr>
    </w:tbl>
    <w:p w:rsidR="007A6F13" w:rsidRDefault="007A6F13" w:rsidP="00627B55">
      <w:pPr>
        <w:rPr>
          <w:rFonts w:ascii="Times New Roman" w:eastAsia="Calibri" w:hAnsi="Times New Roman" w:cs="Times New Roman"/>
          <w:b/>
          <w:sz w:val="24"/>
          <w:szCs w:val="24"/>
          <w:lang w:eastAsia="fr-FR"/>
        </w:rPr>
      </w:pPr>
    </w:p>
    <w:p w:rsidR="009D7837" w:rsidRPr="006C0C34" w:rsidRDefault="001E1E2E" w:rsidP="009D7837">
      <w:pPr>
        <w:pStyle w:val="PargrafodaLista"/>
        <w:keepNext/>
        <w:spacing w:before="240" w:after="240"/>
        <w:ind w:left="450" w:right="284" w:hanging="450"/>
        <w:jc w:val="both"/>
        <w:outlineLvl w:val="1"/>
        <w:rPr>
          <w:rFonts w:ascii="Times New Roman" w:hAnsi="Times New Roman"/>
          <w:b/>
          <w:sz w:val="24"/>
          <w:szCs w:val="24"/>
          <w:lang w:val="fr-FR" w:eastAsia="fr-FR"/>
        </w:rPr>
      </w:pPr>
      <w:bookmarkStart w:id="135" w:name="_Toc51072537"/>
      <w:r>
        <w:rPr>
          <w:rFonts w:ascii="Times New Roman" w:hAnsi="Times New Roman"/>
          <w:b/>
          <w:sz w:val="24"/>
          <w:szCs w:val="24"/>
          <w:lang w:val="fr-FR" w:eastAsia="fr-FR"/>
        </w:rPr>
        <w:t xml:space="preserve">3.4. </w:t>
      </w:r>
      <w:r w:rsidRPr="006C0C34">
        <w:rPr>
          <w:rFonts w:ascii="Times New Roman" w:hAnsi="Times New Roman"/>
          <w:b/>
          <w:sz w:val="24"/>
          <w:szCs w:val="24"/>
          <w:lang w:val="fr-FR" w:eastAsia="fr-FR"/>
        </w:rPr>
        <w:t>POLITIQUE DE SAUVEGARDE DE LA BANQUE MONDIALE</w:t>
      </w:r>
      <w:bookmarkEnd w:id="135"/>
    </w:p>
    <w:p w:rsidR="007A6F13" w:rsidRPr="00DC216E" w:rsidRDefault="001E1E2E" w:rsidP="007A6F13">
      <w:pPr>
        <w:autoSpaceDE w:val="0"/>
        <w:autoSpaceDN w:val="0"/>
        <w:adjustRightInd w:val="0"/>
        <w:spacing w:after="0" w:line="240" w:lineRule="auto"/>
        <w:ind w:left="-284" w:right="-142"/>
        <w:jc w:val="both"/>
        <w:rPr>
          <w:rFonts w:ascii="Times New Roman" w:hAnsi="Times New Roman"/>
          <w:color w:val="000000"/>
          <w:sz w:val="24"/>
          <w:szCs w:val="24"/>
        </w:rPr>
      </w:pPr>
      <w:r>
        <w:rPr>
          <w:rFonts w:ascii="Times New Roman" w:hAnsi="Times New Roman"/>
          <w:color w:val="000000"/>
          <w:sz w:val="24"/>
          <w:szCs w:val="24"/>
        </w:rPr>
        <w:t>Les activités du sous-projet n°2 de PUASEE-FA</w:t>
      </w:r>
      <w:r w:rsidR="007A6F13" w:rsidRPr="00DC216E">
        <w:rPr>
          <w:rFonts w:ascii="Times New Roman" w:hAnsi="Times New Roman"/>
          <w:color w:val="000000"/>
          <w:sz w:val="24"/>
          <w:szCs w:val="24"/>
        </w:rPr>
        <w:t xml:space="preserve"> dont le financement est assuré par la Banque Mondiale, seront nécessairement soumises aussi bien aux politiques nationales qu’aux Politiques de Sauvegarde de cette institution. </w:t>
      </w:r>
    </w:p>
    <w:p w:rsidR="007A6F13" w:rsidRPr="00DC216E" w:rsidRDefault="007A6F13" w:rsidP="007A6F13">
      <w:pPr>
        <w:autoSpaceDE w:val="0"/>
        <w:autoSpaceDN w:val="0"/>
        <w:adjustRightInd w:val="0"/>
        <w:spacing w:after="0" w:line="240" w:lineRule="auto"/>
        <w:ind w:left="-284" w:right="-142"/>
        <w:jc w:val="both"/>
        <w:rPr>
          <w:rFonts w:ascii="Times New Roman" w:hAnsi="Times New Roman"/>
          <w:color w:val="000000"/>
          <w:sz w:val="24"/>
          <w:szCs w:val="24"/>
        </w:rPr>
      </w:pPr>
    </w:p>
    <w:p w:rsidR="007A6F13" w:rsidRPr="00DC216E" w:rsidRDefault="007A6F13" w:rsidP="007A6F13">
      <w:pPr>
        <w:autoSpaceDE w:val="0"/>
        <w:autoSpaceDN w:val="0"/>
        <w:adjustRightInd w:val="0"/>
        <w:spacing w:after="0" w:line="240" w:lineRule="auto"/>
        <w:ind w:left="-284" w:right="-142"/>
        <w:jc w:val="both"/>
        <w:rPr>
          <w:rFonts w:ascii="Times New Roman" w:hAnsi="Times New Roman"/>
          <w:color w:val="000000"/>
          <w:sz w:val="24"/>
          <w:szCs w:val="24"/>
        </w:rPr>
      </w:pPr>
      <w:r w:rsidRPr="00DC216E">
        <w:rPr>
          <w:rFonts w:ascii="Times New Roman" w:hAnsi="Times New Roman"/>
          <w:color w:val="000000"/>
          <w:sz w:val="24"/>
          <w:szCs w:val="24"/>
        </w:rPr>
        <w:t xml:space="preserve">La pertinence de chacune des dix Politiques de Sauvegarde a été vérifiée en relation avec le projet. Les politiques de sauvegardes environnementales et sociales de la Banque mondiale comprennent à la fois, les Politiques Opérationnelles (OP), les Directives Opérationnelles (DO) et les Procédures de la Banque (PB).  </w:t>
      </w:r>
    </w:p>
    <w:p w:rsidR="007A6F13" w:rsidRPr="00DC216E" w:rsidRDefault="007A6F13" w:rsidP="007A6F13">
      <w:pPr>
        <w:autoSpaceDE w:val="0"/>
        <w:autoSpaceDN w:val="0"/>
        <w:adjustRightInd w:val="0"/>
        <w:spacing w:after="0" w:line="240" w:lineRule="auto"/>
        <w:ind w:left="-284" w:right="-142"/>
        <w:jc w:val="both"/>
        <w:rPr>
          <w:rFonts w:ascii="Times New Roman" w:hAnsi="Times New Roman"/>
          <w:color w:val="000000"/>
          <w:sz w:val="24"/>
          <w:szCs w:val="24"/>
        </w:rPr>
      </w:pPr>
    </w:p>
    <w:p w:rsidR="007A6F13" w:rsidRPr="00DC216E" w:rsidRDefault="007A6F13" w:rsidP="007A6F13">
      <w:pPr>
        <w:autoSpaceDE w:val="0"/>
        <w:autoSpaceDN w:val="0"/>
        <w:adjustRightInd w:val="0"/>
        <w:spacing w:after="0" w:line="240" w:lineRule="auto"/>
        <w:ind w:left="-284" w:right="-142"/>
        <w:jc w:val="both"/>
        <w:rPr>
          <w:rFonts w:ascii="Times New Roman" w:hAnsi="Times New Roman"/>
          <w:color w:val="000000"/>
          <w:sz w:val="24"/>
          <w:szCs w:val="24"/>
        </w:rPr>
      </w:pPr>
      <w:r w:rsidRPr="00DC216E">
        <w:rPr>
          <w:rFonts w:ascii="Times New Roman" w:hAnsi="Times New Roman"/>
          <w:color w:val="000000"/>
          <w:sz w:val="24"/>
          <w:szCs w:val="24"/>
        </w:rPr>
        <w:t>Les politiques de sauvegarde environnementale et sociale qui concernent directement le projet sont :</w:t>
      </w:r>
    </w:p>
    <w:p w:rsidR="007A6F13" w:rsidRDefault="007A6F13" w:rsidP="00FA3FAE">
      <w:pPr>
        <w:numPr>
          <w:ilvl w:val="0"/>
          <w:numId w:val="45"/>
        </w:numPr>
        <w:autoSpaceDE w:val="0"/>
        <w:autoSpaceDN w:val="0"/>
        <w:adjustRightInd w:val="0"/>
        <w:spacing w:after="0" w:line="240" w:lineRule="auto"/>
        <w:ind w:left="900" w:right="-142" w:hanging="540"/>
        <w:contextualSpacing/>
        <w:jc w:val="both"/>
        <w:rPr>
          <w:rFonts w:ascii="Times New Roman" w:hAnsi="Times New Roman"/>
          <w:color w:val="000000"/>
          <w:sz w:val="24"/>
          <w:szCs w:val="24"/>
        </w:rPr>
      </w:pPr>
      <w:r w:rsidRPr="00DC216E">
        <w:rPr>
          <w:rFonts w:ascii="Times New Roman" w:hAnsi="Times New Roman"/>
          <w:color w:val="000000"/>
          <w:sz w:val="24"/>
          <w:szCs w:val="24"/>
        </w:rPr>
        <w:t>OP/BP 4.01 Évaluation environnementale ;</w:t>
      </w:r>
    </w:p>
    <w:p w:rsidR="00B11549" w:rsidRPr="00B11549" w:rsidRDefault="00B11549" w:rsidP="00FA3FAE">
      <w:pPr>
        <w:pStyle w:val="Listecouleur-Accent11"/>
        <w:numPr>
          <w:ilvl w:val="0"/>
          <w:numId w:val="45"/>
        </w:numPr>
        <w:tabs>
          <w:tab w:val="left" w:pos="720"/>
          <w:tab w:val="left" w:pos="1260"/>
        </w:tabs>
        <w:autoSpaceDE w:val="0"/>
        <w:autoSpaceDN w:val="0"/>
        <w:adjustRightInd w:val="0"/>
        <w:ind w:left="360" w:right="-142" w:firstLine="0"/>
        <w:jc w:val="left"/>
        <w:rPr>
          <w:rFonts w:ascii="Times New Roman" w:hAnsi="Times New Roman"/>
          <w:color w:val="000000"/>
          <w:sz w:val="24"/>
          <w:szCs w:val="24"/>
          <w:lang w:val="fr-FR"/>
        </w:rPr>
      </w:pPr>
      <w:r>
        <w:rPr>
          <w:rFonts w:ascii="Times New Roman" w:hAnsi="Times New Roman"/>
          <w:color w:val="000000"/>
          <w:sz w:val="24"/>
          <w:szCs w:val="24"/>
          <w:lang w:val="fr-FR"/>
        </w:rPr>
        <w:t xml:space="preserve">   </w:t>
      </w:r>
      <w:r w:rsidRPr="003E743A">
        <w:rPr>
          <w:rFonts w:ascii="Times New Roman" w:hAnsi="Times New Roman"/>
          <w:color w:val="000000"/>
          <w:sz w:val="24"/>
          <w:szCs w:val="24"/>
          <w:lang w:val="fr-FR"/>
        </w:rPr>
        <w:t>OP/BP 4.04 Habitats naturels</w:t>
      </w:r>
      <w:r>
        <w:rPr>
          <w:rFonts w:ascii="Times New Roman" w:hAnsi="Times New Roman"/>
          <w:color w:val="000000"/>
          <w:sz w:val="24"/>
          <w:szCs w:val="24"/>
          <w:lang w:val="fr-FR"/>
        </w:rPr>
        <w:t> ;</w:t>
      </w:r>
    </w:p>
    <w:p w:rsidR="007A6F13" w:rsidRPr="00DC216E" w:rsidRDefault="007A6F13" w:rsidP="00FA3FAE">
      <w:pPr>
        <w:numPr>
          <w:ilvl w:val="0"/>
          <w:numId w:val="45"/>
        </w:numPr>
        <w:tabs>
          <w:tab w:val="left" w:pos="900"/>
        </w:tabs>
        <w:autoSpaceDE w:val="0"/>
        <w:autoSpaceDN w:val="0"/>
        <w:adjustRightInd w:val="0"/>
        <w:spacing w:after="0" w:line="240" w:lineRule="auto"/>
        <w:ind w:left="360" w:right="-142" w:firstLine="0"/>
        <w:contextualSpacing/>
        <w:rPr>
          <w:rFonts w:ascii="Times New Roman" w:hAnsi="Times New Roman"/>
          <w:color w:val="000000"/>
          <w:sz w:val="24"/>
          <w:szCs w:val="24"/>
        </w:rPr>
      </w:pPr>
      <w:r w:rsidRPr="00DC216E">
        <w:rPr>
          <w:rFonts w:ascii="Times New Roman" w:hAnsi="Times New Roman"/>
          <w:color w:val="000000"/>
          <w:sz w:val="24"/>
          <w:szCs w:val="24"/>
        </w:rPr>
        <w:t>OP/BP 4.11 Ressources culturelles ;</w:t>
      </w:r>
    </w:p>
    <w:p w:rsidR="007A6F13" w:rsidRDefault="007A6F13" w:rsidP="00FA3FAE">
      <w:pPr>
        <w:numPr>
          <w:ilvl w:val="0"/>
          <w:numId w:val="45"/>
        </w:numPr>
        <w:autoSpaceDE w:val="0"/>
        <w:autoSpaceDN w:val="0"/>
        <w:adjustRightInd w:val="0"/>
        <w:spacing w:after="0" w:line="240" w:lineRule="auto"/>
        <w:ind w:right="-142"/>
        <w:contextualSpacing/>
        <w:jc w:val="both"/>
        <w:rPr>
          <w:rFonts w:ascii="Times New Roman" w:hAnsi="Times New Roman"/>
          <w:color w:val="000000"/>
          <w:sz w:val="24"/>
          <w:szCs w:val="24"/>
        </w:rPr>
      </w:pPr>
      <w:r w:rsidRPr="00DC216E">
        <w:rPr>
          <w:rFonts w:ascii="Times New Roman" w:hAnsi="Times New Roman"/>
          <w:color w:val="000000"/>
          <w:sz w:val="24"/>
          <w:szCs w:val="24"/>
        </w:rPr>
        <w:t xml:space="preserve">   OP/BP 4.12 Réinstallation involontaire.</w:t>
      </w:r>
    </w:p>
    <w:p w:rsidR="00BA3EE1" w:rsidRDefault="00BA3EE1" w:rsidP="00BA3EE1">
      <w:pPr>
        <w:autoSpaceDE w:val="0"/>
        <w:autoSpaceDN w:val="0"/>
        <w:adjustRightInd w:val="0"/>
        <w:spacing w:after="0" w:line="240" w:lineRule="auto"/>
        <w:ind w:left="720" w:right="-142"/>
        <w:contextualSpacing/>
        <w:jc w:val="both"/>
        <w:rPr>
          <w:rFonts w:ascii="Times New Roman" w:hAnsi="Times New Roman"/>
          <w:color w:val="000000"/>
          <w:sz w:val="24"/>
          <w:szCs w:val="24"/>
        </w:rPr>
      </w:pPr>
    </w:p>
    <w:p w:rsidR="007A6F13" w:rsidRPr="00BA3EE1" w:rsidRDefault="007A6F13" w:rsidP="00BA3EE1">
      <w:pPr>
        <w:jc w:val="center"/>
        <w:rPr>
          <w:rFonts w:ascii="Times New Roman" w:hAnsi="Times New Roman" w:cs="Times New Roman"/>
          <w:b/>
          <w:sz w:val="20"/>
          <w:szCs w:val="20"/>
        </w:rPr>
      </w:pPr>
      <w:bookmarkStart w:id="136" w:name="_Toc17385900"/>
      <w:bookmarkStart w:id="137" w:name="_Toc51074003"/>
      <w:r w:rsidRPr="00BA3EE1">
        <w:rPr>
          <w:rFonts w:ascii="Times New Roman" w:hAnsi="Times New Roman" w:cs="Times New Roman"/>
          <w:b/>
          <w:sz w:val="20"/>
          <w:szCs w:val="20"/>
        </w:rPr>
        <w:t xml:space="preserve">Tableau </w:t>
      </w:r>
      <w:r w:rsidRPr="00BA3EE1">
        <w:rPr>
          <w:rFonts w:ascii="Times New Roman" w:hAnsi="Times New Roman" w:cs="Times New Roman"/>
          <w:b/>
          <w:sz w:val="20"/>
          <w:szCs w:val="20"/>
        </w:rPr>
        <w:fldChar w:fldCharType="begin"/>
      </w:r>
      <w:r w:rsidRPr="00BA3EE1">
        <w:rPr>
          <w:rFonts w:ascii="Times New Roman" w:hAnsi="Times New Roman" w:cs="Times New Roman"/>
          <w:b/>
          <w:sz w:val="20"/>
          <w:szCs w:val="20"/>
        </w:rPr>
        <w:instrText xml:space="preserve"> SEQ Tableau \* ARABIC </w:instrText>
      </w:r>
      <w:r w:rsidRPr="00BA3EE1">
        <w:rPr>
          <w:rFonts w:ascii="Times New Roman" w:hAnsi="Times New Roman" w:cs="Times New Roman"/>
          <w:b/>
          <w:sz w:val="20"/>
          <w:szCs w:val="20"/>
        </w:rPr>
        <w:fldChar w:fldCharType="separate"/>
      </w:r>
      <w:r w:rsidR="00EB726E">
        <w:rPr>
          <w:rFonts w:ascii="Times New Roman" w:hAnsi="Times New Roman" w:cs="Times New Roman"/>
          <w:b/>
          <w:noProof/>
          <w:sz w:val="20"/>
          <w:szCs w:val="20"/>
        </w:rPr>
        <w:t>12</w:t>
      </w:r>
      <w:r w:rsidRPr="00BA3EE1">
        <w:rPr>
          <w:rFonts w:ascii="Times New Roman" w:hAnsi="Times New Roman" w:cs="Times New Roman"/>
          <w:b/>
          <w:sz w:val="20"/>
          <w:szCs w:val="20"/>
        </w:rPr>
        <w:fldChar w:fldCharType="end"/>
      </w:r>
      <w:r w:rsidRPr="00BA3EE1">
        <w:rPr>
          <w:rFonts w:ascii="Times New Roman" w:hAnsi="Times New Roman" w:cs="Times New Roman"/>
          <w:b/>
          <w:sz w:val="20"/>
          <w:szCs w:val="20"/>
        </w:rPr>
        <w:t>: Politique de sauvegarde de la banque mondiale</w:t>
      </w:r>
      <w:bookmarkEnd w:id="136"/>
      <w:bookmarkEnd w:id="137"/>
    </w:p>
    <w:tbl>
      <w:tblPr>
        <w:tblStyle w:val="Tabelacomgrelha"/>
        <w:tblW w:w="0" w:type="auto"/>
        <w:tblInd w:w="-998" w:type="dxa"/>
        <w:tblLayout w:type="fixed"/>
        <w:tblLook w:val="04A0" w:firstRow="1" w:lastRow="0" w:firstColumn="1" w:lastColumn="0" w:noHBand="0" w:noVBand="1"/>
      </w:tblPr>
      <w:tblGrid>
        <w:gridCol w:w="1560"/>
        <w:gridCol w:w="4774"/>
        <w:gridCol w:w="4577"/>
      </w:tblGrid>
      <w:tr w:rsidR="007A6F13" w:rsidRPr="00DC216E" w:rsidTr="00024D1D">
        <w:tc>
          <w:tcPr>
            <w:tcW w:w="1560" w:type="dxa"/>
            <w:shd w:val="clear" w:color="auto" w:fill="ACB9CA" w:themeFill="text2" w:themeFillTint="66"/>
            <w:vAlign w:val="center"/>
          </w:tcPr>
          <w:p w:rsidR="007A6F13" w:rsidRPr="00DC216E" w:rsidRDefault="007A6F13" w:rsidP="003B2B88">
            <w:pPr>
              <w:autoSpaceDE w:val="0"/>
              <w:autoSpaceDN w:val="0"/>
              <w:adjustRightInd w:val="0"/>
              <w:ind w:left="-108" w:right="-43"/>
              <w:contextualSpacing/>
              <w:jc w:val="center"/>
              <w:rPr>
                <w:rFonts w:ascii="Times New Roman" w:hAnsi="Times New Roman" w:cs="Times New Roman"/>
                <w:sz w:val="24"/>
                <w:szCs w:val="24"/>
              </w:rPr>
            </w:pPr>
            <w:r w:rsidRPr="00DC216E">
              <w:rPr>
                <w:rFonts w:ascii="Times New Roman" w:hAnsi="Times New Roman" w:cs="Times New Roman"/>
                <w:b/>
                <w:bCs/>
                <w:sz w:val="24"/>
                <w:szCs w:val="24"/>
              </w:rPr>
              <w:t>Politique</w:t>
            </w:r>
          </w:p>
        </w:tc>
        <w:tc>
          <w:tcPr>
            <w:tcW w:w="4774" w:type="dxa"/>
            <w:shd w:val="clear" w:color="auto" w:fill="ACB9CA" w:themeFill="text2" w:themeFillTint="66"/>
            <w:vAlign w:val="center"/>
          </w:tcPr>
          <w:p w:rsidR="007A6F13" w:rsidRPr="00DC216E" w:rsidRDefault="007A6F13" w:rsidP="009E388B">
            <w:pPr>
              <w:autoSpaceDE w:val="0"/>
              <w:autoSpaceDN w:val="0"/>
              <w:adjustRightInd w:val="0"/>
              <w:ind w:right="-142"/>
              <w:contextualSpacing/>
              <w:jc w:val="center"/>
              <w:rPr>
                <w:rFonts w:ascii="Times New Roman" w:hAnsi="Times New Roman" w:cs="Times New Roman"/>
                <w:sz w:val="24"/>
                <w:szCs w:val="24"/>
              </w:rPr>
            </w:pPr>
            <w:r w:rsidRPr="00DC216E">
              <w:rPr>
                <w:rFonts w:ascii="Times New Roman" w:hAnsi="Times New Roman" w:cs="Times New Roman"/>
                <w:b/>
                <w:bCs/>
                <w:sz w:val="24"/>
                <w:szCs w:val="24"/>
              </w:rPr>
              <w:t>Objectif de la Politique</w:t>
            </w:r>
          </w:p>
        </w:tc>
        <w:tc>
          <w:tcPr>
            <w:tcW w:w="4577" w:type="dxa"/>
            <w:shd w:val="clear" w:color="auto" w:fill="ACB9CA" w:themeFill="text2" w:themeFillTint="66"/>
            <w:vAlign w:val="center"/>
          </w:tcPr>
          <w:p w:rsidR="007A6F13" w:rsidRPr="00DC216E" w:rsidRDefault="007A6F13" w:rsidP="009E388B">
            <w:pPr>
              <w:jc w:val="both"/>
              <w:rPr>
                <w:rFonts w:ascii="Times New Roman" w:eastAsia="Times New Roman" w:hAnsi="Times New Roman" w:cs="Times New Roman"/>
                <w:b/>
                <w:color w:val="000000"/>
                <w:sz w:val="24"/>
                <w:szCs w:val="24"/>
              </w:rPr>
            </w:pPr>
            <w:r w:rsidRPr="00DC216E">
              <w:rPr>
                <w:rFonts w:ascii="Times New Roman" w:eastAsia="Times New Roman" w:hAnsi="Times New Roman" w:cs="Times New Roman"/>
                <w:b/>
                <w:color w:val="000000"/>
                <w:sz w:val="24"/>
                <w:szCs w:val="24"/>
              </w:rPr>
              <w:t>Justification et pertinence</w:t>
            </w:r>
          </w:p>
          <w:p w:rsidR="007A6F13" w:rsidRPr="00DC216E" w:rsidRDefault="007A6F13" w:rsidP="009E388B">
            <w:pPr>
              <w:autoSpaceDE w:val="0"/>
              <w:autoSpaceDN w:val="0"/>
              <w:adjustRightInd w:val="0"/>
              <w:ind w:right="-142"/>
              <w:contextualSpacing/>
              <w:jc w:val="both"/>
              <w:rPr>
                <w:rFonts w:ascii="Times New Roman" w:hAnsi="Times New Roman" w:cs="Times New Roman"/>
                <w:color w:val="000000"/>
                <w:sz w:val="24"/>
                <w:szCs w:val="24"/>
              </w:rPr>
            </w:pPr>
            <w:r w:rsidRPr="00DC216E">
              <w:rPr>
                <w:rFonts w:ascii="Times New Roman" w:eastAsia="Times New Roman" w:hAnsi="Times New Roman" w:cs="Times New Roman"/>
                <w:b/>
                <w:color w:val="000000"/>
                <w:sz w:val="24"/>
                <w:szCs w:val="24"/>
              </w:rPr>
              <w:t>par rapport au projet</w:t>
            </w:r>
          </w:p>
        </w:tc>
      </w:tr>
      <w:tr w:rsidR="007A6F13" w:rsidRPr="00DC216E" w:rsidTr="00024D1D">
        <w:tc>
          <w:tcPr>
            <w:tcW w:w="1560" w:type="dxa"/>
            <w:vAlign w:val="center"/>
          </w:tcPr>
          <w:p w:rsidR="007A6F13" w:rsidRPr="00DC216E" w:rsidRDefault="007A6F13" w:rsidP="003B2B88">
            <w:pPr>
              <w:autoSpaceDE w:val="0"/>
              <w:autoSpaceDN w:val="0"/>
              <w:adjustRightInd w:val="0"/>
              <w:ind w:left="-108" w:right="105"/>
              <w:contextualSpacing/>
              <w:jc w:val="center"/>
              <w:rPr>
                <w:rFonts w:ascii="Times New Roman" w:hAnsi="Times New Roman" w:cs="Times New Roman"/>
                <w:b/>
                <w:bCs/>
                <w:sz w:val="24"/>
                <w:szCs w:val="24"/>
              </w:rPr>
            </w:pPr>
            <w:r w:rsidRPr="00DC216E">
              <w:rPr>
                <w:rFonts w:ascii="Times New Roman" w:hAnsi="Times New Roman" w:cs="Times New Roman"/>
                <w:b/>
                <w:bCs/>
                <w:sz w:val="24"/>
                <w:szCs w:val="24"/>
              </w:rPr>
              <w:t>OP 4.01 Evaluation</w:t>
            </w:r>
            <w:r w:rsidRPr="00DC216E">
              <w:rPr>
                <w:rFonts w:ascii="Times New Roman" w:hAnsi="Times New Roman" w:cs="Times New Roman"/>
                <w:sz w:val="24"/>
                <w:szCs w:val="24"/>
              </w:rPr>
              <w:t xml:space="preserve"> </w:t>
            </w:r>
            <w:r w:rsidRPr="00DC216E">
              <w:rPr>
                <w:rFonts w:ascii="Times New Roman" w:hAnsi="Times New Roman" w:cs="Times New Roman"/>
                <w:b/>
                <w:bCs/>
                <w:sz w:val="24"/>
                <w:szCs w:val="24"/>
              </w:rPr>
              <w:t>environnementale</w:t>
            </w:r>
          </w:p>
        </w:tc>
        <w:tc>
          <w:tcPr>
            <w:tcW w:w="4774" w:type="dxa"/>
          </w:tcPr>
          <w:p w:rsidR="007A6F13" w:rsidRPr="00DC216E" w:rsidRDefault="007A6F13" w:rsidP="009E388B">
            <w:pPr>
              <w:autoSpaceDE w:val="0"/>
              <w:autoSpaceDN w:val="0"/>
              <w:adjustRightInd w:val="0"/>
              <w:contextualSpacing/>
              <w:jc w:val="both"/>
              <w:rPr>
                <w:rFonts w:ascii="Times New Roman" w:hAnsi="Times New Roman" w:cs="Times New Roman"/>
                <w:b/>
                <w:bCs/>
                <w:sz w:val="24"/>
                <w:szCs w:val="24"/>
              </w:rPr>
            </w:pPr>
            <w:r w:rsidRPr="00DC216E">
              <w:rPr>
                <w:rFonts w:ascii="Times New Roman" w:hAnsi="Times New Roman" w:cs="Times New Roman"/>
                <w:color w:val="000000"/>
                <w:sz w:val="24"/>
                <w:szCs w:val="24"/>
              </w:rPr>
              <w:t xml:space="preserve">Faire en sorte que les projets financés par la Banque soient solides et durables au point de vue environnemental, et que la prise de décisions soit améliorée à travers une analyse appropriée des actions et de leurs impacts </w:t>
            </w:r>
            <w:r w:rsidRPr="00DC216E">
              <w:rPr>
                <w:rFonts w:ascii="Times New Roman" w:hAnsi="Times New Roman" w:cs="Times New Roman"/>
                <w:color w:val="000000"/>
                <w:sz w:val="24"/>
                <w:szCs w:val="24"/>
              </w:rPr>
              <w:lastRenderedPageBreak/>
              <w:t>environnementaux probables. Cette politique est déclenchée si un projet est susceptible d’avoir des risques et impacts environnementaux (négatifs) sur sa zone d’influence. L’OP 4.01 couvre les impacts sur l’environnement naturel (air, eau et terre) ; la santé humaine et la sécurité ; les ressources culturelles physiques ; ainsi que les problèmes transfrontaliers et environnementaux mondiaux.</w:t>
            </w:r>
          </w:p>
        </w:tc>
        <w:tc>
          <w:tcPr>
            <w:tcW w:w="4577" w:type="dxa"/>
          </w:tcPr>
          <w:p w:rsidR="007A6F13" w:rsidRPr="00DC216E" w:rsidRDefault="007A6F13" w:rsidP="00213160">
            <w:pPr>
              <w:jc w:val="both"/>
              <w:rPr>
                <w:rFonts w:ascii="Times New Roman" w:eastAsia="Times New Roman" w:hAnsi="Times New Roman" w:cs="Times New Roman"/>
                <w:b/>
                <w:color w:val="000000"/>
                <w:sz w:val="24"/>
                <w:szCs w:val="24"/>
              </w:rPr>
            </w:pPr>
            <w:r w:rsidRPr="00DC216E">
              <w:rPr>
                <w:rFonts w:ascii="Times New Roman" w:hAnsi="Times New Roman" w:cs="Times New Roman"/>
                <w:color w:val="000000"/>
                <w:sz w:val="24"/>
                <w:szCs w:val="24"/>
              </w:rPr>
              <w:lastRenderedPageBreak/>
              <w:t>Compte tenu de la nature des activités du P</w:t>
            </w:r>
            <w:r w:rsidR="00213160">
              <w:rPr>
                <w:rFonts w:ascii="Times New Roman" w:hAnsi="Times New Roman" w:cs="Times New Roman"/>
                <w:color w:val="000000"/>
                <w:sz w:val="24"/>
                <w:szCs w:val="24"/>
              </w:rPr>
              <w:t>UASEE-FA</w:t>
            </w:r>
            <w:r w:rsidRPr="00DC216E">
              <w:rPr>
                <w:rFonts w:ascii="Times New Roman" w:hAnsi="Times New Roman" w:cs="Times New Roman"/>
                <w:color w:val="000000"/>
                <w:sz w:val="24"/>
                <w:szCs w:val="24"/>
              </w:rPr>
              <w:t>, une gamme d’instruments peut être utilisée : EIES, évaluations des dangers ou des risques et plan de gestion e</w:t>
            </w:r>
            <w:r w:rsidR="00BF5A18">
              <w:rPr>
                <w:rFonts w:ascii="Times New Roman" w:hAnsi="Times New Roman" w:cs="Times New Roman"/>
                <w:color w:val="000000"/>
                <w:sz w:val="24"/>
                <w:szCs w:val="24"/>
              </w:rPr>
              <w:t>nvironnemental et Social</w:t>
            </w:r>
            <w:r w:rsidR="00BF5A18">
              <w:rPr>
                <w:rFonts w:ascii="Times New Roman" w:hAnsi="Times New Roman" w:cs="Times New Roman"/>
                <w:color w:val="000000"/>
                <w:sz w:val="24"/>
                <w:szCs w:val="24"/>
              </w:rPr>
              <w:br/>
            </w:r>
            <w:r w:rsidR="00BF5A18">
              <w:rPr>
                <w:rFonts w:ascii="Times New Roman" w:hAnsi="Times New Roman" w:cs="Times New Roman"/>
                <w:color w:val="000000"/>
                <w:sz w:val="24"/>
                <w:szCs w:val="24"/>
              </w:rPr>
              <w:lastRenderedPageBreak/>
              <w:t>(PGES).</w:t>
            </w:r>
            <w:r w:rsidRPr="00DC216E">
              <w:rPr>
                <w:rFonts w:ascii="Times New Roman" w:hAnsi="Times New Roman" w:cs="Times New Roman"/>
                <w:color w:val="000000"/>
                <w:sz w:val="24"/>
                <w:szCs w:val="24"/>
              </w:rPr>
              <w:br/>
            </w:r>
          </w:p>
        </w:tc>
      </w:tr>
      <w:tr w:rsidR="00B11549" w:rsidRPr="00DC216E" w:rsidTr="00024D1D">
        <w:tc>
          <w:tcPr>
            <w:tcW w:w="1560" w:type="dxa"/>
            <w:vAlign w:val="center"/>
          </w:tcPr>
          <w:p w:rsidR="00B11549" w:rsidRPr="00DC216E" w:rsidRDefault="00BF5A18" w:rsidP="00BF5A18">
            <w:pPr>
              <w:autoSpaceDE w:val="0"/>
              <w:autoSpaceDN w:val="0"/>
              <w:adjustRightInd w:val="0"/>
              <w:ind w:left="-108" w:right="-43"/>
              <w:contextualSpacing/>
              <w:jc w:val="center"/>
              <w:rPr>
                <w:rFonts w:ascii="Times New Roman" w:hAnsi="Times New Roman" w:cs="Times New Roman"/>
                <w:b/>
                <w:bCs/>
                <w:sz w:val="24"/>
                <w:szCs w:val="24"/>
              </w:rPr>
            </w:pPr>
            <w:r>
              <w:rPr>
                <w:rFonts w:ascii="Times New Roman" w:hAnsi="Times New Roman" w:cs="Times New Roman"/>
                <w:b/>
                <w:bCs/>
                <w:sz w:val="24"/>
                <w:szCs w:val="24"/>
              </w:rPr>
              <w:lastRenderedPageBreak/>
              <w:t xml:space="preserve">OP 4.04 </w:t>
            </w:r>
            <w:r w:rsidR="00B11549" w:rsidRPr="00BF5A18">
              <w:rPr>
                <w:rFonts w:ascii="Times New Roman" w:hAnsi="Times New Roman" w:cs="Times New Roman"/>
                <w:b/>
                <w:bCs/>
                <w:sz w:val="24"/>
                <w:szCs w:val="24"/>
              </w:rPr>
              <w:t>Habitats Naturels</w:t>
            </w:r>
          </w:p>
        </w:tc>
        <w:tc>
          <w:tcPr>
            <w:tcW w:w="4774" w:type="dxa"/>
          </w:tcPr>
          <w:p w:rsidR="00B11549" w:rsidRPr="00BF5A18" w:rsidRDefault="00B11549" w:rsidP="00BF5A18">
            <w:pPr>
              <w:autoSpaceDE w:val="0"/>
              <w:autoSpaceDN w:val="0"/>
              <w:adjustRightInd w:val="0"/>
              <w:ind w:right="-4"/>
              <w:jc w:val="both"/>
              <w:rPr>
                <w:rFonts w:ascii="Times New Roman" w:hAnsi="Times New Roman"/>
                <w:color w:val="000000"/>
                <w:sz w:val="24"/>
                <w:szCs w:val="24"/>
              </w:rPr>
            </w:pPr>
            <w:r w:rsidRPr="003E743A">
              <w:rPr>
                <w:rFonts w:ascii="Times New Roman" w:hAnsi="Times New Roman"/>
                <w:color w:val="000000"/>
                <w:sz w:val="24"/>
                <w:szCs w:val="24"/>
              </w:rPr>
              <w:t xml:space="preserve">L’OP 4.04 n’autorise pas le financement de projets dégradant ou convertissant des habitats critiques. Les sites naturels présentent un intérêt particulier et sont importants pour la préservation de la diversité biologique ou à cause </w:t>
            </w:r>
            <w:r w:rsidR="00BF5A18">
              <w:rPr>
                <w:rFonts w:ascii="Times New Roman" w:hAnsi="Times New Roman"/>
                <w:color w:val="000000"/>
                <w:sz w:val="24"/>
                <w:szCs w:val="24"/>
              </w:rPr>
              <w:t>de leurs fonctions écologiques.</w:t>
            </w:r>
          </w:p>
        </w:tc>
        <w:tc>
          <w:tcPr>
            <w:tcW w:w="4577" w:type="dxa"/>
          </w:tcPr>
          <w:p w:rsidR="00B11549" w:rsidRPr="00DC216E" w:rsidRDefault="004C52CE" w:rsidP="00BF5A18">
            <w:pPr>
              <w:jc w:val="both"/>
              <w:rPr>
                <w:rFonts w:ascii="Times New Roman" w:hAnsi="Times New Roman" w:cs="Times New Roman"/>
                <w:color w:val="000000"/>
                <w:sz w:val="24"/>
                <w:szCs w:val="24"/>
              </w:rPr>
            </w:pPr>
            <w:r w:rsidRPr="003E743A">
              <w:rPr>
                <w:rFonts w:ascii="Times New Roman" w:hAnsi="Times New Roman"/>
                <w:color w:val="000000"/>
                <w:sz w:val="24"/>
                <w:szCs w:val="24"/>
              </w:rPr>
              <w:t xml:space="preserve">Le </w:t>
            </w:r>
            <w:r w:rsidR="00BF5A18">
              <w:rPr>
                <w:rFonts w:ascii="Times New Roman" w:hAnsi="Times New Roman"/>
                <w:color w:val="000000"/>
                <w:sz w:val="24"/>
                <w:szCs w:val="24"/>
              </w:rPr>
              <w:t>sous-</w:t>
            </w:r>
            <w:r w:rsidRPr="003E743A">
              <w:rPr>
                <w:rFonts w:ascii="Times New Roman" w:hAnsi="Times New Roman"/>
                <w:color w:val="000000"/>
                <w:sz w:val="24"/>
                <w:szCs w:val="24"/>
              </w:rPr>
              <w:t>projet</w:t>
            </w:r>
            <w:r w:rsidR="00BF5A18">
              <w:rPr>
                <w:rFonts w:ascii="Times New Roman" w:hAnsi="Times New Roman"/>
                <w:color w:val="000000"/>
                <w:sz w:val="24"/>
                <w:szCs w:val="24"/>
              </w:rPr>
              <w:t xml:space="preserve"> n°2 ne</w:t>
            </w:r>
            <w:r w:rsidRPr="003E743A">
              <w:rPr>
                <w:rFonts w:ascii="Times New Roman" w:hAnsi="Times New Roman"/>
                <w:color w:val="000000"/>
                <w:sz w:val="24"/>
                <w:szCs w:val="24"/>
              </w:rPr>
              <w:t xml:space="preserve"> va </w:t>
            </w:r>
            <w:r w:rsidR="00BF5A18">
              <w:rPr>
                <w:rFonts w:ascii="Times New Roman" w:hAnsi="Times New Roman"/>
                <w:color w:val="000000"/>
                <w:sz w:val="24"/>
                <w:szCs w:val="24"/>
              </w:rPr>
              <w:t xml:space="preserve">pas </w:t>
            </w:r>
            <w:r w:rsidRPr="003E743A">
              <w:rPr>
                <w:rFonts w:ascii="Times New Roman" w:hAnsi="Times New Roman"/>
                <w:color w:val="000000"/>
                <w:sz w:val="24"/>
                <w:szCs w:val="24"/>
              </w:rPr>
              <w:t xml:space="preserve">entraîner des travaux </w:t>
            </w:r>
            <w:r w:rsidR="00BF5A18">
              <w:rPr>
                <w:rFonts w:ascii="Times New Roman" w:hAnsi="Times New Roman"/>
                <w:color w:val="000000"/>
                <w:sz w:val="24"/>
                <w:szCs w:val="24"/>
              </w:rPr>
              <w:t>dans un habitat naturel.</w:t>
            </w:r>
          </w:p>
        </w:tc>
      </w:tr>
      <w:tr w:rsidR="007A6F13" w:rsidRPr="00DC216E" w:rsidTr="00024D1D">
        <w:tc>
          <w:tcPr>
            <w:tcW w:w="1560" w:type="dxa"/>
            <w:vAlign w:val="center"/>
          </w:tcPr>
          <w:p w:rsidR="007A6F13" w:rsidRPr="00DC216E" w:rsidRDefault="007A6F13" w:rsidP="003B2B88">
            <w:pPr>
              <w:autoSpaceDE w:val="0"/>
              <w:autoSpaceDN w:val="0"/>
              <w:adjustRightInd w:val="0"/>
              <w:ind w:left="-108" w:right="-43"/>
              <w:contextualSpacing/>
              <w:jc w:val="center"/>
              <w:rPr>
                <w:rFonts w:ascii="Times New Roman" w:hAnsi="Times New Roman" w:cs="Times New Roman"/>
                <w:b/>
                <w:bCs/>
                <w:sz w:val="24"/>
                <w:szCs w:val="24"/>
              </w:rPr>
            </w:pPr>
            <w:r w:rsidRPr="00DC216E">
              <w:rPr>
                <w:rFonts w:ascii="Times New Roman" w:hAnsi="Times New Roman" w:cs="Times New Roman"/>
                <w:b/>
                <w:bCs/>
                <w:sz w:val="24"/>
                <w:szCs w:val="24"/>
              </w:rPr>
              <w:t>OP 4.11 Patrimoine</w:t>
            </w:r>
            <w:r w:rsidRPr="00DC216E">
              <w:rPr>
                <w:rFonts w:ascii="Times New Roman" w:hAnsi="Times New Roman" w:cs="Times New Roman"/>
                <w:sz w:val="24"/>
                <w:szCs w:val="24"/>
              </w:rPr>
              <w:br/>
            </w:r>
            <w:r w:rsidRPr="00DC216E">
              <w:rPr>
                <w:rFonts w:ascii="Times New Roman" w:hAnsi="Times New Roman" w:cs="Times New Roman"/>
                <w:b/>
                <w:bCs/>
                <w:sz w:val="24"/>
                <w:szCs w:val="24"/>
              </w:rPr>
              <w:t>culturel</w:t>
            </w:r>
          </w:p>
        </w:tc>
        <w:tc>
          <w:tcPr>
            <w:tcW w:w="4774" w:type="dxa"/>
          </w:tcPr>
          <w:p w:rsidR="007A6F13" w:rsidRPr="00DC216E" w:rsidRDefault="007A6F13" w:rsidP="009E388B">
            <w:pPr>
              <w:autoSpaceDE w:val="0"/>
              <w:autoSpaceDN w:val="0"/>
              <w:adjustRightInd w:val="0"/>
              <w:ind w:right="-74"/>
              <w:contextualSpacing/>
              <w:jc w:val="both"/>
              <w:rPr>
                <w:rFonts w:ascii="Times New Roman" w:hAnsi="Times New Roman" w:cs="Times New Roman"/>
                <w:color w:val="000000"/>
                <w:sz w:val="24"/>
                <w:szCs w:val="24"/>
              </w:rPr>
            </w:pPr>
            <w:r w:rsidRPr="00DC216E">
              <w:rPr>
                <w:rFonts w:ascii="Times New Roman" w:hAnsi="Times New Roman" w:cs="Times New Roman"/>
                <w:color w:val="000000"/>
                <w:sz w:val="24"/>
                <w:szCs w:val="24"/>
              </w:rPr>
              <w:t>L’objectif de la politique est d’aider les pays à éviter ou minimiser les impacts négatifs des projets de développement sur les ressources culturelles physiques. Aux fins de cette politique, le terme “ressources culturelles physiques” signifie les objets meubles ou immeubles, les sites, les structures, les groupes de structures, les aspects naturels et les paysages qui ont une importance au point de vue archéologique, paléontologique, historique, architectural, religieux, etc.</w:t>
            </w:r>
          </w:p>
        </w:tc>
        <w:tc>
          <w:tcPr>
            <w:tcW w:w="4577" w:type="dxa"/>
          </w:tcPr>
          <w:p w:rsidR="007A6F13" w:rsidRPr="00DC216E" w:rsidRDefault="00BF5A18" w:rsidP="00BF5A18">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A priori, </w:t>
            </w:r>
            <w:r w:rsidR="007A6F13" w:rsidRPr="00DC216E">
              <w:rPr>
                <w:rFonts w:ascii="Times New Roman" w:hAnsi="Times New Roman" w:cs="Times New Roman"/>
                <w:color w:val="000000"/>
                <w:sz w:val="24"/>
                <w:szCs w:val="24"/>
              </w:rPr>
              <w:t xml:space="preserve">il n’y a pas de sites connus du patrimoine culturel pouvant être affectés par le projet du </w:t>
            </w:r>
            <w:r w:rsidR="00213160">
              <w:rPr>
                <w:rFonts w:ascii="Times New Roman" w:hAnsi="Times New Roman" w:cs="Times New Roman"/>
                <w:color w:val="000000"/>
                <w:sz w:val="24"/>
                <w:szCs w:val="24"/>
              </w:rPr>
              <w:t>PUASEE-FA en Bissau.</w:t>
            </w:r>
            <w:r w:rsidR="007A6F13" w:rsidRPr="00DC216E">
              <w:rPr>
                <w:rFonts w:ascii="Times New Roman" w:hAnsi="Times New Roman" w:cs="Times New Roman"/>
                <w:color w:val="000000"/>
                <w:sz w:val="24"/>
                <w:szCs w:val="24"/>
              </w:rPr>
              <w:t>.</w:t>
            </w:r>
            <w:r w:rsidR="007A6F13" w:rsidRPr="00DC216E">
              <w:rPr>
                <w:rFonts w:ascii="Times New Roman" w:hAnsi="Times New Roman" w:cs="Times New Roman"/>
                <w:color w:val="000000"/>
                <w:sz w:val="24"/>
                <w:szCs w:val="24"/>
              </w:rPr>
              <w:br/>
              <w:t xml:space="preserve">Toutefois, la mise en œuvre du </w:t>
            </w:r>
            <w:r w:rsidR="00213160">
              <w:rPr>
                <w:rFonts w:ascii="Times New Roman" w:hAnsi="Times New Roman" w:cs="Times New Roman"/>
                <w:color w:val="000000"/>
                <w:sz w:val="24"/>
                <w:szCs w:val="24"/>
              </w:rPr>
              <w:t>projet</w:t>
            </w:r>
            <w:r w:rsidR="007A6F13" w:rsidRPr="00DC216E">
              <w:rPr>
                <w:rFonts w:ascii="Times New Roman" w:hAnsi="Times New Roman" w:cs="Times New Roman"/>
                <w:color w:val="000000"/>
                <w:sz w:val="24"/>
                <w:szCs w:val="24"/>
              </w:rPr>
              <w:t xml:space="preserve"> et autres projets futurs pourraient potentiellement avoir des impacts sur les ressources culturelles. Des mesures sont</w:t>
            </w:r>
            <w:r w:rsidR="007A6F13" w:rsidRPr="00DC216E">
              <w:rPr>
                <w:rFonts w:ascii="Times New Roman" w:hAnsi="Times New Roman" w:cs="Times New Roman"/>
                <w:color w:val="000000"/>
                <w:sz w:val="24"/>
                <w:szCs w:val="24"/>
              </w:rPr>
              <w:br/>
              <w:t xml:space="preserve">proposées dans le cadre de gestion et de suivi des impacts afin que des dispositions soient prises en cas de découverte archéologique imprévue. </w:t>
            </w:r>
          </w:p>
        </w:tc>
      </w:tr>
      <w:tr w:rsidR="007A6F13" w:rsidRPr="00DC216E" w:rsidTr="00024D1D">
        <w:tc>
          <w:tcPr>
            <w:tcW w:w="1560" w:type="dxa"/>
            <w:vAlign w:val="center"/>
          </w:tcPr>
          <w:p w:rsidR="007A6F13" w:rsidRPr="00DC216E" w:rsidRDefault="007A6F13" w:rsidP="003B2B88">
            <w:pPr>
              <w:autoSpaceDE w:val="0"/>
              <w:autoSpaceDN w:val="0"/>
              <w:adjustRightInd w:val="0"/>
              <w:ind w:left="-108" w:right="-43"/>
              <w:contextualSpacing/>
              <w:jc w:val="center"/>
              <w:rPr>
                <w:rFonts w:ascii="Times New Roman" w:hAnsi="Times New Roman" w:cs="Times New Roman"/>
                <w:b/>
                <w:bCs/>
                <w:sz w:val="24"/>
                <w:szCs w:val="24"/>
              </w:rPr>
            </w:pPr>
            <w:r w:rsidRPr="00DC216E">
              <w:rPr>
                <w:rFonts w:ascii="Times New Roman" w:hAnsi="Times New Roman" w:cs="Times New Roman"/>
                <w:b/>
                <w:bCs/>
                <w:sz w:val="24"/>
                <w:szCs w:val="24"/>
              </w:rPr>
              <w:t>OP 4.12 Réinstallation</w:t>
            </w:r>
            <w:r w:rsidRPr="00DC216E">
              <w:rPr>
                <w:rFonts w:ascii="Times New Roman" w:hAnsi="Times New Roman" w:cs="Times New Roman"/>
                <w:sz w:val="24"/>
                <w:szCs w:val="24"/>
              </w:rPr>
              <w:br/>
            </w:r>
            <w:r w:rsidRPr="00DC216E">
              <w:rPr>
                <w:rFonts w:ascii="Times New Roman" w:hAnsi="Times New Roman" w:cs="Times New Roman"/>
                <w:b/>
                <w:bCs/>
                <w:sz w:val="24"/>
                <w:szCs w:val="24"/>
              </w:rPr>
              <w:t>involontaire</w:t>
            </w:r>
          </w:p>
        </w:tc>
        <w:tc>
          <w:tcPr>
            <w:tcW w:w="4774" w:type="dxa"/>
          </w:tcPr>
          <w:p w:rsidR="007A6F13" w:rsidRPr="00DC216E" w:rsidRDefault="007A6F13" w:rsidP="002544D4">
            <w:pPr>
              <w:autoSpaceDE w:val="0"/>
              <w:autoSpaceDN w:val="0"/>
              <w:adjustRightInd w:val="0"/>
              <w:ind w:right="-4"/>
              <w:contextualSpacing/>
              <w:jc w:val="both"/>
              <w:rPr>
                <w:rFonts w:ascii="Times New Roman" w:hAnsi="Times New Roman" w:cs="Times New Roman"/>
                <w:color w:val="000000"/>
                <w:sz w:val="24"/>
                <w:szCs w:val="24"/>
              </w:rPr>
            </w:pPr>
            <w:r w:rsidRPr="00DC216E">
              <w:rPr>
                <w:rFonts w:ascii="Times New Roman" w:hAnsi="Times New Roman" w:cs="Times New Roman"/>
                <w:color w:val="000000"/>
                <w:sz w:val="24"/>
                <w:szCs w:val="24"/>
              </w:rPr>
              <w:t>L’objectif de cette politique est de : (i) éviter ou minimiser la réinstallation involontaire là où c’est faisable, explorant toutes les alternatives viables de conceptions du projet; (ii) aider les personnes déplacées à améliorer leurs anciennes normes de vie, leur capacité de génération de revenus ou au moins leur restauration ; (iii) encourager la production communautaire dans la planification et la mise en œuvre de la réinstallation ; et (iv) fournir l’assistance aux personnes affectées peu importe la</w:t>
            </w:r>
            <w:r w:rsidRPr="00DC216E">
              <w:rPr>
                <w:rFonts w:ascii="Times New Roman" w:hAnsi="Times New Roman" w:cs="Times New Roman"/>
                <w:color w:val="000000"/>
                <w:sz w:val="24"/>
                <w:szCs w:val="24"/>
              </w:rPr>
              <w:br/>
              <w:t>légalité ou le régime foncier.</w:t>
            </w:r>
          </w:p>
        </w:tc>
        <w:tc>
          <w:tcPr>
            <w:tcW w:w="4577" w:type="dxa"/>
          </w:tcPr>
          <w:p w:rsidR="007A6F13" w:rsidRPr="00DC216E" w:rsidRDefault="007A6F13" w:rsidP="00BF5A18">
            <w:pPr>
              <w:jc w:val="both"/>
              <w:rPr>
                <w:rFonts w:ascii="Times New Roman" w:hAnsi="Times New Roman" w:cs="Times New Roman"/>
                <w:color w:val="000000"/>
                <w:sz w:val="24"/>
                <w:szCs w:val="24"/>
              </w:rPr>
            </w:pPr>
            <w:r w:rsidRPr="00DC216E">
              <w:rPr>
                <w:rFonts w:ascii="Times New Roman" w:hAnsi="Times New Roman" w:cs="Times New Roman"/>
                <w:color w:val="000000"/>
                <w:sz w:val="24"/>
                <w:szCs w:val="24"/>
              </w:rPr>
              <w:t>Cette politique couvre non seulement la réinstallation physique, mais aussi la perte des terres ou d’autres biens ayant pour résultat : (i) la réinstallation ou perte</w:t>
            </w:r>
            <w:r w:rsidRPr="00DC216E">
              <w:rPr>
                <w:rFonts w:ascii="Times New Roman" w:hAnsi="Times New Roman" w:cs="Times New Roman"/>
                <w:color w:val="000000"/>
                <w:sz w:val="24"/>
                <w:szCs w:val="24"/>
              </w:rPr>
              <w:br/>
              <w:t>d’abri ; (ii) perte de biens ou d’accès aux biens ; (iii) perte de sources de revenus ou de moyens d’existence, si oui ou non les personnes affectées doivent se déplacer vers un autre emplacement.</w:t>
            </w:r>
            <w:r w:rsidRPr="00DC216E">
              <w:rPr>
                <w:rFonts w:ascii="Times New Roman" w:hAnsi="Times New Roman" w:cs="Times New Roman"/>
                <w:color w:val="000000"/>
                <w:sz w:val="24"/>
                <w:szCs w:val="24"/>
              </w:rPr>
              <w:br/>
              <w:t xml:space="preserve">Les activités prévues dans le cadre du </w:t>
            </w:r>
            <w:r w:rsidR="00C856C0">
              <w:rPr>
                <w:rFonts w:ascii="Times New Roman" w:hAnsi="Times New Roman" w:cs="Times New Roman"/>
                <w:color w:val="000000"/>
                <w:sz w:val="24"/>
                <w:szCs w:val="24"/>
              </w:rPr>
              <w:t>sous-projet n°2</w:t>
            </w:r>
            <w:r w:rsidR="00BF5A18">
              <w:rPr>
                <w:rFonts w:ascii="Times New Roman" w:hAnsi="Times New Roman" w:cs="Times New Roman"/>
                <w:color w:val="000000"/>
                <w:sz w:val="24"/>
                <w:szCs w:val="24"/>
              </w:rPr>
              <w:t xml:space="preserve"> ne vont pas nécessiter la d</w:t>
            </w:r>
            <w:r w:rsidR="00BF5A18" w:rsidRPr="00DC216E">
              <w:rPr>
                <w:rFonts w:ascii="Times New Roman" w:hAnsi="Times New Roman" w:cs="Times New Roman"/>
                <w:color w:val="000000"/>
                <w:sz w:val="24"/>
                <w:szCs w:val="24"/>
              </w:rPr>
              <w:t>élocalisation</w:t>
            </w:r>
            <w:r w:rsidR="00BF5A18">
              <w:rPr>
                <w:rFonts w:ascii="Times New Roman" w:hAnsi="Times New Roman" w:cs="Times New Roman"/>
                <w:color w:val="000000"/>
                <w:sz w:val="24"/>
                <w:szCs w:val="24"/>
              </w:rPr>
              <w:t xml:space="preserve"> de populations mais </w:t>
            </w:r>
            <w:r w:rsidR="002544D4">
              <w:rPr>
                <w:rFonts w:ascii="Times New Roman" w:hAnsi="Times New Roman" w:cs="Times New Roman"/>
                <w:color w:val="000000"/>
                <w:sz w:val="24"/>
                <w:szCs w:val="24"/>
              </w:rPr>
              <w:t>nécessitera des indemnisation par rapport à des pertes de bien ou de revenus.</w:t>
            </w:r>
          </w:p>
        </w:tc>
      </w:tr>
    </w:tbl>
    <w:p w:rsidR="007A6F13" w:rsidRPr="00DC216E" w:rsidRDefault="007A6F13" w:rsidP="007A6F13">
      <w:pPr>
        <w:pStyle w:val="PargrafodaLista"/>
        <w:spacing w:after="0"/>
        <w:ind w:left="1440"/>
        <w:jc w:val="both"/>
        <w:rPr>
          <w:rFonts w:ascii="Times New Roman" w:hAnsi="Times New Roman"/>
          <w:sz w:val="24"/>
          <w:szCs w:val="24"/>
        </w:rPr>
      </w:pPr>
    </w:p>
    <w:p w:rsidR="004920F8" w:rsidRDefault="004920F8" w:rsidP="004920F8">
      <w:pPr>
        <w:pStyle w:val="PargrafodaLista"/>
        <w:keepNext/>
        <w:spacing w:before="240" w:after="240"/>
        <w:ind w:left="450" w:right="284" w:hanging="450"/>
        <w:jc w:val="both"/>
        <w:outlineLvl w:val="1"/>
        <w:rPr>
          <w:rFonts w:ascii="Times New Roman" w:hAnsi="Times New Roman"/>
          <w:b/>
          <w:sz w:val="24"/>
          <w:szCs w:val="24"/>
          <w:lang w:val="fr-FR" w:eastAsia="fr-FR"/>
        </w:rPr>
      </w:pPr>
      <w:bookmarkStart w:id="138" w:name="_Toc51072538"/>
      <w:r>
        <w:rPr>
          <w:rFonts w:ascii="Times New Roman" w:hAnsi="Times New Roman"/>
          <w:b/>
          <w:sz w:val="24"/>
          <w:szCs w:val="24"/>
          <w:lang w:val="fr-FR" w:eastAsia="fr-FR"/>
        </w:rPr>
        <w:t>3.5</w:t>
      </w:r>
      <w:r w:rsidRPr="00206F59">
        <w:rPr>
          <w:rFonts w:ascii="Times New Roman" w:hAnsi="Times New Roman"/>
          <w:b/>
          <w:sz w:val="24"/>
          <w:szCs w:val="24"/>
          <w:lang w:val="fr-FR" w:eastAsia="fr-FR"/>
        </w:rPr>
        <w:t xml:space="preserve">. </w:t>
      </w:r>
      <w:r w:rsidRPr="00852F67">
        <w:rPr>
          <w:rFonts w:ascii="Times New Roman" w:hAnsi="Times New Roman"/>
          <w:b/>
          <w:sz w:val="24"/>
          <w:szCs w:val="24"/>
          <w:lang w:val="fr-FR" w:eastAsia="fr-FR"/>
        </w:rPr>
        <w:t>LES DIRECTIVES ENVIRONNEMENTALES, SANITAIRES ET SECURITAIRES (EHS) GENERALES ET SPECIFIQUES DE LA BANQUE MONDIALE</w:t>
      </w:r>
      <w:bookmarkEnd w:id="138"/>
    </w:p>
    <w:p w:rsidR="004920F8" w:rsidRPr="00FA0380" w:rsidRDefault="004920F8" w:rsidP="004920F8">
      <w:pPr>
        <w:pStyle w:val="PargrafodaLista"/>
        <w:keepNext/>
        <w:spacing w:before="240" w:after="240"/>
        <w:ind w:left="450" w:right="284" w:hanging="450"/>
        <w:jc w:val="both"/>
        <w:rPr>
          <w:rFonts w:ascii="Times New Roman" w:hAnsi="Times New Roman"/>
          <w:b/>
          <w:sz w:val="24"/>
          <w:szCs w:val="24"/>
          <w:lang w:val="fr-FR" w:eastAsia="fr-FR"/>
        </w:rPr>
      </w:pPr>
    </w:p>
    <w:p w:rsidR="004920F8" w:rsidRPr="006B2E9E" w:rsidRDefault="004920F8" w:rsidP="00FA3FAE">
      <w:pPr>
        <w:pStyle w:val="PargrafodaLista"/>
        <w:numPr>
          <w:ilvl w:val="0"/>
          <w:numId w:val="227"/>
        </w:numPr>
        <w:spacing w:after="0"/>
        <w:jc w:val="both"/>
        <w:rPr>
          <w:rFonts w:ascii="Times New Roman" w:hAnsi="Times New Roman"/>
          <w:b/>
          <w:sz w:val="24"/>
          <w:szCs w:val="24"/>
        </w:rPr>
      </w:pPr>
      <w:r w:rsidRPr="006B2E9E">
        <w:rPr>
          <w:rFonts w:ascii="Times New Roman" w:hAnsi="Times New Roman"/>
          <w:b/>
          <w:sz w:val="24"/>
          <w:szCs w:val="24"/>
        </w:rPr>
        <w:t xml:space="preserve">Qualité́ de l’air ambiant </w:t>
      </w:r>
    </w:p>
    <w:p w:rsidR="004920F8" w:rsidRPr="00A1510A" w:rsidRDefault="004920F8" w:rsidP="004920F8">
      <w:pPr>
        <w:spacing w:after="0"/>
        <w:jc w:val="both"/>
        <w:rPr>
          <w:rFonts w:ascii="Times New Roman" w:hAnsi="Times New Roman" w:cs="Times New Roman"/>
          <w:sz w:val="24"/>
          <w:szCs w:val="24"/>
        </w:rPr>
      </w:pPr>
      <w:r w:rsidRPr="00A1510A">
        <w:rPr>
          <w:rFonts w:ascii="Times New Roman" w:hAnsi="Times New Roman" w:cs="Times New Roman"/>
          <w:sz w:val="24"/>
          <w:szCs w:val="24"/>
        </w:rPr>
        <w:t>Les projets ayant des sources notables d’émissions</w:t>
      </w:r>
      <w:r>
        <w:rPr>
          <w:rFonts w:ascii="Times New Roman" w:hAnsi="Times New Roman" w:cs="Times New Roman"/>
          <w:sz w:val="24"/>
          <w:szCs w:val="24"/>
        </w:rPr>
        <w:t xml:space="preserve"> atmosphériques</w:t>
      </w:r>
      <w:r w:rsidRPr="00A1510A">
        <w:rPr>
          <w:rFonts w:ascii="Times New Roman" w:hAnsi="Times New Roman" w:cs="Times New Roman"/>
          <w:sz w:val="24"/>
          <w:szCs w:val="24"/>
        </w:rPr>
        <w:t xml:space="preserve"> et pouvant avoir des impacts notables sur la qualité́ de l’air ambiant, doivent prévenir ou réduire au minimum ces impacts en veillant à ce que : </w:t>
      </w:r>
    </w:p>
    <w:p w:rsidR="004920F8" w:rsidRPr="00042DF4" w:rsidRDefault="004920F8" w:rsidP="00FA3FAE">
      <w:pPr>
        <w:numPr>
          <w:ilvl w:val="0"/>
          <w:numId w:val="226"/>
        </w:numPr>
        <w:spacing w:after="0"/>
        <w:jc w:val="both"/>
        <w:rPr>
          <w:rFonts w:ascii="Times New Roman" w:hAnsi="Times New Roman" w:cs="Times New Roman"/>
        </w:rPr>
      </w:pPr>
      <w:r w:rsidRPr="00042DF4">
        <w:rPr>
          <w:rFonts w:ascii="Times New Roman" w:hAnsi="Times New Roman" w:cs="Times New Roman"/>
        </w:rPr>
        <w:t xml:space="preserve">Les émissions ne génèrent pas des concentrations de polluants qui atteignent ou dépassent les valeurs recommandées et les normes pour la qualité́ de l’air ambiant requises par la législation nationale en </w:t>
      </w:r>
      <w:r w:rsidRPr="00042DF4">
        <w:rPr>
          <w:rFonts w:ascii="Times New Roman" w:hAnsi="Times New Roman" w:cs="Times New Roman"/>
        </w:rPr>
        <w:lastRenderedPageBreak/>
        <w:t>vigueur. En l’absence d’une telle législation, les Directives de l’OMS concernant la qualité́ de l’air (voir Tableau</w:t>
      </w:r>
      <w:r>
        <w:rPr>
          <w:rFonts w:ascii="Times New Roman" w:hAnsi="Times New Roman" w:cs="Times New Roman"/>
        </w:rPr>
        <w:t xml:space="preserve"> 11</w:t>
      </w:r>
      <w:r w:rsidRPr="00042DF4">
        <w:rPr>
          <w:rFonts w:ascii="Times New Roman" w:hAnsi="Times New Roman" w:cs="Times New Roman"/>
        </w:rPr>
        <w:t xml:space="preserve">) ou autres sources internationales s’appliquent. </w:t>
      </w:r>
    </w:p>
    <w:p w:rsidR="004920F8" w:rsidRDefault="004920F8" w:rsidP="00FA3FAE">
      <w:pPr>
        <w:numPr>
          <w:ilvl w:val="0"/>
          <w:numId w:val="226"/>
        </w:numPr>
        <w:spacing w:after="0"/>
        <w:jc w:val="both"/>
        <w:rPr>
          <w:rFonts w:ascii="Times New Roman" w:hAnsi="Times New Roman" w:cs="Times New Roman"/>
        </w:rPr>
      </w:pPr>
      <w:r w:rsidRPr="00042DF4">
        <w:rPr>
          <w:rFonts w:ascii="Times New Roman" w:hAnsi="Times New Roman" w:cs="Times New Roman"/>
        </w:rPr>
        <w:t xml:space="preserve">Les émissions ne contribuent pas de manière significative à l’atteinte des seuils indiques par les directives ou normes pour la qualité́ de l’air ambiant. En règle générale, la présente Directive préconise de retenir un niveau représentant 25 % des normes applicables pour permettre la poursuite d’un développement durable dans un même bassin atmosphérique. </w:t>
      </w:r>
    </w:p>
    <w:p w:rsidR="004920F8" w:rsidRPr="00042DF4" w:rsidRDefault="004920F8" w:rsidP="004920F8">
      <w:pPr>
        <w:spacing w:after="0"/>
        <w:ind w:left="720"/>
        <w:jc w:val="both"/>
        <w:rPr>
          <w:rFonts w:ascii="Times New Roman" w:hAnsi="Times New Roman" w:cs="Times New Roman"/>
        </w:rPr>
      </w:pPr>
    </w:p>
    <w:p w:rsidR="004920F8" w:rsidRPr="006B2E9E" w:rsidRDefault="004920F8" w:rsidP="005849FF">
      <w:pPr>
        <w:pStyle w:val="PargrafodaLista"/>
        <w:spacing w:after="0"/>
        <w:ind w:left="1440"/>
        <w:rPr>
          <w:rFonts w:ascii="Times New Roman" w:hAnsi="Times New Roman"/>
          <w:sz w:val="24"/>
          <w:szCs w:val="24"/>
          <w:lang w:val="fr-FR"/>
        </w:rPr>
      </w:pPr>
      <w:bookmarkStart w:id="139" w:name="_Toc51074004"/>
      <w:r w:rsidRPr="006B2E9E">
        <w:rPr>
          <w:rFonts w:ascii="Times New Roman" w:hAnsi="Times New Roman"/>
          <w:b/>
        </w:rPr>
        <w:t xml:space="preserve">Tableau </w:t>
      </w:r>
      <w:r w:rsidRPr="006B2E9E">
        <w:rPr>
          <w:rFonts w:ascii="Times New Roman" w:hAnsi="Times New Roman"/>
          <w:b/>
        </w:rPr>
        <w:fldChar w:fldCharType="begin"/>
      </w:r>
      <w:r w:rsidRPr="006B2E9E">
        <w:rPr>
          <w:rFonts w:ascii="Times New Roman" w:hAnsi="Times New Roman"/>
          <w:b/>
        </w:rPr>
        <w:instrText xml:space="preserve"> SEQ Tableau \* ARABIC </w:instrText>
      </w:r>
      <w:r w:rsidRPr="006B2E9E">
        <w:rPr>
          <w:rFonts w:ascii="Times New Roman" w:hAnsi="Times New Roman"/>
          <w:b/>
        </w:rPr>
        <w:fldChar w:fldCharType="separate"/>
      </w:r>
      <w:r w:rsidR="00EB726E">
        <w:rPr>
          <w:rFonts w:ascii="Times New Roman" w:hAnsi="Times New Roman"/>
          <w:b/>
          <w:noProof/>
        </w:rPr>
        <w:t>13</w:t>
      </w:r>
      <w:r w:rsidRPr="006B2E9E">
        <w:rPr>
          <w:rFonts w:ascii="Times New Roman" w:hAnsi="Times New Roman"/>
          <w:b/>
        </w:rPr>
        <w:fldChar w:fldCharType="end"/>
      </w:r>
      <w:r w:rsidRPr="006B2E9E">
        <w:rPr>
          <w:rFonts w:ascii="Times New Roman" w:hAnsi="Times New Roman"/>
          <w:b/>
        </w:rPr>
        <w:t xml:space="preserve">: </w:t>
      </w:r>
      <w:r w:rsidRPr="006B2E9E">
        <w:rPr>
          <w:rFonts w:ascii="Times New Roman" w:hAnsi="Times New Roman"/>
          <w:b/>
          <w:lang w:val="fr-FR"/>
        </w:rPr>
        <w:t xml:space="preserve">Directives de l’OMS concernant la qualité́ de l’air </w:t>
      </w:r>
      <w:r>
        <w:rPr>
          <w:rFonts w:ascii="Times New Roman" w:hAnsi="Times New Roman"/>
          <w:noProof/>
          <w:sz w:val="24"/>
          <w:szCs w:val="24"/>
          <w:lang w:val="pt-PT" w:eastAsia="pt-PT"/>
        </w:rPr>
        <w:drawing>
          <wp:inline distT="0" distB="0" distL="0" distR="0" wp14:anchorId="28C5695C" wp14:editId="3867C244">
            <wp:extent cx="4931767" cy="4127279"/>
            <wp:effectExtent l="0" t="0" r="0" b="0"/>
            <wp:docPr id="552" name="Image 5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2" name="fgfg.jpeg"/>
                    <pic:cNvPicPr/>
                  </pic:nvPicPr>
                  <pic:blipFill rotWithShape="1">
                    <a:blip r:embed="rId68" cstate="email">
                      <a:extLst>
                        <a:ext uri="{28A0092B-C50C-407E-A947-70E740481C1C}">
                          <a14:useLocalDpi xmlns:a14="http://schemas.microsoft.com/office/drawing/2010/main"/>
                        </a:ext>
                      </a:extLst>
                    </a:blip>
                    <a:srcRect/>
                    <a:stretch/>
                  </pic:blipFill>
                  <pic:spPr bwMode="auto">
                    <a:xfrm>
                      <a:off x="0" y="0"/>
                      <a:ext cx="4960743" cy="4151528"/>
                    </a:xfrm>
                    <a:prstGeom prst="rect">
                      <a:avLst/>
                    </a:prstGeom>
                    <a:ln>
                      <a:noFill/>
                    </a:ln>
                    <a:extLst>
                      <a:ext uri="{53640926-AAD7-44D8-BBD7-CCE9431645EC}">
                        <a14:shadowObscured xmlns:a14="http://schemas.microsoft.com/office/drawing/2010/main"/>
                      </a:ext>
                    </a:extLst>
                  </pic:spPr>
                </pic:pic>
              </a:graphicData>
            </a:graphic>
          </wp:inline>
        </w:drawing>
      </w:r>
      <w:bookmarkEnd w:id="139"/>
    </w:p>
    <w:p w:rsidR="004920F8" w:rsidRDefault="004920F8" w:rsidP="004920F8">
      <w:pPr>
        <w:pStyle w:val="PargrafodaLista"/>
        <w:spacing w:after="0"/>
        <w:ind w:left="1440"/>
        <w:jc w:val="both"/>
        <w:rPr>
          <w:rFonts w:ascii="Times New Roman" w:hAnsi="Times New Roman"/>
          <w:sz w:val="24"/>
          <w:szCs w:val="24"/>
          <w:lang w:val="fr-FR"/>
        </w:rPr>
      </w:pPr>
    </w:p>
    <w:p w:rsidR="004920F8" w:rsidRPr="006B2E9E" w:rsidRDefault="004920F8" w:rsidP="00FA3FAE">
      <w:pPr>
        <w:pStyle w:val="PargrafodaLista"/>
        <w:numPr>
          <w:ilvl w:val="0"/>
          <w:numId w:val="227"/>
        </w:numPr>
        <w:spacing w:after="0"/>
        <w:jc w:val="both"/>
        <w:rPr>
          <w:rFonts w:ascii="Times New Roman" w:hAnsi="Times New Roman"/>
          <w:b/>
          <w:sz w:val="24"/>
          <w:szCs w:val="24"/>
        </w:rPr>
      </w:pPr>
      <w:r w:rsidRPr="006B2E9E">
        <w:rPr>
          <w:rFonts w:ascii="Times New Roman" w:hAnsi="Times New Roman"/>
          <w:b/>
          <w:sz w:val="24"/>
          <w:szCs w:val="24"/>
        </w:rPr>
        <w:t xml:space="preserve">Matières particulaires </w:t>
      </w:r>
    </w:p>
    <w:p w:rsidR="004920F8" w:rsidRDefault="004920F8" w:rsidP="004920F8">
      <w:pPr>
        <w:spacing w:after="0"/>
        <w:jc w:val="both"/>
        <w:rPr>
          <w:rFonts w:ascii="Times New Roman" w:hAnsi="Times New Roman"/>
          <w:sz w:val="24"/>
          <w:szCs w:val="24"/>
        </w:rPr>
      </w:pPr>
      <w:r w:rsidRPr="00FA166C">
        <w:rPr>
          <w:rFonts w:ascii="Times New Roman" w:hAnsi="Times New Roman"/>
          <w:sz w:val="24"/>
          <w:szCs w:val="24"/>
        </w:rPr>
        <w:t xml:space="preserve">Les polluants les plus couramment présents dans les émissions diffuses sont les poussières ou matières particulaires. Celles-ci sont rejetées lors de certaines opérations, telles que le transport et le stockage à l’air libre de matériaux solides. Elles proviennent également des sols exposés (routes non revêtues). Les méthodes recommandées pour prévenir et maîtriser ces émissions consistent, notamment, à : </w:t>
      </w:r>
    </w:p>
    <w:p w:rsidR="004920F8" w:rsidRPr="00FA166C" w:rsidRDefault="004920F8" w:rsidP="004920F8">
      <w:pPr>
        <w:spacing w:after="0"/>
        <w:jc w:val="both"/>
        <w:rPr>
          <w:rFonts w:ascii="Times New Roman" w:hAnsi="Times New Roman"/>
          <w:sz w:val="24"/>
          <w:szCs w:val="24"/>
        </w:rPr>
      </w:pPr>
    </w:p>
    <w:p w:rsidR="004920F8" w:rsidRPr="00FA166C" w:rsidRDefault="004920F8" w:rsidP="00FA3FAE">
      <w:pPr>
        <w:numPr>
          <w:ilvl w:val="0"/>
          <w:numId w:val="226"/>
        </w:numPr>
        <w:spacing w:after="0"/>
        <w:jc w:val="both"/>
        <w:rPr>
          <w:rFonts w:ascii="Times New Roman" w:hAnsi="Times New Roman" w:cs="Times New Roman"/>
        </w:rPr>
      </w:pPr>
      <w:r w:rsidRPr="00FA166C">
        <w:rPr>
          <w:rFonts w:ascii="Times New Roman" w:hAnsi="Times New Roman" w:cs="Times New Roman"/>
        </w:rPr>
        <w:t xml:space="preserve">Utiliser des techniques de dépoussiérage telles que la couverture des matériaux, l’aspersion d’eau ou l’augmentation du degré́ hygrométrique des stocks de produits à l’air libre. Recourir à des systèmes d’extraction et de traitement de l’air au moyen de filtres ou cyclones aux sources du circuit de manutention des matériaux (convoyeurs, trémies). </w:t>
      </w:r>
    </w:p>
    <w:p w:rsidR="004920F8" w:rsidRPr="005B2001" w:rsidRDefault="004920F8" w:rsidP="00FA3FAE">
      <w:pPr>
        <w:numPr>
          <w:ilvl w:val="0"/>
          <w:numId w:val="226"/>
        </w:numPr>
        <w:spacing w:after="0"/>
        <w:jc w:val="both"/>
        <w:rPr>
          <w:rFonts w:ascii="Times New Roman" w:hAnsi="Times New Roman" w:cs="Times New Roman"/>
        </w:rPr>
      </w:pPr>
      <w:r w:rsidRPr="002A6794">
        <w:rPr>
          <w:rFonts w:ascii="Times New Roman" w:hAnsi="Times New Roman" w:cs="Times New Roman"/>
        </w:rPr>
        <w:t xml:space="preserve">Procéder à la pulvérisation d’eau pour réduire les matières meubles sur les routes revêtues et non revêtues. </w:t>
      </w:r>
    </w:p>
    <w:p w:rsidR="004920F8" w:rsidRPr="005B2001" w:rsidRDefault="004920F8" w:rsidP="00FA3FAE">
      <w:pPr>
        <w:numPr>
          <w:ilvl w:val="0"/>
          <w:numId w:val="226"/>
        </w:numPr>
        <w:spacing w:after="0"/>
        <w:jc w:val="both"/>
        <w:rPr>
          <w:rFonts w:ascii="Times New Roman" w:hAnsi="Times New Roman" w:cs="Times New Roman"/>
        </w:rPr>
      </w:pPr>
      <w:r w:rsidRPr="005B2001">
        <w:rPr>
          <w:rFonts w:ascii="Times New Roman" w:hAnsi="Times New Roman" w:cs="Times New Roman"/>
        </w:rPr>
        <w:t xml:space="preserve">Comme les autres procèdent de combustion, les moteurs des véhicules produisent des émissions comprenant, notamment du CO, du NOx, du SO2, de matières particulaires et des COV. Les émissions des véhicules routiers et tout terrain doivent être conformes aux normes nationales ou régionales. En l’absence de telles normes, il convient de procéder comme suit : </w:t>
      </w:r>
    </w:p>
    <w:p w:rsidR="004920F8" w:rsidRPr="005B2001" w:rsidRDefault="004920F8" w:rsidP="00FA3FAE">
      <w:pPr>
        <w:numPr>
          <w:ilvl w:val="0"/>
          <w:numId w:val="226"/>
        </w:numPr>
        <w:spacing w:after="0"/>
        <w:jc w:val="both"/>
        <w:rPr>
          <w:rFonts w:ascii="Times New Roman" w:hAnsi="Times New Roman" w:cs="Times New Roman"/>
        </w:rPr>
      </w:pPr>
      <w:r w:rsidRPr="005B2001">
        <w:rPr>
          <w:rFonts w:ascii="Times New Roman" w:hAnsi="Times New Roman" w:cs="Times New Roman"/>
        </w:rPr>
        <w:t xml:space="preserve">Quels que soient la taille ou le type des véhicules, les opérateurs ou propriétaires doivent suivre le programme d’entretien des moteurs recommandé par les fabricants. </w:t>
      </w:r>
    </w:p>
    <w:p w:rsidR="004920F8" w:rsidRPr="005B2001" w:rsidRDefault="004920F8" w:rsidP="00FA3FAE">
      <w:pPr>
        <w:numPr>
          <w:ilvl w:val="0"/>
          <w:numId w:val="226"/>
        </w:numPr>
        <w:spacing w:after="0"/>
        <w:jc w:val="both"/>
        <w:rPr>
          <w:rFonts w:ascii="Times New Roman" w:hAnsi="Times New Roman" w:cs="Times New Roman"/>
        </w:rPr>
      </w:pPr>
      <w:r w:rsidRPr="005B2001">
        <w:rPr>
          <w:rFonts w:ascii="Times New Roman" w:hAnsi="Times New Roman" w:cs="Times New Roman"/>
        </w:rPr>
        <w:lastRenderedPageBreak/>
        <w:t xml:space="preserve">Les conducteurs doivent être informés des avantages d’un mode de conduite propice à une réduction des risques d’accidents et de la consommation de carburant (ex. accélérations progressives et respect des limitations de vitesse). </w:t>
      </w:r>
    </w:p>
    <w:p w:rsidR="004920F8" w:rsidRPr="005B2001" w:rsidRDefault="004920F8" w:rsidP="00FA3FAE">
      <w:pPr>
        <w:numPr>
          <w:ilvl w:val="0"/>
          <w:numId w:val="226"/>
        </w:numPr>
        <w:spacing w:after="0"/>
        <w:jc w:val="both"/>
        <w:rPr>
          <w:rFonts w:ascii="Times New Roman" w:hAnsi="Times New Roman" w:cs="Times New Roman"/>
        </w:rPr>
      </w:pPr>
      <w:r>
        <w:rPr>
          <w:rFonts w:ascii="Times New Roman" w:hAnsi="Times New Roman" w:cs="Times New Roman"/>
        </w:rPr>
        <w:t xml:space="preserve">Les </w:t>
      </w:r>
      <w:r w:rsidRPr="005B2001">
        <w:rPr>
          <w:rFonts w:ascii="Times New Roman" w:hAnsi="Times New Roman" w:cs="Times New Roman"/>
        </w:rPr>
        <w:t>propriétaires</w:t>
      </w:r>
      <w:r>
        <w:rPr>
          <w:rFonts w:ascii="Times New Roman" w:hAnsi="Times New Roman" w:cs="Times New Roman"/>
        </w:rPr>
        <w:t xml:space="preserve"> de parcs ne comptant pas moins de </w:t>
      </w:r>
      <w:r w:rsidRPr="005B2001">
        <w:rPr>
          <w:rFonts w:ascii="Times New Roman" w:hAnsi="Times New Roman" w:cs="Times New Roman"/>
        </w:rPr>
        <w:t>120 véhicules lourds (</w:t>
      </w:r>
      <w:r>
        <w:rPr>
          <w:rFonts w:ascii="Times New Roman" w:hAnsi="Times New Roman" w:cs="Times New Roman"/>
        </w:rPr>
        <w:t xml:space="preserve">bus et camions) ou pas moins de </w:t>
      </w:r>
      <w:r w:rsidRPr="005B2001">
        <w:rPr>
          <w:rFonts w:ascii="Times New Roman" w:hAnsi="Times New Roman" w:cs="Times New Roman"/>
        </w:rPr>
        <w:t xml:space="preserve">540 véhicules utilitaires légers (voitures et camionnettes) dans un bassin atmosphérique donné doivent prendre en considération des mesures complémentaires pour réduire les impacts éventuels de leurs véhicules, qui consistent notamment à : </w:t>
      </w:r>
    </w:p>
    <w:p w:rsidR="004920F8" w:rsidRPr="005B2001" w:rsidRDefault="004920F8" w:rsidP="00FA3FAE">
      <w:pPr>
        <w:numPr>
          <w:ilvl w:val="1"/>
          <w:numId w:val="226"/>
        </w:numPr>
        <w:spacing w:after="0"/>
        <w:jc w:val="both"/>
        <w:rPr>
          <w:rFonts w:ascii="Times New Roman" w:hAnsi="Times New Roman" w:cs="Times New Roman"/>
        </w:rPr>
      </w:pPr>
      <w:r w:rsidRPr="005B2001">
        <w:rPr>
          <w:rFonts w:ascii="Times New Roman" w:hAnsi="Times New Roman" w:cs="Times New Roman"/>
        </w:rPr>
        <w:t xml:space="preserve">Remplacer les véhicules les plus anciens par des véhicules plus récents, plus économes en carburant ; </w:t>
      </w:r>
    </w:p>
    <w:p w:rsidR="004920F8" w:rsidRPr="005B2001" w:rsidRDefault="004920F8" w:rsidP="00FA3FAE">
      <w:pPr>
        <w:numPr>
          <w:ilvl w:val="1"/>
          <w:numId w:val="226"/>
        </w:numPr>
        <w:spacing w:after="0"/>
        <w:jc w:val="both"/>
        <w:rPr>
          <w:rFonts w:ascii="Times New Roman" w:hAnsi="Times New Roman" w:cs="Times New Roman"/>
        </w:rPr>
      </w:pPr>
      <w:r w:rsidRPr="005B2001">
        <w:rPr>
          <w:rFonts w:ascii="Times New Roman" w:hAnsi="Times New Roman" w:cs="Times New Roman"/>
        </w:rPr>
        <w:t xml:space="preserve">Convertir les véhicules à grande utilisation pour pouvoir utiliser des carburants plus propres ; </w:t>
      </w:r>
    </w:p>
    <w:p w:rsidR="004920F8" w:rsidRPr="005B2001" w:rsidRDefault="004920F8" w:rsidP="00FA3FAE">
      <w:pPr>
        <w:numPr>
          <w:ilvl w:val="1"/>
          <w:numId w:val="226"/>
        </w:numPr>
        <w:spacing w:after="0"/>
        <w:jc w:val="both"/>
        <w:rPr>
          <w:rFonts w:ascii="Times New Roman" w:hAnsi="Times New Roman" w:cs="Times New Roman"/>
        </w:rPr>
      </w:pPr>
      <w:r w:rsidRPr="005B2001">
        <w:rPr>
          <w:rFonts w:ascii="Times New Roman" w:hAnsi="Times New Roman" w:cs="Times New Roman"/>
        </w:rPr>
        <w:t xml:space="preserve">Installer et entretenir les dispositifs de maitrise des émissions, comme les convertisseurs catalytiques ; </w:t>
      </w:r>
    </w:p>
    <w:p w:rsidR="004920F8" w:rsidRPr="005B2001" w:rsidRDefault="004920F8" w:rsidP="004920F8">
      <w:pPr>
        <w:spacing w:after="0"/>
        <w:ind w:left="720"/>
        <w:jc w:val="both"/>
        <w:rPr>
          <w:rFonts w:ascii="Times New Roman" w:hAnsi="Times New Roman" w:cs="Times New Roman"/>
        </w:rPr>
      </w:pPr>
    </w:p>
    <w:p w:rsidR="004920F8" w:rsidRPr="003F3270" w:rsidRDefault="004920F8" w:rsidP="00FA3FAE">
      <w:pPr>
        <w:pStyle w:val="PargrafodaLista"/>
        <w:numPr>
          <w:ilvl w:val="0"/>
          <w:numId w:val="227"/>
        </w:numPr>
        <w:spacing w:after="0"/>
        <w:jc w:val="both"/>
        <w:rPr>
          <w:rFonts w:ascii="Times New Roman" w:hAnsi="Times New Roman"/>
          <w:b/>
          <w:sz w:val="24"/>
          <w:szCs w:val="24"/>
        </w:rPr>
      </w:pPr>
      <w:r w:rsidRPr="003F3270">
        <w:rPr>
          <w:rFonts w:ascii="Times New Roman" w:hAnsi="Times New Roman"/>
          <w:b/>
          <w:sz w:val="24"/>
          <w:szCs w:val="24"/>
        </w:rPr>
        <w:t>la gestion des eaux usées</w:t>
      </w:r>
    </w:p>
    <w:p w:rsidR="004920F8" w:rsidRDefault="004920F8" w:rsidP="004920F8">
      <w:pPr>
        <w:spacing w:after="0" w:line="240" w:lineRule="auto"/>
        <w:jc w:val="both"/>
        <w:rPr>
          <w:rFonts w:ascii="Times New Roman" w:hAnsi="Times New Roman"/>
          <w:sz w:val="24"/>
          <w:szCs w:val="24"/>
        </w:rPr>
      </w:pPr>
      <w:r w:rsidRPr="005F03EB">
        <w:rPr>
          <w:rFonts w:ascii="Times New Roman" w:hAnsi="Times New Roman"/>
          <w:sz w:val="24"/>
          <w:szCs w:val="24"/>
        </w:rPr>
        <w:t>Ces directives fournissent des informations sur des techniques couramment employées pour la gestion des eaux usées, la réalisation d’économies d’eau et la réutilisation de l’eau, dans de nombreuses branches d’activité́. Elles doivent être appliquées en même temps que les directives relatives aux effluents présentées dans les Directives EHS spécifiques aux différentes branches d’activité́. Les projets qui peuvent produire</w:t>
      </w:r>
      <w:r>
        <w:rPr>
          <w:rFonts w:ascii="Times New Roman" w:hAnsi="Times New Roman"/>
          <w:sz w:val="24"/>
          <w:szCs w:val="24"/>
        </w:rPr>
        <w:t xml:space="preserve"> </w:t>
      </w:r>
      <w:r w:rsidRPr="005F03EB">
        <w:rPr>
          <w:rFonts w:ascii="Times New Roman" w:hAnsi="Times New Roman"/>
          <w:sz w:val="24"/>
          <w:szCs w:val="24"/>
        </w:rPr>
        <w:t xml:space="preserve">des eaux d’égout (eaux usées domestiques) ou des eaux de ruissellement doivent prendre toutes les mesures visant à éviter, réduire et maitrise les impacts négatifs qui peuvent s’exercer au plan de la santé, de la sécurité́ et de l’environnement. </w:t>
      </w:r>
    </w:p>
    <w:p w:rsidR="004920F8" w:rsidRPr="00271F23" w:rsidRDefault="004920F8" w:rsidP="004920F8">
      <w:pPr>
        <w:spacing w:before="100" w:beforeAutospacing="1" w:after="100" w:afterAutospacing="1" w:line="240" w:lineRule="auto"/>
        <w:rPr>
          <w:rFonts w:ascii="Times New Roman" w:hAnsi="Times New Roman"/>
          <w:sz w:val="24"/>
          <w:szCs w:val="24"/>
        </w:rPr>
      </w:pPr>
      <w:r w:rsidRPr="00271F23">
        <w:rPr>
          <w:rFonts w:ascii="Times New Roman" w:hAnsi="Times New Roman"/>
          <w:sz w:val="24"/>
          <w:szCs w:val="24"/>
        </w:rPr>
        <w:t xml:space="preserve">Par ailleurs, la production et le rejet d’eaux usées doivent être gères par un ensemble de mesures qui consistent à : </w:t>
      </w:r>
    </w:p>
    <w:p w:rsidR="004920F8" w:rsidRPr="000E2131" w:rsidRDefault="004920F8" w:rsidP="00FA3FAE">
      <w:pPr>
        <w:pStyle w:val="PargrafodaLista"/>
        <w:numPr>
          <w:ilvl w:val="2"/>
          <w:numId w:val="228"/>
        </w:numPr>
        <w:spacing w:before="100" w:beforeAutospacing="1" w:after="100" w:afterAutospacing="1" w:line="240" w:lineRule="auto"/>
        <w:ind w:left="709"/>
        <w:rPr>
          <w:rFonts w:ascii="Times New Roman" w:eastAsiaTheme="minorHAnsi" w:hAnsi="Times New Roman"/>
          <w:sz w:val="22"/>
          <w:szCs w:val="22"/>
          <w:lang w:val="fr-FR" w:eastAsia="en-US"/>
        </w:rPr>
      </w:pPr>
      <w:r w:rsidRPr="000E2131">
        <w:rPr>
          <w:rFonts w:ascii="Times New Roman" w:eastAsiaTheme="minorHAnsi" w:hAnsi="Times New Roman"/>
          <w:sz w:val="22"/>
          <w:szCs w:val="22"/>
          <w:lang w:val="fr-FR" w:eastAsia="en-US"/>
        </w:rPr>
        <w:t xml:space="preserve">Utiliser l’eau de manière rationnelle pour réduire le volume d’eaux usées produites. </w:t>
      </w:r>
    </w:p>
    <w:p w:rsidR="004920F8" w:rsidRPr="00ED24CA" w:rsidRDefault="004920F8" w:rsidP="00FA3FAE">
      <w:pPr>
        <w:pStyle w:val="PargrafodaLista"/>
        <w:numPr>
          <w:ilvl w:val="3"/>
          <w:numId w:val="228"/>
        </w:numPr>
        <w:spacing w:before="100" w:beforeAutospacing="1" w:after="100" w:afterAutospacing="1" w:line="240" w:lineRule="auto"/>
        <w:ind w:left="1276"/>
        <w:jc w:val="both"/>
        <w:rPr>
          <w:rFonts w:ascii="Times New Roman" w:eastAsiaTheme="minorHAnsi" w:hAnsi="Times New Roman"/>
          <w:sz w:val="22"/>
          <w:szCs w:val="22"/>
          <w:lang w:val="fr-FR" w:eastAsia="en-US"/>
        </w:rPr>
      </w:pPr>
      <w:r w:rsidRPr="00ED24CA">
        <w:rPr>
          <w:rFonts w:ascii="Times New Roman" w:eastAsiaTheme="minorHAnsi" w:hAnsi="Times New Roman"/>
          <w:sz w:val="22"/>
          <w:szCs w:val="22"/>
          <w:lang w:val="fr-FR" w:eastAsia="en-US"/>
        </w:rPr>
        <w:t xml:space="preserve">Modifier les procède, notamment en limitant les déchets et l’utilisation de matières dangereuses pour réduire la charge de polluants nécessitant un traitement. </w:t>
      </w:r>
    </w:p>
    <w:p w:rsidR="004920F8" w:rsidRDefault="004920F8" w:rsidP="00FA3FAE">
      <w:pPr>
        <w:pStyle w:val="PargrafodaLista"/>
        <w:numPr>
          <w:ilvl w:val="3"/>
          <w:numId w:val="228"/>
        </w:numPr>
        <w:spacing w:before="100" w:beforeAutospacing="1" w:after="100" w:afterAutospacing="1" w:line="240" w:lineRule="auto"/>
        <w:ind w:left="1276"/>
        <w:jc w:val="both"/>
        <w:rPr>
          <w:rFonts w:ascii="Times New Roman" w:eastAsiaTheme="minorHAnsi" w:hAnsi="Times New Roman"/>
          <w:sz w:val="22"/>
          <w:szCs w:val="22"/>
          <w:lang w:val="fr-FR" w:eastAsia="en-US"/>
        </w:rPr>
      </w:pPr>
      <w:r w:rsidRPr="00ED24CA">
        <w:rPr>
          <w:rFonts w:ascii="Times New Roman" w:eastAsiaTheme="minorHAnsi" w:hAnsi="Times New Roman"/>
          <w:sz w:val="22"/>
          <w:szCs w:val="22"/>
          <w:lang w:val="fr-FR" w:eastAsia="en-US"/>
        </w:rPr>
        <w:t xml:space="preserve">Si nécessaire, procéder à un traitement des eaux usées pour réduire la charge de contaminants avant de les rejeter, compte tenu des possibilités de contaminations croisées durant les traitements (par exemple, un transfert de polluants de l’eau dans l’atmosphère ou dans les sols). </w:t>
      </w:r>
    </w:p>
    <w:p w:rsidR="004920F8" w:rsidRPr="00ED24CA" w:rsidRDefault="004920F8" w:rsidP="004920F8">
      <w:pPr>
        <w:pStyle w:val="PargrafodaLista"/>
        <w:spacing w:before="100" w:beforeAutospacing="1" w:after="100" w:afterAutospacing="1" w:line="240" w:lineRule="auto"/>
        <w:ind w:left="1276"/>
        <w:jc w:val="both"/>
        <w:rPr>
          <w:rFonts w:ascii="Times New Roman" w:eastAsiaTheme="minorHAnsi" w:hAnsi="Times New Roman"/>
          <w:sz w:val="22"/>
          <w:szCs w:val="22"/>
          <w:lang w:val="fr-FR" w:eastAsia="en-US"/>
        </w:rPr>
      </w:pPr>
    </w:p>
    <w:p w:rsidR="004920F8" w:rsidRPr="001242CE" w:rsidRDefault="004920F8" w:rsidP="00FA3FAE">
      <w:pPr>
        <w:pStyle w:val="PargrafodaLista"/>
        <w:numPr>
          <w:ilvl w:val="2"/>
          <w:numId w:val="228"/>
        </w:numPr>
        <w:spacing w:before="100" w:beforeAutospacing="1" w:after="100" w:afterAutospacing="1" w:line="240" w:lineRule="auto"/>
        <w:ind w:left="709"/>
        <w:rPr>
          <w:rFonts w:ascii="Times New Roman" w:eastAsiaTheme="minorHAnsi" w:hAnsi="Times New Roman"/>
          <w:sz w:val="22"/>
          <w:szCs w:val="22"/>
          <w:lang w:val="fr-FR" w:eastAsia="en-US"/>
        </w:rPr>
      </w:pPr>
      <w:r w:rsidRPr="001242CE">
        <w:rPr>
          <w:rFonts w:ascii="Times New Roman" w:eastAsiaTheme="minorHAnsi" w:hAnsi="Times New Roman"/>
          <w:sz w:val="22"/>
          <w:szCs w:val="22"/>
          <w:lang w:val="fr-FR" w:eastAsia="en-US"/>
        </w:rPr>
        <w:t xml:space="preserve">Si les eaux usées doivent être traitées avant leur rejet, l’intensité́ </w:t>
      </w:r>
      <w:r>
        <w:rPr>
          <w:rFonts w:ascii="Times New Roman" w:eastAsiaTheme="minorHAnsi" w:hAnsi="Times New Roman"/>
          <w:sz w:val="22"/>
          <w:szCs w:val="22"/>
          <w:lang w:val="fr-FR" w:eastAsia="en-US"/>
        </w:rPr>
        <w:t xml:space="preserve">du traitement requis doit être </w:t>
      </w:r>
      <w:r w:rsidRPr="001242CE">
        <w:rPr>
          <w:rFonts w:ascii="Times New Roman" w:eastAsiaTheme="minorHAnsi" w:hAnsi="Times New Roman"/>
          <w:sz w:val="22"/>
          <w:szCs w:val="22"/>
          <w:lang w:val="fr-FR" w:eastAsia="en-US"/>
        </w:rPr>
        <w:t xml:space="preserve">déterminée sur les bases suivantes : </w:t>
      </w:r>
    </w:p>
    <w:p w:rsidR="004920F8" w:rsidRPr="001242CE" w:rsidRDefault="004920F8" w:rsidP="00FA3FAE">
      <w:pPr>
        <w:pStyle w:val="PargrafodaLista"/>
        <w:numPr>
          <w:ilvl w:val="3"/>
          <w:numId w:val="228"/>
        </w:numPr>
        <w:spacing w:before="100" w:beforeAutospacing="1" w:after="100" w:afterAutospacing="1" w:line="240" w:lineRule="auto"/>
        <w:ind w:left="1276"/>
        <w:jc w:val="both"/>
        <w:rPr>
          <w:rFonts w:ascii="Times New Roman" w:eastAsiaTheme="minorHAnsi" w:hAnsi="Times New Roman"/>
          <w:sz w:val="22"/>
          <w:szCs w:val="22"/>
          <w:lang w:val="fr-FR" w:eastAsia="en-US"/>
        </w:rPr>
      </w:pPr>
      <w:r w:rsidRPr="001242CE">
        <w:rPr>
          <w:rFonts w:ascii="Times New Roman" w:eastAsiaTheme="minorHAnsi" w:hAnsi="Times New Roman"/>
          <w:sz w:val="22"/>
          <w:szCs w:val="22"/>
          <w:lang w:val="fr-FR" w:eastAsia="en-US"/>
        </w:rPr>
        <w:t xml:space="preserve">Si les eaux usées sont rejetées dans les égouts ou dans les eaux de surfaces. </w:t>
      </w:r>
    </w:p>
    <w:p w:rsidR="004920F8" w:rsidRPr="001242CE" w:rsidRDefault="004920F8" w:rsidP="00FA3FAE">
      <w:pPr>
        <w:pStyle w:val="PargrafodaLista"/>
        <w:numPr>
          <w:ilvl w:val="3"/>
          <w:numId w:val="228"/>
        </w:numPr>
        <w:spacing w:before="100" w:beforeAutospacing="1" w:after="100" w:afterAutospacing="1" w:line="240" w:lineRule="auto"/>
        <w:ind w:left="1276"/>
        <w:jc w:val="both"/>
        <w:rPr>
          <w:rFonts w:ascii="Times New Roman" w:eastAsiaTheme="minorHAnsi" w:hAnsi="Times New Roman"/>
          <w:sz w:val="22"/>
          <w:szCs w:val="22"/>
          <w:lang w:val="fr-FR" w:eastAsia="en-US"/>
        </w:rPr>
      </w:pPr>
      <w:r w:rsidRPr="001242CE">
        <w:rPr>
          <w:rFonts w:ascii="Times New Roman" w:eastAsiaTheme="minorHAnsi" w:hAnsi="Times New Roman"/>
          <w:sz w:val="22"/>
          <w:szCs w:val="22"/>
          <w:lang w:val="fr-FR" w:eastAsia="en-US"/>
        </w:rPr>
        <w:t xml:space="preserve">Si les eaux usées sont rejetées dans les égouts : les normes nationales et locales établies pour l’octroi de permis et la capacité́ des égouts pour le transport et le traitement les eaux usées. </w:t>
      </w:r>
    </w:p>
    <w:p w:rsidR="004920F8" w:rsidRPr="001242CE" w:rsidRDefault="004920F8" w:rsidP="00FA3FAE">
      <w:pPr>
        <w:pStyle w:val="PargrafodaLista"/>
        <w:numPr>
          <w:ilvl w:val="3"/>
          <w:numId w:val="228"/>
        </w:numPr>
        <w:spacing w:before="100" w:beforeAutospacing="1" w:after="100" w:afterAutospacing="1" w:line="240" w:lineRule="auto"/>
        <w:ind w:left="1276"/>
        <w:jc w:val="both"/>
        <w:rPr>
          <w:rFonts w:ascii="Times New Roman" w:eastAsiaTheme="minorHAnsi" w:hAnsi="Times New Roman"/>
          <w:sz w:val="22"/>
          <w:szCs w:val="22"/>
          <w:lang w:val="fr-FR" w:eastAsia="en-US"/>
        </w:rPr>
      </w:pPr>
      <w:r w:rsidRPr="001242CE">
        <w:rPr>
          <w:rFonts w:ascii="Times New Roman" w:eastAsiaTheme="minorHAnsi" w:hAnsi="Times New Roman"/>
          <w:sz w:val="22"/>
          <w:szCs w:val="22"/>
          <w:lang w:val="fr-FR" w:eastAsia="en-US"/>
        </w:rPr>
        <w:t xml:space="preserve">Si les eaux usées sont rejetées dans les eaux de surfaces : la capacité́ d’assimilation de la charge de contaminants par les eaux réceptrices. </w:t>
      </w:r>
    </w:p>
    <w:p w:rsidR="004920F8" w:rsidRPr="001242CE" w:rsidRDefault="004920F8" w:rsidP="00FA3FAE">
      <w:pPr>
        <w:pStyle w:val="PargrafodaLista"/>
        <w:numPr>
          <w:ilvl w:val="3"/>
          <w:numId w:val="228"/>
        </w:numPr>
        <w:spacing w:before="100" w:beforeAutospacing="1" w:after="100" w:afterAutospacing="1" w:line="240" w:lineRule="auto"/>
        <w:ind w:left="1276"/>
        <w:jc w:val="both"/>
        <w:rPr>
          <w:rFonts w:ascii="Times New Roman" w:eastAsiaTheme="minorHAnsi" w:hAnsi="Times New Roman"/>
          <w:sz w:val="22"/>
          <w:szCs w:val="22"/>
          <w:lang w:val="fr-FR" w:eastAsia="en-US"/>
        </w:rPr>
      </w:pPr>
      <w:r w:rsidRPr="001242CE">
        <w:rPr>
          <w:rFonts w:ascii="Times New Roman" w:eastAsiaTheme="minorHAnsi" w:hAnsi="Times New Roman"/>
          <w:sz w:val="22"/>
          <w:szCs w:val="22"/>
          <w:lang w:val="fr-FR" w:eastAsia="en-US"/>
        </w:rPr>
        <w:t xml:space="preserve">L’usage qui doit être fait des ressources en eaux réceptrices (par ex. sources d’eau potable, loisirs, irrigation, navigation ou autres). </w:t>
      </w:r>
    </w:p>
    <w:p w:rsidR="004920F8" w:rsidRPr="001242CE" w:rsidRDefault="004920F8" w:rsidP="00FA3FAE">
      <w:pPr>
        <w:pStyle w:val="PargrafodaLista"/>
        <w:numPr>
          <w:ilvl w:val="3"/>
          <w:numId w:val="228"/>
        </w:numPr>
        <w:spacing w:before="100" w:beforeAutospacing="1" w:after="100" w:afterAutospacing="1" w:line="240" w:lineRule="auto"/>
        <w:ind w:left="1276"/>
        <w:jc w:val="both"/>
        <w:rPr>
          <w:rFonts w:ascii="Times New Roman" w:eastAsiaTheme="minorHAnsi" w:hAnsi="Times New Roman"/>
          <w:sz w:val="22"/>
          <w:szCs w:val="22"/>
          <w:lang w:val="fr-FR" w:eastAsia="en-US"/>
        </w:rPr>
      </w:pPr>
      <w:r w:rsidRPr="001242CE">
        <w:rPr>
          <w:rFonts w:ascii="Times New Roman" w:eastAsiaTheme="minorHAnsi" w:hAnsi="Times New Roman"/>
          <w:sz w:val="22"/>
          <w:szCs w:val="22"/>
          <w:lang w:val="fr-FR" w:eastAsia="en-US"/>
        </w:rPr>
        <w:t xml:space="preserve">La présence de récepteurs (comme les espèces menacées d’extinction) ou d’habitats sensibles. </w:t>
      </w:r>
    </w:p>
    <w:p w:rsidR="004920F8" w:rsidRDefault="004920F8" w:rsidP="00FA3FAE">
      <w:pPr>
        <w:pStyle w:val="PargrafodaLista"/>
        <w:numPr>
          <w:ilvl w:val="3"/>
          <w:numId w:val="228"/>
        </w:numPr>
        <w:spacing w:before="100" w:beforeAutospacing="1" w:after="100" w:afterAutospacing="1" w:line="240" w:lineRule="auto"/>
        <w:ind w:left="1276"/>
        <w:jc w:val="both"/>
        <w:rPr>
          <w:rFonts w:ascii="Times New Roman" w:eastAsiaTheme="minorHAnsi" w:hAnsi="Times New Roman"/>
          <w:sz w:val="22"/>
          <w:szCs w:val="22"/>
          <w:lang w:val="fr-FR" w:eastAsia="en-US"/>
        </w:rPr>
      </w:pPr>
      <w:r w:rsidRPr="001242CE">
        <w:rPr>
          <w:rFonts w:ascii="Times New Roman" w:eastAsiaTheme="minorHAnsi" w:hAnsi="Times New Roman"/>
          <w:sz w:val="22"/>
          <w:szCs w:val="22"/>
          <w:lang w:val="fr-FR" w:eastAsia="en-US"/>
        </w:rPr>
        <w:t xml:space="preserve">Les bonnes pratiques industrielles (BPI) applicables dans la branche d’activité́ considérée. </w:t>
      </w:r>
    </w:p>
    <w:p w:rsidR="004920F8" w:rsidRPr="001242CE" w:rsidRDefault="004920F8" w:rsidP="004920F8">
      <w:pPr>
        <w:pStyle w:val="PargrafodaLista"/>
        <w:spacing w:before="100" w:beforeAutospacing="1" w:after="100" w:afterAutospacing="1" w:line="240" w:lineRule="auto"/>
        <w:ind w:left="1276"/>
        <w:jc w:val="both"/>
        <w:rPr>
          <w:rFonts w:ascii="Times New Roman" w:eastAsiaTheme="minorHAnsi" w:hAnsi="Times New Roman"/>
          <w:sz w:val="22"/>
          <w:szCs w:val="22"/>
          <w:lang w:val="fr-FR" w:eastAsia="en-US"/>
        </w:rPr>
      </w:pPr>
    </w:p>
    <w:p w:rsidR="004920F8" w:rsidRPr="001D7066" w:rsidRDefault="004920F8" w:rsidP="00FA3FAE">
      <w:pPr>
        <w:pStyle w:val="PargrafodaLista"/>
        <w:numPr>
          <w:ilvl w:val="0"/>
          <w:numId w:val="227"/>
        </w:numPr>
        <w:spacing w:after="0"/>
        <w:jc w:val="both"/>
        <w:rPr>
          <w:rFonts w:ascii="Times New Roman" w:hAnsi="Times New Roman"/>
          <w:b/>
          <w:sz w:val="24"/>
          <w:szCs w:val="24"/>
        </w:rPr>
      </w:pPr>
      <w:r w:rsidRPr="001D7066">
        <w:rPr>
          <w:rFonts w:ascii="Times New Roman" w:hAnsi="Times New Roman"/>
          <w:b/>
          <w:sz w:val="24"/>
          <w:szCs w:val="24"/>
        </w:rPr>
        <w:t xml:space="preserve">Qualité́ de l’eau </w:t>
      </w:r>
    </w:p>
    <w:p w:rsidR="004920F8" w:rsidRPr="00852F67" w:rsidRDefault="004920F8" w:rsidP="004920F8">
      <w:pPr>
        <w:spacing w:before="100" w:beforeAutospacing="1" w:after="100" w:afterAutospacing="1" w:line="240" w:lineRule="auto"/>
        <w:jc w:val="both"/>
        <w:rPr>
          <w:rFonts w:ascii="Times New Roman" w:hAnsi="Times New Roman" w:cs="Times New Roman"/>
          <w:sz w:val="24"/>
          <w:szCs w:val="24"/>
          <w:lang w:eastAsia="fr-FR"/>
        </w:rPr>
      </w:pPr>
      <w:r w:rsidRPr="00852F67">
        <w:rPr>
          <w:rFonts w:ascii="Times New Roman" w:hAnsi="Times New Roman" w:cs="Times New Roman"/>
          <w:sz w:val="24"/>
          <w:szCs w:val="24"/>
          <w:lang w:eastAsia="fr-FR"/>
        </w:rPr>
        <w:t xml:space="preserve">On doit protéger en permanence les sources d’eau potable, publiques ou privées, de façon qu’elles soient conformes ou supérieures aux normes d’acceptabilité́ nationale applicables, ou, en leur absence, à l’édition en vigueur des directives de l’OMS sur la qualité́ de l’eau potable. Les émissions d’air, les effluents d’eaux usées, l’huile et les matières dangereuses, ainsi que les déchets, doivent être gères conformément aux lignes directrices fournies dans les sections correspondantes des Directives Générales sur la santé, la sécurité́ et l’environnement, dans le but de protéger le sol et les ressources en eau. </w:t>
      </w:r>
    </w:p>
    <w:p w:rsidR="004920F8" w:rsidRPr="00852F67" w:rsidRDefault="004920F8" w:rsidP="004920F8">
      <w:pPr>
        <w:spacing w:before="100" w:beforeAutospacing="1" w:after="100" w:afterAutospacing="1" w:line="240" w:lineRule="auto"/>
        <w:jc w:val="both"/>
        <w:rPr>
          <w:rFonts w:ascii="Times New Roman" w:hAnsi="Times New Roman" w:cs="Times New Roman"/>
          <w:sz w:val="24"/>
          <w:szCs w:val="24"/>
          <w:lang w:eastAsia="fr-FR"/>
        </w:rPr>
      </w:pPr>
      <w:r w:rsidRPr="00852F67">
        <w:rPr>
          <w:rFonts w:ascii="Times New Roman" w:hAnsi="Times New Roman" w:cs="Times New Roman"/>
          <w:sz w:val="24"/>
          <w:szCs w:val="24"/>
          <w:lang w:eastAsia="fr-FR"/>
        </w:rPr>
        <w:lastRenderedPageBreak/>
        <w:t xml:space="preserve">Lorsque le projet comprend la fourniture d’eau à la communauté́ ou aux usagers d’infrastructures d’installations (clients d’hôtels et patients dans les hôpitaux), où l’eau peut entrer utilisée pour boire, cuisiner, laver et se laver, la qualité́ de l’eau doit être conforme aux normes d’acceptabilité́ nationales, ou, en leur absence, à l’édition en cours des directives de l’OMS sur la qualité́ de l’eau potable. La qualité́ de l’eau pour des exigences plus sensibles de bien-être, par exemple l’eau utilisée dans des installations de services de santé ou la production de denrées alimentaires, pourra nécessiter des directives ou des normes plus sévères spécifiques au secteur, selon les cas. Tout facteur de dépendance se rapportant à la fourniture d’eau à la communauté́ locale doit être programmée et gérée de façon à assurer la soutenabilité́ des fournitures d’eau en assurant la participation de la communauté́ </w:t>
      </w:r>
      <w:r w:rsidRPr="003C6482">
        <w:rPr>
          <w:rFonts w:ascii="Times New Roman" w:hAnsi="Times New Roman" w:cs="Times New Roman"/>
          <w:sz w:val="24"/>
          <w:szCs w:val="24"/>
          <w:lang w:eastAsia="fr-FR"/>
        </w:rPr>
        <w:t xml:space="preserve">dans sa gestion, de façon à minimiser la dépendance à long terme. </w:t>
      </w:r>
    </w:p>
    <w:p w:rsidR="004920F8" w:rsidRPr="00F2190B" w:rsidRDefault="004920F8" w:rsidP="00FA3FAE">
      <w:pPr>
        <w:pStyle w:val="PargrafodaLista"/>
        <w:numPr>
          <w:ilvl w:val="0"/>
          <w:numId w:val="227"/>
        </w:numPr>
        <w:spacing w:after="0" w:line="240" w:lineRule="auto"/>
        <w:rPr>
          <w:rFonts w:ascii="Times New Roman" w:hAnsi="Times New Roman"/>
          <w:b/>
          <w:sz w:val="24"/>
          <w:szCs w:val="24"/>
        </w:rPr>
      </w:pPr>
      <w:r w:rsidRPr="00F2190B">
        <w:rPr>
          <w:rFonts w:ascii="Times New Roman" w:hAnsi="Times New Roman"/>
          <w:b/>
          <w:sz w:val="24"/>
          <w:szCs w:val="24"/>
        </w:rPr>
        <w:t xml:space="preserve">Hygiène et sécurité́ au travail </w:t>
      </w:r>
    </w:p>
    <w:p w:rsidR="004920F8" w:rsidRPr="00852F67" w:rsidRDefault="004920F8" w:rsidP="004920F8">
      <w:pPr>
        <w:spacing w:after="0" w:line="240" w:lineRule="auto"/>
        <w:jc w:val="both"/>
        <w:rPr>
          <w:rFonts w:ascii="Times New Roman" w:hAnsi="Times New Roman" w:cs="Times New Roman"/>
          <w:sz w:val="24"/>
          <w:szCs w:val="24"/>
          <w:lang w:eastAsia="fr-FR"/>
        </w:rPr>
      </w:pPr>
      <w:r w:rsidRPr="00852F67">
        <w:rPr>
          <w:rFonts w:ascii="Times New Roman" w:hAnsi="Times New Roman" w:cs="Times New Roman"/>
          <w:sz w:val="24"/>
          <w:szCs w:val="24"/>
          <w:lang w:eastAsia="fr-FR"/>
        </w:rPr>
        <w:t xml:space="preserve">Les employeurs et les agents de maitrise sont tenus de prendre toutes les précautions raisonnables pour assurer la protection de la santé et la sécurité́ des travailleurs. La présente section fournit des conseils et des exemples de précautions raisonnables relativement à la gestion des principaux risques pour la santé et la sécurité́ au travail. Bien que l’on mette l’accent sur la phase opérationnelle des projets, une grande partie des conseils est également applicable aux activités de construction et de démantèlement. Il est conseillé́ aux entreprises d’utiliser des fournisseurs disposant des moyens techniques de gérer les problèmes de santé et sécurité́ du travail de leurs employés, en développant l’application des activités de gestion des risques par le biais d’accords de fourniture officiels. </w:t>
      </w:r>
    </w:p>
    <w:p w:rsidR="004920F8" w:rsidRPr="00852F67" w:rsidRDefault="004920F8" w:rsidP="004920F8">
      <w:pPr>
        <w:spacing w:after="0" w:line="240" w:lineRule="auto"/>
        <w:jc w:val="both"/>
        <w:rPr>
          <w:rFonts w:ascii="Times New Roman" w:hAnsi="Times New Roman" w:cs="Times New Roman"/>
          <w:sz w:val="24"/>
          <w:szCs w:val="24"/>
          <w:lang w:eastAsia="fr-FR"/>
        </w:rPr>
      </w:pPr>
      <w:r w:rsidRPr="00852F67">
        <w:rPr>
          <w:rFonts w:ascii="Times New Roman" w:hAnsi="Times New Roman" w:cs="Times New Roman"/>
          <w:sz w:val="24"/>
          <w:szCs w:val="24"/>
          <w:lang w:eastAsia="fr-FR"/>
        </w:rPr>
        <w:t xml:space="preserve">On doit introduire des mesures de prévention et de protection conformément à l’ordre de priorité́ suivant : </w:t>
      </w:r>
    </w:p>
    <w:p w:rsidR="004920F8" w:rsidRPr="0062409F" w:rsidRDefault="004920F8" w:rsidP="00FA3FAE">
      <w:pPr>
        <w:pStyle w:val="PargrafodaLista"/>
        <w:numPr>
          <w:ilvl w:val="2"/>
          <w:numId w:val="228"/>
        </w:numPr>
        <w:spacing w:after="100" w:afterAutospacing="1" w:line="240" w:lineRule="auto"/>
        <w:ind w:left="709"/>
        <w:jc w:val="both"/>
        <w:rPr>
          <w:rFonts w:ascii="Times New Roman" w:eastAsiaTheme="minorHAnsi" w:hAnsi="Times New Roman"/>
          <w:sz w:val="22"/>
          <w:szCs w:val="22"/>
          <w:lang w:val="fr-FR" w:eastAsia="en-US"/>
        </w:rPr>
      </w:pPr>
      <w:r w:rsidRPr="0062409F">
        <w:rPr>
          <w:rFonts w:ascii="Times New Roman" w:eastAsiaTheme="minorHAnsi" w:hAnsi="Times New Roman"/>
          <w:sz w:val="22"/>
          <w:szCs w:val="22"/>
          <w:lang w:val="fr-FR" w:eastAsia="en-US"/>
        </w:rPr>
        <w:t xml:space="preserve">Elimination des risques par la suppression de l’activité́ du procèdé de travail. Parmi les exemples pertinents, on indiquera le remplacement par des produits chimiques moins dangereux, faisant usage de méthodes de fabrication diverses etc. </w:t>
      </w:r>
    </w:p>
    <w:p w:rsidR="004920F8" w:rsidRPr="0062409F" w:rsidRDefault="004920F8" w:rsidP="00FA3FAE">
      <w:pPr>
        <w:pStyle w:val="PargrafodaLista"/>
        <w:numPr>
          <w:ilvl w:val="2"/>
          <w:numId w:val="228"/>
        </w:numPr>
        <w:spacing w:after="100" w:afterAutospacing="1" w:line="240" w:lineRule="auto"/>
        <w:ind w:left="709"/>
        <w:jc w:val="both"/>
        <w:rPr>
          <w:rFonts w:ascii="Times New Roman" w:eastAsiaTheme="minorHAnsi" w:hAnsi="Times New Roman"/>
          <w:sz w:val="22"/>
          <w:szCs w:val="22"/>
          <w:lang w:val="fr-FR" w:eastAsia="en-US"/>
        </w:rPr>
      </w:pPr>
      <w:r w:rsidRPr="0062409F">
        <w:rPr>
          <w:rFonts w:ascii="Times New Roman" w:eastAsiaTheme="minorHAnsi" w:hAnsi="Times New Roman"/>
          <w:sz w:val="22"/>
          <w:szCs w:val="22"/>
          <w:lang w:val="fr-FR" w:eastAsia="en-US"/>
        </w:rPr>
        <w:t xml:space="preserve">Maitrise du risque à la source par le biais de contrôles techniques. Parmi les exemples, on indiquera les systèmes de ventilation locaux, les salles protégées, les dispositifs de protection des machines, les enceintes acoustiques etc. </w:t>
      </w:r>
    </w:p>
    <w:p w:rsidR="004920F8" w:rsidRPr="00511F40" w:rsidRDefault="004920F8" w:rsidP="00FA3FAE">
      <w:pPr>
        <w:pStyle w:val="PargrafodaLista"/>
        <w:numPr>
          <w:ilvl w:val="2"/>
          <w:numId w:val="228"/>
        </w:numPr>
        <w:spacing w:after="100" w:afterAutospacing="1" w:line="240" w:lineRule="auto"/>
        <w:ind w:left="709"/>
        <w:jc w:val="both"/>
        <w:rPr>
          <w:rFonts w:ascii="Times New Roman" w:eastAsiaTheme="minorHAnsi" w:hAnsi="Times New Roman"/>
          <w:sz w:val="22"/>
          <w:szCs w:val="22"/>
          <w:lang w:val="fr-FR" w:eastAsia="en-US"/>
        </w:rPr>
      </w:pPr>
      <w:r w:rsidRPr="0062409F">
        <w:rPr>
          <w:rFonts w:ascii="Times New Roman" w:eastAsiaTheme="minorHAnsi" w:hAnsi="Times New Roman"/>
          <w:sz w:val="22"/>
          <w:szCs w:val="22"/>
          <w:lang w:val="fr-FR" w:eastAsia="en-US"/>
        </w:rPr>
        <w:t xml:space="preserve">Minimisation des risques par l’étude de systèmes de travail sans danger et de mesures de contrôle administratives ou institutionnelles. A titre d’exemple, on indiquera la rotation </w:t>
      </w:r>
      <w:r w:rsidRPr="00792DEB">
        <w:rPr>
          <w:rFonts w:ascii="Times New Roman" w:hAnsi="Times New Roman"/>
          <w:sz w:val="24"/>
          <w:szCs w:val="24"/>
          <w:lang w:eastAsia="fr-FR"/>
        </w:rPr>
        <w:t xml:space="preserve">des tâches, la formation dans des procédures de travail sans danger, les « lock-out » et « tag-out », le contrôle du lieu de travail, la limite de l’exposition ou de la durée du travail, etc. </w:t>
      </w:r>
    </w:p>
    <w:p w:rsidR="004920F8" w:rsidRPr="00511F40" w:rsidRDefault="004920F8" w:rsidP="004920F8">
      <w:pPr>
        <w:pStyle w:val="PargrafodaLista"/>
        <w:spacing w:after="100" w:afterAutospacing="1" w:line="240" w:lineRule="auto"/>
        <w:ind w:left="709"/>
        <w:jc w:val="both"/>
        <w:rPr>
          <w:rFonts w:ascii="Times New Roman" w:eastAsiaTheme="minorHAnsi" w:hAnsi="Times New Roman"/>
          <w:sz w:val="22"/>
          <w:szCs w:val="22"/>
          <w:lang w:val="fr-FR" w:eastAsia="en-US"/>
        </w:rPr>
      </w:pPr>
    </w:p>
    <w:p w:rsidR="004920F8" w:rsidRPr="00511F40" w:rsidRDefault="004920F8" w:rsidP="00FA3FAE">
      <w:pPr>
        <w:pStyle w:val="PargrafodaLista"/>
        <w:numPr>
          <w:ilvl w:val="0"/>
          <w:numId w:val="229"/>
        </w:numPr>
        <w:spacing w:before="100" w:beforeAutospacing="1" w:after="100" w:afterAutospacing="1" w:line="240" w:lineRule="auto"/>
        <w:rPr>
          <w:rFonts w:ascii="Times New Roman" w:hAnsi="Times New Roman"/>
          <w:sz w:val="24"/>
          <w:szCs w:val="24"/>
          <w:lang w:eastAsia="fr-FR"/>
        </w:rPr>
      </w:pPr>
      <w:r w:rsidRPr="00511F40">
        <w:rPr>
          <w:rFonts w:ascii="Times New Roman" w:hAnsi="Times New Roman"/>
          <w:i/>
          <w:iCs/>
          <w:sz w:val="24"/>
          <w:szCs w:val="24"/>
          <w:lang w:eastAsia="fr-FR"/>
        </w:rPr>
        <w:t xml:space="preserve">Fourniture d’équipements de protection personnelle (PPE) appropries </w:t>
      </w:r>
      <w:r w:rsidRPr="00511F40">
        <w:rPr>
          <w:rFonts w:ascii="Times New Roman" w:hAnsi="Times New Roman"/>
          <w:sz w:val="24"/>
          <w:szCs w:val="24"/>
          <w:lang w:eastAsia="fr-FR"/>
        </w:rPr>
        <w:t xml:space="preserve">conjointement avec la formation, l’utilisation et l’entretien des PPE. </w:t>
      </w:r>
    </w:p>
    <w:p w:rsidR="004920F8" w:rsidRPr="00852F67" w:rsidRDefault="004920F8" w:rsidP="004920F8">
      <w:pPr>
        <w:spacing w:before="100" w:beforeAutospacing="1" w:after="100" w:afterAutospacing="1" w:line="240" w:lineRule="auto"/>
        <w:jc w:val="both"/>
        <w:rPr>
          <w:rFonts w:ascii="Times New Roman" w:hAnsi="Times New Roman" w:cs="Times New Roman"/>
          <w:sz w:val="24"/>
          <w:szCs w:val="24"/>
          <w:lang w:eastAsia="fr-FR"/>
        </w:rPr>
      </w:pPr>
      <w:r w:rsidRPr="00852F67">
        <w:rPr>
          <w:rFonts w:ascii="Times New Roman" w:hAnsi="Times New Roman" w:cs="Times New Roman"/>
          <w:sz w:val="24"/>
          <w:szCs w:val="24"/>
          <w:lang w:eastAsia="fr-FR"/>
        </w:rPr>
        <w:t xml:space="preserve">L’application de mesures de prévention et de limitation des risques au travail doit être basée sur des analyses globales de la sécurité́ ou des risques sur le lieu de travail. Les résultats de ces analyses devront être prioritaires dans le cadre d’un plan d’action basé sur la probabilité́ et la gravité des conséquences de l’exposition à des risques identifies </w:t>
      </w:r>
    </w:p>
    <w:p w:rsidR="004920F8" w:rsidRPr="008F18A4" w:rsidRDefault="004920F8" w:rsidP="00FA3FAE">
      <w:pPr>
        <w:pStyle w:val="PargrafodaLista"/>
        <w:numPr>
          <w:ilvl w:val="0"/>
          <w:numId w:val="229"/>
        </w:numPr>
        <w:spacing w:before="100" w:beforeAutospacing="1" w:after="100" w:afterAutospacing="1" w:line="240" w:lineRule="auto"/>
        <w:rPr>
          <w:rFonts w:ascii="Times New Roman" w:hAnsi="Times New Roman"/>
          <w:i/>
          <w:iCs/>
          <w:sz w:val="24"/>
          <w:szCs w:val="24"/>
          <w:lang w:eastAsia="fr-FR"/>
        </w:rPr>
      </w:pPr>
      <w:r w:rsidRPr="008F18A4">
        <w:rPr>
          <w:rFonts w:ascii="Times New Roman" w:hAnsi="Times New Roman"/>
          <w:i/>
          <w:iCs/>
          <w:sz w:val="24"/>
          <w:szCs w:val="24"/>
          <w:lang w:eastAsia="fr-FR"/>
        </w:rPr>
        <w:t xml:space="preserve">Les installations produisant et stockant des déchets doivent appliquer les modalités suivantes : </w:t>
      </w:r>
    </w:p>
    <w:p w:rsidR="004920F8" w:rsidRPr="00852F67" w:rsidRDefault="004920F8" w:rsidP="004920F8">
      <w:pPr>
        <w:spacing w:before="100" w:beforeAutospacing="1" w:after="100" w:afterAutospacing="1" w:line="240" w:lineRule="auto"/>
        <w:jc w:val="both"/>
        <w:rPr>
          <w:rFonts w:ascii="Times New Roman" w:hAnsi="Times New Roman" w:cs="Times New Roman"/>
          <w:sz w:val="24"/>
          <w:szCs w:val="24"/>
          <w:lang w:eastAsia="fr-FR"/>
        </w:rPr>
      </w:pPr>
      <w:r w:rsidRPr="00852F67">
        <w:rPr>
          <w:rFonts w:ascii="Times New Roman" w:hAnsi="Times New Roman" w:cs="Times New Roman"/>
          <w:sz w:val="24"/>
          <w:szCs w:val="24"/>
          <w:lang w:eastAsia="fr-FR"/>
        </w:rPr>
        <w:t xml:space="preserve">Définition des priorités de gestion des déchets dès le début des activités, sur la base des connaissances sur les risques et impacts potentiels sur l’environnement, la santé et la sécurité́, et examen de la production de déchets et ses conséquences ; </w:t>
      </w:r>
    </w:p>
    <w:p w:rsidR="004920F8" w:rsidRPr="00044B81" w:rsidRDefault="004920F8" w:rsidP="00FA3FAE">
      <w:pPr>
        <w:pStyle w:val="PargrafodaLista"/>
        <w:numPr>
          <w:ilvl w:val="2"/>
          <w:numId w:val="228"/>
        </w:numPr>
        <w:spacing w:after="100" w:afterAutospacing="1" w:line="240" w:lineRule="auto"/>
        <w:ind w:left="709"/>
        <w:jc w:val="both"/>
        <w:rPr>
          <w:rFonts w:ascii="Times New Roman" w:eastAsiaTheme="minorHAnsi" w:hAnsi="Times New Roman"/>
          <w:sz w:val="22"/>
          <w:szCs w:val="22"/>
          <w:lang w:val="fr-FR" w:eastAsia="en-US"/>
        </w:rPr>
      </w:pPr>
      <w:r w:rsidRPr="00044B81">
        <w:rPr>
          <w:rFonts w:ascii="Times New Roman" w:eastAsiaTheme="minorHAnsi" w:hAnsi="Times New Roman"/>
          <w:sz w:val="22"/>
          <w:szCs w:val="22"/>
          <w:lang w:val="fr-FR" w:eastAsia="en-US"/>
        </w:rPr>
        <w:t xml:space="preserve">Etablissement d’une hiérarchie dans la gestion des déchets examinant la prévention, la réduction, la réutilisation, la récupération, le recyclage, l’enlèvement et, enfin, l’élimination des déchets ; </w:t>
      </w:r>
    </w:p>
    <w:p w:rsidR="004920F8" w:rsidRPr="00044B81" w:rsidRDefault="004920F8" w:rsidP="00FA3FAE">
      <w:pPr>
        <w:pStyle w:val="PargrafodaLista"/>
        <w:numPr>
          <w:ilvl w:val="2"/>
          <w:numId w:val="228"/>
        </w:numPr>
        <w:spacing w:after="100" w:afterAutospacing="1" w:line="240" w:lineRule="auto"/>
        <w:ind w:left="709"/>
        <w:jc w:val="both"/>
        <w:rPr>
          <w:rFonts w:ascii="Times New Roman" w:eastAsiaTheme="minorHAnsi" w:hAnsi="Times New Roman"/>
          <w:sz w:val="22"/>
          <w:szCs w:val="22"/>
          <w:lang w:val="fr-FR" w:eastAsia="en-US"/>
        </w:rPr>
      </w:pPr>
      <w:r w:rsidRPr="00044B81">
        <w:rPr>
          <w:rFonts w:ascii="Times New Roman" w:eastAsiaTheme="minorHAnsi" w:hAnsi="Times New Roman"/>
          <w:sz w:val="22"/>
          <w:szCs w:val="22"/>
          <w:lang w:val="fr-FR" w:eastAsia="en-US"/>
        </w:rPr>
        <w:t xml:space="preserve">Prévention ou minimisation de la production de déchets, dans la mesure du possible ; </w:t>
      </w:r>
    </w:p>
    <w:p w:rsidR="004920F8" w:rsidRPr="00044B81" w:rsidRDefault="004920F8" w:rsidP="00FA3FAE">
      <w:pPr>
        <w:pStyle w:val="PargrafodaLista"/>
        <w:numPr>
          <w:ilvl w:val="2"/>
          <w:numId w:val="228"/>
        </w:numPr>
        <w:spacing w:after="100" w:afterAutospacing="1" w:line="240" w:lineRule="auto"/>
        <w:ind w:left="709"/>
        <w:jc w:val="both"/>
        <w:rPr>
          <w:rFonts w:ascii="Times New Roman" w:eastAsiaTheme="minorHAnsi" w:hAnsi="Times New Roman"/>
          <w:sz w:val="22"/>
          <w:szCs w:val="22"/>
          <w:lang w:val="fr-FR" w:eastAsia="en-US"/>
        </w:rPr>
      </w:pPr>
      <w:r w:rsidRPr="00044B81">
        <w:rPr>
          <w:rFonts w:ascii="Times New Roman" w:eastAsiaTheme="minorHAnsi" w:hAnsi="Times New Roman"/>
          <w:sz w:val="22"/>
          <w:szCs w:val="22"/>
          <w:lang w:val="fr-FR" w:eastAsia="en-US"/>
        </w:rPr>
        <w:t xml:space="preserve">Lorsqu’on ne peut éviter la production de déchets, mais que l’on est parvenu à la minimiser, avec la récupération et la réutilisation de déchets ; </w:t>
      </w:r>
    </w:p>
    <w:p w:rsidR="004920F8" w:rsidRDefault="004920F8" w:rsidP="00FA3FAE">
      <w:pPr>
        <w:pStyle w:val="PargrafodaLista"/>
        <w:numPr>
          <w:ilvl w:val="2"/>
          <w:numId w:val="228"/>
        </w:numPr>
        <w:spacing w:after="100" w:afterAutospacing="1" w:line="240" w:lineRule="auto"/>
        <w:ind w:left="709"/>
        <w:jc w:val="both"/>
        <w:rPr>
          <w:rFonts w:ascii="Times New Roman" w:eastAsiaTheme="minorHAnsi" w:hAnsi="Times New Roman"/>
          <w:sz w:val="22"/>
          <w:szCs w:val="22"/>
          <w:lang w:val="fr-FR" w:eastAsia="en-US"/>
        </w:rPr>
      </w:pPr>
      <w:r w:rsidRPr="00044B81">
        <w:rPr>
          <w:rFonts w:ascii="Times New Roman" w:eastAsiaTheme="minorHAnsi" w:hAnsi="Times New Roman"/>
          <w:sz w:val="22"/>
          <w:szCs w:val="22"/>
          <w:lang w:val="fr-FR" w:eastAsia="en-US"/>
        </w:rPr>
        <w:lastRenderedPageBreak/>
        <w:t xml:space="preserve">Lorsqu’on ne peut récupérer ou réutiliser des déchets : traitement, destruction et élimination de ces mêmes déchets d’une façon qui ne nuise pas à l’environnement. </w:t>
      </w:r>
    </w:p>
    <w:p w:rsidR="004920F8" w:rsidRPr="007B1904" w:rsidRDefault="004920F8" w:rsidP="004920F8">
      <w:pPr>
        <w:pStyle w:val="PargrafodaLista"/>
        <w:spacing w:after="100" w:afterAutospacing="1" w:line="240" w:lineRule="auto"/>
        <w:ind w:left="709"/>
        <w:jc w:val="both"/>
        <w:rPr>
          <w:rFonts w:ascii="Times New Roman" w:eastAsiaTheme="minorHAnsi" w:hAnsi="Times New Roman"/>
          <w:sz w:val="22"/>
          <w:szCs w:val="22"/>
          <w:lang w:val="fr-FR" w:eastAsia="en-US"/>
        </w:rPr>
      </w:pPr>
    </w:p>
    <w:p w:rsidR="004920F8" w:rsidRPr="007B1904" w:rsidRDefault="004920F8" w:rsidP="004920F8">
      <w:pPr>
        <w:pStyle w:val="PargrafodaLista"/>
        <w:keepNext/>
        <w:spacing w:before="240" w:after="240"/>
        <w:ind w:left="450" w:right="284" w:firstLine="258"/>
        <w:jc w:val="both"/>
        <w:outlineLvl w:val="1"/>
        <w:rPr>
          <w:rFonts w:ascii="Times New Roman" w:hAnsi="Times New Roman"/>
          <w:b/>
          <w:sz w:val="24"/>
          <w:szCs w:val="24"/>
          <w:lang w:val="fr-FR" w:eastAsia="fr-FR"/>
        </w:rPr>
      </w:pPr>
      <w:bookmarkStart w:id="140" w:name="_Toc51072539"/>
      <w:r>
        <w:rPr>
          <w:rFonts w:ascii="Times New Roman" w:hAnsi="Times New Roman"/>
          <w:b/>
          <w:sz w:val="24"/>
          <w:szCs w:val="24"/>
          <w:lang w:val="fr-FR" w:eastAsia="fr-FR"/>
        </w:rPr>
        <w:t xml:space="preserve">3.6. </w:t>
      </w:r>
      <w:r w:rsidRPr="007B1904">
        <w:rPr>
          <w:rFonts w:ascii="Times New Roman" w:hAnsi="Times New Roman"/>
          <w:b/>
          <w:sz w:val="24"/>
          <w:szCs w:val="24"/>
          <w:lang w:val="fr-FR" w:eastAsia="fr-FR"/>
        </w:rPr>
        <w:t>DIRECTIVES DE QUALITÉ POUR L’EAU DE BOISSON DE l’OMS</w:t>
      </w:r>
      <w:bookmarkEnd w:id="140"/>
    </w:p>
    <w:p w:rsidR="004920F8" w:rsidRDefault="004920F8" w:rsidP="004920F8">
      <w:pPr>
        <w:spacing w:after="0" w:line="240" w:lineRule="auto"/>
        <w:jc w:val="both"/>
        <w:rPr>
          <w:rFonts w:ascii="Times New Roman" w:hAnsi="Times New Roman" w:cs="Times New Roman"/>
          <w:sz w:val="24"/>
          <w:szCs w:val="24"/>
          <w:lang w:eastAsia="fr-FR"/>
        </w:rPr>
      </w:pPr>
      <w:r w:rsidRPr="00E21472">
        <w:rPr>
          <w:rFonts w:ascii="Times New Roman" w:hAnsi="Times New Roman" w:cs="Times New Roman"/>
          <w:sz w:val="24"/>
          <w:szCs w:val="24"/>
          <w:lang w:eastAsia="fr-FR"/>
        </w:rPr>
        <w:t xml:space="preserve">Pour garantir la sécurité́ sanitaire de l’eau de boisson, on privilégiera une démarche de gestion préventive et on prendra en compte les caractéristiques de l’approvisionnement en eau de boisson, depuis le captage et la source jusqu’au consommateur. De nombreux aspects de la gestion de la qualité́ de l’eau de boisson ne relevant pas directement de la responsabilité́ des fournisseurs d’eau, il est essentiel d’adopter une approche collaborative multi-organismes, de manière à s’assurer que les organismes charges des différents domaines du cycle de l’eau participent à la gestion de la qualité́ de ce produit. Comme exemple d’une telle situation, on peut citer le cas où les captages et les sources se situent en dehors de la juridiction du fournisseur d’eau de boisson. Il sera généralement nécessaire de consulter d’autres autorités concernant d’autres questions ayant trait à l’eau de boisson, telles que les exigences en matière de surveillance et de notification, les plans d’intervention en cas de crise et les stratégies de communication. </w:t>
      </w:r>
    </w:p>
    <w:p w:rsidR="004920F8" w:rsidRPr="00852F67" w:rsidRDefault="004920F8" w:rsidP="004920F8">
      <w:pPr>
        <w:spacing w:after="0" w:line="240" w:lineRule="auto"/>
        <w:jc w:val="both"/>
        <w:rPr>
          <w:rFonts w:ascii="Times New Roman" w:hAnsi="Times New Roman" w:cs="Times New Roman"/>
          <w:sz w:val="24"/>
          <w:szCs w:val="24"/>
          <w:lang w:eastAsia="fr-FR"/>
        </w:rPr>
      </w:pPr>
    </w:p>
    <w:p w:rsidR="004920F8" w:rsidRDefault="004920F8" w:rsidP="004920F8">
      <w:pPr>
        <w:spacing w:after="0" w:line="240" w:lineRule="auto"/>
        <w:jc w:val="both"/>
        <w:rPr>
          <w:rFonts w:ascii="Times New Roman" w:hAnsi="Times New Roman" w:cs="Times New Roman"/>
          <w:sz w:val="24"/>
          <w:szCs w:val="24"/>
          <w:lang w:eastAsia="fr-FR"/>
        </w:rPr>
      </w:pPr>
      <w:r w:rsidRPr="00E21472">
        <w:rPr>
          <w:rFonts w:ascii="Times New Roman" w:hAnsi="Times New Roman" w:cs="Times New Roman"/>
          <w:sz w:val="24"/>
          <w:szCs w:val="24"/>
          <w:lang w:eastAsia="fr-FR"/>
        </w:rPr>
        <w:t xml:space="preserve">Il convient d’inciter les principales parties prenantes susceptibles d’affecter ou d’être affectées par les décisions ou les activités des fournisseurs d’eau de boisson à coordonner, si besoin est, leurs efforts de planification et de gestion. Il peut s’agir par exemple des agences de gestion de la santé et des ressources, des consommateurs, de l’industrie et des plombiers. Il convient d’établir des mécanismes et d’élaborer des documents d’appui permettant aux parties prenantes de s’impliquer dans le processus. </w:t>
      </w:r>
    </w:p>
    <w:p w:rsidR="004920F8" w:rsidRPr="00852F67" w:rsidRDefault="004920F8" w:rsidP="004920F8">
      <w:pPr>
        <w:spacing w:after="0" w:line="240" w:lineRule="auto"/>
        <w:jc w:val="both"/>
        <w:rPr>
          <w:rFonts w:ascii="Times New Roman" w:hAnsi="Times New Roman" w:cs="Times New Roman"/>
          <w:sz w:val="24"/>
          <w:szCs w:val="24"/>
          <w:lang w:eastAsia="fr-FR"/>
        </w:rPr>
      </w:pPr>
    </w:p>
    <w:p w:rsidR="004920F8" w:rsidRDefault="004920F8" w:rsidP="00FA3FAE">
      <w:pPr>
        <w:pStyle w:val="PargrafodaLista"/>
        <w:numPr>
          <w:ilvl w:val="0"/>
          <w:numId w:val="227"/>
        </w:numPr>
        <w:spacing w:after="0" w:line="240" w:lineRule="auto"/>
        <w:ind w:left="1418"/>
        <w:rPr>
          <w:rFonts w:ascii="Times New Roman" w:hAnsi="Times New Roman"/>
          <w:b/>
          <w:sz w:val="24"/>
          <w:szCs w:val="24"/>
        </w:rPr>
      </w:pPr>
      <w:r w:rsidRPr="00BF7ABE">
        <w:rPr>
          <w:rFonts w:ascii="Times New Roman" w:hAnsi="Times New Roman"/>
          <w:b/>
          <w:sz w:val="24"/>
          <w:szCs w:val="24"/>
        </w:rPr>
        <w:t xml:space="preserve">Cadre destiné à garantir la sécurité́ sanitaire de l’eau de boisson </w:t>
      </w:r>
    </w:p>
    <w:p w:rsidR="004920F8" w:rsidRPr="00BF7ABE" w:rsidRDefault="004920F8" w:rsidP="004920F8">
      <w:pPr>
        <w:pStyle w:val="PargrafodaLista"/>
        <w:spacing w:after="0" w:line="240" w:lineRule="auto"/>
        <w:rPr>
          <w:rFonts w:ascii="Times New Roman" w:hAnsi="Times New Roman"/>
          <w:b/>
          <w:sz w:val="24"/>
          <w:szCs w:val="24"/>
        </w:rPr>
      </w:pPr>
    </w:p>
    <w:p w:rsidR="004920F8" w:rsidRPr="00852F67" w:rsidRDefault="004920F8" w:rsidP="004920F8">
      <w:pPr>
        <w:spacing w:after="0" w:line="240" w:lineRule="auto"/>
        <w:jc w:val="both"/>
        <w:rPr>
          <w:rFonts w:ascii="Times New Roman" w:hAnsi="Times New Roman" w:cs="Times New Roman"/>
          <w:sz w:val="24"/>
          <w:szCs w:val="24"/>
          <w:lang w:eastAsia="fr-FR"/>
        </w:rPr>
      </w:pPr>
      <w:r w:rsidRPr="00480126">
        <w:rPr>
          <w:rFonts w:ascii="Times New Roman" w:hAnsi="Times New Roman" w:cs="Times New Roman"/>
          <w:sz w:val="24"/>
          <w:szCs w:val="24"/>
          <w:lang w:eastAsia="fr-FR"/>
        </w:rPr>
        <w:t xml:space="preserve">Les exigences fondamentales et essentielles destinées à garantir la sécurité́ sanitaire de l’eau de boisson constituent un « cadre », qui comprend des objectifs sanitaires établis par une autorité́ compétente dans le domaine de la santé, des systèmes adaptés et convenablement gères (infrastructures appropriées, surveillance consciencieuse, planification et gestion efficaces) ainsi qu’un système de surveillance indépendant. </w:t>
      </w:r>
    </w:p>
    <w:p w:rsidR="004920F8" w:rsidRDefault="004920F8" w:rsidP="004920F8">
      <w:pPr>
        <w:spacing w:after="0" w:line="240" w:lineRule="auto"/>
        <w:jc w:val="both"/>
        <w:rPr>
          <w:rFonts w:ascii="Times New Roman" w:hAnsi="Times New Roman" w:cs="Times New Roman"/>
          <w:sz w:val="24"/>
          <w:szCs w:val="24"/>
          <w:lang w:eastAsia="fr-FR"/>
        </w:rPr>
      </w:pPr>
      <w:r w:rsidRPr="00480126">
        <w:rPr>
          <w:rFonts w:ascii="Times New Roman" w:hAnsi="Times New Roman" w:cs="Times New Roman"/>
          <w:sz w:val="24"/>
          <w:szCs w:val="24"/>
          <w:lang w:eastAsia="fr-FR"/>
        </w:rPr>
        <w:t xml:space="preserve">L’application d’une approche holistique dans l’évaluation et la gestion des risques menaçant les approvisionnements en eau de boisson conduit à une plus grande confiance dans la sécurité́ sanitaire de cette eau. Cette approche suppose une évaluation systématique des risques associes à l’ensemble des aspects d’un approvisionnement en eau de boisson, depuis le captage et sa source jusqu’au consommateur, et l’identification des moyens permettant de gérer ces risques, notamment les méthodes destinées à garantir l’efficacité́ des mesures de maitrise des risques. </w:t>
      </w:r>
    </w:p>
    <w:p w:rsidR="004920F8" w:rsidRDefault="004920F8" w:rsidP="004920F8">
      <w:pPr>
        <w:spacing w:after="0" w:line="240" w:lineRule="auto"/>
        <w:jc w:val="both"/>
        <w:rPr>
          <w:rFonts w:ascii="Times New Roman" w:hAnsi="Times New Roman" w:cs="Times New Roman"/>
          <w:sz w:val="24"/>
          <w:szCs w:val="24"/>
          <w:lang w:eastAsia="fr-FR"/>
        </w:rPr>
      </w:pPr>
      <w:r w:rsidRPr="00480126">
        <w:rPr>
          <w:rFonts w:ascii="Times New Roman" w:hAnsi="Times New Roman" w:cs="Times New Roman"/>
          <w:sz w:val="24"/>
          <w:szCs w:val="24"/>
          <w:lang w:eastAsia="fr-FR"/>
        </w:rPr>
        <w:t xml:space="preserve">Elle intègre des stratégies pour assurer la gestion au jour le jour de la qualité́ de l’eau, y compris les écarts et les défaillances. À cet égard, les changements climatiques - se manifestant par des périodes de sècheresse plus longues et plus accentuées ou par des précipitations plus intenses entrainant des inondations – peuvent avoir un impact à la fois sur la qualité́ et la quantité́ de l’eau et nécessiter une planification et une gestion permettant de réduire autant que possible les conséquences négatives pour l’approvisionnement en eau de boisson. Il peut également être nécessaire d’envisager les changements climatiques en tenant compte des changements démographiques, tels que l’urbanisation croissante, qui posent eux-mêmes d’importants défis pour l’approvisionnement en eau de boisson. </w:t>
      </w:r>
    </w:p>
    <w:p w:rsidR="004920F8" w:rsidRPr="00852F67" w:rsidRDefault="004920F8" w:rsidP="004920F8">
      <w:pPr>
        <w:spacing w:after="0" w:line="240" w:lineRule="auto"/>
        <w:jc w:val="both"/>
        <w:rPr>
          <w:rFonts w:ascii="Times New Roman" w:hAnsi="Times New Roman" w:cs="Times New Roman"/>
          <w:sz w:val="24"/>
          <w:szCs w:val="24"/>
          <w:lang w:eastAsia="fr-FR"/>
        </w:rPr>
      </w:pPr>
    </w:p>
    <w:p w:rsidR="004920F8" w:rsidRPr="007924E9" w:rsidRDefault="004920F8" w:rsidP="00FA3FAE">
      <w:pPr>
        <w:pStyle w:val="PargrafodaLista"/>
        <w:numPr>
          <w:ilvl w:val="0"/>
          <w:numId w:val="227"/>
        </w:numPr>
        <w:spacing w:after="0" w:line="240" w:lineRule="auto"/>
        <w:ind w:left="1418"/>
        <w:rPr>
          <w:rFonts w:ascii="Times New Roman" w:hAnsi="Times New Roman"/>
          <w:b/>
          <w:sz w:val="24"/>
          <w:szCs w:val="24"/>
        </w:rPr>
      </w:pPr>
      <w:r w:rsidRPr="007924E9">
        <w:rPr>
          <w:rFonts w:ascii="Times New Roman" w:hAnsi="Times New Roman"/>
          <w:b/>
          <w:sz w:val="24"/>
          <w:szCs w:val="24"/>
        </w:rPr>
        <w:t xml:space="preserve">Services d’approvisionnement en eau de boisson </w:t>
      </w:r>
    </w:p>
    <w:p w:rsidR="004920F8" w:rsidRPr="00852F67" w:rsidRDefault="004920F8" w:rsidP="004920F8">
      <w:pPr>
        <w:spacing w:after="0" w:line="240" w:lineRule="auto"/>
        <w:jc w:val="both"/>
        <w:rPr>
          <w:rFonts w:ascii="Times New Roman" w:hAnsi="Times New Roman" w:cs="Times New Roman"/>
          <w:sz w:val="24"/>
          <w:szCs w:val="24"/>
          <w:lang w:eastAsia="fr-FR"/>
        </w:rPr>
      </w:pPr>
      <w:r w:rsidRPr="007924E9">
        <w:rPr>
          <w:rFonts w:ascii="Times New Roman" w:hAnsi="Times New Roman" w:cs="Times New Roman"/>
          <w:sz w:val="24"/>
          <w:szCs w:val="24"/>
          <w:lang w:eastAsia="fr-FR"/>
        </w:rPr>
        <w:t xml:space="preserve">Les approvisionnements en eau de boisson peuvent aller de très grands réseaux urbains, desservant des dizaines de millions d’habitants, à de petits réseaux communautaires, alimentant en eau des populations très peu nombreuses. Dans la plupart des pays, ils comprennent des sources collectives et des réseaux canalises. </w:t>
      </w:r>
    </w:p>
    <w:p w:rsidR="004920F8" w:rsidRPr="00852F67" w:rsidRDefault="004920F8" w:rsidP="004920F8">
      <w:pPr>
        <w:spacing w:after="0" w:line="240" w:lineRule="auto"/>
        <w:jc w:val="both"/>
        <w:rPr>
          <w:rFonts w:ascii="Times New Roman" w:hAnsi="Times New Roman" w:cs="Times New Roman"/>
          <w:sz w:val="24"/>
          <w:szCs w:val="24"/>
          <w:lang w:eastAsia="fr-FR"/>
        </w:rPr>
      </w:pPr>
      <w:r w:rsidRPr="007924E9">
        <w:rPr>
          <w:rFonts w:ascii="Times New Roman" w:hAnsi="Times New Roman" w:cs="Times New Roman"/>
          <w:sz w:val="24"/>
          <w:szCs w:val="24"/>
          <w:lang w:eastAsia="fr-FR"/>
        </w:rPr>
        <w:t xml:space="preserve">Les services d’approvisionnement en eau de boisson ont en charge l’assurance et le contrôle de la qualité́. Ils sont responsables principalement de la préparation et de la mise en œuvre des plans de gestion de la sécurité́ sanitaire). </w:t>
      </w:r>
    </w:p>
    <w:p w:rsidR="004920F8" w:rsidRPr="00852F67" w:rsidRDefault="004920F8" w:rsidP="004920F8">
      <w:pPr>
        <w:spacing w:after="0" w:line="240" w:lineRule="auto"/>
        <w:jc w:val="both"/>
        <w:rPr>
          <w:rFonts w:ascii="Times New Roman" w:hAnsi="Times New Roman" w:cs="Times New Roman"/>
          <w:sz w:val="24"/>
          <w:szCs w:val="24"/>
          <w:lang w:eastAsia="fr-FR"/>
        </w:rPr>
      </w:pPr>
      <w:r w:rsidRPr="007924E9">
        <w:rPr>
          <w:rFonts w:ascii="Times New Roman" w:hAnsi="Times New Roman" w:cs="Times New Roman"/>
          <w:sz w:val="24"/>
          <w:szCs w:val="24"/>
          <w:lang w:eastAsia="fr-FR"/>
        </w:rPr>
        <w:lastRenderedPageBreak/>
        <w:t xml:space="preserve">Dans nombre de cas, le fournisseur d’eau n’est pas responsable de la gestion des captages dont il tire son approvisionnement. Le rôle du fournisseur d’eau à l’égard des captages est de participer aux activités interservices de gestion des ressources en eau, de comprendre les risques pouvant être associés à des activités et à des incidents potentiellement contaminants et d’utiliser ces données pour évaluer les risques menaçant l’approvisionnement en eau et mettre au point et appliquer une gestion appropriée. Bien que les fournisseurs d’eau de boisson n’effectuent parfois pas eux-mêmes les investigations relatives aux captages et les évaluations des risques de pollution, il leur incombe d’identifier les besoins en la matière et de lancer la collaboration multiservices, par exemple avec les autorités sanitaires et les autorités de protection de l’environnement. </w:t>
      </w:r>
    </w:p>
    <w:p w:rsidR="00A857F4" w:rsidRDefault="00A857F4" w:rsidP="00D2682F">
      <w:pPr>
        <w:jc w:val="both"/>
        <w:rPr>
          <w:rFonts w:ascii="Times New Roman" w:hAnsi="Times New Roman" w:cs="Times New Roman"/>
          <w:color w:val="000000"/>
          <w:sz w:val="24"/>
          <w:szCs w:val="24"/>
          <w:lang w:val="x-none"/>
        </w:rPr>
      </w:pPr>
    </w:p>
    <w:p w:rsidR="007F3DC3" w:rsidRPr="002544D4" w:rsidRDefault="001F45DB" w:rsidP="002544D4">
      <w:pPr>
        <w:keepNext/>
        <w:keepLines/>
        <w:pBdr>
          <w:top w:val="outset" w:sz="12" w:space="1" w:color="auto"/>
          <w:left w:val="outset" w:sz="12" w:space="4" w:color="auto"/>
          <w:bottom w:val="outset" w:sz="12" w:space="1" w:color="auto"/>
          <w:right w:val="outset" w:sz="12" w:space="4" w:color="auto"/>
        </w:pBdr>
        <w:shd w:val="clear" w:color="auto" w:fill="F2F2F2" w:themeFill="background1" w:themeFillShade="F2"/>
        <w:spacing w:after="0" w:line="240" w:lineRule="auto"/>
        <w:ind w:left="-1417" w:right="567"/>
        <w:jc w:val="center"/>
        <w:outlineLvl w:val="0"/>
        <w:rPr>
          <w:rFonts w:ascii="Times New Roman" w:eastAsia="Calibri" w:hAnsi="Times New Roman" w:cs="Times New Roman"/>
          <w:b/>
          <w:sz w:val="32"/>
          <w:szCs w:val="32"/>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id="141" w:name="_Toc6310429"/>
      <w:bookmarkStart w:id="142" w:name="_Toc51072540"/>
      <w:r>
        <w:rPr>
          <w:rFonts w:ascii="Times New Roman" w:eastAsia="Calibri" w:hAnsi="Times New Roman" w:cs="Times New Roman"/>
          <w:b/>
          <w:sz w:val="32"/>
          <w:szCs w:val="32"/>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w:t>
      </w:r>
      <w:r w:rsidR="007F3DC3" w:rsidRPr="002544D4">
        <w:rPr>
          <w:rFonts w:ascii="Times New Roman" w:eastAsia="Calibri" w:hAnsi="Times New Roman" w:cs="Times New Roman"/>
          <w:b/>
          <w:sz w:val="32"/>
          <w:szCs w:val="32"/>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PRÉSENTATION ET ANALYSE DES ALTERNATIVES *</w:t>
      </w:r>
      <w:bookmarkEnd w:id="141"/>
      <w:bookmarkEnd w:id="142"/>
    </w:p>
    <w:p w:rsidR="007F3DC3" w:rsidRPr="002544D4" w:rsidRDefault="004815B9" w:rsidP="002544D4">
      <w:pPr>
        <w:pStyle w:val="PargrafodaLista"/>
        <w:keepNext/>
        <w:spacing w:before="240" w:after="240"/>
        <w:ind w:left="450" w:right="284" w:hanging="450"/>
        <w:jc w:val="both"/>
        <w:outlineLvl w:val="1"/>
        <w:rPr>
          <w:rFonts w:ascii="Times New Roman" w:hAnsi="Times New Roman"/>
          <w:b/>
          <w:sz w:val="24"/>
          <w:szCs w:val="24"/>
          <w:lang w:val="fr-FR" w:eastAsia="fr-FR"/>
        </w:rPr>
      </w:pPr>
      <w:bookmarkStart w:id="143" w:name="_Toc535396892"/>
      <w:bookmarkStart w:id="144" w:name="_Toc6310430"/>
      <w:bookmarkStart w:id="145" w:name="_Toc51072541"/>
      <w:r>
        <w:rPr>
          <w:rFonts w:ascii="Times New Roman" w:hAnsi="Times New Roman"/>
          <w:b/>
          <w:sz w:val="24"/>
          <w:szCs w:val="24"/>
          <w:lang w:val="fr-FR" w:eastAsia="fr-FR"/>
        </w:rPr>
        <w:t>4</w:t>
      </w:r>
      <w:r w:rsidR="002544D4">
        <w:rPr>
          <w:rFonts w:ascii="Times New Roman" w:hAnsi="Times New Roman"/>
          <w:b/>
          <w:sz w:val="24"/>
          <w:szCs w:val="24"/>
          <w:lang w:val="fr-FR" w:eastAsia="fr-FR"/>
        </w:rPr>
        <w:t>.1</w:t>
      </w:r>
      <w:r w:rsidR="00643D75">
        <w:rPr>
          <w:rFonts w:ascii="Times New Roman" w:hAnsi="Times New Roman"/>
          <w:b/>
          <w:sz w:val="24"/>
          <w:szCs w:val="24"/>
          <w:lang w:val="fr-FR" w:eastAsia="fr-FR"/>
        </w:rPr>
        <w:t>.</w:t>
      </w:r>
      <w:r w:rsidR="002544D4">
        <w:rPr>
          <w:rFonts w:ascii="Times New Roman" w:hAnsi="Times New Roman"/>
          <w:b/>
          <w:sz w:val="24"/>
          <w:szCs w:val="24"/>
          <w:lang w:val="fr-FR" w:eastAsia="fr-FR"/>
        </w:rPr>
        <w:t xml:space="preserve"> RAISONS DES</w:t>
      </w:r>
      <w:r w:rsidR="002544D4" w:rsidRPr="002544D4">
        <w:rPr>
          <w:rFonts w:ascii="Times New Roman" w:hAnsi="Times New Roman"/>
          <w:b/>
          <w:sz w:val="24"/>
          <w:szCs w:val="24"/>
          <w:lang w:val="fr-FR" w:eastAsia="fr-FR"/>
        </w:rPr>
        <w:t xml:space="preserve"> CHOIX DU </w:t>
      </w:r>
      <w:r w:rsidR="002544D4">
        <w:rPr>
          <w:rFonts w:ascii="Times New Roman" w:hAnsi="Times New Roman"/>
          <w:b/>
          <w:sz w:val="24"/>
          <w:szCs w:val="24"/>
          <w:lang w:val="fr-FR" w:eastAsia="fr-FR"/>
        </w:rPr>
        <w:t>SOUS-</w:t>
      </w:r>
      <w:r w:rsidR="002544D4" w:rsidRPr="002544D4">
        <w:rPr>
          <w:rFonts w:ascii="Times New Roman" w:hAnsi="Times New Roman"/>
          <w:b/>
          <w:sz w:val="24"/>
          <w:szCs w:val="24"/>
          <w:lang w:val="fr-FR" w:eastAsia="fr-FR"/>
        </w:rPr>
        <w:t>PROJET</w:t>
      </w:r>
      <w:bookmarkEnd w:id="143"/>
      <w:bookmarkEnd w:id="144"/>
      <w:r w:rsidR="002544D4">
        <w:rPr>
          <w:rFonts w:ascii="Times New Roman" w:hAnsi="Times New Roman"/>
          <w:b/>
          <w:sz w:val="24"/>
          <w:szCs w:val="24"/>
          <w:lang w:val="fr-FR" w:eastAsia="fr-FR"/>
        </w:rPr>
        <w:t xml:space="preserve"> N°2</w:t>
      </w:r>
      <w:r w:rsidR="002544D4" w:rsidRPr="002544D4">
        <w:rPr>
          <w:rFonts w:ascii="Times New Roman" w:hAnsi="Times New Roman"/>
          <w:b/>
          <w:sz w:val="24"/>
          <w:szCs w:val="24"/>
          <w:lang w:val="fr-FR" w:eastAsia="fr-FR"/>
        </w:rPr>
        <w:t xml:space="preserve"> ET DES DIFFERENTS SITES</w:t>
      </w:r>
      <w:bookmarkEnd w:id="145"/>
    </w:p>
    <w:p w:rsidR="00AA013D" w:rsidRDefault="00AA013D" w:rsidP="002544D4">
      <w:pPr>
        <w:autoSpaceDE w:val="0"/>
        <w:autoSpaceDN w:val="0"/>
        <w:adjustRightInd w:val="0"/>
        <w:spacing w:after="0" w:line="240" w:lineRule="auto"/>
        <w:ind w:left="-284" w:right="-142"/>
        <w:jc w:val="both"/>
        <w:rPr>
          <w:rFonts w:ascii="Times New Roman" w:hAnsi="Times New Roman"/>
          <w:color w:val="000000"/>
          <w:sz w:val="24"/>
          <w:szCs w:val="24"/>
        </w:rPr>
      </w:pPr>
      <w:r w:rsidRPr="002544D4">
        <w:rPr>
          <w:rFonts w:ascii="Times New Roman" w:hAnsi="Times New Roman"/>
          <w:color w:val="000000"/>
          <w:sz w:val="24"/>
          <w:szCs w:val="24"/>
        </w:rPr>
        <w:t>L</w:t>
      </w:r>
      <w:r w:rsidR="00244B42" w:rsidRPr="002544D4">
        <w:rPr>
          <w:rFonts w:ascii="Times New Roman" w:hAnsi="Times New Roman"/>
          <w:color w:val="000000"/>
          <w:sz w:val="24"/>
          <w:szCs w:val="24"/>
        </w:rPr>
        <w:t>a</w:t>
      </w:r>
      <w:r w:rsidRPr="002544D4">
        <w:rPr>
          <w:rFonts w:ascii="Times New Roman" w:hAnsi="Times New Roman"/>
          <w:color w:val="000000"/>
          <w:sz w:val="24"/>
          <w:szCs w:val="24"/>
        </w:rPr>
        <w:t xml:space="preserve"> raison du choix du projet PUASEE-FA précisément le sous projet n°2 se résume par rapport à la situation malheureuse </w:t>
      </w:r>
      <w:r w:rsidR="00F16F0D" w:rsidRPr="002544D4">
        <w:rPr>
          <w:rFonts w:ascii="Times New Roman" w:hAnsi="Times New Roman"/>
          <w:color w:val="000000"/>
          <w:sz w:val="24"/>
          <w:szCs w:val="24"/>
        </w:rPr>
        <w:t>des conditions de vie de la population en terme surtout d’approvisionnement en eau potable dans certains quartiers.</w:t>
      </w:r>
    </w:p>
    <w:p w:rsidR="002544D4" w:rsidRPr="002544D4" w:rsidRDefault="002544D4" w:rsidP="002544D4">
      <w:pPr>
        <w:autoSpaceDE w:val="0"/>
        <w:autoSpaceDN w:val="0"/>
        <w:adjustRightInd w:val="0"/>
        <w:spacing w:after="0" w:line="240" w:lineRule="auto"/>
        <w:ind w:left="-284" w:right="-142"/>
        <w:jc w:val="both"/>
        <w:rPr>
          <w:rFonts w:ascii="Times New Roman" w:hAnsi="Times New Roman"/>
          <w:color w:val="000000"/>
          <w:sz w:val="24"/>
          <w:szCs w:val="24"/>
        </w:rPr>
      </w:pPr>
    </w:p>
    <w:p w:rsidR="008E32E2" w:rsidRPr="002544D4" w:rsidRDefault="004266AF" w:rsidP="002544D4">
      <w:pPr>
        <w:autoSpaceDE w:val="0"/>
        <w:autoSpaceDN w:val="0"/>
        <w:adjustRightInd w:val="0"/>
        <w:spacing w:after="0" w:line="240" w:lineRule="auto"/>
        <w:ind w:left="-284" w:right="-142"/>
        <w:jc w:val="both"/>
        <w:rPr>
          <w:rFonts w:ascii="Times New Roman" w:hAnsi="Times New Roman"/>
          <w:color w:val="000000"/>
          <w:sz w:val="24"/>
          <w:szCs w:val="24"/>
        </w:rPr>
      </w:pPr>
      <w:r w:rsidRPr="002544D4">
        <w:rPr>
          <w:rFonts w:ascii="Times New Roman" w:hAnsi="Times New Roman"/>
          <w:color w:val="000000"/>
          <w:sz w:val="24"/>
          <w:szCs w:val="24"/>
        </w:rPr>
        <w:t>Ainsi, de n</w:t>
      </w:r>
      <w:r w:rsidR="000A55FD">
        <w:rPr>
          <w:rFonts w:ascii="Times New Roman" w:hAnsi="Times New Roman"/>
          <w:color w:val="000000"/>
          <w:sz w:val="24"/>
          <w:szCs w:val="24"/>
        </w:rPr>
        <w:t>ombreux</w:t>
      </w:r>
      <w:r w:rsidR="00F16F0D" w:rsidRPr="002544D4">
        <w:rPr>
          <w:rFonts w:ascii="Times New Roman" w:hAnsi="Times New Roman"/>
          <w:color w:val="000000"/>
          <w:sz w:val="24"/>
          <w:szCs w:val="24"/>
        </w:rPr>
        <w:t xml:space="preserve"> </w:t>
      </w:r>
      <w:r w:rsidR="000A55FD">
        <w:rPr>
          <w:rFonts w:ascii="Times New Roman" w:hAnsi="Times New Roman"/>
          <w:color w:val="000000"/>
          <w:sz w:val="24"/>
          <w:szCs w:val="24"/>
        </w:rPr>
        <w:t>effort</w:t>
      </w:r>
      <w:r w:rsidRPr="002544D4">
        <w:rPr>
          <w:rFonts w:ascii="Times New Roman" w:hAnsi="Times New Roman"/>
          <w:color w:val="000000"/>
          <w:sz w:val="24"/>
          <w:szCs w:val="24"/>
        </w:rPr>
        <w:t xml:space="preserve"> ont été</w:t>
      </w:r>
      <w:r w:rsidR="00F16F0D" w:rsidRPr="002544D4">
        <w:rPr>
          <w:rFonts w:ascii="Times New Roman" w:hAnsi="Times New Roman"/>
          <w:color w:val="000000"/>
          <w:sz w:val="24"/>
          <w:szCs w:val="24"/>
        </w:rPr>
        <w:t xml:space="preserve"> </w:t>
      </w:r>
      <w:r w:rsidR="000A55FD">
        <w:rPr>
          <w:rFonts w:ascii="Times New Roman" w:hAnsi="Times New Roman"/>
          <w:color w:val="000000"/>
          <w:sz w:val="24"/>
          <w:szCs w:val="24"/>
        </w:rPr>
        <w:t xml:space="preserve">faits </w:t>
      </w:r>
      <w:r w:rsidR="00F16F0D" w:rsidRPr="002544D4">
        <w:rPr>
          <w:rFonts w:ascii="Times New Roman" w:hAnsi="Times New Roman"/>
          <w:color w:val="000000"/>
          <w:sz w:val="24"/>
          <w:szCs w:val="24"/>
        </w:rPr>
        <w:t>par</w:t>
      </w:r>
      <w:r w:rsidR="00AA013D" w:rsidRPr="002544D4">
        <w:rPr>
          <w:rFonts w:ascii="Times New Roman" w:hAnsi="Times New Roman"/>
          <w:color w:val="000000"/>
          <w:sz w:val="24"/>
          <w:szCs w:val="24"/>
        </w:rPr>
        <w:t xml:space="preserve"> le projet PUASEE</w:t>
      </w:r>
      <w:r w:rsidR="00B766BC" w:rsidRPr="002544D4">
        <w:rPr>
          <w:rFonts w:ascii="Times New Roman" w:hAnsi="Times New Roman"/>
          <w:color w:val="000000"/>
          <w:sz w:val="24"/>
          <w:szCs w:val="24"/>
        </w:rPr>
        <w:t xml:space="preserve"> et les autres projets</w:t>
      </w:r>
      <w:r w:rsidR="00AA013D" w:rsidRPr="002544D4">
        <w:rPr>
          <w:rFonts w:ascii="Times New Roman" w:hAnsi="Times New Roman"/>
          <w:color w:val="000000"/>
          <w:sz w:val="24"/>
          <w:szCs w:val="24"/>
        </w:rPr>
        <w:t xml:space="preserve">, </w:t>
      </w:r>
      <w:r w:rsidR="00B766BC" w:rsidRPr="002544D4">
        <w:rPr>
          <w:rFonts w:ascii="Times New Roman" w:hAnsi="Times New Roman"/>
          <w:color w:val="000000"/>
          <w:sz w:val="24"/>
          <w:szCs w:val="24"/>
        </w:rPr>
        <w:t xml:space="preserve">ce </w:t>
      </w:r>
      <w:r w:rsidR="000A55FD">
        <w:rPr>
          <w:rFonts w:ascii="Times New Roman" w:hAnsi="Times New Roman"/>
          <w:color w:val="000000"/>
          <w:sz w:val="24"/>
          <w:szCs w:val="24"/>
        </w:rPr>
        <w:t>qui a</w:t>
      </w:r>
      <w:r w:rsidR="008E32E2" w:rsidRPr="002544D4">
        <w:rPr>
          <w:rFonts w:ascii="Times New Roman" w:hAnsi="Times New Roman"/>
          <w:color w:val="000000"/>
          <w:sz w:val="24"/>
          <w:szCs w:val="24"/>
        </w:rPr>
        <w:t xml:space="preserve"> permis </w:t>
      </w:r>
      <w:r w:rsidR="00B766BC" w:rsidRPr="002544D4">
        <w:rPr>
          <w:rFonts w:ascii="Times New Roman" w:hAnsi="Times New Roman"/>
          <w:color w:val="000000"/>
          <w:sz w:val="24"/>
          <w:szCs w:val="24"/>
        </w:rPr>
        <w:t>d’</w:t>
      </w:r>
      <w:r w:rsidR="008E32E2" w:rsidRPr="002544D4">
        <w:rPr>
          <w:rFonts w:ascii="Times New Roman" w:hAnsi="Times New Roman"/>
          <w:color w:val="000000"/>
          <w:sz w:val="24"/>
          <w:szCs w:val="24"/>
        </w:rPr>
        <w:t>augmenter le</w:t>
      </w:r>
      <w:r w:rsidR="00AA013D" w:rsidRPr="002544D4">
        <w:rPr>
          <w:rFonts w:ascii="Times New Roman" w:hAnsi="Times New Roman"/>
          <w:color w:val="000000"/>
          <w:sz w:val="24"/>
          <w:szCs w:val="24"/>
        </w:rPr>
        <w:t xml:space="preserve"> volume fonctionnel </w:t>
      </w:r>
      <w:r w:rsidR="008E32E2" w:rsidRPr="002544D4">
        <w:rPr>
          <w:rFonts w:ascii="Times New Roman" w:hAnsi="Times New Roman"/>
          <w:color w:val="000000"/>
          <w:sz w:val="24"/>
          <w:szCs w:val="24"/>
        </w:rPr>
        <w:t xml:space="preserve">actuel à 2 670 m3 </w:t>
      </w:r>
      <w:r w:rsidRPr="002544D4">
        <w:rPr>
          <w:rFonts w:ascii="Times New Roman" w:hAnsi="Times New Roman"/>
          <w:color w:val="000000"/>
          <w:sz w:val="24"/>
          <w:szCs w:val="24"/>
        </w:rPr>
        <w:t>grâce</w:t>
      </w:r>
      <w:r w:rsidR="008E32E2" w:rsidRPr="002544D4">
        <w:rPr>
          <w:rFonts w:ascii="Times New Roman" w:hAnsi="Times New Roman"/>
          <w:color w:val="000000"/>
          <w:sz w:val="24"/>
          <w:szCs w:val="24"/>
        </w:rPr>
        <w:t xml:space="preserve"> à la construction du </w:t>
      </w:r>
      <w:r w:rsidRPr="002544D4">
        <w:rPr>
          <w:rFonts w:ascii="Times New Roman" w:hAnsi="Times New Roman"/>
          <w:color w:val="000000"/>
          <w:sz w:val="24"/>
          <w:szCs w:val="24"/>
        </w:rPr>
        <w:t>réservoir</w:t>
      </w:r>
      <w:r w:rsidR="008E32E2" w:rsidRPr="002544D4">
        <w:rPr>
          <w:rFonts w:ascii="Times New Roman" w:hAnsi="Times New Roman"/>
          <w:color w:val="000000"/>
          <w:sz w:val="24"/>
          <w:szCs w:val="24"/>
        </w:rPr>
        <w:t xml:space="preserve"> de </w:t>
      </w:r>
      <w:r w:rsidR="004920F8" w:rsidRPr="002544D4">
        <w:rPr>
          <w:rFonts w:ascii="Times New Roman" w:hAnsi="Times New Roman"/>
          <w:color w:val="000000"/>
          <w:sz w:val="24"/>
          <w:szCs w:val="24"/>
        </w:rPr>
        <w:t>Guinée</w:t>
      </w:r>
      <w:r w:rsidR="008E32E2" w:rsidRPr="002544D4">
        <w:rPr>
          <w:rFonts w:ascii="Times New Roman" w:hAnsi="Times New Roman"/>
          <w:color w:val="000000"/>
          <w:sz w:val="24"/>
          <w:szCs w:val="24"/>
        </w:rPr>
        <w:t xml:space="preserve"> Telecom, de l’Hospital de Agosto et la réhabilitation du </w:t>
      </w:r>
      <w:r w:rsidRPr="002544D4">
        <w:rPr>
          <w:rFonts w:ascii="Times New Roman" w:hAnsi="Times New Roman"/>
          <w:color w:val="000000"/>
          <w:sz w:val="24"/>
          <w:szCs w:val="24"/>
        </w:rPr>
        <w:t>réservoir</w:t>
      </w:r>
      <w:r w:rsidR="008E32E2" w:rsidRPr="002544D4">
        <w:rPr>
          <w:rFonts w:ascii="Times New Roman" w:hAnsi="Times New Roman"/>
          <w:color w:val="000000"/>
          <w:sz w:val="24"/>
          <w:szCs w:val="24"/>
        </w:rPr>
        <w:t xml:space="preserve"> </w:t>
      </w:r>
      <w:r w:rsidR="00D752E1" w:rsidRPr="002544D4">
        <w:rPr>
          <w:rFonts w:ascii="Times New Roman" w:hAnsi="Times New Roman"/>
          <w:color w:val="000000"/>
          <w:sz w:val="24"/>
          <w:szCs w:val="24"/>
        </w:rPr>
        <w:t xml:space="preserve">existant de Quartel General et de l’Escola Técnica. </w:t>
      </w:r>
    </w:p>
    <w:p w:rsidR="002544D4" w:rsidRDefault="002544D4" w:rsidP="002544D4">
      <w:pPr>
        <w:autoSpaceDE w:val="0"/>
        <w:autoSpaceDN w:val="0"/>
        <w:adjustRightInd w:val="0"/>
        <w:spacing w:after="0" w:line="240" w:lineRule="auto"/>
        <w:ind w:left="-284" w:right="-142"/>
        <w:jc w:val="both"/>
        <w:rPr>
          <w:rFonts w:ascii="Times New Roman" w:hAnsi="Times New Roman"/>
          <w:color w:val="000000"/>
          <w:sz w:val="24"/>
          <w:szCs w:val="24"/>
        </w:rPr>
      </w:pPr>
    </w:p>
    <w:p w:rsidR="00D752E1" w:rsidRDefault="004266AF" w:rsidP="002544D4">
      <w:pPr>
        <w:autoSpaceDE w:val="0"/>
        <w:autoSpaceDN w:val="0"/>
        <w:adjustRightInd w:val="0"/>
        <w:spacing w:after="0" w:line="240" w:lineRule="auto"/>
        <w:ind w:left="-284" w:right="-142"/>
        <w:jc w:val="both"/>
        <w:rPr>
          <w:rFonts w:ascii="Times New Roman" w:hAnsi="Times New Roman"/>
          <w:color w:val="000000"/>
          <w:sz w:val="24"/>
          <w:szCs w:val="24"/>
        </w:rPr>
      </w:pPr>
      <w:r w:rsidRPr="002544D4">
        <w:rPr>
          <w:rFonts w:ascii="Times New Roman" w:hAnsi="Times New Roman"/>
          <w:color w:val="000000"/>
          <w:sz w:val="24"/>
          <w:szCs w:val="24"/>
        </w:rPr>
        <w:t>Malgré, ces réalisations et réhabilitation</w:t>
      </w:r>
      <w:r w:rsidR="004D6256" w:rsidRPr="002544D4">
        <w:rPr>
          <w:rFonts w:ascii="Times New Roman" w:hAnsi="Times New Roman"/>
          <w:color w:val="000000"/>
          <w:sz w:val="24"/>
          <w:szCs w:val="24"/>
        </w:rPr>
        <w:t xml:space="preserve">s des réservoirs, le volume actuel est toujours très insuffisant pour </w:t>
      </w:r>
      <w:r w:rsidR="000A55FD">
        <w:rPr>
          <w:rFonts w:ascii="Times New Roman" w:hAnsi="Times New Roman"/>
          <w:color w:val="000000"/>
          <w:sz w:val="24"/>
          <w:szCs w:val="24"/>
        </w:rPr>
        <w:t>satisfaire</w:t>
      </w:r>
      <w:r w:rsidR="004D6256" w:rsidRPr="002544D4">
        <w:rPr>
          <w:rFonts w:ascii="Times New Roman" w:hAnsi="Times New Roman"/>
          <w:color w:val="000000"/>
          <w:sz w:val="24"/>
          <w:szCs w:val="24"/>
        </w:rPr>
        <w:t xml:space="preserve"> la demande de la population en </w:t>
      </w:r>
      <w:r w:rsidR="00C3260D">
        <w:rPr>
          <w:rFonts w:ascii="Times New Roman" w:hAnsi="Times New Roman"/>
          <w:color w:val="000000"/>
          <w:sz w:val="24"/>
          <w:szCs w:val="24"/>
        </w:rPr>
        <w:t>matière</w:t>
      </w:r>
      <w:r w:rsidR="004D6256" w:rsidRPr="002544D4">
        <w:rPr>
          <w:rFonts w:ascii="Times New Roman" w:hAnsi="Times New Roman"/>
          <w:color w:val="000000"/>
          <w:sz w:val="24"/>
          <w:szCs w:val="24"/>
        </w:rPr>
        <w:t xml:space="preserve"> d’approvisionnement en eau potable et de plusie</w:t>
      </w:r>
      <w:r w:rsidR="001E1ED7" w:rsidRPr="002544D4">
        <w:rPr>
          <w:rFonts w:ascii="Times New Roman" w:hAnsi="Times New Roman"/>
          <w:color w:val="000000"/>
          <w:sz w:val="24"/>
          <w:szCs w:val="24"/>
        </w:rPr>
        <w:t xml:space="preserve">urs quartiers dans la ville de Bissau </w:t>
      </w:r>
      <w:r w:rsidR="00AE4EF0" w:rsidRPr="002544D4">
        <w:rPr>
          <w:rFonts w:ascii="Times New Roman" w:hAnsi="Times New Roman"/>
          <w:color w:val="000000"/>
          <w:sz w:val="24"/>
          <w:szCs w:val="24"/>
        </w:rPr>
        <w:t>(</w:t>
      </w:r>
      <w:r w:rsidR="00A95A07" w:rsidRPr="002544D4">
        <w:rPr>
          <w:rFonts w:ascii="Times New Roman" w:hAnsi="Times New Roman"/>
          <w:color w:val="000000"/>
          <w:sz w:val="24"/>
          <w:szCs w:val="24"/>
        </w:rPr>
        <w:t xml:space="preserve">Hafia, Antula, Bor, etc…) </w:t>
      </w:r>
      <w:r w:rsidR="001E1ED7" w:rsidRPr="002544D4">
        <w:rPr>
          <w:rFonts w:ascii="Times New Roman" w:hAnsi="Times New Roman"/>
          <w:color w:val="000000"/>
          <w:sz w:val="24"/>
          <w:szCs w:val="24"/>
        </w:rPr>
        <w:t>et B</w:t>
      </w:r>
      <w:r w:rsidR="004D6256" w:rsidRPr="002544D4">
        <w:rPr>
          <w:rFonts w:ascii="Times New Roman" w:hAnsi="Times New Roman"/>
          <w:color w:val="000000"/>
          <w:sz w:val="24"/>
          <w:szCs w:val="24"/>
        </w:rPr>
        <w:t xml:space="preserve">iombo </w:t>
      </w:r>
      <w:r w:rsidR="00A95A07" w:rsidRPr="002544D4">
        <w:rPr>
          <w:rFonts w:ascii="Times New Roman" w:hAnsi="Times New Roman"/>
          <w:color w:val="000000"/>
          <w:sz w:val="24"/>
          <w:szCs w:val="24"/>
        </w:rPr>
        <w:t xml:space="preserve">(Safim, Cumura, Quelele, Prabis, etc…) </w:t>
      </w:r>
      <w:r w:rsidR="00162A22" w:rsidRPr="002544D4">
        <w:rPr>
          <w:rFonts w:ascii="Times New Roman" w:hAnsi="Times New Roman"/>
          <w:color w:val="000000"/>
          <w:sz w:val="24"/>
          <w:szCs w:val="24"/>
        </w:rPr>
        <w:t>n’ont aucun réseau AEP.</w:t>
      </w:r>
    </w:p>
    <w:p w:rsidR="002544D4" w:rsidRPr="002544D4" w:rsidRDefault="002544D4" w:rsidP="002544D4">
      <w:pPr>
        <w:autoSpaceDE w:val="0"/>
        <w:autoSpaceDN w:val="0"/>
        <w:adjustRightInd w:val="0"/>
        <w:spacing w:after="0" w:line="240" w:lineRule="auto"/>
        <w:ind w:left="-284" w:right="-142"/>
        <w:jc w:val="both"/>
        <w:rPr>
          <w:rFonts w:ascii="Times New Roman" w:hAnsi="Times New Roman"/>
          <w:color w:val="000000"/>
          <w:sz w:val="24"/>
          <w:szCs w:val="24"/>
        </w:rPr>
      </w:pPr>
    </w:p>
    <w:p w:rsidR="00AA013D" w:rsidRDefault="00ED1F6B" w:rsidP="002544D4">
      <w:pPr>
        <w:autoSpaceDE w:val="0"/>
        <w:autoSpaceDN w:val="0"/>
        <w:adjustRightInd w:val="0"/>
        <w:spacing w:after="0" w:line="240" w:lineRule="auto"/>
        <w:ind w:left="-284" w:right="-142"/>
        <w:jc w:val="both"/>
        <w:rPr>
          <w:rFonts w:ascii="Times New Roman" w:hAnsi="Times New Roman"/>
          <w:color w:val="000000"/>
          <w:sz w:val="24"/>
          <w:szCs w:val="24"/>
        </w:rPr>
      </w:pPr>
      <w:r w:rsidRPr="002544D4">
        <w:rPr>
          <w:rFonts w:ascii="Times New Roman" w:hAnsi="Times New Roman"/>
          <w:color w:val="000000"/>
          <w:sz w:val="24"/>
          <w:szCs w:val="24"/>
        </w:rPr>
        <w:t>C’est ainsi</w:t>
      </w:r>
      <w:r w:rsidR="000A55FD">
        <w:rPr>
          <w:rFonts w:ascii="Times New Roman" w:hAnsi="Times New Roman"/>
          <w:color w:val="000000"/>
          <w:sz w:val="24"/>
          <w:szCs w:val="24"/>
        </w:rPr>
        <w:t xml:space="preserve"> que</w:t>
      </w:r>
      <w:r w:rsidRPr="002544D4">
        <w:rPr>
          <w:rFonts w:ascii="Times New Roman" w:hAnsi="Times New Roman"/>
          <w:color w:val="000000"/>
          <w:sz w:val="24"/>
          <w:szCs w:val="24"/>
        </w:rPr>
        <w:t xml:space="preserve">, pour résoudre les difficultés notées </w:t>
      </w:r>
      <w:r w:rsidR="000577CD" w:rsidRPr="002544D4">
        <w:rPr>
          <w:rFonts w:ascii="Times New Roman" w:hAnsi="Times New Roman"/>
          <w:color w:val="000000"/>
          <w:sz w:val="24"/>
          <w:szCs w:val="24"/>
        </w:rPr>
        <w:t xml:space="preserve">dans </w:t>
      </w:r>
      <w:r w:rsidR="00B766BC" w:rsidRPr="002544D4">
        <w:rPr>
          <w:rFonts w:ascii="Times New Roman" w:hAnsi="Times New Roman"/>
          <w:color w:val="000000"/>
          <w:sz w:val="24"/>
          <w:szCs w:val="24"/>
        </w:rPr>
        <w:t>le réseau de</w:t>
      </w:r>
      <w:r w:rsidR="00AA013D" w:rsidRPr="002544D4">
        <w:rPr>
          <w:rFonts w:ascii="Times New Roman" w:hAnsi="Times New Roman"/>
          <w:color w:val="000000"/>
          <w:sz w:val="24"/>
          <w:szCs w:val="24"/>
        </w:rPr>
        <w:t xml:space="preserve"> distribution d’eau potable de la ville de Bissau</w:t>
      </w:r>
      <w:r w:rsidR="00934D95" w:rsidRPr="002544D4">
        <w:rPr>
          <w:rFonts w:ascii="Times New Roman" w:hAnsi="Times New Roman"/>
          <w:color w:val="000000"/>
          <w:sz w:val="24"/>
          <w:szCs w:val="24"/>
        </w:rPr>
        <w:t xml:space="preserve"> et Biombo</w:t>
      </w:r>
      <w:r w:rsidR="00AA013D" w:rsidRPr="002544D4">
        <w:rPr>
          <w:rFonts w:ascii="Times New Roman" w:hAnsi="Times New Roman"/>
          <w:color w:val="000000"/>
          <w:sz w:val="24"/>
          <w:szCs w:val="24"/>
        </w:rPr>
        <w:t xml:space="preserve">, </w:t>
      </w:r>
      <w:r w:rsidR="00643D75">
        <w:rPr>
          <w:rFonts w:ascii="Times New Roman" w:hAnsi="Times New Roman"/>
          <w:color w:val="000000"/>
          <w:sz w:val="24"/>
          <w:szCs w:val="24"/>
        </w:rPr>
        <w:t>qu’</w:t>
      </w:r>
      <w:r w:rsidR="00AA013D" w:rsidRPr="002544D4">
        <w:rPr>
          <w:rFonts w:ascii="Times New Roman" w:hAnsi="Times New Roman"/>
          <w:color w:val="000000"/>
          <w:sz w:val="24"/>
          <w:szCs w:val="24"/>
        </w:rPr>
        <w:t xml:space="preserve">il a été recommandé dans les études précédentes de diviser la ville en secteurs de distribution. </w:t>
      </w:r>
    </w:p>
    <w:p w:rsidR="002544D4" w:rsidRPr="002544D4" w:rsidRDefault="002544D4" w:rsidP="002544D4">
      <w:pPr>
        <w:autoSpaceDE w:val="0"/>
        <w:autoSpaceDN w:val="0"/>
        <w:adjustRightInd w:val="0"/>
        <w:spacing w:after="0" w:line="240" w:lineRule="auto"/>
        <w:ind w:left="-284" w:right="-142"/>
        <w:jc w:val="both"/>
        <w:rPr>
          <w:rFonts w:ascii="Times New Roman" w:hAnsi="Times New Roman"/>
          <w:color w:val="000000"/>
          <w:sz w:val="24"/>
          <w:szCs w:val="24"/>
        </w:rPr>
      </w:pPr>
    </w:p>
    <w:p w:rsidR="00DC1613" w:rsidRPr="002544D4" w:rsidRDefault="00DC1613" w:rsidP="002544D4">
      <w:pPr>
        <w:autoSpaceDE w:val="0"/>
        <w:autoSpaceDN w:val="0"/>
        <w:adjustRightInd w:val="0"/>
        <w:spacing w:after="0" w:line="240" w:lineRule="auto"/>
        <w:ind w:left="-284" w:right="-142"/>
        <w:jc w:val="both"/>
        <w:rPr>
          <w:rFonts w:ascii="Times New Roman" w:hAnsi="Times New Roman"/>
          <w:color w:val="000000"/>
          <w:sz w:val="24"/>
          <w:szCs w:val="24"/>
        </w:rPr>
      </w:pPr>
      <w:r w:rsidRPr="002544D4">
        <w:rPr>
          <w:rFonts w:ascii="Times New Roman" w:hAnsi="Times New Roman"/>
          <w:color w:val="000000"/>
          <w:sz w:val="24"/>
          <w:szCs w:val="24"/>
        </w:rPr>
        <w:t xml:space="preserve">Alors, après l’obtention du fond additionnel </w:t>
      </w:r>
      <w:r w:rsidR="00056B88" w:rsidRPr="002544D4">
        <w:rPr>
          <w:rFonts w:ascii="Times New Roman" w:hAnsi="Times New Roman"/>
          <w:color w:val="000000"/>
          <w:sz w:val="24"/>
          <w:szCs w:val="24"/>
        </w:rPr>
        <w:t xml:space="preserve">de </w:t>
      </w:r>
      <w:r w:rsidRPr="002544D4">
        <w:rPr>
          <w:rFonts w:ascii="Times New Roman" w:hAnsi="Times New Roman"/>
          <w:color w:val="000000"/>
          <w:sz w:val="24"/>
          <w:szCs w:val="24"/>
        </w:rPr>
        <w:t>PUASEE, ce choix du sous projet n°2 a été approuvé pour compléter</w:t>
      </w:r>
      <w:r w:rsidR="00056B88" w:rsidRPr="002544D4">
        <w:rPr>
          <w:rFonts w:ascii="Times New Roman" w:hAnsi="Times New Roman"/>
          <w:color w:val="000000"/>
          <w:sz w:val="24"/>
          <w:szCs w:val="24"/>
        </w:rPr>
        <w:t xml:space="preserve"> la réalisation d</w:t>
      </w:r>
      <w:r w:rsidRPr="002544D4">
        <w:rPr>
          <w:rFonts w:ascii="Times New Roman" w:hAnsi="Times New Roman"/>
          <w:color w:val="000000"/>
          <w:sz w:val="24"/>
          <w:szCs w:val="24"/>
        </w:rPr>
        <w:t xml:space="preserve">es cinq (5) réservoirs restant </w:t>
      </w:r>
      <w:r w:rsidR="00056B88" w:rsidRPr="002544D4">
        <w:rPr>
          <w:rFonts w:ascii="Times New Roman" w:hAnsi="Times New Roman"/>
          <w:color w:val="000000"/>
          <w:sz w:val="24"/>
          <w:szCs w:val="24"/>
        </w:rPr>
        <w:t>parmi</w:t>
      </w:r>
      <w:r w:rsidRPr="002544D4">
        <w:rPr>
          <w:rFonts w:ascii="Times New Roman" w:hAnsi="Times New Roman"/>
          <w:color w:val="000000"/>
          <w:sz w:val="24"/>
          <w:szCs w:val="24"/>
        </w:rPr>
        <w:t xml:space="preserve"> les quatorze qu’ont été reparti en deux secteurs de distribution</w:t>
      </w:r>
      <w:r w:rsidR="00056B88" w:rsidRPr="002544D4">
        <w:rPr>
          <w:rFonts w:ascii="Times New Roman" w:hAnsi="Times New Roman"/>
          <w:color w:val="000000"/>
          <w:sz w:val="24"/>
          <w:szCs w:val="24"/>
        </w:rPr>
        <w:t>. Ces nouveaux réservoirs permettront</w:t>
      </w:r>
      <w:r w:rsidR="00F55BD4" w:rsidRPr="002544D4">
        <w:rPr>
          <w:rFonts w:ascii="Times New Roman" w:hAnsi="Times New Roman"/>
          <w:color w:val="000000"/>
          <w:sz w:val="24"/>
          <w:szCs w:val="24"/>
        </w:rPr>
        <w:t xml:space="preserve"> d’approvisionner les différents quartiers desservis</w:t>
      </w:r>
      <w:r w:rsidR="00056B88" w:rsidRPr="002544D4">
        <w:rPr>
          <w:rFonts w:ascii="Times New Roman" w:hAnsi="Times New Roman"/>
          <w:color w:val="000000"/>
          <w:sz w:val="24"/>
          <w:szCs w:val="24"/>
        </w:rPr>
        <w:t xml:space="preserve"> et assurera l’amélioration des conditions de vies des populations</w:t>
      </w:r>
      <w:r w:rsidR="00F55BD4" w:rsidRPr="002544D4">
        <w:rPr>
          <w:rFonts w:ascii="Times New Roman" w:hAnsi="Times New Roman"/>
          <w:color w:val="000000"/>
          <w:sz w:val="24"/>
          <w:szCs w:val="24"/>
        </w:rPr>
        <w:t>.</w:t>
      </w:r>
    </w:p>
    <w:p w:rsidR="007F3DC3" w:rsidRPr="00643D75" w:rsidRDefault="004815B9" w:rsidP="00643D75">
      <w:pPr>
        <w:pStyle w:val="PargrafodaLista"/>
        <w:keepNext/>
        <w:spacing w:before="240" w:after="240"/>
        <w:ind w:left="450" w:right="284" w:hanging="450"/>
        <w:jc w:val="both"/>
        <w:outlineLvl w:val="1"/>
        <w:rPr>
          <w:rFonts w:ascii="Times New Roman" w:hAnsi="Times New Roman"/>
          <w:b/>
          <w:sz w:val="24"/>
          <w:szCs w:val="24"/>
          <w:lang w:val="fr-FR" w:eastAsia="fr-FR"/>
        </w:rPr>
      </w:pPr>
      <w:bookmarkStart w:id="146" w:name="_Toc535396900"/>
      <w:bookmarkStart w:id="147" w:name="_Toc6310438"/>
      <w:bookmarkStart w:id="148" w:name="_Toc51072542"/>
      <w:r>
        <w:rPr>
          <w:rFonts w:ascii="Times New Roman" w:hAnsi="Times New Roman"/>
          <w:b/>
          <w:sz w:val="24"/>
          <w:szCs w:val="24"/>
          <w:lang w:val="fr-FR" w:eastAsia="fr-FR"/>
        </w:rPr>
        <w:t>4</w:t>
      </w:r>
      <w:r w:rsidR="00643D75" w:rsidRPr="00643D75">
        <w:rPr>
          <w:rFonts w:ascii="Times New Roman" w:hAnsi="Times New Roman"/>
          <w:b/>
          <w:sz w:val="24"/>
          <w:szCs w:val="24"/>
          <w:lang w:val="fr-FR" w:eastAsia="fr-FR"/>
        </w:rPr>
        <w:t>.2</w:t>
      </w:r>
      <w:r w:rsidR="00643D75">
        <w:rPr>
          <w:rFonts w:ascii="Times New Roman" w:hAnsi="Times New Roman"/>
          <w:b/>
          <w:sz w:val="24"/>
          <w:szCs w:val="24"/>
          <w:lang w:val="fr-FR" w:eastAsia="fr-FR"/>
        </w:rPr>
        <w:t>.</w:t>
      </w:r>
      <w:r w:rsidR="00643D75" w:rsidRPr="00643D75">
        <w:rPr>
          <w:rFonts w:ascii="Times New Roman" w:hAnsi="Times New Roman"/>
          <w:b/>
          <w:sz w:val="24"/>
          <w:szCs w:val="24"/>
          <w:lang w:val="fr-FR" w:eastAsia="fr-FR"/>
        </w:rPr>
        <w:t xml:space="preserve"> PRESENTATION ET ANALYSE DES ALTERNATIVES</w:t>
      </w:r>
      <w:bookmarkEnd w:id="146"/>
      <w:bookmarkEnd w:id="147"/>
      <w:bookmarkEnd w:id="148"/>
      <w:r w:rsidR="00643D75" w:rsidRPr="00643D75">
        <w:rPr>
          <w:rFonts w:ascii="Times New Roman" w:hAnsi="Times New Roman"/>
          <w:b/>
          <w:sz w:val="24"/>
          <w:szCs w:val="24"/>
          <w:lang w:val="fr-FR" w:eastAsia="fr-FR"/>
        </w:rPr>
        <w:t> </w:t>
      </w:r>
    </w:p>
    <w:p w:rsidR="007F3DC3" w:rsidRPr="00643D75" w:rsidRDefault="007F3DC3" w:rsidP="00643D75">
      <w:pPr>
        <w:autoSpaceDE w:val="0"/>
        <w:autoSpaceDN w:val="0"/>
        <w:adjustRightInd w:val="0"/>
        <w:spacing w:after="0" w:line="240" w:lineRule="auto"/>
        <w:ind w:left="-284" w:right="-142"/>
        <w:jc w:val="both"/>
        <w:rPr>
          <w:rFonts w:ascii="Times New Roman" w:hAnsi="Times New Roman"/>
          <w:color w:val="000000"/>
          <w:sz w:val="24"/>
          <w:szCs w:val="24"/>
        </w:rPr>
      </w:pPr>
      <w:r w:rsidRPr="00643D75">
        <w:rPr>
          <w:rFonts w:ascii="Times New Roman" w:hAnsi="Times New Roman"/>
          <w:color w:val="000000"/>
          <w:sz w:val="24"/>
          <w:szCs w:val="24"/>
        </w:rPr>
        <w:t>L’analyse consiste à identifier les variantes ou alternatives pertinentes et à les comparer en termes d’avantages et d’inconvénients selon l’environnement biophysique et socio - économique. Mais aussi par rapport aux solutions proposées en termes de construction</w:t>
      </w:r>
      <w:r w:rsidR="000A55FD">
        <w:rPr>
          <w:rFonts w:ascii="Times New Roman" w:hAnsi="Times New Roman"/>
          <w:color w:val="000000"/>
          <w:sz w:val="24"/>
          <w:szCs w:val="24"/>
        </w:rPr>
        <w:t>s</w:t>
      </w:r>
      <w:r w:rsidRPr="00643D75">
        <w:rPr>
          <w:rFonts w:ascii="Times New Roman" w:hAnsi="Times New Roman"/>
          <w:color w:val="000000"/>
          <w:sz w:val="24"/>
          <w:szCs w:val="24"/>
        </w:rPr>
        <w:t>, d’équipement</w:t>
      </w:r>
      <w:r w:rsidR="000A55FD">
        <w:rPr>
          <w:rFonts w:ascii="Times New Roman" w:hAnsi="Times New Roman"/>
          <w:color w:val="000000"/>
          <w:sz w:val="24"/>
          <w:szCs w:val="24"/>
        </w:rPr>
        <w:t>s</w:t>
      </w:r>
      <w:r w:rsidRPr="00643D75">
        <w:rPr>
          <w:rFonts w:ascii="Times New Roman" w:hAnsi="Times New Roman"/>
          <w:color w:val="000000"/>
          <w:sz w:val="24"/>
          <w:szCs w:val="24"/>
        </w:rPr>
        <w:t xml:space="preserve"> ou de mode</w:t>
      </w:r>
      <w:r w:rsidR="000A55FD">
        <w:rPr>
          <w:rFonts w:ascii="Times New Roman" w:hAnsi="Times New Roman"/>
          <w:color w:val="000000"/>
          <w:sz w:val="24"/>
          <w:szCs w:val="24"/>
        </w:rPr>
        <w:t>s</w:t>
      </w:r>
      <w:r w:rsidRPr="00643D75">
        <w:rPr>
          <w:rFonts w:ascii="Times New Roman" w:hAnsi="Times New Roman"/>
          <w:color w:val="000000"/>
          <w:sz w:val="24"/>
          <w:szCs w:val="24"/>
        </w:rPr>
        <w:t xml:space="preserve"> d’exploitation.</w:t>
      </w:r>
    </w:p>
    <w:p w:rsidR="007F3DC3" w:rsidRPr="00643D75" w:rsidRDefault="007F3DC3" w:rsidP="00643D75">
      <w:pPr>
        <w:autoSpaceDE w:val="0"/>
        <w:autoSpaceDN w:val="0"/>
        <w:adjustRightInd w:val="0"/>
        <w:spacing w:after="0" w:line="240" w:lineRule="auto"/>
        <w:ind w:left="-284" w:right="-142"/>
        <w:jc w:val="both"/>
        <w:rPr>
          <w:rFonts w:ascii="Times New Roman" w:hAnsi="Times New Roman"/>
          <w:color w:val="000000"/>
          <w:sz w:val="24"/>
          <w:szCs w:val="24"/>
        </w:rPr>
      </w:pPr>
    </w:p>
    <w:p w:rsidR="007F3DC3" w:rsidRPr="00643D75" w:rsidRDefault="007F3DC3" w:rsidP="00643D75">
      <w:pPr>
        <w:autoSpaceDE w:val="0"/>
        <w:autoSpaceDN w:val="0"/>
        <w:adjustRightInd w:val="0"/>
        <w:spacing w:after="0" w:line="240" w:lineRule="auto"/>
        <w:ind w:left="-284" w:right="-142"/>
        <w:jc w:val="both"/>
        <w:rPr>
          <w:rFonts w:ascii="Times New Roman" w:hAnsi="Times New Roman"/>
          <w:color w:val="000000"/>
          <w:sz w:val="24"/>
          <w:szCs w:val="24"/>
        </w:rPr>
      </w:pPr>
      <w:r w:rsidRPr="00643D75">
        <w:rPr>
          <w:rFonts w:ascii="Times New Roman" w:hAnsi="Times New Roman"/>
          <w:color w:val="000000"/>
          <w:sz w:val="24"/>
          <w:szCs w:val="24"/>
        </w:rPr>
        <w:t>Dans le cadre de ce projet trois (03) variantes qui semblent importantes ont été analysées. Il s’agit essentiellement :</w:t>
      </w:r>
    </w:p>
    <w:p w:rsidR="006A76F8" w:rsidRPr="001F257B" w:rsidRDefault="006A76F8" w:rsidP="00FA3FAE">
      <w:pPr>
        <w:pStyle w:val="PargrafodaLista"/>
        <w:numPr>
          <w:ilvl w:val="0"/>
          <w:numId w:val="48"/>
        </w:numPr>
        <w:overflowPunct w:val="0"/>
        <w:autoSpaceDE w:val="0"/>
        <w:autoSpaceDN w:val="0"/>
        <w:adjustRightInd w:val="0"/>
        <w:spacing w:after="240"/>
        <w:ind w:right="284"/>
        <w:jc w:val="both"/>
        <w:textAlignment w:val="baseline"/>
        <w:rPr>
          <w:rFonts w:ascii="Times New Roman" w:hAnsi="Times New Roman"/>
          <w:sz w:val="24"/>
          <w:szCs w:val="24"/>
          <w:lang w:val="fr-FR"/>
        </w:rPr>
      </w:pPr>
      <w:r w:rsidRPr="001F257B">
        <w:rPr>
          <w:rFonts w:ascii="Times New Roman" w:hAnsi="Times New Roman"/>
          <w:b/>
          <w:sz w:val="24"/>
          <w:szCs w:val="24"/>
          <w:lang w:val="fr-FR"/>
        </w:rPr>
        <w:t xml:space="preserve">Variante </w:t>
      </w:r>
      <w:r w:rsidR="006E07E1" w:rsidRPr="001F257B">
        <w:rPr>
          <w:rFonts w:ascii="Times New Roman" w:hAnsi="Times New Roman"/>
          <w:b/>
          <w:sz w:val="24"/>
          <w:szCs w:val="24"/>
          <w:lang w:val="fr-FR"/>
        </w:rPr>
        <w:t xml:space="preserve">1 </w:t>
      </w:r>
      <w:r w:rsidRPr="001F257B">
        <w:rPr>
          <w:rFonts w:ascii="Times New Roman" w:hAnsi="Times New Roman"/>
          <w:b/>
          <w:sz w:val="24"/>
          <w:szCs w:val="24"/>
          <w:lang w:val="fr-FR"/>
        </w:rPr>
        <w:t>:</w:t>
      </w:r>
      <w:r w:rsidRPr="001F257B">
        <w:rPr>
          <w:rFonts w:ascii="Times New Roman" w:hAnsi="Times New Roman"/>
          <w:sz w:val="24"/>
          <w:szCs w:val="24"/>
          <w:lang w:val="fr-FR"/>
        </w:rPr>
        <w:t xml:space="preserve"> « </w:t>
      </w:r>
      <w:r w:rsidR="006A22C9" w:rsidRPr="001F257B">
        <w:rPr>
          <w:rFonts w:ascii="Times New Roman" w:hAnsi="Times New Roman"/>
          <w:b/>
          <w:i/>
          <w:sz w:val="24"/>
          <w:szCs w:val="24"/>
          <w:lang w:val="fr-FR"/>
        </w:rPr>
        <w:t>Projet »</w:t>
      </w:r>
      <w:r w:rsidRPr="001F257B">
        <w:rPr>
          <w:rFonts w:ascii="Times New Roman" w:hAnsi="Times New Roman"/>
          <w:sz w:val="24"/>
          <w:szCs w:val="24"/>
          <w:lang w:val="fr-FR"/>
        </w:rPr>
        <w:t> </w:t>
      </w:r>
    </w:p>
    <w:p w:rsidR="007F3DC3" w:rsidRPr="001F257B" w:rsidRDefault="007F3DC3" w:rsidP="00FA3FAE">
      <w:pPr>
        <w:pStyle w:val="PargrafodaLista"/>
        <w:numPr>
          <w:ilvl w:val="0"/>
          <w:numId w:val="70"/>
        </w:numPr>
        <w:overflowPunct w:val="0"/>
        <w:autoSpaceDE w:val="0"/>
        <w:autoSpaceDN w:val="0"/>
        <w:adjustRightInd w:val="0"/>
        <w:spacing w:after="240"/>
        <w:ind w:right="284"/>
        <w:jc w:val="both"/>
        <w:textAlignment w:val="baseline"/>
        <w:rPr>
          <w:rFonts w:ascii="Times New Roman" w:hAnsi="Times New Roman"/>
          <w:sz w:val="24"/>
          <w:szCs w:val="24"/>
          <w:lang w:val="fr-FR"/>
        </w:rPr>
      </w:pPr>
      <w:r w:rsidRPr="001F257B">
        <w:rPr>
          <w:rFonts w:ascii="Times New Roman" w:hAnsi="Times New Roman"/>
          <w:b/>
          <w:sz w:val="24"/>
          <w:szCs w:val="24"/>
          <w:lang w:val="fr-FR"/>
        </w:rPr>
        <w:t>Alternative 1 :</w:t>
      </w:r>
      <w:r w:rsidRPr="001F257B">
        <w:rPr>
          <w:rFonts w:ascii="Times New Roman" w:hAnsi="Times New Roman"/>
          <w:sz w:val="24"/>
          <w:szCs w:val="24"/>
          <w:lang w:val="fr-FR"/>
        </w:rPr>
        <w:t xml:space="preserve"> « </w:t>
      </w:r>
      <w:r w:rsidR="006E07E1" w:rsidRPr="001F257B">
        <w:rPr>
          <w:rFonts w:ascii="Times New Roman" w:hAnsi="Times New Roman"/>
          <w:b/>
          <w:i/>
          <w:sz w:val="24"/>
          <w:szCs w:val="24"/>
          <w:lang w:val="fr-FR"/>
        </w:rPr>
        <w:t xml:space="preserve">sans </w:t>
      </w:r>
      <w:r w:rsidR="000A55FD">
        <w:rPr>
          <w:rFonts w:ascii="Times New Roman" w:hAnsi="Times New Roman"/>
          <w:b/>
          <w:i/>
          <w:sz w:val="24"/>
          <w:szCs w:val="24"/>
          <w:lang w:val="fr-FR"/>
        </w:rPr>
        <w:t>projet » ou</w:t>
      </w:r>
      <w:r w:rsidRPr="001F257B">
        <w:rPr>
          <w:rFonts w:ascii="Times New Roman" w:hAnsi="Times New Roman"/>
          <w:b/>
          <w:i/>
          <w:sz w:val="24"/>
          <w:szCs w:val="24"/>
          <w:lang w:val="fr-FR"/>
        </w:rPr>
        <w:t> ;</w:t>
      </w:r>
    </w:p>
    <w:p w:rsidR="007F3DC3" w:rsidRPr="001F257B" w:rsidRDefault="007F3DC3" w:rsidP="00FA3FAE">
      <w:pPr>
        <w:pStyle w:val="PargrafodaLista"/>
        <w:numPr>
          <w:ilvl w:val="0"/>
          <w:numId w:val="70"/>
        </w:numPr>
        <w:overflowPunct w:val="0"/>
        <w:autoSpaceDE w:val="0"/>
        <w:autoSpaceDN w:val="0"/>
        <w:adjustRightInd w:val="0"/>
        <w:spacing w:after="240"/>
        <w:ind w:right="284"/>
        <w:jc w:val="both"/>
        <w:textAlignment w:val="baseline"/>
        <w:rPr>
          <w:rFonts w:ascii="Times New Roman" w:hAnsi="Times New Roman"/>
          <w:sz w:val="24"/>
          <w:szCs w:val="24"/>
          <w:lang w:val="fr-FR"/>
        </w:rPr>
      </w:pPr>
      <w:r w:rsidRPr="001F257B">
        <w:rPr>
          <w:rFonts w:ascii="Times New Roman" w:hAnsi="Times New Roman"/>
          <w:b/>
          <w:sz w:val="24"/>
          <w:szCs w:val="24"/>
          <w:lang w:val="fr-FR"/>
        </w:rPr>
        <w:t>Alternative 2 :</w:t>
      </w:r>
      <w:r w:rsidRPr="001F257B">
        <w:rPr>
          <w:rFonts w:ascii="Times New Roman" w:hAnsi="Times New Roman"/>
          <w:sz w:val="24"/>
          <w:szCs w:val="24"/>
          <w:lang w:val="fr-FR"/>
        </w:rPr>
        <w:t xml:space="preserve"> « </w:t>
      </w:r>
      <w:r w:rsidRPr="001F257B">
        <w:rPr>
          <w:rFonts w:ascii="Times New Roman" w:hAnsi="Times New Roman"/>
          <w:b/>
          <w:i/>
          <w:sz w:val="24"/>
          <w:szCs w:val="24"/>
          <w:lang w:val="fr-FR"/>
        </w:rPr>
        <w:t>avec projet retardé</w:t>
      </w:r>
      <w:r w:rsidRPr="001F257B">
        <w:rPr>
          <w:rFonts w:ascii="Times New Roman" w:hAnsi="Times New Roman"/>
          <w:sz w:val="24"/>
          <w:szCs w:val="24"/>
          <w:lang w:val="fr-FR"/>
        </w:rPr>
        <w:t xml:space="preserve"> » </w:t>
      </w:r>
      <w:r w:rsidR="000A55FD">
        <w:rPr>
          <w:rFonts w:ascii="Times New Roman" w:hAnsi="Times New Roman"/>
          <w:b/>
          <w:sz w:val="24"/>
          <w:szCs w:val="24"/>
          <w:lang w:val="fr-FR"/>
        </w:rPr>
        <w:t>ou</w:t>
      </w:r>
      <w:r w:rsidRPr="001F257B">
        <w:rPr>
          <w:rFonts w:ascii="Times New Roman" w:hAnsi="Times New Roman"/>
          <w:b/>
          <w:sz w:val="24"/>
          <w:szCs w:val="24"/>
          <w:lang w:val="fr-FR"/>
        </w:rPr>
        <w:t> ;</w:t>
      </w:r>
    </w:p>
    <w:p w:rsidR="007F3DC3" w:rsidRPr="001F257B" w:rsidRDefault="007F3DC3" w:rsidP="00FA3FAE">
      <w:pPr>
        <w:pStyle w:val="PargrafodaLista"/>
        <w:numPr>
          <w:ilvl w:val="0"/>
          <w:numId w:val="70"/>
        </w:numPr>
        <w:overflowPunct w:val="0"/>
        <w:autoSpaceDE w:val="0"/>
        <w:autoSpaceDN w:val="0"/>
        <w:adjustRightInd w:val="0"/>
        <w:spacing w:after="240"/>
        <w:ind w:right="284"/>
        <w:jc w:val="both"/>
        <w:textAlignment w:val="baseline"/>
        <w:rPr>
          <w:rFonts w:ascii="Times New Roman" w:hAnsi="Times New Roman"/>
          <w:sz w:val="24"/>
          <w:szCs w:val="24"/>
          <w:lang w:val="fr-FR"/>
        </w:rPr>
      </w:pPr>
      <w:r w:rsidRPr="001F257B">
        <w:rPr>
          <w:rFonts w:ascii="Times New Roman" w:hAnsi="Times New Roman"/>
          <w:b/>
          <w:sz w:val="24"/>
          <w:szCs w:val="24"/>
          <w:lang w:val="fr-FR"/>
        </w:rPr>
        <w:t>Alternative 3 :</w:t>
      </w:r>
      <w:r w:rsidRPr="001F257B">
        <w:rPr>
          <w:rFonts w:ascii="Times New Roman" w:hAnsi="Times New Roman"/>
          <w:sz w:val="24"/>
          <w:szCs w:val="24"/>
          <w:lang w:val="fr-FR"/>
        </w:rPr>
        <w:t xml:space="preserve"> « </w:t>
      </w:r>
      <w:r w:rsidRPr="001F257B">
        <w:rPr>
          <w:rFonts w:ascii="Times New Roman" w:hAnsi="Times New Roman"/>
          <w:b/>
          <w:i/>
          <w:sz w:val="24"/>
          <w:szCs w:val="24"/>
          <w:lang w:val="fr-FR"/>
        </w:rPr>
        <w:t xml:space="preserve">avec </w:t>
      </w:r>
      <w:r w:rsidR="006A22C9" w:rsidRPr="001F257B">
        <w:rPr>
          <w:rFonts w:ascii="Times New Roman" w:hAnsi="Times New Roman"/>
          <w:b/>
          <w:i/>
          <w:sz w:val="24"/>
          <w:szCs w:val="24"/>
          <w:lang w:val="fr-FR"/>
        </w:rPr>
        <w:t>projet</w:t>
      </w:r>
      <w:r w:rsidR="006A22C9" w:rsidRPr="001F257B">
        <w:rPr>
          <w:rFonts w:ascii="Times New Roman" w:hAnsi="Times New Roman"/>
          <w:sz w:val="24"/>
          <w:szCs w:val="24"/>
          <w:lang w:val="fr-FR"/>
        </w:rPr>
        <w:t xml:space="preserve"> »</w:t>
      </w:r>
    </w:p>
    <w:p w:rsidR="002144B4" w:rsidRPr="00643D75" w:rsidRDefault="002144B4" w:rsidP="00643D75">
      <w:pPr>
        <w:autoSpaceDE w:val="0"/>
        <w:autoSpaceDN w:val="0"/>
        <w:adjustRightInd w:val="0"/>
        <w:spacing w:after="0" w:line="240" w:lineRule="auto"/>
        <w:ind w:left="-284" w:right="-142"/>
        <w:jc w:val="both"/>
        <w:rPr>
          <w:rFonts w:ascii="Times New Roman" w:hAnsi="Times New Roman"/>
          <w:color w:val="000000"/>
          <w:sz w:val="24"/>
          <w:szCs w:val="24"/>
        </w:rPr>
      </w:pPr>
      <w:r w:rsidRPr="00643D75">
        <w:rPr>
          <w:rFonts w:ascii="Times New Roman" w:hAnsi="Times New Roman"/>
          <w:color w:val="000000"/>
          <w:sz w:val="24"/>
          <w:szCs w:val="24"/>
        </w:rPr>
        <w:lastRenderedPageBreak/>
        <w:t xml:space="preserve">Ces alternatives ont été évaluées en considérant les effets de l’absence ou de la présence du </w:t>
      </w:r>
      <w:r w:rsidR="00643D75">
        <w:rPr>
          <w:rFonts w:ascii="Times New Roman" w:hAnsi="Times New Roman"/>
          <w:color w:val="000000"/>
          <w:sz w:val="24"/>
          <w:szCs w:val="24"/>
        </w:rPr>
        <w:t>sous-</w:t>
      </w:r>
      <w:r w:rsidRPr="00643D75">
        <w:rPr>
          <w:rFonts w:ascii="Times New Roman" w:hAnsi="Times New Roman"/>
          <w:color w:val="000000"/>
          <w:sz w:val="24"/>
          <w:szCs w:val="24"/>
        </w:rPr>
        <w:t>projet</w:t>
      </w:r>
      <w:r w:rsidR="00643D75">
        <w:rPr>
          <w:rFonts w:ascii="Times New Roman" w:hAnsi="Times New Roman"/>
          <w:color w:val="000000"/>
          <w:sz w:val="24"/>
          <w:szCs w:val="24"/>
        </w:rPr>
        <w:t xml:space="preserve"> n°2</w:t>
      </w:r>
      <w:r w:rsidRPr="00643D75">
        <w:rPr>
          <w:rFonts w:ascii="Times New Roman" w:hAnsi="Times New Roman"/>
          <w:color w:val="000000"/>
          <w:sz w:val="24"/>
          <w:szCs w:val="24"/>
        </w:rPr>
        <w:t xml:space="preserve"> (réalisation du </w:t>
      </w:r>
      <w:r w:rsidR="00643D75">
        <w:rPr>
          <w:rFonts w:ascii="Times New Roman" w:hAnsi="Times New Roman"/>
          <w:color w:val="000000"/>
          <w:sz w:val="24"/>
          <w:szCs w:val="24"/>
        </w:rPr>
        <w:t>sous-</w:t>
      </w:r>
      <w:r w:rsidRPr="00643D75">
        <w:rPr>
          <w:rFonts w:ascii="Times New Roman" w:hAnsi="Times New Roman"/>
          <w:color w:val="000000"/>
          <w:sz w:val="24"/>
          <w:szCs w:val="24"/>
        </w:rPr>
        <w:t>projet retardé ou non) sur l’environnement, le social et l’économie. Cette analyse a pour objectif principal d’étudier les différents scénarii et leurs incidences.</w:t>
      </w:r>
    </w:p>
    <w:p w:rsidR="002144B4" w:rsidRPr="001F257B" w:rsidRDefault="002144B4" w:rsidP="002144B4">
      <w:pPr>
        <w:spacing w:after="0"/>
        <w:jc w:val="both"/>
        <w:rPr>
          <w:rFonts w:ascii="Times New Roman" w:hAnsi="Times New Roman"/>
          <w:sz w:val="24"/>
          <w:szCs w:val="24"/>
        </w:rPr>
      </w:pPr>
    </w:p>
    <w:p w:rsidR="007F3DC3" w:rsidRPr="001F257B" w:rsidRDefault="007F3DC3" w:rsidP="00FA3FAE">
      <w:pPr>
        <w:pStyle w:val="PargrafodaLista"/>
        <w:numPr>
          <w:ilvl w:val="0"/>
          <w:numId w:val="48"/>
        </w:numPr>
        <w:overflowPunct w:val="0"/>
        <w:autoSpaceDE w:val="0"/>
        <w:autoSpaceDN w:val="0"/>
        <w:adjustRightInd w:val="0"/>
        <w:spacing w:after="240"/>
        <w:ind w:right="284"/>
        <w:jc w:val="both"/>
        <w:textAlignment w:val="baseline"/>
        <w:rPr>
          <w:rFonts w:ascii="Times New Roman" w:hAnsi="Times New Roman"/>
          <w:b/>
          <w:sz w:val="24"/>
          <w:szCs w:val="24"/>
          <w:lang w:val="fr-FR"/>
        </w:rPr>
      </w:pPr>
      <w:r w:rsidRPr="001F257B">
        <w:rPr>
          <w:rFonts w:ascii="Times New Roman" w:hAnsi="Times New Roman"/>
          <w:b/>
          <w:sz w:val="24"/>
          <w:szCs w:val="24"/>
          <w:lang w:val="fr-FR"/>
        </w:rPr>
        <w:t xml:space="preserve">Variante </w:t>
      </w:r>
      <w:r w:rsidR="00AE4EF0" w:rsidRPr="001F257B">
        <w:rPr>
          <w:rFonts w:ascii="Times New Roman" w:hAnsi="Times New Roman"/>
          <w:b/>
          <w:sz w:val="24"/>
          <w:szCs w:val="24"/>
          <w:lang w:val="fr-FR"/>
        </w:rPr>
        <w:t xml:space="preserve">2 </w:t>
      </w:r>
      <w:r w:rsidRPr="001F257B">
        <w:rPr>
          <w:rFonts w:ascii="Times New Roman" w:hAnsi="Times New Roman"/>
          <w:b/>
          <w:sz w:val="24"/>
          <w:szCs w:val="24"/>
          <w:lang w:val="fr-FR"/>
        </w:rPr>
        <w:t xml:space="preserve">: « Choix du </w:t>
      </w:r>
      <w:r w:rsidR="00F17AFC" w:rsidRPr="001F257B">
        <w:rPr>
          <w:rFonts w:ascii="Times New Roman" w:hAnsi="Times New Roman"/>
          <w:b/>
          <w:sz w:val="24"/>
          <w:szCs w:val="24"/>
          <w:lang w:val="fr-FR"/>
        </w:rPr>
        <w:t xml:space="preserve">réservoir </w:t>
      </w:r>
      <w:r w:rsidRPr="001F257B">
        <w:rPr>
          <w:rFonts w:ascii="Times New Roman" w:hAnsi="Times New Roman"/>
          <w:b/>
          <w:sz w:val="24"/>
          <w:szCs w:val="24"/>
          <w:lang w:val="fr-FR"/>
        </w:rPr>
        <w:t>» </w:t>
      </w:r>
    </w:p>
    <w:p w:rsidR="006A76F8" w:rsidRPr="001F257B" w:rsidRDefault="006A76F8" w:rsidP="00FA3FAE">
      <w:pPr>
        <w:pStyle w:val="PargrafodaLista"/>
        <w:numPr>
          <w:ilvl w:val="0"/>
          <w:numId w:val="70"/>
        </w:numPr>
        <w:overflowPunct w:val="0"/>
        <w:autoSpaceDE w:val="0"/>
        <w:autoSpaceDN w:val="0"/>
        <w:adjustRightInd w:val="0"/>
        <w:spacing w:after="240"/>
        <w:ind w:right="284"/>
        <w:jc w:val="both"/>
        <w:textAlignment w:val="baseline"/>
        <w:rPr>
          <w:rFonts w:ascii="Times New Roman" w:hAnsi="Times New Roman"/>
          <w:b/>
          <w:sz w:val="24"/>
          <w:szCs w:val="24"/>
          <w:lang w:val="fr-FR"/>
        </w:rPr>
      </w:pPr>
      <w:r w:rsidRPr="001F257B">
        <w:rPr>
          <w:rFonts w:ascii="Times New Roman" w:hAnsi="Times New Roman"/>
          <w:b/>
          <w:sz w:val="24"/>
          <w:szCs w:val="24"/>
          <w:lang w:val="fr-FR"/>
        </w:rPr>
        <w:t>Option 1 : « Châteaux en béton armé</w:t>
      </w:r>
      <w:r w:rsidR="00AE4EF0" w:rsidRPr="001F257B">
        <w:rPr>
          <w:rFonts w:ascii="Times New Roman" w:hAnsi="Times New Roman"/>
          <w:b/>
          <w:sz w:val="24"/>
          <w:szCs w:val="24"/>
          <w:lang w:val="fr-FR"/>
        </w:rPr>
        <w:t> »</w:t>
      </w:r>
    </w:p>
    <w:p w:rsidR="006A76F8" w:rsidRPr="001F257B" w:rsidRDefault="006A76F8" w:rsidP="00FA3FAE">
      <w:pPr>
        <w:pStyle w:val="PargrafodaLista"/>
        <w:numPr>
          <w:ilvl w:val="0"/>
          <w:numId w:val="70"/>
        </w:numPr>
        <w:overflowPunct w:val="0"/>
        <w:autoSpaceDE w:val="0"/>
        <w:autoSpaceDN w:val="0"/>
        <w:adjustRightInd w:val="0"/>
        <w:spacing w:after="240"/>
        <w:ind w:right="284"/>
        <w:jc w:val="both"/>
        <w:textAlignment w:val="baseline"/>
        <w:rPr>
          <w:rFonts w:ascii="Times New Roman" w:hAnsi="Times New Roman"/>
          <w:b/>
          <w:sz w:val="24"/>
          <w:szCs w:val="24"/>
          <w:lang w:val="fr-FR"/>
        </w:rPr>
      </w:pPr>
      <w:r w:rsidRPr="001F257B">
        <w:rPr>
          <w:rFonts w:ascii="Times New Roman" w:hAnsi="Times New Roman"/>
          <w:b/>
          <w:sz w:val="24"/>
          <w:szCs w:val="24"/>
          <w:lang w:val="fr-FR"/>
        </w:rPr>
        <w:t>Option 2 : « Châteaux en résine de polyester</w:t>
      </w:r>
      <w:r w:rsidR="00AE4EF0" w:rsidRPr="001F257B">
        <w:rPr>
          <w:rFonts w:ascii="Times New Roman" w:hAnsi="Times New Roman"/>
          <w:b/>
          <w:sz w:val="24"/>
          <w:szCs w:val="24"/>
          <w:lang w:val="fr-FR"/>
        </w:rPr>
        <w:t> »</w:t>
      </w:r>
      <w:r w:rsidR="00AE4EF0" w:rsidRPr="001F257B">
        <w:rPr>
          <w:rFonts w:ascii="Times New Roman" w:hAnsi="Times New Roman"/>
          <w:b/>
          <w:i/>
          <w:sz w:val="24"/>
          <w:szCs w:val="24"/>
          <w:lang w:val="fr-FR"/>
        </w:rPr>
        <w:t xml:space="preserve"> </w:t>
      </w:r>
    </w:p>
    <w:p w:rsidR="006A76F8" w:rsidRPr="001F257B" w:rsidRDefault="006A76F8" w:rsidP="00FA3FAE">
      <w:pPr>
        <w:pStyle w:val="PargrafodaLista"/>
        <w:numPr>
          <w:ilvl w:val="0"/>
          <w:numId w:val="70"/>
        </w:numPr>
        <w:overflowPunct w:val="0"/>
        <w:autoSpaceDE w:val="0"/>
        <w:autoSpaceDN w:val="0"/>
        <w:adjustRightInd w:val="0"/>
        <w:spacing w:after="240"/>
        <w:ind w:right="284"/>
        <w:jc w:val="both"/>
        <w:textAlignment w:val="baseline"/>
        <w:rPr>
          <w:rFonts w:ascii="Times New Roman" w:hAnsi="Times New Roman"/>
          <w:b/>
          <w:sz w:val="24"/>
          <w:szCs w:val="24"/>
          <w:lang w:val="fr-FR"/>
        </w:rPr>
      </w:pPr>
      <w:r w:rsidRPr="001F257B">
        <w:rPr>
          <w:rFonts w:ascii="Times New Roman" w:hAnsi="Times New Roman"/>
          <w:b/>
          <w:sz w:val="24"/>
          <w:szCs w:val="24"/>
          <w:lang w:val="fr-FR"/>
        </w:rPr>
        <w:t>Option 3 : « Châteaux en métal</w:t>
      </w:r>
      <w:r w:rsidR="00AE4EF0" w:rsidRPr="001F257B">
        <w:rPr>
          <w:rFonts w:ascii="Times New Roman" w:hAnsi="Times New Roman"/>
          <w:b/>
          <w:sz w:val="24"/>
          <w:szCs w:val="24"/>
          <w:lang w:val="fr-FR"/>
        </w:rPr>
        <w:t> »</w:t>
      </w:r>
    </w:p>
    <w:p w:rsidR="002144B4" w:rsidRDefault="00637AE2" w:rsidP="00643D75">
      <w:pPr>
        <w:autoSpaceDE w:val="0"/>
        <w:autoSpaceDN w:val="0"/>
        <w:adjustRightInd w:val="0"/>
        <w:spacing w:after="0" w:line="240" w:lineRule="auto"/>
        <w:ind w:left="-284"/>
        <w:jc w:val="both"/>
        <w:rPr>
          <w:rFonts w:ascii="Times New Roman" w:hAnsi="Times New Roman"/>
          <w:color w:val="000000"/>
          <w:sz w:val="24"/>
          <w:szCs w:val="24"/>
        </w:rPr>
      </w:pPr>
      <w:r w:rsidRPr="00643D75">
        <w:rPr>
          <w:rFonts w:ascii="Times New Roman" w:hAnsi="Times New Roman"/>
          <w:color w:val="000000"/>
          <w:sz w:val="24"/>
          <w:szCs w:val="24"/>
        </w:rPr>
        <w:t>Le choix du réservoir à réaliser dans chaque site concerné doit être bien étudié par rapport à la demande</w:t>
      </w:r>
      <w:r w:rsidR="00E65830" w:rsidRPr="00643D75">
        <w:rPr>
          <w:rFonts w:ascii="Times New Roman" w:hAnsi="Times New Roman"/>
          <w:color w:val="000000"/>
          <w:sz w:val="24"/>
          <w:szCs w:val="24"/>
        </w:rPr>
        <w:t xml:space="preserve"> de la population</w:t>
      </w:r>
      <w:r w:rsidRPr="00643D75">
        <w:rPr>
          <w:rFonts w:ascii="Times New Roman" w:hAnsi="Times New Roman"/>
          <w:color w:val="000000"/>
          <w:sz w:val="24"/>
          <w:szCs w:val="24"/>
        </w:rPr>
        <w:t>,</w:t>
      </w:r>
      <w:r w:rsidR="00E65830" w:rsidRPr="00643D75">
        <w:rPr>
          <w:rFonts w:ascii="Times New Roman" w:hAnsi="Times New Roman"/>
          <w:color w:val="000000"/>
          <w:sz w:val="24"/>
          <w:szCs w:val="24"/>
        </w:rPr>
        <w:t xml:space="preserve"> </w:t>
      </w:r>
      <w:r w:rsidRPr="00643D75">
        <w:rPr>
          <w:rFonts w:ascii="Times New Roman" w:hAnsi="Times New Roman"/>
          <w:color w:val="000000"/>
          <w:sz w:val="24"/>
          <w:szCs w:val="24"/>
        </w:rPr>
        <w:t>au</w:t>
      </w:r>
      <w:r w:rsidR="00E65830" w:rsidRPr="00643D75">
        <w:rPr>
          <w:rFonts w:ascii="Times New Roman" w:hAnsi="Times New Roman"/>
          <w:color w:val="000000"/>
          <w:sz w:val="24"/>
          <w:szCs w:val="24"/>
        </w:rPr>
        <w:t>x</w:t>
      </w:r>
      <w:r w:rsidRPr="00643D75">
        <w:rPr>
          <w:rFonts w:ascii="Times New Roman" w:hAnsi="Times New Roman"/>
          <w:color w:val="000000"/>
          <w:sz w:val="24"/>
          <w:szCs w:val="24"/>
        </w:rPr>
        <w:t xml:space="preserve"> </w:t>
      </w:r>
      <w:r w:rsidR="00E65830" w:rsidRPr="00643D75">
        <w:rPr>
          <w:rFonts w:ascii="Times New Roman" w:hAnsi="Times New Roman"/>
          <w:color w:val="000000"/>
          <w:sz w:val="24"/>
          <w:szCs w:val="24"/>
        </w:rPr>
        <w:t xml:space="preserve">milieux, </w:t>
      </w:r>
      <w:r w:rsidR="000A55FD">
        <w:rPr>
          <w:rFonts w:ascii="Times New Roman" w:hAnsi="Times New Roman"/>
          <w:color w:val="000000"/>
          <w:sz w:val="24"/>
          <w:szCs w:val="24"/>
        </w:rPr>
        <w:t>aux moyens dont</w:t>
      </w:r>
      <w:r w:rsidR="00E65830" w:rsidRPr="00643D75">
        <w:rPr>
          <w:rFonts w:ascii="Times New Roman" w:hAnsi="Times New Roman"/>
          <w:color w:val="000000"/>
          <w:sz w:val="24"/>
          <w:szCs w:val="24"/>
        </w:rPr>
        <w:t xml:space="preserve"> dispose le PUASEE-FA, etc… </w:t>
      </w:r>
      <w:r w:rsidR="002144B4" w:rsidRPr="00643D75">
        <w:rPr>
          <w:rFonts w:ascii="Times New Roman" w:hAnsi="Times New Roman"/>
          <w:color w:val="000000"/>
          <w:sz w:val="24"/>
          <w:szCs w:val="24"/>
        </w:rPr>
        <w:t xml:space="preserve">pour </w:t>
      </w:r>
      <w:r w:rsidR="00E5080B" w:rsidRPr="00643D75">
        <w:rPr>
          <w:rFonts w:ascii="Times New Roman" w:hAnsi="Times New Roman"/>
          <w:color w:val="000000"/>
          <w:sz w:val="24"/>
          <w:szCs w:val="24"/>
        </w:rPr>
        <w:t>assurer le meilleur réservoir capable de remplir tou</w:t>
      </w:r>
      <w:r w:rsidR="000A55FD">
        <w:rPr>
          <w:rFonts w:ascii="Times New Roman" w:hAnsi="Times New Roman"/>
          <w:color w:val="000000"/>
          <w:sz w:val="24"/>
          <w:szCs w:val="24"/>
        </w:rPr>
        <w:t>te</w:t>
      </w:r>
      <w:r w:rsidR="00E5080B" w:rsidRPr="00643D75">
        <w:rPr>
          <w:rFonts w:ascii="Times New Roman" w:hAnsi="Times New Roman"/>
          <w:color w:val="000000"/>
          <w:sz w:val="24"/>
          <w:szCs w:val="24"/>
        </w:rPr>
        <w:t>s les exigences des techniciens et des populations.</w:t>
      </w:r>
      <w:r w:rsidR="002144B4" w:rsidRPr="00643D75">
        <w:rPr>
          <w:rFonts w:ascii="Times New Roman" w:hAnsi="Times New Roman"/>
          <w:color w:val="000000"/>
          <w:sz w:val="24"/>
          <w:szCs w:val="24"/>
        </w:rPr>
        <w:t xml:space="preserve"> Cette analyse a pour objectif principal d’étudier les différentes o</w:t>
      </w:r>
      <w:r w:rsidR="00E5080B" w:rsidRPr="00643D75">
        <w:rPr>
          <w:rFonts w:ascii="Times New Roman" w:hAnsi="Times New Roman"/>
          <w:color w:val="000000"/>
          <w:sz w:val="24"/>
          <w:szCs w:val="24"/>
        </w:rPr>
        <w:t xml:space="preserve">ptions proposées ci-dessus </w:t>
      </w:r>
      <w:r w:rsidR="002144B4" w:rsidRPr="00643D75">
        <w:rPr>
          <w:rFonts w:ascii="Times New Roman" w:hAnsi="Times New Roman"/>
          <w:color w:val="000000"/>
          <w:sz w:val="24"/>
          <w:szCs w:val="24"/>
        </w:rPr>
        <w:t>pour parvenir à un meilleur résultat.</w:t>
      </w:r>
    </w:p>
    <w:p w:rsidR="00643D75" w:rsidRPr="00643D75" w:rsidRDefault="00643D75" w:rsidP="00643D75">
      <w:pPr>
        <w:autoSpaceDE w:val="0"/>
        <w:autoSpaceDN w:val="0"/>
        <w:adjustRightInd w:val="0"/>
        <w:spacing w:after="0" w:line="240" w:lineRule="auto"/>
        <w:ind w:left="-284"/>
        <w:jc w:val="both"/>
        <w:rPr>
          <w:rFonts w:ascii="Times New Roman" w:hAnsi="Times New Roman"/>
          <w:color w:val="000000"/>
          <w:sz w:val="24"/>
          <w:szCs w:val="24"/>
        </w:rPr>
      </w:pPr>
    </w:p>
    <w:p w:rsidR="007F3DC3" w:rsidRPr="001F257B" w:rsidRDefault="00AE4EF0" w:rsidP="00FA3FAE">
      <w:pPr>
        <w:pStyle w:val="PargrafodaLista"/>
        <w:numPr>
          <w:ilvl w:val="0"/>
          <w:numId w:val="48"/>
        </w:numPr>
        <w:overflowPunct w:val="0"/>
        <w:autoSpaceDE w:val="0"/>
        <w:autoSpaceDN w:val="0"/>
        <w:adjustRightInd w:val="0"/>
        <w:spacing w:after="240"/>
        <w:ind w:right="284"/>
        <w:jc w:val="both"/>
        <w:textAlignment w:val="baseline"/>
        <w:rPr>
          <w:rFonts w:ascii="Times New Roman" w:hAnsi="Times New Roman"/>
          <w:sz w:val="24"/>
          <w:szCs w:val="24"/>
          <w:lang w:val="fr-FR"/>
        </w:rPr>
      </w:pPr>
      <w:r w:rsidRPr="001F257B">
        <w:rPr>
          <w:rFonts w:ascii="Times New Roman" w:hAnsi="Times New Roman"/>
          <w:b/>
          <w:sz w:val="24"/>
          <w:szCs w:val="24"/>
          <w:lang w:val="fr-FR"/>
        </w:rPr>
        <w:t>Variante 3 :</w:t>
      </w:r>
      <w:r w:rsidRPr="001F257B">
        <w:rPr>
          <w:rFonts w:ascii="Times New Roman" w:hAnsi="Times New Roman"/>
          <w:sz w:val="24"/>
          <w:szCs w:val="24"/>
          <w:lang w:val="fr-FR"/>
        </w:rPr>
        <w:t xml:space="preserve"> </w:t>
      </w:r>
      <w:r w:rsidR="007F3DC3" w:rsidRPr="001F257B">
        <w:rPr>
          <w:rFonts w:ascii="Times New Roman" w:hAnsi="Times New Roman"/>
          <w:sz w:val="24"/>
          <w:szCs w:val="24"/>
          <w:lang w:val="fr-FR"/>
        </w:rPr>
        <w:t>«</w:t>
      </w:r>
      <w:r w:rsidR="00E5080B" w:rsidRPr="001F257B">
        <w:rPr>
          <w:rFonts w:ascii="Times New Roman" w:hAnsi="Times New Roman"/>
          <w:b/>
          <w:sz w:val="24"/>
          <w:szCs w:val="24"/>
          <w:lang w:val="fr-FR"/>
        </w:rPr>
        <w:t xml:space="preserve"> Méthodes de </w:t>
      </w:r>
      <w:r w:rsidR="006A22C9" w:rsidRPr="001F257B">
        <w:rPr>
          <w:rFonts w:ascii="Times New Roman" w:hAnsi="Times New Roman"/>
          <w:b/>
          <w:sz w:val="24"/>
          <w:szCs w:val="24"/>
          <w:lang w:val="fr-FR"/>
        </w:rPr>
        <w:t>réalisation des</w:t>
      </w:r>
      <w:r w:rsidR="00E5080B" w:rsidRPr="001F257B">
        <w:rPr>
          <w:rFonts w:ascii="Times New Roman" w:hAnsi="Times New Roman"/>
          <w:b/>
          <w:sz w:val="24"/>
          <w:szCs w:val="24"/>
          <w:lang w:val="fr-FR"/>
        </w:rPr>
        <w:t xml:space="preserve"> </w:t>
      </w:r>
      <w:r w:rsidR="006A22C9" w:rsidRPr="001F257B">
        <w:rPr>
          <w:rFonts w:ascii="Times New Roman" w:hAnsi="Times New Roman"/>
          <w:b/>
          <w:sz w:val="24"/>
          <w:szCs w:val="24"/>
          <w:lang w:val="fr-FR"/>
        </w:rPr>
        <w:t>réservoirs</w:t>
      </w:r>
      <w:r w:rsidR="007F3DC3" w:rsidRPr="001F257B">
        <w:rPr>
          <w:rFonts w:ascii="Times New Roman" w:hAnsi="Times New Roman"/>
          <w:b/>
          <w:sz w:val="24"/>
          <w:szCs w:val="24"/>
          <w:lang w:val="fr-FR"/>
        </w:rPr>
        <w:t> </w:t>
      </w:r>
      <w:r w:rsidRPr="001F257B">
        <w:rPr>
          <w:rFonts w:ascii="Times New Roman" w:hAnsi="Times New Roman"/>
          <w:sz w:val="24"/>
          <w:szCs w:val="24"/>
          <w:lang w:val="fr-FR"/>
        </w:rPr>
        <w:t>» </w:t>
      </w:r>
    </w:p>
    <w:p w:rsidR="007F3DC3" w:rsidRPr="001F257B" w:rsidRDefault="007F3DC3" w:rsidP="00FA3FAE">
      <w:pPr>
        <w:pStyle w:val="PargrafodaLista"/>
        <w:numPr>
          <w:ilvl w:val="0"/>
          <w:numId w:val="70"/>
        </w:numPr>
        <w:overflowPunct w:val="0"/>
        <w:autoSpaceDE w:val="0"/>
        <w:autoSpaceDN w:val="0"/>
        <w:adjustRightInd w:val="0"/>
        <w:spacing w:after="240"/>
        <w:ind w:right="284"/>
        <w:jc w:val="both"/>
        <w:textAlignment w:val="baseline"/>
        <w:rPr>
          <w:rFonts w:ascii="Times New Roman" w:hAnsi="Times New Roman"/>
          <w:b/>
          <w:i/>
          <w:sz w:val="24"/>
          <w:szCs w:val="24"/>
          <w:lang w:val="fr-FR"/>
        </w:rPr>
      </w:pPr>
      <w:r w:rsidRPr="001F257B">
        <w:rPr>
          <w:rFonts w:ascii="Times New Roman" w:hAnsi="Times New Roman"/>
          <w:b/>
          <w:i/>
          <w:sz w:val="24"/>
          <w:szCs w:val="24"/>
          <w:lang w:val="fr-FR"/>
        </w:rPr>
        <w:t xml:space="preserve">Option </w:t>
      </w:r>
      <w:r w:rsidR="00AE4EF0" w:rsidRPr="001F257B">
        <w:rPr>
          <w:rFonts w:ascii="Times New Roman" w:hAnsi="Times New Roman"/>
          <w:b/>
          <w:i/>
          <w:sz w:val="24"/>
          <w:szCs w:val="24"/>
          <w:lang w:val="fr-FR"/>
        </w:rPr>
        <w:t xml:space="preserve">1 </w:t>
      </w:r>
      <w:r w:rsidRPr="001F257B">
        <w:rPr>
          <w:rFonts w:ascii="Times New Roman" w:hAnsi="Times New Roman"/>
          <w:b/>
          <w:i/>
          <w:sz w:val="24"/>
          <w:szCs w:val="24"/>
          <w:lang w:val="fr-FR"/>
        </w:rPr>
        <w:t>: méthode manuelle (HIMO) ;</w:t>
      </w:r>
    </w:p>
    <w:p w:rsidR="007F3DC3" w:rsidRPr="001F257B" w:rsidRDefault="007F3DC3" w:rsidP="00FA3FAE">
      <w:pPr>
        <w:pStyle w:val="PargrafodaLista"/>
        <w:numPr>
          <w:ilvl w:val="0"/>
          <w:numId w:val="70"/>
        </w:numPr>
        <w:overflowPunct w:val="0"/>
        <w:autoSpaceDE w:val="0"/>
        <w:autoSpaceDN w:val="0"/>
        <w:adjustRightInd w:val="0"/>
        <w:spacing w:after="240"/>
        <w:ind w:right="284"/>
        <w:jc w:val="both"/>
        <w:textAlignment w:val="baseline"/>
        <w:rPr>
          <w:rFonts w:ascii="Times New Roman" w:hAnsi="Times New Roman"/>
          <w:b/>
          <w:i/>
          <w:sz w:val="24"/>
          <w:szCs w:val="24"/>
          <w:lang w:val="fr-FR"/>
        </w:rPr>
      </w:pPr>
      <w:r w:rsidRPr="001F257B">
        <w:rPr>
          <w:rFonts w:ascii="Times New Roman" w:hAnsi="Times New Roman"/>
          <w:b/>
          <w:i/>
          <w:sz w:val="24"/>
          <w:szCs w:val="24"/>
          <w:lang w:val="fr-FR"/>
        </w:rPr>
        <w:t xml:space="preserve">Option </w:t>
      </w:r>
      <w:r w:rsidR="00AE4EF0" w:rsidRPr="001F257B">
        <w:rPr>
          <w:rFonts w:ascii="Times New Roman" w:hAnsi="Times New Roman"/>
          <w:b/>
          <w:i/>
          <w:sz w:val="24"/>
          <w:szCs w:val="24"/>
          <w:lang w:val="fr-FR"/>
        </w:rPr>
        <w:t>2</w:t>
      </w:r>
      <w:r w:rsidRPr="001F257B">
        <w:rPr>
          <w:rFonts w:ascii="Times New Roman" w:hAnsi="Times New Roman"/>
          <w:b/>
          <w:i/>
          <w:sz w:val="24"/>
          <w:szCs w:val="24"/>
          <w:lang w:val="fr-FR"/>
        </w:rPr>
        <w:t> : méthode mécanisée (HIEQ) ;</w:t>
      </w:r>
    </w:p>
    <w:p w:rsidR="007F3DC3" w:rsidRPr="001F257B" w:rsidRDefault="00AE4EF0" w:rsidP="00FA3FAE">
      <w:pPr>
        <w:pStyle w:val="PargrafodaLista"/>
        <w:numPr>
          <w:ilvl w:val="0"/>
          <w:numId w:val="70"/>
        </w:numPr>
        <w:overflowPunct w:val="0"/>
        <w:autoSpaceDE w:val="0"/>
        <w:autoSpaceDN w:val="0"/>
        <w:adjustRightInd w:val="0"/>
        <w:spacing w:after="240"/>
        <w:ind w:right="284"/>
        <w:jc w:val="both"/>
        <w:textAlignment w:val="baseline"/>
        <w:rPr>
          <w:rFonts w:ascii="Times New Roman" w:hAnsi="Times New Roman"/>
          <w:b/>
          <w:i/>
          <w:sz w:val="24"/>
          <w:szCs w:val="24"/>
          <w:lang w:val="fr-FR"/>
        </w:rPr>
      </w:pPr>
      <w:r w:rsidRPr="001F257B">
        <w:rPr>
          <w:rFonts w:ascii="Times New Roman" w:hAnsi="Times New Roman"/>
          <w:b/>
          <w:i/>
          <w:sz w:val="24"/>
          <w:szCs w:val="24"/>
          <w:lang w:val="fr-FR"/>
        </w:rPr>
        <w:t xml:space="preserve">Option 3 :  </w:t>
      </w:r>
      <w:r w:rsidR="007F3DC3" w:rsidRPr="001F257B">
        <w:rPr>
          <w:rFonts w:ascii="Times New Roman" w:hAnsi="Times New Roman"/>
          <w:b/>
          <w:i/>
          <w:sz w:val="24"/>
          <w:szCs w:val="24"/>
          <w:lang w:val="fr-FR"/>
        </w:rPr>
        <w:t>Combinaison Option a et b (HIMO + HIEQ)</w:t>
      </w:r>
    </w:p>
    <w:p w:rsidR="002144B4" w:rsidRPr="00643D75" w:rsidRDefault="002144B4" w:rsidP="00643D75">
      <w:pPr>
        <w:autoSpaceDE w:val="0"/>
        <w:autoSpaceDN w:val="0"/>
        <w:adjustRightInd w:val="0"/>
        <w:spacing w:after="0" w:line="240" w:lineRule="auto"/>
        <w:ind w:left="-284"/>
        <w:jc w:val="both"/>
        <w:rPr>
          <w:rFonts w:ascii="Times New Roman" w:hAnsi="Times New Roman"/>
          <w:color w:val="000000"/>
          <w:sz w:val="24"/>
          <w:szCs w:val="24"/>
        </w:rPr>
      </w:pPr>
      <w:r w:rsidRPr="00643D75">
        <w:rPr>
          <w:rFonts w:ascii="Times New Roman" w:hAnsi="Times New Roman"/>
          <w:color w:val="000000"/>
          <w:sz w:val="24"/>
          <w:szCs w:val="24"/>
        </w:rPr>
        <w:t>L’option technologiqu</w:t>
      </w:r>
      <w:r w:rsidR="00637AE2" w:rsidRPr="00643D75">
        <w:rPr>
          <w:rFonts w:ascii="Times New Roman" w:hAnsi="Times New Roman"/>
          <w:color w:val="000000"/>
          <w:sz w:val="24"/>
          <w:szCs w:val="24"/>
        </w:rPr>
        <w:t>e ou</w:t>
      </w:r>
      <w:r w:rsidR="000A55FD">
        <w:rPr>
          <w:rFonts w:ascii="Times New Roman" w:hAnsi="Times New Roman"/>
          <w:color w:val="000000"/>
          <w:sz w:val="24"/>
          <w:szCs w:val="24"/>
        </w:rPr>
        <w:t xml:space="preserve"> la</w:t>
      </w:r>
      <w:r w:rsidR="00637AE2" w:rsidRPr="00643D75">
        <w:rPr>
          <w:rFonts w:ascii="Times New Roman" w:hAnsi="Times New Roman"/>
          <w:color w:val="000000"/>
          <w:sz w:val="24"/>
          <w:szCs w:val="24"/>
        </w:rPr>
        <w:t xml:space="preserve"> méthode de construction des réservoirs </w:t>
      </w:r>
      <w:r w:rsidRPr="00643D75">
        <w:rPr>
          <w:rFonts w:ascii="Times New Roman" w:hAnsi="Times New Roman"/>
          <w:color w:val="000000"/>
          <w:sz w:val="24"/>
          <w:szCs w:val="24"/>
        </w:rPr>
        <w:t xml:space="preserve">comme son nom l’indique consiste à analyser les méthodes proposées pour la réalisation des </w:t>
      </w:r>
      <w:r w:rsidR="00637AE2" w:rsidRPr="00643D75">
        <w:rPr>
          <w:rFonts w:ascii="Times New Roman" w:hAnsi="Times New Roman"/>
          <w:color w:val="000000"/>
          <w:sz w:val="24"/>
          <w:szCs w:val="24"/>
        </w:rPr>
        <w:t>réservoirs</w:t>
      </w:r>
      <w:r w:rsidRPr="00643D75">
        <w:rPr>
          <w:rFonts w:ascii="Times New Roman" w:hAnsi="Times New Roman"/>
          <w:color w:val="000000"/>
          <w:sz w:val="24"/>
          <w:szCs w:val="24"/>
        </w:rPr>
        <w:t xml:space="preserve">. L’objectif principal est d’étudier ces trois (3) différentes options qui permettront de parvenir à une meilleure réalisation des </w:t>
      </w:r>
      <w:r w:rsidR="00637AE2" w:rsidRPr="00643D75">
        <w:rPr>
          <w:rFonts w:ascii="Times New Roman" w:hAnsi="Times New Roman"/>
          <w:color w:val="000000"/>
          <w:sz w:val="24"/>
          <w:szCs w:val="24"/>
        </w:rPr>
        <w:t>réservoirs</w:t>
      </w:r>
      <w:r w:rsidRPr="00643D75">
        <w:rPr>
          <w:rFonts w:ascii="Times New Roman" w:hAnsi="Times New Roman"/>
          <w:color w:val="000000"/>
          <w:sz w:val="24"/>
          <w:szCs w:val="24"/>
        </w:rPr>
        <w:t xml:space="preserve"> mais aussi à la préservation de l’environnement, de la</w:t>
      </w:r>
      <w:r w:rsidR="000A55FD">
        <w:rPr>
          <w:rFonts w:ascii="Times New Roman" w:hAnsi="Times New Roman"/>
          <w:color w:val="000000"/>
          <w:sz w:val="24"/>
          <w:szCs w:val="24"/>
        </w:rPr>
        <w:t xml:space="preserve"> santé et sécurité des</w:t>
      </w:r>
      <w:r w:rsidRPr="00643D75">
        <w:rPr>
          <w:rFonts w:ascii="Times New Roman" w:hAnsi="Times New Roman"/>
          <w:color w:val="000000"/>
          <w:sz w:val="24"/>
          <w:szCs w:val="24"/>
        </w:rPr>
        <w:t xml:space="preserve"> population</w:t>
      </w:r>
      <w:r w:rsidR="000A55FD">
        <w:rPr>
          <w:rFonts w:ascii="Times New Roman" w:hAnsi="Times New Roman"/>
          <w:color w:val="000000"/>
          <w:sz w:val="24"/>
          <w:szCs w:val="24"/>
        </w:rPr>
        <w:t>s</w:t>
      </w:r>
      <w:r w:rsidRPr="00643D75">
        <w:rPr>
          <w:rFonts w:ascii="Times New Roman" w:hAnsi="Times New Roman"/>
          <w:color w:val="000000"/>
          <w:sz w:val="24"/>
          <w:szCs w:val="24"/>
        </w:rPr>
        <w:t xml:space="preserve"> et des </w:t>
      </w:r>
      <w:r w:rsidR="000A55FD">
        <w:rPr>
          <w:rFonts w:ascii="Times New Roman" w:hAnsi="Times New Roman"/>
          <w:color w:val="000000"/>
          <w:sz w:val="24"/>
          <w:szCs w:val="24"/>
        </w:rPr>
        <w:t>activités</w:t>
      </w:r>
      <w:r w:rsidRPr="00643D75">
        <w:rPr>
          <w:rFonts w:ascii="Times New Roman" w:hAnsi="Times New Roman"/>
          <w:color w:val="000000"/>
          <w:sz w:val="24"/>
          <w:szCs w:val="24"/>
        </w:rPr>
        <w:t xml:space="preserve"> économiques</w:t>
      </w:r>
      <w:r w:rsidR="00637AE2" w:rsidRPr="00643D75">
        <w:rPr>
          <w:rFonts w:ascii="Times New Roman" w:hAnsi="Times New Roman"/>
          <w:color w:val="000000"/>
          <w:sz w:val="24"/>
          <w:szCs w:val="24"/>
        </w:rPr>
        <w:t>.</w:t>
      </w:r>
    </w:p>
    <w:p w:rsidR="0062088B" w:rsidRPr="00643D75" w:rsidRDefault="004815B9" w:rsidP="00643D75">
      <w:pPr>
        <w:pStyle w:val="PargrafodaLista"/>
        <w:keepNext/>
        <w:spacing w:before="240" w:after="240"/>
        <w:ind w:left="450" w:right="284" w:hanging="450"/>
        <w:jc w:val="both"/>
        <w:outlineLvl w:val="1"/>
        <w:rPr>
          <w:rFonts w:ascii="Times New Roman" w:hAnsi="Times New Roman"/>
          <w:b/>
          <w:sz w:val="24"/>
          <w:szCs w:val="24"/>
          <w:lang w:val="fr-FR" w:eastAsia="fr-FR"/>
        </w:rPr>
      </w:pPr>
      <w:bookmarkStart w:id="149" w:name="_Toc51072543"/>
      <w:r>
        <w:rPr>
          <w:rFonts w:ascii="Times New Roman" w:hAnsi="Times New Roman"/>
          <w:b/>
          <w:sz w:val="24"/>
          <w:szCs w:val="24"/>
          <w:lang w:val="fr-FR" w:eastAsia="fr-FR"/>
        </w:rPr>
        <w:t>4</w:t>
      </w:r>
      <w:r w:rsidR="00643D75">
        <w:rPr>
          <w:rFonts w:ascii="Times New Roman" w:hAnsi="Times New Roman"/>
          <w:b/>
          <w:sz w:val="24"/>
          <w:szCs w:val="24"/>
          <w:lang w:val="fr-FR" w:eastAsia="fr-FR"/>
        </w:rPr>
        <w:t xml:space="preserve">.3. </w:t>
      </w:r>
      <w:r w:rsidR="00643D75" w:rsidRPr="00643D75">
        <w:rPr>
          <w:rFonts w:ascii="Times New Roman" w:hAnsi="Times New Roman"/>
          <w:b/>
          <w:sz w:val="24"/>
          <w:szCs w:val="24"/>
          <w:lang w:val="fr-FR" w:eastAsia="fr-FR"/>
        </w:rPr>
        <w:t>ANALYSE MULTICRITERE</w:t>
      </w:r>
      <w:bookmarkEnd w:id="149"/>
    </w:p>
    <w:p w:rsidR="00C856C0" w:rsidRDefault="0062088B" w:rsidP="00643D75">
      <w:pPr>
        <w:autoSpaceDE w:val="0"/>
        <w:autoSpaceDN w:val="0"/>
        <w:adjustRightInd w:val="0"/>
        <w:spacing w:after="0" w:line="240" w:lineRule="auto"/>
        <w:ind w:left="-284"/>
        <w:jc w:val="both"/>
        <w:rPr>
          <w:rFonts w:ascii="Times New Roman" w:hAnsi="Times New Roman"/>
          <w:color w:val="000000"/>
          <w:sz w:val="24"/>
          <w:szCs w:val="24"/>
        </w:rPr>
      </w:pPr>
      <w:r w:rsidRPr="00643D75">
        <w:rPr>
          <w:rFonts w:ascii="Times New Roman" w:hAnsi="Times New Roman"/>
          <w:color w:val="000000"/>
          <w:sz w:val="24"/>
          <w:szCs w:val="24"/>
        </w:rPr>
        <w:t>Ces options ont été analysées sur la base de critères socio-économiques et environnementaux. Le tableau</w:t>
      </w:r>
      <w:r w:rsidR="00E5080B" w:rsidRPr="00643D75">
        <w:rPr>
          <w:rFonts w:ascii="Times New Roman" w:hAnsi="Times New Roman"/>
          <w:color w:val="000000"/>
          <w:sz w:val="24"/>
          <w:szCs w:val="24"/>
        </w:rPr>
        <w:t xml:space="preserve"> n°</w:t>
      </w:r>
      <w:r w:rsidRPr="00643D75">
        <w:rPr>
          <w:rFonts w:ascii="Times New Roman" w:hAnsi="Times New Roman"/>
          <w:color w:val="000000"/>
          <w:sz w:val="24"/>
          <w:szCs w:val="24"/>
        </w:rPr>
        <w:t>10 suivant présente les différentes caractéristiques des alternatives, des variantes et des options identifiées ainsi que leur conformité sur les plans sociaux, environnementaux et économiques.</w:t>
      </w:r>
    </w:p>
    <w:p w:rsidR="00643D75" w:rsidRPr="00643D75" w:rsidRDefault="00643D75" w:rsidP="00643D75">
      <w:pPr>
        <w:autoSpaceDE w:val="0"/>
        <w:autoSpaceDN w:val="0"/>
        <w:adjustRightInd w:val="0"/>
        <w:spacing w:after="0" w:line="240" w:lineRule="auto"/>
        <w:ind w:left="-284"/>
        <w:jc w:val="both"/>
        <w:rPr>
          <w:rFonts w:ascii="Times New Roman" w:hAnsi="Times New Roman"/>
          <w:color w:val="000000"/>
          <w:sz w:val="24"/>
          <w:szCs w:val="24"/>
        </w:rPr>
      </w:pPr>
    </w:p>
    <w:p w:rsidR="00C856C0" w:rsidRPr="00E5080B" w:rsidRDefault="00E77229" w:rsidP="00FA3FAE">
      <w:pPr>
        <w:pStyle w:val="PargrafodaLista"/>
        <w:numPr>
          <w:ilvl w:val="0"/>
          <w:numId w:val="73"/>
        </w:numPr>
        <w:jc w:val="both"/>
        <w:rPr>
          <w:rFonts w:ascii="Times New Roman" w:hAnsi="Times New Roman"/>
          <w:b/>
          <w:color w:val="000000"/>
          <w:sz w:val="28"/>
          <w:szCs w:val="28"/>
        </w:rPr>
      </w:pPr>
      <w:r w:rsidRPr="00E5080B">
        <w:rPr>
          <w:rFonts w:ascii="Times New Roman" w:hAnsi="Times New Roman"/>
          <w:b/>
          <w:sz w:val="28"/>
          <w:szCs w:val="28"/>
        </w:rPr>
        <w:t>Variante 1 : « Projet  » </w:t>
      </w:r>
    </w:p>
    <w:tbl>
      <w:tblPr>
        <w:tblStyle w:val="Tabelacomgrelha"/>
        <w:tblW w:w="11199" w:type="dxa"/>
        <w:tblInd w:w="-998" w:type="dxa"/>
        <w:tblLook w:val="04A0" w:firstRow="1" w:lastRow="0" w:firstColumn="1" w:lastColumn="0" w:noHBand="0" w:noVBand="1"/>
      </w:tblPr>
      <w:tblGrid>
        <w:gridCol w:w="498"/>
        <w:gridCol w:w="932"/>
        <w:gridCol w:w="850"/>
        <w:gridCol w:w="8919"/>
      </w:tblGrid>
      <w:tr w:rsidR="004C35A1" w:rsidTr="00643D75">
        <w:tc>
          <w:tcPr>
            <w:tcW w:w="11199" w:type="dxa"/>
            <w:gridSpan w:val="4"/>
            <w:shd w:val="clear" w:color="auto" w:fill="D9E2F3" w:themeFill="accent5" w:themeFillTint="33"/>
          </w:tcPr>
          <w:p w:rsidR="004C35A1" w:rsidRPr="00643D75" w:rsidRDefault="00643D75" w:rsidP="00FA3FAE">
            <w:pPr>
              <w:pStyle w:val="PargrafodaLista"/>
              <w:numPr>
                <w:ilvl w:val="0"/>
                <w:numId w:val="73"/>
              </w:numPr>
              <w:spacing w:after="0"/>
              <w:jc w:val="center"/>
              <w:rPr>
                <w:rFonts w:ascii="Times New Roman" w:hAnsi="Times New Roman"/>
                <w:b/>
                <w:color w:val="000000"/>
                <w:sz w:val="28"/>
                <w:szCs w:val="28"/>
              </w:rPr>
            </w:pPr>
            <w:r w:rsidRPr="00E5080B">
              <w:rPr>
                <w:rFonts w:ascii="Times New Roman" w:hAnsi="Times New Roman"/>
                <w:b/>
                <w:sz w:val="28"/>
                <w:szCs w:val="28"/>
              </w:rPr>
              <w:t>Variante 1 : « Projet  »</w:t>
            </w:r>
          </w:p>
        </w:tc>
      </w:tr>
      <w:tr w:rsidR="004C35A1" w:rsidTr="00C77D61">
        <w:tc>
          <w:tcPr>
            <w:tcW w:w="498" w:type="dxa"/>
            <w:vMerge w:val="restart"/>
            <w:shd w:val="clear" w:color="auto" w:fill="D9E2F3" w:themeFill="accent5" w:themeFillTint="33"/>
            <w:textDirection w:val="btLr"/>
            <w:vAlign w:val="center"/>
          </w:tcPr>
          <w:p w:rsidR="004C35A1" w:rsidRPr="00C77D61" w:rsidRDefault="004C35A1" w:rsidP="00C77D61">
            <w:pPr>
              <w:ind w:left="113" w:right="113"/>
              <w:jc w:val="center"/>
              <w:rPr>
                <w:rFonts w:ascii="Times New Roman" w:hAnsi="Times New Roman" w:cs="Times New Roman"/>
                <w:b/>
              </w:rPr>
            </w:pPr>
            <w:r w:rsidRPr="00C77D61">
              <w:rPr>
                <w:rFonts w:ascii="Times New Roman" w:hAnsi="Times New Roman" w:cs="Times New Roman"/>
                <w:b/>
              </w:rPr>
              <w:t>ENVIRONNEMENT</w:t>
            </w:r>
          </w:p>
        </w:tc>
        <w:tc>
          <w:tcPr>
            <w:tcW w:w="932" w:type="dxa"/>
            <w:vMerge w:val="restart"/>
            <w:shd w:val="clear" w:color="auto" w:fill="F2F2F2" w:themeFill="background1" w:themeFillShade="F2"/>
            <w:vAlign w:val="center"/>
          </w:tcPr>
          <w:p w:rsidR="004C35A1" w:rsidRDefault="004C35A1" w:rsidP="00C77D61">
            <w:pPr>
              <w:jc w:val="center"/>
              <w:rPr>
                <w:rFonts w:ascii="Times New Roman" w:hAnsi="Times New Roman"/>
                <w:b/>
                <w:bCs/>
                <w:sz w:val="24"/>
                <w:szCs w:val="24"/>
              </w:rPr>
            </w:pPr>
            <w:r w:rsidRPr="00AA45E9">
              <w:rPr>
                <w:rFonts w:ascii="Times New Roman" w:hAnsi="Times New Roman"/>
                <w:b/>
                <w:bCs/>
                <w:sz w:val="24"/>
                <w:szCs w:val="24"/>
              </w:rPr>
              <w:t>Sans</w:t>
            </w:r>
          </w:p>
          <w:p w:rsidR="004C35A1" w:rsidRDefault="004C35A1" w:rsidP="00C77D61">
            <w:pPr>
              <w:jc w:val="center"/>
            </w:pPr>
            <w:r w:rsidRPr="00AA45E9">
              <w:rPr>
                <w:rFonts w:ascii="Times New Roman" w:hAnsi="Times New Roman"/>
                <w:b/>
                <w:bCs/>
                <w:sz w:val="24"/>
                <w:szCs w:val="24"/>
              </w:rPr>
              <w:t>Projet</w:t>
            </w:r>
          </w:p>
        </w:tc>
        <w:tc>
          <w:tcPr>
            <w:tcW w:w="850" w:type="dxa"/>
            <w:shd w:val="clear" w:color="auto" w:fill="E2EFD9" w:themeFill="accent6" w:themeFillTint="33"/>
            <w:vAlign w:val="center"/>
          </w:tcPr>
          <w:p w:rsidR="004C35A1" w:rsidRPr="00AA45E9" w:rsidRDefault="004C35A1" w:rsidP="0026671B">
            <w:pPr>
              <w:jc w:val="both"/>
              <w:rPr>
                <w:rFonts w:ascii="Times New Roman" w:hAnsi="Times New Roman"/>
                <w:sz w:val="20"/>
                <w:szCs w:val="20"/>
              </w:rPr>
            </w:pPr>
            <w:r w:rsidRPr="00AA45E9">
              <w:rPr>
                <w:rFonts w:ascii="Times New Roman" w:hAnsi="Times New Roman"/>
                <w:sz w:val="20"/>
                <w:szCs w:val="20"/>
              </w:rPr>
              <w:t>Effets positifs</w:t>
            </w:r>
          </w:p>
        </w:tc>
        <w:tc>
          <w:tcPr>
            <w:tcW w:w="8919" w:type="dxa"/>
          </w:tcPr>
          <w:p w:rsidR="004C35A1" w:rsidRPr="00AA45E9" w:rsidRDefault="004C35A1" w:rsidP="00FA3FAE">
            <w:pPr>
              <w:pStyle w:val="Listecouleur-Accent11"/>
              <w:numPr>
                <w:ilvl w:val="0"/>
                <w:numId w:val="72"/>
              </w:numPr>
              <w:ind w:left="167" w:hanging="142"/>
              <w:rPr>
                <w:rFonts w:ascii="Times New Roman" w:hAnsi="Times New Roman"/>
                <w:lang w:val="fr-FR"/>
              </w:rPr>
            </w:pPr>
            <w:r w:rsidRPr="00AA45E9">
              <w:rPr>
                <w:rFonts w:ascii="Times New Roman" w:hAnsi="Times New Roman"/>
                <w:lang w:val="fr-FR"/>
              </w:rPr>
              <w:t xml:space="preserve">Conditions environnementales inchangées dans les zones d’intervention du </w:t>
            </w:r>
            <w:r>
              <w:rPr>
                <w:rFonts w:ascii="Times New Roman" w:hAnsi="Times New Roman"/>
                <w:lang w:val="fr-FR"/>
              </w:rPr>
              <w:t xml:space="preserve">sous </w:t>
            </w:r>
            <w:r w:rsidRPr="00AA45E9">
              <w:rPr>
                <w:rFonts w:ascii="Times New Roman" w:hAnsi="Times New Roman"/>
                <w:lang w:val="fr-FR"/>
              </w:rPr>
              <w:t>projet</w:t>
            </w:r>
            <w:r>
              <w:rPr>
                <w:rFonts w:ascii="Times New Roman" w:hAnsi="Times New Roman"/>
                <w:lang w:val="fr-FR"/>
              </w:rPr>
              <w:t xml:space="preserve"> n°2</w:t>
            </w:r>
            <w:r w:rsidRPr="00AA45E9">
              <w:rPr>
                <w:rFonts w:ascii="Times New Roman" w:hAnsi="Times New Roman"/>
                <w:lang w:val="fr-FR"/>
              </w:rPr>
              <w:t> ;</w:t>
            </w:r>
          </w:p>
          <w:p w:rsidR="004C35A1" w:rsidRPr="00AA45E9" w:rsidRDefault="004C35A1" w:rsidP="00FA3FAE">
            <w:pPr>
              <w:pStyle w:val="Listecouleur-Accent11"/>
              <w:numPr>
                <w:ilvl w:val="0"/>
                <w:numId w:val="71"/>
              </w:numPr>
              <w:ind w:left="167" w:hanging="142"/>
              <w:rPr>
                <w:rFonts w:ascii="Times New Roman" w:hAnsi="Times New Roman"/>
                <w:lang w:val="fr-FR"/>
              </w:rPr>
            </w:pPr>
            <w:r w:rsidRPr="00AA45E9">
              <w:rPr>
                <w:rFonts w:ascii="Times New Roman" w:hAnsi="Times New Roman"/>
                <w:lang w:val="fr-FR"/>
              </w:rPr>
              <w:t>Pas de dégradation des ressources végétales </w:t>
            </w:r>
            <w:r>
              <w:rPr>
                <w:rFonts w:ascii="Times New Roman" w:hAnsi="Times New Roman"/>
                <w:lang w:val="fr-FR"/>
              </w:rPr>
              <w:t>surtout à Bor</w:t>
            </w:r>
            <w:r w:rsidRPr="00AA45E9">
              <w:rPr>
                <w:rFonts w:ascii="Times New Roman" w:hAnsi="Times New Roman"/>
                <w:lang w:val="fr-FR"/>
              </w:rPr>
              <w:t xml:space="preserve"> ;</w:t>
            </w:r>
          </w:p>
          <w:p w:rsidR="004C35A1" w:rsidRDefault="004C35A1" w:rsidP="00FA3FAE">
            <w:pPr>
              <w:pStyle w:val="Listecouleur-Accent11"/>
              <w:numPr>
                <w:ilvl w:val="0"/>
                <w:numId w:val="71"/>
              </w:numPr>
              <w:ind w:left="167" w:hanging="142"/>
              <w:rPr>
                <w:rFonts w:ascii="Times New Roman" w:hAnsi="Times New Roman"/>
                <w:lang w:val="fr-FR"/>
              </w:rPr>
            </w:pPr>
            <w:r w:rsidRPr="00AA45E9">
              <w:rPr>
                <w:rFonts w:ascii="Times New Roman" w:hAnsi="Times New Roman"/>
                <w:lang w:val="fr-FR"/>
              </w:rPr>
              <w:t>Pas de nuisances et de perturbation du cadre de vie des animaux par les travaux</w:t>
            </w:r>
            <w:r>
              <w:rPr>
                <w:rFonts w:ascii="Times New Roman" w:hAnsi="Times New Roman"/>
                <w:lang w:val="fr-FR"/>
              </w:rPr>
              <w:t xml:space="preserve"> de réhabilitation ou de construction</w:t>
            </w:r>
            <w:r w:rsidRPr="00AA45E9">
              <w:rPr>
                <w:rFonts w:ascii="Times New Roman" w:hAnsi="Times New Roman"/>
                <w:lang w:val="fr-FR"/>
              </w:rPr>
              <w:t xml:space="preserve"> ;  </w:t>
            </w:r>
          </w:p>
          <w:p w:rsidR="004C35A1" w:rsidRDefault="004C35A1" w:rsidP="00FA3FAE">
            <w:pPr>
              <w:pStyle w:val="Listecouleur-Accent11"/>
              <w:numPr>
                <w:ilvl w:val="0"/>
                <w:numId w:val="71"/>
              </w:numPr>
              <w:ind w:left="167" w:hanging="142"/>
              <w:rPr>
                <w:rFonts w:ascii="Times New Roman" w:hAnsi="Times New Roman"/>
                <w:lang w:val="fr-FR"/>
              </w:rPr>
            </w:pPr>
            <w:r w:rsidRPr="0005157D">
              <w:rPr>
                <w:rFonts w:ascii="Times New Roman" w:hAnsi="Times New Roman"/>
                <w:lang w:val="fr-FR"/>
              </w:rPr>
              <w:t>Pas de dégra</w:t>
            </w:r>
            <w:r>
              <w:rPr>
                <w:rFonts w:ascii="Times New Roman" w:hAnsi="Times New Roman"/>
                <w:lang w:val="fr-FR"/>
              </w:rPr>
              <w:t>dation ou risque de pollution des ressources en eau (eau de surface, eau souterrain)</w:t>
            </w:r>
            <w:r w:rsidRPr="0005157D">
              <w:rPr>
                <w:rFonts w:ascii="Times New Roman" w:hAnsi="Times New Roman"/>
                <w:lang w:val="fr-FR"/>
              </w:rPr>
              <w:t xml:space="preserve"> ;</w:t>
            </w:r>
          </w:p>
          <w:p w:rsidR="004C35A1" w:rsidRPr="0005157D" w:rsidRDefault="004C35A1" w:rsidP="00FA3FAE">
            <w:pPr>
              <w:pStyle w:val="Listecouleur-Accent11"/>
              <w:numPr>
                <w:ilvl w:val="0"/>
                <w:numId w:val="71"/>
              </w:numPr>
              <w:ind w:left="167" w:hanging="142"/>
              <w:rPr>
                <w:rFonts w:ascii="Times New Roman" w:hAnsi="Times New Roman"/>
                <w:lang w:val="fr-FR"/>
              </w:rPr>
            </w:pPr>
            <w:r>
              <w:rPr>
                <w:rFonts w:ascii="Times New Roman" w:hAnsi="Times New Roman"/>
                <w:lang w:val="fr-FR"/>
              </w:rPr>
              <w:t>Pas de modification du paysage ;</w:t>
            </w:r>
          </w:p>
        </w:tc>
      </w:tr>
      <w:tr w:rsidR="004C35A1" w:rsidTr="00094A83">
        <w:trPr>
          <w:trHeight w:val="225"/>
        </w:trPr>
        <w:tc>
          <w:tcPr>
            <w:tcW w:w="498" w:type="dxa"/>
            <w:vMerge/>
            <w:shd w:val="clear" w:color="auto" w:fill="D9E2F3" w:themeFill="accent5" w:themeFillTint="33"/>
            <w:textDirection w:val="btLr"/>
            <w:vAlign w:val="center"/>
          </w:tcPr>
          <w:p w:rsidR="004C35A1" w:rsidRPr="00C77D61" w:rsidRDefault="004C35A1" w:rsidP="00C77D61">
            <w:pPr>
              <w:ind w:left="113" w:right="113"/>
              <w:jc w:val="center"/>
              <w:rPr>
                <w:rFonts w:ascii="Times New Roman" w:hAnsi="Times New Roman" w:cs="Times New Roman"/>
                <w:b/>
              </w:rPr>
            </w:pPr>
          </w:p>
        </w:tc>
        <w:tc>
          <w:tcPr>
            <w:tcW w:w="932" w:type="dxa"/>
            <w:vMerge/>
            <w:shd w:val="clear" w:color="auto" w:fill="F2F2F2" w:themeFill="background1" w:themeFillShade="F2"/>
          </w:tcPr>
          <w:p w:rsidR="004C35A1" w:rsidRDefault="004C35A1" w:rsidP="0026671B"/>
        </w:tc>
        <w:tc>
          <w:tcPr>
            <w:tcW w:w="850" w:type="dxa"/>
            <w:shd w:val="clear" w:color="auto" w:fill="FFF2CC" w:themeFill="accent4" w:themeFillTint="33"/>
            <w:vAlign w:val="center"/>
          </w:tcPr>
          <w:p w:rsidR="004C35A1" w:rsidRPr="00AA45E9" w:rsidRDefault="004C35A1" w:rsidP="0026671B">
            <w:pPr>
              <w:jc w:val="both"/>
              <w:rPr>
                <w:rFonts w:ascii="Times New Roman" w:hAnsi="Times New Roman"/>
                <w:sz w:val="20"/>
                <w:szCs w:val="20"/>
              </w:rPr>
            </w:pPr>
            <w:r w:rsidRPr="00AA45E9">
              <w:rPr>
                <w:rFonts w:ascii="Times New Roman" w:hAnsi="Times New Roman"/>
                <w:sz w:val="20"/>
                <w:szCs w:val="20"/>
              </w:rPr>
              <w:t>Effets négatifs</w:t>
            </w:r>
          </w:p>
        </w:tc>
        <w:tc>
          <w:tcPr>
            <w:tcW w:w="8919" w:type="dxa"/>
            <w:vAlign w:val="center"/>
          </w:tcPr>
          <w:p w:rsidR="004C35A1" w:rsidRPr="00AA45E9" w:rsidRDefault="004C35A1" w:rsidP="00FA3FAE">
            <w:pPr>
              <w:pStyle w:val="Listecouleur-Accent11"/>
              <w:numPr>
                <w:ilvl w:val="0"/>
                <w:numId w:val="72"/>
              </w:numPr>
              <w:ind w:left="167" w:hanging="142"/>
              <w:rPr>
                <w:rFonts w:ascii="Times New Roman" w:hAnsi="Times New Roman"/>
                <w:lang w:val="fr-FR"/>
              </w:rPr>
            </w:pPr>
            <w:r w:rsidRPr="00AA45E9">
              <w:rPr>
                <w:rFonts w:ascii="Times New Roman" w:hAnsi="Times New Roman"/>
                <w:lang w:val="fr-FR"/>
              </w:rPr>
              <w:t>Néants</w:t>
            </w:r>
          </w:p>
        </w:tc>
      </w:tr>
      <w:tr w:rsidR="004C35A1" w:rsidTr="00C77D61">
        <w:tc>
          <w:tcPr>
            <w:tcW w:w="498" w:type="dxa"/>
            <w:vMerge w:val="restart"/>
            <w:shd w:val="clear" w:color="auto" w:fill="D9E2F3" w:themeFill="accent5" w:themeFillTint="33"/>
            <w:textDirection w:val="btLr"/>
            <w:vAlign w:val="center"/>
          </w:tcPr>
          <w:p w:rsidR="004C35A1" w:rsidRPr="00C77D61" w:rsidRDefault="004C35A1" w:rsidP="00C77D61">
            <w:pPr>
              <w:ind w:left="113" w:right="113"/>
              <w:jc w:val="center"/>
              <w:rPr>
                <w:rFonts w:ascii="Times New Roman" w:hAnsi="Times New Roman" w:cs="Times New Roman"/>
                <w:b/>
              </w:rPr>
            </w:pPr>
            <w:r w:rsidRPr="00C77D61">
              <w:rPr>
                <w:rFonts w:ascii="Times New Roman" w:hAnsi="Times New Roman" w:cs="Times New Roman"/>
                <w:b/>
              </w:rPr>
              <w:t>SOCIAL</w:t>
            </w:r>
          </w:p>
        </w:tc>
        <w:tc>
          <w:tcPr>
            <w:tcW w:w="932" w:type="dxa"/>
            <w:vMerge/>
            <w:shd w:val="clear" w:color="auto" w:fill="F2F2F2" w:themeFill="background1" w:themeFillShade="F2"/>
          </w:tcPr>
          <w:p w:rsidR="004C35A1" w:rsidRDefault="004C35A1" w:rsidP="0026671B"/>
        </w:tc>
        <w:tc>
          <w:tcPr>
            <w:tcW w:w="850" w:type="dxa"/>
            <w:shd w:val="clear" w:color="auto" w:fill="E2EFD9" w:themeFill="accent6" w:themeFillTint="33"/>
            <w:vAlign w:val="center"/>
          </w:tcPr>
          <w:p w:rsidR="004C35A1" w:rsidRPr="00AA45E9" w:rsidRDefault="004C35A1" w:rsidP="0026671B">
            <w:pPr>
              <w:jc w:val="both"/>
              <w:rPr>
                <w:rFonts w:ascii="Times New Roman" w:hAnsi="Times New Roman"/>
                <w:sz w:val="20"/>
                <w:szCs w:val="20"/>
              </w:rPr>
            </w:pPr>
            <w:r w:rsidRPr="00AA45E9">
              <w:rPr>
                <w:rFonts w:ascii="Times New Roman" w:hAnsi="Times New Roman"/>
                <w:sz w:val="20"/>
                <w:szCs w:val="20"/>
              </w:rPr>
              <w:t>Effets positifs</w:t>
            </w:r>
          </w:p>
        </w:tc>
        <w:tc>
          <w:tcPr>
            <w:tcW w:w="8919" w:type="dxa"/>
          </w:tcPr>
          <w:p w:rsidR="004C35A1" w:rsidRPr="00AA45E9" w:rsidRDefault="004C35A1" w:rsidP="00FA3FAE">
            <w:pPr>
              <w:pStyle w:val="Listecouleur-Accent11"/>
              <w:numPr>
                <w:ilvl w:val="0"/>
                <w:numId w:val="72"/>
              </w:numPr>
              <w:ind w:left="167" w:hanging="142"/>
              <w:rPr>
                <w:rFonts w:ascii="Times New Roman" w:hAnsi="Times New Roman"/>
                <w:lang w:val="fr-FR"/>
              </w:rPr>
            </w:pPr>
            <w:r w:rsidRPr="00AA45E9">
              <w:rPr>
                <w:rFonts w:ascii="Times New Roman" w:hAnsi="Times New Roman"/>
                <w:lang w:val="fr-FR"/>
              </w:rPr>
              <w:t xml:space="preserve">Pas de nuisances, ni de perturbations du cadre de vie de la population par rapport à la réalisation des travaux ; </w:t>
            </w:r>
          </w:p>
          <w:p w:rsidR="004C35A1" w:rsidRPr="00AA45E9" w:rsidRDefault="004C35A1" w:rsidP="00FA3FAE">
            <w:pPr>
              <w:pStyle w:val="Listecouleur-Accent11"/>
              <w:numPr>
                <w:ilvl w:val="0"/>
                <w:numId w:val="72"/>
              </w:numPr>
              <w:ind w:left="167" w:hanging="142"/>
              <w:rPr>
                <w:rFonts w:ascii="Times New Roman" w:hAnsi="Times New Roman"/>
                <w:lang w:val="fr-FR"/>
              </w:rPr>
            </w:pPr>
            <w:r w:rsidRPr="00AA45E9">
              <w:rPr>
                <w:rFonts w:ascii="Times New Roman" w:hAnsi="Times New Roman"/>
                <w:lang w:val="fr-FR"/>
              </w:rPr>
              <w:t>Pas des contraintes de mobilité, de gênes et de risques d’accidents engendrés par les travaux.</w:t>
            </w:r>
          </w:p>
          <w:p w:rsidR="004C35A1" w:rsidRPr="00AA45E9" w:rsidRDefault="004C35A1" w:rsidP="00FA3FAE">
            <w:pPr>
              <w:pStyle w:val="Listecouleur-Accent11"/>
              <w:numPr>
                <w:ilvl w:val="0"/>
                <w:numId w:val="72"/>
              </w:numPr>
              <w:ind w:left="167" w:hanging="142"/>
              <w:rPr>
                <w:rFonts w:ascii="Times New Roman" w:hAnsi="Times New Roman"/>
                <w:lang w:val="fr-FR"/>
              </w:rPr>
            </w:pPr>
            <w:r w:rsidRPr="00AA45E9">
              <w:rPr>
                <w:rFonts w:ascii="Times New Roman" w:hAnsi="Times New Roman"/>
                <w:lang w:val="fr-FR"/>
              </w:rPr>
              <w:t>Pas de recrudescences des maladies respiratoires ;</w:t>
            </w:r>
          </w:p>
          <w:p w:rsidR="004C35A1" w:rsidRDefault="004C35A1" w:rsidP="00FA3FAE">
            <w:pPr>
              <w:pStyle w:val="Listecouleur-Accent11"/>
              <w:numPr>
                <w:ilvl w:val="0"/>
                <w:numId w:val="72"/>
              </w:numPr>
              <w:ind w:left="167" w:hanging="142"/>
              <w:rPr>
                <w:rFonts w:ascii="Times New Roman" w:hAnsi="Times New Roman"/>
                <w:lang w:val="fr-FR"/>
              </w:rPr>
            </w:pPr>
            <w:r w:rsidRPr="00AA45E9">
              <w:rPr>
                <w:rFonts w:ascii="Times New Roman" w:hAnsi="Times New Roman"/>
                <w:lang w:val="fr-FR"/>
              </w:rPr>
              <w:t>Pas de perturbation des Us et coutumes des habitants ;</w:t>
            </w:r>
          </w:p>
          <w:p w:rsidR="004C35A1" w:rsidRDefault="004C35A1" w:rsidP="00FA3FAE">
            <w:pPr>
              <w:pStyle w:val="Listecouleur-Accent11"/>
              <w:numPr>
                <w:ilvl w:val="0"/>
                <w:numId w:val="72"/>
              </w:numPr>
              <w:ind w:left="167" w:hanging="142"/>
              <w:rPr>
                <w:rFonts w:ascii="Times New Roman" w:hAnsi="Times New Roman"/>
                <w:lang w:val="fr-FR"/>
              </w:rPr>
            </w:pPr>
            <w:r w:rsidRPr="00A741AE">
              <w:rPr>
                <w:rFonts w:ascii="Times New Roman" w:hAnsi="Times New Roman"/>
                <w:lang w:val="fr-FR"/>
              </w:rPr>
              <w:t>Pas de changement du mode de vie de la population ;</w:t>
            </w:r>
          </w:p>
          <w:p w:rsidR="004C35A1" w:rsidRDefault="004C35A1" w:rsidP="00FA3FAE">
            <w:pPr>
              <w:pStyle w:val="Listecouleur-Accent11"/>
              <w:numPr>
                <w:ilvl w:val="0"/>
                <w:numId w:val="72"/>
              </w:numPr>
              <w:ind w:left="167" w:hanging="142"/>
              <w:rPr>
                <w:rFonts w:ascii="Times New Roman" w:hAnsi="Times New Roman"/>
                <w:lang w:val="fr-FR"/>
              </w:rPr>
            </w:pPr>
            <w:r>
              <w:rPr>
                <w:rFonts w:ascii="Times New Roman" w:hAnsi="Times New Roman"/>
                <w:lang w:val="fr-FR"/>
              </w:rPr>
              <w:t>Pas de perturbation du réseau distribution en eau dans les zones de réhabilitation des réservoirs (Aéroport ; Safim) ;</w:t>
            </w:r>
          </w:p>
          <w:p w:rsidR="004C35A1" w:rsidRPr="00A741AE" w:rsidRDefault="004C35A1" w:rsidP="00FA3FAE">
            <w:pPr>
              <w:pStyle w:val="Listecouleur-Accent11"/>
              <w:numPr>
                <w:ilvl w:val="0"/>
                <w:numId w:val="72"/>
              </w:numPr>
              <w:ind w:left="167" w:hanging="142"/>
              <w:rPr>
                <w:rFonts w:ascii="Times New Roman" w:hAnsi="Times New Roman"/>
                <w:lang w:val="fr-FR"/>
              </w:rPr>
            </w:pPr>
            <w:r>
              <w:rPr>
                <w:rFonts w:ascii="Times New Roman" w:hAnsi="Times New Roman"/>
                <w:lang w:val="fr-FR"/>
              </w:rPr>
              <w:t>Pas délibération des emprises ;</w:t>
            </w:r>
          </w:p>
        </w:tc>
      </w:tr>
      <w:tr w:rsidR="004C35A1" w:rsidTr="00C77D61">
        <w:trPr>
          <w:trHeight w:val="192"/>
        </w:trPr>
        <w:tc>
          <w:tcPr>
            <w:tcW w:w="498" w:type="dxa"/>
            <w:vMerge/>
            <w:shd w:val="clear" w:color="auto" w:fill="D9E2F3" w:themeFill="accent5" w:themeFillTint="33"/>
            <w:textDirection w:val="btLr"/>
            <w:vAlign w:val="center"/>
          </w:tcPr>
          <w:p w:rsidR="004C35A1" w:rsidRPr="00C77D61" w:rsidRDefault="004C35A1" w:rsidP="00C77D61">
            <w:pPr>
              <w:ind w:left="113" w:right="113"/>
              <w:jc w:val="center"/>
              <w:rPr>
                <w:rFonts w:ascii="Times New Roman" w:hAnsi="Times New Roman" w:cs="Times New Roman"/>
                <w:b/>
              </w:rPr>
            </w:pPr>
          </w:p>
        </w:tc>
        <w:tc>
          <w:tcPr>
            <w:tcW w:w="932" w:type="dxa"/>
            <w:vMerge/>
            <w:shd w:val="clear" w:color="auto" w:fill="F2F2F2" w:themeFill="background1" w:themeFillShade="F2"/>
          </w:tcPr>
          <w:p w:rsidR="004C35A1" w:rsidRDefault="004C35A1" w:rsidP="0026671B"/>
        </w:tc>
        <w:tc>
          <w:tcPr>
            <w:tcW w:w="850" w:type="dxa"/>
            <w:shd w:val="clear" w:color="auto" w:fill="FFF2CC" w:themeFill="accent4" w:themeFillTint="33"/>
            <w:vAlign w:val="center"/>
          </w:tcPr>
          <w:p w:rsidR="004C35A1" w:rsidRPr="00AA45E9" w:rsidRDefault="004C35A1" w:rsidP="0026671B">
            <w:pPr>
              <w:jc w:val="both"/>
              <w:rPr>
                <w:rFonts w:ascii="Times New Roman" w:hAnsi="Times New Roman"/>
                <w:sz w:val="20"/>
                <w:szCs w:val="20"/>
              </w:rPr>
            </w:pPr>
            <w:r w:rsidRPr="00AA45E9">
              <w:rPr>
                <w:rFonts w:ascii="Times New Roman" w:hAnsi="Times New Roman"/>
                <w:sz w:val="20"/>
                <w:szCs w:val="20"/>
              </w:rPr>
              <w:t>Effets négatifs</w:t>
            </w:r>
          </w:p>
        </w:tc>
        <w:tc>
          <w:tcPr>
            <w:tcW w:w="8919" w:type="dxa"/>
            <w:vAlign w:val="center"/>
          </w:tcPr>
          <w:p w:rsidR="004C35A1" w:rsidRDefault="004C35A1" w:rsidP="00FA3FAE">
            <w:pPr>
              <w:pStyle w:val="Listecouleur-Accent11"/>
              <w:numPr>
                <w:ilvl w:val="0"/>
                <w:numId w:val="72"/>
              </w:numPr>
              <w:ind w:left="167" w:hanging="142"/>
              <w:rPr>
                <w:rFonts w:ascii="Times New Roman" w:hAnsi="Times New Roman"/>
                <w:lang w:val="fr-FR"/>
              </w:rPr>
            </w:pPr>
            <w:r w:rsidRPr="00AA45E9">
              <w:rPr>
                <w:rFonts w:ascii="Times New Roman" w:hAnsi="Times New Roman"/>
                <w:lang w:val="fr-FR"/>
              </w:rPr>
              <w:t>Risque</w:t>
            </w:r>
            <w:r>
              <w:rPr>
                <w:rFonts w:ascii="Times New Roman" w:hAnsi="Times New Roman"/>
                <w:lang w:val="fr-FR"/>
              </w:rPr>
              <w:t xml:space="preserve"> d’augmentation des difficultés d’accès à l’eau portable auprès de la population habitant dans les zones desservies ;</w:t>
            </w:r>
          </w:p>
          <w:p w:rsidR="004C35A1" w:rsidRDefault="004C35A1" w:rsidP="00FA3FAE">
            <w:pPr>
              <w:pStyle w:val="Listecouleur-Accent11"/>
              <w:numPr>
                <w:ilvl w:val="0"/>
                <w:numId w:val="72"/>
              </w:numPr>
              <w:ind w:left="167" w:hanging="142"/>
              <w:rPr>
                <w:rFonts w:ascii="Times New Roman" w:hAnsi="Times New Roman"/>
                <w:lang w:val="fr-FR"/>
              </w:rPr>
            </w:pPr>
            <w:r w:rsidRPr="00052EC6">
              <w:rPr>
                <w:rFonts w:ascii="Times New Roman" w:hAnsi="Times New Roman"/>
                <w:lang w:val="fr-FR"/>
              </w:rPr>
              <w:lastRenderedPageBreak/>
              <w:t>Risque d’</w:t>
            </w:r>
            <w:r>
              <w:rPr>
                <w:rFonts w:ascii="Times New Roman" w:hAnsi="Times New Roman"/>
                <w:lang w:val="fr-FR"/>
              </w:rPr>
              <w:t>augmentation du taux de personne malade due à la consommation d’eau impropre ;</w:t>
            </w:r>
          </w:p>
          <w:p w:rsidR="004C35A1" w:rsidRDefault="004C35A1" w:rsidP="00FA3FAE">
            <w:pPr>
              <w:pStyle w:val="Listecouleur-Accent11"/>
              <w:numPr>
                <w:ilvl w:val="0"/>
                <w:numId w:val="72"/>
              </w:numPr>
              <w:ind w:left="167" w:hanging="142"/>
              <w:rPr>
                <w:rFonts w:ascii="Times New Roman" w:hAnsi="Times New Roman"/>
                <w:lang w:val="fr-FR"/>
              </w:rPr>
            </w:pPr>
            <w:r>
              <w:rPr>
                <w:rFonts w:ascii="Times New Roman" w:hAnsi="Times New Roman"/>
                <w:lang w:val="fr-FR"/>
              </w:rPr>
              <w:t xml:space="preserve">Augmentation des risques de pollution des eaux souterrains due à la réalisation des puits traditionnels ; </w:t>
            </w:r>
          </w:p>
          <w:p w:rsidR="004C35A1" w:rsidRDefault="004C35A1" w:rsidP="00FA3FAE">
            <w:pPr>
              <w:pStyle w:val="Listecouleur-Accent11"/>
              <w:numPr>
                <w:ilvl w:val="0"/>
                <w:numId w:val="72"/>
              </w:numPr>
              <w:ind w:left="167" w:hanging="142"/>
              <w:rPr>
                <w:rFonts w:ascii="Times New Roman" w:hAnsi="Times New Roman"/>
                <w:lang w:val="fr-FR"/>
              </w:rPr>
            </w:pPr>
            <w:r>
              <w:rPr>
                <w:rFonts w:ascii="Times New Roman" w:hAnsi="Times New Roman"/>
                <w:lang w:val="fr-FR"/>
              </w:rPr>
              <w:t>Risque de soulèvement populaire dans les différents quartiers n’ayant pas d’accès au réseau d’eau d’EAGB</w:t>
            </w:r>
          </w:p>
          <w:p w:rsidR="004C35A1" w:rsidRPr="00052EC6" w:rsidRDefault="004C35A1" w:rsidP="00FA3FAE">
            <w:pPr>
              <w:pStyle w:val="Listecouleur-Accent11"/>
              <w:numPr>
                <w:ilvl w:val="0"/>
                <w:numId w:val="72"/>
              </w:numPr>
              <w:ind w:left="167" w:hanging="142"/>
              <w:rPr>
                <w:rFonts w:ascii="Times New Roman" w:hAnsi="Times New Roman"/>
                <w:lang w:val="fr-FR"/>
              </w:rPr>
            </w:pPr>
            <w:r w:rsidRPr="00052EC6">
              <w:rPr>
                <w:rFonts w:ascii="Times New Roman" w:hAnsi="Times New Roman"/>
                <w:lang w:val="fr-FR"/>
              </w:rPr>
              <w:t>Augmentation des contraintes à la volonté et aux objectifs de la politique de développement du pays,</w:t>
            </w:r>
          </w:p>
          <w:p w:rsidR="004C35A1" w:rsidRPr="00AA45E9" w:rsidRDefault="004C35A1" w:rsidP="00FA3FAE">
            <w:pPr>
              <w:pStyle w:val="Listecouleur-Accent11"/>
              <w:numPr>
                <w:ilvl w:val="0"/>
                <w:numId w:val="72"/>
              </w:numPr>
              <w:ind w:left="167" w:hanging="142"/>
              <w:rPr>
                <w:rFonts w:ascii="Times New Roman" w:hAnsi="Times New Roman"/>
                <w:lang w:val="fr-FR"/>
              </w:rPr>
            </w:pPr>
            <w:r w:rsidRPr="00AA45E9">
              <w:rPr>
                <w:rFonts w:ascii="Times New Roman" w:hAnsi="Times New Roman"/>
                <w:lang w:val="fr-FR"/>
              </w:rPr>
              <w:t xml:space="preserve">Retard considérable du pays par rapport </w:t>
            </w:r>
            <w:r>
              <w:rPr>
                <w:rFonts w:ascii="Times New Roman" w:hAnsi="Times New Roman"/>
                <w:lang w:val="fr-FR"/>
              </w:rPr>
              <w:t xml:space="preserve">au respect </w:t>
            </w:r>
            <w:r w:rsidR="00BE3D77">
              <w:rPr>
                <w:rFonts w:ascii="Times New Roman" w:hAnsi="Times New Roman"/>
                <w:lang w:val="fr-FR"/>
              </w:rPr>
              <w:t>des normes internationales</w:t>
            </w:r>
            <w:r w:rsidR="00BE3D77" w:rsidRPr="00AA45E9">
              <w:rPr>
                <w:rFonts w:ascii="Times New Roman" w:hAnsi="Times New Roman"/>
                <w:lang w:val="fr-FR"/>
              </w:rPr>
              <w:t xml:space="preserve"> ;</w:t>
            </w:r>
          </w:p>
          <w:p w:rsidR="004C35A1" w:rsidRPr="00AA45E9" w:rsidRDefault="004C35A1" w:rsidP="00FA3FAE">
            <w:pPr>
              <w:pStyle w:val="Listecouleur-Accent11"/>
              <w:numPr>
                <w:ilvl w:val="0"/>
                <w:numId w:val="72"/>
              </w:numPr>
              <w:ind w:left="167" w:hanging="142"/>
              <w:rPr>
                <w:rFonts w:ascii="Times New Roman" w:hAnsi="Times New Roman"/>
                <w:lang w:val="fr-FR"/>
              </w:rPr>
            </w:pPr>
            <w:r w:rsidRPr="00AA45E9">
              <w:rPr>
                <w:rFonts w:ascii="Times New Roman" w:hAnsi="Times New Roman"/>
                <w:lang w:val="fr-FR"/>
              </w:rPr>
              <w:t>Pas d’opportunités d’emplois liés au travail (entreprises et main d’œuvre)</w:t>
            </w:r>
          </w:p>
        </w:tc>
      </w:tr>
      <w:tr w:rsidR="004C35A1" w:rsidTr="00C77D61">
        <w:tc>
          <w:tcPr>
            <w:tcW w:w="498" w:type="dxa"/>
            <w:vMerge w:val="restart"/>
            <w:shd w:val="clear" w:color="auto" w:fill="D9E2F3" w:themeFill="accent5" w:themeFillTint="33"/>
            <w:textDirection w:val="btLr"/>
            <w:vAlign w:val="center"/>
          </w:tcPr>
          <w:p w:rsidR="004C35A1" w:rsidRPr="00C77D61" w:rsidRDefault="004C35A1" w:rsidP="00C77D61">
            <w:pPr>
              <w:ind w:left="113" w:right="113"/>
              <w:jc w:val="center"/>
              <w:rPr>
                <w:rFonts w:ascii="Times New Roman" w:hAnsi="Times New Roman" w:cs="Times New Roman"/>
                <w:b/>
              </w:rPr>
            </w:pPr>
            <w:r w:rsidRPr="00C77D61">
              <w:rPr>
                <w:rFonts w:ascii="Times New Roman" w:hAnsi="Times New Roman" w:cs="Times New Roman"/>
                <w:b/>
              </w:rPr>
              <w:lastRenderedPageBreak/>
              <w:t>ECONOMIQUE</w:t>
            </w:r>
          </w:p>
        </w:tc>
        <w:tc>
          <w:tcPr>
            <w:tcW w:w="932" w:type="dxa"/>
            <w:vMerge/>
            <w:shd w:val="clear" w:color="auto" w:fill="F2F2F2" w:themeFill="background1" w:themeFillShade="F2"/>
          </w:tcPr>
          <w:p w:rsidR="004C35A1" w:rsidRDefault="004C35A1" w:rsidP="0026671B"/>
        </w:tc>
        <w:tc>
          <w:tcPr>
            <w:tcW w:w="850" w:type="dxa"/>
            <w:shd w:val="clear" w:color="auto" w:fill="E2EFD9" w:themeFill="accent6" w:themeFillTint="33"/>
            <w:vAlign w:val="center"/>
          </w:tcPr>
          <w:p w:rsidR="004C35A1" w:rsidRPr="00AA45E9" w:rsidRDefault="004C35A1" w:rsidP="0026671B">
            <w:pPr>
              <w:jc w:val="both"/>
              <w:rPr>
                <w:rFonts w:ascii="Times New Roman" w:hAnsi="Times New Roman"/>
                <w:sz w:val="20"/>
                <w:szCs w:val="20"/>
              </w:rPr>
            </w:pPr>
            <w:r w:rsidRPr="00AA45E9">
              <w:rPr>
                <w:rFonts w:ascii="Times New Roman" w:hAnsi="Times New Roman"/>
                <w:sz w:val="20"/>
                <w:szCs w:val="20"/>
              </w:rPr>
              <w:t>Effets positifs</w:t>
            </w:r>
          </w:p>
        </w:tc>
        <w:tc>
          <w:tcPr>
            <w:tcW w:w="8919" w:type="dxa"/>
          </w:tcPr>
          <w:p w:rsidR="004C35A1" w:rsidRDefault="004C35A1" w:rsidP="00FA3FAE">
            <w:pPr>
              <w:pStyle w:val="Listecouleur-Accent11"/>
              <w:numPr>
                <w:ilvl w:val="0"/>
                <w:numId w:val="72"/>
              </w:numPr>
              <w:ind w:left="167" w:hanging="142"/>
            </w:pPr>
            <w:r w:rsidRPr="00AA45E9">
              <w:rPr>
                <w:rFonts w:ascii="Times New Roman" w:hAnsi="Times New Roman"/>
                <w:lang w:val="fr-FR"/>
              </w:rPr>
              <w:t>Néants</w:t>
            </w:r>
          </w:p>
        </w:tc>
      </w:tr>
      <w:tr w:rsidR="004C35A1" w:rsidTr="00C77D61">
        <w:tc>
          <w:tcPr>
            <w:tcW w:w="498" w:type="dxa"/>
            <w:vMerge/>
            <w:shd w:val="clear" w:color="auto" w:fill="D9E2F3" w:themeFill="accent5" w:themeFillTint="33"/>
          </w:tcPr>
          <w:p w:rsidR="004C35A1" w:rsidRDefault="004C35A1" w:rsidP="0026671B"/>
        </w:tc>
        <w:tc>
          <w:tcPr>
            <w:tcW w:w="932" w:type="dxa"/>
            <w:vMerge/>
            <w:shd w:val="clear" w:color="auto" w:fill="F2F2F2" w:themeFill="background1" w:themeFillShade="F2"/>
          </w:tcPr>
          <w:p w:rsidR="004C35A1" w:rsidRDefault="004C35A1" w:rsidP="0026671B"/>
        </w:tc>
        <w:tc>
          <w:tcPr>
            <w:tcW w:w="850" w:type="dxa"/>
            <w:shd w:val="clear" w:color="auto" w:fill="FFF2CC" w:themeFill="accent4" w:themeFillTint="33"/>
            <w:vAlign w:val="center"/>
          </w:tcPr>
          <w:p w:rsidR="004C35A1" w:rsidRPr="00AA45E9" w:rsidRDefault="004C35A1" w:rsidP="0026671B">
            <w:pPr>
              <w:jc w:val="both"/>
              <w:rPr>
                <w:rFonts w:ascii="Times New Roman" w:hAnsi="Times New Roman"/>
                <w:sz w:val="20"/>
                <w:szCs w:val="20"/>
              </w:rPr>
            </w:pPr>
            <w:r w:rsidRPr="00AA45E9">
              <w:rPr>
                <w:rFonts w:ascii="Times New Roman" w:hAnsi="Times New Roman"/>
                <w:sz w:val="20"/>
                <w:szCs w:val="20"/>
              </w:rPr>
              <w:t>Effets négatifs</w:t>
            </w:r>
          </w:p>
        </w:tc>
        <w:tc>
          <w:tcPr>
            <w:tcW w:w="8919" w:type="dxa"/>
          </w:tcPr>
          <w:p w:rsidR="004C35A1" w:rsidRPr="00AA45E9" w:rsidRDefault="004C35A1" w:rsidP="00FA3FAE">
            <w:pPr>
              <w:pStyle w:val="Listecouleur-Accent11"/>
              <w:numPr>
                <w:ilvl w:val="0"/>
                <w:numId w:val="72"/>
              </w:numPr>
              <w:ind w:left="167" w:hanging="142"/>
              <w:rPr>
                <w:rFonts w:ascii="Times New Roman" w:hAnsi="Times New Roman"/>
                <w:lang w:val="fr-FR"/>
              </w:rPr>
            </w:pPr>
            <w:r w:rsidRPr="00AA45E9">
              <w:rPr>
                <w:rFonts w:ascii="Times New Roman" w:hAnsi="Times New Roman"/>
                <w:lang w:val="fr-FR"/>
              </w:rPr>
              <w:t>Pas d’opportunités d’emplois alors pas d’augmentation des revenus pour les jeunes dans les différents secteurs concernés ;</w:t>
            </w:r>
          </w:p>
          <w:p w:rsidR="004C35A1" w:rsidRPr="00AA45E9" w:rsidRDefault="004C35A1" w:rsidP="00FA3FAE">
            <w:pPr>
              <w:pStyle w:val="Listecouleur-Accent11"/>
              <w:numPr>
                <w:ilvl w:val="0"/>
                <w:numId w:val="72"/>
              </w:numPr>
              <w:ind w:left="167" w:hanging="142"/>
              <w:rPr>
                <w:rFonts w:ascii="Times New Roman" w:hAnsi="Times New Roman"/>
                <w:lang w:val="fr-FR"/>
              </w:rPr>
            </w:pPr>
            <w:r w:rsidRPr="00AA45E9">
              <w:rPr>
                <w:rFonts w:ascii="Times New Roman" w:hAnsi="Times New Roman"/>
                <w:lang w:val="fr-FR"/>
              </w:rPr>
              <w:t>Pas de retombées sur l’économie locale et nationale ;</w:t>
            </w:r>
          </w:p>
          <w:p w:rsidR="004C35A1" w:rsidRPr="00BE3D77" w:rsidRDefault="004C35A1" w:rsidP="00FA3FAE">
            <w:pPr>
              <w:pStyle w:val="Listecouleur-Accent11"/>
              <w:numPr>
                <w:ilvl w:val="0"/>
                <w:numId w:val="72"/>
              </w:numPr>
              <w:ind w:left="167" w:hanging="142"/>
              <w:rPr>
                <w:rFonts w:ascii="Times New Roman" w:hAnsi="Times New Roman"/>
                <w:lang w:val="fr-FR"/>
              </w:rPr>
            </w:pPr>
            <w:r w:rsidRPr="00AA45E9">
              <w:rPr>
                <w:rFonts w:ascii="Times New Roman" w:hAnsi="Times New Roman"/>
                <w:lang w:val="fr-FR"/>
              </w:rPr>
              <w:t>Pas d’opportunités d’affaires pour les entreprises BTP du pays ;</w:t>
            </w:r>
          </w:p>
          <w:p w:rsidR="004C35A1" w:rsidRPr="00BE3D77" w:rsidRDefault="004C35A1" w:rsidP="00FA3FAE">
            <w:pPr>
              <w:pStyle w:val="Listecouleur-Accent11"/>
              <w:numPr>
                <w:ilvl w:val="0"/>
                <w:numId w:val="72"/>
              </w:numPr>
              <w:ind w:left="167" w:hanging="142"/>
              <w:rPr>
                <w:rFonts w:ascii="Times New Roman" w:hAnsi="Times New Roman"/>
                <w:lang w:val="fr-FR"/>
              </w:rPr>
            </w:pPr>
            <w:r w:rsidRPr="00AA45E9">
              <w:rPr>
                <w:rFonts w:ascii="Times New Roman" w:hAnsi="Times New Roman"/>
                <w:lang w:val="fr-FR"/>
              </w:rPr>
              <w:t>Pas d’amélioration du climat d’investissement ;</w:t>
            </w:r>
          </w:p>
        </w:tc>
      </w:tr>
      <w:tr w:rsidR="00BE3D77" w:rsidTr="00E5080B">
        <w:tc>
          <w:tcPr>
            <w:tcW w:w="11199" w:type="dxa"/>
            <w:gridSpan w:val="4"/>
          </w:tcPr>
          <w:p w:rsidR="00BE3D77" w:rsidRPr="00BE3D77" w:rsidRDefault="00BE3D77" w:rsidP="00BE3D77">
            <w:pPr>
              <w:pStyle w:val="Listecouleur-Accent11"/>
              <w:ind w:left="167"/>
              <w:rPr>
                <w:rFonts w:ascii="Times New Roman" w:hAnsi="Times New Roman"/>
                <w:sz w:val="6"/>
                <w:szCs w:val="6"/>
                <w:lang w:val="fr-FR"/>
              </w:rPr>
            </w:pPr>
          </w:p>
        </w:tc>
      </w:tr>
      <w:tr w:rsidR="00E5080B" w:rsidTr="00C77D61">
        <w:tc>
          <w:tcPr>
            <w:tcW w:w="498" w:type="dxa"/>
            <w:vMerge w:val="restart"/>
            <w:shd w:val="clear" w:color="auto" w:fill="D9E2F3" w:themeFill="accent5" w:themeFillTint="33"/>
            <w:textDirection w:val="btLr"/>
          </w:tcPr>
          <w:p w:rsidR="00BE3D77" w:rsidRPr="00C77D61" w:rsidRDefault="00BE3D77" w:rsidP="00C77D61">
            <w:pPr>
              <w:ind w:left="113" w:right="113"/>
              <w:jc w:val="center"/>
              <w:rPr>
                <w:rFonts w:ascii="Times New Roman" w:hAnsi="Times New Roman" w:cs="Times New Roman"/>
                <w:b/>
                <w:color w:val="000000"/>
                <w:sz w:val="24"/>
                <w:szCs w:val="24"/>
              </w:rPr>
            </w:pPr>
            <w:r w:rsidRPr="00C77D61">
              <w:rPr>
                <w:rFonts w:ascii="Times New Roman" w:hAnsi="Times New Roman" w:cs="Times New Roman"/>
                <w:b/>
                <w:color w:val="000000"/>
                <w:sz w:val="24"/>
                <w:szCs w:val="24"/>
              </w:rPr>
              <w:t>Environnement</w:t>
            </w:r>
          </w:p>
        </w:tc>
        <w:tc>
          <w:tcPr>
            <w:tcW w:w="932" w:type="dxa"/>
            <w:vMerge w:val="restart"/>
            <w:shd w:val="clear" w:color="auto" w:fill="F2F2F2" w:themeFill="background1" w:themeFillShade="F2"/>
            <w:vAlign w:val="center"/>
          </w:tcPr>
          <w:p w:rsidR="00BE3D77" w:rsidRPr="00C77D61" w:rsidRDefault="00BE3D77" w:rsidP="00C77D61">
            <w:pPr>
              <w:jc w:val="center"/>
              <w:rPr>
                <w:rFonts w:ascii="Times New Roman" w:hAnsi="Times New Roman" w:cs="Times New Roman"/>
                <w:b/>
                <w:color w:val="000000"/>
              </w:rPr>
            </w:pPr>
            <w:r w:rsidRPr="00C77D61">
              <w:rPr>
                <w:rFonts w:ascii="Times New Roman" w:hAnsi="Times New Roman" w:cs="Times New Roman"/>
                <w:b/>
                <w:color w:val="000000"/>
              </w:rPr>
              <w:t>Projet retardé</w:t>
            </w:r>
          </w:p>
        </w:tc>
        <w:tc>
          <w:tcPr>
            <w:tcW w:w="850" w:type="dxa"/>
            <w:shd w:val="clear" w:color="auto" w:fill="E2EFD9" w:themeFill="accent6" w:themeFillTint="33"/>
            <w:vAlign w:val="center"/>
          </w:tcPr>
          <w:p w:rsidR="00BE3D77" w:rsidRPr="00BE3D77" w:rsidRDefault="00BE3D77" w:rsidP="00C77D61">
            <w:pPr>
              <w:jc w:val="center"/>
              <w:rPr>
                <w:rFonts w:ascii="Times New Roman" w:hAnsi="Times New Roman" w:cs="Times New Roman"/>
                <w:color w:val="000000"/>
                <w:sz w:val="20"/>
                <w:szCs w:val="20"/>
              </w:rPr>
            </w:pPr>
            <w:r w:rsidRPr="00BE3D77">
              <w:rPr>
                <w:rFonts w:ascii="Times New Roman" w:hAnsi="Times New Roman" w:cs="Times New Roman"/>
                <w:color w:val="000000"/>
                <w:sz w:val="20"/>
                <w:szCs w:val="20"/>
              </w:rPr>
              <w:t>Effet</w:t>
            </w:r>
            <w:r w:rsidR="00F6660B">
              <w:rPr>
                <w:rFonts w:ascii="Times New Roman" w:hAnsi="Times New Roman" w:cs="Times New Roman"/>
                <w:color w:val="000000"/>
                <w:sz w:val="20"/>
                <w:szCs w:val="20"/>
              </w:rPr>
              <w:t>s</w:t>
            </w:r>
            <w:r w:rsidRPr="00BE3D77">
              <w:rPr>
                <w:rFonts w:ascii="Times New Roman" w:hAnsi="Times New Roman" w:cs="Times New Roman"/>
                <w:color w:val="000000"/>
                <w:sz w:val="20"/>
                <w:szCs w:val="20"/>
              </w:rPr>
              <w:t xml:space="preserve"> positif</w:t>
            </w:r>
            <w:r w:rsidR="00F6660B">
              <w:rPr>
                <w:rFonts w:ascii="Times New Roman" w:hAnsi="Times New Roman" w:cs="Times New Roman"/>
                <w:color w:val="000000"/>
                <w:sz w:val="20"/>
                <w:szCs w:val="20"/>
              </w:rPr>
              <w:t>s</w:t>
            </w:r>
          </w:p>
        </w:tc>
        <w:tc>
          <w:tcPr>
            <w:tcW w:w="8919" w:type="dxa"/>
          </w:tcPr>
          <w:p w:rsidR="003C66D7" w:rsidRDefault="003C66D7" w:rsidP="00FA3FAE">
            <w:pPr>
              <w:pStyle w:val="Listecouleur-Accent11"/>
              <w:numPr>
                <w:ilvl w:val="0"/>
                <w:numId w:val="71"/>
              </w:numPr>
              <w:ind w:left="167" w:hanging="142"/>
              <w:rPr>
                <w:rFonts w:ascii="Times New Roman" w:hAnsi="Times New Roman"/>
                <w:lang w:val="fr-FR"/>
              </w:rPr>
            </w:pPr>
            <w:r w:rsidRPr="003C66D7">
              <w:rPr>
                <w:rFonts w:ascii="Times New Roman" w:hAnsi="Times New Roman"/>
                <w:lang w:val="fr-FR"/>
              </w:rPr>
              <w:t xml:space="preserve">Conditions environnementales inchangées dans les zones d’intervention </w:t>
            </w:r>
          </w:p>
          <w:p w:rsidR="003C66D7" w:rsidRPr="003C66D7" w:rsidRDefault="003C66D7" w:rsidP="00FA3FAE">
            <w:pPr>
              <w:pStyle w:val="Listecouleur-Accent11"/>
              <w:numPr>
                <w:ilvl w:val="0"/>
                <w:numId w:val="71"/>
              </w:numPr>
              <w:ind w:left="167" w:hanging="142"/>
              <w:rPr>
                <w:rFonts w:ascii="Times New Roman" w:hAnsi="Times New Roman"/>
                <w:lang w:val="fr-FR"/>
              </w:rPr>
            </w:pPr>
            <w:r w:rsidRPr="003C66D7">
              <w:rPr>
                <w:rFonts w:ascii="Times New Roman" w:hAnsi="Times New Roman"/>
                <w:lang w:val="fr-FR"/>
              </w:rPr>
              <w:t>Pas de dégradation des ressources végétales surtout à Bor ;</w:t>
            </w:r>
          </w:p>
          <w:p w:rsidR="003C66D7" w:rsidRDefault="003C66D7" w:rsidP="00FA3FAE">
            <w:pPr>
              <w:pStyle w:val="Listecouleur-Accent11"/>
              <w:numPr>
                <w:ilvl w:val="0"/>
                <w:numId w:val="71"/>
              </w:numPr>
              <w:ind w:left="167" w:hanging="142"/>
              <w:rPr>
                <w:rFonts w:ascii="Times New Roman" w:hAnsi="Times New Roman"/>
                <w:lang w:val="fr-FR"/>
              </w:rPr>
            </w:pPr>
            <w:r w:rsidRPr="00AA45E9">
              <w:rPr>
                <w:rFonts w:ascii="Times New Roman" w:hAnsi="Times New Roman"/>
                <w:lang w:val="fr-FR"/>
              </w:rPr>
              <w:t>Pas de nuisances et de perturbation du cadre de vie des animaux par les travaux</w:t>
            </w:r>
            <w:r>
              <w:rPr>
                <w:rFonts w:ascii="Times New Roman" w:hAnsi="Times New Roman"/>
                <w:lang w:val="fr-FR"/>
              </w:rPr>
              <w:t xml:space="preserve"> de réhabilitation ou de construction</w:t>
            </w:r>
            <w:r w:rsidRPr="00AA45E9">
              <w:rPr>
                <w:rFonts w:ascii="Times New Roman" w:hAnsi="Times New Roman"/>
                <w:lang w:val="fr-FR"/>
              </w:rPr>
              <w:t xml:space="preserve"> ;  </w:t>
            </w:r>
          </w:p>
          <w:p w:rsidR="003C66D7" w:rsidRDefault="003C66D7" w:rsidP="00FA3FAE">
            <w:pPr>
              <w:pStyle w:val="Listecouleur-Accent11"/>
              <w:numPr>
                <w:ilvl w:val="0"/>
                <w:numId w:val="71"/>
              </w:numPr>
              <w:ind w:left="167" w:hanging="142"/>
              <w:rPr>
                <w:rFonts w:ascii="Times New Roman" w:hAnsi="Times New Roman"/>
                <w:lang w:val="fr-FR"/>
              </w:rPr>
            </w:pPr>
            <w:r w:rsidRPr="0005157D">
              <w:rPr>
                <w:rFonts w:ascii="Times New Roman" w:hAnsi="Times New Roman"/>
                <w:lang w:val="fr-FR"/>
              </w:rPr>
              <w:t>Pas de dégra</w:t>
            </w:r>
            <w:r>
              <w:rPr>
                <w:rFonts w:ascii="Times New Roman" w:hAnsi="Times New Roman"/>
                <w:lang w:val="fr-FR"/>
              </w:rPr>
              <w:t>dation ou risque de pollution des ressources en eau (eau de surface, eau souterrain)</w:t>
            </w:r>
            <w:r w:rsidRPr="0005157D">
              <w:rPr>
                <w:rFonts w:ascii="Times New Roman" w:hAnsi="Times New Roman"/>
                <w:lang w:val="fr-FR"/>
              </w:rPr>
              <w:t xml:space="preserve"> ;</w:t>
            </w:r>
          </w:p>
          <w:p w:rsidR="00BE3D77" w:rsidRDefault="003C66D7" w:rsidP="00FA3FAE">
            <w:pPr>
              <w:pStyle w:val="Listecouleur-Accent11"/>
              <w:numPr>
                <w:ilvl w:val="0"/>
                <w:numId w:val="71"/>
              </w:numPr>
              <w:ind w:left="167" w:hanging="142"/>
              <w:rPr>
                <w:rFonts w:ascii="Times New Roman" w:hAnsi="Times New Roman"/>
                <w:color w:val="000000"/>
                <w:sz w:val="24"/>
                <w:szCs w:val="24"/>
              </w:rPr>
            </w:pPr>
            <w:r>
              <w:rPr>
                <w:rFonts w:ascii="Times New Roman" w:hAnsi="Times New Roman"/>
                <w:lang w:val="fr-FR"/>
              </w:rPr>
              <w:t>Pas de modification du paysage ;</w:t>
            </w:r>
          </w:p>
        </w:tc>
      </w:tr>
      <w:tr w:rsidR="00E5080B" w:rsidTr="00C77D61">
        <w:tc>
          <w:tcPr>
            <w:tcW w:w="498" w:type="dxa"/>
            <w:vMerge/>
            <w:shd w:val="clear" w:color="auto" w:fill="D9E2F3" w:themeFill="accent5" w:themeFillTint="33"/>
          </w:tcPr>
          <w:p w:rsidR="00BE3D77" w:rsidRPr="00C77D61" w:rsidRDefault="00BE3D77" w:rsidP="00C77D61">
            <w:pPr>
              <w:jc w:val="center"/>
              <w:rPr>
                <w:rFonts w:ascii="Times New Roman" w:hAnsi="Times New Roman" w:cs="Times New Roman"/>
                <w:b/>
                <w:color w:val="000000"/>
                <w:sz w:val="24"/>
                <w:szCs w:val="24"/>
              </w:rPr>
            </w:pPr>
          </w:p>
        </w:tc>
        <w:tc>
          <w:tcPr>
            <w:tcW w:w="932" w:type="dxa"/>
            <w:vMerge/>
            <w:shd w:val="clear" w:color="auto" w:fill="F2F2F2" w:themeFill="background1" w:themeFillShade="F2"/>
          </w:tcPr>
          <w:p w:rsidR="00BE3D77" w:rsidRDefault="00BE3D77" w:rsidP="0086494A">
            <w:pPr>
              <w:jc w:val="both"/>
              <w:rPr>
                <w:rFonts w:ascii="Times New Roman" w:hAnsi="Times New Roman" w:cs="Times New Roman"/>
                <w:color w:val="000000"/>
                <w:sz w:val="24"/>
                <w:szCs w:val="24"/>
              </w:rPr>
            </w:pPr>
          </w:p>
        </w:tc>
        <w:tc>
          <w:tcPr>
            <w:tcW w:w="850" w:type="dxa"/>
            <w:shd w:val="clear" w:color="auto" w:fill="FFF2CC" w:themeFill="accent4" w:themeFillTint="33"/>
            <w:vAlign w:val="center"/>
          </w:tcPr>
          <w:p w:rsidR="00BE3D77" w:rsidRPr="00BE3D77" w:rsidRDefault="00BE3D77" w:rsidP="00C77D61">
            <w:pPr>
              <w:jc w:val="center"/>
              <w:rPr>
                <w:rFonts w:ascii="Times New Roman" w:hAnsi="Times New Roman" w:cs="Times New Roman"/>
                <w:color w:val="000000"/>
                <w:sz w:val="20"/>
                <w:szCs w:val="20"/>
              </w:rPr>
            </w:pPr>
            <w:r w:rsidRPr="00BE3D77">
              <w:rPr>
                <w:rFonts w:ascii="Times New Roman" w:hAnsi="Times New Roman" w:cs="Times New Roman"/>
                <w:color w:val="000000"/>
                <w:sz w:val="20"/>
                <w:szCs w:val="20"/>
              </w:rPr>
              <w:t>Effet</w:t>
            </w:r>
            <w:r w:rsidR="00F6660B">
              <w:rPr>
                <w:rFonts w:ascii="Times New Roman" w:hAnsi="Times New Roman" w:cs="Times New Roman"/>
                <w:color w:val="000000"/>
                <w:sz w:val="20"/>
                <w:szCs w:val="20"/>
              </w:rPr>
              <w:t>s</w:t>
            </w:r>
            <w:r w:rsidRPr="00BE3D77">
              <w:rPr>
                <w:rFonts w:ascii="Times New Roman" w:hAnsi="Times New Roman" w:cs="Times New Roman"/>
                <w:color w:val="000000"/>
                <w:sz w:val="20"/>
                <w:szCs w:val="20"/>
              </w:rPr>
              <w:t xml:space="preserve"> négatif</w:t>
            </w:r>
            <w:r w:rsidR="00F6660B">
              <w:rPr>
                <w:rFonts w:ascii="Times New Roman" w:hAnsi="Times New Roman" w:cs="Times New Roman"/>
                <w:color w:val="000000"/>
                <w:sz w:val="20"/>
                <w:szCs w:val="20"/>
              </w:rPr>
              <w:t>s</w:t>
            </w:r>
          </w:p>
        </w:tc>
        <w:tc>
          <w:tcPr>
            <w:tcW w:w="8919" w:type="dxa"/>
          </w:tcPr>
          <w:p w:rsidR="00BE3D77" w:rsidRDefault="00BE3D77" w:rsidP="00FA3FAE">
            <w:pPr>
              <w:pStyle w:val="Listecouleur-Accent11"/>
              <w:numPr>
                <w:ilvl w:val="0"/>
                <w:numId w:val="71"/>
              </w:numPr>
              <w:ind w:left="167" w:hanging="142"/>
              <w:rPr>
                <w:rFonts w:ascii="Times New Roman" w:hAnsi="Times New Roman"/>
                <w:color w:val="000000"/>
                <w:sz w:val="24"/>
                <w:szCs w:val="24"/>
              </w:rPr>
            </w:pPr>
            <w:r w:rsidRPr="00AA45E9">
              <w:rPr>
                <w:rFonts w:ascii="Times New Roman" w:hAnsi="Times New Roman"/>
                <w:lang w:val="fr-FR"/>
              </w:rPr>
              <w:t>Néants</w:t>
            </w:r>
          </w:p>
        </w:tc>
      </w:tr>
      <w:tr w:rsidR="00E5080B" w:rsidTr="00C77D61">
        <w:tc>
          <w:tcPr>
            <w:tcW w:w="498" w:type="dxa"/>
            <w:vMerge w:val="restart"/>
            <w:shd w:val="clear" w:color="auto" w:fill="D9E2F3" w:themeFill="accent5" w:themeFillTint="33"/>
            <w:textDirection w:val="btLr"/>
          </w:tcPr>
          <w:p w:rsidR="00BE3D77" w:rsidRPr="00C77D61" w:rsidRDefault="00BE3D77" w:rsidP="00C77D61">
            <w:pPr>
              <w:ind w:left="113" w:right="113"/>
              <w:jc w:val="center"/>
              <w:rPr>
                <w:rFonts w:ascii="Times New Roman" w:hAnsi="Times New Roman" w:cs="Times New Roman"/>
                <w:b/>
                <w:color w:val="000000"/>
                <w:sz w:val="24"/>
                <w:szCs w:val="24"/>
              </w:rPr>
            </w:pPr>
            <w:r w:rsidRPr="00C77D61">
              <w:rPr>
                <w:rFonts w:ascii="Times New Roman" w:hAnsi="Times New Roman" w:cs="Times New Roman"/>
                <w:b/>
                <w:color w:val="000000"/>
                <w:sz w:val="24"/>
                <w:szCs w:val="24"/>
              </w:rPr>
              <w:t>Social</w:t>
            </w:r>
          </w:p>
        </w:tc>
        <w:tc>
          <w:tcPr>
            <w:tcW w:w="932" w:type="dxa"/>
            <w:vMerge/>
            <w:shd w:val="clear" w:color="auto" w:fill="F2F2F2" w:themeFill="background1" w:themeFillShade="F2"/>
          </w:tcPr>
          <w:p w:rsidR="00BE3D77" w:rsidRDefault="00BE3D77" w:rsidP="0086494A">
            <w:pPr>
              <w:jc w:val="both"/>
              <w:rPr>
                <w:rFonts w:ascii="Times New Roman" w:hAnsi="Times New Roman" w:cs="Times New Roman"/>
                <w:color w:val="000000"/>
                <w:sz w:val="24"/>
                <w:szCs w:val="24"/>
              </w:rPr>
            </w:pPr>
          </w:p>
        </w:tc>
        <w:tc>
          <w:tcPr>
            <w:tcW w:w="850" w:type="dxa"/>
            <w:shd w:val="clear" w:color="auto" w:fill="E2EFD9" w:themeFill="accent6" w:themeFillTint="33"/>
            <w:vAlign w:val="center"/>
          </w:tcPr>
          <w:p w:rsidR="00BE3D77" w:rsidRPr="00BE3D77" w:rsidRDefault="00BE3D77" w:rsidP="00C77D61">
            <w:pPr>
              <w:jc w:val="center"/>
              <w:rPr>
                <w:rFonts w:ascii="Times New Roman" w:hAnsi="Times New Roman" w:cs="Times New Roman"/>
                <w:color w:val="000000"/>
                <w:sz w:val="20"/>
                <w:szCs w:val="20"/>
              </w:rPr>
            </w:pPr>
            <w:r w:rsidRPr="00BE3D77">
              <w:rPr>
                <w:rFonts w:ascii="Times New Roman" w:hAnsi="Times New Roman" w:cs="Times New Roman"/>
                <w:color w:val="000000"/>
                <w:sz w:val="20"/>
                <w:szCs w:val="20"/>
              </w:rPr>
              <w:t>Effet</w:t>
            </w:r>
            <w:r w:rsidR="00F6660B">
              <w:rPr>
                <w:rFonts w:ascii="Times New Roman" w:hAnsi="Times New Roman" w:cs="Times New Roman"/>
                <w:color w:val="000000"/>
                <w:sz w:val="20"/>
                <w:szCs w:val="20"/>
              </w:rPr>
              <w:t>s</w:t>
            </w:r>
            <w:r w:rsidRPr="00BE3D77">
              <w:rPr>
                <w:rFonts w:ascii="Times New Roman" w:hAnsi="Times New Roman" w:cs="Times New Roman"/>
                <w:color w:val="000000"/>
                <w:sz w:val="20"/>
                <w:szCs w:val="20"/>
              </w:rPr>
              <w:t xml:space="preserve"> positif</w:t>
            </w:r>
            <w:r w:rsidR="00F6660B">
              <w:rPr>
                <w:rFonts w:ascii="Times New Roman" w:hAnsi="Times New Roman" w:cs="Times New Roman"/>
                <w:color w:val="000000"/>
                <w:sz w:val="20"/>
                <w:szCs w:val="20"/>
              </w:rPr>
              <w:t>s</w:t>
            </w:r>
          </w:p>
        </w:tc>
        <w:tc>
          <w:tcPr>
            <w:tcW w:w="8919" w:type="dxa"/>
          </w:tcPr>
          <w:p w:rsidR="003C66D7" w:rsidRPr="00AA45E9" w:rsidRDefault="003C66D7" w:rsidP="00FA3FAE">
            <w:pPr>
              <w:pStyle w:val="Listecouleur-Accent11"/>
              <w:numPr>
                <w:ilvl w:val="0"/>
                <w:numId w:val="71"/>
              </w:numPr>
              <w:ind w:left="167" w:hanging="142"/>
              <w:rPr>
                <w:rFonts w:ascii="Times New Roman" w:hAnsi="Times New Roman"/>
                <w:lang w:val="fr-FR"/>
              </w:rPr>
            </w:pPr>
            <w:r w:rsidRPr="00AA45E9">
              <w:rPr>
                <w:rFonts w:ascii="Times New Roman" w:hAnsi="Times New Roman"/>
                <w:lang w:val="fr-FR"/>
              </w:rPr>
              <w:t xml:space="preserve">Continuation des décisions avec les </w:t>
            </w:r>
            <w:r w:rsidR="000A55FD">
              <w:rPr>
                <w:rFonts w:ascii="Times New Roman" w:hAnsi="Times New Roman"/>
                <w:lang w:val="fr-FR"/>
              </w:rPr>
              <w:t xml:space="preserve">acteurs concernés et prise </w:t>
            </w:r>
            <w:r w:rsidRPr="00AA45E9">
              <w:rPr>
                <w:rFonts w:ascii="Times New Roman" w:hAnsi="Times New Roman"/>
                <w:lang w:val="fr-FR"/>
              </w:rPr>
              <w:t xml:space="preserve">en compte </w:t>
            </w:r>
            <w:r w:rsidR="000A55FD">
              <w:rPr>
                <w:rFonts w:ascii="Times New Roman" w:hAnsi="Times New Roman"/>
                <w:lang w:val="fr-FR"/>
              </w:rPr>
              <w:t xml:space="preserve">de </w:t>
            </w:r>
            <w:r w:rsidRPr="00AA45E9">
              <w:rPr>
                <w:rFonts w:ascii="Times New Roman" w:hAnsi="Times New Roman"/>
                <w:lang w:val="fr-FR"/>
              </w:rPr>
              <w:t>toutes les doléances ;</w:t>
            </w:r>
          </w:p>
          <w:p w:rsidR="003C66D7" w:rsidRDefault="003C66D7" w:rsidP="00FA3FAE">
            <w:pPr>
              <w:pStyle w:val="Listecouleur-Accent11"/>
              <w:numPr>
                <w:ilvl w:val="0"/>
                <w:numId w:val="71"/>
              </w:numPr>
              <w:ind w:left="167" w:hanging="142"/>
              <w:rPr>
                <w:rFonts w:ascii="Times New Roman" w:hAnsi="Times New Roman"/>
                <w:lang w:val="fr-FR"/>
              </w:rPr>
            </w:pPr>
            <w:r w:rsidRPr="00AA45E9">
              <w:rPr>
                <w:rFonts w:ascii="Times New Roman" w:hAnsi="Times New Roman"/>
                <w:lang w:val="fr-FR"/>
              </w:rPr>
              <w:t>Pas de nuisances, ni de perturbations du cadre de vie de la population ;</w:t>
            </w:r>
          </w:p>
          <w:p w:rsidR="004F56A7" w:rsidRDefault="004F56A7" w:rsidP="00FA3FAE">
            <w:pPr>
              <w:pStyle w:val="Listecouleur-Accent11"/>
              <w:numPr>
                <w:ilvl w:val="0"/>
                <w:numId w:val="71"/>
              </w:numPr>
              <w:ind w:left="167" w:hanging="142"/>
              <w:rPr>
                <w:rFonts w:ascii="Times New Roman" w:hAnsi="Times New Roman"/>
                <w:lang w:val="fr-FR"/>
              </w:rPr>
            </w:pPr>
            <w:r>
              <w:rPr>
                <w:rFonts w:ascii="Times New Roman" w:hAnsi="Times New Roman"/>
                <w:lang w:val="fr-FR"/>
              </w:rPr>
              <w:t>Meilleur prise en compte des priorités des populations ;</w:t>
            </w:r>
          </w:p>
          <w:p w:rsidR="004F56A7" w:rsidRPr="004F56A7" w:rsidRDefault="004F56A7" w:rsidP="00FA3FAE">
            <w:pPr>
              <w:pStyle w:val="Listecouleur-Accent11"/>
              <w:numPr>
                <w:ilvl w:val="0"/>
                <w:numId w:val="71"/>
              </w:numPr>
              <w:ind w:left="167" w:hanging="142"/>
              <w:rPr>
                <w:rFonts w:ascii="Times New Roman" w:hAnsi="Times New Roman"/>
                <w:lang w:val="fr-FR"/>
              </w:rPr>
            </w:pPr>
            <w:r>
              <w:rPr>
                <w:rFonts w:ascii="Times New Roman" w:hAnsi="Times New Roman"/>
                <w:lang w:val="fr-FR"/>
              </w:rPr>
              <w:t>Meilleur choix des entreprises pour la réalisation des travaux ;</w:t>
            </w:r>
          </w:p>
          <w:p w:rsidR="003C66D7" w:rsidRPr="00AA45E9" w:rsidRDefault="003C66D7" w:rsidP="00FA3FAE">
            <w:pPr>
              <w:pStyle w:val="Listecouleur-Accent11"/>
              <w:numPr>
                <w:ilvl w:val="0"/>
                <w:numId w:val="71"/>
              </w:numPr>
              <w:ind w:left="167" w:hanging="142"/>
              <w:rPr>
                <w:rFonts w:ascii="Times New Roman" w:hAnsi="Times New Roman"/>
                <w:lang w:val="fr-FR"/>
              </w:rPr>
            </w:pPr>
            <w:r w:rsidRPr="00AA45E9">
              <w:rPr>
                <w:rFonts w:ascii="Times New Roman" w:hAnsi="Times New Roman"/>
                <w:lang w:val="fr-FR"/>
              </w:rPr>
              <w:t>Augmentation des périodes de sensibilisation et d’information de la population ;</w:t>
            </w:r>
          </w:p>
          <w:p w:rsidR="003C66D7" w:rsidRPr="00AA45E9" w:rsidRDefault="003C66D7" w:rsidP="00FA3FAE">
            <w:pPr>
              <w:pStyle w:val="Listecouleur-Accent11"/>
              <w:numPr>
                <w:ilvl w:val="0"/>
                <w:numId w:val="71"/>
              </w:numPr>
              <w:ind w:left="167" w:hanging="142"/>
              <w:rPr>
                <w:rFonts w:ascii="Times New Roman" w:hAnsi="Times New Roman"/>
                <w:lang w:val="fr-FR"/>
              </w:rPr>
            </w:pPr>
            <w:r w:rsidRPr="00AA45E9">
              <w:rPr>
                <w:rFonts w:ascii="Times New Roman" w:hAnsi="Times New Roman"/>
                <w:lang w:val="fr-FR"/>
              </w:rPr>
              <w:t>Pas de perturbation des Us et coutumes des habitants ;</w:t>
            </w:r>
          </w:p>
          <w:p w:rsidR="00BE3D77" w:rsidRPr="004F56A7" w:rsidRDefault="003C66D7" w:rsidP="00FA3FAE">
            <w:pPr>
              <w:pStyle w:val="Listecouleur-Accent11"/>
              <w:numPr>
                <w:ilvl w:val="0"/>
                <w:numId w:val="71"/>
              </w:numPr>
              <w:ind w:left="167" w:hanging="142"/>
              <w:rPr>
                <w:rFonts w:ascii="Times New Roman" w:hAnsi="Times New Roman"/>
                <w:lang w:val="fr-FR"/>
              </w:rPr>
            </w:pPr>
            <w:r w:rsidRPr="00AA45E9">
              <w:rPr>
                <w:rFonts w:ascii="Times New Roman" w:hAnsi="Times New Roman"/>
                <w:lang w:val="fr-FR"/>
              </w:rPr>
              <w:t>Pas de changement du mode de vie de la population ;</w:t>
            </w:r>
          </w:p>
        </w:tc>
      </w:tr>
      <w:tr w:rsidR="00E5080B" w:rsidTr="00C77D61">
        <w:tc>
          <w:tcPr>
            <w:tcW w:w="498" w:type="dxa"/>
            <w:vMerge/>
            <w:shd w:val="clear" w:color="auto" w:fill="D9E2F3" w:themeFill="accent5" w:themeFillTint="33"/>
            <w:textDirection w:val="btLr"/>
          </w:tcPr>
          <w:p w:rsidR="00BE3D77" w:rsidRPr="00C77D61" w:rsidRDefault="00BE3D77" w:rsidP="00C77D61">
            <w:pPr>
              <w:ind w:left="113" w:right="113"/>
              <w:jc w:val="center"/>
              <w:rPr>
                <w:rFonts w:ascii="Times New Roman" w:hAnsi="Times New Roman" w:cs="Times New Roman"/>
                <w:b/>
                <w:color w:val="000000"/>
                <w:sz w:val="24"/>
                <w:szCs w:val="24"/>
              </w:rPr>
            </w:pPr>
          </w:p>
        </w:tc>
        <w:tc>
          <w:tcPr>
            <w:tcW w:w="932" w:type="dxa"/>
            <w:vMerge/>
            <w:shd w:val="clear" w:color="auto" w:fill="F2F2F2" w:themeFill="background1" w:themeFillShade="F2"/>
          </w:tcPr>
          <w:p w:rsidR="00BE3D77" w:rsidRDefault="00BE3D77" w:rsidP="00981CDB">
            <w:pPr>
              <w:jc w:val="both"/>
              <w:rPr>
                <w:rFonts w:ascii="Times New Roman" w:hAnsi="Times New Roman" w:cs="Times New Roman"/>
                <w:color w:val="000000"/>
                <w:sz w:val="24"/>
                <w:szCs w:val="24"/>
              </w:rPr>
            </w:pPr>
          </w:p>
        </w:tc>
        <w:tc>
          <w:tcPr>
            <w:tcW w:w="850" w:type="dxa"/>
            <w:shd w:val="clear" w:color="auto" w:fill="FFF2CC" w:themeFill="accent4" w:themeFillTint="33"/>
            <w:vAlign w:val="center"/>
          </w:tcPr>
          <w:p w:rsidR="00BE3D77" w:rsidRPr="00BE3D77" w:rsidRDefault="00BE3D77" w:rsidP="00C77D61">
            <w:pPr>
              <w:jc w:val="center"/>
              <w:rPr>
                <w:rFonts w:ascii="Times New Roman" w:hAnsi="Times New Roman" w:cs="Times New Roman"/>
                <w:color w:val="000000"/>
                <w:sz w:val="20"/>
                <w:szCs w:val="20"/>
              </w:rPr>
            </w:pPr>
            <w:r w:rsidRPr="00BE3D77">
              <w:rPr>
                <w:rFonts w:ascii="Times New Roman" w:hAnsi="Times New Roman" w:cs="Times New Roman"/>
                <w:color w:val="000000"/>
                <w:sz w:val="20"/>
                <w:szCs w:val="20"/>
              </w:rPr>
              <w:t>Effet</w:t>
            </w:r>
            <w:r w:rsidR="00F6660B">
              <w:rPr>
                <w:rFonts w:ascii="Times New Roman" w:hAnsi="Times New Roman" w:cs="Times New Roman"/>
                <w:color w:val="000000"/>
                <w:sz w:val="20"/>
                <w:szCs w:val="20"/>
              </w:rPr>
              <w:t>s</w:t>
            </w:r>
            <w:r w:rsidRPr="00BE3D77">
              <w:rPr>
                <w:rFonts w:ascii="Times New Roman" w:hAnsi="Times New Roman" w:cs="Times New Roman"/>
                <w:color w:val="000000"/>
                <w:sz w:val="20"/>
                <w:szCs w:val="20"/>
              </w:rPr>
              <w:t xml:space="preserve"> négatif</w:t>
            </w:r>
            <w:r w:rsidR="00F6660B">
              <w:rPr>
                <w:rFonts w:ascii="Times New Roman" w:hAnsi="Times New Roman" w:cs="Times New Roman"/>
                <w:color w:val="000000"/>
                <w:sz w:val="20"/>
                <w:szCs w:val="20"/>
              </w:rPr>
              <w:t>s</w:t>
            </w:r>
          </w:p>
        </w:tc>
        <w:tc>
          <w:tcPr>
            <w:tcW w:w="8919" w:type="dxa"/>
          </w:tcPr>
          <w:p w:rsidR="004F56A7" w:rsidRPr="00AA45E9" w:rsidRDefault="004F56A7" w:rsidP="00FA3FAE">
            <w:pPr>
              <w:pStyle w:val="Listecouleur-Accent11"/>
              <w:numPr>
                <w:ilvl w:val="0"/>
                <w:numId w:val="71"/>
              </w:numPr>
              <w:ind w:left="167" w:hanging="142"/>
              <w:rPr>
                <w:rFonts w:ascii="Times New Roman" w:hAnsi="Times New Roman"/>
                <w:lang w:val="fr-FR"/>
              </w:rPr>
            </w:pPr>
            <w:r w:rsidRPr="00AA45E9">
              <w:rPr>
                <w:rFonts w:ascii="Times New Roman" w:hAnsi="Times New Roman"/>
                <w:lang w:val="fr-FR"/>
              </w:rPr>
              <w:t>Augmentation des manques d’espoir par rapport à la</w:t>
            </w:r>
            <w:r w:rsidR="000A55FD">
              <w:rPr>
                <w:rFonts w:ascii="Times New Roman" w:hAnsi="Times New Roman"/>
                <w:lang w:val="fr-FR"/>
              </w:rPr>
              <w:t xml:space="preserve"> condition</w:t>
            </w:r>
            <w:r w:rsidRPr="00AA45E9">
              <w:rPr>
                <w:rFonts w:ascii="Times New Roman" w:hAnsi="Times New Roman"/>
                <w:lang w:val="fr-FR"/>
              </w:rPr>
              <w:t xml:space="preserve"> de vie des populations</w:t>
            </w:r>
            <w:r w:rsidR="00F93A2C">
              <w:rPr>
                <w:rFonts w:ascii="Times New Roman" w:hAnsi="Times New Roman"/>
                <w:lang w:val="fr-FR"/>
              </w:rPr>
              <w:t> ;</w:t>
            </w:r>
          </w:p>
          <w:p w:rsidR="004F56A7" w:rsidRPr="00AA45E9" w:rsidRDefault="004F56A7" w:rsidP="00FA3FAE">
            <w:pPr>
              <w:pStyle w:val="Listecouleur-Accent11"/>
              <w:numPr>
                <w:ilvl w:val="0"/>
                <w:numId w:val="71"/>
              </w:numPr>
              <w:ind w:left="167" w:hanging="142"/>
              <w:rPr>
                <w:rFonts w:ascii="Times New Roman" w:hAnsi="Times New Roman"/>
                <w:lang w:val="fr-FR"/>
              </w:rPr>
            </w:pPr>
            <w:r w:rsidRPr="00AA45E9">
              <w:rPr>
                <w:rFonts w:ascii="Times New Roman" w:hAnsi="Times New Roman"/>
                <w:lang w:val="fr-FR"/>
              </w:rPr>
              <w:t>Risque d’au</w:t>
            </w:r>
            <w:r>
              <w:rPr>
                <w:rFonts w:ascii="Times New Roman" w:hAnsi="Times New Roman"/>
                <w:lang w:val="fr-FR"/>
              </w:rPr>
              <w:t>gmentation des difficultés par rapport à l’accès en eau potable ;</w:t>
            </w:r>
          </w:p>
          <w:p w:rsidR="004F56A7" w:rsidRPr="00AA45E9" w:rsidRDefault="004F56A7" w:rsidP="00FA3FAE">
            <w:pPr>
              <w:pStyle w:val="Listecouleur-Accent11"/>
              <w:numPr>
                <w:ilvl w:val="0"/>
                <w:numId w:val="71"/>
              </w:numPr>
              <w:ind w:left="167" w:hanging="142"/>
              <w:rPr>
                <w:rFonts w:ascii="Times New Roman" w:hAnsi="Times New Roman"/>
                <w:lang w:val="fr-FR"/>
              </w:rPr>
            </w:pPr>
            <w:r w:rsidRPr="00AA45E9">
              <w:rPr>
                <w:rFonts w:ascii="Times New Roman" w:hAnsi="Times New Roman"/>
                <w:lang w:val="fr-FR"/>
              </w:rPr>
              <w:t xml:space="preserve">Découragement de la population par rapport </w:t>
            </w:r>
            <w:r>
              <w:rPr>
                <w:rFonts w:ascii="Times New Roman" w:hAnsi="Times New Roman"/>
                <w:lang w:val="fr-FR"/>
              </w:rPr>
              <w:t>à la politique de l’Etat et de l’EAGB</w:t>
            </w:r>
            <w:r w:rsidR="00F93A2C">
              <w:rPr>
                <w:rFonts w:ascii="Times New Roman" w:hAnsi="Times New Roman"/>
                <w:lang w:val="fr-FR"/>
              </w:rPr>
              <w:t> ;</w:t>
            </w:r>
          </w:p>
          <w:p w:rsidR="004F56A7" w:rsidRDefault="004F56A7" w:rsidP="00FA3FAE">
            <w:pPr>
              <w:pStyle w:val="Listecouleur-Accent11"/>
              <w:numPr>
                <w:ilvl w:val="0"/>
                <w:numId w:val="71"/>
              </w:numPr>
              <w:ind w:left="167" w:hanging="142"/>
              <w:rPr>
                <w:rFonts w:ascii="Times New Roman" w:hAnsi="Times New Roman"/>
                <w:lang w:val="fr-FR"/>
              </w:rPr>
            </w:pPr>
            <w:r>
              <w:rPr>
                <w:rFonts w:ascii="Times New Roman" w:hAnsi="Times New Roman"/>
                <w:lang w:val="fr-FR"/>
              </w:rPr>
              <w:t>Persistance et augmentation des maladies hydriques</w:t>
            </w:r>
            <w:r w:rsidRPr="00AA45E9">
              <w:rPr>
                <w:rFonts w:ascii="Times New Roman" w:hAnsi="Times New Roman"/>
                <w:lang w:val="fr-FR"/>
              </w:rPr>
              <w:t> </w:t>
            </w:r>
            <w:r>
              <w:rPr>
                <w:rFonts w:ascii="Times New Roman" w:hAnsi="Times New Roman"/>
                <w:lang w:val="fr-FR"/>
              </w:rPr>
              <w:t>dans les zones dépourvues de réseau d’AEP</w:t>
            </w:r>
            <w:r w:rsidR="00C747E4">
              <w:rPr>
                <w:rFonts w:ascii="Times New Roman" w:hAnsi="Times New Roman"/>
                <w:lang w:val="fr-FR"/>
              </w:rPr>
              <w:t xml:space="preserve"> </w:t>
            </w:r>
          </w:p>
          <w:p w:rsidR="00F93A2C" w:rsidRDefault="00F93A2C" w:rsidP="00FA3FAE">
            <w:pPr>
              <w:pStyle w:val="Listecouleur-Accent11"/>
              <w:numPr>
                <w:ilvl w:val="0"/>
                <w:numId w:val="71"/>
              </w:numPr>
              <w:ind w:left="167" w:hanging="142"/>
              <w:rPr>
                <w:rFonts w:ascii="Times New Roman" w:hAnsi="Times New Roman"/>
                <w:lang w:val="fr-FR"/>
              </w:rPr>
            </w:pPr>
            <w:r>
              <w:rPr>
                <w:rFonts w:ascii="Times New Roman" w:hAnsi="Times New Roman"/>
                <w:lang w:val="fr-FR"/>
              </w:rPr>
              <w:t>Augmentation des risques de pollution des eaux souterrain</w:t>
            </w:r>
            <w:r w:rsidR="00C747E4">
              <w:rPr>
                <w:rFonts w:ascii="Times New Roman" w:hAnsi="Times New Roman"/>
                <w:lang w:val="fr-FR"/>
              </w:rPr>
              <w:t>e</w:t>
            </w:r>
            <w:r>
              <w:rPr>
                <w:rFonts w:ascii="Times New Roman" w:hAnsi="Times New Roman"/>
                <w:lang w:val="fr-FR"/>
              </w:rPr>
              <w:t xml:space="preserve">s due à la réalisation des puits traditionnels ; </w:t>
            </w:r>
          </w:p>
          <w:p w:rsidR="00BE3D77" w:rsidRPr="00F93A2C" w:rsidRDefault="00F93A2C" w:rsidP="00FA3FAE">
            <w:pPr>
              <w:pStyle w:val="Listecouleur-Accent11"/>
              <w:numPr>
                <w:ilvl w:val="0"/>
                <w:numId w:val="71"/>
              </w:numPr>
              <w:ind w:left="167" w:hanging="142"/>
              <w:rPr>
                <w:rFonts w:ascii="Times New Roman" w:hAnsi="Times New Roman"/>
                <w:lang w:val="fr-FR"/>
              </w:rPr>
            </w:pPr>
            <w:r>
              <w:rPr>
                <w:rFonts w:ascii="Times New Roman" w:hAnsi="Times New Roman"/>
                <w:lang w:val="fr-FR"/>
              </w:rPr>
              <w:t>Risque de soulèvement populaire dans les différents quartiers n’ayant pas d’accès au réseau d’eau d’EAGB.</w:t>
            </w:r>
          </w:p>
        </w:tc>
      </w:tr>
      <w:tr w:rsidR="00E5080B" w:rsidTr="00C77D61">
        <w:tc>
          <w:tcPr>
            <w:tcW w:w="498" w:type="dxa"/>
            <w:vMerge w:val="restart"/>
            <w:shd w:val="clear" w:color="auto" w:fill="D9E2F3" w:themeFill="accent5" w:themeFillTint="33"/>
            <w:textDirection w:val="btLr"/>
          </w:tcPr>
          <w:p w:rsidR="00BE3D77" w:rsidRPr="00C77D61" w:rsidRDefault="00BE3D77" w:rsidP="00C77D61">
            <w:pPr>
              <w:ind w:left="113" w:right="113"/>
              <w:jc w:val="center"/>
              <w:rPr>
                <w:rFonts w:ascii="Times New Roman" w:hAnsi="Times New Roman" w:cs="Times New Roman"/>
                <w:b/>
                <w:color w:val="000000"/>
                <w:sz w:val="24"/>
                <w:szCs w:val="24"/>
              </w:rPr>
            </w:pPr>
            <w:r w:rsidRPr="00C77D61">
              <w:rPr>
                <w:rFonts w:ascii="Times New Roman" w:hAnsi="Times New Roman" w:cs="Times New Roman"/>
                <w:b/>
                <w:color w:val="000000"/>
                <w:sz w:val="24"/>
                <w:szCs w:val="24"/>
              </w:rPr>
              <w:t>Economique</w:t>
            </w:r>
          </w:p>
        </w:tc>
        <w:tc>
          <w:tcPr>
            <w:tcW w:w="932" w:type="dxa"/>
            <w:vMerge/>
            <w:shd w:val="clear" w:color="auto" w:fill="F2F2F2" w:themeFill="background1" w:themeFillShade="F2"/>
          </w:tcPr>
          <w:p w:rsidR="00BE3D77" w:rsidRDefault="00BE3D77" w:rsidP="00BE3D77">
            <w:pPr>
              <w:jc w:val="both"/>
              <w:rPr>
                <w:rFonts w:ascii="Times New Roman" w:hAnsi="Times New Roman" w:cs="Times New Roman"/>
                <w:color w:val="000000"/>
                <w:sz w:val="24"/>
                <w:szCs w:val="24"/>
              </w:rPr>
            </w:pPr>
          </w:p>
        </w:tc>
        <w:tc>
          <w:tcPr>
            <w:tcW w:w="850" w:type="dxa"/>
            <w:shd w:val="clear" w:color="auto" w:fill="E2EFD9" w:themeFill="accent6" w:themeFillTint="33"/>
            <w:vAlign w:val="center"/>
          </w:tcPr>
          <w:p w:rsidR="00BE3D77" w:rsidRPr="00BE3D77" w:rsidRDefault="00BE3D77" w:rsidP="00C77D61">
            <w:pPr>
              <w:jc w:val="center"/>
              <w:rPr>
                <w:rFonts w:ascii="Times New Roman" w:hAnsi="Times New Roman" w:cs="Times New Roman"/>
                <w:color w:val="000000"/>
                <w:sz w:val="20"/>
                <w:szCs w:val="20"/>
              </w:rPr>
            </w:pPr>
            <w:r w:rsidRPr="00BE3D77">
              <w:rPr>
                <w:rFonts w:ascii="Times New Roman" w:hAnsi="Times New Roman" w:cs="Times New Roman"/>
                <w:color w:val="000000"/>
                <w:sz w:val="20"/>
                <w:szCs w:val="20"/>
              </w:rPr>
              <w:t>Effet</w:t>
            </w:r>
            <w:r w:rsidR="00F6660B">
              <w:rPr>
                <w:rFonts w:ascii="Times New Roman" w:hAnsi="Times New Roman" w:cs="Times New Roman"/>
                <w:color w:val="000000"/>
                <w:sz w:val="20"/>
                <w:szCs w:val="20"/>
              </w:rPr>
              <w:t>s</w:t>
            </w:r>
            <w:r w:rsidRPr="00BE3D77">
              <w:rPr>
                <w:rFonts w:ascii="Times New Roman" w:hAnsi="Times New Roman" w:cs="Times New Roman"/>
                <w:color w:val="000000"/>
                <w:sz w:val="20"/>
                <w:szCs w:val="20"/>
              </w:rPr>
              <w:t xml:space="preserve"> positif</w:t>
            </w:r>
            <w:r w:rsidR="00F6660B">
              <w:rPr>
                <w:rFonts w:ascii="Times New Roman" w:hAnsi="Times New Roman" w:cs="Times New Roman"/>
                <w:color w:val="000000"/>
                <w:sz w:val="20"/>
                <w:szCs w:val="20"/>
              </w:rPr>
              <w:t>s</w:t>
            </w:r>
          </w:p>
        </w:tc>
        <w:tc>
          <w:tcPr>
            <w:tcW w:w="8919" w:type="dxa"/>
          </w:tcPr>
          <w:p w:rsidR="00BE3D77" w:rsidRPr="00AA45E9" w:rsidRDefault="00F93A2C" w:rsidP="00FA3FAE">
            <w:pPr>
              <w:pStyle w:val="Listecouleur-Accent11"/>
              <w:numPr>
                <w:ilvl w:val="0"/>
                <w:numId w:val="71"/>
              </w:numPr>
              <w:ind w:left="167" w:hanging="142"/>
              <w:rPr>
                <w:rFonts w:ascii="Times New Roman" w:hAnsi="Times New Roman"/>
                <w:lang w:val="fr-FR"/>
              </w:rPr>
            </w:pPr>
            <w:r w:rsidRPr="00AA45E9">
              <w:rPr>
                <w:rFonts w:ascii="Times New Roman" w:hAnsi="Times New Roman"/>
                <w:lang w:val="fr-FR"/>
              </w:rPr>
              <w:t>Néants</w:t>
            </w:r>
          </w:p>
        </w:tc>
      </w:tr>
      <w:tr w:rsidR="00E5080B" w:rsidTr="00C77D61">
        <w:tc>
          <w:tcPr>
            <w:tcW w:w="498" w:type="dxa"/>
            <w:vMerge/>
            <w:shd w:val="clear" w:color="auto" w:fill="D9E2F3" w:themeFill="accent5" w:themeFillTint="33"/>
          </w:tcPr>
          <w:p w:rsidR="00F93A2C" w:rsidRDefault="00F93A2C" w:rsidP="00F93A2C">
            <w:pPr>
              <w:jc w:val="both"/>
              <w:rPr>
                <w:rFonts w:ascii="Times New Roman" w:hAnsi="Times New Roman" w:cs="Times New Roman"/>
                <w:color w:val="000000"/>
                <w:sz w:val="24"/>
                <w:szCs w:val="24"/>
              </w:rPr>
            </w:pPr>
          </w:p>
        </w:tc>
        <w:tc>
          <w:tcPr>
            <w:tcW w:w="932" w:type="dxa"/>
            <w:vMerge/>
            <w:shd w:val="clear" w:color="auto" w:fill="F2F2F2" w:themeFill="background1" w:themeFillShade="F2"/>
          </w:tcPr>
          <w:p w:rsidR="00F93A2C" w:rsidRDefault="00F93A2C" w:rsidP="00F93A2C">
            <w:pPr>
              <w:jc w:val="both"/>
              <w:rPr>
                <w:rFonts w:ascii="Times New Roman" w:hAnsi="Times New Roman" w:cs="Times New Roman"/>
                <w:color w:val="000000"/>
                <w:sz w:val="24"/>
                <w:szCs w:val="24"/>
              </w:rPr>
            </w:pPr>
          </w:p>
        </w:tc>
        <w:tc>
          <w:tcPr>
            <w:tcW w:w="850" w:type="dxa"/>
            <w:shd w:val="clear" w:color="auto" w:fill="FFF2CC" w:themeFill="accent4" w:themeFillTint="33"/>
            <w:vAlign w:val="center"/>
          </w:tcPr>
          <w:p w:rsidR="00F93A2C" w:rsidRPr="00BE3D77" w:rsidRDefault="00F93A2C" w:rsidP="00C77D61">
            <w:pPr>
              <w:jc w:val="center"/>
              <w:rPr>
                <w:rFonts w:ascii="Times New Roman" w:hAnsi="Times New Roman" w:cs="Times New Roman"/>
                <w:color w:val="000000"/>
                <w:sz w:val="20"/>
                <w:szCs w:val="20"/>
              </w:rPr>
            </w:pPr>
            <w:r w:rsidRPr="00BE3D77">
              <w:rPr>
                <w:rFonts w:ascii="Times New Roman" w:hAnsi="Times New Roman" w:cs="Times New Roman"/>
                <w:color w:val="000000"/>
                <w:sz w:val="20"/>
                <w:szCs w:val="20"/>
              </w:rPr>
              <w:t>Effet</w:t>
            </w:r>
            <w:r w:rsidR="00F6660B">
              <w:rPr>
                <w:rFonts w:ascii="Times New Roman" w:hAnsi="Times New Roman" w:cs="Times New Roman"/>
                <w:color w:val="000000"/>
                <w:sz w:val="20"/>
                <w:szCs w:val="20"/>
              </w:rPr>
              <w:t>s</w:t>
            </w:r>
            <w:r w:rsidRPr="00BE3D77">
              <w:rPr>
                <w:rFonts w:ascii="Times New Roman" w:hAnsi="Times New Roman" w:cs="Times New Roman"/>
                <w:color w:val="000000"/>
                <w:sz w:val="20"/>
                <w:szCs w:val="20"/>
              </w:rPr>
              <w:t xml:space="preserve"> négatif</w:t>
            </w:r>
            <w:r w:rsidR="00F6660B">
              <w:rPr>
                <w:rFonts w:ascii="Times New Roman" w:hAnsi="Times New Roman" w:cs="Times New Roman"/>
                <w:color w:val="000000"/>
                <w:sz w:val="20"/>
                <w:szCs w:val="20"/>
              </w:rPr>
              <w:t>s</w:t>
            </w:r>
          </w:p>
        </w:tc>
        <w:tc>
          <w:tcPr>
            <w:tcW w:w="8919" w:type="dxa"/>
            <w:vAlign w:val="center"/>
          </w:tcPr>
          <w:p w:rsidR="00F93A2C" w:rsidRPr="00AA45E9" w:rsidRDefault="00C747E4" w:rsidP="00FA3FAE">
            <w:pPr>
              <w:pStyle w:val="Listecouleur-Accent11"/>
              <w:numPr>
                <w:ilvl w:val="0"/>
                <w:numId w:val="72"/>
              </w:numPr>
              <w:ind w:left="167" w:hanging="142"/>
              <w:rPr>
                <w:rFonts w:ascii="Times New Roman" w:hAnsi="Times New Roman"/>
                <w:lang w:val="fr-FR"/>
              </w:rPr>
            </w:pPr>
            <w:r>
              <w:rPr>
                <w:rFonts w:ascii="Times New Roman" w:hAnsi="Times New Roman"/>
                <w:lang w:val="fr-FR"/>
              </w:rPr>
              <w:t xml:space="preserve">Risque de perte de </w:t>
            </w:r>
            <w:r w:rsidR="00F93A2C" w:rsidRPr="00AA45E9">
              <w:rPr>
                <w:rFonts w:ascii="Times New Roman" w:hAnsi="Times New Roman"/>
                <w:lang w:val="fr-FR"/>
              </w:rPr>
              <w:t>financement du projet</w:t>
            </w:r>
            <w:r w:rsidR="00F93A2C">
              <w:rPr>
                <w:rFonts w:ascii="Times New Roman" w:hAnsi="Times New Roman"/>
                <w:lang w:val="fr-FR"/>
              </w:rPr>
              <w:t> ;</w:t>
            </w:r>
          </w:p>
          <w:p w:rsidR="00F93A2C" w:rsidRPr="00AA45E9" w:rsidRDefault="00F93A2C" w:rsidP="00FA3FAE">
            <w:pPr>
              <w:pStyle w:val="Listecouleur-Accent11"/>
              <w:numPr>
                <w:ilvl w:val="0"/>
                <w:numId w:val="72"/>
              </w:numPr>
              <w:ind w:left="167" w:hanging="142"/>
              <w:rPr>
                <w:rFonts w:ascii="Times New Roman" w:hAnsi="Times New Roman"/>
                <w:lang w:val="fr-FR"/>
              </w:rPr>
            </w:pPr>
            <w:r w:rsidRPr="00AA45E9">
              <w:rPr>
                <w:rFonts w:ascii="Times New Roman" w:hAnsi="Times New Roman"/>
                <w:lang w:val="fr-FR"/>
              </w:rPr>
              <w:t>Risque d’augmentation des couts de réalisation du projet</w:t>
            </w:r>
            <w:r>
              <w:rPr>
                <w:rFonts w:ascii="Times New Roman" w:hAnsi="Times New Roman"/>
                <w:lang w:val="fr-FR"/>
              </w:rPr>
              <w:t> ;</w:t>
            </w:r>
          </w:p>
          <w:p w:rsidR="00F93A2C" w:rsidRPr="00AA45E9" w:rsidRDefault="00F93A2C" w:rsidP="00FA3FAE">
            <w:pPr>
              <w:pStyle w:val="Listecouleur-Accent11"/>
              <w:numPr>
                <w:ilvl w:val="0"/>
                <w:numId w:val="72"/>
              </w:numPr>
              <w:ind w:left="167" w:hanging="142"/>
              <w:rPr>
                <w:rFonts w:ascii="Times New Roman" w:hAnsi="Times New Roman"/>
                <w:lang w:val="fr-FR"/>
              </w:rPr>
            </w:pPr>
            <w:r w:rsidRPr="00AA45E9">
              <w:rPr>
                <w:rFonts w:ascii="Times New Roman" w:hAnsi="Times New Roman"/>
                <w:lang w:val="fr-FR"/>
              </w:rPr>
              <w:t>Pas de retombées sur l’économie locale et nationale ;</w:t>
            </w:r>
          </w:p>
          <w:p w:rsidR="00F93A2C" w:rsidRPr="00C76296" w:rsidRDefault="00F93A2C" w:rsidP="00FA3FAE">
            <w:pPr>
              <w:pStyle w:val="Listecouleur-Accent11"/>
              <w:numPr>
                <w:ilvl w:val="0"/>
                <w:numId w:val="72"/>
              </w:numPr>
              <w:ind w:left="167" w:hanging="142"/>
              <w:rPr>
                <w:rFonts w:ascii="Times New Roman" w:hAnsi="Times New Roman"/>
                <w:lang w:val="fr-FR"/>
              </w:rPr>
            </w:pPr>
            <w:r w:rsidRPr="00AA45E9">
              <w:rPr>
                <w:rFonts w:ascii="Times New Roman" w:hAnsi="Times New Roman"/>
                <w:lang w:val="fr-FR"/>
              </w:rPr>
              <w:t>Pas d’opportunités d’investissements privés dans le secteur</w:t>
            </w:r>
            <w:r w:rsidR="00C76296">
              <w:rPr>
                <w:rFonts w:ascii="Times New Roman" w:hAnsi="Times New Roman"/>
                <w:lang w:val="fr-FR"/>
              </w:rPr>
              <w:t xml:space="preserve"> de l’eau </w:t>
            </w:r>
            <w:r w:rsidRPr="00C76296">
              <w:rPr>
                <w:rFonts w:ascii="Times New Roman" w:hAnsi="Times New Roman"/>
                <w:lang w:val="fr-FR"/>
              </w:rPr>
              <w:t>;</w:t>
            </w:r>
          </w:p>
        </w:tc>
      </w:tr>
      <w:tr w:rsidR="00C14FD5" w:rsidTr="00E5080B">
        <w:trPr>
          <w:trHeight w:val="70"/>
        </w:trPr>
        <w:tc>
          <w:tcPr>
            <w:tcW w:w="11199" w:type="dxa"/>
            <w:gridSpan w:val="4"/>
          </w:tcPr>
          <w:p w:rsidR="00C14FD5" w:rsidRPr="00C14FD5" w:rsidRDefault="00C14FD5" w:rsidP="00C14FD5">
            <w:pPr>
              <w:pStyle w:val="Listecouleur-Accent11"/>
              <w:ind w:left="0"/>
              <w:rPr>
                <w:rFonts w:ascii="Times New Roman" w:hAnsi="Times New Roman"/>
                <w:sz w:val="6"/>
                <w:szCs w:val="6"/>
                <w:lang w:val="fr-FR"/>
              </w:rPr>
            </w:pPr>
          </w:p>
        </w:tc>
      </w:tr>
      <w:tr w:rsidR="00E5080B" w:rsidTr="00C77D61">
        <w:tc>
          <w:tcPr>
            <w:tcW w:w="498" w:type="dxa"/>
            <w:vMerge w:val="restart"/>
            <w:shd w:val="clear" w:color="auto" w:fill="DEEAF6" w:themeFill="accent1" w:themeFillTint="33"/>
            <w:textDirection w:val="btLr"/>
          </w:tcPr>
          <w:p w:rsidR="007960B4" w:rsidRPr="00C77D61" w:rsidRDefault="007960B4" w:rsidP="00C77D61">
            <w:pPr>
              <w:jc w:val="center"/>
              <w:rPr>
                <w:rFonts w:ascii="Times New Roman" w:hAnsi="Times New Roman" w:cs="Times New Roman"/>
                <w:b/>
                <w:color w:val="000000"/>
                <w:sz w:val="24"/>
                <w:szCs w:val="24"/>
              </w:rPr>
            </w:pPr>
            <w:r w:rsidRPr="00C77D61">
              <w:rPr>
                <w:rFonts w:ascii="Times New Roman" w:hAnsi="Times New Roman" w:cs="Times New Roman"/>
                <w:b/>
                <w:color w:val="000000"/>
                <w:sz w:val="24"/>
                <w:szCs w:val="24"/>
              </w:rPr>
              <w:t>Environnement</w:t>
            </w:r>
          </w:p>
        </w:tc>
        <w:tc>
          <w:tcPr>
            <w:tcW w:w="932" w:type="dxa"/>
            <w:vMerge w:val="restart"/>
            <w:shd w:val="clear" w:color="auto" w:fill="F2F2F2" w:themeFill="background1" w:themeFillShade="F2"/>
            <w:vAlign w:val="center"/>
          </w:tcPr>
          <w:p w:rsidR="007960B4" w:rsidRDefault="007960B4" w:rsidP="00C77D61">
            <w:pPr>
              <w:jc w:val="center"/>
              <w:rPr>
                <w:rFonts w:ascii="Times New Roman" w:hAnsi="Times New Roman"/>
                <w:b/>
                <w:bCs/>
                <w:sz w:val="24"/>
                <w:szCs w:val="24"/>
              </w:rPr>
            </w:pPr>
            <w:r>
              <w:rPr>
                <w:rFonts w:ascii="Times New Roman" w:hAnsi="Times New Roman"/>
                <w:b/>
                <w:bCs/>
                <w:sz w:val="24"/>
                <w:szCs w:val="24"/>
              </w:rPr>
              <w:t>Avec</w:t>
            </w:r>
          </w:p>
          <w:p w:rsidR="007960B4" w:rsidRDefault="007960B4" w:rsidP="00C77D61">
            <w:pPr>
              <w:jc w:val="center"/>
              <w:rPr>
                <w:rFonts w:ascii="Times New Roman" w:hAnsi="Times New Roman" w:cs="Times New Roman"/>
                <w:color w:val="000000"/>
                <w:sz w:val="24"/>
                <w:szCs w:val="24"/>
              </w:rPr>
            </w:pPr>
            <w:r w:rsidRPr="00AA45E9">
              <w:rPr>
                <w:rFonts w:ascii="Times New Roman" w:hAnsi="Times New Roman"/>
                <w:b/>
                <w:bCs/>
                <w:sz w:val="24"/>
                <w:szCs w:val="24"/>
              </w:rPr>
              <w:t>Projet</w:t>
            </w:r>
          </w:p>
        </w:tc>
        <w:tc>
          <w:tcPr>
            <w:tcW w:w="850" w:type="dxa"/>
            <w:shd w:val="clear" w:color="auto" w:fill="E2EFD9" w:themeFill="accent6" w:themeFillTint="33"/>
            <w:vAlign w:val="center"/>
          </w:tcPr>
          <w:p w:rsidR="007960B4" w:rsidRPr="00BE3D77" w:rsidRDefault="007960B4" w:rsidP="00C77D61">
            <w:pPr>
              <w:jc w:val="center"/>
              <w:rPr>
                <w:rFonts w:ascii="Times New Roman" w:hAnsi="Times New Roman" w:cs="Times New Roman"/>
                <w:color w:val="000000"/>
                <w:sz w:val="20"/>
                <w:szCs w:val="20"/>
              </w:rPr>
            </w:pPr>
            <w:r w:rsidRPr="00BE3D77">
              <w:rPr>
                <w:rFonts w:ascii="Times New Roman" w:hAnsi="Times New Roman" w:cs="Times New Roman"/>
                <w:color w:val="000000"/>
                <w:sz w:val="20"/>
                <w:szCs w:val="20"/>
              </w:rPr>
              <w:t>Effet</w:t>
            </w:r>
            <w:r w:rsidR="00F6660B">
              <w:rPr>
                <w:rFonts w:ascii="Times New Roman" w:hAnsi="Times New Roman" w:cs="Times New Roman"/>
                <w:color w:val="000000"/>
                <w:sz w:val="20"/>
                <w:szCs w:val="20"/>
              </w:rPr>
              <w:t>s</w:t>
            </w:r>
            <w:r w:rsidRPr="00BE3D77">
              <w:rPr>
                <w:rFonts w:ascii="Times New Roman" w:hAnsi="Times New Roman" w:cs="Times New Roman"/>
                <w:color w:val="000000"/>
                <w:sz w:val="20"/>
                <w:szCs w:val="20"/>
              </w:rPr>
              <w:t xml:space="preserve"> positif</w:t>
            </w:r>
            <w:r w:rsidR="00F6660B">
              <w:rPr>
                <w:rFonts w:ascii="Times New Roman" w:hAnsi="Times New Roman" w:cs="Times New Roman"/>
                <w:color w:val="000000"/>
                <w:sz w:val="20"/>
                <w:szCs w:val="20"/>
              </w:rPr>
              <w:t>s</w:t>
            </w:r>
          </w:p>
        </w:tc>
        <w:tc>
          <w:tcPr>
            <w:tcW w:w="8919" w:type="dxa"/>
            <w:vAlign w:val="center"/>
          </w:tcPr>
          <w:p w:rsidR="007960B4" w:rsidRPr="00AA45E9" w:rsidRDefault="007960B4" w:rsidP="00FA3FAE">
            <w:pPr>
              <w:pStyle w:val="Listecouleur-Accent11"/>
              <w:numPr>
                <w:ilvl w:val="0"/>
                <w:numId w:val="72"/>
              </w:numPr>
              <w:ind w:left="167" w:hanging="142"/>
              <w:rPr>
                <w:rFonts w:ascii="Times New Roman" w:hAnsi="Times New Roman"/>
                <w:lang w:val="fr-FR"/>
              </w:rPr>
            </w:pPr>
            <w:r w:rsidRPr="00AA45E9">
              <w:rPr>
                <w:rFonts w:ascii="Times New Roman" w:hAnsi="Times New Roman"/>
                <w:lang w:val="fr-FR"/>
              </w:rPr>
              <w:t>Néants</w:t>
            </w:r>
          </w:p>
        </w:tc>
      </w:tr>
      <w:tr w:rsidR="00E5080B" w:rsidTr="00C77D61">
        <w:tc>
          <w:tcPr>
            <w:tcW w:w="498" w:type="dxa"/>
            <w:vMerge/>
            <w:shd w:val="clear" w:color="auto" w:fill="DEEAF6" w:themeFill="accent1" w:themeFillTint="33"/>
          </w:tcPr>
          <w:p w:rsidR="007960B4" w:rsidRPr="00C77D61" w:rsidRDefault="007960B4" w:rsidP="00C77D61">
            <w:pPr>
              <w:jc w:val="center"/>
              <w:rPr>
                <w:rFonts w:ascii="Times New Roman" w:hAnsi="Times New Roman" w:cs="Times New Roman"/>
                <w:b/>
                <w:color w:val="000000"/>
                <w:sz w:val="24"/>
                <w:szCs w:val="24"/>
              </w:rPr>
            </w:pPr>
          </w:p>
        </w:tc>
        <w:tc>
          <w:tcPr>
            <w:tcW w:w="932" w:type="dxa"/>
            <w:vMerge/>
            <w:shd w:val="clear" w:color="auto" w:fill="F2F2F2" w:themeFill="background1" w:themeFillShade="F2"/>
          </w:tcPr>
          <w:p w:rsidR="007960B4" w:rsidRDefault="007960B4" w:rsidP="007960B4">
            <w:pPr>
              <w:jc w:val="both"/>
              <w:rPr>
                <w:rFonts w:ascii="Times New Roman" w:hAnsi="Times New Roman" w:cs="Times New Roman"/>
                <w:color w:val="000000"/>
                <w:sz w:val="24"/>
                <w:szCs w:val="24"/>
              </w:rPr>
            </w:pPr>
          </w:p>
        </w:tc>
        <w:tc>
          <w:tcPr>
            <w:tcW w:w="850" w:type="dxa"/>
            <w:shd w:val="clear" w:color="auto" w:fill="FFF2CC" w:themeFill="accent4" w:themeFillTint="33"/>
            <w:vAlign w:val="center"/>
          </w:tcPr>
          <w:p w:rsidR="007960B4" w:rsidRPr="00BE3D77" w:rsidRDefault="007960B4" w:rsidP="00C77D61">
            <w:pPr>
              <w:jc w:val="center"/>
              <w:rPr>
                <w:rFonts w:ascii="Times New Roman" w:hAnsi="Times New Roman" w:cs="Times New Roman"/>
                <w:color w:val="000000"/>
                <w:sz w:val="20"/>
                <w:szCs w:val="20"/>
              </w:rPr>
            </w:pPr>
            <w:r w:rsidRPr="00BE3D77">
              <w:rPr>
                <w:rFonts w:ascii="Times New Roman" w:hAnsi="Times New Roman" w:cs="Times New Roman"/>
                <w:color w:val="000000"/>
                <w:sz w:val="20"/>
                <w:szCs w:val="20"/>
              </w:rPr>
              <w:t>Effet</w:t>
            </w:r>
            <w:r w:rsidR="00F6660B">
              <w:rPr>
                <w:rFonts w:ascii="Times New Roman" w:hAnsi="Times New Roman" w:cs="Times New Roman"/>
                <w:color w:val="000000"/>
                <w:sz w:val="20"/>
                <w:szCs w:val="20"/>
              </w:rPr>
              <w:t>s</w:t>
            </w:r>
            <w:r w:rsidRPr="00BE3D77">
              <w:rPr>
                <w:rFonts w:ascii="Times New Roman" w:hAnsi="Times New Roman" w:cs="Times New Roman"/>
                <w:color w:val="000000"/>
                <w:sz w:val="20"/>
                <w:szCs w:val="20"/>
              </w:rPr>
              <w:t xml:space="preserve"> négatif</w:t>
            </w:r>
            <w:r w:rsidR="00F6660B">
              <w:rPr>
                <w:rFonts w:ascii="Times New Roman" w:hAnsi="Times New Roman" w:cs="Times New Roman"/>
                <w:color w:val="000000"/>
                <w:sz w:val="20"/>
                <w:szCs w:val="20"/>
              </w:rPr>
              <w:t>s</w:t>
            </w:r>
          </w:p>
        </w:tc>
        <w:tc>
          <w:tcPr>
            <w:tcW w:w="8919" w:type="dxa"/>
            <w:vAlign w:val="center"/>
          </w:tcPr>
          <w:p w:rsidR="007960B4" w:rsidRDefault="007960B4" w:rsidP="00FA3FAE">
            <w:pPr>
              <w:pStyle w:val="Listecouleur-Accent11"/>
              <w:numPr>
                <w:ilvl w:val="0"/>
                <w:numId w:val="72"/>
              </w:numPr>
              <w:ind w:left="167" w:hanging="142"/>
              <w:rPr>
                <w:rFonts w:ascii="Times New Roman" w:hAnsi="Times New Roman"/>
                <w:lang w:val="fr-FR"/>
              </w:rPr>
            </w:pPr>
            <w:r w:rsidRPr="00AA45E9">
              <w:rPr>
                <w:rFonts w:ascii="Times New Roman" w:hAnsi="Times New Roman"/>
                <w:lang w:val="fr-FR"/>
              </w:rPr>
              <w:t>Risque de</w:t>
            </w:r>
            <w:r w:rsidR="00C747E4">
              <w:rPr>
                <w:rFonts w:ascii="Times New Roman" w:hAnsi="Times New Roman"/>
                <w:lang w:val="fr-FR"/>
              </w:rPr>
              <w:t xml:space="preserve"> couper quelques </w:t>
            </w:r>
            <w:r>
              <w:rPr>
                <w:rFonts w:ascii="Times New Roman" w:hAnsi="Times New Roman"/>
                <w:lang w:val="fr-FR"/>
              </w:rPr>
              <w:t>anacardier</w:t>
            </w:r>
            <w:r w:rsidR="00C747E4">
              <w:rPr>
                <w:rFonts w:ascii="Times New Roman" w:hAnsi="Times New Roman"/>
                <w:lang w:val="fr-FR"/>
              </w:rPr>
              <w:t>s</w:t>
            </w:r>
            <w:r>
              <w:rPr>
                <w:rFonts w:ascii="Times New Roman" w:hAnsi="Times New Roman"/>
                <w:lang w:val="fr-FR"/>
              </w:rPr>
              <w:t xml:space="preserve"> dans la zone d’intervention à Bor ; </w:t>
            </w:r>
          </w:p>
          <w:p w:rsidR="007960B4" w:rsidRPr="00AA45E9" w:rsidRDefault="007960B4" w:rsidP="00FA3FAE">
            <w:pPr>
              <w:pStyle w:val="Listecouleur-Accent11"/>
              <w:numPr>
                <w:ilvl w:val="0"/>
                <w:numId w:val="72"/>
              </w:numPr>
              <w:ind w:left="167" w:hanging="142"/>
              <w:rPr>
                <w:rFonts w:ascii="Times New Roman" w:hAnsi="Times New Roman"/>
                <w:lang w:val="fr-FR"/>
              </w:rPr>
            </w:pPr>
            <w:r w:rsidRPr="00AA45E9">
              <w:rPr>
                <w:rFonts w:ascii="Times New Roman" w:hAnsi="Times New Roman"/>
                <w:lang w:val="fr-FR"/>
              </w:rPr>
              <w:t>Risque de nuisance à cause des différentes activités du projet sur les espèces fauniques ;</w:t>
            </w:r>
          </w:p>
          <w:p w:rsidR="007960B4" w:rsidRPr="00AA45E9" w:rsidRDefault="007960B4" w:rsidP="00FA3FAE">
            <w:pPr>
              <w:pStyle w:val="Listecouleur-Accent11"/>
              <w:numPr>
                <w:ilvl w:val="0"/>
                <w:numId w:val="72"/>
              </w:numPr>
              <w:ind w:left="167" w:hanging="142"/>
              <w:rPr>
                <w:rFonts w:ascii="Times New Roman" w:hAnsi="Times New Roman"/>
                <w:lang w:val="fr-FR"/>
              </w:rPr>
            </w:pPr>
            <w:r w:rsidRPr="00AA45E9">
              <w:rPr>
                <w:rFonts w:ascii="Times New Roman" w:hAnsi="Times New Roman"/>
                <w:lang w:val="fr-FR"/>
              </w:rPr>
              <w:t xml:space="preserve">Risque de modification du paysage </w:t>
            </w:r>
            <w:r w:rsidR="00C747E4">
              <w:rPr>
                <w:rFonts w:ascii="Times New Roman" w:hAnsi="Times New Roman"/>
                <w:lang w:val="fr-FR"/>
              </w:rPr>
              <w:t>du aux</w:t>
            </w:r>
            <w:r w:rsidRPr="00AA45E9">
              <w:rPr>
                <w:rFonts w:ascii="Times New Roman" w:hAnsi="Times New Roman"/>
                <w:lang w:val="fr-FR"/>
              </w:rPr>
              <w:t xml:space="preserve"> travaux </w:t>
            </w:r>
            <w:r>
              <w:rPr>
                <w:rFonts w:ascii="Times New Roman" w:hAnsi="Times New Roman"/>
                <w:lang w:val="fr-FR"/>
              </w:rPr>
              <w:t xml:space="preserve">ou </w:t>
            </w:r>
            <w:r w:rsidR="00C747E4">
              <w:rPr>
                <w:rFonts w:ascii="Times New Roman" w:hAnsi="Times New Roman"/>
                <w:lang w:val="fr-FR"/>
              </w:rPr>
              <w:t>à l’</w:t>
            </w:r>
            <w:r>
              <w:rPr>
                <w:rFonts w:ascii="Times New Roman" w:hAnsi="Times New Roman"/>
                <w:lang w:val="fr-FR"/>
              </w:rPr>
              <w:t xml:space="preserve">existence </w:t>
            </w:r>
            <w:r w:rsidR="00672AF0">
              <w:rPr>
                <w:rFonts w:ascii="Times New Roman" w:hAnsi="Times New Roman"/>
                <w:lang w:val="fr-FR"/>
              </w:rPr>
              <w:t>du réservoir</w:t>
            </w:r>
            <w:r>
              <w:rPr>
                <w:rFonts w:ascii="Times New Roman" w:hAnsi="Times New Roman"/>
                <w:lang w:val="fr-FR"/>
              </w:rPr>
              <w:t xml:space="preserve"> </w:t>
            </w:r>
            <w:r w:rsidRPr="00AA45E9">
              <w:rPr>
                <w:rFonts w:ascii="Times New Roman" w:hAnsi="Times New Roman"/>
                <w:lang w:val="fr-FR"/>
              </w:rPr>
              <w:t>;</w:t>
            </w:r>
          </w:p>
          <w:p w:rsidR="007960B4" w:rsidRPr="00AA45E9" w:rsidRDefault="007960B4" w:rsidP="00FA3FAE">
            <w:pPr>
              <w:pStyle w:val="Listecouleur-Accent11"/>
              <w:numPr>
                <w:ilvl w:val="0"/>
                <w:numId w:val="72"/>
              </w:numPr>
              <w:ind w:left="167" w:hanging="142"/>
              <w:rPr>
                <w:rFonts w:ascii="Times New Roman" w:hAnsi="Times New Roman"/>
                <w:lang w:val="fr-FR"/>
              </w:rPr>
            </w:pPr>
            <w:r w:rsidRPr="00AA45E9">
              <w:rPr>
                <w:rFonts w:ascii="Times New Roman" w:hAnsi="Times New Roman"/>
                <w:lang w:val="fr-FR"/>
              </w:rPr>
              <w:t>Risque de pollution des eaux de surface et souterraine</w:t>
            </w:r>
            <w:r w:rsidR="00C747E4">
              <w:rPr>
                <w:rFonts w:ascii="Times New Roman" w:hAnsi="Times New Roman"/>
                <w:lang w:val="fr-FR"/>
              </w:rPr>
              <w:t>s</w:t>
            </w:r>
            <w:r>
              <w:rPr>
                <w:rFonts w:ascii="Times New Roman" w:hAnsi="Times New Roman"/>
                <w:lang w:val="fr-FR"/>
              </w:rPr>
              <w:t> ;</w:t>
            </w:r>
          </w:p>
          <w:p w:rsidR="007960B4" w:rsidRPr="00AA45E9" w:rsidRDefault="007960B4" w:rsidP="00FA3FAE">
            <w:pPr>
              <w:pStyle w:val="Listecouleur-Accent11"/>
              <w:numPr>
                <w:ilvl w:val="0"/>
                <w:numId w:val="72"/>
              </w:numPr>
              <w:ind w:left="167" w:hanging="142"/>
              <w:rPr>
                <w:rFonts w:ascii="Times New Roman" w:hAnsi="Times New Roman"/>
                <w:lang w:val="fr-FR"/>
              </w:rPr>
            </w:pPr>
            <w:r w:rsidRPr="00AA45E9">
              <w:rPr>
                <w:rFonts w:ascii="Times New Roman" w:hAnsi="Times New Roman"/>
                <w:lang w:val="fr-FR"/>
              </w:rPr>
              <w:t>Risque de déstructuration et de pollution des sols ;</w:t>
            </w:r>
          </w:p>
        </w:tc>
      </w:tr>
      <w:tr w:rsidR="00E5080B" w:rsidTr="00C77D61">
        <w:tc>
          <w:tcPr>
            <w:tcW w:w="498" w:type="dxa"/>
            <w:vMerge w:val="restart"/>
            <w:shd w:val="clear" w:color="auto" w:fill="DEEAF6" w:themeFill="accent1" w:themeFillTint="33"/>
            <w:textDirection w:val="btLr"/>
          </w:tcPr>
          <w:p w:rsidR="007960B4" w:rsidRPr="00C77D61" w:rsidRDefault="007960B4" w:rsidP="00C77D61">
            <w:pPr>
              <w:jc w:val="center"/>
              <w:rPr>
                <w:rFonts w:ascii="Times New Roman" w:hAnsi="Times New Roman" w:cs="Times New Roman"/>
                <w:b/>
                <w:color w:val="000000"/>
                <w:sz w:val="24"/>
                <w:szCs w:val="24"/>
              </w:rPr>
            </w:pPr>
            <w:r w:rsidRPr="00C77D61">
              <w:rPr>
                <w:rFonts w:ascii="Times New Roman" w:hAnsi="Times New Roman" w:cs="Times New Roman"/>
                <w:b/>
                <w:color w:val="000000"/>
                <w:sz w:val="24"/>
                <w:szCs w:val="24"/>
              </w:rPr>
              <w:t>Social</w:t>
            </w:r>
          </w:p>
        </w:tc>
        <w:tc>
          <w:tcPr>
            <w:tcW w:w="932" w:type="dxa"/>
            <w:vMerge/>
            <w:shd w:val="clear" w:color="auto" w:fill="F2F2F2" w:themeFill="background1" w:themeFillShade="F2"/>
          </w:tcPr>
          <w:p w:rsidR="007960B4" w:rsidRDefault="007960B4" w:rsidP="007960B4">
            <w:pPr>
              <w:jc w:val="both"/>
              <w:rPr>
                <w:rFonts w:ascii="Times New Roman" w:hAnsi="Times New Roman" w:cs="Times New Roman"/>
                <w:color w:val="000000"/>
                <w:sz w:val="24"/>
                <w:szCs w:val="24"/>
              </w:rPr>
            </w:pPr>
          </w:p>
        </w:tc>
        <w:tc>
          <w:tcPr>
            <w:tcW w:w="850" w:type="dxa"/>
            <w:shd w:val="clear" w:color="auto" w:fill="E2EFD9" w:themeFill="accent6" w:themeFillTint="33"/>
            <w:vAlign w:val="center"/>
          </w:tcPr>
          <w:p w:rsidR="007960B4" w:rsidRPr="00BE3D77" w:rsidRDefault="007960B4" w:rsidP="00C77D61">
            <w:pPr>
              <w:jc w:val="center"/>
              <w:rPr>
                <w:rFonts w:ascii="Times New Roman" w:hAnsi="Times New Roman" w:cs="Times New Roman"/>
                <w:color w:val="000000"/>
                <w:sz w:val="20"/>
                <w:szCs w:val="20"/>
              </w:rPr>
            </w:pPr>
            <w:r w:rsidRPr="00BE3D77">
              <w:rPr>
                <w:rFonts w:ascii="Times New Roman" w:hAnsi="Times New Roman" w:cs="Times New Roman"/>
                <w:color w:val="000000"/>
                <w:sz w:val="20"/>
                <w:szCs w:val="20"/>
              </w:rPr>
              <w:t>Effet</w:t>
            </w:r>
            <w:r w:rsidR="00F6660B">
              <w:rPr>
                <w:rFonts w:ascii="Times New Roman" w:hAnsi="Times New Roman" w:cs="Times New Roman"/>
                <w:color w:val="000000"/>
                <w:sz w:val="20"/>
                <w:szCs w:val="20"/>
              </w:rPr>
              <w:t>s</w:t>
            </w:r>
            <w:r w:rsidRPr="00BE3D77">
              <w:rPr>
                <w:rFonts w:ascii="Times New Roman" w:hAnsi="Times New Roman" w:cs="Times New Roman"/>
                <w:color w:val="000000"/>
                <w:sz w:val="20"/>
                <w:szCs w:val="20"/>
              </w:rPr>
              <w:t xml:space="preserve"> positif</w:t>
            </w:r>
            <w:r w:rsidR="00F6660B">
              <w:rPr>
                <w:rFonts w:ascii="Times New Roman" w:hAnsi="Times New Roman" w:cs="Times New Roman"/>
                <w:color w:val="000000"/>
                <w:sz w:val="20"/>
                <w:szCs w:val="20"/>
              </w:rPr>
              <w:t>s</w:t>
            </w:r>
          </w:p>
        </w:tc>
        <w:tc>
          <w:tcPr>
            <w:tcW w:w="8919" w:type="dxa"/>
            <w:vAlign w:val="center"/>
          </w:tcPr>
          <w:p w:rsidR="007960B4" w:rsidRPr="008A6039" w:rsidRDefault="007960B4" w:rsidP="00FA3FAE">
            <w:pPr>
              <w:pStyle w:val="Listecouleur-Accent11"/>
              <w:numPr>
                <w:ilvl w:val="0"/>
                <w:numId w:val="72"/>
              </w:numPr>
              <w:ind w:left="167" w:hanging="142"/>
              <w:rPr>
                <w:rFonts w:ascii="Times New Roman" w:hAnsi="Times New Roman"/>
                <w:lang w:val="fr-FR"/>
              </w:rPr>
            </w:pPr>
            <w:r>
              <w:rPr>
                <w:rFonts w:ascii="Times New Roman" w:hAnsi="Times New Roman"/>
                <w:lang w:val="fr-FR"/>
              </w:rPr>
              <w:t>A</w:t>
            </w:r>
            <w:r w:rsidR="00C747E4">
              <w:rPr>
                <w:rFonts w:ascii="Times New Roman" w:hAnsi="Times New Roman"/>
                <w:lang w:val="fr-FR"/>
              </w:rPr>
              <w:t>ugmentation</w:t>
            </w:r>
            <w:r w:rsidRPr="008A6039">
              <w:rPr>
                <w:rFonts w:ascii="Times New Roman" w:hAnsi="Times New Roman"/>
                <w:lang w:val="fr-FR"/>
              </w:rPr>
              <w:t xml:space="preserve"> et</w:t>
            </w:r>
            <w:r w:rsidR="00C747E4">
              <w:rPr>
                <w:rFonts w:ascii="Times New Roman" w:hAnsi="Times New Roman"/>
                <w:lang w:val="fr-FR"/>
              </w:rPr>
              <w:t xml:space="preserve"> extension de réseau pour</w:t>
            </w:r>
            <w:r w:rsidRPr="008A6039">
              <w:rPr>
                <w:rFonts w:ascii="Times New Roman" w:hAnsi="Times New Roman"/>
                <w:lang w:val="fr-FR"/>
              </w:rPr>
              <w:t xml:space="preserve"> l’accès à une</w:t>
            </w:r>
            <w:r>
              <w:rPr>
                <w:rFonts w:ascii="Times New Roman" w:hAnsi="Times New Roman"/>
                <w:lang w:val="fr-FR"/>
              </w:rPr>
              <w:t xml:space="preserve"> eau saine et à</w:t>
            </w:r>
            <w:r w:rsidR="00C747E4">
              <w:rPr>
                <w:rFonts w:ascii="Times New Roman" w:hAnsi="Times New Roman"/>
                <w:lang w:val="fr-FR"/>
              </w:rPr>
              <w:t xml:space="preserve"> un</w:t>
            </w:r>
            <w:r>
              <w:rPr>
                <w:rFonts w:ascii="Times New Roman" w:hAnsi="Times New Roman"/>
                <w:lang w:val="fr-FR"/>
              </w:rPr>
              <w:t xml:space="preserve"> prix accessible ;</w:t>
            </w:r>
          </w:p>
          <w:p w:rsidR="007960B4" w:rsidRDefault="007960B4" w:rsidP="00FA3FAE">
            <w:pPr>
              <w:pStyle w:val="Listecouleur-Accent11"/>
              <w:numPr>
                <w:ilvl w:val="0"/>
                <w:numId w:val="72"/>
              </w:numPr>
              <w:ind w:left="167" w:hanging="142"/>
              <w:rPr>
                <w:rFonts w:ascii="Times New Roman" w:hAnsi="Times New Roman"/>
                <w:lang w:val="fr-FR"/>
              </w:rPr>
            </w:pPr>
            <w:r>
              <w:rPr>
                <w:rFonts w:ascii="Times New Roman" w:hAnsi="Times New Roman"/>
                <w:lang w:val="fr-FR"/>
              </w:rPr>
              <w:t>A</w:t>
            </w:r>
            <w:r w:rsidRPr="00AA45E9">
              <w:rPr>
                <w:rFonts w:ascii="Times New Roman" w:hAnsi="Times New Roman"/>
                <w:lang w:val="fr-FR"/>
              </w:rPr>
              <w:t>mélioration de la qualité de vie des populations</w:t>
            </w:r>
            <w:r>
              <w:rPr>
                <w:rFonts w:ascii="Times New Roman" w:hAnsi="Times New Roman"/>
                <w:lang w:val="fr-FR"/>
              </w:rPr>
              <w:t xml:space="preserve"> </w:t>
            </w:r>
            <w:r w:rsidRPr="00AA45E9">
              <w:rPr>
                <w:rFonts w:ascii="Times New Roman" w:hAnsi="Times New Roman"/>
                <w:lang w:val="fr-FR"/>
              </w:rPr>
              <w:t>;</w:t>
            </w:r>
          </w:p>
          <w:p w:rsidR="007960B4" w:rsidRDefault="007960B4" w:rsidP="00FA3FAE">
            <w:pPr>
              <w:pStyle w:val="Listecouleur-Accent11"/>
              <w:numPr>
                <w:ilvl w:val="0"/>
                <w:numId w:val="72"/>
              </w:numPr>
              <w:ind w:left="167" w:hanging="142"/>
              <w:rPr>
                <w:rFonts w:ascii="Times New Roman" w:hAnsi="Times New Roman"/>
                <w:lang w:val="fr-FR"/>
              </w:rPr>
            </w:pPr>
            <w:r w:rsidRPr="00816224">
              <w:rPr>
                <w:rFonts w:ascii="Times New Roman" w:hAnsi="Times New Roman"/>
                <w:lang w:val="fr-FR"/>
              </w:rPr>
              <w:lastRenderedPageBreak/>
              <w:t>Augmentation des capacités de distribution d’eau potable et en quantité entraînant la réduction des risques de maladie</w:t>
            </w:r>
            <w:r w:rsidR="00C747E4">
              <w:rPr>
                <w:rFonts w:ascii="Times New Roman" w:hAnsi="Times New Roman"/>
                <w:lang w:val="fr-FR"/>
              </w:rPr>
              <w:t>s</w:t>
            </w:r>
            <w:r w:rsidRPr="00816224">
              <w:rPr>
                <w:rFonts w:ascii="Times New Roman" w:hAnsi="Times New Roman"/>
                <w:lang w:val="fr-FR"/>
              </w:rPr>
              <w:t xml:space="preserve"> hydrique</w:t>
            </w:r>
            <w:r w:rsidR="00C747E4">
              <w:rPr>
                <w:rFonts w:ascii="Times New Roman" w:hAnsi="Times New Roman"/>
                <w:lang w:val="fr-FR"/>
              </w:rPr>
              <w:t>s</w:t>
            </w:r>
            <w:r w:rsidRPr="00816224">
              <w:rPr>
                <w:rFonts w:ascii="Times New Roman" w:hAnsi="Times New Roman"/>
                <w:lang w:val="fr-FR"/>
              </w:rPr>
              <w:t xml:space="preserve"> (les maladies gastro-intestinales, les maladies parasitaires, le </w:t>
            </w:r>
            <w:r>
              <w:rPr>
                <w:rFonts w:ascii="Times New Roman" w:hAnsi="Times New Roman"/>
                <w:lang w:val="fr-FR"/>
              </w:rPr>
              <w:t>typhoïde, etc. ;</w:t>
            </w:r>
          </w:p>
          <w:p w:rsidR="007960B4" w:rsidRDefault="007960B4" w:rsidP="00FA3FAE">
            <w:pPr>
              <w:pStyle w:val="Listecouleur-Accent11"/>
              <w:numPr>
                <w:ilvl w:val="0"/>
                <w:numId w:val="72"/>
              </w:numPr>
              <w:ind w:left="167" w:hanging="142"/>
              <w:rPr>
                <w:rFonts w:ascii="Times New Roman" w:hAnsi="Times New Roman"/>
                <w:lang w:val="fr-FR"/>
              </w:rPr>
            </w:pPr>
            <w:r>
              <w:rPr>
                <w:rFonts w:ascii="Times New Roman" w:hAnsi="Times New Roman"/>
                <w:lang w:val="fr-FR"/>
              </w:rPr>
              <w:t xml:space="preserve">Gain de temps par rapport à l’approvisionnement en eau pour </w:t>
            </w:r>
            <w:r w:rsidR="00672AF0">
              <w:rPr>
                <w:rFonts w:ascii="Times New Roman" w:hAnsi="Times New Roman"/>
                <w:lang w:val="fr-FR"/>
              </w:rPr>
              <w:t>l</w:t>
            </w:r>
            <w:r>
              <w:rPr>
                <w:rFonts w:ascii="Times New Roman" w:hAnsi="Times New Roman"/>
                <w:lang w:val="fr-FR"/>
              </w:rPr>
              <w:t>a population ;</w:t>
            </w:r>
          </w:p>
          <w:p w:rsidR="007960B4" w:rsidRPr="00093C8B" w:rsidRDefault="007960B4" w:rsidP="00FA3FAE">
            <w:pPr>
              <w:pStyle w:val="Listecouleur-Accent11"/>
              <w:numPr>
                <w:ilvl w:val="0"/>
                <w:numId w:val="72"/>
              </w:numPr>
              <w:ind w:left="167" w:hanging="142"/>
              <w:rPr>
                <w:rFonts w:ascii="Times New Roman" w:hAnsi="Times New Roman"/>
                <w:lang w:val="fr-FR"/>
              </w:rPr>
            </w:pPr>
            <w:r w:rsidRPr="00093C8B">
              <w:rPr>
                <w:rFonts w:ascii="Times New Roman" w:hAnsi="Times New Roman"/>
                <w:lang w:val="fr-FR"/>
              </w:rPr>
              <w:t>Amélioration de la performance de l’EAGB</w:t>
            </w:r>
            <w:r>
              <w:rPr>
                <w:rFonts w:ascii="Times New Roman" w:hAnsi="Times New Roman"/>
                <w:lang w:val="fr-FR"/>
              </w:rPr>
              <w:t> ;</w:t>
            </w:r>
          </w:p>
          <w:p w:rsidR="007960B4" w:rsidRPr="00816224" w:rsidRDefault="007960B4" w:rsidP="00FA3FAE">
            <w:pPr>
              <w:pStyle w:val="Listecouleur-Accent11"/>
              <w:numPr>
                <w:ilvl w:val="0"/>
                <w:numId w:val="72"/>
              </w:numPr>
              <w:ind w:left="167" w:hanging="142"/>
              <w:rPr>
                <w:rFonts w:ascii="Times New Roman" w:hAnsi="Times New Roman"/>
                <w:lang w:val="fr-FR"/>
              </w:rPr>
            </w:pPr>
            <w:r w:rsidRPr="00816224">
              <w:rPr>
                <w:rFonts w:ascii="Times New Roman" w:hAnsi="Times New Roman"/>
                <w:lang w:val="fr-FR"/>
              </w:rPr>
              <w:t xml:space="preserve">Lutte contre le chômage et la pauvreté dans le pays ; </w:t>
            </w:r>
          </w:p>
          <w:p w:rsidR="007960B4" w:rsidRPr="00AA45E9" w:rsidRDefault="007960B4" w:rsidP="00FA3FAE">
            <w:pPr>
              <w:pStyle w:val="Listecouleur-Accent11"/>
              <w:numPr>
                <w:ilvl w:val="0"/>
                <w:numId w:val="72"/>
              </w:numPr>
              <w:ind w:left="167" w:hanging="142"/>
              <w:rPr>
                <w:rFonts w:ascii="Times New Roman" w:hAnsi="Times New Roman"/>
                <w:lang w:val="fr-FR"/>
              </w:rPr>
            </w:pPr>
            <w:r>
              <w:rPr>
                <w:rFonts w:ascii="Times New Roman" w:hAnsi="Times New Roman"/>
                <w:lang w:val="fr-FR"/>
              </w:rPr>
              <w:t>A</w:t>
            </w:r>
            <w:r w:rsidRPr="00AA45E9">
              <w:rPr>
                <w:rFonts w:ascii="Times New Roman" w:hAnsi="Times New Roman"/>
                <w:lang w:val="fr-FR"/>
              </w:rPr>
              <w:t xml:space="preserve">ugmentation de stabilité sociale </w:t>
            </w:r>
            <w:r>
              <w:rPr>
                <w:rFonts w:ascii="Times New Roman" w:hAnsi="Times New Roman"/>
                <w:lang w:val="fr-FR"/>
              </w:rPr>
              <w:t xml:space="preserve">et politique du pays </w:t>
            </w:r>
            <w:r w:rsidRPr="00AA45E9">
              <w:rPr>
                <w:rFonts w:ascii="Times New Roman" w:hAnsi="Times New Roman"/>
                <w:lang w:val="fr-FR"/>
              </w:rPr>
              <w:t>;</w:t>
            </w:r>
          </w:p>
          <w:p w:rsidR="007960B4" w:rsidRPr="00AA45E9" w:rsidRDefault="00090486" w:rsidP="00FA3FAE">
            <w:pPr>
              <w:pStyle w:val="Listecouleur-Accent11"/>
              <w:numPr>
                <w:ilvl w:val="0"/>
                <w:numId w:val="72"/>
              </w:numPr>
              <w:ind w:left="167" w:hanging="142"/>
              <w:rPr>
                <w:rFonts w:ascii="Times New Roman" w:hAnsi="Times New Roman"/>
                <w:lang w:val="fr-FR"/>
              </w:rPr>
            </w:pPr>
            <w:r>
              <w:rPr>
                <w:rFonts w:ascii="Times New Roman" w:hAnsi="Times New Roman"/>
                <w:lang w:val="fr-FR"/>
              </w:rPr>
              <w:t>M</w:t>
            </w:r>
            <w:r w:rsidR="007960B4" w:rsidRPr="008A6039">
              <w:rPr>
                <w:rFonts w:ascii="Times New Roman" w:hAnsi="Times New Roman"/>
                <w:lang w:val="fr-FR"/>
              </w:rPr>
              <w:t xml:space="preserve">eilleure exploitation et entretien des </w:t>
            </w:r>
            <w:r w:rsidR="007960B4">
              <w:rPr>
                <w:rFonts w:ascii="Times New Roman" w:hAnsi="Times New Roman"/>
                <w:lang w:val="fr-FR"/>
              </w:rPr>
              <w:t>réservoirs</w:t>
            </w:r>
            <w:r w:rsidR="007960B4" w:rsidRPr="008A6039">
              <w:rPr>
                <w:rFonts w:ascii="Times New Roman" w:hAnsi="Times New Roman"/>
                <w:lang w:val="fr-FR"/>
              </w:rPr>
              <w:t xml:space="preserve"> de distribution d’eau dans la ville de Bissau</w:t>
            </w:r>
            <w:r w:rsidR="007960B4">
              <w:rPr>
                <w:rFonts w:ascii="Times New Roman" w:hAnsi="Times New Roman"/>
                <w:lang w:val="fr-FR"/>
              </w:rPr>
              <w:t xml:space="preserve"> et Biombo ;</w:t>
            </w:r>
          </w:p>
        </w:tc>
      </w:tr>
      <w:tr w:rsidR="00E5080B" w:rsidTr="00C77D61">
        <w:tc>
          <w:tcPr>
            <w:tcW w:w="498" w:type="dxa"/>
            <w:vMerge/>
            <w:shd w:val="clear" w:color="auto" w:fill="DEEAF6" w:themeFill="accent1" w:themeFillTint="33"/>
            <w:textDirection w:val="btLr"/>
          </w:tcPr>
          <w:p w:rsidR="007960B4" w:rsidRPr="00C77D61" w:rsidRDefault="007960B4" w:rsidP="00C77D61">
            <w:pPr>
              <w:jc w:val="center"/>
              <w:rPr>
                <w:rFonts w:ascii="Times New Roman" w:hAnsi="Times New Roman" w:cs="Times New Roman"/>
                <w:b/>
                <w:color w:val="000000"/>
                <w:sz w:val="24"/>
                <w:szCs w:val="24"/>
              </w:rPr>
            </w:pPr>
          </w:p>
        </w:tc>
        <w:tc>
          <w:tcPr>
            <w:tcW w:w="932" w:type="dxa"/>
            <w:vMerge/>
            <w:shd w:val="clear" w:color="auto" w:fill="F2F2F2" w:themeFill="background1" w:themeFillShade="F2"/>
          </w:tcPr>
          <w:p w:rsidR="007960B4" w:rsidRDefault="007960B4" w:rsidP="007960B4">
            <w:pPr>
              <w:jc w:val="both"/>
              <w:rPr>
                <w:rFonts w:ascii="Times New Roman" w:hAnsi="Times New Roman" w:cs="Times New Roman"/>
                <w:color w:val="000000"/>
                <w:sz w:val="24"/>
                <w:szCs w:val="24"/>
              </w:rPr>
            </w:pPr>
          </w:p>
        </w:tc>
        <w:tc>
          <w:tcPr>
            <w:tcW w:w="850" w:type="dxa"/>
            <w:shd w:val="clear" w:color="auto" w:fill="FFF2CC" w:themeFill="accent4" w:themeFillTint="33"/>
            <w:vAlign w:val="center"/>
          </w:tcPr>
          <w:p w:rsidR="007960B4" w:rsidRPr="00BE3D77" w:rsidRDefault="007960B4" w:rsidP="00C77D61">
            <w:pPr>
              <w:jc w:val="center"/>
              <w:rPr>
                <w:rFonts w:ascii="Times New Roman" w:hAnsi="Times New Roman" w:cs="Times New Roman"/>
                <w:color w:val="000000"/>
                <w:sz w:val="20"/>
                <w:szCs w:val="20"/>
              </w:rPr>
            </w:pPr>
            <w:r w:rsidRPr="00BE3D77">
              <w:rPr>
                <w:rFonts w:ascii="Times New Roman" w:hAnsi="Times New Roman" w:cs="Times New Roman"/>
                <w:color w:val="000000"/>
                <w:sz w:val="20"/>
                <w:szCs w:val="20"/>
              </w:rPr>
              <w:t>Effet</w:t>
            </w:r>
            <w:r w:rsidR="00F6660B">
              <w:rPr>
                <w:rFonts w:ascii="Times New Roman" w:hAnsi="Times New Roman" w:cs="Times New Roman"/>
                <w:color w:val="000000"/>
                <w:sz w:val="20"/>
                <w:szCs w:val="20"/>
              </w:rPr>
              <w:t>s</w:t>
            </w:r>
            <w:r w:rsidRPr="00BE3D77">
              <w:rPr>
                <w:rFonts w:ascii="Times New Roman" w:hAnsi="Times New Roman" w:cs="Times New Roman"/>
                <w:color w:val="000000"/>
                <w:sz w:val="20"/>
                <w:szCs w:val="20"/>
              </w:rPr>
              <w:t xml:space="preserve"> négatif</w:t>
            </w:r>
            <w:r w:rsidR="00F6660B">
              <w:rPr>
                <w:rFonts w:ascii="Times New Roman" w:hAnsi="Times New Roman" w:cs="Times New Roman"/>
                <w:color w:val="000000"/>
                <w:sz w:val="20"/>
                <w:szCs w:val="20"/>
              </w:rPr>
              <w:t>s</w:t>
            </w:r>
          </w:p>
        </w:tc>
        <w:tc>
          <w:tcPr>
            <w:tcW w:w="8919" w:type="dxa"/>
            <w:vAlign w:val="center"/>
          </w:tcPr>
          <w:p w:rsidR="007960B4" w:rsidRPr="00AA45E9" w:rsidRDefault="007960B4" w:rsidP="00FA3FAE">
            <w:pPr>
              <w:pStyle w:val="Listecouleur-Accent11"/>
              <w:numPr>
                <w:ilvl w:val="0"/>
                <w:numId w:val="72"/>
              </w:numPr>
              <w:ind w:left="167" w:hanging="142"/>
              <w:rPr>
                <w:rFonts w:ascii="Times New Roman" w:hAnsi="Times New Roman"/>
                <w:lang w:val="fr-FR"/>
              </w:rPr>
            </w:pPr>
            <w:r w:rsidRPr="00AA45E9">
              <w:rPr>
                <w:rFonts w:ascii="Times New Roman" w:hAnsi="Times New Roman"/>
                <w:lang w:val="fr-FR"/>
              </w:rPr>
              <w:t>Nuisances sur un court laps de temps auprès des riverains ;</w:t>
            </w:r>
          </w:p>
          <w:p w:rsidR="007960B4" w:rsidRPr="00AA45E9" w:rsidRDefault="007960B4" w:rsidP="00FA3FAE">
            <w:pPr>
              <w:pStyle w:val="Listecouleur-Accent11"/>
              <w:numPr>
                <w:ilvl w:val="0"/>
                <w:numId w:val="72"/>
              </w:numPr>
              <w:ind w:left="167" w:hanging="142"/>
              <w:rPr>
                <w:rFonts w:ascii="Times New Roman" w:hAnsi="Times New Roman"/>
                <w:lang w:val="fr-FR"/>
              </w:rPr>
            </w:pPr>
            <w:r w:rsidRPr="00AA45E9">
              <w:rPr>
                <w:rFonts w:ascii="Times New Roman" w:hAnsi="Times New Roman"/>
                <w:lang w:val="fr-FR"/>
              </w:rPr>
              <w:t>Ri</w:t>
            </w:r>
            <w:r>
              <w:rPr>
                <w:rFonts w:ascii="Times New Roman" w:hAnsi="Times New Roman"/>
                <w:lang w:val="fr-FR"/>
              </w:rPr>
              <w:t xml:space="preserve">sque de gêner les activités des commerçants </w:t>
            </w:r>
            <w:r w:rsidRPr="00AA45E9">
              <w:rPr>
                <w:rFonts w:ascii="Times New Roman" w:hAnsi="Times New Roman"/>
                <w:lang w:val="fr-FR"/>
              </w:rPr>
              <w:t>(es</w:t>
            </w:r>
            <w:r>
              <w:rPr>
                <w:rFonts w:ascii="Times New Roman" w:hAnsi="Times New Roman"/>
                <w:lang w:val="fr-FR"/>
              </w:rPr>
              <w:t>)</w:t>
            </w:r>
            <w:r w:rsidRPr="00AA45E9">
              <w:rPr>
                <w:rFonts w:ascii="Times New Roman" w:hAnsi="Times New Roman"/>
                <w:lang w:val="fr-FR"/>
              </w:rPr>
              <w:t>, des transporteurs etc. durant la réalisation des travaux ;</w:t>
            </w:r>
          </w:p>
          <w:p w:rsidR="007960B4" w:rsidRPr="00AA45E9" w:rsidRDefault="00C747E4" w:rsidP="00FA3FAE">
            <w:pPr>
              <w:pStyle w:val="Listecouleur-Accent11"/>
              <w:numPr>
                <w:ilvl w:val="0"/>
                <w:numId w:val="72"/>
              </w:numPr>
              <w:ind w:left="167" w:hanging="142"/>
              <w:rPr>
                <w:rFonts w:ascii="Times New Roman" w:hAnsi="Times New Roman"/>
                <w:lang w:val="fr-FR"/>
              </w:rPr>
            </w:pPr>
            <w:r>
              <w:rPr>
                <w:rFonts w:ascii="Times New Roman" w:hAnsi="Times New Roman"/>
                <w:lang w:val="fr-FR"/>
              </w:rPr>
              <w:t>R</w:t>
            </w:r>
            <w:r w:rsidR="007960B4" w:rsidRPr="00AA45E9">
              <w:rPr>
                <w:rFonts w:ascii="Times New Roman" w:hAnsi="Times New Roman"/>
                <w:lang w:val="fr-FR"/>
              </w:rPr>
              <w:t>isques sanitaires comme l’apparition des maladies respiratoires ;</w:t>
            </w:r>
          </w:p>
          <w:p w:rsidR="007960B4" w:rsidRPr="00AA45E9" w:rsidRDefault="007960B4" w:rsidP="00FA3FAE">
            <w:pPr>
              <w:pStyle w:val="Listecouleur-Accent11"/>
              <w:numPr>
                <w:ilvl w:val="0"/>
                <w:numId w:val="72"/>
              </w:numPr>
              <w:ind w:left="167" w:hanging="142"/>
              <w:rPr>
                <w:rFonts w:ascii="Times New Roman" w:hAnsi="Times New Roman"/>
                <w:lang w:val="fr-FR"/>
              </w:rPr>
            </w:pPr>
            <w:r w:rsidRPr="00AA45E9">
              <w:rPr>
                <w:rFonts w:ascii="Times New Roman" w:hAnsi="Times New Roman"/>
                <w:lang w:val="fr-FR"/>
              </w:rPr>
              <w:t>Risque de destruction des biens publics ou privés lors des travaux ;</w:t>
            </w:r>
          </w:p>
          <w:p w:rsidR="007960B4" w:rsidRPr="00AA45E9" w:rsidRDefault="007960B4" w:rsidP="00FA3FAE">
            <w:pPr>
              <w:pStyle w:val="Listecouleur-Accent11"/>
              <w:numPr>
                <w:ilvl w:val="0"/>
                <w:numId w:val="72"/>
              </w:numPr>
              <w:ind w:left="167" w:hanging="142"/>
              <w:rPr>
                <w:rFonts w:ascii="Times New Roman" w:hAnsi="Times New Roman"/>
                <w:lang w:val="fr-FR"/>
              </w:rPr>
            </w:pPr>
            <w:r w:rsidRPr="00AA45E9">
              <w:rPr>
                <w:rFonts w:ascii="Times New Roman" w:hAnsi="Times New Roman"/>
                <w:lang w:val="fr-FR"/>
              </w:rPr>
              <w:t>Risque de perturbation des activités sociales sur l’emprise (perte de biens, entrave à la mobilité) ;</w:t>
            </w:r>
          </w:p>
          <w:p w:rsidR="007960B4" w:rsidRPr="00AA45E9" w:rsidRDefault="007960B4" w:rsidP="00FA3FAE">
            <w:pPr>
              <w:pStyle w:val="Listecouleur-Accent11"/>
              <w:numPr>
                <w:ilvl w:val="0"/>
                <w:numId w:val="72"/>
              </w:numPr>
              <w:ind w:left="167" w:hanging="142"/>
              <w:rPr>
                <w:rFonts w:ascii="Times New Roman" w:hAnsi="Times New Roman"/>
                <w:lang w:val="fr-FR"/>
              </w:rPr>
            </w:pPr>
            <w:r w:rsidRPr="00AA45E9">
              <w:rPr>
                <w:rFonts w:ascii="Times New Roman" w:hAnsi="Times New Roman"/>
                <w:lang w:val="fr-FR"/>
              </w:rPr>
              <w:t>Nécessité d’une compensation adéquate des terres qui seront impactées par le projet</w:t>
            </w:r>
            <w:r>
              <w:rPr>
                <w:rFonts w:ascii="Times New Roman" w:hAnsi="Times New Roman"/>
                <w:lang w:val="fr-FR"/>
              </w:rPr>
              <w:t> ;</w:t>
            </w:r>
          </w:p>
          <w:p w:rsidR="007960B4" w:rsidRPr="00AA45E9" w:rsidRDefault="007960B4" w:rsidP="00FA3FAE">
            <w:pPr>
              <w:pStyle w:val="Listecouleur-Accent11"/>
              <w:numPr>
                <w:ilvl w:val="0"/>
                <w:numId w:val="72"/>
              </w:numPr>
              <w:ind w:left="167" w:hanging="142"/>
              <w:rPr>
                <w:rFonts w:ascii="Times New Roman" w:hAnsi="Times New Roman"/>
                <w:lang w:val="fr-FR"/>
              </w:rPr>
            </w:pPr>
            <w:r>
              <w:rPr>
                <w:rFonts w:ascii="Times New Roman" w:hAnsi="Times New Roman"/>
                <w:lang w:val="fr-FR"/>
              </w:rPr>
              <w:t>R</w:t>
            </w:r>
            <w:r w:rsidRPr="00AA45E9">
              <w:rPr>
                <w:rFonts w:ascii="Times New Roman" w:hAnsi="Times New Roman"/>
                <w:lang w:val="fr-FR"/>
              </w:rPr>
              <w:t>isques d’accidents de circulation du</w:t>
            </w:r>
            <w:r>
              <w:rPr>
                <w:rFonts w:ascii="Times New Roman" w:hAnsi="Times New Roman"/>
                <w:lang w:val="fr-FR"/>
              </w:rPr>
              <w:t>rant les travaux de réalisation ;</w:t>
            </w:r>
          </w:p>
          <w:p w:rsidR="007960B4" w:rsidRDefault="007960B4" w:rsidP="00FA3FAE">
            <w:pPr>
              <w:pStyle w:val="Listecouleur-Accent11"/>
              <w:numPr>
                <w:ilvl w:val="0"/>
                <w:numId w:val="72"/>
              </w:numPr>
              <w:ind w:left="167" w:hanging="142"/>
              <w:rPr>
                <w:rFonts w:ascii="Times New Roman" w:hAnsi="Times New Roman"/>
                <w:lang w:val="fr-FR"/>
              </w:rPr>
            </w:pPr>
            <w:r>
              <w:rPr>
                <w:rFonts w:ascii="Times New Roman" w:hAnsi="Times New Roman"/>
                <w:lang w:val="fr-FR"/>
              </w:rPr>
              <w:t>Risque</w:t>
            </w:r>
            <w:r w:rsidR="00C747E4">
              <w:rPr>
                <w:rFonts w:ascii="Times New Roman" w:hAnsi="Times New Roman"/>
                <w:lang w:val="fr-FR"/>
              </w:rPr>
              <w:t>s</w:t>
            </w:r>
            <w:r>
              <w:rPr>
                <w:rFonts w:ascii="Times New Roman" w:hAnsi="Times New Roman"/>
                <w:lang w:val="fr-FR"/>
              </w:rPr>
              <w:t xml:space="preserve"> de conflits entre l’entreprise </w:t>
            </w:r>
            <w:r w:rsidRPr="00AA45E9">
              <w:rPr>
                <w:rFonts w:ascii="Times New Roman" w:hAnsi="Times New Roman"/>
                <w:lang w:val="fr-FR"/>
              </w:rPr>
              <w:t xml:space="preserve">et la population si les engagements </w:t>
            </w:r>
            <w:r>
              <w:rPr>
                <w:rFonts w:ascii="Times New Roman" w:hAnsi="Times New Roman"/>
                <w:lang w:val="fr-FR"/>
              </w:rPr>
              <w:t>ne sont pas respectés ;</w:t>
            </w:r>
          </w:p>
          <w:p w:rsidR="007960B4" w:rsidRDefault="007960B4" w:rsidP="00FA3FAE">
            <w:pPr>
              <w:pStyle w:val="Listecouleur-Accent11"/>
              <w:numPr>
                <w:ilvl w:val="0"/>
                <w:numId w:val="72"/>
              </w:numPr>
              <w:ind w:left="167" w:hanging="142"/>
              <w:rPr>
                <w:rFonts w:ascii="Times New Roman" w:hAnsi="Times New Roman"/>
                <w:lang w:val="fr-FR"/>
              </w:rPr>
            </w:pPr>
            <w:r w:rsidRPr="00AA45E9">
              <w:rPr>
                <w:rFonts w:ascii="Times New Roman" w:hAnsi="Times New Roman"/>
                <w:lang w:val="fr-FR"/>
              </w:rPr>
              <w:t>Risque d’accidents de circulation lors de la réalisation des travaux ;</w:t>
            </w:r>
          </w:p>
          <w:p w:rsidR="007960B4" w:rsidRDefault="007960B4" w:rsidP="00FA3FAE">
            <w:pPr>
              <w:pStyle w:val="Listecouleur-Accent11"/>
              <w:numPr>
                <w:ilvl w:val="0"/>
                <w:numId w:val="72"/>
              </w:numPr>
              <w:ind w:left="167" w:hanging="142"/>
              <w:rPr>
                <w:rFonts w:ascii="Times New Roman" w:hAnsi="Times New Roman"/>
                <w:lang w:val="fr-FR"/>
              </w:rPr>
            </w:pPr>
            <w:r w:rsidRPr="00604F52">
              <w:rPr>
                <w:rFonts w:ascii="Times New Roman" w:hAnsi="Times New Roman"/>
                <w:lang w:val="fr-FR"/>
              </w:rPr>
              <w:t>Augmentation des rejets</w:t>
            </w:r>
            <w:r>
              <w:rPr>
                <w:rFonts w:ascii="Times New Roman" w:hAnsi="Times New Roman"/>
                <w:lang w:val="fr-FR"/>
              </w:rPr>
              <w:t xml:space="preserve"> d’</w:t>
            </w:r>
            <w:r w:rsidRPr="00604F52">
              <w:rPr>
                <w:rFonts w:ascii="Times New Roman" w:hAnsi="Times New Roman"/>
                <w:lang w:val="fr-FR"/>
              </w:rPr>
              <w:t>eaux usées</w:t>
            </w:r>
            <w:r>
              <w:rPr>
                <w:rFonts w:ascii="Times New Roman" w:hAnsi="Times New Roman"/>
                <w:lang w:val="fr-FR"/>
              </w:rPr>
              <w:t xml:space="preserve"> due à l’accessibilité d’eau potable </w:t>
            </w:r>
          </w:p>
          <w:p w:rsidR="007960B4" w:rsidRPr="00604F52" w:rsidRDefault="007960B4" w:rsidP="00FA3FAE">
            <w:pPr>
              <w:pStyle w:val="Listecouleur-Accent11"/>
              <w:numPr>
                <w:ilvl w:val="0"/>
                <w:numId w:val="72"/>
              </w:numPr>
              <w:ind w:left="167" w:hanging="142"/>
              <w:rPr>
                <w:rFonts w:ascii="Times New Roman" w:hAnsi="Times New Roman"/>
                <w:lang w:val="fr-FR"/>
              </w:rPr>
            </w:pPr>
            <w:r>
              <w:rPr>
                <w:rFonts w:ascii="Times New Roman" w:hAnsi="Times New Roman"/>
                <w:lang w:val="fr-FR"/>
              </w:rPr>
              <w:t>A</w:t>
            </w:r>
            <w:r w:rsidRPr="00604F52">
              <w:rPr>
                <w:rFonts w:ascii="Times New Roman" w:hAnsi="Times New Roman"/>
                <w:lang w:val="fr-FR"/>
              </w:rPr>
              <w:t>ugmentation de l’insalubrité liée à la mauvaise gestion des eaux usées;</w:t>
            </w:r>
          </w:p>
        </w:tc>
      </w:tr>
      <w:tr w:rsidR="00E5080B" w:rsidTr="00C77D61">
        <w:tc>
          <w:tcPr>
            <w:tcW w:w="498" w:type="dxa"/>
            <w:vMerge w:val="restart"/>
            <w:shd w:val="clear" w:color="auto" w:fill="DEEAF6" w:themeFill="accent1" w:themeFillTint="33"/>
            <w:textDirection w:val="btLr"/>
          </w:tcPr>
          <w:p w:rsidR="007960B4" w:rsidRPr="00C77D61" w:rsidRDefault="007960B4" w:rsidP="00C77D61">
            <w:pPr>
              <w:jc w:val="center"/>
              <w:rPr>
                <w:rFonts w:ascii="Times New Roman" w:hAnsi="Times New Roman" w:cs="Times New Roman"/>
                <w:b/>
                <w:color w:val="000000"/>
                <w:sz w:val="24"/>
                <w:szCs w:val="24"/>
              </w:rPr>
            </w:pPr>
            <w:r w:rsidRPr="00C77D61">
              <w:rPr>
                <w:rFonts w:ascii="Times New Roman" w:hAnsi="Times New Roman" w:cs="Times New Roman"/>
                <w:b/>
                <w:color w:val="000000"/>
                <w:sz w:val="24"/>
                <w:szCs w:val="24"/>
              </w:rPr>
              <w:t>Economique</w:t>
            </w:r>
          </w:p>
        </w:tc>
        <w:tc>
          <w:tcPr>
            <w:tcW w:w="932" w:type="dxa"/>
            <w:vMerge/>
            <w:shd w:val="clear" w:color="auto" w:fill="F2F2F2" w:themeFill="background1" w:themeFillShade="F2"/>
          </w:tcPr>
          <w:p w:rsidR="007960B4" w:rsidRDefault="007960B4" w:rsidP="007960B4">
            <w:pPr>
              <w:jc w:val="both"/>
              <w:rPr>
                <w:rFonts w:ascii="Times New Roman" w:hAnsi="Times New Roman" w:cs="Times New Roman"/>
                <w:color w:val="000000"/>
                <w:sz w:val="24"/>
                <w:szCs w:val="24"/>
              </w:rPr>
            </w:pPr>
          </w:p>
        </w:tc>
        <w:tc>
          <w:tcPr>
            <w:tcW w:w="850" w:type="dxa"/>
            <w:shd w:val="clear" w:color="auto" w:fill="E2EFD9" w:themeFill="accent6" w:themeFillTint="33"/>
            <w:vAlign w:val="center"/>
          </w:tcPr>
          <w:p w:rsidR="007960B4" w:rsidRPr="00BE3D77" w:rsidRDefault="007960B4" w:rsidP="00C77D61">
            <w:pPr>
              <w:jc w:val="center"/>
              <w:rPr>
                <w:rFonts w:ascii="Times New Roman" w:hAnsi="Times New Roman" w:cs="Times New Roman"/>
                <w:color w:val="000000"/>
                <w:sz w:val="20"/>
                <w:szCs w:val="20"/>
              </w:rPr>
            </w:pPr>
            <w:r w:rsidRPr="00BE3D77">
              <w:rPr>
                <w:rFonts w:ascii="Times New Roman" w:hAnsi="Times New Roman" w:cs="Times New Roman"/>
                <w:color w:val="000000"/>
                <w:sz w:val="20"/>
                <w:szCs w:val="20"/>
              </w:rPr>
              <w:t>Effet</w:t>
            </w:r>
            <w:r w:rsidR="00F6660B">
              <w:rPr>
                <w:rFonts w:ascii="Times New Roman" w:hAnsi="Times New Roman" w:cs="Times New Roman"/>
                <w:color w:val="000000"/>
                <w:sz w:val="20"/>
                <w:szCs w:val="20"/>
              </w:rPr>
              <w:t>s</w:t>
            </w:r>
            <w:r w:rsidRPr="00BE3D77">
              <w:rPr>
                <w:rFonts w:ascii="Times New Roman" w:hAnsi="Times New Roman" w:cs="Times New Roman"/>
                <w:color w:val="000000"/>
                <w:sz w:val="20"/>
                <w:szCs w:val="20"/>
              </w:rPr>
              <w:t xml:space="preserve"> positif</w:t>
            </w:r>
            <w:r w:rsidR="00F6660B">
              <w:rPr>
                <w:rFonts w:ascii="Times New Roman" w:hAnsi="Times New Roman" w:cs="Times New Roman"/>
                <w:color w:val="000000"/>
                <w:sz w:val="20"/>
                <w:szCs w:val="20"/>
              </w:rPr>
              <w:t>s</w:t>
            </w:r>
          </w:p>
        </w:tc>
        <w:tc>
          <w:tcPr>
            <w:tcW w:w="8919" w:type="dxa"/>
            <w:vAlign w:val="center"/>
          </w:tcPr>
          <w:p w:rsidR="007960B4" w:rsidRDefault="007960B4" w:rsidP="00FA3FAE">
            <w:pPr>
              <w:pStyle w:val="Listecouleur-Accent11"/>
              <w:numPr>
                <w:ilvl w:val="0"/>
                <w:numId w:val="72"/>
              </w:numPr>
              <w:ind w:left="167" w:hanging="142"/>
              <w:rPr>
                <w:rFonts w:ascii="Times New Roman" w:hAnsi="Times New Roman"/>
                <w:lang w:val="fr-FR"/>
              </w:rPr>
            </w:pPr>
            <w:r>
              <w:rPr>
                <w:rFonts w:ascii="Times New Roman" w:hAnsi="Times New Roman"/>
                <w:lang w:val="fr-FR"/>
              </w:rPr>
              <w:t>Augmentation des ressources économiques pour le EAGB ;</w:t>
            </w:r>
          </w:p>
          <w:p w:rsidR="007960B4" w:rsidRDefault="007960B4" w:rsidP="00FA3FAE">
            <w:pPr>
              <w:pStyle w:val="Listecouleur-Accent11"/>
              <w:numPr>
                <w:ilvl w:val="0"/>
                <w:numId w:val="72"/>
              </w:numPr>
              <w:ind w:left="167" w:hanging="142"/>
              <w:rPr>
                <w:rFonts w:ascii="Times New Roman" w:hAnsi="Times New Roman"/>
                <w:lang w:val="fr-FR"/>
              </w:rPr>
            </w:pPr>
            <w:r w:rsidRPr="00AA45E9">
              <w:rPr>
                <w:rFonts w:ascii="Times New Roman" w:hAnsi="Times New Roman"/>
                <w:lang w:val="fr-FR"/>
              </w:rPr>
              <w:t>Regain dynamique par rapport aux investissements privés ;</w:t>
            </w:r>
          </w:p>
          <w:p w:rsidR="007960B4" w:rsidRDefault="007960B4" w:rsidP="00FA3FAE">
            <w:pPr>
              <w:pStyle w:val="Listecouleur-Accent11"/>
              <w:numPr>
                <w:ilvl w:val="0"/>
                <w:numId w:val="72"/>
              </w:numPr>
              <w:ind w:left="167" w:hanging="142"/>
              <w:rPr>
                <w:rFonts w:ascii="Times New Roman" w:hAnsi="Times New Roman"/>
                <w:lang w:val="fr-FR"/>
              </w:rPr>
            </w:pPr>
            <w:r w:rsidRPr="00AA45E9">
              <w:rPr>
                <w:rFonts w:ascii="Times New Roman" w:hAnsi="Times New Roman"/>
                <w:lang w:val="fr-FR"/>
              </w:rPr>
              <w:t xml:space="preserve">Création de richesse </w:t>
            </w:r>
            <w:r>
              <w:rPr>
                <w:rFonts w:ascii="Times New Roman" w:hAnsi="Times New Roman"/>
                <w:lang w:val="fr-FR"/>
              </w:rPr>
              <w:t>pour l’Etat ;</w:t>
            </w:r>
          </w:p>
          <w:p w:rsidR="007960B4" w:rsidRPr="0039605A" w:rsidRDefault="007960B4" w:rsidP="00FA3FAE">
            <w:pPr>
              <w:pStyle w:val="Listecouleur-Accent11"/>
              <w:numPr>
                <w:ilvl w:val="0"/>
                <w:numId w:val="72"/>
              </w:numPr>
              <w:ind w:left="167" w:hanging="142"/>
              <w:rPr>
                <w:rFonts w:ascii="Times New Roman" w:hAnsi="Times New Roman"/>
                <w:lang w:val="fr-FR"/>
              </w:rPr>
            </w:pPr>
            <w:r>
              <w:rPr>
                <w:rFonts w:ascii="Times New Roman" w:hAnsi="Times New Roman"/>
                <w:lang w:val="fr-FR"/>
              </w:rPr>
              <w:t>R</w:t>
            </w:r>
            <w:r w:rsidRPr="0039605A">
              <w:rPr>
                <w:rFonts w:ascii="Times New Roman" w:hAnsi="Times New Roman"/>
                <w:lang w:val="fr-FR"/>
              </w:rPr>
              <w:t>éaction d’emplois temporaires par le recrutement des ouvriers locaux</w:t>
            </w:r>
            <w:r>
              <w:rPr>
                <w:rFonts w:ascii="Times New Roman" w:hAnsi="Times New Roman"/>
                <w:lang w:val="fr-FR"/>
              </w:rPr>
              <w:t> ;</w:t>
            </w:r>
          </w:p>
        </w:tc>
      </w:tr>
      <w:tr w:rsidR="00E5080B" w:rsidTr="00C77D61">
        <w:tc>
          <w:tcPr>
            <w:tcW w:w="498" w:type="dxa"/>
            <w:vMerge/>
            <w:shd w:val="clear" w:color="auto" w:fill="DEEAF6" w:themeFill="accent1" w:themeFillTint="33"/>
          </w:tcPr>
          <w:p w:rsidR="00520E76" w:rsidRDefault="00520E76" w:rsidP="00520E76">
            <w:pPr>
              <w:jc w:val="both"/>
              <w:rPr>
                <w:rFonts w:ascii="Times New Roman" w:hAnsi="Times New Roman" w:cs="Times New Roman"/>
                <w:color w:val="000000"/>
                <w:sz w:val="24"/>
                <w:szCs w:val="24"/>
              </w:rPr>
            </w:pPr>
          </w:p>
        </w:tc>
        <w:tc>
          <w:tcPr>
            <w:tcW w:w="932" w:type="dxa"/>
            <w:vMerge/>
            <w:shd w:val="clear" w:color="auto" w:fill="F2F2F2" w:themeFill="background1" w:themeFillShade="F2"/>
          </w:tcPr>
          <w:p w:rsidR="00520E76" w:rsidRDefault="00520E76" w:rsidP="00520E76">
            <w:pPr>
              <w:jc w:val="both"/>
              <w:rPr>
                <w:rFonts w:ascii="Times New Roman" w:hAnsi="Times New Roman" w:cs="Times New Roman"/>
                <w:color w:val="000000"/>
                <w:sz w:val="24"/>
                <w:szCs w:val="24"/>
              </w:rPr>
            </w:pPr>
          </w:p>
        </w:tc>
        <w:tc>
          <w:tcPr>
            <w:tcW w:w="850" w:type="dxa"/>
            <w:shd w:val="clear" w:color="auto" w:fill="FFF2CC" w:themeFill="accent4" w:themeFillTint="33"/>
            <w:vAlign w:val="center"/>
          </w:tcPr>
          <w:p w:rsidR="00520E76" w:rsidRPr="00BE3D77" w:rsidRDefault="00520E76" w:rsidP="00C77D61">
            <w:pPr>
              <w:jc w:val="center"/>
              <w:rPr>
                <w:rFonts w:ascii="Times New Roman" w:hAnsi="Times New Roman" w:cs="Times New Roman"/>
                <w:color w:val="000000"/>
                <w:sz w:val="20"/>
                <w:szCs w:val="20"/>
              </w:rPr>
            </w:pPr>
            <w:r w:rsidRPr="00BE3D77">
              <w:rPr>
                <w:rFonts w:ascii="Times New Roman" w:hAnsi="Times New Roman" w:cs="Times New Roman"/>
                <w:color w:val="000000"/>
                <w:sz w:val="20"/>
                <w:szCs w:val="20"/>
              </w:rPr>
              <w:t>Effet</w:t>
            </w:r>
            <w:r w:rsidR="00F6660B">
              <w:rPr>
                <w:rFonts w:ascii="Times New Roman" w:hAnsi="Times New Roman" w:cs="Times New Roman"/>
                <w:color w:val="000000"/>
                <w:sz w:val="20"/>
                <w:szCs w:val="20"/>
              </w:rPr>
              <w:t>s</w:t>
            </w:r>
            <w:r w:rsidRPr="00BE3D77">
              <w:rPr>
                <w:rFonts w:ascii="Times New Roman" w:hAnsi="Times New Roman" w:cs="Times New Roman"/>
                <w:color w:val="000000"/>
                <w:sz w:val="20"/>
                <w:szCs w:val="20"/>
              </w:rPr>
              <w:t xml:space="preserve"> négatif</w:t>
            </w:r>
            <w:r w:rsidR="00F6660B">
              <w:rPr>
                <w:rFonts w:ascii="Times New Roman" w:hAnsi="Times New Roman" w:cs="Times New Roman"/>
                <w:color w:val="000000"/>
                <w:sz w:val="20"/>
                <w:szCs w:val="20"/>
              </w:rPr>
              <w:t>s</w:t>
            </w:r>
          </w:p>
        </w:tc>
        <w:tc>
          <w:tcPr>
            <w:tcW w:w="8919" w:type="dxa"/>
            <w:vAlign w:val="center"/>
          </w:tcPr>
          <w:p w:rsidR="00F04D5C" w:rsidRDefault="00F04D5C" w:rsidP="00FA3FAE">
            <w:pPr>
              <w:pStyle w:val="Listecouleur-Accent11"/>
              <w:numPr>
                <w:ilvl w:val="0"/>
                <w:numId w:val="72"/>
              </w:numPr>
              <w:ind w:left="167" w:hanging="142"/>
              <w:rPr>
                <w:rFonts w:ascii="Times New Roman" w:hAnsi="Times New Roman"/>
                <w:lang w:val="fr-FR"/>
              </w:rPr>
            </w:pPr>
            <w:r>
              <w:rPr>
                <w:rFonts w:ascii="Times New Roman" w:hAnsi="Times New Roman"/>
                <w:lang w:val="fr-FR"/>
              </w:rPr>
              <w:t xml:space="preserve">Risque de non payement des factures par l’utilisateur ; </w:t>
            </w:r>
          </w:p>
          <w:p w:rsidR="0000773C" w:rsidRDefault="002C42A7" w:rsidP="00FA3FAE">
            <w:pPr>
              <w:pStyle w:val="Listecouleur-Accent11"/>
              <w:numPr>
                <w:ilvl w:val="0"/>
                <w:numId w:val="72"/>
              </w:numPr>
              <w:ind w:left="167" w:hanging="142"/>
              <w:rPr>
                <w:rFonts w:ascii="Times New Roman" w:hAnsi="Times New Roman"/>
                <w:lang w:val="fr-FR"/>
              </w:rPr>
            </w:pPr>
            <w:r>
              <w:rPr>
                <w:rFonts w:ascii="Times New Roman" w:hAnsi="Times New Roman"/>
                <w:lang w:val="fr-FR"/>
              </w:rPr>
              <w:t>Risque de faible</w:t>
            </w:r>
            <w:r w:rsidR="00C747E4">
              <w:rPr>
                <w:rFonts w:ascii="Times New Roman" w:hAnsi="Times New Roman"/>
                <w:lang w:val="fr-FR"/>
              </w:rPr>
              <w:t>s</w:t>
            </w:r>
            <w:r>
              <w:rPr>
                <w:rFonts w:ascii="Times New Roman" w:hAnsi="Times New Roman"/>
                <w:lang w:val="fr-FR"/>
              </w:rPr>
              <w:t xml:space="preserve"> taux d’abonnement ;</w:t>
            </w:r>
          </w:p>
          <w:p w:rsidR="00CA66C6" w:rsidRDefault="00CA66C6" w:rsidP="00FA3FAE">
            <w:pPr>
              <w:pStyle w:val="Listecouleur-Accent11"/>
              <w:numPr>
                <w:ilvl w:val="0"/>
                <w:numId w:val="72"/>
              </w:numPr>
              <w:ind w:left="167" w:hanging="142"/>
              <w:rPr>
                <w:rFonts w:ascii="Times New Roman" w:hAnsi="Times New Roman"/>
                <w:lang w:val="fr-FR"/>
              </w:rPr>
            </w:pPr>
            <w:r w:rsidRPr="00CA66C6">
              <w:rPr>
                <w:rFonts w:ascii="Times New Roman" w:hAnsi="Times New Roman"/>
                <w:lang w:val="fr-FR"/>
              </w:rPr>
              <w:t xml:space="preserve">Risque </w:t>
            </w:r>
            <w:r>
              <w:rPr>
                <w:rFonts w:ascii="Times New Roman" w:hAnsi="Times New Roman"/>
                <w:lang w:val="fr-FR"/>
              </w:rPr>
              <w:t xml:space="preserve">d’obtention </w:t>
            </w:r>
            <w:r w:rsidRPr="00CA66C6">
              <w:rPr>
                <w:rFonts w:ascii="Times New Roman" w:hAnsi="Times New Roman"/>
                <w:lang w:val="fr-FR"/>
              </w:rPr>
              <w:t>d’un faible rendement économique de l’exploitation des bornes</w:t>
            </w:r>
            <w:r>
              <w:rPr>
                <w:rFonts w:ascii="Times New Roman" w:hAnsi="Times New Roman"/>
                <w:lang w:val="fr-FR"/>
              </w:rPr>
              <w:t> ;</w:t>
            </w:r>
          </w:p>
          <w:p w:rsidR="0046645A" w:rsidRPr="00CA66C6" w:rsidRDefault="0046645A" w:rsidP="00FA3FAE">
            <w:pPr>
              <w:pStyle w:val="Listecouleur-Accent11"/>
              <w:numPr>
                <w:ilvl w:val="0"/>
                <w:numId w:val="72"/>
              </w:numPr>
              <w:ind w:left="167" w:hanging="142"/>
              <w:rPr>
                <w:rFonts w:ascii="Times New Roman" w:hAnsi="Times New Roman"/>
                <w:lang w:val="fr-FR"/>
              </w:rPr>
            </w:pPr>
            <w:r w:rsidRPr="00AA45E9">
              <w:rPr>
                <w:rFonts w:ascii="Times New Roman" w:hAnsi="Times New Roman"/>
                <w:sz w:val="20"/>
                <w:szCs w:val="20"/>
                <w:lang w:eastAsia="x-none"/>
              </w:rPr>
              <w:t>Coût liés aux compensations des impactés </w:t>
            </w:r>
          </w:p>
          <w:p w:rsidR="004A6179" w:rsidRPr="00AA45E9" w:rsidRDefault="004A6179" w:rsidP="00FA3FAE">
            <w:pPr>
              <w:pStyle w:val="Listecouleur-Accent11"/>
              <w:numPr>
                <w:ilvl w:val="0"/>
                <w:numId w:val="72"/>
              </w:numPr>
              <w:ind w:left="167" w:hanging="142"/>
              <w:rPr>
                <w:rFonts w:ascii="Times New Roman" w:hAnsi="Times New Roman"/>
                <w:lang w:val="fr-FR"/>
              </w:rPr>
            </w:pPr>
            <w:r w:rsidRPr="00AA45E9">
              <w:rPr>
                <w:rFonts w:ascii="Times New Roman" w:hAnsi="Times New Roman"/>
                <w:lang w:val="fr-FR"/>
              </w:rPr>
              <w:t>Risque de perturbation des activités de revenus des populations environnantes lié aux travaux (perte d’actifs pour les commerçants) ;</w:t>
            </w:r>
          </w:p>
          <w:p w:rsidR="00520E76" w:rsidRPr="00AA45E9" w:rsidRDefault="004A6179" w:rsidP="00FA3FAE">
            <w:pPr>
              <w:pStyle w:val="Listecouleur-Accent11"/>
              <w:numPr>
                <w:ilvl w:val="0"/>
                <w:numId w:val="72"/>
              </w:numPr>
              <w:ind w:left="167" w:hanging="142"/>
              <w:rPr>
                <w:rFonts w:ascii="Times New Roman" w:hAnsi="Times New Roman"/>
                <w:lang w:val="fr-FR"/>
              </w:rPr>
            </w:pPr>
            <w:r w:rsidRPr="00AA45E9">
              <w:rPr>
                <w:rFonts w:ascii="Times New Roman" w:hAnsi="Times New Roman"/>
                <w:lang w:val="fr-FR"/>
              </w:rPr>
              <w:t>Couts liés à la santé,</w:t>
            </w:r>
          </w:p>
        </w:tc>
      </w:tr>
    </w:tbl>
    <w:p w:rsidR="0062088B" w:rsidRDefault="0062088B" w:rsidP="00D2682F">
      <w:pPr>
        <w:jc w:val="both"/>
        <w:rPr>
          <w:rFonts w:ascii="Times New Roman" w:hAnsi="Times New Roman" w:cs="Times New Roman"/>
          <w:color w:val="000000"/>
          <w:sz w:val="24"/>
          <w:szCs w:val="24"/>
        </w:rPr>
      </w:pPr>
    </w:p>
    <w:p w:rsidR="007960B4" w:rsidRDefault="007960B4" w:rsidP="00FA3FAE">
      <w:pPr>
        <w:pStyle w:val="PargrafodaLista"/>
        <w:numPr>
          <w:ilvl w:val="0"/>
          <w:numId w:val="220"/>
        </w:numPr>
        <w:overflowPunct w:val="0"/>
        <w:autoSpaceDE w:val="0"/>
        <w:autoSpaceDN w:val="0"/>
        <w:adjustRightInd w:val="0"/>
        <w:spacing w:after="240"/>
        <w:ind w:right="284"/>
        <w:jc w:val="both"/>
        <w:textAlignment w:val="baseline"/>
        <w:rPr>
          <w:rFonts w:ascii="Times New Roman" w:hAnsi="Times New Roman"/>
          <w:b/>
          <w:sz w:val="24"/>
          <w:szCs w:val="24"/>
          <w:lang w:val="fr-FR"/>
        </w:rPr>
      </w:pPr>
      <w:r w:rsidRPr="007679AF">
        <w:rPr>
          <w:rFonts w:ascii="Times New Roman" w:hAnsi="Times New Roman"/>
          <w:b/>
          <w:sz w:val="24"/>
          <w:szCs w:val="24"/>
          <w:lang w:val="fr-FR"/>
        </w:rPr>
        <w:t>Variante 2 : « Choix du réservoir » </w:t>
      </w:r>
    </w:p>
    <w:p w:rsidR="00BE7583" w:rsidRPr="007679AF" w:rsidRDefault="00BE7583" w:rsidP="007960B4">
      <w:pPr>
        <w:pStyle w:val="PargrafodaLista"/>
        <w:overflowPunct w:val="0"/>
        <w:autoSpaceDE w:val="0"/>
        <w:autoSpaceDN w:val="0"/>
        <w:adjustRightInd w:val="0"/>
        <w:spacing w:after="240"/>
        <w:ind w:right="284"/>
        <w:jc w:val="both"/>
        <w:textAlignment w:val="baseline"/>
        <w:rPr>
          <w:rFonts w:ascii="Times New Roman" w:hAnsi="Times New Roman"/>
          <w:b/>
          <w:sz w:val="24"/>
          <w:szCs w:val="24"/>
          <w:lang w:val="fr-FR"/>
        </w:rPr>
      </w:pPr>
    </w:p>
    <w:tbl>
      <w:tblPr>
        <w:tblStyle w:val="Tabelacomgrelha"/>
        <w:tblW w:w="10916" w:type="dxa"/>
        <w:tblInd w:w="-998" w:type="dxa"/>
        <w:tblLook w:val="04A0" w:firstRow="1" w:lastRow="0" w:firstColumn="1" w:lastColumn="0" w:noHBand="0" w:noVBand="1"/>
      </w:tblPr>
      <w:tblGrid>
        <w:gridCol w:w="498"/>
        <w:gridCol w:w="1216"/>
        <w:gridCol w:w="883"/>
        <w:gridCol w:w="8319"/>
      </w:tblGrid>
      <w:tr w:rsidR="00090486" w:rsidRPr="007679AF" w:rsidTr="007C6FAC">
        <w:trPr>
          <w:trHeight w:val="269"/>
        </w:trPr>
        <w:tc>
          <w:tcPr>
            <w:tcW w:w="10916" w:type="dxa"/>
            <w:gridSpan w:val="4"/>
            <w:shd w:val="clear" w:color="auto" w:fill="E2EFD9" w:themeFill="accent6" w:themeFillTint="33"/>
          </w:tcPr>
          <w:p w:rsidR="00090486" w:rsidRPr="00090486" w:rsidRDefault="00090486" w:rsidP="00090486">
            <w:pPr>
              <w:pStyle w:val="PargrafodaLista"/>
              <w:overflowPunct w:val="0"/>
              <w:autoSpaceDE w:val="0"/>
              <w:autoSpaceDN w:val="0"/>
              <w:adjustRightInd w:val="0"/>
              <w:spacing w:after="0"/>
              <w:ind w:right="284"/>
              <w:jc w:val="center"/>
              <w:textAlignment w:val="baseline"/>
              <w:rPr>
                <w:rFonts w:ascii="Times New Roman" w:hAnsi="Times New Roman"/>
                <w:b/>
                <w:sz w:val="24"/>
                <w:szCs w:val="24"/>
                <w:lang w:val="fr-FR"/>
              </w:rPr>
            </w:pPr>
            <w:r w:rsidRPr="007679AF">
              <w:rPr>
                <w:rFonts w:ascii="Times New Roman" w:hAnsi="Times New Roman"/>
                <w:b/>
                <w:sz w:val="24"/>
                <w:szCs w:val="24"/>
                <w:lang w:val="fr-FR"/>
              </w:rPr>
              <w:t>Varia</w:t>
            </w:r>
            <w:r>
              <w:rPr>
                <w:rFonts w:ascii="Times New Roman" w:hAnsi="Times New Roman"/>
                <w:b/>
                <w:sz w:val="24"/>
                <w:szCs w:val="24"/>
                <w:lang w:val="fr-FR"/>
              </w:rPr>
              <w:t>nte 2 : « Choix du réservoir »</w:t>
            </w:r>
          </w:p>
        </w:tc>
      </w:tr>
      <w:tr w:rsidR="007960B4" w:rsidRPr="007679AF" w:rsidTr="007C6FAC">
        <w:tc>
          <w:tcPr>
            <w:tcW w:w="498" w:type="dxa"/>
            <w:vMerge w:val="restart"/>
            <w:shd w:val="clear" w:color="auto" w:fill="E2EFD9" w:themeFill="accent6" w:themeFillTint="33"/>
            <w:textDirection w:val="btLr"/>
          </w:tcPr>
          <w:p w:rsidR="007960B4" w:rsidRPr="00090486" w:rsidRDefault="007960B4" w:rsidP="00090486">
            <w:pPr>
              <w:jc w:val="center"/>
              <w:rPr>
                <w:rFonts w:ascii="Times New Roman" w:hAnsi="Times New Roman" w:cs="Times New Roman"/>
                <w:b/>
                <w:color w:val="000000"/>
                <w:sz w:val="24"/>
                <w:szCs w:val="24"/>
              </w:rPr>
            </w:pPr>
            <w:r w:rsidRPr="00090486">
              <w:rPr>
                <w:rFonts w:ascii="Times New Roman" w:hAnsi="Times New Roman" w:cs="Times New Roman"/>
                <w:b/>
                <w:color w:val="000000"/>
                <w:sz w:val="24"/>
                <w:szCs w:val="24"/>
              </w:rPr>
              <w:t>Environnement</w:t>
            </w:r>
          </w:p>
        </w:tc>
        <w:tc>
          <w:tcPr>
            <w:tcW w:w="1210" w:type="dxa"/>
            <w:vMerge w:val="restart"/>
            <w:shd w:val="clear" w:color="auto" w:fill="F2F2F2" w:themeFill="background1" w:themeFillShade="F2"/>
            <w:vAlign w:val="center"/>
          </w:tcPr>
          <w:p w:rsidR="007960B4" w:rsidRPr="007679AF" w:rsidRDefault="00977901" w:rsidP="00BE7583">
            <w:pPr>
              <w:jc w:val="center"/>
              <w:rPr>
                <w:rFonts w:ascii="Times New Roman" w:hAnsi="Times New Roman" w:cs="Times New Roman"/>
                <w:color w:val="000000"/>
                <w:sz w:val="24"/>
                <w:szCs w:val="24"/>
              </w:rPr>
            </w:pPr>
            <w:r w:rsidRPr="00977901">
              <w:rPr>
                <w:rFonts w:ascii="Times New Roman" w:hAnsi="Times New Roman"/>
                <w:b/>
                <w:sz w:val="24"/>
                <w:szCs w:val="24"/>
              </w:rPr>
              <w:t>Réservoir</w:t>
            </w:r>
            <w:r w:rsidRPr="001F257B">
              <w:rPr>
                <w:rFonts w:ascii="Times New Roman" w:hAnsi="Times New Roman"/>
                <w:b/>
                <w:sz w:val="24"/>
                <w:szCs w:val="24"/>
              </w:rPr>
              <w:t xml:space="preserve"> </w:t>
            </w:r>
            <w:r w:rsidR="005261F9" w:rsidRPr="007679AF">
              <w:rPr>
                <w:rFonts w:ascii="Times New Roman" w:hAnsi="Times New Roman"/>
                <w:b/>
                <w:sz w:val="24"/>
                <w:szCs w:val="24"/>
              </w:rPr>
              <w:t>en béton armé</w:t>
            </w:r>
          </w:p>
        </w:tc>
        <w:tc>
          <w:tcPr>
            <w:tcW w:w="805" w:type="dxa"/>
            <w:shd w:val="clear" w:color="auto" w:fill="E2EFD9" w:themeFill="accent6" w:themeFillTint="33"/>
            <w:vAlign w:val="center"/>
          </w:tcPr>
          <w:p w:rsidR="007960B4" w:rsidRPr="007679AF" w:rsidRDefault="007960B4" w:rsidP="00090486">
            <w:pPr>
              <w:jc w:val="center"/>
              <w:rPr>
                <w:rFonts w:ascii="Times New Roman" w:hAnsi="Times New Roman" w:cs="Times New Roman"/>
                <w:b/>
                <w:color w:val="000000"/>
                <w:sz w:val="20"/>
                <w:szCs w:val="20"/>
              </w:rPr>
            </w:pPr>
            <w:r w:rsidRPr="007679AF">
              <w:rPr>
                <w:rFonts w:ascii="Times New Roman" w:hAnsi="Times New Roman" w:cs="Times New Roman"/>
                <w:b/>
                <w:color w:val="000000"/>
                <w:sz w:val="20"/>
                <w:szCs w:val="20"/>
              </w:rPr>
              <w:t>Effet</w:t>
            </w:r>
            <w:r w:rsidR="00F6660B">
              <w:rPr>
                <w:rFonts w:ascii="Times New Roman" w:hAnsi="Times New Roman" w:cs="Times New Roman"/>
                <w:b/>
                <w:color w:val="000000"/>
                <w:sz w:val="20"/>
                <w:szCs w:val="20"/>
              </w:rPr>
              <w:t>s</w:t>
            </w:r>
            <w:r w:rsidRPr="007679AF">
              <w:rPr>
                <w:rFonts w:ascii="Times New Roman" w:hAnsi="Times New Roman" w:cs="Times New Roman"/>
                <w:b/>
                <w:color w:val="000000"/>
                <w:sz w:val="20"/>
                <w:szCs w:val="20"/>
              </w:rPr>
              <w:t xml:space="preserve"> positif</w:t>
            </w:r>
            <w:r w:rsidR="00F6660B">
              <w:rPr>
                <w:rFonts w:ascii="Times New Roman" w:hAnsi="Times New Roman" w:cs="Times New Roman"/>
                <w:b/>
                <w:color w:val="000000"/>
                <w:sz w:val="20"/>
                <w:szCs w:val="20"/>
              </w:rPr>
              <w:t>s</w:t>
            </w:r>
          </w:p>
        </w:tc>
        <w:tc>
          <w:tcPr>
            <w:tcW w:w="8403" w:type="dxa"/>
            <w:vAlign w:val="center"/>
          </w:tcPr>
          <w:p w:rsidR="007960B4" w:rsidRPr="007679AF" w:rsidRDefault="005261F9" w:rsidP="00FA3FAE">
            <w:pPr>
              <w:widowControl w:val="0"/>
              <w:numPr>
                <w:ilvl w:val="0"/>
                <w:numId w:val="74"/>
              </w:numPr>
              <w:tabs>
                <w:tab w:val="left" w:pos="175"/>
              </w:tabs>
              <w:spacing w:line="276" w:lineRule="auto"/>
              <w:ind w:left="181" w:hanging="181"/>
              <w:contextualSpacing/>
              <w:jc w:val="both"/>
              <w:rPr>
                <w:rFonts w:ascii="Times New Roman" w:hAnsi="Times New Roman"/>
                <w:sz w:val="20"/>
                <w:szCs w:val="20"/>
                <w:lang w:eastAsia="x-none"/>
              </w:rPr>
            </w:pPr>
            <w:r w:rsidRPr="007679AF">
              <w:rPr>
                <w:rFonts w:ascii="Times New Roman" w:hAnsi="Times New Roman"/>
                <w:sz w:val="20"/>
                <w:szCs w:val="20"/>
                <w:lang w:eastAsia="x-none"/>
              </w:rPr>
              <w:t xml:space="preserve">Embellissement </w:t>
            </w:r>
            <w:r w:rsidR="00903CE5" w:rsidRPr="007679AF">
              <w:rPr>
                <w:rFonts w:ascii="Times New Roman" w:hAnsi="Times New Roman"/>
                <w:sz w:val="20"/>
                <w:szCs w:val="20"/>
                <w:lang w:eastAsia="x-none"/>
              </w:rPr>
              <w:t>paysagère ;</w:t>
            </w:r>
          </w:p>
        </w:tc>
      </w:tr>
      <w:tr w:rsidR="007960B4" w:rsidRPr="007679AF" w:rsidTr="007C6FAC">
        <w:tc>
          <w:tcPr>
            <w:tcW w:w="498" w:type="dxa"/>
            <w:vMerge/>
            <w:shd w:val="clear" w:color="auto" w:fill="E2EFD9" w:themeFill="accent6" w:themeFillTint="33"/>
          </w:tcPr>
          <w:p w:rsidR="007960B4" w:rsidRPr="00090486" w:rsidRDefault="007960B4" w:rsidP="00090486">
            <w:pPr>
              <w:jc w:val="center"/>
              <w:rPr>
                <w:rFonts w:ascii="Times New Roman" w:hAnsi="Times New Roman" w:cs="Times New Roman"/>
                <w:b/>
                <w:color w:val="000000"/>
                <w:sz w:val="24"/>
                <w:szCs w:val="24"/>
              </w:rPr>
            </w:pPr>
          </w:p>
        </w:tc>
        <w:tc>
          <w:tcPr>
            <w:tcW w:w="1210" w:type="dxa"/>
            <w:vMerge/>
            <w:shd w:val="clear" w:color="auto" w:fill="F2F2F2" w:themeFill="background1" w:themeFillShade="F2"/>
          </w:tcPr>
          <w:p w:rsidR="007960B4" w:rsidRPr="007679AF" w:rsidRDefault="007960B4" w:rsidP="0016471F">
            <w:pPr>
              <w:jc w:val="both"/>
              <w:rPr>
                <w:rFonts w:ascii="Times New Roman" w:hAnsi="Times New Roman" w:cs="Times New Roman"/>
                <w:color w:val="000000"/>
                <w:sz w:val="24"/>
                <w:szCs w:val="24"/>
              </w:rPr>
            </w:pPr>
          </w:p>
        </w:tc>
        <w:tc>
          <w:tcPr>
            <w:tcW w:w="805" w:type="dxa"/>
            <w:shd w:val="clear" w:color="auto" w:fill="FFF2CC" w:themeFill="accent4" w:themeFillTint="33"/>
            <w:vAlign w:val="center"/>
          </w:tcPr>
          <w:p w:rsidR="007960B4" w:rsidRPr="007679AF" w:rsidRDefault="007960B4" w:rsidP="00090486">
            <w:pPr>
              <w:jc w:val="center"/>
              <w:rPr>
                <w:rFonts w:ascii="Times New Roman" w:hAnsi="Times New Roman" w:cs="Times New Roman"/>
                <w:b/>
                <w:color w:val="000000"/>
                <w:sz w:val="20"/>
                <w:szCs w:val="20"/>
              </w:rPr>
            </w:pPr>
            <w:r w:rsidRPr="007679AF">
              <w:rPr>
                <w:rFonts w:ascii="Times New Roman" w:hAnsi="Times New Roman" w:cs="Times New Roman"/>
                <w:b/>
                <w:color w:val="000000"/>
                <w:sz w:val="20"/>
                <w:szCs w:val="20"/>
              </w:rPr>
              <w:t>Effet</w:t>
            </w:r>
            <w:r w:rsidR="00F6660B">
              <w:rPr>
                <w:rFonts w:ascii="Times New Roman" w:hAnsi="Times New Roman" w:cs="Times New Roman"/>
                <w:b/>
                <w:color w:val="000000"/>
                <w:sz w:val="20"/>
                <w:szCs w:val="20"/>
              </w:rPr>
              <w:t>s</w:t>
            </w:r>
            <w:r w:rsidRPr="007679AF">
              <w:rPr>
                <w:rFonts w:ascii="Times New Roman" w:hAnsi="Times New Roman" w:cs="Times New Roman"/>
                <w:b/>
                <w:color w:val="000000"/>
                <w:sz w:val="20"/>
                <w:szCs w:val="20"/>
              </w:rPr>
              <w:t xml:space="preserve"> négatif</w:t>
            </w:r>
            <w:r w:rsidR="00F6660B">
              <w:rPr>
                <w:rFonts w:ascii="Times New Roman" w:hAnsi="Times New Roman" w:cs="Times New Roman"/>
                <w:b/>
                <w:color w:val="000000"/>
                <w:sz w:val="20"/>
                <w:szCs w:val="20"/>
              </w:rPr>
              <w:t>s</w:t>
            </w:r>
          </w:p>
        </w:tc>
        <w:tc>
          <w:tcPr>
            <w:tcW w:w="8403" w:type="dxa"/>
            <w:vAlign w:val="center"/>
          </w:tcPr>
          <w:p w:rsidR="007960B4" w:rsidRPr="007679AF" w:rsidRDefault="00DC3FD2" w:rsidP="00FA3FAE">
            <w:pPr>
              <w:pStyle w:val="Listecouleur-Accent11"/>
              <w:numPr>
                <w:ilvl w:val="0"/>
                <w:numId w:val="72"/>
              </w:numPr>
              <w:ind w:left="167" w:hanging="142"/>
              <w:rPr>
                <w:rFonts w:ascii="Times New Roman" w:hAnsi="Times New Roman"/>
                <w:lang w:val="fr-FR"/>
              </w:rPr>
            </w:pPr>
            <w:r w:rsidRPr="007679AF">
              <w:rPr>
                <w:rFonts w:ascii="Times New Roman" w:hAnsi="Times New Roman"/>
                <w:lang w:val="fr-FR"/>
              </w:rPr>
              <w:t>Risque de pollution de l’air ;</w:t>
            </w:r>
          </w:p>
          <w:p w:rsidR="007679AF" w:rsidRDefault="007679AF" w:rsidP="00FA3FAE">
            <w:pPr>
              <w:pStyle w:val="Listecouleur-Accent11"/>
              <w:numPr>
                <w:ilvl w:val="0"/>
                <w:numId w:val="72"/>
              </w:numPr>
              <w:ind w:left="167" w:hanging="142"/>
              <w:rPr>
                <w:rFonts w:ascii="Times New Roman" w:hAnsi="Times New Roman"/>
                <w:lang w:val="fr-FR"/>
              </w:rPr>
            </w:pPr>
            <w:r w:rsidRPr="00AA45E9">
              <w:rPr>
                <w:rFonts w:ascii="Times New Roman" w:hAnsi="Times New Roman"/>
                <w:lang w:val="fr-FR"/>
              </w:rPr>
              <w:t>Risque de</w:t>
            </w:r>
            <w:r>
              <w:rPr>
                <w:rFonts w:ascii="Times New Roman" w:hAnsi="Times New Roman"/>
                <w:lang w:val="fr-FR"/>
              </w:rPr>
              <w:t xml:space="preserve"> couper quelques d’anacardier dans la zone d’intervention à Bor ; </w:t>
            </w:r>
          </w:p>
          <w:p w:rsidR="007679AF" w:rsidRPr="00AA45E9" w:rsidRDefault="007679AF" w:rsidP="00FA3FAE">
            <w:pPr>
              <w:pStyle w:val="Listecouleur-Accent11"/>
              <w:numPr>
                <w:ilvl w:val="0"/>
                <w:numId w:val="72"/>
              </w:numPr>
              <w:ind w:left="167" w:hanging="142"/>
              <w:rPr>
                <w:rFonts w:ascii="Times New Roman" w:hAnsi="Times New Roman"/>
                <w:lang w:val="fr-FR"/>
              </w:rPr>
            </w:pPr>
            <w:r w:rsidRPr="00AA45E9">
              <w:rPr>
                <w:rFonts w:ascii="Times New Roman" w:hAnsi="Times New Roman"/>
                <w:lang w:val="fr-FR"/>
              </w:rPr>
              <w:t xml:space="preserve">Risque de nuisance à cause des </w:t>
            </w:r>
            <w:r w:rsidR="00893F8C">
              <w:rPr>
                <w:rFonts w:ascii="Times New Roman" w:hAnsi="Times New Roman"/>
                <w:lang w:val="fr-FR"/>
              </w:rPr>
              <w:t>différentes activités de maisonnerie ;</w:t>
            </w:r>
          </w:p>
          <w:p w:rsidR="007679AF" w:rsidRPr="00AA45E9" w:rsidRDefault="007679AF" w:rsidP="00FA3FAE">
            <w:pPr>
              <w:pStyle w:val="Listecouleur-Accent11"/>
              <w:numPr>
                <w:ilvl w:val="0"/>
                <w:numId w:val="72"/>
              </w:numPr>
              <w:ind w:left="167" w:hanging="142"/>
              <w:rPr>
                <w:rFonts w:ascii="Times New Roman" w:hAnsi="Times New Roman"/>
                <w:lang w:val="fr-FR"/>
              </w:rPr>
            </w:pPr>
            <w:r w:rsidRPr="00AA45E9">
              <w:rPr>
                <w:rFonts w:ascii="Times New Roman" w:hAnsi="Times New Roman"/>
                <w:lang w:val="fr-FR"/>
              </w:rPr>
              <w:t xml:space="preserve">Risque de modification du paysage en rapport avec les </w:t>
            </w:r>
            <w:r w:rsidR="00893F8C" w:rsidRPr="00AA45E9">
              <w:rPr>
                <w:rFonts w:ascii="Times New Roman" w:hAnsi="Times New Roman"/>
                <w:lang w:val="fr-FR"/>
              </w:rPr>
              <w:t>travaux,</w:t>
            </w:r>
          </w:p>
          <w:p w:rsidR="007679AF" w:rsidRPr="00AA45E9" w:rsidRDefault="007679AF" w:rsidP="00FA3FAE">
            <w:pPr>
              <w:pStyle w:val="Listecouleur-Accent11"/>
              <w:numPr>
                <w:ilvl w:val="0"/>
                <w:numId w:val="72"/>
              </w:numPr>
              <w:ind w:left="167" w:hanging="142"/>
              <w:rPr>
                <w:rFonts w:ascii="Times New Roman" w:hAnsi="Times New Roman"/>
                <w:lang w:val="fr-FR"/>
              </w:rPr>
            </w:pPr>
            <w:r w:rsidRPr="00AA45E9">
              <w:rPr>
                <w:rFonts w:ascii="Times New Roman" w:hAnsi="Times New Roman"/>
                <w:lang w:val="fr-FR"/>
              </w:rPr>
              <w:t>Risque de pollution des eaux de surface et souterraine</w:t>
            </w:r>
            <w:r>
              <w:rPr>
                <w:rFonts w:ascii="Times New Roman" w:hAnsi="Times New Roman"/>
                <w:lang w:val="fr-FR"/>
              </w:rPr>
              <w:t> ;</w:t>
            </w:r>
          </w:p>
          <w:p w:rsidR="00090486" w:rsidRDefault="007679AF" w:rsidP="00FA3FAE">
            <w:pPr>
              <w:pStyle w:val="Listecouleur-Accent11"/>
              <w:numPr>
                <w:ilvl w:val="0"/>
                <w:numId w:val="72"/>
              </w:numPr>
              <w:ind w:left="167" w:hanging="142"/>
              <w:rPr>
                <w:rFonts w:ascii="Times New Roman" w:hAnsi="Times New Roman"/>
                <w:lang w:val="fr-FR"/>
              </w:rPr>
            </w:pPr>
            <w:r w:rsidRPr="00AA45E9">
              <w:rPr>
                <w:rFonts w:ascii="Times New Roman" w:hAnsi="Times New Roman"/>
                <w:lang w:val="fr-FR"/>
              </w:rPr>
              <w:t>Risque de déstructuration et de pollution des sols ;</w:t>
            </w:r>
          </w:p>
          <w:p w:rsidR="00090486" w:rsidRPr="00090486" w:rsidRDefault="00090486" w:rsidP="00FA3FAE">
            <w:pPr>
              <w:pStyle w:val="Listecouleur-Accent11"/>
              <w:numPr>
                <w:ilvl w:val="0"/>
                <w:numId w:val="72"/>
              </w:numPr>
              <w:ind w:left="167" w:hanging="142"/>
              <w:rPr>
                <w:rFonts w:ascii="Times New Roman" w:hAnsi="Times New Roman"/>
                <w:lang w:val="fr-FR"/>
              </w:rPr>
            </w:pPr>
            <w:r w:rsidRPr="00090486">
              <w:rPr>
                <w:rFonts w:ascii="Times New Roman" w:hAnsi="Times New Roman"/>
                <w:lang w:val="fr-FR"/>
              </w:rPr>
              <w:t>Excavation plus profonde que lors de l’utilisation de bâche</w:t>
            </w:r>
          </w:p>
        </w:tc>
      </w:tr>
      <w:tr w:rsidR="007960B4" w:rsidRPr="007679AF" w:rsidTr="007C6FAC">
        <w:tc>
          <w:tcPr>
            <w:tcW w:w="498" w:type="dxa"/>
            <w:vMerge w:val="restart"/>
            <w:shd w:val="clear" w:color="auto" w:fill="E2EFD9" w:themeFill="accent6" w:themeFillTint="33"/>
            <w:textDirection w:val="btLr"/>
          </w:tcPr>
          <w:p w:rsidR="007960B4" w:rsidRPr="00090486" w:rsidRDefault="007960B4" w:rsidP="00090486">
            <w:pPr>
              <w:jc w:val="center"/>
              <w:rPr>
                <w:rFonts w:ascii="Times New Roman" w:hAnsi="Times New Roman" w:cs="Times New Roman"/>
                <w:b/>
                <w:color w:val="000000"/>
                <w:sz w:val="24"/>
                <w:szCs w:val="24"/>
              </w:rPr>
            </w:pPr>
            <w:r w:rsidRPr="00090486">
              <w:rPr>
                <w:rFonts w:ascii="Times New Roman" w:hAnsi="Times New Roman" w:cs="Times New Roman"/>
                <w:b/>
                <w:color w:val="000000"/>
                <w:sz w:val="24"/>
                <w:szCs w:val="24"/>
              </w:rPr>
              <w:t>Social</w:t>
            </w:r>
          </w:p>
        </w:tc>
        <w:tc>
          <w:tcPr>
            <w:tcW w:w="1210" w:type="dxa"/>
            <w:vMerge/>
            <w:shd w:val="clear" w:color="auto" w:fill="F2F2F2" w:themeFill="background1" w:themeFillShade="F2"/>
          </w:tcPr>
          <w:p w:rsidR="007960B4" w:rsidRPr="007679AF" w:rsidRDefault="007960B4" w:rsidP="0016471F">
            <w:pPr>
              <w:jc w:val="both"/>
              <w:rPr>
                <w:rFonts w:ascii="Times New Roman" w:hAnsi="Times New Roman" w:cs="Times New Roman"/>
                <w:color w:val="000000"/>
                <w:sz w:val="24"/>
                <w:szCs w:val="24"/>
              </w:rPr>
            </w:pPr>
          </w:p>
        </w:tc>
        <w:tc>
          <w:tcPr>
            <w:tcW w:w="805" w:type="dxa"/>
            <w:shd w:val="clear" w:color="auto" w:fill="E2EFD9" w:themeFill="accent6" w:themeFillTint="33"/>
            <w:vAlign w:val="center"/>
          </w:tcPr>
          <w:p w:rsidR="007960B4" w:rsidRPr="007679AF" w:rsidRDefault="007960B4" w:rsidP="00090486">
            <w:pPr>
              <w:jc w:val="center"/>
              <w:rPr>
                <w:rFonts w:ascii="Times New Roman" w:hAnsi="Times New Roman" w:cs="Times New Roman"/>
                <w:b/>
                <w:color w:val="000000"/>
                <w:sz w:val="20"/>
                <w:szCs w:val="20"/>
              </w:rPr>
            </w:pPr>
            <w:r w:rsidRPr="007679AF">
              <w:rPr>
                <w:rFonts w:ascii="Times New Roman" w:hAnsi="Times New Roman" w:cs="Times New Roman"/>
                <w:b/>
                <w:color w:val="000000"/>
                <w:sz w:val="20"/>
                <w:szCs w:val="20"/>
              </w:rPr>
              <w:t>Effet</w:t>
            </w:r>
            <w:r w:rsidR="00F6660B">
              <w:rPr>
                <w:rFonts w:ascii="Times New Roman" w:hAnsi="Times New Roman" w:cs="Times New Roman"/>
                <w:b/>
                <w:color w:val="000000"/>
                <w:sz w:val="20"/>
                <w:szCs w:val="20"/>
              </w:rPr>
              <w:t>s</w:t>
            </w:r>
            <w:r w:rsidRPr="007679AF">
              <w:rPr>
                <w:rFonts w:ascii="Times New Roman" w:hAnsi="Times New Roman" w:cs="Times New Roman"/>
                <w:b/>
                <w:color w:val="000000"/>
                <w:sz w:val="20"/>
                <w:szCs w:val="20"/>
              </w:rPr>
              <w:t xml:space="preserve"> positif</w:t>
            </w:r>
            <w:r w:rsidR="00F6660B">
              <w:rPr>
                <w:rFonts w:ascii="Times New Roman" w:hAnsi="Times New Roman" w:cs="Times New Roman"/>
                <w:b/>
                <w:color w:val="000000"/>
                <w:sz w:val="20"/>
                <w:szCs w:val="20"/>
              </w:rPr>
              <w:t>s</w:t>
            </w:r>
          </w:p>
        </w:tc>
        <w:tc>
          <w:tcPr>
            <w:tcW w:w="8403" w:type="dxa"/>
            <w:vAlign w:val="center"/>
          </w:tcPr>
          <w:p w:rsidR="00893F8C" w:rsidRPr="00893F8C" w:rsidRDefault="00893F8C" w:rsidP="00FA3FAE">
            <w:pPr>
              <w:pStyle w:val="Listecouleur-Accent11"/>
              <w:numPr>
                <w:ilvl w:val="0"/>
                <w:numId w:val="72"/>
              </w:numPr>
              <w:ind w:left="167" w:hanging="142"/>
              <w:rPr>
                <w:rFonts w:ascii="Times New Roman" w:hAnsi="Times New Roman"/>
                <w:lang w:val="fr-FR"/>
              </w:rPr>
            </w:pPr>
            <w:r w:rsidRPr="00893F8C">
              <w:rPr>
                <w:rFonts w:ascii="Times New Roman" w:hAnsi="Times New Roman"/>
                <w:lang w:val="fr-FR"/>
              </w:rPr>
              <w:t>Matériau de longue durée de vie</w:t>
            </w:r>
            <w:r w:rsidR="007149FD">
              <w:rPr>
                <w:rFonts w:ascii="Times New Roman" w:hAnsi="Times New Roman"/>
                <w:lang w:val="fr-FR"/>
              </w:rPr>
              <w:t>,</w:t>
            </w:r>
          </w:p>
          <w:p w:rsidR="00893F8C" w:rsidRPr="00893F8C" w:rsidRDefault="00893F8C" w:rsidP="00FA3FAE">
            <w:pPr>
              <w:pStyle w:val="Listecouleur-Accent11"/>
              <w:numPr>
                <w:ilvl w:val="0"/>
                <w:numId w:val="72"/>
              </w:numPr>
              <w:ind w:left="167" w:hanging="142"/>
              <w:rPr>
                <w:rFonts w:ascii="Times New Roman" w:hAnsi="Times New Roman"/>
                <w:lang w:val="fr-FR"/>
              </w:rPr>
            </w:pPr>
            <w:r w:rsidRPr="00893F8C">
              <w:rPr>
                <w:rFonts w:ascii="Times New Roman" w:hAnsi="Times New Roman"/>
                <w:lang w:val="fr-FR"/>
              </w:rPr>
              <w:t>Facile d'entretien</w:t>
            </w:r>
            <w:r w:rsidR="007149FD">
              <w:rPr>
                <w:rFonts w:ascii="Times New Roman" w:hAnsi="Times New Roman"/>
                <w:lang w:val="fr-FR"/>
              </w:rPr>
              <w:t>,</w:t>
            </w:r>
          </w:p>
          <w:p w:rsidR="00893F8C" w:rsidRDefault="00893F8C" w:rsidP="00FA3FAE">
            <w:pPr>
              <w:pStyle w:val="Listecouleur-Accent11"/>
              <w:numPr>
                <w:ilvl w:val="0"/>
                <w:numId w:val="72"/>
              </w:numPr>
              <w:ind w:left="167" w:hanging="142"/>
              <w:rPr>
                <w:rFonts w:ascii="Times New Roman" w:hAnsi="Times New Roman"/>
                <w:lang w:val="fr-FR"/>
              </w:rPr>
            </w:pPr>
            <w:r w:rsidRPr="00893F8C">
              <w:rPr>
                <w:rFonts w:ascii="Times New Roman" w:hAnsi="Times New Roman"/>
                <w:lang w:val="fr-FR"/>
              </w:rPr>
              <w:t>Construction sur place par des entreprises locales</w:t>
            </w:r>
            <w:r w:rsidR="007149FD">
              <w:rPr>
                <w:rFonts w:ascii="Times New Roman" w:hAnsi="Times New Roman"/>
                <w:lang w:val="fr-FR"/>
              </w:rPr>
              <w:t>,</w:t>
            </w:r>
          </w:p>
          <w:p w:rsidR="00090486" w:rsidRDefault="00893F8C" w:rsidP="00FA3FAE">
            <w:pPr>
              <w:pStyle w:val="Listecouleur-Accent11"/>
              <w:numPr>
                <w:ilvl w:val="0"/>
                <w:numId w:val="72"/>
              </w:numPr>
              <w:ind w:left="167" w:hanging="142"/>
              <w:rPr>
                <w:rFonts w:ascii="Times New Roman" w:hAnsi="Times New Roman"/>
                <w:lang w:val="fr-FR"/>
              </w:rPr>
            </w:pPr>
            <w:r w:rsidRPr="00893F8C">
              <w:rPr>
                <w:rFonts w:ascii="Times New Roman" w:hAnsi="Times New Roman"/>
                <w:lang w:val="fr-FR"/>
              </w:rPr>
              <w:t xml:space="preserve">Augmentation des capacités de </w:t>
            </w:r>
            <w:r>
              <w:rPr>
                <w:rFonts w:ascii="Times New Roman" w:hAnsi="Times New Roman"/>
                <w:lang w:val="fr-FR"/>
              </w:rPr>
              <w:t>stockage d’eau</w:t>
            </w:r>
            <w:r w:rsidR="007149FD">
              <w:rPr>
                <w:rFonts w:ascii="Times New Roman" w:hAnsi="Times New Roman"/>
                <w:lang w:val="fr-FR"/>
              </w:rPr>
              <w:t>,</w:t>
            </w:r>
          </w:p>
          <w:p w:rsidR="00893F8C" w:rsidRPr="00090486" w:rsidRDefault="00090486" w:rsidP="00FA3FAE">
            <w:pPr>
              <w:pStyle w:val="Listecouleur-Accent11"/>
              <w:numPr>
                <w:ilvl w:val="0"/>
                <w:numId w:val="72"/>
              </w:numPr>
              <w:ind w:left="167" w:hanging="142"/>
              <w:rPr>
                <w:rFonts w:ascii="Times New Roman" w:hAnsi="Times New Roman"/>
                <w:lang w:val="fr-FR"/>
              </w:rPr>
            </w:pPr>
            <w:r w:rsidRPr="00090486">
              <w:rPr>
                <w:rFonts w:ascii="Times New Roman" w:hAnsi="Times New Roman"/>
                <w:lang w:val="fr-FR"/>
              </w:rPr>
              <w:t>Meille</w:t>
            </w:r>
            <w:r>
              <w:rPr>
                <w:rFonts w:ascii="Times New Roman" w:hAnsi="Times New Roman"/>
                <w:lang w:val="fr-FR"/>
              </w:rPr>
              <w:t>ure exploitation et entretien du réservoir</w:t>
            </w:r>
            <w:r w:rsidR="007149FD">
              <w:rPr>
                <w:rFonts w:ascii="Times New Roman" w:hAnsi="Times New Roman"/>
                <w:lang w:val="fr-FR"/>
              </w:rPr>
              <w:t>,</w:t>
            </w:r>
          </w:p>
        </w:tc>
      </w:tr>
      <w:tr w:rsidR="007960B4" w:rsidRPr="007679AF" w:rsidTr="007C6FAC">
        <w:tc>
          <w:tcPr>
            <w:tcW w:w="498" w:type="dxa"/>
            <w:vMerge/>
            <w:shd w:val="clear" w:color="auto" w:fill="E2EFD9" w:themeFill="accent6" w:themeFillTint="33"/>
            <w:textDirection w:val="btLr"/>
          </w:tcPr>
          <w:p w:rsidR="007960B4" w:rsidRPr="00090486" w:rsidRDefault="007960B4" w:rsidP="00090486">
            <w:pPr>
              <w:jc w:val="center"/>
              <w:rPr>
                <w:rFonts w:ascii="Times New Roman" w:hAnsi="Times New Roman" w:cs="Times New Roman"/>
                <w:b/>
                <w:color w:val="000000"/>
                <w:sz w:val="24"/>
                <w:szCs w:val="24"/>
              </w:rPr>
            </w:pPr>
          </w:p>
        </w:tc>
        <w:tc>
          <w:tcPr>
            <w:tcW w:w="1210" w:type="dxa"/>
            <w:vMerge/>
            <w:shd w:val="clear" w:color="auto" w:fill="F2F2F2" w:themeFill="background1" w:themeFillShade="F2"/>
          </w:tcPr>
          <w:p w:rsidR="007960B4" w:rsidRPr="007679AF" w:rsidRDefault="007960B4" w:rsidP="0016471F">
            <w:pPr>
              <w:jc w:val="both"/>
              <w:rPr>
                <w:rFonts w:ascii="Times New Roman" w:hAnsi="Times New Roman" w:cs="Times New Roman"/>
                <w:color w:val="000000"/>
                <w:sz w:val="24"/>
                <w:szCs w:val="24"/>
              </w:rPr>
            </w:pPr>
          </w:p>
        </w:tc>
        <w:tc>
          <w:tcPr>
            <w:tcW w:w="805" w:type="dxa"/>
            <w:shd w:val="clear" w:color="auto" w:fill="FFF2CC" w:themeFill="accent4" w:themeFillTint="33"/>
            <w:vAlign w:val="center"/>
          </w:tcPr>
          <w:p w:rsidR="007960B4" w:rsidRPr="007679AF" w:rsidRDefault="007960B4" w:rsidP="00090486">
            <w:pPr>
              <w:jc w:val="center"/>
              <w:rPr>
                <w:rFonts w:ascii="Times New Roman" w:hAnsi="Times New Roman" w:cs="Times New Roman"/>
                <w:b/>
                <w:color w:val="000000"/>
                <w:sz w:val="20"/>
                <w:szCs w:val="20"/>
              </w:rPr>
            </w:pPr>
            <w:r w:rsidRPr="007679AF">
              <w:rPr>
                <w:rFonts w:ascii="Times New Roman" w:hAnsi="Times New Roman" w:cs="Times New Roman"/>
                <w:b/>
                <w:color w:val="000000"/>
                <w:sz w:val="20"/>
                <w:szCs w:val="20"/>
              </w:rPr>
              <w:t>Effet</w:t>
            </w:r>
            <w:r w:rsidR="00F6660B">
              <w:rPr>
                <w:rFonts w:ascii="Times New Roman" w:hAnsi="Times New Roman" w:cs="Times New Roman"/>
                <w:b/>
                <w:color w:val="000000"/>
                <w:sz w:val="20"/>
                <w:szCs w:val="20"/>
              </w:rPr>
              <w:t>s</w:t>
            </w:r>
            <w:r w:rsidRPr="007679AF">
              <w:rPr>
                <w:rFonts w:ascii="Times New Roman" w:hAnsi="Times New Roman" w:cs="Times New Roman"/>
                <w:b/>
                <w:color w:val="000000"/>
                <w:sz w:val="20"/>
                <w:szCs w:val="20"/>
              </w:rPr>
              <w:t xml:space="preserve"> négatif</w:t>
            </w:r>
            <w:r w:rsidR="00F6660B">
              <w:rPr>
                <w:rFonts w:ascii="Times New Roman" w:hAnsi="Times New Roman" w:cs="Times New Roman"/>
                <w:b/>
                <w:color w:val="000000"/>
                <w:sz w:val="20"/>
                <w:szCs w:val="20"/>
              </w:rPr>
              <w:t>s</w:t>
            </w:r>
          </w:p>
        </w:tc>
        <w:tc>
          <w:tcPr>
            <w:tcW w:w="8403" w:type="dxa"/>
            <w:vAlign w:val="center"/>
          </w:tcPr>
          <w:p w:rsidR="007960B4" w:rsidRPr="00090486" w:rsidRDefault="00090486" w:rsidP="00FA3FAE">
            <w:pPr>
              <w:pStyle w:val="Listecouleur-Accent11"/>
              <w:numPr>
                <w:ilvl w:val="0"/>
                <w:numId w:val="72"/>
              </w:numPr>
              <w:ind w:left="167" w:hanging="142"/>
              <w:rPr>
                <w:rFonts w:ascii="Times New Roman" w:hAnsi="Times New Roman"/>
                <w:lang w:val="fr-FR"/>
              </w:rPr>
            </w:pPr>
            <w:r w:rsidRPr="00090486">
              <w:rPr>
                <w:rFonts w:ascii="Times New Roman" w:hAnsi="Times New Roman"/>
                <w:lang w:val="fr-FR"/>
              </w:rPr>
              <w:t>Grosse mise en œuvre</w:t>
            </w:r>
          </w:p>
          <w:p w:rsidR="00090486" w:rsidRPr="00090486" w:rsidRDefault="00090486" w:rsidP="00FA3FAE">
            <w:pPr>
              <w:pStyle w:val="Listecouleur-Accent11"/>
              <w:numPr>
                <w:ilvl w:val="0"/>
                <w:numId w:val="72"/>
              </w:numPr>
              <w:ind w:left="167" w:hanging="142"/>
              <w:rPr>
                <w:rFonts w:ascii="Times New Roman" w:hAnsi="Times New Roman"/>
                <w:lang w:val="fr-FR"/>
              </w:rPr>
            </w:pPr>
            <w:r w:rsidRPr="00090486">
              <w:rPr>
                <w:rFonts w:ascii="Times New Roman" w:hAnsi="Times New Roman"/>
                <w:lang w:val="fr-FR"/>
              </w:rPr>
              <w:t>Risque de mauvaise étanchéité (fissures difficiles à réparer)</w:t>
            </w:r>
          </w:p>
          <w:p w:rsidR="00090486" w:rsidRPr="00090486" w:rsidRDefault="00090486" w:rsidP="00FA3FAE">
            <w:pPr>
              <w:pStyle w:val="Listecouleur-Accent11"/>
              <w:numPr>
                <w:ilvl w:val="0"/>
                <w:numId w:val="72"/>
              </w:numPr>
              <w:ind w:left="167" w:hanging="142"/>
              <w:rPr>
                <w:rFonts w:ascii="Times New Roman" w:hAnsi="Times New Roman"/>
                <w:lang w:val="fr-FR"/>
              </w:rPr>
            </w:pPr>
            <w:r w:rsidRPr="00090486">
              <w:rPr>
                <w:rFonts w:ascii="Times New Roman" w:hAnsi="Times New Roman"/>
                <w:lang w:val="fr-FR"/>
              </w:rPr>
              <w:lastRenderedPageBreak/>
              <w:t>Restrictif quant à la forme du bassin</w:t>
            </w:r>
          </w:p>
          <w:p w:rsidR="00090486" w:rsidRPr="00090486" w:rsidRDefault="00090486" w:rsidP="00FA3FAE">
            <w:pPr>
              <w:pStyle w:val="Listecouleur-Accent11"/>
              <w:numPr>
                <w:ilvl w:val="0"/>
                <w:numId w:val="72"/>
              </w:numPr>
              <w:ind w:left="167" w:hanging="142"/>
              <w:rPr>
                <w:rFonts w:ascii="Times New Roman" w:hAnsi="Times New Roman"/>
                <w:lang w:val="fr-FR"/>
              </w:rPr>
            </w:pPr>
            <w:r w:rsidRPr="00090486">
              <w:rPr>
                <w:rFonts w:ascii="Times New Roman" w:hAnsi="Times New Roman"/>
                <w:lang w:val="fr-FR"/>
              </w:rPr>
              <w:t>Finitions délicates</w:t>
            </w:r>
          </w:p>
          <w:p w:rsidR="00090486" w:rsidRPr="00090486" w:rsidRDefault="00090486" w:rsidP="00FA3FAE">
            <w:pPr>
              <w:pStyle w:val="Listecouleur-Accent11"/>
              <w:numPr>
                <w:ilvl w:val="0"/>
                <w:numId w:val="72"/>
              </w:numPr>
              <w:ind w:left="167" w:hanging="142"/>
              <w:rPr>
                <w:rFonts w:ascii="Times New Roman" w:hAnsi="Times New Roman"/>
                <w:lang w:val="fr-FR"/>
              </w:rPr>
            </w:pPr>
            <w:r w:rsidRPr="00090486">
              <w:rPr>
                <w:rFonts w:ascii="Times New Roman" w:hAnsi="Times New Roman"/>
                <w:lang w:val="fr-FR"/>
              </w:rPr>
              <w:t>Nécessité d'une couche imperméable pour le recouvrir</w:t>
            </w:r>
          </w:p>
        </w:tc>
      </w:tr>
      <w:tr w:rsidR="007960B4" w:rsidRPr="007679AF" w:rsidTr="007C6FAC">
        <w:tc>
          <w:tcPr>
            <w:tcW w:w="498" w:type="dxa"/>
            <w:vMerge w:val="restart"/>
            <w:shd w:val="clear" w:color="auto" w:fill="E2EFD9" w:themeFill="accent6" w:themeFillTint="33"/>
            <w:textDirection w:val="btLr"/>
          </w:tcPr>
          <w:p w:rsidR="007960B4" w:rsidRPr="00090486" w:rsidRDefault="007960B4" w:rsidP="00090486">
            <w:pPr>
              <w:jc w:val="center"/>
              <w:rPr>
                <w:rFonts w:ascii="Times New Roman" w:hAnsi="Times New Roman" w:cs="Times New Roman"/>
                <w:b/>
                <w:color w:val="000000"/>
                <w:sz w:val="24"/>
                <w:szCs w:val="24"/>
              </w:rPr>
            </w:pPr>
            <w:r w:rsidRPr="00090486">
              <w:rPr>
                <w:rFonts w:ascii="Times New Roman" w:hAnsi="Times New Roman" w:cs="Times New Roman"/>
                <w:b/>
                <w:color w:val="000000"/>
                <w:sz w:val="24"/>
                <w:szCs w:val="24"/>
              </w:rPr>
              <w:lastRenderedPageBreak/>
              <w:t>Economique</w:t>
            </w:r>
          </w:p>
        </w:tc>
        <w:tc>
          <w:tcPr>
            <w:tcW w:w="1210" w:type="dxa"/>
            <w:vMerge/>
            <w:shd w:val="clear" w:color="auto" w:fill="F2F2F2" w:themeFill="background1" w:themeFillShade="F2"/>
          </w:tcPr>
          <w:p w:rsidR="007960B4" w:rsidRPr="007679AF" w:rsidRDefault="007960B4" w:rsidP="0016471F">
            <w:pPr>
              <w:jc w:val="both"/>
              <w:rPr>
                <w:rFonts w:ascii="Times New Roman" w:hAnsi="Times New Roman" w:cs="Times New Roman"/>
                <w:color w:val="000000"/>
                <w:sz w:val="24"/>
                <w:szCs w:val="24"/>
              </w:rPr>
            </w:pPr>
          </w:p>
        </w:tc>
        <w:tc>
          <w:tcPr>
            <w:tcW w:w="805" w:type="dxa"/>
            <w:shd w:val="clear" w:color="auto" w:fill="E2EFD9" w:themeFill="accent6" w:themeFillTint="33"/>
            <w:vAlign w:val="center"/>
          </w:tcPr>
          <w:p w:rsidR="007960B4" w:rsidRPr="007679AF" w:rsidRDefault="007960B4" w:rsidP="00090486">
            <w:pPr>
              <w:jc w:val="center"/>
              <w:rPr>
                <w:rFonts w:ascii="Times New Roman" w:hAnsi="Times New Roman" w:cs="Times New Roman"/>
                <w:b/>
                <w:color w:val="000000"/>
                <w:sz w:val="20"/>
                <w:szCs w:val="20"/>
              </w:rPr>
            </w:pPr>
            <w:r w:rsidRPr="007679AF">
              <w:rPr>
                <w:rFonts w:ascii="Times New Roman" w:hAnsi="Times New Roman" w:cs="Times New Roman"/>
                <w:b/>
                <w:color w:val="000000"/>
                <w:sz w:val="20"/>
                <w:szCs w:val="20"/>
              </w:rPr>
              <w:t>Effet</w:t>
            </w:r>
            <w:r w:rsidR="00F6660B">
              <w:rPr>
                <w:rFonts w:ascii="Times New Roman" w:hAnsi="Times New Roman" w:cs="Times New Roman"/>
                <w:b/>
                <w:color w:val="000000"/>
                <w:sz w:val="20"/>
                <w:szCs w:val="20"/>
              </w:rPr>
              <w:t>s</w:t>
            </w:r>
            <w:r w:rsidRPr="007679AF">
              <w:rPr>
                <w:rFonts w:ascii="Times New Roman" w:hAnsi="Times New Roman" w:cs="Times New Roman"/>
                <w:b/>
                <w:color w:val="000000"/>
                <w:sz w:val="20"/>
                <w:szCs w:val="20"/>
              </w:rPr>
              <w:t xml:space="preserve"> positif</w:t>
            </w:r>
            <w:r w:rsidR="00F6660B">
              <w:rPr>
                <w:rFonts w:ascii="Times New Roman" w:hAnsi="Times New Roman" w:cs="Times New Roman"/>
                <w:b/>
                <w:color w:val="000000"/>
                <w:sz w:val="20"/>
                <w:szCs w:val="20"/>
              </w:rPr>
              <w:t>s</w:t>
            </w:r>
          </w:p>
        </w:tc>
        <w:tc>
          <w:tcPr>
            <w:tcW w:w="8403" w:type="dxa"/>
            <w:vAlign w:val="center"/>
          </w:tcPr>
          <w:p w:rsidR="00090486" w:rsidRPr="00090486" w:rsidRDefault="00090486" w:rsidP="00FA3FAE">
            <w:pPr>
              <w:pStyle w:val="Listecouleur-Accent11"/>
              <w:numPr>
                <w:ilvl w:val="0"/>
                <w:numId w:val="72"/>
              </w:numPr>
              <w:ind w:left="167" w:hanging="142"/>
              <w:rPr>
                <w:rFonts w:ascii="Times New Roman" w:hAnsi="Times New Roman"/>
                <w:lang w:val="fr-FR"/>
              </w:rPr>
            </w:pPr>
            <w:r w:rsidRPr="00090486">
              <w:rPr>
                <w:rFonts w:ascii="Times New Roman" w:hAnsi="Times New Roman"/>
                <w:lang w:val="fr-FR"/>
              </w:rPr>
              <w:t>Augmentation des ressources économiques pour le EAGB ;</w:t>
            </w:r>
          </w:p>
          <w:p w:rsidR="00090486" w:rsidRPr="00090486" w:rsidRDefault="00090486" w:rsidP="00FA3FAE">
            <w:pPr>
              <w:pStyle w:val="Listecouleur-Accent11"/>
              <w:numPr>
                <w:ilvl w:val="0"/>
                <w:numId w:val="72"/>
              </w:numPr>
              <w:ind w:left="167" w:hanging="142"/>
              <w:rPr>
                <w:rFonts w:ascii="Times New Roman" w:hAnsi="Times New Roman"/>
                <w:lang w:val="fr-FR"/>
              </w:rPr>
            </w:pPr>
            <w:r w:rsidRPr="00090486">
              <w:rPr>
                <w:rFonts w:ascii="Times New Roman" w:hAnsi="Times New Roman"/>
                <w:lang w:val="fr-FR"/>
              </w:rPr>
              <w:t>Regain dynamique par rapport aux investissements privés ;</w:t>
            </w:r>
          </w:p>
          <w:p w:rsidR="007960B4" w:rsidRDefault="00090486" w:rsidP="00FA3FAE">
            <w:pPr>
              <w:pStyle w:val="Listecouleur-Accent11"/>
              <w:numPr>
                <w:ilvl w:val="0"/>
                <w:numId w:val="72"/>
              </w:numPr>
              <w:ind w:left="167" w:hanging="142"/>
              <w:rPr>
                <w:rFonts w:ascii="Times New Roman" w:hAnsi="Times New Roman"/>
                <w:lang w:val="fr-FR"/>
              </w:rPr>
            </w:pPr>
            <w:r w:rsidRPr="00090486">
              <w:rPr>
                <w:rFonts w:ascii="Times New Roman" w:hAnsi="Times New Roman"/>
                <w:lang w:val="fr-FR"/>
              </w:rPr>
              <w:t>Réaction d’emplois temporaires par le recrutement des ouvriers locaux ;</w:t>
            </w:r>
          </w:p>
          <w:p w:rsidR="00BE7583" w:rsidRPr="000369CE" w:rsidRDefault="000369CE" w:rsidP="00FA3FAE">
            <w:pPr>
              <w:pStyle w:val="Listecouleur-Accent11"/>
              <w:numPr>
                <w:ilvl w:val="0"/>
                <w:numId w:val="72"/>
              </w:numPr>
              <w:ind w:left="167" w:hanging="142"/>
              <w:rPr>
                <w:rFonts w:ascii="Times New Roman" w:hAnsi="Times New Roman"/>
                <w:lang w:val="fr-FR"/>
              </w:rPr>
            </w:pPr>
            <w:r w:rsidRPr="000369CE">
              <w:rPr>
                <w:rFonts w:ascii="Times New Roman" w:hAnsi="Times New Roman"/>
                <w:lang w:val="fr-FR"/>
              </w:rPr>
              <w:t>Solution couteuse en réalisation mais bénéfique en exploitation,</w:t>
            </w:r>
          </w:p>
        </w:tc>
      </w:tr>
      <w:tr w:rsidR="007960B4" w:rsidTr="007C6FAC">
        <w:tc>
          <w:tcPr>
            <w:tcW w:w="498" w:type="dxa"/>
            <w:vMerge/>
            <w:shd w:val="clear" w:color="auto" w:fill="E2EFD9" w:themeFill="accent6" w:themeFillTint="33"/>
          </w:tcPr>
          <w:p w:rsidR="007960B4" w:rsidRPr="007679AF" w:rsidRDefault="007960B4" w:rsidP="0016471F">
            <w:pPr>
              <w:jc w:val="both"/>
              <w:rPr>
                <w:rFonts w:ascii="Times New Roman" w:hAnsi="Times New Roman" w:cs="Times New Roman"/>
                <w:color w:val="000000"/>
                <w:sz w:val="24"/>
                <w:szCs w:val="24"/>
              </w:rPr>
            </w:pPr>
          </w:p>
        </w:tc>
        <w:tc>
          <w:tcPr>
            <w:tcW w:w="1210" w:type="dxa"/>
            <w:vMerge/>
            <w:shd w:val="clear" w:color="auto" w:fill="F2F2F2" w:themeFill="background1" w:themeFillShade="F2"/>
          </w:tcPr>
          <w:p w:rsidR="007960B4" w:rsidRPr="007679AF" w:rsidRDefault="007960B4" w:rsidP="0016471F">
            <w:pPr>
              <w:jc w:val="both"/>
              <w:rPr>
                <w:rFonts w:ascii="Times New Roman" w:hAnsi="Times New Roman" w:cs="Times New Roman"/>
                <w:color w:val="000000"/>
                <w:sz w:val="24"/>
                <w:szCs w:val="24"/>
              </w:rPr>
            </w:pPr>
          </w:p>
        </w:tc>
        <w:tc>
          <w:tcPr>
            <w:tcW w:w="805" w:type="dxa"/>
            <w:shd w:val="clear" w:color="auto" w:fill="FFF2CC" w:themeFill="accent4" w:themeFillTint="33"/>
          </w:tcPr>
          <w:p w:rsidR="00F6660B" w:rsidRDefault="007960B4" w:rsidP="0016471F">
            <w:pPr>
              <w:jc w:val="both"/>
              <w:rPr>
                <w:rFonts w:ascii="Times New Roman" w:hAnsi="Times New Roman" w:cs="Times New Roman"/>
                <w:b/>
                <w:color w:val="000000"/>
                <w:sz w:val="20"/>
                <w:szCs w:val="20"/>
              </w:rPr>
            </w:pPr>
            <w:r w:rsidRPr="007679AF">
              <w:rPr>
                <w:rFonts w:ascii="Times New Roman" w:hAnsi="Times New Roman" w:cs="Times New Roman"/>
                <w:b/>
                <w:color w:val="000000"/>
                <w:sz w:val="20"/>
                <w:szCs w:val="20"/>
              </w:rPr>
              <w:t>Effet</w:t>
            </w:r>
            <w:r w:rsidR="00F6660B">
              <w:rPr>
                <w:rFonts w:ascii="Times New Roman" w:hAnsi="Times New Roman" w:cs="Times New Roman"/>
                <w:b/>
                <w:color w:val="000000"/>
                <w:sz w:val="20"/>
                <w:szCs w:val="20"/>
              </w:rPr>
              <w:t>s</w:t>
            </w:r>
          </w:p>
          <w:p w:rsidR="007960B4" w:rsidRPr="007679AF" w:rsidRDefault="007960B4" w:rsidP="0016471F">
            <w:pPr>
              <w:jc w:val="both"/>
              <w:rPr>
                <w:rFonts w:ascii="Times New Roman" w:hAnsi="Times New Roman" w:cs="Times New Roman"/>
                <w:b/>
                <w:color w:val="000000"/>
                <w:sz w:val="20"/>
                <w:szCs w:val="20"/>
              </w:rPr>
            </w:pPr>
            <w:r w:rsidRPr="007679AF">
              <w:rPr>
                <w:rFonts w:ascii="Times New Roman" w:hAnsi="Times New Roman" w:cs="Times New Roman"/>
                <w:b/>
                <w:color w:val="000000"/>
                <w:sz w:val="20"/>
                <w:szCs w:val="20"/>
              </w:rPr>
              <w:t>négatif</w:t>
            </w:r>
            <w:r w:rsidR="00F6660B">
              <w:rPr>
                <w:rFonts w:ascii="Times New Roman" w:hAnsi="Times New Roman" w:cs="Times New Roman"/>
                <w:b/>
                <w:color w:val="000000"/>
                <w:sz w:val="20"/>
                <w:szCs w:val="20"/>
              </w:rPr>
              <w:t>s</w:t>
            </w:r>
          </w:p>
        </w:tc>
        <w:tc>
          <w:tcPr>
            <w:tcW w:w="8403" w:type="dxa"/>
            <w:vAlign w:val="center"/>
          </w:tcPr>
          <w:p w:rsidR="000369CE" w:rsidRPr="000369CE" w:rsidRDefault="000369CE" w:rsidP="00FA3FAE">
            <w:pPr>
              <w:pStyle w:val="Listecouleur-Accent11"/>
              <w:numPr>
                <w:ilvl w:val="0"/>
                <w:numId w:val="72"/>
              </w:numPr>
              <w:ind w:left="167" w:hanging="142"/>
              <w:rPr>
                <w:rFonts w:ascii="Times New Roman" w:hAnsi="Times New Roman"/>
                <w:lang w:val="fr-FR"/>
              </w:rPr>
            </w:pPr>
            <w:r w:rsidRPr="000369CE">
              <w:rPr>
                <w:rFonts w:ascii="Times New Roman" w:hAnsi="Times New Roman"/>
                <w:lang w:val="fr-FR"/>
              </w:rPr>
              <w:t>Coûts liés à la santé des ouvriers ;</w:t>
            </w:r>
          </w:p>
          <w:p w:rsidR="000369CE" w:rsidRPr="000369CE" w:rsidRDefault="000369CE" w:rsidP="00FA3FAE">
            <w:pPr>
              <w:pStyle w:val="Listecouleur-Accent11"/>
              <w:numPr>
                <w:ilvl w:val="0"/>
                <w:numId w:val="72"/>
              </w:numPr>
              <w:ind w:left="167" w:hanging="142"/>
              <w:rPr>
                <w:rFonts w:ascii="Times New Roman" w:hAnsi="Times New Roman"/>
                <w:lang w:val="fr-FR"/>
              </w:rPr>
            </w:pPr>
            <w:r w:rsidRPr="000369CE">
              <w:rPr>
                <w:rFonts w:ascii="Times New Roman" w:hAnsi="Times New Roman"/>
                <w:lang w:val="fr-FR"/>
              </w:rPr>
              <w:t>Coûts liés à l’encadrement et la formation des ouvriers</w:t>
            </w:r>
          </w:p>
          <w:p w:rsidR="000369CE" w:rsidRPr="000369CE" w:rsidRDefault="000369CE" w:rsidP="00FA3FAE">
            <w:pPr>
              <w:pStyle w:val="Listecouleur-Accent11"/>
              <w:numPr>
                <w:ilvl w:val="0"/>
                <w:numId w:val="72"/>
              </w:numPr>
              <w:ind w:left="167" w:hanging="142"/>
              <w:rPr>
                <w:rFonts w:ascii="Times New Roman" w:hAnsi="Times New Roman"/>
                <w:lang w:val="fr-FR"/>
              </w:rPr>
            </w:pPr>
            <w:r w:rsidRPr="000369CE">
              <w:rPr>
                <w:rFonts w:ascii="Times New Roman" w:hAnsi="Times New Roman"/>
                <w:lang w:val="fr-FR"/>
              </w:rPr>
              <w:t>Peu de perturbations liées aux travaux (perte d’actifs pour les commerçants, agriculteur…) ;</w:t>
            </w:r>
          </w:p>
        </w:tc>
      </w:tr>
      <w:tr w:rsidR="00E54594" w:rsidTr="007C6FAC">
        <w:tc>
          <w:tcPr>
            <w:tcW w:w="10916" w:type="dxa"/>
            <w:gridSpan w:val="4"/>
            <w:shd w:val="clear" w:color="auto" w:fill="FFFFFF" w:themeFill="background1"/>
          </w:tcPr>
          <w:p w:rsidR="00E54594" w:rsidRPr="00E54594" w:rsidRDefault="00E54594" w:rsidP="00E54594">
            <w:pPr>
              <w:widowControl w:val="0"/>
              <w:tabs>
                <w:tab w:val="left" w:pos="175"/>
              </w:tabs>
              <w:spacing w:line="276" w:lineRule="auto"/>
              <w:contextualSpacing/>
              <w:jc w:val="both"/>
              <w:rPr>
                <w:rFonts w:ascii="Times New Roman" w:hAnsi="Times New Roman"/>
                <w:sz w:val="6"/>
                <w:szCs w:val="6"/>
                <w:lang w:eastAsia="x-none"/>
              </w:rPr>
            </w:pPr>
          </w:p>
        </w:tc>
      </w:tr>
      <w:tr w:rsidR="00BE7583" w:rsidRPr="007679AF" w:rsidTr="007C6FAC">
        <w:tc>
          <w:tcPr>
            <w:tcW w:w="498" w:type="dxa"/>
            <w:vMerge w:val="restart"/>
            <w:shd w:val="clear" w:color="auto" w:fill="E2EFD9" w:themeFill="accent6" w:themeFillTint="33"/>
            <w:textDirection w:val="btLr"/>
          </w:tcPr>
          <w:p w:rsidR="00BE7583" w:rsidRPr="00090486" w:rsidRDefault="00BE7583" w:rsidP="000369CE">
            <w:pPr>
              <w:jc w:val="center"/>
              <w:rPr>
                <w:rFonts w:ascii="Times New Roman" w:hAnsi="Times New Roman" w:cs="Times New Roman"/>
                <w:b/>
                <w:color w:val="000000"/>
                <w:sz w:val="24"/>
                <w:szCs w:val="24"/>
              </w:rPr>
            </w:pPr>
            <w:r w:rsidRPr="00090486">
              <w:rPr>
                <w:rFonts w:ascii="Times New Roman" w:hAnsi="Times New Roman" w:cs="Times New Roman"/>
                <w:b/>
                <w:color w:val="000000"/>
                <w:sz w:val="24"/>
                <w:szCs w:val="24"/>
              </w:rPr>
              <w:t>Environnement</w:t>
            </w:r>
          </w:p>
        </w:tc>
        <w:tc>
          <w:tcPr>
            <w:tcW w:w="1210" w:type="dxa"/>
            <w:vMerge w:val="restart"/>
            <w:shd w:val="clear" w:color="auto" w:fill="F2F2F2" w:themeFill="background1" w:themeFillShade="F2"/>
            <w:vAlign w:val="center"/>
          </w:tcPr>
          <w:p w:rsidR="00BE7583" w:rsidRPr="00977901" w:rsidRDefault="007C6FAC" w:rsidP="007C6FAC">
            <w:pPr>
              <w:jc w:val="center"/>
              <w:rPr>
                <w:rFonts w:ascii="Times New Roman" w:hAnsi="Times New Roman"/>
                <w:b/>
                <w:sz w:val="24"/>
                <w:szCs w:val="24"/>
              </w:rPr>
            </w:pPr>
            <w:r w:rsidRPr="00977901">
              <w:rPr>
                <w:rFonts w:ascii="Times New Roman" w:hAnsi="Times New Roman"/>
                <w:b/>
                <w:sz w:val="24"/>
                <w:szCs w:val="24"/>
              </w:rPr>
              <w:t>Réservoir</w:t>
            </w:r>
            <w:r w:rsidR="00BE7583" w:rsidRPr="001F257B">
              <w:rPr>
                <w:rFonts w:ascii="Times New Roman" w:hAnsi="Times New Roman"/>
                <w:b/>
                <w:sz w:val="24"/>
                <w:szCs w:val="24"/>
              </w:rPr>
              <w:t xml:space="preserve"> en résine de polyester</w:t>
            </w:r>
          </w:p>
        </w:tc>
        <w:tc>
          <w:tcPr>
            <w:tcW w:w="805" w:type="dxa"/>
            <w:shd w:val="clear" w:color="auto" w:fill="E2EFD9" w:themeFill="accent6" w:themeFillTint="33"/>
            <w:vAlign w:val="center"/>
          </w:tcPr>
          <w:p w:rsidR="00BE7583" w:rsidRPr="007679AF" w:rsidRDefault="00BE7583" w:rsidP="007C6FAC">
            <w:pPr>
              <w:jc w:val="center"/>
              <w:rPr>
                <w:rFonts w:ascii="Times New Roman" w:hAnsi="Times New Roman" w:cs="Times New Roman"/>
                <w:b/>
                <w:color w:val="000000"/>
                <w:sz w:val="20"/>
                <w:szCs w:val="20"/>
              </w:rPr>
            </w:pPr>
            <w:r w:rsidRPr="007679AF">
              <w:rPr>
                <w:rFonts w:ascii="Times New Roman" w:hAnsi="Times New Roman" w:cs="Times New Roman"/>
                <w:b/>
                <w:color w:val="000000"/>
                <w:sz w:val="20"/>
                <w:szCs w:val="20"/>
              </w:rPr>
              <w:t>Effet</w:t>
            </w:r>
            <w:r w:rsidR="00F6660B">
              <w:rPr>
                <w:rFonts w:ascii="Times New Roman" w:hAnsi="Times New Roman" w:cs="Times New Roman"/>
                <w:b/>
                <w:color w:val="000000"/>
                <w:sz w:val="20"/>
                <w:szCs w:val="20"/>
              </w:rPr>
              <w:t>s</w:t>
            </w:r>
            <w:r w:rsidRPr="007679AF">
              <w:rPr>
                <w:rFonts w:ascii="Times New Roman" w:hAnsi="Times New Roman" w:cs="Times New Roman"/>
                <w:b/>
                <w:color w:val="000000"/>
                <w:sz w:val="20"/>
                <w:szCs w:val="20"/>
              </w:rPr>
              <w:t xml:space="preserve"> positif</w:t>
            </w:r>
            <w:r w:rsidR="00F6660B">
              <w:rPr>
                <w:rFonts w:ascii="Times New Roman" w:hAnsi="Times New Roman" w:cs="Times New Roman"/>
                <w:b/>
                <w:color w:val="000000"/>
                <w:sz w:val="20"/>
                <w:szCs w:val="20"/>
              </w:rPr>
              <w:t>s</w:t>
            </w:r>
          </w:p>
        </w:tc>
        <w:tc>
          <w:tcPr>
            <w:tcW w:w="8403" w:type="dxa"/>
          </w:tcPr>
          <w:p w:rsidR="00BE7583" w:rsidRPr="007679AF" w:rsidRDefault="000369CE" w:rsidP="00FA3FAE">
            <w:pPr>
              <w:widowControl w:val="0"/>
              <w:numPr>
                <w:ilvl w:val="0"/>
                <w:numId w:val="74"/>
              </w:numPr>
              <w:tabs>
                <w:tab w:val="left" w:pos="175"/>
              </w:tabs>
              <w:spacing w:line="276" w:lineRule="auto"/>
              <w:ind w:left="181" w:hanging="181"/>
              <w:contextualSpacing/>
              <w:jc w:val="both"/>
              <w:rPr>
                <w:rFonts w:ascii="Times New Roman" w:hAnsi="Times New Roman"/>
                <w:sz w:val="20"/>
                <w:szCs w:val="20"/>
                <w:lang w:eastAsia="x-none"/>
              </w:rPr>
            </w:pPr>
            <w:r>
              <w:rPr>
                <w:rFonts w:ascii="Times New Roman" w:hAnsi="Times New Roman"/>
                <w:sz w:val="20"/>
                <w:szCs w:val="20"/>
                <w:lang w:eastAsia="x-none"/>
              </w:rPr>
              <w:t>Neant</w:t>
            </w:r>
          </w:p>
        </w:tc>
      </w:tr>
      <w:tr w:rsidR="00BE7583" w:rsidRPr="00090486" w:rsidTr="007C6FAC">
        <w:tc>
          <w:tcPr>
            <w:tcW w:w="498" w:type="dxa"/>
            <w:vMerge/>
            <w:shd w:val="clear" w:color="auto" w:fill="E2EFD9" w:themeFill="accent6" w:themeFillTint="33"/>
          </w:tcPr>
          <w:p w:rsidR="00BE7583" w:rsidRPr="00090486" w:rsidRDefault="00BE7583" w:rsidP="000369CE">
            <w:pPr>
              <w:jc w:val="center"/>
              <w:rPr>
                <w:rFonts w:ascii="Times New Roman" w:hAnsi="Times New Roman" w:cs="Times New Roman"/>
                <w:b/>
                <w:color w:val="000000"/>
                <w:sz w:val="24"/>
                <w:szCs w:val="24"/>
              </w:rPr>
            </w:pPr>
          </w:p>
        </w:tc>
        <w:tc>
          <w:tcPr>
            <w:tcW w:w="1210" w:type="dxa"/>
            <w:vMerge/>
            <w:shd w:val="clear" w:color="auto" w:fill="F2F2F2" w:themeFill="background1" w:themeFillShade="F2"/>
          </w:tcPr>
          <w:p w:rsidR="00BE7583" w:rsidRPr="007679AF" w:rsidRDefault="00BE7583" w:rsidP="000369CE">
            <w:pPr>
              <w:jc w:val="both"/>
              <w:rPr>
                <w:rFonts w:ascii="Times New Roman" w:hAnsi="Times New Roman" w:cs="Times New Roman"/>
                <w:color w:val="000000"/>
                <w:sz w:val="24"/>
                <w:szCs w:val="24"/>
              </w:rPr>
            </w:pPr>
          </w:p>
        </w:tc>
        <w:tc>
          <w:tcPr>
            <w:tcW w:w="805" w:type="dxa"/>
            <w:shd w:val="clear" w:color="auto" w:fill="FFF2CC" w:themeFill="accent4" w:themeFillTint="33"/>
            <w:vAlign w:val="center"/>
          </w:tcPr>
          <w:p w:rsidR="00BE7583" w:rsidRPr="007679AF" w:rsidRDefault="00BE7583" w:rsidP="007C6FAC">
            <w:pPr>
              <w:jc w:val="center"/>
              <w:rPr>
                <w:rFonts w:ascii="Times New Roman" w:hAnsi="Times New Roman" w:cs="Times New Roman"/>
                <w:b/>
                <w:color w:val="000000"/>
                <w:sz w:val="20"/>
                <w:szCs w:val="20"/>
              </w:rPr>
            </w:pPr>
            <w:r w:rsidRPr="007679AF">
              <w:rPr>
                <w:rFonts w:ascii="Times New Roman" w:hAnsi="Times New Roman" w:cs="Times New Roman"/>
                <w:b/>
                <w:color w:val="000000"/>
                <w:sz w:val="20"/>
                <w:szCs w:val="20"/>
              </w:rPr>
              <w:t>Effet</w:t>
            </w:r>
            <w:r w:rsidR="00F6660B">
              <w:rPr>
                <w:rFonts w:ascii="Times New Roman" w:hAnsi="Times New Roman" w:cs="Times New Roman"/>
                <w:b/>
                <w:color w:val="000000"/>
                <w:sz w:val="20"/>
                <w:szCs w:val="20"/>
              </w:rPr>
              <w:t>s</w:t>
            </w:r>
            <w:r w:rsidRPr="007679AF">
              <w:rPr>
                <w:rFonts w:ascii="Times New Roman" w:hAnsi="Times New Roman" w:cs="Times New Roman"/>
                <w:b/>
                <w:color w:val="000000"/>
                <w:sz w:val="20"/>
                <w:szCs w:val="20"/>
              </w:rPr>
              <w:t xml:space="preserve"> négatif</w:t>
            </w:r>
            <w:r w:rsidR="00F6660B">
              <w:rPr>
                <w:rFonts w:ascii="Times New Roman" w:hAnsi="Times New Roman" w:cs="Times New Roman"/>
                <w:b/>
                <w:color w:val="000000"/>
                <w:sz w:val="20"/>
                <w:szCs w:val="20"/>
              </w:rPr>
              <w:t>s</w:t>
            </w:r>
          </w:p>
        </w:tc>
        <w:tc>
          <w:tcPr>
            <w:tcW w:w="8403" w:type="dxa"/>
          </w:tcPr>
          <w:p w:rsidR="00B7508E" w:rsidRPr="00AA45E9" w:rsidRDefault="00B7508E" w:rsidP="00FA3FAE">
            <w:pPr>
              <w:pStyle w:val="Listecouleur-Accent11"/>
              <w:numPr>
                <w:ilvl w:val="0"/>
                <w:numId w:val="72"/>
              </w:numPr>
              <w:ind w:left="167" w:hanging="142"/>
              <w:rPr>
                <w:rFonts w:ascii="Times New Roman" w:hAnsi="Times New Roman"/>
                <w:lang w:val="fr-FR"/>
              </w:rPr>
            </w:pPr>
            <w:r w:rsidRPr="00AA45E9">
              <w:rPr>
                <w:rFonts w:ascii="Times New Roman" w:hAnsi="Times New Roman"/>
                <w:lang w:val="fr-FR"/>
              </w:rPr>
              <w:t xml:space="preserve">Risque de nuisance à cause des </w:t>
            </w:r>
            <w:r>
              <w:rPr>
                <w:rFonts w:ascii="Times New Roman" w:hAnsi="Times New Roman"/>
                <w:lang w:val="fr-FR"/>
              </w:rPr>
              <w:t>différentes activités de maisonnerie ;</w:t>
            </w:r>
          </w:p>
          <w:p w:rsidR="000369CE" w:rsidRPr="00AA45E9" w:rsidRDefault="000369CE" w:rsidP="00FA3FAE">
            <w:pPr>
              <w:pStyle w:val="Listecouleur-Accent11"/>
              <w:numPr>
                <w:ilvl w:val="0"/>
                <w:numId w:val="72"/>
              </w:numPr>
              <w:ind w:left="167" w:hanging="142"/>
              <w:rPr>
                <w:rFonts w:ascii="Times New Roman" w:hAnsi="Times New Roman"/>
                <w:lang w:val="fr-FR"/>
              </w:rPr>
            </w:pPr>
            <w:r w:rsidRPr="00AA45E9">
              <w:rPr>
                <w:rFonts w:ascii="Times New Roman" w:hAnsi="Times New Roman"/>
                <w:lang w:val="fr-FR"/>
              </w:rPr>
              <w:t>Risque de modification du paysage en rapport avec les travaux,</w:t>
            </w:r>
          </w:p>
          <w:p w:rsidR="00BE7583" w:rsidRPr="00090486" w:rsidRDefault="000369CE" w:rsidP="00FA3FAE">
            <w:pPr>
              <w:pStyle w:val="Listecouleur-Accent11"/>
              <w:numPr>
                <w:ilvl w:val="0"/>
                <w:numId w:val="72"/>
              </w:numPr>
              <w:ind w:left="167" w:hanging="142"/>
              <w:rPr>
                <w:rFonts w:ascii="Times New Roman" w:hAnsi="Times New Roman"/>
                <w:lang w:val="fr-FR"/>
              </w:rPr>
            </w:pPr>
            <w:r w:rsidRPr="00AA45E9">
              <w:rPr>
                <w:rFonts w:ascii="Times New Roman" w:hAnsi="Times New Roman"/>
                <w:lang w:val="fr-FR"/>
              </w:rPr>
              <w:t>Risque de déstructuration et de pollution des sols ;</w:t>
            </w:r>
          </w:p>
        </w:tc>
      </w:tr>
      <w:tr w:rsidR="00BE7583" w:rsidRPr="00090486" w:rsidTr="007C6FAC">
        <w:tc>
          <w:tcPr>
            <w:tcW w:w="498" w:type="dxa"/>
            <w:vMerge w:val="restart"/>
            <w:shd w:val="clear" w:color="auto" w:fill="E2EFD9" w:themeFill="accent6" w:themeFillTint="33"/>
            <w:textDirection w:val="btLr"/>
          </w:tcPr>
          <w:p w:rsidR="00BE7583" w:rsidRPr="00090486" w:rsidRDefault="00BE7583" w:rsidP="000369CE">
            <w:pPr>
              <w:jc w:val="center"/>
              <w:rPr>
                <w:rFonts w:ascii="Times New Roman" w:hAnsi="Times New Roman" w:cs="Times New Roman"/>
                <w:b/>
                <w:color w:val="000000"/>
                <w:sz w:val="24"/>
                <w:szCs w:val="24"/>
              </w:rPr>
            </w:pPr>
            <w:r w:rsidRPr="00090486">
              <w:rPr>
                <w:rFonts w:ascii="Times New Roman" w:hAnsi="Times New Roman" w:cs="Times New Roman"/>
                <w:b/>
                <w:color w:val="000000"/>
                <w:sz w:val="24"/>
                <w:szCs w:val="24"/>
              </w:rPr>
              <w:t>Social</w:t>
            </w:r>
          </w:p>
        </w:tc>
        <w:tc>
          <w:tcPr>
            <w:tcW w:w="1210" w:type="dxa"/>
            <w:vMerge/>
            <w:shd w:val="clear" w:color="auto" w:fill="F2F2F2" w:themeFill="background1" w:themeFillShade="F2"/>
          </w:tcPr>
          <w:p w:rsidR="00BE7583" w:rsidRPr="007679AF" w:rsidRDefault="00BE7583" w:rsidP="000369CE">
            <w:pPr>
              <w:jc w:val="both"/>
              <w:rPr>
                <w:rFonts w:ascii="Times New Roman" w:hAnsi="Times New Roman" w:cs="Times New Roman"/>
                <w:color w:val="000000"/>
                <w:sz w:val="24"/>
                <w:szCs w:val="24"/>
              </w:rPr>
            </w:pPr>
          </w:p>
        </w:tc>
        <w:tc>
          <w:tcPr>
            <w:tcW w:w="805" w:type="dxa"/>
            <w:shd w:val="clear" w:color="auto" w:fill="E2EFD9" w:themeFill="accent6" w:themeFillTint="33"/>
            <w:vAlign w:val="center"/>
          </w:tcPr>
          <w:p w:rsidR="00BE7583" w:rsidRPr="007679AF" w:rsidRDefault="00BE7583" w:rsidP="007C6FAC">
            <w:pPr>
              <w:jc w:val="center"/>
              <w:rPr>
                <w:rFonts w:ascii="Times New Roman" w:hAnsi="Times New Roman" w:cs="Times New Roman"/>
                <w:b/>
                <w:color w:val="000000"/>
                <w:sz w:val="20"/>
                <w:szCs w:val="20"/>
              </w:rPr>
            </w:pPr>
            <w:r w:rsidRPr="007679AF">
              <w:rPr>
                <w:rFonts w:ascii="Times New Roman" w:hAnsi="Times New Roman" w:cs="Times New Roman"/>
                <w:b/>
                <w:color w:val="000000"/>
                <w:sz w:val="20"/>
                <w:szCs w:val="20"/>
              </w:rPr>
              <w:t>Effet</w:t>
            </w:r>
            <w:r w:rsidR="00F6660B">
              <w:rPr>
                <w:rFonts w:ascii="Times New Roman" w:hAnsi="Times New Roman" w:cs="Times New Roman"/>
                <w:b/>
                <w:color w:val="000000"/>
                <w:sz w:val="20"/>
                <w:szCs w:val="20"/>
              </w:rPr>
              <w:t>s</w:t>
            </w:r>
            <w:r w:rsidRPr="007679AF">
              <w:rPr>
                <w:rFonts w:ascii="Times New Roman" w:hAnsi="Times New Roman" w:cs="Times New Roman"/>
                <w:b/>
                <w:color w:val="000000"/>
                <w:sz w:val="20"/>
                <w:szCs w:val="20"/>
              </w:rPr>
              <w:t xml:space="preserve"> positif</w:t>
            </w:r>
            <w:r w:rsidR="00F6660B">
              <w:rPr>
                <w:rFonts w:ascii="Times New Roman" w:hAnsi="Times New Roman" w:cs="Times New Roman"/>
                <w:b/>
                <w:color w:val="000000"/>
                <w:sz w:val="20"/>
                <w:szCs w:val="20"/>
              </w:rPr>
              <w:t>s</w:t>
            </w:r>
          </w:p>
        </w:tc>
        <w:tc>
          <w:tcPr>
            <w:tcW w:w="8403" w:type="dxa"/>
          </w:tcPr>
          <w:p w:rsidR="00BE7583" w:rsidRPr="00BE7583" w:rsidRDefault="00BE7583" w:rsidP="00FA3FAE">
            <w:pPr>
              <w:pStyle w:val="Listecouleur-Accent11"/>
              <w:numPr>
                <w:ilvl w:val="0"/>
                <w:numId w:val="72"/>
              </w:numPr>
              <w:ind w:left="167" w:hanging="142"/>
              <w:rPr>
                <w:rFonts w:ascii="Times New Roman" w:hAnsi="Times New Roman"/>
                <w:lang w:val="fr-FR"/>
              </w:rPr>
            </w:pPr>
            <w:r w:rsidRPr="00BE7583">
              <w:rPr>
                <w:rFonts w:ascii="Times New Roman" w:hAnsi="Times New Roman"/>
                <w:lang w:val="fr-FR"/>
              </w:rPr>
              <w:t>Très bonne qualité de matériau</w:t>
            </w:r>
          </w:p>
          <w:p w:rsidR="00BE7583" w:rsidRPr="00BE7583" w:rsidRDefault="00BE7583" w:rsidP="00FA3FAE">
            <w:pPr>
              <w:pStyle w:val="Listecouleur-Accent11"/>
              <w:numPr>
                <w:ilvl w:val="0"/>
                <w:numId w:val="72"/>
              </w:numPr>
              <w:ind w:left="167" w:hanging="142"/>
              <w:rPr>
                <w:rFonts w:ascii="Times New Roman" w:hAnsi="Times New Roman"/>
                <w:lang w:val="fr-FR"/>
              </w:rPr>
            </w:pPr>
            <w:r w:rsidRPr="00BE7583">
              <w:rPr>
                <w:rFonts w:ascii="Times New Roman" w:hAnsi="Times New Roman"/>
                <w:lang w:val="fr-FR"/>
              </w:rPr>
              <w:t>Grande liberté pour donner les formes du bassin</w:t>
            </w:r>
          </w:p>
          <w:p w:rsidR="00BE7583" w:rsidRPr="00BE7583" w:rsidRDefault="00BE7583" w:rsidP="00FA3FAE">
            <w:pPr>
              <w:pStyle w:val="Listecouleur-Accent11"/>
              <w:numPr>
                <w:ilvl w:val="0"/>
                <w:numId w:val="72"/>
              </w:numPr>
              <w:ind w:left="167" w:hanging="142"/>
              <w:rPr>
                <w:rFonts w:ascii="Times New Roman" w:hAnsi="Times New Roman"/>
                <w:lang w:val="fr-FR"/>
              </w:rPr>
            </w:pPr>
            <w:r w:rsidRPr="00BE7583">
              <w:rPr>
                <w:rFonts w:ascii="Times New Roman" w:hAnsi="Times New Roman"/>
                <w:lang w:val="fr-FR"/>
              </w:rPr>
              <w:t>Solidité maximum de la résine polyester / fibre de verre dans le temps</w:t>
            </w:r>
          </w:p>
          <w:p w:rsidR="000369CE" w:rsidRDefault="000369CE" w:rsidP="00FA3FAE">
            <w:pPr>
              <w:pStyle w:val="Listecouleur-Accent11"/>
              <w:numPr>
                <w:ilvl w:val="0"/>
                <w:numId w:val="72"/>
              </w:numPr>
              <w:ind w:left="167" w:hanging="142"/>
              <w:rPr>
                <w:rFonts w:ascii="Times New Roman" w:hAnsi="Times New Roman"/>
                <w:lang w:val="fr-FR"/>
              </w:rPr>
            </w:pPr>
            <w:r>
              <w:rPr>
                <w:rFonts w:ascii="Times New Roman" w:hAnsi="Times New Roman"/>
                <w:lang w:val="fr-FR"/>
              </w:rPr>
              <w:t>A</w:t>
            </w:r>
            <w:r w:rsidRPr="00AA45E9">
              <w:rPr>
                <w:rFonts w:ascii="Times New Roman" w:hAnsi="Times New Roman"/>
                <w:lang w:val="fr-FR"/>
              </w:rPr>
              <w:t>mélioration de la qualité de vie des populations</w:t>
            </w:r>
            <w:r>
              <w:rPr>
                <w:rFonts w:ascii="Times New Roman" w:hAnsi="Times New Roman"/>
                <w:lang w:val="fr-FR"/>
              </w:rPr>
              <w:t xml:space="preserve"> </w:t>
            </w:r>
            <w:r w:rsidRPr="00AA45E9">
              <w:rPr>
                <w:rFonts w:ascii="Times New Roman" w:hAnsi="Times New Roman"/>
                <w:lang w:val="fr-FR"/>
              </w:rPr>
              <w:t>;</w:t>
            </w:r>
          </w:p>
          <w:p w:rsidR="000369CE" w:rsidRPr="00093C8B" w:rsidRDefault="000369CE" w:rsidP="00FA3FAE">
            <w:pPr>
              <w:pStyle w:val="Listecouleur-Accent11"/>
              <w:numPr>
                <w:ilvl w:val="0"/>
                <w:numId w:val="72"/>
              </w:numPr>
              <w:ind w:left="167" w:hanging="142"/>
              <w:rPr>
                <w:rFonts w:ascii="Times New Roman" w:hAnsi="Times New Roman"/>
                <w:lang w:val="fr-FR"/>
              </w:rPr>
            </w:pPr>
            <w:r w:rsidRPr="00093C8B">
              <w:rPr>
                <w:rFonts w:ascii="Times New Roman" w:hAnsi="Times New Roman"/>
                <w:lang w:val="fr-FR"/>
              </w:rPr>
              <w:t>Amélioration de la performance de l’EAGB</w:t>
            </w:r>
            <w:r>
              <w:rPr>
                <w:rFonts w:ascii="Times New Roman" w:hAnsi="Times New Roman"/>
                <w:lang w:val="fr-FR"/>
              </w:rPr>
              <w:t> ;</w:t>
            </w:r>
          </w:p>
          <w:p w:rsidR="000369CE" w:rsidRPr="00816224" w:rsidRDefault="000369CE" w:rsidP="00FA3FAE">
            <w:pPr>
              <w:pStyle w:val="Listecouleur-Accent11"/>
              <w:numPr>
                <w:ilvl w:val="0"/>
                <w:numId w:val="72"/>
              </w:numPr>
              <w:ind w:left="167" w:hanging="142"/>
              <w:rPr>
                <w:rFonts w:ascii="Times New Roman" w:hAnsi="Times New Roman"/>
                <w:lang w:val="fr-FR"/>
              </w:rPr>
            </w:pPr>
            <w:r w:rsidRPr="00816224">
              <w:rPr>
                <w:rFonts w:ascii="Times New Roman" w:hAnsi="Times New Roman"/>
                <w:lang w:val="fr-FR"/>
              </w:rPr>
              <w:t xml:space="preserve">Lutte contre le chômage et la pauvreté dans le pays ; </w:t>
            </w:r>
          </w:p>
          <w:p w:rsidR="00BE7583" w:rsidRPr="000369CE" w:rsidRDefault="000369CE" w:rsidP="00FA3FAE">
            <w:pPr>
              <w:pStyle w:val="Listecouleur-Accent11"/>
              <w:numPr>
                <w:ilvl w:val="0"/>
                <w:numId w:val="72"/>
              </w:numPr>
              <w:ind w:left="167" w:hanging="142"/>
              <w:rPr>
                <w:rFonts w:ascii="Times New Roman" w:hAnsi="Times New Roman"/>
                <w:lang w:val="fr-FR"/>
              </w:rPr>
            </w:pPr>
            <w:r>
              <w:rPr>
                <w:rFonts w:ascii="Times New Roman" w:hAnsi="Times New Roman"/>
                <w:lang w:val="fr-FR"/>
              </w:rPr>
              <w:t>A</w:t>
            </w:r>
            <w:r w:rsidRPr="00AA45E9">
              <w:rPr>
                <w:rFonts w:ascii="Times New Roman" w:hAnsi="Times New Roman"/>
                <w:lang w:val="fr-FR"/>
              </w:rPr>
              <w:t xml:space="preserve">ugmentation de stabilité sociale </w:t>
            </w:r>
            <w:r>
              <w:rPr>
                <w:rFonts w:ascii="Times New Roman" w:hAnsi="Times New Roman"/>
                <w:lang w:val="fr-FR"/>
              </w:rPr>
              <w:t xml:space="preserve">et politique du pays </w:t>
            </w:r>
            <w:r w:rsidRPr="00AA45E9">
              <w:rPr>
                <w:rFonts w:ascii="Times New Roman" w:hAnsi="Times New Roman"/>
                <w:lang w:val="fr-FR"/>
              </w:rPr>
              <w:t>;</w:t>
            </w:r>
          </w:p>
        </w:tc>
      </w:tr>
      <w:tr w:rsidR="00BE7583" w:rsidRPr="00090486" w:rsidTr="007C6FAC">
        <w:tc>
          <w:tcPr>
            <w:tcW w:w="498" w:type="dxa"/>
            <w:vMerge/>
            <w:shd w:val="clear" w:color="auto" w:fill="E2EFD9" w:themeFill="accent6" w:themeFillTint="33"/>
            <w:textDirection w:val="btLr"/>
          </w:tcPr>
          <w:p w:rsidR="00BE7583" w:rsidRPr="00090486" w:rsidRDefault="00BE7583" w:rsidP="000369CE">
            <w:pPr>
              <w:jc w:val="center"/>
              <w:rPr>
                <w:rFonts w:ascii="Times New Roman" w:hAnsi="Times New Roman" w:cs="Times New Roman"/>
                <w:b/>
                <w:color w:val="000000"/>
                <w:sz w:val="24"/>
                <w:szCs w:val="24"/>
              </w:rPr>
            </w:pPr>
          </w:p>
        </w:tc>
        <w:tc>
          <w:tcPr>
            <w:tcW w:w="1210" w:type="dxa"/>
            <w:vMerge/>
            <w:shd w:val="clear" w:color="auto" w:fill="F2F2F2" w:themeFill="background1" w:themeFillShade="F2"/>
          </w:tcPr>
          <w:p w:rsidR="00BE7583" w:rsidRPr="007679AF" w:rsidRDefault="00BE7583" w:rsidP="000369CE">
            <w:pPr>
              <w:jc w:val="both"/>
              <w:rPr>
                <w:rFonts w:ascii="Times New Roman" w:hAnsi="Times New Roman" w:cs="Times New Roman"/>
                <w:color w:val="000000"/>
                <w:sz w:val="24"/>
                <w:szCs w:val="24"/>
              </w:rPr>
            </w:pPr>
          </w:p>
        </w:tc>
        <w:tc>
          <w:tcPr>
            <w:tcW w:w="805" w:type="dxa"/>
            <w:shd w:val="clear" w:color="auto" w:fill="FFF2CC" w:themeFill="accent4" w:themeFillTint="33"/>
            <w:vAlign w:val="center"/>
          </w:tcPr>
          <w:p w:rsidR="00BE7583" w:rsidRPr="007679AF" w:rsidRDefault="00BE7583" w:rsidP="007C6FAC">
            <w:pPr>
              <w:jc w:val="center"/>
              <w:rPr>
                <w:rFonts w:ascii="Times New Roman" w:hAnsi="Times New Roman" w:cs="Times New Roman"/>
                <w:b/>
                <w:color w:val="000000"/>
                <w:sz w:val="20"/>
                <w:szCs w:val="20"/>
              </w:rPr>
            </w:pPr>
            <w:r w:rsidRPr="007679AF">
              <w:rPr>
                <w:rFonts w:ascii="Times New Roman" w:hAnsi="Times New Roman" w:cs="Times New Roman"/>
                <w:b/>
                <w:color w:val="000000"/>
                <w:sz w:val="20"/>
                <w:szCs w:val="20"/>
              </w:rPr>
              <w:t>Effet</w:t>
            </w:r>
            <w:r w:rsidR="00F6660B">
              <w:rPr>
                <w:rFonts w:ascii="Times New Roman" w:hAnsi="Times New Roman" w:cs="Times New Roman"/>
                <w:b/>
                <w:color w:val="000000"/>
                <w:sz w:val="20"/>
                <w:szCs w:val="20"/>
              </w:rPr>
              <w:t>s</w:t>
            </w:r>
            <w:r w:rsidRPr="007679AF">
              <w:rPr>
                <w:rFonts w:ascii="Times New Roman" w:hAnsi="Times New Roman" w:cs="Times New Roman"/>
                <w:b/>
                <w:color w:val="000000"/>
                <w:sz w:val="20"/>
                <w:szCs w:val="20"/>
              </w:rPr>
              <w:t xml:space="preserve"> négatif</w:t>
            </w:r>
            <w:r w:rsidR="00F6660B">
              <w:rPr>
                <w:rFonts w:ascii="Times New Roman" w:hAnsi="Times New Roman" w:cs="Times New Roman"/>
                <w:b/>
                <w:color w:val="000000"/>
                <w:sz w:val="20"/>
                <w:szCs w:val="20"/>
              </w:rPr>
              <w:t>s</w:t>
            </w:r>
          </w:p>
        </w:tc>
        <w:tc>
          <w:tcPr>
            <w:tcW w:w="8403" w:type="dxa"/>
          </w:tcPr>
          <w:p w:rsidR="00BE7583" w:rsidRPr="00BE7583" w:rsidRDefault="00BE7583" w:rsidP="00FA3FAE">
            <w:pPr>
              <w:pStyle w:val="Listecouleur-Accent11"/>
              <w:numPr>
                <w:ilvl w:val="0"/>
                <w:numId w:val="72"/>
              </w:numPr>
              <w:ind w:left="167" w:hanging="142"/>
              <w:rPr>
                <w:rFonts w:ascii="Times New Roman" w:hAnsi="Times New Roman"/>
                <w:lang w:val="fr-FR"/>
              </w:rPr>
            </w:pPr>
            <w:r w:rsidRPr="00B7508E">
              <w:rPr>
                <w:rFonts w:ascii="Times New Roman" w:hAnsi="Times New Roman"/>
                <w:lang w:val="fr-FR"/>
              </w:rPr>
              <w:t>Température de pose de la résine polyester / fibre de verre comprise entre 15 et 25 degrés et par temps sec</w:t>
            </w:r>
            <w:r w:rsidR="00EC49FD" w:rsidRPr="00B7508E">
              <w:rPr>
                <w:rFonts w:ascii="Times New Roman" w:hAnsi="Times New Roman"/>
                <w:lang w:val="fr-FR"/>
              </w:rPr>
              <w:t> ;</w:t>
            </w:r>
          </w:p>
          <w:p w:rsidR="00BE7583" w:rsidRPr="00BE7583" w:rsidRDefault="00BE7583" w:rsidP="00FA3FAE">
            <w:pPr>
              <w:pStyle w:val="Listecouleur-Accent11"/>
              <w:numPr>
                <w:ilvl w:val="0"/>
                <w:numId w:val="72"/>
              </w:numPr>
              <w:ind w:left="167" w:hanging="142"/>
              <w:rPr>
                <w:rFonts w:ascii="Times New Roman" w:hAnsi="Times New Roman"/>
                <w:lang w:val="fr-FR"/>
              </w:rPr>
            </w:pPr>
            <w:r w:rsidRPr="00B7508E">
              <w:rPr>
                <w:rFonts w:ascii="Times New Roman" w:hAnsi="Times New Roman"/>
                <w:lang w:val="fr-FR"/>
              </w:rPr>
              <w:t>Mise en œuvre difficile (elle doit être réalisée par un professionnel)</w:t>
            </w:r>
            <w:r w:rsidR="00EC49FD" w:rsidRPr="00B7508E">
              <w:rPr>
                <w:rFonts w:ascii="Times New Roman" w:hAnsi="Times New Roman"/>
                <w:lang w:val="fr-FR"/>
              </w:rPr>
              <w:t> ;</w:t>
            </w:r>
          </w:p>
          <w:p w:rsidR="000369CE" w:rsidRDefault="00BE7583" w:rsidP="00FA3FAE">
            <w:pPr>
              <w:pStyle w:val="Listecouleur-Accent11"/>
              <w:numPr>
                <w:ilvl w:val="0"/>
                <w:numId w:val="72"/>
              </w:numPr>
              <w:ind w:left="167" w:hanging="142"/>
              <w:rPr>
                <w:rFonts w:ascii="Times New Roman" w:hAnsi="Times New Roman"/>
                <w:lang w:val="fr-FR"/>
              </w:rPr>
            </w:pPr>
            <w:r w:rsidRPr="00B7508E">
              <w:rPr>
                <w:rFonts w:ascii="Times New Roman" w:hAnsi="Times New Roman"/>
                <w:lang w:val="fr-FR"/>
              </w:rPr>
              <w:t>Besoin d’un support</w:t>
            </w:r>
            <w:r w:rsidR="00EC49FD" w:rsidRPr="00B7508E">
              <w:rPr>
                <w:rFonts w:ascii="Times New Roman" w:hAnsi="Times New Roman"/>
                <w:lang w:val="fr-FR"/>
              </w:rPr>
              <w:t xml:space="preserve"> en béton ou métal et assurent l'étanchéité du bassin ;</w:t>
            </w:r>
          </w:p>
          <w:p w:rsidR="000369CE" w:rsidRPr="000369CE" w:rsidRDefault="000369CE" w:rsidP="00FA3FAE">
            <w:pPr>
              <w:pStyle w:val="Listecouleur-Accent11"/>
              <w:numPr>
                <w:ilvl w:val="0"/>
                <w:numId w:val="72"/>
              </w:numPr>
              <w:ind w:left="167" w:hanging="142"/>
              <w:rPr>
                <w:rFonts w:ascii="Times New Roman" w:hAnsi="Times New Roman"/>
                <w:lang w:val="fr-FR"/>
              </w:rPr>
            </w:pPr>
            <w:r w:rsidRPr="000369CE">
              <w:rPr>
                <w:rFonts w:ascii="Times New Roman" w:hAnsi="Times New Roman"/>
                <w:lang w:val="fr-FR"/>
              </w:rPr>
              <w:t>Nuisances sur un court laps de temps auprès des riverains </w:t>
            </w:r>
          </w:p>
          <w:p w:rsidR="000369CE" w:rsidRDefault="000369CE" w:rsidP="00FA3FAE">
            <w:pPr>
              <w:pStyle w:val="Listecouleur-Accent11"/>
              <w:numPr>
                <w:ilvl w:val="0"/>
                <w:numId w:val="72"/>
              </w:numPr>
              <w:ind w:left="167" w:hanging="142"/>
              <w:rPr>
                <w:rFonts w:ascii="Times New Roman" w:hAnsi="Times New Roman"/>
                <w:lang w:val="fr-FR"/>
              </w:rPr>
            </w:pPr>
            <w:r w:rsidRPr="00AA45E9">
              <w:rPr>
                <w:rFonts w:ascii="Times New Roman" w:hAnsi="Times New Roman"/>
                <w:lang w:val="fr-FR"/>
              </w:rPr>
              <w:t>Risque de destruction des biens publics ou privés lors des travaux ;</w:t>
            </w:r>
          </w:p>
          <w:p w:rsidR="000369CE" w:rsidRDefault="000369CE" w:rsidP="00FA3FAE">
            <w:pPr>
              <w:pStyle w:val="Listecouleur-Accent11"/>
              <w:numPr>
                <w:ilvl w:val="0"/>
                <w:numId w:val="72"/>
              </w:numPr>
              <w:ind w:left="167" w:hanging="142"/>
              <w:rPr>
                <w:rFonts w:ascii="Times New Roman" w:hAnsi="Times New Roman"/>
                <w:lang w:val="fr-FR"/>
              </w:rPr>
            </w:pPr>
            <w:r w:rsidRPr="000369CE">
              <w:rPr>
                <w:rFonts w:ascii="Times New Roman" w:hAnsi="Times New Roman"/>
                <w:lang w:val="fr-FR"/>
              </w:rPr>
              <w:t>Risques d’accidents de circulation durant les travaux de réalisation ;</w:t>
            </w:r>
          </w:p>
          <w:p w:rsidR="00EC49FD" w:rsidRPr="000369CE" w:rsidRDefault="000369CE" w:rsidP="00FA3FAE">
            <w:pPr>
              <w:pStyle w:val="Listecouleur-Accent11"/>
              <w:numPr>
                <w:ilvl w:val="0"/>
                <w:numId w:val="72"/>
              </w:numPr>
              <w:ind w:left="167" w:hanging="142"/>
              <w:rPr>
                <w:rFonts w:ascii="Times New Roman" w:hAnsi="Times New Roman"/>
                <w:lang w:val="fr-FR"/>
              </w:rPr>
            </w:pPr>
            <w:r w:rsidRPr="000369CE">
              <w:rPr>
                <w:rFonts w:ascii="Times New Roman" w:hAnsi="Times New Roman"/>
                <w:lang w:val="fr-FR"/>
              </w:rPr>
              <w:t>Augmentation de l’insalubrité liée à la mauvaise gestion des eaux usées;</w:t>
            </w:r>
          </w:p>
        </w:tc>
      </w:tr>
      <w:tr w:rsidR="00BE7583" w:rsidRPr="00090486" w:rsidTr="007C6FAC">
        <w:tc>
          <w:tcPr>
            <w:tcW w:w="498" w:type="dxa"/>
            <w:vMerge w:val="restart"/>
            <w:shd w:val="clear" w:color="auto" w:fill="E2EFD9" w:themeFill="accent6" w:themeFillTint="33"/>
            <w:textDirection w:val="btLr"/>
          </w:tcPr>
          <w:p w:rsidR="00BE7583" w:rsidRPr="00090486" w:rsidRDefault="00BE7583" w:rsidP="000369CE">
            <w:pPr>
              <w:jc w:val="center"/>
              <w:rPr>
                <w:rFonts w:ascii="Times New Roman" w:hAnsi="Times New Roman" w:cs="Times New Roman"/>
                <w:b/>
                <w:color w:val="000000"/>
                <w:sz w:val="24"/>
                <w:szCs w:val="24"/>
              </w:rPr>
            </w:pPr>
            <w:r w:rsidRPr="00090486">
              <w:rPr>
                <w:rFonts w:ascii="Times New Roman" w:hAnsi="Times New Roman" w:cs="Times New Roman"/>
                <w:b/>
                <w:color w:val="000000"/>
                <w:sz w:val="24"/>
                <w:szCs w:val="24"/>
              </w:rPr>
              <w:t>Economique</w:t>
            </w:r>
          </w:p>
        </w:tc>
        <w:tc>
          <w:tcPr>
            <w:tcW w:w="1210" w:type="dxa"/>
            <w:vMerge/>
            <w:shd w:val="clear" w:color="auto" w:fill="F2F2F2" w:themeFill="background1" w:themeFillShade="F2"/>
          </w:tcPr>
          <w:p w:rsidR="00BE7583" w:rsidRPr="007679AF" w:rsidRDefault="00BE7583" w:rsidP="000369CE">
            <w:pPr>
              <w:jc w:val="both"/>
              <w:rPr>
                <w:rFonts w:ascii="Times New Roman" w:hAnsi="Times New Roman" w:cs="Times New Roman"/>
                <w:color w:val="000000"/>
                <w:sz w:val="24"/>
                <w:szCs w:val="24"/>
              </w:rPr>
            </w:pPr>
          </w:p>
        </w:tc>
        <w:tc>
          <w:tcPr>
            <w:tcW w:w="805" w:type="dxa"/>
            <w:shd w:val="clear" w:color="auto" w:fill="E2EFD9" w:themeFill="accent6" w:themeFillTint="33"/>
            <w:vAlign w:val="center"/>
          </w:tcPr>
          <w:p w:rsidR="00BE7583" w:rsidRPr="007679AF" w:rsidRDefault="00BE7583" w:rsidP="007C6FAC">
            <w:pPr>
              <w:jc w:val="center"/>
              <w:rPr>
                <w:rFonts w:ascii="Times New Roman" w:hAnsi="Times New Roman" w:cs="Times New Roman"/>
                <w:b/>
                <w:color w:val="000000"/>
                <w:sz w:val="20"/>
                <w:szCs w:val="20"/>
              </w:rPr>
            </w:pPr>
            <w:r w:rsidRPr="007679AF">
              <w:rPr>
                <w:rFonts w:ascii="Times New Roman" w:hAnsi="Times New Roman" w:cs="Times New Roman"/>
                <w:b/>
                <w:color w:val="000000"/>
                <w:sz w:val="20"/>
                <w:szCs w:val="20"/>
              </w:rPr>
              <w:t>Effet</w:t>
            </w:r>
            <w:r w:rsidR="00F6660B">
              <w:rPr>
                <w:rFonts w:ascii="Times New Roman" w:hAnsi="Times New Roman" w:cs="Times New Roman"/>
                <w:b/>
                <w:color w:val="000000"/>
                <w:sz w:val="20"/>
                <w:szCs w:val="20"/>
              </w:rPr>
              <w:t>s</w:t>
            </w:r>
            <w:r w:rsidRPr="007679AF">
              <w:rPr>
                <w:rFonts w:ascii="Times New Roman" w:hAnsi="Times New Roman" w:cs="Times New Roman"/>
                <w:b/>
                <w:color w:val="000000"/>
                <w:sz w:val="20"/>
                <w:szCs w:val="20"/>
              </w:rPr>
              <w:t xml:space="preserve"> positif</w:t>
            </w:r>
            <w:r w:rsidR="00F6660B">
              <w:rPr>
                <w:rFonts w:ascii="Times New Roman" w:hAnsi="Times New Roman" w:cs="Times New Roman"/>
                <w:b/>
                <w:color w:val="000000"/>
                <w:sz w:val="20"/>
                <w:szCs w:val="20"/>
              </w:rPr>
              <w:t>s</w:t>
            </w:r>
          </w:p>
        </w:tc>
        <w:tc>
          <w:tcPr>
            <w:tcW w:w="8403" w:type="dxa"/>
          </w:tcPr>
          <w:p w:rsidR="00EC49FD" w:rsidRPr="00090486" w:rsidRDefault="00EC49FD" w:rsidP="00FA3FAE">
            <w:pPr>
              <w:pStyle w:val="Listecouleur-Accent11"/>
              <w:numPr>
                <w:ilvl w:val="0"/>
                <w:numId w:val="72"/>
              </w:numPr>
              <w:ind w:left="167" w:hanging="142"/>
              <w:rPr>
                <w:rFonts w:ascii="Times New Roman" w:hAnsi="Times New Roman"/>
                <w:lang w:val="fr-FR"/>
              </w:rPr>
            </w:pPr>
            <w:r w:rsidRPr="00090486">
              <w:rPr>
                <w:rFonts w:ascii="Times New Roman" w:hAnsi="Times New Roman"/>
                <w:lang w:val="fr-FR"/>
              </w:rPr>
              <w:t>Augmentation des ressources économiques pour le EAGB ;</w:t>
            </w:r>
          </w:p>
          <w:p w:rsidR="00EC49FD" w:rsidRPr="00090486" w:rsidRDefault="00EC49FD" w:rsidP="00FA3FAE">
            <w:pPr>
              <w:pStyle w:val="Listecouleur-Accent11"/>
              <w:numPr>
                <w:ilvl w:val="0"/>
                <w:numId w:val="72"/>
              </w:numPr>
              <w:ind w:left="167" w:hanging="142"/>
              <w:rPr>
                <w:rFonts w:ascii="Times New Roman" w:hAnsi="Times New Roman"/>
                <w:lang w:val="fr-FR"/>
              </w:rPr>
            </w:pPr>
            <w:r w:rsidRPr="00090486">
              <w:rPr>
                <w:rFonts w:ascii="Times New Roman" w:hAnsi="Times New Roman"/>
                <w:lang w:val="fr-FR"/>
              </w:rPr>
              <w:t>Regain dynamique par rapport aux investissements privés ;</w:t>
            </w:r>
          </w:p>
          <w:p w:rsidR="00BE7583" w:rsidRPr="007C6FAC" w:rsidRDefault="00EC49FD" w:rsidP="00FA3FAE">
            <w:pPr>
              <w:pStyle w:val="Listecouleur-Accent11"/>
              <w:numPr>
                <w:ilvl w:val="0"/>
                <w:numId w:val="72"/>
              </w:numPr>
              <w:ind w:left="167" w:hanging="142"/>
              <w:rPr>
                <w:rFonts w:ascii="Times New Roman" w:hAnsi="Times New Roman"/>
                <w:lang w:val="fr-FR"/>
              </w:rPr>
            </w:pPr>
            <w:r w:rsidRPr="00090486">
              <w:rPr>
                <w:rFonts w:ascii="Times New Roman" w:hAnsi="Times New Roman"/>
                <w:lang w:val="fr-FR"/>
              </w:rPr>
              <w:t>Réaction d’emplois temporaires par le recrutement des ouvriers locaux ;</w:t>
            </w:r>
          </w:p>
        </w:tc>
      </w:tr>
      <w:tr w:rsidR="00BE7583" w:rsidRPr="007679AF" w:rsidTr="007C6FAC">
        <w:tc>
          <w:tcPr>
            <w:tcW w:w="498" w:type="dxa"/>
            <w:vMerge/>
            <w:shd w:val="clear" w:color="auto" w:fill="E2EFD9" w:themeFill="accent6" w:themeFillTint="33"/>
          </w:tcPr>
          <w:p w:rsidR="00BE7583" w:rsidRPr="007679AF" w:rsidRDefault="00BE7583" w:rsidP="000369CE">
            <w:pPr>
              <w:jc w:val="both"/>
              <w:rPr>
                <w:rFonts w:ascii="Times New Roman" w:hAnsi="Times New Roman" w:cs="Times New Roman"/>
                <w:color w:val="000000"/>
                <w:sz w:val="24"/>
                <w:szCs w:val="24"/>
              </w:rPr>
            </w:pPr>
          </w:p>
        </w:tc>
        <w:tc>
          <w:tcPr>
            <w:tcW w:w="1210" w:type="dxa"/>
            <w:vMerge/>
            <w:shd w:val="clear" w:color="auto" w:fill="F2F2F2" w:themeFill="background1" w:themeFillShade="F2"/>
          </w:tcPr>
          <w:p w:rsidR="00BE7583" w:rsidRPr="007679AF" w:rsidRDefault="00BE7583" w:rsidP="000369CE">
            <w:pPr>
              <w:jc w:val="both"/>
              <w:rPr>
                <w:rFonts w:ascii="Times New Roman" w:hAnsi="Times New Roman" w:cs="Times New Roman"/>
                <w:color w:val="000000"/>
                <w:sz w:val="24"/>
                <w:szCs w:val="24"/>
              </w:rPr>
            </w:pPr>
          </w:p>
        </w:tc>
        <w:tc>
          <w:tcPr>
            <w:tcW w:w="805" w:type="dxa"/>
            <w:shd w:val="clear" w:color="auto" w:fill="FFF2CC" w:themeFill="accent4" w:themeFillTint="33"/>
            <w:vAlign w:val="center"/>
          </w:tcPr>
          <w:p w:rsidR="00BE7583" w:rsidRPr="007679AF" w:rsidRDefault="00BE7583" w:rsidP="007C6FAC">
            <w:pPr>
              <w:jc w:val="center"/>
              <w:rPr>
                <w:rFonts w:ascii="Times New Roman" w:hAnsi="Times New Roman" w:cs="Times New Roman"/>
                <w:b/>
                <w:color w:val="000000"/>
                <w:sz w:val="20"/>
                <w:szCs w:val="20"/>
              </w:rPr>
            </w:pPr>
            <w:r w:rsidRPr="007679AF">
              <w:rPr>
                <w:rFonts w:ascii="Times New Roman" w:hAnsi="Times New Roman" w:cs="Times New Roman"/>
                <w:b/>
                <w:color w:val="000000"/>
                <w:sz w:val="20"/>
                <w:szCs w:val="20"/>
              </w:rPr>
              <w:t>Effet</w:t>
            </w:r>
            <w:r w:rsidR="00F6660B">
              <w:rPr>
                <w:rFonts w:ascii="Times New Roman" w:hAnsi="Times New Roman" w:cs="Times New Roman"/>
                <w:b/>
                <w:color w:val="000000"/>
                <w:sz w:val="20"/>
                <w:szCs w:val="20"/>
              </w:rPr>
              <w:t>s</w:t>
            </w:r>
            <w:r w:rsidRPr="007679AF">
              <w:rPr>
                <w:rFonts w:ascii="Times New Roman" w:hAnsi="Times New Roman" w:cs="Times New Roman"/>
                <w:b/>
                <w:color w:val="000000"/>
                <w:sz w:val="20"/>
                <w:szCs w:val="20"/>
              </w:rPr>
              <w:t xml:space="preserve"> négatif</w:t>
            </w:r>
            <w:r w:rsidR="00F6660B">
              <w:rPr>
                <w:rFonts w:ascii="Times New Roman" w:hAnsi="Times New Roman" w:cs="Times New Roman"/>
                <w:b/>
                <w:color w:val="000000"/>
                <w:sz w:val="20"/>
                <w:szCs w:val="20"/>
              </w:rPr>
              <w:t>s</w:t>
            </w:r>
          </w:p>
        </w:tc>
        <w:tc>
          <w:tcPr>
            <w:tcW w:w="8403" w:type="dxa"/>
          </w:tcPr>
          <w:p w:rsidR="00BE7583" w:rsidRPr="00B7508E" w:rsidRDefault="00BE7583" w:rsidP="00FA3FAE">
            <w:pPr>
              <w:pStyle w:val="Listecouleur-Accent11"/>
              <w:numPr>
                <w:ilvl w:val="0"/>
                <w:numId w:val="72"/>
              </w:numPr>
              <w:ind w:left="167" w:hanging="142"/>
              <w:rPr>
                <w:rFonts w:ascii="Times New Roman" w:hAnsi="Times New Roman"/>
                <w:lang w:val="fr-FR"/>
              </w:rPr>
            </w:pPr>
            <w:r w:rsidRPr="00B7508E">
              <w:rPr>
                <w:rFonts w:ascii="Times New Roman" w:hAnsi="Times New Roman"/>
                <w:lang w:val="fr-FR"/>
              </w:rPr>
              <w:t>Coût très élevé de la résine polyester / fibre de verre (fournitures et temps de réalisation),</w:t>
            </w:r>
          </w:p>
          <w:p w:rsidR="00B7508E" w:rsidRPr="00B7508E" w:rsidRDefault="00B7508E" w:rsidP="00FA3FAE">
            <w:pPr>
              <w:pStyle w:val="Listecouleur-Accent11"/>
              <w:numPr>
                <w:ilvl w:val="0"/>
                <w:numId w:val="72"/>
              </w:numPr>
              <w:ind w:left="167" w:hanging="142"/>
              <w:rPr>
                <w:rFonts w:ascii="Times New Roman" w:hAnsi="Times New Roman"/>
                <w:lang w:val="fr-FR"/>
              </w:rPr>
            </w:pPr>
            <w:r w:rsidRPr="00B7508E">
              <w:rPr>
                <w:rFonts w:ascii="Times New Roman" w:hAnsi="Times New Roman"/>
                <w:lang w:val="fr-FR"/>
              </w:rPr>
              <w:t xml:space="preserve">Cout d’entretien et de maintenance très chère ; </w:t>
            </w:r>
          </w:p>
        </w:tc>
      </w:tr>
      <w:tr w:rsidR="007C6FAC" w:rsidRPr="007679AF" w:rsidTr="007C6FAC">
        <w:tc>
          <w:tcPr>
            <w:tcW w:w="10916" w:type="dxa"/>
            <w:gridSpan w:val="4"/>
            <w:shd w:val="clear" w:color="auto" w:fill="FFFFFF" w:themeFill="background1"/>
          </w:tcPr>
          <w:p w:rsidR="007C6FAC" w:rsidRPr="007C6FAC" w:rsidRDefault="007C6FAC" w:rsidP="007C6FAC">
            <w:pPr>
              <w:pStyle w:val="Listecouleur-Accent11"/>
              <w:ind w:left="167"/>
              <w:rPr>
                <w:rFonts w:ascii="Times New Roman" w:hAnsi="Times New Roman"/>
                <w:sz w:val="6"/>
                <w:szCs w:val="6"/>
                <w:lang w:val="fr-FR"/>
              </w:rPr>
            </w:pPr>
          </w:p>
        </w:tc>
      </w:tr>
      <w:tr w:rsidR="007C6FAC" w:rsidRPr="007679AF" w:rsidTr="00BE5322">
        <w:tc>
          <w:tcPr>
            <w:tcW w:w="498" w:type="dxa"/>
            <w:vMerge w:val="restart"/>
            <w:shd w:val="clear" w:color="auto" w:fill="E2EFD9" w:themeFill="accent6" w:themeFillTint="33"/>
            <w:textDirection w:val="btLr"/>
          </w:tcPr>
          <w:p w:rsidR="007C6FAC" w:rsidRPr="00090486" w:rsidRDefault="007C6FAC" w:rsidP="000C12E5">
            <w:pPr>
              <w:jc w:val="center"/>
              <w:rPr>
                <w:rFonts w:ascii="Times New Roman" w:hAnsi="Times New Roman" w:cs="Times New Roman"/>
                <w:b/>
                <w:color w:val="000000"/>
                <w:sz w:val="24"/>
                <w:szCs w:val="24"/>
              </w:rPr>
            </w:pPr>
            <w:r w:rsidRPr="00090486">
              <w:rPr>
                <w:rFonts w:ascii="Times New Roman" w:hAnsi="Times New Roman" w:cs="Times New Roman"/>
                <w:b/>
                <w:color w:val="000000"/>
                <w:sz w:val="24"/>
                <w:szCs w:val="24"/>
              </w:rPr>
              <w:t>Environnement</w:t>
            </w:r>
          </w:p>
        </w:tc>
        <w:tc>
          <w:tcPr>
            <w:tcW w:w="1210" w:type="dxa"/>
            <w:vMerge w:val="restart"/>
            <w:shd w:val="clear" w:color="auto" w:fill="F2F2F2" w:themeFill="background1" w:themeFillShade="F2"/>
            <w:vAlign w:val="center"/>
          </w:tcPr>
          <w:p w:rsidR="007C6FAC" w:rsidRPr="00977901" w:rsidRDefault="007C6FAC" w:rsidP="00BE5322">
            <w:pPr>
              <w:jc w:val="center"/>
              <w:rPr>
                <w:rFonts w:ascii="Times New Roman" w:hAnsi="Times New Roman"/>
                <w:b/>
                <w:sz w:val="24"/>
                <w:szCs w:val="24"/>
              </w:rPr>
            </w:pPr>
            <w:r w:rsidRPr="00977901">
              <w:rPr>
                <w:rFonts w:ascii="Times New Roman" w:hAnsi="Times New Roman"/>
                <w:b/>
                <w:sz w:val="24"/>
                <w:szCs w:val="24"/>
              </w:rPr>
              <w:t>Réservoir en métal</w:t>
            </w:r>
          </w:p>
        </w:tc>
        <w:tc>
          <w:tcPr>
            <w:tcW w:w="805" w:type="dxa"/>
            <w:shd w:val="clear" w:color="auto" w:fill="E2EFD9" w:themeFill="accent6" w:themeFillTint="33"/>
            <w:vAlign w:val="center"/>
          </w:tcPr>
          <w:p w:rsidR="007C6FAC" w:rsidRPr="007679AF" w:rsidRDefault="007C6FAC" w:rsidP="00977901">
            <w:pPr>
              <w:jc w:val="center"/>
              <w:rPr>
                <w:rFonts w:ascii="Times New Roman" w:hAnsi="Times New Roman" w:cs="Times New Roman"/>
                <w:b/>
                <w:color w:val="000000"/>
                <w:sz w:val="20"/>
                <w:szCs w:val="20"/>
              </w:rPr>
            </w:pPr>
            <w:r w:rsidRPr="007679AF">
              <w:rPr>
                <w:rFonts w:ascii="Times New Roman" w:hAnsi="Times New Roman" w:cs="Times New Roman"/>
                <w:b/>
                <w:color w:val="000000"/>
                <w:sz w:val="20"/>
                <w:szCs w:val="20"/>
              </w:rPr>
              <w:t>Effet</w:t>
            </w:r>
            <w:r w:rsidR="00F6660B">
              <w:rPr>
                <w:rFonts w:ascii="Times New Roman" w:hAnsi="Times New Roman" w:cs="Times New Roman"/>
                <w:b/>
                <w:color w:val="000000"/>
                <w:sz w:val="20"/>
                <w:szCs w:val="20"/>
              </w:rPr>
              <w:t>s</w:t>
            </w:r>
            <w:r w:rsidRPr="007679AF">
              <w:rPr>
                <w:rFonts w:ascii="Times New Roman" w:hAnsi="Times New Roman" w:cs="Times New Roman"/>
                <w:b/>
                <w:color w:val="000000"/>
                <w:sz w:val="20"/>
                <w:szCs w:val="20"/>
              </w:rPr>
              <w:t xml:space="preserve"> positif</w:t>
            </w:r>
            <w:r w:rsidR="00F6660B">
              <w:rPr>
                <w:rFonts w:ascii="Times New Roman" w:hAnsi="Times New Roman" w:cs="Times New Roman"/>
                <w:b/>
                <w:color w:val="000000"/>
                <w:sz w:val="20"/>
                <w:szCs w:val="20"/>
              </w:rPr>
              <w:t>s</w:t>
            </w:r>
          </w:p>
        </w:tc>
        <w:tc>
          <w:tcPr>
            <w:tcW w:w="8403" w:type="dxa"/>
          </w:tcPr>
          <w:p w:rsidR="007C6FAC" w:rsidRPr="007679AF" w:rsidRDefault="007C6FAC" w:rsidP="00FA3FAE">
            <w:pPr>
              <w:widowControl w:val="0"/>
              <w:numPr>
                <w:ilvl w:val="0"/>
                <w:numId w:val="74"/>
              </w:numPr>
              <w:tabs>
                <w:tab w:val="left" w:pos="175"/>
              </w:tabs>
              <w:spacing w:line="276" w:lineRule="auto"/>
              <w:ind w:left="181" w:hanging="181"/>
              <w:contextualSpacing/>
              <w:jc w:val="both"/>
              <w:rPr>
                <w:rFonts w:ascii="Times New Roman" w:hAnsi="Times New Roman"/>
                <w:sz w:val="20"/>
                <w:szCs w:val="20"/>
                <w:lang w:eastAsia="x-none"/>
              </w:rPr>
            </w:pPr>
            <w:r>
              <w:rPr>
                <w:rFonts w:ascii="Times New Roman" w:hAnsi="Times New Roman"/>
                <w:sz w:val="20"/>
                <w:szCs w:val="20"/>
                <w:lang w:eastAsia="x-none"/>
              </w:rPr>
              <w:t>Neant</w:t>
            </w:r>
          </w:p>
        </w:tc>
      </w:tr>
      <w:tr w:rsidR="007C6FAC" w:rsidRPr="00090486" w:rsidTr="00977901">
        <w:tc>
          <w:tcPr>
            <w:tcW w:w="498" w:type="dxa"/>
            <w:vMerge/>
            <w:shd w:val="clear" w:color="auto" w:fill="E2EFD9" w:themeFill="accent6" w:themeFillTint="33"/>
          </w:tcPr>
          <w:p w:rsidR="007C6FAC" w:rsidRPr="00090486" w:rsidRDefault="007C6FAC" w:rsidP="000C12E5">
            <w:pPr>
              <w:jc w:val="center"/>
              <w:rPr>
                <w:rFonts w:ascii="Times New Roman" w:hAnsi="Times New Roman" w:cs="Times New Roman"/>
                <w:b/>
                <w:color w:val="000000"/>
                <w:sz w:val="24"/>
                <w:szCs w:val="24"/>
              </w:rPr>
            </w:pPr>
          </w:p>
        </w:tc>
        <w:tc>
          <w:tcPr>
            <w:tcW w:w="1210" w:type="dxa"/>
            <w:vMerge/>
            <w:shd w:val="clear" w:color="auto" w:fill="F2F2F2" w:themeFill="background1" w:themeFillShade="F2"/>
          </w:tcPr>
          <w:p w:rsidR="007C6FAC" w:rsidRPr="007679AF" w:rsidRDefault="007C6FAC" w:rsidP="000C12E5">
            <w:pPr>
              <w:jc w:val="both"/>
              <w:rPr>
                <w:rFonts w:ascii="Times New Roman" w:hAnsi="Times New Roman" w:cs="Times New Roman"/>
                <w:color w:val="000000"/>
                <w:sz w:val="24"/>
                <w:szCs w:val="24"/>
              </w:rPr>
            </w:pPr>
          </w:p>
        </w:tc>
        <w:tc>
          <w:tcPr>
            <w:tcW w:w="805" w:type="dxa"/>
            <w:shd w:val="clear" w:color="auto" w:fill="FFF2CC" w:themeFill="accent4" w:themeFillTint="33"/>
            <w:vAlign w:val="center"/>
          </w:tcPr>
          <w:p w:rsidR="007C6FAC" w:rsidRPr="007679AF" w:rsidRDefault="007C6FAC" w:rsidP="00977901">
            <w:pPr>
              <w:jc w:val="center"/>
              <w:rPr>
                <w:rFonts w:ascii="Times New Roman" w:hAnsi="Times New Roman" w:cs="Times New Roman"/>
                <w:b/>
                <w:color w:val="000000"/>
                <w:sz w:val="20"/>
                <w:szCs w:val="20"/>
              </w:rPr>
            </w:pPr>
            <w:r w:rsidRPr="007679AF">
              <w:rPr>
                <w:rFonts w:ascii="Times New Roman" w:hAnsi="Times New Roman" w:cs="Times New Roman"/>
                <w:b/>
                <w:color w:val="000000"/>
                <w:sz w:val="20"/>
                <w:szCs w:val="20"/>
              </w:rPr>
              <w:t>Effet</w:t>
            </w:r>
            <w:r w:rsidR="00F6660B">
              <w:rPr>
                <w:rFonts w:ascii="Times New Roman" w:hAnsi="Times New Roman" w:cs="Times New Roman"/>
                <w:b/>
                <w:color w:val="000000"/>
                <w:sz w:val="20"/>
                <w:szCs w:val="20"/>
              </w:rPr>
              <w:t>s</w:t>
            </w:r>
            <w:r w:rsidRPr="007679AF">
              <w:rPr>
                <w:rFonts w:ascii="Times New Roman" w:hAnsi="Times New Roman" w:cs="Times New Roman"/>
                <w:b/>
                <w:color w:val="000000"/>
                <w:sz w:val="20"/>
                <w:szCs w:val="20"/>
              </w:rPr>
              <w:t xml:space="preserve"> négatif</w:t>
            </w:r>
            <w:r w:rsidR="00F6660B">
              <w:rPr>
                <w:rFonts w:ascii="Times New Roman" w:hAnsi="Times New Roman" w:cs="Times New Roman"/>
                <w:b/>
                <w:color w:val="000000"/>
                <w:sz w:val="20"/>
                <w:szCs w:val="20"/>
              </w:rPr>
              <w:t>s</w:t>
            </w:r>
          </w:p>
        </w:tc>
        <w:tc>
          <w:tcPr>
            <w:tcW w:w="8403" w:type="dxa"/>
          </w:tcPr>
          <w:p w:rsidR="007C6FAC" w:rsidRPr="00AA45E9" w:rsidRDefault="007C6FAC" w:rsidP="00FA3FAE">
            <w:pPr>
              <w:pStyle w:val="Listecouleur-Accent11"/>
              <w:numPr>
                <w:ilvl w:val="0"/>
                <w:numId w:val="72"/>
              </w:numPr>
              <w:ind w:left="167" w:hanging="142"/>
              <w:rPr>
                <w:rFonts w:ascii="Times New Roman" w:hAnsi="Times New Roman"/>
                <w:lang w:val="fr-FR"/>
              </w:rPr>
            </w:pPr>
            <w:r w:rsidRPr="00AA45E9">
              <w:rPr>
                <w:rFonts w:ascii="Times New Roman" w:hAnsi="Times New Roman"/>
                <w:lang w:val="fr-FR"/>
              </w:rPr>
              <w:t xml:space="preserve">Risque de nuisance à cause des </w:t>
            </w:r>
            <w:r>
              <w:rPr>
                <w:rFonts w:ascii="Times New Roman" w:hAnsi="Times New Roman"/>
                <w:lang w:val="fr-FR"/>
              </w:rPr>
              <w:t>différentes activités de soudure ;</w:t>
            </w:r>
          </w:p>
          <w:p w:rsidR="007C6FAC" w:rsidRPr="00AA45E9" w:rsidRDefault="007C6FAC" w:rsidP="00FA3FAE">
            <w:pPr>
              <w:pStyle w:val="Listecouleur-Accent11"/>
              <w:numPr>
                <w:ilvl w:val="0"/>
                <w:numId w:val="72"/>
              </w:numPr>
              <w:ind w:left="167" w:hanging="142"/>
              <w:rPr>
                <w:rFonts w:ascii="Times New Roman" w:hAnsi="Times New Roman"/>
                <w:lang w:val="fr-FR"/>
              </w:rPr>
            </w:pPr>
            <w:r w:rsidRPr="00AA45E9">
              <w:rPr>
                <w:rFonts w:ascii="Times New Roman" w:hAnsi="Times New Roman"/>
                <w:lang w:val="fr-FR"/>
              </w:rPr>
              <w:t>Risque de modification du paysage en rapport avec les travaux,</w:t>
            </w:r>
          </w:p>
          <w:p w:rsidR="007C6FAC" w:rsidRPr="007C6FAC" w:rsidRDefault="007C6FAC" w:rsidP="00FA3FAE">
            <w:pPr>
              <w:pStyle w:val="Listecouleur-Accent11"/>
              <w:numPr>
                <w:ilvl w:val="0"/>
                <w:numId w:val="72"/>
              </w:numPr>
              <w:ind w:left="167" w:hanging="142"/>
              <w:rPr>
                <w:rFonts w:ascii="Times New Roman" w:hAnsi="Times New Roman"/>
                <w:lang w:val="fr-FR"/>
              </w:rPr>
            </w:pPr>
            <w:r w:rsidRPr="00AA45E9">
              <w:rPr>
                <w:rFonts w:ascii="Times New Roman" w:hAnsi="Times New Roman"/>
                <w:lang w:val="fr-FR"/>
              </w:rPr>
              <w:t>Risque de</w:t>
            </w:r>
            <w:r>
              <w:rPr>
                <w:rFonts w:ascii="Times New Roman" w:hAnsi="Times New Roman"/>
                <w:lang w:val="fr-FR"/>
              </w:rPr>
              <w:t xml:space="preserve"> pollution de l’air </w:t>
            </w:r>
            <w:r w:rsidRPr="00AA45E9">
              <w:rPr>
                <w:rFonts w:ascii="Times New Roman" w:hAnsi="Times New Roman"/>
                <w:lang w:val="fr-FR"/>
              </w:rPr>
              <w:t>;</w:t>
            </w:r>
          </w:p>
        </w:tc>
      </w:tr>
      <w:tr w:rsidR="007C6FAC" w:rsidRPr="000369CE" w:rsidTr="00977901">
        <w:tc>
          <w:tcPr>
            <w:tcW w:w="498" w:type="dxa"/>
            <w:vMerge w:val="restart"/>
            <w:shd w:val="clear" w:color="auto" w:fill="E2EFD9" w:themeFill="accent6" w:themeFillTint="33"/>
            <w:textDirection w:val="btLr"/>
          </w:tcPr>
          <w:p w:rsidR="007C6FAC" w:rsidRPr="00090486" w:rsidRDefault="007C6FAC" w:rsidP="000C12E5">
            <w:pPr>
              <w:jc w:val="center"/>
              <w:rPr>
                <w:rFonts w:ascii="Times New Roman" w:hAnsi="Times New Roman" w:cs="Times New Roman"/>
                <w:b/>
                <w:color w:val="000000"/>
                <w:sz w:val="24"/>
                <w:szCs w:val="24"/>
              </w:rPr>
            </w:pPr>
            <w:r w:rsidRPr="00090486">
              <w:rPr>
                <w:rFonts w:ascii="Times New Roman" w:hAnsi="Times New Roman" w:cs="Times New Roman"/>
                <w:b/>
                <w:color w:val="000000"/>
                <w:sz w:val="24"/>
                <w:szCs w:val="24"/>
              </w:rPr>
              <w:t>Social</w:t>
            </w:r>
          </w:p>
        </w:tc>
        <w:tc>
          <w:tcPr>
            <w:tcW w:w="1210" w:type="dxa"/>
            <w:vMerge/>
            <w:shd w:val="clear" w:color="auto" w:fill="F2F2F2" w:themeFill="background1" w:themeFillShade="F2"/>
          </w:tcPr>
          <w:p w:rsidR="007C6FAC" w:rsidRPr="007679AF" w:rsidRDefault="007C6FAC" w:rsidP="000C12E5">
            <w:pPr>
              <w:jc w:val="both"/>
              <w:rPr>
                <w:rFonts w:ascii="Times New Roman" w:hAnsi="Times New Roman" w:cs="Times New Roman"/>
                <w:color w:val="000000"/>
                <w:sz w:val="24"/>
                <w:szCs w:val="24"/>
              </w:rPr>
            </w:pPr>
          </w:p>
        </w:tc>
        <w:tc>
          <w:tcPr>
            <w:tcW w:w="805" w:type="dxa"/>
            <w:shd w:val="clear" w:color="auto" w:fill="E2EFD9" w:themeFill="accent6" w:themeFillTint="33"/>
            <w:vAlign w:val="center"/>
          </w:tcPr>
          <w:p w:rsidR="007C6FAC" w:rsidRPr="007679AF" w:rsidRDefault="007C6FAC" w:rsidP="00977901">
            <w:pPr>
              <w:jc w:val="center"/>
              <w:rPr>
                <w:rFonts w:ascii="Times New Roman" w:hAnsi="Times New Roman" w:cs="Times New Roman"/>
                <w:b/>
                <w:color w:val="000000"/>
                <w:sz w:val="20"/>
                <w:szCs w:val="20"/>
              </w:rPr>
            </w:pPr>
            <w:r w:rsidRPr="007679AF">
              <w:rPr>
                <w:rFonts w:ascii="Times New Roman" w:hAnsi="Times New Roman" w:cs="Times New Roman"/>
                <w:b/>
                <w:color w:val="000000"/>
                <w:sz w:val="20"/>
                <w:szCs w:val="20"/>
              </w:rPr>
              <w:t>Effet</w:t>
            </w:r>
            <w:r w:rsidR="00F6660B">
              <w:rPr>
                <w:rFonts w:ascii="Times New Roman" w:hAnsi="Times New Roman" w:cs="Times New Roman"/>
                <w:b/>
                <w:color w:val="000000"/>
                <w:sz w:val="20"/>
                <w:szCs w:val="20"/>
              </w:rPr>
              <w:t>s</w:t>
            </w:r>
            <w:r w:rsidRPr="007679AF">
              <w:rPr>
                <w:rFonts w:ascii="Times New Roman" w:hAnsi="Times New Roman" w:cs="Times New Roman"/>
                <w:b/>
                <w:color w:val="000000"/>
                <w:sz w:val="20"/>
                <w:szCs w:val="20"/>
              </w:rPr>
              <w:t xml:space="preserve"> positif</w:t>
            </w:r>
            <w:r w:rsidR="00F6660B">
              <w:rPr>
                <w:rFonts w:ascii="Times New Roman" w:hAnsi="Times New Roman" w:cs="Times New Roman"/>
                <w:b/>
                <w:color w:val="000000"/>
                <w:sz w:val="20"/>
                <w:szCs w:val="20"/>
              </w:rPr>
              <w:t>s</w:t>
            </w:r>
          </w:p>
        </w:tc>
        <w:tc>
          <w:tcPr>
            <w:tcW w:w="8403" w:type="dxa"/>
          </w:tcPr>
          <w:p w:rsidR="007C6FAC" w:rsidRDefault="007C6FAC" w:rsidP="00FA3FAE">
            <w:pPr>
              <w:pStyle w:val="Listecouleur-Accent11"/>
              <w:numPr>
                <w:ilvl w:val="0"/>
                <w:numId w:val="72"/>
              </w:numPr>
              <w:ind w:left="167" w:hanging="142"/>
              <w:rPr>
                <w:rFonts w:ascii="Times New Roman" w:hAnsi="Times New Roman"/>
                <w:lang w:val="fr-FR"/>
              </w:rPr>
            </w:pPr>
            <w:r>
              <w:rPr>
                <w:rFonts w:ascii="Times New Roman" w:hAnsi="Times New Roman"/>
                <w:lang w:val="fr-FR"/>
              </w:rPr>
              <w:t xml:space="preserve">Qualité des </w:t>
            </w:r>
            <w:r w:rsidR="00977901">
              <w:rPr>
                <w:rFonts w:ascii="Times New Roman" w:hAnsi="Times New Roman"/>
                <w:lang w:val="fr-FR"/>
              </w:rPr>
              <w:t>matériaux</w:t>
            </w:r>
            <w:r>
              <w:rPr>
                <w:rFonts w:ascii="Times New Roman" w:hAnsi="Times New Roman"/>
                <w:lang w:val="fr-FR"/>
              </w:rPr>
              <w:t xml:space="preserve"> disponible dans le pays,</w:t>
            </w:r>
          </w:p>
          <w:p w:rsidR="007C6FAC" w:rsidRDefault="00977901" w:rsidP="00FA3FAE">
            <w:pPr>
              <w:pStyle w:val="Listecouleur-Accent11"/>
              <w:numPr>
                <w:ilvl w:val="0"/>
                <w:numId w:val="72"/>
              </w:numPr>
              <w:ind w:left="167" w:hanging="142"/>
              <w:rPr>
                <w:rFonts w:ascii="Times New Roman" w:hAnsi="Times New Roman"/>
                <w:lang w:val="fr-FR"/>
              </w:rPr>
            </w:pPr>
            <w:r>
              <w:rPr>
                <w:rFonts w:ascii="Times New Roman" w:hAnsi="Times New Roman"/>
                <w:lang w:val="fr-FR"/>
              </w:rPr>
              <w:t>Durer de vie des matériaux moyennes,</w:t>
            </w:r>
          </w:p>
          <w:p w:rsidR="00977901" w:rsidRPr="00BE7583" w:rsidRDefault="00977901" w:rsidP="00FA3FAE">
            <w:pPr>
              <w:pStyle w:val="Listecouleur-Accent11"/>
              <w:numPr>
                <w:ilvl w:val="0"/>
                <w:numId w:val="72"/>
              </w:numPr>
              <w:ind w:left="167" w:hanging="142"/>
              <w:rPr>
                <w:rFonts w:ascii="Times New Roman" w:hAnsi="Times New Roman"/>
                <w:lang w:val="fr-FR"/>
              </w:rPr>
            </w:pPr>
            <w:r>
              <w:rPr>
                <w:rFonts w:ascii="Times New Roman" w:hAnsi="Times New Roman"/>
                <w:lang w:val="fr-FR"/>
              </w:rPr>
              <w:t xml:space="preserve"> Grande capacité stockage en eau,</w:t>
            </w:r>
          </w:p>
          <w:p w:rsidR="007C6FAC" w:rsidRPr="00BE7583" w:rsidRDefault="007C6FAC" w:rsidP="00FA3FAE">
            <w:pPr>
              <w:pStyle w:val="Listecouleur-Accent11"/>
              <w:numPr>
                <w:ilvl w:val="0"/>
                <w:numId w:val="72"/>
              </w:numPr>
              <w:ind w:left="167" w:hanging="142"/>
              <w:rPr>
                <w:rFonts w:ascii="Times New Roman" w:hAnsi="Times New Roman"/>
                <w:lang w:val="fr-FR"/>
              </w:rPr>
            </w:pPr>
            <w:r w:rsidRPr="00BE7583">
              <w:rPr>
                <w:rFonts w:ascii="Times New Roman" w:hAnsi="Times New Roman"/>
                <w:lang w:val="fr-FR"/>
              </w:rPr>
              <w:t>Grande liberté pour donner les formes du bassin</w:t>
            </w:r>
          </w:p>
          <w:p w:rsidR="007C6FAC" w:rsidRDefault="007C6FAC" w:rsidP="00FA3FAE">
            <w:pPr>
              <w:pStyle w:val="Listecouleur-Accent11"/>
              <w:numPr>
                <w:ilvl w:val="0"/>
                <w:numId w:val="72"/>
              </w:numPr>
              <w:ind w:left="167" w:hanging="142"/>
              <w:rPr>
                <w:rFonts w:ascii="Times New Roman" w:hAnsi="Times New Roman"/>
                <w:lang w:val="fr-FR"/>
              </w:rPr>
            </w:pPr>
            <w:r>
              <w:rPr>
                <w:rFonts w:ascii="Times New Roman" w:hAnsi="Times New Roman"/>
                <w:lang w:val="fr-FR"/>
              </w:rPr>
              <w:t>A</w:t>
            </w:r>
            <w:r w:rsidRPr="00AA45E9">
              <w:rPr>
                <w:rFonts w:ascii="Times New Roman" w:hAnsi="Times New Roman"/>
                <w:lang w:val="fr-FR"/>
              </w:rPr>
              <w:t>mélioration de la qualité de vie des populations</w:t>
            </w:r>
            <w:r>
              <w:rPr>
                <w:rFonts w:ascii="Times New Roman" w:hAnsi="Times New Roman"/>
                <w:lang w:val="fr-FR"/>
              </w:rPr>
              <w:t xml:space="preserve"> </w:t>
            </w:r>
            <w:r w:rsidRPr="00AA45E9">
              <w:rPr>
                <w:rFonts w:ascii="Times New Roman" w:hAnsi="Times New Roman"/>
                <w:lang w:val="fr-FR"/>
              </w:rPr>
              <w:t>;</w:t>
            </w:r>
          </w:p>
          <w:p w:rsidR="007C6FAC" w:rsidRPr="00093C8B" w:rsidRDefault="007C6FAC" w:rsidP="00FA3FAE">
            <w:pPr>
              <w:pStyle w:val="Listecouleur-Accent11"/>
              <w:numPr>
                <w:ilvl w:val="0"/>
                <w:numId w:val="72"/>
              </w:numPr>
              <w:ind w:left="167" w:hanging="142"/>
              <w:rPr>
                <w:rFonts w:ascii="Times New Roman" w:hAnsi="Times New Roman"/>
                <w:lang w:val="fr-FR"/>
              </w:rPr>
            </w:pPr>
            <w:r w:rsidRPr="00093C8B">
              <w:rPr>
                <w:rFonts w:ascii="Times New Roman" w:hAnsi="Times New Roman"/>
                <w:lang w:val="fr-FR"/>
              </w:rPr>
              <w:t>Amélioration de la performance de l’EAGB</w:t>
            </w:r>
            <w:r>
              <w:rPr>
                <w:rFonts w:ascii="Times New Roman" w:hAnsi="Times New Roman"/>
                <w:lang w:val="fr-FR"/>
              </w:rPr>
              <w:t> ;</w:t>
            </w:r>
          </w:p>
          <w:p w:rsidR="007C6FAC" w:rsidRPr="00816224" w:rsidRDefault="007C6FAC" w:rsidP="00FA3FAE">
            <w:pPr>
              <w:pStyle w:val="Listecouleur-Accent11"/>
              <w:numPr>
                <w:ilvl w:val="0"/>
                <w:numId w:val="72"/>
              </w:numPr>
              <w:ind w:left="167" w:hanging="142"/>
              <w:rPr>
                <w:rFonts w:ascii="Times New Roman" w:hAnsi="Times New Roman"/>
                <w:lang w:val="fr-FR"/>
              </w:rPr>
            </w:pPr>
            <w:r w:rsidRPr="00816224">
              <w:rPr>
                <w:rFonts w:ascii="Times New Roman" w:hAnsi="Times New Roman"/>
                <w:lang w:val="fr-FR"/>
              </w:rPr>
              <w:t xml:space="preserve">Lutte contre le chômage et la pauvreté dans le pays ; </w:t>
            </w:r>
          </w:p>
          <w:p w:rsidR="007C6FAC" w:rsidRPr="000369CE" w:rsidRDefault="007C6FAC" w:rsidP="00FA3FAE">
            <w:pPr>
              <w:pStyle w:val="Listecouleur-Accent11"/>
              <w:numPr>
                <w:ilvl w:val="0"/>
                <w:numId w:val="72"/>
              </w:numPr>
              <w:ind w:left="167" w:hanging="142"/>
              <w:rPr>
                <w:rFonts w:ascii="Times New Roman" w:hAnsi="Times New Roman"/>
                <w:lang w:val="fr-FR"/>
              </w:rPr>
            </w:pPr>
            <w:r>
              <w:rPr>
                <w:rFonts w:ascii="Times New Roman" w:hAnsi="Times New Roman"/>
                <w:lang w:val="fr-FR"/>
              </w:rPr>
              <w:t>A</w:t>
            </w:r>
            <w:r w:rsidRPr="00AA45E9">
              <w:rPr>
                <w:rFonts w:ascii="Times New Roman" w:hAnsi="Times New Roman"/>
                <w:lang w:val="fr-FR"/>
              </w:rPr>
              <w:t xml:space="preserve">ugmentation de stabilité sociale </w:t>
            </w:r>
            <w:r>
              <w:rPr>
                <w:rFonts w:ascii="Times New Roman" w:hAnsi="Times New Roman"/>
                <w:lang w:val="fr-FR"/>
              </w:rPr>
              <w:t xml:space="preserve">et politique du pays </w:t>
            </w:r>
            <w:r w:rsidRPr="00AA45E9">
              <w:rPr>
                <w:rFonts w:ascii="Times New Roman" w:hAnsi="Times New Roman"/>
                <w:lang w:val="fr-FR"/>
              </w:rPr>
              <w:t>;</w:t>
            </w:r>
          </w:p>
        </w:tc>
      </w:tr>
      <w:tr w:rsidR="007C6FAC" w:rsidRPr="000369CE" w:rsidTr="00BE5322">
        <w:tc>
          <w:tcPr>
            <w:tcW w:w="498" w:type="dxa"/>
            <w:vMerge/>
            <w:shd w:val="clear" w:color="auto" w:fill="E2EFD9" w:themeFill="accent6" w:themeFillTint="33"/>
            <w:textDirection w:val="btLr"/>
          </w:tcPr>
          <w:p w:rsidR="007C6FAC" w:rsidRPr="00090486" w:rsidRDefault="007C6FAC" w:rsidP="000C12E5">
            <w:pPr>
              <w:jc w:val="center"/>
              <w:rPr>
                <w:rFonts w:ascii="Times New Roman" w:hAnsi="Times New Roman" w:cs="Times New Roman"/>
                <w:b/>
                <w:color w:val="000000"/>
                <w:sz w:val="24"/>
                <w:szCs w:val="24"/>
              </w:rPr>
            </w:pPr>
          </w:p>
        </w:tc>
        <w:tc>
          <w:tcPr>
            <w:tcW w:w="1210" w:type="dxa"/>
            <w:vMerge/>
            <w:shd w:val="clear" w:color="auto" w:fill="F2F2F2" w:themeFill="background1" w:themeFillShade="F2"/>
          </w:tcPr>
          <w:p w:rsidR="007C6FAC" w:rsidRPr="007679AF" w:rsidRDefault="007C6FAC" w:rsidP="000C12E5">
            <w:pPr>
              <w:jc w:val="both"/>
              <w:rPr>
                <w:rFonts w:ascii="Times New Roman" w:hAnsi="Times New Roman" w:cs="Times New Roman"/>
                <w:color w:val="000000"/>
                <w:sz w:val="24"/>
                <w:szCs w:val="24"/>
              </w:rPr>
            </w:pPr>
          </w:p>
        </w:tc>
        <w:tc>
          <w:tcPr>
            <w:tcW w:w="805" w:type="dxa"/>
            <w:shd w:val="clear" w:color="auto" w:fill="FFF2CC" w:themeFill="accent4" w:themeFillTint="33"/>
            <w:vAlign w:val="center"/>
          </w:tcPr>
          <w:p w:rsidR="007C6FAC" w:rsidRPr="007679AF" w:rsidRDefault="007C6FAC" w:rsidP="00977901">
            <w:pPr>
              <w:jc w:val="center"/>
              <w:rPr>
                <w:rFonts w:ascii="Times New Roman" w:hAnsi="Times New Roman" w:cs="Times New Roman"/>
                <w:b/>
                <w:color w:val="000000"/>
                <w:sz w:val="20"/>
                <w:szCs w:val="20"/>
              </w:rPr>
            </w:pPr>
            <w:r w:rsidRPr="007679AF">
              <w:rPr>
                <w:rFonts w:ascii="Times New Roman" w:hAnsi="Times New Roman" w:cs="Times New Roman"/>
                <w:b/>
                <w:color w:val="000000"/>
                <w:sz w:val="20"/>
                <w:szCs w:val="20"/>
              </w:rPr>
              <w:t>Effet</w:t>
            </w:r>
            <w:r w:rsidR="00F6660B">
              <w:rPr>
                <w:rFonts w:ascii="Times New Roman" w:hAnsi="Times New Roman" w:cs="Times New Roman"/>
                <w:b/>
                <w:color w:val="000000"/>
                <w:sz w:val="20"/>
                <w:szCs w:val="20"/>
              </w:rPr>
              <w:t>s</w:t>
            </w:r>
            <w:r w:rsidRPr="007679AF">
              <w:rPr>
                <w:rFonts w:ascii="Times New Roman" w:hAnsi="Times New Roman" w:cs="Times New Roman"/>
                <w:b/>
                <w:color w:val="000000"/>
                <w:sz w:val="20"/>
                <w:szCs w:val="20"/>
              </w:rPr>
              <w:t xml:space="preserve"> négatif</w:t>
            </w:r>
            <w:r w:rsidR="00F6660B">
              <w:rPr>
                <w:rFonts w:ascii="Times New Roman" w:hAnsi="Times New Roman" w:cs="Times New Roman"/>
                <w:b/>
                <w:color w:val="000000"/>
                <w:sz w:val="20"/>
                <w:szCs w:val="20"/>
              </w:rPr>
              <w:t>s</w:t>
            </w:r>
          </w:p>
        </w:tc>
        <w:tc>
          <w:tcPr>
            <w:tcW w:w="8403" w:type="dxa"/>
          </w:tcPr>
          <w:p w:rsidR="00977901" w:rsidRPr="00977901" w:rsidRDefault="00977901" w:rsidP="00FA3FAE">
            <w:pPr>
              <w:pStyle w:val="Listecouleur-Accent11"/>
              <w:numPr>
                <w:ilvl w:val="0"/>
                <w:numId w:val="72"/>
              </w:numPr>
              <w:ind w:left="167" w:hanging="142"/>
              <w:rPr>
                <w:rFonts w:ascii="Times New Roman" w:hAnsi="Times New Roman"/>
                <w:lang w:val="fr-FR"/>
              </w:rPr>
            </w:pPr>
            <w:r w:rsidRPr="00977901">
              <w:rPr>
                <w:rFonts w:ascii="Times New Roman" w:hAnsi="Times New Roman"/>
                <w:lang w:val="fr-FR"/>
              </w:rPr>
              <w:t>Difficile à entretenir</w:t>
            </w:r>
          </w:p>
          <w:p w:rsidR="00977901" w:rsidRPr="00977901" w:rsidRDefault="00977901" w:rsidP="00FA3FAE">
            <w:pPr>
              <w:pStyle w:val="Listecouleur-Accent11"/>
              <w:numPr>
                <w:ilvl w:val="0"/>
                <w:numId w:val="72"/>
              </w:numPr>
              <w:ind w:left="167" w:hanging="142"/>
              <w:rPr>
                <w:rFonts w:ascii="Times New Roman" w:hAnsi="Times New Roman"/>
                <w:lang w:val="fr-FR"/>
              </w:rPr>
            </w:pPr>
            <w:r w:rsidRPr="00977901">
              <w:rPr>
                <w:rFonts w:ascii="Times New Roman" w:hAnsi="Times New Roman"/>
                <w:lang w:val="fr-FR"/>
              </w:rPr>
              <w:t>Frais d’entretien et de maintenance élevés</w:t>
            </w:r>
          </w:p>
          <w:p w:rsidR="00977901" w:rsidRPr="00977901" w:rsidRDefault="00977901" w:rsidP="00FA3FAE">
            <w:pPr>
              <w:pStyle w:val="Listecouleur-Accent11"/>
              <w:numPr>
                <w:ilvl w:val="0"/>
                <w:numId w:val="72"/>
              </w:numPr>
              <w:ind w:left="167" w:hanging="142"/>
              <w:rPr>
                <w:rFonts w:ascii="Times New Roman" w:hAnsi="Times New Roman"/>
                <w:lang w:val="fr-FR"/>
              </w:rPr>
            </w:pPr>
            <w:r w:rsidRPr="00977901">
              <w:rPr>
                <w:rFonts w:ascii="Times New Roman" w:hAnsi="Times New Roman"/>
                <w:lang w:val="fr-FR"/>
              </w:rPr>
              <w:t>Mise en œuvre difficile (elle doit être réalisée par un professionnel)</w:t>
            </w:r>
          </w:p>
          <w:p w:rsidR="007C6FAC" w:rsidRDefault="007C6FAC" w:rsidP="00FA3FAE">
            <w:pPr>
              <w:pStyle w:val="Listecouleur-Accent11"/>
              <w:numPr>
                <w:ilvl w:val="0"/>
                <w:numId w:val="72"/>
              </w:numPr>
              <w:ind w:left="167" w:hanging="142"/>
              <w:rPr>
                <w:rFonts w:ascii="Times New Roman" w:hAnsi="Times New Roman"/>
                <w:lang w:val="fr-FR"/>
              </w:rPr>
            </w:pPr>
            <w:r w:rsidRPr="00B7508E">
              <w:rPr>
                <w:rFonts w:ascii="Times New Roman" w:hAnsi="Times New Roman"/>
                <w:lang w:val="fr-FR"/>
              </w:rPr>
              <w:t>Besoin d’un support en béton ou métal et assurent l'étanchéité du bassin ;</w:t>
            </w:r>
          </w:p>
          <w:p w:rsidR="007C6FAC" w:rsidRPr="000369CE" w:rsidRDefault="007C6FAC" w:rsidP="00FA3FAE">
            <w:pPr>
              <w:pStyle w:val="Listecouleur-Accent11"/>
              <w:numPr>
                <w:ilvl w:val="0"/>
                <w:numId w:val="72"/>
              </w:numPr>
              <w:ind w:left="167" w:hanging="142"/>
              <w:rPr>
                <w:rFonts w:ascii="Times New Roman" w:hAnsi="Times New Roman"/>
                <w:lang w:val="fr-FR"/>
              </w:rPr>
            </w:pPr>
            <w:r w:rsidRPr="000369CE">
              <w:rPr>
                <w:rFonts w:ascii="Times New Roman" w:hAnsi="Times New Roman"/>
                <w:lang w:val="fr-FR"/>
              </w:rPr>
              <w:lastRenderedPageBreak/>
              <w:t>Nuisances sur un court laps de temps auprès des riverains </w:t>
            </w:r>
          </w:p>
          <w:p w:rsidR="007C6FAC" w:rsidRDefault="007C6FAC" w:rsidP="00FA3FAE">
            <w:pPr>
              <w:pStyle w:val="Listecouleur-Accent11"/>
              <w:numPr>
                <w:ilvl w:val="0"/>
                <w:numId w:val="72"/>
              </w:numPr>
              <w:ind w:left="167" w:hanging="142"/>
              <w:rPr>
                <w:rFonts w:ascii="Times New Roman" w:hAnsi="Times New Roman"/>
                <w:lang w:val="fr-FR"/>
              </w:rPr>
            </w:pPr>
            <w:r w:rsidRPr="00AA45E9">
              <w:rPr>
                <w:rFonts w:ascii="Times New Roman" w:hAnsi="Times New Roman"/>
                <w:lang w:val="fr-FR"/>
              </w:rPr>
              <w:t>Risque de destruction des biens publics ou privés lors des travaux ;</w:t>
            </w:r>
          </w:p>
          <w:p w:rsidR="007C6FAC" w:rsidRPr="00977901" w:rsidRDefault="007C6FAC" w:rsidP="00FA3FAE">
            <w:pPr>
              <w:pStyle w:val="Listecouleur-Accent11"/>
              <w:numPr>
                <w:ilvl w:val="0"/>
                <w:numId w:val="72"/>
              </w:numPr>
              <w:ind w:left="167" w:hanging="142"/>
              <w:rPr>
                <w:rFonts w:ascii="Times New Roman" w:hAnsi="Times New Roman"/>
                <w:lang w:val="fr-FR"/>
              </w:rPr>
            </w:pPr>
            <w:r w:rsidRPr="000369CE">
              <w:rPr>
                <w:rFonts w:ascii="Times New Roman" w:hAnsi="Times New Roman"/>
                <w:lang w:val="fr-FR"/>
              </w:rPr>
              <w:t>Risques d’accidents de circulation durant les travaux de réalisation ;</w:t>
            </w:r>
          </w:p>
        </w:tc>
      </w:tr>
      <w:tr w:rsidR="007C6FAC" w:rsidRPr="007C6FAC" w:rsidTr="00977901">
        <w:tc>
          <w:tcPr>
            <w:tcW w:w="498" w:type="dxa"/>
            <w:vMerge w:val="restart"/>
            <w:shd w:val="clear" w:color="auto" w:fill="E2EFD9" w:themeFill="accent6" w:themeFillTint="33"/>
            <w:textDirection w:val="btLr"/>
          </w:tcPr>
          <w:p w:rsidR="007C6FAC" w:rsidRPr="00090486" w:rsidRDefault="007C6FAC" w:rsidP="000C12E5">
            <w:pPr>
              <w:jc w:val="center"/>
              <w:rPr>
                <w:rFonts w:ascii="Times New Roman" w:hAnsi="Times New Roman" w:cs="Times New Roman"/>
                <w:b/>
                <w:color w:val="000000"/>
                <w:sz w:val="24"/>
                <w:szCs w:val="24"/>
              </w:rPr>
            </w:pPr>
            <w:r w:rsidRPr="00090486">
              <w:rPr>
                <w:rFonts w:ascii="Times New Roman" w:hAnsi="Times New Roman" w:cs="Times New Roman"/>
                <w:b/>
                <w:color w:val="000000"/>
                <w:sz w:val="24"/>
                <w:szCs w:val="24"/>
              </w:rPr>
              <w:lastRenderedPageBreak/>
              <w:t>Economique</w:t>
            </w:r>
          </w:p>
        </w:tc>
        <w:tc>
          <w:tcPr>
            <w:tcW w:w="1210" w:type="dxa"/>
            <w:vMerge/>
            <w:shd w:val="clear" w:color="auto" w:fill="F2F2F2" w:themeFill="background1" w:themeFillShade="F2"/>
          </w:tcPr>
          <w:p w:rsidR="007C6FAC" w:rsidRPr="007679AF" w:rsidRDefault="007C6FAC" w:rsidP="000C12E5">
            <w:pPr>
              <w:jc w:val="both"/>
              <w:rPr>
                <w:rFonts w:ascii="Times New Roman" w:hAnsi="Times New Roman" w:cs="Times New Roman"/>
                <w:color w:val="000000"/>
                <w:sz w:val="24"/>
                <w:szCs w:val="24"/>
              </w:rPr>
            </w:pPr>
          </w:p>
        </w:tc>
        <w:tc>
          <w:tcPr>
            <w:tcW w:w="805" w:type="dxa"/>
            <w:shd w:val="clear" w:color="auto" w:fill="E2EFD9" w:themeFill="accent6" w:themeFillTint="33"/>
            <w:vAlign w:val="center"/>
          </w:tcPr>
          <w:p w:rsidR="007C6FAC" w:rsidRPr="007679AF" w:rsidRDefault="007C6FAC" w:rsidP="00977901">
            <w:pPr>
              <w:jc w:val="center"/>
              <w:rPr>
                <w:rFonts w:ascii="Times New Roman" w:hAnsi="Times New Roman" w:cs="Times New Roman"/>
                <w:b/>
                <w:color w:val="000000"/>
                <w:sz w:val="20"/>
                <w:szCs w:val="20"/>
              </w:rPr>
            </w:pPr>
            <w:r w:rsidRPr="007679AF">
              <w:rPr>
                <w:rFonts w:ascii="Times New Roman" w:hAnsi="Times New Roman" w:cs="Times New Roman"/>
                <w:b/>
                <w:color w:val="000000"/>
                <w:sz w:val="20"/>
                <w:szCs w:val="20"/>
              </w:rPr>
              <w:t>Effet</w:t>
            </w:r>
            <w:r w:rsidR="00F6660B">
              <w:rPr>
                <w:rFonts w:ascii="Times New Roman" w:hAnsi="Times New Roman" w:cs="Times New Roman"/>
                <w:b/>
                <w:color w:val="000000"/>
                <w:sz w:val="20"/>
                <w:szCs w:val="20"/>
              </w:rPr>
              <w:t>s</w:t>
            </w:r>
            <w:r w:rsidRPr="007679AF">
              <w:rPr>
                <w:rFonts w:ascii="Times New Roman" w:hAnsi="Times New Roman" w:cs="Times New Roman"/>
                <w:b/>
                <w:color w:val="000000"/>
                <w:sz w:val="20"/>
                <w:szCs w:val="20"/>
              </w:rPr>
              <w:t xml:space="preserve"> positif</w:t>
            </w:r>
            <w:r w:rsidR="00F6660B">
              <w:rPr>
                <w:rFonts w:ascii="Times New Roman" w:hAnsi="Times New Roman" w:cs="Times New Roman"/>
                <w:b/>
                <w:color w:val="000000"/>
                <w:sz w:val="20"/>
                <w:szCs w:val="20"/>
              </w:rPr>
              <w:t>s</w:t>
            </w:r>
          </w:p>
        </w:tc>
        <w:tc>
          <w:tcPr>
            <w:tcW w:w="8403" w:type="dxa"/>
          </w:tcPr>
          <w:p w:rsidR="007C6FAC" w:rsidRPr="00090486" w:rsidRDefault="007C6FAC" w:rsidP="00FA3FAE">
            <w:pPr>
              <w:pStyle w:val="Listecouleur-Accent11"/>
              <w:numPr>
                <w:ilvl w:val="0"/>
                <w:numId w:val="72"/>
              </w:numPr>
              <w:ind w:left="167" w:hanging="142"/>
              <w:rPr>
                <w:rFonts w:ascii="Times New Roman" w:hAnsi="Times New Roman"/>
                <w:lang w:val="fr-FR"/>
              </w:rPr>
            </w:pPr>
            <w:r w:rsidRPr="00090486">
              <w:rPr>
                <w:rFonts w:ascii="Times New Roman" w:hAnsi="Times New Roman"/>
                <w:lang w:val="fr-FR"/>
              </w:rPr>
              <w:t>Augmentation des ressources économiques pour le EAGB ;</w:t>
            </w:r>
          </w:p>
          <w:p w:rsidR="007C6FAC" w:rsidRPr="00090486" w:rsidRDefault="007C6FAC" w:rsidP="00FA3FAE">
            <w:pPr>
              <w:pStyle w:val="Listecouleur-Accent11"/>
              <w:numPr>
                <w:ilvl w:val="0"/>
                <w:numId w:val="72"/>
              </w:numPr>
              <w:ind w:left="167" w:hanging="142"/>
              <w:rPr>
                <w:rFonts w:ascii="Times New Roman" w:hAnsi="Times New Roman"/>
                <w:lang w:val="fr-FR"/>
              </w:rPr>
            </w:pPr>
            <w:r w:rsidRPr="00090486">
              <w:rPr>
                <w:rFonts w:ascii="Times New Roman" w:hAnsi="Times New Roman"/>
                <w:lang w:val="fr-FR"/>
              </w:rPr>
              <w:t>Regain dynamique par rapport aux investissements privés ;</w:t>
            </w:r>
          </w:p>
          <w:p w:rsidR="007C6FAC" w:rsidRDefault="007C6FAC" w:rsidP="00FA3FAE">
            <w:pPr>
              <w:pStyle w:val="Listecouleur-Accent11"/>
              <w:numPr>
                <w:ilvl w:val="0"/>
                <w:numId w:val="72"/>
              </w:numPr>
              <w:ind w:left="167" w:hanging="142"/>
              <w:rPr>
                <w:rFonts w:ascii="Times New Roman" w:hAnsi="Times New Roman"/>
                <w:lang w:val="fr-FR"/>
              </w:rPr>
            </w:pPr>
            <w:r w:rsidRPr="00090486">
              <w:rPr>
                <w:rFonts w:ascii="Times New Roman" w:hAnsi="Times New Roman"/>
                <w:lang w:val="fr-FR"/>
              </w:rPr>
              <w:t>Réaction d’emplois temporaires par le recrutement des ouvriers locaux ;</w:t>
            </w:r>
          </w:p>
          <w:p w:rsidR="00977901" w:rsidRPr="00977901" w:rsidRDefault="00977901" w:rsidP="00FA3FAE">
            <w:pPr>
              <w:numPr>
                <w:ilvl w:val="0"/>
                <w:numId w:val="72"/>
              </w:numPr>
              <w:shd w:val="clear" w:color="auto" w:fill="FFFFFF"/>
              <w:ind w:left="167" w:hanging="142"/>
              <w:rPr>
                <w:rFonts w:ascii="Times New Roman" w:eastAsia="Calibri" w:hAnsi="Times New Roman" w:cs="Times New Roman"/>
                <w:b/>
              </w:rPr>
            </w:pPr>
            <w:r w:rsidRPr="00977901">
              <w:rPr>
                <w:rFonts w:ascii="Times New Roman" w:eastAsia="Calibri" w:hAnsi="Times New Roman" w:cs="Times New Roman"/>
                <w:b/>
              </w:rPr>
              <w:t>Faible coût d’investissement</w:t>
            </w:r>
          </w:p>
        </w:tc>
      </w:tr>
      <w:tr w:rsidR="007C6FAC" w:rsidRPr="00B7508E" w:rsidTr="00BE5322">
        <w:tc>
          <w:tcPr>
            <w:tcW w:w="498" w:type="dxa"/>
            <w:vMerge/>
            <w:shd w:val="clear" w:color="auto" w:fill="E2EFD9" w:themeFill="accent6" w:themeFillTint="33"/>
          </w:tcPr>
          <w:p w:rsidR="007C6FAC" w:rsidRPr="007679AF" w:rsidRDefault="007C6FAC" w:rsidP="000C12E5">
            <w:pPr>
              <w:jc w:val="both"/>
              <w:rPr>
                <w:rFonts w:ascii="Times New Roman" w:hAnsi="Times New Roman" w:cs="Times New Roman"/>
                <w:color w:val="000000"/>
                <w:sz w:val="24"/>
                <w:szCs w:val="24"/>
              </w:rPr>
            </w:pPr>
          </w:p>
        </w:tc>
        <w:tc>
          <w:tcPr>
            <w:tcW w:w="1210" w:type="dxa"/>
            <w:vMerge/>
            <w:shd w:val="clear" w:color="auto" w:fill="F2F2F2" w:themeFill="background1" w:themeFillShade="F2"/>
          </w:tcPr>
          <w:p w:rsidR="007C6FAC" w:rsidRPr="007679AF" w:rsidRDefault="007C6FAC" w:rsidP="000C12E5">
            <w:pPr>
              <w:jc w:val="both"/>
              <w:rPr>
                <w:rFonts w:ascii="Times New Roman" w:hAnsi="Times New Roman" w:cs="Times New Roman"/>
                <w:color w:val="000000"/>
                <w:sz w:val="24"/>
                <w:szCs w:val="24"/>
              </w:rPr>
            </w:pPr>
          </w:p>
        </w:tc>
        <w:tc>
          <w:tcPr>
            <w:tcW w:w="805" w:type="dxa"/>
            <w:shd w:val="clear" w:color="auto" w:fill="FFF2CC" w:themeFill="accent4" w:themeFillTint="33"/>
            <w:vAlign w:val="center"/>
          </w:tcPr>
          <w:p w:rsidR="007C6FAC" w:rsidRPr="007679AF" w:rsidRDefault="007C6FAC" w:rsidP="00977901">
            <w:pPr>
              <w:jc w:val="center"/>
              <w:rPr>
                <w:rFonts w:ascii="Times New Roman" w:hAnsi="Times New Roman" w:cs="Times New Roman"/>
                <w:b/>
                <w:color w:val="000000"/>
                <w:sz w:val="20"/>
                <w:szCs w:val="20"/>
              </w:rPr>
            </w:pPr>
            <w:r w:rsidRPr="007679AF">
              <w:rPr>
                <w:rFonts w:ascii="Times New Roman" w:hAnsi="Times New Roman" w:cs="Times New Roman"/>
                <w:b/>
                <w:color w:val="000000"/>
                <w:sz w:val="20"/>
                <w:szCs w:val="20"/>
              </w:rPr>
              <w:t>Effet</w:t>
            </w:r>
            <w:r w:rsidR="00F6660B">
              <w:rPr>
                <w:rFonts w:ascii="Times New Roman" w:hAnsi="Times New Roman" w:cs="Times New Roman"/>
                <w:b/>
                <w:color w:val="000000"/>
                <w:sz w:val="20"/>
                <w:szCs w:val="20"/>
              </w:rPr>
              <w:t>s</w:t>
            </w:r>
            <w:r w:rsidRPr="007679AF">
              <w:rPr>
                <w:rFonts w:ascii="Times New Roman" w:hAnsi="Times New Roman" w:cs="Times New Roman"/>
                <w:b/>
                <w:color w:val="000000"/>
                <w:sz w:val="20"/>
                <w:szCs w:val="20"/>
              </w:rPr>
              <w:t xml:space="preserve"> négatif</w:t>
            </w:r>
            <w:r w:rsidR="00F6660B">
              <w:rPr>
                <w:rFonts w:ascii="Times New Roman" w:hAnsi="Times New Roman" w:cs="Times New Roman"/>
                <w:b/>
                <w:color w:val="000000"/>
                <w:sz w:val="20"/>
                <w:szCs w:val="20"/>
              </w:rPr>
              <w:t>s</w:t>
            </w:r>
          </w:p>
        </w:tc>
        <w:tc>
          <w:tcPr>
            <w:tcW w:w="8403" w:type="dxa"/>
          </w:tcPr>
          <w:p w:rsidR="00977901" w:rsidRPr="000369CE" w:rsidRDefault="007C6FAC" w:rsidP="00FA3FAE">
            <w:pPr>
              <w:pStyle w:val="Listecouleur-Accent11"/>
              <w:numPr>
                <w:ilvl w:val="0"/>
                <w:numId w:val="72"/>
              </w:numPr>
              <w:ind w:left="167" w:hanging="142"/>
              <w:rPr>
                <w:rFonts w:ascii="Times New Roman" w:hAnsi="Times New Roman"/>
                <w:lang w:val="fr-FR"/>
              </w:rPr>
            </w:pPr>
            <w:r w:rsidRPr="00B7508E">
              <w:rPr>
                <w:rFonts w:ascii="Times New Roman" w:hAnsi="Times New Roman"/>
                <w:lang w:val="fr-FR"/>
              </w:rPr>
              <w:t xml:space="preserve"> </w:t>
            </w:r>
            <w:r w:rsidR="00977901" w:rsidRPr="000369CE">
              <w:rPr>
                <w:rFonts w:ascii="Times New Roman" w:hAnsi="Times New Roman"/>
                <w:lang w:val="fr-FR"/>
              </w:rPr>
              <w:t>Coûts liés à la santé des ouvriers ;</w:t>
            </w:r>
          </w:p>
          <w:p w:rsidR="00977901" w:rsidRPr="000369CE" w:rsidRDefault="00977901" w:rsidP="00FA3FAE">
            <w:pPr>
              <w:pStyle w:val="Listecouleur-Accent11"/>
              <w:numPr>
                <w:ilvl w:val="0"/>
                <w:numId w:val="72"/>
              </w:numPr>
              <w:ind w:left="167" w:hanging="142"/>
              <w:rPr>
                <w:rFonts w:ascii="Times New Roman" w:hAnsi="Times New Roman"/>
                <w:lang w:val="fr-FR"/>
              </w:rPr>
            </w:pPr>
            <w:r w:rsidRPr="000369CE">
              <w:rPr>
                <w:rFonts w:ascii="Times New Roman" w:hAnsi="Times New Roman"/>
                <w:lang w:val="fr-FR"/>
              </w:rPr>
              <w:t>Coûts liés à l’encadrement et la formation des ouvriers</w:t>
            </w:r>
          </w:p>
          <w:p w:rsidR="007C6FAC" w:rsidRPr="00B7508E" w:rsidRDefault="00977901" w:rsidP="00FA3FAE">
            <w:pPr>
              <w:pStyle w:val="Listecouleur-Accent11"/>
              <w:numPr>
                <w:ilvl w:val="0"/>
                <w:numId w:val="72"/>
              </w:numPr>
              <w:ind w:left="167" w:hanging="142"/>
              <w:rPr>
                <w:rFonts w:ascii="Times New Roman" w:hAnsi="Times New Roman"/>
                <w:lang w:val="fr-FR"/>
              </w:rPr>
            </w:pPr>
            <w:r>
              <w:rPr>
                <w:rFonts w:ascii="Times New Roman" w:hAnsi="Times New Roman"/>
                <w:lang w:val="fr-FR"/>
              </w:rPr>
              <w:t>Cout d’achat de certain pièce a étranger</w:t>
            </w:r>
          </w:p>
        </w:tc>
      </w:tr>
    </w:tbl>
    <w:p w:rsidR="007960B4" w:rsidRDefault="007960B4" w:rsidP="007960B4">
      <w:pPr>
        <w:jc w:val="both"/>
        <w:rPr>
          <w:rFonts w:ascii="Times New Roman" w:hAnsi="Times New Roman" w:cs="Times New Roman"/>
          <w:color w:val="000000"/>
          <w:sz w:val="24"/>
          <w:szCs w:val="24"/>
        </w:rPr>
      </w:pPr>
    </w:p>
    <w:p w:rsidR="00DC7070" w:rsidRPr="003E743A" w:rsidRDefault="00DC7070" w:rsidP="00FA3FAE">
      <w:pPr>
        <w:pStyle w:val="PargrafodaLista"/>
        <w:numPr>
          <w:ilvl w:val="0"/>
          <w:numId w:val="48"/>
        </w:numPr>
        <w:overflowPunct w:val="0"/>
        <w:autoSpaceDE w:val="0"/>
        <w:autoSpaceDN w:val="0"/>
        <w:adjustRightInd w:val="0"/>
        <w:spacing w:after="240"/>
        <w:ind w:right="284"/>
        <w:jc w:val="both"/>
        <w:textAlignment w:val="baseline"/>
        <w:rPr>
          <w:rFonts w:ascii="Times New Roman" w:hAnsi="Times New Roman"/>
          <w:sz w:val="24"/>
          <w:szCs w:val="24"/>
          <w:lang w:val="fr-FR"/>
        </w:rPr>
      </w:pPr>
      <w:r w:rsidRPr="003E743A">
        <w:rPr>
          <w:rFonts w:ascii="Times New Roman" w:hAnsi="Times New Roman"/>
          <w:b/>
          <w:sz w:val="24"/>
          <w:szCs w:val="24"/>
          <w:lang w:val="fr-FR"/>
        </w:rPr>
        <w:t xml:space="preserve">Variante </w:t>
      </w:r>
      <w:r>
        <w:rPr>
          <w:rFonts w:ascii="Times New Roman" w:hAnsi="Times New Roman"/>
          <w:b/>
          <w:sz w:val="24"/>
          <w:szCs w:val="24"/>
          <w:lang w:val="fr-FR"/>
        </w:rPr>
        <w:t xml:space="preserve">3 </w:t>
      </w:r>
      <w:r w:rsidRPr="003E743A">
        <w:rPr>
          <w:rFonts w:ascii="Times New Roman" w:hAnsi="Times New Roman"/>
          <w:b/>
          <w:sz w:val="24"/>
          <w:szCs w:val="24"/>
          <w:lang w:val="fr-FR"/>
        </w:rPr>
        <w:t>:</w:t>
      </w:r>
      <w:r w:rsidRPr="003E743A">
        <w:rPr>
          <w:rFonts w:ascii="Times New Roman" w:hAnsi="Times New Roman"/>
          <w:sz w:val="24"/>
          <w:szCs w:val="24"/>
          <w:lang w:val="fr-FR"/>
        </w:rPr>
        <w:t xml:space="preserve"> «</w:t>
      </w:r>
      <w:r w:rsidR="00D6503E">
        <w:rPr>
          <w:rFonts w:ascii="Times New Roman" w:hAnsi="Times New Roman"/>
          <w:b/>
          <w:i/>
          <w:sz w:val="24"/>
          <w:szCs w:val="24"/>
          <w:lang w:val="fr-FR"/>
        </w:rPr>
        <w:t xml:space="preserve"> Méthodes de réalisation des réservoirs </w:t>
      </w:r>
      <w:r>
        <w:rPr>
          <w:rFonts w:ascii="Times New Roman" w:hAnsi="Times New Roman"/>
          <w:sz w:val="24"/>
          <w:szCs w:val="24"/>
          <w:lang w:val="fr-FR"/>
        </w:rPr>
        <w:t>» </w:t>
      </w:r>
    </w:p>
    <w:tbl>
      <w:tblPr>
        <w:tblStyle w:val="Tabelacomgrelha"/>
        <w:tblW w:w="0" w:type="auto"/>
        <w:tblInd w:w="-714" w:type="dxa"/>
        <w:tblLayout w:type="fixed"/>
        <w:tblLook w:val="04A0" w:firstRow="1" w:lastRow="0" w:firstColumn="1" w:lastColumn="0" w:noHBand="0" w:noVBand="1"/>
      </w:tblPr>
      <w:tblGrid>
        <w:gridCol w:w="425"/>
        <w:gridCol w:w="1277"/>
        <w:gridCol w:w="992"/>
        <w:gridCol w:w="7933"/>
      </w:tblGrid>
      <w:tr w:rsidR="00BE5322" w:rsidTr="00BE5322">
        <w:trPr>
          <w:trHeight w:val="269"/>
        </w:trPr>
        <w:tc>
          <w:tcPr>
            <w:tcW w:w="10627" w:type="dxa"/>
            <w:gridSpan w:val="4"/>
            <w:shd w:val="clear" w:color="auto" w:fill="FBE4D5" w:themeFill="accent2" w:themeFillTint="33"/>
          </w:tcPr>
          <w:p w:rsidR="00BE5322" w:rsidRPr="00BE5322" w:rsidRDefault="00BE5322" w:rsidP="00BE5322">
            <w:pPr>
              <w:pStyle w:val="PargrafodaLista"/>
              <w:overflowPunct w:val="0"/>
              <w:autoSpaceDE w:val="0"/>
              <w:autoSpaceDN w:val="0"/>
              <w:adjustRightInd w:val="0"/>
              <w:spacing w:after="0"/>
              <w:ind w:right="284"/>
              <w:textAlignment w:val="baseline"/>
              <w:rPr>
                <w:rFonts w:ascii="Times New Roman" w:hAnsi="Times New Roman"/>
                <w:sz w:val="24"/>
                <w:szCs w:val="24"/>
                <w:lang w:val="fr-FR"/>
              </w:rPr>
            </w:pPr>
            <w:r>
              <w:rPr>
                <w:rFonts w:ascii="Times New Roman" w:hAnsi="Times New Roman"/>
                <w:b/>
                <w:sz w:val="24"/>
                <w:szCs w:val="24"/>
                <w:lang w:val="fr-FR"/>
              </w:rPr>
              <w:t xml:space="preserve">                      </w:t>
            </w:r>
            <w:r w:rsidRPr="003E743A">
              <w:rPr>
                <w:rFonts w:ascii="Times New Roman" w:hAnsi="Times New Roman"/>
                <w:b/>
                <w:sz w:val="24"/>
                <w:szCs w:val="24"/>
                <w:lang w:val="fr-FR"/>
              </w:rPr>
              <w:t xml:space="preserve">Variante </w:t>
            </w:r>
            <w:r>
              <w:rPr>
                <w:rFonts w:ascii="Times New Roman" w:hAnsi="Times New Roman"/>
                <w:b/>
                <w:sz w:val="24"/>
                <w:szCs w:val="24"/>
                <w:lang w:val="fr-FR"/>
              </w:rPr>
              <w:t xml:space="preserve">3 </w:t>
            </w:r>
            <w:r w:rsidRPr="003E743A">
              <w:rPr>
                <w:rFonts w:ascii="Times New Roman" w:hAnsi="Times New Roman"/>
                <w:b/>
                <w:sz w:val="24"/>
                <w:szCs w:val="24"/>
                <w:lang w:val="fr-FR"/>
              </w:rPr>
              <w:t>:</w:t>
            </w:r>
            <w:r w:rsidRPr="003E743A">
              <w:rPr>
                <w:rFonts w:ascii="Times New Roman" w:hAnsi="Times New Roman"/>
                <w:sz w:val="24"/>
                <w:szCs w:val="24"/>
                <w:lang w:val="fr-FR"/>
              </w:rPr>
              <w:t xml:space="preserve"> «</w:t>
            </w:r>
            <w:r>
              <w:rPr>
                <w:rFonts w:ascii="Times New Roman" w:hAnsi="Times New Roman"/>
                <w:b/>
                <w:i/>
                <w:sz w:val="24"/>
                <w:szCs w:val="24"/>
                <w:lang w:val="fr-FR"/>
              </w:rPr>
              <w:t xml:space="preserve"> Méthodes de réalisation des réservoirs </w:t>
            </w:r>
            <w:r>
              <w:rPr>
                <w:rFonts w:ascii="Times New Roman" w:hAnsi="Times New Roman"/>
                <w:sz w:val="24"/>
                <w:szCs w:val="24"/>
                <w:lang w:val="fr-FR"/>
              </w:rPr>
              <w:t>»</w:t>
            </w:r>
          </w:p>
        </w:tc>
      </w:tr>
      <w:tr w:rsidR="002F56DB" w:rsidTr="008D7CFC">
        <w:tc>
          <w:tcPr>
            <w:tcW w:w="425" w:type="dxa"/>
            <w:vMerge w:val="restart"/>
            <w:shd w:val="clear" w:color="auto" w:fill="FBE4D5" w:themeFill="accent2" w:themeFillTint="33"/>
            <w:textDirection w:val="btLr"/>
            <w:vAlign w:val="center"/>
          </w:tcPr>
          <w:p w:rsidR="00DC7070" w:rsidRDefault="00DC7070" w:rsidP="00BE5322">
            <w:pPr>
              <w:jc w:val="center"/>
              <w:rPr>
                <w:rFonts w:ascii="Times New Roman" w:hAnsi="Times New Roman" w:cs="Times New Roman"/>
                <w:color w:val="000000"/>
                <w:sz w:val="24"/>
                <w:szCs w:val="24"/>
              </w:rPr>
            </w:pPr>
            <w:r>
              <w:rPr>
                <w:rFonts w:ascii="Times New Roman" w:hAnsi="Times New Roman" w:cs="Times New Roman"/>
                <w:color w:val="000000"/>
                <w:sz w:val="24"/>
                <w:szCs w:val="24"/>
              </w:rPr>
              <w:t>Environnement</w:t>
            </w:r>
          </w:p>
        </w:tc>
        <w:tc>
          <w:tcPr>
            <w:tcW w:w="1277" w:type="dxa"/>
            <w:vMerge w:val="restart"/>
            <w:shd w:val="clear" w:color="auto" w:fill="F2F2F2" w:themeFill="background1" w:themeFillShade="F2"/>
            <w:vAlign w:val="center"/>
          </w:tcPr>
          <w:p w:rsidR="00DC7070" w:rsidRDefault="00DC7070" w:rsidP="00BE5322">
            <w:pPr>
              <w:jc w:val="center"/>
              <w:rPr>
                <w:rFonts w:ascii="Times New Roman" w:hAnsi="Times New Roman" w:cs="Times New Roman"/>
                <w:color w:val="000000"/>
                <w:sz w:val="24"/>
                <w:szCs w:val="24"/>
              </w:rPr>
            </w:pPr>
            <w:r w:rsidRPr="00AA45E9">
              <w:rPr>
                <w:rFonts w:ascii="Times New Roman" w:hAnsi="Times New Roman"/>
                <w:b/>
                <w:bCs/>
                <w:sz w:val="24"/>
                <w:szCs w:val="24"/>
              </w:rPr>
              <w:t>méthode manuelle (</w:t>
            </w:r>
            <w:r w:rsidRPr="00AA45E9">
              <w:rPr>
                <w:rFonts w:ascii="Times New Roman" w:hAnsi="Times New Roman"/>
                <w:b/>
                <w:bCs/>
              </w:rPr>
              <w:t>HIMO)</w:t>
            </w:r>
          </w:p>
        </w:tc>
        <w:tc>
          <w:tcPr>
            <w:tcW w:w="992" w:type="dxa"/>
            <w:tcBorders>
              <w:bottom w:val="nil"/>
            </w:tcBorders>
            <w:shd w:val="clear" w:color="auto" w:fill="E2EFD9" w:themeFill="accent6" w:themeFillTint="33"/>
            <w:vAlign w:val="center"/>
          </w:tcPr>
          <w:p w:rsidR="00DC7070" w:rsidRPr="00CB4F92" w:rsidRDefault="00DC7070" w:rsidP="00BE5322">
            <w:pPr>
              <w:jc w:val="center"/>
              <w:rPr>
                <w:rFonts w:ascii="Times New Roman" w:hAnsi="Times New Roman" w:cs="Times New Roman"/>
                <w:b/>
                <w:color w:val="000000"/>
                <w:sz w:val="20"/>
                <w:szCs w:val="20"/>
              </w:rPr>
            </w:pPr>
            <w:r w:rsidRPr="00CB4F92">
              <w:rPr>
                <w:rFonts w:ascii="Times New Roman" w:hAnsi="Times New Roman" w:cs="Times New Roman"/>
                <w:b/>
                <w:color w:val="000000"/>
                <w:sz w:val="20"/>
                <w:szCs w:val="20"/>
              </w:rPr>
              <w:t>Effet</w:t>
            </w:r>
            <w:r w:rsidR="00F6660B">
              <w:rPr>
                <w:rFonts w:ascii="Times New Roman" w:hAnsi="Times New Roman" w:cs="Times New Roman"/>
                <w:b/>
                <w:color w:val="000000"/>
                <w:sz w:val="20"/>
                <w:szCs w:val="20"/>
              </w:rPr>
              <w:t>s</w:t>
            </w:r>
            <w:r w:rsidRPr="00CB4F92">
              <w:rPr>
                <w:rFonts w:ascii="Times New Roman" w:hAnsi="Times New Roman" w:cs="Times New Roman"/>
                <w:b/>
                <w:color w:val="000000"/>
                <w:sz w:val="20"/>
                <w:szCs w:val="20"/>
              </w:rPr>
              <w:t xml:space="preserve"> positif</w:t>
            </w:r>
            <w:r w:rsidR="00F6660B">
              <w:rPr>
                <w:rFonts w:ascii="Times New Roman" w:hAnsi="Times New Roman" w:cs="Times New Roman"/>
                <w:b/>
                <w:color w:val="000000"/>
                <w:sz w:val="20"/>
                <w:szCs w:val="20"/>
              </w:rPr>
              <w:t>s</w:t>
            </w:r>
          </w:p>
        </w:tc>
        <w:tc>
          <w:tcPr>
            <w:tcW w:w="7933" w:type="dxa"/>
            <w:vAlign w:val="center"/>
          </w:tcPr>
          <w:p w:rsidR="00DC7070" w:rsidRPr="002F56DB" w:rsidRDefault="00DC7070" w:rsidP="00FA3FAE">
            <w:pPr>
              <w:widowControl w:val="0"/>
              <w:numPr>
                <w:ilvl w:val="0"/>
                <w:numId w:val="74"/>
              </w:numPr>
              <w:tabs>
                <w:tab w:val="left" w:pos="175"/>
              </w:tabs>
              <w:spacing w:line="276" w:lineRule="auto"/>
              <w:ind w:left="181" w:hanging="181"/>
              <w:contextualSpacing/>
              <w:jc w:val="both"/>
              <w:rPr>
                <w:rFonts w:ascii="Times New Roman" w:hAnsi="Times New Roman"/>
                <w:sz w:val="20"/>
                <w:szCs w:val="20"/>
                <w:lang w:eastAsia="x-none"/>
              </w:rPr>
            </w:pPr>
            <w:r w:rsidRPr="002F56DB">
              <w:rPr>
                <w:rFonts w:ascii="Times New Roman" w:hAnsi="Times New Roman"/>
                <w:sz w:val="20"/>
                <w:szCs w:val="20"/>
                <w:lang w:eastAsia="x-none"/>
              </w:rPr>
              <w:t>Moins de pollution de l’air ;</w:t>
            </w:r>
          </w:p>
          <w:p w:rsidR="00DC7070" w:rsidRPr="002F56DB" w:rsidRDefault="00DC7070" w:rsidP="00FA3FAE">
            <w:pPr>
              <w:widowControl w:val="0"/>
              <w:numPr>
                <w:ilvl w:val="0"/>
                <w:numId w:val="74"/>
              </w:numPr>
              <w:tabs>
                <w:tab w:val="left" w:pos="175"/>
              </w:tabs>
              <w:spacing w:line="276" w:lineRule="auto"/>
              <w:ind w:left="181" w:hanging="181"/>
              <w:contextualSpacing/>
              <w:jc w:val="both"/>
              <w:rPr>
                <w:rFonts w:ascii="Times New Roman" w:hAnsi="Times New Roman"/>
                <w:sz w:val="20"/>
                <w:szCs w:val="20"/>
                <w:lang w:eastAsia="x-none"/>
              </w:rPr>
            </w:pPr>
            <w:r w:rsidRPr="002F56DB">
              <w:rPr>
                <w:rFonts w:ascii="Times New Roman" w:hAnsi="Times New Roman"/>
                <w:sz w:val="20"/>
                <w:szCs w:val="20"/>
                <w:lang w:eastAsia="x-none"/>
              </w:rPr>
              <w:t>Peu de perturbation de la faune</w:t>
            </w:r>
            <w:r w:rsidR="002F56DB">
              <w:rPr>
                <w:rFonts w:ascii="Times New Roman" w:hAnsi="Times New Roman"/>
                <w:sz w:val="20"/>
                <w:szCs w:val="20"/>
                <w:lang w:eastAsia="x-none"/>
              </w:rPr>
              <w:t xml:space="preserve"> </w:t>
            </w:r>
            <w:r w:rsidRPr="002F56DB">
              <w:rPr>
                <w:rFonts w:ascii="Times New Roman" w:hAnsi="Times New Roman"/>
                <w:sz w:val="20"/>
                <w:szCs w:val="20"/>
                <w:lang w:eastAsia="x-none"/>
              </w:rPr>
              <w:t>;</w:t>
            </w:r>
          </w:p>
          <w:p w:rsidR="00DC7070" w:rsidRPr="002F56DB" w:rsidRDefault="00DC7070" w:rsidP="00FA3FAE">
            <w:pPr>
              <w:widowControl w:val="0"/>
              <w:numPr>
                <w:ilvl w:val="0"/>
                <w:numId w:val="74"/>
              </w:numPr>
              <w:tabs>
                <w:tab w:val="left" w:pos="175"/>
              </w:tabs>
              <w:spacing w:line="276" w:lineRule="auto"/>
              <w:ind w:left="181" w:hanging="181"/>
              <w:contextualSpacing/>
              <w:jc w:val="both"/>
              <w:rPr>
                <w:rFonts w:ascii="Times New Roman" w:hAnsi="Times New Roman"/>
                <w:sz w:val="20"/>
                <w:szCs w:val="20"/>
                <w:lang w:eastAsia="x-none"/>
              </w:rPr>
            </w:pPr>
            <w:r w:rsidRPr="002F56DB">
              <w:rPr>
                <w:rFonts w:ascii="Times New Roman" w:hAnsi="Times New Roman"/>
                <w:sz w:val="20"/>
                <w:szCs w:val="20"/>
                <w:lang w:eastAsia="x-none"/>
              </w:rPr>
              <w:t>Peu de pollution des eaux de surface et souterraine ;</w:t>
            </w:r>
          </w:p>
          <w:p w:rsidR="00DC7070" w:rsidRPr="002F56DB" w:rsidRDefault="00DC7070" w:rsidP="00FA3FAE">
            <w:pPr>
              <w:widowControl w:val="0"/>
              <w:numPr>
                <w:ilvl w:val="0"/>
                <w:numId w:val="74"/>
              </w:numPr>
              <w:tabs>
                <w:tab w:val="left" w:pos="175"/>
              </w:tabs>
              <w:spacing w:line="276" w:lineRule="auto"/>
              <w:ind w:left="181" w:hanging="181"/>
              <w:contextualSpacing/>
              <w:jc w:val="both"/>
              <w:rPr>
                <w:rFonts w:ascii="Times New Roman" w:hAnsi="Times New Roman"/>
                <w:sz w:val="20"/>
                <w:szCs w:val="20"/>
                <w:lang w:eastAsia="x-none"/>
              </w:rPr>
            </w:pPr>
            <w:r w:rsidRPr="002F56DB">
              <w:rPr>
                <w:rFonts w:ascii="Times New Roman" w:hAnsi="Times New Roman"/>
                <w:sz w:val="20"/>
                <w:szCs w:val="20"/>
                <w:lang w:eastAsia="x-none"/>
              </w:rPr>
              <w:t>Peu de dégradation des sols ;</w:t>
            </w:r>
          </w:p>
          <w:p w:rsidR="00DC7070" w:rsidRPr="002F56DB" w:rsidRDefault="00DC7070" w:rsidP="00FA3FAE">
            <w:pPr>
              <w:widowControl w:val="0"/>
              <w:numPr>
                <w:ilvl w:val="0"/>
                <w:numId w:val="74"/>
              </w:numPr>
              <w:tabs>
                <w:tab w:val="left" w:pos="175"/>
              </w:tabs>
              <w:spacing w:line="276" w:lineRule="auto"/>
              <w:ind w:left="181" w:hanging="181"/>
              <w:contextualSpacing/>
              <w:jc w:val="both"/>
              <w:rPr>
                <w:rFonts w:ascii="Times New Roman" w:hAnsi="Times New Roman"/>
                <w:sz w:val="20"/>
                <w:szCs w:val="20"/>
                <w:lang w:eastAsia="x-none"/>
              </w:rPr>
            </w:pPr>
            <w:r w:rsidRPr="002F56DB">
              <w:rPr>
                <w:rFonts w:ascii="Times New Roman" w:hAnsi="Times New Roman"/>
                <w:sz w:val="20"/>
                <w:szCs w:val="20"/>
                <w:lang w:eastAsia="x-none"/>
              </w:rPr>
              <w:t>Réduction des dommages causés à l'environnement ;</w:t>
            </w:r>
          </w:p>
        </w:tc>
      </w:tr>
      <w:tr w:rsidR="002F56DB" w:rsidTr="008D7CFC">
        <w:tc>
          <w:tcPr>
            <w:tcW w:w="425" w:type="dxa"/>
            <w:vMerge/>
            <w:shd w:val="clear" w:color="auto" w:fill="FBE4D5" w:themeFill="accent2" w:themeFillTint="33"/>
            <w:vAlign w:val="center"/>
          </w:tcPr>
          <w:p w:rsidR="00DC7070" w:rsidRDefault="00DC7070" w:rsidP="00BE5322">
            <w:pPr>
              <w:jc w:val="center"/>
              <w:rPr>
                <w:rFonts w:ascii="Times New Roman" w:hAnsi="Times New Roman" w:cs="Times New Roman"/>
                <w:color w:val="000000"/>
                <w:sz w:val="24"/>
                <w:szCs w:val="24"/>
              </w:rPr>
            </w:pPr>
          </w:p>
        </w:tc>
        <w:tc>
          <w:tcPr>
            <w:tcW w:w="1277" w:type="dxa"/>
            <w:vMerge/>
            <w:shd w:val="clear" w:color="auto" w:fill="F2F2F2" w:themeFill="background1" w:themeFillShade="F2"/>
            <w:vAlign w:val="center"/>
          </w:tcPr>
          <w:p w:rsidR="00DC7070" w:rsidRDefault="00DC7070" w:rsidP="00BE5322">
            <w:pPr>
              <w:jc w:val="center"/>
              <w:rPr>
                <w:rFonts w:ascii="Times New Roman" w:hAnsi="Times New Roman" w:cs="Times New Roman"/>
                <w:color w:val="000000"/>
                <w:sz w:val="24"/>
                <w:szCs w:val="24"/>
              </w:rPr>
            </w:pPr>
          </w:p>
        </w:tc>
        <w:tc>
          <w:tcPr>
            <w:tcW w:w="992" w:type="dxa"/>
            <w:shd w:val="clear" w:color="auto" w:fill="FFF2CC" w:themeFill="accent4" w:themeFillTint="33"/>
            <w:vAlign w:val="center"/>
          </w:tcPr>
          <w:p w:rsidR="00DC7070" w:rsidRPr="00CB4F92" w:rsidRDefault="00DC7070" w:rsidP="00BE5322">
            <w:pPr>
              <w:jc w:val="center"/>
              <w:rPr>
                <w:rFonts w:ascii="Times New Roman" w:hAnsi="Times New Roman" w:cs="Times New Roman"/>
                <w:b/>
                <w:color w:val="000000"/>
                <w:sz w:val="20"/>
                <w:szCs w:val="20"/>
              </w:rPr>
            </w:pPr>
            <w:r w:rsidRPr="00CB4F92">
              <w:rPr>
                <w:rFonts w:ascii="Times New Roman" w:hAnsi="Times New Roman" w:cs="Times New Roman"/>
                <w:b/>
                <w:color w:val="000000"/>
                <w:sz w:val="20"/>
                <w:szCs w:val="20"/>
              </w:rPr>
              <w:t>Effet</w:t>
            </w:r>
            <w:r w:rsidR="00F6660B">
              <w:rPr>
                <w:rFonts w:ascii="Times New Roman" w:hAnsi="Times New Roman" w:cs="Times New Roman"/>
                <w:b/>
                <w:color w:val="000000"/>
                <w:sz w:val="20"/>
                <w:szCs w:val="20"/>
              </w:rPr>
              <w:t>s</w:t>
            </w:r>
            <w:r w:rsidRPr="00CB4F92">
              <w:rPr>
                <w:rFonts w:ascii="Times New Roman" w:hAnsi="Times New Roman" w:cs="Times New Roman"/>
                <w:b/>
                <w:color w:val="000000"/>
                <w:sz w:val="20"/>
                <w:szCs w:val="20"/>
              </w:rPr>
              <w:t xml:space="preserve"> négatif</w:t>
            </w:r>
            <w:r w:rsidR="00F6660B">
              <w:rPr>
                <w:rFonts w:ascii="Times New Roman" w:hAnsi="Times New Roman" w:cs="Times New Roman"/>
                <w:b/>
                <w:color w:val="000000"/>
                <w:sz w:val="20"/>
                <w:szCs w:val="20"/>
              </w:rPr>
              <w:t>s</w:t>
            </w:r>
          </w:p>
        </w:tc>
        <w:tc>
          <w:tcPr>
            <w:tcW w:w="7933" w:type="dxa"/>
            <w:vAlign w:val="center"/>
          </w:tcPr>
          <w:p w:rsidR="00DC7070" w:rsidRPr="002F56DB" w:rsidRDefault="00DC7070" w:rsidP="00FA3FAE">
            <w:pPr>
              <w:widowControl w:val="0"/>
              <w:numPr>
                <w:ilvl w:val="0"/>
                <w:numId w:val="74"/>
              </w:numPr>
              <w:tabs>
                <w:tab w:val="left" w:pos="175"/>
              </w:tabs>
              <w:spacing w:line="276" w:lineRule="auto"/>
              <w:ind w:left="181" w:hanging="181"/>
              <w:contextualSpacing/>
              <w:jc w:val="both"/>
              <w:rPr>
                <w:rFonts w:ascii="Times New Roman" w:hAnsi="Times New Roman"/>
                <w:sz w:val="20"/>
                <w:szCs w:val="20"/>
                <w:lang w:eastAsia="x-none"/>
              </w:rPr>
            </w:pPr>
            <w:r w:rsidRPr="002F56DB">
              <w:rPr>
                <w:rFonts w:ascii="Times New Roman" w:hAnsi="Times New Roman"/>
                <w:sz w:val="20"/>
                <w:szCs w:val="20"/>
                <w:lang w:eastAsia="x-none"/>
              </w:rPr>
              <w:t>Risque de destruction ou d’abattage d’arbre dû à l’installation de la base vie ;</w:t>
            </w:r>
          </w:p>
          <w:p w:rsidR="00DC7070" w:rsidRPr="002F56DB" w:rsidRDefault="00DC7070" w:rsidP="00FA3FAE">
            <w:pPr>
              <w:widowControl w:val="0"/>
              <w:numPr>
                <w:ilvl w:val="0"/>
                <w:numId w:val="74"/>
              </w:numPr>
              <w:tabs>
                <w:tab w:val="left" w:pos="175"/>
              </w:tabs>
              <w:spacing w:line="276" w:lineRule="auto"/>
              <w:ind w:left="181" w:hanging="181"/>
              <w:contextualSpacing/>
              <w:jc w:val="both"/>
              <w:rPr>
                <w:rFonts w:ascii="Times New Roman" w:hAnsi="Times New Roman"/>
                <w:sz w:val="20"/>
                <w:szCs w:val="20"/>
                <w:lang w:eastAsia="x-none"/>
              </w:rPr>
            </w:pPr>
            <w:r w:rsidRPr="002F56DB">
              <w:rPr>
                <w:rFonts w:ascii="Times New Roman" w:hAnsi="Times New Roman"/>
                <w:sz w:val="20"/>
                <w:szCs w:val="20"/>
                <w:lang w:eastAsia="x-none"/>
              </w:rPr>
              <w:t>Plus de production de déchets solide et liquide ;</w:t>
            </w:r>
          </w:p>
          <w:p w:rsidR="00DC7070" w:rsidRPr="002F56DB" w:rsidRDefault="00DC7070" w:rsidP="00FA3FAE">
            <w:pPr>
              <w:widowControl w:val="0"/>
              <w:numPr>
                <w:ilvl w:val="0"/>
                <w:numId w:val="74"/>
              </w:numPr>
              <w:tabs>
                <w:tab w:val="left" w:pos="175"/>
              </w:tabs>
              <w:spacing w:line="276" w:lineRule="auto"/>
              <w:ind w:left="181" w:hanging="181"/>
              <w:contextualSpacing/>
              <w:jc w:val="both"/>
              <w:rPr>
                <w:rFonts w:ascii="Times New Roman" w:hAnsi="Times New Roman"/>
                <w:sz w:val="20"/>
                <w:szCs w:val="20"/>
                <w:lang w:eastAsia="x-none"/>
              </w:rPr>
            </w:pPr>
            <w:r w:rsidRPr="002F56DB">
              <w:rPr>
                <w:rFonts w:ascii="Times New Roman" w:hAnsi="Times New Roman"/>
                <w:sz w:val="20"/>
                <w:szCs w:val="20"/>
                <w:lang w:eastAsia="x-none"/>
              </w:rPr>
              <w:t>Risque de</w:t>
            </w:r>
            <w:r w:rsidR="002F56DB">
              <w:rPr>
                <w:rFonts w:ascii="Times New Roman" w:hAnsi="Times New Roman"/>
                <w:sz w:val="20"/>
                <w:szCs w:val="20"/>
                <w:lang w:eastAsia="x-none"/>
              </w:rPr>
              <w:t xml:space="preserve"> déclenchement de</w:t>
            </w:r>
            <w:r w:rsidRPr="002F56DB">
              <w:rPr>
                <w:rFonts w:ascii="Times New Roman" w:hAnsi="Times New Roman"/>
                <w:sz w:val="20"/>
                <w:szCs w:val="20"/>
                <w:lang w:eastAsia="x-none"/>
              </w:rPr>
              <w:t xml:space="preserve"> feu par rapport aux ouvriers fumeur ;</w:t>
            </w:r>
          </w:p>
          <w:p w:rsidR="00DC7070" w:rsidRPr="002F56DB" w:rsidRDefault="00DC7070" w:rsidP="00FA3FAE">
            <w:pPr>
              <w:widowControl w:val="0"/>
              <w:numPr>
                <w:ilvl w:val="0"/>
                <w:numId w:val="74"/>
              </w:numPr>
              <w:tabs>
                <w:tab w:val="left" w:pos="175"/>
              </w:tabs>
              <w:spacing w:line="276" w:lineRule="auto"/>
              <w:ind w:left="181" w:hanging="181"/>
              <w:contextualSpacing/>
              <w:jc w:val="both"/>
              <w:rPr>
                <w:rFonts w:ascii="Times New Roman" w:hAnsi="Times New Roman"/>
                <w:sz w:val="20"/>
                <w:szCs w:val="20"/>
                <w:lang w:eastAsia="x-none"/>
              </w:rPr>
            </w:pPr>
            <w:r w:rsidRPr="002F56DB">
              <w:rPr>
                <w:rFonts w:ascii="Times New Roman" w:hAnsi="Times New Roman"/>
                <w:sz w:val="20"/>
                <w:szCs w:val="20"/>
                <w:lang w:eastAsia="x-none"/>
              </w:rPr>
              <w:t>Risque de faible compactage</w:t>
            </w:r>
            <w:r w:rsidR="002F56DB">
              <w:rPr>
                <w:rFonts w:ascii="Times New Roman" w:hAnsi="Times New Roman"/>
                <w:sz w:val="20"/>
                <w:szCs w:val="20"/>
                <w:lang w:eastAsia="x-none"/>
              </w:rPr>
              <w:t xml:space="preserve"> des sols</w:t>
            </w:r>
            <w:r w:rsidRPr="002F56DB">
              <w:rPr>
                <w:rFonts w:ascii="Times New Roman" w:hAnsi="Times New Roman"/>
                <w:sz w:val="20"/>
                <w:szCs w:val="20"/>
                <w:lang w:eastAsia="x-none"/>
              </w:rPr>
              <w:t> ;</w:t>
            </w:r>
          </w:p>
        </w:tc>
      </w:tr>
      <w:tr w:rsidR="002F56DB" w:rsidTr="008D7CFC">
        <w:tc>
          <w:tcPr>
            <w:tcW w:w="425" w:type="dxa"/>
            <w:vMerge w:val="restart"/>
            <w:shd w:val="clear" w:color="auto" w:fill="FBE4D5" w:themeFill="accent2" w:themeFillTint="33"/>
            <w:textDirection w:val="btLr"/>
            <w:vAlign w:val="center"/>
          </w:tcPr>
          <w:p w:rsidR="00DC7070" w:rsidRDefault="00DC7070" w:rsidP="00BE5322">
            <w:pPr>
              <w:jc w:val="center"/>
              <w:rPr>
                <w:rFonts w:ascii="Times New Roman" w:hAnsi="Times New Roman" w:cs="Times New Roman"/>
                <w:color w:val="000000"/>
                <w:sz w:val="24"/>
                <w:szCs w:val="24"/>
              </w:rPr>
            </w:pPr>
            <w:r>
              <w:rPr>
                <w:rFonts w:ascii="Times New Roman" w:hAnsi="Times New Roman" w:cs="Times New Roman"/>
                <w:color w:val="000000"/>
                <w:sz w:val="24"/>
                <w:szCs w:val="24"/>
              </w:rPr>
              <w:t>Social</w:t>
            </w:r>
          </w:p>
        </w:tc>
        <w:tc>
          <w:tcPr>
            <w:tcW w:w="1277" w:type="dxa"/>
            <w:vMerge/>
            <w:shd w:val="clear" w:color="auto" w:fill="F2F2F2" w:themeFill="background1" w:themeFillShade="F2"/>
            <w:vAlign w:val="center"/>
          </w:tcPr>
          <w:p w:rsidR="00DC7070" w:rsidRDefault="00DC7070" w:rsidP="00BE5322">
            <w:pPr>
              <w:jc w:val="center"/>
              <w:rPr>
                <w:rFonts w:ascii="Times New Roman" w:hAnsi="Times New Roman" w:cs="Times New Roman"/>
                <w:color w:val="000000"/>
                <w:sz w:val="24"/>
                <w:szCs w:val="24"/>
              </w:rPr>
            </w:pPr>
          </w:p>
        </w:tc>
        <w:tc>
          <w:tcPr>
            <w:tcW w:w="992" w:type="dxa"/>
            <w:shd w:val="clear" w:color="auto" w:fill="E2EFD9" w:themeFill="accent6" w:themeFillTint="33"/>
            <w:vAlign w:val="center"/>
          </w:tcPr>
          <w:p w:rsidR="00DC7070" w:rsidRPr="00CB4F92" w:rsidRDefault="00DC7070" w:rsidP="00BE5322">
            <w:pPr>
              <w:jc w:val="center"/>
              <w:rPr>
                <w:rFonts w:ascii="Times New Roman" w:hAnsi="Times New Roman" w:cs="Times New Roman"/>
                <w:b/>
                <w:color w:val="000000"/>
                <w:sz w:val="20"/>
                <w:szCs w:val="20"/>
              </w:rPr>
            </w:pPr>
            <w:r w:rsidRPr="00CB4F92">
              <w:rPr>
                <w:rFonts w:ascii="Times New Roman" w:hAnsi="Times New Roman" w:cs="Times New Roman"/>
                <w:b/>
                <w:color w:val="000000"/>
                <w:sz w:val="20"/>
                <w:szCs w:val="20"/>
              </w:rPr>
              <w:t>Effet</w:t>
            </w:r>
            <w:r w:rsidR="00F6660B">
              <w:rPr>
                <w:rFonts w:ascii="Times New Roman" w:hAnsi="Times New Roman" w:cs="Times New Roman"/>
                <w:b/>
                <w:color w:val="000000"/>
                <w:sz w:val="20"/>
                <w:szCs w:val="20"/>
              </w:rPr>
              <w:t>s</w:t>
            </w:r>
            <w:r w:rsidRPr="00CB4F92">
              <w:rPr>
                <w:rFonts w:ascii="Times New Roman" w:hAnsi="Times New Roman" w:cs="Times New Roman"/>
                <w:b/>
                <w:color w:val="000000"/>
                <w:sz w:val="20"/>
                <w:szCs w:val="20"/>
              </w:rPr>
              <w:t xml:space="preserve"> positif</w:t>
            </w:r>
            <w:r w:rsidR="00F6660B">
              <w:rPr>
                <w:rFonts w:ascii="Times New Roman" w:hAnsi="Times New Roman" w:cs="Times New Roman"/>
                <w:b/>
                <w:color w:val="000000"/>
                <w:sz w:val="20"/>
                <w:szCs w:val="20"/>
              </w:rPr>
              <w:t>s</w:t>
            </w:r>
          </w:p>
        </w:tc>
        <w:tc>
          <w:tcPr>
            <w:tcW w:w="7933" w:type="dxa"/>
            <w:vAlign w:val="center"/>
          </w:tcPr>
          <w:p w:rsidR="00DC7070" w:rsidRPr="002F56DB" w:rsidRDefault="00DC7070" w:rsidP="00FA3FAE">
            <w:pPr>
              <w:widowControl w:val="0"/>
              <w:numPr>
                <w:ilvl w:val="0"/>
                <w:numId w:val="74"/>
              </w:numPr>
              <w:tabs>
                <w:tab w:val="left" w:pos="175"/>
              </w:tabs>
              <w:spacing w:line="276" w:lineRule="auto"/>
              <w:ind w:left="181" w:hanging="181"/>
              <w:contextualSpacing/>
              <w:jc w:val="both"/>
              <w:rPr>
                <w:rFonts w:ascii="Times New Roman" w:hAnsi="Times New Roman"/>
                <w:sz w:val="20"/>
                <w:szCs w:val="20"/>
                <w:lang w:eastAsia="x-none"/>
              </w:rPr>
            </w:pPr>
            <w:r w:rsidRPr="002F56DB">
              <w:rPr>
                <w:rFonts w:ascii="Times New Roman" w:hAnsi="Times New Roman"/>
                <w:sz w:val="20"/>
                <w:szCs w:val="20"/>
                <w:lang w:eastAsia="x-none"/>
              </w:rPr>
              <w:t>Création d’emplois (main d’œuvre peu qualifiée) ;</w:t>
            </w:r>
          </w:p>
          <w:p w:rsidR="00DC7070" w:rsidRPr="002F56DB" w:rsidRDefault="00DC7070" w:rsidP="00FA3FAE">
            <w:pPr>
              <w:widowControl w:val="0"/>
              <w:numPr>
                <w:ilvl w:val="0"/>
                <w:numId w:val="74"/>
              </w:numPr>
              <w:tabs>
                <w:tab w:val="left" w:pos="175"/>
              </w:tabs>
              <w:spacing w:line="276" w:lineRule="auto"/>
              <w:ind w:left="181" w:hanging="181"/>
              <w:contextualSpacing/>
              <w:jc w:val="both"/>
              <w:rPr>
                <w:rFonts w:ascii="Times New Roman" w:hAnsi="Times New Roman"/>
                <w:sz w:val="20"/>
                <w:szCs w:val="20"/>
                <w:lang w:eastAsia="x-none"/>
              </w:rPr>
            </w:pPr>
            <w:r w:rsidRPr="002F56DB">
              <w:rPr>
                <w:rFonts w:ascii="Times New Roman" w:hAnsi="Times New Roman"/>
                <w:sz w:val="20"/>
                <w:szCs w:val="20"/>
                <w:lang w:eastAsia="x-none"/>
              </w:rPr>
              <w:t xml:space="preserve">Meilleure appropriation du </w:t>
            </w:r>
            <w:r w:rsidR="002F56DB">
              <w:rPr>
                <w:rFonts w:ascii="Times New Roman" w:hAnsi="Times New Roman"/>
                <w:sz w:val="20"/>
                <w:szCs w:val="20"/>
                <w:lang w:eastAsia="x-none"/>
              </w:rPr>
              <w:t xml:space="preserve">sous </w:t>
            </w:r>
            <w:r w:rsidRPr="002F56DB">
              <w:rPr>
                <w:rFonts w:ascii="Times New Roman" w:hAnsi="Times New Roman"/>
                <w:sz w:val="20"/>
                <w:szCs w:val="20"/>
                <w:lang w:eastAsia="x-none"/>
              </w:rPr>
              <w:t>projet et des différents ouvrages ;</w:t>
            </w:r>
          </w:p>
          <w:p w:rsidR="00DC7070" w:rsidRPr="002F56DB" w:rsidRDefault="00DC7070" w:rsidP="00FA3FAE">
            <w:pPr>
              <w:widowControl w:val="0"/>
              <w:numPr>
                <w:ilvl w:val="0"/>
                <w:numId w:val="74"/>
              </w:numPr>
              <w:tabs>
                <w:tab w:val="left" w:pos="175"/>
              </w:tabs>
              <w:spacing w:line="276" w:lineRule="auto"/>
              <w:ind w:left="181" w:hanging="181"/>
              <w:contextualSpacing/>
              <w:jc w:val="both"/>
              <w:rPr>
                <w:rFonts w:ascii="Times New Roman" w:hAnsi="Times New Roman"/>
                <w:sz w:val="20"/>
                <w:szCs w:val="20"/>
                <w:lang w:eastAsia="x-none"/>
              </w:rPr>
            </w:pPr>
            <w:r w:rsidRPr="002F56DB">
              <w:rPr>
                <w:rFonts w:ascii="Times New Roman" w:hAnsi="Times New Roman"/>
                <w:sz w:val="20"/>
                <w:szCs w:val="20"/>
                <w:lang w:eastAsia="x-none"/>
              </w:rPr>
              <w:t>Facilitation d’accès aux marchés et services sociaux</w:t>
            </w:r>
          </w:p>
          <w:p w:rsidR="00DC7070" w:rsidRPr="002F56DB" w:rsidRDefault="00C747E4" w:rsidP="00FA3FAE">
            <w:pPr>
              <w:widowControl w:val="0"/>
              <w:numPr>
                <w:ilvl w:val="0"/>
                <w:numId w:val="74"/>
              </w:numPr>
              <w:tabs>
                <w:tab w:val="left" w:pos="175"/>
              </w:tabs>
              <w:spacing w:line="276" w:lineRule="auto"/>
              <w:ind w:left="181" w:hanging="181"/>
              <w:contextualSpacing/>
              <w:jc w:val="both"/>
              <w:rPr>
                <w:rFonts w:ascii="Times New Roman" w:hAnsi="Times New Roman"/>
                <w:sz w:val="20"/>
                <w:szCs w:val="20"/>
                <w:lang w:eastAsia="x-none"/>
              </w:rPr>
            </w:pPr>
            <w:r>
              <w:rPr>
                <w:rFonts w:ascii="Times New Roman" w:hAnsi="Times New Roman"/>
                <w:sz w:val="20"/>
                <w:szCs w:val="20"/>
                <w:lang w:eastAsia="x-none"/>
              </w:rPr>
              <w:t>Contribution</w:t>
            </w:r>
            <w:r w:rsidR="00DC7070" w:rsidRPr="002F56DB">
              <w:rPr>
                <w:rFonts w:ascii="Times New Roman" w:hAnsi="Times New Roman"/>
                <w:sz w:val="20"/>
                <w:szCs w:val="20"/>
                <w:lang w:eastAsia="x-none"/>
              </w:rPr>
              <w:t xml:space="preserve"> à la réduction de la pauvreté ;</w:t>
            </w:r>
          </w:p>
          <w:p w:rsidR="00DC7070" w:rsidRPr="002F56DB" w:rsidRDefault="00DC7070" w:rsidP="00FA3FAE">
            <w:pPr>
              <w:widowControl w:val="0"/>
              <w:numPr>
                <w:ilvl w:val="0"/>
                <w:numId w:val="74"/>
              </w:numPr>
              <w:tabs>
                <w:tab w:val="left" w:pos="175"/>
              </w:tabs>
              <w:spacing w:line="276" w:lineRule="auto"/>
              <w:ind w:left="181" w:hanging="181"/>
              <w:contextualSpacing/>
              <w:jc w:val="both"/>
              <w:rPr>
                <w:rFonts w:ascii="Times New Roman" w:hAnsi="Times New Roman"/>
                <w:sz w:val="20"/>
                <w:szCs w:val="20"/>
                <w:lang w:eastAsia="x-none"/>
              </w:rPr>
            </w:pPr>
            <w:r w:rsidRPr="002F56DB">
              <w:rPr>
                <w:rFonts w:ascii="Times New Roman" w:hAnsi="Times New Roman"/>
                <w:sz w:val="20"/>
                <w:szCs w:val="20"/>
                <w:lang w:eastAsia="x-none"/>
              </w:rPr>
              <w:t>Formation et transfert de savoir sur les travaux à la communauté locale ;</w:t>
            </w:r>
          </w:p>
          <w:p w:rsidR="00DC7070" w:rsidRPr="002F56DB" w:rsidRDefault="00DC7070" w:rsidP="00FA3FAE">
            <w:pPr>
              <w:widowControl w:val="0"/>
              <w:numPr>
                <w:ilvl w:val="0"/>
                <w:numId w:val="74"/>
              </w:numPr>
              <w:tabs>
                <w:tab w:val="left" w:pos="175"/>
              </w:tabs>
              <w:spacing w:line="276" w:lineRule="auto"/>
              <w:ind w:left="181" w:hanging="181"/>
              <w:contextualSpacing/>
              <w:jc w:val="both"/>
              <w:rPr>
                <w:rFonts w:ascii="Times New Roman" w:hAnsi="Times New Roman"/>
                <w:sz w:val="20"/>
                <w:szCs w:val="20"/>
                <w:lang w:eastAsia="x-none"/>
              </w:rPr>
            </w:pPr>
            <w:r w:rsidRPr="002F56DB">
              <w:rPr>
                <w:rFonts w:ascii="Times New Roman" w:hAnsi="Times New Roman"/>
                <w:sz w:val="20"/>
                <w:szCs w:val="20"/>
                <w:lang w:eastAsia="x-none"/>
              </w:rPr>
              <w:t>Déploiement de plusieurs équipes avec un certain nombre de personnes ;</w:t>
            </w:r>
          </w:p>
          <w:p w:rsidR="00DC7070" w:rsidRPr="002F56DB" w:rsidRDefault="00DC7070" w:rsidP="00FA3FAE">
            <w:pPr>
              <w:widowControl w:val="0"/>
              <w:numPr>
                <w:ilvl w:val="0"/>
                <w:numId w:val="74"/>
              </w:numPr>
              <w:tabs>
                <w:tab w:val="left" w:pos="175"/>
              </w:tabs>
              <w:spacing w:line="276" w:lineRule="auto"/>
              <w:ind w:left="181" w:hanging="181"/>
              <w:contextualSpacing/>
              <w:jc w:val="both"/>
              <w:rPr>
                <w:rFonts w:ascii="Times New Roman" w:hAnsi="Times New Roman"/>
                <w:sz w:val="20"/>
                <w:szCs w:val="20"/>
                <w:lang w:eastAsia="x-none"/>
              </w:rPr>
            </w:pPr>
            <w:r w:rsidRPr="002F56DB">
              <w:rPr>
                <w:rFonts w:ascii="Times New Roman" w:hAnsi="Times New Roman"/>
                <w:sz w:val="20"/>
                <w:szCs w:val="20"/>
                <w:lang w:eastAsia="x-none"/>
              </w:rPr>
              <w:t>Dans l’ensemble des secteurs concernés la main d’œuvre est abondante et bon marché ;</w:t>
            </w:r>
          </w:p>
        </w:tc>
      </w:tr>
      <w:tr w:rsidR="002F56DB" w:rsidTr="008D7CFC">
        <w:tc>
          <w:tcPr>
            <w:tcW w:w="425" w:type="dxa"/>
            <w:vMerge/>
            <w:shd w:val="clear" w:color="auto" w:fill="FBE4D5" w:themeFill="accent2" w:themeFillTint="33"/>
            <w:textDirection w:val="btLr"/>
            <w:vAlign w:val="center"/>
          </w:tcPr>
          <w:p w:rsidR="00DC7070" w:rsidRDefault="00DC7070" w:rsidP="00BE5322">
            <w:pPr>
              <w:jc w:val="center"/>
              <w:rPr>
                <w:rFonts w:ascii="Times New Roman" w:hAnsi="Times New Roman" w:cs="Times New Roman"/>
                <w:color w:val="000000"/>
                <w:sz w:val="24"/>
                <w:szCs w:val="24"/>
              </w:rPr>
            </w:pPr>
          </w:p>
        </w:tc>
        <w:tc>
          <w:tcPr>
            <w:tcW w:w="1277" w:type="dxa"/>
            <w:vMerge/>
            <w:shd w:val="clear" w:color="auto" w:fill="F2F2F2" w:themeFill="background1" w:themeFillShade="F2"/>
            <w:vAlign w:val="center"/>
          </w:tcPr>
          <w:p w:rsidR="00DC7070" w:rsidRDefault="00DC7070" w:rsidP="00BE5322">
            <w:pPr>
              <w:jc w:val="center"/>
              <w:rPr>
                <w:rFonts w:ascii="Times New Roman" w:hAnsi="Times New Roman" w:cs="Times New Roman"/>
                <w:color w:val="000000"/>
                <w:sz w:val="24"/>
                <w:szCs w:val="24"/>
              </w:rPr>
            </w:pPr>
          </w:p>
        </w:tc>
        <w:tc>
          <w:tcPr>
            <w:tcW w:w="992" w:type="dxa"/>
            <w:shd w:val="clear" w:color="auto" w:fill="FFF2CC" w:themeFill="accent4" w:themeFillTint="33"/>
            <w:vAlign w:val="center"/>
          </w:tcPr>
          <w:p w:rsidR="00DC7070" w:rsidRPr="00CB4F92" w:rsidRDefault="00DC7070" w:rsidP="00BE5322">
            <w:pPr>
              <w:jc w:val="center"/>
              <w:rPr>
                <w:rFonts w:ascii="Times New Roman" w:hAnsi="Times New Roman" w:cs="Times New Roman"/>
                <w:b/>
                <w:color w:val="000000"/>
                <w:sz w:val="20"/>
                <w:szCs w:val="20"/>
              </w:rPr>
            </w:pPr>
            <w:r w:rsidRPr="00CB4F92">
              <w:rPr>
                <w:rFonts w:ascii="Times New Roman" w:hAnsi="Times New Roman" w:cs="Times New Roman"/>
                <w:b/>
                <w:color w:val="000000"/>
                <w:sz w:val="20"/>
                <w:szCs w:val="20"/>
              </w:rPr>
              <w:t>Effet</w:t>
            </w:r>
            <w:r w:rsidR="00F6660B">
              <w:rPr>
                <w:rFonts w:ascii="Times New Roman" w:hAnsi="Times New Roman" w:cs="Times New Roman"/>
                <w:b/>
                <w:color w:val="000000"/>
                <w:sz w:val="20"/>
                <w:szCs w:val="20"/>
              </w:rPr>
              <w:t>s</w:t>
            </w:r>
            <w:r w:rsidRPr="00CB4F92">
              <w:rPr>
                <w:rFonts w:ascii="Times New Roman" w:hAnsi="Times New Roman" w:cs="Times New Roman"/>
                <w:b/>
                <w:color w:val="000000"/>
                <w:sz w:val="20"/>
                <w:szCs w:val="20"/>
              </w:rPr>
              <w:t xml:space="preserve"> négatif</w:t>
            </w:r>
            <w:r w:rsidR="00F6660B">
              <w:rPr>
                <w:rFonts w:ascii="Times New Roman" w:hAnsi="Times New Roman" w:cs="Times New Roman"/>
                <w:b/>
                <w:color w:val="000000"/>
                <w:sz w:val="20"/>
                <w:szCs w:val="20"/>
              </w:rPr>
              <w:t>s</w:t>
            </w:r>
          </w:p>
        </w:tc>
        <w:tc>
          <w:tcPr>
            <w:tcW w:w="7933" w:type="dxa"/>
            <w:vAlign w:val="center"/>
          </w:tcPr>
          <w:p w:rsidR="00DC7070" w:rsidRPr="002F56DB" w:rsidRDefault="00DC7070" w:rsidP="00FA3FAE">
            <w:pPr>
              <w:widowControl w:val="0"/>
              <w:numPr>
                <w:ilvl w:val="0"/>
                <w:numId w:val="74"/>
              </w:numPr>
              <w:tabs>
                <w:tab w:val="left" w:pos="175"/>
              </w:tabs>
              <w:spacing w:line="276" w:lineRule="auto"/>
              <w:ind w:left="181" w:hanging="181"/>
              <w:contextualSpacing/>
              <w:jc w:val="both"/>
              <w:rPr>
                <w:rFonts w:ascii="Times New Roman" w:hAnsi="Times New Roman"/>
                <w:sz w:val="20"/>
                <w:szCs w:val="20"/>
                <w:lang w:eastAsia="x-none"/>
              </w:rPr>
            </w:pPr>
            <w:r w:rsidRPr="002F56DB">
              <w:rPr>
                <w:rFonts w:ascii="Times New Roman" w:hAnsi="Times New Roman"/>
                <w:sz w:val="20"/>
                <w:szCs w:val="20"/>
                <w:lang w:eastAsia="x-none"/>
              </w:rPr>
              <w:t>Risque de retard et de len</w:t>
            </w:r>
            <w:r w:rsidR="002F56DB">
              <w:rPr>
                <w:rFonts w:ascii="Times New Roman" w:hAnsi="Times New Roman"/>
                <w:sz w:val="20"/>
                <w:szCs w:val="20"/>
                <w:lang w:eastAsia="x-none"/>
              </w:rPr>
              <w:t xml:space="preserve">teur dans l’exécution </w:t>
            </w:r>
            <w:r w:rsidR="003E4027">
              <w:rPr>
                <w:rFonts w:ascii="Times New Roman" w:hAnsi="Times New Roman"/>
                <w:sz w:val="20"/>
                <w:szCs w:val="20"/>
                <w:lang w:eastAsia="x-none"/>
              </w:rPr>
              <w:t xml:space="preserve">des travaux </w:t>
            </w:r>
            <w:r w:rsidR="003E4027" w:rsidRPr="002F56DB">
              <w:rPr>
                <w:rFonts w:ascii="Times New Roman" w:hAnsi="Times New Roman"/>
                <w:sz w:val="20"/>
                <w:szCs w:val="20"/>
                <w:lang w:eastAsia="x-none"/>
              </w:rPr>
              <w:t>;</w:t>
            </w:r>
            <w:r w:rsidRPr="002F56DB">
              <w:rPr>
                <w:rFonts w:ascii="Times New Roman" w:hAnsi="Times New Roman"/>
                <w:sz w:val="20"/>
                <w:szCs w:val="20"/>
                <w:lang w:eastAsia="x-none"/>
              </w:rPr>
              <w:t xml:space="preserve"> </w:t>
            </w:r>
          </w:p>
          <w:p w:rsidR="00DC7070" w:rsidRPr="002F56DB" w:rsidRDefault="00DC7070" w:rsidP="00FA3FAE">
            <w:pPr>
              <w:widowControl w:val="0"/>
              <w:numPr>
                <w:ilvl w:val="0"/>
                <w:numId w:val="74"/>
              </w:numPr>
              <w:tabs>
                <w:tab w:val="left" w:pos="175"/>
              </w:tabs>
              <w:spacing w:line="276" w:lineRule="auto"/>
              <w:ind w:left="181" w:hanging="181"/>
              <w:contextualSpacing/>
              <w:jc w:val="both"/>
              <w:rPr>
                <w:rFonts w:ascii="Times New Roman" w:hAnsi="Times New Roman"/>
                <w:sz w:val="20"/>
                <w:szCs w:val="20"/>
                <w:lang w:eastAsia="x-none"/>
              </w:rPr>
            </w:pPr>
            <w:r w:rsidRPr="002F56DB">
              <w:rPr>
                <w:rFonts w:ascii="Times New Roman" w:hAnsi="Times New Roman"/>
                <w:sz w:val="20"/>
                <w:szCs w:val="20"/>
                <w:lang w:eastAsia="x-none"/>
              </w:rPr>
              <w:t xml:space="preserve">Risque d’accidents dû à la promiscuité </w:t>
            </w:r>
            <w:r w:rsidR="003E4027">
              <w:rPr>
                <w:rFonts w:ascii="Times New Roman" w:hAnsi="Times New Roman"/>
                <w:sz w:val="20"/>
                <w:szCs w:val="20"/>
                <w:lang w:eastAsia="x-none"/>
              </w:rPr>
              <w:t>et à la hauteur des réservoirs</w:t>
            </w:r>
            <w:r w:rsidR="003E4027" w:rsidRPr="002F56DB">
              <w:rPr>
                <w:rFonts w:ascii="Times New Roman" w:hAnsi="Times New Roman"/>
                <w:sz w:val="20"/>
                <w:szCs w:val="20"/>
                <w:lang w:eastAsia="x-none"/>
              </w:rPr>
              <w:t xml:space="preserve"> ;</w:t>
            </w:r>
          </w:p>
          <w:p w:rsidR="00DC7070" w:rsidRPr="002F56DB" w:rsidRDefault="003E4027" w:rsidP="00FA3FAE">
            <w:pPr>
              <w:widowControl w:val="0"/>
              <w:numPr>
                <w:ilvl w:val="0"/>
                <w:numId w:val="74"/>
              </w:numPr>
              <w:tabs>
                <w:tab w:val="left" w:pos="175"/>
              </w:tabs>
              <w:spacing w:line="276" w:lineRule="auto"/>
              <w:ind w:left="181" w:hanging="181"/>
              <w:contextualSpacing/>
              <w:jc w:val="both"/>
              <w:rPr>
                <w:rFonts w:ascii="Times New Roman" w:hAnsi="Times New Roman"/>
                <w:sz w:val="20"/>
                <w:szCs w:val="20"/>
                <w:lang w:eastAsia="x-none"/>
              </w:rPr>
            </w:pPr>
            <w:r>
              <w:rPr>
                <w:rFonts w:ascii="Times New Roman" w:hAnsi="Times New Roman"/>
                <w:sz w:val="20"/>
                <w:szCs w:val="20"/>
                <w:lang w:eastAsia="x-none"/>
              </w:rPr>
              <w:t>P</w:t>
            </w:r>
            <w:r w:rsidR="00DC7070" w:rsidRPr="002F56DB">
              <w:rPr>
                <w:rFonts w:ascii="Times New Roman" w:hAnsi="Times New Roman"/>
                <w:sz w:val="20"/>
                <w:szCs w:val="20"/>
                <w:lang w:eastAsia="x-none"/>
              </w:rPr>
              <w:t>ossibilités d’application de la méthode HIMO dépendent de facteurs techniques ;</w:t>
            </w:r>
          </w:p>
          <w:p w:rsidR="00DC7070" w:rsidRPr="002F56DB" w:rsidRDefault="003E4027" w:rsidP="00FA3FAE">
            <w:pPr>
              <w:widowControl w:val="0"/>
              <w:numPr>
                <w:ilvl w:val="0"/>
                <w:numId w:val="74"/>
              </w:numPr>
              <w:tabs>
                <w:tab w:val="left" w:pos="175"/>
              </w:tabs>
              <w:spacing w:line="276" w:lineRule="auto"/>
              <w:ind w:left="181" w:hanging="181"/>
              <w:contextualSpacing/>
              <w:jc w:val="both"/>
              <w:rPr>
                <w:rFonts w:ascii="Times New Roman" w:hAnsi="Times New Roman"/>
                <w:sz w:val="20"/>
                <w:szCs w:val="20"/>
                <w:lang w:eastAsia="x-none"/>
              </w:rPr>
            </w:pPr>
            <w:r>
              <w:rPr>
                <w:rFonts w:ascii="Times New Roman" w:hAnsi="Times New Roman"/>
                <w:sz w:val="20"/>
                <w:szCs w:val="20"/>
                <w:lang w:eastAsia="x-none"/>
              </w:rPr>
              <w:t>D</w:t>
            </w:r>
            <w:r w:rsidR="00DC7070" w:rsidRPr="002F56DB">
              <w:rPr>
                <w:rFonts w:ascii="Times New Roman" w:hAnsi="Times New Roman"/>
                <w:sz w:val="20"/>
                <w:szCs w:val="20"/>
                <w:lang w:eastAsia="x-none"/>
              </w:rPr>
              <w:t>ifficultés d’atteindre une profondeur importante</w:t>
            </w:r>
            <w:r>
              <w:rPr>
                <w:rFonts w:ascii="Times New Roman" w:hAnsi="Times New Roman"/>
                <w:sz w:val="20"/>
                <w:szCs w:val="20"/>
                <w:lang w:eastAsia="x-none"/>
              </w:rPr>
              <w:t xml:space="preserve"> par rapport au fondement de la structure</w:t>
            </w:r>
            <w:r w:rsidRPr="002F56DB">
              <w:rPr>
                <w:rFonts w:ascii="Times New Roman" w:hAnsi="Times New Roman"/>
                <w:sz w:val="20"/>
                <w:szCs w:val="20"/>
                <w:lang w:eastAsia="x-none"/>
              </w:rPr>
              <w:t xml:space="preserve"> ;</w:t>
            </w:r>
          </w:p>
          <w:p w:rsidR="00DC7070" w:rsidRPr="002F56DB" w:rsidRDefault="003E4027" w:rsidP="00FA3FAE">
            <w:pPr>
              <w:widowControl w:val="0"/>
              <w:numPr>
                <w:ilvl w:val="0"/>
                <w:numId w:val="74"/>
              </w:numPr>
              <w:tabs>
                <w:tab w:val="left" w:pos="175"/>
              </w:tabs>
              <w:spacing w:line="276" w:lineRule="auto"/>
              <w:ind w:left="181" w:hanging="181"/>
              <w:contextualSpacing/>
              <w:jc w:val="both"/>
              <w:rPr>
                <w:rFonts w:ascii="Times New Roman" w:hAnsi="Times New Roman"/>
                <w:sz w:val="20"/>
                <w:szCs w:val="20"/>
                <w:lang w:eastAsia="x-none"/>
              </w:rPr>
            </w:pPr>
            <w:r>
              <w:rPr>
                <w:rFonts w:ascii="Times New Roman" w:hAnsi="Times New Roman"/>
                <w:sz w:val="20"/>
                <w:szCs w:val="20"/>
                <w:lang w:eastAsia="x-none"/>
              </w:rPr>
              <w:t>D</w:t>
            </w:r>
            <w:r w:rsidR="00DC7070" w:rsidRPr="002F56DB">
              <w:rPr>
                <w:rFonts w:ascii="Times New Roman" w:hAnsi="Times New Roman"/>
                <w:sz w:val="20"/>
                <w:szCs w:val="20"/>
                <w:lang w:eastAsia="x-none"/>
              </w:rPr>
              <w:t>ifficultés au niveau de l’encadrement et le temps pour la formation ;</w:t>
            </w:r>
          </w:p>
          <w:p w:rsidR="00DC7070" w:rsidRPr="002F56DB" w:rsidRDefault="00C747E4" w:rsidP="00FA3FAE">
            <w:pPr>
              <w:widowControl w:val="0"/>
              <w:numPr>
                <w:ilvl w:val="0"/>
                <w:numId w:val="74"/>
              </w:numPr>
              <w:tabs>
                <w:tab w:val="left" w:pos="175"/>
              </w:tabs>
              <w:spacing w:line="276" w:lineRule="auto"/>
              <w:ind w:left="181" w:hanging="181"/>
              <w:contextualSpacing/>
              <w:jc w:val="both"/>
              <w:rPr>
                <w:rFonts w:ascii="Times New Roman" w:hAnsi="Times New Roman"/>
                <w:sz w:val="20"/>
                <w:szCs w:val="20"/>
                <w:lang w:eastAsia="x-none"/>
              </w:rPr>
            </w:pPr>
            <w:r>
              <w:rPr>
                <w:rFonts w:ascii="Times New Roman" w:hAnsi="Times New Roman"/>
                <w:sz w:val="20"/>
                <w:szCs w:val="20"/>
                <w:lang w:eastAsia="x-none"/>
              </w:rPr>
              <w:t>Insuffisance</w:t>
            </w:r>
            <w:r w:rsidR="00DC7070" w:rsidRPr="002F56DB">
              <w:rPr>
                <w:rFonts w:ascii="Times New Roman" w:hAnsi="Times New Roman"/>
                <w:sz w:val="20"/>
                <w:szCs w:val="20"/>
                <w:lang w:eastAsia="x-none"/>
              </w:rPr>
              <w:t xml:space="preserve"> de techniciens de niveau intermédiaire (c’est-à-dire les chefs d’équipe et les chefs </w:t>
            </w:r>
            <w:r>
              <w:rPr>
                <w:rFonts w:ascii="Times New Roman" w:hAnsi="Times New Roman"/>
                <w:sz w:val="20"/>
                <w:szCs w:val="20"/>
                <w:lang w:eastAsia="x-none"/>
              </w:rPr>
              <w:t>de chantier) qui sont outillés d</w:t>
            </w:r>
            <w:r w:rsidR="00DC7070" w:rsidRPr="002F56DB">
              <w:rPr>
                <w:rFonts w:ascii="Times New Roman" w:hAnsi="Times New Roman"/>
                <w:sz w:val="20"/>
                <w:szCs w:val="20"/>
                <w:lang w:eastAsia="x-none"/>
              </w:rPr>
              <w:t>u point de vue technique pour encadrer la main-d’œuvre ;</w:t>
            </w:r>
          </w:p>
          <w:p w:rsidR="00DC7070" w:rsidRPr="002F56DB" w:rsidRDefault="00DC7070" w:rsidP="00FA3FAE">
            <w:pPr>
              <w:widowControl w:val="0"/>
              <w:numPr>
                <w:ilvl w:val="0"/>
                <w:numId w:val="74"/>
              </w:numPr>
              <w:tabs>
                <w:tab w:val="left" w:pos="175"/>
              </w:tabs>
              <w:spacing w:line="276" w:lineRule="auto"/>
              <w:ind w:left="181" w:hanging="181"/>
              <w:contextualSpacing/>
              <w:jc w:val="both"/>
              <w:rPr>
                <w:rFonts w:ascii="Times New Roman" w:hAnsi="Times New Roman"/>
                <w:sz w:val="20"/>
                <w:szCs w:val="20"/>
                <w:lang w:eastAsia="x-none"/>
              </w:rPr>
            </w:pPr>
            <w:r w:rsidRPr="002F56DB">
              <w:rPr>
                <w:rFonts w:ascii="Times New Roman" w:hAnsi="Times New Roman"/>
                <w:sz w:val="20"/>
                <w:szCs w:val="20"/>
                <w:lang w:eastAsia="x-none"/>
              </w:rPr>
              <w:t>Parfois ceux qui sont formés ne sont pas bien payés, ce qui ne les encourage pas à faire correctement leur travail ;</w:t>
            </w:r>
          </w:p>
          <w:p w:rsidR="00DC7070" w:rsidRPr="002F56DB" w:rsidRDefault="00DC7070" w:rsidP="00FA3FAE">
            <w:pPr>
              <w:widowControl w:val="0"/>
              <w:numPr>
                <w:ilvl w:val="0"/>
                <w:numId w:val="74"/>
              </w:numPr>
              <w:tabs>
                <w:tab w:val="left" w:pos="175"/>
              </w:tabs>
              <w:spacing w:line="276" w:lineRule="auto"/>
              <w:ind w:left="181" w:hanging="181"/>
              <w:contextualSpacing/>
              <w:jc w:val="both"/>
              <w:rPr>
                <w:rFonts w:ascii="Times New Roman" w:hAnsi="Times New Roman"/>
                <w:sz w:val="20"/>
                <w:szCs w:val="20"/>
                <w:lang w:eastAsia="x-none"/>
              </w:rPr>
            </w:pPr>
            <w:r w:rsidRPr="002F56DB">
              <w:rPr>
                <w:rFonts w:ascii="Times New Roman" w:hAnsi="Times New Roman"/>
                <w:sz w:val="20"/>
                <w:szCs w:val="20"/>
                <w:lang w:eastAsia="x-none"/>
              </w:rPr>
              <w:t>Risque d’abandonner les chantiers avant de finir les travaux complètement ;</w:t>
            </w:r>
          </w:p>
        </w:tc>
      </w:tr>
      <w:tr w:rsidR="002F56DB" w:rsidTr="008D7CFC">
        <w:tc>
          <w:tcPr>
            <w:tcW w:w="425" w:type="dxa"/>
            <w:vMerge w:val="restart"/>
            <w:shd w:val="clear" w:color="auto" w:fill="FBE4D5" w:themeFill="accent2" w:themeFillTint="33"/>
            <w:textDirection w:val="btLr"/>
            <w:vAlign w:val="center"/>
          </w:tcPr>
          <w:p w:rsidR="00DC7070" w:rsidRDefault="00DC7070" w:rsidP="00BE5322">
            <w:pPr>
              <w:jc w:val="center"/>
              <w:rPr>
                <w:rFonts w:ascii="Times New Roman" w:hAnsi="Times New Roman" w:cs="Times New Roman"/>
                <w:color w:val="000000"/>
                <w:sz w:val="24"/>
                <w:szCs w:val="24"/>
              </w:rPr>
            </w:pPr>
            <w:r>
              <w:rPr>
                <w:rFonts w:ascii="Times New Roman" w:hAnsi="Times New Roman" w:cs="Times New Roman"/>
                <w:color w:val="000000"/>
                <w:sz w:val="24"/>
                <w:szCs w:val="24"/>
              </w:rPr>
              <w:t>Economique</w:t>
            </w:r>
          </w:p>
        </w:tc>
        <w:tc>
          <w:tcPr>
            <w:tcW w:w="1277" w:type="dxa"/>
            <w:vMerge/>
            <w:shd w:val="clear" w:color="auto" w:fill="F2F2F2" w:themeFill="background1" w:themeFillShade="F2"/>
            <w:vAlign w:val="center"/>
          </w:tcPr>
          <w:p w:rsidR="00DC7070" w:rsidRDefault="00DC7070" w:rsidP="00BE5322">
            <w:pPr>
              <w:jc w:val="center"/>
              <w:rPr>
                <w:rFonts w:ascii="Times New Roman" w:hAnsi="Times New Roman" w:cs="Times New Roman"/>
                <w:color w:val="000000"/>
                <w:sz w:val="24"/>
                <w:szCs w:val="24"/>
              </w:rPr>
            </w:pPr>
          </w:p>
        </w:tc>
        <w:tc>
          <w:tcPr>
            <w:tcW w:w="992" w:type="dxa"/>
            <w:shd w:val="clear" w:color="auto" w:fill="E2EFD9" w:themeFill="accent6" w:themeFillTint="33"/>
            <w:vAlign w:val="center"/>
          </w:tcPr>
          <w:p w:rsidR="00DC7070" w:rsidRPr="00CB4F92" w:rsidRDefault="00DC7070" w:rsidP="00BE5322">
            <w:pPr>
              <w:jc w:val="center"/>
              <w:rPr>
                <w:rFonts w:ascii="Times New Roman" w:hAnsi="Times New Roman" w:cs="Times New Roman"/>
                <w:b/>
                <w:color w:val="000000"/>
                <w:sz w:val="20"/>
                <w:szCs w:val="20"/>
              </w:rPr>
            </w:pPr>
            <w:r w:rsidRPr="00CB4F92">
              <w:rPr>
                <w:rFonts w:ascii="Times New Roman" w:hAnsi="Times New Roman" w:cs="Times New Roman"/>
                <w:b/>
                <w:color w:val="000000"/>
                <w:sz w:val="20"/>
                <w:szCs w:val="20"/>
              </w:rPr>
              <w:t>Effet</w:t>
            </w:r>
            <w:r w:rsidR="00F6660B">
              <w:rPr>
                <w:rFonts w:ascii="Times New Roman" w:hAnsi="Times New Roman" w:cs="Times New Roman"/>
                <w:b/>
                <w:color w:val="000000"/>
                <w:sz w:val="20"/>
                <w:szCs w:val="20"/>
              </w:rPr>
              <w:t>s</w:t>
            </w:r>
            <w:r w:rsidRPr="00CB4F92">
              <w:rPr>
                <w:rFonts w:ascii="Times New Roman" w:hAnsi="Times New Roman" w:cs="Times New Roman"/>
                <w:b/>
                <w:color w:val="000000"/>
                <w:sz w:val="20"/>
                <w:szCs w:val="20"/>
              </w:rPr>
              <w:t xml:space="preserve"> positif</w:t>
            </w:r>
            <w:r w:rsidR="00F6660B">
              <w:rPr>
                <w:rFonts w:ascii="Times New Roman" w:hAnsi="Times New Roman" w:cs="Times New Roman"/>
                <w:b/>
                <w:color w:val="000000"/>
                <w:sz w:val="20"/>
                <w:szCs w:val="20"/>
              </w:rPr>
              <w:t>s</w:t>
            </w:r>
          </w:p>
        </w:tc>
        <w:tc>
          <w:tcPr>
            <w:tcW w:w="7933" w:type="dxa"/>
            <w:vAlign w:val="center"/>
          </w:tcPr>
          <w:p w:rsidR="00DC7070" w:rsidRPr="002F56DB" w:rsidRDefault="00DC7070" w:rsidP="00FA3FAE">
            <w:pPr>
              <w:widowControl w:val="0"/>
              <w:numPr>
                <w:ilvl w:val="0"/>
                <w:numId w:val="74"/>
              </w:numPr>
              <w:tabs>
                <w:tab w:val="left" w:pos="175"/>
              </w:tabs>
              <w:spacing w:line="276" w:lineRule="auto"/>
              <w:ind w:left="181" w:hanging="181"/>
              <w:contextualSpacing/>
              <w:jc w:val="both"/>
              <w:rPr>
                <w:rFonts w:ascii="Times New Roman" w:hAnsi="Times New Roman"/>
                <w:sz w:val="20"/>
                <w:szCs w:val="20"/>
                <w:lang w:eastAsia="x-none"/>
              </w:rPr>
            </w:pPr>
            <w:r w:rsidRPr="002F56DB">
              <w:rPr>
                <w:rFonts w:ascii="Times New Roman" w:hAnsi="Times New Roman"/>
                <w:sz w:val="20"/>
                <w:szCs w:val="20"/>
                <w:lang w:eastAsia="x-none"/>
              </w:rPr>
              <w:t>Augmentation des revenus des populations ;</w:t>
            </w:r>
          </w:p>
          <w:p w:rsidR="00DC7070" w:rsidRPr="002F56DB" w:rsidRDefault="00DC7070" w:rsidP="00FA3FAE">
            <w:pPr>
              <w:widowControl w:val="0"/>
              <w:numPr>
                <w:ilvl w:val="0"/>
                <w:numId w:val="74"/>
              </w:numPr>
              <w:tabs>
                <w:tab w:val="left" w:pos="175"/>
              </w:tabs>
              <w:spacing w:line="276" w:lineRule="auto"/>
              <w:ind w:left="181" w:hanging="181"/>
              <w:contextualSpacing/>
              <w:jc w:val="both"/>
              <w:rPr>
                <w:rFonts w:ascii="Times New Roman" w:hAnsi="Times New Roman"/>
                <w:sz w:val="20"/>
                <w:szCs w:val="20"/>
                <w:lang w:eastAsia="x-none"/>
              </w:rPr>
            </w:pPr>
            <w:r w:rsidRPr="002F56DB">
              <w:rPr>
                <w:rFonts w:ascii="Times New Roman" w:hAnsi="Times New Roman"/>
                <w:sz w:val="20"/>
                <w:szCs w:val="20"/>
                <w:lang w:eastAsia="x-none"/>
              </w:rPr>
              <w:t xml:space="preserve">Création de richesses (locales) ; </w:t>
            </w:r>
          </w:p>
          <w:p w:rsidR="00DC7070" w:rsidRPr="002F56DB" w:rsidRDefault="00DC7070" w:rsidP="00FA3FAE">
            <w:pPr>
              <w:widowControl w:val="0"/>
              <w:numPr>
                <w:ilvl w:val="0"/>
                <w:numId w:val="74"/>
              </w:numPr>
              <w:tabs>
                <w:tab w:val="left" w:pos="175"/>
              </w:tabs>
              <w:spacing w:line="276" w:lineRule="auto"/>
              <w:ind w:left="181" w:hanging="181"/>
              <w:contextualSpacing/>
              <w:jc w:val="both"/>
              <w:rPr>
                <w:rFonts w:ascii="Times New Roman" w:hAnsi="Times New Roman"/>
                <w:sz w:val="20"/>
                <w:szCs w:val="20"/>
                <w:lang w:eastAsia="x-none"/>
              </w:rPr>
            </w:pPr>
            <w:r w:rsidRPr="002F56DB">
              <w:rPr>
                <w:rFonts w:ascii="Times New Roman" w:hAnsi="Times New Roman"/>
                <w:sz w:val="20"/>
                <w:szCs w:val="20"/>
                <w:lang w:eastAsia="x-none"/>
              </w:rPr>
              <w:t>Réduction des coûts et légèrement moins chère ;</w:t>
            </w:r>
          </w:p>
          <w:p w:rsidR="00DC7070" w:rsidRPr="002F56DB" w:rsidRDefault="00DC7070" w:rsidP="00FA3FAE">
            <w:pPr>
              <w:widowControl w:val="0"/>
              <w:numPr>
                <w:ilvl w:val="0"/>
                <w:numId w:val="74"/>
              </w:numPr>
              <w:tabs>
                <w:tab w:val="left" w:pos="175"/>
              </w:tabs>
              <w:spacing w:line="276" w:lineRule="auto"/>
              <w:ind w:left="181" w:hanging="181"/>
              <w:contextualSpacing/>
              <w:jc w:val="both"/>
              <w:rPr>
                <w:rFonts w:ascii="Times New Roman" w:hAnsi="Times New Roman"/>
                <w:sz w:val="20"/>
                <w:szCs w:val="20"/>
                <w:lang w:eastAsia="x-none"/>
              </w:rPr>
            </w:pPr>
            <w:r w:rsidRPr="002F56DB">
              <w:rPr>
                <w:rFonts w:ascii="Times New Roman" w:hAnsi="Times New Roman"/>
                <w:sz w:val="20"/>
                <w:szCs w:val="20"/>
                <w:lang w:eastAsia="x-none"/>
              </w:rPr>
              <w:t>Amélioration des opportunités économiques ;</w:t>
            </w:r>
          </w:p>
          <w:p w:rsidR="00DC7070" w:rsidRPr="002F56DB" w:rsidRDefault="00DC7070" w:rsidP="00FA3FAE">
            <w:pPr>
              <w:widowControl w:val="0"/>
              <w:numPr>
                <w:ilvl w:val="0"/>
                <w:numId w:val="74"/>
              </w:numPr>
              <w:tabs>
                <w:tab w:val="left" w:pos="175"/>
              </w:tabs>
              <w:spacing w:line="276" w:lineRule="auto"/>
              <w:ind w:left="181" w:hanging="181"/>
              <w:contextualSpacing/>
              <w:jc w:val="both"/>
              <w:rPr>
                <w:rFonts w:ascii="Times New Roman" w:hAnsi="Times New Roman"/>
                <w:sz w:val="20"/>
                <w:szCs w:val="20"/>
                <w:lang w:eastAsia="x-none"/>
              </w:rPr>
            </w:pPr>
            <w:r w:rsidRPr="002F56DB">
              <w:rPr>
                <w:rFonts w:ascii="Times New Roman" w:hAnsi="Times New Roman"/>
                <w:sz w:val="20"/>
                <w:szCs w:val="20"/>
                <w:lang w:eastAsia="x-none"/>
              </w:rPr>
              <w:t>Solution onéreuse en investissement pour les réalisations (enveloppe financière disponible).</w:t>
            </w:r>
          </w:p>
        </w:tc>
      </w:tr>
      <w:tr w:rsidR="002F56DB" w:rsidTr="008D7CFC">
        <w:tc>
          <w:tcPr>
            <w:tcW w:w="425" w:type="dxa"/>
            <w:vMerge/>
            <w:shd w:val="clear" w:color="auto" w:fill="FBE4D5" w:themeFill="accent2" w:themeFillTint="33"/>
            <w:vAlign w:val="center"/>
          </w:tcPr>
          <w:p w:rsidR="00DC7070" w:rsidRDefault="00DC7070" w:rsidP="00BE5322">
            <w:pPr>
              <w:jc w:val="center"/>
              <w:rPr>
                <w:rFonts w:ascii="Times New Roman" w:hAnsi="Times New Roman" w:cs="Times New Roman"/>
                <w:color w:val="000000"/>
                <w:sz w:val="24"/>
                <w:szCs w:val="24"/>
              </w:rPr>
            </w:pPr>
          </w:p>
        </w:tc>
        <w:tc>
          <w:tcPr>
            <w:tcW w:w="1277" w:type="dxa"/>
            <w:vMerge/>
            <w:shd w:val="clear" w:color="auto" w:fill="F2F2F2" w:themeFill="background1" w:themeFillShade="F2"/>
            <w:vAlign w:val="center"/>
          </w:tcPr>
          <w:p w:rsidR="00DC7070" w:rsidRDefault="00DC7070" w:rsidP="00BE5322">
            <w:pPr>
              <w:jc w:val="center"/>
              <w:rPr>
                <w:rFonts w:ascii="Times New Roman" w:hAnsi="Times New Roman" w:cs="Times New Roman"/>
                <w:color w:val="000000"/>
                <w:sz w:val="24"/>
                <w:szCs w:val="24"/>
              </w:rPr>
            </w:pPr>
          </w:p>
        </w:tc>
        <w:tc>
          <w:tcPr>
            <w:tcW w:w="992" w:type="dxa"/>
            <w:shd w:val="clear" w:color="auto" w:fill="FFF2CC" w:themeFill="accent4" w:themeFillTint="33"/>
            <w:vAlign w:val="center"/>
          </w:tcPr>
          <w:p w:rsidR="00DC7070" w:rsidRPr="00CB4F92" w:rsidRDefault="00DC7070" w:rsidP="00BE5322">
            <w:pPr>
              <w:jc w:val="center"/>
              <w:rPr>
                <w:rFonts w:ascii="Times New Roman" w:hAnsi="Times New Roman" w:cs="Times New Roman"/>
                <w:b/>
                <w:color w:val="000000"/>
                <w:sz w:val="20"/>
                <w:szCs w:val="20"/>
              </w:rPr>
            </w:pPr>
            <w:r w:rsidRPr="00CB4F92">
              <w:rPr>
                <w:rFonts w:ascii="Times New Roman" w:hAnsi="Times New Roman" w:cs="Times New Roman"/>
                <w:b/>
                <w:color w:val="000000"/>
                <w:sz w:val="20"/>
                <w:szCs w:val="20"/>
              </w:rPr>
              <w:t>Effet</w:t>
            </w:r>
            <w:r w:rsidR="00F6660B">
              <w:rPr>
                <w:rFonts w:ascii="Times New Roman" w:hAnsi="Times New Roman" w:cs="Times New Roman"/>
                <w:b/>
                <w:color w:val="000000"/>
                <w:sz w:val="20"/>
                <w:szCs w:val="20"/>
              </w:rPr>
              <w:t>s</w:t>
            </w:r>
            <w:r w:rsidRPr="00CB4F92">
              <w:rPr>
                <w:rFonts w:ascii="Times New Roman" w:hAnsi="Times New Roman" w:cs="Times New Roman"/>
                <w:b/>
                <w:color w:val="000000"/>
                <w:sz w:val="20"/>
                <w:szCs w:val="20"/>
              </w:rPr>
              <w:t xml:space="preserve"> négatif</w:t>
            </w:r>
            <w:r w:rsidR="00F6660B">
              <w:rPr>
                <w:rFonts w:ascii="Times New Roman" w:hAnsi="Times New Roman" w:cs="Times New Roman"/>
                <w:b/>
                <w:color w:val="000000"/>
                <w:sz w:val="20"/>
                <w:szCs w:val="20"/>
              </w:rPr>
              <w:t>s</w:t>
            </w:r>
          </w:p>
        </w:tc>
        <w:tc>
          <w:tcPr>
            <w:tcW w:w="7933" w:type="dxa"/>
            <w:vAlign w:val="center"/>
          </w:tcPr>
          <w:p w:rsidR="00DC7070" w:rsidRPr="002F56DB" w:rsidRDefault="00DC7070" w:rsidP="00FA3FAE">
            <w:pPr>
              <w:widowControl w:val="0"/>
              <w:numPr>
                <w:ilvl w:val="0"/>
                <w:numId w:val="74"/>
              </w:numPr>
              <w:tabs>
                <w:tab w:val="left" w:pos="175"/>
              </w:tabs>
              <w:spacing w:line="276" w:lineRule="auto"/>
              <w:ind w:left="181" w:hanging="181"/>
              <w:contextualSpacing/>
              <w:jc w:val="both"/>
              <w:rPr>
                <w:rFonts w:ascii="Times New Roman" w:hAnsi="Times New Roman"/>
                <w:sz w:val="20"/>
                <w:szCs w:val="20"/>
                <w:lang w:eastAsia="x-none"/>
              </w:rPr>
            </w:pPr>
            <w:r w:rsidRPr="002F56DB">
              <w:rPr>
                <w:rFonts w:ascii="Times New Roman" w:hAnsi="Times New Roman"/>
                <w:sz w:val="20"/>
                <w:szCs w:val="20"/>
                <w:lang w:eastAsia="x-none"/>
              </w:rPr>
              <w:t>Coûts liés à la santé des ouvriers ;</w:t>
            </w:r>
          </w:p>
          <w:p w:rsidR="00DC7070" w:rsidRPr="002F56DB" w:rsidRDefault="00DC7070" w:rsidP="00FA3FAE">
            <w:pPr>
              <w:widowControl w:val="0"/>
              <w:numPr>
                <w:ilvl w:val="0"/>
                <w:numId w:val="74"/>
              </w:numPr>
              <w:tabs>
                <w:tab w:val="left" w:pos="175"/>
              </w:tabs>
              <w:spacing w:line="276" w:lineRule="auto"/>
              <w:ind w:left="181" w:hanging="181"/>
              <w:contextualSpacing/>
              <w:jc w:val="both"/>
              <w:rPr>
                <w:rFonts w:ascii="Times New Roman" w:hAnsi="Times New Roman"/>
                <w:sz w:val="20"/>
                <w:szCs w:val="20"/>
                <w:lang w:eastAsia="x-none"/>
              </w:rPr>
            </w:pPr>
            <w:r w:rsidRPr="002F56DB">
              <w:rPr>
                <w:rFonts w:ascii="Times New Roman" w:hAnsi="Times New Roman"/>
                <w:sz w:val="20"/>
                <w:szCs w:val="20"/>
                <w:lang w:eastAsia="x-none"/>
              </w:rPr>
              <w:t>Coûts liés à l’encadrement et la formation des ouvriers</w:t>
            </w:r>
          </w:p>
          <w:p w:rsidR="00DC7070" w:rsidRPr="002F56DB" w:rsidRDefault="00DC7070" w:rsidP="00FA3FAE">
            <w:pPr>
              <w:widowControl w:val="0"/>
              <w:numPr>
                <w:ilvl w:val="0"/>
                <w:numId w:val="74"/>
              </w:numPr>
              <w:tabs>
                <w:tab w:val="left" w:pos="175"/>
              </w:tabs>
              <w:spacing w:line="276" w:lineRule="auto"/>
              <w:ind w:left="181" w:hanging="181"/>
              <w:contextualSpacing/>
              <w:jc w:val="both"/>
              <w:rPr>
                <w:rFonts w:ascii="Times New Roman" w:hAnsi="Times New Roman"/>
                <w:sz w:val="20"/>
                <w:szCs w:val="20"/>
                <w:lang w:eastAsia="x-none"/>
              </w:rPr>
            </w:pPr>
            <w:r w:rsidRPr="002F56DB">
              <w:rPr>
                <w:rFonts w:ascii="Times New Roman" w:hAnsi="Times New Roman"/>
                <w:sz w:val="20"/>
                <w:szCs w:val="20"/>
                <w:lang w:eastAsia="x-none"/>
              </w:rPr>
              <w:t>Peu de perturbations liées aux travaux (perte d’actifs pour les commerçants, agriculteur…) ;</w:t>
            </w:r>
          </w:p>
        </w:tc>
      </w:tr>
      <w:tr w:rsidR="002F56DB" w:rsidTr="008D7CFC">
        <w:tc>
          <w:tcPr>
            <w:tcW w:w="425" w:type="dxa"/>
            <w:vMerge w:val="restart"/>
            <w:shd w:val="clear" w:color="auto" w:fill="FBE4D5" w:themeFill="accent2" w:themeFillTint="33"/>
            <w:textDirection w:val="btLr"/>
            <w:vAlign w:val="center"/>
          </w:tcPr>
          <w:p w:rsidR="0087146B" w:rsidRDefault="0087146B" w:rsidP="00BE5322">
            <w:pPr>
              <w:jc w:val="center"/>
              <w:rPr>
                <w:rFonts w:ascii="Times New Roman" w:hAnsi="Times New Roman" w:cs="Times New Roman"/>
                <w:color w:val="000000"/>
                <w:sz w:val="24"/>
                <w:szCs w:val="24"/>
              </w:rPr>
            </w:pPr>
            <w:r>
              <w:rPr>
                <w:rFonts w:ascii="Times New Roman" w:hAnsi="Times New Roman" w:cs="Times New Roman"/>
                <w:color w:val="000000"/>
                <w:sz w:val="24"/>
                <w:szCs w:val="24"/>
              </w:rPr>
              <w:t>Environnement</w:t>
            </w:r>
          </w:p>
        </w:tc>
        <w:tc>
          <w:tcPr>
            <w:tcW w:w="1277" w:type="dxa"/>
            <w:vMerge w:val="restart"/>
            <w:shd w:val="clear" w:color="auto" w:fill="F2F2F2" w:themeFill="background1" w:themeFillShade="F2"/>
            <w:vAlign w:val="center"/>
          </w:tcPr>
          <w:p w:rsidR="0087146B" w:rsidRDefault="0087146B" w:rsidP="00BE5322">
            <w:pPr>
              <w:jc w:val="center"/>
              <w:rPr>
                <w:rFonts w:ascii="Times New Roman" w:hAnsi="Times New Roman" w:cs="Times New Roman"/>
                <w:color w:val="000000"/>
                <w:sz w:val="24"/>
                <w:szCs w:val="24"/>
              </w:rPr>
            </w:pPr>
            <w:r w:rsidRPr="00AA45E9">
              <w:rPr>
                <w:rFonts w:ascii="Times New Roman" w:hAnsi="Times New Roman"/>
                <w:b/>
                <w:bCs/>
                <w:sz w:val="24"/>
                <w:szCs w:val="24"/>
              </w:rPr>
              <w:t>méthode mécanisée (HIEQ)</w:t>
            </w:r>
          </w:p>
        </w:tc>
        <w:tc>
          <w:tcPr>
            <w:tcW w:w="992" w:type="dxa"/>
            <w:shd w:val="clear" w:color="auto" w:fill="E2EFD9" w:themeFill="accent6" w:themeFillTint="33"/>
            <w:vAlign w:val="center"/>
          </w:tcPr>
          <w:p w:rsidR="0087146B" w:rsidRPr="00CB4F92" w:rsidRDefault="0087146B" w:rsidP="00BE5322">
            <w:pPr>
              <w:jc w:val="center"/>
              <w:rPr>
                <w:rFonts w:ascii="Times New Roman" w:hAnsi="Times New Roman" w:cs="Times New Roman"/>
                <w:b/>
                <w:color w:val="000000"/>
                <w:sz w:val="20"/>
                <w:szCs w:val="20"/>
              </w:rPr>
            </w:pPr>
            <w:r w:rsidRPr="00CB4F92">
              <w:rPr>
                <w:rFonts w:ascii="Times New Roman" w:hAnsi="Times New Roman" w:cs="Times New Roman"/>
                <w:b/>
                <w:color w:val="000000"/>
                <w:sz w:val="20"/>
                <w:szCs w:val="20"/>
              </w:rPr>
              <w:t>Effet</w:t>
            </w:r>
            <w:r w:rsidR="00F6660B">
              <w:rPr>
                <w:rFonts w:ascii="Times New Roman" w:hAnsi="Times New Roman" w:cs="Times New Roman"/>
                <w:b/>
                <w:color w:val="000000"/>
                <w:sz w:val="20"/>
                <w:szCs w:val="20"/>
              </w:rPr>
              <w:t>s</w:t>
            </w:r>
            <w:r w:rsidRPr="00CB4F92">
              <w:rPr>
                <w:rFonts w:ascii="Times New Roman" w:hAnsi="Times New Roman" w:cs="Times New Roman"/>
                <w:b/>
                <w:color w:val="000000"/>
                <w:sz w:val="20"/>
                <w:szCs w:val="20"/>
              </w:rPr>
              <w:t xml:space="preserve"> positif</w:t>
            </w:r>
            <w:r w:rsidR="00F6660B">
              <w:rPr>
                <w:rFonts w:ascii="Times New Roman" w:hAnsi="Times New Roman" w:cs="Times New Roman"/>
                <w:b/>
                <w:color w:val="000000"/>
                <w:sz w:val="20"/>
                <w:szCs w:val="20"/>
              </w:rPr>
              <w:t>s</w:t>
            </w:r>
          </w:p>
        </w:tc>
        <w:tc>
          <w:tcPr>
            <w:tcW w:w="7933" w:type="dxa"/>
            <w:vAlign w:val="center"/>
          </w:tcPr>
          <w:p w:rsidR="0087146B" w:rsidRPr="002F56DB" w:rsidRDefault="0087146B" w:rsidP="00FA3FAE">
            <w:pPr>
              <w:widowControl w:val="0"/>
              <w:numPr>
                <w:ilvl w:val="0"/>
                <w:numId w:val="74"/>
              </w:numPr>
              <w:tabs>
                <w:tab w:val="left" w:pos="175"/>
              </w:tabs>
              <w:spacing w:line="276" w:lineRule="auto"/>
              <w:ind w:left="181" w:hanging="181"/>
              <w:contextualSpacing/>
              <w:jc w:val="both"/>
              <w:rPr>
                <w:rFonts w:ascii="Times New Roman" w:hAnsi="Times New Roman"/>
                <w:sz w:val="20"/>
                <w:szCs w:val="20"/>
                <w:lang w:eastAsia="x-none"/>
              </w:rPr>
            </w:pPr>
            <w:r w:rsidRPr="002F56DB">
              <w:rPr>
                <w:rFonts w:ascii="Times New Roman" w:hAnsi="Times New Roman"/>
                <w:sz w:val="20"/>
                <w:szCs w:val="20"/>
                <w:lang w:eastAsia="x-none"/>
              </w:rPr>
              <w:t>Moins de pollution de déchets liquide ou solide ;</w:t>
            </w:r>
          </w:p>
          <w:p w:rsidR="0087146B" w:rsidRPr="002F56DB" w:rsidRDefault="0087146B" w:rsidP="00FA3FAE">
            <w:pPr>
              <w:widowControl w:val="0"/>
              <w:numPr>
                <w:ilvl w:val="0"/>
                <w:numId w:val="74"/>
              </w:numPr>
              <w:tabs>
                <w:tab w:val="left" w:pos="175"/>
              </w:tabs>
              <w:spacing w:line="276" w:lineRule="auto"/>
              <w:ind w:left="181" w:hanging="181"/>
              <w:contextualSpacing/>
              <w:jc w:val="both"/>
              <w:rPr>
                <w:rFonts w:ascii="Times New Roman" w:hAnsi="Times New Roman"/>
                <w:sz w:val="20"/>
                <w:szCs w:val="20"/>
                <w:lang w:eastAsia="x-none"/>
              </w:rPr>
            </w:pPr>
            <w:r w:rsidRPr="002F56DB">
              <w:rPr>
                <w:rFonts w:ascii="Times New Roman" w:hAnsi="Times New Roman"/>
                <w:sz w:val="20"/>
                <w:szCs w:val="20"/>
                <w:lang w:eastAsia="x-none"/>
              </w:rPr>
              <w:t>Risques de nuisances mineures durant les travaux ;</w:t>
            </w:r>
          </w:p>
          <w:p w:rsidR="0087146B" w:rsidRPr="002F56DB" w:rsidRDefault="0087146B" w:rsidP="00FA3FAE">
            <w:pPr>
              <w:widowControl w:val="0"/>
              <w:numPr>
                <w:ilvl w:val="0"/>
                <w:numId w:val="74"/>
              </w:numPr>
              <w:tabs>
                <w:tab w:val="left" w:pos="175"/>
              </w:tabs>
              <w:spacing w:line="276" w:lineRule="auto"/>
              <w:ind w:left="181" w:hanging="181"/>
              <w:contextualSpacing/>
              <w:jc w:val="both"/>
              <w:rPr>
                <w:rFonts w:ascii="Times New Roman" w:hAnsi="Times New Roman"/>
                <w:sz w:val="20"/>
                <w:szCs w:val="20"/>
                <w:lang w:eastAsia="x-none"/>
              </w:rPr>
            </w:pPr>
            <w:r w:rsidRPr="002F56DB">
              <w:rPr>
                <w:rFonts w:ascii="Times New Roman" w:hAnsi="Times New Roman"/>
                <w:sz w:val="20"/>
                <w:szCs w:val="20"/>
                <w:lang w:eastAsia="x-none"/>
              </w:rPr>
              <w:t xml:space="preserve">Un meilleur compactage du sol pour éviter les phénomènes d’érosion ou d’affaissement </w:t>
            </w:r>
            <w:r w:rsidR="00C30E22">
              <w:rPr>
                <w:rFonts w:ascii="Times New Roman" w:hAnsi="Times New Roman"/>
                <w:sz w:val="20"/>
                <w:szCs w:val="20"/>
                <w:lang w:eastAsia="x-none"/>
              </w:rPr>
              <w:t>au</w:t>
            </w:r>
            <w:r w:rsidR="00C747E4">
              <w:rPr>
                <w:rFonts w:ascii="Times New Roman" w:hAnsi="Times New Roman"/>
                <w:sz w:val="20"/>
                <w:szCs w:val="20"/>
                <w:lang w:eastAsia="x-none"/>
              </w:rPr>
              <w:t>x</w:t>
            </w:r>
            <w:r w:rsidR="00C30E22">
              <w:rPr>
                <w:rFonts w:ascii="Times New Roman" w:hAnsi="Times New Roman"/>
                <w:sz w:val="20"/>
                <w:szCs w:val="20"/>
                <w:lang w:eastAsia="x-none"/>
              </w:rPr>
              <w:t xml:space="preserve"> rebords des réservoirs. </w:t>
            </w:r>
          </w:p>
        </w:tc>
      </w:tr>
      <w:tr w:rsidR="002F56DB" w:rsidTr="008D7CFC">
        <w:tc>
          <w:tcPr>
            <w:tcW w:w="425" w:type="dxa"/>
            <w:vMerge/>
            <w:shd w:val="clear" w:color="auto" w:fill="FBE4D5" w:themeFill="accent2" w:themeFillTint="33"/>
            <w:vAlign w:val="center"/>
          </w:tcPr>
          <w:p w:rsidR="0087146B" w:rsidRDefault="0087146B" w:rsidP="00BE5322">
            <w:pPr>
              <w:jc w:val="center"/>
              <w:rPr>
                <w:rFonts w:ascii="Times New Roman" w:hAnsi="Times New Roman" w:cs="Times New Roman"/>
                <w:color w:val="000000"/>
                <w:sz w:val="24"/>
                <w:szCs w:val="24"/>
              </w:rPr>
            </w:pPr>
          </w:p>
        </w:tc>
        <w:tc>
          <w:tcPr>
            <w:tcW w:w="1277" w:type="dxa"/>
            <w:vMerge/>
            <w:shd w:val="clear" w:color="auto" w:fill="F2F2F2" w:themeFill="background1" w:themeFillShade="F2"/>
            <w:vAlign w:val="center"/>
          </w:tcPr>
          <w:p w:rsidR="0087146B" w:rsidRDefault="0087146B" w:rsidP="00BE5322">
            <w:pPr>
              <w:jc w:val="center"/>
              <w:rPr>
                <w:rFonts w:ascii="Times New Roman" w:hAnsi="Times New Roman" w:cs="Times New Roman"/>
                <w:color w:val="000000"/>
                <w:sz w:val="24"/>
                <w:szCs w:val="24"/>
              </w:rPr>
            </w:pPr>
          </w:p>
        </w:tc>
        <w:tc>
          <w:tcPr>
            <w:tcW w:w="992" w:type="dxa"/>
            <w:shd w:val="clear" w:color="auto" w:fill="FFF2CC" w:themeFill="accent4" w:themeFillTint="33"/>
            <w:vAlign w:val="center"/>
          </w:tcPr>
          <w:p w:rsidR="0087146B" w:rsidRPr="00CB4F92" w:rsidRDefault="0087146B" w:rsidP="00BE5322">
            <w:pPr>
              <w:jc w:val="center"/>
              <w:rPr>
                <w:rFonts w:ascii="Times New Roman" w:hAnsi="Times New Roman" w:cs="Times New Roman"/>
                <w:b/>
                <w:color w:val="000000"/>
                <w:sz w:val="20"/>
                <w:szCs w:val="20"/>
              </w:rPr>
            </w:pPr>
            <w:r w:rsidRPr="00CB4F92">
              <w:rPr>
                <w:rFonts w:ascii="Times New Roman" w:hAnsi="Times New Roman" w:cs="Times New Roman"/>
                <w:b/>
                <w:color w:val="000000"/>
                <w:sz w:val="20"/>
                <w:szCs w:val="20"/>
              </w:rPr>
              <w:t>Effet</w:t>
            </w:r>
            <w:r w:rsidR="00F6660B">
              <w:rPr>
                <w:rFonts w:ascii="Times New Roman" w:hAnsi="Times New Roman" w:cs="Times New Roman"/>
                <w:b/>
                <w:color w:val="000000"/>
                <w:sz w:val="20"/>
                <w:szCs w:val="20"/>
              </w:rPr>
              <w:t>s</w:t>
            </w:r>
            <w:r w:rsidRPr="00CB4F92">
              <w:rPr>
                <w:rFonts w:ascii="Times New Roman" w:hAnsi="Times New Roman" w:cs="Times New Roman"/>
                <w:b/>
                <w:color w:val="000000"/>
                <w:sz w:val="20"/>
                <w:szCs w:val="20"/>
              </w:rPr>
              <w:t xml:space="preserve"> négatif</w:t>
            </w:r>
            <w:r w:rsidR="00F6660B">
              <w:rPr>
                <w:rFonts w:ascii="Times New Roman" w:hAnsi="Times New Roman" w:cs="Times New Roman"/>
                <w:b/>
                <w:color w:val="000000"/>
                <w:sz w:val="20"/>
                <w:szCs w:val="20"/>
              </w:rPr>
              <w:t>s</w:t>
            </w:r>
          </w:p>
        </w:tc>
        <w:tc>
          <w:tcPr>
            <w:tcW w:w="7933" w:type="dxa"/>
            <w:vAlign w:val="center"/>
          </w:tcPr>
          <w:p w:rsidR="0087146B" w:rsidRPr="002F56DB" w:rsidRDefault="0087146B" w:rsidP="00FA3FAE">
            <w:pPr>
              <w:widowControl w:val="0"/>
              <w:numPr>
                <w:ilvl w:val="0"/>
                <w:numId w:val="74"/>
              </w:numPr>
              <w:tabs>
                <w:tab w:val="left" w:pos="175"/>
              </w:tabs>
              <w:spacing w:line="276" w:lineRule="auto"/>
              <w:ind w:left="181" w:hanging="181"/>
              <w:contextualSpacing/>
              <w:jc w:val="both"/>
              <w:rPr>
                <w:rFonts w:ascii="Times New Roman" w:hAnsi="Times New Roman"/>
                <w:sz w:val="20"/>
                <w:szCs w:val="20"/>
                <w:lang w:eastAsia="x-none"/>
              </w:rPr>
            </w:pPr>
            <w:r w:rsidRPr="002F56DB">
              <w:rPr>
                <w:rFonts w:ascii="Times New Roman" w:hAnsi="Times New Roman"/>
                <w:sz w:val="20"/>
                <w:szCs w:val="20"/>
                <w:lang w:eastAsia="x-none"/>
              </w:rPr>
              <w:t>Risque de pollution de l’air par les dégagements de poussières et les GES ;</w:t>
            </w:r>
          </w:p>
          <w:p w:rsidR="0087146B" w:rsidRPr="002F56DB" w:rsidRDefault="0087146B" w:rsidP="00FA3FAE">
            <w:pPr>
              <w:widowControl w:val="0"/>
              <w:numPr>
                <w:ilvl w:val="0"/>
                <w:numId w:val="74"/>
              </w:numPr>
              <w:tabs>
                <w:tab w:val="left" w:pos="175"/>
              </w:tabs>
              <w:spacing w:line="276" w:lineRule="auto"/>
              <w:ind w:left="181" w:hanging="181"/>
              <w:contextualSpacing/>
              <w:jc w:val="both"/>
              <w:rPr>
                <w:rFonts w:ascii="Times New Roman" w:hAnsi="Times New Roman"/>
                <w:sz w:val="20"/>
                <w:szCs w:val="20"/>
                <w:lang w:eastAsia="x-none"/>
              </w:rPr>
            </w:pPr>
            <w:r w:rsidRPr="002F56DB">
              <w:rPr>
                <w:rFonts w:ascii="Times New Roman" w:hAnsi="Times New Roman"/>
                <w:sz w:val="20"/>
                <w:szCs w:val="20"/>
                <w:lang w:eastAsia="x-none"/>
              </w:rPr>
              <w:t>Risque de pollution des sols ou des eaux par le déversement des hydrocarbures ;</w:t>
            </w:r>
          </w:p>
          <w:p w:rsidR="0087146B" w:rsidRPr="002F56DB" w:rsidRDefault="0087146B" w:rsidP="00FA3FAE">
            <w:pPr>
              <w:widowControl w:val="0"/>
              <w:numPr>
                <w:ilvl w:val="0"/>
                <w:numId w:val="74"/>
              </w:numPr>
              <w:tabs>
                <w:tab w:val="left" w:pos="175"/>
              </w:tabs>
              <w:spacing w:line="276" w:lineRule="auto"/>
              <w:ind w:left="181" w:hanging="181"/>
              <w:contextualSpacing/>
              <w:jc w:val="both"/>
              <w:rPr>
                <w:rFonts w:ascii="Times New Roman" w:hAnsi="Times New Roman"/>
                <w:sz w:val="20"/>
                <w:szCs w:val="20"/>
                <w:lang w:eastAsia="x-none"/>
              </w:rPr>
            </w:pPr>
            <w:r w:rsidRPr="002F56DB">
              <w:rPr>
                <w:rFonts w:ascii="Times New Roman" w:hAnsi="Times New Roman"/>
                <w:sz w:val="20"/>
                <w:szCs w:val="20"/>
                <w:lang w:eastAsia="x-none"/>
              </w:rPr>
              <w:t>Risque de perturbation des espèces faunique (oiseaux) ;</w:t>
            </w:r>
          </w:p>
          <w:p w:rsidR="0087146B" w:rsidRPr="002F56DB" w:rsidRDefault="0087146B" w:rsidP="00FA3FAE">
            <w:pPr>
              <w:widowControl w:val="0"/>
              <w:numPr>
                <w:ilvl w:val="0"/>
                <w:numId w:val="74"/>
              </w:numPr>
              <w:tabs>
                <w:tab w:val="left" w:pos="175"/>
              </w:tabs>
              <w:spacing w:line="276" w:lineRule="auto"/>
              <w:ind w:left="181" w:hanging="181"/>
              <w:contextualSpacing/>
              <w:jc w:val="both"/>
              <w:rPr>
                <w:rFonts w:ascii="Times New Roman" w:hAnsi="Times New Roman"/>
                <w:sz w:val="20"/>
                <w:szCs w:val="20"/>
                <w:lang w:eastAsia="x-none"/>
              </w:rPr>
            </w:pPr>
            <w:r w:rsidRPr="002F56DB">
              <w:rPr>
                <w:rFonts w:ascii="Times New Roman" w:hAnsi="Times New Roman"/>
                <w:sz w:val="20"/>
                <w:szCs w:val="20"/>
                <w:lang w:eastAsia="x-none"/>
              </w:rPr>
              <w:t>Peu de pollution des eaux de surface et souterraine ;</w:t>
            </w:r>
          </w:p>
          <w:p w:rsidR="0087146B" w:rsidRPr="002F56DB" w:rsidRDefault="0087146B" w:rsidP="00FA3FAE">
            <w:pPr>
              <w:widowControl w:val="0"/>
              <w:numPr>
                <w:ilvl w:val="0"/>
                <w:numId w:val="74"/>
              </w:numPr>
              <w:tabs>
                <w:tab w:val="left" w:pos="175"/>
              </w:tabs>
              <w:spacing w:line="276" w:lineRule="auto"/>
              <w:ind w:left="181" w:hanging="181"/>
              <w:contextualSpacing/>
              <w:jc w:val="both"/>
              <w:rPr>
                <w:rFonts w:ascii="Times New Roman" w:hAnsi="Times New Roman"/>
                <w:sz w:val="20"/>
                <w:szCs w:val="20"/>
                <w:lang w:eastAsia="x-none"/>
              </w:rPr>
            </w:pPr>
            <w:r w:rsidRPr="002F56DB">
              <w:rPr>
                <w:rFonts w:ascii="Times New Roman" w:hAnsi="Times New Roman"/>
                <w:sz w:val="20"/>
                <w:szCs w:val="20"/>
                <w:lang w:eastAsia="x-none"/>
              </w:rPr>
              <w:t>Peu de dégradation des sols ;</w:t>
            </w:r>
          </w:p>
        </w:tc>
      </w:tr>
      <w:tr w:rsidR="002F56DB" w:rsidTr="008D7CFC">
        <w:tc>
          <w:tcPr>
            <w:tcW w:w="425" w:type="dxa"/>
            <w:vMerge w:val="restart"/>
            <w:shd w:val="clear" w:color="auto" w:fill="FBE4D5" w:themeFill="accent2" w:themeFillTint="33"/>
            <w:textDirection w:val="btLr"/>
            <w:vAlign w:val="center"/>
          </w:tcPr>
          <w:p w:rsidR="0087146B" w:rsidRDefault="0087146B" w:rsidP="00BE5322">
            <w:pPr>
              <w:jc w:val="center"/>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Social</w:t>
            </w:r>
          </w:p>
        </w:tc>
        <w:tc>
          <w:tcPr>
            <w:tcW w:w="1277" w:type="dxa"/>
            <w:vMerge/>
            <w:shd w:val="clear" w:color="auto" w:fill="F2F2F2" w:themeFill="background1" w:themeFillShade="F2"/>
            <w:vAlign w:val="center"/>
          </w:tcPr>
          <w:p w:rsidR="0087146B" w:rsidRDefault="0087146B" w:rsidP="00BE5322">
            <w:pPr>
              <w:jc w:val="center"/>
              <w:rPr>
                <w:rFonts w:ascii="Times New Roman" w:hAnsi="Times New Roman" w:cs="Times New Roman"/>
                <w:color w:val="000000"/>
                <w:sz w:val="24"/>
                <w:szCs w:val="24"/>
              </w:rPr>
            </w:pPr>
          </w:p>
        </w:tc>
        <w:tc>
          <w:tcPr>
            <w:tcW w:w="992" w:type="dxa"/>
            <w:shd w:val="clear" w:color="auto" w:fill="E2EFD9" w:themeFill="accent6" w:themeFillTint="33"/>
            <w:vAlign w:val="center"/>
          </w:tcPr>
          <w:p w:rsidR="0087146B" w:rsidRPr="00CB4F92" w:rsidRDefault="0087146B" w:rsidP="00BE5322">
            <w:pPr>
              <w:jc w:val="center"/>
              <w:rPr>
                <w:rFonts w:ascii="Times New Roman" w:hAnsi="Times New Roman" w:cs="Times New Roman"/>
                <w:b/>
                <w:color w:val="000000"/>
                <w:sz w:val="20"/>
                <w:szCs w:val="20"/>
              </w:rPr>
            </w:pPr>
            <w:r w:rsidRPr="00CB4F92">
              <w:rPr>
                <w:rFonts w:ascii="Times New Roman" w:hAnsi="Times New Roman" w:cs="Times New Roman"/>
                <w:b/>
                <w:color w:val="000000"/>
                <w:sz w:val="20"/>
                <w:szCs w:val="20"/>
              </w:rPr>
              <w:t>Effet</w:t>
            </w:r>
            <w:r w:rsidR="00F6660B">
              <w:rPr>
                <w:rFonts w:ascii="Times New Roman" w:hAnsi="Times New Roman" w:cs="Times New Roman"/>
                <w:b/>
                <w:color w:val="000000"/>
                <w:sz w:val="20"/>
                <w:szCs w:val="20"/>
              </w:rPr>
              <w:t>s</w:t>
            </w:r>
            <w:r w:rsidRPr="00CB4F92">
              <w:rPr>
                <w:rFonts w:ascii="Times New Roman" w:hAnsi="Times New Roman" w:cs="Times New Roman"/>
                <w:b/>
                <w:color w:val="000000"/>
                <w:sz w:val="20"/>
                <w:szCs w:val="20"/>
              </w:rPr>
              <w:t xml:space="preserve"> positif</w:t>
            </w:r>
            <w:r w:rsidR="00F6660B">
              <w:rPr>
                <w:rFonts w:ascii="Times New Roman" w:hAnsi="Times New Roman" w:cs="Times New Roman"/>
                <w:b/>
                <w:color w:val="000000"/>
                <w:sz w:val="20"/>
                <w:szCs w:val="20"/>
              </w:rPr>
              <w:t>s</w:t>
            </w:r>
          </w:p>
        </w:tc>
        <w:tc>
          <w:tcPr>
            <w:tcW w:w="7933" w:type="dxa"/>
            <w:vAlign w:val="center"/>
          </w:tcPr>
          <w:p w:rsidR="0087146B" w:rsidRPr="002F56DB" w:rsidRDefault="0087146B" w:rsidP="00FA3FAE">
            <w:pPr>
              <w:widowControl w:val="0"/>
              <w:numPr>
                <w:ilvl w:val="0"/>
                <w:numId w:val="74"/>
              </w:numPr>
              <w:tabs>
                <w:tab w:val="left" w:pos="175"/>
              </w:tabs>
              <w:spacing w:line="276" w:lineRule="auto"/>
              <w:ind w:left="181" w:hanging="181"/>
              <w:contextualSpacing/>
              <w:jc w:val="both"/>
              <w:rPr>
                <w:rFonts w:ascii="Times New Roman" w:hAnsi="Times New Roman"/>
                <w:sz w:val="20"/>
                <w:szCs w:val="20"/>
                <w:lang w:eastAsia="x-none"/>
              </w:rPr>
            </w:pPr>
            <w:r w:rsidRPr="002F56DB">
              <w:rPr>
                <w:rFonts w:ascii="Times New Roman" w:hAnsi="Times New Roman"/>
                <w:sz w:val="20"/>
                <w:szCs w:val="20"/>
                <w:lang w:eastAsia="x-none"/>
              </w:rPr>
              <w:t>Exécution rapide des travaux ;</w:t>
            </w:r>
          </w:p>
          <w:p w:rsidR="0087146B" w:rsidRPr="00C30E22" w:rsidRDefault="0087146B" w:rsidP="00FA3FAE">
            <w:pPr>
              <w:widowControl w:val="0"/>
              <w:numPr>
                <w:ilvl w:val="0"/>
                <w:numId w:val="74"/>
              </w:numPr>
              <w:tabs>
                <w:tab w:val="left" w:pos="175"/>
              </w:tabs>
              <w:spacing w:line="276" w:lineRule="auto"/>
              <w:ind w:left="181" w:hanging="181"/>
              <w:contextualSpacing/>
              <w:jc w:val="both"/>
              <w:rPr>
                <w:rFonts w:ascii="Times New Roman" w:hAnsi="Times New Roman"/>
                <w:sz w:val="20"/>
                <w:szCs w:val="20"/>
                <w:lang w:eastAsia="x-none"/>
              </w:rPr>
            </w:pPr>
            <w:r w:rsidRPr="002F56DB">
              <w:rPr>
                <w:rFonts w:ascii="Times New Roman" w:hAnsi="Times New Roman"/>
                <w:sz w:val="20"/>
                <w:szCs w:val="20"/>
                <w:lang w:eastAsia="x-none"/>
              </w:rPr>
              <w:t>Une meilleure qual</w:t>
            </w:r>
            <w:r w:rsidR="00C30E22">
              <w:rPr>
                <w:rFonts w:ascii="Times New Roman" w:hAnsi="Times New Roman"/>
                <w:sz w:val="20"/>
                <w:szCs w:val="20"/>
                <w:lang w:eastAsia="x-none"/>
              </w:rPr>
              <w:t>ité de réalisation des réservoirs ;</w:t>
            </w:r>
          </w:p>
          <w:p w:rsidR="0087146B" w:rsidRPr="002F56DB" w:rsidRDefault="0087146B" w:rsidP="00FA3FAE">
            <w:pPr>
              <w:widowControl w:val="0"/>
              <w:numPr>
                <w:ilvl w:val="0"/>
                <w:numId w:val="74"/>
              </w:numPr>
              <w:tabs>
                <w:tab w:val="left" w:pos="175"/>
              </w:tabs>
              <w:spacing w:line="276" w:lineRule="auto"/>
              <w:ind w:left="181" w:hanging="181"/>
              <w:contextualSpacing/>
              <w:jc w:val="both"/>
              <w:rPr>
                <w:rFonts w:ascii="Times New Roman" w:hAnsi="Times New Roman"/>
                <w:sz w:val="20"/>
                <w:szCs w:val="20"/>
                <w:lang w:eastAsia="x-none"/>
              </w:rPr>
            </w:pPr>
            <w:r w:rsidRPr="002F56DB">
              <w:rPr>
                <w:rFonts w:ascii="Times New Roman" w:hAnsi="Times New Roman"/>
                <w:sz w:val="20"/>
                <w:szCs w:val="20"/>
                <w:lang w:eastAsia="x-none"/>
              </w:rPr>
              <w:t>Création d’emplois (et encadrement des ouvriers à l’utilisation de certain engin ;</w:t>
            </w:r>
          </w:p>
          <w:p w:rsidR="0087146B" w:rsidRPr="002F56DB" w:rsidRDefault="0087146B" w:rsidP="00FA3FAE">
            <w:pPr>
              <w:widowControl w:val="0"/>
              <w:numPr>
                <w:ilvl w:val="0"/>
                <w:numId w:val="74"/>
              </w:numPr>
              <w:tabs>
                <w:tab w:val="left" w:pos="175"/>
              </w:tabs>
              <w:spacing w:line="276" w:lineRule="auto"/>
              <w:ind w:left="181" w:hanging="181"/>
              <w:contextualSpacing/>
              <w:jc w:val="both"/>
              <w:rPr>
                <w:rFonts w:ascii="Times New Roman" w:hAnsi="Times New Roman"/>
                <w:sz w:val="20"/>
                <w:szCs w:val="20"/>
                <w:lang w:eastAsia="x-none"/>
              </w:rPr>
            </w:pPr>
            <w:r w:rsidRPr="002F56DB">
              <w:rPr>
                <w:rFonts w:ascii="Times New Roman" w:hAnsi="Times New Roman"/>
                <w:sz w:val="20"/>
                <w:szCs w:val="20"/>
                <w:lang w:eastAsia="x-none"/>
              </w:rPr>
              <w:t>Contribuer à la réduction de la pauvreté ;</w:t>
            </w:r>
          </w:p>
          <w:p w:rsidR="0087146B" w:rsidRPr="002F56DB" w:rsidRDefault="0087146B" w:rsidP="00FA3FAE">
            <w:pPr>
              <w:widowControl w:val="0"/>
              <w:numPr>
                <w:ilvl w:val="0"/>
                <w:numId w:val="74"/>
              </w:numPr>
              <w:tabs>
                <w:tab w:val="left" w:pos="175"/>
              </w:tabs>
              <w:spacing w:line="276" w:lineRule="auto"/>
              <w:ind w:left="181" w:hanging="181"/>
              <w:contextualSpacing/>
              <w:jc w:val="both"/>
              <w:rPr>
                <w:rFonts w:ascii="Times New Roman" w:hAnsi="Times New Roman"/>
                <w:sz w:val="20"/>
                <w:szCs w:val="20"/>
                <w:lang w:eastAsia="x-none"/>
              </w:rPr>
            </w:pPr>
            <w:r w:rsidRPr="002F56DB">
              <w:rPr>
                <w:rFonts w:ascii="Times New Roman" w:hAnsi="Times New Roman"/>
                <w:sz w:val="20"/>
                <w:szCs w:val="20"/>
                <w:lang w:eastAsia="x-none"/>
              </w:rPr>
              <w:t xml:space="preserve">Formation et transfert de savoir sur les techniques modernes de travail actuel ; </w:t>
            </w:r>
          </w:p>
          <w:p w:rsidR="0087146B" w:rsidRPr="002F56DB" w:rsidRDefault="0087146B" w:rsidP="00FA3FAE">
            <w:pPr>
              <w:widowControl w:val="0"/>
              <w:numPr>
                <w:ilvl w:val="0"/>
                <w:numId w:val="74"/>
              </w:numPr>
              <w:tabs>
                <w:tab w:val="left" w:pos="175"/>
              </w:tabs>
              <w:spacing w:line="276" w:lineRule="auto"/>
              <w:ind w:left="181" w:hanging="181"/>
              <w:contextualSpacing/>
              <w:jc w:val="both"/>
              <w:rPr>
                <w:rFonts w:ascii="Times New Roman" w:hAnsi="Times New Roman"/>
                <w:sz w:val="20"/>
                <w:szCs w:val="20"/>
                <w:lang w:eastAsia="x-none"/>
              </w:rPr>
            </w:pPr>
            <w:r w:rsidRPr="002F56DB">
              <w:rPr>
                <w:rFonts w:ascii="Times New Roman" w:hAnsi="Times New Roman"/>
                <w:sz w:val="20"/>
                <w:szCs w:val="20"/>
                <w:lang w:eastAsia="x-none"/>
              </w:rPr>
              <w:t>Organisation et planification du travail plus aisée ;</w:t>
            </w:r>
          </w:p>
          <w:p w:rsidR="0087146B" w:rsidRPr="002F56DB" w:rsidRDefault="0087146B" w:rsidP="00FA3FAE">
            <w:pPr>
              <w:widowControl w:val="0"/>
              <w:numPr>
                <w:ilvl w:val="0"/>
                <w:numId w:val="74"/>
              </w:numPr>
              <w:tabs>
                <w:tab w:val="left" w:pos="175"/>
              </w:tabs>
              <w:spacing w:line="276" w:lineRule="auto"/>
              <w:ind w:left="181" w:hanging="181"/>
              <w:contextualSpacing/>
              <w:jc w:val="both"/>
              <w:rPr>
                <w:rFonts w:ascii="Times New Roman" w:hAnsi="Times New Roman"/>
                <w:sz w:val="20"/>
                <w:szCs w:val="20"/>
                <w:lang w:eastAsia="x-none"/>
              </w:rPr>
            </w:pPr>
            <w:r w:rsidRPr="002F56DB">
              <w:rPr>
                <w:rFonts w:ascii="Times New Roman" w:hAnsi="Times New Roman"/>
                <w:sz w:val="20"/>
                <w:szCs w:val="20"/>
                <w:lang w:eastAsia="x-none"/>
              </w:rPr>
              <w:t>Suivi moins important ;</w:t>
            </w:r>
          </w:p>
          <w:p w:rsidR="0087146B" w:rsidRPr="002F56DB" w:rsidRDefault="0087146B" w:rsidP="00FA3FAE">
            <w:pPr>
              <w:widowControl w:val="0"/>
              <w:numPr>
                <w:ilvl w:val="0"/>
                <w:numId w:val="74"/>
              </w:numPr>
              <w:tabs>
                <w:tab w:val="left" w:pos="175"/>
              </w:tabs>
              <w:spacing w:line="276" w:lineRule="auto"/>
              <w:ind w:left="181" w:hanging="181"/>
              <w:contextualSpacing/>
              <w:jc w:val="both"/>
              <w:rPr>
                <w:rFonts w:ascii="Times New Roman" w:hAnsi="Times New Roman"/>
                <w:sz w:val="20"/>
                <w:szCs w:val="20"/>
                <w:lang w:eastAsia="x-none"/>
              </w:rPr>
            </w:pPr>
            <w:r w:rsidRPr="002F56DB">
              <w:rPr>
                <w:rFonts w:ascii="Times New Roman" w:hAnsi="Times New Roman"/>
                <w:sz w:val="20"/>
                <w:szCs w:val="20"/>
                <w:lang w:eastAsia="x-none"/>
              </w:rPr>
              <w:t>Moins de risque</w:t>
            </w:r>
            <w:r w:rsidR="00C747E4">
              <w:rPr>
                <w:rFonts w:ascii="Times New Roman" w:hAnsi="Times New Roman"/>
                <w:sz w:val="20"/>
                <w:szCs w:val="20"/>
                <w:lang w:eastAsia="x-none"/>
              </w:rPr>
              <w:t>s</w:t>
            </w:r>
            <w:r w:rsidRPr="002F56DB">
              <w:rPr>
                <w:rFonts w:ascii="Times New Roman" w:hAnsi="Times New Roman"/>
                <w:sz w:val="20"/>
                <w:szCs w:val="20"/>
                <w:lang w:eastAsia="x-none"/>
              </w:rPr>
              <w:t xml:space="preserve"> d’accident</w:t>
            </w:r>
            <w:r w:rsidR="00C747E4">
              <w:rPr>
                <w:rFonts w:ascii="Times New Roman" w:hAnsi="Times New Roman"/>
                <w:sz w:val="20"/>
                <w:szCs w:val="20"/>
                <w:lang w:eastAsia="x-none"/>
              </w:rPr>
              <w:t>s</w:t>
            </w:r>
            <w:r w:rsidRPr="002F56DB">
              <w:rPr>
                <w:rFonts w:ascii="Times New Roman" w:hAnsi="Times New Roman"/>
                <w:sz w:val="20"/>
                <w:szCs w:val="20"/>
                <w:lang w:eastAsia="x-none"/>
              </w:rPr>
              <w:t xml:space="preserve"> des ouvriers ;</w:t>
            </w:r>
          </w:p>
        </w:tc>
      </w:tr>
      <w:tr w:rsidR="002F56DB" w:rsidTr="008D7CFC">
        <w:tc>
          <w:tcPr>
            <w:tcW w:w="425" w:type="dxa"/>
            <w:vMerge/>
            <w:shd w:val="clear" w:color="auto" w:fill="FBE4D5" w:themeFill="accent2" w:themeFillTint="33"/>
            <w:textDirection w:val="btLr"/>
            <w:vAlign w:val="center"/>
          </w:tcPr>
          <w:p w:rsidR="0087146B" w:rsidRDefault="0087146B" w:rsidP="00BE5322">
            <w:pPr>
              <w:jc w:val="center"/>
              <w:rPr>
                <w:rFonts w:ascii="Times New Roman" w:hAnsi="Times New Roman" w:cs="Times New Roman"/>
                <w:color w:val="000000"/>
                <w:sz w:val="24"/>
                <w:szCs w:val="24"/>
              </w:rPr>
            </w:pPr>
          </w:p>
        </w:tc>
        <w:tc>
          <w:tcPr>
            <w:tcW w:w="1277" w:type="dxa"/>
            <w:vMerge/>
            <w:shd w:val="clear" w:color="auto" w:fill="F2F2F2" w:themeFill="background1" w:themeFillShade="F2"/>
            <w:vAlign w:val="center"/>
          </w:tcPr>
          <w:p w:rsidR="0087146B" w:rsidRDefault="0087146B" w:rsidP="00BE5322">
            <w:pPr>
              <w:jc w:val="center"/>
              <w:rPr>
                <w:rFonts w:ascii="Times New Roman" w:hAnsi="Times New Roman" w:cs="Times New Roman"/>
                <w:color w:val="000000"/>
                <w:sz w:val="24"/>
                <w:szCs w:val="24"/>
              </w:rPr>
            </w:pPr>
          </w:p>
        </w:tc>
        <w:tc>
          <w:tcPr>
            <w:tcW w:w="992" w:type="dxa"/>
            <w:shd w:val="clear" w:color="auto" w:fill="FFF2CC" w:themeFill="accent4" w:themeFillTint="33"/>
            <w:vAlign w:val="center"/>
          </w:tcPr>
          <w:p w:rsidR="0087146B" w:rsidRPr="00CB4F92" w:rsidRDefault="0087146B" w:rsidP="00BE5322">
            <w:pPr>
              <w:jc w:val="center"/>
              <w:rPr>
                <w:rFonts w:ascii="Times New Roman" w:hAnsi="Times New Roman" w:cs="Times New Roman"/>
                <w:b/>
                <w:color w:val="000000"/>
                <w:sz w:val="20"/>
                <w:szCs w:val="20"/>
              </w:rPr>
            </w:pPr>
            <w:r w:rsidRPr="00CB4F92">
              <w:rPr>
                <w:rFonts w:ascii="Times New Roman" w:hAnsi="Times New Roman" w:cs="Times New Roman"/>
                <w:b/>
                <w:color w:val="000000"/>
                <w:sz w:val="20"/>
                <w:szCs w:val="20"/>
              </w:rPr>
              <w:t>Effet</w:t>
            </w:r>
            <w:r w:rsidR="00F6660B">
              <w:rPr>
                <w:rFonts w:ascii="Times New Roman" w:hAnsi="Times New Roman" w:cs="Times New Roman"/>
                <w:b/>
                <w:color w:val="000000"/>
                <w:sz w:val="20"/>
                <w:szCs w:val="20"/>
              </w:rPr>
              <w:t>s</w:t>
            </w:r>
            <w:r w:rsidRPr="00CB4F92">
              <w:rPr>
                <w:rFonts w:ascii="Times New Roman" w:hAnsi="Times New Roman" w:cs="Times New Roman"/>
                <w:b/>
                <w:color w:val="000000"/>
                <w:sz w:val="20"/>
                <w:szCs w:val="20"/>
              </w:rPr>
              <w:t xml:space="preserve"> négatif</w:t>
            </w:r>
            <w:r w:rsidR="00F6660B">
              <w:rPr>
                <w:rFonts w:ascii="Times New Roman" w:hAnsi="Times New Roman" w:cs="Times New Roman"/>
                <w:b/>
                <w:color w:val="000000"/>
                <w:sz w:val="20"/>
                <w:szCs w:val="20"/>
              </w:rPr>
              <w:t>s</w:t>
            </w:r>
          </w:p>
        </w:tc>
        <w:tc>
          <w:tcPr>
            <w:tcW w:w="7933" w:type="dxa"/>
            <w:vAlign w:val="center"/>
          </w:tcPr>
          <w:p w:rsidR="0087146B" w:rsidRPr="002F56DB" w:rsidRDefault="0087146B" w:rsidP="00FA3FAE">
            <w:pPr>
              <w:widowControl w:val="0"/>
              <w:numPr>
                <w:ilvl w:val="0"/>
                <w:numId w:val="74"/>
              </w:numPr>
              <w:tabs>
                <w:tab w:val="left" w:pos="175"/>
              </w:tabs>
              <w:spacing w:line="276" w:lineRule="auto"/>
              <w:ind w:left="181" w:hanging="181"/>
              <w:contextualSpacing/>
              <w:jc w:val="both"/>
              <w:rPr>
                <w:rFonts w:ascii="Times New Roman" w:hAnsi="Times New Roman"/>
                <w:sz w:val="20"/>
                <w:szCs w:val="20"/>
                <w:lang w:eastAsia="x-none"/>
              </w:rPr>
            </w:pPr>
            <w:r w:rsidRPr="002F56DB">
              <w:rPr>
                <w:rFonts w:ascii="Times New Roman" w:hAnsi="Times New Roman"/>
                <w:sz w:val="20"/>
                <w:szCs w:val="20"/>
                <w:lang w:eastAsia="x-none"/>
              </w:rPr>
              <w:t>Risque d’accident (de travail ou de la circulation) ;</w:t>
            </w:r>
          </w:p>
          <w:p w:rsidR="0087146B" w:rsidRPr="002F56DB" w:rsidRDefault="0087146B" w:rsidP="00FA3FAE">
            <w:pPr>
              <w:widowControl w:val="0"/>
              <w:numPr>
                <w:ilvl w:val="0"/>
                <w:numId w:val="74"/>
              </w:numPr>
              <w:tabs>
                <w:tab w:val="left" w:pos="175"/>
              </w:tabs>
              <w:spacing w:line="276" w:lineRule="auto"/>
              <w:ind w:left="181" w:hanging="181"/>
              <w:contextualSpacing/>
              <w:jc w:val="both"/>
              <w:rPr>
                <w:rFonts w:ascii="Times New Roman" w:hAnsi="Times New Roman"/>
                <w:sz w:val="20"/>
                <w:szCs w:val="20"/>
                <w:lang w:eastAsia="x-none"/>
              </w:rPr>
            </w:pPr>
            <w:r w:rsidRPr="002F56DB">
              <w:rPr>
                <w:rFonts w:ascii="Times New Roman" w:hAnsi="Times New Roman"/>
                <w:sz w:val="20"/>
                <w:szCs w:val="20"/>
                <w:lang w:eastAsia="x-none"/>
              </w:rPr>
              <w:t>Faible impact sur le développement social de la zone d’action ;</w:t>
            </w:r>
          </w:p>
          <w:p w:rsidR="0087146B" w:rsidRPr="002F56DB" w:rsidRDefault="0087146B" w:rsidP="00FA3FAE">
            <w:pPr>
              <w:widowControl w:val="0"/>
              <w:numPr>
                <w:ilvl w:val="0"/>
                <w:numId w:val="74"/>
              </w:numPr>
              <w:tabs>
                <w:tab w:val="left" w:pos="175"/>
              </w:tabs>
              <w:spacing w:line="276" w:lineRule="auto"/>
              <w:ind w:left="181" w:hanging="181"/>
              <w:contextualSpacing/>
              <w:jc w:val="both"/>
              <w:rPr>
                <w:rFonts w:ascii="Times New Roman" w:hAnsi="Times New Roman"/>
                <w:sz w:val="20"/>
                <w:szCs w:val="20"/>
                <w:lang w:eastAsia="x-none"/>
              </w:rPr>
            </w:pPr>
            <w:r w:rsidRPr="002F56DB">
              <w:rPr>
                <w:rFonts w:ascii="Times New Roman" w:hAnsi="Times New Roman"/>
                <w:sz w:val="20"/>
                <w:szCs w:val="20"/>
                <w:lang w:eastAsia="x-none"/>
              </w:rPr>
              <w:t>Faible appropriation du secteur public et privé ;</w:t>
            </w:r>
          </w:p>
          <w:p w:rsidR="0087146B" w:rsidRPr="00C30E22" w:rsidRDefault="0087146B" w:rsidP="00FA3FAE">
            <w:pPr>
              <w:widowControl w:val="0"/>
              <w:numPr>
                <w:ilvl w:val="0"/>
                <w:numId w:val="74"/>
              </w:numPr>
              <w:tabs>
                <w:tab w:val="left" w:pos="175"/>
              </w:tabs>
              <w:spacing w:line="276" w:lineRule="auto"/>
              <w:ind w:left="181" w:hanging="181"/>
              <w:contextualSpacing/>
              <w:jc w:val="both"/>
              <w:rPr>
                <w:rFonts w:ascii="Times New Roman" w:hAnsi="Times New Roman"/>
                <w:sz w:val="20"/>
                <w:szCs w:val="20"/>
                <w:lang w:eastAsia="x-none"/>
              </w:rPr>
            </w:pPr>
            <w:r w:rsidRPr="002F56DB">
              <w:rPr>
                <w:rFonts w:ascii="Times New Roman" w:hAnsi="Times New Roman"/>
                <w:sz w:val="20"/>
                <w:szCs w:val="20"/>
                <w:lang w:eastAsia="x-none"/>
              </w:rPr>
              <w:t>Les pannes fréquentes des engins et le non disponibilité des pièces de rechange ;</w:t>
            </w:r>
          </w:p>
          <w:p w:rsidR="0087146B" w:rsidRPr="002F56DB" w:rsidRDefault="0087146B" w:rsidP="00FA3FAE">
            <w:pPr>
              <w:pStyle w:val="Listecouleur-Accent11"/>
              <w:widowControl w:val="0"/>
              <w:numPr>
                <w:ilvl w:val="0"/>
                <w:numId w:val="74"/>
              </w:numPr>
              <w:tabs>
                <w:tab w:val="left" w:pos="175"/>
              </w:tabs>
              <w:spacing w:line="276" w:lineRule="auto"/>
              <w:ind w:left="181" w:hanging="181"/>
              <w:rPr>
                <w:rFonts w:ascii="Times New Roman" w:eastAsiaTheme="minorHAnsi" w:hAnsi="Times New Roman" w:cstheme="minorBidi"/>
                <w:sz w:val="20"/>
                <w:szCs w:val="20"/>
                <w:lang w:val="fr-FR" w:eastAsia="x-none"/>
              </w:rPr>
            </w:pPr>
            <w:r w:rsidRPr="002F56DB">
              <w:rPr>
                <w:rFonts w:ascii="Times New Roman" w:eastAsiaTheme="minorHAnsi" w:hAnsi="Times New Roman" w:cstheme="minorBidi"/>
                <w:sz w:val="20"/>
                <w:szCs w:val="20"/>
                <w:lang w:val="fr-FR" w:eastAsia="x-none"/>
              </w:rPr>
              <w:t>Risque de gêner la mobilité des personnes surtout en milieu urbain ;</w:t>
            </w:r>
          </w:p>
          <w:p w:rsidR="0087146B" w:rsidRPr="002F56DB" w:rsidRDefault="0087146B" w:rsidP="00FA3FAE">
            <w:pPr>
              <w:pStyle w:val="Listecouleur-Accent11"/>
              <w:widowControl w:val="0"/>
              <w:numPr>
                <w:ilvl w:val="0"/>
                <w:numId w:val="74"/>
              </w:numPr>
              <w:tabs>
                <w:tab w:val="left" w:pos="175"/>
              </w:tabs>
              <w:spacing w:line="276" w:lineRule="auto"/>
              <w:ind w:left="181" w:hanging="181"/>
              <w:rPr>
                <w:rFonts w:ascii="Times New Roman" w:eastAsiaTheme="minorHAnsi" w:hAnsi="Times New Roman" w:cstheme="minorBidi"/>
                <w:sz w:val="20"/>
                <w:szCs w:val="20"/>
                <w:lang w:val="fr-FR" w:eastAsia="x-none"/>
              </w:rPr>
            </w:pPr>
            <w:r w:rsidRPr="002F56DB">
              <w:rPr>
                <w:rFonts w:ascii="Times New Roman" w:eastAsiaTheme="minorHAnsi" w:hAnsi="Times New Roman" w:cstheme="minorBidi"/>
                <w:sz w:val="20"/>
                <w:szCs w:val="20"/>
                <w:lang w:val="fr-FR" w:eastAsia="x-none"/>
              </w:rPr>
              <w:t>Faible nuisance sonore par rapport au bruit des moteurs ;</w:t>
            </w:r>
          </w:p>
          <w:p w:rsidR="0087146B" w:rsidRPr="002F56DB" w:rsidRDefault="0087146B" w:rsidP="00FA3FAE">
            <w:pPr>
              <w:pStyle w:val="Listecouleur-Accent11"/>
              <w:widowControl w:val="0"/>
              <w:numPr>
                <w:ilvl w:val="0"/>
                <w:numId w:val="74"/>
              </w:numPr>
              <w:tabs>
                <w:tab w:val="left" w:pos="175"/>
              </w:tabs>
              <w:spacing w:line="276" w:lineRule="auto"/>
              <w:ind w:left="181" w:hanging="181"/>
              <w:rPr>
                <w:rFonts w:ascii="Times New Roman" w:eastAsiaTheme="minorHAnsi" w:hAnsi="Times New Roman" w:cstheme="minorBidi"/>
                <w:sz w:val="20"/>
                <w:szCs w:val="20"/>
                <w:lang w:val="fr-FR" w:eastAsia="x-none"/>
              </w:rPr>
            </w:pPr>
            <w:r w:rsidRPr="002F56DB">
              <w:rPr>
                <w:rFonts w:ascii="Times New Roman" w:eastAsiaTheme="minorHAnsi" w:hAnsi="Times New Roman" w:cstheme="minorBidi"/>
                <w:sz w:val="20"/>
                <w:szCs w:val="20"/>
                <w:lang w:val="fr-FR" w:eastAsia="x-none"/>
              </w:rPr>
              <w:t>Faible nombre d’ouvrier</w:t>
            </w:r>
            <w:r w:rsidR="00C747E4">
              <w:rPr>
                <w:rFonts w:ascii="Times New Roman" w:eastAsiaTheme="minorHAnsi" w:hAnsi="Times New Roman" w:cstheme="minorBidi"/>
                <w:sz w:val="20"/>
                <w:szCs w:val="20"/>
                <w:lang w:val="fr-FR" w:eastAsia="x-none"/>
              </w:rPr>
              <w:t>s</w:t>
            </w:r>
            <w:r w:rsidRPr="002F56DB">
              <w:rPr>
                <w:rFonts w:ascii="Times New Roman" w:eastAsiaTheme="minorHAnsi" w:hAnsi="Times New Roman" w:cstheme="minorBidi"/>
                <w:sz w:val="20"/>
                <w:szCs w:val="20"/>
                <w:lang w:val="fr-FR" w:eastAsia="x-none"/>
              </w:rPr>
              <w:t xml:space="preserve"> recrutés lors de la réalisation des</w:t>
            </w:r>
            <w:r w:rsidR="00C30E22">
              <w:rPr>
                <w:rFonts w:ascii="Times New Roman" w:eastAsiaTheme="minorHAnsi" w:hAnsi="Times New Roman" w:cstheme="minorBidi"/>
                <w:sz w:val="20"/>
                <w:szCs w:val="20"/>
                <w:lang w:val="fr-FR" w:eastAsia="x-none"/>
              </w:rPr>
              <w:t xml:space="preserve"> travaux</w:t>
            </w:r>
            <w:r w:rsidRPr="002F56DB">
              <w:rPr>
                <w:rFonts w:ascii="Times New Roman" w:eastAsiaTheme="minorHAnsi" w:hAnsi="Times New Roman" w:cstheme="minorBidi"/>
                <w:sz w:val="20"/>
                <w:szCs w:val="20"/>
                <w:lang w:val="fr-FR" w:eastAsia="x-none"/>
              </w:rPr>
              <w:t xml:space="preserve"> ; </w:t>
            </w:r>
          </w:p>
          <w:p w:rsidR="0087146B" w:rsidRPr="002F56DB" w:rsidRDefault="0087146B" w:rsidP="00FA3FAE">
            <w:pPr>
              <w:pStyle w:val="Listecouleur-Accent11"/>
              <w:numPr>
                <w:ilvl w:val="0"/>
                <w:numId w:val="72"/>
              </w:numPr>
              <w:ind w:left="167" w:hanging="142"/>
              <w:rPr>
                <w:rFonts w:ascii="Times New Roman" w:eastAsiaTheme="minorHAnsi" w:hAnsi="Times New Roman" w:cstheme="minorBidi"/>
                <w:sz w:val="20"/>
                <w:szCs w:val="20"/>
                <w:lang w:val="fr-FR" w:eastAsia="x-none"/>
              </w:rPr>
            </w:pPr>
            <w:r w:rsidRPr="002F56DB">
              <w:rPr>
                <w:rFonts w:ascii="Times New Roman" w:eastAsiaTheme="minorHAnsi" w:hAnsi="Times New Roman" w:cstheme="minorBidi"/>
                <w:sz w:val="20"/>
                <w:szCs w:val="20"/>
                <w:lang w:val="fr-FR" w:eastAsia="x-none"/>
              </w:rPr>
              <w:t>Risque d’augmentatio</w:t>
            </w:r>
            <w:r w:rsidR="00C747E4">
              <w:rPr>
                <w:rFonts w:ascii="Times New Roman" w:eastAsiaTheme="minorHAnsi" w:hAnsi="Times New Roman" w:cstheme="minorBidi"/>
                <w:sz w:val="20"/>
                <w:szCs w:val="20"/>
                <w:lang w:val="fr-FR" w:eastAsia="x-none"/>
              </w:rPr>
              <w:t>n des maladies respiratoires du</w:t>
            </w:r>
            <w:r w:rsidRPr="002F56DB">
              <w:rPr>
                <w:rFonts w:ascii="Times New Roman" w:eastAsiaTheme="minorHAnsi" w:hAnsi="Times New Roman" w:cstheme="minorBidi"/>
                <w:sz w:val="20"/>
                <w:szCs w:val="20"/>
                <w:lang w:val="fr-FR" w:eastAsia="x-none"/>
              </w:rPr>
              <w:t xml:space="preserve"> au mouvement des engins</w:t>
            </w:r>
            <w:r w:rsidR="00C30E22">
              <w:rPr>
                <w:rFonts w:ascii="Times New Roman" w:eastAsiaTheme="minorHAnsi" w:hAnsi="Times New Roman" w:cstheme="minorBidi"/>
                <w:sz w:val="20"/>
                <w:szCs w:val="20"/>
                <w:lang w:val="fr-FR" w:eastAsia="x-none"/>
              </w:rPr>
              <w:t> ;</w:t>
            </w:r>
          </w:p>
        </w:tc>
      </w:tr>
      <w:tr w:rsidR="002F56DB" w:rsidTr="008D7CFC">
        <w:tc>
          <w:tcPr>
            <w:tcW w:w="425" w:type="dxa"/>
            <w:vMerge w:val="restart"/>
            <w:shd w:val="clear" w:color="auto" w:fill="FBE4D5" w:themeFill="accent2" w:themeFillTint="33"/>
            <w:textDirection w:val="btLr"/>
            <w:vAlign w:val="center"/>
          </w:tcPr>
          <w:p w:rsidR="0087146B" w:rsidRDefault="0087146B" w:rsidP="00BE5322">
            <w:pPr>
              <w:jc w:val="center"/>
              <w:rPr>
                <w:rFonts w:ascii="Times New Roman" w:hAnsi="Times New Roman" w:cs="Times New Roman"/>
                <w:color w:val="000000"/>
                <w:sz w:val="24"/>
                <w:szCs w:val="24"/>
              </w:rPr>
            </w:pPr>
            <w:r>
              <w:rPr>
                <w:rFonts w:ascii="Times New Roman" w:hAnsi="Times New Roman" w:cs="Times New Roman"/>
                <w:color w:val="000000"/>
                <w:sz w:val="24"/>
                <w:szCs w:val="24"/>
              </w:rPr>
              <w:t>Economique</w:t>
            </w:r>
          </w:p>
        </w:tc>
        <w:tc>
          <w:tcPr>
            <w:tcW w:w="1277" w:type="dxa"/>
            <w:vMerge/>
            <w:shd w:val="clear" w:color="auto" w:fill="F2F2F2" w:themeFill="background1" w:themeFillShade="F2"/>
            <w:vAlign w:val="center"/>
          </w:tcPr>
          <w:p w:rsidR="0087146B" w:rsidRDefault="0087146B" w:rsidP="00BE5322">
            <w:pPr>
              <w:jc w:val="center"/>
              <w:rPr>
                <w:rFonts w:ascii="Times New Roman" w:hAnsi="Times New Roman" w:cs="Times New Roman"/>
                <w:color w:val="000000"/>
                <w:sz w:val="24"/>
                <w:szCs w:val="24"/>
              </w:rPr>
            </w:pPr>
          </w:p>
        </w:tc>
        <w:tc>
          <w:tcPr>
            <w:tcW w:w="992" w:type="dxa"/>
            <w:shd w:val="clear" w:color="auto" w:fill="E2EFD9" w:themeFill="accent6" w:themeFillTint="33"/>
            <w:vAlign w:val="center"/>
          </w:tcPr>
          <w:p w:rsidR="0087146B" w:rsidRPr="00CB4F92" w:rsidRDefault="0087146B" w:rsidP="00BE5322">
            <w:pPr>
              <w:jc w:val="center"/>
              <w:rPr>
                <w:rFonts w:ascii="Times New Roman" w:hAnsi="Times New Roman" w:cs="Times New Roman"/>
                <w:b/>
                <w:color w:val="000000"/>
                <w:sz w:val="20"/>
                <w:szCs w:val="20"/>
              </w:rPr>
            </w:pPr>
            <w:r w:rsidRPr="00CB4F92">
              <w:rPr>
                <w:rFonts w:ascii="Times New Roman" w:hAnsi="Times New Roman" w:cs="Times New Roman"/>
                <w:b/>
                <w:color w:val="000000"/>
                <w:sz w:val="20"/>
                <w:szCs w:val="20"/>
              </w:rPr>
              <w:t>Effet</w:t>
            </w:r>
            <w:r w:rsidR="00F6660B">
              <w:rPr>
                <w:rFonts w:ascii="Times New Roman" w:hAnsi="Times New Roman" w:cs="Times New Roman"/>
                <w:b/>
                <w:color w:val="000000"/>
                <w:sz w:val="20"/>
                <w:szCs w:val="20"/>
              </w:rPr>
              <w:t>s</w:t>
            </w:r>
            <w:r w:rsidRPr="00CB4F92">
              <w:rPr>
                <w:rFonts w:ascii="Times New Roman" w:hAnsi="Times New Roman" w:cs="Times New Roman"/>
                <w:b/>
                <w:color w:val="000000"/>
                <w:sz w:val="20"/>
                <w:szCs w:val="20"/>
              </w:rPr>
              <w:t xml:space="preserve"> positif</w:t>
            </w:r>
            <w:r w:rsidR="00F6660B">
              <w:rPr>
                <w:rFonts w:ascii="Times New Roman" w:hAnsi="Times New Roman" w:cs="Times New Roman"/>
                <w:b/>
                <w:color w:val="000000"/>
                <w:sz w:val="20"/>
                <w:szCs w:val="20"/>
              </w:rPr>
              <w:t>s</w:t>
            </w:r>
          </w:p>
        </w:tc>
        <w:tc>
          <w:tcPr>
            <w:tcW w:w="7933" w:type="dxa"/>
            <w:vAlign w:val="center"/>
          </w:tcPr>
          <w:p w:rsidR="0087146B" w:rsidRPr="00AA45E9" w:rsidRDefault="0087146B" w:rsidP="00FA3FAE">
            <w:pPr>
              <w:widowControl w:val="0"/>
              <w:numPr>
                <w:ilvl w:val="0"/>
                <w:numId w:val="74"/>
              </w:numPr>
              <w:tabs>
                <w:tab w:val="left" w:pos="175"/>
              </w:tabs>
              <w:spacing w:line="276" w:lineRule="auto"/>
              <w:ind w:left="181" w:hanging="181"/>
              <w:contextualSpacing/>
              <w:jc w:val="both"/>
              <w:rPr>
                <w:rFonts w:ascii="Times New Roman" w:hAnsi="Times New Roman"/>
                <w:sz w:val="20"/>
                <w:szCs w:val="20"/>
                <w:lang w:eastAsia="x-none"/>
              </w:rPr>
            </w:pPr>
            <w:r w:rsidRPr="00AA45E9">
              <w:rPr>
                <w:rFonts w:ascii="Times New Roman" w:hAnsi="Times New Roman"/>
                <w:sz w:val="20"/>
                <w:szCs w:val="20"/>
                <w:lang w:eastAsia="x-none"/>
              </w:rPr>
              <w:t>Faible augmentation des r</w:t>
            </w:r>
            <w:r w:rsidR="00C30E22">
              <w:rPr>
                <w:rFonts w:ascii="Times New Roman" w:hAnsi="Times New Roman"/>
                <w:sz w:val="20"/>
                <w:szCs w:val="20"/>
                <w:lang w:eastAsia="x-none"/>
              </w:rPr>
              <w:t>evenus des populations locales ;</w:t>
            </w:r>
          </w:p>
          <w:p w:rsidR="0087146B" w:rsidRPr="00AA45E9" w:rsidRDefault="0087146B" w:rsidP="00FA3FAE">
            <w:pPr>
              <w:widowControl w:val="0"/>
              <w:numPr>
                <w:ilvl w:val="0"/>
                <w:numId w:val="74"/>
              </w:numPr>
              <w:tabs>
                <w:tab w:val="left" w:pos="175"/>
              </w:tabs>
              <w:spacing w:line="276" w:lineRule="auto"/>
              <w:ind w:left="181" w:hanging="181"/>
              <w:contextualSpacing/>
              <w:jc w:val="both"/>
              <w:rPr>
                <w:rFonts w:ascii="Times New Roman" w:hAnsi="Times New Roman"/>
                <w:sz w:val="20"/>
                <w:szCs w:val="20"/>
                <w:lang w:eastAsia="x-none"/>
              </w:rPr>
            </w:pPr>
            <w:r w:rsidRPr="00AA45E9">
              <w:rPr>
                <w:rFonts w:ascii="Times New Roman" w:hAnsi="Times New Roman"/>
                <w:sz w:val="20"/>
                <w:szCs w:val="20"/>
                <w:lang w:eastAsia="x-none"/>
              </w:rPr>
              <w:t xml:space="preserve">Création de richesse auprès des entreprises BTP ; </w:t>
            </w:r>
          </w:p>
          <w:p w:rsidR="0087146B" w:rsidRPr="00AA45E9" w:rsidRDefault="0087146B" w:rsidP="00FA3FAE">
            <w:pPr>
              <w:widowControl w:val="0"/>
              <w:numPr>
                <w:ilvl w:val="0"/>
                <w:numId w:val="74"/>
              </w:numPr>
              <w:tabs>
                <w:tab w:val="left" w:pos="175"/>
              </w:tabs>
              <w:spacing w:line="276" w:lineRule="auto"/>
              <w:ind w:left="181" w:hanging="181"/>
              <w:contextualSpacing/>
              <w:jc w:val="both"/>
              <w:rPr>
                <w:rFonts w:ascii="Times New Roman" w:hAnsi="Times New Roman"/>
                <w:sz w:val="20"/>
                <w:szCs w:val="20"/>
                <w:lang w:eastAsia="x-none"/>
              </w:rPr>
            </w:pPr>
            <w:r w:rsidRPr="00AA45E9">
              <w:rPr>
                <w:rFonts w:ascii="Times New Roman" w:hAnsi="Times New Roman"/>
                <w:sz w:val="20"/>
                <w:szCs w:val="20"/>
                <w:lang w:eastAsia="x-none"/>
              </w:rPr>
              <w:t>Moins de risque de perte</w:t>
            </w:r>
            <w:r w:rsidR="00C747E4">
              <w:rPr>
                <w:rFonts w:ascii="Times New Roman" w:hAnsi="Times New Roman"/>
                <w:sz w:val="20"/>
                <w:szCs w:val="20"/>
                <w:lang w:eastAsia="x-none"/>
              </w:rPr>
              <w:t>s</w:t>
            </w:r>
            <w:r w:rsidRPr="00AA45E9">
              <w:rPr>
                <w:rFonts w:ascii="Times New Roman" w:hAnsi="Times New Roman"/>
                <w:sz w:val="20"/>
                <w:szCs w:val="20"/>
                <w:lang w:eastAsia="x-none"/>
              </w:rPr>
              <w:t xml:space="preserve"> de bien ;</w:t>
            </w:r>
          </w:p>
          <w:p w:rsidR="0087146B" w:rsidRPr="00AA45E9" w:rsidRDefault="0087146B" w:rsidP="00FA3FAE">
            <w:pPr>
              <w:widowControl w:val="0"/>
              <w:numPr>
                <w:ilvl w:val="0"/>
                <w:numId w:val="74"/>
              </w:numPr>
              <w:tabs>
                <w:tab w:val="left" w:pos="175"/>
              </w:tabs>
              <w:spacing w:line="276" w:lineRule="auto"/>
              <w:ind w:left="181" w:hanging="181"/>
              <w:contextualSpacing/>
              <w:jc w:val="both"/>
              <w:rPr>
                <w:rFonts w:ascii="Times New Roman" w:hAnsi="Times New Roman"/>
                <w:sz w:val="20"/>
                <w:szCs w:val="20"/>
                <w:lang w:eastAsia="x-none"/>
              </w:rPr>
            </w:pPr>
            <w:r w:rsidRPr="00AA45E9">
              <w:rPr>
                <w:rFonts w:ascii="Times New Roman" w:hAnsi="Times New Roman"/>
                <w:sz w:val="20"/>
                <w:szCs w:val="20"/>
                <w:lang w:eastAsia="x-none"/>
              </w:rPr>
              <w:t>Augmentation des versements des taxes ;</w:t>
            </w:r>
          </w:p>
          <w:p w:rsidR="0087146B" w:rsidRPr="002F56DB" w:rsidRDefault="0087146B" w:rsidP="00FA3FAE">
            <w:pPr>
              <w:pStyle w:val="Listecouleur-Accent11"/>
              <w:numPr>
                <w:ilvl w:val="0"/>
                <w:numId w:val="72"/>
              </w:numPr>
              <w:ind w:left="167" w:hanging="142"/>
              <w:rPr>
                <w:rFonts w:ascii="Times New Roman" w:eastAsiaTheme="minorHAnsi" w:hAnsi="Times New Roman" w:cstheme="minorBidi"/>
                <w:sz w:val="20"/>
                <w:szCs w:val="20"/>
                <w:lang w:val="fr-FR" w:eastAsia="x-none"/>
              </w:rPr>
            </w:pPr>
            <w:r w:rsidRPr="002F56DB">
              <w:rPr>
                <w:rFonts w:ascii="Times New Roman" w:eastAsiaTheme="minorHAnsi" w:hAnsi="Times New Roman" w:cstheme="minorBidi"/>
                <w:sz w:val="20"/>
                <w:szCs w:val="20"/>
                <w:lang w:val="fr-FR" w:eastAsia="x-none"/>
              </w:rPr>
              <w:t>Solution onéreuse en investissement pour les réalisations mais risque de dépasser l’enveloppe financière disponible.</w:t>
            </w:r>
          </w:p>
        </w:tc>
      </w:tr>
      <w:tr w:rsidR="002F56DB" w:rsidTr="008D7CFC">
        <w:tc>
          <w:tcPr>
            <w:tcW w:w="425" w:type="dxa"/>
            <w:vMerge/>
            <w:shd w:val="clear" w:color="auto" w:fill="FBE4D5" w:themeFill="accent2" w:themeFillTint="33"/>
            <w:vAlign w:val="center"/>
          </w:tcPr>
          <w:p w:rsidR="0087146B" w:rsidRDefault="0087146B" w:rsidP="00BE5322">
            <w:pPr>
              <w:jc w:val="center"/>
              <w:rPr>
                <w:rFonts w:ascii="Times New Roman" w:hAnsi="Times New Roman" w:cs="Times New Roman"/>
                <w:color w:val="000000"/>
                <w:sz w:val="24"/>
                <w:szCs w:val="24"/>
              </w:rPr>
            </w:pPr>
          </w:p>
        </w:tc>
        <w:tc>
          <w:tcPr>
            <w:tcW w:w="1277" w:type="dxa"/>
            <w:vMerge/>
            <w:shd w:val="clear" w:color="auto" w:fill="F2F2F2" w:themeFill="background1" w:themeFillShade="F2"/>
            <w:vAlign w:val="center"/>
          </w:tcPr>
          <w:p w:rsidR="0087146B" w:rsidRDefault="0087146B" w:rsidP="00BE5322">
            <w:pPr>
              <w:jc w:val="center"/>
              <w:rPr>
                <w:rFonts w:ascii="Times New Roman" w:hAnsi="Times New Roman" w:cs="Times New Roman"/>
                <w:color w:val="000000"/>
                <w:sz w:val="24"/>
                <w:szCs w:val="24"/>
              </w:rPr>
            </w:pPr>
          </w:p>
        </w:tc>
        <w:tc>
          <w:tcPr>
            <w:tcW w:w="992" w:type="dxa"/>
            <w:shd w:val="clear" w:color="auto" w:fill="FFF2CC" w:themeFill="accent4" w:themeFillTint="33"/>
            <w:vAlign w:val="center"/>
          </w:tcPr>
          <w:p w:rsidR="0087146B" w:rsidRPr="00CB4F92" w:rsidRDefault="0087146B" w:rsidP="00BE5322">
            <w:pPr>
              <w:jc w:val="center"/>
              <w:rPr>
                <w:rFonts w:ascii="Times New Roman" w:hAnsi="Times New Roman" w:cs="Times New Roman"/>
                <w:b/>
                <w:color w:val="000000"/>
                <w:sz w:val="20"/>
                <w:szCs w:val="20"/>
              </w:rPr>
            </w:pPr>
            <w:r w:rsidRPr="00CB4F92">
              <w:rPr>
                <w:rFonts w:ascii="Times New Roman" w:hAnsi="Times New Roman" w:cs="Times New Roman"/>
                <w:b/>
                <w:color w:val="000000"/>
                <w:sz w:val="20"/>
                <w:szCs w:val="20"/>
              </w:rPr>
              <w:t>Effet</w:t>
            </w:r>
            <w:r w:rsidR="00F6660B">
              <w:rPr>
                <w:rFonts w:ascii="Times New Roman" w:hAnsi="Times New Roman" w:cs="Times New Roman"/>
                <w:b/>
                <w:color w:val="000000"/>
                <w:sz w:val="20"/>
                <w:szCs w:val="20"/>
              </w:rPr>
              <w:t>s</w:t>
            </w:r>
            <w:r w:rsidRPr="00CB4F92">
              <w:rPr>
                <w:rFonts w:ascii="Times New Roman" w:hAnsi="Times New Roman" w:cs="Times New Roman"/>
                <w:b/>
                <w:color w:val="000000"/>
                <w:sz w:val="20"/>
                <w:szCs w:val="20"/>
              </w:rPr>
              <w:t xml:space="preserve"> négatif</w:t>
            </w:r>
            <w:r w:rsidR="00F6660B">
              <w:rPr>
                <w:rFonts w:ascii="Times New Roman" w:hAnsi="Times New Roman" w:cs="Times New Roman"/>
                <w:b/>
                <w:color w:val="000000"/>
                <w:sz w:val="20"/>
                <w:szCs w:val="20"/>
              </w:rPr>
              <w:t>s</w:t>
            </w:r>
          </w:p>
        </w:tc>
        <w:tc>
          <w:tcPr>
            <w:tcW w:w="7933" w:type="dxa"/>
            <w:vAlign w:val="center"/>
          </w:tcPr>
          <w:p w:rsidR="0087146B" w:rsidRPr="00AA45E9" w:rsidRDefault="0087146B" w:rsidP="00FA3FAE">
            <w:pPr>
              <w:widowControl w:val="0"/>
              <w:numPr>
                <w:ilvl w:val="0"/>
                <w:numId w:val="74"/>
              </w:numPr>
              <w:tabs>
                <w:tab w:val="left" w:pos="175"/>
              </w:tabs>
              <w:spacing w:line="276" w:lineRule="auto"/>
              <w:ind w:left="181" w:hanging="181"/>
              <w:contextualSpacing/>
              <w:jc w:val="both"/>
              <w:rPr>
                <w:rFonts w:ascii="Times New Roman" w:hAnsi="Times New Roman"/>
                <w:sz w:val="20"/>
                <w:szCs w:val="20"/>
                <w:lang w:eastAsia="x-none"/>
              </w:rPr>
            </w:pPr>
            <w:r w:rsidRPr="00AA45E9">
              <w:rPr>
                <w:rFonts w:ascii="Times New Roman" w:hAnsi="Times New Roman"/>
                <w:sz w:val="20"/>
                <w:szCs w:val="20"/>
                <w:lang w:eastAsia="x-none"/>
              </w:rPr>
              <w:t>Coûts liés aux interventions des incidents ;</w:t>
            </w:r>
          </w:p>
          <w:p w:rsidR="0087146B" w:rsidRPr="00AA45E9" w:rsidRDefault="0087146B" w:rsidP="00FA3FAE">
            <w:pPr>
              <w:widowControl w:val="0"/>
              <w:numPr>
                <w:ilvl w:val="0"/>
                <w:numId w:val="74"/>
              </w:numPr>
              <w:tabs>
                <w:tab w:val="left" w:pos="175"/>
              </w:tabs>
              <w:spacing w:line="276" w:lineRule="auto"/>
              <w:ind w:left="181" w:hanging="181"/>
              <w:contextualSpacing/>
              <w:jc w:val="both"/>
              <w:rPr>
                <w:rFonts w:ascii="Times New Roman" w:hAnsi="Times New Roman"/>
                <w:sz w:val="20"/>
                <w:szCs w:val="20"/>
                <w:lang w:eastAsia="x-none"/>
              </w:rPr>
            </w:pPr>
            <w:r w:rsidRPr="00AA45E9">
              <w:rPr>
                <w:rFonts w:ascii="Times New Roman" w:hAnsi="Times New Roman"/>
                <w:sz w:val="20"/>
                <w:szCs w:val="20"/>
                <w:lang w:eastAsia="x-none"/>
              </w:rPr>
              <w:t>Coûts liés à l’encadrement et la formation des ouvriers par rapport l’utilisation des engins ;</w:t>
            </w:r>
          </w:p>
          <w:p w:rsidR="0087146B" w:rsidRPr="00AA45E9" w:rsidRDefault="0087146B" w:rsidP="00FA3FAE">
            <w:pPr>
              <w:numPr>
                <w:ilvl w:val="0"/>
                <w:numId w:val="74"/>
              </w:numPr>
              <w:tabs>
                <w:tab w:val="left" w:pos="37"/>
              </w:tabs>
              <w:spacing w:line="276" w:lineRule="auto"/>
              <w:ind w:left="177" w:hanging="142"/>
              <w:contextualSpacing/>
              <w:jc w:val="both"/>
              <w:rPr>
                <w:rFonts w:ascii="Times New Roman" w:hAnsi="Times New Roman"/>
                <w:sz w:val="20"/>
                <w:szCs w:val="20"/>
                <w:lang w:eastAsia="x-none"/>
              </w:rPr>
            </w:pPr>
            <w:r w:rsidRPr="00AA45E9">
              <w:rPr>
                <w:rFonts w:ascii="Times New Roman" w:hAnsi="Times New Roman"/>
                <w:sz w:val="20"/>
                <w:szCs w:val="20"/>
                <w:lang w:eastAsia="x-none"/>
              </w:rPr>
              <w:t>Peu de perturbations liées aux travaux (perte d’actifs pour les commerçants, agriculteur…) ;</w:t>
            </w:r>
          </w:p>
          <w:p w:rsidR="0087146B" w:rsidRPr="002F56DB" w:rsidRDefault="0087146B" w:rsidP="00FA3FAE">
            <w:pPr>
              <w:pStyle w:val="Listecouleur-Accent11"/>
              <w:numPr>
                <w:ilvl w:val="0"/>
                <w:numId w:val="72"/>
              </w:numPr>
              <w:ind w:left="167" w:hanging="142"/>
              <w:rPr>
                <w:rFonts w:ascii="Times New Roman" w:eastAsiaTheme="minorHAnsi" w:hAnsi="Times New Roman" w:cstheme="minorBidi"/>
                <w:sz w:val="20"/>
                <w:szCs w:val="20"/>
                <w:lang w:val="fr-FR" w:eastAsia="x-none"/>
              </w:rPr>
            </w:pPr>
          </w:p>
        </w:tc>
      </w:tr>
      <w:tr w:rsidR="002F56DB" w:rsidTr="008D7CFC">
        <w:tc>
          <w:tcPr>
            <w:tcW w:w="425" w:type="dxa"/>
            <w:vMerge w:val="restart"/>
            <w:shd w:val="clear" w:color="auto" w:fill="FBE4D5" w:themeFill="accent2" w:themeFillTint="33"/>
            <w:textDirection w:val="btLr"/>
            <w:vAlign w:val="center"/>
          </w:tcPr>
          <w:p w:rsidR="0087146B" w:rsidRDefault="0087146B" w:rsidP="00BE5322">
            <w:pPr>
              <w:jc w:val="center"/>
              <w:rPr>
                <w:rFonts w:ascii="Times New Roman" w:hAnsi="Times New Roman" w:cs="Times New Roman"/>
                <w:color w:val="000000"/>
                <w:sz w:val="24"/>
                <w:szCs w:val="24"/>
              </w:rPr>
            </w:pPr>
            <w:r>
              <w:rPr>
                <w:rFonts w:ascii="Times New Roman" w:hAnsi="Times New Roman" w:cs="Times New Roman"/>
                <w:color w:val="000000"/>
                <w:sz w:val="24"/>
                <w:szCs w:val="24"/>
              </w:rPr>
              <w:t>Environnement</w:t>
            </w:r>
          </w:p>
        </w:tc>
        <w:tc>
          <w:tcPr>
            <w:tcW w:w="1277" w:type="dxa"/>
            <w:vMerge w:val="restart"/>
            <w:shd w:val="clear" w:color="auto" w:fill="F2F2F2" w:themeFill="background1" w:themeFillShade="F2"/>
            <w:vAlign w:val="center"/>
          </w:tcPr>
          <w:p w:rsidR="0087146B" w:rsidRDefault="0087146B" w:rsidP="00BE5322">
            <w:pPr>
              <w:jc w:val="center"/>
              <w:rPr>
                <w:rFonts w:ascii="Times New Roman" w:hAnsi="Times New Roman" w:cs="Times New Roman"/>
                <w:color w:val="000000"/>
                <w:sz w:val="24"/>
                <w:szCs w:val="24"/>
              </w:rPr>
            </w:pPr>
            <w:r w:rsidRPr="00AA45E9">
              <w:rPr>
                <w:rFonts w:ascii="Times New Roman" w:hAnsi="Times New Roman"/>
                <w:b/>
                <w:sz w:val="24"/>
                <w:szCs w:val="24"/>
              </w:rPr>
              <w:t>Combinaison HIMO</w:t>
            </w:r>
            <w:r>
              <w:rPr>
                <w:rFonts w:ascii="Times New Roman" w:hAnsi="Times New Roman"/>
                <w:b/>
                <w:sz w:val="24"/>
                <w:szCs w:val="24"/>
              </w:rPr>
              <w:t xml:space="preserve"> + HIEQ</w:t>
            </w:r>
          </w:p>
        </w:tc>
        <w:tc>
          <w:tcPr>
            <w:tcW w:w="992" w:type="dxa"/>
            <w:shd w:val="clear" w:color="auto" w:fill="E2EFD9" w:themeFill="accent6" w:themeFillTint="33"/>
            <w:vAlign w:val="center"/>
          </w:tcPr>
          <w:p w:rsidR="0087146B" w:rsidRPr="00CB4F92" w:rsidRDefault="0087146B" w:rsidP="00BE5322">
            <w:pPr>
              <w:jc w:val="center"/>
              <w:rPr>
                <w:rFonts w:ascii="Times New Roman" w:hAnsi="Times New Roman" w:cs="Times New Roman"/>
                <w:b/>
                <w:color w:val="000000"/>
                <w:sz w:val="20"/>
                <w:szCs w:val="20"/>
              </w:rPr>
            </w:pPr>
            <w:r w:rsidRPr="00CB4F92">
              <w:rPr>
                <w:rFonts w:ascii="Times New Roman" w:hAnsi="Times New Roman" w:cs="Times New Roman"/>
                <w:b/>
                <w:color w:val="000000"/>
                <w:sz w:val="20"/>
                <w:szCs w:val="20"/>
              </w:rPr>
              <w:t>Effet</w:t>
            </w:r>
            <w:r w:rsidR="00F6660B">
              <w:rPr>
                <w:rFonts w:ascii="Times New Roman" w:hAnsi="Times New Roman" w:cs="Times New Roman"/>
                <w:b/>
                <w:color w:val="000000"/>
                <w:sz w:val="20"/>
                <w:szCs w:val="20"/>
              </w:rPr>
              <w:t>s</w:t>
            </w:r>
            <w:r w:rsidRPr="00CB4F92">
              <w:rPr>
                <w:rFonts w:ascii="Times New Roman" w:hAnsi="Times New Roman" w:cs="Times New Roman"/>
                <w:b/>
                <w:color w:val="000000"/>
                <w:sz w:val="20"/>
                <w:szCs w:val="20"/>
              </w:rPr>
              <w:t xml:space="preserve"> positif</w:t>
            </w:r>
            <w:r w:rsidR="00F6660B">
              <w:rPr>
                <w:rFonts w:ascii="Times New Roman" w:hAnsi="Times New Roman" w:cs="Times New Roman"/>
                <w:b/>
                <w:color w:val="000000"/>
                <w:sz w:val="20"/>
                <w:szCs w:val="20"/>
              </w:rPr>
              <w:t>s</w:t>
            </w:r>
          </w:p>
        </w:tc>
        <w:tc>
          <w:tcPr>
            <w:tcW w:w="7933" w:type="dxa"/>
            <w:vAlign w:val="center"/>
          </w:tcPr>
          <w:p w:rsidR="0087146B" w:rsidRPr="00AA45E9" w:rsidRDefault="0087146B" w:rsidP="00FA3FAE">
            <w:pPr>
              <w:widowControl w:val="0"/>
              <w:numPr>
                <w:ilvl w:val="0"/>
                <w:numId w:val="74"/>
              </w:numPr>
              <w:tabs>
                <w:tab w:val="left" w:pos="175"/>
              </w:tabs>
              <w:spacing w:line="276" w:lineRule="auto"/>
              <w:ind w:left="181" w:hanging="181"/>
              <w:contextualSpacing/>
              <w:jc w:val="both"/>
              <w:rPr>
                <w:rFonts w:ascii="Times New Roman" w:hAnsi="Times New Roman"/>
                <w:sz w:val="20"/>
                <w:szCs w:val="20"/>
                <w:lang w:eastAsia="x-none"/>
              </w:rPr>
            </w:pPr>
            <w:r w:rsidRPr="00AA45E9">
              <w:rPr>
                <w:rFonts w:ascii="Times New Roman" w:hAnsi="Times New Roman"/>
                <w:sz w:val="20"/>
                <w:szCs w:val="20"/>
                <w:lang w:eastAsia="x-none"/>
              </w:rPr>
              <w:t>Meilleur</w:t>
            </w:r>
            <w:r w:rsidR="00C747E4">
              <w:rPr>
                <w:rFonts w:ascii="Times New Roman" w:hAnsi="Times New Roman"/>
                <w:sz w:val="20"/>
                <w:szCs w:val="20"/>
                <w:lang w:eastAsia="x-none"/>
              </w:rPr>
              <w:t>e</w:t>
            </w:r>
            <w:r w:rsidRPr="00AA45E9">
              <w:rPr>
                <w:rFonts w:ascii="Times New Roman" w:hAnsi="Times New Roman"/>
                <w:sz w:val="20"/>
                <w:szCs w:val="20"/>
                <w:lang w:eastAsia="x-none"/>
              </w:rPr>
              <w:t xml:space="preserve"> gestion des nuisance</w:t>
            </w:r>
            <w:r w:rsidR="00C30E22">
              <w:rPr>
                <w:rFonts w:ascii="Times New Roman" w:hAnsi="Times New Roman"/>
                <w:sz w:val="20"/>
                <w:szCs w:val="20"/>
                <w:lang w:eastAsia="x-none"/>
              </w:rPr>
              <w:t>s dans la zone urbaine</w:t>
            </w:r>
          </w:p>
          <w:p w:rsidR="0087146B" w:rsidRPr="00AA45E9" w:rsidRDefault="0087146B" w:rsidP="00FA3FAE">
            <w:pPr>
              <w:widowControl w:val="0"/>
              <w:numPr>
                <w:ilvl w:val="0"/>
                <w:numId w:val="74"/>
              </w:numPr>
              <w:tabs>
                <w:tab w:val="left" w:pos="175"/>
              </w:tabs>
              <w:spacing w:line="276" w:lineRule="auto"/>
              <w:ind w:left="181" w:hanging="181"/>
              <w:contextualSpacing/>
              <w:jc w:val="both"/>
              <w:rPr>
                <w:rFonts w:ascii="Times New Roman" w:hAnsi="Times New Roman"/>
                <w:sz w:val="20"/>
                <w:szCs w:val="20"/>
                <w:lang w:eastAsia="x-none"/>
              </w:rPr>
            </w:pPr>
            <w:r w:rsidRPr="00AA45E9">
              <w:rPr>
                <w:rFonts w:ascii="Times New Roman" w:hAnsi="Times New Roman"/>
                <w:sz w:val="20"/>
                <w:szCs w:val="20"/>
                <w:lang w:eastAsia="x-none"/>
              </w:rPr>
              <w:t>Mi</w:t>
            </w:r>
            <w:r w:rsidR="00C747E4">
              <w:rPr>
                <w:rFonts w:ascii="Times New Roman" w:hAnsi="Times New Roman"/>
                <w:sz w:val="20"/>
                <w:szCs w:val="20"/>
                <w:lang w:eastAsia="x-none"/>
              </w:rPr>
              <w:t>se en place de</w:t>
            </w:r>
            <w:r w:rsidRPr="00AA45E9">
              <w:rPr>
                <w:rFonts w:ascii="Times New Roman" w:hAnsi="Times New Roman"/>
                <w:sz w:val="20"/>
                <w:szCs w:val="20"/>
                <w:lang w:eastAsia="x-none"/>
              </w:rPr>
              <w:t xml:space="preserve"> méthodes de réal</w:t>
            </w:r>
            <w:r w:rsidR="00C747E4">
              <w:rPr>
                <w:rFonts w:ascii="Times New Roman" w:hAnsi="Times New Roman"/>
                <w:sz w:val="20"/>
                <w:szCs w:val="20"/>
                <w:lang w:eastAsia="x-none"/>
              </w:rPr>
              <w:t xml:space="preserve">isation adaptées pour éviter au </w:t>
            </w:r>
            <w:r w:rsidRPr="00AA45E9">
              <w:rPr>
                <w:rFonts w:ascii="Times New Roman" w:hAnsi="Times New Roman"/>
                <w:sz w:val="20"/>
                <w:szCs w:val="20"/>
                <w:lang w:eastAsia="x-none"/>
              </w:rPr>
              <w:t>maximum la perturbation de la faune</w:t>
            </w:r>
            <w:r w:rsidR="00206409">
              <w:rPr>
                <w:rFonts w:ascii="Times New Roman" w:hAnsi="Times New Roman"/>
                <w:sz w:val="20"/>
                <w:szCs w:val="20"/>
                <w:lang w:eastAsia="x-none"/>
              </w:rPr>
              <w:t xml:space="preserve"> </w:t>
            </w:r>
            <w:r w:rsidRPr="00AA45E9">
              <w:rPr>
                <w:rFonts w:ascii="Times New Roman" w:hAnsi="Times New Roman"/>
                <w:sz w:val="20"/>
                <w:szCs w:val="20"/>
                <w:lang w:eastAsia="x-none"/>
              </w:rPr>
              <w:t>;</w:t>
            </w:r>
          </w:p>
          <w:p w:rsidR="0087146B" w:rsidRPr="00AA45E9" w:rsidRDefault="0087146B" w:rsidP="00FA3FAE">
            <w:pPr>
              <w:widowControl w:val="0"/>
              <w:numPr>
                <w:ilvl w:val="0"/>
                <w:numId w:val="74"/>
              </w:numPr>
              <w:tabs>
                <w:tab w:val="left" w:pos="175"/>
              </w:tabs>
              <w:spacing w:line="276" w:lineRule="auto"/>
              <w:ind w:left="181" w:hanging="181"/>
              <w:contextualSpacing/>
              <w:jc w:val="both"/>
              <w:rPr>
                <w:rFonts w:ascii="Times New Roman" w:hAnsi="Times New Roman"/>
                <w:sz w:val="20"/>
                <w:szCs w:val="20"/>
                <w:lang w:eastAsia="x-none"/>
              </w:rPr>
            </w:pPr>
            <w:r w:rsidRPr="00AA45E9">
              <w:rPr>
                <w:rFonts w:ascii="Times New Roman" w:hAnsi="Times New Roman"/>
                <w:sz w:val="20"/>
                <w:szCs w:val="20"/>
                <w:lang w:eastAsia="x-none"/>
              </w:rPr>
              <w:t>Meilleur prise en compte des zones sensible pour éviter la pollution des eaux de surface et souterrain</w:t>
            </w:r>
            <w:r w:rsidR="00C747E4">
              <w:rPr>
                <w:rFonts w:ascii="Times New Roman" w:hAnsi="Times New Roman"/>
                <w:sz w:val="20"/>
                <w:szCs w:val="20"/>
                <w:lang w:eastAsia="x-none"/>
              </w:rPr>
              <w:t>es</w:t>
            </w:r>
          </w:p>
          <w:p w:rsidR="00206409" w:rsidRDefault="0087146B" w:rsidP="00FA3FAE">
            <w:pPr>
              <w:widowControl w:val="0"/>
              <w:numPr>
                <w:ilvl w:val="0"/>
                <w:numId w:val="74"/>
              </w:numPr>
              <w:tabs>
                <w:tab w:val="left" w:pos="175"/>
              </w:tabs>
              <w:spacing w:line="276" w:lineRule="auto"/>
              <w:ind w:left="181" w:hanging="181"/>
              <w:contextualSpacing/>
              <w:jc w:val="both"/>
              <w:rPr>
                <w:rFonts w:ascii="Times New Roman" w:hAnsi="Times New Roman"/>
                <w:sz w:val="20"/>
                <w:szCs w:val="20"/>
                <w:lang w:eastAsia="x-none"/>
              </w:rPr>
            </w:pPr>
            <w:r w:rsidRPr="00AA45E9">
              <w:rPr>
                <w:rFonts w:ascii="Times New Roman" w:hAnsi="Times New Roman"/>
                <w:sz w:val="20"/>
                <w:szCs w:val="20"/>
                <w:lang w:eastAsia="x-none"/>
              </w:rPr>
              <w:t xml:space="preserve">Peu de dégradation des sols grâce à une bonne méthode de réalisation </w:t>
            </w:r>
            <w:r w:rsidR="00206409">
              <w:rPr>
                <w:rFonts w:ascii="Times New Roman" w:hAnsi="Times New Roman"/>
                <w:sz w:val="20"/>
                <w:szCs w:val="20"/>
                <w:lang w:eastAsia="x-none"/>
              </w:rPr>
              <w:t xml:space="preserve">et de la gestion des déblais </w:t>
            </w:r>
          </w:p>
          <w:p w:rsidR="0087146B" w:rsidRPr="00206409" w:rsidRDefault="0087146B" w:rsidP="00FA3FAE">
            <w:pPr>
              <w:widowControl w:val="0"/>
              <w:numPr>
                <w:ilvl w:val="0"/>
                <w:numId w:val="74"/>
              </w:numPr>
              <w:tabs>
                <w:tab w:val="left" w:pos="175"/>
              </w:tabs>
              <w:spacing w:line="276" w:lineRule="auto"/>
              <w:ind w:left="181" w:hanging="181"/>
              <w:contextualSpacing/>
              <w:jc w:val="both"/>
              <w:rPr>
                <w:rFonts w:ascii="Times New Roman" w:hAnsi="Times New Roman"/>
                <w:sz w:val="20"/>
                <w:szCs w:val="20"/>
                <w:lang w:eastAsia="x-none"/>
              </w:rPr>
            </w:pPr>
            <w:r w:rsidRPr="00206409">
              <w:rPr>
                <w:rFonts w:ascii="Times New Roman" w:hAnsi="Times New Roman"/>
                <w:sz w:val="20"/>
                <w:szCs w:val="20"/>
                <w:lang w:eastAsia="x-none"/>
              </w:rPr>
              <w:t>Réduction maximum des dommages causés à l'environnement ;</w:t>
            </w:r>
          </w:p>
        </w:tc>
      </w:tr>
      <w:tr w:rsidR="002F56DB" w:rsidTr="008D7CFC">
        <w:tc>
          <w:tcPr>
            <w:tcW w:w="425" w:type="dxa"/>
            <w:vMerge/>
            <w:shd w:val="clear" w:color="auto" w:fill="FBE4D5" w:themeFill="accent2" w:themeFillTint="33"/>
            <w:vAlign w:val="center"/>
          </w:tcPr>
          <w:p w:rsidR="0087146B" w:rsidRDefault="0087146B" w:rsidP="00BE5322">
            <w:pPr>
              <w:jc w:val="center"/>
              <w:rPr>
                <w:rFonts w:ascii="Times New Roman" w:hAnsi="Times New Roman" w:cs="Times New Roman"/>
                <w:color w:val="000000"/>
                <w:sz w:val="24"/>
                <w:szCs w:val="24"/>
              </w:rPr>
            </w:pPr>
          </w:p>
        </w:tc>
        <w:tc>
          <w:tcPr>
            <w:tcW w:w="1277" w:type="dxa"/>
            <w:vMerge/>
            <w:shd w:val="clear" w:color="auto" w:fill="F2F2F2" w:themeFill="background1" w:themeFillShade="F2"/>
            <w:vAlign w:val="center"/>
          </w:tcPr>
          <w:p w:rsidR="0087146B" w:rsidRDefault="0087146B" w:rsidP="00BE5322">
            <w:pPr>
              <w:jc w:val="center"/>
              <w:rPr>
                <w:rFonts w:ascii="Times New Roman" w:hAnsi="Times New Roman" w:cs="Times New Roman"/>
                <w:color w:val="000000"/>
                <w:sz w:val="24"/>
                <w:szCs w:val="24"/>
              </w:rPr>
            </w:pPr>
          </w:p>
        </w:tc>
        <w:tc>
          <w:tcPr>
            <w:tcW w:w="992" w:type="dxa"/>
            <w:shd w:val="clear" w:color="auto" w:fill="FFF2CC" w:themeFill="accent4" w:themeFillTint="33"/>
            <w:vAlign w:val="center"/>
          </w:tcPr>
          <w:p w:rsidR="0087146B" w:rsidRPr="00CB4F92" w:rsidRDefault="0087146B" w:rsidP="00BE5322">
            <w:pPr>
              <w:jc w:val="center"/>
              <w:rPr>
                <w:rFonts w:ascii="Times New Roman" w:hAnsi="Times New Roman" w:cs="Times New Roman"/>
                <w:b/>
                <w:color w:val="000000"/>
                <w:sz w:val="20"/>
                <w:szCs w:val="20"/>
              </w:rPr>
            </w:pPr>
            <w:r w:rsidRPr="00CB4F92">
              <w:rPr>
                <w:rFonts w:ascii="Times New Roman" w:hAnsi="Times New Roman" w:cs="Times New Roman"/>
                <w:b/>
                <w:color w:val="000000"/>
                <w:sz w:val="20"/>
                <w:szCs w:val="20"/>
              </w:rPr>
              <w:t>Effet</w:t>
            </w:r>
            <w:r w:rsidR="00F6660B">
              <w:rPr>
                <w:rFonts w:ascii="Times New Roman" w:hAnsi="Times New Roman" w:cs="Times New Roman"/>
                <w:b/>
                <w:color w:val="000000"/>
                <w:sz w:val="20"/>
                <w:szCs w:val="20"/>
              </w:rPr>
              <w:t>s</w:t>
            </w:r>
            <w:r w:rsidRPr="00CB4F92">
              <w:rPr>
                <w:rFonts w:ascii="Times New Roman" w:hAnsi="Times New Roman" w:cs="Times New Roman"/>
                <w:b/>
                <w:color w:val="000000"/>
                <w:sz w:val="20"/>
                <w:szCs w:val="20"/>
              </w:rPr>
              <w:t xml:space="preserve"> négatif</w:t>
            </w:r>
            <w:r w:rsidR="00F6660B">
              <w:rPr>
                <w:rFonts w:ascii="Times New Roman" w:hAnsi="Times New Roman" w:cs="Times New Roman"/>
                <w:b/>
                <w:color w:val="000000"/>
                <w:sz w:val="20"/>
                <w:szCs w:val="20"/>
              </w:rPr>
              <w:t>s</w:t>
            </w:r>
          </w:p>
        </w:tc>
        <w:tc>
          <w:tcPr>
            <w:tcW w:w="7933" w:type="dxa"/>
            <w:vAlign w:val="center"/>
          </w:tcPr>
          <w:p w:rsidR="0087146B" w:rsidRPr="002F56DB" w:rsidRDefault="0087146B" w:rsidP="00FA3FAE">
            <w:pPr>
              <w:widowControl w:val="0"/>
              <w:numPr>
                <w:ilvl w:val="0"/>
                <w:numId w:val="74"/>
              </w:numPr>
              <w:tabs>
                <w:tab w:val="left" w:pos="175"/>
              </w:tabs>
              <w:spacing w:line="276" w:lineRule="auto"/>
              <w:ind w:left="181" w:hanging="181"/>
              <w:contextualSpacing/>
              <w:jc w:val="both"/>
              <w:rPr>
                <w:rFonts w:ascii="Times New Roman" w:hAnsi="Times New Roman"/>
                <w:sz w:val="20"/>
                <w:szCs w:val="20"/>
                <w:lang w:eastAsia="x-none"/>
              </w:rPr>
            </w:pPr>
            <w:r w:rsidRPr="002F56DB">
              <w:rPr>
                <w:rFonts w:ascii="Times New Roman" w:hAnsi="Times New Roman"/>
                <w:sz w:val="20"/>
                <w:szCs w:val="20"/>
                <w:lang w:eastAsia="x-none"/>
              </w:rPr>
              <w:t xml:space="preserve">Faible dégagement des GES </w:t>
            </w:r>
          </w:p>
          <w:p w:rsidR="0087146B" w:rsidRPr="002F56DB" w:rsidRDefault="0087146B" w:rsidP="00FA3FAE">
            <w:pPr>
              <w:widowControl w:val="0"/>
              <w:numPr>
                <w:ilvl w:val="0"/>
                <w:numId w:val="74"/>
              </w:numPr>
              <w:tabs>
                <w:tab w:val="left" w:pos="175"/>
              </w:tabs>
              <w:spacing w:line="276" w:lineRule="auto"/>
              <w:ind w:left="181" w:hanging="181"/>
              <w:contextualSpacing/>
              <w:jc w:val="both"/>
              <w:rPr>
                <w:rFonts w:ascii="Times New Roman" w:hAnsi="Times New Roman"/>
                <w:sz w:val="20"/>
                <w:szCs w:val="20"/>
                <w:lang w:eastAsia="x-none"/>
              </w:rPr>
            </w:pPr>
            <w:r w:rsidRPr="002F56DB">
              <w:rPr>
                <w:rFonts w:ascii="Times New Roman" w:hAnsi="Times New Roman"/>
                <w:sz w:val="20"/>
                <w:szCs w:val="20"/>
                <w:lang w:eastAsia="x-none"/>
              </w:rPr>
              <w:t>Faible perturbation ou de destruction des habitats</w:t>
            </w:r>
            <w:r w:rsidR="00206409">
              <w:rPr>
                <w:rFonts w:ascii="Times New Roman" w:hAnsi="Times New Roman"/>
                <w:sz w:val="20"/>
                <w:szCs w:val="20"/>
                <w:lang w:eastAsia="x-none"/>
              </w:rPr>
              <w:t> ;</w:t>
            </w:r>
          </w:p>
          <w:p w:rsidR="0087146B" w:rsidRPr="002F56DB" w:rsidRDefault="0087146B" w:rsidP="00FA3FAE">
            <w:pPr>
              <w:widowControl w:val="0"/>
              <w:numPr>
                <w:ilvl w:val="0"/>
                <w:numId w:val="74"/>
              </w:numPr>
              <w:tabs>
                <w:tab w:val="left" w:pos="175"/>
              </w:tabs>
              <w:spacing w:line="276" w:lineRule="auto"/>
              <w:ind w:left="181" w:hanging="181"/>
              <w:contextualSpacing/>
              <w:jc w:val="both"/>
              <w:rPr>
                <w:rFonts w:ascii="Times New Roman" w:hAnsi="Times New Roman"/>
                <w:sz w:val="20"/>
                <w:szCs w:val="20"/>
                <w:lang w:eastAsia="x-none"/>
              </w:rPr>
            </w:pPr>
            <w:r w:rsidRPr="002F56DB">
              <w:rPr>
                <w:rFonts w:ascii="Times New Roman" w:hAnsi="Times New Roman"/>
                <w:sz w:val="20"/>
                <w:szCs w:val="20"/>
                <w:lang w:eastAsia="x-none"/>
              </w:rPr>
              <w:t>Faible dégradation des sols</w:t>
            </w:r>
            <w:r w:rsidR="00206409">
              <w:rPr>
                <w:rFonts w:ascii="Times New Roman" w:hAnsi="Times New Roman"/>
                <w:sz w:val="20"/>
                <w:szCs w:val="20"/>
                <w:lang w:eastAsia="x-none"/>
              </w:rPr>
              <w:t> ;</w:t>
            </w:r>
          </w:p>
        </w:tc>
      </w:tr>
      <w:tr w:rsidR="002F56DB" w:rsidTr="008D7CFC">
        <w:tc>
          <w:tcPr>
            <w:tcW w:w="425" w:type="dxa"/>
            <w:vMerge w:val="restart"/>
            <w:shd w:val="clear" w:color="auto" w:fill="FBE4D5" w:themeFill="accent2" w:themeFillTint="33"/>
            <w:textDirection w:val="btLr"/>
            <w:vAlign w:val="center"/>
          </w:tcPr>
          <w:p w:rsidR="0087146B" w:rsidRDefault="0087146B" w:rsidP="00BE5322">
            <w:pPr>
              <w:jc w:val="center"/>
              <w:rPr>
                <w:rFonts w:ascii="Times New Roman" w:hAnsi="Times New Roman" w:cs="Times New Roman"/>
                <w:color w:val="000000"/>
                <w:sz w:val="24"/>
                <w:szCs w:val="24"/>
              </w:rPr>
            </w:pPr>
            <w:r>
              <w:rPr>
                <w:rFonts w:ascii="Times New Roman" w:hAnsi="Times New Roman" w:cs="Times New Roman"/>
                <w:color w:val="000000"/>
                <w:sz w:val="24"/>
                <w:szCs w:val="24"/>
              </w:rPr>
              <w:t>Social</w:t>
            </w:r>
          </w:p>
        </w:tc>
        <w:tc>
          <w:tcPr>
            <w:tcW w:w="1277" w:type="dxa"/>
            <w:vMerge/>
            <w:shd w:val="clear" w:color="auto" w:fill="F2F2F2" w:themeFill="background1" w:themeFillShade="F2"/>
            <w:vAlign w:val="center"/>
          </w:tcPr>
          <w:p w:rsidR="0087146B" w:rsidRDefault="0087146B" w:rsidP="00BE5322">
            <w:pPr>
              <w:jc w:val="center"/>
              <w:rPr>
                <w:rFonts w:ascii="Times New Roman" w:hAnsi="Times New Roman" w:cs="Times New Roman"/>
                <w:color w:val="000000"/>
                <w:sz w:val="24"/>
                <w:szCs w:val="24"/>
              </w:rPr>
            </w:pPr>
          </w:p>
        </w:tc>
        <w:tc>
          <w:tcPr>
            <w:tcW w:w="992" w:type="dxa"/>
            <w:shd w:val="clear" w:color="auto" w:fill="E2EFD9" w:themeFill="accent6" w:themeFillTint="33"/>
            <w:vAlign w:val="center"/>
          </w:tcPr>
          <w:p w:rsidR="0087146B" w:rsidRPr="00CB4F92" w:rsidRDefault="0087146B" w:rsidP="00BE5322">
            <w:pPr>
              <w:jc w:val="center"/>
              <w:rPr>
                <w:rFonts w:ascii="Times New Roman" w:hAnsi="Times New Roman" w:cs="Times New Roman"/>
                <w:b/>
                <w:color w:val="000000"/>
                <w:sz w:val="20"/>
                <w:szCs w:val="20"/>
              </w:rPr>
            </w:pPr>
            <w:r w:rsidRPr="00CB4F92">
              <w:rPr>
                <w:rFonts w:ascii="Times New Roman" w:hAnsi="Times New Roman" w:cs="Times New Roman"/>
                <w:b/>
                <w:color w:val="000000"/>
                <w:sz w:val="20"/>
                <w:szCs w:val="20"/>
              </w:rPr>
              <w:t>Effet</w:t>
            </w:r>
            <w:r w:rsidR="00F6660B">
              <w:rPr>
                <w:rFonts w:ascii="Times New Roman" w:hAnsi="Times New Roman" w:cs="Times New Roman"/>
                <w:b/>
                <w:color w:val="000000"/>
                <w:sz w:val="20"/>
                <w:szCs w:val="20"/>
              </w:rPr>
              <w:t>s</w:t>
            </w:r>
            <w:r w:rsidRPr="00CB4F92">
              <w:rPr>
                <w:rFonts w:ascii="Times New Roman" w:hAnsi="Times New Roman" w:cs="Times New Roman"/>
                <w:b/>
                <w:color w:val="000000"/>
                <w:sz w:val="20"/>
                <w:szCs w:val="20"/>
              </w:rPr>
              <w:t xml:space="preserve"> positif</w:t>
            </w:r>
            <w:r w:rsidR="00F6660B">
              <w:rPr>
                <w:rFonts w:ascii="Times New Roman" w:hAnsi="Times New Roman" w:cs="Times New Roman"/>
                <w:b/>
                <w:color w:val="000000"/>
                <w:sz w:val="20"/>
                <w:szCs w:val="20"/>
              </w:rPr>
              <w:t>s</w:t>
            </w:r>
          </w:p>
        </w:tc>
        <w:tc>
          <w:tcPr>
            <w:tcW w:w="7933" w:type="dxa"/>
            <w:vAlign w:val="center"/>
          </w:tcPr>
          <w:p w:rsidR="0087146B" w:rsidRPr="00AA45E9" w:rsidRDefault="0087146B" w:rsidP="00FA3FAE">
            <w:pPr>
              <w:widowControl w:val="0"/>
              <w:numPr>
                <w:ilvl w:val="0"/>
                <w:numId w:val="74"/>
              </w:numPr>
              <w:tabs>
                <w:tab w:val="left" w:pos="175"/>
              </w:tabs>
              <w:spacing w:line="276" w:lineRule="auto"/>
              <w:ind w:left="181" w:hanging="181"/>
              <w:contextualSpacing/>
              <w:jc w:val="both"/>
              <w:rPr>
                <w:rFonts w:ascii="Times New Roman" w:hAnsi="Times New Roman"/>
                <w:sz w:val="20"/>
                <w:szCs w:val="20"/>
                <w:lang w:eastAsia="x-none"/>
              </w:rPr>
            </w:pPr>
            <w:r w:rsidRPr="00AA45E9">
              <w:rPr>
                <w:rFonts w:ascii="Times New Roman" w:hAnsi="Times New Roman"/>
                <w:sz w:val="20"/>
                <w:szCs w:val="20"/>
                <w:lang w:eastAsia="x-none"/>
              </w:rPr>
              <w:t>Exécution rapide des travaux en respectant les réalités du milieu ;</w:t>
            </w:r>
          </w:p>
          <w:p w:rsidR="0087146B" w:rsidRPr="00AA45E9" w:rsidRDefault="0087146B" w:rsidP="00FA3FAE">
            <w:pPr>
              <w:widowControl w:val="0"/>
              <w:numPr>
                <w:ilvl w:val="0"/>
                <w:numId w:val="74"/>
              </w:numPr>
              <w:tabs>
                <w:tab w:val="left" w:pos="175"/>
              </w:tabs>
              <w:spacing w:line="276" w:lineRule="auto"/>
              <w:ind w:left="181" w:hanging="181"/>
              <w:contextualSpacing/>
              <w:jc w:val="both"/>
              <w:rPr>
                <w:rFonts w:ascii="Times New Roman" w:hAnsi="Times New Roman"/>
                <w:sz w:val="20"/>
                <w:szCs w:val="20"/>
                <w:lang w:eastAsia="x-none"/>
              </w:rPr>
            </w:pPr>
            <w:r w:rsidRPr="00AA45E9">
              <w:rPr>
                <w:rFonts w:ascii="Times New Roman" w:hAnsi="Times New Roman"/>
                <w:sz w:val="20"/>
                <w:szCs w:val="20"/>
                <w:lang w:eastAsia="x-none"/>
              </w:rPr>
              <w:t>Meilleure appropriation du projet ;</w:t>
            </w:r>
          </w:p>
          <w:p w:rsidR="0087146B" w:rsidRPr="00AA45E9" w:rsidRDefault="0087146B" w:rsidP="00FA3FAE">
            <w:pPr>
              <w:widowControl w:val="0"/>
              <w:numPr>
                <w:ilvl w:val="0"/>
                <w:numId w:val="74"/>
              </w:numPr>
              <w:tabs>
                <w:tab w:val="left" w:pos="175"/>
              </w:tabs>
              <w:spacing w:line="276" w:lineRule="auto"/>
              <w:ind w:left="181" w:hanging="181"/>
              <w:contextualSpacing/>
              <w:jc w:val="both"/>
              <w:rPr>
                <w:rFonts w:ascii="Times New Roman" w:hAnsi="Times New Roman"/>
                <w:sz w:val="20"/>
                <w:szCs w:val="20"/>
                <w:lang w:eastAsia="x-none"/>
              </w:rPr>
            </w:pPr>
            <w:r w:rsidRPr="00AA45E9">
              <w:rPr>
                <w:rFonts w:ascii="Times New Roman" w:hAnsi="Times New Roman"/>
                <w:sz w:val="20"/>
                <w:szCs w:val="20"/>
                <w:lang w:eastAsia="x-none"/>
              </w:rPr>
              <w:t>Création d’emplois (main d’œuvre qualifiée) et encadrement des ouvriers ;</w:t>
            </w:r>
          </w:p>
          <w:p w:rsidR="0087146B" w:rsidRPr="00AA45E9" w:rsidRDefault="0087146B" w:rsidP="00FA3FAE">
            <w:pPr>
              <w:widowControl w:val="0"/>
              <w:numPr>
                <w:ilvl w:val="0"/>
                <w:numId w:val="74"/>
              </w:numPr>
              <w:tabs>
                <w:tab w:val="left" w:pos="175"/>
              </w:tabs>
              <w:spacing w:line="276" w:lineRule="auto"/>
              <w:ind w:left="181" w:hanging="181"/>
              <w:contextualSpacing/>
              <w:jc w:val="both"/>
              <w:rPr>
                <w:rFonts w:ascii="Times New Roman" w:hAnsi="Times New Roman"/>
                <w:sz w:val="20"/>
                <w:szCs w:val="20"/>
                <w:lang w:eastAsia="x-none"/>
              </w:rPr>
            </w:pPr>
            <w:r w:rsidRPr="00AA45E9">
              <w:rPr>
                <w:rFonts w:ascii="Times New Roman" w:hAnsi="Times New Roman"/>
                <w:sz w:val="20"/>
                <w:szCs w:val="20"/>
                <w:lang w:eastAsia="x-none"/>
              </w:rPr>
              <w:t>Réalisation des souhaits de la population et des autorités par rapport à l’imp</w:t>
            </w:r>
            <w:r w:rsidR="00C747E4">
              <w:rPr>
                <w:rFonts w:ascii="Times New Roman" w:hAnsi="Times New Roman"/>
                <w:sz w:val="20"/>
                <w:szCs w:val="20"/>
                <w:lang w:eastAsia="x-none"/>
              </w:rPr>
              <w:t>lication des ouvriers locaux</w:t>
            </w:r>
            <w:r w:rsidRPr="00AA45E9">
              <w:rPr>
                <w:rFonts w:ascii="Times New Roman" w:hAnsi="Times New Roman"/>
                <w:sz w:val="20"/>
                <w:szCs w:val="20"/>
                <w:lang w:eastAsia="x-none"/>
              </w:rPr>
              <w:t> ;</w:t>
            </w:r>
          </w:p>
          <w:p w:rsidR="0087146B" w:rsidRPr="00AA45E9" w:rsidRDefault="0087146B" w:rsidP="00FA3FAE">
            <w:pPr>
              <w:widowControl w:val="0"/>
              <w:numPr>
                <w:ilvl w:val="0"/>
                <w:numId w:val="74"/>
              </w:numPr>
              <w:tabs>
                <w:tab w:val="left" w:pos="175"/>
              </w:tabs>
              <w:spacing w:line="276" w:lineRule="auto"/>
              <w:ind w:left="181" w:hanging="181"/>
              <w:contextualSpacing/>
              <w:jc w:val="both"/>
              <w:rPr>
                <w:rFonts w:ascii="Times New Roman" w:hAnsi="Times New Roman"/>
                <w:sz w:val="20"/>
                <w:szCs w:val="20"/>
                <w:lang w:eastAsia="x-none"/>
              </w:rPr>
            </w:pPr>
            <w:r w:rsidRPr="002F56DB">
              <w:rPr>
                <w:rFonts w:ascii="Times New Roman" w:hAnsi="Times New Roman"/>
                <w:sz w:val="20"/>
                <w:szCs w:val="20"/>
                <w:lang w:eastAsia="x-none"/>
              </w:rPr>
              <w:t>Meilleur</w:t>
            </w:r>
            <w:r w:rsidR="00C747E4">
              <w:rPr>
                <w:rFonts w:ascii="Times New Roman" w:hAnsi="Times New Roman"/>
                <w:sz w:val="20"/>
                <w:szCs w:val="20"/>
                <w:lang w:eastAsia="x-none"/>
              </w:rPr>
              <w:t>e</w:t>
            </w:r>
            <w:r w:rsidRPr="002F56DB">
              <w:rPr>
                <w:rFonts w:ascii="Times New Roman" w:hAnsi="Times New Roman"/>
                <w:sz w:val="20"/>
                <w:szCs w:val="20"/>
                <w:lang w:eastAsia="x-none"/>
              </w:rPr>
              <w:t xml:space="preserve"> prise en compte de la mobilité des personnes et des biens en milieu rural et surtout en milieu urbain ;</w:t>
            </w:r>
          </w:p>
          <w:p w:rsidR="0087146B" w:rsidRPr="00AA45E9" w:rsidRDefault="0087146B" w:rsidP="00FA3FAE">
            <w:pPr>
              <w:widowControl w:val="0"/>
              <w:numPr>
                <w:ilvl w:val="0"/>
                <w:numId w:val="74"/>
              </w:numPr>
              <w:tabs>
                <w:tab w:val="left" w:pos="175"/>
              </w:tabs>
              <w:spacing w:line="276" w:lineRule="auto"/>
              <w:ind w:left="181" w:hanging="181"/>
              <w:contextualSpacing/>
              <w:jc w:val="both"/>
              <w:rPr>
                <w:rFonts w:ascii="Times New Roman" w:hAnsi="Times New Roman"/>
                <w:sz w:val="20"/>
                <w:szCs w:val="20"/>
                <w:lang w:eastAsia="x-none"/>
              </w:rPr>
            </w:pPr>
            <w:r w:rsidRPr="00AA45E9">
              <w:rPr>
                <w:rFonts w:ascii="Times New Roman" w:hAnsi="Times New Roman"/>
                <w:sz w:val="20"/>
                <w:szCs w:val="20"/>
                <w:lang w:eastAsia="x-none"/>
              </w:rPr>
              <w:t>Contribuer à la réduction de la pauvreté ;</w:t>
            </w:r>
          </w:p>
          <w:p w:rsidR="0087146B" w:rsidRPr="00AA45E9" w:rsidRDefault="0087146B" w:rsidP="00FA3FAE">
            <w:pPr>
              <w:widowControl w:val="0"/>
              <w:numPr>
                <w:ilvl w:val="0"/>
                <w:numId w:val="74"/>
              </w:numPr>
              <w:tabs>
                <w:tab w:val="left" w:pos="175"/>
              </w:tabs>
              <w:spacing w:line="276" w:lineRule="auto"/>
              <w:ind w:left="181" w:hanging="181"/>
              <w:contextualSpacing/>
              <w:jc w:val="both"/>
              <w:rPr>
                <w:rFonts w:ascii="Times New Roman" w:hAnsi="Times New Roman"/>
                <w:sz w:val="20"/>
                <w:szCs w:val="20"/>
                <w:lang w:eastAsia="x-none"/>
              </w:rPr>
            </w:pPr>
            <w:r w:rsidRPr="00AA45E9">
              <w:rPr>
                <w:rFonts w:ascii="Times New Roman" w:hAnsi="Times New Roman"/>
                <w:sz w:val="20"/>
                <w:szCs w:val="20"/>
                <w:lang w:eastAsia="x-none"/>
              </w:rPr>
              <w:t xml:space="preserve">Organisation, planification et </w:t>
            </w:r>
            <w:r w:rsidR="00C747E4" w:rsidRPr="00AA45E9">
              <w:rPr>
                <w:rFonts w:ascii="Times New Roman" w:hAnsi="Times New Roman"/>
                <w:sz w:val="20"/>
                <w:szCs w:val="20"/>
                <w:lang w:eastAsia="x-none"/>
              </w:rPr>
              <w:t>contrôl</w:t>
            </w:r>
            <w:r w:rsidR="00C747E4">
              <w:rPr>
                <w:rFonts w:ascii="Times New Roman" w:hAnsi="Times New Roman"/>
                <w:sz w:val="20"/>
                <w:szCs w:val="20"/>
                <w:lang w:eastAsia="x-none"/>
              </w:rPr>
              <w:t>e</w:t>
            </w:r>
            <w:r w:rsidRPr="00AA45E9">
              <w:rPr>
                <w:rFonts w:ascii="Times New Roman" w:hAnsi="Times New Roman"/>
                <w:sz w:val="20"/>
                <w:szCs w:val="20"/>
                <w:lang w:eastAsia="x-none"/>
              </w:rPr>
              <w:t xml:space="preserve"> plus aisés du travail ;</w:t>
            </w:r>
          </w:p>
          <w:p w:rsidR="00206409" w:rsidRDefault="0087146B" w:rsidP="00FA3FAE">
            <w:pPr>
              <w:widowControl w:val="0"/>
              <w:numPr>
                <w:ilvl w:val="0"/>
                <w:numId w:val="74"/>
              </w:numPr>
              <w:tabs>
                <w:tab w:val="left" w:pos="175"/>
              </w:tabs>
              <w:spacing w:line="276" w:lineRule="auto"/>
              <w:ind w:left="181" w:hanging="181"/>
              <w:contextualSpacing/>
              <w:jc w:val="both"/>
              <w:rPr>
                <w:rFonts w:ascii="Times New Roman" w:hAnsi="Times New Roman"/>
                <w:sz w:val="20"/>
                <w:szCs w:val="20"/>
                <w:lang w:eastAsia="x-none"/>
              </w:rPr>
            </w:pPr>
            <w:r w:rsidRPr="002F56DB">
              <w:rPr>
                <w:rFonts w:ascii="Times New Roman" w:hAnsi="Times New Roman"/>
                <w:sz w:val="20"/>
                <w:szCs w:val="20"/>
                <w:lang w:eastAsia="x-none"/>
              </w:rPr>
              <w:t>Moins de risque d’accident</w:t>
            </w:r>
            <w:r w:rsidR="00C747E4">
              <w:rPr>
                <w:rFonts w:ascii="Times New Roman" w:hAnsi="Times New Roman"/>
                <w:sz w:val="20"/>
                <w:szCs w:val="20"/>
                <w:lang w:eastAsia="x-none"/>
              </w:rPr>
              <w:t>s</w:t>
            </w:r>
            <w:r w:rsidRPr="002F56DB">
              <w:rPr>
                <w:rFonts w:ascii="Times New Roman" w:hAnsi="Times New Roman"/>
                <w:sz w:val="20"/>
                <w:szCs w:val="20"/>
                <w:lang w:eastAsia="x-none"/>
              </w:rPr>
              <w:t xml:space="preserve"> des ouvriers et de circulation ;</w:t>
            </w:r>
          </w:p>
          <w:p w:rsidR="0087146B" w:rsidRPr="00206409" w:rsidRDefault="0087146B" w:rsidP="00FA3FAE">
            <w:pPr>
              <w:widowControl w:val="0"/>
              <w:numPr>
                <w:ilvl w:val="0"/>
                <w:numId w:val="74"/>
              </w:numPr>
              <w:tabs>
                <w:tab w:val="left" w:pos="175"/>
              </w:tabs>
              <w:spacing w:line="276" w:lineRule="auto"/>
              <w:ind w:left="181" w:hanging="181"/>
              <w:contextualSpacing/>
              <w:jc w:val="both"/>
              <w:rPr>
                <w:rFonts w:ascii="Times New Roman" w:hAnsi="Times New Roman"/>
                <w:sz w:val="20"/>
                <w:szCs w:val="20"/>
                <w:lang w:eastAsia="x-none"/>
              </w:rPr>
            </w:pPr>
            <w:r w:rsidRPr="00206409">
              <w:rPr>
                <w:rFonts w:ascii="Times New Roman" w:hAnsi="Times New Roman"/>
                <w:sz w:val="20"/>
                <w:szCs w:val="20"/>
                <w:lang w:eastAsia="x-none"/>
              </w:rPr>
              <w:t>Possibilités d’application des deux méthodes à la fois</w:t>
            </w:r>
            <w:r w:rsidR="00206409">
              <w:rPr>
                <w:rFonts w:ascii="Times New Roman" w:hAnsi="Times New Roman"/>
                <w:sz w:val="20"/>
                <w:szCs w:val="20"/>
                <w:lang w:eastAsia="x-none"/>
              </w:rPr>
              <w:t> ;</w:t>
            </w:r>
          </w:p>
        </w:tc>
      </w:tr>
      <w:tr w:rsidR="002F56DB" w:rsidTr="008D7CFC">
        <w:tc>
          <w:tcPr>
            <w:tcW w:w="425" w:type="dxa"/>
            <w:vMerge/>
            <w:shd w:val="clear" w:color="auto" w:fill="FBE4D5" w:themeFill="accent2" w:themeFillTint="33"/>
            <w:textDirection w:val="btLr"/>
            <w:vAlign w:val="center"/>
          </w:tcPr>
          <w:p w:rsidR="0087146B" w:rsidRDefault="0087146B" w:rsidP="00BE5322">
            <w:pPr>
              <w:jc w:val="center"/>
              <w:rPr>
                <w:rFonts w:ascii="Times New Roman" w:hAnsi="Times New Roman" w:cs="Times New Roman"/>
                <w:color w:val="000000"/>
                <w:sz w:val="24"/>
                <w:szCs w:val="24"/>
              </w:rPr>
            </w:pPr>
          </w:p>
        </w:tc>
        <w:tc>
          <w:tcPr>
            <w:tcW w:w="1277" w:type="dxa"/>
            <w:vMerge/>
            <w:shd w:val="clear" w:color="auto" w:fill="F2F2F2" w:themeFill="background1" w:themeFillShade="F2"/>
            <w:vAlign w:val="center"/>
          </w:tcPr>
          <w:p w:rsidR="0087146B" w:rsidRDefault="0087146B" w:rsidP="00BE5322">
            <w:pPr>
              <w:jc w:val="center"/>
              <w:rPr>
                <w:rFonts w:ascii="Times New Roman" w:hAnsi="Times New Roman" w:cs="Times New Roman"/>
                <w:color w:val="000000"/>
                <w:sz w:val="24"/>
                <w:szCs w:val="24"/>
              </w:rPr>
            </w:pPr>
          </w:p>
        </w:tc>
        <w:tc>
          <w:tcPr>
            <w:tcW w:w="992" w:type="dxa"/>
            <w:shd w:val="clear" w:color="auto" w:fill="FFF2CC" w:themeFill="accent4" w:themeFillTint="33"/>
            <w:vAlign w:val="center"/>
          </w:tcPr>
          <w:p w:rsidR="0087146B" w:rsidRPr="00CB4F92" w:rsidRDefault="0087146B" w:rsidP="00BE5322">
            <w:pPr>
              <w:jc w:val="center"/>
              <w:rPr>
                <w:rFonts w:ascii="Times New Roman" w:hAnsi="Times New Roman" w:cs="Times New Roman"/>
                <w:b/>
                <w:color w:val="000000"/>
                <w:sz w:val="20"/>
                <w:szCs w:val="20"/>
              </w:rPr>
            </w:pPr>
            <w:r w:rsidRPr="00CB4F92">
              <w:rPr>
                <w:rFonts w:ascii="Times New Roman" w:hAnsi="Times New Roman" w:cs="Times New Roman"/>
                <w:b/>
                <w:color w:val="000000"/>
                <w:sz w:val="20"/>
                <w:szCs w:val="20"/>
              </w:rPr>
              <w:t>Effet</w:t>
            </w:r>
            <w:r w:rsidR="00F6660B">
              <w:rPr>
                <w:rFonts w:ascii="Times New Roman" w:hAnsi="Times New Roman" w:cs="Times New Roman"/>
                <w:b/>
                <w:color w:val="000000"/>
                <w:sz w:val="20"/>
                <w:szCs w:val="20"/>
              </w:rPr>
              <w:t>s</w:t>
            </w:r>
            <w:r w:rsidRPr="00CB4F92">
              <w:rPr>
                <w:rFonts w:ascii="Times New Roman" w:hAnsi="Times New Roman" w:cs="Times New Roman"/>
                <w:b/>
                <w:color w:val="000000"/>
                <w:sz w:val="20"/>
                <w:szCs w:val="20"/>
              </w:rPr>
              <w:t xml:space="preserve"> négatif</w:t>
            </w:r>
            <w:r w:rsidR="00F6660B">
              <w:rPr>
                <w:rFonts w:ascii="Times New Roman" w:hAnsi="Times New Roman" w:cs="Times New Roman"/>
                <w:b/>
                <w:color w:val="000000"/>
                <w:sz w:val="20"/>
                <w:szCs w:val="20"/>
              </w:rPr>
              <w:t>s</w:t>
            </w:r>
          </w:p>
        </w:tc>
        <w:tc>
          <w:tcPr>
            <w:tcW w:w="7933" w:type="dxa"/>
            <w:vAlign w:val="center"/>
          </w:tcPr>
          <w:p w:rsidR="0087146B" w:rsidRPr="002F56DB" w:rsidRDefault="0087146B" w:rsidP="00FA3FAE">
            <w:pPr>
              <w:widowControl w:val="0"/>
              <w:numPr>
                <w:ilvl w:val="0"/>
                <w:numId w:val="74"/>
              </w:numPr>
              <w:tabs>
                <w:tab w:val="left" w:pos="175"/>
              </w:tabs>
              <w:spacing w:line="276" w:lineRule="auto"/>
              <w:ind w:left="181" w:hanging="181"/>
              <w:contextualSpacing/>
              <w:jc w:val="both"/>
              <w:rPr>
                <w:rFonts w:ascii="Times New Roman" w:hAnsi="Times New Roman"/>
                <w:sz w:val="20"/>
                <w:szCs w:val="20"/>
                <w:lang w:eastAsia="x-none"/>
              </w:rPr>
            </w:pPr>
            <w:r w:rsidRPr="002F56DB">
              <w:rPr>
                <w:rFonts w:ascii="Times New Roman" w:hAnsi="Times New Roman"/>
                <w:sz w:val="20"/>
                <w:szCs w:val="20"/>
                <w:lang w:eastAsia="x-none"/>
              </w:rPr>
              <w:t xml:space="preserve">Faible nombre d’ouvrier recrutés lors de la réalisation des </w:t>
            </w:r>
            <w:r w:rsidR="006405F7">
              <w:rPr>
                <w:rFonts w:ascii="Times New Roman" w:hAnsi="Times New Roman"/>
                <w:sz w:val="20"/>
                <w:szCs w:val="20"/>
                <w:lang w:eastAsia="x-none"/>
              </w:rPr>
              <w:t>réservoirs</w:t>
            </w:r>
            <w:r w:rsidRPr="002F56DB">
              <w:rPr>
                <w:rFonts w:ascii="Times New Roman" w:hAnsi="Times New Roman"/>
                <w:sz w:val="20"/>
                <w:szCs w:val="20"/>
                <w:lang w:eastAsia="x-none"/>
              </w:rPr>
              <w:t xml:space="preserve"> ; </w:t>
            </w:r>
          </w:p>
          <w:p w:rsidR="0087146B" w:rsidRPr="002F56DB" w:rsidRDefault="0087146B" w:rsidP="00FA3FAE">
            <w:pPr>
              <w:widowControl w:val="0"/>
              <w:numPr>
                <w:ilvl w:val="0"/>
                <w:numId w:val="74"/>
              </w:numPr>
              <w:tabs>
                <w:tab w:val="left" w:pos="175"/>
              </w:tabs>
              <w:spacing w:line="276" w:lineRule="auto"/>
              <w:ind w:left="181" w:hanging="181"/>
              <w:contextualSpacing/>
              <w:jc w:val="both"/>
              <w:rPr>
                <w:rFonts w:ascii="Times New Roman" w:hAnsi="Times New Roman"/>
                <w:sz w:val="20"/>
                <w:szCs w:val="20"/>
                <w:lang w:eastAsia="x-none"/>
              </w:rPr>
            </w:pPr>
            <w:r w:rsidRPr="002F56DB">
              <w:rPr>
                <w:rFonts w:ascii="Times New Roman" w:hAnsi="Times New Roman"/>
                <w:sz w:val="20"/>
                <w:szCs w:val="20"/>
                <w:lang w:eastAsia="x-none"/>
              </w:rPr>
              <w:t>Faible risque de perturbation</w:t>
            </w:r>
            <w:r w:rsidR="00C747E4">
              <w:rPr>
                <w:rFonts w:ascii="Times New Roman" w:hAnsi="Times New Roman"/>
                <w:sz w:val="20"/>
                <w:szCs w:val="20"/>
                <w:lang w:eastAsia="x-none"/>
              </w:rPr>
              <w:t>s</w:t>
            </w:r>
            <w:r w:rsidRPr="002F56DB">
              <w:rPr>
                <w:rFonts w:ascii="Times New Roman" w:hAnsi="Times New Roman"/>
                <w:sz w:val="20"/>
                <w:szCs w:val="20"/>
                <w:lang w:eastAsia="x-none"/>
              </w:rPr>
              <w:t xml:space="preserve"> des activités des populations ;</w:t>
            </w:r>
          </w:p>
          <w:p w:rsidR="0087146B" w:rsidRPr="002F56DB" w:rsidRDefault="0087146B" w:rsidP="00FA3FAE">
            <w:pPr>
              <w:widowControl w:val="0"/>
              <w:numPr>
                <w:ilvl w:val="0"/>
                <w:numId w:val="74"/>
              </w:numPr>
              <w:tabs>
                <w:tab w:val="left" w:pos="175"/>
              </w:tabs>
              <w:spacing w:line="276" w:lineRule="auto"/>
              <w:ind w:left="181" w:hanging="181"/>
              <w:contextualSpacing/>
              <w:jc w:val="both"/>
              <w:rPr>
                <w:rFonts w:ascii="Times New Roman" w:hAnsi="Times New Roman"/>
                <w:sz w:val="20"/>
                <w:szCs w:val="20"/>
                <w:lang w:eastAsia="x-none"/>
              </w:rPr>
            </w:pPr>
            <w:r w:rsidRPr="002F56DB">
              <w:rPr>
                <w:rFonts w:ascii="Times New Roman" w:hAnsi="Times New Roman"/>
                <w:sz w:val="20"/>
                <w:szCs w:val="20"/>
                <w:lang w:eastAsia="x-none"/>
              </w:rPr>
              <w:t>Faible risque d’accident</w:t>
            </w:r>
            <w:r w:rsidR="00C747E4">
              <w:rPr>
                <w:rFonts w:ascii="Times New Roman" w:hAnsi="Times New Roman"/>
                <w:sz w:val="20"/>
                <w:szCs w:val="20"/>
                <w:lang w:eastAsia="x-none"/>
              </w:rPr>
              <w:t>s</w:t>
            </w:r>
            <w:r w:rsidRPr="002F56DB">
              <w:rPr>
                <w:rFonts w:ascii="Times New Roman" w:hAnsi="Times New Roman"/>
                <w:sz w:val="20"/>
                <w:szCs w:val="20"/>
                <w:lang w:eastAsia="x-none"/>
              </w:rPr>
              <w:t xml:space="preserve"> de travail ;</w:t>
            </w:r>
          </w:p>
          <w:p w:rsidR="0087146B" w:rsidRPr="002F56DB" w:rsidRDefault="0087146B" w:rsidP="00FA3FAE">
            <w:pPr>
              <w:widowControl w:val="0"/>
              <w:numPr>
                <w:ilvl w:val="0"/>
                <w:numId w:val="74"/>
              </w:numPr>
              <w:tabs>
                <w:tab w:val="left" w:pos="175"/>
              </w:tabs>
              <w:spacing w:line="276" w:lineRule="auto"/>
              <w:ind w:left="181" w:hanging="181"/>
              <w:contextualSpacing/>
              <w:jc w:val="both"/>
              <w:rPr>
                <w:rFonts w:ascii="Times New Roman" w:hAnsi="Times New Roman"/>
                <w:sz w:val="20"/>
                <w:szCs w:val="20"/>
                <w:lang w:eastAsia="x-none"/>
              </w:rPr>
            </w:pPr>
            <w:r w:rsidRPr="002F56DB">
              <w:rPr>
                <w:rFonts w:ascii="Times New Roman" w:hAnsi="Times New Roman"/>
                <w:sz w:val="20"/>
                <w:szCs w:val="20"/>
                <w:lang w:eastAsia="x-none"/>
              </w:rPr>
              <w:t>Faible nuisance sonore ;</w:t>
            </w:r>
          </w:p>
          <w:p w:rsidR="0087146B" w:rsidRPr="002F56DB" w:rsidRDefault="0087146B" w:rsidP="00FA3FAE">
            <w:pPr>
              <w:widowControl w:val="0"/>
              <w:numPr>
                <w:ilvl w:val="0"/>
                <w:numId w:val="74"/>
              </w:numPr>
              <w:tabs>
                <w:tab w:val="left" w:pos="175"/>
              </w:tabs>
              <w:spacing w:line="276" w:lineRule="auto"/>
              <w:ind w:left="181" w:hanging="181"/>
              <w:contextualSpacing/>
              <w:jc w:val="both"/>
              <w:rPr>
                <w:rFonts w:ascii="Times New Roman" w:hAnsi="Times New Roman"/>
                <w:sz w:val="20"/>
                <w:szCs w:val="20"/>
                <w:lang w:eastAsia="x-none"/>
              </w:rPr>
            </w:pPr>
            <w:r w:rsidRPr="002F56DB">
              <w:rPr>
                <w:rFonts w:ascii="Times New Roman" w:hAnsi="Times New Roman"/>
                <w:sz w:val="20"/>
                <w:szCs w:val="20"/>
                <w:lang w:eastAsia="x-none"/>
              </w:rPr>
              <w:t>Risque d’augmentatio</w:t>
            </w:r>
            <w:r w:rsidR="00C747E4">
              <w:rPr>
                <w:rFonts w:ascii="Times New Roman" w:hAnsi="Times New Roman"/>
                <w:sz w:val="20"/>
                <w:szCs w:val="20"/>
                <w:lang w:eastAsia="x-none"/>
              </w:rPr>
              <w:t>n des maladies respiratoires du</w:t>
            </w:r>
            <w:r w:rsidRPr="002F56DB">
              <w:rPr>
                <w:rFonts w:ascii="Times New Roman" w:hAnsi="Times New Roman"/>
                <w:sz w:val="20"/>
                <w:szCs w:val="20"/>
                <w:lang w:eastAsia="x-none"/>
              </w:rPr>
              <w:t xml:space="preserve"> au mouvement des engins</w:t>
            </w:r>
            <w:r w:rsidR="006405F7">
              <w:rPr>
                <w:rFonts w:ascii="Times New Roman" w:hAnsi="Times New Roman"/>
                <w:sz w:val="20"/>
                <w:szCs w:val="20"/>
                <w:lang w:eastAsia="x-none"/>
              </w:rPr>
              <w:t> ;</w:t>
            </w:r>
          </w:p>
        </w:tc>
      </w:tr>
      <w:tr w:rsidR="002F56DB" w:rsidTr="008D7CFC">
        <w:tc>
          <w:tcPr>
            <w:tcW w:w="425" w:type="dxa"/>
            <w:vMerge w:val="restart"/>
            <w:shd w:val="clear" w:color="auto" w:fill="FBE4D5" w:themeFill="accent2" w:themeFillTint="33"/>
            <w:textDirection w:val="btLr"/>
            <w:vAlign w:val="center"/>
          </w:tcPr>
          <w:p w:rsidR="0087146B" w:rsidRDefault="0087146B" w:rsidP="00BE5322">
            <w:pPr>
              <w:jc w:val="center"/>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Economique</w:t>
            </w:r>
          </w:p>
        </w:tc>
        <w:tc>
          <w:tcPr>
            <w:tcW w:w="1277" w:type="dxa"/>
            <w:vMerge/>
            <w:shd w:val="clear" w:color="auto" w:fill="F2F2F2" w:themeFill="background1" w:themeFillShade="F2"/>
            <w:vAlign w:val="center"/>
          </w:tcPr>
          <w:p w:rsidR="0087146B" w:rsidRDefault="0087146B" w:rsidP="00BE5322">
            <w:pPr>
              <w:jc w:val="center"/>
              <w:rPr>
                <w:rFonts w:ascii="Times New Roman" w:hAnsi="Times New Roman" w:cs="Times New Roman"/>
                <w:color w:val="000000"/>
                <w:sz w:val="24"/>
                <w:szCs w:val="24"/>
              </w:rPr>
            </w:pPr>
          </w:p>
        </w:tc>
        <w:tc>
          <w:tcPr>
            <w:tcW w:w="992" w:type="dxa"/>
            <w:shd w:val="clear" w:color="auto" w:fill="E2EFD9" w:themeFill="accent6" w:themeFillTint="33"/>
            <w:vAlign w:val="center"/>
          </w:tcPr>
          <w:p w:rsidR="0087146B" w:rsidRPr="00CB4F92" w:rsidRDefault="0087146B" w:rsidP="00BE5322">
            <w:pPr>
              <w:jc w:val="center"/>
              <w:rPr>
                <w:rFonts w:ascii="Times New Roman" w:hAnsi="Times New Roman" w:cs="Times New Roman"/>
                <w:b/>
                <w:color w:val="000000"/>
                <w:sz w:val="20"/>
                <w:szCs w:val="20"/>
              </w:rPr>
            </w:pPr>
            <w:r w:rsidRPr="00CB4F92">
              <w:rPr>
                <w:rFonts w:ascii="Times New Roman" w:hAnsi="Times New Roman" w:cs="Times New Roman"/>
                <w:b/>
                <w:color w:val="000000"/>
                <w:sz w:val="20"/>
                <w:szCs w:val="20"/>
              </w:rPr>
              <w:t>Effet</w:t>
            </w:r>
            <w:r w:rsidR="00F6660B">
              <w:rPr>
                <w:rFonts w:ascii="Times New Roman" w:hAnsi="Times New Roman" w:cs="Times New Roman"/>
                <w:b/>
                <w:color w:val="000000"/>
                <w:sz w:val="20"/>
                <w:szCs w:val="20"/>
              </w:rPr>
              <w:t>s</w:t>
            </w:r>
            <w:r w:rsidRPr="00CB4F92">
              <w:rPr>
                <w:rFonts w:ascii="Times New Roman" w:hAnsi="Times New Roman" w:cs="Times New Roman"/>
                <w:b/>
                <w:color w:val="000000"/>
                <w:sz w:val="20"/>
                <w:szCs w:val="20"/>
              </w:rPr>
              <w:t xml:space="preserve"> positif</w:t>
            </w:r>
            <w:r w:rsidR="00F6660B">
              <w:rPr>
                <w:rFonts w:ascii="Times New Roman" w:hAnsi="Times New Roman" w:cs="Times New Roman"/>
                <w:b/>
                <w:color w:val="000000"/>
                <w:sz w:val="20"/>
                <w:szCs w:val="20"/>
              </w:rPr>
              <w:t>s</w:t>
            </w:r>
          </w:p>
        </w:tc>
        <w:tc>
          <w:tcPr>
            <w:tcW w:w="7933" w:type="dxa"/>
            <w:vAlign w:val="center"/>
          </w:tcPr>
          <w:p w:rsidR="0087146B" w:rsidRPr="00AA45E9" w:rsidRDefault="0087146B" w:rsidP="00FA3FAE">
            <w:pPr>
              <w:widowControl w:val="0"/>
              <w:numPr>
                <w:ilvl w:val="0"/>
                <w:numId w:val="74"/>
              </w:numPr>
              <w:tabs>
                <w:tab w:val="left" w:pos="175"/>
              </w:tabs>
              <w:spacing w:line="276" w:lineRule="auto"/>
              <w:ind w:left="181" w:hanging="181"/>
              <w:contextualSpacing/>
              <w:jc w:val="both"/>
              <w:rPr>
                <w:rFonts w:ascii="Times New Roman" w:hAnsi="Times New Roman"/>
                <w:sz w:val="20"/>
                <w:szCs w:val="20"/>
                <w:lang w:eastAsia="x-none"/>
              </w:rPr>
            </w:pPr>
            <w:r w:rsidRPr="00AA45E9">
              <w:rPr>
                <w:rFonts w:ascii="Times New Roman" w:hAnsi="Times New Roman"/>
                <w:sz w:val="20"/>
                <w:szCs w:val="20"/>
                <w:lang w:eastAsia="x-none"/>
              </w:rPr>
              <w:t>Augmentation des revenus des populations ;</w:t>
            </w:r>
          </w:p>
          <w:p w:rsidR="0087146B" w:rsidRPr="00AA45E9" w:rsidRDefault="0087146B" w:rsidP="00FA3FAE">
            <w:pPr>
              <w:widowControl w:val="0"/>
              <w:numPr>
                <w:ilvl w:val="0"/>
                <w:numId w:val="74"/>
              </w:numPr>
              <w:tabs>
                <w:tab w:val="left" w:pos="175"/>
              </w:tabs>
              <w:spacing w:line="276" w:lineRule="auto"/>
              <w:ind w:left="181" w:hanging="181"/>
              <w:contextualSpacing/>
              <w:jc w:val="both"/>
              <w:rPr>
                <w:rFonts w:ascii="Times New Roman" w:hAnsi="Times New Roman"/>
                <w:sz w:val="20"/>
                <w:szCs w:val="20"/>
                <w:lang w:eastAsia="x-none"/>
              </w:rPr>
            </w:pPr>
            <w:r w:rsidRPr="00AA45E9">
              <w:rPr>
                <w:rFonts w:ascii="Times New Roman" w:hAnsi="Times New Roman"/>
                <w:sz w:val="20"/>
                <w:szCs w:val="20"/>
                <w:lang w:eastAsia="x-none"/>
              </w:rPr>
              <w:t xml:space="preserve">Création de richesses (locales) ; </w:t>
            </w:r>
          </w:p>
          <w:p w:rsidR="0087146B" w:rsidRPr="00AA45E9" w:rsidRDefault="0087146B" w:rsidP="00FA3FAE">
            <w:pPr>
              <w:widowControl w:val="0"/>
              <w:numPr>
                <w:ilvl w:val="0"/>
                <w:numId w:val="74"/>
              </w:numPr>
              <w:tabs>
                <w:tab w:val="left" w:pos="175"/>
              </w:tabs>
              <w:spacing w:line="276" w:lineRule="auto"/>
              <w:ind w:left="181" w:hanging="181"/>
              <w:contextualSpacing/>
              <w:jc w:val="both"/>
              <w:rPr>
                <w:rFonts w:ascii="Times New Roman" w:hAnsi="Times New Roman"/>
                <w:sz w:val="20"/>
                <w:szCs w:val="20"/>
                <w:lang w:eastAsia="x-none"/>
              </w:rPr>
            </w:pPr>
            <w:r w:rsidRPr="00AA45E9">
              <w:rPr>
                <w:rFonts w:ascii="Times New Roman" w:hAnsi="Times New Roman"/>
                <w:sz w:val="20"/>
                <w:szCs w:val="20"/>
                <w:lang w:eastAsia="x-none"/>
              </w:rPr>
              <w:t xml:space="preserve">Création de richesse auprès des entreprises BTP ; </w:t>
            </w:r>
          </w:p>
          <w:p w:rsidR="0087146B" w:rsidRPr="00AA45E9" w:rsidRDefault="0087146B" w:rsidP="00FA3FAE">
            <w:pPr>
              <w:widowControl w:val="0"/>
              <w:numPr>
                <w:ilvl w:val="0"/>
                <w:numId w:val="74"/>
              </w:numPr>
              <w:tabs>
                <w:tab w:val="left" w:pos="175"/>
              </w:tabs>
              <w:spacing w:line="276" w:lineRule="auto"/>
              <w:ind w:left="181" w:hanging="181"/>
              <w:contextualSpacing/>
              <w:jc w:val="both"/>
              <w:rPr>
                <w:rFonts w:ascii="Times New Roman" w:hAnsi="Times New Roman"/>
                <w:sz w:val="20"/>
                <w:szCs w:val="20"/>
                <w:lang w:eastAsia="x-none"/>
              </w:rPr>
            </w:pPr>
            <w:r w:rsidRPr="00AA45E9">
              <w:rPr>
                <w:rFonts w:ascii="Times New Roman" w:hAnsi="Times New Roman"/>
                <w:sz w:val="20"/>
                <w:szCs w:val="20"/>
                <w:lang w:eastAsia="x-none"/>
              </w:rPr>
              <w:t>Augmentation des versements des taxes ;</w:t>
            </w:r>
          </w:p>
          <w:p w:rsidR="0087146B" w:rsidRPr="00AA45E9" w:rsidRDefault="0087146B" w:rsidP="00FA3FAE">
            <w:pPr>
              <w:widowControl w:val="0"/>
              <w:numPr>
                <w:ilvl w:val="0"/>
                <w:numId w:val="74"/>
              </w:numPr>
              <w:tabs>
                <w:tab w:val="left" w:pos="175"/>
              </w:tabs>
              <w:spacing w:line="276" w:lineRule="auto"/>
              <w:ind w:left="181" w:hanging="181"/>
              <w:contextualSpacing/>
              <w:jc w:val="both"/>
              <w:rPr>
                <w:rFonts w:ascii="Times New Roman" w:hAnsi="Times New Roman"/>
                <w:sz w:val="20"/>
                <w:szCs w:val="20"/>
                <w:lang w:eastAsia="x-none"/>
              </w:rPr>
            </w:pPr>
            <w:r w:rsidRPr="00AA45E9">
              <w:rPr>
                <w:rFonts w:ascii="Times New Roman" w:hAnsi="Times New Roman"/>
                <w:sz w:val="20"/>
                <w:szCs w:val="20"/>
                <w:lang w:eastAsia="x-none"/>
              </w:rPr>
              <w:t>Moins de risque de perte de bien ;</w:t>
            </w:r>
          </w:p>
          <w:p w:rsidR="0087146B" w:rsidRPr="00AA45E9" w:rsidRDefault="0087146B" w:rsidP="00FA3FAE">
            <w:pPr>
              <w:widowControl w:val="0"/>
              <w:numPr>
                <w:ilvl w:val="0"/>
                <w:numId w:val="74"/>
              </w:numPr>
              <w:tabs>
                <w:tab w:val="left" w:pos="175"/>
              </w:tabs>
              <w:spacing w:line="276" w:lineRule="auto"/>
              <w:ind w:left="181" w:hanging="181"/>
              <w:contextualSpacing/>
              <w:jc w:val="both"/>
              <w:rPr>
                <w:rFonts w:ascii="Times New Roman" w:hAnsi="Times New Roman"/>
                <w:sz w:val="20"/>
                <w:szCs w:val="20"/>
                <w:lang w:eastAsia="x-none"/>
              </w:rPr>
            </w:pPr>
            <w:r w:rsidRPr="00AA45E9">
              <w:rPr>
                <w:rFonts w:ascii="Times New Roman" w:hAnsi="Times New Roman"/>
                <w:sz w:val="20"/>
                <w:szCs w:val="20"/>
                <w:lang w:eastAsia="x-none"/>
              </w:rPr>
              <w:t>Amélioration des opportunités économiques ;</w:t>
            </w:r>
          </w:p>
          <w:p w:rsidR="0087146B" w:rsidRPr="002F56DB" w:rsidRDefault="0087146B" w:rsidP="00FA3FAE">
            <w:pPr>
              <w:pStyle w:val="Listecouleur-Accent11"/>
              <w:numPr>
                <w:ilvl w:val="0"/>
                <w:numId w:val="72"/>
              </w:numPr>
              <w:ind w:left="167" w:hanging="142"/>
              <w:rPr>
                <w:rFonts w:ascii="Times New Roman" w:eastAsiaTheme="minorHAnsi" w:hAnsi="Times New Roman" w:cstheme="minorBidi"/>
                <w:sz w:val="20"/>
                <w:szCs w:val="20"/>
                <w:lang w:val="fr-FR" w:eastAsia="x-none"/>
              </w:rPr>
            </w:pPr>
            <w:r w:rsidRPr="002F56DB">
              <w:rPr>
                <w:rFonts w:ascii="Times New Roman" w:eastAsiaTheme="minorHAnsi" w:hAnsi="Times New Roman" w:cstheme="minorBidi"/>
                <w:sz w:val="20"/>
                <w:szCs w:val="20"/>
                <w:lang w:val="fr-FR" w:eastAsia="x-none"/>
              </w:rPr>
              <w:t>Solution onéreuse en investissement pour les réalisations (enveloppe financière disponible).</w:t>
            </w:r>
          </w:p>
        </w:tc>
      </w:tr>
      <w:tr w:rsidR="002F56DB" w:rsidTr="008D7CFC">
        <w:tc>
          <w:tcPr>
            <w:tcW w:w="425" w:type="dxa"/>
            <w:vMerge/>
            <w:shd w:val="clear" w:color="auto" w:fill="FBE4D5" w:themeFill="accent2" w:themeFillTint="33"/>
            <w:vAlign w:val="center"/>
          </w:tcPr>
          <w:p w:rsidR="0087146B" w:rsidRDefault="0087146B" w:rsidP="00BE5322">
            <w:pPr>
              <w:jc w:val="center"/>
              <w:rPr>
                <w:rFonts w:ascii="Times New Roman" w:hAnsi="Times New Roman" w:cs="Times New Roman"/>
                <w:color w:val="000000"/>
                <w:sz w:val="24"/>
                <w:szCs w:val="24"/>
              </w:rPr>
            </w:pPr>
          </w:p>
        </w:tc>
        <w:tc>
          <w:tcPr>
            <w:tcW w:w="1277" w:type="dxa"/>
            <w:vMerge/>
            <w:shd w:val="clear" w:color="auto" w:fill="F2F2F2" w:themeFill="background1" w:themeFillShade="F2"/>
            <w:vAlign w:val="center"/>
          </w:tcPr>
          <w:p w:rsidR="0087146B" w:rsidRDefault="0087146B" w:rsidP="00BE5322">
            <w:pPr>
              <w:jc w:val="center"/>
              <w:rPr>
                <w:rFonts w:ascii="Times New Roman" w:hAnsi="Times New Roman" w:cs="Times New Roman"/>
                <w:color w:val="000000"/>
                <w:sz w:val="24"/>
                <w:szCs w:val="24"/>
              </w:rPr>
            </w:pPr>
          </w:p>
        </w:tc>
        <w:tc>
          <w:tcPr>
            <w:tcW w:w="992" w:type="dxa"/>
            <w:shd w:val="clear" w:color="auto" w:fill="FFF2CC" w:themeFill="accent4" w:themeFillTint="33"/>
            <w:vAlign w:val="center"/>
          </w:tcPr>
          <w:p w:rsidR="0087146B" w:rsidRPr="00CB4F92" w:rsidRDefault="006405F7" w:rsidP="00BE5322">
            <w:pPr>
              <w:jc w:val="center"/>
              <w:rPr>
                <w:rFonts w:ascii="Times New Roman" w:hAnsi="Times New Roman" w:cs="Times New Roman"/>
                <w:b/>
                <w:color w:val="000000"/>
                <w:sz w:val="20"/>
                <w:szCs w:val="20"/>
              </w:rPr>
            </w:pPr>
            <w:r w:rsidRPr="00CB4F92">
              <w:rPr>
                <w:rFonts w:ascii="Times New Roman" w:hAnsi="Times New Roman" w:cs="Times New Roman"/>
                <w:b/>
                <w:color w:val="000000"/>
                <w:sz w:val="20"/>
                <w:szCs w:val="20"/>
              </w:rPr>
              <w:t>Effet</w:t>
            </w:r>
            <w:r w:rsidR="00F6660B">
              <w:rPr>
                <w:rFonts w:ascii="Times New Roman" w:hAnsi="Times New Roman" w:cs="Times New Roman"/>
                <w:b/>
                <w:color w:val="000000"/>
                <w:sz w:val="20"/>
                <w:szCs w:val="20"/>
              </w:rPr>
              <w:t>s</w:t>
            </w:r>
            <w:r w:rsidRPr="00CB4F92">
              <w:rPr>
                <w:rFonts w:ascii="Times New Roman" w:hAnsi="Times New Roman" w:cs="Times New Roman"/>
                <w:b/>
                <w:color w:val="000000"/>
                <w:sz w:val="20"/>
                <w:szCs w:val="20"/>
              </w:rPr>
              <w:t xml:space="preserve"> négatif</w:t>
            </w:r>
            <w:r w:rsidR="00F6660B">
              <w:rPr>
                <w:rFonts w:ascii="Times New Roman" w:hAnsi="Times New Roman" w:cs="Times New Roman"/>
                <w:b/>
                <w:color w:val="000000"/>
                <w:sz w:val="20"/>
                <w:szCs w:val="20"/>
              </w:rPr>
              <w:t>s</w:t>
            </w:r>
          </w:p>
        </w:tc>
        <w:tc>
          <w:tcPr>
            <w:tcW w:w="7933" w:type="dxa"/>
            <w:vAlign w:val="center"/>
          </w:tcPr>
          <w:p w:rsidR="0087146B" w:rsidRPr="00AA45E9" w:rsidRDefault="0087146B" w:rsidP="00FA3FAE">
            <w:pPr>
              <w:widowControl w:val="0"/>
              <w:numPr>
                <w:ilvl w:val="0"/>
                <w:numId w:val="74"/>
              </w:numPr>
              <w:tabs>
                <w:tab w:val="left" w:pos="175"/>
              </w:tabs>
              <w:spacing w:line="276" w:lineRule="auto"/>
              <w:ind w:left="181" w:hanging="181"/>
              <w:contextualSpacing/>
              <w:jc w:val="both"/>
              <w:rPr>
                <w:rFonts w:ascii="Times New Roman" w:hAnsi="Times New Roman"/>
                <w:sz w:val="20"/>
                <w:szCs w:val="20"/>
                <w:lang w:eastAsia="x-none"/>
              </w:rPr>
            </w:pPr>
            <w:r w:rsidRPr="00AA45E9">
              <w:rPr>
                <w:rFonts w:ascii="Times New Roman" w:hAnsi="Times New Roman"/>
                <w:sz w:val="20"/>
                <w:szCs w:val="20"/>
                <w:lang w:eastAsia="x-none"/>
              </w:rPr>
              <w:t>Coûts liés à la santé des ouvriers ;</w:t>
            </w:r>
          </w:p>
          <w:p w:rsidR="0087146B" w:rsidRPr="00AA45E9" w:rsidRDefault="0087146B" w:rsidP="00FA3FAE">
            <w:pPr>
              <w:widowControl w:val="0"/>
              <w:numPr>
                <w:ilvl w:val="0"/>
                <w:numId w:val="74"/>
              </w:numPr>
              <w:tabs>
                <w:tab w:val="left" w:pos="175"/>
              </w:tabs>
              <w:spacing w:line="276" w:lineRule="auto"/>
              <w:ind w:left="181" w:hanging="181"/>
              <w:contextualSpacing/>
              <w:jc w:val="both"/>
              <w:rPr>
                <w:rFonts w:ascii="Times New Roman" w:hAnsi="Times New Roman"/>
                <w:sz w:val="20"/>
                <w:szCs w:val="20"/>
                <w:lang w:eastAsia="x-none"/>
              </w:rPr>
            </w:pPr>
            <w:r w:rsidRPr="00AA45E9">
              <w:rPr>
                <w:rFonts w:ascii="Times New Roman" w:hAnsi="Times New Roman"/>
                <w:sz w:val="20"/>
                <w:szCs w:val="20"/>
                <w:lang w:eastAsia="x-none"/>
              </w:rPr>
              <w:t>Cout lies aux incidents recensés ;</w:t>
            </w:r>
          </w:p>
          <w:p w:rsidR="0087146B" w:rsidRPr="00AA45E9" w:rsidRDefault="0087146B" w:rsidP="00FA3FAE">
            <w:pPr>
              <w:widowControl w:val="0"/>
              <w:numPr>
                <w:ilvl w:val="0"/>
                <w:numId w:val="74"/>
              </w:numPr>
              <w:tabs>
                <w:tab w:val="left" w:pos="175"/>
              </w:tabs>
              <w:spacing w:line="276" w:lineRule="auto"/>
              <w:ind w:left="181" w:hanging="181"/>
              <w:contextualSpacing/>
              <w:jc w:val="both"/>
              <w:rPr>
                <w:rFonts w:ascii="Times New Roman" w:hAnsi="Times New Roman"/>
                <w:sz w:val="20"/>
                <w:szCs w:val="20"/>
                <w:lang w:eastAsia="x-none"/>
              </w:rPr>
            </w:pPr>
            <w:r w:rsidRPr="00AA45E9">
              <w:rPr>
                <w:rFonts w:ascii="Times New Roman" w:hAnsi="Times New Roman"/>
                <w:sz w:val="20"/>
                <w:szCs w:val="20"/>
                <w:lang w:eastAsia="x-none"/>
              </w:rPr>
              <w:t>Coûts liés à l’encadrement et la formation des ouvriers</w:t>
            </w:r>
          </w:p>
          <w:p w:rsidR="0087146B" w:rsidRPr="002F56DB" w:rsidRDefault="0087146B" w:rsidP="00FA3FAE">
            <w:pPr>
              <w:pStyle w:val="Listecouleur-Accent11"/>
              <w:numPr>
                <w:ilvl w:val="0"/>
                <w:numId w:val="72"/>
              </w:numPr>
              <w:ind w:left="167" w:hanging="142"/>
              <w:rPr>
                <w:rFonts w:ascii="Times New Roman" w:eastAsiaTheme="minorHAnsi" w:hAnsi="Times New Roman" w:cstheme="minorBidi"/>
                <w:sz w:val="20"/>
                <w:szCs w:val="20"/>
                <w:lang w:val="fr-FR" w:eastAsia="x-none"/>
              </w:rPr>
            </w:pPr>
            <w:r w:rsidRPr="002F56DB">
              <w:rPr>
                <w:rFonts w:ascii="Times New Roman" w:eastAsiaTheme="minorHAnsi" w:hAnsi="Times New Roman" w:cstheme="minorBidi"/>
                <w:sz w:val="20"/>
                <w:szCs w:val="20"/>
                <w:lang w:val="fr-FR" w:eastAsia="x-none"/>
              </w:rPr>
              <w:t xml:space="preserve">Peu de perturbations liées aux travaux (perte d’actifs pour les commerçants, </w:t>
            </w:r>
            <w:r w:rsidR="003F3E11">
              <w:rPr>
                <w:rFonts w:ascii="Times New Roman" w:eastAsiaTheme="minorHAnsi" w:hAnsi="Times New Roman" w:cstheme="minorBidi"/>
                <w:sz w:val="20"/>
                <w:szCs w:val="20"/>
                <w:lang w:val="fr-FR" w:eastAsia="x-none"/>
              </w:rPr>
              <w:t xml:space="preserve">les </w:t>
            </w:r>
            <w:r w:rsidRPr="002F56DB">
              <w:rPr>
                <w:rFonts w:ascii="Times New Roman" w:eastAsiaTheme="minorHAnsi" w:hAnsi="Times New Roman" w:cstheme="minorBidi"/>
                <w:sz w:val="20"/>
                <w:szCs w:val="20"/>
                <w:lang w:val="fr-FR" w:eastAsia="x-none"/>
              </w:rPr>
              <w:t>agriculteur</w:t>
            </w:r>
            <w:r w:rsidR="00C747E4">
              <w:rPr>
                <w:rFonts w:ascii="Times New Roman" w:eastAsiaTheme="minorHAnsi" w:hAnsi="Times New Roman" w:cstheme="minorBidi"/>
                <w:sz w:val="20"/>
                <w:szCs w:val="20"/>
                <w:lang w:val="fr-FR" w:eastAsia="x-none"/>
              </w:rPr>
              <w:t>s</w:t>
            </w:r>
            <w:r w:rsidRPr="002F56DB">
              <w:rPr>
                <w:rFonts w:ascii="Times New Roman" w:eastAsiaTheme="minorHAnsi" w:hAnsi="Times New Roman" w:cstheme="minorBidi"/>
                <w:sz w:val="20"/>
                <w:szCs w:val="20"/>
                <w:lang w:val="fr-FR" w:eastAsia="x-none"/>
              </w:rPr>
              <w:t>…) ;</w:t>
            </w:r>
          </w:p>
        </w:tc>
      </w:tr>
    </w:tbl>
    <w:p w:rsidR="0062088B" w:rsidRDefault="0062088B" w:rsidP="00D2682F">
      <w:pPr>
        <w:jc w:val="both"/>
        <w:rPr>
          <w:rFonts w:ascii="Times New Roman" w:hAnsi="Times New Roman" w:cs="Times New Roman"/>
          <w:color w:val="000000"/>
          <w:sz w:val="24"/>
          <w:szCs w:val="24"/>
        </w:rPr>
      </w:pPr>
    </w:p>
    <w:p w:rsidR="00672AF0" w:rsidRPr="004815B9" w:rsidRDefault="004815B9" w:rsidP="004815B9">
      <w:pPr>
        <w:pStyle w:val="PargrafodaLista"/>
        <w:keepNext/>
        <w:spacing w:before="240" w:after="240"/>
        <w:ind w:left="450" w:right="284" w:hanging="450"/>
        <w:jc w:val="both"/>
        <w:outlineLvl w:val="1"/>
        <w:rPr>
          <w:rFonts w:ascii="Times New Roman" w:hAnsi="Times New Roman"/>
          <w:b/>
          <w:sz w:val="24"/>
          <w:szCs w:val="24"/>
          <w:lang w:val="fr-FR" w:eastAsia="fr-FR"/>
        </w:rPr>
      </w:pPr>
      <w:bookmarkStart w:id="150" w:name="_Toc491267535"/>
      <w:bookmarkStart w:id="151" w:name="_Toc506239877"/>
      <w:bookmarkStart w:id="152" w:name="_Toc535396905"/>
      <w:bookmarkStart w:id="153" w:name="_Toc11158303"/>
      <w:bookmarkStart w:id="154" w:name="_Toc51072544"/>
      <w:r w:rsidRPr="004815B9">
        <w:rPr>
          <w:rFonts w:ascii="Times New Roman" w:hAnsi="Times New Roman"/>
          <w:b/>
          <w:sz w:val="24"/>
          <w:szCs w:val="24"/>
          <w:lang w:val="fr-FR" w:eastAsia="fr-FR"/>
        </w:rPr>
        <w:t>4.4 RESULTAT</w:t>
      </w:r>
      <w:r w:rsidR="00F6660B">
        <w:rPr>
          <w:rFonts w:ascii="Times New Roman" w:hAnsi="Times New Roman"/>
          <w:b/>
          <w:sz w:val="24"/>
          <w:szCs w:val="24"/>
          <w:lang w:val="fr-FR" w:eastAsia="fr-FR"/>
        </w:rPr>
        <w:t>S</w:t>
      </w:r>
      <w:r w:rsidRPr="004815B9">
        <w:rPr>
          <w:rFonts w:ascii="Times New Roman" w:hAnsi="Times New Roman"/>
          <w:b/>
          <w:sz w:val="24"/>
          <w:szCs w:val="24"/>
          <w:lang w:val="fr-FR" w:eastAsia="fr-FR"/>
        </w:rPr>
        <w:t xml:space="preserve"> DE L’ANALYSE</w:t>
      </w:r>
      <w:bookmarkEnd w:id="150"/>
      <w:bookmarkEnd w:id="151"/>
      <w:bookmarkEnd w:id="152"/>
      <w:bookmarkEnd w:id="153"/>
      <w:bookmarkEnd w:id="154"/>
    </w:p>
    <w:p w:rsidR="00672AF0" w:rsidRDefault="003F3E11" w:rsidP="00621B22">
      <w:pPr>
        <w:autoSpaceDE w:val="0"/>
        <w:autoSpaceDN w:val="0"/>
        <w:adjustRightInd w:val="0"/>
        <w:spacing w:after="0" w:line="240" w:lineRule="auto"/>
        <w:ind w:left="-284"/>
        <w:jc w:val="both"/>
        <w:rPr>
          <w:rFonts w:ascii="Times New Roman" w:hAnsi="Times New Roman"/>
          <w:color w:val="000000"/>
          <w:sz w:val="24"/>
          <w:szCs w:val="24"/>
        </w:rPr>
      </w:pPr>
      <w:r>
        <w:rPr>
          <w:rFonts w:ascii="Times New Roman" w:hAnsi="Times New Roman"/>
          <w:color w:val="000000"/>
          <w:sz w:val="24"/>
          <w:szCs w:val="24"/>
        </w:rPr>
        <w:t>Les résulta</w:t>
      </w:r>
      <w:r w:rsidR="00672AF0" w:rsidRPr="00621B22">
        <w:rPr>
          <w:rFonts w:ascii="Times New Roman" w:hAnsi="Times New Roman"/>
          <w:color w:val="000000"/>
          <w:sz w:val="24"/>
          <w:szCs w:val="24"/>
        </w:rPr>
        <w:t>ts de l’analyse multicritère se résume</w:t>
      </w:r>
      <w:r>
        <w:rPr>
          <w:rFonts w:ascii="Times New Roman" w:hAnsi="Times New Roman"/>
          <w:color w:val="000000"/>
          <w:sz w:val="24"/>
          <w:szCs w:val="24"/>
        </w:rPr>
        <w:t xml:space="preserve">nt comme suit </w:t>
      </w:r>
      <w:r w:rsidR="00672AF0" w:rsidRPr="00621B22">
        <w:rPr>
          <w:rFonts w:ascii="Times New Roman" w:hAnsi="Times New Roman"/>
          <w:color w:val="000000"/>
          <w:sz w:val="24"/>
          <w:szCs w:val="24"/>
        </w:rPr>
        <w:t>:</w:t>
      </w:r>
    </w:p>
    <w:p w:rsidR="00621B22" w:rsidRPr="00621B22" w:rsidRDefault="00621B22" w:rsidP="00621B22">
      <w:pPr>
        <w:autoSpaceDE w:val="0"/>
        <w:autoSpaceDN w:val="0"/>
        <w:adjustRightInd w:val="0"/>
        <w:spacing w:after="0" w:line="240" w:lineRule="auto"/>
        <w:ind w:left="-284"/>
        <w:jc w:val="both"/>
        <w:rPr>
          <w:rFonts w:ascii="Times New Roman" w:hAnsi="Times New Roman"/>
          <w:color w:val="000000"/>
          <w:sz w:val="24"/>
          <w:szCs w:val="24"/>
        </w:rPr>
      </w:pPr>
    </w:p>
    <w:p w:rsidR="00E74503" w:rsidRDefault="00281EC3" w:rsidP="00621B22">
      <w:pPr>
        <w:autoSpaceDE w:val="0"/>
        <w:autoSpaceDN w:val="0"/>
        <w:adjustRightInd w:val="0"/>
        <w:spacing w:after="0" w:line="240" w:lineRule="auto"/>
        <w:ind w:left="-284"/>
        <w:jc w:val="both"/>
        <w:rPr>
          <w:rFonts w:ascii="Times New Roman" w:hAnsi="Times New Roman"/>
          <w:color w:val="000000"/>
          <w:sz w:val="24"/>
          <w:szCs w:val="24"/>
        </w:rPr>
      </w:pPr>
      <w:r w:rsidRPr="00621B22">
        <w:rPr>
          <w:rFonts w:ascii="Times New Roman" w:hAnsi="Times New Roman"/>
          <w:b/>
          <w:color w:val="000000"/>
          <w:sz w:val="24"/>
          <w:szCs w:val="24"/>
        </w:rPr>
        <w:t>Pour la variantes 1 : « Projet »</w:t>
      </w:r>
      <w:r w:rsidR="00580468">
        <w:rPr>
          <w:rFonts w:ascii="Times New Roman" w:hAnsi="Times New Roman"/>
          <w:color w:val="000000"/>
          <w:sz w:val="24"/>
          <w:szCs w:val="24"/>
        </w:rPr>
        <w:t xml:space="preserve"> dont</w:t>
      </w:r>
      <w:r w:rsidRPr="00621B22">
        <w:rPr>
          <w:rFonts w:ascii="Times New Roman" w:hAnsi="Times New Roman"/>
          <w:color w:val="000000"/>
          <w:sz w:val="24"/>
          <w:szCs w:val="24"/>
        </w:rPr>
        <w:t xml:space="preserve"> </w:t>
      </w:r>
      <w:r w:rsidRPr="00E74503">
        <w:rPr>
          <w:rFonts w:ascii="Times New Roman" w:hAnsi="Times New Roman"/>
          <w:b/>
          <w:color w:val="000000"/>
          <w:sz w:val="24"/>
          <w:szCs w:val="24"/>
        </w:rPr>
        <w:t>trois alternative</w:t>
      </w:r>
      <w:r w:rsidR="00580468" w:rsidRPr="00E74503">
        <w:rPr>
          <w:rFonts w:ascii="Times New Roman" w:hAnsi="Times New Roman"/>
          <w:b/>
          <w:color w:val="000000"/>
          <w:sz w:val="24"/>
          <w:szCs w:val="24"/>
        </w:rPr>
        <w:t>s</w:t>
      </w:r>
      <w:r w:rsidRPr="00621B22">
        <w:rPr>
          <w:rFonts w:ascii="Times New Roman" w:hAnsi="Times New Roman"/>
          <w:color w:val="000000"/>
          <w:sz w:val="24"/>
          <w:szCs w:val="24"/>
        </w:rPr>
        <w:t xml:space="preserve"> ont été analyse</w:t>
      </w:r>
      <w:r w:rsidR="00F00AB9" w:rsidRPr="00621B22">
        <w:rPr>
          <w:rFonts w:ascii="Times New Roman" w:hAnsi="Times New Roman"/>
          <w:color w:val="000000"/>
          <w:sz w:val="24"/>
          <w:szCs w:val="24"/>
        </w:rPr>
        <w:t xml:space="preserve"> comparativement</w:t>
      </w:r>
      <w:r w:rsidRPr="00621B22">
        <w:rPr>
          <w:rFonts w:ascii="Times New Roman" w:hAnsi="Times New Roman"/>
          <w:color w:val="000000"/>
          <w:sz w:val="24"/>
          <w:szCs w:val="24"/>
        </w:rPr>
        <w:t xml:space="preserve">, </w:t>
      </w:r>
      <w:r w:rsidR="00F00AB9" w:rsidRPr="00621B22">
        <w:rPr>
          <w:rFonts w:ascii="Times New Roman" w:hAnsi="Times New Roman"/>
          <w:color w:val="000000"/>
          <w:sz w:val="24"/>
          <w:szCs w:val="24"/>
        </w:rPr>
        <w:t xml:space="preserve">les avantages induits par </w:t>
      </w:r>
      <w:r w:rsidRPr="00E74503">
        <w:rPr>
          <w:rFonts w:ascii="Times New Roman" w:hAnsi="Times New Roman"/>
          <w:b/>
          <w:color w:val="000000"/>
          <w:sz w:val="24"/>
          <w:szCs w:val="24"/>
        </w:rPr>
        <w:t>l’</w:t>
      </w:r>
      <w:r w:rsidR="00F00AB9" w:rsidRPr="00E74503">
        <w:rPr>
          <w:rFonts w:ascii="Times New Roman" w:hAnsi="Times New Roman"/>
          <w:b/>
          <w:color w:val="000000"/>
          <w:sz w:val="24"/>
          <w:szCs w:val="24"/>
        </w:rPr>
        <w:t>alternative 3 « Avec projet »</w:t>
      </w:r>
      <w:r w:rsidR="00F00AB9" w:rsidRPr="00621B22">
        <w:rPr>
          <w:rFonts w:ascii="Times New Roman" w:hAnsi="Times New Roman"/>
          <w:color w:val="000000"/>
          <w:sz w:val="24"/>
          <w:szCs w:val="24"/>
        </w:rPr>
        <w:t xml:space="preserve"> sont </w:t>
      </w:r>
      <w:r w:rsidR="006B34F8" w:rsidRPr="00621B22">
        <w:rPr>
          <w:rFonts w:ascii="Times New Roman" w:hAnsi="Times New Roman"/>
          <w:color w:val="000000"/>
          <w:sz w:val="24"/>
          <w:szCs w:val="24"/>
        </w:rPr>
        <w:t>réellement</w:t>
      </w:r>
      <w:r w:rsidR="00F00AB9" w:rsidRPr="00621B22">
        <w:rPr>
          <w:rFonts w:ascii="Times New Roman" w:hAnsi="Times New Roman"/>
          <w:color w:val="000000"/>
          <w:sz w:val="24"/>
          <w:szCs w:val="24"/>
        </w:rPr>
        <w:t xml:space="preserve"> beaucoup plus </w:t>
      </w:r>
      <w:r w:rsidR="006B34F8" w:rsidRPr="00621B22">
        <w:rPr>
          <w:rFonts w:ascii="Times New Roman" w:hAnsi="Times New Roman"/>
          <w:color w:val="000000"/>
          <w:sz w:val="24"/>
          <w:szCs w:val="24"/>
        </w:rPr>
        <w:t>béné</w:t>
      </w:r>
      <w:r w:rsidR="00580468">
        <w:rPr>
          <w:rFonts w:ascii="Times New Roman" w:hAnsi="Times New Roman"/>
          <w:color w:val="000000"/>
          <w:sz w:val="24"/>
          <w:szCs w:val="24"/>
        </w:rPr>
        <w:t xml:space="preserve">fique que les deux autres. </w:t>
      </w:r>
      <w:r w:rsidR="00621B22">
        <w:rPr>
          <w:rFonts w:ascii="Times New Roman" w:hAnsi="Times New Roman"/>
          <w:color w:val="000000"/>
          <w:sz w:val="24"/>
          <w:szCs w:val="24"/>
        </w:rPr>
        <w:t xml:space="preserve"> </w:t>
      </w:r>
      <w:r w:rsidR="00580468">
        <w:rPr>
          <w:rFonts w:ascii="Times New Roman" w:hAnsi="Times New Roman"/>
          <w:color w:val="000000"/>
          <w:sz w:val="24"/>
          <w:szCs w:val="24"/>
        </w:rPr>
        <w:t>Car,</w:t>
      </w:r>
      <w:r w:rsidR="00621B22">
        <w:rPr>
          <w:rFonts w:ascii="Times New Roman" w:hAnsi="Times New Roman"/>
          <w:color w:val="000000"/>
          <w:sz w:val="24"/>
          <w:szCs w:val="24"/>
        </w:rPr>
        <w:t xml:space="preserve"> e</w:t>
      </w:r>
      <w:r w:rsidR="006B34F8" w:rsidRPr="00621B22">
        <w:rPr>
          <w:rFonts w:ascii="Times New Roman" w:hAnsi="Times New Roman"/>
          <w:color w:val="000000"/>
          <w:sz w:val="24"/>
          <w:szCs w:val="24"/>
        </w:rPr>
        <w:t xml:space="preserve">lle serait en adéquation avec la politique sectorielle </w:t>
      </w:r>
      <w:r w:rsidR="00580468">
        <w:rPr>
          <w:rFonts w:ascii="Times New Roman" w:hAnsi="Times New Roman"/>
          <w:color w:val="000000"/>
          <w:sz w:val="24"/>
          <w:szCs w:val="24"/>
        </w:rPr>
        <w:t>dans</w:t>
      </w:r>
      <w:r w:rsidR="006B34F8" w:rsidRPr="00621B22">
        <w:rPr>
          <w:rFonts w:ascii="Times New Roman" w:hAnsi="Times New Roman"/>
          <w:color w:val="000000"/>
          <w:sz w:val="24"/>
          <w:szCs w:val="24"/>
        </w:rPr>
        <w:t xml:space="preserve"> le secteur de l’hydraulique </w:t>
      </w:r>
      <w:r w:rsidR="00E05E59" w:rsidRPr="00621B22">
        <w:rPr>
          <w:rFonts w:ascii="Times New Roman" w:hAnsi="Times New Roman"/>
          <w:color w:val="000000"/>
          <w:sz w:val="24"/>
          <w:szCs w:val="24"/>
        </w:rPr>
        <w:t xml:space="preserve">et </w:t>
      </w:r>
      <w:r w:rsidR="00E74503">
        <w:rPr>
          <w:rFonts w:ascii="Times New Roman" w:hAnsi="Times New Roman"/>
          <w:color w:val="000000"/>
          <w:sz w:val="24"/>
          <w:szCs w:val="24"/>
        </w:rPr>
        <w:t>permettra d’</w:t>
      </w:r>
      <w:r w:rsidR="00E05E59" w:rsidRPr="00621B22">
        <w:rPr>
          <w:rFonts w:ascii="Times New Roman" w:hAnsi="Times New Roman"/>
          <w:color w:val="000000"/>
          <w:sz w:val="24"/>
          <w:szCs w:val="24"/>
        </w:rPr>
        <w:t>atteindre les Objectifs du Millénaire pour le Développement (OMD) dans le secteur de l’eau potable</w:t>
      </w:r>
      <w:r w:rsidR="006B34F8" w:rsidRPr="00621B22">
        <w:rPr>
          <w:rFonts w:ascii="Times New Roman" w:hAnsi="Times New Roman"/>
          <w:color w:val="000000"/>
          <w:sz w:val="24"/>
          <w:szCs w:val="24"/>
        </w:rPr>
        <w:t>.</w:t>
      </w:r>
    </w:p>
    <w:p w:rsidR="0047291B" w:rsidRDefault="006B34F8" w:rsidP="00621B22">
      <w:pPr>
        <w:autoSpaceDE w:val="0"/>
        <w:autoSpaceDN w:val="0"/>
        <w:adjustRightInd w:val="0"/>
        <w:spacing w:after="0" w:line="240" w:lineRule="auto"/>
        <w:ind w:left="-284"/>
        <w:jc w:val="both"/>
        <w:rPr>
          <w:rFonts w:ascii="Times New Roman" w:hAnsi="Times New Roman"/>
          <w:color w:val="000000"/>
          <w:sz w:val="24"/>
          <w:szCs w:val="24"/>
        </w:rPr>
      </w:pPr>
      <w:r w:rsidRPr="00621B22">
        <w:rPr>
          <w:rFonts w:ascii="Times New Roman" w:hAnsi="Times New Roman"/>
          <w:color w:val="000000"/>
          <w:sz w:val="24"/>
          <w:szCs w:val="24"/>
        </w:rPr>
        <w:t xml:space="preserve"> </w:t>
      </w:r>
    </w:p>
    <w:p w:rsidR="006B34F8" w:rsidRPr="00621B22" w:rsidRDefault="006B34F8" w:rsidP="00621B22">
      <w:pPr>
        <w:autoSpaceDE w:val="0"/>
        <w:autoSpaceDN w:val="0"/>
        <w:adjustRightInd w:val="0"/>
        <w:spacing w:after="0" w:line="240" w:lineRule="auto"/>
        <w:ind w:left="-284"/>
        <w:jc w:val="both"/>
        <w:rPr>
          <w:rFonts w:ascii="Times New Roman" w:hAnsi="Times New Roman"/>
          <w:color w:val="000000"/>
          <w:sz w:val="24"/>
          <w:szCs w:val="24"/>
        </w:rPr>
      </w:pPr>
      <w:r w:rsidRPr="00621B22">
        <w:rPr>
          <w:rFonts w:ascii="Times New Roman" w:hAnsi="Times New Roman"/>
          <w:color w:val="000000"/>
          <w:sz w:val="24"/>
          <w:szCs w:val="24"/>
        </w:rPr>
        <w:t xml:space="preserve">Elle </w:t>
      </w:r>
      <w:r w:rsidR="0094232B" w:rsidRPr="00621B22">
        <w:rPr>
          <w:rFonts w:ascii="Times New Roman" w:hAnsi="Times New Roman"/>
          <w:color w:val="000000"/>
          <w:sz w:val="24"/>
          <w:szCs w:val="24"/>
        </w:rPr>
        <w:t>permettra</w:t>
      </w:r>
      <w:r w:rsidRPr="00621B22">
        <w:rPr>
          <w:rFonts w:ascii="Times New Roman" w:hAnsi="Times New Roman"/>
          <w:color w:val="000000"/>
          <w:sz w:val="24"/>
          <w:szCs w:val="24"/>
        </w:rPr>
        <w:t xml:space="preserve"> à l’EAGB d</w:t>
      </w:r>
      <w:r w:rsidR="0094232B" w:rsidRPr="00621B22">
        <w:rPr>
          <w:rFonts w:ascii="Times New Roman" w:hAnsi="Times New Roman"/>
          <w:color w:val="000000"/>
          <w:sz w:val="24"/>
          <w:szCs w:val="24"/>
        </w:rPr>
        <w:t>e disposer de plus grande</w:t>
      </w:r>
      <w:r w:rsidR="00600B57" w:rsidRPr="00621B22">
        <w:rPr>
          <w:rFonts w:ascii="Times New Roman" w:hAnsi="Times New Roman"/>
          <w:color w:val="000000"/>
          <w:sz w:val="24"/>
          <w:szCs w:val="24"/>
        </w:rPr>
        <w:t>s</w:t>
      </w:r>
      <w:r w:rsidR="0094232B" w:rsidRPr="00621B22">
        <w:rPr>
          <w:rFonts w:ascii="Times New Roman" w:hAnsi="Times New Roman"/>
          <w:color w:val="000000"/>
          <w:sz w:val="24"/>
          <w:szCs w:val="24"/>
        </w:rPr>
        <w:t xml:space="preserve"> capacité</w:t>
      </w:r>
      <w:r w:rsidR="00600B57" w:rsidRPr="00621B22">
        <w:rPr>
          <w:rFonts w:ascii="Times New Roman" w:hAnsi="Times New Roman"/>
          <w:color w:val="000000"/>
          <w:sz w:val="24"/>
          <w:szCs w:val="24"/>
        </w:rPr>
        <w:t>s</w:t>
      </w:r>
      <w:r w:rsidRPr="00621B22">
        <w:rPr>
          <w:rFonts w:ascii="Times New Roman" w:hAnsi="Times New Roman"/>
          <w:color w:val="000000"/>
          <w:sz w:val="24"/>
          <w:szCs w:val="24"/>
        </w:rPr>
        <w:t xml:space="preserve"> de réserve d’eau de qualité pour </w:t>
      </w:r>
      <w:r w:rsidR="0094232B" w:rsidRPr="00621B22">
        <w:rPr>
          <w:rFonts w:ascii="Times New Roman" w:hAnsi="Times New Roman"/>
          <w:color w:val="000000"/>
          <w:sz w:val="24"/>
          <w:szCs w:val="24"/>
        </w:rPr>
        <w:t xml:space="preserve">atténuer fortement ce déficit </w:t>
      </w:r>
      <w:r w:rsidR="00600B57" w:rsidRPr="00621B22">
        <w:rPr>
          <w:rFonts w:ascii="Times New Roman" w:hAnsi="Times New Roman"/>
          <w:color w:val="000000"/>
          <w:sz w:val="24"/>
          <w:szCs w:val="24"/>
        </w:rPr>
        <w:t xml:space="preserve">actuel </w:t>
      </w:r>
      <w:r w:rsidR="0094232B" w:rsidRPr="00621B22">
        <w:rPr>
          <w:rFonts w:ascii="Times New Roman" w:hAnsi="Times New Roman"/>
          <w:color w:val="000000"/>
          <w:sz w:val="24"/>
          <w:szCs w:val="24"/>
        </w:rPr>
        <w:t>d’approvi</w:t>
      </w:r>
      <w:r w:rsidR="00E74503">
        <w:rPr>
          <w:rFonts w:ascii="Times New Roman" w:hAnsi="Times New Roman"/>
          <w:color w:val="000000"/>
          <w:sz w:val="24"/>
          <w:szCs w:val="24"/>
        </w:rPr>
        <w:t>sionnement. M</w:t>
      </w:r>
      <w:r w:rsidR="00E05E59" w:rsidRPr="00621B22">
        <w:rPr>
          <w:rFonts w:ascii="Times New Roman" w:hAnsi="Times New Roman"/>
          <w:color w:val="000000"/>
          <w:sz w:val="24"/>
          <w:szCs w:val="24"/>
        </w:rPr>
        <w:t>ais aussi</w:t>
      </w:r>
      <w:r w:rsidR="00E74503">
        <w:rPr>
          <w:rFonts w:ascii="Times New Roman" w:hAnsi="Times New Roman"/>
          <w:color w:val="000000"/>
          <w:sz w:val="24"/>
          <w:szCs w:val="24"/>
        </w:rPr>
        <w:t>,</w:t>
      </w:r>
      <w:r w:rsidR="00E05E59" w:rsidRPr="00621B22">
        <w:rPr>
          <w:rFonts w:ascii="Times New Roman" w:hAnsi="Times New Roman"/>
          <w:color w:val="000000"/>
          <w:sz w:val="24"/>
          <w:szCs w:val="24"/>
        </w:rPr>
        <w:t xml:space="preserve"> d’élargir ces zones </w:t>
      </w:r>
      <w:r w:rsidR="003F3E11">
        <w:rPr>
          <w:rFonts w:ascii="Times New Roman" w:hAnsi="Times New Roman"/>
          <w:color w:val="000000"/>
          <w:sz w:val="24"/>
          <w:szCs w:val="24"/>
        </w:rPr>
        <w:t>d’</w:t>
      </w:r>
      <w:r w:rsidR="00E05E59" w:rsidRPr="00621B22">
        <w:rPr>
          <w:rFonts w:ascii="Times New Roman" w:hAnsi="Times New Roman"/>
          <w:color w:val="000000"/>
          <w:sz w:val="24"/>
          <w:szCs w:val="24"/>
        </w:rPr>
        <w:t>interventions de distribution d’eau dans les quartiers actuellement desservis comme Hafia, Antula, Bor, Prabis, Safim, etc…</w:t>
      </w:r>
      <w:r w:rsidR="00600B57" w:rsidRPr="00621B22">
        <w:rPr>
          <w:rFonts w:ascii="Times New Roman" w:hAnsi="Times New Roman"/>
          <w:color w:val="000000"/>
          <w:sz w:val="24"/>
          <w:szCs w:val="24"/>
        </w:rPr>
        <w:t xml:space="preserve"> Alors ce qui </w:t>
      </w:r>
      <w:r w:rsidR="00E91E01" w:rsidRPr="00621B22">
        <w:rPr>
          <w:rFonts w:ascii="Times New Roman" w:hAnsi="Times New Roman"/>
          <w:color w:val="000000"/>
          <w:sz w:val="24"/>
          <w:szCs w:val="24"/>
        </w:rPr>
        <w:t>permettra</w:t>
      </w:r>
      <w:r w:rsidR="00600B57" w:rsidRPr="00621B22">
        <w:rPr>
          <w:rFonts w:ascii="Times New Roman" w:hAnsi="Times New Roman"/>
          <w:color w:val="000000"/>
          <w:sz w:val="24"/>
          <w:szCs w:val="24"/>
        </w:rPr>
        <w:t xml:space="preserve"> aussi de réduire les risques de maladie hydrique (les maladies gastro-intestinales, les maladies parasitaires, le typhoïde, </w:t>
      </w:r>
      <w:r w:rsidR="00E91E01" w:rsidRPr="00621B22">
        <w:rPr>
          <w:rFonts w:ascii="Times New Roman" w:hAnsi="Times New Roman"/>
          <w:color w:val="000000"/>
          <w:sz w:val="24"/>
          <w:szCs w:val="24"/>
        </w:rPr>
        <w:t xml:space="preserve">etc.) </w:t>
      </w:r>
      <w:r w:rsidR="00600B57" w:rsidRPr="00621B22">
        <w:rPr>
          <w:rFonts w:ascii="Times New Roman" w:hAnsi="Times New Roman"/>
          <w:color w:val="000000"/>
          <w:sz w:val="24"/>
          <w:szCs w:val="24"/>
        </w:rPr>
        <w:t>;</w:t>
      </w:r>
    </w:p>
    <w:p w:rsidR="00600B57" w:rsidRDefault="00600B57" w:rsidP="006B34F8">
      <w:pPr>
        <w:widowControl w:val="0"/>
        <w:spacing w:after="0"/>
        <w:jc w:val="both"/>
        <w:rPr>
          <w:rFonts w:ascii="Times New Roman" w:hAnsi="Times New Roman"/>
          <w:sz w:val="24"/>
          <w:szCs w:val="24"/>
        </w:rPr>
      </w:pPr>
    </w:p>
    <w:p w:rsidR="00600B57" w:rsidRPr="00621B22" w:rsidRDefault="00E91E01" w:rsidP="00621B22">
      <w:pPr>
        <w:autoSpaceDE w:val="0"/>
        <w:autoSpaceDN w:val="0"/>
        <w:adjustRightInd w:val="0"/>
        <w:spacing w:after="0" w:line="240" w:lineRule="auto"/>
        <w:ind w:left="-284"/>
        <w:jc w:val="both"/>
        <w:rPr>
          <w:rFonts w:ascii="Times New Roman" w:hAnsi="Times New Roman"/>
          <w:color w:val="000000"/>
          <w:sz w:val="24"/>
          <w:szCs w:val="24"/>
        </w:rPr>
      </w:pPr>
      <w:r w:rsidRPr="00621B22">
        <w:rPr>
          <w:rFonts w:ascii="Times New Roman" w:hAnsi="Times New Roman"/>
          <w:color w:val="000000"/>
          <w:sz w:val="24"/>
          <w:szCs w:val="24"/>
        </w:rPr>
        <w:t xml:space="preserve">Contrairement à </w:t>
      </w:r>
      <w:r w:rsidRPr="009535FC">
        <w:rPr>
          <w:rFonts w:ascii="Times New Roman" w:hAnsi="Times New Roman"/>
          <w:b/>
          <w:color w:val="000000"/>
          <w:sz w:val="24"/>
          <w:szCs w:val="24"/>
        </w:rPr>
        <w:t>l</w:t>
      </w:r>
      <w:r w:rsidR="00847A85" w:rsidRPr="009535FC">
        <w:rPr>
          <w:rFonts w:ascii="Times New Roman" w:hAnsi="Times New Roman"/>
          <w:b/>
          <w:color w:val="000000"/>
          <w:sz w:val="24"/>
          <w:szCs w:val="24"/>
        </w:rPr>
        <w:t>’a</w:t>
      </w:r>
      <w:r w:rsidR="003F3E11">
        <w:rPr>
          <w:rFonts w:ascii="Times New Roman" w:hAnsi="Times New Roman"/>
          <w:b/>
          <w:color w:val="000000"/>
          <w:sz w:val="24"/>
          <w:szCs w:val="24"/>
        </w:rPr>
        <w:t xml:space="preserve">lternative 1 « sans projet » et </w:t>
      </w:r>
      <w:r w:rsidR="00847A85" w:rsidRPr="009535FC">
        <w:rPr>
          <w:rFonts w:ascii="Times New Roman" w:hAnsi="Times New Roman"/>
          <w:b/>
          <w:color w:val="000000"/>
          <w:sz w:val="24"/>
          <w:szCs w:val="24"/>
        </w:rPr>
        <w:t>l’alternative 2 « projet retardé »</w:t>
      </w:r>
      <w:r w:rsidR="00847A85" w:rsidRPr="00621B22">
        <w:rPr>
          <w:rFonts w:ascii="Times New Roman" w:hAnsi="Times New Roman"/>
          <w:color w:val="000000"/>
          <w:sz w:val="24"/>
          <w:szCs w:val="24"/>
        </w:rPr>
        <w:t xml:space="preserve"> </w:t>
      </w:r>
      <w:r w:rsidR="006D18B6" w:rsidRPr="00621B22">
        <w:rPr>
          <w:rFonts w:ascii="Times New Roman" w:hAnsi="Times New Roman"/>
          <w:color w:val="000000"/>
          <w:sz w:val="24"/>
          <w:szCs w:val="24"/>
        </w:rPr>
        <w:t>présente</w:t>
      </w:r>
      <w:r w:rsidR="00847A85" w:rsidRPr="00621B22">
        <w:rPr>
          <w:rFonts w:ascii="Times New Roman" w:hAnsi="Times New Roman"/>
          <w:color w:val="000000"/>
          <w:sz w:val="24"/>
          <w:szCs w:val="24"/>
        </w:rPr>
        <w:t xml:space="preserve"> quelques avantages </w:t>
      </w:r>
      <w:r w:rsidR="006D18B6" w:rsidRPr="00621B22">
        <w:rPr>
          <w:rFonts w:ascii="Times New Roman" w:hAnsi="Times New Roman"/>
          <w:color w:val="000000"/>
          <w:sz w:val="24"/>
          <w:szCs w:val="24"/>
        </w:rPr>
        <w:t xml:space="preserve">au plan environnemental et social mais aussi beaucoup plus d’inconvénients au niveau social et socioéconomique vu la situation actuelle du pays. </w:t>
      </w:r>
      <w:r w:rsidR="006D18B6" w:rsidRPr="009535FC">
        <w:rPr>
          <w:rFonts w:ascii="Times New Roman" w:hAnsi="Times New Roman"/>
          <w:b/>
          <w:color w:val="000000"/>
          <w:sz w:val="24"/>
          <w:szCs w:val="24"/>
        </w:rPr>
        <w:t>L’alternative 1</w:t>
      </w:r>
      <w:r w:rsidR="00127D9E" w:rsidRPr="009535FC">
        <w:rPr>
          <w:rFonts w:ascii="Times New Roman" w:hAnsi="Times New Roman"/>
          <w:b/>
          <w:color w:val="000000"/>
          <w:sz w:val="24"/>
          <w:szCs w:val="24"/>
        </w:rPr>
        <w:t xml:space="preserve"> et 2</w:t>
      </w:r>
      <w:r w:rsidR="003F3E11">
        <w:rPr>
          <w:rFonts w:ascii="Times New Roman" w:hAnsi="Times New Roman"/>
          <w:color w:val="000000"/>
          <w:sz w:val="24"/>
          <w:szCs w:val="24"/>
        </w:rPr>
        <w:t xml:space="preserve"> conduiront</w:t>
      </w:r>
      <w:r w:rsidR="00473BDA" w:rsidRPr="00621B22">
        <w:rPr>
          <w:rFonts w:ascii="Times New Roman" w:hAnsi="Times New Roman"/>
          <w:color w:val="000000"/>
          <w:sz w:val="24"/>
          <w:szCs w:val="24"/>
        </w:rPr>
        <w:t xml:space="preserve"> à une persistance des problèmes d’approvisionnement en eau de qualité dans plus </w:t>
      </w:r>
      <w:r w:rsidR="00127D9E" w:rsidRPr="00621B22">
        <w:rPr>
          <w:rFonts w:ascii="Times New Roman" w:hAnsi="Times New Roman"/>
          <w:color w:val="000000"/>
          <w:sz w:val="24"/>
          <w:szCs w:val="24"/>
        </w:rPr>
        <w:t>plusieurs quartiers</w:t>
      </w:r>
      <w:r w:rsidR="00473BDA" w:rsidRPr="00621B22">
        <w:rPr>
          <w:rFonts w:ascii="Times New Roman" w:hAnsi="Times New Roman"/>
          <w:color w:val="000000"/>
          <w:sz w:val="24"/>
          <w:szCs w:val="24"/>
        </w:rPr>
        <w:t xml:space="preserve"> de la ville Bissau et Biombo</w:t>
      </w:r>
      <w:r w:rsidR="00127D9E" w:rsidRPr="00621B22">
        <w:rPr>
          <w:rFonts w:ascii="Times New Roman" w:hAnsi="Times New Roman"/>
          <w:color w:val="000000"/>
          <w:sz w:val="24"/>
          <w:szCs w:val="24"/>
        </w:rPr>
        <w:t xml:space="preserve">. Si le projet est retardé un risque de perte du financement du projet pourra même se produire vue les délais d’échéance. C’est ainsi que ces deux </w:t>
      </w:r>
      <w:r w:rsidR="00127D9E" w:rsidRPr="009535FC">
        <w:rPr>
          <w:rFonts w:ascii="Times New Roman" w:hAnsi="Times New Roman"/>
          <w:b/>
          <w:color w:val="000000"/>
          <w:sz w:val="24"/>
          <w:szCs w:val="24"/>
        </w:rPr>
        <w:t>alternatives 1 et 2</w:t>
      </w:r>
      <w:r w:rsidR="00127D9E" w:rsidRPr="00621B22">
        <w:rPr>
          <w:rFonts w:ascii="Times New Roman" w:hAnsi="Times New Roman"/>
          <w:color w:val="000000"/>
          <w:sz w:val="24"/>
          <w:szCs w:val="24"/>
        </w:rPr>
        <w:t xml:space="preserve"> ne sont pas recommandés </w:t>
      </w:r>
      <w:r w:rsidR="003F3E11">
        <w:rPr>
          <w:rFonts w:ascii="Times New Roman" w:hAnsi="Times New Roman"/>
          <w:color w:val="000000"/>
          <w:sz w:val="24"/>
          <w:szCs w:val="24"/>
        </w:rPr>
        <w:t>au vu d</w:t>
      </w:r>
      <w:r w:rsidR="00127D9E" w:rsidRPr="00621B22">
        <w:rPr>
          <w:rFonts w:ascii="Times New Roman" w:hAnsi="Times New Roman"/>
          <w:color w:val="000000"/>
          <w:sz w:val="24"/>
          <w:szCs w:val="24"/>
        </w:rPr>
        <w:t>es nombreuses conséquences qu</w:t>
      </w:r>
      <w:r w:rsidR="003F3E11">
        <w:rPr>
          <w:rFonts w:ascii="Times New Roman" w:hAnsi="Times New Roman"/>
          <w:color w:val="000000"/>
          <w:sz w:val="24"/>
          <w:szCs w:val="24"/>
        </w:rPr>
        <w:t xml:space="preserve">’elles </w:t>
      </w:r>
      <w:r w:rsidR="00127D9E" w:rsidRPr="00621B22">
        <w:rPr>
          <w:rFonts w:ascii="Times New Roman" w:hAnsi="Times New Roman"/>
          <w:color w:val="000000"/>
          <w:sz w:val="24"/>
          <w:szCs w:val="24"/>
        </w:rPr>
        <w:t>pourront engendrer dans le pays.</w:t>
      </w:r>
    </w:p>
    <w:p w:rsidR="00672AF0" w:rsidRPr="003E743A" w:rsidRDefault="00672AF0" w:rsidP="00672AF0">
      <w:pPr>
        <w:pStyle w:val="Listecouleur-Accent11"/>
        <w:widowControl w:val="0"/>
        <w:ind w:left="993"/>
        <w:rPr>
          <w:rFonts w:ascii="Times New Roman" w:hAnsi="Times New Roman"/>
          <w:lang w:val="fr-FR"/>
        </w:rPr>
      </w:pPr>
    </w:p>
    <w:p w:rsidR="00672AF0" w:rsidRPr="00621B22" w:rsidRDefault="00672AF0" w:rsidP="00E74503">
      <w:pPr>
        <w:autoSpaceDE w:val="0"/>
        <w:autoSpaceDN w:val="0"/>
        <w:adjustRightInd w:val="0"/>
        <w:spacing w:after="0" w:line="240" w:lineRule="auto"/>
        <w:ind w:left="-284"/>
        <w:jc w:val="both"/>
        <w:rPr>
          <w:rFonts w:ascii="Times New Roman" w:hAnsi="Times New Roman"/>
          <w:color w:val="000000"/>
          <w:sz w:val="24"/>
          <w:szCs w:val="24"/>
        </w:rPr>
      </w:pPr>
      <w:r w:rsidRPr="00621B22">
        <w:rPr>
          <w:rFonts w:ascii="Times New Roman" w:hAnsi="Times New Roman"/>
          <w:color w:val="000000"/>
          <w:sz w:val="24"/>
          <w:szCs w:val="24"/>
        </w:rPr>
        <w:t xml:space="preserve">Concernant </w:t>
      </w:r>
      <w:r w:rsidRPr="00E74503">
        <w:rPr>
          <w:rFonts w:ascii="Times New Roman" w:hAnsi="Times New Roman"/>
          <w:b/>
          <w:color w:val="000000"/>
          <w:sz w:val="24"/>
          <w:szCs w:val="24"/>
        </w:rPr>
        <w:t xml:space="preserve">la variante </w:t>
      </w:r>
      <w:r w:rsidR="00127D9E" w:rsidRPr="00E74503">
        <w:rPr>
          <w:rFonts w:ascii="Times New Roman" w:hAnsi="Times New Roman"/>
          <w:b/>
          <w:color w:val="000000"/>
          <w:sz w:val="24"/>
          <w:szCs w:val="24"/>
        </w:rPr>
        <w:t>2 « choix des réservoirs</w:t>
      </w:r>
      <w:r w:rsidRPr="00E74503">
        <w:rPr>
          <w:rFonts w:ascii="Times New Roman" w:hAnsi="Times New Roman"/>
          <w:b/>
          <w:color w:val="000000"/>
          <w:sz w:val="24"/>
          <w:szCs w:val="24"/>
        </w:rPr>
        <w:t> »,</w:t>
      </w:r>
      <w:r w:rsidRPr="00621B22">
        <w:rPr>
          <w:rFonts w:ascii="Times New Roman" w:hAnsi="Times New Roman"/>
          <w:color w:val="000000"/>
          <w:sz w:val="24"/>
          <w:szCs w:val="24"/>
        </w:rPr>
        <w:t xml:space="preserve"> </w:t>
      </w:r>
      <w:r w:rsidR="00127D9E" w:rsidRPr="00E74503">
        <w:rPr>
          <w:rFonts w:ascii="Times New Roman" w:hAnsi="Times New Roman"/>
          <w:b/>
          <w:color w:val="000000"/>
          <w:sz w:val="24"/>
          <w:szCs w:val="24"/>
        </w:rPr>
        <w:t>l’option 1</w:t>
      </w:r>
      <w:r w:rsidRPr="00E74503">
        <w:rPr>
          <w:rFonts w:ascii="Times New Roman" w:hAnsi="Times New Roman"/>
          <w:b/>
          <w:color w:val="000000"/>
          <w:sz w:val="24"/>
          <w:szCs w:val="24"/>
        </w:rPr>
        <w:t xml:space="preserve"> « </w:t>
      </w:r>
      <w:r w:rsidR="00FC79B6" w:rsidRPr="00E74503">
        <w:rPr>
          <w:rFonts w:ascii="Times New Roman" w:hAnsi="Times New Roman"/>
          <w:b/>
          <w:color w:val="000000"/>
          <w:sz w:val="24"/>
          <w:szCs w:val="24"/>
        </w:rPr>
        <w:t>Châteaux en béton armé </w:t>
      </w:r>
      <w:r w:rsidRPr="00E74503">
        <w:rPr>
          <w:rFonts w:ascii="Times New Roman" w:hAnsi="Times New Roman"/>
          <w:b/>
          <w:color w:val="000000"/>
          <w:sz w:val="24"/>
          <w:szCs w:val="24"/>
        </w:rPr>
        <w:t>»</w:t>
      </w:r>
      <w:r w:rsidRPr="00621B22">
        <w:rPr>
          <w:rFonts w:ascii="Times New Roman" w:hAnsi="Times New Roman"/>
          <w:color w:val="000000"/>
          <w:sz w:val="24"/>
          <w:szCs w:val="24"/>
        </w:rPr>
        <w:t xml:space="preserve"> constitue l’option idéale sur le plan géographique, environnemental et social </w:t>
      </w:r>
      <w:r w:rsidR="00FC79B6" w:rsidRPr="00621B22">
        <w:rPr>
          <w:rFonts w:ascii="Times New Roman" w:hAnsi="Times New Roman"/>
          <w:color w:val="000000"/>
          <w:sz w:val="24"/>
          <w:szCs w:val="24"/>
        </w:rPr>
        <w:t>dans l’ensemble des sites retenus. Il assure un meilleur investissement par rapport à la durée d’exploitation, minimum d’entretien structural,</w:t>
      </w:r>
      <w:r w:rsidR="00877D09" w:rsidRPr="00E74503">
        <w:rPr>
          <w:rFonts w:ascii="Times New Roman" w:hAnsi="Times New Roman"/>
          <w:color w:val="000000"/>
          <w:sz w:val="24"/>
          <w:szCs w:val="24"/>
        </w:rPr>
        <w:t xml:space="preserve"> </w:t>
      </w:r>
      <w:r w:rsidR="00877D09" w:rsidRPr="00621B22">
        <w:rPr>
          <w:rFonts w:ascii="Times New Roman" w:hAnsi="Times New Roman"/>
          <w:color w:val="000000"/>
          <w:sz w:val="24"/>
          <w:szCs w:val="24"/>
        </w:rPr>
        <w:t xml:space="preserve">beaucoup plus assurant avec les phénomènes naturels, avec une possibilité plus facile à réhabiliter dans le futur </w:t>
      </w:r>
      <w:r w:rsidRPr="00621B22">
        <w:rPr>
          <w:rFonts w:ascii="Times New Roman" w:hAnsi="Times New Roman"/>
          <w:color w:val="000000"/>
          <w:sz w:val="24"/>
          <w:szCs w:val="24"/>
        </w:rPr>
        <w:t xml:space="preserve">et </w:t>
      </w:r>
      <w:r w:rsidR="00877D09" w:rsidRPr="00621B22">
        <w:rPr>
          <w:rFonts w:ascii="Times New Roman" w:hAnsi="Times New Roman"/>
          <w:color w:val="000000"/>
          <w:sz w:val="24"/>
          <w:szCs w:val="24"/>
        </w:rPr>
        <w:t xml:space="preserve">il rencontre le souhait </w:t>
      </w:r>
      <w:r w:rsidRPr="00621B22">
        <w:rPr>
          <w:rFonts w:ascii="Times New Roman" w:hAnsi="Times New Roman"/>
          <w:color w:val="000000"/>
          <w:sz w:val="24"/>
          <w:szCs w:val="24"/>
        </w:rPr>
        <w:t>de la population.</w:t>
      </w:r>
      <w:r w:rsidR="00877D09" w:rsidRPr="00621B22">
        <w:rPr>
          <w:rFonts w:ascii="Times New Roman" w:hAnsi="Times New Roman"/>
          <w:color w:val="000000"/>
          <w:sz w:val="24"/>
          <w:szCs w:val="24"/>
        </w:rPr>
        <w:t xml:space="preserve"> C’est ainsi que cet</w:t>
      </w:r>
      <w:r w:rsidR="003F3E11">
        <w:rPr>
          <w:rFonts w:ascii="Times New Roman" w:hAnsi="Times New Roman"/>
          <w:color w:val="000000"/>
          <w:sz w:val="24"/>
          <w:szCs w:val="24"/>
        </w:rPr>
        <w:t>te</w:t>
      </w:r>
      <w:r w:rsidR="00877D09" w:rsidRPr="00621B22">
        <w:rPr>
          <w:rFonts w:ascii="Times New Roman" w:hAnsi="Times New Roman"/>
          <w:color w:val="000000"/>
          <w:sz w:val="24"/>
          <w:szCs w:val="24"/>
        </w:rPr>
        <w:t xml:space="preserve"> </w:t>
      </w:r>
      <w:r w:rsidR="00877D09" w:rsidRPr="00E74503">
        <w:rPr>
          <w:rFonts w:ascii="Times New Roman" w:hAnsi="Times New Roman"/>
          <w:b/>
          <w:color w:val="000000"/>
          <w:sz w:val="24"/>
          <w:szCs w:val="24"/>
        </w:rPr>
        <w:t>option 1</w:t>
      </w:r>
      <w:r w:rsidR="00877D09" w:rsidRPr="00621B22">
        <w:rPr>
          <w:rFonts w:ascii="Times New Roman" w:hAnsi="Times New Roman"/>
          <w:color w:val="000000"/>
          <w:sz w:val="24"/>
          <w:szCs w:val="24"/>
        </w:rPr>
        <w:t xml:space="preserve"> a été retenu</w:t>
      </w:r>
      <w:r w:rsidR="003F3E11">
        <w:rPr>
          <w:rFonts w:ascii="Times New Roman" w:hAnsi="Times New Roman"/>
          <w:color w:val="000000"/>
          <w:sz w:val="24"/>
          <w:szCs w:val="24"/>
        </w:rPr>
        <w:t>e</w:t>
      </w:r>
      <w:r w:rsidR="00877D09" w:rsidRPr="00621B22">
        <w:rPr>
          <w:rFonts w:ascii="Times New Roman" w:hAnsi="Times New Roman"/>
          <w:color w:val="000000"/>
          <w:sz w:val="24"/>
          <w:szCs w:val="24"/>
        </w:rPr>
        <w:t>.</w:t>
      </w:r>
      <w:r w:rsidRPr="00621B22">
        <w:rPr>
          <w:rFonts w:ascii="Times New Roman" w:hAnsi="Times New Roman"/>
          <w:color w:val="000000"/>
          <w:sz w:val="24"/>
          <w:szCs w:val="24"/>
        </w:rPr>
        <w:t> </w:t>
      </w:r>
    </w:p>
    <w:p w:rsidR="005A5075" w:rsidRPr="00621B22" w:rsidRDefault="005A5075" w:rsidP="00877D09">
      <w:pPr>
        <w:pStyle w:val="Listecouleur-Accent11"/>
        <w:widowControl w:val="0"/>
        <w:spacing w:line="276" w:lineRule="auto"/>
        <w:ind w:left="0"/>
        <w:rPr>
          <w:rFonts w:ascii="Times New Roman" w:eastAsiaTheme="minorHAnsi" w:hAnsi="Times New Roman" w:cstheme="minorBidi"/>
          <w:color w:val="000000"/>
          <w:sz w:val="24"/>
          <w:szCs w:val="24"/>
          <w:lang w:val="fr-FR"/>
        </w:rPr>
      </w:pPr>
    </w:p>
    <w:p w:rsidR="005A5075" w:rsidRPr="00621B22" w:rsidRDefault="005A5075" w:rsidP="00E74503">
      <w:pPr>
        <w:autoSpaceDE w:val="0"/>
        <w:autoSpaceDN w:val="0"/>
        <w:adjustRightInd w:val="0"/>
        <w:spacing w:after="0" w:line="240" w:lineRule="auto"/>
        <w:ind w:left="-284"/>
        <w:jc w:val="both"/>
        <w:rPr>
          <w:rFonts w:ascii="Times New Roman" w:hAnsi="Times New Roman"/>
          <w:color w:val="000000"/>
          <w:sz w:val="24"/>
          <w:szCs w:val="24"/>
        </w:rPr>
      </w:pPr>
      <w:r w:rsidRPr="00621B22">
        <w:rPr>
          <w:rFonts w:ascii="Times New Roman" w:hAnsi="Times New Roman"/>
          <w:color w:val="000000"/>
          <w:sz w:val="24"/>
          <w:szCs w:val="24"/>
        </w:rPr>
        <w:t xml:space="preserve">Pour la </w:t>
      </w:r>
      <w:r w:rsidRPr="00E74503">
        <w:rPr>
          <w:rFonts w:ascii="Times New Roman" w:hAnsi="Times New Roman"/>
          <w:b/>
          <w:color w:val="000000"/>
          <w:sz w:val="24"/>
          <w:szCs w:val="24"/>
        </w:rPr>
        <w:t>variante 3 « », l’option b « la méthode mécanique (HIEQ) »</w:t>
      </w:r>
      <w:r w:rsidRPr="00621B22">
        <w:rPr>
          <w:rFonts w:ascii="Times New Roman" w:hAnsi="Times New Roman"/>
          <w:color w:val="000000"/>
          <w:sz w:val="24"/>
          <w:szCs w:val="24"/>
        </w:rPr>
        <w:t xml:space="preserve"> constitue une option à privilégier en vue de l’envergure des travaux en </w:t>
      </w:r>
      <w:r w:rsidR="00E74503">
        <w:rPr>
          <w:rFonts w:ascii="Times New Roman" w:hAnsi="Times New Roman"/>
          <w:color w:val="000000"/>
          <w:sz w:val="24"/>
          <w:szCs w:val="24"/>
        </w:rPr>
        <w:t xml:space="preserve">hauteur, </w:t>
      </w:r>
      <w:r w:rsidRPr="00621B22">
        <w:rPr>
          <w:rFonts w:ascii="Times New Roman" w:hAnsi="Times New Roman"/>
          <w:color w:val="000000"/>
          <w:sz w:val="24"/>
          <w:szCs w:val="24"/>
        </w:rPr>
        <w:t xml:space="preserve">avec des charges lourdes à déplacer par rapport de la topologie du terrain, et par rapport à la durée de réalisation du </w:t>
      </w:r>
      <w:r w:rsidR="00E74503">
        <w:rPr>
          <w:rFonts w:ascii="Times New Roman" w:hAnsi="Times New Roman"/>
          <w:color w:val="000000"/>
          <w:sz w:val="24"/>
          <w:szCs w:val="24"/>
        </w:rPr>
        <w:t>sous-</w:t>
      </w:r>
      <w:r w:rsidRPr="00621B22">
        <w:rPr>
          <w:rFonts w:ascii="Times New Roman" w:hAnsi="Times New Roman"/>
          <w:color w:val="000000"/>
          <w:sz w:val="24"/>
          <w:szCs w:val="24"/>
        </w:rPr>
        <w:t>projet</w:t>
      </w:r>
      <w:r w:rsidR="00E74503">
        <w:rPr>
          <w:rFonts w:ascii="Times New Roman" w:hAnsi="Times New Roman"/>
          <w:color w:val="000000"/>
          <w:sz w:val="24"/>
          <w:szCs w:val="24"/>
        </w:rPr>
        <w:t>. B</w:t>
      </w:r>
      <w:r w:rsidRPr="00621B22">
        <w:rPr>
          <w:rFonts w:ascii="Times New Roman" w:hAnsi="Times New Roman"/>
          <w:color w:val="000000"/>
          <w:sz w:val="24"/>
          <w:szCs w:val="24"/>
        </w:rPr>
        <w:t>ien qu’elle soit plus cher en investissement p</w:t>
      </w:r>
      <w:r w:rsidR="00880B55" w:rsidRPr="00621B22">
        <w:rPr>
          <w:rFonts w:ascii="Times New Roman" w:hAnsi="Times New Roman"/>
          <w:color w:val="000000"/>
          <w:sz w:val="24"/>
          <w:szCs w:val="24"/>
        </w:rPr>
        <w:t>our les réalisations des réservoirs</w:t>
      </w:r>
      <w:r w:rsidRPr="00621B22">
        <w:rPr>
          <w:rFonts w:ascii="Times New Roman" w:hAnsi="Times New Roman"/>
          <w:color w:val="000000"/>
          <w:sz w:val="24"/>
          <w:szCs w:val="24"/>
        </w:rPr>
        <w:t>.</w:t>
      </w:r>
    </w:p>
    <w:p w:rsidR="00880B55" w:rsidRDefault="00880B55" w:rsidP="00E74503">
      <w:pPr>
        <w:autoSpaceDE w:val="0"/>
        <w:autoSpaceDN w:val="0"/>
        <w:adjustRightInd w:val="0"/>
        <w:spacing w:after="0" w:line="240" w:lineRule="auto"/>
        <w:ind w:left="-284"/>
        <w:jc w:val="both"/>
        <w:rPr>
          <w:rFonts w:ascii="Times New Roman" w:hAnsi="Times New Roman"/>
          <w:color w:val="000000"/>
          <w:sz w:val="24"/>
          <w:szCs w:val="24"/>
        </w:rPr>
      </w:pPr>
      <w:r w:rsidRPr="00621B22">
        <w:rPr>
          <w:rFonts w:ascii="Times New Roman" w:hAnsi="Times New Roman"/>
          <w:color w:val="000000"/>
          <w:sz w:val="24"/>
          <w:szCs w:val="24"/>
        </w:rPr>
        <w:lastRenderedPageBreak/>
        <w:t xml:space="preserve">Ainsi, pour la réalisation des réservoirs, une solution mixe (Option a et b) a été retenue et recommandé. Car avec </w:t>
      </w:r>
      <w:r w:rsidRPr="009535FC">
        <w:rPr>
          <w:rFonts w:ascii="Times New Roman" w:hAnsi="Times New Roman"/>
          <w:b/>
          <w:color w:val="000000"/>
          <w:sz w:val="24"/>
          <w:szCs w:val="24"/>
        </w:rPr>
        <w:t>l’option a « la méthode manuelle (HIMO) »</w:t>
      </w:r>
      <w:r w:rsidRPr="00621B22">
        <w:rPr>
          <w:rFonts w:ascii="Times New Roman" w:hAnsi="Times New Roman"/>
          <w:color w:val="000000"/>
          <w:sz w:val="24"/>
          <w:szCs w:val="24"/>
        </w:rPr>
        <w:t xml:space="preserve"> pourra engendre </w:t>
      </w:r>
      <w:r w:rsidR="00307FDB" w:rsidRPr="00621B22">
        <w:rPr>
          <w:rFonts w:ascii="Times New Roman" w:hAnsi="Times New Roman"/>
          <w:color w:val="000000"/>
          <w:sz w:val="24"/>
          <w:szCs w:val="24"/>
        </w:rPr>
        <w:t>des emplois locaux</w:t>
      </w:r>
      <w:r w:rsidRPr="00621B22">
        <w:rPr>
          <w:rFonts w:ascii="Times New Roman" w:hAnsi="Times New Roman"/>
          <w:color w:val="000000"/>
          <w:sz w:val="24"/>
          <w:szCs w:val="24"/>
        </w:rPr>
        <w:t xml:space="preserve"> et permettre à la population de bien s’approprier le </w:t>
      </w:r>
      <w:r w:rsidR="00E74503">
        <w:rPr>
          <w:rFonts w:ascii="Times New Roman" w:hAnsi="Times New Roman"/>
          <w:color w:val="000000"/>
          <w:sz w:val="24"/>
          <w:szCs w:val="24"/>
        </w:rPr>
        <w:t>sous-</w:t>
      </w:r>
      <w:r w:rsidRPr="00621B22">
        <w:rPr>
          <w:rFonts w:ascii="Times New Roman" w:hAnsi="Times New Roman"/>
          <w:color w:val="000000"/>
          <w:sz w:val="24"/>
          <w:szCs w:val="24"/>
        </w:rPr>
        <w:t xml:space="preserve">projet. Mais néanmoins </w:t>
      </w:r>
      <w:r w:rsidR="00307FDB" w:rsidRPr="00621B22">
        <w:rPr>
          <w:rFonts w:ascii="Times New Roman" w:hAnsi="Times New Roman"/>
          <w:color w:val="000000"/>
          <w:sz w:val="24"/>
          <w:szCs w:val="24"/>
        </w:rPr>
        <w:t xml:space="preserve">dans cette solution mixe, </w:t>
      </w:r>
      <w:r w:rsidR="00307FDB" w:rsidRPr="00E74503">
        <w:rPr>
          <w:rFonts w:ascii="Times New Roman" w:hAnsi="Times New Roman"/>
          <w:b/>
          <w:color w:val="000000"/>
          <w:sz w:val="24"/>
          <w:szCs w:val="24"/>
        </w:rPr>
        <w:t>l’option b</w:t>
      </w:r>
      <w:r w:rsidR="00307FDB" w:rsidRPr="00621B22">
        <w:rPr>
          <w:rFonts w:ascii="Times New Roman" w:hAnsi="Times New Roman"/>
          <w:color w:val="000000"/>
          <w:sz w:val="24"/>
          <w:szCs w:val="24"/>
        </w:rPr>
        <w:t xml:space="preserve"> sera</w:t>
      </w:r>
      <w:r w:rsidR="003F3E11">
        <w:rPr>
          <w:rFonts w:ascii="Times New Roman" w:hAnsi="Times New Roman"/>
          <w:color w:val="000000"/>
          <w:sz w:val="24"/>
          <w:szCs w:val="24"/>
        </w:rPr>
        <w:t xml:space="preserve"> beaucoup plus mise en avant vu</w:t>
      </w:r>
      <w:r w:rsidR="00307FDB" w:rsidRPr="00621B22">
        <w:rPr>
          <w:rFonts w:ascii="Times New Roman" w:hAnsi="Times New Roman"/>
          <w:color w:val="000000"/>
          <w:sz w:val="24"/>
          <w:szCs w:val="24"/>
        </w:rPr>
        <w:t xml:space="preserve"> la difficulté des travaux.</w:t>
      </w:r>
    </w:p>
    <w:p w:rsidR="00476B3B" w:rsidRPr="00621B22" w:rsidRDefault="00476B3B" w:rsidP="00E74503">
      <w:pPr>
        <w:autoSpaceDE w:val="0"/>
        <w:autoSpaceDN w:val="0"/>
        <w:adjustRightInd w:val="0"/>
        <w:spacing w:after="0" w:line="240" w:lineRule="auto"/>
        <w:ind w:left="-284"/>
        <w:jc w:val="both"/>
        <w:rPr>
          <w:rFonts w:ascii="Times New Roman" w:hAnsi="Times New Roman"/>
          <w:color w:val="000000"/>
          <w:sz w:val="24"/>
          <w:szCs w:val="24"/>
        </w:rPr>
      </w:pPr>
    </w:p>
    <w:p w:rsidR="00AE4CFB" w:rsidRPr="00621B22" w:rsidRDefault="00AE4CFB" w:rsidP="00E74503">
      <w:pPr>
        <w:autoSpaceDE w:val="0"/>
        <w:autoSpaceDN w:val="0"/>
        <w:adjustRightInd w:val="0"/>
        <w:spacing w:after="0" w:line="240" w:lineRule="auto"/>
        <w:ind w:left="-284"/>
        <w:jc w:val="both"/>
        <w:rPr>
          <w:rFonts w:ascii="Times New Roman" w:hAnsi="Times New Roman"/>
          <w:color w:val="000000"/>
          <w:sz w:val="24"/>
          <w:szCs w:val="24"/>
        </w:rPr>
      </w:pPr>
      <w:r w:rsidRPr="00621B22">
        <w:rPr>
          <w:rFonts w:ascii="Times New Roman" w:hAnsi="Times New Roman"/>
          <w:color w:val="000000"/>
          <w:sz w:val="24"/>
          <w:szCs w:val="24"/>
        </w:rPr>
        <w:t>Ainsi, la mise en œuvre du projet doit être privilégiée tout en mettant en œuvre les mesures d’atténuation prévues dans le PGES. Mais aussi, il convient d’accompagner les collectivités locales et de renforcer les moyens des structures techniques de l’Etat afin de préserver et valoriser durablement les écosystèmes dans les zones et de freiner les pressions sur les ressources naturelles pour une bonne protection de l’environnement.</w:t>
      </w:r>
    </w:p>
    <w:p w:rsidR="00672AF0" w:rsidRPr="003E743A" w:rsidRDefault="00672AF0" w:rsidP="00672AF0">
      <w:pPr>
        <w:widowControl w:val="0"/>
        <w:spacing w:after="0" w:line="276" w:lineRule="auto"/>
        <w:jc w:val="both"/>
        <w:rPr>
          <w:rFonts w:ascii="Times New Roman" w:hAnsi="Times New Roman"/>
          <w:sz w:val="24"/>
          <w:szCs w:val="24"/>
          <w:lang w:eastAsia="x-none"/>
        </w:rPr>
      </w:pPr>
    </w:p>
    <w:p w:rsidR="00672AF0" w:rsidRDefault="00672AF0" w:rsidP="00672AF0">
      <w:pPr>
        <w:widowControl w:val="0"/>
        <w:spacing w:after="0" w:line="276" w:lineRule="auto"/>
        <w:jc w:val="both"/>
        <w:rPr>
          <w:rFonts w:ascii="Times New Roman" w:hAnsi="Times New Roman"/>
          <w:sz w:val="24"/>
          <w:szCs w:val="24"/>
        </w:rPr>
      </w:pPr>
    </w:p>
    <w:p w:rsidR="007F3DC3" w:rsidRPr="004815B9" w:rsidRDefault="00C030D5" w:rsidP="004815B9">
      <w:pPr>
        <w:keepNext/>
        <w:keepLines/>
        <w:pBdr>
          <w:top w:val="outset" w:sz="12" w:space="1" w:color="auto"/>
          <w:left w:val="outset" w:sz="12" w:space="4" w:color="auto"/>
          <w:bottom w:val="outset" w:sz="12" w:space="1" w:color="auto"/>
          <w:right w:val="outset" w:sz="12" w:space="4" w:color="auto"/>
        </w:pBdr>
        <w:shd w:val="clear" w:color="auto" w:fill="F2F2F2" w:themeFill="background1" w:themeFillShade="F2"/>
        <w:spacing w:after="0" w:line="240" w:lineRule="auto"/>
        <w:ind w:left="-1417" w:right="567"/>
        <w:jc w:val="center"/>
        <w:outlineLvl w:val="0"/>
        <w:rPr>
          <w:rFonts w:ascii="Times New Roman" w:eastAsia="Calibri" w:hAnsi="Times New Roman" w:cs="Times New Roman"/>
          <w:b/>
          <w:sz w:val="32"/>
          <w:szCs w:val="32"/>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id="155" w:name="_Toc535396906"/>
      <w:bookmarkStart w:id="156" w:name="_Toc6310444"/>
      <w:bookmarkStart w:id="157" w:name="_Toc51072545"/>
      <w:r>
        <w:rPr>
          <w:rFonts w:ascii="Times New Roman" w:eastAsia="Calibri" w:hAnsi="Times New Roman" w:cs="Times New Roman"/>
          <w:b/>
          <w:sz w:val="32"/>
          <w:szCs w:val="32"/>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w:t>
      </w:r>
      <w:r w:rsidR="007F3DC3" w:rsidRPr="004815B9">
        <w:rPr>
          <w:rFonts w:ascii="Times New Roman" w:eastAsia="Calibri" w:hAnsi="Times New Roman" w:cs="Times New Roman"/>
          <w:b/>
          <w:sz w:val="32"/>
          <w:szCs w:val="32"/>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DESCRIPTION DU MILIEU RECEPTEUR *</w:t>
      </w:r>
      <w:bookmarkEnd w:id="155"/>
      <w:bookmarkEnd w:id="156"/>
      <w:bookmarkEnd w:id="157"/>
    </w:p>
    <w:p w:rsidR="007F3DC3" w:rsidRPr="003E743A" w:rsidRDefault="007F3DC3" w:rsidP="007F3DC3">
      <w:pPr>
        <w:tabs>
          <w:tab w:val="left" w:pos="945"/>
        </w:tabs>
        <w:spacing w:after="0"/>
        <w:jc w:val="both"/>
        <w:rPr>
          <w:rFonts w:ascii="Times New Roman" w:hAnsi="Times New Roman" w:cs="Times New Roman"/>
          <w:b/>
        </w:rPr>
      </w:pPr>
    </w:p>
    <w:p w:rsidR="007F3DC3" w:rsidRPr="003E743A" w:rsidRDefault="007F3DC3" w:rsidP="007F3DC3">
      <w:pPr>
        <w:tabs>
          <w:tab w:val="left" w:pos="945"/>
        </w:tabs>
        <w:jc w:val="both"/>
        <w:rPr>
          <w:rFonts w:ascii="Times New Roman" w:hAnsi="Times New Roman" w:cs="Times New Roman"/>
          <w:sz w:val="24"/>
          <w:szCs w:val="24"/>
        </w:rPr>
      </w:pPr>
      <w:r w:rsidRPr="003E743A">
        <w:rPr>
          <w:rFonts w:ascii="Times New Roman" w:hAnsi="Times New Roman" w:cs="Times New Roman"/>
          <w:sz w:val="24"/>
          <w:szCs w:val="24"/>
        </w:rPr>
        <w:t xml:space="preserve">Le champ d’étude définit de façon globale toutes les composantes naturelles et humaines de l’environnement susceptibles d’être touchées par </w:t>
      </w:r>
      <w:r w:rsidR="00D363AE">
        <w:rPr>
          <w:rFonts w:ascii="Times New Roman" w:hAnsi="Times New Roman" w:cs="Times New Roman"/>
          <w:sz w:val="24"/>
          <w:szCs w:val="24"/>
        </w:rPr>
        <w:t xml:space="preserve">les travaux du projet PUASEE-FA </w:t>
      </w:r>
      <w:r w:rsidRPr="003E743A">
        <w:rPr>
          <w:rFonts w:ascii="Times New Roman" w:hAnsi="Times New Roman" w:cs="Times New Roman"/>
          <w:sz w:val="24"/>
          <w:szCs w:val="24"/>
        </w:rPr>
        <w:t>et l’exploitation des</w:t>
      </w:r>
      <w:r w:rsidR="00D363AE">
        <w:rPr>
          <w:rFonts w:ascii="Times New Roman" w:hAnsi="Times New Roman" w:cs="Times New Roman"/>
          <w:sz w:val="24"/>
          <w:szCs w:val="24"/>
        </w:rPr>
        <w:t xml:space="preserve"> réservoirs</w:t>
      </w:r>
      <w:r w:rsidRPr="003E743A">
        <w:rPr>
          <w:rFonts w:ascii="Times New Roman" w:hAnsi="Times New Roman" w:cs="Times New Roman"/>
          <w:sz w:val="24"/>
          <w:szCs w:val="24"/>
        </w:rPr>
        <w:t>.</w:t>
      </w:r>
    </w:p>
    <w:p w:rsidR="007F3DC3" w:rsidRPr="004815B9" w:rsidRDefault="004815B9" w:rsidP="004815B9">
      <w:pPr>
        <w:pStyle w:val="PargrafodaLista"/>
        <w:keepNext/>
        <w:spacing w:before="240" w:after="240"/>
        <w:ind w:left="450" w:right="284" w:hanging="450"/>
        <w:jc w:val="both"/>
        <w:outlineLvl w:val="1"/>
        <w:rPr>
          <w:rFonts w:ascii="Times New Roman" w:hAnsi="Times New Roman"/>
          <w:b/>
          <w:sz w:val="24"/>
          <w:szCs w:val="24"/>
          <w:lang w:val="fr-FR" w:eastAsia="fr-FR"/>
        </w:rPr>
      </w:pPr>
      <w:bookmarkStart w:id="158" w:name="_Toc535396917"/>
      <w:bookmarkStart w:id="159" w:name="_Toc6310455"/>
      <w:bookmarkStart w:id="160" w:name="_Toc51072546"/>
      <w:r>
        <w:rPr>
          <w:rFonts w:ascii="Times New Roman" w:hAnsi="Times New Roman"/>
          <w:b/>
          <w:sz w:val="24"/>
          <w:szCs w:val="24"/>
          <w:lang w:val="fr-FR" w:eastAsia="fr-FR"/>
        </w:rPr>
        <w:t>5</w:t>
      </w:r>
      <w:r w:rsidRPr="004815B9">
        <w:rPr>
          <w:rFonts w:ascii="Times New Roman" w:hAnsi="Times New Roman"/>
          <w:b/>
          <w:sz w:val="24"/>
          <w:szCs w:val="24"/>
          <w:lang w:val="fr-FR" w:eastAsia="fr-FR"/>
        </w:rPr>
        <w:t>.</w:t>
      </w:r>
      <w:r>
        <w:rPr>
          <w:rFonts w:ascii="Times New Roman" w:hAnsi="Times New Roman"/>
          <w:b/>
          <w:sz w:val="24"/>
          <w:szCs w:val="24"/>
          <w:lang w:val="fr-FR" w:eastAsia="fr-FR"/>
        </w:rPr>
        <w:t>1.</w:t>
      </w:r>
      <w:r w:rsidRPr="004815B9">
        <w:rPr>
          <w:rFonts w:ascii="Times New Roman" w:hAnsi="Times New Roman"/>
          <w:b/>
          <w:sz w:val="24"/>
          <w:szCs w:val="24"/>
          <w:lang w:val="fr-FR" w:eastAsia="fr-FR"/>
        </w:rPr>
        <w:t xml:space="preserve"> SITUATION GEOGRAPHIQUE</w:t>
      </w:r>
      <w:bookmarkEnd w:id="158"/>
      <w:bookmarkEnd w:id="159"/>
      <w:bookmarkEnd w:id="160"/>
      <w:r w:rsidRPr="004815B9">
        <w:rPr>
          <w:rFonts w:ascii="Times New Roman" w:hAnsi="Times New Roman"/>
          <w:b/>
          <w:sz w:val="24"/>
          <w:szCs w:val="24"/>
          <w:lang w:val="fr-FR" w:eastAsia="fr-FR"/>
        </w:rPr>
        <w:t xml:space="preserve">  </w:t>
      </w:r>
    </w:p>
    <w:p w:rsidR="007F3DC3" w:rsidRPr="004815B9" w:rsidRDefault="007F3DC3" w:rsidP="004815B9">
      <w:pPr>
        <w:autoSpaceDE w:val="0"/>
        <w:autoSpaceDN w:val="0"/>
        <w:adjustRightInd w:val="0"/>
        <w:spacing w:after="0" w:line="240" w:lineRule="auto"/>
        <w:ind w:left="-284"/>
        <w:jc w:val="both"/>
        <w:rPr>
          <w:rFonts w:ascii="Times New Roman" w:hAnsi="Times New Roman"/>
          <w:color w:val="000000"/>
          <w:sz w:val="24"/>
          <w:szCs w:val="24"/>
        </w:rPr>
      </w:pPr>
      <w:r w:rsidRPr="004815B9">
        <w:rPr>
          <w:rFonts w:ascii="Times New Roman" w:hAnsi="Times New Roman"/>
          <w:color w:val="000000"/>
          <w:sz w:val="24"/>
          <w:szCs w:val="24"/>
        </w:rPr>
        <w:t xml:space="preserve">Située sur la côte Occidentale de l’Afrique, la République de Guinée-Bissau est localisée entre les parallèles 10º 59´ et 12º 20´ Nord et les méridiens 13º 40´ et 13º 43´ Ouest. La Guinée Bissau est un pays lusophone situé sur la côte occidentale de l’Afrique qui s’étend sur un territoire de 36.125 km2.  </w:t>
      </w:r>
    </w:p>
    <w:p w:rsidR="007F3DC3" w:rsidRPr="004815B9" w:rsidRDefault="007F3DC3" w:rsidP="004815B9">
      <w:pPr>
        <w:autoSpaceDE w:val="0"/>
        <w:autoSpaceDN w:val="0"/>
        <w:adjustRightInd w:val="0"/>
        <w:spacing w:after="0" w:line="240" w:lineRule="auto"/>
        <w:ind w:left="-284"/>
        <w:jc w:val="both"/>
        <w:rPr>
          <w:rFonts w:ascii="Times New Roman" w:hAnsi="Times New Roman"/>
          <w:color w:val="000000"/>
          <w:sz w:val="24"/>
          <w:szCs w:val="24"/>
        </w:rPr>
      </w:pPr>
      <w:r w:rsidRPr="004815B9">
        <w:rPr>
          <w:rFonts w:ascii="Times New Roman" w:hAnsi="Times New Roman"/>
          <w:color w:val="000000"/>
          <w:sz w:val="24"/>
          <w:szCs w:val="24"/>
        </w:rPr>
        <w:t xml:space="preserve">Elle est limitée par le Sénégal au Nord, la Guinée Conakry à l’Est et au Sud, et l’Océan Atlantique à L’Ouest.  D’après les résultats préliminaires du RGPH, mené en mars 2009 par l’Institut National de la Statistique et du Recensement (INEC), la population totale du pays est estimée à 1.548.159 habitants, dont 755.859 sont de sexe masculin et 792.300 féminin. Le taux de croissance est de 2,54%, en augmentation par rapport aux données du recensement de l’année 1991 qui était de 2,03%, avec une population totale à l’époque de 979.203.  </w:t>
      </w:r>
    </w:p>
    <w:p w:rsidR="007F3DC3" w:rsidRPr="004815B9" w:rsidRDefault="007F3DC3" w:rsidP="004815B9">
      <w:pPr>
        <w:autoSpaceDE w:val="0"/>
        <w:autoSpaceDN w:val="0"/>
        <w:adjustRightInd w:val="0"/>
        <w:spacing w:after="0" w:line="240" w:lineRule="auto"/>
        <w:ind w:left="-284"/>
        <w:jc w:val="both"/>
        <w:rPr>
          <w:rFonts w:ascii="Times New Roman" w:hAnsi="Times New Roman"/>
          <w:color w:val="000000"/>
          <w:sz w:val="24"/>
          <w:szCs w:val="24"/>
        </w:rPr>
      </w:pPr>
      <w:r w:rsidRPr="004815B9">
        <w:rPr>
          <w:rFonts w:ascii="Times New Roman" w:hAnsi="Times New Roman"/>
          <w:color w:val="000000"/>
          <w:sz w:val="24"/>
          <w:szCs w:val="24"/>
        </w:rPr>
        <w:t>Au plan administratif, le pays est divisé en huit régions et un secteur autonome (Fig. 26 ci-dessous) : Bafata, Biombo, Bolama/Bijagos, Cacheu, Gabu, Oio, Quinara, Tombali et le Secteur Autonome de Bissau. Les régions sont chacune divisée en secteurs (trente-six au total) et les secteurs sont quant à eux divisés en sections qui à leur tour sont composées de « Tabankas » (villages).</w:t>
      </w:r>
    </w:p>
    <w:p w:rsidR="007A6320" w:rsidRPr="004815B9" w:rsidRDefault="007A6320" w:rsidP="004815B9">
      <w:pPr>
        <w:autoSpaceDE w:val="0"/>
        <w:autoSpaceDN w:val="0"/>
        <w:adjustRightInd w:val="0"/>
        <w:spacing w:after="0" w:line="240" w:lineRule="auto"/>
        <w:ind w:left="-284"/>
        <w:jc w:val="both"/>
        <w:rPr>
          <w:rFonts w:ascii="Times New Roman" w:hAnsi="Times New Roman"/>
          <w:color w:val="000000"/>
          <w:sz w:val="24"/>
          <w:szCs w:val="24"/>
        </w:rPr>
        <w:sectPr w:rsidR="007A6320" w:rsidRPr="004815B9" w:rsidSect="0058308B">
          <w:headerReference w:type="default" r:id="rId69"/>
          <w:footerReference w:type="default" r:id="rId70"/>
          <w:headerReference w:type="first" r:id="rId71"/>
          <w:pgSz w:w="11906" w:h="16838"/>
          <w:pgMar w:top="851" w:right="566" w:bottom="1134" w:left="1417" w:header="426" w:footer="0" w:gutter="0"/>
          <w:cols w:space="708"/>
          <w:titlePg/>
          <w:docGrid w:linePitch="360"/>
        </w:sectPr>
      </w:pPr>
    </w:p>
    <w:p w:rsidR="00F43AF4" w:rsidRPr="00833733" w:rsidRDefault="00833733" w:rsidP="004815B9">
      <w:pPr>
        <w:spacing w:line="276" w:lineRule="auto"/>
        <w:jc w:val="center"/>
        <w:rPr>
          <w:rFonts w:ascii="Times New Roman" w:hAnsi="Times New Roman" w:cs="Times New Roman"/>
          <w:b/>
          <w:sz w:val="24"/>
          <w:szCs w:val="24"/>
        </w:rPr>
      </w:pPr>
      <w:r w:rsidRPr="00833733">
        <w:rPr>
          <w:rFonts w:ascii="Times New Roman" w:hAnsi="Times New Roman" w:cs="Times New Roman"/>
          <w:b/>
        </w:rPr>
        <w:lastRenderedPageBreak/>
        <w:t xml:space="preserve">Carte </w:t>
      </w:r>
      <w:r w:rsidRPr="00833733">
        <w:rPr>
          <w:rFonts w:ascii="Times New Roman" w:hAnsi="Times New Roman" w:cs="Times New Roman"/>
          <w:b/>
        </w:rPr>
        <w:fldChar w:fldCharType="begin"/>
      </w:r>
      <w:r w:rsidRPr="00833733">
        <w:rPr>
          <w:rFonts w:ascii="Times New Roman" w:hAnsi="Times New Roman" w:cs="Times New Roman"/>
          <w:b/>
        </w:rPr>
        <w:instrText xml:space="preserve"> SEQ Carte \* ARABIC </w:instrText>
      </w:r>
      <w:r w:rsidRPr="00833733">
        <w:rPr>
          <w:rFonts w:ascii="Times New Roman" w:hAnsi="Times New Roman" w:cs="Times New Roman"/>
          <w:b/>
        </w:rPr>
        <w:fldChar w:fldCharType="separate"/>
      </w:r>
      <w:r w:rsidR="002C6E60">
        <w:rPr>
          <w:rFonts w:ascii="Times New Roman" w:hAnsi="Times New Roman" w:cs="Times New Roman"/>
          <w:b/>
          <w:noProof/>
        </w:rPr>
        <w:t>11</w:t>
      </w:r>
      <w:r w:rsidRPr="00833733">
        <w:rPr>
          <w:rFonts w:ascii="Times New Roman" w:hAnsi="Times New Roman" w:cs="Times New Roman"/>
          <w:b/>
        </w:rPr>
        <w:fldChar w:fldCharType="end"/>
      </w:r>
      <w:r w:rsidRPr="00833733">
        <w:rPr>
          <w:rFonts w:ascii="Times New Roman" w:hAnsi="Times New Roman" w:cs="Times New Roman"/>
          <w:b/>
        </w:rPr>
        <w:t xml:space="preserve">: </w:t>
      </w:r>
      <w:r w:rsidR="007A6320" w:rsidRPr="00833733">
        <w:rPr>
          <w:rFonts w:ascii="Times New Roman" w:hAnsi="Times New Roman" w:cs="Times New Roman"/>
          <w:b/>
          <w:noProof/>
          <w:sz w:val="24"/>
          <w:szCs w:val="24"/>
          <w:u w:val="single"/>
          <w:lang w:val="pt-PT" w:eastAsia="pt-PT"/>
        </w:rPr>
        <w:drawing>
          <wp:anchor distT="0" distB="0" distL="114300" distR="114300" simplePos="0" relativeHeight="252215808" behindDoc="1" locked="0" layoutInCell="1" allowOverlap="1" wp14:anchorId="7F948E5B" wp14:editId="0126293B">
            <wp:simplePos x="0" y="0"/>
            <wp:positionH relativeFrom="page">
              <wp:posOffset>457200</wp:posOffset>
            </wp:positionH>
            <wp:positionV relativeFrom="margin">
              <wp:posOffset>-201930</wp:posOffset>
            </wp:positionV>
            <wp:extent cx="10018395" cy="5900420"/>
            <wp:effectExtent l="38100" t="38100" r="40005" b="43180"/>
            <wp:wrapTight wrapText="bothSides">
              <wp:wrapPolygon edited="0">
                <wp:start x="-82" y="-139"/>
                <wp:lineTo x="-82" y="21688"/>
                <wp:lineTo x="21645" y="21688"/>
                <wp:lineTo x="21645" y="-139"/>
                <wp:lineTo x="-82" y="-139"/>
              </wp:wrapPolygon>
            </wp:wrapTight>
            <wp:docPr id="31" name="Imag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guinee-bissau_detail_5.jpg"/>
                    <pic:cNvPicPr/>
                  </pic:nvPicPr>
                  <pic:blipFill>
                    <a:blip r:embed="rId72" cstate="email">
                      <a:extLst>
                        <a:ext uri="{28A0092B-C50C-407E-A947-70E740481C1C}">
                          <a14:useLocalDpi xmlns:a14="http://schemas.microsoft.com/office/drawing/2010/main"/>
                        </a:ext>
                      </a:extLst>
                    </a:blip>
                    <a:stretch>
                      <a:fillRect/>
                    </a:stretch>
                  </pic:blipFill>
                  <pic:spPr>
                    <a:xfrm>
                      <a:off x="0" y="0"/>
                      <a:ext cx="10018395" cy="5900420"/>
                    </a:xfrm>
                    <a:prstGeom prst="rect">
                      <a:avLst/>
                    </a:prstGeom>
                    <a:ln w="28575">
                      <a:solidFill>
                        <a:schemeClr val="accent1"/>
                      </a:solidFill>
                    </a:ln>
                  </pic:spPr>
                </pic:pic>
              </a:graphicData>
            </a:graphic>
            <wp14:sizeRelH relativeFrom="margin">
              <wp14:pctWidth>0</wp14:pctWidth>
            </wp14:sizeRelH>
            <wp14:sizeRelV relativeFrom="margin">
              <wp14:pctHeight>0</wp14:pctHeight>
            </wp14:sizeRelV>
          </wp:anchor>
        </w:drawing>
      </w:r>
      <w:bookmarkStart w:id="161" w:name="_Toc4770147"/>
      <w:r w:rsidR="001F257B" w:rsidRPr="00833733">
        <w:rPr>
          <w:rFonts w:ascii="Times New Roman" w:hAnsi="Times New Roman" w:cs="Times New Roman"/>
          <w:b/>
          <w:sz w:val="24"/>
          <w:szCs w:val="24"/>
        </w:rPr>
        <w:t>:</w:t>
      </w:r>
      <w:r w:rsidR="00F43AF4" w:rsidRPr="00833733">
        <w:rPr>
          <w:rFonts w:ascii="Times New Roman" w:hAnsi="Times New Roman" w:cs="Times New Roman"/>
          <w:b/>
          <w:sz w:val="24"/>
          <w:szCs w:val="24"/>
        </w:rPr>
        <w:t xml:space="preserve"> Carte géographique de la république de Guinée Bissau</w:t>
      </w:r>
    </w:p>
    <w:p w:rsidR="00F43AF4" w:rsidRPr="00833733" w:rsidRDefault="00F43AF4" w:rsidP="00F43AF4">
      <w:pPr>
        <w:tabs>
          <w:tab w:val="left" w:pos="4347"/>
        </w:tabs>
        <w:rPr>
          <w:rFonts w:ascii="Times New Roman" w:hAnsi="Times New Roman" w:cs="Times New Roman"/>
          <w:b/>
          <w:sz w:val="24"/>
          <w:szCs w:val="24"/>
        </w:rPr>
        <w:sectPr w:rsidR="00F43AF4" w:rsidRPr="00833733" w:rsidSect="00F43AF4">
          <w:pgSz w:w="16838" w:h="11906" w:orient="landscape"/>
          <w:pgMar w:top="1418" w:right="851" w:bottom="567" w:left="1134" w:header="284" w:footer="709" w:gutter="0"/>
          <w:cols w:space="708"/>
          <w:docGrid w:linePitch="360"/>
        </w:sectPr>
      </w:pPr>
    </w:p>
    <w:p w:rsidR="007F3DC3" w:rsidRPr="004815B9" w:rsidRDefault="004815B9" w:rsidP="004815B9">
      <w:pPr>
        <w:pStyle w:val="PargrafodaLista"/>
        <w:keepNext/>
        <w:spacing w:before="240" w:after="240"/>
        <w:ind w:left="1158" w:right="284" w:firstLine="258"/>
        <w:jc w:val="both"/>
        <w:outlineLvl w:val="2"/>
        <w:rPr>
          <w:rFonts w:ascii="Times New Roman" w:hAnsi="Times New Roman"/>
          <w:b/>
          <w:sz w:val="24"/>
          <w:szCs w:val="24"/>
          <w:lang w:val="fr-FR" w:eastAsia="fr-FR"/>
        </w:rPr>
      </w:pPr>
      <w:bookmarkStart w:id="162" w:name="_Toc535396918"/>
      <w:bookmarkStart w:id="163" w:name="_Toc6310456"/>
      <w:bookmarkStart w:id="164" w:name="_Toc51072547"/>
      <w:bookmarkEnd w:id="161"/>
      <w:r>
        <w:rPr>
          <w:rFonts w:ascii="Times New Roman" w:hAnsi="Times New Roman"/>
          <w:b/>
          <w:sz w:val="24"/>
          <w:szCs w:val="24"/>
          <w:lang w:val="fr-FR" w:eastAsia="fr-FR"/>
        </w:rPr>
        <w:lastRenderedPageBreak/>
        <w:t xml:space="preserve">5.1.1. </w:t>
      </w:r>
      <w:r w:rsidR="007F3DC3" w:rsidRPr="004815B9">
        <w:rPr>
          <w:rFonts w:ascii="Times New Roman" w:hAnsi="Times New Roman"/>
          <w:b/>
          <w:sz w:val="24"/>
          <w:szCs w:val="24"/>
          <w:lang w:val="fr-FR" w:eastAsia="fr-FR"/>
        </w:rPr>
        <w:t>Historique</w:t>
      </w:r>
      <w:bookmarkEnd w:id="162"/>
      <w:bookmarkEnd w:id="163"/>
      <w:bookmarkEnd w:id="164"/>
    </w:p>
    <w:p w:rsidR="007F3DC3" w:rsidRPr="004815B9" w:rsidRDefault="007F3DC3" w:rsidP="004815B9">
      <w:pPr>
        <w:autoSpaceDE w:val="0"/>
        <w:autoSpaceDN w:val="0"/>
        <w:adjustRightInd w:val="0"/>
        <w:spacing w:after="0" w:line="240" w:lineRule="auto"/>
        <w:ind w:left="-284"/>
        <w:jc w:val="both"/>
        <w:rPr>
          <w:rFonts w:ascii="Times New Roman" w:hAnsi="Times New Roman"/>
          <w:color w:val="000000"/>
          <w:sz w:val="24"/>
          <w:szCs w:val="24"/>
        </w:rPr>
      </w:pPr>
      <w:r w:rsidRPr="004815B9">
        <w:rPr>
          <w:rFonts w:ascii="Times New Roman" w:hAnsi="Times New Roman"/>
          <w:color w:val="000000"/>
          <w:sz w:val="24"/>
          <w:szCs w:val="24"/>
        </w:rPr>
        <w:t>Les origines de la Guinée-Bissau ne sont pas connues en grande partie à cause de manque de recherches archéologiques. Les premiers habitants de la région étaient les Felupes ou Diolas, Manjacos, Mancanhas, Balantas, Papéis et Nalu. L’un des premiers influenceurs de la Guinée a été l’empire du Mali, fondé au XIIIe siècle, qui s’est développé de l’intérieur des côtes de l’Afrique de l’Ouest. Un de ses royaumes, le Gabu, s’est étendu jusqu’à atteindre le statut d’empire et est parvenu à influencer politiquement les régions frontalières avec le Sénégal, la Gambie et la Guinée-Conakry.</w:t>
      </w:r>
    </w:p>
    <w:p w:rsidR="007F3DC3" w:rsidRPr="004815B9" w:rsidRDefault="007F3DC3" w:rsidP="004815B9">
      <w:pPr>
        <w:autoSpaceDE w:val="0"/>
        <w:autoSpaceDN w:val="0"/>
        <w:adjustRightInd w:val="0"/>
        <w:spacing w:after="0" w:line="240" w:lineRule="auto"/>
        <w:ind w:left="-284"/>
        <w:jc w:val="both"/>
        <w:rPr>
          <w:rFonts w:ascii="Times New Roman" w:hAnsi="Times New Roman"/>
          <w:color w:val="000000"/>
          <w:sz w:val="24"/>
          <w:szCs w:val="24"/>
        </w:rPr>
      </w:pPr>
    </w:p>
    <w:p w:rsidR="007F3DC3" w:rsidRPr="004815B9" w:rsidRDefault="007F3DC3" w:rsidP="004815B9">
      <w:pPr>
        <w:autoSpaceDE w:val="0"/>
        <w:autoSpaceDN w:val="0"/>
        <w:adjustRightInd w:val="0"/>
        <w:spacing w:after="0" w:line="240" w:lineRule="auto"/>
        <w:ind w:left="-284"/>
        <w:jc w:val="both"/>
        <w:rPr>
          <w:rFonts w:ascii="Times New Roman" w:hAnsi="Times New Roman"/>
          <w:color w:val="000000"/>
          <w:sz w:val="24"/>
          <w:szCs w:val="24"/>
        </w:rPr>
      </w:pPr>
      <w:r w:rsidRPr="004815B9">
        <w:rPr>
          <w:rFonts w:ascii="Times New Roman" w:hAnsi="Times New Roman"/>
          <w:color w:val="000000"/>
          <w:sz w:val="24"/>
          <w:szCs w:val="24"/>
        </w:rPr>
        <w:t>En raison de sa situation géographique côtière, de la traite des esclaves et de l'influence de la présence portugaise depuis le milieu du XVe siècle, la Guinée-Bissau a également établi des contacts avec le Cap-Vert. Les Portugais sont arrivés dans la région en 1446 et se sont installés dans de petites zones louées aux différents royaumes, plus que désignées par Rios da Guiné et de Cape Verde.</w:t>
      </w:r>
    </w:p>
    <w:p w:rsidR="007F3DC3" w:rsidRPr="004815B9" w:rsidRDefault="007F3DC3" w:rsidP="004815B9">
      <w:pPr>
        <w:autoSpaceDE w:val="0"/>
        <w:autoSpaceDN w:val="0"/>
        <w:adjustRightInd w:val="0"/>
        <w:spacing w:after="0" w:line="240" w:lineRule="auto"/>
        <w:ind w:left="-284"/>
        <w:jc w:val="both"/>
        <w:rPr>
          <w:rFonts w:ascii="Times New Roman" w:hAnsi="Times New Roman"/>
          <w:color w:val="000000"/>
          <w:sz w:val="24"/>
          <w:szCs w:val="24"/>
        </w:rPr>
      </w:pPr>
      <w:r w:rsidRPr="004815B9">
        <w:rPr>
          <w:rFonts w:ascii="Times New Roman" w:hAnsi="Times New Roman"/>
          <w:color w:val="000000"/>
          <w:sz w:val="24"/>
          <w:szCs w:val="24"/>
        </w:rPr>
        <w:t>Les fleuves de la Guinée et les îles du Cap-Vert ont été parmi les premières zones d'Afrique à être explorées par les Portugais. Le navigateur portugais Álvaro Fernandes est arrivé à Guinée en 1446 (Nuno Tristão, selon d'autres sources) et a exigé la possession du territoire. Toutefois, peu d'usines de commerce ont été établies</w:t>
      </w:r>
    </w:p>
    <w:p w:rsidR="007F3DC3" w:rsidRDefault="004815B9" w:rsidP="004815B9">
      <w:pPr>
        <w:pStyle w:val="PargrafodaLista"/>
        <w:keepNext/>
        <w:spacing w:before="240" w:after="240"/>
        <w:ind w:left="450" w:right="284" w:hanging="450"/>
        <w:jc w:val="both"/>
        <w:outlineLvl w:val="1"/>
        <w:rPr>
          <w:rFonts w:ascii="Times New Roman" w:hAnsi="Times New Roman"/>
          <w:b/>
          <w:sz w:val="24"/>
          <w:szCs w:val="24"/>
          <w:lang w:val="fr-FR" w:eastAsia="fr-FR"/>
        </w:rPr>
      </w:pPr>
      <w:bookmarkStart w:id="165" w:name="_Toc51072548"/>
      <w:bookmarkStart w:id="166" w:name="_Toc535396919"/>
      <w:bookmarkStart w:id="167" w:name="_Toc6310457"/>
      <w:r>
        <w:rPr>
          <w:rFonts w:ascii="Times New Roman" w:hAnsi="Times New Roman"/>
          <w:b/>
          <w:sz w:val="24"/>
          <w:szCs w:val="24"/>
          <w:lang w:val="fr-FR" w:eastAsia="fr-FR"/>
        </w:rPr>
        <w:t>5</w:t>
      </w:r>
      <w:r w:rsidRPr="004815B9">
        <w:rPr>
          <w:rFonts w:ascii="Times New Roman" w:hAnsi="Times New Roman"/>
          <w:b/>
          <w:sz w:val="24"/>
          <w:szCs w:val="24"/>
          <w:lang w:val="fr-FR" w:eastAsia="fr-FR"/>
        </w:rPr>
        <w:t>.3. ENVIRONNEMENT PHYSIQUE ET BIOPHYSIQUE DE LA ZONE D’INFLUENCE</w:t>
      </w:r>
      <w:bookmarkEnd w:id="165"/>
      <w:r w:rsidRPr="004815B9">
        <w:rPr>
          <w:rFonts w:ascii="Times New Roman" w:hAnsi="Times New Roman"/>
          <w:b/>
          <w:sz w:val="24"/>
          <w:szCs w:val="24"/>
          <w:lang w:val="fr-FR" w:eastAsia="fr-FR"/>
        </w:rPr>
        <w:t xml:space="preserve"> </w:t>
      </w:r>
      <w:bookmarkEnd w:id="166"/>
      <w:bookmarkEnd w:id="167"/>
    </w:p>
    <w:p w:rsidR="002D4EA0" w:rsidRDefault="002D4EA0" w:rsidP="002D4EA0">
      <w:pPr>
        <w:pStyle w:val="PargrafodaLista"/>
        <w:keepNext/>
        <w:spacing w:before="240" w:after="240"/>
        <w:ind w:left="450" w:right="284" w:hanging="450"/>
        <w:jc w:val="both"/>
        <w:rPr>
          <w:rFonts w:ascii="Times New Roman" w:hAnsi="Times New Roman"/>
          <w:b/>
          <w:sz w:val="24"/>
          <w:szCs w:val="24"/>
          <w:lang w:val="fr-FR" w:eastAsia="fr-FR"/>
        </w:rPr>
      </w:pPr>
    </w:p>
    <w:p w:rsidR="007F3DC3" w:rsidRPr="004815B9" w:rsidRDefault="004815B9" w:rsidP="004815B9">
      <w:pPr>
        <w:pStyle w:val="PargrafodaLista"/>
        <w:keepNext/>
        <w:spacing w:before="240" w:after="240"/>
        <w:ind w:left="1158" w:right="284" w:firstLine="258"/>
        <w:jc w:val="both"/>
        <w:outlineLvl w:val="2"/>
        <w:rPr>
          <w:rFonts w:ascii="Times New Roman" w:hAnsi="Times New Roman"/>
          <w:b/>
          <w:sz w:val="24"/>
          <w:szCs w:val="24"/>
          <w:lang w:val="fr-FR" w:eastAsia="fr-FR"/>
        </w:rPr>
      </w:pPr>
      <w:bookmarkStart w:id="168" w:name="_Toc535396922"/>
      <w:bookmarkStart w:id="169" w:name="_Toc6310460"/>
      <w:bookmarkStart w:id="170" w:name="_Toc51072549"/>
      <w:r>
        <w:rPr>
          <w:rFonts w:ascii="Times New Roman" w:hAnsi="Times New Roman"/>
          <w:b/>
          <w:sz w:val="24"/>
          <w:szCs w:val="24"/>
          <w:lang w:val="fr-FR" w:eastAsia="fr-FR"/>
        </w:rPr>
        <w:t>5.3.</w:t>
      </w:r>
      <w:r w:rsidR="007F3DC3" w:rsidRPr="004815B9">
        <w:rPr>
          <w:rFonts w:ascii="Times New Roman" w:hAnsi="Times New Roman"/>
          <w:b/>
          <w:sz w:val="24"/>
          <w:szCs w:val="24"/>
          <w:lang w:val="fr-FR" w:eastAsia="fr-FR"/>
        </w:rPr>
        <w:t>1. Le Climat</w:t>
      </w:r>
      <w:bookmarkEnd w:id="168"/>
      <w:bookmarkEnd w:id="169"/>
      <w:bookmarkEnd w:id="170"/>
    </w:p>
    <w:p w:rsidR="007F3DC3" w:rsidRPr="004815B9" w:rsidRDefault="007F3DC3" w:rsidP="004815B9">
      <w:pPr>
        <w:autoSpaceDE w:val="0"/>
        <w:autoSpaceDN w:val="0"/>
        <w:adjustRightInd w:val="0"/>
        <w:spacing w:after="0" w:line="240" w:lineRule="auto"/>
        <w:ind w:left="-284"/>
        <w:jc w:val="both"/>
        <w:rPr>
          <w:rFonts w:ascii="Times New Roman" w:hAnsi="Times New Roman"/>
          <w:color w:val="000000"/>
          <w:sz w:val="24"/>
          <w:szCs w:val="24"/>
        </w:rPr>
      </w:pPr>
      <w:r w:rsidRPr="004815B9">
        <w:rPr>
          <w:rFonts w:ascii="Times New Roman" w:hAnsi="Times New Roman"/>
          <w:color w:val="000000"/>
          <w:sz w:val="24"/>
          <w:szCs w:val="24"/>
        </w:rPr>
        <w:t>Plusieurs documents ont été exploités pour faire la caractérisation des données climatologiques de la zone du projet (Voir bibliographie en annexe 1).</w:t>
      </w:r>
    </w:p>
    <w:p w:rsidR="007F3DC3" w:rsidRPr="004815B9" w:rsidRDefault="007F3DC3" w:rsidP="004815B9">
      <w:pPr>
        <w:autoSpaceDE w:val="0"/>
        <w:autoSpaceDN w:val="0"/>
        <w:adjustRightInd w:val="0"/>
        <w:spacing w:after="0" w:line="240" w:lineRule="auto"/>
        <w:ind w:left="-284"/>
        <w:jc w:val="both"/>
        <w:rPr>
          <w:rFonts w:ascii="Times New Roman" w:hAnsi="Times New Roman"/>
          <w:color w:val="000000"/>
          <w:sz w:val="24"/>
          <w:szCs w:val="24"/>
        </w:rPr>
      </w:pPr>
      <w:r w:rsidRPr="004815B9">
        <w:rPr>
          <w:rFonts w:ascii="Times New Roman" w:hAnsi="Times New Roman"/>
          <w:color w:val="000000"/>
          <w:sz w:val="24"/>
          <w:szCs w:val="24"/>
        </w:rPr>
        <w:t>Les caractéristiques climatiques de la Guinée-Bissau résultent de la position géographique du pays. La Guinée-Bissau est située à la même distance entre l'équateur et le tropique du cancer et sur l'océan Atlantique, entre la vaste masse maritime de l'Atlantique Sud et le grand bloc continental du Sahara.</w:t>
      </w:r>
    </w:p>
    <w:p w:rsidR="007F3DC3" w:rsidRDefault="007F3DC3" w:rsidP="004815B9">
      <w:pPr>
        <w:autoSpaceDE w:val="0"/>
        <w:autoSpaceDN w:val="0"/>
        <w:adjustRightInd w:val="0"/>
        <w:spacing w:after="0" w:line="240" w:lineRule="auto"/>
        <w:ind w:left="-284"/>
        <w:jc w:val="both"/>
        <w:rPr>
          <w:rFonts w:ascii="Times New Roman" w:hAnsi="Times New Roman"/>
          <w:color w:val="000000"/>
          <w:sz w:val="24"/>
          <w:szCs w:val="24"/>
        </w:rPr>
      </w:pPr>
      <w:r w:rsidRPr="004815B9">
        <w:rPr>
          <w:rFonts w:ascii="Times New Roman" w:hAnsi="Times New Roman"/>
          <w:color w:val="000000"/>
          <w:sz w:val="24"/>
          <w:szCs w:val="24"/>
        </w:rPr>
        <w:t>Le soleil, dans son mouvement annuel, apparaît deux fois au zénith de la Guinée-Bissau, entraînant avec lui la convergence intertropicale. D'autre part, en raison d'un réchauffement inégal des masses océanique et continentale, un régime de mousson est établi. A cela s’ajoute sa position en front de mer, qui permet l’existence de deux zones climatiques, également dues à l’influence des alizés maritimes, originaires de l’anticyclone des Açores (frais et humide) et du commerce continental, le premier étant ressenti de façon intermittente dans la zone côtière de la Guinée-Bissau et le second devenant de plus en plus chaud à mesure qu’il progressait vers le Sud et L’Est.</w:t>
      </w:r>
    </w:p>
    <w:p w:rsidR="004815B9" w:rsidRPr="004815B9" w:rsidRDefault="004815B9" w:rsidP="004815B9">
      <w:pPr>
        <w:autoSpaceDE w:val="0"/>
        <w:autoSpaceDN w:val="0"/>
        <w:adjustRightInd w:val="0"/>
        <w:spacing w:after="0" w:line="240" w:lineRule="auto"/>
        <w:ind w:left="-284"/>
        <w:jc w:val="both"/>
        <w:rPr>
          <w:rFonts w:ascii="Times New Roman" w:hAnsi="Times New Roman"/>
          <w:color w:val="000000"/>
          <w:sz w:val="24"/>
          <w:szCs w:val="24"/>
        </w:rPr>
      </w:pPr>
    </w:p>
    <w:p w:rsidR="007F3DC3" w:rsidRDefault="007F3DC3" w:rsidP="004815B9">
      <w:pPr>
        <w:autoSpaceDE w:val="0"/>
        <w:autoSpaceDN w:val="0"/>
        <w:adjustRightInd w:val="0"/>
        <w:spacing w:after="0" w:line="240" w:lineRule="auto"/>
        <w:ind w:left="-284"/>
        <w:jc w:val="both"/>
        <w:rPr>
          <w:rFonts w:ascii="Times New Roman" w:hAnsi="Times New Roman"/>
          <w:color w:val="000000"/>
          <w:sz w:val="24"/>
          <w:szCs w:val="24"/>
        </w:rPr>
      </w:pPr>
      <w:r w:rsidRPr="004815B9">
        <w:rPr>
          <w:rFonts w:ascii="Times New Roman" w:hAnsi="Times New Roman"/>
          <w:color w:val="000000"/>
          <w:sz w:val="24"/>
          <w:szCs w:val="24"/>
        </w:rPr>
        <w:t>La zone du projet appartient à la zone Nord-Ouest (Bissau, Biombo, Cacheu et Oio) caractérisée par une moyenne annuelle de 1 400 à 1 800 mm.  Les températures oscillent entre 22°C et 38°C (moyenne mensuelle : 30°C) en avril et en mai (avant la période des pluies), entre 22°C et 30°C (moyenne mensuelle : 26°C) en août et septembre et entre 16°C et 32°C (moyenne mensuelle : 24°C) en décembre. Le climat de la Guinée Bissau est humide (humidité relative comprise entre 75 et 90%) dans le littoral du centre et du sud du territoire.</w:t>
      </w:r>
    </w:p>
    <w:p w:rsidR="004815B9" w:rsidRPr="004815B9" w:rsidRDefault="004815B9" w:rsidP="004815B9">
      <w:pPr>
        <w:autoSpaceDE w:val="0"/>
        <w:autoSpaceDN w:val="0"/>
        <w:adjustRightInd w:val="0"/>
        <w:spacing w:after="0" w:line="240" w:lineRule="auto"/>
        <w:ind w:left="-284"/>
        <w:jc w:val="both"/>
        <w:rPr>
          <w:rFonts w:ascii="Times New Roman" w:hAnsi="Times New Roman"/>
          <w:color w:val="000000"/>
          <w:sz w:val="24"/>
          <w:szCs w:val="24"/>
        </w:rPr>
      </w:pPr>
    </w:p>
    <w:p w:rsidR="00833733" w:rsidRDefault="007F3DC3" w:rsidP="00833733">
      <w:pPr>
        <w:autoSpaceDE w:val="0"/>
        <w:autoSpaceDN w:val="0"/>
        <w:adjustRightInd w:val="0"/>
        <w:spacing w:after="0" w:line="240" w:lineRule="auto"/>
        <w:ind w:left="-284"/>
        <w:jc w:val="both"/>
        <w:rPr>
          <w:rFonts w:ascii="Times New Roman" w:hAnsi="Times New Roman"/>
          <w:color w:val="000000"/>
          <w:sz w:val="24"/>
          <w:szCs w:val="24"/>
        </w:rPr>
      </w:pPr>
      <w:r w:rsidRPr="004815B9">
        <w:rPr>
          <w:rFonts w:ascii="Times New Roman" w:hAnsi="Times New Roman"/>
          <w:color w:val="000000"/>
          <w:sz w:val="24"/>
          <w:szCs w:val="24"/>
        </w:rPr>
        <w:t>Le diagramme 1 ci-dessous donne les températures et précipitations moyennes, la "maximale moyenne quotidienne" (ligne rouge continue) montre la température maximale moyenne d'un jour pour chaque mois pour Bissau. De même, « minimale moyenne quotidienne" (ligne bleu continue) montre la moyenne de la température minimale. Les jours chauds et les nuits froides (lignes bleues et rouges en pointillé) montrent la moyenne de la plus chaude journée et la plus froide nuit de chaque mois des 30 dernières années.</w:t>
      </w:r>
    </w:p>
    <w:p w:rsidR="007F3DC3" w:rsidRPr="00833733" w:rsidRDefault="007F3DC3" w:rsidP="00833733">
      <w:pPr>
        <w:autoSpaceDE w:val="0"/>
        <w:autoSpaceDN w:val="0"/>
        <w:adjustRightInd w:val="0"/>
        <w:spacing w:after="0" w:line="240" w:lineRule="auto"/>
        <w:ind w:left="-284"/>
        <w:jc w:val="both"/>
        <w:rPr>
          <w:rFonts w:ascii="Times New Roman" w:hAnsi="Times New Roman"/>
          <w:color w:val="000000"/>
          <w:sz w:val="24"/>
          <w:szCs w:val="24"/>
        </w:rPr>
      </w:pPr>
      <w:r>
        <w:rPr>
          <w:rFonts w:ascii="Times New Roman" w:eastAsia="Times New Roman" w:hAnsi="Times New Roman" w:cs="Times New Roman"/>
          <w:noProof/>
          <w:color w:val="000000"/>
          <w:sz w:val="24"/>
          <w:szCs w:val="24"/>
          <w:lang w:val="pt-PT" w:eastAsia="pt-PT"/>
        </w:rPr>
        <w:lastRenderedPageBreak/>
        <w:drawing>
          <wp:anchor distT="0" distB="0" distL="114300" distR="114300" simplePos="0" relativeHeight="252207616" behindDoc="1" locked="0" layoutInCell="1" allowOverlap="1" wp14:anchorId="30086CC3" wp14:editId="4E4154C0">
            <wp:simplePos x="0" y="0"/>
            <wp:positionH relativeFrom="column">
              <wp:posOffset>-113030</wp:posOffset>
            </wp:positionH>
            <wp:positionV relativeFrom="paragraph">
              <wp:posOffset>66675</wp:posOffset>
            </wp:positionV>
            <wp:extent cx="6245860" cy="3257550"/>
            <wp:effectExtent l="19050" t="19050" r="21590" b="19050"/>
            <wp:wrapTight wrapText="bothSides">
              <wp:wrapPolygon edited="0">
                <wp:start x="-66" y="-126"/>
                <wp:lineTo x="-66" y="21600"/>
                <wp:lineTo x="21609" y="21600"/>
                <wp:lineTo x="21609" y="-126"/>
                <wp:lineTo x="-66" y="-126"/>
              </wp:wrapPolygon>
            </wp:wrapTight>
            <wp:docPr id="40" name="Imag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PNG"/>
                    <pic:cNvPicPr/>
                  </pic:nvPicPr>
                  <pic:blipFill>
                    <a:blip r:embed="rId73" cstate="email">
                      <a:extLst>
                        <a:ext uri="{28A0092B-C50C-407E-A947-70E740481C1C}">
                          <a14:useLocalDpi xmlns:a14="http://schemas.microsoft.com/office/drawing/2010/main"/>
                        </a:ext>
                      </a:extLst>
                    </a:blip>
                    <a:stretch>
                      <a:fillRect/>
                    </a:stretch>
                  </pic:blipFill>
                  <pic:spPr>
                    <a:xfrm>
                      <a:off x="0" y="0"/>
                      <a:ext cx="6245860" cy="3257550"/>
                    </a:xfrm>
                    <a:prstGeom prst="rect">
                      <a:avLst/>
                    </a:prstGeom>
                    <a:ln>
                      <a:solidFill>
                        <a:schemeClr val="accent1"/>
                      </a:solidFill>
                    </a:ln>
                  </pic:spPr>
                </pic:pic>
              </a:graphicData>
            </a:graphic>
            <wp14:sizeRelH relativeFrom="margin">
              <wp14:pctWidth>0</wp14:pctWidth>
            </wp14:sizeRelH>
            <wp14:sizeRelV relativeFrom="margin">
              <wp14:pctHeight>0</wp14:pctHeight>
            </wp14:sizeRelV>
          </wp:anchor>
        </w:drawing>
      </w:r>
      <w:r>
        <w:rPr>
          <w:rFonts w:ascii="Arial" w:hAnsi="Arial" w:cs="Arial"/>
          <w:color w:val="2E2E2E"/>
          <w:sz w:val="21"/>
          <w:szCs w:val="21"/>
          <w:shd w:val="clear" w:color="auto" w:fill="F8F8F8"/>
        </w:rPr>
        <w:t xml:space="preserve">Source : </w:t>
      </w:r>
      <w:hyperlink r:id="rId74" w:history="1">
        <w:r w:rsidRPr="00192FF9">
          <w:rPr>
            <w:rStyle w:val="Hiperligao"/>
            <w:rFonts w:ascii="Arial" w:hAnsi="Arial" w:cs="Arial"/>
            <w:sz w:val="21"/>
            <w:szCs w:val="21"/>
            <w:shd w:val="clear" w:color="auto" w:fill="F8F8F8"/>
          </w:rPr>
          <w:t>www.meteoblue.com/fr/meteo/prevision/modelclimate/bissau_guinée-bissau</w:t>
        </w:r>
      </w:hyperlink>
      <w:r>
        <w:rPr>
          <w:rFonts w:ascii="Arial" w:hAnsi="Arial" w:cs="Arial"/>
          <w:color w:val="2E2E2E"/>
          <w:sz w:val="21"/>
          <w:szCs w:val="21"/>
          <w:shd w:val="clear" w:color="auto" w:fill="F8F8F8"/>
        </w:rPr>
        <w:t xml:space="preserve"> (2018)</w:t>
      </w:r>
    </w:p>
    <w:p w:rsidR="007F3DC3" w:rsidRPr="005813D2" w:rsidRDefault="007F3DC3" w:rsidP="007F3DC3">
      <w:pPr>
        <w:pStyle w:val="Legenda"/>
        <w:rPr>
          <w:rFonts w:ascii="Times New Roman" w:hAnsi="Times New Roman" w:cs="Times New Roman"/>
          <w:color w:val="auto"/>
          <w:lang w:val="fr-FR"/>
        </w:rPr>
      </w:pPr>
      <w:r w:rsidRPr="005813D2">
        <w:rPr>
          <w:rFonts w:ascii="Times New Roman" w:hAnsi="Times New Roman" w:cs="Times New Roman"/>
          <w:color w:val="auto"/>
          <w:lang w:val="fr-FR"/>
        </w:rPr>
        <w:t xml:space="preserve">Diagramme  </w:t>
      </w:r>
      <w:r w:rsidRPr="005813D2">
        <w:rPr>
          <w:rFonts w:ascii="Times New Roman" w:hAnsi="Times New Roman" w:cs="Times New Roman"/>
          <w:color w:val="auto"/>
        </w:rPr>
        <w:fldChar w:fldCharType="begin"/>
      </w:r>
      <w:r w:rsidRPr="005813D2">
        <w:rPr>
          <w:rFonts w:ascii="Times New Roman" w:hAnsi="Times New Roman" w:cs="Times New Roman"/>
          <w:color w:val="auto"/>
          <w:lang w:val="fr-FR"/>
        </w:rPr>
        <w:instrText xml:space="preserve"> SEQ Diagramme_ \* ARABIC </w:instrText>
      </w:r>
      <w:r w:rsidRPr="005813D2">
        <w:rPr>
          <w:rFonts w:ascii="Times New Roman" w:hAnsi="Times New Roman" w:cs="Times New Roman"/>
          <w:color w:val="auto"/>
        </w:rPr>
        <w:fldChar w:fldCharType="separate"/>
      </w:r>
      <w:r w:rsidR="002C6E60">
        <w:rPr>
          <w:rFonts w:ascii="Times New Roman" w:hAnsi="Times New Roman" w:cs="Times New Roman"/>
          <w:noProof/>
          <w:color w:val="auto"/>
          <w:lang w:val="fr-FR"/>
        </w:rPr>
        <w:t>1</w:t>
      </w:r>
      <w:r w:rsidRPr="005813D2">
        <w:rPr>
          <w:rFonts w:ascii="Times New Roman" w:hAnsi="Times New Roman" w:cs="Times New Roman"/>
          <w:color w:val="auto"/>
        </w:rPr>
        <w:fldChar w:fldCharType="end"/>
      </w:r>
      <w:r w:rsidRPr="005813D2">
        <w:rPr>
          <w:rFonts w:ascii="Times New Roman" w:hAnsi="Times New Roman" w:cs="Times New Roman"/>
          <w:color w:val="auto"/>
          <w:lang w:val="fr-FR"/>
        </w:rPr>
        <w:t>: Températures et précipitations moyennes</w:t>
      </w:r>
    </w:p>
    <w:p w:rsidR="007F3DC3" w:rsidRPr="00F46EDB" w:rsidRDefault="007F3DC3" w:rsidP="007F3DC3">
      <w:pPr>
        <w:spacing w:before="100" w:beforeAutospacing="1" w:after="100" w:afterAutospacing="1" w:line="240" w:lineRule="auto"/>
        <w:jc w:val="both"/>
        <w:rPr>
          <w:rFonts w:ascii="Times New Roman" w:eastAsia="Times New Roman" w:hAnsi="Times New Roman" w:cs="Times New Roman"/>
          <w:color w:val="000000"/>
          <w:sz w:val="24"/>
          <w:szCs w:val="24"/>
          <w:lang w:eastAsia="fr-FR"/>
        </w:rPr>
      </w:pPr>
      <w:r w:rsidRPr="00C7774C">
        <w:rPr>
          <w:rFonts w:ascii="Times New Roman" w:eastAsia="Times New Roman" w:hAnsi="Times New Roman" w:cs="Times New Roman"/>
          <w:color w:val="000000"/>
          <w:sz w:val="24"/>
          <w:szCs w:val="24"/>
          <w:lang w:eastAsia="fr-FR"/>
        </w:rPr>
        <w:t>Le diagramme</w:t>
      </w:r>
      <w:r>
        <w:rPr>
          <w:rFonts w:ascii="Times New Roman" w:eastAsia="Times New Roman" w:hAnsi="Times New Roman" w:cs="Times New Roman"/>
          <w:color w:val="000000"/>
          <w:sz w:val="24"/>
          <w:szCs w:val="24"/>
          <w:lang w:eastAsia="fr-FR"/>
        </w:rPr>
        <w:t xml:space="preserve"> 2</w:t>
      </w:r>
      <w:r w:rsidRPr="00F46EDB">
        <w:rPr>
          <w:rFonts w:ascii="Times New Roman" w:eastAsia="Times New Roman" w:hAnsi="Times New Roman" w:cs="Times New Roman"/>
          <w:color w:val="000000"/>
          <w:sz w:val="24"/>
          <w:szCs w:val="24"/>
          <w:lang w:eastAsia="fr-FR"/>
        </w:rPr>
        <w:t xml:space="preserve"> </w:t>
      </w:r>
      <w:r>
        <w:rPr>
          <w:rFonts w:ascii="Times New Roman" w:eastAsia="Times New Roman" w:hAnsi="Times New Roman" w:cs="Times New Roman"/>
          <w:color w:val="000000"/>
          <w:sz w:val="24"/>
          <w:szCs w:val="24"/>
          <w:lang w:eastAsia="fr-FR"/>
        </w:rPr>
        <w:t>(</w:t>
      </w:r>
      <w:r w:rsidRPr="00F46EDB">
        <w:rPr>
          <w:rFonts w:ascii="Times New Roman" w:eastAsia="Times New Roman" w:hAnsi="Times New Roman" w:cs="Times New Roman"/>
          <w:color w:val="000000"/>
          <w:sz w:val="24"/>
          <w:szCs w:val="24"/>
          <w:lang w:eastAsia="fr-FR"/>
        </w:rPr>
        <w:t>Vitesse du vent</w:t>
      </w:r>
      <w:r>
        <w:rPr>
          <w:rFonts w:ascii="Times New Roman" w:eastAsia="Times New Roman" w:hAnsi="Times New Roman" w:cs="Times New Roman"/>
          <w:color w:val="000000"/>
          <w:sz w:val="24"/>
          <w:szCs w:val="24"/>
          <w:lang w:eastAsia="fr-FR"/>
        </w:rPr>
        <w:t>)</w:t>
      </w:r>
      <w:r w:rsidRPr="00C7774C">
        <w:rPr>
          <w:rFonts w:ascii="Times New Roman" w:eastAsia="Times New Roman" w:hAnsi="Times New Roman" w:cs="Times New Roman"/>
          <w:color w:val="000000"/>
          <w:sz w:val="24"/>
          <w:szCs w:val="24"/>
          <w:lang w:eastAsia="fr-FR"/>
        </w:rPr>
        <w:t xml:space="preserve"> montre les jours par mois, pendant lesquels le vent atteint une certaine vitesse</w:t>
      </w:r>
      <w:r>
        <w:rPr>
          <w:rFonts w:ascii="Times New Roman" w:eastAsia="Times New Roman" w:hAnsi="Times New Roman" w:cs="Times New Roman"/>
          <w:color w:val="000000"/>
          <w:sz w:val="24"/>
          <w:szCs w:val="24"/>
          <w:lang w:eastAsia="fr-FR"/>
        </w:rPr>
        <w:t xml:space="preserve"> en Guinée Bissau.</w:t>
      </w:r>
    </w:p>
    <w:p w:rsidR="007F3DC3" w:rsidRDefault="007F3DC3" w:rsidP="007F3DC3">
      <w:pPr>
        <w:spacing w:before="100" w:beforeAutospacing="1" w:after="100" w:afterAutospacing="1" w:line="240" w:lineRule="auto"/>
        <w:jc w:val="both"/>
        <w:rPr>
          <w:rFonts w:ascii="Times New Roman" w:eastAsia="Times New Roman" w:hAnsi="Times New Roman" w:cs="Times New Roman"/>
          <w:color w:val="000000"/>
          <w:sz w:val="24"/>
          <w:szCs w:val="24"/>
          <w:lang w:eastAsia="fr-FR"/>
        </w:rPr>
      </w:pPr>
      <w:r>
        <w:rPr>
          <w:rFonts w:ascii="Times New Roman" w:eastAsia="Times New Roman" w:hAnsi="Times New Roman" w:cs="Times New Roman"/>
          <w:noProof/>
          <w:color w:val="000000"/>
          <w:sz w:val="24"/>
          <w:szCs w:val="24"/>
          <w:lang w:val="pt-PT" w:eastAsia="pt-PT"/>
        </w:rPr>
        <w:drawing>
          <wp:inline distT="0" distB="0" distL="0" distR="0" wp14:anchorId="3B5D1BE9" wp14:editId="7E0486D1">
            <wp:extent cx="6301105" cy="3422650"/>
            <wp:effectExtent l="19050" t="19050" r="23495" b="2540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E.PNG"/>
                    <pic:cNvPicPr/>
                  </pic:nvPicPr>
                  <pic:blipFill>
                    <a:blip r:embed="rId75" cstate="email">
                      <a:extLst>
                        <a:ext uri="{28A0092B-C50C-407E-A947-70E740481C1C}">
                          <a14:useLocalDpi xmlns:a14="http://schemas.microsoft.com/office/drawing/2010/main"/>
                        </a:ext>
                      </a:extLst>
                    </a:blip>
                    <a:stretch>
                      <a:fillRect/>
                    </a:stretch>
                  </pic:blipFill>
                  <pic:spPr>
                    <a:xfrm>
                      <a:off x="0" y="0"/>
                      <a:ext cx="6301105" cy="3422650"/>
                    </a:xfrm>
                    <a:prstGeom prst="rect">
                      <a:avLst/>
                    </a:prstGeom>
                    <a:ln>
                      <a:solidFill>
                        <a:schemeClr val="accent1"/>
                      </a:solidFill>
                    </a:ln>
                  </pic:spPr>
                </pic:pic>
              </a:graphicData>
            </a:graphic>
          </wp:inline>
        </w:drawing>
      </w:r>
      <w:r w:rsidRPr="00C7774C">
        <w:rPr>
          <w:rFonts w:ascii="Times New Roman" w:eastAsia="Times New Roman" w:hAnsi="Times New Roman" w:cs="Times New Roman"/>
          <w:color w:val="000000"/>
          <w:sz w:val="24"/>
          <w:szCs w:val="24"/>
          <w:lang w:eastAsia="fr-FR"/>
        </w:rPr>
        <w:t xml:space="preserve">Source : </w:t>
      </w:r>
      <w:hyperlink r:id="rId76" w:history="1">
        <w:r w:rsidRPr="00C7774C">
          <w:rPr>
            <w:rFonts w:ascii="Times New Roman" w:eastAsia="Times New Roman" w:hAnsi="Times New Roman" w:cs="Times New Roman"/>
            <w:color w:val="000000"/>
            <w:sz w:val="24"/>
            <w:szCs w:val="24"/>
            <w:lang w:eastAsia="fr-FR"/>
          </w:rPr>
          <w:t>www.meteoblue.com/fr/meteo/prevision/modelclimate/bissau_guinée-bissau</w:t>
        </w:r>
      </w:hyperlink>
      <w:r w:rsidRPr="00C7774C">
        <w:rPr>
          <w:rFonts w:ascii="Times New Roman" w:eastAsia="Times New Roman" w:hAnsi="Times New Roman" w:cs="Times New Roman"/>
          <w:color w:val="000000"/>
          <w:sz w:val="24"/>
          <w:szCs w:val="24"/>
          <w:lang w:eastAsia="fr-FR"/>
        </w:rPr>
        <w:t xml:space="preserve"> (2018)</w:t>
      </w:r>
    </w:p>
    <w:p w:rsidR="007F3DC3" w:rsidRPr="00C7774C" w:rsidRDefault="007F3DC3" w:rsidP="007F3DC3">
      <w:pPr>
        <w:pStyle w:val="Legenda"/>
        <w:rPr>
          <w:color w:val="auto"/>
          <w:lang w:val="fr-FR"/>
        </w:rPr>
      </w:pPr>
      <w:r w:rsidRPr="00C7774C">
        <w:rPr>
          <w:color w:val="auto"/>
          <w:lang w:val="fr-FR"/>
        </w:rPr>
        <w:t xml:space="preserve">Diagramme  </w:t>
      </w:r>
      <w:r w:rsidRPr="00C7774C">
        <w:rPr>
          <w:color w:val="auto"/>
        </w:rPr>
        <w:fldChar w:fldCharType="begin"/>
      </w:r>
      <w:r w:rsidRPr="00C7774C">
        <w:rPr>
          <w:color w:val="auto"/>
          <w:lang w:val="fr-FR"/>
        </w:rPr>
        <w:instrText xml:space="preserve"> SEQ Diagramme_ \* ARABIC </w:instrText>
      </w:r>
      <w:r w:rsidRPr="00C7774C">
        <w:rPr>
          <w:color w:val="auto"/>
        </w:rPr>
        <w:fldChar w:fldCharType="separate"/>
      </w:r>
      <w:r w:rsidR="00EB726E">
        <w:rPr>
          <w:noProof/>
          <w:color w:val="auto"/>
          <w:lang w:val="fr-FR"/>
        </w:rPr>
        <w:t>2</w:t>
      </w:r>
      <w:r w:rsidRPr="00C7774C">
        <w:rPr>
          <w:color w:val="auto"/>
        </w:rPr>
        <w:fldChar w:fldCharType="end"/>
      </w:r>
      <w:r w:rsidRPr="00C7774C">
        <w:rPr>
          <w:color w:val="auto"/>
          <w:lang w:val="fr-FR"/>
        </w:rPr>
        <w:t xml:space="preserve">: </w:t>
      </w:r>
      <w:r w:rsidRPr="00F46EDB">
        <w:rPr>
          <w:color w:val="auto"/>
          <w:lang w:val="fr-FR"/>
        </w:rPr>
        <w:t>Vitesse du vent</w:t>
      </w:r>
    </w:p>
    <w:p w:rsidR="007F3DC3" w:rsidRDefault="007F3DC3" w:rsidP="007F3DC3">
      <w:pPr>
        <w:spacing w:before="100" w:beforeAutospacing="1" w:after="100" w:afterAutospacing="1" w:line="240" w:lineRule="auto"/>
        <w:jc w:val="both"/>
        <w:rPr>
          <w:rFonts w:ascii="Times New Roman" w:eastAsia="Times New Roman" w:hAnsi="Times New Roman" w:cs="Times New Roman"/>
          <w:color w:val="000000"/>
          <w:sz w:val="24"/>
          <w:szCs w:val="24"/>
          <w:lang w:eastAsia="fr-FR"/>
        </w:rPr>
      </w:pPr>
      <w:r>
        <w:rPr>
          <w:rFonts w:ascii="Times New Roman" w:eastAsia="Times New Roman" w:hAnsi="Times New Roman" w:cs="Times New Roman"/>
          <w:noProof/>
          <w:color w:val="000000"/>
          <w:sz w:val="24"/>
          <w:szCs w:val="24"/>
          <w:lang w:val="pt-PT" w:eastAsia="pt-PT"/>
        </w:rPr>
        <w:lastRenderedPageBreak/>
        <w:drawing>
          <wp:anchor distT="0" distB="0" distL="114300" distR="114300" simplePos="0" relativeHeight="252209664" behindDoc="1" locked="0" layoutInCell="1" allowOverlap="1" wp14:anchorId="0EB50394" wp14:editId="5156FDC9">
            <wp:simplePos x="0" y="0"/>
            <wp:positionH relativeFrom="column">
              <wp:posOffset>1014730</wp:posOffset>
            </wp:positionH>
            <wp:positionV relativeFrom="paragraph">
              <wp:posOffset>504825</wp:posOffset>
            </wp:positionV>
            <wp:extent cx="4284345" cy="3867150"/>
            <wp:effectExtent l="19050" t="19050" r="20955" b="19050"/>
            <wp:wrapTight wrapText="bothSides">
              <wp:wrapPolygon edited="0">
                <wp:start x="-96" y="-106"/>
                <wp:lineTo x="-96" y="21600"/>
                <wp:lineTo x="21610" y="21600"/>
                <wp:lineTo x="21610" y="-106"/>
                <wp:lineTo x="-96" y="-106"/>
              </wp:wrapPolygon>
            </wp:wrapTight>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R.PNG"/>
                    <pic:cNvPicPr/>
                  </pic:nvPicPr>
                  <pic:blipFill>
                    <a:blip r:embed="rId77" cstate="email">
                      <a:extLst>
                        <a:ext uri="{28A0092B-C50C-407E-A947-70E740481C1C}">
                          <a14:useLocalDpi xmlns:a14="http://schemas.microsoft.com/office/drawing/2010/main"/>
                        </a:ext>
                      </a:extLst>
                    </a:blip>
                    <a:stretch>
                      <a:fillRect/>
                    </a:stretch>
                  </pic:blipFill>
                  <pic:spPr>
                    <a:xfrm>
                      <a:off x="0" y="0"/>
                      <a:ext cx="4284345" cy="3867150"/>
                    </a:xfrm>
                    <a:prstGeom prst="rect">
                      <a:avLst/>
                    </a:prstGeom>
                    <a:ln>
                      <a:solidFill>
                        <a:schemeClr val="accent1"/>
                      </a:solidFill>
                    </a:ln>
                  </pic:spPr>
                </pic:pic>
              </a:graphicData>
            </a:graphic>
            <wp14:sizeRelH relativeFrom="margin">
              <wp14:pctWidth>0</wp14:pctWidth>
            </wp14:sizeRelH>
            <wp14:sizeRelV relativeFrom="margin">
              <wp14:pctHeight>0</wp14:pctHeight>
            </wp14:sizeRelV>
          </wp:anchor>
        </w:drawing>
      </w:r>
      <w:r w:rsidRPr="00C7774C">
        <w:rPr>
          <w:rFonts w:ascii="Times New Roman" w:eastAsia="Times New Roman" w:hAnsi="Times New Roman" w:cs="Times New Roman"/>
          <w:color w:val="000000"/>
          <w:sz w:val="24"/>
          <w:szCs w:val="24"/>
          <w:lang w:eastAsia="fr-FR"/>
        </w:rPr>
        <w:t xml:space="preserve">La Rose des Vents pour </w:t>
      </w:r>
      <w:r>
        <w:rPr>
          <w:rFonts w:ascii="Times New Roman" w:eastAsia="Times New Roman" w:hAnsi="Times New Roman" w:cs="Times New Roman"/>
          <w:color w:val="000000"/>
          <w:sz w:val="24"/>
          <w:szCs w:val="24"/>
          <w:lang w:eastAsia="fr-FR"/>
        </w:rPr>
        <w:t xml:space="preserve">la Guinée </w:t>
      </w:r>
      <w:r w:rsidRPr="00C7774C">
        <w:rPr>
          <w:rFonts w:ascii="Times New Roman" w:eastAsia="Times New Roman" w:hAnsi="Times New Roman" w:cs="Times New Roman"/>
          <w:color w:val="000000"/>
          <w:sz w:val="24"/>
          <w:szCs w:val="24"/>
          <w:lang w:eastAsia="fr-FR"/>
        </w:rPr>
        <w:t>Bissau montre combien d'heures par an le vent souffle dans la direction indiquée. Exemple SO : Le vent souffle du sud-ouest (SO) au nord-est (NE). </w:t>
      </w:r>
    </w:p>
    <w:p w:rsidR="007F3DC3" w:rsidRDefault="007F3DC3" w:rsidP="007F3DC3">
      <w:pPr>
        <w:spacing w:before="100" w:beforeAutospacing="1" w:after="100" w:afterAutospacing="1" w:line="240" w:lineRule="auto"/>
        <w:jc w:val="both"/>
        <w:rPr>
          <w:rFonts w:ascii="Times New Roman" w:eastAsia="Times New Roman" w:hAnsi="Times New Roman" w:cs="Times New Roman"/>
          <w:color w:val="000000"/>
          <w:sz w:val="24"/>
          <w:szCs w:val="24"/>
          <w:lang w:eastAsia="fr-FR"/>
        </w:rPr>
      </w:pPr>
    </w:p>
    <w:p w:rsidR="007F3DC3" w:rsidRDefault="007F3DC3" w:rsidP="007F3DC3">
      <w:pPr>
        <w:spacing w:before="100" w:beforeAutospacing="1" w:after="100" w:afterAutospacing="1" w:line="240" w:lineRule="auto"/>
        <w:jc w:val="both"/>
        <w:rPr>
          <w:rFonts w:ascii="Times New Roman" w:eastAsia="Times New Roman" w:hAnsi="Times New Roman" w:cs="Times New Roman"/>
          <w:color w:val="000000"/>
          <w:sz w:val="24"/>
          <w:szCs w:val="24"/>
          <w:lang w:eastAsia="fr-FR"/>
        </w:rPr>
      </w:pPr>
    </w:p>
    <w:p w:rsidR="007F3DC3" w:rsidRDefault="007F3DC3" w:rsidP="007F3DC3">
      <w:pPr>
        <w:spacing w:before="100" w:beforeAutospacing="1" w:after="100" w:afterAutospacing="1" w:line="240" w:lineRule="auto"/>
        <w:jc w:val="both"/>
        <w:rPr>
          <w:rFonts w:ascii="Times New Roman" w:eastAsia="Times New Roman" w:hAnsi="Times New Roman" w:cs="Times New Roman"/>
          <w:color w:val="000000"/>
          <w:sz w:val="24"/>
          <w:szCs w:val="24"/>
          <w:lang w:eastAsia="fr-FR"/>
        </w:rPr>
      </w:pPr>
    </w:p>
    <w:p w:rsidR="007F3DC3" w:rsidRDefault="007F3DC3" w:rsidP="007F3DC3">
      <w:pPr>
        <w:spacing w:before="100" w:beforeAutospacing="1" w:after="100" w:afterAutospacing="1" w:line="240" w:lineRule="auto"/>
        <w:jc w:val="both"/>
        <w:rPr>
          <w:rFonts w:ascii="Times New Roman" w:eastAsia="Times New Roman" w:hAnsi="Times New Roman" w:cs="Times New Roman"/>
          <w:color w:val="000000"/>
          <w:sz w:val="24"/>
          <w:szCs w:val="24"/>
          <w:lang w:eastAsia="fr-FR"/>
        </w:rPr>
      </w:pPr>
    </w:p>
    <w:p w:rsidR="007F3DC3" w:rsidRDefault="007F3DC3" w:rsidP="007F3DC3">
      <w:pPr>
        <w:spacing w:before="100" w:beforeAutospacing="1" w:after="100" w:afterAutospacing="1" w:line="240" w:lineRule="auto"/>
        <w:jc w:val="both"/>
        <w:rPr>
          <w:rFonts w:ascii="Times New Roman" w:eastAsia="Times New Roman" w:hAnsi="Times New Roman" w:cs="Times New Roman"/>
          <w:color w:val="000000"/>
          <w:sz w:val="24"/>
          <w:szCs w:val="24"/>
          <w:lang w:eastAsia="fr-FR"/>
        </w:rPr>
      </w:pPr>
    </w:p>
    <w:p w:rsidR="007F3DC3" w:rsidRDefault="007F3DC3" w:rsidP="007F3DC3">
      <w:pPr>
        <w:spacing w:before="100" w:beforeAutospacing="1" w:after="100" w:afterAutospacing="1" w:line="240" w:lineRule="auto"/>
        <w:jc w:val="both"/>
        <w:rPr>
          <w:rFonts w:ascii="Times New Roman" w:eastAsia="Times New Roman" w:hAnsi="Times New Roman" w:cs="Times New Roman"/>
          <w:color w:val="000000"/>
          <w:sz w:val="24"/>
          <w:szCs w:val="24"/>
          <w:lang w:eastAsia="fr-FR"/>
        </w:rPr>
      </w:pPr>
    </w:p>
    <w:p w:rsidR="007F3DC3" w:rsidRDefault="007F3DC3" w:rsidP="007F3DC3">
      <w:pPr>
        <w:spacing w:before="100" w:beforeAutospacing="1" w:after="100" w:afterAutospacing="1" w:line="240" w:lineRule="auto"/>
        <w:jc w:val="both"/>
        <w:rPr>
          <w:rFonts w:ascii="Times New Roman" w:eastAsia="Times New Roman" w:hAnsi="Times New Roman" w:cs="Times New Roman"/>
          <w:color w:val="000000"/>
          <w:sz w:val="24"/>
          <w:szCs w:val="24"/>
          <w:lang w:eastAsia="fr-FR"/>
        </w:rPr>
      </w:pPr>
    </w:p>
    <w:p w:rsidR="007F3DC3" w:rsidRDefault="007F3DC3" w:rsidP="007F3DC3">
      <w:pPr>
        <w:spacing w:before="100" w:beforeAutospacing="1" w:after="100" w:afterAutospacing="1" w:line="240" w:lineRule="auto"/>
        <w:jc w:val="both"/>
        <w:rPr>
          <w:rFonts w:ascii="Times New Roman" w:eastAsia="Times New Roman" w:hAnsi="Times New Roman" w:cs="Times New Roman"/>
          <w:color w:val="000000"/>
          <w:sz w:val="24"/>
          <w:szCs w:val="24"/>
          <w:lang w:eastAsia="fr-FR"/>
        </w:rPr>
      </w:pPr>
    </w:p>
    <w:p w:rsidR="007F3DC3" w:rsidRDefault="007F3DC3" w:rsidP="007F3DC3">
      <w:pPr>
        <w:spacing w:before="100" w:beforeAutospacing="1" w:after="100" w:afterAutospacing="1" w:line="240" w:lineRule="auto"/>
        <w:jc w:val="both"/>
        <w:rPr>
          <w:rFonts w:ascii="Times New Roman" w:eastAsia="Times New Roman" w:hAnsi="Times New Roman" w:cs="Times New Roman"/>
          <w:color w:val="000000"/>
          <w:sz w:val="24"/>
          <w:szCs w:val="24"/>
          <w:lang w:eastAsia="fr-FR"/>
        </w:rPr>
      </w:pPr>
    </w:p>
    <w:p w:rsidR="007F3DC3" w:rsidRDefault="007F3DC3" w:rsidP="007F3DC3">
      <w:pPr>
        <w:spacing w:before="100" w:beforeAutospacing="1" w:after="100" w:afterAutospacing="1" w:line="240" w:lineRule="auto"/>
        <w:jc w:val="both"/>
        <w:rPr>
          <w:rFonts w:ascii="Times New Roman" w:eastAsia="Times New Roman" w:hAnsi="Times New Roman" w:cs="Times New Roman"/>
          <w:color w:val="000000"/>
          <w:sz w:val="24"/>
          <w:szCs w:val="24"/>
          <w:lang w:eastAsia="fr-FR"/>
        </w:rPr>
      </w:pPr>
    </w:p>
    <w:p w:rsidR="007F3DC3" w:rsidRDefault="007F3DC3" w:rsidP="007F3DC3">
      <w:pPr>
        <w:spacing w:before="100" w:beforeAutospacing="1" w:after="100" w:afterAutospacing="1" w:line="240" w:lineRule="auto"/>
        <w:jc w:val="both"/>
        <w:rPr>
          <w:rFonts w:ascii="Times New Roman" w:eastAsia="Times New Roman" w:hAnsi="Times New Roman" w:cs="Times New Roman"/>
          <w:color w:val="000000"/>
          <w:sz w:val="24"/>
          <w:szCs w:val="24"/>
          <w:lang w:eastAsia="fr-FR"/>
        </w:rPr>
      </w:pPr>
    </w:p>
    <w:p w:rsidR="007F3DC3" w:rsidRDefault="007F3DC3" w:rsidP="007F3DC3">
      <w:pPr>
        <w:spacing w:before="100" w:beforeAutospacing="1" w:after="100" w:afterAutospacing="1" w:line="240" w:lineRule="auto"/>
        <w:jc w:val="both"/>
        <w:rPr>
          <w:rFonts w:ascii="Times New Roman" w:eastAsia="Times New Roman" w:hAnsi="Times New Roman" w:cs="Times New Roman"/>
          <w:color w:val="000000"/>
          <w:sz w:val="24"/>
          <w:szCs w:val="24"/>
          <w:lang w:eastAsia="fr-FR"/>
        </w:rPr>
      </w:pPr>
      <w:r>
        <w:rPr>
          <w:rFonts w:ascii="Arial" w:hAnsi="Arial" w:cs="Arial"/>
          <w:color w:val="2E2E2E"/>
          <w:sz w:val="21"/>
          <w:szCs w:val="21"/>
          <w:shd w:val="clear" w:color="auto" w:fill="F8F8F8"/>
        </w:rPr>
        <w:t xml:space="preserve">Source : </w:t>
      </w:r>
      <w:hyperlink r:id="rId78" w:history="1">
        <w:r w:rsidRPr="00192FF9">
          <w:rPr>
            <w:rStyle w:val="Hiperligao"/>
            <w:rFonts w:ascii="Arial" w:hAnsi="Arial" w:cs="Arial"/>
            <w:sz w:val="21"/>
            <w:szCs w:val="21"/>
            <w:shd w:val="clear" w:color="auto" w:fill="F8F8F8"/>
          </w:rPr>
          <w:t>www.meteoblue.com/fr/meteo/prevision/modelclimate/bissau_guinée-bissau</w:t>
        </w:r>
      </w:hyperlink>
      <w:r>
        <w:rPr>
          <w:rFonts w:ascii="Arial" w:hAnsi="Arial" w:cs="Arial"/>
          <w:color w:val="2E2E2E"/>
          <w:sz w:val="21"/>
          <w:szCs w:val="21"/>
          <w:shd w:val="clear" w:color="auto" w:fill="F8F8F8"/>
        </w:rPr>
        <w:t xml:space="preserve"> (2018)</w:t>
      </w:r>
    </w:p>
    <w:p w:rsidR="007F3DC3" w:rsidRPr="002C1AB1" w:rsidRDefault="007F3DC3" w:rsidP="007F3DC3">
      <w:pPr>
        <w:pStyle w:val="Legenda"/>
        <w:rPr>
          <w:color w:val="auto"/>
          <w:lang w:val="fr-FR"/>
        </w:rPr>
      </w:pPr>
      <w:r w:rsidRPr="00C7774C">
        <w:rPr>
          <w:color w:val="auto"/>
          <w:lang w:val="fr-FR"/>
        </w:rPr>
        <w:t xml:space="preserve">Diagramme  </w:t>
      </w:r>
      <w:r w:rsidRPr="00C7774C">
        <w:rPr>
          <w:color w:val="auto"/>
        </w:rPr>
        <w:fldChar w:fldCharType="begin"/>
      </w:r>
      <w:r w:rsidRPr="00C7774C">
        <w:rPr>
          <w:color w:val="auto"/>
          <w:lang w:val="fr-FR"/>
        </w:rPr>
        <w:instrText xml:space="preserve"> SEQ Diagramme_ \* ARABIC </w:instrText>
      </w:r>
      <w:r w:rsidRPr="00C7774C">
        <w:rPr>
          <w:color w:val="auto"/>
        </w:rPr>
        <w:fldChar w:fldCharType="separate"/>
      </w:r>
      <w:r w:rsidR="00EB726E">
        <w:rPr>
          <w:noProof/>
          <w:color w:val="auto"/>
          <w:lang w:val="fr-FR"/>
        </w:rPr>
        <w:t>3</w:t>
      </w:r>
      <w:r w:rsidRPr="00C7774C">
        <w:rPr>
          <w:color w:val="auto"/>
        </w:rPr>
        <w:fldChar w:fldCharType="end"/>
      </w:r>
      <w:r w:rsidRPr="00C7774C">
        <w:rPr>
          <w:color w:val="auto"/>
          <w:lang w:val="fr-FR"/>
        </w:rPr>
        <w:t xml:space="preserve">: </w:t>
      </w:r>
      <w:r>
        <w:rPr>
          <w:color w:val="auto"/>
          <w:lang w:val="fr-FR"/>
        </w:rPr>
        <w:t>La Rose des Vents en</w:t>
      </w:r>
      <w:r w:rsidRPr="002C1AB1">
        <w:rPr>
          <w:color w:val="auto"/>
          <w:lang w:val="fr-FR"/>
        </w:rPr>
        <w:t xml:space="preserve"> Guinée Bissau</w:t>
      </w:r>
    </w:p>
    <w:p w:rsidR="007F3DC3" w:rsidRPr="002D4EA0" w:rsidRDefault="002D4EA0" w:rsidP="002D4EA0">
      <w:pPr>
        <w:pStyle w:val="PargrafodaLista"/>
        <w:keepNext/>
        <w:spacing w:before="240" w:after="240"/>
        <w:ind w:left="1158" w:right="284" w:firstLine="258"/>
        <w:jc w:val="both"/>
        <w:outlineLvl w:val="2"/>
        <w:rPr>
          <w:rFonts w:ascii="Times New Roman" w:hAnsi="Times New Roman"/>
          <w:b/>
          <w:sz w:val="24"/>
          <w:szCs w:val="24"/>
          <w:lang w:val="fr-FR" w:eastAsia="fr-FR"/>
        </w:rPr>
      </w:pPr>
      <w:bookmarkStart w:id="171" w:name="_Toc535396923"/>
      <w:bookmarkStart w:id="172" w:name="_Toc6310461"/>
      <w:bookmarkStart w:id="173" w:name="_Toc51072550"/>
      <w:r>
        <w:rPr>
          <w:rFonts w:ascii="Times New Roman" w:hAnsi="Times New Roman"/>
          <w:b/>
          <w:sz w:val="24"/>
          <w:szCs w:val="24"/>
          <w:lang w:val="fr-FR" w:eastAsia="fr-FR"/>
        </w:rPr>
        <w:t>5.3</w:t>
      </w:r>
      <w:r w:rsidR="007F3DC3" w:rsidRPr="002D4EA0">
        <w:rPr>
          <w:rFonts w:ascii="Times New Roman" w:hAnsi="Times New Roman"/>
          <w:b/>
          <w:sz w:val="24"/>
          <w:szCs w:val="24"/>
          <w:lang w:val="fr-FR" w:eastAsia="fr-FR"/>
        </w:rPr>
        <w:t>.2. Relief</w:t>
      </w:r>
      <w:bookmarkEnd w:id="171"/>
      <w:bookmarkEnd w:id="172"/>
      <w:bookmarkEnd w:id="173"/>
    </w:p>
    <w:p w:rsidR="007F3DC3" w:rsidRPr="004815B9" w:rsidRDefault="007F3DC3" w:rsidP="004815B9">
      <w:pPr>
        <w:autoSpaceDE w:val="0"/>
        <w:autoSpaceDN w:val="0"/>
        <w:adjustRightInd w:val="0"/>
        <w:spacing w:after="0" w:line="240" w:lineRule="auto"/>
        <w:ind w:left="-284"/>
        <w:jc w:val="both"/>
        <w:rPr>
          <w:rFonts w:ascii="Times New Roman" w:hAnsi="Times New Roman"/>
          <w:color w:val="000000"/>
          <w:sz w:val="24"/>
          <w:szCs w:val="24"/>
        </w:rPr>
      </w:pPr>
      <w:r w:rsidRPr="004815B9">
        <w:rPr>
          <w:rFonts w:ascii="Times New Roman" w:hAnsi="Times New Roman"/>
          <w:color w:val="000000"/>
          <w:sz w:val="24"/>
          <w:szCs w:val="24"/>
        </w:rPr>
        <w:t>La Guinée-Bissau présente un relief très atténué, une importante partie du pays se trouvant au-dessous du qu</w:t>
      </w:r>
      <w:r w:rsidR="00E15410">
        <w:rPr>
          <w:rFonts w:ascii="Times New Roman" w:hAnsi="Times New Roman"/>
          <w:color w:val="000000"/>
          <w:sz w:val="24"/>
          <w:szCs w:val="24"/>
        </w:rPr>
        <w:t>ota des 50 m d'altitude (Fig. 2</w:t>
      </w:r>
      <w:r w:rsidRPr="004815B9">
        <w:rPr>
          <w:rFonts w:ascii="Times New Roman" w:hAnsi="Times New Roman"/>
          <w:color w:val="000000"/>
          <w:sz w:val="24"/>
          <w:szCs w:val="24"/>
        </w:rPr>
        <w:t xml:space="preserve">). Les zones côtières nord et sud sont surtout des terres basses. Ainsi, les hautes amplitudes des marées qui se produisent et arrivent à atteindre les 6 m, exposent ainsi les larges aires des zones côtières. </w:t>
      </w:r>
    </w:p>
    <w:p w:rsidR="007F3DC3" w:rsidRPr="004815B9" w:rsidRDefault="007F3DC3" w:rsidP="004815B9">
      <w:pPr>
        <w:autoSpaceDE w:val="0"/>
        <w:autoSpaceDN w:val="0"/>
        <w:adjustRightInd w:val="0"/>
        <w:spacing w:after="0" w:line="240" w:lineRule="auto"/>
        <w:ind w:left="-284"/>
        <w:jc w:val="both"/>
        <w:rPr>
          <w:rFonts w:ascii="Times New Roman" w:hAnsi="Times New Roman"/>
          <w:color w:val="000000"/>
          <w:sz w:val="24"/>
          <w:szCs w:val="24"/>
        </w:rPr>
      </w:pPr>
      <w:r w:rsidRPr="004815B9">
        <w:rPr>
          <w:rFonts w:ascii="Times New Roman" w:hAnsi="Times New Roman"/>
          <w:color w:val="000000"/>
          <w:sz w:val="24"/>
          <w:szCs w:val="24"/>
        </w:rPr>
        <w:t xml:space="preserve">Les plaines occupent une grande partie du territoire dans les régions centre et nord-est du pays. La zone intérieure sud-est de la Guinée-Bissau est la plus accidentée avec les collines de Boé, qui représente la partie la plus élevée du territoire avec une altitude de 298 m (Mota, 1954).  Les îles de l’Archipel des Bijagos présentent une morphologie semblable à la partie continentale du pays, avec une ligne côtière assez coupée et de basses altitudes. </w:t>
      </w:r>
    </w:p>
    <w:p w:rsidR="007F3DC3" w:rsidRPr="004815B9" w:rsidRDefault="007F3DC3" w:rsidP="004815B9">
      <w:pPr>
        <w:autoSpaceDE w:val="0"/>
        <w:autoSpaceDN w:val="0"/>
        <w:adjustRightInd w:val="0"/>
        <w:spacing w:after="0" w:line="240" w:lineRule="auto"/>
        <w:ind w:left="-284"/>
        <w:jc w:val="both"/>
        <w:rPr>
          <w:rFonts w:ascii="Times New Roman" w:hAnsi="Times New Roman"/>
          <w:color w:val="000000"/>
          <w:sz w:val="24"/>
          <w:szCs w:val="24"/>
        </w:rPr>
      </w:pPr>
      <w:r w:rsidRPr="004815B9">
        <w:rPr>
          <w:rFonts w:ascii="Times New Roman" w:hAnsi="Times New Roman"/>
          <w:color w:val="000000"/>
          <w:sz w:val="24"/>
          <w:szCs w:val="24"/>
        </w:rPr>
        <w:t>La faible altitude de la majeure partie du territoire permet l’inondation de grandes extensions, des marges des cours d’eau et des plaines côtières, qui peuvent se maintenir pendant la saison des pluies ou même quelques semaines après son terme. Le même phénomène se produit fréquemment dans les plaines intérieures basses où l’écoulement superficiel est difficile et les sols sont peu perméables ou posés sur des couches imperméables.</w:t>
      </w:r>
    </w:p>
    <w:p w:rsidR="007F3DC3" w:rsidRPr="003E743A" w:rsidRDefault="007F3DC3" w:rsidP="007F3DC3">
      <w:pPr>
        <w:spacing w:before="100" w:beforeAutospacing="1" w:after="100" w:afterAutospacing="1" w:line="240" w:lineRule="auto"/>
        <w:jc w:val="both"/>
        <w:rPr>
          <w:rFonts w:ascii="Times New Roman" w:eastAsia="Times New Roman" w:hAnsi="Times New Roman" w:cs="Times New Roman"/>
          <w:color w:val="000000"/>
          <w:sz w:val="24"/>
          <w:szCs w:val="24"/>
          <w:lang w:eastAsia="fr-FR"/>
        </w:rPr>
      </w:pPr>
      <w:r w:rsidRPr="003E743A">
        <w:rPr>
          <w:rFonts w:ascii="Times New Roman" w:eastAsia="Times New Roman" w:hAnsi="Times New Roman" w:cs="Times New Roman"/>
          <w:noProof/>
          <w:color w:val="000000"/>
          <w:sz w:val="24"/>
          <w:szCs w:val="24"/>
          <w:lang w:val="pt-PT" w:eastAsia="pt-PT"/>
        </w:rPr>
        <w:lastRenderedPageBreak/>
        <w:drawing>
          <wp:inline distT="0" distB="0" distL="0" distR="0" wp14:anchorId="1152EAA1" wp14:editId="34FFD777">
            <wp:extent cx="5730949" cy="3871760"/>
            <wp:effectExtent l="0" t="0" r="3175" b="0"/>
            <wp:docPr id="87" name="Imag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carte-relief-guinee-bissau.jpg"/>
                    <pic:cNvPicPr/>
                  </pic:nvPicPr>
                  <pic:blipFill>
                    <a:blip r:embed="rId79" cstate="email">
                      <a:extLst>
                        <a:ext uri="{28A0092B-C50C-407E-A947-70E740481C1C}">
                          <a14:useLocalDpi xmlns:a14="http://schemas.microsoft.com/office/drawing/2010/main"/>
                        </a:ext>
                      </a:extLst>
                    </a:blip>
                    <a:stretch>
                      <a:fillRect/>
                    </a:stretch>
                  </pic:blipFill>
                  <pic:spPr>
                    <a:xfrm>
                      <a:off x="0" y="0"/>
                      <a:ext cx="5734878" cy="3874414"/>
                    </a:xfrm>
                    <a:prstGeom prst="rect">
                      <a:avLst/>
                    </a:prstGeom>
                  </pic:spPr>
                </pic:pic>
              </a:graphicData>
            </a:graphic>
          </wp:inline>
        </w:drawing>
      </w:r>
    </w:p>
    <w:p w:rsidR="007F3DC3" w:rsidRPr="00E06337" w:rsidRDefault="007F3DC3" w:rsidP="007F3DC3">
      <w:pPr>
        <w:spacing w:before="100" w:beforeAutospacing="1" w:after="100" w:afterAutospacing="1" w:line="240" w:lineRule="auto"/>
        <w:jc w:val="both"/>
        <w:rPr>
          <w:rFonts w:ascii="Times New Roman" w:eastAsia="Times New Roman" w:hAnsi="Times New Roman" w:cs="Times New Roman"/>
          <w:b/>
          <w:color w:val="000000"/>
          <w:sz w:val="20"/>
          <w:szCs w:val="20"/>
          <w:lang w:eastAsia="fr-FR"/>
        </w:rPr>
      </w:pPr>
      <w:r w:rsidRPr="00571EFB">
        <w:rPr>
          <w:rFonts w:ascii="Times New Roman" w:eastAsia="Times New Roman" w:hAnsi="Times New Roman" w:cs="Times New Roman"/>
          <w:b/>
          <w:color w:val="000000"/>
          <w:sz w:val="20"/>
          <w:szCs w:val="20"/>
          <w:lang w:eastAsia="fr-FR"/>
        </w:rPr>
        <w:t>Source : actualitex.com/</w:t>
      </w:r>
      <w:r w:rsidRPr="005A2A12">
        <w:rPr>
          <w:rFonts w:ascii="Times New Roman" w:eastAsia="Times New Roman" w:hAnsi="Times New Roman" w:cs="Times New Roman"/>
          <w:b/>
          <w:color w:val="000000"/>
          <w:sz w:val="20"/>
          <w:szCs w:val="20"/>
          <w:lang w:eastAsia="fr-FR"/>
        </w:rPr>
        <w:t>G</w:t>
      </w:r>
      <w:r w:rsidRPr="004E1323">
        <w:rPr>
          <w:rFonts w:ascii="Times New Roman" w:eastAsia="Times New Roman" w:hAnsi="Times New Roman" w:cs="Times New Roman"/>
          <w:b/>
          <w:color w:val="000000"/>
          <w:sz w:val="20"/>
          <w:szCs w:val="20"/>
          <w:lang w:eastAsia="fr-FR"/>
        </w:rPr>
        <w:t>uin</w:t>
      </w:r>
      <w:r w:rsidRPr="00873577">
        <w:rPr>
          <w:rFonts w:ascii="Times New Roman" w:eastAsia="Times New Roman" w:hAnsi="Times New Roman" w:cs="Times New Roman"/>
          <w:b/>
          <w:color w:val="000000"/>
          <w:sz w:val="20"/>
          <w:szCs w:val="20"/>
          <w:lang w:eastAsia="fr-FR"/>
        </w:rPr>
        <w:t>é</w:t>
      </w:r>
      <w:r w:rsidRPr="005A2A12">
        <w:rPr>
          <w:rFonts w:ascii="Times New Roman" w:eastAsia="Times New Roman" w:hAnsi="Times New Roman" w:cs="Times New Roman"/>
          <w:b/>
          <w:color w:val="000000"/>
          <w:sz w:val="20"/>
          <w:szCs w:val="20"/>
          <w:lang w:eastAsia="fr-FR"/>
        </w:rPr>
        <w:t>e-</w:t>
      </w:r>
      <w:r w:rsidRPr="004E1323">
        <w:rPr>
          <w:rFonts w:ascii="Times New Roman" w:eastAsia="Times New Roman" w:hAnsi="Times New Roman" w:cs="Times New Roman"/>
          <w:b/>
          <w:color w:val="000000"/>
          <w:sz w:val="20"/>
          <w:szCs w:val="20"/>
          <w:lang w:eastAsia="fr-FR"/>
        </w:rPr>
        <w:t>B</w:t>
      </w:r>
      <w:r w:rsidRPr="00E06337">
        <w:rPr>
          <w:rFonts w:ascii="Times New Roman" w:eastAsia="Times New Roman" w:hAnsi="Times New Roman" w:cs="Times New Roman"/>
          <w:b/>
          <w:color w:val="000000"/>
          <w:sz w:val="20"/>
          <w:szCs w:val="20"/>
          <w:lang w:eastAsia="fr-FR"/>
        </w:rPr>
        <w:t>issau</w:t>
      </w:r>
    </w:p>
    <w:p w:rsidR="007F3DC3" w:rsidRPr="003E743A" w:rsidRDefault="00E15410" w:rsidP="007F3DC3">
      <w:pPr>
        <w:pStyle w:val="Legenda"/>
        <w:rPr>
          <w:rFonts w:ascii="Times New Roman" w:eastAsia="Times New Roman" w:hAnsi="Times New Roman" w:cs="Times New Roman"/>
          <w:color w:val="auto"/>
          <w:sz w:val="20"/>
          <w:szCs w:val="20"/>
          <w:lang w:val="fr-FR"/>
        </w:rPr>
      </w:pPr>
      <w:bookmarkStart w:id="174" w:name="_Toc4770174"/>
      <w:bookmarkStart w:id="175" w:name="_Toc32512024"/>
      <w:r w:rsidRPr="00E15410">
        <w:rPr>
          <w:rFonts w:ascii="Times New Roman" w:hAnsi="Times New Roman" w:cs="Times New Roman"/>
          <w:color w:val="auto"/>
          <w:sz w:val="20"/>
          <w:szCs w:val="20"/>
          <w:lang w:val="fr-FR"/>
        </w:rPr>
        <w:t xml:space="preserve">Figure </w:t>
      </w:r>
      <w:r w:rsidRPr="00E15410">
        <w:rPr>
          <w:rFonts w:ascii="Times New Roman" w:hAnsi="Times New Roman" w:cs="Times New Roman"/>
          <w:color w:val="auto"/>
          <w:sz w:val="20"/>
          <w:szCs w:val="20"/>
        </w:rPr>
        <w:fldChar w:fldCharType="begin"/>
      </w:r>
      <w:r w:rsidRPr="00E15410">
        <w:rPr>
          <w:rFonts w:ascii="Times New Roman" w:hAnsi="Times New Roman" w:cs="Times New Roman"/>
          <w:color w:val="auto"/>
          <w:sz w:val="20"/>
          <w:szCs w:val="20"/>
          <w:lang w:val="fr-FR"/>
        </w:rPr>
        <w:instrText xml:space="preserve"> SEQ Figure \* ARABIC </w:instrText>
      </w:r>
      <w:r w:rsidRPr="00E15410">
        <w:rPr>
          <w:rFonts w:ascii="Times New Roman" w:hAnsi="Times New Roman" w:cs="Times New Roman"/>
          <w:color w:val="auto"/>
          <w:sz w:val="20"/>
          <w:szCs w:val="20"/>
        </w:rPr>
        <w:fldChar w:fldCharType="separate"/>
      </w:r>
      <w:r w:rsidR="00EB726E">
        <w:rPr>
          <w:rFonts w:ascii="Times New Roman" w:hAnsi="Times New Roman" w:cs="Times New Roman"/>
          <w:noProof/>
          <w:color w:val="auto"/>
          <w:sz w:val="20"/>
          <w:szCs w:val="20"/>
          <w:lang w:val="fr-FR"/>
        </w:rPr>
        <w:t>2</w:t>
      </w:r>
      <w:r w:rsidRPr="00E15410">
        <w:rPr>
          <w:rFonts w:ascii="Times New Roman" w:hAnsi="Times New Roman" w:cs="Times New Roman"/>
          <w:color w:val="auto"/>
          <w:sz w:val="20"/>
          <w:szCs w:val="20"/>
        </w:rPr>
        <w:fldChar w:fldCharType="end"/>
      </w:r>
      <w:r w:rsidRPr="00E15410">
        <w:rPr>
          <w:rFonts w:ascii="Times New Roman" w:hAnsi="Times New Roman" w:cs="Times New Roman"/>
          <w:color w:val="auto"/>
          <w:sz w:val="20"/>
          <w:szCs w:val="20"/>
          <w:lang w:val="fr-FR"/>
        </w:rPr>
        <w:t xml:space="preserve">: </w:t>
      </w:r>
      <w:r w:rsidR="007F3DC3" w:rsidRPr="003E743A">
        <w:rPr>
          <w:rFonts w:ascii="Times New Roman" w:eastAsia="Times New Roman" w:hAnsi="Times New Roman" w:cs="Times New Roman"/>
          <w:color w:val="auto"/>
          <w:sz w:val="20"/>
          <w:szCs w:val="20"/>
          <w:lang w:val="fr-FR"/>
        </w:rPr>
        <w:t>Carte du relief de la Guinée Bissau</w:t>
      </w:r>
      <w:bookmarkEnd w:id="174"/>
      <w:bookmarkEnd w:id="175"/>
    </w:p>
    <w:p w:rsidR="007F3DC3" w:rsidRPr="002D4EA0" w:rsidRDefault="002D4EA0" w:rsidP="002D4EA0">
      <w:pPr>
        <w:pStyle w:val="PargrafodaLista"/>
        <w:keepNext/>
        <w:spacing w:before="240" w:after="240"/>
        <w:ind w:left="1158" w:right="284" w:firstLine="258"/>
        <w:jc w:val="both"/>
        <w:outlineLvl w:val="2"/>
        <w:rPr>
          <w:rFonts w:ascii="Times New Roman" w:hAnsi="Times New Roman"/>
          <w:b/>
          <w:sz w:val="24"/>
          <w:szCs w:val="24"/>
          <w:lang w:val="fr-FR" w:eastAsia="fr-FR"/>
        </w:rPr>
      </w:pPr>
      <w:bookmarkStart w:id="176" w:name="_Toc535396924"/>
      <w:bookmarkStart w:id="177" w:name="_Toc6310462"/>
      <w:bookmarkStart w:id="178" w:name="_Toc51072551"/>
      <w:r>
        <w:rPr>
          <w:rFonts w:ascii="Times New Roman" w:hAnsi="Times New Roman"/>
          <w:b/>
          <w:sz w:val="24"/>
          <w:szCs w:val="24"/>
          <w:lang w:val="fr-FR" w:eastAsia="fr-FR"/>
        </w:rPr>
        <w:t>5.3</w:t>
      </w:r>
      <w:r w:rsidR="007F3DC3" w:rsidRPr="002D4EA0">
        <w:rPr>
          <w:rFonts w:ascii="Times New Roman" w:hAnsi="Times New Roman"/>
          <w:b/>
          <w:sz w:val="24"/>
          <w:szCs w:val="24"/>
          <w:lang w:val="fr-FR" w:eastAsia="fr-FR"/>
        </w:rPr>
        <w:t>.3. Géologie</w:t>
      </w:r>
      <w:bookmarkEnd w:id="176"/>
      <w:bookmarkEnd w:id="177"/>
      <w:bookmarkEnd w:id="178"/>
    </w:p>
    <w:p w:rsidR="007F3DC3" w:rsidRPr="004815B9" w:rsidRDefault="007F3DC3" w:rsidP="004815B9">
      <w:pPr>
        <w:autoSpaceDE w:val="0"/>
        <w:autoSpaceDN w:val="0"/>
        <w:adjustRightInd w:val="0"/>
        <w:spacing w:after="0" w:line="240" w:lineRule="auto"/>
        <w:ind w:left="-284"/>
        <w:jc w:val="both"/>
        <w:rPr>
          <w:rFonts w:ascii="Times New Roman" w:hAnsi="Times New Roman"/>
          <w:color w:val="000000"/>
          <w:sz w:val="24"/>
          <w:szCs w:val="24"/>
        </w:rPr>
      </w:pPr>
      <w:r w:rsidRPr="004815B9">
        <w:rPr>
          <w:rFonts w:ascii="Times New Roman" w:hAnsi="Times New Roman"/>
          <w:color w:val="000000"/>
          <w:sz w:val="24"/>
          <w:szCs w:val="24"/>
        </w:rPr>
        <w:t>Le site à l’étude s’encadre dans une zone alluvionnaire de canaux océaniques assis sur de la latérite du littoral et des îlots (affleurements littoraux de cuirasses latéritiques datant du CENOZOÏQUE QUATERNAIRE. C’est une formation composée d’une couche superficielle de sable et d’argile avec alternance de marne, grés, sable et calcaire. Le substrat est composé de roche dure typique du climat tropical.  Le processus de latérisation fait que la fraction argileuse de la roche soit constituée essentiellement de minéraux argileux du groupe de la kaolinite, des oxydes et hydroxydes hydratés de fer et / ou d’aluminium. La stabilisation des agrégations en présence d’eau se produit par la combinaison de ces composantes par le revêtement de minéraux argileux qui agissent également comme des agents naturels entre les particules cimentaires. Les fractions de sable et de limon sont principalement composées de quartz, d’agrégats latéritiques (concrétions latéritiques) et, dans une moindre mesure, par des minéraux lourds.</w:t>
      </w:r>
    </w:p>
    <w:p w:rsidR="007F3DC3" w:rsidRPr="002D4EA0" w:rsidRDefault="002D4EA0" w:rsidP="002D4EA0">
      <w:pPr>
        <w:pStyle w:val="PargrafodaLista"/>
        <w:keepNext/>
        <w:spacing w:before="240" w:after="240"/>
        <w:ind w:left="1158" w:right="284" w:firstLine="258"/>
        <w:jc w:val="both"/>
        <w:outlineLvl w:val="2"/>
        <w:rPr>
          <w:rFonts w:ascii="Times New Roman" w:hAnsi="Times New Roman"/>
          <w:b/>
          <w:sz w:val="24"/>
          <w:szCs w:val="24"/>
          <w:lang w:val="fr-FR" w:eastAsia="fr-FR"/>
        </w:rPr>
      </w:pPr>
      <w:bookmarkStart w:id="179" w:name="_Toc532558488"/>
      <w:bookmarkStart w:id="180" w:name="_Toc535396925"/>
      <w:bookmarkStart w:id="181" w:name="_Toc6310463"/>
      <w:bookmarkStart w:id="182" w:name="_Toc51072552"/>
      <w:bookmarkStart w:id="183" w:name="_Hlk527138812"/>
      <w:r>
        <w:rPr>
          <w:rFonts w:ascii="Times New Roman" w:hAnsi="Times New Roman"/>
          <w:b/>
          <w:sz w:val="24"/>
          <w:szCs w:val="24"/>
          <w:lang w:val="fr-FR" w:eastAsia="fr-FR"/>
        </w:rPr>
        <w:t>5.3</w:t>
      </w:r>
      <w:r w:rsidR="007F3DC3" w:rsidRPr="002D4EA0">
        <w:rPr>
          <w:rFonts w:ascii="Times New Roman" w:hAnsi="Times New Roman"/>
          <w:b/>
          <w:sz w:val="24"/>
          <w:szCs w:val="24"/>
          <w:lang w:val="fr-FR" w:eastAsia="fr-FR"/>
        </w:rPr>
        <w:t>.4. Le sol</w:t>
      </w:r>
      <w:bookmarkEnd w:id="179"/>
      <w:bookmarkEnd w:id="180"/>
      <w:bookmarkEnd w:id="181"/>
      <w:bookmarkEnd w:id="182"/>
    </w:p>
    <w:p w:rsidR="007F3DC3" w:rsidRPr="004815B9" w:rsidRDefault="00311CE4" w:rsidP="004815B9">
      <w:pPr>
        <w:autoSpaceDE w:val="0"/>
        <w:autoSpaceDN w:val="0"/>
        <w:adjustRightInd w:val="0"/>
        <w:spacing w:after="0" w:line="240" w:lineRule="auto"/>
        <w:ind w:left="-284"/>
        <w:jc w:val="both"/>
        <w:rPr>
          <w:rFonts w:ascii="Times New Roman" w:hAnsi="Times New Roman"/>
          <w:color w:val="000000"/>
          <w:sz w:val="24"/>
          <w:szCs w:val="24"/>
        </w:rPr>
      </w:pPr>
      <w:r w:rsidRPr="004815B9">
        <w:rPr>
          <w:rFonts w:ascii="Times New Roman" w:hAnsi="Times New Roman"/>
          <w:color w:val="000000"/>
          <w:sz w:val="24"/>
          <w:szCs w:val="24"/>
        </w:rPr>
        <w:t>La</w:t>
      </w:r>
      <w:r w:rsidR="007F3DC3" w:rsidRPr="004815B9">
        <w:rPr>
          <w:rFonts w:ascii="Times New Roman" w:hAnsi="Times New Roman"/>
          <w:color w:val="000000"/>
          <w:sz w:val="24"/>
          <w:szCs w:val="24"/>
        </w:rPr>
        <w:t xml:space="preserve"> Guinée-Bissau a principalement trois types de sols, à savoir les sols ferralitiques et ferrugineux tropicaux, occupent une superficie de 20 000 km2 correspondant à 62% de la surface émergée, lithosols, situés dans le centre-ouest - très peu développés, gravier ou pierres, de peu ou pas de valeur agricole. Les sols hydro morphes continentaux sont gris, occupant une superficie de 5 500 km2, soit environ 17% de la surface, environ 1 500 km2 formés sur des alluvions marines. Dans ce dernier cas, on distingue les sols en Secteur de Prabis </w:t>
      </w:r>
      <w:r w:rsidRPr="004815B9">
        <w:rPr>
          <w:rFonts w:ascii="Times New Roman" w:hAnsi="Times New Roman"/>
          <w:color w:val="000000"/>
          <w:sz w:val="24"/>
          <w:szCs w:val="24"/>
        </w:rPr>
        <w:t>qui</w:t>
      </w:r>
      <w:r w:rsidR="007F3DC3" w:rsidRPr="004815B9">
        <w:rPr>
          <w:rFonts w:ascii="Times New Roman" w:hAnsi="Times New Roman"/>
          <w:color w:val="000000"/>
          <w:sz w:val="24"/>
          <w:szCs w:val="24"/>
        </w:rPr>
        <w:t xml:space="preserve"> protégés contre les inondations d’eau salée, sont considérés comme les meilleurs sols de l’Afrique</w:t>
      </w:r>
      <w:r w:rsidR="00E15410">
        <w:rPr>
          <w:rFonts w:ascii="Times New Roman" w:hAnsi="Times New Roman"/>
          <w:color w:val="000000"/>
          <w:sz w:val="24"/>
          <w:szCs w:val="24"/>
        </w:rPr>
        <w:t xml:space="preserve"> de l’Ouest. Ainsi, la figure 3</w:t>
      </w:r>
      <w:r w:rsidR="007F3DC3" w:rsidRPr="004815B9">
        <w:rPr>
          <w:rFonts w:ascii="Times New Roman" w:hAnsi="Times New Roman"/>
          <w:color w:val="000000"/>
          <w:sz w:val="24"/>
          <w:szCs w:val="24"/>
        </w:rPr>
        <w:t xml:space="preserve"> ci-dessous présente la cartographie des sols.</w:t>
      </w:r>
    </w:p>
    <w:p w:rsidR="007F3DC3" w:rsidRDefault="007F3DC3" w:rsidP="007F3DC3">
      <w:pPr>
        <w:spacing w:before="100" w:beforeAutospacing="1" w:after="100" w:afterAutospacing="1" w:line="240" w:lineRule="auto"/>
        <w:jc w:val="both"/>
        <w:rPr>
          <w:rFonts w:ascii="Times New Roman" w:eastAsia="Times New Roman" w:hAnsi="Times New Roman" w:cs="Times New Roman"/>
          <w:color w:val="000000"/>
          <w:sz w:val="24"/>
          <w:szCs w:val="24"/>
          <w:lang w:eastAsia="fr-FR"/>
        </w:rPr>
      </w:pPr>
      <w:r>
        <w:rPr>
          <w:noProof/>
          <w:lang w:val="pt-PT" w:eastAsia="pt-PT"/>
        </w:rPr>
        <w:lastRenderedPageBreak/>
        <w:drawing>
          <wp:inline distT="0" distB="0" distL="0" distR="0" wp14:anchorId="55F9B3D1" wp14:editId="67742C9E">
            <wp:extent cx="6301105" cy="4621530"/>
            <wp:effectExtent l="19050" t="19050" r="23495" b="26670"/>
            <wp:docPr id="92" name="Imag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0" cstate="email">
                      <a:extLst>
                        <a:ext uri="{28A0092B-C50C-407E-A947-70E740481C1C}">
                          <a14:useLocalDpi xmlns:a14="http://schemas.microsoft.com/office/drawing/2010/main"/>
                        </a:ext>
                      </a:extLst>
                    </a:blip>
                    <a:stretch>
                      <a:fillRect/>
                    </a:stretch>
                  </pic:blipFill>
                  <pic:spPr>
                    <a:xfrm>
                      <a:off x="0" y="0"/>
                      <a:ext cx="6301105" cy="4621530"/>
                    </a:xfrm>
                    <a:prstGeom prst="rect">
                      <a:avLst/>
                    </a:prstGeom>
                    <a:ln w="19050">
                      <a:solidFill>
                        <a:schemeClr val="accent1"/>
                      </a:solidFill>
                    </a:ln>
                  </pic:spPr>
                </pic:pic>
              </a:graphicData>
            </a:graphic>
          </wp:inline>
        </w:drawing>
      </w:r>
    </w:p>
    <w:p w:rsidR="007F3DC3" w:rsidRDefault="007F3DC3" w:rsidP="007F3DC3">
      <w:pPr>
        <w:spacing w:before="100" w:beforeAutospacing="1" w:after="100" w:afterAutospacing="1" w:line="240" w:lineRule="auto"/>
        <w:jc w:val="center"/>
        <w:rPr>
          <w:rFonts w:ascii="Times New Roman" w:eastAsia="Times New Roman" w:hAnsi="Times New Roman" w:cs="Times New Roman"/>
          <w:b/>
          <w:color w:val="000000"/>
          <w:sz w:val="18"/>
          <w:szCs w:val="18"/>
          <w:lang w:eastAsia="fr-FR"/>
        </w:rPr>
      </w:pPr>
      <w:bookmarkStart w:id="184" w:name="_Toc4770175"/>
      <w:bookmarkStart w:id="185" w:name="_Toc32512025"/>
      <w:r w:rsidRPr="00EA0B43">
        <w:rPr>
          <w:rFonts w:ascii="Times New Roman" w:hAnsi="Times New Roman" w:cs="Times New Roman"/>
          <w:b/>
          <w:sz w:val="18"/>
          <w:szCs w:val="18"/>
        </w:rPr>
        <w:t xml:space="preserve">Figure </w:t>
      </w:r>
      <w:r w:rsidRPr="00EA0B43">
        <w:rPr>
          <w:rFonts w:ascii="Times New Roman" w:hAnsi="Times New Roman" w:cs="Times New Roman"/>
          <w:b/>
          <w:sz w:val="18"/>
          <w:szCs w:val="18"/>
        </w:rPr>
        <w:fldChar w:fldCharType="begin"/>
      </w:r>
      <w:r w:rsidRPr="00EA0B43">
        <w:rPr>
          <w:rFonts w:ascii="Times New Roman" w:hAnsi="Times New Roman" w:cs="Times New Roman"/>
          <w:b/>
          <w:sz w:val="18"/>
          <w:szCs w:val="18"/>
        </w:rPr>
        <w:instrText xml:space="preserve"> SEQ Figure \* ARABIC </w:instrText>
      </w:r>
      <w:r w:rsidRPr="00EA0B43">
        <w:rPr>
          <w:rFonts w:ascii="Times New Roman" w:hAnsi="Times New Roman" w:cs="Times New Roman"/>
          <w:b/>
          <w:sz w:val="18"/>
          <w:szCs w:val="18"/>
        </w:rPr>
        <w:fldChar w:fldCharType="separate"/>
      </w:r>
      <w:r w:rsidR="00EB726E">
        <w:rPr>
          <w:rFonts w:ascii="Times New Roman" w:hAnsi="Times New Roman" w:cs="Times New Roman"/>
          <w:b/>
          <w:noProof/>
          <w:sz w:val="18"/>
          <w:szCs w:val="18"/>
        </w:rPr>
        <w:t>3</w:t>
      </w:r>
      <w:r w:rsidRPr="00EA0B43">
        <w:rPr>
          <w:rFonts w:ascii="Times New Roman" w:hAnsi="Times New Roman" w:cs="Times New Roman"/>
          <w:b/>
          <w:sz w:val="18"/>
          <w:szCs w:val="18"/>
        </w:rPr>
        <w:fldChar w:fldCharType="end"/>
      </w:r>
      <w:r w:rsidRPr="00EA0B43">
        <w:rPr>
          <w:rFonts w:ascii="Times New Roman" w:hAnsi="Times New Roman" w:cs="Times New Roman"/>
          <w:b/>
          <w:sz w:val="18"/>
          <w:szCs w:val="18"/>
        </w:rPr>
        <w:t xml:space="preserve"> </w:t>
      </w:r>
      <w:r w:rsidRPr="00EA0B43">
        <w:rPr>
          <w:rFonts w:ascii="Times New Roman" w:eastAsia="Times New Roman" w:hAnsi="Times New Roman" w:cs="Times New Roman"/>
          <w:b/>
          <w:sz w:val="18"/>
          <w:szCs w:val="18"/>
        </w:rPr>
        <w:t xml:space="preserve">: </w:t>
      </w:r>
      <w:r w:rsidRPr="00EA0B43">
        <w:rPr>
          <w:rFonts w:ascii="Times New Roman" w:eastAsia="Times New Roman" w:hAnsi="Times New Roman" w:cs="Times New Roman"/>
          <w:b/>
          <w:color w:val="000000"/>
          <w:sz w:val="18"/>
          <w:szCs w:val="18"/>
          <w:lang w:eastAsia="fr-FR"/>
        </w:rPr>
        <w:t>Carte des sols de la Guinée-Bissau, adapté de Teixeira (1962)</w:t>
      </w:r>
      <w:bookmarkEnd w:id="184"/>
      <w:bookmarkEnd w:id="185"/>
    </w:p>
    <w:p w:rsidR="007F3DC3" w:rsidRPr="002D4EA0" w:rsidRDefault="002D4EA0" w:rsidP="002D4EA0">
      <w:pPr>
        <w:pStyle w:val="PargrafodaLista"/>
        <w:keepNext/>
        <w:spacing w:before="240" w:after="240"/>
        <w:ind w:left="1158" w:right="284" w:firstLine="258"/>
        <w:jc w:val="both"/>
        <w:outlineLvl w:val="2"/>
        <w:rPr>
          <w:rFonts w:ascii="Times New Roman" w:hAnsi="Times New Roman"/>
          <w:b/>
          <w:sz w:val="24"/>
          <w:szCs w:val="24"/>
          <w:lang w:val="fr-FR" w:eastAsia="fr-FR"/>
        </w:rPr>
      </w:pPr>
      <w:bookmarkStart w:id="186" w:name="_Toc6310464"/>
      <w:bookmarkStart w:id="187" w:name="_Toc51072553"/>
      <w:r>
        <w:rPr>
          <w:rFonts w:ascii="Times New Roman" w:hAnsi="Times New Roman"/>
          <w:b/>
          <w:sz w:val="24"/>
          <w:szCs w:val="24"/>
          <w:lang w:val="fr-FR" w:eastAsia="fr-FR"/>
        </w:rPr>
        <w:t>5.3.</w:t>
      </w:r>
      <w:r w:rsidR="007F3DC3" w:rsidRPr="002D4EA0">
        <w:rPr>
          <w:rFonts w:ascii="Times New Roman" w:hAnsi="Times New Roman"/>
          <w:b/>
          <w:sz w:val="24"/>
          <w:szCs w:val="24"/>
          <w:lang w:val="fr-FR" w:eastAsia="fr-FR"/>
        </w:rPr>
        <w:t>5. L’Air</w:t>
      </w:r>
      <w:bookmarkEnd w:id="186"/>
      <w:bookmarkEnd w:id="187"/>
    </w:p>
    <w:p w:rsidR="007F3DC3" w:rsidRPr="004815B9" w:rsidRDefault="007F3DC3" w:rsidP="004815B9">
      <w:pPr>
        <w:autoSpaceDE w:val="0"/>
        <w:autoSpaceDN w:val="0"/>
        <w:adjustRightInd w:val="0"/>
        <w:spacing w:after="0" w:line="240" w:lineRule="auto"/>
        <w:ind w:left="-284"/>
        <w:jc w:val="both"/>
        <w:rPr>
          <w:rFonts w:ascii="Times New Roman" w:hAnsi="Times New Roman"/>
          <w:color w:val="000000"/>
          <w:sz w:val="24"/>
          <w:szCs w:val="24"/>
        </w:rPr>
      </w:pPr>
      <w:r w:rsidRPr="004815B9">
        <w:rPr>
          <w:rFonts w:ascii="Times New Roman" w:hAnsi="Times New Roman"/>
          <w:color w:val="000000"/>
          <w:sz w:val="24"/>
          <w:szCs w:val="24"/>
        </w:rPr>
        <w:t>Ce compartiment de l’environnement n’a pas fait l’objet de prélèvement et d’analyse en laboratoire pour la détermination de la qualité de l’air. Cependant les recherches documentaires que nous avons menées précisent que les émissions de CO2 au niveau de bissau entre 2011 et 2015 sont d’environ 0.2 tonnes métriques par habitant (Indicateurs du développement dans le monde, databank, banque mondiale 2019).</w:t>
      </w:r>
    </w:p>
    <w:p w:rsidR="007F3DC3" w:rsidRPr="004815B9" w:rsidRDefault="007F3DC3" w:rsidP="004815B9">
      <w:pPr>
        <w:autoSpaceDE w:val="0"/>
        <w:autoSpaceDN w:val="0"/>
        <w:adjustRightInd w:val="0"/>
        <w:spacing w:after="0" w:line="240" w:lineRule="auto"/>
        <w:ind w:left="-284"/>
        <w:jc w:val="both"/>
        <w:rPr>
          <w:rFonts w:ascii="Times New Roman" w:hAnsi="Times New Roman"/>
          <w:color w:val="000000"/>
          <w:sz w:val="24"/>
          <w:szCs w:val="24"/>
        </w:rPr>
      </w:pPr>
      <w:r w:rsidRPr="004815B9">
        <w:rPr>
          <w:rFonts w:ascii="Times New Roman" w:hAnsi="Times New Roman"/>
          <w:color w:val="000000"/>
          <w:sz w:val="24"/>
          <w:szCs w:val="24"/>
        </w:rPr>
        <w:t xml:space="preserve">En effet, le travail de terrain que nous avons mené durant cette </w:t>
      </w:r>
      <w:r w:rsidR="001F257B" w:rsidRPr="004815B9">
        <w:rPr>
          <w:rFonts w:ascii="Times New Roman" w:hAnsi="Times New Roman"/>
          <w:color w:val="000000"/>
          <w:sz w:val="24"/>
          <w:szCs w:val="24"/>
        </w:rPr>
        <w:t>étude montre</w:t>
      </w:r>
      <w:r w:rsidRPr="004815B9">
        <w:rPr>
          <w:rFonts w:ascii="Times New Roman" w:hAnsi="Times New Roman"/>
          <w:color w:val="000000"/>
          <w:sz w:val="24"/>
          <w:szCs w:val="24"/>
        </w:rPr>
        <w:t xml:space="preserve"> que, dans la ville de Bissau, la poussière, les fumées des véhicules sont les sources de pollution de l’air. En effet, malgré le développement du transport en commun par les minibus appelés « Toca-Toca », le nombre impressionnant de ses véhicules et de taxis villes surtout aux heures de pointe sur les principaux axes qui desservent la ville témoigne de l’ampleur du phénomène de pollution de l’air dans la ville. Cette situation est d’autant plus alarmante que la plupart de ces véhicules utilisent le gasoil, l’une des sources d’énergie les plus polluantes comme carburant. </w:t>
      </w:r>
    </w:p>
    <w:p w:rsidR="007F3DC3" w:rsidRPr="004815B9" w:rsidRDefault="007F3DC3" w:rsidP="004815B9">
      <w:pPr>
        <w:autoSpaceDE w:val="0"/>
        <w:autoSpaceDN w:val="0"/>
        <w:adjustRightInd w:val="0"/>
        <w:spacing w:after="0" w:line="240" w:lineRule="auto"/>
        <w:ind w:left="-284"/>
        <w:jc w:val="both"/>
        <w:rPr>
          <w:rFonts w:ascii="Times New Roman" w:hAnsi="Times New Roman"/>
          <w:color w:val="000000"/>
          <w:sz w:val="24"/>
          <w:szCs w:val="24"/>
        </w:rPr>
      </w:pPr>
      <w:r w:rsidRPr="004815B9">
        <w:rPr>
          <w:rFonts w:ascii="Times New Roman" w:hAnsi="Times New Roman"/>
          <w:color w:val="000000"/>
          <w:sz w:val="24"/>
          <w:szCs w:val="24"/>
        </w:rPr>
        <w:t>De même, la plupart des routes qui desservent les quartiers et plusieurs grandes artères de la ville sont en latérite, ce qui est source de poussière lors des passages des véhicules.</w:t>
      </w:r>
    </w:p>
    <w:p w:rsidR="007F3DC3" w:rsidRPr="002D4EA0" w:rsidRDefault="002D4EA0" w:rsidP="002D4EA0">
      <w:pPr>
        <w:pStyle w:val="PargrafodaLista"/>
        <w:keepNext/>
        <w:spacing w:before="240" w:after="240"/>
        <w:ind w:left="1158" w:right="284" w:firstLine="258"/>
        <w:jc w:val="both"/>
        <w:outlineLvl w:val="2"/>
        <w:rPr>
          <w:rFonts w:ascii="Times New Roman" w:hAnsi="Times New Roman"/>
          <w:b/>
          <w:sz w:val="24"/>
          <w:szCs w:val="24"/>
          <w:lang w:val="fr-FR" w:eastAsia="fr-FR"/>
        </w:rPr>
      </w:pPr>
      <w:bookmarkStart w:id="188" w:name="_Toc532558489"/>
      <w:bookmarkStart w:id="189" w:name="_Toc535396926"/>
      <w:bookmarkStart w:id="190" w:name="_Toc6310465"/>
      <w:bookmarkStart w:id="191" w:name="_Toc51072554"/>
      <w:r>
        <w:rPr>
          <w:rFonts w:ascii="Times New Roman" w:hAnsi="Times New Roman"/>
          <w:b/>
          <w:sz w:val="24"/>
          <w:szCs w:val="24"/>
          <w:lang w:val="fr-FR" w:eastAsia="fr-FR"/>
        </w:rPr>
        <w:t>5.3.</w:t>
      </w:r>
      <w:r w:rsidR="007F3DC3" w:rsidRPr="002D4EA0">
        <w:rPr>
          <w:rFonts w:ascii="Times New Roman" w:hAnsi="Times New Roman"/>
          <w:b/>
          <w:sz w:val="24"/>
          <w:szCs w:val="24"/>
          <w:lang w:val="fr-FR" w:eastAsia="fr-FR"/>
        </w:rPr>
        <w:t>6. Hydrographie</w:t>
      </w:r>
      <w:bookmarkEnd w:id="188"/>
      <w:r w:rsidR="007F3DC3" w:rsidRPr="002D4EA0">
        <w:rPr>
          <w:rFonts w:ascii="Times New Roman" w:hAnsi="Times New Roman"/>
          <w:b/>
          <w:sz w:val="24"/>
          <w:szCs w:val="24"/>
          <w:lang w:val="fr-FR" w:eastAsia="fr-FR"/>
        </w:rPr>
        <w:t xml:space="preserve"> et Hydrogéologie</w:t>
      </w:r>
      <w:bookmarkEnd w:id="189"/>
      <w:bookmarkEnd w:id="190"/>
      <w:bookmarkEnd w:id="191"/>
    </w:p>
    <w:p w:rsidR="007F3DC3" w:rsidRPr="004815B9" w:rsidRDefault="007F3DC3" w:rsidP="004815B9">
      <w:pPr>
        <w:autoSpaceDE w:val="0"/>
        <w:autoSpaceDN w:val="0"/>
        <w:adjustRightInd w:val="0"/>
        <w:spacing w:after="0" w:line="240" w:lineRule="auto"/>
        <w:ind w:left="-284"/>
        <w:jc w:val="both"/>
        <w:rPr>
          <w:rFonts w:ascii="Times New Roman" w:hAnsi="Times New Roman"/>
          <w:color w:val="000000"/>
          <w:sz w:val="24"/>
          <w:szCs w:val="24"/>
        </w:rPr>
      </w:pPr>
      <w:r w:rsidRPr="004815B9">
        <w:rPr>
          <w:rFonts w:ascii="Times New Roman" w:hAnsi="Times New Roman"/>
          <w:color w:val="000000"/>
          <w:sz w:val="24"/>
          <w:szCs w:val="24"/>
        </w:rPr>
        <w:t xml:space="preserve">Le réseau hydrographique du pays est complexe et étendu, constitué par des cours d’eau courants et stagnants.  Outre le climat, il est conditionné par le nivellement d’une grande partie du territoire et par la </w:t>
      </w:r>
      <w:r w:rsidRPr="004815B9">
        <w:rPr>
          <w:rFonts w:ascii="Times New Roman" w:hAnsi="Times New Roman"/>
          <w:color w:val="000000"/>
          <w:sz w:val="24"/>
          <w:szCs w:val="24"/>
        </w:rPr>
        <w:lastRenderedPageBreak/>
        <w:t>transgression marine (Ribeiro, 1950 ; Teixeira, 1962). Des études spécialisées confirment la profonde interpénétration de la terre et de la mer, sur une distance qui varie de 150 à 175 km, introduisent ainsi de l’eau salée à l’intérieur des terres sous influence de la marée, cela caractérise l'existence d'estuaires dans la majeure partie des cas.</w:t>
      </w:r>
    </w:p>
    <w:p w:rsidR="007F3DC3" w:rsidRDefault="007F3DC3" w:rsidP="004815B9">
      <w:pPr>
        <w:autoSpaceDE w:val="0"/>
        <w:autoSpaceDN w:val="0"/>
        <w:adjustRightInd w:val="0"/>
        <w:spacing w:after="0" w:line="240" w:lineRule="auto"/>
        <w:ind w:left="-284"/>
        <w:jc w:val="both"/>
        <w:rPr>
          <w:rFonts w:ascii="Times New Roman" w:hAnsi="Times New Roman" w:cs="Times New Roman"/>
          <w:sz w:val="24"/>
          <w:szCs w:val="24"/>
        </w:rPr>
      </w:pPr>
      <w:r w:rsidRPr="004815B9">
        <w:rPr>
          <w:rFonts w:ascii="Times New Roman" w:hAnsi="Times New Roman"/>
          <w:color w:val="000000"/>
          <w:sz w:val="24"/>
          <w:szCs w:val="24"/>
        </w:rPr>
        <w:t xml:space="preserve">Les ressources en eau souterraines sont essentiellement utilisées pour le ravitaillement en eau potable, et, dans une certaine mesure, par certaines industries et fermes. Les baisses altitudes du territoire conjugués avec la forte amplitude de la marée font que l’effet de la marée se fait sentir jusqu’à 150 Km à l’intérieur du pays. Le pays dispose de ressources halieutiques marines et d’eau douce considérable avec une pluviométrie pouvant atteindre 2.500 mm de précipitations dans certaines zones au sud du </w:t>
      </w:r>
      <w:r w:rsidR="00E74419">
        <w:rPr>
          <w:rFonts w:ascii="Times New Roman" w:hAnsi="Times New Roman"/>
          <w:color w:val="000000"/>
          <w:sz w:val="24"/>
          <w:szCs w:val="24"/>
        </w:rPr>
        <w:t>pays. La</w:t>
      </w:r>
      <w:r w:rsidR="00E15410">
        <w:rPr>
          <w:rFonts w:ascii="Times New Roman" w:hAnsi="Times New Roman"/>
          <w:color w:val="000000"/>
          <w:sz w:val="24"/>
          <w:szCs w:val="24"/>
        </w:rPr>
        <w:t xml:space="preserve"> figure 4</w:t>
      </w:r>
      <w:r>
        <w:rPr>
          <w:rFonts w:ascii="Times New Roman" w:hAnsi="Times New Roman" w:cs="Times New Roman"/>
          <w:sz w:val="24"/>
          <w:szCs w:val="24"/>
        </w:rPr>
        <w:t xml:space="preserve"> ci-dessous montre le réseau hydrographique de la guinée Bissau.</w:t>
      </w:r>
    </w:p>
    <w:p w:rsidR="007F3DC3" w:rsidRDefault="007F3DC3" w:rsidP="007F3DC3">
      <w:pPr>
        <w:spacing w:before="100" w:beforeAutospacing="1" w:after="100" w:afterAutospacing="1" w:line="240" w:lineRule="auto"/>
        <w:jc w:val="both"/>
        <w:rPr>
          <w:rFonts w:ascii="Times New Roman" w:eastAsia="Times New Roman" w:hAnsi="Times New Roman" w:cs="Times New Roman"/>
          <w:color w:val="000000"/>
          <w:sz w:val="24"/>
          <w:szCs w:val="24"/>
          <w:lang w:eastAsia="fr-FR"/>
        </w:rPr>
      </w:pPr>
      <w:r>
        <w:rPr>
          <w:noProof/>
          <w:lang w:val="pt-PT" w:eastAsia="pt-PT"/>
        </w:rPr>
        <w:drawing>
          <wp:inline distT="0" distB="0" distL="0" distR="0" wp14:anchorId="6EE0A57A" wp14:editId="3B3931BB">
            <wp:extent cx="6301105" cy="4141470"/>
            <wp:effectExtent l="19050" t="19050" r="23495" b="11430"/>
            <wp:docPr id="73" name="Imag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1" cstate="email">
                      <a:extLst>
                        <a:ext uri="{28A0092B-C50C-407E-A947-70E740481C1C}">
                          <a14:useLocalDpi xmlns:a14="http://schemas.microsoft.com/office/drawing/2010/main"/>
                        </a:ext>
                      </a:extLst>
                    </a:blip>
                    <a:stretch>
                      <a:fillRect/>
                    </a:stretch>
                  </pic:blipFill>
                  <pic:spPr>
                    <a:xfrm>
                      <a:off x="0" y="0"/>
                      <a:ext cx="6301105" cy="4141470"/>
                    </a:xfrm>
                    <a:prstGeom prst="rect">
                      <a:avLst/>
                    </a:prstGeom>
                    <a:ln w="19050">
                      <a:solidFill>
                        <a:schemeClr val="accent1"/>
                      </a:solidFill>
                    </a:ln>
                  </pic:spPr>
                </pic:pic>
              </a:graphicData>
            </a:graphic>
          </wp:inline>
        </w:drawing>
      </w:r>
    </w:p>
    <w:p w:rsidR="007F3DC3" w:rsidRPr="00404314" w:rsidRDefault="007F3DC3" w:rsidP="007F3DC3">
      <w:pPr>
        <w:spacing w:before="100" w:beforeAutospacing="1" w:after="100" w:afterAutospacing="1" w:line="240" w:lineRule="auto"/>
        <w:jc w:val="center"/>
        <w:rPr>
          <w:rFonts w:ascii="Times New Roman" w:eastAsia="Times New Roman" w:hAnsi="Times New Roman" w:cs="Times New Roman"/>
          <w:b/>
          <w:color w:val="000000"/>
          <w:sz w:val="18"/>
          <w:szCs w:val="18"/>
          <w:lang w:eastAsia="fr-FR"/>
        </w:rPr>
      </w:pPr>
      <w:bookmarkStart w:id="192" w:name="_Toc4770176"/>
      <w:bookmarkStart w:id="193" w:name="_Toc32512026"/>
      <w:r w:rsidRPr="00404314">
        <w:rPr>
          <w:rFonts w:ascii="Times New Roman" w:hAnsi="Times New Roman" w:cs="Times New Roman"/>
          <w:b/>
          <w:sz w:val="18"/>
          <w:szCs w:val="18"/>
        </w:rPr>
        <w:t xml:space="preserve">Figure </w:t>
      </w:r>
      <w:r w:rsidRPr="00404314">
        <w:rPr>
          <w:rFonts w:ascii="Times New Roman" w:hAnsi="Times New Roman" w:cs="Times New Roman"/>
          <w:b/>
          <w:sz w:val="18"/>
          <w:szCs w:val="18"/>
        </w:rPr>
        <w:fldChar w:fldCharType="begin"/>
      </w:r>
      <w:r w:rsidRPr="00404314">
        <w:rPr>
          <w:rFonts w:ascii="Times New Roman" w:hAnsi="Times New Roman" w:cs="Times New Roman"/>
          <w:b/>
          <w:sz w:val="18"/>
          <w:szCs w:val="18"/>
        </w:rPr>
        <w:instrText xml:space="preserve"> SEQ Figure \* ARABIC </w:instrText>
      </w:r>
      <w:r w:rsidRPr="00404314">
        <w:rPr>
          <w:rFonts w:ascii="Times New Roman" w:hAnsi="Times New Roman" w:cs="Times New Roman"/>
          <w:b/>
          <w:sz w:val="18"/>
          <w:szCs w:val="18"/>
        </w:rPr>
        <w:fldChar w:fldCharType="separate"/>
      </w:r>
      <w:r w:rsidR="00EB726E">
        <w:rPr>
          <w:rFonts w:ascii="Times New Roman" w:hAnsi="Times New Roman" w:cs="Times New Roman"/>
          <w:b/>
          <w:noProof/>
          <w:sz w:val="18"/>
          <w:szCs w:val="18"/>
        </w:rPr>
        <w:t>4</w:t>
      </w:r>
      <w:r w:rsidRPr="00404314">
        <w:rPr>
          <w:rFonts w:ascii="Times New Roman" w:hAnsi="Times New Roman" w:cs="Times New Roman"/>
          <w:b/>
          <w:sz w:val="18"/>
          <w:szCs w:val="18"/>
        </w:rPr>
        <w:fldChar w:fldCharType="end"/>
      </w:r>
      <w:r w:rsidRPr="00404314">
        <w:rPr>
          <w:rFonts w:ascii="Times New Roman" w:hAnsi="Times New Roman" w:cs="Times New Roman"/>
          <w:b/>
          <w:sz w:val="18"/>
          <w:szCs w:val="18"/>
        </w:rPr>
        <w:t xml:space="preserve"> </w:t>
      </w:r>
      <w:r w:rsidRPr="00404314">
        <w:rPr>
          <w:rFonts w:ascii="Times New Roman" w:eastAsia="Times New Roman" w:hAnsi="Times New Roman" w:cs="Times New Roman"/>
          <w:b/>
          <w:sz w:val="18"/>
          <w:szCs w:val="18"/>
        </w:rPr>
        <w:t xml:space="preserve">: </w:t>
      </w:r>
      <w:r w:rsidRPr="00404314">
        <w:rPr>
          <w:rFonts w:ascii="Times New Roman" w:eastAsia="Times New Roman" w:hAnsi="Times New Roman" w:cs="Times New Roman"/>
          <w:b/>
          <w:color w:val="000000"/>
          <w:sz w:val="18"/>
          <w:szCs w:val="18"/>
          <w:lang w:eastAsia="fr-FR"/>
        </w:rPr>
        <w:t>Réseau hydrographique de la Guinée-Bissau, adapté de G. Pennober, in 1ª CNSMC, 2004</w:t>
      </w:r>
      <w:bookmarkEnd w:id="192"/>
      <w:bookmarkEnd w:id="193"/>
    </w:p>
    <w:p w:rsidR="007F3DC3" w:rsidRPr="002D4EA0" w:rsidRDefault="002D4EA0" w:rsidP="002D4EA0">
      <w:pPr>
        <w:pStyle w:val="PargrafodaLista"/>
        <w:keepNext/>
        <w:spacing w:before="240" w:after="240"/>
        <w:ind w:left="1158" w:right="284" w:firstLine="258"/>
        <w:jc w:val="both"/>
        <w:outlineLvl w:val="2"/>
        <w:rPr>
          <w:rFonts w:ascii="Times New Roman" w:hAnsi="Times New Roman"/>
          <w:b/>
          <w:sz w:val="24"/>
          <w:szCs w:val="24"/>
          <w:lang w:val="fr-FR" w:eastAsia="fr-FR"/>
        </w:rPr>
      </w:pPr>
      <w:bookmarkStart w:id="194" w:name="_Toc532558490"/>
      <w:bookmarkStart w:id="195" w:name="_Toc535396927"/>
      <w:bookmarkStart w:id="196" w:name="_Toc6310466"/>
      <w:bookmarkStart w:id="197" w:name="_Toc51072555"/>
      <w:r>
        <w:rPr>
          <w:rFonts w:ascii="Times New Roman" w:hAnsi="Times New Roman"/>
          <w:b/>
          <w:sz w:val="24"/>
          <w:szCs w:val="24"/>
          <w:lang w:val="fr-FR" w:eastAsia="fr-FR"/>
        </w:rPr>
        <w:t>5.3</w:t>
      </w:r>
      <w:r w:rsidR="007F3DC3" w:rsidRPr="002D4EA0">
        <w:rPr>
          <w:rFonts w:ascii="Times New Roman" w:hAnsi="Times New Roman"/>
          <w:b/>
          <w:sz w:val="24"/>
          <w:szCs w:val="24"/>
          <w:lang w:val="fr-FR" w:eastAsia="fr-FR"/>
        </w:rPr>
        <w:t>.7. Disponibilité de la ressource en Eau</w:t>
      </w:r>
      <w:bookmarkEnd w:id="194"/>
      <w:bookmarkEnd w:id="195"/>
      <w:bookmarkEnd w:id="196"/>
      <w:bookmarkEnd w:id="197"/>
    </w:p>
    <w:p w:rsidR="007F3DC3" w:rsidRDefault="007F3DC3" w:rsidP="00FA3FAE">
      <w:pPr>
        <w:pStyle w:val="PargrafodaLista"/>
        <w:keepNext/>
        <w:numPr>
          <w:ilvl w:val="0"/>
          <w:numId w:val="59"/>
        </w:numPr>
        <w:spacing w:before="240" w:after="240"/>
        <w:ind w:right="284"/>
        <w:jc w:val="both"/>
        <w:rPr>
          <w:rFonts w:ascii="Times New Roman" w:hAnsi="Times New Roman"/>
          <w:b/>
          <w:sz w:val="24"/>
          <w:szCs w:val="24"/>
          <w:lang w:val="fr-FR" w:eastAsia="fr-FR"/>
        </w:rPr>
      </w:pPr>
      <w:r>
        <w:rPr>
          <w:rFonts w:ascii="Times New Roman" w:hAnsi="Times New Roman"/>
          <w:b/>
          <w:sz w:val="24"/>
          <w:szCs w:val="24"/>
          <w:lang w:val="fr-FR" w:eastAsia="fr-FR"/>
        </w:rPr>
        <w:t>Eaux de surface</w:t>
      </w:r>
    </w:p>
    <w:p w:rsidR="007F3DC3" w:rsidRPr="004815B9" w:rsidRDefault="00311CE4" w:rsidP="004815B9">
      <w:pPr>
        <w:autoSpaceDE w:val="0"/>
        <w:autoSpaceDN w:val="0"/>
        <w:adjustRightInd w:val="0"/>
        <w:spacing w:after="0" w:line="240" w:lineRule="auto"/>
        <w:ind w:left="-284"/>
        <w:jc w:val="both"/>
        <w:rPr>
          <w:rFonts w:ascii="Times New Roman" w:hAnsi="Times New Roman"/>
          <w:color w:val="000000"/>
          <w:sz w:val="24"/>
          <w:szCs w:val="24"/>
        </w:rPr>
      </w:pPr>
      <w:r w:rsidRPr="004815B9">
        <w:rPr>
          <w:rFonts w:ascii="Times New Roman" w:hAnsi="Times New Roman"/>
          <w:color w:val="000000"/>
          <w:sz w:val="24"/>
          <w:szCs w:val="24"/>
        </w:rPr>
        <w:t>D’âpres</w:t>
      </w:r>
      <w:r w:rsidR="007F3DC3" w:rsidRPr="004815B9">
        <w:rPr>
          <w:rFonts w:ascii="Times New Roman" w:hAnsi="Times New Roman"/>
          <w:color w:val="000000"/>
          <w:sz w:val="24"/>
          <w:szCs w:val="24"/>
        </w:rPr>
        <w:t xml:space="preserve"> la documentation obtenue par les services en charge de la gestion des eaux de surface et souterraine précise que la Guinée-Bissau</w:t>
      </w:r>
      <w:bookmarkEnd w:id="183"/>
      <w:r w:rsidR="007F3DC3" w:rsidRPr="004815B9">
        <w:rPr>
          <w:rFonts w:ascii="Times New Roman" w:hAnsi="Times New Roman"/>
          <w:color w:val="000000"/>
          <w:sz w:val="24"/>
          <w:szCs w:val="24"/>
        </w:rPr>
        <w:t xml:space="preserve"> est coupée par plusieurs rivières, dont la plupart sont profondément traversées par la mer, ce qui donne l'impression que les marées se déroulent loin dans l'intérieur du pays. Du nord au sud, les principales rivières sont : la rivière Cacheu, la rivière Geba, la rivière Corubal, la rivière Tombal, la rivière Cumbija et la rivière Cacine, toutes comportant de nombreux affluents et sous-affluents. Presque toutes les rivières offrent d’énormes possibilités de navigation, ce qui est extrêmement important pour la communication dans un pays où les routes sont très peu nombreuses.</w:t>
      </w:r>
    </w:p>
    <w:p w:rsidR="007F3DC3" w:rsidRPr="004815B9" w:rsidRDefault="007F3DC3" w:rsidP="004815B9">
      <w:pPr>
        <w:autoSpaceDE w:val="0"/>
        <w:autoSpaceDN w:val="0"/>
        <w:adjustRightInd w:val="0"/>
        <w:spacing w:after="0" w:line="240" w:lineRule="auto"/>
        <w:ind w:left="-284"/>
        <w:jc w:val="both"/>
        <w:rPr>
          <w:rFonts w:ascii="Times New Roman" w:hAnsi="Times New Roman"/>
          <w:color w:val="000000"/>
          <w:sz w:val="24"/>
          <w:szCs w:val="24"/>
        </w:rPr>
      </w:pPr>
      <w:r w:rsidRPr="004815B9">
        <w:rPr>
          <w:rFonts w:ascii="Times New Roman" w:hAnsi="Times New Roman"/>
          <w:color w:val="000000"/>
          <w:sz w:val="24"/>
          <w:szCs w:val="24"/>
        </w:rPr>
        <w:lastRenderedPageBreak/>
        <w:t>Les sources de pollution de ces eaux sont souvent l’agriculture, les ordures ménagères, le lessivage des sols et les faibles activités industrielles. Ceci fait que, avec les fortes précipitations caractérisées par une moyenne annuelle de 1 400 à 1 800 mm, les eaux de surface sont peu polluées.</w:t>
      </w:r>
    </w:p>
    <w:p w:rsidR="007F3DC3" w:rsidRPr="004815B9" w:rsidRDefault="007F3DC3" w:rsidP="004815B9">
      <w:pPr>
        <w:autoSpaceDE w:val="0"/>
        <w:autoSpaceDN w:val="0"/>
        <w:adjustRightInd w:val="0"/>
        <w:spacing w:after="0" w:line="240" w:lineRule="auto"/>
        <w:ind w:left="-284"/>
        <w:jc w:val="both"/>
        <w:rPr>
          <w:rFonts w:ascii="Times New Roman" w:hAnsi="Times New Roman"/>
          <w:color w:val="000000"/>
          <w:sz w:val="24"/>
          <w:szCs w:val="24"/>
        </w:rPr>
      </w:pPr>
      <w:r w:rsidRPr="004815B9">
        <w:rPr>
          <w:rFonts w:ascii="Times New Roman" w:hAnsi="Times New Roman"/>
          <w:color w:val="000000"/>
          <w:sz w:val="24"/>
          <w:szCs w:val="24"/>
        </w:rPr>
        <w:t>Certaines de ces rivières sont des réservoirs d'eau douce pouvant alimenter les populations.</w:t>
      </w:r>
    </w:p>
    <w:p w:rsidR="007F3DC3" w:rsidRPr="004815B9" w:rsidRDefault="007F3DC3" w:rsidP="004815B9">
      <w:pPr>
        <w:autoSpaceDE w:val="0"/>
        <w:autoSpaceDN w:val="0"/>
        <w:adjustRightInd w:val="0"/>
        <w:spacing w:after="0" w:line="240" w:lineRule="auto"/>
        <w:ind w:left="-284"/>
        <w:jc w:val="both"/>
        <w:rPr>
          <w:rFonts w:ascii="Times New Roman" w:hAnsi="Times New Roman"/>
          <w:color w:val="000000"/>
          <w:sz w:val="24"/>
          <w:szCs w:val="24"/>
        </w:rPr>
      </w:pPr>
      <w:r w:rsidRPr="004815B9">
        <w:rPr>
          <w:rFonts w:ascii="Times New Roman" w:hAnsi="Times New Roman"/>
          <w:color w:val="000000"/>
          <w:sz w:val="24"/>
          <w:szCs w:val="24"/>
        </w:rPr>
        <w:t>Du point de vue de la sécurité alimentaire, les rivières contribuent à améliorer le régime alimentaire des populations, qui extraient une grande quantité de poisson pour leur nourriture. </w:t>
      </w:r>
    </w:p>
    <w:p w:rsidR="007F3DC3" w:rsidRPr="003E743A" w:rsidRDefault="007F3DC3" w:rsidP="00FA3FAE">
      <w:pPr>
        <w:pStyle w:val="PargrafodaLista"/>
        <w:keepNext/>
        <w:numPr>
          <w:ilvl w:val="0"/>
          <w:numId w:val="59"/>
        </w:numPr>
        <w:spacing w:before="240" w:after="240"/>
        <w:ind w:right="284"/>
        <w:jc w:val="both"/>
        <w:rPr>
          <w:rFonts w:ascii="Times New Roman" w:hAnsi="Times New Roman"/>
          <w:b/>
          <w:sz w:val="24"/>
          <w:szCs w:val="24"/>
          <w:lang w:val="fr-FR" w:eastAsia="fr-FR"/>
        </w:rPr>
      </w:pPr>
      <w:r w:rsidRPr="003E743A">
        <w:rPr>
          <w:rFonts w:ascii="Times New Roman" w:hAnsi="Times New Roman"/>
          <w:b/>
          <w:sz w:val="24"/>
          <w:szCs w:val="24"/>
          <w:lang w:val="fr-FR" w:eastAsia="fr-FR"/>
        </w:rPr>
        <w:t>Eau</w:t>
      </w:r>
      <w:r>
        <w:rPr>
          <w:rFonts w:ascii="Times New Roman" w:hAnsi="Times New Roman"/>
          <w:b/>
          <w:sz w:val="24"/>
          <w:szCs w:val="24"/>
          <w:lang w:val="fr-FR" w:eastAsia="fr-FR"/>
        </w:rPr>
        <w:t>x</w:t>
      </w:r>
      <w:r w:rsidRPr="003E743A">
        <w:rPr>
          <w:rFonts w:ascii="Times New Roman" w:hAnsi="Times New Roman"/>
          <w:b/>
          <w:sz w:val="24"/>
          <w:szCs w:val="24"/>
          <w:lang w:val="fr-FR" w:eastAsia="fr-FR"/>
        </w:rPr>
        <w:t xml:space="preserve"> souterraines</w:t>
      </w:r>
    </w:p>
    <w:p w:rsidR="007F3DC3" w:rsidRPr="004815B9" w:rsidRDefault="007F3DC3" w:rsidP="004815B9">
      <w:pPr>
        <w:autoSpaceDE w:val="0"/>
        <w:autoSpaceDN w:val="0"/>
        <w:adjustRightInd w:val="0"/>
        <w:spacing w:after="0" w:line="240" w:lineRule="auto"/>
        <w:ind w:left="-284"/>
        <w:jc w:val="both"/>
        <w:rPr>
          <w:rFonts w:ascii="Times New Roman" w:hAnsi="Times New Roman"/>
          <w:color w:val="000000"/>
          <w:sz w:val="24"/>
          <w:szCs w:val="24"/>
        </w:rPr>
      </w:pPr>
      <w:r w:rsidRPr="004815B9">
        <w:rPr>
          <w:rFonts w:ascii="Times New Roman" w:hAnsi="Times New Roman"/>
          <w:color w:val="000000"/>
          <w:sz w:val="24"/>
          <w:szCs w:val="24"/>
        </w:rPr>
        <w:t>Aujourd'hui, l'eau devient de plus en plus importante. De ce point de vue, la Guinée-Bissau est un pays riche en eau avec des précipitations d’environ 1800 mm par an. Toutefois, l’extrême concentration des pluies certains mois de l’année entraîne un manque d’eau pour la population pendant au moins la moitié de l’année, en particulier dans le Nord-Est du pays.</w:t>
      </w:r>
    </w:p>
    <w:p w:rsidR="007F3DC3" w:rsidRPr="004815B9" w:rsidRDefault="007F3DC3" w:rsidP="004815B9">
      <w:pPr>
        <w:autoSpaceDE w:val="0"/>
        <w:autoSpaceDN w:val="0"/>
        <w:adjustRightInd w:val="0"/>
        <w:spacing w:after="0" w:line="240" w:lineRule="auto"/>
        <w:ind w:left="-284"/>
        <w:jc w:val="both"/>
        <w:rPr>
          <w:rFonts w:ascii="Times New Roman" w:hAnsi="Times New Roman"/>
          <w:color w:val="000000"/>
          <w:sz w:val="24"/>
          <w:szCs w:val="24"/>
        </w:rPr>
      </w:pPr>
      <w:r w:rsidRPr="004815B9">
        <w:rPr>
          <w:rFonts w:ascii="Times New Roman" w:hAnsi="Times New Roman"/>
          <w:color w:val="000000"/>
          <w:sz w:val="24"/>
          <w:szCs w:val="24"/>
        </w:rPr>
        <w:t xml:space="preserve">Ainsi, une écrasante population paysanne est laissée sans eau, et par conséquent sans travail de la terre pendant plus de la moitié de l'année, ce qui renforce la nécessité de mieux utiliser l'eau de pluie s'écoulant dans les petites vallées et les nappes souterraines de chaque pays, assurant ainsi l’approvisionnement en eau de la population et les cultures irriguées en période de sécheresse. La réalité est qu’il y a un gros effort à faire en termes d’extension du réseau d’eau, de multiplication du fourrage au niveau de la région de Biombo et principalement Prabis. </w:t>
      </w:r>
    </w:p>
    <w:p w:rsidR="007F3DC3" w:rsidRPr="002D4EA0" w:rsidRDefault="002D4EA0" w:rsidP="002D4EA0">
      <w:pPr>
        <w:pStyle w:val="PargrafodaLista"/>
        <w:keepNext/>
        <w:spacing w:before="240" w:after="240"/>
        <w:ind w:left="1158" w:right="284" w:firstLine="258"/>
        <w:jc w:val="both"/>
        <w:outlineLvl w:val="2"/>
        <w:rPr>
          <w:rFonts w:ascii="Times New Roman" w:hAnsi="Times New Roman"/>
          <w:b/>
          <w:sz w:val="24"/>
          <w:szCs w:val="24"/>
          <w:lang w:val="fr-FR" w:eastAsia="fr-FR"/>
        </w:rPr>
      </w:pPr>
      <w:bookmarkStart w:id="198" w:name="_Toc535396928"/>
      <w:bookmarkStart w:id="199" w:name="_Toc6310468"/>
      <w:bookmarkStart w:id="200" w:name="_Toc51072556"/>
      <w:r>
        <w:rPr>
          <w:rFonts w:ascii="Times New Roman" w:hAnsi="Times New Roman"/>
          <w:b/>
          <w:sz w:val="24"/>
          <w:szCs w:val="24"/>
          <w:lang w:val="fr-FR" w:eastAsia="fr-FR"/>
        </w:rPr>
        <w:t>5.3.8</w:t>
      </w:r>
      <w:r w:rsidR="007F3DC3" w:rsidRPr="002D4EA0">
        <w:rPr>
          <w:rFonts w:ascii="Times New Roman" w:hAnsi="Times New Roman"/>
          <w:b/>
          <w:sz w:val="24"/>
          <w:szCs w:val="24"/>
          <w:lang w:val="fr-FR" w:eastAsia="fr-FR"/>
        </w:rPr>
        <w:t>. Couvertures végétales et ressources forestières</w:t>
      </w:r>
      <w:bookmarkEnd w:id="198"/>
      <w:bookmarkEnd w:id="199"/>
      <w:bookmarkEnd w:id="200"/>
    </w:p>
    <w:p w:rsidR="007F3DC3" w:rsidRPr="004815B9" w:rsidRDefault="00717DA7" w:rsidP="004815B9">
      <w:pPr>
        <w:autoSpaceDE w:val="0"/>
        <w:autoSpaceDN w:val="0"/>
        <w:adjustRightInd w:val="0"/>
        <w:spacing w:after="0" w:line="240" w:lineRule="auto"/>
        <w:ind w:left="-284"/>
        <w:jc w:val="both"/>
        <w:rPr>
          <w:rFonts w:ascii="Times New Roman" w:hAnsi="Times New Roman"/>
          <w:color w:val="000000"/>
          <w:sz w:val="24"/>
          <w:szCs w:val="24"/>
        </w:rPr>
      </w:pPr>
      <w:r w:rsidRPr="004815B9">
        <w:rPr>
          <w:rFonts w:ascii="Times New Roman" w:hAnsi="Times New Roman"/>
          <w:color w:val="000000"/>
          <w:sz w:val="24"/>
          <w:szCs w:val="24"/>
        </w:rPr>
        <w:t xml:space="preserve">Des </w:t>
      </w:r>
      <w:r w:rsidR="007F3DC3" w:rsidRPr="004815B9">
        <w:rPr>
          <w:rFonts w:ascii="Times New Roman" w:hAnsi="Times New Roman"/>
          <w:color w:val="000000"/>
          <w:sz w:val="24"/>
          <w:szCs w:val="24"/>
        </w:rPr>
        <w:t>consultations des services techniques concernées par le projet</w:t>
      </w:r>
      <w:r w:rsidRPr="004815B9">
        <w:rPr>
          <w:rFonts w:ascii="Times New Roman" w:hAnsi="Times New Roman"/>
          <w:color w:val="000000"/>
          <w:sz w:val="24"/>
          <w:szCs w:val="24"/>
        </w:rPr>
        <w:t xml:space="preserve"> PUASEE-</w:t>
      </w:r>
      <w:r w:rsidR="002D4EA0" w:rsidRPr="004815B9">
        <w:rPr>
          <w:rFonts w:ascii="Times New Roman" w:hAnsi="Times New Roman"/>
          <w:color w:val="000000"/>
          <w:sz w:val="24"/>
          <w:szCs w:val="24"/>
        </w:rPr>
        <w:t>FA,</w:t>
      </w:r>
      <w:r w:rsidR="007F3DC3" w:rsidRPr="004815B9">
        <w:rPr>
          <w:rFonts w:ascii="Times New Roman" w:hAnsi="Times New Roman"/>
          <w:color w:val="000000"/>
          <w:sz w:val="24"/>
          <w:szCs w:val="24"/>
        </w:rPr>
        <w:t xml:space="preserve"> des rencontres avec les populations et surtou</w:t>
      </w:r>
      <w:r w:rsidR="00311CE4" w:rsidRPr="004815B9">
        <w:rPr>
          <w:rFonts w:ascii="Times New Roman" w:hAnsi="Times New Roman"/>
          <w:color w:val="000000"/>
          <w:sz w:val="24"/>
          <w:szCs w:val="24"/>
        </w:rPr>
        <w:t xml:space="preserve">t plusieurs visites de terrain </w:t>
      </w:r>
      <w:r w:rsidRPr="004815B9">
        <w:rPr>
          <w:rFonts w:ascii="Times New Roman" w:hAnsi="Times New Roman"/>
          <w:color w:val="000000"/>
          <w:sz w:val="24"/>
          <w:szCs w:val="24"/>
        </w:rPr>
        <w:t xml:space="preserve">ont permis de collecter soit par la documentation existante ou par observation directe sur le terrain </w:t>
      </w:r>
      <w:r w:rsidR="007F3DC3" w:rsidRPr="004815B9">
        <w:rPr>
          <w:rFonts w:ascii="Times New Roman" w:hAnsi="Times New Roman"/>
          <w:color w:val="000000"/>
          <w:sz w:val="24"/>
          <w:szCs w:val="24"/>
        </w:rPr>
        <w:t>des données su</w:t>
      </w:r>
      <w:r w:rsidRPr="004815B9">
        <w:rPr>
          <w:rFonts w:ascii="Times New Roman" w:hAnsi="Times New Roman"/>
          <w:color w:val="000000"/>
          <w:sz w:val="24"/>
          <w:szCs w:val="24"/>
        </w:rPr>
        <w:t>r la couverture végétale et les ressources forestières dans les zones influences.</w:t>
      </w:r>
    </w:p>
    <w:p w:rsidR="007F3DC3" w:rsidRPr="004815B9" w:rsidRDefault="007F3DC3" w:rsidP="004815B9">
      <w:pPr>
        <w:autoSpaceDE w:val="0"/>
        <w:autoSpaceDN w:val="0"/>
        <w:adjustRightInd w:val="0"/>
        <w:spacing w:after="0" w:line="240" w:lineRule="auto"/>
        <w:ind w:left="-284"/>
        <w:jc w:val="both"/>
        <w:rPr>
          <w:rFonts w:ascii="Times New Roman" w:hAnsi="Times New Roman"/>
          <w:color w:val="000000"/>
          <w:sz w:val="24"/>
          <w:szCs w:val="24"/>
        </w:rPr>
      </w:pPr>
      <w:r w:rsidRPr="004815B9">
        <w:rPr>
          <w:rFonts w:ascii="Times New Roman" w:hAnsi="Times New Roman"/>
          <w:color w:val="000000"/>
          <w:sz w:val="24"/>
          <w:szCs w:val="24"/>
        </w:rPr>
        <w:t>C’est ainsi qu’il a été noté que les bois qui dom</w:t>
      </w:r>
      <w:r w:rsidR="00311CE4" w:rsidRPr="004815B9">
        <w:rPr>
          <w:rFonts w:ascii="Times New Roman" w:hAnsi="Times New Roman"/>
          <w:color w:val="000000"/>
          <w:sz w:val="24"/>
          <w:szCs w:val="24"/>
        </w:rPr>
        <w:t>inent en région de Biombo</w:t>
      </w:r>
      <w:r w:rsidRPr="004815B9">
        <w:rPr>
          <w:rFonts w:ascii="Times New Roman" w:hAnsi="Times New Roman"/>
          <w:color w:val="000000"/>
          <w:sz w:val="24"/>
          <w:szCs w:val="24"/>
        </w:rPr>
        <w:t xml:space="preserve"> sont les palmiers et le bâton de poilão Bissilão. Il représente la majeure partie des bois exportés et consommés sur le marché local. Les principales ressources forestières sont situées au Sud et au Nord de Bafatá (la seule zone rationnellement exploitée), entre le fleuve Cacheu et la frontière Sénégalaise, ainsi que dans les régions de Quinara et de Tombali.</w:t>
      </w:r>
    </w:p>
    <w:p w:rsidR="007F3DC3" w:rsidRDefault="007F3DC3" w:rsidP="004815B9">
      <w:pPr>
        <w:autoSpaceDE w:val="0"/>
        <w:autoSpaceDN w:val="0"/>
        <w:adjustRightInd w:val="0"/>
        <w:spacing w:after="0" w:line="240" w:lineRule="auto"/>
        <w:ind w:left="-284"/>
        <w:jc w:val="both"/>
        <w:rPr>
          <w:rFonts w:ascii="Times New Roman" w:hAnsi="Times New Roman"/>
          <w:color w:val="000000"/>
          <w:sz w:val="24"/>
          <w:szCs w:val="24"/>
        </w:rPr>
      </w:pPr>
      <w:r w:rsidRPr="004815B9">
        <w:rPr>
          <w:rFonts w:ascii="Times New Roman" w:hAnsi="Times New Roman"/>
          <w:color w:val="000000"/>
          <w:sz w:val="24"/>
          <w:szCs w:val="24"/>
        </w:rPr>
        <w:t>Selon les études réalisées dans le cadre du Plan d'action pour les PMA, le stock de ressources forestières est considérable. La superficie couverte par les forêts est de deux (2) millions d’hectares. En 1995, les réserves de bois étaient estimées à environ 48 millions de m3 (Plan d’action pour les PMA). On estime que la consommation annuelle est d'environ 1,2 million de m3 et que les exportations représentent environ 50 000 tonnes. Toutefois, le bilan de 1992 indiquait que la consommation annuelle moyenne de bois, y compris les exportations, était d’environ 2,1 millions de m3, ce qui laisse présager une nette détérioration des ressources forestières, à un taux d’environ 625 000 m3 par an.</w:t>
      </w:r>
    </w:p>
    <w:p w:rsidR="002D4EA0" w:rsidRPr="004815B9" w:rsidRDefault="002D4EA0" w:rsidP="004815B9">
      <w:pPr>
        <w:autoSpaceDE w:val="0"/>
        <w:autoSpaceDN w:val="0"/>
        <w:adjustRightInd w:val="0"/>
        <w:spacing w:after="0" w:line="240" w:lineRule="auto"/>
        <w:ind w:left="-284"/>
        <w:jc w:val="both"/>
        <w:rPr>
          <w:rFonts w:ascii="Times New Roman" w:hAnsi="Times New Roman"/>
          <w:color w:val="000000"/>
          <w:sz w:val="24"/>
          <w:szCs w:val="24"/>
        </w:rPr>
      </w:pPr>
    </w:p>
    <w:p w:rsidR="007F3DC3" w:rsidRPr="004815B9" w:rsidRDefault="007F3DC3" w:rsidP="004815B9">
      <w:pPr>
        <w:autoSpaceDE w:val="0"/>
        <w:autoSpaceDN w:val="0"/>
        <w:adjustRightInd w:val="0"/>
        <w:spacing w:after="0" w:line="240" w:lineRule="auto"/>
        <w:ind w:left="-284"/>
        <w:jc w:val="both"/>
        <w:rPr>
          <w:rFonts w:ascii="Times New Roman" w:hAnsi="Times New Roman"/>
          <w:color w:val="000000"/>
          <w:sz w:val="24"/>
          <w:szCs w:val="24"/>
        </w:rPr>
      </w:pPr>
      <w:r w:rsidRPr="004815B9">
        <w:rPr>
          <w:rFonts w:ascii="Times New Roman" w:hAnsi="Times New Roman"/>
          <w:color w:val="000000"/>
          <w:sz w:val="24"/>
          <w:szCs w:val="24"/>
        </w:rPr>
        <w:t>La demande croissante de charbon et la pratique de brûler des terres pour la culture du riz pam-pam dans les hautes terres, associées à la détérioration des sols inondés en raison du manque de précipitations, contribuent négativement à la dégradation et à la diminution du patrimoine forestier. Sont associées à ce facteur négatif, l’exploitation et les exportations clandestines de bois.</w:t>
      </w:r>
    </w:p>
    <w:p w:rsidR="007F3DC3" w:rsidRDefault="007F3DC3" w:rsidP="004815B9">
      <w:pPr>
        <w:autoSpaceDE w:val="0"/>
        <w:autoSpaceDN w:val="0"/>
        <w:adjustRightInd w:val="0"/>
        <w:spacing w:after="0" w:line="240" w:lineRule="auto"/>
        <w:ind w:left="-284"/>
        <w:jc w:val="both"/>
        <w:rPr>
          <w:rFonts w:ascii="Times New Roman" w:hAnsi="Times New Roman"/>
          <w:color w:val="000000"/>
          <w:sz w:val="24"/>
          <w:szCs w:val="24"/>
        </w:rPr>
      </w:pPr>
      <w:r w:rsidRPr="004815B9">
        <w:rPr>
          <w:rFonts w:ascii="Times New Roman" w:hAnsi="Times New Roman"/>
          <w:color w:val="000000"/>
          <w:sz w:val="24"/>
          <w:szCs w:val="24"/>
        </w:rPr>
        <w:t>L’économie forestière est particulièrement importante, principalement pour le maintien de l’équilibre écologique, le développement des activités agricoles et le secteur de l’exportation, afin d’accroître les revenus du pays. Avec des effets directs sur divers secteurs de la vie économique, la sécurité alimentaire et la sécurité de l'environnement, le secteur de Prabis a fait l'objet d'une attention particulière de la part des autorités gouvernementales et parlementaires.</w:t>
      </w:r>
    </w:p>
    <w:p w:rsidR="002D4EA0" w:rsidRPr="004815B9" w:rsidRDefault="002D4EA0" w:rsidP="004815B9">
      <w:pPr>
        <w:autoSpaceDE w:val="0"/>
        <w:autoSpaceDN w:val="0"/>
        <w:adjustRightInd w:val="0"/>
        <w:spacing w:after="0" w:line="240" w:lineRule="auto"/>
        <w:ind w:left="-284"/>
        <w:jc w:val="both"/>
        <w:rPr>
          <w:rFonts w:ascii="Times New Roman" w:hAnsi="Times New Roman"/>
          <w:color w:val="000000"/>
          <w:sz w:val="24"/>
          <w:szCs w:val="24"/>
        </w:rPr>
      </w:pPr>
    </w:p>
    <w:p w:rsidR="007F3DC3" w:rsidRPr="004815B9" w:rsidRDefault="007F3DC3" w:rsidP="004815B9">
      <w:pPr>
        <w:autoSpaceDE w:val="0"/>
        <w:autoSpaceDN w:val="0"/>
        <w:adjustRightInd w:val="0"/>
        <w:spacing w:after="0" w:line="240" w:lineRule="auto"/>
        <w:ind w:left="-284"/>
        <w:jc w:val="both"/>
        <w:rPr>
          <w:rFonts w:ascii="Times New Roman" w:hAnsi="Times New Roman"/>
          <w:color w:val="000000"/>
          <w:sz w:val="24"/>
          <w:szCs w:val="24"/>
        </w:rPr>
      </w:pPr>
      <w:r w:rsidRPr="004815B9">
        <w:rPr>
          <w:rFonts w:ascii="Times New Roman" w:hAnsi="Times New Roman"/>
          <w:color w:val="000000"/>
          <w:sz w:val="24"/>
          <w:szCs w:val="24"/>
        </w:rPr>
        <w:lastRenderedPageBreak/>
        <w:t>Les mangroves constituent un écosystème essentiel de la Guinée Bissau. Il est extrêmement difficile de se faire une opinion exacte sur l’évolution des superficies de mangroves. Elles couvraient selon les estimations, 476 000 ha en 1940, 347 000 à 206 250 ha dans les années 80, et 315 000 à 210 000 ha dans la décennie 2000. On note que la fourchette haute diminue de 9% alors que la fourchette basse ne varie presque pas. Le calcul d’une tendance 1940-2007, qu’il faut interpréter avec beaucoup de prudence, induit l’hypothèse d’une décroissance des superficies en mangrove de près de 3600 ha entre chacune des observations (IBAP, 2008).</w:t>
      </w:r>
    </w:p>
    <w:p w:rsidR="007F3DC3" w:rsidRPr="00A23600" w:rsidRDefault="007F3DC3" w:rsidP="00FA3FAE">
      <w:pPr>
        <w:pStyle w:val="PargrafodaLista"/>
        <w:numPr>
          <w:ilvl w:val="0"/>
          <w:numId w:val="59"/>
        </w:numPr>
        <w:spacing w:before="100" w:beforeAutospacing="1" w:after="0" w:line="240" w:lineRule="auto"/>
        <w:jc w:val="both"/>
        <w:rPr>
          <w:rFonts w:ascii="Times New Roman" w:eastAsia="Times New Roman" w:hAnsi="Times New Roman"/>
          <w:color w:val="000000"/>
          <w:sz w:val="24"/>
          <w:szCs w:val="24"/>
          <w:lang w:val="fr-FR" w:eastAsia="fr-FR"/>
        </w:rPr>
      </w:pPr>
      <w:r>
        <w:rPr>
          <w:rFonts w:ascii="Times New Roman" w:hAnsi="Times New Roman"/>
          <w:b/>
          <w:sz w:val="24"/>
          <w:szCs w:val="24"/>
          <w:lang w:val="fr-FR" w:eastAsia="fr-FR"/>
        </w:rPr>
        <w:t>La faune</w:t>
      </w:r>
    </w:p>
    <w:p w:rsidR="007F3DC3" w:rsidRDefault="007F3DC3" w:rsidP="004815B9">
      <w:pPr>
        <w:autoSpaceDE w:val="0"/>
        <w:autoSpaceDN w:val="0"/>
        <w:adjustRightInd w:val="0"/>
        <w:spacing w:after="0" w:line="240" w:lineRule="auto"/>
        <w:ind w:left="-284"/>
        <w:jc w:val="both"/>
        <w:rPr>
          <w:rFonts w:ascii="Times New Roman" w:hAnsi="Times New Roman"/>
          <w:color w:val="000000"/>
          <w:sz w:val="24"/>
          <w:szCs w:val="24"/>
        </w:rPr>
      </w:pPr>
      <w:r w:rsidRPr="004815B9">
        <w:rPr>
          <w:rFonts w:ascii="Times New Roman" w:hAnsi="Times New Roman"/>
          <w:color w:val="000000"/>
          <w:sz w:val="24"/>
          <w:szCs w:val="24"/>
        </w:rPr>
        <w:t>La faune sauvage et ses habitats jouent toujours le rôle essentiel dans la vie journalière des populations africaines, tant au niveau alimentaire qu’au niveau socioculturel. La chasse traditionnelle, les danses, les masques, les totems et tabous, les cérémonies d’initiation sont des exemples où la faune sauvage intervient en Guinée Bissau.</w:t>
      </w:r>
    </w:p>
    <w:p w:rsidR="002D4EA0" w:rsidRPr="004815B9" w:rsidRDefault="002D4EA0" w:rsidP="004815B9">
      <w:pPr>
        <w:autoSpaceDE w:val="0"/>
        <w:autoSpaceDN w:val="0"/>
        <w:adjustRightInd w:val="0"/>
        <w:spacing w:after="0" w:line="240" w:lineRule="auto"/>
        <w:ind w:left="-284"/>
        <w:jc w:val="both"/>
        <w:rPr>
          <w:rFonts w:ascii="Times New Roman" w:hAnsi="Times New Roman"/>
          <w:color w:val="000000"/>
          <w:sz w:val="24"/>
          <w:szCs w:val="24"/>
        </w:rPr>
      </w:pPr>
    </w:p>
    <w:p w:rsidR="007F3DC3" w:rsidRDefault="007F3DC3" w:rsidP="004815B9">
      <w:pPr>
        <w:autoSpaceDE w:val="0"/>
        <w:autoSpaceDN w:val="0"/>
        <w:adjustRightInd w:val="0"/>
        <w:spacing w:after="0" w:line="240" w:lineRule="auto"/>
        <w:ind w:left="-284"/>
        <w:jc w:val="both"/>
        <w:rPr>
          <w:rFonts w:ascii="Times New Roman" w:hAnsi="Times New Roman"/>
          <w:color w:val="000000"/>
          <w:sz w:val="24"/>
          <w:szCs w:val="24"/>
        </w:rPr>
      </w:pPr>
      <w:r w:rsidRPr="004815B9">
        <w:rPr>
          <w:rFonts w:ascii="Times New Roman" w:hAnsi="Times New Roman"/>
          <w:color w:val="000000"/>
          <w:sz w:val="24"/>
          <w:szCs w:val="24"/>
        </w:rPr>
        <w:t>L’inventaire quantitatif de la faune au niveau national réalisé par DGFC/UICN (1989), révèle la présence d’une importante diversité de mammifères. Le résultat de cet inventaire indique l’existence de 64 espèces de mammifères en Guinée-Bissau (11 espèces de primates, 2 de pholidotes, 9 de rongeurs ; 21 de carnivores, 1 de “tubulidentés”, 1 de sérénides, des ongulés) ; 374 espèces d’oiseaux et 39 espèces de reptiles. L’absence des espèces de grande portée est assez notoire (éléphants, buffles, lions, “sim sim”, “boca branco”, etc.). Les zones côtières présentent des caractéristiques spéciales en terme de diversité génétique et servent de pôle de la concentration des oiseaux migrateurs.</w:t>
      </w:r>
    </w:p>
    <w:p w:rsidR="002D4EA0" w:rsidRPr="004815B9" w:rsidRDefault="002D4EA0" w:rsidP="004815B9">
      <w:pPr>
        <w:autoSpaceDE w:val="0"/>
        <w:autoSpaceDN w:val="0"/>
        <w:adjustRightInd w:val="0"/>
        <w:spacing w:after="0" w:line="240" w:lineRule="auto"/>
        <w:ind w:left="-284"/>
        <w:jc w:val="both"/>
        <w:rPr>
          <w:rFonts w:ascii="Times New Roman" w:hAnsi="Times New Roman"/>
          <w:color w:val="000000"/>
          <w:sz w:val="24"/>
          <w:szCs w:val="24"/>
        </w:rPr>
      </w:pPr>
    </w:p>
    <w:p w:rsidR="007F3DC3" w:rsidRDefault="007F3DC3" w:rsidP="004815B9">
      <w:pPr>
        <w:autoSpaceDE w:val="0"/>
        <w:autoSpaceDN w:val="0"/>
        <w:adjustRightInd w:val="0"/>
        <w:spacing w:after="0" w:line="240" w:lineRule="auto"/>
        <w:ind w:left="-284"/>
        <w:jc w:val="both"/>
        <w:rPr>
          <w:rFonts w:ascii="Times New Roman" w:hAnsi="Times New Roman"/>
          <w:color w:val="000000"/>
          <w:sz w:val="24"/>
          <w:szCs w:val="24"/>
        </w:rPr>
      </w:pPr>
      <w:r w:rsidRPr="004815B9">
        <w:rPr>
          <w:rFonts w:ascii="Times New Roman" w:hAnsi="Times New Roman"/>
          <w:color w:val="000000"/>
          <w:sz w:val="24"/>
          <w:szCs w:val="24"/>
        </w:rPr>
        <w:t>La dégradation de la couverture forestière actuellement affecte énormément la forme de la diversité biologique des écosystèmes forestiers. De plus avec la prolifération des clubs de chasse, il y a toute une nécessité d’actualiser un inventaire faunistique pour ne pas continuer à autoriser la chasse sans une connaissance préalable des conditions des espèces en place et de leur niveau de vulnérabilité.</w:t>
      </w:r>
    </w:p>
    <w:p w:rsidR="002D4EA0" w:rsidRPr="004815B9" w:rsidRDefault="002D4EA0" w:rsidP="004815B9">
      <w:pPr>
        <w:autoSpaceDE w:val="0"/>
        <w:autoSpaceDN w:val="0"/>
        <w:adjustRightInd w:val="0"/>
        <w:spacing w:after="0" w:line="240" w:lineRule="auto"/>
        <w:ind w:left="-284"/>
        <w:jc w:val="both"/>
        <w:rPr>
          <w:rFonts w:ascii="Times New Roman" w:hAnsi="Times New Roman"/>
          <w:color w:val="000000"/>
          <w:sz w:val="24"/>
          <w:szCs w:val="24"/>
        </w:rPr>
      </w:pPr>
    </w:p>
    <w:p w:rsidR="007F3DC3" w:rsidRDefault="007F3DC3" w:rsidP="004815B9">
      <w:pPr>
        <w:autoSpaceDE w:val="0"/>
        <w:autoSpaceDN w:val="0"/>
        <w:adjustRightInd w:val="0"/>
        <w:spacing w:after="0" w:line="240" w:lineRule="auto"/>
        <w:ind w:left="-284"/>
        <w:jc w:val="both"/>
        <w:rPr>
          <w:rFonts w:ascii="Times New Roman" w:hAnsi="Times New Roman"/>
          <w:color w:val="000000"/>
          <w:sz w:val="24"/>
          <w:szCs w:val="24"/>
        </w:rPr>
      </w:pPr>
      <w:r w:rsidRPr="004815B9">
        <w:rPr>
          <w:rFonts w:ascii="Times New Roman" w:hAnsi="Times New Roman"/>
          <w:color w:val="000000"/>
          <w:sz w:val="24"/>
          <w:szCs w:val="24"/>
        </w:rPr>
        <w:t>Un autre phénomène d’envergure à signaler est l’installation de nouveaux villages dans les couloirs d’immigration des grands mammifères. Ces installations anarchiques contribuent à éloigner les éléphants dont le nombre a diminué. Il faut développer des stratégies pour décourager ces pratiques. Le problème c’est que ces mêmes communautés ont participé à l’identification et à la délimitation de ces couloirs.</w:t>
      </w:r>
    </w:p>
    <w:p w:rsidR="002D4EA0" w:rsidRPr="004815B9" w:rsidRDefault="002D4EA0" w:rsidP="004815B9">
      <w:pPr>
        <w:autoSpaceDE w:val="0"/>
        <w:autoSpaceDN w:val="0"/>
        <w:adjustRightInd w:val="0"/>
        <w:spacing w:after="0" w:line="240" w:lineRule="auto"/>
        <w:ind w:left="-284"/>
        <w:jc w:val="both"/>
        <w:rPr>
          <w:rFonts w:ascii="Times New Roman" w:hAnsi="Times New Roman"/>
          <w:color w:val="000000"/>
          <w:sz w:val="24"/>
          <w:szCs w:val="24"/>
        </w:rPr>
      </w:pPr>
    </w:p>
    <w:p w:rsidR="002D4EA0" w:rsidRDefault="007F3DC3" w:rsidP="002D4EA0">
      <w:pPr>
        <w:autoSpaceDE w:val="0"/>
        <w:autoSpaceDN w:val="0"/>
        <w:adjustRightInd w:val="0"/>
        <w:spacing w:after="0" w:line="240" w:lineRule="auto"/>
        <w:ind w:left="-284"/>
        <w:jc w:val="both"/>
        <w:rPr>
          <w:rFonts w:ascii="Times New Roman" w:hAnsi="Times New Roman"/>
          <w:color w:val="000000"/>
          <w:sz w:val="24"/>
          <w:szCs w:val="24"/>
        </w:rPr>
      </w:pPr>
      <w:r w:rsidRPr="004815B9">
        <w:rPr>
          <w:rFonts w:ascii="Times New Roman" w:hAnsi="Times New Roman"/>
          <w:color w:val="000000"/>
          <w:sz w:val="24"/>
          <w:szCs w:val="24"/>
        </w:rPr>
        <w:t>La chasse nationale et celle des étrangers résidents sont, par exemple, peu organisées et peu suivies avec un non-respect des contrats d’abattage. Le constat actuel est à une grande diminution des visites étrangères et à la fermeture de plusieurs campements de chasse.</w:t>
      </w:r>
    </w:p>
    <w:p w:rsidR="002D4EA0" w:rsidRPr="004815B9" w:rsidRDefault="002D4EA0" w:rsidP="002D4EA0">
      <w:pPr>
        <w:autoSpaceDE w:val="0"/>
        <w:autoSpaceDN w:val="0"/>
        <w:adjustRightInd w:val="0"/>
        <w:spacing w:after="0" w:line="240" w:lineRule="auto"/>
        <w:ind w:left="-284"/>
        <w:jc w:val="both"/>
        <w:rPr>
          <w:rFonts w:ascii="Times New Roman" w:hAnsi="Times New Roman"/>
          <w:color w:val="000000"/>
          <w:sz w:val="24"/>
          <w:szCs w:val="24"/>
        </w:rPr>
      </w:pPr>
    </w:p>
    <w:p w:rsidR="007F3DC3" w:rsidRPr="004815B9" w:rsidRDefault="00E15410" w:rsidP="004815B9">
      <w:pPr>
        <w:autoSpaceDE w:val="0"/>
        <w:autoSpaceDN w:val="0"/>
        <w:adjustRightInd w:val="0"/>
        <w:spacing w:after="0" w:line="240" w:lineRule="auto"/>
        <w:ind w:left="-284"/>
        <w:jc w:val="both"/>
        <w:rPr>
          <w:rFonts w:ascii="Times New Roman" w:hAnsi="Times New Roman"/>
          <w:color w:val="000000"/>
          <w:sz w:val="24"/>
          <w:szCs w:val="24"/>
        </w:rPr>
      </w:pPr>
      <w:r>
        <w:rPr>
          <w:rFonts w:ascii="Times New Roman" w:hAnsi="Times New Roman"/>
          <w:color w:val="000000"/>
          <w:sz w:val="24"/>
          <w:szCs w:val="24"/>
        </w:rPr>
        <w:t>Dans la Figure 5</w:t>
      </w:r>
      <w:r w:rsidR="007F3DC3" w:rsidRPr="004815B9">
        <w:rPr>
          <w:rFonts w:ascii="Times New Roman" w:hAnsi="Times New Roman"/>
          <w:color w:val="000000"/>
          <w:sz w:val="24"/>
          <w:szCs w:val="24"/>
        </w:rPr>
        <w:t xml:space="preserve"> ci-dessous qui suit et présentée la Carte d'occupation des sols de la Guinée-Bissau, produite dans le cadre du Projet CARBOVEG-GB, basée sur la classification des images satellite Landsat TM.</w:t>
      </w:r>
    </w:p>
    <w:p w:rsidR="007F3DC3" w:rsidRDefault="007F3DC3" w:rsidP="007F3DC3">
      <w:pPr>
        <w:autoSpaceDE w:val="0"/>
        <w:autoSpaceDN w:val="0"/>
        <w:adjustRightInd w:val="0"/>
        <w:jc w:val="both"/>
        <w:rPr>
          <w:rFonts w:ascii="Times New Roman" w:eastAsia="Calibri" w:hAnsi="Times New Roman" w:cs="Times New Roman"/>
          <w:sz w:val="18"/>
          <w:szCs w:val="18"/>
        </w:rPr>
      </w:pPr>
      <w:r>
        <w:rPr>
          <w:noProof/>
          <w:lang w:val="pt-PT" w:eastAsia="pt-PT"/>
        </w:rPr>
        <w:lastRenderedPageBreak/>
        <w:drawing>
          <wp:inline distT="0" distB="0" distL="0" distR="0" wp14:anchorId="1C35A8E1" wp14:editId="519C8053">
            <wp:extent cx="6301105" cy="2795452"/>
            <wp:effectExtent l="19050" t="19050" r="23495" b="24130"/>
            <wp:docPr id="513" name="Image 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2" cstate="email">
                      <a:extLst>
                        <a:ext uri="{28A0092B-C50C-407E-A947-70E740481C1C}">
                          <a14:useLocalDpi xmlns:a14="http://schemas.microsoft.com/office/drawing/2010/main"/>
                        </a:ext>
                      </a:extLst>
                    </a:blip>
                    <a:stretch>
                      <a:fillRect/>
                    </a:stretch>
                  </pic:blipFill>
                  <pic:spPr>
                    <a:xfrm>
                      <a:off x="0" y="0"/>
                      <a:ext cx="6305296" cy="2797311"/>
                    </a:xfrm>
                    <a:prstGeom prst="rect">
                      <a:avLst/>
                    </a:prstGeom>
                    <a:ln w="19050">
                      <a:solidFill>
                        <a:schemeClr val="accent1"/>
                      </a:solidFill>
                    </a:ln>
                  </pic:spPr>
                </pic:pic>
              </a:graphicData>
            </a:graphic>
          </wp:inline>
        </w:drawing>
      </w:r>
    </w:p>
    <w:p w:rsidR="007F3DC3" w:rsidRDefault="007F3DC3" w:rsidP="007F3DC3">
      <w:pPr>
        <w:autoSpaceDE w:val="0"/>
        <w:autoSpaceDN w:val="0"/>
        <w:adjustRightInd w:val="0"/>
        <w:jc w:val="center"/>
        <w:rPr>
          <w:rFonts w:ascii="Times New Roman" w:hAnsi="Times New Roman" w:cs="Times New Roman"/>
          <w:sz w:val="18"/>
          <w:szCs w:val="18"/>
          <w:lang w:eastAsia="fr-FR"/>
        </w:rPr>
      </w:pPr>
      <w:bookmarkStart w:id="201" w:name="_Toc4770177"/>
      <w:bookmarkStart w:id="202" w:name="_Toc32512027"/>
      <w:r w:rsidRPr="00EA0B43">
        <w:rPr>
          <w:rFonts w:ascii="Times New Roman" w:hAnsi="Times New Roman" w:cs="Times New Roman"/>
          <w:b/>
          <w:sz w:val="18"/>
          <w:szCs w:val="18"/>
        </w:rPr>
        <w:t xml:space="preserve">Figure </w:t>
      </w:r>
      <w:r w:rsidRPr="00EA0B43">
        <w:rPr>
          <w:rFonts w:ascii="Times New Roman" w:hAnsi="Times New Roman" w:cs="Times New Roman"/>
          <w:b/>
          <w:sz w:val="18"/>
          <w:szCs w:val="18"/>
        </w:rPr>
        <w:fldChar w:fldCharType="begin"/>
      </w:r>
      <w:r w:rsidRPr="00EA0B43">
        <w:rPr>
          <w:rFonts w:ascii="Times New Roman" w:hAnsi="Times New Roman" w:cs="Times New Roman"/>
          <w:b/>
          <w:sz w:val="18"/>
          <w:szCs w:val="18"/>
        </w:rPr>
        <w:instrText xml:space="preserve"> SEQ Figure \* ARABIC </w:instrText>
      </w:r>
      <w:r w:rsidRPr="00EA0B43">
        <w:rPr>
          <w:rFonts w:ascii="Times New Roman" w:hAnsi="Times New Roman" w:cs="Times New Roman"/>
          <w:b/>
          <w:sz w:val="18"/>
          <w:szCs w:val="18"/>
        </w:rPr>
        <w:fldChar w:fldCharType="separate"/>
      </w:r>
      <w:r w:rsidR="00EB726E">
        <w:rPr>
          <w:rFonts w:ascii="Times New Roman" w:hAnsi="Times New Roman" w:cs="Times New Roman"/>
          <w:b/>
          <w:noProof/>
          <w:sz w:val="18"/>
          <w:szCs w:val="18"/>
        </w:rPr>
        <w:t>5</w:t>
      </w:r>
      <w:r w:rsidRPr="00EA0B43">
        <w:rPr>
          <w:rFonts w:ascii="Times New Roman" w:hAnsi="Times New Roman" w:cs="Times New Roman"/>
          <w:b/>
          <w:sz w:val="18"/>
          <w:szCs w:val="18"/>
        </w:rPr>
        <w:fldChar w:fldCharType="end"/>
      </w:r>
      <w:r w:rsidRPr="00EA0B43">
        <w:rPr>
          <w:rFonts w:ascii="Times New Roman" w:hAnsi="Times New Roman" w:cs="Times New Roman"/>
          <w:b/>
          <w:sz w:val="18"/>
          <w:szCs w:val="18"/>
        </w:rPr>
        <w:t xml:space="preserve"> : </w:t>
      </w:r>
      <w:r w:rsidRPr="00EA0B43">
        <w:rPr>
          <w:rFonts w:ascii="Times New Roman" w:hAnsi="Times New Roman" w:cs="Times New Roman"/>
          <w:sz w:val="18"/>
          <w:szCs w:val="18"/>
          <w:lang w:eastAsia="fr-FR"/>
        </w:rPr>
        <w:t>Carte d'occupation des sols de la Guinée-Bissau</w:t>
      </w:r>
      <w:bookmarkEnd w:id="201"/>
      <w:bookmarkEnd w:id="202"/>
    </w:p>
    <w:p w:rsidR="007F3DC3" w:rsidRPr="00EA0B43" w:rsidRDefault="007F3DC3" w:rsidP="007F3DC3">
      <w:pPr>
        <w:autoSpaceDE w:val="0"/>
        <w:autoSpaceDN w:val="0"/>
        <w:adjustRightInd w:val="0"/>
        <w:jc w:val="center"/>
        <w:rPr>
          <w:rFonts w:ascii="Times New Roman" w:eastAsia="Calibri" w:hAnsi="Times New Roman" w:cs="Times New Roman"/>
          <w:sz w:val="18"/>
          <w:szCs w:val="18"/>
        </w:rPr>
      </w:pPr>
      <w:r w:rsidRPr="00A23600">
        <w:rPr>
          <w:rFonts w:ascii="Times New Roman" w:hAnsi="Times New Roman" w:cs="Times New Roman"/>
          <w:sz w:val="18"/>
          <w:szCs w:val="18"/>
        </w:rPr>
        <w:t>Source :</w:t>
      </w:r>
      <w:r w:rsidRPr="00A23600">
        <w:rPr>
          <w:rFonts w:ascii="Times New Roman" w:hAnsi="Times New Roman" w:cs="Times New Roman"/>
          <w:sz w:val="18"/>
          <w:szCs w:val="18"/>
          <w:lang w:eastAsia="fr-FR"/>
        </w:rPr>
        <w:t xml:space="preserve"> Document de Politique Nationale de Développement Forestier de Guinée Bissau (juillet 2012)</w:t>
      </w:r>
    </w:p>
    <w:p w:rsidR="007F3DC3" w:rsidRPr="002D4EA0" w:rsidRDefault="002D4EA0" w:rsidP="002D4EA0">
      <w:pPr>
        <w:pStyle w:val="PargrafodaLista"/>
        <w:keepNext/>
        <w:spacing w:before="240" w:after="240"/>
        <w:ind w:left="1158" w:right="284" w:firstLine="258"/>
        <w:jc w:val="both"/>
        <w:outlineLvl w:val="2"/>
        <w:rPr>
          <w:rFonts w:ascii="Times New Roman" w:hAnsi="Times New Roman"/>
          <w:b/>
          <w:sz w:val="24"/>
          <w:szCs w:val="24"/>
          <w:lang w:val="fr-FR" w:eastAsia="fr-FR"/>
        </w:rPr>
      </w:pPr>
      <w:bookmarkStart w:id="203" w:name="_Toc535396932"/>
      <w:bookmarkStart w:id="204" w:name="_Toc6310472"/>
      <w:bookmarkStart w:id="205" w:name="_Toc51072557"/>
      <w:r>
        <w:rPr>
          <w:rFonts w:ascii="Times New Roman" w:hAnsi="Times New Roman"/>
          <w:b/>
          <w:sz w:val="24"/>
          <w:szCs w:val="24"/>
          <w:lang w:val="fr-FR" w:eastAsia="fr-FR"/>
        </w:rPr>
        <w:t>5.3</w:t>
      </w:r>
      <w:r w:rsidR="007F3DC3" w:rsidRPr="002D4EA0">
        <w:rPr>
          <w:rFonts w:ascii="Times New Roman" w:hAnsi="Times New Roman"/>
          <w:b/>
          <w:sz w:val="24"/>
          <w:szCs w:val="24"/>
          <w:lang w:val="fr-FR" w:eastAsia="fr-FR"/>
        </w:rPr>
        <w:t>.</w:t>
      </w:r>
      <w:r>
        <w:rPr>
          <w:rFonts w:ascii="Times New Roman" w:hAnsi="Times New Roman"/>
          <w:b/>
          <w:sz w:val="24"/>
          <w:szCs w:val="24"/>
          <w:lang w:val="fr-FR" w:eastAsia="fr-FR"/>
        </w:rPr>
        <w:t>9.</w:t>
      </w:r>
      <w:r w:rsidR="007F3DC3" w:rsidRPr="002D4EA0">
        <w:rPr>
          <w:rFonts w:ascii="Times New Roman" w:hAnsi="Times New Roman"/>
          <w:b/>
          <w:sz w:val="24"/>
          <w:szCs w:val="24"/>
          <w:lang w:val="fr-FR" w:eastAsia="fr-FR"/>
        </w:rPr>
        <w:t xml:space="preserve"> Les aires protégées</w:t>
      </w:r>
      <w:bookmarkEnd w:id="203"/>
      <w:bookmarkEnd w:id="204"/>
      <w:bookmarkEnd w:id="205"/>
      <w:r w:rsidR="007F3DC3" w:rsidRPr="002D4EA0">
        <w:rPr>
          <w:rFonts w:ascii="Times New Roman" w:hAnsi="Times New Roman"/>
          <w:b/>
          <w:sz w:val="24"/>
          <w:szCs w:val="24"/>
          <w:lang w:val="fr-FR" w:eastAsia="fr-FR"/>
        </w:rPr>
        <w:t xml:space="preserve"> </w:t>
      </w:r>
    </w:p>
    <w:p w:rsidR="007F3DC3" w:rsidRPr="004815B9" w:rsidRDefault="007F3DC3" w:rsidP="004815B9">
      <w:pPr>
        <w:autoSpaceDE w:val="0"/>
        <w:autoSpaceDN w:val="0"/>
        <w:adjustRightInd w:val="0"/>
        <w:spacing w:after="0" w:line="240" w:lineRule="auto"/>
        <w:ind w:left="-284"/>
        <w:jc w:val="both"/>
        <w:rPr>
          <w:rFonts w:ascii="Times New Roman" w:hAnsi="Times New Roman"/>
          <w:color w:val="000000"/>
          <w:sz w:val="24"/>
          <w:szCs w:val="24"/>
        </w:rPr>
      </w:pPr>
      <w:r w:rsidRPr="004815B9">
        <w:rPr>
          <w:rFonts w:ascii="Times New Roman" w:hAnsi="Times New Roman"/>
          <w:color w:val="000000"/>
          <w:sz w:val="24"/>
          <w:szCs w:val="24"/>
        </w:rPr>
        <w:t>En  Guinée-Bissau,  il  existe  un  réseau  composé  de  6  aires  protégées officialisées,  qui  constitue environ  26 %  du  territoire  national, Fig. 28 ci-dessous :  le  parc  National  d’Orango,  situé  au  Sud  de l´Archipel des Bijagos,  le parc Naturel des « Tarrafes » do Rio Cacheu,  situé au Nord –Ouest du pays, le Parc Naturel des Lacs de Cufada,  situé dans la partie sud du pays, le parc National João-Vieira Poilão  situé au Sud-  Est de l’Archipel des Bijagos,  l’aire Marine Protégée Communautaire des Îles Formosa située au Nord de l´Archipel des Bijagós et Le Parc National des Matas de Cantanhez situé au Sud-ouest du pays.</w:t>
      </w:r>
    </w:p>
    <w:p w:rsidR="007F3DC3" w:rsidRDefault="007F3DC3" w:rsidP="004815B9">
      <w:pPr>
        <w:autoSpaceDE w:val="0"/>
        <w:autoSpaceDN w:val="0"/>
        <w:adjustRightInd w:val="0"/>
        <w:spacing w:after="0" w:line="240" w:lineRule="auto"/>
        <w:ind w:left="-284"/>
        <w:jc w:val="both"/>
        <w:rPr>
          <w:rFonts w:ascii="Times New Roman" w:hAnsi="Times New Roman"/>
          <w:color w:val="000000"/>
          <w:sz w:val="24"/>
          <w:szCs w:val="24"/>
        </w:rPr>
      </w:pPr>
      <w:r w:rsidRPr="004815B9">
        <w:rPr>
          <w:rFonts w:ascii="Times New Roman" w:hAnsi="Times New Roman"/>
          <w:color w:val="000000"/>
          <w:sz w:val="24"/>
          <w:szCs w:val="24"/>
        </w:rPr>
        <w:t>Le tableau 1</w:t>
      </w:r>
      <w:r w:rsidR="00EB726E">
        <w:rPr>
          <w:rFonts w:ascii="Times New Roman" w:hAnsi="Times New Roman"/>
          <w:color w:val="000000"/>
          <w:sz w:val="24"/>
          <w:szCs w:val="24"/>
        </w:rPr>
        <w:t>4</w:t>
      </w:r>
      <w:r w:rsidRPr="004815B9">
        <w:rPr>
          <w:rFonts w:ascii="Times New Roman" w:hAnsi="Times New Roman"/>
          <w:color w:val="000000"/>
          <w:sz w:val="24"/>
          <w:szCs w:val="24"/>
        </w:rPr>
        <w:t xml:space="preserve"> suivant donne l’année de création, la superficie terrestre, la superficie maritime et la superf</w:t>
      </w:r>
      <w:r w:rsidR="00BA3EE1">
        <w:rPr>
          <w:rFonts w:ascii="Times New Roman" w:hAnsi="Times New Roman"/>
          <w:color w:val="000000"/>
          <w:sz w:val="24"/>
          <w:szCs w:val="24"/>
        </w:rPr>
        <w:t>icie totale des aires protégées.</w:t>
      </w:r>
    </w:p>
    <w:p w:rsidR="00BA3EE1" w:rsidRPr="004815B9" w:rsidRDefault="00BA3EE1" w:rsidP="004815B9">
      <w:pPr>
        <w:autoSpaceDE w:val="0"/>
        <w:autoSpaceDN w:val="0"/>
        <w:adjustRightInd w:val="0"/>
        <w:spacing w:after="0" w:line="240" w:lineRule="auto"/>
        <w:ind w:left="-284"/>
        <w:jc w:val="both"/>
        <w:rPr>
          <w:rFonts w:ascii="Times New Roman" w:hAnsi="Times New Roman"/>
          <w:color w:val="000000"/>
          <w:sz w:val="24"/>
          <w:szCs w:val="24"/>
        </w:rPr>
      </w:pPr>
    </w:p>
    <w:p w:rsidR="007F3DC3" w:rsidRPr="00BA3EE1" w:rsidRDefault="007F3DC3" w:rsidP="00BA3EE1">
      <w:pPr>
        <w:jc w:val="center"/>
        <w:rPr>
          <w:rFonts w:ascii="Times New Roman" w:hAnsi="Times New Roman" w:cs="Times New Roman"/>
          <w:b/>
          <w:sz w:val="20"/>
          <w:szCs w:val="20"/>
        </w:rPr>
      </w:pPr>
      <w:bookmarkStart w:id="206" w:name="_Toc532558599"/>
      <w:bookmarkStart w:id="207" w:name="_Toc4770106"/>
      <w:bookmarkStart w:id="208" w:name="_Toc51074005"/>
      <w:r w:rsidRPr="00BA3EE1">
        <w:rPr>
          <w:rFonts w:ascii="Times New Roman" w:hAnsi="Times New Roman" w:cs="Times New Roman"/>
          <w:b/>
          <w:sz w:val="20"/>
          <w:szCs w:val="20"/>
        </w:rPr>
        <w:t xml:space="preserve">Tableau </w:t>
      </w:r>
      <w:r w:rsidRPr="00BA3EE1">
        <w:rPr>
          <w:rFonts w:ascii="Times New Roman" w:hAnsi="Times New Roman" w:cs="Times New Roman"/>
          <w:b/>
          <w:sz w:val="20"/>
          <w:szCs w:val="20"/>
        </w:rPr>
        <w:fldChar w:fldCharType="begin"/>
      </w:r>
      <w:r w:rsidRPr="00BA3EE1">
        <w:rPr>
          <w:rFonts w:ascii="Times New Roman" w:hAnsi="Times New Roman" w:cs="Times New Roman"/>
          <w:b/>
          <w:sz w:val="20"/>
          <w:szCs w:val="20"/>
        </w:rPr>
        <w:instrText xml:space="preserve"> SEQ Tableau \* ARABIC </w:instrText>
      </w:r>
      <w:r w:rsidRPr="00BA3EE1">
        <w:rPr>
          <w:rFonts w:ascii="Times New Roman" w:hAnsi="Times New Roman" w:cs="Times New Roman"/>
          <w:b/>
          <w:sz w:val="20"/>
          <w:szCs w:val="20"/>
        </w:rPr>
        <w:fldChar w:fldCharType="separate"/>
      </w:r>
      <w:r w:rsidR="00EB726E">
        <w:rPr>
          <w:rFonts w:ascii="Times New Roman" w:hAnsi="Times New Roman" w:cs="Times New Roman"/>
          <w:b/>
          <w:noProof/>
          <w:sz w:val="20"/>
          <w:szCs w:val="20"/>
        </w:rPr>
        <w:t>14</w:t>
      </w:r>
      <w:r w:rsidRPr="00BA3EE1">
        <w:rPr>
          <w:rFonts w:ascii="Times New Roman" w:hAnsi="Times New Roman" w:cs="Times New Roman"/>
          <w:b/>
          <w:sz w:val="20"/>
          <w:szCs w:val="20"/>
        </w:rPr>
        <w:fldChar w:fldCharType="end"/>
      </w:r>
      <w:r w:rsidRPr="00BA3EE1">
        <w:rPr>
          <w:rFonts w:ascii="Times New Roman" w:hAnsi="Times New Roman" w:cs="Times New Roman"/>
          <w:b/>
          <w:sz w:val="20"/>
          <w:szCs w:val="20"/>
        </w:rPr>
        <w:t>: Année de création, la superficie terrestre, la superficie maritime et la superficie totale des aires protégées</w:t>
      </w:r>
      <w:bookmarkEnd w:id="206"/>
      <w:bookmarkEnd w:id="207"/>
      <w:bookmarkEnd w:id="208"/>
    </w:p>
    <w:p w:rsidR="007F3DC3" w:rsidRPr="003E743A" w:rsidRDefault="007F3DC3" w:rsidP="007F3DC3">
      <w:pPr>
        <w:spacing w:before="100" w:beforeAutospacing="1" w:after="100" w:afterAutospacing="1" w:line="240" w:lineRule="auto"/>
        <w:jc w:val="both"/>
        <w:rPr>
          <w:rFonts w:ascii="Times New Roman" w:eastAsia="Times New Roman" w:hAnsi="Times New Roman" w:cs="Times New Roman"/>
          <w:color w:val="000000"/>
          <w:sz w:val="24"/>
          <w:szCs w:val="24"/>
          <w:highlight w:val="green"/>
          <w:lang w:eastAsia="fr-FR"/>
        </w:rPr>
      </w:pPr>
      <w:r w:rsidRPr="003E743A">
        <w:rPr>
          <w:noProof/>
          <w:lang w:val="pt-PT" w:eastAsia="pt-PT"/>
        </w:rPr>
        <w:drawing>
          <wp:inline distT="0" distB="0" distL="0" distR="0" wp14:anchorId="7BF3E004" wp14:editId="55E600EC">
            <wp:extent cx="6301105" cy="2286000"/>
            <wp:effectExtent l="0" t="0" r="4445" b="0"/>
            <wp:docPr id="512" name="Image 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3" cstate="email">
                      <a:extLst>
                        <a:ext uri="{28A0092B-C50C-407E-A947-70E740481C1C}">
                          <a14:useLocalDpi xmlns:a14="http://schemas.microsoft.com/office/drawing/2010/main"/>
                        </a:ext>
                      </a:extLst>
                    </a:blip>
                    <a:stretch>
                      <a:fillRect/>
                    </a:stretch>
                  </pic:blipFill>
                  <pic:spPr>
                    <a:xfrm>
                      <a:off x="0" y="0"/>
                      <a:ext cx="6304403" cy="2287196"/>
                    </a:xfrm>
                    <a:prstGeom prst="rect">
                      <a:avLst/>
                    </a:prstGeom>
                  </pic:spPr>
                </pic:pic>
              </a:graphicData>
            </a:graphic>
          </wp:inline>
        </w:drawing>
      </w:r>
    </w:p>
    <w:p w:rsidR="007F3DC3" w:rsidRPr="004815B9" w:rsidRDefault="003731BB" w:rsidP="004815B9">
      <w:pPr>
        <w:autoSpaceDE w:val="0"/>
        <w:autoSpaceDN w:val="0"/>
        <w:adjustRightInd w:val="0"/>
        <w:spacing w:after="0" w:line="240" w:lineRule="auto"/>
        <w:ind w:left="-284"/>
        <w:jc w:val="both"/>
        <w:rPr>
          <w:rFonts w:ascii="Times New Roman" w:hAnsi="Times New Roman"/>
          <w:color w:val="000000"/>
          <w:sz w:val="24"/>
          <w:szCs w:val="24"/>
        </w:rPr>
      </w:pPr>
      <w:r w:rsidRPr="00EB726E">
        <w:rPr>
          <w:rFonts w:ascii="Times New Roman" w:hAnsi="Times New Roman" w:cs="Times New Roman"/>
          <w:color w:val="000000"/>
          <w:sz w:val="24"/>
          <w:lang w:eastAsia="fr-FR"/>
        </w:rPr>
        <w:lastRenderedPageBreak/>
        <w:t>Le projet PUASEE-FA Guinée Bissau ne se trouve pas dans ce réseau d’aires protégées</w:t>
      </w:r>
      <w:r w:rsidR="007F3DC3" w:rsidRPr="004815B9">
        <w:rPr>
          <w:rFonts w:ascii="Times New Roman" w:hAnsi="Times New Roman"/>
          <w:color w:val="000000"/>
          <w:sz w:val="24"/>
          <w:szCs w:val="24"/>
        </w:rPr>
        <w:t>. En effet la plupart des aires protégées se retrouvent dans la zone Sud-Est de la Guinée Bissau et la localité de Suru dans la zone Nord-Est.</w:t>
      </w:r>
    </w:p>
    <w:p w:rsidR="007F3DC3" w:rsidRPr="004815B9" w:rsidRDefault="007F3DC3" w:rsidP="004815B9">
      <w:pPr>
        <w:autoSpaceDE w:val="0"/>
        <w:autoSpaceDN w:val="0"/>
        <w:adjustRightInd w:val="0"/>
        <w:spacing w:after="0" w:line="240" w:lineRule="auto"/>
        <w:ind w:left="-284"/>
        <w:jc w:val="both"/>
        <w:rPr>
          <w:rFonts w:ascii="Times New Roman" w:hAnsi="Times New Roman"/>
          <w:color w:val="000000"/>
          <w:sz w:val="24"/>
          <w:szCs w:val="24"/>
        </w:rPr>
      </w:pPr>
      <w:r w:rsidRPr="004815B9">
        <w:rPr>
          <w:rFonts w:ascii="Times New Roman" w:hAnsi="Times New Roman"/>
          <w:color w:val="000000"/>
          <w:sz w:val="24"/>
          <w:szCs w:val="24"/>
        </w:rPr>
        <w:t>La plage de Suru est étroite, située à environ 5m de la ligne des hautes eaux et estimée à environ 200m de la ligne d'eau faible. Les sédiments sont constitués de sable fin avec de nombreux coquillages qui recouvrent la surface dont le substrat est composé de sols marécageux. A première vue, il n'y a pas de récifs coralliens ni d’algues dans la zone et la plage ne semble pas être un habitat convenable à la nidation des tortues. Le site est exempté d’affleurements rocheux pouvant limiter les travaux d’excavation. L’amplitude des marées est d’environ 4 m</w:t>
      </w:r>
    </w:p>
    <w:p w:rsidR="007F3DC3" w:rsidRPr="004815B9" w:rsidRDefault="007F3DC3" w:rsidP="004815B9">
      <w:pPr>
        <w:autoSpaceDE w:val="0"/>
        <w:autoSpaceDN w:val="0"/>
        <w:adjustRightInd w:val="0"/>
        <w:spacing w:after="0" w:line="240" w:lineRule="auto"/>
        <w:ind w:left="-284"/>
        <w:jc w:val="both"/>
        <w:rPr>
          <w:rFonts w:ascii="Times New Roman" w:hAnsi="Times New Roman"/>
          <w:color w:val="000000"/>
          <w:sz w:val="24"/>
          <w:szCs w:val="24"/>
        </w:rPr>
      </w:pPr>
      <w:r w:rsidRPr="004815B9">
        <w:rPr>
          <w:rFonts w:ascii="Times New Roman" w:hAnsi="Times New Roman"/>
          <w:color w:val="000000"/>
          <w:sz w:val="24"/>
          <w:szCs w:val="24"/>
        </w:rPr>
        <w:t>Les Aires protégées du pays s</w:t>
      </w:r>
      <w:r w:rsidR="00E15410">
        <w:rPr>
          <w:rFonts w:ascii="Times New Roman" w:hAnsi="Times New Roman"/>
          <w:color w:val="000000"/>
          <w:sz w:val="24"/>
          <w:szCs w:val="24"/>
        </w:rPr>
        <w:t>ont présentées dans la figure 6</w:t>
      </w:r>
      <w:r w:rsidRPr="004815B9">
        <w:rPr>
          <w:rFonts w:ascii="Times New Roman" w:hAnsi="Times New Roman"/>
          <w:color w:val="000000"/>
          <w:sz w:val="24"/>
          <w:szCs w:val="24"/>
        </w:rPr>
        <w:t xml:space="preserve"> ci-dessous.</w:t>
      </w:r>
    </w:p>
    <w:p w:rsidR="007F3DC3" w:rsidRPr="003E743A" w:rsidRDefault="007F3DC3" w:rsidP="007F3DC3">
      <w:pPr>
        <w:pBdr>
          <w:top w:val="single" w:sz="4" w:space="1" w:color="auto"/>
          <w:left w:val="single" w:sz="4" w:space="4" w:color="auto"/>
          <w:bottom w:val="single" w:sz="4" w:space="1" w:color="auto"/>
          <w:right w:val="single" w:sz="4" w:space="4" w:color="auto"/>
        </w:pBdr>
        <w:shd w:val="clear" w:color="auto" w:fill="EDEDED" w:themeFill="accent3" w:themeFillTint="33"/>
        <w:spacing w:before="100" w:beforeAutospacing="1" w:after="100" w:afterAutospacing="1" w:line="240" w:lineRule="auto"/>
        <w:jc w:val="both"/>
        <w:rPr>
          <w:rFonts w:ascii="Times New Roman" w:eastAsia="Times New Roman" w:hAnsi="Times New Roman" w:cs="Times New Roman"/>
          <w:color w:val="000000"/>
          <w:sz w:val="24"/>
          <w:szCs w:val="24"/>
          <w:highlight w:val="green"/>
          <w:lang w:eastAsia="fr-FR"/>
        </w:rPr>
      </w:pPr>
      <w:r w:rsidRPr="003E743A">
        <w:rPr>
          <w:noProof/>
          <w:lang w:val="pt-PT" w:eastAsia="pt-PT"/>
        </w:rPr>
        <w:drawing>
          <wp:inline distT="0" distB="0" distL="0" distR="0" wp14:anchorId="73BE4728" wp14:editId="65BCB92C">
            <wp:extent cx="6301105" cy="4373880"/>
            <wp:effectExtent l="19050" t="19050" r="23495" b="26670"/>
            <wp:docPr id="127" name="Imag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4" cstate="email">
                      <a:extLst>
                        <a:ext uri="{28A0092B-C50C-407E-A947-70E740481C1C}">
                          <a14:useLocalDpi xmlns:a14="http://schemas.microsoft.com/office/drawing/2010/main"/>
                        </a:ext>
                      </a:extLst>
                    </a:blip>
                    <a:stretch>
                      <a:fillRect/>
                    </a:stretch>
                  </pic:blipFill>
                  <pic:spPr>
                    <a:xfrm>
                      <a:off x="0" y="0"/>
                      <a:ext cx="6301105" cy="4373880"/>
                    </a:xfrm>
                    <a:prstGeom prst="rect">
                      <a:avLst/>
                    </a:prstGeom>
                    <a:ln>
                      <a:solidFill>
                        <a:schemeClr val="accent1"/>
                      </a:solidFill>
                    </a:ln>
                  </pic:spPr>
                </pic:pic>
              </a:graphicData>
            </a:graphic>
          </wp:inline>
        </w:drawing>
      </w:r>
    </w:p>
    <w:p w:rsidR="007F3DC3" w:rsidRPr="00A80065" w:rsidRDefault="007F3DC3" w:rsidP="007F3DC3">
      <w:pPr>
        <w:pStyle w:val="Legenda"/>
        <w:rPr>
          <w:rFonts w:ascii="Times New Roman" w:eastAsia="Times New Roman" w:hAnsi="Times New Roman" w:cs="Times New Roman"/>
          <w:color w:val="auto"/>
          <w:sz w:val="20"/>
          <w:szCs w:val="20"/>
          <w:lang w:val="fr-FR"/>
        </w:rPr>
      </w:pPr>
      <w:bookmarkStart w:id="209" w:name="_Toc4770178"/>
      <w:bookmarkStart w:id="210" w:name="_Toc32512028"/>
      <w:r w:rsidRPr="003E743A">
        <w:rPr>
          <w:rFonts w:ascii="Times New Roman" w:hAnsi="Times New Roman" w:cs="Times New Roman"/>
          <w:color w:val="auto"/>
          <w:sz w:val="20"/>
          <w:szCs w:val="20"/>
          <w:lang w:val="fr-FR"/>
        </w:rPr>
        <w:t xml:space="preserve">Figure </w:t>
      </w:r>
      <w:r w:rsidRPr="003E743A">
        <w:rPr>
          <w:rFonts w:ascii="Times New Roman" w:hAnsi="Times New Roman" w:cs="Times New Roman"/>
          <w:color w:val="auto"/>
          <w:sz w:val="20"/>
          <w:szCs w:val="20"/>
          <w:lang w:val="fr-FR"/>
        </w:rPr>
        <w:fldChar w:fldCharType="begin"/>
      </w:r>
      <w:r w:rsidRPr="003E743A">
        <w:rPr>
          <w:rFonts w:ascii="Times New Roman" w:hAnsi="Times New Roman" w:cs="Times New Roman"/>
          <w:color w:val="auto"/>
          <w:sz w:val="20"/>
          <w:szCs w:val="20"/>
          <w:lang w:val="fr-FR"/>
        </w:rPr>
        <w:instrText xml:space="preserve"> SEQ Figure \* ARABIC </w:instrText>
      </w:r>
      <w:r w:rsidRPr="003E743A">
        <w:rPr>
          <w:rFonts w:ascii="Times New Roman" w:hAnsi="Times New Roman" w:cs="Times New Roman"/>
          <w:color w:val="auto"/>
          <w:sz w:val="20"/>
          <w:szCs w:val="20"/>
          <w:lang w:val="fr-FR"/>
        </w:rPr>
        <w:fldChar w:fldCharType="separate"/>
      </w:r>
      <w:r w:rsidR="002C6E60">
        <w:rPr>
          <w:rFonts w:ascii="Times New Roman" w:hAnsi="Times New Roman" w:cs="Times New Roman"/>
          <w:noProof/>
          <w:color w:val="auto"/>
          <w:sz w:val="20"/>
          <w:szCs w:val="20"/>
          <w:lang w:val="fr-FR"/>
        </w:rPr>
        <w:t>6</w:t>
      </w:r>
      <w:r w:rsidRPr="003E743A">
        <w:rPr>
          <w:rFonts w:ascii="Times New Roman" w:hAnsi="Times New Roman" w:cs="Times New Roman"/>
          <w:color w:val="auto"/>
          <w:sz w:val="20"/>
          <w:szCs w:val="20"/>
          <w:lang w:val="fr-FR"/>
        </w:rPr>
        <w:fldChar w:fldCharType="end"/>
      </w:r>
      <w:r w:rsidRPr="003E743A">
        <w:rPr>
          <w:rFonts w:ascii="Times New Roman" w:hAnsi="Times New Roman" w:cs="Times New Roman"/>
          <w:color w:val="auto"/>
          <w:sz w:val="20"/>
          <w:szCs w:val="20"/>
          <w:lang w:val="fr-FR"/>
        </w:rPr>
        <w:t xml:space="preserve"> </w:t>
      </w:r>
      <w:r w:rsidRPr="003E743A">
        <w:rPr>
          <w:rFonts w:ascii="Times New Roman" w:eastAsia="Times New Roman" w:hAnsi="Times New Roman" w:cs="Times New Roman"/>
          <w:color w:val="auto"/>
          <w:sz w:val="20"/>
          <w:szCs w:val="20"/>
          <w:lang w:val="fr-FR"/>
        </w:rPr>
        <w:t>:</w:t>
      </w:r>
      <w:r w:rsidRPr="00A80065">
        <w:rPr>
          <w:rFonts w:ascii="Times New Roman" w:hAnsi="Times New Roman"/>
          <w:b w:val="0"/>
          <w:color w:val="auto"/>
          <w:sz w:val="24"/>
          <w:szCs w:val="24"/>
          <w:lang w:val="fr-FR"/>
        </w:rPr>
        <w:t xml:space="preserve"> </w:t>
      </w:r>
      <w:r w:rsidRPr="00A80065">
        <w:rPr>
          <w:rFonts w:ascii="Times New Roman" w:eastAsia="Times New Roman" w:hAnsi="Times New Roman" w:cs="Times New Roman"/>
          <w:color w:val="auto"/>
          <w:sz w:val="20"/>
          <w:szCs w:val="20"/>
          <w:lang w:val="fr-FR"/>
        </w:rPr>
        <w:t>Aires protégées du pays</w:t>
      </w:r>
      <w:bookmarkEnd w:id="209"/>
      <w:bookmarkEnd w:id="210"/>
    </w:p>
    <w:p w:rsidR="007F3DC3" w:rsidRDefault="007F3DC3" w:rsidP="002D4EA0">
      <w:pPr>
        <w:pStyle w:val="PargrafodaLista"/>
        <w:keepNext/>
        <w:spacing w:before="240" w:after="240"/>
        <w:ind w:left="450" w:right="284" w:hanging="450"/>
        <w:jc w:val="both"/>
        <w:outlineLvl w:val="1"/>
        <w:rPr>
          <w:rFonts w:ascii="Times New Roman" w:hAnsi="Times New Roman"/>
          <w:b/>
          <w:sz w:val="24"/>
          <w:szCs w:val="24"/>
          <w:lang w:val="fr-FR" w:eastAsia="fr-FR"/>
        </w:rPr>
      </w:pPr>
      <w:bookmarkStart w:id="211" w:name="_Toc535396934"/>
      <w:bookmarkStart w:id="212" w:name="_Toc6310474"/>
      <w:bookmarkStart w:id="213" w:name="_Toc51072558"/>
      <w:r w:rsidRPr="002D4EA0">
        <w:rPr>
          <w:rFonts w:ascii="Times New Roman" w:hAnsi="Times New Roman"/>
          <w:b/>
          <w:sz w:val="24"/>
          <w:szCs w:val="24"/>
          <w:lang w:val="fr-FR" w:eastAsia="fr-FR"/>
        </w:rPr>
        <w:t>5.</w:t>
      </w:r>
      <w:r w:rsidR="002D4EA0">
        <w:rPr>
          <w:rFonts w:ascii="Times New Roman" w:hAnsi="Times New Roman"/>
          <w:b/>
          <w:sz w:val="24"/>
          <w:szCs w:val="24"/>
          <w:lang w:val="fr-FR" w:eastAsia="fr-FR"/>
        </w:rPr>
        <w:t>4.</w:t>
      </w:r>
      <w:r w:rsidRPr="002D4EA0">
        <w:rPr>
          <w:rFonts w:ascii="Times New Roman" w:hAnsi="Times New Roman"/>
          <w:b/>
          <w:sz w:val="24"/>
          <w:szCs w:val="24"/>
          <w:lang w:val="fr-FR" w:eastAsia="fr-FR"/>
        </w:rPr>
        <w:t xml:space="preserve"> Activités socio-économiques et culturelles de la zone d’implantation du projet</w:t>
      </w:r>
      <w:bookmarkEnd w:id="211"/>
      <w:bookmarkEnd w:id="212"/>
      <w:bookmarkEnd w:id="213"/>
    </w:p>
    <w:p w:rsidR="002D4EA0" w:rsidRPr="002D4EA0" w:rsidRDefault="002D4EA0" w:rsidP="002D4EA0">
      <w:pPr>
        <w:pStyle w:val="PargrafodaLista"/>
        <w:keepNext/>
        <w:spacing w:before="240" w:after="240"/>
        <w:ind w:left="450" w:right="284" w:hanging="450"/>
        <w:jc w:val="both"/>
        <w:rPr>
          <w:rFonts w:ascii="Times New Roman" w:hAnsi="Times New Roman"/>
          <w:b/>
          <w:sz w:val="24"/>
          <w:szCs w:val="24"/>
          <w:lang w:val="fr-FR" w:eastAsia="fr-FR"/>
        </w:rPr>
      </w:pPr>
    </w:p>
    <w:p w:rsidR="007F3DC3" w:rsidRPr="002D4EA0" w:rsidRDefault="002D4EA0" w:rsidP="002D4EA0">
      <w:pPr>
        <w:pStyle w:val="PargrafodaLista"/>
        <w:keepNext/>
        <w:spacing w:before="240" w:after="240"/>
        <w:ind w:left="1158" w:right="284" w:firstLine="258"/>
        <w:jc w:val="both"/>
        <w:outlineLvl w:val="2"/>
        <w:rPr>
          <w:rFonts w:ascii="Times New Roman" w:hAnsi="Times New Roman"/>
          <w:b/>
          <w:sz w:val="24"/>
          <w:szCs w:val="24"/>
          <w:lang w:val="fr-FR" w:eastAsia="fr-FR"/>
        </w:rPr>
      </w:pPr>
      <w:bookmarkStart w:id="214" w:name="_Toc535396935"/>
      <w:bookmarkStart w:id="215" w:name="_Toc6310475"/>
      <w:bookmarkStart w:id="216" w:name="_Toc51072559"/>
      <w:r>
        <w:rPr>
          <w:rFonts w:ascii="Times New Roman" w:hAnsi="Times New Roman"/>
          <w:b/>
          <w:sz w:val="24"/>
          <w:szCs w:val="24"/>
          <w:lang w:val="fr-FR" w:eastAsia="fr-FR"/>
        </w:rPr>
        <w:t>5.4</w:t>
      </w:r>
      <w:r w:rsidR="007F3DC3" w:rsidRPr="002D4EA0">
        <w:rPr>
          <w:rFonts w:ascii="Times New Roman" w:hAnsi="Times New Roman"/>
          <w:b/>
          <w:sz w:val="24"/>
          <w:szCs w:val="24"/>
          <w:lang w:val="fr-FR" w:eastAsia="fr-FR"/>
        </w:rPr>
        <w:t>.</w:t>
      </w:r>
      <w:r>
        <w:rPr>
          <w:rFonts w:ascii="Times New Roman" w:hAnsi="Times New Roman"/>
          <w:b/>
          <w:sz w:val="24"/>
          <w:szCs w:val="24"/>
          <w:lang w:val="fr-FR" w:eastAsia="fr-FR"/>
        </w:rPr>
        <w:t>1.</w:t>
      </w:r>
      <w:r w:rsidR="007F3DC3" w:rsidRPr="002D4EA0">
        <w:rPr>
          <w:rFonts w:ascii="Times New Roman" w:hAnsi="Times New Roman"/>
          <w:b/>
          <w:sz w:val="24"/>
          <w:szCs w:val="24"/>
          <w:lang w:val="fr-FR" w:eastAsia="fr-FR"/>
        </w:rPr>
        <w:t xml:space="preserve"> Répartition Spatiale de la Population et Densité (Censo 2009)</w:t>
      </w:r>
      <w:bookmarkEnd w:id="214"/>
      <w:bookmarkEnd w:id="215"/>
      <w:bookmarkEnd w:id="216"/>
    </w:p>
    <w:p w:rsidR="007F3DC3" w:rsidRDefault="007F3DC3" w:rsidP="004815B9">
      <w:pPr>
        <w:autoSpaceDE w:val="0"/>
        <w:autoSpaceDN w:val="0"/>
        <w:adjustRightInd w:val="0"/>
        <w:spacing w:after="0" w:line="240" w:lineRule="auto"/>
        <w:ind w:left="-284"/>
        <w:jc w:val="both"/>
        <w:rPr>
          <w:rFonts w:ascii="Times New Roman" w:hAnsi="Times New Roman"/>
          <w:color w:val="000000"/>
          <w:sz w:val="24"/>
          <w:szCs w:val="24"/>
        </w:rPr>
      </w:pPr>
      <w:r w:rsidRPr="004815B9">
        <w:rPr>
          <w:rFonts w:ascii="Times New Roman" w:hAnsi="Times New Roman"/>
          <w:color w:val="000000"/>
          <w:sz w:val="24"/>
          <w:szCs w:val="24"/>
        </w:rPr>
        <w:t>D’après les résultats préliminaires du RGPH, mené en mars 2009 par l’Institut National de la Statistique et du Recensement (INEC), la population totale du pays est estimée à 1 449 230 habitants, dont 755.859 sont de sexe masculin et 792.300 de sexe féminin. Les subdivisions administratives de la Guinée Bissau sont au nombre de neuf : huit régions (Cacheu, Oio, Gabu, Bafatá, Quínara, Tombali, Bolama Bijagós et Biombo) et le secteur autonome de Bissau (tableau 13 et 13bis ci-dessous).</w:t>
      </w:r>
    </w:p>
    <w:p w:rsidR="00BA3EE1" w:rsidRPr="004815B9" w:rsidRDefault="00BA3EE1" w:rsidP="004815B9">
      <w:pPr>
        <w:autoSpaceDE w:val="0"/>
        <w:autoSpaceDN w:val="0"/>
        <w:adjustRightInd w:val="0"/>
        <w:spacing w:after="0" w:line="240" w:lineRule="auto"/>
        <w:ind w:left="-284"/>
        <w:jc w:val="both"/>
        <w:rPr>
          <w:rFonts w:ascii="Times New Roman" w:hAnsi="Times New Roman"/>
          <w:color w:val="000000"/>
          <w:sz w:val="24"/>
          <w:szCs w:val="24"/>
        </w:rPr>
      </w:pPr>
    </w:p>
    <w:p w:rsidR="007F3DC3" w:rsidRPr="00BA3EE1" w:rsidRDefault="007F3DC3" w:rsidP="00BA3EE1">
      <w:pPr>
        <w:jc w:val="center"/>
        <w:rPr>
          <w:rFonts w:ascii="Times New Roman" w:hAnsi="Times New Roman" w:cs="Times New Roman"/>
          <w:b/>
          <w:sz w:val="20"/>
          <w:szCs w:val="20"/>
        </w:rPr>
      </w:pPr>
      <w:r w:rsidRPr="00BA3EE1">
        <w:rPr>
          <w:rFonts w:ascii="Times New Roman" w:hAnsi="Times New Roman" w:cs="Times New Roman"/>
          <w:b/>
          <w:sz w:val="20"/>
          <w:szCs w:val="20"/>
        </w:rPr>
        <w:lastRenderedPageBreak/>
        <w:t xml:space="preserve"> </w:t>
      </w:r>
      <w:bookmarkStart w:id="217" w:name="_Toc4770107"/>
      <w:bookmarkStart w:id="218" w:name="_Toc51074006"/>
      <w:r w:rsidRPr="00BA3EE1">
        <w:rPr>
          <w:rFonts w:ascii="Times New Roman" w:hAnsi="Times New Roman" w:cs="Times New Roman"/>
          <w:b/>
          <w:sz w:val="20"/>
          <w:szCs w:val="20"/>
        </w:rPr>
        <w:t xml:space="preserve">Tableau </w:t>
      </w:r>
      <w:r w:rsidRPr="00BA3EE1">
        <w:rPr>
          <w:rFonts w:ascii="Times New Roman" w:hAnsi="Times New Roman" w:cs="Times New Roman"/>
          <w:b/>
          <w:sz w:val="20"/>
          <w:szCs w:val="20"/>
        </w:rPr>
        <w:fldChar w:fldCharType="begin"/>
      </w:r>
      <w:r w:rsidRPr="00BA3EE1">
        <w:rPr>
          <w:rFonts w:ascii="Times New Roman" w:hAnsi="Times New Roman" w:cs="Times New Roman"/>
          <w:b/>
          <w:sz w:val="20"/>
          <w:szCs w:val="20"/>
        </w:rPr>
        <w:instrText xml:space="preserve"> SEQ Tableau \* ARABIC </w:instrText>
      </w:r>
      <w:r w:rsidRPr="00BA3EE1">
        <w:rPr>
          <w:rFonts w:ascii="Times New Roman" w:hAnsi="Times New Roman" w:cs="Times New Roman"/>
          <w:b/>
          <w:sz w:val="20"/>
          <w:szCs w:val="20"/>
        </w:rPr>
        <w:fldChar w:fldCharType="separate"/>
      </w:r>
      <w:r w:rsidR="002C6E60">
        <w:rPr>
          <w:rFonts w:ascii="Times New Roman" w:hAnsi="Times New Roman" w:cs="Times New Roman"/>
          <w:b/>
          <w:noProof/>
          <w:sz w:val="20"/>
          <w:szCs w:val="20"/>
        </w:rPr>
        <w:t>16</w:t>
      </w:r>
      <w:r w:rsidRPr="00BA3EE1">
        <w:rPr>
          <w:rFonts w:ascii="Times New Roman" w:hAnsi="Times New Roman" w:cs="Times New Roman"/>
          <w:b/>
          <w:sz w:val="20"/>
          <w:szCs w:val="20"/>
        </w:rPr>
        <w:fldChar w:fldCharType="end"/>
      </w:r>
      <w:r w:rsidRPr="00BA3EE1">
        <w:rPr>
          <w:rFonts w:ascii="Times New Roman" w:hAnsi="Times New Roman" w:cs="Times New Roman"/>
          <w:b/>
          <w:sz w:val="20"/>
          <w:szCs w:val="20"/>
        </w:rPr>
        <w:t>: Répartition Spatiale de la Population et Densité (Censo 2009)</w:t>
      </w:r>
      <w:bookmarkEnd w:id="217"/>
      <w:bookmarkEnd w:id="218"/>
    </w:p>
    <w:tbl>
      <w:tblPr>
        <w:tblpPr w:leftFromText="141" w:rightFromText="141" w:vertAnchor="page" w:horzAnchor="margin" w:tblpXSpec="center" w:tblpY="2058"/>
        <w:tblW w:w="7791" w:type="dxa"/>
        <w:tblCellMar>
          <w:left w:w="70" w:type="dxa"/>
          <w:right w:w="70" w:type="dxa"/>
        </w:tblCellMar>
        <w:tblLook w:val="04A0" w:firstRow="1" w:lastRow="0" w:firstColumn="1" w:lastColumn="0" w:noHBand="0" w:noVBand="1"/>
      </w:tblPr>
      <w:tblGrid>
        <w:gridCol w:w="160"/>
        <w:gridCol w:w="2992"/>
        <w:gridCol w:w="1127"/>
        <w:gridCol w:w="146"/>
        <w:gridCol w:w="1658"/>
        <w:gridCol w:w="160"/>
        <w:gridCol w:w="1548"/>
      </w:tblGrid>
      <w:tr w:rsidR="00820701" w:rsidRPr="003E743A" w:rsidTr="00820701">
        <w:trPr>
          <w:trHeight w:val="300"/>
        </w:trPr>
        <w:tc>
          <w:tcPr>
            <w:tcW w:w="160" w:type="dxa"/>
            <w:tcBorders>
              <w:top w:val="nil"/>
              <w:left w:val="nil"/>
              <w:bottom w:val="nil"/>
              <w:right w:val="nil"/>
            </w:tcBorders>
            <w:shd w:val="clear" w:color="auto" w:fill="auto"/>
            <w:noWrap/>
            <w:vAlign w:val="center"/>
            <w:hideMark/>
          </w:tcPr>
          <w:p w:rsidR="00820701" w:rsidRPr="003E743A" w:rsidRDefault="00820701" w:rsidP="00820701">
            <w:pPr>
              <w:spacing w:after="0" w:line="240" w:lineRule="auto"/>
              <w:jc w:val="both"/>
              <w:rPr>
                <w:rFonts w:ascii="Times New Roman" w:eastAsia="Times New Roman" w:hAnsi="Times New Roman" w:cs="Times New Roman"/>
                <w:sz w:val="24"/>
                <w:szCs w:val="24"/>
                <w:lang w:eastAsia="fr-FR"/>
              </w:rPr>
            </w:pPr>
          </w:p>
          <w:p w:rsidR="00820701" w:rsidRPr="003E743A" w:rsidRDefault="00820701" w:rsidP="00820701">
            <w:pPr>
              <w:spacing w:after="0" w:line="240" w:lineRule="auto"/>
              <w:jc w:val="both"/>
              <w:rPr>
                <w:rFonts w:ascii="Times New Roman" w:eastAsia="Times New Roman" w:hAnsi="Times New Roman" w:cs="Times New Roman"/>
                <w:sz w:val="24"/>
                <w:szCs w:val="24"/>
                <w:lang w:eastAsia="fr-FR"/>
              </w:rPr>
            </w:pPr>
          </w:p>
        </w:tc>
        <w:tc>
          <w:tcPr>
            <w:tcW w:w="2992" w:type="dxa"/>
            <w:vMerge w:val="restart"/>
            <w:tcBorders>
              <w:top w:val="single" w:sz="4" w:space="0" w:color="auto"/>
              <w:left w:val="single" w:sz="4" w:space="0" w:color="auto"/>
              <w:bottom w:val="single" w:sz="4" w:space="0" w:color="auto"/>
              <w:right w:val="single" w:sz="4" w:space="0" w:color="auto"/>
            </w:tcBorders>
            <w:shd w:val="clear" w:color="auto" w:fill="9CC2E5" w:themeFill="accent1" w:themeFillTint="99"/>
            <w:noWrap/>
            <w:vAlign w:val="center"/>
            <w:hideMark/>
          </w:tcPr>
          <w:p w:rsidR="00820701" w:rsidRPr="003E743A" w:rsidRDefault="00820701" w:rsidP="00820701">
            <w:pPr>
              <w:spacing w:after="0" w:line="240" w:lineRule="auto"/>
              <w:jc w:val="both"/>
              <w:rPr>
                <w:rFonts w:ascii="Times New Roman" w:eastAsia="Times New Roman" w:hAnsi="Times New Roman" w:cs="Times New Roman"/>
                <w:sz w:val="24"/>
                <w:szCs w:val="24"/>
                <w:lang w:eastAsia="fr-FR"/>
              </w:rPr>
            </w:pPr>
            <w:r w:rsidRPr="003E743A">
              <w:rPr>
                <w:rFonts w:ascii="Times New Roman" w:eastAsia="Times New Roman" w:hAnsi="Times New Roman" w:cs="Times New Roman"/>
                <w:sz w:val="24"/>
                <w:szCs w:val="24"/>
                <w:lang w:eastAsia="fr-FR"/>
              </w:rPr>
              <w:t>Région</w:t>
            </w:r>
          </w:p>
        </w:tc>
        <w:tc>
          <w:tcPr>
            <w:tcW w:w="1127" w:type="dxa"/>
            <w:vMerge w:val="restart"/>
            <w:tcBorders>
              <w:top w:val="single" w:sz="4" w:space="0" w:color="auto"/>
              <w:left w:val="single" w:sz="4" w:space="0" w:color="auto"/>
              <w:bottom w:val="single" w:sz="4" w:space="0" w:color="000000"/>
              <w:right w:val="single" w:sz="4" w:space="0" w:color="auto"/>
            </w:tcBorders>
            <w:shd w:val="clear" w:color="auto" w:fill="9CC2E5" w:themeFill="accent1" w:themeFillTint="99"/>
            <w:noWrap/>
            <w:vAlign w:val="center"/>
            <w:hideMark/>
          </w:tcPr>
          <w:p w:rsidR="00820701" w:rsidRPr="004925B7" w:rsidRDefault="00820701" w:rsidP="00820701">
            <w:pPr>
              <w:spacing w:after="0" w:line="240" w:lineRule="auto"/>
              <w:jc w:val="both"/>
              <w:rPr>
                <w:rFonts w:ascii="Times New Roman" w:eastAsia="Times New Roman" w:hAnsi="Times New Roman" w:cs="Times New Roman"/>
                <w:sz w:val="24"/>
                <w:szCs w:val="24"/>
                <w:lang w:eastAsia="fr-FR"/>
              </w:rPr>
            </w:pPr>
            <w:r w:rsidRPr="003E743A">
              <w:rPr>
                <w:rFonts w:ascii="Times New Roman" w:eastAsia="Times New Roman" w:hAnsi="Times New Roman" w:cs="Times New Roman"/>
                <w:sz w:val="24"/>
                <w:szCs w:val="24"/>
                <w:lang w:eastAsia="fr-FR"/>
              </w:rPr>
              <w:t>Superficie</w:t>
            </w:r>
            <w:r>
              <w:rPr>
                <w:rFonts w:ascii="Times New Roman" w:eastAsia="Times New Roman" w:hAnsi="Times New Roman" w:cs="Times New Roman"/>
                <w:sz w:val="24"/>
                <w:szCs w:val="24"/>
                <w:lang w:eastAsia="fr-FR"/>
              </w:rPr>
              <w:t xml:space="preserve"> (km</w:t>
            </w:r>
            <w:r>
              <w:rPr>
                <w:rFonts w:ascii="Times New Roman" w:eastAsia="Times New Roman" w:hAnsi="Times New Roman" w:cs="Times New Roman"/>
                <w:sz w:val="24"/>
                <w:szCs w:val="24"/>
                <w:vertAlign w:val="superscript"/>
                <w:lang w:eastAsia="fr-FR"/>
              </w:rPr>
              <w:t>2</w:t>
            </w:r>
            <w:r>
              <w:rPr>
                <w:rFonts w:ascii="Times New Roman" w:eastAsia="Times New Roman" w:hAnsi="Times New Roman" w:cs="Times New Roman"/>
                <w:sz w:val="24"/>
                <w:szCs w:val="24"/>
                <w:lang w:eastAsia="fr-FR"/>
              </w:rPr>
              <w:t>)</w:t>
            </w:r>
          </w:p>
        </w:tc>
        <w:tc>
          <w:tcPr>
            <w:tcW w:w="1804" w:type="dxa"/>
            <w:gridSpan w:val="2"/>
            <w:tcBorders>
              <w:top w:val="single" w:sz="4" w:space="0" w:color="auto"/>
              <w:left w:val="nil"/>
              <w:bottom w:val="single" w:sz="4" w:space="0" w:color="auto"/>
              <w:right w:val="single" w:sz="4" w:space="0" w:color="000000"/>
            </w:tcBorders>
            <w:shd w:val="clear" w:color="auto" w:fill="9CC2E5" w:themeFill="accent1" w:themeFillTint="99"/>
            <w:noWrap/>
            <w:vAlign w:val="center"/>
            <w:hideMark/>
          </w:tcPr>
          <w:p w:rsidR="00820701" w:rsidRPr="003E743A" w:rsidRDefault="00820701" w:rsidP="00820701">
            <w:pPr>
              <w:spacing w:after="0" w:line="240" w:lineRule="auto"/>
              <w:jc w:val="both"/>
              <w:rPr>
                <w:rFonts w:ascii="Times New Roman" w:eastAsia="Times New Roman" w:hAnsi="Times New Roman" w:cs="Times New Roman"/>
                <w:sz w:val="24"/>
                <w:szCs w:val="24"/>
                <w:lang w:eastAsia="fr-FR"/>
              </w:rPr>
            </w:pPr>
            <w:r w:rsidRPr="003E743A">
              <w:rPr>
                <w:rFonts w:ascii="Times New Roman" w:eastAsia="Times New Roman" w:hAnsi="Times New Roman" w:cs="Times New Roman"/>
                <w:sz w:val="24"/>
                <w:szCs w:val="24"/>
                <w:lang w:eastAsia="fr-FR"/>
              </w:rPr>
              <w:t>Population résidents</w:t>
            </w:r>
          </w:p>
        </w:tc>
        <w:tc>
          <w:tcPr>
            <w:tcW w:w="1708" w:type="dxa"/>
            <w:gridSpan w:val="2"/>
            <w:tcBorders>
              <w:top w:val="single" w:sz="4" w:space="0" w:color="auto"/>
              <w:left w:val="nil"/>
              <w:bottom w:val="single" w:sz="4" w:space="0" w:color="auto"/>
              <w:right w:val="single" w:sz="4" w:space="0" w:color="000000"/>
            </w:tcBorders>
            <w:shd w:val="clear" w:color="auto" w:fill="9CC2E5" w:themeFill="accent1" w:themeFillTint="99"/>
            <w:noWrap/>
            <w:vAlign w:val="center"/>
            <w:hideMark/>
          </w:tcPr>
          <w:p w:rsidR="00820701" w:rsidRPr="004925B7" w:rsidRDefault="00820701" w:rsidP="00820701">
            <w:pPr>
              <w:spacing w:after="0" w:line="240" w:lineRule="auto"/>
              <w:jc w:val="both"/>
              <w:rPr>
                <w:rFonts w:ascii="Times New Roman" w:eastAsia="Times New Roman" w:hAnsi="Times New Roman" w:cs="Times New Roman"/>
                <w:sz w:val="24"/>
                <w:szCs w:val="24"/>
                <w:lang w:eastAsia="fr-FR"/>
              </w:rPr>
            </w:pPr>
            <w:r w:rsidRPr="003E743A">
              <w:rPr>
                <w:rFonts w:ascii="Times New Roman" w:eastAsia="Times New Roman" w:hAnsi="Times New Roman" w:cs="Times New Roman"/>
                <w:sz w:val="24"/>
                <w:szCs w:val="24"/>
                <w:lang w:eastAsia="fr-FR"/>
              </w:rPr>
              <w:t>Densité hab/km</w:t>
            </w:r>
            <w:r>
              <w:rPr>
                <w:rFonts w:ascii="Times New Roman" w:eastAsia="Times New Roman" w:hAnsi="Times New Roman" w:cs="Times New Roman"/>
                <w:sz w:val="24"/>
                <w:szCs w:val="24"/>
                <w:vertAlign w:val="superscript"/>
                <w:lang w:eastAsia="fr-FR"/>
              </w:rPr>
              <w:t>2</w:t>
            </w:r>
          </w:p>
        </w:tc>
      </w:tr>
      <w:tr w:rsidR="00820701" w:rsidRPr="003E743A" w:rsidTr="00820701">
        <w:trPr>
          <w:trHeight w:val="300"/>
        </w:trPr>
        <w:tc>
          <w:tcPr>
            <w:tcW w:w="160" w:type="dxa"/>
            <w:tcBorders>
              <w:top w:val="nil"/>
              <w:left w:val="nil"/>
              <w:bottom w:val="nil"/>
              <w:right w:val="single" w:sz="4" w:space="0" w:color="auto"/>
            </w:tcBorders>
            <w:shd w:val="clear" w:color="auto" w:fill="auto"/>
            <w:noWrap/>
            <w:vAlign w:val="center"/>
            <w:hideMark/>
          </w:tcPr>
          <w:p w:rsidR="00820701" w:rsidRPr="003E743A" w:rsidRDefault="00820701" w:rsidP="00820701">
            <w:pPr>
              <w:spacing w:after="0" w:line="240" w:lineRule="auto"/>
              <w:jc w:val="both"/>
              <w:rPr>
                <w:rFonts w:ascii="Times New Roman" w:eastAsia="Times New Roman" w:hAnsi="Times New Roman" w:cs="Times New Roman"/>
                <w:sz w:val="24"/>
                <w:szCs w:val="24"/>
                <w:lang w:eastAsia="fr-FR"/>
              </w:rPr>
            </w:pPr>
          </w:p>
        </w:tc>
        <w:tc>
          <w:tcPr>
            <w:tcW w:w="2992" w:type="dxa"/>
            <w:vMerge/>
            <w:tcBorders>
              <w:top w:val="single" w:sz="4" w:space="0" w:color="auto"/>
              <w:left w:val="single" w:sz="4" w:space="0" w:color="auto"/>
              <w:bottom w:val="single" w:sz="4" w:space="0" w:color="auto"/>
              <w:right w:val="nil"/>
            </w:tcBorders>
            <w:vAlign w:val="center"/>
            <w:hideMark/>
          </w:tcPr>
          <w:p w:rsidR="00820701" w:rsidRPr="003E743A" w:rsidRDefault="00820701" w:rsidP="00820701">
            <w:pPr>
              <w:spacing w:after="0" w:line="240" w:lineRule="auto"/>
              <w:jc w:val="both"/>
              <w:rPr>
                <w:rFonts w:ascii="Times New Roman" w:eastAsia="Times New Roman" w:hAnsi="Times New Roman" w:cs="Times New Roman"/>
                <w:sz w:val="24"/>
                <w:szCs w:val="24"/>
                <w:lang w:eastAsia="fr-FR"/>
              </w:rPr>
            </w:pPr>
          </w:p>
        </w:tc>
        <w:tc>
          <w:tcPr>
            <w:tcW w:w="1127" w:type="dxa"/>
            <w:vMerge/>
            <w:tcBorders>
              <w:top w:val="single" w:sz="4" w:space="0" w:color="auto"/>
              <w:left w:val="single" w:sz="4" w:space="0" w:color="auto"/>
              <w:bottom w:val="single" w:sz="4" w:space="0" w:color="auto"/>
              <w:right w:val="single" w:sz="4" w:space="0" w:color="auto"/>
            </w:tcBorders>
            <w:vAlign w:val="center"/>
            <w:hideMark/>
          </w:tcPr>
          <w:p w:rsidR="00820701" w:rsidRPr="003E743A" w:rsidRDefault="00820701" w:rsidP="00820701">
            <w:pPr>
              <w:spacing w:after="0" w:line="240" w:lineRule="auto"/>
              <w:jc w:val="both"/>
              <w:rPr>
                <w:rFonts w:ascii="Times New Roman" w:eastAsia="Times New Roman" w:hAnsi="Times New Roman" w:cs="Times New Roman"/>
                <w:sz w:val="24"/>
                <w:szCs w:val="24"/>
                <w:lang w:eastAsia="fr-FR"/>
              </w:rPr>
            </w:pPr>
          </w:p>
        </w:tc>
        <w:tc>
          <w:tcPr>
            <w:tcW w:w="146" w:type="dxa"/>
            <w:tcBorders>
              <w:top w:val="nil"/>
              <w:left w:val="nil"/>
              <w:bottom w:val="single" w:sz="4" w:space="0" w:color="auto"/>
              <w:right w:val="single" w:sz="4" w:space="0" w:color="auto"/>
            </w:tcBorders>
            <w:shd w:val="clear" w:color="auto" w:fill="auto"/>
            <w:noWrap/>
            <w:vAlign w:val="center"/>
          </w:tcPr>
          <w:p w:rsidR="00820701" w:rsidRPr="003E743A" w:rsidRDefault="00820701" w:rsidP="00820701">
            <w:pPr>
              <w:spacing w:after="0" w:line="240" w:lineRule="auto"/>
              <w:jc w:val="both"/>
              <w:rPr>
                <w:rFonts w:ascii="Times New Roman" w:eastAsia="Times New Roman" w:hAnsi="Times New Roman" w:cs="Times New Roman"/>
                <w:sz w:val="24"/>
                <w:szCs w:val="24"/>
                <w:lang w:eastAsia="fr-FR"/>
              </w:rPr>
            </w:pPr>
          </w:p>
        </w:tc>
        <w:tc>
          <w:tcPr>
            <w:tcW w:w="1658" w:type="dxa"/>
            <w:tcBorders>
              <w:top w:val="nil"/>
              <w:left w:val="nil"/>
              <w:bottom w:val="single" w:sz="4" w:space="0" w:color="auto"/>
              <w:right w:val="single" w:sz="4" w:space="0" w:color="auto"/>
            </w:tcBorders>
            <w:shd w:val="clear" w:color="auto" w:fill="auto"/>
            <w:noWrap/>
            <w:vAlign w:val="center"/>
            <w:hideMark/>
          </w:tcPr>
          <w:p w:rsidR="00820701" w:rsidRPr="003E743A" w:rsidRDefault="00820701" w:rsidP="00820701">
            <w:pPr>
              <w:spacing w:after="0" w:line="240" w:lineRule="auto"/>
              <w:jc w:val="both"/>
              <w:rPr>
                <w:rFonts w:ascii="Times New Roman" w:eastAsia="Times New Roman" w:hAnsi="Times New Roman" w:cs="Times New Roman"/>
                <w:sz w:val="24"/>
                <w:szCs w:val="24"/>
                <w:lang w:eastAsia="fr-FR"/>
              </w:rPr>
            </w:pPr>
            <w:r w:rsidRPr="003E743A">
              <w:rPr>
                <w:rFonts w:ascii="Times New Roman" w:eastAsia="Times New Roman" w:hAnsi="Times New Roman" w:cs="Times New Roman"/>
                <w:sz w:val="24"/>
                <w:szCs w:val="24"/>
                <w:lang w:eastAsia="fr-FR"/>
              </w:rPr>
              <w:t>2009</w:t>
            </w:r>
          </w:p>
        </w:tc>
        <w:tc>
          <w:tcPr>
            <w:tcW w:w="160" w:type="dxa"/>
            <w:tcBorders>
              <w:top w:val="nil"/>
              <w:left w:val="nil"/>
              <w:bottom w:val="single" w:sz="4" w:space="0" w:color="auto"/>
              <w:right w:val="single" w:sz="4" w:space="0" w:color="auto"/>
            </w:tcBorders>
            <w:shd w:val="clear" w:color="auto" w:fill="auto"/>
            <w:noWrap/>
            <w:vAlign w:val="center"/>
          </w:tcPr>
          <w:p w:rsidR="00820701" w:rsidRPr="003E743A" w:rsidRDefault="00820701" w:rsidP="00820701">
            <w:pPr>
              <w:spacing w:after="0" w:line="240" w:lineRule="auto"/>
              <w:jc w:val="both"/>
              <w:rPr>
                <w:rFonts w:ascii="Times New Roman" w:eastAsia="Times New Roman" w:hAnsi="Times New Roman" w:cs="Times New Roman"/>
                <w:sz w:val="24"/>
                <w:szCs w:val="24"/>
                <w:lang w:eastAsia="fr-FR"/>
              </w:rPr>
            </w:pPr>
          </w:p>
        </w:tc>
        <w:tc>
          <w:tcPr>
            <w:tcW w:w="1548" w:type="dxa"/>
            <w:tcBorders>
              <w:top w:val="nil"/>
              <w:left w:val="nil"/>
              <w:bottom w:val="single" w:sz="4" w:space="0" w:color="auto"/>
              <w:right w:val="single" w:sz="4" w:space="0" w:color="auto"/>
            </w:tcBorders>
            <w:shd w:val="clear" w:color="auto" w:fill="auto"/>
            <w:noWrap/>
            <w:vAlign w:val="center"/>
            <w:hideMark/>
          </w:tcPr>
          <w:p w:rsidR="00820701" w:rsidRPr="003E743A" w:rsidRDefault="00820701" w:rsidP="00820701">
            <w:pPr>
              <w:spacing w:after="0" w:line="240" w:lineRule="auto"/>
              <w:jc w:val="both"/>
              <w:rPr>
                <w:rFonts w:ascii="Times New Roman" w:eastAsia="Times New Roman" w:hAnsi="Times New Roman" w:cs="Times New Roman"/>
                <w:sz w:val="24"/>
                <w:szCs w:val="24"/>
                <w:lang w:eastAsia="fr-FR"/>
              </w:rPr>
            </w:pPr>
            <w:r w:rsidRPr="003E743A">
              <w:rPr>
                <w:rFonts w:ascii="Times New Roman" w:eastAsia="Times New Roman" w:hAnsi="Times New Roman" w:cs="Times New Roman"/>
                <w:sz w:val="24"/>
                <w:szCs w:val="24"/>
                <w:lang w:eastAsia="fr-FR"/>
              </w:rPr>
              <w:t>2009</w:t>
            </w:r>
          </w:p>
        </w:tc>
      </w:tr>
      <w:tr w:rsidR="00820701" w:rsidRPr="003E743A" w:rsidTr="00820701">
        <w:trPr>
          <w:trHeight w:val="300"/>
        </w:trPr>
        <w:tc>
          <w:tcPr>
            <w:tcW w:w="160" w:type="dxa"/>
            <w:tcBorders>
              <w:top w:val="nil"/>
              <w:left w:val="nil"/>
              <w:bottom w:val="nil"/>
              <w:right w:val="nil"/>
            </w:tcBorders>
            <w:shd w:val="clear" w:color="auto" w:fill="auto"/>
            <w:noWrap/>
            <w:vAlign w:val="center"/>
            <w:hideMark/>
          </w:tcPr>
          <w:p w:rsidR="00820701" w:rsidRPr="003E743A" w:rsidRDefault="00820701" w:rsidP="00820701">
            <w:pPr>
              <w:spacing w:after="0" w:line="240" w:lineRule="auto"/>
              <w:jc w:val="both"/>
              <w:rPr>
                <w:rFonts w:ascii="Times New Roman" w:eastAsia="Times New Roman" w:hAnsi="Times New Roman" w:cs="Times New Roman"/>
                <w:sz w:val="24"/>
                <w:szCs w:val="24"/>
                <w:lang w:eastAsia="fr-FR"/>
              </w:rPr>
            </w:pPr>
          </w:p>
        </w:tc>
        <w:tc>
          <w:tcPr>
            <w:tcW w:w="2992"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820701" w:rsidRPr="003E743A" w:rsidRDefault="00820701" w:rsidP="00820701">
            <w:pPr>
              <w:spacing w:after="0" w:line="240" w:lineRule="auto"/>
              <w:jc w:val="both"/>
              <w:rPr>
                <w:rFonts w:ascii="Times New Roman" w:eastAsia="Times New Roman" w:hAnsi="Times New Roman" w:cs="Times New Roman"/>
                <w:sz w:val="24"/>
                <w:szCs w:val="24"/>
                <w:lang w:eastAsia="fr-FR"/>
              </w:rPr>
            </w:pPr>
            <w:r w:rsidRPr="003E743A">
              <w:rPr>
                <w:rFonts w:ascii="Times New Roman" w:eastAsia="Times New Roman" w:hAnsi="Times New Roman" w:cs="Times New Roman"/>
                <w:sz w:val="24"/>
                <w:szCs w:val="24"/>
                <w:lang w:eastAsia="fr-FR"/>
              </w:rPr>
              <w:t>Guinée-Bissau</w:t>
            </w:r>
          </w:p>
        </w:tc>
        <w:tc>
          <w:tcPr>
            <w:tcW w:w="1127"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820701" w:rsidRPr="003E743A" w:rsidRDefault="00820701" w:rsidP="00820701">
            <w:pPr>
              <w:spacing w:after="0" w:line="240" w:lineRule="auto"/>
              <w:jc w:val="both"/>
              <w:rPr>
                <w:rFonts w:ascii="Times New Roman" w:eastAsia="Times New Roman" w:hAnsi="Times New Roman" w:cs="Times New Roman"/>
                <w:sz w:val="24"/>
                <w:szCs w:val="24"/>
                <w:lang w:eastAsia="fr-FR"/>
              </w:rPr>
            </w:pPr>
            <w:r w:rsidRPr="003E743A">
              <w:rPr>
                <w:rFonts w:ascii="Times New Roman" w:eastAsia="Times New Roman" w:hAnsi="Times New Roman" w:cs="Times New Roman"/>
                <w:sz w:val="24"/>
                <w:szCs w:val="24"/>
                <w:lang w:eastAsia="fr-FR"/>
              </w:rPr>
              <w:t>36 125</w:t>
            </w:r>
          </w:p>
        </w:tc>
        <w:tc>
          <w:tcPr>
            <w:tcW w:w="146" w:type="dxa"/>
            <w:tcBorders>
              <w:top w:val="nil"/>
              <w:left w:val="nil"/>
              <w:bottom w:val="nil"/>
              <w:right w:val="single" w:sz="4" w:space="0" w:color="auto"/>
            </w:tcBorders>
            <w:shd w:val="clear" w:color="auto" w:fill="FFFFFF" w:themeFill="background1"/>
            <w:noWrap/>
            <w:vAlign w:val="center"/>
          </w:tcPr>
          <w:p w:rsidR="00820701" w:rsidRPr="003E743A" w:rsidRDefault="00820701" w:rsidP="00820701">
            <w:pPr>
              <w:spacing w:after="0" w:line="240" w:lineRule="auto"/>
              <w:jc w:val="both"/>
              <w:rPr>
                <w:rFonts w:ascii="Times New Roman" w:eastAsia="Times New Roman" w:hAnsi="Times New Roman" w:cs="Times New Roman"/>
                <w:sz w:val="24"/>
                <w:szCs w:val="24"/>
                <w:lang w:eastAsia="fr-FR"/>
              </w:rPr>
            </w:pPr>
          </w:p>
        </w:tc>
        <w:tc>
          <w:tcPr>
            <w:tcW w:w="1658" w:type="dxa"/>
            <w:tcBorders>
              <w:top w:val="single" w:sz="4" w:space="0" w:color="auto"/>
              <w:left w:val="nil"/>
              <w:bottom w:val="single" w:sz="4" w:space="0" w:color="auto"/>
              <w:right w:val="single" w:sz="4" w:space="0" w:color="auto"/>
            </w:tcBorders>
            <w:shd w:val="clear" w:color="auto" w:fill="FFFFFF" w:themeFill="background1"/>
            <w:noWrap/>
            <w:vAlign w:val="center"/>
            <w:hideMark/>
          </w:tcPr>
          <w:p w:rsidR="00820701" w:rsidRPr="003E743A" w:rsidRDefault="00820701" w:rsidP="00820701">
            <w:pPr>
              <w:spacing w:after="0" w:line="240" w:lineRule="auto"/>
              <w:jc w:val="both"/>
              <w:rPr>
                <w:rFonts w:ascii="Times New Roman" w:eastAsia="Times New Roman" w:hAnsi="Times New Roman" w:cs="Times New Roman"/>
                <w:sz w:val="24"/>
                <w:szCs w:val="24"/>
                <w:lang w:eastAsia="fr-FR"/>
              </w:rPr>
            </w:pPr>
            <w:r w:rsidRPr="003E743A">
              <w:rPr>
                <w:rFonts w:ascii="Times New Roman" w:eastAsia="Times New Roman" w:hAnsi="Times New Roman" w:cs="Times New Roman"/>
                <w:sz w:val="24"/>
                <w:szCs w:val="24"/>
                <w:lang w:eastAsia="fr-FR"/>
              </w:rPr>
              <w:t>1 449 230</w:t>
            </w:r>
          </w:p>
        </w:tc>
        <w:tc>
          <w:tcPr>
            <w:tcW w:w="160" w:type="dxa"/>
            <w:tcBorders>
              <w:top w:val="nil"/>
              <w:left w:val="nil"/>
              <w:bottom w:val="nil"/>
              <w:right w:val="single" w:sz="4" w:space="0" w:color="auto"/>
            </w:tcBorders>
            <w:shd w:val="clear" w:color="auto" w:fill="FFFFFF" w:themeFill="background1"/>
            <w:noWrap/>
            <w:vAlign w:val="center"/>
          </w:tcPr>
          <w:p w:rsidR="00820701" w:rsidRPr="003E743A" w:rsidRDefault="00820701" w:rsidP="00820701">
            <w:pPr>
              <w:spacing w:after="0" w:line="240" w:lineRule="auto"/>
              <w:jc w:val="both"/>
              <w:rPr>
                <w:rFonts w:ascii="Times New Roman" w:eastAsia="Times New Roman" w:hAnsi="Times New Roman" w:cs="Times New Roman"/>
                <w:sz w:val="24"/>
                <w:szCs w:val="24"/>
                <w:lang w:eastAsia="fr-FR"/>
              </w:rPr>
            </w:pPr>
          </w:p>
        </w:tc>
        <w:tc>
          <w:tcPr>
            <w:tcW w:w="1548" w:type="dxa"/>
            <w:tcBorders>
              <w:top w:val="single" w:sz="4" w:space="0" w:color="auto"/>
              <w:left w:val="nil"/>
              <w:bottom w:val="single" w:sz="4" w:space="0" w:color="auto"/>
              <w:right w:val="single" w:sz="4" w:space="0" w:color="auto"/>
            </w:tcBorders>
            <w:shd w:val="clear" w:color="auto" w:fill="FFFFFF" w:themeFill="background1"/>
            <w:noWrap/>
            <w:vAlign w:val="center"/>
            <w:hideMark/>
          </w:tcPr>
          <w:p w:rsidR="00820701" w:rsidRPr="003E743A" w:rsidRDefault="00820701" w:rsidP="00820701">
            <w:pPr>
              <w:spacing w:after="0" w:line="240" w:lineRule="auto"/>
              <w:jc w:val="both"/>
              <w:rPr>
                <w:rFonts w:ascii="Times New Roman" w:eastAsia="Times New Roman" w:hAnsi="Times New Roman" w:cs="Times New Roman"/>
                <w:sz w:val="24"/>
                <w:szCs w:val="24"/>
                <w:lang w:eastAsia="fr-FR"/>
              </w:rPr>
            </w:pPr>
            <w:r w:rsidRPr="003E743A">
              <w:rPr>
                <w:rFonts w:ascii="Times New Roman" w:eastAsia="Times New Roman" w:hAnsi="Times New Roman" w:cs="Times New Roman"/>
                <w:sz w:val="24"/>
                <w:szCs w:val="24"/>
                <w:lang w:eastAsia="fr-FR"/>
              </w:rPr>
              <w:t>40,1</w:t>
            </w:r>
          </w:p>
        </w:tc>
      </w:tr>
      <w:tr w:rsidR="00820701" w:rsidRPr="003E743A" w:rsidTr="00820701">
        <w:trPr>
          <w:trHeight w:val="300"/>
        </w:trPr>
        <w:tc>
          <w:tcPr>
            <w:tcW w:w="160" w:type="dxa"/>
            <w:tcBorders>
              <w:top w:val="nil"/>
              <w:left w:val="nil"/>
              <w:bottom w:val="nil"/>
              <w:right w:val="nil"/>
            </w:tcBorders>
            <w:shd w:val="clear" w:color="auto" w:fill="auto"/>
            <w:noWrap/>
            <w:vAlign w:val="center"/>
          </w:tcPr>
          <w:p w:rsidR="00820701" w:rsidRPr="003E743A" w:rsidRDefault="00820701" w:rsidP="00820701">
            <w:pPr>
              <w:spacing w:after="0" w:line="240" w:lineRule="auto"/>
              <w:jc w:val="both"/>
              <w:rPr>
                <w:rFonts w:ascii="Times New Roman" w:eastAsia="Times New Roman" w:hAnsi="Times New Roman" w:cs="Times New Roman"/>
                <w:sz w:val="24"/>
                <w:szCs w:val="24"/>
                <w:lang w:eastAsia="fr-FR"/>
              </w:rPr>
            </w:pPr>
          </w:p>
        </w:tc>
        <w:tc>
          <w:tcPr>
            <w:tcW w:w="2992"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rsidR="00820701" w:rsidRPr="003E743A" w:rsidRDefault="00820701" w:rsidP="00820701">
            <w:pPr>
              <w:spacing w:after="0" w:line="240" w:lineRule="auto"/>
              <w:jc w:val="both"/>
              <w:rPr>
                <w:rFonts w:ascii="Times New Roman" w:eastAsia="Times New Roman" w:hAnsi="Times New Roman" w:cs="Times New Roman"/>
                <w:sz w:val="24"/>
                <w:szCs w:val="24"/>
                <w:lang w:eastAsia="fr-FR"/>
              </w:rPr>
            </w:pPr>
            <w:r w:rsidRPr="003E743A">
              <w:rPr>
                <w:rFonts w:ascii="Times New Roman" w:eastAsia="Times New Roman" w:hAnsi="Times New Roman" w:cs="Times New Roman"/>
                <w:sz w:val="24"/>
                <w:szCs w:val="24"/>
                <w:lang w:eastAsia="fr-FR"/>
              </w:rPr>
              <w:t>1. Région de Gabu</w:t>
            </w:r>
          </w:p>
        </w:tc>
        <w:tc>
          <w:tcPr>
            <w:tcW w:w="1127"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rsidR="00820701" w:rsidRPr="003E743A" w:rsidRDefault="00820701" w:rsidP="00820701">
            <w:pPr>
              <w:spacing w:after="0" w:line="240" w:lineRule="auto"/>
              <w:jc w:val="both"/>
              <w:rPr>
                <w:rFonts w:ascii="Times New Roman" w:eastAsia="Times New Roman" w:hAnsi="Times New Roman" w:cs="Times New Roman"/>
                <w:sz w:val="24"/>
                <w:szCs w:val="24"/>
                <w:lang w:eastAsia="fr-FR"/>
              </w:rPr>
            </w:pPr>
            <w:r w:rsidRPr="003E743A">
              <w:rPr>
                <w:rFonts w:ascii="Times New Roman" w:eastAsia="Times New Roman" w:hAnsi="Times New Roman" w:cs="Times New Roman"/>
                <w:sz w:val="24"/>
                <w:szCs w:val="24"/>
                <w:lang w:eastAsia="fr-FR"/>
              </w:rPr>
              <w:t>9 150,0</w:t>
            </w:r>
          </w:p>
        </w:tc>
        <w:tc>
          <w:tcPr>
            <w:tcW w:w="146" w:type="dxa"/>
            <w:tcBorders>
              <w:top w:val="nil"/>
              <w:left w:val="nil"/>
              <w:bottom w:val="single" w:sz="4" w:space="0" w:color="auto"/>
              <w:right w:val="single" w:sz="4" w:space="0" w:color="auto"/>
            </w:tcBorders>
            <w:shd w:val="clear" w:color="auto" w:fill="FFFFFF" w:themeFill="background1"/>
            <w:noWrap/>
            <w:vAlign w:val="center"/>
          </w:tcPr>
          <w:p w:rsidR="00820701" w:rsidRPr="003E743A" w:rsidRDefault="00820701" w:rsidP="00820701">
            <w:pPr>
              <w:spacing w:after="0" w:line="240" w:lineRule="auto"/>
              <w:jc w:val="both"/>
              <w:rPr>
                <w:rFonts w:ascii="Times New Roman" w:eastAsia="Times New Roman" w:hAnsi="Times New Roman" w:cs="Times New Roman"/>
                <w:sz w:val="24"/>
                <w:szCs w:val="24"/>
                <w:lang w:eastAsia="fr-FR"/>
              </w:rPr>
            </w:pPr>
          </w:p>
        </w:tc>
        <w:tc>
          <w:tcPr>
            <w:tcW w:w="1658" w:type="dxa"/>
            <w:tcBorders>
              <w:top w:val="single" w:sz="4" w:space="0" w:color="auto"/>
              <w:left w:val="nil"/>
              <w:bottom w:val="single" w:sz="4" w:space="0" w:color="auto"/>
              <w:right w:val="single" w:sz="4" w:space="0" w:color="auto"/>
            </w:tcBorders>
            <w:shd w:val="clear" w:color="auto" w:fill="FFFFFF" w:themeFill="background1"/>
            <w:noWrap/>
            <w:vAlign w:val="center"/>
          </w:tcPr>
          <w:p w:rsidR="00820701" w:rsidRPr="003E743A" w:rsidRDefault="00820701" w:rsidP="00820701">
            <w:pPr>
              <w:spacing w:after="0" w:line="240" w:lineRule="auto"/>
              <w:jc w:val="both"/>
              <w:rPr>
                <w:rFonts w:ascii="Times New Roman" w:eastAsia="Times New Roman" w:hAnsi="Times New Roman" w:cs="Times New Roman"/>
                <w:sz w:val="24"/>
                <w:szCs w:val="24"/>
                <w:lang w:eastAsia="fr-FR"/>
              </w:rPr>
            </w:pPr>
            <w:r w:rsidRPr="003E743A">
              <w:rPr>
                <w:rFonts w:ascii="Times New Roman" w:eastAsia="Times New Roman" w:hAnsi="Times New Roman" w:cs="Times New Roman"/>
                <w:sz w:val="24"/>
                <w:szCs w:val="24"/>
                <w:lang w:eastAsia="fr-FR"/>
              </w:rPr>
              <w:t>205 608</w:t>
            </w:r>
          </w:p>
        </w:tc>
        <w:tc>
          <w:tcPr>
            <w:tcW w:w="160" w:type="dxa"/>
            <w:tcBorders>
              <w:top w:val="nil"/>
              <w:left w:val="nil"/>
              <w:bottom w:val="single" w:sz="4" w:space="0" w:color="auto"/>
              <w:right w:val="single" w:sz="4" w:space="0" w:color="auto"/>
            </w:tcBorders>
            <w:shd w:val="clear" w:color="auto" w:fill="FFFFFF" w:themeFill="background1"/>
            <w:noWrap/>
            <w:vAlign w:val="center"/>
          </w:tcPr>
          <w:p w:rsidR="00820701" w:rsidRPr="003E743A" w:rsidRDefault="00820701" w:rsidP="00820701">
            <w:pPr>
              <w:spacing w:after="0" w:line="240" w:lineRule="auto"/>
              <w:jc w:val="both"/>
              <w:rPr>
                <w:rFonts w:ascii="Times New Roman" w:eastAsia="Times New Roman" w:hAnsi="Times New Roman" w:cs="Times New Roman"/>
                <w:sz w:val="24"/>
                <w:szCs w:val="24"/>
                <w:lang w:eastAsia="fr-FR"/>
              </w:rPr>
            </w:pPr>
          </w:p>
        </w:tc>
        <w:tc>
          <w:tcPr>
            <w:tcW w:w="1548" w:type="dxa"/>
            <w:tcBorders>
              <w:top w:val="single" w:sz="4" w:space="0" w:color="auto"/>
              <w:left w:val="nil"/>
              <w:bottom w:val="single" w:sz="4" w:space="0" w:color="auto"/>
              <w:right w:val="single" w:sz="4" w:space="0" w:color="auto"/>
            </w:tcBorders>
            <w:shd w:val="clear" w:color="auto" w:fill="FFFFFF" w:themeFill="background1"/>
            <w:noWrap/>
            <w:vAlign w:val="center"/>
          </w:tcPr>
          <w:p w:rsidR="00820701" w:rsidRPr="003E743A" w:rsidRDefault="00820701" w:rsidP="00820701">
            <w:pPr>
              <w:spacing w:after="0" w:line="240" w:lineRule="auto"/>
              <w:jc w:val="both"/>
              <w:rPr>
                <w:rFonts w:ascii="Times New Roman" w:eastAsia="Times New Roman" w:hAnsi="Times New Roman" w:cs="Times New Roman"/>
                <w:sz w:val="24"/>
                <w:szCs w:val="24"/>
                <w:lang w:eastAsia="fr-FR"/>
              </w:rPr>
            </w:pPr>
            <w:r w:rsidRPr="003E743A">
              <w:rPr>
                <w:rFonts w:ascii="Times New Roman" w:eastAsia="Times New Roman" w:hAnsi="Times New Roman" w:cs="Times New Roman"/>
                <w:sz w:val="24"/>
                <w:szCs w:val="24"/>
                <w:lang w:eastAsia="fr-FR"/>
              </w:rPr>
              <w:t>22,5</w:t>
            </w:r>
          </w:p>
        </w:tc>
      </w:tr>
      <w:tr w:rsidR="00820701" w:rsidRPr="003E743A" w:rsidTr="00820701">
        <w:trPr>
          <w:trHeight w:val="300"/>
        </w:trPr>
        <w:tc>
          <w:tcPr>
            <w:tcW w:w="160" w:type="dxa"/>
            <w:tcBorders>
              <w:top w:val="nil"/>
              <w:left w:val="nil"/>
              <w:bottom w:val="nil"/>
              <w:right w:val="nil"/>
            </w:tcBorders>
            <w:shd w:val="clear" w:color="auto" w:fill="auto"/>
            <w:noWrap/>
            <w:vAlign w:val="center"/>
          </w:tcPr>
          <w:p w:rsidR="00820701" w:rsidRPr="003E743A" w:rsidRDefault="00820701" w:rsidP="00820701">
            <w:pPr>
              <w:spacing w:after="0" w:line="240" w:lineRule="auto"/>
              <w:jc w:val="both"/>
              <w:rPr>
                <w:rFonts w:ascii="Times New Roman" w:eastAsia="Times New Roman" w:hAnsi="Times New Roman" w:cs="Times New Roman"/>
                <w:sz w:val="24"/>
                <w:szCs w:val="24"/>
                <w:lang w:eastAsia="fr-FR"/>
              </w:rPr>
            </w:pPr>
          </w:p>
        </w:tc>
        <w:tc>
          <w:tcPr>
            <w:tcW w:w="2992" w:type="dxa"/>
            <w:tcBorders>
              <w:top w:val="single" w:sz="4" w:space="0" w:color="auto"/>
              <w:left w:val="single" w:sz="4" w:space="0" w:color="auto"/>
              <w:bottom w:val="single" w:sz="4" w:space="0" w:color="auto"/>
              <w:right w:val="single" w:sz="4" w:space="0" w:color="000000"/>
            </w:tcBorders>
            <w:shd w:val="clear" w:color="auto" w:fill="FFFFFF" w:themeFill="background1"/>
            <w:noWrap/>
            <w:vAlign w:val="center"/>
          </w:tcPr>
          <w:p w:rsidR="00820701" w:rsidRPr="003E743A" w:rsidRDefault="00820701" w:rsidP="00820701">
            <w:pPr>
              <w:spacing w:after="0" w:line="240" w:lineRule="auto"/>
              <w:jc w:val="both"/>
              <w:rPr>
                <w:rFonts w:ascii="Times New Roman" w:eastAsia="Times New Roman" w:hAnsi="Times New Roman" w:cs="Times New Roman"/>
                <w:sz w:val="24"/>
                <w:szCs w:val="24"/>
                <w:lang w:eastAsia="fr-FR"/>
              </w:rPr>
            </w:pPr>
            <w:r w:rsidRPr="003E743A">
              <w:rPr>
                <w:rFonts w:ascii="Times New Roman" w:eastAsia="Times New Roman" w:hAnsi="Times New Roman" w:cs="Times New Roman"/>
                <w:sz w:val="24"/>
                <w:szCs w:val="24"/>
                <w:lang w:eastAsia="fr-FR"/>
              </w:rPr>
              <w:t>2. Région de Bafatá</w:t>
            </w:r>
          </w:p>
        </w:tc>
        <w:tc>
          <w:tcPr>
            <w:tcW w:w="1127" w:type="dxa"/>
            <w:tcBorders>
              <w:top w:val="nil"/>
              <w:left w:val="nil"/>
              <w:bottom w:val="single" w:sz="4" w:space="0" w:color="auto"/>
              <w:right w:val="single" w:sz="4" w:space="0" w:color="auto"/>
            </w:tcBorders>
            <w:shd w:val="clear" w:color="auto" w:fill="FFFFFF" w:themeFill="background1"/>
            <w:noWrap/>
            <w:vAlign w:val="center"/>
          </w:tcPr>
          <w:p w:rsidR="00820701" w:rsidRPr="003E743A" w:rsidRDefault="00820701" w:rsidP="00820701">
            <w:pPr>
              <w:spacing w:after="0" w:line="240" w:lineRule="auto"/>
              <w:jc w:val="both"/>
              <w:rPr>
                <w:rFonts w:ascii="Times New Roman" w:eastAsia="Times New Roman" w:hAnsi="Times New Roman" w:cs="Times New Roman"/>
                <w:sz w:val="24"/>
                <w:szCs w:val="24"/>
                <w:lang w:eastAsia="fr-FR"/>
              </w:rPr>
            </w:pPr>
            <w:r w:rsidRPr="003E743A">
              <w:rPr>
                <w:rFonts w:ascii="Times New Roman" w:eastAsia="Times New Roman" w:hAnsi="Times New Roman" w:cs="Times New Roman"/>
                <w:sz w:val="24"/>
                <w:szCs w:val="24"/>
                <w:lang w:eastAsia="fr-FR"/>
              </w:rPr>
              <w:t>5 981,1</w:t>
            </w:r>
          </w:p>
        </w:tc>
        <w:tc>
          <w:tcPr>
            <w:tcW w:w="146" w:type="dxa"/>
            <w:tcBorders>
              <w:top w:val="nil"/>
              <w:left w:val="nil"/>
              <w:bottom w:val="single" w:sz="4" w:space="0" w:color="auto"/>
              <w:right w:val="single" w:sz="4" w:space="0" w:color="auto"/>
            </w:tcBorders>
            <w:shd w:val="clear" w:color="auto" w:fill="FFFFFF" w:themeFill="background1"/>
            <w:noWrap/>
            <w:vAlign w:val="center"/>
          </w:tcPr>
          <w:p w:rsidR="00820701" w:rsidRPr="003E743A" w:rsidRDefault="00820701" w:rsidP="00820701">
            <w:pPr>
              <w:spacing w:after="0" w:line="240" w:lineRule="auto"/>
              <w:jc w:val="both"/>
              <w:rPr>
                <w:rFonts w:ascii="Times New Roman" w:eastAsia="Times New Roman" w:hAnsi="Times New Roman" w:cs="Times New Roman"/>
                <w:sz w:val="24"/>
                <w:szCs w:val="24"/>
                <w:lang w:eastAsia="fr-FR"/>
              </w:rPr>
            </w:pPr>
          </w:p>
        </w:tc>
        <w:tc>
          <w:tcPr>
            <w:tcW w:w="1658" w:type="dxa"/>
            <w:tcBorders>
              <w:top w:val="nil"/>
              <w:left w:val="nil"/>
              <w:bottom w:val="single" w:sz="4" w:space="0" w:color="auto"/>
              <w:right w:val="single" w:sz="4" w:space="0" w:color="auto"/>
            </w:tcBorders>
            <w:shd w:val="clear" w:color="auto" w:fill="FFFFFF" w:themeFill="background1"/>
            <w:noWrap/>
            <w:vAlign w:val="center"/>
          </w:tcPr>
          <w:p w:rsidR="00820701" w:rsidRPr="003E743A" w:rsidRDefault="00820701" w:rsidP="00820701">
            <w:pPr>
              <w:spacing w:after="0" w:line="240" w:lineRule="auto"/>
              <w:jc w:val="both"/>
              <w:rPr>
                <w:rFonts w:ascii="Times New Roman" w:eastAsia="Times New Roman" w:hAnsi="Times New Roman" w:cs="Times New Roman"/>
                <w:sz w:val="24"/>
                <w:szCs w:val="24"/>
                <w:lang w:eastAsia="fr-FR"/>
              </w:rPr>
            </w:pPr>
            <w:r w:rsidRPr="003E743A">
              <w:rPr>
                <w:rFonts w:ascii="Times New Roman" w:eastAsia="Times New Roman" w:hAnsi="Times New Roman" w:cs="Times New Roman"/>
                <w:sz w:val="24"/>
                <w:szCs w:val="24"/>
                <w:lang w:eastAsia="fr-FR"/>
              </w:rPr>
              <w:t>200 884</w:t>
            </w:r>
          </w:p>
        </w:tc>
        <w:tc>
          <w:tcPr>
            <w:tcW w:w="160" w:type="dxa"/>
            <w:tcBorders>
              <w:top w:val="nil"/>
              <w:left w:val="nil"/>
              <w:bottom w:val="single" w:sz="4" w:space="0" w:color="auto"/>
              <w:right w:val="single" w:sz="4" w:space="0" w:color="auto"/>
            </w:tcBorders>
            <w:shd w:val="clear" w:color="auto" w:fill="FFFFFF" w:themeFill="background1"/>
            <w:noWrap/>
            <w:vAlign w:val="center"/>
          </w:tcPr>
          <w:p w:rsidR="00820701" w:rsidRPr="003E743A" w:rsidRDefault="00820701" w:rsidP="00820701">
            <w:pPr>
              <w:spacing w:after="0" w:line="240" w:lineRule="auto"/>
              <w:jc w:val="both"/>
              <w:rPr>
                <w:rFonts w:ascii="Times New Roman" w:eastAsia="Times New Roman" w:hAnsi="Times New Roman" w:cs="Times New Roman"/>
                <w:sz w:val="24"/>
                <w:szCs w:val="24"/>
                <w:lang w:eastAsia="fr-FR"/>
              </w:rPr>
            </w:pPr>
          </w:p>
        </w:tc>
        <w:tc>
          <w:tcPr>
            <w:tcW w:w="1548" w:type="dxa"/>
            <w:tcBorders>
              <w:top w:val="nil"/>
              <w:left w:val="nil"/>
              <w:bottom w:val="single" w:sz="4" w:space="0" w:color="auto"/>
              <w:right w:val="single" w:sz="4" w:space="0" w:color="auto"/>
            </w:tcBorders>
            <w:shd w:val="clear" w:color="auto" w:fill="FFFFFF" w:themeFill="background1"/>
            <w:noWrap/>
            <w:vAlign w:val="center"/>
          </w:tcPr>
          <w:p w:rsidR="00820701" w:rsidRPr="003E743A" w:rsidRDefault="00820701" w:rsidP="00820701">
            <w:pPr>
              <w:spacing w:after="0" w:line="240" w:lineRule="auto"/>
              <w:jc w:val="both"/>
              <w:rPr>
                <w:rFonts w:ascii="Times New Roman" w:eastAsia="Times New Roman" w:hAnsi="Times New Roman" w:cs="Times New Roman"/>
                <w:sz w:val="24"/>
                <w:szCs w:val="24"/>
                <w:lang w:eastAsia="fr-FR"/>
              </w:rPr>
            </w:pPr>
            <w:r w:rsidRPr="003E743A">
              <w:rPr>
                <w:rFonts w:ascii="Times New Roman" w:eastAsia="Times New Roman" w:hAnsi="Times New Roman" w:cs="Times New Roman"/>
                <w:sz w:val="24"/>
                <w:szCs w:val="24"/>
                <w:lang w:eastAsia="fr-FR"/>
              </w:rPr>
              <w:t>33,6</w:t>
            </w:r>
          </w:p>
        </w:tc>
      </w:tr>
      <w:tr w:rsidR="00820701" w:rsidRPr="003E743A" w:rsidTr="00820701">
        <w:trPr>
          <w:trHeight w:val="300"/>
        </w:trPr>
        <w:tc>
          <w:tcPr>
            <w:tcW w:w="160" w:type="dxa"/>
            <w:tcBorders>
              <w:top w:val="nil"/>
              <w:left w:val="nil"/>
              <w:bottom w:val="nil"/>
              <w:right w:val="nil"/>
            </w:tcBorders>
            <w:shd w:val="clear" w:color="auto" w:fill="auto"/>
            <w:noWrap/>
            <w:vAlign w:val="center"/>
          </w:tcPr>
          <w:p w:rsidR="00820701" w:rsidRPr="003E743A" w:rsidRDefault="00820701" w:rsidP="00820701">
            <w:pPr>
              <w:spacing w:after="0" w:line="240" w:lineRule="auto"/>
              <w:jc w:val="both"/>
              <w:rPr>
                <w:rFonts w:ascii="Times New Roman" w:eastAsia="Times New Roman" w:hAnsi="Times New Roman" w:cs="Times New Roman"/>
                <w:sz w:val="24"/>
                <w:szCs w:val="24"/>
                <w:lang w:eastAsia="fr-FR"/>
              </w:rPr>
            </w:pPr>
          </w:p>
        </w:tc>
        <w:tc>
          <w:tcPr>
            <w:tcW w:w="2992" w:type="dxa"/>
            <w:tcBorders>
              <w:top w:val="single" w:sz="4" w:space="0" w:color="auto"/>
              <w:left w:val="single" w:sz="4" w:space="0" w:color="auto"/>
              <w:bottom w:val="single" w:sz="4" w:space="0" w:color="auto"/>
              <w:right w:val="single" w:sz="4" w:space="0" w:color="000000"/>
            </w:tcBorders>
            <w:shd w:val="clear" w:color="auto" w:fill="FFFFFF" w:themeFill="background1"/>
            <w:noWrap/>
            <w:vAlign w:val="center"/>
          </w:tcPr>
          <w:p w:rsidR="00820701" w:rsidRPr="003E743A" w:rsidRDefault="00820701" w:rsidP="00820701">
            <w:pPr>
              <w:spacing w:after="0" w:line="240" w:lineRule="auto"/>
              <w:jc w:val="both"/>
              <w:rPr>
                <w:rFonts w:ascii="Times New Roman" w:eastAsia="Times New Roman" w:hAnsi="Times New Roman" w:cs="Times New Roman"/>
                <w:sz w:val="24"/>
                <w:szCs w:val="24"/>
                <w:lang w:eastAsia="fr-FR"/>
              </w:rPr>
            </w:pPr>
            <w:r w:rsidRPr="003E743A">
              <w:rPr>
                <w:rFonts w:ascii="Times New Roman" w:eastAsia="Times New Roman" w:hAnsi="Times New Roman" w:cs="Times New Roman"/>
                <w:sz w:val="24"/>
                <w:szCs w:val="24"/>
                <w:lang w:eastAsia="fr-FR"/>
              </w:rPr>
              <w:t>3. Région de Oio</w:t>
            </w:r>
          </w:p>
        </w:tc>
        <w:tc>
          <w:tcPr>
            <w:tcW w:w="1127" w:type="dxa"/>
            <w:tcBorders>
              <w:top w:val="nil"/>
              <w:left w:val="nil"/>
              <w:bottom w:val="single" w:sz="4" w:space="0" w:color="auto"/>
              <w:right w:val="single" w:sz="4" w:space="0" w:color="auto"/>
            </w:tcBorders>
            <w:shd w:val="clear" w:color="auto" w:fill="FFFFFF" w:themeFill="background1"/>
            <w:noWrap/>
            <w:vAlign w:val="center"/>
          </w:tcPr>
          <w:p w:rsidR="00820701" w:rsidRPr="003E743A" w:rsidRDefault="00820701" w:rsidP="00820701">
            <w:pPr>
              <w:spacing w:after="0" w:line="240" w:lineRule="auto"/>
              <w:jc w:val="both"/>
              <w:rPr>
                <w:rFonts w:ascii="Times New Roman" w:eastAsia="Times New Roman" w:hAnsi="Times New Roman" w:cs="Times New Roman"/>
                <w:sz w:val="24"/>
                <w:szCs w:val="24"/>
                <w:lang w:eastAsia="fr-FR"/>
              </w:rPr>
            </w:pPr>
            <w:r w:rsidRPr="003E743A">
              <w:rPr>
                <w:rFonts w:ascii="Times New Roman" w:eastAsia="Times New Roman" w:hAnsi="Times New Roman" w:cs="Times New Roman"/>
                <w:sz w:val="24"/>
                <w:szCs w:val="24"/>
                <w:lang w:eastAsia="fr-FR"/>
              </w:rPr>
              <w:t>5 403,4</w:t>
            </w:r>
          </w:p>
        </w:tc>
        <w:tc>
          <w:tcPr>
            <w:tcW w:w="146" w:type="dxa"/>
            <w:tcBorders>
              <w:top w:val="nil"/>
              <w:left w:val="nil"/>
              <w:bottom w:val="single" w:sz="4" w:space="0" w:color="auto"/>
              <w:right w:val="single" w:sz="4" w:space="0" w:color="auto"/>
            </w:tcBorders>
            <w:shd w:val="clear" w:color="auto" w:fill="FFFFFF" w:themeFill="background1"/>
            <w:noWrap/>
            <w:vAlign w:val="center"/>
          </w:tcPr>
          <w:p w:rsidR="00820701" w:rsidRPr="003E743A" w:rsidRDefault="00820701" w:rsidP="00820701">
            <w:pPr>
              <w:spacing w:after="0" w:line="240" w:lineRule="auto"/>
              <w:jc w:val="both"/>
              <w:rPr>
                <w:rFonts w:ascii="Times New Roman" w:eastAsia="Times New Roman" w:hAnsi="Times New Roman" w:cs="Times New Roman"/>
                <w:sz w:val="24"/>
                <w:szCs w:val="24"/>
                <w:lang w:eastAsia="fr-FR"/>
              </w:rPr>
            </w:pPr>
          </w:p>
        </w:tc>
        <w:tc>
          <w:tcPr>
            <w:tcW w:w="1658" w:type="dxa"/>
            <w:tcBorders>
              <w:top w:val="nil"/>
              <w:left w:val="nil"/>
              <w:bottom w:val="single" w:sz="4" w:space="0" w:color="auto"/>
              <w:right w:val="single" w:sz="4" w:space="0" w:color="auto"/>
            </w:tcBorders>
            <w:shd w:val="clear" w:color="auto" w:fill="FFFFFF" w:themeFill="background1"/>
            <w:noWrap/>
            <w:vAlign w:val="center"/>
          </w:tcPr>
          <w:p w:rsidR="00820701" w:rsidRPr="003E743A" w:rsidRDefault="00820701" w:rsidP="00820701">
            <w:pPr>
              <w:spacing w:after="0" w:line="240" w:lineRule="auto"/>
              <w:jc w:val="both"/>
              <w:rPr>
                <w:rFonts w:ascii="Times New Roman" w:eastAsia="Times New Roman" w:hAnsi="Times New Roman" w:cs="Times New Roman"/>
                <w:sz w:val="24"/>
                <w:szCs w:val="24"/>
                <w:lang w:eastAsia="fr-FR"/>
              </w:rPr>
            </w:pPr>
            <w:r w:rsidRPr="003E743A">
              <w:rPr>
                <w:rFonts w:ascii="Times New Roman" w:eastAsia="Times New Roman" w:hAnsi="Times New Roman" w:cs="Times New Roman"/>
                <w:sz w:val="24"/>
                <w:szCs w:val="24"/>
                <w:lang w:eastAsia="fr-FR"/>
              </w:rPr>
              <w:t>215 259</w:t>
            </w:r>
          </w:p>
        </w:tc>
        <w:tc>
          <w:tcPr>
            <w:tcW w:w="160" w:type="dxa"/>
            <w:tcBorders>
              <w:top w:val="nil"/>
              <w:left w:val="nil"/>
              <w:bottom w:val="single" w:sz="4" w:space="0" w:color="auto"/>
              <w:right w:val="single" w:sz="4" w:space="0" w:color="auto"/>
            </w:tcBorders>
            <w:shd w:val="clear" w:color="auto" w:fill="FFFFFF" w:themeFill="background1"/>
            <w:noWrap/>
            <w:vAlign w:val="center"/>
          </w:tcPr>
          <w:p w:rsidR="00820701" w:rsidRPr="003E743A" w:rsidRDefault="00820701" w:rsidP="00820701">
            <w:pPr>
              <w:spacing w:after="0" w:line="240" w:lineRule="auto"/>
              <w:jc w:val="both"/>
              <w:rPr>
                <w:rFonts w:ascii="Times New Roman" w:eastAsia="Times New Roman" w:hAnsi="Times New Roman" w:cs="Times New Roman"/>
                <w:sz w:val="24"/>
                <w:szCs w:val="24"/>
                <w:lang w:eastAsia="fr-FR"/>
              </w:rPr>
            </w:pPr>
          </w:p>
        </w:tc>
        <w:tc>
          <w:tcPr>
            <w:tcW w:w="1548" w:type="dxa"/>
            <w:tcBorders>
              <w:top w:val="nil"/>
              <w:left w:val="nil"/>
              <w:bottom w:val="single" w:sz="4" w:space="0" w:color="auto"/>
              <w:right w:val="single" w:sz="4" w:space="0" w:color="auto"/>
            </w:tcBorders>
            <w:shd w:val="clear" w:color="auto" w:fill="FFFFFF" w:themeFill="background1"/>
            <w:noWrap/>
            <w:vAlign w:val="center"/>
          </w:tcPr>
          <w:p w:rsidR="00820701" w:rsidRPr="003E743A" w:rsidRDefault="00820701" w:rsidP="00820701">
            <w:pPr>
              <w:spacing w:after="0" w:line="240" w:lineRule="auto"/>
              <w:jc w:val="both"/>
              <w:rPr>
                <w:rFonts w:ascii="Times New Roman" w:eastAsia="Times New Roman" w:hAnsi="Times New Roman" w:cs="Times New Roman"/>
                <w:sz w:val="24"/>
                <w:szCs w:val="24"/>
                <w:lang w:eastAsia="fr-FR"/>
              </w:rPr>
            </w:pPr>
            <w:r w:rsidRPr="003E743A">
              <w:rPr>
                <w:rFonts w:ascii="Times New Roman" w:eastAsia="Times New Roman" w:hAnsi="Times New Roman" w:cs="Times New Roman"/>
                <w:sz w:val="24"/>
                <w:szCs w:val="24"/>
                <w:lang w:eastAsia="fr-FR"/>
              </w:rPr>
              <w:t>39,8</w:t>
            </w:r>
          </w:p>
        </w:tc>
      </w:tr>
      <w:tr w:rsidR="00820701" w:rsidRPr="003E743A" w:rsidTr="00820701">
        <w:trPr>
          <w:trHeight w:val="300"/>
        </w:trPr>
        <w:tc>
          <w:tcPr>
            <w:tcW w:w="160" w:type="dxa"/>
            <w:tcBorders>
              <w:top w:val="nil"/>
              <w:left w:val="nil"/>
              <w:bottom w:val="nil"/>
              <w:right w:val="nil"/>
            </w:tcBorders>
            <w:shd w:val="clear" w:color="auto" w:fill="auto"/>
            <w:noWrap/>
            <w:vAlign w:val="center"/>
          </w:tcPr>
          <w:p w:rsidR="00820701" w:rsidRPr="003E743A" w:rsidRDefault="00820701" w:rsidP="00820701">
            <w:pPr>
              <w:spacing w:after="0" w:line="240" w:lineRule="auto"/>
              <w:jc w:val="both"/>
              <w:rPr>
                <w:rFonts w:ascii="Times New Roman" w:eastAsia="Times New Roman" w:hAnsi="Times New Roman" w:cs="Times New Roman"/>
                <w:sz w:val="24"/>
                <w:szCs w:val="24"/>
                <w:lang w:eastAsia="fr-FR"/>
              </w:rPr>
            </w:pPr>
          </w:p>
        </w:tc>
        <w:tc>
          <w:tcPr>
            <w:tcW w:w="2992" w:type="dxa"/>
            <w:tcBorders>
              <w:top w:val="single" w:sz="4" w:space="0" w:color="auto"/>
              <w:left w:val="single" w:sz="4" w:space="0" w:color="auto"/>
              <w:bottom w:val="single" w:sz="4" w:space="0" w:color="auto"/>
              <w:right w:val="single" w:sz="4" w:space="0" w:color="000000"/>
            </w:tcBorders>
            <w:shd w:val="clear" w:color="auto" w:fill="FFFFFF" w:themeFill="background1"/>
            <w:noWrap/>
            <w:vAlign w:val="center"/>
          </w:tcPr>
          <w:p w:rsidR="00820701" w:rsidRPr="003E743A" w:rsidRDefault="00820701" w:rsidP="00820701">
            <w:pPr>
              <w:spacing w:after="0" w:line="240" w:lineRule="auto"/>
              <w:jc w:val="both"/>
              <w:rPr>
                <w:rFonts w:ascii="Times New Roman" w:eastAsia="Times New Roman" w:hAnsi="Times New Roman" w:cs="Times New Roman"/>
                <w:sz w:val="24"/>
                <w:szCs w:val="24"/>
                <w:lang w:eastAsia="fr-FR"/>
              </w:rPr>
            </w:pPr>
            <w:r w:rsidRPr="003E743A">
              <w:rPr>
                <w:rFonts w:ascii="Times New Roman" w:eastAsia="Times New Roman" w:hAnsi="Times New Roman" w:cs="Times New Roman"/>
                <w:sz w:val="24"/>
                <w:szCs w:val="24"/>
                <w:lang w:eastAsia="fr-FR"/>
              </w:rPr>
              <w:t>4. Région de Cacheu</w:t>
            </w:r>
          </w:p>
        </w:tc>
        <w:tc>
          <w:tcPr>
            <w:tcW w:w="1127" w:type="dxa"/>
            <w:tcBorders>
              <w:top w:val="nil"/>
              <w:left w:val="nil"/>
              <w:bottom w:val="single" w:sz="4" w:space="0" w:color="auto"/>
              <w:right w:val="single" w:sz="4" w:space="0" w:color="auto"/>
            </w:tcBorders>
            <w:shd w:val="clear" w:color="auto" w:fill="FFFFFF" w:themeFill="background1"/>
            <w:noWrap/>
            <w:vAlign w:val="center"/>
          </w:tcPr>
          <w:p w:rsidR="00820701" w:rsidRPr="003E743A" w:rsidRDefault="00820701" w:rsidP="00820701">
            <w:pPr>
              <w:spacing w:after="0" w:line="240" w:lineRule="auto"/>
              <w:jc w:val="both"/>
              <w:rPr>
                <w:rFonts w:ascii="Times New Roman" w:eastAsia="Times New Roman" w:hAnsi="Times New Roman" w:cs="Times New Roman"/>
                <w:sz w:val="24"/>
                <w:szCs w:val="24"/>
                <w:lang w:eastAsia="fr-FR"/>
              </w:rPr>
            </w:pPr>
            <w:r w:rsidRPr="003E743A">
              <w:rPr>
                <w:rFonts w:ascii="Times New Roman" w:eastAsia="Times New Roman" w:hAnsi="Times New Roman" w:cs="Times New Roman"/>
                <w:sz w:val="24"/>
                <w:szCs w:val="24"/>
                <w:lang w:eastAsia="fr-FR"/>
              </w:rPr>
              <w:t>5 174,9</w:t>
            </w:r>
          </w:p>
        </w:tc>
        <w:tc>
          <w:tcPr>
            <w:tcW w:w="146" w:type="dxa"/>
            <w:tcBorders>
              <w:top w:val="nil"/>
              <w:left w:val="nil"/>
              <w:bottom w:val="single" w:sz="4" w:space="0" w:color="auto"/>
              <w:right w:val="single" w:sz="4" w:space="0" w:color="auto"/>
            </w:tcBorders>
            <w:shd w:val="clear" w:color="auto" w:fill="FFFFFF" w:themeFill="background1"/>
            <w:noWrap/>
            <w:vAlign w:val="center"/>
          </w:tcPr>
          <w:p w:rsidR="00820701" w:rsidRPr="003E743A" w:rsidRDefault="00820701" w:rsidP="00820701">
            <w:pPr>
              <w:spacing w:after="0" w:line="240" w:lineRule="auto"/>
              <w:jc w:val="both"/>
              <w:rPr>
                <w:rFonts w:ascii="Times New Roman" w:eastAsia="Times New Roman" w:hAnsi="Times New Roman" w:cs="Times New Roman"/>
                <w:sz w:val="24"/>
                <w:szCs w:val="24"/>
                <w:lang w:eastAsia="fr-FR"/>
              </w:rPr>
            </w:pPr>
          </w:p>
        </w:tc>
        <w:tc>
          <w:tcPr>
            <w:tcW w:w="1658" w:type="dxa"/>
            <w:tcBorders>
              <w:top w:val="nil"/>
              <w:left w:val="nil"/>
              <w:bottom w:val="single" w:sz="4" w:space="0" w:color="auto"/>
              <w:right w:val="single" w:sz="4" w:space="0" w:color="auto"/>
            </w:tcBorders>
            <w:shd w:val="clear" w:color="auto" w:fill="FFFFFF" w:themeFill="background1"/>
            <w:noWrap/>
            <w:vAlign w:val="center"/>
          </w:tcPr>
          <w:p w:rsidR="00820701" w:rsidRPr="003E743A" w:rsidRDefault="00820701" w:rsidP="00820701">
            <w:pPr>
              <w:spacing w:after="0" w:line="240" w:lineRule="auto"/>
              <w:jc w:val="both"/>
              <w:rPr>
                <w:rFonts w:ascii="Times New Roman" w:eastAsia="Times New Roman" w:hAnsi="Times New Roman" w:cs="Times New Roman"/>
                <w:sz w:val="24"/>
                <w:szCs w:val="24"/>
                <w:lang w:eastAsia="fr-FR"/>
              </w:rPr>
            </w:pPr>
            <w:r w:rsidRPr="003E743A">
              <w:rPr>
                <w:rFonts w:ascii="Times New Roman" w:eastAsia="Times New Roman" w:hAnsi="Times New Roman" w:cs="Times New Roman"/>
                <w:sz w:val="24"/>
                <w:szCs w:val="24"/>
                <w:lang w:eastAsia="fr-FR"/>
              </w:rPr>
              <w:t>185 053</w:t>
            </w:r>
          </w:p>
        </w:tc>
        <w:tc>
          <w:tcPr>
            <w:tcW w:w="160" w:type="dxa"/>
            <w:tcBorders>
              <w:top w:val="nil"/>
              <w:left w:val="nil"/>
              <w:bottom w:val="single" w:sz="4" w:space="0" w:color="auto"/>
              <w:right w:val="single" w:sz="4" w:space="0" w:color="auto"/>
            </w:tcBorders>
            <w:shd w:val="clear" w:color="auto" w:fill="FFFFFF" w:themeFill="background1"/>
            <w:noWrap/>
            <w:vAlign w:val="center"/>
          </w:tcPr>
          <w:p w:rsidR="00820701" w:rsidRPr="003E743A" w:rsidRDefault="00820701" w:rsidP="00820701">
            <w:pPr>
              <w:spacing w:after="0" w:line="240" w:lineRule="auto"/>
              <w:jc w:val="both"/>
              <w:rPr>
                <w:rFonts w:ascii="Times New Roman" w:eastAsia="Times New Roman" w:hAnsi="Times New Roman" w:cs="Times New Roman"/>
                <w:sz w:val="24"/>
                <w:szCs w:val="24"/>
                <w:lang w:eastAsia="fr-FR"/>
              </w:rPr>
            </w:pPr>
          </w:p>
        </w:tc>
        <w:tc>
          <w:tcPr>
            <w:tcW w:w="1548" w:type="dxa"/>
            <w:tcBorders>
              <w:top w:val="nil"/>
              <w:left w:val="nil"/>
              <w:bottom w:val="single" w:sz="4" w:space="0" w:color="auto"/>
              <w:right w:val="single" w:sz="4" w:space="0" w:color="auto"/>
            </w:tcBorders>
            <w:shd w:val="clear" w:color="auto" w:fill="FFFFFF" w:themeFill="background1"/>
            <w:noWrap/>
            <w:vAlign w:val="center"/>
          </w:tcPr>
          <w:p w:rsidR="00820701" w:rsidRPr="003E743A" w:rsidRDefault="00820701" w:rsidP="00820701">
            <w:pPr>
              <w:spacing w:after="0" w:line="240" w:lineRule="auto"/>
              <w:jc w:val="both"/>
              <w:rPr>
                <w:rFonts w:ascii="Times New Roman" w:eastAsia="Times New Roman" w:hAnsi="Times New Roman" w:cs="Times New Roman"/>
                <w:sz w:val="24"/>
                <w:szCs w:val="24"/>
                <w:lang w:eastAsia="fr-FR"/>
              </w:rPr>
            </w:pPr>
            <w:r w:rsidRPr="003E743A">
              <w:rPr>
                <w:rFonts w:ascii="Times New Roman" w:eastAsia="Times New Roman" w:hAnsi="Times New Roman" w:cs="Times New Roman"/>
                <w:sz w:val="24"/>
                <w:szCs w:val="24"/>
                <w:lang w:eastAsia="fr-FR"/>
              </w:rPr>
              <w:t>35,8</w:t>
            </w:r>
          </w:p>
        </w:tc>
      </w:tr>
      <w:tr w:rsidR="00820701" w:rsidRPr="003E743A" w:rsidTr="00820701">
        <w:trPr>
          <w:trHeight w:val="300"/>
        </w:trPr>
        <w:tc>
          <w:tcPr>
            <w:tcW w:w="160" w:type="dxa"/>
            <w:tcBorders>
              <w:top w:val="nil"/>
              <w:left w:val="nil"/>
              <w:bottom w:val="nil"/>
              <w:right w:val="nil"/>
            </w:tcBorders>
            <w:shd w:val="clear" w:color="auto" w:fill="auto"/>
            <w:noWrap/>
            <w:vAlign w:val="center"/>
          </w:tcPr>
          <w:p w:rsidR="00820701" w:rsidRPr="003E743A" w:rsidRDefault="00820701" w:rsidP="00820701">
            <w:pPr>
              <w:spacing w:after="0" w:line="240" w:lineRule="auto"/>
              <w:jc w:val="both"/>
              <w:rPr>
                <w:rFonts w:ascii="Times New Roman" w:eastAsia="Times New Roman" w:hAnsi="Times New Roman" w:cs="Times New Roman"/>
                <w:sz w:val="24"/>
                <w:szCs w:val="24"/>
                <w:lang w:eastAsia="fr-FR"/>
              </w:rPr>
            </w:pPr>
          </w:p>
        </w:tc>
        <w:tc>
          <w:tcPr>
            <w:tcW w:w="2992" w:type="dxa"/>
            <w:tcBorders>
              <w:top w:val="single" w:sz="4" w:space="0" w:color="auto"/>
              <w:left w:val="single" w:sz="4" w:space="0" w:color="auto"/>
              <w:bottom w:val="single" w:sz="4" w:space="0" w:color="auto"/>
              <w:right w:val="single" w:sz="4" w:space="0" w:color="000000"/>
            </w:tcBorders>
            <w:shd w:val="clear" w:color="auto" w:fill="FFFFFF" w:themeFill="background1"/>
            <w:noWrap/>
            <w:vAlign w:val="center"/>
          </w:tcPr>
          <w:p w:rsidR="00820701" w:rsidRPr="003E743A" w:rsidRDefault="00820701" w:rsidP="00820701">
            <w:pPr>
              <w:spacing w:after="0" w:line="240" w:lineRule="auto"/>
              <w:jc w:val="both"/>
              <w:rPr>
                <w:rFonts w:ascii="Times New Roman" w:eastAsia="Times New Roman" w:hAnsi="Times New Roman" w:cs="Times New Roman"/>
                <w:sz w:val="24"/>
                <w:szCs w:val="24"/>
                <w:lang w:eastAsia="fr-FR"/>
              </w:rPr>
            </w:pPr>
            <w:r w:rsidRPr="003E743A">
              <w:rPr>
                <w:rFonts w:ascii="Times New Roman" w:eastAsia="Times New Roman" w:hAnsi="Times New Roman" w:cs="Times New Roman"/>
                <w:sz w:val="24"/>
                <w:szCs w:val="24"/>
                <w:lang w:eastAsia="fr-FR"/>
              </w:rPr>
              <w:t>5. Région de Tombali</w:t>
            </w:r>
          </w:p>
        </w:tc>
        <w:tc>
          <w:tcPr>
            <w:tcW w:w="1127" w:type="dxa"/>
            <w:tcBorders>
              <w:top w:val="nil"/>
              <w:left w:val="nil"/>
              <w:bottom w:val="single" w:sz="4" w:space="0" w:color="auto"/>
              <w:right w:val="single" w:sz="4" w:space="0" w:color="auto"/>
            </w:tcBorders>
            <w:shd w:val="clear" w:color="auto" w:fill="FFFFFF" w:themeFill="background1"/>
            <w:noWrap/>
            <w:vAlign w:val="center"/>
          </w:tcPr>
          <w:p w:rsidR="00820701" w:rsidRPr="003E743A" w:rsidRDefault="00820701" w:rsidP="00820701">
            <w:pPr>
              <w:spacing w:after="0" w:line="240" w:lineRule="auto"/>
              <w:jc w:val="both"/>
              <w:rPr>
                <w:rFonts w:ascii="Times New Roman" w:eastAsia="Times New Roman" w:hAnsi="Times New Roman" w:cs="Times New Roman"/>
                <w:sz w:val="24"/>
                <w:szCs w:val="24"/>
                <w:lang w:eastAsia="fr-FR"/>
              </w:rPr>
            </w:pPr>
            <w:r w:rsidRPr="003E743A">
              <w:rPr>
                <w:rFonts w:ascii="Times New Roman" w:eastAsia="Times New Roman" w:hAnsi="Times New Roman" w:cs="Times New Roman"/>
                <w:sz w:val="24"/>
                <w:szCs w:val="24"/>
                <w:lang w:eastAsia="fr-FR"/>
              </w:rPr>
              <w:t>3 736,5</w:t>
            </w:r>
          </w:p>
        </w:tc>
        <w:tc>
          <w:tcPr>
            <w:tcW w:w="146" w:type="dxa"/>
            <w:tcBorders>
              <w:top w:val="nil"/>
              <w:left w:val="nil"/>
              <w:bottom w:val="single" w:sz="4" w:space="0" w:color="auto"/>
              <w:right w:val="single" w:sz="4" w:space="0" w:color="auto"/>
            </w:tcBorders>
            <w:shd w:val="clear" w:color="auto" w:fill="FFFFFF" w:themeFill="background1"/>
            <w:noWrap/>
            <w:vAlign w:val="center"/>
          </w:tcPr>
          <w:p w:rsidR="00820701" w:rsidRPr="003E743A" w:rsidRDefault="00820701" w:rsidP="00820701">
            <w:pPr>
              <w:spacing w:after="0" w:line="240" w:lineRule="auto"/>
              <w:jc w:val="both"/>
              <w:rPr>
                <w:rFonts w:ascii="Times New Roman" w:eastAsia="Times New Roman" w:hAnsi="Times New Roman" w:cs="Times New Roman"/>
                <w:sz w:val="24"/>
                <w:szCs w:val="24"/>
                <w:lang w:eastAsia="fr-FR"/>
              </w:rPr>
            </w:pPr>
          </w:p>
        </w:tc>
        <w:tc>
          <w:tcPr>
            <w:tcW w:w="1658" w:type="dxa"/>
            <w:tcBorders>
              <w:top w:val="nil"/>
              <w:left w:val="nil"/>
              <w:bottom w:val="single" w:sz="4" w:space="0" w:color="auto"/>
              <w:right w:val="single" w:sz="4" w:space="0" w:color="auto"/>
            </w:tcBorders>
            <w:shd w:val="clear" w:color="auto" w:fill="FFFFFF" w:themeFill="background1"/>
            <w:noWrap/>
            <w:vAlign w:val="center"/>
          </w:tcPr>
          <w:p w:rsidR="00820701" w:rsidRPr="003E743A" w:rsidRDefault="00820701" w:rsidP="00820701">
            <w:pPr>
              <w:spacing w:after="0" w:line="240" w:lineRule="auto"/>
              <w:jc w:val="both"/>
              <w:rPr>
                <w:rFonts w:ascii="Times New Roman" w:eastAsia="Times New Roman" w:hAnsi="Times New Roman" w:cs="Times New Roman"/>
                <w:sz w:val="24"/>
                <w:szCs w:val="24"/>
                <w:lang w:eastAsia="fr-FR"/>
              </w:rPr>
            </w:pPr>
            <w:r w:rsidRPr="003E743A">
              <w:rPr>
                <w:rFonts w:ascii="Times New Roman" w:eastAsia="Times New Roman" w:hAnsi="Times New Roman" w:cs="Times New Roman"/>
                <w:sz w:val="24"/>
                <w:szCs w:val="24"/>
                <w:lang w:eastAsia="fr-FR"/>
              </w:rPr>
              <w:t>91 089</w:t>
            </w:r>
          </w:p>
        </w:tc>
        <w:tc>
          <w:tcPr>
            <w:tcW w:w="160" w:type="dxa"/>
            <w:tcBorders>
              <w:top w:val="nil"/>
              <w:left w:val="nil"/>
              <w:bottom w:val="single" w:sz="4" w:space="0" w:color="auto"/>
              <w:right w:val="single" w:sz="4" w:space="0" w:color="auto"/>
            </w:tcBorders>
            <w:shd w:val="clear" w:color="auto" w:fill="FFFFFF" w:themeFill="background1"/>
            <w:noWrap/>
            <w:vAlign w:val="center"/>
          </w:tcPr>
          <w:p w:rsidR="00820701" w:rsidRPr="003E743A" w:rsidRDefault="00820701" w:rsidP="00820701">
            <w:pPr>
              <w:spacing w:after="0" w:line="240" w:lineRule="auto"/>
              <w:jc w:val="both"/>
              <w:rPr>
                <w:rFonts w:ascii="Times New Roman" w:eastAsia="Times New Roman" w:hAnsi="Times New Roman" w:cs="Times New Roman"/>
                <w:sz w:val="24"/>
                <w:szCs w:val="24"/>
                <w:lang w:eastAsia="fr-FR"/>
              </w:rPr>
            </w:pPr>
          </w:p>
        </w:tc>
        <w:tc>
          <w:tcPr>
            <w:tcW w:w="1548" w:type="dxa"/>
            <w:tcBorders>
              <w:top w:val="nil"/>
              <w:left w:val="nil"/>
              <w:bottom w:val="single" w:sz="4" w:space="0" w:color="auto"/>
              <w:right w:val="single" w:sz="4" w:space="0" w:color="auto"/>
            </w:tcBorders>
            <w:shd w:val="clear" w:color="auto" w:fill="FFFFFF" w:themeFill="background1"/>
            <w:noWrap/>
            <w:vAlign w:val="center"/>
          </w:tcPr>
          <w:p w:rsidR="00820701" w:rsidRPr="003E743A" w:rsidRDefault="00820701" w:rsidP="00820701">
            <w:pPr>
              <w:spacing w:after="0" w:line="240" w:lineRule="auto"/>
              <w:jc w:val="both"/>
              <w:rPr>
                <w:rFonts w:ascii="Times New Roman" w:eastAsia="Times New Roman" w:hAnsi="Times New Roman" w:cs="Times New Roman"/>
                <w:sz w:val="24"/>
                <w:szCs w:val="24"/>
                <w:lang w:eastAsia="fr-FR"/>
              </w:rPr>
            </w:pPr>
            <w:r w:rsidRPr="003E743A">
              <w:rPr>
                <w:rFonts w:ascii="Times New Roman" w:eastAsia="Times New Roman" w:hAnsi="Times New Roman" w:cs="Times New Roman"/>
                <w:sz w:val="24"/>
                <w:szCs w:val="24"/>
                <w:lang w:eastAsia="fr-FR"/>
              </w:rPr>
              <w:t>24,4</w:t>
            </w:r>
          </w:p>
        </w:tc>
      </w:tr>
      <w:tr w:rsidR="00820701" w:rsidRPr="003E743A" w:rsidTr="00820701">
        <w:trPr>
          <w:trHeight w:val="300"/>
        </w:trPr>
        <w:tc>
          <w:tcPr>
            <w:tcW w:w="160" w:type="dxa"/>
            <w:tcBorders>
              <w:top w:val="nil"/>
              <w:left w:val="nil"/>
              <w:bottom w:val="nil"/>
              <w:right w:val="nil"/>
            </w:tcBorders>
            <w:shd w:val="clear" w:color="auto" w:fill="auto"/>
            <w:noWrap/>
            <w:vAlign w:val="center"/>
          </w:tcPr>
          <w:p w:rsidR="00820701" w:rsidRPr="003E743A" w:rsidRDefault="00820701" w:rsidP="00820701">
            <w:pPr>
              <w:spacing w:after="0" w:line="240" w:lineRule="auto"/>
              <w:jc w:val="both"/>
              <w:rPr>
                <w:rFonts w:ascii="Times New Roman" w:eastAsia="Times New Roman" w:hAnsi="Times New Roman" w:cs="Times New Roman"/>
                <w:sz w:val="24"/>
                <w:szCs w:val="24"/>
                <w:lang w:eastAsia="fr-FR"/>
              </w:rPr>
            </w:pPr>
          </w:p>
        </w:tc>
        <w:tc>
          <w:tcPr>
            <w:tcW w:w="2992" w:type="dxa"/>
            <w:tcBorders>
              <w:top w:val="single" w:sz="4" w:space="0" w:color="auto"/>
              <w:left w:val="single" w:sz="4" w:space="0" w:color="auto"/>
              <w:bottom w:val="single" w:sz="4" w:space="0" w:color="auto"/>
              <w:right w:val="single" w:sz="4" w:space="0" w:color="000000"/>
            </w:tcBorders>
            <w:shd w:val="clear" w:color="auto" w:fill="FFFFFF" w:themeFill="background1"/>
            <w:noWrap/>
            <w:vAlign w:val="center"/>
          </w:tcPr>
          <w:p w:rsidR="00820701" w:rsidRPr="003E743A" w:rsidRDefault="00820701" w:rsidP="00820701">
            <w:pPr>
              <w:spacing w:after="0" w:line="240" w:lineRule="auto"/>
              <w:jc w:val="both"/>
              <w:rPr>
                <w:rFonts w:ascii="Times New Roman" w:eastAsia="Times New Roman" w:hAnsi="Times New Roman" w:cs="Times New Roman"/>
                <w:sz w:val="24"/>
                <w:szCs w:val="24"/>
                <w:lang w:eastAsia="fr-FR"/>
              </w:rPr>
            </w:pPr>
            <w:r w:rsidRPr="003E743A">
              <w:rPr>
                <w:rFonts w:ascii="Times New Roman" w:eastAsia="Times New Roman" w:hAnsi="Times New Roman" w:cs="Times New Roman"/>
                <w:sz w:val="24"/>
                <w:szCs w:val="24"/>
                <w:lang w:eastAsia="fr-FR"/>
              </w:rPr>
              <w:t>6. Région de Quínara</w:t>
            </w:r>
          </w:p>
        </w:tc>
        <w:tc>
          <w:tcPr>
            <w:tcW w:w="1127" w:type="dxa"/>
            <w:tcBorders>
              <w:top w:val="nil"/>
              <w:left w:val="nil"/>
              <w:bottom w:val="single" w:sz="4" w:space="0" w:color="auto"/>
              <w:right w:val="single" w:sz="4" w:space="0" w:color="auto"/>
            </w:tcBorders>
            <w:shd w:val="clear" w:color="auto" w:fill="FFFFFF" w:themeFill="background1"/>
            <w:noWrap/>
            <w:vAlign w:val="center"/>
          </w:tcPr>
          <w:p w:rsidR="00820701" w:rsidRPr="003E743A" w:rsidRDefault="00820701" w:rsidP="00820701">
            <w:pPr>
              <w:spacing w:after="0" w:line="240" w:lineRule="auto"/>
              <w:jc w:val="both"/>
              <w:rPr>
                <w:rFonts w:ascii="Times New Roman" w:eastAsia="Times New Roman" w:hAnsi="Times New Roman" w:cs="Times New Roman"/>
                <w:sz w:val="24"/>
                <w:szCs w:val="24"/>
                <w:lang w:eastAsia="fr-FR"/>
              </w:rPr>
            </w:pPr>
            <w:r w:rsidRPr="003E743A">
              <w:rPr>
                <w:rFonts w:ascii="Times New Roman" w:eastAsia="Times New Roman" w:hAnsi="Times New Roman" w:cs="Times New Roman"/>
                <w:sz w:val="24"/>
                <w:szCs w:val="24"/>
                <w:lang w:eastAsia="fr-FR"/>
              </w:rPr>
              <w:t>3 138,4</w:t>
            </w:r>
          </w:p>
        </w:tc>
        <w:tc>
          <w:tcPr>
            <w:tcW w:w="146" w:type="dxa"/>
            <w:tcBorders>
              <w:top w:val="nil"/>
              <w:left w:val="nil"/>
              <w:bottom w:val="single" w:sz="4" w:space="0" w:color="auto"/>
              <w:right w:val="single" w:sz="4" w:space="0" w:color="auto"/>
            </w:tcBorders>
            <w:shd w:val="clear" w:color="auto" w:fill="FFFFFF" w:themeFill="background1"/>
            <w:noWrap/>
            <w:vAlign w:val="center"/>
          </w:tcPr>
          <w:p w:rsidR="00820701" w:rsidRPr="003E743A" w:rsidRDefault="00820701" w:rsidP="00820701">
            <w:pPr>
              <w:spacing w:after="0" w:line="240" w:lineRule="auto"/>
              <w:jc w:val="both"/>
              <w:rPr>
                <w:rFonts w:ascii="Times New Roman" w:eastAsia="Times New Roman" w:hAnsi="Times New Roman" w:cs="Times New Roman"/>
                <w:sz w:val="24"/>
                <w:szCs w:val="24"/>
                <w:lang w:eastAsia="fr-FR"/>
              </w:rPr>
            </w:pPr>
          </w:p>
        </w:tc>
        <w:tc>
          <w:tcPr>
            <w:tcW w:w="1658" w:type="dxa"/>
            <w:tcBorders>
              <w:top w:val="nil"/>
              <w:left w:val="nil"/>
              <w:bottom w:val="single" w:sz="4" w:space="0" w:color="auto"/>
              <w:right w:val="single" w:sz="4" w:space="0" w:color="auto"/>
            </w:tcBorders>
            <w:shd w:val="clear" w:color="auto" w:fill="FFFFFF" w:themeFill="background1"/>
            <w:noWrap/>
            <w:vAlign w:val="center"/>
          </w:tcPr>
          <w:p w:rsidR="00820701" w:rsidRPr="003E743A" w:rsidRDefault="00820701" w:rsidP="00820701">
            <w:pPr>
              <w:spacing w:after="0" w:line="240" w:lineRule="auto"/>
              <w:jc w:val="both"/>
              <w:rPr>
                <w:rFonts w:ascii="Times New Roman" w:eastAsia="Times New Roman" w:hAnsi="Times New Roman" w:cs="Times New Roman"/>
                <w:sz w:val="24"/>
                <w:szCs w:val="24"/>
                <w:lang w:eastAsia="fr-FR"/>
              </w:rPr>
            </w:pPr>
            <w:r w:rsidRPr="003E743A">
              <w:rPr>
                <w:rFonts w:ascii="Times New Roman" w:eastAsia="Times New Roman" w:hAnsi="Times New Roman" w:cs="Times New Roman"/>
                <w:sz w:val="24"/>
                <w:szCs w:val="24"/>
                <w:lang w:eastAsia="fr-FR"/>
              </w:rPr>
              <w:t>60 777</w:t>
            </w:r>
          </w:p>
        </w:tc>
        <w:tc>
          <w:tcPr>
            <w:tcW w:w="160" w:type="dxa"/>
            <w:tcBorders>
              <w:top w:val="nil"/>
              <w:left w:val="nil"/>
              <w:bottom w:val="single" w:sz="4" w:space="0" w:color="auto"/>
              <w:right w:val="single" w:sz="4" w:space="0" w:color="auto"/>
            </w:tcBorders>
            <w:shd w:val="clear" w:color="auto" w:fill="FFFFFF" w:themeFill="background1"/>
            <w:noWrap/>
            <w:vAlign w:val="center"/>
          </w:tcPr>
          <w:p w:rsidR="00820701" w:rsidRPr="003E743A" w:rsidRDefault="00820701" w:rsidP="00820701">
            <w:pPr>
              <w:spacing w:after="0" w:line="240" w:lineRule="auto"/>
              <w:jc w:val="both"/>
              <w:rPr>
                <w:rFonts w:ascii="Times New Roman" w:eastAsia="Times New Roman" w:hAnsi="Times New Roman" w:cs="Times New Roman"/>
                <w:sz w:val="24"/>
                <w:szCs w:val="24"/>
                <w:lang w:eastAsia="fr-FR"/>
              </w:rPr>
            </w:pPr>
          </w:p>
        </w:tc>
        <w:tc>
          <w:tcPr>
            <w:tcW w:w="1548" w:type="dxa"/>
            <w:tcBorders>
              <w:top w:val="nil"/>
              <w:left w:val="nil"/>
              <w:bottom w:val="single" w:sz="4" w:space="0" w:color="auto"/>
              <w:right w:val="single" w:sz="4" w:space="0" w:color="auto"/>
            </w:tcBorders>
            <w:shd w:val="clear" w:color="auto" w:fill="FFFFFF" w:themeFill="background1"/>
            <w:noWrap/>
            <w:vAlign w:val="center"/>
          </w:tcPr>
          <w:p w:rsidR="00820701" w:rsidRPr="003E743A" w:rsidRDefault="00820701" w:rsidP="00820701">
            <w:pPr>
              <w:spacing w:after="0" w:line="240" w:lineRule="auto"/>
              <w:jc w:val="both"/>
              <w:rPr>
                <w:rFonts w:ascii="Times New Roman" w:eastAsia="Times New Roman" w:hAnsi="Times New Roman" w:cs="Times New Roman"/>
                <w:sz w:val="24"/>
                <w:szCs w:val="24"/>
                <w:lang w:eastAsia="fr-FR"/>
              </w:rPr>
            </w:pPr>
            <w:r w:rsidRPr="003E743A">
              <w:rPr>
                <w:rFonts w:ascii="Times New Roman" w:eastAsia="Times New Roman" w:hAnsi="Times New Roman" w:cs="Times New Roman"/>
                <w:sz w:val="24"/>
                <w:szCs w:val="24"/>
                <w:lang w:eastAsia="fr-FR"/>
              </w:rPr>
              <w:t>19,4</w:t>
            </w:r>
          </w:p>
        </w:tc>
      </w:tr>
      <w:tr w:rsidR="00820701" w:rsidRPr="003E743A" w:rsidTr="00820701">
        <w:trPr>
          <w:trHeight w:val="300"/>
        </w:trPr>
        <w:tc>
          <w:tcPr>
            <w:tcW w:w="160" w:type="dxa"/>
            <w:tcBorders>
              <w:top w:val="nil"/>
              <w:left w:val="nil"/>
              <w:bottom w:val="nil"/>
              <w:right w:val="nil"/>
            </w:tcBorders>
            <w:shd w:val="clear" w:color="auto" w:fill="auto"/>
            <w:noWrap/>
            <w:vAlign w:val="center"/>
          </w:tcPr>
          <w:p w:rsidR="00820701" w:rsidRPr="003E743A" w:rsidRDefault="00820701" w:rsidP="00820701">
            <w:pPr>
              <w:spacing w:after="0" w:line="240" w:lineRule="auto"/>
              <w:jc w:val="both"/>
              <w:rPr>
                <w:rFonts w:ascii="Times New Roman" w:eastAsia="Times New Roman" w:hAnsi="Times New Roman" w:cs="Times New Roman"/>
                <w:sz w:val="24"/>
                <w:szCs w:val="24"/>
                <w:lang w:eastAsia="fr-FR"/>
              </w:rPr>
            </w:pPr>
          </w:p>
        </w:tc>
        <w:tc>
          <w:tcPr>
            <w:tcW w:w="2992"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rsidR="00820701" w:rsidRPr="003E743A" w:rsidRDefault="00820701" w:rsidP="00820701">
            <w:pPr>
              <w:spacing w:after="0" w:line="240" w:lineRule="auto"/>
              <w:jc w:val="both"/>
              <w:rPr>
                <w:rFonts w:ascii="Times New Roman" w:eastAsia="Times New Roman" w:hAnsi="Times New Roman" w:cs="Times New Roman"/>
                <w:sz w:val="24"/>
                <w:szCs w:val="24"/>
                <w:lang w:eastAsia="fr-FR"/>
              </w:rPr>
            </w:pPr>
            <w:r w:rsidRPr="003E743A">
              <w:rPr>
                <w:rFonts w:ascii="Times New Roman" w:eastAsia="Times New Roman" w:hAnsi="Times New Roman" w:cs="Times New Roman"/>
                <w:sz w:val="24"/>
                <w:szCs w:val="24"/>
                <w:lang w:eastAsia="fr-FR"/>
              </w:rPr>
              <w:t>7. Région de Bolama Bijagós</w:t>
            </w:r>
          </w:p>
        </w:tc>
        <w:tc>
          <w:tcPr>
            <w:tcW w:w="1127"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rsidR="00820701" w:rsidRPr="003E743A" w:rsidRDefault="00820701" w:rsidP="00820701">
            <w:pPr>
              <w:spacing w:after="0" w:line="240" w:lineRule="auto"/>
              <w:jc w:val="both"/>
              <w:rPr>
                <w:rFonts w:ascii="Times New Roman" w:eastAsia="Times New Roman" w:hAnsi="Times New Roman" w:cs="Times New Roman"/>
                <w:sz w:val="24"/>
                <w:szCs w:val="24"/>
                <w:lang w:eastAsia="fr-FR"/>
              </w:rPr>
            </w:pPr>
            <w:r w:rsidRPr="003E743A">
              <w:rPr>
                <w:rFonts w:ascii="Times New Roman" w:eastAsia="Times New Roman" w:hAnsi="Times New Roman" w:cs="Times New Roman"/>
                <w:sz w:val="24"/>
                <w:szCs w:val="24"/>
                <w:lang w:eastAsia="fr-FR"/>
              </w:rPr>
              <w:t>2 624,4</w:t>
            </w:r>
          </w:p>
        </w:tc>
        <w:tc>
          <w:tcPr>
            <w:tcW w:w="146" w:type="dxa"/>
            <w:tcBorders>
              <w:top w:val="nil"/>
              <w:left w:val="nil"/>
              <w:bottom w:val="nil"/>
              <w:right w:val="single" w:sz="4" w:space="0" w:color="auto"/>
            </w:tcBorders>
            <w:shd w:val="clear" w:color="auto" w:fill="FFFFFF" w:themeFill="background1"/>
            <w:noWrap/>
            <w:vAlign w:val="center"/>
          </w:tcPr>
          <w:p w:rsidR="00820701" w:rsidRPr="003E743A" w:rsidRDefault="00820701" w:rsidP="00820701">
            <w:pPr>
              <w:spacing w:after="0" w:line="240" w:lineRule="auto"/>
              <w:jc w:val="both"/>
              <w:rPr>
                <w:rFonts w:ascii="Times New Roman" w:eastAsia="Times New Roman" w:hAnsi="Times New Roman" w:cs="Times New Roman"/>
                <w:sz w:val="24"/>
                <w:szCs w:val="24"/>
                <w:lang w:eastAsia="fr-FR"/>
              </w:rPr>
            </w:pPr>
          </w:p>
        </w:tc>
        <w:tc>
          <w:tcPr>
            <w:tcW w:w="1658" w:type="dxa"/>
            <w:tcBorders>
              <w:top w:val="single" w:sz="4" w:space="0" w:color="auto"/>
              <w:left w:val="nil"/>
              <w:bottom w:val="single" w:sz="4" w:space="0" w:color="auto"/>
              <w:right w:val="single" w:sz="4" w:space="0" w:color="auto"/>
            </w:tcBorders>
            <w:shd w:val="clear" w:color="auto" w:fill="FFFFFF" w:themeFill="background1"/>
            <w:noWrap/>
            <w:vAlign w:val="center"/>
          </w:tcPr>
          <w:p w:rsidR="00820701" w:rsidRPr="003E743A" w:rsidRDefault="00820701" w:rsidP="00820701">
            <w:pPr>
              <w:spacing w:after="0" w:line="240" w:lineRule="auto"/>
              <w:jc w:val="both"/>
              <w:rPr>
                <w:rFonts w:ascii="Times New Roman" w:eastAsia="Times New Roman" w:hAnsi="Times New Roman" w:cs="Times New Roman"/>
                <w:sz w:val="24"/>
                <w:szCs w:val="24"/>
                <w:lang w:eastAsia="fr-FR"/>
              </w:rPr>
            </w:pPr>
            <w:r w:rsidRPr="003E743A">
              <w:rPr>
                <w:rFonts w:ascii="Times New Roman" w:eastAsia="Times New Roman" w:hAnsi="Times New Roman" w:cs="Times New Roman"/>
                <w:sz w:val="24"/>
                <w:szCs w:val="24"/>
                <w:lang w:eastAsia="fr-FR"/>
              </w:rPr>
              <w:t>32 424</w:t>
            </w:r>
          </w:p>
        </w:tc>
        <w:tc>
          <w:tcPr>
            <w:tcW w:w="160" w:type="dxa"/>
            <w:tcBorders>
              <w:top w:val="nil"/>
              <w:left w:val="nil"/>
              <w:bottom w:val="nil"/>
              <w:right w:val="single" w:sz="4" w:space="0" w:color="auto"/>
            </w:tcBorders>
            <w:shd w:val="clear" w:color="auto" w:fill="FFFFFF" w:themeFill="background1"/>
            <w:noWrap/>
            <w:vAlign w:val="center"/>
          </w:tcPr>
          <w:p w:rsidR="00820701" w:rsidRPr="003E743A" w:rsidRDefault="00820701" w:rsidP="00820701">
            <w:pPr>
              <w:spacing w:after="0" w:line="240" w:lineRule="auto"/>
              <w:jc w:val="both"/>
              <w:rPr>
                <w:rFonts w:ascii="Times New Roman" w:eastAsia="Times New Roman" w:hAnsi="Times New Roman" w:cs="Times New Roman"/>
                <w:sz w:val="24"/>
                <w:szCs w:val="24"/>
                <w:lang w:eastAsia="fr-FR"/>
              </w:rPr>
            </w:pPr>
          </w:p>
        </w:tc>
        <w:tc>
          <w:tcPr>
            <w:tcW w:w="1548" w:type="dxa"/>
            <w:tcBorders>
              <w:top w:val="single" w:sz="4" w:space="0" w:color="auto"/>
              <w:left w:val="nil"/>
              <w:bottom w:val="single" w:sz="4" w:space="0" w:color="auto"/>
              <w:right w:val="single" w:sz="4" w:space="0" w:color="auto"/>
            </w:tcBorders>
            <w:shd w:val="clear" w:color="auto" w:fill="FFFFFF" w:themeFill="background1"/>
            <w:noWrap/>
            <w:vAlign w:val="center"/>
          </w:tcPr>
          <w:p w:rsidR="00820701" w:rsidRPr="003E743A" w:rsidRDefault="00820701" w:rsidP="00820701">
            <w:pPr>
              <w:spacing w:after="0" w:line="240" w:lineRule="auto"/>
              <w:jc w:val="both"/>
              <w:rPr>
                <w:rFonts w:ascii="Times New Roman" w:eastAsia="Times New Roman" w:hAnsi="Times New Roman" w:cs="Times New Roman"/>
                <w:sz w:val="24"/>
                <w:szCs w:val="24"/>
                <w:lang w:eastAsia="fr-FR"/>
              </w:rPr>
            </w:pPr>
            <w:r w:rsidRPr="003E743A">
              <w:rPr>
                <w:rFonts w:ascii="Times New Roman" w:eastAsia="Times New Roman" w:hAnsi="Times New Roman" w:cs="Times New Roman"/>
                <w:sz w:val="24"/>
                <w:szCs w:val="24"/>
                <w:lang w:eastAsia="fr-FR"/>
              </w:rPr>
              <w:t>12,4</w:t>
            </w:r>
          </w:p>
        </w:tc>
      </w:tr>
      <w:tr w:rsidR="00820701" w:rsidRPr="003E743A" w:rsidTr="00820701">
        <w:trPr>
          <w:trHeight w:val="300"/>
        </w:trPr>
        <w:tc>
          <w:tcPr>
            <w:tcW w:w="160" w:type="dxa"/>
            <w:tcBorders>
              <w:top w:val="nil"/>
              <w:left w:val="nil"/>
              <w:bottom w:val="nil"/>
              <w:right w:val="nil"/>
            </w:tcBorders>
            <w:shd w:val="clear" w:color="auto" w:fill="auto"/>
            <w:noWrap/>
            <w:vAlign w:val="center"/>
          </w:tcPr>
          <w:p w:rsidR="00820701" w:rsidRPr="003E743A" w:rsidRDefault="00820701" w:rsidP="00820701">
            <w:pPr>
              <w:spacing w:after="0" w:line="240" w:lineRule="auto"/>
              <w:jc w:val="both"/>
              <w:rPr>
                <w:rFonts w:ascii="Times New Roman" w:eastAsia="Times New Roman" w:hAnsi="Times New Roman" w:cs="Times New Roman"/>
                <w:sz w:val="24"/>
                <w:szCs w:val="24"/>
                <w:lang w:eastAsia="fr-FR"/>
              </w:rPr>
            </w:pPr>
          </w:p>
        </w:tc>
        <w:tc>
          <w:tcPr>
            <w:tcW w:w="2992"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rsidR="00820701" w:rsidRPr="003E743A" w:rsidRDefault="00820701" w:rsidP="00820701">
            <w:pPr>
              <w:spacing w:after="0" w:line="240" w:lineRule="auto"/>
              <w:jc w:val="both"/>
              <w:rPr>
                <w:rFonts w:ascii="Times New Roman" w:eastAsia="Times New Roman" w:hAnsi="Times New Roman" w:cs="Times New Roman"/>
                <w:sz w:val="24"/>
                <w:szCs w:val="24"/>
                <w:lang w:eastAsia="fr-FR"/>
              </w:rPr>
            </w:pPr>
            <w:r w:rsidRPr="003E743A">
              <w:rPr>
                <w:rFonts w:ascii="Times New Roman" w:eastAsia="Times New Roman" w:hAnsi="Times New Roman" w:cs="Times New Roman"/>
                <w:sz w:val="24"/>
                <w:szCs w:val="24"/>
                <w:lang w:eastAsia="fr-FR"/>
              </w:rPr>
              <w:t>8. Région de Biombo</w:t>
            </w:r>
          </w:p>
        </w:tc>
        <w:tc>
          <w:tcPr>
            <w:tcW w:w="1127"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rsidR="00820701" w:rsidRPr="003E743A" w:rsidRDefault="00820701" w:rsidP="00820701">
            <w:pPr>
              <w:spacing w:after="0" w:line="240" w:lineRule="auto"/>
              <w:jc w:val="both"/>
              <w:rPr>
                <w:rFonts w:ascii="Times New Roman" w:eastAsia="Times New Roman" w:hAnsi="Times New Roman" w:cs="Times New Roman"/>
                <w:sz w:val="24"/>
                <w:szCs w:val="24"/>
                <w:lang w:eastAsia="fr-FR"/>
              </w:rPr>
            </w:pPr>
            <w:r w:rsidRPr="003E743A">
              <w:rPr>
                <w:rFonts w:ascii="Times New Roman" w:eastAsia="Times New Roman" w:hAnsi="Times New Roman" w:cs="Times New Roman"/>
                <w:sz w:val="24"/>
                <w:szCs w:val="24"/>
                <w:lang w:eastAsia="fr-FR"/>
              </w:rPr>
              <w:t>838,8</w:t>
            </w:r>
          </w:p>
        </w:tc>
        <w:tc>
          <w:tcPr>
            <w:tcW w:w="146" w:type="dxa"/>
            <w:tcBorders>
              <w:top w:val="nil"/>
              <w:left w:val="nil"/>
              <w:bottom w:val="single" w:sz="4" w:space="0" w:color="auto"/>
              <w:right w:val="single" w:sz="4" w:space="0" w:color="auto"/>
            </w:tcBorders>
            <w:shd w:val="clear" w:color="auto" w:fill="FFFFFF" w:themeFill="background1"/>
            <w:noWrap/>
            <w:vAlign w:val="center"/>
          </w:tcPr>
          <w:p w:rsidR="00820701" w:rsidRPr="003E743A" w:rsidRDefault="00820701" w:rsidP="00820701">
            <w:pPr>
              <w:spacing w:after="0" w:line="240" w:lineRule="auto"/>
              <w:jc w:val="both"/>
              <w:rPr>
                <w:rFonts w:ascii="Times New Roman" w:eastAsia="Times New Roman" w:hAnsi="Times New Roman" w:cs="Times New Roman"/>
                <w:sz w:val="24"/>
                <w:szCs w:val="24"/>
                <w:lang w:eastAsia="fr-FR"/>
              </w:rPr>
            </w:pPr>
          </w:p>
        </w:tc>
        <w:tc>
          <w:tcPr>
            <w:tcW w:w="1658" w:type="dxa"/>
            <w:tcBorders>
              <w:top w:val="single" w:sz="4" w:space="0" w:color="auto"/>
              <w:left w:val="nil"/>
              <w:bottom w:val="single" w:sz="4" w:space="0" w:color="auto"/>
              <w:right w:val="single" w:sz="4" w:space="0" w:color="auto"/>
            </w:tcBorders>
            <w:shd w:val="clear" w:color="auto" w:fill="FFFFFF" w:themeFill="background1"/>
            <w:noWrap/>
            <w:vAlign w:val="center"/>
          </w:tcPr>
          <w:p w:rsidR="00820701" w:rsidRPr="003E743A" w:rsidRDefault="00820701" w:rsidP="00820701">
            <w:pPr>
              <w:spacing w:after="0" w:line="240" w:lineRule="auto"/>
              <w:jc w:val="both"/>
              <w:rPr>
                <w:rFonts w:ascii="Times New Roman" w:eastAsia="Times New Roman" w:hAnsi="Times New Roman" w:cs="Times New Roman"/>
                <w:sz w:val="24"/>
                <w:szCs w:val="24"/>
                <w:lang w:eastAsia="fr-FR"/>
              </w:rPr>
            </w:pPr>
            <w:r w:rsidRPr="003E743A">
              <w:rPr>
                <w:rFonts w:ascii="Times New Roman" w:eastAsia="Times New Roman" w:hAnsi="Times New Roman" w:cs="Times New Roman"/>
                <w:sz w:val="24"/>
                <w:szCs w:val="24"/>
                <w:lang w:eastAsia="fr-FR"/>
              </w:rPr>
              <w:t>93 039</w:t>
            </w:r>
          </w:p>
        </w:tc>
        <w:tc>
          <w:tcPr>
            <w:tcW w:w="160" w:type="dxa"/>
            <w:tcBorders>
              <w:top w:val="nil"/>
              <w:left w:val="nil"/>
              <w:bottom w:val="single" w:sz="4" w:space="0" w:color="auto"/>
              <w:right w:val="single" w:sz="4" w:space="0" w:color="auto"/>
            </w:tcBorders>
            <w:shd w:val="clear" w:color="auto" w:fill="FFFFFF" w:themeFill="background1"/>
            <w:noWrap/>
            <w:vAlign w:val="center"/>
          </w:tcPr>
          <w:p w:rsidR="00820701" w:rsidRPr="003E743A" w:rsidRDefault="00820701" w:rsidP="00820701">
            <w:pPr>
              <w:spacing w:after="0" w:line="240" w:lineRule="auto"/>
              <w:jc w:val="both"/>
              <w:rPr>
                <w:rFonts w:ascii="Times New Roman" w:eastAsia="Times New Roman" w:hAnsi="Times New Roman" w:cs="Times New Roman"/>
                <w:sz w:val="24"/>
                <w:szCs w:val="24"/>
                <w:lang w:eastAsia="fr-FR"/>
              </w:rPr>
            </w:pPr>
          </w:p>
        </w:tc>
        <w:tc>
          <w:tcPr>
            <w:tcW w:w="1548" w:type="dxa"/>
            <w:tcBorders>
              <w:top w:val="single" w:sz="4" w:space="0" w:color="auto"/>
              <w:left w:val="nil"/>
              <w:bottom w:val="single" w:sz="4" w:space="0" w:color="auto"/>
              <w:right w:val="single" w:sz="4" w:space="0" w:color="auto"/>
            </w:tcBorders>
            <w:shd w:val="clear" w:color="auto" w:fill="FFFFFF" w:themeFill="background1"/>
            <w:noWrap/>
            <w:vAlign w:val="center"/>
          </w:tcPr>
          <w:p w:rsidR="00820701" w:rsidRPr="003E743A" w:rsidRDefault="00820701" w:rsidP="00820701">
            <w:pPr>
              <w:spacing w:after="0" w:line="240" w:lineRule="auto"/>
              <w:jc w:val="both"/>
              <w:rPr>
                <w:rFonts w:ascii="Times New Roman" w:eastAsia="Times New Roman" w:hAnsi="Times New Roman" w:cs="Times New Roman"/>
                <w:sz w:val="24"/>
                <w:szCs w:val="24"/>
                <w:lang w:eastAsia="fr-FR"/>
              </w:rPr>
            </w:pPr>
            <w:r w:rsidRPr="003E743A">
              <w:rPr>
                <w:rFonts w:ascii="Times New Roman" w:eastAsia="Times New Roman" w:hAnsi="Times New Roman" w:cs="Times New Roman"/>
                <w:sz w:val="24"/>
                <w:szCs w:val="24"/>
                <w:lang w:eastAsia="fr-FR"/>
              </w:rPr>
              <w:t>110,9</w:t>
            </w:r>
          </w:p>
        </w:tc>
      </w:tr>
      <w:tr w:rsidR="00820701" w:rsidRPr="003E743A" w:rsidTr="00820701">
        <w:trPr>
          <w:trHeight w:val="300"/>
        </w:trPr>
        <w:tc>
          <w:tcPr>
            <w:tcW w:w="160" w:type="dxa"/>
            <w:tcBorders>
              <w:top w:val="nil"/>
              <w:left w:val="nil"/>
              <w:bottom w:val="nil"/>
              <w:right w:val="nil"/>
            </w:tcBorders>
            <w:shd w:val="clear" w:color="auto" w:fill="auto"/>
            <w:noWrap/>
            <w:vAlign w:val="center"/>
          </w:tcPr>
          <w:p w:rsidR="00820701" w:rsidRPr="003E743A" w:rsidRDefault="00820701" w:rsidP="00820701">
            <w:pPr>
              <w:spacing w:after="0" w:line="240" w:lineRule="auto"/>
              <w:jc w:val="both"/>
              <w:rPr>
                <w:rFonts w:ascii="Times New Roman" w:eastAsia="Times New Roman" w:hAnsi="Times New Roman" w:cs="Times New Roman"/>
                <w:sz w:val="24"/>
                <w:szCs w:val="24"/>
                <w:lang w:eastAsia="fr-FR"/>
              </w:rPr>
            </w:pPr>
          </w:p>
        </w:tc>
        <w:tc>
          <w:tcPr>
            <w:tcW w:w="2992" w:type="dxa"/>
            <w:tcBorders>
              <w:top w:val="single" w:sz="4" w:space="0" w:color="auto"/>
              <w:left w:val="single" w:sz="4" w:space="0" w:color="auto"/>
              <w:bottom w:val="single" w:sz="4" w:space="0" w:color="auto"/>
              <w:right w:val="single" w:sz="4" w:space="0" w:color="000000"/>
            </w:tcBorders>
            <w:shd w:val="clear" w:color="auto" w:fill="FFFFFF" w:themeFill="background1"/>
            <w:noWrap/>
            <w:vAlign w:val="center"/>
          </w:tcPr>
          <w:p w:rsidR="00820701" w:rsidRPr="003E743A" w:rsidRDefault="00820701" w:rsidP="00820701">
            <w:pPr>
              <w:spacing w:after="0" w:line="240" w:lineRule="auto"/>
              <w:jc w:val="both"/>
              <w:rPr>
                <w:rFonts w:ascii="Times New Roman" w:eastAsia="Times New Roman" w:hAnsi="Times New Roman" w:cs="Times New Roman"/>
                <w:sz w:val="24"/>
                <w:szCs w:val="24"/>
                <w:lang w:eastAsia="fr-FR"/>
              </w:rPr>
            </w:pPr>
            <w:r w:rsidRPr="003E743A">
              <w:rPr>
                <w:rFonts w:ascii="Times New Roman" w:eastAsia="Times New Roman" w:hAnsi="Times New Roman" w:cs="Times New Roman"/>
                <w:sz w:val="24"/>
                <w:szCs w:val="24"/>
                <w:lang w:eastAsia="fr-FR"/>
              </w:rPr>
              <w:t>9. Secteur Autonome de Bissau</w:t>
            </w:r>
          </w:p>
        </w:tc>
        <w:tc>
          <w:tcPr>
            <w:tcW w:w="1127" w:type="dxa"/>
            <w:tcBorders>
              <w:top w:val="single" w:sz="4" w:space="0" w:color="auto"/>
              <w:left w:val="nil"/>
              <w:bottom w:val="single" w:sz="4" w:space="0" w:color="auto"/>
              <w:right w:val="single" w:sz="4" w:space="0" w:color="auto"/>
            </w:tcBorders>
            <w:shd w:val="clear" w:color="auto" w:fill="FFFFFF" w:themeFill="background1"/>
            <w:noWrap/>
            <w:vAlign w:val="center"/>
          </w:tcPr>
          <w:p w:rsidR="00820701" w:rsidRPr="003E743A" w:rsidRDefault="00820701" w:rsidP="00820701">
            <w:pPr>
              <w:spacing w:after="0" w:line="240" w:lineRule="auto"/>
              <w:jc w:val="both"/>
              <w:rPr>
                <w:rFonts w:ascii="Times New Roman" w:eastAsia="Times New Roman" w:hAnsi="Times New Roman" w:cs="Times New Roman"/>
                <w:sz w:val="24"/>
                <w:szCs w:val="24"/>
                <w:lang w:eastAsia="fr-FR"/>
              </w:rPr>
            </w:pPr>
            <w:r w:rsidRPr="003E743A">
              <w:rPr>
                <w:rFonts w:ascii="Times New Roman" w:eastAsia="Times New Roman" w:hAnsi="Times New Roman" w:cs="Times New Roman"/>
                <w:sz w:val="24"/>
                <w:szCs w:val="24"/>
                <w:lang w:eastAsia="fr-FR"/>
              </w:rPr>
              <w:t>77,5</w:t>
            </w:r>
          </w:p>
        </w:tc>
        <w:tc>
          <w:tcPr>
            <w:tcW w:w="146" w:type="dxa"/>
            <w:tcBorders>
              <w:top w:val="nil"/>
              <w:left w:val="nil"/>
              <w:bottom w:val="single" w:sz="4" w:space="0" w:color="auto"/>
              <w:right w:val="single" w:sz="4" w:space="0" w:color="auto"/>
            </w:tcBorders>
            <w:shd w:val="clear" w:color="auto" w:fill="FFFFFF" w:themeFill="background1"/>
            <w:noWrap/>
            <w:vAlign w:val="center"/>
          </w:tcPr>
          <w:p w:rsidR="00820701" w:rsidRPr="003E743A" w:rsidRDefault="00820701" w:rsidP="00820701">
            <w:pPr>
              <w:spacing w:after="0" w:line="240" w:lineRule="auto"/>
              <w:jc w:val="both"/>
              <w:rPr>
                <w:rFonts w:ascii="Times New Roman" w:eastAsia="Times New Roman" w:hAnsi="Times New Roman" w:cs="Times New Roman"/>
                <w:sz w:val="24"/>
                <w:szCs w:val="24"/>
                <w:lang w:eastAsia="fr-FR"/>
              </w:rPr>
            </w:pPr>
          </w:p>
        </w:tc>
        <w:tc>
          <w:tcPr>
            <w:tcW w:w="1658" w:type="dxa"/>
            <w:tcBorders>
              <w:top w:val="nil"/>
              <w:left w:val="nil"/>
              <w:bottom w:val="single" w:sz="4" w:space="0" w:color="auto"/>
              <w:right w:val="single" w:sz="4" w:space="0" w:color="auto"/>
            </w:tcBorders>
            <w:shd w:val="clear" w:color="auto" w:fill="FFFFFF" w:themeFill="background1"/>
            <w:noWrap/>
            <w:vAlign w:val="center"/>
          </w:tcPr>
          <w:p w:rsidR="00820701" w:rsidRPr="003E743A" w:rsidRDefault="00820701" w:rsidP="00820701">
            <w:pPr>
              <w:spacing w:after="0" w:line="240" w:lineRule="auto"/>
              <w:jc w:val="both"/>
              <w:rPr>
                <w:rFonts w:ascii="Times New Roman" w:eastAsia="Times New Roman" w:hAnsi="Times New Roman" w:cs="Times New Roman"/>
                <w:sz w:val="24"/>
                <w:szCs w:val="24"/>
                <w:lang w:eastAsia="fr-FR"/>
              </w:rPr>
            </w:pPr>
            <w:r w:rsidRPr="003E743A">
              <w:rPr>
                <w:rFonts w:ascii="Times New Roman" w:eastAsia="Times New Roman" w:hAnsi="Times New Roman" w:cs="Times New Roman"/>
                <w:sz w:val="24"/>
                <w:szCs w:val="24"/>
                <w:lang w:eastAsia="fr-FR"/>
              </w:rPr>
              <w:t>365 097</w:t>
            </w:r>
          </w:p>
        </w:tc>
        <w:tc>
          <w:tcPr>
            <w:tcW w:w="160" w:type="dxa"/>
            <w:tcBorders>
              <w:top w:val="nil"/>
              <w:left w:val="nil"/>
              <w:bottom w:val="single" w:sz="4" w:space="0" w:color="auto"/>
              <w:right w:val="single" w:sz="4" w:space="0" w:color="auto"/>
            </w:tcBorders>
            <w:shd w:val="clear" w:color="auto" w:fill="FFFFFF" w:themeFill="background1"/>
            <w:noWrap/>
            <w:vAlign w:val="center"/>
          </w:tcPr>
          <w:p w:rsidR="00820701" w:rsidRPr="003E743A" w:rsidRDefault="00820701" w:rsidP="00820701">
            <w:pPr>
              <w:spacing w:after="0" w:line="240" w:lineRule="auto"/>
              <w:jc w:val="both"/>
              <w:rPr>
                <w:rFonts w:ascii="Times New Roman" w:eastAsia="Times New Roman" w:hAnsi="Times New Roman" w:cs="Times New Roman"/>
                <w:sz w:val="24"/>
                <w:szCs w:val="24"/>
                <w:lang w:eastAsia="fr-FR"/>
              </w:rPr>
            </w:pPr>
          </w:p>
        </w:tc>
        <w:tc>
          <w:tcPr>
            <w:tcW w:w="1548" w:type="dxa"/>
            <w:tcBorders>
              <w:top w:val="nil"/>
              <w:left w:val="nil"/>
              <w:bottom w:val="single" w:sz="4" w:space="0" w:color="auto"/>
              <w:right w:val="single" w:sz="4" w:space="0" w:color="auto"/>
            </w:tcBorders>
            <w:shd w:val="clear" w:color="auto" w:fill="FFFFFF" w:themeFill="background1"/>
            <w:noWrap/>
            <w:vAlign w:val="center"/>
          </w:tcPr>
          <w:p w:rsidR="00820701" w:rsidRPr="003E743A" w:rsidRDefault="00820701" w:rsidP="00820701">
            <w:pPr>
              <w:spacing w:after="0" w:line="240" w:lineRule="auto"/>
              <w:jc w:val="both"/>
              <w:rPr>
                <w:rFonts w:ascii="Times New Roman" w:eastAsia="Times New Roman" w:hAnsi="Times New Roman" w:cs="Times New Roman"/>
                <w:sz w:val="24"/>
                <w:szCs w:val="24"/>
                <w:lang w:eastAsia="fr-FR"/>
              </w:rPr>
            </w:pPr>
            <w:r w:rsidRPr="003E743A">
              <w:rPr>
                <w:rFonts w:ascii="Times New Roman" w:eastAsia="Times New Roman" w:hAnsi="Times New Roman" w:cs="Times New Roman"/>
                <w:sz w:val="24"/>
                <w:szCs w:val="24"/>
                <w:lang w:eastAsia="fr-FR"/>
              </w:rPr>
              <w:t>4 710,9</w:t>
            </w:r>
          </w:p>
        </w:tc>
      </w:tr>
    </w:tbl>
    <w:p w:rsidR="00820701" w:rsidRDefault="00820701" w:rsidP="007F3DC3">
      <w:pPr>
        <w:rPr>
          <w:lang w:eastAsia="fr-FR"/>
        </w:rPr>
      </w:pPr>
    </w:p>
    <w:p w:rsidR="00820701" w:rsidRDefault="00820701" w:rsidP="007F3DC3">
      <w:pPr>
        <w:rPr>
          <w:lang w:eastAsia="fr-FR"/>
        </w:rPr>
      </w:pPr>
    </w:p>
    <w:p w:rsidR="00820701" w:rsidRDefault="00820701" w:rsidP="007F3DC3">
      <w:pPr>
        <w:rPr>
          <w:lang w:eastAsia="fr-FR"/>
        </w:rPr>
      </w:pPr>
    </w:p>
    <w:p w:rsidR="007F3DC3" w:rsidRDefault="007F3DC3" w:rsidP="007F3DC3">
      <w:pPr>
        <w:rPr>
          <w:lang w:eastAsia="fr-FR"/>
        </w:rPr>
      </w:pPr>
    </w:p>
    <w:p w:rsidR="007F3DC3" w:rsidRDefault="007F3DC3" w:rsidP="007F3DC3">
      <w:pPr>
        <w:rPr>
          <w:lang w:eastAsia="fr-FR"/>
        </w:rPr>
      </w:pPr>
    </w:p>
    <w:p w:rsidR="007F3DC3" w:rsidRPr="00A15F6A" w:rsidRDefault="007F3DC3" w:rsidP="007F3DC3">
      <w:pPr>
        <w:rPr>
          <w:lang w:eastAsia="fr-FR"/>
        </w:rPr>
      </w:pPr>
    </w:p>
    <w:p w:rsidR="007F3DC3" w:rsidRDefault="007F3DC3" w:rsidP="007F3DC3">
      <w:pPr>
        <w:pStyle w:val="Legenda"/>
        <w:rPr>
          <w:rFonts w:ascii="Times New Roman" w:hAnsi="Times New Roman" w:cs="Times New Roman"/>
          <w:color w:val="auto"/>
          <w:sz w:val="22"/>
          <w:szCs w:val="22"/>
          <w:lang w:val="fr-FR"/>
        </w:rPr>
      </w:pPr>
    </w:p>
    <w:p w:rsidR="007F3DC3" w:rsidRDefault="007F3DC3" w:rsidP="007F3DC3">
      <w:pPr>
        <w:pStyle w:val="Legenda"/>
        <w:rPr>
          <w:rFonts w:ascii="Times New Roman" w:hAnsi="Times New Roman" w:cs="Times New Roman"/>
          <w:color w:val="auto"/>
          <w:sz w:val="22"/>
          <w:szCs w:val="22"/>
          <w:lang w:val="fr-FR"/>
        </w:rPr>
      </w:pPr>
    </w:p>
    <w:p w:rsidR="007F3DC3" w:rsidRDefault="007F3DC3" w:rsidP="007F3DC3">
      <w:pPr>
        <w:pStyle w:val="Legenda"/>
        <w:rPr>
          <w:rFonts w:ascii="Times New Roman" w:hAnsi="Times New Roman" w:cs="Times New Roman"/>
          <w:color w:val="auto"/>
          <w:sz w:val="22"/>
          <w:szCs w:val="22"/>
          <w:lang w:val="fr-FR"/>
        </w:rPr>
      </w:pPr>
    </w:p>
    <w:p w:rsidR="00647913" w:rsidRPr="00647913" w:rsidRDefault="00647913" w:rsidP="00647913">
      <w:pPr>
        <w:rPr>
          <w:lang w:eastAsia="fr-FR"/>
        </w:rPr>
      </w:pPr>
    </w:p>
    <w:tbl>
      <w:tblPr>
        <w:tblpPr w:leftFromText="141" w:rightFromText="141" w:vertAnchor="text" w:horzAnchor="margin" w:tblpY="164"/>
        <w:tblW w:w="5000" w:type="pct"/>
        <w:tblCellMar>
          <w:left w:w="70" w:type="dxa"/>
          <w:right w:w="70" w:type="dxa"/>
        </w:tblCellMar>
        <w:tblLook w:val="04A0" w:firstRow="1" w:lastRow="0" w:firstColumn="1" w:lastColumn="0" w:noHBand="0" w:noVBand="1"/>
      </w:tblPr>
      <w:tblGrid>
        <w:gridCol w:w="161"/>
        <w:gridCol w:w="4195"/>
        <w:gridCol w:w="1180"/>
        <w:gridCol w:w="1262"/>
        <w:gridCol w:w="1273"/>
        <w:gridCol w:w="1847"/>
      </w:tblGrid>
      <w:tr w:rsidR="002D4EA0" w:rsidRPr="003E743A" w:rsidTr="002D4EA0">
        <w:trPr>
          <w:trHeight w:val="266"/>
        </w:trPr>
        <w:tc>
          <w:tcPr>
            <w:tcW w:w="81" w:type="pct"/>
            <w:tcBorders>
              <w:top w:val="nil"/>
              <w:left w:val="nil"/>
              <w:bottom w:val="nil"/>
              <w:right w:val="nil"/>
            </w:tcBorders>
            <w:shd w:val="clear" w:color="auto" w:fill="auto"/>
            <w:noWrap/>
            <w:vAlign w:val="bottom"/>
            <w:hideMark/>
          </w:tcPr>
          <w:p w:rsidR="002D4EA0" w:rsidRPr="003E743A" w:rsidRDefault="002D4EA0" w:rsidP="002D4EA0">
            <w:pPr>
              <w:spacing w:after="0" w:line="240" w:lineRule="auto"/>
              <w:jc w:val="both"/>
              <w:rPr>
                <w:rFonts w:ascii="Times New Roman" w:eastAsia="Times New Roman" w:hAnsi="Times New Roman" w:cs="Times New Roman"/>
                <w:sz w:val="24"/>
                <w:szCs w:val="24"/>
                <w:lang w:eastAsia="fr-FR"/>
              </w:rPr>
            </w:pPr>
          </w:p>
        </w:tc>
        <w:tc>
          <w:tcPr>
            <w:tcW w:w="2115" w:type="pct"/>
            <w:vMerge w:val="restart"/>
            <w:tcBorders>
              <w:top w:val="single" w:sz="4" w:space="0" w:color="auto"/>
              <w:left w:val="single" w:sz="4" w:space="0" w:color="auto"/>
              <w:bottom w:val="single" w:sz="4" w:space="0" w:color="auto"/>
              <w:right w:val="single" w:sz="4" w:space="0" w:color="auto"/>
            </w:tcBorders>
            <w:shd w:val="clear" w:color="auto" w:fill="BDD6EE" w:themeFill="accent1" w:themeFillTint="66"/>
            <w:noWrap/>
            <w:vAlign w:val="center"/>
            <w:hideMark/>
          </w:tcPr>
          <w:p w:rsidR="002D4EA0" w:rsidRPr="003E743A" w:rsidRDefault="002D4EA0" w:rsidP="002D4EA0">
            <w:pPr>
              <w:spacing w:after="0" w:line="240" w:lineRule="auto"/>
              <w:ind w:left="97"/>
              <w:jc w:val="both"/>
              <w:rPr>
                <w:rFonts w:ascii="Times New Roman" w:eastAsia="Times New Roman" w:hAnsi="Times New Roman" w:cs="Times New Roman"/>
                <w:b/>
                <w:bCs/>
                <w:color w:val="000000"/>
                <w:sz w:val="24"/>
                <w:szCs w:val="24"/>
                <w:lang w:eastAsia="fr-FR"/>
              </w:rPr>
            </w:pPr>
            <w:r w:rsidRPr="003E743A">
              <w:rPr>
                <w:rFonts w:ascii="Times New Roman" w:eastAsia="Times New Roman" w:hAnsi="Times New Roman" w:cs="Times New Roman"/>
                <w:b/>
                <w:bCs/>
                <w:color w:val="000000"/>
                <w:sz w:val="24"/>
                <w:szCs w:val="24"/>
                <w:lang w:eastAsia="fr-FR"/>
              </w:rPr>
              <w:t>Division Administratives</w:t>
            </w:r>
          </w:p>
        </w:tc>
        <w:tc>
          <w:tcPr>
            <w:tcW w:w="595" w:type="pct"/>
            <w:vMerge w:val="restart"/>
            <w:tcBorders>
              <w:top w:val="single" w:sz="4" w:space="0" w:color="auto"/>
              <w:left w:val="single" w:sz="4" w:space="0" w:color="auto"/>
              <w:bottom w:val="single" w:sz="4" w:space="0" w:color="000000"/>
              <w:right w:val="single" w:sz="4" w:space="0" w:color="auto"/>
            </w:tcBorders>
            <w:shd w:val="clear" w:color="auto" w:fill="BDD6EE" w:themeFill="accent1" w:themeFillTint="66"/>
            <w:vAlign w:val="center"/>
            <w:hideMark/>
          </w:tcPr>
          <w:p w:rsidR="002D4EA0" w:rsidRPr="003E743A" w:rsidRDefault="002D4EA0" w:rsidP="002D4EA0">
            <w:pPr>
              <w:spacing w:after="0" w:line="240" w:lineRule="auto"/>
              <w:jc w:val="both"/>
              <w:rPr>
                <w:rFonts w:ascii="Times New Roman" w:eastAsia="Times New Roman" w:hAnsi="Times New Roman" w:cs="Times New Roman"/>
                <w:b/>
                <w:bCs/>
                <w:color w:val="000000"/>
                <w:sz w:val="24"/>
                <w:szCs w:val="24"/>
                <w:lang w:eastAsia="fr-FR"/>
              </w:rPr>
            </w:pPr>
            <w:r w:rsidRPr="003E743A">
              <w:rPr>
                <w:rFonts w:ascii="Times New Roman" w:eastAsia="Times New Roman" w:hAnsi="Times New Roman" w:cs="Times New Roman"/>
                <w:b/>
                <w:bCs/>
                <w:color w:val="000000"/>
                <w:sz w:val="24"/>
                <w:szCs w:val="24"/>
                <w:lang w:eastAsia="fr-FR"/>
              </w:rPr>
              <w:t>Superficie (Km</w:t>
            </w:r>
            <w:r w:rsidRPr="003E743A">
              <w:rPr>
                <w:rFonts w:ascii="Times New Roman" w:eastAsia="Times New Roman" w:hAnsi="Times New Roman" w:cs="Times New Roman"/>
                <w:b/>
                <w:bCs/>
                <w:color w:val="000000"/>
                <w:sz w:val="24"/>
                <w:szCs w:val="24"/>
                <w:vertAlign w:val="superscript"/>
                <w:lang w:eastAsia="fr-FR"/>
              </w:rPr>
              <w:t>2</w:t>
            </w:r>
            <w:r w:rsidRPr="003E743A">
              <w:rPr>
                <w:rFonts w:ascii="Times New Roman" w:eastAsia="Times New Roman" w:hAnsi="Times New Roman" w:cs="Times New Roman"/>
                <w:b/>
                <w:bCs/>
                <w:color w:val="000000"/>
                <w:sz w:val="24"/>
                <w:szCs w:val="24"/>
                <w:lang w:eastAsia="fr-FR"/>
              </w:rPr>
              <w:t>)</w:t>
            </w:r>
          </w:p>
        </w:tc>
        <w:tc>
          <w:tcPr>
            <w:tcW w:w="2209" w:type="pct"/>
            <w:gridSpan w:val="3"/>
            <w:tcBorders>
              <w:top w:val="single" w:sz="4" w:space="0" w:color="auto"/>
              <w:left w:val="nil"/>
              <w:bottom w:val="single" w:sz="4" w:space="0" w:color="auto"/>
              <w:right w:val="single" w:sz="4" w:space="0" w:color="000000"/>
            </w:tcBorders>
            <w:shd w:val="clear" w:color="auto" w:fill="BDD6EE" w:themeFill="accent1" w:themeFillTint="66"/>
            <w:noWrap/>
            <w:vAlign w:val="bottom"/>
            <w:hideMark/>
          </w:tcPr>
          <w:p w:rsidR="002D4EA0" w:rsidRPr="003E743A" w:rsidRDefault="002D4EA0" w:rsidP="002D4EA0">
            <w:pPr>
              <w:spacing w:after="0" w:line="240" w:lineRule="auto"/>
              <w:jc w:val="both"/>
              <w:rPr>
                <w:rFonts w:ascii="Times New Roman" w:eastAsia="Times New Roman" w:hAnsi="Times New Roman" w:cs="Times New Roman"/>
                <w:b/>
                <w:bCs/>
                <w:color w:val="000000"/>
                <w:sz w:val="24"/>
                <w:szCs w:val="24"/>
                <w:lang w:eastAsia="fr-FR"/>
              </w:rPr>
            </w:pPr>
            <w:r w:rsidRPr="003E743A">
              <w:rPr>
                <w:rFonts w:ascii="Times New Roman" w:eastAsia="Times New Roman" w:hAnsi="Times New Roman" w:cs="Times New Roman"/>
                <w:b/>
                <w:bCs/>
                <w:color w:val="000000"/>
                <w:sz w:val="24"/>
                <w:szCs w:val="24"/>
                <w:lang w:eastAsia="fr-FR"/>
              </w:rPr>
              <w:t>Censo de 2009</w:t>
            </w:r>
          </w:p>
        </w:tc>
      </w:tr>
      <w:tr w:rsidR="002D4EA0" w:rsidRPr="003E743A" w:rsidTr="002D4EA0">
        <w:trPr>
          <w:trHeight w:val="266"/>
        </w:trPr>
        <w:tc>
          <w:tcPr>
            <w:tcW w:w="81" w:type="pct"/>
            <w:tcBorders>
              <w:top w:val="nil"/>
              <w:left w:val="nil"/>
              <w:bottom w:val="nil"/>
              <w:right w:val="single" w:sz="4" w:space="0" w:color="auto"/>
            </w:tcBorders>
            <w:shd w:val="clear" w:color="auto" w:fill="auto"/>
            <w:noWrap/>
            <w:vAlign w:val="bottom"/>
            <w:hideMark/>
          </w:tcPr>
          <w:p w:rsidR="002D4EA0" w:rsidRPr="003E743A" w:rsidRDefault="002D4EA0" w:rsidP="002D4EA0">
            <w:pPr>
              <w:spacing w:after="0" w:line="240" w:lineRule="auto"/>
              <w:jc w:val="both"/>
              <w:rPr>
                <w:rFonts w:ascii="Times New Roman" w:eastAsia="Times New Roman" w:hAnsi="Times New Roman" w:cs="Times New Roman"/>
                <w:b/>
                <w:bCs/>
                <w:color w:val="000000"/>
                <w:sz w:val="24"/>
                <w:szCs w:val="24"/>
                <w:lang w:eastAsia="fr-FR"/>
              </w:rPr>
            </w:pPr>
          </w:p>
        </w:tc>
        <w:tc>
          <w:tcPr>
            <w:tcW w:w="2115" w:type="pct"/>
            <w:vMerge/>
            <w:tcBorders>
              <w:top w:val="single" w:sz="4" w:space="0" w:color="auto"/>
              <w:left w:val="single" w:sz="4" w:space="0" w:color="auto"/>
              <w:bottom w:val="single" w:sz="4" w:space="0" w:color="auto"/>
              <w:right w:val="nil"/>
            </w:tcBorders>
            <w:shd w:val="clear" w:color="auto" w:fill="BDD6EE" w:themeFill="accent1" w:themeFillTint="66"/>
            <w:vAlign w:val="center"/>
            <w:hideMark/>
          </w:tcPr>
          <w:p w:rsidR="002D4EA0" w:rsidRPr="003E743A" w:rsidRDefault="002D4EA0" w:rsidP="002D4EA0">
            <w:pPr>
              <w:spacing w:after="0" w:line="240" w:lineRule="auto"/>
              <w:jc w:val="both"/>
              <w:rPr>
                <w:rFonts w:ascii="Times New Roman" w:eastAsia="Times New Roman" w:hAnsi="Times New Roman" w:cs="Times New Roman"/>
                <w:b/>
                <w:bCs/>
                <w:color w:val="000000"/>
                <w:sz w:val="24"/>
                <w:szCs w:val="24"/>
                <w:lang w:eastAsia="fr-FR"/>
              </w:rPr>
            </w:pPr>
          </w:p>
        </w:tc>
        <w:tc>
          <w:tcPr>
            <w:tcW w:w="595" w:type="pct"/>
            <w:vMerge/>
            <w:tcBorders>
              <w:top w:val="single" w:sz="4" w:space="0" w:color="auto"/>
              <w:left w:val="single" w:sz="4" w:space="0" w:color="auto"/>
              <w:bottom w:val="single" w:sz="4" w:space="0" w:color="000000"/>
              <w:right w:val="single" w:sz="4" w:space="0" w:color="auto"/>
            </w:tcBorders>
            <w:shd w:val="clear" w:color="auto" w:fill="BDD6EE" w:themeFill="accent1" w:themeFillTint="66"/>
            <w:vAlign w:val="center"/>
            <w:hideMark/>
          </w:tcPr>
          <w:p w:rsidR="002D4EA0" w:rsidRPr="003E743A" w:rsidRDefault="002D4EA0" w:rsidP="002D4EA0">
            <w:pPr>
              <w:spacing w:after="0" w:line="240" w:lineRule="auto"/>
              <w:jc w:val="both"/>
              <w:rPr>
                <w:rFonts w:ascii="Times New Roman" w:eastAsia="Times New Roman" w:hAnsi="Times New Roman" w:cs="Times New Roman"/>
                <w:b/>
                <w:bCs/>
                <w:color w:val="000000"/>
                <w:sz w:val="24"/>
                <w:szCs w:val="24"/>
                <w:lang w:eastAsia="fr-FR"/>
              </w:rPr>
            </w:pPr>
          </w:p>
        </w:tc>
        <w:tc>
          <w:tcPr>
            <w:tcW w:w="636" w:type="pct"/>
            <w:tcBorders>
              <w:top w:val="nil"/>
              <w:left w:val="nil"/>
              <w:bottom w:val="single" w:sz="4" w:space="0" w:color="auto"/>
              <w:right w:val="single" w:sz="4" w:space="0" w:color="auto"/>
            </w:tcBorders>
            <w:shd w:val="clear" w:color="auto" w:fill="BDD6EE" w:themeFill="accent1" w:themeFillTint="66"/>
            <w:noWrap/>
            <w:vAlign w:val="bottom"/>
            <w:hideMark/>
          </w:tcPr>
          <w:p w:rsidR="002D4EA0" w:rsidRPr="003E743A" w:rsidRDefault="002D4EA0" w:rsidP="002D4EA0">
            <w:pPr>
              <w:spacing w:after="0" w:line="240" w:lineRule="auto"/>
              <w:jc w:val="both"/>
              <w:rPr>
                <w:rFonts w:ascii="Times New Roman" w:eastAsia="Times New Roman" w:hAnsi="Times New Roman" w:cs="Times New Roman"/>
                <w:b/>
                <w:bCs/>
                <w:color w:val="000000"/>
                <w:sz w:val="24"/>
                <w:szCs w:val="24"/>
                <w:lang w:eastAsia="fr-FR"/>
              </w:rPr>
            </w:pPr>
            <w:r w:rsidRPr="003E743A">
              <w:rPr>
                <w:rFonts w:ascii="Times New Roman" w:eastAsia="Times New Roman" w:hAnsi="Times New Roman" w:cs="Times New Roman"/>
                <w:b/>
                <w:bCs/>
                <w:color w:val="000000"/>
                <w:sz w:val="24"/>
                <w:szCs w:val="24"/>
                <w:lang w:eastAsia="fr-FR"/>
              </w:rPr>
              <w:t>Population</w:t>
            </w:r>
          </w:p>
        </w:tc>
        <w:tc>
          <w:tcPr>
            <w:tcW w:w="642" w:type="pct"/>
            <w:tcBorders>
              <w:top w:val="nil"/>
              <w:left w:val="nil"/>
              <w:bottom w:val="single" w:sz="4" w:space="0" w:color="auto"/>
              <w:right w:val="single" w:sz="4" w:space="0" w:color="auto"/>
            </w:tcBorders>
            <w:shd w:val="clear" w:color="auto" w:fill="BDD6EE" w:themeFill="accent1" w:themeFillTint="66"/>
            <w:noWrap/>
            <w:vAlign w:val="bottom"/>
            <w:hideMark/>
          </w:tcPr>
          <w:p w:rsidR="002D4EA0" w:rsidRPr="003E743A" w:rsidRDefault="002D4EA0" w:rsidP="002D4EA0">
            <w:pPr>
              <w:spacing w:after="0" w:line="240" w:lineRule="auto"/>
              <w:jc w:val="both"/>
              <w:rPr>
                <w:rFonts w:ascii="Times New Roman" w:eastAsia="Times New Roman" w:hAnsi="Times New Roman" w:cs="Times New Roman"/>
                <w:b/>
                <w:bCs/>
                <w:color w:val="000000"/>
                <w:sz w:val="24"/>
                <w:szCs w:val="24"/>
                <w:lang w:eastAsia="fr-FR"/>
              </w:rPr>
            </w:pPr>
            <w:r w:rsidRPr="003E743A">
              <w:rPr>
                <w:rFonts w:ascii="Times New Roman" w:eastAsia="Times New Roman" w:hAnsi="Times New Roman" w:cs="Times New Roman"/>
                <w:b/>
                <w:bCs/>
                <w:color w:val="000000"/>
                <w:sz w:val="24"/>
                <w:szCs w:val="24"/>
                <w:lang w:eastAsia="fr-FR"/>
              </w:rPr>
              <w:t>N/Loc.Rec.</w:t>
            </w:r>
          </w:p>
        </w:tc>
        <w:tc>
          <w:tcPr>
            <w:tcW w:w="931" w:type="pct"/>
            <w:tcBorders>
              <w:top w:val="nil"/>
              <w:left w:val="nil"/>
              <w:bottom w:val="single" w:sz="4" w:space="0" w:color="auto"/>
              <w:right w:val="single" w:sz="4" w:space="0" w:color="auto"/>
            </w:tcBorders>
            <w:shd w:val="clear" w:color="auto" w:fill="BDD6EE" w:themeFill="accent1" w:themeFillTint="66"/>
            <w:noWrap/>
            <w:vAlign w:val="bottom"/>
            <w:hideMark/>
          </w:tcPr>
          <w:p w:rsidR="002D4EA0" w:rsidRPr="003E743A" w:rsidRDefault="002D4EA0" w:rsidP="002D4EA0">
            <w:pPr>
              <w:spacing w:after="0" w:line="240" w:lineRule="auto"/>
              <w:jc w:val="both"/>
              <w:rPr>
                <w:rFonts w:ascii="Times New Roman" w:eastAsia="Times New Roman" w:hAnsi="Times New Roman" w:cs="Times New Roman"/>
                <w:b/>
                <w:bCs/>
                <w:color w:val="000000"/>
                <w:sz w:val="24"/>
                <w:szCs w:val="24"/>
                <w:lang w:eastAsia="fr-FR"/>
              </w:rPr>
            </w:pPr>
            <w:r w:rsidRPr="003E743A">
              <w:rPr>
                <w:rFonts w:ascii="Times New Roman" w:eastAsia="Times New Roman" w:hAnsi="Times New Roman" w:cs="Times New Roman"/>
                <w:b/>
                <w:bCs/>
                <w:color w:val="000000"/>
                <w:sz w:val="24"/>
                <w:szCs w:val="24"/>
                <w:lang w:eastAsia="fr-FR"/>
              </w:rPr>
              <w:t>Densité</w:t>
            </w:r>
          </w:p>
        </w:tc>
      </w:tr>
      <w:tr w:rsidR="002D4EA0" w:rsidRPr="003E743A" w:rsidTr="002D4EA0">
        <w:trPr>
          <w:trHeight w:val="266"/>
        </w:trPr>
        <w:tc>
          <w:tcPr>
            <w:tcW w:w="81" w:type="pct"/>
            <w:tcBorders>
              <w:top w:val="nil"/>
              <w:left w:val="nil"/>
              <w:bottom w:val="nil"/>
              <w:right w:val="single" w:sz="4" w:space="0" w:color="auto"/>
            </w:tcBorders>
            <w:shd w:val="clear" w:color="auto" w:fill="auto"/>
            <w:noWrap/>
            <w:vAlign w:val="bottom"/>
          </w:tcPr>
          <w:p w:rsidR="002D4EA0" w:rsidRPr="003E743A" w:rsidRDefault="002D4EA0" w:rsidP="002D4EA0">
            <w:pPr>
              <w:spacing w:after="0" w:line="240" w:lineRule="auto"/>
              <w:jc w:val="both"/>
              <w:rPr>
                <w:rFonts w:ascii="Times New Roman" w:eastAsia="Times New Roman" w:hAnsi="Times New Roman" w:cs="Times New Roman"/>
                <w:b/>
                <w:bCs/>
                <w:color w:val="000000"/>
                <w:sz w:val="24"/>
                <w:szCs w:val="24"/>
                <w:lang w:eastAsia="fr-FR"/>
              </w:rPr>
            </w:pPr>
          </w:p>
        </w:tc>
        <w:tc>
          <w:tcPr>
            <w:tcW w:w="2115" w:type="pct"/>
            <w:tcBorders>
              <w:top w:val="single" w:sz="4" w:space="0" w:color="auto"/>
              <w:left w:val="single" w:sz="4" w:space="0" w:color="auto"/>
              <w:bottom w:val="single" w:sz="4" w:space="0" w:color="auto"/>
              <w:right w:val="nil"/>
            </w:tcBorders>
            <w:shd w:val="clear" w:color="auto" w:fill="FBE4D5" w:themeFill="accent2" w:themeFillTint="33"/>
            <w:vAlign w:val="bottom"/>
          </w:tcPr>
          <w:p w:rsidR="002D4EA0" w:rsidRPr="003E743A" w:rsidRDefault="002D4EA0" w:rsidP="002D4EA0">
            <w:pPr>
              <w:spacing w:after="0" w:line="240" w:lineRule="auto"/>
              <w:jc w:val="both"/>
              <w:rPr>
                <w:rFonts w:ascii="Times New Roman" w:eastAsia="Times New Roman" w:hAnsi="Times New Roman" w:cs="Times New Roman"/>
                <w:b/>
                <w:bCs/>
                <w:i/>
                <w:iCs/>
                <w:color w:val="000000"/>
                <w:sz w:val="24"/>
                <w:szCs w:val="24"/>
                <w:lang w:eastAsia="fr-FR"/>
              </w:rPr>
            </w:pPr>
            <w:r w:rsidRPr="003E743A">
              <w:rPr>
                <w:rFonts w:ascii="Times New Roman" w:eastAsia="Times New Roman" w:hAnsi="Times New Roman" w:cs="Times New Roman"/>
                <w:b/>
                <w:bCs/>
                <w:i/>
                <w:iCs/>
                <w:color w:val="000000"/>
                <w:sz w:val="24"/>
                <w:szCs w:val="24"/>
                <w:lang w:eastAsia="fr-FR"/>
              </w:rPr>
              <w:t>Région de Biombo</w:t>
            </w:r>
          </w:p>
        </w:tc>
        <w:tc>
          <w:tcPr>
            <w:tcW w:w="595" w:type="pct"/>
            <w:tcBorders>
              <w:top w:val="single" w:sz="4" w:space="0" w:color="auto"/>
              <w:left w:val="single" w:sz="4" w:space="0" w:color="auto"/>
              <w:bottom w:val="single" w:sz="4" w:space="0" w:color="000000"/>
              <w:right w:val="single" w:sz="4" w:space="0" w:color="auto"/>
            </w:tcBorders>
            <w:shd w:val="clear" w:color="auto" w:fill="FBE4D5" w:themeFill="accent2" w:themeFillTint="33"/>
            <w:vAlign w:val="bottom"/>
          </w:tcPr>
          <w:p w:rsidR="002D4EA0" w:rsidRPr="003E743A" w:rsidRDefault="002D4EA0" w:rsidP="002D4EA0">
            <w:pPr>
              <w:spacing w:after="0" w:line="240" w:lineRule="auto"/>
              <w:jc w:val="both"/>
              <w:rPr>
                <w:rFonts w:ascii="Times New Roman" w:eastAsia="Times New Roman" w:hAnsi="Times New Roman" w:cs="Times New Roman"/>
                <w:b/>
                <w:bCs/>
                <w:i/>
                <w:iCs/>
                <w:color w:val="000000"/>
                <w:sz w:val="24"/>
                <w:szCs w:val="24"/>
                <w:lang w:eastAsia="fr-FR"/>
              </w:rPr>
            </w:pPr>
            <w:r w:rsidRPr="003E743A">
              <w:rPr>
                <w:rFonts w:ascii="Times New Roman" w:eastAsia="Times New Roman" w:hAnsi="Times New Roman" w:cs="Times New Roman"/>
                <w:b/>
                <w:bCs/>
                <w:i/>
                <w:iCs/>
                <w:color w:val="000000"/>
                <w:sz w:val="24"/>
                <w:szCs w:val="24"/>
                <w:lang w:eastAsia="fr-FR"/>
              </w:rPr>
              <w:t>838,8</w:t>
            </w:r>
          </w:p>
        </w:tc>
        <w:tc>
          <w:tcPr>
            <w:tcW w:w="636" w:type="pct"/>
            <w:tcBorders>
              <w:top w:val="nil"/>
              <w:left w:val="nil"/>
              <w:bottom w:val="single" w:sz="4" w:space="0" w:color="auto"/>
              <w:right w:val="single" w:sz="4" w:space="0" w:color="auto"/>
            </w:tcBorders>
            <w:shd w:val="clear" w:color="auto" w:fill="FBE4D5" w:themeFill="accent2" w:themeFillTint="33"/>
            <w:noWrap/>
            <w:vAlign w:val="bottom"/>
          </w:tcPr>
          <w:p w:rsidR="002D4EA0" w:rsidRPr="003E743A" w:rsidRDefault="002D4EA0" w:rsidP="002D4EA0">
            <w:pPr>
              <w:spacing w:after="0" w:line="240" w:lineRule="auto"/>
              <w:jc w:val="both"/>
              <w:rPr>
                <w:rFonts w:ascii="Times New Roman" w:eastAsia="Times New Roman" w:hAnsi="Times New Roman" w:cs="Times New Roman"/>
                <w:b/>
                <w:bCs/>
                <w:i/>
                <w:iCs/>
                <w:color w:val="000000"/>
                <w:sz w:val="24"/>
                <w:szCs w:val="24"/>
                <w:lang w:eastAsia="fr-FR"/>
              </w:rPr>
            </w:pPr>
            <w:r w:rsidRPr="003E743A">
              <w:rPr>
                <w:rFonts w:ascii="Times New Roman" w:eastAsia="Times New Roman" w:hAnsi="Times New Roman" w:cs="Times New Roman"/>
                <w:b/>
                <w:bCs/>
                <w:i/>
                <w:iCs/>
                <w:color w:val="000000"/>
                <w:sz w:val="24"/>
                <w:szCs w:val="24"/>
                <w:lang w:eastAsia="fr-FR"/>
              </w:rPr>
              <w:t>93 039</w:t>
            </w:r>
          </w:p>
        </w:tc>
        <w:tc>
          <w:tcPr>
            <w:tcW w:w="642" w:type="pct"/>
            <w:tcBorders>
              <w:top w:val="nil"/>
              <w:left w:val="nil"/>
              <w:bottom w:val="single" w:sz="4" w:space="0" w:color="auto"/>
              <w:right w:val="single" w:sz="4" w:space="0" w:color="auto"/>
            </w:tcBorders>
            <w:shd w:val="clear" w:color="auto" w:fill="FBE4D5" w:themeFill="accent2" w:themeFillTint="33"/>
            <w:noWrap/>
            <w:vAlign w:val="bottom"/>
          </w:tcPr>
          <w:p w:rsidR="002D4EA0" w:rsidRPr="003E743A" w:rsidRDefault="002D4EA0" w:rsidP="002D4EA0">
            <w:pPr>
              <w:spacing w:after="0" w:line="240" w:lineRule="auto"/>
              <w:jc w:val="both"/>
              <w:rPr>
                <w:rFonts w:ascii="Times New Roman" w:eastAsia="Times New Roman" w:hAnsi="Times New Roman" w:cs="Times New Roman"/>
                <w:b/>
                <w:bCs/>
                <w:i/>
                <w:iCs/>
                <w:color w:val="000000"/>
                <w:sz w:val="24"/>
                <w:szCs w:val="24"/>
                <w:lang w:eastAsia="fr-FR"/>
              </w:rPr>
            </w:pPr>
            <w:r w:rsidRPr="003E743A">
              <w:rPr>
                <w:rFonts w:ascii="Times New Roman" w:eastAsia="Times New Roman" w:hAnsi="Times New Roman" w:cs="Times New Roman"/>
                <w:b/>
                <w:bCs/>
                <w:i/>
                <w:iCs/>
                <w:color w:val="000000"/>
                <w:sz w:val="24"/>
                <w:szCs w:val="24"/>
                <w:lang w:eastAsia="fr-FR"/>
              </w:rPr>
              <w:t>164</w:t>
            </w:r>
          </w:p>
        </w:tc>
        <w:tc>
          <w:tcPr>
            <w:tcW w:w="931" w:type="pct"/>
            <w:tcBorders>
              <w:top w:val="nil"/>
              <w:left w:val="nil"/>
              <w:bottom w:val="single" w:sz="4" w:space="0" w:color="auto"/>
              <w:right w:val="single" w:sz="4" w:space="0" w:color="auto"/>
            </w:tcBorders>
            <w:shd w:val="clear" w:color="auto" w:fill="FBE4D5" w:themeFill="accent2" w:themeFillTint="33"/>
            <w:noWrap/>
            <w:vAlign w:val="bottom"/>
          </w:tcPr>
          <w:p w:rsidR="002D4EA0" w:rsidRPr="003E743A" w:rsidRDefault="002D4EA0" w:rsidP="002D4EA0">
            <w:pPr>
              <w:spacing w:after="0" w:line="240" w:lineRule="auto"/>
              <w:jc w:val="both"/>
              <w:rPr>
                <w:rFonts w:ascii="Times New Roman" w:eastAsia="Times New Roman" w:hAnsi="Times New Roman" w:cs="Times New Roman"/>
                <w:b/>
                <w:bCs/>
                <w:i/>
                <w:iCs/>
                <w:color w:val="000000"/>
                <w:sz w:val="24"/>
                <w:szCs w:val="24"/>
                <w:lang w:eastAsia="fr-FR"/>
              </w:rPr>
            </w:pPr>
            <w:r w:rsidRPr="003E743A">
              <w:rPr>
                <w:rFonts w:ascii="Times New Roman" w:eastAsia="Times New Roman" w:hAnsi="Times New Roman" w:cs="Times New Roman"/>
                <w:b/>
                <w:bCs/>
                <w:i/>
                <w:iCs/>
                <w:color w:val="000000"/>
                <w:sz w:val="24"/>
                <w:szCs w:val="24"/>
                <w:lang w:eastAsia="fr-FR"/>
              </w:rPr>
              <w:t>110,9</w:t>
            </w:r>
          </w:p>
        </w:tc>
      </w:tr>
      <w:tr w:rsidR="002D4EA0" w:rsidRPr="003E743A" w:rsidTr="002D4EA0">
        <w:trPr>
          <w:trHeight w:val="266"/>
        </w:trPr>
        <w:tc>
          <w:tcPr>
            <w:tcW w:w="81" w:type="pct"/>
            <w:tcBorders>
              <w:top w:val="nil"/>
              <w:left w:val="nil"/>
              <w:bottom w:val="nil"/>
              <w:right w:val="single" w:sz="4" w:space="0" w:color="auto"/>
            </w:tcBorders>
            <w:shd w:val="clear" w:color="auto" w:fill="auto"/>
            <w:noWrap/>
            <w:vAlign w:val="bottom"/>
          </w:tcPr>
          <w:p w:rsidR="002D4EA0" w:rsidRPr="003E743A" w:rsidRDefault="002D4EA0" w:rsidP="002D4EA0">
            <w:pPr>
              <w:spacing w:after="0" w:line="240" w:lineRule="auto"/>
              <w:jc w:val="both"/>
              <w:rPr>
                <w:rFonts w:ascii="Times New Roman" w:eastAsia="Times New Roman" w:hAnsi="Times New Roman" w:cs="Times New Roman"/>
                <w:b/>
                <w:bCs/>
                <w:color w:val="000000"/>
                <w:sz w:val="24"/>
                <w:szCs w:val="24"/>
                <w:lang w:eastAsia="fr-FR"/>
              </w:rPr>
            </w:pPr>
          </w:p>
        </w:tc>
        <w:tc>
          <w:tcPr>
            <w:tcW w:w="2115" w:type="pct"/>
            <w:tcBorders>
              <w:top w:val="single" w:sz="4" w:space="0" w:color="auto"/>
              <w:left w:val="single" w:sz="4" w:space="0" w:color="auto"/>
              <w:bottom w:val="single" w:sz="4" w:space="0" w:color="auto"/>
              <w:right w:val="nil"/>
            </w:tcBorders>
            <w:shd w:val="clear" w:color="auto" w:fill="auto"/>
            <w:vAlign w:val="bottom"/>
          </w:tcPr>
          <w:p w:rsidR="002D4EA0" w:rsidRPr="003E743A" w:rsidRDefault="002D4EA0" w:rsidP="002D4EA0">
            <w:pPr>
              <w:spacing w:after="0" w:line="240" w:lineRule="auto"/>
              <w:jc w:val="both"/>
              <w:rPr>
                <w:rFonts w:ascii="Times New Roman" w:eastAsia="Times New Roman" w:hAnsi="Times New Roman" w:cs="Times New Roman"/>
                <w:color w:val="000000"/>
                <w:sz w:val="24"/>
                <w:szCs w:val="24"/>
                <w:lang w:eastAsia="fr-FR"/>
              </w:rPr>
            </w:pPr>
            <w:r w:rsidRPr="003E743A">
              <w:rPr>
                <w:rFonts w:ascii="Times New Roman" w:eastAsia="Times New Roman" w:hAnsi="Times New Roman" w:cs="Times New Roman"/>
                <w:color w:val="000000"/>
                <w:sz w:val="24"/>
                <w:szCs w:val="24"/>
                <w:lang w:eastAsia="fr-FR"/>
              </w:rPr>
              <w:t>Secteur de Quinhamel (Sede)</w:t>
            </w:r>
          </w:p>
        </w:tc>
        <w:tc>
          <w:tcPr>
            <w:tcW w:w="595" w:type="pct"/>
            <w:tcBorders>
              <w:top w:val="single" w:sz="4" w:space="0" w:color="auto"/>
              <w:left w:val="single" w:sz="4" w:space="0" w:color="auto"/>
              <w:bottom w:val="single" w:sz="4" w:space="0" w:color="000000"/>
              <w:right w:val="single" w:sz="4" w:space="0" w:color="auto"/>
            </w:tcBorders>
            <w:shd w:val="clear" w:color="auto" w:fill="auto"/>
            <w:vAlign w:val="bottom"/>
          </w:tcPr>
          <w:p w:rsidR="002D4EA0" w:rsidRPr="003E743A" w:rsidRDefault="002D4EA0" w:rsidP="002D4EA0">
            <w:pPr>
              <w:spacing w:after="0" w:line="240" w:lineRule="auto"/>
              <w:jc w:val="both"/>
              <w:rPr>
                <w:rFonts w:ascii="Times New Roman" w:eastAsia="Times New Roman" w:hAnsi="Times New Roman" w:cs="Times New Roman"/>
                <w:color w:val="000000"/>
                <w:sz w:val="24"/>
                <w:szCs w:val="24"/>
                <w:lang w:eastAsia="fr-FR"/>
              </w:rPr>
            </w:pPr>
            <w:r w:rsidRPr="003E743A">
              <w:rPr>
                <w:rFonts w:ascii="Times New Roman" w:eastAsia="Times New Roman" w:hAnsi="Times New Roman" w:cs="Times New Roman"/>
                <w:color w:val="000000"/>
                <w:sz w:val="24"/>
                <w:szCs w:val="24"/>
                <w:lang w:eastAsia="fr-FR"/>
              </w:rPr>
              <w:t>451,0</w:t>
            </w:r>
          </w:p>
        </w:tc>
        <w:tc>
          <w:tcPr>
            <w:tcW w:w="636" w:type="pct"/>
            <w:tcBorders>
              <w:top w:val="nil"/>
              <w:left w:val="nil"/>
              <w:bottom w:val="single" w:sz="4" w:space="0" w:color="auto"/>
              <w:right w:val="single" w:sz="4" w:space="0" w:color="auto"/>
            </w:tcBorders>
            <w:shd w:val="clear" w:color="auto" w:fill="auto"/>
            <w:noWrap/>
            <w:vAlign w:val="bottom"/>
          </w:tcPr>
          <w:p w:rsidR="002D4EA0" w:rsidRPr="003E743A" w:rsidRDefault="002D4EA0" w:rsidP="002D4EA0">
            <w:pPr>
              <w:spacing w:after="0" w:line="240" w:lineRule="auto"/>
              <w:jc w:val="both"/>
              <w:rPr>
                <w:rFonts w:ascii="Times New Roman" w:eastAsia="Times New Roman" w:hAnsi="Times New Roman" w:cs="Times New Roman"/>
                <w:color w:val="000000"/>
                <w:sz w:val="24"/>
                <w:szCs w:val="24"/>
                <w:lang w:eastAsia="fr-FR"/>
              </w:rPr>
            </w:pPr>
            <w:r w:rsidRPr="003E743A">
              <w:rPr>
                <w:rFonts w:ascii="Times New Roman" w:eastAsia="Times New Roman" w:hAnsi="Times New Roman" w:cs="Times New Roman"/>
                <w:color w:val="000000"/>
                <w:sz w:val="24"/>
                <w:szCs w:val="24"/>
                <w:lang w:eastAsia="fr-FR"/>
              </w:rPr>
              <w:t>42 659</w:t>
            </w:r>
          </w:p>
        </w:tc>
        <w:tc>
          <w:tcPr>
            <w:tcW w:w="642" w:type="pct"/>
            <w:tcBorders>
              <w:top w:val="nil"/>
              <w:left w:val="nil"/>
              <w:bottom w:val="single" w:sz="4" w:space="0" w:color="auto"/>
              <w:right w:val="single" w:sz="4" w:space="0" w:color="auto"/>
            </w:tcBorders>
            <w:shd w:val="clear" w:color="auto" w:fill="auto"/>
            <w:noWrap/>
            <w:vAlign w:val="bottom"/>
          </w:tcPr>
          <w:p w:rsidR="002D4EA0" w:rsidRPr="003E743A" w:rsidRDefault="002D4EA0" w:rsidP="002D4EA0">
            <w:pPr>
              <w:spacing w:after="0" w:line="240" w:lineRule="auto"/>
              <w:jc w:val="both"/>
              <w:rPr>
                <w:rFonts w:ascii="Times New Roman" w:eastAsia="Times New Roman" w:hAnsi="Times New Roman" w:cs="Times New Roman"/>
                <w:color w:val="000000"/>
                <w:sz w:val="24"/>
                <w:szCs w:val="24"/>
                <w:lang w:eastAsia="fr-FR"/>
              </w:rPr>
            </w:pPr>
            <w:r w:rsidRPr="003E743A">
              <w:rPr>
                <w:rFonts w:ascii="Times New Roman" w:eastAsia="Times New Roman" w:hAnsi="Times New Roman" w:cs="Times New Roman"/>
                <w:color w:val="000000"/>
                <w:sz w:val="24"/>
                <w:szCs w:val="24"/>
                <w:lang w:eastAsia="fr-FR"/>
              </w:rPr>
              <w:t>66</w:t>
            </w:r>
          </w:p>
        </w:tc>
        <w:tc>
          <w:tcPr>
            <w:tcW w:w="931" w:type="pct"/>
            <w:tcBorders>
              <w:top w:val="nil"/>
              <w:left w:val="nil"/>
              <w:bottom w:val="single" w:sz="4" w:space="0" w:color="auto"/>
              <w:right w:val="single" w:sz="4" w:space="0" w:color="auto"/>
            </w:tcBorders>
            <w:shd w:val="clear" w:color="auto" w:fill="auto"/>
            <w:noWrap/>
            <w:vAlign w:val="bottom"/>
          </w:tcPr>
          <w:p w:rsidR="002D4EA0" w:rsidRPr="003E743A" w:rsidRDefault="002D4EA0" w:rsidP="002D4EA0">
            <w:pPr>
              <w:spacing w:after="0" w:line="240" w:lineRule="auto"/>
              <w:jc w:val="both"/>
              <w:rPr>
                <w:rFonts w:ascii="Times New Roman" w:eastAsia="Times New Roman" w:hAnsi="Times New Roman" w:cs="Times New Roman"/>
                <w:color w:val="000000"/>
                <w:sz w:val="24"/>
                <w:szCs w:val="24"/>
                <w:lang w:eastAsia="fr-FR"/>
              </w:rPr>
            </w:pPr>
            <w:r w:rsidRPr="003E743A">
              <w:rPr>
                <w:rFonts w:ascii="Times New Roman" w:eastAsia="Times New Roman" w:hAnsi="Times New Roman" w:cs="Times New Roman"/>
                <w:color w:val="000000"/>
                <w:sz w:val="24"/>
                <w:szCs w:val="24"/>
                <w:lang w:eastAsia="fr-FR"/>
              </w:rPr>
              <w:t>94,6</w:t>
            </w:r>
          </w:p>
        </w:tc>
      </w:tr>
      <w:tr w:rsidR="002D4EA0" w:rsidRPr="003E743A" w:rsidTr="002D4EA0">
        <w:trPr>
          <w:trHeight w:val="266"/>
        </w:trPr>
        <w:tc>
          <w:tcPr>
            <w:tcW w:w="81" w:type="pct"/>
            <w:tcBorders>
              <w:top w:val="nil"/>
              <w:left w:val="nil"/>
              <w:bottom w:val="nil"/>
              <w:right w:val="single" w:sz="4" w:space="0" w:color="auto"/>
            </w:tcBorders>
            <w:shd w:val="clear" w:color="auto" w:fill="auto"/>
            <w:noWrap/>
            <w:vAlign w:val="bottom"/>
          </w:tcPr>
          <w:p w:rsidR="002D4EA0" w:rsidRPr="003E743A" w:rsidRDefault="002D4EA0" w:rsidP="002D4EA0">
            <w:pPr>
              <w:spacing w:after="0" w:line="240" w:lineRule="auto"/>
              <w:jc w:val="both"/>
              <w:rPr>
                <w:rFonts w:ascii="Times New Roman" w:eastAsia="Times New Roman" w:hAnsi="Times New Roman" w:cs="Times New Roman"/>
                <w:b/>
                <w:bCs/>
                <w:color w:val="000000"/>
                <w:sz w:val="24"/>
                <w:szCs w:val="24"/>
                <w:lang w:eastAsia="fr-FR"/>
              </w:rPr>
            </w:pPr>
          </w:p>
        </w:tc>
        <w:tc>
          <w:tcPr>
            <w:tcW w:w="2115" w:type="pct"/>
            <w:tcBorders>
              <w:top w:val="single" w:sz="4" w:space="0" w:color="auto"/>
              <w:left w:val="single" w:sz="4" w:space="0" w:color="auto"/>
              <w:bottom w:val="single" w:sz="4" w:space="0" w:color="auto"/>
              <w:right w:val="nil"/>
            </w:tcBorders>
            <w:shd w:val="clear" w:color="auto" w:fill="auto"/>
            <w:vAlign w:val="bottom"/>
          </w:tcPr>
          <w:p w:rsidR="002D4EA0" w:rsidRPr="003E743A" w:rsidRDefault="002D4EA0" w:rsidP="002D4EA0">
            <w:pPr>
              <w:spacing w:after="0" w:line="240" w:lineRule="auto"/>
              <w:jc w:val="both"/>
              <w:rPr>
                <w:rFonts w:ascii="Times New Roman" w:eastAsia="Times New Roman" w:hAnsi="Times New Roman" w:cs="Times New Roman"/>
                <w:color w:val="000000"/>
                <w:sz w:val="24"/>
                <w:szCs w:val="24"/>
                <w:lang w:eastAsia="fr-FR"/>
              </w:rPr>
            </w:pPr>
            <w:r w:rsidRPr="003E743A">
              <w:rPr>
                <w:rFonts w:ascii="Times New Roman" w:eastAsia="Times New Roman" w:hAnsi="Times New Roman" w:cs="Times New Roman"/>
                <w:color w:val="000000"/>
                <w:sz w:val="24"/>
                <w:szCs w:val="24"/>
                <w:lang w:eastAsia="fr-FR"/>
              </w:rPr>
              <w:t>Secteur de Prabis</w:t>
            </w:r>
          </w:p>
        </w:tc>
        <w:tc>
          <w:tcPr>
            <w:tcW w:w="595" w:type="pct"/>
            <w:tcBorders>
              <w:top w:val="single" w:sz="4" w:space="0" w:color="auto"/>
              <w:left w:val="single" w:sz="4" w:space="0" w:color="auto"/>
              <w:bottom w:val="single" w:sz="4" w:space="0" w:color="000000"/>
              <w:right w:val="single" w:sz="4" w:space="0" w:color="auto"/>
            </w:tcBorders>
            <w:shd w:val="clear" w:color="auto" w:fill="auto"/>
            <w:vAlign w:val="bottom"/>
          </w:tcPr>
          <w:p w:rsidR="002D4EA0" w:rsidRPr="003E743A" w:rsidRDefault="002D4EA0" w:rsidP="002D4EA0">
            <w:pPr>
              <w:spacing w:after="0" w:line="240" w:lineRule="auto"/>
              <w:jc w:val="both"/>
              <w:rPr>
                <w:rFonts w:ascii="Times New Roman" w:eastAsia="Times New Roman" w:hAnsi="Times New Roman" w:cs="Times New Roman"/>
                <w:color w:val="000000"/>
                <w:sz w:val="24"/>
                <w:szCs w:val="24"/>
                <w:lang w:eastAsia="fr-FR"/>
              </w:rPr>
            </w:pPr>
            <w:r w:rsidRPr="003E743A">
              <w:rPr>
                <w:rFonts w:ascii="Times New Roman" w:eastAsia="Times New Roman" w:hAnsi="Times New Roman" w:cs="Times New Roman"/>
                <w:color w:val="000000"/>
                <w:sz w:val="24"/>
                <w:szCs w:val="24"/>
                <w:lang w:eastAsia="fr-FR"/>
              </w:rPr>
              <w:t>213,0</w:t>
            </w:r>
          </w:p>
        </w:tc>
        <w:tc>
          <w:tcPr>
            <w:tcW w:w="636" w:type="pct"/>
            <w:tcBorders>
              <w:top w:val="nil"/>
              <w:left w:val="nil"/>
              <w:bottom w:val="single" w:sz="4" w:space="0" w:color="auto"/>
              <w:right w:val="single" w:sz="4" w:space="0" w:color="auto"/>
            </w:tcBorders>
            <w:shd w:val="clear" w:color="auto" w:fill="auto"/>
            <w:noWrap/>
            <w:vAlign w:val="bottom"/>
          </w:tcPr>
          <w:p w:rsidR="002D4EA0" w:rsidRPr="003E743A" w:rsidRDefault="002D4EA0" w:rsidP="002D4EA0">
            <w:pPr>
              <w:spacing w:after="0" w:line="240" w:lineRule="auto"/>
              <w:jc w:val="both"/>
              <w:rPr>
                <w:rFonts w:ascii="Times New Roman" w:eastAsia="Times New Roman" w:hAnsi="Times New Roman" w:cs="Times New Roman"/>
                <w:color w:val="000000"/>
                <w:sz w:val="24"/>
                <w:szCs w:val="24"/>
                <w:lang w:eastAsia="fr-FR"/>
              </w:rPr>
            </w:pPr>
            <w:r w:rsidRPr="003E743A">
              <w:rPr>
                <w:rFonts w:ascii="Times New Roman" w:eastAsia="Times New Roman" w:hAnsi="Times New Roman" w:cs="Times New Roman"/>
                <w:color w:val="000000"/>
                <w:sz w:val="24"/>
                <w:szCs w:val="24"/>
                <w:lang w:eastAsia="fr-FR"/>
              </w:rPr>
              <w:t>33 024</w:t>
            </w:r>
          </w:p>
        </w:tc>
        <w:tc>
          <w:tcPr>
            <w:tcW w:w="642" w:type="pct"/>
            <w:tcBorders>
              <w:top w:val="nil"/>
              <w:left w:val="nil"/>
              <w:bottom w:val="single" w:sz="4" w:space="0" w:color="auto"/>
              <w:right w:val="single" w:sz="4" w:space="0" w:color="auto"/>
            </w:tcBorders>
            <w:shd w:val="clear" w:color="auto" w:fill="auto"/>
            <w:noWrap/>
            <w:vAlign w:val="bottom"/>
          </w:tcPr>
          <w:p w:rsidR="002D4EA0" w:rsidRPr="003E743A" w:rsidRDefault="002D4EA0" w:rsidP="002D4EA0">
            <w:pPr>
              <w:spacing w:after="0" w:line="240" w:lineRule="auto"/>
              <w:jc w:val="both"/>
              <w:rPr>
                <w:rFonts w:ascii="Times New Roman" w:eastAsia="Times New Roman" w:hAnsi="Times New Roman" w:cs="Times New Roman"/>
                <w:color w:val="000000"/>
                <w:sz w:val="24"/>
                <w:szCs w:val="24"/>
                <w:lang w:eastAsia="fr-FR"/>
              </w:rPr>
            </w:pPr>
            <w:r w:rsidRPr="003E743A">
              <w:rPr>
                <w:rFonts w:ascii="Times New Roman" w:eastAsia="Times New Roman" w:hAnsi="Times New Roman" w:cs="Times New Roman"/>
                <w:color w:val="000000"/>
                <w:sz w:val="24"/>
                <w:szCs w:val="24"/>
                <w:lang w:eastAsia="fr-FR"/>
              </w:rPr>
              <w:t>43</w:t>
            </w:r>
          </w:p>
        </w:tc>
        <w:tc>
          <w:tcPr>
            <w:tcW w:w="931" w:type="pct"/>
            <w:tcBorders>
              <w:top w:val="nil"/>
              <w:left w:val="nil"/>
              <w:bottom w:val="single" w:sz="4" w:space="0" w:color="auto"/>
              <w:right w:val="single" w:sz="4" w:space="0" w:color="auto"/>
            </w:tcBorders>
            <w:shd w:val="clear" w:color="auto" w:fill="auto"/>
            <w:noWrap/>
            <w:vAlign w:val="bottom"/>
          </w:tcPr>
          <w:p w:rsidR="002D4EA0" w:rsidRPr="003E743A" w:rsidRDefault="002D4EA0" w:rsidP="002D4EA0">
            <w:pPr>
              <w:spacing w:after="0" w:line="240" w:lineRule="auto"/>
              <w:jc w:val="both"/>
              <w:rPr>
                <w:rFonts w:ascii="Times New Roman" w:eastAsia="Times New Roman" w:hAnsi="Times New Roman" w:cs="Times New Roman"/>
                <w:color w:val="000000"/>
                <w:sz w:val="24"/>
                <w:szCs w:val="24"/>
                <w:lang w:eastAsia="fr-FR"/>
              </w:rPr>
            </w:pPr>
            <w:r w:rsidRPr="003E743A">
              <w:rPr>
                <w:rFonts w:ascii="Times New Roman" w:eastAsia="Times New Roman" w:hAnsi="Times New Roman" w:cs="Times New Roman"/>
                <w:color w:val="000000"/>
                <w:sz w:val="24"/>
                <w:szCs w:val="24"/>
                <w:lang w:eastAsia="fr-FR"/>
              </w:rPr>
              <w:t>155</w:t>
            </w:r>
          </w:p>
        </w:tc>
      </w:tr>
      <w:tr w:rsidR="002D4EA0" w:rsidRPr="003E743A" w:rsidTr="002D4EA0">
        <w:trPr>
          <w:trHeight w:val="266"/>
        </w:trPr>
        <w:tc>
          <w:tcPr>
            <w:tcW w:w="81" w:type="pct"/>
            <w:tcBorders>
              <w:top w:val="nil"/>
              <w:left w:val="nil"/>
              <w:bottom w:val="nil"/>
              <w:right w:val="single" w:sz="4" w:space="0" w:color="auto"/>
            </w:tcBorders>
            <w:shd w:val="clear" w:color="auto" w:fill="auto"/>
            <w:noWrap/>
            <w:vAlign w:val="bottom"/>
          </w:tcPr>
          <w:p w:rsidR="002D4EA0" w:rsidRPr="003E743A" w:rsidRDefault="002D4EA0" w:rsidP="002D4EA0">
            <w:pPr>
              <w:spacing w:after="0" w:line="240" w:lineRule="auto"/>
              <w:jc w:val="both"/>
              <w:rPr>
                <w:rFonts w:ascii="Times New Roman" w:eastAsia="Times New Roman" w:hAnsi="Times New Roman" w:cs="Times New Roman"/>
                <w:b/>
                <w:bCs/>
                <w:color w:val="000000"/>
                <w:sz w:val="24"/>
                <w:szCs w:val="24"/>
                <w:lang w:eastAsia="fr-FR"/>
              </w:rPr>
            </w:pPr>
          </w:p>
        </w:tc>
        <w:tc>
          <w:tcPr>
            <w:tcW w:w="2115" w:type="pct"/>
            <w:tcBorders>
              <w:top w:val="single" w:sz="4" w:space="0" w:color="auto"/>
              <w:left w:val="single" w:sz="4" w:space="0" w:color="auto"/>
              <w:bottom w:val="single" w:sz="4" w:space="0" w:color="auto"/>
              <w:right w:val="nil"/>
            </w:tcBorders>
            <w:shd w:val="clear" w:color="auto" w:fill="auto"/>
            <w:vAlign w:val="bottom"/>
          </w:tcPr>
          <w:p w:rsidR="002D4EA0" w:rsidRPr="003E743A" w:rsidRDefault="002D4EA0" w:rsidP="002D4EA0">
            <w:pPr>
              <w:spacing w:after="0" w:line="240" w:lineRule="auto"/>
              <w:jc w:val="both"/>
              <w:rPr>
                <w:rFonts w:ascii="Times New Roman" w:eastAsia="Times New Roman" w:hAnsi="Times New Roman" w:cs="Times New Roman"/>
                <w:color w:val="000000"/>
                <w:sz w:val="24"/>
                <w:szCs w:val="24"/>
                <w:lang w:eastAsia="fr-FR"/>
              </w:rPr>
            </w:pPr>
            <w:r w:rsidRPr="003E743A">
              <w:rPr>
                <w:rFonts w:ascii="Times New Roman" w:eastAsia="Times New Roman" w:hAnsi="Times New Roman" w:cs="Times New Roman"/>
                <w:color w:val="000000"/>
                <w:sz w:val="24"/>
                <w:szCs w:val="24"/>
                <w:lang w:eastAsia="fr-FR"/>
              </w:rPr>
              <w:t>Secteur de Safim</w:t>
            </w:r>
          </w:p>
        </w:tc>
        <w:tc>
          <w:tcPr>
            <w:tcW w:w="595" w:type="pct"/>
            <w:tcBorders>
              <w:top w:val="single" w:sz="4" w:space="0" w:color="auto"/>
              <w:left w:val="single" w:sz="4" w:space="0" w:color="auto"/>
              <w:bottom w:val="single" w:sz="4" w:space="0" w:color="000000"/>
              <w:right w:val="single" w:sz="4" w:space="0" w:color="auto"/>
            </w:tcBorders>
            <w:shd w:val="clear" w:color="auto" w:fill="auto"/>
            <w:vAlign w:val="bottom"/>
          </w:tcPr>
          <w:p w:rsidR="002D4EA0" w:rsidRPr="003E743A" w:rsidRDefault="002D4EA0" w:rsidP="002D4EA0">
            <w:pPr>
              <w:spacing w:after="0" w:line="240" w:lineRule="auto"/>
              <w:jc w:val="both"/>
              <w:rPr>
                <w:rFonts w:ascii="Times New Roman" w:eastAsia="Times New Roman" w:hAnsi="Times New Roman" w:cs="Times New Roman"/>
                <w:color w:val="000000"/>
                <w:sz w:val="24"/>
                <w:szCs w:val="24"/>
                <w:lang w:eastAsia="fr-FR"/>
              </w:rPr>
            </w:pPr>
            <w:r w:rsidRPr="003E743A">
              <w:rPr>
                <w:rFonts w:ascii="Times New Roman" w:eastAsia="Times New Roman" w:hAnsi="Times New Roman" w:cs="Times New Roman"/>
                <w:color w:val="000000"/>
                <w:sz w:val="24"/>
                <w:szCs w:val="24"/>
                <w:lang w:eastAsia="fr-FR"/>
              </w:rPr>
              <w:t>174,8</w:t>
            </w:r>
          </w:p>
        </w:tc>
        <w:tc>
          <w:tcPr>
            <w:tcW w:w="636" w:type="pct"/>
            <w:tcBorders>
              <w:top w:val="nil"/>
              <w:left w:val="nil"/>
              <w:bottom w:val="single" w:sz="4" w:space="0" w:color="auto"/>
              <w:right w:val="single" w:sz="4" w:space="0" w:color="auto"/>
            </w:tcBorders>
            <w:shd w:val="clear" w:color="auto" w:fill="auto"/>
            <w:noWrap/>
            <w:vAlign w:val="bottom"/>
          </w:tcPr>
          <w:p w:rsidR="002D4EA0" w:rsidRPr="003E743A" w:rsidRDefault="002D4EA0" w:rsidP="002D4EA0">
            <w:pPr>
              <w:spacing w:after="0" w:line="240" w:lineRule="auto"/>
              <w:jc w:val="both"/>
              <w:rPr>
                <w:rFonts w:ascii="Times New Roman" w:eastAsia="Times New Roman" w:hAnsi="Times New Roman" w:cs="Times New Roman"/>
                <w:color w:val="000000"/>
                <w:sz w:val="24"/>
                <w:szCs w:val="24"/>
                <w:lang w:eastAsia="fr-FR"/>
              </w:rPr>
            </w:pPr>
            <w:r w:rsidRPr="003E743A">
              <w:rPr>
                <w:rFonts w:ascii="Times New Roman" w:eastAsia="Times New Roman" w:hAnsi="Times New Roman" w:cs="Times New Roman"/>
                <w:color w:val="000000"/>
                <w:sz w:val="24"/>
                <w:szCs w:val="24"/>
                <w:lang w:eastAsia="fr-FR"/>
              </w:rPr>
              <w:t>17 356</w:t>
            </w:r>
          </w:p>
        </w:tc>
        <w:tc>
          <w:tcPr>
            <w:tcW w:w="642" w:type="pct"/>
            <w:tcBorders>
              <w:top w:val="nil"/>
              <w:left w:val="nil"/>
              <w:bottom w:val="single" w:sz="4" w:space="0" w:color="auto"/>
              <w:right w:val="single" w:sz="4" w:space="0" w:color="auto"/>
            </w:tcBorders>
            <w:shd w:val="clear" w:color="auto" w:fill="auto"/>
            <w:noWrap/>
            <w:vAlign w:val="bottom"/>
          </w:tcPr>
          <w:p w:rsidR="002D4EA0" w:rsidRPr="003E743A" w:rsidRDefault="002D4EA0" w:rsidP="002D4EA0">
            <w:pPr>
              <w:spacing w:after="0" w:line="240" w:lineRule="auto"/>
              <w:jc w:val="both"/>
              <w:rPr>
                <w:rFonts w:ascii="Times New Roman" w:eastAsia="Times New Roman" w:hAnsi="Times New Roman" w:cs="Times New Roman"/>
                <w:color w:val="000000"/>
                <w:sz w:val="24"/>
                <w:szCs w:val="24"/>
                <w:lang w:eastAsia="fr-FR"/>
              </w:rPr>
            </w:pPr>
            <w:r w:rsidRPr="003E743A">
              <w:rPr>
                <w:rFonts w:ascii="Times New Roman" w:eastAsia="Times New Roman" w:hAnsi="Times New Roman" w:cs="Times New Roman"/>
                <w:color w:val="000000"/>
                <w:sz w:val="24"/>
                <w:szCs w:val="24"/>
                <w:lang w:eastAsia="fr-FR"/>
              </w:rPr>
              <w:t>55</w:t>
            </w:r>
          </w:p>
        </w:tc>
        <w:tc>
          <w:tcPr>
            <w:tcW w:w="931" w:type="pct"/>
            <w:tcBorders>
              <w:top w:val="nil"/>
              <w:left w:val="nil"/>
              <w:bottom w:val="single" w:sz="4" w:space="0" w:color="auto"/>
              <w:right w:val="single" w:sz="4" w:space="0" w:color="auto"/>
            </w:tcBorders>
            <w:shd w:val="clear" w:color="auto" w:fill="auto"/>
            <w:noWrap/>
            <w:vAlign w:val="bottom"/>
          </w:tcPr>
          <w:p w:rsidR="002D4EA0" w:rsidRPr="003E743A" w:rsidRDefault="002D4EA0" w:rsidP="002D4EA0">
            <w:pPr>
              <w:spacing w:after="0" w:line="240" w:lineRule="auto"/>
              <w:jc w:val="both"/>
              <w:rPr>
                <w:rFonts w:ascii="Times New Roman" w:eastAsia="Times New Roman" w:hAnsi="Times New Roman" w:cs="Times New Roman"/>
                <w:color w:val="000000"/>
                <w:sz w:val="24"/>
                <w:szCs w:val="24"/>
                <w:lang w:eastAsia="fr-FR"/>
              </w:rPr>
            </w:pPr>
            <w:r w:rsidRPr="003E743A">
              <w:rPr>
                <w:rFonts w:ascii="Times New Roman" w:eastAsia="Times New Roman" w:hAnsi="Times New Roman" w:cs="Times New Roman"/>
                <w:color w:val="000000"/>
                <w:sz w:val="24"/>
                <w:szCs w:val="24"/>
                <w:lang w:eastAsia="fr-FR"/>
              </w:rPr>
              <w:t>99,3</w:t>
            </w:r>
          </w:p>
        </w:tc>
      </w:tr>
    </w:tbl>
    <w:p w:rsidR="007F3DC3" w:rsidRPr="0034305A" w:rsidRDefault="007F3DC3" w:rsidP="007F3DC3">
      <w:pPr>
        <w:pStyle w:val="Legenda"/>
        <w:jc w:val="left"/>
        <w:rPr>
          <w:rFonts w:ascii="Times New Roman" w:hAnsi="Times New Roman" w:cs="Times New Roman"/>
          <w:b w:val="0"/>
          <w:color w:val="auto"/>
          <w:sz w:val="20"/>
          <w:szCs w:val="20"/>
          <w:lang w:val="fr-FR"/>
        </w:rPr>
      </w:pPr>
      <w:r w:rsidRPr="0034305A">
        <w:rPr>
          <w:rFonts w:ascii="Times New Roman" w:hAnsi="Times New Roman" w:cs="Times New Roman"/>
          <w:b w:val="0"/>
          <w:color w:val="auto"/>
          <w:sz w:val="20"/>
          <w:szCs w:val="20"/>
          <w:lang w:val="fr-FR"/>
        </w:rPr>
        <w:t>La répartition Spatiale de la Population selon les quartiers de Bissau, leurs superficies et leurs densités sont données dans le tableau 14 ci-dessous.</w:t>
      </w:r>
    </w:p>
    <w:p w:rsidR="007F3DC3" w:rsidRPr="00BA3EE1" w:rsidRDefault="007F3DC3" w:rsidP="00BA3EE1">
      <w:pPr>
        <w:jc w:val="center"/>
        <w:rPr>
          <w:rFonts w:ascii="Times New Roman" w:hAnsi="Times New Roman" w:cs="Times New Roman"/>
          <w:b/>
          <w:sz w:val="20"/>
          <w:szCs w:val="20"/>
        </w:rPr>
      </w:pPr>
      <w:bookmarkStart w:id="219" w:name="_Toc4770108"/>
      <w:bookmarkStart w:id="220" w:name="_Toc51074007"/>
      <w:r w:rsidRPr="00BA3EE1">
        <w:rPr>
          <w:rFonts w:ascii="Times New Roman" w:hAnsi="Times New Roman" w:cs="Times New Roman"/>
          <w:b/>
          <w:sz w:val="20"/>
          <w:szCs w:val="20"/>
        </w:rPr>
        <w:t xml:space="preserve">Tableau </w:t>
      </w:r>
      <w:r w:rsidRPr="00BA3EE1">
        <w:rPr>
          <w:rFonts w:ascii="Times New Roman" w:hAnsi="Times New Roman" w:cs="Times New Roman"/>
          <w:b/>
          <w:sz w:val="20"/>
          <w:szCs w:val="20"/>
        </w:rPr>
        <w:fldChar w:fldCharType="begin"/>
      </w:r>
      <w:r w:rsidRPr="00BA3EE1">
        <w:rPr>
          <w:rFonts w:ascii="Times New Roman" w:hAnsi="Times New Roman" w:cs="Times New Roman"/>
          <w:b/>
          <w:sz w:val="20"/>
          <w:szCs w:val="20"/>
        </w:rPr>
        <w:instrText xml:space="preserve"> SEQ Tableau \* ARABIC </w:instrText>
      </w:r>
      <w:r w:rsidRPr="00BA3EE1">
        <w:rPr>
          <w:rFonts w:ascii="Times New Roman" w:hAnsi="Times New Roman" w:cs="Times New Roman"/>
          <w:b/>
          <w:sz w:val="20"/>
          <w:szCs w:val="20"/>
        </w:rPr>
        <w:fldChar w:fldCharType="separate"/>
      </w:r>
      <w:r w:rsidR="002C6E60">
        <w:rPr>
          <w:rFonts w:ascii="Times New Roman" w:hAnsi="Times New Roman" w:cs="Times New Roman"/>
          <w:b/>
          <w:noProof/>
          <w:sz w:val="20"/>
          <w:szCs w:val="20"/>
        </w:rPr>
        <w:t>17</w:t>
      </w:r>
      <w:r w:rsidRPr="00BA3EE1">
        <w:rPr>
          <w:rFonts w:ascii="Times New Roman" w:hAnsi="Times New Roman" w:cs="Times New Roman"/>
          <w:b/>
          <w:sz w:val="20"/>
          <w:szCs w:val="20"/>
        </w:rPr>
        <w:fldChar w:fldCharType="end"/>
      </w:r>
      <w:r w:rsidRPr="00BA3EE1">
        <w:rPr>
          <w:rFonts w:ascii="Times New Roman" w:hAnsi="Times New Roman" w:cs="Times New Roman"/>
          <w:b/>
          <w:sz w:val="20"/>
          <w:szCs w:val="20"/>
        </w:rPr>
        <w:t>: Répartition Spatiale de la Population aux différents Quartiers de Bissau et densités</w:t>
      </w:r>
      <w:bookmarkEnd w:id="219"/>
      <w:bookmarkEnd w:id="220"/>
      <w:r w:rsidRPr="00BA3EE1">
        <w:rPr>
          <w:rFonts w:ascii="Times New Roman" w:hAnsi="Times New Roman" w:cs="Times New Roman"/>
          <w:b/>
          <w:sz w:val="20"/>
          <w:szCs w:val="20"/>
        </w:rPr>
        <w:t xml:space="preserve"> </w:t>
      </w:r>
    </w:p>
    <w:tbl>
      <w:tblPr>
        <w:tblpPr w:leftFromText="141" w:rightFromText="141" w:vertAnchor="text" w:tblpXSpec="center" w:tblpY="1"/>
        <w:tblOverlap w:val="never"/>
        <w:tblW w:w="8672" w:type="dxa"/>
        <w:tblLayout w:type="fixed"/>
        <w:tblCellMar>
          <w:left w:w="0" w:type="dxa"/>
          <w:right w:w="0" w:type="dxa"/>
        </w:tblCellMar>
        <w:tblLook w:val="01E0" w:firstRow="1" w:lastRow="1" w:firstColumn="1" w:lastColumn="1" w:noHBand="0" w:noVBand="0"/>
      </w:tblPr>
      <w:tblGrid>
        <w:gridCol w:w="403"/>
        <w:gridCol w:w="172"/>
        <w:gridCol w:w="2400"/>
        <w:gridCol w:w="2107"/>
        <w:gridCol w:w="25"/>
        <w:gridCol w:w="3515"/>
        <w:gridCol w:w="25"/>
        <w:gridCol w:w="25"/>
      </w:tblGrid>
      <w:tr w:rsidR="007F3DC3" w:rsidRPr="003E743A" w:rsidTr="00960124">
        <w:trPr>
          <w:gridAfter w:val="1"/>
          <w:wAfter w:w="20" w:type="dxa"/>
          <w:trHeight w:hRule="exact" w:val="443"/>
        </w:trPr>
        <w:tc>
          <w:tcPr>
            <w:tcW w:w="404" w:type="dxa"/>
            <w:tcBorders>
              <w:top w:val="single" w:sz="4" w:space="0" w:color="000000"/>
              <w:left w:val="single" w:sz="4" w:space="0" w:color="000000"/>
              <w:bottom w:val="single" w:sz="4" w:space="0" w:color="000000"/>
              <w:right w:val="nil"/>
            </w:tcBorders>
            <w:shd w:val="clear" w:color="auto" w:fill="BDD6EE" w:themeFill="accent1" w:themeFillTint="66"/>
            <w:vAlign w:val="center"/>
          </w:tcPr>
          <w:p w:rsidR="007F3DC3" w:rsidRPr="003E743A" w:rsidRDefault="007F3DC3" w:rsidP="00960124">
            <w:pPr>
              <w:tabs>
                <w:tab w:val="left" w:pos="2268"/>
                <w:tab w:val="left" w:pos="6237"/>
                <w:tab w:val="left" w:pos="7020"/>
              </w:tabs>
              <w:spacing w:after="0" w:line="240" w:lineRule="auto"/>
              <w:ind w:left="162" w:right="-64"/>
              <w:jc w:val="both"/>
              <w:rPr>
                <w:rFonts w:ascii="Times New Roman" w:eastAsia="Arial" w:hAnsi="Times New Roman" w:cs="Times New Roman"/>
                <w:b/>
                <w:sz w:val="20"/>
                <w:szCs w:val="20"/>
                <w:lang w:eastAsia="fr-FR"/>
              </w:rPr>
            </w:pPr>
            <w:r w:rsidRPr="003E743A">
              <w:rPr>
                <w:rFonts w:ascii="Times New Roman" w:eastAsia="Arial" w:hAnsi="Times New Roman" w:cs="Times New Roman"/>
                <w:b/>
                <w:bCs/>
                <w:sz w:val="20"/>
                <w:szCs w:val="20"/>
                <w:lang w:eastAsia="fr-FR"/>
              </w:rPr>
              <w:t>N.</w:t>
            </w:r>
          </w:p>
        </w:tc>
        <w:tc>
          <w:tcPr>
            <w:tcW w:w="172" w:type="dxa"/>
            <w:tcBorders>
              <w:top w:val="single" w:sz="4" w:space="0" w:color="000000"/>
              <w:left w:val="nil"/>
              <w:bottom w:val="single" w:sz="4" w:space="0" w:color="000000"/>
              <w:right w:val="single" w:sz="4" w:space="0" w:color="000000"/>
            </w:tcBorders>
            <w:shd w:val="clear" w:color="auto" w:fill="BDD6EE" w:themeFill="accent1" w:themeFillTint="66"/>
            <w:vAlign w:val="center"/>
          </w:tcPr>
          <w:p w:rsidR="007F3DC3" w:rsidRPr="003E743A" w:rsidRDefault="007F3DC3" w:rsidP="00960124">
            <w:pPr>
              <w:tabs>
                <w:tab w:val="left" w:pos="2268"/>
                <w:tab w:val="left" w:pos="6237"/>
                <w:tab w:val="left" w:pos="7020"/>
              </w:tabs>
              <w:spacing w:after="0" w:line="240" w:lineRule="auto"/>
              <w:jc w:val="both"/>
              <w:rPr>
                <w:rFonts w:ascii="Times New Roman" w:eastAsia="Calibri" w:hAnsi="Times New Roman" w:cs="Times New Roman"/>
                <w:sz w:val="20"/>
                <w:szCs w:val="20"/>
                <w:lang w:eastAsia="fr-FR"/>
              </w:rPr>
            </w:pPr>
          </w:p>
        </w:tc>
        <w:tc>
          <w:tcPr>
            <w:tcW w:w="2403" w:type="dxa"/>
            <w:tcBorders>
              <w:top w:val="single" w:sz="4" w:space="0" w:color="000000"/>
              <w:left w:val="single" w:sz="4" w:space="0" w:color="000000"/>
              <w:bottom w:val="single" w:sz="4" w:space="0" w:color="000000"/>
              <w:right w:val="single" w:sz="4" w:space="0" w:color="000000"/>
            </w:tcBorders>
            <w:shd w:val="clear" w:color="auto" w:fill="BDD6EE" w:themeFill="accent1" w:themeFillTint="66"/>
            <w:vAlign w:val="center"/>
          </w:tcPr>
          <w:p w:rsidR="007F3DC3" w:rsidRPr="003E743A" w:rsidRDefault="007F3DC3" w:rsidP="00960124">
            <w:pPr>
              <w:tabs>
                <w:tab w:val="left" w:pos="2268"/>
                <w:tab w:val="left" w:pos="6237"/>
                <w:tab w:val="left" w:pos="7020"/>
              </w:tabs>
              <w:spacing w:after="0" w:line="240" w:lineRule="auto"/>
              <w:ind w:right="-20"/>
              <w:jc w:val="both"/>
              <w:rPr>
                <w:rFonts w:ascii="Times New Roman" w:eastAsia="Arial" w:hAnsi="Times New Roman" w:cs="Times New Roman"/>
                <w:sz w:val="20"/>
                <w:szCs w:val="20"/>
                <w:lang w:eastAsia="fr-FR"/>
              </w:rPr>
            </w:pPr>
            <w:r w:rsidRPr="003E743A">
              <w:rPr>
                <w:rFonts w:ascii="Times New Roman" w:eastAsia="Arial" w:hAnsi="Times New Roman" w:cs="Times New Roman"/>
                <w:b/>
                <w:bCs/>
                <w:spacing w:val="4"/>
                <w:sz w:val="20"/>
                <w:szCs w:val="20"/>
                <w:lang w:eastAsia="fr-FR"/>
              </w:rPr>
              <w:t>Quartiers</w:t>
            </w:r>
          </w:p>
        </w:tc>
        <w:tc>
          <w:tcPr>
            <w:tcW w:w="2109" w:type="dxa"/>
            <w:tcBorders>
              <w:top w:val="single" w:sz="4" w:space="0" w:color="000000"/>
              <w:left w:val="single" w:sz="4" w:space="0" w:color="000000"/>
              <w:bottom w:val="single" w:sz="4" w:space="0" w:color="000000"/>
              <w:right w:val="nil"/>
            </w:tcBorders>
            <w:shd w:val="clear" w:color="auto" w:fill="BDD6EE" w:themeFill="accent1" w:themeFillTint="66"/>
            <w:vAlign w:val="center"/>
          </w:tcPr>
          <w:p w:rsidR="007F3DC3" w:rsidRPr="003E743A" w:rsidRDefault="007F3DC3" w:rsidP="00960124">
            <w:pPr>
              <w:tabs>
                <w:tab w:val="left" w:pos="2268"/>
                <w:tab w:val="left" w:pos="6237"/>
                <w:tab w:val="left" w:pos="7020"/>
              </w:tabs>
              <w:spacing w:after="0" w:line="240" w:lineRule="auto"/>
              <w:ind w:right="-1268"/>
              <w:jc w:val="both"/>
              <w:rPr>
                <w:rFonts w:ascii="Times New Roman" w:eastAsia="Arial" w:hAnsi="Times New Roman" w:cs="Times New Roman"/>
                <w:sz w:val="20"/>
                <w:szCs w:val="20"/>
                <w:lang w:eastAsia="fr-FR"/>
              </w:rPr>
            </w:pPr>
            <w:r w:rsidRPr="003E743A">
              <w:rPr>
                <w:rFonts w:ascii="Times New Roman" w:eastAsia="Arial" w:hAnsi="Times New Roman" w:cs="Times New Roman"/>
                <w:b/>
                <w:bCs/>
                <w:sz w:val="20"/>
                <w:szCs w:val="20"/>
                <w:lang w:eastAsia="fr-FR"/>
              </w:rPr>
              <w:t xml:space="preserve">        Surfaces </w:t>
            </w:r>
            <w:r w:rsidRPr="003E743A">
              <w:rPr>
                <w:rFonts w:ascii="Times New Roman" w:eastAsia="Arial" w:hAnsi="Times New Roman" w:cs="Times New Roman"/>
                <w:b/>
                <w:bCs/>
                <w:spacing w:val="8"/>
                <w:sz w:val="20"/>
                <w:szCs w:val="20"/>
                <w:lang w:eastAsia="fr-FR"/>
              </w:rPr>
              <w:t>(</w:t>
            </w:r>
            <w:r w:rsidRPr="003E743A">
              <w:rPr>
                <w:rFonts w:ascii="Times New Roman" w:eastAsia="Arial" w:hAnsi="Times New Roman" w:cs="Times New Roman"/>
                <w:b/>
                <w:bCs/>
                <w:spacing w:val="2"/>
                <w:sz w:val="20"/>
                <w:szCs w:val="20"/>
                <w:lang w:eastAsia="fr-FR"/>
              </w:rPr>
              <w:t>h</w:t>
            </w:r>
            <w:r w:rsidRPr="003E743A">
              <w:rPr>
                <w:rFonts w:ascii="Times New Roman" w:eastAsia="Arial" w:hAnsi="Times New Roman" w:cs="Times New Roman"/>
                <w:b/>
                <w:bCs/>
                <w:sz w:val="20"/>
                <w:szCs w:val="20"/>
                <w:lang w:eastAsia="fr-FR"/>
              </w:rPr>
              <w:t>a)</w:t>
            </w:r>
          </w:p>
        </w:tc>
        <w:tc>
          <w:tcPr>
            <w:tcW w:w="25" w:type="dxa"/>
            <w:tcBorders>
              <w:top w:val="single" w:sz="4" w:space="0" w:color="000000"/>
              <w:left w:val="nil"/>
              <w:bottom w:val="single" w:sz="4" w:space="0" w:color="000000"/>
              <w:right w:val="single" w:sz="4" w:space="0" w:color="000000"/>
            </w:tcBorders>
            <w:shd w:val="clear" w:color="auto" w:fill="BDD6EE" w:themeFill="accent1" w:themeFillTint="66"/>
            <w:vAlign w:val="center"/>
          </w:tcPr>
          <w:p w:rsidR="007F3DC3" w:rsidRPr="003E743A" w:rsidRDefault="007F3DC3" w:rsidP="00960124">
            <w:pPr>
              <w:tabs>
                <w:tab w:val="left" w:pos="2268"/>
                <w:tab w:val="left" w:pos="6237"/>
                <w:tab w:val="left" w:pos="7020"/>
              </w:tabs>
              <w:spacing w:after="0" w:line="240" w:lineRule="auto"/>
              <w:ind w:left="843" w:right="-138"/>
              <w:jc w:val="both"/>
              <w:rPr>
                <w:rFonts w:ascii="Times New Roman" w:eastAsia="Calibri" w:hAnsi="Times New Roman" w:cs="Times New Roman"/>
                <w:b/>
                <w:sz w:val="20"/>
                <w:szCs w:val="20"/>
                <w:lang w:eastAsia="fr-FR"/>
              </w:rPr>
            </w:pPr>
          </w:p>
        </w:tc>
        <w:tc>
          <w:tcPr>
            <w:tcW w:w="3519" w:type="dxa"/>
            <w:tcBorders>
              <w:top w:val="single" w:sz="4" w:space="0" w:color="000000"/>
              <w:left w:val="single" w:sz="4" w:space="0" w:color="000000"/>
              <w:bottom w:val="single" w:sz="4" w:space="0" w:color="000000"/>
              <w:right w:val="nil"/>
            </w:tcBorders>
            <w:shd w:val="clear" w:color="auto" w:fill="BDD6EE" w:themeFill="accent1" w:themeFillTint="66"/>
            <w:vAlign w:val="center"/>
          </w:tcPr>
          <w:p w:rsidR="007F3DC3" w:rsidRPr="003E743A" w:rsidRDefault="007F3DC3" w:rsidP="00960124">
            <w:pPr>
              <w:tabs>
                <w:tab w:val="left" w:pos="1964"/>
                <w:tab w:val="left" w:pos="6237"/>
                <w:tab w:val="left" w:pos="7020"/>
              </w:tabs>
              <w:spacing w:after="0" w:line="240" w:lineRule="auto"/>
              <w:ind w:right="-20"/>
              <w:jc w:val="both"/>
              <w:rPr>
                <w:rFonts w:ascii="Times New Roman" w:eastAsia="Arial" w:hAnsi="Times New Roman" w:cs="Times New Roman"/>
                <w:sz w:val="20"/>
                <w:szCs w:val="20"/>
                <w:lang w:eastAsia="fr-FR"/>
              </w:rPr>
            </w:pPr>
            <w:r w:rsidRPr="003E743A">
              <w:rPr>
                <w:rFonts w:ascii="Times New Roman" w:eastAsia="Arial" w:hAnsi="Times New Roman" w:cs="Times New Roman"/>
                <w:b/>
                <w:bCs/>
                <w:spacing w:val="-10"/>
                <w:sz w:val="20"/>
                <w:szCs w:val="20"/>
                <w:lang w:eastAsia="fr-FR"/>
              </w:rPr>
              <w:t>P</w:t>
            </w:r>
            <w:r w:rsidRPr="003E743A">
              <w:rPr>
                <w:rFonts w:ascii="Times New Roman" w:eastAsia="Arial" w:hAnsi="Times New Roman" w:cs="Times New Roman"/>
                <w:b/>
                <w:bCs/>
                <w:sz w:val="20"/>
                <w:szCs w:val="20"/>
                <w:lang w:eastAsia="fr-FR"/>
              </w:rPr>
              <w:t>o</w:t>
            </w:r>
            <w:r w:rsidRPr="003E743A">
              <w:rPr>
                <w:rFonts w:ascii="Times New Roman" w:eastAsia="Arial" w:hAnsi="Times New Roman" w:cs="Times New Roman"/>
                <w:b/>
                <w:bCs/>
                <w:spacing w:val="1"/>
                <w:sz w:val="20"/>
                <w:szCs w:val="20"/>
                <w:lang w:eastAsia="fr-FR"/>
              </w:rPr>
              <w:t>p</w:t>
            </w:r>
            <w:r w:rsidRPr="003E743A">
              <w:rPr>
                <w:rFonts w:ascii="Times New Roman" w:eastAsia="Arial" w:hAnsi="Times New Roman" w:cs="Times New Roman"/>
                <w:b/>
                <w:bCs/>
                <w:spacing w:val="-1"/>
                <w:sz w:val="20"/>
                <w:szCs w:val="20"/>
                <w:lang w:eastAsia="fr-FR"/>
              </w:rPr>
              <w:t>u</w:t>
            </w:r>
            <w:r w:rsidRPr="003E743A">
              <w:rPr>
                <w:rFonts w:ascii="Times New Roman" w:eastAsia="Arial" w:hAnsi="Times New Roman" w:cs="Times New Roman"/>
                <w:b/>
                <w:bCs/>
                <w:sz w:val="20"/>
                <w:szCs w:val="20"/>
                <w:lang w:eastAsia="fr-FR"/>
              </w:rPr>
              <w:t>lat</w:t>
            </w:r>
            <w:r w:rsidRPr="003E743A">
              <w:rPr>
                <w:rFonts w:ascii="Times New Roman" w:eastAsia="Arial" w:hAnsi="Times New Roman" w:cs="Times New Roman"/>
                <w:b/>
                <w:bCs/>
                <w:spacing w:val="-1"/>
                <w:sz w:val="20"/>
                <w:szCs w:val="20"/>
                <w:lang w:eastAsia="fr-FR"/>
              </w:rPr>
              <w:t>i</w:t>
            </w:r>
            <w:r w:rsidRPr="003E743A">
              <w:rPr>
                <w:rFonts w:ascii="Times New Roman" w:eastAsia="Arial" w:hAnsi="Times New Roman" w:cs="Times New Roman"/>
                <w:b/>
                <w:bCs/>
                <w:sz w:val="20"/>
                <w:szCs w:val="20"/>
                <w:lang w:eastAsia="fr-FR"/>
              </w:rPr>
              <w:t>ons</w:t>
            </w:r>
          </w:p>
        </w:tc>
        <w:tc>
          <w:tcPr>
            <w:tcW w:w="20" w:type="dxa"/>
            <w:tcBorders>
              <w:top w:val="single" w:sz="4" w:space="0" w:color="000000"/>
              <w:left w:val="nil"/>
              <w:bottom w:val="single" w:sz="4" w:space="0" w:color="000000"/>
              <w:right w:val="single" w:sz="4" w:space="0" w:color="000000"/>
            </w:tcBorders>
            <w:shd w:val="clear" w:color="auto" w:fill="BDD6EE" w:themeFill="accent1" w:themeFillTint="66"/>
            <w:vAlign w:val="center"/>
          </w:tcPr>
          <w:p w:rsidR="007F3DC3" w:rsidRPr="003E743A" w:rsidRDefault="007F3DC3" w:rsidP="00960124">
            <w:pPr>
              <w:tabs>
                <w:tab w:val="left" w:pos="2268"/>
                <w:tab w:val="left" w:pos="6237"/>
                <w:tab w:val="left" w:pos="7020"/>
              </w:tabs>
              <w:spacing w:after="0" w:line="240" w:lineRule="auto"/>
              <w:jc w:val="both"/>
              <w:rPr>
                <w:rFonts w:ascii="Times New Roman" w:eastAsia="Calibri" w:hAnsi="Times New Roman" w:cs="Times New Roman"/>
                <w:b/>
                <w:sz w:val="20"/>
                <w:szCs w:val="20"/>
                <w:lang w:eastAsia="fr-FR"/>
              </w:rPr>
            </w:pPr>
          </w:p>
        </w:tc>
      </w:tr>
      <w:tr w:rsidR="007F3DC3" w:rsidRPr="003E743A" w:rsidTr="00960124">
        <w:trPr>
          <w:gridAfter w:val="1"/>
          <w:wAfter w:w="20" w:type="dxa"/>
          <w:trHeight w:hRule="exact" w:val="284"/>
        </w:trPr>
        <w:tc>
          <w:tcPr>
            <w:tcW w:w="404" w:type="dxa"/>
            <w:tcBorders>
              <w:top w:val="single" w:sz="4" w:space="0" w:color="000000"/>
              <w:left w:val="single" w:sz="4" w:space="0" w:color="000000"/>
              <w:bottom w:val="single" w:sz="4" w:space="0" w:color="000000"/>
              <w:right w:val="nil"/>
            </w:tcBorders>
            <w:vAlign w:val="center"/>
          </w:tcPr>
          <w:p w:rsidR="007F3DC3" w:rsidRPr="003E743A" w:rsidRDefault="007F3DC3" w:rsidP="00960124">
            <w:pPr>
              <w:tabs>
                <w:tab w:val="left" w:pos="2268"/>
                <w:tab w:val="left" w:pos="6237"/>
                <w:tab w:val="left" w:pos="7020"/>
              </w:tabs>
              <w:spacing w:after="0" w:line="240" w:lineRule="auto"/>
              <w:jc w:val="center"/>
              <w:rPr>
                <w:rFonts w:ascii="Times New Roman" w:eastAsia="Calibri" w:hAnsi="Times New Roman" w:cs="Times New Roman"/>
                <w:b/>
                <w:sz w:val="20"/>
                <w:szCs w:val="20"/>
                <w:lang w:eastAsia="fr-FR"/>
              </w:rPr>
            </w:pPr>
          </w:p>
        </w:tc>
        <w:tc>
          <w:tcPr>
            <w:tcW w:w="172" w:type="dxa"/>
            <w:tcBorders>
              <w:top w:val="single" w:sz="4" w:space="0" w:color="000000"/>
              <w:left w:val="nil"/>
              <w:bottom w:val="single" w:sz="4" w:space="0" w:color="000000"/>
              <w:right w:val="single" w:sz="4" w:space="0" w:color="000000"/>
            </w:tcBorders>
            <w:vAlign w:val="center"/>
          </w:tcPr>
          <w:p w:rsidR="007F3DC3" w:rsidRPr="003E743A" w:rsidRDefault="007F3DC3" w:rsidP="00960124">
            <w:pPr>
              <w:tabs>
                <w:tab w:val="left" w:pos="2268"/>
                <w:tab w:val="left" w:pos="6237"/>
                <w:tab w:val="left" w:pos="7020"/>
              </w:tabs>
              <w:spacing w:after="0" w:line="240" w:lineRule="auto"/>
              <w:ind w:left="3"/>
              <w:jc w:val="center"/>
              <w:rPr>
                <w:rFonts w:ascii="Times New Roman" w:eastAsia="Arial" w:hAnsi="Times New Roman" w:cs="Times New Roman"/>
                <w:b/>
                <w:sz w:val="20"/>
                <w:szCs w:val="20"/>
                <w:lang w:eastAsia="fr-FR"/>
              </w:rPr>
            </w:pPr>
            <w:r w:rsidRPr="003E743A">
              <w:rPr>
                <w:rFonts w:ascii="Times New Roman" w:eastAsia="Arial" w:hAnsi="Times New Roman" w:cs="Times New Roman"/>
                <w:b/>
                <w:sz w:val="20"/>
                <w:szCs w:val="20"/>
                <w:lang w:eastAsia="fr-FR"/>
              </w:rPr>
              <w:t>1</w:t>
            </w:r>
          </w:p>
          <w:p w:rsidR="007F3DC3" w:rsidRPr="003E743A" w:rsidRDefault="007F3DC3" w:rsidP="00960124">
            <w:pPr>
              <w:tabs>
                <w:tab w:val="left" w:pos="2268"/>
                <w:tab w:val="left" w:pos="6237"/>
                <w:tab w:val="left" w:pos="7020"/>
              </w:tabs>
              <w:spacing w:after="0" w:line="240" w:lineRule="auto"/>
              <w:ind w:left="3"/>
              <w:jc w:val="center"/>
              <w:rPr>
                <w:rFonts w:ascii="Times New Roman" w:eastAsia="Arial" w:hAnsi="Times New Roman" w:cs="Times New Roman"/>
                <w:b/>
                <w:sz w:val="20"/>
                <w:szCs w:val="20"/>
                <w:lang w:eastAsia="fr-FR"/>
              </w:rPr>
            </w:pPr>
          </w:p>
          <w:p w:rsidR="007F3DC3" w:rsidRPr="003E743A" w:rsidRDefault="007F3DC3" w:rsidP="00960124">
            <w:pPr>
              <w:tabs>
                <w:tab w:val="left" w:pos="2268"/>
                <w:tab w:val="left" w:pos="6237"/>
                <w:tab w:val="left" w:pos="7020"/>
              </w:tabs>
              <w:spacing w:after="0" w:line="240" w:lineRule="auto"/>
              <w:ind w:left="3"/>
              <w:jc w:val="center"/>
              <w:rPr>
                <w:rFonts w:ascii="Times New Roman" w:eastAsia="Arial" w:hAnsi="Times New Roman" w:cs="Times New Roman"/>
                <w:b/>
                <w:sz w:val="20"/>
                <w:szCs w:val="20"/>
                <w:lang w:eastAsia="fr-FR"/>
              </w:rPr>
            </w:pPr>
          </w:p>
        </w:tc>
        <w:tc>
          <w:tcPr>
            <w:tcW w:w="2403" w:type="dxa"/>
            <w:tcBorders>
              <w:top w:val="single" w:sz="4" w:space="0" w:color="000000"/>
              <w:left w:val="single" w:sz="4" w:space="0" w:color="000000"/>
              <w:bottom w:val="single" w:sz="4" w:space="0" w:color="000000"/>
              <w:right w:val="single" w:sz="4" w:space="0" w:color="000000"/>
            </w:tcBorders>
            <w:vAlign w:val="center"/>
          </w:tcPr>
          <w:p w:rsidR="007F3DC3" w:rsidRPr="003E743A" w:rsidRDefault="007F3DC3" w:rsidP="00960124">
            <w:pPr>
              <w:tabs>
                <w:tab w:val="left" w:pos="2268"/>
                <w:tab w:val="left" w:pos="6237"/>
                <w:tab w:val="left" w:pos="7020"/>
              </w:tabs>
              <w:spacing w:after="0" w:line="240" w:lineRule="auto"/>
              <w:ind w:left="63" w:right="-20"/>
              <w:jc w:val="center"/>
              <w:rPr>
                <w:rFonts w:ascii="Times New Roman" w:eastAsia="Arial" w:hAnsi="Times New Roman" w:cs="Times New Roman"/>
                <w:sz w:val="20"/>
                <w:szCs w:val="20"/>
                <w:lang w:eastAsia="fr-FR"/>
              </w:rPr>
            </w:pPr>
            <w:r w:rsidRPr="003E743A">
              <w:rPr>
                <w:rFonts w:ascii="Times New Roman" w:eastAsia="Arial" w:hAnsi="Times New Roman" w:cs="Times New Roman"/>
                <w:spacing w:val="2"/>
                <w:sz w:val="20"/>
                <w:szCs w:val="20"/>
                <w:lang w:eastAsia="fr-FR"/>
              </w:rPr>
              <w:t>B</w:t>
            </w:r>
            <w:r w:rsidRPr="003E743A">
              <w:rPr>
                <w:rFonts w:ascii="Times New Roman" w:eastAsia="Arial" w:hAnsi="Times New Roman" w:cs="Times New Roman"/>
                <w:sz w:val="20"/>
                <w:szCs w:val="20"/>
                <w:lang w:eastAsia="fr-FR"/>
              </w:rPr>
              <w:t>a</w:t>
            </w:r>
            <w:r w:rsidRPr="003E743A">
              <w:rPr>
                <w:rFonts w:ascii="Times New Roman" w:eastAsia="Arial" w:hAnsi="Times New Roman" w:cs="Times New Roman"/>
                <w:spacing w:val="-1"/>
                <w:sz w:val="20"/>
                <w:szCs w:val="20"/>
                <w:lang w:eastAsia="fr-FR"/>
              </w:rPr>
              <w:t>i</w:t>
            </w:r>
            <w:r w:rsidRPr="003E743A">
              <w:rPr>
                <w:rFonts w:ascii="Times New Roman" w:eastAsia="Arial" w:hAnsi="Times New Roman" w:cs="Times New Roman"/>
                <w:sz w:val="20"/>
                <w:szCs w:val="20"/>
                <w:lang w:eastAsia="fr-FR"/>
              </w:rPr>
              <w:t>rro S</w:t>
            </w:r>
            <w:r w:rsidRPr="003E743A">
              <w:rPr>
                <w:rFonts w:ascii="Times New Roman" w:eastAsia="Arial" w:hAnsi="Times New Roman" w:cs="Times New Roman"/>
                <w:spacing w:val="-1"/>
                <w:sz w:val="20"/>
                <w:szCs w:val="20"/>
                <w:lang w:eastAsia="fr-FR"/>
              </w:rPr>
              <w:t>e</w:t>
            </w:r>
            <w:r w:rsidRPr="003E743A">
              <w:rPr>
                <w:rFonts w:ascii="Times New Roman" w:eastAsia="Arial" w:hAnsi="Times New Roman" w:cs="Times New Roman"/>
                <w:sz w:val="20"/>
                <w:szCs w:val="20"/>
                <w:lang w:eastAsia="fr-FR"/>
              </w:rPr>
              <w:t>te</w:t>
            </w:r>
            <w:r w:rsidRPr="003E743A">
              <w:rPr>
                <w:rFonts w:ascii="Times New Roman" w:eastAsia="Arial" w:hAnsi="Times New Roman" w:cs="Times New Roman"/>
                <w:spacing w:val="1"/>
                <w:sz w:val="20"/>
                <w:szCs w:val="20"/>
                <w:lang w:eastAsia="fr-FR"/>
              </w:rPr>
              <w:t>m</w:t>
            </w:r>
            <w:r w:rsidRPr="003E743A">
              <w:rPr>
                <w:rFonts w:ascii="Times New Roman" w:eastAsia="Arial" w:hAnsi="Times New Roman" w:cs="Times New Roman"/>
                <w:spacing w:val="-1"/>
                <w:sz w:val="20"/>
                <w:szCs w:val="20"/>
                <w:lang w:eastAsia="fr-FR"/>
              </w:rPr>
              <w:t>b</w:t>
            </w:r>
            <w:r w:rsidRPr="003E743A">
              <w:rPr>
                <w:rFonts w:ascii="Times New Roman" w:eastAsia="Arial" w:hAnsi="Times New Roman" w:cs="Times New Roman"/>
                <w:spacing w:val="2"/>
                <w:sz w:val="20"/>
                <w:szCs w:val="20"/>
                <w:lang w:eastAsia="fr-FR"/>
              </w:rPr>
              <w:t>r</w:t>
            </w:r>
            <w:r w:rsidRPr="003E743A">
              <w:rPr>
                <w:rFonts w:ascii="Times New Roman" w:eastAsia="Arial" w:hAnsi="Times New Roman" w:cs="Times New Roman"/>
                <w:sz w:val="20"/>
                <w:szCs w:val="20"/>
                <w:lang w:eastAsia="fr-FR"/>
              </w:rPr>
              <w:t>o</w:t>
            </w:r>
          </w:p>
          <w:p w:rsidR="007F3DC3" w:rsidRPr="003E743A" w:rsidRDefault="007F3DC3" w:rsidP="00960124">
            <w:pPr>
              <w:tabs>
                <w:tab w:val="left" w:pos="2268"/>
                <w:tab w:val="left" w:pos="6237"/>
                <w:tab w:val="left" w:pos="7020"/>
              </w:tabs>
              <w:spacing w:after="0" w:line="240" w:lineRule="auto"/>
              <w:ind w:left="63" w:right="-20"/>
              <w:jc w:val="center"/>
              <w:rPr>
                <w:rFonts w:ascii="Times New Roman" w:eastAsia="Arial" w:hAnsi="Times New Roman" w:cs="Times New Roman"/>
                <w:sz w:val="20"/>
                <w:szCs w:val="20"/>
                <w:lang w:eastAsia="fr-FR"/>
              </w:rPr>
            </w:pPr>
          </w:p>
          <w:p w:rsidR="007F3DC3" w:rsidRPr="003E743A" w:rsidRDefault="007F3DC3" w:rsidP="00960124">
            <w:pPr>
              <w:tabs>
                <w:tab w:val="left" w:pos="2268"/>
                <w:tab w:val="left" w:pos="6237"/>
                <w:tab w:val="left" w:pos="7020"/>
              </w:tabs>
              <w:spacing w:after="0" w:line="240" w:lineRule="auto"/>
              <w:ind w:left="63" w:right="-20"/>
              <w:jc w:val="center"/>
              <w:rPr>
                <w:rFonts w:ascii="Times New Roman" w:eastAsia="Arial" w:hAnsi="Times New Roman" w:cs="Times New Roman"/>
                <w:sz w:val="20"/>
                <w:szCs w:val="20"/>
                <w:lang w:eastAsia="fr-FR"/>
              </w:rPr>
            </w:pPr>
          </w:p>
          <w:p w:rsidR="007F3DC3" w:rsidRPr="003E743A" w:rsidRDefault="007F3DC3" w:rsidP="00960124">
            <w:pPr>
              <w:tabs>
                <w:tab w:val="left" w:pos="2268"/>
                <w:tab w:val="left" w:pos="6237"/>
                <w:tab w:val="left" w:pos="7020"/>
              </w:tabs>
              <w:spacing w:after="0" w:line="240" w:lineRule="auto"/>
              <w:ind w:left="63" w:right="-20"/>
              <w:jc w:val="center"/>
              <w:rPr>
                <w:rFonts w:ascii="Times New Roman" w:eastAsia="Arial" w:hAnsi="Times New Roman" w:cs="Times New Roman"/>
                <w:sz w:val="20"/>
                <w:szCs w:val="20"/>
                <w:lang w:eastAsia="fr-FR"/>
              </w:rPr>
            </w:pPr>
          </w:p>
        </w:tc>
        <w:tc>
          <w:tcPr>
            <w:tcW w:w="2109" w:type="dxa"/>
            <w:tcBorders>
              <w:top w:val="single" w:sz="4" w:space="0" w:color="000000"/>
              <w:left w:val="single" w:sz="4" w:space="0" w:color="000000"/>
              <w:bottom w:val="single" w:sz="4" w:space="0" w:color="000000"/>
              <w:right w:val="nil"/>
            </w:tcBorders>
            <w:vAlign w:val="center"/>
          </w:tcPr>
          <w:p w:rsidR="007F3DC3" w:rsidRPr="003E743A" w:rsidRDefault="007F3DC3" w:rsidP="00960124">
            <w:pPr>
              <w:tabs>
                <w:tab w:val="left" w:pos="2268"/>
                <w:tab w:val="left" w:pos="6237"/>
                <w:tab w:val="left" w:pos="7020"/>
              </w:tabs>
              <w:spacing w:after="0" w:line="240" w:lineRule="auto"/>
              <w:jc w:val="center"/>
              <w:rPr>
                <w:rFonts w:ascii="Times New Roman" w:eastAsia="Calibri" w:hAnsi="Times New Roman" w:cs="Times New Roman"/>
                <w:sz w:val="20"/>
                <w:szCs w:val="20"/>
                <w:lang w:eastAsia="fr-FR"/>
              </w:rPr>
            </w:pPr>
            <w:r w:rsidRPr="003E743A">
              <w:rPr>
                <w:rFonts w:ascii="Times New Roman" w:eastAsia="Arial" w:hAnsi="Times New Roman" w:cs="Times New Roman"/>
                <w:b/>
                <w:sz w:val="20"/>
                <w:szCs w:val="20"/>
                <w:lang w:eastAsia="fr-FR"/>
              </w:rPr>
              <w:t>108</w:t>
            </w:r>
          </w:p>
        </w:tc>
        <w:tc>
          <w:tcPr>
            <w:tcW w:w="25" w:type="dxa"/>
            <w:tcBorders>
              <w:top w:val="single" w:sz="4" w:space="0" w:color="000000"/>
              <w:left w:val="nil"/>
              <w:bottom w:val="single" w:sz="4" w:space="0" w:color="000000"/>
              <w:right w:val="single" w:sz="4" w:space="0" w:color="000000"/>
            </w:tcBorders>
            <w:vAlign w:val="center"/>
          </w:tcPr>
          <w:p w:rsidR="007F3DC3" w:rsidRPr="003E743A" w:rsidRDefault="007F3DC3" w:rsidP="00960124">
            <w:pPr>
              <w:tabs>
                <w:tab w:val="left" w:pos="2268"/>
                <w:tab w:val="left" w:pos="6237"/>
                <w:tab w:val="left" w:pos="7020"/>
              </w:tabs>
              <w:spacing w:after="0" w:line="240" w:lineRule="auto"/>
              <w:ind w:left="241" w:right="-20"/>
              <w:jc w:val="center"/>
              <w:rPr>
                <w:rFonts w:ascii="Times New Roman" w:eastAsia="Arial" w:hAnsi="Times New Roman" w:cs="Times New Roman"/>
                <w:b/>
                <w:sz w:val="20"/>
                <w:szCs w:val="20"/>
                <w:lang w:eastAsia="fr-FR"/>
              </w:rPr>
            </w:pPr>
          </w:p>
        </w:tc>
        <w:tc>
          <w:tcPr>
            <w:tcW w:w="3519" w:type="dxa"/>
            <w:tcBorders>
              <w:top w:val="single" w:sz="4" w:space="0" w:color="000000"/>
              <w:left w:val="single" w:sz="4" w:space="0" w:color="000000"/>
              <w:bottom w:val="single" w:sz="4" w:space="0" w:color="000000"/>
              <w:right w:val="nil"/>
            </w:tcBorders>
            <w:vAlign w:val="center"/>
          </w:tcPr>
          <w:p w:rsidR="007F3DC3" w:rsidRPr="003E743A" w:rsidRDefault="007F3DC3" w:rsidP="00960124">
            <w:pPr>
              <w:tabs>
                <w:tab w:val="left" w:pos="2268"/>
                <w:tab w:val="left" w:pos="6237"/>
                <w:tab w:val="left" w:pos="7020"/>
              </w:tabs>
              <w:spacing w:after="0" w:line="240" w:lineRule="auto"/>
              <w:jc w:val="center"/>
              <w:rPr>
                <w:rFonts w:ascii="Times New Roman" w:eastAsia="Calibri" w:hAnsi="Times New Roman" w:cs="Times New Roman"/>
                <w:sz w:val="20"/>
                <w:szCs w:val="20"/>
                <w:lang w:eastAsia="fr-FR"/>
              </w:rPr>
            </w:pPr>
            <w:r w:rsidRPr="003E743A">
              <w:rPr>
                <w:rFonts w:ascii="Times New Roman" w:eastAsia="Arial" w:hAnsi="Times New Roman" w:cs="Times New Roman"/>
                <w:b/>
                <w:sz w:val="20"/>
                <w:szCs w:val="20"/>
              </w:rPr>
              <w:t>29</w:t>
            </w:r>
            <w:r w:rsidRPr="003E743A">
              <w:rPr>
                <w:rFonts w:ascii="Times New Roman" w:eastAsia="Arial" w:hAnsi="Times New Roman" w:cs="Times New Roman"/>
                <w:b/>
                <w:spacing w:val="1"/>
                <w:sz w:val="20"/>
                <w:szCs w:val="20"/>
              </w:rPr>
              <w:t>8</w:t>
            </w:r>
            <w:r w:rsidRPr="003E743A">
              <w:rPr>
                <w:rFonts w:ascii="Times New Roman" w:eastAsia="Arial" w:hAnsi="Times New Roman" w:cs="Times New Roman"/>
                <w:b/>
                <w:sz w:val="20"/>
                <w:szCs w:val="20"/>
              </w:rPr>
              <w:t>3</w:t>
            </w:r>
          </w:p>
        </w:tc>
        <w:tc>
          <w:tcPr>
            <w:tcW w:w="20" w:type="dxa"/>
            <w:tcBorders>
              <w:top w:val="single" w:sz="4" w:space="0" w:color="000000"/>
              <w:left w:val="nil"/>
              <w:bottom w:val="single" w:sz="4" w:space="0" w:color="000000"/>
              <w:right w:val="single" w:sz="4" w:space="0" w:color="000000"/>
            </w:tcBorders>
            <w:vAlign w:val="center"/>
          </w:tcPr>
          <w:p w:rsidR="007F3DC3" w:rsidRPr="003E743A" w:rsidRDefault="007F3DC3" w:rsidP="00960124">
            <w:pPr>
              <w:spacing w:line="240" w:lineRule="auto"/>
              <w:ind w:left="281" w:right="-20"/>
              <w:jc w:val="both"/>
              <w:rPr>
                <w:rFonts w:ascii="Times New Roman" w:eastAsia="Arial" w:hAnsi="Times New Roman" w:cs="Times New Roman"/>
                <w:b/>
                <w:sz w:val="20"/>
                <w:szCs w:val="20"/>
              </w:rPr>
            </w:pPr>
          </w:p>
        </w:tc>
      </w:tr>
      <w:tr w:rsidR="007F3DC3" w:rsidRPr="003E743A" w:rsidTr="00960124">
        <w:trPr>
          <w:gridAfter w:val="1"/>
          <w:wAfter w:w="20" w:type="dxa"/>
          <w:trHeight w:hRule="exact" w:val="284"/>
        </w:trPr>
        <w:tc>
          <w:tcPr>
            <w:tcW w:w="404" w:type="dxa"/>
            <w:tcBorders>
              <w:top w:val="single" w:sz="4" w:space="0" w:color="000000"/>
              <w:left w:val="single" w:sz="4" w:space="0" w:color="000000"/>
              <w:bottom w:val="single" w:sz="4" w:space="0" w:color="000000"/>
              <w:right w:val="nil"/>
            </w:tcBorders>
            <w:vAlign w:val="center"/>
          </w:tcPr>
          <w:p w:rsidR="007F3DC3" w:rsidRPr="003E743A" w:rsidRDefault="007F3DC3" w:rsidP="00960124">
            <w:pPr>
              <w:tabs>
                <w:tab w:val="left" w:pos="2268"/>
                <w:tab w:val="left" w:pos="6237"/>
                <w:tab w:val="left" w:pos="7020"/>
              </w:tabs>
              <w:spacing w:after="0" w:line="240" w:lineRule="auto"/>
              <w:jc w:val="center"/>
              <w:rPr>
                <w:rFonts w:ascii="Times New Roman" w:eastAsia="Calibri" w:hAnsi="Times New Roman" w:cs="Times New Roman"/>
                <w:b/>
                <w:sz w:val="20"/>
                <w:szCs w:val="20"/>
                <w:lang w:eastAsia="fr-FR"/>
              </w:rPr>
            </w:pPr>
          </w:p>
        </w:tc>
        <w:tc>
          <w:tcPr>
            <w:tcW w:w="172" w:type="dxa"/>
            <w:tcBorders>
              <w:top w:val="single" w:sz="4" w:space="0" w:color="000000"/>
              <w:left w:val="nil"/>
              <w:bottom w:val="single" w:sz="4" w:space="0" w:color="000000"/>
              <w:right w:val="single" w:sz="4" w:space="0" w:color="000000"/>
            </w:tcBorders>
            <w:vAlign w:val="center"/>
          </w:tcPr>
          <w:p w:rsidR="007F3DC3" w:rsidRPr="003E743A" w:rsidRDefault="007F3DC3" w:rsidP="00960124">
            <w:pPr>
              <w:tabs>
                <w:tab w:val="left" w:pos="2268"/>
                <w:tab w:val="left" w:pos="6237"/>
                <w:tab w:val="left" w:pos="7020"/>
              </w:tabs>
              <w:spacing w:after="0" w:line="240" w:lineRule="auto"/>
              <w:ind w:left="3"/>
              <w:jc w:val="center"/>
              <w:rPr>
                <w:rFonts w:ascii="Times New Roman" w:eastAsia="Arial" w:hAnsi="Times New Roman" w:cs="Times New Roman"/>
                <w:b/>
                <w:sz w:val="20"/>
                <w:szCs w:val="20"/>
                <w:lang w:eastAsia="fr-FR"/>
              </w:rPr>
            </w:pPr>
            <w:r w:rsidRPr="003E743A">
              <w:rPr>
                <w:rFonts w:ascii="Times New Roman" w:eastAsia="Arial" w:hAnsi="Times New Roman" w:cs="Times New Roman"/>
                <w:b/>
                <w:sz w:val="20"/>
                <w:szCs w:val="20"/>
                <w:lang w:eastAsia="fr-FR"/>
              </w:rPr>
              <w:t>2</w:t>
            </w:r>
          </w:p>
        </w:tc>
        <w:tc>
          <w:tcPr>
            <w:tcW w:w="2403" w:type="dxa"/>
            <w:tcBorders>
              <w:top w:val="single" w:sz="4" w:space="0" w:color="000000"/>
              <w:left w:val="single" w:sz="4" w:space="0" w:color="000000"/>
              <w:bottom w:val="single" w:sz="4" w:space="0" w:color="000000"/>
              <w:right w:val="single" w:sz="4" w:space="0" w:color="000000"/>
            </w:tcBorders>
            <w:vAlign w:val="center"/>
          </w:tcPr>
          <w:p w:rsidR="007F3DC3" w:rsidRPr="003E743A" w:rsidRDefault="007F3DC3" w:rsidP="00960124">
            <w:pPr>
              <w:tabs>
                <w:tab w:val="left" w:pos="2268"/>
                <w:tab w:val="left" w:pos="6237"/>
                <w:tab w:val="left" w:pos="7020"/>
              </w:tabs>
              <w:spacing w:after="0" w:line="240" w:lineRule="auto"/>
              <w:ind w:left="63" w:right="-20"/>
              <w:jc w:val="center"/>
              <w:rPr>
                <w:rFonts w:ascii="Times New Roman" w:eastAsia="Arial" w:hAnsi="Times New Roman" w:cs="Times New Roman"/>
                <w:sz w:val="20"/>
                <w:szCs w:val="20"/>
                <w:lang w:eastAsia="fr-FR"/>
              </w:rPr>
            </w:pPr>
            <w:r w:rsidRPr="003E743A">
              <w:rPr>
                <w:rFonts w:ascii="Times New Roman" w:eastAsia="Arial" w:hAnsi="Times New Roman" w:cs="Times New Roman"/>
                <w:spacing w:val="2"/>
                <w:sz w:val="20"/>
                <w:szCs w:val="20"/>
                <w:lang w:eastAsia="fr-FR"/>
              </w:rPr>
              <w:t>C</w:t>
            </w:r>
            <w:r w:rsidRPr="003E743A">
              <w:rPr>
                <w:rFonts w:ascii="Times New Roman" w:eastAsia="Arial" w:hAnsi="Times New Roman" w:cs="Times New Roman"/>
                <w:spacing w:val="-1"/>
                <w:sz w:val="20"/>
                <w:szCs w:val="20"/>
                <w:lang w:eastAsia="fr-FR"/>
              </w:rPr>
              <w:t>h</w:t>
            </w:r>
            <w:r w:rsidRPr="003E743A">
              <w:rPr>
                <w:rFonts w:ascii="Times New Roman" w:eastAsia="Arial" w:hAnsi="Times New Roman" w:cs="Times New Roman"/>
                <w:spacing w:val="1"/>
                <w:sz w:val="20"/>
                <w:szCs w:val="20"/>
                <w:lang w:eastAsia="fr-FR"/>
              </w:rPr>
              <w:t>a</w:t>
            </w:r>
            <w:r w:rsidRPr="003E743A">
              <w:rPr>
                <w:rFonts w:ascii="Times New Roman" w:eastAsia="Arial" w:hAnsi="Times New Roman" w:cs="Times New Roman"/>
                <w:sz w:val="20"/>
                <w:szCs w:val="20"/>
                <w:lang w:eastAsia="fr-FR"/>
              </w:rPr>
              <w:t xml:space="preserve">o de </w:t>
            </w:r>
            <w:r w:rsidRPr="003E743A">
              <w:rPr>
                <w:rFonts w:ascii="Times New Roman" w:eastAsia="Arial" w:hAnsi="Times New Roman" w:cs="Times New Roman"/>
                <w:spacing w:val="1"/>
                <w:sz w:val="20"/>
                <w:szCs w:val="20"/>
                <w:lang w:eastAsia="fr-FR"/>
              </w:rPr>
              <w:t>Pa</w:t>
            </w:r>
            <w:r w:rsidRPr="003E743A">
              <w:rPr>
                <w:rFonts w:ascii="Times New Roman" w:eastAsia="Arial" w:hAnsi="Times New Roman" w:cs="Times New Roman"/>
                <w:sz w:val="20"/>
                <w:szCs w:val="20"/>
                <w:lang w:eastAsia="fr-FR"/>
              </w:rPr>
              <w:t>pel</w:t>
            </w:r>
          </w:p>
        </w:tc>
        <w:tc>
          <w:tcPr>
            <w:tcW w:w="2109" w:type="dxa"/>
            <w:tcBorders>
              <w:top w:val="single" w:sz="4" w:space="0" w:color="000000"/>
              <w:left w:val="single" w:sz="4" w:space="0" w:color="000000"/>
              <w:bottom w:val="single" w:sz="4" w:space="0" w:color="000000"/>
              <w:right w:val="nil"/>
            </w:tcBorders>
            <w:vAlign w:val="center"/>
          </w:tcPr>
          <w:p w:rsidR="007F3DC3" w:rsidRPr="003E743A" w:rsidRDefault="007F3DC3" w:rsidP="00960124">
            <w:pPr>
              <w:tabs>
                <w:tab w:val="left" w:pos="2268"/>
                <w:tab w:val="left" w:pos="6237"/>
                <w:tab w:val="left" w:pos="7020"/>
              </w:tabs>
              <w:spacing w:after="0" w:line="240" w:lineRule="auto"/>
              <w:jc w:val="center"/>
              <w:rPr>
                <w:rFonts w:ascii="Times New Roman" w:eastAsia="Calibri" w:hAnsi="Times New Roman" w:cs="Times New Roman"/>
                <w:sz w:val="20"/>
                <w:szCs w:val="20"/>
                <w:lang w:eastAsia="fr-FR"/>
              </w:rPr>
            </w:pPr>
            <w:r w:rsidRPr="003E743A">
              <w:rPr>
                <w:rFonts w:ascii="Times New Roman" w:eastAsia="Arial" w:hAnsi="Times New Roman" w:cs="Times New Roman"/>
                <w:b/>
                <w:sz w:val="20"/>
                <w:szCs w:val="20"/>
                <w:lang w:eastAsia="fr-FR"/>
              </w:rPr>
              <w:t>69</w:t>
            </w:r>
          </w:p>
        </w:tc>
        <w:tc>
          <w:tcPr>
            <w:tcW w:w="25" w:type="dxa"/>
            <w:tcBorders>
              <w:top w:val="single" w:sz="4" w:space="0" w:color="000000"/>
              <w:left w:val="nil"/>
              <w:bottom w:val="single" w:sz="4" w:space="0" w:color="000000"/>
              <w:right w:val="single" w:sz="4" w:space="0" w:color="000000"/>
            </w:tcBorders>
            <w:vAlign w:val="center"/>
          </w:tcPr>
          <w:p w:rsidR="007F3DC3" w:rsidRPr="003E743A" w:rsidRDefault="007F3DC3" w:rsidP="00960124">
            <w:pPr>
              <w:tabs>
                <w:tab w:val="left" w:pos="2268"/>
                <w:tab w:val="left" w:pos="6237"/>
                <w:tab w:val="left" w:pos="7020"/>
              </w:tabs>
              <w:spacing w:after="0" w:line="240" w:lineRule="auto"/>
              <w:ind w:left="340" w:right="-20"/>
              <w:jc w:val="center"/>
              <w:rPr>
                <w:rFonts w:ascii="Times New Roman" w:eastAsia="Arial" w:hAnsi="Times New Roman" w:cs="Times New Roman"/>
                <w:b/>
                <w:sz w:val="20"/>
                <w:szCs w:val="20"/>
                <w:lang w:eastAsia="fr-FR"/>
              </w:rPr>
            </w:pPr>
          </w:p>
        </w:tc>
        <w:tc>
          <w:tcPr>
            <w:tcW w:w="3519" w:type="dxa"/>
            <w:tcBorders>
              <w:top w:val="single" w:sz="4" w:space="0" w:color="000000"/>
              <w:left w:val="single" w:sz="4" w:space="0" w:color="000000"/>
              <w:bottom w:val="single" w:sz="4" w:space="0" w:color="000000"/>
              <w:right w:val="nil"/>
            </w:tcBorders>
            <w:vAlign w:val="center"/>
          </w:tcPr>
          <w:p w:rsidR="007F3DC3" w:rsidRPr="003E743A" w:rsidRDefault="007F3DC3" w:rsidP="00960124">
            <w:pPr>
              <w:tabs>
                <w:tab w:val="left" w:pos="2268"/>
                <w:tab w:val="left" w:pos="6237"/>
                <w:tab w:val="left" w:pos="7020"/>
              </w:tabs>
              <w:spacing w:after="0" w:line="240" w:lineRule="auto"/>
              <w:jc w:val="center"/>
              <w:rPr>
                <w:rFonts w:ascii="Times New Roman" w:eastAsia="Calibri" w:hAnsi="Times New Roman" w:cs="Times New Roman"/>
                <w:sz w:val="20"/>
                <w:szCs w:val="20"/>
                <w:lang w:eastAsia="fr-FR"/>
              </w:rPr>
            </w:pPr>
            <w:r w:rsidRPr="003E743A">
              <w:rPr>
                <w:rFonts w:ascii="Times New Roman" w:eastAsia="Arial" w:hAnsi="Times New Roman" w:cs="Times New Roman"/>
                <w:b/>
                <w:sz w:val="20"/>
                <w:szCs w:val="20"/>
              </w:rPr>
              <w:t>37</w:t>
            </w:r>
            <w:r w:rsidRPr="003E743A">
              <w:rPr>
                <w:rFonts w:ascii="Times New Roman" w:eastAsia="Arial" w:hAnsi="Times New Roman" w:cs="Times New Roman"/>
                <w:b/>
                <w:spacing w:val="1"/>
                <w:sz w:val="20"/>
                <w:szCs w:val="20"/>
              </w:rPr>
              <w:t>0</w:t>
            </w:r>
            <w:r w:rsidRPr="003E743A">
              <w:rPr>
                <w:rFonts w:ascii="Times New Roman" w:eastAsia="Arial" w:hAnsi="Times New Roman" w:cs="Times New Roman"/>
                <w:b/>
                <w:sz w:val="20"/>
                <w:szCs w:val="20"/>
              </w:rPr>
              <w:t>5</w:t>
            </w:r>
          </w:p>
        </w:tc>
        <w:tc>
          <w:tcPr>
            <w:tcW w:w="20" w:type="dxa"/>
            <w:tcBorders>
              <w:top w:val="single" w:sz="4" w:space="0" w:color="000000"/>
              <w:left w:val="nil"/>
              <w:bottom w:val="single" w:sz="4" w:space="0" w:color="000000"/>
              <w:right w:val="single" w:sz="4" w:space="0" w:color="000000"/>
            </w:tcBorders>
            <w:vAlign w:val="center"/>
          </w:tcPr>
          <w:p w:rsidR="007F3DC3" w:rsidRPr="003E743A" w:rsidRDefault="007F3DC3" w:rsidP="00960124">
            <w:pPr>
              <w:spacing w:line="240" w:lineRule="auto"/>
              <w:ind w:left="281" w:right="-20"/>
              <w:jc w:val="both"/>
              <w:rPr>
                <w:rFonts w:ascii="Times New Roman" w:eastAsia="Arial" w:hAnsi="Times New Roman" w:cs="Times New Roman"/>
                <w:b/>
                <w:sz w:val="20"/>
                <w:szCs w:val="20"/>
              </w:rPr>
            </w:pPr>
          </w:p>
        </w:tc>
      </w:tr>
      <w:tr w:rsidR="007F3DC3" w:rsidRPr="003E743A" w:rsidTr="00960124">
        <w:trPr>
          <w:gridAfter w:val="1"/>
          <w:wAfter w:w="20" w:type="dxa"/>
          <w:trHeight w:hRule="exact" w:val="287"/>
        </w:trPr>
        <w:tc>
          <w:tcPr>
            <w:tcW w:w="404" w:type="dxa"/>
            <w:tcBorders>
              <w:top w:val="single" w:sz="4" w:space="0" w:color="000000"/>
              <w:left w:val="single" w:sz="4" w:space="0" w:color="000000"/>
              <w:bottom w:val="single" w:sz="4" w:space="0" w:color="000000"/>
              <w:right w:val="nil"/>
            </w:tcBorders>
            <w:vAlign w:val="center"/>
          </w:tcPr>
          <w:p w:rsidR="007F3DC3" w:rsidRPr="003E743A" w:rsidRDefault="007F3DC3" w:rsidP="00960124">
            <w:pPr>
              <w:tabs>
                <w:tab w:val="left" w:pos="2268"/>
                <w:tab w:val="left" w:pos="6237"/>
                <w:tab w:val="left" w:pos="7020"/>
              </w:tabs>
              <w:spacing w:after="0" w:line="240" w:lineRule="auto"/>
              <w:jc w:val="center"/>
              <w:rPr>
                <w:rFonts w:ascii="Times New Roman" w:eastAsia="Calibri" w:hAnsi="Times New Roman" w:cs="Times New Roman"/>
                <w:b/>
                <w:sz w:val="20"/>
                <w:szCs w:val="20"/>
                <w:lang w:eastAsia="fr-FR"/>
              </w:rPr>
            </w:pPr>
          </w:p>
        </w:tc>
        <w:tc>
          <w:tcPr>
            <w:tcW w:w="172" w:type="dxa"/>
            <w:tcBorders>
              <w:top w:val="single" w:sz="4" w:space="0" w:color="000000"/>
              <w:left w:val="nil"/>
              <w:bottom w:val="single" w:sz="4" w:space="0" w:color="000000"/>
              <w:right w:val="single" w:sz="4" w:space="0" w:color="000000"/>
            </w:tcBorders>
            <w:vAlign w:val="center"/>
          </w:tcPr>
          <w:p w:rsidR="007F3DC3" w:rsidRPr="003E743A" w:rsidRDefault="007F3DC3" w:rsidP="00960124">
            <w:pPr>
              <w:tabs>
                <w:tab w:val="left" w:pos="2268"/>
                <w:tab w:val="left" w:pos="6237"/>
                <w:tab w:val="left" w:pos="7020"/>
              </w:tabs>
              <w:spacing w:after="0" w:line="240" w:lineRule="auto"/>
              <w:ind w:left="3"/>
              <w:jc w:val="center"/>
              <w:rPr>
                <w:rFonts w:ascii="Times New Roman" w:eastAsia="Arial" w:hAnsi="Times New Roman" w:cs="Times New Roman"/>
                <w:b/>
                <w:sz w:val="20"/>
                <w:szCs w:val="20"/>
                <w:lang w:eastAsia="fr-FR"/>
              </w:rPr>
            </w:pPr>
            <w:r w:rsidRPr="003E743A">
              <w:rPr>
                <w:rFonts w:ascii="Times New Roman" w:eastAsia="Arial" w:hAnsi="Times New Roman" w:cs="Times New Roman"/>
                <w:b/>
                <w:sz w:val="20"/>
                <w:szCs w:val="20"/>
                <w:lang w:eastAsia="fr-FR"/>
              </w:rPr>
              <w:t>3</w:t>
            </w:r>
          </w:p>
        </w:tc>
        <w:tc>
          <w:tcPr>
            <w:tcW w:w="2403" w:type="dxa"/>
            <w:tcBorders>
              <w:top w:val="single" w:sz="4" w:space="0" w:color="000000"/>
              <w:left w:val="single" w:sz="4" w:space="0" w:color="000000"/>
              <w:bottom w:val="single" w:sz="4" w:space="0" w:color="000000"/>
              <w:right w:val="single" w:sz="4" w:space="0" w:color="000000"/>
            </w:tcBorders>
            <w:vAlign w:val="center"/>
          </w:tcPr>
          <w:p w:rsidR="007F3DC3" w:rsidRPr="003E743A" w:rsidRDefault="007F3DC3" w:rsidP="00960124">
            <w:pPr>
              <w:tabs>
                <w:tab w:val="left" w:pos="2268"/>
                <w:tab w:val="left" w:pos="6237"/>
                <w:tab w:val="left" w:pos="7020"/>
              </w:tabs>
              <w:spacing w:after="0" w:line="240" w:lineRule="auto"/>
              <w:ind w:left="63" w:right="-20"/>
              <w:jc w:val="center"/>
              <w:rPr>
                <w:rFonts w:ascii="Times New Roman" w:eastAsia="Arial" w:hAnsi="Times New Roman" w:cs="Times New Roman"/>
                <w:sz w:val="20"/>
                <w:szCs w:val="20"/>
                <w:lang w:eastAsia="fr-FR"/>
              </w:rPr>
            </w:pPr>
            <w:r w:rsidRPr="003E743A">
              <w:rPr>
                <w:rFonts w:ascii="Times New Roman" w:eastAsia="Arial" w:hAnsi="Times New Roman" w:cs="Times New Roman"/>
                <w:spacing w:val="2"/>
                <w:sz w:val="20"/>
                <w:szCs w:val="20"/>
                <w:lang w:eastAsia="fr-FR"/>
              </w:rPr>
              <w:t>S</w:t>
            </w:r>
            <w:r w:rsidRPr="003E743A">
              <w:rPr>
                <w:rFonts w:ascii="Times New Roman" w:eastAsia="Arial" w:hAnsi="Times New Roman" w:cs="Times New Roman"/>
                <w:sz w:val="20"/>
                <w:szCs w:val="20"/>
                <w:lang w:eastAsia="fr-FR"/>
              </w:rPr>
              <w:t>a</w:t>
            </w:r>
            <w:r w:rsidRPr="003E743A">
              <w:rPr>
                <w:rFonts w:ascii="Times New Roman" w:eastAsia="Arial" w:hAnsi="Times New Roman" w:cs="Times New Roman"/>
                <w:spacing w:val="-1"/>
                <w:sz w:val="20"/>
                <w:szCs w:val="20"/>
                <w:lang w:eastAsia="fr-FR"/>
              </w:rPr>
              <w:t>n</w:t>
            </w:r>
            <w:r w:rsidRPr="003E743A">
              <w:rPr>
                <w:rFonts w:ascii="Times New Roman" w:eastAsia="Arial" w:hAnsi="Times New Roman" w:cs="Times New Roman"/>
                <w:sz w:val="20"/>
                <w:szCs w:val="20"/>
                <w:lang w:eastAsia="fr-FR"/>
              </w:rPr>
              <w:t>ta L</w:t>
            </w:r>
            <w:r w:rsidRPr="003E743A">
              <w:rPr>
                <w:rFonts w:ascii="Times New Roman" w:eastAsia="Arial" w:hAnsi="Times New Roman" w:cs="Times New Roman"/>
                <w:spacing w:val="-1"/>
                <w:sz w:val="20"/>
                <w:szCs w:val="20"/>
                <w:lang w:eastAsia="fr-FR"/>
              </w:rPr>
              <w:t>u</w:t>
            </w:r>
            <w:r w:rsidRPr="003E743A">
              <w:rPr>
                <w:rFonts w:ascii="Times New Roman" w:eastAsia="Arial" w:hAnsi="Times New Roman" w:cs="Times New Roman"/>
                <w:spacing w:val="1"/>
                <w:sz w:val="20"/>
                <w:szCs w:val="20"/>
                <w:lang w:eastAsia="fr-FR"/>
              </w:rPr>
              <w:t>zia</w:t>
            </w:r>
          </w:p>
        </w:tc>
        <w:tc>
          <w:tcPr>
            <w:tcW w:w="2109" w:type="dxa"/>
            <w:tcBorders>
              <w:top w:val="single" w:sz="4" w:space="0" w:color="000000"/>
              <w:left w:val="single" w:sz="4" w:space="0" w:color="000000"/>
              <w:bottom w:val="single" w:sz="4" w:space="0" w:color="000000"/>
              <w:right w:val="nil"/>
            </w:tcBorders>
            <w:vAlign w:val="center"/>
          </w:tcPr>
          <w:p w:rsidR="007F3DC3" w:rsidRPr="003E743A" w:rsidRDefault="007F3DC3" w:rsidP="00960124">
            <w:pPr>
              <w:tabs>
                <w:tab w:val="left" w:pos="2268"/>
                <w:tab w:val="left" w:pos="6237"/>
                <w:tab w:val="left" w:pos="7020"/>
              </w:tabs>
              <w:spacing w:after="0" w:line="240" w:lineRule="auto"/>
              <w:jc w:val="center"/>
              <w:rPr>
                <w:rFonts w:ascii="Times New Roman" w:eastAsia="Calibri" w:hAnsi="Times New Roman" w:cs="Times New Roman"/>
                <w:sz w:val="20"/>
                <w:szCs w:val="20"/>
                <w:lang w:eastAsia="fr-FR"/>
              </w:rPr>
            </w:pPr>
            <w:r w:rsidRPr="003E743A">
              <w:rPr>
                <w:rFonts w:ascii="Times New Roman" w:eastAsia="Arial" w:hAnsi="Times New Roman" w:cs="Times New Roman"/>
                <w:b/>
                <w:sz w:val="20"/>
                <w:szCs w:val="20"/>
                <w:lang w:eastAsia="fr-FR"/>
              </w:rPr>
              <w:t>31</w:t>
            </w:r>
          </w:p>
        </w:tc>
        <w:tc>
          <w:tcPr>
            <w:tcW w:w="25" w:type="dxa"/>
            <w:tcBorders>
              <w:top w:val="single" w:sz="4" w:space="0" w:color="000000"/>
              <w:left w:val="nil"/>
              <w:bottom w:val="single" w:sz="4" w:space="0" w:color="000000"/>
              <w:right w:val="single" w:sz="4" w:space="0" w:color="000000"/>
            </w:tcBorders>
            <w:vAlign w:val="center"/>
          </w:tcPr>
          <w:p w:rsidR="007F3DC3" w:rsidRPr="003E743A" w:rsidRDefault="007F3DC3" w:rsidP="00960124">
            <w:pPr>
              <w:tabs>
                <w:tab w:val="left" w:pos="2268"/>
                <w:tab w:val="left" w:pos="6237"/>
                <w:tab w:val="left" w:pos="7020"/>
              </w:tabs>
              <w:spacing w:after="0" w:line="240" w:lineRule="auto"/>
              <w:ind w:left="340" w:right="-20"/>
              <w:jc w:val="center"/>
              <w:rPr>
                <w:rFonts w:ascii="Times New Roman" w:eastAsia="Arial" w:hAnsi="Times New Roman" w:cs="Times New Roman"/>
                <w:b/>
                <w:sz w:val="20"/>
                <w:szCs w:val="20"/>
                <w:lang w:eastAsia="fr-FR"/>
              </w:rPr>
            </w:pPr>
          </w:p>
        </w:tc>
        <w:tc>
          <w:tcPr>
            <w:tcW w:w="3519" w:type="dxa"/>
            <w:tcBorders>
              <w:top w:val="single" w:sz="4" w:space="0" w:color="000000"/>
              <w:left w:val="single" w:sz="4" w:space="0" w:color="000000"/>
              <w:bottom w:val="single" w:sz="4" w:space="0" w:color="000000"/>
              <w:right w:val="nil"/>
            </w:tcBorders>
            <w:vAlign w:val="center"/>
          </w:tcPr>
          <w:p w:rsidR="007F3DC3" w:rsidRPr="003E743A" w:rsidRDefault="007F3DC3" w:rsidP="00960124">
            <w:pPr>
              <w:tabs>
                <w:tab w:val="left" w:pos="2268"/>
                <w:tab w:val="left" w:pos="6237"/>
                <w:tab w:val="left" w:pos="7020"/>
              </w:tabs>
              <w:spacing w:after="0" w:line="240" w:lineRule="auto"/>
              <w:jc w:val="center"/>
              <w:rPr>
                <w:rFonts w:ascii="Times New Roman" w:eastAsia="Calibri" w:hAnsi="Times New Roman" w:cs="Times New Roman"/>
                <w:sz w:val="20"/>
                <w:szCs w:val="20"/>
                <w:lang w:eastAsia="fr-FR"/>
              </w:rPr>
            </w:pPr>
            <w:r w:rsidRPr="003E743A">
              <w:rPr>
                <w:rFonts w:ascii="Times New Roman" w:eastAsia="Arial" w:hAnsi="Times New Roman" w:cs="Times New Roman"/>
                <w:b/>
                <w:sz w:val="20"/>
                <w:szCs w:val="20"/>
              </w:rPr>
              <w:t>42</w:t>
            </w:r>
            <w:r w:rsidRPr="003E743A">
              <w:rPr>
                <w:rFonts w:ascii="Times New Roman" w:eastAsia="Arial" w:hAnsi="Times New Roman" w:cs="Times New Roman"/>
                <w:b/>
                <w:spacing w:val="1"/>
                <w:sz w:val="20"/>
                <w:szCs w:val="20"/>
              </w:rPr>
              <w:t>5</w:t>
            </w:r>
            <w:r w:rsidRPr="003E743A">
              <w:rPr>
                <w:rFonts w:ascii="Times New Roman" w:eastAsia="Arial" w:hAnsi="Times New Roman" w:cs="Times New Roman"/>
                <w:b/>
                <w:sz w:val="20"/>
                <w:szCs w:val="20"/>
              </w:rPr>
              <w:t>8</w:t>
            </w:r>
          </w:p>
        </w:tc>
        <w:tc>
          <w:tcPr>
            <w:tcW w:w="20" w:type="dxa"/>
            <w:tcBorders>
              <w:top w:val="single" w:sz="4" w:space="0" w:color="000000"/>
              <w:left w:val="nil"/>
              <w:bottom w:val="single" w:sz="4" w:space="0" w:color="000000"/>
              <w:right w:val="single" w:sz="4" w:space="0" w:color="000000"/>
            </w:tcBorders>
            <w:vAlign w:val="center"/>
          </w:tcPr>
          <w:p w:rsidR="007F3DC3" w:rsidRPr="003E743A" w:rsidRDefault="007F3DC3" w:rsidP="00960124">
            <w:pPr>
              <w:spacing w:line="240" w:lineRule="auto"/>
              <w:ind w:left="281" w:right="-20"/>
              <w:jc w:val="both"/>
              <w:rPr>
                <w:rFonts w:ascii="Times New Roman" w:eastAsia="Arial" w:hAnsi="Times New Roman" w:cs="Times New Roman"/>
                <w:b/>
                <w:sz w:val="20"/>
                <w:szCs w:val="20"/>
              </w:rPr>
            </w:pPr>
          </w:p>
        </w:tc>
      </w:tr>
      <w:tr w:rsidR="007F3DC3" w:rsidRPr="003E743A" w:rsidTr="00960124">
        <w:trPr>
          <w:gridAfter w:val="1"/>
          <w:wAfter w:w="20" w:type="dxa"/>
          <w:trHeight w:hRule="exact" w:val="264"/>
        </w:trPr>
        <w:tc>
          <w:tcPr>
            <w:tcW w:w="404" w:type="dxa"/>
            <w:tcBorders>
              <w:top w:val="single" w:sz="4" w:space="0" w:color="000000"/>
              <w:left w:val="single" w:sz="4" w:space="0" w:color="000000"/>
              <w:bottom w:val="single" w:sz="4" w:space="0" w:color="000000"/>
              <w:right w:val="nil"/>
            </w:tcBorders>
            <w:vAlign w:val="center"/>
          </w:tcPr>
          <w:p w:rsidR="007F3DC3" w:rsidRPr="003E743A" w:rsidRDefault="007F3DC3" w:rsidP="00960124">
            <w:pPr>
              <w:tabs>
                <w:tab w:val="left" w:pos="2268"/>
                <w:tab w:val="left" w:pos="6237"/>
                <w:tab w:val="left" w:pos="7020"/>
              </w:tabs>
              <w:spacing w:after="0" w:line="240" w:lineRule="auto"/>
              <w:jc w:val="center"/>
              <w:rPr>
                <w:rFonts w:ascii="Times New Roman" w:eastAsia="Calibri" w:hAnsi="Times New Roman" w:cs="Times New Roman"/>
                <w:b/>
                <w:sz w:val="20"/>
                <w:szCs w:val="20"/>
                <w:lang w:eastAsia="fr-FR"/>
              </w:rPr>
            </w:pPr>
          </w:p>
        </w:tc>
        <w:tc>
          <w:tcPr>
            <w:tcW w:w="172" w:type="dxa"/>
            <w:tcBorders>
              <w:top w:val="single" w:sz="4" w:space="0" w:color="000000"/>
              <w:left w:val="nil"/>
              <w:bottom w:val="single" w:sz="4" w:space="0" w:color="000000"/>
              <w:right w:val="single" w:sz="4" w:space="0" w:color="000000"/>
            </w:tcBorders>
            <w:vAlign w:val="center"/>
          </w:tcPr>
          <w:p w:rsidR="007F3DC3" w:rsidRPr="003E743A" w:rsidRDefault="007F3DC3" w:rsidP="00960124">
            <w:pPr>
              <w:tabs>
                <w:tab w:val="left" w:pos="2268"/>
                <w:tab w:val="left" w:pos="6237"/>
                <w:tab w:val="left" w:pos="7020"/>
              </w:tabs>
              <w:spacing w:after="0" w:line="240" w:lineRule="auto"/>
              <w:ind w:left="3"/>
              <w:jc w:val="center"/>
              <w:rPr>
                <w:rFonts w:ascii="Times New Roman" w:eastAsia="Arial" w:hAnsi="Times New Roman" w:cs="Times New Roman"/>
                <w:b/>
                <w:sz w:val="20"/>
                <w:szCs w:val="20"/>
                <w:lang w:eastAsia="fr-FR"/>
              </w:rPr>
            </w:pPr>
            <w:r w:rsidRPr="003E743A">
              <w:rPr>
                <w:rFonts w:ascii="Times New Roman" w:eastAsia="Arial" w:hAnsi="Times New Roman" w:cs="Times New Roman"/>
                <w:b/>
                <w:sz w:val="20"/>
                <w:szCs w:val="20"/>
                <w:lang w:eastAsia="fr-FR"/>
              </w:rPr>
              <w:t>4</w:t>
            </w:r>
          </w:p>
        </w:tc>
        <w:tc>
          <w:tcPr>
            <w:tcW w:w="2403" w:type="dxa"/>
            <w:tcBorders>
              <w:top w:val="single" w:sz="4" w:space="0" w:color="000000"/>
              <w:left w:val="single" w:sz="4" w:space="0" w:color="000000"/>
              <w:bottom w:val="single" w:sz="4" w:space="0" w:color="000000"/>
              <w:right w:val="single" w:sz="4" w:space="0" w:color="000000"/>
            </w:tcBorders>
            <w:vAlign w:val="center"/>
          </w:tcPr>
          <w:p w:rsidR="007F3DC3" w:rsidRPr="003E743A" w:rsidRDefault="007F3DC3" w:rsidP="00960124">
            <w:pPr>
              <w:tabs>
                <w:tab w:val="left" w:pos="2268"/>
                <w:tab w:val="left" w:pos="6237"/>
                <w:tab w:val="left" w:pos="7020"/>
              </w:tabs>
              <w:spacing w:after="0" w:line="240" w:lineRule="auto"/>
              <w:ind w:left="63" w:right="-20"/>
              <w:jc w:val="center"/>
              <w:rPr>
                <w:rFonts w:ascii="Times New Roman" w:eastAsia="Arial" w:hAnsi="Times New Roman" w:cs="Times New Roman"/>
                <w:sz w:val="20"/>
                <w:szCs w:val="20"/>
                <w:lang w:eastAsia="fr-FR"/>
              </w:rPr>
            </w:pPr>
            <w:r w:rsidRPr="003E743A">
              <w:rPr>
                <w:rFonts w:ascii="Times New Roman" w:eastAsia="Arial" w:hAnsi="Times New Roman" w:cs="Times New Roman"/>
                <w:spacing w:val="4"/>
                <w:sz w:val="20"/>
                <w:szCs w:val="20"/>
                <w:lang w:eastAsia="fr-FR"/>
              </w:rPr>
              <w:t>M</w:t>
            </w:r>
            <w:r w:rsidRPr="003E743A">
              <w:rPr>
                <w:rFonts w:ascii="Times New Roman" w:eastAsia="Arial" w:hAnsi="Times New Roman" w:cs="Times New Roman"/>
                <w:sz w:val="20"/>
                <w:szCs w:val="20"/>
                <w:lang w:eastAsia="fr-FR"/>
              </w:rPr>
              <w:t>iss</w:t>
            </w:r>
            <w:r w:rsidRPr="003E743A">
              <w:rPr>
                <w:rFonts w:ascii="Times New Roman" w:eastAsia="Arial" w:hAnsi="Times New Roman" w:cs="Times New Roman"/>
                <w:spacing w:val="-1"/>
                <w:sz w:val="20"/>
                <w:szCs w:val="20"/>
                <w:lang w:eastAsia="fr-FR"/>
              </w:rPr>
              <w:t>i</w:t>
            </w:r>
            <w:r w:rsidRPr="003E743A">
              <w:rPr>
                <w:rFonts w:ascii="Times New Roman" w:eastAsia="Arial" w:hAnsi="Times New Roman" w:cs="Times New Roman"/>
                <w:sz w:val="20"/>
                <w:szCs w:val="20"/>
                <w:lang w:eastAsia="fr-FR"/>
              </w:rPr>
              <w:t>ra</w:t>
            </w:r>
          </w:p>
        </w:tc>
        <w:tc>
          <w:tcPr>
            <w:tcW w:w="2109" w:type="dxa"/>
            <w:tcBorders>
              <w:top w:val="single" w:sz="4" w:space="0" w:color="000000"/>
              <w:left w:val="single" w:sz="4" w:space="0" w:color="000000"/>
              <w:bottom w:val="single" w:sz="4" w:space="0" w:color="000000"/>
              <w:right w:val="nil"/>
            </w:tcBorders>
            <w:vAlign w:val="center"/>
          </w:tcPr>
          <w:p w:rsidR="007F3DC3" w:rsidRPr="003E743A" w:rsidRDefault="007F3DC3" w:rsidP="00960124">
            <w:pPr>
              <w:tabs>
                <w:tab w:val="left" w:pos="2268"/>
                <w:tab w:val="left" w:pos="6237"/>
                <w:tab w:val="left" w:pos="7020"/>
              </w:tabs>
              <w:spacing w:after="0" w:line="240" w:lineRule="auto"/>
              <w:jc w:val="center"/>
              <w:rPr>
                <w:rFonts w:ascii="Times New Roman" w:eastAsia="Calibri" w:hAnsi="Times New Roman" w:cs="Times New Roman"/>
                <w:sz w:val="20"/>
                <w:szCs w:val="20"/>
                <w:lang w:eastAsia="fr-FR"/>
              </w:rPr>
            </w:pPr>
            <w:r w:rsidRPr="003E743A">
              <w:rPr>
                <w:rFonts w:ascii="Times New Roman" w:eastAsia="Arial" w:hAnsi="Times New Roman" w:cs="Times New Roman"/>
                <w:b/>
                <w:sz w:val="20"/>
                <w:szCs w:val="20"/>
                <w:lang w:eastAsia="fr-FR"/>
              </w:rPr>
              <w:t>73</w:t>
            </w:r>
          </w:p>
        </w:tc>
        <w:tc>
          <w:tcPr>
            <w:tcW w:w="25" w:type="dxa"/>
            <w:tcBorders>
              <w:top w:val="single" w:sz="4" w:space="0" w:color="000000"/>
              <w:left w:val="nil"/>
              <w:bottom w:val="single" w:sz="4" w:space="0" w:color="000000"/>
              <w:right w:val="single" w:sz="4" w:space="0" w:color="000000"/>
            </w:tcBorders>
            <w:vAlign w:val="center"/>
          </w:tcPr>
          <w:p w:rsidR="007F3DC3" w:rsidRPr="003E743A" w:rsidRDefault="007F3DC3" w:rsidP="00960124">
            <w:pPr>
              <w:tabs>
                <w:tab w:val="left" w:pos="2268"/>
                <w:tab w:val="left" w:pos="6237"/>
                <w:tab w:val="left" w:pos="7020"/>
              </w:tabs>
              <w:spacing w:after="0" w:line="240" w:lineRule="auto"/>
              <w:ind w:left="340" w:right="-20"/>
              <w:jc w:val="center"/>
              <w:rPr>
                <w:rFonts w:ascii="Times New Roman" w:eastAsia="Arial" w:hAnsi="Times New Roman" w:cs="Times New Roman"/>
                <w:b/>
                <w:sz w:val="20"/>
                <w:szCs w:val="20"/>
                <w:lang w:eastAsia="fr-FR"/>
              </w:rPr>
            </w:pPr>
          </w:p>
        </w:tc>
        <w:tc>
          <w:tcPr>
            <w:tcW w:w="3519" w:type="dxa"/>
            <w:tcBorders>
              <w:top w:val="single" w:sz="4" w:space="0" w:color="000000"/>
              <w:left w:val="single" w:sz="4" w:space="0" w:color="000000"/>
              <w:bottom w:val="single" w:sz="4" w:space="0" w:color="000000"/>
              <w:right w:val="nil"/>
            </w:tcBorders>
            <w:vAlign w:val="center"/>
          </w:tcPr>
          <w:p w:rsidR="007F3DC3" w:rsidRPr="003E743A" w:rsidRDefault="007F3DC3" w:rsidP="00960124">
            <w:pPr>
              <w:tabs>
                <w:tab w:val="left" w:pos="2268"/>
                <w:tab w:val="left" w:pos="6237"/>
                <w:tab w:val="left" w:pos="7020"/>
              </w:tabs>
              <w:spacing w:after="0" w:line="240" w:lineRule="auto"/>
              <w:jc w:val="center"/>
              <w:rPr>
                <w:rFonts w:ascii="Times New Roman" w:eastAsia="Calibri" w:hAnsi="Times New Roman" w:cs="Times New Roman"/>
                <w:sz w:val="20"/>
                <w:szCs w:val="20"/>
                <w:lang w:eastAsia="fr-FR"/>
              </w:rPr>
            </w:pPr>
            <w:r w:rsidRPr="003E743A">
              <w:rPr>
                <w:rFonts w:ascii="Times New Roman" w:eastAsia="Arial" w:hAnsi="Times New Roman" w:cs="Times New Roman"/>
                <w:b/>
                <w:sz w:val="20"/>
                <w:szCs w:val="20"/>
              </w:rPr>
              <w:t>19</w:t>
            </w:r>
            <w:r w:rsidRPr="003E743A">
              <w:rPr>
                <w:rFonts w:ascii="Times New Roman" w:eastAsia="Arial" w:hAnsi="Times New Roman" w:cs="Times New Roman"/>
                <w:b/>
                <w:spacing w:val="1"/>
                <w:sz w:val="20"/>
                <w:szCs w:val="20"/>
              </w:rPr>
              <w:t>29</w:t>
            </w:r>
            <w:r w:rsidRPr="003E743A">
              <w:rPr>
                <w:rFonts w:ascii="Times New Roman" w:eastAsia="Arial" w:hAnsi="Times New Roman" w:cs="Times New Roman"/>
                <w:b/>
                <w:sz w:val="20"/>
                <w:szCs w:val="20"/>
              </w:rPr>
              <w:t>3</w:t>
            </w:r>
          </w:p>
        </w:tc>
        <w:tc>
          <w:tcPr>
            <w:tcW w:w="20" w:type="dxa"/>
            <w:tcBorders>
              <w:top w:val="single" w:sz="4" w:space="0" w:color="000000"/>
              <w:left w:val="nil"/>
              <w:bottom w:val="single" w:sz="4" w:space="0" w:color="000000"/>
              <w:right w:val="single" w:sz="4" w:space="0" w:color="000000"/>
            </w:tcBorders>
            <w:vAlign w:val="center"/>
          </w:tcPr>
          <w:p w:rsidR="007F3DC3" w:rsidRPr="003E743A" w:rsidRDefault="007F3DC3" w:rsidP="00960124">
            <w:pPr>
              <w:spacing w:line="240" w:lineRule="auto"/>
              <w:ind w:left="181" w:right="-20"/>
              <w:jc w:val="both"/>
              <w:rPr>
                <w:rFonts w:ascii="Times New Roman" w:eastAsia="Arial" w:hAnsi="Times New Roman" w:cs="Times New Roman"/>
                <w:b/>
                <w:sz w:val="20"/>
                <w:szCs w:val="20"/>
              </w:rPr>
            </w:pPr>
          </w:p>
        </w:tc>
      </w:tr>
      <w:tr w:rsidR="007F3DC3" w:rsidRPr="003E743A" w:rsidTr="00960124">
        <w:trPr>
          <w:gridAfter w:val="1"/>
          <w:wAfter w:w="20" w:type="dxa"/>
          <w:trHeight w:hRule="exact" w:val="295"/>
        </w:trPr>
        <w:tc>
          <w:tcPr>
            <w:tcW w:w="404" w:type="dxa"/>
            <w:tcBorders>
              <w:top w:val="single" w:sz="4" w:space="0" w:color="000000"/>
              <w:left w:val="single" w:sz="4" w:space="0" w:color="000000"/>
              <w:bottom w:val="single" w:sz="4" w:space="0" w:color="000000"/>
              <w:right w:val="nil"/>
            </w:tcBorders>
            <w:vAlign w:val="center"/>
          </w:tcPr>
          <w:p w:rsidR="007F3DC3" w:rsidRPr="003E743A" w:rsidRDefault="007F3DC3" w:rsidP="00960124">
            <w:pPr>
              <w:tabs>
                <w:tab w:val="left" w:pos="2268"/>
                <w:tab w:val="left" w:pos="6237"/>
                <w:tab w:val="left" w:pos="7020"/>
              </w:tabs>
              <w:spacing w:after="0" w:line="240" w:lineRule="auto"/>
              <w:jc w:val="center"/>
              <w:rPr>
                <w:rFonts w:ascii="Times New Roman" w:eastAsia="Calibri" w:hAnsi="Times New Roman" w:cs="Times New Roman"/>
                <w:b/>
                <w:sz w:val="20"/>
                <w:szCs w:val="20"/>
                <w:lang w:eastAsia="fr-FR"/>
              </w:rPr>
            </w:pPr>
          </w:p>
        </w:tc>
        <w:tc>
          <w:tcPr>
            <w:tcW w:w="172" w:type="dxa"/>
            <w:tcBorders>
              <w:top w:val="single" w:sz="4" w:space="0" w:color="000000"/>
              <w:left w:val="nil"/>
              <w:bottom w:val="single" w:sz="4" w:space="0" w:color="000000"/>
              <w:right w:val="single" w:sz="4" w:space="0" w:color="000000"/>
            </w:tcBorders>
            <w:vAlign w:val="center"/>
          </w:tcPr>
          <w:p w:rsidR="007F3DC3" w:rsidRPr="003E743A" w:rsidRDefault="007F3DC3" w:rsidP="00960124">
            <w:pPr>
              <w:tabs>
                <w:tab w:val="left" w:pos="2268"/>
                <w:tab w:val="left" w:pos="6237"/>
                <w:tab w:val="left" w:pos="7020"/>
              </w:tabs>
              <w:spacing w:after="0" w:line="240" w:lineRule="auto"/>
              <w:ind w:left="3"/>
              <w:jc w:val="center"/>
              <w:rPr>
                <w:rFonts w:ascii="Times New Roman" w:eastAsia="Arial" w:hAnsi="Times New Roman" w:cs="Times New Roman"/>
                <w:b/>
                <w:sz w:val="20"/>
                <w:szCs w:val="20"/>
                <w:lang w:eastAsia="fr-FR"/>
              </w:rPr>
            </w:pPr>
            <w:r w:rsidRPr="003E743A">
              <w:rPr>
                <w:rFonts w:ascii="Times New Roman" w:eastAsia="Arial" w:hAnsi="Times New Roman" w:cs="Times New Roman"/>
                <w:b/>
                <w:sz w:val="20"/>
                <w:szCs w:val="20"/>
                <w:lang w:eastAsia="fr-FR"/>
              </w:rPr>
              <w:t>5</w:t>
            </w:r>
          </w:p>
        </w:tc>
        <w:tc>
          <w:tcPr>
            <w:tcW w:w="2403" w:type="dxa"/>
            <w:tcBorders>
              <w:top w:val="single" w:sz="4" w:space="0" w:color="000000"/>
              <w:left w:val="single" w:sz="4" w:space="0" w:color="000000"/>
              <w:bottom w:val="single" w:sz="4" w:space="0" w:color="000000"/>
              <w:right w:val="single" w:sz="4" w:space="0" w:color="000000"/>
            </w:tcBorders>
            <w:vAlign w:val="center"/>
          </w:tcPr>
          <w:p w:rsidR="007F3DC3" w:rsidRPr="003E743A" w:rsidRDefault="007F3DC3" w:rsidP="00960124">
            <w:pPr>
              <w:tabs>
                <w:tab w:val="left" w:pos="2268"/>
                <w:tab w:val="left" w:pos="6237"/>
                <w:tab w:val="left" w:pos="7020"/>
              </w:tabs>
              <w:spacing w:after="0" w:line="240" w:lineRule="auto"/>
              <w:ind w:left="63" w:right="-20"/>
              <w:jc w:val="center"/>
              <w:rPr>
                <w:rFonts w:ascii="Times New Roman" w:eastAsia="Arial" w:hAnsi="Times New Roman" w:cs="Times New Roman"/>
                <w:sz w:val="20"/>
                <w:szCs w:val="20"/>
                <w:lang w:eastAsia="fr-FR"/>
              </w:rPr>
            </w:pPr>
            <w:r w:rsidRPr="003E743A">
              <w:rPr>
                <w:rFonts w:ascii="Times New Roman" w:eastAsia="Arial" w:hAnsi="Times New Roman" w:cs="Times New Roman"/>
                <w:spacing w:val="5"/>
                <w:sz w:val="20"/>
                <w:szCs w:val="20"/>
                <w:lang w:eastAsia="fr-FR"/>
              </w:rPr>
              <w:t>T</w:t>
            </w:r>
            <w:r w:rsidRPr="003E743A">
              <w:rPr>
                <w:rFonts w:ascii="Times New Roman" w:eastAsia="Arial" w:hAnsi="Times New Roman" w:cs="Times New Roman"/>
                <w:sz w:val="20"/>
                <w:szCs w:val="20"/>
                <w:lang w:eastAsia="fr-FR"/>
              </w:rPr>
              <w:t>ch</w:t>
            </w:r>
            <w:r w:rsidRPr="003E743A">
              <w:rPr>
                <w:rFonts w:ascii="Times New Roman" w:eastAsia="Arial" w:hAnsi="Times New Roman" w:cs="Times New Roman"/>
                <w:spacing w:val="-1"/>
                <w:sz w:val="20"/>
                <w:szCs w:val="20"/>
                <w:lang w:eastAsia="fr-FR"/>
              </w:rPr>
              <w:t>a</w:t>
            </w:r>
            <w:r w:rsidRPr="003E743A">
              <w:rPr>
                <w:rFonts w:ascii="Times New Roman" w:eastAsia="Arial" w:hAnsi="Times New Roman" w:cs="Times New Roman"/>
                <w:sz w:val="20"/>
                <w:szCs w:val="20"/>
                <w:lang w:eastAsia="fr-FR"/>
              </w:rPr>
              <w:t>da</w:t>
            </w:r>
          </w:p>
        </w:tc>
        <w:tc>
          <w:tcPr>
            <w:tcW w:w="2109" w:type="dxa"/>
            <w:tcBorders>
              <w:top w:val="single" w:sz="4" w:space="0" w:color="000000"/>
              <w:left w:val="single" w:sz="4" w:space="0" w:color="000000"/>
              <w:bottom w:val="single" w:sz="4" w:space="0" w:color="000000"/>
              <w:right w:val="nil"/>
            </w:tcBorders>
            <w:vAlign w:val="center"/>
          </w:tcPr>
          <w:p w:rsidR="007F3DC3" w:rsidRPr="003E743A" w:rsidRDefault="007F3DC3" w:rsidP="00960124">
            <w:pPr>
              <w:tabs>
                <w:tab w:val="left" w:pos="2268"/>
                <w:tab w:val="left" w:pos="6237"/>
                <w:tab w:val="left" w:pos="7020"/>
              </w:tabs>
              <w:spacing w:after="0" w:line="240" w:lineRule="auto"/>
              <w:jc w:val="center"/>
              <w:rPr>
                <w:rFonts w:ascii="Times New Roman" w:eastAsia="Calibri" w:hAnsi="Times New Roman" w:cs="Times New Roman"/>
                <w:sz w:val="20"/>
                <w:szCs w:val="20"/>
                <w:lang w:eastAsia="fr-FR"/>
              </w:rPr>
            </w:pPr>
            <w:r w:rsidRPr="003E743A">
              <w:rPr>
                <w:rFonts w:ascii="Times New Roman" w:eastAsia="Arial" w:hAnsi="Times New Roman" w:cs="Times New Roman"/>
                <w:b/>
                <w:sz w:val="20"/>
                <w:szCs w:val="20"/>
                <w:lang w:eastAsia="fr-FR"/>
              </w:rPr>
              <w:t>33</w:t>
            </w:r>
          </w:p>
        </w:tc>
        <w:tc>
          <w:tcPr>
            <w:tcW w:w="25" w:type="dxa"/>
            <w:tcBorders>
              <w:top w:val="single" w:sz="4" w:space="0" w:color="000000"/>
              <w:left w:val="nil"/>
              <w:bottom w:val="single" w:sz="4" w:space="0" w:color="000000"/>
              <w:right w:val="single" w:sz="4" w:space="0" w:color="000000"/>
            </w:tcBorders>
            <w:vAlign w:val="center"/>
          </w:tcPr>
          <w:p w:rsidR="007F3DC3" w:rsidRPr="003E743A" w:rsidRDefault="007F3DC3" w:rsidP="00960124">
            <w:pPr>
              <w:tabs>
                <w:tab w:val="left" w:pos="2268"/>
                <w:tab w:val="left" w:pos="6237"/>
                <w:tab w:val="left" w:pos="7020"/>
              </w:tabs>
              <w:spacing w:after="0" w:line="240" w:lineRule="auto"/>
              <w:ind w:left="340" w:right="-20"/>
              <w:jc w:val="center"/>
              <w:rPr>
                <w:rFonts w:ascii="Times New Roman" w:eastAsia="Arial" w:hAnsi="Times New Roman" w:cs="Times New Roman"/>
                <w:b/>
                <w:sz w:val="20"/>
                <w:szCs w:val="20"/>
                <w:lang w:eastAsia="fr-FR"/>
              </w:rPr>
            </w:pPr>
          </w:p>
        </w:tc>
        <w:tc>
          <w:tcPr>
            <w:tcW w:w="3519" w:type="dxa"/>
            <w:tcBorders>
              <w:top w:val="single" w:sz="4" w:space="0" w:color="000000"/>
              <w:left w:val="single" w:sz="4" w:space="0" w:color="000000"/>
              <w:bottom w:val="single" w:sz="4" w:space="0" w:color="000000"/>
              <w:right w:val="nil"/>
            </w:tcBorders>
            <w:vAlign w:val="center"/>
          </w:tcPr>
          <w:p w:rsidR="007F3DC3" w:rsidRPr="003E743A" w:rsidRDefault="007F3DC3" w:rsidP="00960124">
            <w:pPr>
              <w:tabs>
                <w:tab w:val="left" w:pos="2268"/>
                <w:tab w:val="left" w:pos="6237"/>
                <w:tab w:val="left" w:pos="7020"/>
              </w:tabs>
              <w:spacing w:after="0" w:line="240" w:lineRule="auto"/>
              <w:jc w:val="center"/>
              <w:rPr>
                <w:rFonts w:ascii="Times New Roman" w:eastAsia="Calibri" w:hAnsi="Times New Roman" w:cs="Times New Roman"/>
                <w:sz w:val="20"/>
                <w:szCs w:val="20"/>
                <w:lang w:eastAsia="fr-FR"/>
              </w:rPr>
            </w:pPr>
            <w:r w:rsidRPr="003E743A">
              <w:rPr>
                <w:rFonts w:ascii="Times New Roman" w:eastAsia="Arial" w:hAnsi="Times New Roman" w:cs="Times New Roman"/>
                <w:b/>
                <w:sz w:val="20"/>
                <w:szCs w:val="20"/>
              </w:rPr>
              <w:t>24</w:t>
            </w:r>
            <w:r w:rsidRPr="003E743A">
              <w:rPr>
                <w:rFonts w:ascii="Times New Roman" w:eastAsia="Arial" w:hAnsi="Times New Roman" w:cs="Times New Roman"/>
                <w:b/>
                <w:spacing w:val="1"/>
                <w:sz w:val="20"/>
                <w:szCs w:val="20"/>
              </w:rPr>
              <w:t>2</w:t>
            </w:r>
            <w:r w:rsidRPr="003E743A">
              <w:rPr>
                <w:rFonts w:ascii="Times New Roman" w:eastAsia="Arial" w:hAnsi="Times New Roman" w:cs="Times New Roman"/>
                <w:b/>
                <w:sz w:val="20"/>
                <w:szCs w:val="20"/>
              </w:rPr>
              <w:t>2</w:t>
            </w:r>
          </w:p>
        </w:tc>
        <w:tc>
          <w:tcPr>
            <w:tcW w:w="20" w:type="dxa"/>
            <w:tcBorders>
              <w:top w:val="single" w:sz="4" w:space="0" w:color="000000"/>
              <w:left w:val="nil"/>
              <w:bottom w:val="single" w:sz="4" w:space="0" w:color="000000"/>
              <w:right w:val="single" w:sz="4" w:space="0" w:color="000000"/>
            </w:tcBorders>
            <w:vAlign w:val="center"/>
          </w:tcPr>
          <w:p w:rsidR="007F3DC3" w:rsidRPr="003E743A" w:rsidRDefault="007F3DC3" w:rsidP="00960124">
            <w:pPr>
              <w:spacing w:line="240" w:lineRule="auto"/>
              <w:ind w:left="281" w:right="-20"/>
              <w:jc w:val="both"/>
              <w:rPr>
                <w:rFonts w:ascii="Times New Roman" w:eastAsia="Arial" w:hAnsi="Times New Roman" w:cs="Times New Roman"/>
                <w:b/>
                <w:sz w:val="20"/>
                <w:szCs w:val="20"/>
              </w:rPr>
            </w:pPr>
          </w:p>
        </w:tc>
      </w:tr>
      <w:tr w:rsidR="007F3DC3" w:rsidRPr="003E743A" w:rsidTr="00960124">
        <w:trPr>
          <w:gridAfter w:val="1"/>
          <w:wAfter w:w="20" w:type="dxa"/>
          <w:trHeight w:hRule="exact" w:val="286"/>
        </w:trPr>
        <w:tc>
          <w:tcPr>
            <w:tcW w:w="404" w:type="dxa"/>
            <w:tcBorders>
              <w:top w:val="single" w:sz="4" w:space="0" w:color="000000"/>
              <w:left w:val="single" w:sz="4" w:space="0" w:color="000000"/>
              <w:bottom w:val="single" w:sz="4" w:space="0" w:color="000000"/>
              <w:right w:val="nil"/>
            </w:tcBorders>
            <w:vAlign w:val="center"/>
          </w:tcPr>
          <w:p w:rsidR="007F3DC3" w:rsidRPr="003E743A" w:rsidRDefault="007F3DC3" w:rsidP="00960124">
            <w:pPr>
              <w:tabs>
                <w:tab w:val="left" w:pos="2268"/>
                <w:tab w:val="left" w:pos="6237"/>
                <w:tab w:val="left" w:pos="7020"/>
              </w:tabs>
              <w:spacing w:after="0" w:line="240" w:lineRule="auto"/>
              <w:jc w:val="center"/>
              <w:rPr>
                <w:rFonts w:ascii="Times New Roman" w:eastAsia="Calibri" w:hAnsi="Times New Roman" w:cs="Times New Roman"/>
                <w:b/>
                <w:sz w:val="20"/>
                <w:szCs w:val="20"/>
                <w:lang w:eastAsia="fr-FR"/>
              </w:rPr>
            </w:pPr>
          </w:p>
        </w:tc>
        <w:tc>
          <w:tcPr>
            <w:tcW w:w="172" w:type="dxa"/>
            <w:tcBorders>
              <w:top w:val="single" w:sz="4" w:space="0" w:color="000000"/>
              <w:left w:val="nil"/>
              <w:bottom w:val="single" w:sz="4" w:space="0" w:color="000000"/>
              <w:right w:val="single" w:sz="4" w:space="0" w:color="000000"/>
            </w:tcBorders>
            <w:vAlign w:val="center"/>
          </w:tcPr>
          <w:p w:rsidR="007F3DC3" w:rsidRPr="003E743A" w:rsidRDefault="007F3DC3" w:rsidP="00960124">
            <w:pPr>
              <w:tabs>
                <w:tab w:val="left" w:pos="2268"/>
                <w:tab w:val="left" w:pos="6237"/>
                <w:tab w:val="left" w:pos="7020"/>
              </w:tabs>
              <w:spacing w:after="0" w:line="240" w:lineRule="auto"/>
              <w:ind w:left="3"/>
              <w:jc w:val="center"/>
              <w:rPr>
                <w:rFonts w:ascii="Times New Roman" w:eastAsia="Arial" w:hAnsi="Times New Roman" w:cs="Times New Roman"/>
                <w:b/>
                <w:sz w:val="20"/>
                <w:szCs w:val="20"/>
                <w:lang w:eastAsia="fr-FR"/>
              </w:rPr>
            </w:pPr>
            <w:r w:rsidRPr="003E743A">
              <w:rPr>
                <w:rFonts w:ascii="Times New Roman" w:eastAsia="Arial" w:hAnsi="Times New Roman" w:cs="Times New Roman"/>
                <w:b/>
                <w:sz w:val="20"/>
                <w:szCs w:val="20"/>
                <w:lang w:eastAsia="fr-FR"/>
              </w:rPr>
              <w:t>6</w:t>
            </w:r>
          </w:p>
        </w:tc>
        <w:tc>
          <w:tcPr>
            <w:tcW w:w="2403" w:type="dxa"/>
            <w:tcBorders>
              <w:top w:val="single" w:sz="4" w:space="0" w:color="000000"/>
              <w:left w:val="single" w:sz="4" w:space="0" w:color="000000"/>
              <w:bottom w:val="single" w:sz="4" w:space="0" w:color="000000"/>
              <w:right w:val="single" w:sz="4" w:space="0" w:color="000000"/>
            </w:tcBorders>
            <w:vAlign w:val="center"/>
          </w:tcPr>
          <w:p w:rsidR="007F3DC3" w:rsidRPr="003E743A" w:rsidRDefault="007F3DC3" w:rsidP="00960124">
            <w:pPr>
              <w:tabs>
                <w:tab w:val="left" w:pos="2268"/>
                <w:tab w:val="left" w:pos="6237"/>
                <w:tab w:val="left" w:pos="7020"/>
              </w:tabs>
              <w:spacing w:after="0" w:line="240" w:lineRule="auto"/>
              <w:ind w:left="63" w:right="-20"/>
              <w:jc w:val="center"/>
              <w:rPr>
                <w:rFonts w:ascii="Times New Roman" w:eastAsia="Arial" w:hAnsi="Times New Roman" w:cs="Times New Roman"/>
                <w:sz w:val="20"/>
                <w:szCs w:val="20"/>
                <w:lang w:eastAsia="fr-FR"/>
              </w:rPr>
            </w:pPr>
            <w:r w:rsidRPr="003E743A">
              <w:rPr>
                <w:rFonts w:ascii="Times New Roman" w:eastAsia="Arial" w:hAnsi="Times New Roman" w:cs="Times New Roman"/>
                <w:spacing w:val="2"/>
                <w:sz w:val="20"/>
                <w:szCs w:val="20"/>
                <w:lang w:eastAsia="fr-FR"/>
              </w:rPr>
              <w:t>R</w:t>
            </w:r>
            <w:r w:rsidRPr="003E743A">
              <w:rPr>
                <w:rFonts w:ascii="Times New Roman" w:eastAsia="Arial" w:hAnsi="Times New Roman" w:cs="Times New Roman"/>
                <w:sz w:val="20"/>
                <w:szCs w:val="20"/>
                <w:lang w:eastAsia="fr-FR"/>
              </w:rPr>
              <w:t>ei</w:t>
            </w:r>
            <w:r w:rsidRPr="003E743A">
              <w:rPr>
                <w:rFonts w:ascii="Times New Roman" w:eastAsia="Arial" w:hAnsi="Times New Roman" w:cs="Times New Roman"/>
                <w:spacing w:val="1"/>
                <w:sz w:val="20"/>
                <w:szCs w:val="20"/>
                <w:lang w:eastAsia="fr-FR"/>
              </w:rPr>
              <w:t>n</w:t>
            </w:r>
            <w:r w:rsidRPr="003E743A">
              <w:rPr>
                <w:rFonts w:ascii="Times New Roman" w:eastAsia="Arial" w:hAnsi="Times New Roman" w:cs="Times New Roman"/>
                <w:spacing w:val="-1"/>
                <w:sz w:val="20"/>
                <w:szCs w:val="20"/>
                <w:lang w:eastAsia="fr-FR"/>
              </w:rPr>
              <w:t>o</w:t>
            </w:r>
            <w:r w:rsidRPr="003E743A">
              <w:rPr>
                <w:rFonts w:ascii="Times New Roman" w:eastAsia="Arial" w:hAnsi="Times New Roman" w:cs="Times New Roman"/>
                <w:sz w:val="20"/>
                <w:szCs w:val="20"/>
                <w:lang w:eastAsia="fr-FR"/>
              </w:rPr>
              <w:t>-Ga</w:t>
            </w:r>
            <w:r w:rsidRPr="003E743A">
              <w:rPr>
                <w:rFonts w:ascii="Times New Roman" w:eastAsia="Arial" w:hAnsi="Times New Roman" w:cs="Times New Roman"/>
                <w:spacing w:val="1"/>
                <w:sz w:val="20"/>
                <w:szCs w:val="20"/>
                <w:lang w:eastAsia="fr-FR"/>
              </w:rPr>
              <w:t>mb</w:t>
            </w:r>
            <w:r w:rsidRPr="003E743A">
              <w:rPr>
                <w:rFonts w:ascii="Times New Roman" w:eastAsia="Arial" w:hAnsi="Times New Roman" w:cs="Times New Roman"/>
                <w:sz w:val="20"/>
                <w:szCs w:val="20"/>
                <w:lang w:eastAsia="fr-FR"/>
              </w:rPr>
              <w:t>i</w:t>
            </w:r>
            <w:r w:rsidRPr="003E743A">
              <w:rPr>
                <w:rFonts w:ascii="Times New Roman" w:eastAsia="Arial" w:hAnsi="Times New Roman" w:cs="Times New Roman"/>
                <w:spacing w:val="-1"/>
                <w:sz w:val="20"/>
                <w:szCs w:val="20"/>
                <w:lang w:eastAsia="fr-FR"/>
              </w:rPr>
              <w:t>a</w:t>
            </w:r>
            <w:r w:rsidRPr="003E743A">
              <w:rPr>
                <w:rFonts w:ascii="Times New Roman" w:eastAsia="Arial" w:hAnsi="Times New Roman" w:cs="Times New Roman"/>
                <w:spacing w:val="4"/>
                <w:sz w:val="20"/>
                <w:szCs w:val="20"/>
                <w:lang w:eastAsia="fr-FR"/>
              </w:rPr>
              <w:t>f</w:t>
            </w:r>
            <w:r w:rsidRPr="003E743A">
              <w:rPr>
                <w:rFonts w:ascii="Times New Roman" w:eastAsia="Arial" w:hAnsi="Times New Roman" w:cs="Times New Roman"/>
                <w:sz w:val="20"/>
                <w:szCs w:val="20"/>
                <w:lang w:eastAsia="fr-FR"/>
              </w:rPr>
              <w:t>ada</w:t>
            </w:r>
          </w:p>
        </w:tc>
        <w:tc>
          <w:tcPr>
            <w:tcW w:w="2109" w:type="dxa"/>
            <w:tcBorders>
              <w:top w:val="single" w:sz="4" w:space="0" w:color="000000"/>
              <w:left w:val="single" w:sz="4" w:space="0" w:color="000000"/>
              <w:bottom w:val="single" w:sz="4" w:space="0" w:color="000000"/>
              <w:right w:val="nil"/>
            </w:tcBorders>
            <w:vAlign w:val="center"/>
          </w:tcPr>
          <w:p w:rsidR="007F3DC3" w:rsidRPr="003E743A" w:rsidRDefault="007F3DC3" w:rsidP="00960124">
            <w:pPr>
              <w:tabs>
                <w:tab w:val="left" w:pos="2268"/>
                <w:tab w:val="left" w:pos="6237"/>
                <w:tab w:val="left" w:pos="7020"/>
              </w:tabs>
              <w:spacing w:after="0" w:line="240" w:lineRule="auto"/>
              <w:jc w:val="center"/>
              <w:rPr>
                <w:rFonts w:ascii="Times New Roman" w:eastAsia="Calibri" w:hAnsi="Times New Roman" w:cs="Times New Roman"/>
                <w:sz w:val="20"/>
                <w:szCs w:val="20"/>
                <w:lang w:eastAsia="fr-FR"/>
              </w:rPr>
            </w:pPr>
            <w:r w:rsidRPr="003E743A">
              <w:rPr>
                <w:rFonts w:ascii="Times New Roman" w:eastAsia="Arial" w:hAnsi="Times New Roman" w:cs="Times New Roman"/>
                <w:b/>
                <w:sz w:val="20"/>
                <w:szCs w:val="20"/>
                <w:lang w:eastAsia="fr-FR"/>
              </w:rPr>
              <w:t>27</w:t>
            </w:r>
          </w:p>
        </w:tc>
        <w:tc>
          <w:tcPr>
            <w:tcW w:w="25" w:type="dxa"/>
            <w:tcBorders>
              <w:top w:val="single" w:sz="4" w:space="0" w:color="000000"/>
              <w:left w:val="nil"/>
              <w:bottom w:val="single" w:sz="4" w:space="0" w:color="000000"/>
              <w:right w:val="single" w:sz="4" w:space="0" w:color="000000"/>
            </w:tcBorders>
            <w:vAlign w:val="center"/>
          </w:tcPr>
          <w:p w:rsidR="007F3DC3" w:rsidRPr="003E743A" w:rsidRDefault="007F3DC3" w:rsidP="00960124">
            <w:pPr>
              <w:tabs>
                <w:tab w:val="left" w:pos="2268"/>
                <w:tab w:val="left" w:pos="6237"/>
                <w:tab w:val="left" w:pos="7020"/>
              </w:tabs>
              <w:spacing w:after="0" w:line="240" w:lineRule="auto"/>
              <w:ind w:left="340" w:right="-20"/>
              <w:jc w:val="center"/>
              <w:rPr>
                <w:rFonts w:ascii="Times New Roman" w:eastAsia="Arial" w:hAnsi="Times New Roman" w:cs="Times New Roman"/>
                <w:b/>
                <w:sz w:val="20"/>
                <w:szCs w:val="20"/>
                <w:lang w:eastAsia="fr-FR"/>
              </w:rPr>
            </w:pPr>
          </w:p>
        </w:tc>
        <w:tc>
          <w:tcPr>
            <w:tcW w:w="3519" w:type="dxa"/>
            <w:tcBorders>
              <w:top w:val="single" w:sz="4" w:space="0" w:color="000000"/>
              <w:left w:val="single" w:sz="4" w:space="0" w:color="000000"/>
              <w:bottom w:val="single" w:sz="4" w:space="0" w:color="000000"/>
              <w:right w:val="nil"/>
            </w:tcBorders>
            <w:vAlign w:val="center"/>
          </w:tcPr>
          <w:p w:rsidR="007F3DC3" w:rsidRPr="003E743A" w:rsidRDefault="007F3DC3" w:rsidP="00960124">
            <w:pPr>
              <w:tabs>
                <w:tab w:val="left" w:pos="2268"/>
                <w:tab w:val="left" w:pos="6237"/>
                <w:tab w:val="left" w:pos="7020"/>
              </w:tabs>
              <w:spacing w:after="0" w:line="240" w:lineRule="auto"/>
              <w:jc w:val="center"/>
              <w:rPr>
                <w:rFonts w:ascii="Times New Roman" w:eastAsia="Calibri" w:hAnsi="Times New Roman" w:cs="Times New Roman"/>
                <w:sz w:val="20"/>
                <w:szCs w:val="20"/>
                <w:lang w:eastAsia="fr-FR"/>
              </w:rPr>
            </w:pPr>
            <w:r w:rsidRPr="003E743A">
              <w:rPr>
                <w:rFonts w:ascii="Times New Roman" w:eastAsia="Arial" w:hAnsi="Times New Roman" w:cs="Times New Roman"/>
                <w:b/>
                <w:sz w:val="20"/>
                <w:szCs w:val="20"/>
              </w:rPr>
              <w:t>65</w:t>
            </w:r>
            <w:r w:rsidRPr="003E743A">
              <w:rPr>
                <w:rFonts w:ascii="Times New Roman" w:eastAsia="Arial" w:hAnsi="Times New Roman" w:cs="Times New Roman"/>
                <w:b/>
                <w:spacing w:val="1"/>
                <w:sz w:val="20"/>
                <w:szCs w:val="20"/>
              </w:rPr>
              <w:t>4</w:t>
            </w:r>
            <w:r w:rsidRPr="003E743A">
              <w:rPr>
                <w:rFonts w:ascii="Times New Roman" w:eastAsia="Arial" w:hAnsi="Times New Roman" w:cs="Times New Roman"/>
                <w:b/>
                <w:sz w:val="20"/>
                <w:szCs w:val="20"/>
              </w:rPr>
              <w:t>5</w:t>
            </w:r>
          </w:p>
        </w:tc>
        <w:tc>
          <w:tcPr>
            <w:tcW w:w="20" w:type="dxa"/>
            <w:tcBorders>
              <w:top w:val="single" w:sz="4" w:space="0" w:color="000000"/>
              <w:left w:val="nil"/>
              <w:bottom w:val="single" w:sz="4" w:space="0" w:color="000000"/>
              <w:right w:val="single" w:sz="4" w:space="0" w:color="000000"/>
            </w:tcBorders>
            <w:vAlign w:val="center"/>
          </w:tcPr>
          <w:p w:rsidR="007F3DC3" w:rsidRPr="003E743A" w:rsidRDefault="007F3DC3" w:rsidP="00960124">
            <w:pPr>
              <w:spacing w:line="240" w:lineRule="auto"/>
              <w:ind w:left="281" w:right="-20"/>
              <w:jc w:val="both"/>
              <w:rPr>
                <w:rFonts w:ascii="Times New Roman" w:eastAsia="Arial" w:hAnsi="Times New Roman" w:cs="Times New Roman"/>
                <w:b/>
                <w:sz w:val="20"/>
                <w:szCs w:val="20"/>
              </w:rPr>
            </w:pPr>
          </w:p>
        </w:tc>
      </w:tr>
      <w:tr w:rsidR="007F3DC3" w:rsidRPr="003E743A" w:rsidTr="00960124">
        <w:trPr>
          <w:gridAfter w:val="1"/>
          <w:wAfter w:w="20" w:type="dxa"/>
          <w:trHeight w:hRule="exact" w:val="275"/>
        </w:trPr>
        <w:tc>
          <w:tcPr>
            <w:tcW w:w="404" w:type="dxa"/>
            <w:tcBorders>
              <w:top w:val="single" w:sz="4" w:space="0" w:color="000000"/>
              <w:left w:val="single" w:sz="4" w:space="0" w:color="000000"/>
              <w:bottom w:val="single" w:sz="4" w:space="0" w:color="000000"/>
              <w:right w:val="nil"/>
            </w:tcBorders>
            <w:vAlign w:val="center"/>
          </w:tcPr>
          <w:p w:rsidR="007F3DC3" w:rsidRPr="003E743A" w:rsidRDefault="007F3DC3" w:rsidP="00960124">
            <w:pPr>
              <w:tabs>
                <w:tab w:val="left" w:pos="2268"/>
                <w:tab w:val="left" w:pos="6237"/>
                <w:tab w:val="left" w:pos="7020"/>
              </w:tabs>
              <w:spacing w:after="0" w:line="240" w:lineRule="auto"/>
              <w:jc w:val="center"/>
              <w:rPr>
                <w:rFonts w:ascii="Times New Roman" w:eastAsia="Calibri" w:hAnsi="Times New Roman" w:cs="Times New Roman"/>
                <w:b/>
                <w:sz w:val="20"/>
                <w:szCs w:val="20"/>
                <w:lang w:eastAsia="fr-FR"/>
              </w:rPr>
            </w:pPr>
          </w:p>
        </w:tc>
        <w:tc>
          <w:tcPr>
            <w:tcW w:w="172" w:type="dxa"/>
            <w:tcBorders>
              <w:top w:val="single" w:sz="4" w:space="0" w:color="000000"/>
              <w:left w:val="nil"/>
              <w:bottom w:val="single" w:sz="4" w:space="0" w:color="000000"/>
              <w:right w:val="single" w:sz="4" w:space="0" w:color="000000"/>
            </w:tcBorders>
            <w:vAlign w:val="center"/>
          </w:tcPr>
          <w:p w:rsidR="007F3DC3" w:rsidRPr="003E743A" w:rsidRDefault="007F3DC3" w:rsidP="00960124">
            <w:pPr>
              <w:tabs>
                <w:tab w:val="left" w:pos="2268"/>
                <w:tab w:val="left" w:pos="6237"/>
                <w:tab w:val="left" w:pos="7020"/>
              </w:tabs>
              <w:spacing w:after="0" w:line="240" w:lineRule="auto"/>
              <w:ind w:left="3"/>
              <w:jc w:val="center"/>
              <w:rPr>
                <w:rFonts w:ascii="Times New Roman" w:eastAsia="Arial" w:hAnsi="Times New Roman" w:cs="Times New Roman"/>
                <w:b/>
                <w:sz w:val="20"/>
                <w:szCs w:val="20"/>
                <w:lang w:eastAsia="fr-FR"/>
              </w:rPr>
            </w:pPr>
            <w:r w:rsidRPr="003E743A">
              <w:rPr>
                <w:rFonts w:ascii="Times New Roman" w:eastAsia="Arial" w:hAnsi="Times New Roman" w:cs="Times New Roman"/>
                <w:b/>
                <w:sz w:val="20"/>
                <w:szCs w:val="20"/>
                <w:lang w:eastAsia="fr-FR"/>
              </w:rPr>
              <w:t>7</w:t>
            </w:r>
          </w:p>
        </w:tc>
        <w:tc>
          <w:tcPr>
            <w:tcW w:w="2403" w:type="dxa"/>
            <w:tcBorders>
              <w:top w:val="single" w:sz="4" w:space="0" w:color="000000"/>
              <w:left w:val="single" w:sz="4" w:space="0" w:color="000000"/>
              <w:bottom w:val="single" w:sz="4" w:space="0" w:color="000000"/>
              <w:right w:val="single" w:sz="4" w:space="0" w:color="000000"/>
            </w:tcBorders>
            <w:vAlign w:val="center"/>
          </w:tcPr>
          <w:p w:rsidR="007F3DC3" w:rsidRPr="003E743A" w:rsidRDefault="007F3DC3" w:rsidP="00960124">
            <w:pPr>
              <w:tabs>
                <w:tab w:val="left" w:pos="2268"/>
                <w:tab w:val="left" w:pos="6237"/>
                <w:tab w:val="left" w:pos="7020"/>
              </w:tabs>
              <w:spacing w:after="0" w:line="240" w:lineRule="auto"/>
              <w:ind w:left="63" w:right="-20"/>
              <w:jc w:val="center"/>
              <w:rPr>
                <w:rFonts w:ascii="Times New Roman" w:eastAsia="Arial" w:hAnsi="Times New Roman" w:cs="Times New Roman"/>
                <w:sz w:val="20"/>
                <w:szCs w:val="20"/>
                <w:lang w:eastAsia="fr-FR"/>
              </w:rPr>
            </w:pPr>
            <w:r w:rsidRPr="003E743A">
              <w:rPr>
                <w:rFonts w:ascii="Times New Roman" w:eastAsia="Arial" w:hAnsi="Times New Roman" w:cs="Times New Roman"/>
                <w:spacing w:val="4"/>
                <w:sz w:val="20"/>
                <w:szCs w:val="20"/>
                <w:lang w:eastAsia="fr-FR"/>
              </w:rPr>
              <w:t>M</w:t>
            </w:r>
            <w:r w:rsidRPr="003E743A">
              <w:rPr>
                <w:rFonts w:ascii="Times New Roman" w:eastAsia="Arial" w:hAnsi="Times New Roman" w:cs="Times New Roman"/>
                <w:sz w:val="20"/>
                <w:szCs w:val="20"/>
                <w:lang w:eastAsia="fr-FR"/>
              </w:rPr>
              <w:t>i</w:t>
            </w:r>
            <w:r w:rsidRPr="003E743A">
              <w:rPr>
                <w:rFonts w:ascii="Times New Roman" w:eastAsia="Arial" w:hAnsi="Times New Roman" w:cs="Times New Roman"/>
                <w:spacing w:val="-1"/>
                <w:sz w:val="20"/>
                <w:szCs w:val="20"/>
                <w:lang w:eastAsia="fr-FR"/>
              </w:rPr>
              <w:t>n</w:t>
            </w:r>
            <w:r w:rsidRPr="003E743A">
              <w:rPr>
                <w:rFonts w:ascii="Times New Roman" w:eastAsia="Arial" w:hAnsi="Times New Roman" w:cs="Times New Roman"/>
                <w:spacing w:val="1"/>
                <w:sz w:val="20"/>
                <w:szCs w:val="20"/>
                <w:lang w:eastAsia="fr-FR"/>
              </w:rPr>
              <w:t>d</w:t>
            </w:r>
            <w:r w:rsidRPr="003E743A">
              <w:rPr>
                <w:rFonts w:ascii="Times New Roman" w:eastAsia="Arial" w:hAnsi="Times New Roman" w:cs="Times New Roman"/>
                <w:sz w:val="20"/>
                <w:szCs w:val="20"/>
                <w:lang w:eastAsia="fr-FR"/>
              </w:rPr>
              <w:t>ará</w:t>
            </w:r>
          </w:p>
        </w:tc>
        <w:tc>
          <w:tcPr>
            <w:tcW w:w="2109" w:type="dxa"/>
            <w:tcBorders>
              <w:top w:val="single" w:sz="4" w:space="0" w:color="000000"/>
              <w:left w:val="single" w:sz="4" w:space="0" w:color="000000"/>
              <w:bottom w:val="single" w:sz="4" w:space="0" w:color="000000"/>
              <w:right w:val="nil"/>
            </w:tcBorders>
            <w:vAlign w:val="center"/>
          </w:tcPr>
          <w:p w:rsidR="007F3DC3" w:rsidRPr="003E743A" w:rsidRDefault="007F3DC3" w:rsidP="00960124">
            <w:pPr>
              <w:tabs>
                <w:tab w:val="left" w:pos="2268"/>
                <w:tab w:val="left" w:pos="6237"/>
                <w:tab w:val="left" w:pos="7020"/>
              </w:tabs>
              <w:spacing w:after="0" w:line="240" w:lineRule="auto"/>
              <w:jc w:val="center"/>
              <w:rPr>
                <w:rFonts w:ascii="Times New Roman" w:eastAsia="Calibri" w:hAnsi="Times New Roman" w:cs="Times New Roman"/>
                <w:sz w:val="20"/>
                <w:szCs w:val="20"/>
                <w:lang w:eastAsia="fr-FR"/>
              </w:rPr>
            </w:pPr>
            <w:r w:rsidRPr="003E743A">
              <w:rPr>
                <w:rFonts w:ascii="Times New Roman" w:eastAsia="Arial" w:hAnsi="Times New Roman" w:cs="Times New Roman"/>
                <w:b/>
                <w:sz w:val="20"/>
                <w:szCs w:val="20"/>
                <w:lang w:eastAsia="fr-FR"/>
              </w:rPr>
              <w:t>27</w:t>
            </w:r>
          </w:p>
        </w:tc>
        <w:tc>
          <w:tcPr>
            <w:tcW w:w="25" w:type="dxa"/>
            <w:tcBorders>
              <w:top w:val="single" w:sz="4" w:space="0" w:color="000000"/>
              <w:left w:val="nil"/>
              <w:bottom w:val="single" w:sz="4" w:space="0" w:color="000000"/>
              <w:right w:val="single" w:sz="4" w:space="0" w:color="000000"/>
            </w:tcBorders>
            <w:vAlign w:val="center"/>
          </w:tcPr>
          <w:p w:rsidR="007F3DC3" w:rsidRPr="003E743A" w:rsidRDefault="007F3DC3" w:rsidP="00960124">
            <w:pPr>
              <w:tabs>
                <w:tab w:val="left" w:pos="2268"/>
                <w:tab w:val="left" w:pos="6237"/>
                <w:tab w:val="left" w:pos="7020"/>
              </w:tabs>
              <w:spacing w:after="0" w:line="240" w:lineRule="auto"/>
              <w:ind w:left="340" w:right="-20"/>
              <w:jc w:val="center"/>
              <w:rPr>
                <w:rFonts w:ascii="Times New Roman" w:eastAsia="Arial" w:hAnsi="Times New Roman" w:cs="Times New Roman"/>
                <w:b/>
                <w:sz w:val="20"/>
                <w:szCs w:val="20"/>
                <w:lang w:eastAsia="fr-FR"/>
              </w:rPr>
            </w:pPr>
          </w:p>
        </w:tc>
        <w:tc>
          <w:tcPr>
            <w:tcW w:w="3519" w:type="dxa"/>
            <w:tcBorders>
              <w:top w:val="single" w:sz="4" w:space="0" w:color="000000"/>
              <w:left w:val="single" w:sz="4" w:space="0" w:color="000000"/>
              <w:bottom w:val="single" w:sz="4" w:space="0" w:color="000000"/>
              <w:right w:val="nil"/>
            </w:tcBorders>
            <w:vAlign w:val="center"/>
          </w:tcPr>
          <w:p w:rsidR="007F3DC3" w:rsidRPr="003E743A" w:rsidRDefault="007F3DC3" w:rsidP="00960124">
            <w:pPr>
              <w:tabs>
                <w:tab w:val="left" w:pos="2268"/>
                <w:tab w:val="left" w:pos="6237"/>
                <w:tab w:val="left" w:pos="7020"/>
              </w:tabs>
              <w:spacing w:after="0" w:line="240" w:lineRule="auto"/>
              <w:jc w:val="center"/>
              <w:rPr>
                <w:rFonts w:ascii="Times New Roman" w:eastAsia="Calibri" w:hAnsi="Times New Roman" w:cs="Times New Roman"/>
                <w:sz w:val="20"/>
                <w:szCs w:val="20"/>
                <w:lang w:eastAsia="fr-FR"/>
              </w:rPr>
            </w:pPr>
            <w:r w:rsidRPr="003E743A">
              <w:rPr>
                <w:rFonts w:ascii="Times New Roman" w:eastAsia="Arial" w:hAnsi="Times New Roman" w:cs="Times New Roman"/>
                <w:b/>
                <w:sz w:val="20"/>
                <w:szCs w:val="20"/>
              </w:rPr>
              <w:t>62</w:t>
            </w:r>
            <w:r w:rsidRPr="003E743A">
              <w:rPr>
                <w:rFonts w:ascii="Times New Roman" w:eastAsia="Arial" w:hAnsi="Times New Roman" w:cs="Times New Roman"/>
                <w:b/>
                <w:spacing w:val="1"/>
                <w:sz w:val="20"/>
                <w:szCs w:val="20"/>
              </w:rPr>
              <w:t>7</w:t>
            </w:r>
            <w:r w:rsidRPr="003E743A">
              <w:rPr>
                <w:rFonts w:ascii="Times New Roman" w:eastAsia="Arial" w:hAnsi="Times New Roman" w:cs="Times New Roman"/>
                <w:b/>
                <w:sz w:val="20"/>
                <w:szCs w:val="20"/>
              </w:rPr>
              <w:t>1</w:t>
            </w:r>
          </w:p>
        </w:tc>
        <w:tc>
          <w:tcPr>
            <w:tcW w:w="20" w:type="dxa"/>
            <w:tcBorders>
              <w:top w:val="single" w:sz="4" w:space="0" w:color="000000"/>
              <w:left w:val="nil"/>
              <w:bottom w:val="single" w:sz="4" w:space="0" w:color="000000"/>
              <w:right w:val="single" w:sz="4" w:space="0" w:color="000000"/>
            </w:tcBorders>
            <w:vAlign w:val="center"/>
          </w:tcPr>
          <w:p w:rsidR="007F3DC3" w:rsidRPr="003E743A" w:rsidRDefault="007F3DC3" w:rsidP="00960124">
            <w:pPr>
              <w:spacing w:line="240" w:lineRule="auto"/>
              <w:ind w:left="281" w:right="-20"/>
              <w:jc w:val="both"/>
              <w:rPr>
                <w:rFonts w:ascii="Times New Roman" w:eastAsia="Arial" w:hAnsi="Times New Roman" w:cs="Times New Roman"/>
                <w:b/>
                <w:sz w:val="20"/>
                <w:szCs w:val="20"/>
              </w:rPr>
            </w:pPr>
          </w:p>
        </w:tc>
      </w:tr>
      <w:tr w:rsidR="007F3DC3" w:rsidRPr="003E743A" w:rsidTr="00960124">
        <w:trPr>
          <w:gridAfter w:val="1"/>
          <w:wAfter w:w="20" w:type="dxa"/>
          <w:trHeight w:hRule="exact" w:val="294"/>
        </w:trPr>
        <w:tc>
          <w:tcPr>
            <w:tcW w:w="404" w:type="dxa"/>
            <w:tcBorders>
              <w:top w:val="single" w:sz="4" w:space="0" w:color="000000"/>
              <w:left w:val="single" w:sz="4" w:space="0" w:color="000000"/>
              <w:bottom w:val="single" w:sz="4" w:space="0" w:color="000000"/>
              <w:right w:val="nil"/>
            </w:tcBorders>
            <w:vAlign w:val="center"/>
          </w:tcPr>
          <w:p w:rsidR="007F3DC3" w:rsidRPr="003E743A" w:rsidRDefault="007F3DC3" w:rsidP="00960124">
            <w:pPr>
              <w:tabs>
                <w:tab w:val="left" w:pos="2268"/>
                <w:tab w:val="left" w:pos="6237"/>
                <w:tab w:val="left" w:pos="7020"/>
              </w:tabs>
              <w:spacing w:after="0" w:line="240" w:lineRule="auto"/>
              <w:jc w:val="center"/>
              <w:rPr>
                <w:rFonts w:ascii="Times New Roman" w:eastAsia="Calibri" w:hAnsi="Times New Roman" w:cs="Times New Roman"/>
                <w:b/>
                <w:sz w:val="20"/>
                <w:szCs w:val="20"/>
                <w:lang w:eastAsia="fr-FR"/>
              </w:rPr>
            </w:pPr>
          </w:p>
        </w:tc>
        <w:tc>
          <w:tcPr>
            <w:tcW w:w="172" w:type="dxa"/>
            <w:tcBorders>
              <w:top w:val="single" w:sz="4" w:space="0" w:color="000000"/>
              <w:left w:val="nil"/>
              <w:bottom w:val="single" w:sz="4" w:space="0" w:color="000000"/>
              <w:right w:val="single" w:sz="4" w:space="0" w:color="000000"/>
            </w:tcBorders>
            <w:vAlign w:val="center"/>
          </w:tcPr>
          <w:p w:rsidR="007F3DC3" w:rsidRPr="003E743A" w:rsidRDefault="007F3DC3" w:rsidP="00960124">
            <w:pPr>
              <w:tabs>
                <w:tab w:val="left" w:pos="2268"/>
                <w:tab w:val="left" w:pos="6237"/>
                <w:tab w:val="left" w:pos="7020"/>
              </w:tabs>
              <w:spacing w:after="0" w:line="240" w:lineRule="auto"/>
              <w:ind w:left="3"/>
              <w:jc w:val="center"/>
              <w:rPr>
                <w:rFonts w:ascii="Times New Roman" w:eastAsia="Arial" w:hAnsi="Times New Roman" w:cs="Times New Roman"/>
                <w:b/>
                <w:sz w:val="20"/>
                <w:szCs w:val="20"/>
                <w:lang w:eastAsia="fr-FR"/>
              </w:rPr>
            </w:pPr>
            <w:r w:rsidRPr="003E743A">
              <w:rPr>
                <w:rFonts w:ascii="Times New Roman" w:eastAsia="Arial" w:hAnsi="Times New Roman" w:cs="Times New Roman"/>
                <w:b/>
                <w:sz w:val="20"/>
                <w:szCs w:val="20"/>
                <w:lang w:eastAsia="fr-FR"/>
              </w:rPr>
              <w:t>8</w:t>
            </w:r>
          </w:p>
        </w:tc>
        <w:tc>
          <w:tcPr>
            <w:tcW w:w="2403" w:type="dxa"/>
            <w:tcBorders>
              <w:top w:val="single" w:sz="4" w:space="0" w:color="000000"/>
              <w:left w:val="single" w:sz="4" w:space="0" w:color="000000"/>
              <w:bottom w:val="single" w:sz="4" w:space="0" w:color="000000"/>
              <w:right w:val="single" w:sz="4" w:space="0" w:color="000000"/>
            </w:tcBorders>
            <w:vAlign w:val="center"/>
          </w:tcPr>
          <w:p w:rsidR="007F3DC3" w:rsidRPr="003E743A" w:rsidRDefault="007F3DC3" w:rsidP="00960124">
            <w:pPr>
              <w:tabs>
                <w:tab w:val="left" w:pos="2268"/>
                <w:tab w:val="left" w:pos="6237"/>
                <w:tab w:val="left" w:pos="7020"/>
              </w:tabs>
              <w:spacing w:after="0" w:line="240" w:lineRule="auto"/>
              <w:ind w:left="63" w:right="-20"/>
              <w:jc w:val="center"/>
              <w:rPr>
                <w:rFonts w:ascii="Times New Roman" w:eastAsia="Arial" w:hAnsi="Times New Roman" w:cs="Times New Roman"/>
                <w:sz w:val="20"/>
                <w:szCs w:val="20"/>
                <w:lang w:eastAsia="fr-FR"/>
              </w:rPr>
            </w:pPr>
            <w:r w:rsidRPr="003E743A">
              <w:rPr>
                <w:rFonts w:ascii="Times New Roman" w:eastAsia="Arial" w:hAnsi="Times New Roman" w:cs="Times New Roman"/>
                <w:spacing w:val="2"/>
                <w:sz w:val="20"/>
                <w:szCs w:val="20"/>
                <w:lang w:eastAsia="fr-FR"/>
              </w:rPr>
              <w:t>B</w:t>
            </w:r>
            <w:r w:rsidRPr="003E743A">
              <w:rPr>
                <w:rFonts w:ascii="Times New Roman" w:eastAsia="Arial" w:hAnsi="Times New Roman" w:cs="Times New Roman"/>
                <w:sz w:val="20"/>
                <w:szCs w:val="20"/>
                <w:lang w:eastAsia="fr-FR"/>
              </w:rPr>
              <w:t>andimII</w:t>
            </w:r>
          </w:p>
        </w:tc>
        <w:tc>
          <w:tcPr>
            <w:tcW w:w="2109" w:type="dxa"/>
            <w:tcBorders>
              <w:top w:val="single" w:sz="4" w:space="0" w:color="000000"/>
              <w:left w:val="single" w:sz="4" w:space="0" w:color="000000"/>
              <w:bottom w:val="single" w:sz="4" w:space="0" w:color="000000"/>
              <w:right w:val="nil"/>
            </w:tcBorders>
            <w:vAlign w:val="center"/>
          </w:tcPr>
          <w:p w:rsidR="007F3DC3" w:rsidRPr="003E743A" w:rsidRDefault="007F3DC3" w:rsidP="00960124">
            <w:pPr>
              <w:tabs>
                <w:tab w:val="left" w:pos="2268"/>
                <w:tab w:val="left" w:pos="6237"/>
                <w:tab w:val="left" w:pos="7020"/>
              </w:tabs>
              <w:spacing w:after="0" w:line="240" w:lineRule="auto"/>
              <w:jc w:val="center"/>
              <w:rPr>
                <w:rFonts w:ascii="Times New Roman" w:eastAsia="Calibri" w:hAnsi="Times New Roman" w:cs="Times New Roman"/>
                <w:sz w:val="20"/>
                <w:szCs w:val="20"/>
                <w:lang w:eastAsia="fr-FR"/>
              </w:rPr>
            </w:pPr>
            <w:r w:rsidRPr="003E743A">
              <w:rPr>
                <w:rFonts w:ascii="Times New Roman" w:eastAsia="Arial" w:hAnsi="Times New Roman" w:cs="Times New Roman"/>
                <w:b/>
                <w:sz w:val="20"/>
                <w:szCs w:val="20"/>
                <w:lang w:eastAsia="fr-FR"/>
              </w:rPr>
              <w:t>57</w:t>
            </w:r>
          </w:p>
        </w:tc>
        <w:tc>
          <w:tcPr>
            <w:tcW w:w="25" w:type="dxa"/>
            <w:tcBorders>
              <w:top w:val="single" w:sz="4" w:space="0" w:color="000000"/>
              <w:left w:val="nil"/>
              <w:bottom w:val="single" w:sz="4" w:space="0" w:color="000000"/>
              <w:right w:val="single" w:sz="4" w:space="0" w:color="000000"/>
            </w:tcBorders>
            <w:vAlign w:val="center"/>
          </w:tcPr>
          <w:p w:rsidR="007F3DC3" w:rsidRPr="003E743A" w:rsidRDefault="007F3DC3" w:rsidP="00960124">
            <w:pPr>
              <w:tabs>
                <w:tab w:val="left" w:pos="2268"/>
                <w:tab w:val="left" w:pos="6237"/>
                <w:tab w:val="left" w:pos="7020"/>
              </w:tabs>
              <w:spacing w:after="0" w:line="240" w:lineRule="auto"/>
              <w:ind w:left="340" w:right="-20"/>
              <w:jc w:val="center"/>
              <w:rPr>
                <w:rFonts w:ascii="Times New Roman" w:eastAsia="Arial" w:hAnsi="Times New Roman" w:cs="Times New Roman"/>
                <w:b/>
                <w:sz w:val="20"/>
                <w:szCs w:val="20"/>
                <w:lang w:eastAsia="fr-FR"/>
              </w:rPr>
            </w:pPr>
          </w:p>
        </w:tc>
        <w:tc>
          <w:tcPr>
            <w:tcW w:w="3519" w:type="dxa"/>
            <w:tcBorders>
              <w:top w:val="single" w:sz="4" w:space="0" w:color="000000"/>
              <w:left w:val="single" w:sz="4" w:space="0" w:color="000000"/>
              <w:bottom w:val="single" w:sz="4" w:space="0" w:color="000000"/>
              <w:right w:val="nil"/>
            </w:tcBorders>
            <w:vAlign w:val="center"/>
          </w:tcPr>
          <w:p w:rsidR="007F3DC3" w:rsidRPr="003E743A" w:rsidRDefault="007F3DC3" w:rsidP="00960124">
            <w:pPr>
              <w:tabs>
                <w:tab w:val="left" w:pos="2268"/>
                <w:tab w:val="left" w:pos="6237"/>
                <w:tab w:val="left" w:pos="7020"/>
              </w:tabs>
              <w:spacing w:after="0" w:line="240" w:lineRule="auto"/>
              <w:jc w:val="center"/>
              <w:rPr>
                <w:rFonts w:ascii="Times New Roman" w:eastAsia="Calibri" w:hAnsi="Times New Roman" w:cs="Times New Roman"/>
                <w:sz w:val="20"/>
                <w:szCs w:val="20"/>
                <w:lang w:eastAsia="fr-FR"/>
              </w:rPr>
            </w:pPr>
            <w:r w:rsidRPr="003E743A">
              <w:rPr>
                <w:rFonts w:ascii="Times New Roman" w:eastAsia="Arial" w:hAnsi="Times New Roman" w:cs="Times New Roman"/>
                <w:b/>
                <w:sz w:val="20"/>
                <w:szCs w:val="20"/>
              </w:rPr>
              <w:t>14</w:t>
            </w:r>
            <w:r w:rsidRPr="003E743A">
              <w:rPr>
                <w:rFonts w:ascii="Times New Roman" w:eastAsia="Arial" w:hAnsi="Times New Roman" w:cs="Times New Roman"/>
                <w:b/>
                <w:spacing w:val="1"/>
                <w:sz w:val="20"/>
                <w:szCs w:val="20"/>
              </w:rPr>
              <w:t>58</w:t>
            </w:r>
            <w:r w:rsidRPr="003E743A">
              <w:rPr>
                <w:rFonts w:ascii="Times New Roman" w:eastAsia="Arial" w:hAnsi="Times New Roman" w:cs="Times New Roman"/>
                <w:b/>
                <w:sz w:val="20"/>
                <w:szCs w:val="20"/>
              </w:rPr>
              <w:t>8</w:t>
            </w:r>
          </w:p>
        </w:tc>
        <w:tc>
          <w:tcPr>
            <w:tcW w:w="20" w:type="dxa"/>
            <w:tcBorders>
              <w:top w:val="single" w:sz="4" w:space="0" w:color="000000"/>
              <w:left w:val="nil"/>
              <w:bottom w:val="single" w:sz="4" w:space="0" w:color="000000"/>
              <w:right w:val="single" w:sz="4" w:space="0" w:color="000000"/>
            </w:tcBorders>
            <w:vAlign w:val="center"/>
          </w:tcPr>
          <w:p w:rsidR="007F3DC3" w:rsidRPr="003E743A" w:rsidRDefault="007F3DC3" w:rsidP="00960124">
            <w:pPr>
              <w:spacing w:line="240" w:lineRule="auto"/>
              <w:ind w:left="181" w:right="-20"/>
              <w:jc w:val="both"/>
              <w:rPr>
                <w:rFonts w:ascii="Times New Roman" w:eastAsia="Arial" w:hAnsi="Times New Roman" w:cs="Times New Roman"/>
                <w:b/>
                <w:sz w:val="20"/>
                <w:szCs w:val="20"/>
              </w:rPr>
            </w:pPr>
          </w:p>
        </w:tc>
      </w:tr>
      <w:tr w:rsidR="007F3DC3" w:rsidRPr="003E743A" w:rsidTr="00960124">
        <w:trPr>
          <w:gridAfter w:val="1"/>
          <w:wAfter w:w="20" w:type="dxa"/>
          <w:trHeight w:hRule="exact" w:val="269"/>
        </w:trPr>
        <w:tc>
          <w:tcPr>
            <w:tcW w:w="404" w:type="dxa"/>
            <w:tcBorders>
              <w:top w:val="single" w:sz="4" w:space="0" w:color="000000"/>
              <w:left w:val="single" w:sz="4" w:space="0" w:color="000000"/>
              <w:bottom w:val="single" w:sz="4" w:space="0" w:color="000000"/>
              <w:right w:val="nil"/>
            </w:tcBorders>
            <w:vAlign w:val="center"/>
          </w:tcPr>
          <w:p w:rsidR="007F3DC3" w:rsidRPr="003E743A" w:rsidRDefault="007F3DC3" w:rsidP="00960124">
            <w:pPr>
              <w:tabs>
                <w:tab w:val="left" w:pos="2268"/>
                <w:tab w:val="left" w:pos="6237"/>
                <w:tab w:val="left" w:pos="7020"/>
              </w:tabs>
              <w:spacing w:after="0" w:line="240" w:lineRule="auto"/>
              <w:jc w:val="center"/>
              <w:rPr>
                <w:rFonts w:ascii="Times New Roman" w:eastAsia="Calibri" w:hAnsi="Times New Roman" w:cs="Times New Roman"/>
                <w:b/>
                <w:sz w:val="20"/>
                <w:szCs w:val="20"/>
                <w:lang w:eastAsia="fr-FR"/>
              </w:rPr>
            </w:pPr>
          </w:p>
        </w:tc>
        <w:tc>
          <w:tcPr>
            <w:tcW w:w="172" w:type="dxa"/>
            <w:tcBorders>
              <w:top w:val="single" w:sz="4" w:space="0" w:color="000000"/>
              <w:left w:val="nil"/>
              <w:bottom w:val="single" w:sz="4" w:space="0" w:color="000000"/>
              <w:right w:val="single" w:sz="4" w:space="0" w:color="000000"/>
            </w:tcBorders>
            <w:vAlign w:val="center"/>
          </w:tcPr>
          <w:p w:rsidR="007F3DC3" w:rsidRPr="003E743A" w:rsidRDefault="007F3DC3" w:rsidP="00960124">
            <w:pPr>
              <w:tabs>
                <w:tab w:val="left" w:pos="2268"/>
                <w:tab w:val="left" w:pos="6237"/>
                <w:tab w:val="left" w:pos="7020"/>
              </w:tabs>
              <w:spacing w:after="0" w:line="240" w:lineRule="auto"/>
              <w:ind w:left="3"/>
              <w:jc w:val="center"/>
              <w:rPr>
                <w:rFonts w:ascii="Times New Roman" w:eastAsia="Arial" w:hAnsi="Times New Roman" w:cs="Times New Roman"/>
                <w:b/>
                <w:sz w:val="20"/>
                <w:szCs w:val="20"/>
                <w:lang w:eastAsia="fr-FR"/>
              </w:rPr>
            </w:pPr>
            <w:r w:rsidRPr="003E743A">
              <w:rPr>
                <w:rFonts w:ascii="Times New Roman" w:eastAsia="Arial" w:hAnsi="Times New Roman" w:cs="Times New Roman"/>
                <w:b/>
                <w:sz w:val="20"/>
                <w:szCs w:val="20"/>
                <w:lang w:eastAsia="fr-FR"/>
              </w:rPr>
              <w:t>9</w:t>
            </w:r>
          </w:p>
        </w:tc>
        <w:tc>
          <w:tcPr>
            <w:tcW w:w="2403" w:type="dxa"/>
            <w:tcBorders>
              <w:top w:val="single" w:sz="4" w:space="0" w:color="000000"/>
              <w:left w:val="single" w:sz="4" w:space="0" w:color="000000"/>
              <w:bottom w:val="single" w:sz="4" w:space="0" w:color="000000"/>
              <w:right w:val="single" w:sz="4" w:space="0" w:color="000000"/>
            </w:tcBorders>
            <w:vAlign w:val="center"/>
          </w:tcPr>
          <w:p w:rsidR="007F3DC3" w:rsidRPr="003E743A" w:rsidRDefault="007F3DC3" w:rsidP="00960124">
            <w:pPr>
              <w:tabs>
                <w:tab w:val="left" w:pos="2268"/>
                <w:tab w:val="left" w:pos="6237"/>
                <w:tab w:val="left" w:pos="7020"/>
              </w:tabs>
              <w:spacing w:after="0" w:line="240" w:lineRule="auto"/>
              <w:ind w:left="63" w:right="-20"/>
              <w:jc w:val="center"/>
              <w:rPr>
                <w:rFonts w:ascii="Times New Roman" w:eastAsia="Arial" w:hAnsi="Times New Roman" w:cs="Times New Roman"/>
                <w:sz w:val="20"/>
                <w:szCs w:val="20"/>
                <w:lang w:eastAsia="fr-FR"/>
              </w:rPr>
            </w:pPr>
            <w:r w:rsidRPr="003E743A">
              <w:rPr>
                <w:rFonts w:ascii="Times New Roman" w:eastAsia="Arial" w:hAnsi="Times New Roman" w:cs="Times New Roman"/>
                <w:spacing w:val="2"/>
                <w:sz w:val="20"/>
                <w:szCs w:val="20"/>
                <w:lang w:eastAsia="fr-FR"/>
              </w:rPr>
              <w:t>B</w:t>
            </w:r>
            <w:r w:rsidRPr="003E743A">
              <w:rPr>
                <w:rFonts w:ascii="Times New Roman" w:eastAsia="Arial" w:hAnsi="Times New Roman" w:cs="Times New Roman"/>
                <w:sz w:val="20"/>
                <w:szCs w:val="20"/>
                <w:lang w:eastAsia="fr-FR"/>
              </w:rPr>
              <w:t>élem</w:t>
            </w:r>
          </w:p>
        </w:tc>
        <w:tc>
          <w:tcPr>
            <w:tcW w:w="2109" w:type="dxa"/>
            <w:tcBorders>
              <w:top w:val="single" w:sz="4" w:space="0" w:color="000000"/>
              <w:left w:val="single" w:sz="4" w:space="0" w:color="000000"/>
              <w:bottom w:val="single" w:sz="4" w:space="0" w:color="000000"/>
              <w:right w:val="nil"/>
            </w:tcBorders>
            <w:vAlign w:val="center"/>
          </w:tcPr>
          <w:p w:rsidR="007F3DC3" w:rsidRPr="003E743A" w:rsidRDefault="007F3DC3" w:rsidP="00960124">
            <w:pPr>
              <w:tabs>
                <w:tab w:val="left" w:pos="2268"/>
                <w:tab w:val="left" w:pos="6237"/>
                <w:tab w:val="left" w:pos="7020"/>
              </w:tabs>
              <w:spacing w:after="0" w:line="240" w:lineRule="auto"/>
              <w:jc w:val="center"/>
              <w:rPr>
                <w:rFonts w:ascii="Times New Roman" w:eastAsia="Calibri" w:hAnsi="Times New Roman" w:cs="Times New Roman"/>
                <w:sz w:val="20"/>
                <w:szCs w:val="20"/>
                <w:lang w:eastAsia="fr-FR"/>
              </w:rPr>
            </w:pPr>
            <w:r w:rsidRPr="003E743A">
              <w:rPr>
                <w:rFonts w:ascii="Times New Roman" w:eastAsia="Arial" w:hAnsi="Times New Roman" w:cs="Times New Roman"/>
                <w:b/>
                <w:sz w:val="20"/>
                <w:szCs w:val="20"/>
                <w:lang w:eastAsia="fr-FR"/>
              </w:rPr>
              <w:t>66</w:t>
            </w:r>
          </w:p>
        </w:tc>
        <w:tc>
          <w:tcPr>
            <w:tcW w:w="25" w:type="dxa"/>
            <w:tcBorders>
              <w:top w:val="single" w:sz="4" w:space="0" w:color="000000"/>
              <w:left w:val="nil"/>
              <w:bottom w:val="single" w:sz="4" w:space="0" w:color="000000"/>
              <w:right w:val="single" w:sz="4" w:space="0" w:color="000000"/>
            </w:tcBorders>
            <w:vAlign w:val="center"/>
          </w:tcPr>
          <w:p w:rsidR="007F3DC3" w:rsidRPr="003E743A" w:rsidRDefault="007F3DC3" w:rsidP="00960124">
            <w:pPr>
              <w:tabs>
                <w:tab w:val="left" w:pos="2268"/>
                <w:tab w:val="left" w:pos="6237"/>
                <w:tab w:val="left" w:pos="7020"/>
              </w:tabs>
              <w:spacing w:after="0" w:line="240" w:lineRule="auto"/>
              <w:ind w:left="340" w:right="-20"/>
              <w:jc w:val="center"/>
              <w:rPr>
                <w:rFonts w:ascii="Times New Roman" w:eastAsia="Arial" w:hAnsi="Times New Roman" w:cs="Times New Roman"/>
                <w:b/>
                <w:sz w:val="20"/>
                <w:szCs w:val="20"/>
                <w:lang w:eastAsia="fr-FR"/>
              </w:rPr>
            </w:pPr>
          </w:p>
        </w:tc>
        <w:tc>
          <w:tcPr>
            <w:tcW w:w="3519" w:type="dxa"/>
            <w:tcBorders>
              <w:top w:val="single" w:sz="4" w:space="0" w:color="000000"/>
              <w:left w:val="single" w:sz="4" w:space="0" w:color="000000"/>
              <w:bottom w:val="single" w:sz="4" w:space="0" w:color="000000"/>
              <w:right w:val="nil"/>
            </w:tcBorders>
            <w:vAlign w:val="center"/>
          </w:tcPr>
          <w:p w:rsidR="007F3DC3" w:rsidRPr="003E743A" w:rsidRDefault="007F3DC3" w:rsidP="00960124">
            <w:pPr>
              <w:tabs>
                <w:tab w:val="left" w:pos="2268"/>
                <w:tab w:val="left" w:pos="6237"/>
                <w:tab w:val="left" w:pos="7020"/>
              </w:tabs>
              <w:spacing w:after="0" w:line="240" w:lineRule="auto"/>
              <w:jc w:val="center"/>
              <w:rPr>
                <w:rFonts w:ascii="Times New Roman" w:eastAsia="Calibri" w:hAnsi="Times New Roman" w:cs="Times New Roman"/>
                <w:sz w:val="20"/>
                <w:szCs w:val="20"/>
                <w:lang w:eastAsia="fr-FR"/>
              </w:rPr>
            </w:pPr>
            <w:r w:rsidRPr="003E743A">
              <w:rPr>
                <w:rFonts w:ascii="Times New Roman" w:eastAsia="Arial" w:hAnsi="Times New Roman" w:cs="Times New Roman"/>
                <w:b/>
                <w:sz w:val="20"/>
                <w:szCs w:val="20"/>
              </w:rPr>
              <w:t>12</w:t>
            </w:r>
            <w:r w:rsidRPr="003E743A">
              <w:rPr>
                <w:rFonts w:ascii="Times New Roman" w:eastAsia="Arial" w:hAnsi="Times New Roman" w:cs="Times New Roman"/>
                <w:b/>
                <w:spacing w:val="1"/>
                <w:sz w:val="20"/>
                <w:szCs w:val="20"/>
              </w:rPr>
              <w:t>65</w:t>
            </w:r>
            <w:r w:rsidRPr="003E743A">
              <w:rPr>
                <w:rFonts w:ascii="Times New Roman" w:eastAsia="Arial" w:hAnsi="Times New Roman" w:cs="Times New Roman"/>
                <w:b/>
                <w:sz w:val="20"/>
                <w:szCs w:val="20"/>
              </w:rPr>
              <w:t>6</w:t>
            </w:r>
          </w:p>
        </w:tc>
        <w:tc>
          <w:tcPr>
            <w:tcW w:w="20" w:type="dxa"/>
            <w:tcBorders>
              <w:top w:val="single" w:sz="4" w:space="0" w:color="000000"/>
              <w:left w:val="nil"/>
              <w:bottom w:val="single" w:sz="4" w:space="0" w:color="000000"/>
              <w:right w:val="single" w:sz="4" w:space="0" w:color="000000"/>
            </w:tcBorders>
            <w:vAlign w:val="center"/>
          </w:tcPr>
          <w:p w:rsidR="007F3DC3" w:rsidRPr="003E743A" w:rsidRDefault="007F3DC3" w:rsidP="00960124">
            <w:pPr>
              <w:spacing w:line="240" w:lineRule="auto"/>
              <w:ind w:left="181" w:right="-20"/>
              <w:jc w:val="both"/>
              <w:rPr>
                <w:rFonts w:ascii="Times New Roman" w:eastAsia="Arial" w:hAnsi="Times New Roman" w:cs="Times New Roman"/>
                <w:b/>
                <w:sz w:val="20"/>
                <w:szCs w:val="20"/>
              </w:rPr>
            </w:pPr>
          </w:p>
        </w:tc>
      </w:tr>
      <w:tr w:rsidR="007F3DC3" w:rsidRPr="003E743A" w:rsidTr="00960124">
        <w:trPr>
          <w:trHeight w:hRule="exact" w:val="288"/>
        </w:trPr>
        <w:tc>
          <w:tcPr>
            <w:tcW w:w="576" w:type="dxa"/>
            <w:gridSpan w:val="2"/>
            <w:tcBorders>
              <w:top w:val="single" w:sz="4" w:space="0" w:color="000000"/>
              <w:left w:val="single" w:sz="4" w:space="0" w:color="000000"/>
              <w:bottom w:val="single" w:sz="4" w:space="0" w:color="000000"/>
              <w:right w:val="single" w:sz="4" w:space="0" w:color="000000"/>
            </w:tcBorders>
            <w:vAlign w:val="center"/>
          </w:tcPr>
          <w:p w:rsidR="007F3DC3" w:rsidRPr="003E743A" w:rsidRDefault="007F3DC3" w:rsidP="00960124">
            <w:pPr>
              <w:tabs>
                <w:tab w:val="left" w:pos="2268"/>
                <w:tab w:val="left" w:pos="6237"/>
                <w:tab w:val="left" w:pos="7020"/>
              </w:tabs>
              <w:spacing w:after="0" w:line="240" w:lineRule="auto"/>
              <w:ind w:left="243" w:right="-20"/>
              <w:jc w:val="center"/>
              <w:rPr>
                <w:rFonts w:ascii="Times New Roman" w:eastAsia="Arial" w:hAnsi="Times New Roman" w:cs="Times New Roman"/>
                <w:b/>
                <w:sz w:val="20"/>
                <w:szCs w:val="20"/>
                <w:lang w:eastAsia="fr-FR"/>
              </w:rPr>
            </w:pPr>
            <w:r w:rsidRPr="003E743A">
              <w:rPr>
                <w:rFonts w:ascii="Times New Roman" w:eastAsia="Arial" w:hAnsi="Times New Roman" w:cs="Times New Roman"/>
                <w:b/>
                <w:sz w:val="20"/>
                <w:szCs w:val="20"/>
                <w:lang w:eastAsia="fr-FR"/>
              </w:rPr>
              <w:t>10</w:t>
            </w:r>
          </w:p>
        </w:tc>
        <w:tc>
          <w:tcPr>
            <w:tcW w:w="2403" w:type="dxa"/>
            <w:tcBorders>
              <w:top w:val="single" w:sz="4" w:space="0" w:color="000000"/>
              <w:left w:val="single" w:sz="4" w:space="0" w:color="000000"/>
              <w:bottom w:val="single" w:sz="4" w:space="0" w:color="000000"/>
              <w:right w:val="single" w:sz="4" w:space="0" w:color="000000"/>
            </w:tcBorders>
            <w:vAlign w:val="center"/>
          </w:tcPr>
          <w:p w:rsidR="007F3DC3" w:rsidRPr="003E743A" w:rsidRDefault="007F3DC3" w:rsidP="00960124">
            <w:pPr>
              <w:tabs>
                <w:tab w:val="left" w:pos="2268"/>
                <w:tab w:val="left" w:pos="6237"/>
                <w:tab w:val="left" w:pos="7020"/>
              </w:tabs>
              <w:spacing w:after="0" w:line="240" w:lineRule="auto"/>
              <w:ind w:left="63" w:right="-20"/>
              <w:jc w:val="center"/>
              <w:rPr>
                <w:rFonts w:ascii="Times New Roman" w:eastAsia="Arial" w:hAnsi="Times New Roman" w:cs="Times New Roman"/>
                <w:sz w:val="20"/>
                <w:szCs w:val="20"/>
                <w:lang w:eastAsia="fr-FR"/>
              </w:rPr>
            </w:pPr>
            <w:r w:rsidRPr="003E743A">
              <w:rPr>
                <w:rFonts w:ascii="Times New Roman" w:eastAsia="Arial" w:hAnsi="Times New Roman" w:cs="Times New Roman"/>
                <w:spacing w:val="2"/>
                <w:sz w:val="20"/>
                <w:szCs w:val="20"/>
                <w:lang w:eastAsia="fr-FR"/>
              </w:rPr>
              <w:t>L</w:t>
            </w:r>
            <w:r w:rsidRPr="003E743A">
              <w:rPr>
                <w:rFonts w:ascii="Times New Roman" w:eastAsia="Arial" w:hAnsi="Times New Roman" w:cs="Times New Roman"/>
                <w:spacing w:val="-1"/>
                <w:sz w:val="20"/>
                <w:szCs w:val="20"/>
                <w:lang w:eastAsia="fr-FR"/>
              </w:rPr>
              <w:t>u</w:t>
            </w:r>
            <w:r w:rsidRPr="003E743A">
              <w:rPr>
                <w:rFonts w:ascii="Times New Roman" w:eastAsia="Arial" w:hAnsi="Times New Roman" w:cs="Times New Roman"/>
                <w:spacing w:val="1"/>
                <w:sz w:val="20"/>
                <w:szCs w:val="20"/>
                <w:lang w:eastAsia="fr-FR"/>
              </w:rPr>
              <w:t>a</w:t>
            </w:r>
            <w:r w:rsidRPr="003E743A">
              <w:rPr>
                <w:rFonts w:ascii="Times New Roman" w:eastAsia="Arial" w:hAnsi="Times New Roman" w:cs="Times New Roman"/>
                <w:spacing w:val="-1"/>
                <w:sz w:val="20"/>
                <w:szCs w:val="20"/>
                <w:lang w:eastAsia="fr-FR"/>
              </w:rPr>
              <w:t>n</w:t>
            </w:r>
            <w:r w:rsidRPr="003E743A">
              <w:rPr>
                <w:rFonts w:ascii="Times New Roman" w:eastAsia="Arial" w:hAnsi="Times New Roman" w:cs="Times New Roman"/>
                <w:spacing w:val="1"/>
                <w:sz w:val="20"/>
                <w:szCs w:val="20"/>
                <w:lang w:eastAsia="fr-FR"/>
              </w:rPr>
              <w:t>da</w:t>
            </w:r>
          </w:p>
        </w:tc>
        <w:tc>
          <w:tcPr>
            <w:tcW w:w="2109" w:type="dxa"/>
            <w:tcBorders>
              <w:top w:val="single" w:sz="4" w:space="0" w:color="000000"/>
              <w:left w:val="single" w:sz="4" w:space="0" w:color="000000"/>
              <w:bottom w:val="single" w:sz="4" w:space="0" w:color="000000"/>
              <w:right w:val="nil"/>
            </w:tcBorders>
            <w:vAlign w:val="center"/>
          </w:tcPr>
          <w:p w:rsidR="007F3DC3" w:rsidRPr="003E743A" w:rsidRDefault="007F3DC3" w:rsidP="00960124">
            <w:pPr>
              <w:tabs>
                <w:tab w:val="left" w:pos="2268"/>
                <w:tab w:val="left" w:pos="6237"/>
                <w:tab w:val="left" w:pos="7020"/>
              </w:tabs>
              <w:spacing w:after="0" w:line="240" w:lineRule="auto"/>
              <w:jc w:val="center"/>
              <w:rPr>
                <w:rFonts w:ascii="Times New Roman" w:eastAsia="Calibri" w:hAnsi="Times New Roman" w:cs="Times New Roman"/>
                <w:sz w:val="20"/>
                <w:szCs w:val="20"/>
                <w:lang w:eastAsia="fr-FR"/>
              </w:rPr>
            </w:pPr>
            <w:r w:rsidRPr="003E743A">
              <w:rPr>
                <w:rFonts w:ascii="Times New Roman" w:eastAsia="Arial" w:hAnsi="Times New Roman" w:cs="Times New Roman"/>
                <w:b/>
                <w:sz w:val="20"/>
                <w:szCs w:val="20"/>
                <w:lang w:eastAsia="fr-FR"/>
              </w:rPr>
              <w:t>32</w:t>
            </w:r>
          </w:p>
        </w:tc>
        <w:tc>
          <w:tcPr>
            <w:tcW w:w="25" w:type="dxa"/>
            <w:tcBorders>
              <w:top w:val="single" w:sz="4" w:space="0" w:color="000000"/>
              <w:left w:val="nil"/>
              <w:bottom w:val="single" w:sz="4" w:space="0" w:color="000000"/>
              <w:right w:val="single" w:sz="4" w:space="0" w:color="000000"/>
            </w:tcBorders>
            <w:vAlign w:val="center"/>
          </w:tcPr>
          <w:p w:rsidR="007F3DC3" w:rsidRPr="003E743A" w:rsidRDefault="007F3DC3" w:rsidP="00960124">
            <w:pPr>
              <w:tabs>
                <w:tab w:val="left" w:pos="2268"/>
                <w:tab w:val="left" w:pos="6237"/>
                <w:tab w:val="left" w:pos="7020"/>
              </w:tabs>
              <w:spacing w:after="0" w:line="240" w:lineRule="auto"/>
              <w:ind w:left="340" w:right="-20"/>
              <w:jc w:val="center"/>
              <w:rPr>
                <w:rFonts w:ascii="Times New Roman" w:eastAsia="Arial" w:hAnsi="Times New Roman" w:cs="Times New Roman"/>
                <w:b/>
                <w:sz w:val="20"/>
                <w:szCs w:val="20"/>
                <w:lang w:eastAsia="fr-FR"/>
              </w:rPr>
            </w:pPr>
          </w:p>
        </w:tc>
        <w:tc>
          <w:tcPr>
            <w:tcW w:w="3539" w:type="dxa"/>
            <w:gridSpan w:val="2"/>
            <w:tcBorders>
              <w:top w:val="single" w:sz="4" w:space="0" w:color="000000"/>
              <w:left w:val="single" w:sz="4" w:space="0" w:color="000000"/>
              <w:bottom w:val="single" w:sz="4" w:space="0" w:color="000000"/>
              <w:right w:val="nil"/>
            </w:tcBorders>
            <w:vAlign w:val="center"/>
          </w:tcPr>
          <w:p w:rsidR="007F3DC3" w:rsidRPr="003E743A" w:rsidRDefault="007F3DC3" w:rsidP="00960124">
            <w:pPr>
              <w:tabs>
                <w:tab w:val="left" w:pos="2268"/>
                <w:tab w:val="left" w:pos="6237"/>
                <w:tab w:val="left" w:pos="7020"/>
              </w:tabs>
              <w:spacing w:after="0" w:line="240" w:lineRule="auto"/>
              <w:jc w:val="center"/>
              <w:rPr>
                <w:rFonts w:ascii="Times New Roman" w:eastAsia="Calibri" w:hAnsi="Times New Roman" w:cs="Times New Roman"/>
                <w:sz w:val="20"/>
                <w:szCs w:val="20"/>
                <w:lang w:eastAsia="fr-FR"/>
              </w:rPr>
            </w:pPr>
            <w:r w:rsidRPr="003E743A">
              <w:rPr>
                <w:rFonts w:ascii="Times New Roman" w:eastAsia="Arial" w:hAnsi="Times New Roman" w:cs="Times New Roman"/>
                <w:b/>
                <w:sz w:val="20"/>
                <w:szCs w:val="20"/>
              </w:rPr>
              <w:t>99</w:t>
            </w:r>
            <w:r w:rsidRPr="003E743A">
              <w:rPr>
                <w:rFonts w:ascii="Times New Roman" w:eastAsia="Arial" w:hAnsi="Times New Roman" w:cs="Times New Roman"/>
                <w:b/>
                <w:spacing w:val="1"/>
                <w:sz w:val="20"/>
                <w:szCs w:val="20"/>
              </w:rPr>
              <w:t>9</w:t>
            </w:r>
            <w:r w:rsidRPr="003E743A">
              <w:rPr>
                <w:rFonts w:ascii="Times New Roman" w:eastAsia="Arial" w:hAnsi="Times New Roman" w:cs="Times New Roman"/>
                <w:b/>
                <w:sz w:val="20"/>
                <w:szCs w:val="20"/>
              </w:rPr>
              <w:t>7</w:t>
            </w:r>
          </w:p>
        </w:tc>
        <w:tc>
          <w:tcPr>
            <w:tcW w:w="20" w:type="dxa"/>
            <w:tcBorders>
              <w:top w:val="single" w:sz="4" w:space="0" w:color="000000"/>
              <w:left w:val="nil"/>
              <w:bottom w:val="single" w:sz="4" w:space="0" w:color="000000"/>
              <w:right w:val="single" w:sz="4" w:space="0" w:color="000000"/>
            </w:tcBorders>
            <w:vAlign w:val="center"/>
          </w:tcPr>
          <w:p w:rsidR="007F3DC3" w:rsidRPr="003E743A" w:rsidRDefault="007F3DC3" w:rsidP="00960124">
            <w:pPr>
              <w:spacing w:line="240" w:lineRule="auto"/>
              <w:ind w:left="281" w:right="-20"/>
              <w:jc w:val="both"/>
              <w:rPr>
                <w:rFonts w:ascii="Times New Roman" w:eastAsia="Arial" w:hAnsi="Times New Roman" w:cs="Times New Roman"/>
                <w:b/>
                <w:sz w:val="20"/>
                <w:szCs w:val="20"/>
              </w:rPr>
            </w:pPr>
          </w:p>
        </w:tc>
      </w:tr>
      <w:tr w:rsidR="007F3DC3" w:rsidRPr="003E743A" w:rsidTr="00960124">
        <w:trPr>
          <w:trHeight w:hRule="exact" w:val="291"/>
        </w:trPr>
        <w:tc>
          <w:tcPr>
            <w:tcW w:w="576" w:type="dxa"/>
            <w:gridSpan w:val="2"/>
            <w:tcBorders>
              <w:top w:val="single" w:sz="4" w:space="0" w:color="000000"/>
              <w:left w:val="single" w:sz="4" w:space="0" w:color="000000"/>
              <w:bottom w:val="single" w:sz="4" w:space="0" w:color="000000"/>
              <w:right w:val="single" w:sz="4" w:space="0" w:color="000000"/>
            </w:tcBorders>
            <w:vAlign w:val="center"/>
          </w:tcPr>
          <w:p w:rsidR="007F3DC3" w:rsidRPr="003E743A" w:rsidRDefault="007F3DC3" w:rsidP="00960124">
            <w:pPr>
              <w:tabs>
                <w:tab w:val="left" w:pos="2268"/>
                <w:tab w:val="left" w:pos="6237"/>
                <w:tab w:val="left" w:pos="7020"/>
              </w:tabs>
              <w:spacing w:after="0" w:line="240" w:lineRule="auto"/>
              <w:ind w:left="243" w:right="-20"/>
              <w:jc w:val="center"/>
              <w:rPr>
                <w:rFonts w:ascii="Times New Roman" w:eastAsia="Arial" w:hAnsi="Times New Roman" w:cs="Times New Roman"/>
                <w:b/>
                <w:sz w:val="20"/>
                <w:szCs w:val="20"/>
                <w:lang w:eastAsia="fr-FR"/>
              </w:rPr>
            </w:pPr>
            <w:r w:rsidRPr="003E743A">
              <w:rPr>
                <w:rFonts w:ascii="Times New Roman" w:eastAsia="Arial" w:hAnsi="Times New Roman" w:cs="Times New Roman"/>
                <w:b/>
                <w:sz w:val="20"/>
                <w:szCs w:val="20"/>
                <w:lang w:eastAsia="fr-FR"/>
              </w:rPr>
              <w:t>11</w:t>
            </w:r>
          </w:p>
        </w:tc>
        <w:tc>
          <w:tcPr>
            <w:tcW w:w="2403" w:type="dxa"/>
            <w:tcBorders>
              <w:top w:val="single" w:sz="4" w:space="0" w:color="000000"/>
              <w:left w:val="single" w:sz="4" w:space="0" w:color="000000"/>
              <w:bottom w:val="single" w:sz="4" w:space="0" w:color="000000"/>
              <w:right w:val="single" w:sz="4" w:space="0" w:color="000000"/>
            </w:tcBorders>
            <w:vAlign w:val="center"/>
          </w:tcPr>
          <w:p w:rsidR="007F3DC3" w:rsidRPr="003E743A" w:rsidRDefault="007F3DC3" w:rsidP="00960124">
            <w:pPr>
              <w:tabs>
                <w:tab w:val="left" w:pos="2268"/>
                <w:tab w:val="left" w:pos="6237"/>
                <w:tab w:val="left" w:pos="7020"/>
              </w:tabs>
              <w:spacing w:after="0" w:line="240" w:lineRule="auto"/>
              <w:ind w:left="63" w:right="-20"/>
              <w:jc w:val="center"/>
              <w:rPr>
                <w:rFonts w:ascii="Times New Roman" w:eastAsia="Arial" w:hAnsi="Times New Roman" w:cs="Times New Roman"/>
                <w:sz w:val="20"/>
                <w:szCs w:val="20"/>
                <w:lang w:eastAsia="fr-FR"/>
              </w:rPr>
            </w:pPr>
            <w:r w:rsidRPr="003E743A">
              <w:rPr>
                <w:rFonts w:ascii="Times New Roman" w:eastAsia="Arial" w:hAnsi="Times New Roman" w:cs="Times New Roman"/>
                <w:spacing w:val="4"/>
                <w:sz w:val="20"/>
                <w:szCs w:val="20"/>
                <w:lang w:eastAsia="fr-FR"/>
              </w:rPr>
              <w:t>M</w:t>
            </w:r>
            <w:r w:rsidRPr="003E743A">
              <w:rPr>
                <w:rFonts w:ascii="Times New Roman" w:eastAsia="Arial" w:hAnsi="Times New Roman" w:cs="Times New Roman"/>
                <w:sz w:val="20"/>
                <w:szCs w:val="20"/>
                <w:lang w:eastAsia="fr-FR"/>
              </w:rPr>
              <w:t>e</w:t>
            </w:r>
            <w:r w:rsidRPr="003E743A">
              <w:rPr>
                <w:rFonts w:ascii="Times New Roman" w:eastAsia="Arial" w:hAnsi="Times New Roman" w:cs="Times New Roman"/>
                <w:spacing w:val="-1"/>
                <w:sz w:val="20"/>
                <w:szCs w:val="20"/>
                <w:lang w:eastAsia="fr-FR"/>
              </w:rPr>
              <w:t>d</w:t>
            </w:r>
            <w:r w:rsidRPr="003E743A">
              <w:rPr>
                <w:rFonts w:ascii="Times New Roman" w:eastAsia="Arial" w:hAnsi="Times New Roman" w:cs="Times New Roman"/>
                <w:spacing w:val="1"/>
                <w:sz w:val="20"/>
                <w:szCs w:val="20"/>
                <w:lang w:eastAsia="fr-FR"/>
              </w:rPr>
              <w:t>i</w:t>
            </w:r>
            <w:r w:rsidRPr="003E743A">
              <w:rPr>
                <w:rFonts w:ascii="Times New Roman" w:eastAsia="Arial" w:hAnsi="Times New Roman" w:cs="Times New Roman"/>
                <w:sz w:val="20"/>
                <w:szCs w:val="20"/>
                <w:lang w:eastAsia="fr-FR"/>
              </w:rPr>
              <w:t>na</w:t>
            </w:r>
          </w:p>
        </w:tc>
        <w:tc>
          <w:tcPr>
            <w:tcW w:w="2109" w:type="dxa"/>
            <w:tcBorders>
              <w:top w:val="single" w:sz="4" w:space="0" w:color="000000"/>
              <w:left w:val="single" w:sz="4" w:space="0" w:color="000000"/>
              <w:bottom w:val="single" w:sz="4" w:space="0" w:color="000000"/>
              <w:right w:val="nil"/>
            </w:tcBorders>
            <w:vAlign w:val="center"/>
          </w:tcPr>
          <w:p w:rsidR="007F3DC3" w:rsidRPr="003E743A" w:rsidRDefault="007F3DC3" w:rsidP="00960124">
            <w:pPr>
              <w:tabs>
                <w:tab w:val="left" w:pos="2268"/>
                <w:tab w:val="left" w:pos="6237"/>
                <w:tab w:val="left" w:pos="7020"/>
              </w:tabs>
              <w:spacing w:after="0" w:line="240" w:lineRule="auto"/>
              <w:jc w:val="center"/>
              <w:rPr>
                <w:rFonts w:ascii="Times New Roman" w:eastAsia="Calibri" w:hAnsi="Times New Roman" w:cs="Times New Roman"/>
                <w:sz w:val="20"/>
                <w:szCs w:val="20"/>
                <w:lang w:eastAsia="fr-FR"/>
              </w:rPr>
            </w:pPr>
            <w:r w:rsidRPr="003E743A">
              <w:rPr>
                <w:rFonts w:ascii="Times New Roman" w:eastAsia="Arial" w:hAnsi="Times New Roman" w:cs="Times New Roman"/>
                <w:b/>
                <w:sz w:val="20"/>
                <w:szCs w:val="20"/>
                <w:lang w:eastAsia="fr-FR"/>
              </w:rPr>
              <w:t>45</w:t>
            </w:r>
          </w:p>
        </w:tc>
        <w:tc>
          <w:tcPr>
            <w:tcW w:w="25" w:type="dxa"/>
            <w:tcBorders>
              <w:top w:val="single" w:sz="4" w:space="0" w:color="000000"/>
              <w:left w:val="nil"/>
              <w:bottom w:val="single" w:sz="4" w:space="0" w:color="000000"/>
              <w:right w:val="single" w:sz="4" w:space="0" w:color="000000"/>
            </w:tcBorders>
            <w:vAlign w:val="center"/>
          </w:tcPr>
          <w:p w:rsidR="007F3DC3" w:rsidRPr="003E743A" w:rsidRDefault="007F3DC3" w:rsidP="00960124">
            <w:pPr>
              <w:tabs>
                <w:tab w:val="left" w:pos="2268"/>
                <w:tab w:val="left" w:pos="6237"/>
                <w:tab w:val="left" w:pos="7020"/>
              </w:tabs>
              <w:spacing w:after="0" w:line="240" w:lineRule="auto"/>
              <w:ind w:left="340" w:right="-20"/>
              <w:jc w:val="center"/>
              <w:rPr>
                <w:rFonts w:ascii="Times New Roman" w:eastAsia="Arial" w:hAnsi="Times New Roman" w:cs="Times New Roman"/>
                <w:b/>
                <w:sz w:val="20"/>
                <w:szCs w:val="20"/>
                <w:lang w:eastAsia="fr-FR"/>
              </w:rPr>
            </w:pPr>
          </w:p>
        </w:tc>
        <w:tc>
          <w:tcPr>
            <w:tcW w:w="3539" w:type="dxa"/>
            <w:gridSpan w:val="2"/>
            <w:tcBorders>
              <w:top w:val="single" w:sz="4" w:space="0" w:color="000000"/>
              <w:left w:val="single" w:sz="4" w:space="0" w:color="000000"/>
              <w:bottom w:val="single" w:sz="4" w:space="0" w:color="000000"/>
              <w:right w:val="nil"/>
            </w:tcBorders>
            <w:vAlign w:val="center"/>
          </w:tcPr>
          <w:p w:rsidR="007F3DC3" w:rsidRPr="003E743A" w:rsidRDefault="007F3DC3" w:rsidP="00960124">
            <w:pPr>
              <w:tabs>
                <w:tab w:val="left" w:pos="2268"/>
                <w:tab w:val="left" w:pos="6237"/>
                <w:tab w:val="left" w:pos="7020"/>
              </w:tabs>
              <w:spacing w:after="0" w:line="240" w:lineRule="auto"/>
              <w:jc w:val="center"/>
              <w:rPr>
                <w:rFonts w:ascii="Times New Roman" w:eastAsia="Calibri" w:hAnsi="Times New Roman" w:cs="Times New Roman"/>
                <w:sz w:val="20"/>
                <w:szCs w:val="20"/>
                <w:lang w:eastAsia="fr-FR"/>
              </w:rPr>
            </w:pPr>
            <w:r w:rsidRPr="003E743A">
              <w:rPr>
                <w:rFonts w:ascii="Times New Roman" w:eastAsia="Arial" w:hAnsi="Times New Roman" w:cs="Times New Roman"/>
                <w:b/>
                <w:sz w:val="20"/>
                <w:szCs w:val="20"/>
              </w:rPr>
              <w:t>85</w:t>
            </w:r>
            <w:r w:rsidRPr="003E743A">
              <w:rPr>
                <w:rFonts w:ascii="Times New Roman" w:eastAsia="Arial" w:hAnsi="Times New Roman" w:cs="Times New Roman"/>
                <w:b/>
                <w:spacing w:val="1"/>
                <w:sz w:val="20"/>
                <w:szCs w:val="20"/>
              </w:rPr>
              <w:t>1</w:t>
            </w:r>
            <w:r w:rsidRPr="003E743A">
              <w:rPr>
                <w:rFonts w:ascii="Times New Roman" w:eastAsia="Arial" w:hAnsi="Times New Roman" w:cs="Times New Roman"/>
                <w:b/>
                <w:sz w:val="20"/>
                <w:szCs w:val="20"/>
              </w:rPr>
              <w:t>4</w:t>
            </w:r>
          </w:p>
        </w:tc>
        <w:tc>
          <w:tcPr>
            <w:tcW w:w="20" w:type="dxa"/>
            <w:tcBorders>
              <w:top w:val="single" w:sz="4" w:space="0" w:color="000000"/>
              <w:left w:val="nil"/>
              <w:bottom w:val="single" w:sz="4" w:space="0" w:color="000000"/>
              <w:right w:val="single" w:sz="4" w:space="0" w:color="000000"/>
            </w:tcBorders>
            <w:vAlign w:val="center"/>
          </w:tcPr>
          <w:p w:rsidR="007F3DC3" w:rsidRPr="003E743A" w:rsidRDefault="007F3DC3" w:rsidP="00960124">
            <w:pPr>
              <w:spacing w:line="240" w:lineRule="auto"/>
              <w:ind w:left="281" w:right="-20"/>
              <w:jc w:val="both"/>
              <w:rPr>
                <w:rFonts w:ascii="Times New Roman" w:eastAsia="Arial" w:hAnsi="Times New Roman" w:cs="Times New Roman"/>
                <w:b/>
                <w:sz w:val="20"/>
                <w:szCs w:val="20"/>
              </w:rPr>
            </w:pPr>
          </w:p>
        </w:tc>
      </w:tr>
      <w:tr w:rsidR="007F3DC3" w:rsidRPr="003E743A" w:rsidTr="00960124">
        <w:trPr>
          <w:trHeight w:hRule="exact" w:val="268"/>
        </w:trPr>
        <w:tc>
          <w:tcPr>
            <w:tcW w:w="576" w:type="dxa"/>
            <w:gridSpan w:val="2"/>
            <w:tcBorders>
              <w:top w:val="single" w:sz="4" w:space="0" w:color="000000"/>
              <w:left w:val="single" w:sz="4" w:space="0" w:color="000000"/>
              <w:bottom w:val="single" w:sz="4" w:space="0" w:color="000000"/>
              <w:right w:val="single" w:sz="4" w:space="0" w:color="000000"/>
            </w:tcBorders>
            <w:vAlign w:val="center"/>
          </w:tcPr>
          <w:p w:rsidR="007F3DC3" w:rsidRPr="003E743A" w:rsidRDefault="007F3DC3" w:rsidP="00960124">
            <w:pPr>
              <w:tabs>
                <w:tab w:val="left" w:pos="2268"/>
                <w:tab w:val="left" w:pos="6237"/>
                <w:tab w:val="left" w:pos="7020"/>
              </w:tabs>
              <w:spacing w:after="0" w:line="240" w:lineRule="auto"/>
              <w:ind w:left="243" w:right="-20"/>
              <w:jc w:val="center"/>
              <w:rPr>
                <w:rFonts w:ascii="Times New Roman" w:eastAsia="Arial" w:hAnsi="Times New Roman" w:cs="Times New Roman"/>
                <w:b/>
                <w:sz w:val="20"/>
                <w:szCs w:val="20"/>
                <w:lang w:eastAsia="fr-FR"/>
              </w:rPr>
            </w:pPr>
            <w:r w:rsidRPr="003E743A">
              <w:rPr>
                <w:rFonts w:ascii="Times New Roman" w:eastAsia="Arial" w:hAnsi="Times New Roman" w:cs="Times New Roman"/>
                <w:b/>
                <w:sz w:val="20"/>
                <w:szCs w:val="20"/>
                <w:lang w:eastAsia="fr-FR"/>
              </w:rPr>
              <w:t>12</w:t>
            </w:r>
          </w:p>
        </w:tc>
        <w:tc>
          <w:tcPr>
            <w:tcW w:w="2403" w:type="dxa"/>
            <w:tcBorders>
              <w:top w:val="single" w:sz="4" w:space="0" w:color="000000"/>
              <w:left w:val="single" w:sz="4" w:space="0" w:color="000000"/>
              <w:bottom w:val="single" w:sz="4" w:space="0" w:color="000000"/>
              <w:right w:val="single" w:sz="4" w:space="0" w:color="000000"/>
            </w:tcBorders>
            <w:vAlign w:val="center"/>
          </w:tcPr>
          <w:p w:rsidR="007F3DC3" w:rsidRPr="003E743A" w:rsidRDefault="007F3DC3" w:rsidP="00960124">
            <w:pPr>
              <w:tabs>
                <w:tab w:val="left" w:pos="2268"/>
                <w:tab w:val="left" w:pos="6237"/>
                <w:tab w:val="left" w:pos="7020"/>
              </w:tabs>
              <w:spacing w:after="0" w:line="240" w:lineRule="auto"/>
              <w:ind w:left="63" w:right="-20"/>
              <w:jc w:val="center"/>
              <w:rPr>
                <w:rFonts w:ascii="Times New Roman" w:eastAsia="Arial" w:hAnsi="Times New Roman" w:cs="Times New Roman"/>
                <w:sz w:val="20"/>
                <w:szCs w:val="20"/>
                <w:lang w:eastAsia="fr-FR"/>
              </w:rPr>
            </w:pPr>
            <w:r w:rsidRPr="003E743A">
              <w:rPr>
                <w:rFonts w:ascii="Times New Roman" w:eastAsia="Arial" w:hAnsi="Times New Roman" w:cs="Times New Roman"/>
                <w:spacing w:val="2"/>
                <w:sz w:val="20"/>
                <w:szCs w:val="20"/>
                <w:lang w:eastAsia="fr-FR"/>
              </w:rPr>
              <w:t>C</w:t>
            </w:r>
            <w:r w:rsidRPr="003E743A">
              <w:rPr>
                <w:rFonts w:ascii="Times New Roman" w:eastAsia="Arial" w:hAnsi="Times New Roman" w:cs="Times New Roman"/>
                <w:sz w:val="20"/>
                <w:szCs w:val="20"/>
                <w:lang w:eastAsia="fr-FR"/>
              </w:rPr>
              <w:t>u</w:t>
            </w:r>
            <w:r w:rsidRPr="003E743A">
              <w:rPr>
                <w:rFonts w:ascii="Times New Roman" w:eastAsia="Arial" w:hAnsi="Times New Roman" w:cs="Times New Roman"/>
                <w:spacing w:val="-1"/>
                <w:sz w:val="20"/>
                <w:szCs w:val="20"/>
                <w:lang w:eastAsia="fr-FR"/>
              </w:rPr>
              <w:t>p</w:t>
            </w:r>
            <w:r w:rsidRPr="003E743A">
              <w:rPr>
                <w:rFonts w:ascii="Times New Roman" w:eastAsia="Arial" w:hAnsi="Times New Roman" w:cs="Times New Roman"/>
                <w:spacing w:val="1"/>
                <w:sz w:val="20"/>
                <w:szCs w:val="20"/>
                <w:lang w:eastAsia="fr-FR"/>
              </w:rPr>
              <w:t>il</w:t>
            </w:r>
            <w:r w:rsidRPr="003E743A">
              <w:rPr>
                <w:rFonts w:ascii="Times New Roman" w:eastAsia="Arial" w:hAnsi="Times New Roman" w:cs="Times New Roman"/>
                <w:sz w:val="20"/>
                <w:szCs w:val="20"/>
                <w:lang w:eastAsia="fr-FR"/>
              </w:rPr>
              <w:t>om Ci</w:t>
            </w:r>
            <w:r w:rsidRPr="003E743A">
              <w:rPr>
                <w:rFonts w:ascii="Times New Roman" w:eastAsia="Arial" w:hAnsi="Times New Roman" w:cs="Times New Roman"/>
                <w:spacing w:val="1"/>
                <w:sz w:val="20"/>
                <w:szCs w:val="20"/>
                <w:lang w:eastAsia="fr-FR"/>
              </w:rPr>
              <w:t>m</w:t>
            </w:r>
            <w:r w:rsidRPr="003E743A">
              <w:rPr>
                <w:rFonts w:ascii="Times New Roman" w:eastAsia="Arial" w:hAnsi="Times New Roman" w:cs="Times New Roman"/>
                <w:sz w:val="20"/>
                <w:szCs w:val="20"/>
                <w:lang w:eastAsia="fr-FR"/>
              </w:rPr>
              <w:t>a e bai</w:t>
            </w:r>
            <w:r w:rsidRPr="003E743A">
              <w:rPr>
                <w:rFonts w:ascii="Times New Roman" w:eastAsia="Arial" w:hAnsi="Times New Roman" w:cs="Times New Roman"/>
                <w:spacing w:val="-2"/>
                <w:sz w:val="20"/>
                <w:szCs w:val="20"/>
                <w:lang w:eastAsia="fr-FR"/>
              </w:rPr>
              <w:t>x</w:t>
            </w:r>
            <w:r w:rsidRPr="003E743A">
              <w:rPr>
                <w:rFonts w:ascii="Times New Roman" w:eastAsia="Arial" w:hAnsi="Times New Roman" w:cs="Times New Roman"/>
                <w:spacing w:val="1"/>
                <w:sz w:val="20"/>
                <w:szCs w:val="20"/>
                <w:lang w:eastAsia="fr-FR"/>
              </w:rPr>
              <w:t>o</w:t>
            </w:r>
          </w:p>
        </w:tc>
        <w:tc>
          <w:tcPr>
            <w:tcW w:w="2109" w:type="dxa"/>
            <w:tcBorders>
              <w:top w:val="single" w:sz="4" w:space="0" w:color="000000"/>
              <w:left w:val="single" w:sz="4" w:space="0" w:color="000000"/>
              <w:bottom w:val="single" w:sz="4" w:space="0" w:color="000000"/>
              <w:right w:val="nil"/>
            </w:tcBorders>
            <w:vAlign w:val="center"/>
          </w:tcPr>
          <w:p w:rsidR="007F3DC3" w:rsidRPr="003E743A" w:rsidRDefault="007F3DC3" w:rsidP="00960124">
            <w:pPr>
              <w:tabs>
                <w:tab w:val="left" w:pos="2268"/>
                <w:tab w:val="left" w:pos="6237"/>
                <w:tab w:val="left" w:pos="7020"/>
              </w:tabs>
              <w:spacing w:after="0" w:line="240" w:lineRule="auto"/>
              <w:jc w:val="center"/>
              <w:rPr>
                <w:rFonts w:ascii="Times New Roman" w:eastAsia="Calibri" w:hAnsi="Times New Roman" w:cs="Times New Roman"/>
                <w:sz w:val="20"/>
                <w:szCs w:val="20"/>
                <w:lang w:eastAsia="fr-FR"/>
              </w:rPr>
            </w:pPr>
            <w:r w:rsidRPr="003E743A">
              <w:rPr>
                <w:rFonts w:ascii="Times New Roman" w:eastAsia="Arial" w:hAnsi="Times New Roman" w:cs="Times New Roman"/>
                <w:b/>
                <w:sz w:val="20"/>
                <w:szCs w:val="20"/>
                <w:lang w:eastAsia="fr-FR"/>
              </w:rPr>
              <w:t>29</w:t>
            </w:r>
          </w:p>
        </w:tc>
        <w:tc>
          <w:tcPr>
            <w:tcW w:w="25" w:type="dxa"/>
            <w:tcBorders>
              <w:top w:val="single" w:sz="4" w:space="0" w:color="000000"/>
              <w:left w:val="nil"/>
              <w:bottom w:val="single" w:sz="4" w:space="0" w:color="000000"/>
              <w:right w:val="single" w:sz="4" w:space="0" w:color="000000"/>
            </w:tcBorders>
            <w:vAlign w:val="center"/>
          </w:tcPr>
          <w:p w:rsidR="007F3DC3" w:rsidRPr="003E743A" w:rsidRDefault="007F3DC3" w:rsidP="00960124">
            <w:pPr>
              <w:tabs>
                <w:tab w:val="left" w:pos="2268"/>
                <w:tab w:val="left" w:pos="6237"/>
                <w:tab w:val="left" w:pos="7020"/>
              </w:tabs>
              <w:spacing w:after="0" w:line="240" w:lineRule="auto"/>
              <w:ind w:left="340" w:right="-20"/>
              <w:jc w:val="center"/>
              <w:rPr>
                <w:rFonts w:ascii="Times New Roman" w:eastAsia="Arial" w:hAnsi="Times New Roman" w:cs="Times New Roman"/>
                <w:b/>
                <w:sz w:val="20"/>
                <w:szCs w:val="20"/>
                <w:lang w:eastAsia="fr-FR"/>
              </w:rPr>
            </w:pPr>
          </w:p>
        </w:tc>
        <w:tc>
          <w:tcPr>
            <w:tcW w:w="3539" w:type="dxa"/>
            <w:gridSpan w:val="2"/>
            <w:tcBorders>
              <w:top w:val="single" w:sz="4" w:space="0" w:color="000000"/>
              <w:left w:val="single" w:sz="4" w:space="0" w:color="000000"/>
              <w:bottom w:val="single" w:sz="4" w:space="0" w:color="000000"/>
              <w:right w:val="nil"/>
            </w:tcBorders>
            <w:vAlign w:val="center"/>
          </w:tcPr>
          <w:p w:rsidR="007F3DC3" w:rsidRPr="003E743A" w:rsidRDefault="007F3DC3" w:rsidP="00960124">
            <w:pPr>
              <w:tabs>
                <w:tab w:val="left" w:pos="2268"/>
                <w:tab w:val="left" w:pos="6237"/>
                <w:tab w:val="left" w:pos="7020"/>
              </w:tabs>
              <w:spacing w:after="0" w:line="240" w:lineRule="auto"/>
              <w:jc w:val="center"/>
              <w:rPr>
                <w:rFonts w:ascii="Times New Roman" w:eastAsia="Calibri" w:hAnsi="Times New Roman" w:cs="Times New Roman"/>
                <w:sz w:val="20"/>
                <w:szCs w:val="20"/>
                <w:lang w:eastAsia="fr-FR"/>
              </w:rPr>
            </w:pPr>
            <w:r w:rsidRPr="003E743A">
              <w:rPr>
                <w:rFonts w:ascii="Times New Roman" w:eastAsia="Arial" w:hAnsi="Times New Roman" w:cs="Times New Roman"/>
                <w:b/>
                <w:sz w:val="20"/>
                <w:szCs w:val="20"/>
              </w:rPr>
              <w:t>10</w:t>
            </w:r>
            <w:r w:rsidRPr="003E743A">
              <w:rPr>
                <w:rFonts w:ascii="Times New Roman" w:eastAsia="Arial" w:hAnsi="Times New Roman" w:cs="Times New Roman"/>
                <w:b/>
                <w:spacing w:val="1"/>
                <w:sz w:val="20"/>
                <w:szCs w:val="20"/>
              </w:rPr>
              <w:t>02</w:t>
            </w:r>
            <w:r w:rsidRPr="003E743A">
              <w:rPr>
                <w:rFonts w:ascii="Times New Roman" w:eastAsia="Arial" w:hAnsi="Times New Roman" w:cs="Times New Roman"/>
                <w:b/>
                <w:sz w:val="20"/>
                <w:szCs w:val="20"/>
              </w:rPr>
              <w:t>9</w:t>
            </w:r>
          </w:p>
        </w:tc>
        <w:tc>
          <w:tcPr>
            <w:tcW w:w="20" w:type="dxa"/>
            <w:tcBorders>
              <w:top w:val="single" w:sz="4" w:space="0" w:color="000000"/>
              <w:left w:val="nil"/>
              <w:bottom w:val="single" w:sz="4" w:space="0" w:color="000000"/>
              <w:right w:val="single" w:sz="4" w:space="0" w:color="000000"/>
            </w:tcBorders>
            <w:vAlign w:val="center"/>
          </w:tcPr>
          <w:p w:rsidR="007F3DC3" w:rsidRPr="003E743A" w:rsidRDefault="007F3DC3" w:rsidP="00960124">
            <w:pPr>
              <w:spacing w:line="240" w:lineRule="auto"/>
              <w:ind w:left="181" w:right="-20"/>
              <w:jc w:val="both"/>
              <w:rPr>
                <w:rFonts w:ascii="Times New Roman" w:eastAsia="Arial" w:hAnsi="Times New Roman" w:cs="Times New Roman"/>
                <w:b/>
                <w:sz w:val="20"/>
                <w:szCs w:val="20"/>
              </w:rPr>
            </w:pPr>
          </w:p>
        </w:tc>
      </w:tr>
      <w:tr w:rsidR="007F3DC3" w:rsidRPr="003E743A" w:rsidTr="00960124">
        <w:trPr>
          <w:trHeight w:hRule="exact" w:val="285"/>
        </w:trPr>
        <w:tc>
          <w:tcPr>
            <w:tcW w:w="576" w:type="dxa"/>
            <w:gridSpan w:val="2"/>
            <w:tcBorders>
              <w:top w:val="single" w:sz="4" w:space="0" w:color="000000"/>
              <w:left w:val="single" w:sz="4" w:space="0" w:color="000000"/>
              <w:bottom w:val="single" w:sz="4" w:space="0" w:color="000000"/>
              <w:right w:val="single" w:sz="4" w:space="0" w:color="000000"/>
            </w:tcBorders>
            <w:vAlign w:val="center"/>
          </w:tcPr>
          <w:p w:rsidR="007F3DC3" w:rsidRPr="003E743A" w:rsidRDefault="007F3DC3" w:rsidP="00960124">
            <w:pPr>
              <w:tabs>
                <w:tab w:val="left" w:pos="2268"/>
                <w:tab w:val="left" w:pos="6237"/>
                <w:tab w:val="left" w:pos="7020"/>
              </w:tabs>
              <w:spacing w:after="0" w:line="240" w:lineRule="auto"/>
              <w:ind w:left="243" w:right="-20"/>
              <w:jc w:val="center"/>
              <w:rPr>
                <w:rFonts w:ascii="Times New Roman" w:eastAsia="Arial" w:hAnsi="Times New Roman" w:cs="Times New Roman"/>
                <w:b/>
                <w:sz w:val="20"/>
                <w:szCs w:val="20"/>
                <w:lang w:eastAsia="fr-FR"/>
              </w:rPr>
            </w:pPr>
            <w:r w:rsidRPr="003E743A">
              <w:rPr>
                <w:rFonts w:ascii="Times New Roman" w:eastAsia="Arial" w:hAnsi="Times New Roman" w:cs="Times New Roman"/>
                <w:b/>
                <w:sz w:val="20"/>
                <w:szCs w:val="20"/>
                <w:lang w:eastAsia="fr-FR"/>
              </w:rPr>
              <w:t>13</w:t>
            </w:r>
          </w:p>
        </w:tc>
        <w:tc>
          <w:tcPr>
            <w:tcW w:w="2403" w:type="dxa"/>
            <w:tcBorders>
              <w:top w:val="single" w:sz="4" w:space="0" w:color="000000"/>
              <w:left w:val="single" w:sz="4" w:space="0" w:color="000000"/>
              <w:bottom w:val="single" w:sz="4" w:space="0" w:color="000000"/>
              <w:right w:val="single" w:sz="4" w:space="0" w:color="000000"/>
            </w:tcBorders>
            <w:vAlign w:val="center"/>
          </w:tcPr>
          <w:p w:rsidR="007F3DC3" w:rsidRPr="003E743A" w:rsidRDefault="007F3DC3" w:rsidP="00960124">
            <w:pPr>
              <w:tabs>
                <w:tab w:val="left" w:pos="2268"/>
                <w:tab w:val="left" w:pos="6237"/>
                <w:tab w:val="left" w:pos="7020"/>
              </w:tabs>
              <w:spacing w:after="0" w:line="240" w:lineRule="auto"/>
              <w:ind w:left="63" w:right="-20"/>
              <w:jc w:val="center"/>
              <w:rPr>
                <w:rFonts w:ascii="Times New Roman" w:eastAsia="Arial" w:hAnsi="Times New Roman" w:cs="Times New Roman"/>
                <w:sz w:val="20"/>
                <w:szCs w:val="20"/>
                <w:lang w:eastAsia="fr-FR"/>
              </w:rPr>
            </w:pPr>
            <w:r w:rsidRPr="003E743A">
              <w:rPr>
                <w:rFonts w:ascii="Times New Roman" w:eastAsia="Arial" w:hAnsi="Times New Roman" w:cs="Times New Roman"/>
                <w:sz w:val="20"/>
                <w:szCs w:val="20"/>
                <w:lang w:eastAsia="fr-FR"/>
              </w:rPr>
              <w:t>S</w:t>
            </w:r>
            <w:r w:rsidRPr="003E743A">
              <w:rPr>
                <w:rFonts w:ascii="Times New Roman" w:eastAsia="Arial" w:hAnsi="Times New Roman" w:cs="Times New Roman"/>
                <w:spacing w:val="2"/>
                <w:sz w:val="20"/>
                <w:szCs w:val="20"/>
                <w:lang w:eastAsia="fr-FR"/>
              </w:rPr>
              <w:t>i</w:t>
            </w:r>
            <w:r w:rsidRPr="003E743A">
              <w:rPr>
                <w:rFonts w:ascii="Times New Roman" w:eastAsia="Arial" w:hAnsi="Times New Roman" w:cs="Times New Roman"/>
                <w:sz w:val="20"/>
                <w:szCs w:val="20"/>
                <w:lang w:eastAsia="fr-FR"/>
              </w:rPr>
              <w:t>ntra N</w:t>
            </w:r>
            <w:r w:rsidRPr="003E743A">
              <w:rPr>
                <w:rFonts w:ascii="Times New Roman" w:eastAsia="Arial" w:hAnsi="Times New Roman" w:cs="Times New Roman"/>
                <w:spacing w:val="-1"/>
                <w:sz w:val="20"/>
                <w:szCs w:val="20"/>
                <w:lang w:eastAsia="fr-FR"/>
              </w:rPr>
              <w:t>e</w:t>
            </w:r>
            <w:r w:rsidRPr="003E743A">
              <w:rPr>
                <w:rFonts w:ascii="Times New Roman" w:eastAsia="Arial" w:hAnsi="Times New Roman" w:cs="Times New Roman"/>
                <w:spacing w:val="1"/>
                <w:sz w:val="20"/>
                <w:szCs w:val="20"/>
                <w:lang w:eastAsia="fr-FR"/>
              </w:rPr>
              <w:t>m</w:t>
            </w:r>
            <w:r w:rsidRPr="003E743A">
              <w:rPr>
                <w:rFonts w:ascii="Times New Roman" w:eastAsia="Arial" w:hAnsi="Times New Roman" w:cs="Times New Roman"/>
                <w:sz w:val="20"/>
                <w:szCs w:val="20"/>
                <w:lang w:eastAsia="fr-FR"/>
              </w:rPr>
              <w:t>a</w:t>
            </w:r>
          </w:p>
        </w:tc>
        <w:tc>
          <w:tcPr>
            <w:tcW w:w="2109" w:type="dxa"/>
            <w:tcBorders>
              <w:top w:val="single" w:sz="4" w:space="0" w:color="000000"/>
              <w:left w:val="single" w:sz="4" w:space="0" w:color="000000"/>
              <w:bottom w:val="single" w:sz="4" w:space="0" w:color="000000"/>
              <w:right w:val="nil"/>
            </w:tcBorders>
            <w:vAlign w:val="center"/>
          </w:tcPr>
          <w:p w:rsidR="007F3DC3" w:rsidRPr="003E743A" w:rsidRDefault="007F3DC3" w:rsidP="00960124">
            <w:pPr>
              <w:tabs>
                <w:tab w:val="left" w:pos="2268"/>
                <w:tab w:val="left" w:pos="6237"/>
                <w:tab w:val="left" w:pos="7020"/>
              </w:tabs>
              <w:spacing w:after="0" w:line="240" w:lineRule="auto"/>
              <w:jc w:val="center"/>
              <w:rPr>
                <w:rFonts w:ascii="Times New Roman" w:eastAsia="Calibri" w:hAnsi="Times New Roman" w:cs="Times New Roman"/>
                <w:sz w:val="20"/>
                <w:szCs w:val="20"/>
                <w:lang w:eastAsia="fr-FR"/>
              </w:rPr>
            </w:pPr>
            <w:r w:rsidRPr="003E743A">
              <w:rPr>
                <w:rFonts w:ascii="Times New Roman" w:eastAsia="Arial" w:hAnsi="Times New Roman" w:cs="Times New Roman"/>
                <w:b/>
                <w:sz w:val="20"/>
                <w:szCs w:val="20"/>
                <w:lang w:eastAsia="fr-FR"/>
              </w:rPr>
              <w:t>21</w:t>
            </w:r>
          </w:p>
        </w:tc>
        <w:tc>
          <w:tcPr>
            <w:tcW w:w="25" w:type="dxa"/>
            <w:tcBorders>
              <w:top w:val="single" w:sz="4" w:space="0" w:color="000000"/>
              <w:left w:val="nil"/>
              <w:bottom w:val="single" w:sz="4" w:space="0" w:color="000000"/>
              <w:right w:val="single" w:sz="4" w:space="0" w:color="000000"/>
            </w:tcBorders>
            <w:vAlign w:val="center"/>
          </w:tcPr>
          <w:p w:rsidR="007F3DC3" w:rsidRPr="003E743A" w:rsidRDefault="007F3DC3" w:rsidP="00960124">
            <w:pPr>
              <w:tabs>
                <w:tab w:val="left" w:pos="2268"/>
                <w:tab w:val="left" w:pos="6237"/>
                <w:tab w:val="left" w:pos="7020"/>
              </w:tabs>
              <w:spacing w:after="0" w:line="240" w:lineRule="auto"/>
              <w:ind w:left="340" w:right="-20"/>
              <w:jc w:val="center"/>
              <w:rPr>
                <w:rFonts w:ascii="Times New Roman" w:eastAsia="Arial" w:hAnsi="Times New Roman" w:cs="Times New Roman"/>
                <w:b/>
                <w:sz w:val="20"/>
                <w:szCs w:val="20"/>
                <w:lang w:eastAsia="fr-FR"/>
              </w:rPr>
            </w:pPr>
          </w:p>
        </w:tc>
        <w:tc>
          <w:tcPr>
            <w:tcW w:w="3539" w:type="dxa"/>
            <w:gridSpan w:val="2"/>
            <w:tcBorders>
              <w:top w:val="single" w:sz="4" w:space="0" w:color="000000"/>
              <w:left w:val="single" w:sz="4" w:space="0" w:color="000000"/>
              <w:bottom w:val="single" w:sz="4" w:space="0" w:color="000000"/>
              <w:right w:val="nil"/>
            </w:tcBorders>
            <w:vAlign w:val="center"/>
          </w:tcPr>
          <w:p w:rsidR="007F3DC3" w:rsidRPr="003E743A" w:rsidRDefault="007F3DC3" w:rsidP="00960124">
            <w:pPr>
              <w:tabs>
                <w:tab w:val="left" w:pos="2268"/>
                <w:tab w:val="left" w:pos="6237"/>
                <w:tab w:val="left" w:pos="7020"/>
              </w:tabs>
              <w:spacing w:after="0" w:line="240" w:lineRule="auto"/>
              <w:jc w:val="center"/>
              <w:rPr>
                <w:rFonts w:ascii="Times New Roman" w:eastAsia="Calibri" w:hAnsi="Times New Roman" w:cs="Times New Roman"/>
                <w:sz w:val="20"/>
                <w:szCs w:val="20"/>
                <w:lang w:eastAsia="fr-FR"/>
              </w:rPr>
            </w:pPr>
            <w:r w:rsidRPr="003E743A">
              <w:rPr>
                <w:rFonts w:ascii="Times New Roman" w:eastAsia="Arial" w:hAnsi="Times New Roman" w:cs="Times New Roman"/>
                <w:b/>
                <w:sz w:val="20"/>
                <w:szCs w:val="20"/>
              </w:rPr>
              <w:t>60</w:t>
            </w:r>
            <w:r w:rsidRPr="003E743A">
              <w:rPr>
                <w:rFonts w:ascii="Times New Roman" w:eastAsia="Arial" w:hAnsi="Times New Roman" w:cs="Times New Roman"/>
                <w:b/>
                <w:spacing w:val="1"/>
                <w:sz w:val="20"/>
                <w:szCs w:val="20"/>
              </w:rPr>
              <w:t>3</w:t>
            </w:r>
            <w:r w:rsidRPr="003E743A">
              <w:rPr>
                <w:rFonts w:ascii="Times New Roman" w:eastAsia="Arial" w:hAnsi="Times New Roman" w:cs="Times New Roman"/>
                <w:b/>
                <w:sz w:val="20"/>
                <w:szCs w:val="20"/>
              </w:rPr>
              <w:t>2</w:t>
            </w:r>
          </w:p>
        </w:tc>
        <w:tc>
          <w:tcPr>
            <w:tcW w:w="20" w:type="dxa"/>
            <w:tcBorders>
              <w:top w:val="single" w:sz="4" w:space="0" w:color="000000"/>
              <w:left w:val="nil"/>
              <w:bottom w:val="single" w:sz="4" w:space="0" w:color="000000"/>
              <w:right w:val="single" w:sz="4" w:space="0" w:color="000000"/>
            </w:tcBorders>
            <w:vAlign w:val="center"/>
          </w:tcPr>
          <w:p w:rsidR="007F3DC3" w:rsidRPr="003E743A" w:rsidRDefault="007F3DC3" w:rsidP="00960124">
            <w:pPr>
              <w:spacing w:line="240" w:lineRule="auto"/>
              <w:ind w:left="281" w:right="-20"/>
              <w:jc w:val="both"/>
              <w:rPr>
                <w:rFonts w:ascii="Times New Roman" w:eastAsia="Arial" w:hAnsi="Times New Roman" w:cs="Times New Roman"/>
                <w:b/>
                <w:sz w:val="20"/>
                <w:szCs w:val="20"/>
              </w:rPr>
            </w:pPr>
          </w:p>
        </w:tc>
      </w:tr>
      <w:tr w:rsidR="007F3DC3" w:rsidRPr="003E743A" w:rsidTr="00960124">
        <w:trPr>
          <w:trHeight w:hRule="exact" w:val="290"/>
        </w:trPr>
        <w:tc>
          <w:tcPr>
            <w:tcW w:w="576" w:type="dxa"/>
            <w:gridSpan w:val="2"/>
            <w:tcBorders>
              <w:top w:val="single" w:sz="4" w:space="0" w:color="000000"/>
              <w:left w:val="single" w:sz="4" w:space="0" w:color="000000"/>
              <w:bottom w:val="single" w:sz="4" w:space="0" w:color="000000"/>
              <w:right w:val="single" w:sz="4" w:space="0" w:color="000000"/>
            </w:tcBorders>
            <w:vAlign w:val="center"/>
          </w:tcPr>
          <w:p w:rsidR="007F3DC3" w:rsidRPr="003E743A" w:rsidRDefault="007F3DC3" w:rsidP="00960124">
            <w:pPr>
              <w:tabs>
                <w:tab w:val="left" w:pos="2268"/>
                <w:tab w:val="left" w:pos="6237"/>
                <w:tab w:val="left" w:pos="7020"/>
              </w:tabs>
              <w:spacing w:after="0" w:line="240" w:lineRule="auto"/>
              <w:ind w:left="243" w:right="-20"/>
              <w:jc w:val="center"/>
              <w:rPr>
                <w:rFonts w:ascii="Times New Roman" w:eastAsia="Arial" w:hAnsi="Times New Roman" w:cs="Times New Roman"/>
                <w:b/>
                <w:sz w:val="20"/>
                <w:szCs w:val="20"/>
                <w:lang w:eastAsia="fr-FR"/>
              </w:rPr>
            </w:pPr>
            <w:r w:rsidRPr="003E743A">
              <w:rPr>
                <w:rFonts w:ascii="Times New Roman" w:eastAsia="Arial" w:hAnsi="Times New Roman" w:cs="Times New Roman"/>
                <w:b/>
                <w:sz w:val="20"/>
                <w:szCs w:val="20"/>
                <w:lang w:eastAsia="fr-FR"/>
              </w:rPr>
              <w:t>14</w:t>
            </w:r>
          </w:p>
        </w:tc>
        <w:tc>
          <w:tcPr>
            <w:tcW w:w="2403" w:type="dxa"/>
            <w:tcBorders>
              <w:top w:val="single" w:sz="4" w:space="0" w:color="000000"/>
              <w:left w:val="single" w:sz="4" w:space="0" w:color="000000"/>
              <w:bottom w:val="single" w:sz="4" w:space="0" w:color="000000"/>
              <w:right w:val="single" w:sz="4" w:space="0" w:color="000000"/>
            </w:tcBorders>
            <w:vAlign w:val="center"/>
          </w:tcPr>
          <w:p w:rsidR="007F3DC3" w:rsidRPr="003E743A" w:rsidRDefault="007F3DC3" w:rsidP="00960124">
            <w:pPr>
              <w:tabs>
                <w:tab w:val="left" w:pos="2268"/>
                <w:tab w:val="left" w:pos="6237"/>
                <w:tab w:val="left" w:pos="7020"/>
              </w:tabs>
              <w:spacing w:after="0" w:line="240" w:lineRule="auto"/>
              <w:ind w:left="63" w:right="-20"/>
              <w:jc w:val="center"/>
              <w:rPr>
                <w:rFonts w:ascii="Times New Roman" w:eastAsia="Arial" w:hAnsi="Times New Roman" w:cs="Times New Roman"/>
                <w:sz w:val="20"/>
                <w:szCs w:val="20"/>
                <w:lang w:eastAsia="fr-FR"/>
              </w:rPr>
            </w:pPr>
            <w:r w:rsidRPr="003E743A">
              <w:rPr>
                <w:rFonts w:ascii="Times New Roman" w:eastAsia="Arial" w:hAnsi="Times New Roman" w:cs="Times New Roman"/>
                <w:spacing w:val="2"/>
                <w:sz w:val="20"/>
                <w:szCs w:val="20"/>
                <w:lang w:eastAsia="fr-FR"/>
              </w:rPr>
              <w:t>B</w:t>
            </w:r>
            <w:r w:rsidRPr="003E743A">
              <w:rPr>
                <w:rFonts w:ascii="Times New Roman" w:eastAsia="Arial" w:hAnsi="Times New Roman" w:cs="Times New Roman"/>
                <w:sz w:val="20"/>
                <w:szCs w:val="20"/>
                <w:lang w:eastAsia="fr-FR"/>
              </w:rPr>
              <w:t>andim - I</w:t>
            </w:r>
          </w:p>
        </w:tc>
        <w:tc>
          <w:tcPr>
            <w:tcW w:w="2109" w:type="dxa"/>
            <w:tcBorders>
              <w:top w:val="single" w:sz="4" w:space="0" w:color="000000"/>
              <w:left w:val="single" w:sz="4" w:space="0" w:color="000000"/>
              <w:bottom w:val="single" w:sz="4" w:space="0" w:color="000000"/>
              <w:right w:val="nil"/>
            </w:tcBorders>
            <w:vAlign w:val="center"/>
          </w:tcPr>
          <w:p w:rsidR="007F3DC3" w:rsidRPr="003E743A" w:rsidRDefault="007F3DC3" w:rsidP="00960124">
            <w:pPr>
              <w:tabs>
                <w:tab w:val="left" w:pos="2268"/>
                <w:tab w:val="left" w:pos="6237"/>
                <w:tab w:val="left" w:pos="7020"/>
              </w:tabs>
              <w:spacing w:after="0" w:line="240" w:lineRule="auto"/>
              <w:jc w:val="center"/>
              <w:rPr>
                <w:rFonts w:ascii="Times New Roman" w:eastAsia="Calibri" w:hAnsi="Times New Roman" w:cs="Times New Roman"/>
                <w:sz w:val="20"/>
                <w:szCs w:val="20"/>
                <w:lang w:eastAsia="fr-FR"/>
              </w:rPr>
            </w:pPr>
            <w:r w:rsidRPr="003E743A">
              <w:rPr>
                <w:rFonts w:ascii="Times New Roman" w:eastAsia="Arial" w:hAnsi="Times New Roman" w:cs="Times New Roman"/>
                <w:b/>
                <w:sz w:val="20"/>
                <w:szCs w:val="20"/>
                <w:lang w:eastAsia="fr-FR"/>
              </w:rPr>
              <w:t>255</w:t>
            </w:r>
          </w:p>
        </w:tc>
        <w:tc>
          <w:tcPr>
            <w:tcW w:w="25" w:type="dxa"/>
            <w:tcBorders>
              <w:top w:val="single" w:sz="4" w:space="0" w:color="000000"/>
              <w:left w:val="nil"/>
              <w:bottom w:val="single" w:sz="4" w:space="0" w:color="000000"/>
              <w:right w:val="single" w:sz="4" w:space="0" w:color="000000"/>
            </w:tcBorders>
            <w:vAlign w:val="center"/>
          </w:tcPr>
          <w:p w:rsidR="007F3DC3" w:rsidRPr="003E743A" w:rsidRDefault="007F3DC3" w:rsidP="00960124">
            <w:pPr>
              <w:tabs>
                <w:tab w:val="left" w:pos="2268"/>
                <w:tab w:val="left" w:pos="6237"/>
                <w:tab w:val="left" w:pos="7020"/>
              </w:tabs>
              <w:spacing w:after="0" w:line="240" w:lineRule="auto"/>
              <w:ind w:left="241" w:right="-20"/>
              <w:jc w:val="center"/>
              <w:rPr>
                <w:rFonts w:ascii="Times New Roman" w:eastAsia="Arial" w:hAnsi="Times New Roman" w:cs="Times New Roman"/>
                <w:b/>
                <w:sz w:val="20"/>
                <w:szCs w:val="20"/>
                <w:lang w:eastAsia="fr-FR"/>
              </w:rPr>
            </w:pPr>
          </w:p>
        </w:tc>
        <w:tc>
          <w:tcPr>
            <w:tcW w:w="3539" w:type="dxa"/>
            <w:gridSpan w:val="2"/>
            <w:tcBorders>
              <w:top w:val="single" w:sz="4" w:space="0" w:color="000000"/>
              <w:left w:val="single" w:sz="4" w:space="0" w:color="000000"/>
              <w:bottom w:val="single" w:sz="4" w:space="0" w:color="000000"/>
              <w:right w:val="nil"/>
            </w:tcBorders>
            <w:vAlign w:val="center"/>
          </w:tcPr>
          <w:p w:rsidR="007F3DC3" w:rsidRPr="003E743A" w:rsidRDefault="007F3DC3" w:rsidP="00960124">
            <w:pPr>
              <w:tabs>
                <w:tab w:val="left" w:pos="2268"/>
                <w:tab w:val="left" w:pos="6237"/>
                <w:tab w:val="left" w:pos="7020"/>
              </w:tabs>
              <w:spacing w:after="0" w:line="240" w:lineRule="auto"/>
              <w:jc w:val="center"/>
              <w:rPr>
                <w:rFonts w:ascii="Times New Roman" w:eastAsia="Calibri" w:hAnsi="Times New Roman" w:cs="Times New Roman"/>
                <w:sz w:val="20"/>
                <w:szCs w:val="20"/>
                <w:lang w:eastAsia="fr-FR"/>
              </w:rPr>
            </w:pPr>
            <w:r w:rsidRPr="003E743A">
              <w:rPr>
                <w:rFonts w:ascii="Times New Roman" w:eastAsia="Arial" w:hAnsi="Times New Roman" w:cs="Times New Roman"/>
                <w:b/>
                <w:sz w:val="20"/>
                <w:szCs w:val="20"/>
              </w:rPr>
              <w:t>25</w:t>
            </w:r>
            <w:r w:rsidRPr="003E743A">
              <w:rPr>
                <w:rFonts w:ascii="Times New Roman" w:eastAsia="Arial" w:hAnsi="Times New Roman" w:cs="Times New Roman"/>
                <w:b/>
                <w:spacing w:val="1"/>
                <w:sz w:val="20"/>
                <w:szCs w:val="20"/>
              </w:rPr>
              <w:t>07</w:t>
            </w:r>
            <w:r w:rsidRPr="003E743A">
              <w:rPr>
                <w:rFonts w:ascii="Times New Roman" w:eastAsia="Arial" w:hAnsi="Times New Roman" w:cs="Times New Roman"/>
                <w:b/>
                <w:sz w:val="20"/>
                <w:szCs w:val="20"/>
              </w:rPr>
              <w:t>4</w:t>
            </w:r>
          </w:p>
        </w:tc>
        <w:tc>
          <w:tcPr>
            <w:tcW w:w="20" w:type="dxa"/>
            <w:tcBorders>
              <w:top w:val="single" w:sz="4" w:space="0" w:color="000000"/>
              <w:left w:val="nil"/>
              <w:bottom w:val="single" w:sz="4" w:space="0" w:color="000000"/>
              <w:right w:val="single" w:sz="4" w:space="0" w:color="000000"/>
            </w:tcBorders>
            <w:vAlign w:val="center"/>
          </w:tcPr>
          <w:p w:rsidR="007F3DC3" w:rsidRPr="003E743A" w:rsidRDefault="007F3DC3" w:rsidP="00960124">
            <w:pPr>
              <w:spacing w:line="240" w:lineRule="auto"/>
              <w:ind w:left="181" w:right="-20"/>
              <w:jc w:val="both"/>
              <w:rPr>
                <w:rFonts w:ascii="Times New Roman" w:eastAsia="Arial" w:hAnsi="Times New Roman" w:cs="Times New Roman"/>
                <w:b/>
                <w:sz w:val="20"/>
                <w:szCs w:val="20"/>
              </w:rPr>
            </w:pPr>
          </w:p>
        </w:tc>
      </w:tr>
      <w:tr w:rsidR="007F3DC3" w:rsidRPr="003E743A" w:rsidTr="00960124">
        <w:trPr>
          <w:trHeight w:hRule="exact" w:val="279"/>
        </w:trPr>
        <w:tc>
          <w:tcPr>
            <w:tcW w:w="576" w:type="dxa"/>
            <w:gridSpan w:val="2"/>
            <w:tcBorders>
              <w:top w:val="single" w:sz="4" w:space="0" w:color="000000"/>
              <w:left w:val="single" w:sz="4" w:space="0" w:color="000000"/>
              <w:bottom w:val="single" w:sz="4" w:space="0" w:color="000000"/>
              <w:right w:val="single" w:sz="4" w:space="0" w:color="000000"/>
            </w:tcBorders>
            <w:vAlign w:val="center"/>
          </w:tcPr>
          <w:p w:rsidR="007F3DC3" w:rsidRPr="003E743A" w:rsidRDefault="007F3DC3" w:rsidP="00960124">
            <w:pPr>
              <w:tabs>
                <w:tab w:val="left" w:pos="2268"/>
                <w:tab w:val="left" w:pos="6237"/>
                <w:tab w:val="left" w:pos="7020"/>
              </w:tabs>
              <w:spacing w:after="0" w:line="240" w:lineRule="auto"/>
              <w:ind w:left="243" w:right="-20"/>
              <w:jc w:val="center"/>
              <w:rPr>
                <w:rFonts w:ascii="Times New Roman" w:eastAsia="Arial" w:hAnsi="Times New Roman" w:cs="Times New Roman"/>
                <w:b/>
                <w:sz w:val="20"/>
                <w:szCs w:val="20"/>
                <w:lang w:eastAsia="fr-FR"/>
              </w:rPr>
            </w:pPr>
            <w:r w:rsidRPr="003E743A">
              <w:rPr>
                <w:rFonts w:ascii="Times New Roman" w:eastAsia="Arial" w:hAnsi="Times New Roman" w:cs="Times New Roman"/>
                <w:b/>
                <w:sz w:val="20"/>
                <w:szCs w:val="20"/>
                <w:lang w:eastAsia="fr-FR"/>
              </w:rPr>
              <w:t>15</w:t>
            </w:r>
          </w:p>
        </w:tc>
        <w:tc>
          <w:tcPr>
            <w:tcW w:w="2403" w:type="dxa"/>
            <w:tcBorders>
              <w:top w:val="single" w:sz="4" w:space="0" w:color="000000"/>
              <w:left w:val="single" w:sz="4" w:space="0" w:color="000000"/>
              <w:bottom w:val="single" w:sz="4" w:space="0" w:color="000000"/>
              <w:right w:val="single" w:sz="4" w:space="0" w:color="000000"/>
            </w:tcBorders>
            <w:vAlign w:val="center"/>
          </w:tcPr>
          <w:p w:rsidR="007F3DC3" w:rsidRPr="003E743A" w:rsidRDefault="007F3DC3" w:rsidP="00960124">
            <w:pPr>
              <w:tabs>
                <w:tab w:val="left" w:pos="2268"/>
                <w:tab w:val="left" w:pos="6237"/>
                <w:tab w:val="left" w:pos="7020"/>
              </w:tabs>
              <w:spacing w:after="0" w:line="240" w:lineRule="auto"/>
              <w:ind w:left="63" w:right="-20"/>
              <w:jc w:val="center"/>
              <w:rPr>
                <w:rFonts w:ascii="Times New Roman" w:eastAsia="Arial" w:hAnsi="Times New Roman" w:cs="Times New Roman"/>
                <w:sz w:val="20"/>
                <w:szCs w:val="20"/>
                <w:lang w:eastAsia="fr-FR"/>
              </w:rPr>
            </w:pPr>
            <w:r w:rsidRPr="003E743A">
              <w:rPr>
                <w:rFonts w:ascii="Times New Roman" w:eastAsia="Arial" w:hAnsi="Times New Roman" w:cs="Times New Roman"/>
                <w:sz w:val="20"/>
                <w:szCs w:val="20"/>
                <w:lang w:eastAsia="fr-FR"/>
              </w:rPr>
              <w:t>P</w:t>
            </w:r>
            <w:r w:rsidRPr="003E743A">
              <w:rPr>
                <w:rFonts w:ascii="Times New Roman" w:eastAsia="Arial" w:hAnsi="Times New Roman" w:cs="Times New Roman"/>
                <w:spacing w:val="2"/>
                <w:sz w:val="20"/>
                <w:szCs w:val="20"/>
                <w:lang w:eastAsia="fr-FR"/>
              </w:rPr>
              <w:t>l</w:t>
            </w:r>
            <w:r w:rsidRPr="003E743A">
              <w:rPr>
                <w:rFonts w:ascii="Times New Roman" w:eastAsia="Arial" w:hAnsi="Times New Roman" w:cs="Times New Roman"/>
                <w:spacing w:val="-1"/>
                <w:sz w:val="20"/>
                <w:szCs w:val="20"/>
                <w:lang w:eastAsia="fr-FR"/>
              </w:rPr>
              <w:t>u</w:t>
            </w:r>
            <w:r w:rsidRPr="003E743A">
              <w:rPr>
                <w:rFonts w:ascii="Times New Roman" w:eastAsia="Arial" w:hAnsi="Times New Roman" w:cs="Times New Roman"/>
                <w:spacing w:val="1"/>
                <w:sz w:val="20"/>
                <w:szCs w:val="20"/>
                <w:lang w:eastAsia="fr-FR"/>
              </w:rPr>
              <w:t>b</w:t>
            </w:r>
            <w:r w:rsidRPr="003E743A">
              <w:rPr>
                <w:rFonts w:ascii="Times New Roman" w:eastAsia="Arial" w:hAnsi="Times New Roman" w:cs="Times New Roman"/>
                <w:sz w:val="20"/>
                <w:szCs w:val="20"/>
                <w:lang w:eastAsia="fr-FR"/>
              </w:rPr>
              <w:t>a</w:t>
            </w:r>
          </w:p>
        </w:tc>
        <w:tc>
          <w:tcPr>
            <w:tcW w:w="2109" w:type="dxa"/>
            <w:tcBorders>
              <w:top w:val="single" w:sz="4" w:space="0" w:color="000000"/>
              <w:left w:val="single" w:sz="4" w:space="0" w:color="000000"/>
              <w:bottom w:val="single" w:sz="4" w:space="0" w:color="000000"/>
              <w:right w:val="nil"/>
            </w:tcBorders>
            <w:vAlign w:val="center"/>
          </w:tcPr>
          <w:p w:rsidR="007F3DC3" w:rsidRPr="003E743A" w:rsidRDefault="007F3DC3" w:rsidP="00960124">
            <w:pPr>
              <w:tabs>
                <w:tab w:val="left" w:pos="2268"/>
                <w:tab w:val="left" w:pos="6237"/>
                <w:tab w:val="left" w:pos="7020"/>
              </w:tabs>
              <w:spacing w:after="0" w:line="240" w:lineRule="auto"/>
              <w:jc w:val="center"/>
              <w:rPr>
                <w:rFonts w:ascii="Times New Roman" w:eastAsia="Calibri" w:hAnsi="Times New Roman" w:cs="Times New Roman"/>
                <w:sz w:val="20"/>
                <w:szCs w:val="20"/>
                <w:lang w:eastAsia="fr-FR"/>
              </w:rPr>
            </w:pPr>
            <w:r w:rsidRPr="003E743A">
              <w:rPr>
                <w:rFonts w:ascii="Times New Roman" w:eastAsia="Arial" w:hAnsi="Times New Roman" w:cs="Times New Roman"/>
                <w:b/>
                <w:sz w:val="20"/>
                <w:szCs w:val="20"/>
                <w:lang w:eastAsia="fr-FR"/>
              </w:rPr>
              <w:t>63</w:t>
            </w:r>
          </w:p>
        </w:tc>
        <w:tc>
          <w:tcPr>
            <w:tcW w:w="25" w:type="dxa"/>
            <w:tcBorders>
              <w:top w:val="single" w:sz="4" w:space="0" w:color="000000"/>
              <w:left w:val="nil"/>
              <w:bottom w:val="single" w:sz="4" w:space="0" w:color="000000"/>
              <w:right w:val="single" w:sz="4" w:space="0" w:color="000000"/>
            </w:tcBorders>
            <w:vAlign w:val="center"/>
          </w:tcPr>
          <w:p w:rsidR="007F3DC3" w:rsidRPr="003E743A" w:rsidRDefault="007F3DC3" w:rsidP="00960124">
            <w:pPr>
              <w:tabs>
                <w:tab w:val="left" w:pos="2268"/>
                <w:tab w:val="left" w:pos="6237"/>
                <w:tab w:val="left" w:pos="7020"/>
              </w:tabs>
              <w:spacing w:after="0" w:line="240" w:lineRule="auto"/>
              <w:ind w:left="340" w:right="-20"/>
              <w:jc w:val="center"/>
              <w:rPr>
                <w:rFonts w:ascii="Times New Roman" w:eastAsia="Arial" w:hAnsi="Times New Roman" w:cs="Times New Roman"/>
                <w:b/>
                <w:sz w:val="20"/>
                <w:szCs w:val="20"/>
                <w:lang w:eastAsia="fr-FR"/>
              </w:rPr>
            </w:pPr>
          </w:p>
        </w:tc>
        <w:tc>
          <w:tcPr>
            <w:tcW w:w="3539" w:type="dxa"/>
            <w:gridSpan w:val="2"/>
            <w:tcBorders>
              <w:top w:val="single" w:sz="4" w:space="0" w:color="000000"/>
              <w:left w:val="single" w:sz="4" w:space="0" w:color="000000"/>
              <w:bottom w:val="single" w:sz="4" w:space="0" w:color="000000"/>
              <w:right w:val="nil"/>
            </w:tcBorders>
            <w:vAlign w:val="center"/>
          </w:tcPr>
          <w:p w:rsidR="007F3DC3" w:rsidRPr="003E743A" w:rsidRDefault="007F3DC3" w:rsidP="00960124">
            <w:pPr>
              <w:tabs>
                <w:tab w:val="left" w:pos="2268"/>
                <w:tab w:val="left" w:pos="6237"/>
                <w:tab w:val="left" w:pos="7020"/>
              </w:tabs>
              <w:spacing w:after="0" w:line="240" w:lineRule="auto"/>
              <w:jc w:val="center"/>
              <w:rPr>
                <w:rFonts w:ascii="Times New Roman" w:eastAsia="Calibri" w:hAnsi="Times New Roman" w:cs="Times New Roman"/>
                <w:sz w:val="20"/>
                <w:szCs w:val="20"/>
                <w:lang w:eastAsia="fr-FR"/>
              </w:rPr>
            </w:pPr>
            <w:r w:rsidRPr="003E743A">
              <w:rPr>
                <w:rFonts w:ascii="Times New Roman" w:eastAsia="Arial" w:hAnsi="Times New Roman" w:cs="Times New Roman"/>
                <w:b/>
                <w:sz w:val="20"/>
                <w:szCs w:val="20"/>
              </w:rPr>
              <w:t>92</w:t>
            </w:r>
            <w:r w:rsidRPr="003E743A">
              <w:rPr>
                <w:rFonts w:ascii="Times New Roman" w:eastAsia="Arial" w:hAnsi="Times New Roman" w:cs="Times New Roman"/>
                <w:b/>
                <w:spacing w:val="1"/>
                <w:sz w:val="20"/>
                <w:szCs w:val="20"/>
              </w:rPr>
              <w:t>7</w:t>
            </w:r>
            <w:r w:rsidRPr="003E743A">
              <w:rPr>
                <w:rFonts w:ascii="Times New Roman" w:eastAsia="Arial" w:hAnsi="Times New Roman" w:cs="Times New Roman"/>
                <w:b/>
                <w:sz w:val="20"/>
                <w:szCs w:val="20"/>
              </w:rPr>
              <w:t>2</w:t>
            </w:r>
          </w:p>
        </w:tc>
        <w:tc>
          <w:tcPr>
            <w:tcW w:w="20" w:type="dxa"/>
            <w:tcBorders>
              <w:top w:val="single" w:sz="4" w:space="0" w:color="000000"/>
              <w:left w:val="nil"/>
              <w:bottom w:val="single" w:sz="4" w:space="0" w:color="000000"/>
              <w:right w:val="single" w:sz="4" w:space="0" w:color="000000"/>
            </w:tcBorders>
            <w:vAlign w:val="center"/>
          </w:tcPr>
          <w:p w:rsidR="007F3DC3" w:rsidRPr="003E743A" w:rsidRDefault="007F3DC3" w:rsidP="00960124">
            <w:pPr>
              <w:spacing w:line="240" w:lineRule="auto"/>
              <w:ind w:left="281" w:right="-20"/>
              <w:jc w:val="both"/>
              <w:rPr>
                <w:rFonts w:ascii="Times New Roman" w:eastAsia="Arial" w:hAnsi="Times New Roman" w:cs="Times New Roman"/>
                <w:b/>
                <w:sz w:val="20"/>
                <w:szCs w:val="20"/>
              </w:rPr>
            </w:pPr>
          </w:p>
        </w:tc>
      </w:tr>
      <w:tr w:rsidR="007F3DC3" w:rsidRPr="003E743A" w:rsidTr="00960124">
        <w:trPr>
          <w:trHeight w:hRule="exact" w:val="283"/>
        </w:trPr>
        <w:tc>
          <w:tcPr>
            <w:tcW w:w="576" w:type="dxa"/>
            <w:gridSpan w:val="2"/>
            <w:tcBorders>
              <w:top w:val="single" w:sz="4" w:space="0" w:color="000000"/>
              <w:left w:val="single" w:sz="4" w:space="0" w:color="000000"/>
              <w:bottom w:val="single" w:sz="4" w:space="0" w:color="000000"/>
              <w:right w:val="single" w:sz="4" w:space="0" w:color="000000"/>
            </w:tcBorders>
            <w:vAlign w:val="center"/>
          </w:tcPr>
          <w:p w:rsidR="007F3DC3" w:rsidRPr="003E743A" w:rsidRDefault="007F3DC3" w:rsidP="00960124">
            <w:pPr>
              <w:tabs>
                <w:tab w:val="left" w:pos="2268"/>
                <w:tab w:val="left" w:pos="6237"/>
                <w:tab w:val="left" w:pos="7020"/>
              </w:tabs>
              <w:spacing w:after="0" w:line="240" w:lineRule="auto"/>
              <w:ind w:left="243" w:right="-20"/>
              <w:jc w:val="center"/>
              <w:rPr>
                <w:rFonts w:ascii="Times New Roman" w:eastAsia="Arial" w:hAnsi="Times New Roman" w:cs="Times New Roman"/>
                <w:b/>
                <w:sz w:val="20"/>
                <w:szCs w:val="20"/>
                <w:lang w:eastAsia="fr-FR"/>
              </w:rPr>
            </w:pPr>
            <w:r w:rsidRPr="003E743A">
              <w:rPr>
                <w:rFonts w:ascii="Times New Roman" w:eastAsia="Arial" w:hAnsi="Times New Roman" w:cs="Times New Roman"/>
                <w:b/>
                <w:sz w:val="20"/>
                <w:szCs w:val="20"/>
                <w:lang w:eastAsia="fr-FR"/>
              </w:rPr>
              <w:t>16</w:t>
            </w:r>
          </w:p>
        </w:tc>
        <w:tc>
          <w:tcPr>
            <w:tcW w:w="2403" w:type="dxa"/>
            <w:tcBorders>
              <w:top w:val="single" w:sz="4" w:space="0" w:color="000000"/>
              <w:left w:val="single" w:sz="4" w:space="0" w:color="000000"/>
              <w:bottom w:val="single" w:sz="4" w:space="0" w:color="000000"/>
              <w:right w:val="single" w:sz="4" w:space="0" w:color="000000"/>
            </w:tcBorders>
            <w:vAlign w:val="center"/>
          </w:tcPr>
          <w:p w:rsidR="007F3DC3" w:rsidRPr="003E743A" w:rsidRDefault="007F3DC3" w:rsidP="00960124">
            <w:pPr>
              <w:tabs>
                <w:tab w:val="left" w:pos="2268"/>
                <w:tab w:val="left" w:pos="6237"/>
                <w:tab w:val="left" w:pos="7020"/>
              </w:tabs>
              <w:spacing w:after="0" w:line="240" w:lineRule="auto"/>
              <w:ind w:left="63" w:right="-20"/>
              <w:jc w:val="center"/>
              <w:rPr>
                <w:rFonts w:ascii="Times New Roman" w:eastAsia="Arial" w:hAnsi="Times New Roman" w:cs="Times New Roman"/>
                <w:sz w:val="20"/>
                <w:szCs w:val="20"/>
                <w:lang w:eastAsia="fr-FR"/>
              </w:rPr>
            </w:pPr>
            <w:r w:rsidRPr="003E743A">
              <w:rPr>
                <w:rFonts w:ascii="Times New Roman" w:eastAsia="Arial" w:hAnsi="Times New Roman" w:cs="Times New Roman"/>
                <w:spacing w:val="2"/>
                <w:sz w:val="20"/>
                <w:szCs w:val="20"/>
                <w:lang w:eastAsia="fr-FR"/>
              </w:rPr>
              <w:t>B</w:t>
            </w:r>
            <w:r w:rsidRPr="003E743A">
              <w:rPr>
                <w:rFonts w:ascii="Times New Roman" w:eastAsia="Arial" w:hAnsi="Times New Roman" w:cs="Times New Roman"/>
                <w:sz w:val="20"/>
                <w:szCs w:val="20"/>
                <w:lang w:eastAsia="fr-FR"/>
              </w:rPr>
              <w:t>a</w:t>
            </w:r>
            <w:r w:rsidRPr="003E743A">
              <w:rPr>
                <w:rFonts w:ascii="Times New Roman" w:eastAsia="Arial" w:hAnsi="Times New Roman" w:cs="Times New Roman"/>
                <w:spacing w:val="-1"/>
                <w:sz w:val="20"/>
                <w:szCs w:val="20"/>
                <w:lang w:eastAsia="fr-FR"/>
              </w:rPr>
              <w:t>i</w:t>
            </w:r>
            <w:r w:rsidRPr="003E743A">
              <w:rPr>
                <w:rFonts w:ascii="Times New Roman" w:eastAsia="Arial" w:hAnsi="Times New Roman" w:cs="Times New Roman"/>
                <w:sz w:val="20"/>
                <w:szCs w:val="20"/>
                <w:lang w:eastAsia="fr-FR"/>
              </w:rPr>
              <w:t>rro Mi</w:t>
            </w:r>
            <w:r w:rsidRPr="003E743A">
              <w:rPr>
                <w:rFonts w:ascii="Times New Roman" w:eastAsia="Arial" w:hAnsi="Times New Roman" w:cs="Times New Roman"/>
                <w:spacing w:val="-1"/>
                <w:sz w:val="20"/>
                <w:szCs w:val="20"/>
                <w:lang w:eastAsia="fr-FR"/>
              </w:rPr>
              <w:t>l</w:t>
            </w:r>
            <w:r w:rsidRPr="003E743A">
              <w:rPr>
                <w:rFonts w:ascii="Times New Roman" w:eastAsia="Arial" w:hAnsi="Times New Roman" w:cs="Times New Roman"/>
                <w:sz w:val="20"/>
                <w:szCs w:val="20"/>
                <w:lang w:eastAsia="fr-FR"/>
              </w:rPr>
              <w:t>itar</w:t>
            </w:r>
          </w:p>
        </w:tc>
        <w:tc>
          <w:tcPr>
            <w:tcW w:w="2109" w:type="dxa"/>
            <w:tcBorders>
              <w:top w:val="single" w:sz="4" w:space="0" w:color="000000"/>
              <w:left w:val="single" w:sz="4" w:space="0" w:color="000000"/>
              <w:bottom w:val="single" w:sz="4" w:space="0" w:color="000000"/>
              <w:right w:val="nil"/>
            </w:tcBorders>
            <w:vAlign w:val="center"/>
          </w:tcPr>
          <w:p w:rsidR="007F3DC3" w:rsidRPr="003E743A" w:rsidRDefault="007F3DC3" w:rsidP="00960124">
            <w:pPr>
              <w:tabs>
                <w:tab w:val="left" w:pos="2268"/>
                <w:tab w:val="left" w:pos="6237"/>
                <w:tab w:val="left" w:pos="7020"/>
              </w:tabs>
              <w:spacing w:after="0" w:line="240" w:lineRule="auto"/>
              <w:jc w:val="center"/>
              <w:rPr>
                <w:rFonts w:ascii="Times New Roman" w:eastAsia="Calibri" w:hAnsi="Times New Roman" w:cs="Times New Roman"/>
                <w:sz w:val="20"/>
                <w:szCs w:val="20"/>
                <w:lang w:eastAsia="fr-FR"/>
              </w:rPr>
            </w:pPr>
            <w:r w:rsidRPr="003E743A">
              <w:rPr>
                <w:rFonts w:ascii="Times New Roman" w:eastAsia="Arial" w:hAnsi="Times New Roman" w:cs="Times New Roman"/>
                <w:b/>
                <w:sz w:val="20"/>
                <w:szCs w:val="20"/>
                <w:lang w:eastAsia="fr-FR"/>
              </w:rPr>
              <w:t>141</w:t>
            </w:r>
          </w:p>
        </w:tc>
        <w:tc>
          <w:tcPr>
            <w:tcW w:w="25" w:type="dxa"/>
            <w:tcBorders>
              <w:top w:val="single" w:sz="4" w:space="0" w:color="000000"/>
              <w:left w:val="nil"/>
              <w:bottom w:val="single" w:sz="4" w:space="0" w:color="000000"/>
              <w:right w:val="single" w:sz="4" w:space="0" w:color="000000"/>
            </w:tcBorders>
            <w:vAlign w:val="center"/>
          </w:tcPr>
          <w:p w:rsidR="007F3DC3" w:rsidRPr="003E743A" w:rsidRDefault="007F3DC3" w:rsidP="00960124">
            <w:pPr>
              <w:tabs>
                <w:tab w:val="left" w:pos="2268"/>
                <w:tab w:val="left" w:pos="6237"/>
                <w:tab w:val="left" w:pos="7020"/>
              </w:tabs>
              <w:spacing w:after="0" w:line="240" w:lineRule="auto"/>
              <w:ind w:left="241" w:right="-20"/>
              <w:jc w:val="center"/>
              <w:rPr>
                <w:rFonts w:ascii="Times New Roman" w:eastAsia="Arial" w:hAnsi="Times New Roman" w:cs="Times New Roman"/>
                <w:b/>
                <w:sz w:val="20"/>
                <w:szCs w:val="20"/>
                <w:lang w:eastAsia="fr-FR"/>
              </w:rPr>
            </w:pPr>
          </w:p>
        </w:tc>
        <w:tc>
          <w:tcPr>
            <w:tcW w:w="3539" w:type="dxa"/>
            <w:gridSpan w:val="2"/>
            <w:tcBorders>
              <w:top w:val="single" w:sz="4" w:space="0" w:color="000000"/>
              <w:left w:val="single" w:sz="4" w:space="0" w:color="000000"/>
              <w:bottom w:val="single" w:sz="4" w:space="0" w:color="000000"/>
              <w:right w:val="nil"/>
            </w:tcBorders>
            <w:vAlign w:val="center"/>
          </w:tcPr>
          <w:p w:rsidR="007F3DC3" w:rsidRPr="003E743A" w:rsidRDefault="007F3DC3" w:rsidP="00960124">
            <w:pPr>
              <w:tabs>
                <w:tab w:val="left" w:pos="2268"/>
                <w:tab w:val="left" w:pos="6237"/>
                <w:tab w:val="left" w:pos="7020"/>
              </w:tabs>
              <w:spacing w:after="0" w:line="240" w:lineRule="auto"/>
              <w:jc w:val="center"/>
              <w:rPr>
                <w:rFonts w:ascii="Times New Roman" w:eastAsia="Calibri" w:hAnsi="Times New Roman" w:cs="Times New Roman"/>
                <w:sz w:val="20"/>
                <w:szCs w:val="20"/>
                <w:lang w:eastAsia="fr-FR"/>
              </w:rPr>
            </w:pPr>
            <w:r w:rsidRPr="003E743A">
              <w:rPr>
                <w:rFonts w:ascii="Times New Roman" w:eastAsia="Arial" w:hAnsi="Times New Roman" w:cs="Times New Roman"/>
                <w:b/>
                <w:sz w:val="20"/>
                <w:szCs w:val="20"/>
              </w:rPr>
              <w:t>33</w:t>
            </w:r>
            <w:r w:rsidRPr="003E743A">
              <w:rPr>
                <w:rFonts w:ascii="Times New Roman" w:eastAsia="Arial" w:hAnsi="Times New Roman" w:cs="Times New Roman"/>
                <w:b/>
                <w:spacing w:val="1"/>
                <w:sz w:val="20"/>
                <w:szCs w:val="20"/>
              </w:rPr>
              <w:t>60</w:t>
            </w:r>
            <w:r w:rsidRPr="003E743A">
              <w:rPr>
                <w:rFonts w:ascii="Times New Roman" w:eastAsia="Arial" w:hAnsi="Times New Roman" w:cs="Times New Roman"/>
                <w:b/>
                <w:sz w:val="20"/>
                <w:szCs w:val="20"/>
              </w:rPr>
              <w:t>1</w:t>
            </w:r>
          </w:p>
        </w:tc>
        <w:tc>
          <w:tcPr>
            <w:tcW w:w="20" w:type="dxa"/>
            <w:tcBorders>
              <w:top w:val="single" w:sz="4" w:space="0" w:color="000000"/>
              <w:left w:val="nil"/>
              <w:bottom w:val="single" w:sz="4" w:space="0" w:color="000000"/>
              <w:right w:val="single" w:sz="4" w:space="0" w:color="000000"/>
            </w:tcBorders>
            <w:vAlign w:val="center"/>
          </w:tcPr>
          <w:p w:rsidR="007F3DC3" w:rsidRPr="003E743A" w:rsidRDefault="007F3DC3" w:rsidP="00960124">
            <w:pPr>
              <w:spacing w:line="240" w:lineRule="auto"/>
              <w:ind w:left="181" w:right="-20"/>
              <w:jc w:val="both"/>
              <w:rPr>
                <w:rFonts w:ascii="Times New Roman" w:eastAsia="Arial" w:hAnsi="Times New Roman" w:cs="Times New Roman"/>
                <w:b/>
                <w:sz w:val="20"/>
                <w:szCs w:val="20"/>
              </w:rPr>
            </w:pPr>
          </w:p>
        </w:tc>
      </w:tr>
      <w:tr w:rsidR="007F3DC3" w:rsidRPr="003E743A" w:rsidTr="00960124">
        <w:trPr>
          <w:trHeight w:hRule="exact" w:val="286"/>
        </w:trPr>
        <w:tc>
          <w:tcPr>
            <w:tcW w:w="576" w:type="dxa"/>
            <w:gridSpan w:val="2"/>
            <w:tcBorders>
              <w:top w:val="single" w:sz="4" w:space="0" w:color="000000"/>
              <w:left w:val="single" w:sz="4" w:space="0" w:color="000000"/>
              <w:bottom w:val="single" w:sz="4" w:space="0" w:color="000000"/>
              <w:right w:val="single" w:sz="4" w:space="0" w:color="000000"/>
            </w:tcBorders>
            <w:vAlign w:val="center"/>
          </w:tcPr>
          <w:p w:rsidR="007F3DC3" w:rsidRPr="003E743A" w:rsidRDefault="007F3DC3" w:rsidP="00960124">
            <w:pPr>
              <w:tabs>
                <w:tab w:val="left" w:pos="2268"/>
                <w:tab w:val="left" w:pos="6237"/>
                <w:tab w:val="left" w:pos="7020"/>
              </w:tabs>
              <w:spacing w:after="0" w:line="240" w:lineRule="auto"/>
              <w:ind w:left="243" w:right="-20"/>
              <w:jc w:val="center"/>
              <w:rPr>
                <w:rFonts w:ascii="Times New Roman" w:eastAsia="Arial" w:hAnsi="Times New Roman" w:cs="Times New Roman"/>
                <w:b/>
                <w:sz w:val="20"/>
                <w:szCs w:val="20"/>
                <w:lang w:eastAsia="fr-FR"/>
              </w:rPr>
            </w:pPr>
            <w:r w:rsidRPr="003E743A">
              <w:rPr>
                <w:rFonts w:ascii="Times New Roman" w:eastAsia="Arial" w:hAnsi="Times New Roman" w:cs="Times New Roman"/>
                <w:b/>
                <w:sz w:val="20"/>
                <w:szCs w:val="20"/>
                <w:lang w:eastAsia="fr-FR"/>
              </w:rPr>
              <w:t>17</w:t>
            </w:r>
          </w:p>
        </w:tc>
        <w:tc>
          <w:tcPr>
            <w:tcW w:w="2403" w:type="dxa"/>
            <w:tcBorders>
              <w:top w:val="single" w:sz="4" w:space="0" w:color="000000"/>
              <w:left w:val="single" w:sz="4" w:space="0" w:color="000000"/>
              <w:bottom w:val="single" w:sz="4" w:space="0" w:color="000000"/>
              <w:right w:val="single" w:sz="4" w:space="0" w:color="000000"/>
            </w:tcBorders>
            <w:vAlign w:val="center"/>
          </w:tcPr>
          <w:p w:rsidR="007F3DC3" w:rsidRPr="003E743A" w:rsidRDefault="007F3DC3" w:rsidP="00960124">
            <w:pPr>
              <w:tabs>
                <w:tab w:val="left" w:pos="2268"/>
                <w:tab w:val="left" w:pos="6237"/>
                <w:tab w:val="left" w:pos="7020"/>
              </w:tabs>
              <w:spacing w:after="0" w:line="240" w:lineRule="auto"/>
              <w:ind w:left="63" w:right="-20"/>
              <w:jc w:val="center"/>
              <w:rPr>
                <w:rFonts w:ascii="Times New Roman" w:eastAsia="Arial" w:hAnsi="Times New Roman" w:cs="Times New Roman"/>
                <w:sz w:val="20"/>
                <w:szCs w:val="20"/>
                <w:lang w:eastAsia="fr-FR"/>
              </w:rPr>
            </w:pPr>
            <w:r w:rsidRPr="003E743A">
              <w:rPr>
                <w:rFonts w:ascii="Times New Roman" w:eastAsia="Arial" w:hAnsi="Times New Roman" w:cs="Times New Roman"/>
                <w:sz w:val="20"/>
                <w:szCs w:val="20"/>
                <w:lang w:eastAsia="fr-FR"/>
              </w:rPr>
              <w:t>B</w:t>
            </w:r>
            <w:r w:rsidRPr="003E743A">
              <w:rPr>
                <w:rFonts w:ascii="Times New Roman" w:eastAsia="Arial" w:hAnsi="Times New Roman" w:cs="Times New Roman"/>
                <w:spacing w:val="2"/>
                <w:sz w:val="20"/>
                <w:szCs w:val="20"/>
                <w:lang w:eastAsia="fr-FR"/>
              </w:rPr>
              <w:t>i</w:t>
            </w:r>
            <w:r w:rsidRPr="003E743A">
              <w:rPr>
                <w:rFonts w:ascii="Times New Roman" w:eastAsia="Arial" w:hAnsi="Times New Roman" w:cs="Times New Roman"/>
                <w:sz w:val="20"/>
                <w:szCs w:val="20"/>
                <w:lang w:eastAsia="fr-FR"/>
              </w:rPr>
              <w:t>ssa</w:t>
            </w:r>
            <w:r w:rsidRPr="003E743A">
              <w:rPr>
                <w:rFonts w:ascii="Times New Roman" w:eastAsia="Arial" w:hAnsi="Times New Roman" w:cs="Times New Roman"/>
                <w:spacing w:val="-1"/>
                <w:sz w:val="20"/>
                <w:szCs w:val="20"/>
                <w:lang w:eastAsia="fr-FR"/>
              </w:rPr>
              <w:t>qu</w:t>
            </w:r>
            <w:r w:rsidRPr="003E743A">
              <w:rPr>
                <w:rFonts w:ascii="Times New Roman" w:eastAsia="Arial" w:hAnsi="Times New Roman" w:cs="Times New Roman"/>
                <w:sz w:val="20"/>
                <w:szCs w:val="20"/>
                <w:lang w:eastAsia="fr-FR"/>
              </w:rPr>
              <w:t>e</w:t>
            </w:r>
          </w:p>
        </w:tc>
        <w:tc>
          <w:tcPr>
            <w:tcW w:w="2109" w:type="dxa"/>
            <w:tcBorders>
              <w:top w:val="single" w:sz="4" w:space="0" w:color="000000"/>
              <w:left w:val="single" w:sz="4" w:space="0" w:color="000000"/>
              <w:bottom w:val="single" w:sz="4" w:space="0" w:color="000000"/>
              <w:right w:val="nil"/>
            </w:tcBorders>
            <w:vAlign w:val="center"/>
          </w:tcPr>
          <w:p w:rsidR="007F3DC3" w:rsidRPr="003E743A" w:rsidRDefault="007F3DC3" w:rsidP="00960124">
            <w:pPr>
              <w:tabs>
                <w:tab w:val="left" w:pos="2268"/>
                <w:tab w:val="left" w:pos="6237"/>
                <w:tab w:val="left" w:pos="7020"/>
              </w:tabs>
              <w:spacing w:after="0" w:line="240" w:lineRule="auto"/>
              <w:jc w:val="center"/>
              <w:rPr>
                <w:rFonts w:ascii="Times New Roman" w:eastAsia="Calibri" w:hAnsi="Times New Roman" w:cs="Times New Roman"/>
                <w:sz w:val="20"/>
                <w:szCs w:val="20"/>
                <w:lang w:eastAsia="fr-FR"/>
              </w:rPr>
            </w:pPr>
            <w:r w:rsidRPr="003E743A">
              <w:rPr>
                <w:rFonts w:ascii="Times New Roman" w:eastAsia="Arial" w:hAnsi="Times New Roman" w:cs="Times New Roman"/>
                <w:b/>
                <w:sz w:val="20"/>
                <w:szCs w:val="20"/>
                <w:lang w:eastAsia="fr-FR"/>
              </w:rPr>
              <w:t>212</w:t>
            </w:r>
          </w:p>
        </w:tc>
        <w:tc>
          <w:tcPr>
            <w:tcW w:w="25" w:type="dxa"/>
            <w:tcBorders>
              <w:top w:val="single" w:sz="4" w:space="0" w:color="000000"/>
              <w:left w:val="nil"/>
              <w:bottom w:val="single" w:sz="4" w:space="0" w:color="000000"/>
              <w:right w:val="single" w:sz="4" w:space="0" w:color="000000"/>
            </w:tcBorders>
            <w:vAlign w:val="center"/>
          </w:tcPr>
          <w:p w:rsidR="007F3DC3" w:rsidRPr="003E743A" w:rsidRDefault="007F3DC3" w:rsidP="00960124">
            <w:pPr>
              <w:tabs>
                <w:tab w:val="left" w:pos="2268"/>
                <w:tab w:val="left" w:pos="6237"/>
                <w:tab w:val="left" w:pos="7020"/>
              </w:tabs>
              <w:spacing w:after="0" w:line="240" w:lineRule="auto"/>
              <w:ind w:left="241" w:right="-20"/>
              <w:jc w:val="center"/>
              <w:rPr>
                <w:rFonts w:ascii="Times New Roman" w:eastAsia="Arial" w:hAnsi="Times New Roman" w:cs="Times New Roman"/>
                <w:b/>
                <w:sz w:val="20"/>
                <w:szCs w:val="20"/>
                <w:lang w:eastAsia="fr-FR"/>
              </w:rPr>
            </w:pPr>
          </w:p>
        </w:tc>
        <w:tc>
          <w:tcPr>
            <w:tcW w:w="3539" w:type="dxa"/>
            <w:gridSpan w:val="2"/>
            <w:tcBorders>
              <w:top w:val="single" w:sz="4" w:space="0" w:color="000000"/>
              <w:left w:val="single" w:sz="4" w:space="0" w:color="000000"/>
              <w:bottom w:val="single" w:sz="4" w:space="0" w:color="000000"/>
              <w:right w:val="nil"/>
            </w:tcBorders>
            <w:vAlign w:val="center"/>
          </w:tcPr>
          <w:p w:rsidR="007F3DC3" w:rsidRPr="003E743A" w:rsidRDefault="007F3DC3" w:rsidP="00960124">
            <w:pPr>
              <w:tabs>
                <w:tab w:val="left" w:pos="2268"/>
                <w:tab w:val="left" w:pos="6237"/>
                <w:tab w:val="left" w:pos="7020"/>
              </w:tabs>
              <w:spacing w:after="0" w:line="240" w:lineRule="auto"/>
              <w:jc w:val="center"/>
              <w:rPr>
                <w:rFonts w:ascii="Times New Roman" w:eastAsia="Calibri" w:hAnsi="Times New Roman" w:cs="Times New Roman"/>
                <w:sz w:val="20"/>
                <w:szCs w:val="20"/>
                <w:lang w:eastAsia="fr-FR"/>
              </w:rPr>
            </w:pPr>
            <w:r w:rsidRPr="003E743A">
              <w:rPr>
                <w:rFonts w:ascii="Times New Roman" w:eastAsia="Arial" w:hAnsi="Times New Roman" w:cs="Times New Roman"/>
                <w:b/>
                <w:sz w:val="20"/>
                <w:szCs w:val="20"/>
              </w:rPr>
              <w:t>16</w:t>
            </w:r>
            <w:r w:rsidRPr="003E743A">
              <w:rPr>
                <w:rFonts w:ascii="Times New Roman" w:eastAsia="Arial" w:hAnsi="Times New Roman" w:cs="Times New Roman"/>
                <w:b/>
                <w:spacing w:val="1"/>
                <w:sz w:val="20"/>
                <w:szCs w:val="20"/>
              </w:rPr>
              <w:t>71</w:t>
            </w:r>
            <w:r w:rsidRPr="003E743A">
              <w:rPr>
                <w:rFonts w:ascii="Times New Roman" w:eastAsia="Arial" w:hAnsi="Times New Roman" w:cs="Times New Roman"/>
                <w:b/>
                <w:sz w:val="20"/>
                <w:szCs w:val="20"/>
              </w:rPr>
              <w:t>9</w:t>
            </w:r>
          </w:p>
        </w:tc>
        <w:tc>
          <w:tcPr>
            <w:tcW w:w="20" w:type="dxa"/>
            <w:tcBorders>
              <w:top w:val="single" w:sz="4" w:space="0" w:color="000000"/>
              <w:left w:val="nil"/>
              <w:bottom w:val="single" w:sz="4" w:space="0" w:color="000000"/>
              <w:right w:val="single" w:sz="4" w:space="0" w:color="000000"/>
            </w:tcBorders>
            <w:vAlign w:val="center"/>
          </w:tcPr>
          <w:p w:rsidR="007F3DC3" w:rsidRPr="003E743A" w:rsidRDefault="007F3DC3" w:rsidP="00960124">
            <w:pPr>
              <w:spacing w:line="240" w:lineRule="auto"/>
              <w:ind w:left="181" w:right="-20"/>
              <w:jc w:val="both"/>
              <w:rPr>
                <w:rFonts w:ascii="Times New Roman" w:eastAsia="Arial" w:hAnsi="Times New Roman" w:cs="Times New Roman"/>
                <w:b/>
                <w:sz w:val="20"/>
                <w:szCs w:val="20"/>
              </w:rPr>
            </w:pPr>
          </w:p>
        </w:tc>
      </w:tr>
      <w:tr w:rsidR="007F3DC3" w:rsidRPr="003E743A" w:rsidTr="00960124">
        <w:trPr>
          <w:trHeight w:hRule="exact" w:val="277"/>
        </w:trPr>
        <w:tc>
          <w:tcPr>
            <w:tcW w:w="576" w:type="dxa"/>
            <w:gridSpan w:val="2"/>
            <w:tcBorders>
              <w:top w:val="single" w:sz="4" w:space="0" w:color="000000"/>
              <w:left w:val="single" w:sz="4" w:space="0" w:color="000000"/>
              <w:bottom w:val="single" w:sz="4" w:space="0" w:color="000000"/>
              <w:right w:val="single" w:sz="4" w:space="0" w:color="000000"/>
            </w:tcBorders>
            <w:vAlign w:val="center"/>
          </w:tcPr>
          <w:p w:rsidR="007F3DC3" w:rsidRPr="003E743A" w:rsidRDefault="007F3DC3" w:rsidP="00960124">
            <w:pPr>
              <w:tabs>
                <w:tab w:val="left" w:pos="2268"/>
                <w:tab w:val="left" w:pos="6237"/>
                <w:tab w:val="left" w:pos="7020"/>
              </w:tabs>
              <w:spacing w:after="0" w:line="240" w:lineRule="auto"/>
              <w:ind w:left="243" w:right="-20"/>
              <w:jc w:val="center"/>
              <w:rPr>
                <w:rFonts w:ascii="Times New Roman" w:eastAsia="Arial" w:hAnsi="Times New Roman" w:cs="Times New Roman"/>
                <w:b/>
                <w:sz w:val="20"/>
                <w:szCs w:val="20"/>
                <w:lang w:eastAsia="fr-FR"/>
              </w:rPr>
            </w:pPr>
            <w:r w:rsidRPr="003E743A">
              <w:rPr>
                <w:rFonts w:ascii="Times New Roman" w:eastAsia="Arial" w:hAnsi="Times New Roman" w:cs="Times New Roman"/>
                <w:b/>
                <w:sz w:val="20"/>
                <w:szCs w:val="20"/>
                <w:lang w:eastAsia="fr-FR"/>
              </w:rPr>
              <w:t>18</w:t>
            </w:r>
          </w:p>
        </w:tc>
        <w:tc>
          <w:tcPr>
            <w:tcW w:w="2403" w:type="dxa"/>
            <w:tcBorders>
              <w:top w:val="single" w:sz="4" w:space="0" w:color="000000"/>
              <w:left w:val="single" w:sz="4" w:space="0" w:color="000000"/>
              <w:bottom w:val="single" w:sz="4" w:space="0" w:color="000000"/>
              <w:right w:val="single" w:sz="4" w:space="0" w:color="000000"/>
            </w:tcBorders>
            <w:vAlign w:val="center"/>
          </w:tcPr>
          <w:p w:rsidR="007F3DC3" w:rsidRPr="003E743A" w:rsidRDefault="007F3DC3" w:rsidP="00960124">
            <w:pPr>
              <w:tabs>
                <w:tab w:val="left" w:pos="2268"/>
                <w:tab w:val="left" w:pos="6237"/>
                <w:tab w:val="left" w:pos="7020"/>
              </w:tabs>
              <w:spacing w:after="0" w:line="240" w:lineRule="auto"/>
              <w:ind w:left="63" w:right="-20"/>
              <w:jc w:val="center"/>
              <w:rPr>
                <w:rFonts w:ascii="Times New Roman" w:eastAsia="Arial" w:hAnsi="Times New Roman" w:cs="Times New Roman"/>
                <w:sz w:val="20"/>
                <w:szCs w:val="20"/>
                <w:lang w:eastAsia="fr-FR"/>
              </w:rPr>
            </w:pPr>
            <w:r w:rsidRPr="003E743A">
              <w:rPr>
                <w:rFonts w:ascii="Times New Roman" w:eastAsia="Arial" w:hAnsi="Times New Roman" w:cs="Times New Roman"/>
                <w:sz w:val="20"/>
                <w:szCs w:val="20"/>
                <w:lang w:eastAsia="fr-FR"/>
              </w:rPr>
              <w:t>P</w:t>
            </w:r>
            <w:r w:rsidRPr="003E743A">
              <w:rPr>
                <w:rFonts w:ascii="Times New Roman" w:eastAsia="Arial" w:hAnsi="Times New Roman" w:cs="Times New Roman"/>
                <w:spacing w:val="2"/>
                <w:sz w:val="20"/>
                <w:szCs w:val="20"/>
                <w:lang w:eastAsia="fr-FR"/>
              </w:rPr>
              <w:t>l</w:t>
            </w:r>
            <w:r w:rsidRPr="003E743A">
              <w:rPr>
                <w:rFonts w:ascii="Times New Roman" w:eastAsia="Arial" w:hAnsi="Times New Roman" w:cs="Times New Roman"/>
                <w:spacing w:val="-1"/>
                <w:sz w:val="20"/>
                <w:szCs w:val="20"/>
                <w:lang w:eastAsia="fr-FR"/>
              </w:rPr>
              <w:t>a</w:t>
            </w:r>
            <w:r w:rsidRPr="003E743A">
              <w:rPr>
                <w:rFonts w:ascii="Times New Roman" w:eastAsia="Arial" w:hAnsi="Times New Roman" w:cs="Times New Roman"/>
                <w:spacing w:val="1"/>
                <w:sz w:val="20"/>
                <w:szCs w:val="20"/>
                <w:lang w:eastAsia="fr-FR"/>
              </w:rPr>
              <w:t>qu</w:t>
            </w:r>
            <w:r w:rsidRPr="003E743A">
              <w:rPr>
                <w:rFonts w:ascii="Times New Roman" w:eastAsia="Arial" w:hAnsi="Times New Roman" w:cs="Times New Roman"/>
                <w:sz w:val="20"/>
                <w:szCs w:val="20"/>
                <w:lang w:eastAsia="fr-FR"/>
              </w:rPr>
              <w:t>e I</w:t>
            </w:r>
          </w:p>
        </w:tc>
        <w:tc>
          <w:tcPr>
            <w:tcW w:w="2109" w:type="dxa"/>
            <w:tcBorders>
              <w:top w:val="single" w:sz="4" w:space="0" w:color="000000"/>
              <w:left w:val="single" w:sz="4" w:space="0" w:color="000000"/>
              <w:bottom w:val="single" w:sz="4" w:space="0" w:color="000000"/>
              <w:right w:val="nil"/>
            </w:tcBorders>
            <w:vAlign w:val="center"/>
          </w:tcPr>
          <w:p w:rsidR="007F3DC3" w:rsidRPr="003E743A" w:rsidRDefault="007F3DC3" w:rsidP="00960124">
            <w:pPr>
              <w:tabs>
                <w:tab w:val="left" w:pos="2268"/>
                <w:tab w:val="left" w:pos="6237"/>
                <w:tab w:val="left" w:pos="7020"/>
              </w:tabs>
              <w:spacing w:after="0" w:line="240" w:lineRule="auto"/>
              <w:jc w:val="center"/>
              <w:rPr>
                <w:rFonts w:ascii="Times New Roman" w:eastAsia="Calibri" w:hAnsi="Times New Roman" w:cs="Times New Roman"/>
                <w:sz w:val="20"/>
                <w:szCs w:val="20"/>
                <w:lang w:eastAsia="fr-FR"/>
              </w:rPr>
            </w:pPr>
            <w:r w:rsidRPr="003E743A">
              <w:rPr>
                <w:rFonts w:ascii="Times New Roman" w:eastAsia="Arial" w:hAnsi="Times New Roman" w:cs="Times New Roman"/>
                <w:b/>
                <w:sz w:val="20"/>
                <w:szCs w:val="20"/>
                <w:lang w:eastAsia="fr-FR"/>
              </w:rPr>
              <w:t>53</w:t>
            </w:r>
          </w:p>
        </w:tc>
        <w:tc>
          <w:tcPr>
            <w:tcW w:w="25" w:type="dxa"/>
            <w:tcBorders>
              <w:top w:val="single" w:sz="4" w:space="0" w:color="000000"/>
              <w:left w:val="nil"/>
              <w:bottom w:val="single" w:sz="4" w:space="0" w:color="000000"/>
              <w:right w:val="single" w:sz="4" w:space="0" w:color="000000"/>
            </w:tcBorders>
            <w:vAlign w:val="center"/>
          </w:tcPr>
          <w:p w:rsidR="007F3DC3" w:rsidRPr="003E743A" w:rsidRDefault="007F3DC3" w:rsidP="00960124">
            <w:pPr>
              <w:tabs>
                <w:tab w:val="left" w:pos="2268"/>
                <w:tab w:val="left" w:pos="6237"/>
                <w:tab w:val="left" w:pos="7020"/>
              </w:tabs>
              <w:spacing w:after="0" w:line="240" w:lineRule="auto"/>
              <w:ind w:left="340" w:right="-20"/>
              <w:jc w:val="center"/>
              <w:rPr>
                <w:rFonts w:ascii="Times New Roman" w:eastAsia="Arial" w:hAnsi="Times New Roman" w:cs="Times New Roman"/>
                <w:b/>
                <w:sz w:val="20"/>
                <w:szCs w:val="20"/>
                <w:lang w:eastAsia="fr-FR"/>
              </w:rPr>
            </w:pPr>
          </w:p>
        </w:tc>
        <w:tc>
          <w:tcPr>
            <w:tcW w:w="3539" w:type="dxa"/>
            <w:gridSpan w:val="2"/>
            <w:tcBorders>
              <w:top w:val="single" w:sz="4" w:space="0" w:color="000000"/>
              <w:left w:val="single" w:sz="4" w:space="0" w:color="000000"/>
              <w:bottom w:val="single" w:sz="4" w:space="0" w:color="000000"/>
              <w:right w:val="nil"/>
            </w:tcBorders>
            <w:vAlign w:val="center"/>
          </w:tcPr>
          <w:p w:rsidR="007F3DC3" w:rsidRPr="003E743A" w:rsidRDefault="007F3DC3" w:rsidP="00960124">
            <w:pPr>
              <w:tabs>
                <w:tab w:val="left" w:pos="2268"/>
                <w:tab w:val="left" w:pos="6237"/>
                <w:tab w:val="left" w:pos="7020"/>
              </w:tabs>
              <w:spacing w:after="0" w:line="240" w:lineRule="auto"/>
              <w:jc w:val="center"/>
              <w:rPr>
                <w:rFonts w:ascii="Times New Roman" w:eastAsia="Calibri" w:hAnsi="Times New Roman" w:cs="Times New Roman"/>
                <w:sz w:val="20"/>
                <w:szCs w:val="20"/>
                <w:lang w:eastAsia="fr-FR"/>
              </w:rPr>
            </w:pPr>
            <w:r w:rsidRPr="003E743A">
              <w:rPr>
                <w:rFonts w:ascii="Times New Roman" w:eastAsia="Arial" w:hAnsi="Times New Roman" w:cs="Times New Roman"/>
                <w:b/>
                <w:sz w:val="20"/>
                <w:szCs w:val="20"/>
              </w:rPr>
              <w:t>15</w:t>
            </w:r>
            <w:r w:rsidRPr="003E743A">
              <w:rPr>
                <w:rFonts w:ascii="Times New Roman" w:eastAsia="Arial" w:hAnsi="Times New Roman" w:cs="Times New Roman"/>
                <w:b/>
                <w:spacing w:val="1"/>
                <w:sz w:val="20"/>
                <w:szCs w:val="20"/>
              </w:rPr>
              <w:t>68</w:t>
            </w:r>
            <w:r w:rsidRPr="003E743A">
              <w:rPr>
                <w:rFonts w:ascii="Times New Roman" w:eastAsia="Arial" w:hAnsi="Times New Roman" w:cs="Times New Roman"/>
                <w:b/>
                <w:sz w:val="20"/>
                <w:szCs w:val="20"/>
              </w:rPr>
              <w:t>4</w:t>
            </w:r>
          </w:p>
        </w:tc>
        <w:tc>
          <w:tcPr>
            <w:tcW w:w="20" w:type="dxa"/>
            <w:tcBorders>
              <w:top w:val="single" w:sz="4" w:space="0" w:color="000000"/>
              <w:left w:val="nil"/>
              <w:bottom w:val="single" w:sz="4" w:space="0" w:color="000000"/>
              <w:right w:val="single" w:sz="4" w:space="0" w:color="000000"/>
            </w:tcBorders>
            <w:vAlign w:val="center"/>
          </w:tcPr>
          <w:p w:rsidR="007F3DC3" w:rsidRPr="003E743A" w:rsidRDefault="007F3DC3" w:rsidP="00960124">
            <w:pPr>
              <w:spacing w:line="240" w:lineRule="auto"/>
              <w:ind w:left="181" w:right="-20"/>
              <w:jc w:val="both"/>
              <w:rPr>
                <w:rFonts w:ascii="Times New Roman" w:eastAsia="Arial" w:hAnsi="Times New Roman" w:cs="Times New Roman"/>
                <w:b/>
                <w:sz w:val="20"/>
                <w:szCs w:val="20"/>
              </w:rPr>
            </w:pPr>
          </w:p>
        </w:tc>
      </w:tr>
      <w:tr w:rsidR="007F3DC3" w:rsidRPr="003E743A" w:rsidTr="00960124">
        <w:trPr>
          <w:trHeight w:hRule="exact" w:val="294"/>
        </w:trPr>
        <w:tc>
          <w:tcPr>
            <w:tcW w:w="576" w:type="dxa"/>
            <w:gridSpan w:val="2"/>
            <w:tcBorders>
              <w:top w:val="single" w:sz="4" w:space="0" w:color="000000"/>
              <w:left w:val="single" w:sz="4" w:space="0" w:color="000000"/>
              <w:bottom w:val="single" w:sz="4" w:space="0" w:color="000000"/>
              <w:right w:val="single" w:sz="4" w:space="0" w:color="000000"/>
            </w:tcBorders>
            <w:vAlign w:val="center"/>
          </w:tcPr>
          <w:p w:rsidR="007F3DC3" w:rsidRPr="003E743A" w:rsidRDefault="007F3DC3" w:rsidP="00960124">
            <w:pPr>
              <w:tabs>
                <w:tab w:val="left" w:pos="2268"/>
                <w:tab w:val="left" w:pos="6237"/>
                <w:tab w:val="left" w:pos="7020"/>
              </w:tabs>
              <w:spacing w:after="0" w:line="240" w:lineRule="auto"/>
              <w:ind w:left="243" w:right="-20"/>
              <w:jc w:val="center"/>
              <w:rPr>
                <w:rFonts w:ascii="Times New Roman" w:eastAsia="Arial" w:hAnsi="Times New Roman" w:cs="Times New Roman"/>
                <w:b/>
                <w:sz w:val="20"/>
                <w:szCs w:val="20"/>
                <w:lang w:eastAsia="fr-FR"/>
              </w:rPr>
            </w:pPr>
            <w:r w:rsidRPr="003E743A">
              <w:rPr>
                <w:rFonts w:ascii="Times New Roman" w:eastAsia="Arial" w:hAnsi="Times New Roman" w:cs="Times New Roman"/>
                <w:b/>
                <w:sz w:val="20"/>
                <w:szCs w:val="20"/>
                <w:lang w:eastAsia="fr-FR"/>
              </w:rPr>
              <w:t>19</w:t>
            </w:r>
          </w:p>
        </w:tc>
        <w:tc>
          <w:tcPr>
            <w:tcW w:w="2403" w:type="dxa"/>
            <w:tcBorders>
              <w:top w:val="single" w:sz="4" w:space="0" w:color="000000"/>
              <w:left w:val="single" w:sz="4" w:space="0" w:color="000000"/>
              <w:bottom w:val="single" w:sz="4" w:space="0" w:color="000000"/>
              <w:right w:val="single" w:sz="4" w:space="0" w:color="000000"/>
            </w:tcBorders>
            <w:vAlign w:val="center"/>
          </w:tcPr>
          <w:p w:rsidR="007F3DC3" w:rsidRPr="003E743A" w:rsidRDefault="007F3DC3" w:rsidP="00960124">
            <w:pPr>
              <w:tabs>
                <w:tab w:val="left" w:pos="2268"/>
                <w:tab w:val="left" w:pos="6237"/>
                <w:tab w:val="left" w:pos="7020"/>
              </w:tabs>
              <w:spacing w:after="0" w:line="240" w:lineRule="auto"/>
              <w:ind w:left="63" w:right="-20"/>
              <w:jc w:val="center"/>
              <w:rPr>
                <w:rFonts w:ascii="Times New Roman" w:eastAsia="Arial" w:hAnsi="Times New Roman" w:cs="Times New Roman"/>
                <w:sz w:val="20"/>
                <w:szCs w:val="20"/>
                <w:lang w:eastAsia="fr-FR"/>
              </w:rPr>
            </w:pPr>
            <w:r w:rsidRPr="003E743A">
              <w:rPr>
                <w:rFonts w:ascii="Times New Roman" w:eastAsia="Arial" w:hAnsi="Times New Roman" w:cs="Times New Roman"/>
                <w:spacing w:val="2"/>
                <w:sz w:val="20"/>
                <w:szCs w:val="20"/>
                <w:lang w:eastAsia="fr-FR"/>
              </w:rPr>
              <w:t>S</w:t>
            </w:r>
            <w:r w:rsidRPr="003E743A">
              <w:rPr>
                <w:rFonts w:ascii="Times New Roman" w:eastAsia="Arial" w:hAnsi="Times New Roman" w:cs="Times New Roman"/>
                <w:sz w:val="20"/>
                <w:szCs w:val="20"/>
                <w:lang w:eastAsia="fr-FR"/>
              </w:rPr>
              <w:t>ao P</w:t>
            </w:r>
            <w:r w:rsidRPr="003E743A">
              <w:rPr>
                <w:rFonts w:ascii="Times New Roman" w:eastAsia="Arial" w:hAnsi="Times New Roman" w:cs="Times New Roman"/>
                <w:spacing w:val="2"/>
                <w:sz w:val="20"/>
                <w:szCs w:val="20"/>
                <w:lang w:eastAsia="fr-FR"/>
              </w:rPr>
              <w:t>a</w:t>
            </w:r>
            <w:r w:rsidRPr="003E743A">
              <w:rPr>
                <w:rFonts w:ascii="Times New Roman" w:eastAsia="Arial" w:hAnsi="Times New Roman" w:cs="Times New Roman"/>
                <w:spacing w:val="-1"/>
                <w:sz w:val="20"/>
                <w:szCs w:val="20"/>
                <w:lang w:eastAsia="fr-FR"/>
              </w:rPr>
              <w:t>u</w:t>
            </w:r>
            <w:r w:rsidRPr="003E743A">
              <w:rPr>
                <w:rFonts w:ascii="Times New Roman" w:eastAsia="Arial" w:hAnsi="Times New Roman" w:cs="Times New Roman"/>
                <w:spacing w:val="1"/>
                <w:sz w:val="20"/>
                <w:szCs w:val="20"/>
                <w:lang w:eastAsia="fr-FR"/>
              </w:rPr>
              <w:t>l</w:t>
            </w:r>
            <w:r w:rsidRPr="003E743A">
              <w:rPr>
                <w:rFonts w:ascii="Times New Roman" w:eastAsia="Arial" w:hAnsi="Times New Roman" w:cs="Times New Roman"/>
                <w:sz w:val="20"/>
                <w:szCs w:val="20"/>
                <w:lang w:eastAsia="fr-FR"/>
              </w:rPr>
              <w:t>o</w:t>
            </w:r>
          </w:p>
        </w:tc>
        <w:tc>
          <w:tcPr>
            <w:tcW w:w="2109" w:type="dxa"/>
            <w:tcBorders>
              <w:top w:val="single" w:sz="4" w:space="0" w:color="000000"/>
              <w:left w:val="single" w:sz="4" w:space="0" w:color="000000"/>
              <w:bottom w:val="single" w:sz="4" w:space="0" w:color="000000"/>
              <w:right w:val="nil"/>
            </w:tcBorders>
            <w:vAlign w:val="center"/>
          </w:tcPr>
          <w:p w:rsidR="007F3DC3" w:rsidRPr="003E743A" w:rsidRDefault="007F3DC3" w:rsidP="00960124">
            <w:pPr>
              <w:tabs>
                <w:tab w:val="left" w:pos="2268"/>
                <w:tab w:val="left" w:pos="6237"/>
                <w:tab w:val="left" w:pos="7020"/>
              </w:tabs>
              <w:spacing w:after="0" w:line="240" w:lineRule="auto"/>
              <w:jc w:val="center"/>
              <w:rPr>
                <w:rFonts w:ascii="Times New Roman" w:eastAsia="Calibri" w:hAnsi="Times New Roman" w:cs="Times New Roman"/>
                <w:sz w:val="20"/>
                <w:szCs w:val="20"/>
                <w:lang w:eastAsia="fr-FR"/>
              </w:rPr>
            </w:pPr>
            <w:r w:rsidRPr="003E743A">
              <w:rPr>
                <w:rFonts w:ascii="Times New Roman" w:eastAsia="Arial" w:hAnsi="Times New Roman" w:cs="Times New Roman"/>
                <w:b/>
                <w:sz w:val="20"/>
                <w:szCs w:val="20"/>
                <w:lang w:eastAsia="fr-FR"/>
              </w:rPr>
              <w:t>116</w:t>
            </w:r>
          </w:p>
        </w:tc>
        <w:tc>
          <w:tcPr>
            <w:tcW w:w="25" w:type="dxa"/>
            <w:tcBorders>
              <w:top w:val="single" w:sz="4" w:space="0" w:color="000000"/>
              <w:left w:val="nil"/>
              <w:bottom w:val="single" w:sz="4" w:space="0" w:color="000000"/>
              <w:right w:val="single" w:sz="4" w:space="0" w:color="000000"/>
            </w:tcBorders>
            <w:vAlign w:val="center"/>
          </w:tcPr>
          <w:p w:rsidR="007F3DC3" w:rsidRPr="003E743A" w:rsidRDefault="007F3DC3" w:rsidP="00960124">
            <w:pPr>
              <w:tabs>
                <w:tab w:val="left" w:pos="2268"/>
                <w:tab w:val="left" w:pos="6237"/>
                <w:tab w:val="left" w:pos="7020"/>
              </w:tabs>
              <w:spacing w:after="0" w:line="240" w:lineRule="auto"/>
              <w:ind w:left="241" w:right="-20"/>
              <w:jc w:val="center"/>
              <w:rPr>
                <w:rFonts w:ascii="Times New Roman" w:eastAsia="Arial" w:hAnsi="Times New Roman" w:cs="Times New Roman"/>
                <w:b/>
                <w:sz w:val="20"/>
                <w:szCs w:val="20"/>
                <w:lang w:eastAsia="fr-FR"/>
              </w:rPr>
            </w:pPr>
          </w:p>
        </w:tc>
        <w:tc>
          <w:tcPr>
            <w:tcW w:w="3539" w:type="dxa"/>
            <w:gridSpan w:val="2"/>
            <w:tcBorders>
              <w:top w:val="single" w:sz="4" w:space="0" w:color="000000"/>
              <w:left w:val="single" w:sz="4" w:space="0" w:color="000000"/>
              <w:bottom w:val="single" w:sz="4" w:space="0" w:color="000000"/>
              <w:right w:val="nil"/>
            </w:tcBorders>
            <w:vAlign w:val="center"/>
          </w:tcPr>
          <w:p w:rsidR="007F3DC3" w:rsidRPr="003E743A" w:rsidRDefault="007F3DC3" w:rsidP="00960124">
            <w:pPr>
              <w:tabs>
                <w:tab w:val="left" w:pos="2268"/>
                <w:tab w:val="left" w:pos="6237"/>
                <w:tab w:val="left" w:pos="7020"/>
              </w:tabs>
              <w:spacing w:after="0" w:line="240" w:lineRule="auto"/>
              <w:jc w:val="center"/>
              <w:rPr>
                <w:rFonts w:ascii="Times New Roman" w:eastAsia="Calibri" w:hAnsi="Times New Roman" w:cs="Times New Roman"/>
                <w:sz w:val="20"/>
                <w:szCs w:val="20"/>
                <w:lang w:eastAsia="fr-FR"/>
              </w:rPr>
            </w:pPr>
            <w:r w:rsidRPr="003E743A">
              <w:rPr>
                <w:rFonts w:ascii="Times New Roman" w:eastAsia="Arial" w:hAnsi="Times New Roman" w:cs="Times New Roman"/>
                <w:b/>
                <w:sz w:val="20"/>
                <w:szCs w:val="20"/>
              </w:rPr>
              <w:t>95</w:t>
            </w:r>
            <w:r w:rsidRPr="003E743A">
              <w:rPr>
                <w:rFonts w:ascii="Times New Roman" w:eastAsia="Arial" w:hAnsi="Times New Roman" w:cs="Times New Roman"/>
                <w:b/>
                <w:spacing w:val="1"/>
                <w:sz w:val="20"/>
                <w:szCs w:val="20"/>
              </w:rPr>
              <w:t>7</w:t>
            </w:r>
            <w:r w:rsidRPr="003E743A">
              <w:rPr>
                <w:rFonts w:ascii="Times New Roman" w:eastAsia="Arial" w:hAnsi="Times New Roman" w:cs="Times New Roman"/>
                <w:b/>
                <w:sz w:val="20"/>
                <w:szCs w:val="20"/>
              </w:rPr>
              <w:t>7</w:t>
            </w:r>
          </w:p>
        </w:tc>
        <w:tc>
          <w:tcPr>
            <w:tcW w:w="20" w:type="dxa"/>
            <w:tcBorders>
              <w:top w:val="single" w:sz="4" w:space="0" w:color="000000"/>
              <w:left w:val="nil"/>
              <w:bottom w:val="single" w:sz="4" w:space="0" w:color="000000"/>
              <w:right w:val="single" w:sz="4" w:space="0" w:color="000000"/>
            </w:tcBorders>
            <w:vAlign w:val="center"/>
          </w:tcPr>
          <w:p w:rsidR="007F3DC3" w:rsidRPr="003E743A" w:rsidRDefault="007F3DC3" w:rsidP="00960124">
            <w:pPr>
              <w:spacing w:line="240" w:lineRule="auto"/>
              <w:ind w:left="281" w:right="-20"/>
              <w:jc w:val="both"/>
              <w:rPr>
                <w:rFonts w:ascii="Times New Roman" w:eastAsia="Arial" w:hAnsi="Times New Roman" w:cs="Times New Roman"/>
                <w:b/>
                <w:sz w:val="20"/>
                <w:szCs w:val="20"/>
              </w:rPr>
            </w:pPr>
          </w:p>
        </w:tc>
      </w:tr>
      <w:tr w:rsidR="007F3DC3" w:rsidRPr="003E743A" w:rsidTr="00960124">
        <w:trPr>
          <w:trHeight w:hRule="exact" w:val="285"/>
        </w:trPr>
        <w:tc>
          <w:tcPr>
            <w:tcW w:w="576" w:type="dxa"/>
            <w:gridSpan w:val="2"/>
            <w:tcBorders>
              <w:top w:val="single" w:sz="4" w:space="0" w:color="000000"/>
              <w:left w:val="single" w:sz="4" w:space="0" w:color="000000"/>
              <w:bottom w:val="single" w:sz="4" w:space="0" w:color="000000"/>
              <w:right w:val="single" w:sz="4" w:space="0" w:color="000000"/>
            </w:tcBorders>
            <w:vAlign w:val="center"/>
          </w:tcPr>
          <w:p w:rsidR="007F3DC3" w:rsidRPr="003E743A" w:rsidRDefault="007F3DC3" w:rsidP="00960124">
            <w:pPr>
              <w:tabs>
                <w:tab w:val="left" w:pos="2268"/>
                <w:tab w:val="left" w:pos="6237"/>
                <w:tab w:val="left" w:pos="7020"/>
              </w:tabs>
              <w:spacing w:after="0" w:line="240" w:lineRule="auto"/>
              <w:ind w:left="243" w:right="-20"/>
              <w:jc w:val="center"/>
              <w:rPr>
                <w:rFonts w:ascii="Times New Roman" w:eastAsia="Arial" w:hAnsi="Times New Roman" w:cs="Times New Roman"/>
                <w:b/>
                <w:sz w:val="20"/>
                <w:szCs w:val="20"/>
                <w:lang w:eastAsia="fr-FR"/>
              </w:rPr>
            </w:pPr>
            <w:r w:rsidRPr="003E743A">
              <w:rPr>
                <w:rFonts w:ascii="Times New Roman" w:eastAsia="Arial" w:hAnsi="Times New Roman" w:cs="Times New Roman"/>
                <w:b/>
                <w:sz w:val="20"/>
                <w:szCs w:val="20"/>
                <w:lang w:eastAsia="fr-FR"/>
              </w:rPr>
              <w:lastRenderedPageBreak/>
              <w:t>20</w:t>
            </w:r>
          </w:p>
        </w:tc>
        <w:tc>
          <w:tcPr>
            <w:tcW w:w="2403" w:type="dxa"/>
            <w:tcBorders>
              <w:top w:val="single" w:sz="4" w:space="0" w:color="000000"/>
              <w:left w:val="single" w:sz="4" w:space="0" w:color="000000"/>
              <w:bottom w:val="single" w:sz="4" w:space="0" w:color="000000"/>
              <w:right w:val="single" w:sz="4" w:space="0" w:color="000000"/>
            </w:tcBorders>
            <w:vAlign w:val="center"/>
          </w:tcPr>
          <w:p w:rsidR="007F3DC3" w:rsidRPr="003E743A" w:rsidRDefault="007F3DC3" w:rsidP="00960124">
            <w:pPr>
              <w:tabs>
                <w:tab w:val="left" w:pos="2268"/>
                <w:tab w:val="left" w:pos="6237"/>
                <w:tab w:val="left" w:pos="7020"/>
              </w:tabs>
              <w:spacing w:after="0" w:line="240" w:lineRule="auto"/>
              <w:ind w:left="63" w:right="-20"/>
              <w:jc w:val="center"/>
              <w:rPr>
                <w:rFonts w:ascii="Times New Roman" w:eastAsia="Arial" w:hAnsi="Times New Roman" w:cs="Times New Roman"/>
                <w:sz w:val="20"/>
                <w:szCs w:val="20"/>
                <w:lang w:eastAsia="fr-FR"/>
              </w:rPr>
            </w:pPr>
            <w:r w:rsidRPr="003E743A">
              <w:rPr>
                <w:rFonts w:ascii="Times New Roman" w:eastAsia="Arial" w:hAnsi="Times New Roman" w:cs="Times New Roman"/>
                <w:spacing w:val="2"/>
                <w:sz w:val="20"/>
                <w:szCs w:val="20"/>
                <w:lang w:eastAsia="fr-FR"/>
              </w:rPr>
              <w:t>V</w:t>
            </w:r>
            <w:r w:rsidRPr="003E743A">
              <w:rPr>
                <w:rFonts w:ascii="Times New Roman" w:eastAsia="Arial" w:hAnsi="Times New Roman" w:cs="Times New Roman"/>
                <w:sz w:val="20"/>
                <w:szCs w:val="20"/>
                <w:lang w:eastAsia="fr-FR"/>
              </w:rPr>
              <w:t>ar</w:t>
            </w:r>
            <w:r w:rsidRPr="003E743A">
              <w:rPr>
                <w:rFonts w:ascii="Times New Roman" w:eastAsia="Arial" w:hAnsi="Times New Roman" w:cs="Times New Roman"/>
                <w:spacing w:val="-1"/>
                <w:sz w:val="20"/>
                <w:szCs w:val="20"/>
                <w:lang w:eastAsia="fr-FR"/>
              </w:rPr>
              <w:t>e</w:t>
            </w:r>
            <w:r w:rsidRPr="003E743A">
              <w:rPr>
                <w:rFonts w:ascii="Times New Roman" w:eastAsia="Arial" w:hAnsi="Times New Roman" w:cs="Times New Roman"/>
                <w:sz w:val="20"/>
                <w:szCs w:val="20"/>
                <w:lang w:eastAsia="fr-FR"/>
              </w:rPr>
              <w:t>la</w:t>
            </w:r>
          </w:p>
        </w:tc>
        <w:tc>
          <w:tcPr>
            <w:tcW w:w="2109" w:type="dxa"/>
            <w:tcBorders>
              <w:top w:val="single" w:sz="4" w:space="0" w:color="000000"/>
              <w:left w:val="single" w:sz="4" w:space="0" w:color="000000"/>
              <w:bottom w:val="single" w:sz="4" w:space="0" w:color="000000"/>
              <w:right w:val="nil"/>
            </w:tcBorders>
            <w:vAlign w:val="center"/>
          </w:tcPr>
          <w:p w:rsidR="007F3DC3" w:rsidRPr="003E743A" w:rsidRDefault="007F3DC3" w:rsidP="00960124">
            <w:pPr>
              <w:tabs>
                <w:tab w:val="left" w:pos="2268"/>
                <w:tab w:val="left" w:pos="6237"/>
                <w:tab w:val="left" w:pos="7020"/>
              </w:tabs>
              <w:spacing w:after="0" w:line="240" w:lineRule="auto"/>
              <w:jc w:val="center"/>
              <w:rPr>
                <w:rFonts w:ascii="Times New Roman" w:eastAsia="Calibri" w:hAnsi="Times New Roman" w:cs="Times New Roman"/>
                <w:sz w:val="20"/>
                <w:szCs w:val="20"/>
                <w:lang w:eastAsia="fr-FR"/>
              </w:rPr>
            </w:pPr>
            <w:r w:rsidRPr="003E743A">
              <w:rPr>
                <w:rFonts w:ascii="Times New Roman" w:eastAsia="Arial" w:hAnsi="Times New Roman" w:cs="Times New Roman"/>
                <w:b/>
                <w:sz w:val="20"/>
                <w:szCs w:val="20"/>
                <w:lang w:eastAsia="fr-FR"/>
              </w:rPr>
              <w:t>41</w:t>
            </w:r>
          </w:p>
        </w:tc>
        <w:tc>
          <w:tcPr>
            <w:tcW w:w="25" w:type="dxa"/>
            <w:tcBorders>
              <w:top w:val="single" w:sz="4" w:space="0" w:color="000000"/>
              <w:left w:val="nil"/>
              <w:bottom w:val="single" w:sz="4" w:space="0" w:color="000000"/>
              <w:right w:val="single" w:sz="4" w:space="0" w:color="000000"/>
            </w:tcBorders>
            <w:vAlign w:val="center"/>
          </w:tcPr>
          <w:p w:rsidR="007F3DC3" w:rsidRPr="003E743A" w:rsidRDefault="007F3DC3" w:rsidP="00960124">
            <w:pPr>
              <w:tabs>
                <w:tab w:val="left" w:pos="2268"/>
                <w:tab w:val="left" w:pos="6237"/>
                <w:tab w:val="left" w:pos="7020"/>
              </w:tabs>
              <w:spacing w:after="0" w:line="240" w:lineRule="auto"/>
              <w:ind w:left="340" w:right="-20"/>
              <w:jc w:val="center"/>
              <w:rPr>
                <w:rFonts w:ascii="Times New Roman" w:eastAsia="Arial" w:hAnsi="Times New Roman" w:cs="Times New Roman"/>
                <w:b/>
                <w:sz w:val="20"/>
                <w:szCs w:val="20"/>
                <w:lang w:eastAsia="fr-FR"/>
              </w:rPr>
            </w:pPr>
          </w:p>
        </w:tc>
        <w:tc>
          <w:tcPr>
            <w:tcW w:w="3539" w:type="dxa"/>
            <w:gridSpan w:val="2"/>
            <w:tcBorders>
              <w:top w:val="single" w:sz="4" w:space="0" w:color="000000"/>
              <w:left w:val="single" w:sz="4" w:space="0" w:color="000000"/>
              <w:bottom w:val="single" w:sz="4" w:space="0" w:color="000000"/>
              <w:right w:val="nil"/>
            </w:tcBorders>
            <w:vAlign w:val="center"/>
          </w:tcPr>
          <w:p w:rsidR="007F3DC3" w:rsidRPr="003E743A" w:rsidRDefault="007F3DC3" w:rsidP="00960124">
            <w:pPr>
              <w:tabs>
                <w:tab w:val="left" w:pos="2268"/>
                <w:tab w:val="left" w:pos="6237"/>
                <w:tab w:val="left" w:pos="7020"/>
              </w:tabs>
              <w:spacing w:after="0" w:line="240" w:lineRule="auto"/>
              <w:jc w:val="center"/>
              <w:rPr>
                <w:rFonts w:ascii="Times New Roman" w:eastAsia="Calibri" w:hAnsi="Times New Roman" w:cs="Times New Roman"/>
                <w:sz w:val="20"/>
                <w:szCs w:val="20"/>
                <w:lang w:eastAsia="fr-FR"/>
              </w:rPr>
            </w:pPr>
            <w:r w:rsidRPr="003E743A">
              <w:rPr>
                <w:rFonts w:ascii="Times New Roman" w:eastAsia="Arial" w:hAnsi="Times New Roman" w:cs="Times New Roman"/>
                <w:b/>
                <w:sz w:val="20"/>
                <w:szCs w:val="20"/>
              </w:rPr>
              <w:t>36</w:t>
            </w:r>
            <w:r w:rsidRPr="003E743A">
              <w:rPr>
                <w:rFonts w:ascii="Times New Roman" w:eastAsia="Arial" w:hAnsi="Times New Roman" w:cs="Times New Roman"/>
                <w:b/>
                <w:spacing w:val="1"/>
                <w:sz w:val="20"/>
                <w:szCs w:val="20"/>
              </w:rPr>
              <w:t>1</w:t>
            </w:r>
            <w:r w:rsidRPr="003E743A">
              <w:rPr>
                <w:rFonts w:ascii="Times New Roman" w:eastAsia="Arial" w:hAnsi="Times New Roman" w:cs="Times New Roman"/>
                <w:b/>
                <w:sz w:val="20"/>
                <w:szCs w:val="20"/>
              </w:rPr>
              <w:t>0</w:t>
            </w:r>
          </w:p>
        </w:tc>
        <w:tc>
          <w:tcPr>
            <w:tcW w:w="20" w:type="dxa"/>
            <w:tcBorders>
              <w:top w:val="single" w:sz="4" w:space="0" w:color="000000"/>
              <w:left w:val="nil"/>
              <w:bottom w:val="single" w:sz="4" w:space="0" w:color="000000"/>
              <w:right w:val="single" w:sz="4" w:space="0" w:color="000000"/>
            </w:tcBorders>
            <w:vAlign w:val="center"/>
          </w:tcPr>
          <w:p w:rsidR="007F3DC3" w:rsidRPr="003E743A" w:rsidRDefault="007F3DC3" w:rsidP="00960124">
            <w:pPr>
              <w:spacing w:line="240" w:lineRule="auto"/>
              <w:ind w:left="281" w:right="-20"/>
              <w:jc w:val="both"/>
              <w:rPr>
                <w:rFonts w:ascii="Times New Roman" w:eastAsia="Arial" w:hAnsi="Times New Roman" w:cs="Times New Roman"/>
                <w:b/>
                <w:sz w:val="20"/>
                <w:szCs w:val="20"/>
              </w:rPr>
            </w:pPr>
          </w:p>
        </w:tc>
      </w:tr>
      <w:tr w:rsidR="007F3DC3" w:rsidRPr="003E743A" w:rsidTr="00960124">
        <w:trPr>
          <w:trHeight w:hRule="exact" w:val="274"/>
        </w:trPr>
        <w:tc>
          <w:tcPr>
            <w:tcW w:w="576" w:type="dxa"/>
            <w:gridSpan w:val="2"/>
            <w:tcBorders>
              <w:top w:val="single" w:sz="4" w:space="0" w:color="000000"/>
              <w:left w:val="single" w:sz="4" w:space="0" w:color="000000"/>
              <w:bottom w:val="single" w:sz="4" w:space="0" w:color="000000"/>
              <w:right w:val="single" w:sz="4" w:space="0" w:color="000000"/>
            </w:tcBorders>
            <w:vAlign w:val="center"/>
          </w:tcPr>
          <w:p w:rsidR="007F3DC3" w:rsidRPr="003E743A" w:rsidRDefault="007F3DC3" w:rsidP="00960124">
            <w:pPr>
              <w:tabs>
                <w:tab w:val="left" w:pos="2268"/>
                <w:tab w:val="left" w:pos="6237"/>
                <w:tab w:val="left" w:pos="7020"/>
              </w:tabs>
              <w:spacing w:after="0" w:line="240" w:lineRule="auto"/>
              <w:ind w:left="243" w:right="-20"/>
              <w:jc w:val="center"/>
              <w:rPr>
                <w:rFonts w:ascii="Times New Roman" w:eastAsia="Arial" w:hAnsi="Times New Roman" w:cs="Times New Roman"/>
                <w:b/>
                <w:sz w:val="20"/>
                <w:szCs w:val="20"/>
                <w:lang w:eastAsia="fr-FR"/>
              </w:rPr>
            </w:pPr>
            <w:r w:rsidRPr="003E743A">
              <w:rPr>
                <w:rFonts w:ascii="Times New Roman" w:eastAsia="Arial" w:hAnsi="Times New Roman" w:cs="Times New Roman"/>
                <w:b/>
                <w:sz w:val="20"/>
                <w:szCs w:val="20"/>
                <w:lang w:eastAsia="fr-FR"/>
              </w:rPr>
              <w:t>21</w:t>
            </w:r>
          </w:p>
        </w:tc>
        <w:tc>
          <w:tcPr>
            <w:tcW w:w="2403" w:type="dxa"/>
            <w:tcBorders>
              <w:top w:val="single" w:sz="4" w:space="0" w:color="000000"/>
              <w:left w:val="single" w:sz="4" w:space="0" w:color="000000"/>
              <w:bottom w:val="single" w:sz="4" w:space="0" w:color="000000"/>
              <w:right w:val="single" w:sz="4" w:space="0" w:color="000000"/>
            </w:tcBorders>
            <w:vAlign w:val="center"/>
          </w:tcPr>
          <w:p w:rsidR="007F3DC3" w:rsidRPr="003E743A" w:rsidRDefault="007F3DC3" w:rsidP="00960124">
            <w:pPr>
              <w:tabs>
                <w:tab w:val="left" w:pos="2268"/>
                <w:tab w:val="left" w:pos="6237"/>
                <w:tab w:val="left" w:pos="7020"/>
              </w:tabs>
              <w:spacing w:after="0" w:line="240" w:lineRule="auto"/>
              <w:ind w:left="63" w:right="-20"/>
              <w:jc w:val="center"/>
              <w:rPr>
                <w:rFonts w:ascii="Times New Roman" w:eastAsia="Arial" w:hAnsi="Times New Roman" w:cs="Times New Roman"/>
                <w:sz w:val="20"/>
                <w:szCs w:val="20"/>
                <w:lang w:eastAsia="fr-FR"/>
              </w:rPr>
            </w:pPr>
            <w:r w:rsidRPr="003E743A">
              <w:rPr>
                <w:rFonts w:ascii="Times New Roman" w:eastAsia="Arial" w:hAnsi="Times New Roman" w:cs="Times New Roman"/>
                <w:spacing w:val="2"/>
                <w:sz w:val="20"/>
                <w:szCs w:val="20"/>
                <w:lang w:eastAsia="fr-FR"/>
              </w:rPr>
              <w:t>R</w:t>
            </w:r>
            <w:r w:rsidRPr="003E743A">
              <w:rPr>
                <w:rFonts w:ascii="Times New Roman" w:eastAsia="Arial" w:hAnsi="Times New Roman" w:cs="Times New Roman"/>
                <w:sz w:val="20"/>
                <w:szCs w:val="20"/>
                <w:lang w:eastAsia="fr-FR"/>
              </w:rPr>
              <w:t>oss</w:t>
            </w:r>
            <w:r w:rsidRPr="003E743A">
              <w:rPr>
                <w:rFonts w:ascii="Times New Roman" w:eastAsia="Arial" w:hAnsi="Times New Roman" w:cs="Times New Roman"/>
                <w:spacing w:val="-1"/>
                <w:sz w:val="20"/>
                <w:szCs w:val="20"/>
                <w:lang w:eastAsia="fr-FR"/>
              </w:rPr>
              <w:t>i</w:t>
            </w:r>
            <w:r w:rsidRPr="003E743A">
              <w:rPr>
                <w:rFonts w:ascii="Times New Roman" w:eastAsia="Arial" w:hAnsi="Times New Roman" w:cs="Times New Roman"/>
                <w:sz w:val="20"/>
                <w:szCs w:val="20"/>
                <w:lang w:eastAsia="fr-FR"/>
              </w:rPr>
              <w:t xml:space="preserve">o </w:t>
            </w:r>
            <w:r w:rsidRPr="003E743A">
              <w:rPr>
                <w:rFonts w:ascii="Times New Roman" w:eastAsia="Arial" w:hAnsi="Times New Roman" w:cs="Times New Roman"/>
                <w:spacing w:val="1"/>
                <w:sz w:val="20"/>
                <w:szCs w:val="20"/>
                <w:lang w:eastAsia="fr-FR"/>
              </w:rPr>
              <w:t>C</w:t>
            </w:r>
            <w:r w:rsidRPr="003E743A">
              <w:rPr>
                <w:rFonts w:ascii="Times New Roman" w:eastAsia="Arial" w:hAnsi="Times New Roman" w:cs="Times New Roman"/>
                <w:spacing w:val="-1"/>
                <w:sz w:val="20"/>
                <w:szCs w:val="20"/>
                <w:lang w:eastAsia="fr-FR"/>
              </w:rPr>
              <w:t>a</w:t>
            </w:r>
            <w:r w:rsidRPr="003E743A">
              <w:rPr>
                <w:rFonts w:ascii="Times New Roman" w:eastAsia="Arial" w:hAnsi="Times New Roman" w:cs="Times New Roman"/>
                <w:spacing w:val="2"/>
                <w:sz w:val="20"/>
                <w:szCs w:val="20"/>
                <w:lang w:eastAsia="fr-FR"/>
              </w:rPr>
              <w:t>l</w:t>
            </w:r>
            <w:r w:rsidRPr="003E743A">
              <w:rPr>
                <w:rFonts w:ascii="Times New Roman" w:eastAsia="Arial" w:hAnsi="Times New Roman" w:cs="Times New Roman"/>
                <w:sz w:val="20"/>
                <w:szCs w:val="20"/>
                <w:lang w:eastAsia="fr-FR"/>
              </w:rPr>
              <w:t>i</w:t>
            </w:r>
            <w:r w:rsidRPr="003E743A">
              <w:rPr>
                <w:rFonts w:ascii="Times New Roman" w:eastAsia="Arial" w:hAnsi="Times New Roman" w:cs="Times New Roman"/>
                <w:spacing w:val="-1"/>
                <w:sz w:val="20"/>
                <w:szCs w:val="20"/>
                <w:lang w:eastAsia="fr-FR"/>
              </w:rPr>
              <w:t>q</w:t>
            </w:r>
            <w:r w:rsidRPr="003E743A">
              <w:rPr>
                <w:rFonts w:ascii="Times New Roman" w:eastAsia="Arial" w:hAnsi="Times New Roman" w:cs="Times New Roman"/>
                <w:spacing w:val="2"/>
                <w:sz w:val="20"/>
                <w:szCs w:val="20"/>
                <w:lang w:eastAsia="fr-FR"/>
              </w:rPr>
              <w:t>u</w:t>
            </w:r>
            <w:r w:rsidRPr="003E743A">
              <w:rPr>
                <w:rFonts w:ascii="Times New Roman" w:eastAsia="Arial" w:hAnsi="Times New Roman" w:cs="Times New Roman"/>
                <w:sz w:val="20"/>
                <w:szCs w:val="20"/>
                <w:lang w:eastAsia="fr-FR"/>
              </w:rPr>
              <w:t>ir</w:t>
            </w:r>
          </w:p>
        </w:tc>
        <w:tc>
          <w:tcPr>
            <w:tcW w:w="2109" w:type="dxa"/>
            <w:tcBorders>
              <w:top w:val="single" w:sz="4" w:space="0" w:color="000000"/>
              <w:left w:val="single" w:sz="4" w:space="0" w:color="000000"/>
              <w:bottom w:val="single" w:sz="4" w:space="0" w:color="000000"/>
              <w:right w:val="nil"/>
            </w:tcBorders>
            <w:vAlign w:val="center"/>
          </w:tcPr>
          <w:p w:rsidR="007F3DC3" w:rsidRPr="003E743A" w:rsidRDefault="007F3DC3" w:rsidP="00960124">
            <w:pPr>
              <w:tabs>
                <w:tab w:val="left" w:pos="2268"/>
                <w:tab w:val="left" w:pos="6237"/>
                <w:tab w:val="left" w:pos="7020"/>
              </w:tabs>
              <w:spacing w:after="0" w:line="240" w:lineRule="auto"/>
              <w:jc w:val="center"/>
              <w:rPr>
                <w:rFonts w:ascii="Times New Roman" w:eastAsia="Calibri" w:hAnsi="Times New Roman" w:cs="Times New Roman"/>
                <w:sz w:val="20"/>
                <w:szCs w:val="20"/>
                <w:lang w:eastAsia="fr-FR"/>
              </w:rPr>
            </w:pPr>
            <w:r w:rsidRPr="003E743A">
              <w:rPr>
                <w:rFonts w:ascii="Times New Roman" w:eastAsia="Arial" w:hAnsi="Times New Roman" w:cs="Times New Roman"/>
                <w:b/>
                <w:sz w:val="20"/>
                <w:szCs w:val="20"/>
                <w:lang w:eastAsia="fr-FR"/>
              </w:rPr>
              <w:t>34</w:t>
            </w:r>
          </w:p>
        </w:tc>
        <w:tc>
          <w:tcPr>
            <w:tcW w:w="25" w:type="dxa"/>
            <w:tcBorders>
              <w:top w:val="single" w:sz="4" w:space="0" w:color="000000"/>
              <w:left w:val="nil"/>
              <w:bottom w:val="single" w:sz="4" w:space="0" w:color="000000"/>
              <w:right w:val="single" w:sz="4" w:space="0" w:color="000000"/>
            </w:tcBorders>
            <w:vAlign w:val="center"/>
          </w:tcPr>
          <w:p w:rsidR="007F3DC3" w:rsidRPr="003E743A" w:rsidRDefault="007F3DC3" w:rsidP="00960124">
            <w:pPr>
              <w:tabs>
                <w:tab w:val="left" w:pos="2268"/>
                <w:tab w:val="left" w:pos="6237"/>
                <w:tab w:val="left" w:pos="7020"/>
              </w:tabs>
              <w:spacing w:after="0" w:line="240" w:lineRule="auto"/>
              <w:ind w:left="340" w:right="-20"/>
              <w:jc w:val="center"/>
              <w:rPr>
                <w:rFonts w:ascii="Times New Roman" w:eastAsia="Arial" w:hAnsi="Times New Roman" w:cs="Times New Roman"/>
                <w:b/>
                <w:sz w:val="20"/>
                <w:szCs w:val="20"/>
                <w:lang w:eastAsia="fr-FR"/>
              </w:rPr>
            </w:pPr>
          </w:p>
        </w:tc>
        <w:tc>
          <w:tcPr>
            <w:tcW w:w="3539" w:type="dxa"/>
            <w:gridSpan w:val="2"/>
            <w:tcBorders>
              <w:top w:val="single" w:sz="4" w:space="0" w:color="000000"/>
              <w:left w:val="single" w:sz="4" w:space="0" w:color="000000"/>
              <w:bottom w:val="single" w:sz="4" w:space="0" w:color="000000"/>
              <w:right w:val="nil"/>
            </w:tcBorders>
            <w:vAlign w:val="center"/>
          </w:tcPr>
          <w:p w:rsidR="007F3DC3" w:rsidRPr="003E743A" w:rsidRDefault="007F3DC3" w:rsidP="00960124">
            <w:pPr>
              <w:tabs>
                <w:tab w:val="left" w:pos="2268"/>
                <w:tab w:val="left" w:pos="6237"/>
                <w:tab w:val="left" w:pos="7020"/>
              </w:tabs>
              <w:spacing w:after="0" w:line="240" w:lineRule="auto"/>
              <w:jc w:val="center"/>
              <w:rPr>
                <w:rFonts w:ascii="Times New Roman" w:eastAsia="Calibri" w:hAnsi="Times New Roman" w:cs="Times New Roman"/>
                <w:sz w:val="20"/>
                <w:szCs w:val="20"/>
                <w:lang w:eastAsia="fr-FR"/>
              </w:rPr>
            </w:pPr>
            <w:r w:rsidRPr="003E743A">
              <w:rPr>
                <w:rFonts w:ascii="Times New Roman" w:eastAsia="Arial" w:hAnsi="Times New Roman" w:cs="Times New Roman"/>
                <w:b/>
                <w:sz w:val="20"/>
                <w:szCs w:val="20"/>
              </w:rPr>
              <w:t>67</w:t>
            </w:r>
            <w:r w:rsidRPr="003E743A">
              <w:rPr>
                <w:rFonts w:ascii="Times New Roman" w:eastAsia="Arial" w:hAnsi="Times New Roman" w:cs="Times New Roman"/>
                <w:b/>
                <w:spacing w:val="1"/>
                <w:sz w:val="20"/>
                <w:szCs w:val="20"/>
              </w:rPr>
              <w:t>4</w:t>
            </w:r>
            <w:r w:rsidRPr="003E743A">
              <w:rPr>
                <w:rFonts w:ascii="Times New Roman" w:eastAsia="Arial" w:hAnsi="Times New Roman" w:cs="Times New Roman"/>
                <w:b/>
                <w:sz w:val="20"/>
                <w:szCs w:val="20"/>
              </w:rPr>
              <w:t>3</w:t>
            </w:r>
          </w:p>
        </w:tc>
        <w:tc>
          <w:tcPr>
            <w:tcW w:w="20" w:type="dxa"/>
            <w:tcBorders>
              <w:top w:val="single" w:sz="4" w:space="0" w:color="000000"/>
              <w:left w:val="nil"/>
              <w:bottom w:val="single" w:sz="4" w:space="0" w:color="000000"/>
              <w:right w:val="single" w:sz="4" w:space="0" w:color="000000"/>
            </w:tcBorders>
            <w:vAlign w:val="center"/>
          </w:tcPr>
          <w:p w:rsidR="007F3DC3" w:rsidRPr="003E743A" w:rsidRDefault="007F3DC3" w:rsidP="00960124">
            <w:pPr>
              <w:spacing w:line="240" w:lineRule="auto"/>
              <w:ind w:left="281" w:right="-20"/>
              <w:jc w:val="both"/>
              <w:rPr>
                <w:rFonts w:ascii="Times New Roman" w:eastAsia="Arial" w:hAnsi="Times New Roman" w:cs="Times New Roman"/>
                <w:b/>
                <w:sz w:val="20"/>
                <w:szCs w:val="20"/>
              </w:rPr>
            </w:pPr>
          </w:p>
        </w:tc>
      </w:tr>
      <w:tr w:rsidR="007F3DC3" w:rsidRPr="003E743A" w:rsidTr="00960124">
        <w:trPr>
          <w:trHeight w:hRule="exact" w:val="293"/>
        </w:trPr>
        <w:tc>
          <w:tcPr>
            <w:tcW w:w="576" w:type="dxa"/>
            <w:gridSpan w:val="2"/>
            <w:tcBorders>
              <w:top w:val="single" w:sz="4" w:space="0" w:color="000000"/>
              <w:left w:val="single" w:sz="4" w:space="0" w:color="000000"/>
              <w:bottom w:val="single" w:sz="4" w:space="0" w:color="000000"/>
              <w:right w:val="single" w:sz="4" w:space="0" w:color="000000"/>
            </w:tcBorders>
            <w:vAlign w:val="center"/>
          </w:tcPr>
          <w:p w:rsidR="007F3DC3" w:rsidRPr="003E743A" w:rsidRDefault="007F3DC3" w:rsidP="00960124">
            <w:pPr>
              <w:spacing w:line="240" w:lineRule="auto"/>
              <w:ind w:right="-133"/>
              <w:jc w:val="center"/>
              <w:rPr>
                <w:rFonts w:ascii="Times New Roman" w:hAnsi="Times New Roman" w:cs="Times New Roman"/>
                <w:b/>
                <w:sz w:val="20"/>
                <w:szCs w:val="20"/>
              </w:rPr>
            </w:pPr>
            <w:r w:rsidRPr="003E743A">
              <w:rPr>
                <w:rFonts w:ascii="Times New Roman" w:hAnsi="Times New Roman" w:cs="Times New Roman"/>
                <w:b/>
                <w:sz w:val="20"/>
                <w:szCs w:val="20"/>
              </w:rPr>
              <w:t>22</w:t>
            </w:r>
          </w:p>
        </w:tc>
        <w:tc>
          <w:tcPr>
            <w:tcW w:w="2403" w:type="dxa"/>
            <w:tcBorders>
              <w:top w:val="single" w:sz="4" w:space="0" w:color="000000"/>
              <w:left w:val="single" w:sz="4" w:space="0" w:color="000000"/>
              <w:bottom w:val="single" w:sz="4" w:space="0" w:color="000000"/>
              <w:right w:val="single" w:sz="4" w:space="0" w:color="000000"/>
            </w:tcBorders>
            <w:vAlign w:val="center"/>
          </w:tcPr>
          <w:p w:rsidR="007F3DC3" w:rsidRPr="003E743A" w:rsidRDefault="007F3DC3" w:rsidP="00960124">
            <w:pPr>
              <w:spacing w:line="240" w:lineRule="auto"/>
              <w:jc w:val="center"/>
              <w:rPr>
                <w:rFonts w:ascii="Times New Roman" w:hAnsi="Times New Roman" w:cs="Times New Roman"/>
                <w:sz w:val="20"/>
                <w:szCs w:val="20"/>
              </w:rPr>
            </w:pPr>
            <w:r w:rsidRPr="003E743A">
              <w:rPr>
                <w:rFonts w:ascii="Times New Roman" w:hAnsi="Times New Roman" w:cs="Times New Roman"/>
                <w:sz w:val="20"/>
                <w:szCs w:val="20"/>
              </w:rPr>
              <w:t>Pefine</w:t>
            </w:r>
          </w:p>
        </w:tc>
        <w:tc>
          <w:tcPr>
            <w:tcW w:w="2109" w:type="dxa"/>
            <w:tcBorders>
              <w:top w:val="single" w:sz="4" w:space="0" w:color="000000"/>
              <w:left w:val="single" w:sz="4" w:space="0" w:color="000000"/>
              <w:bottom w:val="single" w:sz="4" w:space="0" w:color="000000"/>
              <w:right w:val="nil"/>
            </w:tcBorders>
            <w:vAlign w:val="center"/>
          </w:tcPr>
          <w:p w:rsidR="007F3DC3" w:rsidRPr="003E743A" w:rsidRDefault="007F3DC3" w:rsidP="00960124">
            <w:pPr>
              <w:spacing w:line="240" w:lineRule="auto"/>
              <w:jc w:val="center"/>
              <w:rPr>
                <w:rFonts w:ascii="Times New Roman" w:hAnsi="Times New Roman" w:cs="Times New Roman"/>
                <w:sz w:val="20"/>
                <w:szCs w:val="20"/>
              </w:rPr>
            </w:pPr>
            <w:r w:rsidRPr="003E743A">
              <w:rPr>
                <w:rFonts w:ascii="Times New Roman" w:hAnsi="Times New Roman" w:cs="Times New Roman"/>
                <w:b/>
                <w:sz w:val="20"/>
                <w:szCs w:val="20"/>
              </w:rPr>
              <w:t>17</w:t>
            </w:r>
          </w:p>
        </w:tc>
        <w:tc>
          <w:tcPr>
            <w:tcW w:w="25" w:type="dxa"/>
            <w:tcBorders>
              <w:top w:val="single" w:sz="4" w:space="0" w:color="000000"/>
              <w:left w:val="nil"/>
              <w:bottom w:val="single" w:sz="4" w:space="0" w:color="000000"/>
              <w:right w:val="single" w:sz="4" w:space="0" w:color="000000"/>
            </w:tcBorders>
            <w:vAlign w:val="center"/>
          </w:tcPr>
          <w:p w:rsidR="007F3DC3" w:rsidRPr="003E743A" w:rsidRDefault="007F3DC3" w:rsidP="00960124">
            <w:pPr>
              <w:spacing w:line="240" w:lineRule="auto"/>
              <w:jc w:val="center"/>
              <w:rPr>
                <w:rFonts w:ascii="Times New Roman" w:hAnsi="Times New Roman" w:cs="Times New Roman"/>
                <w:b/>
                <w:sz w:val="20"/>
                <w:szCs w:val="20"/>
              </w:rPr>
            </w:pPr>
          </w:p>
        </w:tc>
        <w:tc>
          <w:tcPr>
            <w:tcW w:w="3539" w:type="dxa"/>
            <w:gridSpan w:val="2"/>
            <w:tcBorders>
              <w:top w:val="single" w:sz="4" w:space="0" w:color="000000"/>
              <w:left w:val="single" w:sz="4" w:space="0" w:color="000000"/>
              <w:bottom w:val="single" w:sz="4" w:space="0" w:color="000000"/>
              <w:right w:val="nil"/>
            </w:tcBorders>
            <w:vAlign w:val="center"/>
          </w:tcPr>
          <w:p w:rsidR="007F3DC3" w:rsidRPr="003E743A" w:rsidRDefault="007F3DC3" w:rsidP="00960124">
            <w:pPr>
              <w:spacing w:line="240" w:lineRule="auto"/>
              <w:jc w:val="center"/>
              <w:rPr>
                <w:rFonts w:ascii="Times New Roman" w:hAnsi="Times New Roman" w:cs="Times New Roman"/>
                <w:b/>
                <w:sz w:val="20"/>
                <w:szCs w:val="20"/>
              </w:rPr>
            </w:pPr>
            <w:r w:rsidRPr="003E743A">
              <w:rPr>
                <w:rFonts w:ascii="Times New Roman" w:eastAsia="Arial" w:hAnsi="Times New Roman" w:cs="Times New Roman"/>
                <w:b/>
                <w:sz w:val="20"/>
                <w:szCs w:val="20"/>
              </w:rPr>
              <w:t>17</w:t>
            </w:r>
            <w:r w:rsidRPr="003E743A">
              <w:rPr>
                <w:rFonts w:ascii="Times New Roman" w:eastAsia="Arial" w:hAnsi="Times New Roman" w:cs="Times New Roman"/>
                <w:b/>
                <w:spacing w:val="1"/>
                <w:sz w:val="20"/>
                <w:szCs w:val="20"/>
              </w:rPr>
              <w:t>2</w:t>
            </w:r>
            <w:r w:rsidRPr="003E743A">
              <w:rPr>
                <w:rFonts w:ascii="Times New Roman" w:eastAsia="Arial" w:hAnsi="Times New Roman" w:cs="Times New Roman"/>
                <w:b/>
                <w:sz w:val="20"/>
                <w:szCs w:val="20"/>
              </w:rPr>
              <w:t>1</w:t>
            </w:r>
          </w:p>
        </w:tc>
        <w:tc>
          <w:tcPr>
            <w:tcW w:w="20" w:type="dxa"/>
            <w:tcBorders>
              <w:top w:val="single" w:sz="4" w:space="0" w:color="000000"/>
              <w:left w:val="nil"/>
              <w:bottom w:val="single" w:sz="4" w:space="0" w:color="000000"/>
              <w:right w:val="single" w:sz="4" w:space="0" w:color="000000"/>
            </w:tcBorders>
            <w:vAlign w:val="center"/>
          </w:tcPr>
          <w:p w:rsidR="007F3DC3" w:rsidRPr="003E743A" w:rsidRDefault="007F3DC3" w:rsidP="00960124">
            <w:pPr>
              <w:spacing w:line="240" w:lineRule="auto"/>
              <w:ind w:left="331" w:right="-20"/>
              <w:jc w:val="both"/>
              <w:rPr>
                <w:rFonts w:ascii="Times New Roman" w:eastAsia="Arial" w:hAnsi="Times New Roman" w:cs="Times New Roman"/>
                <w:b/>
                <w:sz w:val="20"/>
                <w:szCs w:val="20"/>
              </w:rPr>
            </w:pPr>
          </w:p>
        </w:tc>
      </w:tr>
      <w:tr w:rsidR="007F3DC3" w:rsidRPr="003E743A" w:rsidTr="00960124">
        <w:trPr>
          <w:trHeight w:hRule="exact" w:val="276"/>
        </w:trPr>
        <w:tc>
          <w:tcPr>
            <w:tcW w:w="576" w:type="dxa"/>
            <w:gridSpan w:val="2"/>
            <w:tcBorders>
              <w:top w:val="single" w:sz="4" w:space="0" w:color="000000"/>
              <w:left w:val="single" w:sz="4" w:space="0" w:color="000000"/>
              <w:bottom w:val="single" w:sz="4" w:space="0" w:color="000000"/>
              <w:right w:val="single" w:sz="4" w:space="0" w:color="000000"/>
            </w:tcBorders>
            <w:vAlign w:val="center"/>
          </w:tcPr>
          <w:p w:rsidR="007F3DC3" w:rsidRPr="003E743A" w:rsidRDefault="007F3DC3" w:rsidP="00960124">
            <w:pPr>
              <w:spacing w:line="240" w:lineRule="auto"/>
              <w:jc w:val="center"/>
              <w:rPr>
                <w:rFonts w:ascii="Times New Roman" w:hAnsi="Times New Roman" w:cs="Times New Roman"/>
                <w:b/>
                <w:sz w:val="20"/>
                <w:szCs w:val="20"/>
              </w:rPr>
            </w:pPr>
            <w:r w:rsidRPr="003E743A">
              <w:rPr>
                <w:rFonts w:ascii="Times New Roman" w:hAnsi="Times New Roman" w:cs="Times New Roman"/>
                <w:b/>
                <w:sz w:val="20"/>
                <w:szCs w:val="20"/>
              </w:rPr>
              <w:t>23</w:t>
            </w:r>
          </w:p>
        </w:tc>
        <w:tc>
          <w:tcPr>
            <w:tcW w:w="2403" w:type="dxa"/>
            <w:tcBorders>
              <w:top w:val="single" w:sz="4" w:space="0" w:color="000000"/>
              <w:left w:val="single" w:sz="4" w:space="0" w:color="000000"/>
              <w:bottom w:val="single" w:sz="4" w:space="0" w:color="000000"/>
              <w:right w:val="single" w:sz="4" w:space="0" w:color="000000"/>
            </w:tcBorders>
            <w:vAlign w:val="center"/>
          </w:tcPr>
          <w:p w:rsidR="007F3DC3" w:rsidRPr="003E743A" w:rsidRDefault="007F3DC3" w:rsidP="00960124">
            <w:pPr>
              <w:spacing w:line="240" w:lineRule="auto"/>
              <w:jc w:val="center"/>
              <w:rPr>
                <w:rFonts w:ascii="Times New Roman" w:hAnsi="Times New Roman" w:cs="Times New Roman"/>
                <w:sz w:val="20"/>
                <w:szCs w:val="20"/>
              </w:rPr>
            </w:pPr>
            <w:r w:rsidRPr="003E743A">
              <w:rPr>
                <w:rFonts w:ascii="Times New Roman" w:hAnsi="Times New Roman" w:cs="Times New Roman"/>
                <w:sz w:val="20"/>
                <w:szCs w:val="20"/>
              </w:rPr>
              <w:t>Bairro AjudaI / International</w:t>
            </w:r>
          </w:p>
        </w:tc>
        <w:tc>
          <w:tcPr>
            <w:tcW w:w="2109" w:type="dxa"/>
            <w:tcBorders>
              <w:top w:val="single" w:sz="4" w:space="0" w:color="000000"/>
              <w:left w:val="single" w:sz="4" w:space="0" w:color="000000"/>
              <w:bottom w:val="single" w:sz="4" w:space="0" w:color="000000"/>
              <w:right w:val="nil"/>
            </w:tcBorders>
            <w:vAlign w:val="center"/>
          </w:tcPr>
          <w:p w:rsidR="007F3DC3" w:rsidRPr="003E743A" w:rsidRDefault="007F3DC3" w:rsidP="00960124">
            <w:pPr>
              <w:spacing w:line="240" w:lineRule="auto"/>
              <w:jc w:val="center"/>
              <w:rPr>
                <w:rFonts w:ascii="Times New Roman" w:hAnsi="Times New Roman" w:cs="Times New Roman"/>
                <w:sz w:val="20"/>
                <w:szCs w:val="20"/>
              </w:rPr>
            </w:pPr>
            <w:r w:rsidRPr="003E743A">
              <w:rPr>
                <w:rFonts w:ascii="Times New Roman" w:hAnsi="Times New Roman" w:cs="Times New Roman"/>
                <w:b/>
                <w:sz w:val="20"/>
                <w:szCs w:val="20"/>
              </w:rPr>
              <w:t>47</w:t>
            </w:r>
          </w:p>
        </w:tc>
        <w:tc>
          <w:tcPr>
            <w:tcW w:w="25" w:type="dxa"/>
            <w:tcBorders>
              <w:top w:val="single" w:sz="4" w:space="0" w:color="000000"/>
              <w:left w:val="nil"/>
              <w:bottom w:val="single" w:sz="4" w:space="0" w:color="000000"/>
              <w:right w:val="single" w:sz="4" w:space="0" w:color="000000"/>
            </w:tcBorders>
            <w:vAlign w:val="center"/>
          </w:tcPr>
          <w:p w:rsidR="007F3DC3" w:rsidRPr="003E743A" w:rsidRDefault="007F3DC3" w:rsidP="00960124">
            <w:pPr>
              <w:spacing w:line="240" w:lineRule="auto"/>
              <w:jc w:val="center"/>
              <w:rPr>
                <w:rFonts w:ascii="Times New Roman" w:hAnsi="Times New Roman" w:cs="Times New Roman"/>
                <w:b/>
                <w:sz w:val="20"/>
                <w:szCs w:val="20"/>
              </w:rPr>
            </w:pPr>
          </w:p>
        </w:tc>
        <w:tc>
          <w:tcPr>
            <w:tcW w:w="3539" w:type="dxa"/>
            <w:gridSpan w:val="2"/>
            <w:tcBorders>
              <w:top w:val="single" w:sz="4" w:space="0" w:color="000000"/>
              <w:left w:val="single" w:sz="4" w:space="0" w:color="000000"/>
              <w:bottom w:val="single" w:sz="4" w:space="0" w:color="000000"/>
              <w:right w:val="nil"/>
            </w:tcBorders>
            <w:vAlign w:val="center"/>
          </w:tcPr>
          <w:p w:rsidR="007F3DC3" w:rsidRPr="003E743A" w:rsidRDefault="007F3DC3" w:rsidP="00960124">
            <w:pPr>
              <w:spacing w:line="240" w:lineRule="auto"/>
              <w:jc w:val="center"/>
              <w:rPr>
                <w:rFonts w:ascii="Times New Roman" w:hAnsi="Times New Roman" w:cs="Times New Roman"/>
                <w:b/>
                <w:sz w:val="20"/>
                <w:szCs w:val="20"/>
              </w:rPr>
            </w:pPr>
            <w:r w:rsidRPr="003E743A">
              <w:rPr>
                <w:rFonts w:ascii="Times New Roman" w:eastAsia="Arial" w:hAnsi="Times New Roman" w:cs="Times New Roman"/>
                <w:b/>
                <w:position w:val="-1"/>
                <w:sz w:val="20"/>
                <w:szCs w:val="20"/>
              </w:rPr>
              <w:t>27</w:t>
            </w:r>
            <w:r w:rsidRPr="003E743A">
              <w:rPr>
                <w:rFonts w:ascii="Times New Roman" w:eastAsia="Arial" w:hAnsi="Times New Roman" w:cs="Times New Roman"/>
                <w:b/>
                <w:spacing w:val="1"/>
                <w:position w:val="-1"/>
                <w:sz w:val="20"/>
                <w:szCs w:val="20"/>
              </w:rPr>
              <w:t>2</w:t>
            </w:r>
            <w:r w:rsidRPr="003E743A">
              <w:rPr>
                <w:rFonts w:ascii="Times New Roman" w:eastAsia="Arial" w:hAnsi="Times New Roman" w:cs="Times New Roman"/>
                <w:b/>
                <w:position w:val="-1"/>
                <w:sz w:val="20"/>
                <w:szCs w:val="20"/>
              </w:rPr>
              <w:t>2</w:t>
            </w:r>
          </w:p>
        </w:tc>
        <w:tc>
          <w:tcPr>
            <w:tcW w:w="20" w:type="dxa"/>
            <w:tcBorders>
              <w:top w:val="single" w:sz="4" w:space="0" w:color="000000"/>
              <w:left w:val="nil"/>
              <w:bottom w:val="single" w:sz="4" w:space="0" w:color="000000"/>
              <w:right w:val="single" w:sz="4" w:space="0" w:color="000000"/>
            </w:tcBorders>
            <w:vAlign w:val="center"/>
          </w:tcPr>
          <w:p w:rsidR="007F3DC3" w:rsidRPr="003E743A" w:rsidRDefault="007F3DC3" w:rsidP="00960124">
            <w:pPr>
              <w:spacing w:line="240" w:lineRule="auto"/>
              <w:ind w:left="331" w:right="-20"/>
              <w:jc w:val="both"/>
              <w:rPr>
                <w:rFonts w:ascii="Times New Roman" w:eastAsia="Arial" w:hAnsi="Times New Roman" w:cs="Times New Roman"/>
                <w:b/>
                <w:sz w:val="20"/>
                <w:szCs w:val="20"/>
              </w:rPr>
            </w:pPr>
          </w:p>
        </w:tc>
      </w:tr>
      <w:tr w:rsidR="007F3DC3" w:rsidRPr="003E743A" w:rsidTr="00960124">
        <w:trPr>
          <w:trHeight w:hRule="exact" w:val="303"/>
        </w:trPr>
        <w:tc>
          <w:tcPr>
            <w:tcW w:w="576" w:type="dxa"/>
            <w:gridSpan w:val="2"/>
            <w:tcBorders>
              <w:top w:val="single" w:sz="4" w:space="0" w:color="000000"/>
              <w:left w:val="single" w:sz="4" w:space="0" w:color="000000"/>
              <w:bottom w:val="single" w:sz="4" w:space="0" w:color="000000"/>
              <w:right w:val="single" w:sz="4" w:space="0" w:color="000000"/>
            </w:tcBorders>
            <w:vAlign w:val="center"/>
          </w:tcPr>
          <w:p w:rsidR="007F3DC3" w:rsidRPr="003E743A" w:rsidRDefault="007F3DC3" w:rsidP="00960124">
            <w:pPr>
              <w:spacing w:line="240" w:lineRule="auto"/>
              <w:jc w:val="center"/>
              <w:rPr>
                <w:rFonts w:ascii="Times New Roman" w:hAnsi="Times New Roman" w:cs="Times New Roman"/>
                <w:b/>
                <w:sz w:val="20"/>
                <w:szCs w:val="20"/>
              </w:rPr>
            </w:pPr>
            <w:r w:rsidRPr="003E743A">
              <w:rPr>
                <w:rFonts w:ascii="Times New Roman" w:hAnsi="Times New Roman" w:cs="Times New Roman"/>
                <w:b/>
                <w:sz w:val="20"/>
                <w:szCs w:val="20"/>
              </w:rPr>
              <w:t>24</w:t>
            </w:r>
          </w:p>
        </w:tc>
        <w:tc>
          <w:tcPr>
            <w:tcW w:w="2403" w:type="dxa"/>
            <w:tcBorders>
              <w:top w:val="single" w:sz="4" w:space="0" w:color="000000"/>
              <w:left w:val="single" w:sz="4" w:space="0" w:color="000000"/>
              <w:bottom w:val="single" w:sz="4" w:space="0" w:color="000000"/>
              <w:right w:val="single" w:sz="4" w:space="0" w:color="000000"/>
            </w:tcBorders>
            <w:vAlign w:val="center"/>
          </w:tcPr>
          <w:p w:rsidR="007F3DC3" w:rsidRPr="003E743A" w:rsidRDefault="007F3DC3" w:rsidP="00960124">
            <w:pPr>
              <w:spacing w:line="240" w:lineRule="auto"/>
              <w:jc w:val="center"/>
              <w:rPr>
                <w:rFonts w:ascii="Times New Roman" w:hAnsi="Times New Roman" w:cs="Times New Roman"/>
                <w:sz w:val="20"/>
                <w:szCs w:val="20"/>
              </w:rPr>
            </w:pPr>
            <w:r w:rsidRPr="003E743A">
              <w:rPr>
                <w:rFonts w:ascii="Times New Roman" w:hAnsi="Times New Roman" w:cs="Times New Roman"/>
                <w:sz w:val="20"/>
                <w:szCs w:val="20"/>
              </w:rPr>
              <w:t>Bairro Ajuda II</w:t>
            </w:r>
          </w:p>
        </w:tc>
        <w:tc>
          <w:tcPr>
            <w:tcW w:w="2109" w:type="dxa"/>
            <w:tcBorders>
              <w:top w:val="single" w:sz="4" w:space="0" w:color="000000"/>
              <w:left w:val="single" w:sz="4" w:space="0" w:color="000000"/>
              <w:bottom w:val="single" w:sz="4" w:space="0" w:color="000000"/>
              <w:right w:val="nil"/>
            </w:tcBorders>
            <w:vAlign w:val="center"/>
          </w:tcPr>
          <w:p w:rsidR="007F3DC3" w:rsidRPr="003E743A" w:rsidRDefault="007F3DC3" w:rsidP="00960124">
            <w:pPr>
              <w:spacing w:line="240" w:lineRule="auto"/>
              <w:jc w:val="center"/>
              <w:rPr>
                <w:rFonts w:ascii="Times New Roman" w:hAnsi="Times New Roman" w:cs="Times New Roman"/>
                <w:sz w:val="20"/>
                <w:szCs w:val="20"/>
              </w:rPr>
            </w:pPr>
            <w:r w:rsidRPr="003E743A">
              <w:rPr>
                <w:rFonts w:ascii="Times New Roman" w:hAnsi="Times New Roman" w:cs="Times New Roman"/>
                <w:b/>
                <w:sz w:val="20"/>
                <w:szCs w:val="20"/>
              </w:rPr>
              <w:t>40</w:t>
            </w:r>
          </w:p>
        </w:tc>
        <w:tc>
          <w:tcPr>
            <w:tcW w:w="25" w:type="dxa"/>
            <w:tcBorders>
              <w:top w:val="single" w:sz="4" w:space="0" w:color="000000"/>
              <w:left w:val="nil"/>
              <w:bottom w:val="single" w:sz="4" w:space="0" w:color="000000"/>
              <w:right w:val="single" w:sz="4" w:space="0" w:color="000000"/>
            </w:tcBorders>
            <w:vAlign w:val="center"/>
          </w:tcPr>
          <w:p w:rsidR="007F3DC3" w:rsidRPr="003E743A" w:rsidRDefault="007F3DC3" w:rsidP="00960124">
            <w:pPr>
              <w:spacing w:line="240" w:lineRule="auto"/>
              <w:jc w:val="center"/>
              <w:rPr>
                <w:rFonts w:ascii="Times New Roman" w:hAnsi="Times New Roman" w:cs="Times New Roman"/>
                <w:b/>
                <w:sz w:val="20"/>
                <w:szCs w:val="20"/>
              </w:rPr>
            </w:pPr>
          </w:p>
        </w:tc>
        <w:tc>
          <w:tcPr>
            <w:tcW w:w="3539" w:type="dxa"/>
            <w:gridSpan w:val="2"/>
            <w:tcBorders>
              <w:top w:val="single" w:sz="4" w:space="0" w:color="000000"/>
              <w:left w:val="single" w:sz="4" w:space="0" w:color="000000"/>
              <w:bottom w:val="single" w:sz="4" w:space="0" w:color="000000"/>
              <w:right w:val="nil"/>
            </w:tcBorders>
            <w:vAlign w:val="center"/>
          </w:tcPr>
          <w:p w:rsidR="007F3DC3" w:rsidRPr="003E743A" w:rsidRDefault="007F3DC3" w:rsidP="00960124">
            <w:pPr>
              <w:spacing w:line="240" w:lineRule="auto"/>
              <w:jc w:val="center"/>
              <w:rPr>
                <w:rFonts w:ascii="Times New Roman" w:hAnsi="Times New Roman" w:cs="Times New Roman"/>
                <w:b/>
                <w:sz w:val="20"/>
                <w:szCs w:val="20"/>
              </w:rPr>
            </w:pPr>
            <w:r w:rsidRPr="003E743A">
              <w:rPr>
                <w:rFonts w:ascii="Times New Roman" w:eastAsia="Arial" w:hAnsi="Times New Roman" w:cs="Times New Roman"/>
                <w:b/>
                <w:sz w:val="20"/>
                <w:szCs w:val="20"/>
              </w:rPr>
              <w:t>22</w:t>
            </w:r>
            <w:r w:rsidRPr="003E743A">
              <w:rPr>
                <w:rFonts w:ascii="Times New Roman" w:eastAsia="Arial" w:hAnsi="Times New Roman" w:cs="Times New Roman"/>
                <w:b/>
                <w:spacing w:val="1"/>
                <w:sz w:val="20"/>
                <w:szCs w:val="20"/>
              </w:rPr>
              <w:t>2</w:t>
            </w:r>
            <w:r w:rsidRPr="003E743A">
              <w:rPr>
                <w:rFonts w:ascii="Times New Roman" w:eastAsia="Arial" w:hAnsi="Times New Roman" w:cs="Times New Roman"/>
                <w:b/>
                <w:sz w:val="20"/>
                <w:szCs w:val="20"/>
              </w:rPr>
              <w:t>7</w:t>
            </w:r>
          </w:p>
        </w:tc>
        <w:tc>
          <w:tcPr>
            <w:tcW w:w="20" w:type="dxa"/>
            <w:tcBorders>
              <w:top w:val="single" w:sz="4" w:space="0" w:color="000000"/>
              <w:left w:val="nil"/>
              <w:bottom w:val="single" w:sz="4" w:space="0" w:color="000000"/>
              <w:right w:val="single" w:sz="4" w:space="0" w:color="000000"/>
            </w:tcBorders>
            <w:vAlign w:val="center"/>
          </w:tcPr>
          <w:p w:rsidR="007F3DC3" w:rsidRPr="003E743A" w:rsidRDefault="007F3DC3" w:rsidP="00960124">
            <w:pPr>
              <w:spacing w:line="240" w:lineRule="auto"/>
              <w:ind w:left="331" w:right="-20"/>
              <w:jc w:val="both"/>
              <w:rPr>
                <w:rFonts w:ascii="Times New Roman" w:eastAsia="Arial" w:hAnsi="Times New Roman" w:cs="Times New Roman"/>
                <w:b/>
                <w:sz w:val="20"/>
                <w:szCs w:val="20"/>
              </w:rPr>
            </w:pPr>
          </w:p>
        </w:tc>
      </w:tr>
      <w:tr w:rsidR="007F3DC3" w:rsidRPr="003E743A" w:rsidTr="00960124">
        <w:trPr>
          <w:trHeight w:hRule="exact" w:val="278"/>
        </w:trPr>
        <w:tc>
          <w:tcPr>
            <w:tcW w:w="576" w:type="dxa"/>
            <w:gridSpan w:val="2"/>
            <w:tcBorders>
              <w:top w:val="single" w:sz="4" w:space="0" w:color="000000"/>
              <w:left w:val="single" w:sz="4" w:space="0" w:color="000000"/>
              <w:bottom w:val="single" w:sz="4" w:space="0" w:color="000000"/>
              <w:right w:val="single" w:sz="4" w:space="0" w:color="000000"/>
            </w:tcBorders>
            <w:vAlign w:val="center"/>
          </w:tcPr>
          <w:p w:rsidR="007F3DC3" w:rsidRPr="003E743A" w:rsidRDefault="007F3DC3" w:rsidP="00960124">
            <w:pPr>
              <w:spacing w:line="240" w:lineRule="auto"/>
              <w:jc w:val="center"/>
              <w:rPr>
                <w:rFonts w:ascii="Times New Roman" w:hAnsi="Times New Roman" w:cs="Times New Roman"/>
                <w:b/>
                <w:sz w:val="20"/>
                <w:szCs w:val="20"/>
              </w:rPr>
            </w:pPr>
            <w:r w:rsidRPr="003E743A">
              <w:rPr>
                <w:rFonts w:ascii="Times New Roman" w:hAnsi="Times New Roman" w:cs="Times New Roman"/>
                <w:b/>
                <w:sz w:val="20"/>
                <w:szCs w:val="20"/>
              </w:rPr>
              <w:t>25</w:t>
            </w:r>
          </w:p>
        </w:tc>
        <w:tc>
          <w:tcPr>
            <w:tcW w:w="2403" w:type="dxa"/>
            <w:tcBorders>
              <w:top w:val="single" w:sz="4" w:space="0" w:color="000000"/>
              <w:left w:val="single" w:sz="4" w:space="0" w:color="000000"/>
              <w:bottom w:val="single" w:sz="4" w:space="0" w:color="000000"/>
              <w:right w:val="single" w:sz="4" w:space="0" w:color="000000"/>
            </w:tcBorders>
            <w:vAlign w:val="center"/>
          </w:tcPr>
          <w:p w:rsidR="007F3DC3" w:rsidRPr="003E743A" w:rsidRDefault="007F3DC3" w:rsidP="00960124">
            <w:pPr>
              <w:spacing w:line="240" w:lineRule="auto"/>
              <w:jc w:val="center"/>
              <w:rPr>
                <w:rFonts w:ascii="Times New Roman" w:hAnsi="Times New Roman" w:cs="Times New Roman"/>
                <w:sz w:val="20"/>
                <w:szCs w:val="20"/>
              </w:rPr>
            </w:pPr>
            <w:r w:rsidRPr="003E743A">
              <w:rPr>
                <w:rFonts w:ascii="Times New Roman" w:hAnsi="Times New Roman" w:cs="Times New Roman"/>
                <w:sz w:val="20"/>
                <w:szCs w:val="20"/>
              </w:rPr>
              <w:t>Bairro Cuntum</w:t>
            </w:r>
          </w:p>
        </w:tc>
        <w:tc>
          <w:tcPr>
            <w:tcW w:w="2109" w:type="dxa"/>
            <w:tcBorders>
              <w:top w:val="single" w:sz="4" w:space="0" w:color="000000"/>
              <w:left w:val="single" w:sz="4" w:space="0" w:color="000000"/>
              <w:bottom w:val="single" w:sz="4" w:space="0" w:color="000000"/>
              <w:right w:val="nil"/>
            </w:tcBorders>
            <w:vAlign w:val="center"/>
          </w:tcPr>
          <w:p w:rsidR="007F3DC3" w:rsidRPr="003E743A" w:rsidRDefault="007F3DC3" w:rsidP="00960124">
            <w:pPr>
              <w:spacing w:line="240" w:lineRule="auto"/>
              <w:jc w:val="center"/>
              <w:rPr>
                <w:rFonts w:ascii="Times New Roman" w:hAnsi="Times New Roman" w:cs="Times New Roman"/>
                <w:sz w:val="20"/>
                <w:szCs w:val="20"/>
              </w:rPr>
            </w:pPr>
            <w:r w:rsidRPr="003E743A">
              <w:rPr>
                <w:rFonts w:ascii="Times New Roman" w:hAnsi="Times New Roman" w:cs="Times New Roman"/>
                <w:b/>
                <w:sz w:val="20"/>
                <w:szCs w:val="20"/>
              </w:rPr>
              <w:t>177</w:t>
            </w:r>
          </w:p>
        </w:tc>
        <w:tc>
          <w:tcPr>
            <w:tcW w:w="25" w:type="dxa"/>
            <w:tcBorders>
              <w:top w:val="single" w:sz="4" w:space="0" w:color="000000"/>
              <w:left w:val="nil"/>
              <w:bottom w:val="single" w:sz="4" w:space="0" w:color="000000"/>
              <w:right w:val="single" w:sz="4" w:space="0" w:color="000000"/>
            </w:tcBorders>
            <w:vAlign w:val="center"/>
          </w:tcPr>
          <w:p w:rsidR="007F3DC3" w:rsidRPr="003E743A" w:rsidRDefault="007F3DC3" w:rsidP="00960124">
            <w:pPr>
              <w:spacing w:line="240" w:lineRule="auto"/>
              <w:jc w:val="center"/>
              <w:rPr>
                <w:rFonts w:ascii="Times New Roman" w:hAnsi="Times New Roman" w:cs="Times New Roman"/>
                <w:b/>
                <w:sz w:val="20"/>
                <w:szCs w:val="20"/>
              </w:rPr>
            </w:pPr>
          </w:p>
        </w:tc>
        <w:tc>
          <w:tcPr>
            <w:tcW w:w="3539" w:type="dxa"/>
            <w:gridSpan w:val="2"/>
            <w:tcBorders>
              <w:top w:val="single" w:sz="4" w:space="0" w:color="000000"/>
              <w:left w:val="single" w:sz="4" w:space="0" w:color="000000"/>
              <w:bottom w:val="single" w:sz="4" w:space="0" w:color="000000"/>
              <w:right w:val="nil"/>
            </w:tcBorders>
            <w:vAlign w:val="center"/>
          </w:tcPr>
          <w:p w:rsidR="007F3DC3" w:rsidRPr="003E743A" w:rsidRDefault="007F3DC3" w:rsidP="00960124">
            <w:pPr>
              <w:spacing w:line="240" w:lineRule="auto"/>
              <w:jc w:val="center"/>
              <w:rPr>
                <w:rFonts w:ascii="Times New Roman" w:hAnsi="Times New Roman" w:cs="Times New Roman"/>
                <w:b/>
                <w:sz w:val="20"/>
                <w:szCs w:val="20"/>
              </w:rPr>
            </w:pPr>
            <w:r w:rsidRPr="003E743A">
              <w:rPr>
                <w:rFonts w:ascii="Times New Roman" w:eastAsia="Arial" w:hAnsi="Times New Roman" w:cs="Times New Roman"/>
                <w:b/>
                <w:position w:val="-1"/>
                <w:sz w:val="20"/>
                <w:szCs w:val="20"/>
              </w:rPr>
              <w:t>22</w:t>
            </w:r>
            <w:r w:rsidRPr="003E743A">
              <w:rPr>
                <w:rFonts w:ascii="Times New Roman" w:eastAsia="Arial" w:hAnsi="Times New Roman" w:cs="Times New Roman"/>
                <w:b/>
                <w:spacing w:val="1"/>
                <w:position w:val="-1"/>
                <w:sz w:val="20"/>
                <w:szCs w:val="20"/>
              </w:rPr>
              <w:t>01</w:t>
            </w:r>
            <w:r w:rsidRPr="003E743A">
              <w:rPr>
                <w:rFonts w:ascii="Times New Roman" w:eastAsia="Arial" w:hAnsi="Times New Roman" w:cs="Times New Roman"/>
                <w:b/>
                <w:position w:val="-1"/>
                <w:sz w:val="20"/>
                <w:szCs w:val="20"/>
              </w:rPr>
              <w:t>6</w:t>
            </w:r>
          </w:p>
        </w:tc>
        <w:tc>
          <w:tcPr>
            <w:tcW w:w="20" w:type="dxa"/>
            <w:tcBorders>
              <w:top w:val="single" w:sz="4" w:space="0" w:color="000000"/>
              <w:left w:val="nil"/>
              <w:bottom w:val="single" w:sz="4" w:space="0" w:color="000000"/>
              <w:right w:val="single" w:sz="4" w:space="0" w:color="000000"/>
            </w:tcBorders>
            <w:vAlign w:val="center"/>
          </w:tcPr>
          <w:p w:rsidR="007F3DC3" w:rsidRPr="003E743A" w:rsidRDefault="007F3DC3" w:rsidP="00960124">
            <w:pPr>
              <w:spacing w:line="240" w:lineRule="auto"/>
              <w:ind w:left="231" w:right="-20"/>
              <w:jc w:val="both"/>
              <w:rPr>
                <w:rFonts w:ascii="Times New Roman" w:eastAsia="Arial" w:hAnsi="Times New Roman" w:cs="Times New Roman"/>
                <w:b/>
                <w:sz w:val="20"/>
                <w:szCs w:val="20"/>
              </w:rPr>
            </w:pPr>
          </w:p>
        </w:tc>
      </w:tr>
      <w:tr w:rsidR="007F3DC3" w:rsidRPr="003E743A" w:rsidTr="00960124">
        <w:trPr>
          <w:trHeight w:hRule="exact" w:val="283"/>
        </w:trPr>
        <w:tc>
          <w:tcPr>
            <w:tcW w:w="576" w:type="dxa"/>
            <w:gridSpan w:val="2"/>
            <w:tcBorders>
              <w:top w:val="single" w:sz="4" w:space="0" w:color="000000"/>
              <w:left w:val="single" w:sz="4" w:space="0" w:color="000000"/>
              <w:bottom w:val="single" w:sz="4" w:space="0" w:color="000000"/>
              <w:right w:val="single" w:sz="4" w:space="0" w:color="000000"/>
            </w:tcBorders>
            <w:vAlign w:val="center"/>
          </w:tcPr>
          <w:p w:rsidR="007F3DC3" w:rsidRPr="003E743A" w:rsidRDefault="007F3DC3" w:rsidP="00960124">
            <w:pPr>
              <w:spacing w:line="240" w:lineRule="auto"/>
              <w:jc w:val="center"/>
              <w:rPr>
                <w:rFonts w:ascii="Times New Roman" w:hAnsi="Times New Roman" w:cs="Times New Roman"/>
                <w:b/>
                <w:sz w:val="20"/>
                <w:szCs w:val="20"/>
              </w:rPr>
            </w:pPr>
            <w:r w:rsidRPr="003E743A">
              <w:rPr>
                <w:rFonts w:ascii="Times New Roman" w:hAnsi="Times New Roman" w:cs="Times New Roman"/>
                <w:b/>
                <w:sz w:val="20"/>
                <w:szCs w:val="20"/>
              </w:rPr>
              <w:t>26</w:t>
            </w:r>
          </w:p>
        </w:tc>
        <w:tc>
          <w:tcPr>
            <w:tcW w:w="2403" w:type="dxa"/>
            <w:tcBorders>
              <w:top w:val="single" w:sz="4" w:space="0" w:color="000000"/>
              <w:left w:val="single" w:sz="4" w:space="0" w:color="000000"/>
              <w:bottom w:val="single" w:sz="4" w:space="0" w:color="000000"/>
              <w:right w:val="single" w:sz="4" w:space="0" w:color="000000"/>
            </w:tcBorders>
            <w:vAlign w:val="center"/>
          </w:tcPr>
          <w:p w:rsidR="007F3DC3" w:rsidRPr="003E743A" w:rsidRDefault="007F3DC3" w:rsidP="00960124">
            <w:pPr>
              <w:spacing w:line="240" w:lineRule="auto"/>
              <w:jc w:val="center"/>
              <w:rPr>
                <w:rFonts w:ascii="Times New Roman" w:hAnsi="Times New Roman" w:cs="Times New Roman"/>
                <w:sz w:val="20"/>
                <w:szCs w:val="20"/>
              </w:rPr>
            </w:pPr>
            <w:r w:rsidRPr="003E743A">
              <w:rPr>
                <w:rFonts w:ascii="Times New Roman" w:hAnsi="Times New Roman" w:cs="Times New Roman"/>
                <w:sz w:val="20"/>
                <w:szCs w:val="20"/>
              </w:rPr>
              <w:t>Cuntum Madina</w:t>
            </w:r>
          </w:p>
        </w:tc>
        <w:tc>
          <w:tcPr>
            <w:tcW w:w="2109" w:type="dxa"/>
            <w:tcBorders>
              <w:top w:val="single" w:sz="4" w:space="0" w:color="000000"/>
              <w:left w:val="single" w:sz="4" w:space="0" w:color="000000"/>
              <w:bottom w:val="single" w:sz="4" w:space="0" w:color="000000"/>
              <w:right w:val="nil"/>
            </w:tcBorders>
            <w:vAlign w:val="center"/>
          </w:tcPr>
          <w:p w:rsidR="007F3DC3" w:rsidRPr="003E743A" w:rsidRDefault="007F3DC3" w:rsidP="00960124">
            <w:pPr>
              <w:spacing w:line="240" w:lineRule="auto"/>
              <w:jc w:val="center"/>
              <w:rPr>
                <w:rFonts w:ascii="Times New Roman" w:hAnsi="Times New Roman" w:cs="Times New Roman"/>
                <w:sz w:val="20"/>
                <w:szCs w:val="20"/>
              </w:rPr>
            </w:pPr>
            <w:r w:rsidRPr="003E743A">
              <w:rPr>
                <w:rFonts w:ascii="Times New Roman" w:hAnsi="Times New Roman" w:cs="Times New Roman"/>
                <w:b/>
                <w:sz w:val="20"/>
                <w:szCs w:val="20"/>
              </w:rPr>
              <w:t>157</w:t>
            </w:r>
          </w:p>
        </w:tc>
        <w:tc>
          <w:tcPr>
            <w:tcW w:w="25" w:type="dxa"/>
            <w:tcBorders>
              <w:top w:val="single" w:sz="4" w:space="0" w:color="000000"/>
              <w:left w:val="nil"/>
              <w:bottom w:val="single" w:sz="4" w:space="0" w:color="000000"/>
              <w:right w:val="single" w:sz="4" w:space="0" w:color="000000"/>
            </w:tcBorders>
            <w:vAlign w:val="center"/>
          </w:tcPr>
          <w:p w:rsidR="007F3DC3" w:rsidRPr="003E743A" w:rsidRDefault="007F3DC3" w:rsidP="00960124">
            <w:pPr>
              <w:spacing w:line="240" w:lineRule="auto"/>
              <w:jc w:val="center"/>
              <w:rPr>
                <w:rFonts w:ascii="Times New Roman" w:hAnsi="Times New Roman" w:cs="Times New Roman"/>
                <w:b/>
                <w:sz w:val="20"/>
                <w:szCs w:val="20"/>
              </w:rPr>
            </w:pPr>
          </w:p>
        </w:tc>
        <w:tc>
          <w:tcPr>
            <w:tcW w:w="3539" w:type="dxa"/>
            <w:gridSpan w:val="2"/>
            <w:tcBorders>
              <w:top w:val="single" w:sz="4" w:space="0" w:color="000000"/>
              <w:left w:val="single" w:sz="4" w:space="0" w:color="000000"/>
              <w:bottom w:val="single" w:sz="4" w:space="0" w:color="000000"/>
              <w:right w:val="nil"/>
            </w:tcBorders>
            <w:vAlign w:val="center"/>
          </w:tcPr>
          <w:p w:rsidR="007F3DC3" w:rsidRPr="003E743A" w:rsidRDefault="007F3DC3" w:rsidP="00960124">
            <w:pPr>
              <w:spacing w:line="240" w:lineRule="auto"/>
              <w:jc w:val="center"/>
              <w:rPr>
                <w:rFonts w:ascii="Times New Roman" w:hAnsi="Times New Roman" w:cs="Times New Roman"/>
                <w:b/>
                <w:sz w:val="20"/>
                <w:szCs w:val="20"/>
              </w:rPr>
            </w:pPr>
            <w:r w:rsidRPr="003E743A">
              <w:rPr>
                <w:rFonts w:ascii="Times New Roman" w:eastAsia="Arial" w:hAnsi="Times New Roman" w:cs="Times New Roman"/>
                <w:b/>
                <w:sz w:val="20"/>
                <w:szCs w:val="20"/>
              </w:rPr>
              <w:t>31</w:t>
            </w:r>
            <w:r w:rsidRPr="003E743A">
              <w:rPr>
                <w:rFonts w:ascii="Times New Roman" w:eastAsia="Arial" w:hAnsi="Times New Roman" w:cs="Times New Roman"/>
                <w:b/>
                <w:spacing w:val="1"/>
                <w:sz w:val="20"/>
                <w:szCs w:val="20"/>
              </w:rPr>
              <w:t>46</w:t>
            </w:r>
            <w:r w:rsidRPr="003E743A">
              <w:rPr>
                <w:rFonts w:ascii="Times New Roman" w:eastAsia="Arial" w:hAnsi="Times New Roman" w:cs="Times New Roman"/>
                <w:b/>
                <w:sz w:val="20"/>
                <w:szCs w:val="20"/>
              </w:rPr>
              <w:t>7</w:t>
            </w:r>
          </w:p>
        </w:tc>
        <w:tc>
          <w:tcPr>
            <w:tcW w:w="20" w:type="dxa"/>
            <w:tcBorders>
              <w:top w:val="single" w:sz="4" w:space="0" w:color="000000"/>
              <w:left w:val="nil"/>
              <w:bottom w:val="single" w:sz="4" w:space="0" w:color="000000"/>
              <w:right w:val="single" w:sz="4" w:space="0" w:color="000000"/>
            </w:tcBorders>
            <w:vAlign w:val="center"/>
          </w:tcPr>
          <w:p w:rsidR="007F3DC3" w:rsidRPr="003E743A" w:rsidRDefault="007F3DC3" w:rsidP="00960124">
            <w:pPr>
              <w:spacing w:line="240" w:lineRule="auto"/>
              <w:ind w:left="231" w:right="-20"/>
              <w:jc w:val="both"/>
              <w:rPr>
                <w:rFonts w:ascii="Times New Roman" w:eastAsia="Arial" w:hAnsi="Times New Roman" w:cs="Times New Roman"/>
                <w:b/>
                <w:sz w:val="20"/>
                <w:szCs w:val="20"/>
              </w:rPr>
            </w:pPr>
          </w:p>
        </w:tc>
      </w:tr>
      <w:tr w:rsidR="007F3DC3" w:rsidRPr="003E743A" w:rsidTr="00960124">
        <w:trPr>
          <w:trHeight w:hRule="exact" w:val="272"/>
        </w:trPr>
        <w:tc>
          <w:tcPr>
            <w:tcW w:w="576" w:type="dxa"/>
            <w:gridSpan w:val="2"/>
            <w:tcBorders>
              <w:top w:val="single" w:sz="4" w:space="0" w:color="000000"/>
              <w:left w:val="single" w:sz="4" w:space="0" w:color="000000"/>
              <w:bottom w:val="single" w:sz="4" w:space="0" w:color="000000"/>
              <w:right w:val="single" w:sz="4" w:space="0" w:color="000000"/>
            </w:tcBorders>
            <w:vAlign w:val="center"/>
          </w:tcPr>
          <w:p w:rsidR="007F3DC3" w:rsidRPr="003E743A" w:rsidRDefault="007F3DC3" w:rsidP="00960124">
            <w:pPr>
              <w:spacing w:line="240" w:lineRule="auto"/>
              <w:jc w:val="center"/>
              <w:rPr>
                <w:rFonts w:ascii="Times New Roman" w:hAnsi="Times New Roman" w:cs="Times New Roman"/>
                <w:b/>
                <w:sz w:val="20"/>
                <w:szCs w:val="20"/>
              </w:rPr>
            </w:pPr>
            <w:r w:rsidRPr="003E743A">
              <w:rPr>
                <w:rFonts w:ascii="Times New Roman" w:hAnsi="Times New Roman" w:cs="Times New Roman"/>
                <w:b/>
                <w:sz w:val="20"/>
                <w:szCs w:val="20"/>
              </w:rPr>
              <w:t>27</w:t>
            </w:r>
          </w:p>
        </w:tc>
        <w:tc>
          <w:tcPr>
            <w:tcW w:w="2403" w:type="dxa"/>
            <w:tcBorders>
              <w:top w:val="single" w:sz="4" w:space="0" w:color="000000"/>
              <w:left w:val="single" w:sz="4" w:space="0" w:color="000000"/>
              <w:bottom w:val="single" w:sz="4" w:space="0" w:color="000000"/>
              <w:right w:val="single" w:sz="4" w:space="0" w:color="000000"/>
            </w:tcBorders>
            <w:vAlign w:val="center"/>
          </w:tcPr>
          <w:p w:rsidR="007F3DC3" w:rsidRPr="003E743A" w:rsidRDefault="007F3DC3" w:rsidP="00960124">
            <w:pPr>
              <w:spacing w:line="240" w:lineRule="auto"/>
              <w:jc w:val="center"/>
              <w:rPr>
                <w:rFonts w:ascii="Times New Roman" w:hAnsi="Times New Roman" w:cs="Times New Roman"/>
                <w:sz w:val="20"/>
                <w:szCs w:val="20"/>
              </w:rPr>
            </w:pPr>
            <w:r w:rsidRPr="003E743A">
              <w:rPr>
                <w:rFonts w:ascii="Times New Roman" w:hAnsi="Times New Roman" w:cs="Times New Roman"/>
                <w:sz w:val="20"/>
                <w:szCs w:val="20"/>
              </w:rPr>
              <w:t>Quelelé</w:t>
            </w:r>
          </w:p>
        </w:tc>
        <w:tc>
          <w:tcPr>
            <w:tcW w:w="2109" w:type="dxa"/>
            <w:tcBorders>
              <w:top w:val="single" w:sz="4" w:space="0" w:color="000000"/>
              <w:left w:val="single" w:sz="4" w:space="0" w:color="000000"/>
              <w:bottom w:val="single" w:sz="4" w:space="0" w:color="000000"/>
              <w:right w:val="nil"/>
            </w:tcBorders>
            <w:vAlign w:val="center"/>
          </w:tcPr>
          <w:p w:rsidR="007F3DC3" w:rsidRPr="003E743A" w:rsidRDefault="007F3DC3" w:rsidP="00960124">
            <w:pPr>
              <w:spacing w:line="240" w:lineRule="auto"/>
              <w:jc w:val="center"/>
              <w:rPr>
                <w:rFonts w:ascii="Times New Roman" w:hAnsi="Times New Roman" w:cs="Times New Roman"/>
                <w:sz w:val="20"/>
                <w:szCs w:val="20"/>
              </w:rPr>
            </w:pPr>
            <w:r w:rsidRPr="003E743A">
              <w:rPr>
                <w:rFonts w:ascii="Times New Roman" w:hAnsi="Times New Roman" w:cs="Times New Roman"/>
                <w:b/>
                <w:sz w:val="20"/>
                <w:szCs w:val="20"/>
              </w:rPr>
              <w:t>259</w:t>
            </w:r>
          </w:p>
        </w:tc>
        <w:tc>
          <w:tcPr>
            <w:tcW w:w="25" w:type="dxa"/>
            <w:tcBorders>
              <w:top w:val="single" w:sz="4" w:space="0" w:color="000000"/>
              <w:left w:val="nil"/>
              <w:bottom w:val="single" w:sz="4" w:space="0" w:color="000000"/>
              <w:right w:val="single" w:sz="4" w:space="0" w:color="000000"/>
            </w:tcBorders>
            <w:vAlign w:val="center"/>
          </w:tcPr>
          <w:p w:rsidR="007F3DC3" w:rsidRPr="003E743A" w:rsidRDefault="007F3DC3" w:rsidP="00960124">
            <w:pPr>
              <w:spacing w:line="240" w:lineRule="auto"/>
              <w:jc w:val="center"/>
              <w:rPr>
                <w:rFonts w:ascii="Times New Roman" w:hAnsi="Times New Roman" w:cs="Times New Roman"/>
                <w:b/>
                <w:sz w:val="20"/>
                <w:szCs w:val="20"/>
              </w:rPr>
            </w:pPr>
          </w:p>
        </w:tc>
        <w:tc>
          <w:tcPr>
            <w:tcW w:w="3539" w:type="dxa"/>
            <w:gridSpan w:val="2"/>
            <w:tcBorders>
              <w:top w:val="single" w:sz="4" w:space="0" w:color="000000"/>
              <w:left w:val="single" w:sz="4" w:space="0" w:color="000000"/>
              <w:bottom w:val="single" w:sz="4" w:space="0" w:color="000000"/>
              <w:right w:val="nil"/>
            </w:tcBorders>
            <w:vAlign w:val="center"/>
          </w:tcPr>
          <w:p w:rsidR="007F3DC3" w:rsidRPr="003E743A" w:rsidRDefault="007F3DC3" w:rsidP="00960124">
            <w:pPr>
              <w:spacing w:line="240" w:lineRule="auto"/>
              <w:jc w:val="center"/>
              <w:rPr>
                <w:rFonts w:ascii="Times New Roman" w:hAnsi="Times New Roman" w:cs="Times New Roman"/>
                <w:b/>
                <w:sz w:val="20"/>
                <w:szCs w:val="20"/>
              </w:rPr>
            </w:pPr>
            <w:r w:rsidRPr="003E743A">
              <w:rPr>
                <w:rFonts w:ascii="Times New Roman" w:eastAsia="Arial" w:hAnsi="Times New Roman" w:cs="Times New Roman"/>
                <w:b/>
                <w:position w:val="-1"/>
                <w:sz w:val="20"/>
                <w:szCs w:val="20"/>
              </w:rPr>
              <w:t>17</w:t>
            </w:r>
            <w:r w:rsidRPr="003E743A">
              <w:rPr>
                <w:rFonts w:ascii="Times New Roman" w:eastAsia="Arial" w:hAnsi="Times New Roman" w:cs="Times New Roman"/>
                <w:b/>
                <w:spacing w:val="1"/>
                <w:position w:val="-1"/>
                <w:sz w:val="20"/>
                <w:szCs w:val="20"/>
              </w:rPr>
              <w:t>42</w:t>
            </w:r>
            <w:r w:rsidRPr="003E743A">
              <w:rPr>
                <w:rFonts w:ascii="Times New Roman" w:eastAsia="Arial" w:hAnsi="Times New Roman" w:cs="Times New Roman"/>
                <w:b/>
                <w:position w:val="-1"/>
                <w:sz w:val="20"/>
                <w:szCs w:val="20"/>
              </w:rPr>
              <w:t>9</w:t>
            </w:r>
          </w:p>
        </w:tc>
        <w:tc>
          <w:tcPr>
            <w:tcW w:w="20" w:type="dxa"/>
            <w:tcBorders>
              <w:top w:val="single" w:sz="4" w:space="0" w:color="000000"/>
              <w:left w:val="nil"/>
              <w:bottom w:val="single" w:sz="4" w:space="0" w:color="000000"/>
              <w:right w:val="single" w:sz="4" w:space="0" w:color="000000"/>
            </w:tcBorders>
            <w:vAlign w:val="center"/>
          </w:tcPr>
          <w:p w:rsidR="007F3DC3" w:rsidRPr="003E743A" w:rsidRDefault="007F3DC3" w:rsidP="00960124">
            <w:pPr>
              <w:spacing w:line="240" w:lineRule="auto"/>
              <w:ind w:left="231" w:right="-20"/>
              <w:jc w:val="both"/>
              <w:rPr>
                <w:rFonts w:ascii="Times New Roman" w:eastAsia="Arial" w:hAnsi="Times New Roman" w:cs="Times New Roman"/>
                <w:b/>
                <w:sz w:val="20"/>
                <w:szCs w:val="20"/>
              </w:rPr>
            </w:pPr>
          </w:p>
        </w:tc>
      </w:tr>
      <w:tr w:rsidR="007F3DC3" w:rsidRPr="003E743A" w:rsidTr="00960124">
        <w:trPr>
          <w:trHeight w:hRule="exact" w:val="290"/>
        </w:trPr>
        <w:tc>
          <w:tcPr>
            <w:tcW w:w="576" w:type="dxa"/>
            <w:gridSpan w:val="2"/>
            <w:tcBorders>
              <w:top w:val="single" w:sz="4" w:space="0" w:color="000000"/>
              <w:left w:val="single" w:sz="4" w:space="0" w:color="000000"/>
              <w:bottom w:val="single" w:sz="4" w:space="0" w:color="000000"/>
              <w:right w:val="single" w:sz="4" w:space="0" w:color="000000"/>
            </w:tcBorders>
            <w:vAlign w:val="center"/>
          </w:tcPr>
          <w:p w:rsidR="007F3DC3" w:rsidRPr="003E743A" w:rsidRDefault="007F3DC3" w:rsidP="00960124">
            <w:pPr>
              <w:spacing w:line="240" w:lineRule="auto"/>
              <w:jc w:val="center"/>
              <w:rPr>
                <w:rFonts w:ascii="Times New Roman" w:hAnsi="Times New Roman" w:cs="Times New Roman"/>
                <w:b/>
                <w:sz w:val="20"/>
                <w:szCs w:val="20"/>
              </w:rPr>
            </w:pPr>
            <w:r w:rsidRPr="003E743A">
              <w:rPr>
                <w:rFonts w:ascii="Times New Roman" w:hAnsi="Times New Roman" w:cs="Times New Roman"/>
                <w:b/>
                <w:sz w:val="20"/>
                <w:szCs w:val="20"/>
              </w:rPr>
              <w:t>28</w:t>
            </w:r>
          </w:p>
        </w:tc>
        <w:tc>
          <w:tcPr>
            <w:tcW w:w="2403" w:type="dxa"/>
            <w:tcBorders>
              <w:top w:val="single" w:sz="4" w:space="0" w:color="000000"/>
              <w:left w:val="single" w:sz="4" w:space="0" w:color="000000"/>
              <w:bottom w:val="single" w:sz="4" w:space="0" w:color="000000"/>
              <w:right w:val="single" w:sz="4" w:space="0" w:color="000000"/>
            </w:tcBorders>
            <w:vAlign w:val="center"/>
          </w:tcPr>
          <w:p w:rsidR="007F3DC3" w:rsidRPr="003E743A" w:rsidRDefault="007F3DC3" w:rsidP="00960124">
            <w:pPr>
              <w:spacing w:line="240" w:lineRule="auto"/>
              <w:jc w:val="center"/>
              <w:rPr>
                <w:rFonts w:ascii="Times New Roman" w:hAnsi="Times New Roman" w:cs="Times New Roman"/>
                <w:sz w:val="20"/>
                <w:szCs w:val="20"/>
              </w:rPr>
            </w:pPr>
            <w:r w:rsidRPr="003E743A">
              <w:rPr>
                <w:rFonts w:ascii="Times New Roman" w:hAnsi="Times New Roman" w:cs="Times New Roman"/>
                <w:sz w:val="20"/>
                <w:szCs w:val="20"/>
              </w:rPr>
              <w:t>Brá</w:t>
            </w:r>
          </w:p>
        </w:tc>
        <w:tc>
          <w:tcPr>
            <w:tcW w:w="2109" w:type="dxa"/>
            <w:tcBorders>
              <w:top w:val="single" w:sz="4" w:space="0" w:color="000000"/>
              <w:left w:val="single" w:sz="4" w:space="0" w:color="000000"/>
              <w:bottom w:val="single" w:sz="4" w:space="0" w:color="000000"/>
              <w:right w:val="nil"/>
            </w:tcBorders>
            <w:vAlign w:val="center"/>
          </w:tcPr>
          <w:p w:rsidR="007F3DC3" w:rsidRPr="003E743A" w:rsidRDefault="007F3DC3" w:rsidP="00960124">
            <w:pPr>
              <w:spacing w:line="240" w:lineRule="auto"/>
              <w:jc w:val="center"/>
              <w:rPr>
                <w:rFonts w:ascii="Times New Roman" w:hAnsi="Times New Roman" w:cs="Times New Roman"/>
                <w:sz w:val="20"/>
                <w:szCs w:val="20"/>
              </w:rPr>
            </w:pPr>
            <w:r w:rsidRPr="003E743A">
              <w:rPr>
                <w:rFonts w:ascii="Times New Roman" w:hAnsi="Times New Roman" w:cs="Times New Roman"/>
                <w:b/>
                <w:sz w:val="20"/>
                <w:szCs w:val="20"/>
              </w:rPr>
              <w:t>252</w:t>
            </w:r>
          </w:p>
        </w:tc>
        <w:tc>
          <w:tcPr>
            <w:tcW w:w="25" w:type="dxa"/>
            <w:tcBorders>
              <w:top w:val="single" w:sz="4" w:space="0" w:color="000000"/>
              <w:left w:val="nil"/>
              <w:bottom w:val="single" w:sz="4" w:space="0" w:color="000000"/>
              <w:right w:val="single" w:sz="4" w:space="0" w:color="000000"/>
            </w:tcBorders>
            <w:vAlign w:val="center"/>
          </w:tcPr>
          <w:p w:rsidR="007F3DC3" w:rsidRPr="003E743A" w:rsidRDefault="007F3DC3" w:rsidP="00960124">
            <w:pPr>
              <w:spacing w:line="240" w:lineRule="auto"/>
              <w:jc w:val="center"/>
              <w:rPr>
                <w:rFonts w:ascii="Times New Roman" w:hAnsi="Times New Roman" w:cs="Times New Roman"/>
                <w:b/>
                <w:sz w:val="20"/>
                <w:szCs w:val="20"/>
              </w:rPr>
            </w:pPr>
          </w:p>
        </w:tc>
        <w:tc>
          <w:tcPr>
            <w:tcW w:w="3539" w:type="dxa"/>
            <w:gridSpan w:val="2"/>
            <w:tcBorders>
              <w:top w:val="single" w:sz="4" w:space="0" w:color="000000"/>
              <w:left w:val="single" w:sz="4" w:space="0" w:color="000000"/>
              <w:bottom w:val="single" w:sz="4" w:space="0" w:color="000000"/>
              <w:right w:val="nil"/>
            </w:tcBorders>
            <w:vAlign w:val="center"/>
          </w:tcPr>
          <w:p w:rsidR="007F3DC3" w:rsidRPr="003E743A" w:rsidRDefault="007F3DC3" w:rsidP="00960124">
            <w:pPr>
              <w:spacing w:line="240" w:lineRule="auto"/>
              <w:jc w:val="center"/>
              <w:rPr>
                <w:rFonts w:ascii="Times New Roman" w:hAnsi="Times New Roman" w:cs="Times New Roman"/>
                <w:b/>
                <w:sz w:val="20"/>
                <w:szCs w:val="20"/>
              </w:rPr>
            </w:pPr>
            <w:r w:rsidRPr="003E743A">
              <w:rPr>
                <w:rFonts w:ascii="Times New Roman" w:eastAsia="Arial" w:hAnsi="Times New Roman" w:cs="Times New Roman"/>
                <w:b/>
                <w:sz w:val="20"/>
                <w:szCs w:val="20"/>
              </w:rPr>
              <w:t>65</w:t>
            </w:r>
            <w:r w:rsidRPr="003E743A">
              <w:rPr>
                <w:rFonts w:ascii="Times New Roman" w:eastAsia="Arial" w:hAnsi="Times New Roman" w:cs="Times New Roman"/>
                <w:b/>
                <w:spacing w:val="1"/>
                <w:sz w:val="20"/>
                <w:szCs w:val="20"/>
              </w:rPr>
              <w:t>6</w:t>
            </w:r>
            <w:r w:rsidRPr="003E743A">
              <w:rPr>
                <w:rFonts w:ascii="Times New Roman" w:eastAsia="Arial" w:hAnsi="Times New Roman" w:cs="Times New Roman"/>
                <w:b/>
                <w:sz w:val="20"/>
                <w:szCs w:val="20"/>
              </w:rPr>
              <w:t>9</w:t>
            </w:r>
          </w:p>
        </w:tc>
        <w:tc>
          <w:tcPr>
            <w:tcW w:w="20" w:type="dxa"/>
            <w:tcBorders>
              <w:top w:val="single" w:sz="4" w:space="0" w:color="000000"/>
              <w:left w:val="nil"/>
              <w:bottom w:val="single" w:sz="4" w:space="0" w:color="000000"/>
              <w:right w:val="single" w:sz="4" w:space="0" w:color="000000"/>
            </w:tcBorders>
            <w:vAlign w:val="center"/>
          </w:tcPr>
          <w:p w:rsidR="007F3DC3" w:rsidRPr="003E743A" w:rsidRDefault="007F3DC3" w:rsidP="00960124">
            <w:pPr>
              <w:spacing w:line="240" w:lineRule="auto"/>
              <w:ind w:left="331" w:right="-20"/>
              <w:jc w:val="both"/>
              <w:rPr>
                <w:rFonts w:ascii="Times New Roman" w:eastAsia="Arial" w:hAnsi="Times New Roman" w:cs="Times New Roman"/>
                <w:b/>
                <w:sz w:val="20"/>
                <w:szCs w:val="20"/>
              </w:rPr>
            </w:pPr>
          </w:p>
        </w:tc>
      </w:tr>
      <w:tr w:rsidR="007F3DC3" w:rsidRPr="003E743A" w:rsidTr="00960124">
        <w:trPr>
          <w:trHeight w:hRule="exact" w:val="294"/>
        </w:trPr>
        <w:tc>
          <w:tcPr>
            <w:tcW w:w="576" w:type="dxa"/>
            <w:gridSpan w:val="2"/>
            <w:tcBorders>
              <w:top w:val="single" w:sz="4" w:space="0" w:color="000000"/>
              <w:left w:val="single" w:sz="4" w:space="0" w:color="000000"/>
              <w:bottom w:val="single" w:sz="4" w:space="0" w:color="000000"/>
              <w:right w:val="single" w:sz="4" w:space="0" w:color="000000"/>
            </w:tcBorders>
            <w:vAlign w:val="center"/>
          </w:tcPr>
          <w:p w:rsidR="007F3DC3" w:rsidRPr="003E743A" w:rsidRDefault="007F3DC3" w:rsidP="00960124">
            <w:pPr>
              <w:spacing w:line="240" w:lineRule="auto"/>
              <w:jc w:val="center"/>
              <w:rPr>
                <w:rFonts w:ascii="Times New Roman" w:hAnsi="Times New Roman" w:cs="Times New Roman"/>
                <w:b/>
                <w:sz w:val="20"/>
                <w:szCs w:val="20"/>
              </w:rPr>
            </w:pPr>
            <w:r w:rsidRPr="003E743A">
              <w:rPr>
                <w:rFonts w:ascii="Times New Roman" w:hAnsi="Times New Roman" w:cs="Times New Roman"/>
                <w:b/>
                <w:sz w:val="20"/>
                <w:szCs w:val="20"/>
              </w:rPr>
              <w:t>29</w:t>
            </w:r>
          </w:p>
        </w:tc>
        <w:tc>
          <w:tcPr>
            <w:tcW w:w="2403" w:type="dxa"/>
            <w:tcBorders>
              <w:top w:val="single" w:sz="4" w:space="0" w:color="000000"/>
              <w:left w:val="single" w:sz="4" w:space="0" w:color="000000"/>
              <w:bottom w:val="single" w:sz="4" w:space="0" w:color="000000"/>
              <w:right w:val="single" w:sz="4" w:space="0" w:color="000000"/>
            </w:tcBorders>
            <w:vAlign w:val="center"/>
          </w:tcPr>
          <w:p w:rsidR="007F3DC3" w:rsidRPr="003E743A" w:rsidRDefault="007F3DC3" w:rsidP="00960124">
            <w:pPr>
              <w:spacing w:line="240" w:lineRule="auto"/>
              <w:jc w:val="center"/>
              <w:rPr>
                <w:rFonts w:ascii="Times New Roman" w:hAnsi="Times New Roman" w:cs="Times New Roman"/>
                <w:sz w:val="20"/>
                <w:szCs w:val="20"/>
              </w:rPr>
            </w:pPr>
            <w:r w:rsidRPr="003E743A">
              <w:rPr>
                <w:rFonts w:ascii="Times New Roman" w:hAnsi="Times New Roman" w:cs="Times New Roman"/>
                <w:sz w:val="20"/>
                <w:szCs w:val="20"/>
              </w:rPr>
              <w:t>Penha</w:t>
            </w:r>
          </w:p>
        </w:tc>
        <w:tc>
          <w:tcPr>
            <w:tcW w:w="2109" w:type="dxa"/>
            <w:tcBorders>
              <w:top w:val="single" w:sz="4" w:space="0" w:color="000000"/>
              <w:left w:val="single" w:sz="4" w:space="0" w:color="000000"/>
              <w:bottom w:val="single" w:sz="4" w:space="0" w:color="000000"/>
              <w:right w:val="nil"/>
            </w:tcBorders>
            <w:vAlign w:val="center"/>
          </w:tcPr>
          <w:p w:rsidR="007F3DC3" w:rsidRPr="003E743A" w:rsidRDefault="007F3DC3" w:rsidP="00960124">
            <w:pPr>
              <w:spacing w:line="240" w:lineRule="auto"/>
              <w:jc w:val="center"/>
              <w:rPr>
                <w:rFonts w:ascii="Times New Roman" w:hAnsi="Times New Roman" w:cs="Times New Roman"/>
                <w:sz w:val="20"/>
                <w:szCs w:val="20"/>
              </w:rPr>
            </w:pPr>
            <w:r w:rsidRPr="003E743A">
              <w:rPr>
                <w:rFonts w:ascii="Times New Roman" w:hAnsi="Times New Roman" w:cs="Times New Roman"/>
                <w:b/>
                <w:sz w:val="20"/>
                <w:szCs w:val="20"/>
              </w:rPr>
              <w:t>293</w:t>
            </w:r>
          </w:p>
        </w:tc>
        <w:tc>
          <w:tcPr>
            <w:tcW w:w="25" w:type="dxa"/>
            <w:tcBorders>
              <w:top w:val="single" w:sz="4" w:space="0" w:color="000000"/>
              <w:left w:val="nil"/>
              <w:bottom w:val="single" w:sz="4" w:space="0" w:color="000000"/>
              <w:right w:val="single" w:sz="4" w:space="0" w:color="000000"/>
            </w:tcBorders>
            <w:vAlign w:val="center"/>
          </w:tcPr>
          <w:p w:rsidR="007F3DC3" w:rsidRPr="003E743A" w:rsidRDefault="007F3DC3" w:rsidP="00960124">
            <w:pPr>
              <w:spacing w:line="240" w:lineRule="auto"/>
              <w:jc w:val="center"/>
              <w:rPr>
                <w:rFonts w:ascii="Times New Roman" w:hAnsi="Times New Roman" w:cs="Times New Roman"/>
                <w:b/>
                <w:sz w:val="20"/>
                <w:szCs w:val="20"/>
              </w:rPr>
            </w:pPr>
          </w:p>
        </w:tc>
        <w:tc>
          <w:tcPr>
            <w:tcW w:w="3539" w:type="dxa"/>
            <w:gridSpan w:val="2"/>
            <w:tcBorders>
              <w:top w:val="single" w:sz="4" w:space="0" w:color="000000"/>
              <w:left w:val="single" w:sz="4" w:space="0" w:color="000000"/>
              <w:bottom w:val="single" w:sz="4" w:space="0" w:color="000000"/>
              <w:right w:val="nil"/>
            </w:tcBorders>
            <w:vAlign w:val="center"/>
          </w:tcPr>
          <w:p w:rsidR="007F3DC3" w:rsidRPr="003E743A" w:rsidRDefault="007F3DC3" w:rsidP="00960124">
            <w:pPr>
              <w:spacing w:line="240" w:lineRule="auto"/>
              <w:jc w:val="center"/>
              <w:rPr>
                <w:rFonts w:ascii="Times New Roman" w:hAnsi="Times New Roman" w:cs="Times New Roman"/>
                <w:b/>
                <w:sz w:val="20"/>
                <w:szCs w:val="20"/>
              </w:rPr>
            </w:pPr>
            <w:r w:rsidRPr="003E743A">
              <w:rPr>
                <w:rFonts w:ascii="Times New Roman" w:eastAsia="Arial" w:hAnsi="Times New Roman" w:cs="Times New Roman"/>
                <w:b/>
                <w:position w:val="-1"/>
                <w:sz w:val="20"/>
                <w:szCs w:val="20"/>
              </w:rPr>
              <w:t>962</w:t>
            </w:r>
          </w:p>
        </w:tc>
        <w:tc>
          <w:tcPr>
            <w:tcW w:w="20" w:type="dxa"/>
            <w:tcBorders>
              <w:top w:val="single" w:sz="4" w:space="0" w:color="000000"/>
              <w:left w:val="nil"/>
              <w:bottom w:val="single" w:sz="4" w:space="0" w:color="000000"/>
              <w:right w:val="single" w:sz="4" w:space="0" w:color="000000"/>
            </w:tcBorders>
            <w:vAlign w:val="center"/>
          </w:tcPr>
          <w:p w:rsidR="007F3DC3" w:rsidRPr="003E743A" w:rsidRDefault="007F3DC3" w:rsidP="00960124">
            <w:pPr>
              <w:spacing w:line="240" w:lineRule="auto"/>
              <w:ind w:left="481" w:right="-20"/>
              <w:jc w:val="both"/>
              <w:rPr>
                <w:rFonts w:ascii="Times New Roman" w:eastAsia="Arial" w:hAnsi="Times New Roman" w:cs="Times New Roman"/>
                <w:b/>
                <w:sz w:val="20"/>
                <w:szCs w:val="20"/>
              </w:rPr>
            </w:pPr>
          </w:p>
        </w:tc>
      </w:tr>
      <w:tr w:rsidR="007F3DC3" w:rsidRPr="003E743A" w:rsidTr="00960124">
        <w:trPr>
          <w:trHeight w:hRule="exact" w:val="270"/>
        </w:trPr>
        <w:tc>
          <w:tcPr>
            <w:tcW w:w="576" w:type="dxa"/>
            <w:gridSpan w:val="2"/>
            <w:tcBorders>
              <w:top w:val="single" w:sz="4" w:space="0" w:color="000000"/>
              <w:left w:val="single" w:sz="4" w:space="0" w:color="000000"/>
              <w:bottom w:val="single" w:sz="4" w:space="0" w:color="000000"/>
              <w:right w:val="single" w:sz="4" w:space="0" w:color="000000"/>
            </w:tcBorders>
            <w:vAlign w:val="center"/>
          </w:tcPr>
          <w:p w:rsidR="007F3DC3" w:rsidRPr="003E743A" w:rsidRDefault="007F3DC3" w:rsidP="00960124">
            <w:pPr>
              <w:spacing w:line="240" w:lineRule="auto"/>
              <w:jc w:val="center"/>
              <w:rPr>
                <w:rFonts w:ascii="Times New Roman" w:hAnsi="Times New Roman" w:cs="Times New Roman"/>
                <w:b/>
                <w:sz w:val="20"/>
                <w:szCs w:val="20"/>
              </w:rPr>
            </w:pPr>
            <w:r w:rsidRPr="003E743A">
              <w:rPr>
                <w:rFonts w:ascii="Times New Roman" w:hAnsi="Times New Roman" w:cs="Times New Roman"/>
                <w:b/>
                <w:sz w:val="20"/>
                <w:szCs w:val="20"/>
              </w:rPr>
              <w:t>30</w:t>
            </w:r>
          </w:p>
        </w:tc>
        <w:tc>
          <w:tcPr>
            <w:tcW w:w="2403" w:type="dxa"/>
            <w:tcBorders>
              <w:top w:val="single" w:sz="4" w:space="0" w:color="000000"/>
              <w:left w:val="single" w:sz="4" w:space="0" w:color="000000"/>
              <w:bottom w:val="single" w:sz="4" w:space="0" w:color="000000"/>
              <w:right w:val="single" w:sz="4" w:space="0" w:color="000000"/>
            </w:tcBorders>
            <w:vAlign w:val="center"/>
          </w:tcPr>
          <w:p w:rsidR="007F3DC3" w:rsidRPr="003E743A" w:rsidRDefault="007F3DC3" w:rsidP="00960124">
            <w:pPr>
              <w:spacing w:line="240" w:lineRule="auto"/>
              <w:jc w:val="center"/>
              <w:rPr>
                <w:rFonts w:ascii="Times New Roman" w:hAnsi="Times New Roman" w:cs="Times New Roman"/>
                <w:sz w:val="20"/>
                <w:szCs w:val="20"/>
              </w:rPr>
            </w:pPr>
            <w:r w:rsidRPr="003E743A">
              <w:rPr>
                <w:rFonts w:ascii="Times New Roman" w:hAnsi="Times New Roman" w:cs="Times New Roman"/>
                <w:sz w:val="20"/>
                <w:szCs w:val="20"/>
              </w:rPr>
              <w:t>Plaque2</w:t>
            </w:r>
          </w:p>
        </w:tc>
        <w:tc>
          <w:tcPr>
            <w:tcW w:w="2109" w:type="dxa"/>
            <w:tcBorders>
              <w:top w:val="single" w:sz="4" w:space="0" w:color="000000"/>
              <w:left w:val="single" w:sz="4" w:space="0" w:color="000000"/>
              <w:bottom w:val="single" w:sz="4" w:space="0" w:color="000000"/>
              <w:right w:val="nil"/>
            </w:tcBorders>
            <w:vAlign w:val="center"/>
          </w:tcPr>
          <w:p w:rsidR="007F3DC3" w:rsidRPr="003E743A" w:rsidRDefault="007F3DC3" w:rsidP="00960124">
            <w:pPr>
              <w:spacing w:line="240" w:lineRule="auto"/>
              <w:jc w:val="center"/>
              <w:rPr>
                <w:rFonts w:ascii="Times New Roman" w:hAnsi="Times New Roman" w:cs="Times New Roman"/>
                <w:sz w:val="20"/>
                <w:szCs w:val="20"/>
              </w:rPr>
            </w:pPr>
            <w:r w:rsidRPr="003E743A">
              <w:rPr>
                <w:rFonts w:ascii="Times New Roman" w:hAnsi="Times New Roman" w:cs="Times New Roman"/>
                <w:b/>
                <w:sz w:val="20"/>
                <w:szCs w:val="20"/>
              </w:rPr>
              <w:t>248</w:t>
            </w:r>
          </w:p>
        </w:tc>
        <w:tc>
          <w:tcPr>
            <w:tcW w:w="25" w:type="dxa"/>
            <w:tcBorders>
              <w:top w:val="single" w:sz="4" w:space="0" w:color="000000"/>
              <w:left w:val="nil"/>
              <w:bottom w:val="single" w:sz="4" w:space="0" w:color="000000"/>
              <w:right w:val="single" w:sz="4" w:space="0" w:color="000000"/>
            </w:tcBorders>
            <w:vAlign w:val="center"/>
          </w:tcPr>
          <w:p w:rsidR="007F3DC3" w:rsidRPr="003E743A" w:rsidRDefault="007F3DC3" w:rsidP="00960124">
            <w:pPr>
              <w:spacing w:line="240" w:lineRule="auto"/>
              <w:jc w:val="center"/>
              <w:rPr>
                <w:rFonts w:ascii="Times New Roman" w:hAnsi="Times New Roman" w:cs="Times New Roman"/>
                <w:b/>
                <w:sz w:val="20"/>
                <w:szCs w:val="20"/>
              </w:rPr>
            </w:pPr>
          </w:p>
        </w:tc>
        <w:tc>
          <w:tcPr>
            <w:tcW w:w="3539" w:type="dxa"/>
            <w:gridSpan w:val="2"/>
            <w:tcBorders>
              <w:top w:val="single" w:sz="4" w:space="0" w:color="000000"/>
              <w:left w:val="single" w:sz="4" w:space="0" w:color="000000"/>
              <w:bottom w:val="single" w:sz="4" w:space="0" w:color="000000"/>
              <w:right w:val="nil"/>
            </w:tcBorders>
            <w:vAlign w:val="center"/>
          </w:tcPr>
          <w:p w:rsidR="007F3DC3" w:rsidRPr="003E743A" w:rsidRDefault="007F3DC3" w:rsidP="00960124">
            <w:pPr>
              <w:spacing w:line="240" w:lineRule="auto"/>
              <w:jc w:val="center"/>
              <w:rPr>
                <w:rFonts w:ascii="Times New Roman" w:hAnsi="Times New Roman" w:cs="Times New Roman"/>
                <w:b/>
                <w:sz w:val="20"/>
                <w:szCs w:val="20"/>
              </w:rPr>
            </w:pPr>
            <w:r w:rsidRPr="003E743A">
              <w:rPr>
                <w:rFonts w:ascii="Times New Roman" w:eastAsia="Arial" w:hAnsi="Times New Roman" w:cs="Times New Roman"/>
                <w:b/>
                <w:sz w:val="20"/>
                <w:szCs w:val="20"/>
              </w:rPr>
              <w:t>11</w:t>
            </w:r>
            <w:r w:rsidRPr="003E743A">
              <w:rPr>
                <w:rFonts w:ascii="Times New Roman" w:eastAsia="Arial" w:hAnsi="Times New Roman" w:cs="Times New Roman"/>
                <w:b/>
                <w:spacing w:val="1"/>
                <w:sz w:val="20"/>
                <w:szCs w:val="20"/>
              </w:rPr>
              <w:t>52</w:t>
            </w:r>
            <w:r w:rsidRPr="003E743A">
              <w:rPr>
                <w:rFonts w:ascii="Times New Roman" w:eastAsia="Arial" w:hAnsi="Times New Roman" w:cs="Times New Roman"/>
                <w:b/>
                <w:sz w:val="20"/>
                <w:szCs w:val="20"/>
              </w:rPr>
              <w:t>7</w:t>
            </w:r>
          </w:p>
        </w:tc>
        <w:tc>
          <w:tcPr>
            <w:tcW w:w="20" w:type="dxa"/>
            <w:tcBorders>
              <w:top w:val="single" w:sz="4" w:space="0" w:color="000000"/>
              <w:left w:val="nil"/>
              <w:bottom w:val="single" w:sz="4" w:space="0" w:color="000000"/>
              <w:right w:val="single" w:sz="4" w:space="0" w:color="000000"/>
            </w:tcBorders>
            <w:vAlign w:val="center"/>
          </w:tcPr>
          <w:p w:rsidR="007F3DC3" w:rsidRPr="003E743A" w:rsidRDefault="007F3DC3" w:rsidP="00960124">
            <w:pPr>
              <w:spacing w:line="240" w:lineRule="auto"/>
              <w:ind w:left="231" w:right="-20"/>
              <w:jc w:val="both"/>
              <w:rPr>
                <w:rFonts w:ascii="Times New Roman" w:eastAsia="Arial" w:hAnsi="Times New Roman" w:cs="Times New Roman"/>
                <w:b/>
                <w:sz w:val="20"/>
                <w:szCs w:val="20"/>
              </w:rPr>
            </w:pPr>
          </w:p>
        </w:tc>
      </w:tr>
      <w:tr w:rsidR="007F3DC3" w:rsidRPr="003E743A" w:rsidTr="00960124">
        <w:trPr>
          <w:trHeight w:hRule="exact" w:val="288"/>
        </w:trPr>
        <w:tc>
          <w:tcPr>
            <w:tcW w:w="576" w:type="dxa"/>
            <w:gridSpan w:val="2"/>
            <w:tcBorders>
              <w:top w:val="single" w:sz="4" w:space="0" w:color="000000"/>
              <w:left w:val="single" w:sz="4" w:space="0" w:color="000000"/>
              <w:bottom w:val="single" w:sz="4" w:space="0" w:color="000000"/>
              <w:right w:val="single" w:sz="4" w:space="0" w:color="000000"/>
            </w:tcBorders>
            <w:vAlign w:val="center"/>
          </w:tcPr>
          <w:p w:rsidR="007F3DC3" w:rsidRPr="003E743A" w:rsidRDefault="007F3DC3" w:rsidP="00960124">
            <w:pPr>
              <w:spacing w:line="240" w:lineRule="auto"/>
              <w:jc w:val="center"/>
              <w:rPr>
                <w:rFonts w:ascii="Times New Roman" w:hAnsi="Times New Roman" w:cs="Times New Roman"/>
                <w:b/>
                <w:sz w:val="20"/>
                <w:szCs w:val="20"/>
              </w:rPr>
            </w:pPr>
            <w:r w:rsidRPr="003E743A">
              <w:rPr>
                <w:rFonts w:ascii="Times New Roman" w:hAnsi="Times New Roman" w:cs="Times New Roman"/>
                <w:b/>
                <w:sz w:val="20"/>
                <w:szCs w:val="20"/>
              </w:rPr>
              <w:t>31</w:t>
            </w:r>
          </w:p>
        </w:tc>
        <w:tc>
          <w:tcPr>
            <w:tcW w:w="2403" w:type="dxa"/>
            <w:tcBorders>
              <w:top w:val="single" w:sz="4" w:space="0" w:color="000000"/>
              <w:left w:val="single" w:sz="4" w:space="0" w:color="000000"/>
              <w:bottom w:val="single" w:sz="4" w:space="0" w:color="000000"/>
              <w:right w:val="single" w:sz="4" w:space="0" w:color="000000"/>
            </w:tcBorders>
            <w:vAlign w:val="center"/>
          </w:tcPr>
          <w:p w:rsidR="007F3DC3" w:rsidRPr="003E743A" w:rsidRDefault="007F3DC3" w:rsidP="00960124">
            <w:pPr>
              <w:spacing w:line="240" w:lineRule="auto"/>
              <w:jc w:val="center"/>
              <w:rPr>
                <w:rFonts w:ascii="Times New Roman" w:hAnsi="Times New Roman" w:cs="Times New Roman"/>
                <w:sz w:val="20"/>
                <w:szCs w:val="20"/>
              </w:rPr>
            </w:pPr>
            <w:r w:rsidRPr="003E743A">
              <w:rPr>
                <w:rFonts w:ascii="Times New Roman" w:hAnsi="Times New Roman" w:cs="Times New Roman"/>
                <w:sz w:val="20"/>
                <w:szCs w:val="20"/>
              </w:rPr>
              <w:t>Djolo</w:t>
            </w:r>
          </w:p>
        </w:tc>
        <w:tc>
          <w:tcPr>
            <w:tcW w:w="2109" w:type="dxa"/>
            <w:tcBorders>
              <w:top w:val="single" w:sz="4" w:space="0" w:color="000000"/>
              <w:left w:val="single" w:sz="4" w:space="0" w:color="000000"/>
              <w:bottom w:val="single" w:sz="4" w:space="0" w:color="000000"/>
              <w:right w:val="nil"/>
            </w:tcBorders>
            <w:vAlign w:val="center"/>
          </w:tcPr>
          <w:p w:rsidR="007F3DC3" w:rsidRPr="003E743A" w:rsidRDefault="007F3DC3" w:rsidP="00960124">
            <w:pPr>
              <w:spacing w:line="240" w:lineRule="auto"/>
              <w:jc w:val="center"/>
              <w:rPr>
                <w:rFonts w:ascii="Times New Roman" w:hAnsi="Times New Roman" w:cs="Times New Roman"/>
                <w:sz w:val="20"/>
                <w:szCs w:val="20"/>
              </w:rPr>
            </w:pPr>
            <w:r w:rsidRPr="003E743A">
              <w:rPr>
                <w:rFonts w:ascii="Times New Roman" w:hAnsi="Times New Roman" w:cs="Times New Roman"/>
                <w:b/>
                <w:sz w:val="20"/>
                <w:szCs w:val="20"/>
              </w:rPr>
              <w:t>242</w:t>
            </w:r>
          </w:p>
        </w:tc>
        <w:tc>
          <w:tcPr>
            <w:tcW w:w="25" w:type="dxa"/>
            <w:tcBorders>
              <w:top w:val="single" w:sz="4" w:space="0" w:color="000000"/>
              <w:left w:val="nil"/>
              <w:bottom w:val="single" w:sz="4" w:space="0" w:color="000000"/>
              <w:right w:val="single" w:sz="4" w:space="0" w:color="000000"/>
            </w:tcBorders>
            <w:vAlign w:val="center"/>
          </w:tcPr>
          <w:p w:rsidR="007F3DC3" w:rsidRPr="003E743A" w:rsidRDefault="007F3DC3" w:rsidP="00960124">
            <w:pPr>
              <w:spacing w:line="240" w:lineRule="auto"/>
              <w:jc w:val="center"/>
              <w:rPr>
                <w:rFonts w:ascii="Times New Roman" w:hAnsi="Times New Roman" w:cs="Times New Roman"/>
                <w:b/>
                <w:sz w:val="20"/>
                <w:szCs w:val="20"/>
              </w:rPr>
            </w:pPr>
          </w:p>
        </w:tc>
        <w:tc>
          <w:tcPr>
            <w:tcW w:w="3539" w:type="dxa"/>
            <w:gridSpan w:val="2"/>
            <w:tcBorders>
              <w:top w:val="single" w:sz="4" w:space="0" w:color="000000"/>
              <w:left w:val="single" w:sz="4" w:space="0" w:color="000000"/>
              <w:bottom w:val="single" w:sz="4" w:space="0" w:color="000000"/>
              <w:right w:val="nil"/>
            </w:tcBorders>
            <w:vAlign w:val="center"/>
          </w:tcPr>
          <w:p w:rsidR="007F3DC3" w:rsidRPr="003E743A" w:rsidRDefault="007F3DC3" w:rsidP="00960124">
            <w:pPr>
              <w:spacing w:line="240" w:lineRule="auto"/>
              <w:jc w:val="center"/>
              <w:rPr>
                <w:rFonts w:ascii="Times New Roman" w:hAnsi="Times New Roman" w:cs="Times New Roman"/>
                <w:b/>
                <w:sz w:val="20"/>
                <w:szCs w:val="20"/>
              </w:rPr>
            </w:pPr>
            <w:r w:rsidRPr="003E743A">
              <w:rPr>
                <w:rFonts w:ascii="Times New Roman" w:eastAsia="Arial" w:hAnsi="Times New Roman" w:cs="Times New Roman"/>
                <w:b/>
                <w:position w:val="-1"/>
                <w:sz w:val="20"/>
                <w:szCs w:val="20"/>
              </w:rPr>
              <w:t>11</w:t>
            </w:r>
            <w:r w:rsidRPr="003E743A">
              <w:rPr>
                <w:rFonts w:ascii="Times New Roman" w:eastAsia="Arial" w:hAnsi="Times New Roman" w:cs="Times New Roman"/>
                <w:b/>
                <w:spacing w:val="1"/>
                <w:position w:val="-1"/>
                <w:sz w:val="20"/>
                <w:szCs w:val="20"/>
              </w:rPr>
              <w:t>1</w:t>
            </w:r>
            <w:r w:rsidRPr="003E743A">
              <w:rPr>
                <w:rFonts w:ascii="Times New Roman" w:eastAsia="Arial" w:hAnsi="Times New Roman" w:cs="Times New Roman"/>
                <w:b/>
                <w:position w:val="-1"/>
                <w:sz w:val="20"/>
                <w:szCs w:val="20"/>
              </w:rPr>
              <w:t>4</w:t>
            </w:r>
          </w:p>
        </w:tc>
        <w:tc>
          <w:tcPr>
            <w:tcW w:w="20" w:type="dxa"/>
            <w:tcBorders>
              <w:top w:val="single" w:sz="4" w:space="0" w:color="000000"/>
              <w:left w:val="nil"/>
              <w:bottom w:val="single" w:sz="4" w:space="0" w:color="000000"/>
              <w:right w:val="single" w:sz="4" w:space="0" w:color="000000"/>
            </w:tcBorders>
            <w:vAlign w:val="center"/>
          </w:tcPr>
          <w:p w:rsidR="007F3DC3" w:rsidRPr="003E743A" w:rsidRDefault="007F3DC3" w:rsidP="00960124">
            <w:pPr>
              <w:spacing w:line="240" w:lineRule="auto"/>
              <w:ind w:left="331" w:right="-20"/>
              <w:jc w:val="both"/>
              <w:rPr>
                <w:rFonts w:ascii="Times New Roman" w:eastAsia="Arial" w:hAnsi="Times New Roman" w:cs="Times New Roman"/>
                <w:b/>
                <w:sz w:val="20"/>
                <w:szCs w:val="20"/>
              </w:rPr>
            </w:pPr>
          </w:p>
        </w:tc>
      </w:tr>
      <w:tr w:rsidR="007F3DC3" w:rsidRPr="003E743A" w:rsidTr="00960124">
        <w:trPr>
          <w:trHeight w:hRule="exact" w:val="293"/>
        </w:trPr>
        <w:tc>
          <w:tcPr>
            <w:tcW w:w="576" w:type="dxa"/>
            <w:gridSpan w:val="2"/>
            <w:tcBorders>
              <w:top w:val="single" w:sz="4" w:space="0" w:color="000000"/>
              <w:left w:val="single" w:sz="4" w:space="0" w:color="000000"/>
              <w:bottom w:val="single" w:sz="4" w:space="0" w:color="000000"/>
              <w:right w:val="single" w:sz="4" w:space="0" w:color="000000"/>
            </w:tcBorders>
            <w:vAlign w:val="center"/>
          </w:tcPr>
          <w:p w:rsidR="007F3DC3" w:rsidRPr="003E743A" w:rsidRDefault="007F3DC3" w:rsidP="00960124">
            <w:pPr>
              <w:spacing w:line="240" w:lineRule="auto"/>
              <w:jc w:val="center"/>
              <w:rPr>
                <w:rFonts w:ascii="Times New Roman" w:hAnsi="Times New Roman" w:cs="Times New Roman"/>
                <w:b/>
                <w:sz w:val="20"/>
                <w:szCs w:val="20"/>
              </w:rPr>
            </w:pPr>
            <w:r w:rsidRPr="003E743A">
              <w:rPr>
                <w:rFonts w:ascii="Times New Roman" w:hAnsi="Times New Roman" w:cs="Times New Roman"/>
                <w:b/>
                <w:sz w:val="20"/>
                <w:szCs w:val="20"/>
              </w:rPr>
              <w:t>32</w:t>
            </w:r>
          </w:p>
        </w:tc>
        <w:tc>
          <w:tcPr>
            <w:tcW w:w="2403" w:type="dxa"/>
            <w:tcBorders>
              <w:top w:val="single" w:sz="4" w:space="0" w:color="000000"/>
              <w:left w:val="single" w:sz="4" w:space="0" w:color="000000"/>
              <w:bottom w:val="single" w:sz="4" w:space="0" w:color="000000"/>
              <w:right w:val="single" w:sz="4" w:space="0" w:color="000000"/>
            </w:tcBorders>
            <w:vAlign w:val="center"/>
          </w:tcPr>
          <w:p w:rsidR="007F3DC3" w:rsidRPr="003E743A" w:rsidRDefault="007F3DC3" w:rsidP="00960124">
            <w:pPr>
              <w:spacing w:line="240" w:lineRule="auto"/>
              <w:jc w:val="center"/>
              <w:rPr>
                <w:rFonts w:ascii="Times New Roman" w:hAnsi="Times New Roman" w:cs="Times New Roman"/>
                <w:sz w:val="20"/>
                <w:szCs w:val="20"/>
              </w:rPr>
            </w:pPr>
            <w:r w:rsidRPr="003E743A">
              <w:rPr>
                <w:rFonts w:ascii="Times New Roman" w:hAnsi="Times New Roman" w:cs="Times New Roman"/>
                <w:sz w:val="20"/>
                <w:szCs w:val="20"/>
              </w:rPr>
              <w:t>Hafia</w:t>
            </w:r>
          </w:p>
        </w:tc>
        <w:tc>
          <w:tcPr>
            <w:tcW w:w="2109" w:type="dxa"/>
            <w:tcBorders>
              <w:top w:val="single" w:sz="4" w:space="0" w:color="000000"/>
              <w:left w:val="single" w:sz="4" w:space="0" w:color="000000"/>
              <w:bottom w:val="single" w:sz="4" w:space="0" w:color="000000"/>
              <w:right w:val="nil"/>
            </w:tcBorders>
            <w:vAlign w:val="center"/>
          </w:tcPr>
          <w:p w:rsidR="007F3DC3" w:rsidRPr="003E743A" w:rsidRDefault="007F3DC3" w:rsidP="00960124">
            <w:pPr>
              <w:spacing w:line="240" w:lineRule="auto"/>
              <w:jc w:val="center"/>
              <w:rPr>
                <w:rFonts w:ascii="Times New Roman" w:hAnsi="Times New Roman" w:cs="Times New Roman"/>
                <w:sz w:val="20"/>
                <w:szCs w:val="20"/>
              </w:rPr>
            </w:pPr>
            <w:r w:rsidRPr="003E743A">
              <w:rPr>
                <w:rFonts w:ascii="Times New Roman" w:hAnsi="Times New Roman" w:cs="Times New Roman"/>
                <w:b/>
                <w:sz w:val="20"/>
                <w:szCs w:val="20"/>
              </w:rPr>
              <w:t>113</w:t>
            </w:r>
          </w:p>
        </w:tc>
        <w:tc>
          <w:tcPr>
            <w:tcW w:w="25" w:type="dxa"/>
            <w:tcBorders>
              <w:top w:val="single" w:sz="4" w:space="0" w:color="000000"/>
              <w:left w:val="nil"/>
              <w:bottom w:val="single" w:sz="4" w:space="0" w:color="000000"/>
              <w:right w:val="single" w:sz="4" w:space="0" w:color="000000"/>
            </w:tcBorders>
            <w:vAlign w:val="center"/>
          </w:tcPr>
          <w:p w:rsidR="007F3DC3" w:rsidRPr="003E743A" w:rsidRDefault="007F3DC3" w:rsidP="00960124">
            <w:pPr>
              <w:spacing w:line="240" w:lineRule="auto"/>
              <w:jc w:val="center"/>
              <w:rPr>
                <w:rFonts w:ascii="Times New Roman" w:hAnsi="Times New Roman" w:cs="Times New Roman"/>
                <w:b/>
                <w:sz w:val="20"/>
                <w:szCs w:val="20"/>
              </w:rPr>
            </w:pPr>
          </w:p>
        </w:tc>
        <w:tc>
          <w:tcPr>
            <w:tcW w:w="3539" w:type="dxa"/>
            <w:gridSpan w:val="2"/>
            <w:tcBorders>
              <w:top w:val="single" w:sz="4" w:space="0" w:color="000000"/>
              <w:left w:val="single" w:sz="4" w:space="0" w:color="000000"/>
              <w:bottom w:val="single" w:sz="4" w:space="0" w:color="000000"/>
              <w:right w:val="nil"/>
            </w:tcBorders>
            <w:vAlign w:val="center"/>
          </w:tcPr>
          <w:p w:rsidR="007F3DC3" w:rsidRPr="003E743A" w:rsidRDefault="007F3DC3" w:rsidP="00960124">
            <w:pPr>
              <w:spacing w:line="240" w:lineRule="auto"/>
              <w:jc w:val="center"/>
              <w:rPr>
                <w:rFonts w:ascii="Times New Roman" w:hAnsi="Times New Roman" w:cs="Times New Roman"/>
                <w:b/>
                <w:sz w:val="20"/>
                <w:szCs w:val="20"/>
              </w:rPr>
            </w:pPr>
            <w:r w:rsidRPr="003E743A">
              <w:rPr>
                <w:rFonts w:ascii="Times New Roman" w:eastAsia="Arial" w:hAnsi="Times New Roman" w:cs="Times New Roman"/>
                <w:b/>
                <w:sz w:val="20"/>
                <w:szCs w:val="20"/>
              </w:rPr>
              <w:t>81</w:t>
            </w:r>
            <w:r w:rsidRPr="003E743A">
              <w:rPr>
                <w:rFonts w:ascii="Times New Roman" w:eastAsia="Arial" w:hAnsi="Times New Roman" w:cs="Times New Roman"/>
                <w:b/>
                <w:spacing w:val="1"/>
                <w:sz w:val="20"/>
                <w:szCs w:val="20"/>
              </w:rPr>
              <w:t>2</w:t>
            </w:r>
            <w:r w:rsidRPr="003E743A">
              <w:rPr>
                <w:rFonts w:ascii="Times New Roman" w:eastAsia="Arial" w:hAnsi="Times New Roman" w:cs="Times New Roman"/>
                <w:b/>
                <w:sz w:val="20"/>
                <w:szCs w:val="20"/>
              </w:rPr>
              <w:t>4</w:t>
            </w:r>
          </w:p>
        </w:tc>
        <w:tc>
          <w:tcPr>
            <w:tcW w:w="20" w:type="dxa"/>
            <w:tcBorders>
              <w:top w:val="single" w:sz="4" w:space="0" w:color="000000"/>
              <w:left w:val="nil"/>
              <w:bottom w:val="single" w:sz="4" w:space="0" w:color="000000"/>
              <w:right w:val="single" w:sz="4" w:space="0" w:color="000000"/>
            </w:tcBorders>
            <w:vAlign w:val="center"/>
          </w:tcPr>
          <w:p w:rsidR="007F3DC3" w:rsidRPr="003E743A" w:rsidRDefault="007F3DC3" w:rsidP="00960124">
            <w:pPr>
              <w:spacing w:line="240" w:lineRule="auto"/>
              <w:ind w:left="331" w:right="-20"/>
              <w:jc w:val="both"/>
              <w:rPr>
                <w:rFonts w:ascii="Times New Roman" w:eastAsia="Arial" w:hAnsi="Times New Roman" w:cs="Times New Roman"/>
                <w:b/>
                <w:sz w:val="20"/>
                <w:szCs w:val="20"/>
              </w:rPr>
            </w:pPr>
          </w:p>
        </w:tc>
      </w:tr>
      <w:tr w:rsidR="007F3DC3" w:rsidRPr="003E743A" w:rsidTr="00960124">
        <w:trPr>
          <w:trHeight w:hRule="exact" w:val="268"/>
        </w:trPr>
        <w:tc>
          <w:tcPr>
            <w:tcW w:w="576" w:type="dxa"/>
            <w:gridSpan w:val="2"/>
            <w:tcBorders>
              <w:top w:val="single" w:sz="4" w:space="0" w:color="000000"/>
              <w:left w:val="single" w:sz="4" w:space="0" w:color="000000"/>
              <w:bottom w:val="single" w:sz="4" w:space="0" w:color="000000"/>
              <w:right w:val="single" w:sz="4" w:space="0" w:color="000000"/>
            </w:tcBorders>
            <w:vAlign w:val="center"/>
          </w:tcPr>
          <w:p w:rsidR="007F3DC3" w:rsidRPr="003E743A" w:rsidRDefault="007F3DC3" w:rsidP="00960124">
            <w:pPr>
              <w:spacing w:line="240" w:lineRule="auto"/>
              <w:jc w:val="center"/>
              <w:rPr>
                <w:rFonts w:ascii="Times New Roman" w:hAnsi="Times New Roman" w:cs="Times New Roman"/>
                <w:b/>
                <w:sz w:val="20"/>
                <w:szCs w:val="20"/>
              </w:rPr>
            </w:pPr>
            <w:r w:rsidRPr="003E743A">
              <w:rPr>
                <w:rFonts w:ascii="Times New Roman" w:hAnsi="Times New Roman" w:cs="Times New Roman"/>
                <w:b/>
                <w:sz w:val="20"/>
                <w:szCs w:val="20"/>
              </w:rPr>
              <w:t>33</w:t>
            </w:r>
          </w:p>
        </w:tc>
        <w:tc>
          <w:tcPr>
            <w:tcW w:w="2403" w:type="dxa"/>
            <w:tcBorders>
              <w:top w:val="single" w:sz="4" w:space="0" w:color="000000"/>
              <w:left w:val="single" w:sz="4" w:space="0" w:color="000000"/>
              <w:bottom w:val="single" w:sz="4" w:space="0" w:color="000000"/>
              <w:right w:val="single" w:sz="4" w:space="0" w:color="000000"/>
            </w:tcBorders>
            <w:vAlign w:val="center"/>
          </w:tcPr>
          <w:p w:rsidR="007F3DC3" w:rsidRPr="003E743A" w:rsidRDefault="007F3DC3" w:rsidP="00960124">
            <w:pPr>
              <w:spacing w:line="240" w:lineRule="auto"/>
              <w:jc w:val="center"/>
              <w:rPr>
                <w:rFonts w:ascii="Times New Roman" w:hAnsi="Times New Roman" w:cs="Times New Roman"/>
                <w:sz w:val="20"/>
                <w:szCs w:val="20"/>
              </w:rPr>
            </w:pPr>
            <w:r w:rsidRPr="003E743A">
              <w:rPr>
                <w:rFonts w:ascii="Times New Roman" w:hAnsi="Times New Roman" w:cs="Times New Roman"/>
                <w:sz w:val="20"/>
                <w:szCs w:val="20"/>
              </w:rPr>
              <w:t>Bissaquel</w:t>
            </w:r>
          </w:p>
        </w:tc>
        <w:tc>
          <w:tcPr>
            <w:tcW w:w="2109" w:type="dxa"/>
            <w:tcBorders>
              <w:top w:val="single" w:sz="4" w:space="0" w:color="000000"/>
              <w:left w:val="single" w:sz="4" w:space="0" w:color="000000"/>
              <w:bottom w:val="single" w:sz="4" w:space="0" w:color="000000"/>
              <w:right w:val="nil"/>
            </w:tcBorders>
            <w:vAlign w:val="center"/>
          </w:tcPr>
          <w:p w:rsidR="007F3DC3" w:rsidRPr="003E743A" w:rsidRDefault="007F3DC3" w:rsidP="00960124">
            <w:pPr>
              <w:spacing w:line="240" w:lineRule="auto"/>
              <w:jc w:val="center"/>
              <w:rPr>
                <w:rFonts w:ascii="Times New Roman" w:hAnsi="Times New Roman" w:cs="Times New Roman"/>
                <w:sz w:val="20"/>
                <w:szCs w:val="20"/>
              </w:rPr>
            </w:pPr>
            <w:r w:rsidRPr="003E743A">
              <w:rPr>
                <w:rFonts w:ascii="Times New Roman" w:hAnsi="Times New Roman" w:cs="Times New Roman"/>
                <w:b/>
                <w:sz w:val="20"/>
                <w:szCs w:val="20"/>
              </w:rPr>
              <w:t>33</w:t>
            </w:r>
          </w:p>
        </w:tc>
        <w:tc>
          <w:tcPr>
            <w:tcW w:w="25" w:type="dxa"/>
            <w:tcBorders>
              <w:top w:val="single" w:sz="4" w:space="0" w:color="000000"/>
              <w:left w:val="nil"/>
              <w:bottom w:val="single" w:sz="4" w:space="0" w:color="000000"/>
              <w:right w:val="single" w:sz="4" w:space="0" w:color="000000"/>
            </w:tcBorders>
            <w:vAlign w:val="center"/>
          </w:tcPr>
          <w:p w:rsidR="007F3DC3" w:rsidRPr="003E743A" w:rsidRDefault="007F3DC3" w:rsidP="00960124">
            <w:pPr>
              <w:spacing w:line="240" w:lineRule="auto"/>
              <w:jc w:val="center"/>
              <w:rPr>
                <w:rFonts w:ascii="Times New Roman" w:hAnsi="Times New Roman" w:cs="Times New Roman"/>
                <w:b/>
                <w:sz w:val="20"/>
                <w:szCs w:val="20"/>
              </w:rPr>
            </w:pPr>
          </w:p>
        </w:tc>
        <w:tc>
          <w:tcPr>
            <w:tcW w:w="3539" w:type="dxa"/>
            <w:gridSpan w:val="2"/>
            <w:tcBorders>
              <w:top w:val="single" w:sz="4" w:space="0" w:color="000000"/>
              <w:left w:val="single" w:sz="4" w:space="0" w:color="000000"/>
              <w:bottom w:val="single" w:sz="4" w:space="0" w:color="000000"/>
              <w:right w:val="nil"/>
            </w:tcBorders>
            <w:vAlign w:val="center"/>
          </w:tcPr>
          <w:p w:rsidR="007F3DC3" w:rsidRPr="003E743A" w:rsidRDefault="007F3DC3" w:rsidP="00960124">
            <w:pPr>
              <w:spacing w:line="240" w:lineRule="auto"/>
              <w:jc w:val="center"/>
              <w:rPr>
                <w:rFonts w:ascii="Times New Roman" w:hAnsi="Times New Roman" w:cs="Times New Roman"/>
                <w:b/>
                <w:sz w:val="20"/>
                <w:szCs w:val="20"/>
              </w:rPr>
            </w:pPr>
            <w:r w:rsidRPr="003E743A">
              <w:rPr>
                <w:rFonts w:ascii="Times New Roman" w:eastAsia="Arial" w:hAnsi="Times New Roman" w:cs="Times New Roman"/>
                <w:b/>
                <w:position w:val="-1"/>
                <w:sz w:val="20"/>
                <w:szCs w:val="20"/>
              </w:rPr>
              <w:t>850</w:t>
            </w:r>
          </w:p>
        </w:tc>
        <w:tc>
          <w:tcPr>
            <w:tcW w:w="20" w:type="dxa"/>
            <w:tcBorders>
              <w:top w:val="single" w:sz="4" w:space="0" w:color="000000"/>
              <w:left w:val="nil"/>
              <w:bottom w:val="single" w:sz="4" w:space="0" w:color="000000"/>
              <w:right w:val="single" w:sz="4" w:space="0" w:color="000000"/>
            </w:tcBorders>
            <w:vAlign w:val="center"/>
          </w:tcPr>
          <w:p w:rsidR="007F3DC3" w:rsidRPr="003E743A" w:rsidRDefault="007F3DC3" w:rsidP="00960124">
            <w:pPr>
              <w:spacing w:line="240" w:lineRule="auto"/>
              <w:ind w:left="481" w:right="-20"/>
              <w:jc w:val="both"/>
              <w:rPr>
                <w:rFonts w:ascii="Times New Roman" w:eastAsia="Arial" w:hAnsi="Times New Roman" w:cs="Times New Roman"/>
                <w:b/>
                <w:sz w:val="20"/>
                <w:szCs w:val="20"/>
              </w:rPr>
            </w:pPr>
          </w:p>
        </w:tc>
      </w:tr>
      <w:tr w:rsidR="007F3DC3" w:rsidRPr="003E743A" w:rsidTr="00960124">
        <w:trPr>
          <w:trHeight w:hRule="exact" w:val="274"/>
        </w:trPr>
        <w:tc>
          <w:tcPr>
            <w:tcW w:w="576" w:type="dxa"/>
            <w:gridSpan w:val="2"/>
            <w:tcBorders>
              <w:top w:val="single" w:sz="4" w:space="0" w:color="000000"/>
              <w:left w:val="single" w:sz="4" w:space="0" w:color="000000"/>
              <w:bottom w:val="single" w:sz="4" w:space="0" w:color="000000"/>
              <w:right w:val="single" w:sz="4" w:space="0" w:color="000000"/>
            </w:tcBorders>
            <w:vAlign w:val="center"/>
          </w:tcPr>
          <w:p w:rsidR="007F3DC3" w:rsidRPr="003E743A" w:rsidRDefault="007F3DC3" w:rsidP="00960124">
            <w:pPr>
              <w:spacing w:line="240" w:lineRule="auto"/>
              <w:jc w:val="center"/>
              <w:rPr>
                <w:rFonts w:ascii="Times New Roman" w:hAnsi="Times New Roman" w:cs="Times New Roman"/>
                <w:b/>
                <w:sz w:val="20"/>
                <w:szCs w:val="20"/>
              </w:rPr>
            </w:pPr>
            <w:r w:rsidRPr="003E743A">
              <w:rPr>
                <w:rFonts w:ascii="Times New Roman" w:hAnsi="Times New Roman" w:cs="Times New Roman"/>
                <w:b/>
                <w:sz w:val="20"/>
                <w:szCs w:val="20"/>
              </w:rPr>
              <w:t>34</w:t>
            </w:r>
          </w:p>
        </w:tc>
        <w:tc>
          <w:tcPr>
            <w:tcW w:w="2403" w:type="dxa"/>
            <w:tcBorders>
              <w:top w:val="single" w:sz="4" w:space="0" w:color="000000"/>
              <w:left w:val="single" w:sz="4" w:space="0" w:color="000000"/>
              <w:bottom w:val="single" w:sz="4" w:space="0" w:color="000000"/>
              <w:right w:val="single" w:sz="4" w:space="0" w:color="000000"/>
            </w:tcBorders>
            <w:vAlign w:val="center"/>
          </w:tcPr>
          <w:p w:rsidR="007F3DC3" w:rsidRPr="003E743A" w:rsidRDefault="007F3DC3" w:rsidP="00960124">
            <w:pPr>
              <w:spacing w:line="240" w:lineRule="auto"/>
              <w:jc w:val="center"/>
              <w:rPr>
                <w:rFonts w:ascii="Times New Roman" w:hAnsi="Times New Roman" w:cs="Times New Roman"/>
                <w:sz w:val="20"/>
                <w:szCs w:val="20"/>
              </w:rPr>
            </w:pPr>
            <w:r w:rsidRPr="003E743A">
              <w:rPr>
                <w:rFonts w:ascii="Times New Roman" w:hAnsi="Times New Roman" w:cs="Times New Roman"/>
                <w:sz w:val="20"/>
                <w:szCs w:val="20"/>
              </w:rPr>
              <w:t>Enterramento</w:t>
            </w:r>
          </w:p>
        </w:tc>
        <w:tc>
          <w:tcPr>
            <w:tcW w:w="2109" w:type="dxa"/>
            <w:tcBorders>
              <w:top w:val="single" w:sz="4" w:space="0" w:color="000000"/>
              <w:left w:val="single" w:sz="4" w:space="0" w:color="000000"/>
              <w:bottom w:val="single" w:sz="4" w:space="0" w:color="000000"/>
              <w:right w:val="nil"/>
            </w:tcBorders>
            <w:vAlign w:val="center"/>
          </w:tcPr>
          <w:p w:rsidR="007F3DC3" w:rsidRPr="003E743A" w:rsidRDefault="007F3DC3" w:rsidP="00960124">
            <w:pPr>
              <w:spacing w:line="240" w:lineRule="auto"/>
              <w:jc w:val="center"/>
              <w:rPr>
                <w:rFonts w:ascii="Times New Roman" w:hAnsi="Times New Roman" w:cs="Times New Roman"/>
                <w:sz w:val="20"/>
                <w:szCs w:val="20"/>
              </w:rPr>
            </w:pPr>
            <w:r w:rsidRPr="003E743A">
              <w:rPr>
                <w:rFonts w:ascii="Times New Roman" w:hAnsi="Times New Roman" w:cs="Times New Roman"/>
                <w:b/>
                <w:sz w:val="20"/>
                <w:szCs w:val="20"/>
              </w:rPr>
              <w:t>135</w:t>
            </w:r>
          </w:p>
        </w:tc>
        <w:tc>
          <w:tcPr>
            <w:tcW w:w="25" w:type="dxa"/>
            <w:tcBorders>
              <w:top w:val="single" w:sz="4" w:space="0" w:color="000000"/>
              <w:left w:val="nil"/>
              <w:bottom w:val="single" w:sz="4" w:space="0" w:color="000000"/>
              <w:right w:val="single" w:sz="4" w:space="0" w:color="000000"/>
            </w:tcBorders>
            <w:vAlign w:val="center"/>
          </w:tcPr>
          <w:p w:rsidR="007F3DC3" w:rsidRPr="003E743A" w:rsidRDefault="007F3DC3" w:rsidP="00960124">
            <w:pPr>
              <w:spacing w:line="240" w:lineRule="auto"/>
              <w:jc w:val="center"/>
              <w:rPr>
                <w:rFonts w:ascii="Times New Roman" w:hAnsi="Times New Roman" w:cs="Times New Roman"/>
                <w:b/>
                <w:sz w:val="20"/>
                <w:szCs w:val="20"/>
              </w:rPr>
            </w:pPr>
          </w:p>
        </w:tc>
        <w:tc>
          <w:tcPr>
            <w:tcW w:w="3539" w:type="dxa"/>
            <w:gridSpan w:val="2"/>
            <w:tcBorders>
              <w:top w:val="single" w:sz="4" w:space="0" w:color="000000"/>
              <w:left w:val="single" w:sz="4" w:space="0" w:color="000000"/>
              <w:bottom w:val="single" w:sz="4" w:space="0" w:color="000000"/>
              <w:right w:val="nil"/>
            </w:tcBorders>
            <w:vAlign w:val="center"/>
          </w:tcPr>
          <w:p w:rsidR="007F3DC3" w:rsidRPr="003E743A" w:rsidRDefault="007F3DC3" w:rsidP="00960124">
            <w:pPr>
              <w:spacing w:line="240" w:lineRule="auto"/>
              <w:jc w:val="center"/>
              <w:rPr>
                <w:rFonts w:ascii="Times New Roman" w:hAnsi="Times New Roman" w:cs="Times New Roman"/>
                <w:b/>
                <w:sz w:val="20"/>
                <w:szCs w:val="20"/>
              </w:rPr>
            </w:pPr>
            <w:r w:rsidRPr="003E743A">
              <w:rPr>
                <w:rFonts w:ascii="Times New Roman" w:eastAsia="Arial" w:hAnsi="Times New Roman" w:cs="Times New Roman"/>
                <w:b/>
                <w:sz w:val="20"/>
                <w:szCs w:val="20"/>
              </w:rPr>
              <w:t>22</w:t>
            </w:r>
            <w:r w:rsidRPr="003E743A">
              <w:rPr>
                <w:rFonts w:ascii="Times New Roman" w:eastAsia="Arial" w:hAnsi="Times New Roman" w:cs="Times New Roman"/>
                <w:b/>
                <w:spacing w:val="1"/>
                <w:sz w:val="20"/>
                <w:szCs w:val="20"/>
              </w:rPr>
              <w:t>0</w:t>
            </w:r>
            <w:r w:rsidRPr="003E743A">
              <w:rPr>
                <w:rFonts w:ascii="Times New Roman" w:eastAsia="Arial" w:hAnsi="Times New Roman" w:cs="Times New Roman"/>
                <w:b/>
                <w:sz w:val="20"/>
                <w:szCs w:val="20"/>
              </w:rPr>
              <w:t>0</w:t>
            </w:r>
          </w:p>
        </w:tc>
        <w:tc>
          <w:tcPr>
            <w:tcW w:w="20" w:type="dxa"/>
            <w:tcBorders>
              <w:top w:val="single" w:sz="4" w:space="0" w:color="000000"/>
              <w:left w:val="nil"/>
              <w:bottom w:val="single" w:sz="4" w:space="0" w:color="000000"/>
              <w:right w:val="single" w:sz="4" w:space="0" w:color="000000"/>
            </w:tcBorders>
            <w:vAlign w:val="center"/>
          </w:tcPr>
          <w:p w:rsidR="007F3DC3" w:rsidRPr="003E743A" w:rsidRDefault="007F3DC3" w:rsidP="00960124">
            <w:pPr>
              <w:spacing w:line="240" w:lineRule="auto"/>
              <w:ind w:left="331" w:right="-20"/>
              <w:jc w:val="both"/>
              <w:rPr>
                <w:rFonts w:ascii="Times New Roman" w:eastAsia="Arial" w:hAnsi="Times New Roman" w:cs="Times New Roman"/>
                <w:b/>
                <w:sz w:val="20"/>
                <w:szCs w:val="20"/>
              </w:rPr>
            </w:pPr>
          </w:p>
        </w:tc>
      </w:tr>
      <w:tr w:rsidR="007F3DC3" w:rsidRPr="003E743A" w:rsidTr="00960124">
        <w:trPr>
          <w:trHeight w:hRule="exact" w:val="440"/>
        </w:trPr>
        <w:tc>
          <w:tcPr>
            <w:tcW w:w="576" w:type="dxa"/>
            <w:gridSpan w:val="2"/>
            <w:tcBorders>
              <w:top w:val="single" w:sz="4" w:space="0" w:color="000000"/>
              <w:left w:val="single" w:sz="4" w:space="0" w:color="000000"/>
              <w:bottom w:val="single" w:sz="4" w:space="0" w:color="000000"/>
              <w:right w:val="single" w:sz="4" w:space="0" w:color="000000"/>
            </w:tcBorders>
            <w:vAlign w:val="center"/>
          </w:tcPr>
          <w:p w:rsidR="007F3DC3" w:rsidRPr="003E743A" w:rsidRDefault="007F3DC3" w:rsidP="00960124">
            <w:pPr>
              <w:spacing w:line="240" w:lineRule="auto"/>
              <w:jc w:val="center"/>
              <w:rPr>
                <w:rFonts w:ascii="Times New Roman" w:hAnsi="Times New Roman" w:cs="Times New Roman"/>
                <w:b/>
                <w:sz w:val="20"/>
                <w:szCs w:val="20"/>
              </w:rPr>
            </w:pPr>
            <w:r w:rsidRPr="003E743A">
              <w:rPr>
                <w:rFonts w:ascii="Times New Roman" w:hAnsi="Times New Roman" w:cs="Times New Roman"/>
                <w:b/>
                <w:sz w:val="20"/>
                <w:szCs w:val="20"/>
              </w:rPr>
              <w:t>35</w:t>
            </w:r>
          </w:p>
        </w:tc>
        <w:tc>
          <w:tcPr>
            <w:tcW w:w="2403" w:type="dxa"/>
            <w:tcBorders>
              <w:top w:val="single" w:sz="4" w:space="0" w:color="000000"/>
              <w:left w:val="single" w:sz="4" w:space="0" w:color="000000"/>
              <w:bottom w:val="single" w:sz="4" w:space="0" w:color="000000"/>
              <w:right w:val="single" w:sz="4" w:space="0" w:color="000000"/>
            </w:tcBorders>
            <w:vAlign w:val="center"/>
          </w:tcPr>
          <w:p w:rsidR="007F3DC3" w:rsidRPr="003E743A" w:rsidRDefault="007F3DC3" w:rsidP="00960124">
            <w:pPr>
              <w:spacing w:line="240" w:lineRule="auto"/>
              <w:jc w:val="center"/>
              <w:rPr>
                <w:rFonts w:ascii="Times New Roman" w:hAnsi="Times New Roman" w:cs="Times New Roman"/>
                <w:sz w:val="20"/>
                <w:szCs w:val="20"/>
              </w:rPr>
            </w:pPr>
            <w:r w:rsidRPr="003E743A">
              <w:rPr>
                <w:rFonts w:ascii="Times New Roman" w:hAnsi="Times New Roman" w:cs="Times New Roman"/>
                <w:sz w:val="20"/>
                <w:szCs w:val="20"/>
              </w:rPr>
              <w:t>Amedalai</w:t>
            </w:r>
          </w:p>
        </w:tc>
        <w:tc>
          <w:tcPr>
            <w:tcW w:w="2109" w:type="dxa"/>
            <w:tcBorders>
              <w:top w:val="single" w:sz="4" w:space="0" w:color="000000"/>
              <w:left w:val="single" w:sz="4" w:space="0" w:color="000000"/>
              <w:bottom w:val="single" w:sz="4" w:space="0" w:color="000000"/>
              <w:right w:val="nil"/>
            </w:tcBorders>
            <w:vAlign w:val="center"/>
          </w:tcPr>
          <w:p w:rsidR="007F3DC3" w:rsidRPr="003E743A" w:rsidRDefault="007F3DC3" w:rsidP="00960124">
            <w:pPr>
              <w:spacing w:line="240" w:lineRule="auto"/>
              <w:jc w:val="center"/>
              <w:rPr>
                <w:rFonts w:ascii="Times New Roman" w:hAnsi="Times New Roman" w:cs="Times New Roman"/>
                <w:sz w:val="20"/>
                <w:szCs w:val="20"/>
              </w:rPr>
            </w:pPr>
            <w:r w:rsidRPr="003E743A">
              <w:rPr>
                <w:rFonts w:ascii="Times New Roman" w:hAnsi="Times New Roman" w:cs="Times New Roman"/>
                <w:b/>
                <w:sz w:val="20"/>
                <w:szCs w:val="20"/>
              </w:rPr>
              <w:t>15</w:t>
            </w:r>
          </w:p>
        </w:tc>
        <w:tc>
          <w:tcPr>
            <w:tcW w:w="25" w:type="dxa"/>
            <w:tcBorders>
              <w:top w:val="single" w:sz="4" w:space="0" w:color="000000"/>
              <w:left w:val="nil"/>
              <w:bottom w:val="single" w:sz="4" w:space="0" w:color="000000"/>
              <w:right w:val="single" w:sz="4" w:space="0" w:color="000000"/>
            </w:tcBorders>
            <w:vAlign w:val="center"/>
          </w:tcPr>
          <w:p w:rsidR="007F3DC3" w:rsidRPr="003E743A" w:rsidRDefault="007F3DC3" w:rsidP="00960124">
            <w:pPr>
              <w:spacing w:line="240" w:lineRule="auto"/>
              <w:jc w:val="center"/>
              <w:rPr>
                <w:rFonts w:ascii="Times New Roman" w:hAnsi="Times New Roman" w:cs="Times New Roman"/>
                <w:b/>
                <w:sz w:val="20"/>
                <w:szCs w:val="20"/>
              </w:rPr>
            </w:pPr>
          </w:p>
        </w:tc>
        <w:tc>
          <w:tcPr>
            <w:tcW w:w="3539" w:type="dxa"/>
            <w:gridSpan w:val="2"/>
            <w:tcBorders>
              <w:top w:val="single" w:sz="4" w:space="0" w:color="000000"/>
              <w:left w:val="single" w:sz="4" w:space="0" w:color="000000"/>
              <w:bottom w:val="single" w:sz="4" w:space="0" w:color="000000"/>
              <w:right w:val="nil"/>
            </w:tcBorders>
            <w:vAlign w:val="center"/>
          </w:tcPr>
          <w:p w:rsidR="007F3DC3" w:rsidRPr="003E743A" w:rsidRDefault="007F3DC3" w:rsidP="00960124">
            <w:pPr>
              <w:spacing w:line="240" w:lineRule="auto"/>
              <w:jc w:val="center"/>
              <w:rPr>
                <w:rFonts w:ascii="Times New Roman" w:hAnsi="Times New Roman" w:cs="Times New Roman"/>
                <w:b/>
                <w:sz w:val="20"/>
                <w:szCs w:val="20"/>
              </w:rPr>
            </w:pPr>
            <w:r w:rsidRPr="003E743A">
              <w:rPr>
                <w:rFonts w:ascii="Times New Roman" w:eastAsia="Arial" w:hAnsi="Times New Roman" w:cs="Times New Roman"/>
                <w:b/>
                <w:position w:val="-1"/>
                <w:sz w:val="20"/>
                <w:szCs w:val="20"/>
              </w:rPr>
              <w:t>25</w:t>
            </w:r>
            <w:r w:rsidRPr="003E743A">
              <w:rPr>
                <w:rFonts w:ascii="Times New Roman" w:eastAsia="Arial" w:hAnsi="Times New Roman" w:cs="Times New Roman"/>
                <w:b/>
                <w:spacing w:val="1"/>
                <w:position w:val="-1"/>
                <w:sz w:val="20"/>
                <w:szCs w:val="20"/>
              </w:rPr>
              <w:t>6</w:t>
            </w:r>
            <w:r w:rsidRPr="003E743A">
              <w:rPr>
                <w:rFonts w:ascii="Times New Roman" w:eastAsia="Arial" w:hAnsi="Times New Roman" w:cs="Times New Roman"/>
                <w:b/>
                <w:position w:val="-1"/>
                <w:sz w:val="20"/>
                <w:szCs w:val="20"/>
              </w:rPr>
              <w:t>4</w:t>
            </w:r>
          </w:p>
        </w:tc>
        <w:tc>
          <w:tcPr>
            <w:tcW w:w="20" w:type="dxa"/>
            <w:tcBorders>
              <w:top w:val="single" w:sz="4" w:space="0" w:color="000000"/>
              <w:left w:val="nil"/>
              <w:bottom w:val="single" w:sz="4" w:space="0" w:color="000000"/>
              <w:right w:val="single" w:sz="4" w:space="0" w:color="000000"/>
            </w:tcBorders>
            <w:vAlign w:val="center"/>
          </w:tcPr>
          <w:p w:rsidR="007F3DC3" w:rsidRPr="003E743A" w:rsidRDefault="007F3DC3" w:rsidP="00960124">
            <w:pPr>
              <w:spacing w:line="240" w:lineRule="auto"/>
              <w:ind w:left="331" w:right="-20"/>
              <w:jc w:val="both"/>
              <w:rPr>
                <w:rFonts w:ascii="Times New Roman" w:eastAsia="Arial" w:hAnsi="Times New Roman" w:cs="Times New Roman"/>
                <w:b/>
                <w:sz w:val="20"/>
                <w:szCs w:val="20"/>
              </w:rPr>
            </w:pPr>
          </w:p>
        </w:tc>
      </w:tr>
      <w:tr w:rsidR="007F3DC3" w:rsidRPr="003E743A" w:rsidTr="00960124">
        <w:trPr>
          <w:trHeight w:hRule="exact" w:val="294"/>
        </w:trPr>
        <w:tc>
          <w:tcPr>
            <w:tcW w:w="576" w:type="dxa"/>
            <w:gridSpan w:val="2"/>
            <w:tcBorders>
              <w:top w:val="single" w:sz="4" w:space="0" w:color="000000"/>
              <w:left w:val="single" w:sz="4" w:space="0" w:color="000000"/>
              <w:bottom w:val="single" w:sz="4" w:space="0" w:color="000000"/>
              <w:right w:val="single" w:sz="4" w:space="0" w:color="000000"/>
            </w:tcBorders>
            <w:vAlign w:val="center"/>
          </w:tcPr>
          <w:p w:rsidR="007F3DC3" w:rsidRPr="003E743A" w:rsidRDefault="007F3DC3" w:rsidP="00960124">
            <w:pPr>
              <w:spacing w:line="240" w:lineRule="auto"/>
              <w:jc w:val="center"/>
              <w:rPr>
                <w:rFonts w:ascii="Times New Roman" w:hAnsi="Times New Roman" w:cs="Times New Roman"/>
                <w:b/>
                <w:sz w:val="20"/>
                <w:szCs w:val="20"/>
              </w:rPr>
            </w:pPr>
            <w:r w:rsidRPr="003E743A">
              <w:rPr>
                <w:rFonts w:ascii="Times New Roman" w:hAnsi="Times New Roman" w:cs="Times New Roman"/>
                <w:b/>
                <w:sz w:val="20"/>
                <w:szCs w:val="20"/>
              </w:rPr>
              <w:t>36</w:t>
            </w:r>
          </w:p>
        </w:tc>
        <w:tc>
          <w:tcPr>
            <w:tcW w:w="2403" w:type="dxa"/>
            <w:tcBorders>
              <w:top w:val="single" w:sz="4" w:space="0" w:color="000000"/>
              <w:left w:val="single" w:sz="4" w:space="0" w:color="000000"/>
              <w:bottom w:val="single" w:sz="4" w:space="0" w:color="000000"/>
              <w:right w:val="single" w:sz="4" w:space="0" w:color="000000"/>
            </w:tcBorders>
            <w:vAlign w:val="center"/>
          </w:tcPr>
          <w:p w:rsidR="007F3DC3" w:rsidRPr="003E743A" w:rsidRDefault="007F3DC3" w:rsidP="00960124">
            <w:pPr>
              <w:spacing w:line="240" w:lineRule="auto"/>
              <w:jc w:val="center"/>
              <w:rPr>
                <w:rFonts w:ascii="Times New Roman" w:hAnsi="Times New Roman" w:cs="Times New Roman"/>
                <w:sz w:val="20"/>
                <w:szCs w:val="20"/>
              </w:rPr>
            </w:pPr>
            <w:r w:rsidRPr="003E743A">
              <w:rPr>
                <w:rFonts w:ascii="Times New Roman" w:hAnsi="Times New Roman" w:cs="Times New Roman"/>
                <w:sz w:val="20"/>
                <w:szCs w:val="20"/>
              </w:rPr>
              <w:t>Embantcha</w:t>
            </w:r>
          </w:p>
        </w:tc>
        <w:tc>
          <w:tcPr>
            <w:tcW w:w="2109" w:type="dxa"/>
            <w:tcBorders>
              <w:top w:val="single" w:sz="4" w:space="0" w:color="000000"/>
              <w:left w:val="single" w:sz="4" w:space="0" w:color="000000"/>
              <w:bottom w:val="single" w:sz="4" w:space="0" w:color="000000"/>
              <w:right w:val="nil"/>
            </w:tcBorders>
            <w:vAlign w:val="center"/>
          </w:tcPr>
          <w:p w:rsidR="007F3DC3" w:rsidRPr="003E743A" w:rsidRDefault="007F3DC3" w:rsidP="00960124">
            <w:pPr>
              <w:spacing w:line="240" w:lineRule="auto"/>
              <w:jc w:val="center"/>
              <w:rPr>
                <w:rFonts w:ascii="Times New Roman" w:hAnsi="Times New Roman" w:cs="Times New Roman"/>
                <w:sz w:val="20"/>
                <w:szCs w:val="20"/>
              </w:rPr>
            </w:pPr>
            <w:r w:rsidRPr="003E743A">
              <w:rPr>
                <w:rFonts w:ascii="Times New Roman" w:hAnsi="Times New Roman" w:cs="Times New Roman"/>
                <w:b/>
                <w:sz w:val="20"/>
                <w:szCs w:val="20"/>
              </w:rPr>
              <w:t>62</w:t>
            </w:r>
          </w:p>
        </w:tc>
        <w:tc>
          <w:tcPr>
            <w:tcW w:w="25" w:type="dxa"/>
            <w:tcBorders>
              <w:top w:val="single" w:sz="4" w:space="0" w:color="000000"/>
              <w:left w:val="nil"/>
              <w:bottom w:val="single" w:sz="4" w:space="0" w:color="000000"/>
              <w:right w:val="single" w:sz="4" w:space="0" w:color="000000"/>
            </w:tcBorders>
            <w:vAlign w:val="center"/>
          </w:tcPr>
          <w:p w:rsidR="007F3DC3" w:rsidRPr="003E743A" w:rsidRDefault="007F3DC3" w:rsidP="00960124">
            <w:pPr>
              <w:spacing w:line="240" w:lineRule="auto"/>
              <w:jc w:val="center"/>
              <w:rPr>
                <w:rFonts w:ascii="Times New Roman" w:hAnsi="Times New Roman" w:cs="Times New Roman"/>
                <w:b/>
                <w:sz w:val="20"/>
                <w:szCs w:val="20"/>
              </w:rPr>
            </w:pPr>
          </w:p>
        </w:tc>
        <w:tc>
          <w:tcPr>
            <w:tcW w:w="3539" w:type="dxa"/>
            <w:gridSpan w:val="2"/>
            <w:tcBorders>
              <w:top w:val="single" w:sz="4" w:space="0" w:color="000000"/>
              <w:left w:val="single" w:sz="4" w:space="0" w:color="000000"/>
              <w:bottom w:val="single" w:sz="4" w:space="0" w:color="000000"/>
              <w:right w:val="nil"/>
            </w:tcBorders>
            <w:vAlign w:val="center"/>
          </w:tcPr>
          <w:p w:rsidR="007F3DC3" w:rsidRPr="003E743A" w:rsidRDefault="007F3DC3" w:rsidP="00960124">
            <w:pPr>
              <w:spacing w:line="240" w:lineRule="auto"/>
              <w:jc w:val="center"/>
              <w:rPr>
                <w:rFonts w:ascii="Times New Roman" w:hAnsi="Times New Roman" w:cs="Times New Roman"/>
                <w:b/>
                <w:sz w:val="20"/>
                <w:szCs w:val="20"/>
              </w:rPr>
            </w:pPr>
            <w:r w:rsidRPr="003E743A">
              <w:rPr>
                <w:rFonts w:ascii="Times New Roman" w:eastAsia="Arial" w:hAnsi="Times New Roman" w:cs="Times New Roman"/>
                <w:b/>
                <w:sz w:val="20"/>
                <w:szCs w:val="20"/>
              </w:rPr>
              <w:t>11</w:t>
            </w:r>
            <w:r w:rsidRPr="003E743A">
              <w:rPr>
                <w:rFonts w:ascii="Times New Roman" w:eastAsia="Arial" w:hAnsi="Times New Roman" w:cs="Times New Roman"/>
                <w:b/>
                <w:spacing w:val="1"/>
                <w:sz w:val="20"/>
                <w:szCs w:val="20"/>
              </w:rPr>
              <w:t>78</w:t>
            </w:r>
            <w:r w:rsidRPr="003E743A">
              <w:rPr>
                <w:rFonts w:ascii="Times New Roman" w:eastAsia="Arial" w:hAnsi="Times New Roman" w:cs="Times New Roman"/>
                <w:b/>
                <w:sz w:val="20"/>
                <w:szCs w:val="20"/>
              </w:rPr>
              <w:t>7</w:t>
            </w:r>
          </w:p>
        </w:tc>
        <w:tc>
          <w:tcPr>
            <w:tcW w:w="20" w:type="dxa"/>
            <w:tcBorders>
              <w:top w:val="single" w:sz="4" w:space="0" w:color="000000"/>
              <w:left w:val="nil"/>
              <w:bottom w:val="single" w:sz="4" w:space="0" w:color="000000"/>
              <w:right w:val="single" w:sz="4" w:space="0" w:color="000000"/>
            </w:tcBorders>
            <w:vAlign w:val="center"/>
          </w:tcPr>
          <w:p w:rsidR="007F3DC3" w:rsidRPr="003E743A" w:rsidRDefault="007F3DC3" w:rsidP="00960124">
            <w:pPr>
              <w:spacing w:line="240" w:lineRule="auto"/>
              <w:ind w:left="231" w:right="-20"/>
              <w:jc w:val="both"/>
              <w:rPr>
                <w:rFonts w:ascii="Times New Roman" w:eastAsia="Arial" w:hAnsi="Times New Roman" w:cs="Times New Roman"/>
                <w:b/>
                <w:sz w:val="20"/>
                <w:szCs w:val="20"/>
              </w:rPr>
            </w:pPr>
          </w:p>
        </w:tc>
      </w:tr>
      <w:tr w:rsidR="007F3DC3" w:rsidRPr="003E743A" w:rsidTr="00960124">
        <w:trPr>
          <w:trHeight w:hRule="exact" w:val="294"/>
        </w:trPr>
        <w:tc>
          <w:tcPr>
            <w:tcW w:w="576" w:type="dxa"/>
            <w:gridSpan w:val="2"/>
            <w:tcBorders>
              <w:top w:val="single" w:sz="4" w:space="0" w:color="000000"/>
              <w:left w:val="single" w:sz="4" w:space="0" w:color="000000"/>
              <w:bottom w:val="single" w:sz="4" w:space="0" w:color="000000"/>
              <w:right w:val="single" w:sz="4" w:space="0" w:color="000000"/>
            </w:tcBorders>
            <w:vAlign w:val="center"/>
          </w:tcPr>
          <w:p w:rsidR="007F3DC3" w:rsidRPr="003E743A" w:rsidRDefault="007F3DC3" w:rsidP="00960124">
            <w:pPr>
              <w:spacing w:line="240" w:lineRule="auto"/>
              <w:jc w:val="center"/>
              <w:rPr>
                <w:rFonts w:ascii="Times New Roman" w:hAnsi="Times New Roman" w:cs="Times New Roman"/>
                <w:b/>
                <w:sz w:val="20"/>
                <w:szCs w:val="20"/>
              </w:rPr>
            </w:pPr>
            <w:r w:rsidRPr="003E743A">
              <w:rPr>
                <w:rFonts w:ascii="Times New Roman" w:hAnsi="Times New Roman" w:cs="Times New Roman"/>
                <w:b/>
                <w:sz w:val="20"/>
                <w:szCs w:val="20"/>
              </w:rPr>
              <w:t>37</w:t>
            </w:r>
          </w:p>
        </w:tc>
        <w:tc>
          <w:tcPr>
            <w:tcW w:w="2403" w:type="dxa"/>
            <w:tcBorders>
              <w:top w:val="single" w:sz="4" w:space="0" w:color="000000"/>
              <w:left w:val="single" w:sz="4" w:space="0" w:color="000000"/>
              <w:bottom w:val="single" w:sz="4" w:space="0" w:color="000000"/>
              <w:right w:val="single" w:sz="4" w:space="0" w:color="000000"/>
            </w:tcBorders>
            <w:vAlign w:val="center"/>
          </w:tcPr>
          <w:p w:rsidR="007F3DC3" w:rsidRPr="003E743A" w:rsidRDefault="007F3DC3" w:rsidP="00960124">
            <w:pPr>
              <w:spacing w:line="240" w:lineRule="auto"/>
              <w:jc w:val="center"/>
              <w:rPr>
                <w:rFonts w:ascii="Times New Roman" w:hAnsi="Times New Roman" w:cs="Times New Roman"/>
                <w:sz w:val="20"/>
                <w:szCs w:val="20"/>
              </w:rPr>
            </w:pPr>
            <w:r w:rsidRPr="003E743A">
              <w:rPr>
                <w:rFonts w:ascii="Times New Roman" w:hAnsi="Times New Roman" w:cs="Times New Roman"/>
                <w:sz w:val="20"/>
                <w:szCs w:val="20"/>
              </w:rPr>
              <w:t>Flefe</w:t>
            </w:r>
          </w:p>
        </w:tc>
        <w:tc>
          <w:tcPr>
            <w:tcW w:w="2109" w:type="dxa"/>
            <w:tcBorders>
              <w:top w:val="single" w:sz="4" w:space="0" w:color="000000"/>
              <w:left w:val="single" w:sz="4" w:space="0" w:color="000000"/>
              <w:bottom w:val="single" w:sz="4" w:space="0" w:color="000000"/>
              <w:right w:val="nil"/>
            </w:tcBorders>
            <w:vAlign w:val="center"/>
          </w:tcPr>
          <w:p w:rsidR="007F3DC3" w:rsidRPr="003E743A" w:rsidRDefault="007F3DC3" w:rsidP="00960124">
            <w:pPr>
              <w:spacing w:line="240" w:lineRule="auto"/>
              <w:jc w:val="center"/>
              <w:rPr>
                <w:rFonts w:ascii="Times New Roman" w:hAnsi="Times New Roman" w:cs="Times New Roman"/>
                <w:sz w:val="20"/>
                <w:szCs w:val="20"/>
              </w:rPr>
            </w:pPr>
            <w:r w:rsidRPr="003E743A">
              <w:rPr>
                <w:rFonts w:ascii="Times New Roman" w:hAnsi="Times New Roman" w:cs="Times New Roman"/>
                <w:b/>
                <w:sz w:val="20"/>
                <w:szCs w:val="20"/>
              </w:rPr>
              <w:t>70</w:t>
            </w:r>
          </w:p>
        </w:tc>
        <w:tc>
          <w:tcPr>
            <w:tcW w:w="25" w:type="dxa"/>
            <w:tcBorders>
              <w:top w:val="single" w:sz="4" w:space="0" w:color="000000"/>
              <w:left w:val="nil"/>
              <w:bottom w:val="single" w:sz="4" w:space="0" w:color="000000"/>
              <w:right w:val="single" w:sz="4" w:space="0" w:color="000000"/>
            </w:tcBorders>
            <w:vAlign w:val="center"/>
          </w:tcPr>
          <w:p w:rsidR="007F3DC3" w:rsidRPr="003E743A" w:rsidRDefault="007F3DC3" w:rsidP="00960124">
            <w:pPr>
              <w:spacing w:line="240" w:lineRule="auto"/>
              <w:jc w:val="center"/>
              <w:rPr>
                <w:rFonts w:ascii="Times New Roman" w:hAnsi="Times New Roman" w:cs="Times New Roman"/>
                <w:b/>
                <w:sz w:val="20"/>
                <w:szCs w:val="20"/>
              </w:rPr>
            </w:pPr>
          </w:p>
        </w:tc>
        <w:tc>
          <w:tcPr>
            <w:tcW w:w="3539" w:type="dxa"/>
            <w:gridSpan w:val="2"/>
            <w:tcBorders>
              <w:top w:val="single" w:sz="4" w:space="0" w:color="000000"/>
              <w:left w:val="single" w:sz="4" w:space="0" w:color="000000"/>
              <w:bottom w:val="single" w:sz="4" w:space="0" w:color="000000"/>
              <w:right w:val="nil"/>
            </w:tcBorders>
            <w:vAlign w:val="center"/>
          </w:tcPr>
          <w:p w:rsidR="007F3DC3" w:rsidRPr="003E743A" w:rsidRDefault="007F3DC3" w:rsidP="00960124">
            <w:pPr>
              <w:spacing w:line="240" w:lineRule="auto"/>
              <w:jc w:val="center"/>
              <w:rPr>
                <w:rFonts w:ascii="Times New Roman" w:hAnsi="Times New Roman" w:cs="Times New Roman"/>
                <w:b/>
                <w:sz w:val="20"/>
                <w:szCs w:val="20"/>
              </w:rPr>
            </w:pPr>
            <w:r w:rsidRPr="003E743A">
              <w:rPr>
                <w:rFonts w:ascii="Times New Roman" w:eastAsia="Arial" w:hAnsi="Times New Roman" w:cs="Times New Roman"/>
                <w:b/>
                <w:position w:val="-1"/>
                <w:sz w:val="20"/>
                <w:szCs w:val="20"/>
              </w:rPr>
              <w:t>32</w:t>
            </w:r>
            <w:r w:rsidRPr="003E743A">
              <w:rPr>
                <w:rFonts w:ascii="Times New Roman" w:eastAsia="Arial" w:hAnsi="Times New Roman" w:cs="Times New Roman"/>
                <w:b/>
                <w:spacing w:val="1"/>
                <w:position w:val="-1"/>
                <w:sz w:val="20"/>
                <w:szCs w:val="20"/>
              </w:rPr>
              <w:t>8</w:t>
            </w:r>
            <w:r w:rsidRPr="003E743A">
              <w:rPr>
                <w:rFonts w:ascii="Times New Roman" w:eastAsia="Arial" w:hAnsi="Times New Roman" w:cs="Times New Roman"/>
                <w:b/>
                <w:position w:val="-1"/>
                <w:sz w:val="20"/>
                <w:szCs w:val="20"/>
              </w:rPr>
              <w:t>5</w:t>
            </w:r>
          </w:p>
        </w:tc>
        <w:tc>
          <w:tcPr>
            <w:tcW w:w="20" w:type="dxa"/>
            <w:tcBorders>
              <w:top w:val="single" w:sz="4" w:space="0" w:color="000000"/>
              <w:left w:val="nil"/>
              <w:bottom w:val="single" w:sz="4" w:space="0" w:color="000000"/>
              <w:right w:val="single" w:sz="4" w:space="0" w:color="000000"/>
            </w:tcBorders>
            <w:vAlign w:val="center"/>
          </w:tcPr>
          <w:p w:rsidR="007F3DC3" w:rsidRPr="003E743A" w:rsidRDefault="007F3DC3" w:rsidP="00960124">
            <w:pPr>
              <w:spacing w:line="240" w:lineRule="auto"/>
              <w:ind w:left="331" w:right="-20"/>
              <w:jc w:val="both"/>
              <w:rPr>
                <w:rFonts w:ascii="Times New Roman" w:eastAsia="Arial" w:hAnsi="Times New Roman" w:cs="Times New Roman"/>
                <w:b/>
                <w:sz w:val="20"/>
                <w:szCs w:val="20"/>
              </w:rPr>
            </w:pPr>
          </w:p>
        </w:tc>
      </w:tr>
      <w:tr w:rsidR="007F3DC3" w:rsidRPr="003E743A" w:rsidTr="00960124">
        <w:trPr>
          <w:trHeight w:hRule="exact" w:val="283"/>
        </w:trPr>
        <w:tc>
          <w:tcPr>
            <w:tcW w:w="576" w:type="dxa"/>
            <w:gridSpan w:val="2"/>
            <w:tcBorders>
              <w:top w:val="single" w:sz="4" w:space="0" w:color="000000"/>
              <w:left w:val="single" w:sz="4" w:space="0" w:color="000000"/>
              <w:bottom w:val="single" w:sz="4" w:space="0" w:color="000000"/>
              <w:right w:val="single" w:sz="4" w:space="0" w:color="000000"/>
            </w:tcBorders>
            <w:vAlign w:val="center"/>
          </w:tcPr>
          <w:p w:rsidR="007F3DC3" w:rsidRPr="003E743A" w:rsidRDefault="007F3DC3" w:rsidP="00960124">
            <w:pPr>
              <w:spacing w:line="240" w:lineRule="auto"/>
              <w:jc w:val="center"/>
              <w:rPr>
                <w:rFonts w:ascii="Times New Roman" w:hAnsi="Times New Roman" w:cs="Times New Roman"/>
                <w:b/>
                <w:sz w:val="20"/>
                <w:szCs w:val="20"/>
              </w:rPr>
            </w:pPr>
            <w:r w:rsidRPr="003E743A">
              <w:rPr>
                <w:rFonts w:ascii="Times New Roman" w:hAnsi="Times New Roman" w:cs="Times New Roman"/>
                <w:b/>
                <w:sz w:val="20"/>
                <w:szCs w:val="20"/>
              </w:rPr>
              <w:t>38</w:t>
            </w:r>
          </w:p>
        </w:tc>
        <w:tc>
          <w:tcPr>
            <w:tcW w:w="2403" w:type="dxa"/>
            <w:tcBorders>
              <w:top w:val="single" w:sz="4" w:space="0" w:color="000000"/>
              <w:left w:val="single" w:sz="4" w:space="0" w:color="000000"/>
              <w:bottom w:val="single" w:sz="4" w:space="0" w:color="000000"/>
              <w:right w:val="single" w:sz="4" w:space="0" w:color="000000"/>
            </w:tcBorders>
            <w:vAlign w:val="center"/>
          </w:tcPr>
          <w:p w:rsidR="007F3DC3" w:rsidRPr="003E743A" w:rsidRDefault="007F3DC3" w:rsidP="00960124">
            <w:pPr>
              <w:spacing w:line="240" w:lineRule="auto"/>
              <w:jc w:val="center"/>
              <w:rPr>
                <w:rFonts w:ascii="Times New Roman" w:hAnsi="Times New Roman" w:cs="Times New Roman"/>
                <w:sz w:val="20"/>
                <w:szCs w:val="20"/>
              </w:rPr>
            </w:pPr>
            <w:r w:rsidRPr="003E743A">
              <w:rPr>
                <w:rFonts w:ascii="Times New Roman" w:hAnsi="Times New Roman" w:cs="Times New Roman"/>
                <w:sz w:val="20"/>
                <w:szCs w:val="20"/>
              </w:rPr>
              <w:t>Lala Quema</w:t>
            </w:r>
          </w:p>
        </w:tc>
        <w:tc>
          <w:tcPr>
            <w:tcW w:w="2109" w:type="dxa"/>
            <w:tcBorders>
              <w:top w:val="single" w:sz="4" w:space="0" w:color="000000"/>
              <w:left w:val="single" w:sz="4" w:space="0" w:color="000000"/>
              <w:bottom w:val="single" w:sz="4" w:space="0" w:color="000000"/>
              <w:right w:val="nil"/>
            </w:tcBorders>
            <w:vAlign w:val="center"/>
          </w:tcPr>
          <w:p w:rsidR="007F3DC3" w:rsidRPr="003E743A" w:rsidRDefault="007F3DC3" w:rsidP="00960124">
            <w:pPr>
              <w:spacing w:line="240" w:lineRule="auto"/>
              <w:jc w:val="center"/>
              <w:rPr>
                <w:rFonts w:ascii="Times New Roman" w:hAnsi="Times New Roman" w:cs="Times New Roman"/>
                <w:sz w:val="20"/>
                <w:szCs w:val="20"/>
              </w:rPr>
            </w:pPr>
            <w:r w:rsidRPr="003E743A">
              <w:rPr>
                <w:rFonts w:ascii="Times New Roman" w:hAnsi="Times New Roman" w:cs="Times New Roman"/>
                <w:b/>
                <w:sz w:val="20"/>
                <w:szCs w:val="20"/>
              </w:rPr>
              <w:t>136</w:t>
            </w:r>
          </w:p>
        </w:tc>
        <w:tc>
          <w:tcPr>
            <w:tcW w:w="25" w:type="dxa"/>
            <w:tcBorders>
              <w:top w:val="single" w:sz="4" w:space="0" w:color="000000"/>
              <w:left w:val="nil"/>
              <w:bottom w:val="single" w:sz="4" w:space="0" w:color="000000"/>
              <w:right w:val="single" w:sz="4" w:space="0" w:color="000000"/>
            </w:tcBorders>
            <w:vAlign w:val="center"/>
          </w:tcPr>
          <w:p w:rsidR="007F3DC3" w:rsidRPr="003E743A" w:rsidRDefault="007F3DC3" w:rsidP="00960124">
            <w:pPr>
              <w:spacing w:line="240" w:lineRule="auto"/>
              <w:jc w:val="center"/>
              <w:rPr>
                <w:rFonts w:ascii="Times New Roman" w:hAnsi="Times New Roman" w:cs="Times New Roman"/>
                <w:b/>
                <w:sz w:val="20"/>
                <w:szCs w:val="20"/>
              </w:rPr>
            </w:pPr>
          </w:p>
        </w:tc>
        <w:tc>
          <w:tcPr>
            <w:tcW w:w="3539" w:type="dxa"/>
            <w:gridSpan w:val="2"/>
            <w:tcBorders>
              <w:top w:val="single" w:sz="4" w:space="0" w:color="000000"/>
              <w:left w:val="single" w:sz="4" w:space="0" w:color="000000"/>
              <w:bottom w:val="single" w:sz="4" w:space="0" w:color="000000"/>
              <w:right w:val="nil"/>
            </w:tcBorders>
            <w:vAlign w:val="center"/>
          </w:tcPr>
          <w:p w:rsidR="007F3DC3" w:rsidRPr="003E743A" w:rsidRDefault="007F3DC3" w:rsidP="00960124">
            <w:pPr>
              <w:spacing w:line="240" w:lineRule="auto"/>
              <w:jc w:val="center"/>
              <w:rPr>
                <w:rFonts w:ascii="Times New Roman" w:hAnsi="Times New Roman" w:cs="Times New Roman"/>
                <w:b/>
                <w:sz w:val="20"/>
                <w:szCs w:val="20"/>
              </w:rPr>
            </w:pPr>
            <w:r w:rsidRPr="003E743A">
              <w:rPr>
                <w:rFonts w:ascii="Times New Roman" w:eastAsia="Arial" w:hAnsi="Times New Roman" w:cs="Times New Roman"/>
                <w:b/>
                <w:sz w:val="20"/>
                <w:szCs w:val="20"/>
              </w:rPr>
              <w:t>51</w:t>
            </w:r>
            <w:r w:rsidRPr="003E743A">
              <w:rPr>
                <w:rFonts w:ascii="Times New Roman" w:eastAsia="Arial" w:hAnsi="Times New Roman" w:cs="Times New Roman"/>
                <w:b/>
                <w:spacing w:val="1"/>
                <w:sz w:val="20"/>
                <w:szCs w:val="20"/>
              </w:rPr>
              <w:t>8</w:t>
            </w:r>
            <w:r w:rsidRPr="003E743A">
              <w:rPr>
                <w:rFonts w:ascii="Times New Roman" w:eastAsia="Arial" w:hAnsi="Times New Roman" w:cs="Times New Roman"/>
                <w:b/>
                <w:sz w:val="20"/>
                <w:szCs w:val="20"/>
              </w:rPr>
              <w:t>1</w:t>
            </w:r>
          </w:p>
        </w:tc>
        <w:tc>
          <w:tcPr>
            <w:tcW w:w="20" w:type="dxa"/>
            <w:tcBorders>
              <w:top w:val="single" w:sz="4" w:space="0" w:color="000000"/>
              <w:left w:val="nil"/>
              <w:bottom w:val="single" w:sz="4" w:space="0" w:color="000000"/>
              <w:right w:val="single" w:sz="4" w:space="0" w:color="000000"/>
            </w:tcBorders>
            <w:vAlign w:val="center"/>
          </w:tcPr>
          <w:p w:rsidR="007F3DC3" w:rsidRPr="003E743A" w:rsidRDefault="007F3DC3" w:rsidP="00960124">
            <w:pPr>
              <w:spacing w:line="240" w:lineRule="auto"/>
              <w:ind w:left="331" w:right="-20"/>
              <w:jc w:val="both"/>
              <w:rPr>
                <w:rFonts w:ascii="Times New Roman" w:eastAsia="Arial" w:hAnsi="Times New Roman" w:cs="Times New Roman"/>
                <w:b/>
                <w:sz w:val="20"/>
                <w:szCs w:val="20"/>
              </w:rPr>
            </w:pPr>
          </w:p>
        </w:tc>
      </w:tr>
      <w:tr w:rsidR="007F3DC3" w:rsidRPr="003E743A" w:rsidTr="00960124">
        <w:trPr>
          <w:trHeight w:hRule="exact" w:val="288"/>
        </w:trPr>
        <w:tc>
          <w:tcPr>
            <w:tcW w:w="576" w:type="dxa"/>
            <w:gridSpan w:val="2"/>
            <w:tcBorders>
              <w:top w:val="single" w:sz="4" w:space="0" w:color="000000"/>
              <w:left w:val="single" w:sz="4" w:space="0" w:color="000000"/>
              <w:bottom w:val="single" w:sz="4" w:space="0" w:color="000000"/>
              <w:right w:val="single" w:sz="4" w:space="0" w:color="000000"/>
            </w:tcBorders>
            <w:vAlign w:val="center"/>
          </w:tcPr>
          <w:p w:rsidR="007F3DC3" w:rsidRPr="003E743A" w:rsidRDefault="007F3DC3" w:rsidP="00960124">
            <w:pPr>
              <w:spacing w:line="240" w:lineRule="auto"/>
              <w:jc w:val="center"/>
              <w:rPr>
                <w:rFonts w:ascii="Times New Roman" w:hAnsi="Times New Roman" w:cs="Times New Roman"/>
                <w:b/>
                <w:sz w:val="20"/>
                <w:szCs w:val="20"/>
              </w:rPr>
            </w:pPr>
            <w:r w:rsidRPr="003E743A">
              <w:rPr>
                <w:rFonts w:ascii="Times New Roman" w:hAnsi="Times New Roman" w:cs="Times New Roman"/>
                <w:b/>
                <w:sz w:val="20"/>
                <w:szCs w:val="20"/>
              </w:rPr>
              <w:t>39</w:t>
            </w:r>
          </w:p>
        </w:tc>
        <w:tc>
          <w:tcPr>
            <w:tcW w:w="2403" w:type="dxa"/>
            <w:tcBorders>
              <w:top w:val="single" w:sz="4" w:space="0" w:color="000000"/>
              <w:left w:val="single" w:sz="4" w:space="0" w:color="000000"/>
              <w:bottom w:val="single" w:sz="4" w:space="0" w:color="000000"/>
              <w:right w:val="single" w:sz="4" w:space="0" w:color="000000"/>
            </w:tcBorders>
            <w:vAlign w:val="center"/>
          </w:tcPr>
          <w:p w:rsidR="007F3DC3" w:rsidRPr="003E743A" w:rsidRDefault="007F3DC3" w:rsidP="00960124">
            <w:pPr>
              <w:spacing w:line="240" w:lineRule="auto"/>
              <w:jc w:val="center"/>
              <w:rPr>
                <w:rFonts w:ascii="Times New Roman" w:hAnsi="Times New Roman" w:cs="Times New Roman"/>
                <w:sz w:val="20"/>
                <w:szCs w:val="20"/>
              </w:rPr>
            </w:pPr>
            <w:r w:rsidRPr="003E743A">
              <w:rPr>
                <w:rFonts w:ascii="Times New Roman" w:hAnsi="Times New Roman" w:cs="Times New Roman"/>
                <w:sz w:val="20"/>
                <w:szCs w:val="20"/>
              </w:rPr>
              <w:t>Sao Vicente de Paulo</w:t>
            </w:r>
          </w:p>
        </w:tc>
        <w:tc>
          <w:tcPr>
            <w:tcW w:w="2109" w:type="dxa"/>
            <w:tcBorders>
              <w:top w:val="single" w:sz="4" w:space="0" w:color="000000"/>
              <w:left w:val="single" w:sz="4" w:space="0" w:color="000000"/>
              <w:bottom w:val="single" w:sz="4" w:space="0" w:color="000000"/>
              <w:right w:val="nil"/>
            </w:tcBorders>
            <w:vAlign w:val="center"/>
          </w:tcPr>
          <w:p w:rsidR="007F3DC3" w:rsidRPr="003E743A" w:rsidRDefault="007F3DC3" w:rsidP="00960124">
            <w:pPr>
              <w:spacing w:line="240" w:lineRule="auto"/>
              <w:jc w:val="center"/>
              <w:rPr>
                <w:rFonts w:ascii="Times New Roman" w:hAnsi="Times New Roman" w:cs="Times New Roman"/>
                <w:sz w:val="20"/>
                <w:szCs w:val="20"/>
              </w:rPr>
            </w:pPr>
            <w:r w:rsidRPr="003E743A">
              <w:rPr>
                <w:rFonts w:ascii="Times New Roman" w:hAnsi="Times New Roman" w:cs="Times New Roman"/>
                <w:b/>
                <w:sz w:val="20"/>
                <w:szCs w:val="20"/>
              </w:rPr>
              <w:t>15</w:t>
            </w:r>
          </w:p>
        </w:tc>
        <w:tc>
          <w:tcPr>
            <w:tcW w:w="25" w:type="dxa"/>
            <w:tcBorders>
              <w:top w:val="single" w:sz="4" w:space="0" w:color="000000"/>
              <w:left w:val="nil"/>
              <w:bottom w:val="single" w:sz="4" w:space="0" w:color="000000"/>
              <w:right w:val="single" w:sz="4" w:space="0" w:color="000000"/>
            </w:tcBorders>
            <w:vAlign w:val="center"/>
          </w:tcPr>
          <w:p w:rsidR="007F3DC3" w:rsidRPr="003E743A" w:rsidRDefault="007F3DC3" w:rsidP="00960124">
            <w:pPr>
              <w:spacing w:line="240" w:lineRule="auto"/>
              <w:jc w:val="center"/>
              <w:rPr>
                <w:rFonts w:ascii="Times New Roman" w:hAnsi="Times New Roman" w:cs="Times New Roman"/>
                <w:b/>
                <w:sz w:val="20"/>
                <w:szCs w:val="20"/>
              </w:rPr>
            </w:pPr>
          </w:p>
        </w:tc>
        <w:tc>
          <w:tcPr>
            <w:tcW w:w="3539" w:type="dxa"/>
            <w:gridSpan w:val="2"/>
            <w:tcBorders>
              <w:top w:val="single" w:sz="4" w:space="0" w:color="000000"/>
              <w:left w:val="single" w:sz="4" w:space="0" w:color="000000"/>
              <w:bottom w:val="single" w:sz="4" w:space="0" w:color="000000"/>
              <w:right w:val="nil"/>
            </w:tcBorders>
            <w:vAlign w:val="center"/>
          </w:tcPr>
          <w:p w:rsidR="007F3DC3" w:rsidRPr="003E743A" w:rsidRDefault="007F3DC3" w:rsidP="00960124">
            <w:pPr>
              <w:spacing w:line="240" w:lineRule="auto"/>
              <w:jc w:val="center"/>
              <w:rPr>
                <w:rFonts w:ascii="Times New Roman" w:hAnsi="Times New Roman" w:cs="Times New Roman"/>
                <w:b/>
                <w:sz w:val="20"/>
                <w:szCs w:val="20"/>
              </w:rPr>
            </w:pPr>
            <w:r w:rsidRPr="003E743A">
              <w:rPr>
                <w:rFonts w:ascii="Times New Roman" w:eastAsia="Arial" w:hAnsi="Times New Roman" w:cs="Times New Roman"/>
                <w:b/>
                <w:position w:val="-1"/>
                <w:sz w:val="20"/>
                <w:szCs w:val="20"/>
              </w:rPr>
              <w:t>15</w:t>
            </w:r>
            <w:r w:rsidRPr="003E743A">
              <w:rPr>
                <w:rFonts w:ascii="Times New Roman" w:eastAsia="Arial" w:hAnsi="Times New Roman" w:cs="Times New Roman"/>
                <w:b/>
                <w:spacing w:val="1"/>
                <w:position w:val="-1"/>
                <w:sz w:val="20"/>
                <w:szCs w:val="20"/>
              </w:rPr>
              <w:t>9</w:t>
            </w:r>
            <w:r w:rsidRPr="003E743A">
              <w:rPr>
                <w:rFonts w:ascii="Times New Roman" w:eastAsia="Arial" w:hAnsi="Times New Roman" w:cs="Times New Roman"/>
                <w:b/>
                <w:position w:val="-1"/>
                <w:sz w:val="20"/>
                <w:szCs w:val="20"/>
              </w:rPr>
              <w:t>4</w:t>
            </w:r>
          </w:p>
        </w:tc>
        <w:tc>
          <w:tcPr>
            <w:tcW w:w="20" w:type="dxa"/>
            <w:tcBorders>
              <w:top w:val="single" w:sz="4" w:space="0" w:color="000000"/>
              <w:left w:val="nil"/>
              <w:bottom w:val="single" w:sz="4" w:space="0" w:color="000000"/>
              <w:right w:val="single" w:sz="4" w:space="0" w:color="000000"/>
            </w:tcBorders>
            <w:vAlign w:val="center"/>
          </w:tcPr>
          <w:p w:rsidR="007F3DC3" w:rsidRPr="003E743A" w:rsidRDefault="007F3DC3" w:rsidP="00960124">
            <w:pPr>
              <w:spacing w:line="240" w:lineRule="auto"/>
              <w:ind w:left="331" w:right="-20"/>
              <w:jc w:val="both"/>
              <w:rPr>
                <w:rFonts w:ascii="Times New Roman" w:eastAsia="Arial" w:hAnsi="Times New Roman" w:cs="Times New Roman"/>
                <w:b/>
                <w:sz w:val="20"/>
                <w:szCs w:val="20"/>
              </w:rPr>
            </w:pPr>
          </w:p>
        </w:tc>
      </w:tr>
      <w:tr w:rsidR="007F3DC3" w:rsidRPr="003E743A" w:rsidTr="00960124">
        <w:trPr>
          <w:trHeight w:hRule="exact" w:val="277"/>
        </w:trPr>
        <w:tc>
          <w:tcPr>
            <w:tcW w:w="576" w:type="dxa"/>
            <w:gridSpan w:val="2"/>
            <w:tcBorders>
              <w:top w:val="single" w:sz="4" w:space="0" w:color="000000"/>
              <w:left w:val="single" w:sz="4" w:space="0" w:color="000000"/>
              <w:bottom w:val="single" w:sz="4" w:space="0" w:color="000000"/>
              <w:right w:val="single" w:sz="4" w:space="0" w:color="000000"/>
            </w:tcBorders>
            <w:vAlign w:val="center"/>
          </w:tcPr>
          <w:p w:rsidR="007F3DC3" w:rsidRPr="003E743A" w:rsidRDefault="007F3DC3" w:rsidP="00960124">
            <w:pPr>
              <w:spacing w:line="240" w:lineRule="auto"/>
              <w:jc w:val="center"/>
              <w:rPr>
                <w:rFonts w:ascii="Times New Roman" w:hAnsi="Times New Roman" w:cs="Times New Roman"/>
                <w:b/>
                <w:sz w:val="20"/>
                <w:szCs w:val="20"/>
              </w:rPr>
            </w:pPr>
            <w:r w:rsidRPr="003E743A">
              <w:rPr>
                <w:rFonts w:ascii="Times New Roman" w:hAnsi="Times New Roman" w:cs="Times New Roman"/>
                <w:b/>
                <w:sz w:val="20"/>
                <w:szCs w:val="20"/>
              </w:rPr>
              <w:t>40</w:t>
            </w:r>
          </w:p>
        </w:tc>
        <w:tc>
          <w:tcPr>
            <w:tcW w:w="2403" w:type="dxa"/>
            <w:tcBorders>
              <w:top w:val="single" w:sz="4" w:space="0" w:color="000000"/>
              <w:left w:val="single" w:sz="4" w:space="0" w:color="000000"/>
              <w:bottom w:val="single" w:sz="4" w:space="0" w:color="000000"/>
              <w:right w:val="single" w:sz="4" w:space="0" w:color="000000"/>
            </w:tcBorders>
            <w:vAlign w:val="center"/>
          </w:tcPr>
          <w:p w:rsidR="007F3DC3" w:rsidRPr="003E743A" w:rsidRDefault="007F3DC3" w:rsidP="00960124">
            <w:pPr>
              <w:spacing w:line="240" w:lineRule="auto"/>
              <w:jc w:val="center"/>
              <w:rPr>
                <w:rFonts w:ascii="Times New Roman" w:hAnsi="Times New Roman" w:cs="Times New Roman"/>
                <w:sz w:val="20"/>
                <w:szCs w:val="20"/>
              </w:rPr>
            </w:pPr>
            <w:r w:rsidRPr="003E743A">
              <w:rPr>
                <w:rFonts w:ascii="Times New Roman" w:hAnsi="Times New Roman" w:cs="Times New Roman"/>
                <w:sz w:val="20"/>
                <w:szCs w:val="20"/>
              </w:rPr>
              <w:t>Antula+Antula Bono</w:t>
            </w:r>
          </w:p>
        </w:tc>
        <w:tc>
          <w:tcPr>
            <w:tcW w:w="2109" w:type="dxa"/>
            <w:tcBorders>
              <w:top w:val="single" w:sz="4" w:space="0" w:color="000000"/>
              <w:left w:val="single" w:sz="4" w:space="0" w:color="000000"/>
              <w:bottom w:val="single" w:sz="4" w:space="0" w:color="000000"/>
              <w:right w:val="nil"/>
            </w:tcBorders>
            <w:vAlign w:val="center"/>
          </w:tcPr>
          <w:p w:rsidR="007F3DC3" w:rsidRPr="003E743A" w:rsidRDefault="007F3DC3" w:rsidP="00960124">
            <w:pPr>
              <w:spacing w:line="240" w:lineRule="auto"/>
              <w:jc w:val="center"/>
              <w:rPr>
                <w:rFonts w:ascii="Times New Roman" w:hAnsi="Times New Roman" w:cs="Times New Roman"/>
                <w:sz w:val="20"/>
                <w:szCs w:val="20"/>
              </w:rPr>
            </w:pPr>
            <w:r w:rsidRPr="003E743A">
              <w:rPr>
                <w:rFonts w:ascii="Times New Roman" w:hAnsi="Times New Roman" w:cs="Times New Roman"/>
                <w:b/>
                <w:sz w:val="20"/>
                <w:szCs w:val="20"/>
              </w:rPr>
              <w:t>278</w:t>
            </w:r>
          </w:p>
        </w:tc>
        <w:tc>
          <w:tcPr>
            <w:tcW w:w="25" w:type="dxa"/>
            <w:tcBorders>
              <w:top w:val="single" w:sz="4" w:space="0" w:color="000000"/>
              <w:left w:val="nil"/>
              <w:bottom w:val="single" w:sz="4" w:space="0" w:color="000000"/>
              <w:right w:val="single" w:sz="4" w:space="0" w:color="000000"/>
            </w:tcBorders>
            <w:vAlign w:val="center"/>
          </w:tcPr>
          <w:p w:rsidR="007F3DC3" w:rsidRPr="003E743A" w:rsidRDefault="007F3DC3" w:rsidP="00960124">
            <w:pPr>
              <w:spacing w:line="240" w:lineRule="auto"/>
              <w:jc w:val="center"/>
              <w:rPr>
                <w:rFonts w:ascii="Times New Roman" w:hAnsi="Times New Roman" w:cs="Times New Roman"/>
                <w:b/>
                <w:sz w:val="20"/>
                <w:szCs w:val="20"/>
              </w:rPr>
            </w:pPr>
          </w:p>
        </w:tc>
        <w:tc>
          <w:tcPr>
            <w:tcW w:w="3539" w:type="dxa"/>
            <w:gridSpan w:val="2"/>
            <w:tcBorders>
              <w:top w:val="single" w:sz="4" w:space="0" w:color="000000"/>
              <w:left w:val="single" w:sz="4" w:space="0" w:color="000000"/>
              <w:bottom w:val="single" w:sz="4" w:space="0" w:color="000000"/>
              <w:right w:val="nil"/>
            </w:tcBorders>
            <w:vAlign w:val="center"/>
          </w:tcPr>
          <w:p w:rsidR="007F3DC3" w:rsidRPr="003E743A" w:rsidRDefault="007F3DC3" w:rsidP="00960124">
            <w:pPr>
              <w:spacing w:line="240" w:lineRule="auto"/>
              <w:jc w:val="center"/>
              <w:rPr>
                <w:rFonts w:ascii="Times New Roman" w:hAnsi="Times New Roman" w:cs="Times New Roman"/>
                <w:b/>
                <w:sz w:val="20"/>
                <w:szCs w:val="20"/>
              </w:rPr>
            </w:pPr>
            <w:r w:rsidRPr="003E743A">
              <w:rPr>
                <w:rFonts w:ascii="Times New Roman" w:eastAsia="Arial" w:hAnsi="Times New Roman" w:cs="Times New Roman"/>
                <w:b/>
                <w:sz w:val="20"/>
                <w:szCs w:val="20"/>
              </w:rPr>
              <w:t>24</w:t>
            </w:r>
            <w:r w:rsidRPr="003E743A">
              <w:rPr>
                <w:rFonts w:ascii="Times New Roman" w:eastAsia="Arial" w:hAnsi="Times New Roman" w:cs="Times New Roman"/>
                <w:b/>
                <w:spacing w:val="1"/>
                <w:sz w:val="20"/>
                <w:szCs w:val="20"/>
              </w:rPr>
              <w:t>63</w:t>
            </w:r>
            <w:r w:rsidRPr="003E743A">
              <w:rPr>
                <w:rFonts w:ascii="Times New Roman" w:eastAsia="Arial" w:hAnsi="Times New Roman" w:cs="Times New Roman"/>
                <w:b/>
                <w:sz w:val="20"/>
                <w:szCs w:val="20"/>
              </w:rPr>
              <w:t>0</w:t>
            </w:r>
          </w:p>
        </w:tc>
        <w:tc>
          <w:tcPr>
            <w:tcW w:w="20" w:type="dxa"/>
            <w:tcBorders>
              <w:top w:val="single" w:sz="4" w:space="0" w:color="000000"/>
              <w:left w:val="nil"/>
              <w:bottom w:val="single" w:sz="4" w:space="0" w:color="000000"/>
              <w:right w:val="single" w:sz="4" w:space="0" w:color="000000"/>
            </w:tcBorders>
            <w:vAlign w:val="center"/>
          </w:tcPr>
          <w:p w:rsidR="007F3DC3" w:rsidRPr="003E743A" w:rsidRDefault="007F3DC3" w:rsidP="00960124">
            <w:pPr>
              <w:spacing w:line="240" w:lineRule="auto"/>
              <w:ind w:left="231" w:right="-20"/>
              <w:jc w:val="both"/>
              <w:rPr>
                <w:rFonts w:ascii="Times New Roman" w:eastAsia="Arial" w:hAnsi="Times New Roman" w:cs="Times New Roman"/>
                <w:b/>
                <w:sz w:val="20"/>
                <w:szCs w:val="20"/>
              </w:rPr>
            </w:pPr>
          </w:p>
        </w:tc>
      </w:tr>
      <w:tr w:rsidR="007F3DC3" w:rsidRPr="003E743A" w:rsidTr="00960124">
        <w:trPr>
          <w:trHeight w:hRule="exact" w:val="296"/>
        </w:trPr>
        <w:tc>
          <w:tcPr>
            <w:tcW w:w="576" w:type="dxa"/>
            <w:gridSpan w:val="2"/>
            <w:tcBorders>
              <w:top w:val="single" w:sz="4" w:space="0" w:color="000000"/>
              <w:left w:val="single" w:sz="4" w:space="0" w:color="000000"/>
              <w:bottom w:val="single" w:sz="4" w:space="0" w:color="000000"/>
              <w:right w:val="single" w:sz="4" w:space="0" w:color="000000"/>
            </w:tcBorders>
            <w:vAlign w:val="center"/>
          </w:tcPr>
          <w:p w:rsidR="007F3DC3" w:rsidRPr="003E743A" w:rsidRDefault="007F3DC3" w:rsidP="00960124">
            <w:pPr>
              <w:spacing w:line="240" w:lineRule="auto"/>
              <w:jc w:val="center"/>
              <w:rPr>
                <w:rFonts w:ascii="Times New Roman" w:hAnsi="Times New Roman" w:cs="Times New Roman"/>
                <w:b/>
                <w:sz w:val="20"/>
                <w:szCs w:val="20"/>
              </w:rPr>
            </w:pPr>
            <w:r w:rsidRPr="003E743A">
              <w:rPr>
                <w:rFonts w:ascii="Times New Roman" w:hAnsi="Times New Roman" w:cs="Times New Roman"/>
                <w:b/>
                <w:sz w:val="20"/>
                <w:szCs w:val="20"/>
              </w:rPr>
              <w:t>41</w:t>
            </w:r>
          </w:p>
        </w:tc>
        <w:tc>
          <w:tcPr>
            <w:tcW w:w="2403" w:type="dxa"/>
            <w:tcBorders>
              <w:top w:val="single" w:sz="4" w:space="0" w:color="000000"/>
              <w:left w:val="single" w:sz="4" w:space="0" w:color="000000"/>
              <w:bottom w:val="single" w:sz="4" w:space="0" w:color="000000"/>
              <w:right w:val="single" w:sz="4" w:space="0" w:color="000000"/>
            </w:tcBorders>
            <w:vAlign w:val="center"/>
          </w:tcPr>
          <w:p w:rsidR="007F3DC3" w:rsidRPr="003E743A" w:rsidRDefault="007F3DC3" w:rsidP="00960124">
            <w:pPr>
              <w:spacing w:line="240" w:lineRule="auto"/>
              <w:jc w:val="center"/>
              <w:rPr>
                <w:rFonts w:ascii="Times New Roman" w:hAnsi="Times New Roman" w:cs="Times New Roman"/>
                <w:sz w:val="20"/>
                <w:szCs w:val="20"/>
              </w:rPr>
            </w:pPr>
            <w:r w:rsidRPr="003E743A">
              <w:rPr>
                <w:rFonts w:ascii="Times New Roman" w:hAnsi="Times New Roman" w:cs="Times New Roman"/>
                <w:sz w:val="20"/>
                <w:szCs w:val="20"/>
              </w:rPr>
              <w:t>Djogoro</w:t>
            </w:r>
          </w:p>
        </w:tc>
        <w:tc>
          <w:tcPr>
            <w:tcW w:w="2109" w:type="dxa"/>
            <w:tcBorders>
              <w:top w:val="single" w:sz="4" w:space="0" w:color="000000"/>
              <w:left w:val="single" w:sz="4" w:space="0" w:color="000000"/>
              <w:bottom w:val="single" w:sz="4" w:space="0" w:color="000000"/>
              <w:right w:val="nil"/>
            </w:tcBorders>
            <w:vAlign w:val="center"/>
          </w:tcPr>
          <w:p w:rsidR="007F3DC3" w:rsidRPr="003E743A" w:rsidRDefault="007F3DC3" w:rsidP="00960124">
            <w:pPr>
              <w:spacing w:line="240" w:lineRule="auto"/>
              <w:jc w:val="center"/>
              <w:rPr>
                <w:rFonts w:ascii="Times New Roman" w:hAnsi="Times New Roman" w:cs="Times New Roman"/>
                <w:sz w:val="20"/>
                <w:szCs w:val="20"/>
              </w:rPr>
            </w:pPr>
            <w:r w:rsidRPr="003E743A">
              <w:rPr>
                <w:rFonts w:ascii="Times New Roman" w:hAnsi="Times New Roman" w:cs="Times New Roman"/>
                <w:b/>
                <w:sz w:val="20"/>
                <w:szCs w:val="20"/>
              </w:rPr>
              <w:t>67</w:t>
            </w:r>
          </w:p>
        </w:tc>
        <w:tc>
          <w:tcPr>
            <w:tcW w:w="25" w:type="dxa"/>
            <w:tcBorders>
              <w:top w:val="single" w:sz="4" w:space="0" w:color="000000"/>
              <w:left w:val="nil"/>
              <w:bottom w:val="single" w:sz="4" w:space="0" w:color="000000"/>
              <w:right w:val="single" w:sz="4" w:space="0" w:color="000000"/>
            </w:tcBorders>
            <w:vAlign w:val="center"/>
          </w:tcPr>
          <w:p w:rsidR="007F3DC3" w:rsidRPr="003E743A" w:rsidRDefault="007F3DC3" w:rsidP="00960124">
            <w:pPr>
              <w:spacing w:line="240" w:lineRule="auto"/>
              <w:ind w:left="145" w:right="126"/>
              <w:jc w:val="center"/>
              <w:rPr>
                <w:rFonts w:ascii="Times New Roman" w:hAnsi="Times New Roman" w:cs="Times New Roman"/>
                <w:b/>
                <w:sz w:val="20"/>
                <w:szCs w:val="20"/>
              </w:rPr>
            </w:pPr>
          </w:p>
        </w:tc>
        <w:tc>
          <w:tcPr>
            <w:tcW w:w="3539" w:type="dxa"/>
            <w:gridSpan w:val="2"/>
            <w:tcBorders>
              <w:top w:val="single" w:sz="4" w:space="0" w:color="000000"/>
              <w:left w:val="single" w:sz="4" w:space="0" w:color="000000"/>
              <w:bottom w:val="single" w:sz="4" w:space="0" w:color="000000"/>
              <w:right w:val="nil"/>
            </w:tcBorders>
            <w:vAlign w:val="center"/>
          </w:tcPr>
          <w:p w:rsidR="007F3DC3" w:rsidRPr="003E743A" w:rsidRDefault="007F3DC3" w:rsidP="00960124">
            <w:pPr>
              <w:spacing w:line="240" w:lineRule="auto"/>
              <w:jc w:val="center"/>
              <w:rPr>
                <w:rFonts w:ascii="Times New Roman" w:hAnsi="Times New Roman" w:cs="Times New Roman"/>
                <w:b/>
                <w:sz w:val="20"/>
                <w:szCs w:val="20"/>
              </w:rPr>
            </w:pPr>
            <w:r w:rsidRPr="003E743A">
              <w:rPr>
                <w:rFonts w:ascii="Times New Roman" w:eastAsia="Arial" w:hAnsi="Times New Roman" w:cs="Times New Roman"/>
                <w:b/>
                <w:position w:val="-1"/>
                <w:sz w:val="20"/>
                <w:szCs w:val="20"/>
              </w:rPr>
              <w:t>534</w:t>
            </w:r>
          </w:p>
        </w:tc>
        <w:tc>
          <w:tcPr>
            <w:tcW w:w="20" w:type="dxa"/>
            <w:tcBorders>
              <w:top w:val="single" w:sz="4" w:space="0" w:color="000000"/>
              <w:left w:val="nil"/>
              <w:bottom w:val="single" w:sz="4" w:space="0" w:color="000000"/>
              <w:right w:val="single" w:sz="4" w:space="0" w:color="000000"/>
            </w:tcBorders>
            <w:vAlign w:val="center"/>
          </w:tcPr>
          <w:p w:rsidR="007F3DC3" w:rsidRPr="003E743A" w:rsidRDefault="007F3DC3" w:rsidP="00960124">
            <w:pPr>
              <w:spacing w:line="240" w:lineRule="auto"/>
              <w:ind w:left="481" w:right="-20"/>
              <w:jc w:val="both"/>
              <w:rPr>
                <w:rFonts w:ascii="Times New Roman" w:eastAsia="Arial" w:hAnsi="Times New Roman" w:cs="Times New Roman"/>
                <w:b/>
                <w:sz w:val="20"/>
                <w:szCs w:val="20"/>
              </w:rPr>
            </w:pPr>
          </w:p>
        </w:tc>
      </w:tr>
      <w:tr w:rsidR="007F3DC3" w:rsidRPr="003E743A" w:rsidTr="00960124">
        <w:trPr>
          <w:trHeight w:hRule="exact" w:val="429"/>
        </w:trPr>
        <w:tc>
          <w:tcPr>
            <w:tcW w:w="576" w:type="dxa"/>
            <w:gridSpan w:val="2"/>
            <w:tcBorders>
              <w:top w:val="single" w:sz="4" w:space="0" w:color="000000"/>
              <w:left w:val="single" w:sz="4" w:space="0" w:color="000000"/>
              <w:bottom w:val="single" w:sz="4" w:space="0" w:color="000000"/>
              <w:right w:val="single" w:sz="4" w:space="0" w:color="000000"/>
            </w:tcBorders>
            <w:vAlign w:val="center"/>
          </w:tcPr>
          <w:p w:rsidR="007F3DC3" w:rsidRPr="003E743A" w:rsidRDefault="007F3DC3" w:rsidP="00960124">
            <w:pPr>
              <w:spacing w:line="240" w:lineRule="auto"/>
              <w:jc w:val="center"/>
              <w:rPr>
                <w:rFonts w:ascii="Times New Roman" w:hAnsi="Times New Roman" w:cs="Times New Roman"/>
                <w:b/>
                <w:sz w:val="20"/>
                <w:szCs w:val="20"/>
              </w:rPr>
            </w:pPr>
            <w:r w:rsidRPr="003E743A">
              <w:rPr>
                <w:rFonts w:ascii="Times New Roman" w:hAnsi="Times New Roman" w:cs="Times New Roman"/>
                <w:b/>
                <w:sz w:val="20"/>
                <w:szCs w:val="20"/>
              </w:rPr>
              <w:t>42</w:t>
            </w:r>
          </w:p>
        </w:tc>
        <w:tc>
          <w:tcPr>
            <w:tcW w:w="2403" w:type="dxa"/>
            <w:tcBorders>
              <w:top w:val="single" w:sz="4" w:space="0" w:color="000000"/>
              <w:left w:val="single" w:sz="4" w:space="0" w:color="000000"/>
              <w:bottom w:val="single" w:sz="4" w:space="0" w:color="000000"/>
              <w:right w:val="single" w:sz="4" w:space="0" w:color="000000"/>
            </w:tcBorders>
            <w:vAlign w:val="center"/>
          </w:tcPr>
          <w:p w:rsidR="007F3DC3" w:rsidRPr="003E743A" w:rsidRDefault="007F3DC3" w:rsidP="00960124">
            <w:pPr>
              <w:spacing w:line="240" w:lineRule="auto"/>
              <w:jc w:val="center"/>
              <w:rPr>
                <w:rFonts w:ascii="Times New Roman" w:hAnsi="Times New Roman" w:cs="Times New Roman"/>
                <w:sz w:val="20"/>
                <w:szCs w:val="20"/>
              </w:rPr>
            </w:pPr>
            <w:r w:rsidRPr="003E743A">
              <w:rPr>
                <w:rFonts w:ascii="Times New Roman" w:hAnsi="Times New Roman" w:cs="Times New Roman"/>
                <w:sz w:val="20"/>
                <w:szCs w:val="20"/>
              </w:rPr>
              <w:t>Melhoramento</w:t>
            </w:r>
          </w:p>
        </w:tc>
        <w:tc>
          <w:tcPr>
            <w:tcW w:w="2109" w:type="dxa"/>
            <w:tcBorders>
              <w:top w:val="single" w:sz="4" w:space="0" w:color="000000"/>
              <w:left w:val="single" w:sz="4" w:space="0" w:color="000000"/>
              <w:bottom w:val="single" w:sz="4" w:space="0" w:color="000000"/>
              <w:right w:val="nil"/>
            </w:tcBorders>
            <w:vAlign w:val="center"/>
          </w:tcPr>
          <w:p w:rsidR="007F3DC3" w:rsidRPr="003E743A" w:rsidRDefault="007F3DC3" w:rsidP="00960124">
            <w:pPr>
              <w:spacing w:line="240" w:lineRule="auto"/>
              <w:jc w:val="center"/>
              <w:rPr>
                <w:rFonts w:ascii="Times New Roman" w:hAnsi="Times New Roman" w:cs="Times New Roman"/>
                <w:sz w:val="20"/>
                <w:szCs w:val="20"/>
              </w:rPr>
            </w:pPr>
            <w:r w:rsidRPr="003E743A">
              <w:rPr>
                <w:rFonts w:ascii="Times New Roman" w:hAnsi="Times New Roman" w:cs="Times New Roman"/>
                <w:b/>
                <w:sz w:val="20"/>
                <w:szCs w:val="20"/>
              </w:rPr>
              <w:t>109</w:t>
            </w:r>
          </w:p>
        </w:tc>
        <w:tc>
          <w:tcPr>
            <w:tcW w:w="25" w:type="dxa"/>
            <w:tcBorders>
              <w:top w:val="single" w:sz="4" w:space="0" w:color="000000"/>
              <w:left w:val="nil"/>
              <w:bottom w:val="single" w:sz="4" w:space="0" w:color="000000"/>
              <w:right w:val="single" w:sz="4" w:space="0" w:color="000000"/>
            </w:tcBorders>
            <w:vAlign w:val="center"/>
          </w:tcPr>
          <w:p w:rsidR="007F3DC3" w:rsidRPr="003E743A" w:rsidRDefault="007F3DC3" w:rsidP="00960124">
            <w:pPr>
              <w:spacing w:line="240" w:lineRule="auto"/>
              <w:jc w:val="center"/>
              <w:rPr>
                <w:rFonts w:ascii="Times New Roman" w:hAnsi="Times New Roman" w:cs="Times New Roman"/>
                <w:b/>
                <w:sz w:val="20"/>
                <w:szCs w:val="20"/>
              </w:rPr>
            </w:pPr>
          </w:p>
        </w:tc>
        <w:tc>
          <w:tcPr>
            <w:tcW w:w="3539" w:type="dxa"/>
            <w:gridSpan w:val="2"/>
            <w:tcBorders>
              <w:top w:val="single" w:sz="4" w:space="0" w:color="000000"/>
              <w:left w:val="single" w:sz="4" w:space="0" w:color="000000"/>
              <w:bottom w:val="single" w:sz="4" w:space="0" w:color="000000"/>
              <w:right w:val="nil"/>
            </w:tcBorders>
            <w:vAlign w:val="center"/>
          </w:tcPr>
          <w:p w:rsidR="007F3DC3" w:rsidRPr="003E743A" w:rsidRDefault="007F3DC3" w:rsidP="00960124">
            <w:pPr>
              <w:spacing w:line="240" w:lineRule="auto"/>
              <w:jc w:val="center"/>
              <w:rPr>
                <w:rFonts w:ascii="Times New Roman" w:hAnsi="Times New Roman" w:cs="Times New Roman"/>
                <w:b/>
                <w:sz w:val="20"/>
                <w:szCs w:val="20"/>
              </w:rPr>
            </w:pPr>
            <w:r w:rsidRPr="003E743A">
              <w:rPr>
                <w:rFonts w:ascii="Times New Roman" w:eastAsia="Arial" w:hAnsi="Times New Roman" w:cs="Times New Roman"/>
                <w:b/>
                <w:sz w:val="20"/>
                <w:szCs w:val="20"/>
              </w:rPr>
              <w:t>18</w:t>
            </w:r>
            <w:r w:rsidRPr="003E743A">
              <w:rPr>
                <w:rFonts w:ascii="Times New Roman" w:eastAsia="Arial" w:hAnsi="Times New Roman" w:cs="Times New Roman"/>
                <w:b/>
                <w:spacing w:val="1"/>
                <w:sz w:val="20"/>
                <w:szCs w:val="20"/>
              </w:rPr>
              <w:t>3</w:t>
            </w:r>
            <w:r w:rsidRPr="003E743A">
              <w:rPr>
                <w:rFonts w:ascii="Times New Roman" w:eastAsia="Arial" w:hAnsi="Times New Roman" w:cs="Times New Roman"/>
                <w:b/>
                <w:sz w:val="20"/>
                <w:szCs w:val="20"/>
              </w:rPr>
              <w:t>4</w:t>
            </w:r>
          </w:p>
        </w:tc>
        <w:tc>
          <w:tcPr>
            <w:tcW w:w="20" w:type="dxa"/>
            <w:tcBorders>
              <w:top w:val="single" w:sz="4" w:space="0" w:color="000000"/>
              <w:left w:val="nil"/>
              <w:bottom w:val="single" w:sz="4" w:space="0" w:color="000000"/>
              <w:right w:val="single" w:sz="4" w:space="0" w:color="000000"/>
            </w:tcBorders>
            <w:vAlign w:val="center"/>
          </w:tcPr>
          <w:p w:rsidR="007F3DC3" w:rsidRPr="003E743A" w:rsidRDefault="007F3DC3" w:rsidP="00960124">
            <w:pPr>
              <w:spacing w:line="240" w:lineRule="auto"/>
              <w:ind w:left="331" w:right="-20"/>
              <w:jc w:val="both"/>
              <w:rPr>
                <w:rFonts w:ascii="Times New Roman" w:eastAsia="Arial" w:hAnsi="Times New Roman" w:cs="Times New Roman"/>
                <w:b/>
                <w:sz w:val="20"/>
                <w:szCs w:val="20"/>
              </w:rPr>
            </w:pPr>
          </w:p>
        </w:tc>
      </w:tr>
      <w:tr w:rsidR="007F3DC3" w:rsidRPr="003E743A" w:rsidTr="00960124">
        <w:trPr>
          <w:gridAfter w:val="1"/>
          <w:wAfter w:w="20" w:type="dxa"/>
          <w:trHeight w:hRule="exact" w:val="294"/>
        </w:trPr>
        <w:tc>
          <w:tcPr>
            <w:tcW w:w="2979" w:type="dxa"/>
            <w:gridSpan w:val="3"/>
            <w:tcBorders>
              <w:top w:val="single" w:sz="4" w:space="0" w:color="000000"/>
              <w:left w:val="single" w:sz="4" w:space="0" w:color="000000"/>
              <w:bottom w:val="single" w:sz="4" w:space="0" w:color="000000"/>
              <w:right w:val="single" w:sz="4" w:space="0" w:color="000000"/>
            </w:tcBorders>
            <w:shd w:val="clear" w:color="auto" w:fill="FF0000"/>
            <w:vAlign w:val="center"/>
          </w:tcPr>
          <w:p w:rsidR="007F3DC3" w:rsidRPr="003E743A" w:rsidRDefault="007F3DC3" w:rsidP="00960124">
            <w:pPr>
              <w:spacing w:line="240" w:lineRule="auto"/>
              <w:jc w:val="center"/>
              <w:rPr>
                <w:rFonts w:ascii="Times New Roman" w:hAnsi="Times New Roman" w:cs="Times New Roman"/>
                <w:b/>
                <w:sz w:val="20"/>
                <w:szCs w:val="20"/>
              </w:rPr>
            </w:pPr>
            <w:r w:rsidRPr="003E743A">
              <w:rPr>
                <w:rFonts w:ascii="Times New Roman" w:hAnsi="Times New Roman" w:cs="Times New Roman"/>
                <w:b/>
                <w:sz w:val="20"/>
                <w:szCs w:val="20"/>
              </w:rPr>
              <w:t>TOTAL</w:t>
            </w:r>
          </w:p>
        </w:tc>
        <w:tc>
          <w:tcPr>
            <w:tcW w:w="2109" w:type="dxa"/>
            <w:tcBorders>
              <w:top w:val="single" w:sz="4" w:space="0" w:color="000000"/>
              <w:left w:val="single" w:sz="4" w:space="0" w:color="000000"/>
              <w:bottom w:val="single" w:sz="4" w:space="0" w:color="000000"/>
              <w:right w:val="nil"/>
            </w:tcBorders>
            <w:vAlign w:val="center"/>
          </w:tcPr>
          <w:p w:rsidR="007F3DC3" w:rsidRPr="003E743A" w:rsidRDefault="007F3DC3" w:rsidP="00960124">
            <w:pPr>
              <w:spacing w:line="240" w:lineRule="auto"/>
              <w:jc w:val="center"/>
              <w:rPr>
                <w:rFonts w:ascii="Times New Roman" w:hAnsi="Times New Roman" w:cs="Times New Roman"/>
                <w:sz w:val="20"/>
                <w:szCs w:val="20"/>
              </w:rPr>
            </w:pPr>
            <w:r w:rsidRPr="003E743A">
              <w:rPr>
                <w:rFonts w:ascii="Times New Roman" w:hAnsi="Times New Roman" w:cs="Times New Roman"/>
                <w:b/>
                <w:sz w:val="20"/>
                <w:szCs w:val="20"/>
              </w:rPr>
              <w:t>4298</w:t>
            </w:r>
          </w:p>
        </w:tc>
        <w:tc>
          <w:tcPr>
            <w:tcW w:w="25" w:type="dxa"/>
            <w:tcBorders>
              <w:top w:val="single" w:sz="4" w:space="0" w:color="000000"/>
              <w:left w:val="nil"/>
              <w:bottom w:val="single" w:sz="4" w:space="0" w:color="000000"/>
              <w:right w:val="single" w:sz="4" w:space="0" w:color="000000"/>
            </w:tcBorders>
            <w:vAlign w:val="center"/>
          </w:tcPr>
          <w:p w:rsidR="007F3DC3" w:rsidRPr="003E743A" w:rsidRDefault="007F3DC3" w:rsidP="00960124">
            <w:pPr>
              <w:spacing w:line="240" w:lineRule="auto"/>
              <w:jc w:val="center"/>
              <w:rPr>
                <w:rFonts w:ascii="Times New Roman" w:hAnsi="Times New Roman" w:cs="Times New Roman"/>
                <w:b/>
                <w:sz w:val="20"/>
                <w:szCs w:val="20"/>
              </w:rPr>
            </w:pPr>
          </w:p>
          <w:p w:rsidR="007F3DC3" w:rsidRPr="003E743A" w:rsidRDefault="007F3DC3" w:rsidP="00960124">
            <w:pPr>
              <w:spacing w:line="240" w:lineRule="auto"/>
              <w:jc w:val="center"/>
              <w:rPr>
                <w:rFonts w:ascii="Times New Roman" w:hAnsi="Times New Roman" w:cs="Times New Roman"/>
                <w:b/>
                <w:sz w:val="20"/>
                <w:szCs w:val="20"/>
              </w:rPr>
            </w:pPr>
            <w:r w:rsidRPr="003E743A">
              <w:rPr>
                <w:rFonts w:ascii="Times New Roman" w:hAnsi="Times New Roman" w:cs="Times New Roman"/>
                <w:b/>
                <w:sz w:val="20"/>
                <w:szCs w:val="20"/>
              </w:rPr>
              <w:t>4298</w:t>
            </w:r>
          </w:p>
        </w:tc>
        <w:tc>
          <w:tcPr>
            <w:tcW w:w="3519" w:type="dxa"/>
            <w:tcBorders>
              <w:top w:val="single" w:sz="4" w:space="0" w:color="000000"/>
              <w:left w:val="single" w:sz="4" w:space="0" w:color="000000"/>
              <w:bottom w:val="single" w:sz="4" w:space="0" w:color="000000"/>
              <w:right w:val="nil"/>
            </w:tcBorders>
            <w:vAlign w:val="center"/>
          </w:tcPr>
          <w:p w:rsidR="007F3DC3" w:rsidRPr="003E743A" w:rsidRDefault="007F3DC3" w:rsidP="00960124">
            <w:pPr>
              <w:spacing w:line="240" w:lineRule="auto"/>
              <w:jc w:val="center"/>
              <w:rPr>
                <w:rFonts w:ascii="Times New Roman" w:hAnsi="Times New Roman" w:cs="Times New Roman"/>
                <w:b/>
                <w:sz w:val="20"/>
                <w:szCs w:val="20"/>
              </w:rPr>
            </w:pPr>
            <w:r w:rsidRPr="003E743A">
              <w:rPr>
                <w:rFonts w:ascii="Times New Roman" w:hAnsi="Times New Roman" w:cs="Times New Roman"/>
                <w:b/>
                <w:sz w:val="20"/>
                <w:szCs w:val="20"/>
              </w:rPr>
              <w:t>387909</w:t>
            </w:r>
          </w:p>
        </w:tc>
        <w:tc>
          <w:tcPr>
            <w:tcW w:w="20" w:type="dxa"/>
            <w:tcBorders>
              <w:top w:val="single" w:sz="4" w:space="0" w:color="000000"/>
              <w:left w:val="nil"/>
              <w:bottom w:val="single" w:sz="4" w:space="0" w:color="000000"/>
              <w:right w:val="single" w:sz="4" w:space="0" w:color="000000"/>
            </w:tcBorders>
            <w:vAlign w:val="center"/>
          </w:tcPr>
          <w:p w:rsidR="007F3DC3" w:rsidRPr="003E743A" w:rsidRDefault="007F3DC3" w:rsidP="00960124">
            <w:pPr>
              <w:spacing w:line="240" w:lineRule="auto"/>
              <w:jc w:val="both"/>
              <w:rPr>
                <w:rFonts w:ascii="Times New Roman" w:hAnsi="Times New Roman" w:cs="Times New Roman"/>
                <w:b/>
                <w:sz w:val="20"/>
                <w:szCs w:val="20"/>
              </w:rPr>
            </w:pPr>
          </w:p>
        </w:tc>
      </w:tr>
    </w:tbl>
    <w:p w:rsidR="007F3DC3" w:rsidRPr="003E743A" w:rsidRDefault="007F3DC3" w:rsidP="007F3DC3">
      <w:pPr>
        <w:jc w:val="both"/>
        <w:rPr>
          <w:rFonts w:ascii="Times New Roman" w:hAnsi="Times New Roman" w:cs="Times New Roman"/>
          <w:sz w:val="24"/>
          <w:szCs w:val="24"/>
        </w:rPr>
      </w:pPr>
    </w:p>
    <w:p w:rsidR="007F3DC3" w:rsidRPr="003E743A" w:rsidRDefault="007F3DC3" w:rsidP="007F3DC3">
      <w:pPr>
        <w:jc w:val="both"/>
        <w:rPr>
          <w:rFonts w:ascii="Times New Roman" w:hAnsi="Times New Roman" w:cs="Times New Roman"/>
          <w:sz w:val="24"/>
          <w:szCs w:val="24"/>
        </w:rPr>
      </w:pPr>
    </w:p>
    <w:p w:rsidR="007F3DC3" w:rsidRPr="003E743A" w:rsidRDefault="007F3DC3" w:rsidP="007F3DC3">
      <w:pPr>
        <w:jc w:val="both"/>
        <w:rPr>
          <w:rFonts w:ascii="Times New Roman" w:hAnsi="Times New Roman" w:cs="Times New Roman"/>
          <w:sz w:val="24"/>
          <w:szCs w:val="24"/>
        </w:rPr>
      </w:pPr>
    </w:p>
    <w:p w:rsidR="007F3DC3" w:rsidRPr="003E743A" w:rsidRDefault="007F3DC3" w:rsidP="007F3DC3">
      <w:pPr>
        <w:jc w:val="both"/>
        <w:rPr>
          <w:rFonts w:ascii="Times New Roman" w:hAnsi="Times New Roman" w:cs="Times New Roman"/>
          <w:sz w:val="24"/>
          <w:szCs w:val="24"/>
        </w:rPr>
      </w:pPr>
    </w:p>
    <w:p w:rsidR="007F3DC3" w:rsidRPr="003E743A" w:rsidRDefault="007F3DC3" w:rsidP="007F3DC3">
      <w:pPr>
        <w:pStyle w:val="PargrafodaLista"/>
        <w:keepNext/>
        <w:spacing w:before="240" w:after="240"/>
        <w:ind w:left="450" w:right="284"/>
        <w:jc w:val="both"/>
        <w:rPr>
          <w:rFonts w:ascii="Times New Roman" w:hAnsi="Times New Roman"/>
          <w:b/>
          <w:sz w:val="24"/>
          <w:szCs w:val="24"/>
          <w:lang w:val="fr-FR" w:eastAsia="fr-FR"/>
        </w:rPr>
      </w:pPr>
    </w:p>
    <w:p w:rsidR="007F3DC3" w:rsidRPr="003E743A" w:rsidRDefault="007F3DC3" w:rsidP="007F3DC3">
      <w:pPr>
        <w:pStyle w:val="PargrafodaLista"/>
        <w:keepNext/>
        <w:spacing w:before="240" w:after="240"/>
        <w:ind w:left="450" w:right="284"/>
        <w:jc w:val="both"/>
        <w:rPr>
          <w:rFonts w:ascii="Times New Roman" w:hAnsi="Times New Roman"/>
          <w:b/>
          <w:sz w:val="24"/>
          <w:szCs w:val="24"/>
          <w:lang w:val="fr-FR" w:eastAsia="fr-FR"/>
        </w:rPr>
      </w:pPr>
    </w:p>
    <w:p w:rsidR="007F3DC3" w:rsidRPr="003E743A" w:rsidRDefault="007F3DC3" w:rsidP="007F3DC3">
      <w:pPr>
        <w:pStyle w:val="PargrafodaLista"/>
        <w:keepNext/>
        <w:spacing w:before="240" w:after="240"/>
        <w:ind w:left="450" w:right="284"/>
        <w:jc w:val="both"/>
        <w:rPr>
          <w:rFonts w:ascii="Times New Roman" w:hAnsi="Times New Roman"/>
          <w:b/>
          <w:sz w:val="24"/>
          <w:szCs w:val="24"/>
          <w:lang w:val="fr-FR" w:eastAsia="fr-FR"/>
        </w:rPr>
      </w:pPr>
    </w:p>
    <w:p w:rsidR="007F3DC3" w:rsidRPr="003E743A" w:rsidRDefault="007F3DC3" w:rsidP="007F3DC3">
      <w:pPr>
        <w:pStyle w:val="PargrafodaLista"/>
        <w:keepNext/>
        <w:spacing w:before="240" w:after="240"/>
        <w:ind w:left="450" w:right="284"/>
        <w:jc w:val="both"/>
        <w:rPr>
          <w:rFonts w:ascii="Times New Roman" w:hAnsi="Times New Roman"/>
          <w:b/>
          <w:sz w:val="24"/>
          <w:szCs w:val="24"/>
          <w:lang w:val="fr-FR" w:eastAsia="fr-FR"/>
        </w:rPr>
      </w:pPr>
    </w:p>
    <w:p w:rsidR="007F3DC3" w:rsidRPr="003E743A" w:rsidRDefault="007F3DC3" w:rsidP="007F3DC3">
      <w:pPr>
        <w:pStyle w:val="PargrafodaLista"/>
        <w:keepNext/>
        <w:spacing w:before="240" w:after="240"/>
        <w:ind w:left="450" w:right="284"/>
        <w:jc w:val="both"/>
        <w:rPr>
          <w:rFonts w:ascii="Times New Roman" w:hAnsi="Times New Roman"/>
          <w:b/>
          <w:sz w:val="24"/>
          <w:szCs w:val="24"/>
          <w:lang w:val="fr-FR" w:eastAsia="fr-FR"/>
        </w:rPr>
      </w:pPr>
    </w:p>
    <w:p w:rsidR="007F3DC3" w:rsidRPr="003E743A" w:rsidRDefault="007F3DC3" w:rsidP="007F3DC3">
      <w:pPr>
        <w:pStyle w:val="PargrafodaLista"/>
        <w:keepNext/>
        <w:spacing w:before="240" w:after="240"/>
        <w:ind w:left="450" w:right="284"/>
        <w:jc w:val="both"/>
        <w:rPr>
          <w:rFonts w:ascii="Times New Roman" w:hAnsi="Times New Roman"/>
          <w:b/>
          <w:sz w:val="24"/>
          <w:szCs w:val="24"/>
          <w:lang w:val="fr-FR" w:eastAsia="fr-FR"/>
        </w:rPr>
      </w:pPr>
    </w:p>
    <w:p w:rsidR="007F3DC3" w:rsidRPr="003E743A" w:rsidRDefault="007F3DC3" w:rsidP="007F3DC3">
      <w:pPr>
        <w:pStyle w:val="PargrafodaLista"/>
        <w:keepNext/>
        <w:spacing w:before="240" w:after="240"/>
        <w:ind w:left="450" w:right="284"/>
        <w:jc w:val="both"/>
        <w:rPr>
          <w:rFonts w:ascii="Times New Roman" w:hAnsi="Times New Roman"/>
          <w:b/>
          <w:sz w:val="24"/>
          <w:szCs w:val="24"/>
          <w:lang w:val="fr-FR" w:eastAsia="fr-FR"/>
        </w:rPr>
      </w:pPr>
    </w:p>
    <w:p w:rsidR="007F3DC3" w:rsidRPr="003E743A" w:rsidRDefault="007F3DC3" w:rsidP="007F3DC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color w:val="000000"/>
          <w:sz w:val="24"/>
          <w:szCs w:val="27"/>
          <w:highlight w:val="green"/>
          <w:lang w:eastAsia="fr-FR"/>
        </w:rPr>
      </w:pPr>
    </w:p>
    <w:p w:rsidR="007F3DC3" w:rsidRPr="003E743A" w:rsidRDefault="007F3DC3" w:rsidP="007F3DC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color w:val="000000"/>
          <w:sz w:val="24"/>
          <w:szCs w:val="27"/>
          <w:highlight w:val="green"/>
          <w:lang w:eastAsia="fr-FR"/>
        </w:rPr>
      </w:pPr>
    </w:p>
    <w:p w:rsidR="007F3DC3" w:rsidRPr="003E743A" w:rsidRDefault="007F3DC3" w:rsidP="007F3DC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color w:val="000000"/>
          <w:sz w:val="24"/>
          <w:szCs w:val="27"/>
          <w:highlight w:val="green"/>
          <w:lang w:eastAsia="fr-FR"/>
        </w:rPr>
      </w:pPr>
    </w:p>
    <w:p w:rsidR="007F3DC3" w:rsidRPr="003E743A" w:rsidRDefault="007F3DC3" w:rsidP="007F3DC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color w:val="000000"/>
          <w:sz w:val="24"/>
          <w:szCs w:val="27"/>
          <w:highlight w:val="green"/>
          <w:lang w:eastAsia="fr-FR"/>
        </w:rPr>
      </w:pPr>
    </w:p>
    <w:p w:rsidR="007F3DC3" w:rsidRPr="003E743A" w:rsidRDefault="007F3DC3" w:rsidP="007F3DC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color w:val="000000"/>
          <w:sz w:val="24"/>
          <w:szCs w:val="27"/>
          <w:highlight w:val="green"/>
          <w:lang w:eastAsia="fr-FR"/>
        </w:rPr>
      </w:pPr>
    </w:p>
    <w:p w:rsidR="007F3DC3" w:rsidRPr="003E743A" w:rsidRDefault="007F3DC3" w:rsidP="007F3DC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color w:val="000000"/>
          <w:sz w:val="24"/>
          <w:szCs w:val="27"/>
          <w:highlight w:val="green"/>
          <w:lang w:eastAsia="fr-FR"/>
        </w:rPr>
      </w:pPr>
    </w:p>
    <w:p w:rsidR="007F3DC3" w:rsidRPr="002D4EA0" w:rsidRDefault="002D4EA0" w:rsidP="002D4EA0">
      <w:pPr>
        <w:pStyle w:val="PargrafodaLista"/>
        <w:keepNext/>
        <w:spacing w:before="240" w:after="240"/>
        <w:ind w:left="1158" w:right="284" w:firstLine="258"/>
        <w:jc w:val="both"/>
        <w:outlineLvl w:val="2"/>
        <w:rPr>
          <w:rFonts w:ascii="Times New Roman" w:hAnsi="Times New Roman"/>
          <w:b/>
          <w:sz w:val="24"/>
          <w:szCs w:val="24"/>
          <w:lang w:val="fr-FR" w:eastAsia="fr-FR"/>
        </w:rPr>
      </w:pPr>
      <w:bookmarkStart w:id="221" w:name="_Toc532558499"/>
      <w:bookmarkStart w:id="222" w:name="_Toc535396936"/>
      <w:bookmarkStart w:id="223" w:name="_Toc6310476"/>
      <w:bookmarkStart w:id="224" w:name="_Toc51072560"/>
      <w:r>
        <w:rPr>
          <w:rFonts w:ascii="Times New Roman" w:hAnsi="Times New Roman"/>
          <w:b/>
          <w:sz w:val="24"/>
          <w:szCs w:val="24"/>
          <w:lang w:val="fr-FR" w:eastAsia="fr-FR"/>
        </w:rPr>
        <w:t>5.4.2</w:t>
      </w:r>
      <w:r w:rsidR="007F3DC3" w:rsidRPr="002D4EA0">
        <w:rPr>
          <w:rFonts w:ascii="Times New Roman" w:hAnsi="Times New Roman"/>
          <w:b/>
          <w:sz w:val="24"/>
          <w:szCs w:val="24"/>
          <w:lang w:val="fr-FR" w:eastAsia="fr-FR"/>
        </w:rPr>
        <w:t>.  Ethnies</w:t>
      </w:r>
      <w:bookmarkEnd w:id="221"/>
      <w:bookmarkEnd w:id="222"/>
      <w:bookmarkEnd w:id="223"/>
      <w:bookmarkEnd w:id="224"/>
    </w:p>
    <w:p w:rsidR="007F3DC3" w:rsidRPr="004815B9" w:rsidRDefault="007F3DC3" w:rsidP="004815B9">
      <w:pPr>
        <w:autoSpaceDE w:val="0"/>
        <w:autoSpaceDN w:val="0"/>
        <w:adjustRightInd w:val="0"/>
        <w:spacing w:after="0" w:line="240" w:lineRule="auto"/>
        <w:ind w:left="-284"/>
        <w:jc w:val="both"/>
        <w:rPr>
          <w:rFonts w:ascii="Times New Roman" w:hAnsi="Times New Roman"/>
          <w:color w:val="000000"/>
          <w:sz w:val="24"/>
          <w:szCs w:val="24"/>
        </w:rPr>
      </w:pPr>
      <w:r w:rsidRPr="004815B9">
        <w:rPr>
          <w:rFonts w:ascii="Times New Roman" w:hAnsi="Times New Roman"/>
          <w:color w:val="000000"/>
          <w:sz w:val="24"/>
          <w:szCs w:val="24"/>
        </w:rPr>
        <w:t>Les différentes </w:t>
      </w:r>
      <w:hyperlink r:id="rId85" w:history="1">
        <w:r w:rsidRPr="004815B9">
          <w:rPr>
            <w:rFonts w:ascii="Times New Roman" w:hAnsi="Times New Roman"/>
            <w:color w:val="000000"/>
            <w:sz w:val="24"/>
            <w:szCs w:val="24"/>
          </w:rPr>
          <w:t>communautés ethniques</w:t>
        </w:r>
      </w:hyperlink>
      <w:r w:rsidRPr="004815B9">
        <w:rPr>
          <w:rFonts w:ascii="Times New Roman" w:hAnsi="Times New Roman"/>
          <w:color w:val="000000"/>
          <w:sz w:val="24"/>
          <w:szCs w:val="24"/>
        </w:rPr>
        <w:t> de Guinée-Bissau sont en de nombreux endroits - et notamment à </w:t>
      </w:r>
      <w:hyperlink r:id="rId86" w:history="1">
        <w:r w:rsidRPr="004815B9">
          <w:rPr>
            <w:rFonts w:ascii="Times New Roman" w:hAnsi="Times New Roman"/>
            <w:color w:val="000000"/>
            <w:sz w:val="24"/>
            <w:szCs w:val="24"/>
          </w:rPr>
          <w:t>Bissau</w:t>
        </w:r>
      </w:hyperlink>
      <w:r w:rsidRPr="004815B9">
        <w:rPr>
          <w:rFonts w:ascii="Times New Roman" w:hAnsi="Times New Roman"/>
          <w:color w:val="000000"/>
          <w:sz w:val="24"/>
          <w:szCs w:val="24"/>
        </w:rPr>
        <w:t>, totalement mélangées même si à l'intérieur même d'un village, les quartiers peuvent être divisés en quartiers ethniques. Les migrations à l'intérieur du territoire sont cependant importantes : migrations vers les villes (exode rural), migrations hors de zones de conflit (guerre en Casamance, </w:t>
      </w:r>
      <w:hyperlink r:id="rId87" w:history="1">
        <w:r w:rsidRPr="004815B9">
          <w:rPr>
            <w:rFonts w:ascii="Times New Roman" w:hAnsi="Times New Roman"/>
            <w:color w:val="000000"/>
            <w:sz w:val="24"/>
            <w:szCs w:val="24"/>
          </w:rPr>
          <w:t>évènements de la fin des années 90</w:t>
        </w:r>
      </w:hyperlink>
      <w:r w:rsidRPr="004815B9">
        <w:rPr>
          <w:rFonts w:ascii="Times New Roman" w:hAnsi="Times New Roman"/>
          <w:color w:val="000000"/>
          <w:sz w:val="24"/>
          <w:szCs w:val="24"/>
        </w:rPr>
        <w:t>), etc.</w:t>
      </w:r>
    </w:p>
    <w:p w:rsidR="007F3DC3" w:rsidRPr="004815B9" w:rsidRDefault="00E15410" w:rsidP="004815B9">
      <w:pPr>
        <w:autoSpaceDE w:val="0"/>
        <w:autoSpaceDN w:val="0"/>
        <w:adjustRightInd w:val="0"/>
        <w:spacing w:after="0" w:line="240" w:lineRule="auto"/>
        <w:ind w:left="-284"/>
        <w:jc w:val="both"/>
        <w:rPr>
          <w:rFonts w:ascii="Times New Roman" w:hAnsi="Times New Roman"/>
          <w:color w:val="000000"/>
          <w:sz w:val="24"/>
          <w:szCs w:val="24"/>
        </w:rPr>
      </w:pPr>
      <w:r>
        <w:rPr>
          <w:rFonts w:ascii="Times New Roman" w:hAnsi="Times New Roman"/>
          <w:color w:val="000000"/>
          <w:sz w:val="24"/>
          <w:szCs w:val="24"/>
        </w:rPr>
        <w:t>Cette carte (fig. 7</w:t>
      </w:r>
      <w:r w:rsidR="007F3DC3" w:rsidRPr="004815B9">
        <w:rPr>
          <w:rFonts w:ascii="Times New Roman" w:hAnsi="Times New Roman"/>
          <w:color w:val="000000"/>
          <w:sz w:val="24"/>
          <w:szCs w:val="24"/>
        </w:rPr>
        <w:t>) n'est donc qu'une représentation graphique de la répartition des grands groupes ethniques à travers le territoire bissau-guinéen. Elle ne prend pas en compte les nombreuses zones dans lesquelles certaines communautés sont minoritaires mais très présentes. Il n'est également pas rare qu'à l'intérieur d'une zone majoritairement occupée par des </w:t>
      </w:r>
      <w:hyperlink r:id="rId88" w:history="1">
        <w:r w:rsidR="007F3DC3" w:rsidRPr="004815B9">
          <w:rPr>
            <w:rFonts w:ascii="Times New Roman" w:hAnsi="Times New Roman"/>
            <w:color w:val="000000"/>
            <w:sz w:val="24"/>
            <w:szCs w:val="24"/>
          </w:rPr>
          <w:t>Balantes</w:t>
        </w:r>
      </w:hyperlink>
      <w:r w:rsidR="007F3DC3" w:rsidRPr="004815B9">
        <w:rPr>
          <w:rFonts w:ascii="Times New Roman" w:hAnsi="Times New Roman"/>
          <w:color w:val="000000"/>
          <w:sz w:val="24"/>
          <w:szCs w:val="24"/>
        </w:rPr>
        <w:t> - par exemple - un village 100% </w:t>
      </w:r>
      <w:hyperlink r:id="rId89" w:history="1">
        <w:r w:rsidR="007F3DC3" w:rsidRPr="004815B9">
          <w:rPr>
            <w:rFonts w:ascii="Times New Roman" w:hAnsi="Times New Roman"/>
            <w:color w:val="000000"/>
            <w:sz w:val="24"/>
            <w:szCs w:val="24"/>
          </w:rPr>
          <w:t>manjak</w:t>
        </w:r>
      </w:hyperlink>
      <w:r w:rsidR="007F3DC3" w:rsidRPr="004815B9">
        <w:rPr>
          <w:rFonts w:ascii="Times New Roman" w:hAnsi="Times New Roman"/>
          <w:color w:val="000000"/>
          <w:sz w:val="24"/>
          <w:szCs w:val="24"/>
        </w:rPr>
        <w:t> ait été créé.</w:t>
      </w:r>
    </w:p>
    <w:p w:rsidR="007F3DC3" w:rsidRPr="004815B9" w:rsidRDefault="007F3DC3" w:rsidP="004815B9">
      <w:pPr>
        <w:autoSpaceDE w:val="0"/>
        <w:autoSpaceDN w:val="0"/>
        <w:adjustRightInd w:val="0"/>
        <w:spacing w:after="0" w:line="240" w:lineRule="auto"/>
        <w:ind w:left="-284"/>
        <w:jc w:val="both"/>
        <w:rPr>
          <w:rFonts w:ascii="Times New Roman" w:hAnsi="Times New Roman"/>
          <w:color w:val="000000"/>
          <w:sz w:val="24"/>
          <w:szCs w:val="24"/>
        </w:rPr>
      </w:pPr>
      <w:r w:rsidRPr="004815B9">
        <w:rPr>
          <w:rFonts w:ascii="Times New Roman" w:hAnsi="Times New Roman"/>
          <w:color w:val="000000"/>
          <w:sz w:val="24"/>
          <w:szCs w:val="24"/>
        </w:rPr>
        <w:t>Répartition approximative des </w:t>
      </w:r>
      <w:hyperlink r:id="rId90" w:history="1">
        <w:r w:rsidRPr="004815B9">
          <w:rPr>
            <w:rFonts w:ascii="Times New Roman" w:hAnsi="Times New Roman"/>
            <w:color w:val="000000"/>
            <w:sz w:val="24"/>
            <w:szCs w:val="24"/>
          </w:rPr>
          <w:t>groupes ethniques</w:t>
        </w:r>
      </w:hyperlink>
      <w:r w:rsidRPr="004815B9">
        <w:rPr>
          <w:rFonts w:ascii="Times New Roman" w:hAnsi="Times New Roman"/>
          <w:color w:val="000000"/>
          <w:sz w:val="24"/>
          <w:szCs w:val="24"/>
        </w:rPr>
        <w:t> : </w:t>
      </w:r>
      <w:hyperlink r:id="rId91" w:history="1">
        <w:r w:rsidRPr="004815B9">
          <w:rPr>
            <w:rFonts w:ascii="Times New Roman" w:hAnsi="Times New Roman"/>
            <w:color w:val="000000"/>
            <w:sz w:val="24"/>
            <w:szCs w:val="24"/>
          </w:rPr>
          <w:t>Balantes</w:t>
        </w:r>
      </w:hyperlink>
      <w:r w:rsidRPr="004815B9">
        <w:rPr>
          <w:rFonts w:ascii="Times New Roman" w:hAnsi="Times New Roman"/>
          <w:color w:val="000000"/>
          <w:sz w:val="24"/>
          <w:szCs w:val="24"/>
        </w:rPr>
        <w:t> 30%, </w:t>
      </w:r>
      <w:hyperlink r:id="rId92" w:history="1">
        <w:r w:rsidRPr="004815B9">
          <w:rPr>
            <w:rFonts w:ascii="Times New Roman" w:hAnsi="Times New Roman"/>
            <w:color w:val="000000"/>
            <w:sz w:val="24"/>
            <w:szCs w:val="24"/>
          </w:rPr>
          <w:t>Peulhs</w:t>
        </w:r>
      </w:hyperlink>
      <w:r w:rsidRPr="004815B9">
        <w:rPr>
          <w:rFonts w:ascii="Times New Roman" w:hAnsi="Times New Roman"/>
          <w:color w:val="000000"/>
          <w:sz w:val="24"/>
          <w:szCs w:val="24"/>
        </w:rPr>
        <w:t> 20%, Mandingues 14%, </w:t>
      </w:r>
      <w:hyperlink r:id="rId93" w:history="1">
        <w:r w:rsidRPr="004815B9">
          <w:rPr>
            <w:rFonts w:ascii="Times New Roman" w:hAnsi="Times New Roman"/>
            <w:color w:val="000000"/>
            <w:sz w:val="24"/>
            <w:szCs w:val="24"/>
          </w:rPr>
          <w:t>Manjaks</w:t>
        </w:r>
      </w:hyperlink>
      <w:r w:rsidRPr="004815B9">
        <w:rPr>
          <w:rFonts w:ascii="Times New Roman" w:hAnsi="Times New Roman"/>
          <w:color w:val="000000"/>
          <w:sz w:val="24"/>
          <w:szCs w:val="24"/>
        </w:rPr>
        <w:t> 13%, </w:t>
      </w:r>
      <w:hyperlink r:id="rId94" w:history="1">
        <w:r w:rsidRPr="004815B9">
          <w:rPr>
            <w:rFonts w:ascii="Times New Roman" w:hAnsi="Times New Roman"/>
            <w:color w:val="000000"/>
            <w:sz w:val="24"/>
            <w:szCs w:val="24"/>
          </w:rPr>
          <w:t>Papels</w:t>
        </w:r>
      </w:hyperlink>
      <w:r w:rsidRPr="004815B9">
        <w:rPr>
          <w:rFonts w:ascii="Times New Roman" w:hAnsi="Times New Roman"/>
          <w:color w:val="000000"/>
          <w:sz w:val="24"/>
          <w:szCs w:val="24"/>
        </w:rPr>
        <w:t> 7%, Beafadas 3%, </w:t>
      </w:r>
      <w:hyperlink r:id="rId95" w:history="1">
        <w:r w:rsidRPr="004815B9">
          <w:rPr>
            <w:rFonts w:ascii="Times New Roman" w:hAnsi="Times New Roman"/>
            <w:color w:val="000000"/>
            <w:sz w:val="24"/>
            <w:szCs w:val="24"/>
          </w:rPr>
          <w:t>Mankagnes</w:t>
        </w:r>
      </w:hyperlink>
      <w:r w:rsidRPr="004815B9">
        <w:rPr>
          <w:rFonts w:ascii="Times New Roman" w:hAnsi="Times New Roman"/>
          <w:color w:val="000000"/>
          <w:sz w:val="24"/>
          <w:szCs w:val="24"/>
        </w:rPr>
        <w:t> 3%, </w:t>
      </w:r>
      <w:hyperlink r:id="rId96" w:history="1">
        <w:r w:rsidRPr="004815B9">
          <w:rPr>
            <w:rFonts w:ascii="Times New Roman" w:hAnsi="Times New Roman"/>
            <w:color w:val="000000"/>
            <w:sz w:val="24"/>
            <w:szCs w:val="24"/>
          </w:rPr>
          <w:t>Bijagos</w:t>
        </w:r>
      </w:hyperlink>
      <w:r w:rsidRPr="004815B9">
        <w:rPr>
          <w:rFonts w:ascii="Times New Roman" w:hAnsi="Times New Roman"/>
          <w:color w:val="000000"/>
          <w:sz w:val="24"/>
          <w:szCs w:val="24"/>
        </w:rPr>
        <w:t> 2,5%</w:t>
      </w:r>
    </w:p>
    <w:p w:rsidR="007F3DC3" w:rsidRDefault="007F3DC3" w:rsidP="007F3DC3">
      <w:pPr>
        <w:pStyle w:val="NormalWeb"/>
        <w:shd w:val="clear" w:color="auto" w:fill="48796A"/>
        <w:jc w:val="center"/>
        <w:rPr>
          <w:rFonts w:ascii="Verdana" w:hAnsi="Verdana"/>
          <w:color w:val="FFFFCC"/>
          <w:sz w:val="18"/>
          <w:szCs w:val="18"/>
        </w:rPr>
      </w:pPr>
      <w:r>
        <w:rPr>
          <w:rFonts w:ascii="Verdana" w:hAnsi="Verdana"/>
          <w:noProof/>
          <w:color w:val="FFFFCC"/>
          <w:sz w:val="18"/>
          <w:szCs w:val="18"/>
          <w:lang w:val="pt-PT" w:eastAsia="pt-PT"/>
        </w:rPr>
        <w:lastRenderedPageBreak/>
        <w:drawing>
          <wp:inline distT="0" distB="0" distL="0" distR="0" wp14:anchorId="1418BFB4" wp14:editId="147F1364">
            <wp:extent cx="6315354" cy="4267200"/>
            <wp:effectExtent l="0" t="0" r="9525" b="0"/>
            <wp:docPr id="44" name="Image 44" descr="Répartition géographiques des ethnies de Guinée-Bissa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Répartition géographiques des ethnies de Guinée-Bissau"/>
                    <pic:cNvPicPr>
                      <a:picLocks noChangeAspect="1" noChangeArrowheads="1"/>
                    </pic:cNvPicPr>
                  </pic:nvPicPr>
                  <pic:blipFill>
                    <a:blip r:embed="rId97" cstate="email">
                      <a:extLst>
                        <a:ext uri="{28A0092B-C50C-407E-A947-70E740481C1C}">
                          <a14:useLocalDpi xmlns:a14="http://schemas.microsoft.com/office/drawing/2010/main"/>
                        </a:ext>
                      </a:extLst>
                    </a:blip>
                    <a:srcRect/>
                    <a:stretch>
                      <a:fillRect/>
                    </a:stretch>
                  </pic:blipFill>
                  <pic:spPr bwMode="auto">
                    <a:xfrm>
                      <a:off x="0" y="0"/>
                      <a:ext cx="6370843" cy="4304693"/>
                    </a:xfrm>
                    <a:prstGeom prst="rect">
                      <a:avLst/>
                    </a:prstGeom>
                    <a:noFill/>
                    <a:ln>
                      <a:noFill/>
                    </a:ln>
                  </pic:spPr>
                </pic:pic>
              </a:graphicData>
            </a:graphic>
          </wp:inline>
        </w:drawing>
      </w:r>
    </w:p>
    <w:p w:rsidR="007F3DC3" w:rsidRDefault="007F3DC3" w:rsidP="007F3DC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
          <w:sz w:val="20"/>
          <w:szCs w:val="20"/>
        </w:rPr>
      </w:pPr>
    </w:p>
    <w:p w:rsidR="007F3DC3" w:rsidRPr="00FC2BF5" w:rsidRDefault="007F3DC3" w:rsidP="007F3DC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color w:val="000000"/>
          <w:sz w:val="20"/>
          <w:szCs w:val="20"/>
          <w:lang w:eastAsia="fr-FR"/>
        </w:rPr>
      </w:pPr>
      <w:bookmarkStart w:id="225" w:name="_Toc4770179"/>
      <w:bookmarkStart w:id="226" w:name="_Toc32512029"/>
      <w:r w:rsidRPr="00FC2BF5">
        <w:rPr>
          <w:rFonts w:ascii="Times New Roman" w:hAnsi="Times New Roman" w:cs="Times New Roman"/>
          <w:b/>
          <w:sz w:val="20"/>
          <w:szCs w:val="20"/>
        </w:rPr>
        <w:t xml:space="preserve">Figure </w:t>
      </w:r>
      <w:r w:rsidRPr="00FC2BF5">
        <w:rPr>
          <w:rFonts w:ascii="Times New Roman" w:hAnsi="Times New Roman" w:cs="Times New Roman"/>
          <w:b/>
          <w:sz w:val="20"/>
          <w:szCs w:val="20"/>
        </w:rPr>
        <w:fldChar w:fldCharType="begin"/>
      </w:r>
      <w:r w:rsidRPr="00FC2BF5">
        <w:rPr>
          <w:rFonts w:ascii="Times New Roman" w:hAnsi="Times New Roman" w:cs="Times New Roman"/>
          <w:b/>
          <w:sz w:val="20"/>
          <w:szCs w:val="20"/>
        </w:rPr>
        <w:instrText xml:space="preserve"> SEQ Figure \* ARABIC </w:instrText>
      </w:r>
      <w:r w:rsidRPr="00FC2BF5">
        <w:rPr>
          <w:rFonts w:ascii="Times New Roman" w:hAnsi="Times New Roman" w:cs="Times New Roman"/>
          <w:b/>
          <w:sz w:val="20"/>
          <w:szCs w:val="20"/>
        </w:rPr>
        <w:fldChar w:fldCharType="separate"/>
      </w:r>
      <w:r w:rsidR="002C6E60">
        <w:rPr>
          <w:rFonts w:ascii="Times New Roman" w:hAnsi="Times New Roman" w:cs="Times New Roman"/>
          <w:b/>
          <w:noProof/>
          <w:sz w:val="20"/>
          <w:szCs w:val="20"/>
        </w:rPr>
        <w:t>7</w:t>
      </w:r>
      <w:r w:rsidRPr="00FC2BF5">
        <w:rPr>
          <w:rFonts w:ascii="Times New Roman" w:hAnsi="Times New Roman" w:cs="Times New Roman"/>
          <w:b/>
          <w:sz w:val="20"/>
          <w:szCs w:val="20"/>
        </w:rPr>
        <w:fldChar w:fldCharType="end"/>
      </w:r>
      <w:r w:rsidRPr="00FC2BF5">
        <w:rPr>
          <w:rFonts w:ascii="Times New Roman" w:hAnsi="Times New Roman" w:cs="Times New Roman"/>
          <w:b/>
          <w:sz w:val="20"/>
          <w:szCs w:val="20"/>
        </w:rPr>
        <w:t> : représentation graphique de la répartition des grands groupes ethniques</w:t>
      </w:r>
      <w:bookmarkEnd w:id="225"/>
      <w:bookmarkEnd w:id="226"/>
    </w:p>
    <w:p w:rsidR="007F3DC3" w:rsidRDefault="007F3DC3" w:rsidP="007F3DC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color w:val="000000"/>
          <w:sz w:val="24"/>
          <w:szCs w:val="27"/>
          <w:lang w:eastAsia="fr-FR"/>
        </w:rPr>
      </w:pPr>
    </w:p>
    <w:p w:rsidR="007F3DC3" w:rsidRPr="004815B9" w:rsidRDefault="007F3DC3" w:rsidP="004815B9">
      <w:pPr>
        <w:autoSpaceDE w:val="0"/>
        <w:autoSpaceDN w:val="0"/>
        <w:adjustRightInd w:val="0"/>
        <w:spacing w:after="0" w:line="240" w:lineRule="auto"/>
        <w:ind w:left="-284"/>
        <w:jc w:val="both"/>
        <w:rPr>
          <w:rFonts w:ascii="Times New Roman" w:hAnsi="Times New Roman"/>
          <w:color w:val="000000"/>
          <w:sz w:val="24"/>
          <w:szCs w:val="24"/>
        </w:rPr>
      </w:pPr>
      <w:r w:rsidRPr="004815B9">
        <w:rPr>
          <w:rFonts w:ascii="Times New Roman" w:hAnsi="Times New Roman"/>
          <w:color w:val="000000"/>
          <w:sz w:val="24"/>
          <w:szCs w:val="24"/>
        </w:rPr>
        <w:t xml:space="preserve">La langue officielle est le portugais, mais le créole est une des langues interethniques la plus parlée, notamment à Bissau. Toutefois, les ethnies principales conservent leurs langues d'origine. </w:t>
      </w:r>
    </w:p>
    <w:p w:rsidR="007F3DC3" w:rsidRPr="002D4EA0" w:rsidRDefault="002D4EA0" w:rsidP="002D4EA0">
      <w:pPr>
        <w:pStyle w:val="PargrafodaLista"/>
        <w:keepNext/>
        <w:spacing w:before="240" w:after="240"/>
        <w:ind w:left="1158" w:right="284" w:firstLine="258"/>
        <w:jc w:val="both"/>
        <w:outlineLvl w:val="2"/>
        <w:rPr>
          <w:rFonts w:ascii="Times New Roman" w:hAnsi="Times New Roman"/>
          <w:b/>
          <w:sz w:val="24"/>
          <w:szCs w:val="24"/>
          <w:lang w:val="fr-FR" w:eastAsia="fr-FR"/>
        </w:rPr>
      </w:pPr>
      <w:bookmarkStart w:id="227" w:name="_Toc535396937"/>
      <w:bookmarkStart w:id="228" w:name="_Toc6310477"/>
      <w:bookmarkStart w:id="229" w:name="_Toc51072561"/>
      <w:r>
        <w:rPr>
          <w:rFonts w:ascii="Times New Roman" w:hAnsi="Times New Roman"/>
          <w:b/>
          <w:sz w:val="24"/>
          <w:szCs w:val="24"/>
          <w:lang w:val="fr-FR" w:eastAsia="fr-FR"/>
        </w:rPr>
        <w:t>5.4.3</w:t>
      </w:r>
      <w:r w:rsidR="007F3DC3" w:rsidRPr="002D4EA0">
        <w:rPr>
          <w:rFonts w:ascii="Times New Roman" w:hAnsi="Times New Roman"/>
          <w:b/>
          <w:sz w:val="24"/>
          <w:szCs w:val="24"/>
          <w:lang w:val="fr-FR" w:eastAsia="fr-FR"/>
        </w:rPr>
        <w:t>.  Religions</w:t>
      </w:r>
      <w:bookmarkEnd w:id="227"/>
      <w:bookmarkEnd w:id="228"/>
      <w:bookmarkEnd w:id="229"/>
    </w:p>
    <w:p w:rsidR="007F3DC3" w:rsidRPr="004815B9" w:rsidRDefault="007F3DC3" w:rsidP="004815B9">
      <w:pPr>
        <w:autoSpaceDE w:val="0"/>
        <w:autoSpaceDN w:val="0"/>
        <w:adjustRightInd w:val="0"/>
        <w:spacing w:after="0" w:line="240" w:lineRule="auto"/>
        <w:ind w:left="-284"/>
        <w:jc w:val="both"/>
        <w:rPr>
          <w:rFonts w:ascii="Times New Roman" w:hAnsi="Times New Roman"/>
          <w:color w:val="000000"/>
          <w:sz w:val="24"/>
          <w:szCs w:val="24"/>
        </w:rPr>
      </w:pPr>
      <w:r w:rsidRPr="004815B9">
        <w:rPr>
          <w:rFonts w:ascii="Times New Roman" w:hAnsi="Times New Roman"/>
          <w:color w:val="000000"/>
          <w:sz w:val="24"/>
          <w:szCs w:val="24"/>
        </w:rPr>
        <w:t>Au niveau de la religion, on distingue trois (03) principales religi</w:t>
      </w:r>
      <w:r w:rsidR="00E74419">
        <w:rPr>
          <w:rFonts w:ascii="Times New Roman" w:hAnsi="Times New Roman"/>
          <w:color w:val="000000"/>
          <w:sz w:val="24"/>
          <w:szCs w:val="24"/>
        </w:rPr>
        <w:t xml:space="preserve">ons qui sont : 19,7 % chrétiens </w:t>
      </w:r>
      <w:r w:rsidRPr="004815B9">
        <w:rPr>
          <w:rFonts w:ascii="Times New Roman" w:hAnsi="Times New Roman"/>
          <w:color w:val="000000"/>
          <w:sz w:val="24"/>
          <w:szCs w:val="24"/>
        </w:rPr>
        <w:t>30,1% musulmans, 30,9% religions traditionnelles.</w:t>
      </w:r>
    </w:p>
    <w:p w:rsidR="007F3DC3" w:rsidRPr="002D4EA0" w:rsidRDefault="002D4EA0" w:rsidP="002D4EA0">
      <w:pPr>
        <w:pStyle w:val="PargrafodaLista"/>
        <w:keepNext/>
        <w:spacing w:before="240" w:after="240"/>
        <w:ind w:left="1158" w:right="284" w:firstLine="258"/>
        <w:jc w:val="both"/>
        <w:outlineLvl w:val="2"/>
        <w:rPr>
          <w:rFonts w:ascii="Times New Roman" w:hAnsi="Times New Roman"/>
          <w:b/>
          <w:sz w:val="24"/>
          <w:szCs w:val="24"/>
          <w:lang w:val="fr-FR" w:eastAsia="fr-FR"/>
        </w:rPr>
      </w:pPr>
      <w:bookmarkStart w:id="230" w:name="_Toc535396940"/>
      <w:bookmarkStart w:id="231" w:name="_Toc6310480"/>
      <w:bookmarkStart w:id="232" w:name="_Toc51072562"/>
      <w:r>
        <w:rPr>
          <w:rFonts w:ascii="Times New Roman" w:hAnsi="Times New Roman"/>
          <w:b/>
          <w:sz w:val="24"/>
          <w:szCs w:val="24"/>
          <w:lang w:val="fr-FR" w:eastAsia="fr-FR"/>
        </w:rPr>
        <w:t>5.4.4</w:t>
      </w:r>
      <w:r w:rsidR="007F3DC3" w:rsidRPr="002D4EA0">
        <w:rPr>
          <w:rFonts w:ascii="Times New Roman" w:hAnsi="Times New Roman"/>
          <w:b/>
          <w:sz w:val="24"/>
          <w:szCs w:val="24"/>
          <w:lang w:val="fr-FR" w:eastAsia="fr-FR"/>
        </w:rPr>
        <w:t>. Ressources agricoles</w:t>
      </w:r>
      <w:bookmarkEnd w:id="230"/>
      <w:bookmarkEnd w:id="231"/>
      <w:bookmarkEnd w:id="232"/>
    </w:p>
    <w:p w:rsidR="007F3DC3" w:rsidRPr="003E743A" w:rsidRDefault="007F3DC3" w:rsidP="004815B9">
      <w:pPr>
        <w:autoSpaceDE w:val="0"/>
        <w:autoSpaceDN w:val="0"/>
        <w:adjustRightInd w:val="0"/>
        <w:spacing w:after="0" w:line="240" w:lineRule="auto"/>
        <w:ind w:left="-284"/>
        <w:jc w:val="both"/>
        <w:rPr>
          <w:rFonts w:ascii="Times New Roman" w:eastAsia="Calibri" w:hAnsi="Times New Roman"/>
          <w:b/>
          <w:sz w:val="24"/>
          <w:szCs w:val="24"/>
        </w:rPr>
      </w:pPr>
      <w:r w:rsidRPr="004815B9">
        <w:rPr>
          <w:rFonts w:ascii="Times New Roman" w:hAnsi="Times New Roman"/>
          <w:color w:val="000000"/>
          <w:sz w:val="24"/>
          <w:szCs w:val="24"/>
        </w:rPr>
        <w:t>L'agriculture est considérée comme la base de l'économie de la Guinée-Bissau pour son poids dans l'économie nationale et dans la consommation de la population (Plan d'action de la Charte de la politique de développement agricole, décembre 1997). Il contribue pour 50% au produit intérieur brut (PIB), emploie le plus environ 80% de la population active et, en 1999, fournissait environ 95,2% des recettes</w:t>
      </w:r>
      <w:r w:rsidRPr="003E743A">
        <w:rPr>
          <w:rFonts w:ascii="Times New Roman" w:eastAsia="Times New Roman" w:hAnsi="Times New Roman"/>
          <w:color w:val="000000"/>
          <w:sz w:val="24"/>
          <w:szCs w:val="24"/>
          <w:lang w:eastAsia="fr-FR"/>
        </w:rPr>
        <w:t xml:space="preserve"> d'exportation totales du pays. La zone en faveur des activités agricoles couvre une superficie de </w:t>
      </w:r>
      <w:r w:rsidRPr="003E743A">
        <w:rPr>
          <w:rFonts w:ascii="Times New Roman" w:eastAsia="Times New Roman" w:hAnsi="Times New Roman"/>
          <w:b/>
          <w:i/>
          <w:color w:val="000000"/>
          <w:sz w:val="24"/>
          <w:szCs w:val="24"/>
          <w:lang w:eastAsia="fr-FR"/>
        </w:rPr>
        <w:t>1 100 000</w:t>
      </w:r>
      <w:r w:rsidRPr="003E743A">
        <w:rPr>
          <w:rFonts w:ascii="Times New Roman" w:eastAsia="Times New Roman" w:hAnsi="Times New Roman"/>
          <w:color w:val="000000"/>
          <w:sz w:val="24"/>
          <w:szCs w:val="24"/>
          <w:lang w:eastAsia="fr-FR"/>
        </w:rPr>
        <w:t xml:space="preserve"> </w:t>
      </w:r>
      <w:r w:rsidRPr="003E743A">
        <w:rPr>
          <w:rFonts w:ascii="Times New Roman" w:eastAsia="Times New Roman" w:hAnsi="Times New Roman"/>
          <w:b/>
          <w:i/>
          <w:color w:val="000000"/>
          <w:sz w:val="24"/>
          <w:szCs w:val="24"/>
          <w:lang w:eastAsia="fr-FR"/>
        </w:rPr>
        <w:t>hectares</w:t>
      </w:r>
      <w:r w:rsidRPr="003E743A">
        <w:rPr>
          <w:rFonts w:ascii="Times New Roman" w:eastAsia="Times New Roman" w:hAnsi="Times New Roman"/>
          <w:color w:val="000000"/>
          <w:sz w:val="24"/>
          <w:szCs w:val="24"/>
          <w:lang w:eastAsia="fr-FR"/>
        </w:rPr>
        <w:t>, soit un tiers de la superficie totale du pays.</w:t>
      </w:r>
    </w:p>
    <w:p w:rsidR="007F3DC3" w:rsidRPr="004815B9" w:rsidRDefault="007F3DC3" w:rsidP="004815B9">
      <w:pPr>
        <w:autoSpaceDE w:val="0"/>
        <w:autoSpaceDN w:val="0"/>
        <w:adjustRightInd w:val="0"/>
        <w:spacing w:after="0" w:line="240" w:lineRule="auto"/>
        <w:ind w:left="-284"/>
        <w:jc w:val="both"/>
        <w:rPr>
          <w:rFonts w:ascii="Times New Roman" w:hAnsi="Times New Roman"/>
          <w:color w:val="000000"/>
          <w:sz w:val="24"/>
          <w:szCs w:val="24"/>
        </w:rPr>
      </w:pPr>
      <w:r w:rsidRPr="004815B9">
        <w:rPr>
          <w:rFonts w:ascii="Times New Roman" w:hAnsi="Times New Roman"/>
          <w:color w:val="000000"/>
          <w:sz w:val="24"/>
          <w:szCs w:val="24"/>
        </w:rPr>
        <w:t>La superficie utilisée n'est que de 400 000 hectares, dont 220 000 sont consacrés aux cultures de riz, d'arachides, de manioc, de maïs, de sorgho, de pomme de terre et patates douces, entre autres. Sur les 180 000 hectares restants, davantage de cultures commerciales telles que la noix de cajou, les noix de palme, les fruits tropicaux et autres (Plan d’action pour les PMA, page 8, 2000) sont réalisées.</w:t>
      </w:r>
    </w:p>
    <w:p w:rsidR="007F3DC3" w:rsidRPr="004815B9" w:rsidRDefault="007F3DC3" w:rsidP="004815B9">
      <w:pPr>
        <w:autoSpaceDE w:val="0"/>
        <w:autoSpaceDN w:val="0"/>
        <w:adjustRightInd w:val="0"/>
        <w:spacing w:after="0" w:line="240" w:lineRule="auto"/>
        <w:ind w:left="-284"/>
        <w:jc w:val="both"/>
        <w:rPr>
          <w:rFonts w:ascii="Times New Roman" w:hAnsi="Times New Roman"/>
          <w:color w:val="000000"/>
          <w:sz w:val="24"/>
          <w:szCs w:val="24"/>
        </w:rPr>
      </w:pPr>
      <w:r w:rsidRPr="004815B9">
        <w:rPr>
          <w:rFonts w:ascii="Times New Roman" w:hAnsi="Times New Roman"/>
          <w:color w:val="000000"/>
          <w:sz w:val="24"/>
          <w:szCs w:val="24"/>
        </w:rPr>
        <w:t xml:space="preserve">Bien que défini comme le secteur prioritaire dans la stratégie de développement du pays, la réalité est que les ressources attribuées à ce secteur ont été insuffisantes pour le développement attendu. Les données du </w:t>
      </w:r>
      <w:r w:rsidRPr="004815B9">
        <w:rPr>
          <w:rFonts w:ascii="Times New Roman" w:hAnsi="Times New Roman"/>
          <w:color w:val="000000"/>
          <w:sz w:val="24"/>
          <w:szCs w:val="24"/>
        </w:rPr>
        <w:lastRenderedPageBreak/>
        <w:t>Plan d'action pour les PMA indiquent que, pendant la période 1997-1999, les ressources financières allouées à ce secteur n'ont pas dépassé en moyenne 0,86% du produit intérieur brut (PIB). Malgré son importance pour garantir la subsistance d'une grande majorité de la population, le secteur agricole a connu un développement bien en deçà des attentes, les agriculteurs ayant un faible niveau de formation face aux technologies modernes, l'accès à un crédit limité, travaillant souvent la terre pour le compte de tiers, principalement dans les entreprises exportatrices et à faible productivité agraire dans les propriétés individuelles.</w:t>
      </w:r>
    </w:p>
    <w:p w:rsidR="007F3DC3" w:rsidRPr="004815B9" w:rsidRDefault="007F3DC3" w:rsidP="004815B9">
      <w:pPr>
        <w:autoSpaceDE w:val="0"/>
        <w:autoSpaceDN w:val="0"/>
        <w:adjustRightInd w:val="0"/>
        <w:spacing w:after="0" w:line="240" w:lineRule="auto"/>
        <w:ind w:left="-284"/>
        <w:jc w:val="both"/>
        <w:rPr>
          <w:rFonts w:ascii="Times New Roman" w:hAnsi="Times New Roman"/>
          <w:color w:val="000000"/>
          <w:sz w:val="24"/>
          <w:szCs w:val="24"/>
        </w:rPr>
      </w:pPr>
      <w:r w:rsidRPr="004815B9">
        <w:rPr>
          <w:rFonts w:ascii="Times New Roman" w:hAnsi="Times New Roman"/>
          <w:color w:val="000000"/>
          <w:sz w:val="24"/>
          <w:szCs w:val="24"/>
        </w:rPr>
        <w:t>Cependant, le secteur a enregistré une certaine croissance, à la fois en volume et en valeur, grâce aux investissements privés. Par exemple, la production à prix constants (1986) de 1990 à 1999, stimulée par l’amélioration relative des prix à la production, est passée de 42,9 milliards de francs en 1990 à 54,2 milliards de francs en 1999, soit plus de 26%.</w:t>
      </w:r>
    </w:p>
    <w:p w:rsidR="007F3DC3" w:rsidRPr="004815B9" w:rsidRDefault="007F3DC3" w:rsidP="004815B9">
      <w:pPr>
        <w:autoSpaceDE w:val="0"/>
        <w:autoSpaceDN w:val="0"/>
        <w:adjustRightInd w:val="0"/>
        <w:spacing w:after="0" w:line="240" w:lineRule="auto"/>
        <w:ind w:left="-284"/>
        <w:jc w:val="both"/>
        <w:rPr>
          <w:rFonts w:ascii="Times New Roman" w:hAnsi="Times New Roman"/>
          <w:color w:val="000000"/>
          <w:sz w:val="24"/>
          <w:szCs w:val="24"/>
        </w:rPr>
      </w:pPr>
      <w:r w:rsidRPr="004815B9">
        <w:rPr>
          <w:rFonts w:ascii="Times New Roman" w:hAnsi="Times New Roman"/>
          <w:color w:val="000000"/>
          <w:sz w:val="24"/>
          <w:szCs w:val="24"/>
        </w:rPr>
        <w:t>La production céréalière a également augmenté entre 1994 et 1997, à l'exception de 1996, où la production a enregistré un taux négatif de -1,6%. En 1998, à la suite d'un conflit politique militaire, la production de céréales a diminué de 6%. Cette tendance s’est inversée en 1999, même si elle reste insuffisante pour couvrir les besoins alimentaires de la population.</w:t>
      </w:r>
    </w:p>
    <w:p w:rsidR="007F3DC3" w:rsidRPr="004815B9" w:rsidRDefault="007F3DC3" w:rsidP="004815B9">
      <w:pPr>
        <w:autoSpaceDE w:val="0"/>
        <w:autoSpaceDN w:val="0"/>
        <w:adjustRightInd w:val="0"/>
        <w:spacing w:after="0" w:line="240" w:lineRule="auto"/>
        <w:ind w:left="-284"/>
        <w:jc w:val="both"/>
        <w:rPr>
          <w:rFonts w:ascii="Times New Roman" w:hAnsi="Times New Roman"/>
          <w:color w:val="000000"/>
          <w:sz w:val="24"/>
          <w:szCs w:val="24"/>
        </w:rPr>
      </w:pPr>
      <w:r w:rsidRPr="004815B9">
        <w:rPr>
          <w:rFonts w:ascii="Times New Roman" w:hAnsi="Times New Roman"/>
          <w:color w:val="000000"/>
          <w:sz w:val="24"/>
          <w:szCs w:val="24"/>
        </w:rPr>
        <w:t>La production de tubercules, de patates douces, de légumes et de fruits a augmenté entre 1994 et 1997, respectivement de 80%, 91% et 156%.</w:t>
      </w:r>
    </w:p>
    <w:p w:rsidR="007F3DC3" w:rsidRPr="004E1FCB" w:rsidRDefault="00266D8A" w:rsidP="002D4EA0">
      <w:pPr>
        <w:pStyle w:val="PargrafodaLista"/>
        <w:keepNext/>
        <w:spacing w:before="240" w:after="240"/>
        <w:ind w:left="1158" w:right="284" w:firstLine="258"/>
        <w:jc w:val="both"/>
        <w:outlineLvl w:val="2"/>
        <w:rPr>
          <w:rFonts w:ascii="Times New Roman" w:hAnsi="Times New Roman"/>
          <w:b/>
          <w:sz w:val="24"/>
          <w:szCs w:val="24"/>
          <w:lang w:val="fr-FR" w:eastAsia="fr-FR"/>
        </w:rPr>
      </w:pPr>
      <w:bookmarkStart w:id="233" w:name="_Toc535396941"/>
      <w:bookmarkStart w:id="234" w:name="_Toc6310481"/>
      <w:bookmarkStart w:id="235" w:name="_Toc51072563"/>
      <w:r>
        <w:rPr>
          <w:rFonts w:ascii="Times New Roman" w:hAnsi="Times New Roman"/>
          <w:b/>
          <w:sz w:val="24"/>
          <w:szCs w:val="24"/>
          <w:lang w:val="fr-FR" w:eastAsia="fr-FR"/>
        </w:rPr>
        <w:t>5.4.5.</w:t>
      </w:r>
      <w:r w:rsidR="007F3DC3" w:rsidRPr="003E743A">
        <w:rPr>
          <w:rFonts w:ascii="Times New Roman" w:hAnsi="Times New Roman"/>
          <w:b/>
          <w:sz w:val="24"/>
          <w:szCs w:val="24"/>
          <w:lang w:val="fr-FR" w:eastAsia="fr-FR"/>
        </w:rPr>
        <w:t xml:space="preserve">  Ressources halieutiques</w:t>
      </w:r>
      <w:bookmarkEnd w:id="233"/>
      <w:bookmarkEnd w:id="234"/>
      <w:bookmarkEnd w:id="235"/>
    </w:p>
    <w:p w:rsidR="007F3DC3" w:rsidRPr="003E743A" w:rsidRDefault="007F3DC3" w:rsidP="00FA3FAE">
      <w:pPr>
        <w:pStyle w:val="PargrafodaLista"/>
        <w:numPr>
          <w:ilvl w:val="0"/>
          <w:numId w:val="60"/>
        </w:numPr>
        <w:spacing w:before="100" w:beforeAutospacing="1" w:after="100" w:afterAutospacing="1" w:line="240" w:lineRule="auto"/>
        <w:jc w:val="both"/>
        <w:rPr>
          <w:rFonts w:ascii="Times New Roman" w:eastAsia="Times New Roman" w:hAnsi="Times New Roman"/>
          <w:b/>
          <w:color w:val="000000"/>
          <w:sz w:val="24"/>
          <w:szCs w:val="24"/>
          <w:lang w:val="fr-FR" w:eastAsia="fr-FR"/>
        </w:rPr>
      </w:pPr>
      <w:r w:rsidRPr="003E743A">
        <w:rPr>
          <w:rFonts w:ascii="Times New Roman" w:eastAsia="Times New Roman" w:hAnsi="Times New Roman"/>
          <w:b/>
          <w:color w:val="000000"/>
          <w:sz w:val="24"/>
          <w:szCs w:val="24"/>
          <w:lang w:val="fr-FR" w:eastAsia="fr-FR"/>
        </w:rPr>
        <w:t xml:space="preserve">Potentialités du secteur </w:t>
      </w:r>
    </w:p>
    <w:p w:rsidR="007F3DC3" w:rsidRPr="004815B9" w:rsidRDefault="007F3DC3" w:rsidP="004815B9">
      <w:pPr>
        <w:autoSpaceDE w:val="0"/>
        <w:autoSpaceDN w:val="0"/>
        <w:adjustRightInd w:val="0"/>
        <w:spacing w:after="0" w:line="240" w:lineRule="auto"/>
        <w:ind w:left="-284"/>
        <w:jc w:val="both"/>
        <w:rPr>
          <w:rFonts w:ascii="Times New Roman" w:hAnsi="Times New Roman"/>
          <w:color w:val="000000"/>
          <w:sz w:val="24"/>
          <w:szCs w:val="24"/>
        </w:rPr>
      </w:pPr>
      <w:r w:rsidRPr="004815B9">
        <w:rPr>
          <w:rFonts w:ascii="Times New Roman" w:hAnsi="Times New Roman"/>
          <w:color w:val="000000"/>
          <w:sz w:val="24"/>
          <w:szCs w:val="24"/>
        </w:rPr>
        <w:t xml:space="preserve">Le pays possède un plateau continental de 45 000 km² s’étendant au sud-est de l'archipel des Bijagos. Le long de celui-ci, il y a trois zones </w:t>
      </w:r>
      <w:r w:rsidR="00187387" w:rsidRPr="004815B9">
        <w:rPr>
          <w:rFonts w:ascii="Times New Roman" w:hAnsi="Times New Roman"/>
          <w:color w:val="000000"/>
          <w:sz w:val="24"/>
          <w:szCs w:val="24"/>
        </w:rPr>
        <w:t>de pêche bien définies : (</w:t>
      </w:r>
      <w:r w:rsidRPr="004815B9">
        <w:rPr>
          <w:rFonts w:ascii="Times New Roman" w:hAnsi="Times New Roman"/>
          <w:color w:val="000000"/>
          <w:sz w:val="24"/>
          <w:szCs w:val="24"/>
        </w:rPr>
        <w:t>i</w:t>
      </w:r>
      <w:r w:rsidR="00187387" w:rsidRPr="004815B9">
        <w:rPr>
          <w:rFonts w:ascii="Times New Roman" w:hAnsi="Times New Roman"/>
          <w:color w:val="000000"/>
          <w:sz w:val="24"/>
          <w:szCs w:val="24"/>
        </w:rPr>
        <w:t xml:space="preserve">) une zone avec </w:t>
      </w:r>
      <w:r w:rsidR="00E74419" w:rsidRPr="004815B9">
        <w:rPr>
          <w:rFonts w:ascii="Times New Roman" w:hAnsi="Times New Roman"/>
          <w:color w:val="000000"/>
          <w:sz w:val="24"/>
          <w:szCs w:val="24"/>
        </w:rPr>
        <w:t>des profondeurs</w:t>
      </w:r>
      <w:r w:rsidRPr="004815B9">
        <w:rPr>
          <w:rFonts w:ascii="Times New Roman" w:hAnsi="Times New Roman"/>
          <w:color w:val="000000"/>
          <w:sz w:val="24"/>
          <w:szCs w:val="24"/>
        </w:rPr>
        <w:t xml:space="preserve"> </w:t>
      </w:r>
      <w:r w:rsidR="00E74419" w:rsidRPr="004815B9">
        <w:rPr>
          <w:rFonts w:ascii="Times New Roman" w:hAnsi="Times New Roman"/>
          <w:color w:val="000000"/>
          <w:sz w:val="24"/>
          <w:szCs w:val="24"/>
        </w:rPr>
        <w:t>inférieures à</w:t>
      </w:r>
      <w:r w:rsidRPr="004815B9">
        <w:rPr>
          <w:rFonts w:ascii="Times New Roman" w:hAnsi="Times New Roman"/>
          <w:color w:val="000000"/>
          <w:sz w:val="24"/>
          <w:szCs w:val="24"/>
        </w:rPr>
        <w:t xml:space="preserve">  10  m,  accessible  aux  petits  bateaux  de  pêche  artisanale  ;  (ii)  une  zone  avec  des profondeurs de 10-20 m et (iii) une zone de 15 000 km², qui s’étend jusqu’à 120 miles nautiques, avec des  profondeurs  allant de 20  à  200  m,  dans laquelle  opère  la flotte industrielle  étrangère.  Avec un potentiel d’exploitation des ressources halieutiques estimé à 275 000 tonnes/an, le secteur de la pêche (industrielle, semi-industrielle et artisanale) emploie </w:t>
      </w:r>
      <w:r w:rsidR="001F257B" w:rsidRPr="004815B9">
        <w:rPr>
          <w:rFonts w:ascii="Times New Roman" w:hAnsi="Times New Roman"/>
          <w:color w:val="000000"/>
          <w:sz w:val="24"/>
          <w:szCs w:val="24"/>
        </w:rPr>
        <w:t xml:space="preserve">actuellement </w:t>
      </w:r>
      <w:r w:rsidR="00E74419" w:rsidRPr="004815B9">
        <w:rPr>
          <w:rFonts w:ascii="Times New Roman" w:hAnsi="Times New Roman"/>
          <w:color w:val="000000"/>
          <w:sz w:val="24"/>
          <w:szCs w:val="24"/>
        </w:rPr>
        <w:t>environ 10</w:t>
      </w:r>
      <w:r w:rsidRPr="004815B9">
        <w:rPr>
          <w:rFonts w:ascii="Times New Roman" w:hAnsi="Times New Roman"/>
          <w:color w:val="000000"/>
          <w:sz w:val="24"/>
          <w:szCs w:val="24"/>
        </w:rPr>
        <w:t xml:space="preserve"> </w:t>
      </w:r>
      <w:r w:rsidR="00820701" w:rsidRPr="004815B9">
        <w:rPr>
          <w:rFonts w:ascii="Times New Roman" w:hAnsi="Times New Roman"/>
          <w:color w:val="000000"/>
          <w:sz w:val="24"/>
          <w:szCs w:val="24"/>
        </w:rPr>
        <w:t>000 personnes</w:t>
      </w:r>
      <w:r w:rsidRPr="004815B9">
        <w:rPr>
          <w:rFonts w:ascii="Times New Roman" w:hAnsi="Times New Roman"/>
          <w:color w:val="000000"/>
          <w:sz w:val="24"/>
          <w:szCs w:val="24"/>
        </w:rPr>
        <w:t xml:space="preserve">  et contribue pour 4% du PIB5 et pour 40% du budget général de l’État. La grande productivité de la ZEE (notamment grâce aux importantes superficies de mangroves et à l’archipel des Bijagós) attire des pêcheurs étrangers, tant au niveau industriel qu’artisanal. </w:t>
      </w:r>
    </w:p>
    <w:p w:rsidR="007F3DC3" w:rsidRPr="003E743A" w:rsidRDefault="007F3DC3" w:rsidP="00FA3FAE">
      <w:pPr>
        <w:pStyle w:val="PargrafodaLista"/>
        <w:numPr>
          <w:ilvl w:val="0"/>
          <w:numId w:val="60"/>
        </w:numPr>
        <w:spacing w:before="100" w:beforeAutospacing="1" w:after="100" w:afterAutospacing="1" w:line="240" w:lineRule="auto"/>
        <w:jc w:val="both"/>
        <w:rPr>
          <w:rFonts w:ascii="Times New Roman" w:eastAsia="Times New Roman" w:hAnsi="Times New Roman"/>
          <w:b/>
          <w:color w:val="000000"/>
          <w:sz w:val="24"/>
          <w:szCs w:val="24"/>
          <w:lang w:val="fr-FR" w:eastAsia="fr-FR"/>
        </w:rPr>
      </w:pPr>
      <w:r w:rsidRPr="003E743A">
        <w:rPr>
          <w:rFonts w:ascii="Times New Roman" w:eastAsia="Times New Roman" w:hAnsi="Times New Roman"/>
          <w:b/>
          <w:color w:val="000000"/>
          <w:sz w:val="24"/>
          <w:szCs w:val="24"/>
          <w:lang w:val="fr-FR" w:eastAsia="fr-FR"/>
        </w:rPr>
        <w:t>Potentiel d’embarcations et de débarquements</w:t>
      </w:r>
    </w:p>
    <w:p w:rsidR="007F3DC3" w:rsidRPr="004815B9" w:rsidRDefault="007F3DC3" w:rsidP="004815B9">
      <w:pPr>
        <w:autoSpaceDE w:val="0"/>
        <w:autoSpaceDN w:val="0"/>
        <w:adjustRightInd w:val="0"/>
        <w:spacing w:after="0" w:line="240" w:lineRule="auto"/>
        <w:ind w:left="-284"/>
        <w:jc w:val="both"/>
        <w:rPr>
          <w:rFonts w:ascii="Times New Roman" w:hAnsi="Times New Roman"/>
          <w:color w:val="000000"/>
          <w:sz w:val="24"/>
          <w:szCs w:val="24"/>
        </w:rPr>
      </w:pPr>
      <w:r w:rsidRPr="004815B9">
        <w:rPr>
          <w:rFonts w:ascii="Times New Roman" w:hAnsi="Times New Roman"/>
          <w:color w:val="000000"/>
          <w:sz w:val="24"/>
          <w:szCs w:val="24"/>
        </w:rPr>
        <w:t>Selon la Direction de la Pêche Artisanale, 1426 licences de pêche ont été émises en 2016 pour 1106 pirogues au total, toutes catégories confondues, réparties comme suit : Guinée-Bissau (75%), Sénégal (16), Guinée Conakry (8)  et  Brésil  (1).  Pour l’année 2017, selon les données provisoirement disponibles de la Direction de la Pêche Artisanale, environ 350 licences ont été émises et concernent pour la majorité des embarcations étrangères.</w:t>
      </w:r>
    </w:p>
    <w:p w:rsidR="007F3DC3" w:rsidRPr="003E743A" w:rsidRDefault="007F3DC3" w:rsidP="00FA3FAE">
      <w:pPr>
        <w:pStyle w:val="PargrafodaLista"/>
        <w:numPr>
          <w:ilvl w:val="0"/>
          <w:numId w:val="60"/>
        </w:numPr>
        <w:spacing w:before="100" w:beforeAutospacing="1" w:after="100" w:afterAutospacing="1" w:line="240" w:lineRule="auto"/>
        <w:jc w:val="both"/>
        <w:rPr>
          <w:rFonts w:ascii="Times New Roman" w:eastAsia="Times New Roman" w:hAnsi="Times New Roman"/>
          <w:b/>
          <w:color w:val="000000"/>
          <w:sz w:val="24"/>
          <w:szCs w:val="24"/>
          <w:lang w:val="fr-FR" w:eastAsia="fr-FR"/>
        </w:rPr>
      </w:pPr>
      <w:r w:rsidRPr="003E743A">
        <w:rPr>
          <w:rFonts w:ascii="Times New Roman" w:eastAsia="Times New Roman" w:hAnsi="Times New Roman"/>
          <w:b/>
          <w:color w:val="000000"/>
          <w:sz w:val="24"/>
          <w:szCs w:val="24"/>
          <w:lang w:val="fr-FR" w:eastAsia="fr-FR"/>
        </w:rPr>
        <w:t>Pêche industrielle</w:t>
      </w:r>
    </w:p>
    <w:p w:rsidR="007F3DC3" w:rsidRPr="004815B9" w:rsidRDefault="007F3DC3" w:rsidP="004815B9">
      <w:pPr>
        <w:autoSpaceDE w:val="0"/>
        <w:autoSpaceDN w:val="0"/>
        <w:adjustRightInd w:val="0"/>
        <w:spacing w:after="0" w:line="240" w:lineRule="auto"/>
        <w:ind w:left="-284"/>
        <w:jc w:val="both"/>
        <w:rPr>
          <w:rFonts w:ascii="Times New Roman" w:hAnsi="Times New Roman"/>
          <w:color w:val="000000"/>
          <w:sz w:val="24"/>
          <w:szCs w:val="24"/>
        </w:rPr>
      </w:pPr>
      <w:r w:rsidRPr="004815B9">
        <w:rPr>
          <w:rFonts w:ascii="Times New Roman" w:hAnsi="Times New Roman"/>
          <w:color w:val="000000"/>
          <w:sz w:val="24"/>
          <w:szCs w:val="24"/>
        </w:rPr>
        <w:t xml:space="preserve">La pêche industrielle est surtout pratiquée par des embarcations étrangères, et la flottille est composée d’embarcations de pêche aux poissons, aux céphalopodes, aux crevettes et aux tons. Il existe aussi des embarcations de pélagiques et de pêche à la palangre. Les principales pressions imposées par la pêche industrielle sont :  la surpêche des espèces à valeur commerciale et </w:t>
      </w:r>
      <w:r w:rsidR="001F257B" w:rsidRPr="004815B9">
        <w:rPr>
          <w:rFonts w:ascii="Times New Roman" w:hAnsi="Times New Roman"/>
          <w:color w:val="000000"/>
          <w:sz w:val="24"/>
          <w:szCs w:val="24"/>
        </w:rPr>
        <w:t xml:space="preserve">les prises </w:t>
      </w:r>
      <w:r w:rsidR="00094A83" w:rsidRPr="004815B9">
        <w:rPr>
          <w:rFonts w:ascii="Times New Roman" w:hAnsi="Times New Roman"/>
          <w:color w:val="000000"/>
          <w:sz w:val="24"/>
          <w:szCs w:val="24"/>
        </w:rPr>
        <w:t>accidentelles d’autres</w:t>
      </w:r>
      <w:r w:rsidRPr="004815B9">
        <w:rPr>
          <w:rFonts w:ascii="Times New Roman" w:hAnsi="Times New Roman"/>
          <w:color w:val="000000"/>
          <w:sz w:val="24"/>
          <w:szCs w:val="24"/>
        </w:rPr>
        <w:t xml:space="preserve"> espèces (non </w:t>
      </w:r>
      <w:r w:rsidR="00094A83" w:rsidRPr="004815B9">
        <w:rPr>
          <w:rFonts w:ascii="Times New Roman" w:hAnsi="Times New Roman"/>
          <w:color w:val="000000"/>
          <w:sz w:val="24"/>
          <w:szCs w:val="24"/>
        </w:rPr>
        <w:t>autorisée par</w:t>
      </w:r>
      <w:r w:rsidRPr="004815B9">
        <w:rPr>
          <w:rFonts w:ascii="Times New Roman" w:hAnsi="Times New Roman"/>
          <w:color w:val="000000"/>
          <w:sz w:val="24"/>
          <w:szCs w:val="24"/>
        </w:rPr>
        <w:t xml:space="preserve"> le permis), l’utilisation d’équipements non conformes (comme des filets à petite maille), la </w:t>
      </w:r>
      <w:r w:rsidR="00094A83" w:rsidRPr="004815B9">
        <w:rPr>
          <w:rFonts w:ascii="Times New Roman" w:hAnsi="Times New Roman"/>
          <w:color w:val="000000"/>
          <w:sz w:val="24"/>
          <w:szCs w:val="24"/>
        </w:rPr>
        <w:t>violation de</w:t>
      </w:r>
      <w:r w:rsidRPr="004815B9">
        <w:rPr>
          <w:rFonts w:ascii="Times New Roman" w:hAnsi="Times New Roman"/>
          <w:color w:val="000000"/>
          <w:sz w:val="24"/>
          <w:szCs w:val="24"/>
        </w:rPr>
        <w:t xml:space="preserve"> l’interdiction de la pêche industrielle à l’intérieur des 12 mN, la pêche sans permis et la </w:t>
      </w:r>
      <w:r w:rsidR="00094A83" w:rsidRPr="004815B9">
        <w:rPr>
          <w:rFonts w:ascii="Times New Roman" w:hAnsi="Times New Roman"/>
          <w:color w:val="000000"/>
          <w:sz w:val="24"/>
          <w:szCs w:val="24"/>
        </w:rPr>
        <w:t>repêche d’animaux</w:t>
      </w:r>
      <w:r w:rsidRPr="004815B9">
        <w:rPr>
          <w:rFonts w:ascii="Times New Roman" w:hAnsi="Times New Roman"/>
          <w:color w:val="000000"/>
          <w:sz w:val="24"/>
          <w:szCs w:val="24"/>
        </w:rPr>
        <w:t xml:space="preserve"> marins rares tels que les tortues marines ou les lamantins. La surpêche menace aussi bien les </w:t>
      </w:r>
      <w:r w:rsidR="001F257B" w:rsidRPr="004815B9">
        <w:rPr>
          <w:rFonts w:ascii="Times New Roman" w:hAnsi="Times New Roman"/>
          <w:color w:val="000000"/>
          <w:sz w:val="24"/>
          <w:szCs w:val="24"/>
        </w:rPr>
        <w:t xml:space="preserve">ressources biologiques, essentielles aux </w:t>
      </w:r>
      <w:r w:rsidR="00094A83" w:rsidRPr="004815B9">
        <w:rPr>
          <w:rFonts w:ascii="Times New Roman" w:hAnsi="Times New Roman"/>
          <w:color w:val="000000"/>
          <w:sz w:val="24"/>
          <w:szCs w:val="24"/>
        </w:rPr>
        <w:t>communautés de la zone côtière</w:t>
      </w:r>
      <w:r w:rsidRPr="004815B9">
        <w:rPr>
          <w:rFonts w:ascii="Times New Roman" w:hAnsi="Times New Roman"/>
          <w:color w:val="000000"/>
          <w:sz w:val="24"/>
          <w:szCs w:val="24"/>
        </w:rPr>
        <w:t>, que la biodiversité.</w:t>
      </w:r>
    </w:p>
    <w:p w:rsidR="007F3DC3" w:rsidRPr="003E743A" w:rsidRDefault="007F3DC3" w:rsidP="00FA3FAE">
      <w:pPr>
        <w:pStyle w:val="PargrafodaLista"/>
        <w:numPr>
          <w:ilvl w:val="0"/>
          <w:numId w:val="60"/>
        </w:numPr>
        <w:spacing w:before="100" w:beforeAutospacing="1" w:after="100" w:afterAutospacing="1" w:line="240" w:lineRule="auto"/>
        <w:jc w:val="both"/>
        <w:rPr>
          <w:rFonts w:ascii="Times New Roman" w:eastAsia="Times New Roman" w:hAnsi="Times New Roman"/>
          <w:b/>
          <w:color w:val="000000"/>
          <w:sz w:val="24"/>
          <w:szCs w:val="24"/>
          <w:lang w:val="fr-FR" w:eastAsia="fr-FR"/>
        </w:rPr>
      </w:pPr>
      <w:r w:rsidRPr="003E743A">
        <w:rPr>
          <w:rFonts w:ascii="Times New Roman" w:eastAsia="Times New Roman" w:hAnsi="Times New Roman"/>
          <w:b/>
          <w:color w:val="000000"/>
          <w:sz w:val="24"/>
          <w:szCs w:val="24"/>
          <w:lang w:val="fr-FR" w:eastAsia="fr-FR"/>
        </w:rPr>
        <w:lastRenderedPageBreak/>
        <w:t>Pêche artisanale</w:t>
      </w:r>
    </w:p>
    <w:p w:rsidR="007F3DC3" w:rsidRPr="004815B9" w:rsidRDefault="007F3DC3" w:rsidP="004815B9">
      <w:pPr>
        <w:autoSpaceDE w:val="0"/>
        <w:autoSpaceDN w:val="0"/>
        <w:adjustRightInd w:val="0"/>
        <w:spacing w:after="0" w:line="240" w:lineRule="auto"/>
        <w:ind w:left="-284"/>
        <w:jc w:val="both"/>
        <w:rPr>
          <w:rFonts w:ascii="Times New Roman" w:hAnsi="Times New Roman"/>
          <w:color w:val="000000"/>
          <w:sz w:val="24"/>
          <w:szCs w:val="24"/>
        </w:rPr>
      </w:pPr>
      <w:r w:rsidRPr="004815B9">
        <w:rPr>
          <w:rFonts w:ascii="Times New Roman" w:hAnsi="Times New Roman"/>
          <w:color w:val="000000"/>
          <w:sz w:val="24"/>
          <w:szCs w:val="24"/>
        </w:rPr>
        <w:t>La pêche artisanale se pratique dans les fleuves et les estuaires le long de la côte, en particulier dans l'archipel des Bijagos, Cacheu et Cacine, où sont exploités le mulet et des pélagiques djafal (Ethmalosa) qui constituent environ 80% des prises. Le droit de la pêche artisanale est réservé à 12 miles nautiques, y compris les eaux entre les îles et les estuaires.  La pêche artisanale joue un rôle important vis-à-vis du développement socio-économique du pays.  Elle est considérée comme une source d'approvisionnement de protéines animales pour la majorité de la population côtière et contribue à la fois la sécurité alimentaire, la nutrition, ainsi qu’à la création d'emplois.  En outre, elle fournit de la matière première aux activités transformatrices et aux petits commerces (surtout exercés par les femmes). Les pêcheurs artisanaux de la Guinée Bissau pratiquent surtout une pêche de subsistance et possèdent20% des embarcations motorisées existantes. Les pressions sur l’environnement exercées par les pêcheurs artisanaux en Guinée Bissau sont liées à l’utilisation de filets de plusieurs centaines de mètres installés sur toute la largeur des bras de rivières et à l’utilisation de filets de petites   mailles.</w:t>
      </w:r>
    </w:p>
    <w:p w:rsidR="00A25DE4" w:rsidRPr="002D4EA0" w:rsidRDefault="00266D8A" w:rsidP="002D4EA0">
      <w:pPr>
        <w:pStyle w:val="PargrafodaLista"/>
        <w:keepNext/>
        <w:spacing w:before="240" w:after="240"/>
        <w:ind w:left="1158" w:right="284" w:firstLine="258"/>
        <w:jc w:val="both"/>
        <w:outlineLvl w:val="2"/>
        <w:rPr>
          <w:rFonts w:ascii="Times New Roman" w:hAnsi="Times New Roman"/>
          <w:b/>
          <w:sz w:val="24"/>
          <w:szCs w:val="24"/>
          <w:lang w:val="fr-FR" w:eastAsia="fr-FR"/>
        </w:rPr>
      </w:pPr>
      <w:bookmarkStart w:id="236" w:name="_Toc17385799"/>
      <w:bookmarkStart w:id="237" w:name="_Toc51072564"/>
      <w:r>
        <w:rPr>
          <w:rFonts w:ascii="Times New Roman" w:hAnsi="Times New Roman"/>
          <w:b/>
          <w:sz w:val="24"/>
          <w:szCs w:val="24"/>
          <w:lang w:val="fr-FR" w:eastAsia="fr-FR"/>
        </w:rPr>
        <w:t>5.4.6.</w:t>
      </w:r>
      <w:r w:rsidR="00A25DE4" w:rsidRPr="002D4EA0">
        <w:rPr>
          <w:rFonts w:ascii="Times New Roman" w:hAnsi="Times New Roman"/>
          <w:b/>
          <w:sz w:val="24"/>
          <w:szCs w:val="24"/>
          <w:lang w:val="fr-FR" w:eastAsia="fr-FR"/>
        </w:rPr>
        <w:t xml:space="preserve"> Santé</w:t>
      </w:r>
      <w:bookmarkEnd w:id="236"/>
      <w:bookmarkEnd w:id="237"/>
      <w:r w:rsidR="00A25DE4" w:rsidRPr="002D4EA0">
        <w:rPr>
          <w:rFonts w:ascii="Times New Roman" w:hAnsi="Times New Roman"/>
          <w:b/>
          <w:sz w:val="24"/>
          <w:szCs w:val="24"/>
          <w:lang w:val="fr-FR" w:eastAsia="fr-FR"/>
        </w:rPr>
        <w:t xml:space="preserve"> </w:t>
      </w:r>
    </w:p>
    <w:p w:rsidR="00A25DE4" w:rsidRDefault="00A25DE4" w:rsidP="004815B9">
      <w:pPr>
        <w:autoSpaceDE w:val="0"/>
        <w:autoSpaceDN w:val="0"/>
        <w:adjustRightInd w:val="0"/>
        <w:spacing w:after="0" w:line="240" w:lineRule="auto"/>
        <w:ind w:left="-284"/>
        <w:jc w:val="both"/>
        <w:rPr>
          <w:rFonts w:ascii="Times New Roman" w:hAnsi="Times New Roman"/>
          <w:color w:val="000000"/>
          <w:sz w:val="24"/>
          <w:szCs w:val="24"/>
        </w:rPr>
      </w:pPr>
      <w:r w:rsidRPr="004815B9">
        <w:rPr>
          <w:rFonts w:ascii="Times New Roman" w:hAnsi="Times New Roman"/>
          <w:color w:val="000000"/>
          <w:sz w:val="24"/>
          <w:szCs w:val="24"/>
        </w:rPr>
        <w:t xml:space="preserve">Pays classé parmi les six pays les plus pauvres du monde, la Guinée-Bissau est fortement touchée par des maladies liées aux problèmes de nutrition, principalement chez les femmes enceintes, ce qui explique les taux élevés de mortalité maternelle et infanto-juvénile même si ces taux sont en baisse. D’après les données de l’enquête MICS 2010, la mortalité des enfants de moins de cinq ans a diminué de 29% par rapport aux données de l’enquête MICS 2006 : un enfant sur quatre mourrait avant d’atteindre l’âge de cinq ans en 2006, contre un enfant sur six aujourd’hui, ce qui reste pour autant toujours préoccupant. Malgré tout, la prévalence de malnutrition sévère a baissé entre 2000 et </w:t>
      </w:r>
      <w:r w:rsidR="00094A83" w:rsidRPr="004815B9">
        <w:rPr>
          <w:rFonts w:ascii="Times New Roman" w:hAnsi="Times New Roman"/>
          <w:color w:val="000000"/>
          <w:sz w:val="24"/>
          <w:szCs w:val="24"/>
        </w:rPr>
        <w:t>2006 grâce aux campagnes</w:t>
      </w:r>
      <w:r w:rsidRPr="004815B9">
        <w:rPr>
          <w:rFonts w:ascii="Times New Roman" w:hAnsi="Times New Roman"/>
          <w:color w:val="000000"/>
          <w:sz w:val="24"/>
          <w:szCs w:val="24"/>
        </w:rPr>
        <w:t xml:space="preserve"> </w:t>
      </w:r>
      <w:r w:rsidR="00094A83" w:rsidRPr="004815B9">
        <w:rPr>
          <w:rFonts w:ascii="Times New Roman" w:hAnsi="Times New Roman"/>
          <w:color w:val="000000"/>
          <w:sz w:val="24"/>
          <w:szCs w:val="24"/>
        </w:rPr>
        <w:t>d’informations sur l’éducation et la nutrition effectuées dans le cadre du Programme national pour le développement</w:t>
      </w:r>
      <w:r w:rsidRPr="004815B9">
        <w:rPr>
          <w:rFonts w:ascii="Times New Roman" w:hAnsi="Times New Roman"/>
          <w:color w:val="000000"/>
          <w:sz w:val="24"/>
          <w:szCs w:val="24"/>
        </w:rPr>
        <w:t xml:space="preserve"> sanitaire.</w:t>
      </w:r>
    </w:p>
    <w:p w:rsidR="00094A83" w:rsidRPr="004815B9" w:rsidRDefault="00094A83" w:rsidP="004815B9">
      <w:pPr>
        <w:autoSpaceDE w:val="0"/>
        <w:autoSpaceDN w:val="0"/>
        <w:adjustRightInd w:val="0"/>
        <w:spacing w:after="0" w:line="240" w:lineRule="auto"/>
        <w:ind w:left="-284"/>
        <w:jc w:val="both"/>
        <w:rPr>
          <w:rFonts w:ascii="Times New Roman" w:hAnsi="Times New Roman"/>
          <w:color w:val="000000"/>
          <w:sz w:val="24"/>
          <w:szCs w:val="24"/>
        </w:rPr>
      </w:pPr>
    </w:p>
    <w:p w:rsidR="00A25DE4" w:rsidRPr="00BA3EE1" w:rsidRDefault="00A25DE4" w:rsidP="00BA3EE1">
      <w:pPr>
        <w:jc w:val="center"/>
        <w:rPr>
          <w:rFonts w:ascii="Times New Roman" w:hAnsi="Times New Roman" w:cs="Times New Roman"/>
          <w:b/>
          <w:sz w:val="20"/>
          <w:szCs w:val="20"/>
        </w:rPr>
      </w:pPr>
      <w:bookmarkStart w:id="238" w:name="_Toc17385906"/>
      <w:bookmarkStart w:id="239" w:name="_Toc51074008"/>
      <w:r w:rsidRPr="00BA3EE1">
        <w:rPr>
          <w:rFonts w:ascii="Times New Roman" w:hAnsi="Times New Roman" w:cs="Times New Roman"/>
          <w:b/>
          <w:sz w:val="20"/>
          <w:szCs w:val="20"/>
        </w:rPr>
        <w:t xml:space="preserve">Tableau </w:t>
      </w:r>
      <w:r w:rsidRPr="00BA3EE1">
        <w:rPr>
          <w:rFonts w:ascii="Times New Roman" w:hAnsi="Times New Roman" w:cs="Times New Roman"/>
          <w:b/>
          <w:sz w:val="20"/>
          <w:szCs w:val="20"/>
        </w:rPr>
        <w:fldChar w:fldCharType="begin"/>
      </w:r>
      <w:r w:rsidRPr="00BA3EE1">
        <w:rPr>
          <w:rFonts w:ascii="Times New Roman" w:hAnsi="Times New Roman" w:cs="Times New Roman"/>
          <w:b/>
          <w:sz w:val="20"/>
          <w:szCs w:val="20"/>
        </w:rPr>
        <w:instrText xml:space="preserve"> SEQ Tableau \* ARABIC </w:instrText>
      </w:r>
      <w:r w:rsidRPr="00BA3EE1">
        <w:rPr>
          <w:rFonts w:ascii="Times New Roman" w:hAnsi="Times New Roman" w:cs="Times New Roman"/>
          <w:b/>
          <w:sz w:val="20"/>
          <w:szCs w:val="20"/>
        </w:rPr>
        <w:fldChar w:fldCharType="separate"/>
      </w:r>
      <w:r w:rsidR="00820701">
        <w:rPr>
          <w:rFonts w:ascii="Times New Roman" w:hAnsi="Times New Roman" w:cs="Times New Roman"/>
          <w:b/>
          <w:noProof/>
          <w:sz w:val="20"/>
          <w:szCs w:val="20"/>
        </w:rPr>
        <w:t>17</w:t>
      </w:r>
      <w:r w:rsidRPr="00BA3EE1">
        <w:rPr>
          <w:rFonts w:ascii="Times New Roman" w:hAnsi="Times New Roman" w:cs="Times New Roman"/>
          <w:b/>
          <w:sz w:val="20"/>
          <w:szCs w:val="20"/>
        </w:rPr>
        <w:fldChar w:fldCharType="end"/>
      </w:r>
      <w:r w:rsidRPr="00BA3EE1">
        <w:rPr>
          <w:rFonts w:ascii="Times New Roman" w:hAnsi="Times New Roman" w:cs="Times New Roman"/>
          <w:b/>
          <w:sz w:val="20"/>
          <w:szCs w:val="20"/>
        </w:rPr>
        <w:t>: Indicateurs de santé</w:t>
      </w:r>
      <w:bookmarkEnd w:id="238"/>
      <w:bookmarkEnd w:id="239"/>
    </w:p>
    <w:p w:rsidR="00A25DE4" w:rsidRDefault="00A25DE4" w:rsidP="007F3DC3">
      <w:pPr>
        <w:spacing w:before="100" w:beforeAutospacing="1" w:after="100" w:afterAutospacing="1" w:line="240" w:lineRule="auto"/>
        <w:jc w:val="both"/>
        <w:rPr>
          <w:rFonts w:ascii="Times New Roman" w:eastAsia="Times New Roman" w:hAnsi="Times New Roman" w:cs="Times New Roman"/>
          <w:color w:val="000000"/>
          <w:sz w:val="24"/>
          <w:szCs w:val="24"/>
          <w:lang w:eastAsia="fr-FR"/>
        </w:rPr>
      </w:pPr>
      <w:r>
        <w:rPr>
          <w:rFonts w:ascii="Arial" w:hAnsi="Arial" w:cs="Arial"/>
          <w:noProof/>
          <w:sz w:val="21"/>
          <w:szCs w:val="21"/>
          <w:shd w:val="clear" w:color="auto" w:fill="FFFFFF"/>
          <w:lang w:val="pt-PT" w:eastAsia="pt-PT"/>
        </w:rPr>
        <w:drawing>
          <wp:inline distT="0" distB="0" distL="0" distR="0" wp14:anchorId="6A17A33D" wp14:editId="27DE590B">
            <wp:extent cx="5915025" cy="2057400"/>
            <wp:effectExtent l="0" t="0" r="9525" b="0"/>
            <wp:docPr id="68" name="Imag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Capture.JPG"/>
                    <pic:cNvPicPr/>
                  </pic:nvPicPr>
                  <pic:blipFill>
                    <a:blip r:embed="rId98">
                      <a:extLst>
                        <a:ext uri="{28A0092B-C50C-407E-A947-70E740481C1C}">
                          <a14:useLocalDpi xmlns:a14="http://schemas.microsoft.com/office/drawing/2010/main"/>
                        </a:ext>
                      </a:extLst>
                    </a:blip>
                    <a:stretch>
                      <a:fillRect/>
                    </a:stretch>
                  </pic:blipFill>
                  <pic:spPr>
                    <a:xfrm>
                      <a:off x="0" y="0"/>
                      <a:ext cx="5915025" cy="2057400"/>
                    </a:xfrm>
                    <a:prstGeom prst="rect">
                      <a:avLst/>
                    </a:prstGeom>
                  </pic:spPr>
                </pic:pic>
              </a:graphicData>
            </a:graphic>
          </wp:inline>
        </w:drawing>
      </w:r>
    </w:p>
    <w:p w:rsidR="00C6044A" w:rsidRPr="00C6044A" w:rsidRDefault="00C6044A" w:rsidP="00FA3FAE">
      <w:pPr>
        <w:pStyle w:val="PargrafodaLista"/>
        <w:numPr>
          <w:ilvl w:val="0"/>
          <w:numId w:val="60"/>
        </w:numPr>
        <w:spacing w:before="100" w:beforeAutospacing="1" w:after="100" w:afterAutospacing="1" w:line="240" w:lineRule="auto"/>
        <w:jc w:val="both"/>
        <w:rPr>
          <w:rFonts w:ascii="Times New Roman" w:eastAsia="Times New Roman" w:hAnsi="Times New Roman"/>
          <w:b/>
          <w:color w:val="000000"/>
          <w:sz w:val="24"/>
          <w:szCs w:val="24"/>
          <w:lang w:val="fr-FR" w:eastAsia="fr-FR"/>
        </w:rPr>
      </w:pPr>
      <w:r w:rsidRPr="00C6044A">
        <w:rPr>
          <w:rFonts w:ascii="Times New Roman" w:eastAsia="Times New Roman" w:hAnsi="Times New Roman"/>
          <w:b/>
          <w:color w:val="000000"/>
          <w:sz w:val="24"/>
          <w:szCs w:val="24"/>
          <w:lang w:val="fr-FR" w:eastAsia="fr-FR"/>
        </w:rPr>
        <w:t>Accès aux services sociaux de base</w:t>
      </w:r>
    </w:p>
    <w:p w:rsidR="00C6044A" w:rsidRPr="00C6044A" w:rsidRDefault="00C6044A" w:rsidP="00C6044A">
      <w:pPr>
        <w:spacing w:line="240" w:lineRule="auto"/>
        <w:jc w:val="both"/>
        <w:rPr>
          <w:rFonts w:ascii="Times New Roman" w:hAnsi="Times New Roman" w:cs="Times New Roman"/>
          <w:sz w:val="24"/>
          <w:szCs w:val="24"/>
        </w:rPr>
      </w:pPr>
      <w:r w:rsidRPr="00C6044A">
        <w:rPr>
          <w:rFonts w:ascii="Times New Roman" w:hAnsi="Times New Roman" w:cs="Times New Roman"/>
          <w:sz w:val="24"/>
          <w:szCs w:val="24"/>
        </w:rPr>
        <w:t>En terme d’infrastructures de sanitaire, la ville de Bissau compte trois hôpitaux, nombre qu’on peut considérer d’insuffisant si on prend en compte le nombre de population de la ville de Bissau : (i) Hôpital National Simões Mendes, (ii) Hôpital Raúl Follereau, (iii) Hôpital Militaire.</w:t>
      </w:r>
    </w:p>
    <w:p w:rsidR="00C6044A" w:rsidRPr="00C6044A" w:rsidRDefault="00C6044A" w:rsidP="00C6044A">
      <w:pPr>
        <w:spacing w:line="240" w:lineRule="auto"/>
        <w:jc w:val="both"/>
        <w:rPr>
          <w:rFonts w:ascii="Times New Roman" w:hAnsi="Times New Roman" w:cs="Times New Roman"/>
          <w:sz w:val="24"/>
          <w:szCs w:val="24"/>
          <w:u w:val="single"/>
        </w:rPr>
      </w:pPr>
      <w:r w:rsidRPr="00C6044A">
        <w:rPr>
          <w:rFonts w:ascii="Times New Roman" w:hAnsi="Times New Roman" w:cs="Times New Roman"/>
          <w:sz w:val="24"/>
          <w:szCs w:val="24"/>
        </w:rPr>
        <w:t>S’agissant des centres de santé, il existe 8 qui sont répartis dans les différents quartiers de la ville.</w:t>
      </w:r>
    </w:p>
    <w:p w:rsidR="00C6044A" w:rsidRDefault="00C6044A" w:rsidP="00C6044A">
      <w:pPr>
        <w:rPr>
          <w:u w:val="single"/>
        </w:rPr>
      </w:pPr>
    </w:p>
    <w:p w:rsidR="00C6044A" w:rsidRDefault="00C6044A" w:rsidP="00C6044A">
      <w:pPr>
        <w:pStyle w:val="texte0"/>
        <w:spacing w:line="240" w:lineRule="auto"/>
        <w:rPr>
          <w:rFonts w:ascii="Times New Roman" w:hAnsi="Times New Roman" w:cs="Times New Roman"/>
          <w:sz w:val="22"/>
          <w:szCs w:val="22"/>
          <w:lang w:eastAsia="fr-FR"/>
        </w:rPr>
      </w:pPr>
      <w:r>
        <w:rPr>
          <w:rFonts w:ascii="Times New Roman" w:hAnsi="Times New Roman" w:cs="Times New Roman"/>
          <w:sz w:val="22"/>
          <w:szCs w:val="22"/>
          <w:lang w:eastAsia="fr-FR"/>
        </w:rPr>
        <w:lastRenderedPageBreak/>
        <w:t>La pauvreté, surtout dans les quartiers périphériques, se caractérise par un accès faible aux différents services notamment : l’eau potable, l’électricité et le téléphone.</w:t>
      </w:r>
    </w:p>
    <w:tbl>
      <w:tblPr>
        <w:tblW w:w="9930" w:type="dxa"/>
        <w:tblInd w:w="-15" w:type="dxa"/>
        <w:tblLayout w:type="fixed"/>
        <w:tblCellMar>
          <w:left w:w="70" w:type="dxa"/>
          <w:right w:w="70" w:type="dxa"/>
        </w:tblCellMar>
        <w:tblLook w:val="04A0" w:firstRow="1" w:lastRow="0" w:firstColumn="1" w:lastColumn="0" w:noHBand="0" w:noVBand="1"/>
      </w:tblPr>
      <w:tblGrid>
        <w:gridCol w:w="1525"/>
        <w:gridCol w:w="746"/>
        <w:gridCol w:w="750"/>
        <w:gridCol w:w="813"/>
        <w:gridCol w:w="662"/>
        <w:gridCol w:w="758"/>
        <w:gridCol w:w="740"/>
        <w:gridCol w:w="680"/>
        <w:gridCol w:w="792"/>
        <w:gridCol w:w="772"/>
        <w:gridCol w:w="726"/>
        <w:gridCol w:w="966"/>
      </w:tblGrid>
      <w:tr w:rsidR="00C6044A" w:rsidTr="00FD06F0">
        <w:trPr>
          <w:trHeight w:val="253"/>
          <w:tblHeader/>
        </w:trPr>
        <w:tc>
          <w:tcPr>
            <w:tcW w:w="1525" w:type="dxa"/>
            <w:tcBorders>
              <w:top w:val="single" w:sz="12" w:space="0" w:color="auto"/>
              <w:left w:val="single" w:sz="12" w:space="0" w:color="auto"/>
              <w:bottom w:val="single" w:sz="12" w:space="0" w:color="auto"/>
              <w:right w:val="nil"/>
            </w:tcBorders>
            <w:shd w:val="clear" w:color="auto" w:fill="DEEAF6" w:themeFill="accent1" w:themeFillTint="33"/>
            <w:vAlign w:val="center"/>
            <w:hideMark/>
          </w:tcPr>
          <w:p w:rsidR="00C6044A" w:rsidRDefault="00C6044A" w:rsidP="00FD06F0">
            <w:pPr>
              <w:jc w:val="center"/>
              <w:rPr>
                <w:rFonts w:ascii="Times New Roman" w:hAnsi="Times New Roman" w:cs="Times New Roman"/>
                <w:b/>
                <w:bCs/>
                <w:color w:val="000000"/>
                <w:sz w:val="18"/>
                <w:szCs w:val="18"/>
                <w:lang w:eastAsia="fr-FR"/>
              </w:rPr>
            </w:pPr>
            <w:r>
              <w:rPr>
                <w:b/>
                <w:bCs/>
                <w:color w:val="000000"/>
                <w:sz w:val="18"/>
                <w:szCs w:val="18"/>
                <w:lang w:eastAsia="fr-FR"/>
              </w:rPr>
              <w:t>Services sociaux</w:t>
            </w:r>
          </w:p>
        </w:tc>
        <w:tc>
          <w:tcPr>
            <w:tcW w:w="1496" w:type="dxa"/>
            <w:gridSpan w:val="2"/>
            <w:vMerge w:val="restart"/>
            <w:tcBorders>
              <w:top w:val="single" w:sz="8" w:space="0" w:color="auto"/>
              <w:left w:val="single" w:sz="8" w:space="0" w:color="auto"/>
              <w:bottom w:val="single" w:sz="12" w:space="0" w:color="auto"/>
              <w:right w:val="single" w:sz="8" w:space="0" w:color="000000"/>
            </w:tcBorders>
            <w:shd w:val="clear" w:color="auto" w:fill="DEEAF6" w:themeFill="accent1" w:themeFillTint="33"/>
            <w:vAlign w:val="center"/>
            <w:hideMark/>
          </w:tcPr>
          <w:p w:rsidR="00C6044A" w:rsidRDefault="00C6044A" w:rsidP="00DC0975">
            <w:pPr>
              <w:jc w:val="center"/>
              <w:rPr>
                <w:b/>
                <w:bCs/>
                <w:color w:val="000000"/>
                <w:sz w:val="18"/>
                <w:szCs w:val="18"/>
                <w:lang w:eastAsia="fr-FR"/>
              </w:rPr>
            </w:pPr>
            <w:r>
              <w:rPr>
                <w:b/>
                <w:bCs/>
                <w:color w:val="000000"/>
                <w:sz w:val="18"/>
                <w:szCs w:val="18"/>
                <w:lang w:eastAsia="fr-FR"/>
              </w:rPr>
              <w:t xml:space="preserve">Eau potable </w:t>
            </w:r>
          </w:p>
        </w:tc>
        <w:tc>
          <w:tcPr>
            <w:tcW w:w="1474" w:type="dxa"/>
            <w:gridSpan w:val="2"/>
            <w:vMerge w:val="restart"/>
            <w:tcBorders>
              <w:top w:val="single" w:sz="8" w:space="0" w:color="auto"/>
              <w:left w:val="single" w:sz="8" w:space="0" w:color="auto"/>
              <w:bottom w:val="single" w:sz="12" w:space="0" w:color="auto"/>
              <w:right w:val="single" w:sz="8" w:space="0" w:color="000000"/>
            </w:tcBorders>
            <w:shd w:val="clear" w:color="auto" w:fill="DEEAF6" w:themeFill="accent1" w:themeFillTint="33"/>
            <w:vAlign w:val="center"/>
            <w:hideMark/>
          </w:tcPr>
          <w:p w:rsidR="00C6044A" w:rsidRDefault="00C6044A" w:rsidP="00DC0975">
            <w:pPr>
              <w:jc w:val="center"/>
              <w:rPr>
                <w:b/>
                <w:bCs/>
                <w:color w:val="000000"/>
                <w:sz w:val="18"/>
                <w:szCs w:val="18"/>
                <w:lang w:eastAsia="fr-FR"/>
              </w:rPr>
            </w:pPr>
            <w:r>
              <w:rPr>
                <w:b/>
                <w:bCs/>
                <w:color w:val="000000"/>
                <w:sz w:val="18"/>
                <w:szCs w:val="18"/>
                <w:lang w:eastAsia="fr-FR"/>
              </w:rPr>
              <w:t>Electricité</w:t>
            </w:r>
          </w:p>
        </w:tc>
        <w:tc>
          <w:tcPr>
            <w:tcW w:w="1496" w:type="dxa"/>
            <w:gridSpan w:val="2"/>
            <w:vMerge w:val="restart"/>
            <w:tcBorders>
              <w:top w:val="single" w:sz="8" w:space="0" w:color="auto"/>
              <w:left w:val="single" w:sz="8" w:space="0" w:color="auto"/>
              <w:bottom w:val="single" w:sz="12" w:space="0" w:color="auto"/>
              <w:right w:val="single" w:sz="8" w:space="0" w:color="000000"/>
            </w:tcBorders>
            <w:shd w:val="clear" w:color="auto" w:fill="DEEAF6" w:themeFill="accent1" w:themeFillTint="33"/>
            <w:vAlign w:val="center"/>
            <w:hideMark/>
          </w:tcPr>
          <w:p w:rsidR="00C6044A" w:rsidRDefault="00C6044A" w:rsidP="00DC0975">
            <w:pPr>
              <w:jc w:val="center"/>
              <w:rPr>
                <w:b/>
                <w:bCs/>
                <w:color w:val="000000"/>
                <w:sz w:val="18"/>
                <w:szCs w:val="18"/>
                <w:lang w:eastAsia="fr-FR"/>
              </w:rPr>
            </w:pPr>
            <w:r>
              <w:rPr>
                <w:b/>
                <w:bCs/>
                <w:color w:val="000000"/>
                <w:sz w:val="18"/>
                <w:szCs w:val="18"/>
                <w:lang w:eastAsia="fr-FR"/>
              </w:rPr>
              <w:t>Radio</w:t>
            </w:r>
          </w:p>
        </w:tc>
        <w:tc>
          <w:tcPr>
            <w:tcW w:w="1471" w:type="dxa"/>
            <w:gridSpan w:val="2"/>
            <w:vMerge w:val="restart"/>
            <w:tcBorders>
              <w:top w:val="single" w:sz="8" w:space="0" w:color="auto"/>
              <w:left w:val="single" w:sz="8" w:space="0" w:color="auto"/>
              <w:bottom w:val="single" w:sz="12" w:space="0" w:color="auto"/>
              <w:right w:val="single" w:sz="8" w:space="0" w:color="000000"/>
            </w:tcBorders>
            <w:shd w:val="clear" w:color="auto" w:fill="DEEAF6" w:themeFill="accent1" w:themeFillTint="33"/>
            <w:vAlign w:val="center"/>
            <w:hideMark/>
          </w:tcPr>
          <w:p w:rsidR="00C6044A" w:rsidRDefault="00C6044A" w:rsidP="00DC0975">
            <w:pPr>
              <w:jc w:val="center"/>
              <w:rPr>
                <w:b/>
                <w:bCs/>
                <w:color w:val="000000"/>
                <w:sz w:val="18"/>
                <w:szCs w:val="18"/>
                <w:lang w:eastAsia="fr-FR"/>
              </w:rPr>
            </w:pPr>
            <w:r>
              <w:rPr>
                <w:b/>
                <w:bCs/>
                <w:color w:val="000000"/>
                <w:sz w:val="18"/>
                <w:szCs w:val="18"/>
                <w:lang w:eastAsia="fr-FR"/>
              </w:rPr>
              <w:t xml:space="preserve">Télévision </w:t>
            </w:r>
          </w:p>
        </w:tc>
        <w:tc>
          <w:tcPr>
            <w:tcW w:w="1496" w:type="dxa"/>
            <w:gridSpan w:val="2"/>
            <w:vMerge w:val="restart"/>
            <w:tcBorders>
              <w:top w:val="single" w:sz="8" w:space="0" w:color="auto"/>
              <w:left w:val="single" w:sz="8" w:space="0" w:color="auto"/>
              <w:bottom w:val="single" w:sz="12" w:space="0" w:color="auto"/>
              <w:right w:val="single" w:sz="8" w:space="0" w:color="000000"/>
            </w:tcBorders>
            <w:shd w:val="clear" w:color="auto" w:fill="DEEAF6" w:themeFill="accent1" w:themeFillTint="33"/>
            <w:vAlign w:val="center"/>
            <w:hideMark/>
          </w:tcPr>
          <w:p w:rsidR="00C6044A" w:rsidRDefault="00C6044A" w:rsidP="00DC0975">
            <w:pPr>
              <w:jc w:val="center"/>
              <w:rPr>
                <w:b/>
                <w:bCs/>
                <w:color w:val="000000"/>
                <w:sz w:val="18"/>
                <w:szCs w:val="18"/>
                <w:lang w:eastAsia="fr-FR"/>
              </w:rPr>
            </w:pPr>
            <w:r>
              <w:rPr>
                <w:b/>
                <w:bCs/>
                <w:color w:val="000000"/>
                <w:sz w:val="18"/>
                <w:szCs w:val="18"/>
                <w:lang w:eastAsia="fr-FR"/>
              </w:rPr>
              <w:t>Téléphone</w:t>
            </w:r>
          </w:p>
        </w:tc>
        <w:tc>
          <w:tcPr>
            <w:tcW w:w="965" w:type="dxa"/>
            <w:vMerge w:val="restart"/>
            <w:tcBorders>
              <w:top w:val="single" w:sz="12" w:space="0" w:color="auto"/>
              <w:left w:val="nil"/>
              <w:bottom w:val="single" w:sz="12" w:space="0" w:color="auto"/>
              <w:right w:val="single" w:sz="12" w:space="0" w:color="auto"/>
            </w:tcBorders>
            <w:shd w:val="clear" w:color="auto" w:fill="DEEAF6" w:themeFill="accent1" w:themeFillTint="33"/>
            <w:vAlign w:val="center"/>
            <w:hideMark/>
          </w:tcPr>
          <w:p w:rsidR="00C6044A" w:rsidRDefault="00C6044A" w:rsidP="00DC0975">
            <w:pPr>
              <w:jc w:val="center"/>
              <w:rPr>
                <w:b/>
                <w:bCs/>
                <w:i/>
                <w:iCs/>
                <w:color w:val="000000"/>
                <w:sz w:val="18"/>
                <w:szCs w:val="18"/>
                <w:lang w:eastAsia="fr-FR"/>
              </w:rPr>
            </w:pPr>
            <w:r>
              <w:rPr>
                <w:b/>
                <w:bCs/>
                <w:i/>
                <w:iCs/>
                <w:color w:val="000000"/>
                <w:sz w:val="18"/>
                <w:szCs w:val="18"/>
                <w:lang w:eastAsia="fr-FR"/>
              </w:rPr>
              <w:t>Population totale quartier</w:t>
            </w:r>
          </w:p>
        </w:tc>
      </w:tr>
      <w:tr w:rsidR="00C6044A" w:rsidTr="00FD06F0">
        <w:trPr>
          <w:trHeight w:val="20"/>
          <w:tblHeader/>
        </w:trPr>
        <w:tc>
          <w:tcPr>
            <w:tcW w:w="1525" w:type="dxa"/>
            <w:tcBorders>
              <w:top w:val="nil"/>
              <w:left w:val="single" w:sz="12" w:space="0" w:color="auto"/>
              <w:bottom w:val="single" w:sz="12" w:space="0" w:color="auto"/>
              <w:right w:val="nil"/>
            </w:tcBorders>
            <w:shd w:val="clear" w:color="auto" w:fill="DEEAF6" w:themeFill="accent1" w:themeFillTint="33"/>
            <w:vAlign w:val="center"/>
            <w:hideMark/>
          </w:tcPr>
          <w:p w:rsidR="00C6044A" w:rsidRDefault="00C6044A" w:rsidP="00FD06F0">
            <w:pPr>
              <w:jc w:val="center"/>
              <w:rPr>
                <w:b/>
                <w:bCs/>
                <w:color w:val="000000"/>
                <w:sz w:val="18"/>
                <w:szCs w:val="18"/>
                <w:lang w:eastAsia="fr-FR"/>
              </w:rPr>
            </w:pPr>
            <w:r>
              <w:rPr>
                <w:b/>
                <w:bCs/>
                <w:color w:val="000000"/>
                <w:sz w:val="18"/>
                <w:szCs w:val="18"/>
                <w:lang w:eastAsia="fr-FR"/>
              </w:rPr>
              <w:t>QUARTIERS</w:t>
            </w:r>
          </w:p>
        </w:tc>
        <w:tc>
          <w:tcPr>
            <w:tcW w:w="2246" w:type="dxa"/>
            <w:gridSpan w:val="2"/>
            <w:vMerge/>
            <w:tcBorders>
              <w:top w:val="nil"/>
              <w:left w:val="single" w:sz="12" w:space="0" w:color="auto"/>
              <w:bottom w:val="single" w:sz="12" w:space="0" w:color="auto"/>
              <w:right w:val="nil"/>
            </w:tcBorders>
            <w:shd w:val="clear" w:color="auto" w:fill="DEEAF6" w:themeFill="accent1" w:themeFillTint="33"/>
            <w:vAlign w:val="center"/>
            <w:hideMark/>
          </w:tcPr>
          <w:p w:rsidR="00C6044A" w:rsidRDefault="00C6044A" w:rsidP="00DC0975">
            <w:pPr>
              <w:rPr>
                <w:b/>
                <w:bCs/>
                <w:color w:val="000000"/>
                <w:sz w:val="18"/>
                <w:szCs w:val="18"/>
                <w:lang w:val="en-US" w:eastAsia="fr-FR"/>
              </w:rPr>
            </w:pPr>
          </w:p>
        </w:tc>
        <w:tc>
          <w:tcPr>
            <w:tcW w:w="2136" w:type="dxa"/>
            <w:gridSpan w:val="2"/>
            <w:vMerge/>
            <w:tcBorders>
              <w:top w:val="nil"/>
              <w:left w:val="single" w:sz="12" w:space="0" w:color="auto"/>
              <w:bottom w:val="single" w:sz="12" w:space="0" w:color="auto"/>
              <w:right w:val="nil"/>
            </w:tcBorders>
            <w:shd w:val="clear" w:color="auto" w:fill="DEEAF6" w:themeFill="accent1" w:themeFillTint="33"/>
            <w:vAlign w:val="center"/>
            <w:hideMark/>
          </w:tcPr>
          <w:p w:rsidR="00C6044A" w:rsidRDefault="00C6044A" w:rsidP="00DC0975">
            <w:pPr>
              <w:rPr>
                <w:b/>
                <w:bCs/>
                <w:color w:val="000000"/>
                <w:sz w:val="18"/>
                <w:szCs w:val="18"/>
                <w:lang w:val="en-US" w:eastAsia="fr-FR"/>
              </w:rPr>
            </w:pPr>
          </w:p>
        </w:tc>
        <w:tc>
          <w:tcPr>
            <w:tcW w:w="2235" w:type="dxa"/>
            <w:gridSpan w:val="2"/>
            <w:vMerge/>
            <w:tcBorders>
              <w:top w:val="nil"/>
              <w:left w:val="single" w:sz="12" w:space="0" w:color="auto"/>
              <w:bottom w:val="single" w:sz="12" w:space="0" w:color="auto"/>
              <w:right w:val="nil"/>
            </w:tcBorders>
            <w:shd w:val="clear" w:color="auto" w:fill="DEEAF6" w:themeFill="accent1" w:themeFillTint="33"/>
            <w:vAlign w:val="center"/>
            <w:hideMark/>
          </w:tcPr>
          <w:p w:rsidR="00C6044A" w:rsidRDefault="00C6044A" w:rsidP="00DC0975">
            <w:pPr>
              <w:rPr>
                <w:b/>
                <w:bCs/>
                <w:color w:val="000000"/>
                <w:sz w:val="18"/>
                <w:szCs w:val="18"/>
                <w:lang w:val="en-US" w:eastAsia="fr-FR"/>
              </w:rPr>
            </w:pPr>
          </w:p>
        </w:tc>
        <w:tc>
          <w:tcPr>
            <w:tcW w:w="2262" w:type="dxa"/>
            <w:gridSpan w:val="2"/>
            <w:vMerge/>
            <w:tcBorders>
              <w:top w:val="nil"/>
              <w:left w:val="single" w:sz="12" w:space="0" w:color="auto"/>
              <w:bottom w:val="single" w:sz="12" w:space="0" w:color="auto"/>
              <w:right w:val="nil"/>
            </w:tcBorders>
            <w:shd w:val="clear" w:color="auto" w:fill="DEEAF6" w:themeFill="accent1" w:themeFillTint="33"/>
            <w:vAlign w:val="center"/>
            <w:hideMark/>
          </w:tcPr>
          <w:p w:rsidR="00C6044A" w:rsidRDefault="00C6044A" w:rsidP="00DC0975">
            <w:pPr>
              <w:rPr>
                <w:b/>
                <w:bCs/>
                <w:color w:val="000000"/>
                <w:sz w:val="18"/>
                <w:szCs w:val="18"/>
                <w:lang w:val="en-US" w:eastAsia="fr-FR"/>
              </w:rPr>
            </w:pPr>
          </w:p>
        </w:tc>
        <w:tc>
          <w:tcPr>
            <w:tcW w:w="2221" w:type="dxa"/>
            <w:gridSpan w:val="2"/>
            <w:vMerge/>
            <w:tcBorders>
              <w:top w:val="nil"/>
              <w:left w:val="single" w:sz="12" w:space="0" w:color="auto"/>
              <w:bottom w:val="single" w:sz="12" w:space="0" w:color="auto"/>
              <w:right w:val="nil"/>
            </w:tcBorders>
            <w:shd w:val="clear" w:color="auto" w:fill="DEEAF6" w:themeFill="accent1" w:themeFillTint="33"/>
            <w:vAlign w:val="center"/>
            <w:hideMark/>
          </w:tcPr>
          <w:p w:rsidR="00C6044A" w:rsidRDefault="00C6044A" w:rsidP="00DC0975">
            <w:pPr>
              <w:rPr>
                <w:b/>
                <w:bCs/>
                <w:color w:val="000000"/>
                <w:sz w:val="18"/>
                <w:szCs w:val="18"/>
                <w:lang w:val="en-US" w:eastAsia="fr-FR"/>
              </w:rPr>
            </w:pPr>
          </w:p>
        </w:tc>
        <w:tc>
          <w:tcPr>
            <w:tcW w:w="965" w:type="dxa"/>
            <w:vMerge/>
            <w:tcBorders>
              <w:top w:val="single" w:sz="12" w:space="0" w:color="auto"/>
              <w:left w:val="nil"/>
              <w:bottom w:val="single" w:sz="12" w:space="0" w:color="auto"/>
              <w:right w:val="single" w:sz="12" w:space="0" w:color="auto"/>
            </w:tcBorders>
            <w:shd w:val="clear" w:color="auto" w:fill="DEEAF6" w:themeFill="accent1" w:themeFillTint="33"/>
            <w:vAlign w:val="center"/>
            <w:hideMark/>
          </w:tcPr>
          <w:p w:rsidR="00C6044A" w:rsidRDefault="00C6044A" w:rsidP="00DC0975">
            <w:pPr>
              <w:rPr>
                <w:b/>
                <w:bCs/>
                <w:i/>
                <w:iCs/>
                <w:color w:val="000000"/>
                <w:sz w:val="18"/>
                <w:szCs w:val="18"/>
                <w:lang w:val="en-US" w:eastAsia="fr-FR"/>
              </w:rPr>
            </w:pPr>
          </w:p>
        </w:tc>
      </w:tr>
      <w:tr w:rsidR="00C6044A" w:rsidTr="00FD06F0">
        <w:trPr>
          <w:trHeight w:val="379"/>
        </w:trPr>
        <w:tc>
          <w:tcPr>
            <w:tcW w:w="1525" w:type="dxa"/>
            <w:tcBorders>
              <w:top w:val="nil"/>
              <w:left w:val="single" w:sz="12" w:space="0" w:color="auto"/>
              <w:bottom w:val="single" w:sz="12" w:space="0" w:color="auto"/>
              <w:right w:val="nil"/>
            </w:tcBorders>
            <w:shd w:val="clear" w:color="auto" w:fill="DEEAF6" w:themeFill="accent1" w:themeFillTint="33"/>
            <w:vAlign w:val="center"/>
            <w:hideMark/>
          </w:tcPr>
          <w:p w:rsidR="00C6044A" w:rsidRDefault="00C6044A" w:rsidP="00FD06F0">
            <w:pPr>
              <w:jc w:val="center"/>
              <w:rPr>
                <w:b/>
                <w:bCs/>
                <w:color w:val="000000"/>
                <w:sz w:val="18"/>
                <w:szCs w:val="18"/>
                <w:lang w:eastAsia="fr-FR"/>
              </w:rPr>
            </w:pPr>
            <w:r>
              <w:rPr>
                <w:b/>
                <w:bCs/>
                <w:color w:val="000000"/>
                <w:sz w:val="18"/>
                <w:szCs w:val="18"/>
                <w:lang w:eastAsia="fr-FR"/>
              </w:rPr>
              <w:t>Chao de Pepel</w:t>
            </w:r>
          </w:p>
        </w:tc>
        <w:tc>
          <w:tcPr>
            <w:tcW w:w="746" w:type="dxa"/>
            <w:tcBorders>
              <w:top w:val="nil"/>
              <w:left w:val="single" w:sz="8" w:space="0" w:color="auto"/>
              <w:bottom w:val="single" w:sz="12" w:space="0" w:color="auto"/>
              <w:right w:val="single" w:sz="4" w:space="0" w:color="auto"/>
            </w:tcBorders>
            <w:vAlign w:val="center"/>
            <w:hideMark/>
          </w:tcPr>
          <w:p w:rsidR="00C6044A" w:rsidRDefault="00C6044A" w:rsidP="00DC0975">
            <w:pPr>
              <w:jc w:val="center"/>
              <w:rPr>
                <w:color w:val="000000"/>
                <w:sz w:val="18"/>
                <w:szCs w:val="18"/>
                <w:lang w:eastAsia="fr-FR"/>
              </w:rPr>
            </w:pPr>
            <w:r>
              <w:rPr>
                <w:color w:val="000000"/>
                <w:sz w:val="18"/>
                <w:szCs w:val="18"/>
                <w:lang w:eastAsia="fr-FR"/>
              </w:rPr>
              <w:t>599</w:t>
            </w:r>
          </w:p>
        </w:tc>
        <w:tc>
          <w:tcPr>
            <w:tcW w:w="750" w:type="dxa"/>
            <w:tcBorders>
              <w:top w:val="nil"/>
              <w:left w:val="nil"/>
              <w:bottom w:val="single" w:sz="12" w:space="0" w:color="auto"/>
              <w:right w:val="single" w:sz="12" w:space="0" w:color="auto"/>
            </w:tcBorders>
            <w:vAlign w:val="center"/>
            <w:hideMark/>
          </w:tcPr>
          <w:p w:rsidR="00C6044A" w:rsidRDefault="00C6044A" w:rsidP="00DC0975">
            <w:pPr>
              <w:jc w:val="center"/>
              <w:rPr>
                <w:color w:val="000000"/>
                <w:sz w:val="18"/>
                <w:szCs w:val="18"/>
                <w:lang w:eastAsia="fr-FR"/>
              </w:rPr>
            </w:pPr>
            <w:r>
              <w:rPr>
                <w:color w:val="000000"/>
                <w:sz w:val="18"/>
                <w:szCs w:val="18"/>
                <w:lang w:eastAsia="fr-FR"/>
              </w:rPr>
              <w:t>17%</w:t>
            </w:r>
          </w:p>
        </w:tc>
        <w:tc>
          <w:tcPr>
            <w:tcW w:w="812" w:type="dxa"/>
            <w:tcBorders>
              <w:top w:val="nil"/>
              <w:left w:val="nil"/>
              <w:bottom w:val="single" w:sz="12" w:space="0" w:color="auto"/>
              <w:right w:val="single" w:sz="4" w:space="0" w:color="auto"/>
            </w:tcBorders>
            <w:vAlign w:val="center"/>
            <w:hideMark/>
          </w:tcPr>
          <w:p w:rsidR="00C6044A" w:rsidRDefault="00C6044A" w:rsidP="00DC0975">
            <w:pPr>
              <w:jc w:val="center"/>
              <w:rPr>
                <w:color w:val="000000"/>
                <w:sz w:val="18"/>
                <w:szCs w:val="18"/>
                <w:lang w:eastAsia="fr-FR"/>
              </w:rPr>
            </w:pPr>
            <w:r>
              <w:rPr>
                <w:color w:val="000000"/>
                <w:sz w:val="18"/>
                <w:szCs w:val="18"/>
                <w:lang w:eastAsia="fr-FR"/>
              </w:rPr>
              <w:t>196</w:t>
            </w:r>
          </w:p>
        </w:tc>
        <w:tc>
          <w:tcPr>
            <w:tcW w:w="662" w:type="dxa"/>
            <w:tcBorders>
              <w:top w:val="nil"/>
              <w:left w:val="nil"/>
              <w:bottom w:val="single" w:sz="12" w:space="0" w:color="auto"/>
              <w:right w:val="single" w:sz="12" w:space="0" w:color="auto"/>
            </w:tcBorders>
            <w:vAlign w:val="center"/>
            <w:hideMark/>
          </w:tcPr>
          <w:p w:rsidR="00C6044A" w:rsidRDefault="00C6044A" w:rsidP="00DC0975">
            <w:pPr>
              <w:jc w:val="center"/>
              <w:rPr>
                <w:color w:val="000000"/>
                <w:sz w:val="18"/>
                <w:szCs w:val="18"/>
                <w:lang w:eastAsia="fr-FR"/>
              </w:rPr>
            </w:pPr>
            <w:r>
              <w:rPr>
                <w:color w:val="000000"/>
                <w:sz w:val="18"/>
                <w:szCs w:val="18"/>
                <w:lang w:eastAsia="fr-FR"/>
              </w:rPr>
              <w:t>6%</w:t>
            </w:r>
          </w:p>
        </w:tc>
        <w:tc>
          <w:tcPr>
            <w:tcW w:w="757" w:type="dxa"/>
            <w:tcBorders>
              <w:top w:val="nil"/>
              <w:left w:val="nil"/>
              <w:bottom w:val="single" w:sz="12" w:space="0" w:color="auto"/>
              <w:right w:val="single" w:sz="4" w:space="0" w:color="auto"/>
            </w:tcBorders>
            <w:vAlign w:val="center"/>
            <w:hideMark/>
          </w:tcPr>
          <w:p w:rsidR="00C6044A" w:rsidRDefault="00C6044A" w:rsidP="00DC0975">
            <w:pPr>
              <w:jc w:val="center"/>
              <w:rPr>
                <w:color w:val="000000"/>
                <w:sz w:val="18"/>
                <w:szCs w:val="18"/>
                <w:lang w:eastAsia="fr-FR"/>
              </w:rPr>
            </w:pPr>
            <w:r>
              <w:rPr>
                <w:color w:val="000000"/>
                <w:sz w:val="18"/>
                <w:szCs w:val="18"/>
                <w:lang w:eastAsia="fr-FR"/>
              </w:rPr>
              <w:t>534</w:t>
            </w:r>
          </w:p>
        </w:tc>
        <w:tc>
          <w:tcPr>
            <w:tcW w:w="739" w:type="dxa"/>
            <w:tcBorders>
              <w:top w:val="nil"/>
              <w:left w:val="nil"/>
              <w:bottom w:val="single" w:sz="12" w:space="0" w:color="auto"/>
              <w:right w:val="single" w:sz="12" w:space="0" w:color="auto"/>
            </w:tcBorders>
            <w:vAlign w:val="center"/>
            <w:hideMark/>
          </w:tcPr>
          <w:p w:rsidR="00C6044A" w:rsidRDefault="00C6044A" w:rsidP="00DC0975">
            <w:pPr>
              <w:jc w:val="center"/>
              <w:rPr>
                <w:color w:val="000000"/>
                <w:sz w:val="18"/>
                <w:szCs w:val="18"/>
                <w:lang w:eastAsia="fr-FR"/>
              </w:rPr>
            </w:pPr>
            <w:r>
              <w:rPr>
                <w:color w:val="000000"/>
                <w:sz w:val="18"/>
                <w:szCs w:val="18"/>
                <w:lang w:eastAsia="fr-FR"/>
              </w:rPr>
              <w:t>15%</w:t>
            </w:r>
          </w:p>
        </w:tc>
        <w:tc>
          <w:tcPr>
            <w:tcW w:w="680" w:type="dxa"/>
            <w:tcBorders>
              <w:top w:val="nil"/>
              <w:left w:val="nil"/>
              <w:bottom w:val="single" w:sz="12" w:space="0" w:color="auto"/>
              <w:right w:val="single" w:sz="4" w:space="0" w:color="auto"/>
            </w:tcBorders>
            <w:vAlign w:val="center"/>
            <w:hideMark/>
          </w:tcPr>
          <w:p w:rsidR="00C6044A" w:rsidRDefault="00C6044A" w:rsidP="00DC0975">
            <w:pPr>
              <w:jc w:val="center"/>
              <w:rPr>
                <w:color w:val="000000"/>
                <w:sz w:val="18"/>
                <w:szCs w:val="18"/>
                <w:lang w:eastAsia="fr-FR"/>
              </w:rPr>
            </w:pPr>
            <w:r>
              <w:rPr>
                <w:color w:val="000000"/>
                <w:sz w:val="18"/>
                <w:szCs w:val="18"/>
                <w:lang w:eastAsia="fr-FR"/>
              </w:rPr>
              <w:t>314</w:t>
            </w:r>
          </w:p>
        </w:tc>
        <w:tc>
          <w:tcPr>
            <w:tcW w:w="791" w:type="dxa"/>
            <w:tcBorders>
              <w:top w:val="nil"/>
              <w:left w:val="nil"/>
              <w:bottom w:val="single" w:sz="12" w:space="0" w:color="auto"/>
              <w:right w:val="nil"/>
            </w:tcBorders>
            <w:vAlign w:val="center"/>
            <w:hideMark/>
          </w:tcPr>
          <w:p w:rsidR="00C6044A" w:rsidRDefault="00C6044A" w:rsidP="00DC0975">
            <w:pPr>
              <w:jc w:val="center"/>
              <w:rPr>
                <w:color w:val="000000"/>
                <w:sz w:val="18"/>
                <w:szCs w:val="18"/>
                <w:lang w:eastAsia="fr-FR"/>
              </w:rPr>
            </w:pPr>
            <w:r>
              <w:rPr>
                <w:color w:val="000000"/>
                <w:sz w:val="18"/>
                <w:szCs w:val="18"/>
                <w:lang w:eastAsia="fr-FR"/>
              </w:rPr>
              <w:t>9%</w:t>
            </w:r>
          </w:p>
        </w:tc>
        <w:tc>
          <w:tcPr>
            <w:tcW w:w="771" w:type="dxa"/>
            <w:tcBorders>
              <w:top w:val="nil"/>
              <w:left w:val="single" w:sz="8" w:space="0" w:color="auto"/>
              <w:bottom w:val="single" w:sz="12" w:space="0" w:color="auto"/>
              <w:right w:val="single" w:sz="4" w:space="0" w:color="auto"/>
            </w:tcBorders>
            <w:vAlign w:val="center"/>
            <w:hideMark/>
          </w:tcPr>
          <w:p w:rsidR="00C6044A" w:rsidRDefault="00C6044A" w:rsidP="00DC0975">
            <w:pPr>
              <w:jc w:val="center"/>
              <w:rPr>
                <w:color w:val="000000"/>
                <w:sz w:val="18"/>
                <w:szCs w:val="18"/>
                <w:lang w:eastAsia="fr-FR"/>
              </w:rPr>
            </w:pPr>
            <w:r>
              <w:rPr>
                <w:color w:val="000000"/>
                <w:sz w:val="18"/>
                <w:szCs w:val="18"/>
                <w:lang w:eastAsia="fr-FR"/>
              </w:rPr>
              <w:t>566</w:t>
            </w:r>
          </w:p>
        </w:tc>
        <w:tc>
          <w:tcPr>
            <w:tcW w:w="725" w:type="dxa"/>
            <w:tcBorders>
              <w:top w:val="nil"/>
              <w:left w:val="nil"/>
              <w:bottom w:val="single" w:sz="12" w:space="0" w:color="auto"/>
              <w:right w:val="single" w:sz="8" w:space="0" w:color="auto"/>
            </w:tcBorders>
            <w:vAlign w:val="center"/>
            <w:hideMark/>
          </w:tcPr>
          <w:p w:rsidR="00C6044A" w:rsidRDefault="00C6044A" w:rsidP="00DC0975">
            <w:pPr>
              <w:jc w:val="center"/>
              <w:rPr>
                <w:color w:val="000000"/>
                <w:sz w:val="18"/>
                <w:szCs w:val="18"/>
                <w:lang w:eastAsia="fr-FR"/>
              </w:rPr>
            </w:pPr>
            <w:r>
              <w:rPr>
                <w:color w:val="000000"/>
                <w:sz w:val="18"/>
                <w:szCs w:val="18"/>
                <w:lang w:eastAsia="fr-FR"/>
              </w:rPr>
              <w:t>16%</w:t>
            </w:r>
          </w:p>
        </w:tc>
        <w:tc>
          <w:tcPr>
            <w:tcW w:w="965" w:type="dxa"/>
            <w:tcBorders>
              <w:top w:val="single" w:sz="8" w:space="0" w:color="auto"/>
              <w:left w:val="nil"/>
              <w:bottom w:val="single" w:sz="12" w:space="0" w:color="auto"/>
              <w:right w:val="single" w:sz="8" w:space="0" w:color="auto"/>
            </w:tcBorders>
            <w:vAlign w:val="center"/>
            <w:hideMark/>
          </w:tcPr>
          <w:p w:rsidR="00C6044A" w:rsidRDefault="00C6044A" w:rsidP="00DC0975">
            <w:pPr>
              <w:jc w:val="center"/>
              <w:rPr>
                <w:color w:val="000000"/>
                <w:sz w:val="18"/>
                <w:szCs w:val="18"/>
                <w:lang w:eastAsia="fr-FR"/>
              </w:rPr>
            </w:pPr>
            <w:r>
              <w:rPr>
                <w:color w:val="000000"/>
                <w:sz w:val="18"/>
                <w:szCs w:val="18"/>
                <w:lang w:eastAsia="fr-FR"/>
              </w:rPr>
              <w:t>3475</w:t>
            </w:r>
          </w:p>
        </w:tc>
      </w:tr>
      <w:tr w:rsidR="00C6044A" w:rsidTr="00FD06F0">
        <w:trPr>
          <w:trHeight w:val="379"/>
        </w:trPr>
        <w:tc>
          <w:tcPr>
            <w:tcW w:w="1525" w:type="dxa"/>
            <w:tcBorders>
              <w:top w:val="nil"/>
              <w:left w:val="single" w:sz="12" w:space="0" w:color="auto"/>
              <w:bottom w:val="single" w:sz="12" w:space="0" w:color="auto"/>
              <w:right w:val="nil"/>
            </w:tcBorders>
            <w:shd w:val="clear" w:color="auto" w:fill="DEEAF6" w:themeFill="accent1" w:themeFillTint="33"/>
            <w:vAlign w:val="center"/>
            <w:hideMark/>
          </w:tcPr>
          <w:p w:rsidR="00C6044A" w:rsidRDefault="00C6044A" w:rsidP="00FD06F0">
            <w:pPr>
              <w:jc w:val="center"/>
              <w:rPr>
                <w:b/>
                <w:bCs/>
                <w:color w:val="000000"/>
                <w:sz w:val="18"/>
                <w:szCs w:val="18"/>
                <w:lang w:eastAsia="fr-FR"/>
              </w:rPr>
            </w:pPr>
            <w:r>
              <w:rPr>
                <w:b/>
                <w:bCs/>
                <w:color w:val="000000"/>
                <w:sz w:val="18"/>
                <w:szCs w:val="18"/>
                <w:lang w:eastAsia="fr-FR"/>
              </w:rPr>
              <w:t>Brà</w:t>
            </w:r>
          </w:p>
        </w:tc>
        <w:tc>
          <w:tcPr>
            <w:tcW w:w="746" w:type="dxa"/>
            <w:tcBorders>
              <w:top w:val="nil"/>
              <w:left w:val="single" w:sz="8" w:space="0" w:color="auto"/>
              <w:bottom w:val="single" w:sz="12" w:space="0" w:color="auto"/>
              <w:right w:val="single" w:sz="4" w:space="0" w:color="auto"/>
            </w:tcBorders>
            <w:vAlign w:val="center"/>
            <w:hideMark/>
          </w:tcPr>
          <w:p w:rsidR="00C6044A" w:rsidRDefault="00C6044A" w:rsidP="00DC0975">
            <w:pPr>
              <w:jc w:val="center"/>
              <w:rPr>
                <w:color w:val="000000"/>
                <w:sz w:val="18"/>
                <w:szCs w:val="18"/>
                <w:lang w:eastAsia="fr-FR"/>
              </w:rPr>
            </w:pPr>
            <w:r>
              <w:rPr>
                <w:color w:val="000000"/>
                <w:sz w:val="18"/>
                <w:szCs w:val="18"/>
                <w:lang w:eastAsia="fr-FR"/>
              </w:rPr>
              <w:t>6</w:t>
            </w:r>
          </w:p>
        </w:tc>
        <w:tc>
          <w:tcPr>
            <w:tcW w:w="750" w:type="dxa"/>
            <w:tcBorders>
              <w:top w:val="nil"/>
              <w:left w:val="nil"/>
              <w:bottom w:val="single" w:sz="12" w:space="0" w:color="auto"/>
              <w:right w:val="single" w:sz="12" w:space="0" w:color="auto"/>
            </w:tcBorders>
            <w:vAlign w:val="center"/>
            <w:hideMark/>
          </w:tcPr>
          <w:p w:rsidR="00C6044A" w:rsidRDefault="00C6044A" w:rsidP="00DC0975">
            <w:pPr>
              <w:jc w:val="center"/>
              <w:rPr>
                <w:color w:val="000000"/>
                <w:sz w:val="18"/>
                <w:szCs w:val="18"/>
                <w:lang w:eastAsia="fr-FR"/>
              </w:rPr>
            </w:pPr>
            <w:r>
              <w:rPr>
                <w:color w:val="000000"/>
                <w:sz w:val="18"/>
                <w:szCs w:val="18"/>
                <w:lang w:eastAsia="fr-FR"/>
              </w:rPr>
              <w:t>1%</w:t>
            </w:r>
          </w:p>
        </w:tc>
        <w:tc>
          <w:tcPr>
            <w:tcW w:w="812" w:type="dxa"/>
            <w:tcBorders>
              <w:top w:val="nil"/>
              <w:left w:val="nil"/>
              <w:bottom w:val="single" w:sz="12" w:space="0" w:color="auto"/>
              <w:right w:val="single" w:sz="4" w:space="0" w:color="auto"/>
            </w:tcBorders>
            <w:vAlign w:val="center"/>
            <w:hideMark/>
          </w:tcPr>
          <w:p w:rsidR="00C6044A" w:rsidRDefault="00C6044A" w:rsidP="00DC0975">
            <w:pPr>
              <w:jc w:val="center"/>
              <w:rPr>
                <w:color w:val="000000"/>
                <w:sz w:val="18"/>
                <w:szCs w:val="18"/>
                <w:lang w:eastAsia="fr-FR"/>
              </w:rPr>
            </w:pPr>
            <w:r>
              <w:rPr>
                <w:color w:val="000000"/>
                <w:sz w:val="18"/>
                <w:szCs w:val="18"/>
                <w:lang w:eastAsia="fr-FR"/>
              </w:rPr>
              <w:t>13</w:t>
            </w:r>
          </w:p>
        </w:tc>
        <w:tc>
          <w:tcPr>
            <w:tcW w:w="662" w:type="dxa"/>
            <w:tcBorders>
              <w:top w:val="nil"/>
              <w:left w:val="nil"/>
              <w:bottom w:val="single" w:sz="12" w:space="0" w:color="auto"/>
              <w:right w:val="single" w:sz="12" w:space="0" w:color="auto"/>
            </w:tcBorders>
            <w:vAlign w:val="center"/>
            <w:hideMark/>
          </w:tcPr>
          <w:p w:rsidR="00C6044A" w:rsidRDefault="00C6044A" w:rsidP="00DC0975">
            <w:pPr>
              <w:jc w:val="center"/>
              <w:rPr>
                <w:color w:val="000000"/>
                <w:sz w:val="18"/>
                <w:szCs w:val="18"/>
                <w:lang w:eastAsia="fr-FR"/>
              </w:rPr>
            </w:pPr>
            <w:r>
              <w:rPr>
                <w:color w:val="000000"/>
                <w:sz w:val="18"/>
                <w:szCs w:val="18"/>
                <w:lang w:eastAsia="fr-FR"/>
              </w:rPr>
              <w:t>1%</w:t>
            </w:r>
          </w:p>
        </w:tc>
        <w:tc>
          <w:tcPr>
            <w:tcW w:w="757" w:type="dxa"/>
            <w:tcBorders>
              <w:top w:val="nil"/>
              <w:left w:val="nil"/>
              <w:bottom w:val="single" w:sz="12" w:space="0" w:color="auto"/>
              <w:right w:val="single" w:sz="4" w:space="0" w:color="auto"/>
            </w:tcBorders>
            <w:vAlign w:val="center"/>
            <w:hideMark/>
          </w:tcPr>
          <w:p w:rsidR="00C6044A" w:rsidRDefault="00C6044A" w:rsidP="00DC0975">
            <w:pPr>
              <w:jc w:val="center"/>
              <w:rPr>
                <w:color w:val="000000"/>
                <w:sz w:val="18"/>
                <w:szCs w:val="18"/>
                <w:lang w:eastAsia="fr-FR"/>
              </w:rPr>
            </w:pPr>
            <w:r>
              <w:rPr>
                <w:color w:val="000000"/>
                <w:sz w:val="18"/>
                <w:szCs w:val="18"/>
                <w:lang w:eastAsia="fr-FR"/>
              </w:rPr>
              <w:t>134</w:t>
            </w:r>
          </w:p>
        </w:tc>
        <w:tc>
          <w:tcPr>
            <w:tcW w:w="739" w:type="dxa"/>
            <w:tcBorders>
              <w:top w:val="nil"/>
              <w:left w:val="nil"/>
              <w:bottom w:val="single" w:sz="12" w:space="0" w:color="auto"/>
              <w:right w:val="single" w:sz="12" w:space="0" w:color="auto"/>
            </w:tcBorders>
            <w:vAlign w:val="center"/>
            <w:hideMark/>
          </w:tcPr>
          <w:p w:rsidR="00C6044A" w:rsidRDefault="00C6044A" w:rsidP="00DC0975">
            <w:pPr>
              <w:jc w:val="center"/>
              <w:rPr>
                <w:color w:val="000000"/>
                <w:sz w:val="18"/>
                <w:szCs w:val="18"/>
                <w:lang w:eastAsia="fr-FR"/>
              </w:rPr>
            </w:pPr>
            <w:r>
              <w:rPr>
                <w:color w:val="000000"/>
                <w:sz w:val="18"/>
                <w:szCs w:val="18"/>
                <w:lang w:eastAsia="fr-FR"/>
              </w:rPr>
              <w:t>12%</w:t>
            </w:r>
          </w:p>
        </w:tc>
        <w:tc>
          <w:tcPr>
            <w:tcW w:w="680" w:type="dxa"/>
            <w:tcBorders>
              <w:top w:val="nil"/>
              <w:left w:val="nil"/>
              <w:bottom w:val="single" w:sz="12" w:space="0" w:color="auto"/>
              <w:right w:val="single" w:sz="4" w:space="0" w:color="auto"/>
            </w:tcBorders>
            <w:vAlign w:val="center"/>
            <w:hideMark/>
          </w:tcPr>
          <w:p w:rsidR="00C6044A" w:rsidRDefault="00C6044A" w:rsidP="00DC0975">
            <w:pPr>
              <w:jc w:val="center"/>
              <w:rPr>
                <w:color w:val="000000"/>
                <w:sz w:val="18"/>
                <w:szCs w:val="18"/>
                <w:lang w:eastAsia="fr-FR"/>
              </w:rPr>
            </w:pPr>
            <w:r>
              <w:rPr>
                <w:color w:val="000000"/>
                <w:sz w:val="18"/>
                <w:szCs w:val="18"/>
                <w:lang w:eastAsia="fr-FR"/>
              </w:rPr>
              <w:t>64</w:t>
            </w:r>
          </w:p>
        </w:tc>
        <w:tc>
          <w:tcPr>
            <w:tcW w:w="791" w:type="dxa"/>
            <w:tcBorders>
              <w:top w:val="nil"/>
              <w:left w:val="nil"/>
              <w:bottom w:val="single" w:sz="12" w:space="0" w:color="auto"/>
              <w:right w:val="nil"/>
            </w:tcBorders>
            <w:vAlign w:val="center"/>
            <w:hideMark/>
          </w:tcPr>
          <w:p w:rsidR="00C6044A" w:rsidRDefault="00C6044A" w:rsidP="00DC0975">
            <w:pPr>
              <w:jc w:val="center"/>
              <w:rPr>
                <w:color w:val="000000"/>
                <w:sz w:val="18"/>
                <w:szCs w:val="18"/>
                <w:lang w:eastAsia="fr-FR"/>
              </w:rPr>
            </w:pPr>
            <w:r>
              <w:rPr>
                <w:color w:val="000000"/>
                <w:sz w:val="18"/>
                <w:szCs w:val="18"/>
                <w:lang w:eastAsia="fr-FR"/>
              </w:rPr>
              <w:t>6%</w:t>
            </w:r>
          </w:p>
        </w:tc>
        <w:tc>
          <w:tcPr>
            <w:tcW w:w="771" w:type="dxa"/>
            <w:tcBorders>
              <w:top w:val="nil"/>
              <w:left w:val="single" w:sz="8" w:space="0" w:color="auto"/>
              <w:bottom w:val="single" w:sz="12" w:space="0" w:color="auto"/>
              <w:right w:val="single" w:sz="4" w:space="0" w:color="auto"/>
            </w:tcBorders>
            <w:vAlign w:val="center"/>
            <w:hideMark/>
          </w:tcPr>
          <w:p w:rsidR="00C6044A" w:rsidRDefault="00C6044A" w:rsidP="00DC0975">
            <w:pPr>
              <w:jc w:val="center"/>
              <w:rPr>
                <w:color w:val="000000"/>
                <w:sz w:val="18"/>
                <w:szCs w:val="18"/>
                <w:lang w:eastAsia="fr-FR"/>
              </w:rPr>
            </w:pPr>
            <w:r>
              <w:rPr>
                <w:color w:val="000000"/>
                <w:sz w:val="18"/>
                <w:szCs w:val="18"/>
                <w:lang w:eastAsia="fr-FR"/>
              </w:rPr>
              <w:t>147</w:t>
            </w:r>
          </w:p>
        </w:tc>
        <w:tc>
          <w:tcPr>
            <w:tcW w:w="725" w:type="dxa"/>
            <w:tcBorders>
              <w:top w:val="nil"/>
              <w:left w:val="nil"/>
              <w:bottom w:val="single" w:sz="12" w:space="0" w:color="auto"/>
              <w:right w:val="single" w:sz="8" w:space="0" w:color="auto"/>
            </w:tcBorders>
            <w:vAlign w:val="center"/>
            <w:hideMark/>
          </w:tcPr>
          <w:p w:rsidR="00C6044A" w:rsidRDefault="00C6044A" w:rsidP="00DC0975">
            <w:pPr>
              <w:jc w:val="center"/>
              <w:rPr>
                <w:color w:val="000000"/>
                <w:sz w:val="18"/>
                <w:szCs w:val="18"/>
                <w:lang w:eastAsia="fr-FR"/>
              </w:rPr>
            </w:pPr>
            <w:r>
              <w:rPr>
                <w:color w:val="000000"/>
                <w:sz w:val="18"/>
                <w:szCs w:val="18"/>
                <w:lang w:eastAsia="fr-FR"/>
              </w:rPr>
              <w:t>13%</w:t>
            </w:r>
          </w:p>
        </w:tc>
        <w:tc>
          <w:tcPr>
            <w:tcW w:w="965" w:type="dxa"/>
            <w:tcBorders>
              <w:top w:val="nil"/>
              <w:left w:val="nil"/>
              <w:bottom w:val="single" w:sz="12" w:space="0" w:color="auto"/>
              <w:right w:val="single" w:sz="8" w:space="0" w:color="auto"/>
            </w:tcBorders>
            <w:vAlign w:val="center"/>
            <w:hideMark/>
          </w:tcPr>
          <w:p w:rsidR="00C6044A" w:rsidRDefault="00C6044A" w:rsidP="00DC0975">
            <w:pPr>
              <w:jc w:val="center"/>
              <w:rPr>
                <w:color w:val="000000"/>
                <w:sz w:val="18"/>
                <w:szCs w:val="18"/>
                <w:lang w:eastAsia="fr-FR"/>
              </w:rPr>
            </w:pPr>
            <w:r>
              <w:rPr>
                <w:color w:val="000000"/>
                <w:sz w:val="18"/>
                <w:szCs w:val="18"/>
                <w:lang w:eastAsia="fr-FR"/>
              </w:rPr>
              <w:t>1157</w:t>
            </w:r>
          </w:p>
        </w:tc>
      </w:tr>
      <w:tr w:rsidR="00C6044A" w:rsidTr="00FD06F0">
        <w:trPr>
          <w:trHeight w:val="379"/>
        </w:trPr>
        <w:tc>
          <w:tcPr>
            <w:tcW w:w="1525" w:type="dxa"/>
            <w:tcBorders>
              <w:top w:val="nil"/>
              <w:left w:val="single" w:sz="12" w:space="0" w:color="auto"/>
              <w:bottom w:val="single" w:sz="12" w:space="0" w:color="auto"/>
              <w:right w:val="nil"/>
            </w:tcBorders>
            <w:shd w:val="clear" w:color="auto" w:fill="DEEAF6" w:themeFill="accent1" w:themeFillTint="33"/>
            <w:vAlign w:val="center"/>
            <w:hideMark/>
          </w:tcPr>
          <w:p w:rsidR="00C6044A" w:rsidRDefault="00C6044A" w:rsidP="00FD06F0">
            <w:pPr>
              <w:jc w:val="center"/>
              <w:rPr>
                <w:b/>
                <w:bCs/>
                <w:color w:val="000000"/>
                <w:sz w:val="18"/>
                <w:szCs w:val="18"/>
                <w:lang w:eastAsia="fr-FR"/>
              </w:rPr>
            </w:pPr>
            <w:r>
              <w:rPr>
                <w:b/>
                <w:bCs/>
                <w:color w:val="000000"/>
                <w:sz w:val="18"/>
                <w:szCs w:val="18"/>
                <w:lang w:eastAsia="fr-FR"/>
              </w:rPr>
              <w:t>Bissaque</w:t>
            </w:r>
          </w:p>
        </w:tc>
        <w:tc>
          <w:tcPr>
            <w:tcW w:w="746" w:type="dxa"/>
            <w:tcBorders>
              <w:top w:val="nil"/>
              <w:left w:val="single" w:sz="8" w:space="0" w:color="auto"/>
              <w:bottom w:val="single" w:sz="12" w:space="0" w:color="auto"/>
              <w:right w:val="single" w:sz="4" w:space="0" w:color="auto"/>
            </w:tcBorders>
            <w:vAlign w:val="center"/>
            <w:hideMark/>
          </w:tcPr>
          <w:p w:rsidR="00C6044A" w:rsidRDefault="00C6044A" w:rsidP="00DC0975">
            <w:pPr>
              <w:jc w:val="center"/>
              <w:rPr>
                <w:color w:val="000000"/>
                <w:sz w:val="18"/>
                <w:szCs w:val="18"/>
                <w:lang w:eastAsia="fr-FR"/>
              </w:rPr>
            </w:pPr>
            <w:r>
              <w:rPr>
                <w:color w:val="000000"/>
                <w:sz w:val="18"/>
                <w:szCs w:val="18"/>
                <w:lang w:eastAsia="fr-FR"/>
              </w:rPr>
              <w:t>159</w:t>
            </w:r>
          </w:p>
        </w:tc>
        <w:tc>
          <w:tcPr>
            <w:tcW w:w="750" w:type="dxa"/>
            <w:tcBorders>
              <w:top w:val="nil"/>
              <w:left w:val="nil"/>
              <w:bottom w:val="single" w:sz="12" w:space="0" w:color="auto"/>
              <w:right w:val="single" w:sz="12" w:space="0" w:color="auto"/>
            </w:tcBorders>
            <w:vAlign w:val="center"/>
            <w:hideMark/>
          </w:tcPr>
          <w:p w:rsidR="00C6044A" w:rsidRDefault="00C6044A" w:rsidP="00DC0975">
            <w:pPr>
              <w:jc w:val="center"/>
              <w:rPr>
                <w:color w:val="000000"/>
                <w:sz w:val="18"/>
                <w:szCs w:val="18"/>
                <w:lang w:eastAsia="fr-FR"/>
              </w:rPr>
            </w:pPr>
            <w:r>
              <w:rPr>
                <w:color w:val="000000"/>
                <w:sz w:val="18"/>
                <w:szCs w:val="18"/>
                <w:lang w:eastAsia="fr-FR"/>
              </w:rPr>
              <w:t>1%</w:t>
            </w:r>
          </w:p>
        </w:tc>
        <w:tc>
          <w:tcPr>
            <w:tcW w:w="812" w:type="dxa"/>
            <w:tcBorders>
              <w:top w:val="nil"/>
              <w:left w:val="nil"/>
              <w:bottom w:val="single" w:sz="12" w:space="0" w:color="auto"/>
              <w:right w:val="single" w:sz="4" w:space="0" w:color="auto"/>
            </w:tcBorders>
            <w:vAlign w:val="center"/>
            <w:hideMark/>
          </w:tcPr>
          <w:p w:rsidR="00C6044A" w:rsidRDefault="00C6044A" w:rsidP="00DC0975">
            <w:pPr>
              <w:jc w:val="center"/>
              <w:rPr>
                <w:color w:val="000000"/>
                <w:sz w:val="18"/>
                <w:szCs w:val="18"/>
                <w:lang w:eastAsia="fr-FR"/>
              </w:rPr>
            </w:pPr>
            <w:r>
              <w:rPr>
                <w:color w:val="000000"/>
                <w:sz w:val="18"/>
                <w:szCs w:val="18"/>
                <w:lang w:eastAsia="fr-FR"/>
              </w:rPr>
              <w:t>80</w:t>
            </w:r>
          </w:p>
        </w:tc>
        <w:tc>
          <w:tcPr>
            <w:tcW w:w="662" w:type="dxa"/>
            <w:tcBorders>
              <w:top w:val="nil"/>
              <w:left w:val="nil"/>
              <w:bottom w:val="single" w:sz="12" w:space="0" w:color="auto"/>
              <w:right w:val="single" w:sz="12" w:space="0" w:color="auto"/>
            </w:tcBorders>
            <w:vAlign w:val="center"/>
            <w:hideMark/>
          </w:tcPr>
          <w:p w:rsidR="00C6044A" w:rsidRDefault="00C6044A" w:rsidP="00DC0975">
            <w:pPr>
              <w:jc w:val="center"/>
              <w:rPr>
                <w:color w:val="000000"/>
                <w:sz w:val="18"/>
                <w:szCs w:val="18"/>
                <w:lang w:eastAsia="fr-FR"/>
              </w:rPr>
            </w:pPr>
            <w:r>
              <w:rPr>
                <w:color w:val="000000"/>
                <w:sz w:val="18"/>
                <w:szCs w:val="18"/>
                <w:lang w:eastAsia="fr-FR"/>
              </w:rPr>
              <w:t>1%</w:t>
            </w:r>
          </w:p>
        </w:tc>
        <w:tc>
          <w:tcPr>
            <w:tcW w:w="757" w:type="dxa"/>
            <w:tcBorders>
              <w:top w:val="nil"/>
              <w:left w:val="nil"/>
              <w:bottom w:val="single" w:sz="12" w:space="0" w:color="auto"/>
              <w:right w:val="single" w:sz="4" w:space="0" w:color="auto"/>
            </w:tcBorders>
            <w:vAlign w:val="center"/>
            <w:hideMark/>
          </w:tcPr>
          <w:p w:rsidR="00C6044A" w:rsidRDefault="00C6044A" w:rsidP="00DC0975">
            <w:pPr>
              <w:jc w:val="center"/>
              <w:rPr>
                <w:color w:val="000000"/>
                <w:sz w:val="18"/>
                <w:szCs w:val="18"/>
                <w:lang w:eastAsia="fr-FR"/>
              </w:rPr>
            </w:pPr>
            <w:r>
              <w:rPr>
                <w:color w:val="000000"/>
                <w:sz w:val="18"/>
                <w:szCs w:val="18"/>
                <w:lang w:eastAsia="fr-FR"/>
              </w:rPr>
              <w:t>1642</w:t>
            </w:r>
          </w:p>
        </w:tc>
        <w:tc>
          <w:tcPr>
            <w:tcW w:w="739" w:type="dxa"/>
            <w:tcBorders>
              <w:top w:val="nil"/>
              <w:left w:val="nil"/>
              <w:bottom w:val="single" w:sz="12" w:space="0" w:color="auto"/>
              <w:right w:val="single" w:sz="12" w:space="0" w:color="auto"/>
            </w:tcBorders>
            <w:vAlign w:val="center"/>
            <w:hideMark/>
          </w:tcPr>
          <w:p w:rsidR="00C6044A" w:rsidRDefault="00C6044A" w:rsidP="00DC0975">
            <w:pPr>
              <w:jc w:val="center"/>
              <w:rPr>
                <w:color w:val="000000"/>
                <w:sz w:val="18"/>
                <w:szCs w:val="18"/>
                <w:lang w:eastAsia="fr-FR"/>
              </w:rPr>
            </w:pPr>
            <w:r>
              <w:rPr>
                <w:color w:val="000000"/>
                <w:sz w:val="18"/>
                <w:szCs w:val="18"/>
                <w:lang w:eastAsia="fr-FR"/>
              </w:rPr>
              <w:t>10%</w:t>
            </w:r>
          </w:p>
        </w:tc>
        <w:tc>
          <w:tcPr>
            <w:tcW w:w="680" w:type="dxa"/>
            <w:tcBorders>
              <w:top w:val="nil"/>
              <w:left w:val="nil"/>
              <w:bottom w:val="single" w:sz="12" w:space="0" w:color="auto"/>
              <w:right w:val="single" w:sz="4" w:space="0" w:color="auto"/>
            </w:tcBorders>
            <w:vAlign w:val="center"/>
            <w:hideMark/>
          </w:tcPr>
          <w:p w:rsidR="00C6044A" w:rsidRDefault="00C6044A" w:rsidP="00DC0975">
            <w:pPr>
              <w:jc w:val="center"/>
              <w:rPr>
                <w:color w:val="000000"/>
                <w:sz w:val="18"/>
                <w:szCs w:val="18"/>
                <w:lang w:eastAsia="fr-FR"/>
              </w:rPr>
            </w:pPr>
            <w:r>
              <w:rPr>
                <w:color w:val="000000"/>
                <w:sz w:val="18"/>
                <w:szCs w:val="18"/>
                <w:lang w:eastAsia="fr-FR"/>
              </w:rPr>
              <w:t>502</w:t>
            </w:r>
          </w:p>
        </w:tc>
        <w:tc>
          <w:tcPr>
            <w:tcW w:w="791" w:type="dxa"/>
            <w:tcBorders>
              <w:top w:val="nil"/>
              <w:left w:val="nil"/>
              <w:bottom w:val="single" w:sz="12" w:space="0" w:color="auto"/>
              <w:right w:val="nil"/>
            </w:tcBorders>
            <w:vAlign w:val="center"/>
            <w:hideMark/>
          </w:tcPr>
          <w:p w:rsidR="00C6044A" w:rsidRDefault="00C6044A" w:rsidP="00DC0975">
            <w:pPr>
              <w:jc w:val="center"/>
              <w:rPr>
                <w:color w:val="000000"/>
                <w:sz w:val="18"/>
                <w:szCs w:val="18"/>
                <w:lang w:eastAsia="fr-FR"/>
              </w:rPr>
            </w:pPr>
            <w:r>
              <w:rPr>
                <w:color w:val="000000"/>
                <w:sz w:val="18"/>
                <w:szCs w:val="18"/>
                <w:lang w:eastAsia="fr-FR"/>
              </w:rPr>
              <w:t>3%</w:t>
            </w:r>
          </w:p>
        </w:tc>
        <w:tc>
          <w:tcPr>
            <w:tcW w:w="771" w:type="dxa"/>
            <w:tcBorders>
              <w:top w:val="nil"/>
              <w:left w:val="single" w:sz="8" w:space="0" w:color="auto"/>
              <w:bottom w:val="single" w:sz="12" w:space="0" w:color="auto"/>
              <w:right w:val="single" w:sz="4" w:space="0" w:color="auto"/>
            </w:tcBorders>
            <w:vAlign w:val="center"/>
            <w:hideMark/>
          </w:tcPr>
          <w:p w:rsidR="00C6044A" w:rsidRDefault="00C6044A" w:rsidP="00DC0975">
            <w:pPr>
              <w:jc w:val="center"/>
              <w:rPr>
                <w:color w:val="000000"/>
                <w:sz w:val="18"/>
                <w:szCs w:val="18"/>
                <w:lang w:eastAsia="fr-FR"/>
              </w:rPr>
            </w:pPr>
            <w:r>
              <w:rPr>
                <w:color w:val="000000"/>
                <w:sz w:val="18"/>
                <w:szCs w:val="18"/>
                <w:lang w:eastAsia="fr-FR"/>
              </w:rPr>
              <w:t>1807</w:t>
            </w:r>
          </w:p>
        </w:tc>
        <w:tc>
          <w:tcPr>
            <w:tcW w:w="725" w:type="dxa"/>
            <w:tcBorders>
              <w:top w:val="nil"/>
              <w:left w:val="nil"/>
              <w:bottom w:val="single" w:sz="12" w:space="0" w:color="auto"/>
              <w:right w:val="single" w:sz="8" w:space="0" w:color="auto"/>
            </w:tcBorders>
            <w:vAlign w:val="center"/>
            <w:hideMark/>
          </w:tcPr>
          <w:p w:rsidR="00C6044A" w:rsidRDefault="00C6044A" w:rsidP="00DC0975">
            <w:pPr>
              <w:jc w:val="center"/>
              <w:rPr>
                <w:color w:val="000000"/>
                <w:sz w:val="18"/>
                <w:szCs w:val="18"/>
                <w:lang w:eastAsia="fr-FR"/>
              </w:rPr>
            </w:pPr>
            <w:r>
              <w:rPr>
                <w:color w:val="000000"/>
                <w:sz w:val="18"/>
                <w:szCs w:val="18"/>
                <w:lang w:eastAsia="fr-FR"/>
              </w:rPr>
              <w:t>12%</w:t>
            </w:r>
          </w:p>
        </w:tc>
        <w:tc>
          <w:tcPr>
            <w:tcW w:w="965" w:type="dxa"/>
            <w:tcBorders>
              <w:top w:val="nil"/>
              <w:left w:val="nil"/>
              <w:bottom w:val="single" w:sz="12" w:space="0" w:color="auto"/>
              <w:right w:val="single" w:sz="8" w:space="0" w:color="auto"/>
            </w:tcBorders>
            <w:vAlign w:val="center"/>
            <w:hideMark/>
          </w:tcPr>
          <w:p w:rsidR="00C6044A" w:rsidRDefault="00C6044A" w:rsidP="00DC0975">
            <w:pPr>
              <w:jc w:val="center"/>
              <w:rPr>
                <w:color w:val="000000"/>
                <w:sz w:val="18"/>
                <w:szCs w:val="18"/>
                <w:lang w:eastAsia="fr-FR"/>
              </w:rPr>
            </w:pPr>
            <w:r>
              <w:rPr>
                <w:color w:val="000000"/>
                <w:sz w:val="18"/>
                <w:szCs w:val="18"/>
                <w:lang w:eastAsia="fr-FR"/>
              </w:rPr>
              <w:t>15672</w:t>
            </w:r>
          </w:p>
        </w:tc>
      </w:tr>
      <w:tr w:rsidR="00C6044A" w:rsidTr="00FD06F0">
        <w:trPr>
          <w:trHeight w:val="482"/>
        </w:trPr>
        <w:tc>
          <w:tcPr>
            <w:tcW w:w="1525" w:type="dxa"/>
            <w:tcBorders>
              <w:top w:val="nil"/>
              <w:left w:val="single" w:sz="12" w:space="0" w:color="auto"/>
              <w:bottom w:val="single" w:sz="12" w:space="0" w:color="auto"/>
              <w:right w:val="nil"/>
            </w:tcBorders>
            <w:shd w:val="clear" w:color="auto" w:fill="DEEAF6" w:themeFill="accent1" w:themeFillTint="33"/>
            <w:vAlign w:val="center"/>
            <w:hideMark/>
          </w:tcPr>
          <w:p w:rsidR="00C6044A" w:rsidRDefault="00C6044A" w:rsidP="00FD06F0">
            <w:pPr>
              <w:jc w:val="center"/>
              <w:rPr>
                <w:b/>
                <w:bCs/>
                <w:color w:val="000000"/>
                <w:sz w:val="18"/>
                <w:szCs w:val="18"/>
                <w:lang w:eastAsia="fr-FR"/>
              </w:rPr>
            </w:pPr>
            <w:r>
              <w:rPr>
                <w:b/>
                <w:bCs/>
                <w:color w:val="000000"/>
                <w:sz w:val="18"/>
                <w:szCs w:val="18"/>
                <w:lang w:eastAsia="fr-FR"/>
              </w:rPr>
              <w:t>Bairro Militar</w:t>
            </w:r>
          </w:p>
        </w:tc>
        <w:tc>
          <w:tcPr>
            <w:tcW w:w="746" w:type="dxa"/>
            <w:tcBorders>
              <w:top w:val="nil"/>
              <w:left w:val="single" w:sz="8" w:space="0" w:color="auto"/>
              <w:bottom w:val="single" w:sz="12" w:space="0" w:color="auto"/>
              <w:right w:val="single" w:sz="4" w:space="0" w:color="auto"/>
            </w:tcBorders>
            <w:vAlign w:val="center"/>
            <w:hideMark/>
          </w:tcPr>
          <w:p w:rsidR="00C6044A" w:rsidRDefault="00C6044A" w:rsidP="00DC0975">
            <w:pPr>
              <w:jc w:val="center"/>
              <w:rPr>
                <w:color w:val="000000"/>
                <w:sz w:val="18"/>
                <w:szCs w:val="18"/>
                <w:lang w:eastAsia="fr-FR"/>
              </w:rPr>
            </w:pPr>
            <w:r>
              <w:rPr>
                <w:color w:val="000000"/>
                <w:sz w:val="18"/>
                <w:szCs w:val="18"/>
                <w:lang w:eastAsia="fr-FR"/>
              </w:rPr>
              <w:t>870</w:t>
            </w:r>
          </w:p>
        </w:tc>
        <w:tc>
          <w:tcPr>
            <w:tcW w:w="750" w:type="dxa"/>
            <w:tcBorders>
              <w:top w:val="nil"/>
              <w:left w:val="nil"/>
              <w:bottom w:val="single" w:sz="12" w:space="0" w:color="auto"/>
              <w:right w:val="single" w:sz="12" w:space="0" w:color="auto"/>
            </w:tcBorders>
            <w:vAlign w:val="center"/>
            <w:hideMark/>
          </w:tcPr>
          <w:p w:rsidR="00C6044A" w:rsidRDefault="00C6044A" w:rsidP="00DC0975">
            <w:pPr>
              <w:jc w:val="center"/>
              <w:rPr>
                <w:color w:val="000000"/>
                <w:sz w:val="18"/>
                <w:szCs w:val="18"/>
                <w:lang w:eastAsia="fr-FR"/>
              </w:rPr>
            </w:pPr>
            <w:r>
              <w:rPr>
                <w:color w:val="000000"/>
                <w:sz w:val="18"/>
                <w:szCs w:val="18"/>
                <w:lang w:eastAsia="fr-FR"/>
              </w:rPr>
              <w:t>1%</w:t>
            </w:r>
          </w:p>
        </w:tc>
        <w:tc>
          <w:tcPr>
            <w:tcW w:w="812" w:type="dxa"/>
            <w:tcBorders>
              <w:top w:val="nil"/>
              <w:left w:val="nil"/>
              <w:bottom w:val="single" w:sz="12" w:space="0" w:color="auto"/>
              <w:right w:val="single" w:sz="4" w:space="0" w:color="auto"/>
            </w:tcBorders>
            <w:vAlign w:val="center"/>
            <w:hideMark/>
          </w:tcPr>
          <w:p w:rsidR="00C6044A" w:rsidRDefault="00C6044A" w:rsidP="00DC0975">
            <w:pPr>
              <w:jc w:val="center"/>
              <w:rPr>
                <w:color w:val="000000"/>
                <w:sz w:val="18"/>
                <w:szCs w:val="18"/>
                <w:lang w:eastAsia="fr-FR"/>
              </w:rPr>
            </w:pPr>
            <w:r>
              <w:rPr>
                <w:color w:val="000000"/>
                <w:sz w:val="18"/>
                <w:szCs w:val="18"/>
                <w:lang w:eastAsia="fr-FR"/>
              </w:rPr>
              <w:t>695</w:t>
            </w:r>
          </w:p>
        </w:tc>
        <w:tc>
          <w:tcPr>
            <w:tcW w:w="662" w:type="dxa"/>
            <w:tcBorders>
              <w:top w:val="nil"/>
              <w:left w:val="nil"/>
              <w:bottom w:val="single" w:sz="12" w:space="0" w:color="auto"/>
              <w:right w:val="single" w:sz="12" w:space="0" w:color="auto"/>
            </w:tcBorders>
            <w:vAlign w:val="center"/>
            <w:hideMark/>
          </w:tcPr>
          <w:p w:rsidR="00C6044A" w:rsidRDefault="00C6044A" w:rsidP="00DC0975">
            <w:pPr>
              <w:jc w:val="center"/>
              <w:rPr>
                <w:color w:val="000000"/>
                <w:sz w:val="18"/>
                <w:szCs w:val="18"/>
                <w:lang w:eastAsia="fr-FR"/>
              </w:rPr>
            </w:pPr>
            <w:r>
              <w:rPr>
                <w:color w:val="000000"/>
                <w:sz w:val="18"/>
                <w:szCs w:val="18"/>
                <w:lang w:eastAsia="fr-FR"/>
              </w:rPr>
              <w:t>1%</w:t>
            </w:r>
          </w:p>
        </w:tc>
        <w:tc>
          <w:tcPr>
            <w:tcW w:w="757" w:type="dxa"/>
            <w:tcBorders>
              <w:top w:val="nil"/>
              <w:left w:val="nil"/>
              <w:bottom w:val="single" w:sz="12" w:space="0" w:color="auto"/>
              <w:right w:val="single" w:sz="4" w:space="0" w:color="auto"/>
            </w:tcBorders>
            <w:vAlign w:val="center"/>
            <w:hideMark/>
          </w:tcPr>
          <w:p w:rsidR="00C6044A" w:rsidRDefault="00C6044A" w:rsidP="00DC0975">
            <w:pPr>
              <w:jc w:val="center"/>
              <w:rPr>
                <w:color w:val="000000"/>
                <w:sz w:val="18"/>
                <w:szCs w:val="18"/>
                <w:lang w:eastAsia="fr-FR"/>
              </w:rPr>
            </w:pPr>
            <w:r>
              <w:rPr>
                <w:color w:val="000000"/>
                <w:sz w:val="18"/>
                <w:szCs w:val="18"/>
                <w:lang w:eastAsia="fr-FR"/>
              </w:rPr>
              <w:t>7798</w:t>
            </w:r>
          </w:p>
        </w:tc>
        <w:tc>
          <w:tcPr>
            <w:tcW w:w="739" w:type="dxa"/>
            <w:tcBorders>
              <w:top w:val="nil"/>
              <w:left w:val="nil"/>
              <w:bottom w:val="single" w:sz="12" w:space="0" w:color="auto"/>
              <w:right w:val="single" w:sz="12" w:space="0" w:color="auto"/>
            </w:tcBorders>
            <w:vAlign w:val="center"/>
            <w:hideMark/>
          </w:tcPr>
          <w:p w:rsidR="00C6044A" w:rsidRDefault="00C6044A" w:rsidP="00DC0975">
            <w:pPr>
              <w:jc w:val="center"/>
              <w:rPr>
                <w:color w:val="000000"/>
                <w:sz w:val="18"/>
                <w:szCs w:val="18"/>
                <w:lang w:eastAsia="fr-FR"/>
              </w:rPr>
            </w:pPr>
            <w:r>
              <w:rPr>
                <w:color w:val="000000"/>
                <w:sz w:val="18"/>
                <w:szCs w:val="18"/>
                <w:lang w:eastAsia="fr-FR"/>
              </w:rPr>
              <w:t>11%</w:t>
            </w:r>
          </w:p>
        </w:tc>
        <w:tc>
          <w:tcPr>
            <w:tcW w:w="680" w:type="dxa"/>
            <w:tcBorders>
              <w:top w:val="nil"/>
              <w:left w:val="nil"/>
              <w:bottom w:val="single" w:sz="12" w:space="0" w:color="auto"/>
              <w:right w:val="single" w:sz="4" w:space="0" w:color="auto"/>
            </w:tcBorders>
            <w:vAlign w:val="center"/>
            <w:hideMark/>
          </w:tcPr>
          <w:p w:rsidR="00C6044A" w:rsidRDefault="00C6044A" w:rsidP="00DC0975">
            <w:pPr>
              <w:jc w:val="center"/>
              <w:rPr>
                <w:color w:val="000000"/>
                <w:sz w:val="18"/>
                <w:szCs w:val="18"/>
                <w:lang w:eastAsia="fr-FR"/>
              </w:rPr>
            </w:pPr>
            <w:r>
              <w:rPr>
                <w:color w:val="000000"/>
                <w:sz w:val="18"/>
                <w:szCs w:val="18"/>
                <w:lang w:eastAsia="fr-FR"/>
              </w:rPr>
              <w:t>2863</w:t>
            </w:r>
          </w:p>
        </w:tc>
        <w:tc>
          <w:tcPr>
            <w:tcW w:w="791" w:type="dxa"/>
            <w:tcBorders>
              <w:top w:val="nil"/>
              <w:left w:val="nil"/>
              <w:bottom w:val="single" w:sz="12" w:space="0" w:color="auto"/>
              <w:right w:val="nil"/>
            </w:tcBorders>
            <w:vAlign w:val="center"/>
            <w:hideMark/>
          </w:tcPr>
          <w:p w:rsidR="00C6044A" w:rsidRDefault="00C6044A" w:rsidP="00DC0975">
            <w:pPr>
              <w:jc w:val="center"/>
              <w:rPr>
                <w:color w:val="000000"/>
                <w:sz w:val="18"/>
                <w:szCs w:val="18"/>
                <w:lang w:eastAsia="fr-FR"/>
              </w:rPr>
            </w:pPr>
            <w:r>
              <w:rPr>
                <w:color w:val="000000"/>
                <w:sz w:val="18"/>
                <w:szCs w:val="18"/>
                <w:lang w:eastAsia="fr-FR"/>
              </w:rPr>
              <w:t>4%</w:t>
            </w:r>
          </w:p>
        </w:tc>
        <w:tc>
          <w:tcPr>
            <w:tcW w:w="771" w:type="dxa"/>
            <w:tcBorders>
              <w:top w:val="nil"/>
              <w:left w:val="single" w:sz="8" w:space="0" w:color="auto"/>
              <w:bottom w:val="single" w:sz="12" w:space="0" w:color="auto"/>
              <w:right w:val="single" w:sz="4" w:space="0" w:color="auto"/>
            </w:tcBorders>
            <w:vAlign w:val="center"/>
            <w:hideMark/>
          </w:tcPr>
          <w:p w:rsidR="00C6044A" w:rsidRDefault="00C6044A" w:rsidP="00DC0975">
            <w:pPr>
              <w:jc w:val="center"/>
              <w:rPr>
                <w:color w:val="000000"/>
                <w:sz w:val="18"/>
                <w:szCs w:val="18"/>
                <w:lang w:eastAsia="fr-FR"/>
              </w:rPr>
            </w:pPr>
            <w:r>
              <w:rPr>
                <w:color w:val="000000"/>
                <w:sz w:val="18"/>
                <w:szCs w:val="18"/>
                <w:lang w:eastAsia="fr-FR"/>
              </w:rPr>
              <w:t>8606</w:t>
            </w:r>
          </w:p>
        </w:tc>
        <w:tc>
          <w:tcPr>
            <w:tcW w:w="725" w:type="dxa"/>
            <w:tcBorders>
              <w:top w:val="nil"/>
              <w:left w:val="nil"/>
              <w:bottom w:val="single" w:sz="12" w:space="0" w:color="auto"/>
              <w:right w:val="single" w:sz="8" w:space="0" w:color="auto"/>
            </w:tcBorders>
            <w:vAlign w:val="center"/>
            <w:hideMark/>
          </w:tcPr>
          <w:p w:rsidR="00C6044A" w:rsidRDefault="00C6044A" w:rsidP="00DC0975">
            <w:pPr>
              <w:jc w:val="center"/>
              <w:rPr>
                <w:color w:val="000000"/>
                <w:sz w:val="18"/>
                <w:szCs w:val="18"/>
                <w:lang w:eastAsia="fr-FR"/>
              </w:rPr>
            </w:pPr>
            <w:r>
              <w:rPr>
                <w:color w:val="000000"/>
                <w:sz w:val="18"/>
                <w:szCs w:val="18"/>
                <w:lang w:eastAsia="fr-FR"/>
              </w:rPr>
              <w:t>12%</w:t>
            </w:r>
          </w:p>
        </w:tc>
        <w:tc>
          <w:tcPr>
            <w:tcW w:w="965" w:type="dxa"/>
            <w:tcBorders>
              <w:top w:val="nil"/>
              <w:left w:val="nil"/>
              <w:bottom w:val="single" w:sz="12" w:space="0" w:color="auto"/>
              <w:right w:val="single" w:sz="8" w:space="0" w:color="auto"/>
            </w:tcBorders>
            <w:vAlign w:val="center"/>
            <w:hideMark/>
          </w:tcPr>
          <w:p w:rsidR="00C6044A" w:rsidRDefault="00C6044A" w:rsidP="00DC0975">
            <w:pPr>
              <w:jc w:val="center"/>
              <w:rPr>
                <w:color w:val="000000"/>
                <w:sz w:val="18"/>
                <w:szCs w:val="18"/>
                <w:lang w:eastAsia="fr-FR"/>
              </w:rPr>
            </w:pPr>
            <w:r>
              <w:rPr>
                <w:color w:val="000000"/>
                <w:sz w:val="18"/>
                <w:szCs w:val="18"/>
                <w:lang w:eastAsia="fr-FR"/>
              </w:rPr>
              <w:t>74194</w:t>
            </w:r>
          </w:p>
        </w:tc>
      </w:tr>
      <w:tr w:rsidR="00C6044A" w:rsidTr="00FD06F0">
        <w:trPr>
          <w:trHeight w:val="397"/>
        </w:trPr>
        <w:tc>
          <w:tcPr>
            <w:tcW w:w="1525" w:type="dxa"/>
            <w:tcBorders>
              <w:top w:val="nil"/>
              <w:left w:val="single" w:sz="12" w:space="0" w:color="auto"/>
              <w:bottom w:val="single" w:sz="12" w:space="0" w:color="auto"/>
              <w:right w:val="nil"/>
            </w:tcBorders>
            <w:shd w:val="clear" w:color="auto" w:fill="DEEAF6" w:themeFill="accent1" w:themeFillTint="33"/>
            <w:vAlign w:val="center"/>
            <w:hideMark/>
          </w:tcPr>
          <w:p w:rsidR="00C6044A" w:rsidRDefault="00C6044A" w:rsidP="00FD06F0">
            <w:pPr>
              <w:jc w:val="center"/>
              <w:rPr>
                <w:b/>
                <w:bCs/>
                <w:color w:val="000000"/>
                <w:sz w:val="18"/>
                <w:szCs w:val="18"/>
                <w:lang w:eastAsia="fr-FR"/>
              </w:rPr>
            </w:pPr>
            <w:r>
              <w:rPr>
                <w:b/>
                <w:bCs/>
                <w:color w:val="000000"/>
                <w:sz w:val="18"/>
                <w:szCs w:val="18"/>
                <w:lang w:eastAsia="fr-FR"/>
              </w:rPr>
              <w:t>Plak</w:t>
            </w:r>
          </w:p>
        </w:tc>
        <w:tc>
          <w:tcPr>
            <w:tcW w:w="746" w:type="dxa"/>
            <w:tcBorders>
              <w:top w:val="nil"/>
              <w:left w:val="single" w:sz="8" w:space="0" w:color="auto"/>
              <w:bottom w:val="single" w:sz="12" w:space="0" w:color="auto"/>
              <w:right w:val="single" w:sz="4" w:space="0" w:color="auto"/>
            </w:tcBorders>
            <w:vAlign w:val="center"/>
            <w:hideMark/>
          </w:tcPr>
          <w:p w:rsidR="00C6044A" w:rsidRDefault="00C6044A" w:rsidP="00DC0975">
            <w:pPr>
              <w:jc w:val="center"/>
              <w:rPr>
                <w:color w:val="000000"/>
                <w:sz w:val="18"/>
                <w:szCs w:val="18"/>
                <w:lang w:eastAsia="fr-FR"/>
              </w:rPr>
            </w:pPr>
            <w:r>
              <w:rPr>
                <w:color w:val="000000"/>
                <w:sz w:val="18"/>
                <w:szCs w:val="18"/>
                <w:lang w:eastAsia="fr-FR"/>
              </w:rPr>
              <w:t>55</w:t>
            </w:r>
          </w:p>
        </w:tc>
        <w:tc>
          <w:tcPr>
            <w:tcW w:w="750" w:type="dxa"/>
            <w:tcBorders>
              <w:top w:val="nil"/>
              <w:left w:val="nil"/>
              <w:bottom w:val="single" w:sz="12" w:space="0" w:color="auto"/>
              <w:right w:val="single" w:sz="12" w:space="0" w:color="auto"/>
            </w:tcBorders>
            <w:vAlign w:val="center"/>
            <w:hideMark/>
          </w:tcPr>
          <w:p w:rsidR="00C6044A" w:rsidRDefault="00C6044A" w:rsidP="00DC0975">
            <w:pPr>
              <w:jc w:val="center"/>
              <w:rPr>
                <w:color w:val="000000"/>
                <w:sz w:val="18"/>
                <w:szCs w:val="18"/>
                <w:lang w:eastAsia="fr-FR"/>
              </w:rPr>
            </w:pPr>
            <w:r>
              <w:rPr>
                <w:color w:val="000000"/>
                <w:sz w:val="18"/>
                <w:szCs w:val="18"/>
                <w:lang w:eastAsia="fr-FR"/>
              </w:rPr>
              <w:t>0%</w:t>
            </w:r>
          </w:p>
        </w:tc>
        <w:tc>
          <w:tcPr>
            <w:tcW w:w="812" w:type="dxa"/>
            <w:tcBorders>
              <w:top w:val="nil"/>
              <w:left w:val="nil"/>
              <w:bottom w:val="single" w:sz="12" w:space="0" w:color="auto"/>
              <w:right w:val="single" w:sz="4" w:space="0" w:color="auto"/>
            </w:tcBorders>
            <w:vAlign w:val="center"/>
            <w:hideMark/>
          </w:tcPr>
          <w:p w:rsidR="00C6044A" w:rsidRDefault="00C6044A" w:rsidP="00DC0975">
            <w:pPr>
              <w:jc w:val="center"/>
              <w:rPr>
                <w:color w:val="000000"/>
                <w:sz w:val="18"/>
                <w:szCs w:val="18"/>
                <w:lang w:eastAsia="fr-FR"/>
              </w:rPr>
            </w:pPr>
            <w:r>
              <w:rPr>
                <w:color w:val="000000"/>
                <w:sz w:val="18"/>
                <w:szCs w:val="18"/>
                <w:lang w:eastAsia="fr-FR"/>
              </w:rPr>
              <w:t>130</w:t>
            </w:r>
          </w:p>
        </w:tc>
        <w:tc>
          <w:tcPr>
            <w:tcW w:w="662" w:type="dxa"/>
            <w:tcBorders>
              <w:top w:val="nil"/>
              <w:left w:val="nil"/>
              <w:bottom w:val="single" w:sz="12" w:space="0" w:color="auto"/>
              <w:right w:val="single" w:sz="12" w:space="0" w:color="auto"/>
            </w:tcBorders>
            <w:vAlign w:val="center"/>
            <w:hideMark/>
          </w:tcPr>
          <w:p w:rsidR="00C6044A" w:rsidRDefault="00C6044A" w:rsidP="00DC0975">
            <w:pPr>
              <w:jc w:val="center"/>
              <w:rPr>
                <w:color w:val="000000"/>
                <w:sz w:val="18"/>
                <w:szCs w:val="18"/>
                <w:lang w:eastAsia="fr-FR"/>
              </w:rPr>
            </w:pPr>
            <w:r>
              <w:rPr>
                <w:color w:val="000000"/>
                <w:sz w:val="18"/>
                <w:szCs w:val="18"/>
                <w:lang w:eastAsia="fr-FR"/>
              </w:rPr>
              <w:t>1%</w:t>
            </w:r>
          </w:p>
        </w:tc>
        <w:tc>
          <w:tcPr>
            <w:tcW w:w="757" w:type="dxa"/>
            <w:tcBorders>
              <w:top w:val="nil"/>
              <w:left w:val="nil"/>
              <w:bottom w:val="single" w:sz="12" w:space="0" w:color="auto"/>
              <w:right w:val="single" w:sz="4" w:space="0" w:color="auto"/>
            </w:tcBorders>
            <w:vAlign w:val="center"/>
            <w:hideMark/>
          </w:tcPr>
          <w:p w:rsidR="00C6044A" w:rsidRDefault="00C6044A" w:rsidP="00DC0975">
            <w:pPr>
              <w:jc w:val="center"/>
              <w:rPr>
                <w:color w:val="000000"/>
                <w:sz w:val="18"/>
                <w:szCs w:val="18"/>
                <w:lang w:eastAsia="fr-FR"/>
              </w:rPr>
            </w:pPr>
            <w:r>
              <w:rPr>
                <w:color w:val="000000"/>
                <w:sz w:val="18"/>
                <w:szCs w:val="18"/>
                <w:lang w:eastAsia="fr-FR"/>
              </w:rPr>
              <w:t>1580</w:t>
            </w:r>
          </w:p>
        </w:tc>
        <w:tc>
          <w:tcPr>
            <w:tcW w:w="739" w:type="dxa"/>
            <w:tcBorders>
              <w:top w:val="nil"/>
              <w:left w:val="nil"/>
              <w:bottom w:val="single" w:sz="12" w:space="0" w:color="auto"/>
              <w:right w:val="single" w:sz="12" w:space="0" w:color="auto"/>
            </w:tcBorders>
            <w:vAlign w:val="center"/>
            <w:hideMark/>
          </w:tcPr>
          <w:p w:rsidR="00C6044A" w:rsidRDefault="00C6044A" w:rsidP="00DC0975">
            <w:pPr>
              <w:jc w:val="center"/>
              <w:rPr>
                <w:color w:val="000000"/>
                <w:sz w:val="18"/>
                <w:szCs w:val="18"/>
                <w:lang w:eastAsia="fr-FR"/>
              </w:rPr>
            </w:pPr>
            <w:r>
              <w:rPr>
                <w:color w:val="000000"/>
                <w:sz w:val="18"/>
                <w:szCs w:val="18"/>
                <w:lang w:eastAsia="fr-FR"/>
              </w:rPr>
              <w:t>11%</w:t>
            </w:r>
          </w:p>
        </w:tc>
        <w:tc>
          <w:tcPr>
            <w:tcW w:w="680" w:type="dxa"/>
            <w:tcBorders>
              <w:top w:val="nil"/>
              <w:left w:val="nil"/>
              <w:bottom w:val="single" w:sz="12" w:space="0" w:color="auto"/>
              <w:right w:val="single" w:sz="4" w:space="0" w:color="auto"/>
            </w:tcBorders>
            <w:vAlign w:val="center"/>
            <w:hideMark/>
          </w:tcPr>
          <w:p w:rsidR="00C6044A" w:rsidRDefault="00C6044A" w:rsidP="00DC0975">
            <w:pPr>
              <w:jc w:val="center"/>
              <w:rPr>
                <w:color w:val="000000"/>
                <w:sz w:val="18"/>
                <w:szCs w:val="18"/>
                <w:lang w:eastAsia="fr-FR"/>
              </w:rPr>
            </w:pPr>
            <w:r>
              <w:rPr>
                <w:color w:val="000000"/>
                <w:sz w:val="18"/>
                <w:szCs w:val="18"/>
                <w:lang w:eastAsia="fr-FR"/>
              </w:rPr>
              <w:t>552</w:t>
            </w:r>
          </w:p>
        </w:tc>
        <w:tc>
          <w:tcPr>
            <w:tcW w:w="791" w:type="dxa"/>
            <w:tcBorders>
              <w:top w:val="nil"/>
              <w:left w:val="nil"/>
              <w:bottom w:val="single" w:sz="12" w:space="0" w:color="auto"/>
              <w:right w:val="nil"/>
            </w:tcBorders>
            <w:vAlign w:val="center"/>
            <w:hideMark/>
          </w:tcPr>
          <w:p w:rsidR="00C6044A" w:rsidRDefault="00C6044A" w:rsidP="00DC0975">
            <w:pPr>
              <w:jc w:val="center"/>
              <w:rPr>
                <w:color w:val="000000"/>
                <w:sz w:val="18"/>
                <w:szCs w:val="18"/>
                <w:lang w:eastAsia="fr-FR"/>
              </w:rPr>
            </w:pPr>
            <w:r>
              <w:rPr>
                <w:color w:val="000000"/>
                <w:sz w:val="18"/>
                <w:szCs w:val="18"/>
                <w:lang w:eastAsia="fr-FR"/>
              </w:rPr>
              <w:t>4%</w:t>
            </w:r>
          </w:p>
        </w:tc>
        <w:tc>
          <w:tcPr>
            <w:tcW w:w="771" w:type="dxa"/>
            <w:tcBorders>
              <w:top w:val="nil"/>
              <w:left w:val="single" w:sz="8" w:space="0" w:color="auto"/>
              <w:bottom w:val="single" w:sz="12" w:space="0" w:color="auto"/>
              <w:right w:val="single" w:sz="4" w:space="0" w:color="auto"/>
            </w:tcBorders>
            <w:vAlign w:val="center"/>
            <w:hideMark/>
          </w:tcPr>
          <w:p w:rsidR="00C6044A" w:rsidRDefault="00C6044A" w:rsidP="00DC0975">
            <w:pPr>
              <w:jc w:val="center"/>
              <w:rPr>
                <w:color w:val="000000"/>
                <w:sz w:val="18"/>
                <w:szCs w:val="18"/>
                <w:lang w:eastAsia="fr-FR"/>
              </w:rPr>
            </w:pPr>
            <w:r>
              <w:rPr>
                <w:color w:val="000000"/>
                <w:sz w:val="18"/>
                <w:szCs w:val="18"/>
                <w:lang w:eastAsia="fr-FR"/>
              </w:rPr>
              <w:t>1694</w:t>
            </w:r>
          </w:p>
        </w:tc>
        <w:tc>
          <w:tcPr>
            <w:tcW w:w="725" w:type="dxa"/>
            <w:tcBorders>
              <w:top w:val="nil"/>
              <w:left w:val="nil"/>
              <w:bottom w:val="single" w:sz="12" w:space="0" w:color="auto"/>
              <w:right w:val="single" w:sz="8" w:space="0" w:color="auto"/>
            </w:tcBorders>
            <w:vAlign w:val="center"/>
            <w:hideMark/>
          </w:tcPr>
          <w:p w:rsidR="00C6044A" w:rsidRDefault="00C6044A" w:rsidP="00DC0975">
            <w:pPr>
              <w:jc w:val="center"/>
              <w:rPr>
                <w:color w:val="000000"/>
                <w:sz w:val="18"/>
                <w:szCs w:val="18"/>
                <w:lang w:eastAsia="fr-FR"/>
              </w:rPr>
            </w:pPr>
            <w:r>
              <w:rPr>
                <w:color w:val="000000"/>
                <w:sz w:val="18"/>
                <w:szCs w:val="18"/>
                <w:lang w:eastAsia="fr-FR"/>
              </w:rPr>
              <w:t>11%</w:t>
            </w:r>
          </w:p>
        </w:tc>
        <w:tc>
          <w:tcPr>
            <w:tcW w:w="965" w:type="dxa"/>
            <w:tcBorders>
              <w:top w:val="nil"/>
              <w:left w:val="nil"/>
              <w:bottom w:val="single" w:sz="12" w:space="0" w:color="auto"/>
              <w:right w:val="single" w:sz="8" w:space="0" w:color="auto"/>
            </w:tcBorders>
            <w:vAlign w:val="center"/>
            <w:hideMark/>
          </w:tcPr>
          <w:p w:rsidR="00C6044A" w:rsidRDefault="00C6044A" w:rsidP="00DC0975">
            <w:pPr>
              <w:jc w:val="center"/>
              <w:rPr>
                <w:color w:val="000000"/>
                <w:sz w:val="18"/>
                <w:szCs w:val="18"/>
                <w:lang w:eastAsia="fr-FR"/>
              </w:rPr>
            </w:pPr>
            <w:r>
              <w:rPr>
                <w:color w:val="000000"/>
                <w:sz w:val="18"/>
                <w:szCs w:val="18"/>
                <w:lang w:eastAsia="fr-FR"/>
              </w:rPr>
              <w:t>14732</w:t>
            </w:r>
          </w:p>
        </w:tc>
      </w:tr>
      <w:tr w:rsidR="00C6044A" w:rsidTr="00FD06F0">
        <w:trPr>
          <w:trHeight w:val="397"/>
        </w:trPr>
        <w:tc>
          <w:tcPr>
            <w:tcW w:w="1525" w:type="dxa"/>
            <w:tcBorders>
              <w:top w:val="nil"/>
              <w:left w:val="single" w:sz="12" w:space="0" w:color="auto"/>
              <w:bottom w:val="single" w:sz="12" w:space="0" w:color="auto"/>
              <w:right w:val="nil"/>
            </w:tcBorders>
            <w:shd w:val="clear" w:color="auto" w:fill="DEEAF6" w:themeFill="accent1" w:themeFillTint="33"/>
            <w:vAlign w:val="center"/>
            <w:hideMark/>
          </w:tcPr>
          <w:p w:rsidR="00C6044A" w:rsidRDefault="00C6044A" w:rsidP="00FD06F0">
            <w:pPr>
              <w:jc w:val="center"/>
              <w:rPr>
                <w:b/>
                <w:bCs/>
                <w:color w:val="000000"/>
                <w:sz w:val="18"/>
                <w:szCs w:val="18"/>
                <w:lang w:eastAsia="fr-FR"/>
              </w:rPr>
            </w:pPr>
            <w:r>
              <w:rPr>
                <w:b/>
                <w:bCs/>
                <w:color w:val="000000"/>
                <w:sz w:val="18"/>
                <w:szCs w:val="18"/>
                <w:lang w:eastAsia="fr-FR"/>
              </w:rPr>
              <w:t>Penha</w:t>
            </w:r>
          </w:p>
        </w:tc>
        <w:tc>
          <w:tcPr>
            <w:tcW w:w="746" w:type="dxa"/>
            <w:tcBorders>
              <w:top w:val="nil"/>
              <w:left w:val="single" w:sz="8" w:space="0" w:color="auto"/>
              <w:bottom w:val="single" w:sz="12" w:space="0" w:color="auto"/>
              <w:right w:val="single" w:sz="4" w:space="0" w:color="auto"/>
            </w:tcBorders>
            <w:vAlign w:val="center"/>
            <w:hideMark/>
          </w:tcPr>
          <w:p w:rsidR="00C6044A" w:rsidRDefault="00C6044A" w:rsidP="00DC0975">
            <w:pPr>
              <w:jc w:val="center"/>
              <w:rPr>
                <w:color w:val="000000"/>
                <w:sz w:val="18"/>
                <w:szCs w:val="18"/>
                <w:lang w:eastAsia="fr-FR"/>
              </w:rPr>
            </w:pPr>
            <w:r>
              <w:rPr>
                <w:color w:val="000000"/>
                <w:sz w:val="18"/>
                <w:szCs w:val="18"/>
                <w:lang w:eastAsia="fr-FR"/>
              </w:rPr>
              <w:t>61</w:t>
            </w:r>
          </w:p>
        </w:tc>
        <w:tc>
          <w:tcPr>
            <w:tcW w:w="750" w:type="dxa"/>
            <w:tcBorders>
              <w:top w:val="nil"/>
              <w:left w:val="nil"/>
              <w:bottom w:val="single" w:sz="12" w:space="0" w:color="auto"/>
              <w:right w:val="single" w:sz="12" w:space="0" w:color="auto"/>
            </w:tcBorders>
            <w:vAlign w:val="center"/>
            <w:hideMark/>
          </w:tcPr>
          <w:p w:rsidR="00C6044A" w:rsidRDefault="00C6044A" w:rsidP="00DC0975">
            <w:pPr>
              <w:jc w:val="center"/>
              <w:rPr>
                <w:color w:val="000000"/>
                <w:sz w:val="18"/>
                <w:szCs w:val="18"/>
                <w:lang w:eastAsia="fr-FR"/>
              </w:rPr>
            </w:pPr>
            <w:r>
              <w:rPr>
                <w:color w:val="000000"/>
                <w:sz w:val="18"/>
                <w:szCs w:val="18"/>
                <w:lang w:eastAsia="fr-FR"/>
              </w:rPr>
              <w:t>7%</w:t>
            </w:r>
          </w:p>
        </w:tc>
        <w:tc>
          <w:tcPr>
            <w:tcW w:w="812" w:type="dxa"/>
            <w:tcBorders>
              <w:top w:val="nil"/>
              <w:left w:val="nil"/>
              <w:bottom w:val="single" w:sz="12" w:space="0" w:color="auto"/>
              <w:right w:val="single" w:sz="4" w:space="0" w:color="auto"/>
            </w:tcBorders>
            <w:vAlign w:val="center"/>
            <w:hideMark/>
          </w:tcPr>
          <w:p w:rsidR="00C6044A" w:rsidRDefault="00C6044A" w:rsidP="00DC0975">
            <w:pPr>
              <w:jc w:val="center"/>
              <w:rPr>
                <w:color w:val="000000"/>
                <w:sz w:val="18"/>
                <w:szCs w:val="18"/>
                <w:lang w:eastAsia="fr-FR"/>
              </w:rPr>
            </w:pPr>
            <w:r>
              <w:rPr>
                <w:color w:val="000000"/>
                <w:sz w:val="18"/>
                <w:szCs w:val="18"/>
                <w:lang w:eastAsia="fr-FR"/>
              </w:rPr>
              <w:t>34</w:t>
            </w:r>
          </w:p>
        </w:tc>
        <w:tc>
          <w:tcPr>
            <w:tcW w:w="662" w:type="dxa"/>
            <w:tcBorders>
              <w:top w:val="nil"/>
              <w:left w:val="nil"/>
              <w:bottom w:val="single" w:sz="12" w:space="0" w:color="auto"/>
              <w:right w:val="single" w:sz="12" w:space="0" w:color="auto"/>
            </w:tcBorders>
            <w:vAlign w:val="center"/>
            <w:hideMark/>
          </w:tcPr>
          <w:p w:rsidR="00C6044A" w:rsidRDefault="00C6044A" w:rsidP="00DC0975">
            <w:pPr>
              <w:jc w:val="center"/>
              <w:rPr>
                <w:color w:val="000000"/>
                <w:sz w:val="18"/>
                <w:szCs w:val="18"/>
                <w:lang w:eastAsia="fr-FR"/>
              </w:rPr>
            </w:pPr>
            <w:r>
              <w:rPr>
                <w:color w:val="000000"/>
                <w:sz w:val="18"/>
                <w:szCs w:val="18"/>
                <w:lang w:eastAsia="fr-FR"/>
              </w:rPr>
              <w:t>4%</w:t>
            </w:r>
          </w:p>
        </w:tc>
        <w:tc>
          <w:tcPr>
            <w:tcW w:w="757" w:type="dxa"/>
            <w:tcBorders>
              <w:top w:val="nil"/>
              <w:left w:val="nil"/>
              <w:bottom w:val="single" w:sz="12" w:space="0" w:color="auto"/>
              <w:right w:val="single" w:sz="4" w:space="0" w:color="auto"/>
            </w:tcBorders>
            <w:vAlign w:val="center"/>
            <w:hideMark/>
          </w:tcPr>
          <w:p w:rsidR="00C6044A" w:rsidRDefault="00C6044A" w:rsidP="00DC0975">
            <w:pPr>
              <w:jc w:val="center"/>
              <w:rPr>
                <w:color w:val="000000"/>
                <w:sz w:val="18"/>
                <w:szCs w:val="18"/>
                <w:lang w:eastAsia="fr-FR"/>
              </w:rPr>
            </w:pPr>
            <w:r>
              <w:rPr>
                <w:color w:val="000000"/>
                <w:sz w:val="18"/>
                <w:szCs w:val="18"/>
                <w:lang w:eastAsia="fr-FR"/>
              </w:rPr>
              <w:t>111</w:t>
            </w:r>
          </w:p>
        </w:tc>
        <w:tc>
          <w:tcPr>
            <w:tcW w:w="739" w:type="dxa"/>
            <w:tcBorders>
              <w:top w:val="nil"/>
              <w:left w:val="nil"/>
              <w:bottom w:val="single" w:sz="12" w:space="0" w:color="auto"/>
              <w:right w:val="single" w:sz="12" w:space="0" w:color="auto"/>
            </w:tcBorders>
            <w:vAlign w:val="center"/>
            <w:hideMark/>
          </w:tcPr>
          <w:p w:rsidR="00C6044A" w:rsidRDefault="00C6044A" w:rsidP="00DC0975">
            <w:pPr>
              <w:jc w:val="center"/>
              <w:rPr>
                <w:color w:val="000000"/>
                <w:sz w:val="18"/>
                <w:szCs w:val="18"/>
                <w:lang w:eastAsia="fr-FR"/>
              </w:rPr>
            </w:pPr>
            <w:r>
              <w:rPr>
                <w:color w:val="000000"/>
                <w:sz w:val="18"/>
                <w:szCs w:val="18"/>
                <w:lang w:eastAsia="fr-FR"/>
              </w:rPr>
              <w:t>12%</w:t>
            </w:r>
          </w:p>
        </w:tc>
        <w:tc>
          <w:tcPr>
            <w:tcW w:w="680" w:type="dxa"/>
            <w:tcBorders>
              <w:top w:val="nil"/>
              <w:left w:val="nil"/>
              <w:bottom w:val="single" w:sz="12" w:space="0" w:color="auto"/>
              <w:right w:val="single" w:sz="4" w:space="0" w:color="auto"/>
            </w:tcBorders>
            <w:vAlign w:val="center"/>
            <w:hideMark/>
          </w:tcPr>
          <w:p w:rsidR="00C6044A" w:rsidRDefault="00C6044A" w:rsidP="00DC0975">
            <w:pPr>
              <w:jc w:val="center"/>
              <w:rPr>
                <w:color w:val="000000"/>
                <w:sz w:val="18"/>
                <w:szCs w:val="18"/>
                <w:lang w:eastAsia="fr-FR"/>
              </w:rPr>
            </w:pPr>
            <w:r>
              <w:rPr>
                <w:color w:val="000000"/>
                <w:sz w:val="18"/>
                <w:szCs w:val="18"/>
                <w:lang w:eastAsia="fr-FR"/>
              </w:rPr>
              <w:t>64</w:t>
            </w:r>
          </w:p>
        </w:tc>
        <w:tc>
          <w:tcPr>
            <w:tcW w:w="791" w:type="dxa"/>
            <w:tcBorders>
              <w:top w:val="nil"/>
              <w:left w:val="nil"/>
              <w:bottom w:val="single" w:sz="12" w:space="0" w:color="auto"/>
              <w:right w:val="nil"/>
            </w:tcBorders>
            <w:vAlign w:val="center"/>
            <w:hideMark/>
          </w:tcPr>
          <w:p w:rsidR="00C6044A" w:rsidRDefault="00C6044A" w:rsidP="00DC0975">
            <w:pPr>
              <w:jc w:val="center"/>
              <w:rPr>
                <w:color w:val="000000"/>
                <w:sz w:val="18"/>
                <w:szCs w:val="18"/>
                <w:lang w:eastAsia="fr-FR"/>
              </w:rPr>
            </w:pPr>
            <w:r>
              <w:rPr>
                <w:color w:val="000000"/>
                <w:sz w:val="18"/>
                <w:szCs w:val="18"/>
                <w:lang w:eastAsia="fr-FR"/>
              </w:rPr>
              <w:t>7%</w:t>
            </w:r>
          </w:p>
        </w:tc>
        <w:tc>
          <w:tcPr>
            <w:tcW w:w="771" w:type="dxa"/>
            <w:tcBorders>
              <w:top w:val="nil"/>
              <w:left w:val="single" w:sz="8" w:space="0" w:color="auto"/>
              <w:bottom w:val="single" w:sz="12" w:space="0" w:color="auto"/>
              <w:right w:val="single" w:sz="4" w:space="0" w:color="auto"/>
            </w:tcBorders>
            <w:vAlign w:val="center"/>
            <w:hideMark/>
          </w:tcPr>
          <w:p w:rsidR="00C6044A" w:rsidRDefault="00C6044A" w:rsidP="00DC0975">
            <w:pPr>
              <w:jc w:val="center"/>
              <w:rPr>
                <w:color w:val="000000"/>
                <w:sz w:val="18"/>
                <w:szCs w:val="18"/>
                <w:lang w:eastAsia="fr-FR"/>
              </w:rPr>
            </w:pPr>
            <w:r>
              <w:rPr>
                <w:color w:val="000000"/>
                <w:sz w:val="18"/>
                <w:szCs w:val="18"/>
                <w:lang w:eastAsia="fr-FR"/>
              </w:rPr>
              <w:t>135</w:t>
            </w:r>
          </w:p>
        </w:tc>
        <w:tc>
          <w:tcPr>
            <w:tcW w:w="725" w:type="dxa"/>
            <w:tcBorders>
              <w:top w:val="nil"/>
              <w:left w:val="nil"/>
              <w:bottom w:val="single" w:sz="12" w:space="0" w:color="auto"/>
              <w:right w:val="single" w:sz="8" w:space="0" w:color="auto"/>
            </w:tcBorders>
            <w:vAlign w:val="center"/>
            <w:hideMark/>
          </w:tcPr>
          <w:p w:rsidR="00C6044A" w:rsidRDefault="00C6044A" w:rsidP="00DC0975">
            <w:pPr>
              <w:jc w:val="center"/>
              <w:rPr>
                <w:color w:val="000000"/>
                <w:sz w:val="18"/>
                <w:szCs w:val="18"/>
                <w:lang w:eastAsia="fr-FR"/>
              </w:rPr>
            </w:pPr>
            <w:r>
              <w:rPr>
                <w:color w:val="000000"/>
                <w:sz w:val="18"/>
                <w:szCs w:val="18"/>
                <w:lang w:eastAsia="fr-FR"/>
              </w:rPr>
              <w:t>15%</w:t>
            </w:r>
          </w:p>
        </w:tc>
        <w:tc>
          <w:tcPr>
            <w:tcW w:w="965" w:type="dxa"/>
            <w:tcBorders>
              <w:top w:val="nil"/>
              <w:left w:val="nil"/>
              <w:bottom w:val="single" w:sz="12" w:space="0" w:color="auto"/>
              <w:right w:val="single" w:sz="8" w:space="0" w:color="auto"/>
            </w:tcBorders>
            <w:vAlign w:val="center"/>
            <w:hideMark/>
          </w:tcPr>
          <w:p w:rsidR="00C6044A" w:rsidRDefault="00C6044A" w:rsidP="00DC0975">
            <w:pPr>
              <w:jc w:val="center"/>
              <w:rPr>
                <w:color w:val="000000"/>
                <w:sz w:val="18"/>
                <w:szCs w:val="18"/>
                <w:lang w:eastAsia="fr-FR"/>
              </w:rPr>
            </w:pPr>
            <w:r>
              <w:rPr>
                <w:color w:val="000000"/>
                <w:sz w:val="18"/>
                <w:szCs w:val="18"/>
                <w:lang w:eastAsia="fr-FR"/>
              </w:rPr>
              <w:t>897</w:t>
            </w:r>
          </w:p>
        </w:tc>
      </w:tr>
      <w:tr w:rsidR="00C6044A" w:rsidTr="00FD06F0">
        <w:trPr>
          <w:trHeight w:val="397"/>
        </w:trPr>
        <w:tc>
          <w:tcPr>
            <w:tcW w:w="1525" w:type="dxa"/>
            <w:tcBorders>
              <w:top w:val="nil"/>
              <w:left w:val="single" w:sz="12" w:space="0" w:color="auto"/>
              <w:bottom w:val="single" w:sz="12" w:space="0" w:color="auto"/>
              <w:right w:val="nil"/>
            </w:tcBorders>
            <w:shd w:val="clear" w:color="auto" w:fill="DEEAF6" w:themeFill="accent1" w:themeFillTint="33"/>
            <w:vAlign w:val="center"/>
            <w:hideMark/>
          </w:tcPr>
          <w:p w:rsidR="00C6044A" w:rsidRDefault="00C6044A" w:rsidP="00FD06F0">
            <w:pPr>
              <w:jc w:val="center"/>
              <w:rPr>
                <w:b/>
                <w:bCs/>
                <w:color w:val="000000"/>
                <w:sz w:val="18"/>
                <w:szCs w:val="18"/>
                <w:lang w:eastAsia="fr-FR"/>
              </w:rPr>
            </w:pPr>
            <w:r>
              <w:rPr>
                <w:b/>
                <w:bCs/>
                <w:color w:val="000000"/>
                <w:sz w:val="18"/>
                <w:szCs w:val="18"/>
                <w:lang w:eastAsia="fr-FR"/>
              </w:rPr>
              <w:t>SÃO Paulo</w:t>
            </w:r>
          </w:p>
        </w:tc>
        <w:tc>
          <w:tcPr>
            <w:tcW w:w="746" w:type="dxa"/>
            <w:tcBorders>
              <w:top w:val="nil"/>
              <w:left w:val="single" w:sz="8" w:space="0" w:color="auto"/>
              <w:bottom w:val="single" w:sz="12" w:space="0" w:color="auto"/>
              <w:right w:val="single" w:sz="4" w:space="0" w:color="auto"/>
            </w:tcBorders>
            <w:vAlign w:val="center"/>
            <w:hideMark/>
          </w:tcPr>
          <w:p w:rsidR="00C6044A" w:rsidRDefault="00C6044A" w:rsidP="00DC0975">
            <w:pPr>
              <w:jc w:val="center"/>
              <w:rPr>
                <w:color w:val="000000"/>
                <w:sz w:val="18"/>
                <w:szCs w:val="18"/>
                <w:lang w:eastAsia="fr-FR"/>
              </w:rPr>
            </w:pPr>
            <w:r>
              <w:rPr>
                <w:color w:val="000000"/>
                <w:sz w:val="18"/>
                <w:szCs w:val="18"/>
                <w:lang w:eastAsia="fr-FR"/>
              </w:rPr>
              <w:t>36</w:t>
            </w:r>
          </w:p>
        </w:tc>
        <w:tc>
          <w:tcPr>
            <w:tcW w:w="750" w:type="dxa"/>
            <w:tcBorders>
              <w:top w:val="nil"/>
              <w:left w:val="nil"/>
              <w:bottom w:val="single" w:sz="12" w:space="0" w:color="auto"/>
              <w:right w:val="single" w:sz="12" w:space="0" w:color="auto"/>
            </w:tcBorders>
            <w:vAlign w:val="center"/>
            <w:hideMark/>
          </w:tcPr>
          <w:p w:rsidR="00C6044A" w:rsidRDefault="00C6044A" w:rsidP="00DC0975">
            <w:pPr>
              <w:jc w:val="center"/>
              <w:rPr>
                <w:color w:val="000000"/>
                <w:sz w:val="18"/>
                <w:szCs w:val="18"/>
                <w:lang w:eastAsia="fr-FR"/>
              </w:rPr>
            </w:pPr>
            <w:r>
              <w:rPr>
                <w:color w:val="000000"/>
                <w:sz w:val="18"/>
                <w:szCs w:val="18"/>
                <w:lang w:eastAsia="fr-FR"/>
              </w:rPr>
              <w:t>0%</w:t>
            </w:r>
          </w:p>
        </w:tc>
        <w:tc>
          <w:tcPr>
            <w:tcW w:w="812" w:type="dxa"/>
            <w:tcBorders>
              <w:top w:val="nil"/>
              <w:left w:val="nil"/>
              <w:bottom w:val="single" w:sz="12" w:space="0" w:color="auto"/>
              <w:right w:val="single" w:sz="4" w:space="0" w:color="auto"/>
            </w:tcBorders>
            <w:vAlign w:val="center"/>
            <w:hideMark/>
          </w:tcPr>
          <w:p w:rsidR="00C6044A" w:rsidRDefault="00C6044A" w:rsidP="00DC0975">
            <w:pPr>
              <w:jc w:val="center"/>
              <w:rPr>
                <w:color w:val="000000"/>
                <w:sz w:val="18"/>
                <w:szCs w:val="18"/>
                <w:lang w:eastAsia="fr-FR"/>
              </w:rPr>
            </w:pPr>
            <w:r>
              <w:rPr>
                <w:color w:val="000000"/>
                <w:sz w:val="18"/>
                <w:szCs w:val="18"/>
                <w:lang w:eastAsia="fr-FR"/>
              </w:rPr>
              <w:t>62</w:t>
            </w:r>
          </w:p>
        </w:tc>
        <w:tc>
          <w:tcPr>
            <w:tcW w:w="662" w:type="dxa"/>
            <w:tcBorders>
              <w:top w:val="nil"/>
              <w:left w:val="nil"/>
              <w:bottom w:val="single" w:sz="12" w:space="0" w:color="auto"/>
              <w:right w:val="single" w:sz="12" w:space="0" w:color="auto"/>
            </w:tcBorders>
            <w:vAlign w:val="center"/>
            <w:hideMark/>
          </w:tcPr>
          <w:p w:rsidR="00C6044A" w:rsidRDefault="00C6044A" w:rsidP="00DC0975">
            <w:pPr>
              <w:jc w:val="center"/>
              <w:rPr>
                <w:color w:val="000000"/>
                <w:sz w:val="18"/>
                <w:szCs w:val="18"/>
                <w:lang w:eastAsia="fr-FR"/>
              </w:rPr>
            </w:pPr>
            <w:r>
              <w:rPr>
                <w:color w:val="000000"/>
                <w:sz w:val="18"/>
                <w:szCs w:val="18"/>
                <w:lang w:eastAsia="fr-FR"/>
              </w:rPr>
              <w:t>1%</w:t>
            </w:r>
          </w:p>
        </w:tc>
        <w:tc>
          <w:tcPr>
            <w:tcW w:w="757" w:type="dxa"/>
            <w:tcBorders>
              <w:top w:val="nil"/>
              <w:left w:val="nil"/>
              <w:bottom w:val="single" w:sz="12" w:space="0" w:color="auto"/>
              <w:right w:val="single" w:sz="4" w:space="0" w:color="auto"/>
            </w:tcBorders>
            <w:vAlign w:val="center"/>
            <w:hideMark/>
          </w:tcPr>
          <w:p w:rsidR="00C6044A" w:rsidRDefault="00C6044A" w:rsidP="00DC0975">
            <w:pPr>
              <w:jc w:val="center"/>
              <w:rPr>
                <w:color w:val="000000"/>
                <w:sz w:val="18"/>
                <w:szCs w:val="18"/>
                <w:lang w:eastAsia="fr-FR"/>
              </w:rPr>
            </w:pPr>
            <w:r>
              <w:rPr>
                <w:color w:val="000000"/>
                <w:sz w:val="18"/>
                <w:szCs w:val="18"/>
                <w:lang w:eastAsia="fr-FR"/>
              </w:rPr>
              <w:t>985</w:t>
            </w:r>
          </w:p>
        </w:tc>
        <w:tc>
          <w:tcPr>
            <w:tcW w:w="739" w:type="dxa"/>
            <w:tcBorders>
              <w:top w:val="nil"/>
              <w:left w:val="nil"/>
              <w:bottom w:val="single" w:sz="12" w:space="0" w:color="auto"/>
              <w:right w:val="single" w:sz="12" w:space="0" w:color="auto"/>
            </w:tcBorders>
            <w:vAlign w:val="center"/>
            <w:hideMark/>
          </w:tcPr>
          <w:p w:rsidR="00C6044A" w:rsidRDefault="00C6044A" w:rsidP="00DC0975">
            <w:pPr>
              <w:jc w:val="center"/>
              <w:rPr>
                <w:color w:val="000000"/>
                <w:sz w:val="18"/>
                <w:szCs w:val="18"/>
                <w:lang w:eastAsia="fr-FR"/>
              </w:rPr>
            </w:pPr>
            <w:r>
              <w:rPr>
                <w:color w:val="000000"/>
                <w:sz w:val="18"/>
                <w:szCs w:val="18"/>
                <w:lang w:eastAsia="fr-FR"/>
              </w:rPr>
              <w:t>11%</w:t>
            </w:r>
          </w:p>
        </w:tc>
        <w:tc>
          <w:tcPr>
            <w:tcW w:w="680" w:type="dxa"/>
            <w:tcBorders>
              <w:top w:val="nil"/>
              <w:left w:val="nil"/>
              <w:bottom w:val="single" w:sz="12" w:space="0" w:color="auto"/>
              <w:right w:val="single" w:sz="4" w:space="0" w:color="auto"/>
            </w:tcBorders>
            <w:vAlign w:val="center"/>
            <w:hideMark/>
          </w:tcPr>
          <w:p w:rsidR="00C6044A" w:rsidRDefault="00C6044A" w:rsidP="00DC0975">
            <w:pPr>
              <w:jc w:val="center"/>
              <w:rPr>
                <w:color w:val="000000"/>
                <w:sz w:val="18"/>
                <w:szCs w:val="18"/>
                <w:lang w:eastAsia="fr-FR"/>
              </w:rPr>
            </w:pPr>
            <w:r>
              <w:rPr>
                <w:color w:val="000000"/>
                <w:sz w:val="18"/>
                <w:szCs w:val="18"/>
                <w:lang w:eastAsia="fr-FR"/>
              </w:rPr>
              <w:t>315</w:t>
            </w:r>
          </w:p>
        </w:tc>
        <w:tc>
          <w:tcPr>
            <w:tcW w:w="791" w:type="dxa"/>
            <w:tcBorders>
              <w:top w:val="nil"/>
              <w:left w:val="nil"/>
              <w:bottom w:val="single" w:sz="12" w:space="0" w:color="auto"/>
              <w:right w:val="nil"/>
            </w:tcBorders>
            <w:vAlign w:val="center"/>
            <w:hideMark/>
          </w:tcPr>
          <w:p w:rsidR="00C6044A" w:rsidRDefault="00C6044A" w:rsidP="00DC0975">
            <w:pPr>
              <w:jc w:val="center"/>
              <w:rPr>
                <w:color w:val="000000"/>
                <w:sz w:val="18"/>
                <w:szCs w:val="18"/>
                <w:lang w:eastAsia="fr-FR"/>
              </w:rPr>
            </w:pPr>
            <w:r>
              <w:rPr>
                <w:color w:val="000000"/>
                <w:sz w:val="18"/>
                <w:szCs w:val="18"/>
                <w:lang w:eastAsia="fr-FR"/>
              </w:rPr>
              <w:t>3%</w:t>
            </w:r>
          </w:p>
        </w:tc>
        <w:tc>
          <w:tcPr>
            <w:tcW w:w="771" w:type="dxa"/>
            <w:tcBorders>
              <w:top w:val="nil"/>
              <w:left w:val="single" w:sz="8" w:space="0" w:color="auto"/>
              <w:bottom w:val="single" w:sz="12" w:space="0" w:color="auto"/>
              <w:right w:val="single" w:sz="4" w:space="0" w:color="auto"/>
            </w:tcBorders>
            <w:vAlign w:val="center"/>
            <w:hideMark/>
          </w:tcPr>
          <w:p w:rsidR="00C6044A" w:rsidRDefault="00C6044A" w:rsidP="00DC0975">
            <w:pPr>
              <w:jc w:val="center"/>
              <w:rPr>
                <w:color w:val="000000"/>
                <w:sz w:val="18"/>
                <w:szCs w:val="18"/>
                <w:lang w:eastAsia="fr-FR"/>
              </w:rPr>
            </w:pPr>
            <w:r>
              <w:rPr>
                <w:color w:val="000000"/>
                <w:sz w:val="18"/>
                <w:szCs w:val="18"/>
                <w:lang w:eastAsia="fr-FR"/>
              </w:rPr>
              <w:t>1066</w:t>
            </w:r>
          </w:p>
        </w:tc>
        <w:tc>
          <w:tcPr>
            <w:tcW w:w="725" w:type="dxa"/>
            <w:tcBorders>
              <w:top w:val="nil"/>
              <w:left w:val="nil"/>
              <w:bottom w:val="single" w:sz="12" w:space="0" w:color="auto"/>
              <w:right w:val="single" w:sz="8" w:space="0" w:color="auto"/>
            </w:tcBorders>
            <w:vAlign w:val="center"/>
            <w:hideMark/>
          </w:tcPr>
          <w:p w:rsidR="00C6044A" w:rsidRDefault="00C6044A" w:rsidP="00DC0975">
            <w:pPr>
              <w:jc w:val="center"/>
              <w:rPr>
                <w:color w:val="000000"/>
                <w:sz w:val="18"/>
                <w:szCs w:val="18"/>
                <w:lang w:eastAsia="fr-FR"/>
              </w:rPr>
            </w:pPr>
            <w:r>
              <w:rPr>
                <w:color w:val="000000"/>
                <w:sz w:val="18"/>
                <w:szCs w:val="18"/>
                <w:lang w:eastAsia="fr-FR"/>
              </w:rPr>
              <w:t>12%</w:t>
            </w:r>
          </w:p>
        </w:tc>
        <w:tc>
          <w:tcPr>
            <w:tcW w:w="965" w:type="dxa"/>
            <w:tcBorders>
              <w:top w:val="nil"/>
              <w:left w:val="nil"/>
              <w:bottom w:val="single" w:sz="12" w:space="0" w:color="auto"/>
              <w:right w:val="single" w:sz="8" w:space="0" w:color="auto"/>
            </w:tcBorders>
            <w:vAlign w:val="center"/>
            <w:hideMark/>
          </w:tcPr>
          <w:p w:rsidR="00C6044A" w:rsidRDefault="00C6044A" w:rsidP="00DC0975">
            <w:pPr>
              <w:jc w:val="center"/>
              <w:rPr>
                <w:color w:val="000000"/>
                <w:sz w:val="18"/>
                <w:szCs w:val="18"/>
                <w:lang w:eastAsia="fr-FR"/>
              </w:rPr>
            </w:pPr>
            <w:r>
              <w:rPr>
                <w:color w:val="000000"/>
                <w:sz w:val="18"/>
                <w:szCs w:val="18"/>
                <w:lang w:eastAsia="fr-FR"/>
              </w:rPr>
              <w:t>9154</w:t>
            </w:r>
          </w:p>
        </w:tc>
      </w:tr>
      <w:tr w:rsidR="00C6044A" w:rsidTr="00FD06F0">
        <w:trPr>
          <w:trHeight w:val="397"/>
        </w:trPr>
        <w:tc>
          <w:tcPr>
            <w:tcW w:w="1525" w:type="dxa"/>
            <w:tcBorders>
              <w:top w:val="nil"/>
              <w:left w:val="single" w:sz="12" w:space="0" w:color="auto"/>
              <w:bottom w:val="single" w:sz="12" w:space="0" w:color="auto"/>
              <w:right w:val="nil"/>
            </w:tcBorders>
            <w:shd w:val="clear" w:color="auto" w:fill="DEEAF6" w:themeFill="accent1" w:themeFillTint="33"/>
            <w:vAlign w:val="center"/>
            <w:hideMark/>
          </w:tcPr>
          <w:p w:rsidR="00C6044A" w:rsidRDefault="00C6044A" w:rsidP="00FD06F0">
            <w:pPr>
              <w:jc w:val="center"/>
              <w:rPr>
                <w:b/>
                <w:bCs/>
                <w:color w:val="000000"/>
                <w:sz w:val="18"/>
                <w:szCs w:val="18"/>
                <w:lang w:eastAsia="fr-FR"/>
              </w:rPr>
            </w:pPr>
            <w:r>
              <w:rPr>
                <w:b/>
                <w:bCs/>
                <w:color w:val="000000"/>
                <w:sz w:val="18"/>
                <w:szCs w:val="18"/>
                <w:lang w:eastAsia="fr-FR"/>
              </w:rPr>
              <w:t>Quelélé</w:t>
            </w:r>
          </w:p>
        </w:tc>
        <w:tc>
          <w:tcPr>
            <w:tcW w:w="746" w:type="dxa"/>
            <w:tcBorders>
              <w:top w:val="nil"/>
              <w:left w:val="single" w:sz="8" w:space="0" w:color="auto"/>
              <w:bottom w:val="single" w:sz="12" w:space="0" w:color="auto"/>
              <w:right w:val="single" w:sz="4" w:space="0" w:color="auto"/>
            </w:tcBorders>
            <w:vAlign w:val="center"/>
            <w:hideMark/>
          </w:tcPr>
          <w:p w:rsidR="00C6044A" w:rsidRDefault="00C6044A" w:rsidP="00DC0975">
            <w:pPr>
              <w:jc w:val="center"/>
              <w:rPr>
                <w:color w:val="000000"/>
                <w:sz w:val="18"/>
                <w:szCs w:val="18"/>
                <w:lang w:eastAsia="fr-FR"/>
              </w:rPr>
            </w:pPr>
            <w:r>
              <w:rPr>
                <w:color w:val="000000"/>
                <w:sz w:val="18"/>
                <w:szCs w:val="18"/>
                <w:lang w:eastAsia="fr-FR"/>
              </w:rPr>
              <w:t>404</w:t>
            </w:r>
          </w:p>
        </w:tc>
        <w:tc>
          <w:tcPr>
            <w:tcW w:w="750" w:type="dxa"/>
            <w:tcBorders>
              <w:top w:val="nil"/>
              <w:left w:val="nil"/>
              <w:bottom w:val="single" w:sz="12" w:space="0" w:color="auto"/>
              <w:right w:val="single" w:sz="12" w:space="0" w:color="auto"/>
            </w:tcBorders>
            <w:vAlign w:val="center"/>
            <w:hideMark/>
          </w:tcPr>
          <w:p w:rsidR="00C6044A" w:rsidRDefault="00C6044A" w:rsidP="00DC0975">
            <w:pPr>
              <w:jc w:val="center"/>
              <w:rPr>
                <w:color w:val="000000"/>
                <w:sz w:val="18"/>
                <w:szCs w:val="18"/>
                <w:lang w:eastAsia="fr-FR"/>
              </w:rPr>
            </w:pPr>
            <w:r>
              <w:rPr>
                <w:color w:val="000000"/>
                <w:sz w:val="18"/>
                <w:szCs w:val="18"/>
                <w:lang w:eastAsia="fr-FR"/>
              </w:rPr>
              <w:t>2%</w:t>
            </w:r>
          </w:p>
        </w:tc>
        <w:tc>
          <w:tcPr>
            <w:tcW w:w="812" w:type="dxa"/>
            <w:tcBorders>
              <w:top w:val="nil"/>
              <w:left w:val="nil"/>
              <w:bottom w:val="single" w:sz="12" w:space="0" w:color="auto"/>
              <w:right w:val="single" w:sz="4" w:space="0" w:color="auto"/>
            </w:tcBorders>
            <w:vAlign w:val="center"/>
            <w:hideMark/>
          </w:tcPr>
          <w:p w:rsidR="00C6044A" w:rsidRDefault="00C6044A" w:rsidP="00DC0975">
            <w:pPr>
              <w:jc w:val="center"/>
              <w:rPr>
                <w:color w:val="000000"/>
                <w:sz w:val="18"/>
                <w:szCs w:val="18"/>
                <w:lang w:eastAsia="fr-FR"/>
              </w:rPr>
            </w:pPr>
            <w:r>
              <w:rPr>
                <w:color w:val="000000"/>
                <w:sz w:val="18"/>
                <w:szCs w:val="18"/>
                <w:lang w:eastAsia="fr-FR"/>
              </w:rPr>
              <w:t>404</w:t>
            </w:r>
          </w:p>
        </w:tc>
        <w:tc>
          <w:tcPr>
            <w:tcW w:w="662" w:type="dxa"/>
            <w:tcBorders>
              <w:top w:val="nil"/>
              <w:left w:val="nil"/>
              <w:bottom w:val="single" w:sz="12" w:space="0" w:color="auto"/>
              <w:right w:val="single" w:sz="12" w:space="0" w:color="auto"/>
            </w:tcBorders>
            <w:vAlign w:val="center"/>
            <w:hideMark/>
          </w:tcPr>
          <w:p w:rsidR="00C6044A" w:rsidRDefault="00C6044A" w:rsidP="00DC0975">
            <w:pPr>
              <w:jc w:val="center"/>
              <w:rPr>
                <w:color w:val="000000"/>
                <w:sz w:val="18"/>
                <w:szCs w:val="18"/>
                <w:lang w:eastAsia="fr-FR"/>
              </w:rPr>
            </w:pPr>
            <w:r>
              <w:rPr>
                <w:color w:val="000000"/>
                <w:sz w:val="18"/>
                <w:szCs w:val="18"/>
                <w:lang w:eastAsia="fr-FR"/>
              </w:rPr>
              <w:t>2%</w:t>
            </w:r>
          </w:p>
        </w:tc>
        <w:tc>
          <w:tcPr>
            <w:tcW w:w="757" w:type="dxa"/>
            <w:tcBorders>
              <w:top w:val="nil"/>
              <w:left w:val="nil"/>
              <w:bottom w:val="single" w:sz="12" w:space="0" w:color="auto"/>
              <w:right w:val="single" w:sz="4" w:space="0" w:color="auto"/>
            </w:tcBorders>
            <w:vAlign w:val="center"/>
            <w:hideMark/>
          </w:tcPr>
          <w:p w:rsidR="00C6044A" w:rsidRDefault="00C6044A" w:rsidP="00DC0975">
            <w:pPr>
              <w:jc w:val="center"/>
              <w:rPr>
                <w:color w:val="000000"/>
                <w:sz w:val="18"/>
                <w:szCs w:val="18"/>
                <w:lang w:eastAsia="fr-FR"/>
              </w:rPr>
            </w:pPr>
            <w:r>
              <w:rPr>
                <w:color w:val="000000"/>
                <w:sz w:val="18"/>
                <w:szCs w:val="18"/>
                <w:lang w:eastAsia="fr-FR"/>
              </w:rPr>
              <w:t>1885</w:t>
            </w:r>
          </w:p>
        </w:tc>
        <w:tc>
          <w:tcPr>
            <w:tcW w:w="739" w:type="dxa"/>
            <w:tcBorders>
              <w:top w:val="nil"/>
              <w:left w:val="nil"/>
              <w:bottom w:val="single" w:sz="12" w:space="0" w:color="auto"/>
              <w:right w:val="single" w:sz="12" w:space="0" w:color="auto"/>
            </w:tcBorders>
            <w:vAlign w:val="center"/>
            <w:hideMark/>
          </w:tcPr>
          <w:p w:rsidR="00C6044A" w:rsidRDefault="00C6044A" w:rsidP="00DC0975">
            <w:pPr>
              <w:jc w:val="center"/>
              <w:rPr>
                <w:color w:val="000000"/>
                <w:sz w:val="18"/>
                <w:szCs w:val="18"/>
                <w:lang w:eastAsia="fr-FR"/>
              </w:rPr>
            </w:pPr>
            <w:r>
              <w:rPr>
                <w:color w:val="000000"/>
                <w:sz w:val="18"/>
                <w:szCs w:val="18"/>
                <w:lang w:eastAsia="fr-FR"/>
              </w:rPr>
              <w:t>11%</w:t>
            </w:r>
          </w:p>
        </w:tc>
        <w:tc>
          <w:tcPr>
            <w:tcW w:w="680" w:type="dxa"/>
            <w:tcBorders>
              <w:top w:val="nil"/>
              <w:left w:val="nil"/>
              <w:bottom w:val="single" w:sz="12" w:space="0" w:color="auto"/>
              <w:right w:val="single" w:sz="4" w:space="0" w:color="auto"/>
            </w:tcBorders>
            <w:vAlign w:val="center"/>
            <w:hideMark/>
          </w:tcPr>
          <w:p w:rsidR="00C6044A" w:rsidRDefault="00C6044A" w:rsidP="00DC0975">
            <w:pPr>
              <w:jc w:val="center"/>
              <w:rPr>
                <w:color w:val="000000"/>
                <w:sz w:val="18"/>
                <w:szCs w:val="18"/>
                <w:lang w:eastAsia="fr-FR"/>
              </w:rPr>
            </w:pPr>
            <w:r>
              <w:rPr>
                <w:color w:val="000000"/>
                <w:sz w:val="18"/>
                <w:szCs w:val="18"/>
                <w:lang w:eastAsia="fr-FR"/>
              </w:rPr>
              <w:t>854</w:t>
            </w:r>
          </w:p>
        </w:tc>
        <w:tc>
          <w:tcPr>
            <w:tcW w:w="791" w:type="dxa"/>
            <w:tcBorders>
              <w:top w:val="nil"/>
              <w:left w:val="nil"/>
              <w:bottom w:val="single" w:sz="12" w:space="0" w:color="auto"/>
              <w:right w:val="nil"/>
            </w:tcBorders>
            <w:vAlign w:val="center"/>
            <w:hideMark/>
          </w:tcPr>
          <w:p w:rsidR="00C6044A" w:rsidRDefault="00C6044A" w:rsidP="00DC0975">
            <w:pPr>
              <w:jc w:val="center"/>
              <w:rPr>
                <w:color w:val="000000"/>
                <w:sz w:val="18"/>
                <w:szCs w:val="18"/>
                <w:lang w:eastAsia="fr-FR"/>
              </w:rPr>
            </w:pPr>
            <w:r>
              <w:rPr>
                <w:color w:val="000000"/>
                <w:sz w:val="18"/>
                <w:szCs w:val="18"/>
                <w:lang w:eastAsia="fr-FR"/>
              </w:rPr>
              <w:t>5%</w:t>
            </w:r>
          </w:p>
        </w:tc>
        <w:tc>
          <w:tcPr>
            <w:tcW w:w="771" w:type="dxa"/>
            <w:tcBorders>
              <w:top w:val="nil"/>
              <w:left w:val="single" w:sz="8" w:space="0" w:color="auto"/>
              <w:bottom w:val="single" w:sz="12" w:space="0" w:color="auto"/>
              <w:right w:val="single" w:sz="4" w:space="0" w:color="auto"/>
            </w:tcBorders>
            <w:vAlign w:val="center"/>
            <w:hideMark/>
          </w:tcPr>
          <w:p w:rsidR="00C6044A" w:rsidRDefault="00C6044A" w:rsidP="00DC0975">
            <w:pPr>
              <w:jc w:val="center"/>
              <w:rPr>
                <w:color w:val="000000"/>
                <w:sz w:val="18"/>
                <w:szCs w:val="18"/>
                <w:lang w:eastAsia="fr-FR"/>
              </w:rPr>
            </w:pPr>
            <w:r>
              <w:rPr>
                <w:color w:val="000000"/>
                <w:sz w:val="18"/>
                <w:szCs w:val="18"/>
                <w:lang w:eastAsia="fr-FR"/>
              </w:rPr>
              <w:t>2151</w:t>
            </w:r>
          </w:p>
        </w:tc>
        <w:tc>
          <w:tcPr>
            <w:tcW w:w="725" w:type="dxa"/>
            <w:tcBorders>
              <w:top w:val="nil"/>
              <w:left w:val="nil"/>
              <w:bottom w:val="single" w:sz="12" w:space="0" w:color="auto"/>
              <w:right w:val="single" w:sz="8" w:space="0" w:color="auto"/>
            </w:tcBorders>
            <w:vAlign w:val="center"/>
            <w:hideMark/>
          </w:tcPr>
          <w:p w:rsidR="00C6044A" w:rsidRDefault="00C6044A" w:rsidP="00DC0975">
            <w:pPr>
              <w:jc w:val="center"/>
              <w:rPr>
                <w:color w:val="000000"/>
                <w:sz w:val="18"/>
                <w:szCs w:val="18"/>
                <w:lang w:eastAsia="fr-FR"/>
              </w:rPr>
            </w:pPr>
            <w:r>
              <w:rPr>
                <w:color w:val="000000"/>
                <w:sz w:val="18"/>
                <w:szCs w:val="18"/>
                <w:lang w:eastAsia="fr-FR"/>
              </w:rPr>
              <w:t>12%</w:t>
            </w:r>
          </w:p>
        </w:tc>
        <w:tc>
          <w:tcPr>
            <w:tcW w:w="965" w:type="dxa"/>
            <w:tcBorders>
              <w:top w:val="nil"/>
              <w:left w:val="nil"/>
              <w:bottom w:val="nil"/>
              <w:right w:val="single" w:sz="8" w:space="0" w:color="auto"/>
            </w:tcBorders>
            <w:vAlign w:val="center"/>
            <w:hideMark/>
          </w:tcPr>
          <w:p w:rsidR="00C6044A" w:rsidRDefault="00C6044A" w:rsidP="00DC0975">
            <w:pPr>
              <w:jc w:val="center"/>
              <w:rPr>
                <w:color w:val="000000"/>
                <w:sz w:val="18"/>
                <w:szCs w:val="18"/>
                <w:lang w:eastAsia="fr-FR"/>
              </w:rPr>
            </w:pPr>
            <w:r>
              <w:rPr>
                <w:color w:val="000000"/>
                <w:sz w:val="18"/>
                <w:szCs w:val="18"/>
                <w:lang w:eastAsia="fr-FR"/>
              </w:rPr>
              <w:t>17444</w:t>
            </w:r>
          </w:p>
        </w:tc>
      </w:tr>
      <w:tr w:rsidR="00C6044A" w:rsidTr="00FD06F0">
        <w:trPr>
          <w:trHeight w:val="397"/>
        </w:trPr>
        <w:tc>
          <w:tcPr>
            <w:tcW w:w="1525" w:type="dxa"/>
            <w:tcBorders>
              <w:top w:val="nil"/>
              <w:left w:val="single" w:sz="12" w:space="0" w:color="auto"/>
              <w:bottom w:val="single" w:sz="12" w:space="0" w:color="auto"/>
              <w:right w:val="nil"/>
            </w:tcBorders>
            <w:shd w:val="clear" w:color="auto" w:fill="DEEAF6" w:themeFill="accent1" w:themeFillTint="33"/>
            <w:vAlign w:val="center"/>
            <w:hideMark/>
          </w:tcPr>
          <w:p w:rsidR="00C6044A" w:rsidRDefault="00C6044A" w:rsidP="00FD06F0">
            <w:pPr>
              <w:jc w:val="center"/>
              <w:rPr>
                <w:b/>
                <w:bCs/>
                <w:color w:val="000000"/>
                <w:sz w:val="18"/>
                <w:szCs w:val="18"/>
                <w:lang w:eastAsia="fr-FR"/>
              </w:rPr>
            </w:pPr>
            <w:r>
              <w:rPr>
                <w:b/>
                <w:bCs/>
                <w:color w:val="000000"/>
                <w:sz w:val="18"/>
                <w:szCs w:val="18"/>
                <w:lang w:eastAsia="fr-FR"/>
              </w:rPr>
              <w:t>Cumtum</w:t>
            </w:r>
          </w:p>
        </w:tc>
        <w:tc>
          <w:tcPr>
            <w:tcW w:w="746" w:type="dxa"/>
            <w:tcBorders>
              <w:top w:val="nil"/>
              <w:left w:val="single" w:sz="8" w:space="0" w:color="auto"/>
              <w:bottom w:val="single" w:sz="8" w:space="0" w:color="auto"/>
              <w:right w:val="single" w:sz="4" w:space="0" w:color="auto"/>
            </w:tcBorders>
            <w:vAlign w:val="center"/>
            <w:hideMark/>
          </w:tcPr>
          <w:p w:rsidR="00C6044A" w:rsidRDefault="00C6044A" w:rsidP="00DC0975">
            <w:pPr>
              <w:jc w:val="center"/>
              <w:rPr>
                <w:color w:val="000000"/>
                <w:sz w:val="18"/>
                <w:szCs w:val="18"/>
                <w:lang w:eastAsia="fr-FR"/>
              </w:rPr>
            </w:pPr>
            <w:r>
              <w:rPr>
                <w:color w:val="000000"/>
                <w:sz w:val="18"/>
                <w:szCs w:val="18"/>
                <w:lang w:eastAsia="fr-FR"/>
              </w:rPr>
              <w:t>1850</w:t>
            </w:r>
          </w:p>
        </w:tc>
        <w:tc>
          <w:tcPr>
            <w:tcW w:w="750" w:type="dxa"/>
            <w:tcBorders>
              <w:top w:val="nil"/>
              <w:left w:val="nil"/>
              <w:bottom w:val="single" w:sz="8" w:space="0" w:color="auto"/>
              <w:right w:val="single" w:sz="12" w:space="0" w:color="auto"/>
            </w:tcBorders>
            <w:vAlign w:val="center"/>
            <w:hideMark/>
          </w:tcPr>
          <w:p w:rsidR="00C6044A" w:rsidRDefault="00C6044A" w:rsidP="00DC0975">
            <w:pPr>
              <w:jc w:val="center"/>
              <w:rPr>
                <w:color w:val="000000"/>
                <w:sz w:val="18"/>
                <w:szCs w:val="18"/>
                <w:lang w:eastAsia="fr-FR"/>
              </w:rPr>
            </w:pPr>
            <w:r>
              <w:rPr>
                <w:color w:val="000000"/>
                <w:sz w:val="18"/>
                <w:szCs w:val="18"/>
                <w:lang w:eastAsia="fr-FR"/>
              </w:rPr>
              <w:t>6%</w:t>
            </w:r>
          </w:p>
        </w:tc>
        <w:tc>
          <w:tcPr>
            <w:tcW w:w="812" w:type="dxa"/>
            <w:tcBorders>
              <w:top w:val="nil"/>
              <w:left w:val="nil"/>
              <w:bottom w:val="single" w:sz="8" w:space="0" w:color="auto"/>
              <w:right w:val="single" w:sz="4" w:space="0" w:color="auto"/>
            </w:tcBorders>
            <w:vAlign w:val="center"/>
            <w:hideMark/>
          </w:tcPr>
          <w:p w:rsidR="00C6044A" w:rsidRDefault="00C6044A" w:rsidP="00DC0975">
            <w:pPr>
              <w:jc w:val="center"/>
              <w:rPr>
                <w:color w:val="000000"/>
                <w:sz w:val="18"/>
                <w:szCs w:val="18"/>
                <w:lang w:eastAsia="fr-FR"/>
              </w:rPr>
            </w:pPr>
            <w:r>
              <w:rPr>
                <w:color w:val="000000"/>
                <w:sz w:val="18"/>
                <w:szCs w:val="18"/>
                <w:lang w:eastAsia="fr-FR"/>
              </w:rPr>
              <w:t>363</w:t>
            </w:r>
          </w:p>
        </w:tc>
        <w:tc>
          <w:tcPr>
            <w:tcW w:w="662" w:type="dxa"/>
            <w:tcBorders>
              <w:top w:val="nil"/>
              <w:left w:val="nil"/>
              <w:bottom w:val="single" w:sz="8" w:space="0" w:color="auto"/>
              <w:right w:val="single" w:sz="12" w:space="0" w:color="auto"/>
            </w:tcBorders>
            <w:vAlign w:val="center"/>
            <w:hideMark/>
          </w:tcPr>
          <w:p w:rsidR="00C6044A" w:rsidRDefault="00C6044A" w:rsidP="00DC0975">
            <w:pPr>
              <w:jc w:val="center"/>
              <w:rPr>
                <w:color w:val="000000"/>
                <w:sz w:val="18"/>
                <w:szCs w:val="18"/>
                <w:lang w:eastAsia="fr-FR"/>
              </w:rPr>
            </w:pPr>
            <w:r>
              <w:rPr>
                <w:color w:val="000000"/>
                <w:sz w:val="18"/>
                <w:szCs w:val="18"/>
                <w:lang w:eastAsia="fr-FR"/>
              </w:rPr>
              <w:t>1%</w:t>
            </w:r>
          </w:p>
        </w:tc>
        <w:tc>
          <w:tcPr>
            <w:tcW w:w="757" w:type="dxa"/>
            <w:tcBorders>
              <w:top w:val="nil"/>
              <w:left w:val="nil"/>
              <w:bottom w:val="single" w:sz="8" w:space="0" w:color="auto"/>
              <w:right w:val="single" w:sz="4" w:space="0" w:color="auto"/>
            </w:tcBorders>
            <w:vAlign w:val="center"/>
            <w:hideMark/>
          </w:tcPr>
          <w:p w:rsidR="00C6044A" w:rsidRDefault="00C6044A" w:rsidP="00DC0975">
            <w:pPr>
              <w:jc w:val="center"/>
              <w:rPr>
                <w:color w:val="000000"/>
                <w:sz w:val="18"/>
                <w:szCs w:val="18"/>
                <w:lang w:eastAsia="fr-FR"/>
              </w:rPr>
            </w:pPr>
            <w:r>
              <w:rPr>
                <w:color w:val="000000"/>
                <w:sz w:val="18"/>
                <w:szCs w:val="18"/>
                <w:lang w:eastAsia="fr-FR"/>
              </w:rPr>
              <w:t>3519</w:t>
            </w:r>
          </w:p>
        </w:tc>
        <w:tc>
          <w:tcPr>
            <w:tcW w:w="739" w:type="dxa"/>
            <w:tcBorders>
              <w:top w:val="nil"/>
              <w:left w:val="nil"/>
              <w:bottom w:val="single" w:sz="8" w:space="0" w:color="auto"/>
              <w:right w:val="single" w:sz="12" w:space="0" w:color="auto"/>
            </w:tcBorders>
            <w:vAlign w:val="center"/>
            <w:hideMark/>
          </w:tcPr>
          <w:p w:rsidR="00C6044A" w:rsidRDefault="00C6044A" w:rsidP="00DC0975">
            <w:pPr>
              <w:jc w:val="center"/>
              <w:rPr>
                <w:color w:val="000000"/>
                <w:sz w:val="18"/>
                <w:szCs w:val="18"/>
                <w:lang w:eastAsia="fr-FR"/>
              </w:rPr>
            </w:pPr>
            <w:r>
              <w:rPr>
                <w:color w:val="000000"/>
                <w:sz w:val="18"/>
                <w:szCs w:val="18"/>
                <w:lang w:eastAsia="fr-FR"/>
              </w:rPr>
              <w:t>12%</w:t>
            </w:r>
          </w:p>
        </w:tc>
        <w:tc>
          <w:tcPr>
            <w:tcW w:w="680" w:type="dxa"/>
            <w:tcBorders>
              <w:top w:val="nil"/>
              <w:left w:val="nil"/>
              <w:bottom w:val="single" w:sz="8" w:space="0" w:color="auto"/>
              <w:right w:val="single" w:sz="4" w:space="0" w:color="auto"/>
            </w:tcBorders>
            <w:vAlign w:val="center"/>
            <w:hideMark/>
          </w:tcPr>
          <w:p w:rsidR="00C6044A" w:rsidRDefault="00C6044A" w:rsidP="00DC0975">
            <w:pPr>
              <w:jc w:val="center"/>
              <w:rPr>
                <w:color w:val="000000"/>
                <w:sz w:val="18"/>
                <w:szCs w:val="18"/>
                <w:lang w:eastAsia="fr-FR"/>
              </w:rPr>
            </w:pPr>
            <w:r>
              <w:rPr>
                <w:color w:val="000000"/>
                <w:sz w:val="18"/>
                <w:szCs w:val="18"/>
                <w:lang w:eastAsia="fr-FR"/>
              </w:rPr>
              <w:t>1392</w:t>
            </w:r>
          </w:p>
        </w:tc>
        <w:tc>
          <w:tcPr>
            <w:tcW w:w="791" w:type="dxa"/>
            <w:tcBorders>
              <w:top w:val="nil"/>
              <w:left w:val="nil"/>
              <w:bottom w:val="single" w:sz="8" w:space="0" w:color="auto"/>
              <w:right w:val="nil"/>
            </w:tcBorders>
            <w:vAlign w:val="center"/>
            <w:hideMark/>
          </w:tcPr>
          <w:p w:rsidR="00C6044A" w:rsidRDefault="00C6044A" w:rsidP="00DC0975">
            <w:pPr>
              <w:jc w:val="center"/>
              <w:rPr>
                <w:color w:val="000000"/>
                <w:sz w:val="18"/>
                <w:szCs w:val="18"/>
                <w:lang w:eastAsia="fr-FR"/>
              </w:rPr>
            </w:pPr>
            <w:r>
              <w:rPr>
                <w:color w:val="000000"/>
                <w:sz w:val="18"/>
                <w:szCs w:val="18"/>
                <w:lang w:eastAsia="fr-FR"/>
              </w:rPr>
              <w:t>5%</w:t>
            </w:r>
          </w:p>
        </w:tc>
        <w:tc>
          <w:tcPr>
            <w:tcW w:w="771" w:type="dxa"/>
            <w:tcBorders>
              <w:top w:val="nil"/>
              <w:left w:val="single" w:sz="8" w:space="0" w:color="auto"/>
              <w:bottom w:val="single" w:sz="8" w:space="0" w:color="auto"/>
              <w:right w:val="single" w:sz="4" w:space="0" w:color="auto"/>
            </w:tcBorders>
            <w:vAlign w:val="center"/>
            <w:hideMark/>
          </w:tcPr>
          <w:p w:rsidR="00C6044A" w:rsidRDefault="00C6044A" w:rsidP="00DC0975">
            <w:pPr>
              <w:jc w:val="center"/>
              <w:rPr>
                <w:color w:val="000000"/>
                <w:sz w:val="18"/>
                <w:szCs w:val="18"/>
                <w:lang w:eastAsia="fr-FR"/>
              </w:rPr>
            </w:pPr>
            <w:r>
              <w:rPr>
                <w:color w:val="000000"/>
                <w:sz w:val="18"/>
                <w:szCs w:val="18"/>
                <w:lang w:eastAsia="fr-FR"/>
              </w:rPr>
              <w:t>3823</w:t>
            </w:r>
          </w:p>
        </w:tc>
        <w:tc>
          <w:tcPr>
            <w:tcW w:w="725" w:type="dxa"/>
            <w:tcBorders>
              <w:top w:val="nil"/>
              <w:left w:val="nil"/>
              <w:bottom w:val="single" w:sz="8" w:space="0" w:color="auto"/>
              <w:right w:val="single" w:sz="8" w:space="0" w:color="auto"/>
            </w:tcBorders>
            <w:vAlign w:val="center"/>
            <w:hideMark/>
          </w:tcPr>
          <w:p w:rsidR="00C6044A" w:rsidRDefault="00C6044A" w:rsidP="00DC0975">
            <w:pPr>
              <w:jc w:val="center"/>
              <w:rPr>
                <w:color w:val="000000"/>
                <w:sz w:val="18"/>
                <w:szCs w:val="18"/>
                <w:lang w:eastAsia="fr-FR"/>
              </w:rPr>
            </w:pPr>
            <w:r>
              <w:rPr>
                <w:color w:val="000000"/>
                <w:sz w:val="18"/>
                <w:szCs w:val="18"/>
                <w:lang w:eastAsia="fr-FR"/>
              </w:rPr>
              <w:t>13%</w:t>
            </w:r>
          </w:p>
        </w:tc>
        <w:tc>
          <w:tcPr>
            <w:tcW w:w="965" w:type="dxa"/>
            <w:tcBorders>
              <w:top w:val="single" w:sz="8" w:space="0" w:color="auto"/>
              <w:left w:val="nil"/>
              <w:bottom w:val="single" w:sz="8" w:space="0" w:color="auto"/>
              <w:right w:val="single" w:sz="8" w:space="0" w:color="auto"/>
            </w:tcBorders>
            <w:vAlign w:val="center"/>
            <w:hideMark/>
          </w:tcPr>
          <w:p w:rsidR="00C6044A" w:rsidRDefault="00C6044A" w:rsidP="00DC0975">
            <w:pPr>
              <w:jc w:val="center"/>
              <w:rPr>
                <w:color w:val="000000"/>
                <w:sz w:val="18"/>
                <w:szCs w:val="18"/>
                <w:lang w:eastAsia="fr-FR"/>
              </w:rPr>
            </w:pPr>
            <w:r>
              <w:rPr>
                <w:color w:val="000000"/>
                <w:sz w:val="18"/>
                <w:szCs w:val="18"/>
                <w:lang w:eastAsia="fr-FR"/>
              </w:rPr>
              <w:t>29483</w:t>
            </w:r>
          </w:p>
        </w:tc>
      </w:tr>
    </w:tbl>
    <w:p w:rsidR="00C6044A" w:rsidRPr="00C6044A" w:rsidRDefault="00C6044A" w:rsidP="00C6044A">
      <w:pPr>
        <w:rPr>
          <w:i/>
          <w:sz w:val="18"/>
          <w:szCs w:val="18"/>
        </w:rPr>
      </w:pPr>
      <w:r>
        <w:rPr>
          <w:i/>
          <w:sz w:val="18"/>
          <w:szCs w:val="18"/>
        </w:rPr>
        <w:t>(</w:t>
      </w:r>
      <w:r>
        <w:rPr>
          <w:b/>
          <w:i/>
          <w:sz w:val="18"/>
          <w:szCs w:val="18"/>
        </w:rPr>
        <w:t>Source</w:t>
      </w:r>
      <w:r>
        <w:rPr>
          <w:i/>
          <w:sz w:val="18"/>
          <w:szCs w:val="18"/>
        </w:rPr>
        <w:t xml:space="preserve"> : </w:t>
      </w:r>
      <w:r>
        <w:rPr>
          <w:b/>
          <w:i/>
          <w:sz w:val="18"/>
          <w:szCs w:val="18"/>
        </w:rPr>
        <w:t>INE, RGPH,</w:t>
      </w:r>
      <w:r>
        <w:rPr>
          <w:i/>
          <w:sz w:val="18"/>
          <w:szCs w:val="18"/>
        </w:rPr>
        <w:t xml:space="preserve"> 2009)</w:t>
      </w:r>
    </w:p>
    <w:p w:rsidR="00C6044A" w:rsidRPr="00C6044A" w:rsidRDefault="00C6044A" w:rsidP="00FA3FAE">
      <w:pPr>
        <w:pStyle w:val="PargrafodaLista"/>
        <w:numPr>
          <w:ilvl w:val="0"/>
          <w:numId w:val="60"/>
        </w:numPr>
        <w:spacing w:before="100" w:beforeAutospacing="1" w:after="100" w:afterAutospacing="1" w:line="240" w:lineRule="auto"/>
        <w:jc w:val="both"/>
        <w:rPr>
          <w:rFonts w:ascii="Times New Roman" w:eastAsia="Times New Roman" w:hAnsi="Times New Roman"/>
          <w:b/>
          <w:color w:val="000000"/>
          <w:sz w:val="24"/>
          <w:szCs w:val="24"/>
          <w:lang w:val="fr-FR" w:eastAsia="fr-FR"/>
        </w:rPr>
      </w:pPr>
      <w:r w:rsidRPr="00C6044A">
        <w:rPr>
          <w:rFonts w:ascii="Times New Roman" w:eastAsia="Times New Roman" w:hAnsi="Times New Roman"/>
          <w:b/>
          <w:color w:val="000000"/>
          <w:sz w:val="24"/>
          <w:szCs w:val="24"/>
          <w:lang w:val="fr-FR" w:eastAsia="fr-FR"/>
        </w:rPr>
        <w:t>Indice de pauvreté</w:t>
      </w:r>
    </w:p>
    <w:p w:rsidR="00C6044A" w:rsidRPr="00C6044A" w:rsidRDefault="00C6044A" w:rsidP="00C6044A">
      <w:pPr>
        <w:spacing w:line="240" w:lineRule="auto"/>
        <w:jc w:val="both"/>
        <w:rPr>
          <w:rFonts w:ascii="Times New Roman" w:hAnsi="Times New Roman" w:cs="Times New Roman"/>
          <w:sz w:val="24"/>
          <w:szCs w:val="24"/>
        </w:rPr>
      </w:pPr>
      <w:r w:rsidRPr="00C6044A">
        <w:rPr>
          <w:rFonts w:ascii="Times New Roman" w:hAnsi="Times New Roman" w:cs="Times New Roman"/>
          <w:sz w:val="24"/>
          <w:szCs w:val="24"/>
        </w:rPr>
        <w:t>La Guinée Bissau est l’un des pays les plus pauvres au monde : 80% de la population vivent en dessous du seuil de pauvreté. Selon l’</w:t>
      </w:r>
      <w:hyperlink r:id="rId99" w:tgtFrame="_blank" w:history="1">
        <w:r w:rsidRPr="00C6044A">
          <w:rPr>
            <w:rFonts w:ascii="Times New Roman" w:hAnsi="Times New Roman" w:cs="Times New Roman"/>
            <w:sz w:val="24"/>
            <w:szCs w:val="24"/>
          </w:rPr>
          <w:t>Indice de Développement Humain</w:t>
        </w:r>
      </w:hyperlink>
      <w:r w:rsidRPr="00C6044A">
        <w:rPr>
          <w:rFonts w:ascii="Times New Roman" w:hAnsi="Times New Roman" w:cs="Times New Roman"/>
          <w:sz w:val="24"/>
          <w:szCs w:val="24"/>
        </w:rPr>
        <w:t xml:space="preserve"> des Nations Unies, la Guinée Bissau figure parmi les pays les plus mal classés (178e sur 188 pays). Il doit aussi affronter un défi démographique important, alors que la population devrait doubler d’ici 2050 et que le pays fait face à des inégalités croissantes.</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5853"/>
        <w:gridCol w:w="592"/>
        <w:gridCol w:w="659"/>
        <w:gridCol w:w="659"/>
        <w:gridCol w:w="1000"/>
        <w:gridCol w:w="730"/>
      </w:tblGrid>
      <w:tr w:rsidR="00C6044A" w:rsidRPr="00C6044A" w:rsidTr="00C6044A">
        <w:trPr>
          <w:tblHeader/>
        </w:trPr>
        <w:tc>
          <w:tcPr>
            <w:tcW w:w="5853" w:type="dxa"/>
            <w:tcBorders>
              <w:top w:val="single" w:sz="4" w:space="0" w:color="auto"/>
              <w:left w:val="single" w:sz="4" w:space="0" w:color="auto"/>
              <w:bottom w:val="single" w:sz="4" w:space="0" w:color="auto"/>
              <w:right w:val="single" w:sz="4" w:space="0" w:color="auto"/>
            </w:tcBorders>
            <w:shd w:val="clear" w:color="auto" w:fill="DEEAF6" w:themeFill="accent1" w:themeFillTint="33"/>
            <w:tcMar>
              <w:top w:w="15" w:type="dxa"/>
              <w:left w:w="15" w:type="dxa"/>
              <w:bottom w:w="15" w:type="dxa"/>
              <w:right w:w="15" w:type="dxa"/>
            </w:tcMar>
            <w:vAlign w:val="center"/>
            <w:hideMark/>
          </w:tcPr>
          <w:p w:rsidR="00C6044A" w:rsidRPr="00C6044A" w:rsidRDefault="00C6044A" w:rsidP="00C6044A">
            <w:pPr>
              <w:spacing w:after="0"/>
              <w:rPr>
                <w:rFonts w:ascii="Times New Roman" w:hAnsi="Times New Roman" w:cs="Times New Roman"/>
                <w:b/>
                <w:bCs/>
                <w:sz w:val="20"/>
                <w:szCs w:val="20"/>
                <w:lang w:eastAsia="fr-FR"/>
              </w:rPr>
            </w:pPr>
            <w:r w:rsidRPr="00C6044A">
              <w:rPr>
                <w:rFonts w:ascii="Times New Roman" w:hAnsi="Times New Roman" w:cs="Times New Roman"/>
                <w:b/>
                <w:bCs/>
                <w:sz w:val="20"/>
                <w:szCs w:val="20"/>
                <w:lang w:eastAsia="fr-FR"/>
              </w:rPr>
              <w:t>Indicateurs de croissance</w:t>
            </w:r>
          </w:p>
        </w:tc>
        <w:tc>
          <w:tcPr>
            <w:tcW w:w="592" w:type="dxa"/>
            <w:tcBorders>
              <w:top w:val="single" w:sz="4" w:space="0" w:color="auto"/>
              <w:left w:val="single" w:sz="4" w:space="0" w:color="auto"/>
              <w:bottom w:val="single" w:sz="4" w:space="0" w:color="auto"/>
              <w:right w:val="single" w:sz="4" w:space="0" w:color="auto"/>
            </w:tcBorders>
            <w:shd w:val="clear" w:color="auto" w:fill="DEEAF6" w:themeFill="accent1" w:themeFillTint="33"/>
            <w:tcMar>
              <w:top w:w="15" w:type="dxa"/>
              <w:left w:w="15" w:type="dxa"/>
              <w:bottom w:w="15" w:type="dxa"/>
              <w:right w:w="15" w:type="dxa"/>
            </w:tcMar>
            <w:vAlign w:val="center"/>
            <w:hideMark/>
          </w:tcPr>
          <w:p w:rsidR="00C6044A" w:rsidRPr="00C6044A" w:rsidRDefault="00C6044A" w:rsidP="00C6044A">
            <w:pPr>
              <w:spacing w:after="0"/>
              <w:jc w:val="center"/>
              <w:rPr>
                <w:rFonts w:ascii="Times New Roman" w:hAnsi="Times New Roman" w:cs="Times New Roman"/>
                <w:b/>
                <w:bCs/>
                <w:sz w:val="20"/>
                <w:szCs w:val="20"/>
                <w:lang w:eastAsia="fr-FR"/>
              </w:rPr>
            </w:pPr>
            <w:r w:rsidRPr="00C6044A">
              <w:rPr>
                <w:rFonts w:ascii="Times New Roman" w:hAnsi="Times New Roman" w:cs="Times New Roman"/>
                <w:b/>
                <w:bCs/>
                <w:sz w:val="20"/>
                <w:szCs w:val="20"/>
                <w:lang w:eastAsia="fr-FR"/>
              </w:rPr>
              <w:t>2015</w:t>
            </w:r>
          </w:p>
        </w:tc>
        <w:tc>
          <w:tcPr>
            <w:tcW w:w="659" w:type="dxa"/>
            <w:tcBorders>
              <w:top w:val="single" w:sz="4" w:space="0" w:color="auto"/>
              <w:left w:val="single" w:sz="4" w:space="0" w:color="auto"/>
              <w:bottom w:val="single" w:sz="4" w:space="0" w:color="auto"/>
              <w:right w:val="single" w:sz="4" w:space="0" w:color="auto"/>
            </w:tcBorders>
            <w:shd w:val="clear" w:color="auto" w:fill="DEEAF6" w:themeFill="accent1" w:themeFillTint="33"/>
            <w:tcMar>
              <w:top w:w="15" w:type="dxa"/>
              <w:left w:w="15" w:type="dxa"/>
              <w:bottom w:w="15" w:type="dxa"/>
              <w:right w:w="15" w:type="dxa"/>
            </w:tcMar>
            <w:vAlign w:val="center"/>
            <w:hideMark/>
          </w:tcPr>
          <w:p w:rsidR="00C6044A" w:rsidRPr="00C6044A" w:rsidRDefault="00C6044A" w:rsidP="00C6044A">
            <w:pPr>
              <w:spacing w:after="0"/>
              <w:jc w:val="center"/>
              <w:rPr>
                <w:rFonts w:ascii="Times New Roman" w:hAnsi="Times New Roman" w:cs="Times New Roman"/>
                <w:b/>
                <w:bCs/>
                <w:sz w:val="20"/>
                <w:szCs w:val="20"/>
                <w:lang w:eastAsia="fr-FR"/>
              </w:rPr>
            </w:pPr>
            <w:r w:rsidRPr="00C6044A">
              <w:rPr>
                <w:rFonts w:ascii="Times New Roman" w:hAnsi="Times New Roman" w:cs="Times New Roman"/>
                <w:b/>
                <w:bCs/>
                <w:sz w:val="20"/>
                <w:szCs w:val="20"/>
                <w:lang w:eastAsia="fr-FR"/>
              </w:rPr>
              <w:t>2016</w:t>
            </w:r>
          </w:p>
        </w:tc>
        <w:tc>
          <w:tcPr>
            <w:tcW w:w="659" w:type="dxa"/>
            <w:tcBorders>
              <w:top w:val="single" w:sz="4" w:space="0" w:color="auto"/>
              <w:left w:val="single" w:sz="4" w:space="0" w:color="auto"/>
              <w:bottom w:val="single" w:sz="4" w:space="0" w:color="auto"/>
              <w:right w:val="single" w:sz="4" w:space="0" w:color="auto"/>
            </w:tcBorders>
            <w:shd w:val="clear" w:color="auto" w:fill="DEEAF6" w:themeFill="accent1" w:themeFillTint="33"/>
            <w:tcMar>
              <w:top w:w="15" w:type="dxa"/>
              <w:left w:w="15" w:type="dxa"/>
              <w:bottom w:w="15" w:type="dxa"/>
              <w:right w:w="15" w:type="dxa"/>
            </w:tcMar>
            <w:vAlign w:val="center"/>
            <w:hideMark/>
          </w:tcPr>
          <w:p w:rsidR="00C6044A" w:rsidRPr="00C6044A" w:rsidRDefault="00C6044A" w:rsidP="00C6044A">
            <w:pPr>
              <w:spacing w:after="0"/>
              <w:jc w:val="center"/>
              <w:rPr>
                <w:rFonts w:ascii="Times New Roman" w:hAnsi="Times New Roman" w:cs="Times New Roman"/>
                <w:b/>
                <w:bCs/>
                <w:sz w:val="20"/>
                <w:szCs w:val="20"/>
                <w:lang w:eastAsia="fr-FR"/>
              </w:rPr>
            </w:pPr>
            <w:r w:rsidRPr="00C6044A">
              <w:rPr>
                <w:rFonts w:ascii="Times New Roman" w:hAnsi="Times New Roman" w:cs="Times New Roman"/>
                <w:b/>
                <w:bCs/>
                <w:sz w:val="20"/>
                <w:szCs w:val="20"/>
                <w:lang w:eastAsia="fr-FR"/>
              </w:rPr>
              <w:t>2017</w:t>
            </w:r>
          </w:p>
        </w:tc>
        <w:tc>
          <w:tcPr>
            <w:tcW w:w="1000" w:type="dxa"/>
            <w:tcBorders>
              <w:top w:val="single" w:sz="4" w:space="0" w:color="auto"/>
              <w:left w:val="single" w:sz="4" w:space="0" w:color="auto"/>
              <w:bottom w:val="single" w:sz="4" w:space="0" w:color="auto"/>
              <w:right w:val="single" w:sz="4" w:space="0" w:color="auto"/>
            </w:tcBorders>
            <w:shd w:val="clear" w:color="auto" w:fill="DEEAF6" w:themeFill="accent1" w:themeFillTint="33"/>
            <w:tcMar>
              <w:top w:w="15" w:type="dxa"/>
              <w:left w:w="15" w:type="dxa"/>
              <w:bottom w:w="15" w:type="dxa"/>
              <w:right w:w="15" w:type="dxa"/>
            </w:tcMar>
            <w:vAlign w:val="center"/>
            <w:hideMark/>
          </w:tcPr>
          <w:p w:rsidR="00C6044A" w:rsidRPr="00C6044A" w:rsidRDefault="00C6044A" w:rsidP="00C6044A">
            <w:pPr>
              <w:spacing w:after="0"/>
              <w:jc w:val="center"/>
              <w:rPr>
                <w:rFonts w:ascii="Times New Roman" w:hAnsi="Times New Roman" w:cs="Times New Roman"/>
                <w:b/>
                <w:bCs/>
                <w:sz w:val="20"/>
                <w:szCs w:val="20"/>
                <w:lang w:eastAsia="fr-FR"/>
              </w:rPr>
            </w:pPr>
            <w:r w:rsidRPr="00C6044A">
              <w:rPr>
                <w:rFonts w:ascii="Times New Roman" w:hAnsi="Times New Roman" w:cs="Times New Roman"/>
                <w:b/>
                <w:bCs/>
                <w:sz w:val="20"/>
                <w:szCs w:val="20"/>
                <w:lang w:eastAsia="fr-FR"/>
              </w:rPr>
              <w:t>2018 (e)</w:t>
            </w:r>
          </w:p>
        </w:tc>
        <w:tc>
          <w:tcPr>
            <w:tcW w:w="730" w:type="dxa"/>
            <w:tcBorders>
              <w:top w:val="single" w:sz="4" w:space="0" w:color="auto"/>
              <w:left w:val="single" w:sz="4" w:space="0" w:color="auto"/>
              <w:bottom w:val="single" w:sz="4" w:space="0" w:color="auto"/>
              <w:right w:val="single" w:sz="4" w:space="0" w:color="auto"/>
            </w:tcBorders>
            <w:shd w:val="clear" w:color="auto" w:fill="DEEAF6" w:themeFill="accent1" w:themeFillTint="33"/>
            <w:tcMar>
              <w:top w:w="15" w:type="dxa"/>
              <w:left w:w="15" w:type="dxa"/>
              <w:bottom w:w="15" w:type="dxa"/>
              <w:right w:w="15" w:type="dxa"/>
            </w:tcMar>
            <w:vAlign w:val="center"/>
            <w:hideMark/>
          </w:tcPr>
          <w:p w:rsidR="00C6044A" w:rsidRPr="00C6044A" w:rsidRDefault="00C6044A" w:rsidP="00C6044A">
            <w:pPr>
              <w:spacing w:after="0"/>
              <w:jc w:val="center"/>
              <w:rPr>
                <w:rFonts w:ascii="Times New Roman" w:hAnsi="Times New Roman" w:cs="Times New Roman"/>
                <w:b/>
                <w:bCs/>
                <w:sz w:val="20"/>
                <w:szCs w:val="20"/>
                <w:lang w:eastAsia="fr-FR"/>
              </w:rPr>
            </w:pPr>
            <w:r w:rsidRPr="00C6044A">
              <w:rPr>
                <w:rFonts w:ascii="Times New Roman" w:hAnsi="Times New Roman" w:cs="Times New Roman"/>
                <w:b/>
                <w:bCs/>
                <w:sz w:val="20"/>
                <w:szCs w:val="20"/>
                <w:lang w:eastAsia="fr-FR"/>
              </w:rPr>
              <w:t>2019 (e)</w:t>
            </w:r>
          </w:p>
        </w:tc>
      </w:tr>
      <w:tr w:rsidR="00C6044A" w:rsidRPr="00C6044A" w:rsidTr="00C6044A">
        <w:tc>
          <w:tcPr>
            <w:tcW w:w="0" w:type="auto"/>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right w:w="15" w:type="dxa"/>
            </w:tcMar>
            <w:vAlign w:val="center"/>
            <w:hideMark/>
          </w:tcPr>
          <w:p w:rsidR="00C6044A" w:rsidRPr="00C6044A" w:rsidRDefault="00C6044A" w:rsidP="00C6044A">
            <w:pPr>
              <w:spacing w:after="0"/>
              <w:rPr>
                <w:rFonts w:ascii="Times New Roman" w:hAnsi="Times New Roman" w:cs="Times New Roman"/>
                <w:bCs/>
                <w:sz w:val="20"/>
                <w:szCs w:val="20"/>
                <w:lang w:eastAsia="fr-FR"/>
              </w:rPr>
            </w:pPr>
            <w:r w:rsidRPr="00C6044A">
              <w:rPr>
                <w:rFonts w:ascii="Times New Roman" w:hAnsi="Times New Roman" w:cs="Times New Roman"/>
                <w:bCs/>
                <w:sz w:val="20"/>
                <w:szCs w:val="20"/>
                <w:lang w:eastAsia="fr-FR"/>
              </w:rPr>
              <w:t>PIB (milliards USD)</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vAlign w:val="center"/>
            <w:hideMark/>
          </w:tcPr>
          <w:p w:rsidR="00C6044A" w:rsidRPr="00C6044A" w:rsidRDefault="00C6044A" w:rsidP="00C6044A">
            <w:pPr>
              <w:spacing w:after="0"/>
              <w:jc w:val="center"/>
              <w:rPr>
                <w:rFonts w:ascii="Times New Roman" w:hAnsi="Times New Roman" w:cs="Times New Roman"/>
                <w:sz w:val="20"/>
                <w:szCs w:val="20"/>
                <w:lang w:eastAsia="fr-FR"/>
              </w:rPr>
            </w:pPr>
            <w:r w:rsidRPr="00C6044A">
              <w:rPr>
                <w:rFonts w:ascii="Times New Roman" w:hAnsi="Times New Roman" w:cs="Times New Roman"/>
                <w:sz w:val="20"/>
                <w:szCs w:val="20"/>
                <w:lang w:eastAsia="fr-FR"/>
              </w:rPr>
              <w:t>1,04</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vAlign w:val="center"/>
            <w:hideMark/>
          </w:tcPr>
          <w:p w:rsidR="00C6044A" w:rsidRPr="00C6044A" w:rsidRDefault="00C6044A" w:rsidP="00C6044A">
            <w:pPr>
              <w:spacing w:after="0"/>
              <w:jc w:val="center"/>
              <w:rPr>
                <w:rFonts w:ascii="Times New Roman" w:hAnsi="Times New Roman" w:cs="Times New Roman"/>
                <w:sz w:val="20"/>
                <w:szCs w:val="20"/>
                <w:lang w:eastAsia="fr-FR"/>
              </w:rPr>
            </w:pPr>
            <w:r w:rsidRPr="00C6044A">
              <w:rPr>
                <w:rFonts w:ascii="Times New Roman" w:hAnsi="Times New Roman" w:cs="Times New Roman"/>
                <w:sz w:val="20"/>
                <w:szCs w:val="20"/>
                <w:lang w:eastAsia="fr-FR"/>
              </w:rPr>
              <w:t>1,15</w:t>
            </w:r>
            <w:r w:rsidRPr="00C6044A">
              <w:rPr>
                <w:rFonts w:ascii="Times New Roman" w:hAnsi="Times New Roman" w:cs="Times New Roman"/>
                <w:sz w:val="20"/>
                <w:szCs w:val="20"/>
                <w:bdr w:val="none" w:sz="0" w:space="0" w:color="auto" w:frame="1"/>
                <w:lang w:eastAsia="fr-FR"/>
              </w:rPr>
              <w:t>e</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vAlign w:val="center"/>
            <w:hideMark/>
          </w:tcPr>
          <w:p w:rsidR="00C6044A" w:rsidRPr="00C6044A" w:rsidRDefault="00C6044A" w:rsidP="00C6044A">
            <w:pPr>
              <w:spacing w:after="0"/>
              <w:jc w:val="center"/>
              <w:rPr>
                <w:rFonts w:ascii="Times New Roman" w:hAnsi="Times New Roman" w:cs="Times New Roman"/>
                <w:sz w:val="20"/>
                <w:szCs w:val="20"/>
                <w:lang w:eastAsia="fr-FR"/>
              </w:rPr>
            </w:pPr>
            <w:r w:rsidRPr="00C6044A">
              <w:rPr>
                <w:rFonts w:ascii="Times New Roman" w:hAnsi="Times New Roman" w:cs="Times New Roman"/>
                <w:sz w:val="20"/>
                <w:szCs w:val="20"/>
                <w:lang w:eastAsia="fr-FR"/>
              </w:rPr>
              <w:t>1,30</w:t>
            </w:r>
            <w:r w:rsidRPr="00C6044A">
              <w:rPr>
                <w:rFonts w:ascii="Times New Roman" w:hAnsi="Times New Roman" w:cs="Times New Roman"/>
                <w:sz w:val="20"/>
                <w:szCs w:val="20"/>
                <w:bdr w:val="none" w:sz="0" w:space="0" w:color="auto" w:frame="1"/>
                <w:lang w:eastAsia="fr-FR"/>
              </w:rPr>
              <w:t>e</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vAlign w:val="center"/>
            <w:hideMark/>
          </w:tcPr>
          <w:p w:rsidR="00C6044A" w:rsidRPr="00C6044A" w:rsidRDefault="00C6044A" w:rsidP="00C6044A">
            <w:pPr>
              <w:spacing w:after="0"/>
              <w:jc w:val="center"/>
              <w:rPr>
                <w:rFonts w:ascii="Times New Roman" w:hAnsi="Times New Roman" w:cs="Times New Roman"/>
                <w:sz w:val="20"/>
                <w:szCs w:val="20"/>
                <w:lang w:eastAsia="fr-FR"/>
              </w:rPr>
            </w:pPr>
            <w:r w:rsidRPr="00C6044A">
              <w:rPr>
                <w:rFonts w:ascii="Times New Roman" w:hAnsi="Times New Roman" w:cs="Times New Roman"/>
                <w:sz w:val="20"/>
                <w:szCs w:val="20"/>
                <w:lang w:eastAsia="fr-FR"/>
              </w:rPr>
              <w:t>1,45</w:t>
            </w:r>
          </w:p>
        </w:tc>
        <w:tc>
          <w:tcPr>
            <w:tcW w:w="730" w:type="dxa"/>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vAlign w:val="center"/>
            <w:hideMark/>
          </w:tcPr>
          <w:p w:rsidR="00C6044A" w:rsidRPr="00C6044A" w:rsidRDefault="00C6044A" w:rsidP="00C6044A">
            <w:pPr>
              <w:spacing w:after="0"/>
              <w:jc w:val="center"/>
              <w:rPr>
                <w:rFonts w:ascii="Times New Roman" w:hAnsi="Times New Roman" w:cs="Times New Roman"/>
                <w:sz w:val="20"/>
                <w:szCs w:val="20"/>
                <w:lang w:eastAsia="fr-FR"/>
              </w:rPr>
            </w:pPr>
            <w:r w:rsidRPr="00C6044A">
              <w:rPr>
                <w:rFonts w:ascii="Times New Roman" w:hAnsi="Times New Roman" w:cs="Times New Roman"/>
                <w:sz w:val="20"/>
                <w:szCs w:val="20"/>
                <w:lang w:eastAsia="fr-FR"/>
              </w:rPr>
              <w:t>1,56</w:t>
            </w:r>
          </w:p>
        </w:tc>
      </w:tr>
      <w:tr w:rsidR="00C6044A" w:rsidRPr="00C6044A" w:rsidTr="00C6044A">
        <w:tc>
          <w:tcPr>
            <w:tcW w:w="0" w:type="auto"/>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right w:w="15" w:type="dxa"/>
            </w:tcMar>
            <w:vAlign w:val="center"/>
            <w:hideMark/>
          </w:tcPr>
          <w:p w:rsidR="00C6044A" w:rsidRPr="00C6044A" w:rsidRDefault="00C6044A" w:rsidP="00C6044A">
            <w:pPr>
              <w:spacing w:after="0"/>
              <w:rPr>
                <w:rFonts w:ascii="Times New Roman" w:hAnsi="Times New Roman" w:cs="Times New Roman"/>
                <w:bCs/>
                <w:sz w:val="20"/>
                <w:szCs w:val="20"/>
                <w:lang w:eastAsia="fr-FR"/>
              </w:rPr>
            </w:pPr>
            <w:r w:rsidRPr="00C6044A">
              <w:rPr>
                <w:rFonts w:ascii="Times New Roman" w:hAnsi="Times New Roman" w:cs="Times New Roman"/>
                <w:bCs/>
                <w:sz w:val="20"/>
                <w:szCs w:val="20"/>
                <w:lang w:eastAsia="fr-FR"/>
              </w:rPr>
              <w:t>PIB (croissance annuelle en %, prix constant)</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vAlign w:val="center"/>
            <w:hideMark/>
          </w:tcPr>
          <w:p w:rsidR="00C6044A" w:rsidRPr="00C6044A" w:rsidRDefault="00C6044A" w:rsidP="00C6044A">
            <w:pPr>
              <w:spacing w:after="0"/>
              <w:jc w:val="center"/>
              <w:rPr>
                <w:rFonts w:ascii="Times New Roman" w:hAnsi="Times New Roman" w:cs="Times New Roman"/>
                <w:sz w:val="20"/>
                <w:szCs w:val="20"/>
                <w:lang w:val="en-US" w:eastAsia="fr-FR"/>
              </w:rPr>
            </w:pPr>
            <w:r w:rsidRPr="00C6044A">
              <w:rPr>
                <w:rFonts w:ascii="Times New Roman" w:hAnsi="Times New Roman" w:cs="Times New Roman"/>
                <w:sz w:val="20"/>
                <w:szCs w:val="20"/>
                <w:lang w:eastAsia="fr-FR"/>
              </w:rPr>
              <w:t>5,1</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vAlign w:val="center"/>
            <w:hideMark/>
          </w:tcPr>
          <w:p w:rsidR="00C6044A" w:rsidRPr="00C6044A" w:rsidRDefault="00C6044A" w:rsidP="00C6044A">
            <w:pPr>
              <w:spacing w:after="0"/>
              <w:jc w:val="center"/>
              <w:rPr>
                <w:rFonts w:ascii="Times New Roman" w:hAnsi="Times New Roman" w:cs="Times New Roman"/>
                <w:sz w:val="20"/>
                <w:szCs w:val="20"/>
                <w:lang w:eastAsia="fr-FR"/>
              </w:rPr>
            </w:pPr>
            <w:r w:rsidRPr="00C6044A">
              <w:rPr>
                <w:rFonts w:ascii="Times New Roman" w:hAnsi="Times New Roman" w:cs="Times New Roman"/>
                <w:sz w:val="20"/>
                <w:szCs w:val="20"/>
                <w:lang w:eastAsia="fr-FR"/>
              </w:rPr>
              <w:t>5,1</w:t>
            </w:r>
            <w:r w:rsidRPr="00C6044A">
              <w:rPr>
                <w:rFonts w:ascii="Times New Roman" w:hAnsi="Times New Roman" w:cs="Times New Roman"/>
                <w:sz w:val="20"/>
                <w:szCs w:val="20"/>
                <w:bdr w:val="none" w:sz="0" w:space="0" w:color="auto" w:frame="1"/>
                <w:lang w:eastAsia="fr-FR"/>
              </w:rPr>
              <w:t>e</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vAlign w:val="center"/>
            <w:hideMark/>
          </w:tcPr>
          <w:p w:rsidR="00C6044A" w:rsidRPr="00C6044A" w:rsidRDefault="00C6044A" w:rsidP="00C6044A">
            <w:pPr>
              <w:spacing w:after="0"/>
              <w:jc w:val="center"/>
              <w:rPr>
                <w:rFonts w:ascii="Times New Roman" w:hAnsi="Times New Roman" w:cs="Times New Roman"/>
                <w:sz w:val="20"/>
                <w:szCs w:val="20"/>
                <w:lang w:eastAsia="fr-FR"/>
              </w:rPr>
            </w:pPr>
            <w:r w:rsidRPr="00C6044A">
              <w:rPr>
                <w:rFonts w:ascii="Times New Roman" w:hAnsi="Times New Roman" w:cs="Times New Roman"/>
                <w:sz w:val="20"/>
                <w:szCs w:val="20"/>
                <w:lang w:eastAsia="fr-FR"/>
              </w:rPr>
              <w:t>5,0</w:t>
            </w:r>
            <w:r w:rsidRPr="00C6044A">
              <w:rPr>
                <w:rFonts w:ascii="Times New Roman" w:hAnsi="Times New Roman" w:cs="Times New Roman"/>
                <w:sz w:val="20"/>
                <w:szCs w:val="20"/>
                <w:bdr w:val="none" w:sz="0" w:space="0" w:color="auto" w:frame="1"/>
                <w:lang w:eastAsia="fr-FR"/>
              </w:rPr>
              <w:t>e</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vAlign w:val="center"/>
            <w:hideMark/>
          </w:tcPr>
          <w:p w:rsidR="00C6044A" w:rsidRPr="00C6044A" w:rsidRDefault="00C6044A" w:rsidP="00C6044A">
            <w:pPr>
              <w:spacing w:after="0"/>
              <w:jc w:val="center"/>
              <w:rPr>
                <w:rFonts w:ascii="Times New Roman" w:hAnsi="Times New Roman" w:cs="Times New Roman"/>
                <w:sz w:val="20"/>
                <w:szCs w:val="20"/>
                <w:lang w:eastAsia="fr-FR"/>
              </w:rPr>
            </w:pPr>
            <w:r w:rsidRPr="00C6044A">
              <w:rPr>
                <w:rFonts w:ascii="Times New Roman" w:hAnsi="Times New Roman" w:cs="Times New Roman"/>
                <w:sz w:val="20"/>
                <w:szCs w:val="20"/>
                <w:lang w:eastAsia="fr-FR"/>
              </w:rPr>
              <w:t>5,0</w:t>
            </w:r>
          </w:p>
        </w:tc>
        <w:tc>
          <w:tcPr>
            <w:tcW w:w="730" w:type="dxa"/>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vAlign w:val="center"/>
            <w:hideMark/>
          </w:tcPr>
          <w:p w:rsidR="00C6044A" w:rsidRPr="00C6044A" w:rsidRDefault="00C6044A" w:rsidP="00C6044A">
            <w:pPr>
              <w:spacing w:after="0"/>
              <w:jc w:val="center"/>
              <w:rPr>
                <w:rFonts w:ascii="Times New Roman" w:hAnsi="Times New Roman" w:cs="Times New Roman"/>
                <w:sz w:val="20"/>
                <w:szCs w:val="20"/>
                <w:lang w:eastAsia="fr-FR"/>
              </w:rPr>
            </w:pPr>
            <w:r w:rsidRPr="00C6044A">
              <w:rPr>
                <w:rFonts w:ascii="Times New Roman" w:hAnsi="Times New Roman" w:cs="Times New Roman"/>
                <w:sz w:val="20"/>
                <w:szCs w:val="20"/>
                <w:lang w:eastAsia="fr-FR"/>
              </w:rPr>
              <w:t>5,0</w:t>
            </w:r>
          </w:p>
        </w:tc>
      </w:tr>
      <w:tr w:rsidR="00C6044A" w:rsidRPr="00C6044A" w:rsidTr="00C6044A">
        <w:tc>
          <w:tcPr>
            <w:tcW w:w="0" w:type="auto"/>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right w:w="15" w:type="dxa"/>
            </w:tcMar>
            <w:vAlign w:val="center"/>
            <w:hideMark/>
          </w:tcPr>
          <w:p w:rsidR="00C6044A" w:rsidRPr="00C6044A" w:rsidRDefault="00C6044A" w:rsidP="00C6044A">
            <w:pPr>
              <w:spacing w:after="0"/>
              <w:rPr>
                <w:rFonts w:ascii="Times New Roman" w:hAnsi="Times New Roman" w:cs="Times New Roman"/>
                <w:bCs/>
                <w:sz w:val="20"/>
                <w:szCs w:val="20"/>
                <w:lang w:eastAsia="fr-FR"/>
              </w:rPr>
            </w:pPr>
            <w:r w:rsidRPr="00C6044A">
              <w:rPr>
                <w:rFonts w:ascii="Times New Roman" w:hAnsi="Times New Roman" w:cs="Times New Roman"/>
                <w:bCs/>
                <w:sz w:val="20"/>
                <w:szCs w:val="20"/>
                <w:lang w:eastAsia="fr-FR"/>
              </w:rPr>
              <w:t>PIB par habitant (USD)</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vAlign w:val="center"/>
            <w:hideMark/>
          </w:tcPr>
          <w:p w:rsidR="00C6044A" w:rsidRPr="00C6044A" w:rsidRDefault="00C6044A" w:rsidP="00C6044A">
            <w:pPr>
              <w:spacing w:after="0"/>
              <w:jc w:val="center"/>
              <w:rPr>
                <w:rFonts w:ascii="Times New Roman" w:hAnsi="Times New Roman" w:cs="Times New Roman"/>
                <w:sz w:val="20"/>
                <w:szCs w:val="20"/>
                <w:lang w:eastAsia="fr-FR"/>
              </w:rPr>
            </w:pPr>
            <w:r w:rsidRPr="00C6044A">
              <w:rPr>
                <w:rFonts w:ascii="Times New Roman" w:hAnsi="Times New Roman" w:cs="Times New Roman"/>
                <w:sz w:val="20"/>
                <w:szCs w:val="20"/>
                <w:lang w:eastAsia="fr-FR"/>
              </w:rPr>
              <w:t>640</w:t>
            </w:r>
            <w:r w:rsidRPr="00C6044A">
              <w:rPr>
                <w:rFonts w:ascii="Times New Roman" w:hAnsi="Times New Roman" w:cs="Times New Roman"/>
                <w:sz w:val="20"/>
                <w:szCs w:val="20"/>
                <w:bdr w:val="none" w:sz="0" w:space="0" w:color="auto" w:frame="1"/>
                <w:lang w:eastAsia="fr-FR"/>
              </w:rPr>
              <w:t>e</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vAlign w:val="center"/>
            <w:hideMark/>
          </w:tcPr>
          <w:p w:rsidR="00C6044A" w:rsidRPr="00C6044A" w:rsidRDefault="00C6044A" w:rsidP="00C6044A">
            <w:pPr>
              <w:spacing w:after="0"/>
              <w:jc w:val="center"/>
              <w:rPr>
                <w:rFonts w:ascii="Times New Roman" w:hAnsi="Times New Roman" w:cs="Times New Roman"/>
                <w:sz w:val="20"/>
                <w:szCs w:val="20"/>
                <w:lang w:eastAsia="fr-FR"/>
              </w:rPr>
            </w:pPr>
            <w:r w:rsidRPr="00C6044A">
              <w:rPr>
                <w:rFonts w:ascii="Times New Roman" w:hAnsi="Times New Roman" w:cs="Times New Roman"/>
                <w:sz w:val="20"/>
                <w:szCs w:val="20"/>
                <w:lang w:eastAsia="fr-FR"/>
              </w:rPr>
              <w:t>692</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vAlign w:val="center"/>
            <w:hideMark/>
          </w:tcPr>
          <w:p w:rsidR="00C6044A" w:rsidRPr="00C6044A" w:rsidRDefault="00C6044A" w:rsidP="00C6044A">
            <w:pPr>
              <w:spacing w:after="0"/>
              <w:jc w:val="center"/>
              <w:rPr>
                <w:rFonts w:ascii="Times New Roman" w:hAnsi="Times New Roman" w:cs="Times New Roman"/>
                <w:sz w:val="20"/>
                <w:szCs w:val="20"/>
                <w:lang w:eastAsia="fr-FR"/>
              </w:rPr>
            </w:pPr>
            <w:r w:rsidRPr="00C6044A">
              <w:rPr>
                <w:rFonts w:ascii="Times New Roman" w:hAnsi="Times New Roman" w:cs="Times New Roman"/>
                <w:sz w:val="20"/>
                <w:szCs w:val="20"/>
                <w:lang w:eastAsia="fr-FR"/>
              </w:rPr>
              <w:t>761</w:t>
            </w:r>
            <w:r w:rsidRPr="00C6044A">
              <w:rPr>
                <w:rFonts w:ascii="Times New Roman" w:hAnsi="Times New Roman" w:cs="Times New Roman"/>
                <w:sz w:val="20"/>
                <w:szCs w:val="20"/>
                <w:bdr w:val="none" w:sz="0" w:space="0" w:color="auto" w:frame="1"/>
                <w:lang w:eastAsia="fr-FR"/>
              </w:rPr>
              <w:t>e</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vAlign w:val="center"/>
            <w:hideMark/>
          </w:tcPr>
          <w:p w:rsidR="00C6044A" w:rsidRPr="00C6044A" w:rsidRDefault="00C6044A" w:rsidP="00C6044A">
            <w:pPr>
              <w:spacing w:after="0"/>
              <w:jc w:val="center"/>
              <w:rPr>
                <w:rFonts w:ascii="Times New Roman" w:hAnsi="Times New Roman" w:cs="Times New Roman"/>
                <w:sz w:val="20"/>
                <w:szCs w:val="20"/>
                <w:lang w:eastAsia="fr-FR"/>
              </w:rPr>
            </w:pPr>
            <w:r w:rsidRPr="00C6044A">
              <w:rPr>
                <w:rFonts w:ascii="Times New Roman" w:hAnsi="Times New Roman" w:cs="Times New Roman"/>
                <w:sz w:val="20"/>
                <w:szCs w:val="20"/>
                <w:lang w:eastAsia="fr-FR"/>
              </w:rPr>
              <w:t>832</w:t>
            </w:r>
          </w:p>
        </w:tc>
        <w:tc>
          <w:tcPr>
            <w:tcW w:w="730" w:type="dxa"/>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vAlign w:val="center"/>
            <w:hideMark/>
          </w:tcPr>
          <w:p w:rsidR="00C6044A" w:rsidRPr="00C6044A" w:rsidRDefault="00C6044A" w:rsidP="00C6044A">
            <w:pPr>
              <w:spacing w:after="0"/>
              <w:jc w:val="center"/>
              <w:rPr>
                <w:rFonts w:ascii="Times New Roman" w:hAnsi="Times New Roman" w:cs="Times New Roman"/>
                <w:sz w:val="20"/>
                <w:szCs w:val="20"/>
                <w:lang w:eastAsia="fr-FR"/>
              </w:rPr>
            </w:pPr>
            <w:r w:rsidRPr="00C6044A">
              <w:rPr>
                <w:rFonts w:ascii="Times New Roman" w:hAnsi="Times New Roman" w:cs="Times New Roman"/>
                <w:sz w:val="20"/>
                <w:szCs w:val="20"/>
                <w:lang w:eastAsia="fr-FR"/>
              </w:rPr>
              <w:t>877</w:t>
            </w:r>
          </w:p>
        </w:tc>
      </w:tr>
      <w:tr w:rsidR="00C6044A" w:rsidRPr="00C6044A" w:rsidTr="00C6044A">
        <w:tc>
          <w:tcPr>
            <w:tcW w:w="0" w:type="auto"/>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right w:w="15" w:type="dxa"/>
            </w:tcMar>
            <w:vAlign w:val="center"/>
            <w:hideMark/>
          </w:tcPr>
          <w:p w:rsidR="00C6044A" w:rsidRPr="00C6044A" w:rsidRDefault="00C6044A" w:rsidP="00C6044A">
            <w:pPr>
              <w:spacing w:after="0"/>
              <w:rPr>
                <w:rFonts w:ascii="Times New Roman" w:hAnsi="Times New Roman" w:cs="Times New Roman"/>
                <w:bCs/>
                <w:sz w:val="20"/>
                <w:szCs w:val="20"/>
                <w:lang w:eastAsia="fr-FR"/>
              </w:rPr>
            </w:pPr>
            <w:r w:rsidRPr="00C6044A">
              <w:rPr>
                <w:rFonts w:ascii="Times New Roman" w:hAnsi="Times New Roman" w:cs="Times New Roman"/>
                <w:bCs/>
                <w:sz w:val="20"/>
                <w:szCs w:val="20"/>
                <w:lang w:eastAsia="fr-FR"/>
              </w:rPr>
              <w:t>Endettement de l'Etat (en % du PIB)</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vAlign w:val="center"/>
            <w:hideMark/>
          </w:tcPr>
          <w:p w:rsidR="00C6044A" w:rsidRPr="00C6044A" w:rsidRDefault="00C6044A" w:rsidP="00C6044A">
            <w:pPr>
              <w:spacing w:after="0"/>
              <w:jc w:val="center"/>
              <w:rPr>
                <w:rFonts w:ascii="Times New Roman" w:hAnsi="Times New Roman" w:cs="Times New Roman"/>
                <w:sz w:val="20"/>
                <w:szCs w:val="20"/>
                <w:lang w:val="en-US" w:eastAsia="fr-FR"/>
              </w:rPr>
            </w:pPr>
            <w:r w:rsidRPr="00C6044A">
              <w:rPr>
                <w:rFonts w:ascii="Times New Roman" w:hAnsi="Times New Roman" w:cs="Times New Roman"/>
                <w:sz w:val="20"/>
                <w:szCs w:val="20"/>
                <w:lang w:eastAsia="fr-FR"/>
              </w:rPr>
              <w:t>49,0</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vAlign w:val="center"/>
            <w:hideMark/>
          </w:tcPr>
          <w:p w:rsidR="00C6044A" w:rsidRPr="00C6044A" w:rsidRDefault="00C6044A" w:rsidP="00C6044A">
            <w:pPr>
              <w:spacing w:after="0"/>
              <w:jc w:val="center"/>
              <w:rPr>
                <w:rFonts w:ascii="Times New Roman" w:hAnsi="Times New Roman" w:cs="Times New Roman"/>
                <w:sz w:val="20"/>
                <w:szCs w:val="20"/>
                <w:lang w:eastAsia="fr-FR"/>
              </w:rPr>
            </w:pPr>
            <w:r w:rsidRPr="00C6044A">
              <w:rPr>
                <w:rFonts w:ascii="Times New Roman" w:hAnsi="Times New Roman" w:cs="Times New Roman"/>
                <w:sz w:val="20"/>
                <w:szCs w:val="20"/>
                <w:lang w:eastAsia="fr-FR"/>
              </w:rPr>
              <w:t>47,3</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vAlign w:val="center"/>
            <w:hideMark/>
          </w:tcPr>
          <w:p w:rsidR="00C6044A" w:rsidRPr="00C6044A" w:rsidRDefault="00C6044A" w:rsidP="00C6044A">
            <w:pPr>
              <w:spacing w:after="0"/>
              <w:jc w:val="center"/>
              <w:rPr>
                <w:rFonts w:ascii="Times New Roman" w:hAnsi="Times New Roman" w:cs="Times New Roman"/>
                <w:sz w:val="20"/>
                <w:szCs w:val="20"/>
                <w:lang w:eastAsia="fr-FR"/>
              </w:rPr>
            </w:pPr>
            <w:r w:rsidRPr="00C6044A">
              <w:rPr>
                <w:rFonts w:ascii="Times New Roman" w:hAnsi="Times New Roman" w:cs="Times New Roman"/>
                <w:sz w:val="20"/>
                <w:szCs w:val="20"/>
                <w:lang w:eastAsia="fr-FR"/>
              </w:rPr>
              <w:t>43,3</w:t>
            </w:r>
            <w:r w:rsidRPr="00C6044A">
              <w:rPr>
                <w:rFonts w:ascii="Times New Roman" w:hAnsi="Times New Roman" w:cs="Times New Roman"/>
                <w:sz w:val="20"/>
                <w:szCs w:val="20"/>
                <w:bdr w:val="none" w:sz="0" w:space="0" w:color="auto" w:frame="1"/>
                <w:lang w:eastAsia="fr-FR"/>
              </w:rPr>
              <w:t>e</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vAlign w:val="center"/>
            <w:hideMark/>
          </w:tcPr>
          <w:p w:rsidR="00C6044A" w:rsidRPr="00C6044A" w:rsidRDefault="00C6044A" w:rsidP="00C6044A">
            <w:pPr>
              <w:spacing w:after="0"/>
              <w:jc w:val="center"/>
              <w:rPr>
                <w:rFonts w:ascii="Times New Roman" w:hAnsi="Times New Roman" w:cs="Times New Roman"/>
                <w:sz w:val="20"/>
                <w:szCs w:val="20"/>
                <w:lang w:eastAsia="fr-FR"/>
              </w:rPr>
            </w:pPr>
            <w:r w:rsidRPr="00C6044A">
              <w:rPr>
                <w:rFonts w:ascii="Times New Roman" w:hAnsi="Times New Roman" w:cs="Times New Roman"/>
                <w:sz w:val="20"/>
                <w:szCs w:val="20"/>
                <w:lang w:eastAsia="fr-FR"/>
              </w:rPr>
              <w:t>42,1</w:t>
            </w:r>
          </w:p>
        </w:tc>
        <w:tc>
          <w:tcPr>
            <w:tcW w:w="730" w:type="dxa"/>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vAlign w:val="center"/>
            <w:hideMark/>
          </w:tcPr>
          <w:p w:rsidR="00C6044A" w:rsidRPr="00C6044A" w:rsidRDefault="00C6044A" w:rsidP="00C6044A">
            <w:pPr>
              <w:spacing w:after="0"/>
              <w:jc w:val="center"/>
              <w:rPr>
                <w:rFonts w:ascii="Times New Roman" w:hAnsi="Times New Roman" w:cs="Times New Roman"/>
                <w:sz w:val="20"/>
                <w:szCs w:val="20"/>
                <w:lang w:eastAsia="fr-FR"/>
              </w:rPr>
            </w:pPr>
            <w:r w:rsidRPr="00C6044A">
              <w:rPr>
                <w:rFonts w:ascii="Times New Roman" w:hAnsi="Times New Roman" w:cs="Times New Roman"/>
                <w:sz w:val="20"/>
                <w:szCs w:val="20"/>
                <w:lang w:eastAsia="fr-FR"/>
              </w:rPr>
              <w:t>40,8</w:t>
            </w:r>
          </w:p>
        </w:tc>
      </w:tr>
      <w:tr w:rsidR="00C6044A" w:rsidRPr="00C6044A" w:rsidTr="00C6044A">
        <w:tc>
          <w:tcPr>
            <w:tcW w:w="0" w:type="auto"/>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right w:w="15" w:type="dxa"/>
            </w:tcMar>
            <w:vAlign w:val="center"/>
            <w:hideMark/>
          </w:tcPr>
          <w:p w:rsidR="00C6044A" w:rsidRPr="00C6044A" w:rsidRDefault="00C6044A" w:rsidP="00C6044A">
            <w:pPr>
              <w:spacing w:after="0"/>
              <w:rPr>
                <w:rFonts w:ascii="Times New Roman" w:hAnsi="Times New Roman" w:cs="Times New Roman"/>
                <w:bCs/>
                <w:sz w:val="20"/>
                <w:szCs w:val="20"/>
                <w:lang w:eastAsia="fr-FR"/>
              </w:rPr>
            </w:pPr>
            <w:r w:rsidRPr="00C6044A">
              <w:rPr>
                <w:rFonts w:ascii="Times New Roman" w:hAnsi="Times New Roman" w:cs="Times New Roman"/>
                <w:bCs/>
                <w:sz w:val="20"/>
                <w:szCs w:val="20"/>
                <w:lang w:eastAsia="fr-FR"/>
              </w:rPr>
              <w:t>Taux d'inflation (%)</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vAlign w:val="center"/>
            <w:hideMark/>
          </w:tcPr>
          <w:p w:rsidR="00C6044A" w:rsidRPr="00C6044A" w:rsidRDefault="00C6044A" w:rsidP="00C6044A">
            <w:pPr>
              <w:spacing w:after="0"/>
              <w:jc w:val="center"/>
              <w:rPr>
                <w:rFonts w:ascii="Times New Roman" w:hAnsi="Times New Roman" w:cs="Times New Roman"/>
                <w:sz w:val="20"/>
                <w:szCs w:val="20"/>
                <w:lang w:eastAsia="fr-FR"/>
              </w:rPr>
            </w:pPr>
            <w:r w:rsidRPr="00C6044A">
              <w:rPr>
                <w:rFonts w:ascii="Times New Roman" w:hAnsi="Times New Roman" w:cs="Times New Roman"/>
                <w:sz w:val="20"/>
                <w:szCs w:val="20"/>
                <w:lang w:eastAsia="fr-FR"/>
              </w:rPr>
              <w:t>1,5</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vAlign w:val="center"/>
            <w:hideMark/>
          </w:tcPr>
          <w:p w:rsidR="00C6044A" w:rsidRPr="00C6044A" w:rsidRDefault="00C6044A" w:rsidP="00C6044A">
            <w:pPr>
              <w:spacing w:after="0"/>
              <w:jc w:val="center"/>
              <w:rPr>
                <w:rFonts w:ascii="Times New Roman" w:hAnsi="Times New Roman" w:cs="Times New Roman"/>
                <w:sz w:val="20"/>
                <w:szCs w:val="20"/>
                <w:lang w:eastAsia="fr-FR"/>
              </w:rPr>
            </w:pPr>
            <w:r w:rsidRPr="00C6044A">
              <w:rPr>
                <w:rFonts w:ascii="Times New Roman" w:hAnsi="Times New Roman" w:cs="Times New Roman"/>
                <w:sz w:val="20"/>
                <w:szCs w:val="20"/>
                <w:lang w:eastAsia="fr-FR"/>
              </w:rPr>
              <w:t>1,5</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vAlign w:val="center"/>
            <w:hideMark/>
          </w:tcPr>
          <w:p w:rsidR="00C6044A" w:rsidRPr="00C6044A" w:rsidRDefault="00C6044A" w:rsidP="00C6044A">
            <w:pPr>
              <w:spacing w:after="0"/>
              <w:jc w:val="center"/>
              <w:rPr>
                <w:rFonts w:ascii="Times New Roman" w:hAnsi="Times New Roman" w:cs="Times New Roman"/>
                <w:sz w:val="20"/>
                <w:szCs w:val="20"/>
                <w:lang w:eastAsia="fr-FR"/>
              </w:rPr>
            </w:pPr>
            <w:r w:rsidRPr="00C6044A">
              <w:rPr>
                <w:rFonts w:ascii="Times New Roman" w:hAnsi="Times New Roman" w:cs="Times New Roman"/>
                <w:sz w:val="20"/>
                <w:szCs w:val="20"/>
                <w:lang w:eastAsia="fr-FR"/>
              </w:rPr>
              <w:t>2,8</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vAlign w:val="center"/>
            <w:hideMark/>
          </w:tcPr>
          <w:p w:rsidR="00C6044A" w:rsidRPr="00C6044A" w:rsidRDefault="00C6044A" w:rsidP="00C6044A">
            <w:pPr>
              <w:spacing w:after="0"/>
              <w:jc w:val="center"/>
              <w:rPr>
                <w:rFonts w:ascii="Times New Roman" w:hAnsi="Times New Roman" w:cs="Times New Roman"/>
                <w:sz w:val="20"/>
                <w:szCs w:val="20"/>
                <w:lang w:eastAsia="fr-FR"/>
              </w:rPr>
            </w:pPr>
            <w:r w:rsidRPr="00C6044A">
              <w:rPr>
                <w:rFonts w:ascii="Times New Roman" w:hAnsi="Times New Roman" w:cs="Times New Roman"/>
                <w:sz w:val="20"/>
                <w:szCs w:val="20"/>
                <w:lang w:eastAsia="fr-FR"/>
              </w:rPr>
              <w:t>2,5</w:t>
            </w:r>
          </w:p>
        </w:tc>
        <w:tc>
          <w:tcPr>
            <w:tcW w:w="730" w:type="dxa"/>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vAlign w:val="center"/>
            <w:hideMark/>
          </w:tcPr>
          <w:p w:rsidR="00C6044A" w:rsidRPr="00C6044A" w:rsidRDefault="00C6044A" w:rsidP="00C6044A">
            <w:pPr>
              <w:spacing w:after="0"/>
              <w:jc w:val="center"/>
              <w:rPr>
                <w:rFonts w:ascii="Times New Roman" w:hAnsi="Times New Roman" w:cs="Times New Roman"/>
                <w:sz w:val="20"/>
                <w:szCs w:val="20"/>
                <w:lang w:eastAsia="fr-FR"/>
              </w:rPr>
            </w:pPr>
            <w:r w:rsidRPr="00C6044A">
              <w:rPr>
                <w:rFonts w:ascii="Times New Roman" w:hAnsi="Times New Roman" w:cs="Times New Roman"/>
                <w:sz w:val="20"/>
                <w:szCs w:val="20"/>
                <w:lang w:eastAsia="fr-FR"/>
              </w:rPr>
              <w:t>2,5</w:t>
            </w:r>
          </w:p>
        </w:tc>
      </w:tr>
      <w:tr w:rsidR="00C6044A" w:rsidRPr="00C6044A" w:rsidTr="00C6044A">
        <w:tc>
          <w:tcPr>
            <w:tcW w:w="0" w:type="auto"/>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right w:w="15" w:type="dxa"/>
            </w:tcMar>
            <w:vAlign w:val="center"/>
            <w:hideMark/>
          </w:tcPr>
          <w:p w:rsidR="00C6044A" w:rsidRPr="00C6044A" w:rsidRDefault="00C6044A" w:rsidP="00C6044A">
            <w:pPr>
              <w:spacing w:after="0"/>
              <w:rPr>
                <w:rFonts w:ascii="Times New Roman" w:hAnsi="Times New Roman" w:cs="Times New Roman"/>
                <w:bCs/>
                <w:sz w:val="20"/>
                <w:szCs w:val="20"/>
                <w:lang w:eastAsia="fr-FR"/>
              </w:rPr>
            </w:pPr>
            <w:r w:rsidRPr="00C6044A">
              <w:rPr>
                <w:rFonts w:ascii="Times New Roman" w:hAnsi="Times New Roman" w:cs="Times New Roman"/>
                <w:bCs/>
                <w:sz w:val="20"/>
                <w:szCs w:val="20"/>
                <w:lang w:eastAsia="fr-FR"/>
              </w:rPr>
              <w:t>Balance des transactions courantes (milliards USD)</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vAlign w:val="center"/>
            <w:hideMark/>
          </w:tcPr>
          <w:p w:rsidR="00C6044A" w:rsidRPr="00C6044A" w:rsidRDefault="00C6044A" w:rsidP="00C6044A">
            <w:pPr>
              <w:spacing w:after="0"/>
              <w:jc w:val="center"/>
              <w:rPr>
                <w:rFonts w:ascii="Times New Roman" w:hAnsi="Times New Roman" w:cs="Times New Roman"/>
                <w:sz w:val="20"/>
                <w:szCs w:val="20"/>
                <w:lang w:val="en-US" w:eastAsia="fr-FR"/>
              </w:rPr>
            </w:pPr>
            <w:r w:rsidRPr="00C6044A">
              <w:rPr>
                <w:rFonts w:ascii="Times New Roman" w:hAnsi="Times New Roman" w:cs="Times New Roman"/>
                <w:sz w:val="20"/>
                <w:szCs w:val="20"/>
                <w:lang w:eastAsia="fr-FR"/>
              </w:rPr>
              <w:t>0,02</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vAlign w:val="center"/>
            <w:hideMark/>
          </w:tcPr>
          <w:p w:rsidR="00C6044A" w:rsidRPr="00C6044A" w:rsidRDefault="00C6044A" w:rsidP="00C6044A">
            <w:pPr>
              <w:spacing w:after="0"/>
              <w:jc w:val="center"/>
              <w:rPr>
                <w:rFonts w:ascii="Times New Roman" w:hAnsi="Times New Roman" w:cs="Times New Roman"/>
                <w:sz w:val="20"/>
                <w:szCs w:val="20"/>
                <w:lang w:eastAsia="fr-FR"/>
              </w:rPr>
            </w:pPr>
            <w:r w:rsidRPr="00C6044A">
              <w:rPr>
                <w:rFonts w:ascii="Times New Roman" w:hAnsi="Times New Roman" w:cs="Times New Roman"/>
                <w:sz w:val="20"/>
                <w:szCs w:val="20"/>
                <w:lang w:eastAsia="fr-FR"/>
              </w:rPr>
              <w:t>0,01</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vAlign w:val="center"/>
            <w:hideMark/>
          </w:tcPr>
          <w:p w:rsidR="00C6044A" w:rsidRPr="00C6044A" w:rsidRDefault="00C6044A" w:rsidP="00C6044A">
            <w:pPr>
              <w:spacing w:after="0"/>
              <w:jc w:val="center"/>
              <w:rPr>
                <w:rFonts w:ascii="Times New Roman" w:hAnsi="Times New Roman" w:cs="Times New Roman"/>
                <w:sz w:val="20"/>
                <w:szCs w:val="20"/>
                <w:lang w:eastAsia="fr-FR"/>
              </w:rPr>
            </w:pPr>
            <w:r w:rsidRPr="00C6044A">
              <w:rPr>
                <w:rFonts w:ascii="Times New Roman" w:hAnsi="Times New Roman" w:cs="Times New Roman"/>
                <w:sz w:val="20"/>
                <w:szCs w:val="20"/>
                <w:lang w:eastAsia="fr-FR"/>
              </w:rPr>
              <w:t>0,00</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vAlign w:val="center"/>
            <w:hideMark/>
          </w:tcPr>
          <w:p w:rsidR="00C6044A" w:rsidRPr="00C6044A" w:rsidRDefault="00C6044A" w:rsidP="00C6044A">
            <w:pPr>
              <w:spacing w:after="0"/>
              <w:jc w:val="center"/>
              <w:rPr>
                <w:rFonts w:ascii="Times New Roman" w:hAnsi="Times New Roman" w:cs="Times New Roman"/>
                <w:sz w:val="20"/>
                <w:szCs w:val="20"/>
                <w:lang w:eastAsia="fr-FR"/>
              </w:rPr>
            </w:pPr>
            <w:r w:rsidRPr="00C6044A">
              <w:rPr>
                <w:rFonts w:ascii="Times New Roman" w:hAnsi="Times New Roman" w:cs="Times New Roman"/>
                <w:sz w:val="20"/>
                <w:szCs w:val="20"/>
                <w:lang w:eastAsia="fr-FR"/>
              </w:rPr>
              <w:t>-0,01</w:t>
            </w:r>
          </w:p>
        </w:tc>
        <w:tc>
          <w:tcPr>
            <w:tcW w:w="730" w:type="dxa"/>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vAlign w:val="center"/>
            <w:hideMark/>
          </w:tcPr>
          <w:p w:rsidR="00C6044A" w:rsidRPr="00C6044A" w:rsidRDefault="00C6044A" w:rsidP="00C6044A">
            <w:pPr>
              <w:spacing w:after="0"/>
              <w:jc w:val="center"/>
              <w:rPr>
                <w:rFonts w:ascii="Times New Roman" w:hAnsi="Times New Roman" w:cs="Times New Roman"/>
                <w:sz w:val="20"/>
                <w:szCs w:val="20"/>
                <w:lang w:eastAsia="fr-FR"/>
              </w:rPr>
            </w:pPr>
            <w:r w:rsidRPr="00C6044A">
              <w:rPr>
                <w:rFonts w:ascii="Times New Roman" w:hAnsi="Times New Roman" w:cs="Times New Roman"/>
                <w:sz w:val="20"/>
                <w:szCs w:val="20"/>
                <w:lang w:eastAsia="fr-FR"/>
              </w:rPr>
              <w:t>-0,02</w:t>
            </w:r>
          </w:p>
        </w:tc>
      </w:tr>
      <w:tr w:rsidR="00C6044A" w:rsidRPr="00C6044A" w:rsidTr="00C6044A">
        <w:tc>
          <w:tcPr>
            <w:tcW w:w="0" w:type="auto"/>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right w:w="15" w:type="dxa"/>
            </w:tcMar>
            <w:vAlign w:val="center"/>
            <w:hideMark/>
          </w:tcPr>
          <w:p w:rsidR="00C6044A" w:rsidRPr="00C6044A" w:rsidRDefault="00C6044A" w:rsidP="00C6044A">
            <w:pPr>
              <w:spacing w:after="0"/>
              <w:rPr>
                <w:rFonts w:ascii="Times New Roman" w:hAnsi="Times New Roman" w:cs="Times New Roman"/>
                <w:bCs/>
                <w:sz w:val="20"/>
                <w:szCs w:val="20"/>
                <w:lang w:eastAsia="fr-FR"/>
              </w:rPr>
            </w:pPr>
            <w:r w:rsidRPr="00C6044A">
              <w:rPr>
                <w:rFonts w:ascii="Times New Roman" w:hAnsi="Times New Roman" w:cs="Times New Roman"/>
                <w:bCs/>
                <w:sz w:val="20"/>
                <w:szCs w:val="20"/>
                <w:lang w:eastAsia="fr-FR"/>
              </w:rPr>
              <w:t>Balance des transactions courantes (en % du PIB)</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vAlign w:val="center"/>
            <w:hideMark/>
          </w:tcPr>
          <w:p w:rsidR="00C6044A" w:rsidRPr="00C6044A" w:rsidRDefault="00C6044A" w:rsidP="00C6044A">
            <w:pPr>
              <w:spacing w:after="0"/>
              <w:jc w:val="center"/>
              <w:rPr>
                <w:rFonts w:ascii="Times New Roman" w:hAnsi="Times New Roman" w:cs="Times New Roman"/>
                <w:sz w:val="20"/>
                <w:szCs w:val="20"/>
                <w:lang w:val="en-US" w:eastAsia="fr-FR"/>
              </w:rPr>
            </w:pPr>
            <w:r w:rsidRPr="00C6044A">
              <w:rPr>
                <w:rFonts w:ascii="Times New Roman" w:hAnsi="Times New Roman" w:cs="Times New Roman"/>
                <w:sz w:val="20"/>
                <w:szCs w:val="20"/>
                <w:lang w:eastAsia="fr-FR"/>
              </w:rPr>
              <w:t>2,0</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vAlign w:val="center"/>
            <w:hideMark/>
          </w:tcPr>
          <w:p w:rsidR="00C6044A" w:rsidRPr="00C6044A" w:rsidRDefault="00C6044A" w:rsidP="00C6044A">
            <w:pPr>
              <w:spacing w:after="0"/>
              <w:jc w:val="center"/>
              <w:rPr>
                <w:rFonts w:ascii="Times New Roman" w:hAnsi="Times New Roman" w:cs="Times New Roman"/>
                <w:sz w:val="20"/>
                <w:szCs w:val="20"/>
                <w:lang w:eastAsia="fr-FR"/>
              </w:rPr>
            </w:pPr>
            <w:r w:rsidRPr="00C6044A">
              <w:rPr>
                <w:rFonts w:ascii="Times New Roman" w:hAnsi="Times New Roman" w:cs="Times New Roman"/>
                <w:sz w:val="20"/>
                <w:szCs w:val="20"/>
                <w:lang w:eastAsia="fr-FR"/>
              </w:rPr>
              <w:t>0,9</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vAlign w:val="center"/>
            <w:hideMark/>
          </w:tcPr>
          <w:p w:rsidR="00C6044A" w:rsidRPr="00C6044A" w:rsidRDefault="00C6044A" w:rsidP="00C6044A">
            <w:pPr>
              <w:spacing w:after="0"/>
              <w:jc w:val="center"/>
              <w:rPr>
                <w:rFonts w:ascii="Times New Roman" w:hAnsi="Times New Roman" w:cs="Times New Roman"/>
                <w:sz w:val="20"/>
                <w:szCs w:val="20"/>
                <w:lang w:eastAsia="fr-FR"/>
              </w:rPr>
            </w:pPr>
            <w:r w:rsidRPr="00C6044A">
              <w:rPr>
                <w:rFonts w:ascii="Times New Roman" w:hAnsi="Times New Roman" w:cs="Times New Roman"/>
                <w:sz w:val="20"/>
                <w:szCs w:val="20"/>
                <w:lang w:eastAsia="fr-FR"/>
              </w:rPr>
              <w:t>0,1</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vAlign w:val="center"/>
            <w:hideMark/>
          </w:tcPr>
          <w:p w:rsidR="00C6044A" w:rsidRPr="00C6044A" w:rsidRDefault="00C6044A" w:rsidP="00C6044A">
            <w:pPr>
              <w:spacing w:after="0"/>
              <w:jc w:val="center"/>
              <w:rPr>
                <w:rFonts w:ascii="Times New Roman" w:hAnsi="Times New Roman" w:cs="Times New Roman"/>
                <w:sz w:val="20"/>
                <w:szCs w:val="20"/>
                <w:lang w:eastAsia="fr-FR"/>
              </w:rPr>
            </w:pPr>
            <w:r w:rsidRPr="00C6044A">
              <w:rPr>
                <w:rFonts w:ascii="Times New Roman" w:hAnsi="Times New Roman" w:cs="Times New Roman"/>
                <w:sz w:val="20"/>
                <w:szCs w:val="20"/>
                <w:lang w:eastAsia="fr-FR"/>
              </w:rPr>
              <w:t>-0,6</w:t>
            </w:r>
          </w:p>
        </w:tc>
        <w:tc>
          <w:tcPr>
            <w:tcW w:w="730" w:type="dxa"/>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vAlign w:val="center"/>
            <w:hideMark/>
          </w:tcPr>
          <w:p w:rsidR="00C6044A" w:rsidRPr="00C6044A" w:rsidRDefault="00C6044A" w:rsidP="00C6044A">
            <w:pPr>
              <w:spacing w:after="0"/>
              <w:jc w:val="center"/>
              <w:rPr>
                <w:rFonts w:ascii="Times New Roman" w:hAnsi="Times New Roman" w:cs="Times New Roman"/>
                <w:sz w:val="20"/>
                <w:szCs w:val="20"/>
                <w:lang w:eastAsia="fr-FR"/>
              </w:rPr>
            </w:pPr>
            <w:r w:rsidRPr="00C6044A">
              <w:rPr>
                <w:rFonts w:ascii="Times New Roman" w:hAnsi="Times New Roman" w:cs="Times New Roman"/>
                <w:sz w:val="20"/>
                <w:szCs w:val="20"/>
                <w:lang w:eastAsia="fr-FR"/>
              </w:rPr>
              <w:t>-0,9</w:t>
            </w:r>
          </w:p>
        </w:tc>
      </w:tr>
    </w:tbl>
    <w:p w:rsidR="00C6044A" w:rsidRDefault="00C6044A" w:rsidP="00C6044A">
      <w:pPr>
        <w:spacing w:line="198" w:lineRule="atLeast"/>
        <w:rPr>
          <w:i/>
          <w:iCs/>
          <w:color w:val="000000"/>
          <w:sz w:val="18"/>
          <w:szCs w:val="18"/>
          <w:lang w:eastAsia="fr-FR"/>
        </w:rPr>
      </w:pPr>
      <w:r>
        <w:rPr>
          <w:i/>
          <w:iCs/>
          <w:color w:val="000000"/>
          <w:sz w:val="18"/>
          <w:szCs w:val="18"/>
          <w:lang w:eastAsia="fr-FR"/>
        </w:rPr>
        <w:t>Source : FMI - World Economic Outlook Database - Dernières données disponibles (septembre 2018).</w:t>
      </w:r>
    </w:p>
    <w:p w:rsidR="007F3DC3" w:rsidRPr="00A23600" w:rsidRDefault="00266D8A" w:rsidP="002D4EA0">
      <w:pPr>
        <w:pStyle w:val="PargrafodaLista"/>
        <w:keepNext/>
        <w:spacing w:before="240" w:after="240"/>
        <w:ind w:left="1158" w:right="284" w:firstLine="258"/>
        <w:jc w:val="both"/>
        <w:outlineLvl w:val="2"/>
        <w:rPr>
          <w:rFonts w:ascii="Times New Roman" w:hAnsi="Times New Roman"/>
          <w:b/>
          <w:sz w:val="24"/>
          <w:szCs w:val="24"/>
          <w:lang w:val="fr-FR" w:eastAsia="fr-FR"/>
        </w:rPr>
      </w:pPr>
      <w:bookmarkStart w:id="240" w:name="_Toc535396942"/>
      <w:bookmarkStart w:id="241" w:name="_Toc6310482"/>
      <w:bookmarkStart w:id="242" w:name="_Toc51072565"/>
      <w:r>
        <w:rPr>
          <w:rFonts w:ascii="Times New Roman" w:hAnsi="Times New Roman"/>
          <w:b/>
          <w:sz w:val="24"/>
          <w:szCs w:val="24"/>
          <w:lang w:val="fr-FR" w:eastAsia="fr-FR"/>
        </w:rPr>
        <w:t>5.4.7.</w:t>
      </w:r>
      <w:r w:rsidR="007F3DC3" w:rsidRPr="00A23600">
        <w:rPr>
          <w:rFonts w:ascii="Times New Roman" w:hAnsi="Times New Roman"/>
          <w:b/>
          <w:sz w:val="24"/>
          <w:szCs w:val="24"/>
          <w:lang w:val="fr-FR" w:eastAsia="fr-FR"/>
        </w:rPr>
        <w:t xml:space="preserve"> </w:t>
      </w:r>
      <w:r w:rsidR="007F3DC3">
        <w:rPr>
          <w:rFonts w:ascii="Times New Roman" w:hAnsi="Times New Roman"/>
          <w:b/>
          <w:sz w:val="24"/>
          <w:szCs w:val="24"/>
          <w:lang w:val="fr-FR" w:eastAsia="fr-FR"/>
        </w:rPr>
        <w:t>U</w:t>
      </w:r>
      <w:r w:rsidR="007F3DC3" w:rsidRPr="00A23600">
        <w:rPr>
          <w:rFonts w:ascii="Times New Roman" w:hAnsi="Times New Roman"/>
          <w:b/>
          <w:sz w:val="24"/>
          <w:szCs w:val="24"/>
          <w:lang w:val="fr-FR" w:eastAsia="fr-FR"/>
        </w:rPr>
        <w:t>rbanisation</w:t>
      </w:r>
      <w:bookmarkEnd w:id="240"/>
      <w:bookmarkEnd w:id="241"/>
      <w:bookmarkEnd w:id="242"/>
    </w:p>
    <w:p w:rsidR="007F3DC3" w:rsidRPr="004815B9" w:rsidRDefault="007F3DC3" w:rsidP="004815B9">
      <w:pPr>
        <w:autoSpaceDE w:val="0"/>
        <w:autoSpaceDN w:val="0"/>
        <w:adjustRightInd w:val="0"/>
        <w:spacing w:after="0" w:line="240" w:lineRule="auto"/>
        <w:ind w:left="-284"/>
        <w:jc w:val="both"/>
        <w:rPr>
          <w:rFonts w:ascii="Times New Roman" w:hAnsi="Times New Roman"/>
          <w:color w:val="000000"/>
          <w:sz w:val="24"/>
          <w:szCs w:val="24"/>
        </w:rPr>
      </w:pPr>
      <w:r w:rsidRPr="004815B9">
        <w:rPr>
          <w:rFonts w:ascii="Times New Roman" w:hAnsi="Times New Roman"/>
          <w:color w:val="000000"/>
          <w:sz w:val="24"/>
          <w:szCs w:val="24"/>
        </w:rPr>
        <w:t>Selon le Document de Politique Nationale de Développement Forestier de Guinée Bissau (juillet 2012), l’urbanisation de la Guinée Bissau a entrainé la construction de nouvelles infrastructures plus adaptées. Ces chantiers ne se sont pas conduits sans dommages sur l’environnement forestier. Au contraire, ils constituent un facteur important dans la destruction des formations végétales et de l’habitat de nombreuses espèces fauniques de grandes valeurs écologiques et panoramiques.</w:t>
      </w:r>
    </w:p>
    <w:p w:rsidR="007F3DC3" w:rsidRPr="004815B9" w:rsidRDefault="007F3DC3" w:rsidP="004815B9">
      <w:pPr>
        <w:autoSpaceDE w:val="0"/>
        <w:autoSpaceDN w:val="0"/>
        <w:adjustRightInd w:val="0"/>
        <w:spacing w:after="0" w:line="240" w:lineRule="auto"/>
        <w:ind w:left="-284"/>
        <w:jc w:val="both"/>
        <w:rPr>
          <w:rFonts w:ascii="Times New Roman" w:hAnsi="Times New Roman"/>
          <w:color w:val="000000"/>
          <w:sz w:val="24"/>
          <w:szCs w:val="24"/>
        </w:rPr>
      </w:pPr>
      <w:r w:rsidRPr="004815B9">
        <w:rPr>
          <w:rFonts w:ascii="Times New Roman" w:hAnsi="Times New Roman"/>
          <w:color w:val="000000"/>
          <w:sz w:val="24"/>
          <w:szCs w:val="24"/>
        </w:rPr>
        <w:lastRenderedPageBreak/>
        <w:t>C’est ainsi par exemple qu’il existe à Varela, des zones de plage très fragiles, pour des entreprises touristiques obsolètes.</w:t>
      </w:r>
    </w:p>
    <w:p w:rsidR="007F3DC3" w:rsidRPr="004815B9" w:rsidRDefault="007F3DC3" w:rsidP="004815B9">
      <w:pPr>
        <w:autoSpaceDE w:val="0"/>
        <w:autoSpaceDN w:val="0"/>
        <w:adjustRightInd w:val="0"/>
        <w:spacing w:after="0" w:line="240" w:lineRule="auto"/>
        <w:ind w:left="-284"/>
        <w:jc w:val="both"/>
        <w:rPr>
          <w:rFonts w:ascii="Times New Roman" w:hAnsi="Times New Roman"/>
          <w:color w:val="000000"/>
          <w:sz w:val="24"/>
          <w:szCs w:val="24"/>
        </w:rPr>
      </w:pPr>
      <w:r w:rsidRPr="004815B9">
        <w:rPr>
          <w:rFonts w:ascii="Times New Roman" w:hAnsi="Times New Roman"/>
          <w:color w:val="000000"/>
          <w:sz w:val="24"/>
          <w:szCs w:val="24"/>
        </w:rPr>
        <w:t>Des superficies de mangrove du Rio Cacheu ont été traversées par des routes goudronnées, construites sans étude préalable d´impact environnemental. Par exemple, le tronçon de la route Ingoré-São Domingos-Varela dans son parcours a coupé de nombreux affluents du Rio Cacheu, provocant l’ensablement en amont, avec comme origine, le manque d’influence de la marée, la mort de la mangrove et la liquidation de la vaillante contribution de ces petits affluents dans la reproduction et l’abri à des espèces halieutiques déterminées, surtout en relation avec la crevette. La même chose se voit avec les artères qui lient São Vicente-Ingore ; Bissau-Quinhamel et Bissau- Prabis.</w:t>
      </w:r>
    </w:p>
    <w:p w:rsidR="007F3DC3" w:rsidRPr="004815B9" w:rsidRDefault="007F3DC3" w:rsidP="004815B9">
      <w:pPr>
        <w:autoSpaceDE w:val="0"/>
        <w:autoSpaceDN w:val="0"/>
        <w:adjustRightInd w:val="0"/>
        <w:spacing w:after="0" w:line="240" w:lineRule="auto"/>
        <w:ind w:left="-284"/>
        <w:jc w:val="both"/>
        <w:rPr>
          <w:rFonts w:ascii="Times New Roman" w:hAnsi="Times New Roman"/>
          <w:color w:val="000000"/>
          <w:sz w:val="24"/>
          <w:szCs w:val="24"/>
        </w:rPr>
      </w:pPr>
      <w:r w:rsidRPr="004815B9">
        <w:rPr>
          <w:rFonts w:ascii="Times New Roman" w:hAnsi="Times New Roman"/>
          <w:color w:val="000000"/>
          <w:sz w:val="24"/>
          <w:szCs w:val="24"/>
        </w:rPr>
        <w:t>Depuis, des dispositions sont prises pour encourager la réalisation préalable d’études d’impact environnemental avant la réalisation de tout ouvrage de nature à causer un préjudice quelconque à la nature.</w:t>
      </w:r>
    </w:p>
    <w:p w:rsidR="007F3DC3" w:rsidRPr="004815B9" w:rsidRDefault="007F3DC3" w:rsidP="004815B9">
      <w:pPr>
        <w:autoSpaceDE w:val="0"/>
        <w:autoSpaceDN w:val="0"/>
        <w:adjustRightInd w:val="0"/>
        <w:spacing w:after="0" w:line="240" w:lineRule="auto"/>
        <w:ind w:left="-284"/>
        <w:jc w:val="both"/>
        <w:rPr>
          <w:rFonts w:ascii="Times New Roman" w:hAnsi="Times New Roman"/>
          <w:color w:val="000000"/>
          <w:sz w:val="24"/>
          <w:szCs w:val="24"/>
        </w:rPr>
      </w:pPr>
      <w:r w:rsidRPr="004815B9">
        <w:rPr>
          <w:rFonts w:ascii="Times New Roman" w:hAnsi="Times New Roman"/>
          <w:color w:val="000000"/>
          <w:sz w:val="24"/>
          <w:szCs w:val="24"/>
        </w:rPr>
        <w:t>Cependant, plus récemment, avec le projet d’exploitation de la bauxite en direction de l’Angola, il est envisagé de relier Boé au Rio Grandé de Bouba (où un port sera construit) par le chemin de fer. CAIA a souhaité la réalisation d’études socioéconomiques et d’impact préalables. Nonobstant cela, les travaux de réalisation des pistes ont commencé et le Park a été partagée en deux avec un point d’eau de grande importance fréquenté par la faune qui se retrouve désormais isolé d’un autre côté. Auparavant, près de deux autres trachées de pistes avaient été ouvertes puis abandonnées car ne permettant pas techniquement de relier le site approprié du futur port. Ce découpage a fragilisé le Park qui fait face depuis à une plus grande pression, avec la facilité d’accès qui est ainsi créée. Grace aux interpellations de CAIA, le projet est actuellement bloqué.</w:t>
      </w:r>
    </w:p>
    <w:p w:rsidR="007F3DC3" w:rsidRPr="004815B9" w:rsidRDefault="007F3DC3" w:rsidP="004815B9">
      <w:pPr>
        <w:autoSpaceDE w:val="0"/>
        <w:autoSpaceDN w:val="0"/>
        <w:adjustRightInd w:val="0"/>
        <w:spacing w:after="0" w:line="240" w:lineRule="auto"/>
        <w:ind w:left="-284"/>
        <w:jc w:val="both"/>
        <w:rPr>
          <w:rFonts w:ascii="Times New Roman" w:hAnsi="Times New Roman"/>
          <w:color w:val="000000"/>
          <w:sz w:val="24"/>
          <w:szCs w:val="24"/>
        </w:rPr>
      </w:pPr>
      <w:r w:rsidRPr="004815B9">
        <w:rPr>
          <w:rFonts w:ascii="Times New Roman" w:hAnsi="Times New Roman"/>
          <w:color w:val="000000"/>
          <w:sz w:val="24"/>
          <w:szCs w:val="24"/>
        </w:rPr>
        <w:t>CAIA est l’organisme rattaché au premier ministère créé depuis 2004 et en cours de mutation pour devenir une agence. Il a pour mission de travailler à prendre en compte les études d’impact environnemental et social dans les politiques sectorielles ministérielles. Il délivre les certificats de conformité pour l’exécution des ouvrages.</w:t>
      </w:r>
    </w:p>
    <w:p w:rsidR="007F3DC3" w:rsidRDefault="007F3DC3" w:rsidP="007F3DC3">
      <w:pPr>
        <w:spacing w:before="100" w:beforeAutospacing="1" w:after="100" w:afterAutospacing="1" w:line="240" w:lineRule="auto"/>
        <w:jc w:val="both"/>
        <w:rPr>
          <w:rFonts w:ascii="Times New Roman" w:eastAsia="Times New Roman" w:hAnsi="Times New Roman"/>
          <w:color w:val="000000"/>
          <w:sz w:val="24"/>
          <w:szCs w:val="24"/>
          <w:lang w:eastAsia="fr-FR"/>
        </w:rPr>
      </w:pPr>
    </w:p>
    <w:p w:rsidR="00B16929" w:rsidRDefault="00B16929" w:rsidP="007F3DC3">
      <w:pPr>
        <w:spacing w:before="100" w:beforeAutospacing="1" w:after="100" w:afterAutospacing="1" w:line="240" w:lineRule="auto"/>
        <w:jc w:val="both"/>
        <w:rPr>
          <w:rFonts w:ascii="Times New Roman" w:eastAsia="Times New Roman" w:hAnsi="Times New Roman"/>
          <w:color w:val="000000"/>
          <w:sz w:val="24"/>
          <w:szCs w:val="24"/>
          <w:lang w:eastAsia="fr-FR"/>
        </w:rPr>
      </w:pPr>
    </w:p>
    <w:p w:rsidR="00B16929" w:rsidRDefault="00B16929" w:rsidP="007F3DC3">
      <w:pPr>
        <w:spacing w:before="100" w:beforeAutospacing="1" w:after="100" w:afterAutospacing="1" w:line="240" w:lineRule="auto"/>
        <w:jc w:val="both"/>
        <w:rPr>
          <w:rFonts w:ascii="Times New Roman" w:eastAsia="Times New Roman" w:hAnsi="Times New Roman"/>
          <w:color w:val="000000"/>
          <w:sz w:val="24"/>
          <w:szCs w:val="24"/>
          <w:lang w:eastAsia="fr-FR"/>
        </w:rPr>
      </w:pPr>
    </w:p>
    <w:p w:rsidR="00B16929" w:rsidRDefault="00B16929" w:rsidP="007F3DC3">
      <w:pPr>
        <w:spacing w:before="100" w:beforeAutospacing="1" w:after="100" w:afterAutospacing="1" w:line="240" w:lineRule="auto"/>
        <w:jc w:val="both"/>
        <w:rPr>
          <w:rFonts w:ascii="Times New Roman" w:eastAsia="Times New Roman" w:hAnsi="Times New Roman"/>
          <w:color w:val="000000"/>
          <w:sz w:val="24"/>
          <w:szCs w:val="24"/>
          <w:lang w:eastAsia="fr-FR"/>
        </w:rPr>
      </w:pPr>
    </w:p>
    <w:p w:rsidR="007F3DC3" w:rsidRDefault="007F3DC3" w:rsidP="007F3DC3">
      <w:pPr>
        <w:spacing w:before="100" w:beforeAutospacing="1" w:after="100" w:afterAutospacing="1" w:line="240" w:lineRule="auto"/>
        <w:jc w:val="both"/>
        <w:rPr>
          <w:rFonts w:ascii="Times New Roman" w:eastAsia="Times New Roman" w:hAnsi="Times New Roman"/>
          <w:color w:val="000000"/>
          <w:sz w:val="24"/>
          <w:szCs w:val="24"/>
          <w:lang w:eastAsia="fr-FR"/>
        </w:rPr>
      </w:pPr>
    </w:p>
    <w:p w:rsidR="00266D8A" w:rsidRDefault="00266D8A" w:rsidP="007F3DC3">
      <w:pPr>
        <w:spacing w:before="100" w:beforeAutospacing="1" w:after="100" w:afterAutospacing="1" w:line="240" w:lineRule="auto"/>
        <w:jc w:val="both"/>
        <w:rPr>
          <w:rFonts w:ascii="Times New Roman" w:eastAsia="Times New Roman" w:hAnsi="Times New Roman"/>
          <w:color w:val="000000"/>
          <w:sz w:val="24"/>
          <w:szCs w:val="24"/>
          <w:lang w:eastAsia="fr-FR"/>
        </w:rPr>
      </w:pPr>
    </w:p>
    <w:p w:rsidR="00266D8A" w:rsidRDefault="00266D8A" w:rsidP="007F3DC3">
      <w:pPr>
        <w:spacing w:before="100" w:beforeAutospacing="1" w:after="100" w:afterAutospacing="1" w:line="240" w:lineRule="auto"/>
        <w:jc w:val="both"/>
        <w:rPr>
          <w:rFonts w:ascii="Times New Roman" w:eastAsia="Times New Roman" w:hAnsi="Times New Roman"/>
          <w:color w:val="000000"/>
          <w:sz w:val="24"/>
          <w:szCs w:val="24"/>
          <w:lang w:eastAsia="fr-FR"/>
        </w:rPr>
      </w:pPr>
    </w:p>
    <w:p w:rsidR="00266D8A" w:rsidRDefault="00266D8A" w:rsidP="007F3DC3">
      <w:pPr>
        <w:spacing w:before="100" w:beforeAutospacing="1" w:after="100" w:afterAutospacing="1" w:line="240" w:lineRule="auto"/>
        <w:jc w:val="both"/>
        <w:rPr>
          <w:rFonts w:ascii="Times New Roman" w:eastAsia="Times New Roman" w:hAnsi="Times New Roman"/>
          <w:color w:val="000000"/>
          <w:sz w:val="24"/>
          <w:szCs w:val="24"/>
          <w:lang w:eastAsia="fr-FR"/>
        </w:rPr>
      </w:pPr>
    </w:p>
    <w:p w:rsidR="00266D8A" w:rsidRDefault="00266D8A" w:rsidP="007F3DC3">
      <w:pPr>
        <w:spacing w:before="100" w:beforeAutospacing="1" w:after="100" w:afterAutospacing="1" w:line="240" w:lineRule="auto"/>
        <w:jc w:val="both"/>
        <w:rPr>
          <w:rFonts w:ascii="Times New Roman" w:eastAsia="Times New Roman" w:hAnsi="Times New Roman"/>
          <w:color w:val="000000"/>
          <w:sz w:val="24"/>
          <w:szCs w:val="24"/>
          <w:lang w:eastAsia="fr-FR"/>
        </w:rPr>
      </w:pPr>
    </w:p>
    <w:p w:rsidR="00266D8A" w:rsidRDefault="00266D8A" w:rsidP="007F3DC3">
      <w:pPr>
        <w:spacing w:before="100" w:beforeAutospacing="1" w:after="100" w:afterAutospacing="1" w:line="240" w:lineRule="auto"/>
        <w:jc w:val="both"/>
        <w:rPr>
          <w:rFonts w:ascii="Times New Roman" w:eastAsia="Times New Roman" w:hAnsi="Times New Roman"/>
          <w:color w:val="000000"/>
          <w:sz w:val="24"/>
          <w:szCs w:val="24"/>
          <w:lang w:eastAsia="fr-FR"/>
        </w:rPr>
      </w:pPr>
    </w:p>
    <w:p w:rsidR="00266D8A" w:rsidRDefault="00266D8A" w:rsidP="007F3DC3">
      <w:pPr>
        <w:spacing w:before="100" w:beforeAutospacing="1" w:after="100" w:afterAutospacing="1" w:line="240" w:lineRule="auto"/>
        <w:jc w:val="both"/>
        <w:rPr>
          <w:rFonts w:ascii="Times New Roman" w:eastAsia="Times New Roman" w:hAnsi="Times New Roman"/>
          <w:color w:val="000000"/>
          <w:sz w:val="24"/>
          <w:szCs w:val="24"/>
          <w:lang w:eastAsia="fr-FR"/>
        </w:rPr>
      </w:pPr>
    </w:p>
    <w:p w:rsidR="007F3DC3" w:rsidRDefault="007F3DC3" w:rsidP="007F3DC3">
      <w:pPr>
        <w:spacing w:before="100" w:beforeAutospacing="1" w:after="100" w:afterAutospacing="1" w:line="240" w:lineRule="auto"/>
        <w:jc w:val="both"/>
        <w:rPr>
          <w:rFonts w:ascii="Times New Roman" w:eastAsia="Times New Roman" w:hAnsi="Times New Roman"/>
          <w:color w:val="000000"/>
          <w:sz w:val="24"/>
          <w:szCs w:val="24"/>
          <w:lang w:eastAsia="fr-FR"/>
        </w:rPr>
      </w:pPr>
    </w:p>
    <w:p w:rsidR="007F3DC3" w:rsidRPr="00615465" w:rsidRDefault="00C874C2" w:rsidP="00615465">
      <w:pPr>
        <w:keepNext/>
        <w:keepLines/>
        <w:pBdr>
          <w:top w:val="outset" w:sz="12" w:space="1" w:color="auto"/>
          <w:left w:val="outset" w:sz="12" w:space="4" w:color="auto"/>
          <w:bottom w:val="outset" w:sz="12" w:space="1" w:color="auto"/>
          <w:right w:val="outset" w:sz="12" w:space="4" w:color="auto"/>
        </w:pBdr>
        <w:shd w:val="clear" w:color="auto" w:fill="F2F2F2" w:themeFill="background1" w:themeFillShade="F2"/>
        <w:spacing w:after="0" w:line="240" w:lineRule="auto"/>
        <w:ind w:left="-1276" w:right="567" w:firstLine="283"/>
        <w:jc w:val="center"/>
        <w:outlineLvl w:val="0"/>
        <w:rPr>
          <w:rFonts w:ascii="Times New Roman" w:eastAsia="Calibri" w:hAnsi="Times New Roman" w:cs="Times New Roman"/>
          <w:b/>
          <w:sz w:val="32"/>
          <w:szCs w:val="32"/>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id="243" w:name="_Toc51072566"/>
      <w:bookmarkStart w:id="244" w:name="_Toc515981056"/>
      <w:bookmarkStart w:id="245" w:name="_Toc535396944"/>
      <w:bookmarkStart w:id="246" w:name="_Toc6310484"/>
      <w:r>
        <w:rPr>
          <w:rFonts w:ascii="Times New Roman" w:eastAsia="Calibri" w:hAnsi="Times New Roman" w:cs="Times New Roman"/>
          <w:b/>
          <w:sz w:val="32"/>
          <w:szCs w:val="32"/>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 xml:space="preserve">6 </w:t>
      </w:r>
      <w:r w:rsidR="007F3DC3" w:rsidRPr="00615465">
        <w:rPr>
          <w:rFonts w:ascii="Times New Roman" w:eastAsia="Calibri" w:hAnsi="Times New Roman" w:cs="Times New Roman"/>
          <w:b/>
          <w:sz w:val="32"/>
          <w:szCs w:val="32"/>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IDENTIFICATION ET EVALUATION DES IMPACTS POTENTIELS</w:t>
      </w:r>
      <w:bookmarkEnd w:id="243"/>
      <w:r w:rsidR="007F3DC3" w:rsidRPr="00615465">
        <w:rPr>
          <w:rFonts w:ascii="Times New Roman" w:eastAsia="Calibri" w:hAnsi="Times New Roman" w:cs="Times New Roman"/>
          <w:b/>
          <w:sz w:val="32"/>
          <w:szCs w:val="32"/>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bookmarkEnd w:id="244"/>
      <w:bookmarkEnd w:id="245"/>
      <w:bookmarkEnd w:id="246"/>
    </w:p>
    <w:p w:rsidR="007F3DC3" w:rsidRPr="003E743A" w:rsidRDefault="007F3DC3" w:rsidP="007F3DC3">
      <w:pPr>
        <w:jc w:val="both"/>
        <w:rPr>
          <w:rFonts w:ascii="Times New Roman" w:eastAsia="Calibri" w:hAnsi="Times New Roman" w:cs="Times New Roman"/>
          <w:b/>
          <w:color w:val="538135" w:themeColor="accent6" w:themeShade="BF"/>
          <w:sz w:val="24"/>
          <w:szCs w:val="24"/>
          <w:lang w:eastAsia="x-none"/>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p>
    <w:p w:rsidR="007F3DC3" w:rsidRDefault="007F3DC3" w:rsidP="00615465">
      <w:pPr>
        <w:autoSpaceDE w:val="0"/>
        <w:autoSpaceDN w:val="0"/>
        <w:adjustRightInd w:val="0"/>
        <w:spacing w:after="0" w:line="240" w:lineRule="auto"/>
        <w:ind w:left="-284"/>
        <w:jc w:val="both"/>
        <w:rPr>
          <w:rFonts w:ascii="Times New Roman" w:hAnsi="Times New Roman"/>
          <w:color w:val="000000"/>
          <w:sz w:val="24"/>
          <w:szCs w:val="24"/>
        </w:rPr>
      </w:pPr>
      <w:r w:rsidRPr="00615465">
        <w:rPr>
          <w:rFonts w:ascii="Times New Roman" w:hAnsi="Times New Roman"/>
          <w:color w:val="000000"/>
          <w:sz w:val="24"/>
          <w:szCs w:val="24"/>
        </w:rPr>
        <w:t xml:space="preserve">L’objet de ce chapitre est non seulement d’identifier et d’analyser tous ces impacts positifs ou négatifs attendus du projet </w:t>
      </w:r>
      <w:r w:rsidR="001725E3" w:rsidRPr="00615465">
        <w:rPr>
          <w:rFonts w:ascii="Times New Roman" w:hAnsi="Times New Roman"/>
          <w:color w:val="000000"/>
          <w:sz w:val="24"/>
          <w:szCs w:val="24"/>
        </w:rPr>
        <w:t xml:space="preserve">PUASEE-FA </w:t>
      </w:r>
      <w:r w:rsidRPr="00615465">
        <w:rPr>
          <w:rFonts w:ascii="Times New Roman" w:hAnsi="Times New Roman"/>
          <w:color w:val="000000"/>
          <w:sz w:val="24"/>
          <w:szCs w:val="24"/>
        </w:rPr>
        <w:t>sur les constituants de l’environnement, conformément aux prescriptions légales et réglementaires mais aussi de proposer des solutions et des mesures en termes de procédure, d’organisation, de concertation, de participation, de prise de décision, etc. afin de réduire autant que possible les impacts négatifs mais aussi de bonifier les impacts positifs.</w:t>
      </w:r>
    </w:p>
    <w:p w:rsidR="00615465" w:rsidRPr="00615465" w:rsidRDefault="00615465" w:rsidP="00615465">
      <w:pPr>
        <w:autoSpaceDE w:val="0"/>
        <w:autoSpaceDN w:val="0"/>
        <w:adjustRightInd w:val="0"/>
        <w:spacing w:after="0" w:line="240" w:lineRule="auto"/>
        <w:ind w:left="-284"/>
        <w:jc w:val="both"/>
        <w:rPr>
          <w:rFonts w:ascii="Times New Roman" w:hAnsi="Times New Roman"/>
          <w:color w:val="000000"/>
          <w:sz w:val="24"/>
          <w:szCs w:val="24"/>
        </w:rPr>
      </w:pPr>
    </w:p>
    <w:p w:rsidR="007F3DC3" w:rsidRPr="003E743A" w:rsidRDefault="007F3DC3" w:rsidP="007F3DC3">
      <w:pPr>
        <w:ind w:left="-284" w:right="-142"/>
        <w:jc w:val="both"/>
        <w:rPr>
          <w:rFonts w:ascii="Times New Roman" w:hAnsi="Times New Roman" w:cs="Times New Roman"/>
          <w:sz w:val="24"/>
          <w:szCs w:val="24"/>
        </w:rPr>
      </w:pPr>
      <w:r w:rsidRPr="003E743A">
        <w:rPr>
          <w:rFonts w:ascii="Times New Roman" w:hAnsi="Times New Roman" w:cs="Times New Roman"/>
          <w:sz w:val="24"/>
          <w:szCs w:val="24"/>
        </w:rPr>
        <w:t>Il s’agira aussi, d’identifier les impacts positifs directs et indirects qu’il conviendra de capitaliser. Ces impacts sont pris en compte à travers deux grandes étapes. La première concerne l'identification et l'analyse des impacts environnementaux. La deuxième traite de l'évaluation de ces impacts environnementaux identifiés.</w:t>
      </w:r>
    </w:p>
    <w:p w:rsidR="007F3DC3" w:rsidRPr="003E743A" w:rsidRDefault="007F3DC3" w:rsidP="007F3DC3">
      <w:pPr>
        <w:ind w:left="-284" w:right="-142"/>
        <w:jc w:val="both"/>
        <w:rPr>
          <w:rFonts w:ascii="Times New Roman" w:hAnsi="Times New Roman" w:cs="Times New Roman"/>
          <w:sz w:val="24"/>
          <w:szCs w:val="24"/>
        </w:rPr>
      </w:pPr>
      <w:r w:rsidRPr="003E743A">
        <w:rPr>
          <w:rFonts w:ascii="Times New Roman" w:hAnsi="Times New Roman" w:cs="Times New Roman"/>
          <w:sz w:val="24"/>
          <w:szCs w:val="24"/>
        </w:rPr>
        <w:t>L'identification et l'analyse des impacts environnementaux porteront sur les paramètres ci-dessous :</w:t>
      </w:r>
    </w:p>
    <w:p w:rsidR="007F3DC3" w:rsidRPr="003E743A" w:rsidRDefault="007F3DC3" w:rsidP="00FA3FAE">
      <w:pPr>
        <w:pStyle w:val="PargrafodaLista"/>
        <w:numPr>
          <w:ilvl w:val="0"/>
          <w:numId w:val="50"/>
        </w:numPr>
        <w:jc w:val="both"/>
        <w:rPr>
          <w:rFonts w:ascii="Times New Roman" w:hAnsi="Times New Roman"/>
          <w:sz w:val="24"/>
          <w:szCs w:val="24"/>
          <w:lang w:val="fr-FR"/>
        </w:rPr>
      </w:pPr>
      <w:r w:rsidRPr="003E743A">
        <w:rPr>
          <w:rFonts w:ascii="Times New Roman" w:hAnsi="Times New Roman"/>
          <w:sz w:val="24"/>
          <w:szCs w:val="24"/>
          <w:lang w:val="fr-FR"/>
        </w:rPr>
        <w:t xml:space="preserve">les phases du projet ; </w:t>
      </w:r>
    </w:p>
    <w:p w:rsidR="007F3DC3" w:rsidRPr="003E743A" w:rsidRDefault="007F3DC3" w:rsidP="00FA3FAE">
      <w:pPr>
        <w:pStyle w:val="PargrafodaLista"/>
        <w:numPr>
          <w:ilvl w:val="0"/>
          <w:numId w:val="50"/>
        </w:numPr>
        <w:jc w:val="both"/>
        <w:rPr>
          <w:rFonts w:ascii="Times New Roman" w:hAnsi="Times New Roman"/>
          <w:sz w:val="24"/>
          <w:szCs w:val="24"/>
          <w:lang w:val="fr-FR"/>
        </w:rPr>
      </w:pPr>
      <w:r w:rsidRPr="003E743A">
        <w:rPr>
          <w:rFonts w:ascii="Times New Roman" w:hAnsi="Times New Roman"/>
          <w:sz w:val="24"/>
          <w:szCs w:val="24"/>
          <w:lang w:val="fr-FR"/>
        </w:rPr>
        <w:t>les composantes du milieu récepteur ;</w:t>
      </w:r>
    </w:p>
    <w:p w:rsidR="007F3DC3" w:rsidRPr="003E743A" w:rsidRDefault="007F3DC3" w:rsidP="00FA3FAE">
      <w:pPr>
        <w:pStyle w:val="PargrafodaLista"/>
        <w:numPr>
          <w:ilvl w:val="0"/>
          <w:numId w:val="50"/>
        </w:numPr>
        <w:jc w:val="both"/>
        <w:rPr>
          <w:rFonts w:ascii="Times New Roman" w:hAnsi="Times New Roman"/>
          <w:sz w:val="24"/>
          <w:szCs w:val="24"/>
          <w:lang w:val="fr-FR"/>
        </w:rPr>
      </w:pPr>
      <w:r w:rsidRPr="003E743A">
        <w:rPr>
          <w:rFonts w:ascii="Times New Roman" w:hAnsi="Times New Roman"/>
          <w:sz w:val="24"/>
          <w:szCs w:val="24"/>
          <w:lang w:val="fr-FR"/>
        </w:rPr>
        <w:t>les sources d'impact.</w:t>
      </w:r>
    </w:p>
    <w:p w:rsidR="007F3DC3" w:rsidRPr="003E743A" w:rsidRDefault="007F3DC3" w:rsidP="007F3DC3">
      <w:pPr>
        <w:ind w:left="-284" w:right="-142"/>
        <w:jc w:val="both"/>
        <w:rPr>
          <w:rFonts w:ascii="Times New Roman" w:hAnsi="Times New Roman" w:cs="Times New Roman"/>
          <w:sz w:val="24"/>
          <w:szCs w:val="24"/>
        </w:rPr>
      </w:pPr>
      <w:r w:rsidRPr="003E743A">
        <w:rPr>
          <w:rFonts w:ascii="Times New Roman" w:hAnsi="Times New Roman" w:cs="Times New Roman"/>
          <w:sz w:val="24"/>
          <w:szCs w:val="24"/>
        </w:rPr>
        <w:t>Les composantes du milieu récepteur analysées au cours de l’étude sont les composantes physiques, biologiques et socio-économiques de l’environnement.</w:t>
      </w:r>
    </w:p>
    <w:p w:rsidR="007F3DC3" w:rsidRPr="003E743A" w:rsidRDefault="00142B15" w:rsidP="007F3DC3">
      <w:pPr>
        <w:ind w:left="-284" w:right="-142"/>
        <w:jc w:val="both"/>
        <w:rPr>
          <w:rFonts w:ascii="Times New Roman" w:hAnsi="Times New Roman" w:cs="Times New Roman"/>
          <w:sz w:val="24"/>
          <w:szCs w:val="24"/>
        </w:rPr>
      </w:pPr>
      <w:r>
        <w:rPr>
          <w:rFonts w:ascii="Times New Roman" w:hAnsi="Times New Roman" w:cs="Times New Roman"/>
          <w:sz w:val="24"/>
          <w:szCs w:val="24"/>
        </w:rPr>
        <w:t>L</w:t>
      </w:r>
      <w:r w:rsidR="007F3DC3" w:rsidRPr="003E743A">
        <w:rPr>
          <w:rFonts w:ascii="Times New Roman" w:hAnsi="Times New Roman" w:cs="Times New Roman"/>
          <w:sz w:val="24"/>
          <w:szCs w:val="24"/>
        </w:rPr>
        <w:t>es travaux</w:t>
      </w:r>
      <w:r w:rsidR="006172AA">
        <w:rPr>
          <w:rFonts w:ascii="Times New Roman" w:hAnsi="Times New Roman" w:cs="Times New Roman"/>
          <w:sz w:val="24"/>
          <w:szCs w:val="24"/>
        </w:rPr>
        <w:t xml:space="preserve"> de réalisation des </w:t>
      </w:r>
      <w:r w:rsidR="00C65004">
        <w:rPr>
          <w:rFonts w:ascii="Times New Roman" w:hAnsi="Times New Roman" w:cs="Times New Roman"/>
          <w:sz w:val="24"/>
          <w:szCs w:val="24"/>
        </w:rPr>
        <w:t>réservoirs</w:t>
      </w:r>
      <w:r w:rsidR="007F3DC3" w:rsidRPr="003E743A">
        <w:rPr>
          <w:rFonts w:ascii="Times New Roman" w:hAnsi="Times New Roman" w:cs="Times New Roman"/>
          <w:sz w:val="24"/>
          <w:szCs w:val="24"/>
        </w:rPr>
        <w:t xml:space="preserve"> vont occasionner inévitablement un certain nombre d’impacts négatifs sur certains compartiments de l’environnement. Ces impacts peuvent être, dans certains cas, évités, réduits, atténués et compensés mais, dans d’autres cas, ils seront inévitables, irréversibles. </w:t>
      </w:r>
    </w:p>
    <w:p w:rsidR="007F3DC3" w:rsidRDefault="00615465" w:rsidP="00615465">
      <w:pPr>
        <w:pStyle w:val="PargrafodaLista"/>
        <w:keepNext/>
        <w:spacing w:before="240" w:after="240"/>
        <w:ind w:left="450" w:right="284" w:hanging="450"/>
        <w:jc w:val="both"/>
        <w:outlineLvl w:val="1"/>
        <w:rPr>
          <w:rFonts w:ascii="Times New Roman" w:hAnsi="Times New Roman"/>
          <w:b/>
          <w:sz w:val="24"/>
          <w:szCs w:val="24"/>
          <w:lang w:val="fr-FR" w:eastAsia="fr-FR"/>
        </w:rPr>
      </w:pPr>
      <w:bookmarkStart w:id="247" w:name="_Toc477774485"/>
      <w:bookmarkStart w:id="248" w:name="_Toc458004338"/>
      <w:bookmarkStart w:id="249" w:name="_Toc421544374"/>
      <w:bookmarkStart w:id="250" w:name="_Toc491267550"/>
      <w:bookmarkStart w:id="251" w:name="_Toc505616465"/>
      <w:bookmarkStart w:id="252" w:name="_Toc515981057"/>
      <w:bookmarkStart w:id="253" w:name="_Toc535396945"/>
      <w:bookmarkStart w:id="254" w:name="_Toc6310485"/>
      <w:bookmarkStart w:id="255" w:name="_Toc51072567"/>
      <w:bookmarkStart w:id="256" w:name="_Toc418693683"/>
      <w:bookmarkStart w:id="257" w:name="_Toc418342955"/>
      <w:bookmarkStart w:id="258" w:name="_Toc418342865"/>
      <w:bookmarkStart w:id="259" w:name="_Toc418342512"/>
      <w:bookmarkStart w:id="260" w:name="_Toc368516200"/>
      <w:bookmarkStart w:id="261" w:name="_Toc323716831"/>
      <w:bookmarkStart w:id="262" w:name="_Toc282686014"/>
      <w:bookmarkStart w:id="263" w:name="_Toc275883853"/>
      <w:bookmarkStart w:id="264" w:name="_Toc274242347"/>
      <w:bookmarkStart w:id="265" w:name="_Toc274224143"/>
      <w:bookmarkStart w:id="266" w:name="_Toc203466983"/>
      <w:bookmarkStart w:id="267" w:name="_Toc148885449"/>
      <w:r>
        <w:rPr>
          <w:rFonts w:ascii="Times New Roman" w:hAnsi="Times New Roman"/>
          <w:b/>
          <w:sz w:val="24"/>
          <w:szCs w:val="24"/>
          <w:lang w:val="fr-FR" w:eastAsia="fr-FR"/>
        </w:rPr>
        <w:t>6.1</w:t>
      </w:r>
      <w:r w:rsidR="007F3DC3" w:rsidRPr="00615465">
        <w:rPr>
          <w:rFonts w:ascii="Times New Roman" w:hAnsi="Times New Roman"/>
          <w:b/>
          <w:sz w:val="24"/>
          <w:szCs w:val="24"/>
          <w:lang w:val="fr-FR" w:eastAsia="fr-FR"/>
        </w:rPr>
        <w:t>. APPROCHE METHODOLOGIQUE</w:t>
      </w:r>
      <w:bookmarkEnd w:id="247"/>
      <w:bookmarkEnd w:id="248"/>
      <w:bookmarkEnd w:id="249"/>
      <w:bookmarkEnd w:id="250"/>
      <w:bookmarkEnd w:id="251"/>
      <w:bookmarkEnd w:id="252"/>
      <w:bookmarkEnd w:id="253"/>
      <w:bookmarkEnd w:id="254"/>
      <w:bookmarkEnd w:id="255"/>
    </w:p>
    <w:p w:rsidR="00615465" w:rsidRPr="00615465" w:rsidRDefault="00615465" w:rsidP="00615465">
      <w:pPr>
        <w:pStyle w:val="PargrafodaLista"/>
        <w:keepNext/>
        <w:spacing w:before="240" w:after="240"/>
        <w:ind w:left="450" w:right="284" w:hanging="450"/>
        <w:jc w:val="both"/>
        <w:rPr>
          <w:rFonts w:ascii="Times New Roman" w:hAnsi="Times New Roman"/>
          <w:b/>
          <w:sz w:val="24"/>
          <w:szCs w:val="24"/>
          <w:lang w:val="fr-FR" w:eastAsia="fr-FR"/>
        </w:rPr>
      </w:pPr>
    </w:p>
    <w:p w:rsidR="007F3DC3" w:rsidRPr="00615465" w:rsidRDefault="00615465" w:rsidP="00615465">
      <w:pPr>
        <w:pStyle w:val="PargrafodaLista"/>
        <w:keepNext/>
        <w:spacing w:before="240" w:after="240"/>
        <w:ind w:left="1158" w:right="284" w:firstLine="258"/>
        <w:jc w:val="both"/>
        <w:outlineLvl w:val="2"/>
        <w:rPr>
          <w:rFonts w:ascii="Times New Roman" w:hAnsi="Times New Roman"/>
          <w:b/>
          <w:sz w:val="24"/>
          <w:szCs w:val="24"/>
          <w:lang w:val="fr-FR" w:eastAsia="fr-FR"/>
        </w:rPr>
      </w:pPr>
      <w:bookmarkStart w:id="268" w:name="_Toc477774486"/>
      <w:bookmarkStart w:id="269" w:name="_Toc458004339"/>
      <w:bookmarkStart w:id="270" w:name="_Toc421544375"/>
      <w:bookmarkStart w:id="271" w:name="_Toc491267551"/>
      <w:bookmarkStart w:id="272" w:name="_Toc505616466"/>
      <w:bookmarkStart w:id="273" w:name="_Toc515981058"/>
      <w:bookmarkStart w:id="274" w:name="_Toc535396946"/>
      <w:bookmarkStart w:id="275" w:name="_Toc6310486"/>
      <w:bookmarkStart w:id="276" w:name="_Toc51072568"/>
      <w:r>
        <w:rPr>
          <w:rFonts w:ascii="Times New Roman" w:hAnsi="Times New Roman"/>
          <w:b/>
          <w:sz w:val="24"/>
          <w:szCs w:val="24"/>
          <w:lang w:val="fr-FR" w:eastAsia="fr-FR"/>
        </w:rPr>
        <w:t>6.</w:t>
      </w:r>
      <w:r w:rsidR="007F3DC3" w:rsidRPr="00615465">
        <w:rPr>
          <w:rFonts w:ascii="Times New Roman" w:hAnsi="Times New Roman"/>
          <w:b/>
          <w:sz w:val="24"/>
          <w:szCs w:val="24"/>
          <w:lang w:val="fr-FR" w:eastAsia="fr-FR"/>
        </w:rPr>
        <w:t>1.1. Démarche d'identification des impacts</w:t>
      </w:r>
      <w:bookmarkEnd w:id="268"/>
      <w:bookmarkEnd w:id="269"/>
      <w:bookmarkEnd w:id="270"/>
      <w:bookmarkEnd w:id="271"/>
      <w:bookmarkEnd w:id="272"/>
      <w:bookmarkEnd w:id="273"/>
      <w:bookmarkEnd w:id="274"/>
      <w:bookmarkEnd w:id="275"/>
      <w:bookmarkEnd w:id="276"/>
      <w:r w:rsidR="007F3DC3" w:rsidRPr="00615465">
        <w:rPr>
          <w:rFonts w:ascii="Times New Roman" w:hAnsi="Times New Roman"/>
          <w:b/>
          <w:sz w:val="24"/>
          <w:szCs w:val="24"/>
          <w:lang w:val="fr-FR" w:eastAsia="fr-FR"/>
        </w:rPr>
        <w:t xml:space="preserve"> </w:t>
      </w:r>
      <w:bookmarkEnd w:id="256"/>
      <w:bookmarkEnd w:id="257"/>
      <w:bookmarkEnd w:id="258"/>
      <w:bookmarkEnd w:id="259"/>
      <w:bookmarkEnd w:id="260"/>
      <w:bookmarkEnd w:id="261"/>
      <w:bookmarkEnd w:id="262"/>
      <w:bookmarkEnd w:id="263"/>
      <w:bookmarkEnd w:id="264"/>
      <w:bookmarkEnd w:id="265"/>
    </w:p>
    <w:bookmarkEnd w:id="266"/>
    <w:bookmarkEnd w:id="267"/>
    <w:p w:rsidR="007F3DC3" w:rsidRPr="003E743A" w:rsidRDefault="007F3DC3" w:rsidP="007F3DC3">
      <w:pPr>
        <w:ind w:left="-284" w:right="-142"/>
        <w:jc w:val="both"/>
        <w:rPr>
          <w:rFonts w:ascii="Times New Roman" w:hAnsi="Times New Roman" w:cs="Times New Roman"/>
          <w:sz w:val="24"/>
          <w:szCs w:val="24"/>
        </w:rPr>
      </w:pPr>
      <w:r w:rsidRPr="003E743A">
        <w:rPr>
          <w:rFonts w:ascii="Times New Roman" w:hAnsi="Times New Roman" w:cs="Times New Roman"/>
          <w:sz w:val="24"/>
          <w:szCs w:val="24"/>
        </w:rPr>
        <w:t>L’identification des impacts s’appuie sur les paramètres environnementaux et sociaux du milieu récepteur et sur les facteurs d’impact</w:t>
      </w:r>
      <w:r>
        <w:rPr>
          <w:rFonts w:ascii="Times New Roman" w:hAnsi="Times New Roman" w:cs="Times New Roman"/>
          <w:sz w:val="24"/>
          <w:szCs w:val="24"/>
        </w:rPr>
        <w:t>s</w:t>
      </w:r>
      <w:r w:rsidRPr="003E743A">
        <w:rPr>
          <w:rFonts w:ascii="Times New Roman" w:hAnsi="Times New Roman" w:cs="Times New Roman"/>
          <w:sz w:val="24"/>
          <w:szCs w:val="24"/>
        </w:rPr>
        <w:t xml:space="preserve"> reliés aux différentes composantes du projet. La méthode choisie est une approche matricielle qui analyse, pour chaque composante de l’environnement et du milieu socio-économique (les lignes de la matrice), les impacts probables des actions qui découlent du projet (les colonnes de la matrice).</w:t>
      </w:r>
    </w:p>
    <w:p w:rsidR="007F3DC3" w:rsidRPr="003E743A" w:rsidRDefault="007F3DC3" w:rsidP="007F3DC3">
      <w:pPr>
        <w:ind w:left="-284" w:right="-142"/>
        <w:jc w:val="both"/>
        <w:rPr>
          <w:rFonts w:ascii="Times New Roman" w:hAnsi="Times New Roman" w:cs="Times New Roman"/>
          <w:sz w:val="24"/>
          <w:szCs w:val="24"/>
        </w:rPr>
      </w:pPr>
      <w:r w:rsidRPr="003E743A">
        <w:rPr>
          <w:rFonts w:ascii="Times New Roman" w:hAnsi="Times New Roman" w:cs="Times New Roman"/>
          <w:sz w:val="24"/>
          <w:szCs w:val="24"/>
        </w:rPr>
        <w:t xml:space="preserve">Les impacts potentiels sont divisés en deux groupes : il s’agit des impacts qui ont une portée sur le milieu biophysique, d’une part, et des impacts sur l’homme et son environnement socio-économique, d’autre part. Pour ce qui concerne les actions du projet qui sont à l’origine des impacts, elles sont sériées en deux rubriques : </w:t>
      </w:r>
    </w:p>
    <w:p w:rsidR="007F3DC3" w:rsidRPr="003E743A" w:rsidRDefault="007F3DC3" w:rsidP="00FA3FAE">
      <w:pPr>
        <w:pStyle w:val="PargrafodaLista"/>
        <w:numPr>
          <w:ilvl w:val="0"/>
          <w:numId w:val="49"/>
        </w:numPr>
        <w:jc w:val="both"/>
        <w:rPr>
          <w:rFonts w:ascii="Times New Roman" w:hAnsi="Times New Roman"/>
          <w:sz w:val="24"/>
          <w:szCs w:val="24"/>
          <w:lang w:val="fr-FR"/>
        </w:rPr>
      </w:pPr>
      <w:r w:rsidRPr="003E743A">
        <w:rPr>
          <w:rFonts w:ascii="Times New Roman" w:hAnsi="Times New Roman"/>
          <w:sz w:val="24"/>
          <w:szCs w:val="24"/>
          <w:lang w:val="fr-FR"/>
        </w:rPr>
        <w:t>Les actions pendant la réalisation du projet et</w:t>
      </w:r>
    </w:p>
    <w:p w:rsidR="007F3DC3" w:rsidRPr="003E743A" w:rsidRDefault="007F3DC3" w:rsidP="00FA3FAE">
      <w:pPr>
        <w:pStyle w:val="PargrafodaLista"/>
        <w:numPr>
          <w:ilvl w:val="0"/>
          <w:numId w:val="49"/>
        </w:numPr>
        <w:jc w:val="both"/>
        <w:rPr>
          <w:rFonts w:ascii="Times New Roman" w:hAnsi="Times New Roman"/>
          <w:sz w:val="24"/>
          <w:szCs w:val="24"/>
          <w:lang w:val="fr-FR"/>
        </w:rPr>
      </w:pPr>
      <w:r w:rsidRPr="003E743A">
        <w:rPr>
          <w:rFonts w:ascii="Times New Roman" w:hAnsi="Times New Roman"/>
          <w:sz w:val="24"/>
          <w:szCs w:val="24"/>
          <w:lang w:val="fr-FR"/>
        </w:rPr>
        <w:t>Les actions dues à la présence et à l’exploitation des installations.</w:t>
      </w:r>
    </w:p>
    <w:p w:rsidR="007F3DC3" w:rsidRPr="003E743A" w:rsidRDefault="007F3DC3" w:rsidP="007F3DC3">
      <w:pPr>
        <w:ind w:left="-284" w:right="-142"/>
        <w:jc w:val="both"/>
        <w:rPr>
          <w:rFonts w:ascii="Times New Roman" w:hAnsi="Times New Roman" w:cs="Times New Roman"/>
          <w:sz w:val="24"/>
          <w:szCs w:val="24"/>
        </w:rPr>
      </w:pPr>
      <w:r w:rsidRPr="003E743A">
        <w:rPr>
          <w:rFonts w:ascii="Times New Roman" w:hAnsi="Times New Roman" w:cs="Times New Roman"/>
          <w:sz w:val="24"/>
          <w:szCs w:val="24"/>
        </w:rPr>
        <w:t xml:space="preserve">Le tableau croisé des composantes du milieu récepteur et des activités inscrites au projet, indique seulement qu’un impact est possible sans référence à sa durée, à son étendue ou à son intensité. En d’autres termes, la matrice facilite l’identification des impacts potentiels à travers l’interaction entre les activités du projet et les </w:t>
      </w:r>
      <w:r w:rsidRPr="003E743A">
        <w:rPr>
          <w:rFonts w:ascii="Times New Roman" w:hAnsi="Times New Roman" w:cs="Times New Roman"/>
          <w:sz w:val="24"/>
          <w:szCs w:val="24"/>
        </w:rPr>
        <w:lastRenderedPageBreak/>
        <w:t>éléments significatifs de l’environnement susceptibles d’être touchés. Ce tableau à double entrée présente donc l’avantage de :</w:t>
      </w:r>
    </w:p>
    <w:p w:rsidR="007F3DC3" w:rsidRPr="003E743A" w:rsidRDefault="007F3DC3" w:rsidP="00FA3FAE">
      <w:pPr>
        <w:pStyle w:val="PargrafodaLista"/>
        <w:numPr>
          <w:ilvl w:val="0"/>
          <w:numId w:val="51"/>
        </w:numPr>
        <w:jc w:val="both"/>
        <w:rPr>
          <w:rFonts w:ascii="Times New Roman" w:hAnsi="Times New Roman"/>
          <w:sz w:val="24"/>
          <w:szCs w:val="24"/>
          <w:lang w:val="fr-FR"/>
        </w:rPr>
      </w:pPr>
      <w:r w:rsidRPr="003E743A">
        <w:rPr>
          <w:rFonts w:ascii="Times New Roman" w:hAnsi="Times New Roman"/>
          <w:sz w:val="24"/>
          <w:szCs w:val="24"/>
          <w:lang w:val="fr-FR"/>
        </w:rPr>
        <w:t>Décrire visuellement la relation entre deux séries de facteurs ;</w:t>
      </w:r>
    </w:p>
    <w:p w:rsidR="007F3DC3" w:rsidRPr="003E743A" w:rsidRDefault="007F3DC3" w:rsidP="00FA3FAE">
      <w:pPr>
        <w:pStyle w:val="PargrafodaLista"/>
        <w:numPr>
          <w:ilvl w:val="0"/>
          <w:numId w:val="51"/>
        </w:numPr>
        <w:jc w:val="both"/>
        <w:rPr>
          <w:rFonts w:ascii="Times New Roman" w:hAnsi="Times New Roman"/>
          <w:sz w:val="24"/>
          <w:szCs w:val="24"/>
          <w:lang w:val="fr-FR"/>
        </w:rPr>
      </w:pPr>
      <w:r w:rsidRPr="003E743A">
        <w:rPr>
          <w:rFonts w:ascii="Times New Roman" w:hAnsi="Times New Roman"/>
          <w:sz w:val="24"/>
          <w:szCs w:val="24"/>
          <w:lang w:val="fr-FR"/>
        </w:rPr>
        <w:t>Aider à l’identification des impacts des différentes phases du projet.</w:t>
      </w:r>
    </w:p>
    <w:p w:rsidR="007F3DC3" w:rsidRPr="003E743A" w:rsidRDefault="007F3DC3" w:rsidP="007F3DC3">
      <w:pPr>
        <w:ind w:left="-284" w:right="-142"/>
        <w:jc w:val="both"/>
        <w:rPr>
          <w:rFonts w:ascii="Times New Roman" w:hAnsi="Times New Roman" w:cs="Times New Roman"/>
          <w:sz w:val="24"/>
          <w:szCs w:val="24"/>
        </w:rPr>
      </w:pPr>
      <w:r w:rsidRPr="003E743A">
        <w:rPr>
          <w:rFonts w:ascii="Times New Roman" w:hAnsi="Times New Roman" w:cs="Times New Roman"/>
          <w:sz w:val="24"/>
          <w:szCs w:val="24"/>
        </w:rPr>
        <w:t>Les principales sources d’impacts liées à chaque phase du projet sont définies selon les lots de projets. Il s’agit en réalité des phases suivantes : Pré-construction, construction, et exploitation ;</w:t>
      </w:r>
    </w:p>
    <w:p w:rsidR="007F3DC3" w:rsidRPr="003E743A" w:rsidRDefault="007F3DC3" w:rsidP="007F3DC3">
      <w:pPr>
        <w:ind w:left="-284" w:right="-142"/>
        <w:jc w:val="both"/>
        <w:rPr>
          <w:rFonts w:ascii="Times New Roman" w:hAnsi="Times New Roman" w:cs="Times New Roman"/>
          <w:sz w:val="24"/>
          <w:szCs w:val="24"/>
        </w:rPr>
      </w:pPr>
      <w:r w:rsidRPr="003E743A">
        <w:rPr>
          <w:rFonts w:ascii="Times New Roman" w:hAnsi="Times New Roman" w:cs="Times New Roman"/>
          <w:sz w:val="24"/>
          <w:szCs w:val="24"/>
        </w:rPr>
        <w:t xml:space="preserve">Pour repérer systématiquement les impacts du projet, nous passerons en revue les différents croisements pertinents exprimant les impacts potentiels du projet. </w:t>
      </w:r>
      <w:bookmarkStart w:id="277" w:name="_Toc270080797"/>
      <w:r w:rsidRPr="003E743A">
        <w:rPr>
          <w:rFonts w:ascii="Times New Roman" w:hAnsi="Times New Roman" w:cs="Times New Roman"/>
          <w:sz w:val="24"/>
          <w:szCs w:val="24"/>
        </w:rPr>
        <w:t>Les résultats sont présentés dans le tableau</w:t>
      </w:r>
      <w:bookmarkEnd w:id="277"/>
      <w:r>
        <w:rPr>
          <w:rFonts w:ascii="Times New Roman" w:hAnsi="Times New Roman" w:cs="Times New Roman"/>
          <w:sz w:val="24"/>
          <w:szCs w:val="24"/>
        </w:rPr>
        <w:t xml:space="preserve"> 17</w:t>
      </w:r>
      <w:r w:rsidRPr="003E743A">
        <w:rPr>
          <w:rFonts w:ascii="Times New Roman" w:hAnsi="Times New Roman" w:cs="Times New Roman"/>
          <w:sz w:val="24"/>
          <w:szCs w:val="24"/>
        </w:rPr>
        <w:t xml:space="preserve"> suivant.</w:t>
      </w:r>
    </w:p>
    <w:p w:rsidR="007F3DC3" w:rsidRDefault="007F3DC3" w:rsidP="007F3DC3">
      <w:pPr>
        <w:ind w:left="-284" w:right="-142"/>
        <w:jc w:val="both"/>
        <w:rPr>
          <w:rFonts w:ascii="Times New Roman" w:hAnsi="Times New Roman" w:cs="Times New Roman"/>
        </w:rPr>
      </w:pPr>
    </w:p>
    <w:p w:rsidR="00615465" w:rsidRDefault="00615465" w:rsidP="00615465">
      <w:pPr>
        <w:jc w:val="center"/>
        <w:rPr>
          <w:rFonts w:ascii="Times New Roman" w:hAnsi="Times New Roman" w:cs="Times New Roman"/>
          <w:b/>
          <w:sz w:val="20"/>
          <w:szCs w:val="20"/>
        </w:rPr>
      </w:pPr>
      <w:bookmarkStart w:id="278" w:name="_Toc4770111"/>
      <w:bookmarkStart w:id="279" w:name="_Toc51074009"/>
      <w:r w:rsidRPr="00AF3B17">
        <w:rPr>
          <w:rFonts w:ascii="Times New Roman" w:hAnsi="Times New Roman" w:cs="Times New Roman"/>
          <w:b/>
          <w:sz w:val="20"/>
          <w:szCs w:val="20"/>
        </w:rPr>
        <w:t xml:space="preserve">Tableau </w:t>
      </w:r>
      <w:r w:rsidRPr="00AF3B17">
        <w:rPr>
          <w:rFonts w:ascii="Times New Roman" w:hAnsi="Times New Roman" w:cs="Times New Roman"/>
          <w:b/>
          <w:sz w:val="20"/>
          <w:szCs w:val="20"/>
        </w:rPr>
        <w:fldChar w:fldCharType="begin"/>
      </w:r>
      <w:r w:rsidRPr="00AF3B17">
        <w:rPr>
          <w:rFonts w:ascii="Times New Roman" w:hAnsi="Times New Roman" w:cs="Times New Roman"/>
          <w:b/>
          <w:sz w:val="20"/>
          <w:szCs w:val="20"/>
        </w:rPr>
        <w:instrText xml:space="preserve"> SEQ Tableau \* ARABIC </w:instrText>
      </w:r>
      <w:r w:rsidRPr="00AF3B17">
        <w:rPr>
          <w:rFonts w:ascii="Times New Roman" w:hAnsi="Times New Roman" w:cs="Times New Roman"/>
          <w:b/>
          <w:sz w:val="20"/>
          <w:szCs w:val="20"/>
        </w:rPr>
        <w:fldChar w:fldCharType="separate"/>
      </w:r>
      <w:r w:rsidR="00820701">
        <w:rPr>
          <w:rFonts w:ascii="Times New Roman" w:hAnsi="Times New Roman" w:cs="Times New Roman"/>
          <w:b/>
          <w:noProof/>
          <w:sz w:val="20"/>
          <w:szCs w:val="20"/>
        </w:rPr>
        <w:t>18</w:t>
      </w:r>
      <w:r w:rsidRPr="00AF3B17">
        <w:rPr>
          <w:rFonts w:ascii="Times New Roman" w:hAnsi="Times New Roman" w:cs="Times New Roman"/>
          <w:b/>
          <w:sz w:val="20"/>
          <w:szCs w:val="20"/>
        </w:rPr>
        <w:fldChar w:fldCharType="end"/>
      </w:r>
      <w:r w:rsidRPr="00AF3B17">
        <w:rPr>
          <w:rFonts w:ascii="Times New Roman" w:hAnsi="Times New Roman" w:cs="Times New Roman"/>
          <w:b/>
          <w:sz w:val="20"/>
          <w:szCs w:val="20"/>
        </w:rPr>
        <w:t>: Matrice des impacts potentiel</w:t>
      </w:r>
      <w:bookmarkEnd w:id="278"/>
      <w:r w:rsidR="00F6660B">
        <w:rPr>
          <w:rFonts w:ascii="Times New Roman" w:hAnsi="Times New Roman" w:cs="Times New Roman"/>
          <w:b/>
          <w:sz w:val="20"/>
          <w:szCs w:val="20"/>
        </w:rPr>
        <w:t>s</w:t>
      </w:r>
      <w:bookmarkEnd w:id="279"/>
    </w:p>
    <w:p w:rsidR="007F3DC3" w:rsidRDefault="007F3DC3" w:rsidP="007F3DC3">
      <w:pPr>
        <w:ind w:left="-284" w:right="-142"/>
        <w:jc w:val="both"/>
        <w:rPr>
          <w:rFonts w:ascii="Times New Roman" w:hAnsi="Times New Roman" w:cs="Times New Roman"/>
        </w:rPr>
      </w:pPr>
    </w:p>
    <w:p w:rsidR="007F3DC3" w:rsidRDefault="007F3DC3" w:rsidP="007F3DC3">
      <w:pPr>
        <w:ind w:left="-284" w:right="-142"/>
        <w:jc w:val="both"/>
        <w:rPr>
          <w:rFonts w:ascii="Times New Roman" w:hAnsi="Times New Roman" w:cs="Times New Roman"/>
        </w:rPr>
      </w:pPr>
    </w:p>
    <w:p w:rsidR="007F3DC3" w:rsidRDefault="007F3DC3" w:rsidP="007F3DC3">
      <w:pPr>
        <w:ind w:left="-284" w:right="-142"/>
        <w:jc w:val="both"/>
        <w:rPr>
          <w:rFonts w:ascii="Times New Roman" w:hAnsi="Times New Roman" w:cs="Times New Roman"/>
        </w:rPr>
      </w:pPr>
    </w:p>
    <w:p w:rsidR="007F3DC3" w:rsidRDefault="007F3DC3" w:rsidP="007F3DC3">
      <w:pPr>
        <w:ind w:left="-284" w:right="-142"/>
        <w:jc w:val="both"/>
        <w:rPr>
          <w:rFonts w:ascii="Times New Roman" w:hAnsi="Times New Roman" w:cs="Times New Roman"/>
        </w:rPr>
      </w:pPr>
    </w:p>
    <w:p w:rsidR="007F3DC3" w:rsidRDefault="007F3DC3" w:rsidP="007F3DC3">
      <w:pPr>
        <w:ind w:left="-284" w:right="-142"/>
        <w:jc w:val="both"/>
        <w:rPr>
          <w:rFonts w:ascii="Times New Roman" w:hAnsi="Times New Roman" w:cs="Times New Roman"/>
        </w:rPr>
      </w:pPr>
    </w:p>
    <w:p w:rsidR="007F3DC3" w:rsidRDefault="007F3DC3" w:rsidP="007F3DC3">
      <w:pPr>
        <w:ind w:left="-284" w:right="-142"/>
        <w:jc w:val="both"/>
        <w:rPr>
          <w:rFonts w:ascii="Times New Roman" w:hAnsi="Times New Roman" w:cs="Times New Roman"/>
        </w:rPr>
      </w:pPr>
    </w:p>
    <w:p w:rsidR="007F3DC3" w:rsidRDefault="007F3DC3" w:rsidP="007F3DC3">
      <w:pPr>
        <w:ind w:left="-284" w:right="-142"/>
        <w:jc w:val="both"/>
        <w:rPr>
          <w:rFonts w:ascii="Times New Roman" w:hAnsi="Times New Roman" w:cs="Times New Roman"/>
        </w:rPr>
      </w:pPr>
    </w:p>
    <w:p w:rsidR="007F3DC3" w:rsidRDefault="007F3DC3" w:rsidP="007F3DC3">
      <w:pPr>
        <w:ind w:left="-284" w:right="-142"/>
        <w:jc w:val="both"/>
        <w:rPr>
          <w:rFonts w:ascii="Times New Roman" w:hAnsi="Times New Roman" w:cs="Times New Roman"/>
        </w:rPr>
      </w:pPr>
    </w:p>
    <w:p w:rsidR="007F3DC3" w:rsidRDefault="007F3DC3" w:rsidP="007F3DC3">
      <w:pPr>
        <w:ind w:left="-284" w:right="-142"/>
        <w:jc w:val="both"/>
        <w:rPr>
          <w:rFonts w:ascii="Times New Roman" w:hAnsi="Times New Roman" w:cs="Times New Roman"/>
        </w:rPr>
      </w:pPr>
    </w:p>
    <w:p w:rsidR="007F3DC3" w:rsidRDefault="007F3DC3" w:rsidP="007F3DC3">
      <w:pPr>
        <w:ind w:left="-284" w:right="-142"/>
        <w:jc w:val="both"/>
        <w:rPr>
          <w:rFonts w:ascii="Times New Roman" w:hAnsi="Times New Roman" w:cs="Times New Roman"/>
        </w:rPr>
      </w:pPr>
    </w:p>
    <w:p w:rsidR="007F3DC3" w:rsidRDefault="007F3DC3" w:rsidP="007F3DC3">
      <w:pPr>
        <w:ind w:left="-284" w:right="-142"/>
        <w:jc w:val="both"/>
        <w:rPr>
          <w:rFonts w:ascii="Times New Roman" w:hAnsi="Times New Roman" w:cs="Times New Roman"/>
        </w:rPr>
      </w:pPr>
    </w:p>
    <w:p w:rsidR="007F3DC3" w:rsidRDefault="007F3DC3" w:rsidP="007F3DC3">
      <w:pPr>
        <w:ind w:left="-284" w:right="-142"/>
        <w:jc w:val="both"/>
        <w:rPr>
          <w:rFonts w:ascii="Times New Roman" w:hAnsi="Times New Roman" w:cs="Times New Roman"/>
        </w:rPr>
      </w:pPr>
    </w:p>
    <w:p w:rsidR="007F3DC3" w:rsidRDefault="007F3DC3" w:rsidP="007F3DC3">
      <w:pPr>
        <w:ind w:left="-284" w:right="-142"/>
        <w:jc w:val="both"/>
        <w:rPr>
          <w:rFonts w:ascii="Times New Roman" w:hAnsi="Times New Roman" w:cs="Times New Roman"/>
        </w:rPr>
      </w:pPr>
    </w:p>
    <w:p w:rsidR="007F3DC3" w:rsidRDefault="007F3DC3" w:rsidP="007F3DC3">
      <w:pPr>
        <w:ind w:left="-284" w:right="-142"/>
        <w:jc w:val="both"/>
        <w:rPr>
          <w:rFonts w:ascii="Times New Roman" w:hAnsi="Times New Roman" w:cs="Times New Roman"/>
        </w:rPr>
      </w:pPr>
    </w:p>
    <w:p w:rsidR="007F3DC3" w:rsidRDefault="007F3DC3" w:rsidP="007F3DC3">
      <w:pPr>
        <w:ind w:left="-284" w:right="-142"/>
        <w:jc w:val="both"/>
        <w:rPr>
          <w:rFonts w:ascii="Times New Roman" w:hAnsi="Times New Roman" w:cs="Times New Roman"/>
        </w:rPr>
      </w:pPr>
    </w:p>
    <w:p w:rsidR="007F3DC3" w:rsidRDefault="007F3DC3" w:rsidP="007F3DC3">
      <w:pPr>
        <w:ind w:left="-284" w:right="-142"/>
        <w:jc w:val="both"/>
        <w:rPr>
          <w:rFonts w:ascii="Times New Roman" w:hAnsi="Times New Roman" w:cs="Times New Roman"/>
        </w:rPr>
      </w:pPr>
    </w:p>
    <w:p w:rsidR="007F3DC3" w:rsidRDefault="007F3DC3" w:rsidP="007F3DC3">
      <w:pPr>
        <w:ind w:left="-284" w:right="-142"/>
        <w:jc w:val="both"/>
        <w:rPr>
          <w:rFonts w:ascii="Times New Roman" w:hAnsi="Times New Roman" w:cs="Times New Roman"/>
        </w:rPr>
      </w:pPr>
    </w:p>
    <w:p w:rsidR="007F3DC3" w:rsidRDefault="007F3DC3" w:rsidP="007F3DC3">
      <w:pPr>
        <w:ind w:left="-284" w:right="-142"/>
        <w:jc w:val="both"/>
        <w:rPr>
          <w:rFonts w:ascii="Times New Roman" w:hAnsi="Times New Roman" w:cs="Times New Roman"/>
        </w:rPr>
      </w:pPr>
    </w:p>
    <w:p w:rsidR="007F3DC3" w:rsidRPr="003E743A" w:rsidRDefault="007F3DC3" w:rsidP="007F3DC3">
      <w:pPr>
        <w:ind w:right="-142"/>
        <w:jc w:val="both"/>
        <w:rPr>
          <w:rFonts w:ascii="Times New Roman" w:hAnsi="Times New Roman" w:cs="Times New Roman"/>
        </w:rPr>
        <w:sectPr w:rsidR="007F3DC3" w:rsidRPr="003E743A" w:rsidSect="00FD763C">
          <w:pgSz w:w="11906" w:h="16838"/>
          <w:pgMar w:top="1417" w:right="566" w:bottom="1417" w:left="1417" w:header="708" w:footer="0" w:gutter="0"/>
          <w:cols w:space="708"/>
          <w:docGrid w:linePitch="360"/>
        </w:sectPr>
      </w:pPr>
    </w:p>
    <w:tbl>
      <w:tblPr>
        <w:tblStyle w:val="Tabelacomgrelha"/>
        <w:tblW w:w="15877" w:type="dxa"/>
        <w:tblInd w:w="-998" w:type="dxa"/>
        <w:tblLayout w:type="fixed"/>
        <w:tblLook w:val="04A0" w:firstRow="1" w:lastRow="0" w:firstColumn="1" w:lastColumn="0" w:noHBand="0" w:noVBand="1"/>
      </w:tblPr>
      <w:tblGrid>
        <w:gridCol w:w="15877"/>
      </w:tblGrid>
      <w:tr w:rsidR="00136836" w:rsidTr="00763A11">
        <w:tc>
          <w:tcPr>
            <w:tcW w:w="15877" w:type="dxa"/>
          </w:tcPr>
          <w:tbl>
            <w:tblPr>
              <w:tblpPr w:leftFromText="141" w:rightFromText="141" w:vertAnchor="text" w:horzAnchor="margin" w:tblpXSpec="center" w:tblpY="-1952"/>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43"/>
              <w:gridCol w:w="444"/>
              <w:gridCol w:w="1502"/>
              <w:gridCol w:w="867"/>
              <w:gridCol w:w="992"/>
              <w:gridCol w:w="711"/>
              <w:gridCol w:w="711"/>
              <w:gridCol w:w="567"/>
              <w:gridCol w:w="707"/>
              <w:gridCol w:w="567"/>
              <w:gridCol w:w="711"/>
              <w:gridCol w:w="567"/>
              <w:gridCol w:w="707"/>
              <w:gridCol w:w="567"/>
              <w:gridCol w:w="707"/>
              <w:gridCol w:w="570"/>
              <w:gridCol w:w="570"/>
              <w:gridCol w:w="567"/>
              <w:gridCol w:w="635"/>
              <w:gridCol w:w="570"/>
              <w:gridCol w:w="573"/>
              <w:gridCol w:w="570"/>
              <w:gridCol w:w="432"/>
              <w:gridCol w:w="394"/>
            </w:tblGrid>
            <w:tr w:rsidR="00CC1F9B" w:rsidRPr="0021115D" w:rsidTr="00CC1F9B">
              <w:trPr>
                <w:trHeight w:val="258"/>
              </w:trPr>
              <w:tc>
                <w:tcPr>
                  <w:tcW w:w="763" w:type="pct"/>
                  <w:gridSpan w:val="3"/>
                  <w:vMerge w:val="restar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136836" w:rsidRPr="0021115D" w:rsidRDefault="00136836" w:rsidP="00136836">
                  <w:pPr>
                    <w:spacing w:after="0"/>
                    <w:jc w:val="center"/>
                    <w:rPr>
                      <w:rFonts w:ascii="Times New Roman" w:hAnsi="Times New Roman" w:cs="Times New Roman"/>
                      <w:b/>
                      <w:sz w:val="18"/>
                      <w:szCs w:val="18"/>
                    </w:rPr>
                  </w:pPr>
                  <w:bookmarkStart w:id="280" w:name="_Toc475082766"/>
                  <w:bookmarkStart w:id="281" w:name="_Toc491268906"/>
                  <w:bookmarkStart w:id="282" w:name="_Toc505146822"/>
                  <w:bookmarkStart w:id="283" w:name="_Toc515975824"/>
                  <w:r w:rsidRPr="0021115D">
                    <w:rPr>
                      <w:rFonts w:ascii="Times New Roman" w:hAnsi="Times New Roman" w:cs="Times New Roman"/>
                      <w:b/>
                      <w:sz w:val="18"/>
                      <w:szCs w:val="18"/>
                    </w:rPr>
                    <w:lastRenderedPageBreak/>
                    <w:t>Ressources ou utilités</w:t>
                  </w:r>
                </w:p>
              </w:tc>
              <w:tc>
                <w:tcPr>
                  <w:tcW w:w="4237" w:type="pct"/>
                  <w:gridSpan w:val="21"/>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136836" w:rsidRPr="0021115D" w:rsidRDefault="00136836" w:rsidP="00136836">
                  <w:pPr>
                    <w:spacing w:after="0"/>
                    <w:jc w:val="center"/>
                    <w:rPr>
                      <w:rFonts w:ascii="Times New Roman" w:hAnsi="Times New Roman" w:cs="Times New Roman"/>
                      <w:b/>
                      <w:sz w:val="18"/>
                      <w:szCs w:val="18"/>
                    </w:rPr>
                  </w:pPr>
                  <w:r w:rsidRPr="0021115D">
                    <w:rPr>
                      <w:rFonts w:ascii="Times New Roman" w:hAnsi="Times New Roman" w:cs="Times New Roman"/>
                      <w:b/>
                      <w:sz w:val="18"/>
                      <w:szCs w:val="18"/>
                    </w:rPr>
                    <w:t>Composante du projet  « </w:t>
                  </w:r>
                  <w:r w:rsidRPr="0021115D">
                    <w:rPr>
                      <w:rFonts w:ascii="Times New Roman" w:hAnsi="Times New Roman" w:cs="Times New Roman"/>
                      <w:b/>
                    </w:rPr>
                    <w:t xml:space="preserve"> les travaux de posage et de construction des centres techniques</w:t>
                  </w:r>
                  <w:r w:rsidRPr="0021115D">
                    <w:rPr>
                      <w:rFonts w:ascii="Times New Roman" w:hAnsi="Times New Roman" w:cs="Times New Roman"/>
                      <w:b/>
                      <w:sz w:val="18"/>
                      <w:szCs w:val="18"/>
                    </w:rPr>
                    <w:t>»</w:t>
                  </w:r>
                </w:p>
              </w:tc>
            </w:tr>
            <w:tr w:rsidR="00787AC7" w:rsidRPr="0021115D" w:rsidTr="00787AC7">
              <w:trPr>
                <w:trHeight w:val="262"/>
              </w:trPr>
              <w:tc>
                <w:tcPr>
                  <w:tcW w:w="763" w:type="pct"/>
                  <w:gridSpan w:val="3"/>
                  <w:vMerge/>
                  <w:tcBorders>
                    <w:top w:val="single" w:sz="4" w:space="0" w:color="auto"/>
                    <w:left w:val="single" w:sz="4" w:space="0" w:color="auto"/>
                    <w:bottom w:val="single" w:sz="4" w:space="0" w:color="auto"/>
                    <w:right w:val="single" w:sz="4" w:space="0" w:color="auto"/>
                  </w:tcBorders>
                  <w:shd w:val="clear" w:color="auto" w:fill="DEEAF6" w:themeFill="accent1" w:themeFillTint="33"/>
                  <w:textDirection w:val="btLr"/>
                  <w:vAlign w:val="center"/>
                </w:tcPr>
                <w:p w:rsidR="00136836" w:rsidRPr="0021115D" w:rsidRDefault="00136836" w:rsidP="00136836">
                  <w:pPr>
                    <w:spacing w:after="0"/>
                    <w:jc w:val="center"/>
                    <w:rPr>
                      <w:rFonts w:ascii="Times New Roman" w:hAnsi="Times New Roman" w:cs="Times New Roman"/>
                      <w:b/>
                      <w:sz w:val="18"/>
                      <w:szCs w:val="18"/>
                    </w:rPr>
                  </w:pPr>
                </w:p>
              </w:tc>
              <w:tc>
                <w:tcPr>
                  <w:tcW w:w="3425" w:type="pct"/>
                  <w:gridSpan w:val="16"/>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136836" w:rsidRPr="0021115D" w:rsidRDefault="00136836" w:rsidP="00136836">
                  <w:pPr>
                    <w:spacing w:after="0"/>
                    <w:jc w:val="center"/>
                    <w:rPr>
                      <w:rFonts w:ascii="Times New Roman" w:hAnsi="Times New Roman" w:cs="Times New Roman"/>
                      <w:b/>
                      <w:sz w:val="18"/>
                      <w:szCs w:val="18"/>
                    </w:rPr>
                  </w:pPr>
                  <w:r w:rsidRPr="0021115D">
                    <w:rPr>
                      <w:rFonts w:ascii="Times New Roman" w:hAnsi="Times New Roman" w:cs="Times New Roman"/>
                      <w:b/>
                      <w:sz w:val="18"/>
                      <w:szCs w:val="18"/>
                    </w:rPr>
                    <w:t>Phase de Pré-construction  &amp; Construction</w:t>
                  </w:r>
                </w:p>
              </w:tc>
              <w:tc>
                <w:tcPr>
                  <w:tcW w:w="812" w:type="pct"/>
                  <w:gridSpan w:val="5"/>
                  <w:tcBorders>
                    <w:top w:val="single" w:sz="4" w:space="0" w:color="auto"/>
                    <w:left w:val="single" w:sz="4" w:space="0" w:color="auto"/>
                    <w:bottom w:val="single" w:sz="4" w:space="0" w:color="auto"/>
                    <w:right w:val="single" w:sz="4" w:space="0" w:color="auto"/>
                  </w:tcBorders>
                  <w:shd w:val="clear" w:color="auto" w:fill="FFFFFF" w:themeFill="background1"/>
                </w:tcPr>
                <w:p w:rsidR="00136836" w:rsidRPr="0021115D" w:rsidRDefault="00136836" w:rsidP="00136836">
                  <w:pPr>
                    <w:spacing w:after="0"/>
                    <w:jc w:val="center"/>
                    <w:rPr>
                      <w:rFonts w:ascii="Times New Roman" w:hAnsi="Times New Roman" w:cs="Times New Roman"/>
                      <w:b/>
                      <w:sz w:val="18"/>
                      <w:szCs w:val="18"/>
                    </w:rPr>
                  </w:pPr>
                  <w:r w:rsidRPr="0021115D">
                    <w:rPr>
                      <w:rFonts w:ascii="Times New Roman" w:hAnsi="Times New Roman" w:cs="Times New Roman"/>
                      <w:b/>
                      <w:sz w:val="18"/>
                      <w:szCs w:val="18"/>
                    </w:rPr>
                    <w:t>Phase d’ Exploitation</w:t>
                  </w:r>
                </w:p>
              </w:tc>
            </w:tr>
            <w:tr w:rsidR="00787AC7" w:rsidRPr="003E743A" w:rsidTr="00FD763C">
              <w:trPr>
                <w:cantSplit/>
                <w:trHeight w:val="3693"/>
              </w:trPr>
              <w:tc>
                <w:tcPr>
                  <w:tcW w:w="142" w:type="pct"/>
                  <w:tcBorders>
                    <w:top w:val="single" w:sz="4" w:space="0" w:color="auto"/>
                    <w:left w:val="single" w:sz="4" w:space="0" w:color="auto"/>
                    <w:bottom w:val="single" w:sz="4" w:space="0" w:color="auto"/>
                    <w:right w:val="single" w:sz="4" w:space="0" w:color="auto"/>
                  </w:tcBorders>
                  <w:shd w:val="clear" w:color="auto" w:fill="F2F2F2"/>
                  <w:textDirection w:val="btLr"/>
                  <w:vAlign w:val="center"/>
                </w:tcPr>
                <w:p w:rsidR="00787AC7" w:rsidRPr="003E743A" w:rsidRDefault="00787AC7" w:rsidP="00787AC7">
                  <w:pPr>
                    <w:spacing w:after="0"/>
                    <w:jc w:val="center"/>
                    <w:rPr>
                      <w:rFonts w:ascii="Times New Roman" w:hAnsi="Times New Roman" w:cs="Times New Roman"/>
                      <w:sz w:val="18"/>
                      <w:szCs w:val="18"/>
                    </w:rPr>
                  </w:pPr>
                  <w:r w:rsidRPr="003E743A">
                    <w:rPr>
                      <w:rFonts w:ascii="Times New Roman" w:hAnsi="Times New Roman" w:cs="Times New Roman"/>
                      <w:sz w:val="18"/>
                      <w:szCs w:val="18"/>
                    </w:rPr>
                    <w:t>COMPOSANTE</w:t>
                  </w:r>
                </w:p>
              </w:tc>
              <w:tc>
                <w:tcPr>
                  <w:tcW w:w="621" w:type="pct"/>
                  <w:gridSpan w:val="2"/>
                  <w:tcBorders>
                    <w:top w:val="single" w:sz="4" w:space="0" w:color="auto"/>
                    <w:left w:val="single" w:sz="4" w:space="0" w:color="auto"/>
                    <w:bottom w:val="single" w:sz="4" w:space="0" w:color="auto"/>
                    <w:right w:val="single" w:sz="4" w:space="0" w:color="auto"/>
                    <w:tl2br w:val="single" w:sz="4" w:space="0" w:color="auto"/>
                  </w:tcBorders>
                  <w:shd w:val="clear" w:color="auto" w:fill="F2F2F2"/>
                  <w:vAlign w:val="center"/>
                </w:tcPr>
                <w:p w:rsidR="00787AC7" w:rsidRPr="003E743A" w:rsidRDefault="00787AC7" w:rsidP="00787AC7">
                  <w:pPr>
                    <w:spacing w:after="0"/>
                    <w:jc w:val="both"/>
                    <w:rPr>
                      <w:rFonts w:ascii="Times New Roman" w:hAnsi="Times New Roman" w:cs="Times New Roman"/>
                      <w:sz w:val="18"/>
                      <w:szCs w:val="18"/>
                    </w:rPr>
                  </w:pPr>
                  <w:r>
                    <w:rPr>
                      <w:rFonts w:ascii="Times New Roman" w:hAnsi="Times New Roman" w:cs="Times New Roman"/>
                      <w:sz w:val="18"/>
                      <w:szCs w:val="18"/>
                    </w:rPr>
                    <w:t xml:space="preserve">      </w:t>
                  </w:r>
                  <w:r w:rsidRPr="003E743A">
                    <w:rPr>
                      <w:rFonts w:ascii="Times New Roman" w:hAnsi="Times New Roman" w:cs="Times New Roman"/>
                      <w:sz w:val="18"/>
                      <w:szCs w:val="18"/>
                    </w:rPr>
                    <w:t xml:space="preserve"> ACTIVITES</w:t>
                  </w:r>
                </w:p>
                <w:p w:rsidR="00787AC7" w:rsidRPr="003E743A" w:rsidRDefault="00787AC7" w:rsidP="00787AC7">
                  <w:pPr>
                    <w:spacing w:after="0"/>
                    <w:jc w:val="both"/>
                    <w:rPr>
                      <w:rFonts w:ascii="Times New Roman" w:hAnsi="Times New Roman" w:cs="Times New Roman"/>
                      <w:sz w:val="18"/>
                      <w:szCs w:val="18"/>
                    </w:rPr>
                  </w:pPr>
                </w:p>
                <w:p w:rsidR="00787AC7" w:rsidRPr="003E743A" w:rsidRDefault="00787AC7" w:rsidP="00787AC7">
                  <w:pPr>
                    <w:spacing w:after="0"/>
                    <w:jc w:val="both"/>
                    <w:rPr>
                      <w:rFonts w:ascii="Times New Roman" w:hAnsi="Times New Roman" w:cs="Times New Roman"/>
                      <w:sz w:val="18"/>
                      <w:szCs w:val="18"/>
                    </w:rPr>
                  </w:pPr>
                </w:p>
                <w:p w:rsidR="00787AC7" w:rsidRPr="003E743A" w:rsidRDefault="00787AC7" w:rsidP="00787AC7">
                  <w:pPr>
                    <w:spacing w:after="0"/>
                    <w:jc w:val="both"/>
                    <w:rPr>
                      <w:rFonts w:ascii="Times New Roman" w:hAnsi="Times New Roman" w:cs="Times New Roman"/>
                      <w:sz w:val="18"/>
                      <w:szCs w:val="18"/>
                    </w:rPr>
                  </w:pPr>
                  <w:r w:rsidRPr="003E743A">
                    <w:rPr>
                      <w:rFonts w:ascii="Times New Roman" w:hAnsi="Times New Roman" w:cs="Times New Roman"/>
                      <w:sz w:val="18"/>
                      <w:szCs w:val="18"/>
                    </w:rPr>
                    <w:t xml:space="preserve">                  </w:t>
                  </w:r>
                  <w:r>
                    <w:rPr>
                      <w:rFonts w:ascii="Times New Roman" w:hAnsi="Times New Roman" w:cs="Times New Roman"/>
                      <w:sz w:val="18"/>
                      <w:szCs w:val="18"/>
                    </w:rPr>
                    <w:t xml:space="preserve">                                </w:t>
                  </w:r>
                </w:p>
                <w:p w:rsidR="00787AC7" w:rsidRPr="003E743A" w:rsidRDefault="00787AC7" w:rsidP="00787AC7">
                  <w:pPr>
                    <w:spacing w:after="0"/>
                    <w:jc w:val="both"/>
                    <w:rPr>
                      <w:rFonts w:ascii="Times New Roman" w:hAnsi="Times New Roman" w:cs="Times New Roman"/>
                      <w:sz w:val="18"/>
                      <w:szCs w:val="18"/>
                    </w:rPr>
                  </w:pPr>
                </w:p>
                <w:p w:rsidR="00787AC7" w:rsidRPr="003E743A" w:rsidRDefault="00787AC7" w:rsidP="00787AC7">
                  <w:pPr>
                    <w:spacing w:after="0"/>
                    <w:jc w:val="both"/>
                    <w:rPr>
                      <w:rFonts w:ascii="Times New Roman" w:hAnsi="Times New Roman" w:cs="Times New Roman"/>
                      <w:sz w:val="18"/>
                      <w:szCs w:val="18"/>
                    </w:rPr>
                  </w:pPr>
                </w:p>
                <w:p w:rsidR="00787AC7" w:rsidRPr="003E743A" w:rsidRDefault="00787AC7" w:rsidP="00787AC7">
                  <w:pPr>
                    <w:spacing w:after="0"/>
                    <w:jc w:val="both"/>
                    <w:rPr>
                      <w:rFonts w:ascii="Times New Roman" w:hAnsi="Times New Roman" w:cs="Times New Roman"/>
                      <w:sz w:val="18"/>
                      <w:szCs w:val="18"/>
                    </w:rPr>
                  </w:pPr>
                </w:p>
                <w:p w:rsidR="00787AC7" w:rsidRPr="003E743A" w:rsidRDefault="00787AC7" w:rsidP="00787AC7">
                  <w:pPr>
                    <w:spacing w:after="0"/>
                    <w:jc w:val="both"/>
                    <w:rPr>
                      <w:rFonts w:ascii="Times New Roman" w:hAnsi="Times New Roman" w:cs="Times New Roman"/>
                      <w:sz w:val="18"/>
                      <w:szCs w:val="18"/>
                    </w:rPr>
                  </w:pPr>
                </w:p>
                <w:p w:rsidR="00787AC7" w:rsidRPr="003E743A" w:rsidRDefault="00787AC7" w:rsidP="00787AC7">
                  <w:pPr>
                    <w:spacing w:after="0"/>
                    <w:jc w:val="both"/>
                    <w:rPr>
                      <w:rFonts w:ascii="Times New Roman" w:hAnsi="Times New Roman" w:cs="Times New Roman"/>
                      <w:sz w:val="18"/>
                      <w:szCs w:val="18"/>
                    </w:rPr>
                  </w:pPr>
                </w:p>
                <w:p w:rsidR="00787AC7" w:rsidRPr="003E743A" w:rsidRDefault="00787AC7" w:rsidP="00787AC7">
                  <w:pPr>
                    <w:spacing w:after="0"/>
                    <w:jc w:val="both"/>
                    <w:rPr>
                      <w:rFonts w:ascii="Times New Roman" w:hAnsi="Times New Roman" w:cs="Times New Roman"/>
                      <w:sz w:val="18"/>
                      <w:szCs w:val="18"/>
                    </w:rPr>
                  </w:pPr>
                </w:p>
                <w:p w:rsidR="00787AC7" w:rsidRPr="00946E39" w:rsidRDefault="00787AC7" w:rsidP="00787AC7">
                  <w:pPr>
                    <w:spacing w:after="0"/>
                    <w:jc w:val="both"/>
                    <w:rPr>
                      <w:rFonts w:ascii="Times New Roman" w:hAnsi="Times New Roman" w:cs="Times New Roman"/>
                      <w:sz w:val="16"/>
                      <w:szCs w:val="16"/>
                    </w:rPr>
                  </w:pPr>
                  <w:r w:rsidRPr="00946E39">
                    <w:rPr>
                      <w:rFonts w:ascii="Times New Roman" w:hAnsi="Times New Roman" w:cs="Times New Roman"/>
                      <w:sz w:val="16"/>
                      <w:szCs w:val="16"/>
                    </w:rPr>
                    <w:t>COMPARTIMENT</w:t>
                  </w:r>
                </w:p>
                <w:p w:rsidR="00787AC7" w:rsidRPr="003E743A" w:rsidRDefault="00787AC7" w:rsidP="00787AC7">
                  <w:pPr>
                    <w:spacing w:after="0"/>
                    <w:jc w:val="both"/>
                    <w:rPr>
                      <w:rFonts w:ascii="Times New Roman" w:hAnsi="Times New Roman" w:cs="Times New Roman"/>
                      <w:sz w:val="18"/>
                      <w:szCs w:val="18"/>
                    </w:rPr>
                  </w:pPr>
                  <w:r w:rsidRPr="00946E39">
                    <w:rPr>
                      <w:rFonts w:ascii="Times New Roman" w:hAnsi="Times New Roman" w:cs="Times New Roman"/>
                      <w:sz w:val="16"/>
                      <w:szCs w:val="16"/>
                    </w:rPr>
                    <w:t xml:space="preserve">               DE L’ENVIRONNEMENT</w:t>
                  </w:r>
                </w:p>
              </w:tc>
              <w:tc>
                <w:tcPr>
                  <w:tcW w:w="277" w:type="pct"/>
                  <w:tcBorders>
                    <w:top w:val="single" w:sz="4" w:space="0" w:color="auto"/>
                    <w:left w:val="single" w:sz="4" w:space="0" w:color="auto"/>
                    <w:bottom w:val="single" w:sz="4" w:space="0" w:color="auto"/>
                    <w:right w:val="single" w:sz="4" w:space="0" w:color="auto"/>
                  </w:tcBorders>
                  <w:shd w:val="clear" w:color="auto" w:fill="F2F2F2" w:themeFill="background1" w:themeFillShade="F2"/>
                  <w:textDirection w:val="btLr"/>
                  <w:vAlign w:val="center"/>
                </w:tcPr>
                <w:p w:rsidR="00787AC7" w:rsidRPr="003E743A" w:rsidRDefault="00787AC7" w:rsidP="00787AC7">
                  <w:pPr>
                    <w:spacing w:after="0"/>
                    <w:jc w:val="both"/>
                    <w:rPr>
                      <w:rFonts w:ascii="Times New Roman" w:hAnsi="Times New Roman" w:cs="Times New Roman"/>
                      <w:sz w:val="18"/>
                      <w:szCs w:val="18"/>
                    </w:rPr>
                  </w:pPr>
                  <w:r w:rsidRPr="003E743A">
                    <w:rPr>
                      <w:rFonts w:ascii="Times New Roman" w:eastAsia="Calibri" w:hAnsi="Times New Roman" w:cs="Times New Roman"/>
                      <w:color w:val="000000"/>
                      <w:sz w:val="18"/>
                      <w:szCs w:val="18"/>
                    </w:rPr>
                    <w:t xml:space="preserve">La préparation des sites </w:t>
                  </w:r>
                  <w:r>
                    <w:rPr>
                      <w:rFonts w:ascii="Times New Roman" w:eastAsia="Calibri" w:hAnsi="Times New Roman" w:cs="Times New Roman"/>
                      <w:color w:val="000000"/>
                      <w:sz w:val="18"/>
                      <w:szCs w:val="18"/>
                    </w:rPr>
                    <w:t>concernées</w:t>
                  </w:r>
                </w:p>
              </w:tc>
              <w:tc>
                <w:tcPr>
                  <w:tcW w:w="317" w:type="pct"/>
                  <w:tcBorders>
                    <w:top w:val="single" w:sz="4" w:space="0" w:color="auto"/>
                    <w:left w:val="single" w:sz="4" w:space="0" w:color="auto"/>
                    <w:bottom w:val="single" w:sz="4" w:space="0" w:color="auto"/>
                    <w:right w:val="single" w:sz="4" w:space="0" w:color="auto"/>
                  </w:tcBorders>
                  <w:shd w:val="clear" w:color="auto" w:fill="F2F2F2" w:themeFill="background1" w:themeFillShade="F2"/>
                  <w:textDirection w:val="btLr"/>
                  <w:vAlign w:val="center"/>
                </w:tcPr>
                <w:p w:rsidR="00787AC7" w:rsidRPr="003E743A" w:rsidRDefault="00787AC7" w:rsidP="00787AC7">
                  <w:pPr>
                    <w:spacing w:after="0"/>
                    <w:jc w:val="both"/>
                    <w:rPr>
                      <w:rFonts w:ascii="Times New Roman" w:hAnsi="Times New Roman" w:cs="Times New Roman"/>
                      <w:sz w:val="18"/>
                      <w:szCs w:val="18"/>
                    </w:rPr>
                  </w:pPr>
                  <w:r>
                    <w:rPr>
                      <w:rFonts w:ascii="Times New Roman" w:eastAsia="Calibri" w:hAnsi="Times New Roman" w:cs="Times New Roman"/>
                      <w:color w:val="000000"/>
                      <w:sz w:val="18"/>
                      <w:szCs w:val="18"/>
                    </w:rPr>
                    <w:t>L’</w:t>
                  </w:r>
                  <w:r w:rsidRPr="003E743A">
                    <w:rPr>
                      <w:rFonts w:ascii="Times New Roman" w:eastAsia="Calibri" w:hAnsi="Times New Roman" w:cs="Times New Roman"/>
                      <w:color w:val="000000"/>
                      <w:sz w:val="18"/>
                      <w:szCs w:val="18"/>
                    </w:rPr>
                    <w:t>installation du chantier,  de mise en place de la base vie et des clôtures temporaires</w:t>
                  </w:r>
                </w:p>
              </w:tc>
              <w:tc>
                <w:tcPr>
                  <w:tcW w:w="227" w:type="pct"/>
                  <w:tcBorders>
                    <w:top w:val="single" w:sz="4" w:space="0" w:color="auto"/>
                    <w:left w:val="single" w:sz="4" w:space="0" w:color="auto"/>
                    <w:bottom w:val="single" w:sz="4" w:space="0" w:color="auto"/>
                    <w:right w:val="single" w:sz="4" w:space="0" w:color="auto"/>
                  </w:tcBorders>
                  <w:shd w:val="clear" w:color="auto" w:fill="F2F2F2" w:themeFill="background1" w:themeFillShade="F2"/>
                  <w:textDirection w:val="btLr"/>
                  <w:vAlign w:val="center"/>
                </w:tcPr>
                <w:p w:rsidR="00787AC7" w:rsidRPr="003E743A" w:rsidRDefault="00787AC7" w:rsidP="00787AC7">
                  <w:pPr>
                    <w:spacing w:after="0" w:line="240" w:lineRule="auto"/>
                    <w:jc w:val="both"/>
                    <w:rPr>
                      <w:rFonts w:ascii="Times New Roman" w:hAnsi="Times New Roman" w:cs="Times New Roman"/>
                      <w:sz w:val="18"/>
                      <w:szCs w:val="18"/>
                    </w:rPr>
                  </w:pPr>
                  <w:r w:rsidRPr="003E743A">
                    <w:rPr>
                      <w:rFonts w:ascii="Times New Roman" w:eastAsia="Calibri" w:hAnsi="Times New Roman" w:cs="Times New Roman"/>
                      <w:color w:val="000000"/>
                      <w:sz w:val="18"/>
                      <w:szCs w:val="18"/>
                    </w:rPr>
                    <w:t>l’amén</w:t>
                  </w:r>
                  <w:r>
                    <w:rPr>
                      <w:rFonts w:ascii="Times New Roman" w:eastAsia="Calibri" w:hAnsi="Times New Roman" w:cs="Times New Roman"/>
                      <w:color w:val="000000"/>
                      <w:sz w:val="18"/>
                      <w:szCs w:val="18"/>
                    </w:rPr>
                    <w:t>agement d’accès temporaires  et amené des engins de terrassement et camions</w:t>
                  </w:r>
                </w:p>
              </w:tc>
              <w:tc>
                <w:tcPr>
                  <w:tcW w:w="227" w:type="pct"/>
                  <w:tcBorders>
                    <w:top w:val="single" w:sz="4" w:space="0" w:color="auto"/>
                    <w:left w:val="single" w:sz="4" w:space="0" w:color="auto"/>
                    <w:bottom w:val="single" w:sz="4" w:space="0" w:color="auto"/>
                    <w:right w:val="single" w:sz="4" w:space="0" w:color="auto"/>
                  </w:tcBorders>
                  <w:shd w:val="clear" w:color="auto" w:fill="F2F2F2" w:themeFill="background1" w:themeFillShade="F2"/>
                  <w:textDirection w:val="btLr"/>
                </w:tcPr>
                <w:p w:rsidR="00787AC7" w:rsidRPr="003E743A" w:rsidRDefault="00787AC7" w:rsidP="00787AC7">
                  <w:pPr>
                    <w:spacing w:after="0"/>
                    <w:jc w:val="both"/>
                    <w:rPr>
                      <w:rFonts w:ascii="Times New Roman" w:hAnsi="Times New Roman" w:cs="Times New Roman"/>
                      <w:sz w:val="18"/>
                      <w:szCs w:val="18"/>
                    </w:rPr>
                  </w:pPr>
                  <w:r w:rsidRPr="003E743A">
                    <w:rPr>
                      <w:rFonts w:ascii="Times New Roman" w:eastAsia="Calibri" w:hAnsi="Times New Roman" w:cs="Times New Roman"/>
                      <w:color w:val="000000"/>
                      <w:sz w:val="18"/>
                      <w:szCs w:val="18"/>
                    </w:rPr>
                    <w:t xml:space="preserve">L’entreposage et la gestion des matériaux et des produits pétroliers </w:t>
                  </w:r>
                </w:p>
              </w:tc>
              <w:tc>
                <w:tcPr>
                  <w:tcW w:w="181" w:type="pct"/>
                  <w:tcBorders>
                    <w:top w:val="single" w:sz="4" w:space="0" w:color="auto"/>
                    <w:left w:val="single" w:sz="4" w:space="0" w:color="auto"/>
                    <w:bottom w:val="single" w:sz="4" w:space="0" w:color="auto"/>
                    <w:right w:val="single" w:sz="4" w:space="0" w:color="auto"/>
                  </w:tcBorders>
                  <w:shd w:val="clear" w:color="auto" w:fill="F2F2F2" w:themeFill="background1" w:themeFillShade="F2"/>
                  <w:textDirection w:val="btLr"/>
                </w:tcPr>
                <w:p w:rsidR="00787AC7" w:rsidRPr="003E743A" w:rsidRDefault="00787AC7" w:rsidP="00787AC7">
                  <w:pPr>
                    <w:spacing w:after="0"/>
                    <w:jc w:val="both"/>
                    <w:rPr>
                      <w:rFonts w:ascii="Times New Roman" w:hAnsi="Times New Roman" w:cs="Times New Roman"/>
                      <w:sz w:val="18"/>
                      <w:szCs w:val="18"/>
                    </w:rPr>
                  </w:pPr>
                  <w:r>
                    <w:rPr>
                      <w:rFonts w:ascii="Times New Roman" w:eastAsia="Calibri" w:hAnsi="Times New Roman" w:cs="Times New Roman"/>
                      <w:color w:val="000000"/>
                      <w:sz w:val="18"/>
                      <w:szCs w:val="18"/>
                    </w:rPr>
                    <w:t>L’implantation, l</w:t>
                  </w:r>
                  <w:r w:rsidRPr="003E743A">
                    <w:rPr>
                      <w:rFonts w:ascii="Times New Roman" w:eastAsia="Calibri" w:hAnsi="Times New Roman" w:cs="Times New Roman"/>
                      <w:color w:val="000000"/>
                      <w:sz w:val="18"/>
                      <w:szCs w:val="18"/>
                    </w:rPr>
                    <w:t>e recrutement et la présence de travailleurs</w:t>
                  </w:r>
                </w:p>
              </w:tc>
              <w:tc>
                <w:tcPr>
                  <w:tcW w:w="226" w:type="pct"/>
                  <w:tcBorders>
                    <w:top w:val="single" w:sz="4" w:space="0" w:color="auto"/>
                    <w:left w:val="single" w:sz="4" w:space="0" w:color="auto"/>
                    <w:bottom w:val="single" w:sz="4" w:space="0" w:color="auto"/>
                    <w:right w:val="single" w:sz="4" w:space="0" w:color="auto"/>
                  </w:tcBorders>
                  <w:shd w:val="clear" w:color="auto" w:fill="F2F2F2" w:themeFill="background1" w:themeFillShade="F2"/>
                  <w:textDirection w:val="btLr"/>
                </w:tcPr>
                <w:p w:rsidR="00787AC7" w:rsidRPr="003E743A" w:rsidRDefault="00787AC7" w:rsidP="00787AC7">
                  <w:pPr>
                    <w:spacing w:after="0"/>
                    <w:jc w:val="both"/>
                    <w:rPr>
                      <w:rFonts w:ascii="Times New Roman" w:hAnsi="Times New Roman" w:cs="Times New Roman"/>
                      <w:color w:val="000000"/>
                      <w:sz w:val="18"/>
                      <w:szCs w:val="18"/>
                    </w:rPr>
                  </w:pPr>
                  <w:r w:rsidRPr="003E743A">
                    <w:rPr>
                      <w:rFonts w:ascii="Times New Roman" w:hAnsi="Times New Roman" w:cs="Times New Roman"/>
                      <w:color w:val="000000"/>
                      <w:sz w:val="18"/>
                      <w:szCs w:val="18"/>
                    </w:rPr>
                    <w:t xml:space="preserve">La présence et la circulation associée </w:t>
                  </w:r>
                  <w:r w:rsidRPr="003E743A">
                    <w:rPr>
                      <w:rFonts w:ascii="Times New Roman" w:eastAsia="Calibri" w:hAnsi="Times New Roman" w:cs="Times New Roman"/>
                      <w:color w:val="000000"/>
                      <w:sz w:val="18"/>
                      <w:szCs w:val="18"/>
                    </w:rPr>
                    <w:t>aux</w:t>
                  </w:r>
                  <w:r w:rsidRPr="003E743A">
                    <w:rPr>
                      <w:rFonts w:ascii="Times New Roman" w:hAnsi="Times New Roman" w:cs="Times New Roman"/>
                      <w:color w:val="000000"/>
                      <w:sz w:val="18"/>
                      <w:szCs w:val="18"/>
                    </w:rPr>
                    <w:t xml:space="preserve"> déplacements des véhicules et </w:t>
                  </w:r>
                  <w:r>
                    <w:rPr>
                      <w:rFonts w:ascii="Times New Roman" w:hAnsi="Times New Roman" w:cs="Times New Roman"/>
                      <w:color w:val="000000"/>
                      <w:sz w:val="18"/>
                      <w:szCs w:val="18"/>
                    </w:rPr>
                    <w:t>des engins</w:t>
                  </w:r>
                </w:p>
                <w:p w:rsidR="00787AC7" w:rsidRPr="003E743A" w:rsidRDefault="00787AC7" w:rsidP="00787AC7">
                  <w:pPr>
                    <w:spacing w:after="0"/>
                    <w:jc w:val="both"/>
                    <w:rPr>
                      <w:rFonts w:ascii="Times New Roman" w:hAnsi="Times New Roman" w:cs="Times New Roman"/>
                      <w:sz w:val="18"/>
                      <w:szCs w:val="18"/>
                    </w:rPr>
                  </w:pPr>
                </w:p>
              </w:tc>
              <w:tc>
                <w:tcPr>
                  <w:tcW w:w="181" w:type="pct"/>
                  <w:tcBorders>
                    <w:top w:val="single" w:sz="4" w:space="0" w:color="auto"/>
                    <w:left w:val="single" w:sz="4" w:space="0" w:color="auto"/>
                    <w:bottom w:val="single" w:sz="4" w:space="0" w:color="auto"/>
                    <w:right w:val="single" w:sz="4" w:space="0" w:color="auto"/>
                  </w:tcBorders>
                  <w:shd w:val="clear" w:color="auto" w:fill="F2F2F2" w:themeFill="background1" w:themeFillShade="F2"/>
                  <w:textDirection w:val="btLr"/>
                </w:tcPr>
                <w:p w:rsidR="00787AC7" w:rsidRPr="003E743A" w:rsidRDefault="00787AC7" w:rsidP="00787AC7">
                  <w:pPr>
                    <w:spacing w:after="0"/>
                    <w:jc w:val="both"/>
                    <w:rPr>
                      <w:rFonts w:ascii="Times New Roman" w:hAnsi="Times New Roman" w:cs="Times New Roman"/>
                      <w:sz w:val="18"/>
                      <w:szCs w:val="18"/>
                    </w:rPr>
                  </w:pPr>
                  <w:r w:rsidRPr="003E743A">
                    <w:rPr>
                      <w:rFonts w:ascii="Times New Roman" w:hAnsi="Times New Roman" w:cs="Times New Roman"/>
                      <w:sz w:val="18"/>
                      <w:szCs w:val="18"/>
                    </w:rPr>
                    <w:t>la libération de l’emprise des travaux ;</w:t>
                  </w:r>
                </w:p>
              </w:tc>
              <w:tc>
                <w:tcPr>
                  <w:tcW w:w="227" w:type="pct"/>
                  <w:tcBorders>
                    <w:top w:val="single" w:sz="4" w:space="0" w:color="auto"/>
                    <w:left w:val="single" w:sz="4" w:space="0" w:color="auto"/>
                    <w:bottom w:val="single" w:sz="4" w:space="0" w:color="auto"/>
                    <w:right w:val="single" w:sz="4" w:space="0" w:color="auto"/>
                  </w:tcBorders>
                  <w:shd w:val="clear" w:color="auto" w:fill="F2F2F2" w:themeFill="background1" w:themeFillShade="F2"/>
                  <w:textDirection w:val="btLr"/>
                </w:tcPr>
                <w:p w:rsidR="00787AC7" w:rsidRPr="003E743A" w:rsidRDefault="00787AC7" w:rsidP="00787AC7">
                  <w:pPr>
                    <w:spacing w:after="0"/>
                    <w:jc w:val="both"/>
                    <w:rPr>
                      <w:rFonts w:ascii="Times New Roman" w:hAnsi="Times New Roman" w:cs="Times New Roman"/>
                      <w:sz w:val="18"/>
                      <w:szCs w:val="18"/>
                    </w:rPr>
                  </w:pPr>
                  <w:r w:rsidRPr="003E743A">
                    <w:rPr>
                      <w:rFonts w:ascii="Times New Roman" w:eastAsia="Calibri" w:hAnsi="Times New Roman" w:cs="Times New Roman"/>
                      <w:color w:val="000000"/>
                      <w:sz w:val="18"/>
                      <w:szCs w:val="18"/>
                    </w:rPr>
                    <w:t>La circulation associée aux déplacements des véhicules et de la machinerie lourde</w:t>
                  </w:r>
                </w:p>
              </w:tc>
              <w:tc>
                <w:tcPr>
                  <w:tcW w:w="181" w:type="pct"/>
                  <w:tcBorders>
                    <w:top w:val="single" w:sz="4" w:space="0" w:color="auto"/>
                    <w:left w:val="single" w:sz="4" w:space="0" w:color="auto"/>
                    <w:bottom w:val="single" w:sz="4" w:space="0" w:color="auto"/>
                    <w:right w:val="single" w:sz="4" w:space="0" w:color="auto"/>
                  </w:tcBorders>
                  <w:shd w:val="clear" w:color="auto" w:fill="F2F2F2" w:themeFill="background1" w:themeFillShade="F2"/>
                  <w:textDirection w:val="btLr"/>
                </w:tcPr>
                <w:p w:rsidR="00787AC7" w:rsidRPr="003E743A" w:rsidRDefault="00787AC7" w:rsidP="00787AC7">
                  <w:pPr>
                    <w:spacing w:after="0"/>
                    <w:jc w:val="both"/>
                    <w:rPr>
                      <w:rFonts w:ascii="Times New Roman" w:hAnsi="Times New Roman" w:cs="Times New Roman"/>
                      <w:sz w:val="18"/>
                      <w:szCs w:val="18"/>
                    </w:rPr>
                  </w:pPr>
                  <w:r w:rsidRPr="003E743A">
                    <w:rPr>
                      <w:rFonts w:ascii="Times New Roman" w:eastAsia="Calibri" w:hAnsi="Times New Roman" w:cs="Times New Roman"/>
                      <w:color w:val="000000"/>
                      <w:sz w:val="18"/>
                      <w:szCs w:val="18"/>
                    </w:rPr>
                    <w:t>La circulation des personnes et des biens</w:t>
                  </w:r>
                </w:p>
              </w:tc>
              <w:tc>
                <w:tcPr>
                  <w:tcW w:w="226" w:type="pct"/>
                  <w:tcBorders>
                    <w:top w:val="single" w:sz="4" w:space="0" w:color="auto"/>
                    <w:left w:val="single" w:sz="4" w:space="0" w:color="auto"/>
                    <w:bottom w:val="single" w:sz="4" w:space="0" w:color="auto"/>
                    <w:right w:val="single" w:sz="4" w:space="0" w:color="auto"/>
                  </w:tcBorders>
                  <w:shd w:val="clear" w:color="auto" w:fill="F2F2F2" w:themeFill="background1" w:themeFillShade="F2"/>
                  <w:textDirection w:val="btLr"/>
                </w:tcPr>
                <w:p w:rsidR="00787AC7" w:rsidRPr="003E743A" w:rsidRDefault="00787AC7" w:rsidP="00787AC7">
                  <w:pPr>
                    <w:spacing w:after="0"/>
                    <w:jc w:val="both"/>
                    <w:rPr>
                      <w:rFonts w:ascii="Times New Roman" w:hAnsi="Times New Roman" w:cs="Times New Roman"/>
                      <w:sz w:val="18"/>
                      <w:szCs w:val="18"/>
                    </w:rPr>
                  </w:pPr>
                  <w:r>
                    <w:rPr>
                      <w:rFonts w:ascii="Times New Roman" w:hAnsi="Times New Roman" w:cs="Times New Roman"/>
                      <w:sz w:val="18"/>
                      <w:szCs w:val="18"/>
                    </w:rPr>
                    <w:t>Nivellement et terrassement (excavation pour puits de fondation, nivellement général)</w:t>
                  </w:r>
                </w:p>
              </w:tc>
              <w:tc>
                <w:tcPr>
                  <w:tcW w:w="181" w:type="pct"/>
                  <w:tcBorders>
                    <w:top w:val="single" w:sz="4" w:space="0" w:color="auto"/>
                    <w:left w:val="single" w:sz="4" w:space="0" w:color="auto"/>
                    <w:bottom w:val="single" w:sz="4" w:space="0" w:color="auto"/>
                    <w:right w:val="single" w:sz="4" w:space="0" w:color="auto"/>
                  </w:tcBorders>
                  <w:shd w:val="clear" w:color="auto" w:fill="F2F2F2" w:themeFill="background1" w:themeFillShade="F2"/>
                  <w:textDirection w:val="btLr"/>
                </w:tcPr>
                <w:p w:rsidR="00787AC7" w:rsidRPr="003E743A" w:rsidRDefault="00787AC7" w:rsidP="00787AC7">
                  <w:pPr>
                    <w:spacing w:after="0"/>
                    <w:jc w:val="both"/>
                    <w:rPr>
                      <w:rFonts w:ascii="Times New Roman" w:hAnsi="Times New Roman" w:cs="Times New Roman"/>
                      <w:sz w:val="18"/>
                      <w:szCs w:val="18"/>
                    </w:rPr>
                  </w:pPr>
                  <w:r>
                    <w:rPr>
                      <w:rFonts w:ascii="Times New Roman" w:hAnsi="Times New Roman" w:cs="Times New Roman"/>
                      <w:sz w:val="18"/>
                      <w:szCs w:val="18"/>
                    </w:rPr>
                    <w:t xml:space="preserve">les travaux </w:t>
                  </w:r>
                  <w:r w:rsidRPr="003E743A">
                    <w:rPr>
                      <w:rFonts w:ascii="Times New Roman" w:hAnsi="Times New Roman" w:cs="Times New Roman"/>
                      <w:sz w:val="18"/>
                      <w:szCs w:val="18"/>
                    </w:rPr>
                    <w:t xml:space="preserve"> de compactage </w:t>
                  </w:r>
                  <w:r w:rsidRPr="003E743A">
                    <w:rPr>
                      <w:rFonts w:ascii="Times New Roman" w:eastAsia="Calibri" w:hAnsi="Times New Roman" w:cs="Times New Roman"/>
                      <w:color w:val="000000"/>
                      <w:sz w:val="18"/>
                      <w:szCs w:val="18"/>
                    </w:rPr>
                    <w:t xml:space="preserve"> , etc..</w:t>
                  </w:r>
                </w:p>
              </w:tc>
              <w:tc>
                <w:tcPr>
                  <w:tcW w:w="226" w:type="pct"/>
                  <w:tcBorders>
                    <w:top w:val="single" w:sz="4" w:space="0" w:color="auto"/>
                    <w:left w:val="single" w:sz="4" w:space="0" w:color="auto"/>
                    <w:bottom w:val="single" w:sz="4" w:space="0" w:color="auto"/>
                    <w:right w:val="single" w:sz="4" w:space="0" w:color="auto"/>
                  </w:tcBorders>
                  <w:shd w:val="clear" w:color="auto" w:fill="F2F2F2" w:themeFill="background1" w:themeFillShade="F2"/>
                  <w:textDirection w:val="btLr"/>
                </w:tcPr>
                <w:p w:rsidR="00787AC7" w:rsidRPr="003E743A" w:rsidRDefault="00787AC7" w:rsidP="00787AC7">
                  <w:pPr>
                    <w:spacing w:after="0"/>
                    <w:jc w:val="both"/>
                    <w:rPr>
                      <w:rFonts w:ascii="Times New Roman" w:hAnsi="Times New Roman" w:cs="Times New Roman"/>
                      <w:color w:val="000000"/>
                      <w:sz w:val="18"/>
                      <w:szCs w:val="18"/>
                    </w:rPr>
                  </w:pPr>
                  <w:r w:rsidRPr="003E743A">
                    <w:rPr>
                      <w:rFonts w:ascii="Times New Roman" w:hAnsi="Times New Roman" w:cs="Times New Roman"/>
                      <w:sz w:val="18"/>
                      <w:szCs w:val="18"/>
                    </w:rPr>
                    <w:t>les tr</w:t>
                  </w:r>
                  <w:r>
                    <w:rPr>
                      <w:rFonts w:ascii="Times New Roman" w:hAnsi="Times New Roman" w:cs="Times New Roman"/>
                      <w:sz w:val="18"/>
                      <w:szCs w:val="18"/>
                    </w:rPr>
                    <w:t>avaux de maçonnerie (béton armé, coffrages, coulage, armature, peinture, etc.</w:t>
                  </w:r>
                </w:p>
              </w:tc>
              <w:tc>
                <w:tcPr>
                  <w:tcW w:w="182" w:type="pct"/>
                  <w:tcBorders>
                    <w:top w:val="single" w:sz="4" w:space="0" w:color="auto"/>
                    <w:left w:val="single" w:sz="4" w:space="0" w:color="auto"/>
                    <w:bottom w:val="single" w:sz="4" w:space="0" w:color="auto"/>
                    <w:right w:val="single" w:sz="4" w:space="0" w:color="auto"/>
                  </w:tcBorders>
                  <w:shd w:val="clear" w:color="auto" w:fill="F2F2F2" w:themeFill="background1" w:themeFillShade="F2"/>
                  <w:textDirection w:val="btLr"/>
                </w:tcPr>
                <w:p w:rsidR="00787AC7" w:rsidRPr="003E743A" w:rsidRDefault="00787AC7" w:rsidP="00787AC7">
                  <w:pPr>
                    <w:spacing w:after="0"/>
                    <w:jc w:val="both"/>
                    <w:rPr>
                      <w:rFonts w:ascii="Times New Roman" w:hAnsi="Times New Roman" w:cs="Times New Roman"/>
                      <w:sz w:val="18"/>
                      <w:szCs w:val="18"/>
                    </w:rPr>
                  </w:pPr>
                  <w:r>
                    <w:rPr>
                      <w:rFonts w:ascii="Times New Roman" w:eastAsia="Calibri" w:hAnsi="Times New Roman" w:cs="Times New Roman"/>
                      <w:color w:val="000000"/>
                      <w:sz w:val="18"/>
                      <w:szCs w:val="18"/>
                    </w:rPr>
                    <w:t>La construction de la clôture et du logement de gardien</w:t>
                  </w:r>
                </w:p>
              </w:tc>
              <w:tc>
                <w:tcPr>
                  <w:tcW w:w="182" w:type="pct"/>
                  <w:tcBorders>
                    <w:top w:val="single" w:sz="4" w:space="0" w:color="auto"/>
                    <w:left w:val="single" w:sz="4" w:space="0" w:color="auto"/>
                    <w:bottom w:val="single" w:sz="4" w:space="0" w:color="auto"/>
                    <w:right w:val="single" w:sz="4" w:space="0" w:color="auto"/>
                  </w:tcBorders>
                  <w:shd w:val="clear" w:color="auto" w:fill="F2F2F2" w:themeFill="background1" w:themeFillShade="F2"/>
                  <w:textDirection w:val="btLr"/>
                </w:tcPr>
                <w:p w:rsidR="00787AC7" w:rsidRPr="003E743A" w:rsidRDefault="00787AC7" w:rsidP="00787AC7">
                  <w:pPr>
                    <w:spacing w:after="0"/>
                    <w:jc w:val="both"/>
                    <w:rPr>
                      <w:rFonts w:ascii="Times New Roman" w:hAnsi="Times New Roman" w:cs="Times New Roman"/>
                      <w:sz w:val="18"/>
                      <w:szCs w:val="18"/>
                    </w:rPr>
                  </w:pPr>
                  <w:r>
                    <w:rPr>
                      <w:rFonts w:ascii="Times New Roman" w:hAnsi="Times New Roman" w:cs="Times New Roman"/>
                      <w:sz w:val="18"/>
                      <w:szCs w:val="18"/>
                    </w:rPr>
                    <w:t>L’alimentation électrique</w:t>
                  </w:r>
                </w:p>
              </w:tc>
              <w:tc>
                <w:tcPr>
                  <w:tcW w:w="181" w:type="pct"/>
                  <w:tcBorders>
                    <w:top w:val="single" w:sz="4" w:space="0" w:color="auto"/>
                    <w:left w:val="single" w:sz="4" w:space="0" w:color="auto"/>
                    <w:bottom w:val="single" w:sz="4" w:space="0" w:color="auto"/>
                    <w:right w:val="single" w:sz="4" w:space="0" w:color="auto"/>
                  </w:tcBorders>
                  <w:shd w:val="clear" w:color="auto" w:fill="F2F2F2" w:themeFill="background1" w:themeFillShade="F2"/>
                  <w:textDirection w:val="btLr"/>
                </w:tcPr>
                <w:p w:rsidR="00787AC7" w:rsidRPr="003E743A" w:rsidRDefault="00787AC7" w:rsidP="00787AC7">
                  <w:pPr>
                    <w:spacing w:after="0"/>
                    <w:jc w:val="both"/>
                    <w:rPr>
                      <w:rFonts w:ascii="Times New Roman" w:eastAsia="Calibri" w:hAnsi="Times New Roman" w:cs="Times New Roman"/>
                      <w:color w:val="000000"/>
                      <w:sz w:val="18"/>
                      <w:szCs w:val="18"/>
                    </w:rPr>
                  </w:pPr>
                  <w:r w:rsidRPr="003E743A">
                    <w:rPr>
                      <w:rFonts w:ascii="Times New Roman" w:hAnsi="Times New Roman" w:cs="Times New Roman"/>
                      <w:color w:val="000000"/>
                      <w:sz w:val="18"/>
                      <w:szCs w:val="18"/>
                    </w:rPr>
                    <w:t>l</w:t>
                  </w:r>
                  <w:r w:rsidRPr="003E743A">
                    <w:rPr>
                      <w:rFonts w:ascii="Times New Roman" w:eastAsia="Calibri" w:hAnsi="Times New Roman" w:cs="Times New Roman"/>
                      <w:color w:val="000000"/>
                      <w:sz w:val="18"/>
                      <w:szCs w:val="18"/>
                    </w:rPr>
                    <w:t>a gestion des déchets et débris;</w:t>
                  </w:r>
                </w:p>
              </w:tc>
              <w:tc>
                <w:tcPr>
                  <w:tcW w:w="202" w:type="pct"/>
                  <w:tcBorders>
                    <w:top w:val="single" w:sz="4" w:space="0" w:color="auto"/>
                    <w:left w:val="single" w:sz="4" w:space="0" w:color="auto"/>
                    <w:bottom w:val="single" w:sz="4" w:space="0" w:color="auto"/>
                    <w:right w:val="single" w:sz="4" w:space="0" w:color="auto"/>
                  </w:tcBorders>
                  <w:shd w:val="clear" w:color="auto" w:fill="F2F2F2" w:themeFill="background1" w:themeFillShade="F2"/>
                  <w:textDirection w:val="btLr"/>
                </w:tcPr>
                <w:p w:rsidR="00787AC7" w:rsidRPr="003E743A" w:rsidRDefault="00787AC7" w:rsidP="00787AC7">
                  <w:pPr>
                    <w:spacing w:after="0"/>
                    <w:jc w:val="both"/>
                    <w:rPr>
                      <w:rFonts w:ascii="Times New Roman" w:hAnsi="Times New Roman" w:cs="Times New Roman"/>
                      <w:sz w:val="18"/>
                      <w:szCs w:val="18"/>
                    </w:rPr>
                  </w:pPr>
                  <w:r w:rsidRPr="003E743A">
                    <w:rPr>
                      <w:rFonts w:ascii="Times New Roman" w:eastAsia="Calibri" w:hAnsi="Times New Roman" w:cs="Times New Roman"/>
                      <w:color w:val="000000"/>
                      <w:sz w:val="18"/>
                      <w:szCs w:val="18"/>
                    </w:rPr>
                    <w:t>la remise en état des lieux à la fin des travaux</w:t>
                  </w:r>
                </w:p>
              </w:tc>
              <w:tc>
                <w:tcPr>
                  <w:tcW w:w="182" w:type="pct"/>
                  <w:tcBorders>
                    <w:top w:val="single" w:sz="4" w:space="0" w:color="auto"/>
                    <w:left w:val="single" w:sz="4" w:space="0" w:color="auto"/>
                    <w:bottom w:val="single" w:sz="4" w:space="0" w:color="auto"/>
                    <w:right w:val="single" w:sz="4" w:space="0" w:color="auto"/>
                  </w:tcBorders>
                  <w:shd w:val="clear" w:color="auto" w:fill="F2F2F2" w:themeFill="background1" w:themeFillShade="F2"/>
                  <w:textDirection w:val="btLr"/>
                </w:tcPr>
                <w:p w:rsidR="00787AC7" w:rsidRPr="003E743A" w:rsidRDefault="00787AC7" w:rsidP="00787AC7">
                  <w:pPr>
                    <w:spacing w:after="0"/>
                    <w:jc w:val="both"/>
                    <w:rPr>
                      <w:rFonts w:ascii="Times New Roman" w:hAnsi="Times New Roman" w:cs="Times New Roman"/>
                      <w:sz w:val="18"/>
                      <w:szCs w:val="18"/>
                    </w:rPr>
                  </w:pPr>
                  <w:r>
                    <w:rPr>
                      <w:rFonts w:ascii="Times New Roman" w:hAnsi="Times New Roman" w:cs="Times New Roman"/>
                      <w:sz w:val="18"/>
                      <w:szCs w:val="18"/>
                    </w:rPr>
                    <w:t>Présence des nouveaux réservoirs dans le paysage</w:t>
                  </w:r>
                </w:p>
              </w:tc>
              <w:tc>
                <w:tcPr>
                  <w:tcW w:w="183" w:type="pct"/>
                  <w:tcBorders>
                    <w:top w:val="single" w:sz="4" w:space="0" w:color="auto"/>
                    <w:left w:val="single" w:sz="4" w:space="0" w:color="auto"/>
                    <w:bottom w:val="single" w:sz="4" w:space="0" w:color="auto"/>
                    <w:right w:val="single" w:sz="4" w:space="0" w:color="auto"/>
                  </w:tcBorders>
                  <w:shd w:val="clear" w:color="auto" w:fill="F2F2F2" w:themeFill="background1" w:themeFillShade="F2"/>
                  <w:textDirection w:val="btLr"/>
                </w:tcPr>
                <w:p w:rsidR="00787AC7" w:rsidRPr="003E743A" w:rsidRDefault="00787AC7" w:rsidP="00787AC7">
                  <w:pPr>
                    <w:spacing w:after="0"/>
                    <w:jc w:val="both"/>
                    <w:rPr>
                      <w:rFonts w:ascii="Times New Roman" w:eastAsia="Calibri" w:hAnsi="Times New Roman" w:cs="Times New Roman"/>
                      <w:color w:val="000000"/>
                      <w:sz w:val="18"/>
                      <w:szCs w:val="18"/>
                    </w:rPr>
                  </w:pPr>
                  <w:r>
                    <w:rPr>
                      <w:rFonts w:ascii="Times New Roman" w:eastAsia="Calibri" w:hAnsi="Times New Roman" w:cs="Times New Roman"/>
                      <w:color w:val="000000"/>
                      <w:sz w:val="18"/>
                      <w:szCs w:val="18"/>
                    </w:rPr>
                    <w:t>Distribution de l’eau</w:t>
                  </w:r>
                </w:p>
              </w:tc>
              <w:tc>
                <w:tcPr>
                  <w:tcW w:w="182" w:type="pct"/>
                  <w:tcBorders>
                    <w:top w:val="single" w:sz="4" w:space="0" w:color="auto"/>
                    <w:left w:val="single" w:sz="4" w:space="0" w:color="auto"/>
                    <w:bottom w:val="single" w:sz="4" w:space="0" w:color="auto"/>
                    <w:right w:val="single" w:sz="4" w:space="0" w:color="auto"/>
                  </w:tcBorders>
                  <w:shd w:val="clear" w:color="auto" w:fill="F2F2F2" w:themeFill="background1" w:themeFillShade="F2"/>
                  <w:textDirection w:val="btLr"/>
                </w:tcPr>
                <w:p w:rsidR="00787AC7" w:rsidRPr="003E743A" w:rsidRDefault="00787AC7" w:rsidP="00787AC7">
                  <w:pPr>
                    <w:spacing w:after="0"/>
                    <w:jc w:val="both"/>
                    <w:rPr>
                      <w:rFonts w:ascii="Times New Roman" w:eastAsia="Calibri" w:hAnsi="Times New Roman" w:cs="Times New Roman"/>
                      <w:color w:val="000000"/>
                      <w:sz w:val="18"/>
                      <w:szCs w:val="18"/>
                    </w:rPr>
                  </w:pPr>
                  <w:r>
                    <w:rPr>
                      <w:rFonts w:ascii="Times New Roman" w:eastAsia="Calibri" w:hAnsi="Times New Roman" w:cs="Times New Roman"/>
                      <w:color w:val="000000"/>
                      <w:sz w:val="18"/>
                      <w:szCs w:val="18"/>
                    </w:rPr>
                    <w:t>Descentes du trop-plein des réservoirs</w:t>
                  </w:r>
                </w:p>
              </w:tc>
              <w:tc>
                <w:tcPr>
                  <w:tcW w:w="138" w:type="pct"/>
                  <w:tcBorders>
                    <w:top w:val="single" w:sz="4" w:space="0" w:color="auto"/>
                    <w:left w:val="single" w:sz="4" w:space="0" w:color="auto"/>
                    <w:bottom w:val="single" w:sz="4" w:space="0" w:color="auto"/>
                    <w:right w:val="single" w:sz="4" w:space="0" w:color="auto"/>
                  </w:tcBorders>
                  <w:shd w:val="clear" w:color="auto" w:fill="F2F2F2" w:themeFill="background1" w:themeFillShade="F2"/>
                  <w:textDirection w:val="btLr"/>
                </w:tcPr>
                <w:p w:rsidR="00787AC7" w:rsidRPr="003E743A" w:rsidRDefault="00787AC7" w:rsidP="00787AC7">
                  <w:pPr>
                    <w:spacing w:after="0"/>
                    <w:jc w:val="both"/>
                    <w:rPr>
                      <w:rFonts w:ascii="Times New Roman" w:eastAsia="Calibri" w:hAnsi="Times New Roman" w:cs="Times New Roman"/>
                      <w:color w:val="000000"/>
                      <w:sz w:val="18"/>
                      <w:szCs w:val="18"/>
                    </w:rPr>
                  </w:pPr>
                  <w:r>
                    <w:rPr>
                      <w:rFonts w:ascii="Times New Roman" w:eastAsia="Calibri" w:hAnsi="Times New Roman" w:cs="Times New Roman"/>
                      <w:color w:val="000000"/>
                      <w:sz w:val="18"/>
                      <w:szCs w:val="18"/>
                    </w:rPr>
                    <w:t>Les travaux de raccordement aux réseaux futur</w:t>
                  </w:r>
                </w:p>
              </w:tc>
              <w:tc>
                <w:tcPr>
                  <w:tcW w:w="127" w:type="pct"/>
                  <w:tcBorders>
                    <w:top w:val="single" w:sz="4" w:space="0" w:color="auto"/>
                    <w:left w:val="single" w:sz="4" w:space="0" w:color="auto"/>
                    <w:bottom w:val="single" w:sz="4" w:space="0" w:color="auto"/>
                    <w:right w:val="single" w:sz="4" w:space="0" w:color="auto"/>
                  </w:tcBorders>
                  <w:shd w:val="clear" w:color="auto" w:fill="F2F2F2" w:themeFill="background1" w:themeFillShade="F2"/>
                  <w:textDirection w:val="btLr"/>
                </w:tcPr>
                <w:p w:rsidR="00787AC7" w:rsidRPr="003E743A" w:rsidRDefault="00787AC7" w:rsidP="00787AC7">
                  <w:pPr>
                    <w:spacing w:after="0"/>
                    <w:jc w:val="both"/>
                    <w:rPr>
                      <w:rFonts w:ascii="Times New Roman" w:eastAsia="Calibri" w:hAnsi="Times New Roman" w:cs="Times New Roman"/>
                      <w:color w:val="000000"/>
                      <w:sz w:val="18"/>
                      <w:szCs w:val="18"/>
                    </w:rPr>
                  </w:pPr>
                  <w:r>
                    <w:rPr>
                      <w:rFonts w:ascii="Times New Roman" w:eastAsia="Calibri" w:hAnsi="Times New Roman" w:cs="Times New Roman"/>
                      <w:color w:val="000000"/>
                      <w:sz w:val="18"/>
                      <w:szCs w:val="18"/>
                    </w:rPr>
                    <w:t>Travaux d’entretien des réservoirs</w:t>
                  </w:r>
                </w:p>
              </w:tc>
            </w:tr>
            <w:tr w:rsidR="00787AC7" w:rsidRPr="003E743A" w:rsidTr="00787AC7">
              <w:trPr>
                <w:trHeight w:val="142"/>
              </w:trPr>
              <w:tc>
                <w:tcPr>
                  <w:tcW w:w="142" w:type="pct"/>
                  <w:vMerge w:val="restart"/>
                  <w:tcBorders>
                    <w:left w:val="single" w:sz="4" w:space="0" w:color="auto"/>
                    <w:right w:val="single" w:sz="4" w:space="0" w:color="auto"/>
                  </w:tcBorders>
                  <w:shd w:val="clear" w:color="auto" w:fill="F2F2F2"/>
                  <w:textDirection w:val="btLr"/>
                  <w:vAlign w:val="center"/>
                </w:tcPr>
                <w:p w:rsidR="00787AC7" w:rsidRPr="003E743A" w:rsidRDefault="00787AC7" w:rsidP="00787AC7">
                  <w:pPr>
                    <w:spacing w:after="0"/>
                    <w:jc w:val="center"/>
                    <w:rPr>
                      <w:rFonts w:ascii="Times New Roman" w:hAnsi="Times New Roman" w:cs="Times New Roman"/>
                      <w:sz w:val="18"/>
                      <w:szCs w:val="18"/>
                    </w:rPr>
                  </w:pPr>
                  <w:r w:rsidRPr="003E743A">
                    <w:rPr>
                      <w:rFonts w:ascii="Times New Roman" w:hAnsi="Times New Roman" w:cs="Times New Roman"/>
                      <w:sz w:val="18"/>
                      <w:szCs w:val="18"/>
                    </w:rPr>
                    <w:t>BIOPHYSIQUE</w:t>
                  </w:r>
                </w:p>
              </w:tc>
              <w:tc>
                <w:tcPr>
                  <w:tcW w:w="621" w:type="pct"/>
                  <w:gridSpan w:val="2"/>
                  <w:tcBorders>
                    <w:top w:val="single" w:sz="4" w:space="0" w:color="auto"/>
                    <w:left w:val="single" w:sz="4" w:space="0" w:color="auto"/>
                    <w:bottom w:val="single" w:sz="4" w:space="0" w:color="auto"/>
                    <w:right w:val="single" w:sz="4" w:space="0" w:color="auto"/>
                  </w:tcBorders>
                  <w:shd w:val="clear" w:color="auto" w:fill="F2F2F2"/>
                  <w:vAlign w:val="center"/>
                </w:tcPr>
                <w:p w:rsidR="00787AC7" w:rsidRPr="003E743A" w:rsidRDefault="00787AC7" w:rsidP="00787AC7">
                  <w:pPr>
                    <w:spacing w:after="0"/>
                    <w:jc w:val="both"/>
                    <w:rPr>
                      <w:rFonts w:ascii="Times New Roman" w:hAnsi="Times New Roman" w:cs="Times New Roman"/>
                      <w:sz w:val="18"/>
                      <w:szCs w:val="18"/>
                    </w:rPr>
                  </w:pPr>
                  <w:r w:rsidRPr="003E743A">
                    <w:rPr>
                      <w:rFonts w:ascii="Times New Roman" w:hAnsi="Times New Roman" w:cs="Times New Roman"/>
                      <w:sz w:val="18"/>
                      <w:szCs w:val="18"/>
                    </w:rPr>
                    <w:t>AIR</w:t>
                  </w:r>
                </w:p>
              </w:tc>
              <w:tc>
                <w:tcPr>
                  <w:tcW w:w="27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87AC7" w:rsidRPr="003E743A" w:rsidRDefault="00787AC7" w:rsidP="00787AC7">
                  <w:pPr>
                    <w:spacing w:after="0"/>
                    <w:jc w:val="center"/>
                    <w:rPr>
                      <w:rFonts w:ascii="Times New Roman" w:hAnsi="Times New Roman" w:cs="Times New Roman"/>
                      <w:sz w:val="24"/>
                      <w:szCs w:val="24"/>
                    </w:rPr>
                  </w:pPr>
                  <w:r w:rsidRPr="003E743A">
                    <w:rPr>
                      <w:rFonts w:ascii="Times New Roman" w:hAnsi="Times New Roman" w:cs="Times New Roman"/>
                      <w:sz w:val="24"/>
                      <w:szCs w:val="24"/>
                    </w:rPr>
                    <w:t>*</w:t>
                  </w:r>
                </w:p>
              </w:tc>
              <w:tc>
                <w:tcPr>
                  <w:tcW w:w="31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87AC7" w:rsidRPr="003E743A" w:rsidRDefault="00787AC7" w:rsidP="00787AC7">
                  <w:pPr>
                    <w:spacing w:after="0"/>
                    <w:jc w:val="both"/>
                    <w:rPr>
                      <w:rFonts w:ascii="Times New Roman" w:hAnsi="Times New Roman" w:cs="Times New Roman"/>
                      <w:sz w:val="24"/>
                      <w:szCs w:val="24"/>
                    </w:rPr>
                  </w:pPr>
                  <w:r w:rsidRPr="003E743A">
                    <w:rPr>
                      <w:rFonts w:ascii="Times New Roman" w:hAnsi="Times New Roman" w:cs="Times New Roman"/>
                      <w:sz w:val="24"/>
                      <w:szCs w:val="24"/>
                    </w:rPr>
                    <w:t>*</w:t>
                  </w:r>
                </w:p>
              </w:tc>
              <w:tc>
                <w:tcPr>
                  <w:tcW w:w="22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87AC7" w:rsidRPr="003E743A" w:rsidRDefault="00787AC7" w:rsidP="00787AC7">
                  <w:pPr>
                    <w:spacing w:after="0"/>
                    <w:jc w:val="both"/>
                    <w:rPr>
                      <w:rFonts w:ascii="Times New Roman" w:hAnsi="Times New Roman" w:cs="Times New Roman"/>
                      <w:sz w:val="24"/>
                      <w:szCs w:val="24"/>
                    </w:rPr>
                  </w:pPr>
                  <w:r w:rsidRPr="003E743A">
                    <w:rPr>
                      <w:rFonts w:ascii="Times New Roman" w:hAnsi="Times New Roman" w:cs="Times New Roman"/>
                      <w:sz w:val="24"/>
                      <w:szCs w:val="24"/>
                    </w:rPr>
                    <w:t>*</w:t>
                  </w:r>
                </w:p>
              </w:tc>
              <w:tc>
                <w:tcPr>
                  <w:tcW w:w="227" w:type="pct"/>
                  <w:tcBorders>
                    <w:top w:val="single" w:sz="4" w:space="0" w:color="auto"/>
                    <w:left w:val="single" w:sz="4" w:space="0" w:color="auto"/>
                    <w:bottom w:val="single" w:sz="4" w:space="0" w:color="auto"/>
                    <w:right w:val="single" w:sz="4" w:space="0" w:color="auto"/>
                  </w:tcBorders>
                  <w:shd w:val="clear" w:color="auto" w:fill="FFFFFF" w:themeFill="background1"/>
                </w:tcPr>
                <w:p w:rsidR="00787AC7" w:rsidRPr="003E743A" w:rsidRDefault="00787AC7" w:rsidP="00787AC7">
                  <w:pPr>
                    <w:spacing w:after="0"/>
                    <w:jc w:val="both"/>
                    <w:rPr>
                      <w:rFonts w:ascii="Times New Roman" w:hAnsi="Times New Roman" w:cs="Times New Roman"/>
                      <w:sz w:val="24"/>
                      <w:szCs w:val="24"/>
                    </w:rPr>
                  </w:pPr>
                </w:p>
              </w:tc>
              <w:tc>
                <w:tcPr>
                  <w:tcW w:w="181" w:type="pct"/>
                  <w:tcBorders>
                    <w:top w:val="single" w:sz="4" w:space="0" w:color="auto"/>
                    <w:left w:val="single" w:sz="4" w:space="0" w:color="auto"/>
                    <w:bottom w:val="single" w:sz="4" w:space="0" w:color="auto"/>
                    <w:right w:val="single" w:sz="4" w:space="0" w:color="auto"/>
                  </w:tcBorders>
                  <w:shd w:val="clear" w:color="auto" w:fill="FFFFFF" w:themeFill="background1"/>
                </w:tcPr>
                <w:p w:rsidR="00787AC7" w:rsidRPr="003E743A" w:rsidRDefault="00787AC7" w:rsidP="00787AC7">
                  <w:pPr>
                    <w:spacing w:after="0"/>
                    <w:jc w:val="both"/>
                    <w:rPr>
                      <w:rFonts w:ascii="Times New Roman" w:hAnsi="Times New Roman" w:cs="Times New Roman"/>
                      <w:sz w:val="24"/>
                      <w:szCs w:val="24"/>
                    </w:rPr>
                  </w:pPr>
                </w:p>
              </w:tc>
              <w:tc>
                <w:tcPr>
                  <w:tcW w:w="22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87AC7" w:rsidRPr="003E743A" w:rsidRDefault="00787AC7" w:rsidP="00787AC7">
                  <w:pPr>
                    <w:spacing w:after="0"/>
                    <w:jc w:val="both"/>
                    <w:rPr>
                      <w:rFonts w:ascii="Times New Roman" w:hAnsi="Times New Roman" w:cs="Times New Roman"/>
                      <w:sz w:val="24"/>
                      <w:szCs w:val="24"/>
                    </w:rPr>
                  </w:pPr>
                  <w:r w:rsidRPr="003E743A">
                    <w:rPr>
                      <w:rFonts w:ascii="Times New Roman" w:hAnsi="Times New Roman" w:cs="Times New Roman"/>
                      <w:sz w:val="24"/>
                      <w:szCs w:val="24"/>
                    </w:rPr>
                    <w:t>*</w:t>
                  </w:r>
                </w:p>
              </w:tc>
              <w:tc>
                <w:tcPr>
                  <w:tcW w:w="18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87AC7" w:rsidRPr="003E743A" w:rsidRDefault="00787AC7" w:rsidP="00787AC7">
                  <w:pPr>
                    <w:spacing w:after="0"/>
                    <w:jc w:val="both"/>
                    <w:rPr>
                      <w:rFonts w:ascii="Times New Roman" w:hAnsi="Times New Roman" w:cs="Times New Roman"/>
                      <w:sz w:val="24"/>
                      <w:szCs w:val="24"/>
                    </w:rPr>
                  </w:pPr>
                  <w:r w:rsidRPr="003E743A">
                    <w:rPr>
                      <w:rFonts w:ascii="Times New Roman" w:hAnsi="Times New Roman" w:cs="Times New Roman"/>
                      <w:sz w:val="24"/>
                      <w:szCs w:val="24"/>
                    </w:rPr>
                    <w:t>*</w:t>
                  </w:r>
                </w:p>
              </w:tc>
              <w:tc>
                <w:tcPr>
                  <w:tcW w:w="22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87AC7" w:rsidRPr="003E743A" w:rsidRDefault="00787AC7" w:rsidP="00787AC7">
                  <w:pPr>
                    <w:spacing w:after="0"/>
                    <w:jc w:val="both"/>
                    <w:rPr>
                      <w:rFonts w:ascii="Times New Roman" w:hAnsi="Times New Roman" w:cs="Times New Roman"/>
                      <w:sz w:val="24"/>
                      <w:szCs w:val="24"/>
                    </w:rPr>
                  </w:pPr>
                  <w:r w:rsidRPr="003E743A">
                    <w:rPr>
                      <w:rFonts w:ascii="Times New Roman" w:hAnsi="Times New Roman" w:cs="Times New Roman"/>
                      <w:sz w:val="24"/>
                      <w:szCs w:val="24"/>
                    </w:rPr>
                    <w:t>*</w:t>
                  </w:r>
                </w:p>
              </w:tc>
              <w:tc>
                <w:tcPr>
                  <w:tcW w:w="18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87AC7" w:rsidRPr="003E743A" w:rsidRDefault="00787AC7" w:rsidP="00787AC7">
                  <w:pPr>
                    <w:spacing w:after="0"/>
                    <w:jc w:val="both"/>
                    <w:rPr>
                      <w:rFonts w:ascii="Times New Roman" w:hAnsi="Times New Roman" w:cs="Times New Roman"/>
                      <w:sz w:val="24"/>
                      <w:szCs w:val="24"/>
                    </w:rPr>
                  </w:pPr>
                </w:p>
              </w:tc>
              <w:tc>
                <w:tcPr>
                  <w:tcW w:w="226" w:type="pct"/>
                  <w:tcBorders>
                    <w:top w:val="single" w:sz="4" w:space="0" w:color="auto"/>
                    <w:left w:val="single" w:sz="4" w:space="0" w:color="auto"/>
                    <w:bottom w:val="single" w:sz="4" w:space="0" w:color="auto"/>
                    <w:right w:val="single" w:sz="4" w:space="0" w:color="auto"/>
                  </w:tcBorders>
                  <w:shd w:val="clear" w:color="auto" w:fill="FFFFFF" w:themeFill="background1"/>
                </w:tcPr>
                <w:p w:rsidR="00787AC7" w:rsidRPr="003E743A" w:rsidRDefault="00787AC7" w:rsidP="00787AC7">
                  <w:pPr>
                    <w:spacing w:after="0"/>
                    <w:jc w:val="both"/>
                    <w:rPr>
                      <w:rFonts w:ascii="Times New Roman" w:hAnsi="Times New Roman" w:cs="Times New Roman"/>
                      <w:sz w:val="24"/>
                      <w:szCs w:val="24"/>
                    </w:rPr>
                  </w:pPr>
                  <w:r>
                    <w:rPr>
                      <w:rFonts w:ascii="Times New Roman" w:hAnsi="Times New Roman" w:cs="Times New Roman"/>
                      <w:sz w:val="24"/>
                      <w:szCs w:val="24"/>
                    </w:rPr>
                    <w:t>*</w:t>
                  </w:r>
                </w:p>
              </w:tc>
              <w:tc>
                <w:tcPr>
                  <w:tcW w:w="181" w:type="pct"/>
                  <w:tcBorders>
                    <w:top w:val="single" w:sz="4" w:space="0" w:color="auto"/>
                    <w:left w:val="single" w:sz="4" w:space="0" w:color="auto"/>
                    <w:bottom w:val="single" w:sz="4" w:space="0" w:color="auto"/>
                    <w:right w:val="single" w:sz="4" w:space="0" w:color="auto"/>
                  </w:tcBorders>
                  <w:shd w:val="clear" w:color="auto" w:fill="FFFFFF" w:themeFill="background1"/>
                </w:tcPr>
                <w:p w:rsidR="00787AC7" w:rsidRPr="003E743A" w:rsidRDefault="00787AC7" w:rsidP="00787AC7">
                  <w:pPr>
                    <w:spacing w:after="0"/>
                    <w:jc w:val="both"/>
                    <w:rPr>
                      <w:rFonts w:ascii="Times New Roman" w:hAnsi="Times New Roman" w:cs="Times New Roman"/>
                      <w:sz w:val="24"/>
                      <w:szCs w:val="24"/>
                    </w:rPr>
                  </w:pPr>
                  <w:r>
                    <w:rPr>
                      <w:rFonts w:ascii="Times New Roman" w:hAnsi="Times New Roman" w:cs="Times New Roman"/>
                      <w:sz w:val="24"/>
                      <w:szCs w:val="24"/>
                    </w:rPr>
                    <w:t>*</w:t>
                  </w:r>
                </w:p>
              </w:tc>
              <w:tc>
                <w:tcPr>
                  <w:tcW w:w="226" w:type="pct"/>
                  <w:tcBorders>
                    <w:top w:val="single" w:sz="4" w:space="0" w:color="auto"/>
                    <w:left w:val="single" w:sz="4" w:space="0" w:color="auto"/>
                    <w:bottom w:val="single" w:sz="4" w:space="0" w:color="auto"/>
                    <w:right w:val="single" w:sz="4" w:space="0" w:color="auto"/>
                  </w:tcBorders>
                  <w:shd w:val="clear" w:color="auto" w:fill="FFFFFF" w:themeFill="background1"/>
                </w:tcPr>
                <w:p w:rsidR="00787AC7" w:rsidRPr="003E743A" w:rsidRDefault="00787AC7" w:rsidP="00787AC7">
                  <w:pPr>
                    <w:spacing w:after="0"/>
                    <w:jc w:val="both"/>
                    <w:rPr>
                      <w:rFonts w:ascii="Times New Roman" w:hAnsi="Times New Roman" w:cs="Times New Roman"/>
                      <w:sz w:val="24"/>
                      <w:szCs w:val="24"/>
                    </w:rPr>
                  </w:pPr>
                  <w:r>
                    <w:rPr>
                      <w:rFonts w:ascii="Times New Roman" w:hAnsi="Times New Roman" w:cs="Times New Roman"/>
                      <w:sz w:val="24"/>
                      <w:szCs w:val="24"/>
                    </w:rPr>
                    <w:t>*</w:t>
                  </w:r>
                </w:p>
              </w:tc>
              <w:tc>
                <w:tcPr>
                  <w:tcW w:w="182" w:type="pct"/>
                  <w:tcBorders>
                    <w:top w:val="single" w:sz="4" w:space="0" w:color="auto"/>
                    <w:left w:val="single" w:sz="4" w:space="0" w:color="auto"/>
                    <w:bottom w:val="single" w:sz="4" w:space="0" w:color="auto"/>
                    <w:right w:val="single" w:sz="4" w:space="0" w:color="auto"/>
                  </w:tcBorders>
                  <w:shd w:val="clear" w:color="auto" w:fill="FFFFFF" w:themeFill="background1"/>
                </w:tcPr>
                <w:p w:rsidR="00787AC7" w:rsidRPr="003E743A" w:rsidRDefault="00787AC7" w:rsidP="00787AC7">
                  <w:pPr>
                    <w:spacing w:after="0"/>
                    <w:jc w:val="both"/>
                    <w:rPr>
                      <w:rFonts w:ascii="Times New Roman" w:hAnsi="Times New Roman" w:cs="Times New Roman"/>
                      <w:sz w:val="24"/>
                      <w:szCs w:val="24"/>
                    </w:rPr>
                  </w:pPr>
                  <w:r>
                    <w:rPr>
                      <w:rFonts w:ascii="Times New Roman" w:hAnsi="Times New Roman" w:cs="Times New Roman"/>
                      <w:sz w:val="24"/>
                      <w:szCs w:val="24"/>
                    </w:rPr>
                    <w:t>*</w:t>
                  </w:r>
                </w:p>
              </w:tc>
              <w:tc>
                <w:tcPr>
                  <w:tcW w:w="182" w:type="pct"/>
                  <w:tcBorders>
                    <w:top w:val="single" w:sz="4" w:space="0" w:color="auto"/>
                    <w:left w:val="single" w:sz="4" w:space="0" w:color="auto"/>
                    <w:bottom w:val="single" w:sz="4" w:space="0" w:color="auto"/>
                    <w:right w:val="single" w:sz="4" w:space="0" w:color="auto"/>
                  </w:tcBorders>
                  <w:shd w:val="clear" w:color="auto" w:fill="FFFFFF" w:themeFill="background1"/>
                </w:tcPr>
                <w:p w:rsidR="00787AC7" w:rsidRPr="003E743A" w:rsidRDefault="00787AC7" w:rsidP="00787AC7">
                  <w:pPr>
                    <w:spacing w:after="0"/>
                    <w:jc w:val="both"/>
                    <w:rPr>
                      <w:rFonts w:ascii="Times New Roman" w:hAnsi="Times New Roman" w:cs="Times New Roman"/>
                      <w:sz w:val="24"/>
                      <w:szCs w:val="24"/>
                    </w:rPr>
                  </w:pPr>
                </w:p>
              </w:tc>
              <w:tc>
                <w:tcPr>
                  <w:tcW w:w="18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87AC7" w:rsidRPr="003E743A" w:rsidRDefault="00787AC7" w:rsidP="00787AC7">
                  <w:pPr>
                    <w:spacing w:after="0"/>
                    <w:jc w:val="both"/>
                    <w:rPr>
                      <w:rFonts w:ascii="Times New Roman" w:hAnsi="Times New Roman" w:cs="Times New Roman"/>
                      <w:sz w:val="24"/>
                      <w:szCs w:val="24"/>
                    </w:rPr>
                  </w:pPr>
                  <w:r w:rsidRPr="003E743A">
                    <w:rPr>
                      <w:rFonts w:ascii="Times New Roman" w:hAnsi="Times New Roman" w:cs="Times New Roman"/>
                      <w:sz w:val="24"/>
                      <w:szCs w:val="24"/>
                    </w:rPr>
                    <w:t>*</w:t>
                  </w:r>
                </w:p>
              </w:tc>
              <w:tc>
                <w:tcPr>
                  <w:tcW w:w="20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87AC7" w:rsidRPr="003E743A" w:rsidRDefault="00787AC7" w:rsidP="00787AC7">
                  <w:pPr>
                    <w:spacing w:after="0"/>
                    <w:jc w:val="both"/>
                    <w:rPr>
                      <w:rFonts w:ascii="Times New Roman" w:hAnsi="Times New Roman" w:cs="Times New Roman"/>
                      <w:sz w:val="24"/>
                      <w:szCs w:val="24"/>
                    </w:rPr>
                  </w:pPr>
                  <w:r w:rsidRPr="003E743A">
                    <w:rPr>
                      <w:rFonts w:ascii="Times New Roman" w:hAnsi="Times New Roman" w:cs="Times New Roman"/>
                      <w:sz w:val="24"/>
                      <w:szCs w:val="24"/>
                    </w:rPr>
                    <w:t>*</w:t>
                  </w:r>
                </w:p>
              </w:tc>
              <w:tc>
                <w:tcPr>
                  <w:tcW w:w="182" w:type="pct"/>
                  <w:tcBorders>
                    <w:top w:val="single" w:sz="4" w:space="0" w:color="auto"/>
                    <w:left w:val="single" w:sz="4" w:space="0" w:color="auto"/>
                    <w:bottom w:val="single" w:sz="4" w:space="0" w:color="auto"/>
                    <w:right w:val="single" w:sz="4" w:space="0" w:color="auto"/>
                  </w:tcBorders>
                  <w:shd w:val="clear" w:color="auto" w:fill="FFFFFF" w:themeFill="background1"/>
                </w:tcPr>
                <w:p w:rsidR="00787AC7" w:rsidRPr="003E743A" w:rsidRDefault="00787AC7" w:rsidP="00787AC7">
                  <w:pPr>
                    <w:spacing w:after="0"/>
                    <w:jc w:val="both"/>
                    <w:rPr>
                      <w:rFonts w:ascii="Times New Roman" w:hAnsi="Times New Roman" w:cs="Times New Roman"/>
                      <w:sz w:val="24"/>
                      <w:szCs w:val="24"/>
                    </w:rPr>
                  </w:pPr>
                </w:p>
              </w:tc>
              <w:tc>
                <w:tcPr>
                  <w:tcW w:w="183" w:type="pct"/>
                  <w:tcBorders>
                    <w:top w:val="single" w:sz="4" w:space="0" w:color="auto"/>
                    <w:left w:val="single" w:sz="4" w:space="0" w:color="auto"/>
                    <w:bottom w:val="single" w:sz="4" w:space="0" w:color="auto"/>
                    <w:right w:val="single" w:sz="4" w:space="0" w:color="auto"/>
                  </w:tcBorders>
                  <w:shd w:val="clear" w:color="auto" w:fill="FFFFFF" w:themeFill="background1"/>
                </w:tcPr>
                <w:p w:rsidR="00787AC7" w:rsidRPr="003E743A" w:rsidRDefault="00787AC7" w:rsidP="00787AC7">
                  <w:pPr>
                    <w:spacing w:after="0"/>
                    <w:jc w:val="both"/>
                    <w:rPr>
                      <w:rFonts w:ascii="Times New Roman" w:hAnsi="Times New Roman" w:cs="Times New Roman"/>
                      <w:sz w:val="24"/>
                      <w:szCs w:val="24"/>
                    </w:rPr>
                  </w:pPr>
                </w:p>
              </w:tc>
              <w:tc>
                <w:tcPr>
                  <w:tcW w:w="182" w:type="pct"/>
                  <w:tcBorders>
                    <w:top w:val="single" w:sz="4" w:space="0" w:color="auto"/>
                    <w:left w:val="single" w:sz="4" w:space="0" w:color="auto"/>
                    <w:bottom w:val="single" w:sz="4" w:space="0" w:color="auto"/>
                    <w:right w:val="single" w:sz="4" w:space="0" w:color="auto"/>
                  </w:tcBorders>
                  <w:shd w:val="clear" w:color="auto" w:fill="FFFFFF" w:themeFill="background1"/>
                </w:tcPr>
                <w:p w:rsidR="00787AC7" w:rsidRPr="003E743A" w:rsidRDefault="00787AC7" w:rsidP="00787AC7">
                  <w:pPr>
                    <w:spacing w:after="0"/>
                    <w:jc w:val="both"/>
                    <w:rPr>
                      <w:rFonts w:ascii="Times New Roman" w:hAnsi="Times New Roman" w:cs="Times New Roman"/>
                      <w:sz w:val="24"/>
                      <w:szCs w:val="24"/>
                    </w:rPr>
                  </w:pPr>
                </w:p>
              </w:tc>
              <w:tc>
                <w:tcPr>
                  <w:tcW w:w="138" w:type="pct"/>
                  <w:tcBorders>
                    <w:top w:val="single" w:sz="4" w:space="0" w:color="auto"/>
                    <w:left w:val="single" w:sz="4" w:space="0" w:color="auto"/>
                    <w:bottom w:val="single" w:sz="4" w:space="0" w:color="auto"/>
                    <w:right w:val="single" w:sz="4" w:space="0" w:color="auto"/>
                  </w:tcBorders>
                  <w:shd w:val="clear" w:color="auto" w:fill="FFFFFF" w:themeFill="background1"/>
                </w:tcPr>
                <w:p w:rsidR="00787AC7" w:rsidRPr="003E743A" w:rsidRDefault="00BE1691" w:rsidP="00787AC7">
                  <w:pPr>
                    <w:spacing w:after="0"/>
                    <w:jc w:val="both"/>
                    <w:rPr>
                      <w:rFonts w:ascii="Times New Roman" w:hAnsi="Times New Roman" w:cs="Times New Roman"/>
                      <w:sz w:val="24"/>
                      <w:szCs w:val="24"/>
                    </w:rPr>
                  </w:pPr>
                  <w:r>
                    <w:rPr>
                      <w:rFonts w:ascii="Times New Roman" w:hAnsi="Times New Roman" w:cs="Times New Roman"/>
                      <w:sz w:val="24"/>
                      <w:szCs w:val="24"/>
                    </w:rPr>
                    <w:t>*</w:t>
                  </w:r>
                </w:p>
              </w:tc>
              <w:tc>
                <w:tcPr>
                  <w:tcW w:w="127" w:type="pct"/>
                  <w:tcBorders>
                    <w:top w:val="single" w:sz="4" w:space="0" w:color="auto"/>
                    <w:left w:val="single" w:sz="4" w:space="0" w:color="auto"/>
                    <w:bottom w:val="single" w:sz="4" w:space="0" w:color="auto"/>
                    <w:right w:val="single" w:sz="4" w:space="0" w:color="auto"/>
                  </w:tcBorders>
                  <w:shd w:val="clear" w:color="auto" w:fill="FFFFFF" w:themeFill="background1"/>
                </w:tcPr>
                <w:p w:rsidR="00787AC7" w:rsidRPr="003E743A" w:rsidRDefault="00787AC7" w:rsidP="00787AC7">
                  <w:pPr>
                    <w:spacing w:after="0"/>
                    <w:jc w:val="both"/>
                    <w:rPr>
                      <w:rFonts w:ascii="Times New Roman" w:hAnsi="Times New Roman" w:cs="Times New Roman"/>
                      <w:sz w:val="24"/>
                      <w:szCs w:val="24"/>
                    </w:rPr>
                  </w:pPr>
                </w:p>
              </w:tc>
            </w:tr>
            <w:tr w:rsidR="00787AC7" w:rsidRPr="003E743A" w:rsidTr="00787AC7">
              <w:trPr>
                <w:trHeight w:val="265"/>
              </w:trPr>
              <w:tc>
                <w:tcPr>
                  <w:tcW w:w="142" w:type="pct"/>
                  <w:vMerge/>
                  <w:tcBorders>
                    <w:left w:val="single" w:sz="4" w:space="0" w:color="auto"/>
                    <w:right w:val="single" w:sz="4" w:space="0" w:color="auto"/>
                  </w:tcBorders>
                  <w:shd w:val="clear" w:color="auto" w:fill="F2F2F2"/>
                  <w:textDirection w:val="btLr"/>
                  <w:vAlign w:val="center"/>
                </w:tcPr>
                <w:p w:rsidR="00787AC7" w:rsidRPr="003E743A" w:rsidRDefault="00787AC7" w:rsidP="00787AC7">
                  <w:pPr>
                    <w:spacing w:after="0"/>
                    <w:jc w:val="center"/>
                    <w:rPr>
                      <w:rFonts w:ascii="Times New Roman" w:hAnsi="Times New Roman" w:cs="Times New Roman"/>
                      <w:sz w:val="18"/>
                      <w:szCs w:val="18"/>
                    </w:rPr>
                  </w:pPr>
                </w:p>
              </w:tc>
              <w:tc>
                <w:tcPr>
                  <w:tcW w:w="142" w:type="pct"/>
                  <w:vMerge w:val="restart"/>
                  <w:tcBorders>
                    <w:top w:val="single" w:sz="4" w:space="0" w:color="auto"/>
                    <w:left w:val="single" w:sz="4" w:space="0" w:color="auto"/>
                    <w:bottom w:val="single" w:sz="4" w:space="0" w:color="auto"/>
                    <w:right w:val="single" w:sz="4" w:space="0" w:color="auto"/>
                  </w:tcBorders>
                  <w:shd w:val="clear" w:color="auto" w:fill="F2F2F2"/>
                  <w:textDirection w:val="btLr"/>
                  <w:vAlign w:val="center"/>
                </w:tcPr>
                <w:p w:rsidR="00787AC7" w:rsidRPr="003E743A" w:rsidRDefault="00787AC7" w:rsidP="00787AC7">
                  <w:pPr>
                    <w:spacing w:after="0"/>
                    <w:jc w:val="center"/>
                    <w:rPr>
                      <w:rFonts w:ascii="Times New Roman" w:hAnsi="Times New Roman" w:cs="Times New Roman"/>
                      <w:sz w:val="18"/>
                      <w:szCs w:val="18"/>
                    </w:rPr>
                  </w:pPr>
                  <w:r w:rsidRPr="003E743A">
                    <w:rPr>
                      <w:rFonts w:ascii="Times New Roman" w:hAnsi="Times New Roman" w:cs="Times New Roman"/>
                      <w:sz w:val="18"/>
                      <w:szCs w:val="18"/>
                    </w:rPr>
                    <w:t>EAUX</w:t>
                  </w:r>
                </w:p>
              </w:tc>
              <w:tc>
                <w:tcPr>
                  <w:tcW w:w="480" w:type="pct"/>
                  <w:tcBorders>
                    <w:top w:val="single" w:sz="4" w:space="0" w:color="auto"/>
                    <w:left w:val="single" w:sz="4" w:space="0" w:color="auto"/>
                    <w:bottom w:val="single" w:sz="4" w:space="0" w:color="auto"/>
                    <w:right w:val="single" w:sz="4" w:space="0" w:color="auto"/>
                  </w:tcBorders>
                  <w:shd w:val="clear" w:color="auto" w:fill="F2F2F2"/>
                  <w:vAlign w:val="center"/>
                </w:tcPr>
                <w:p w:rsidR="00787AC7" w:rsidRPr="003E743A" w:rsidRDefault="00787AC7" w:rsidP="00787AC7">
                  <w:pPr>
                    <w:spacing w:after="0"/>
                    <w:jc w:val="both"/>
                    <w:rPr>
                      <w:rFonts w:ascii="Times New Roman" w:hAnsi="Times New Roman" w:cs="Times New Roman"/>
                      <w:sz w:val="18"/>
                      <w:szCs w:val="18"/>
                    </w:rPr>
                  </w:pPr>
                  <w:r w:rsidRPr="003E743A">
                    <w:rPr>
                      <w:rFonts w:ascii="Times New Roman" w:hAnsi="Times New Roman" w:cs="Times New Roman"/>
                      <w:sz w:val="18"/>
                      <w:szCs w:val="18"/>
                    </w:rPr>
                    <w:t>Eau de surface</w:t>
                  </w:r>
                </w:p>
              </w:tc>
              <w:tc>
                <w:tcPr>
                  <w:tcW w:w="27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87AC7" w:rsidRPr="003E743A" w:rsidRDefault="00787AC7" w:rsidP="00787AC7">
                  <w:pPr>
                    <w:spacing w:after="0"/>
                    <w:jc w:val="center"/>
                    <w:rPr>
                      <w:rFonts w:ascii="Times New Roman" w:hAnsi="Times New Roman" w:cs="Times New Roman"/>
                      <w:sz w:val="24"/>
                      <w:szCs w:val="24"/>
                    </w:rPr>
                  </w:pPr>
                  <w:r w:rsidRPr="003E743A">
                    <w:rPr>
                      <w:rFonts w:ascii="Times New Roman" w:hAnsi="Times New Roman" w:cs="Times New Roman"/>
                      <w:sz w:val="24"/>
                      <w:szCs w:val="24"/>
                    </w:rPr>
                    <w:t>*</w:t>
                  </w:r>
                </w:p>
              </w:tc>
              <w:tc>
                <w:tcPr>
                  <w:tcW w:w="31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87AC7" w:rsidRPr="003E743A" w:rsidRDefault="00787AC7" w:rsidP="00787AC7">
                  <w:pPr>
                    <w:spacing w:after="0"/>
                    <w:jc w:val="both"/>
                    <w:rPr>
                      <w:rFonts w:ascii="Times New Roman" w:hAnsi="Times New Roman" w:cs="Times New Roman"/>
                      <w:sz w:val="24"/>
                      <w:szCs w:val="24"/>
                    </w:rPr>
                  </w:pPr>
                  <w:r w:rsidRPr="003E743A">
                    <w:rPr>
                      <w:rFonts w:ascii="Times New Roman" w:hAnsi="Times New Roman" w:cs="Times New Roman"/>
                      <w:sz w:val="24"/>
                      <w:szCs w:val="24"/>
                    </w:rPr>
                    <w:t>*</w:t>
                  </w:r>
                </w:p>
              </w:tc>
              <w:tc>
                <w:tcPr>
                  <w:tcW w:w="22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87AC7" w:rsidRPr="003E743A" w:rsidRDefault="00787AC7" w:rsidP="00787AC7">
                  <w:pPr>
                    <w:spacing w:after="0"/>
                    <w:jc w:val="both"/>
                    <w:rPr>
                      <w:rFonts w:ascii="Times New Roman" w:hAnsi="Times New Roman" w:cs="Times New Roman"/>
                      <w:sz w:val="24"/>
                      <w:szCs w:val="24"/>
                    </w:rPr>
                  </w:pPr>
                  <w:r w:rsidRPr="003E743A">
                    <w:rPr>
                      <w:rFonts w:ascii="Times New Roman" w:hAnsi="Times New Roman" w:cs="Times New Roman"/>
                      <w:sz w:val="24"/>
                      <w:szCs w:val="24"/>
                    </w:rPr>
                    <w:t>*</w:t>
                  </w:r>
                </w:p>
              </w:tc>
              <w:tc>
                <w:tcPr>
                  <w:tcW w:w="22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87AC7" w:rsidRPr="003E743A" w:rsidRDefault="00787AC7" w:rsidP="00787AC7">
                  <w:pPr>
                    <w:spacing w:after="0"/>
                    <w:jc w:val="both"/>
                    <w:rPr>
                      <w:rFonts w:ascii="Times New Roman" w:hAnsi="Times New Roman" w:cs="Times New Roman"/>
                      <w:sz w:val="24"/>
                      <w:szCs w:val="24"/>
                    </w:rPr>
                  </w:pPr>
                  <w:r w:rsidRPr="003E743A">
                    <w:rPr>
                      <w:rFonts w:ascii="Times New Roman" w:hAnsi="Times New Roman" w:cs="Times New Roman"/>
                      <w:sz w:val="24"/>
                      <w:szCs w:val="24"/>
                    </w:rPr>
                    <w:t>*</w:t>
                  </w:r>
                </w:p>
              </w:tc>
              <w:tc>
                <w:tcPr>
                  <w:tcW w:w="181" w:type="pct"/>
                  <w:tcBorders>
                    <w:top w:val="single" w:sz="4" w:space="0" w:color="auto"/>
                    <w:left w:val="single" w:sz="4" w:space="0" w:color="auto"/>
                    <w:bottom w:val="single" w:sz="4" w:space="0" w:color="auto"/>
                    <w:right w:val="single" w:sz="4" w:space="0" w:color="auto"/>
                  </w:tcBorders>
                  <w:shd w:val="clear" w:color="auto" w:fill="FFFFFF" w:themeFill="background1"/>
                </w:tcPr>
                <w:p w:rsidR="00787AC7" w:rsidRPr="003E743A" w:rsidRDefault="00787AC7" w:rsidP="00787AC7">
                  <w:pPr>
                    <w:spacing w:after="0"/>
                    <w:jc w:val="both"/>
                    <w:rPr>
                      <w:rFonts w:ascii="Times New Roman" w:hAnsi="Times New Roman" w:cs="Times New Roman"/>
                      <w:sz w:val="24"/>
                      <w:szCs w:val="24"/>
                    </w:rPr>
                  </w:pPr>
                </w:p>
              </w:tc>
              <w:tc>
                <w:tcPr>
                  <w:tcW w:w="22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87AC7" w:rsidRPr="003E743A" w:rsidRDefault="00787AC7" w:rsidP="00787AC7">
                  <w:pPr>
                    <w:spacing w:after="0"/>
                    <w:jc w:val="both"/>
                    <w:rPr>
                      <w:rFonts w:ascii="Times New Roman" w:hAnsi="Times New Roman" w:cs="Times New Roman"/>
                      <w:sz w:val="24"/>
                      <w:szCs w:val="24"/>
                    </w:rPr>
                  </w:pPr>
                  <w:r w:rsidRPr="003E743A">
                    <w:rPr>
                      <w:rFonts w:ascii="Times New Roman" w:hAnsi="Times New Roman" w:cs="Times New Roman"/>
                      <w:sz w:val="24"/>
                      <w:szCs w:val="24"/>
                    </w:rPr>
                    <w:t>*</w:t>
                  </w:r>
                </w:p>
              </w:tc>
              <w:tc>
                <w:tcPr>
                  <w:tcW w:w="18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87AC7" w:rsidRPr="003E743A" w:rsidRDefault="00787AC7" w:rsidP="00787AC7">
                  <w:pPr>
                    <w:spacing w:after="0"/>
                    <w:jc w:val="both"/>
                    <w:rPr>
                      <w:rFonts w:ascii="Times New Roman" w:hAnsi="Times New Roman" w:cs="Times New Roman"/>
                      <w:sz w:val="24"/>
                      <w:szCs w:val="24"/>
                    </w:rPr>
                  </w:pPr>
                  <w:r w:rsidRPr="003E743A">
                    <w:rPr>
                      <w:rFonts w:ascii="Times New Roman" w:hAnsi="Times New Roman" w:cs="Times New Roman"/>
                      <w:sz w:val="24"/>
                      <w:szCs w:val="24"/>
                    </w:rPr>
                    <w:t>*</w:t>
                  </w:r>
                </w:p>
              </w:tc>
              <w:tc>
                <w:tcPr>
                  <w:tcW w:w="22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87AC7" w:rsidRPr="003E743A" w:rsidRDefault="00787AC7" w:rsidP="00787AC7">
                  <w:pPr>
                    <w:spacing w:after="0"/>
                    <w:jc w:val="both"/>
                    <w:rPr>
                      <w:rFonts w:ascii="Times New Roman" w:hAnsi="Times New Roman" w:cs="Times New Roman"/>
                      <w:sz w:val="24"/>
                      <w:szCs w:val="24"/>
                    </w:rPr>
                  </w:pPr>
                  <w:r w:rsidRPr="003E743A">
                    <w:rPr>
                      <w:rFonts w:ascii="Times New Roman" w:hAnsi="Times New Roman" w:cs="Times New Roman"/>
                      <w:sz w:val="24"/>
                      <w:szCs w:val="24"/>
                    </w:rPr>
                    <w:t>*</w:t>
                  </w:r>
                </w:p>
              </w:tc>
              <w:tc>
                <w:tcPr>
                  <w:tcW w:w="18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87AC7" w:rsidRPr="003E743A" w:rsidRDefault="00787AC7" w:rsidP="00787AC7">
                  <w:pPr>
                    <w:spacing w:after="0"/>
                    <w:jc w:val="both"/>
                    <w:rPr>
                      <w:rFonts w:ascii="Times New Roman" w:hAnsi="Times New Roman" w:cs="Times New Roman"/>
                      <w:sz w:val="24"/>
                      <w:szCs w:val="24"/>
                    </w:rPr>
                  </w:pPr>
                </w:p>
              </w:tc>
              <w:tc>
                <w:tcPr>
                  <w:tcW w:w="22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87AC7" w:rsidRPr="003E743A" w:rsidRDefault="00787AC7" w:rsidP="00787AC7">
                  <w:pPr>
                    <w:spacing w:after="0"/>
                    <w:jc w:val="both"/>
                    <w:rPr>
                      <w:rFonts w:ascii="Times New Roman" w:hAnsi="Times New Roman" w:cs="Times New Roman"/>
                      <w:sz w:val="24"/>
                      <w:szCs w:val="24"/>
                    </w:rPr>
                  </w:pPr>
                  <w:r w:rsidRPr="003E743A">
                    <w:rPr>
                      <w:rFonts w:ascii="Times New Roman" w:hAnsi="Times New Roman" w:cs="Times New Roman"/>
                      <w:sz w:val="24"/>
                      <w:szCs w:val="24"/>
                    </w:rPr>
                    <w:t>*</w:t>
                  </w:r>
                </w:p>
              </w:tc>
              <w:tc>
                <w:tcPr>
                  <w:tcW w:w="18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87AC7" w:rsidRPr="003E743A" w:rsidRDefault="00787AC7" w:rsidP="00787AC7">
                  <w:pPr>
                    <w:spacing w:after="0"/>
                    <w:jc w:val="both"/>
                    <w:rPr>
                      <w:rFonts w:ascii="Times New Roman" w:hAnsi="Times New Roman" w:cs="Times New Roman"/>
                      <w:sz w:val="24"/>
                      <w:szCs w:val="24"/>
                    </w:rPr>
                  </w:pPr>
                  <w:r w:rsidRPr="003E743A">
                    <w:rPr>
                      <w:rFonts w:ascii="Times New Roman" w:hAnsi="Times New Roman" w:cs="Times New Roman"/>
                      <w:sz w:val="24"/>
                      <w:szCs w:val="24"/>
                    </w:rPr>
                    <w:t>*</w:t>
                  </w:r>
                </w:p>
              </w:tc>
              <w:tc>
                <w:tcPr>
                  <w:tcW w:w="22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87AC7" w:rsidRPr="003E743A" w:rsidRDefault="00787AC7" w:rsidP="00787AC7">
                  <w:pPr>
                    <w:spacing w:after="0"/>
                    <w:jc w:val="both"/>
                    <w:rPr>
                      <w:rFonts w:ascii="Times New Roman" w:hAnsi="Times New Roman" w:cs="Times New Roman"/>
                      <w:sz w:val="24"/>
                      <w:szCs w:val="24"/>
                    </w:rPr>
                  </w:pPr>
                  <w:r w:rsidRPr="003E743A">
                    <w:rPr>
                      <w:rFonts w:ascii="Times New Roman" w:hAnsi="Times New Roman" w:cs="Times New Roman"/>
                      <w:sz w:val="24"/>
                      <w:szCs w:val="24"/>
                    </w:rPr>
                    <w:t>*</w:t>
                  </w:r>
                </w:p>
              </w:tc>
              <w:tc>
                <w:tcPr>
                  <w:tcW w:w="18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87AC7" w:rsidRPr="003E743A" w:rsidRDefault="00787AC7" w:rsidP="00787AC7">
                  <w:pPr>
                    <w:spacing w:after="0"/>
                    <w:jc w:val="both"/>
                    <w:rPr>
                      <w:rFonts w:ascii="Times New Roman" w:hAnsi="Times New Roman" w:cs="Times New Roman"/>
                      <w:sz w:val="24"/>
                      <w:szCs w:val="24"/>
                    </w:rPr>
                  </w:pPr>
                  <w:r w:rsidRPr="003E743A">
                    <w:rPr>
                      <w:rFonts w:ascii="Times New Roman" w:hAnsi="Times New Roman" w:cs="Times New Roman"/>
                      <w:sz w:val="24"/>
                      <w:szCs w:val="24"/>
                    </w:rPr>
                    <w:t>*</w:t>
                  </w:r>
                </w:p>
              </w:tc>
              <w:tc>
                <w:tcPr>
                  <w:tcW w:w="182" w:type="pct"/>
                  <w:tcBorders>
                    <w:top w:val="single" w:sz="4" w:space="0" w:color="auto"/>
                    <w:left w:val="single" w:sz="4" w:space="0" w:color="auto"/>
                    <w:bottom w:val="single" w:sz="4" w:space="0" w:color="auto"/>
                    <w:right w:val="single" w:sz="4" w:space="0" w:color="auto"/>
                  </w:tcBorders>
                  <w:shd w:val="clear" w:color="auto" w:fill="FFFFFF" w:themeFill="background1"/>
                </w:tcPr>
                <w:p w:rsidR="00787AC7" w:rsidRPr="003E743A" w:rsidRDefault="00787AC7" w:rsidP="00787AC7">
                  <w:pPr>
                    <w:spacing w:after="0"/>
                    <w:jc w:val="both"/>
                    <w:rPr>
                      <w:rFonts w:ascii="Times New Roman" w:hAnsi="Times New Roman" w:cs="Times New Roman"/>
                      <w:sz w:val="24"/>
                      <w:szCs w:val="24"/>
                    </w:rPr>
                  </w:pPr>
                </w:p>
              </w:tc>
              <w:tc>
                <w:tcPr>
                  <w:tcW w:w="18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87AC7" w:rsidRPr="003E743A" w:rsidRDefault="00787AC7" w:rsidP="00787AC7">
                  <w:pPr>
                    <w:spacing w:after="0"/>
                    <w:jc w:val="both"/>
                    <w:rPr>
                      <w:rFonts w:ascii="Times New Roman" w:hAnsi="Times New Roman" w:cs="Times New Roman"/>
                      <w:sz w:val="24"/>
                      <w:szCs w:val="24"/>
                    </w:rPr>
                  </w:pPr>
                  <w:r w:rsidRPr="003E743A">
                    <w:rPr>
                      <w:rFonts w:ascii="Times New Roman" w:hAnsi="Times New Roman" w:cs="Times New Roman"/>
                      <w:sz w:val="24"/>
                      <w:szCs w:val="24"/>
                    </w:rPr>
                    <w:t>*</w:t>
                  </w:r>
                </w:p>
              </w:tc>
              <w:tc>
                <w:tcPr>
                  <w:tcW w:w="20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87AC7" w:rsidRPr="003E743A" w:rsidRDefault="00787AC7" w:rsidP="00787AC7">
                  <w:pPr>
                    <w:spacing w:after="0"/>
                    <w:jc w:val="both"/>
                    <w:rPr>
                      <w:rFonts w:ascii="Times New Roman" w:hAnsi="Times New Roman" w:cs="Times New Roman"/>
                      <w:sz w:val="24"/>
                      <w:szCs w:val="24"/>
                    </w:rPr>
                  </w:pPr>
                  <w:r w:rsidRPr="003E743A">
                    <w:rPr>
                      <w:rFonts w:ascii="Times New Roman" w:hAnsi="Times New Roman" w:cs="Times New Roman"/>
                      <w:sz w:val="24"/>
                      <w:szCs w:val="24"/>
                    </w:rPr>
                    <w:t>*</w:t>
                  </w:r>
                </w:p>
              </w:tc>
              <w:tc>
                <w:tcPr>
                  <w:tcW w:w="182" w:type="pct"/>
                  <w:tcBorders>
                    <w:top w:val="single" w:sz="4" w:space="0" w:color="auto"/>
                    <w:left w:val="single" w:sz="4" w:space="0" w:color="auto"/>
                    <w:bottom w:val="single" w:sz="4" w:space="0" w:color="auto"/>
                    <w:right w:val="single" w:sz="4" w:space="0" w:color="auto"/>
                  </w:tcBorders>
                  <w:shd w:val="clear" w:color="auto" w:fill="FFFFFF" w:themeFill="background1"/>
                </w:tcPr>
                <w:p w:rsidR="00787AC7" w:rsidRPr="003E743A" w:rsidRDefault="00787AC7" w:rsidP="00787AC7">
                  <w:pPr>
                    <w:spacing w:after="0"/>
                    <w:jc w:val="both"/>
                    <w:rPr>
                      <w:rFonts w:ascii="Times New Roman" w:hAnsi="Times New Roman" w:cs="Times New Roman"/>
                      <w:sz w:val="24"/>
                      <w:szCs w:val="24"/>
                    </w:rPr>
                  </w:pPr>
                </w:p>
              </w:tc>
              <w:tc>
                <w:tcPr>
                  <w:tcW w:w="18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87AC7" w:rsidRPr="003E743A" w:rsidRDefault="00787AC7" w:rsidP="00787AC7">
                  <w:pPr>
                    <w:spacing w:after="0"/>
                    <w:jc w:val="both"/>
                    <w:rPr>
                      <w:rFonts w:ascii="Times New Roman" w:hAnsi="Times New Roman" w:cs="Times New Roman"/>
                      <w:sz w:val="24"/>
                      <w:szCs w:val="24"/>
                    </w:rPr>
                  </w:pPr>
                  <w:r w:rsidRPr="003E743A">
                    <w:rPr>
                      <w:rFonts w:ascii="Times New Roman" w:hAnsi="Times New Roman" w:cs="Times New Roman"/>
                      <w:sz w:val="24"/>
                      <w:szCs w:val="24"/>
                    </w:rPr>
                    <w:t>*</w:t>
                  </w:r>
                </w:p>
              </w:tc>
              <w:tc>
                <w:tcPr>
                  <w:tcW w:w="182" w:type="pct"/>
                  <w:tcBorders>
                    <w:top w:val="single" w:sz="4" w:space="0" w:color="auto"/>
                    <w:left w:val="single" w:sz="4" w:space="0" w:color="auto"/>
                    <w:bottom w:val="single" w:sz="4" w:space="0" w:color="auto"/>
                    <w:right w:val="single" w:sz="4" w:space="0" w:color="auto"/>
                  </w:tcBorders>
                  <w:shd w:val="clear" w:color="auto" w:fill="FFFFFF" w:themeFill="background1"/>
                </w:tcPr>
                <w:p w:rsidR="00787AC7" w:rsidRPr="003E743A" w:rsidRDefault="00BE1691" w:rsidP="00787AC7">
                  <w:pPr>
                    <w:spacing w:after="0"/>
                    <w:jc w:val="both"/>
                    <w:rPr>
                      <w:rFonts w:ascii="Times New Roman" w:hAnsi="Times New Roman" w:cs="Times New Roman"/>
                      <w:sz w:val="24"/>
                      <w:szCs w:val="24"/>
                    </w:rPr>
                  </w:pPr>
                  <w:r>
                    <w:rPr>
                      <w:rFonts w:ascii="Times New Roman" w:hAnsi="Times New Roman" w:cs="Times New Roman"/>
                      <w:sz w:val="24"/>
                      <w:szCs w:val="24"/>
                    </w:rPr>
                    <w:t>*</w:t>
                  </w:r>
                </w:p>
              </w:tc>
              <w:tc>
                <w:tcPr>
                  <w:tcW w:w="138" w:type="pct"/>
                  <w:tcBorders>
                    <w:top w:val="single" w:sz="4" w:space="0" w:color="auto"/>
                    <w:left w:val="single" w:sz="4" w:space="0" w:color="auto"/>
                    <w:bottom w:val="single" w:sz="4" w:space="0" w:color="auto"/>
                    <w:right w:val="single" w:sz="4" w:space="0" w:color="auto"/>
                  </w:tcBorders>
                  <w:shd w:val="clear" w:color="auto" w:fill="FFFFFF" w:themeFill="background1"/>
                </w:tcPr>
                <w:p w:rsidR="00787AC7" w:rsidRPr="003E743A" w:rsidRDefault="00BE1691" w:rsidP="00787AC7">
                  <w:pPr>
                    <w:spacing w:after="0"/>
                    <w:jc w:val="both"/>
                    <w:rPr>
                      <w:rFonts w:ascii="Times New Roman" w:hAnsi="Times New Roman" w:cs="Times New Roman"/>
                      <w:sz w:val="24"/>
                      <w:szCs w:val="24"/>
                    </w:rPr>
                  </w:pPr>
                  <w:r>
                    <w:rPr>
                      <w:rFonts w:ascii="Times New Roman" w:hAnsi="Times New Roman" w:cs="Times New Roman"/>
                      <w:sz w:val="24"/>
                      <w:szCs w:val="24"/>
                    </w:rPr>
                    <w:t>*</w:t>
                  </w:r>
                </w:p>
              </w:tc>
              <w:tc>
                <w:tcPr>
                  <w:tcW w:w="127" w:type="pct"/>
                  <w:tcBorders>
                    <w:top w:val="single" w:sz="4" w:space="0" w:color="auto"/>
                    <w:left w:val="single" w:sz="4" w:space="0" w:color="auto"/>
                    <w:bottom w:val="single" w:sz="4" w:space="0" w:color="auto"/>
                    <w:right w:val="single" w:sz="4" w:space="0" w:color="auto"/>
                  </w:tcBorders>
                  <w:shd w:val="clear" w:color="auto" w:fill="FFFFFF" w:themeFill="background1"/>
                </w:tcPr>
                <w:p w:rsidR="00787AC7" w:rsidRPr="003E743A" w:rsidRDefault="00787AC7" w:rsidP="00787AC7">
                  <w:pPr>
                    <w:spacing w:after="0"/>
                    <w:jc w:val="both"/>
                    <w:rPr>
                      <w:rFonts w:ascii="Times New Roman" w:hAnsi="Times New Roman" w:cs="Times New Roman"/>
                      <w:sz w:val="24"/>
                      <w:szCs w:val="24"/>
                    </w:rPr>
                  </w:pPr>
                </w:p>
              </w:tc>
            </w:tr>
            <w:tr w:rsidR="00787AC7" w:rsidRPr="003E743A" w:rsidTr="00787AC7">
              <w:trPr>
                <w:trHeight w:val="230"/>
              </w:trPr>
              <w:tc>
                <w:tcPr>
                  <w:tcW w:w="142" w:type="pct"/>
                  <w:vMerge/>
                  <w:tcBorders>
                    <w:left w:val="single" w:sz="4" w:space="0" w:color="auto"/>
                    <w:right w:val="single" w:sz="4" w:space="0" w:color="auto"/>
                  </w:tcBorders>
                  <w:shd w:val="clear" w:color="auto" w:fill="F2F2F2"/>
                  <w:textDirection w:val="btLr"/>
                  <w:vAlign w:val="center"/>
                </w:tcPr>
                <w:p w:rsidR="00787AC7" w:rsidRPr="003E743A" w:rsidRDefault="00787AC7" w:rsidP="00787AC7">
                  <w:pPr>
                    <w:spacing w:after="0"/>
                    <w:jc w:val="center"/>
                    <w:rPr>
                      <w:rFonts w:ascii="Times New Roman" w:hAnsi="Times New Roman" w:cs="Times New Roman"/>
                      <w:sz w:val="18"/>
                      <w:szCs w:val="18"/>
                    </w:rPr>
                  </w:pPr>
                </w:p>
              </w:tc>
              <w:tc>
                <w:tcPr>
                  <w:tcW w:w="142" w:type="pct"/>
                  <w:vMerge/>
                  <w:tcBorders>
                    <w:top w:val="single" w:sz="4" w:space="0" w:color="auto"/>
                    <w:left w:val="single" w:sz="4" w:space="0" w:color="auto"/>
                    <w:bottom w:val="single" w:sz="4" w:space="0" w:color="auto"/>
                    <w:right w:val="single" w:sz="4" w:space="0" w:color="auto"/>
                  </w:tcBorders>
                  <w:shd w:val="clear" w:color="auto" w:fill="F2F2F2"/>
                  <w:textDirection w:val="btLr"/>
                  <w:vAlign w:val="center"/>
                </w:tcPr>
                <w:p w:rsidR="00787AC7" w:rsidRPr="003E743A" w:rsidRDefault="00787AC7" w:rsidP="00787AC7">
                  <w:pPr>
                    <w:spacing w:after="0"/>
                    <w:jc w:val="center"/>
                    <w:rPr>
                      <w:rFonts w:ascii="Times New Roman" w:hAnsi="Times New Roman" w:cs="Times New Roman"/>
                      <w:sz w:val="18"/>
                      <w:szCs w:val="18"/>
                    </w:rPr>
                  </w:pPr>
                </w:p>
              </w:tc>
              <w:tc>
                <w:tcPr>
                  <w:tcW w:w="480" w:type="pct"/>
                  <w:tcBorders>
                    <w:top w:val="single" w:sz="4" w:space="0" w:color="auto"/>
                    <w:left w:val="single" w:sz="4" w:space="0" w:color="auto"/>
                    <w:bottom w:val="single" w:sz="4" w:space="0" w:color="auto"/>
                    <w:right w:val="single" w:sz="4" w:space="0" w:color="auto"/>
                  </w:tcBorders>
                  <w:shd w:val="clear" w:color="auto" w:fill="F2F2F2"/>
                  <w:vAlign w:val="center"/>
                </w:tcPr>
                <w:p w:rsidR="00787AC7" w:rsidRPr="003E743A" w:rsidRDefault="00787AC7" w:rsidP="00787AC7">
                  <w:pPr>
                    <w:spacing w:after="0"/>
                    <w:jc w:val="both"/>
                    <w:rPr>
                      <w:rFonts w:ascii="Times New Roman" w:hAnsi="Times New Roman" w:cs="Times New Roman"/>
                      <w:sz w:val="18"/>
                      <w:szCs w:val="18"/>
                    </w:rPr>
                  </w:pPr>
                  <w:r w:rsidRPr="003E743A">
                    <w:rPr>
                      <w:rFonts w:ascii="Times New Roman" w:hAnsi="Times New Roman" w:cs="Times New Roman"/>
                      <w:sz w:val="18"/>
                      <w:szCs w:val="18"/>
                    </w:rPr>
                    <w:t>Eau souterraine</w:t>
                  </w:r>
                </w:p>
              </w:tc>
              <w:tc>
                <w:tcPr>
                  <w:tcW w:w="27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87AC7" w:rsidRPr="003E743A" w:rsidRDefault="00787AC7" w:rsidP="00787AC7">
                  <w:pPr>
                    <w:spacing w:after="0"/>
                    <w:jc w:val="center"/>
                    <w:rPr>
                      <w:rFonts w:ascii="Times New Roman" w:hAnsi="Times New Roman" w:cs="Times New Roman"/>
                      <w:sz w:val="24"/>
                      <w:szCs w:val="24"/>
                    </w:rPr>
                  </w:pPr>
                </w:p>
              </w:tc>
              <w:tc>
                <w:tcPr>
                  <w:tcW w:w="31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87AC7" w:rsidRPr="003E743A" w:rsidRDefault="00787AC7" w:rsidP="00787AC7">
                  <w:pPr>
                    <w:spacing w:after="0"/>
                    <w:jc w:val="both"/>
                    <w:rPr>
                      <w:rFonts w:ascii="Times New Roman" w:hAnsi="Times New Roman" w:cs="Times New Roman"/>
                      <w:sz w:val="24"/>
                      <w:szCs w:val="24"/>
                    </w:rPr>
                  </w:pPr>
                </w:p>
              </w:tc>
              <w:tc>
                <w:tcPr>
                  <w:tcW w:w="22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87AC7" w:rsidRPr="003E743A" w:rsidRDefault="00787AC7" w:rsidP="00787AC7">
                  <w:pPr>
                    <w:spacing w:after="0"/>
                    <w:jc w:val="both"/>
                    <w:rPr>
                      <w:rFonts w:ascii="Times New Roman" w:hAnsi="Times New Roman" w:cs="Times New Roman"/>
                      <w:sz w:val="24"/>
                      <w:szCs w:val="24"/>
                    </w:rPr>
                  </w:pPr>
                  <w:r w:rsidRPr="003E743A">
                    <w:rPr>
                      <w:rFonts w:ascii="Times New Roman" w:hAnsi="Times New Roman" w:cs="Times New Roman"/>
                      <w:sz w:val="24"/>
                      <w:szCs w:val="24"/>
                    </w:rPr>
                    <w:t>*</w:t>
                  </w:r>
                </w:p>
              </w:tc>
              <w:tc>
                <w:tcPr>
                  <w:tcW w:w="22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87AC7" w:rsidRPr="003E743A" w:rsidRDefault="00787AC7" w:rsidP="00787AC7">
                  <w:pPr>
                    <w:spacing w:after="0"/>
                    <w:jc w:val="both"/>
                    <w:rPr>
                      <w:rFonts w:ascii="Times New Roman" w:hAnsi="Times New Roman" w:cs="Times New Roman"/>
                      <w:sz w:val="24"/>
                      <w:szCs w:val="24"/>
                    </w:rPr>
                  </w:pPr>
                  <w:r w:rsidRPr="003E743A">
                    <w:rPr>
                      <w:rFonts w:ascii="Times New Roman" w:hAnsi="Times New Roman" w:cs="Times New Roman"/>
                      <w:sz w:val="24"/>
                      <w:szCs w:val="24"/>
                    </w:rPr>
                    <w:t>*</w:t>
                  </w:r>
                </w:p>
              </w:tc>
              <w:tc>
                <w:tcPr>
                  <w:tcW w:w="181" w:type="pct"/>
                  <w:tcBorders>
                    <w:top w:val="single" w:sz="4" w:space="0" w:color="auto"/>
                    <w:left w:val="single" w:sz="4" w:space="0" w:color="auto"/>
                    <w:bottom w:val="single" w:sz="4" w:space="0" w:color="auto"/>
                    <w:right w:val="single" w:sz="4" w:space="0" w:color="auto"/>
                  </w:tcBorders>
                  <w:shd w:val="clear" w:color="auto" w:fill="FFFFFF" w:themeFill="background1"/>
                </w:tcPr>
                <w:p w:rsidR="00787AC7" w:rsidRPr="003E743A" w:rsidRDefault="00787AC7" w:rsidP="00787AC7">
                  <w:pPr>
                    <w:spacing w:after="0"/>
                    <w:jc w:val="both"/>
                    <w:rPr>
                      <w:rFonts w:ascii="Times New Roman" w:hAnsi="Times New Roman" w:cs="Times New Roman"/>
                      <w:sz w:val="24"/>
                      <w:szCs w:val="24"/>
                    </w:rPr>
                  </w:pPr>
                </w:p>
              </w:tc>
              <w:tc>
                <w:tcPr>
                  <w:tcW w:w="226" w:type="pct"/>
                  <w:tcBorders>
                    <w:top w:val="single" w:sz="4" w:space="0" w:color="auto"/>
                    <w:left w:val="single" w:sz="4" w:space="0" w:color="auto"/>
                    <w:bottom w:val="single" w:sz="4" w:space="0" w:color="auto"/>
                    <w:right w:val="single" w:sz="4" w:space="0" w:color="auto"/>
                  </w:tcBorders>
                  <w:shd w:val="clear" w:color="auto" w:fill="FFFFFF" w:themeFill="background1"/>
                </w:tcPr>
                <w:p w:rsidR="00787AC7" w:rsidRPr="003E743A" w:rsidRDefault="00787AC7" w:rsidP="00787AC7">
                  <w:pPr>
                    <w:spacing w:after="0"/>
                    <w:jc w:val="both"/>
                    <w:rPr>
                      <w:rFonts w:ascii="Times New Roman" w:hAnsi="Times New Roman" w:cs="Times New Roman"/>
                      <w:sz w:val="24"/>
                      <w:szCs w:val="24"/>
                    </w:rPr>
                  </w:pPr>
                  <w:r>
                    <w:rPr>
                      <w:rFonts w:ascii="Times New Roman" w:hAnsi="Times New Roman" w:cs="Times New Roman"/>
                      <w:sz w:val="24"/>
                      <w:szCs w:val="24"/>
                    </w:rPr>
                    <w:t>*</w:t>
                  </w:r>
                </w:p>
              </w:tc>
              <w:tc>
                <w:tcPr>
                  <w:tcW w:w="18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87AC7" w:rsidRPr="003E743A" w:rsidRDefault="00787AC7" w:rsidP="00787AC7">
                  <w:pPr>
                    <w:spacing w:after="0"/>
                    <w:jc w:val="both"/>
                    <w:rPr>
                      <w:rFonts w:ascii="Times New Roman" w:hAnsi="Times New Roman" w:cs="Times New Roman"/>
                      <w:sz w:val="24"/>
                      <w:szCs w:val="24"/>
                    </w:rPr>
                  </w:pPr>
                  <w:r w:rsidRPr="003E743A">
                    <w:rPr>
                      <w:rFonts w:ascii="Times New Roman" w:hAnsi="Times New Roman" w:cs="Times New Roman"/>
                      <w:sz w:val="24"/>
                      <w:szCs w:val="24"/>
                    </w:rPr>
                    <w:t>*</w:t>
                  </w:r>
                </w:p>
              </w:tc>
              <w:tc>
                <w:tcPr>
                  <w:tcW w:w="22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87AC7" w:rsidRPr="003E743A" w:rsidRDefault="00787AC7" w:rsidP="00787AC7">
                  <w:pPr>
                    <w:spacing w:after="0"/>
                    <w:jc w:val="both"/>
                    <w:rPr>
                      <w:rFonts w:ascii="Times New Roman" w:hAnsi="Times New Roman" w:cs="Times New Roman"/>
                      <w:sz w:val="24"/>
                      <w:szCs w:val="24"/>
                    </w:rPr>
                  </w:pPr>
                  <w:r w:rsidRPr="003E743A">
                    <w:rPr>
                      <w:rFonts w:ascii="Times New Roman" w:hAnsi="Times New Roman" w:cs="Times New Roman"/>
                      <w:sz w:val="24"/>
                      <w:szCs w:val="24"/>
                    </w:rPr>
                    <w:t>*</w:t>
                  </w:r>
                </w:p>
              </w:tc>
              <w:tc>
                <w:tcPr>
                  <w:tcW w:w="18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87AC7" w:rsidRPr="003E743A" w:rsidRDefault="00787AC7" w:rsidP="00787AC7">
                  <w:pPr>
                    <w:spacing w:after="0"/>
                    <w:jc w:val="both"/>
                    <w:rPr>
                      <w:rFonts w:ascii="Times New Roman" w:hAnsi="Times New Roman" w:cs="Times New Roman"/>
                      <w:sz w:val="24"/>
                      <w:szCs w:val="24"/>
                    </w:rPr>
                  </w:pPr>
                </w:p>
              </w:tc>
              <w:tc>
                <w:tcPr>
                  <w:tcW w:w="226" w:type="pct"/>
                  <w:tcBorders>
                    <w:top w:val="single" w:sz="4" w:space="0" w:color="auto"/>
                    <w:left w:val="single" w:sz="4" w:space="0" w:color="auto"/>
                    <w:bottom w:val="single" w:sz="4" w:space="0" w:color="auto"/>
                    <w:right w:val="single" w:sz="4" w:space="0" w:color="auto"/>
                  </w:tcBorders>
                  <w:shd w:val="clear" w:color="auto" w:fill="FFFFFF" w:themeFill="background1"/>
                </w:tcPr>
                <w:p w:rsidR="00787AC7" w:rsidRPr="003E743A" w:rsidRDefault="00787AC7" w:rsidP="00787AC7">
                  <w:pPr>
                    <w:spacing w:after="0"/>
                    <w:jc w:val="both"/>
                    <w:rPr>
                      <w:rFonts w:ascii="Times New Roman" w:hAnsi="Times New Roman" w:cs="Times New Roman"/>
                      <w:sz w:val="24"/>
                      <w:szCs w:val="24"/>
                    </w:rPr>
                  </w:pPr>
                  <w:r>
                    <w:rPr>
                      <w:rFonts w:ascii="Times New Roman" w:hAnsi="Times New Roman" w:cs="Times New Roman"/>
                      <w:sz w:val="24"/>
                      <w:szCs w:val="24"/>
                    </w:rPr>
                    <w:t>*</w:t>
                  </w:r>
                </w:p>
              </w:tc>
              <w:tc>
                <w:tcPr>
                  <w:tcW w:w="18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87AC7" w:rsidRPr="003E743A" w:rsidRDefault="00787AC7" w:rsidP="00787AC7">
                  <w:pPr>
                    <w:spacing w:after="0"/>
                    <w:jc w:val="both"/>
                    <w:rPr>
                      <w:rFonts w:ascii="Times New Roman" w:hAnsi="Times New Roman" w:cs="Times New Roman"/>
                      <w:sz w:val="24"/>
                      <w:szCs w:val="24"/>
                    </w:rPr>
                  </w:pPr>
                  <w:r w:rsidRPr="003E743A">
                    <w:rPr>
                      <w:rFonts w:ascii="Times New Roman" w:hAnsi="Times New Roman" w:cs="Times New Roman"/>
                      <w:sz w:val="24"/>
                      <w:szCs w:val="24"/>
                    </w:rPr>
                    <w:t>*</w:t>
                  </w:r>
                </w:p>
              </w:tc>
              <w:tc>
                <w:tcPr>
                  <w:tcW w:w="22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87AC7" w:rsidRPr="003E743A" w:rsidRDefault="00787AC7" w:rsidP="00787AC7">
                  <w:pPr>
                    <w:spacing w:after="0"/>
                    <w:jc w:val="both"/>
                    <w:rPr>
                      <w:rFonts w:ascii="Times New Roman" w:hAnsi="Times New Roman" w:cs="Times New Roman"/>
                      <w:sz w:val="24"/>
                      <w:szCs w:val="24"/>
                    </w:rPr>
                  </w:pPr>
                </w:p>
              </w:tc>
              <w:tc>
                <w:tcPr>
                  <w:tcW w:w="182" w:type="pct"/>
                  <w:tcBorders>
                    <w:top w:val="single" w:sz="4" w:space="0" w:color="auto"/>
                    <w:left w:val="single" w:sz="4" w:space="0" w:color="auto"/>
                    <w:bottom w:val="single" w:sz="4" w:space="0" w:color="auto"/>
                    <w:right w:val="single" w:sz="4" w:space="0" w:color="auto"/>
                  </w:tcBorders>
                  <w:shd w:val="clear" w:color="auto" w:fill="FFFFFF" w:themeFill="background1"/>
                </w:tcPr>
                <w:p w:rsidR="00787AC7" w:rsidRPr="003E743A" w:rsidRDefault="00787AC7" w:rsidP="00787AC7">
                  <w:pPr>
                    <w:spacing w:after="0"/>
                    <w:jc w:val="both"/>
                    <w:rPr>
                      <w:rFonts w:ascii="Times New Roman" w:hAnsi="Times New Roman" w:cs="Times New Roman"/>
                      <w:sz w:val="24"/>
                      <w:szCs w:val="24"/>
                    </w:rPr>
                  </w:pPr>
                </w:p>
              </w:tc>
              <w:tc>
                <w:tcPr>
                  <w:tcW w:w="182" w:type="pct"/>
                  <w:tcBorders>
                    <w:top w:val="single" w:sz="4" w:space="0" w:color="auto"/>
                    <w:left w:val="single" w:sz="4" w:space="0" w:color="auto"/>
                    <w:bottom w:val="single" w:sz="4" w:space="0" w:color="auto"/>
                    <w:right w:val="single" w:sz="4" w:space="0" w:color="auto"/>
                  </w:tcBorders>
                  <w:shd w:val="clear" w:color="auto" w:fill="FFFFFF" w:themeFill="background1"/>
                </w:tcPr>
                <w:p w:rsidR="00787AC7" w:rsidRPr="003E743A" w:rsidRDefault="00787AC7" w:rsidP="00787AC7">
                  <w:pPr>
                    <w:spacing w:after="0"/>
                    <w:jc w:val="both"/>
                    <w:rPr>
                      <w:rFonts w:ascii="Times New Roman" w:hAnsi="Times New Roman" w:cs="Times New Roman"/>
                      <w:sz w:val="24"/>
                      <w:szCs w:val="24"/>
                    </w:rPr>
                  </w:pPr>
                </w:p>
              </w:tc>
              <w:tc>
                <w:tcPr>
                  <w:tcW w:w="18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87AC7" w:rsidRPr="003E743A" w:rsidRDefault="00787AC7" w:rsidP="00787AC7">
                  <w:pPr>
                    <w:spacing w:after="0"/>
                    <w:jc w:val="both"/>
                    <w:rPr>
                      <w:rFonts w:ascii="Times New Roman" w:hAnsi="Times New Roman" w:cs="Times New Roman"/>
                      <w:sz w:val="24"/>
                      <w:szCs w:val="24"/>
                    </w:rPr>
                  </w:pPr>
                  <w:r w:rsidRPr="003E743A">
                    <w:rPr>
                      <w:rFonts w:ascii="Times New Roman" w:hAnsi="Times New Roman" w:cs="Times New Roman"/>
                      <w:sz w:val="24"/>
                      <w:szCs w:val="24"/>
                    </w:rPr>
                    <w:t>*</w:t>
                  </w:r>
                </w:p>
              </w:tc>
              <w:tc>
                <w:tcPr>
                  <w:tcW w:w="20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87AC7" w:rsidRPr="003E743A" w:rsidRDefault="00787AC7" w:rsidP="00787AC7">
                  <w:pPr>
                    <w:spacing w:after="0"/>
                    <w:jc w:val="both"/>
                    <w:rPr>
                      <w:rFonts w:ascii="Times New Roman" w:hAnsi="Times New Roman" w:cs="Times New Roman"/>
                      <w:sz w:val="24"/>
                      <w:szCs w:val="24"/>
                    </w:rPr>
                  </w:pPr>
                  <w:r w:rsidRPr="003E743A">
                    <w:rPr>
                      <w:rFonts w:ascii="Times New Roman" w:hAnsi="Times New Roman" w:cs="Times New Roman"/>
                      <w:sz w:val="24"/>
                      <w:szCs w:val="24"/>
                    </w:rPr>
                    <w:t>*</w:t>
                  </w:r>
                </w:p>
              </w:tc>
              <w:tc>
                <w:tcPr>
                  <w:tcW w:w="182" w:type="pct"/>
                  <w:tcBorders>
                    <w:top w:val="single" w:sz="4" w:space="0" w:color="auto"/>
                    <w:left w:val="single" w:sz="4" w:space="0" w:color="auto"/>
                    <w:bottom w:val="single" w:sz="4" w:space="0" w:color="auto"/>
                    <w:right w:val="single" w:sz="4" w:space="0" w:color="auto"/>
                  </w:tcBorders>
                  <w:shd w:val="clear" w:color="auto" w:fill="FFFFFF" w:themeFill="background1"/>
                </w:tcPr>
                <w:p w:rsidR="00787AC7" w:rsidRPr="003E743A" w:rsidRDefault="00787AC7" w:rsidP="00787AC7">
                  <w:pPr>
                    <w:spacing w:after="0"/>
                    <w:jc w:val="both"/>
                    <w:rPr>
                      <w:rFonts w:ascii="Times New Roman" w:hAnsi="Times New Roman" w:cs="Times New Roman"/>
                      <w:sz w:val="24"/>
                      <w:szCs w:val="24"/>
                    </w:rPr>
                  </w:pPr>
                </w:p>
              </w:tc>
              <w:tc>
                <w:tcPr>
                  <w:tcW w:w="183" w:type="pct"/>
                  <w:tcBorders>
                    <w:top w:val="single" w:sz="4" w:space="0" w:color="auto"/>
                    <w:left w:val="single" w:sz="4" w:space="0" w:color="auto"/>
                    <w:bottom w:val="single" w:sz="4" w:space="0" w:color="auto"/>
                    <w:right w:val="single" w:sz="4" w:space="0" w:color="auto"/>
                  </w:tcBorders>
                  <w:shd w:val="clear" w:color="auto" w:fill="FFFFFF" w:themeFill="background1"/>
                </w:tcPr>
                <w:p w:rsidR="00787AC7" w:rsidRPr="003E743A" w:rsidRDefault="00787AC7" w:rsidP="00787AC7">
                  <w:pPr>
                    <w:spacing w:after="0"/>
                    <w:jc w:val="both"/>
                    <w:rPr>
                      <w:rFonts w:ascii="Times New Roman" w:hAnsi="Times New Roman" w:cs="Times New Roman"/>
                      <w:sz w:val="24"/>
                      <w:szCs w:val="24"/>
                    </w:rPr>
                  </w:pPr>
                  <w:r>
                    <w:rPr>
                      <w:rFonts w:ascii="Times New Roman" w:hAnsi="Times New Roman" w:cs="Times New Roman"/>
                      <w:sz w:val="24"/>
                      <w:szCs w:val="24"/>
                    </w:rPr>
                    <w:t>*</w:t>
                  </w:r>
                </w:p>
              </w:tc>
              <w:tc>
                <w:tcPr>
                  <w:tcW w:w="182" w:type="pct"/>
                  <w:tcBorders>
                    <w:top w:val="single" w:sz="4" w:space="0" w:color="auto"/>
                    <w:left w:val="single" w:sz="4" w:space="0" w:color="auto"/>
                    <w:bottom w:val="single" w:sz="4" w:space="0" w:color="auto"/>
                    <w:right w:val="single" w:sz="4" w:space="0" w:color="auto"/>
                  </w:tcBorders>
                  <w:shd w:val="clear" w:color="auto" w:fill="FFFFFF" w:themeFill="background1"/>
                </w:tcPr>
                <w:p w:rsidR="00787AC7" w:rsidRPr="003E743A" w:rsidRDefault="00BE1691" w:rsidP="00787AC7">
                  <w:pPr>
                    <w:spacing w:after="0"/>
                    <w:jc w:val="both"/>
                    <w:rPr>
                      <w:rFonts w:ascii="Times New Roman" w:hAnsi="Times New Roman" w:cs="Times New Roman"/>
                      <w:sz w:val="24"/>
                      <w:szCs w:val="24"/>
                    </w:rPr>
                  </w:pPr>
                  <w:r>
                    <w:rPr>
                      <w:rFonts w:ascii="Times New Roman" w:hAnsi="Times New Roman" w:cs="Times New Roman"/>
                      <w:sz w:val="24"/>
                      <w:szCs w:val="24"/>
                    </w:rPr>
                    <w:t>*</w:t>
                  </w:r>
                </w:p>
              </w:tc>
              <w:tc>
                <w:tcPr>
                  <w:tcW w:w="138" w:type="pct"/>
                  <w:tcBorders>
                    <w:top w:val="single" w:sz="4" w:space="0" w:color="auto"/>
                    <w:left w:val="single" w:sz="4" w:space="0" w:color="auto"/>
                    <w:bottom w:val="single" w:sz="4" w:space="0" w:color="auto"/>
                    <w:right w:val="single" w:sz="4" w:space="0" w:color="auto"/>
                  </w:tcBorders>
                  <w:shd w:val="clear" w:color="auto" w:fill="FFFFFF" w:themeFill="background1"/>
                </w:tcPr>
                <w:p w:rsidR="00787AC7" w:rsidRPr="003E743A" w:rsidRDefault="00BE1691" w:rsidP="00787AC7">
                  <w:pPr>
                    <w:spacing w:after="0"/>
                    <w:jc w:val="both"/>
                    <w:rPr>
                      <w:rFonts w:ascii="Times New Roman" w:hAnsi="Times New Roman" w:cs="Times New Roman"/>
                      <w:sz w:val="24"/>
                      <w:szCs w:val="24"/>
                    </w:rPr>
                  </w:pPr>
                  <w:r>
                    <w:rPr>
                      <w:rFonts w:ascii="Times New Roman" w:hAnsi="Times New Roman" w:cs="Times New Roman"/>
                      <w:sz w:val="24"/>
                      <w:szCs w:val="24"/>
                    </w:rPr>
                    <w:t>*</w:t>
                  </w:r>
                </w:p>
              </w:tc>
              <w:tc>
                <w:tcPr>
                  <w:tcW w:w="127" w:type="pct"/>
                  <w:tcBorders>
                    <w:top w:val="single" w:sz="4" w:space="0" w:color="auto"/>
                    <w:left w:val="single" w:sz="4" w:space="0" w:color="auto"/>
                    <w:bottom w:val="single" w:sz="4" w:space="0" w:color="auto"/>
                    <w:right w:val="single" w:sz="4" w:space="0" w:color="auto"/>
                  </w:tcBorders>
                  <w:shd w:val="clear" w:color="auto" w:fill="FFFFFF" w:themeFill="background1"/>
                </w:tcPr>
                <w:p w:rsidR="00787AC7" w:rsidRPr="003E743A" w:rsidRDefault="00787AC7" w:rsidP="00787AC7">
                  <w:pPr>
                    <w:spacing w:after="0"/>
                    <w:jc w:val="both"/>
                    <w:rPr>
                      <w:rFonts w:ascii="Times New Roman" w:hAnsi="Times New Roman" w:cs="Times New Roman"/>
                      <w:sz w:val="24"/>
                      <w:szCs w:val="24"/>
                    </w:rPr>
                  </w:pPr>
                </w:p>
              </w:tc>
            </w:tr>
            <w:tr w:rsidR="00787AC7" w:rsidRPr="003E743A" w:rsidTr="00787AC7">
              <w:trPr>
                <w:trHeight w:val="89"/>
              </w:trPr>
              <w:tc>
                <w:tcPr>
                  <w:tcW w:w="142" w:type="pct"/>
                  <w:vMerge/>
                  <w:tcBorders>
                    <w:left w:val="single" w:sz="4" w:space="0" w:color="auto"/>
                    <w:right w:val="single" w:sz="4" w:space="0" w:color="auto"/>
                  </w:tcBorders>
                  <w:shd w:val="clear" w:color="auto" w:fill="F2F2F2"/>
                  <w:textDirection w:val="btLr"/>
                  <w:vAlign w:val="center"/>
                </w:tcPr>
                <w:p w:rsidR="00787AC7" w:rsidRPr="003E743A" w:rsidRDefault="00787AC7" w:rsidP="00787AC7">
                  <w:pPr>
                    <w:spacing w:after="0"/>
                    <w:jc w:val="center"/>
                    <w:rPr>
                      <w:rFonts w:ascii="Times New Roman" w:hAnsi="Times New Roman" w:cs="Times New Roman"/>
                      <w:sz w:val="18"/>
                      <w:szCs w:val="18"/>
                    </w:rPr>
                  </w:pPr>
                </w:p>
              </w:tc>
              <w:tc>
                <w:tcPr>
                  <w:tcW w:w="142" w:type="pct"/>
                  <w:vMerge w:val="restart"/>
                  <w:tcBorders>
                    <w:top w:val="single" w:sz="4" w:space="0" w:color="auto"/>
                    <w:left w:val="single" w:sz="4" w:space="0" w:color="auto"/>
                    <w:bottom w:val="single" w:sz="4" w:space="0" w:color="auto"/>
                    <w:right w:val="single" w:sz="4" w:space="0" w:color="auto"/>
                  </w:tcBorders>
                  <w:shd w:val="clear" w:color="auto" w:fill="F2F2F2"/>
                  <w:textDirection w:val="btLr"/>
                  <w:vAlign w:val="center"/>
                </w:tcPr>
                <w:p w:rsidR="00787AC7" w:rsidRPr="003E743A" w:rsidRDefault="00787AC7" w:rsidP="00787AC7">
                  <w:pPr>
                    <w:spacing w:after="0"/>
                    <w:jc w:val="center"/>
                    <w:rPr>
                      <w:rFonts w:ascii="Times New Roman" w:hAnsi="Times New Roman" w:cs="Times New Roman"/>
                      <w:sz w:val="18"/>
                      <w:szCs w:val="18"/>
                    </w:rPr>
                  </w:pPr>
                  <w:r w:rsidRPr="003E743A">
                    <w:rPr>
                      <w:rFonts w:ascii="Times New Roman" w:hAnsi="Times New Roman" w:cs="Times New Roman"/>
                      <w:sz w:val="18"/>
                      <w:szCs w:val="18"/>
                    </w:rPr>
                    <w:t>SOLS</w:t>
                  </w:r>
                </w:p>
              </w:tc>
              <w:tc>
                <w:tcPr>
                  <w:tcW w:w="480" w:type="pct"/>
                  <w:tcBorders>
                    <w:top w:val="single" w:sz="4" w:space="0" w:color="auto"/>
                    <w:left w:val="single" w:sz="4" w:space="0" w:color="auto"/>
                    <w:bottom w:val="single" w:sz="4" w:space="0" w:color="auto"/>
                    <w:right w:val="single" w:sz="4" w:space="0" w:color="auto"/>
                  </w:tcBorders>
                  <w:shd w:val="clear" w:color="auto" w:fill="F2F2F2"/>
                  <w:vAlign w:val="center"/>
                </w:tcPr>
                <w:p w:rsidR="00787AC7" w:rsidRPr="003E743A" w:rsidRDefault="00787AC7" w:rsidP="00787AC7">
                  <w:pPr>
                    <w:spacing w:after="0"/>
                    <w:jc w:val="both"/>
                    <w:rPr>
                      <w:rFonts w:ascii="Times New Roman" w:hAnsi="Times New Roman" w:cs="Times New Roman"/>
                      <w:sz w:val="18"/>
                      <w:szCs w:val="18"/>
                    </w:rPr>
                  </w:pPr>
                  <w:r w:rsidRPr="003E743A">
                    <w:rPr>
                      <w:rFonts w:ascii="Times New Roman" w:hAnsi="Times New Roman" w:cs="Times New Roman"/>
                      <w:sz w:val="18"/>
                      <w:szCs w:val="18"/>
                    </w:rPr>
                    <w:t>Sol</w:t>
                  </w:r>
                </w:p>
              </w:tc>
              <w:tc>
                <w:tcPr>
                  <w:tcW w:w="27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87AC7" w:rsidRPr="003E743A" w:rsidRDefault="00787AC7" w:rsidP="00787AC7">
                  <w:pPr>
                    <w:spacing w:after="0"/>
                    <w:jc w:val="center"/>
                    <w:rPr>
                      <w:rFonts w:ascii="Times New Roman" w:hAnsi="Times New Roman" w:cs="Times New Roman"/>
                      <w:sz w:val="24"/>
                      <w:szCs w:val="24"/>
                    </w:rPr>
                  </w:pPr>
                  <w:r w:rsidRPr="003E743A">
                    <w:rPr>
                      <w:rFonts w:ascii="Times New Roman" w:hAnsi="Times New Roman" w:cs="Times New Roman"/>
                      <w:sz w:val="24"/>
                      <w:szCs w:val="24"/>
                    </w:rPr>
                    <w:t>*</w:t>
                  </w:r>
                </w:p>
              </w:tc>
              <w:tc>
                <w:tcPr>
                  <w:tcW w:w="31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87AC7" w:rsidRPr="003E743A" w:rsidRDefault="00787AC7" w:rsidP="00787AC7">
                  <w:pPr>
                    <w:spacing w:after="0"/>
                    <w:jc w:val="both"/>
                    <w:rPr>
                      <w:rFonts w:ascii="Times New Roman" w:hAnsi="Times New Roman" w:cs="Times New Roman"/>
                      <w:sz w:val="24"/>
                      <w:szCs w:val="24"/>
                    </w:rPr>
                  </w:pPr>
                  <w:r w:rsidRPr="003E743A">
                    <w:rPr>
                      <w:rFonts w:ascii="Times New Roman" w:hAnsi="Times New Roman" w:cs="Times New Roman"/>
                      <w:sz w:val="24"/>
                      <w:szCs w:val="24"/>
                    </w:rPr>
                    <w:t>*</w:t>
                  </w:r>
                </w:p>
              </w:tc>
              <w:tc>
                <w:tcPr>
                  <w:tcW w:w="22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87AC7" w:rsidRPr="003E743A" w:rsidRDefault="00787AC7" w:rsidP="00787AC7">
                  <w:pPr>
                    <w:spacing w:after="0"/>
                    <w:jc w:val="both"/>
                    <w:rPr>
                      <w:rFonts w:ascii="Times New Roman" w:hAnsi="Times New Roman" w:cs="Times New Roman"/>
                      <w:sz w:val="24"/>
                      <w:szCs w:val="24"/>
                    </w:rPr>
                  </w:pPr>
                  <w:r>
                    <w:rPr>
                      <w:rFonts w:ascii="Times New Roman" w:hAnsi="Times New Roman" w:cs="Times New Roman"/>
                      <w:sz w:val="24"/>
                      <w:szCs w:val="24"/>
                    </w:rPr>
                    <w:t>*</w:t>
                  </w:r>
                </w:p>
              </w:tc>
              <w:tc>
                <w:tcPr>
                  <w:tcW w:w="22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87AC7" w:rsidRPr="003E743A" w:rsidRDefault="00787AC7" w:rsidP="00787AC7">
                  <w:pPr>
                    <w:spacing w:after="0"/>
                    <w:jc w:val="both"/>
                    <w:rPr>
                      <w:rFonts w:ascii="Times New Roman" w:hAnsi="Times New Roman" w:cs="Times New Roman"/>
                      <w:sz w:val="24"/>
                      <w:szCs w:val="24"/>
                    </w:rPr>
                  </w:pPr>
                  <w:r w:rsidRPr="003E743A">
                    <w:rPr>
                      <w:rFonts w:ascii="Times New Roman" w:hAnsi="Times New Roman" w:cs="Times New Roman"/>
                      <w:sz w:val="24"/>
                      <w:szCs w:val="24"/>
                    </w:rPr>
                    <w:t>*</w:t>
                  </w:r>
                </w:p>
              </w:tc>
              <w:tc>
                <w:tcPr>
                  <w:tcW w:w="181" w:type="pct"/>
                  <w:tcBorders>
                    <w:top w:val="single" w:sz="4" w:space="0" w:color="auto"/>
                    <w:left w:val="single" w:sz="4" w:space="0" w:color="auto"/>
                    <w:bottom w:val="single" w:sz="4" w:space="0" w:color="auto"/>
                    <w:right w:val="single" w:sz="4" w:space="0" w:color="auto"/>
                  </w:tcBorders>
                  <w:shd w:val="clear" w:color="auto" w:fill="FFFFFF" w:themeFill="background1"/>
                </w:tcPr>
                <w:p w:rsidR="00787AC7" w:rsidRPr="003E743A" w:rsidRDefault="00787AC7" w:rsidP="00787AC7">
                  <w:pPr>
                    <w:spacing w:after="0"/>
                    <w:jc w:val="both"/>
                    <w:rPr>
                      <w:rFonts w:ascii="Times New Roman" w:hAnsi="Times New Roman" w:cs="Times New Roman"/>
                      <w:sz w:val="24"/>
                      <w:szCs w:val="24"/>
                    </w:rPr>
                  </w:pPr>
                </w:p>
              </w:tc>
              <w:tc>
                <w:tcPr>
                  <w:tcW w:w="22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87AC7" w:rsidRPr="003E743A" w:rsidRDefault="00787AC7" w:rsidP="00787AC7">
                  <w:pPr>
                    <w:spacing w:after="0"/>
                    <w:jc w:val="both"/>
                    <w:rPr>
                      <w:rFonts w:ascii="Times New Roman" w:hAnsi="Times New Roman" w:cs="Times New Roman"/>
                      <w:sz w:val="24"/>
                      <w:szCs w:val="24"/>
                    </w:rPr>
                  </w:pPr>
                  <w:r w:rsidRPr="003E743A">
                    <w:rPr>
                      <w:rFonts w:ascii="Times New Roman" w:hAnsi="Times New Roman" w:cs="Times New Roman"/>
                      <w:sz w:val="24"/>
                      <w:szCs w:val="24"/>
                    </w:rPr>
                    <w:t>*</w:t>
                  </w:r>
                </w:p>
              </w:tc>
              <w:tc>
                <w:tcPr>
                  <w:tcW w:w="181" w:type="pct"/>
                  <w:tcBorders>
                    <w:top w:val="single" w:sz="4" w:space="0" w:color="auto"/>
                    <w:left w:val="single" w:sz="4" w:space="0" w:color="auto"/>
                    <w:bottom w:val="single" w:sz="4" w:space="0" w:color="auto"/>
                    <w:right w:val="single" w:sz="4" w:space="0" w:color="auto"/>
                  </w:tcBorders>
                  <w:shd w:val="clear" w:color="auto" w:fill="FFFFFF" w:themeFill="background1"/>
                </w:tcPr>
                <w:p w:rsidR="00787AC7" w:rsidRPr="003E743A" w:rsidRDefault="00787AC7" w:rsidP="00787AC7">
                  <w:pPr>
                    <w:spacing w:after="0"/>
                    <w:jc w:val="both"/>
                    <w:rPr>
                      <w:rFonts w:ascii="Times New Roman" w:hAnsi="Times New Roman" w:cs="Times New Roman"/>
                      <w:sz w:val="24"/>
                      <w:szCs w:val="24"/>
                    </w:rPr>
                  </w:pPr>
                </w:p>
              </w:tc>
              <w:tc>
                <w:tcPr>
                  <w:tcW w:w="22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87AC7" w:rsidRPr="003E743A" w:rsidRDefault="00787AC7" w:rsidP="00787AC7">
                  <w:pPr>
                    <w:spacing w:after="0"/>
                    <w:jc w:val="both"/>
                    <w:rPr>
                      <w:rFonts w:ascii="Times New Roman" w:hAnsi="Times New Roman" w:cs="Times New Roman"/>
                      <w:sz w:val="24"/>
                      <w:szCs w:val="24"/>
                    </w:rPr>
                  </w:pPr>
                  <w:r w:rsidRPr="003E743A">
                    <w:rPr>
                      <w:rFonts w:ascii="Times New Roman" w:hAnsi="Times New Roman" w:cs="Times New Roman"/>
                      <w:sz w:val="24"/>
                      <w:szCs w:val="24"/>
                    </w:rPr>
                    <w:t>*</w:t>
                  </w:r>
                </w:p>
              </w:tc>
              <w:tc>
                <w:tcPr>
                  <w:tcW w:w="18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87AC7" w:rsidRPr="003E743A" w:rsidRDefault="00787AC7" w:rsidP="00787AC7">
                  <w:pPr>
                    <w:spacing w:after="0"/>
                    <w:jc w:val="both"/>
                    <w:rPr>
                      <w:rFonts w:ascii="Times New Roman" w:hAnsi="Times New Roman" w:cs="Times New Roman"/>
                      <w:sz w:val="24"/>
                      <w:szCs w:val="24"/>
                    </w:rPr>
                  </w:pPr>
                </w:p>
              </w:tc>
              <w:tc>
                <w:tcPr>
                  <w:tcW w:w="22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87AC7" w:rsidRPr="003E743A" w:rsidRDefault="00787AC7" w:rsidP="00787AC7">
                  <w:pPr>
                    <w:spacing w:after="0"/>
                    <w:jc w:val="both"/>
                    <w:rPr>
                      <w:rFonts w:ascii="Times New Roman" w:hAnsi="Times New Roman" w:cs="Times New Roman"/>
                      <w:sz w:val="24"/>
                      <w:szCs w:val="24"/>
                    </w:rPr>
                  </w:pPr>
                  <w:r w:rsidRPr="003E743A">
                    <w:rPr>
                      <w:rFonts w:ascii="Times New Roman" w:hAnsi="Times New Roman" w:cs="Times New Roman"/>
                      <w:sz w:val="24"/>
                      <w:szCs w:val="24"/>
                    </w:rPr>
                    <w:t>*</w:t>
                  </w:r>
                </w:p>
              </w:tc>
              <w:tc>
                <w:tcPr>
                  <w:tcW w:w="18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87AC7" w:rsidRPr="003E743A" w:rsidRDefault="00787AC7" w:rsidP="00787AC7">
                  <w:pPr>
                    <w:spacing w:after="0"/>
                    <w:jc w:val="both"/>
                    <w:rPr>
                      <w:rFonts w:ascii="Times New Roman" w:hAnsi="Times New Roman" w:cs="Times New Roman"/>
                      <w:sz w:val="24"/>
                      <w:szCs w:val="24"/>
                    </w:rPr>
                  </w:pPr>
                  <w:r w:rsidRPr="003E743A">
                    <w:rPr>
                      <w:rFonts w:ascii="Times New Roman" w:hAnsi="Times New Roman" w:cs="Times New Roman"/>
                      <w:sz w:val="24"/>
                      <w:szCs w:val="24"/>
                    </w:rPr>
                    <w:t>*</w:t>
                  </w:r>
                </w:p>
              </w:tc>
              <w:tc>
                <w:tcPr>
                  <w:tcW w:w="22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87AC7" w:rsidRPr="003E743A" w:rsidRDefault="00787AC7" w:rsidP="00787AC7">
                  <w:pPr>
                    <w:spacing w:after="0"/>
                    <w:jc w:val="both"/>
                    <w:rPr>
                      <w:rFonts w:ascii="Times New Roman" w:hAnsi="Times New Roman" w:cs="Times New Roman"/>
                      <w:sz w:val="24"/>
                      <w:szCs w:val="24"/>
                    </w:rPr>
                  </w:pPr>
                  <w:r w:rsidRPr="003E743A">
                    <w:rPr>
                      <w:rFonts w:ascii="Times New Roman" w:hAnsi="Times New Roman" w:cs="Times New Roman"/>
                      <w:sz w:val="24"/>
                      <w:szCs w:val="24"/>
                    </w:rPr>
                    <w:t>*</w:t>
                  </w:r>
                </w:p>
              </w:tc>
              <w:tc>
                <w:tcPr>
                  <w:tcW w:w="18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87AC7" w:rsidRPr="003E743A" w:rsidRDefault="00787AC7" w:rsidP="00787AC7">
                  <w:pPr>
                    <w:spacing w:after="0"/>
                    <w:jc w:val="both"/>
                    <w:rPr>
                      <w:rFonts w:ascii="Times New Roman" w:hAnsi="Times New Roman" w:cs="Times New Roman"/>
                      <w:sz w:val="24"/>
                      <w:szCs w:val="24"/>
                    </w:rPr>
                  </w:pPr>
                  <w:r w:rsidRPr="003E743A">
                    <w:rPr>
                      <w:rFonts w:ascii="Times New Roman" w:hAnsi="Times New Roman" w:cs="Times New Roman"/>
                      <w:sz w:val="24"/>
                      <w:szCs w:val="24"/>
                    </w:rPr>
                    <w:t>*</w:t>
                  </w:r>
                </w:p>
              </w:tc>
              <w:tc>
                <w:tcPr>
                  <w:tcW w:w="182" w:type="pct"/>
                  <w:tcBorders>
                    <w:top w:val="single" w:sz="4" w:space="0" w:color="auto"/>
                    <w:left w:val="single" w:sz="4" w:space="0" w:color="auto"/>
                    <w:bottom w:val="single" w:sz="4" w:space="0" w:color="auto"/>
                    <w:right w:val="single" w:sz="4" w:space="0" w:color="auto"/>
                  </w:tcBorders>
                  <w:shd w:val="clear" w:color="auto" w:fill="FFFFFF" w:themeFill="background1"/>
                </w:tcPr>
                <w:p w:rsidR="00787AC7" w:rsidRPr="003E743A" w:rsidRDefault="00787AC7" w:rsidP="00787AC7">
                  <w:pPr>
                    <w:spacing w:after="0"/>
                    <w:jc w:val="both"/>
                    <w:rPr>
                      <w:rFonts w:ascii="Times New Roman" w:hAnsi="Times New Roman" w:cs="Times New Roman"/>
                      <w:sz w:val="24"/>
                      <w:szCs w:val="24"/>
                    </w:rPr>
                  </w:pPr>
                </w:p>
              </w:tc>
              <w:tc>
                <w:tcPr>
                  <w:tcW w:w="18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87AC7" w:rsidRPr="003E743A" w:rsidRDefault="00787AC7" w:rsidP="00787AC7">
                  <w:pPr>
                    <w:spacing w:after="0"/>
                    <w:jc w:val="both"/>
                    <w:rPr>
                      <w:rFonts w:ascii="Times New Roman" w:hAnsi="Times New Roman" w:cs="Times New Roman"/>
                      <w:sz w:val="24"/>
                      <w:szCs w:val="24"/>
                    </w:rPr>
                  </w:pPr>
                  <w:r w:rsidRPr="003E743A">
                    <w:rPr>
                      <w:rFonts w:ascii="Times New Roman" w:hAnsi="Times New Roman" w:cs="Times New Roman"/>
                      <w:sz w:val="24"/>
                      <w:szCs w:val="24"/>
                    </w:rPr>
                    <w:t>*</w:t>
                  </w:r>
                </w:p>
              </w:tc>
              <w:tc>
                <w:tcPr>
                  <w:tcW w:w="20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87AC7" w:rsidRPr="003E743A" w:rsidRDefault="00787AC7" w:rsidP="00787AC7">
                  <w:pPr>
                    <w:spacing w:after="0"/>
                    <w:jc w:val="both"/>
                    <w:rPr>
                      <w:rFonts w:ascii="Times New Roman" w:hAnsi="Times New Roman" w:cs="Times New Roman"/>
                      <w:sz w:val="24"/>
                      <w:szCs w:val="24"/>
                    </w:rPr>
                  </w:pPr>
                  <w:r w:rsidRPr="003E743A">
                    <w:rPr>
                      <w:rFonts w:ascii="Times New Roman" w:hAnsi="Times New Roman" w:cs="Times New Roman"/>
                      <w:sz w:val="24"/>
                      <w:szCs w:val="24"/>
                    </w:rPr>
                    <w:t>*</w:t>
                  </w:r>
                </w:p>
              </w:tc>
              <w:tc>
                <w:tcPr>
                  <w:tcW w:w="182" w:type="pct"/>
                  <w:tcBorders>
                    <w:top w:val="single" w:sz="4" w:space="0" w:color="auto"/>
                    <w:left w:val="single" w:sz="4" w:space="0" w:color="auto"/>
                    <w:bottom w:val="single" w:sz="4" w:space="0" w:color="auto"/>
                    <w:right w:val="single" w:sz="4" w:space="0" w:color="auto"/>
                  </w:tcBorders>
                  <w:shd w:val="clear" w:color="auto" w:fill="FFFFFF" w:themeFill="background1"/>
                </w:tcPr>
                <w:p w:rsidR="00787AC7" w:rsidRPr="003E743A" w:rsidRDefault="00787AC7" w:rsidP="00787AC7">
                  <w:pPr>
                    <w:spacing w:after="0"/>
                    <w:jc w:val="both"/>
                    <w:rPr>
                      <w:rFonts w:ascii="Times New Roman" w:hAnsi="Times New Roman" w:cs="Times New Roman"/>
                      <w:sz w:val="24"/>
                      <w:szCs w:val="24"/>
                    </w:rPr>
                  </w:pPr>
                </w:p>
              </w:tc>
              <w:tc>
                <w:tcPr>
                  <w:tcW w:w="18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87AC7" w:rsidRPr="003E743A" w:rsidRDefault="00787AC7" w:rsidP="00787AC7">
                  <w:pPr>
                    <w:spacing w:after="0"/>
                    <w:jc w:val="both"/>
                    <w:rPr>
                      <w:rFonts w:ascii="Times New Roman" w:hAnsi="Times New Roman" w:cs="Times New Roman"/>
                      <w:sz w:val="24"/>
                      <w:szCs w:val="24"/>
                    </w:rPr>
                  </w:pPr>
                  <w:r w:rsidRPr="003E743A">
                    <w:rPr>
                      <w:rFonts w:ascii="Times New Roman" w:hAnsi="Times New Roman" w:cs="Times New Roman"/>
                      <w:sz w:val="24"/>
                      <w:szCs w:val="24"/>
                    </w:rPr>
                    <w:t>*</w:t>
                  </w:r>
                </w:p>
              </w:tc>
              <w:tc>
                <w:tcPr>
                  <w:tcW w:w="182" w:type="pct"/>
                  <w:tcBorders>
                    <w:top w:val="single" w:sz="4" w:space="0" w:color="auto"/>
                    <w:left w:val="single" w:sz="4" w:space="0" w:color="auto"/>
                    <w:bottom w:val="single" w:sz="4" w:space="0" w:color="auto"/>
                    <w:right w:val="single" w:sz="4" w:space="0" w:color="auto"/>
                  </w:tcBorders>
                  <w:shd w:val="clear" w:color="auto" w:fill="FFFFFF" w:themeFill="background1"/>
                </w:tcPr>
                <w:p w:rsidR="00787AC7" w:rsidRPr="003E743A" w:rsidRDefault="00BE1691" w:rsidP="00787AC7">
                  <w:pPr>
                    <w:spacing w:after="0"/>
                    <w:jc w:val="both"/>
                    <w:rPr>
                      <w:rFonts w:ascii="Times New Roman" w:hAnsi="Times New Roman" w:cs="Times New Roman"/>
                      <w:sz w:val="24"/>
                      <w:szCs w:val="24"/>
                    </w:rPr>
                  </w:pPr>
                  <w:r>
                    <w:rPr>
                      <w:rFonts w:ascii="Times New Roman" w:hAnsi="Times New Roman" w:cs="Times New Roman"/>
                      <w:sz w:val="24"/>
                      <w:szCs w:val="24"/>
                    </w:rPr>
                    <w:t>*</w:t>
                  </w:r>
                </w:p>
              </w:tc>
              <w:tc>
                <w:tcPr>
                  <w:tcW w:w="138" w:type="pct"/>
                  <w:tcBorders>
                    <w:top w:val="single" w:sz="4" w:space="0" w:color="auto"/>
                    <w:left w:val="single" w:sz="4" w:space="0" w:color="auto"/>
                    <w:bottom w:val="single" w:sz="4" w:space="0" w:color="auto"/>
                    <w:right w:val="single" w:sz="4" w:space="0" w:color="auto"/>
                  </w:tcBorders>
                  <w:shd w:val="clear" w:color="auto" w:fill="FFFFFF" w:themeFill="background1"/>
                </w:tcPr>
                <w:p w:rsidR="00787AC7" w:rsidRPr="003E743A" w:rsidRDefault="00BE1691" w:rsidP="00787AC7">
                  <w:pPr>
                    <w:spacing w:after="0"/>
                    <w:jc w:val="both"/>
                    <w:rPr>
                      <w:rFonts w:ascii="Times New Roman" w:hAnsi="Times New Roman" w:cs="Times New Roman"/>
                      <w:sz w:val="24"/>
                      <w:szCs w:val="24"/>
                    </w:rPr>
                  </w:pPr>
                  <w:r>
                    <w:rPr>
                      <w:rFonts w:ascii="Times New Roman" w:hAnsi="Times New Roman" w:cs="Times New Roman"/>
                      <w:sz w:val="24"/>
                      <w:szCs w:val="24"/>
                    </w:rPr>
                    <w:t>*</w:t>
                  </w:r>
                </w:p>
              </w:tc>
              <w:tc>
                <w:tcPr>
                  <w:tcW w:w="127" w:type="pct"/>
                  <w:tcBorders>
                    <w:top w:val="single" w:sz="4" w:space="0" w:color="auto"/>
                    <w:left w:val="single" w:sz="4" w:space="0" w:color="auto"/>
                    <w:bottom w:val="single" w:sz="4" w:space="0" w:color="auto"/>
                    <w:right w:val="single" w:sz="4" w:space="0" w:color="auto"/>
                  </w:tcBorders>
                  <w:shd w:val="clear" w:color="auto" w:fill="FFFFFF" w:themeFill="background1"/>
                </w:tcPr>
                <w:p w:rsidR="00787AC7" w:rsidRPr="003E743A" w:rsidRDefault="00787AC7" w:rsidP="00787AC7">
                  <w:pPr>
                    <w:spacing w:after="0"/>
                    <w:jc w:val="both"/>
                    <w:rPr>
                      <w:rFonts w:ascii="Times New Roman" w:hAnsi="Times New Roman" w:cs="Times New Roman"/>
                      <w:sz w:val="24"/>
                      <w:szCs w:val="24"/>
                    </w:rPr>
                  </w:pPr>
                </w:p>
              </w:tc>
            </w:tr>
            <w:tr w:rsidR="00787AC7" w:rsidRPr="003E743A" w:rsidTr="00787AC7">
              <w:trPr>
                <w:trHeight w:val="140"/>
              </w:trPr>
              <w:tc>
                <w:tcPr>
                  <w:tcW w:w="142" w:type="pct"/>
                  <w:vMerge/>
                  <w:tcBorders>
                    <w:left w:val="single" w:sz="4" w:space="0" w:color="auto"/>
                    <w:right w:val="single" w:sz="4" w:space="0" w:color="auto"/>
                  </w:tcBorders>
                  <w:shd w:val="clear" w:color="auto" w:fill="F2F2F2"/>
                  <w:textDirection w:val="btLr"/>
                  <w:vAlign w:val="center"/>
                </w:tcPr>
                <w:p w:rsidR="00787AC7" w:rsidRPr="003E743A" w:rsidRDefault="00787AC7" w:rsidP="00787AC7">
                  <w:pPr>
                    <w:spacing w:after="0"/>
                    <w:jc w:val="center"/>
                    <w:rPr>
                      <w:rFonts w:ascii="Times New Roman" w:hAnsi="Times New Roman" w:cs="Times New Roman"/>
                      <w:sz w:val="18"/>
                      <w:szCs w:val="18"/>
                    </w:rPr>
                  </w:pPr>
                </w:p>
              </w:tc>
              <w:tc>
                <w:tcPr>
                  <w:tcW w:w="142" w:type="pct"/>
                  <w:vMerge/>
                  <w:tcBorders>
                    <w:top w:val="single" w:sz="4" w:space="0" w:color="auto"/>
                    <w:left w:val="single" w:sz="4" w:space="0" w:color="auto"/>
                    <w:bottom w:val="single" w:sz="4" w:space="0" w:color="auto"/>
                    <w:right w:val="single" w:sz="4" w:space="0" w:color="auto"/>
                  </w:tcBorders>
                  <w:shd w:val="clear" w:color="auto" w:fill="F2F2F2"/>
                  <w:textDirection w:val="btLr"/>
                  <w:vAlign w:val="center"/>
                </w:tcPr>
                <w:p w:rsidR="00787AC7" w:rsidRPr="003E743A" w:rsidRDefault="00787AC7" w:rsidP="00787AC7">
                  <w:pPr>
                    <w:spacing w:after="0"/>
                    <w:jc w:val="center"/>
                    <w:rPr>
                      <w:rFonts w:ascii="Times New Roman" w:hAnsi="Times New Roman" w:cs="Times New Roman"/>
                      <w:sz w:val="18"/>
                      <w:szCs w:val="18"/>
                    </w:rPr>
                  </w:pPr>
                </w:p>
              </w:tc>
              <w:tc>
                <w:tcPr>
                  <w:tcW w:w="480" w:type="pct"/>
                  <w:tcBorders>
                    <w:top w:val="single" w:sz="4" w:space="0" w:color="auto"/>
                    <w:left w:val="single" w:sz="4" w:space="0" w:color="auto"/>
                    <w:bottom w:val="single" w:sz="4" w:space="0" w:color="auto"/>
                    <w:right w:val="single" w:sz="4" w:space="0" w:color="auto"/>
                  </w:tcBorders>
                  <w:shd w:val="clear" w:color="auto" w:fill="F2F2F2"/>
                  <w:vAlign w:val="center"/>
                </w:tcPr>
                <w:p w:rsidR="00787AC7" w:rsidRPr="003E743A" w:rsidRDefault="00787AC7" w:rsidP="00787AC7">
                  <w:pPr>
                    <w:spacing w:after="0"/>
                    <w:jc w:val="both"/>
                    <w:rPr>
                      <w:rFonts w:ascii="Times New Roman" w:hAnsi="Times New Roman" w:cs="Times New Roman"/>
                      <w:sz w:val="18"/>
                      <w:szCs w:val="18"/>
                    </w:rPr>
                  </w:pPr>
                  <w:r w:rsidRPr="003E743A">
                    <w:rPr>
                      <w:rFonts w:ascii="Times New Roman" w:hAnsi="Times New Roman" w:cs="Times New Roman"/>
                      <w:sz w:val="18"/>
                      <w:szCs w:val="18"/>
                    </w:rPr>
                    <w:t>Sous-sol</w:t>
                  </w:r>
                </w:p>
              </w:tc>
              <w:tc>
                <w:tcPr>
                  <w:tcW w:w="27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87AC7" w:rsidRPr="003E743A" w:rsidRDefault="00787AC7" w:rsidP="00787AC7">
                  <w:pPr>
                    <w:spacing w:after="0"/>
                    <w:jc w:val="center"/>
                    <w:rPr>
                      <w:rFonts w:ascii="Times New Roman" w:hAnsi="Times New Roman" w:cs="Times New Roman"/>
                      <w:sz w:val="24"/>
                      <w:szCs w:val="24"/>
                    </w:rPr>
                  </w:pPr>
                  <w:r w:rsidRPr="003E743A">
                    <w:rPr>
                      <w:rFonts w:ascii="Times New Roman" w:hAnsi="Times New Roman" w:cs="Times New Roman"/>
                      <w:sz w:val="24"/>
                      <w:szCs w:val="24"/>
                    </w:rPr>
                    <w:t>*</w:t>
                  </w:r>
                </w:p>
              </w:tc>
              <w:tc>
                <w:tcPr>
                  <w:tcW w:w="31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87AC7" w:rsidRPr="003E743A" w:rsidRDefault="00787AC7" w:rsidP="00787AC7">
                  <w:pPr>
                    <w:spacing w:after="0"/>
                    <w:jc w:val="both"/>
                    <w:rPr>
                      <w:rFonts w:ascii="Times New Roman" w:hAnsi="Times New Roman" w:cs="Times New Roman"/>
                      <w:sz w:val="24"/>
                      <w:szCs w:val="24"/>
                    </w:rPr>
                  </w:pPr>
                </w:p>
              </w:tc>
              <w:tc>
                <w:tcPr>
                  <w:tcW w:w="22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87AC7" w:rsidRPr="003E743A" w:rsidRDefault="00787AC7" w:rsidP="00787AC7">
                  <w:pPr>
                    <w:spacing w:after="0"/>
                    <w:jc w:val="both"/>
                    <w:rPr>
                      <w:rFonts w:ascii="Times New Roman" w:hAnsi="Times New Roman" w:cs="Times New Roman"/>
                      <w:sz w:val="24"/>
                      <w:szCs w:val="24"/>
                    </w:rPr>
                  </w:pPr>
                </w:p>
              </w:tc>
              <w:tc>
                <w:tcPr>
                  <w:tcW w:w="22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87AC7" w:rsidRPr="003E743A" w:rsidRDefault="00787AC7" w:rsidP="00787AC7">
                  <w:pPr>
                    <w:spacing w:after="0"/>
                    <w:jc w:val="both"/>
                    <w:rPr>
                      <w:rFonts w:ascii="Times New Roman" w:hAnsi="Times New Roman" w:cs="Times New Roman"/>
                      <w:sz w:val="24"/>
                      <w:szCs w:val="24"/>
                    </w:rPr>
                  </w:pPr>
                  <w:r w:rsidRPr="003E743A">
                    <w:rPr>
                      <w:rFonts w:ascii="Times New Roman" w:hAnsi="Times New Roman" w:cs="Times New Roman"/>
                      <w:sz w:val="24"/>
                      <w:szCs w:val="24"/>
                    </w:rPr>
                    <w:t>*</w:t>
                  </w:r>
                </w:p>
              </w:tc>
              <w:tc>
                <w:tcPr>
                  <w:tcW w:w="181" w:type="pct"/>
                  <w:tcBorders>
                    <w:top w:val="single" w:sz="4" w:space="0" w:color="auto"/>
                    <w:left w:val="single" w:sz="4" w:space="0" w:color="auto"/>
                    <w:bottom w:val="single" w:sz="4" w:space="0" w:color="auto"/>
                    <w:right w:val="single" w:sz="4" w:space="0" w:color="auto"/>
                  </w:tcBorders>
                  <w:shd w:val="clear" w:color="auto" w:fill="FFFFFF" w:themeFill="background1"/>
                </w:tcPr>
                <w:p w:rsidR="00787AC7" w:rsidRPr="003E743A" w:rsidRDefault="00787AC7" w:rsidP="00787AC7">
                  <w:pPr>
                    <w:spacing w:after="0"/>
                    <w:jc w:val="both"/>
                    <w:rPr>
                      <w:rFonts w:ascii="Times New Roman" w:hAnsi="Times New Roman" w:cs="Times New Roman"/>
                      <w:sz w:val="24"/>
                      <w:szCs w:val="24"/>
                    </w:rPr>
                  </w:pPr>
                </w:p>
              </w:tc>
              <w:tc>
                <w:tcPr>
                  <w:tcW w:w="226" w:type="pct"/>
                  <w:tcBorders>
                    <w:top w:val="single" w:sz="4" w:space="0" w:color="auto"/>
                    <w:left w:val="single" w:sz="4" w:space="0" w:color="auto"/>
                    <w:bottom w:val="single" w:sz="4" w:space="0" w:color="auto"/>
                    <w:right w:val="single" w:sz="4" w:space="0" w:color="auto"/>
                  </w:tcBorders>
                  <w:shd w:val="clear" w:color="auto" w:fill="FFFFFF" w:themeFill="background1"/>
                </w:tcPr>
                <w:p w:rsidR="00787AC7" w:rsidRPr="003E743A" w:rsidRDefault="00787AC7" w:rsidP="00787AC7">
                  <w:pPr>
                    <w:spacing w:after="0"/>
                    <w:jc w:val="both"/>
                    <w:rPr>
                      <w:rFonts w:ascii="Times New Roman" w:hAnsi="Times New Roman" w:cs="Times New Roman"/>
                      <w:sz w:val="24"/>
                      <w:szCs w:val="24"/>
                    </w:rPr>
                  </w:pPr>
                </w:p>
              </w:tc>
              <w:tc>
                <w:tcPr>
                  <w:tcW w:w="181" w:type="pct"/>
                  <w:tcBorders>
                    <w:top w:val="single" w:sz="4" w:space="0" w:color="auto"/>
                    <w:left w:val="single" w:sz="4" w:space="0" w:color="auto"/>
                    <w:bottom w:val="single" w:sz="4" w:space="0" w:color="auto"/>
                    <w:right w:val="single" w:sz="4" w:space="0" w:color="auto"/>
                  </w:tcBorders>
                  <w:shd w:val="clear" w:color="auto" w:fill="FFFFFF" w:themeFill="background1"/>
                </w:tcPr>
                <w:p w:rsidR="00787AC7" w:rsidRPr="003E743A" w:rsidRDefault="00787AC7" w:rsidP="00787AC7">
                  <w:pPr>
                    <w:spacing w:after="0"/>
                    <w:jc w:val="both"/>
                    <w:rPr>
                      <w:rFonts w:ascii="Times New Roman" w:hAnsi="Times New Roman" w:cs="Times New Roman"/>
                      <w:sz w:val="24"/>
                      <w:szCs w:val="24"/>
                    </w:rPr>
                  </w:pPr>
                </w:p>
              </w:tc>
              <w:tc>
                <w:tcPr>
                  <w:tcW w:w="22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87AC7" w:rsidRPr="003E743A" w:rsidRDefault="00787AC7" w:rsidP="00787AC7">
                  <w:pPr>
                    <w:spacing w:after="0"/>
                    <w:jc w:val="both"/>
                    <w:rPr>
                      <w:rFonts w:ascii="Times New Roman" w:hAnsi="Times New Roman" w:cs="Times New Roman"/>
                      <w:sz w:val="24"/>
                      <w:szCs w:val="24"/>
                    </w:rPr>
                  </w:pPr>
                </w:p>
              </w:tc>
              <w:tc>
                <w:tcPr>
                  <w:tcW w:w="18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87AC7" w:rsidRPr="003E743A" w:rsidRDefault="00787AC7" w:rsidP="00787AC7">
                  <w:pPr>
                    <w:spacing w:after="0"/>
                    <w:jc w:val="both"/>
                    <w:rPr>
                      <w:rFonts w:ascii="Times New Roman" w:hAnsi="Times New Roman" w:cs="Times New Roman"/>
                      <w:sz w:val="24"/>
                      <w:szCs w:val="24"/>
                    </w:rPr>
                  </w:pPr>
                </w:p>
              </w:tc>
              <w:tc>
                <w:tcPr>
                  <w:tcW w:w="226" w:type="pct"/>
                  <w:tcBorders>
                    <w:top w:val="single" w:sz="4" w:space="0" w:color="auto"/>
                    <w:left w:val="single" w:sz="4" w:space="0" w:color="auto"/>
                    <w:bottom w:val="single" w:sz="4" w:space="0" w:color="auto"/>
                    <w:right w:val="single" w:sz="4" w:space="0" w:color="auto"/>
                  </w:tcBorders>
                  <w:shd w:val="clear" w:color="auto" w:fill="FFFFFF" w:themeFill="background1"/>
                </w:tcPr>
                <w:p w:rsidR="00787AC7" w:rsidRPr="003E743A" w:rsidRDefault="00787AC7" w:rsidP="00787AC7">
                  <w:pPr>
                    <w:spacing w:after="0"/>
                    <w:jc w:val="both"/>
                    <w:rPr>
                      <w:rFonts w:ascii="Times New Roman" w:hAnsi="Times New Roman" w:cs="Times New Roman"/>
                      <w:sz w:val="24"/>
                      <w:szCs w:val="24"/>
                    </w:rPr>
                  </w:pPr>
                  <w:r>
                    <w:rPr>
                      <w:rFonts w:ascii="Times New Roman" w:hAnsi="Times New Roman" w:cs="Times New Roman"/>
                      <w:sz w:val="24"/>
                      <w:szCs w:val="24"/>
                    </w:rPr>
                    <w:t>*</w:t>
                  </w:r>
                </w:p>
              </w:tc>
              <w:tc>
                <w:tcPr>
                  <w:tcW w:w="181" w:type="pct"/>
                  <w:tcBorders>
                    <w:top w:val="single" w:sz="4" w:space="0" w:color="auto"/>
                    <w:left w:val="single" w:sz="4" w:space="0" w:color="auto"/>
                    <w:bottom w:val="single" w:sz="4" w:space="0" w:color="auto"/>
                    <w:right w:val="single" w:sz="4" w:space="0" w:color="auto"/>
                  </w:tcBorders>
                  <w:shd w:val="clear" w:color="auto" w:fill="FFFFFF" w:themeFill="background1"/>
                </w:tcPr>
                <w:p w:rsidR="00787AC7" w:rsidRPr="003E743A" w:rsidRDefault="00787AC7" w:rsidP="00787AC7">
                  <w:pPr>
                    <w:spacing w:after="0"/>
                    <w:jc w:val="both"/>
                    <w:rPr>
                      <w:rFonts w:ascii="Times New Roman" w:hAnsi="Times New Roman" w:cs="Times New Roman"/>
                      <w:sz w:val="24"/>
                      <w:szCs w:val="24"/>
                    </w:rPr>
                  </w:pPr>
                  <w:r>
                    <w:rPr>
                      <w:rFonts w:ascii="Times New Roman" w:hAnsi="Times New Roman" w:cs="Times New Roman"/>
                      <w:sz w:val="24"/>
                      <w:szCs w:val="24"/>
                    </w:rPr>
                    <w:t>*</w:t>
                  </w:r>
                </w:p>
              </w:tc>
              <w:tc>
                <w:tcPr>
                  <w:tcW w:w="22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87AC7" w:rsidRPr="003E743A" w:rsidRDefault="00787AC7" w:rsidP="00787AC7">
                  <w:pPr>
                    <w:spacing w:after="0"/>
                    <w:jc w:val="both"/>
                    <w:rPr>
                      <w:rFonts w:ascii="Times New Roman" w:hAnsi="Times New Roman" w:cs="Times New Roman"/>
                      <w:sz w:val="24"/>
                      <w:szCs w:val="24"/>
                    </w:rPr>
                  </w:pPr>
                </w:p>
              </w:tc>
              <w:tc>
                <w:tcPr>
                  <w:tcW w:w="182" w:type="pct"/>
                  <w:tcBorders>
                    <w:top w:val="single" w:sz="4" w:space="0" w:color="auto"/>
                    <w:left w:val="single" w:sz="4" w:space="0" w:color="auto"/>
                    <w:bottom w:val="single" w:sz="4" w:space="0" w:color="auto"/>
                    <w:right w:val="single" w:sz="4" w:space="0" w:color="auto"/>
                  </w:tcBorders>
                  <w:shd w:val="clear" w:color="auto" w:fill="FFFFFF" w:themeFill="background1"/>
                </w:tcPr>
                <w:p w:rsidR="00787AC7" w:rsidRPr="003E743A" w:rsidRDefault="00787AC7" w:rsidP="00787AC7">
                  <w:pPr>
                    <w:spacing w:after="0"/>
                    <w:jc w:val="both"/>
                    <w:rPr>
                      <w:rFonts w:ascii="Times New Roman" w:hAnsi="Times New Roman" w:cs="Times New Roman"/>
                      <w:sz w:val="24"/>
                      <w:szCs w:val="24"/>
                    </w:rPr>
                  </w:pPr>
                </w:p>
              </w:tc>
              <w:tc>
                <w:tcPr>
                  <w:tcW w:w="182" w:type="pct"/>
                  <w:tcBorders>
                    <w:top w:val="single" w:sz="4" w:space="0" w:color="auto"/>
                    <w:left w:val="single" w:sz="4" w:space="0" w:color="auto"/>
                    <w:bottom w:val="single" w:sz="4" w:space="0" w:color="auto"/>
                    <w:right w:val="single" w:sz="4" w:space="0" w:color="auto"/>
                  </w:tcBorders>
                  <w:shd w:val="clear" w:color="auto" w:fill="FFFFFF" w:themeFill="background1"/>
                </w:tcPr>
                <w:p w:rsidR="00787AC7" w:rsidRPr="003E743A" w:rsidRDefault="00787AC7" w:rsidP="00787AC7">
                  <w:pPr>
                    <w:spacing w:after="0"/>
                    <w:jc w:val="both"/>
                    <w:rPr>
                      <w:rFonts w:ascii="Times New Roman" w:hAnsi="Times New Roman" w:cs="Times New Roman"/>
                      <w:sz w:val="24"/>
                      <w:szCs w:val="24"/>
                    </w:rPr>
                  </w:pPr>
                </w:p>
              </w:tc>
              <w:tc>
                <w:tcPr>
                  <w:tcW w:w="18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87AC7" w:rsidRPr="003E743A" w:rsidRDefault="00787AC7" w:rsidP="00787AC7">
                  <w:pPr>
                    <w:spacing w:after="0"/>
                    <w:jc w:val="both"/>
                    <w:rPr>
                      <w:rFonts w:ascii="Times New Roman" w:hAnsi="Times New Roman" w:cs="Times New Roman"/>
                      <w:sz w:val="24"/>
                      <w:szCs w:val="24"/>
                    </w:rPr>
                  </w:pPr>
                  <w:r w:rsidRPr="003E743A">
                    <w:rPr>
                      <w:rFonts w:ascii="Times New Roman" w:hAnsi="Times New Roman" w:cs="Times New Roman"/>
                      <w:sz w:val="24"/>
                      <w:szCs w:val="24"/>
                    </w:rPr>
                    <w:t>*</w:t>
                  </w:r>
                </w:p>
              </w:tc>
              <w:tc>
                <w:tcPr>
                  <w:tcW w:w="20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87AC7" w:rsidRPr="003E743A" w:rsidRDefault="00787AC7" w:rsidP="00787AC7">
                  <w:pPr>
                    <w:spacing w:after="0"/>
                    <w:jc w:val="both"/>
                    <w:rPr>
                      <w:rFonts w:ascii="Times New Roman" w:hAnsi="Times New Roman" w:cs="Times New Roman"/>
                      <w:sz w:val="24"/>
                      <w:szCs w:val="24"/>
                    </w:rPr>
                  </w:pPr>
                  <w:r w:rsidRPr="003E743A">
                    <w:rPr>
                      <w:rFonts w:ascii="Times New Roman" w:hAnsi="Times New Roman" w:cs="Times New Roman"/>
                      <w:sz w:val="24"/>
                      <w:szCs w:val="24"/>
                    </w:rPr>
                    <w:t>*</w:t>
                  </w:r>
                </w:p>
              </w:tc>
              <w:tc>
                <w:tcPr>
                  <w:tcW w:w="182" w:type="pct"/>
                  <w:tcBorders>
                    <w:top w:val="single" w:sz="4" w:space="0" w:color="auto"/>
                    <w:left w:val="single" w:sz="4" w:space="0" w:color="auto"/>
                    <w:bottom w:val="single" w:sz="4" w:space="0" w:color="auto"/>
                    <w:right w:val="single" w:sz="4" w:space="0" w:color="auto"/>
                  </w:tcBorders>
                  <w:shd w:val="clear" w:color="auto" w:fill="FFFFFF" w:themeFill="background1"/>
                </w:tcPr>
                <w:p w:rsidR="00787AC7" w:rsidRPr="003E743A" w:rsidRDefault="00787AC7" w:rsidP="00787AC7">
                  <w:pPr>
                    <w:spacing w:after="0"/>
                    <w:jc w:val="both"/>
                    <w:rPr>
                      <w:rFonts w:ascii="Times New Roman" w:hAnsi="Times New Roman" w:cs="Times New Roman"/>
                      <w:sz w:val="24"/>
                      <w:szCs w:val="24"/>
                    </w:rPr>
                  </w:pPr>
                </w:p>
              </w:tc>
              <w:tc>
                <w:tcPr>
                  <w:tcW w:w="183" w:type="pct"/>
                  <w:tcBorders>
                    <w:top w:val="single" w:sz="4" w:space="0" w:color="auto"/>
                    <w:left w:val="single" w:sz="4" w:space="0" w:color="auto"/>
                    <w:bottom w:val="single" w:sz="4" w:space="0" w:color="auto"/>
                    <w:right w:val="single" w:sz="4" w:space="0" w:color="auto"/>
                  </w:tcBorders>
                  <w:shd w:val="clear" w:color="auto" w:fill="FFFFFF" w:themeFill="background1"/>
                </w:tcPr>
                <w:p w:rsidR="00787AC7" w:rsidRPr="003E743A" w:rsidRDefault="00787AC7" w:rsidP="00787AC7">
                  <w:pPr>
                    <w:spacing w:after="0"/>
                    <w:jc w:val="both"/>
                    <w:rPr>
                      <w:rFonts w:ascii="Times New Roman" w:hAnsi="Times New Roman" w:cs="Times New Roman"/>
                      <w:sz w:val="24"/>
                      <w:szCs w:val="24"/>
                    </w:rPr>
                  </w:pPr>
                </w:p>
              </w:tc>
              <w:tc>
                <w:tcPr>
                  <w:tcW w:w="182" w:type="pct"/>
                  <w:tcBorders>
                    <w:top w:val="single" w:sz="4" w:space="0" w:color="auto"/>
                    <w:left w:val="single" w:sz="4" w:space="0" w:color="auto"/>
                    <w:bottom w:val="single" w:sz="4" w:space="0" w:color="auto"/>
                    <w:right w:val="single" w:sz="4" w:space="0" w:color="auto"/>
                  </w:tcBorders>
                  <w:shd w:val="clear" w:color="auto" w:fill="FFFFFF" w:themeFill="background1"/>
                </w:tcPr>
                <w:p w:rsidR="00787AC7" w:rsidRPr="003E743A" w:rsidRDefault="00787AC7" w:rsidP="00787AC7">
                  <w:pPr>
                    <w:spacing w:after="0"/>
                    <w:jc w:val="both"/>
                    <w:rPr>
                      <w:rFonts w:ascii="Times New Roman" w:hAnsi="Times New Roman" w:cs="Times New Roman"/>
                      <w:sz w:val="24"/>
                      <w:szCs w:val="24"/>
                    </w:rPr>
                  </w:pPr>
                </w:p>
              </w:tc>
              <w:tc>
                <w:tcPr>
                  <w:tcW w:w="138" w:type="pct"/>
                  <w:tcBorders>
                    <w:top w:val="single" w:sz="4" w:space="0" w:color="auto"/>
                    <w:left w:val="single" w:sz="4" w:space="0" w:color="auto"/>
                    <w:bottom w:val="single" w:sz="4" w:space="0" w:color="auto"/>
                    <w:right w:val="single" w:sz="4" w:space="0" w:color="auto"/>
                  </w:tcBorders>
                  <w:shd w:val="clear" w:color="auto" w:fill="FFFFFF" w:themeFill="background1"/>
                </w:tcPr>
                <w:p w:rsidR="00787AC7" w:rsidRPr="003E743A" w:rsidRDefault="00BE1691" w:rsidP="00787AC7">
                  <w:pPr>
                    <w:spacing w:after="0"/>
                    <w:jc w:val="both"/>
                    <w:rPr>
                      <w:rFonts w:ascii="Times New Roman" w:hAnsi="Times New Roman" w:cs="Times New Roman"/>
                      <w:sz w:val="24"/>
                      <w:szCs w:val="24"/>
                    </w:rPr>
                  </w:pPr>
                  <w:r>
                    <w:rPr>
                      <w:rFonts w:ascii="Times New Roman" w:hAnsi="Times New Roman" w:cs="Times New Roman"/>
                      <w:sz w:val="24"/>
                      <w:szCs w:val="24"/>
                    </w:rPr>
                    <w:t>*</w:t>
                  </w:r>
                </w:p>
              </w:tc>
              <w:tc>
                <w:tcPr>
                  <w:tcW w:w="127" w:type="pct"/>
                  <w:tcBorders>
                    <w:top w:val="single" w:sz="4" w:space="0" w:color="auto"/>
                    <w:left w:val="single" w:sz="4" w:space="0" w:color="auto"/>
                    <w:bottom w:val="single" w:sz="4" w:space="0" w:color="auto"/>
                    <w:right w:val="single" w:sz="4" w:space="0" w:color="auto"/>
                  </w:tcBorders>
                  <w:shd w:val="clear" w:color="auto" w:fill="FFFFFF" w:themeFill="background1"/>
                </w:tcPr>
                <w:p w:rsidR="00787AC7" w:rsidRPr="003E743A" w:rsidRDefault="00787AC7" w:rsidP="00787AC7">
                  <w:pPr>
                    <w:spacing w:after="0"/>
                    <w:jc w:val="both"/>
                    <w:rPr>
                      <w:rFonts w:ascii="Times New Roman" w:hAnsi="Times New Roman" w:cs="Times New Roman"/>
                      <w:sz w:val="24"/>
                      <w:szCs w:val="24"/>
                    </w:rPr>
                  </w:pPr>
                </w:p>
              </w:tc>
            </w:tr>
            <w:tr w:rsidR="00787AC7" w:rsidRPr="003E743A" w:rsidTr="00787AC7">
              <w:trPr>
                <w:trHeight w:val="78"/>
              </w:trPr>
              <w:tc>
                <w:tcPr>
                  <w:tcW w:w="142" w:type="pct"/>
                  <w:vMerge/>
                  <w:tcBorders>
                    <w:left w:val="single" w:sz="4" w:space="0" w:color="auto"/>
                    <w:right w:val="single" w:sz="4" w:space="0" w:color="auto"/>
                  </w:tcBorders>
                  <w:shd w:val="clear" w:color="auto" w:fill="F2F2F2"/>
                  <w:textDirection w:val="btLr"/>
                  <w:vAlign w:val="center"/>
                </w:tcPr>
                <w:p w:rsidR="00787AC7" w:rsidRPr="003E743A" w:rsidRDefault="00787AC7" w:rsidP="00787AC7">
                  <w:pPr>
                    <w:spacing w:after="0"/>
                    <w:jc w:val="center"/>
                    <w:rPr>
                      <w:rFonts w:ascii="Times New Roman" w:hAnsi="Times New Roman" w:cs="Times New Roman"/>
                      <w:sz w:val="18"/>
                      <w:szCs w:val="18"/>
                    </w:rPr>
                  </w:pPr>
                </w:p>
              </w:tc>
              <w:tc>
                <w:tcPr>
                  <w:tcW w:w="142" w:type="pct"/>
                  <w:vMerge w:val="restart"/>
                  <w:tcBorders>
                    <w:top w:val="single" w:sz="4" w:space="0" w:color="auto"/>
                    <w:left w:val="single" w:sz="4" w:space="0" w:color="auto"/>
                    <w:bottom w:val="single" w:sz="4" w:space="0" w:color="auto"/>
                    <w:right w:val="single" w:sz="4" w:space="0" w:color="auto"/>
                  </w:tcBorders>
                  <w:shd w:val="clear" w:color="auto" w:fill="F2F2F2"/>
                  <w:textDirection w:val="btLr"/>
                  <w:vAlign w:val="center"/>
                </w:tcPr>
                <w:p w:rsidR="00787AC7" w:rsidRPr="003E743A" w:rsidRDefault="00787AC7" w:rsidP="00787AC7">
                  <w:pPr>
                    <w:spacing w:after="0"/>
                    <w:jc w:val="center"/>
                    <w:rPr>
                      <w:rFonts w:ascii="Times New Roman" w:hAnsi="Times New Roman" w:cs="Times New Roman"/>
                      <w:sz w:val="16"/>
                      <w:szCs w:val="16"/>
                    </w:rPr>
                  </w:pPr>
                  <w:r w:rsidRPr="003E743A">
                    <w:rPr>
                      <w:rFonts w:ascii="Times New Roman" w:hAnsi="Times New Roman" w:cs="Times New Roman"/>
                      <w:sz w:val="16"/>
                      <w:szCs w:val="16"/>
                    </w:rPr>
                    <w:t>BIOCE - NOSE</w:t>
                  </w:r>
                </w:p>
              </w:tc>
              <w:tc>
                <w:tcPr>
                  <w:tcW w:w="480" w:type="pct"/>
                  <w:tcBorders>
                    <w:top w:val="single" w:sz="4" w:space="0" w:color="auto"/>
                    <w:left w:val="single" w:sz="4" w:space="0" w:color="auto"/>
                    <w:bottom w:val="single" w:sz="4" w:space="0" w:color="auto"/>
                    <w:right w:val="single" w:sz="4" w:space="0" w:color="auto"/>
                  </w:tcBorders>
                  <w:shd w:val="clear" w:color="auto" w:fill="F2F2F2"/>
                  <w:vAlign w:val="center"/>
                </w:tcPr>
                <w:p w:rsidR="00787AC7" w:rsidRPr="003E743A" w:rsidRDefault="00787AC7" w:rsidP="00787AC7">
                  <w:pPr>
                    <w:spacing w:after="0"/>
                    <w:jc w:val="both"/>
                    <w:rPr>
                      <w:rFonts w:ascii="Times New Roman" w:hAnsi="Times New Roman" w:cs="Times New Roman"/>
                      <w:sz w:val="18"/>
                      <w:szCs w:val="18"/>
                    </w:rPr>
                  </w:pPr>
                  <w:r w:rsidRPr="003E743A">
                    <w:rPr>
                      <w:rFonts w:ascii="Times New Roman" w:hAnsi="Times New Roman" w:cs="Times New Roman"/>
                      <w:sz w:val="18"/>
                      <w:szCs w:val="18"/>
                    </w:rPr>
                    <w:t>Flore</w:t>
                  </w:r>
                </w:p>
              </w:tc>
              <w:tc>
                <w:tcPr>
                  <w:tcW w:w="27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87AC7" w:rsidRPr="003E743A" w:rsidRDefault="00787AC7" w:rsidP="00787AC7">
                  <w:pPr>
                    <w:spacing w:after="0"/>
                    <w:jc w:val="center"/>
                    <w:rPr>
                      <w:rFonts w:ascii="Times New Roman" w:hAnsi="Times New Roman" w:cs="Times New Roman"/>
                      <w:sz w:val="24"/>
                      <w:szCs w:val="24"/>
                    </w:rPr>
                  </w:pPr>
                  <w:r w:rsidRPr="003E743A">
                    <w:rPr>
                      <w:rFonts w:ascii="Times New Roman" w:hAnsi="Times New Roman" w:cs="Times New Roman"/>
                      <w:sz w:val="24"/>
                      <w:szCs w:val="24"/>
                    </w:rPr>
                    <w:t>*</w:t>
                  </w:r>
                </w:p>
              </w:tc>
              <w:tc>
                <w:tcPr>
                  <w:tcW w:w="31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87AC7" w:rsidRPr="003E743A" w:rsidRDefault="00787AC7" w:rsidP="00787AC7">
                  <w:pPr>
                    <w:spacing w:after="0"/>
                    <w:jc w:val="both"/>
                    <w:rPr>
                      <w:rFonts w:ascii="Times New Roman" w:hAnsi="Times New Roman" w:cs="Times New Roman"/>
                      <w:sz w:val="24"/>
                      <w:szCs w:val="24"/>
                    </w:rPr>
                  </w:pPr>
                  <w:r w:rsidRPr="003E743A">
                    <w:rPr>
                      <w:rFonts w:ascii="Times New Roman" w:hAnsi="Times New Roman" w:cs="Times New Roman"/>
                      <w:sz w:val="24"/>
                      <w:szCs w:val="24"/>
                    </w:rPr>
                    <w:t>*</w:t>
                  </w:r>
                </w:p>
              </w:tc>
              <w:tc>
                <w:tcPr>
                  <w:tcW w:w="22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87AC7" w:rsidRPr="003E743A" w:rsidRDefault="00787AC7" w:rsidP="00787AC7">
                  <w:pPr>
                    <w:spacing w:after="0"/>
                    <w:jc w:val="both"/>
                    <w:rPr>
                      <w:rFonts w:ascii="Times New Roman" w:hAnsi="Times New Roman" w:cs="Times New Roman"/>
                      <w:sz w:val="24"/>
                      <w:szCs w:val="24"/>
                    </w:rPr>
                  </w:pPr>
                  <w:r w:rsidRPr="003E743A">
                    <w:rPr>
                      <w:rFonts w:ascii="Times New Roman" w:hAnsi="Times New Roman" w:cs="Times New Roman"/>
                      <w:sz w:val="24"/>
                      <w:szCs w:val="24"/>
                    </w:rPr>
                    <w:t>*</w:t>
                  </w:r>
                </w:p>
              </w:tc>
              <w:tc>
                <w:tcPr>
                  <w:tcW w:w="227" w:type="pct"/>
                  <w:tcBorders>
                    <w:top w:val="single" w:sz="4" w:space="0" w:color="auto"/>
                    <w:left w:val="single" w:sz="4" w:space="0" w:color="auto"/>
                    <w:bottom w:val="single" w:sz="4" w:space="0" w:color="auto"/>
                    <w:right w:val="single" w:sz="4" w:space="0" w:color="auto"/>
                  </w:tcBorders>
                  <w:shd w:val="clear" w:color="auto" w:fill="FFFFFF" w:themeFill="background1"/>
                </w:tcPr>
                <w:p w:rsidR="00787AC7" w:rsidRPr="003E743A" w:rsidRDefault="00787AC7" w:rsidP="00787AC7">
                  <w:pPr>
                    <w:spacing w:after="0"/>
                    <w:jc w:val="both"/>
                    <w:rPr>
                      <w:rFonts w:ascii="Times New Roman" w:hAnsi="Times New Roman" w:cs="Times New Roman"/>
                      <w:sz w:val="24"/>
                      <w:szCs w:val="24"/>
                    </w:rPr>
                  </w:pPr>
                </w:p>
              </w:tc>
              <w:tc>
                <w:tcPr>
                  <w:tcW w:w="181" w:type="pct"/>
                  <w:tcBorders>
                    <w:top w:val="single" w:sz="4" w:space="0" w:color="auto"/>
                    <w:left w:val="single" w:sz="4" w:space="0" w:color="auto"/>
                    <w:bottom w:val="single" w:sz="4" w:space="0" w:color="auto"/>
                    <w:right w:val="single" w:sz="4" w:space="0" w:color="auto"/>
                  </w:tcBorders>
                  <w:shd w:val="clear" w:color="auto" w:fill="FFFFFF" w:themeFill="background1"/>
                </w:tcPr>
                <w:p w:rsidR="00787AC7" w:rsidRPr="003E743A" w:rsidRDefault="00787AC7" w:rsidP="00787AC7">
                  <w:pPr>
                    <w:spacing w:after="0"/>
                    <w:jc w:val="both"/>
                    <w:rPr>
                      <w:rFonts w:ascii="Times New Roman" w:hAnsi="Times New Roman" w:cs="Times New Roman"/>
                      <w:sz w:val="24"/>
                      <w:szCs w:val="24"/>
                    </w:rPr>
                  </w:pPr>
                </w:p>
              </w:tc>
              <w:tc>
                <w:tcPr>
                  <w:tcW w:w="226" w:type="pct"/>
                  <w:tcBorders>
                    <w:top w:val="single" w:sz="4" w:space="0" w:color="auto"/>
                    <w:left w:val="single" w:sz="4" w:space="0" w:color="auto"/>
                    <w:bottom w:val="single" w:sz="4" w:space="0" w:color="auto"/>
                    <w:right w:val="single" w:sz="4" w:space="0" w:color="auto"/>
                  </w:tcBorders>
                  <w:shd w:val="clear" w:color="auto" w:fill="FFFFFF" w:themeFill="background1"/>
                </w:tcPr>
                <w:p w:rsidR="00787AC7" w:rsidRPr="003E743A" w:rsidRDefault="00787AC7" w:rsidP="00787AC7">
                  <w:pPr>
                    <w:spacing w:after="0"/>
                    <w:jc w:val="both"/>
                    <w:rPr>
                      <w:rFonts w:ascii="Times New Roman" w:hAnsi="Times New Roman" w:cs="Times New Roman"/>
                      <w:sz w:val="24"/>
                      <w:szCs w:val="24"/>
                    </w:rPr>
                  </w:pPr>
                </w:p>
              </w:tc>
              <w:tc>
                <w:tcPr>
                  <w:tcW w:w="18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87AC7" w:rsidRPr="003E743A" w:rsidRDefault="00787AC7" w:rsidP="00787AC7">
                  <w:pPr>
                    <w:spacing w:after="0"/>
                    <w:jc w:val="both"/>
                    <w:rPr>
                      <w:rFonts w:ascii="Times New Roman" w:hAnsi="Times New Roman" w:cs="Times New Roman"/>
                      <w:sz w:val="24"/>
                      <w:szCs w:val="24"/>
                    </w:rPr>
                  </w:pPr>
                  <w:r w:rsidRPr="003E743A">
                    <w:rPr>
                      <w:rFonts w:ascii="Times New Roman" w:hAnsi="Times New Roman" w:cs="Times New Roman"/>
                      <w:sz w:val="24"/>
                      <w:szCs w:val="24"/>
                    </w:rPr>
                    <w:t>*</w:t>
                  </w:r>
                </w:p>
              </w:tc>
              <w:tc>
                <w:tcPr>
                  <w:tcW w:w="227" w:type="pct"/>
                  <w:tcBorders>
                    <w:top w:val="single" w:sz="4" w:space="0" w:color="auto"/>
                    <w:left w:val="single" w:sz="4" w:space="0" w:color="auto"/>
                    <w:bottom w:val="single" w:sz="4" w:space="0" w:color="auto"/>
                    <w:right w:val="single" w:sz="4" w:space="0" w:color="auto"/>
                  </w:tcBorders>
                  <w:shd w:val="clear" w:color="auto" w:fill="FFFFFF" w:themeFill="background1"/>
                </w:tcPr>
                <w:p w:rsidR="00787AC7" w:rsidRPr="003E743A" w:rsidRDefault="00787AC7" w:rsidP="00787AC7">
                  <w:pPr>
                    <w:spacing w:after="0"/>
                    <w:jc w:val="both"/>
                    <w:rPr>
                      <w:rFonts w:ascii="Times New Roman" w:hAnsi="Times New Roman" w:cs="Times New Roman"/>
                      <w:sz w:val="24"/>
                      <w:szCs w:val="24"/>
                    </w:rPr>
                  </w:pPr>
                </w:p>
              </w:tc>
              <w:tc>
                <w:tcPr>
                  <w:tcW w:w="181" w:type="pct"/>
                  <w:tcBorders>
                    <w:top w:val="single" w:sz="4" w:space="0" w:color="auto"/>
                    <w:left w:val="single" w:sz="4" w:space="0" w:color="auto"/>
                    <w:bottom w:val="single" w:sz="4" w:space="0" w:color="auto"/>
                    <w:right w:val="single" w:sz="4" w:space="0" w:color="auto"/>
                  </w:tcBorders>
                  <w:shd w:val="clear" w:color="auto" w:fill="FFFFFF" w:themeFill="background1"/>
                </w:tcPr>
                <w:p w:rsidR="00787AC7" w:rsidRPr="003E743A" w:rsidRDefault="00787AC7" w:rsidP="00787AC7">
                  <w:pPr>
                    <w:spacing w:after="0"/>
                    <w:jc w:val="both"/>
                    <w:rPr>
                      <w:rFonts w:ascii="Times New Roman" w:hAnsi="Times New Roman" w:cs="Times New Roman"/>
                      <w:sz w:val="24"/>
                      <w:szCs w:val="24"/>
                    </w:rPr>
                  </w:pPr>
                </w:p>
              </w:tc>
              <w:tc>
                <w:tcPr>
                  <w:tcW w:w="226" w:type="pct"/>
                  <w:tcBorders>
                    <w:top w:val="single" w:sz="4" w:space="0" w:color="auto"/>
                    <w:left w:val="single" w:sz="4" w:space="0" w:color="auto"/>
                    <w:bottom w:val="single" w:sz="4" w:space="0" w:color="auto"/>
                    <w:right w:val="single" w:sz="4" w:space="0" w:color="auto"/>
                  </w:tcBorders>
                  <w:shd w:val="clear" w:color="auto" w:fill="FFFFFF" w:themeFill="background1"/>
                </w:tcPr>
                <w:p w:rsidR="00787AC7" w:rsidRPr="003E743A" w:rsidRDefault="00787AC7" w:rsidP="00787AC7">
                  <w:pPr>
                    <w:spacing w:after="0"/>
                    <w:jc w:val="both"/>
                    <w:rPr>
                      <w:rFonts w:ascii="Times New Roman" w:hAnsi="Times New Roman" w:cs="Times New Roman"/>
                      <w:sz w:val="24"/>
                      <w:szCs w:val="24"/>
                    </w:rPr>
                  </w:pPr>
                </w:p>
              </w:tc>
              <w:tc>
                <w:tcPr>
                  <w:tcW w:w="181" w:type="pct"/>
                  <w:tcBorders>
                    <w:top w:val="single" w:sz="4" w:space="0" w:color="auto"/>
                    <w:left w:val="single" w:sz="4" w:space="0" w:color="auto"/>
                    <w:bottom w:val="single" w:sz="4" w:space="0" w:color="auto"/>
                    <w:right w:val="single" w:sz="4" w:space="0" w:color="auto"/>
                  </w:tcBorders>
                  <w:shd w:val="clear" w:color="auto" w:fill="FFFFFF" w:themeFill="background1"/>
                </w:tcPr>
                <w:p w:rsidR="00787AC7" w:rsidRPr="003E743A" w:rsidRDefault="00787AC7" w:rsidP="00787AC7">
                  <w:pPr>
                    <w:spacing w:after="0"/>
                    <w:jc w:val="both"/>
                    <w:rPr>
                      <w:rFonts w:ascii="Times New Roman" w:hAnsi="Times New Roman" w:cs="Times New Roman"/>
                      <w:sz w:val="24"/>
                      <w:szCs w:val="24"/>
                    </w:rPr>
                  </w:pPr>
                </w:p>
              </w:tc>
              <w:tc>
                <w:tcPr>
                  <w:tcW w:w="22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87AC7" w:rsidRPr="003E743A" w:rsidRDefault="00787AC7" w:rsidP="00787AC7">
                  <w:pPr>
                    <w:spacing w:after="0"/>
                    <w:jc w:val="both"/>
                    <w:rPr>
                      <w:rFonts w:ascii="Times New Roman" w:hAnsi="Times New Roman" w:cs="Times New Roman"/>
                      <w:sz w:val="24"/>
                      <w:szCs w:val="24"/>
                    </w:rPr>
                  </w:pPr>
                </w:p>
              </w:tc>
              <w:tc>
                <w:tcPr>
                  <w:tcW w:w="182" w:type="pct"/>
                  <w:tcBorders>
                    <w:top w:val="single" w:sz="4" w:space="0" w:color="auto"/>
                    <w:left w:val="single" w:sz="4" w:space="0" w:color="auto"/>
                    <w:bottom w:val="single" w:sz="4" w:space="0" w:color="auto"/>
                    <w:right w:val="single" w:sz="4" w:space="0" w:color="auto"/>
                  </w:tcBorders>
                  <w:shd w:val="clear" w:color="auto" w:fill="FFFFFF" w:themeFill="background1"/>
                </w:tcPr>
                <w:p w:rsidR="00787AC7" w:rsidRPr="003E743A" w:rsidRDefault="00787AC7" w:rsidP="00787AC7">
                  <w:pPr>
                    <w:spacing w:after="0"/>
                    <w:jc w:val="both"/>
                    <w:rPr>
                      <w:rFonts w:ascii="Times New Roman" w:hAnsi="Times New Roman" w:cs="Times New Roman"/>
                      <w:sz w:val="24"/>
                      <w:szCs w:val="24"/>
                    </w:rPr>
                  </w:pPr>
                </w:p>
              </w:tc>
              <w:tc>
                <w:tcPr>
                  <w:tcW w:w="182" w:type="pct"/>
                  <w:tcBorders>
                    <w:top w:val="single" w:sz="4" w:space="0" w:color="auto"/>
                    <w:left w:val="single" w:sz="4" w:space="0" w:color="auto"/>
                    <w:bottom w:val="single" w:sz="4" w:space="0" w:color="auto"/>
                    <w:right w:val="single" w:sz="4" w:space="0" w:color="auto"/>
                  </w:tcBorders>
                  <w:shd w:val="clear" w:color="auto" w:fill="FFFFFF" w:themeFill="background1"/>
                </w:tcPr>
                <w:p w:rsidR="00787AC7" w:rsidRPr="003E743A" w:rsidRDefault="00787AC7" w:rsidP="00787AC7">
                  <w:pPr>
                    <w:spacing w:after="0"/>
                    <w:jc w:val="both"/>
                    <w:rPr>
                      <w:rFonts w:ascii="Times New Roman" w:hAnsi="Times New Roman" w:cs="Times New Roman"/>
                      <w:sz w:val="24"/>
                      <w:szCs w:val="24"/>
                    </w:rPr>
                  </w:pPr>
                </w:p>
              </w:tc>
              <w:tc>
                <w:tcPr>
                  <w:tcW w:w="18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87AC7" w:rsidRPr="003E743A" w:rsidRDefault="00787AC7" w:rsidP="00787AC7">
                  <w:pPr>
                    <w:spacing w:after="0"/>
                    <w:jc w:val="both"/>
                    <w:rPr>
                      <w:rFonts w:ascii="Times New Roman" w:hAnsi="Times New Roman" w:cs="Times New Roman"/>
                      <w:sz w:val="24"/>
                      <w:szCs w:val="24"/>
                    </w:rPr>
                  </w:pPr>
                </w:p>
              </w:tc>
              <w:tc>
                <w:tcPr>
                  <w:tcW w:w="20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87AC7" w:rsidRPr="003E743A" w:rsidRDefault="00787AC7" w:rsidP="00787AC7">
                  <w:pPr>
                    <w:spacing w:after="0"/>
                    <w:jc w:val="both"/>
                    <w:rPr>
                      <w:rFonts w:ascii="Times New Roman" w:hAnsi="Times New Roman" w:cs="Times New Roman"/>
                      <w:sz w:val="24"/>
                      <w:szCs w:val="24"/>
                    </w:rPr>
                  </w:pPr>
                </w:p>
              </w:tc>
              <w:tc>
                <w:tcPr>
                  <w:tcW w:w="182" w:type="pct"/>
                  <w:tcBorders>
                    <w:top w:val="single" w:sz="4" w:space="0" w:color="auto"/>
                    <w:left w:val="single" w:sz="4" w:space="0" w:color="auto"/>
                    <w:bottom w:val="single" w:sz="4" w:space="0" w:color="auto"/>
                    <w:right w:val="single" w:sz="4" w:space="0" w:color="auto"/>
                  </w:tcBorders>
                  <w:shd w:val="clear" w:color="auto" w:fill="FFFFFF" w:themeFill="background1"/>
                </w:tcPr>
                <w:p w:rsidR="00787AC7" w:rsidRPr="003E743A" w:rsidRDefault="00787AC7" w:rsidP="00787AC7">
                  <w:pPr>
                    <w:spacing w:after="0"/>
                    <w:jc w:val="both"/>
                    <w:rPr>
                      <w:rFonts w:ascii="Times New Roman" w:hAnsi="Times New Roman" w:cs="Times New Roman"/>
                      <w:sz w:val="24"/>
                      <w:szCs w:val="24"/>
                    </w:rPr>
                  </w:pPr>
                </w:p>
              </w:tc>
              <w:tc>
                <w:tcPr>
                  <w:tcW w:w="183" w:type="pct"/>
                  <w:tcBorders>
                    <w:top w:val="single" w:sz="4" w:space="0" w:color="auto"/>
                    <w:left w:val="single" w:sz="4" w:space="0" w:color="auto"/>
                    <w:bottom w:val="single" w:sz="4" w:space="0" w:color="auto"/>
                    <w:right w:val="single" w:sz="4" w:space="0" w:color="auto"/>
                  </w:tcBorders>
                  <w:shd w:val="clear" w:color="auto" w:fill="FFFFFF" w:themeFill="background1"/>
                </w:tcPr>
                <w:p w:rsidR="00787AC7" w:rsidRPr="003E743A" w:rsidRDefault="00787AC7" w:rsidP="00787AC7">
                  <w:pPr>
                    <w:spacing w:after="0"/>
                    <w:jc w:val="both"/>
                    <w:rPr>
                      <w:rFonts w:ascii="Times New Roman" w:hAnsi="Times New Roman" w:cs="Times New Roman"/>
                      <w:sz w:val="24"/>
                      <w:szCs w:val="24"/>
                    </w:rPr>
                  </w:pPr>
                </w:p>
              </w:tc>
              <w:tc>
                <w:tcPr>
                  <w:tcW w:w="182" w:type="pct"/>
                  <w:tcBorders>
                    <w:top w:val="single" w:sz="4" w:space="0" w:color="auto"/>
                    <w:left w:val="single" w:sz="4" w:space="0" w:color="auto"/>
                    <w:bottom w:val="single" w:sz="4" w:space="0" w:color="auto"/>
                    <w:right w:val="single" w:sz="4" w:space="0" w:color="auto"/>
                  </w:tcBorders>
                  <w:shd w:val="clear" w:color="auto" w:fill="FFFFFF" w:themeFill="background1"/>
                </w:tcPr>
                <w:p w:rsidR="00787AC7" w:rsidRPr="003E743A" w:rsidRDefault="00787AC7" w:rsidP="00787AC7">
                  <w:pPr>
                    <w:spacing w:after="0"/>
                    <w:jc w:val="both"/>
                    <w:rPr>
                      <w:rFonts w:ascii="Times New Roman" w:hAnsi="Times New Roman" w:cs="Times New Roman"/>
                      <w:sz w:val="24"/>
                      <w:szCs w:val="24"/>
                    </w:rPr>
                  </w:pPr>
                </w:p>
              </w:tc>
              <w:tc>
                <w:tcPr>
                  <w:tcW w:w="138" w:type="pct"/>
                  <w:tcBorders>
                    <w:top w:val="single" w:sz="4" w:space="0" w:color="auto"/>
                    <w:left w:val="single" w:sz="4" w:space="0" w:color="auto"/>
                    <w:bottom w:val="single" w:sz="4" w:space="0" w:color="auto"/>
                    <w:right w:val="single" w:sz="4" w:space="0" w:color="auto"/>
                  </w:tcBorders>
                  <w:shd w:val="clear" w:color="auto" w:fill="FFFFFF" w:themeFill="background1"/>
                </w:tcPr>
                <w:p w:rsidR="00787AC7" w:rsidRPr="003E743A" w:rsidRDefault="00BE1691" w:rsidP="00787AC7">
                  <w:pPr>
                    <w:spacing w:after="0"/>
                    <w:jc w:val="both"/>
                    <w:rPr>
                      <w:rFonts w:ascii="Times New Roman" w:hAnsi="Times New Roman" w:cs="Times New Roman"/>
                      <w:sz w:val="24"/>
                      <w:szCs w:val="24"/>
                    </w:rPr>
                  </w:pPr>
                  <w:r>
                    <w:rPr>
                      <w:rFonts w:ascii="Times New Roman" w:hAnsi="Times New Roman" w:cs="Times New Roman"/>
                      <w:sz w:val="24"/>
                      <w:szCs w:val="24"/>
                    </w:rPr>
                    <w:t>*</w:t>
                  </w:r>
                </w:p>
              </w:tc>
              <w:tc>
                <w:tcPr>
                  <w:tcW w:w="127" w:type="pct"/>
                  <w:tcBorders>
                    <w:top w:val="single" w:sz="4" w:space="0" w:color="auto"/>
                    <w:left w:val="single" w:sz="4" w:space="0" w:color="auto"/>
                    <w:bottom w:val="single" w:sz="4" w:space="0" w:color="auto"/>
                    <w:right w:val="single" w:sz="4" w:space="0" w:color="auto"/>
                  </w:tcBorders>
                  <w:shd w:val="clear" w:color="auto" w:fill="FFFFFF" w:themeFill="background1"/>
                </w:tcPr>
                <w:p w:rsidR="00787AC7" w:rsidRPr="003E743A" w:rsidRDefault="00787AC7" w:rsidP="00787AC7">
                  <w:pPr>
                    <w:spacing w:after="0"/>
                    <w:jc w:val="both"/>
                    <w:rPr>
                      <w:rFonts w:ascii="Times New Roman" w:hAnsi="Times New Roman" w:cs="Times New Roman"/>
                      <w:sz w:val="24"/>
                      <w:szCs w:val="24"/>
                    </w:rPr>
                  </w:pPr>
                </w:p>
              </w:tc>
            </w:tr>
            <w:tr w:rsidR="00787AC7" w:rsidRPr="003E743A" w:rsidTr="00787AC7">
              <w:trPr>
                <w:trHeight w:val="272"/>
              </w:trPr>
              <w:tc>
                <w:tcPr>
                  <w:tcW w:w="142" w:type="pct"/>
                  <w:vMerge/>
                  <w:tcBorders>
                    <w:left w:val="single" w:sz="4" w:space="0" w:color="auto"/>
                    <w:bottom w:val="single" w:sz="4" w:space="0" w:color="auto"/>
                    <w:right w:val="single" w:sz="4" w:space="0" w:color="auto"/>
                  </w:tcBorders>
                  <w:shd w:val="clear" w:color="auto" w:fill="F2F2F2"/>
                  <w:textDirection w:val="btLr"/>
                  <w:vAlign w:val="center"/>
                </w:tcPr>
                <w:p w:rsidR="00787AC7" w:rsidRPr="003E743A" w:rsidRDefault="00787AC7" w:rsidP="00787AC7">
                  <w:pPr>
                    <w:spacing w:after="0"/>
                    <w:jc w:val="center"/>
                    <w:rPr>
                      <w:rFonts w:ascii="Times New Roman" w:hAnsi="Times New Roman" w:cs="Times New Roman"/>
                      <w:sz w:val="18"/>
                      <w:szCs w:val="18"/>
                    </w:rPr>
                  </w:pPr>
                </w:p>
              </w:tc>
              <w:tc>
                <w:tcPr>
                  <w:tcW w:w="142" w:type="pct"/>
                  <w:vMerge/>
                  <w:tcBorders>
                    <w:top w:val="single" w:sz="4" w:space="0" w:color="auto"/>
                    <w:left w:val="single" w:sz="4" w:space="0" w:color="auto"/>
                    <w:bottom w:val="single" w:sz="4" w:space="0" w:color="auto"/>
                    <w:right w:val="single" w:sz="4" w:space="0" w:color="auto"/>
                  </w:tcBorders>
                  <w:shd w:val="clear" w:color="auto" w:fill="F2F2F2"/>
                  <w:vAlign w:val="center"/>
                </w:tcPr>
                <w:p w:rsidR="00787AC7" w:rsidRPr="003E743A" w:rsidRDefault="00787AC7" w:rsidP="00787AC7">
                  <w:pPr>
                    <w:spacing w:after="0"/>
                    <w:jc w:val="both"/>
                    <w:rPr>
                      <w:rFonts w:ascii="Times New Roman" w:hAnsi="Times New Roman" w:cs="Times New Roman"/>
                      <w:sz w:val="18"/>
                      <w:szCs w:val="18"/>
                    </w:rPr>
                  </w:pPr>
                </w:p>
              </w:tc>
              <w:tc>
                <w:tcPr>
                  <w:tcW w:w="480" w:type="pct"/>
                  <w:tcBorders>
                    <w:top w:val="single" w:sz="4" w:space="0" w:color="auto"/>
                    <w:left w:val="single" w:sz="4" w:space="0" w:color="auto"/>
                    <w:bottom w:val="single" w:sz="4" w:space="0" w:color="auto"/>
                    <w:right w:val="single" w:sz="4" w:space="0" w:color="auto"/>
                  </w:tcBorders>
                  <w:shd w:val="clear" w:color="auto" w:fill="F2F2F2"/>
                  <w:vAlign w:val="center"/>
                </w:tcPr>
                <w:p w:rsidR="00787AC7" w:rsidRPr="003E743A" w:rsidRDefault="00787AC7" w:rsidP="00787AC7">
                  <w:pPr>
                    <w:spacing w:after="0"/>
                    <w:jc w:val="both"/>
                    <w:rPr>
                      <w:rFonts w:ascii="Times New Roman" w:hAnsi="Times New Roman" w:cs="Times New Roman"/>
                      <w:sz w:val="18"/>
                      <w:szCs w:val="18"/>
                    </w:rPr>
                  </w:pPr>
                  <w:r w:rsidRPr="003E743A">
                    <w:rPr>
                      <w:rFonts w:ascii="Times New Roman" w:hAnsi="Times New Roman" w:cs="Times New Roman"/>
                      <w:sz w:val="18"/>
                      <w:szCs w:val="18"/>
                    </w:rPr>
                    <w:t>Faune</w:t>
                  </w:r>
                </w:p>
              </w:tc>
              <w:tc>
                <w:tcPr>
                  <w:tcW w:w="27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87AC7" w:rsidRPr="003E743A" w:rsidRDefault="00787AC7" w:rsidP="00787AC7">
                  <w:pPr>
                    <w:spacing w:after="0"/>
                    <w:jc w:val="center"/>
                    <w:rPr>
                      <w:rFonts w:ascii="Times New Roman" w:hAnsi="Times New Roman" w:cs="Times New Roman"/>
                      <w:sz w:val="24"/>
                      <w:szCs w:val="24"/>
                    </w:rPr>
                  </w:pPr>
                  <w:r w:rsidRPr="003E743A">
                    <w:rPr>
                      <w:rFonts w:ascii="Times New Roman" w:hAnsi="Times New Roman" w:cs="Times New Roman"/>
                      <w:sz w:val="24"/>
                      <w:szCs w:val="24"/>
                    </w:rPr>
                    <w:t>*</w:t>
                  </w:r>
                </w:p>
              </w:tc>
              <w:tc>
                <w:tcPr>
                  <w:tcW w:w="31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87AC7" w:rsidRPr="003E743A" w:rsidRDefault="00787AC7" w:rsidP="00787AC7">
                  <w:pPr>
                    <w:spacing w:after="0"/>
                    <w:jc w:val="both"/>
                    <w:rPr>
                      <w:rFonts w:ascii="Times New Roman" w:hAnsi="Times New Roman" w:cs="Times New Roman"/>
                      <w:sz w:val="24"/>
                      <w:szCs w:val="24"/>
                    </w:rPr>
                  </w:pPr>
                  <w:r w:rsidRPr="003E743A">
                    <w:rPr>
                      <w:rFonts w:ascii="Times New Roman" w:hAnsi="Times New Roman" w:cs="Times New Roman"/>
                      <w:sz w:val="24"/>
                      <w:szCs w:val="24"/>
                    </w:rPr>
                    <w:t>*</w:t>
                  </w:r>
                </w:p>
              </w:tc>
              <w:tc>
                <w:tcPr>
                  <w:tcW w:w="22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87AC7" w:rsidRPr="003E743A" w:rsidRDefault="00787AC7" w:rsidP="00787AC7">
                  <w:pPr>
                    <w:spacing w:after="0"/>
                    <w:jc w:val="both"/>
                    <w:rPr>
                      <w:rFonts w:ascii="Times New Roman" w:hAnsi="Times New Roman" w:cs="Times New Roman"/>
                      <w:sz w:val="24"/>
                      <w:szCs w:val="24"/>
                    </w:rPr>
                  </w:pPr>
                </w:p>
              </w:tc>
              <w:tc>
                <w:tcPr>
                  <w:tcW w:w="227" w:type="pct"/>
                  <w:tcBorders>
                    <w:top w:val="single" w:sz="4" w:space="0" w:color="auto"/>
                    <w:left w:val="single" w:sz="4" w:space="0" w:color="auto"/>
                    <w:bottom w:val="single" w:sz="4" w:space="0" w:color="auto"/>
                    <w:right w:val="single" w:sz="4" w:space="0" w:color="auto"/>
                  </w:tcBorders>
                  <w:shd w:val="clear" w:color="auto" w:fill="FFFFFF" w:themeFill="background1"/>
                </w:tcPr>
                <w:p w:rsidR="00787AC7" w:rsidRPr="003E743A" w:rsidRDefault="00787AC7" w:rsidP="00787AC7">
                  <w:pPr>
                    <w:spacing w:after="0"/>
                    <w:jc w:val="both"/>
                    <w:rPr>
                      <w:rFonts w:ascii="Times New Roman" w:hAnsi="Times New Roman" w:cs="Times New Roman"/>
                      <w:sz w:val="24"/>
                      <w:szCs w:val="24"/>
                    </w:rPr>
                  </w:pPr>
                </w:p>
              </w:tc>
              <w:tc>
                <w:tcPr>
                  <w:tcW w:w="181" w:type="pct"/>
                  <w:tcBorders>
                    <w:top w:val="single" w:sz="4" w:space="0" w:color="auto"/>
                    <w:left w:val="single" w:sz="4" w:space="0" w:color="auto"/>
                    <w:bottom w:val="single" w:sz="4" w:space="0" w:color="auto"/>
                    <w:right w:val="single" w:sz="4" w:space="0" w:color="auto"/>
                  </w:tcBorders>
                  <w:shd w:val="clear" w:color="auto" w:fill="FFFFFF" w:themeFill="background1"/>
                </w:tcPr>
                <w:p w:rsidR="00787AC7" w:rsidRPr="003E743A" w:rsidRDefault="00787AC7" w:rsidP="00787AC7">
                  <w:pPr>
                    <w:spacing w:after="0"/>
                    <w:jc w:val="both"/>
                    <w:rPr>
                      <w:rFonts w:ascii="Times New Roman" w:hAnsi="Times New Roman" w:cs="Times New Roman"/>
                      <w:sz w:val="24"/>
                      <w:szCs w:val="24"/>
                    </w:rPr>
                  </w:pPr>
                </w:p>
              </w:tc>
              <w:tc>
                <w:tcPr>
                  <w:tcW w:w="22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87AC7" w:rsidRPr="003E743A" w:rsidRDefault="00787AC7" w:rsidP="00787AC7">
                  <w:pPr>
                    <w:spacing w:after="0"/>
                    <w:jc w:val="both"/>
                    <w:rPr>
                      <w:rFonts w:ascii="Times New Roman" w:hAnsi="Times New Roman" w:cs="Times New Roman"/>
                      <w:sz w:val="24"/>
                      <w:szCs w:val="24"/>
                    </w:rPr>
                  </w:pPr>
                  <w:r w:rsidRPr="003E743A">
                    <w:rPr>
                      <w:rFonts w:ascii="Times New Roman" w:hAnsi="Times New Roman" w:cs="Times New Roman"/>
                      <w:sz w:val="24"/>
                      <w:szCs w:val="24"/>
                    </w:rPr>
                    <w:t>*</w:t>
                  </w:r>
                </w:p>
              </w:tc>
              <w:tc>
                <w:tcPr>
                  <w:tcW w:w="18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87AC7" w:rsidRPr="003E743A" w:rsidRDefault="00787AC7" w:rsidP="00787AC7">
                  <w:pPr>
                    <w:spacing w:after="0"/>
                    <w:jc w:val="both"/>
                    <w:rPr>
                      <w:rFonts w:ascii="Times New Roman" w:hAnsi="Times New Roman" w:cs="Times New Roman"/>
                      <w:sz w:val="24"/>
                      <w:szCs w:val="24"/>
                    </w:rPr>
                  </w:pPr>
                  <w:r w:rsidRPr="003E743A">
                    <w:rPr>
                      <w:rFonts w:ascii="Times New Roman" w:hAnsi="Times New Roman" w:cs="Times New Roman"/>
                      <w:sz w:val="24"/>
                      <w:szCs w:val="24"/>
                    </w:rPr>
                    <w:t>*</w:t>
                  </w:r>
                </w:p>
              </w:tc>
              <w:tc>
                <w:tcPr>
                  <w:tcW w:w="227" w:type="pct"/>
                  <w:tcBorders>
                    <w:top w:val="single" w:sz="4" w:space="0" w:color="auto"/>
                    <w:left w:val="single" w:sz="4" w:space="0" w:color="auto"/>
                    <w:bottom w:val="single" w:sz="4" w:space="0" w:color="auto"/>
                    <w:right w:val="single" w:sz="4" w:space="0" w:color="auto"/>
                  </w:tcBorders>
                  <w:shd w:val="clear" w:color="auto" w:fill="FFFFFF" w:themeFill="background1"/>
                </w:tcPr>
                <w:p w:rsidR="00787AC7" w:rsidRPr="003E743A" w:rsidRDefault="00787AC7" w:rsidP="00787AC7">
                  <w:pPr>
                    <w:spacing w:after="0"/>
                    <w:jc w:val="both"/>
                    <w:rPr>
                      <w:rFonts w:ascii="Times New Roman" w:hAnsi="Times New Roman" w:cs="Times New Roman"/>
                      <w:sz w:val="24"/>
                      <w:szCs w:val="24"/>
                    </w:rPr>
                  </w:pPr>
                  <w:r>
                    <w:rPr>
                      <w:rFonts w:ascii="Times New Roman" w:hAnsi="Times New Roman" w:cs="Times New Roman"/>
                      <w:sz w:val="24"/>
                      <w:szCs w:val="24"/>
                    </w:rPr>
                    <w:t>*</w:t>
                  </w:r>
                </w:p>
              </w:tc>
              <w:tc>
                <w:tcPr>
                  <w:tcW w:w="181" w:type="pct"/>
                  <w:tcBorders>
                    <w:top w:val="single" w:sz="4" w:space="0" w:color="auto"/>
                    <w:left w:val="single" w:sz="4" w:space="0" w:color="auto"/>
                    <w:bottom w:val="single" w:sz="4" w:space="0" w:color="auto"/>
                    <w:right w:val="single" w:sz="4" w:space="0" w:color="auto"/>
                  </w:tcBorders>
                  <w:shd w:val="clear" w:color="auto" w:fill="FFFFFF" w:themeFill="background1"/>
                </w:tcPr>
                <w:p w:rsidR="00787AC7" w:rsidRPr="003E743A" w:rsidRDefault="00787AC7" w:rsidP="00787AC7">
                  <w:pPr>
                    <w:spacing w:after="0"/>
                    <w:jc w:val="both"/>
                    <w:rPr>
                      <w:rFonts w:ascii="Times New Roman" w:hAnsi="Times New Roman" w:cs="Times New Roman"/>
                      <w:sz w:val="24"/>
                      <w:szCs w:val="24"/>
                    </w:rPr>
                  </w:pPr>
                </w:p>
              </w:tc>
              <w:tc>
                <w:tcPr>
                  <w:tcW w:w="226" w:type="pct"/>
                  <w:tcBorders>
                    <w:top w:val="single" w:sz="4" w:space="0" w:color="auto"/>
                    <w:left w:val="single" w:sz="4" w:space="0" w:color="auto"/>
                    <w:bottom w:val="single" w:sz="4" w:space="0" w:color="auto"/>
                    <w:right w:val="single" w:sz="4" w:space="0" w:color="auto"/>
                  </w:tcBorders>
                  <w:shd w:val="clear" w:color="auto" w:fill="FFFFFF" w:themeFill="background1"/>
                </w:tcPr>
                <w:p w:rsidR="00787AC7" w:rsidRPr="003E743A" w:rsidRDefault="00787AC7" w:rsidP="00787AC7">
                  <w:pPr>
                    <w:spacing w:after="0"/>
                    <w:jc w:val="both"/>
                    <w:rPr>
                      <w:rFonts w:ascii="Times New Roman" w:hAnsi="Times New Roman" w:cs="Times New Roman"/>
                      <w:sz w:val="24"/>
                      <w:szCs w:val="24"/>
                    </w:rPr>
                  </w:pPr>
                </w:p>
              </w:tc>
              <w:tc>
                <w:tcPr>
                  <w:tcW w:w="181" w:type="pct"/>
                  <w:tcBorders>
                    <w:top w:val="single" w:sz="4" w:space="0" w:color="auto"/>
                    <w:left w:val="single" w:sz="4" w:space="0" w:color="auto"/>
                    <w:bottom w:val="single" w:sz="4" w:space="0" w:color="auto"/>
                    <w:right w:val="single" w:sz="4" w:space="0" w:color="auto"/>
                  </w:tcBorders>
                  <w:shd w:val="clear" w:color="auto" w:fill="FFFFFF" w:themeFill="background1"/>
                </w:tcPr>
                <w:p w:rsidR="00787AC7" w:rsidRPr="003E743A" w:rsidRDefault="00787AC7" w:rsidP="00787AC7">
                  <w:pPr>
                    <w:spacing w:after="0"/>
                    <w:jc w:val="both"/>
                    <w:rPr>
                      <w:rFonts w:ascii="Times New Roman" w:hAnsi="Times New Roman" w:cs="Times New Roman"/>
                      <w:sz w:val="24"/>
                      <w:szCs w:val="24"/>
                    </w:rPr>
                  </w:pPr>
                </w:p>
              </w:tc>
              <w:tc>
                <w:tcPr>
                  <w:tcW w:w="226" w:type="pct"/>
                  <w:tcBorders>
                    <w:top w:val="single" w:sz="4" w:space="0" w:color="auto"/>
                    <w:left w:val="single" w:sz="4" w:space="0" w:color="auto"/>
                    <w:bottom w:val="single" w:sz="4" w:space="0" w:color="auto"/>
                    <w:right w:val="single" w:sz="4" w:space="0" w:color="auto"/>
                  </w:tcBorders>
                  <w:shd w:val="clear" w:color="auto" w:fill="FFFFFF" w:themeFill="background1"/>
                </w:tcPr>
                <w:p w:rsidR="00787AC7" w:rsidRPr="003E743A" w:rsidRDefault="00787AC7" w:rsidP="00787AC7">
                  <w:pPr>
                    <w:spacing w:after="0"/>
                    <w:jc w:val="both"/>
                    <w:rPr>
                      <w:rFonts w:ascii="Times New Roman" w:hAnsi="Times New Roman" w:cs="Times New Roman"/>
                      <w:sz w:val="24"/>
                      <w:szCs w:val="24"/>
                    </w:rPr>
                  </w:pPr>
                </w:p>
              </w:tc>
              <w:tc>
                <w:tcPr>
                  <w:tcW w:w="182" w:type="pct"/>
                  <w:tcBorders>
                    <w:top w:val="single" w:sz="4" w:space="0" w:color="auto"/>
                    <w:left w:val="single" w:sz="4" w:space="0" w:color="auto"/>
                    <w:bottom w:val="single" w:sz="4" w:space="0" w:color="auto"/>
                    <w:right w:val="single" w:sz="4" w:space="0" w:color="auto"/>
                  </w:tcBorders>
                  <w:shd w:val="clear" w:color="auto" w:fill="FFFFFF" w:themeFill="background1"/>
                </w:tcPr>
                <w:p w:rsidR="00787AC7" w:rsidRPr="003E743A" w:rsidRDefault="00787AC7" w:rsidP="00787AC7">
                  <w:pPr>
                    <w:spacing w:after="0"/>
                    <w:jc w:val="both"/>
                    <w:rPr>
                      <w:rFonts w:ascii="Times New Roman" w:hAnsi="Times New Roman" w:cs="Times New Roman"/>
                      <w:sz w:val="24"/>
                      <w:szCs w:val="24"/>
                    </w:rPr>
                  </w:pPr>
                </w:p>
              </w:tc>
              <w:tc>
                <w:tcPr>
                  <w:tcW w:w="182" w:type="pct"/>
                  <w:tcBorders>
                    <w:top w:val="single" w:sz="4" w:space="0" w:color="auto"/>
                    <w:left w:val="single" w:sz="4" w:space="0" w:color="auto"/>
                    <w:bottom w:val="single" w:sz="4" w:space="0" w:color="auto"/>
                    <w:right w:val="single" w:sz="4" w:space="0" w:color="auto"/>
                  </w:tcBorders>
                  <w:shd w:val="clear" w:color="auto" w:fill="FFFFFF" w:themeFill="background1"/>
                </w:tcPr>
                <w:p w:rsidR="00787AC7" w:rsidRPr="003E743A" w:rsidRDefault="00787AC7" w:rsidP="00787AC7">
                  <w:pPr>
                    <w:spacing w:after="0"/>
                    <w:jc w:val="both"/>
                    <w:rPr>
                      <w:rFonts w:ascii="Times New Roman" w:hAnsi="Times New Roman" w:cs="Times New Roman"/>
                      <w:sz w:val="24"/>
                      <w:szCs w:val="24"/>
                    </w:rPr>
                  </w:pPr>
                </w:p>
              </w:tc>
              <w:tc>
                <w:tcPr>
                  <w:tcW w:w="18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87AC7" w:rsidRPr="003E743A" w:rsidRDefault="00787AC7" w:rsidP="00787AC7">
                  <w:pPr>
                    <w:spacing w:after="0"/>
                    <w:jc w:val="both"/>
                    <w:rPr>
                      <w:rFonts w:ascii="Times New Roman" w:hAnsi="Times New Roman" w:cs="Times New Roman"/>
                      <w:sz w:val="24"/>
                      <w:szCs w:val="24"/>
                    </w:rPr>
                  </w:pPr>
                </w:p>
              </w:tc>
              <w:tc>
                <w:tcPr>
                  <w:tcW w:w="20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87AC7" w:rsidRPr="003E743A" w:rsidRDefault="00787AC7" w:rsidP="00787AC7">
                  <w:pPr>
                    <w:spacing w:after="0"/>
                    <w:jc w:val="both"/>
                    <w:rPr>
                      <w:rFonts w:ascii="Times New Roman" w:hAnsi="Times New Roman" w:cs="Times New Roman"/>
                      <w:sz w:val="24"/>
                      <w:szCs w:val="24"/>
                    </w:rPr>
                  </w:pPr>
                  <w:r>
                    <w:rPr>
                      <w:rFonts w:ascii="Times New Roman" w:hAnsi="Times New Roman" w:cs="Times New Roman"/>
                      <w:sz w:val="24"/>
                      <w:szCs w:val="24"/>
                    </w:rPr>
                    <w:t>*</w:t>
                  </w:r>
                </w:p>
              </w:tc>
              <w:tc>
                <w:tcPr>
                  <w:tcW w:w="182" w:type="pct"/>
                  <w:tcBorders>
                    <w:top w:val="single" w:sz="4" w:space="0" w:color="auto"/>
                    <w:left w:val="single" w:sz="4" w:space="0" w:color="auto"/>
                    <w:bottom w:val="single" w:sz="4" w:space="0" w:color="auto"/>
                    <w:right w:val="single" w:sz="4" w:space="0" w:color="auto"/>
                  </w:tcBorders>
                  <w:shd w:val="clear" w:color="auto" w:fill="FFFFFF" w:themeFill="background1"/>
                </w:tcPr>
                <w:p w:rsidR="00787AC7" w:rsidRPr="003E743A" w:rsidRDefault="00787AC7" w:rsidP="00787AC7">
                  <w:pPr>
                    <w:spacing w:after="0"/>
                    <w:jc w:val="both"/>
                    <w:rPr>
                      <w:rFonts w:ascii="Times New Roman" w:hAnsi="Times New Roman" w:cs="Times New Roman"/>
                      <w:sz w:val="24"/>
                      <w:szCs w:val="24"/>
                    </w:rPr>
                  </w:pPr>
                </w:p>
              </w:tc>
              <w:tc>
                <w:tcPr>
                  <w:tcW w:w="183" w:type="pct"/>
                  <w:tcBorders>
                    <w:top w:val="single" w:sz="4" w:space="0" w:color="auto"/>
                    <w:left w:val="single" w:sz="4" w:space="0" w:color="auto"/>
                    <w:bottom w:val="single" w:sz="4" w:space="0" w:color="auto"/>
                    <w:right w:val="single" w:sz="4" w:space="0" w:color="auto"/>
                  </w:tcBorders>
                  <w:shd w:val="clear" w:color="auto" w:fill="FFFFFF" w:themeFill="background1"/>
                </w:tcPr>
                <w:p w:rsidR="00787AC7" w:rsidRPr="003E743A" w:rsidRDefault="00787AC7" w:rsidP="00787AC7">
                  <w:pPr>
                    <w:spacing w:after="0"/>
                    <w:jc w:val="both"/>
                    <w:rPr>
                      <w:rFonts w:ascii="Times New Roman" w:hAnsi="Times New Roman" w:cs="Times New Roman"/>
                      <w:sz w:val="24"/>
                      <w:szCs w:val="24"/>
                    </w:rPr>
                  </w:pPr>
                  <w:r>
                    <w:rPr>
                      <w:rFonts w:ascii="Times New Roman" w:hAnsi="Times New Roman" w:cs="Times New Roman"/>
                      <w:sz w:val="24"/>
                      <w:szCs w:val="24"/>
                    </w:rPr>
                    <w:t>*</w:t>
                  </w:r>
                </w:p>
              </w:tc>
              <w:tc>
                <w:tcPr>
                  <w:tcW w:w="182" w:type="pct"/>
                  <w:tcBorders>
                    <w:top w:val="single" w:sz="4" w:space="0" w:color="auto"/>
                    <w:left w:val="single" w:sz="4" w:space="0" w:color="auto"/>
                    <w:bottom w:val="single" w:sz="4" w:space="0" w:color="auto"/>
                    <w:right w:val="single" w:sz="4" w:space="0" w:color="auto"/>
                  </w:tcBorders>
                  <w:shd w:val="clear" w:color="auto" w:fill="FFFFFF" w:themeFill="background1"/>
                </w:tcPr>
                <w:p w:rsidR="00787AC7" w:rsidRPr="003E743A" w:rsidRDefault="00BE1691" w:rsidP="00787AC7">
                  <w:pPr>
                    <w:spacing w:after="0"/>
                    <w:jc w:val="both"/>
                    <w:rPr>
                      <w:rFonts w:ascii="Times New Roman" w:hAnsi="Times New Roman" w:cs="Times New Roman"/>
                      <w:sz w:val="24"/>
                      <w:szCs w:val="24"/>
                    </w:rPr>
                  </w:pPr>
                  <w:r>
                    <w:rPr>
                      <w:rFonts w:ascii="Times New Roman" w:hAnsi="Times New Roman" w:cs="Times New Roman"/>
                      <w:sz w:val="24"/>
                      <w:szCs w:val="24"/>
                    </w:rPr>
                    <w:t>*</w:t>
                  </w:r>
                </w:p>
              </w:tc>
              <w:tc>
                <w:tcPr>
                  <w:tcW w:w="138" w:type="pct"/>
                  <w:tcBorders>
                    <w:top w:val="single" w:sz="4" w:space="0" w:color="auto"/>
                    <w:left w:val="single" w:sz="4" w:space="0" w:color="auto"/>
                    <w:bottom w:val="single" w:sz="4" w:space="0" w:color="auto"/>
                    <w:right w:val="single" w:sz="4" w:space="0" w:color="auto"/>
                  </w:tcBorders>
                  <w:shd w:val="clear" w:color="auto" w:fill="FFFFFF" w:themeFill="background1"/>
                </w:tcPr>
                <w:p w:rsidR="00787AC7" w:rsidRPr="003E743A" w:rsidRDefault="00BE1691" w:rsidP="00787AC7">
                  <w:pPr>
                    <w:spacing w:after="0"/>
                    <w:jc w:val="both"/>
                    <w:rPr>
                      <w:rFonts w:ascii="Times New Roman" w:hAnsi="Times New Roman" w:cs="Times New Roman"/>
                      <w:sz w:val="24"/>
                      <w:szCs w:val="24"/>
                    </w:rPr>
                  </w:pPr>
                  <w:r>
                    <w:rPr>
                      <w:rFonts w:ascii="Times New Roman" w:hAnsi="Times New Roman" w:cs="Times New Roman"/>
                      <w:sz w:val="24"/>
                      <w:szCs w:val="24"/>
                    </w:rPr>
                    <w:t>*</w:t>
                  </w:r>
                </w:p>
              </w:tc>
              <w:tc>
                <w:tcPr>
                  <w:tcW w:w="127" w:type="pct"/>
                  <w:tcBorders>
                    <w:top w:val="single" w:sz="4" w:space="0" w:color="auto"/>
                    <w:left w:val="single" w:sz="4" w:space="0" w:color="auto"/>
                    <w:bottom w:val="single" w:sz="4" w:space="0" w:color="auto"/>
                    <w:right w:val="single" w:sz="4" w:space="0" w:color="auto"/>
                  </w:tcBorders>
                  <w:shd w:val="clear" w:color="auto" w:fill="FFFFFF" w:themeFill="background1"/>
                </w:tcPr>
                <w:p w:rsidR="00787AC7" w:rsidRPr="003E743A" w:rsidRDefault="00787AC7" w:rsidP="00787AC7">
                  <w:pPr>
                    <w:spacing w:after="0"/>
                    <w:jc w:val="both"/>
                    <w:rPr>
                      <w:rFonts w:ascii="Times New Roman" w:hAnsi="Times New Roman" w:cs="Times New Roman"/>
                      <w:sz w:val="24"/>
                      <w:szCs w:val="24"/>
                    </w:rPr>
                  </w:pPr>
                </w:p>
              </w:tc>
            </w:tr>
            <w:tr w:rsidR="00787AC7" w:rsidRPr="003E743A" w:rsidTr="00787AC7">
              <w:trPr>
                <w:trHeight w:val="235"/>
              </w:trPr>
              <w:tc>
                <w:tcPr>
                  <w:tcW w:w="142" w:type="pct"/>
                  <w:vMerge w:val="restart"/>
                  <w:tcBorders>
                    <w:top w:val="single" w:sz="4" w:space="0" w:color="auto"/>
                    <w:left w:val="single" w:sz="4" w:space="0" w:color="auto"/>
                    <w:bottom w:val="single" w:sz="4" w:space="0" w:color="auto"/>
                    <w:right w:val="single" w:sz="4" w:space="0" w:color="auto"/>
                  </w:tcBorders>
                  <w:shd w:val="clear" w:color="auto" w:fill="F2F2F2"/>
                  <w:textDirection w:val="btLr"/>
                  <w:vAlign w:val="center"/>
                </w:tcPr>
                <w:p w:rsidR="00787AC7" w:rsidRPr="003E743A" w:rsidRDefault="00787AC7" w:rsidP="00787AC7">
                  <w:pPr>
                    <w:spacing w:after="0"/>
                    <w:jc w:val="center"/>
                    <w:rPr>
                      <w:rFonts w:ascii="Times New Roman" w:hAnsi="Times New Roman" w:cs="Times New Roman"/>
                      <w:sz w:val="18"/>
                      <w:szCs w:val="18"/>
                    </w:rPr>
                  </w:pPr>
                  <w:r w:rsidRPr="003E743A">
                    <w:rPr>
                      <w:rFonts w:ascii="Times New Roman" w:hAnsi="Times New Roman" w:cs="Times New Roman"/>
                      <w:sz w:val="18"/>
                      <w:szCs w:val="18"/>
                    </w:rPr>
                    <w:t>HUMAIN</w:t>
                  </w:r>
                </w:p>
              </w:tc>
              <w:tc>
                <w:tcPr>
                  <w:tcW w:w="621" w:type="pct"/>
                  <w:gridSpan w:val="2"/>
                  <w:tcBorders>
                    <w:top w:val="single" w:sz="4" w:space="0" w:color="auto"/>
                    <w:left w:val="single" w:sz="4" w:space="0" w:color="auto"/>
                    <w:bottom w:val="single" w:sz="4" w:space="0" w:color="auto"/>
                    <w:right w:val="single" w:sz="4" w:space="0" w:color="auto"/>
                  </w:tcBorders>
                  <w:shd w:val="clear" w:color="auto" w:fill="F2F2F2"/>
                  <w:vAlign w:val="center"/>
                </w:tcPr>
                <w:p w:rsidR="00787AC7" w:rsidRPr="003E743A" w:rsidRDefault="00787AC7" w:rsidP="00787AC7">
                  <w:pPr>
                    <w:spacing w:after="0"/>
                    <w:jc w:val="both"/>
                    <w:rPr>
                      <w:rFonts w:ascii="Times New Roman" w:hAnsi="Times New Roman" w:cs="Times New Roman"/>
                      <w:sz w:val="16"/>
                      <w:szCs w:val="16"/>
                    </w:rPr>
                  </w:pPr>
                  <w:r w:rsidRPr="003E743A">
                    <w:rPr>
                      <w:rFonts w:ascii="Times New Roman" w:hAnsi="Times New Roman" w:cs="Times New Roman"/>
                      <w:sz w:val="16"/>
                      <w:szCs w:val="16"/>
                    </w:rPr>
                    <w:t>Santé / Sécurité</w:t>
                  </w:r>
                </w:p>
              </w:tc>
              <w:tc>
                <w:tcPr>
                  <w:tcW w:w="27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87AC7" w:rsidRPr="003E743A" w:rsidRDefault="00787AC7" w:rsidP="00787AC7">
                  <w:pPr>
                    <w:spacing w:after="0"/>
                    <w:jc w:val="center"/>
                    <w:rPr>
                      <w:rFonts w:ascii="Times New Roman" w:hAnsi="Times New Roman" w:cs="Times New Roman"/>
                      <w:sz w:val="24"/>
                      <w:szCs w:val="24"/>
                    </w:rPr>
                  </w:pPr>
                  <w:r w:rsidRPr="003E743A">
                    <w:rPr>
                      <w:rFonts w:ascii="Times New Roman" w:hAnsi="Times New Roman" w:cs="Times New Roman"/>
                      <w:sz w:val="24"/>
                      <w:szCs w:val="24"/>
                    </w:rPr>
                    <w:t>*</w:t>
                  </w:r>
                </w:p>
              </w:tc>
              <w:tc>
                <w:tcPr>
                  <w:tcW w:w="31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87AC7" w:rsidRPr="003E743A" w:rsidRDefault="00787AC7" w:rsidP="00787AC7">
                  <w:pPr>
                    <w:spacing w:after="0"/>
                    <w:jc w:val="both"/>
                    <w:rPr>
                      <w:rFonts w:ascii="Times New Roman" w:hAnsi="Times New Roman" w:cs="Times New Roman"/>
                      <w:sz w:val="24"/>
                      <w:szCs w:val="24"/>
                    </w:rPr>
                  </w:pPr>
                  <w:r w:rsidRPr="003E743A">
                    <w:rPr>
                      <w:rFonts w:ascii="Times New Roman" w:hAnsi="Times New Roman" w:cs="Times New Roman"/>
                      <w:sz w:val="24"/>
                      <w:szCs w:val="24"/>
                    </w:rPr>
                    <w:t>*</w:t>
                  </w:r>
                </w:p>
              </w:tc>
              <w:tc>
                <w:tcPr>
                  <w:tcW w:w="22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87AC7" w:rsidRPr="003E743A" w:rsidRDefault="00787AC7" w:rsidP="00787AC7">
                  <w:pPr>
                    <w:spacing w:after="0"/>
                    <w:jc w:val="both"/>
                    <w:rPr>
                      <w:rFonts w:ascii="Times New Roman" w:hAnsi="Times New Roman" w:cs="Times New Roman"/>
                      <w:sz w:val="24"/>
                      <w:szCs w:val="24"/>
                    </w:rPr>
                  </w:pPr>
                  <w:r w:rsidRPr="003E743A">
                    <w:rPr>
                      <w:rFonts w:ascii="Times New Roman" w:hAnsi="Times New Roman" w:cs="Times New Roman"/>
                      <w:sz w:val="24"/>
                      <w:szCs w:val="24"/>
                    </w:rPr>
                    <w:t>*</w:t>
                  </w:r>
                </w:p>
              </w:tc>
              <w:tc>
                <w:tcPr>
                  <w:tcW w:w="22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87AC7" w:rsidRPr="003E743A" w:rsidRDefault="00787AC7" w:rsidP="00787AC7">
                  <w:pPr>
                    <w:spacing w:after="0"/>
                    <w:jc w:val="both"/>
                    <w:rPr>
                      <w:rFonts w:ascii="Times New Roman" w:hAnsi="Times New Roman" w:cs="Times New Roman"/>
                      <w:sz w:val="24"/>
                      <w:szCs w:val="24"/>
                    </w:rPr>
                  </w:pPr>
                  <w:r w:rsidRPr="003E743A">
                    <w:rPr>
                      <w:rFonts w:ascii="Times New Roman" w:hAnsi="Times New Roman" w:cs="Times New Roman"/>
                      <w:sz w:val="24"/>
                      <w:szCs w:val="24"/>
                    </w:rPr>
                    <w:t>*</w:t>
                  </w:r>
                </w:p>
              </w:tc>
              <w:tc>
                <w:tcPr>
                  <w:tcW w:w="18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87AC7" w:rsidRPr="003E743A" w:rsidRDefault="00787AC7" w:rsidP="00787AC7">
                  <w:pPr>
                    <w:spacing w:after="0"/>
                    <w:jc w:val="both"/>
                    <w:rPr>
                      <w:rFonts w:ascii="Times New Roman" w:hAnsi="Times New Roman" w:cs="Times New Roman"/>
                      <w:sz w:val="24"/>
                      <w:szCs w:val="24"/>
                    </w:rPr>
                  </w:pPr>
                  <w:r w:rsidRPr="003E743A">
                    <w:rPr>
                      <w:rFonts w:ascii="Times New Roman" w:hAnsi="Times New Roman" w:cs="Times New Roman"/>
                      <w:sz w:val="24"/>
                      <w:szCs w:val="24"/>
                    </w:rPr>
                    <w:t>*</w:t>
                  </w:r>
                </w:p>
              </w:tc>
              <w:tc>
                <w:tcPr>
                  <w:tcW w:w="22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87AC7" w:rsidRPr="003E743A" w:rsidRDefault="00787AC7" w:rsidP="00787AC7">
                  <w:pPr>
                    <w:spacing w:after="0"/>
                    <w:jc w:val="both"/>
                    <w:rPr>
                      <w:rFonts w:ascii="Times New Roman" w:hAnsi="Times New Roman" w:cs="Times New Roman"/>
                      <w:sz w:val="24"/>
                      <w:szCs w:val="24"/>
                    </w:rPr>
                  </w:pPr>
                  <w:r w:rsidRPr="003E743A">
                    <w:rPr>
                      <w:rFonts w:ascii="Times New Roman" w:hAnsi="Times New Roman" w:cs="Times New Roman"/>
                      <w:sz w:val="24"/>
                      <w:szCs w:val="24"/>
                    </w:rPr>
                    <w:t>*</w:t>
                  </w:r>
                </w:p>
              </w:tc>
              <w:tc>
                <w:tcPr>
                  <w:tcW w:w="18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87AC7" w:rsidRPr="003E743A" w:rsidRDefault="00787AC7" w:rsidP="00787AC7">
                  <w:pPr>
                    <w:spacing w:after="0"/>
                    <w:jc w:val="both"/>
                    <w:rPr>
                      <w:rFonts w:ascii="Times New Roman" w:hAnsi="Times New Roman" w:cs="Times New Roman"/>
                      <w:sz w:val="24"/>
                      <w:szCs w:val="24"/>
                    </w:rPr>
                  </w:pPr>
                  <w:r w:rsidRPr="003E743A">
                    <w:rPr>
                      <w:rFonts w:ascii="Times New Roman" w:hAnsi="Times New Roman" w:cs="Times New Roman"/>
                      <w:sz w:val="24"/>
                      <w:szCs w:val="24"/>
                    </w:rPr>
                    <w:t>*</w:t>
                  </w:r>
                </w:p>
              </w:tc>
              <w:tc>
                <w:tcPr>
                  <w:tcW w:w="22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87AC7" w:rsidRPr="003E743A" w:rsidRDefault="00787AC7" w:rsidP="00787AC7">
                  <w:pPr>
                    <w:spacing w:after="0"/>
                    <w:jc w:val="both"/>
                    <w:rPr>
                      <w:rFonts w:ascii="Times New Roman" w:hAnsi="Times New Roman" w:cs="Times New Roman"/>
                      <w:sz w:val="24"/>
                      <w:szCs w:val="24"/>
                    </w:rPr>
                  </w:pPr>
                  <w:r w:rsidRPr="003E743A">
                    <w:rPr>
                      <w:rFonts w:ascii="Times New Roman" w:hAnsi="Times New Roman" w:cs="Times New Roman"/>
                      <w:sz w:val="24"/>
                      <w:szCs w:val="24"/>
                    </w:rPr>
                    <w:t>*</w:t>
                  </w:r>
                </w:p>
              </w:tc>
              <w:tc>
                <w:tcPr>
                  <w:tcW w:w="18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87AC7" w:rsidRPr="003E743A" w:rsidRDefault="00787AC7" w:rsidP="00787AC7">
                  <w:pPr>
                    <w:spacing w:after="0"/>
                    <w:jc w:val="both"/>
                    <w:rPr>
                      <w:rFonts w:ascii="Times New Roman" w:hAnsi="Times New Roman" w:cs="Times New Roman"/>
                      <w:sz w:val="24"/>
                      <w:szCs w:val="24"/>
                    </w:rPr>
                  </w:pPr>
                  <w:r w:rsidRPr="003E743A">
                    <w:rPr>
                      <w:rFonts w:ascii="Times New Roman" w:hAnsi="Times New Roman" w:cs="Times New Roman"/>
                      <w:sz w:val="24"/>
                      <w:szCs w:val="24"/>
                    </w:rPr>
                    <w:t>*</w:t>
                  </w:r>
                </w:p>
              </w:tc>
              <w:tc>
                <w:tcPr>
                  <w:tcW w:w="22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87AC7" w:rsidRPr="003E743A" w:rsidRDefault="00787AC7" w:rsidP="00787AC7">
                  <w:pPr>
                    <w:spacing w:after="0"/>
                    <w:jc w:val="both"/>
                    <w:rPr>
                      <w:rFonts w:ascii="Times New Roman" w:hAnsi="Times New Roman" w:cs="Times New Roman"/>
                      <w:sz w:val="24"/>
                      <w:szCs w:val="24"/>
                    </w:rPr>
                  </w:pPr>
                  <w:r w:rsidRPr="003E743A">
                    <w:rPr>
                      <w:rFonts w:ascii="Times New Roman" w:hAnsi="Times New Roman" w:cs="Times New Roman"/>
                      <w:sz w:val="24"/>
                      <w:szCs w:val="24"/>
                    </w:rPr>
                    <w:t>*</w:t>
                  </w:r>
                </w:p>
              </w:tc>
              <w:tc>
                <w:tcPr>
                  <w:tcW w:w="18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87AC7" w:rsidRPr="003E743A" w:rsidRDefault="00787AC7" w:rsidP="00787AC7">
                  <w:pPr>
                    <w:spacing w:after="0"/>
                    <w:jc w:val="both"/>
                    <w:rPr>
                      <w:rFonts w:ascii="Times New Roman" w:hAnsi="Times New Roman" w:cs="Times New Roman"/>
                      <w:sz w:val="24"/>
                      <w:szCs w:val="24"/>
                    </w:rPr>
                  </w:pPr>
                  <w:r w:rsidRPr="003E743A">
                    <w:rPr>
                      <w:rFonts w:ascii="Times New Roman" w:hAnsi="Times New Roman" w:cs="Times New Roman"/>
                      <w:sz w:val="24"/>
                      <w:szCs w:val="24"/>
                    </w:rPr>
                    <w:t>*</w:t>
                  </w:r>
                </w:p>
              </w:tc>
              <w:tc>
                <w:tcPr>
                  <w:tcW w:w="22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87AC7" w:rsidRPr="003E743A" w:rsidRDefault="00787AC7" w:rsidP="00787AC7">
                  <w:pPr>
                    <w:spacing w:after="0"/>
                    <w:jc w:val="both"/>
                    <w:rPr>
                      <w:rFonts w:ascii="Times New Roman" w:hAnsi="Times New Roman" w:cs="Times New Roman"/>
                      <w:sz w:val="24"/>
                      <w:szCs w:val="24"/>
                    </w:rPr>
                  </w:pPr>
                  <w:r w:rsidRPr="003E743A">
                    <w:rPr>
                      <w:rFonts w:ascii="Times New Roman" w:hAnsi="Times New Roman" w:cs="Times New Roman"/>
                      <w:sz w:val="24"/>
                      <w:szCs w:val="24"/>
                    </w:rPr>
                    <w:t>*</w:t>
                  </w:r>
                </w:p>
              </w:tc>
              <w:tc>
                <w:tcPr>
                  <w:tcW w:w="18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87AC7" w:rsidRPr="003E743A" w:rsidRDefault="00787AC7" w:rsidP="00787AC7">
                  <w:pPr>
                    <w:spacing w:after="0"/>
                    <w:jc w:val="both"/>
                    <w:rPr>
                      <w:rFonts w:ascii="Times New Roman" w:hAnsi="Times New Roman" w:cs="Times New Roman"/>
                      <w:sz w:val="24"/>
                      <w:szCs w:val="24"/>
                    </w:rPr>
                  </w:pPr>
                  <w:r w:rsidRPr="003E743A">
                    <w:rPr>
                      <w:rFonts w:ascii="Times New Roman" w:hAnsi="Times New Roman" w:cs="Times New Roman"/>
                      <w:sz w:val="24"/>
                      <w:szCs w:val="24"/>
                    </w:rPr>
                    <w:t>*</w:t>
                  </w:r>
                </w:p>
              </w:tc>
              <w:tc>
                <w:tcPr>
                  <w:tcW w:w="18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87AC7" w:rsidRPr="003E743A" w:rsidRDefault="00787AC7" w:rsidP="00787AC7">
                  <w:pPr>
                    <w:spacing w:after="0"/>
                    <w:jc w:val="both"/>
                    <w:rPr>
                      <w:rFonts w:ascii="Times New Roman" w:hAnsi="Times New Roman" w:cs="Times New Roman"/>
                      <w:sz w:val="24"/>
                      <w:szCs w:val="24"/>
                    </w:rPr>
                  </w:pPr>
                  <w:r w:rsidRPr="003E743A">
                    <w:rPr>
                      <w:rFonts w:ascii="Times New Roman" w:hAnsi="Times New Roman" w:cs="Times New Roman"/>
                      <w:sz w:val="24"/>
                      <w:szCs w:val="24"/>
                    </w:rPr>
                    <w:t>*</w:t>
                  </w:r>
                </w:p>
              </w:tc>
              <w:tc>
                <w:tcPr>
                  <w:tcW w:w="18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87AC7" w:rsidRPr="003E743A" w:rsidRDefault="00787AC7" w:rsidP="00787AC7">
                  <w:pPr>
                    <w:spacing w:after="0"/>
                    <w:jc w:val="both"/>
                    <w:rPr>
                      <w:rFonts w:ascii="Times New Roman" w:hAnsi="Times New Roman" w:cs="Times New Roman"/>
                      <w:sz w:val="24"/>
                      <w:szCs w:val="24"/>
                    </w:rPr>
                  </w:pPr>
                  <w:r w:rsidRPr="003E743A">
                    <w:rPr>
                      <w:rFonts w:ascii="Times New Roman" w:hAnsi="Times New Roman" w:cs="Times New Roman"/>
                      <w:sz w:val="24"/>
                      <w:szCs w:val="24"/>
                    </w:rPr>
                    <w:t>*</w:t>
                  </w:r>
                </w:p>
              </w:tc>
              <w:tc>
                <w:tcPr>
                  <w:tcW w:w="20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87AC7" w:rsidRPr="003E743A" w:rsidRDefault="00787AC7" w:rsidP="00787AC7">
                  <w:pPr>
                    <w:spacing w:after="0"/>
                    <w:jc w:val="both"/>
                    <w:rPr>
                      <w:rFonts w:ascii="Times New Roman" w:hAnsi="Times New Roman" w:cs="Times New Roman"/>
                      <w:sz w:val="24"/>
                      <w:szCs w:val="24"/>
                    </w:rPr>
                  </w:pPr>
                  <w:r w:rsidRPr="003E743A">
                    <w:rPr>
                      <w:rFonts w:ascii="Times New Roman" w:hAnsi="Times New Roman" w:cs="Times New Roman"/>
                      <w:sz w:val="24"/>
                      <w:szCs w:val="24"/>
                    </w:rPr>
                    <w:t>*</w:t>
                  </w:r>
                </w:p>
              </w:tc>
              <w:tc>
                <w:tcPr>
                  <w:tcW w:w="18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87AC7" w:rsidRPr="003E743A" w:rsidRDefault="00787AC7" w:rsidP="00787AC7">
                  <w:pPr>
                    <w:spacing w:after="0"/>
                    <w:jc w:val="both"/>
                    <w:rPr>
                      <w:rFonts w:ascii="Times New Roman" w:hAnsi="Times New Roman" w:cs="Times New Roman"/>
                      <w:sz w:val="24"/>
                      <w:szCs w:val="24"/>
                    </w:rPr>
                  </w:pPr>
                </w:p>
              </w:tc>
              <w:tc>
                <w:tcPr>
                  <w:tcW w:w="18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87AC7" w:rsidRPr="003E743A" w:rsidRDefault="00787AC7" w:rsidP="00787AC7">
                  <w:pPr>
                    <w:spacing w:after="0"/>
                    <w:jc w:val="both"/>
                    <w:rPr>
                      <w:rFonts w:ascii="Times New Roman" w:hAnsi="Times New Roman" w:cs="Times New Roman"/>
                      <w:sz w:val="24"/>
                      <w:szCs w:val="24"/>
                    </w:rPr>
                  </w:pPr>
                  <w:r w:rsidRPr="003E743A">
                    <w:rPr>
                      <w:rFonts w:ascii="Times New Roman" w:hAnsi="Times New Roman" w:cs="Times New Roman"/>
                      <w:sz w:val="24"/>
                      <w:szCs w:val="24"/>
                    </w:rPr>
                    <w:t>*</w:t>
                  </w:r>
                </w:p>
              </w:tc>
              <w:tc>
                <w:tcPr>
                  <w:tcW w:w="18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87AC7" w:rsidRPr="003E743A" w:rsidRDefault="00787AC7" w:rsidP="00787AC7">
                  <w:pPr>
                    <w:spacing w:after="0"/>
                    <w:jc w:val="both"/>
                    <w:rPr>
                      <w:rFonts w:ascii="Times New Roman" w:hAnsi="Times New Roman" w:cs="Times New Roman"/>
                      <w:sz w:val="24"/>
                      <w:szCs w:val="24"/>
                    </w:rPr>
                  </w:pPr>
                  <w:r w:rsidRPr="003E743A">
                    <w:rPr>
                      <w:rFonts w:ascii="Times New Roman" w:hAnsi="Times New Roman" w:cs="Times New Roman"/>
                      <w:sz w:val="24"/>
                      <w:szCs w:val="24"/>
                    </w:rPr>
                    <w:t>*</w:t>
                  </w:r>
                </w:p>
              </w:tc>
              <w:tc>
                <w:tcPr>
                  <w:tcW w:w="13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87AC7" w:rsidRPr="003E743A" w:rsidRDefault="00787AC7" w:rsidP="00787AC7">
                  <w:pPr>
                    <w:spacing w:after="0"/>
                    <w:jc w:val="both"/>
                    <w:rPr>
                      <w:rFonts w:ascii="Times New Roman" w:hAnsi="Times New Roman" w:cs="Times New Roman"/>
                      <w:sz w:val="24"/>
                      <w:szCs w:val="24"/>
                    </w:rPr>
                  </w:pPr>
                  <w:r w:rsidRPr="003E743A">
                    <w:rPr>
                      <w:rFonts w:ascii="Times New Roman" w:hAnsi="Times New Roman" w:cs="Times New Roman"/>
                      <w:sz w:val="24"/>
                      <w:szCs w:val="24"/>
                    </w:rPr>
                    <w:t>*</w:t>
                  </w:r>
                </w:p>
              </w:tc>
              <w:tc>
                <w:tcPr>
                  <w:tcW w:w="12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87AC7" w:rsidRPr="003E743A" w:rsidRDefault="00787AC7" w:rsidP="00787AC7">
                  <w:pPr>
                    <w:spacing w:after="0"/>
                    <w:jc w:val="both"/>
                    <w:rPr>
                      <w:rFonts w:ascii="Times New Roman" w:hAnsi="Times New Roman" w:cs="Times New Roman"/>
                      <w:sz w:val="24"/>
                      <w:szCs w:val="24"/>
                    </w:rPr>
                  </w:pPr>
                  <w:r w:rsidRPr="003E743A">
                    <w:rPr>
                      <w:rFonts w:ascii="Times New Roman" w:hAnsi="Times New Roman" w:cs="Times New Roman"/>
                      <w:sz w:val="24"/>
                      <w:szCs w:val="24"/>
                    </w:rPr>
                    <w:t>*</w:t>
                  </w:r>
                </w:p>
              </w:tc>
            </w:tr>
            <w:tr w:rsidR="00787AC7" w:rsidRPr="003E743A" w:rsidTr="00787AC7">
              <w:trPr>
                <w:trHeight w:val="239"/>
              </w:trPr>
              <w:tc>
                <w:tcPr>
                  <w:tcW w:w="142" w:type="pct"/>
                  <w:vMerge/>
                  <w:tcBorders>
                    <w:top w:val="single" w:sz="4" w:space="0" w:color="auto"/>
                    <w:left w:val="single" w:sz="4" w:space="0" w:color="auto"/>
                    <w:bottom w:val="single" w:sz="4" w:space="0" w:color="auto"/>
                    <w:right w:val="single" w:sz="4" w:space="0" w:color="auto"/>
                  </w:tcBorders>
                  <w:shd w:val="clear" w:color="auto" w:fill="F2F2F2"/>
                  <w:vAlign w:val="center"/>
                </w:tcPr>
                <w:p w:rsidR="00787AC7" w:rsidRPr="003E743A" w:rsidRDefault="00787AC7" w:rsidP="00787AC7">
                  <w:pPr>
                    <w:spacing w:after="0"/>
                    <w:jc w:val="both"/>
                    <w:rPr>
                      <w:rFonts w:ascii="Times New Roman" w:hAnsi="Times New Roman" w:cs="Times New Roman"/>
                      <w:sz w:val="18"/>
                      <w:szCs w:val="18"/>
                    </w:rPr>
                  </w:pPr>
                </w:p>
              </w:tc>
              <w:tc>
                <w:tcPr>
                  <w:tcW w:w="621" w:type="pct"/>
                  <w:gridSpan w:val="2"/>
                  <w:tcBorders>
                    <w:top w:val="single" w:sz="4" w:space="0" w:color="auto"/>
                    <w:left w:val="single" w:sz="4" w:space="0" w:color="auto"/>
                    <w:bottom w:val="single" w:sz="4" w:space="0" w:color="auto"/>
                    <w:right w:val="single" w:sz="4" w:space="0" w:color="auto"/>
                  </w:tcBorders>
                  <w:shd w:val="clear" w:color="auto" w:fill="F2F2F2"/>
                  <w:vAlign w:val="center"/>
                </w:tcPr>
                <w:p w:rsidR="00787AC7" w:rsidRPr="003E743A" w:rsidRDefault="00787AC7" w:rsidP="00787AC7">
                  <w:pPr>
                    <w:spacing w:after="0"/>
                    <w:jc w:val="both"/>
                    <w:rPr>
                      <w:rFonts w:ascii="Times New Roman" w:hAnsi="Times New Roman" w:cs="Times New Roman"/>
                      <w:sz w:val="16"/>
                      <w:szCs w:val="16"/>
                    </w:rPr>
                  </w:pPr>
                  <w:r w:rsidRPr="003E743A">
                    <w:rPr>
                      <w:rFonts w:ascii="Times New Roman" w:hAnsi="Times New Roman" w:cs="Times New Roman"/>
                      <w:sz w:val="16"/>
                      <w:szCs w:val="16"/>
                    </w:rPr>
                    <w:t>Emploi /Revenus</w:t>
                  </w:r>
                </w:p>
              </w:tc>
              <w:tc>
                <w:tcPr>
                  <w:tcW w:w="27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87AC7" w:rsidRPr="003E743A" w:rsidRDefault="00787AC7" w:rsidP="00787AC7">
                  <w:pPr>
                    <w:spacing w:after="0"/>
                    <w:jc w:val="center"/>
                    <w:rPr>
                      <w:rFonts w:ascii="Times New Roman" w:hAnsi="Times New Roman" w:cs="Times New Roman"/>
                      <w:sz w:val="24"/>
                      <w:szCs w:val="24"/>
                    </w:rPr>
                  </w:pPr>
                  <w:r w:rsidRPr="003E743A">
                    <w:rPr>
                      <w:rFonts w:ascii="Times New Roman" w:hAnsi="Times New Roman" w:cs="Times New Roman"/>
                      <w:sz w:val="24"/>
                      <w:szCs w:val="24"/>
                    </w:rPr>
                    <w:t>*</w:t>
                  </w:r>
                </w:p>
              </w:tc>
              <w:tc>
                <w:tcPr>
                  <w:tcW w:w="31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87AC7" w:rsidRPr="003E743A" w:rsidRDefault="00787AC7" w:rsidP="00787AC7">
                  <w:pPr>
                    <w:spacing w:after="0"/>
                    <w:jc w:val="both"/>
                    <w:rPr>
                      <w:rFonts w:ascii="Times New Roman" w:hAnsi="Times New Roman" w:cs="Times New Roman"/>
                      <w:sz w:val="24"/>
                      <w:szCs w:val="24"/>
                    </w:rPr>
                  </w:pPr>
                  <w:r w:rsidRPr="003E743A">
                    <w:rPr>
                      <w:rFonts w:ascii="Times New Roman" w:hAnsi="Times New Roman" w:cs="Times New Roman"/>
                      <w:sz w:val="24"/>
                      <w:szCs w:val="24"/>
                    </w:rPr>
                    <w:t>*</w:t>
                  </w:r>
                </w:p>
              </w:tc>
              <w:tc>
                <w:tcPr>
                  <w:tcW w:w="22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87AC7" w:rsidRPr="003E743A" w:rsidRDefault="00787AC7" w:rsidP="00787AC7">
                  <w:pPr>
                    <w:spacing w:after="0"/>
                    <w:jc w:val="both"/>
                    <w:rPr>
                      <w:rFonts w:ascii="Times New Roman" w:hAnsi="Times New Roman" w:cs="Times New Roman"/>
                      <w:sz w:val="24"/>
                      <w:szCs w:val="24"/>
                    </w:rPr>
                  </w:pPr>
                  <w:r w:rsidRPr="003E743A">
                    <w:rPr>
                      <w:rFonts w:ascii="Times New Roman" w:hAnsi="Times New Roman" w:cs="Times New Roman"/>
                      <w:sz w:val="24"/>
                      <w:szCs w:val="24"/>
                    </w:rPr>
                    <w:t>*</w:t>
                  </w:r>
                </w:p>
              </w:tc>
              <w:tc>
                <w:tcPr>
                  <w:tcW w:w="22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87AC7" w:rsidRPr="003E743A" w:rsidRDefault="00787AC7" w:rsidP="00787AC7">
                  <w:pPr>
                    <w:spacing w:after="0"/>
                    <w:jc w:val="both"/>
                    <w:rPr>
                      <w:rFonts w:ascii="Times New Roman" w:hAnsi="Times New Roman" w:cs="Times New Roman"/>
                      <w:sz w:val="24"/>
                      <w:szCs w:val="24"/>
                    </w:rPr>
                  </w:pPr>
                  <w:r w:rsidRPr="003E743A">
                    <w:rPr>
                      <w:rFonts w:ascii="Times New Roman" w:hAnsi="Times New Roman" w:cs="Times New Roman"/>
                      <w:sz w:val="24"/>
                      <w:szCs w:val="24"/>
                    </w:rPr>
                    <w:t>*</w:t>
                  </w:r>
                </w:p>
              </w:tc>
              <w:tc>
                <w:tcPr>
                  <w:tcW w:w="18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87AC7" w:rsidRPr="003E743A" w:rsidRDefault="00787AC7" w:rsidP="00787AC7">
                  <w:pPr>
                    <w:spacing w:after="0"/>
                    <w:jc w:val="both"/>
                    <w:rPr>
                      <w:rFonts w:ascii="Times New Roman" w:hAnsi="Times New Roman" w:cs="Times New Roman"/>
                      <w:sz w:val="24"/>
                      <w:szCs w:val="24"/>
                    </w:rPr>
                  </w:pPr>
                  <w:r w:rsidRPr="003E743A">
                    <w:rPr>
                      <w:rFonts w:ascii="Times New Roman" w:hAnsi="Times New Roman" w:cs="Times New Roman"/>
                      <w:sz w:val="24"/>
                      <w:szCs w:val="24"/>
                    </w:rPr>
                    <w:t>*</w:t>
                  </w:r>
                </w:p>
              </w:tc>
              <w:tc>
                <w:tcPr>
                  <w:tcW w:w="226" w:type="pct"/>
                  <w:tcBorders>
                    <w:top w:val="single" w:sz="4" w:space="0" w:color="auto"/>
                    <w:left w:val="single" w:sz="4" w:space="0" w:color="auto"/>
                    <w:bottom w:val="single" w:sz="4" w:space="0" w:color="auto"/>
                    <w:right w:val="single" w:sz="4" w:space="0" w:color="auto"/>
                  </w:tcBorders>
                  <w:shd w:val="clear" w:color="auto" w:fill="FFFFFF" w:themeFill="background1"/>
                </w:tcPr>
                <w:p w:rsidR="00787AC7" w:rsidRPr="003E743A" w:rsidRDefault="00787AC7" w:rsidP="00787AC7">
                  <w:pPr>
                    <w:spacing w:after="0"/>
                    <w:jc w:val="both"/>
                    <w:rPr>
                      <w:rFonts w:ascii="Times New Roman" w:hAnsi="Times New Roman" w:cs="Times New Roman"/>
                      <w:sz w:val="24"/>
                      <w:szCs w:val="24"/>
                    </w:rPr>
                  </w:pPr>
                </w:p>
              </w:tc>
              <w:tc>
                <w:tcPr>
                  <w:tcW w:w="18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87AC7" w:rsidRPr="003E743A" w:rsidRDefault="00787AC7" w:rsidP="00787AC7">
                  <w:pPr>
                    <w:spacing w:after="0"/>
                    <w:jc w:val="both"/>
                    <w:rPr>
                      <w:rFonts w:ascii="Times New Roman" w:hAnsi="Times New Roman" w:cs="Times New Roman"/>
                      <w:sz w:val="24"/>
                      <w:szCs w:val="24"/>
                    </w:rPr>
                  </w:pPr>
                  <w:r w:rsidRPr="003E743A">
                    <w:rPr>
                      <w:rFonts w:ascii="Times New Roman" w:hAnsi="Times New Roman" w:cs="Times New Roman"/>
                      <w:sz w:val="24"/>
                      <w:szCs w:val="24"/>
                    </w:rPr>
                    <w:t>*</w:t>
                  </w:r>
                </w:p>
              </w:tc>
              <w:tc>
                <w:tcPr>
                  <w:tcW w:w="227" w:type="pct"/>
                  <w:tcBorders>
                    <w:top w:val="single" w:sz="4" w:space="0" w:color="auto"/>
                    <w:left w:val="single" w:sz="4" w:space="0" w:color="auto"/>
                    <w:bottom w:val="single" w:sz="4" w:space="0" w:color="auto"/>
                    <w:right w:val="single" w:sz="4" w:space="0" w:color="auto"/>
                  </w:tcBorders>
                  <w:shd w:val="clear" w:color="auto" w:fill="FFFFFF" w:themeFill="background1"/>
                </w:tcPr>
                <w:p w:rsidR="00787AC7" w:rsidRPr="003E743A" w:rsidRDefault="00787AC7" w:rsidP="00787AC7">
                  <w:pPr>
                    <w:spacing w:after="0"/>
                    <w:jc w:val="both"/>
                    <w:rPr>
                      <w:rFonts w:ascii="Times New Roman" w:hAnsi="Times New Roman" w:cs="Times New Roman"/>
                      <w:sz w:val="24"/>
                      <w:szCs w:val="24"/>
                    </w:rPr>
                  </w:pPr>
                </w:p>
              </w:tc>
              <w:tc>
                <w:tcPr>
                  <w:tcW w:w="181" w:type="pct"/>
                  <w:tcBorders>
                    <w:top w:val="single" w:sz="4" w:space="0" w:color="auto"/>
                    <w:left w:val="single" w:sz="4" w:space="0" w:color="auto"/>
                    <w:bottom w:val="single" w:sz="4" w:space="0" w:color="auto"/>
                    <w:right w:val="single" w:sz="4" w:space="0" w:color="auto"/>
                  </w:tcBorders>
                  <w:shd w:val="clear" w:color="auto" w:fill="FFFFFF" w:themeFill="background1"/>
                </w:tcPr>
                <w:p w:rsidR="00787AC7" w:rsidRPr="003E743A" w:rsidRDefault="00787AC7" w:rsidP="00787AC7">
                  <w:pPr>
                    <w:spacing w:after="0"/>
                    <w:jc w:val="both"/>
                    <w:rPr>
                      <w:rFonts w:ascii="Times New Roman" w:hAnsi="Times New Roman" w:cs="Times New Roman"/>
                      <w:sz w:val="24"/>
                      <w:szCs w:val="24"/>
                    </w:rPr>
                  </w:pPr>
                  <w:r>
                    <w:rPr>
                      <w:rFonts w:ascii="Times New Roman" w:hAnsi="Times New Roman" w:cs="Times New Roman"/>
                      <w:sz w:val="24"/>
                      <w:szCs w:val="24"/>
                    </w:rPr>
                    <w:t>*</w:t>
                  </w:r>
                </w:p>
              </w:tc>
              <w:tc>
                <w:tcPr>
                  <w:tcW w:w="22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87AC7" w:rsidRPr="003E743A" w:rsidRDefault="00787AC7" w:rsidP="00787AC7">
                  <w:pPr>
                    <w:spacing w:after="0"/>
                    <w:jc w:val="both"/>
                    <w:rPr>
                      <w:rFonts w:ascii="Times New Roman" w:hAnsi="Times New Roman" w:cs="Times New Roman"/>
                      <w:sz w:val="24"/>
                      <w:szCs w:val="24"/>
                    </w:rPr>
                  </w:pPr>
                  <w:r>
                    <w:rPr>
                      <w:rFonts w:ascii="Times New Roman" w:hAnsi="Times New Roman" w:cs="Times New Roman"/>
                      <w:sz w:val="24"/>
                      <w:szCs w:val="24"/>
                    </w:rPr>
                    <w:t>*</w:t>
                  </w:r>
                </w:p>
              </w:tc>
              <w:tc>
                <w:tcPr>
                  <w:tcW w:w="18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87AC7" w:rsidRPr="003E743A" w:rsidRDefault="00787AC7" w:rsidP="00787AC7">
                  <w:pPr>
                    <w:spacing w:after="0"/>
                    <w:jc w:val="both"/>
                    <w:rPr>
                      <w:rFonts w:ascii="Times New Roman" w:hAnsi="Times New Roman" w:cs="Times New Roman"/>
                      <w:sz w:val="24"/>
                      <w:szCs w:val="24"/>
                    </w:rPr>
                  </w:pPr>
                </w:p>
              </w:tc>
              <w:tc>
                <w:tcPr>
                  <w:tcW w:w="22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87AC7" w:rsidRPr="003E743A" w:rsidRDefault="00787AC7" w:rsidP="00787AC7">
                  <w:pPr>
                    <w:spacing w:after="0"/>
                    <w:jc w:val="both"/>
                    <w:rPr>
                      <w:rFonts w:ascii="Times New Roman" w:hAnsi="Times New Roman" w:cs="Times New Roman"/>
                      <w:sz w:val="24"/>
                      <w:szCs w:val="24"/>
                    </w:rPr>
                  </w:pPr>
                  <w:r w:rsidRPr="003E743A">
                    <w:rPr>
                      <w:rFonts w:ascii="Times New Roman" w:hAnsi="Times New Roman" w:cs="Times New Roman"/>
                      <w:sz w:val="24"/>
                      <w:szCs w:val="24"/>
                    </w:rPr>
                    <w:t>*</w:t>
                  </w:r>
                </w:p>
              </w:tc>
              <w:tc>
                <w:tcPr>
                  <w:tcW w:w="18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87AC7" w:rsidRPr="003E743A" w:rsidRDefault="00787AC7" w:rsidP="00787AC7">
                  <w:pPr>
                    <w:spacing w:after="0"/>
                    <w:jc w:val="both"/>
                    <w:rPr>
                      <w:rFonts w:ascii="Times New Roman" w:hAnsi="Times New Roman" w:cs="Times New Roman"/>
                      <w:sz w:val="24"/>
                      <w:szCs w:val="24"/>
                    </w:rPr>
                  </w:pPr>
                  <w:r w:rsidRPr="003E743A">
                    <w:rPr>
                      <w:rFonts w:ascii="Times New Roman" w:hAnsi="Times New Roman" w:cs="Times New Roman"/>
                      <w:sz w:val="24"/>
                      <w:szCs w:val="24"/>
                    </w:rPr>
                    <w:t>*</w:t>
                  </w:r>
                </w:p>
              </w:tc>
              <w:tc>
                <w:tcPr>
                  <w:tcW w:w="182" w:type="pct"/>
                  <w:tcBorders>
                    <w:top w:val="single" w:sz="4" w:space="0" w:color="auto"/>
                    <w:left w:val="single" w:sz="4" w:space="0" w:color="auto"/>
                    <w:bottom w:val="single" w:sz="4" w:space="0" w:color="auto"/>
                    <w:right w:val="single" w:sz="4" w:space="0" w:color="auto"/>
                  </w:tcBorders>
                  <w:shd w:val="clear" w:color="auto" w:fill="FFFFFF" w:themeFill="background1"/>
                </w:tcPr>
                <w:p w:rsidR="00787AC7" w:rsidRPr="003E743A" w:rsidRDefault="00787AC7" w:rsidP="00787AC7">
                  <w:pPr>
                    <w:spacing w:after="0"/>
                    <w:jc w:val="both"/>
                    <w:rPr>
                      <w:rFonts w:ascii="Times New Roman" w:hAnsi="Times New Roman" w:cs="Times New Roman"/>
                      <w:sz w:val="24"/>
                      <w:szCs w:val="24"/>
                    </w:rPr>
                  </w:pPr>
                  <w:r>
                    <w:rPr>
                      <w:rFonts w:ascii="Times New Roman" w:hAnsi="Times New Roman" w:cs="Times New Roman"/>
                      <w:sz w:val="24"/>
                      <w:szCs w:val="24"/>
                    </w:rPr>
                    <w:t>*</w:t>
                  </w:r>
                </w:p>
              </w:tc>
              <w:tc>
                <w:tcPr>
                  <w:tcW w:w="18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87AC7" w:rsidRPr="003E743A" w:rsidRDefault="00787AC7" w:rsidP="00787AC7">
                  <w:pPr>
                    <w:spacing w:after="0"/>
                    <w:jc w:val="both"/>
                    <w:rPr>
                      <w:rFonts w:ascii="Times New Roman" w:hAnsi="Times New Roman" w:cs="Times New Roman"/>
                      <w:sz w:val="24"/>
                      <w:szCs w:val="24"/>
                    </w:rPr>
                  </w:pPr>
                  <w:r w:rsidRPr="003E743A">
                    <w:rPr>
                      <w:rFonts w:ascii="Times New Roman" w:hAnsi="Times New Roman" w:cs="Times New Roman"/>
                      <w:sz w:val="24"/>
                      <w:szCs w:val="24"/>
                    </w:rPr>
                    <w:t>*</w:t>
                  </w:r>
                </w:p>
              </w:tc>
              <w:tc>
                <w:tcPr>
                  <w:tcW w:w="20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87AC7" w:rsidRPr="003E743A" w:rsidRDefault="00787AC7" w:rsidP="00787AC7">
                  <w:pPr>
                    <w:spacing w:after="0"/>
                    <w:jc w:val="both"/>
                    <w:rPr>
                      <w:rFonts w:ascii="Times New Roman" w:hAnsi="Times New Roman" w:cs="Times New Roman"/>
                      <w:sz w:val="24"/>
                      <w:szCs w:val="24"/>
                    </w:rPr>
                  </w:pPr>
                  <w:r w:rsidRPr="003E743A">
                    <w:rPr>
                      <w:rFonts w:ascii="Times New Roman" w:hAnsi="Times New Roman" w:cs="Times New Roman"/>
                      <w:sz w:val="24"/>
                      <w:szCs w:val="24"/>
                    </w:rPr>
                    <w:t>*</w:t>
                  </w:r>
                </w:p>
              </w:tc>
              <w:tc>
                <w:tcPr>
                  <w:tcW w:w="18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87AC7" w:rsidRPr="003E743A" w:rsidRDefault="00787AC7" w:rsidP="00787AC7">
                  <w:pPr>
                    <w:spacing w:after="0"/>
                    <w:jc w:val="both"/>
                    <w:rPr>
                      <w:rFonts w:ascii="Times New Roman" w:hAnsi="Times New Roman" w:cs="Times New Roman"/>
                      <w:sz w:val="24"/>
                      <w:szCs w:val="24"/>
                    </w:rPr>
                  </w:pPr>
                  <w:r w:rsidRPr="003E743A">
                    <w:rPr>
                      <w:rFonts w:ascii="Times New Roman" w:hAnsi="Times New Roman" w:cs="Times New Roman"/>
                      <w:sz w:val="24"/>
                      <w:szCs w:val="24"/>
                    </w:rPr>
                    <w:t>*</w:t>
                  </w:r>
                </w:p>
              </w:tc>
              <w:tc>
                <w:tcPr>
                  <w:tcW w:w="18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87AC7" w:rsidRPr="003E743A" w:rsidRDefault="00787AC7" w:rsidP="00787AC7">
                  <w:pPr>
                    <w:spacing w:after="0"/>
                    <w:jc w:val="both"/>
                    <w:rPr>
                      <w:rFonts w:ascii="Times New Roman" w:hAnsi="Times New Roman" w:cs="Times New Roman"/>
                      <w:sz w:val="24"/>
                      <w:szCs w:val="24"/>
                    </w:rPr>
                  </w:pPr>
                  <w:r w:rsidRPr="003E743A">
                    <w:rPr>
                      <w:rFonts w:ascii="Times New Roman" w:hAnsi="Times New Roman" w:cs="Times New Roman"/>
                      <w:sz w:val="24"/>
                      <w:szCs w:val="24"/>
                    </w:rPr>
                    <w:t>*</w:t>
                  </w:r>
                </w:p>
              </w:tc>
              <w:tc>
                <w:tcPr>
                  <w:tcW w:w="18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87AC7" w:rsidRPr="003E743A" w:rsidRDefault="00787AC7" w:rsidP="00787AC7">
                  <w:pPr>
                    <w:spacing w:after="0"/>
                    <w:jc w:val="both"/>
                    <w:rPr>
                      <w:rFonts w:ascii="Times New Roman" w:hAnsi="Times New Roman" w:cs="Times New Roman"/>
                      <w:sz w:val="24"/>
                      <w:szCs w:val="24"/>
                    </w:rPr>
                  </w:pPr>
                  <w:r w:rsidRPr="003E743A">
                    <w:rPr>
                      <w:rFonts w:ascii="Times New Roman" w:hAnsi="Times New Roman" w:cs="Times New Roman"/>
                      <w:sz w:val="24"/>
                      <w:szCs w:val="24"/>
                    </w:rPr>
                    <w:t>*</w:t>
                  </w:r>
                </w:p>
              </w:tc>
              <w:tc>
                <w:tcPr>
                  <w:tcW w:w="13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87AC7" w:rsidRPr="003E743A" w:rsidRDefault="00787AC7" w:rsidP="00787AC7">
                  <w:pPr>
                    <w:spacing w:after="0"/>
                    <w:jc w:val="both"/>
                    <w:rPr>
                      <w:rFonts w:ascii="Times New Roman" w:hAnsi="Times New Roman" w:cs="Times New Roman"/>
                      <w:sz w:val="24"/>
                      <w:szCs w:val="24"/>
                    </w:rPr>
                  </w:pPr>
                  <w:r w:rsidRPr="003E743A">
                    <w:rPr>
                      <w:rFonts w:ascii="Times New Roman" w:hAnsi="Times New Roman" w:cs="Times New Roman"/>
                      <w:sz w:val="24"/>
                      <w:szCs w:val="24"/>
                    </w:rPr>
                    <w:t>*</w:t>
                  </w:r>
                </w:p>
              </w:tc>
              <w:tc>
                <w:tcPr>
                  <w:tcW w:w="12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87AC7" w:rsidRPr="003E743A" w:rsidRDefault="00787AC7" w:rsidP="00787AC7">
                  <w:pPr>
                    <w:spacing w:after="0"/>
                    <w:jc w:val="both"/>
                    <w:rPr>
                      <w:rFonts w:ascii="Times New Roman" w:hAnsi="Times New Roman" w:cs="Times New Roman"/>
                      <w:sz w:val="24"/>
                      <w:szCs w:val="24"/>
                    </w:rPr>
                  </w:pPr>
                  <w:r w:rsidRPr="003E743A">
                    <w:rPr>
                      <w:rFonts w:ascii="Times New Roman" w:hAnsi="Times New Roman" w:cs="Times New Roman"/>
                      <w:sz w:val="24"/>
                      <w:szCs w:val="24"/>
                    </w:rPr>
                    <w:t>*</w:t>
                  </w:r>
                </w:p>
              </w:tc>
            </w:tr>
            <w:tr w:rsidR="00787AC7" w:rsidRPr="003E743A" w:rsidTr="00787AC7">
              <w:trPr>
                <w:trHeight w:val="386"/>
              </w:trPr>
              <w:tc>
                <w:tcPr>
                  <w:tcW w:w="142" w:type="pct"/>
                  <w:vMerge/>
                  <w:tcBorders>
                    <w:top w:val="single" w:sz="4" w:space="0" w:color="auto"/>
                    <w:left w:val="single" w:sz="4" w:space="0" w:color="auto"/>
                    <w:bottom w:val="single" w:sz="4" w:space="0" w:color="auto"/>
                    <w:right w:val="single" w:sz="4" w:space="0" w:color="auto"/>
                  </w:tcBorders>
                  <w:shd w:val="clear" w:color="auto" w:fill="F2F2F2"/>
                  <w:vAlign w:val="center"/>
                </w:tcPr>
                <w:p w:rsidR="00787AC7" w:rsidRPr="003E743A" w:rsidRDefault="00787AC7" w:rsidP="00787AC7">
                  <w:pPr>
                    <w:spacing w:after="0"/>
                    <w:jc w:val="both"/>
                    <w:rPr>
                      <w:rFonts w:ascii="Times New Roman" w:hAnsi="Times New Roman" w:cs="Times New Roman"/>
                      <w:sz w:val="18"/>
                      <w:szCs w:val="18"/>
                    </w:rPr>
                  </w:pPr>
                </w:p>
              </w:tc>
              <w:tc>
                <w:tcPr>
                  <w:tcW w:w="621" w:type="pct"/>
                  <w:gridSpan w:val="2"/>
                  <w:tcBorders>
                    <w:top w:val="single" w:sz="4" w:space="0" w:color="auto"/>
                    <w:left w:val="single" w:sz="4" w:space="0" w:color="auto"/>
                    <w:bottom w:val="single" w:sz="4" w:space="0" w:color="auto"/>
                    <w:right w:val="single" w:sz="4" w:space="0" w:color="auto"/>
                  </w:tcBorders>
                  <w:shd w:val="clear" w:color="auto" w:fill="F2F2F2"/>
                  <w:vAlign w:val="center"/>
                </w:tcPr>
                <w:p w:rsidR="00787AC7" w:rsidRPr="003E743A" w:rsidRDefault="00787AC7" w:rsidP="00787AC7">
                  <w:pPr>
                    <w:spacing w:after="0"/>
                    <w:jc w:val="both"/>
                    <w:rPr>
                      <w:rFonts w:ascii="Times New Roman" w:hAnsi="Times New Roman" w:cs="Times New Roman"/>
                      <w:sz w:val="16"/>
                      <w:szCs w:val="16"/>
                    </w:rPr>
                  </w:pPr>
                  <w:r w:rsidRPr="003E743A">
                    <w:rPr>
                      <w:rFonts w:ascii="Times New Roman" w:hAnsi="Times New Roman" w:cs="Times New Roman"/>
                      <w:sz w:val="16"/>
                      <w:szCs w:val="16"/>
                    </w:rPr>
                    <w:t>Biens matériel et patrimoine</w:t>
                  </w:r>
                </w:p>
              </w:tc>
              <w:tc>
                <w:tcPr>
                  <w:tcW w:w="27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87AC7" w:rsidRPr="003E743A" w:rsidRDefault="00787AC7" w:rsidP="00787AC7">
                  <w:pPr>
                    <w:spacing w:after="0"/>
                    <w:jc w:val="center"/>
                    <w:rPr>
                      <w:rFonts w:ascii="Times New Roman" w:hAnsi="Times New Roman" w:cs="Times New Roman"/>
                      <w:sz w:val="24"/>
                      <w:szCs w:val="24"/>
                    </w:rPr>
                  </w:pPr>
                  <w:r w:rsidRPr="003E743A">
                    <w:rPr>
                      <w:rFonts w:ascii="Times New Roman" w:hAnsi="Times New Roman" w:cs="Times New Roman"/>
                      <w:sz w:val="24"/>
                      <w:szCs w:val="24"/>
                    </w:rPr>
                    <w:t>*</w:t>
                  </w:r>
                </w:p>
              </w:tc>
              <w:tc>
                <w:tcPr>
                  <w:tcW w:w="31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87AC7" w:rsidRPr="003E743A" w:rsidRDefault="00787AC7" w:rsidP="00787AC7">
                  <w:pPr>
                    <w:spacing w:after="0"/>
                    <w:jc w:val="both"/>
                    <w:rPr>
                      <w:rFonts w:ascii="Times New Roman" w:hAnsi="Times New Roman" w:cs="Times New Roman"/>
                      <w:sz w:val="24"/>
                      <w:szCs w:val="24"/>
                    </w:rPr>
                  </w:pPr>
                </w:p>
              </w:tc>
              <w:tc>
                <w:tcPr>
                  <w:tcW w:w="22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87AC7" w:rsidRPr="003E743A" w:rsidRDefault="00787AC7" w:rsidP="00787AC7">
                  <w:pPr>
                    <w:spacing w:after="0"/>
                    <w:jc w:val="both"/>
                    <w:rPr>
                      <w:rFonts w:ascii="Times New Roman" w:hAnsi="Times New Roman" w:cs="Times New Roman"/>
                      <w:sz w:val="24"/>
                      <w:szCs w:val="24"/>
                    </w:rPr>
                  </w:pPr>
                </w:p>
              </w:tc>
              <w:tc>
                <w:tcPr>
                  <w:tcW w:w="227" w:type="pct"/>
                  <w:tcBorders>
                    <w:top w:val="single" w:sz="4" w:space="0" w:color="auto"/>
                    <w:left w:val="single" w:sz="4" w:space="0" w:color="auto"/>
                    <w:bottom w:val="single" w:sz="4" w:space="0" w:color="auto"/>
                    <w:right w:val="single" w:sz="4" w:space="0" w:color="auto"/>
                  </w:tcBorders>
                  <w:shd w:val="clear" w:color="auto" w:fill="FFFFFF" w:themeFill="background1"/>
                </w:tcPr>
                <w:p w:rsidR="00787AC7" w:rsidRPr="003E743A" w:rsidRDefault="00787AC7" w:rsidP="00787AC7">
                  <w:pPr>
                    <w:spacing w:after="0"/>
                    <w:jc w:val="both"/>
                    <w:rPr>
                      <w:rFonts w:ascii="Times New Roman" w:hAnsi="Times New Roman" w:cs="Times New Roman"/>
                      <w:sz w:val="24"/>
                      <w:szCs w:val="24"/>
                    </w:rPr>
                  </w:pPr>
                </w:p>
              </w:tc>
              <w:tc>
                <w:tcPr>
                  <w:tcW w:w="18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87AC7" w:rsidRPr="003E743A" w:rsidRDefault="00787AC7" w:rsidP="00787AC7">
                  <w:pPr>
                    <w:spacing w:after="0"/>
                    <w:jc w:val="both"/>
                    <w:rPr>
                      <w:rFonts w:ascii="Times New Roman" w:hAnsi="Times New Roman" w:cs="Times New Roman"/>
                      <w:sz w:val="24"/>
                      <w:szCs w:val="24"/>
                    </w:rPr>
                  </w:pPr>
                </w:p>
              </w:tc>
              <w:tc>
                <w:tcPr>
                  <w:tcW w:w="226" w:type="pct"/>
                  <w:tcBorders>
                    <w:top w:val="single" w:sz="4" w:space="0" w:color="auto"/>
                    <w:left w:val="single" w:sz="4" w:space="0" w:color="auto"/>
                    <w:bottom w:val="single" w:sz="4" w:space="0" w:color="auto"/>
                    <w:right w:val="single" w:sz="4" w:space="0" w:color="auto"/>
                  </w:tcBorders>
                  <w:shd w:val="clear" w:color="auto" w:fill="FFFFFF" w:themeFill="background1"/>
                </w:tcPr>
                <w:p w:rsidR="00787AC7" w:rsidRPr="003E743A" w:rsidRDefault="00787AC7" w:rsidP="00787AC7">
                  <w:pPr>
                    <w:spacing w:after="0"/>
                    <w:jc w:val="both"/>
                    <w:rPr>
                      <w:rFonts w:ascii="Times New Roman" w:hAnsi="Times New Roman" w:cs="Times New Roman"/>
                      <w:sz w:val="24"/>
                      <w:szCs w:val="24"/>
                    </w:rPr>
                  </w:pPr>
                </w:p>
              </w:tc>
              <w:tc>
                <w:tcPr>
                  <w:tcW w:w="18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87AC7" w:rsidRPr="003E743A" w:rsidRDefault="00787AC7" w:rsidP="00787AC7">
                  <w:pPr>
                    <w:spacing w:after="0"/>
                    <w:jc w:val="both"/>
                    <w:rPr>
                      <w:rFonts w:ascii="Times New Roman" w:hAnsi="Times New Roman" w:cs="Times New Roman"/>
                      <w:sz w:val="24"/>
                      <w:szCs w:val="24"/>
                    </w:rPr>
                  </w:pPr>
                  <w:r w:rsidRPr="003E743A">
                    <w:rPr>
                      <w:rFonts w:ascii="Times New Roman" w:hAnsi="Times New Roman" w:cs="Times New Roman"/>
                      <w:sz w:val="24"/>
                      <w:szCs w:val="24"/>
                    </w:rPr>
                    <w:t>*</w:t>
                  </w:r>
                </w:p>
              </w:tc>
              <w:tc>
                <w:tcPr>
                  <w:tcW w:w="22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87AC7" w:rsidRPr="003E743A" w:rsidRDefault="00787AC7" w:rsidP="00787AC7">
                  <w:pPr>
                    <w:spacing w:after="0"/>
                    <w:jc w:val="both"/>
                    <w:rPr>
                      <w:rFonts w:ascii="Times New Roman" w:hAnsi="Times New Roman" w:cs="Times New Roman"/>
                      <w:sz w:val="24"/>
                      <w:szCs w:val="24"/>
                    </w:rPr>
                  </w:pPr>
                  <w:r w:rsidRPr="003E743A">
                    <w:rPr>
                      <w:rFonts w:ascii="Times New Roman" w:hAnsi="Times New Roman" w:cs="Times New Roman"/>
                      <w:sz w:val="24"/>
                      <w:szCs w:val="24"/>
                    </w:rPr>
                    <w:t>*</w:t>
                  </w:r>
                </w:p>
              </w:tc>
              <w:tc>
                <w:tcPr>
                  <w:tcW w:w="18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87AC7" w:rsidRPr="003E743A" w:rsidRDefault="00787AC7" w:rsidP="00787AC7">
                  <w:pPr>
                    <w:spacing w:after="0"/>
                    <w:jc w:val="both"/>
                    <w:rPr>
                      <w:rFonts w:ascii="Times New Roman" w:hAnsi="Times New Roman" w:cs="Times New Roman"/>
                      <w:sz w:val="24"/>
                      <w:szCs w:val="24"/>
                    </w:rPr>
                  </w:pPr>
                  <w:r w:rsidRPr="003E743A">
                    <w:rPr>
                      <w:rFonts w:ascii="Times New Roman" w:hAnsi="Times New Roman" w:cs="Times New Roman"/>
                      <w:sz w:val="24"/>
                      <w:szCs w:val="24"/>
                    </w:rPr>
                    <w:t>*</w:t>
                  </w:r>
                </w:p>
              </w:tc>
              <w:tc>
                <w:tcPr>
                  <w:tcW w:w="226" w:type="pct"/>
                  <w:tcBorders>
                    <w:top w:val="single" w:sz="4" w:space="0" w:color="auto"/>
                    <w:left w:val="single" w:sz="4" w:space="0" w:color="auto"/>
                    <w:bottom w:val="single" w:sz="4" w:space="0" w:color="auto"/>
                    <w:right w:val="single" w:sz="4" w:space="0" w:color="auto"/>
                  </w:tcBorders>
                  <w:shd w:val="clear" w:color="auto" w:fill="FFFFFF" w:themeFill="background1"/>
                </w:tcPr>
                <w:p w:rsidR="00787AC7" w:rsidRPr="003E743A" w:rsidRDefault="00787AC7" w:rsidP="00787AC7">
                  <w:pPr>
                    <w:spacing w:after="0"/>
                    <w:jc w:val="both"/>
                    <w:rPr>
                      <w:rFonts w:ascii="Times New Roman" w:hAnsi="Times New Roman" w:cs="Times New Roman"/>
                      <w:sz w:val="24"/>
                      <w:szCs w:val="24"/>
                    </w:rPr>
                  </w:pPr>
                  <w:r>
                    <w:rPr>
                      <w:rFonts w:ascii="Times New Roman" w:hAnsi="Times New Roman" w:cs="Times New Roman"/>
                      <w:sz w:val="24"/>
                      <w:szCs w:val="24"/>
                    </w:rPr>
                    <w:t>*</w:t>
                  </w:r>
                </w:p>
              </w:tc>
              <w:tc>
                <w:tcPr>
                  <w:tcW w:w="181" w:type="pct"/>
                  <w:tcBorders>
                    <w:top w:val="single" w:sz="4" w:space="0" w:color="auto"/>
                    <w:left w:val="single" w:sz="4" w:space="0" w:color="auto"/>
                    <w:bottom w:val="single" w:sz="4" w:space="0" w:color="auto"/>
                    <w:right w:val="single" w:sz="4" w:space="0" w:color="auto"/>
                  </w:tcBorders>
                  <w:shd w:val="clear" w:color="auto" w:fill="FFFFFF" w:themeFill="background1"/>
                </w:tcPr>
                <w:p w:rsidR="00787AC7" w:rsidRPr="003E743A" w:rsidRDefault="00787AC7" w:rsidP="00787AC7">
                  <w:pPr>
                    <w:spacing w:after="0"/>
                    <w:jc w:val="both"/>
                    <w:rPr>
                      <w:rFonts w:ascii="Times New Roman" w:hAnsi="Times New Roman" w:cs="Times New Roman"/>
                      <w:sz w:val="24"/>
                      <w:szCs w:val="24"/>
                    </w:rPr>
                  </w:pPr>
                </w:p>
              </w:tc>
              <w:tc>
                <w:tcPr>
                  <w:tcW w:w="226" w:type="pct"/>
                  <w:tcBorders>
                    <w:top w:val="single" w:sz="4" w:space="0" w:color="auto"/>
                    <w:left w:val="single" w:sz="4" w:space="0" w:color="auto"/>
                    <w:bottom w:val="single" w:sz="4" w:space="0" w:color="auto"/>
                    <w:right w:val="single" w:sz="4" w:space="0" w:color="auto"/>
                  </w:tcBorders>
                  <w:shd w:val="clear" w:color="auto" w:fill="FFFFFF" w:themeFill="background1"/>
                </w:tcPr>
                <w:p w:rsidR="00787AC7" w:rsidRPr="003E743A" w:rsidRDefault="00787AC7" w:rsidP="00787AC7">
                  <w:pPr>
                    <w:spacing w:after="0"/>
                    <w:jc w:val="both"/>
                    <w:rPr>
                      <w:rFonts w:ascii="Times New Roman" w:hAnsi="Times New Roman" w:cs="Times New Roman"/>
                      <w:sz w:val="24"/>
                      <w:szCs w:val="24"/>
                    </w:rPr>
                  </w:pPr>
                </w:p>
              </w:tc>
              <w:tc>
                <w:tcPr>
                  <w:tcW w:w="182" w:type="pct"/>
                  <w:tcBorders>
                    <w:top w:val="single" w:sz="4" w:space="0" w:color="auto"/>
                    <w:left w:val="single" w:sz="4" w:space="0" w:color="auto"/>
                    <w:bottom w:val="single" w:sz="4" w:space="0" w:color="auto"/>
                    <w:right w:val="single" w:sz="4" w:space="0" w:color="auto"/>
                  </w:tcBorders>
                  <w:shd w:val="clear" w:color="auto" w:fill="FFFFFF" w:themeFill="background1"/>
                </w:tcPr>
                <w:p w:rsidR="00787AC7" w:rsidRPr="003E743A" w:rsidRDefault="00787AC7" w:rsidP="00787AC7">
                  <w:pPr>
                    <w:spacing w:after="0"/>
                    <w:jc w:val="both"/>
                    <w:rPr>
                      <w:rFonts w:ascii="Times New Roman" w:hAnsi="Times New Roman" w:cs="Times New Roman"/>
                      <w:sz w:val="24"/>
                      <w:szCs w:val="24"/>
                    </w:rPr>
                  </w:pPr>
                </w:p>
              </w:tc>
              <w:tc>
                <w:tcPr>
                  <w:tcW w:w="182" w:type="pct"/>
                  <w:tcBorders>
                    <w:top w:val="single" w:sz="4" w:space="0" w:color="auto"/>
                    <w:left w:val="single" w:sz="4" w:space="0" w:color="auto"/>
                    <w:bottom w:val="single" w:sz="4" w:space="0" w:color="auto"/>
                    <w:right w:val="single" w:sz="4" w:space="0" w:color="auto"/>
                  </w:tcBorders>
                  <w:shd w:val="clear" w:color="auto" w:fill="FFFFFF" w:themeFill="background1"/>
                </w:tcPr>
                <w:p w:rsidR="00787AC7" w:rsidRPr="003E743A" w:rsidRDefault="00787AC7" w:rsidP="00787AC7">
                  <w:pPr>
                    <w:spacing w:after="0"/>
                    <w:jc w:val="both"/>
                    <w:rPr>
                      <w:rFonts w:ascii="Times New Roman" w:hAnsi="Times New Roman" w:cs="Times New Roman"/>
                      <w:sz w:val="24"/>
                      <w:szCs w:val="24"/>
                    </w:rPr>
                  </w:pPr>
                  <w:r>
                    <w:rPr>
                      <w:rFonts w:ascii="Times New Roman" w:hAnsi="Times New Roman" w:cs="Times New Roman"/>
                      <w:sz w:val="24"/>
                      <w:szCs w:val="24"/>
                    </w:rPr>
                    <w:t>*</w:t>
                  </w:r>
                </w:p>
              </w:tc>
              <w:tc>
                <w:tcPr>
                  <w:tcW w:w="18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87AC7" w:rsidRPr="003E743A" w:rsidRDefault="00787AC7" w:rsidP="00787AC7">
                  <w:pPr>
                    <w:spacing w:after="0"/>
                    <w:jc w:val="both"/>
                    <w:rPr>
                      <w:rFonts w:ascii="Times New Roman" w:hAnsi="Times New Roman" w:cs="Times New Roman"/>
                      <w:sz w:val="24"/>
                      <w:szCs w:val="24"/>
                    </w:rPr>
                  </w:pPr>
                </w:p>
              </w:tc>
              <w:tc>
                <w:tcPr>
                  <w:tcW w:w="20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87AC7" w:rsidRPr="003E743A" w:rsidRDefault="00787AC7" w:rsidP="00787AC7">
                  <w:pPr>
                    <w:spacing w:after="0"/>
                    <w:jc w:val="both"/>
                    <w:rPr>
                      <w:rFonts w:ascii="Times New Roman" w:hAnsi="Times New Roman" w:cs="Times New Roman"/>
                      <w:sz w:val="24"/>
                      <w:szCs w:val="24"/>
                    </w:rPr>
                  </w:pPr>
                </w:p>
              </w:tc>
              <w:tc>
                <w:tcPr>
                  <w:tcW w:w="18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87AC7" w:rsidRPr="003E743A" w:rsidRDefault="00787AC7" w:rsidP="00787AC7">
                  <w:pPr>
                    <w:spacing w:after="0"/>
                    <w:jc w:val="both"/>
                    <w:rPr>
                      <w:rFonts w:ascii="Times New Roman" w:hAnsi="Times New Roman" w:cs="Times New Roman"/>
                      <w:sz w:val="24"/>
                      <w:szCs w:val="24"/>
                    </w:rPr>
                  </w:pPr>
                  <w:r w:rsidRPr="003E743A">
                    <w:rPr>
                      <w:rFonts w:ascii="Times New Roman" w:hAnsi="Times New Roman" w:cs="Times New Roman"/>
                      <w:sz w:val="24"/>
                      <w:szCs w:val="24"/>
                    </w:rPr>
                    <w:t>*</w:t>
                  </w:r>
                </w:p>
              </w:tc>
              <w:tc>
                <w:tcPr>
                  <w:tcW w:w="18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87AC7" w:rsidRPr="003E743A" w:rsidRDefault="00787AC7" w:rsidP="00787AC7">
                  <w:pPr>
                    <w:spacing w:after="0"/>
                    <w:jc w:val="both"/>
                    <w:rPr>
                      <w:rFonts w:ascii="Times New Roman" w:hAnsi="Times New Roman" w:cs="Times New Roman"/>
                      <w:sz w:val="24"/>
                      <w:szCs w:val="24"/>
                    </w:rPr>
                  </w:pPr>
                  <w:r w:rsidRPr="003E743A">
                    <w:rPr>
                      <w:rFonts w:ascii="Times New Roman" w:hAnsi="Times New Roman" w:cs="Times New Roman"/>
                      <w:sz w:val="24"/>
                      <w:szCs w:val="24"/>
                    </w:rPr>
                    <w:t>*</w:t>
                  </w:r>
                </w:p>
              </w:tc>
              <w:tc>
                <w:tcPr>
                  <w:tcW w:w="182" w:type="pct"/>
                  <w:tcBorders>
                    <w:top w:val="single" w:sz="4" w:space="0" w:color="auto"/>
                    <w:left w:val="single" w:sz="4" w:space="0" w:color="auto"/>
                    <w:bottom w:val="single" w:sz="4" w:space="0" w:color="auto"/>
                    <w:right w:val="single" w:sz="4" w:space="0" w:color="auto"/>
                  </w:tcBorders>
                  <w:shd w:val="clear" w:color="auto" w:fill="FFFFFF" w:themeFill="background1"/>
                </w:tcPr>
                <w:p w:rsidR="00787AC7" w:rsidRPr="003E743A" w:rsidRDefault="00787AC7" w:rsidP="00787AC7">
                  <w:pPr>
                    <w:spacing w:after="0"/>
                    <w:jc w:val="both"/>
                    <w:rPr>
                      <w:rFonts w:ascii="Times New Roman" w:hAnsi="Times New Roman" w:cs="Times New Roman"/>
                      <w:sz w:val="24"/>
                      <w:szCs w:val="24"/>
                    </w:rPr>
                  </w:pPr>
                </w:p>
              </w:tc>
              <w:tc>
                <w:tcPr>
                  <w:tcW w:w="13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87AC7" w:rsidRPr="003E743A" w:rsidRDefault="00787AC7" w:rsidP="00787AC7">
                  <w:pPr>
                    <w:spacing w:after="0"/>
                    <w:jc w:val="both"/>
                    <w:rPr>
                      <w:rFonts w:ascii="Times New Roman" w:hAnsi="Times New Roman" w:cs="Times New Roman"/>
                      <w:sz w:val="24"/>
                      <w:szCs w:val="24"/>
                    </w:rPr>
                  </w:pPr>
                </w:p>
              </w:tc>
              <w:tc>
                <w:tcPr>
                  <w:tcW w:w="12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87AC7" w:rsidRPr="003E743A" w:rsidRDefault="00BE1691" w:rsidP="00787AC7">
                  <w:pPr>
                    <w:spacing w:after="0"/>
                    <w:jc w:val="both"/>
                    <w:rPr>
                      <w:rFonts w:ascii="Times New Roman" w:hAnsi="Times New Roman" w:cs="Times New Roman"/>
                      <w:sz w:val="24"/>
                      <w:szCs w:val="24"/>
                    </w:rPr>
                  </w:pPr>
                  <w:r>
                    <w:rPr>
                      <w:rFonts w:ascii="Times New Roman" w:hAnsi="Times New Roman" w:cs="Times New Roman"/>
                      <w:sz w:val="24"/>
                      <w:szCs w:val="24"/>
                    </w:rPr>
                    <w:t>*</w:t>
                  </w:r>
                </w:p>
              </w:tc>
            </w:tr>
            <w:tr w:rsidR="00787AC7" w:rsidRPr="003E743A" w:rsidTr="00787AC7">
              <w:trPr>
                <w:trHeight w:val="209"/>
              </w:trPr>
              <w:tc>
                <w:tcPr>
                  <w:tcW w:w="142" w:type="pct"/>
                  <w:vMerge/>
                  <w:tcBorders>
                    <w:top w:val="single" w:sz="4" w:space="0" w:color="auto"/>
                    <w:left w:val="single" w:sz="4" w:space="0" w:color="auto"/>
                    <w:bottom w:val="single" w:sz="4" w:space="0" w:color="auto"/>
                    <w:right w:val="single" w:sz="4" w:space="0" w:color="auto"/>
                  </w:tcBorders>
                  <w:shd w:val="clear" w:color="auto" w:fill="F2F2F2"/>
                  <w:vAlign w:val="center"/>
                </w:tcPr>
                <w:p w:rsidR="00787AC7" w:rsidRPr="003E743A" w:rsidRDefault="00787AC7" w:rsidP="00787AC7">
                  <w:pPr>
                    <w:spacing w:after="0"/>
                    <w:jc w:val="both"/>
                    <w:rPr>
                      <w:rFonts w:ascii="Times New Roman" w:hAnsi="Times New Roman" w:cs="Times New Roman"/>
                      <w:sz w:val="18"/>
                      <w:szCs w:val="18"/>
                    </w:rPr>
                  </w:pPr>
                </w:p>
              </w:tc>
              <w:tc>
                <w:tcPr>
                  <w:tcW w:w="621" w:type="pct"/>
                  <w:gridSpan w:val="2"/>
                  <w:tcBorders>
                    <w:top w:val="single" w:sz="4" w:space="0" w:color="auto"/>
                    <w:left w:val="single" w:sz="4" w:space="0" w:color="auto"/>
                    <w:bottom w:val="single" w:sz="4" w:space="0" w:color="auto"/>
                    <w:right w:val="single" w:sz="4" w:space="0" w:color="auto"/>
                  </w:tcBorders>
                  <w:shd w:val="clear" w:color="auto" w:fill="F2F2F2"/>
                  <w:vAlign w:val="center"/>
                </w:tcPr>
                <w:p w:rsidR="00787AC7" w:rsidRPr="003E743A" w:rsidRDefault="00787AC7" w:rsidP="00787AC7">
                  <w:pPr>
                    <w:spacing w:after="0"/>
                    <w:jc w:val="both"/>
                    <w:rPr>
                      <w:rFonts w:ascii="Times New Roman" w:hAnsi="Times New Roman" w:cs="Times New Roman"/>
                      <w:sz w:val="16"/>
                      <w:szCs w:val="16"/>
                    </w:rPr>
                  </w:pPr>
                  <w:r w:rsidRPr="003E743A">
                    <w:rPr>
                      <w:rFonts w:ascii="Times New Roman" w:hAnsi="Times New Roman" w:cs="Times New Roman"/>
                      <w:sz w:val="16"/>
                      <w:szCs w:val="16"/>
                    </w:rPr>
                    <w:t>Mobilité</w:t>
                  </w:r>
                </w:p>
              </w:tc>
              <w:tc>
                <w:tcPr>
                  <w:tcW w:w="27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87AC7" w:rsidRPr="003E743A" w:rsidRDefault="00787AC7" w:rsidP="00787AC7">
                  <w:pPr>
                    <w:spacing w:after="0"/>
                    <w:jc w:val="center"/>
                    <w:rPr>
                      <w:rFonts w:ascii="Times New Roman" w:hAnsi="Times New Roman" w:cs="Times New Roman"/>
                      <w:sz w:val="24"/>
                      <w:szCs w:val="24"/>
                    </w:rPr>
                  </w:pPr>
                </w:p>
              </w:tc>
              <w:tc>
                <w:tcPr>
                  <w:tcW w:w="31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87AC7" w:rsidRPr="003E743A" w:rsidRDefault="00787AC7" w:rsidP="00787AC7">
                  <w:pPr>
                    <w:spacing w:after="0"/>
                    <w:jc w:val="both"/>
                    <w:rPr>
                      <w:rFonts w:ascii="Times New Roman" w:hAnsi="Times New Roman" w:cs="Times New Roman"/>
                      <w:sz w:val="24"/>
                      <w:szCs w:val="24"/>
                    </w:rPr>
                  </w:pPr>
                  <w:r w:rsidRPr="003E743A">
                    <w:rPr>
                      <w:rFonts w:ascii="Times New Roman" w:hAnsi="Times New Roman" w:cs="Times New Roman"/>
                      <w:sz w:val="24"/>
                      <w:szCs w:val="24"/>
                    </w:rPr>
                    <w:t>*</w:t>
                  </w:r>
                </w:p>
              </w:tc>
              <w:tc>
                <w:tcPr>
                  <w:tcW w:w="22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87AC7" w:rsidRPr="003E743A" w:rsidRDefault="00787AC7" w:rsidP="00787AC7">
                  <w:pPr>
                    <w:spacing w:after="0"/>
                    <w:jc w:val="both"/>
                    <w:rPr>
                      <w:rFonts w:ascii="Times New Roman" w:hAnsi="Times New Roman" w:cs="Times New Roman"/>
                      <w:sz w:val="24"/>
                      <w:szCs w:val="24"/>
                    </w:rPr>
                  </w:pPr>
                  <w:r w:rsidRPr="003E743A">
                    <w:rPr>
                      <w:rFonts w:ascii="Times New Roman" w:hAnsi="Times New Roman" w:cs="Times New Roman"/>
                      <w:sz w:val="24"/>
                      <w:szCs w:val="24"/>
                    </w:rPr>
                    <w:t>*</w:t>
                  </w:r>
                </w:p>
              </w:tc>
              <w:tc>
                <w:tcPr>
                  <w:tcW w:w="227" w:type="pct"/>
                  <w:tcBorders>
                    <w:top w:val="single" w:sz="4" w:space="0" w:color="auto"/>
                    <w:left w:val="single" w:sz="4" w:space="0" w:color="auto"/>
                    <w:bottom w:val="single" w:sz="4" w:space="0" w:color="auto"/>
                    <w:right w:val="single" w:sz="4" w:space="0" w:color="auto"/>
                  </w:tcBorders>
                  <w:shd w:val="clear" w:color="auto" w:fill="FFFFFF" w:themeFill="background1"/>
                </w:tcPr>
                <w:p w:rsidR="00787AC7" w:rsidRPr="003E743A" w:rsidRDefault="00787AC7" w:rsidP="00787AC7">
                  <w:pPr>
                    <w:spacing w:after="0"/>
                    <w:jc w:val="both"/>
                    <w:rPr>
                      <w:rFonts w:ascii="Times New Roman" w:hAnsi="Times New Roman" w:cs="Times New Roman"/>
                      <w:sz w:val="24"/>
                      <w:szCs w:val="24"/>
                    </w:rPr>
                  </w:pPr>
                </w:p>
              </w:tc>
              <w:tc>
                <w:tcPr>
                  <w:tcW w:w="181" w:type="pct"/>
                  <w:tcBorders>
                    <w:top w:val="single" w:sz="4" w:space="0" w:color="auto"/>
                    <w:left w:val="single" w:sz="4" w:space="0" w:color="auto"/>
                    <w:bottom w:val="single" w:sz="4" w:space="0" w:color="auto"/>
                    <w:right w:val="single" w:sz="4" w:space="0" w:color="auto"/>
                  </w:tcBorders>
                  <w:shd w:val="clear" w:color="auto" w:fill="FFFFFF" w:themeFill="background1"/>
                </w:tcPr>
                <w:p w:rsidR="00787AC7" w:rsidRPr="003E743A" w:rsidRDefault="00787AC7" w:rsidP="00787AC7">
                  <w:pPr>
                    <w:spacing w:after="0"/>
                    <w:jc w:val="both"/>
                    <w:rPr>
                      <w:rFonts w:ascii="Times New Roman" w:hAnsi="Times New Roman" w:cs="Times New Roman"/>
                      <w:sz w:val="24"/>
                      <w:szCs w:val="24"/>
                    </w:rPr>
                  </w:pPr>
                </w:p>
              </w:tc>
              <w:tc>
                <w:tcPr>
                  <w:tcW w:w="22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87AC7" w:rsidRPr="003E743A" w:rsidRDefault="00787AC7" w:rsidP="00787AC7">
                  <w:pPr>
                    <w:spacing w:after="0"/>
                    <w:jc w:val="both"/>
                    <w:rPr>
                      <w:rFonts w:ascii="Times New Roman" w:hAnsi="Times New Roman" w:cs="Times New Roman"/>
                      <w:sz w:val="24"/>
                      <w:szCs w:val="24"/>
                    </w:rPr>
                  </w:pPr>
                  <w:r w:rsidRPr="003E743A">
                    <w:rPr>
                      <w:rFonts w:ascii="Times New Roman" w:hAnsi="Times New Roman" w:cs="Times New Roman"/>
                      <w:sz w:val="24"/>
                      <w:szCs w:val="24"/>
                    </w:rPr>
                    <w:t>*</w:t>
                  </w:r>
                </w:p>
              </w:tc>
              <w:tc>
                <w:tcPr>
                  <w:tcW w:w="18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87AC7" w:rsidRPr="003E743A" w:rsidRDefault="00787AC7" w:rsidP="00787AC7">
                  <w:pPr>
                    <w:spacing w:after="0"/>
                    <w:jc w:val="both"/>
                    <w:rPr>
                      <w:rFonts w:ascii="Times New Roman" w:hAnsi="Times New Roman" w:cs="Times New Roman"/>
                      <w:sz w:val="24"/>
                      <w:szCs w:val="24"/>
                    </w:rPr>
                  </w:pPr>
                  <w:r w:rsidRPr="003E743A">
                    <w:rPr>
                      <w:rFonts w:ascii="Times New Roman" w:hAnsi="Times New Roman" w:cs="Times New Roman"/>
                      <w:sz w:val="24"/>
                      <w:szCs w:val="24"/>
                    </w:rPr>
                    <w:t>*</w:t>
                  </w:r>
                </w:p>
              </w:tc>
              <w:tc>
                <w:tcPr>
                  <w:tcW w:w="227" w:type="pct"/>
                  <w:tcBorders>
                    <w:top w:val="single" w:sz="4" w:space="0" w:color="auto"/>
                    <w:left w:val="single" w:sz="4" w:space="0" w:color="auto"/>
                    <w:bottom w:val="single" w:sz="4" w:space="0" w:color="auto"/>
                    <w:right w:val="single" w:sz="4" w:space="0" w:color="auto"/>
                  </w:tcBorders>
                  <w:shd w:val="clear" w:color="auto" w:fill="FFFFFF" w:themeFill="background1"/>
                </w:tcPr>
                <w:p w:rsidR="00787AC7" w:rsidRPr="003E743A" w:rsidRDefault="00787AC7" w:rsidP="00787AC7">
                  <w:pPr>
                    <w:spacing w:after="0"/>
                    <w:jc w:val="both"/>
                    <w:rPr>
                      <w:rFonts w:ascii="Times New Roman" w:hAnsi="Times New Roman" w:cs="Times New Roman"/>
                      <w:sz w:val="24"/>
                      <w:szCs w:val="24"/>
                    </w:rPr>
                  </w:pPr>
                </w:p>
              </w:tc>
              <w:tc>
                <w:tcPr>
                  <w:tcW w:w="181" w:type="pct"/>
                  <w:tcBorders>
                    <w:top w:val="single" w:sz="4" w:space="0" w:color="auto"/>
                    <w:left w:val="single" w:sz="4" w:space="0" w:color="auto"/>
                    <w:bottom w:val="single" w:sz="4" w:space="0" w:color="auto"/>
                    <w:right w:val="single" w:sz="4" w:space="0" w:color="auto"/>
                  </w:tcBorders>
                  <w:shd w:val="clear" w:color="auto" w:fill="FFFFFF" w:themeFill="background1"/>
                </w:tcPr>
                <w:p w:rsidR="00787AC7" w:rsidRPr="003E743A" w:rsidRDefault="00787AC7" w:rsidP="00787AC7">
                  <w:pPr>
                    <w:spacing w:after="0"/>
                    <w:jc w:val="both"/>
                    <w:rPr>
                      <w:rFonts w:ascii="Times New Roman" w:hAnsi="Times New Roman" w:cs="Times New Roman"/>
                      <w:sz w:val="24"/>
                      <w:szCs w:val="24"/>
                    </w:rPr>
                  </w:pPr>
                  <w:r>
                    <w:rPr>
                      <w:rFonts w:ascii="Times New Roman" w:hAnsi="Times New Roman" w:cs="Times New Roman"/>
                      <w:sz w:val="24"/>
                      <w:szCs w:val="24"/>
                    </w:rPr>
                    <w:t>*</w:t>
                  </w:r>
                </w:p>
              </w:tc>
              <w:tc>
                <w:tcPr>
                  <w:tcW w:w="226" w:type="pct"/>
                  <w:tcBorders>
                    <w:top w:val="single" w:sz="4" w:space="0" w:color="auto"/>
                    <w:left w:val="single" w:sz="4" w:space="0" w:color="auto"/>
                    <w:bottom w:val="single" w:sz="4" w:space="0" w:color="auto"/>
                    <w:right w:val="single" w:sz="4" w:space="0" w:color="auto"/>
                  </w:tcBorders>
                  <w:shd w:val="clear" w:color="auto" w:fill="FFFFFF" w:themeFill="background1"/>
                </w:tcPr>
                <w:p w:rsidR="00787AC7" w:rsidRPr="003E743A" w:rsidRDefault="00787AC7" w:rsidP="00787AC7">
                  <w:pPr>
                    <w:spacing w:after="0"/>
                    <w:jc w:val="both"/>
                    <w:rPr>
                      <w:rFonts w:ascii="Times New Roman" w:hAnsi="Times New Roman" w:cs="Times New Roman"/>
                      <w:sz w:val="24"/>
                      <w:szCs w:val="24"/>
                    </w:rPr>
                  </w:pPr>
                </w:p>
              </w:tc>
              <w:tc>
                <w:tcPr>
                  <w:tcW w:w="18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87AC7" w:rsidRPr="003E743A" w:rsidRDefault="00787AC7" w:rsidP="00787AC7">
                  <w:pPr>
                    <w:spacing w:after="0"/>
                    <w:jc w:val="both"/>
                    <w:rPr>
                      <w:rFonts w:ascii="Times New Roman" w:hAnsi="Times New Roman" w:cs="Times New Roman"/>
                      <w:sz w:val="24"/>
                      <w:szCs w:val="24"/>
                    </w:rPr>
                  </w:pPr>
                </w:p>
              </w:tc>
              <w:tc>
                <w:tcPr>
                  <w:tcW w:w="226" w:type="pct"/>
                  <w:tcBorders>
                    <w:top w:val="single" w:sz="4" w:space="0" w:color="auto"/>
                    <w:left w:val="single" w:sz="4" w:space="0" w:color="auto"/>
                    <w:bottom w:val="single" w:sz="4" w:space="0" w:color="auto"/>
                    <w:right w:val="single" w:sz="4" w:space="0" w:color="auto"/>
                  </w:tcBorders>
                  <w:shd w:val="clear" w:color="auto" w:fill="FFFFFF" w:themeFill="background1"/>
                </w:tcPr>
                <w:p w:rsidR="00787AC7" w:rsidRPr="003E743A" w:rsidRDefault="00787AC7" w:rsidP="00787AC7">
                  <w:pPr>
                    <w:spacing w:after="0"/>
                    <w:jc w:val="both"/>
                    <w:rPr>
                      <w:rFonts w:ascii="Times New Roman" w:hAnsi="Times New Roman" w:cs="Times New Roman"/>
                      <w:sz w:val="24"/>
                      <w:szCs w:val="24"/>
                    </w:rPr>
                  </w:pPr>
                </w:p>
              </w:tc>
              <w:tc>
                <w:tcPr>
                  <w:tcW w:w="182" w:type="pct"/>
                  <w:tcBorders>
                    <w:top w:val="single" w:sz="4" w:space="0" w:color="auto"/>
                    <w:left w:val="single" w:sz="4" w:space="0" w:color="auto"/>
                    <w:bottom w:val="single" w:sz="4" w:space="0" w:color="auto"/>
                    <w:right w:val="single" w:sz="4" w:space="0" w:color="auto"/>
                  </w:tcBorders>
                  <w:shd w:val="clear" w:color="auto" w:fill="FFFFFF" w:themeFill="background1"/>
                </w:tcPr>
                <w:p w:rsidR="00787AC7" w:rsidRPr="003E743A" w:rsidRDefault="00787AC7" w:rsidP="00787AC7">
                  <w:pPr>
                    <w:spacing w:after="0"/>
                    <w:jc w:val="both"/>
                    <w:rPr>
                      <w:rFonts w:ascii="Times New Roman" w:hAnsi="Times New Roman" w:cs="Times New Roman"/>
                      <w:sz w:val="24"/>
                      <w:szCs w:val="24"/>
                    </w:rPr>
                  </w:pPr>
                </w:p>
              </w:tc>
              <w:tc>
                <w:tcPr>
                  <w:tcW w:w="18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87AC7" w:rsidRPr="003E743A" w:rsidRDefault="00787AC7" w:rsidP="00787AC7">
                  <w:pPr>
                    <w:spacing w:after="0"/>
                    <w:jc w:val="both"/>
                    <w:rPr>
                      <w:rFonts w:ascii="Times New Roman" w:hAnsi="Times New Roman" w:cs="Times New Roman"/>
                      <w:sz w:val="24"/>
                      <w:szCs w:val="24"/>
                    </w:rPr>
                  </w:pPr>
                  <w:r w:rsidRPr="003E743A">
                    <w:rPr>
                      <w:rFonts w:ascii="Times New Roman" w:hAnsi="Times New Roman" w:cs="Times New Roman"/>
                      <w:sz w:val="24"/>
                      <w:szCs w:val="24"/>
                    </w:rPr>
                    <w:t>*</w:t>
                  </w:r>
                </w:p>
              </w:tc>
              <w:tc>
                <w:tcPr>
                  <w:tcW w:w="181" w:type="pct"/>
                  <w:tcBorders>
                    <w:top w:val="single" w:sz="4" w:space="0" w:color="auto"/>
                    <w:left w:val="single" w:sz="4" w:space="0" w:color="auto"/>
                    <w:bottom w:val="single" w:sz="4" w:space="0" w:color="auto"/>
                    <w:right w:val="single" w:sz="4" w:space="0" w:color="auto"/>
                  </w:tcBorders>
                  <w:shd w:val="clear" w:color="auto" w:fill="FFFFFF" w:themeFill="background1"/>
                </w:tcPr>
                <w:p w:rsidR="00787AC7" w:rsidRPr="003E743A" w:rsidRDefault="00787AC7" w:rsidP="00787AC7">
                  <w:pPr>
                    <w:spacing w:after="0"/>
                    <w:jc w:val="both"/>
                    <w:rPr>
                      <w:rFonts w:ascii="Times New Roman" w:hAnsi="Times New Roman" w:cs="Times New Roman"/>
                      <w:sz w:val="24"/>
                      <w:szCs w:val="24"/>
                    </w:rPr>
                  </w:pPr>
                  <w:r>
                    <w:rPr>
                      <w:rFonts w:ascii="Times New Roman" w:hAnsi="Times New Roman" w:cs="Times New Roman"/>
                      <w:sz w:val="24"/>
                      <w:szCs w:val="24"/>
                    </w:rPr>
                    <w:t>*</w:t>
                  </w:r>
                </w:p>
              </w:tc>
              <w:tc>
                <w:tcPr>
                  <w:tcW w:w="202" w:type="pct"/>
                  <w:tcBorders>
                    <w:top w:val="single" w:sz="4" w:space="0" w:color="auto"/>
                    <w:left w:val="single" w:sz="4" w:space="0" w:color="auto"/>
                    <w:bottom w:val="single" w:sz="4" w:space="0" w:color="auto"/>
                    <w:right w:val="single" w:sz="4" w:space="0" w:color="auto"/>
                  </w:tcBorders>
                  <w:shd w:val="clear" w:color="auto" w:fill="FFFFFF" w:themeFill="background1"/>
                </w:tcPr>
                <w:p w:rsidR="00787AC7" w:rsidRPr="003E743A" w:rsidRDefault="00787AC7" w:rsidP="00787AC7">
                  <w:pPr>
                    <w:spacing w:after="0"/>
                    <w:jc w:val="both"/>
                    <w:rPr>
                      <w:rFonts w:ascii="Times New Roman" w:hAnsi="Times New Roman" w:cs="Times New Roman"/>
                      <w:sz w:val="24"/>
                      <w:szCs w:val="24"/>
                    </w:rPr>
                  </w:pPr>
                  <w:r>
                    <w:rPr>
                      <w:rFonts w:ascii="Times New Roman" w:hAnsi="Times New Roman" w:cs="Times New Roman"/>
                      <w:sz w:val="24"/>
                      <w:szCs w:val="24"/>
                    </w:rPr>
                    <w:t>*</w:t>
                  </w:r>
                </w:p>
              </w:tc>
              <w:tc>
                <w:tcPr>
                  <w:tcW w:w="182" w:type="pct"/>
                  <w:tcBorders>
                    <w:top w:val="single" w:sz="4" w:space="0" w:color="auto"/>
                    <w:left w:val="single" w:sz="4" w:space="0" w:color="auto"/>
                    <w:bottom w:val="single" w:sz="4" w:space="0" w:color="auto"/>
                    <w:right w:val="single" w:sz="4" w:space="0" w:color="auto"/>
                  </w:tcBorders>
                  <w:shd w:val="clear" w:color="auto" w:fill="FFFFFF" w:themeFill="background1"/>
                </w:tcPr>
                <w:p w:rsidR="00787AC7" w:rsidRPr="003E743A" w:rsidRDefault="00787AC7" w:rsidP="00787AC7">
                  <w:pPr>
                    <w:spacing w:after="0"/>
                    <w:jc w:val="both"/>
                    <w:rPr>
                      <w:rFonts w:ascii="Times New Roman" w:hAnsi="Times New Roman" w:cs="Times New Roman"/>
                      <w:sz w:val="24"/>
                      <w:szCs w:val="24"/>
                    </w:rPr>
                  </w:pPr>
                </w:p>
              </w:tc>
              <w:tc>
                <w:tcPr>
                  <w:tcW w:w="183" w:type="pct"/>
                  <w:tcBorders>
                    <w:top w:val="single" w:sz="4" w:space="0" w:color="auto"/>
                    <w:left w:val="single" w:sz="4" w:space="0" w:color="auto"/>
                    <w:bottom w:val="single" w:sz="4" w:space="0" w:color="auto"/>
                    <w:right w:val="single" w:sz="4" w:space="0" w:color="auto"/>
                  </w:tcBorders>
                  <w:shd w:val="clear" w:color="auto" w:fill="FFFFFF" w:themeFill="background1"/>
                </w:tcPr>
                <w:p w:rsidR="00787AC7" w:rsidRPr="003E743A" w:rsidRDefault="00BE1691" w:rsidP="00787AC7">
                  <w:pPr>
                    <w:spacing w:after="0"/>
                    <w:jc w:val="both"/>
                    <w:rPr>
                      <w:rFonts w:ascii="Times New Roman" w:hAnsi="Times New Roman" w:cs="Times New Roman"/>
                      <w:sz w:val="24"/>
                      <w:szCs w:val="24"/>
                    </w:rPr>
                  </w:pPr>
                  <w:r>
                    <w:rPr>
                      <w:rFonts w:ascii="Times New Roman" w:hAnsi="Times New Roman" w:cs="Times New Roman"/>
                      <w:sz w:val="24"/>
                      <w:szCs w:val="24"/>
                    </w:rPr>
                    <w:t>*</w:t>
                  </w:r>
                </w:p>
              </w:tc>
              <w:tc>
                <w:tcPr>
                  <w:tcW w:w="182" w:type="pct"/>
                  <w:tcBorders>
                    <w:top w:val="single" w:sz="4" w:space="0" w:color="auto"/>
                    <w:left w:val="single" w:sz="4" w:space="0" w:color="auto"/>
                    <w:bottom w:val="single" w:sz="4" w:space="0" w:color="auto"/>
                    <w:right w:val="single" w:sz="4" w:space="0" w:color="auto"/>
                  </w:tcBorders>
                  <w:shd w:val="clear" w:color="auto" w:fill="FFFFFF" w:themeFill="background1"/>
                </w:tcPr>
                <w:p w:rsidR="00787AC7" w:rsidRPr="003E743A" w:rsidRDefault="00787AC7" w:rsidP="00787AC7">
                  <w:pPr>
                    <w:spacing w:after="0"/>
                    <w:jc w:val="both"/>
                    <w:rPr>
                      <w:rFonts w:ascii="Times New Roman" w:hAnsi="Times New Roman" w:cs="Times New Roman"/>
                      <w:sz w:val="24"/>
                      <w:szCs w:val="24"/>
                    </w:rPr>
                  </w:pPr>
                </w:p>
              </w:tc>
              <w:tc>
                <w:tcPr>
                  <w:tcW w:w="138" w:type="pct"/>
                  <w:tcBorders>
                    <w:top w:val="single" w:sz="4" w:space="0" w:color="auto"/>
                    <w:left w:val="single" w:sz="4" w:space="0" w:color="auto"/>
                    <w:bottom w:val="single" w:sz="4" w:space="0" w:color="auto"/>
                    <w:right w:val="single" w:sz="4" w:space="0" w:color="auto"/>
                  </w:tcBorders>
                  <w:shd w:val="clear" w:color="auto" w:fill="FFFFFF" w:themeFill="background1"/>
                </w:tcPr>
                <w:p w:rsidR="00787AC7" w:rsidRPr="003E743A" w:rsidRDefault="00BE1691" w:rsidP="00787AC7">
                  <w:pPr>
                    <w:spacing w:after="0"/>
                    <w:jc w:val="both"/>
                    <w:rPr>
                      <w:rFonts w:ascii="Times New Roman" w:hAnsi="Times New Roman" w:cs="Times New Roman"/>
                      <w:sz w:val="24"/>
                      <w:szCs w:val="24"/>
                    </w:rPr>
                  </w:pPr>
                  <w:r>
                    <w:rPr>
                      <w:rFonts w:ascii="Times New Roman" w:hAnsi="Times New Roman" w:cs="Times New Roman"/>
                      <w:sz w:val="24"/>
                      <w:szCs w:val="24"/>
                    </w:rPr>
                    <w:t>*</w:t>
                  </w:r>
                </w:p>
              </w:tc>
              <w:tc>
                <w:tcPr>
                  <w:tcW w:w="12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87AC7" w:rsidRPr="003E743A" w:rsidRDefault="00787AC7" w:rsidP="00787AC7">
                  <w:pPr>
                    <w:spacing w:after="0"/>
                    <w:jc w:val="both"/>
                    <w:rPr>
                      <w:rFonts w:ascii="Times New Roman" w:hAnsi="Times New Roman" w:cs="Times New Roman"/>
                      <w:sz w:val="24"/>
                      <w:szCs w:val="24"/>
                    </w:rPr>
                  </w:pPr>
                  <w:r w:rsidRPr="003E743A">
                    <w:rPr>
                      <w:rFonts w:ascii="Times New Roman" w:hAnsi="Times New Roman" w:cs="Times New Roman"/>
                      <w:sz w:val="24"/>
                      <w:szCs w:val="24"/>
                    </w:rPr>
                    <w:t>*</w:t>
                  </w:r>
                </w:p>
              </w:tc>
            </w:tr>
            <w:tr w:rsidR="00787AC7" w:rsidRPr="003E743A" w:rsidTr="00787AC7">
              <w:trPr>
                <w:trHeight w:val="190"/>
              </w:trPr>
              <w:tc>
                <w:tcPr>
                  <w:tcW w:w="142" w:type="pct"/>
                  <w:vMerge/>
                  <w:tcBorders>
                    <w:top w:val="single" w:sz="4" w:space="0" w:color="auto"/>
                    <w:left w:val="single" w:sz="4" w:space="0" w:color="auto"/>
                    <w:bottom w:val="single" w:sz="4" w:space="0" w:color="auto"/>
                    <w:right w:val="single" w:sz="4" w:space="0" w:color="auto"/>
                  </w:tcBorders>
                  <w:shd w:val="clear" w:color="auto" w:fill="F2F2F2"/>
                  <w:vAlign w:val="center"/>
                </w:tcPr>
                <w:p w:rsidR="00787AC7" w:rsidRPr="003E743A" w:rsidRDefault="00787AC7" w:rsidP="00787AC7">
                  <w:pPr>
                    <w:spacing w:after="0"/>
                    <w:jc w:val="both"/>
                    <w:rPr>
                      <w:rFonts w:ascii="Times New Roman" w:hAnsi="Times New Roman" w:cs="Times New Roman"/>
                      <w:sz w:val="18"/>
                      <w:szCs w:val="18"/>
                    </w:rPr>
                  </w:pPr>
                </w:p>
              </w:tc>
              <w:tc>
                <w:tcPr>
                  <w:tcW w:w="621" w:type="pct"/>
                  <w:gridSpan w:val="2"/>
                  <w:tcBorders>
                    <w:top w:val="single" w:sz="4" w:space="0" w:color="auto"/>
                    <w:left w:val="single" w:sz="4" w:space="0" w:color="auto"/>
                    <w:bottom w:val="single" w:sz="4" w:space="0" w:color="auto"/>
                    <w:right w:val="single" w:sz="4" w:space="0" w:color="auto"/>
                  </w:tcBorders>
                  <w:shd w:val="clear" w:color="auto" w:fill="F2F2F2"/>
                  <w:vAlign w:val="center"/>
                </w:tcPr>
                <w:p w:rsidR="00787AC7" w:rsidRPr="003E743A" w:rsidRDefault="00787AC7" w:rsidP="00787AC7">
                  <w:pPr>
                    <w:spacing w:after="0"/>
                    <w:jc w:val="both"/>
                    <w:rPr>
                      <w:rFonts w:ascii="Times New Roman" w:hAnsi="Times New Roman" w:cs="Times New Roman"/>
                      <w:sz w:val="16"/>
                      <w:szCs w:val="16"/>
                    </w:rPr>
                  </w:pPr>
                  <w:r w:rsidRPr="003E743A">
                    <w:rPr>
                      <w:rFonts w:ascii="Times New Roman" w:hAnsi="Times New Roman" w:cs="Times New Roman"/>
                      <w:sz w:val="16"/>
                      <w:szCs w:val="16"/>
                    </w:rPr>
                    <w:t>socio-économiques</w:t>
                  </w:r>
                </w:p>
              </w:tc>
              <w:tc>
                <w:tcPr>
                  <w:tcW w:w="27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87AC7" w:rsidRPr="003E743A" w:rsidRDefault="00787AC7" w:rsidP="00787AC7">
                  <w:pPr>
                    <w:spacing w:after="0"/>
                    <w:jc w:val="both"/>
                    <w:rPr>
                      <w:rFonts w:ascii="Times New Roman" w:hAnsi="Times New Roman" w:cs="Times New Roman"/>
                      <w:sz w:val="24"/>
                      <w:szCs w:val="24"/>
                    </w:rPr>
                  </w:pPr>
                </w:p>
              </w:tc>
              <w:tc>
                <w:tcPr>
                  <w:tcW w:w="31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87AC7" w:rsidRPr="003E743A" w:rsidRDefault="00787AC7" w:rsidP="00787AC7">
                  <w:pPr>
                    <w:spacing w:after="0"/>
                    <w:jc w:val="both"/>
                    <w:rPr>
                      <w:rFonts w:ascii="Times New Roman" w:hAnsi="Times New Roman" w:cs="Times New Roman"/>
                      <w:sz w:val="24"/>
                      <w:szCs w:val="24"/>
                    </w:rPr>
                  </w:pPr>
                  <w:r w:rsidRPr="003E743A">
                    <w:rPr>
                      <w:rFonts w:ascii="Times New Roman" w:hAnsi="Times New Roman" w:cs="Times New Roman"/>
                      <w:sz w:val="24"/>
                      <w:szCs w:val="24"/>
                    </w:rPr>
                    <w:t>*</w:t>
                  </w:r>
                </w:p>
              </w:tc>
              <w:tc>
                <w:tcPr>
                  <w:tcW w:w="22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87AC7" w:rsidRPr="003E743A" w:rsidRDefault="00787AC7" w:rsidP="00787AC7">
                  <w:pPr>
                    <w:spacing w:after="0"/>
                    <w:jc w:val="both"/>
                    <w:rPr>
                      <w:rFonts w:ascii="Times New Roman" w:hAnsi="Times New Roman" w:cs="Times New Roman"/>
                      <w:sz w:val="24"/>
                      <w:szCs w:val="24"/>
                    </w:rPr>
                  </w:pPr>
                  <w:r w:rsidRPr="003E743A">
                    <w:rPr>
                      <w:rFonts w:ascii="Times New Roman" w:hAnsi="Times New Roman" w:cs="Times New Roman"/>
                      <w:sz w:val="24"/>
                      <w:szCs w:val="24"/>
                    </w:rPr>
                    <w:t>*</w:t>
                  </w:r>
                </w:p>
              </w:tc>
              <w:tc>
                <w:tcPr>
                  <w:tcW w:w="22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87AC7" w:rsidRPr="003E743A" w:rsidRDefault="00787AC7" w:rsidP="00787AC7">
                  <w:pPr>
                    <w:spacing w:after="0"/>
                    <w:jc w:val="both"/>
                    <w:rPr>
                      <w:rFonts w:ascii="Times New Roman" w:hAnsi="Times New Roman" w:cs="Times New Roman"/>
                      <w:sz w:val="24"/>
                      <w:szCs w:val="24"/>
                    </w:rPr>
                  </w:pPr>
                  <w:r w:rsidRPr="003E743A">
                    <w:rPr>
                      <w:rFonts w:ascii="Times New Roman" w:hAnsi="Times New Roman" w:cs="Times New Roman"/>
                      <w:sz w:val="24"/>
                      <w:szCs w:val="24"/>
                    </w:rPr>
                    <w:t>*</w:t>
                  </w:r>
                </w:p>
              </w:tc>
              <w:tc>
                <w:tcPr>
                  <w:tcW w:w="18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87AC7" w:rsidRPr="003E743A" w:rsidRDefault="00787AC7" w:rsidP="00787AC7">
                  <w:pPr>
                    <w:spacing w:after="0"/>
                    <w:jc w:val="both"/>
                    <w:rPr>
                      <w:rFonts w:ascii="Times New Roman" w:hAnsi="Times New Roman" w:cs="Times New Roman"/>
                      <w:sz w:val="24"/>
                      <w:szCs w:val="24"/>
                    </w:rPr>
                  </w:pPr>
                  <w:r w:rsidRPr="003E743A">
                    <w:rPr>
                      <w:rFonts w:ascii="Times New Roman" w:hAnsi="Times New Roman" w:cs="Times New Roman"/>
                      <w:sz w:val="24"/>
                      <w:szCs w:val="24"/>
                    </w:rPr>
                    <w:t>*</w:t>
                  </w:r>
                </w:p>
              </w:tc>
              <w:tc>
                <w:tcPr>
                  <w:tcW w:w="226" w:type="pct"/>
                  <w:tcBorders>
                    <w:top w:val="single" w:sz="4" w:space="0" w:color="auto"/>
                    <w:left w:val="single" w:sz="4" w:space="0" w:color="auto"/>
                    <w:bottom w:val="single" w:sz="4" w:space="0" w:color="auto"/>
                    <w:right w:val="single" w:sz="4" w:space="0" w:color="auto"/>
                  </w:tcBorders>
                  <w:shd w:val="clear" w:color="auto" w:fill="FFFFFF" w:themeFill="background1"/>
                </w:tcPr>
                <w:p w:rsidR="00787AC7" w:rsidRPr="003E743A" w:rsidRDefault="00787AC7" w:rsidP="00787AC7">
                  <w:pPr>
                    <w:spacing w:after="0"/>
                    <w:jc w:val="both"/>
                    <w:rPr>
                      <w:rFonts w:ascii="Times New Roman" w:hAnsi="Times New Roman" w:cs="Times New Roman"/>
                      <w:sz w:val="24"/>
                      <w:szCs w:val="24"/>
                    </w:rPr>
                  </w:pPr>
                </w:p>
              </w:tc>
              <w:tc>
                <w:tcPr>
                  <w:tcW w:w="181" w:type="pct"/>
                  <w:tcBorders>
                    <w:top w:val="single" w:sz="4" w:space="0" w:color="auto"/>
                    <w:left w:val="single" w:sz="4" w:space="0" w:color="auto"/>
                    <w:bottom w:val="single" w:sz="4" w:space="0" w:color="auto"/>
                    <w:right w:val="single" w:sz="4" w:space="0" w:color="auto"/>
                  </w:tcBorders>
                  <w:shd w:val="clear" w:color="auto" w:fill="FFFFFF" w:themeFill="background1"/>
                </w:tcPr>
                <w:p w:rsidR="00787AC7" w:rsidRPr="003E743A" w:rsidRDefault="00787AC7" w:rsidP="00787AC7">
                  <w:pPr>
                    <w:spacing w:after="0"/>
                    <w:jc w:val="both"/>
                    <w:rPr>
                      <w:rFonts w:ascii="Times New Roman" w:hAnsi="Times New Roman" w:cs="Times New Roman"/>
                      <w:sz w:val="24"/>
                      <w:szCs w:val="24"/>
                    </w:rPr>
                  </w:pPr>
                </w:p>
              </w:tc>
              <w:tc>
                <w:tcPr>
                  <w:tcW w:w="227" w:type="pct"/>
                  <w:tcBorders>
                    <w:top w:val="single" w:sz="4" w:space="0" w:color="auto"/>
                    <w:left w:val="single" w:sz="4" w:space="0" w:color="auto"/>
                    <w:bottom w:val="single" w:sz="4" w:space="0" w:color="auto"/>
                    <w:right w:val="single" w:sz="4" w:space="0" w:color="auto"/>
                  </w:tcBorders>
                  <w:shd w:val="clear" w:color="auto" w:fill="FFFFFF" w:themeFill="background1"/>
                </w:tcPr>
                <w:p w:rsidR="00787AC7" w:rsidRPr="003E743A" w:rsidRDefault="00787AC7" w:rsidP="00787AC7">
                  <w:pPr>
                    <w:spacing w:after="0"/>
                    <w:jc w:val="both"/>
                    <w:rPr>
                      <w:rFonts w:ascii="Times New Roman" w:hAnsi="Times New Roman" w:cs="Times New Roman"/>
                      <w:sz w:val="24"/>
                      <w:szCs w:val="24"/>
                    </w:rPr>
                  </w:pPr>
                </w:p>
              </w:tc>
              <w:tc>
                <w:tcPr>
                  <w:tcW w:w="181" w:type="pct"/>
                  <w:tcBorders>
                    <w:top w:val="single" w:sz="4" w:space="0" w:color="auto"/>
                    <w:left w:val="single" w:sz="4" w:space="0" w:color="auto"/>
                    <w:bottom w:val="single" w:sz="4" w:space="0" w:color="auto"/>
                    <w:right w:val="single" w:sz="4" w:space="0" w:color="auto"/>
                  </w:tcBorders>
                  <w:shd w:val="clear" w:color="auto" w:fill="FFFFFF" w:themeFill="background1"/>
                </w:tcPr>
                <w:p w:rsidR="00787AC7" w:rsidRPr="003E743A" w:rsidRDefault="00787AC7" w:rsidP="00787AC7">
                  <w:pPr>
                    <w:spacing w:after="0"/>
                    <w:jc w:val="both"/>
                    <w:rPr>
                      <w:rFonts w:ascii="Times New Roman" w:hAnsi="Times New Roman" w:cs="Times New Roman"/>
                      <w:sz w:val="24"/>
                      <w:szCs w:val="24"/>
                    </w:rPr>
                  </w:pPr>
                  <w:r>
                    <w:rPr>
                      <w:rFonts w:ascii="Times New Roman" w:hAnsi="Times New Roman" w:cs="Times New Roman"/>
                      <w:sz w:val="24"/>
                      <w:szCs w:val="24"/>
                    </w:rPr>
                    <w:t>*</w:t>
                  </w:r>
                </w:p>
              </w:tc>
              <w:tc>
                <w:tcPr>
                  <w:tcW w:w="22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87AC7" w:rsidRPr="003E743A" w:rsidRDefault="00787AC7" w:rsidP="00787AC7">
                  <w:pPr>
                    <w:spacing w:after="0"/>
                    <w:jc w:val="both"/>
                    <w:rPr>
                      <w:rFonts w:ascii="Times New Roman" w:hAnsi="Times New Roman" w:cs="Times New Roman"/>
                      <w:sz w:val="24"/>
                      <w:szCs w:val="24"/>
                    </w:rPr>
                  </w:pPr>
                </w:p>
              </w:tc>
              <w:tc>
                <w:tcPr>
                  <w:tcW w:w="181" w:type="pct"/>
                  <w:tcBorders>
                    <w:top w:val="single" w:sz="4" w:space="0" w:color="auto"/>
                    <w:left w:val="single" w:sz="4" w:space="0" w:color="auto"/>
                    <w:bottom w:val="single" w:sz="4" w:space="0" w:color="auto"/>
                    <w:right w:val="single" w:sz="4" w:space="0" w:color="auto"/>
                  </w:tcBorders>
                  <w:shd w:val="clear" w:color="auto" w:fill="FFFFFF" w:themeFill="background1"/>
                </w:tcPr>
                <w:p w:rsidR="00787AC7" w:rsidRPr="003E743A" w:rsidRDefault="00787AC7" w:rsidP="00787AC7">
                  <w:pPr>
                    <w:spacing w:after="0"/>
                    <w:jc w:val="both"/>
                    <w:rPr>
                      <w:rFonts w:ascii="Times New Roman" w:hAnsi="Times New Roman" w:cs="Times New Roman"/>
                      <w:sz w:val="24"/>
                      <w:szCs w:val="24"/>
                    </w:rPr>
                  </w:pPr>
                </w:p>
              </w:tc>
              <w:tc>
                <w:tcPr>
                  <w:tcW w:w="226" w:type="pct"/>
                  <w:tcBorders>
                    <w:top w:val="single" w:sz="4" w:space="0" w:color="auto"/>
                    <w:left w:val="single" w:sz="4" w:space="0" w:color="auto"/>
                    <w:bottom w:val="single" w:sz="4" w:space="0" w:color="auto"/>
                    <w:right w:val="single" w:sz="4" w:space="0" w:color="auto"/>
                  </w:tcBorders>
                  <w:shd w:val="clear" w:color="auto" w:fill="FFFFFF" w:themeFill="background1"/>
                </w:tcPr>
                <w:p w:rsidR="00787AC7" w:rsidRPr="003E743A" w:rsidRDefault="00787AC7" w:rsidP="00787AC7">
                  <w:pPr>
                    <w:spacing w:after="0"/>
                    <w:jc w:val="both"/>
                    <w:rPr>
                      <w:rFonts w:ascii="Times New Roman" w:hAnsi="Times New Roman" w:cs="Times New Roman"/>
                      <w:sz w:val="24"/>
                      <w:szCs w:val="24"/>
                    </w:rPr>
                  </w:pPr>
                  <w:r>
                    <w:rPr>
                      <w:rFonts w:ascii="Times New Roman" w:hAnsi="Times New Roman" w:cs="Times New Roman"/>
                      <w:sz w:val="24"/>
                      <w:szCs w:val="24"/>
                    </w:rPr>
                    <w:t>*</w:t>
                  </w:r>
                </w:p>
              </w:tc>
              <w:tc>
                <w:tcPr>
                  <w:tcW w:w="18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87AC7" w:rsidRPr="003E743A" w:rsidRDefault="00787AC7" w:rsidP="00787AC7">
                  <w:pPr>
                    <w:spacing w:after="0"/>
                    <w:jc w:val="both"/>
                    <w:rPr>
                      <w:rFonts w:ascii="Times New Roman" w:hAnsi="Times New Roman" w:cs="Times New Roman"/>
                      <w:sz w:val="24"/>
                      <w:szCs w:val="24"/>
                    </w:rPr>
                  </w:pPr>
                  <w:r w:rsidRPr="003E743A">
                    <w:rPr>
                      <w:rFonts w:ascii="Times New Roman" w:hAnsi="Times New Roman" w:cs="Times New Roman"/>
                      <w:sz w:val="24"/>
                      <w:szCs w:val="24"/>
                    </w:rPr>
                    <w:t>*</w:t>
                  </w:r>
                </w:p>
              </w:tc>
              <w:tc>
                <w:tcPr>
                  <w:tcW w:w="182" w:type="pct"/>
                  <w:tcBorders>
                    <w:top w:val="single" w:sz="4" w:space="0" w:color="auto"/>
                    <w:left w:val="single" w:sz="4" w:space="0" w:color="auto"/>
                    <w:bottom w:val="single" w:sz="4" w:space="0" w:color="auto"/>
                    <w:right w:val="single" w:sz="4" w:space="0" w:color="auto"/>
                  </w:tcBorders>
                  <w:shd w:val="clear" w:color="auto" w:fill="FFFFFF" w:themeFill="background1"/>
                </w:tcPr>
                <w:p w:rsidR="00787AC7" w:rsidRPr="003E743A" w:rsidRDefault="00787AC7" w:rsidP="00787AC7">
                  <w:pPr>
                    <w:spacing w:after="0"/>
                    <w:jc w:val="both"/>
                    <w:rPr>
                      <w:rFonts w:ascii="Times New Roman" w:hAnsi="Times New Roman" w:cs="Times New Roman"/>
                      <w:sz w:val="24"/>
                      <w:szCs w:val="24"/>
                    </w:rPr>
                  </w:pPr>
                  <w:r>
                    <w:rPr>
                      <w:rFonts w:ascii="Times New Roman" w:hAnsi="Times New Roman" w:cs="Times New Roman"/>
                      <w:sz w:val="24"/>
                      <w:szCs w:val="24"/>
                    </w:rPr>
                    <w:t>*</w:t>
                  </w:r>
                </w:p>
              </w:tc>
              <w:tc>
                <w:tcPr>
                  <w:tcW w:w="181" w:type="pct"/>
                  <w:tcBorders>
                    <w:top w:val="single" w:sz="4" w:space="0" w:color="auto"/>
                    <w:left w:val="single" w:sz="4" w:space="0" w:color="auto"/>
                    <w:bottom w:val="single" w:sz="4" w:space="0" w:color="auto"/>
                    <w:right w:val="single" w:sz="4" w:space="0" w:color="auto"/>
                  </w:tcBorders>
                  <w:shd w:val="clear" w:color="auto" w:fill="FFFFFF" w:themeFill="background1"/>
                </w:tcPr>
                <w:p w:rsidR="00787AC7" w:rsidRPr="003E743A" w:rsidRDefault="00787AC7" w:rsidP="00787AC7">
                  <w:pPr>
                    <w:spacing w:after="0"/>
                    <w:jc w:val="both"/>
                    <w:rPr>
                      <w:rFonts w:ascii="Times New Roman" w:hAnsi="Times New Roman" w:cs="Times New Roman"/>
                      <w:sz w:val="24"/>
                      <w:szCs w:val="24"/>
                    </w:rPr>
                  </w:pPr>
                  <w:r>
                    <w:rPr>
                      <w:rFonts w:ascii="Times New Roman" w:hAnsi="Times New Roman" w:cs="Times New Roman"/>
                      <w:sz w:val="24"/>
                      <w:szCs w:val="24"/>
                    </w:rPr>
                    <w:t>*</w:t>
                  </w:r>
                </w:p>
              </w:tc>
              <w:tc>
                <w:tcPr>
                  <w:tcW w:w="202" w:type="pct"/>
                  <w:tcBorders>
                    <w:top w:val="single" w:sz="4" w:space="0" w:color="auto"/>
                    <w:left w:val="single" w:sz="4" w:space="0" w:color="auto"/>
                    <w:bottom w:val="single" w:sz="4" w:space="0" w:color="auto"/>
                    <w:right w:val="single" w:sz="4" w:space="0" w:color="auto"/>
                  </w:tcBorders>
                  <w:shd w:val="clear" w:color="auto" w:fill="FFFFFF" w:themeFill="background1"/>
                </w:tcPr>
                <w:p w:rsidR="00787AC7" w:rsidRPr="003E743A" w:rsidRDefault="00787AC7" w:rsidP="00787AC7">
                  <w:pPr>
                    <w:spacing w:after="0"/>
                    <w:jc w:val="both"/>
                    <w:rPr>
                      <w:rFonts w:ascii="Times New Roman" w:hAnsi="Times New Roman" w:cs="Times New Roman"/>
                      <w:sz w:val="24"/>
                      <w:szCs w:val="24"/>
                    </w:rPr>
                  </w:pPr>
                  <w:r>
                    <w:rPr>
                      <w:rFonts w:ascii="Times New Roman" w:hAnsi="Times New Roman" w:cs="Times New Roman"/>
                      <w:sz w:val="24"/>
                      <w:szCs w:val="24"/>
                    </w:rPr>
                    <w:t>*</w:t>
                  </w:r>
                </w:p>
              </w:tc>
              <w:tc>
                <w:tcPr>
                  <w:tcW w:w="18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87AC7" w:rsidRPr="003E743A" w:rsidRDefault="00787AC7" w:rsidP="00787AC7">
                  <w:pPr>
                    <w:spacing w:after="0"/>
                    <w:jc w:val="both"/>
                    <w:rPr>
                      <w:rFonts w:ascii="Times New Roman" w:hAnsi="Times New Roman" w:cs="Times New Roman"/>
                      <w:sz w:val="24"/>
                      <w:szCs w:val="24"/>
                    </w:rPr>
                  </w:pPr>
                  <w:r w:rsidRPr="003E743A">
                    <w:rPr>
                      <w:rFonts w:ascii="Times New Roman" w:hAnsi="Times New Roman" w:cs="Times New Roman"/>
                      <w:sz w:val="24"/>
                      <w:szCs w:val="24"/>
                    </w:rPr>
                    <w:t>*</w:t>
                  </w:r>
                </w:p>
              </w:tc>
              <w:tc>
                <w:tcPr>
                  <w:tcW w:w="18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87AC7" w:rsidRPr="003E743A" w:rsidRDefault="00787AC7" w:rsidP="00787AC7">
                  <w:pPr>
                    <w:spacing w:after="0"/>
                    <w:jc w:val="both"/>
                    <w:rPr>
                      <w:rFonts w:ascii="Times New Roman" w:hAnsi="Times New Roman" w:cs="Times New Roman"/>
                      <w:sz w:val="24"/>
                      <w:szCs w:val="24"/>
                    </w:rPr>
                  </w:pPr>
                  <w:r w:rsidRPr="003E743A">
                    <w:rPr>
                      <w:rFonts w:ascii="Times New Roman" w:hAnsi="Times New Roman" w:cs="Times New Roman"/>
                      <w:sz w:val="24"/>
                      <w:szCs w:val="24"/>
                    </w:rPr>
                    <w:t>*</w:t>
                  </w:r>
                </w:p>
              </w:tc>
              <w:tc>
                <w:tcPr>
                  <w:tcW w:w="18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87AC7" w:rsidRPr="003E743A" w:rsidRDefault="00787AC7" w:rsidP="00787AC7">
                  <w:pPr>
                    <w:spacing w:after="0"/>
                    <w:jc w:val="both"/>
                    <w:rPr>
                      <w:rFonts w:ascii="Times New Roman" w:hAnsi="Times New Roman" w:cs="Times New Roman"/>
                      <w:sz w:val="24"/>
                      <w:szCs w:val="24"/>
                    </w:rPr>
                  </w:pPr>
                  <w:r w:rsidRPr="003E743A">
                    <w:rPr>
                      <w:rFonts w:ascii="Times New Roman" w:hAnsi="Times New Roman" w:cs="Times New Roman"/>
                      <w:sz w:val="24"/>
                      <w:szCs w:val="24"/>
                    </w:rPr>
                    <w:t>*</w:t>
                  </w:r>
                </w:p>
              </w:tc>
              <w:tc>
                <w:tcPr>
                  <w:tcW w:w="13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87AC7" w:rsidRPr="003E743A" w:rsidRDefault="00787AC7" w:rsidP="00787AC7">
                  <w:pPr>
                    <w:spacing w:after="0"/>
                    <w:jc w:val="both"/>
                    <w:rPr>
                      <w:rFonts w:ascii="Times New Roman" w:hAnsi="Times New Roman" w:cs="Times New Roman"/>
                      <w:sz w:val="24"/>
                      <w:szCs w:val="24"/>
                    </w:rPr>
                  </w:pPr>
                  <w:r w:rsidRPr="003E743A">
                    <w:rPr>
                      <w:rFonts w:ascii="Times New Roman" w:hAnsi="Times New Roman" w:cs="Times New Roman"/>
                      <w:sz w:val="24"/>
                      <w:szCs w:val="24"/>
                    </w:rPr>
                    <w:t>*</w:t>
                  </w:r>
                </w:p>
              </w:tc>
              <w:tc>
                <w:tcPr>
                  <w:tcW w:w="12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87AC7" w:rsidRPr="003E743A" w:rsidRDefault="00BE1691" w:rsidP="00787AC7">
                  <w:pPr>
                    <w:spacing w:after="0"/>
                    <w:jc w:val="both"/>
                    <w:rPr>
                      <w:rFonts w:ascii="Times New Roman" w:hAnsi="Times New Roman" w:cs="Times New Roman"/>
                      <w:sz w:val="24"/>
                      <w:szCs w:val="24"/>
                    </w:rPr>
                  </w:pPr>
                  <w:r>
                    <w:rPr>
                      <w:rFonts w:ascii="Times New Roman" w:hAnsi="Times New Roman" w:cs="Times New Roman"/>
                      <w:sz w:val="24"/>
                      <w:szCs w:val="24"/>
                    </w:rPr>
                    <w:t>*</w:t>
                  </w:r>
                </w:p>
              </w:tc>
            </w:tr>
            <w:tr w:rsidR="00787AC7" w:rsidRPr="003E743A" w:rsidTr="00787AC7">
              <w:trPr>
                <w:trHeight w:val="153"/>
              </w:trPr>
              <w:tc>
                <w:tcPr>
                  <w:tcW w:w="142" w:type="pct"/>
                  <w:vMerge/>
                  <w:tcBorders>
                    <w:top w:val="single" w:sz="4" w:space="0" w:color="auto"/>
                    <w:left w:val="single" w:sz="4" w:space="0" w:color="auto"/>
                    <w:bottom w:val="single" w:sz="4" w:space="0" w:color="auto"/>
                    <w:right w:val="single" w:sz="4" w:space="0" w:color="auto"/>
                  </w:tcBorders>
                  <w:shd w:val="clear" w:color="auto" w:fill="F2F2F2"/>
                  <w:vAlign w:val="center"/>
                </w:tcPr>
                <w:p w:rsidR="00787AC7" w:rsidRPr="003E743A" w:rsidRDefault="00787AC7" w:rsidP="00787AC7">
                  <w:pPr>
                    <w:spacing w:after="0"/>
                    <w:jc w:val="both"/>
                    <w:rPr>
                      <w:rFonts w:ascii="Times New Roman" w:hAnsi="Times New Roman" w:cs="Times New Roman"/>
                      <w:sz w:val="18"/>
                      <w:szCs w:val="18"/>
                    </w:rPr>
                  </w:pPr>
                </w:p>
              </w:tc>
              <w:tc>
                <w:tcPr>
                  <w:tcW w:w="142" w:type="pct"/>
                  <w:vMerge w:val="restart"/>
                  <w:tcBorders>
                    <w:top w:val="single" w:sz="4" w:space="0" w:color="auto"/>
                    <w:left w:val="single" w:sz="4" w:space="0" w:color="auto"/>
                    <w:bottom w:val="single" w:sz="4" w:space="0" w:color="auto"/>
                    <w:right w:val="single" w:sz="4" w:space="0" w:color="auto"/>
                  </w:tcBorders>
                  <w:shd w:val="clear" w:color="auto" w:fill="F2F2F2"/>
                  <w:textDirection w:val="btLr"/>
                  <w:vAlign w:val="center"/>
                </w:tcPr>
                <w:p w:rsidR="00787AC7" w:rsidRPr="003E743A" w:rsidRDefault="00787AC7" w:rsidP="00787AC7">
                  <w:pPr>
                    <w:spacing w:after="0"/>
                    <w:jc w:val="center"/>
                    <w:rPr>
                      <w:rFonts w:ascii="Times New Roman" w:hAnsi="Times New Roman" w:cs="Times New Roman"/>
                      <w:sz w:val="16"/>
                      <w:szCs w:val="16"/>
                    </w:rPr>
                  </w:pPr>
                  <w:r w:rsidRPr="003E743A">
                    <w:rPr>
                      <w:rFonts w:ascii="Times New Roman" w:hAnsi="Times New Roman" w:cs="Times New Roman"/>
                      <w:sz w:val="16"/>
                      <w:szCs w:val="16"/>
                    </w:rPr>
                    <w:t>CADRE DE VIE</w:t>
                  </w:r>
                </w:p>
              </w:tc>
              <w:tc>
                <w:tcPr>
                  <w:tcW w:w="480" w:type="pct"/>
                  <w:tcBorders>
                    <w:top w:val="single" w:sz="4" w:space="0" w:color="auto"/>
                    <w:left w:val="single" w:sz="4" w:space="0" w:color="auto"/>
                    <w:bottom w:val="single" w:sz="4" w:space="0" w:color="auto"/>
                    <w:right w:val="single" w:sz="4" w:space="0" w:color="auto"/>
                  </w:tcBorders>
                  <w:shd w:val="clear" w:color="auto" w:fill="F2F2F2"/>
                  <w:vAlign w:val="center"/>
                </w:tcPr>
                <w:p w:rsidR="00787AC7" w:rsidRPr="003E743A" w:rsidRDefault="00787AC7" w:rsidP="00787AC7">
                  <w:pPr>
                    <w:spacing w:after="0"/>
                    <w:jc w:val="both"/>
                    <w:rPr>
                      <w:rFonts w:ascii="Times New Roman" w:hAnsi="Times New Roman" w:cs="Times New Roman"/>
                      <w:sz w:val="16"/>
                      <w:szCs w:val="16"/>
                    </w:rPr>
                  </w:pPr>
                  <w:r w:rsidRPr="003E743A">
                    <w:rPr>
                      <w:rFonts w:ascii="Times New Roman" w:hAnsi="Times New Roman" w:cs="Times New Roman"/>
                      <w:sz w:val="16"/>
                      <w:szCs w:val="16"/>
                    </w:rPr>
                    <w:t>Qualité paysagère</w:t>
                  </w:r>
                </w:p>
              </w:tc>
              <w:tc>
                <w:tcPr>
                  <w:tcW w:w="27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87AC7" w:rsidRPr="003E743A" w:rsidRDefault="00787AC7" w:rsidP="00787AC7">
                  <w:pPr>
                    <w:spacing w:after="0"/>
                    <w:jc w:val="both"/>
                    <w:rPr>
                      <w:rFonts w:ascii="Times New Roman" w:hAnsi="Times New Roman" w:cs="Times New Roman"/>
                      <w:sz w:val="24"/>
                      <w:szCs w:val="24"/>
                    </w:rPr>
                  </w:pPr>
                  <w:r>
                    <w:rPr>
                      <w:rFonts w:ascii="Times New Roman" w:hAnsi="Times New Roman" w:cs="Times New Roman"/>
                      <w:sz w:val="24"/>
                      <w:szCs w:val="24"/>
                    </w:rPr>
                    <w:t>*</w:t>
                  </w:r>
                </w:p>
              </w:tc>
              <w:tc>
                <w:tcPr>
                  <w:tcW w:w="31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87AC7" w:rsidRPr="003E743A" w:rsidRDefault="00787AC7" w:rsidP="00787AC7">
                  <w:pPr>
                    <w:spacing w:after="0"/>
                    <w:jc w:val="both"/>
                    <w:rPr>
                      <w:rFonts w:ascii="Times New Roman" w:hAnsi="Times New Roman" w:cs="Times New Roman"/>
                      <w:sz w:val="24"/>
                      <w:szCs w:val="24"/>
                    </w:rPr>
                  </w:pPr>
                  <w:r w:rsidRPr="003E743A">
                    <w:rPr>
                      <w:rFonts w:ascii="Times New Roman" w:hAnsi="Times New Roman" w:cs="Times New Roman"/>
                      <w:sz w:val="24"/>
                      <w:szCs w:val="24"/>
                    </w:rPr>
                    <w:t>*</w:t>
                  </w:r>
                </w:p>
              </w:tc>
              <w:tc>
                <w:tcPr>
                  <w:tcW w:w="22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87AC7" w:rsidRPr="003E743A" w:rsidRDefault="00787AC7" w:rsidP="00787AC7">
                  <w:pPr>
                    <w:pStyle w:val="StyleListe-"/>
                    <w:numPr>
                      <w:ilvl w:val="0"/>
                      <w:numId w:val="0"/>
                    </w:numPr>
                    <w:ind w:left="360"/>
                  </w:pPr>
                  <w:r>
                    <w:t>*</w:t>
                  </w:r>
                </w:p>
              </w:tc>
              <w:tc>
                <w:tcPr>
                  <w:tcW w:w="227" w:type="pct"/>
                  <w:tcBorders>
                    <w:top w:val="single" w:sz="4" w:space="0" w:color="auto"/>
                    <w:left w:val="single" w:sz="4" w:space="0" w:color="auto"/>
                    <w:bottom w:val="single" w:sz="4" w:space="0" w:color="auto"/>
                    <w:right w:val="single" w:sz="4" w:space="0" w:color="auto"/>
                  </w:tcBorders>
                  <w:shd w:val="clear" w:color="auto" w:fill="FFFFFF" w:themeFill="background1"/>
                </w:tcPr>
                <w:p w:rsidR="00787AC7" w:rsidRPr="003E743A" w:rsidRDefault="00787AC7" w:rsidP="00787AC7">
                  <w:pPr>
                    <w:spacing w:after="0"/>
                    <w:jc w:val="both"/>
                    <w:rPr>
                      <w:rFonts w:ascii="Times New Roman" w:hAnsi="Times New Roman" w:cs="Times New Roman"/>
                      <w:sz w:val="24"/>
                      <w:szCs w:val="24"/>
                    </w:rPr>
                  </w:pPr>
                </w:p>
              </w:tc>
              <w:tc>
                <w:tcPr>
                  <w:tcW w:w="181" w:type="pct"/>
                  <w:tcBorders>
                    <w:top w:val="single" w:sz="4" w:space="0" w:color="auto"/>
                    <w:left w:val="single" w:sz="4" w:space="0" w:color="auto"/>
                    <w:bottom w:val="single" w:sz="4" w:space="0" w:color="auto"/>
                    <w:right w:val="single" w:sz="4" w:space="0" w:color="auto"/>
                  </w:tcBorders>
                  <w:shd w:val="clear" w:color="auto" w:fill="FFFFFF" w:themeFill="background1"/>
                </w:tcPr>
                <w:p w:rsidR="00787AC7" w:rsidRPr="003E743A" w:rsidRDefault="00787AC7" w:rsidP="00787AC7">
                  <w:pPr>
                    <w:spacing w:after="0"/>
                    <w:jc w:val="both"/>
                    <w:rPr>
                      <w:rFonts w:ascii="Times New Roman" w:hAnsi="Times New Roman" w:cs="Times New Roman"/>
                      <w:sz w:val="24"/>
                      <w:szCs w:val="24"/>
                    </w:rPr>
                  </w:pPr>
                </w:p>
              </w:tc>
              <w:tc>
                <w:tcPr>
                  <w:tcW w:w="226" w:type="pct"/>
                  <w:tcBorders>
                    <w:top w:val="single" w:sz="4" w:space="0" w:color="auto"/>
                    <w:left w:val="single" w:sz="4" w:space="0" w:color="auto"/>
                    <w:bottom w:val="single" w:sz="4" w:space="0" w:color="auto"/>
                    <w:right w:val="single" w:sz="4" w:space="0" w:color="auto"/>
                  </w:tcBorders>
                  <w:shd w:val="clear" w:color="auto" w:fill="FFFFFF" w:themeFill="background1"/>
                </w:tcPr>
                <w:p w:rsidR="00787AC7" w:rsidRPr="003E743A" w:rsidRDefault="00787AC7" w:rsidP="00787AC7">
                  <w:pPr>
                    <w:spacing w:after="0"/>
                    <w:jc w:val="both"/>
                    <w:rPr>
                      <w:rFonts w:ascii="Times New Roman" w:hAnsi="Times New Roman" w:cs="Times New Roman"/>
                      <w:sz w:val="24"/>
                      <w:szCs w:val="24"/>
                    </w:rPr>
                  </w:pPr>
                </w:p>
              </w:tc>
              <w:tc>
                <w:tcPr>
                  <w:tcW w:w="18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87AC7" w:rsidRPr="003E743A" w:rsidRDefault="00787AC7" w:rsidP="00787AC7">
                  <w:pPr>
                    <w:spacing w:after="0"/>
                    <w:jc w:val="both"/>
                    <w:rPr>
                      <w:rFonts w:ascii="Times New Roman" w:hAnsi="Times New Roman" w:cs="Times New Roman"/>
                      <w:sz w:val="24"/>
                      <w:szCs w:val="24"/>
                    </w:rPr>
                  </w:pPr>
                  <w:r w:rsidRPr="003E743A">
                    <w:rPr>
                      <w:rFonts w:ascii="Times New Roman" w:hAnsi="Times New Roman" w:cs="Times New Roman"/>
                      <w:sz w:val="24"/>
                      <w:szCs w:val="24"/>
                    </w:rPr>
                    <w:t>*</w:t>
                  </w:r>
                </w:p>
              </w:tc>
              <w:tc>
                <w:tcPr>
                  <w:tcW w:w="22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87AC7" w:rsidRPr="003E743A" w:rsidRDefault="00787AC7" w:rsidP="00787AC7">
                  <w:pPr>
                    <w:spacing w:after="0"/>
                    <w:jc w:val="both"/>
                    <w:rPr>
                      <w:rFonts w:ascii="Times New Roman" w:hAnsi="Times New Roman" w:cs="Times New Roman"/>
                      <w:sz w:val="24"/>
                      <w:szCs w:val="24"/>
                    </w:rPr>
                  </w:pPr>
                  <w:r w:rsidRPr="003E743A">
                    <w:rPr>
                      <w:rFonts w:ascii="Times New Roman" w:hAnsi="Times New Roman" w:cs="Times New Roman"/>
                      <w:sz w:val="24"/>
                      <w:szCs w:val="24"/>
                    </w:rPr>
                    <w:t>*</w:t>
                  </w:r>
                </w:p>
              </w:tc>
              <w:tc>
                <w:tcPr>
                  <w:tcW w:w="18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87AC7" w:rsidRPr="003E743A" w:rsidRDefault="00787AC7" w:rsidP="00787AC7">
                  <w:pPr>
                    <w:spacing w:after="0"/>
                    <w:jc w:val="both"/>
                    <w:rPr>
                      <w:rFonts w:ascii="Times New Roman" w:hAnsi="Times New Roman" w:cs="Times New Roman"/>
                      <w:sz w:val="24"/>
                      <w:szCs w:val="24"/>
                    </w:rPr>
                  </w:pPr>
                </w:p>
              </w:tc>
              <w:tc>
                <w:tcPr>
                  <w:tcW w:w="226" w:type="pct"/>
                  <w:tcBorders>
                    <w:top w:val="single" w:sz="4" w:space="0" w:color="auto"/>
                    <w:left w:val="single" w:sz="4" w:space="0" w:color="auto"/>
                    <w:bottom w:val="single" w:sz="4" w:space="0" w:color="auto"/>
                    <w:right w:val="single" w:sz="4" w:space="0" w:color="auto"/>
                  </w:tcBorders>
                  <w:shd w:val="clear" w:color="auto" w:fill="FFFFFF" w:themeFill="background1"/>
                </w:tcPr>
                <w:p w:rsidR="00787AC7" w:rsidRPr="003E743A" w:rsidRDefault="00787AC7" w:rsidP="00787AC7">
                  <w:pPr>
                    <w:spacing w:after="0"/>
                    <w:jc w:val="both"/>
                    <w:rPr>
                      <w:rFonts w:ascii="Times New Roman" w:hAnsi="Times New Roman" w:cs="Times New Roman"/>
                      <w:sz w:val="24"/>
                      <w:szCs w:val="24"/>
                    </w:rPr>
                  </w:pPr>
                  <w:r>
                    <w:rPr>
                      <w:rFonts w:ascii="Times New Roman" w:hAnsi="Times New Roman" w:cs="Times New Roman"/>
                      <w:sz w:val="24"/>
                      <w:szCs w:val="24"/>
                    </w:rPr>
                    <w:t>*</w:t>
                  </w:r>
                </w:p>
              </w:tc>
              <w:tc>
                <w:tcPr>
                  <w:tcW w:w="18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87AC7" w:rsidRPr="003E743A" w:rsidRDefault="00787AC7" w:rsidP="00787AC7">
                  <w:pPr>
                    <w:spacing w:after="0"/>
                    <w:jc w:val="both"/>
                    <w:rPr>
                      <w:rFonts w:ascii="Times New Roman" w:hAnsi="Times New Roman" w:cs="Times New Roman"/>
                      <w:sz w:val="24"/>
                      <w:szCs w:val="24"/>
                    </w:rPr>
                  </w:pPr>
                </w:p>
              </w:tc>
              <w:tc>
                <w:tcPr>
                  <w:tcW w:w="226" w:type="pct"/>
                  <w:tcBorders>
                    <w:top w:val="single" w:sz="4" w:space="0" w:color="auto"/>
                    <w:left w:val="single" w:sz="4" w:space="0" w:color="auto"/>
                    <w:bottom w:val="single" w:sz="4" w:space="0" w:color="auto"/>
                    <w:right w:val="single" w:sz="4" w:space="0" w:color="auto"/>
                  </w:tcBorders>
                  <w:shd w:val="clear" w:color="auto" w:fill="FFFFFF" w:themeFill="background1"/>
                </w:tcPr>
                <w:p w:rsidR="00787AC7" w:rsidRPr="003E743A" w:rsidRDefault="00787AC7" w:rsidP="00787AC7">
                  <w:pPr>
                    <w:spacing w:after="0"/>
                    <w:jc w:val="both"/>
                    <w:rPr>
                      <w:rFonts w:ascii="Times New Roman" w:hAnsi="Times New Roman" w:cs="Times New Roman"/>
                      <w:sz w:val="24"/>
                      <w:szCs w:val="24"/>
                    </w:rPr>
                  </w:pPr>
                  <w:r>
                    <w:rPr>
                      <w:rFonts w:ascii="Times New Roman" w:hAnsi="Times New Roman" w:cs="Times New Roman"/>
                      <w:sz w:val="24"/>
                      <w:szCs w:val="24"/>
                    </w:rPr>
                    <w:t>*</w:t>
                  </w:r>
                </w:p>
              </w:tc>
              <w:tc>
                <w:tcPr>
                  <w:tcW w:w="182" w:type="pct"/>
                  <w:tcBorders>
                    <w:top w:val="single" w:sz="4" w:space="0" w:color="auto"/>
                    <w:left w:val="single" w:sz="4" w:space="0" w:color="auto"/>
                    <w:bottom w:val="single" w:sz="4" w:space="0" w:color="auto"/>
                    <w:right w:val="single" w:sz="4" w:space="0" w:color="auto"/>
                  </w:tcBorders>
                  <w:shd w:val="clear" w:color="auto" w:fill="FFFFFF" w:themeFill="background1"/>
                </w:tcPr>
                <w:p w:rsidR="00787AC7" w:rsidRPr="003E743A" w:rsidRDefault="00787AC7" w:rsidP="00787AC7">
                  <w:pPr>
                    <w:spacing w:after="0"/>
                    <w:jc w:val="both"/>
                    <w:rPr>
                      <w:rFonts w:ascii="Times New Roman" w:hAnsi="Times New Roman" w:cs="Times New Roman"/>
                      <w:sz w:val="24"/>
                      <w:szCs w:val="24"/>
                    </w:rPr>
                  </w:pPr>
                  <w:r>
                    <w:rPr>
                      <w:rFonts w:ascii="Times New Roman" w:hAnsi="Times New Roman" w:cs="Times New Roman"/>
                      <w:sz w:val="24"/>
                      <w:szCs w:val="24"/>
                    </w:rPr>
                    <w:t>*</w:t>
                  </w:r>
                </w:p>
              </w:tc>
              <w:tc>
                <w:tcPr>
                  <w:tcW w:w="182" w:type="pct"/>
                  <w:tcBorders>
                    <w:top w:val="single" w:sz="4" w:space="0" w:color="auto"/>
                    <w:left w:val="single" w:sz="4" w:space="0" w:color="auto"/>
                    <w:bottom w:val="single" w:sz="4" w:space="0" w:color="auto"/>
                    <w:right w:val="single" w:sz="4" w:space="0" w:color="auto"/>
                  </w:tcBorders>
                  <w:shd w:val="clear" w:color="auto" w:fill="FFFFFF" w:themeFill="background1"/>
                </w:tcPr>
                <w:p w:rsidR="00787AC7" w:rsidRPr="003E743A" w:rsidRDefault="00787AC7" w:rsidP="00787AC7">
                  <w:pPr>
                    <w:spacing w:after="0"/>
                    <w:jc w:val="both"/>
                    <w:rPr>
                      <w:rFonts w:ascii="Times New Roman" w:hAnsi="Times New Roman" w:cs="Times New Roman"/>
                      <w:sz w:val="24"/>
                      <w:szCs w:val="24"/>
                    </w:rPr>
                  </w:pPr>
                  <w:r>
                    <w:rPr>
                      <w:rFonts w:ascii="Times New Roman" w:hAnsi="Times New Roman" w:cs="Times New Roman"/>
                      <w:sz w:val="24"/>
                      <w:szCs w:val="24"/>
                    </w:rPr>
                    <w:t>*</w:t>
                  </w:r>
                </w:p>
              </w:tc>
              <w:tc>
                <w:tcPr>
                  <w:tcW w:w="18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87AC7" w:rsidRPr="003E743A" w:rsidRDefault="00787AC7" w:rsidP="00787AC7">
                  <w:pPr>
                    <w:spacing w:after="0"/>
                    <w:jc w:val="both"/>
                    <w:rPr>
                      <w:rFonts w:ascii="Times New Roman" w:hAnsi="Times New Roman" w:cs="Times New Roman"/>
                      <w:sz w:val="24"/>
                      <w:szCs w:val="24"/>
                    </w:rPr>
                  </w:pPr>
                  <w:r w:rsidRPr="003E743A">
                    <w:rPr>
                      <w:rFonts w:ascii="Times New Roman" w:hAnsi="Times New Roman" w:cs="Times New Roman"/>
                      <w:sz w:val="24"/>
                      <w:szCs w:val="24"/>
                    </w:rPr>
                    <w:t>*</w:t>
                  </w:r>
                </w:p>
              </w:tc>
              <w:tc>
                <w:tcPr>
                  <w:tcW w:w="20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87AC7" w:rsidRPr="003E743A" w:rsidRDefault="00787AC7" w:rsidP="00787AC7">
                  <w:pPr>
                    <w:spacing w:after="0"/>
                    <w:jc w:val="both"/>
                    <w:rPr>
                      <w:rFonts w:ascii="Times New Roman" w:hAnsi="Times New Roman" w:cs="Times New Roman"/>
                      <w:sz w:val="24"/>
                      <w:szCs w:val="24"/>
                    </w:rPr>
                  </w:pPr>
                  <w:r w:rsidRPr="003E743A">
                    <w:rPr>
                      <w:rFonts w:ascii="Times New Roman" w:hAnsi="Times New Roman" w:cs="Times New Roman"/>
                      <w:sz w:val="24"/>
                      <w:szCs w:val="24"/>
                    </w:rPr>
                    <w:t>*</w:t>
                  </w:r>
                </w:p>
              </w:tc>
              <w:tc>
                <w:tcPr>
                  <w:tcW w:w="18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87AC7" w:rsidRPr="003E743A" w:rsidRDefault="00787AC7" w:rsidP="00787AC7">
                  <w:pPr>
                    <w:spacing w:after="0"/>
                    <w:jc w:val="both"/>
                    <w:rPr>
                      <w:rFonts w:ascii="Times New Roman" w:hAnsi="Times New Roman" w:cs="Times New Roman"/>
                      <w:sz w:val="24"/>
                      <w:szCs w:val="24"/>
                    </w:rPr>
                  </w:pPr>
                  <w:r w:rsidRPr="003E743A">
                    <w:rPr>
                      <w:rFonts w:ascii="Times New Roman" w:hAnsi="Times New Roman" w:cs="Times New Roman"/>
                      <w:sz w:val="24"/>
                      <w:szCs w:val="24"/>
                    </w:rPr>
                    <w:t>*</w:t>
                  </w:r>
                </w:p>
              </w:tc>
              <w:tc>
                <w:tcPr>
                  <w:tcW w:w="18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87AC7" w:rsidRPr="003E743A" w:rsidRDefault="00787AC7" w:rsidP="00787AC7">
                  <w:pPr>
                    <w:spacing w:after="0"/>
                    <w:jc w:val="both"/>
                    <w:rPr>
                      <w:rFonts w:ascii="Times New Roman" w:hAnsi="Times New Roman" w:cs="Times New Roman"/>
                      <w:sz w:val="24"/>
                      <w:szCs w:val="24"/>
                    </w:rPr>
                  </w:pPr>
                </w:p>
              </w:tc>
              <w:tc>
                <w:tcPr>
                  <w:tcW w:w="182" w:type="pct"/>
                  <w:tcBorders>
                    <w:top w:val="single" w:sz="4" w:space="0" w:color="auto"/>
                    <w:left w:val="single" w:sz="4" w:space="0" w:color="auto"/>
                    <w:bottom w:val="single" w:sz="4" w:space="0" w:color="auto"/>
                    <w:right w:val="single" w:sz="4" w:space="0" w:color="auto"/>
                  </w:tcBorders>
                  <w:shd w:val="clear" w:color="auto" w:fill="FFFFFF" w:themeFill="background1"/>
                </w:tcPr>
                <w:p w:rsidR="00787AC7" w:rsidRPr="003E743A" w:rsidRDefault="00BE1691" w:rsidP="00787AC7">
                  <w:pPr>
                    <w:spacing w:after="0"/>
                    <w:jc w:val="both"/>
                    <w:rPr>
                      <w:rFonts w:ascii="Times New Roman" w:hAnsi="Times New Roman" w:cs="Times New Roman"/>
                      <w:sz w:val="24"/>
                      <w:szCs w:val="24"/>
                    </w:rPr>
                  </w:pPr>
                  <w:r>
                    <w:rPr>
                      <w:rFonts w:ascii="Times New Roman" w:hAnsi="Times New Roman" w:cs="Times New Roman"/>
                      <w:sz w:val="24"/>
                      <w:szCs w:val="24"/>
                    </w:rPr>
                    <w:t>*</w:t>
                  </w:r>
                </w:p>
              </w:tc>
              <w:tc>
                <w:tcPr>
                  <w:tcW w:w="138" w:type="pct"/>
                  <w:tcBorders>
                    <w:top w:val="single" w:sz="4" w:space="0" w:color="auto"/>
                    <w:left w:val="single" w:sz="4" w:space="0" w:color="auto"/>
                    <w:bottom w:val="single" w:sz="4" w:space="0" w:color="auto"/>
                    <w:right w:val="single" w:sz="4" w:space="0" w:color="auto"/>
                  </w:tcBorders>
                  <w:shd w:val="clear" w:color="auto" w:fill="FFFFFF" w:themeFill="background1"/>
                </w:tcPr>
                <w:p w:rsidR="00787AC7" w:rsidRPr="003E743A" w:rsidRDefault="00BE1691" w:rsidP="00787AC7">
                  <w:pPr>
                    <w:spacing w:after="0"/>
                    <w:jc w:val="both"/>
                    <w:rPr>
                      <w:rFonts w:ascii="Times New Roman" w:hAnsi="Times New Roman" w:cs="Times New Roman"/>
                      <w:sz w:val="24"/>
                      <w:szCs w:val="24"/>
                    </w:rPr>
                  </w:pPr>
                  <w:r>
                    <w:rPr>
                      <w:rFonts w:ascii="Times New Roman" w:hAnsi="Times New Roman" w:cs="Times New Roman"/>
                      <w:sz w:val="24"/>
                      <w:szCs w:val="24"/>
                    </w:rPr>
                    <w:t>*</w:t>
                  </w:r>
                </w:p>
              </w:tc>
              <w:tc>
                <w:tcPr>
                  <w:tcW w:w="127" w:type="pct"/>
                  <w:tcBorders>
                    <w:top w:val="single" w:sz="4" w:space="0" w:color="auto"/>
                    <w:left w:val="single" w:sz="4" w:space="0" w:color="auto"/>
                    <w:bottom w:val="single" w:sz="4" w:space="0" w:color="auto"/>
                    <w:right w:val="single" w:sz="4" w:space="0" w:color="auto"/>
                  </w:tcBorders>
                  <w:shd w:val="clear" w:color="auto" w:fill="FFFFFF" w:themeFill="background1"/>
                </w:tcPr>
                <w:p w:rsidR="00787AC7" w:rsidRPr="003E743A" w:rsidRDefault="00787AC7" w:rsidP="00787AC7">
                  <w:pPr>
                    <w:spacing w:after="0"/>
                    <w:jc w:val="both"/>
                    <w:rPr>
                      <w:rFonts w:ascii="Times New Roman" w:hAnsi="Times New Roman" w:cs="Times New Roman"/>
                      <w:sz w:val="24"/>
                      <w:szCs w:val="24"/>
                    </w:rPr>
                  </w:pPr>
                </w:p>
              </w:tc>
            </w:tr>
            <w:tr w:rsidR="00787AC7" w:rsidRPr="003E743A" w:rsidTr="00787AC7">
              <w:trPr>
                <w:trHeight w:val="144"/>
              </w:trPr>
              <w:tc>
                <w:tcPr>
                  <w:tcW w:w="142" w:type="pct"/>
                  <w:vMerge/>
                  <w:tcBorders>
                    <w:top w:val="single" w:sz="4" w:space="0" w:color="auto"/>
                    <w:left w:val="single" w:sz="4" w:space="0" w:color="auto"/>
                    <w:bottom w:val="single" w:sz="4" w:space="0" w:color="auto"/>
                    <w:right w:val="single" w:sz="4" w:space="0" w:color="auto"/>
                  </w:tcBorders>
                  <w:shd w:val="clear" w:color="auto" w:fill="F2F2F2"/>
                  <w:vAlign w:val="center"/>
                </w:tcPr>
                <w:p w:rsidR="00787AC7" w:rsidRPr="003E743A" w:rsidRDefault="00787AC7" w:rsidP="00787AC7">
                  <w:pPr>
                    <w:spacing w:after="0"/>
                    <w:jc w:val="both"/>
                    <w:rPr>
                      <w:rFonts w:ascii="Times New Roman" w:hAnsi="Times New Roman" w:cs="Times New Roman"/>
                      <w:sz w:val="18"/>
                      <w:szCs w:val="18"/>
                    </w:rPr>
                  </w:pPr>
                </w:p>
              </w:tc>
              <w:tc>
                <w:tcPr>
                  <w:tcW w:w="142" w:type="pct"/>
                  <w:vMerge/>
                  <w:tcBorders>
                    <w:top w:val="single" w:sz="4" w:space="0" w:color="auto"/>
                    <w:left w:val="single" w:sz="4" w:space="0" w:color="auto"/>
                    <w:bottom w:val="single" w:sz="4" w:space="0" w:color="auto"/>
                    <w:right w:val="single" w:sz="4" w:space="0" w:color="auto"/>
                  </w:tcBorders>
                  <w:shd w:val="clear" w:color="auto" w:fill="F2F2F2"/>
                  <w:vAlign w:val="center"/>
                </w:tcPr>
                <w:p w:rsidR="00787AC7" w:rsidRPr="003E743A" w:rsidRDefault="00787AC7" w:rsidP="00787AC7">
                  <w:pPr>
                    <w:spacing w:after="0"/>
                    <w:jc w:val="both"/>
                    <w:rPr>
                      <w:rFonts w:ascii="Times New Roman" w:hAnsi="Times New Roman" w:cs="Times New Roman"/>
                      <w:sz w:val="16"/>
                      <w:szCs w:val="16"/>
                    </w:rPr>
                  </w:pPr>
                </w:p>
              </w:tc>
              <w:tc>
                <w:tcPr>
                  <w:tcW w:w="480" w:type="pct"/>
                  <w:tcBorders>
                    <w:top w:val="single" w:sz="4" w:space="0" w:color="auto"/>
                    <w:left w:val="single" w:sz="4" w:space="0" w:color="auto"/>
                    <w:bottom w:val="single" w:sz="4" w:space="0" w:color="auto"/>
                    <w:right w:val="single" w:sz="4" w:space="0" w:color="auto"/>
                  </w:tcBorders>
                  <w:shd w:val="clear" w:color="auto" w:fill="F2F2F2"/>
                  <w:vAlign w:val="center"/>
                </w:tcPr>
                <w:p w:rsidR="00787AC7" w:rsidRPr="003E743A" w:rsidRDefault="00787AC7" w:rsidP="00787AC7">
                  <w:pPr>
                    <w:spacing w:after="0"/>
                    <w:jc w:val="both"/>
                    <w:rPr>
                      <w:rFonts w:ascii="Times New Roman" w:hAnsi="Times New Roman" w:cs="Times New Roman"/>
                      <w:sz w:val="16"/>
                      <w:szCs w:val="16"/>
                    </w:rPr>
                  </w:pPr>
                  <w:r w:rsidRPr="003E743A">
                    <w:rPr>
                      <w:rFonts w:ascii="Times New Roman" w:hAnsi="Times New Roman" w:cs="Times New Roman"/>
                      <w:sz w:val="16"/>
                      <w:szCs w:val="16"/>
                    </w:rPr>
                    <w:t>Ambiance olfactive</w:t>
                  </w:r>
                </w:p>
              </w:tc>
              <w:tc>
                <w:tcPr>
                  <w:tcW w:w="27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87AC7" w:rsidRPr="003E743A" w:rsidRDefault="00787AC7" w:rsidP="00787AC7">
                  <w:pPr>
                    <w:spacing w:after="0"/>
                    <w:jc w:val="both"/>
                    <w:rPr>
                      <w:rFonts w:ascii="Times New Roman" w:hAnsi="Times New Roman" w:cs="Times New Roman"/>
                      <w:sz w:val="24"/>
                      <w:szCs w:val="24"/>
                    </w:rPr>
                  </w:pPr>
                  <w:r>
                    <w:rPr>
                      <w:rFonts w:ascii="Times New Roman" w:hAnsi="Times New Roman" w:cs="Times New Roman"/>
                      <w:sz w:val="24"/>
                      <w:szCs w:val="24"/>
                    </w:rPr>
                    <w:t>*</w:t>
                  </w:r>
                </w:p>
              </w:tc>
              <w:tc>
                <w:tcPr>
                  <w:tcW w:w="31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87AC7" w:rsidRPr="003E743A" w:rsidRDefault="00787AC7" w:rsidP="00787AC7">
                  <w:pPr>
                    <w:spacing w:after="0"/>
                    <w:jc w:val="both"/>
                    <w:rPr>
                      <w:rFonts w:ascii="Times New Roman" w:hAnsi="Times New Roman" w:cs="Times New Roman"/>
                      <w:sz w:val="24"/>
                      <w:szCs w:val="24"/>
                    </w:rPr>
                  </w:pPr>
                </w:p>
              </w:tc>
              <w:tc>
                <w:tcPr>
                  <w:tcW w:w="22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87AC7" w:rsidRPr="003E743A" w:rsidRDefault="00787AC7" w:rsidP="00787AC7">
                  <w:pPr>
                    <w:spacing w:after="0"/>
                    <w:jc w:val="both"/>
                    <w:rPr>
                      <w:rFonts w:ascii="Times New Roman" w:hAnsi="Times New Roman" w:cs="Times New Roman"/>
                      <w:sz w:val="24"/>
                      <w:szCs w:val="24"/>
                    </w:rPr>
                  </w:pPr>
                </w:p>
              </w:tc>
              <w:tc>
                <w:tcPr>
                  <w:tcW w:w="22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87AC7" w:rsidRPr="003E743A" w:rsidRDefault="00787AC7" w:rsidP="00787AC7">
                  <w:pPr>
                    <w:spacing w:after="0"/>
                    <w:jc w:val="both"/>
                    <w:rPr>
                      <w:rFonts w:ascii="Times New Roman" w:hAnsi="Times New Roman" w:cs="Times New Roman"/>
                      <w:sz w:val="24"/>
                      <w:szCs w:val="24"/>
                    </w:rPr>
                  </w:pPr>
                  <w:r w:rsidRPr="003E743A">
                    <w:rPr>
                      <w:rFonts w:ascii="Times New Roman" w:hAnsi="Times New Roman" w:cs="Times New Roman"/>
                      <w:sz w:val="24"/>
                      <w:szCs w:val="24"/>
                    </w:rPr>
                    <w:t>*</w:t>
                  </w:r>
                </w:p>
              </w:tc>
              <w:tc>
                <w:tcPr>
                  <w:tcW w:w="181" w:type="pct"/>
                  <w:tcBorders>
                    <w:top w:val="single" w:sz="4" w:space="0" w:color="auto"/>
                    <w:left w:val="single" w:sz="4" w:space="0" w:color="auto"/>
                    <w:bottom w:val="single" w:sz="4" w:space="0" w:color="auto"/>
                    <w:right w:val="single" w:sz="4" w:space="0" w:color="auto"/>
                  </w:tcBorders>
                  <w:shd w:val="clear" w:color="auto" w:fill="FFFFFF" w:themeFill="background1"/>
                </w:tcPr>
                <w:p w:rsidR="00787AC7" w:rsidRPr="003E743A" w:rsidRDefault="00787AC7" w:rsidP="00787AC7">
                  <w:pPr>
                    <w:spacing w:after="0"/>
                    <w:jc w:val="both"/>
                    <w:rPr>
                      <w:rFonts w:ascii="Times New Roman" w:hAnsi="Times New Roman" w:cs="Times New Roman"/>
                      <w:sz w:val="24"/>
                      <w:szCs w:val="24"/>
                    </w:rPr>
                  </w:pPr>
                </w:p>
              </w:tc>
              <w:tc>
                <w:tcPr>
                  <w:tcW w:w="226" w:type="pct"/>
                  <w:tcBorders>
                    <w:top w:val="single" w:sz="4" w:space="0" w:color="auto"/>
                    <w:left w:val="single" w:sz="4" w:space="0" w:color="auto"/>
                    <w:bottom w:val="single" w:sz="4" w:space="0" w:color="auto"/>
                    <w:right w:val="single" w:sz="4" w:space="0" w:color="auto"/>
                  </w:tcBorders>
                  <w:shd w:val="clear" w:color="auto" w:fill="FFFFFF" w:themeFill="background1"/>
                </w:tcPr>
                <w:p w:rsidR="00787AC7" w:rsidRPr="003E743A" w:rsidRDefault="00787AC7" w:rsidP="00787AC7">
                  <w:pPr>
                    <w:spacing w:after="0"/>
                    <w:jc w:val="both"/>
                    <w:rPr>
                      <w:rFonts w:ascii="Times New Roman" w:hAnsi="Times New Roman" w:cs="Times New Roman"/>
                      <w:sz w:val="24"/>
                      <w:szCs w:val="24"/>
                    </w:rPr>
                  </w:pPr>
                </w:p>
              </w:tc>
              <w:tc>
                <w:tcPr>
                  <w:tcW w:w="181" w:type="pct"/>
                  <w:tcBorders>
                    <w:top w:val="single" w:sz="4" w:space="0" w:color="auto"/>
                    <w:left w:val="single" w:sz="4" w:space="0" w:color="auto"/>
                    <w:bottom w:val="single" w:sz="4" w:space="0" w:color="auto"/>
                    <w:right w:val="single" w:sz="4" w:space="0" w:color="auto"/>
                  </w:tcBorders>
                  <w:shd w:val="clear" w:color="auto" w:fill="FFFFFF" w:themeFill="background1"/>
                </w:tcPr>
                <w:p w:rsidR="00787AC7" w:rsidRPr="003E743A" w:rsidRDefault="00787AC7" w:rsidP="00787AC7">
                  <w:pPr>
                    <w:spacing w:after="0"/>
                    <w:jc w:val="both"/>
                    <w:rPr>
                      <w:rFonts w:ascii="Times New Roman" w:hAnsi="Times New Roman" w:cs="Times New Roman"/>
                      <w:sz w:val="24"/>
                      <w:szCs w:val="24"/>
                    </w:rPr>
                  </w:pPr>
                </w:p>
              </w:tc>
              <w:tc>
                <w:tcPr>
                  <w:tcW w:w="22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87AC7" w:rsidRPr="003E743A" w:rsidRDefault="00787AC7" w:rsidP="00787AC7">
                  <w:pPr>
                    <w:spacing w:after="0"/>
                    <w:jc w:val="both"/>
                    <w:rPr>
                      <w:rFonts w:ascii="Times New Roman" w:hAnsi="Times New Roman" w:cs="Times New Roman"/>
                      <w:sz w:val="24"/>
                      <w:szCs w:val="24"/>
                    </w:rPr>
                  </w:pPr>
                  <w:r w:rsidRPr="003E743A">
                    <w:rPr>
                      <w:rFonts w:ascii="Times New Roman" w:hAnsi="Times New Roman" w:cs="Times New Roman"/>
                      <w:sz w:val="24"/>
                      <w:szCs w:val="24"/>
                    </w:rPr>
                    <w:t>*</w:t>
                  </w:r>
                </w:p>
              </w:tc>
              <w:tc>
                <w:tcPr>
                  <w:tcW w:w="18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87AC7" w:rsidRPr="003E743A" w:rsidRDefault="00787AC7" w:rsidP="00787AC7">
                  <w:pPr>
                    <w:spacing w:after="0"/>
                    <w:jc w:val="both"/>
                    <w:rPr>
                      <w:rFonts w:ascii="Times New Roman" w:hAnsi="Times New Roman" w:cs="Times New Roman"/>
                      <w:sz w:val="24"/>
                      <w:szCs w:val="24"/>
                    </w:rPr>
                  </w:pPr>
                </w:p>
              </w:tc>
              <w:tc>
                <w:tcPr>
                  <w:tcW w:w="226" w:type="pct"/>
                  <w:tcBorders>
                    <w:top w:val="single" w:sz="4" w:space="0" w:color="auto"/>
                    <w:left w:val="single" w:sz="4" w:space="0" w:color="auto"/>
                    <w:bottom w:val="single" w:sz="4" w:space="0" w:color="auto"/>
                    <w:right w:val="single" w:sz="4" w:space="0" w:color="auto"/>
                  </w:tcBorders>
                  <w:shd w:val="clear" w:color="auto" w:fill="FFFFFF" w:themeFill="background1"/>
                </w:tcPr>
                <w:p w:rsidR="00787AC7" w:rsidRPr="003E743A" w:rsidRDefault="00787AC7" w:rsidP="00787AC7">
                  <w:pPr>
                    <w:spacing w:after="0"/>
                    <w:jc w:val="both"/>
                    <w:rPr>
                      <w:rFonts w:ascii="Times New Roman" w:hAnsi="Times New Roman" w:cs="Times New Roman"/>
                      <w:sz w:val="24"/>
                      <w:szCs w:val="24"/>
                    </w:rPr>
                  </w:pPr>
                </w:p>
              </w:tc>
              <w:tc>
                <w:tcPr>
                  <w:tcW w:w="18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87AC7" w:rsidRPr="003E743A" w:rsidRDefault="00787AC7" w:rsidP="00787AC7">
                  <w:pPr>
                    <w:spacing w:after="0"/>
                    <w:jc w:val="both"/>
                    <w:rPr>
                      <w:rFonts w:ascii="Times New Roman" w:hAnsi="Times New Roman" w:cs="Times New Roman"/>
                      <w:sz w:val="24"/>
                      <w:szCs w:val="24"/>
                    </w:rPr>
                  </w:pPr>
                </w:p>
              </w:tc>
              <w:tc>
                <w:tcPr>
                  <w:tcW w:w="226" w:type="pct"/>
                  <w:tcBorders>
                    <w:top w:val="single" w:sz="4" w:space="0" w:color="auto"/>
                    <w:left w:val="single" w:sz="4" w:space="0" w:color="auto"/>
                    <w:bottom w:val="single" w:sz="4" w:space="0" w:color="auto"/>
                    <w:right w:val="single" w:sz="4" w:space="0" w:color="auto"/>
                  </w:tcBorders>
                  <w:shd w:val="clear" w:color="auto" w:fill="FFFFFF" w:themeFill="background1"/>
                </w:tcPr>
                <w:p w:rsidR="00787AC7" w:rsidRPr="003E743A" w:rsidRDefault="00787AC7" w:rsidP="00787AC7">
                  <w:pPr>
                    <w:spacing w:after="0"/>
                    <w:jc w:val="both"/>
                    <w:rPr>
                      <w:rFonts w:ascii="Times New Roman" w:hAnsi="Times New Roman" w:cs="Times New Roman"/>
                      <w:sz w:val="24"/>
                      <w:szCs w:val="24"/>
                    </w:rPr>
                  </w:pPr>
                  <w:r>
                    <w:rPr>
                      <w:rFonts w:ascii="Times New Roman" w:hAnsi="Times New Roman" w:cs="Times New Roman"/>
                      <w:sz w:val="24"/>
                      <w:szCs w:val="24"/>
                    </w:rPr>
                    <w:t>*</w:t>
                  </w:r>
                </w:p>
              </w:tc>
              <w:tc>
                <w:tcPr>
                  <w:tcW w:w="182" w:type="pct"/>
                  <w:tcBorders>
                    <w:top w:val="single" w:sz="4" w:space="0" w:color="auto"/>
                    <w:left w:val="single" w:sz="4" w:space="0" w:color="auto"/>
                    <w:bottom w:val="single" w:sz="4" w:space="0" w:color="auto"/>
                    <w:right w:val="single" w:sz="4" w:space="0" w:color="auto"/>
                  </w:tcBorders>
                  <w:shd w:val="clear" w:color="auto" w:fill="FFFFFF" w:themeFill="background1"/>
                </w:tcPr>
                <w:p w:rsidR="00787AC7" w:rsidRPr="003E743A" w:rsidRDefault="00787AC7" w:rsidP="00787AC7">
                  <w:pPr>
                    <w:spacing w:after="0"/>
                    <w:jc w:val="both"/>
                    <w:rPr>
                      <w:rFonts w:ascii="Times New Roman" w:hAnsi="Times New Roman" w:cs="Times New Roman"/>
                      <w:sz w:val="24"/>
                      <w:szCs w:val="24"/>
                    </w:rPr>
                  </w:pPr>
                  <w:r>
                    <w:rPr>
                      <w:rFonts w:ascii="Times New Roman" w:hAnsi="Times New Roman" w:cs="Times New Roman"/>
                      <w:sz w:val="24"/>
                      <w:szCs w:val="24"/>
                    </w:rPr>
                    <w:t>*</w:t>
                  </w:r>
                </w:p>
              </w:tc>
              <w:tc>
                <w:tcPr>
                  <w:tcW w:w="182" w:type="pct"/>
                  <w:tcBorders>
                    <w:top w:val="single" w:sz="4" w:space="0" w:color="auto"/>
                    <w:left w:val="single" w:sz="4" w:space="0" w:color="auto"/>
                    <w:bottom w:val="single" w:sz="4" w:space="0" w:color="auto"/>
                    <w:right w:val="single" w:sz="4" w:space="0" w:color="auto"/>
                  </w:tcBorders>
                  <w:shd w:val="clear" w:color="auto" w:fill="FFFFFF" w:themeFill="background1"/>
                </w:tcPr>
                <w:p w:rsidR="00787AC7" w:rsidRPr="003E743A" w:rsidRDefault="00787AC7" w:rsidP="00787AC7">
                  <w:pPr>
                    <w:spacing w:after="0"/>
                    <w:jc w:val="both"/>
                    <w:rPr>
                      <w:rFonts w:ascii="Times New Roman" w:hAnsi="Times New Roman" w:cs="Times New Roman"/>
                      <w:sz w:val="24"/>
                      <w:szCs w:val="24"/>
                    </w:rPr>
                  </w:pPr>
                </w:p>
              </w:tc>
              <w:tc>
                <w:tcPr>
                  <w:tcW w:w="181" w:type="pct"/>
                  <w:tcBorders>
                    <w:top w:val="single" w:sz="4" w:space="0" w:color="auto"/>
                    <w:left w:val="single" w:sz="4" w:space="0" w:color="auto"/>
                    <w:bottom w:val="single" w:sz="4" w:space="0" w:color="auto"/>
                    <w:right w:val="single" w:sz="4" w:space="0" w:color="auto"/>
                  </w:tcBorders>
                  <w:shd w:val="clear" w:color="auto" w:fill="FFFFFF" w:themeFill="background1"/>
                </w:tcPr>
                <w:p w:rsidR="00787AC7" w:rsidRPr="003E743A" w:rsidRDefault="00787AC7" w:rsidP="00787AC7">
                  <w:pPr>
                    <w:spacing w:after="0"/>
                    <w:jc w:val="both"/>
                    <w:rPr>
                      <w:rFonts w:ascii="Times New Roman" w:hAnsi="Times New Roman" w:cs="Times New Roman"/>
                      <w:sz w:val="24"/>
                      <w:szCs w:val="24"/>
                    </w:rPr>
                  </w:pPr>
                  <w:r>
                    <w:rPr>
                      <w:rFonts w:ascii="Times New Roman" w:hAnsi="Times New Roman" w:cs="Times New Roman"/>
                      <w:sz w:val="24"/>
                      <w:szCs w:val="24"/>
                    </w:rPr>
                    <w:t>*</w:t>
                  </w:r>
                </w:p>
              </w:tc>
              <w:tc>
                <w:tcPr>
                  <w:tcW w:w="202" w:type="pct"/>
                  <w:tcBorders>
                    <w:top w:val="single" w:sz="4" w:space="0" w:color="auto"/>
                    <w:left w:val="single" w:sz="4" w:space="0" w:color="auto"/>
                    <w:bottom w:val="single" w:sz="4" w:space="0" w:color="auto"/>
                    <w:right w:val="single" w:sz="4" w:space="0" w:color="auto"/>
                  </w:tcBorders>
                  <w:shd w:val="clear" w:color="auto" w:fill="FFFFFF" w:themeFill="background1"/>
                </w:tcPr>
                <w:p w:rsidR="00787AC7" w:rsidRPr="003E743A" w:rsidRDefault="00787AC7" w:rsidP="00787AC7">
                  <w:pPr>
                    <w:spacing w:after="0"/>
                    <w:jc w:val="both"/>
                    <w:rPr>
                      <w:rFonts w:ascii="Times New Roman" w:hAnsi="Times New Roman" w:cs="Times New Roman"/>
                      <w:sz w:val="24"/>
                      <w:szCs w:val="24"/>
                    </w:rPr>
                  </w:pPr>
                </w:p>
              </w:tc>
              <w:tc>
                <w:tcPr>
                  <w:tcW w:w="182" w:type="pct"/>
                  <w:tcBorders>
                    <w:top w:val="single" w:sz="4" w:space="0" w:color="auto"/>
                    <w:left w:val="single" w:sz="4" w:space="0" w:color="auto"/>
                    <w:bottom w:val="single" w:sz="4" w:space="0" w:color="auto"/>
                    <w:right w:val="single" w:sz="4" w:space="0" w:color="auto"/>
                  </w:tcBorders>
                  <w:shd w:val="clear" w:color="auto" w:fill="FFFFFF" w:themeFill="background1"/>
                </w:tcPr>
                <w:p w:rsidR="00787AC7" w:rsidRPr="003E743A" w:rsidRDefault="00787AC7" w:rsidP="00787AC7">
                  <w:pPr>
                    <w:spacing w:after="0"/>
                    <w:jc w:val="both"/>
                    <w:rPr>
                      <w:rFonts w:ascii="Times New Roman" w:hAnsi="Times New Roman" w:cs="Times New Roman"/>
                      <w:sz w:val="24"/>
                      <w:szCs w:val="24"/>
                    </w:rPr>
                  </w:pPr>
                </w:p>
              </w:tc>
              <w:tc>
                <w:tcPr>
                  <w:tcW w:w="183" w:type="pct"/>
                  <w:tcBorders>
                    <w:top w:val="single" w:sz="4" w:space="0" w:color="auto"/>
                    <w:left w:val="single" w:sz="4" w:space="0" w:color="auto"/>
                    <w:bottom w:val="single" w:sz="4" w:space="0" w:color="auto"/>
                    <w:right w:val="single" w:sz="4" w:space="0" w:color="auto"/>
                  </w:tcBorders>
                  <w:shd w:val="clear" w:color="auto" w:fill="FFFFFF" w:themeFill="background1"/>
                </w:tcPr>
                <w:p w:rsidR="00787AC7" w:rsidRPr="003E743A" w:rsidRDefault="00787AC7" w:rsidP="00787AC7">
                  <w:pPr>
                    <w:spacing w:after="0"/>
                    <w:jc w:val="both"/>
                    <w:rPr>
                      <w:rFonts w:ascii="Times New Roman" w:hAnsi="Times New Roman" w:cs="Times New Roman"/>
                      <w:sz w:val="24"/>
                      <w:szCs w:val="24"/>
                    </w:rPr>
                  </w:pPr>
                </w:p>
              </w:tc>
              <w:tc>
                <w:tcPr>
                  <w:tcW w:w="182" w:type="pct"/>
                  <w:tcBorders>
                    <w:top w:val="single" w:sz="4" w:space="0" w:color="auto"/>
                    <w:left w:val="single" w:sz="4" w:space="0" w:color="auto"/>
                    <w:bottom w:val="single" w:sz="4" w:space="0" w:color="auto"/>
                    <w:right w:val="single" w:sz="4" w:space="0" w:color="auto"/>
                  </w:tcBorders>
                  <w:shd w:val="clear" w:color="auto" w:fill="FFFFFF" w:themeFill="background1"/>
                </w:tcPr>
                <w:p w:rsidR="00787AC7" w:rsidRPr="003E743A" w:rsidRDefault="00BE1691" w:rsidP="00787AC7">
                  <w:pPr>
                    <w:spacing w:after="0"/>
                    <w:jc w:val="both"/>
                    <w:rPr>
                      <w:rFonts w:ascii="Times New Roman" w:hAnsi="Times New Roman" w:cs="Times New Roman"/>
                      <w:sz w:val="24"/>
                      <w:szCs w:val="24"/>
                    </w:rPr>
                  </w:pPr>
                  <w:r>
                    <w:rPr>
                      <w:rFonts w:ascii="Times New Roman" w:hAnsi="Times New Roman" w:cs="Times New Roman"/>
                      <w:sz w:val="24"/>
                      <w:szCs w:val="24"/>
                    </w:rPr>
                    <w:t>*</w:t>
                  </w:r>
                </w:p>
              </w:tc>
              <w:tc>
                <w:tcPr>
                  <w:tcW w:w="138" w:type="pct"/>
                  <w:tcBorders>
                    <w:top w:val="single" w:sz="4" w:space="0" w:color="auto"/>
                    <w:left w:val="single" w:sz="4" w:space="0" w:color="auto"/>
                    <w:bottom w:val="single" w:sz="4" w:space="0" w:color="auto"/>
                    <w:right w:val="single" w:sz="4" w:space="0" w:color="auto"/>
                  </w:tcBorders>
                  <w:shd w:val="clear" w:color="auto" w:fill="FFFFFF" w:themeFill="background1"/>
                </w:tcPr>
                <w:p w:rsidR="00787AC7" w:rsidRPr="003E743A" w:rsidRDefault="00787AC7" w:rsidP="00787AC7">
                  <w:pPr>
                    <w:spacing w:after="0"/>
                    <w:jc w:val="both"/>
                    <w:rPr>
                      <w:rFonts w:ascii="Times New Roman" w:hAnsi="Times New Roman" w:cs="Times New Roman"/>
                      <w:sz w:val="24"/>
                      <w:szCs w:val="24"/>
                    </w:rPr>
                  </w:pPr>
                </w:p>
              </w:tc>
              <w:tc>
                <w:tcPr>
                  <w:tcW w:w="127" w:type="pct"/>
                  <w:tcBorders>
                    <w:top w:val="single" w:sz="4" w:space="0" w:color="auto"/>
                    <w:left w:val="single" w:sz="4" w:space="0" w:color="auto"/>
                    <w:bottom w:val="single" w:sz="4" w:space="0" w:color="auto"/>
                    <w:right w:val="single" w:sz="4" w:space="0" w:color="auto"/>
                  </w:tcBorders>
                  <w:shd w:val="clear" w:color="auto" w:fill="FFFFFF" w:themeFill="background1"/>
                </w:tcPr>
                <w:p w:rsidR="00787AC7" w:rsidRPr="003E743A" w:rsidRDefault="00787AC7" w:rsidP="00787AC7">
                  <w:pPr>
                    <w:spacing w:after="0"/>
                    <w:jc w:val="both"/>
                    <w:rPr>
                      <w:rFonts w:ascii="Times New Roman" w:hAnsi="Times New Roman" w:cs="Times New Roman"/>
                      <w:sz w:val="24"/>
                      <w:szCs w:val="24"/>
                    </w:rPr>
                  </w:pPr>
                </w:p>
              </w:tc>
            </w:tr>
            <w:tr w:rsidR="00787AC7" w:rsidRPr="003E743A" w:rsidTr="00787AC7">
              <w:trPr>
                <w:trHeight w:val="257"/>
              </w:trPr>
              <w:tc>
                <w:tcPr>
                  <w:tcW w:w="142" w:type="pct"/>
                  <w:vMerge/>
                  <w:tcBorders>
                    <w:top w:val="single" w:sz="4" w:space="0" w:color="auto"/>
                    <w:left w:val="single" w:sz="4" w:space="0" w:color="auto"/>
                    <w:bottom w:val="single" w:sz="4" w:space="0" w:color="auto"/>
                    <w:right w:val="single" w:sz="4" w:space="0" w:color="auto"/>
                  </w:tcBorders>
                  <w:shd w:val="clear" w:color="auto" w:fill="F2F2F2"/>
                  <w:vAlign w:val="center"/>
                </w:tcPr>
                <w:p w:rsidR="00787AC7" w:rsidRPr="003E743A" w:rsidRDefault="00787AC7" w:rsidP="00787AC7">
                  <w:pPr>
                    <w:spacing w:after="0"/>
                    <w:jc w:val="both"/>
                    <w:rPr>
                      <w:rFonts w:ascii="Times New Roman" w:hAnsi="Times New Roman" w:cs="Times New Roman"/>
                      <w:sz w:val="18"/>
                      <w:szCs w:val="18"/>
                    </w:rPr>
                  </w:pPr>
                </w:p>
              </w:tc>
              <w:tc>
                <w:tcPr>
                  <w:tcW w:w="142" w:type="pct"/>
                  <w:vMerge/>
                  <w:tcBorders>
                    <w:top w:val="single" w:sz="4" w:space="0" w:color="auto"/>
                    <w:left w:val="single" w:sz="4" w:space="0" w:color="auto"/>
                    <w:bottom w:val="single" w:sz="4" w:space="0" w:color="auto"/>
                    <w:right w:val="single" w:sz="4" w:space="0" w:color="auto"/>
                  </w:tcBorders>
                  <w:shd w:val="clear" w:color="auto" w:fill="F2F2F2"/>
                  <w:vAlign w:val="center"/>
                </w:tcPr>
                <w:p w:rsidR="00787AC7" w:rsidRPr="003E743A" w:rsidRDefault="00787AC7" w:rsidP="00787AC7">
                  <w:pPr>
                    <w:spacing w:after="0"/>
                    <w:jc w:val="both"/>
                    <w:rPr>
                      <w:rFonts w:ascii="Times New Roman" w:hAnsi="Times New Roman" w:cs="Times New Roman"/>
                      <w:sz w:val="16"/>
                      <w:szCs w:val="16"/>
                    </w:rPr>
                  </w:pPr>
                </w:p>
              </w:tc>
              <w:tc>
                <w:tcPr>
                  <w:tcW w:w="480" w:type="pct"/>
                  <w:tcBorders>
                    <w:top w:val="single" w:sz="4" w:space="0" w:color="auto"/>
                    <w:left w:val="single" w:sz="4" w:space="0" w:color="auto"/>
                    <w:bottom w:val="single" w:sz="4" w:space="0" w:color="auto"/>
                    <w:right w:val="single" w:sz="4" w:space="0" w:color="auto"/>
                  </w:tcBorders>
                  <w:shd w:val="clear" w:color="auto" w:fill="F2F2F2"/>
                  <w:vAlign w:val="center"/>
                </w:tcPr>
                <w:p w:rsidR="00787AC7" w:rsidRPr="003E743A" w:rsidRDefault="00787AC7" w:rsidP="00787AC7">
                  <w:pPr>
                    <w:spacing w:after="0"/>
                    <w:jc w:val="both"/>
                    <w:rPr>
                      <w:rFonts w:ascii="Times New Roman" w:hAnsi="Times New Roman" w:cs="Times New Roman"/>
                      <w:sz w:val="16"/>
                      <w:szCs w:val="16"/>
                    </w:rPr>
                  </w:pPr>
                  <w:r w:rsidRPr="003E743A">
                    <w:rPr>
                      <w:rFonts w:ascii="Times New Roman" w:hAnsi="Times New Roman" w:cs="Times New Roman"/>
                      <w:sz w:val="16"/>
                      <w:szCs w:val="16"/>
                    </w:rPr>
                    <w:t>Ambiance sonore</w:t>
                  </w:r>
                </w:p>
              </w:tc>
              <w:tc>
                <w:tcPr>
                  <w:tcW w:w="27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87AC7" w:rsidRPr="003E743A" w:rsidRDefault="00787AC7" w:rsidP="00787AC7">
                  <w:pPr>
                    <w:spacing w:after="0"/>
                    <w:jc w:val="both"/>
                    <w:rPr>
                      <w:rFonts w:ascii="Times New Roman" w:hAnsi="Times New Roman" w:cs="Times New Roman"/>
                      <w:sz w:val="24"/>
                      <w:szCs w:val="24"/>
                    </w:rPr>
                  </w:pPr>
                  <w:r w:rsidRPr="003E743A">
                    <w:rPr>
                      <w:rFonts w:ascii="Times New Roman" w:hAnsi="Times New Roman" w:cs="Times New Roman"/>
                      <w:sz w:val="24"/>
                      <w:szCs w:val="24"/>
                    </w:rPr>
                    <w:t>*</w:t>
                  </w:r>
                </w:p>
              </w:tc>
              <w:tc>
                <w:tcPr>
                  <w:tcW w:w="31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87AC7" w:rsidRPr="003E743A" w:rsidRDefault="00787AC7" w:rsidP="00787AC7">
                  <w:pPr>
                    <w:spacing w:after="0"/>
                    <w:jc w:val="both"/>
                    <w:rPr>
                      <w:rFonts w:ascii="Times New Roman" w:hAnsi="Times New Roman" w:cs="Times New Roman"/>
                      <w:sz w:val="24"/>
                      <w:szCs w:val="24"/>
                    </w:rPr>
                  </w:pPr>
                  <w:r w:rsidRPr="003E743A">
                    <w:rPr>
                      <w:rFonts w:ascii="Times New Roman" w:hAnsi="Times New Roman" w:cs="Times New Roman"/>
                      <w:sz w:val="24"/>
                      <w:szCs w:val="24"/>
                    </w:rPr>
                    <w:t>*</w:t>
                  </w:r>
                </w:p>
              </w:tc>
              <w:tc>
                <w:tcPr>
                  <w:tcW w:w="22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87AC7" w:rsidRPr="003E743A" w:rsidRDefault="00787AC7" w:rsidP="00787AC7">
                  <w:pPr>
                    <w:spacing w:after="0"/>
                    <w:jc w:val="both"/>
                    <w:rPr>
                      <w:rFonts w:ascii="Times New Roman" w:hAnsi="Times New Roman" w:cs="Times New Roman"/>
                      <w:sz w:val="24"/>
                      <w:szCs w:val="24"/>
                    </w:rPr>
                  </w:pPr>
                  <w:r w:rsidRPr="003E743A">
                    <w:rPr>
                      <w:rFonts w:ascii="Times New Roman" w:hAnsi="Times New Roman" w:cs="Times New Roman"/>
                      <w:sz w:val="24"/>
                      <w:szCs w:val="24"/>
                    </w:rPr>
                    <w:t>*</w:t>
                  </w:r>
                </w:p>
              </w:tc>
              <w:tc>
                <w:tcPr>
                  <w:tcW w:w="227" w:type="pct"/>
                  <w:tcBorders>
                    <w:top w:val="single" w:sz="4" w:space="0" w:color="auto"/>
                    <w:left w:val="single" w:sz="4" w:space="0" w:color="auto"/>
                    <w:bottom w:val="single" w:sz="4" w:space="0" w:color="auto"/>
                    <w:right w:val="single" w:sz="4" w:space="0" w:color="auto"/>
                  </w:tcBorders>
                  <w:shd w:val="clear" w:color="auto" w:fill="FFFFFF" w:themeFill="background1"/>
                </w:tcPr>
                <w:p w:rsidR="00787AC7" w:rsidRPr="003E743A" w:rsidRDefault="00787AC7" w:rsidP="00787AC7">
                  <w:pPr>
                    <w:spacing w:after="0"/>
                    <w:jc w:val="both"/>
                    <w:rPr>
                      <w:rFonts w:ascii="Times New Roman" w:hAnsi="Times New Roman" w:cs="Times New Roman"/>
                      <w:sz w:val="24"/>
                      <w:szCs w:val="24"/>
                    </w:rPr>
                  </w:pPr>
                </w:p>
              </w:tc>
              <w:tc>
                <w:tcPr>
                  <w:tcW w:w="181" w:type="pct"/>
                  <w:tcBorders>
                    <w:top w:val="single" w:sz="4" w:space="0" w:color="auto"/>
                    <w:left w:val="single" w:sz="4" w:space="0" w:color="auto"/>
                    <w:bottom w:val="single" w:sz="4" w:space="0" w:color="auto"/>
                    <w:right w:val="single" w:sz="4" w:space="0" w:color="auto"/>
                  </w:tcBorders>
                  <w:shd w:val="clear" w:color="auto" w:fill="FFFFFF" w:themeFill="background1"/>
                </w:tcPr>
                <w:p w:rsidR="00787AC7" w:rsidRPr="003E743A" w:rsidRDefault="00787AC7" w:rsidP="00787AC7">
                  <w:pPr>
                    <w:spacing w:after="0"/>
                    <w:jc w:val="both"/>
                    <w:rPr>
                      <w:rFonts w:ascii="Times New Roman" w:hAnsi="Times New Roman" w:cs="Times New Roman"/>
                      <w:sz w:val="24"/>
                      <w:szCs w:val="24"/>
                    </w:rPr>
                  </w:pPr>
                </w:p>
              </w:tc>
              <w:tc>
                <w:tcPr>
                  <w:tcW w:w="22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87AC7" w:rsidRPr="003E743A" w:rsidRDefault="00787AC7" w:rsidP="00787AC7">
                  <w:pPr>
                    <w:spacing w:after="0"/>
                    <w:jc w:val="both"/>
                    <w:rPr>
                      <w:rFonts w:ascii="Times New Roman" w:hAnsi="Times New Roman" w:cs="Times New Roman"/>
                      <w:sz w:val="24"/>
                      <w:szCs w:val="24"/>
                    </w:rPr>
                  </w:pPr>
                  <w:r w:rsidRPr="003E743A">
                    <w:rPr>
                      <w:rFonts w:ascii="Times New Roman" w:hAnsi="Times New Roman" w:cs="Times New Roman"/>
                      <w:sz w:val="24"/>
                      <w:szCs w:val="24"/>
                    </w:rPr>
                    <w:t>*</w:t>
                  </w:r>
                </w:p>
              </w:tc>
              <w:tc>
                <w:tcPr>
                  <w:tcW w:w="18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87AC7" w:rsidRPr="003E743A" w:rsidRDefault="00787AC7" w:rsidP="00787AC7">
                  <w:pPr>
                    <w:spacing w:after="0"/>
                    <w:jc w:val="both"/>
                    <w:rPr>
                      <w:rFonts w:ascii="Times New Roman" w:hAnsi="Times New Roman" w:cs="Times New Roman"/>
                      <w:sz w:val="24"/>
                      <w:szCs w:val="24"/>
                    </w:rPr>
                  </w:pPr>
                  <w:r w:rsidRPr="003E743A">
                    <w:rPr>
                      <w:rFonts w:ascii="Times New Roman" w:hAnsi="Times New Roman" w:cs="Times New Roman"/>
                      <w:sz w:val="24"/>
                      <w:szCs w:val="24"/>
                    </w:rPr>
                    <w:t>*</w:t>
                  </w:r>
                </w:p>
              </w:tc>
              <w:tc>
                <w:tcPr>
                  <w:tcW w:w="22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87AC7" w:rsidRPr="003E743A" w:rsidRDefault="00787AC7" w:rsidP="00787AC7">
                  <w:pPr>
                    <w:spacing w:after="0"/>
                    <w:jc w:val="both"/>
                    <w:rPr>
                      <w:rFonts w:ascii="Times New Roman" w:hAnsi="Times New Roman" w:cs="Times New Roman"/>
                      <w:sz w:val="24"/>
                      <w:szCs w:val="24"/>
                    </w:rPr>
                  </w:pPr>
                  <w:r w:rsidRPr="003E743A">
                    <w:rPr>
                      <w:rFonts w:ascii="Times New Roman" w:hAnsi="Times New Roman" w:cs="Times New Roman"/>
                      <w:sz w:val="24"/>
                      <w:szCs w:val="24"/>
                    </w:rPr>
                    <w:t>*</w:t>
                  </w:r>
                </w:p>
              </w:tc>
              <w:tc>
                <w:tcPr>
                  <w:tcW w:w="18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87AC7" w:rsidRPr="003E743A" w:rsidRDefault="00787AC7" w:rsidP="00787AC7">
                  <w:pPr>
                    <w:spacing w:after="0"/>
                    <w:jc w:val="both"/>
                    <w:rPr>
                      <w:rFonts w:ascii="Times New Roman" w:hAnsi="Times New Roman" w:cs="Times New Roman"/>
                      <w:sz w:val="24"/>
                      <w:szCs w:val="24"/>
                    </w:rPr>
                  </w:pPr>
                  <w:r>
                    <w:rPr>
                      <w:rFonts w:ascii="Times New Roman" w:hAnsi="Times New Roman" w:cs="Times New Roman"/>
                      <w:sz w:val="24"/>
                      <w:szCs w:val="24"/>
                    </w:rPr>
                    <w:t>*</w:t>
                  </w:r>
                </w:p>
              </w:tc>
              <w:tc>
                <w:tcPr>
                  <w:tcW w:w="22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87AC7" w:rsidRPr="003E743A" w:rsidRDefault="00787AC7" w:rsidP="00787AC7">
                  <w:pPr>
                    <w:spacing w:after="0"/>
                    <w:jc w:val="both"/>
                    <w:rPr>
                      <w:rFonts w:ascii="Times New Roman" w:hAnsi="Times New Roman" w:cs="Times New Roman"/>
                      <w:sz w:val="24"/>
                      <w:szCs w:val="24"/>
                    </w:rPr>
                  </w:pPr>
                  <w:r w:rsidRPr="003E743A">
                    <w:rPr>
                      <w:rFonts w:ascii="Times New Roman" w:hAnsi="Times New Roman" w:cs="Times New Roman"/>
                      <w:sz w:val="24"/>
                      <w:szCs w:val="24"/>
                    </w:rPr>
                    <w:t>*</w:t>
                  </w:r>
                </w:p>
              </w:tc>
              <w:tc>
                <w:tcPr>
                  <w:tcW w:w="181" w:type="pct"/>
                  <w:tcBorders>
                    <w:top w:val="single" w:sz="4" w:space="0" w:color="auto"/>
                    <w:left w:val="single" w:sz="4" w:space="0" w:color="auto"/>
                    <w:bottom w:val="single" w:sz="4" w:space="0" w:color="auto"/>
                    <w:right w:val="single" w:sz="4" w:space="0" w:color="auto"/>
                  </w:tcBorders>
                  <w:shd w:val="clear" w:color="auto" w:fill="FFFFFF" w:themeFill="background1"/>
                </w:tcPr>
                <w:p w:rsidR="00787AC7" w:rsidRPr="003E743A" w:rsidRDefault="00787AC7" w:rsidP="00787AC7">
                  <w:pPr>
                    <w:spacing w:after="0"/>
                    <w:jc w:val="both"/>
                    <w:rPr>
                      <w:rFonts w:ascii="Times New Roman" w:hAnsi="Times New Roman" w:cs="Times New Roman"/>
                      <w:sz w:val="24"/>
                      <w:szCs w:val="24"/>
                    </w:rPr>
                  </w:pPr>
                  <w:r>
                    <w:rPr>
                      <w:rFonts w:ascii="Times New Roman" w:hAnsi="Times New Roman" w:cs="Times New Roman"/>
                      <w:sz w:val="24"/>
                      <w:szCs w:val="24"/>
                    </w:rPr>
                    <w:t>*</w:t>
                  </w:r>
                </w:p>
              </w:tc>
              <w:tc>
                <w:tcPr>
                  <w:tcW w:w="226" w:type="pct"/>
                  <w:tcBorders>
                    <w:top w:val="single" w:sz="4" w:space="0" w:color="auto"/>
                    <w:left w:val="single" w:sz="4" w:space="0" w:color="auto"/>
                    <w:bottom w:val="single" w:sz="4" w:space="0" w:color="auto"/>
                    <w:right w:val="single" w:sz="4" w:space="0" w:color="auto"/>
                  </w:tcBorders>
                  <w:shd w:val="clear" w:color="auto" w:fill="FFFFFF" w:themeFill="background1"/>
                </w:tcPr>
                <w:p w:rsidR="00787AC7" w:rsidRPr="003E743A" w:rsidRDefault="00787AC7" w:rsidP="00787AC7">
                  <w:pPr>
                    <w:spacing w:after="0"/>
                    <w:jc w:val="both"/>
                    <w:rPr>
                      <w:rFonts w:ascii="Times New Roman" w:hAnsi="Times New Roman" w:cs="Times New Roman"/>
                      <w:sz w:val="24"/>
                      <w:szCs w:val="24"/>
                    </w:rPr>
                  </w:pPr>
                  <w:r>
                    <w:rPr>
                      <w:rFonts w:ascii="Times New Roman" w:hAnsi="Times New Roman" w:cs="Times New Roman"/>
                      <w:sz w:val="24"/>
                      <w:szCs w:val="24"/>
                    </w:rPr>
                    <w:t>*</w:t>
                  </w:r>
                </w:p>
              </w:tc>
              <w:tc>
                <w:tcPr>
                  <w:tcW w:w="18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87AC7" w:rsidRPr="003E743A" w:rsidRDefault="00787AC7" w:rsidP="00787AC7">
                  <w:pPr>
                    <w:spacing w:after="0"/>
                    <w:jc w:val="both"/>
                    <w:rPr>
                      <w:rFonts w:ascii="Times New Roman" w:hAnsi="Times New Roman" w:cs="Times New Roman"/>
                      <w:sz w:val="24"/>
                      <w:szCs w:val="24"/>
                    </w:rPr>
                  </w:pPr>
                  <w:r w:rsidRPr="003E743A">
                    <w:rPr>
                      <w:rFonts w:ascii="Times New Roman" w:hAnsi="Times New Roman" w:cs="Times New Roman"/>
                      <w:sz w:val="24"/>
                      <w:szCs w:val="24"/>
                    </w:rPr>
                    <w:t>*</w:t>
                  </w:r>
                </w:p>
              </w:tc>
              <w:tc>
                <w:tcPr>
                  <w:tcW w:w="18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87AC7" w:rsidRPr="003E743A" w:rsidRDefault="00787AC7" w:rsidP="00787AC7">
                  <w:pPr>
                    <w:spacing w:after="0"/>
                    <w:jc w:val="both"/>
                    <w:rPr>
                      <w:rFonts w:ascii="Times New Roman" w:hAnsi="Times New Roman" w:cs="Times New Roman"/>
                      <w:sz w:val="24"/>
                      <w:szCs w:val="24"/>
                    </w:rPr>
                  </w:pPr>
                  <w:r w:rsidRPr="003E743A">
                    <w:rPr>
                      <w:rFonts w:ascii="Times New Roman" w:hAnsi="Times New Roman" w:cs="Times New Roman"/>
                      <w:sz w:val="24"/>
                      <w:szCs w:val="24"/>
                    </w:rPr>
                    <w:t>*</w:t>
                  </w:r>
                </w:p>
              </w:tc>
              <w:tc>
                <w:tcPr>
                  <w:tcW w:w="18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87AC7" w:rsidRPr="003E743A" w:rsidRDefault="00787AC7" w:rsidP="00787AC7">
                  <w:pPr>
                    <w:spacing w:after="0"/>
                    <w:jc w:val="both"/>
                    <w:rPr>
                      <w:rFonts w:ascii="Times New Roman" w:hAnsi="Times New Roman" w:cs="Times New Roman"/>
                      <w:sz w:val="24"/>
                      <w:szCs w:val="24"/>
                    </w:rPr>
                  </w:pPr>
                  <w:r w:rsidRPr="003E743A">
                    <w:rPr>
                      <w:rFonts w:ascii="Times New Roman" w:hAnsi="Times New Roman" w:cs="Times New Roman"/>
                      <w:sz w:val="24"/>
                      <w:szCs w:val="24"/>
                    </w:rPr>
                    <w:t>*</w:t>
                  </w:r>
                </w:p>
              </w:tc>
              <w:tc>
                <w:tcPr>
                  <w:tcW w:w="20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87AC7" w:rsidRPr="003E743A" w:rsidRDefault="00787AC7" w:rsidP="00787AC7">
                  <w:pPr>
                    <w:spacing w:after="0"/>
                    <w:jc w:val="both"/>
                    <w:rPr>
                      <w:rFonts w:ascii="Times New Roman" w:hAnsi="Times New Roman" w:cs="Times New Roman"/>
                      <w:sz w:val="24"/>
                      <w:szCs w:val="24"/>
                    </w:rPr>
                  </w:pPr>
                  <w:r w:rsidRPr="003E743A">
                    <w:rPr>
                      <w:rFonts w:ascii="Times New Roman" w:hAnsi="Times New Roman" w:cs="Times New Roman"/>
                      <w:sz w:val="24"/>
                      <w:szCs w:val="24"/>
                    </w:rPr>
                    <w:t>*</w:t>
                  </w:r>
                </w:p>
              </w:tc>
              <w:tc>
                <w:tcPr>
                  <w:tcW w:w="18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87AC7" w:rsidRPr="003E743A" w:rsidRDefault="00787AC7" w:rsidP="00787AC7">
                  <w:pPr>
                    <w:spacing w:after="0"/>
                    <w:jc w:val="both"/>
                    <w:rPr>
                      <w:rFonts w:ascii="Times New Roman" w:hAnsi="Times New Roman" w:cs="Times New Roman"/>
                      <w:sz w:val="24"/>
                      <w:szCs w:val="24"/>
                    </w:rPr>
                  </w:pPr>
                </w:p>
              </w:tc>
              <w:tc>
                <w:tcPr>
                  <w:tcW w:w="183" w:type="pct"/>
                  <w:tcBorders>
                    <w:top w:val="single" w:sz="4" w:space="0" w:color="auto"/>
                    <w:left w:val="single" w:sz="4" w:space="0" w:color="auto"/>
                    <w:bottom w:val="single" w:sz="4" w:space="0" w:color="auto"/>
                    <w:right w:val="single" w:sz="4" w:space="0" w:color="auto"/>
                  </w:tcBorders>
                  <w:shd w:val="clear" w:color="auto" w:fill="FFFFFF" w:themeFill="background1"/>
                </w:tcPr>
                <w:p w:rsidR="00787AC7" w:rsidRPr="003E743A" w:rsidRDefault="00BE1691" w:rsidP="00787AC7">
                  <w:pPr>
                    <w:spacing w:after="0"/>
                    <w:jc w:val="both"/>
                    <w:rPr>
                      <w:rFonts w:ascii="Times New Roman" w:hAnsi="Times New Roman" w:cs="Times New Roman"/>
                      <w:sz w:val="24"/>
                      <w:szCs w:val="24"/>
                    </w:rPr>
                  </w:pPr>
                  <w:r>
                    <w:rPr>
                      <w:rFonts w:ascii="Times New Roman" w:hAnsi="Times New Roman" w:cs="Times New Roman"/>
                      <w:sz w:val="24"/>
                      <w:szCs w:val="24"/>
                    </w:rPr>
                    <w:t>*</w:t>
                  </w:r>
                </w:p>
              </w:tc>
              <w:tc>
                <w:tcPr>
                  <w:tcW w:w="182" w:type="pct"/>
                  <w:tcBorders>
                    <w:top w:val="single" w:sz="4" w:space="0" w:color="auto"/>
                    <w:left w:val="single" w:sz="4" w:space="0" w:color="auto"/>
                    <w:bottom w:val="single" w:sz="4" w:space="0" w:color="auto"/>
                    <w:right w:val="single" w:sz="4" w:space="0" w:color="auto"/>
                  </w:tcBorders>
                  <w:shd w:val="clear" w:color="auto" w:fill="FFFFFF" w:themeFill="background1"/>
                </w:tcPr>
                <w:p w:rsidR="00787AC7" w:rsidRPr="003E743A" w:rsidRDefault="00787AC7" w:rsidP="00787AC7">
                  <w:pPr>
                    <w:spacing w:after="0"/>
                    <w:jc w:val="both"/>
                    <w:rPr>
                      <w:rFonts w:ascii="Times New Roman" w:hAnsi="Times New Roman" w:cs="Times New Roman"/>
                      <w:sz w:val="24"/>
                      <w:szCs w:val="24"/>
                    </w:rPr>
                  </w:pPr>
                </w:p>
              </w:tc>
              <w:tc>
                <w:tcPr>
                  <w:tcW w:w="138" w:type="pct"/>
                  <w:tcBorders>
                    <w:top w:val="single" w:sz="4" w:space="0" w:color="auto"/>
                    <w:left w:val="single" w:sz="4" w:space="0" w:color="auto"/>
                    <w:bottom w:val="single" w:sz="4" w:space="0" w:color="auto"/>
                    <w:right w:val="single" w:sz="4" w:space="0" w:color="auto"/>
                  </w:tcBorders>
                  <w:shd w:val="clear" w:color="auto" w:fill="FFFFFF" w:themeFill="background1"/>
                </w:tcPr>
                <w:p w:rsidR="00787AC7" w:rsidRPr="003E743A" w:rsidRDefault="00BE1691" w:rsidP="00787AC7">
                  <w:pPr>
                    <w:spacing w:after="0"/>
                    <w:jc w:val="both"/>
                    <w:rPr>
                      <w:rFonts w:ascii="Times New Roman" w:hAnsi="Times New Roman" w:cs="Times New Roman"/>
                      <w:sz w:val="24"/>
                      <w:szCs w:val="24"/>
                    </w:rPr>
                  </w:pPr>
                  <w:r>
                    <w:rPr>
                      <w:rFonts w:ascii="Times New Roman" w:hAnsi="Times New Roman" w:cs="Times New Roman"/>
                      <w:sz w:val="24"/>
                      <w:szCs w:val="24"/>
                    </w:rPr>
                    <w:t>*</w:t>
                  </w:r>
                </w:p>
              </w:tc>
              <w:tc>
                <w:tcPr>
                  <w:tcW w:w="127" w:type="pct"/>
                  <w:tcBorders>
                    <w:top w:val="single" w:sz="4" w:space="0" w:color="auto"/>
                    <w:left w:val="single" w:sz="4" w:space="0" w:color="auto"/>
                    <w:bottom w:val="single" w:sz="4" w:space="0" w:color="auto"/>
                    <w:right w:val="single" w:sz="4" w:space="0" w:color="auto"/>
                  </w:tcBorders>
                  <w:shd w:val="clear" w:color="auto" w:fill="FFFFFF" w:themeFill="background1"/>
                </w:tcPr>
                <w:p w:rsidR="00787AC7" w:rsidRPr="003E743A" w:rsidRDefault="00BE1691" w:rsidP="00787AC7">
                  <w:pPr>
                    <w:spacing w:after="0"/>
                    <w:jc w:val="both"/>
                    <w:rPr>
                      <w:rFonts w:ascii="Times New Roman" w:hAnsi="Times New Roman" w:cs="Times New Roman"/>
                      <w:sz w:val="24"/>
                      <w:szCs w:val="24"/>
                    </w:rPr>
                  </w:pPr>
                  <w:r>
                    <w:rPr>
                      <w:rFonts w:ascii="Times New Roman" w:hAnsi="Times New Roman" w:cs="Times New Roman"/>
                      <w:sz w:val="24"/>
                      <w:szCs w:val="24"/>
                    </w:rPr>
                    <w:t>*</w:t>
                  </w:r>
                </w:p>
              </w:tc>
            </w:tr>
          </w:tbl>
          <w:p w:rsidR="00136836" w:rsidRDefault="00136836" w:rsidP="007F3DC3">
            <w:pPr>
              <w:jc w:val="center"/>
              <w:rPr>
                <w:rFonts w:ascii="Times New Roman" w:hAnsi="Times New Roman" w:cs="Times New Roman"/>
                <w:b/>
                <w:sz w:val="20"/>
                <w:szCs w:val="20"/>
              </w:rPr>
            </w:pPr>
          </w:p>
        </w:tc>
      </w:tr>
    </w:tbl>
    <w:p w:rsidR="007F3DC3" w:rsidRPr="00406AAA" w:rsidRDefault="007F3DC3" w:rsidP="007F3DC3">
      <w:pPr>
        <w:tabs>
          <w:tab w:val="left" w:pos="2364"/>
        </w:tabs>
        <w:jc w:val="both"/>
        <w:rPr>
          <w:rFonts w:ascii="Times New Roman" w:hAnsi="Times New Roman" w:cs="Times New Roman"/>
        </w:rPr>
        <w:sectPr w:rsidR="007F3DC3" w:rsidRPr="00406AAA" w:rsidSect="00960124">
          <w:pgSz w:w="16838" w:h="11906" w:orient="landscape"/>
          <w:pgMar w:top="567" w:right="1418" w:bottom="1418" w:left="1418" w:header="426" w:footer="709" w:gutter="0"/>
          <w:cols w:space="708"/>
          <w:docGrid w:linePitch="360"/>
        </w:sectPr>
      </w:pPr>
      <w:bookmarkStart w:id="284" w:name="_Toc477774487"/>
      <w:bookmarkStart w:id="285" w:name="_Toc491267552"/>
      <w:bookmarkStart w:id="286" w:name="_Toc505616467"/>
      <w:bookmarkStart w:id="287" w:name="_Toc515981059"/>
      <w:bookmarkEnd w:id="280"/>
      <w:bookmarkEnd w:id="281"/>
      <w:bookmarkEnd w:id="282"/>
      <w:bookmarkEnd w:id="283"/>
    </w:p>
    <w:p w:rsidR="007F3DC3" w:rsidRPr="00615465" w:rsidRDefault="00615465" w:rsidP="00615465">
      <w:pPr>
        <w:pStyle w:val="PargrafodaLista"/>
        <w:keepNext/>
        <w:spacing w:before="240" w:after="240"/>
        <w:ind w:left="1158" w:right="284" w:firstLine="258"/>
        <w:jc w:val="both"/>
        <w:outlineLvl w:val="2"/>
        <w:rPr>
          <w:rFonts w:ascii="Times New Roman" w:hAnsi="Times New Roman"/>
          <w:b/>
          <w:sz w:val="24"/>
          <w:szCs w:val="24"/>
          <w:lang w:val="fr-FR" w:eastAsia="fr-FR"/>
        </w:rPr>
      </w:pPr>
      <w:bookmarkStart w:id="288" w:name="_Toc535396947"/>
      <w:bookmarkStart w:id="289" w:name="_Toc6310487"/>
      <w:bookmarkStart w:id="290" w:name="_Toc51072569"/>
      <w:r>
        <w:rPr>
          <w:rFonts w:ascii="Times New Roman" w:hAnsi="Times New Roman"/>
          <w:b/>
          <w:sz w:val="24"/>
          <w:szCs w:val="24"/>
          <w:lang w:val="fr-FR" w:eastAsia="fr-FR"/>
        </w:rPr>
        <w:lastRenderedPageBreak/>
        <w:t>6.1.2</w:t>
      </w:r>
      <w:r w:rsidR="007F3DC3" w:rsidRPr="00615465">
        <w:rPr>
          <w:rFonts w:ascii="Times New Roman" w:hAnsi="Times New Roman"/>
          <w:b/>
          <w:sz w:val="24"/>
          <w:szCs w:val="24"/>
          <w:lang w:val="fr-FR" w:eastAsia="fr-FR"/>
        </w:rPr>
        <w:t>. Caractérisation des impacts</w:t>
      </w:r>
      <w:bookmarkEnd w:id="284"/>
      <w:bookmarkEnd w:id="285"/>
      <w:bookmarkEnd w:id="286"/>
      <w:bookmarkEnd w:id="287"/>
      <w:bookmarkEnd w:id="288"/>
      <w:bookmarkEnd w:id="289"/>
      <w:bookmarkEnd w:id="290"/>
    </w:p>
    <w:p w:rsidR="007F3DC3" w:rsidRPr="003E743A" w:rsidRDefault="007F3DC3" w:rsidP="007F3DC3">
      <w:pPr>
        <w:jc w:val="both"/>
        <w:rPr>
          <w:rFonts w:ascii="Times New Roman" w:hAnsi="Times New Roman" w:cs="Times New Roman"/>
          <w:sz w:val="24"/>
          <w:szCs w:val="24"/>
        </w:rPr>
      </w:pPr>
      <w:r w:rsidRPr="003E743A">
        <w:rPr>
          <w:rFonts w:ascii="Times New Roman" w:hAnsi="Times New Roman" w:cs="Times New Roman"/>
          <w:sz w:val="24"/>
          <w:szCs w:val="24"/>
        </w:rPr>
        <w:t>Les impacts identifiés sont analysés à l’aide d’un outil de caractérisation qui permet d’évaluer l’importance des impacts prévisibles en fonction des critères d’intensité, d’étendue et de durée</w:t>
      </w:r>
      <w:r w:rsidR="00E15410">
        <w:rPr>
          <w:rFonts w:ascii="Times New Roman" w:hAnsi="Times New Roman" w:cs="Times New Roman"/>
          <w:sz w:val="24"/>
          <w:szCs w:val="24"/>
        </w:rPr>
        <w:t xml:space="preserve"> (Fig. 8</w:t>
      </w:r>
      <w:r>
        <w:rPr>
          <w:rFonts w:ascii="Times New Roman" w:hAnsi="Times New Roman" w:cs="Times New Roman"/>
          <w:sz w:val="24"/>
          <w:szCs w:val="24"/>
        </w:rPr>
        <w:t xml:space="preserve"> ci-dessous)</w:t>
      </w:r>
      <w:r w:rsidRPr="003E743A">
        <w:rPr>
          <w:rFonts w:ascii="Times New Roman" w:hAnsi="Times New Roman" w:cs="Times New Roman"/>
          <w:sz w:val="24"/>
          <w:szCs w:val="24"/>
        </w:rPr>
        <w:t xml:space="preserve">. Bien que l’évaluation de l’importance des impacts soit une étape où la subjectivité intervienne fortement, les critères d’évaluation sont définis pour que les experts en aient le même entendement. </w:t>
      </w:r>
    </w:p>
    <w:p w:rsidR="007F3DC3" w:rsidRPr="003E743A" w:rsidRDefault="007F3DC3" w:rsidP="007F3DC3">
      <w:pPr>
        <w:tabs>
          <w:tab w:val="left" w:pos="4430"/>
          <w:tab w:val="left" w:pos="5243"/>
        </w:tabs>
        <w:jc w:val="both"/>
        <w:rPr>
          <w:rFonts w:ascii="Times New Roman" w:hAnsi="Times New Roman" w:cs="Times New Roman"/>
        </w:rPr>
      </w:pPr>
      <w:r>
        <w:rPr>
          <w:rFonts w:ascii="Times New Roman" w:hAnsi="Times New Roman" w:cs="Times New Roman"/>
          <w:noProof/>
          <w:lang w:val="pt-PT" w:eastAsia="pt-PT"/>
        </w:rPr>
        <mc:AlternateContent>
          <mc:Choice Requires="wpg">
            <w:drawing>
              <wp:anchor distT="0" distB="0" distL="114300" distR="114300" simplePos="0" relativeHeight="252208640" behindDoc="0" locked="0" layoutInCell="1" allowOverlap="1" wp14:anchorId="180AB478" wp14:editId="6DBA1F48">
                <wp:simplePos x="0" y="0"/>
                <wp:positionH relativeFrom="column">
                  <wp:posOffset>24130</wp:posOffset>
                </wp:positionH>
                <wp:positionV relativeFrom="paragraph">
                  <wp:posOffset>255270</wp:posOffset>
                </wp:positionV>
                <wp:extent cx="5953942" cy="3473454"/>
                <wp:effectExtent l="0" t="0" r="27940" b="12700"/>
                <wp:wrapNone/>
                <wp:docPr id="116" name="Groupe 116"/>
                <wp:cNvGraphicFramePr/>
                <a:graphic xmlns:a="http://schemas.openxmlformats.org/drawingml/2006/main">
                  <a:graphicData uri="http://schemas.microsoft.com/office/word/2010/wordprocessingGroup">
                    <wpg:wgp>
                      <wpg:cNvGrpSpPr/>
                      <wpg:grpSpPr>
                        <a:xfrm>
                          <a:off x="0" y="0"/>
                          <a:ext cx="5953942" cy="3473454"/>
                          <a:chOff x="0" y="0"/>
                          <a:chExt cx="5953942" cy="3473454"/>
                        </a:xfrm>
                      </wpg:grpSpPr>
                      <wps:wsp>
                        <wps:cNvPr id="1999" name="Rectangle à coins arrondis 1999"/>
                        <wps:cNvSpPr/>
                        <wps:spPr>
                          <a:xfrm>
                            <a:off x="2885704" y="1377537"/>
                            <a:ext cx="1354455" cy="789940"/>
                          </a:xfrm>
                          <a:prstGeom prst="roundRect">
                            <a:avLst/>
                          </a:prstGeom>
                        </wps:spPr>
                        <wps:style>
                          <a:lnRef idx="2">
                            <a:schemeClr val="accent4">
                              <a:shade val="50000"/>
                            </a:schemeClr>
                          </a:lnRef>
                          <a:fillRef idx="1">
                            <a:schemeClr val="accent4"/>
                          </a:fillRef>
                          <a:effectRef idx="0">
                            <a:schemeClr val="accent4"/>
                          </a:effectRef>
                          <a:fontRef idx="minor">
                            <a:schemeClr val="lt1"/>
                          </a:fontRef>
                        </wps:style>
                        <wps:txbx>
                          <w:txbxContent>
                            <w:p w:rsidR="003C548E" w:rsidRPr="003531A3" w:rsidRDefault="003C548E" w:rsidP="007F3DC3">
                              <w:pPr>
                                <w:jc w:val="center"/>
                                <w:rPr>
                                  <w:b/>
                                  <w:sz w:val="20"/>
                                  <w:szCs w:val="20"/>
                                </w:rPr>
                              </w:pPr>
                              <w:r>
                                <w:rPr>
                                  <w:b/>
                                  <w:sz w:val="20"/>
                                  <w:szCs w:val="20"/>
                                </w:rPr>
                                <w:t xml:space="preserve">Caractérisation de la </w:t>
                              </w:r>
                              <w:r w:rsidRPr="003531A3">
                                <w:rPr>
                                  <w:b/>
                                  <w:sz w:val="20"/>
                                  <w:szCs w:val="20"/>
                                </w:rPr>
                                <w:t>perturbation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00" name="Rectangle à coins arrondis 2000"/>
                        <wps:cNvSpPr/>
                        <wps:spPr>
                          <a:xfrm>
                            <a:off x="1365663" y="1353787"/>
                            <a:ext cx="1286510" cy="812800"/>
                          </a:xfrm>
                          <a:prstGeom prst="roundRect">
                            <a:avLst/>
                          </a:prstGeom>
                        </wps:spPr>
                        <wps:style>
                          <a:lnRef idx="2">
                            <a:schemeClr val="accent4">
                              <a:shade val="50000"/>
                            </a:schemeClr>
                          </a:lnRef>
                          <a:fillRef idx="1">
                            <a:schemeClr val="accent4"/>
                          </a:fillRef>
                          <a:effectRef idx="0">
                            <a:schemeClr val="accent4"/>
                          </a:effectRef>
                          <a:fontRef idx="minor">
                            <a:schemeClr val="lt1"/>
                          </a:fontRef>
                        </wps:style>
                        <wps:txbx>
                          <w:txbxContent>
                            <w:p w:rsidR="003C548E" w:rsidRPr="003531A3" w:rsidRDefault="003C548E" w:rsidP="007F3DC3">
                              <w:pPr>
                                <w:jc w:val="center"/>
                                <w:rPr>
                                  <w:b/>
                                  <w:sz w:val="20"/>
                                  <w:szCs w:val="20"/>
                                </w:rPr>
                              </w:pPr>
                              <w:r w:rsidRPr="003531A3">
                                <w:rPr>
                                  <w:b/>
                                  <w:sz w:val="20"/>
                                  <w:szCs w:val="20"/>
                                </w:rPr>
                                <w:t>Interventions et activités du projet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93" name="Rectangle à coins arrondis 1993"/>
                        <wps:cNvSpPr/>
                        <wps:spPr>
                          <a:xfrm>
                            <a:off x="4441372" y="1353787"/>
                            <a:ext cx="1512570" cy="846455"/>
                          </a:xfrm>
                          <a:prstGeom prst="roundRect">
                            <a:avLst/>
                          </a:prstGeom>
                        </wps:spPr>
                        <wps:style>
                          <a:lnRef idx="2">
                            <a:schemeClr val="accent4">
                              <a:shade val="50000"/>
                            </a:schemeClr>
                          </a:lnRef>
                          <a:fillRef idx="1">
                            <a:schemeClr val="accent4"/>
                          </a:fillRef>
                          <a:effectRef idx="0">
                            <a:schemeClr val="accent4"/>
                          </a:effectRef>
                          <a:fontRef idx="minor">
                            <a:schemeClr val="lt1"/>
                          </a:fontRef>
                        </wps:style>
                        <wps:txbx>
                          <w:txbxContent>
                            <w:p w:rsidR="003C548E" w:rsidRPr="003531A3" w:rsidRDefault="003C548E" w:rsidP="007F3DC3">
                              <w:pPr>
                                <w:jc w:val="center"/>
                                <w:rPr>
                                  <w:b/>
                                  <w:sz w:val="18"/>
                                  <w:szCs w:val="18"/>
                                </w:rPr>
                              </w:pPr>
                              <w:r>
                                <w:rPr>
                                  <w:b/>
                                  <w:sz w:val="18"/>
                                  <w:szCs w:val="18"/>
                                </w:rPr>
                                <w:t>Evaluation de l’importance de l’impact</w:t>
                              </w:r>
                            </w:p>
                            <w:p w:rsidR="003C548E" w:rsidRPr="003E32DB" w:rsidRDefault="003C548E" w:rsidP="007F3DC3">
                              <w:pPr>
                                <w:jc w:val="center"/>
                                <w:rPr>
                                  <w:sz w:val="18"/>
                                  <w:szCs w:val="18"/>
                                </w:rPr>
                              </w:pPr>
                              <w:r w:rsidRPr="003E32DB">
                                <w:rPr>
                                  <w:sz w:val="18"/>
                                  <w:szCs w:val="18"/>
                                </w:rPr>
                                <w:t>Forte, Moyenne, Faible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7" name="Rectangle à coins arrondis 97"/>
                        <wps:cNvSpPr/>
                        <wps:spPr>
                          <a:xfrm>
                            <a:off x="0" y="23748"/>
                            <a:ext cx="1388110" cy="665021"/>
                          </a:xfrm>
                          <a:prstGeom prst="roundRect">
                            <a:avLst/>
                          </a:prstGeom>
                        </wps:spPr>
                        <wps:style>
                          <a:lnRef idx="1">
                            <a:schemeClr val="accent1"/>
                          </a:lnRef>
                          <a:fillRef idx="2">
                            <a:schemeClr val="accent1"/>
                          </a:fillRef>
                          <a:effectRef idx="1">
                            <a:schemeClr val="accent1"/>
                          </a:effectRef>
                          <a:fontRef idx="minor">
                            <a:schemeClr val="dk1"/>
                          </a:fontRef>
                        </wps:style>
                        <wps:txbx>
                          <w:txbxContent>
                            <w:p w:rsidR="003C548E" w:rsidRPr="003531A3" w:rsidRDefault="003C548E" w:rsidP="007F3DC3">
                              <w:pPr>
                                <w:jc w:val="center"/>
                                <w:rPr>
                                  <w:b/>
                                  <w:szCs w:val="20"/>
                                </w:rPr>
                              </w:pPr>
                              <w:r>
                                <w:rPr>
                                  <w:b/>
                                  <w:szCs w:val="20"/>
                                </w:rPr>
                                <w:t xml:space="preserve">Composantes du </w:t>
                              </w:r>
                              <w:r w:rsidRPr="003531A3">
                                <w:rPr>
                                  <w:b/>
                                  <w:szCs w:val="20"/>
                                </w:rPr>
                                <w:t>milieu naturel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01" name="Rectangle à coins arrondis 2001"/>
                        <wps:cNvSpPr/>
                        <wps:spPr>
                          <a:xfrm>
                            <a:off x="11876" y="1341911"/>
                            <a:ext cx="1264355" cy="823806"/>
                          </a:xfrm>
                          <a:prstGeom prst="roundRect">
                            <a:avLst/>
                          </a:prstGeom>
                        </wps:spPr>
                        <wps:style>
                          <a:lnRef idx="2">
                            <a:schemeClr val="accent2">
                              <a:shade val="50000"/>
                            </a:schemeClr>
                          </a:lnRef>
                          <a:fillRef idx="1">
                            <a:schemeClr val="accent2"/>
                          </a:fillRef>
                          <a:effectRef idx="0">
                            <a:schemeClr val="accent2"/>
                          </a:effectRef>
                          <a:fontRef idx="minor">
                            <a:schemeClr val="lt1"/>
                          </a:fontRef>
                        </wps:style>
                        <wps:txbx>
                          <w:txbxContent>
                            <w:p w:rsidR="003C548E" w:rsidRPr="003531A3" w:rsidRDefault="003C548E" w:rsidP="007F3DC3">
                              <w:pPr>
                                <w:jc w:val="center"/>
                                <w:rPr>
                                  <w:b/>
                                  <w:sz w:val="20"/>
                                  <w:szCs w:val="20"/>
                                </w:rPr>
                              </w:pPr>
                              <w:r w:rsidRPr="003531A3">
                                <w:rPr>
                                  <w:b/>
                                  <w:sz w:val="20"/>
                                  <w:szCs w:val="20"/>
                                </w:rPr>
                                <w:t>Interventions et activités du projet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75" name="Rectangle à coins arrondis 1975"/>
                        <wps:cNvSpPr/>
                        <wps:spPr>
                          <a:xfrm>
                            <a:off x="23751" y="2660072"/>
                            <a:ext cx="1252855" cy="812800"/>
                          </a:xfrm>
                          <a:prstGeom prst="roundRect">
                            <a:avLst/>
                          </a:prstGeom>
                        </wps:spPr>
                        <wps:style>
                          <a:lnRef idx="1">
                            <a:schemeClr val="accent3"/>
                          </a:lnRef>
                          <a:fillRef idx="2">
                            <a:schemeClr val="accent3"/>
                          </a:fillRef>
                          <a:effectRef idx="1">
                            <a:schemeClr val="accent3"/>
                          </a:effectRef>
                          <a:fontRef idx="minor">
                            <a:schemeClr val="dk1"/>
                          </a:fontRef>
                        </wps:style>
                        <wps:txbx>
                          <w:txbxContent>
                            <w:p w:rsidR="003C548E" w:rsidRPr="003531A3" w:rsidRDefault="003C548E" w:rsidP="007F3DC3">
                              <w:pPr>
                                <w:jc w:val="center"/>
                                <w:rPr>
                                  <w:b/>
                                  <w:sz w:val="20"/>
                                  <w:szCs w:val="20"/>
                                </w:rPr>
                              </w:pPr>
                              <w:r w:rsidRPr="003531A3">
                                <w:rPr>
                                  <w:b/>
                                  <w:sz w:val="20"/>
                                  <w:szCs w:val="20"/>
                                </w:rPr>
                                <w:t>Composantes du milieu humain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76" name="Rectangle à coins arrondis 1676"/>
                        <wps:cNvSpPr/>
                        <wps:spPr>
                          <a:xfrm>
                            <a:off x="2909455" y="0"/>
                            <a:ext cx="1264285" cy="902970"/>
                          </a:xfrm>
                          <a:prstGeom prst="roundRect">
                            <a:avLst/>
                          </a:prstGeom>
                        </wps:spPr>
                        <wps:style>
                          <a:lnRef idx="3">
                            <a:schemeClr val="lt1"/>
                          </a:lnRef>
                          <a:fillRef idx="1">
                            <a:schemeClr val="accent6"/>
                          </a:fillRef>
                          <a:effectRef idx="1">
                            <a:schemeClr val="accent6"/>
                          </a:effectRef>
                          <a:fontRef idx="minor">
                            <a:schemeClr val="lt1"/>
                          </a:fontRef>
                        </wps:style>
                        <wps:txbx>
                          <w:txbxContent>
                            <w:p w:rsidR="003C548E" w:rsidRPr="003531A3" w:rsidRDefault="003C548E" w:rsidP="007F3DC3">
                              <w:pPr>
                                <w:jc w:val="center"/>
                                <w:rPr>
                                  <w:b/>
                                  <w:sz w:val="20"/>
                                  <w:szCs w:val="20"/>
                                </w:rPr>
                              </w:pPr>
                              <w:r w:rsidRPr="003531A3">
                                <w:rPr>
                                  <w:b/>
                                  <w:sz w:val="20"/>
                                  <w:szCs w:val="20"/>
                                </w:rPr>
                                <w:t>Intensité</w:t>
                              </w:r>
                            </w:p>
                            <w:p w:rsidR="003C548E" w:rsidRDefault="003C548E" w:rsidP="007F3DC3">
                              <w:pPr>
                                <w:jc w:val="center"/>
                              </w:pPr>
                              <w:r w:rsidRPr="003531A3">
                                <w:rPr>
                                  <w:sz w:val="20"/>
                                  <w:szCs w:val="20"/>
                                </w:rPr>
                                <w:t>Forte, Moyenne</w:t>
                              </w:r>
                              <w:r>
                                <w:t xml:space="preserve">, </w:t>
                              </w:r>
                              <w:r w:rsidRPr="00477AA3">
                                <w:rPr>
                                  <w:sz w:val="20"/>
                                  <w:szCs w:val="20"/>
                                </w:rPr>
                                <w:t>Faible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97" name="Rectangle à coins arrondis 1997"/>
                        <wps:cNvSpPr/>
                        <wps:spPr>
                          <a:xfrm>
                            <a:off x="1990725" y="2671942"/>
                            <a:ext cx="1685813" cy="789940"/>
                          </a:xfrm>
                          <a:prstGeom prst="roundRect">
                            <a:avLst/>
                          </a:prstGeom>
                        </wps:spPr>
                        <wps:style>
                          <a:lnRef idx="2">
                            <a:schemeClr val="accent6">
                              <a:shade val="50000"/>
                            </a:schemeClr>
                          </a:lnRef>
                          <a:fillRef idx="1">
                            <a:schemeClr val="accent6"/>
                          </a:fillRef>
                          <a:effectRef idx="0">
                            <a:schemeClr val="accent6"/>
                          </a:effectRef>
                          <a:fontRef idx="minor">
                            <a:schemeClr val="lt1"/>
                          </a:fontRef>
                        </wps:style>
                        <wps:txbx>
                          <w:txbxContent>
                            <w:p w:rsidR="003C548E" w:rsidRPr="003531A3" w:rsidRDefault="003C548E" w:rsidP="007F3DC3">
                              <w:pPr>
                                <w:jc w:val="center"/>
                                <w:rPr>
                                  <w:b/>
                                  <w:sz w:val="20"/>
                                  <w:szCs w:val="20"/>
                                </w:rPr>
                              </w:pPr>
                              <w:r w:rsidRPr="003531A3">
                                <w:rPr>
                                  <w:b/>
                                  <w:sz w:val="20"/>
                                  <w:szCs w:val="20"/>
                                </w:rPr>
                                <w:t>Étendue</w:t>
                              </w:r>
                            </w:p>
                            <w:p w:rsidR="003C548E" w:rsidRPr="003531A3" w:rsidRDefault="003C548E" w:rsidP="007F3DC3">
                              <w:pPr>
                                <w:jc w:val="center"/>
                                <w:rPr>
                                  <w:sz w:val="20"/>
                                  <w:szCs w:val="20"/>
                                </w:rPr>
                              </w:pPr>
                              <w:r w:rsidRPr="003531A3">
                                <w:rPr>
                                  <w:sz w:val="20"/>
                                  <w:szCs w:val="20"/>
                                </w:rPr>
                                <w:t>Régionale, Locale,</w:t>
                              </w:r>
                              <w:r>
                                <w:rPr>
                                  <w:sz w:val="20"/>
                                  <w:szCs w:val="20"/>
                                </w:rPr>
                                <w:t xml:space="preserve"> ponctuelle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95" name="Rectangle à coins arrondis 1995"/>
                        <wps:cNvSpPr/>
                        <wps:spPr>
                          <a:xfrm>
                            <a:off x="3752259" y="2683514"/>
                            <a:ext cx="1724616" cy="789940"/>
                          </a:xfrm>
                          <a:prstGeom prst="roundRect">
                            <a:avLst/>
                          </a:prstGeom>
                        </wps:spPr>
                        <wps:style>
                          <a:lnRef idx="2">
                            <a:schemeClr val="accent6">
                              <a:shade val="50000"/>
                            </a:schemeClr>
                          </a:lnRef>
                          <a:fillRef idx="1">
                            <a:schemeClr val="accent6"/>
                          </a:fillRef>
                          <a:effectRef idx="0">
                            <a:schemeClr val="accent6"/>
                          </a:effectRef>
                          <a:fontRef idx="minor">
                            <a:schemeClr val="lt1"/>
                          </a:fontRef>
                        </wps:style>
                        <wps:txbx>
                          <w:txbxContent>
                            <w:p w:rsidR="003C548E" w:rsidRPr="003531A3" w:rsidRDefault="003C548E" w:rsidP="007F3DC3">
                              <w:pPr>
                                <w:jc w:val="center"/>
                                <w:rPr>
                                  <w:b/>
                                  <w:sz w:val="20"/>
                                  <w:szCs w:val="20"/>
                                </w:rPr>
                              </w:pPr>
                              <w:r w:rsidRPr="003531A3">
                                <w:rPr>
                                  <w:b/>
                                  <w:sz w:val="20"/>
                                  <w:szCs w:val="20"/>
                                </w:rPr>
                                <w:t>Durée</w:t>
                              </w:r>
                            </w:p>
                            <w:p w:rsidR="003C548E" w:rsidRPr="003531A3" w:rsidRDefault="003C548E" w:rsidP="007F3DC3">
                              <w:pPr>
                                <w:jc w:val="center"/>
                                <w:rPr>
                                  <w:sz w:val="20"/>
                                  <w:szCs w:val="20"/>
                                </w:rPr>
                              </w:pPr>
                              <w:r w:rsidRPr="003531A3">
                                <w:rPr>
                                  <w:sz w:val="20"/>
                                  <w:szCs w:val="20"/>
                                </w:rPr>
                                <w:t>Longue, Moyenne</w:t>
                              </w:r>
                              <w:r>
                                <w:rPr>
                                  <w:sz w:val="20"/>
                                  <w:szCs w:val="20"/>
                                </w:rPr>
                                <w:t>, courte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79" name="Connecteur droit 1979"/>
                        <wps:cNvCnPr/>
                        <wps:spPr>
                          <a:xfrm>
                            <a:off x="1389413" y="380010"/>
                            <a:ext cx="519712" cy="0"/>
                          </a:xfrm>
                          <a:prstGeom prst="line">
                            <a:avLst/>
                          </a:prstGeom>
                        </wps:spPr>
                        <wps:style>
                          <a:lnRef idx="3">
                            <a:schemeClr val="accent1"/>
                          </a:lnRef>
                          <a:fillRef idx="0">
                            <a:schemeClr val="accent1"/>
                          </a:fillRef>
                          <a:effectRef idx="2">
                            <a:schemeClr val="accent1"/>
                          </a:effectRef>
                          <a:fontRef idx="minor">
                            <a:schemeClr val="tx1"/>
                          </a:fontRef>
                        </wps:style>
                        <wps:bodyPr/>
                      </wps:wsp>
                      <wps:wsp>
                        <wps:cNvPr id="1978" name="Connecteur droit avec flèche 1978"/>
                        <wps:cNvCnPr/>
                        <wps:spPr>
                          <a:xfrm>
                            <a:off x="1911928" y="380010"/>
                            <a:ext cx="0" cy="959556"/>
                          </a:xfrm>
                          <a:prstGeom prst="straightConnector1">
                            <a:avLst/>
                          </a:prstGeom>
                          <a:ln>
                            <a:tailEnd type="arrow"/>
                          </a:ln>
                        </wps:spPr>
                        <wps:style>
                          <a:lnRef idx="3">
                            <a:schemeClr val="accent1"/>
                          </a:lnRef>
                          <a:fillRef idx="0">
                            <a:schemeClr val="accent1"/>
                          </a:fillRef>
                          <a:effectRef idx="2">
                            <a:schemeClr val="accent1"/>
                          </a:effectRef>
                          <a:fontRef idx="minor">
                            <a:schemeClr val="tx1"/>
                          </a:fontRef>
                        </wps:style>
                        <wps:bodyPr/>
                      </wps:wsp>
                      <wps:wsp>
                        <wps:cNvPr id="1938" name="Connecteur droit 1938"/>
                        <wps:cNvCnPr/>
                        <wps:spPr>
                          <a:xfrm flipV="1">
                            <a:off x="1270660" y="3051958"/>
                            <a:ext cx="632248" cy="11289"/>
                          </a:xfrm>
                          <a:prstGeom prst="line">
                            <a:avLst/>
                          </a:prstGeom>
                        </wps:spPr>
                        <wps:style>
                          <a:lnRef idx="3">
                            <a:schemeClr val="accent1"/>
                          </a:lnRef>
                          <a:fillRef idx="0">
                            <a:schemeClr val="accent1"/>
                          </a:fillRef>
                          <a:effectRef idx="2">
                            <a:schemeClr val="accent1"/>
                          </a:effectRef>
                          <a:fontRef idx="minor">
                            <a:schemeClr val="tx1"/>
                          </a:fontRef>
                        </wps:style>
                        <wps:bodyPr/>
                      </wps:wsp>
                      <wps:wsp>
                        <wps:cNvPr id="1684" name="Connecteur droit avec flèche 1684"/>
                        <wps:cNvCnPr/>
                        <wps:spPr>
                          <a:xfrm flipV="1">
                            <a:off x="1911928" y="2161309"/>
                            <a:ext cx="0" cy="891329"/>
                          </a:xfrm>
                          <a:prstGeom prst="straightConnector1">
                            <a:avLst/>
                          </a:prstGeom>
                          <a:ln>
                            <a:tailEnd type="arrow"/>
                          </a:ln>
                        </wps:spPr>
                        <wps:style>
                          <a:lnRef idx="3">
                            <a:schemeClr val="accent1"/>
                          </a:lnRef>
                          <a:fillRef idx="0">
                            <a:schemeClr val="accent1"/>
                          </a:fillRef>
                          <a:effectRef idx="2">
                            <a:schemeClr val="accent1"/>
                          </a:effectRef>
                          <a:fontRef idx="minor">
                            <a:schemeClr val="tx1"/>
                          </a:fontRef>
                        </wps:style>
                        <wps:bodyPr/>
                      </wps:wsp>
                      <wps:wsp>
                        <wps:cNvPr id="88" name="Connecteur droit avec flèche 88"/>
                        <wps:cNvCnPr/>
                        <wps:spPr>
                          <a:xfrm flipH="1">
                            <a:off x="3111335" y="2196935"/>
                            <a:ext cx="413467" cy="461175"/>
                          </a:xfrm>
                          <a:prstGeom prst="straightConnector1">
                            <a:avLst/>
                          </a:prstGeom>
                          <a:ln>
                            <a:tailEnd type="arrow"/>
                          </a:ln>
                        </wps:spPr>
                        <wps:style>
                          <a:lnRef idx="3">
                            <a:schemeClr val="accent1"/>
                          </a:lnRef>
                          <a:fillRef idx="0">
                            <a:schemeClr val="accent1"/>
                          </a:fillRef>
                          <a:effectRef idx="2">
                            <a:schemeClr val="accent1"/>
                          </a:effectRef>
                          <a:fontRef idx="minor">
                            <a:schemeClr val="tx1"/>
                          </a:fontRef>
                        </wps:style>
                        <wps:bodyPr/>
                      </wps:wsp>
                      <wps:wsp>
                        <wps:cNvPr id="91" name="Connecteur droit avec flèche 91"/>
                        <wps:cNvCnPr/>
                        <wps:spPr>
                          <a:xfrm>
                            <a:off x="3918857" y="2291937"/>
                            <a:ext cx="259581" cy="310176"/>
                          </a:xfrm>
                          <a:prstGeom prst="straightConnector1">
                            <a:avLst/>
                          </a:prstGeom>
                          <a:ln>
                            <a:tailEnd type="arrow"/>
                          </a:ln>
                        </wps:spPr>
                        <wps:style>
                          <a:lnRef idx="3">
                            <a:schemeClr val="accent1"/>
                          </a:lnRef>
                          <a:fillRef idx="0">
                            <a:schemeClr val="accent1"/>
                          </a:fillRef>
                          <a:effectRef idx="2">
                            <a:schemeClr val="accent1"/>
                          </a:effectRef>
                          <a:fontRef idx="minor">
                            <a:schemeClr val="tx1"/>
                          </a:fontRef>
                        </wps:style>
                        <wps:bodyPr/>
                      </wps:wsp>
                    </wpg:wgp>
                  </a:graphicData>
                </a:graphic>
              </wp:anchor>
            </w:drawing>
          </mc:Choice>
          <mc:Fallback xmlns:cx1="http://schemas.microsoft.com/office/drawing/2015/9/8/chartex">
            <w:pict>
              <v:group w14:anchorId="180AB478" id="Groupe 116" o:spid="_x0000_s1050" style="position:absolute;left:0;text-align:left;margin-left:1.9pt;margin-top:20.1pt;width:468.8pt;height:273.5pt;z-index:252208640" coordsize="59539,347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">
                <v:roundrect id="Rectangle à coins arrondis 1999" o:spid="_x0000_s1051" style="position:absolute;left:28857;top:13775;width:13544;height:789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" fillcolor="#ffc000 [3207]" strokecolor="#7f5f00 [1607]" strokeweight="1pt">
                  <v:stroke joinstyle="miter"/>
                  <v:textbox>
                    <w:txbxContent>
                      <w:p w:rsidR="003C548E" w:rsidRPr="003531A3" w:rsidRDefault="003C548E" w:rsidP="007F3DC3">
                        <w:pPr>
                          <w:jc w:val="center"/>
                          <w:rPr>
                            <w:b/>
                            <w:sz w:val="20"/>
                            <w:szCs w:val="20"/>
                          </w:rPr>
                        </w:pPr>
                        <w:r>
                          <w:rPr>
                            <w:b/>
                            <w:sz w:val="20"/>
                            <w:szCs w:val="20"/>
                          </w:rPr>
                          <w:t xml:space="preserve">Caractérisation de la </w:t>
                        </w:r>
                        <w:r w:rsidRPr="003531A3">
                          <w:rPr>
                            <w:b/>
                            <w:sz w:val="20"/>
                            <w:szCs w:val="20"/>
                          </w:rPr>
                          <w:t>perturbation</w:t>
                        </w:r>
                      </w:p>
                    </w:txbxContent>
                  </v:textbox>
                </v:roundrect>
                <v:roundrect id="Rectangle à coins arrondis 2000" o:spid="_x0000_s1052" style="position:absolute;left:13656;top:13537;width:12865;height:812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" fillcolor="#ffc000 [3207]" strokecolor="#7f5f00 [1607]" strokeweight="1pt">
                  <v:stroke joinstyle="miter"/>
                  <v:textbox>
                    <w:txbxContent>
                      <w:p w:rsidR="003C548E" w:rsidRPr="003531A3" w:rsidRDefault="003C548E" w:rsidP="007F3DC3">
                        <w:pPr>
                          <w:jc w:val="center"/>
                          <w:rPr>
                            <w:b/>
                            <w:sz w:val="20"/>
                            <w:szCs w:val="20"/>
                          </w:rPr>
                        </w:pPr>
                        <w:r w:rsidRPr="003531A3">
                          <w:rPr>
                            <w:b/>
                            <w:sz w:val="20"/>
                            <w:szCs w:val="20"/>
                          </w:rPr>
                          <w:t>Interventions et activités du projet</w:t>
                        </w:r>
                      </w:p>
                    </w:txbxContent>
                  </v:textbox>
                </v:roundrect>
                <v:roundrect id="Rectangle à coins arrondis 1993" o:spid="_x0000_s1053" style="position:absolute;left:44413;top:13537;width:15126;height:846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" fillcolor="#ffc000 [3207]" strokecolor="#7f5f00 [1607]" strokeweight="1pt">
                  <v:stroke joinstyle="miter"/>
                  <v:textbox>
                    <w:txbxContent>
                      <w:p w:rsidR="003C548E" w:rsidRPr="003531A3" w:rsidRDefault="003C548E" w:rsidP="007F3DC3">
                        <w:pPr>
                          <w:jc w:val="center"/>
                          <w:rPr>
                            <w:b/>
                            <w:sz w:val="18"/>
                            <w:szCs w:val="18"/>
                          </w:rPr>
                        </w:pPr>
                        <w:r>
                          <w:rPr>
                            <w:b/>
                            <w:sz w:val="18"/>
                            <w:szCs w:val="18"/>
                          </w:rPr>
                          <w:t>Evaluation de l’importance de l’impact</w:t>
                        </w:r>
                      </w:p>
                      <w:p w:rsidR="003C548E" w:rsidRPr="003E32DB" w:rsidRDefault="003C548E" w:rsidP="007F3DC3">
                        <w:pPr>
                          <w:jc w:val="center"/>
                          <w:rPr>
                            <w:sz w:val="18"/>
                            <w:szCs w:val="18"/>
                          </w:rPr>
                        </w:pPr>
                        <w:r w:rsidRPr="003E32DB">
                          <w:rPr>
                            <w:sz w:val="18"/>
                            <w:szCs w:val="18"/>
                          </w:rPr>
                          <w:t>Forte, Moyenne, Faible</w:t>
                        </w:r>
                      </w:p>
                    </w:txbxContent>
                  </v:textbox>
                </v:roundrect>
                <v:roundrect id="Rectangle à coins arrondis 97" o:spid="_x0000_s1054" style="position:absolute;top:237;width:13881;height:665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" fillcolor="#91bce3 [2164]" strokecolor="#5b9bd5 [3204]" strokeweight=".5pt">
                  <v:fill color2="#7aaddd [2612]" rotate="t" colors="0 #b1cbe9;.5 #a3c1e5;1 #92b9e4" focus="100%" type="gradient">
                    <o:fill v:ext="view" type="gradientUnscaled"/>
                  </v:fill>
                  <v:stroke joinstyle="miter"/>
                  <v:textbox>
                    <w:txbxContent>
                      <w:p w:rsidR="003C548E" w:rsidRPr="003531A3" w:rsidRDefault="003C548E" w:rsidP="007F3DC3">
                        <w:pPr>
                          <w:jc w:val="center"/>
                          <w:rPr>
                            <w:b/>
                            <w:szCs w:val="20"/>
                          </w:rPr>
                        </w:pPr>
                        <w:r>
                          <w:rPr>
                            <w:b/>
                            <w:szCs w:val="20"/>
                          </w:rPr>
                          <w:t xml:space="preserve">Composantes du </w:t>
                        </w:r>
                        <w:r w:rsidRPr="003531A3">
                          <w:rPr>
                            <w:b/>
                            <w:szCs w:val="20"/>
                          </w:rPr>
                          <w:t>milieu naturel</w:t>
                        </w:r>
                      </w:p>
                    </w:txbxContent>
                  </v:textbox>
                </v:roundrect>
                <v:roundrect id="Rectangle à coins arrondis 2001" o:spid="_x0000_s1055" style="position:absolute;left:118;top:13419;width:12644;height:823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" fillcolor="#ed7d31 [3205]" strokecolor="#823b0b [1605]" strokeweight="1pt">
                  <v:stroke joinstyle="miter"/>
                  <v:textbox>
                    <w:txbxContent>
                      <w:p w:rsidR="003C548E" w:rsidRPr="003531A3" w:rsidRDefault="003C548E" w:rsidP="007F3DC3">
                        <w:pPr>
                          <w:jc w:val="center"/>
                          <w:rPr>
                            <w:b/>
                            <w:sz w:val="20"/>
                            <w:szCs w:val="20"/>
                          </w:rPr>
                        </w:pPr>
                        <w:r w:rsidRPr="003531A3">
                          <w:rPr>
                            <w:b/>
                            <w:sz w:val="20"/>
                            <w:szCs w:val="20"/>
                          </w:rPr>
                          <w:t>Interventions et activités du projet</w:t>
                        </w:r>
                      </w:p>
                    </w:txbxContent>
                  </v:textbox>
                </v:roundrect>
                <v:roundrect id="Rectangle à coins arrondis 1975" o:spid="_x0000_s1056" style="position:absolute;left:237;top:26600;width:12529;height:812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" fillcolor="#c3c3c3 [2166]" strokecolor="#a5a5a5 [3206]" strokeweight=".5pt">
                  <v:fill color2="#b6b6b6 [2614]" rotate="t" colors="0 #d2d2d2;.5 #c8c8c8;1 silver" focus="100%" type="gradient">
                    <o:fill v:ext="view" type="gradientUnscaled"/>
                  </v:fill>
                  <v:stroke joinstyle="miter"/>
                  <v:textbox>
                    <w:txbxContent>
                      <w:p w:rsidR="003C548E" w:rsidRPr="003531A3" w:rsidRDefault="003C548E" w:rsidP="007F3DC3">
                        <w:pPr>
                          <w:jc w:val="center"/>
                          <w:rPr>
                            <w:b/>
                            <w:sz w:val="20"/>
                            <w:szCs w:val="20"/>
                          </w:rPr>
                        </w:pPr>
                        <w:r w:rsidRPr="003531A3">
                          <w:rPr>
                            <w:b/>
                            <w:sz w:val="20"/>
                            <w:szCs w:val="20"/>
                          </w:rPr>
                          <w:t>Composantes du milieu humain</w:t>
                        </w:r>
                      </w:p>
                    </w:txbxContent>
                  </v:textbox>
                </v:roundrect>
                <v:roundrect id="Rectangle à coins arrondis 1676" o:spid="_x0000_s1057" style="position:absolute;left:29094;width:12643;height:902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" fillcolor="#70ad47 [3209]" strokecolor="white [3201]" strokeweight="1.5pt">
                  <v:stroke joinstyle="miter"/>
                  <v:textbox>
                    <w:txbxContent>
                      <w:p w:rsidR="003C548E" w:rsidRPr="003531A3" w:rsidRDefault="003C548E" w:rsidP="007F3DC3">
                        <w:pPr>
                          <w:jc w:val="center"/>
                          <w:rPr>
                            <w:b/>
                            <w:sz w:val="20"/>
                            <w:szCs w:val="20"/>
                          </w:rPr>
                        </w:pPr>
                        <w:r w:rsidRPr="003531A3">
                          <w:rPr>
                            <w:b/>
                            <w:sz w:val="20"/>
                            <w:szCs w:val="20"/>
                          </w:rPr>
                          <w:t>Intensité</w:t>
                        </w:r>
                      </w:p>
                      <w:p w:rsidR="003C548E" w:rsidRDefault="003C548E" w:rsidP="007F3DC3">
                        <w:pPr>
                          <w:jc w:val="center"/>
                        </w:pPr>
                        <w:r w:rsidRPr="003531A3">
                          <w:rPr>
                            <w:sz w:val="20"/>
                            <w:szCs w:val="20"/>
                          </w:rPr>
                          <w:t>Forte, Moyenne</w:t>
                        </w:r>
                        <w:r>
                          <w:t xml:space="preserve">, </w:t>
                        </w:r>
                        <w:r w:rsidRPr="00477AA3">
                          <w:rPr>
                            <w:sz w:val="20"/>
                            <w:szCs w:val="20"/>
                          </w:rPr>
                          <w:t>Faible</w:t>
                        </w:r>
                      </w:p>
                    </w:txbxContent>
                  </v:textbox>
                </v:roundrect>
                <v:roundrect id="Rectangle à coins arrondis 1997" o:spid="_x0000_s1058" style="position:absolute;left:19907;top:26719;width:16858;height:789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" fillcolor="#70ad47 [3209]" strokecolor="#375623 [1609]" strokeweight="1pt">
                  <v:stroke joinstyle="miter"/>
                  <v:textbox>
                    <w:txbxContent>
                      <w:p w:rsidR="003C548E" w:rsidRPr="003531A3" w:rsidRDefault="003C548E" w:rsidP="007F3DC3">
                        <w:pPr>
                          <w:jc w:val="center"/>
                          <w:rPr>
                            <w:b/>
                            <w:sz w:val="20"/>
                            <w:szCs w:val="20"/>
                          </w:rPr>
                        </w:pPr>
                        <w:r w:rsidRPr="003531A3">
                          <w:rPr>
                            <w:b/>
                            <w:sz w:val="20"/>
                            <w:szCs w:val="20"/>
                          </w:rPr>
                          <w:t>Étendue</w:t>
                        </w:r>
                      </w:p>
                      <w:p w:rsidR="003C548E" w:rsidRPr="003531A3" w:rsidRDefault="003C548E" w:rsidP="007F3DC3">
                        <w:pPr>
                          <w:jc w:val="center"/>
                          <w:rPr>
                            <w:sz w:val="20"/>
                            <w:szCs w:val="20"/>
                          </w:rPr>
                        </w:pPr>
                        <w:r w:rsidRPr="003531A3">
                          <w:rPr>
                            <w:sz w:val="20"/>
                            <w:szCs w:val="20"/>
                          </w:rPr>
                          <w:t>Régionale, Locale,</w:t>
                        </w:r>
                        <w:r>
                          <w:rPr>
                            <w:sz w:val="20"/>
                            <w:szCs w:val="20"/>
                          </w:rPr>
                          <w:t xml:space="preserve"> ponctuelle</w:t>
                        </w:r>
                      </w:p>
                    </w:txbxContent>
                  </v:textbox>
                </v:roundrect>
                <v:roundrect id="Rectangle à coins arrondis 1995" o:spid="_x0000_s1059" style="position:absolute;left:37522;top:26835;width:17246;height:789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" fillcolor="#70ad47 [3209]" strokecolor="#375623 [1609]" strokeweight="1pt">
                  <v:stroke joinstyle="miter"/>
                  <v:textbox>
                    <w:txbxContent>
                      <w:p w:rsidR="003C548E" w:rsidRPr="003531A3" w:rsidRDefault="003C548E" w:rsidP="007F3DC3">
                        <w:pPr>
                          <w:jc w:val="center"/>
                          <w:rPr>
                            <w:b/>
                            <w:sz w:val="20"/>
                            <w:szCs w:val="20"/>
                          </w:rPr>
                        </w:pPr>
                        <w:r w:rsidRPr="003531A3">
                          <w:rPr>
                            <w:b/>
                            <w:sz w:val="20"/>
                            <w:szCs w:val="20"/>
                          </w:rPr>
                          <w:t>Durée</w:t>
                        </w:r>
                      </w:p>
                      <w:p w:rsidR="003C548E" w:rsidRPr="003531A3" w:rsidRDefault="003C548E" w:rsidP="007F3DC3">
                        <w:pPr>
                          <w:jc w:val="center"/>
                          <w:rPr>
                            <w:sz w:val="20"/>
                            <w:szCs w:val="20"/>
                          </w:rPr>
                        </w:pPr>
                        <w:r w:rsidRPr="003531A3">
                          <w:rPr>
                            <w:sz w:val="20"/>
                            <w:szCs w:val="20"/>
                          </w:rPr>
                          <w:t>Longue, Moyenne</w:t>
                        </w:r>
                        <w:r>
                          <w:rPr>
                            <w:sz w:val="20"/>
                            <w:szCs w:val="20"/>
                          </w:rPr>
                          <w:t>, courte</w:t>
                        </w:r>
                      </w:p>
                    </w:txbxContent>
                  </v:textbox>
                </v:roundrect>
                <v:line id="Connecteur droit 1979" o:spid="_x0000_s1060" style="position:absolute;visibility:visible;mso-wrap-style:square" from="13894,3800" to="19091,38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" strokecolor="#5b9bd5 [3204]" strokeweight="1.5pt">
                  <v:stroke joinstyle="miter"/>
                </v:line>
                <v:shapetype id="_x0000_t32" coordsize="21600,21600" o:spt="32" o:oned="t" path="m,l21600,21600e" filled="f">
                  <v:path arrowok="t" fillok="f" o:connecttype="none"/>
                  <o:lock v:ext="edit" shapetype="t"/>
                </v:shapetype>
                <v:shape id="Connecteur droit avec flèche 1978" o:spid="_x0000_s1061" type="#_x0000_t32" style="position:absolute;left:19119;top:3800;width:0;height:959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" strokecolor="#5b9bd5 [3204]" strokeweight="1.5pt">
                  <v:stroke endarrow="open" joinstyle="miter"/>
                </v:shape>
                <v:line id="Connecteur droit 1938" o:spid="_x0000_s1062" style="position:absolute;flip:y;visibility:visible;mso-wrap-style:square" from="12706,30519" to="19029,306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" strokecolor="#5b9bd5 [3204]" strokeweight="1.5pt">
                  <v:stroke joinstyle="miter"/>
                </v:line>
                <v:shape id="Connecteur droit avec flèche 1684" o:spid="_x0000_s1063" type="#_x0000_t32" style="position:absolute;left:19119;top:21613;width:0;height:891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" strokecolor="#5b9bd5 [3204]" strokeweight="1.5pt">
                  <v:stroke endarrow="open" joinstyle="miter"/>
                </v:shape>
                <v:shape id="Connecteur droit avec flèche 88" o:spid="_x0000_s1064" type="#_x0000_t32" style="position:absolute;left:31113;top:21969;width:4135;height:4612;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" strokecolor="#5b9bd5 [3204]" strokeweight="1.5pt">
                  <v:stroke endarrow="open" joinstyle="miter"/>
                </v:shape>
                <v:shape id="Connecteur droit avec flèche 91" o:spid="_x0000_s1065" type="#_x0000_t32" style="position:absolute;left:39188;top:22919;width:2596;height:310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" strokecolor="#5b9bd5 [3204]" strokeweight="1.5pt">
                  <v:stroke endarrow="open" joinstyle="miter"/>
                </v:shape>
              </v:group>
            </w:pict>
          </mc:Fallback>
        </mc:AlternateContent>
      </w:r>
    </w:p>
    <w:p w:rsidR="007F3DC3" w:rsidRPr="003E743A" w:rsidRDefault="007F3DC3" w:rsidP="007F3DC3">
      <w:pPr>
        <w:tabs>
          <w:tab w:val="left" w:pos="5911"/>
        </w:tabs>
        <w:jc w:val="both"/>
        <w:rPr>
          <w:rFonts w:ascii="Times New Roman" w:hAnsi="Times New Roman" w:cs="Times New Roman"/>
        </w:rPr>
      </w:pPr>
      <w:r w:rsidRPr="003E743A">
        <w:rPr>
          <w:rFonts w:ascii="Times New Roman" w:hAnsi="Times New Roman" w:cs="Times New Roman"/>
          <w:noProof/>
          <w:lang w:val="pt-PT" w:eastAsia="pt-PT"/>
        </w:rPr>
        <mc:AlternateContent>
          <mc:Choice Requires="wps">
            <w:drawing>
              <wp:anchor distT="0" distB="0" distL="114300" distR="114300" simplePos="0" relativeHeight="252202496" behindDoc="0" locked="0" layoutInCell="1" allowOverlap="1" wp14:anchorId="184EF622" wp14:editId="28453C43">
                <wp:simplePos x="0" y="0"/>
                <wp:positionH relativeFrom="column">
                  <wp:posOffset>4270304</wp:posOffset>
                </wp:positionH>
                <wp:positionV relativeFrom="paragraph">
                  <wp:posOffset>1753799</wp:posOffset>
                </wp:positionV>
                <wp:extent cx="192123" cy="0"/>
                <wp:effectExtent l="0" t="76200" r="17780" b="114300"/>
                <wp:wrapNone/>
                <wp:docPr id="1983" name="Connecteur droit avec flèche 1983"/>
                <wp:cNvGraphicFramePr/>
                <a:graphic xmlns:a="http://schemas.openxmlformats.org/drawingml/2006/main">
                  <a:graphicData uri="http://schemas.microsoft.com/office/word/2010/wordprocessingShape">
                    <wps:wsp>
                      <wps:cNvCnPr/>
                      <wps:spPr>
                        <a:xfrm>
                          <a:off x="0" y="0"/>
                          <a:ext cx="192123" cy="0"/>
                        </a:xfrm>
                        <a:prstGeom prst="straightConnector1">
                          <a:avLst/>
                        </a:prstGeom>
                        <a:ln>
                          <a:tailEnd type="arrow"/>
                        </a:ln>
                      </wps:spPr>
                      <wps:style>
                        <a:lnRef idx="3">
                          <a:schemeClr val="accent1"/>
                        </a:lnRef>
                        <a:fillRef idx="0">
                          <a:schemeClr val="accent1"/>
                        </a:fillRef>
                        <a:effectRef idx="2">
                          <a:schemeClr val="accent1"/>
                        </a:effectRef>
                        <a:fontRef idx="minor">
                          <a:schemeClr val="tx1"/>
                        </a:fontRef>
                      </wps:style>
                      <wps:bodyPr/>
                    </wps:wsp>
                  </a:graphicData>
                </a:graphic>
              </wp:anchor>
            </w:drawing>
          </mc:Choice>
          <mc:Fallback xmlns:cx1="http://schemas.microsoft.com/office/drawing/2015/9/8/chartex">
            <w:pict>
              <v:shape w14:anchorId="727C09BC" id="Connecteur droit avec flèche 1983" o:spid="_x0000_s1026" type="#_x0000_t32" style="position:absolute;margin-left:336.25pt;margin-top:138.1pt;width:15.15pt;height:0;z-index:2522024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" strokecolor="#5b9bd5 [3204]" strokeweight="1.5pt">
                <v:stroke endarrow="open" joinstyle="miter"/>
              </v:shape>
            </w:pict>
          </mc:Fallback>
        </mc:AlternateContent>
      </w:r>
      <w:r w:rsidRPr="003E743A">
        <w:rPr>
          <w:rFonts w:ascii="Times New Roman" w:hAnsi="Times New Roman" w:cs="Times New Roman"/>
          <w:noProof/>
          <w:lang w:val="pt-PT" w:eastAsia="pt-PT"/>
        </w:rPr>
        <mc:AlternateContent>
          <mc:Choice Requires="wps">
            <w:drawing>
              <wp:anchor distT="0" distB="0" distL="114300" distR="114300" simplePos="0" relativeHeight="252201472" behindDoc="0" locked="0" layoutInCell="1" allowOverlap="1" wp14:anchorId="03259BE1" wp14:editId="54D9A96E">
                <wp:simplePos x="0" y="0"/>
                <wp:positionH relativeFrom="column">
                  <wp:posOffset>2678359</wp:posOffset>
                </wp:positionH>
                <wp:positionV relativeFrom="paragraph">
                  <wp:posOffset>1743004</wp:posOffset>
                </wp:positionV>
                <wp:extent cx="237490" cy="11289"/>
                <wp:effectExtent l="0" t="76200" r="10160" b="103505"/>
                <wp:wrapNone/>
                <wp:docPr id="1991" name="Connecteur droit avec flèche 1991"/>
                <wp:cNvGraphicFramePr/>
                <a:graphic xmlns:a="http://schemas.openxmlformats.org/drawingml/2006/main">
                  <a:graphicData uri="http://schemas.microsoft.com/office/word/2010/wordprocessingShape">
                    <wps:wsp>
                      <wps:cNvCnPr/>
                      <wps:spPr>
                        <a:xfrm>
                          <a:off x="0" y="0"/>
                          <a:ext cx="237490" cy="11289"/>
                        </a:xfrm>
                        <a:prstGeom prst="straightConnector1">
                          <a:avLst/>
                        </a:prstGeom>
                        <a:ln>
                          <a:tailEnd type="arrow"/>
                        </a:ln>
                      </wps:spPr>
                      <wps:style>
                        <a:lnRef idx="3">
                          <a:schemeClr val="accent1"/>
                        </a:lnRef>
                        <a:fillRef idx="0">
                          <a:schemeClr val="accent1"/>
                        </a:fillRef>
                        <a:effectRef idx="2">
                          <a:schemeClr val="accent1"/>
                        </a:effectRef>
                        <a:fontRef idx="minor">
                          <a:schemeClr val="tx1"/>
                        </a:fontRef>
                      </wps:style>
                      <wps:bodyPr/>
                    </wps:wsp>
                  </a:graphicData>
                </a:graphic>
              </wp:anchor>
            </w:drawing>
          </mc:Choice>
          <mc:Fallback xmlns:cx1="http://schemas.microsoft.com/office/drawing/2015/9/8/chartex">
            <w:pict>
              <v:shape w14:anchorId="00D1643E" id="Connecteur droit avec flèche 1991" o:spid="_x0000_s1026" type="#_x0000_t32" style="position:absolute;margin-left:210.9pt;margin-top:137.25pt;width:18.7pt;height:.9pt;z-index:2522014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" strokecolor="#5b9bd5 [3204]" strokeweight="1.5pt">
                <v:stroke endarrow="open" joinstyle="miter"/>
              </v:shape>
            </w:pict>
          </mc:Fallback>
        </mc:AlternateContent>
      </w:r>
      <w:r w:rsidRPr="003E743A">
        <w:rPr>
          <w:rFonts w:ascii="Times New Roman" w:hAnsi="Times New Roman" w:cs="Times New Roman"/>
        </w:rPr>
        <w:tab/>
      </w:r>
    </w:p>
    <w:p w:rsidR="007F3DC3" w:rsidRPr="003E743A" w:rsidRDefault="007F3DC3" w:rsidP="007F3DC3">
      <w:pPr>
        <w:rPr>
          <w:rFonts w:ascii="Times New Roman" w:eastAsia="MS Gothic" w:hAnsi="Times New Roman" w:cs="Times New Roman"/>
          <w:b/>
          <w:color w:val="000000"/>
          <w:sz w:val="28"/>
          <w:szCs w:val="28"/>
          <w:lang w:eastAsia="fr-FR"/>
        </w:rPr>
      </w:pPr>
    </w:p>
    <w:bookmarkStart w:id="291" w:name="_Toc457901554"/>
    <w:bookmarkStart w:id="292" w:name="_Toc457901805"/>
    <w:bookmarkStart w:id="293" w:name="_Toc458154593"/>
    <w:bookmarkStart w:id="294" w:name="_Toc458156988"/>
    <w:bookmarkStart w:id="295" w:name="_Toc458158312"/>
    <w:bookmarkStart w:id="296" w:name="_Toc458158466"/>
    <w:bookmarkStart w:id="297" w:name="_Toc458611221"/>
    <w:bookmarkStart w:id="298" w:name="_Toc459389314"/>
    <w:p w:rsidR="007F3DC3" w:rsidRPr="003E743A" w:rsidRDefault="007F3DC3" w:rsidP="007F3DC3">
      <w:pPr>
        <w:rPr>
          <w:rFonts w:ascii="Times New Roman" w:eastAsia="MS Gothic" w:hAnsi="Times New Roman" w:cs="Times New Roman"/>
          <w:b/>
          <w:color w:val="000000"/>
          <w:sz w:val="28"/>
          <w:szCs w:val="28"/>
          <w:lang w:eastAsia="fr-FR"/>
        </w:rPr>
      </w:pPr>
      <w:r w:rsidRPr="003E743A">
        <w:rPr>
          <w:rFonts w:ascii="Times New Roman" w:hAnsi="Times New Roman" w:cs="Times New Roman"/>
          <w:noProof/>
          <w:lang w:val="pt-PT" w:eastAsia="pt-PT"/>
        </w:rPr>
        <mc:AlternateContent>
          <mc:Choice Requires="wps">
            <w:drawing>
              <wp:anchor distT="0" distB="0" distL="114300" distR="114300" simplePos="0" relativeHeight="252203520" behindDoc="0" locked="0" layoutInCell="1" allowOverlap="1" wp14:anchorId="3D45BEA0" wp14:editId="37AECC8D">
                <wp:simplePos x="0" y="0"/>
                <wp:positionH relativeFrom="column">
                  <wp:posOffset>702887</wp:posOffset>
                </wp:positionH>
                <wp:positionV relativeFrom="paragraph">
                  <wp:posOffset>89716</wp:posOffset>
                </wp:positionV>
                <wp:extent cx="0" cy="403860"/>
                <wp:effectExtent l="95250" t="0" r="114300" b="53340"/>
                <wp:wrapNone/>
                <wp:docPr id="1961" name="Connecteur droit avec flèche 1961"/>
                <wp:cNvGraphicFramePr/>
                <a:graphic xmlns:a="http://schemas.openxmlformats.org/drawingml/2006/main">
                  <a:graphicData uri="http://schemas.microsoft.com/office/word/2010/wordprocessingShape">
                    <wps:wsp>
                      <wps:cNvCnPr/>
                      <wps:spPr>
                        <a:xfrm>
                          <a:off x="0" y="0"/>
                          <a:ext cx="0" cy="403860"/>
                        </a:xfrm>
                        <a:prstGeom prst="straightConnector1">
                          <a:avLst/>
                        </a:prstGeom>
                        <a:ln>
                          <a:tailEnd type="arrow"/>
                        </a:ln>
                      </wps:spPr>
                      <wps:style>
                        <a:lnRef idx="3">
                          <a:schemeClr val="accent1"/>
                        </a:lnRef>
                        <a:fillRef idx="0">
                          <a:schemeClr val="accent1"/>
                        </a:fillRef>
                        <a:effectRef idx="2">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20BF9356" id="Connecteur droit avec flèche 1961" o:spid="_x0000_s1026" type="#_x0000_t32" style="position:absolute;margin-left:55.35pt;margin-top:7.05pt;width:0;height:31.8pt;z-index:252203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" strokecolor="#5b9bd5 [3204]" strokeweight="1.5pt">
                <v:stroke endarrow="open" joinstyle="miter"/>
              </v:shape>
            </w:pict>
          </mc:Fallback>
        </mc:AlternateContent>
      </w:r>
      <w:bookmarkEnd w:id="291"/>
      <w:bookmarkEnd w:id="292"/>
      <w:bookmarkEnd w:id="293"/>
      <w:bookmarkEnd w:id="294"/>
      <w:bookmarkEnd w:id="295"/>
      <w:bookmarkEnd w:id="296"/>
      <w:bookmarkEnd w:id="297"/>
      <w:bookmarkEnd w:id="298"/>
    </w:p>
    <w:p w:rsidR="007F3DC3" w:rsidRPr="003E743A" w:rsidRDefault="007F3DC3" w:rsidP="007F3DC3">
      <w:pPr>
        <w:rPr>
          <w:rFonts w:ascii="Times New Roman" w:eastAsia="MS Gothic" w:hAnsi="Times New Roman" w:cs="Times New Roman"/>
          <w:b/>
          <w:color w:val="000000"/>
          <w:sz w:val="28"/>
          <w:szCs w:val="28"/>
          <w:lang w:eastAsia="fr-FR"/>
        </w:rPr>
      </w:pPr>
      <w:r w:rsidRPr="003E743A">
        <w:rPr>
          <w:rFonts w:ascii="Times New Roman" w:hAnsi="Times New Roman" w:cs="Times New Roman"/>
          <w:noProof/>
          <w:lang w:val="pt-PT" w:eastAsia="pt-PT"/>
        </w:rPr>
        <mc:AlternateContent>
          <mc:Choice Requires="wps">
            <w:drawing>
              <wp:anchor distT="0" distB="0" distL="114300" distR="114300" simplePos="0" relativeHeight="252200448" behindDoc="0" locked="0" layoutInCell="1" allowOverlap="1" wp14:anchorId="47EA218D" wp14:editId="7C160060">
                <wp:simplePos x="0" y="0"/>
                <wp:positionH relativeFrom="column">
                  <wp:posOffset>3537032</wp:posOffset>
                </wp:positionH>
                <wp:positionV relativeFrom="paragraph">
                  <wp:posOffset>18469</wp:posOffset>
                </wp:positionV>
                <wp:extent cx="45719" cy="424015"/>
                <wp:effectExtent l="76200" t="0" r="69215" b="52705"/>
                <wp:wrapNone/>
                <wp:docPr id="1998" name="Connecteur droit avec flèche 1998"/>
                <wp:cNvGraphicFramePr/>
                <a:graphic xmlns:a="http://schemas.openxmlformats.org/drawingml/2006/main">
                  <a:graphicData uri="http://schemas.microsoft.com/office/word/2010/wordprocessingShape">
                    <wps:wsp>
                      <wps:cNvCnPr/>
                      <wps:spPr>
                        <a:xfrm flipH="1">
                          <a:off x="0" y="0"/>
                          <a:ext cx="45719" cy="424015"/>
                        </a:xfrm>
                        <a:prstGeom prst="straightConnector1">
                          <a:avLst/>
                        </a:prstGeom>
                        <a:ln>
                          <a:tailEnd type="arrow"/>
                        </a:ln>
                      </wps:spPr>
                      <wps:style>
                        <a:lnRef idx="3">
                          <a:schemeClr val="accent1"/>
                        </a:lnRef>
                        <a:fillRef idx="0">
                          <a:schemeClr val="accent1"/>
                        </a:fillRef>
                        <a:effectRef idx="2">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52162111" id="Connecteur droit avec flèche 1998" o:spid="_x0000_s1026" type="#_x0000_t32" style="position:absolute;margin-left:278.5pt;margin-top:1.45pt;width:3.6pt;height:33.4pt;flip:x;z-index:252200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" strokecolor="#5b9bd5 [3204]" strokeweight="1.5pt">
                <v:stroke endarrow="open" joinstyle="miter"/>
              </v:shape>
            </w:pict>
          </mc:Fallback>
        </mc:AlternateContent>
      </w:r>
    </w:p>
    <w:p w:rsidR="007F3DC3" w:rsidRPr="003E743A" w:rsidRDefault="007F3DC3" w:rsidP="007F3DC3">
      <w:pPr>
        <w:rPr>
          <w:rFonts w:ascii="Times New Roman" w:eastAsia="MS Gothic" w:hAnsi="Times New Roman" w:cs="Times New Roman"/>
          <w:b/>
          <w:color w:val="000000"/>
          <w:sz w:val="28"/>
          <w:szCs w:val="28"/>
          <w:lang w:eastAsia="fr-FR"/>
        </w:rPr>
      </w:pPr>
    </w:p>
    <w:p w:rsidR="007F3DC3" w:rsidRPr="003E743A" w:rsidRDefault="007F3DC3" w:rsidP="007F3DC3">
      <w:pPr>
        <w:rPr>
          <w:rFonts w:ascii="Times New Roman" w:eastAsia="MS Gothic" w:hAnsi="Times New Roman" w:cs="Times New Roman"/>
          <w:b/>
          <w:color w:val="000000"/>
          <w:sz w:val="28"/>
          <w:szCs w:val="28"/>
          <w:lang w:eastAsia="fr-FR"/>
        </w:rPr>
      </w:pPr>
    </w:p>
    <w:p w:rsidR="007F3DC3" w:rsidRPr="003E743A" w:rsidRDefault="007F3DC3" w:rsidP="007F3DC3">
      <w:pPr>
        <w:jc w:val="both"/>
        <w:rPr>
          <w:rFonts w:ascii="Times New Roman" w:hAnsi="Times New Roman" w:cs="Times New Roman"/>
        </w:rPr>
      </w:pPr>
    </w:p>
    <w:p w:rsidR="007F3DC3" w:rsidRPr="003E743A" w:rsidRDefault="007F3DC3" w:rsidP="007F3DC3">
      <w:pPr>
        <w:jc w:val="both"/>
        <w:rPr>
          <w:rFonts w:ascii="Times New Roman" w:hAnsi="Times New Roman" w:cs="Times New Roman"/>
        </w:rPr>
      </w:pPr>
    </w:p>
    <w:p w:rsidR="007F3DC3" w:rsidRPr="003E743A" w:rsidRDefault="007F3DC3" w:rsidP="007F3DC3">
      <w:pPr>
        <w:jc w:val="both"/>
        <w:rPr>
          <w:rFonts w:ascii="Times New Roman" w:hAnsi="Times New Roman" w:cs="Times New Roman"/>
        </w:rPr>
      </w:pPr>
    </w:p>
    <w:p w:rsidR="007F3DC3" w:rsidRPr="003E743A" w:rsidRDefault="007F3DC3" w:rsidP="007F3DC3">
      <w:pPr>
        <w:jc w:val="both"/>
        <w:rPr>
          <w:rFonts w:ascii="Times New Roman" w:hAnsi="Times New Roman" w:cs="Times New Roman"/>
        </w:rPr>
      </w:pPr>
    </w:p>
    <w:p w:rsidR="007F3DC3" w:rsidRPr="003E743A" w:rsidRDefault="007F3DC3" w:rsidP="007F3DC3">
      <w:pPr>
        <w:jc w:val="both"/>
        <w:rPr>
          <w:rFonts w:ascii="Times New Roman" w:hAnsi="Times New Roman" w:cs="Times New Roman"/>
        </w:rPr>
      </w:pPr>
    </w:p>
    <w:p w:rsidR="007F3DC3" w:rsidRPr="003E743A" w:rsidRDefault="007F3DC3" w:rsidP="007F3DC3">
      <w:pPr>
        <w:jc w:val="both"/>
        <w:rPr>
          <w:rFonts w:ascii="Times New Roman" w:hAnsi="Times New Roman" w:cs="Times New Roman"/>
        </w:rPr>
      </w:pPr>
    </w:p>
    <w:p w:rsidR="007F3DC3" w:rsidRPr="0049645E" w:rsidRDefault="007F3DC3" w:rsidP="007F3DC3">
      <w:pPr>
        <w:pStyle w:val="Legenda"/>
        <w:rPr>
          <w:rFonts w:ascii="Times New Roman" w:eastAsia="MS Gothic" w:hAnsi="Times New Roman" w:cs="Times New Roman"/>
          <w:color w:val="auto"/>
          <w:sz w:val="20"/>
          <w:szCs w:val="20"/>
          <w:lang w:val="fr-FR"/>
        </w:rPr>
      </w:pPr>
      <w:bookmarkStart w:id="299" w:name="_Toc4770180"/>
      <w:bookmarkStart w:id="300" w:name="_Toc32512030"/>
      <w:r w:rsidRPr="0049645E">
        <w:rPr>
          <w:rFonts w:ascii="Times New Roman" w:hAnsi="Times New Roman" w:cs="Times New Roman"/>
          <w:color w:val="auto"/>
          <w:sz w:val="20"/>
          <w:szCs w:val="20"/>
          <w:lang w:val="fr-FR"/>
        </w:rPr>
        <w:t xml:space="preserve">Figure </w:t>
      </w:r>
      <w:r w:rsidRPr="0049645E">
        <w:rPr>
          <w:rFonts w:ascii="Times New Roman" w:hAnsi="Times New Roman" w:cs="Times New Roman"/>
          <w:color w:val="auto"/>
          <w:sz w:val="20"/>
          <w:szCs w:val="20"/>
          <w:lang w:val="fr-FR"/>
        </w:rPr>
        <w:fldChar w:fldCharType="begin"/>
      </w:r>
      <w:r w:rsidRPr="0049645E">
        <w:rPr>
          <w:rFonts w:ascii="Times New Roman" w:hAnsi="Times New Roman" w:cs="Times New Roman"/>
          <w:color w:val="auto"/>
          <w:sz w:val="20"/>
          <w:szCs w:val="20"/>
          <w:lang w:val="fr-FR"/>
        </w:rPr>
        <w:instrText xml:space="preserve"> SEQ Figure \* ARABIC </w:instrText>
      </w:r>
      <w:r w:rsidRPr="0049645E">
        <w:rPr>
          <w:rFonts w:ascii="Times New Roman" w:hAnsi="Times New Roman" w:cs="Times New Roman"/>
          <w:color w:val="auto"/>
          <w:sz w:val="20"/>
          <w:szCs w:val="20"/>
          <w:lang w:val="fr-FR"/>
        </w:rPr>
        <w:fldChar w:fldCharType="separate"/>
      </w:r>
      <w:r w:rsidR="00820701">
        <w:rPr>
          <w:rFonts w:ascii="Times New Roman" w:hAnsi="Times New Roman" w:cs="Times New Roman"/>
          <w:noProof/>
          <w:color w:val="auto"/>
          <w:sz w:val="20"/>
          <w:szCs w:val="20"/>
          <w:lang w:val="fr-FR"/>
        </w:rPr>
        <w:t>8</w:t>
      </w:r>
      <w:r w:rsidRPr="0049645E">
        <w:rPr>
          <w:rFonts w:ascii="Times New Roman" w:hAnsi="Times New Roman" w:cs="Times New Roman"/>
          <w:noProof/>
          <w:color w:val="auto"/>
          <w:sz w:val="20"/>
          <w:szCs w:val="20"/>
          <w:lang w:val="fr-FR"/>
        </w:rPr>
        <w:fldChar w:fldCharType="end"/>
      </w:r>
      <w:r w:rsidRPr="0049645E">
        <w:rPr>
          <w:rFonts w:ascii="Times New Roman" w:hAnsi="Times New Roman" w:cs="Times New Roman"/>
          <w:color w:val="auto"/>
          <w:sz w:val="20"/>
          <w:szCs w:val="20"/>
          <w:lang w:val="fr-FR"/>
        </w:rPr>
        <w:t>: Schéma de caractérisation des impacts</w:t>
      </w:r>
      <w:bookmarkEnd w:id="299"/>
      <w:bookmarkEnd w:id="300"/>
    </w:p>
    <w:p w:rsidR="007F3DC3" w:rsidRPr="003E743A" w:rsidRDefault="007F3DC3" w:rsidP="00A476E5">
      <w:pPr>
        <w:spacing w:after="0" w:line="240" w:lineRule="auto"/>
        <w:ind w:left="-284"/>
        <w:jc w:val="both"/>
        <w:rPr>
          <w:rFonts w:ascii="Times New Roman" w:eastAsia="Calibri" w:hAnsi="Times New Roman" w:cs="Times New Roman"/>
          <w:noProof/>
          <w:color w:val="000000"/>
          <w:spacing w:val="-3"/>
          <w:sz w:val="24"/>
          <w:szCs w:val="24"/>
        </w:rPr>
      </w:pPr>
      <w:r w:rsidRPr="003E743A">
        <w:rPr>
          <w:rFonts w:ascii="Times New Roman" w:eastAsia="Calibri" w:hAnsi="Times New Roman" w:cs="Times New Roman"/>
          <w:noProof/>
          <w:color w:val="000000"/>
          <w:spacing w:val="-3"/>
          <w:sz w:val="24"/>
          <w:szCs w:val="24"/>
        </w:rPr>
        <w:t>L’évaluation</w:t>
      </w:r>
      <w:r w:rsidRPr="003E743A">
        <w:rPr>
          <w:rFonts w:ascii="Times New Roman" w:eastAsia="Calibri" w:hAnsi="Times New Roman" w:cs="Times New Roman"/>
          <w:noProof/>
          <w:color w:val="000000"/>
          <w:spacing w:val="16"/>
          <w:sz w:val="24"/>
          <w:szCs w:val="24"/>
        </w:rPr>
        <w:t> </w:t>
      </w:r>
      <w:r w:rsidRPr="003E743A">
        <w:rPr>
          <w:rFonts w:ascii="Times New Roman" w:eastAsia="Calibri" w:hAnsi="Times New Roman" w:cs="Times New Roman"/>
          <w:noProof/>
          <w:color w:val="000000"/>
          <w:spacing w:val="-3"/>
          <w:sz w:val="24"/>
          <w:szCs w:val="24"/>
        </w:rPr>
        <w:t>détaillée</w:t>
      </w:r>
      <w:r w:rsidRPr="003E743A">
        <w:rPr>
          <w:rFonts w:ascii="Times New Roman" w:eastAsia="Calibri" w:hAnsi="Times New Roman" w:cs="Times New Roman"/>
          <w:noProof/>
          <w:color w:val="000000"/>
          <w:spacing w:val="19"/>
          <w:sz w:val="24"/>
          <w:szCs w:val="24"/>
        </w:rPr>
        <w:t> </w:t>
      </w:r>
      <w:r w:rsidRPr="003E743A">
        <w:rPr>
          <w:rFonts w:ascii="Times New Roman" w:eastAsia="Calibri" w:hAnsi="Times New Roman" w:cs="Times New Roman"/>
          <w:noProof/>
          <w:color w:val="000000"/>
          <w:spacing w:val="-4"/>
          <w:sz w:val="24"/>
          <w:szCs w:val="24"/>
        </w:rPr>
        <w:t>des</w:t>
      </w:r>
      <w:r w:rsidRPr="003E743A">
        <w:rPr>
          <w:rFonts w:ascii="Times New Roman" w:eastAsia="Calibri" w:hAnsi="Times New Roman" w:cs="Times New Roman"/>
          <w:noProof/>
          <w:color w:val="000000"/>
          <w:spacing w:val="18"/>
          <w:sz w:val="24"/>
          <w:szCs w:val="24"/>
        </w:rPr>
        <w:t> </w:t>
      </w:r>
      <w:r w:rsidRPr="003E743A">
        <w:rPr>
          <w:rFonts w:ascii="Times New Roman" w:eastAsia="Calibri" w:hAnsi="Times New Roman" w:cs="Times New Roman"/>
          <w:noProof/>
          <w:color w:val="000000"/>
          <w:spacing w:val="-3"/>
          <w:sz w:val="24"/>
          <w:szCs w:val="24"/>
        </w:rPr>
        <w:t>impacts</w:t>
      </w:r>
      <w:r w:rsidRPr="003E743A">
        <w:rPr>
          <w:rFonts w:ascii="Times New Roman" w:eastAsia="Calibri" w:hAnsi="Times New Roman" w:cs="Times New Roman"/>
          <w:noProof/>
          <w:color w:val="000000"/>
          <w:spacing w:val="18"/>
          <w:sz w:val="24"/>
          <w:szCs w:val="24"/>
        </w:rPr>
        <w:t> </w:t>
      </w:r>
      <w:r w:rsidRPr="003E743A">
        <w:rPr>
          <w:rFonts w:ascii="Times New Roman" w:eastAsia="Calibri" w:hAnsi="Times New Roman" w:cs="Times New Roman"/>
          <w:noProof/>
          <w:color w:val="000000"/>
          <w:spacing w:val="-3"/>
          <w:sz w:val="24"/>
          <w:szCs w:val="24"/>
        </w:rPr>
        <w:t>identifiés</w:t>
      </w:r>
      <w:r w:rsidRPr="003E743A">
        <w:rPr>
          <w:rFonts w:ascii="Times New Roman" w:eastAsia="Calibri" w:hAnsi="Times New Roman" w:cs="Times New Roman"/>
          <w:noProof/>
          <w:color w:val="000000"/>
          <w:spacing w:val="18"/>
          <w:sz w:val="24"/>
          <w:szCs w:val="24"/>
        </w:rPr>
        <w:t> </w:t>
      </w:r>
      <w:r w:rsidRPr="003E743A">
        <w:rPr>
          <w:rFonts w:ascii="Times New Roman" w:eastAsia="Calibri" w:hAnsi="Times New Roman" w:cs="Times New Roman"/>
          <w:noProof/>
          <w:color w:val="000000"/>
          <w:spacing w:val="-3"/>
          <w:sz w:val="24"/>
          <w:szCs w:val="24"/>
        </w:rPr>
        <w:t>est</w:t>
      </w:r>
      <w:r w:rsidRPr="003E743A">
        <w:rPr>
          <w:rFonts w:ascii="Times New Roman" w:eastAsia="Calibri" w:hAnsi="Times New Roman" w:cs="Times New Roman"/>
          <w:noProof/>
          <w:color w:val="000000"/>
          <w:spacing w:val="19"/>
          <w:sz w:val="24"/>
          <w:szCs w:val="24"/>
        </w:rPr>
        <w:t> </w:t>
      </w:r>
      <w:r w:rsidRPr="003E743A">
        <w:rPr>
          <w:rFonts w:ascii="Times New Roman" w:eastAsia="Calibri" w:hAnsi="Times New Roman" w:cs="Times New Roman"/>
          <w:noProof/>
          <w:color w:val="000000"/>
          <w:spacing w:val="-3"/>
          <w:sz w:val="24"/>
          <w:szCs w:val="24"/>
        </w:rPr>
        <w:t>faite</w:t>
      </w:r>
      <w:r w:rsidRPr="003E743A">
        <w:rPr>
          <w:rFonts w:ascii="Times New Roman" w:eastAsia="Calibri" w:hAnsi="Times New Roman" w:cs="Times New Roman"/>
          <w:noProof/>
          <w:color w:val="000000"/>
          <w:spacing w:val="19"/>
          <w:sz w:val="24"/>
          <w:szCs w:val="24"/>
        </w:rPr>
        <w:t> </w:t>
      </w:r>
      <w:r w:rsidRPr="003E743A">
        <w:rPr>
          <w:rFonts w:ascii="Times New Roman" w:eastAsia="Calibri" w:hAnsi="Times New Roman" w:cs="Times New Roman"/>
          <w:noProof/>
          <w:color w:val="000000"/>
          <w:spacing w:val="-3"/>
          <w:sz w:val="24"/>
          <w:szCs w:val="24"/>
        </w:rPr>
        <w:t>pour</w:t>
      </w:r>
      <w:r w:rsidRPr="003E743A">
        <w:rPr>
          <w:rFonts w:ascii="Times New Roman" w:eastAsia="Calibri" w:hAnsi="Times New Roman" w:cs="Times New Roman"/>
          <w:noProof/>
          <w:color w:val="000000"/>
          <w:spacing w:val="17"/>
          <w:sz w:val="24"/>
          <w:szCs w:val="24"/>
        </w:rPr>
        <w:t> </w:t>
      </w:r>
      <w:r w:rsidRPr="003E743A">
        <w:rPr>
          <w:rFonts w:ascii="Times New Roman" w:eastAsia="Calibri" w:hAnsi="Times New Roman" w:cs="Times New Roman"/>
          <w:noProof/>
          <w:color w:val="000000"/>
          <w:spacing w:val="-2"/>
          <w:sz w:val="24"/>
          <w:szCs w:val="24"/>
        </w:rPr>
        <w:t>la</w:t>
      </w:r>
      <w:r w:rsidRPr="003E743A">
        <w:rPr>
          <w:rFonts w:ascii="Times New Roman" w:eastAsia="Calibri" w:hAnsi="Times New Roman" w:cs="Times New Roman"/>
          <w:noProof/>
          <w:color w:val="000000"/>
          <w:spacing w:val="17"/>
          <w:sz w:val="24"/>
          <w:szCs w:val="24"/>
        </w:rPr>
        <w:t> </w:t>
      </w:r>
      <w:r w:rsidRPr="003E743A">
        <w:rPr>
          <w:rFonts w:ascii="Times New Roman" w:eastAsia="Calibri" w:hAnsi="Times New Roman" w:cs="Times New Roman"/>
          <w:noProof/>
          <w:color w:val="000000"/>
          <w:spacing w:val="-3"/>
          <w:sz w:val="24"/>
          <w:szCs w:val="24"/>
        </w:rPr>
        <w:t>solution</w:t>
      </w:r>
      <w:r w:rsidRPr="003E743A">
        <w:rPr>
          <w:rFonts w:ascii="Times New Roman" w:eastAsia="Calibri" w:hAnsi="Times New Roman" w:cs="Times New Roman"/>
          <w:noProof/>
          <w:color w:val="000000"/>
          <w:spacing w:val="19"/>
          <w:sz w:val="24"/>
          <w:szCs w:val="24"/>
        </w:rPr>
        <w:t> </w:t>
      </w:r>
      <w:r w:rsidRPr="003E743A">
        <w:rPr>
          <w:rFonts w:ascii="Times New Roman" w:eastAsia="Calibri" w:hAnsi="Times New Roman" w:cs="Times New Roman"/>
          <w:noProof/>
          <w:color w:val="000000"/>
          <w:spacing w:val="-3"/>
          <w:sz w:val="24"/>
          <w:szCs w:val="24"/>
        </w:rPr>
        <w:t xml:space="preserve">d’assainissement de la corniche ouest retenue et est basée sur les indicateurs suivants : </w:t>
      </w:r>
    </w:p>
    <w:p w:rsidR="007F3DC3" w:rsidRPr="003E743A" w:rsidRDefault="007F3DC3" w:rsidP="00A476E5">
      <w:pPr>
        <w:tabs>
          <w:tab w:val="left" w:pos="1505"/>
        </w:tabs>
        <w:spacing w:after="0" w:line="240" w:lineRule="auto"/>
        <w:ind w:left="65" w:firstLine="1080"/>
        <w:jc w:val="both"/>
        <w:rPr>
          <w:rFonts w:ascii="Times New Roman" w:eastAsia="Calibri" w:hAnsi="Times New Roman" w:cs="Times New Roman"/>
          <w:sz w:val="24"/>
          <w:szCs w:val="24"/>
        </w:rPr>
      </w:pPr>
      <w:r w:rsidRPr="003E743A">
        <w:rPr>
          <w:rFonts w:ascii="Times New Roman" w:eastAsia="Calibri" w:hAnsi="Times New Roman" w:cs="Times New Roman"/>
          <w:noProof/>
          <w:color w:val="000000"/>
          <w:spacing w:val="-2"/>
          <w:sz w:val="24"/>
          <w:szCs w:val="24"/>
        </w:rPr>
        <w:t>-</w:t>
      </w:r>
      <w:r w:rsidRPr="003E743A">
        <w:rPr>
          <w:rFonts w:ascii="Times New Roman" w:eastAsia="Calibri" w:hAnsi="Times New Roman" w:cs="Times New Roman"/>
          <w:color w:val="000000"/>
          <w:sz w:val="24"/>
          <w:szCs w:val="24"/>
        </w:rPr>
        <w:tab/>
      </w:r>
      <w:r w:rsidRPr="003E743A">
        <w:rPr>
          <w:rFonts w:ascii="Times New Roman" w:eastAsia="Calibri" w:hAnsi="Times New Roman" w:cs="Times New Roman"/>
          <w:noProof/>
          <w:color w:val="000000"/>
          <w:spacing w:val="-3"/>
          <w:sz w:val="24"/>
          <w:szCs w:val="24"/>
        </w:rPr>
        <w:t>Sensibilité de l’élément</w:t>
      </w:r>
      <w:r w:rsidRPr="003E743A">
        <w:rPr>
          <w:rFonts w:ascii="Times New Roman" w:eastAsia="Calibri" w:hAnsi="Times New Roman" w:cs="Times New Roman"/>
          <w:noProof/>
          <w:color w:val="000000"/>
          <w:spacing w:val="-4"/>
          <w:sz w:val="24"/>
          <w:szCs w:val="24"/>
        </w:rPr>
        <w:t> du</w:t>
      </w:r>
      <w:r w:rsidRPr="003E743A">
        <w:rPr>
          <w:rFonts w:ascii="Times New Roman" w:eastAsia="Calibri" w:hAnsi="Times New Roman" w:cs="Times New Roman"/>
          <w:noProof/>
          <w:color w:val="000000"/>
          <w:spacing w:val="-3"/>
          <w:sz w:val="24"/>
          <w:szCs w:val="24"/>
        </w:rPr>
        <w:t> milieu </w:t>
      </w:r>
      <w:r w:rsidRPr="003E743A">
        <w:rPr>
          <w:rFonts w:ascii="Times New Roman" w:eastAsia="Calibri" w:hAnsi="Times New Roman" w:cs="Times New Roman"/>
          <w:noProof/>
          <w:color w:val="000000"/>
          <w:spacing w:val="-2"/>
          <w:sz w:val="24"/>
          <w:szCs w:val="24"/>
        </w:rPr>
        <w:t>;</w:t>
      </w:r>
    </w:p>
    <w:p w:rsidR="007F3DC3" w:rsidRPr="003E743A" w:rsidRDefault="007F3DC3" w:rsidP="00A476E5">
      <w:pPr>
        <w:tabs>
          <w:tab w:val="left" w:pos="1505"/>
        </w:tabs>
        <w:spacing w:after="0" w:line="240" w:lineRule="auto"/>
        <w:ind w:left="65" w:firstLine="1080"/>
        <w:jc w:val="both"/>
        <w:rPr>
          <w:rFonts w:ascii="Times New Roman" w:eastAsia="Calibri" w:hAnsi="Times New Roman" w:cs="Times New Roman"/>
          <w:sz w:val="24"/>
          <w:szCs w:val="24"/>
        </w:rPr>
      </w:pPr>
      <w:r w:rsidRPr="003E743A">
        <w:rPr>
          <w:rFonts w:ascii="Times New Roman" w:eastAsia="Calibri" w:hAnsi="Times New Roman" w:cs="Times New Roman"/>
          <w:noProof/>
          <w:color w:val="000000"/>
          <w:spacing w:val="-2"/>
          <w:sz w:val="24"/>
          <w:szCs w:val="24"/>
        </w:rPr>
        <w:t>-</w:t>
      </w:r>
      <w:r w:rsidRPr="003E743A">
        <w:rPr>
          <w:rFonts w:ascii="Times New Roman" w:eastAsia="Calibri" w:hAnsi="Times New Roman" w:cs="Times New Roman"/>
          <w:color w:val="000000"/>
          <w:sz w:val="24"/>
          <w:szCs w:val="24"/>
        </w:rPr>
        <w:tab/>
      </w:r>
      <w:r w:rsidRPr="003E743A">
        <w:rPr>
          <w:rFonts w:ascii="Times New Roman" w:eastAsia="Calibri" w:hAnsi="Times New Roman" w:cs="Times New Roman"/>
          <w:noProof/>
          <w:color w:val="000000"/>
          <w:spacing w:val="-3"/>
          <w:sz w:val="24"/>
          <w:szCs w:val="24"/>
        </w:rPr>
        <w:t>Etendue de l’impact</w:t>
      </w:r>
      <w:r w:rsidRPr="003E743A">
        <w:rPr>
          <w:rFonts w:ascii="Times New Roman" w:eastAsia="Calibri" w:hAnsi="Times New Roman" w:cs="Times New Roman"/>
          <w:noProof/>
          <w:color w:val="000000"/>
          <w:spacing w:val="-4"/>
          <w:sz w:val="24"/>
          <w:szCs w:val="24"/>
        </w:rPr>
        <w:t> </w:t>
      </w:r>
      <w:r w:rsidRPr="003E743A">
        <w:rPr>
          <w:rFonts w:ascii="Times New Roman" w:eastAsia="Calibri" w:hAnsi="Times New Roman" w:cs="Times New Roman"/>
          <w:noProof/>
          <w:color w:val="000000"/>
          <w:spacing w:val="-2"/>
          <w:sz w:val="24"/>
          <w:szCs w:val="24"/>
        </w:rPr>
        <w:t>;</w:t>
      </w:r>
    </w:p>
    <w:p w:rsidR="007F3DC3" w:rsidRPr="003E743A" w:rsidRDefault="007F3DC3" w:rsidP="00A476E5">
      <w:pPr>
        <w:tabs>
          <w:tab w:val="left" w:pos="1505"/>
        </w:tabs>
        <w:spacing w:after="0" w:line="240" w:lineRule="auto"/>
        <w:ind w:left="65" w:firstLine="1080"/>
        <w:jc w:val="both"/>
        <w:rPr>
          <w:rFonts w:ascii="Times New Roman" w:eastAsia="Calibri" w:hAnsi="Times New Roman" w:cs="Times New Roman"/>
          <w:sz w:val="24"/>
          <w:szCs w:val="24"/>
        </w:rPr>
      </w:pPr>
      <w:r w:rsidRPr="003E743A">
        <w:rPr>
          <w:rFonts w:ascii="Times New Roman" w:eastAsia="Calibri" w:hAnsi="Times New Roman" w:cs="Times New Roman"/>
          <w:noProof/>
          <w:color w:val="000000"/>
          <w:spacing w:val="-2"/>
          <w:sz w:val="24"/>
          <w:szCs w:val="24"/>
        </w:rPr>
        <w:t>-</w:t>
      </w:r>
      <w:r w:rsidRPr="003E743A">
        <w:rPr>
          <w:rFonts w:ascii="Times New Roman" w:eastAsia="Calibri" w:hAnsi="Times New Roman" w:cs="Times New Roman"/>
          <w:color w:val="000000"/>
          <w:sz w:val="24"/>
          <w:szCs w:val="24"/>
        </w:rPr>
        <w:tab/>
      </w:r>
      <w:r w:rsidRPr="003E743A">
        <w:rPr>
          <w:rFonts w:ascii="Times New Roman" w:eastAsia="Calibri" w:hAnsi="Times New Roman" w:cs="Times New Roman"/>
          <w:noProof/>
          <w:color w:val="000000"/>
          <w:spacing w:val="-3"/>
          <w:sz w:val="24"/>
          <w:szCs w:val="24"/>
        </w:rPr>
        <w:t>Intensité de</w:t>
      </w:r>
      <w:r w:rsidRPr="003E743A">
        <w:rPr>
          <w:rFonts w:ascii="Times New Roman" w:eastAsia="Calibri" w:hAnsi="Times New Roman" w:cs="Times New Roman"/>
          <w:noProof/>
          <w:color w:val="000000"/>
          <w:spacing w:val="-4"/>
          <w:sz w:val="24"/>
          <w:szCs w:val="24"/>
        </w:rPr>
        <w:t> </w:t>
      </w:r>
      <w:r w:rsidRPr="003E743A">
        <w:rPr>
          <w:rFonts w:ascii="Times New Roman" w:eastAsia="Calibri" w:hAnsi="Times New Roman" w:cs="Times New Roman"/>
          <w:noProof/>
          <w:color w:val="000000"/>
          <w:spacing w:val="-3"/>
          <w:sz w:val="24"/>
          <w:szCs w:val="24"/>
        </w:rPr>
        <w:t>l’impact.</w:t>
      </w:r>
    </w:p>
    <w:p w:rsidR="007F3DC3" w:rsidRPr="003E743A" w:rsidRDefault="007F3DC3" w:rsidP="00A476E5">
      <w:pPr>
        <w:spacing w:after="0" w:line="240" w:lineRule="auto"/>
        <w:ind w:left="-284"/>
        <w:jc w:val="both"/>
        <w:rPr>
          <w:rFonts w:ascii="Times New Roman" w:eastAsia="Calibri" w:hAnsi="Times New Roman" w:cs="Times New Roman"/>
          <w:noProof/>
          <w:color w:val="000000"/>
          <w:spacing w:val="-3"/>
          <w:sz w:val="24"/>
          <w:szCs w:val="24"/>
        </w:rPr>
      </w:pPr>
      <w:r w:rsidRPr="003E743A">
        <w:rPr>
          <w:rFonts w:ascii="Times New Roman" w:eastAsia="Calibri" w:hAnsi="Times New Roman" w:cs="Times New Roman"/>
          <w:noProof/>
          <w:color w:val="000000"/>
          <w:spacing w:val="-3"/>
          <w:sz w:val="24"/>
          <w:szCs w:val="24"/>
        </w:rPr>
        <w:t>Ces</w:t>
      </w:r>
      <w:r w:rsidRPr="003E743A">
        <w:rPr>
          <w:rFonts w:ascii="Times New Roman" w:eastAsia="Calibri" w:hAnsi="Times New Roman" w:cs="Times New Roman"/>
          <w:noProof/>
          <w:color w:val="000000"/>
          <w:spacing w:val="20"/>
          <w:sz w:val="24"/>
          <w:szCs w:val="24"/>
        </w:rPr>
        <w:t> </w:t>
      </w:r>
      <w:r w:rsidRPr="003E743A">
        <w:rPr>
          <w:rFonts w:ascii="Times New Roman" w:eastAsia="Calibri" w:hAnsi="Times New Roman" w:cs="Times New Roman"/>
          <w:noProof/>
          <w:color w:val="000000"/>
          <w:spacing w:val="-3"/>
          <w:sz w:val="24"/>
          <w:szCs w:val="24"/>
        </w:rPr>
        <w:t>trois</w:t>
      </w:r>
      <w:r w:rsidRPr="003E743A">
        <w:rPr>
          <w:rFonts w:ascii="Times New Roman" w:eastAsia="Calibri" w:hAnsi="Times New Roman" w:cs="Times New Roman"/>
          <w:noProof/>
          <w:color w:val="000000"/>
          <w:spacing w:val="20"/>
          <w:sz w:val="24"/>
          <w:szCs w:val="24"/>
        </w:rPr>
        <w:t> </w:t>
      </w:r>
      <w:r w:rsidRPr="003E743A">
        <w:rPr>
          <w:rFonts w:ascii="Times New Roman" w:eastAsia="Calibri" w:hAnsi="Times New Roman" w:cs="Times New Roman"/>
          <w:noProof/>
          <w:color w:val="000000"/>
          <w:spacing w:val="-3"/>
          <w:sz w:val="24"/>
          <w:szCs w:val="24"/>
        </w:rPr>
        <w:t>indicateurs</w:t>
      </w:r>
      <w:r w:rsidRPr="003E743A">
        <w:rPr>
          <w:rFonts w:ascii="Times New Roman" w:eastAsia="Calibri" w:hAnsi="Times New Roman" w:cs="Times New Roman"/>
          <w:noProof/>
          <w:color w:val="000000"/>
          <w:spacing w:val="20"/>
          <w:sz w:val="24"/>
          <w:szCs w:val="24"/>
        </w:rPr>
        <w:t> </w:t>
      </w:r>
      <w:r w:rsidRPr="003E743A">
        <w:rPr>
          <w:rFonts w:ascii="Times New Roman" w:eastAsia="Calibri" w:hAnsi="Times New Roman" w:cs="Times New Roman"/>
          <w:noProof/>
          <w:color w:val="000000"/>
          <w:spacing w:val="-3"/>
          <w:sz w:val="24"/>
          <w:szCs w:val="24"/>
        </w:rPr>
        <w:t>sont</w:t>
      </w:r>
      <w:r w:rsidRPr="003E743A">
        <w:rPr>
          <w:rFonts w:ascii="Times New Roman" w:eastAsia="Calibri" w:hAnsi="Times New Roman" w:cs="Times New Roman"/>
          <w:noProof/>
          <w:color w:val="000000"/>
          <w:spacing w:val="19"/>
          <w:sz w:val="24"/>
          <w:szCs w:val="24"/>
        </w:rPr>
        <w:t> </w:t>
      </w:r>
      <w:r w:rsidRPr="003E743A">
        <w:rPr>
          <w:rFonts w:ascii="Times New Roman" w:eastAsia="Calibri" w:hAnsi="Times New Roman" w:cs="Times New Roman"/>
          <w:noProof/>
          <w:color w:val="000000"/>
          <w:spacing w:val="-3"/>
          <w:sz w:val="24"/>
          <w:szCs w:val="24"/>
        </w:rPr>
        <w:t>synthétisés</w:t>
      </w:r>
      <w:r w:rsidRPr="003E743A">
        <w:rPr>
          <w:rFonts w:ascii="Times New Roman" w:eastAsia="Calibri" w:hAnsi="Times New Roman" w:cs="Times New Roman"/>
          <w:noProof/>
          <w:color w:val="000000"/>
          <w:spacing w:val="21"/>
          <w:sz w:val="24"/>
          <w:szCs w:val="24"/>
        </w:rPr>
        <w:t> </w:t>
      </w:r>
      <w:r w:rsidRPr="003E743A">
        <w:rPr>
          <w:rFonts w:ascii="Times New Roman" w:eastAsia="Calibri" w:hAnsi="Times New Roman" w:cs="Times New Roman"/>
          <w:noProof/>
          <w:color w:val="000000"/>
          <w:spacing w:val="-3"/>
          <w:sz w:val="24"/>
          <w:szCs w:val="24"/>
        </w:rPr>
        <w:t>en</w:t>
      </w:r>
      <w:r w:rsidRPr="003E743A">
        <w:rPr>
          <w:rFonts w:ascii="Times New Roman" w:eastAsia="Calibri" w:hAnsi="Times New Roman" w:cs="Times New Roman"/>
          <w:noProof/>
          <w:color w:val="000000"/>
          <w:spacing w:val="21"/>
          <w:sz w:val="24"/>
          <w:szCs w:val="24"/>
        </w:rPr>
        <w:t> </w:t>
      </w:r>
      <w:r w:rsidRPr="003E743A">
        <w:rPr>
          <w:rFonts w:ascii="Times New Roman" w:eastAsia="Calibri" w:hAnsi="Times New Roman" w:cs="Times New Roman"/>
          <w:noProof/>
          <w:color w:val="000000"/>
          <w:spacing w:val="-4"/>
          <w:sz w:val="24"/>
          <w:szCs w:val="24"/>
        </w:rPr>
        <w:t>Importance</w:t>
      </w:r>
      <w:r w:rsidRPr="003E743A">
        <w:rPr>
          <w:rFonts w:ascii="Times New Roman" w:eastAsia="Calibri" w:hAnsi="Times New Roman" w:cs="Times New Roman"/>
          <w:noProof/>
          <w:color w:val="000000"/>
          <w:spacing w:val="22"/>
          <w:sz w:val="24"/>
          <w:szCs w:val="24"/>
        </w:rPr>
        <w:t> </w:t>
      </w:r>
      <w:r w:rsidRPr="003E743A">
        <w:rPr>
          <w:rFonts w:ascii="Times New Roman" w:eastAsia="Calibri" w:hAnsi="Times New Roman" w:cs="Times New Roman"/>
          <w:noProof/>
          <w:color w:val="000000"/>
          <w:spacing w:val="-3"/>
          <w:sz w:val="24"/>
          <w:szCs w:val="24"/>
        </w:rPr>
        <w:t>globale</w:t>
      </w:r>
      <w:r w:rsidRPr="003E743A">
        <w:rPr>
          <w:rFonts w:ascii="Times New Roman" w:eastAsia="Calibri" w:hAnsi="Times New Roman" w:cs="Times New Roman"/>
          <w:noProof/>
          <w:color w:val="000000"/>
          <w:spacing w:val="22"/>
          <w:sz w:val="24"/>
          <w:szCs w:val="24"/>
        </w:rPr>
        <w:t> </w:t>
      </w:r>
      <w:r w:rsidRPr="003E743A">
        <w:rPr>
          <w:rFonts w:ascii="Times New Roman" w:eastAsia="Calibri" w:hAnsi="Times New Roman" w:cs="Times New Roman"/>
          <w:noProof/>
          <w:color w:val="000000"/>
          <w:spacing w:val="-4"/>
          <w:sz w:val="24"/>
          <w:szCs w:val="24"/>
        </w:rPr>
        <w:t>de</w:t>
      </w:r>
      <w:r w:rsidRPr="003E743A">
        <w:rPr>
          <w:rFonts w:ascii="Times New Roman" w:eastAsia="Calibri" w:hAnsi="Times New Roman" w:cs="Times New Roman"/>
          <w:noProof/>
          <w:color w:val="000000"/>
          <w:spacing w:val="22"/>
          <w:sz w:val="24"/>
          <w:szCs w:val="24"/>
        </w:rPr>
        <w:t> </w:t>
      </w:r>
      <w:r w:rsidRPr="003E743A">
        <w:rPr>
          <w:rFonts w:ascii="Times New Roman" w:eastAsia="Calibri" w:hAnsi="Times New Roman" w:cs="Times New Roman"/>
          <w:noProof/>
          <w:color w:val="000000"/>
          <w:spacing w:val="-3"/>
          <w:sz w:val="24"/>
          <w:szCs w:val="24"/>
        </w:rPr>
        <w:t>l’impact,</w:t>
      </w:r>
      <w:r w:rsidRPr="003E743A">
        <w:rPr>
          <w:rFonts w:ascii="Times New Roman" w:eastAsia="Calibri" w:hAnsi="Times New Roman" w:cs="Times New Roman"/>
          <w:noProof/>
          <w:color w:val="000000"/>
          <w:spacing w:val="19"/>
          <w:sz w:val="24"/>
          <w:szCs w:val="24"/>
        </w:rPr>
        <w:t> </w:t>
      </w:r>
      <w:r w:rsidRPr="003E743A">
        <w:rPr>
          <w:rFonts w:ascii="Times New Roman" w:eastAsia="Calibri" w:hAnsi="Times New Roman" w:cs="Times New Roman"/>
          <w:noProof/>
          <w:color w:val="000000"/>
          <w:spacing w:val="-3"/>
          <w:sz w:val="24"/>
          <w:szCs w:val="24"/>
        </w:rPr>
        <w:t>à</w:t>
      </w:r>
      <w:r w:rsidRPr="003E743A">
        <w:rPr>
          <w:rFonts w:ascii="Times New Roman" w:eastAsia="Calibri" w:hAnsi="Times New Roman" w:cs="Times New Roman"/>
          <w:noProof/>
          <w:color w:val="000000"/>
          <w:spacing w:val="22"/>
          <w:sz w:val="24"/>
          <w:szCs w:val="24"/>
        </w:rPr>
        <w:t> </w:t>
      </w:r>
      <w:r w:rsidRPr="003E743A">
        <w:rPr>
          <w:rFonts w:ascii="Times New Roman" w:eastAsia="Calibri" w:hAnsi="Times New Roman" w:cs="Times New Roman"/>
          <w:noProof/>
          <w:color w:val="000000"/>
          <w:spacing w:val="-3"/>
          <w:sz w:val="24"/>
          <w:szCs w:val="24"/>
        </w:rPr>
        <w:t>laquelle</w:t>
      </w:r>
      <w:r w:rsidRPr="003E743A">
        <w:rPr>
          <w:rFonts w:ascii="Times New Roman" w:eastAsia="Calibri" w:hAnsi="Times New Roman" w:cs="Times New Roman"/>
          <w:noProof/>
          <w:color w:val="000000"/>
          <w:spacing w:val="20"/>
          <w:sz w:val="24"/>
          <w:szCs w:val="24"/>
        </w:rPr>
        <w:t> </w:t>
      </w:r>
      <w:r w:rsidRPr="003E743A">
        <w:rPr>
          <w:rFonts w:ascii="Times New Roman" w:eastAsia="Calibri" w:hAnsi="Times New Roman" w:cs="Times New Roman"/>
          <w:noProof/>
          <w:color w:val="000000"/>
          <w:spacing w:val="-3"/>
          <w:sz w:val="24"/>
          <w:szCs w:val="24"/>
        </w:rPr>
        <w:t>on associe la durée de cet impact.</w:t>
      </w:r>
    </w:p>
    <w:p w:rsidR="007F3DC3" w:rsidRPr="003E743A" w:rsidRDefault="007F3DC3" w:rsidP="00A476E5">
      <w:pPr>
        <w:spacing w:after="0" w:line="240" w:lineRule="auto"/>
        <w:ind w:left="65"/>
        <w:jc w:val="both"/>
        <w:rPr>
          <w:rFonts w:ascii="Times New Roman" w:eastAsia="Calibri" w:hAnsi="Times New Roman" w:cs="Times New Roman"/>
          <w:noProof/>
          <w:color w:val="000000"/>
          <w:spacing w:val="-3"/>
          <w:sz w:val="24"/>
          <w:szCs w:val="24"/>
        </w:rPr>
      </w:pPr>
    </w:p>
    <w:p w:rsidR="007F3DC3" w:rsidRPr="003E743A" w:rsidRDefault="007F3DC3" w:rsidP="00A476E5">
      <w:pPr>
        <w:spacing w:after="0" w:line="336" w:lineRule="exact"/>
        <w:ind w:left="-284"/>
        <w:jc w:val="both"/>
        <w:rPr>
          <w:rFonts w:ascii="Times New Roman" w:eastAsia="Calibri" w:hAnsi="Times New Roman" w:cs="Times New Roman"/>
          <w:sz w:val="24"/>
          <w:szCs w:val="24"/>
        </w:rPr>
      </w:pPr>
      <w:r w:rsidRPr="003E743A">
        <w:rPr>
          <w:rFonts w:ascii="Times New Roman" w:eastAsia="Calibri" w:hAnsi="Times New Roman" w:cs="Times New Roman"/>
          <w:b/>
          <w:i/>
          <w:noProof/>
          <w:color w:val="000000"/>
          <w:spacing w:val="1"/>
          <w:w w:val="95"/>
          <w:sz w:val="24"/>
          <w:szCs w:val="24"/>
          <w:u w:val="single"/>
        </w:rPr>
        <w:t>Sensibilité</w:t>
      </w:r>
    </w:p>
    <w:p w:rsidR="007F3DC3" w:rsidRPr="003E743A" w:rsidRDefault="007F3DC3" w:rsidP="00A476E5">
      <w:pPr>
        <w:spacing w:after="0" w:line="240" w:lineRule="auto"/>
        <w:ind w:left="-284"/>
        <w:jc w:val="both"/>
        <w:rPr>
          <w:rFonts w:ascii="Times New Roman" w:eastAsia="Calibri" w:hAnsi="Times New Roman" w:cs="Times New Roman"/>
          <w:noProof/>
          <w:color w:val="000000"/>
          <w:spacing w:val="-3"/>
          <w:sz w:val="24"/>
          <w:szCs w:val="24"/>
        </w:rPr>
      </w:pPr>
      <w:r w:rsidRPr="003E743A">
        <w:rPr>
          <w:rFonts w:ascii="Times New Roman" w:eastAsia="Calibri" w:hAnsi="Times New Roman" w:cs="Times New Roman"/>
          <w:noProof/>
          <w:color w:val="000000"/>
          <w:spacing w:val="-4"/>
          <w:sz w:val="24"/>
          <w:szCs w:val="24"/>
        </w:rPr>
        <w:t>La</w:t>
      </w:r>
      <w:r w:rsidRPr="003E743A">
        <w:rPr>
          <w:rFonts w:ascii="Times New Roman" w:eastAsia="Calibri" w:hAnsi="Times New Roman" w:cs="Times New Roman"/>
          <w:noProof/>
          <w:color w:val="000000"/>
          <w:spacing w:val="-1"/>
          <w:sz w:val="24"/>
          <w:szCs w:val="24"/>
        </w:rPr>
        <w:t> </w:t>
      </w:r>
      <w:r w:rsidRPr="003E743A">
        <w:rPr>
          <w:rFonts w:ascii="Times New Roman" w:eastAsia="Calibri" w:hAnsi="Times New Roman" w:cs="Times New Roman"/>
          <w:noProof/>
          <w:color w:val="000000"/>
          <w:spacing w:val="-3"/>
          <w:sz w:val="24"/>
          <w:szCs w:val="24"/>
        </w:rPr>
        <w:t>sensibilité</w:t>
      </w:r>
      <w:r w:rsidRPr="003E743A">
        <w:rPr>
          <w:rFonts w:ascii="Times New Roman" w:eastAsia="Calibri" w:hAnsi="Times New Roman" w:cs="Times New Roman"/>
          <w:noProof/>
          <w:color w:val="000000"/>
          <w:spacing w:val="-1"/>
          <w:sz w:val="24"/>
          <w:szCs w:val="24"/>
        </w:rPr>
        <w:t> </w:t>
      </w:r>
      <w:r w:rsidRPr="003E743A">
        <w:rPr>
          <w:rFonts w:ascii="Times New Roman" w:eastAsia="Calibri" w:hAnsi="Times New Roman" w:cs="Times New Roman"/>
          <w:noProof/>
          <w:color w:val="000000"/>
          <w:spacing w:val="-3"/>
          <w:sz w:val="24"/>
          <w:szCs w:val="24"/>
        </w:rPr>
        <w:t>de</w:t>
      </w:r>
      <w:r w:rsidRPr="003E743A">
        <w:rPr>
          <w:rFonts w:ascii="Times New Roman" w:eastAsia="Calibri" w:hAnsi="Times New Roman" w:cs="Times New Roman"/>
          <w:noProof/>
          <w:color w:val="000000"/>
          <w:spacing w:val="-1"/>
          <w:sz w:val="24"/>
          <w:szCs w:val="24"/>
        </w:rPr>
        <w:t> </w:t>
      </w:r>
      <w:r w:rsidRPr="003E743A">
        <w:rPr>
          <w:rFonts w:ascii="Times New Roman" w:eastAsia="Calibri" w:hAnsi="Times New Roman" w:cs="Times New Roman"/>
          <w:noProof/>
          <w:color w:val="000000"/>
          <w:spacing w:val="-3"/>
          <w:sz w:val="24"/>
          <w:szCs w:val="24"/>
        </w:rPr>
        <w:t>l’élément</w:t>
      </w:r>
      <w:r w:rsidRPr="003E743A">
        <w:rPr>
          <w:rFonts w:ascii="Times New Roman" w:eastAsia="Calibri" w:hAnsi="Times New Roman" w:cs="Times New Roman"/>
          <w:noProof/>
          <w:color w:val="000000"/>
          <w:spacing w:val="-5"/>
          <w:sz w:val="24"/>
          <w:szCs w:val="24"/>
        </w:rPr>
        <w:t> </w:t>
      </w:r>
      <w:r w:rsidRPr="003E743A">
        <w:rPr>
          <w:rFonts w:ascii="Times New Roman" w:eastAsia="Calibri" w:hAnsi="Times New Roman" w:cs="Times New Roman"/>
          <w:noProof/>
          <w:color w:val="000000"/>
          <w:spacing w:val="-3"/>
          <w:sz w:val="24"/>
          <w:szCs w:val="24"/>
        </w:rPr>
        <w:t>du</w:t>
      </w:r>
      <w:r w:rsidRPr="003E743A">
        <w:rPr>
          <w:rFonts w:ascii="Times New Roman" w:eastAsia="Calibri" w:hAnsi="Times New Roman" w:cs="Times New Roman"/>
          <w:noProof/>
          <w:color w:val="000000"/>
          <w:spacing w:val="-1"/>
          <w:sz w:val="24"/>
          <w:szCs w:val="24"/>
        </w:rPr>
        <w:t> </w:t>
      </w:r>
      <w:r w:rsidRPr="003E743A">
        <w:rPr>
          <w:rFonts w:ascii="Times New Roman" w:eastAsia="Calibri" w:hAnsi="Times New Roman" w:cs="Times New Roman"/>
          <w:noProof/>
          <w:color w:val="000000"/>
          <w:spacing w:val="-3"/>
          <w:sz w:val="24"/>
          <w:szCs w:val="24"/>
        </w:rPr>
        <w:t>milieu</w:t>
      </w:r>
      <w:r w:rsidRPr="003E743A">
        <w:rPr>
          <w:rFonts w:ascii="Times New Roman" w:eastAsia="Calibri" w:hAnsi="Times New Roman" w:cs="Times New Roman"/>
          <w:noProof/>
          <w:color w:val="000000"/>
          <w:spacing w:val="-1"/>
          <w:sz w:val="24"/>
          <w:szCs w:val="24"/>
        </w:rPr>
        <w:t> </w:t>
      </w:r>
      <w:r w:rsidRPr="003E743A">
        <w:rPr>
          <w:rFonts w:ascii="Times New Roman" w:eastAsia="Calibri" w:hAnsi="Times New Roman" w:cs="Times New Roman"/>
          <w:noProof/>
          <w:color w:val="000000"/>
          <w:spacing w:val="-4"/>
          <w:sz w:val="24"/>
          <w:szCs w:val="24"/>
        </w:rPr>
        <w:t>dépend</w:t>
      </w:r>
      <w:r w:rsidRPr="003E743A">
        <w:rPr>
          <w:rFonts w:ascii="Times New Roman" w:eastAsia="Calibri" w:hAnsi="Times New Roman" w:cs="Times New Roman"/>
          <w:noProof/>
          <w:color w:val="000000"/>
          <w:spacing w:val="-2"/>
          <w:sz w:val="24"/>
          <w:szCs w:val="24"/>
        </w:rPr>
        <w:t> </w:t>
      </w:r>
      <w:r w:rsidRPr="003E743A">
        <w:rPr>
          <w:rFonts w:ascii="Times New Roman" w:eastAsia="Calibri" w:hAnsi="Times New Roman" w:cs="Times New Roman"/>
          <w:noProof/>
          <w:color w:val="000000"/>
          <w:spacing w:val="-3"/>
          <w:sz w:val="24"/>
          <w:szCs w:val="24"/>
        </w:rPr>
        <w:t>de</w:t>
      </w:r>
      <w:r w:rsidRPr="003E743A">
        <w:rPr>
          <w:rFonts w:ascii="Times New Roman" w:eastAsia="Calibri" w:hAnsi="Times New Roman" w:cs="Times New Roman"/>
          <w:noProof/>
          <w:color w:val="000000"/>
          <w:spacing w:val="-1"/>
          <w:sz w:val="24"/>
          <w:szCs w:val="24"/>
        </w:rPr>
        <w:t> </w:t>
      </w:r>
      <w:r w:rsidRPr="003E743A">
        <w:rPr>
          <w:rFonts w:ascii="Times New Roman" w:eastAsia="Calibri" w:hAnsi="Times New Roman" w:cs="Times New Roman"/>
          <w:noProof/>
          <w:color w:val="000000"/>
          <w:spacing w:val="-3"/>
          <w:sz w:val="24"/>
          <w:szCs w:val="24"/>
        </w:rPr>
        <w:t>l’importance</w:t>
      </w:r>
      <w:r w:rsidRPr="003E743A">
        <w:rPr>
          <w:rFonts w:ascii="Times New Roman" w:eastAsia="Calibri" w:hAnsi="Times New Roman" w:cs="Times New Roman"/>
          <w:noProof/>
          <w:color w:val="000000"/>
          <w:spacing w:val="-1"/>
          <w:sz w:val="24"/>
          <w:szCs w:val="24"/>
        </w:rPr>
        <w:t> </w:t>
      </w:r>
      <w:r w:rsidRPr="003E743A">
        <w:rPr>
          <w:rFonts w:ascii="Times New Roman" w:eastAsia="Calibri" w:hAnsi="Times New Roman" w:cs="Times New Roman"/>
          <w:noProof/>
          <w:color w:val="000000"/>
          <w:spacing w:val="-3"/>
          <w:sz w:val="24"/>
          <w:szCs w:val="24"/>
        </w:rPr>
        <w:t>de </w:t>
      </w:r>
      <w:r w:rsidRPr="003E743A">
        <w:rPr>
          <w:rFonts w:ascii="Times New Roman" w:eastAsia="Calibri" w:hAnsi="Times New Roman" w:cs="Times New Roman"/>
          <w:noProof/>
          <w:color w:val="000000"/>
          <w:spacing w:val="-2"/>
          <w:sz w:val="24"/>
          <w:szCs w:val="24"/>
        </w:rPr>
        <w:t>cet </w:t>
      </w:r>
      <w:r w:rsidRPr="003E743A">
        <w:rPr>
          <w:rFonts w:ascii="Times New Roman" w:eastAsia="Calibri" w:hAnsi="Times New Roman" w:cs="Times New Roman"/>
          <w:noProof/>
          <w:color w:val="000000"/>
          <w:spacing w:val="-3"/>
          <w:sz w:val="24"/>
          <w:szCs w:val="24"/>
        </w:rPr>
        <w:t>élément</w:t>
      </w:r>
      <w:r w:rsidRPr="003E743A">
        <w:rPr>
          <w:rFonts w:ascii="Times New Roman" w:eastAsia="Calibri" w:hAnsi="Times New Roman" w:cs="Times New Roman"/>
          <w:noProof/>
          <w:color w:val="000000"/>
          <w:spacing w:val="-2"/>
          <w:sz w:val="24"/>
          <w:szCs w:val="24"/>
        </w:rPr>
        <w:t> </w:t>
      </w:r>
      <w:r w:rsidRPr="003E743A">
        <w:rPr>
          <w:rFonts w:ascii="Times New Roman" w:eastAsia="Calibri" w:hAnsi="Times New Roman" w:cs="Times New Roman"/>
          <w:noProof/>
          <w:color w:val="000000"/>
          <w:spacing w:val="-4"/>
          <w:sz w:val="24"/>
          <w:szCs w:val="24"/>
        </w:rPr>
        <w:t>dans</w:t>
      </w:r>
      <w:r w:rsidRPr="003E743A">
        <w:rPr>
          <w:rFonts w:ascii="Times New Roman" w:eastAsia="Calibri" w:hAnsi="Times New Roman" w:cs="Times New Roman"/>
          <w:noProof/>
          <w:color w:val="000000"/>
          <w:spacing w:val="-1"/>
          <w:sz w:val="24"/>
          <w:szCs w:val="24"/>
        </w:rPr>
        <w:t> </w:t>
      </w:r>
      <w:r w:rsidRPr="003E743A">
        <w:rPr>
          <w:rFonts w:ascii="Times New Roman" w:eastAsia="Calibri" w:hAnsi="Times New Roman" w:cs="Times New Roman"/>
          <w:noProof/>
          <w:color w:val="000000"/>
          <w:spacing w:val="-2"/>
          <w:sz w:val="24"/>
          <w:szCs w:val="24"/>
        </w:rPr>
        <w:t>la</w:t>
      </w:r>
      <w:r w:rsidRPr="003E743A">
        <w:rPr>
          <w:rFonts w:ascii="Times New Roman" w:eastAsia="Calibri" w:hAnsi="Times New Roman" w:cs="Times New Roman"/>
          <w:noProof/>
          <w:color w:val="000000"/>
          <w:spacing w:val="-1"/>
          <w:sz w:val="24"/>
          <w:szCs w:val="24"/>
        </w:rPr>
        <w:t> </w:t>
      </w:r>
      <w:r w:rsidRPr="003E743A">
        <w:rPr>
          <w:rFonts w:ascii="Times New Roman" w:eastAsia="Calibri" w:hAnsi="Times New Roman" w:cs="Times New Roman"/>
          <w:noProof/>
          <w:color w:val="000000"/>
          <w:spacing w:val="-3"/>
          <w:sz w:val="24"/>
          <w:szCs w:val="24"/>
        </w:rPr>
        <w:t>zone de l’étude. Dans le cas de la présente analyse, trois niveaux de sensibilités ont été pris en consideration. Il s’agit de : très forte, forte, moyenne, et faible.</w:t>
      </w:r>
    </w:p>
    <w:p w:rsidR="007F3DC3" w:rsidRPr="003E743A" w:rsidRDefault="007F3DC3" w:rsidP="00A476E5">
      <w:pPr>
        <w:spacing w:after="0" w:line="240" w:lineRule="auto"/>
        <w:jc w:val="both"/>
        <w:rPr>
          <w:rFonts w:ascii="Times New Roman" w:eastAsia="Calibri" w:hAnsi="Times New Roman" w:cs="Times New Roman"/>
          <w:noProof/>
          <w:color w:val="000000"/>
          <w:spacing w:val="-3"/>
          <w:sz w:val="24"/>
          <w:szCs w:val="24"/>
        </w:rPr>
      </w:pPr>
    </w:p>
    <w:p w:rsidR="007F3DC3" w:rsidRPr="003E743A" w:rsidRDefault="007F3DC3" w:rsidP="00FA3FAE">
      <w:pPr>
        <w:numPr>
          <w:ilvl w:val="0"/>
          <w:numId w:val="52"/>
        </w:numPr>
        <w:spacing w:after="0" w:line="377" w:lineRule="exact"/>
        <w:contextualSpacing/>
        <w:jc w:val="both"/>
        <w:rPr>
          <w:rFonts w:ascii="Times New Roman" w:eastAsia="Calibri" w:hAnsi="Times New Roman" w:cs="Times New Roman"/>
          <w:sz w:val="24"/>
          <w:szCs w:val="24"/>
        </w:rPr>
      </w:pPr>
      <w:r w:rsidRPr="003E743A">
        <w:rPr>
          <w:rFonts w:ascii="Times New Roman" w:eastAsia="Calibri" w:hAnsi="Times New Roman" w:cs="Times New Roman"/>
          <w:b/>
          <w:noProof/>
          <w:color w:val="000000"/>
          <w:spacing w:val="-3"/>
          <w:w w:val="95"/>
          <w:sz w:val="24"/>
          <w:szCs w:val="24"/>
        </w:rPr>
        <w:t>Identification</w:t>
      </w:r>
      <w:r w:rsidRPr="003E743A">
        <w:rPr>
          <w:rFonts w:ascii="Times New Roman" w:eastAsia="Calibri" w:hAnsi="Times New Roman" w:cs="Times New Roman"/>
          <w:b/>
          <w:noProof/>
          <w:color w:val="000000"/>
          <w:spacing w:val="-3"/>
          <w:sz w:val="24"/>
          <w:szCs w:val="24"/>
        </w:rPr>
        <w:t> </w:t>
      </w:r>
      <w:r w:rsidRPr="003E743A">
        <w:rPr>
          <w:rFonts w:ascii="Times New Roman" w:eastAsia="Calibri" w:hAnsi="Times New Roman" w:cs="Times New Roman"/>
          <w:b/>
          <w:noProof/>
          <w:color w:val="000000"/>
          <w:spacing w:val="-4"/>
          <w:w w:val="95"/>
          <w:sz w:val="24"/>
          <w:szCs w:val="24"/>
        </w:rPr>
        <w:t>des</w:t>
      </w:r>
      <w:r w:rsidRPr="003E743A">
        <w:rPr>
          <w:rFonts w:ascii="Times New Roman" w:eastAsia="Calibri" w:hAnsi="Times New Roman" w:cs="Times New Roman"/>
          <w:b/>
          <w:noProof/>
          <w:color w:val="000000"/>
          <w:spacing w:val="-4"/>
          <w:sz w:val="24"/>
          <w:szCs w:val="24"/>
        </w:rPr>
        <w:t> </w:t>
      </w:r>
      <w:r w:rsidRPr="003E743A">
        <w:rPr>
          <w:rFonts w:ascii="Times New Roman" w:eastAsia="Calibri" w:hAnsi="Times New Roman" w:cs="Times New Roman"/>
          <w:b/>
          <w:noProof/>
          <w:color w:val="000000"/>
          <w:spacing w:val="-3"/>
          <w:w w:val="95"/>
          <w:sz w:val="24"/>
          <w:szCs w:val="24"/>
        </w:rPr>
        <w:t>impacts</w:t>
      </w:r>
    </w:p>
    <w:p w:rsidR="007F3DC3" w:rsidRDefault="007F3DC3" w:rsidP="00A476E5">
      <w:pPr>
        <w:spacing w:after="0" w:line="240" w:lineRule="auto"/>
        <w:ind w:left="-284"/>
        <w:jc w:val="both"/>
        <w:rPr>
          <w:rFonts w:ascii="Times New Roman" w:eastAsia="Calibri" w:hAnsi="Times New Roman" w:cs="Times New Roman"/>
          <w:noProof/>
          <w:color w:val="000000"/>
          <w:spacing w:val="-4"/>
          <w:sz w:val="24"/>
          <w:szCs w:val="24"/>
        </w:rPr>
      </w:pPr>
      <w:r w:rsidRPr="003E743A">
        <w:rPr>
          <w:rFonts w:ascii="Times New Roman" w:eastAsia="Calibri" w:hAnsi="Times New Roman" w:cs="Times New Roman"/>
          <w:noProof/>
          <w:color w:val="000000"/>
          <w:spacing w:val="-4"/>
          <w:sz w:val="24"/>
          <w:szCs w:val="24"/>
        </w:rPr>
        <w:t>Une matrice a été construite à partir des éléments environnementaux identifiés lors de la phase</w:t>
      </w:r>
      <w:r>
        <w:rPr>
          <w:rFonts w:ascii="Times New Roman" w:eastAsia="Calibri" w:hAnsi="Times New Roman" w:cs="Times New Roman"/>
          <w:noProof/>
          <w:color w:val="000000"/>
          <w:spacing w:val="-4"/>
          <w:sz w:val="24"/>
          <w:szCs w:val="24"/>
        </w:rPr>
        <w:t> de description</w:t>
      </w:r>
    </w:p>
    <w:p w:rsidR="007F3DC3" w:rsidRPr="003E743A" w:rsidRDefault="007F3DC3" w:rsidP="00A476E5">
      <w:pPr>
        <w:spacing w:after="0" w:line="240" w:lineRule="auto"/>
        <w:ind w:left="-284"/>
        <w:jc w:val="both"/>
        <w:rPr>
          <w:rFonts w:ascii="Times New Roman" w:eastAsia="Calibri" w:hAnsi="Times New Roman" w:cs="Times New Roman"/>
          <w:noProof/>
          <w:color w:val="000000"/>
          <w:spacing w:val="-4"/>
          <w:sz w:val="24"/>
          <w:szCs w:val="24"/>
        </w:rPr>
      </w:pPr>
      <w:r w:rsidRPr="003E743A">
        <w:rPr>
          <w:rFonts w:ascii="Times New Roman" w:eastAsia="Calibri" w:hAnsi="Times New Roman" w:cs="Times New Roman"/>
          <w:noProof/>
          <w:color w:val="000000"/>
          <w:spacing w:val="-4"/>
          <w:sz w:val="24"/>
          <w:szCs w:val="24"/>
        </w:rPr>
        <w:t>du milieu récepteur et des activités du projet. La matrice souligne les interactions</w:t>
      </w:r>
      <w:r>
        <w:rPr>
          <w:rFonts w:ascii="Times New Roman" w:eastAsia="Calibri" w:hAnsi="Times New Roman" w:cs="Times New Roman"/>
          <w:noProof/>
          <w:color w:val="000000"/>
          <w:spacing w:val="-4"/>
          <w:sz w:val="24"/>
          <w:szCs w:val="24"/>
        </w:rPr>
        <w:t> </w:t>
      </w:r>
      <w:r w:rsidRPr="003E743A">
        <w:rPr>
          <w:rFonts w:ascii="Times New Roman" w:eastAsia="Calibri" w:hAnsi="Times New Roman" w:cs="Times New Roman"/>
          <w:noProof/>
          <w:color w:val="000000"/>
          <w:spacing w:val="-4"/>
          <w:sz w:val="24"/>
          <w:szCs w:val="24"/>
        </w:rPr>
        <w:t>possibles entre les activités du projet, construction</w:t>
      </w:r>
      <w:r>
        <w:rPr>
          <w:rFonts w:ascii="Times New Roman" w:eastAsia="Calibri" w:hAnsi="Times New Roman" w:cs="Times New Roman"/>
          <w:noProof/>
          <w:color w:val="000000"/>
          <w:spacing w:val="-4"/>
          <w:sz w:val="24"/>
          <w:szCs w:val="24"/>
        </w:rPr>
        <w:t> </w:t>
      </w:r>
      <w:r w:rsidRPr="003E743A">
        <w:rPr>
          <w:rFonts w:ascii="Times New Roman" w:eastAsia="Calibri" w:hAnsi="Times New Roman" w:cs="Times New Roman"/>
          <w:noProof/>
          <w:color w:val="000000"/>
          <w:spacing w:val="-4"/>
          <w:sz w:val="24"/>
          <w:szCs w:val="24"/>
        </w:rPr>
        <w:t>aménagement, exploitation et les éléments</w:t>
      </w:r>
      <w:r>
        <w:rPr>
          <w:rFonts w:ascii="Times New Roman" w:eastAsia="Calibri" w:hAnsi="Times New Roman" w:cs="Times New Roman"/>
          <w:noProof/>
          <w:color w:val="000000"/>
          <w:spacing w:val="-4"/>
          <w:sz w:val="24"/>
          <w:szCs w:val="24"/>
        </w:rPr>
        <w:t> </w:t>
      </w:r>
      <w:r w:rsidRPr="003E743A">
        <w:rPr>
          <w:rFonts w:ascii="Times New Roman" w:eastAsia="Calibri" w:hAnsi="Times New Roman" w:cs="Times New Roman"/>
          <w:noProof/>
          <w:color w:val="000000"/>
          <w:spacing w:val="-4"/>
          <w:sz w:val="24"/>
          <w:szCs w:val="24"/>
        </w:rPr>
        <w:t>environnementaux (milieux physique, biologique et humain).</w:t>
      </w:r>
    </w:p>
    <w:p w:rsidR="007F3DC3" w:rsidRPr="003E743A" w:rsidRDefault="007F3DC3" w:rsidP="00FA3FAE">
      <w:pPr>
        <w:numPr>
          <w:ilvl w:val="0"/>
          <w:numId w:val="52"/>
        </w:numPr>
        <w:spacing w:after="0" w:line="336" w:lineRule="exact"/>
        <w:contextualSpacing/>
        <w:jc w:val="both"/>
        <w:rPr>
          <w:rFonts w:ascii="Times New Roman" w:eastAsia="Calibri" w:hAnsi="Times New Roman" w:cs="Times New Roman"/>
          <w:sz w:val="24"/>
          <w:szCs w:val="24"/>
        </w:rPr>
      </w:pPr>
      <w:r w:rsidRPr="003E743A">
        <w:rPr>
          <w:rFonts w:ascii="Times New Roman" w:eastAsia="Calibri" w:hAnsi="Times New Roman" w:cs="Times New Roman"/>
          <w:b/>
          <w:noProof/>
          <w:color w:val="000000"/>
          <w:spacing w:val="-3"/>
          <w:w w:val="95"/>
          <w:sz w:val="24"/>
          <w:szCs w:val="24"/>
        </w:rPr>
        <w:t>Critères</w:t>
      </w:r>
      <w:r w:rsidRPr="003E743A">
        <w:rPr>
          <w:rFonts w:ascii="Times New Roman" w:eastAsia="Calibri" w:hAnsi="Times New Roman" w:cs="Times New Roman"/>
          <w:b/>
          <w:noProof/>
          <w:color w:val="000000"/>
          <w:spacing w:val="-4"/>
          <w:sz w:val="24"/>
          <w:szCs w:val="24"/>
        </w:rPr>
        <w:t> </w:t>
      </w:r>
      <w:r w:rsidRPr="003E743A">
        <w:rPr>
          <w:rFonts w:ascii="Times New Roman" w:eastAsia="Calibri" w:hAnsi="Times New Roman" w:cs="Times New Roman"/>
          <w:b/>
          <w:noProof/>
          <w:color w:val="000000"/>
          <w:spacing w:val="-3"/>
          <w:w w:val="95"/>
          <w:sz w:val="24"/>
          <w:szCs w:val="24"/>
        </w:rPr>
        <w:t>d’évaluation</w:t>
      </w:r>
    </w:p>
    <w:p w:rsidR="007F3DC3" w:rsidRPr="003E743A" w:rsidRDefault="007F3DC3" w:rsidP="00A476E5">
      <w:pPr>
        <w:spacing w:after="0" w:line="268" w:lineRule="exact"/>
        <w:ind w:left="-284"/>
        <w:jc w:val="both"/>
        <w:rPr>
          <w:rFonts w:ascii="Times New Roman" w:eastAsia="Calibri" w:hAnsi="Times New Roman" w:cs="Times New Roman"/>
          <w:noProof/>
          <w:color w:val="000000"/>
          <w:spacing w:val="-2"/>
          <w:sz w:val="24"/>
          <w:szCs w:val="24"/>
        </w:rPr>
      </w:pPr>
      <w:r w:rsidRPr="003E743A">
        <w:rPr>
          <w:rFonts w:ascii="Times New Roman" w:eastAsia="Calibri" w:hAnsi="Times New Roman" w:cs="Times New Roman"/>
          <w:noProof/>
          <w:color w:val="000000"/>
          <w:spacing w:val="-3"/>
          <w:sz w:val="24"/>
          <w:szCs w:val="24"/>
        </w:rPr>
        <w:t>Les</w:t>
      </w:r>
      <w:r w:rsidRPr="003E743A">
        <w:rPr>
          <w:rFonts w:ascii="Times New Roman" w:eastAsia="Calibri" w:hAnsi="Times New Roman" w:cs="Times New Roman"/>
          <w:noProof/>
          <w:color w:val="000000"/>
          <w:spacing w:val="25"/>
          <w:sz w:val="24"/>
          <w:szCs w:val="24"/>
        </w:rPr>
        <w:t> </w:t>
      </w:r>
      <w:r w:rsidRPr="003E743A">
        <w:rPr>
          <w:rFonts w:ascii="Times New Roman" w:eastAsia="Calibri" w:hAnsi="Times New Roman" w:cs="Times New Roman"/>
          <w:noProof/>
          <w:color w:val="000000"/>
          <w:spacing w:val="-3"/>
          <w:sz w:val="24"/>
          <w:szCs w:val="24"/>
        </w:rPr>
        <w:t>impacts</w:t>
      </w:r>
      <w:r w:rsidRPr="003E743A">
        <w:rPr>
          <w:rFonts w:ascii="Times New Roman" w:eastAsia="Calibri" w:hAnsi="Times New Roman" w:cs="Times New Roman"/>
          <w:noProof/>
          <w:color w:val="000000"/>
          <w:spacing w:val="25"/>
          <w:sz w:val="24"/>
          <w:szCs w:val="24"/>
        </w:rPr>
        <w:t> </w:t>
      </w:r>
      <w:r w:rsidRPr="003E743A">
        <w:rPr>
          <w:rFonts w:ascii="Times New Roman" w:eastAsia="Calibri" w:hAnsi="Times New Roman" w:cs="Times New Roman"/>
          <w:noProof/>
          <w:color w:val="000000"/>
          <w:spacing w:val="-4"/>
          <w:sz w:val="24"/>
          <w:szCs w:val="24"/>
        </w:rPr>
        <w:t>appréhendés</w:t>
      </w:r>
      <w:r w:rsidRPr="003E743A">
        <w:rPr>
          <w:rFonts w:ascii="Times New Roman" w:eastAsia="Calibri" w:hAnsi="Times New Roman" w:cs="Times New Roman"/>
          <w:noProof/>
          <w:color w:val="000000"/>
          <w:spacing w:val="23"/>
          <w:sz w:val="24"/>
          <w:szCs w:val="24"/>
        </w:rPr>
        <w:t> </w:t>
      </w:r>
      <w:r w:rsidRPr="003E743A">
        <w:rPr>
          <w:rFonts w:ascii="Times New Roman" w:eastAsia="Calibri" w:hAnsi="Times New Roman" w:cs="Times New Roman"/>
          <w:noProof/>
          <w:color w:val="000000"/>
          <w:spacing w:val="-3"/>
          <w:sz w:val="24"/>
          <w:szCs w:val="24"/>
        </w:rPr>
        <w:t>du</w:t>
      </w:r>
      <w:r w:rsidRPr="003E743A">
        <w:rPr>
          <w:rFonts w:ascii="Times New Roman" w:eastAsia="Calibri" w:hAnsi="Times New Roman" w:cs="Times New Roman"/>
          <w:noProof/>
          <w:color w:val="000000"/>
          <w:spacing w:val="25"/>
          <w:sz w:val="24"/>
          <w:szCs w:val="24"/>
        </w:rPr>
        <w:t> </w:t>
      </w:r>
      <w:r w:rsidRPr="003E743A">
        <w:rPr>
          <w:rFonts w:ascii="Times New Roman" w:eastAsia="Calibri" w:hAnsi="Times New Roman" w:cs="Times New Roman"/>
          <w:noProof/>
          <w:color w:val="000000"/>
          <w:spacing w:val="-3"/>
          <w:sz w:val="24"/>
          <w:szCs w:val="24"/>
        </w:rPr>
        <w:t>projet</w:t>
      </w:r>
      <w:r w:rsidRPr="003E743A">
        <w:rPr>
          <w:rFonts w:ascii="Times New Roman" w:eastAsia="Calibri" w:hAnsi="Times New Roman" w:cs="Times New Roman"/>
          <w:noProof/>
          <w:color w:val="000000"/>
          <w:spacing w:val="24"/>
          <w:sz w:val="24"/>
          <w:szCs w:val="24"/>
        </w:rPr>
        <w:t> </w:t>
      </w:r>
      <w:r w:rsidRPr="003E743A">
        <w:rPr>
          <w:rFonts w:ascii="Times New Roman" w:eastAsia="Calibri" w:hAnsi="Times New Roman" w:cs="Times New Roman"/>
          <w:noProof/>
          <w:color w:val="000000"/>
          <w:spacing w:val="-3"/>
          <w:sz w:val="24"/>
          <w:szCs w:val="24"/>
        </w:rPr>
        <w:t>ont</w:t>
      </w:r>
      <w:r w:rsidRPr="003E743A">
        <w:rPr>
          <w:rFonts w:ascii="Times New Roman" w:eastAsia="Calibri" w:hAnsi="Times New Roman" w:cs="Times New Roman"/>
          <w:noProof/>
          <w:color w:val="000000"/>
          <w:spacing w:val="23"/>
          <w:sz w:val="24"/>
          <w:szCs w:val="24"/>
        </w:rPr>
        <w:t> </w:t>
      </w:r>
      <w:r w:rsidRPr="003E743A">
        <w:rPr>
          <w:rFonts w:ascii="Times New Roman" w:eastAsia="Calibri" w:hAnsi="Times New Roman" w:cs="Times New Roman"/>
          <w:noProof/>
          <w:color w:val="000000"/>
          <w:spacing w:val="-3"/>
          <w:sz w:val="24"/>
          <w:szCs w:val="24"/>
        </w:rPr>
        <w:t>été</w:t>
      </w:r>
      <w:r w:rsidRPr="003E743A">
        <w:rPr>
          <w:rFonts w:ascii="Times New Roman" w:eastAsia="Calibri" w:hAnsi="Times New Roman" w:cs="Times New Roman"/>
          <w:noProof/>
          <w:color w:val="000000"/>
          <w:spacing w:val="24"/>
          <w:sz w:val="24"/>
          <w:szCs w:val="24"/>
        </w:rPr>
        <w:t> </w:t>
      </w:r>
      <w:r w:rsidRPr="003E743A">
        <w:rPr>
          <w:rFonts w:ascii="Times New Roman" w:eastAsia="Calibri" w:hAnsi="Times New Roman" w:cs="Times New Roman"/>
          <w:noProof/>
          <w:color w:val="000000"/>
          <w:spacing w:val="-3"/>
          <w:sz w:val="24"/>
          <w:szCs w:val="24"/>
        </w:rPr>
        <w:t>évalués</w:t>
      </w:r>
      <w:r w:rsidRPr="003E743A">
        <w:rPr>
          <w:rFonts w:ascii="Times New Roman" w:eastAsia="Calibri" w:hAnsi="Times New Roman" w:cs="Times New Roman"/>
          <w:noProof/>
          <w:color w:val="000000"/>
          <w:spacing w:val="25"/>
          <w:sz w:val="24"/>
          <w:szCs w:val="24"/>
        </w:rPr>
        <w:t> </w:t>
      </w:r>
      <w:r w:rsidRPr="003E743A">
        <w:rPr>
          <w:rFonts w:ascii="Times New Roman" w:eastAsia="Calibri" w:hAnsi="Times New Roman" w:cs="Times New Roman"/>
          <w:noProof/>
          <w:color w:val="000000"/>
          <w:spacing w:val="-3"/>
          <w:sz w:val="24"/>
          <w:szCs w:val="24"/>
        </w:rPr>
        <w:t>en</w:t>
      </w:r>
      <w:r w:rsidRPr="003E743A">
        <w:rPr>
          <w:rFonts w:ascii="Times New Roman" w:eastAsia="Calibri" w:hAnsi="Times New Roman" w:cs="Times New Roman"/>
          <w:noProof/>
          <w:color w:val="000000"/>
          <w:spacing w:val="23"/>
          <w:sz w:val="24"/>
          <w:szCs w:val="24"/>
        </w:rPr>
        <w:t> </w:t>
      </w:r>
      <w:r w:rsidRPr="003E743A">
        <w:rPr>
          <w:rFonts w:ascii="Times New Roman" w:eastAsia="Calibri" w:hAnsi="Times New Roman" w:cs="Times New Roman"/>
          <w:noProof/>
          <w:color w:val="000000"/>
          <w:spacing w:val="-3"/>
          <w:sz w:val="24"/>
          <w:szCs w:val="24"/>
        </w:rPr>
        <w:t>tenant</w:t>
      </w:r>
      <w:r w:rsidRPr="003E743A">
        <w:rPr>
          <w:rFonts w:ascii="Times New Roman" w:eastAsia="Calibri" w:hAnsi="Times New Roman" w:cs="Times New Roman"/>
          <w:noProof/>
          <w:color w:val="000000"/>
          <w:spacing w:val="23"/>
          <w:sz w:val="24"/>
          <w:szCs w:val="24"/>
        </w:rPr>
        <w:t> </w:t>
      </w:r>
      <w:r w:rsidRPr="003E743A">
        <w:rPr>
          <w:rFonts w:ascii="Times New Roman" w:eastAsia="Calibri" w:hAnsi="Times New Roman" w:cs="Times New Roman"/>
          <w:noProof/>
          <w:color w:val="000000"/>
          <w:spacing w:val="-3"/>
          <w:sz w:val="24"/>
          <w:szCs w:val="24"/>
        </w:rPr>
        <w:t>compte</w:t>
      </w:r>
      <w:r w:rsidRPr="003E743A">
        <w:rPr>
          <w:rFonts w:ascii="Times New Roman" w:eastAsia="Calibri" w:hAnsi="Times New Roman" w:cs="Times New Roman"/>
          <w:noProof/>
          <w:color w:val="000000"/>
          <w:spacing w:val="24"/>
          <w:sz w:val="24"/>
          <w:szCs w:val="24"/>
        </w:rPr>
        <w:t> </w:t>
      </w:r>
      <w:r w:rsidRPr="003E743A">
        <w:rPr>
          <w:rFonts w:ascii="Times New Roman" w:eastAsia="Calibri" w:hAnsi="Times New Roman" w:cs="Times New Roman"/>
          <w:noProof/>
          <w:color w:val="000000"/>
          <w:spacing w:val="-3"/>
          <w:sz w:val="24"/>
          <w:szCs w:val="24"/>
        </w:rPr>
        <w:t>de</w:t>
      </w:r>
      <w:r w:rsidRPr="003E743A">
        <w:rPr>
          <w:rFonts w:ascii="Times New Roman" w:eastAsia="Calibri" w:hAnsi="Times New Roman" w:cs="Times New Roman"/>
          <w:noProof/>
          <w:color w:val="000000"/>
          <w:spacing w:val="22"/>
          <w:sz w:val="24"/>
          <w:szCs w:val="24"/>
        </w:rPr>
        <w:t> </w:t>
      </w:r>
      <w:r w:rsidRPr="003E743A">
        <w:rPr>
          <w:rFonts w:ascii="Times New Roman" w:eastAsia="Calibri" w:hAnsi="Times New Roman" w:cs="Times New Roman"/>
          <w:noProof/>
          <w:color w:val="000000"/>
          <w:spacing w:val="-3"/>
          <w:sz w:val="24"/>
          <w:szCs w:val="24"/>
        </w:rPr>
        <w:t>critères</w:t>
      </w:r>
      <w:r w:rsidRPr="003E743A">
        <w:rPr>
          <w:rFonts w:ascii="Times New Roman" w:eastAsia="Calibri" w:hAnsi="Times New Roman" w:cs="Times New Roman"/>
          <w:noProof/>
          <w:color w:val="000000"/>
          <w:spacing w:val="25"/>
          <w:sz w:val="24"/>
          <w:szCs w:val="24"/>
        </w:rPr>
        <w:t> </w:t>
      </w:r>
      <w:r w:rsidRPr="003E743A">
        <w:rPr>
          <w:rFonts w:ascii="Times New Roman" w:eastAsia="Calibri" w:hAnsi="Times New Roman" w:cs="Times New Roman"/>
          <w:noProof/>
          <w:color w:val="000000"/>
          <w:spacing w:val="-3"/>
          <w:sz w:val="24"/>
          <w:szCs w:val="24"/>
        </w:rPr>
        <w:t>d’évaluation</w:t>
      </w:r>
      <w:r w:rsidRPr="003E743A">
        <w:rPr>
          <w:rFonts w:ascii="Times New Roman" w:eastAsia="Calibri" w:hAnsi="Times New Roman" w:cs="Times New Roman"/>
          <w:noProof/>
          <w:color w:val="000000"/>
          <w:spacing w:val="-2"/>
          <w:sz w:val="24"/>
          <w:szCs w:val="24"/>
        </w:rPr>
        <w:t>tels</w:t>
      </w:r>
      <w:r w:rsidRPr="003E743A">
        <w:rPr>
          <w:rFonts w:ascii="Times New Roman" w:eastAsia="Calibri" w:hAnsi="Times New Roman" w:cs="Times New Roman"/>
          <w:noProof/>
          <w:color w:val="000000"/>
          <w:w w:val="194"/>
          <w:sz w:val="24"/>
          <w:szCs w:val="24"/>
        </w:rPr>
        <w:t> </w:t>
      </w:r>
      <w:r w:rsidRPr="003E743A">
        <w:rPr>
          <w:rFonts w:ascii="Times New Roman" w:eastAsia="Calibri" w:hAnsi="Times New Roman" w:cs="Times New Roman"/>
          <w:noProof/>
          <w:color w:val="000000"/>
          <w:spacing w:val="-3"/>
          <w:sz w:val="24"/>
          <w:szCs w:val="24"/>
        </w:rPr>
        <w:t>que</w:t>
      </w:r>
      <w:r w:rsidRPr="003E743A">
        <w:rPr>
          <w:rFonts w:ascii="Times New Roman" w:eastAsia="Calibri" w:hAnsi="Times New Roman" w:cs="Times New Roman"/>
          <w:noProof/>
          <w:color w:val="000000"/>
          <w:w w:val="193"/>
          <w:sz w:val="24"/>
          <w:szCs w:val="24"/>
        </w:rPr>
        <w:t> </w:t>
      </w:r>
      <w:r w:rsidRPr="003E743A">
        <w:rPr>
          <w:rFonts w:ascii="Times New Roman" w:eastAsia="Calibri" w:hAnsi="Times New Roman" w:cs="Times New Roman"/>
          <w:noProof/>
          <w:color w:val="000000"/>
          <w:spacing w:val="-2"/>
          <w:sz w:val="24"/>
          <w:szCs w:val="24"/>
        </w:rPr>
        <w:t>la</w:t>
      </w:r>
    </w:p>
    <w:p w:rsidR="007F3DC3" w:rsidRPr="003E743A" w:rsidRDefault="007F3DC3" w:rsidP="00A476E5">
      <w:pPr>
        <w:spacing w:after="0" w:line="268" w:lineRule="exact"/>
        <w:ind w:left="-284"/>
        <w:jc w:val="both"/>
        <w:rPr>
          <w:rFonts w:ascii="Times New Roman" w:eastAsia="Calibri" w:hAnsi="Times New Roman" w:cs="Times New Roman"/>
          <w:noProof/>
          <w:color w:val="000000"/>
          <w:spacing w:val="-3"/>
          <w:sz w:val="24"/>
          <w:szCs w:val="24"/>
        </w:rPr>
      </w:pPr>
      <w:r w:rsidRPr="003E743A">
        <w:rPr>
          <w:rFonts w:ascii="Times New Roman" w:eastAsia="Calibri" w:hAnsi="Times New Roman" w:cs="Times New Roman"/>
          <w:noProof/>
          <w:color w:val="000000"/>
          <w:spacing w:val="-3"/>
          <w:sz w:val="24"/>
          <w:szCs w:val="24"/>
        </w:rPr>
        <w:lastRenderedPageBreak/>
        <w:t>durée,</w:t>
      </w:r>
      <w:r w:rsidRPr="003E743A">
        <w:rPr>
          <w:rFonts w:ascii="Times New Roman" w:eastAsia="Calibri" w:hAnsi="Times New Roman" w:cs="Times New Roman"/>
          <w:noProof/>
          <w:color w:val="000000"/>
          <w:w w:val="193"/>
          <w:sz w:val="24"/>
          <w:szCs w:val="24"/>
        </w:rPr>
        <w:t> </w:t>
      </w:r>
      <w:r w:rsidRPr="003E743A">
        <w:rPr>
          <w:rFonts w:ascii="Times New Roman" w:eastAsia="Calibri" w:hAnsi="Times New Roman" w:cs="Times New Roman"/>
          <w:noProof/>
          <w:color w:val="000000"/>
          <w:spacing w:val="-3"/>
          <w:sz w:val="24"/>
          <w:szCs w:val="24"/>
        </w:rPr>
        <w:t>l’intensité</w:t>
      </w:r>
      <w:r w:rsidRPr="003E743A">
        <w:rPr>
          <w:rFonts w:ascii="Times New Roman" w:eastAsia="Calibri" w:hAnsi="Times New Roman" w:cs="Times New Roman"/>
          <w:noProof/>
          <w:color w:val="000000"/>
          <w:w w:val="192"/>
          <w:sz w:val="24"/>
          <w:szCs w:val="24"/>
        </w:rPr>
        <w:t> </w:t>
      </w:r>
      <w:r w:rsidRPr="003E743A">
        <w:rPr>
          <w:rFonts w:ascii="Times New Roman" w:eastAsia="Calibri" w:hAnsi="Times New Roman" w:cs="Times New Roman"/>
          <w:noProof/>
          <w:color w:val="000000"/>
          <w:spacing w:val="-3"/>
          <w:sz w:val="24"/>
          <w:szCs w:val="24"/>
        </w:rPr>
        <w:t>et</w:t>
      </w:r>
      <w:r w:rsidRPr="003E743A">
        <w:rPr>
          <w:rFonts w:ascii="Times New Roman" w:eastAsia="Calibri" w:hAnsi="Times New Roman" w:cs="Times New Roman"/>
          <w:noProof/>
          <w:color w:val="000000"/>
          <w:w w:val="192"/>
          <w:sz w:val="24"/>
          <w:szCs w:val="24"/>
        </w:rPr>
        <w:t> </w:t>
      </w:r>
      <w:r w:rsidRPr="003E743A">
        <w:rPr>
          <w:rFonts w:ascii="Times New Roman" w:eastAsia="Calibri" w:hAnsi="Times New Roman" w:cs="Times New Roman"/>
          <w:noProof/>
          <w:color w:val="000000"/>
          <w:spacing w:val="-3"/>
          <w:sz w:val="24"/>
          <w:szCs w:val="24"/>
        </w:rPr>
        <w:t>l’étendue</w:t>
      </w:r>
      <w:r w:rsidRPr="003E743A">
        <w:rPr>
          <w:rFonts w:ascii="Times New Roman" w:eastAsia="Calibri" w:hAnsi="Times New Roman" w:cs="Times New Roman"/>
          <w:noProof/>
          <w:color w:val="000000"/>
          <w:w w:val="193"/>
          <w:sz w:val="24"/>
          <w:szCs w:val="24"/>
        </w:rPr>
        <w:t> </w:t>
      </w:r>
      <w:r w:rsidRPr="003E743A">
        <w:rPr>
          <w:rFonts w:ascii="Times New Roman" w:eastAsia="Calibri" w:hAnsi="Times New Roman" w:cs="Times New Roman"/>
          <w:noProof/>
          <w:color w:val="000000"/>
          <w:spacing w:val="-3"/>
          <w:sz w:val="24"/>
          <w:szCs w:val="24"/>
        </w:rPr>
        <w:t>de</w:t>
      </w:r>
      <w:r w:rsidRPr="003E743A">
        <w:rPr>
          <w:rFonts w:ascii="Times New Roman" w:eastAsia="Calibri" w:hAnsi="Times New Roman" w:cs="Times New Roman"/>
          <w:noProof/>
          <w:color w:val="000000"/>
          <w:w w:val="192"/>
          <w:sz w:val="24"/>
          <w:szCs w:val="24"/>
        </w:rPr>
        <w:t> </w:t>
      </w:r>
      <w:r w:rsidRPr="003E743A">
        <w:rPr>
          <w:rFonts w:ascii="Times New Roman" w:eastAsia="Calibri" w:hAnsi="Times New Roman" w:cs="Times New Roman"/>
          <w:noProof/>
          <w:color w:val="000000"/>
          <w:spacing w:val="-2"/>
          <w:sz w:val="24"/>
          <w:szCs w:val="24"/>
        </w:rPr>
        <w:t>cet</w:t>
      </w:r>
      <w:r w:rsidRPr="003E743A">
        <w:rPr>
          <w:rFonts w:ascii="Times New Roman" w:eastAsia="Calibri" w:hAnsi="Times New Roman" w:cs="Times New Roman"/>
          <w:noProof/>
          <w:color w:val="000000"/>
          <w:w w:val="187"/>
          <w:sz w:val="24"/>
          <w:szCs w:val="24"/>
        </w:rPr>
        <w:t> </w:t>
      </w:r>
      <w:r w:rsidRPr="003E743A">
        <w:rPr>
          <w:rFonts w:ascii="Times New Roman" w:eastAsia="Calibri" w:hAnsi="Times New Roman" w:cs="Times New Roman"/>
          <w:noProof/>
          <w:color w:val="000000"/>
          <w:spacing w:val="-3"/>
          <w:sz w:val="24"/>
          <w:szCs w:val="24"/>
        </w:rPr>
        <w:t>impact</w:t>
      </w:r>
      <w:r w:rsidRPr="003E743A">
        <w:rPr>
          <w:rFonts w:ascii="Times New Roman" w:eastAsia="Calibri" w:hAnsi="Times New Roman" w:cs="Times New Roman"/>
          <w:noProof/>
          <w:color w:val="000000"/>
          <w:w w:val="192"/>
          <w:sz w:val="24"/>
          <w:szCs w:val="24"/>
        </w:rPr>
        <w:t> </w:t>
      </w:r>
      <w:r w:rsidRPr="003E743A">
        <w:rPr>
          <w:rFonts w:ascii="Times New Roman" w:eastAsia="Calibri" w:hAnsi="Times New Roman" w:cs="Times New Roman"/>
          <w:noProof/>
          <w:color w:val="000000"/>
          <w:spacing w:val="-3"/>
          <w:sz w:val="24"/>
          <w:szCs w:val="24"/>
        </w:rPr>
        <w:t>sur</w:t>
      </w:r>
      <w:r w:rsidRPr="003E743A">
        <w:rPr>
          <w:rFonts w:ascii="Times New Roman" w:eastAsia="Calibri" w:hAnsi="Times New Roman" w:cs="Times New Roman"/>
          <w:noProof/>
          <w:color w:val="000000"/>
          <w:w w:val="192"/>
          <w:sz w:val="24"/>
          <w:szCs w:val="24"/>
        </w:rPr>
        <w:t> </w:t>
      </w:r>
      <w:r w:rsidRPr="003E743A">
        <w:rPr>
          <w:rFonts w:ascii="Times New Roman" w:eastAsia="Calibri" w:hAnsi="Times New Roman" w:cs="Times New Roman"/>
          <w:noProof/>
          <w:color w:val="000000"/>
          <w:spacing w:val="-3"/>
          <w:sz w:val="24"/>
          <w:szCs w:val="24"/>
        </w:rPr>
        <w:t>chacun</w:t>
      </w:r>
      <w:r w:rsidRPr="003E743A">
        <w:rPr>
          <w:rFonts w:ascii="Times New Roman" w:eastAsia="Calibri" w:hAnsi="Times New Roman" w:cs="Times New Roman"/>
          <w:noProof/>
          <w:color w:val="000000"/>
          <w:w w:val="191"/>
          <w:sz w:val="24"/>
          <w:szCs w:val="24"/>
        </w:rPr>
        <w:t> </w:t>
      </w:r>
      <w:r w:rsidRPr="003E743A">
        <w:rPr>
          <w:rFonts w:ascii="Times New Roman" w:eastAsia="Calibri" w:hAnsi="Times New Roman" w:cs="Times New Roman"/>
          <w:noProof/>
          <w:color w:val="000000"/>
          <w:spacing w:val="-4"/>
          <w:sz w:val="24"/>
          <w:szCs w:val="24"/>
        </w:rPr>
        <w:t>des</w:t>
      </w:r>
      <w:r w:rsidRPr="003E743A">
        <w:rPr>
          <w:rFonts w:ascii="Times New Roman" w:eastAsia="Calibri" w:hAnsi="Times New Roman" w:cs="Times New Roman"/>
          <w:noProof/>
          <w:color w:val="000000"/>
          <w:w w:val="194"/>
          <w:sz w:val="24"/>
          <w:szCs w:val="24"/>
        </w:rPr>
        <w:t> </w:t>
      </w:r>
      <w:r w:rsidRPr="003E743A">
        <w:rPr>
          <w:rFonts w:ascii="Times New Roman" w:eastAsia="Calibri" w:hAnsi="Times New Roman" w:cs="Times New Roman"/>
          <w:noProof/>
          <w:color w:val="000000"/>
          <w:spacing w:val="-3"/>
          <w:sz w:val="24"/>
          <w:szCs w:val="24"/>
        </w:rPr>
        <w:t>éléments</w:t>
      </w:r>
      <w:r w:rsidRPr="003E743A">
        <w:rPr>
          <w:rFonts w:ascii="Times New Roman" w:eastAsia="Calibri" w:hAnsi="Times New Roman" w:cs="Times New Roman"/>
          <w:noProof/>
          <w:color w:val="000000"/>
          <w:w w:val="194"/>
          <w:sz w:val="24"/>
          <w:szCs w:val="24"/>
        </w:rPr>
        <w:t> </w:t>
      </w:r>
      <w:r w:rsidRPr="003E743A">
        <w:rPr>
          <w:rFonts w:ascii="Times New Roman" w:eastAsia="Calibri" w:hAnsi="Times New Roman" w:cs="Times New Roman"/>
          <w:noProof/>
          <w:color w:val="000000"/>
          <w:spacing w:val="-3"/>
          <w:sz w:val="24"/>
          <w:szCs w:val="24"/>
        </w:rPr>
        <w:t>du</w:t>
      </w:r>
      <w:r w:rsidRPr="003E743A">
        <w:rPr>
          <w:rFonts w:ascii="Times New Roman" w:eastAsia="Calibri" w:hAnsi="Times New Roman" w:cs="Times New Roman"/>
          <w:noProof/>
          <w:color w:val="000000"/>
          <w:w w:val="192"/>
          <w:sz w:val="24"/>
          <w:szCs w:val="24"/>
        </w:rPr>
        <w:t> </w:t>
      </w:r>
      <w:r w:rsidRPr="003E743A">
        <w:rPr>
          <w:rFonts w:ascii="Times New Roman" w:eastAsia="Calibri" w:hAnsi="Times New Roman" w:cs="Times New Roman"/>
          <w:noProof/>
          <w:color w:val="000000"/>
          <w:spacing w:val="-3"/>
          <w:sz w:val="24"/>
          <w:szCs w:val="24"/>
        </w:rPr>
        <w:t>milieu récepteur.</w:t>
      </w:r>
      <w:r w:rsidRPr="003E743A">
        <w:rPr>
          <w:rFonts w:ascii="Times New Roman" w:eastAsia="Calibri" w:hAnsi="Times New Roman" w:cs="Times New Roman"/>
          <w:noProof/>
          <w:color w:val="000000"/>
          <w:spacing w:val="7"/>
          <w:sz w:val="24"/>
          <w:szCs w:val="24"/>
        </w:rPr>
        <w:t> </w:t>
      </w:r>
      <w:r w:rsidRPr="003E743A">
        <w:rPr>
          <w:rFonts w:ascii="Times New Roman" w:eastAsia="Calibri" w:hAnsi="Times New Roman" w:cs="Times New Roman"/>
          <w:noProof/>
          <w:color w:val="000000"/>
          <w:spacing w:val="-3"/>
          <w:sz w:val="24"/>
          <w:szCs w:val="24"/>
        </w:rPr>
        <w:t>Une</w:t>
      </w:r>
    </w:p>
    <w:p w:rsidR="007F3DC3" w:rsidRPr="003E743A" w:rsidRDefault="007F3DC3" w:rsidP="00A476E5">
      <w:pPr>
        <w:spacing w:after="0" w:line="268" w:lineRule="exact"/>
        <w:ind w:left="-284"/>
        <w:jc w:val="both"/>
        <w:rPr>
          <w:rFonts w:ascii="Times New Roman" w:eastAsia="Calibri" w:hAnsi="Times New Roman" w:cs="Times New Roman"/>
          <w:noProof/>
          <w:color w:val="000000"/>
          <w:spacing w:val="-3"/>
          <w:sz w:val="24"/>
          <w:szCs w:val="24"/>
        </w:rPr>
      </w:pPr>
      <w:r w:rsidRPr="003E743A">
        <w:rPr>
          <w:rFonts w:ascii="Times New Roman" w:eastAsia="Calibri" w:hAnsi="Times New Roman" w:cs="Times New Roman"/>
          <w:noProof/>
          <w:color w:val="000000"/>
          <w:spacing w:val="-3"/>
          <w:sz w:val="24"/>
          <w:szCs w:val="24"/>
        </w:rPr>
        <w:t>matrice</w:t>
      </w:r>
      <w:r w:rsidRPr="003E743A">
        <w:rPr>
          <w:rFonts w:ascii="Times New Roman" w:eastAsia="Calibri" w:hAnsi="Times New Roman" w:cs="Times New Roman"/>
          <w:noProof/>
          <w:color w:val="000000"/>
          <w:spacing w:val="8"/>
          <w:sz w:val="24"/>
          <w:szCs w:val="24"/>
        </w:rPr>
        <w:t> </w:t>
      </w:r>
      <w:r w:rsidRPr="003E743A">
        <w:rPr>
          <w:rFonts w:ascii="Times New Roman" w:eastAsia="Calibri" w:hAnsi="Times New Roman" w:cs="Times New Roman"/>
          <w:noProof/>
          <w:color w:val="000000"/>
          <w:spacing w:val="-3"/>
          <w:sz w:val="24"/>
          <w:szCs w:val="24"/>
        </w:rPr>
        <w:t>à</w:t>
      </w:r>
      <w:r w:rsidRPr="003E743A">
        <w:rPr>
          <w:rFonts w:ascii="Times New Roman" w:eastAsia="Calibri" w:hAnsi="Times New Roman" w:cs="Times New Roman"/>
          <w:noProof/>
          <w:color w:val="000000"/>
          <w:spacing w:val="8"/>
          <w:sz w:val="24"/>
          <w:szCs w:val="24"/>
        </w:rPr>
        <w:t> </w:t>
      </w:r>
      <w:r w:rsidRPr="003E743A">
        <w:rPr>
          <w:rFonts w:ascii="Times New Roman" w:eastAsia="Calibri" w:hAnsi="Times New Roman" w:cs="Times New Roman"/>
          <w:noProof/>
          <w:color w:val="000000"/>
          <w:spacing w:val="-3"/>
          <w:sz w:val="24"/>
          <w:szCs w:val="24"/>
        </w:rPr>
        <w:t>symboles,</w:t>
      </w:r>
      <w:r w:rsidRPr="003E743A">
        <w:rPr>
          <w:rFonts w:ascii="Times New Roman" w:eastAsia="Calibri" w:hAnsi="Times New Roman" w:cs="Times New Roman"/>
          <w:noProof/>
          <w:color w:val="000000"/>
          <w:spacing w:val="10"/>
          <w:sz w:val="24"/>
          <w:szCs w:val="24"/>
        </w:rPr>
        <w:t> </w:t>
      </w:r>
      <w:r w:rsidRPr="003E743A">
        <w:rPr>
          <w:rFonts w:ascii="Times New Roman" w:eastAsia="Calibri" w:hAnsi="Times New Roman" w:cs="Times New Roman"/>
          <w:noProof/>
          <w:color w:val="000000"/>
          <w:spacing w:val="-3"/>
          <w:sz w:val="24"/>
          <w:szCs w:val="24"/>
        </w:rPr>
        <w:t>dérivée</w:t>
      </w:r>
      <w:r w:rsidRPr="003E743A">
        <w:rPr>
          <w:rFonts w:ascii="Times New Roman" w:eastAsia="Calibri" w:hAnsi="Times New Roman" w:cs="Times New Roman"/>
          <w:noProof/>
          <w:color w:val="000000"/>
          <w:spacing w:val="10"/>
          <w:sz w:val="24"/>
          <w:szCs w:val="24"/>
        </w:rPr>
        <w:t> </w:t>
      </w:r>
      <w:r w:rsidRPr="003E743A">
        <w:rPr>
          <w:rFonts w:ascii="Times New Roman" w:eastAsia="Calibri" w:hAnsi="Times New Roman" w:cs="Times New Roman"/>
          <w:noProof/>
          <w:color w:val="000000"/>
          <w:spacing w:val="-3"/>
          <w:sz w:val="24"/>
          <w:szCs w:val="24"/>
        </w:rPr>
        <w:t>de</w:t>
      </w:r>
      <w:r w:rsidRPr="003E743A">
        <w:rPr>
          <w:rFonts w:ascii="Times New Roman" w:eastAsia="Calibri" w:hAnsi="Times New Roman" w:cs="Times New Roman"/>
          <w:noProof/>
          <w:color w:val="000000"/>
          <w:spacing w:val="11"/>
          <w:sz w:val="24"/>
          <w:szCs w:val="24"/>
        </w:rPr>
        <w:t> </w:t>
      </w:r>
      <w:r w:rsidRPr="003E743A">
        <w:rPr>
          <w:rFonts w:ascii="Times New Roman" w:eastAsia="Calibri" w:hAnsi="Times New Roman" w:cs="Times New Roman"/>
          <w:noProof/>
          <w:color w:val="000000"/>
          <w:spacing w:val="-2"/>
          <w:sz w:val="24"/>
          <w:szCs w:val="24"/>
        </w:rPr>
        <w:t>la</w:t>
      </w:r>
      <w:r w:rsidRPr="003E743A">
        <w:rPr>
          <w:rFonts w:ascii="Times New Roman" w:eastAsia="Calibri" w:hAnsi="Times New Roman" w:cs="Times New Roman"/>
          <w:noProof/>
          <w:color w:val="000000"/>
          <w:spacing w:val="8"/>
          <w:sz w:val="24"/>
          <w:szCs w:val="24"/>
        </w:rPr>
        <w:t> </w:t>
      </w:r>
      <w:r w:rsidRPr="003E743A">
        <w:rPr>
          <w:rFonts w:ascii="Times New Roman" w:eastAsia="Calibri" w:hAnsi="Times New Roman" w:cs="Times New Roman"/>
          <w:noProof/>
          <w:color w:val="000000"/>
          <w:spacing w:val="-3"/>
          <w:sz w:val="24"/>
          <w:szCs w:val="24"/>
        </w:rPr>
        <w:t>matrice</w:t>
      </w:r>
      <w:r w:rsidRPr="003E743A">
        <w:rPr>
          <w:rFonts w:ascii="Times New Roman" w:eastAsia="Calibri" w:hAnsi="Times New Roman" w:cs="Times New Roman"/>
          <w:noProof/>
          <w:color w:val="000000"/>
          <w:spacing w:val="8"/>
          <w:sz w:val="24"/>
          <w:szCs w:val="24"/>
        </w:rPr>
        <w:t> </w:t>
      </w:r>
      <w:r w:rsidRPr="003E743A">
        <w:rPr>
          <w:rFonts w:ascii="Times New Roman" w:eastAsia="Calibri" w:hAnsi="Times New Roman" w:cs="Times New Roman"/>
          <w:noProof/>
          <w:color w:val="000000"/>
          <w:spacing w:val="-3"/>
          <w:sz w:val="24"/>
          <w:szCs w:val="24"/>
        </w:rPr>
        <w:t>développée</w:t>
      </w:r>
      <w:r w:rsidRPr="003E743A">
        <w:rPr>
          <w:rFonts w:ascii="Times New Roman" w:eastAsia="Calibri" w:hAnsi="Times New Roman" w:cs="Times New Roman"/>
          <w:noProof/>
          <w:color w:val="000000"/>
          <w:spacing w:val="10"/>
          <w:sz w:val="24"/>
          <w:szCs w:val="24"/>
        </w:rPr>
        <w:t> </w:t>
      </w:r>
      <w:r w:rsidRPr="003E743A">
        <w:rPr>
          <w:rFonts w:ascii="Times New Roman" w:eastAsia="Calibri" w:hAnsi="Times New Roman" w:cs="Times New Roman"/>
          <w:noProof/>
          <w:color w:val="000000"/>
          <w:spacing w:val="-3"/>
          <w:sz w:val="24"/>
          <w:szCs w:val="24"/>
        </w:rPr>
        <w:t>à</w:t>
      </w:r>
      <w:r w:rsidRPr="003E743A">
        <w:rPr>
          <w:rFonts w:ascii="Times New Roman" w:eastAsia="Calibri" w:hAnsi="Times New Roman" w:cs="Times New Roman"/>
          <w:noProof/>
          <w:color w:val="000000"/>
          <w:spacing w:val="10"/>
          <w:sz w:val="24"/>
          <w:szCs w:val="24"/>
        </w:rPr>
        <w:t> </w:t>
      </w:r>
      <w:r w:rsidRPr="003E743A">
        <w:rPr>
          <w:rFonts w:ascii="Times New Roman" w:eastAsia="Calibri" w:hAnsi="Times New Roman" w:cs="Times New Roman"/>
          <w:noProof/>
          <w:color w:val="000000"/>
          <w:spacing w:val="-4"/>
          <w:sz w:val="24"/>
          <w:szCs w:val="24"/>
        </w:rPr>
        <w:t>la</w:t>
      </w:r>
      <w:r w:rsidRPr="003E743A">
        <w:rPr>
          <w:rFonts w:ascii="Times New Roman" w:eastAsia="Calibri" w:hAnsi="Times New Roman" w:cs="Times New Roman"/>
          <w:noProof/>
          <w:color w:val="000000"/>
          <w:spacing w:val="10"/>
          <w:sz w:val="24"/>
          <w:szCs w:val="24"/>
        </w:rPr>
        <w:t> </w:t>
      </w:r>
      <w:r w:rsidRPr="003E743A">
        <w:rPr>
          <w:rFonts w:ascii="Times New Roman" w:eastAsia="Calibri" w:hAnsi="Times New Roman" w:cs="Times New Roman"/>
          <w:noProof/>
          <w:color w:val="000000"/>
          <w:spacing w:val="-4"/>
          <w:sz w:val="24"/>
          <w:szCs w:val="24"/>
        </w:rPr>
        <w:t>phase</w:t>
      </w:r>
      <w:r w:rsidRPr="003E743A">
        <w:rPr>
          <w:rFonts w:ascii="Times New Roman" w:eastAsia="Calibri" w:hAnsi="Times New Roman" w:cs="Times New Roman"/>
          <w:noProof/>
          <w:color w:val="000000"/>
          <w:spacing w:val="10"/>
          <w:sz w:val="24"/>
          <w:szCs w:val="24"/>
        </w:rPr>
        <w:t> </w:t>
      </w:r>
      <w:r w:rsidRPr="003E743A">
        <w:rPr>
          <w:rFonts w:ascii="Times New Roman" w:eastAsia="Calibri" w:hAnsi="Times New Roman" w:cs="Times New Roman"/>
          <w:noProof/>
          <w:color w:val="000000"/>
          <w:spacing w:val="-3"/>
          <w:sz w:val="24"/>
          <w:szCs w:val="24"/>
        </w:rPr>
        <w:t>d’identification des</w:t>
      </w:r>
      <w:r w:rsidRPr="003E743A">
        <w:rPr>
          <w:rFonts w:ascii="Times New Roman" w:eastAsia="Calibri" w:hAnsi="Times New Roman" w:cs="Times New Roman"/>
          <w:noProof/>
          <w:color w:val="000000"/>
          <w:spacing w:val="-2"/>
          <w:sz w:val="24"/>
          <w:szCs w:val="24"/>
        </w:rPr>
        <w:t> </w:t>
      </w:r>
      <w:r w:rsidRPr="003E743A">
        <w:rPr>
          <w:rFonts w:ascii="Times New Roman" w:eastAsia="Calibri" w:hAnsi="Times New Roman" w:cs="Times New Roman"/>
          <w:noProof/>
          <w:color w:val="000000"/>
          <w:spacing w:val="-3"/>
          <w:sz w:val="24"/>
          <w:szCs w:val="24"/>
        </w:rPr>
        <w:t>impacts, a été</w:t>
      </w:r>
      <w:r w:rsidRPr="003E743A">
        <w:rPr>
          <w:rFonts w:ascii="Times New Roman" w:eastAsia="Calibri" w:hAnsi="Times New Roman" w:cs="Times New Roman"/>
          <w:noProof/>
          <w:color w:val="000000"/>
          <w:spacing w:val="-4"/>
          <w:sz w:val="24"/>
          <w:szCs w:val="24"/>
        </w:rPr>
        <w:t> </w:t>
      </w:r>
      <w:r w:rsidRPr="003E743A">
        <w:rPr>
          <w:rFonts w:ascii="Times New Roman" w:eastAsia="Calibri" w:hAnsi="Times New Roman" w:cs="Times New Roman"/>
          <w:noProof/>
          <w:color w:val="000000"/>
          <w:spacing w:val="-3"/>
          <w:sz w:val="24"/>
          <w:szCs w:val="24"/>
        </w:rPr>
        <w:t>utilisée </w:t>
      </w:r>
    </w:p>
    <w:p w:rsidR="007F3DC3" w:rsidRPr="003E743A" w:rsidRDefault="007F3DC3" w:rsidP="007F3DC3">
      <w:pPr>
        <w:spacing w:after="0" w:line="268" w:lineRule="exact"/>
        <w:ind w:left="-284" w:right="-850"/>
        <w:jc w:val="both"/>
        <w:rPr>
          <w:rFonts w:ascii="Times New Roman" w:eastAsia="Calibri" w:hAnsi="Times New Roman" w:cs="Times New Roman"/>
          <w:sz w:val="24"/>
          <w:szCs w:val="24"/>
        </w:rPr>
      </w:pPr>
      <w:r w:rsidRPr="003E743A">
        <w:rPr>
          <w:rFonts w:ascii="Times New Roman" w:eastAsia="Calibri" w:hAnsi="Times New Roman" w:cs="Times New Roman"/>
          <w:noProof/>
          <w:color w:val="000000"/>
          <w:spacing w:val="-3"/>
          <w:sz w:val="24"/>
          <w:szCs w:val="24"/>
        </w:rPr>
        <w:t>pour</w:t>
      </w:r>
      <w:r w:rsidRPr="003E743A">
        <w:rPr>
          <w:rFonts w:ascii="Times New Roman" w:eastAsia="Calibri" w:hAnsi="Times New Roman" w:cs="Times New Roman"/>
          <w:noProof/>
          <w:color w:val="000000"/>
          <w:spacing w:val="-4"/>
          <w:sz w:val="24"/>
          <w:szCs w:val="24"/>
        </w:rPr>
        <w:t> </w:t>
      </w:r>
      <w:r w:rsidRPr="003E743A">
        <w:rPr>
          <w:rFonts w:ascii="Times New Roman" w:eastAsia="Calibri" w:hAnsi="Times New Roman" w:cs="Times New Roman"/>
          <w:noProof/>
          <w:color w:val="000000"/>
          <w:spacing w:val="-3"/>
          <w:sz w:val="24"/>
          <w:szCs w:val="24"/>
        </w:rPr>
        <w:t>l’évaluation</w:t>
      </w:r>
      <w:r w:rsidRPr="003E743A">
        <w:rPr>
          <w:rFonts w:ascii="Times New Roman" w:eastAsia="Calibri" w:hAnsi="Times New Roman" w:cs="Times New Roman"/>
          <w:noProof/>
          <w:color w:val="000000"/>
          <w:spacing w:val="-4"/>
          <w:sz w:val="24"/>
          <w:szCs w:val="24"/>
        </w:rPr>
        <w:t> des</w:t>
      </w:r>
      <w:r w:rsidRPr="003E743A">
        <w:rPr>
          <w:rFonts w:ascii="Times New Roman" w:eastAsia="Calibri" w:hAnsi="Times New Roman" w:cs="Times New Roman"/>
          <w:noProof/>
          <w:color w:val="000000"/>
          <w:spacing w:val="-2"/>
          <w:sz w:val="24"/>
          <w:szCs w:val="24"/>
        </w:rPr>
        <w:t> </w:t>
      </w:r>
      <w:r w:rsidRPr="003E743A">
        <w:rPr>
          <w:rFonts w:ascii="Times New Roman" w:eastAsia="Calibri" w:hAnsi="Times New Roman" w:cs="Times New Roman"/>
          <w:noProof/>
          <w:color w:val="000000"/>
          <w:spacing w:val="-3"/>
          <w:sz w:val="24"/>
          <w:szCs w:val="24"/>
        </w:rPr>
        <w:t>impacts.</w:t>
      </w:r>
    </w:p>
    <w:p w:rsidR="007F3DC3" w:rsidRPr="003E743A" w:rsidRDefault="007F3DC3" w:rsidP="007F3DC3">
      <w:pPr>
        <w:spacing w:after="0" w:line="240" w:lineRule="exact"/>
        <w:ind w:left="64"/>
        <w:jc w:val="both"/>
        <w:rPr>
          <w:rFonts w:ascii="Times New Roman" w:eastAsia="Calibri" w:hAnsi="Times New Roman" w:cs="Times New Roman"/>
          <w:sz w:val="24"/>
          <w:szCs w:val="24"/>
        </w:rPr>
      </w:pPr>
    </w:p>
    <w:p w:rsidR="007F3DC3" w:rsidRPr="003E743A" w:rsidRDefault="007F3DC3" w:rsidP="007F3DC3">
      <w:pPr>
        <w:spacing w:after="0" w:line="336" w:lineRule="exact"/>
        <w:ind w:left="-284" w:right="-566"/>
        <w:jc w:val="both"/>
        <w:rPr>
          <w:rFonts w:ascii="Times New Roman" w:eastAsia="Calibri" w:hAnsi="Times New Roman" w:cs="Times New Roman"/>
          <w:noProof/>
          <w:color w:val="000000"/>
          <w:spacing w:val="-3"/>
          <w:sz w:val="24"/>
          <w:szCs w:val="24"/>
        </w:rPr>
      </w:pPr>
      <w:r w:rsidRPr="003E743A">
        <w:rPr>
          <w:rFonts w:ascii="Times New Roman" w:eastAsia="Calibri" w:hAnsi="Times New Roman" w:cs="Times New Roman"/>
          <w:b/>
          <w:noProof/>
          <w:color w:val="000000"/>
          <w:spacing w:val="-4"/>
          <w:sz w:val="24"/>
          <w:szCs w:val="24"/>
          <w:u w:val="single"/>
        </w:rPr>
        <w:t>La</w:t>
      </w:r>
      <w:r w:rsidRPr="003E743A">
        <w:rPr>
          <w:rFonts w:ascii="Times New Roman" w:eastAsia="Calibri" w:hAnsi="Times New Roman" w:cs="Times New Roman"/>
          <w:b/>
          <w:noProof/>
          <w:color w:val="000000"/>
          <w:w w:val="173"/>
          <w:sz w:val="24"/>
          <w:szCs w:val="24"/>
          <w:u w:val="single"/>
        </w:rPr>
        <w:t> </w:t>
      </w:r>
      <w:r w:rsidRPr="003E743A">
        <w:rPr>
          <w:rFonts w:ascii="Times New Roman" w:eastAsia="Calibri" w:hAnsi="Times New Roman" w:cs="Times New Roman"/>
          <w:b/>
          <w:noProof/>
          <w:color w:val="000000"/>
          <w:spacing w:val="-3"/>
          <w:sz w:val="24"/>
          <w:szCs w:val="24"/>
          <w:u w:val="single"/>
        </w:rPr>
        <w:t>durée</w:t>
      </w:r>
      <w:r w:rsidRPr="003E743A">
        <w:rPr>
          <w:rFonts w:ascii="Times New Roman" w:eastAsia="Calibri" w:hAnsi="Times New Roman" w:cs="Times New Roman"/>
          <w:b/>
          <w:noProof/>
          <w:color w:val="000000"/>
          <w:w w:val="174"/>
          <w:sz w:val="24"/>
          <w:szCs w:val="24"/>
          <w:u w:val="single"/>
        </w:rPr>
        <w:t> </w:t>
      </w:r>
      <w:r w:rsidRPr="003E743A">
        <w:rPr>
          <w:rFonts w:ascii="Times New Roman" w:eastAsia="Calibri" w:hAnsi="Times New Roman" w:cs="Times New Roman"/>
          <w:b/>
          <w:noProof/>
          <w:color w:val="000000"/>
          <w:spacing w:val="-3"/>
          <w:sz w:val="24"/>
          <w:szCs w:val="24"/>
          <w:u w:val="single"/>
        </w:rPr>
        <w:t>de</w:t>
      </w:r>
      <w:r w:rsidRPr="003E743A">
        <w:rPr>
          <w:rFonts w:ascii="Times New Roman" w:eastAsia="Calibri" w:hAnsi="Times New Roman" w:cs="Times New Roman"/>
          <w:b/>
          <w:noProof/>
          <w:color w:val="000000"/>
          <w:w w:val="169"/>
          <w:sz w:val="24"/>
          <w:szCs w:val="24"/>
          <w:u w:val="single"/>
        </w:rPr>
        <w:t> </w:t>
      </w:r>
      <w:r w:rsidRPr="003E743A">
        <w:rPr>
          <w:rFonts w:ascii="Times New Roman" w:eastAsia="Calibri" w:hAnsi="Times New Roman" w:cs="Times New Roman"/>
          <w:b/>
          <w:noProof/>
          <w:color w:val="000000"/>
          <w:spacing w:val="-3"/>
          <w:sz w:val="24"/>
          <w:szCs w:val="24"/>
          <w:u w:val="single"/>
        </w:rPr>
        <w:t>l’impact</w:t>
      </w:r>
      <w:r w:rsidRPr="003E743A">
        <w:rPr>
          <w:rFonts w:ascii="Times New Roman" w:eastAsia="Calibri" w:hAnsi="Times New Roman" w:cs="Times New Roman"/>
          <w:noProof/>
          <w:color w:val="000000"/>
          <w:w w:val="173"/>
          <w:sz w:val="24"/>
          <w:szCs w:val="24"/>
        </w:rPr>
        <w:t> </w:t>
      </w:r>
      <w:r w:rsidRPr="003E743A">
        <w:rPr>
          <w:rFonts w:ascii="Times New Roman" w:eastAsia="Calibri" w:hAnsi="Times New Roman" w:cs="Times New Roman"/>
          <w:noProof/>
          <w:color w:val="000000"/>
          <w:spacing w:val="-3"/>
          <w:sz w:val="24"/>
          <w:szCs w:val="24"/>
        </w:rPr>
        <w:t>appréhendé</w:t>
      </w:r>
      <w:r w:rsidR="00F6660B">
        <w:rPr>
          <w:rFonts w:ascii="Times New Roman" w:eastAsia="Calibri" w:hAnsi="Times New Roman" w:cs="Times New Roman"/>
          <w:noProof/>
          <w:color w:val="000000"/>
          <w:spacing w:val="-3"/>
          <w:sz w:val="24"/>
          <w:szCs w:val="24"/>
        </w:rPr>
        <w:t>e</w:t>
      </w:r>
      <w:r w:rsidRPr="003E743A">
        <w:rPr>
          <w:rFonts w:ascii="Times New Roman" w:eastAsia="Calibri" w:hAnsi="Times New Roman" w:cs="Times New Roman"/>
          <w:noProof/>
          <w:color w:val="000000"/>
          <w:w w:val="168"/>
          <w:sz w:val="24"/>
          <w:szCs w:val="24"/>
        </w:rPr>
        <w:t> </w:t>
      </w:r>
      <w:r w:rsidRPr="003E743A">
        <w:rPr>
          <w:rFonts w:ascii="Times New Roman" w:eastAsia="Calibri" w:hAnsi="Times New Roman" w:cs="Times New Roman"/>
          <w:noProof/>
          <w:color w:val="000000"/>
          <w:spacing w:val="-3"/>
          <w:sz w:val="24"/>
          <w:szCs w:val="24"/>
        </w:rPr>
        <w:t>correspond</w:t>
      </w:r>
      <w:r w:rsidRPr="003E743A">
        <w:rPr>
          <w:rFonts w:ascii="Times New Roman" w:eastAsia="Calibri" w:hAnsi="Times New Roman" w:cs="Times New Roman"/>
          <w:noProof/>
          <w:color w:val="000000"/>
          <w:w w:val="172"/>
          <w:sz w:val="24"/>
          <w:szCs w:val="24"/>
        </w:rPr>
        <w:t> </w:t>
      </w:r>
      <w:r w:rsidRPr="003E743A">
        <w:rPr>
          <w:rFonts w:ascii="Times New Roman" w:eastAsia="Calibri" w:hAnsi="Times New Roman" w:cs="Times New Roman"/>
          <w:noProof/>
          <w:color w:val="000000"/>
          <w:spacing w:val="-3"/>
          <w:sz w:val="24"/>
          <w:szCs w:val="24"/>
        </w:rPr>
        <w:t>à</w:t>
      </w:r>
      <w:r w:rsidRPr="003E743A">
        <w:rPr>
          <w:rFonts w:ascii="Times New Roman" w:eastAsia="Calibri" w:hAnsi="Times New Roman" w:cs="Times New Roman"/>
          <w:noProof/>
          <w:color w:val="000000"/>
          <w:w w:val="173"/>
          <w:sz w:val="24"/>
          <w:szCs w:val="24"/>
        </w:rPr>
        <w:t> </w:t>
      </w:r>
      <w:r w:rsidRPr="003E743A">
        <w:rPr>
          <w:rFonts w:ascii="Times New Roman" w:eastAsia="Calibri" w:hAnsi="Times New Roman" w:cs="Times New Roman"/>
          <w:noProof/>
          <w:color w:val="000000"/>
          <w:spacing w:val="-4"/>
          <w:sz w:val="24"/>
          <w:szCs w:val="24"/>
        </w:rPr>
        <w:t>la</w:t>
      </w:r>
      <w:r w:rsidRPr="003E743A">
        <w:rPr>
          <w:rFonts w:ascii="Times New Roman" w:eastAsia="Calibri" w:hAnsi="Times New Roman" w:cs="Times New Roman"/>
          <w:noProof/>
          <w:color w:val="000000"/>
          <w:w w:val="173"/>
          <w:sz w:val="24"/>
          <w:szCs w:val="24"/>
        </w:rPr>
        <w:t> </w:t>
      </w:r>
      <w:r w:rsidRPr="003E743A">
        <w:rPr>
          <w:rFonts w:ascii="Times New Roman" w:eastAsia="Calibri" w:hAnsi="Times New Roman" w:cs="Times New Roman"/>
          <w:noProof/>
          <w:color w:val="000000"/>
          <w:spacing w:val="-3"/>
          <w:sz w:val="24"/>
          <w:szCs w:val="24"/>
        </w:rPr>
        <w:t>période</w:t>
      </w:r>
      <w:r w:rsidRPr="003E743A">
        <w:rPr>
          <w:rFonts w:ascii="Times New Roman" w:eastAsia="Calibri" w:hAnsi="Times New Roman" w:cs="Times New Roman"/>
          <w:noProof/>
          <w:color w:val="000000"/>
          <w:w w:val="173"/>
          <w:sz w:val="24"/>
          <w:szCs w:val="24"/>
        </w:rPr>
        <w:t> </w:t>
      </w:r>
      <w:r w:rsidRPr="003E743A">
        <w:rPr>
          <w:rFonts w:ascii="Times New Roman" w:eastAsia="Calibri" w:hAnsi="Times New Roman" w:cs="Times New Roman"/>
          <w:noProof/>
          <w:color w:val="000000"/>
          <w:spacing w:val="-3"/>
          <w:sz w:val="24"/>
          <w:szCs w:val="24"/>
        </w:rPr>
        <w:t>de</w:t>
      </w:r>
      <w:r w:rsidRPr="003E743A">
        <w:rPr>
          <w:rFonts w:ascii="Times New Roman" w:eastAsia="Calibri" w:hAnsi="Times New Roman" w:cs="Times New Roman"/>
          <w:noProof/>
          <w:color w:val="000000"/>
          <w:w w:val="173"/>
          <w:sz w:val="24"/>
          <w:szCs w:val="24"/>
        </w:rPr>
        <w:t> </w:t>
      </w:r>
      <w:r w:rsidRPr="003E743A">
        <w:rPr>
          <w:rFonts w:ascii="Times New Roman" w:eastAsia="Calibri" w:hAnsi="Times New Roman" w:cs="Times New Roman"/>
          <w:noProof/>
          <w:color w:val="000000"/>
          <w:spacing w:val="-4"/>
          <w:sz w:val="24"/>
          <w:szCs w:val="24"/>
        </w:rPr>
        <w:t>temps</w:t>
      </w:r>
      <w:r w:rsidRPr="003E743A">
        <w:rPr>
          <w:rFonts w:ascii="Times New Roman" w:eastAsia="Calibri" w:hAnsi="Times New Roman" w:cs="Times New Roman"/>
          <w:noProof/>
          <w:color w:val="000000"/>
          <w:w w:val="175"/>
          <w:sz w:val="24"/>
          <w:szCs w:val="24"/>
        </w:rPr>
        <w:t> </w:t>
      </w:r>
      <w:r w:rsidRPr="003E743A">
        <w:rPr>
          <w:rFonts w:ascii="Times New Roman" w:eastAsia="Calibri" w:hAnsi="Times New Roman" w:cs="Times New Roman"/>
          <w:noProof/>
          <w:color w:val="000000"/>
          <w:spacing w:val="-4"/>
          <w:sz w:val="24"/>
          <w:szCs w:val="24"/>
        </w:rPr>
        <w:t>pendant</w:t>
      </w:r>
      <w:r w:rsidRPr="003E743A">
        <w:rPr>
          <w:rFonts w:ascii="Times New Roman" w:eastAsia="Calibri" w:hAnsi="Times New Roman" w:cs="Times New Roman"/>
          <w:noProof/>
          <w:color w:val="000000"/>
          <w:w w:val="173"/>
          <w:sz w:val="24"/>
          <w:szCs w:val="24"/>
        </w:rPr>
        <w:t> </w:t>
      </w:r>
      <w:r w:rsidRPr="003E743A">
        <w:rPr>
          <w:rFonts w:ascii="Times New Roman" w:eastAsia="Calibri" w:hAnsi="Times New Roman" w:cs="Times New Roman"/>
          <w:noProof/>
          <w:color w:val="000000"/>
          <w:spacing w:val="-3"/>
          <w:sz w:val="24"/>
          <w:szCs w:val="24"/>
        </w:rPr>
        <w:t>laquelle</w:t>
      </w:r>
      <w:r w:rsidRPr="003E743A">
        <w:rPr>
          <w:rFonts w:ascii="Times New Roman" w:eastAsia="Calibri" w:hAnsi="Times New Roman" w:cs="Times New Roman"/>
          <w:noProof/>
          <w:color w:val="000000"/>
          <w:w w:val="169"/>
          <w:sz w:val="24"/>
          <w:szCs w:val="24"/>
        </w:rPr>
        <w:t> </w:t>
      </w:r>
      <w:r w:rsidRPr="003E743A">
        <w:rPr>
          <w:rFonts w:ascii="Times New Roman" w:eastAsia="Calibri" w:hAnsi="Times New Roman" w:cs="Times New Roman"/>
          <w:noProof/>
          <w:color w:val="000000"/>
          <w:spacing w:val="-3"/>
          <w:sz w:val="24"/>
          <w:szCs w:val="24"/>
        </w:rPr>
        <w:t xml:space="preserve">seront ressents </w:t>
      </w:r>
    </w:p>
    <w:p w:rsidR="007F3DC3" w:rsidRPr="003E743A" w:rsidRDefault="007F3DC3" w:rsidP="007F3DC3">
      <w:pPr>
        <w:spacing w:after="0" w:line="336" w:lineRule="exact"/>
        <w:ind w:left="-284" w:right="-566"/>
        <w:jc w:val="both"/>
        <w:rPr>
          <w:rFonts w:ascii="Times New Roman" w:eastAsia="Calibri" w:hAnsi="Times New Roman" w:cs="Times New Roman"/>
          <w:noProof/>
          <w:color w:val="000000"/>
          <w:spacing w:val="-3"/>
          <w:sz w:val="24"/>
          <w:szCs w:val="24"/>
        </w:rPr>
      </w:pPr>
      <w:r w:rsidRPr="003E743A">
        <w:rPr>
          <w:rFonts w:ascii="Times New Roman" w:eastAsia="Calibri" w:hAnsi="Times New Roman" w:cs="Times New Roman"/>
          <w:noProof/>
          <w:color w:val="000000"/>
          <w:spacing w:val="-3"/>
          <w:sz w:val="24"/>
          <w:szCs w:val="24"/>
        </w:rPr>
        <w:t>les</w:t>
      </w:r>
      <w:r w:rsidRPr="003E743A">
        <w:rPr>
          <w:rFonts w:ascii="Times New Roman" w:eastAsia="Calibri" w:hAnsi="Times New Roman" w:cs="Times New Roman"/>
          <w:noProof/>
          <w:color w:val="000000"/>
          <w:spacing w:val="-2"/>
          <w:sz w:val="24"/>
          <w:szCs w:val="24"/>
        </w:rPr>
        <w:t> </w:t>
      </w:r>
      <w:r w:rsidRPr="003E743A">
        <w:rPr>
          <w:rFonts w:ascii="Times New Roman" w:eastAsia="Calibri" w:hAnsi="Times New Roman" w:cs="Times New Roman"/>
          <w:noProof/>
          <w:color w:val="000000"/>
          <w:spacing w:val="-3"/>
          <w:sz w:val="24"/>
          <w:szCs w:val="24"/>
        </w:rPr>
        <w:t>impacts</w:t>
      </w:r>
      <w:r w:rsidRPr="003E743A">
        <w:rPr>
          <w:rFonts w:ascii="Times New Roman" w:eastAsia="Calibri" w:hAnsi="Times New Roman" w:cs="Times New Roman"/>
          <w:noProof/>
          <w:color w:val="000000"/>
          <w:spacing w:val="-2"/>
          <w:sz w:val="24"/>
          <w:szCs w:val="24"/>
        </w:rPr>
        <w:t> </w:t>
      </w:r>
      <w:r w:rsidRPr="003E743A">
        <w:rPr>
          <w:rFonts w:ascii="Times New Roman" w:eastAsia="Calibri" w:hAnsi="Times New Roman" w:cs="Times New Roman"/>
          <w:noProof/>
          <w:color w:val="000000"/>
          <w:spacing w:val="-4"/>
          <w:sz w:val="24"/>
          <w:szCs w:val="24"/>
        </w:rPr>
        <w:t>du</w:t>
      </w:r>
      <w:r w:rsidRPr="003E743A">
        <w:rPr>
          <w:rFonts w:ascii="Times New Roman" w:eastAsia="Calibri" w:hAnsi="Times New Roman" w:cs="Times New Roman"/>
          <w:noProof/>
          <w:color w:val="000000"/>
          <w:spacing w:val="-3"/>
          <w:sz w:val="24"/>
          <w:szCs w:val="24"/>
        </w:rPr>
        <w:t> projet. Les</w:t>
      </w:r>
      <w:r w:rsidRPr="003E743A">
        <w:rPr>
          <w:rFonts w:ascii="Times New Roman" w:eastAsia="Calibri" w:hAnsi="Times New Roman" w:cs="Times New Roman"/>
          <w:noProof/>
          <w:color w:val="000000"/>
          <w:spacing w:val="-2"/>
          <w:sz w:val="24"/>
          <w:szCs w:val="24"/>
        </w:rPr>
        <w:t> </w:t>
      </w:r>
      <w:r w:rsidRPr="003E743A">
        <w:rPr>
          <w:rFonts w:ascii="Times New Roman" w:eastAsia="Calibri" w:hAnsi="Times New Roman" w:cs="Times New Roman"/>
          <w:noProof/>
          <w:color w:val="000000"/>
          <w:spacing w:val="-3"/>
          <w:sz w:val="24"/>
          <w:szCs w:val="24"/>
        </w:rPr>
        <w:t>trois</w:t>
      </w:r>
      <w:r w:rsidRPr="003E743A">
        <w:rPr>
          <w:rFonts w:ascii="Times New Roman" w:eastAsia="Calibri" w:hAnsi="Times New Roman" w:cs="Times New Roman"/>
          <w:noProof/>
          <w:color w:val="000000"/>
          <w:spacing w:val="-2"/>
          <w:sz w:val="24"/>
          <w:szCs w:val="24"/>
        </w:rPr>
        <w:t> </w:t>
      </w:r>
      <w:r w:rsidRPr="003E743A">
        <w:rPr>
          <w:rFonts w:ascii="Times New Roman" w:eastAsia="Calibri" w:hAnsi="Times New Roman" w:cs="Times New Roman"/>
          <w:noProof/>
          <w:color w:val="000000"/>
          <w:spacing w:val="-3"/>
          <w:sz w:val="24"/>
          <w:szCs w:val="24"/>
        </w:rPr>
        <w:t>niveaux</w:t>
      </w:r>
      <w:r w:rsidRPr="003E743A">
        <w:rPr>
          <w:rFonts w:ascii="Times New Roman" w:eastAsia="Calibri" w:hAnsi="Times New Roman" w:cs="Times New Roman"/>
          <w:noProof/>
          <w:color w:val="000000"/>
          <w:spacing w:val="-4"/>
          <w:sz w:val="24"/>
          <w:szCs w:val="24"/>
        </w:rPr>
        <w:t> </w:t>
      </w:r>
      <w:r w:rsidRPr="003E743A">
        <w:rPr>
          <w:rFonts w:ascii="Times New Roman" w:eastAsia="Calibri" w:hAnsi="Times New Roman" w:cs="Times New Roman"/>
          <w:noProof/>
          <w:color w:val="000000"/>
          <w:spacing w:val="-3"/>
          <w:sz w:val="24"/>
          <w:szCs w:val="24"/>
        </w:rPr>
        <w:t>suivants</w:t>
      </w:r>
      <w:r w:rsidRPr="003E743A">
        <w:rPr>
          <w:rFonts w:ascii="Times New Roman" w:eastAsia="Calibri" w:hAnsi="Times New Roman" w:cs="Times New Roman"/>
          <w:noProof/>
          <w:color w:val="000000"/>
          <w:spacing w:val="-2"/>
          <w:sz w:val="24"/>
          <w:szCs w:val="24"/>
        </w:rPr>
        <w:t> </w:t>
      </w:r>
      <w:r w:rsidRPr="003E743A">
        <w:rPr>
          <w:rFonts w:ascii="Times New Roman" w:eastAsia="Calibri" w:hAnsi="Times New Roman" w:cs="Times New Roman"/>
          <w:noProof/>
          <w:color w:val="000000"/>
          <w:spacing w:val="-3"/>
          <w:sz w:val="24"/>
          <w:szCs w:val="24"/>
        </w:rPr>
        <w:t>ont</w:t>
      </w:r>
      <w:r w:rsidRPr="003E743A">
        <w:rPr>
          <w:rFonts w:ascii="Times New Roman" w:eastAsia="Calibri" w:hAnsi="Times New Roman" w:cs="Times New Roman"/>
          <w:noProof/>
          <w:color w:val="000000"/>
          <w:spacing w:val="-4"/>
          <w:sz w:val="24"/>
          <w:szCs w:val="24"/>
        </w:rPr>
        <w:t> </w:t>
      </w:r>
      <w:r w:rsidRPr="003E743A">
        <w:rPr>
          <w:rFonts w:ascii="Times New Roman" w:eastAsia="Calibri" w:hAnsi="Times New Roman" w:cs="Times New Roman"/>
          <w:noProof/>
          <w:color w:val="000000"/>
          <w:spacing w:val="-3"/>
          <w:sz w:val="24"/>
          <w:szCs w:val="24"/>
        </w:rPr>
        <w:t>servi</w:t>
      </w:r>
      <w:r w:rsidRPr="003E743A">
        <w:rPr>
          <w:rFonts w:ascii="Times New Roman" w:eastAsia="Calibri" w:hAnsi="Times New Roman" w:cs="Times New Roman"/>
          <w:noProof/>
          <w:color w:val="000000"/>
          <w:spacing w:val="-2"/>
          <w:sz w:val="24"/>
          <w:szCs w:val="24"/>
        </w:rPr>
        <w:t> </w:t>
      </w:r>
      <w:r w:rsidRPr="003E743A">
        <w:rPr>
          <w:rFonts w:ascii="Times New Roman" w:eastAsia="Calibri" w:hAnsi="Times New Roman" w:cs="Times New Roman"/>
          <w:noProof/>
          <w:color w:val="000000"/>
          <w:spacing w:val="-3"/>
          <w:sz w:val="24"/>
          <w:szCs w:val="24"/>
        </w:rPr>
        <w:t>à</w:t>
      </w:r>
      <w:r w:rsidRPr="003E743A">
        <w:rPr>
          <w:rFonts w:ascii="Times New Roman" w:eastAsia="Calibri" w:hAnsi="Times New Roman" w:cs="Times New Roman"/>
          <w:noProof/>
          <w:color w:val="000000"/>
          <w:spacing w:val="-4"/>
          <w:sz w:val="24"/>
          <w:szCs w:val="24"/>
        </w:rPr>
        <w:t> </w:t>
      </w:r>
      <w:r w:rsidRPr="003E743A">
        <w:rPr>
          <w:rFonts w:ascii="Times New Roman" w:eastAsia="Calibri" w:hAnsi="Times New Roman" w:cs="Times New Roman"/>
          <w:noProof/>
          <w:color w:val="000000"/>
          <w:spacing w:val="-3"/>
          <w:sz w:val="24"/>
          <w:szCs w:val="24"/>
        </w:rPr>
        <w:t>définir</w:t>
      </w:r>
      <w:r w:rsidRPr="003E743A">
        <w:rPr>
          <w:rFonts w:ascii="Times New Roman" w:eastAsia="Calibri" w:hAnsi="Times New Roman" w:cs="Times New Roman"/>
          <w:noProof/>
          <w:color w:val="000000"/>
          <w:spacing w:val="-4"/>
          <w:sz w:val="24"/>
          <w:szCs w:val="24"/>
        </w:rPr>
        <w:t> la</w:t>
      </w:r>
      <w:r w:rsidRPr="003E743A">
        <w:rPr>
          <w:rFonts w:ascii="Times New Roman" w:eastAsia="Calibri" w:hAnsi="Times New Roman" w:cs="Times New Roman"/>
          <w:noProof/>
          <w:color w:val="000000"/>
          <w:spacing w:val="-2"/>
          <w:sz w:val="24"/>
          <w:szCs w:val="24"/>
        </w:rPr>
        <w:t> </w:t>
      </w:r>
      <w:r w:rsidRPr="003E743A">
        <w:rPr>
          <w:rFonts w:ascii="Times New Roman" w:eastAsia="Calibri" w:hAnsi="Times New Roman" w:cs="Times New Roman"/>
          <w:noProof/>
          <w:color w:val="000000"/>
          <w:spacing w:val="-3"/>
          <w:sz w:val="24"/>
          <w:szCs w:val="24"/>
        </w:rPr>
        <w:t>durée </w:t>
      </w:r>
      <w:r w:rsidRPr="003E743A">
        <w:rPr>
          <w:rFonts w:ascii="Times New Roman" w:eastAsia="Calibri" w:hAnsi="Times New Roman" w:cs="Times New Roman"/>
          <w:noProof/>
          <w:color w:val="000000"/>
          <w:spacing w:val="-2"/>
          <w:sz w:val="24"/>
          <w:szCs w:val="24"/>
        </w:rPr>
        <w:t>:</w:t>
      </w:r>
    </w:p>
    <w:p w:rsidR="007F3DC3" w:rsidRPr="003E743A" w:rsidRDefault="007F3DC3" w:rsidP="00FA3FAE">
      <w:pPr>
        <w:numPr>
          <w:ilvl w:val="1"/>
          <w:numId w:val="53"/>
        </w:numPr>
        <w:tabs>
          <w:tab w:val="left" w:pos="784"/>
        </w:tabs>
        <w:spacing w:after="0" w:line="350" w:lineRule="exact"/>
        <w:ind w:right="-708"/>
        <w:contextualSpacing/>
        <w:jc w:val="both"/>
        <w:rPr>
          <w:rFonts w:ascii="Times New Roman" w:eastAsia="Calibri" w:hAnsi="Times New Roman" w:cs="Times New Roman"/>
          <w:sz w:val="24"/>
          <w:szCs w:val="24"/>
        </w:rPr>
      </w:pPr>
      <w:r w:rsidRPr="003E743A">
        <w:rPr>
          <w:rFonts w:ascii="Times New Roman" w:eastAsia="Calibri" w:hAnsi="Times New Roman" w:cs="Times New Roman"/>
          <w:b/>
          <w:noProof/>
          <w:color w:val="000000"/>
          <w:spacing w:val="-3"/>
          <w:sz w:val="24"/>
          <w:szCs w:val="24"/>
        </w:rPr>
        <w:t>Long</w:t>
      </w:r>
      <w:r w:rsidRPr="003E743A">
        <w:rPr>
          <w:rFonts w:ascii="Times New Roman" w:eastAsia="Calibri" w:hAnsi="Times New Roman" w:cs="Times New Roman"/>
          <w:b/>
          <w:noProof/>
          <w:color w:val="000000"/>
          <w:spacing w:val="-5"/>
          <w:sz w:val="24"/>
          <w:szCs w:val="24"/>
        </w:rPr>
        <w:t> </w:t>
      </w:r>
      <w:r w:rsidRPr="003E743A">
        <w:rPr>
          <w:rFonts w:ascii="Times New Roman" w:eastAsia="Calibri" w:hAnsi="Times New Roman" w:cs="Times New Roman"/>
          <w:b/>
          <w:noProof/>
          <w:color w:val="000000"/>
          <w:spacing w:val="-3"/>
          <w:sz w:val="24"/>
          <w:szCs w:val="24"/>
        </w:rPr>
        <w:t>terme</w:t>
      </w:r>
      <w:r w:rsidRPr="003E743A">
        <w:rPr>
          <w:rFonts w:ascii="Times New Roman" w:eastAsia="Calibri" w:hAnsi="Times New Roman" w:cs="Times New Roman"/>
          <w:noProof/>
          <w:color w:val="000000"/>
          <w:spacing w:val="-3"/>
          <w:sz w:val="24"/>
          <w:szCs w:val="24"/>
        </w:rPr>
        <w:t> </w:t>
      </w:r>
      <w:r w:rsidRPr="003E743A">
        <w:rPr>
          <w:rFonts w:ascii="Times New Roman" w:eastAsia="Calibri" w:hAnsi="Times New Roman" w:cs="Times New Roman"/>
          <w:noProof/>
          <w:color w:val="000000"/>
          <w:spacing w:val="-2"/>
          <w:sz w:val="24"/>
          <w:szCs w:val="24"/>
        </w:rPr>
        <w:t>:</w:t>
      </w:r>
      <w:r w:rsidRPr="003E743A">
        <w:rPr>
          <w:rFonts w:ascii="Times New Roman" w:eastAsia="Calibri" w:hAnsi="Times New Roman" w:cs="Times New Roman"/>
          <w:noProof/>
          <w:color w:val="000000"/>
          <w:spacing w:val="-4"/>
          <w:sz w:val="24"/>
          <w:szCs w:val="24"/>
        </w:rPr>
        <w:t> </w:t>
      </w:r>
      <w:r w:rsidRPr="003E743A">
        <w:rPr>
          <w:rFonts w:ascii="Times New Roman" w:eastAsia="Calibri" w:hAnsi="Times New Roman" w:cs="Times New Roman"/>
          <w:noProof/>
          <w:color w:val="000000"/>
          <w:spacing w:val="-4"/>
          <w:sz w:val="24"/>
          <w:szCs w:val="24"/>
        </w:rPr>
        <w:tab/>
      </w:r>
      <w:r w:rsidRPr="003E743A">
        <w:rPr>
          <w:rFonts w:ascii="Times New Roman" w:eastAsia="Calibri" w:hAnsi="Times New Roman" w:cs="Times New Roman"/>
          <w:noProof/>
          <w:color w:val="000000"/>
          <w:spacing w:val="-2"/>
          <w:sz w:val="24"/>
          <w:szCs w:val="24"/>
        </w:rPr>
        <w:t>les</w:t>
      </w:r>
      <w:r w:rsidRPr="003E743A">
        <w:rPr>
          <w:rFonts w:ascii="Times New Roman" w:eastAsia="Calibri" w:hAnsi="Times New Roman" w:cs="Times New Roman"/>
          <w:noProof/>
          <w:color w:val="000000"/>
          <w:spacing w:val="-5"/>
          <w:sz w:val="24"/>
          <w:szCs w:val="24"/>
        </w:rPr>
        <w:t> </w:t>
      </w:r>
      <w:r w:rsidRPr="003E743A">
        <w:rPr>
          <w:rFonts w:ascii="Times New Roman" w:eastAsia="Calibri" w:hAnsi="Times New Roman" w:cs="Times New Roman"/>
          <w:noProof/>
          <w:color w:val="000000"/>
          <w:spacing w:val="-3"/>
          <w:sz w:val="24"/>
          <w:szCs w:val="24"/>
        </w:rPr>
        <w:t>impacts</w:t>
      </w:r>
      <w:r w:rsidRPr="003E743A">
        <w:rPr>
          <w:rFonts w:ascii="Times New Roman" w:eastAsia="Calibri" w:hAnsi="Times New Roman" w:cs="Times New Roman"/>
          <w:noProof/>
          <w:color w:val="000000"/>
          <w:spacing w:val="-2"/>
          <w:sz w:val="24"/>
          <w:szCs w:val="24"/>
        </w:rPr>
        <w:t> </w:t>
      </w:r>
      <w:r w:rsidRPr="003E743A">
        <w:rPr>
          <w:rFonts w:ascii="Times New Roman" w:eastAsia="Calibri" w:hAnsi="Times New Roman" w:cs="Times New Roman"/>
          <w:noProof/>
          <w:color w:val="000000"/>
          <w:spacing w:val="-5"/>
          <w:sz w:val="24"/>
          <w:szCs w:val="24"/>
        </w:rPr>
        <w:t>du</w:t>
      </w:r>
      <w:r w:rsidRPr="003E743A">
        <w:rPr>
          <w:rFonts w:ascii="Times New Roman" w:eastAsia="Calibri" w:hAnsi="Times New Roman" w:cs="Times New Roman"/>
          <w:noProof/>
          <w:color w:val="000000"/>
          <w:spacing w:val="-3"/>
          <w:sz w:val="24"/>
          <w:szCs w:val="24"/>
        </w:rPr>
        <w:t> projet se feront</w:t>
      </w:r>
      <w:r w:rsidRPr="003E743A">
        <w:rPr>
          <w:rFonts w:ascii="Times New Roman" w:eastAsia="Calibri" w:hAnsi="Times New Roman" w:cs="Times New Roman"/>
          <w:noProof/>
          <w:color w:val="000000"/>
          <w:spacing w:val="-4"/>
          <w:sz w:val="24"/>
          <w:szCs w:val="24"/>
        </w:rPr>
        <w:t> </w:t>
      </w:r>
      <w:r w:rsidRPr="003E743A">
        <w:rPr>
          <w:rFonts w:ascii="Times New Roman" w:eastAsia="Calibri" w:hAnsi="Times New Roman" w:cs="Times New Roman"/>
          <w:noProof/>
          <w:color w:val="000000"/>
          <w:spacing w:val="-3"/>
          <w:sz w:val="24"/>
          <w:szCs w:val="24"/>
        </w:rPr>
        <w:t>encore sentir</w:t>
      </w:r>
      <w:r w:rsidRPr="003E743A">
        <w:rPr>
          <w:rFonts w:ascii="Times New Roman" w:eastAsia="Calibri" w:hAnsi="Times New Roman" w:cs="Times New Roman"/>
          <w:noProof/>
          <w:color w:val="000000"/>
          <w:spacing w:val="-4"/>
          <w:sz w:val="24"/>
          <w:szCs w:val="24"/>
        </w:rPr>
        <w:t> </w:t>
      </w:r>
      <w:r w:rsidRPr="003E743A">
        <w:rPr>
          <w:rFonts w:ascii="Times New Roman" w:eastAsia="Calibri" w:hAnsi="Times New Roman" w:cs="Times New Roman"/>
          <w:noProof/>
          <w:color w:val="000000"/>
          <w:spacing w:val="-3"/>
          <w:sz w:val="24"/>
          <w:szCs w:val="24"/>
        </w:rPr>
        <w:t>à </w:t>
      </w:r>
      <w:r w:rsidRPr="003E743A">
        <w:rPr>
          <w:rFonts w:ascii="Times New Roman" w:eastAsia="Calibri" w:hAnsi="Times New Roman" w:cs="Times New Roman"/>
          <w:noProof/>
          <w:color w:val="000000"/>
          <w:spacing w:val="-2"/>
          <w:sz w:val="24"/>
          <w:szCs w:val="24"/>
        </w:rPr>
        <w:t>la</w:t>
      </w:r>
      <w:r w:rsidRPr="003E743A">
        <w:rPr>
          <w:rFonts w:ascii="Times New Roman" w:eastAsia="Calibri" w:hAnsi="Times New Roman" w:cs="Times New Roman"/>
          <w:noProof/>
          <w:color w:val="000000"/>
          <w:spacing w:val="-3"/>
          <w:sz w:val="24"/>
          <w:szCs w:val="24"/>
        </w:rPr>
        <w:t> fin</w:t>
      </w:r>
      <w:r w:rsidRPr="003E743A">
        <w:rPr>
          <w:rFonts w:ascii="Times New Roman" w:eastAsia="Calibri" w:hAnsi="Times New Roman" w:cs="Times New Roman"/>
          <w:noProof/>
          <w:color w:val="000000"/>
          <w:spacing w:val="-4"/>
          <w:sz w:val="24"/>
          <w:szCs w:val="24"/>
        </w:rPr>
        <w:t> </w:t>
      </w:r>
      <w:r w:rsidRPr="003E743A">
        <w:rPr>
          <w:rFonts w:ascii="Times New Roman" w:eastAsia="Calibri" w:hAnsi="Times New Roman" w:cs="Times New Roman"/>
          <w:noProof/>
          <w:color w:val="000000"/>
          <w:spacing w:val="-3"/>
          <w:sz w:val="24"/>
          <w:szCs w:val="24"/>
        </w:rPr>
        <w:t>des</w:t>
      </w:r>
      <w:r w:rsidRPr="003E743A">
        <w:rPr>
          <w:rFonts w:ascii="Times New Roman" w:eastAsia="Calibri" w:hAnsi="Times New Roman" w:cs="Times New Roman"/>
          <w:noProof/>
          <w:color w:val="000000"/>
          <w:spacing w:val="-2"/>
          <w:sz w:val="24"/>
          <w:szCs w:val="24"/>
        </w:rPr>
        <w:t> </w:t>
      </w:r>
      <w:r w:rsidRPr="003E743A">
        <w:rPr>
          <w:rFonts w:ascii="Times New Roman" w:eastAsia="Calibri" w:hAnsi="Times New Roman" w:cs="Times New Roman"/>
          <w:noProof/>
          <w:color w:val="000000"/>
          <w:spacing w:val="-3"/>
          <w:sz w:val="24"/>
          <w:szCs w:val="24"/>
        </w:rPr>
        <w:t>activités;</w:t>
      </w:r>
    </w:p>
    <w:p w:rsidR="007F3DC3" w:rsidRPr="003E743A" w:rsidRDefault="007F3DC3" w:rsidP="00FA3FAE">
      <w:pPr>
        <w:numPr>
          <w:ilvl w:val="1"/>
          <w:numId w:val="53"/>
        </w:numPr>
        <w:tabs>
          <w:tab w:val="left" w:pos="784"/>
        </w:tabs>
        <w:spacing w:after="0" w:line="269" w:lineRule="exact"/>
        <w:ind w:right="-708"/>
        <w:contextualSpacing/>
        <w:jc w:val="both"/>
        <w:rPr>
          <w:rFonts w:ascii="Times New Roman" w:eastAsia="Calibri" w:hAnsi="Times New Roman" w:cs="Times New Roman"/>
          <w:sz w:val="24"/>
          <w:szCs w:val="24"/>
        </w:rPr>
      </w:pPr>
      <w:r w:rsidRPr="003E743A">
        <w:rPr>
          <w:rFonts w:ascii="Times New Roman" w:eastAsia="Calibri" w:hAnsi="Times New Roman" w:cs="Times New Roman"/>
          <w:b/>
          <w:noProof/>
          <w:color w:val="000000"/>
          <w:spacing w:val="-3"/>
          <w:sz w:val="24"/>
          <w:szCs w:val="24"/>
        </w:rPr>
        <w:t>Moyen</w:t>
      </w:r>
      <w:r w:rsidRPr="003E743A">
        <w:rPr>
          <w:rFonts w:ascii="Times New Roman" w:eastAsia="Calibri" w:hAnsi="Times New Roman" w:cs="Times New Roman"/>
          <w:b/>
          <w:noProof/>
          <w:color w:val="000000"/>
          <w:spacing w:val="-4"/>
          <w:sz w:val="24"/>
          <w:szCs w:val="24"/>
        </w:rPr>
        <w:t> terme</w:t>
      </w:r>
      <w:r w:rsidRPr="003E743A">
        <w:rPr>
          <w:rFonts w:ascii="Times New Roman" w:eastAsia="Calibri" w:hAnsi="Times New Roman" w:cs="Times New Roman"/>
          <w:noProof/>
          <w:color w:val="000000"/>
          <w:spacing w:val="-3"/>
          <w:sz w:val="24"/>
          <w:szCs w:val="24"/>
        </w:rPr>
        <w:t> </w:t>
      </w:r>
      <w:r w:rsidRPr="003E743A">
        <w:rPr>
          <w:rFonts w:ascii="Times New Roman" w:eastAsia="Calibri" w:hAnsi="Times New Roman" w:cs="Times New Roman"/>
          <w:noProof/>
          <w:color w:val="000000"/>
          <w:spacing w:val="-2"/>
          <w:sz w:val="24"/>
          <w:szCs w:val="24"/>
        </w:rPr>
        <w:t>:</w:t>
      </w:r>
      <w:r w:rsidRPr="003E743A">
        <w:rPr>
          <w:rFonts w:ascii="Times New Roman" w:eastAsia="Calibri" w:hAnsi="Times New Roman" w:cs="Times New Roman"/>
          <w:noProof/>
          <w:color w:val="000000"/>
          <w:spacing w:val="-4"/>
          <w:sz w:val="24"/>
          <w:szCs w:val="24"/>
        </w:rPr>
        <w:t> </w:t>
      </w:r>
      <w:r w:rsidRPr="003E743A">
        <w:rPr>
          <w:rFonts w:ascii="Times New Roman" w:eastAsia="Calibri" w:hAnsi="Times New Roman" w:cs="Times New Roman"/>
          <w:noProof/>
          <w:color w:val="000000"/>
          <w:spacing w:val="-2"/>
          <w:sz w:val="24"/>
          <w:szCs w:val="24"/>
        </w:rPr>
        <w:t>les </w:t>
      </w:r>
      <w:r w:rsidRPr="003E743A">
        <w:rPr>
          <w:rFonts w:ascii="Times New Roman" w:eastAsia="Calibri" w:hAnsi="Times New Roman" w:cs="Times New Roman"/>
          <w:noProof/>
          <w:color w:val="000000"/>
          <w:spacing w:val="-4"/>
          <w:sz w:val="24"/>
          <w:szCs w:val="24"/>
        </w:rPr>
        <w:t>impacts du</w:t>
      </w:r>
      <w:r w:rsidRPr="003E743A">
        <w:rPr>
          <w:rFonts w:ascii="Times New Roman" w:eastAsia="Calibri" w:hAnsi="Times New Roman" w:cs="Times New Roman"/>
          <w:noProof/>
          <w:color w:val="000000"/>
          <w:spacing w:val="-3"/>
          <w:sz w:val="24"/>
          <w:szCs w:val="24"/>
        </w:rPr>
        <w:t> projet se limiteront</w:t>
      </w:r>
      <w:r w:rsidRPr="003E743A">
        <w:rPr>
          <w:rFonts w:ascii="Times New Roman" w:eastAsia="Calibri" w:hAnsi="Times New Roman" w:cs="Times New Roman"/>
          <w:noProof/>
          <w:color w:val="000000"/>
          <w:spacing w:val="-4"/>
          <w:sz w:val="24"/>
          <w:szCs w:val="24"/>
        </w:rPr>
        <w:t> </w:t>
      </w:r>
      <w:r w:rsidRPr="003E743A">
        <w:rPr>
          <w:rFonts w:ascii="Times New Roman" w:eastAsia="Calibri" w:hAnsi="Times New Roman" w:cs="Times New Roman"/>
          <w:noProof/>
          <w:color w:val="000000"/>
          <w:spacing w:val="-3"/>
          <w:sz w:val="24"/>
          <w:szCs w:val="24"/>
        </w:rPr>
        <w:t>à</w:t>
      </w:r>
      <w:r w:rsidRPr="003E743A">
        <w:rPr>
          <w:rFonts w:ascii="Times New Roman" w:eastAsia="Calibri" w:hAnsi="Times New Roman" w:cs="Times New Roman"/>
          <w:noProof/>
          <w:color w:val="000000"/>
          <w:spacing w:val="-4"/>
          <w:sz w:val="24"/>
          <w:szCs w:val="24"/>
        </w:rPr>
        <w:t> </w:t>
      </w:r>
      <w:r w:rsidRPr="003E743A">
        <w:rPr>
          <w:rFonts w:ascii="Times New Roman" w:eastAsia="Calibri" w:hAnsi="Times New Roman" w:cs="Times New Roman"/>
          <w:noProof/>
          <w:color w:val="000000"/>
          <w:spacing w:val="-2"/>
          <w:sz w:val="24"/>
          <w:szCs w:val="24"/>
        </w:rPr>
        <w:t>la</w:t>
      </w:r>
      <w:r w:rsidRPr="003E743A">
        <w:rPr>
          <w:rFonts w:ascii="Times New Roman" w:eastAsia="Calibri" w:hAnsi="Times New Roman" w:cs="Times New Roman"/>
          <w:noProof/>
          <w:color w:val="000000"/>
          <w:spacing w:val="-3"/>
          <w:sz w:val="24"/>
          <w:szCs w:val="24"/>
        </w:rPr>
        <w:t> durée </w:t>
      </w:r>
      <w:r w:rsidRPr="003E743A">
        <w:rPr>
          <w:rFonts w:ascii="Times New Roman" w:eastAsia="Calibri" w:hAnsi="Times New Roman" w:cs="Times New Roman"/>
          <w:noProof/>
          <w:color w:val="000000"/>
          <w:spacing w:val="-4"/>
          <w:sz w:val="24"/>
          <w:szCs w:val="24"/>
        </w:rPr>
        <w:t>des</w:t>
      </w:r>
      <w:r w:rsidRPr="003E743A">
        <w:rPr>
          <w:rFonts w:ascii="Times New Roman" w:eastAsia="Calibri" w:hAnsi="Times New Roman" w:cs="Times New Roman"/>
          <w:noProof/>
          <w:color w:val="000000"/>
          <w:spacing w:val="-2"/>
          <w:sz w:val="24"/>
          <w:szCs w:val="24"/>
        </w:rPr>
        <w:t> </w:t>
      </w:r>
      <w:r w:rsidRPr="003E743A">
        <w:rPr>
          <w:rFonts w:ascii="Times New Roman" w:eastAsia="Calibri" w:hAnsi="Times New Roman" w:cs="Times New Roman"/>
          <w:noProof/>
          <w:color w:val="000000"/>
          <w:spacing w:val="-3"/>
          <w:sz w:val="24"/>
          <w:szCs w:val="24"/>
        </w:rPr>
        <w:t>activités. Les</w:t>
      </w:r>
      <w:r w:rsidRPr="003E743A">
        <w:rPr>
          <w:rFonts w:ascii="Times New Roman" w:eastAsia="Calibri" w:hAnsi="Times New Roman" w:cs="Times New Roman"/>
          <w:noProof/>
          <w:color w:val="000000"/>
          <w:spacing w:val="-2"/>
          <w:sz w:val="24"/>
          <w:szCs w:val="24"/>
        </w:rPr>
        <w:t> </w:t>
      </w:r>
      <w:r w:rsidRPr="003E743A">
        <w:rPr>
          <w:rFonts w:ascii="Times New Roman" w:eastAsia="Calibri" w:hAnsi="Times New Roman" w:cs="Times New Roman"/>
          <w:noProof/>
          <w:color w:val="000000"/>
          <w:spacing w:val="-3"/>
          <w:sz w:val="24"/>
          <w:szCs w:val="24"/>
        </w:rPr>
        <w:t>impats</w:t>
      </w:r>
      <w:r w:rsidRPr="003E743A">
        <w:rPr>
          <w:rFonts w:ascii="Times New Roman" w:eastAsia="Calibri" w:hAnsi="Times New Roman" w:cs="Times New Roman"/>
          <w:sz w:val="24"/>
          <w:szCs w:val="24"/>
        </w:rPr>
        <w:t xml:space="preserve"> </w:t>
      </w:r>
      <w:r w:rsidRPr="003E743A">
        <w:rPr>
          <w:rFonts w:ascii="Times New Roman" w:eastAsia="Calibri" w:hAnsi="Times New Roman" w:cs="Times New Roman"/>
          <w:noProof/>
          <w:color w:val="000000"/>
          <w:spacing w:val="-3"/>
          <w:sz w:val="24"/>
          <w:szCs w:val="24"/>
        </w:rPr>
        <w:t>peuvent</w:t>
      </w:r>
      <w:r w:rsidRPr="003E743A">
        <w:rPr>
          <w:rFonts w:ascii="Times New Roman" w:eastAsia="Calibri" w:hAnsi="Times New Roman" w:cs="Times New Roman"/>
          <w:noProof/>
          <w:color w:val="000000"/>
          <w:spacing w:val="-4"/>
          <w:sz w:val="24"/>
          <w:szCs w:val="24"/>
        </w:rPr>
        <w:t> </w:t>
      </w:r>
      <w:r w:rsidRPr="003E743A">
        <w:rPr>
          <w:rFonts w:ascii="Times New Roman" w:eastAsia="Calibri" w:hAnsi="Times New Roman" w:cs="Times New Roman"/>
          <w:noProof/>
          <w:color w:val="000000"/>
          <w:spacing w:val="-3"/>
          <w:sz w:val="24"/>
          <w:szCs w:val="24"/>
        </w:rPr>
        <w:t>être discontinus</w:t>
      </w:r>
      <w:r w:rsidRPr="003E743A">
        <w:rPr>
          <w:rFonts w:ascii="Times New Roman" w:eastAsia="Calibri" w:hAnsi="Times New Roman" w:cs="Times New Roman"/>
          <w:noProof/>
          <w:color w:val="000000"/>
          <w:spacing w:val="-5"/>
          <w:sz w:val="24"/>
          <w:szCs w:val="24"/>
        </w:rPr>
        <w:t> </w:t>
      </w:r>
      <w:r w:rsidRPr="003E743A">
        <w:rPr>
          <w:rFonts w:ascii="Times New Roman" w:eastAsia="Calibri" w:hAnsi="Times New Roman" w:cs="Times New Roman"/>
          <w:noProof/>
          <w:color w:val="000000"/>
          <w:spacing w:val="-3"/>
          <w:sz w:val="24"/>
          <w:szCs w:val="24"/>
        </w:rPr>
        <w:t>mais</w:t>
      </w:r>
      <w:r w:rsidRPr="003E743A">
        <w:rPr>
          <w:rFonts w:ascii="Times New Roman" w:eastAsia="Calibri" w:hAnsi="Times New Roman" w:cs="Times New Roman"/>
          <w:noProof/>
          <w:color w:val="000000"/>
          <w:spacing w:val="-2"/>
          <w:sz w:val="24"/>
          <w:szCs w:val="24"/>
        </w:rPr>
        <w:t> </w:t>
      </w:r>
      <w:r w:rsidRPr="003E743A">
        <w:rPr>
          <w:rFonts w:ascii="Times New Roman" w:eastAsia="Calibri" w:hAnsi="Times New Roman" w:cs="Times New Roman"/>
          <w:noProof/>
          <w:color w:val="000000"/>
          <w:spacing w:val="-3"/>
          <w:sz w:val="24"/>
          <w:szCs w:val="24"/>
        </w:rPr>
        <w:t>récurrents;</w:t>
      </w:r>
    </w:p>
    <w:p w:rsidR="007F3DC3" w:rsidRPr="003E743A" w:rsidRDefault="007F3DC3" w:rsidP="00FA3FAE">
      <w:pPr>
        <w:numPr>
          <w:ilvl w:val="1"/>
          <w:numId w:val="53"/>
        </w:numPr>
        <w:tabs>
          <w:tab w:val="left" w:pos="784"/>
        </w:tabs>
        <w:spacing w:after="0" w:line="269" w:lineRule="exact"/>
        <w:ind w:right="-708"/>
        <w:contextualSpacing/>
        <w:jc w:val="both"/>
        <w:rPr>
          <w:rFonts w:ascii="Times New Roman" w:eastAsia="Calibri" w:hAnsi="Times New Roman" w:cs="Times New Roman"/>
          <w:sz w:val="24"/>
          <w:szCs w:val="24"/>
        </w:rPr>
      </w:pPr>
      <w:r w:rsidRPr="003E743A">
        <w:rPr>
          <w:rFonts w:ascii="Times New Roman" w:eastAsia="Calibri" w:hAnsi="Times New Roman" w:cs="Times New Roman"/>
          <w:b/>
          <w:noProof/>
          <w:color w:val="000000"/>
          <w:spacing w:val="-3"/>
          <w:sz w:val="24"/>
          <w:szCs w:val="24"/>
        </w:rPr>
        <w:t>Court terme</w:t>
      </w:r>
      <w:r w:rsidRPr="003E743A">
        <w:rPr>
          <w:rFonts w:ascii="Times New Roman" w:eastAsia="Calibri" w:hAnsi="Times New Roman" w:cs="Times New Roman"/>
          <w:noProof/>
          <w:color w:val="000000"/>
          <w:spacing w:val="-3"/>
          <w:sz w:val="24"/>
          <w:szCs w:val="24"/>
        </w:rPr>
        <w:t> </w:t>
      </w:r>
      <w:r w:rsidRPr="003E743A">
        <w:rPr>
          <w:rFonts w:ascii="Times New Roman" w:eastAsia="Calibri" w:hAnsi="Times New Roman" w:cs="Times New Roman"/>
          <w:noProof/>
          <w:color w:val="000000"/>
          <w:spacing w:val="-2"/>
          <w:sz w:val="24"/>
          <w:szCs w:val="24"/>
        </w:rPr>
        <w:t>:</w:t>
      </w:r>
      <w:r w:rsidRPr="003E743A">
        <w:rPr>
          <w:rFonts w:ascii="Times New Roman" w:eastAsia="Calibri" w:hAnsi="Times New Roman" w:cs="Times New Roman"/>
          <w:noProof/>
          <w:color w:val="000000"/>
          <w:spacing w:val="-4"/>
          <w:sz w:val="24"/>
          <w:szCs w:val="24"/>
        </w:rPr>
        <w:t> l</w:t>
      </w:r>
      <w:r w:rsidRPr="003E743A">
        <w:rPr>
          <w:rFonts w:ascii="Times New Roman" w:eastAsia="Calibri" w:hAnsi="Times New Roman" w:cs="Times New Roman"/>
          <w:noProof/>
          <w:color w:val="000000"/>
          <w:spacing w:val="-3"/>
          <w:sz w:val="24"/>
          <w:szCs w:val="24"/>
        </w:rPr>
        <w:t>es</w:t>
      </w:r>
      <w:r w:rsidRPr="003E743A">
        <w:rPr>
          <w:rFonts w:ascii="Times New Roman" w:eastAsia="Calibri" w:hAnsi="Times New Roman" w:cs="Times New Roman"/>
          <w:noProof/>
          <w:color w:val="000000"/>
          <w:spacing w:val="-2"/>
          <w:sz w:val="24"/>
          <w:szCs w:val="24"/>
        </w:rPr>
        <w:t> </w:t>
      </w:r>
      <w:r w:rsidRPr="003E743A">
        <w:rPr>
          <w:rFonts w:ascii="Times New Roman" w:eastAsia="Calibri" w:hAnsi="Times New Roman" w:cs="Times New Roman"/>
          <w:noProof/>
          <w:color w:val="000000"/>
          <w:spacing w:val="-3"/>
          <w:sz w:val="24"/>
          <w:szCs w:val="24"/>
        </w:rPr>
        <w:t>impacts</w:t>
      </w:r>
      <w:r w:rsidRPr="003E743A">
        <w:rPr>
          <w:rFonts w:ascii="Times New Roman" w:eastAsia="Calibri" w:hAnsi="Times New Roman" w:cs="Times New Roman"/>
          <w:noProof/>
          <w:color w:val="000000"/>
          <w:spacing w:val="-5"/>
          <w:sz w:val="24"/>
          <w:szCs w:val="24"/>
        </w:rPr>
        <w:t> </w:t>
      </w:r>
      <w:r w:rsidRPr="003E743A">
        <w:rPr>
          <w:rFonts w:ascii="Times New Roman" w:eastAsia="Calibri" w:hAnsi="Times New Roman" w:cs="Times New Roman"/>
          <w:noProof/>
          <w:color w:val="000000"/>
          <w:spacing w:val="-3"/>
          <w:sz w:val="24"/>
          <w:szCs w:val="24"/>
        </w:rPr>
        <w:t>du projet seront</w:t>
      </w:r>
      <w:r w:rsidRPr="003E743A">
        <w:rPr>
          <w:rFonts w:ascii="Times New Roman" w:eastAsia="Calibri" w:hAnsi="Times New Roman" w:cs="Times New Roman"/>
          <w:noProof/>
          <w:color w:val="000000"/>
          <w:spacing w:val="-4"/>
          <w:sz w:val="24"/>
          <w:szCs w:val="24"/>
        </w:rPr>
        <w:t> </w:t>
      </w:r>
      <w:r w:rsidRPr="003E743A">
        <w:rPr>
          <w:rFonts w:ascii="Times New Roman" w:eastAsia="Calibri" w:hAnsi="Times New Roman" w:cs="Times New Roman"/>
          <w:noProof/>
          <w:color w:val="000000"/>
          <w:spacing w:val="-3"/>
          <w:sz w:val="24"/>
          <w:szCs w:val="24"/>
        </w:rPr>
        <w:t>ponctuels. Les</w:t>
      </w:r>
      <w:r w:rsidRPr="003E743A">
        <w:rPr>
          <w:rFonts w:ascii="Times New Roman" w:eastAsia="Calibri" w:hAnsi="Times New Roman" w:cs="Times New Roman"/>
          <w:noProof/>
          <w:color w:val="000000"/>
          <w:spacing w:val="-5"/>
          <w:sz w:val="24"/>
          <w:szCs w:val="24"/>
        </w:rPr>
        <w:t> </w:t>
      </w:r>
      <w:r w:rsidRPr="003E743A">
        <w:rPr>
          <w:rFonts w:ascii="Times New Roman" w:eastAsia="Calibri" w:hAnsi="Times New Roman" w:cs="Times New Roman"/>
          <w:noProof/>
          <w:color w:val="000000"/>
          <w:spacing w:val="-3"/>
          <w:sz w:val="24"/>
          <w:szCs w:val="24"/>
        </w:rPr>
        <w:t>impacts</w:t>
      </w:r>
      <w:r w:rsidRPr="003E743A">
        <w:rPr>
          <w:rFonts w:ascii="Times New Roman" w:eastAsia="Calibri" w:hAnsi="Times New Roman" w:cs="Times New Roman"/>
          <w:noProof/>
          <w:color w:val="000000"/>
          <w:spacing w:val="-2"/>
          <w:sz w:val="24"/>
          <w:szCs w:val="24"/>
        </w:rPr>
        <w:t> </w:t>
      </w:r>
      <w:r w:rsidRPr="003E743A">
        <w:rPr>
          <w:rFonts w:ascii="Times New Roman" w:eastAsia="Calibri" w:hAnsi="Times New Roman" w:cs="Times New Roman"/>
          <w:noProof/>
          <w:color w:val="000000"/>
          <w:spacing w:val="-3"/>
          <w:sz w:val="24"/>
          <w:szCs w:val="24"/>
        </w:rPr>
        <w:t>seront</w:t>
      </w:r>
      <w:r w:rsidRPr="003E743A">
        <w:rPr>
          <w:rFonts w:ascii="Times New Roman" w:eastAsia="Calibri" w:hAnsi="Times New Roman" w:cs="Times New Roman"/>
          <w:noProof/>
          <w:color w:val="000000"/>
          <w:spacing w:val="-4"/>
          <w:sz w:val="24"/>
          <w:szCs w:val="24"/>
        </w:rPr>
        <w:t> </w:t>
      </w:r>
      <w:r w:rsidRPr="003E743A">
        <w:rPr>
          <w:rFonts w:ascii="Times New Roman" w:eastAsia="Calibri" w:hAnsi="Times New Roman" w:cs="Times New Roman"/>
          <w:noProof/>
          <w:color w:val="000000"/>
          <w:spacing w:val="-3"/>
          <w:sz w:val="24"/>
          <w:szCs w:val="24"/>
        </w:rPr>
        <w:t>ressentis</w:t>
      </w:r>
      <w:r w:rsidRPr="003E743A">
        <w:rPr>
          <w:rFonts w:ascii="Times New Roman" w:eastAsia="Calibri" w:hAnsi="Times New Roman" w:cs="Times New Roman"/>
          <w:noProof/>
          <w:color w:val="000000"/>
          <w:spacing w:val="-2"/>
          <w:sz w:val="24"/>
          <w:szCs w:val="24"/>
        </w:rPr>
        <w:t> </w:t>
      </w:r>
      <w:r w:rsidRPr="003E743A">
        <w:rPr>
          <w:rFonts w:ascii="Times New Roman" w:eastAsia="Calibri" w:hAnsi="Times New Roman" w:cs="Times New Roman"/>
          <w:noProof/>
          <w:color w:val="000000"/>
          <w:spacing w:val="-3"/>
          <w:sz w:val="24"/>
          <w:szCs w:val="24"/>
        </w:rPr>
        <w:t>à</w:t>
      </w:r>
      <w:r w:rsidRPr="003E743A">
        <w:rPr>
          <w:rFonts w:ascii="Times New Roman" w:eastAsia="Calibri" w:hAnsi="Times New Roman" w:cs="Times New Roman"/>
          <w:noProof/>
          <w:color w:val="000000"/>
          <w:spacing w:val="-4"/>
          <w:sz w:val="24"/>
          <w:szCs w:val="24"/>
        </w:rPr>
        <w:t> </w:t>
      </w:r>
      <w:r w:rsidRPr="003E743A">
        <w:rPr>
          <w:rFonts w:ascii="Times New Roman" w:eastAsia="Calibri" w:hAnsi="Times New Roman" w:cs="Times New Roman"/>
          <w:noProof/>
          <w:color w:val="000000"/>
          <w:spacing w:val="-3"/>
          <w:sz w:val="24"/>
          <w:szCs w:val="24"/>
        </w:rPr>
        <w:t>un</w:t>
      </w:r>
      <w:r w:rsidRPr="003E743A">
        <w:rPr>
          <w:rFonts w:ascii="Times New Roman" w:eastAsia="Calibri" w:hAnsi="Times New Roman" w:cs="Times New Roman"/>
          <w:sz w:val="24"/>
          <w:szCs w:val="24"/>
        </w:rPr>
        <w:t xml:space="preserve"> </w:t>
      </w:r>
      <w:r w:rsidRPr="003E743A">
        <w:rPr>
          <w:rFonts w:ascii="Times New Roman" w:eastAsia="Calibri" w:hAnsi="Times New Roman" w:cs="Times New Roman"/>
          <w:noProof/>
          <w:color w:val="000000"/>
          <w:spacing w:val="-4"/>
          <w:sz w:val="24"/>
          <w:szCs w:val="24"/>
        </w:rPr>
        <w:t>moment </w:t>
      </w:r>
      <w:r w:rsidRPr="003E743A">
        <w:rPr>
          <w:rFonts w:ascii="Times New Roman" w:eastAsia="Calibri" w:hAnsi="Times New Roman" w:cs="Times New Roman"/>
          <w:noProof/>
          <w:color w:val="000000"/>
          <w:spacing w:val="-3"/>
          <w:sz w:val="24"/>
          <w:szCs w:val="24"/>
        </w:rPr>
        <w:t>précis</w:t>
      </w:r>
      <w:r w:rsidRPr="003E743A">
        <w:rPr>
          <w:rFonts w:ascii="Times New Roman" w:eastAsia="Calibri" w:hAnsi="Times New Roman" w:cs="Times New Roman"/>
          <w:noProof/>
          <w:color w:val="000000"/>
          <w:spacing w:val="-2"/>
          <w:sz w:val="24"/>
          <w:szCs w:val="24"/>
        </w:rPr>
        <w:t> </w:t>
      </w:r>
      <w:r w:rsidRPr="003E743A">
        <w:rPr>
          <w:rFonts w:ascii="Times New Roman" w:eastAsia="Calibri" w:hAnsi="Times New Roman" w:cs="Times New Roman"/>
          <w:noProof/>
          <w:color w:val="000000"/>
          <w:spacing w:val="-3"/>
          <w:sz w:val="24"/>
          <w:szCs w:val="24"/>
        </w:rPr>
        <w:t>d’une activité donnée.</w:t>
      </w:r>
    </w:p>
    <w:p w:rsidR="007F3DC3" w:rsidRPr="003E743A" w:rsidRDefault="007F3DC3" w:rsidP="007F3DC3">
      <w:pPr>
        <w:spacing w:after="0" w:line="240" w:lineRule="exact"/>
        <w:ind w:left="-284" w:right="-850"/>
        <w:jc w:val="both"/>
        <w:rPr>
          <w:rFonts w:ascii="Times New Roman" w:eastAsia="Calibri" w:hAnsi="Times New Roman" w:cs="Times New Roman"/>
          <w:sz w:val="24"/>
          <w:szCs w:val="24"/>
        </w:rPr>
      </w:pPr>
      <w:r w:rsidRPr="003E743A">
        <w:rPr>
          <w:rFonts w:ascii="Times New Roman" w:eastAsia="Calibri" w:hAnsi="Times New Roman" w:cs="Times New Roman"/>
          <w:b/>
          <w:sz w:val="24"/>
          <w:szCs w:val="24"/>
          <w:u w:val="single"/>
        </w:rPr>
        <w:t>L’intensité de l’impact</w:t>
      </w:r>
      <w:r w:rsidRPr="003E743A">
        <w:rPr>
          <w:rFonts w:ascii="Times New Roman" w:eastAsia="Calibri" w:hAnsi="Times New Roman" w:cs="Times New Roman"/>
          <w:sz w:val="24"/>
          <w:szCs w:val="24"/>
        </w:rPr>
        <w:t> appréhendé</w:t>
      </w:r>
      <w:r w:rsidR="00F6660B">
        <w:rPr>
          <w:rFonts w:ascii="Times New Roman" w:eastAsia="Calibri" w:hAnsi="Times New Roman" w:cs="Times New Roman"/>
          <w:sz w:val="24"/>
          <w:szCs w:val="24"/>
        </w:rPr>
        <w:t>e</w:t>
      </w:r>
      <w:r w:rsidRPr="003E743A">
        <w:rPr>
          <w:rFonts w:ascii="Times New Roman" w:eastAsia="Calibri" w:hAnsi="Times New Roman" w:cs="Times New Roman"/>
          <w:sz w:val="24"/>
          <w:szCs w:val="24"/>
        </w:rPr>
        <w:t> constitue le niveau de changement subi par les composantes du milieu récepteur. Par exemple, pour la faune et la flore, l’intensité sera évaluée en fonction de l’importance du changement à son intégrité (croissance, reproduction et survie) et à la qualité de son environnement (air, eau et sol). L’intensité sera classée selon trois niveaux, soit :</w:t>
      </w:r>
    </w:p>
    <w:p w:rsidR="007F3DC3" w:rsidRPr="003E743A" w:rsidRDefault="007F3DC3" w:rsidP="007F3DC3">
      <w:pPr>
        <w:spacing w:after="0" w:line="240" w:lineRule="exact"/>
        <w:ind w:left="64"/>
        <w:jc w:val="both"/>
        <w:rPr>
          <w:rFonts w:ascii="Times New Roman" w:eastAsia="Calibri" w:hAnsi="Times New Roman" w:cs="Times New Roman"/>
          <w:sz w:val="24"/>
          <w:szCs w:val="24"/>
        </w:rPr>
      </w:pPr>
    </w:p>
    <w:p w:rsidR="007F3DC3" w:rsidRPr="003E743A" w:rsidRDefault="007F3DC3" w:rsidP="00FA3FAE">
      <w:pPr>
        <w:pStyle w:val="PargrafodaLista"/>
        <w:numPr>
          <w:ilvl w:val="0"/>
          <w:numId w:val="58"/>
        </w:numPr>
        <w:tabs>
          <w:tab w:val="left" w:pos="784"/>
        </w:tabs>
        <w:spacing w:after="0" w:line="271" w:lineRule="exact"/>
        <w:jc w:val="both"/>
        <w:rPr>
          <w:rFonts w:ascii="Times New Roman" w:hAnsi="Times New Roman"/>
          <w:noProof/>
          <w:color w:val="000000"/>
          <w:spacing w:val="-4"/>
          <w:sz w:val="24"/>
          <w:szCs w:val="24"/>
          <w:lang w:val="fr-FR"/>
        </w:rPr>
      </w:pPr>
      <w:r w:rsidRPr="003E743A">
        <w:rPr>
          <w:rFonts w:ascii="Times New Roman" w:hAnsi="Times New Roman"/>
          <w:b/>
          <w:noProof/>
          <w:color w:val="000000"/>
          <w:spacing w:val="-4"/>
          <w:sz w:val="24"/>
          <w:szCs w:val="24"/>
          <w:lang w:val="fr-FR"/>
        </w:rPr>
        <w:t>Forte</w:t>
      </w:r>
      <w:r w:rsidRPr="003E743A">
        <w:rPr>
          <w:rFonts w:ascii="Times New Roman" w:hAnsi="Times New Roman"/>
          <w:noProof/>
          <w:color w:val="000000"/>
          <w:spacing w:val="-4"/>
          <w:sz w:val="24"/>
          <w:szCs w:val="24"/>
          <w:lang w:val="fr-FR"/>
        </w:rPr>
        <w:t> : le projet met en cause l’intégrité des éléments du milieu récepteur.</w:t>
      </w:r>
      <w:r w:rsidR="00A476E5">
        <w:rPr>
          <w:rFonts w:ascii="Times New Roman" w:hAnsi="Times New Roman"/>
          <w:noProof/>
          <w:color w:val="000000"/>
          <w:spacing w:val="-4"/>
          <w:sz w:val="24"/>
          <w:szCs w:val="24"/>
          <w:lang w:val="fr-FR"/>
        </w:rPr>
        <w:t xml:space="preserve"> Le </w:t>
      </w:r>
      <w:r w:rsidRPr="003E743A">
        <w:rPr>
          <w:rFonts w:ascii="Times New Roman" w:hAnsi="Times New Roman"/>
          <w:noProof/>
          <w:color w:val="000000"/>
          <w:spacing w:val="-4"/>
          <w:sz w:val="24"/>
          <w:szCs w:val="24"/>
          <w:lang w:val="fr-FR"/>
        </w:rPr>
        <w:t>Projet porte atteinte à la santé et à la sécurité des personnes et à l’environnement</w:t>
      </w:r>
    </w:p>
    <w:p w:rsidR="007F3DC3" w:rsidRPr="003E743A" w:rsidRDefault="007F3DC3" w:rsidP="00FA3FAE">
      <w:pPr>
        <w:pStyle w:val="PargrafodaLista"/>
        <w:numPr>
          <w:ilvl w:val="0"/>
          <w:numId w:val="58"/>
        </w:numPr>
        <w:tabs>
          <w:tab w:val="left" w:pos="784"/>
        </w:tabs>
        <w:spacing w:after="0" w:line="271" w:lineRule="exact"/>
        <w:jc w:val="both"/>
        <w:rPr>
          <w:rFonts w:ascii="Times New Roman" w:hAnsi="Times New Roman"/>
          <w:sz w:val="24"/>
          <w:szCs w:val="24"/>
          <w:lang w:val="fr-FR"/>
        </w:rPr>
      </w:pPr>
      <w:r w:rsidRPr="003E743A">
        <w:rPr>
          <w:rFonts w:ascii="Times New Roman" w:hAnsi="Times New Roman"/>
          <w:b/>
          <w:noProof/>
          <w:color w:val="000000"/>
          <w:spacing w:val="-4"/>
          <w:sz w:val="24"/>
          <w:szCs w:val="24"/>
          <w:lang w:val="fr-FR"/>
        </w:rPr>
        <w:t xml:space="preserve">Moyenne </w:t>
      </w:r>
      <w:r w:rsidRPr="003E743A">
        <w:rPr>
          <w:rFonts w:ascii="Times New Roman" w:hAnsi="Times New Roman"/>
          <w:noProof/>
          <w:color w:val="000000"/>
          <w:spacing w:val="-1"/>
          <w:sz w:val="24"/>
          <w:szCs w:val="24"/>
          <w:lang w:val="fr-FR"/>
        </w:rPr>
        <w:t> </w:t>
      </w:r>
      <w:r w:rsidRPr="003E743A">
        <w:rPr>
          <w:rFonts w:ascii="Times New Roman" w:hAnsi="Times New Roman"/>
          <w:noProof/>
          <w:color w:val="000000"/>
          <w:spacing w:val="-2"/>
          <w:sz w:val="24"/>
          <w:szCs w:val="24"/>
          <w:lang w:val="fr-FR"/>
        </w:rPr>
        <w:t>: le</w:t>
      </w:r>
      <w:r w:rsidRPr="003E743A">
        <w:rPr>
          <w:rFonts w:ascii="Times New Roman" w:hAnsi="Times New Roman"/>
          <w:noProof/>
          <w:color w:val="000000"/>
          <w:spacing w:val="-1"/>
          <w:sz w:val="24"/>
          <w:szCs w:val="24"/>
          <w:lang w:val="fr-FR"/>
        </w:rPr>
        <w:t xml:space="preserve">  </w:t>
      </w:r>
      <w:r w:rsidRPr="003E743A">
        <w:rPr>
          <w:rFonts w:ascii="Times New Roman" w:hAnsi="Times New Roman"/>
          <w:noProof/>
          <w:color w:val="000000"/>
          <w:spacing w:val="-3"/>
          <w:sz w:val="24"/>
          <w:szCs w:val="24"/>
          <w:lang w:val="fr-FR"/>
        </w:rPr>
        <w:t xml:space="preserve">projet  </w:t>
      </w:r>
      <w:r w:rsidRPr="003E743A">
        <w:rPr>
          <w:rFonts w:ascii="Times New Roman" w:hAnsi="Times New Roman"/>
          <w:noProof/>
          <w:color w:val="000000"/>
          <w:spacing w:val="-1"/>
          <w:sz w:val="24"/>
          <w:szCs w:val="24"/>
          <w:lang w:val="fr-FR"/>
        </w:rPr>
        <w:t> </w:t>
      </w:r>
      <w:r w:rsidRPr="003E743A">
        <w:rPr>
          <w:rFonts w:ascii="Times New Roman" w:hAnsi="Times New Roman"/>
          <w:noProof/>
          <w:color w:val="000000"/>
          <w:spacing w:val="-3"/>
          <w:sz w:val="24"/>
          <w:szCs w:val="24"/>
          <w:lang w:val="fr-FR"/>
        </w:rPr>
        <w:t>modifie</w:t>
      </w:r>
      <w:r w:rsidRPr="003E743A">
        <w:rPr>
          <w:rFonts w:ascii="Times New Roman" w:hAnsi="Times New Roman"/>
          <w:noProof/>
          <w:color w:val="000000"/>
          <w:spacing w:val="-1"/>
          <w:sz w:val="24"/>
          <w:szCs w:val="24"/>
          <w:lang w:val="fr-FR"/>
        </w:rPr>
        <w:t xml:space="preserve">  </w:t>
      </w:r>
      <w:r w:rsidRPr="003E743A">
        <w:rPr>
          <w:rFonts w:ascii="Times New Roman" w:hAnsi="Times New Roman"/>
          <w:noProof/>
          <w:color w:val="000000"/>
          <w:spacing w:val="-2"/>
          <w:sz w:val="24"/>
          <w:szCs w:val="24"/>
          <w:lang w:val="fr-FR"/>
        </w:rPr>
        <w:t>la</w:t>
      </w:r>
      <w:r w:rsidRPr="003E743A">
        <w:rPr>
          <w:rFonts w:ascii="Times New Roman" w:hAnsi="Times New Roman"/>
          <w:noProof/>
          <w:color w:val="000000"/>
          <w:spacing w:val="-1"/>
          <w:sz w:val="24"/>
          <w:szCs w:val="24"/>
          <w:lang w:val="fr-FR"/>
        </w:rPr>
        <w:t xml:space="preserve">  </w:t>
      </w:r>
      <w:r w:rsidRPr="003E743A">
        <w:rPr>
          <w:rFonts w:ascii="Times New Roman" w:hAnsi="Times New Roman"/>
          <w:noProof/>
          <w:color w:val="000000"/>
          <w:spacing w:val="-3"/>
          <w:sz w:val="24"/>
          <w:szCs w:val="24"/>
          <w:lang w:val="fr-FR"/>
        </w:rPr>
        <w:t>qualité</w:t>
      </w:r>
      <w:r w:rsidRPr="003E743A">
        <w:rPr>
          <w:rFonts w:ascii="Times New Roman" w:hAnsi="Times New Roman"/>
          <w:noProof/>
          <w:color w:val="000000"/>
          <w:spacing w:val="-1"/>
          <w:sz w:val="24"/>
          <w:szCs w:val="24"/>
          <w:lang w:val="fr-FR"/>
        </w:rPr>
        <w:t> </w:t>
      </w:r>
      <w:r w:rsidRPr="003E743A">
        <w:rPr>
          <w:rFonts w:ascii="Times New Roman" w:hAnsi="Times New Roman"/>
          <w:noProof/>
          <w:color w:val="000000"/>
          <w:spacing w:val="-3"/>
          <w:sz w:val="24"/>
          <w:szCs w:val="24"/>
          <w:lang w:val="fr-FR"/>
        </w:rPr>
        <w:t xml:space="preserve">ou </w:t>
      </w:r>
      <w:r w:rsidRPr="003E743A">
        <w:rPr>
          <w:rFonts w:ascii="Times New Roman" w:hAnsi="Times New Roman"/>
          <w:noProof/>
          <w:color w:val="000000"/>
          <w:spacing w:val="-1"/>
          <w:sz w:val="24"/>
          <w:szCs w:val="24"/>
          <w:lang w:val="fr-FR"/>
        </w:rPr>
        <w:t> </w:t>
      </w:r>
      <w:r w:rsidRPr="003E743A">
        <w:rPr>
          <w:rFonts w:ascii="Times New Roman" w:hAnsi="Times New Roman"/>
          <w:noProof/>
          <w:color w:val="000000"/>
          <w:spacing w:val="-3"/>
          <w:sz w:val="24"/>
          <w:szCs w:val="24"/>
          <w:lang w:val="fr-FR"/>
        </w:rPr>
        <w:t>l’intégrité</w:t>
      </w:r>
      <w:r w:rsidRPr="003E743A">
        <w:rPr>
          <w:rFonts w:ascii="Times New Roman" w:hAnsi="Times New Roman"/>
          <w:noProof/>
          <w:color w:val="000000"/>
          <w:spacing w:val="-1"/>
          <w:sz w:val="24"/>
          <w:szCs w:val="24"/>
          <w:lang w:val="fr-FR"/>
        </w:rPr>
        <w:t xml:space="preserve">  </w:t>
      </w:r>
      <w:r w:rsidRPr="003E743A">
        <w:rPr>
          <w:rFonts w:ascii="Times New Roman" w:hAnsi="Times New Roman"/>
          <w:noProof/>
          <w:color w:val="000000"/>
          <w:spacing w:val="-3"/>
          <w:sz w:val="24"/>
          <w:szCs w:val="24"/>
          <w:lang w:val="fr-FR"/>
        </w:rPr>
        <w:t xml:space="preserve">des </w:t>
      </w:r>
      <w:r w:rsidRPr="003E743A">
        <w:rPr>
          <w:rFonts w:ascii="Times New Roman" w:hAnsi="Times New Roman"/>
          <w:noProof/>
          <w:color w:val="000000"/>
          <w:spacing w:val="-1"/>
          <w:sz w:val="24"/>
          <w:szCs w:val="24"/>
          <w:lang w:val="fr-FR"/>
        </w:rPr>
        <w:t> </w:t>
      </w:r>
      <w:r w:rsidRPr="003E743A">
        <w:rPr>
          <w:rFonts w:ascii="Times New Roman" w:hAnsi="Times New Roman"/>
          <w:noProof/>
          <w:color w:val="000000"/>
          <w:spacing w:val="-3"/>
          <w:sz w:val="24"/>
          <w:szCs w:val="24"/>
          <w:lang w:val="fr-FR"/>
        </w:rPr>
        <w:t>éléments</w:t>
      </w:r>
      <w:r w:rsidRPr="003E743A">
        <w:rPr>
          <w:rFonts w:ascii="Times New Roman" w:hAnsi="Times New Roman"/>
          <w:noProof/>
          <w:color w:val="000000"/>
          <w:spacing w:val="-1"/>
          <w:sz w:val="24"/>
          <w:szCs w:val="24"/>
          <w:lang w:val="fr-FR"/>
        </w:rPr>
        <w:t xml:space="preserve">  </w:t>
      </w:r>
      <w:r w:rsidRPr="003E743A">
        <w:rPr>
          <w:rFonts w:ascii="Times New Roman" w:hAnsi="Times New Roman"/>
          <w:noProof/>
          <w:color w:val="000000"/>
          <w:spacing w:val="-3"/>
          <w:sz w:val="24"/>
          <w:szCs w:val="24"/>
          <w:lang w:val="fr-FR"/>
        </w:rPr>
        <w:t>du</w:t>
      </w:r>
      <w:r w:rsidRPr="003E743A">
        <w:rPr>
          <w:rFonts w:ascii="Times New Roman" w:hAnsi="Times New Roman"/>
          <w:noProof/>
          <w:color w:val="000000"/>
          <w:spacing w:val="-1"/>
          <w:sz w:val="24"/>
          <w:szCs w:val="24"/>
          <w:lang w:val="fr-FR"/>
        </w:rPr>
        <w:t xml:space="preserve">   </w:t>
      </w:r>
      <w:r w:rsidRPr="003E743A">
        <w:rPr>
          <w:rFonts w:ascii="Times New Roman" w:hAnsi="Times New Roman"/>
          <w:noProof/>
          <w:color w:val="000000"/>
          <w:spacing w:val="-3"/>
          <w:sz w:val="24"/>
          <w:szCs w:val="24"/>
          <w:lang w:val="fr-FR"/>
        </w:rPr>
        <w:t>milieu</w:t>
      </w:r>
      <w:r w:rsidRPr="003E743A">
        <w:rPr>
          <w:rFonts w:ascii="Times New Roman" w:hAnsi="Times New Roman"/>
          <w:noProof/>
          <w:color w:val="000000"/>
          <w:spacing w:val="-1"/>
          <w:sz w:val="24"/>
          <w:szCs w:val="24"/>
          <w:lang w:val="fr-FR"/>
        </w:rPr>
        <w:t> </w:t>
      </w:r>
      <w:r w:rsidRPr="003E743A">
        <w:rPr>
          <w:rFonts w:ascii="Times New Roman" w:hAnsi="Times New Roman"/>
          <w:noProof/>
          <w:color w:val="000000"/>
          <w:spacing w:val="-3"/>
          <w:sz w:val="24"/>
          <w:szCs w:val="24"/>
          <w:lang w:val="fr-FR"/>
        </w:rPr>
        <w:t>récepteur.</w:t>
      </w:r>
      <w:r w:rsidRPr="003E743A">
        <w:rPr>
          <w:rFonts w:ascii="Times New Roman" w:hAnsi="Times New Roman"/>
          <w:noProof/>
          <w:color w:val="000000"/>
          <w:spacing w:val="-1"/>
          <w:sz w:val="24"/>
          <w:szCs w:val="24"/>
          <w:lang w:val="fr-FR"/>
        </w:rPr>
        <w:t> </w:t>
      </w:r>
      <w:r w:rsidRPr="003E743A">
        <w:rPr>
          <w:rFonts w:ascii="Times New Roman" w:hAnsi="Times New Roman"/>
          <w:noProof/>
          <w:color w:val="000000"/>
          <w:spacing w:val="-2"/>
          <w:sz w:val="24"/>
          <w:szCs w:val="24"/>
          <w:lang w:val="fr-FR"/>
        </w:rPr>
        <w:t>Il</w:t>
      </w:r>
      <w:r w:rsidRPr="003E743A">
        <w:rPr>
          <w:rFonts w:ascii="Times New Roman" w:hAnsi="Times New Roman"/>
          <w:noProof/>
          <w:color w:val="000000"/>
          <w:spacing w:val="-1"/>
          <w:sz w:val="24"/>
          <w:szCs w:val="24"/>
          <w:lang w:val="fr-FR"/>
        </w:rPr>
        <w:t> </w:t>
      </w:r>
      <w:r w:rsidRPr="003E743A">
        <w:rPr>
          <w:rFonts w:ascii="Times New Roman" w:hAnsi="Times New Roman"/>
          <w:noProof/>
          <w:color w:val="000000"/>
          <w:spacing w:val="-3"/>
          <w:sz w:val="24"/>
          <w:szCs w:val="24"/>
          <w:lang w:val="fr-FR"/>
        </w:rPr>
        <w:t>y</w:t>
      </w:r>
      <w:r w:rsidRPr="003E743A">
        <w:rPr>
          <w:rFonts w:ascii="Times New Roman" w:hAnsi="Times New Roman"/>
          <w:sz w:val="24"/>
          <w:szCs w:val="24"/>
          <w:lang w:val="fr-FR"/>
        </w:rPr>
        <w:t xml:space="preserve"> </w:t>
      </w:r>
      <w:r w:rsidRPr="003E743A">
        <w:rPr>
          <w:rFonts w:ascii="Times New Roman" w:hAnsi="Times New Roman"/>
          <w:noProof/>
          <w:color w:val="000000"/>
          <w:spacing w:val="-3"/>
          <w:sz w:val="24"/>
          <w:szCs w:val="24"/>
          <w:lang w:val="fr-FR"/>
        </w:rPr>
        <w:t>a dépassement</w:t>
      </w:r>
      <w:r w:rsidRPr="003E743A">
        <w:rPr>
          <w:rFonts w:ascii="Times New Roman" w:hAnsi="Times New Roman"/>
          <w:noProof/>
          <w:color w:val="000000"/>
          <w:spacing w:val="-4"/>
          <w:sz w:val="24"/>
          <w:szCs w:val="24"/>
          <w:lang w:val="fr-FR"/>
        </w:rPr>
        <w:t> des</w:t>
      </w:r>
      <w:r w:rsidRPr="003E743A">
        <w:rPr>
          <w:rFonts w:ascii="Times New Roman" w:hAnsi="Times New Roman"/>
          <w:noProof/>
          <w:color w:val="000000"/>
          <w:spacing w:val="-2"/>
          <w:sz w:val="24"/>
          <w:szCs w:val="24"/>
          <w:lang w:val="fr-FR"/>
        </w:rPr>
        <w:t> </w:t>
      </w:r>
      <w:r w:rsidRPr="003E743A">
        <w:rPr>
          <w:rFonts w:ascii="Times New Roman" w:hAnsi="Times New Roman"/>
          <w:noProof/>
          <w:color w:val="000000"/>
          <w:spacing w:val="-3"/>
          <w:sz w:val="24"/>
          <w:szCs w:val="24"/>
          <w:lang w:val="fr-FR"/>
        </w:rPr>
        <w:t>critères</w:t>
      </w:r>
      <w:r w:rsidRPr="003E743A">
        <w:rPr>
          <w:rFonts w:ascii="Times New Roman" w:hAnsi="Times New Roman"/>
          <w:noProof/>
          <w:color w:val="000000"/>
          <w:spacing w:val="-2"/>
          <w:sz w:val="24"/>
          <w:szCs w:val="24"/>
          <w:lang w:val="fr-FR"/>
        </w:rPr>
        <w:t> </w:t>
      </w:r>
      <w:r w:rsidRPr="003E743A">
        <w:rPr>
          <w:rFonts w:ascii="Times New Roman" w:hAnsi="Times New Roman"/>
          <w:noProof/>
          <w:color w:val="000000"/>
          <w:spacing w:val="-3"/>
          <w:sz w:val="24"/>
          <w:szCs w:val="24"/>
          <w:lang w:val="fr-FR"/>
        </w:rPr>
        <w:t>et</w:t>
      </w:r>
      <w:r w:rsidRPr="003E743A">
        <w:rPr>
          <w:rFonts w:ascii="Times New Roman" w:hAnsi="Times New Roman"/>
          <w:noProof/>
          <w:color w:val="000000"/>
          <w:spacing w:val="-4"/>
          <w:sz w:val="24"/>
          <w:szCs w:val="24"/>
          <w:lang w:val="fr-FR"/>
        </w:rPr>
        <w:t> normes</w:t>
      </w:r>
      <w:r w:rsidRPr="003E743A">
        <w:rPr>
          <w:rFonts w:ascii="Times New Roman" w:hAnsi="Times New Roman"/>
          <w:noProof/>
          <w:color w:val="000000"/>
          <w:spacing w:val="-2"/>
          <w:sz w:val="24"/>
          <w:szCs w:val="24"/>
          <w:lang w:val="fr-FR"/>
        </w:rPr>
        <w:t> </w:t>
      </w:r>
      <w:r w:rsidRPr="003E743A">
        <w:rPr>
          <w:rFonts w:ascii="Times New Roman" w:hAnsi="Times New Roman"/>
          <w:noProof/>
          <w:color w:val="000000"/>
          <w:spacing w:val="-3"/>
          <w:sz w:val="24"/>
          <w:szCs w:val="24"/>
          <w:lang w:val="fr-FR"/>
        </w:rPr>
        <w:t>applicables;</w:t>
      </w:r>
    </w:p>
    <w:p w:rsidR="007F3DC3" w:rsidRDefault="007F3DC3" w:rsidP="00FA3FAE">
      <w:pPr>
        <w:pStyle w:val="PargrafodaLista"/>
        <w:numPr>
          <w:ilvl w:val="0"/>
          <w:numId w:val="58"/>
        </w:numPr>
        <w:tabs>
          <w:tab w:val="left" w:pos="784"/>
        </w:tabs>
        <w:spacing w:after="0" w:line="271" w:lineRule="exact"/>
        <w:jc w:val="both"/>
        <w:rPr>
          <w:rFonts w:ascii="Times New Roman" w:hAnsi="Times New Roman"/>
          <w:noProof/>
          <w:color w:val="000000"/>
          <w:spacing w:val="-4"/>
          <w:sz w:val="24"/>
          <w:szCs w:val="24"/>
          <w:lang w:val="fr-FR"/>
        </w:rPr>
      </w:pPr>
      <w:r w:rsidRPr="003E743A">
        <w:rPr>
          <w:rFonts w:ascii="Times New Roman" w:hAnsi="Times New Roman"/>
          <w:b/>
          <w:noProof/>
          <w:color w:val="000000"/>
          <w:spacing w:val="-4"/>
          <w:sz w:val="24"/>
          <w:szCs w:val="24"/>
          <w:lang w:val="fr-FR"/>
        </w:rPr>
        <w:t>Faible</w:t>
      </w:r>
      <w:r w:rsidRPr="003E743A">
        <w:rPr>
          <w:rFonts w:ascii="Times New Roman" w:hAnsi="Times New Roman"/>
          <w:noProof/>
          <w:color w:val="000000"/>
          <w:spacing w:val="-4"/>
          <w:sz w:val="24"/>
          <w:szCs w:val="24"/>
          <w:lang w:val="fr-FR"/>
        </w:rPr>
        <w:t> :  le  projet  n’apporte   pas  de   modification   significative  de la qualité</w:t>
      </w:r>
    </w:p>
    <w:p w:rsidR="007F3DC3" w:rsidRPr="003E743A" w:rsidRDefault="007F3DC3" w:rsidP="007F3DC3">
      <w:pPr>
        <w:pStyle w:val="PargrafodaLista"/>
        <w:tabs>
          <w:tab w:val="left" w:pos="784"/>
        </w:tabs>
        <w:spacing w:after="0" w:line="271" w:lineRule="exact"/>
        <w:ind w:left="1495"/>
        <w:jc w:val="both"/>
        <w:rPr>
          <w:rFonts w:ascii="Times New Roman" w:hAnsi="Times New Roman"/>
          <w:noProof/>
          <w:color w:val="000000"/>
          <w:spacing w:val="-4"/>
          <w:sz w:val="24"/>
          <w:szCs w:val="24"/>
          <w:lang w:val="fr-FR"/>
        </w:rPr>
      </w:pPr>
      <w:r w:rsidRPr="003E743A">
        <w:rPr>
          <w:rFonts w:ascii="Times New Roman" w:hAnsi="Times New Roman"/>
          <w:noProof/>
          <w:color w:val="000000"/>
          <w:spacing w:val="-4"/>
          <w:sz w:val="24"/>
          <w:szCs w:val="24"/>
          <w:lang w:val="fr-FR"/>
        </w:rPr>
        <w:t> ou de l’intégritédes  éléments du milieu récepteur. Il y a respect des critères et normes applicables.</w:t>
      </w:r>
    </w:p>
    <w:p w:rsidR="007F3DC3" w:rsidRPr="003E743A" w:rsidRDefault="007F3DC3" w:rsidP="007F3DC3">
      <w:pPr>
        <w:spacing w:after="0" w:line="300" w:lineRule="exact"/>
        <w:ind w:left="64"/>
        <w:jc w:val="both"/>
        <w:rPr>
          <w:rFonts w:ascii="Times New Roman" w:eastAsia="Calibri" w:hAnsi="Times New Roman" w:cs="Times New Roman"/>
          <w:sz w:val="24"/>
          <w:szCs w:val="24"/>
        </w:rPr>
      </w:pPr>
      <w:r w:rsidRPr="003E743A">
        <w:rPr>
          <w:rFonts w:ascii="Times New Roman" w:eastAsia="Calibri" w:hAnsi="Times New Roman" w:cs="Times New Roman"/>
          <w:b/>
          <w:noProof/>
          <w:color w:val="000000"/>
          <w:spacing w:val="-3"/>
          <w:sz w:val="24"/>
          <w:szCs w:val="24"/>
          <w:u w:val="single"/>
        </w:rPr>
        <w:t>L’étendue</w:t>
      </w:r>
      <w:r w:rsidRPr="003E743A">
        <w:rPr>
          <w:rFonts w:ascii="Times New Roman" w:eastAsia="Calibri" w:hAnsi="Times New Roman" w:cs="Times New Roman"/>
          <w:b/>
          <w:noProof/>
          <w:color w:val="000000"/>
          <w:w w:val="202"/>
          <w:sz w:val="24"/>
          <w:szCs w:val="24"/>
          <w:u w:val="single"/>
        </w:rPr>
        <w:t> </w:t>
      </w:r>
      <w:r w:rsidRPr="003E743A">
        <w:rPr>
          <w:rFonts w:ascii="Times New Roman" w:eastAsia="Calibri" w:hAnsi="Times New Roman" w:cs="Times New Roman"/>
          <w:b/>
          <w:noProof/>
          <w:color w:val="000000"/>
          <w:spacing w:val="-3"/>
          <w:sz w:val="24"/>
          <w:szCs w:val="24"/>
          <w:u w:val="single"/>
        </w:rPr>
        <w:t>de</w:t>
      </w:r>
      <w:r w:rsidRPr="003E743A">
        <w:rPr>
          <w:rFonts w:ascii="Times New Roman" w:eastAsia="Calibri" w:hAnsi="Times New Roman" w:cs="Times New Roman"/>
          <w:b/>
          <w:noProof/>
          <w:color w:val="000000"/>
          <w:w w:val="197"/>
          <w:sz w:val="24"/>
          <w:szCs w:val="24"/>
          <w:u w:val="single"/>
        </w:rPr>
        <w:t> </w:t>
      </w:r>
      <w:r w:rsidRPr="003E743A">
        <w:rPr>
          <w:rFonts w:ascii="Times New Roman" w:eastAsia="Calibri" w:hAnsi="Times New Roman" w:cs="Times New Roman"/>
          <w:b/>
          <w:noProof/>
          <w:color w:val="000000"/>
          <w:spacing w:val="-3"/>
          <w:sz w:val="24"/>
          <w:szCs w:val="24"/>
          <w:u w:val="single"/>
        </w:rPr>
        <w:t>l’impact</w:t>
      </w:r>
      <w:r w:rsidRPr="003E743A">
        <w:rPr>
          <w:rFonts w:ascii="Times New Roman" w:eastAsia="Calibri" w:hAnsi="Times New Roman" w:cs="Times New Roman"/>
          <w:noProof/>
          <w:color w:val="000000"/>
          <w:w w:val="201"/>
          <w:sz w:val="24"/>
          <w:szCs w:val="24"/>
        </w:rPr>
        <w:t> </w:t>
      </w:r>
      <w:r w:rsidRPr="003E743A">
        <w:rPr>
          <w:rFonts w:ascii="Times New Roman" w:eastAsia="Calibri" w:hAnsi="Times New Roman" w:cs="Times New Roman"/>
          <w:noProof/>
          <w:color w:val="000000"/>
          <w:spacing w:val="-3"/>
          <w:sz w:val="24"/>
          <w:szCs w:val="24"/>
        </w:rPr>
        <w:t>appréhendé</w:t>
      </w:r>
      <w:r w:rsidR="00F6660B">
        <w:rPr>
          <w:rFonts w:ascii="Times New Roman" w:eastAsia="Calibri" w:hAnsi="Times New Roman" w:cs="Times New Roman"/>
          <w:noProof/>
          <w:color w:val="000000"/>
          <w:spacing w:val="-3"/>
          <w:sz w:val="24"/>
          <w:szCs w:val="24"/>
        </w:rPr>
        <w:t>e</w:t>
      </w:r>
      <w:r w:rsidRPr="003E743A">
        <w:rPr>
          <w:rFonts w:ascii="Times New Roman" w:eastAsia="Calibri" w:hAnsi="Times New Roman" w:cs="Times New Roman"/>
          <w:noProof/>
          <w:color w:val="000000"/>
          <w:w w:val="200"/>
          <w:sz w:val="24"/>
          <w:szCs w:val="24"/>
        </w:rPr>
        <w:t> </w:t>
      </w:r>
      <w:r w:rsidRPr="003E743A">
        <w:rPr>
          <w:rFonts w:ascii="Times New Roman" w:eastAsia="Calibri" w:hAnsi="Times New Roman" w:cs="Times New Roman"/>
          <w:noProof/>
          <w:color w:val="000000"/>
          <w:spacing w:val="-3"/>
          <w:sz w:val="24"/>
          <w:szCs w:val="24"/>
        </w:rPr>
        <w:t>rend</w:t>
      </w:r>
      <w:r w:rsidRPr="003E743A">
        <w:rPr>
          <w:rFonts w:ascii="Times New Roman" w:eastAsia="Calibri" w:hAnsi="Times New Roman" w:cs="Times New Roman"/>
          <w:noProof/>
          <w:color w:val="000000"/>
          <w:w w:val="196"/>
          <w:sz w:val="24"/>
          <w:szCs w:val="24"/>
        </w:rPr>
        <w:t> </w:t>
      </w:r>
      <w:r w:rsidRPr="003E743A">
        <w:rPr>
          <w:rFonts w:ascii="Times New Roman" w:eastAsia="Calibri" w:hAnsi="Times New Roman" w:cs="Times New Roman"/>
          <w:noProof/>
          <w:color w:val="000000"/>
          <w:spacing w:val="-3"/>
          <w:sz w:val="24"/>
          <w:szCs w:val="24"/>
        </w:rPr>
        <w:t>compte</w:t>
      </w:r>
      <w:r w:rsidRPr="003E743A">
        <w:rPr>
          <w:rFonts w:ascii="Times New Roman" w:eastAsia="Calibri" w:hAnsi="Times New Roman" w:cs="Times New Roman"/>
          <w:noProof/>
          <w:color w:val="000000"/>
          <w:w w:val="196"/>
          <w:sz w:val="24"/>
          <w:szCs w:val="24"/>
        </w:rPr>
        <w:t> </w:t>
      </w:r>
      <w:r w:rsidRPr="003E743A">
        <w:rPr>
          <w:rFonts w:ascii="Times New Roman" w:eastAsia="Calibri" w:hAnsi="Times New Roman" w:cs="Times New Roman"/>
          <w:noProof/>
          <w:color w:val="000000"/>
          <w:spacing w:val="-3"/>
          <w:sz w:val="24"/>
          <w:szCs w:val="24"/>
        </w:rPr>
        <w:t>de</w:t>
      </w:r>
      <w:r w:rsidRPr="003E743A">
        <w:rPr>
          <w:rFonts w:ascii="Times New Roman" w:eastAsia="Calibri" w:hAnsi="Times New Roman" w:cs="Times New Roman"/>
          <w:noProof/>
          <w:color w:val="000000"/>
          <w:w w:val="202"/>
          <w:sz w:val="24"/>
          <w:szCs w:val="24"/>
        </w:rPr>
        <w:t> </w:t>
      </w:r>
      <w:r w:rsidRPr="003E743A">
        <w:rPr>
          <w:rFonts w:ascii="Times New Roman" w:eastAsia="Calibri" w:hAnsi="Times New Roman" w:cs="Times New Roman"/>
          <w:noProof/>
          <w:color w:val="000000"/>
          <w:spacing w:val="-3"/>
          <w:sz w:val="24"/>
          <w:szCs w:val="24"/>
        </w:rPr>
        <w:t>l’ampleur</w:t>
      </w:r>
      <w:r w:rsidRPr="003E743A">
        <w:rPr>
          <w:rFonts w:ascii="Times New Roman" w:eastAsia="Calibri" w:hAnsi="Times New Roman" w:cs="Times New Roman"/>
          <w:noProof/>
          <w:color w:val="000000"/>
          <w:w w:val="196"/>
          <w:sz w:val="24"/>
          <w:szCs w:val="24"/>
        </w:rPr>
        <w:t> </w:t>
      </w:r>
      <w:r w:rsidRPr="003E743A">
        <w:rPr>
          <w:rFonts w:ascii="Times New Roman" w:eastAsia="Calibri" w:hAnsi="Times New Roman" w:cs="Times New Roman"/>
          <w:noProof/>
          <w:color w:val="000000"/>
          <w:spacing w:val="-3"/>
          <w:sz w:val="24"/>
          <w:szCs w:val="24"/>
        </w:rPr>
        <w:t>spatiale</w:t>
      </w:r>
      <w:r w:rsidRPr="003E743A">
        <w:rPr>
          <w:rFonts w:ascii="Times New Roman" w:eastAsia="Calibri" w:hAnsi="Times New Roman" w:cs="Times New Roman"/>
          <w:noProof/>
          <w:color w:val="000000"/>
          <w:w w:val="202"/>
          <w:sz w:val="24"/>
          <w:szCs w:val="24"/>
        </w:rPr>
        <w:t> </w:t>
      </w:r>
      <w:r w:rsidRPr="003E743A">
        <w:rPr>
          <w:rFonts w:ascii="Times New Roman" w:eastAsia="Calibri" w:hAnsi="Times New Roman" w:cs="Times New Roman"/>
          <w:noProof/>
          <w:color w:val="000000"/>
          <w:spacing w:val="-4"/>
          <w:sz w:val="24"/>
          <w:szCs w:val="24"/>
        </w:rPr>
        <w:t>des</w:t>
      </w:r>
      <w:r w:rsidRPr="003E743A">
        <w:rPr>
          <w:rFonts w:ascii="Times New Roman" w:eastAsia="Calibri" w:hAnsi="Times New Roman" w:cs="Times New Roman"/>
          <w:noProof/>
          <w:color w:val="000000"/>
          <w:w w:val="203"/>
          <w:sz w:val="24"/>
          <w:szCs w:val="24"/>
        </w:rPr>
        <w:t> </w:t>
      </w:r>
      <w:r w:rsidRPr="003E743A">
        <w:rPr>
          <w:rFonts w:ascii="Times New Roman" w:eastAsia="Calibri" w:hAnsi="Times New Roman" w:cs="Times New Roman"/>
          <w:noProof/>
          <w:color w:val="000000"/>
          <w:spacing w:val="-3"/>
          <w:sz w:val="24"/>
          <w:szCs w:val="24"/>
        </w:rPr>
        <w:t xml:space="preserve">répercussion </w:t>
      </w:r>
      <w:r w:rsidRPr="003E743A">
        <w:rPr>
          <w:rFonts w:ascii="Times New Roman" w:eastAsia="Calibri" w:hAnsi="Times New Roman" w:cs="Times New Roman"/>
          <w:noProof/>
          <w:color w:val="000000"/>
          <w:spacing w:val="-5"/>
          <w:sz w:val="24"/>
          <w:szCs w:val="24"/>
        </w:rPr>
        <w:t>du</w:t>
      </w:r>
      <w:r w:rsidRPr="003E743A">
        <w:rPr>
          <w:rFonts w:ascii="Times New Roman" w:eastAsia="Calibri" w:hAnsi="Times New Roman" w:cs="Times New Roman"/>
          <w:sz w:val="24"/>
          <w:szCs w:val="24"/>
        </w:rPr>
        <w:t xml:space="preserve"> </w:t>
      </w:r>
      <w:r w:rsidRPr="003E743A">
        <w:rPr>
          <w:rFonts w:ascii="Times New Roman" w:eastAsia="Calibri" w:hAnsi="Times New Roman" w:cs="Times New Roman"/>
          <w:noProof/>
          <w:color w:val="000000"/>
          <w:spacing w:val="-3"/>
          <w:sz w:val="24"/>
          <w:szCs w:val="24"/>
        </w:rPr>
        <w:t>projet. Trois</w:t>
      </w:r>
      <w:r w:rsidRPr="003E743A">
        <w:rPr>
          <w:rFonts w:ascii="Times New Roman" w:eastAsia="Calibri" w:hAnsi="Times New Roman" w:cs="Times New Roman"/>
          <w:noProof/>
          <w:color w:val="000000"/>
          <w:spacing w:val="-2"/>
          <w:sz w:val="24"/>
          <w:szCs w:val="24"/>
        </w:rPr>
        <w:t> </w:t>
      </w:r>
      <w:r w:rsidRPr="003E743A">
        <w:rPr>
          <w:rFonts w:ascii="Times New Roman" w:eastAsia="Calibri" w:hAnsi="Times New Roman" w:cs="Times New Roman"/>
          <w:noProof/>
          <w:color w:val="000000"/>
          <w:spacing w:val="-3"/>
          <w:sz w:val="24"/>
          <w:szCs w:val="24"/>
        </w:rPr>
        <w:t>niveaux</w:t>
      </w:r>
      <w:r w:rsidRPr="003E743A">
        <w:rPr>
          <w:rFonts w:ascii="Times New Roman" w:eastAsia="Calibri" w:hAnsi="Times New Roman" w:cs="Times New Roman"/>
          <w:noProof/>
          <w:color w:val="000000"/>
          <w:spacing w:val="-7"/>
          <w:sz w:val="24"/>
          <w:szCs w:val="24"/>
        </w:rPr>
        <w:t> </w:t>
      </w:r>
      <w:r w:rsidRPr="003E743A">
        <w:rPr>
          <w:rFonts w:ascii="Times New Roman" w:eastAsia="Calibri" w:hAnsi="Times New Roman" w:cs="Times New Roman"/>
          <w:noProof/>
          <w:color w:val="000000"/>
          <w:spacing w:val="-3"/>
          <w:sz w:val="24"/>
          <w:szCs w:val="24"/>
        </w:rPr>
        <w:t>sont</w:t>
      </w:r>
      <w:r w:rsidRPr="003E743A">
        <w:rPr>
          <w:rFonts w:ascii="Times New Roman" w:eastAsia="Calibri" w:hAnsi="Times New Roman" w:cs="Times New Roman"/>
          <w:noProof/>
          <w:color w:val="000000"/>
          <w:spacing w:val="-6"/>
          <w:sz w:val="24"/>
          <w:szCs w:val="24"/>
        </w:rPr>
        <w:t> </w:t>
      </w:r>
      <w:r w:rsidRPr="003E743A">
        <w:rPr>
          <w:rFonts w:ascii="Times New Roman" w:eastAsia="Calibri" w:hAnsi="Times New Roman" w:cs="Times New Roman"/>
          <w:noProof/>
          <w:color w:val="000000"/>
          <w:spacing w:val="-3"/>
          <w:sz w:val="24"/>
          <w:szCs w:val="24"/>
        </w:rPr>
        <w:t>utilisés</w:t>
      </w:r>
      <w:r w:rsidRPr="003E743A">
        <w:rPr>
          <w:rFonts w:ascii="Times New Roman" w:eastAsia="Calibri" w:hAnsi="Times New Roman" w:cs="Times New Roman"/>
          <w:noProof/>
          <w:color w:val="000000"/>
          <w:spacing w:val="-2"/>
          <w:sz w:val="24"/>
          <w:szCs w:val="24"/>
        </w:rPr>
        <w:t> :</w:t>
      </w:r>
    </w:p>
    <w:p w:rsidR="007F3DC3" w:rsidRPr="003E743A" w:rsidRDefault="007F3DC3" w:rsidP="00FA3FAE">
      <w:pPr>
        <w:numPr>
          <w:ilvl w:val="1"/>
          <w:numId w:val="54"/>
        </w:numPr>
        <w:tabs>
          <w:tab w:val="left" w:pos="784"/>
        </w:tabs>
        <w:spacing w:after="0" w:line="348" w:lineRule="exact"/>
        <w:contextualSpacing/>
        <w:jc w:val="both"/>
        <w:rPr>
          <w:rFonts w:ascii="Times New Roman" w:eastAsia="Calibri" w:hAnsi="Times New Roman" w:cs="Times New Roman"/>
          <w:sz w:val="24"/>
          <w:szCs w:val="24"/>
        </w:rPr>
      </w:pPr>
      <w:r w:rsidRPr="003E743A">
        <w:rPr>
          <w:rFonts w:ascii="Times New Roman" w:eastAsia="Calibri" w:hAnsi="Times New Roman" w:cs="Times New Roman"/>
          <w:b/>
          <w:noProof/>
          <w:color w:val="000000"/>
          <w:spacing w:val="-3"/>
          <w:sz w:val="24"/>
          <w:szCs w:val="24"/>
        </w:rPr>
        <w:t>Régionale</w:t>
      </w:r>
      <w:r w:rsidRPr="003E743A">
        <w:rPr>
          <w:rFonts w:ascii="Times New Roman" w:eastAsia="Calibri" w:hAnsi="Times New Roman" w:cs="Times New Roman"/>
          <w:noProof/>
          <w:color w:val="000000"/>
          <w:spacing w:val="19"/>
          <w:sz w:val="24"/>
          <w:szCs w:val="24"/>
        </w:rPr>
        <w:t> </w:t>
      </w:r>
      <w:r w:rsidRPr="003E743A">
        <w:rPr>
          <w:rFonts w:ascii="Times New Roman" w:eastAsia="Calibri" w:hAnsi="Times New Roman" w:cs="Times New Roman"/>
          <w:noProof/>
          <w:color w:val="000000"/>
          <w:spacing w:val="-2"/>
          <w:sz w:val="24"/>
          <w:szCs w:val="24"/>
        </w:rPr>
        <w:t>:</w:t>
      </w:r>
      <w:r w:rsidRPr="003E743A">
        <w:rPr>
          <w:rFonts w:ascii="Times New Roman" w:eastAsia="Calibri" w:hAnsi="Times New Roman" w:cs="Times New Roman"/>
          <w:noProof/>
          <w:color w:val="000000"/>
          <w:spacing w:val="19"/>
          <w:sz w:val="24"/>
          <w:szCs w:val="24"/>
        </w:rPr>
        <w:t> </w:t>
      </w:r>
      <w:r w:rsidRPr="003E743A">
        <w:rPr>
          <w:rFonts w:ascii="Times New Roman" w:eastAsia="Calibri" w:hAnsi="Times New Roman" w:cs="Times New Roman"/>
          <w:noProof/>
          <w:color w:val="000000"/>
          <w:spacing w:val="-3"/>
          <w:sz w:val="24"/>
          <w:szCs w:val="24"/>
        </w:rPr>
        <w:t>l’impact</w:t>
      </w:r>
      <w:r w:rsidRPr="003E743A">
        <w:rPr>
          <w:rFonts w:ascii="Times New Roman" w:eastAsia="Calibri" w:hAnsi="Times New Roman" w:cs="Times New Roman"/>
          <w:noProof/>
          <w:color w:val="000000"/>
          <w:spacing w:val="19"/>
          <w:sz w:val="24"/>
          <w:szCs w:val="24"/>
        </w:rPr>
        <w:t> </w:t>
      </w:r>
      <w:r w:rsidRPr="003E743A">
        <w:rPr>
          <w:rFonts w:ascii="Times New Roman" w:eastAsia="Calibri" w:hAnsi="Times New Roman" w:cs="Times New Roman"/>
          <w:noProof/>
          <w:color w:val="000000"/>
          <w:spacing w:val="-3"/>
          <w:sz w:val="24"/>
          <w:szCs w:val="24"/>
        </w:rPr>
        <w:t>est</w:t>
      </w:r>
      <w:r w:rsidRPr="003E743A">
        <w:rPr>
          <w:rFonts w:ascii="Times New Roman" w:eastAsia="Calibri" w:hAnsi="Times New Roman" w:cs="Times New Roman"/>
          <w:noProof/>
          <w:color w:val="000000"/>
          <w:spacing w:val="19"/>
          <w:sz w:val="24"/>
          <w:szCs w:val="24"/>
        </w:rPr>
        <w:t> </w:t>
      </w:r>
      <w:r w:rsidRPr="003E743A">
        <w:rPr>
          <w:rFonts w:ascii="Times New Roman" w:eastAsia="Calibri" w:hAnsi="Times New Roman" w:cs="Times New Roman"/>
          <w:noProof/>
          <w:color w:val="000000"/>
          <w:spacing w:val="-3"/>
          <w:sz w:val="24"/>
          <w:szCs w:val="24"/>
        </w:rPr>
        <w:t>ressenti</w:t>
      </w:r>
      <w:r w:rsidRPr="003E743A">
        <w:rPr>
          <w:rFonts w:ascii="Times New Roman" w:eastAsia="Calibri" w:hAnsi="Times New Roman" w:cs="Times New Roman"/>
          <w:noProof/>
          <w:color w:val="000000"/>
          <w:spacing w:val="18"/>
          <w:sz w:val="24"/>
          <w:szCs w:val="24"/>
        </w:rPr>
        <w:t> </w:t>
      </w:r>
      <w:r w:rsidRPr="003E743A">
        <w:rPr>
          <w:rFonts w:ascii="Times New Roman" w:eastAsia="Calibri" w:hAnsi="Times New Roman" w:cs="Times New Roman"/>
          <w:noProof/>
          <w:color w:val="000000"/>
          <w:spacing w:val="-3"/>
          <w:sz w:val="24"/>
          <w:szCs w:val="24"/>
        </w:rPr>
        <w:t>sur</w:t>
      </w:r>
      <w:r w:rsidRPr="003E743A">
        <w:rPr>
          <w:rFonts w:ascii="Times New Roman" w:eastAsia="Calibri" w:hAnsi="Times New Roman" w:cs="Times New Roman"/>
          <w:noProof/>
          <w:color w:val="000000"/>
          <w:spacing w:val="19"/>
          <w:sz w:val="24"/>
          <w:szCs w:val="24"/>
        </w:rPr>
        <w:t> </w:t>
      </w:r>
      <w:r w:rsidRPr="003E743A">
        <w:rPr>
          <w:rFonts w:ascii="Times New Roman" w:eastAsia="Calibri" w:hAnsi="Times New Roman" w:cs="Times New Roman"/>
          <w:noProof/>
          <w:color w:val="000000"/>
          <w:spacing w:val="-3"/>
          <w:sz w:val="24"/>
          <w:szCs w:val="24"/>
        </w:rPr>
        <w:t>l’ensemble</w:t>
      </w:r>
      <w:r w:rsidRPr="003E743A">
        <w:rPr>
          <w:rFonts w:ascii="Times New Roman" w:eastAsia="Calibri" w:hAnsi="Times New Roman" w:cs="Times New Roman"/>
          <w:noProof/>
          <w:color w:val="000000"/>
          <w:spacing w:val="20"/>
          <w:sz w:val="24"/>
          <w:szCs w:val="24"/>
        </w:rPr>
        <w:t> </w:t>
      </w:r>
      <w:r w:rsidRPr="003E743A">
        <w:rPr>
          <w:rFonts w:ascii="Times New Roman" w:eastAsia="Calibri" w:hAnsi="Times New Roman" w:cs="Times New Roman"/>
          <w:noProof/>
          <w:color w:val="000000"/>
          <w:spacing w:val="-3"/>
          <w:sz w:val="24"/>
          <w:szCs w:val="24"/>
        </w:rPr>
        <w:t>de</w:t>
      </w:r>
      <w:r w:rsidRPr="003E743A">
        <w:rPr>
          <w:rFonts w:ascii="Times New Roman" w:eastAsia="Calibri" w:hAnsi="Times New Roman" w:cs="Times New Roman"/>
          <w:noProof/>
          <w:color w:val="000000"/>
          <w:spacing w:val="17"/>
          <w:sz w:val="24"/>
          <w:szCs w:val="24"/>
        </w:rPr>
        <w:t> </w:t>
      </w:r>
      <w:r w:rsidRPr="003E743A">
        <w:rPr>
          <w:rFonts w:ascii="Times New Roman" w:eastAsia="Calibri" w:hAnsi="Times New Roman" w:cs="Times New Roman"/>
          <w:noProof/>
          <w:color w:val="000000"/>
          <w:spacing w:val="-2"/>
          <w:sz w:val="24"/>
          <w:szCs w:val="24"/>
        </w:rPr>
        <w:t>la</w:t>
      </w:r>
      <w:r w:rsidRPr="003E743A">
        <w:rPr>
          <w:rFonts w:ascii="Times New Roman" w:eastAsia="Calibri" w:hAnsi="Times New Roman" w:cs="Times New Roman"/>
          <w:noProof/>
          <w:color w:val="000000"/>
          <w:spacing w:val="20"/>
          <w:sz w:val="24"/>
          <w:szCs w:val="24"/>
        </w:rPr>
        <w:t> </w:t>
      </w:r>
      <w:r w:rsidRPr="003E743A">
        <w:rPr>
          <w:rFonts w:ascii="Times New Roman" w:eastAsia="Calibri" w:hAnsi="Times New Roman" w:cs="Times New Roman"/>
          <w:noProof/>
          <w:color w:val="000000"/>
          <w:spacing w:val="-3"/>
          <w:sz w:val="24"/>
          <w:szCs w:val="24"/>
        </w:rPr>
        <w:t>zone</w:t>
      </w:r>
      <w:r w:rsidRPr="003E743A">
        <w:rPr>
          <w:rFonts w:ascii="Times New Roman" w:eastAsia="Calibri" w:hAnsi="Times New Roman" w:cs="Times New Roman"/>
          <w:noProof/>
          <w:color w:val="000000"/>
          <w:spacing w:val="19"/>
          <w:sz w:val="24"/>
          <w:szCs w:val="24"/>
        </w:rPr>
        <w:t> </w:t>
      </w:r>
      <w:r w:rsidRPr="003E743A">
        <w:rPr>
          <w:rFonts w:ascii="Times New Roman" w:eastAsia="Calibri" w:hAnsi="Times New Roman" w:cs="Times New Roman"/>
          <w:noProof/>
          <w:color w:val="000000"/>
          <w:spacing w:val="-3"/>
          <w:sz w:val="24"/>
          <w:szCs w:val="24"/>
        </w:rPr>
        <w:t>d’étude</w:t>
      </w:r>
      <w:r w:rsidRPr="003E743A">
        <w:rPr>
          <w:rFonts w:ascii="Times New Roman" w:eastAsia="Calibri" w:hAnsi="Times New Roman" w:cs="Times New Roman"/>
          <w:noProof/>
          <w:color w:val="000000"/>
          <w:spacing w:val="19"/>
          <w:sz w:val="24"/>
          <w:szCs w:val="24"/>
        </w:rPr>
        <w:t> </w:t>
      </w:r>
      <w:r w:rsidRPr="003E743A">
        <w:rPr>
          <w:rFonts w:ascii="Times New Roman" w:eastAsia="Calibri" w:hAnsi="Times New Roman" w:cs="Times New Roman"/>
          <w:noProof/>
          <w:color w:val="000000"/>
          <w:spacing w:val="-4"/>
          <w:sz w:val="24"/>
          <w:szCs w:val="24"/>
        </w:rPr>
        <w:t>ou</w:t>
      </w:r>
      <w:r w:rsidRPr="003E743A">
        <w:rPr>
          <w:rFonts w:ascii="Times New Roman" w:eastAsia="Calibri" w:hAnsi="Times New Roman" w:cs="Times New Roman"/>
          <w:noProof/>
          <w:color w:val="000000"/>
          <w:spacing w:val="20"/>
          <w:sz w:val="24"/>
          <w:szCs w:val="24"/>
        </w:rPr>
        <w:t> </w:t>
      </w:r>
      <w:r w:rsidRPr="003E743A">
        <w:rPr>
          <w:rFonts w:ascii="Times New Roman" w:eastAsia="Calibri" w:hAnsi="Times New Roman" w:cs="Times New Roman"/>
          <w:noProof/>
          <w:color w:val="000000"/>
          <w:spacing w:val="-3"/>
          <w:sz w:val="24"/>
          <w:szCs w:val="24"/>
        </w:rPr>
        <w:t>de</w:t>
      </w:r>
      <w:r w:rsidRPr="003E743A">
        <w:rPr>
          <w:rFonts w:ascii="Times New Roman" w:eastAsia="Calibri" w:hAnsi="Times New Roman" w:cs="Times New Roman"/>
          <w:noProof/>
          <w:color w:val="000000"/>
          <w:spacing w:val="17"/>
          <w:sz w:val="24"/>
          <w:szCs w:val="24"/>
        </w:rPr>
        <w:t> </w:t>
      </w:r>
      <w:r w:rsidRPr="003E743A">
        <w:rPr>
          <w:rFonts w:ascii="Times New Roman" w:eastAsia="Calibri" w:hAnsi="Times New Roman" w:cs="Times New Roman"/>
          <w:noProof/>
          <w:color w:val="000000"/>
          <w:spacing w:val="-2"/>
          <w:sz w:val="24"/>
          <w:szCs w:val="24"/>
        </w:rPr>
        <w:t>sa</w:t>
      </w:r>
      <w:r w:rsidRPr="003E743A">
        <w:rPr>
          <w:rFonts w:ascii="Times New Roman" w:eastAsia="Calibri" w:hAnsi="Times New Roman" w:cs="Times New Roman"/>
          <w:noProof/>
          <w:color w:val="000000"/>
          <w:spacing w:val="17"/>
          <w:sz w:val="24"/>
          <w:szCs w:val="24"/>
        </w:rPr>
        <w:t> </w:t>
      </w:r>
      <w:r w:rsidRPr="003E743A">
        <w:rPr>
          <w:rFonts w:ascii="Times New Roman" w:eastAsia="Calibri" w:hAnsi="Times New Roman" w:cs="Times New Roman"/>
          <w:noProof/>
          <w:color w:val="000000"/>
          <w:spacing w:val="-3"/>
          <w:sz w:val="24"/>
          <w:szCs w:val="24"/>
        </w:rPr>
        <w:t>périphérie.</w:t>
      </w:r>
      <w:r w:rsidRPr="003E743A">
        <w:rPr>
          <w:rFonts w:ascii="Times New Roman" w:eastAsia="Calibri" w:hAnsi="Times New Roman" w:cs="Times New Roman"/>
          <w:sz w:val="24"/>
          <w:szCs w:val="24"/>
        </w:rPr>
        <w:t xml:space="preserve"> </w:t>
      </w:r>
      <w:r w:rsidRPr="003E743A">
        <w:rPr>
          <w:rFonts w:ascii="Times New Roman" w:eastAsia="Calibri" w:hAnsi="Times New Roman" w:cs="Times New Roman"/>
          <w:noProof/>
          <w:color w:val="000000"/>
          <w:spacing w:val="-3"/>
          <w:sz w:val="24"/>
          <w:szCs w:val="24"/>
        </w:rPr>
        <w:t>Cela correspond</w:t>
      </w:r>
      <w:r w:rsidRPr="003E743A">
        <w:rPr>
          <w:rFonts w:ascii="Times New Roman" w:eastAsia="Calibri" w:hAnsi="Times New Roman" w:cs="Times New Roman"/>
          <w:noProof/>
          <w:color w:val="000000"/>
          <w:spacing w:val="-4"/>
          <w:sz w:val="24"/>
          <w:szCs w:val="24"/>
        </w:rPr>
        <w:t> aux </w:t>
      </w:r>
      <w:r w:rsidRPr="003E743A">
        <w:rPr>
          <w:rFonts w:ascii="Times New Roman" w:eastAsia="Calibri" w:hAnsi="Times New Roman" w:cs="Times New Roman"/>
          <w:noProof/>
          <w:color w:val="000000"/>
          <w:spacing w:val="-3"/>
          <w:sz w:val="24"/>
          <w:szCs w:val="24"/>
        </w:rPr>
        <w:t>limites</w:t>
      </w:r>
      <w:r w:rsidRPr="003E743A">
        <w:rPr>
          <w:rFonts w:ascii="Times New Roman" w:eastAsia="Calibri" w:hAnsi="Times New Roman" w:cs="Times New Roman"/>
          <w:noProof/>
          <w:color w:val="000000"/>
          <w:spacing w:val="-2"/>
          <w:sz w:val="24"/>
          <w:szCs w:val="24"/>
        </w:rPr>
        <w:t> </w:t>
      </w:r>
      <w:r w:rsidRPr="003E743A">
        <w:rPr>
          <w:rFonts w:ascii="Times New Roman" w:eastAsia="Calibri" w:hAnsi="Times New Roman" w:cs="Times New Roman"/>
          <w:noProof/>
          <w:color w:val="000000"/>
          <w:spacing w:val="-3"/>
          <w:sz w:val="24"/>
          <w:szCs w:val="24"/>
        </w:rPr>
        <w:t>de </w:t>
      </w:r>
      <w:r w:rsidRPr="003E743A">
        <w:rPr>
          <w:rFonts w:ascii="Times New Roman" w:eastAsia="Calibri" w:hAnsi="Times New Roman" w:cs="Times New Roman"/>
          <w:noProof/>
          <w:color w:val="000000"/>
          <w:spacing w:val="-2"/>
          <w:sz w:val="24"/>
          <w:szCs w:val="24"/>
        </w:rPr>
        <w:t>la</w:t>
      </w:r>
      <w:r w:rsidRPr="003E743A">
        <w:rPr>
          <w:rFonts w:ascii="Times New Roman" w:eastAsia="Calibri" w:hAnsi="Times New Roman" w:cs="Times New Roman"/>
          <w:noProof/>
          <w:color w:val="000000"/>
          <w:spacing w:val="-6"/>
          <w:sz w:val="24"/>
          <w:szCs w:val="24"/>
        </w:rPr>
        <w:t> </w:t>
      </w:r>
      <w:r w:rsidRPr="003E743A">
        <w:rPr>
          <w:rFonts w:ascii="Times New Roman" w:eastAsia="Calibri" w:hAnsi="Times New Roman" w:cs="Times New Roman"/>
          <w:noProof/>
          <w:color w:val="000000"/>
          <w:spacing w:val="-3"/>
          <w:sz w:val="24"/>
          <w:szCs w:val="24"/>
        </w:rPr>
        <w:t>collectivité locale;</w:t>
      </w:r>
    </w:p>
    <w:p w:rsidR="007F3DC3" w:rsidRPr="003E743A" w:rsidRDefault="007F3DC3" w:rsidP="00FA3FAE">
      <w:pPr>
        <w:numPr>
          <w:ilvl w:val="1"/>
          <w:numId w:val="54"/>
        </w:numPr>
        <w:tabs>
          <w:tab w:val="left" w:pos="784"/>
        </w:tabs>
        <w:spacing w:after="0" w:line="269" w:lineRule="exact"/>
        <w:contextualSpacing/>
        <w:jc w:val="both"/>
        <w:rPr>
          <w:rFonts w:ascii="Times New Roman" w:eastAsia="Calibri" w:hAnsi="Times New Roman" w:cs="Times New Roman"/>
          <w:sz w:val="24"/>
          <w:szCs w:val="24"/>
        </w:rPr>
      </w:pPr>
      <w:r w:rsidRPr="003E743A">
        <w:rPr>
          <w:rFonts w:ascii="Times New Roman" w:eastAsia="Calibri" w:hAnsi="Times New Roman" w:cs="Times New Roman"/>
          <w:b/>
          <w:noProof/>
          <w:color w:val="000000"/>
          <w:spacing w:val="-3"/>
          <w:sz w:val="24"/>
          <w:szCs w:val="24"/>
        </w:rPr>
        <w:t>Locale</w:t>
      </w:r>
      <w:r w:rsidRPr="003E743A">
        <w:rPr>
          <w:rFonts w:ascii="Times New Roman" w:eastAsia="Calibri" w:hAnsi="Times New Roman" w:cs="Times New Roman"/>
          <w:noProof/>
          <w:color w:val="000000"/>
          <w:spacing w:val="-3"/>
          <w:sz w:val="24"/>
          <w:szCs w:val="24"/>
        </w:rPr>
        <w:t> </w:t>
      </w:r>
      <w:r w:rsidRPr="003E743A">
        <w:rPr>
          <w:rFonts w:ascii="Times New Roman" w:eastAsia="Calibri" w:hAnsi="Times New Roman" w:cs="Times New Roman"/>
          <w:noProof/>
          <w:color w:val="000000"/>
          <w:spacing w:val="-2"/>
          <w:sz w:val="24"/>
          <w:szCs w:val="24"/>
        </w:rPr>
        <w:t>:</w:t>
      </w:r>
      <w:r w:rsidRPr="003E743A">
        <w:rPr>
          <w:rFonts w:ascii="Times New Roman" w:eastAsia="Calibri" w:hAnsi="Times New Roman" w:cs="Times New Roman"/>
          <w:noProof/>
          <w:color w:val="000000"/>
          <w:spacing w:val="-4"/>
          <w:sz w:val="24"/>
          <w:szCs w:val="24"/>
        </w:rPr>
        <w:t xml:space="preserve">  </w:t>
      </w:r>
      <w:r w:rsidRPr="003E743A">
        <w:rPr>
          <w:rFonts w:ascii="Times New Roman" w:eastAsia="Calibri" w:hAnsi="Times New Roman" w:cs="Times New Roman"/>
          <w:noProof/>
          <w:color w:val="000000"/>
          <w:spacing w:val="-3"/>
          <w:sz w:val="24"/>
          <w:szCs w:val="24"/>
        </w:rPr>
        <w:t>l’impact </w:t>
      </w:r>
      <w:r w:rsidRPr="003E743A">
        <w:rPr>
          <w:rFonts w:ascii="Times New Roman" w:eastAsia="Calibri" w:hAnsi="Times New Roman" w:cs="Times New Roman"/>
          <w:noProof/>
          <w:color w:val="000000"/>
          <w:spacing w:val="-2"/>
          <w:sz w:val="24"/>
          <w:szCs w:val="24"/>
        </w:rPr>
        <w:t>est</w:t>
      </w:r>
      <w:r w:rsidRPr="003E743A">
        <w:rPr>
          <w:rFonts w:ascii="Times New Roman" w:eastAsia="Calibri" w:hAnsi="Times New Roman" w:cs="Times New Roman"/>
          <w:noProof/>
          <w:color w:val="000000"/>
          <w:spacing w:val="-4"/>
          <w:sz w:val="24"/>
          <w:szCs w:val="24"/>
        </w:rPr>
        <w:t> </w:t>
      </w:r>
      <w:r w:rsidRPr="003E743A">
        <w:rPr>
          <w:rFonts w:ascii="Times New Roman" w:eastAsia="Calibri" w:hAnsi="Times New Roman" w:cs="Times New Roman"/>
          <w:noProof/>
          <w:color w:val="000000"/>
          <w:spacing w:val="-3"/>
          <w:sz w:val="24"/>
          <w:szCs w:val="24"/>
        </w:rPr>
        <w:t>ressenti</w:t>
      </w:r>
      <w:r w:rsidRPr="003E743A">
        <w:rPr>
          <w:rFonts w:ascii="Times New Roman" w:eastAsia="Calibri" w:hAnsi="Times New Roman" w:cs="Times New Roman"/>
          <w:noProof/>
          <w:color w:val="000000"/>
          <w:spacing w:val="-2"/>
          <w:sz w:val="24"/>
          <w:szCs w:val="24"/>
        </w:rPr>
        <w:t> </w:t>
      </w:r>
      <w:r w:rsidRPr="003E743A">
        <w:rPr>
          <w:rFonts w:ascii="Times New Roman" w:eastAsia="Calibri" w:hAnsi="Times New Roman" w:cs="Times New Roman"/>
          <w:noProof/>
          <w:color w:val="000000"/>
          <w:spacing w:val="-3"/>
          <w:sz w:val="24"/>
          <w:szCs w:val="24"/>
        </w:rPr>
        <w:t>dans un</w:t>
      </w:r>
      <w:r w:rsidRPr="003E743A">
        <w:rPr>
          <w:rFonts w:ascii="Times New Roman" w:eastAsia="Calibri" w:hAnsi="Times New Roman" w:cs="Times New Roman"/>
          <w:noProof/>
          <w:color w:val="000000"/>
          <w:spacing w:val="-4"/>
          <w:sz w:val="24"/>
          <w:szCs w:val="24"/>
        </w:rPr>
        <w:t> </w:t>
      </w:r>
      <w:r w:rsidRPr="003E743A">
        <w:rPr>
          <w:rFonts w:ascii="Times New Roman" w:eastAsia="Calibri" w:hAnsi="Times New Roman" w:cs="Times New Roman"/>
          <w:noProof/>
          <w:color w:val="000000"/>
          <w:spacing w:val="-3"/>
          <w:sz w:val="24"/>
          <w:szCs w:val="24"/>
        </w:rPr>
        <w:t>rayon</w:t>
      </w:r>
      <w:r w:rsidRPr="003E743A">
        <w:rPr>
          <w:rFonts w:ascii="Times New Roman" w:eastAsia="Calibri" w:hAnsi="Times New Roman" w:cs="Times New Roman"/>
          <w:noProof/>
          <w:color w:val="000000"/>
          <w:spacing w:val="-4"/>
          <w:sz w:val="24"/>
          <w:szCs w:val="24"/>
        </w:rPr>
        <w:t> </w:t>
      </w:r>
      <w:r w:rsidRPr="003E743A">
        <w:rPr>
          <w:rFonts w:ascii="Times New Roman" w:eastAsia="Calibri" w:hAnsi="Times New Roman" w:cs="Times New Roman"/>
          <w:noProof/>
          <w:color w:val="000000"/>
          <w:spacing w:val="-3"/>
          <w:sz w:val="24"/>
          <w:szCs w:val="24"/>
        </w:rPr>
        <w:t>de </w:t>
      </w:r>
      <w:r w:rsidRPr="003E743A">
        <w:rPr>
          <w:rFonts w:ascii="Times New Roman" w:eastAsia="Calibri" w:hAnsi="Times New Roman" w:cs="Times New Roman"/>
          <w:noProof/>
          <w:color w:val="000000"/>
          <w:spacing w:val="-4"/>
          <w:sz w:val="24"/>
          <w:szCs w:val="24"/>
        </w:rPr>
        <w:t>500</w:t>
      </w:r>
      <w:r w:rsidRPr="003E743A">
        <w:rPr>
          <w:rFonts w:ascii="Times New Roman" w:eastAsia="Calibri" w:hAnsi="Times New Roman" w:cs="Times New Roman"/>
          <w:noProof/>
          <w:color w:val="000000"/>
          <w:spacing w:val="-6"/>
          <w:sz w:val="24"/>
          <w:szCs w:val="24"/>
        </w:rPr>
        <w:t> </w:t>
      </w:r>
      <w:r w:rsidRPr="003E743A">
        <w:rPr>
          <w:rFonts w:ascii="Times New Roman" w:eastAsia="Calibri" w:hAnsi="Times New Roman" w:cs="Times New Roman"/>
          <w:noProof/>
          <w:color w:val="000000"/>
          <w:spacing w:val="-3"/>
          <w:sz w:val="24"/>
          <w:szCs w:val="24"/>
        </w:rPr>
        <w:t>mètres</w:t>
      </w:r>
      <w:r w:rsidRPr="003E743A">
        <w:rPr>
          <w:rFonts w:ascii="Times New Roman" w:eastAsia="Calibri" w:hAnsi="Times New Roman" w:cs="Times New Roman"/>
          <w:noProof/>
          <w:color w:val="000000"/>
          <w:spacing w:val="-2"/>
          <w:sz w:val="24"/>
          <w:szCs w:val="24"/>
        </w:rPr>
        <w:t> </w:t>
      </w:r>
      <w:r w:rsidRPr="003E743A">
        <w:rPr>
          <w:rFonts w:ascii="Times New Roman" w:eastAsia="Calibri" w:hAnsi="Times New Roman" w:cs="Times New Roman"/>
          <w:noProof/>
          <w:color w:val="000000"/>
          <w:spacing w:val="-4"/>
          <w:sz w:val="24"/>
          <w:szCs w:val="24"/>
        </w:rPr>
        <w:t>du</w:t>
      </w:r>
      <w:r w:rsidRPr="003E743A">
        <w:rPr>
          <w:rFonts w:ascii="Times New Roman" w:eastAsia="Calibri" w:hAnsi="Times New Roman" w:cs="Times New Roman"/>
          <w:noProof/>
          <w:color w:val="000000"/>
          <w:spacing w:val="-5"/>
          <w:sz w:val="24"/>
          <w:szCs w:val="24"/>
        </w:rPr>
        <w:t> </w:t>
      </w:r>
      <w:r w:rsidRPr="003E743A">
        <w:rPr>
          <w:rFonts w:ascii="Times New Roman" w:eastAsia="Calibri" w:hAnsi="Times New Roman" w:cs="Times New Roman"/>
          <w:noProof/>
          <w:color w:val="000000"/>
          <w:spacing w:val="-3"/>
          <w:sz w:val="24"/>
          <w:szCs w:val="24"/>
        </w:rPr>
        <w:t>site du projet;</w:t>
      </w:r>
    </w:p>
    <w:p w:rsidR="007F3DC3" w:rsidRPr="003E743A" w:rsidRDefault="007F3DC3" w:rsidP="00FA3FAE">
      <w:pPr>
        <w:numPr>
          <w:ilvl w:val="1"/>
          <w:numId w:val="54"/>
        </w:numPr>
        <w:tabs>
          <w:tab w:val="left" w:pos="784"/>
        </w:tabs>
        <w:spacing w:after="0" w:line="271" w:lineRule="exact"/>
        <w:contextualSpacing/>
        <w:jc w:val="both"/>
        <w:rPr>
          <w:rFonts w:ascii="Times New Roman" w:eastAsia="Calibri" w:hAnsi="Times New Roman" w:cs="Times New Roman"/>
          <w:sz w:val="24"/>
          <w:szCs w:val="24"/>
        </w:rPr>
      </w:pPr>
      <w:r w:rsidRPr="003E743A">
        <w:rPr>
          <w:rFonts w:ascii="Times New Roman" w:eastAsia="Calibri" w:hAnsi="Times New Roman" w:cs="Times New Roman"/>
          <w:b/>
          <w:noProof/>
          <w:color w:val="000000"/>
          <w:spacing w:val="-3"/>
          <w:sz w:val="24"/>
          <w:szCs w:val="24"/>
        </w:rPr>
        <w:t>Ponctuelle</w:t>
      </w:r>
      <w:r w:rsidRPr="003E743A">
        <w:rPr>
          <w:rFonts w:ascii="Times New Roman" w:eastAsia="Calibri" w:hAnsi="Times New Roman" w:cs="Times New Roman"/>
          <w:noProof/>
          <w:color w:val="000000"/>
          <w:spacing w:val="-2"/>
          <w:sz w:val="24"/>
          <w:szCs w:val="24"/>
        </w:rPr>
        <w:t xml:space="preserve">: </w:t>
      </w:r>
      <w:r w:rsidRPr="003E743A">
        <w:rPr>
          <w:rFonts w:ascii="Times New Roman" w:eastAsia="Calibri" w:hAnsi="Times New Roman" w:cs="Times New Roman"/>
          <w:noProof/>
          <w:color w:val="000000"/>
          <w:spacing w:val="-3"/>
          <w:sz w:val="24"/>
          <w:szCs w:val="24"/>
        </w:rPr>
        <w:t>l’impact</w:t>
      </w:r>
      <w:r w:rsidRPr="003E743A">
        <w:rPr>
          <w:rFonts w:ascii="Times New Roman" w:eastAsia="Calibri" w:hAnsi="Times New Roman" w:cs="Times New Roman"/>
          <w:noProof/>
          <w:color w:val="000000"/>
          <w:w w:val="173"/>
          <w:sz w:val="24"/>
          <w:szCs w:val="24"/>
        </w:rPr>
        <w:t> </w:t>
      </w:r>
      <w:r w:rsidRPr="003E743A">
        <w:rPr>
          <w:rFonts w:ascii="Times New Roman" w:eastAsia="Calibri" w:hAnsi="Times New Roman" w:cs="Times New Roman"/>
          <w:noProof/>
          <w:color w:val="000000"/>
          <w:spacing w:val="-2"/>
          <w:sz w:val="24"/>
          <w:szCs w:val="24"/>
        </w:rPr>
        <w:t>est</w:t>
      </w:r>
      <w:r w:rsidRPr="003E743A">
        <w:rPr>
          <w:rFonts w:ascii="Times New Roman" w:eastAsia="Calibri" w:hAnsi="Times New Roman" w:cs="Times New Roman"/>
          <w:noProof/>
          <w:color w:val="000000"/>
          <w:w w:val="168"/>
          <w:sz w:val="24"/>
          <w:szCs w:val="24"/>
        </w:rPr>
        <w:t> </w:t>
      </w:r>
      <w:r w:rsidRPr="003E743A">
        <w:rPr>
          <w:rFonts w:ascii="Times New Roman" w:eastAsia="Calibri" w:hAnsi="Times New Roman" w:cs="Times New Roman"/>
          <w:noProof/>
          <w:color w:val="000000"/>
          <w:spacing w:val="-3"/>
          <w:sz w:val="24"/>
          <w:szCs w:val="24"/>
        </w:rPr>
        <w:t>ressenti</w:t>
      </w:r>
      <w:r w:rsidRPr="003E743A">
        <w:rPr>
          <w:rFonts w:ascii="Times New Roman" w:eastAsia="Calibri" w:hAnsi="Times New Roman" w:cs="Times New Roman"/>
          <w:noProof/>
          <w:color w:val="000000"/>
          <w:w w:val="175"/>
          <w:sz w:val="24"/>
          <w:szCs w:val="24"/>
        </w:rPr>
        <w:t> </w:t>
      </w:r>
      <w:r w:rsidRPr="003E743A">
        <w:rPr>
          <w:rFonts w:ascii="Times New Roman" w:eastAsia="Calibri" w:hAnsi="Times New Roman" w:cs="Times New Roman"/>
          <w:noProof/>
          <w:color w:val="000000"/>
          <w:spacing w:val="-3"/>
          <w:sz w:val="24"/>
          <w:szCs w:val="24"/>
        </w:rPr>
        <w:t>à</w:t>
      </w:r>
      <w:r w:rsidRPr="003E743A">
        <w:rPr>
          <w:rFonts w:ascii="Times New Roman" w:eastAsia="Calibri" w:hAnsi="Times New Roman" w:cs="Times New Roman"/>
          <w:noProof/>
          <w:color w:val="000000"/>
          <w:w w:val="178"/>
          <w:sz w:val="24"/>
          <w:szCs w:val="24"/>
        </w:rPr>
        <w:t> </w:t>
      </w:r>
      <w:r w:rsidRPr="003E743A">
        <w:rPr>
          <w:rFonts w:ascii="Times New Roman" w:eastAsia="Calibri" w:hAnsi="Times New Roman" w:cs="Times New Roman"/>
          <w:noProof/>
          <w:color w:val="000000"/>
          <w:spacing w:val="-3"/>
          <w:sz w:val="24"/>
          <w:szCs w:val="24"/>
        </w:rPr>
        <w:t>l’intérieur</w:t>
      </w:r>
      <w:r w:rsidRPr="003E743A">
        <w:rPr>
          <w:rFonts w:ascii="Times New Roman" w:eastAsia="Calibri" w:hAnsi="Times New Roman" w:cs="Times New Roman"/>
          <w:noProof/>
          <w:color w:val="000000"/>
          <w:w w:val="178"/>
          <w:sz w:val="24"/>
          <w:szCs w:val="24"/>
        </w:rPr>
        <w:t> </w:t>
      </w:r>
      <w:r w:rsidRPr="003E743A">
        <w:rPr>
          <w:rFonts w:ascii="Times New Roman" w:eastAsia="Calibri" w:hAnsi="Times New Roman" w:cs="Times New Roman"/>
          <w:noProof/>
          <w:color w:val="000000"/>
          <w:spacing w:val="-4"/>
          <w:sz w:val="24"/>
          <w:szCs w:val="24"/>
        </w:rPr>
        <w:t>des</w:t>
      </w:r>
      <w:r w:rsidRPr="003E743A">
        <w:rPr>
          <w:rFonts w:ascii="Times New Roman" w:eastAsia="Calibri" w:hAnsi="Times New Roman" w:cs="Times New Roman"/>
          <w:noProof/>
          <w:color w:val="000000"/>
          <w:w w:val="176"/>
          <w:sz w:val="24"/>
          <w:szCs w:val="24"/>
        </w:rPr>
        <w:t> </w:t>
      </w:r>
      <w:r w:rsidRPr="003E743A">
        <w:rPr>
          <w:rFonts w:ascii="Times New Roman" w:eastAsia="Calibri" w:hAnsi="Times New Roman" w:cs="Times New Roman"/>
          <w:noProof/>
          <w:color w:val="000000"/>
          <w:spacing w:val="-3"/>
          <w:sz w:val="24"/>
          <w:szCs w:val="24"/>
        </w:rPr>
        <w:t>limites</w:t>
      </w:r>
      <w:r w:rsidRPr="003E743A">
        <w:rPr>
          <w:rFonts w:ascii="Times New Roman" w:eastAsia="Calibri" w:hAnsi="Times New Roman" w:cs="Times New Roman"/>
          <w:noProof/>
          <w:color w:val="000000"/>
          <w:w w:val="179"/>
          <w:sz w:val="24"/>
          <w:szCs w:val="24"/>
        </w:rPr>
        <w:t> </w:t>
      </w:r>
      <w:r w:rsidRPr="003E743A">
        <w:rPr>
          <w:rFonts w:ascii="Times New Roman" w:eastAsia="Calibri" w:hAnsi="Times New Roman" w:cs="Times New Roman"/>
          <w:noProof/>
          <w:color w:val="000000"/>
          <w:spacing w:val="-5"/>
          <w:sz w:val="24"/>
          <w:szCs w:val="24"/>
        </w:rPr>
        <w:t>du</w:t>
      </w:r>
      <w:r w:rsidRPr="003E743A">
        <w:rPr>
          <w:rFonts w:ascii="Times New Roman" w:eastAsia="Calibri" w:hAnsi="Times New Roman" w:cs="Times New Roman"/>
          <w:noProof/>
          <w:color w:val="000000"/>
          <w:w w:val="179"/>
          <w:sz w:val="24"/>
          <w:szCs w:val="24"/>
        </w:rPr>
        <w:t> </w:t>
      </w:r>
      <w:r w:rsidRPr="003E743A">
        <w:rPr>
          <w:rFonts w:ascii="Times New Roman" w:eastAsia="Calibri" w:hAnsi="Times New Roman" w:cs="Times New Roman"/>
          <w:noProof/>
          <w:color w:val="000000"/>
          <w:spacing w:val="-3"/>
          <w:sz w:val="24"/>
          <w:szCs w:val="24"/>
        </w:rPr>
        <w:t>terrain</w:t>
      </w:r>
      <w:r w:rsidRPr="003E743A">
        <w:rPr>
          <w:rFonts w:ascii="Times New Roman" w:eastAsia="Calibri" w:hAnsi="Times New Roman" w:cs="Times New Roman"/>
          <w:noProof/>
          <w:color w:val="000000"/>
          <w:w w:val="171"/>
          <w:sz w:val="24"/>
          <w:szCs w:val="24"/>
        </w:rPr>
        <w:t> </w:t>
      </w:r>
      <w:r w:rsidRPr="003E743A">
        <w:rPr>
          <w:rFonts w:ascii="Times New Roman" w:eastAsia="Calibri" w:hAnsi="Times New Roman" w:cs="Times New Roman"/>
          <w:noProof/>
          <w:color w:val="000000"/>
          <w:spacing w:val="-3"/>
          <w:sz w:val="24"/>
          <w:szCs w:val="24"/>
        </w:rPr>
        <w:t>où</w:t>
      </w:r>
      <w:r w:rsidRPr="003E743A">
        <w:rPr>
          <w:rFonts w:ascii="Times New Roman" w:eastAsia="Calibri" w:hAnsi="Times New Roman" w:cs="Times New Roman"/>
          <w:noProof/>
          <w:color w:val="000000"/>
          <w:w w:val="174"/>
          <w:sz w:val="24"/>
          <w:szCs w:val="24"/>
        </w:rPr>
        <w:t> </w:t>
      </w:r>
      <w:r w:rsidRPr="003E743A">
        <w:rPr>
          <w:rFonts w:ascii="Times New Roman" w:eastAsia="Calibri" w:hAnsi="Times New Roman" w:cs="Times New Roman"/>
          <w:noProof/>
          <w:color w:val="000000"/>
          <w:spacing w:val="-2"/>
          <w:sz w:val="24"/>
          <w:szCs w:val="24"/>
        </w:rPr>
        <w:t>se</w:t>
      </w:r>
      <w:r w:rsidRPr="003E743A">
        <w:rPr>
          <w:rFonts w:ascii="Times New Roman" w:eastAsia="Calibri" w:hAnsi="Times New Roman" w:cs="Times New Roman"/>
          <w:noProof/>
          <w:color w:val="000000"/>
          <w:w w:val="173"/>
          <w:sz w:val="24"/>
          <w:szCs w:val="24"/>
        </w:rPr>
        <w:t> </w:t>
      </w:r>
      <w:r w:rsidRPr="003E743A">
        <w:rPr>
          <w:rFonts w:ascii="Times New Roman" w:eastAsia="Calibri" w:hAnsi="Times New Roman" w:cs="Times New Roman"/>
          <w:noProof/>
          <w:color w:val="000000"/>
          <w:spacing w:val="-3"/>
          <w:sz w:val="24"/>
          <w:szCs w:val="24"/>
        </w:rPr>
        <w:t>déroule</w:t>
      </w:r>
      <w:r w:rsidRPr="003E743A">
        <w:rPr>
          <w:rFonts w:ascii="Times New Roman" w:eastAsia="Calibri" w:hAnsi="Times New Roman" w:cs="Times New Roman"/>
          <w:noProof/>
          <w:color w:val="000000"/>
          <w:w w:val="178"/>
          <w:sz w:val="24"/>
          <w:szCs w:val="24"/>
        </w:rPr>
        <w:t> </w:t>
      </w:r>
      <w:r w:rsidRPr="003E743A">
        <w:rPr>
          <w:rFonts w:ascii="Times New Roman" w:eastAsia="Calibri" w:hAnsi="Times New Roman" w:cs="Times New Roman"/>
          <w:noProof/>
          <w:color w:val="000000"/>
          <w:spacing w:val="-4"/>
          <w:sz w:val="24"/>
          <w:szCs w:val="24"/>
        </w:rPr>
        <w:t>le</w:t>
      </w:r>
      <w:r w:rsidRPr="003E743A">
        <w:rPr>
          <w:rFonts w:ascii="Times New Roman" w:eastAsia="Calibri" w:hAnsi="Times New Roman" w:cs="Times New Roman"/>
          <w:sz w:val="24"/>
          <w:szCs w:val="24"/>
        </w:rPr>
        <w:t xml:space="preserve"> </w:t>
      </w:r>
      <w:r w:rsidRPr="003E743A">
        <w:rPr>
          <w:rFonts w:ascii="Times New Roman" w:eastAsia="Calibri" w:hAnsi="Times New Roman" w:cs="Times New Roman"/>
          <w:noProof/>
          <w:color w:val="000000"/>
          <w:spacing w:val="-3"/>
          <w:sz w:val="24"/>
          <w:szCs w:val="24"/>
        </w:rPr>
        <w:t>projet.</w:t>
      </w:r>
    </w:p>
    <w:p w:rsidR="007F3DC3" w:rsidRPr="003E743A" w:rsidRDefault="007F3DC3" w:rsidP="007F3DC3">
      <w:pPr>
        <w:spacing w:after="0" w:line="240" w:lineRule="exact"/>
        <w:jc w:val="both"/>
        <w:rPr>
          <w:rFonts w:ascii="Times New Roman" w:eastAsia="Calibri" w:hAnsi="Times New Roman" w:cs="Times New Roman"/>
          <w:sz w:val="24"/>
          <w:szCs w:val="24"/>
        </w:rPr>
      </w:pPr>
      <w:r w:rsidRPr="003E743A">
        <w:rPr>
          <w:rFonts w:ascii="Times New Roman" w:eastAsia="Calibri" w:hAnsi="Times New Roman" w:cs="Times New Roman"/>
          <w:b/>
          <w:sz w:val="24"/>
          <w:szCs w:val="24"/>
          <w:u w:val="single"/>
        </w:rPr>
        <w:t>L’importance de l’impact</w:t>
      </w:r>
      <w:r w:rsidRPr="003E743A">
        <w:rPr>
          <w:rFonts w:ascii="Times New Roman" w:eastAsia="Calibri" w:hAnsi="Times New Roman" w:cs="Times New Roman"/>
          <w:sz w:val="24"/>
          <w:szCs w:val="24"/>
        </w:rPr>
        <w:t xml:space="preserve"> d’une activité sur un élément de l’environnement intègre les résultats de mesure de chacun des critères d’évaluation. Le tableau suivant présente la grille de détermination de l’importance de l’impact sur les éléments du milieu récepteur.</w:t>
      </w:r>
    </w:p>
    <w:p w:rsidR="007F3DC3" w:rsidRPr="003E743A" w:rsidRDefault="007F3DC3" w:rsidP="007F3DC3">
      <w:pPr>
        <w:spacing w:after="0" w:line="240" w:lineRule="exact"/>
        <w:ind w:left="64"/>
        <w:jc w:val="both"/>
        <w:rPr>
          <w:rFonts w:ascii="Times New Roman" w:eastAsia="Calibri" w:hAnsi="Times New Roman" w:cs="Times New Roman"/>
          <w:sz w:val="24"/>
          <w:szCs w:val="24"/>
        </w:rPr>
      </w:pPr>
    </w:p>
    <w:p w:rsidR="007F3DC3" w:rsidRPr="003E743A" w:rsidRDefault="007F3DC3" w:rsidP="00FA3FAE">
      <w:pPr>
        <w:numPr>
          <w:ilvl w:val="0"/>
          <w:numId w:val="55"/>
        </w:numPr>
        <w:spacing w:after="0" w:line="336" w:lineRule="exact"/>
        <w:contextualSpacing/>
        <w:jc w:val="both"/>
        <w:rPr>
          <w:rFonts w:ascii="Times New Roman" w:eastAsia="Calibri" w:hAnsi="Times New Roman" w:cs="Times New Roman"/>
          <w:sz w:val="24"/>
          <w:szCs w:val="24"/>
        </w:rPr>
      </w:pPr>
      <w:r w:rsidRPr="003E743A">
        <w:rPr>
          <w:rFonts w:ascii="Times New Roman" w:eastAsia="Calibri" w:hAnsi="Times New Roman" w:cs="Times New Roman"/>
          <w:b/>
          <w:noProof/>
          <w:color w:val="000000"/>
          <w:spacing w:val="-3"/>
          <w:w w:val="95"/>
          <w:sz w:val="24"/>
          <w:szCs w:val="24"/>
        </w:rPr>
        <w:t>Évaluation</w:t>
      </w:r>
      <w:r w:rsidRPr="003E743A">
        <w:rPr>
          <w:rFonts w:ascii="Times New Roman" w:eastAsia="Calibri" w:hAnsi="Times New Roman" w:cs="Times New Roman"/>
          <w:b/>
          <w:noProof/>
          <w:color w:val="000000"/>
          <w:spacing w:val="-5"/>
          <w:sz w:val="24"/>
          <w:szCs w:val="24"/>
        </w:rPr>
        <w:t> </w:t>
      </w:r>
      <w:r w:rsidRPr="003E743A">
        <w:rPr>
          <w:rFonts w:ascii="Times New Roman" w:eastAsia="Calibri" w:hAnsi="Times New Roman" w:cs="Times New Roman"/>
          <w:b/>
          <w:noProof/>
          <w:color w:val="000000"/>
          <w:spacing w:val="-3"/>
          <w:w w:val="95"/>
          <w:sz w:val="24"/>
          <w:szCs w:val="24"/>
        </w:rPr>
        <w:t>des</w:t>
      </w:r>
      <w:r w:rsidRPr="003E743A">
        <w:rPr>
          <w:rFonts w:ascii="Times New Roman" w:eastAsia="Calibri" w:hAnsi="Times New Roman" w:cs="Times New Roman"/>
          <w:b/>
          <w:noProof/>
          <w:color w:val="000000"/>
          <w:spacing w:val="-3"/>
          <w:sz w:val="24"/>
          <w:szCs w:val="24"/>
        </w:rPr>
        <w:t> </w:t>
      </w:r>
      <w:r w:rsidRPr="003E743A">
        <w:rPr>
          <w:rFonts w:ascii="Times New Roman" w:eastAsia="Calibri" w:hAnsi="Times New Roman" w:cs="Times New Roman"/>
          <w:b/>
          <w:noProof/>
          <w:color w:val="000000"/>
          <w:spacing w:val="-3"/>
          <w:w w:val="95"/>
          <w:sz w:val="24"/>
          <w:szCs w:val="24"/>
        </w:rPr>
        <w:t>impacts</w:t>
      </w:r>
    </w:p>
    <w:p w:rsidR="007F3DC3" w:rsidRPr="003E743A" w:rsidRDefault="007F3DC3" w:rsidP="007F3DC3">
      <w:pPr>
        <w:spacing w:after="0" w:line="240" w:lineRule="exact"/>
        <w:jc w:val="both"/>
        <w:rPr>
          <w:rFonts w:ascii="Times New Roman" w:eastAsia="Calibri" w:hAnsi="Times New Roman" w:cs="Times New Roman"/>
          <w:sz w:val="24"/>
          <w:szCs w:val="24"/>
        </w:rPr>
      </w:pPr>
      <w:r w:rsidRPr="003E743A">
        <w:rPr>
          <w:rFonts w:ascii="Times New Roman" w:eastAsia="Calibri" w:hAnsi="Times New Roman" w:cs="Times New Roman"/>
          <w:sz w:val="24"/>
          <w:szCs w:val="24"/>
        </w:rPr>
        <w:t>La valeur attribuée à l’importance de l’impact a été déterminée par une équipe d’évaluation constituée de l’ensemble des experts ayant participé à l’étude, en tenant compte des critères d’évaluation définis ci-dessus.</w:t>
      </w:r>
    </w:p>
    <w:p w:rsidR="007F3DC3" w:rsidRPr="003E743A" w:rsidRDefault="007F3DC3" w:rsidP="00FA3FAE">
      <w:pPr>
        <w:numPr>
          <w:ilvl w:val="0"/>
          <w:numId w:val="55"/>
        </w:numPr>
        <w:spacing w:after="0" w:line="338" w:lineRule="exact"/>
        <w:contextualSpacing/>
        <w:jc w:val="both"/>
        <w:rPr>
          <w:rFonts w:ascii="Times New Roman" w:eastAsia="Calibri" w:hAnsi="Times New Roman" w:cs="Times New Roman"/>
          <w:sz w:val="24"/>
          <w:szCs w:val="24"/>
        </w:rPr>
      </w:pPr>
      <w:r w:rsidRPr="003E743A">
        <w:rPr>
          <w:rFonts w:ascii="Times New Roman" w:eastAsia="Calibri" w:hAnsi="Times New Roman" w:cs="Times New Roman"/>
          <w:b/>
          <w:noProof/>
          <w:color w:val="000000"/>
          <w:spacing w:val="-3"/>
          <w:w w:val="95"/>
          <w:sz w:val="24"/>
          <w:szCs w:val="24"/>
        </w:rPr>
        <w:t>Mesures</w:t>
      </w:r>
      <w:r w:rsidRPr="003E743A">
        <w:rPr>
          <w:rFonts w:ascii="Times New Roman" w:eastAsia="Calibri" w:hAnsi="Times New Roman" w:cs="Times New Roman"/>
          <w:b/>
          <w:noProof/>
          <w:color w:val="000000"/>
          <w:spacing w:val="-4"/>
          <w:sz w:val="24"/>
          <w:szCs w:val="24"/>
        </w:rPr>
        <w:t> </w:t>
      </w:r>
      <w:r w:rsidRPr="003E743A">
        <w:rPr>
          <w:rFonts w:ascii="Times New Roman" w:eastAsia="Calibri" w:hAnsi="Times New Roman" w:cs="Times New Roman"/>
          <w:b/>
          <w:noProof/>
          <w:color w:val="000000"/>
          <w:spacing w:val="-3"/>
          <w:w w:val="95"/>
          <w:sz w:val="24"/>
          <w:szCs w:val="24"/>
        </w:rPr>
        <w:t>de</w:t>
      </w:r>
      <w:r w:rsidRPr="003E743A">
        <w:rPr>
          <w:rFonts w:ascii="Times New Roman" w:eastAsia="Calibri" w:hAnsi="Times New Roman" w:cs="Times New Roman"/>
          <w:b/>
          <w:noProof/>
          <w:color w:val="000000"/>
          <w:spacing w:val="-5"/>
          <w:sz w:val="24"/>
          <w:szCs w:val="24"/>
        </w:rPr>
        <w:t> </w:t>
      </w:r>
      <w:r w:rsidRPr="003E743A">
        <w:rPr>
          <w:rFonts w:ascii="Times New Roman" w:eastAsia="Calibri" w:hAnsi="Times New Roman" w:cs="Times New Roman"/>
          <w:b/>
          <w:noProof/>
          <w:color w:val="000000"/>
          <w:spacing w:val="-3"/>
          <w:w w:val="95"/>
          <w:sz w:val="24"/>
          <w:szCs w:val="24"/>
        </w:rPr>
        <w:t>mitigation</w:t>
      </w:r>
    </w:p>
    <w:p w:rsidR="007F3DC3" w:rsidRPr="003E743A" w:rsidRDefault="007F3DC3" w:rsidP="007F3DC3">
      <w:pPr>
        <w:spacing w:after="0" w:line="240" w:lineRule="exact"/>
        <w:ind w:right="-141"/>
        <w:jc w:val="both"/>
        <w:rPr>
          <w:rFonts w:ascii="Times New Roman" w:eastAsia="Calibri" w:hAnsi="Times New Roman" w:cs="Times New Roman"/>
          <w:sz w:val="24"/>
          <w:szCs w:val="24"/>
        </w:rPr>
      </w:pPr>
      <w:r w:rsidRPr="003E743A">
        <w:rPr>
          <w:rFonts w:ascii="Times New Roman" w:eastAsia="Calibri" w:hAnsi="Times New Roman" w:cs="Times New Roman"/>
          <w:sz w:val="24"/>
          <w:szCs w:val="24"/>
        </w:rPr>
        <w:t>Les mesures de mitigation à mettre en place selon le niveau d’importance de l’impact potentiel sur un élément du milieu sont les suivantes :</w:t>
      </w:r>
    </w:p>
    <w:p w:rsidR="007F3DC3" w:rsidRPr="003E743A" w:rsidRDefault="007F3DC3" w:rsidP="00FA3FAE">
      <w:pPr>
        <w:numPr>
          <w:ilvl w:val="1"/>
          <w:numId w:val="56"/>
        </w:numPr>
        <w:tabs>
          <w:tab w:val="left" w:pos="785"/>
        </w:tabs>
        <w:spacing w:after="0" w:line="269" w:lineRule="exact"/>
        <w:contextualSpacing/>
        <w:jc w:val="both"/>
        <w:rPr>
          <w:rFonts w:ascii="Times New Roman" w:eastAsia="Calibri" w:hAnsi="Times New Roman" w:cs="Times New Roman"/>
          <w:sz w:val="24"/>
          <w:szCs w:val="24"/>
        </w:rPr>
      </w:pPr>
      <w:r w:rsidRPr="003E743A">
        <w:rPr>
          <w:rFonts w:ascii="Times New Roman" w:eastAsia="Calibri" w:hAnsi="Times New Roman" w:cs="Times New Roman"/>
          <w:b/>
          <w:noProof/>
          <w:color w:val="000000"/>
          <w:spacing w:val="-3"/>
          <w:sz w:val="24"/>
          <w:szCs w:val="24"/>
        </w:rPr>
        <w:t>Mineure</w:t>
      </w:r>
      <w:r w:rsidRPr="003E743A">
        <w:rPr>
          <w:rFonts w:ascii="Times New Roman" w:eastAsia="Calibri" w:hAnsi="Times New Roman" w:cs="Times New Roman"/>
          <w:noProof/>
          <w:color w:val="000000"/>
          <w:spacing w:val="-3"/>
          <w:sz w:val="24"/>
          <w:szCs w:val="24"/>
        </w:rPr>
        <w:t> </w:t>
      </w:r>
      <w:r w:rsidRPr="003E743A">
        <w:rPr>
          <w:rFonts w:ascii="Times New Roman" w:eastAsia="Calibri" w:hAnsi="Times New Roman" w:cs="Times New Roman"/>
          <w:noProof/>
          <w:color w:val="000000"/>
          <w:spacing w:val="-2"/>
          <w:sz w:val="24"/>
          <w:szCs w:val="24"/>
        </w:rPr>
        <w:t>:</w:t>
      </w:r>
      <w:r w:rsidRPr="003E743A">
        <w:rPr>
          <w:rFonts w:ascii="Times New Roman" w:eastAsia="Calibri" w:hAnsi="Times New Roman" w:cs="Times New Roman"/>
          <w:noProof/>
          <w:color w:val="000000"/>
          <w:spacing w:val="-4"/>
          <w:sz w:val="24"/>
          <w:szCs w:val="24"/>
        </w:rPr>
        <w:t> </w:t>
      </w:r>
      <w:r w:rsidRPr="003E743A">
        <w:rPr>
          <w:rFonts w:ascii="Times New Roman" w:eastAsia="Calibri" w:hAnsi="Times New Roman" w:cs="Times New Roman"/>
          <w:noProof/>
          <w:color w:val="000000"/>
          <w:spacing w:val="-3"/>
          <w:sz w:val="24"/>
          <w:szCs w:val="24"/>
        </w:rPr>
        <w:t>Aucune action</w:t>
      </w:r>
      <w:r w:rsidRPr="003E743A">
        <w:rPr>
          <w:rFonts w:ascii="Times New Roman" w:eastAsia="Calibri" w:hAnsi="Times New Roman" w:cs="Times New Roman"/>
          <w:noProof/>
          <w:color w:val="000000"/>
          <w:spacing w:val="-4"/>
          <w:sz w:val="24"/>
          <w:szCs w:val="24"/>
        </w:rPr>
        <w:t> </w:t>
      </w:r>
      <w:r w:rsidRPr="003E743A">
        <w:rPr>
          <w:rFonts w:ascii="Times New Roman" w:eastAsia="Calibri" w:hAnsi="Times New Roman" w:cs="Times New Roman"/>
          <w:noProof/>
          <w:color w:val="000000"/>
          <w:spacing w:val="-3"/>
          <w:sz w:val="24"/>
          <w:szCs w:val="24"/>
        </w:rPr>
        <w:t>requise;</w:t>
      </w:r>
      <w:r w:rsidRPr="003E743A">
        <w:rPr>
          <w:rFonts w:ascii="Times New Roman" w:eastAsia="Calibri" w:hAnsi="Times New Roman" w:cs="Times New Roman"/>
          <w:noProof/>
          <w:color w:val="000000"/>
          <w:spacing w:val="-4"/>
          <w:sz w:val="24"/>
          <w:szCs w:val="24"/>
        </w:rPr>
        <w:t xml:space="preserve"> </w:t>
      </w:r>
    </w:p>
    <w:p w:rsidR="007F3DC3" w:rsidRPr="003E743A" w:rsidRDefault="007F3DC3" w:rsidP="00FA3FAE">
      <w:pPr>
        <w:numPr>
          <w:ilvl w:val="1"/>
          <w:numId w:val="56"/>
        </w:numPr>
        <w:tabs>
          <w:tab w:val="left" w:pos="785"/>
        </w:tabs>
        <w:spacing w:after="0" w:line="269" w:lineRule="exact"/>
        <w:contextualSpacing/>
        <w:jc w:val="both"/>
        <w:rPr>
          <w:rFonts w:ascii="Times New Roman" w:eastAsia="Calibri" w:hAnsi="Times New Roman" w:cs="Times New Roman"/>
          <w:sz w:val="24"/>
          <w:szCs w:val="24"/>
        </w:rPr>
      </w:pPr>
      <w:r w:rsidRPr="003E743A">
        <w:rPr>
          <w:rFonts w:ascii="Times New Roman" w:eastAsia="Calibri" w:hAnsi="Times New Roman" w:cs="Times New Roman"/>
          <w:b/>
          <w:noProof/>
          <w:color w:val="000000"/>
          <w:spacing w:val="-4"/>
          <w:sz w:val="24"/>
          <w:szCs w:val="24"/>
        </w:rPr>
        <w:t>Moyenne</w:t>
      </w:r>
      <w:r w:rsidRPr="003E743A">
        <w:rPr>
          <w:rFonts w:ascii="Times New Roman" w:eastAsia="Calibri" w:hAnsi="Times New Roman" w:cs="Times New Roman"/>
          <w:noProof/>
          <w:color w:val="000000"/>
          <w:spacing w:val="-3"/>
          <w:sz w:val="24"/>
          <w:szCs w:val="24"/>
        </w:rPr>
        <w:t> </w:t>
      </w:r>
      <w:r w:rsidRPr="003E743A">
        <w:rPr>
          <w:rFonts w:ascii="Times New Roman" w:eastAsia="Calibri" w:hAnsi="Times New Roman" w:cs="Times New Roman"/>
          <w:noProof/>
          <w:color w:val="000000"/>
          <w:spacing w:val="-2"/>
          <w:sz w:val="24"/>
          <w:szCs w:val="24"/>
        </w:rPr>
        <w:t>:</w:t>
      </w:r>
      <w:r w:rsidRPr="003E743A">
        <w:rPr>
          <w:rFonts w:ascii="Times New Roman" w:eastAsia="Calibri" w:hAnsi="Times New Roman" w:cs="Times New Roman"/>
          <w:noProof/>
          <w:color w:val="000000"/>
          <w:spacing w:val="-4"/>
          <w:sz w:val="24"/>
          <w:szCs w:val="24"/>
        </w:rPr>
        <w:t> </w:t>
      </w:r>
      <w:r w:rsidRPr="003E743A">
        <w:rPr>
          <w:rFonts w:ascii="Times New Roman" w:eastAsia="Calibri" w:hAnsi="Times New Roman" w:cs="Times New Roman"/>
          <w:noProof/>
          <w:color w:val="000000"/>
          <w:spacing w:val="-3"/>
          <w:sz w:val="24"/>
          <w:szCs w:val="24"/>
        </w:rPr>
        <w:t>Vérification</w:t>
      </w:r>
      <w:r w:rsidRPr="003E743A">
        <w:rPr>
          <w:rFonts w:ascii="Times New Roman" w:eastAsia="Calibri" w:hAnsi="Times New Roman" w:cs="Times New Roman"/>
          <w:noProof/>
          <w:color w:val="000000"/>
          <w:spacing w:val="-4"/>
          <w:sz w:val="24"/>
          <w:szCs w:val="24"/>
        </w:rPr>
        <w:t> </w:t>
      </w:r>
      <w:r w:rsidRPr="003E743A">
        <w:rPr>
          <w:rFonts w:ascii="Times New Roman" w:eastAsia="Calibri" w:hAnsi="Times New Roman" w:cs="Times New Roman"/>
          <w:noProof/>
          <w:color w:val="000000"/>
          <w:spacing w:val="-3"/>
          <w:sz w:val="24"/>
          <w:szCs w:val="24"/>
        </w:rPr>
        <w:t>à l’aide </w:t>
      </w:r>
      <w:r w:rsidRPr="003E743A">
        <w:rPr>
          <w:rFonts w:ascii="Times New Roman" w:eastAsia="Calibri" w:hAnsi="Times New Roman" w:cs="Times New Roman"/>
          <w:noProof/>
          <w:color w:val="000000"/>
          <w:spacing w:val="-5"/>
          <w:sz w:val="24"/>
          <w:szCs w:val="24"/>
        </w:rPr>
        <w:t>du</w:t>
      </w:r>
      <w:r w:rsidRPr="003E743A">
        <w:rPr>
          <w:rFonts w:ascii="Times New Roman" w:eastAsia="Calibri" w:hAnsi="Times New Roman" w:cs="Times New Roman"/>
          <w:noProof/>
          <w:color w:val="000000"/>
          <w:spacing w:val="-3"/>
          <w:sz w:val="24"/>
          <w:szCs w:val="24"/>
        </w:rPr>
        <w:t> </w:t>
      </w:r>
      <w:r w:rsidRPr="003E743A">
        <w:rPr>
          <w:rFonts w:ascii="Times New Roman" w:eastAsia="Calibri" w:hAnsi="Times New Roman" w:cs="Times New Roman"/>
          <w:noProof/>
          <w:color w:val="000000"/>
          <w:spacing w:val="-4"/>
          <w:sz w:val="24"/>
          <w:szCs w:val="24"/>
        </w:rPr>
        <w:t>programme</w:t>
      </w:r>
      <w:r w:rsidRPr="003E743A">
        <w:rPr>
          <w:rFonts w:ascii="Times New Roman" w:eastAsia="Calibri" w:hAnsi="Times New Roman" w:cs="Times New Roman"/>
          <w:noProof/>
          <w:color w:val="000000"/>
          <w:spacing w:val="-3"/>
          <w:sz w:val="24"/>
          <w:szCs w:val="24"/>
        </w:rPr>
        <w:t> de</w:t>
      </w:r>
      <w:r w:rsidRPr="003E743A">
        <w:rPr>
          <w:rFonts w:ascii="Times New Roman" w:eastAsia="Calibri" w:hAnsi="Times New Roman" w:cs="Times New Roman"/>
          <w:noProof/>
          <w:color w:val="000000"/>
          <w:spacing w:val="-4"/>
          <w:sz w:val="24"/>
          <w:szCs w:val="24"/>
        </w:rPr>
        <w:t> </w:t>
      </w:r>
      <w:r w:rsidRPr="003E743A">
        <w:rPr>
          <w:rFonts w:ascii="Times New Roman" w:eastAsia="Calibri" w:hAnsi="Times New Roman" w:cs="Times New Roman"/>
          <w:noProof/>
          <w:color w:val="000000"/>
          <w:spacing w:val="-3"/>
          <w:sz w:val="24"/>
          <w:szCs w:val="24"/>
        </w:rPr>
        <w:t>surveillance </w:t>
      </w:r>
      <w:r w:rsidRPr="003E743A">
        <w:rPr>
          <w:rFonts w:ascii="Times New Roman" w:eastAsia="Calibri" w:hAnsi="Times New Roman" w:cs="Times New Roman"/>
          <w:noProof/>
          <w:color w:val="000000"/>
          <w:spacing w:val="-4"/>
          <w:sz w:val="24"/>
          <w:szCs w:val="24"/>
        </w:rPr>
        <w:t>que</w:t>
      </w:r>
      <w:r w:rsidRPr="003E743A">
        <w:rPr>
          <w:rFonts w:ascii="Times New Roman" w:eastAsia="Calibri" w:hAnsi="Times New Roman" w:cs="Times New Roman"/>
          <w:noProof/>
          <w:color w:val="000000"/>
          <w:spacing w:val="-3"/>
          <w:sz w:val="24"/>
          <w:szCs w:val="24"/>
        </w:rPr>
        <w:t> les</w:t>
      </w:r>
      <w:r w:rsidRPr="003E743A">
        <w:rPr>
          <w:rFonts w:ascii="Times New Roman" w:eastAsia="Calibri" w:hAnsi="Times New Roman" w:cs="Times New Roman"/>
          <w:noProof/>
          <w:color w:val="000000"/>
          <w:spacing w:val="-2"/>
          <w:sz w:val="24"/>
          <w:szCs w:val="24"/>
        </w:rPr>
        <w:t> </w:t>
      </w:r>
      <w:r w:rsidRPr="003E743A">
        <w:rPr>
          <w:rFonts w:ascii="Times New Roman" w:eastAsia="Calibri" w:hAnsi="Times New Roman" w:cs="Times New Roman"/>
          <w:noProof/>
          <w:color w:val="000000"/>
          <w:spacing w:val="-4"/>
          <w:sz w:val="24"/>
          <w:szCs w:val="24"/>
        </w:rPr>
        <w:t>normes</w:t>
      </w:r>
      <w:r w:rsidRPr="003E743A">
        <w:rPr>
          <w:rFonts w:ascii="Times New Roman" w:eastAsia="Calibri" w:hAnsi="Times New Roman" w:cs="Times New Roman"/>
          <w:noProof/>
          <w:color w:val="000000"/>
          <w:spacing w:val="-5"/>
          <w:sz w:val="24"/>
          <w:szCs w:val="24"/>
        </w:rPr>
        <w:t> </w:t>
      </w:r>
      <w:r w:rsidRPr="003E743A">
        <w:rPr>
          <w:rFonts w:ascii="Times New Roman" w:eastAsia="Calibri" w:hAnsi="Times New Roman" w:cs="Times New Roman"/>
          <w:noProof/>
          <w:color w:val="000000"/>
          <w:spacing w:val="-3"/>
          <w:sz w:val="24"/>
          <w:szCs w:val="24"/>
        </w:rPr>
        <w:t>et critères</w:t>
      </w:r>
      <w:r w:rsidRPr="003E743A">
        <w:rPr>
          <w:rFonts w:ascii="Times New Roman" w:eastAsia="Calibri" w:hAnsi="Times New Roman" w:cs="Times New Roman"/>
          <w:sz w:val="24"/>
          <w:szCs w:val="24"/>
        </w:rPr>
        <w:t xml:space="preserve"> </w:t>
      </w:r>
      <w:r w:rsidRPr="003E743A">
        <w:rPr>
          <w:rFonts w:ascii="Times New Roman" w:eastAsia="Calibri" w:hAnsi="Times New Roman" w:cs="Times New Roman"/>
          <w:noProof/>
          <w:color w:val="000000"/>
          <w:spacing w:val="-3"/>
          <w:sz w:val="24"/>
          <w:szCs w:val="24"/>
        </w:rPr>
        <w:t>applicables</w:t>
      </w:r>
      <w:r w:rsidRPr="003E743A">
        <w:rPr>
          <w:rFonts w:ascii="Times New Roman" w:eastAsia="Calibri" w:hAnsi="Times New Roman" w:cs="Times New Roman"/>
          <w:noProof/>
          <w:color w:val="000000"/>
          <w:spacing w:val="-2"/>
          <w:sz w:val="24"/>
          <w:szCs w:val="24"/>
        </w:rPr>
        <w:t> </w:t>
      </w:r>
      <w:r w:rsidRPr="003E743A">
        <w:rPr>
          <w:rFonts w:ascii="Times New Roman" w:eastAsia="Calibri" w:hAnsi="Times New Roman" w:cs="Times New Roman"/>
          <w:noProof/>
          <w:color w:val="000000"/>
          <w:spacing w:val="-3"/>
          <w:sz w:val="24"/>
          <w:szCs w:val="24"/>
        </w:rPr>
        <w:t>sont</w:t>
      </w:r>
      <w:r w:rsidRPr="003E743A">
        <w:rPr>
          <w:rFonts w:ascii="Times New Roman" w:eastAsia="Calibri" w:hAnsi="Times New Roman" w:cs="Times New Roman"/>
          <w:noProof/>
          <w:color w:val="000000"/>
          <w:spacing w:val="-4"/>
          <w:sz w:val="24"/>
          <w:szCs w:val="24"/>
        </w:rPr>
        <w:t> </w:t>
      </w:r>
      <w:r w:rsidRPr="003E743A">
        <w:rPr>
          <w:rFonts w:ascii="Times New Roman" w:eastAsia="Calibri" w:hAnsi="Times New Roman" w:cs="Times New Roman"/>
          <w:noProof/>
          <w:color w:val="000000"/>
          <w:spacing w:val="-3"/>
          <w:sz w:val="24"/>
          <w:szCs w:val="24"/>
        </w:rPr>
        <w:t>respectés;</w:t>
      </w:r>
    </w:p>
    <w:p w:rsidR="007F3DC3" w:rsidRPr="003E743A" w:rsidRDefault="007F3DC3" w:rsidP="00FA3FAE">
      <w:pPr>
        <w:numPr>
          <w:ilvl w:val="1"/>
          <w:numId w:val="56"/>
        </w:numPr>
        <w:tabs>
          <w:tab w:val="left" w:pos="785"/>
        </w:tabs>
        <w:spacing w:after="0" w:line="269" w:lineRule="exact"/>
        <w:contextualSpacing/>
        <w:jc w:val="both"/>
        <w:rPr>
          <w:rFonts w:ascii="Times New Roman" w:eastAsia="Calibri" w:hAnsi="Times New Roman" w:cs="Times New Roman"/>
          <w:sz w:val="24"/>
          <w:szCs w:val="24"/>
        </w:rPr>
      </w:pPr>
      <w:r w:rsidRPr="003E743A">
        <w:rPr>
          <w:rFonts w:ascii="Times New Roman" w:eastAsia="Calibri" w:hAnsi="Times New Roman" w:cs="Times New Roman"/>
          <w:b/>
          <w:noProof/>
          <w:color w:val="000000"/>
          <w:spacing w:val="-3"/>
          <w:sz w:val="24"/>
          <w:szCs w:val="24"/>
        </w:rPr>
        <w:t>Majeure</w:t>
      </w:r>
      <w:r w:rsidRPr="003E743A">
        <w:rPr>
          <w:rFonts w:ascii="Times New Roman" w:eastAsia="Calibri" w:hAnsi="Times New Roman" w:cs="Times New Roman"/>
          <w:noProof/>
          <w:color w:val="000000"/>
          <w:spacing w:val="-3"/>
          <w:sz w:val="24"/>
          <w:szCs w:val="24"/>
        </w:rPr>
        <w:t> </w:t>
      </w:r>
      <w:r w:rsidRPr="003E743A">
        <w:rPr>
          <w:rFonts w:ascii="Times New Roman" w:eastAsia="Calibri" w:hAnsi="Times New Roman" w:cs="Times New Roman"/>
          <w:noProof/>
          <w:color w:val="000000"/>
          <w:spacing w:val="-2"/>
          <w:sz w:val="24"/>
          <w:szCs w:val="24"/>
        </w:rPr>
        <w:t>:</w:t>
      </w:r>
      <w:r w:rsidRPr="003E743A">
        <w:rPr>
          <w:rFonts w:ascii="Times New Roman" w:eastAsia="Calibri" w:hAnsi="Times New Roman" w:cs="Times New Roman"/>
          <w:noProof/>
          <w:color w:val="000000"/>
          <w:spacing w:val="-4"/>
          <w:sz w:val="24"/>
          <w:szCs w:val="24"/>
        </w:rPr>
        <w:t> Mesures</w:t>
      </w:r>
      <w:r w:rsidRPr="003E743A">
        <w:rPr>
          <w:rFonts w:ascii="Times New Roman" w:eastAsia="Calibri" w:hAnsi="Times New Roman" w:cs="Times New Roman"/>
          <w:noProof/>
          <w:color w:val="000000"/>
          <w:spacing w:val="-2"/>
          <w:sz w:val="24"/>
          <w:szCs w:val="24"/>
        </w:rPr>
        <w:t> </w:t>
      </w:r>
      <w:r w:rsidRPr="003E743A">
        <w:rPr>
          <w:rFonts w:ascii="Times New Roman" w:eastAsia="Calibri" w:hAnsi="Times New Roman" w:cs="Times New Roman"/>
          <w:noProof/>
          <w:color w:val="000000"/>
          <w:spacing w:val="-3"/>
          <w:sz w:val="24"/>
          <w:szCs w:val="24"/>
        </w:rPr>
        <w:t>de</w:t>
      </w:r>
      <w:r w:rsidRPr="003E743A">
        <w:rPr>
          <w:rFonts w:ascii="Times New Roman" w:eastAsia="Calibri" w:hAnsi="Times New Roman" w:cs="Times New Roman"/>
          <w:noProof/>
          <w:color w:val="000000"/>
          <w:spacing w:val="-6"/>
          <w:sz w:val="24"/>
          <w:szCs w:val="24"/>
        </w:rPr>
        <w:t> </w:t>
      </w:r>
      <w:r w:rsidRPr="003E743A">
        <w:rPr>
          <w:rFonts w:ascii="Times New Roman" w:eastAsia="Calibri" w:hAnsi="Times New Roman" w:cs="Times New Roman"/>
          <w:noProof/>
          <w:color w:val="000000"/>
          <w:spacing w:val="-3"/>
          <w:sz w:val="24"/>
          <w:szCs w:val="24"/>
        </w:rPr>
        <w:t>mitigation</w:t>
      </w:r>
      <w:r w:rsidRPr="003E743A">
        <w:rPr>
          <w:rFonts w:ascii="Times New Roman" w:eastAsia="Calibri" w:hAnsi="Times New Roman" w:cs="Times New Roman"/>
          <w:noProof/>
          <w:color w:val="000000"/>
          <w:spacing w:val="-4"/>
          <w:sz w:val="24"/>
          <w:szCs w:val="24"/>
        </w:rPr>
        <w:t> </w:t>
      </w:r>
      <w:r w:rsidRPr="003E743A">
        <w:rPr>
          <w:rFonts w:ascii="Times New Roman" w:eastAsia="Calibri" w:hAnsi="Times New Roman" w:cs="Times New Roman"/>
          <w:noProof/>
          <w:color w:val="000000"/>
          <w:spacing w:val="-3"/>
          <w:sz w:val="24"/>
          <w:szCs w:val="24"/>
        </w:rPr>
        <w:t>ou</w:t>
      </w:r>
      <w:r w:rsidRPr="003E743A">
        <w:rPr>
          <w:rFonts w:ascii="Times New Roman" w:eastAsia="Calibri" w:hAnsi="Times New Roman" w:cs="Times New Roman"/>
          <w:noProof/>
          <w:color w:val="000000"/>
          <w:spacing w:val="-2"/>
          <w:sz w:val="24"/>
          <w:szCs w:val="24"/>
        </w:rPr>
        <w:t> </w:t>
      </w:r>
      <w:r w:rsidRPr="003E743A">
        <w:rPr>
          <w:rFonts w:ascii="Times New Roman" w:eastAsia="Calibri" w:hAnsi="Times New Roman" w:cs="Times New Roman"/>
          <w:noProof/>
          <w:color w:val="000000"/>
          <w:spacing w:val="-3"/>
          <w:sz w:val="24"/>
          <w:szCs w:val="24"/>
        </w:rPr>
        <w:t>de</w:t>
      </w:r>
      <w:r w:rsidRPr="003E743A">
        <w:rPr>
          <w:rFonts w:ascii="Times New Roman" w:eastAsia="Calibri" w:hAnsi="Times New Roman" w:cs="Times New Roman"/>
          <w:noProof/>
          <w:color w:val="000000"/>
          <w:spacing w:val="-6"/>
          <w:sz w:val="24"/>
          <w:szCs w:val="24"/>
        </w:rPr>
        <w:t> </w:t>
      </w:r>
      <w:r w:rsidRPr="003E743A">
        <w:rPr>
          <w:rFonts w:ascii="Times New Roman" w:eastAsia="Calibri" w:hAnsi="Times New Roman" w:cs="Times New Roman"/>
          <w:noProof/>
          <w:color w:val="000000"/>
          <w:spacing w:val="-3"/>
          <w:sz w:val="24"/>
          <w:szCs w:val="24"/>
        </w:rPr>
        <w:t>sécurité</w:t>
      </w:r>
      <w:r w:rsidRPr="003E743A">
        <w:rPr>
          <w:rFonts w:ascii="Times New Roman" w:eastAsia="Calibri" w:hAnsi="Times New Roman" w:cs="Times New Roman"/>
          <w:noProof/>
          <w:color w:val="000000"/>
          <w:spacing w:val="-1"/>
          <w:sz w:val="24"/>
          <w:szCs w:val="24"/>
        </w:rPr>
        <w:t> </w:t>
      </w:r>
      <w:r w:rsidRPr="003E743A">
        <w:rPr>
          <w:rFonts w:ascii="Times New Roman" w:eastAsia="Calibri" w:hAnsi="Times New Roman" w:cs="Times New Roman"/>
          <w:noProof/>
          <w:color w:val="000000"/>
          <w:spacing w:val="-3"/>
          <w:sz w:val="24"/>
          <w:szCs w:val="24"/>
        </w:rPr>
        <w:t>supplémentaires</w:t>
      </w:r>
      <w:r w:rsidRPr="003E743A">
        <w:rPr>
          <w:rFonts w:ascii="Times New Roman" w:eastAsia="Calibri" w:hAnsi="Times New Roman" w:cs="Times New Roman"/>
          <w:noProof/>
          <w:color w:val="000000"/>
          <w:spacing w:val="-2"/>
          <w:sz w:val="24"/>
          <w:szCs w:val="24"/>
        </w:rPr>
        <w:t> </w:t>
      </w:r>
      <w:r w:rsidRPr="003E743A">
        <w:rPr>
          <w:rFonts w:ascii="Times New Roman" w:eastAsia="Calibri" w:hAnsi="Times New Roman" w:cs="Times New Roman"/>
          <w:noProof/>
          <w:color w:val="000000"/>
          <w:spacing w:val="-3"/>
          <w:sz w:val="24"/>
          <w:szCs w:val="24"/>
        </w:rPr>
        <w:t>à</w:t>
      </w:r>
      <w:r w:rsidRPr="003E743A">
        <w:rPr>
          <w:rFonts w:ascii="Times New Roman" w:eastAsia="Calibri" w:hAnsi="Times New Roman" w:cs="Times New Roman"/>
          <w:noProof/>
          <w:color w:val="000000"/>
          <w:spacing w:val="-6"/>
          <w:sz w:val="24"/>
          <w:szCs w:val="24"/>
        </w:rPr>
        <w:t> </w:t>
      </w:r>
      <w:r w:rsidRPr="003E743A">
        <w:rPr>
          <w:rFonts w:ascii="Times New Roman" w:eastAsia="Calibri" w:hAnsi="Times New Roman" w:cs="Times New Roman"/>
          <w:noProof/>
          <w:color w:val="000000"/>
          <w:spacing w:val="-3"/>
          <w:sz w:val="24"/>
          <w:szCs w:val="24"/>
        </w:rPr>
        <w:t>mettre</w:t>
      </w:r>
      <w:r w:rsidRPr="003E743A">
        <w:rPr>
          <w:rFonts w:ascii="Times New Roman" w:eastAsia="Calibri" w:hAnsi="Times New Roman" w:cs="Times New Roman"/>
          <w:noProof/>
          <w:color w:val="000000"/>
          <w:spacing w:val="-4"/>
          <w:sz w:val="24"/>
          <w:szCs w:val="24"/>
        </w:rPr>
        <w:t> </w:t>
      </w:r>
      <w:r w:rsidRPr="003E743A">
        <w:rPr>
          <w:rFonts w:ascii="Times New Roman" w:eastAsia="Calibri" w:hAnsi="Times New Roman" w:cs="Times New Roman"/>
          <w:noProof/>
          <w:color w:val="000000"/>
          <w:spacing w:val="-3"/>
          <w:sz w:val="24"/>
          <w:szCs w:val="24"/>
        </w:rPr>
        <w:t>en</w:t>
      </w:r>
      <w:r w:rsidRPr="003E743A">
        <w:rPr>
          <w:rFonts w:ascii="Times New Roman" w:eastAsia="Calibri" w:hAnsi="Times New Roman" w:cs="Times New Roman"/>
          <w:noProof/>
          <w:color w:val="000000"/>
          <w:spacing w:val="-6"/>
          <w:sz w:val="24"/>
          <w:szCs w:val="24"/>
        </w:rPr>
        <w:t> </w:t>
      </w:r>
      <w:r w:rsidRPr="003E743A">
        <w:rPr>
          <w:rFonts w:ascii="Times New Roman" w:eastAsia="Calibri" w:hAnsi="Times New Roman" w:cs="Times New Roman"/>
          <w:noProof/>
          <w:color w:val="000000"/>
          <w:spacing w:val="-3"/>
          <w:sz w:val="24"/>
          <w:szCs w:val="24"/>
        </w:rPr>
        <w:t>place afin</w:t>
      </w:r>
      <w:r w:rsidRPr="003E743A">
        <w:rPr>
          <w:rFonts w:ascii="Times New Roman" w:eastAsia="Calibri" w:hAnsi="Times New Roman" w:cs="Times New Roman"/>
          <w:sz w:val="24"/>
          <w:szCs w:val="24"/>
        </w:rPr>
        <w:t xml:space="preserve"> </w:t>
      </w:r>
      <w:r w:rsidRPr="003E743A">
        <w:rPr>
          <w:rFonts w:ascii="Times New Roman" w:eastAsia="Calibri" w:hAnsi="Times New Roman" w:cs="Times New Roman"/>
          <w:noProof/>
          <w:color w:val="000000"/>
          <w:spacing w:val="-3"/>
          <w:sz w:val="24"/>
          <w:szCs w:val="24"/>
        </w:rPr>
        <w:t>de rencontrer </w:t>
      </w:r>
      <w:r w:rsidRPr="003E743A">
        <w:rPr>
          <w:rFonts w:ascii="Times New Roman" w:eastAsia="Calibri" w:hAnsi="Times New Roman" w:cs="Times New Roman"/>
          <w:noProof/>
          <w:color w:val="000000"/>
          <w:spacing w:val="-2"/>
          <w:sz w:val="24"/>
          <w:szCs w:val="24"/>
        </w:rPr>
        <w:t>les </w:t>
      </w:r>
      <w:r w:rsidRPr="003E743A">
        <w:rPr>
          <w:rFonts w:ascii="Times New Roman" w:eastAsia="Calibri" w:hAnsi="Times New Roman" w:cs="Times New Roman"/>
          <w:noProof/>
          <w:color w:val="000000"/>
          <w:spacing w:val="-4"/>
          <w:sz w:val="24"/>
          <w:szCs w:val="24"/>
        </w:rPr>
        <w:t>normes</w:t>
      </w:r>
      <w:r w:rsidRPr="003E743A">
        <w:rPr>
          <w:rFonts w:ascii="Times New Roman" w:eastAsia="Calibri" w:hAnsi="Times New Roman" w:cs="Times New Roman"/>
          <w:noProof/>
          <w:color w:val="000000"/>
          <w:spacing w:val="-5"/>
          <w:sz w:val="24"/>
          <w:szCs w:val="24"/>
        </w:rPr>
        <w:t> </w:t>
      </w:r>
      <w:r w:rsidRPr="003E743A">
        <w:rPr>
          <w:rFonts w:ascii="Times New Roman" w:eastAsia="Calibri" w:hAnsi="Times New Roman" w:cs="Times New Roman"/>
          <w:noProof/>
          <w:color w:val="000000"/>
          <w:spacing w:val="-3"/>
          <w:sz w:val="24"/>
          <w:szCs w:val="24"/>
        </w:rPr>
        <w:t>et critères</w:t>
      </w:r>
      <w:r w:rsidRPr="003E743A">
        <w:rPr>
          <w:rFonts w:ascii="Times New Roman" w:eastAsia="Calibri" w:hAnsi="Times New Roman" w:cs="Times New Roman"/>
          <w:noProof/>
          <w:color w:val="000000"/>
          <w:spacing w:val="-2"/>
          <w:sz w:val="24"/>
          <w:szCs w:val="24"/>
        </w:rPr>
        <w:t> </w:t>
      </w:r>
      <w:r w:rsidRPr="003E743A">
        <w:rPr>
          <w:rFonts w:ascii="Times New Roman" w:eastAsia="Calibri" w:hAnsi="Times New Roman" w:cs="Times New Roman"/>
          <w:noProof/>
          <w:color w:val="000000"/>
          <w:spacing w:val="-3"/>
          <w:sz w:val="24"/>
          <w:szCs w:val="24"/>
        </w:rPr>
        <w:t>applicables.</w:t>
      </w:r>
    </w:p>
    <w:p w:rsidR="007F3DC3" w:rsidRPr="003E743A" w:rsidRDefault="007F3DC3" w:rsidP="007F3DC3">
      <w:pPr>
        <w:spacing w:after="0" w:line="240" w:lineRule="exact"/>
        <w:jc w:val="both"/>
        <w:rPr>
          <w:rFonts w:ascii="Times New Roman" w:eastAsia="Calibri" w:hAnsi="Times New Roman" w:cs="Times New Roman"/>
          <w:sz w:val="24"/>
          <w:szCs w:val="24"/>
        </w:rPr>
      </w:pPr>
      <w:r w:rsidRPr="003E743A">
        <w:rPr>
          <w:rFonts w:ascii="Times New Roman" w:eastAsia="Calibri" w:hAnsi="Times New Roman" w:cs="Times New Roman"/>
          <w:sz w:val="24"/>
          <w:szCs w:val="24"/>
        </w:rPr>
        <w:t>Pour les besoins de la présente étude d’impacts sur l’environnement, les différentes étapes du</w:t>
      </w:r>
    </w:p>
    <w:p w:rsidR="007F3DC3" w:rsidRDefault="007F3DC3" w:rsidP="007F3DC3">
      <w:pPr>
        <w:spacing w:after="0" w:line="240" w:lineRule="exact"/>
        <w:jc w:val="both"/>
        <w:rPr>
          <w:rFonts w:ascii="Times New Roman" w:eastAsia="Calibri" w:hAnsi="Times New Roman" w:cs="Times New Roman"/>
          <w:sz w:val="24"/>
          <w:szCs w:val="24"/>
        </w:rPr>
      </w:pPr>
    </w:p>
    <w:p w:rsidR="007F3DC3" w:rsidRPr="003E743A" w:rsidRDefault="007F3DC3" w:rsidP="007F3DC3">
      <w:pPr>
        <w:spacing w:after="0" w:line="240" w:lineRule="exact"/>
        <w:jc w:val="both"/>
        <w:rPr>
          <w:rFonts w:ascii="Times New Roman" w:eastAsia="Calibri" w:hAnsi="Times New Roman" w:cs="Times New Roman"/>
          <w:sz w:val="24"/>
          <w:szCs w:val="24"/>
        </w:rPr>
      </w:pPr>
      <w:r w:rsidRPr="003E743A">
        <w:rPr>
          <w:rFonts w:ascii="Times New Roman" w:eastAsia="Calibri" w:hAnsi="Times New Roman" w:cs="Times New Roman"/>
          <w:sz w:val="24"/>
          <w:szCs w:val="24"/>
        </w:rPr>
        <w:t>Projet qui seront considérées sont les suivantes :</w:t>
      </w:r>
    </w:p>
    <w:p w:rsidR="007F3DC3" w:rsidRPr="003E743A" w:rsidRDefault="007F3DC3" w:rsidP="00FA3FAE">
      <w:pPr>
        <w:numPr>
          <w:ilvl w:val="0"/>
          <w:numId w:val="57"/>
        </w:numPr>
        <w:tabs>
          <w:tab w:val="left" w:pos="425"/>
        </w:tabs>
        <w:spacing w:after="0" w:line="351" w:lineRule="exact"/>
        <w:contextualSpacing/>
        <w:jc w:val="both"/>
        <w:rPr>
          <w:rFonts w:ascii="Times New Roman" w:eastAsia="Calibri" w:hAnsi="Times New Roman" w:cs="Times New Roman"/>
          <w:sz w:val="24"/>
          <w:szCs w:val="24"/>
        </w:rPr>
      </w:pPr>
      <w:r w:rsidRPr="003E743A">
        <w:rPr>
          <w:rFonts w:ascii="Times New Roman" w:eastAsia="Calibri" w:hAnsi="Times New Roman" w:cs="Times New Roman"/>
          <w:noProof/>
          <w:color w:val="000000"/>
          <w:spacing w:val="-3"/>
          <w:sz w:val="24"/>
          <w:szCs w:val="24"/>
        </w:rPr>
        <w:t>Phase </w:t>
      </w:r>
      <w:r w:rsidRPr="003E743A">
        <w:rPr>
          <w:rFonts w:ascii="Times New Roman" w:eastAsia="Calibri" w:hAnsi="Times New Roman" w:cs="Times New Roman"/>
          <w:noProof/>
          <w:color w:val="000000"/>
          <w:spacing w:val="-5"/>
          <w:sz w:val="24"/>
          <w:szCs w:val="24"/>
        </w:rPr>
        <w:t>de</w:t>
      </w:r>
      <w:r w:rsidRPr="003E743A">
        <w:rPr>
          <w:rFonts w:ascii="Times New Roman" w:eastAsia="Calibri" w:hAnsi="Times New Roman" w:cs="Times New Roman"/>
          <w:noProof/>
          <w:color w:val="000000"/>
          <w:spacing w:val="-3"/>
          <w:sz w:val="24"/>
          <w:szCs w:val="24"/>
        </w:rPr>
        <w:t> pré –</w:t>
      </w:r>
      <w:r w:rsidRPr="003E743A">
        <w:rPr>
          <w:rFonts w:ascii="Times New Roman" w:eastAsia="Calibri" w:hAnsi="Times New Roman" w:cs="Times New Roman"/>
          <w:noProof/>
          <w:color w:val="000000"/>
          <w:spacing w:val="-4"/>
          <w:sz w:val="24"/>
          <w:szCs w:val="24"/>
        </w:rPr>
        <w:t> </w:t>
      </w:r>
      <w:r w:rsidRPr="003E743A">
        <w:rPr>
          <w:rFonts w:ascii="Times New Roman" w:eastAsia="Calibri" w:hAnsi="Times New Roman" w:cs="Times New Roman"/>
          <w:noProof/>
          <w:color w:val="000000"/>
          <w:spacing w:val="-3"/>
          <w:sz w:val="24"/>
          <w:szCs w:val="24"/>
        </w:rPr>
        <w:t>construction</w:t>
      </w:r>
      <w:r w:rsidRPr="003E743A">
        <w:rPr>
          <w:rFonts w:ascii="Times New Roman" w:eastAsia="Calibri" w:hAnsi="Times New Roman" w:cs="Times New Roman"/>
          <w:noProof/>
          <w:color w:val="000000"/>
          <w:spacing w:val="-4"/>
          <w:sz w:val="24"/>
          <w:szCs w:val="24"/>
        </w:rPr>
        <w:t> ;</w:t>
      </w:r>
    </w:p>
    <w:p w:rsidR="007F3DC3" w:rsidRPr="003E743A" w:rsidRDefault="007F3DC3" w:rsidP="00FA3FAE">
      <w:pPr>
        <w:numPr>
          <w:ilvl w:val="0"/>
          <w:numId w:val="57"/>
        </w:numPr>
        <w:tabs>
          <w:tab w:val="left" w:pos="425"/>
        </w:tabs>
        <w:spacing w:after="0" w:line="269" w:lineRule="exact"/>
        <w:contextualSpacing/>
        <w:jc w:val="both"/>
        <w:rPr>
          <w:rFonts w:ascii="Times New Roman" w:eastAsia="Calibri" w:hAnsi="Times New Roman" w:cs="Times New Roman"/>
          <w:sz w:val="24"/>
          <w:szCs w:val="24"/>
        </w:rPr>
      </w:pPr>
      <w:r w:rsidRPr="003E743A">
        <w:rPr>
          <w:rFonts w:ascii="Times New Roman" w:eastAsia="Calibri" w:hAnsi="Times New Roman" w:cs="Times New Roman"/>
          <w:noProof/>
          <w:color w:val="000000"/>
          <w:spacing w:val="-3"/>
          <w:sz w:val="24"/>
          <w:szCs w:val="24"/>
        </w:rPr>
        <w:t>Phase de construction</w:t>
      </w:r>
      <w:r w:rsidRPr="003E743A">
        <w:rPr>
          <w:rFonts w:ascii="Times New Roman" w:eastAsia="Calibri" w:hAnsi="Times New Roman" w:cs="Times New Roman"/>
          <w:noProof/>
          <w:color w:val="000000"/>
          <w:spacing w:val="-4"/>
          <w:sz w:val="24"/>
          <w:szCs w:val="24"/>
        </w:rPr>
        <w:t> </w:t>
      </w:r>
      <w:r w:rsidRPr="003E743A">
        <w:rPr>
          <w:rFonts w:ascii="Times New Roman" w:eastAsia="Calibri" w:hAnsi="Times New Roman" w:cs="Times New Roman"/>
          <w:noProof/>
          <w:color w:val="000000"/>
          <w:spacing w:val="-3"/>
          <w:sz w:val="24"/>
          <w:szCs w:val="24"/>
        </w:rPr>
        <w:t>et d’</w:t>
      </w:r>
      <w:r w:rsidRPr="003E743A">
        <w:rPr>
          <w:rFonts w:ascii="Times New Roman" w:eastAsia="Calibri" w:hAnsi="Times New Roman" w:cs="Times New Roman"/>
          <w:noProof/>
          <w:color w:val="000000"/>
          <w:spacing w:val="-4"/>
          <w:sz w:val="24"/>
          <w:szCs w:val="24"/>
        </w:rPr>
        <w:t>aménagement</w:t>
      </w:r>
      <w:r w:rsidRPr="003E743A">
        <w:rPr>
          <w:rFonts w:ascii="Times New Roman" w:eastAsia="Calibri" w:hAnsi="Times New Roman" w:cs="Times New Roman"/>
          <w:noProof/>
          <w:color w:val="000000"/>
          <w:spacing w:val="-3"/>
          <w:sz w:val="24"/>
          <w:szCs w:val="24"/>
        </w:rPr>
        <w:t>;</w:t>
      </w:r>
    </w:p>
    <w:p w:rsidR="007F3DC3" w:rsidRPr="003E743A" w:rsidRDefault="007F3DC3" w:rsidP="00FA3FAE">
      <w:pPr>
        <w:numPr>
          <w:ilvl w:val="0"/>
          <w:numId w:val="57"/>
        </w:numPr>
        <w:tabs>
          <w:tab w:val="left" w:pos="425"/>
        </w:tabs>
        <w:spacing w:after="0" w:line="271" w:lineRule="exact"/>
        <w:contextualSpacing/>
        <w:jc w:val="both"/>
        <w:rPr>
          <w:rFonts w:ascii="Times New Roman" w:eastAsia="Calibri" w:hAnsi="Times New Roman" w:cs="Times New Roman"/>
          <w:sz w:val="24"/>
          <w:szCs w:val="24"/>
        </w:rPr>
      </w:pPr>
      <w:r w:rsidRPr="003E743A">
        <w:rPr>
          <w:rFonts w:ascii="Times New Roman" w:eastAsia="Calibri" w:hAnsi="Times New Roman" w:cs="Times New Roman"/>
          <w:noProof/>
          <w:color w:val="000000"/>
          <w:spacing w:val="-3"/>
          <w:sz w:val="24"/>
          <w:szCs w:val="24"/>
        </w:rPr>
        <w:t>Phase d’exploitation.</w:t>
      </w:r>
    </w:p>
    <w:p w:rsidR="007F3DC3" w:rsidRDefault="007F3DC3" w:rsidP="007F3DC3">
      <w:pPr>
        <w:spacing w:after="0" w:line="240" w:lineRule="auto"/>
        <w:jc w:val="both"/>
        <w:rPr>
          <w:rFonts w:ascii="Times New Roman" w:eastAsia="Calibri" w:hAnsi="Times New Roman" w:cs="Times New Roman"/>
          <w:sz w:val="24"/>
          <w:szCs w:val="24"/>
        </w:rPr>
      </w:pPr>
      <w:r w:rsidRPr="003E743A">
        <w:rPr>
          <w:rFonts w:ascii="Times New Roman" w:eastAsia="Calibri" w:hAnsi="Times New Roman" w:cs="Times New Roman"/>
          <w:sz w:val="24"/>
          <w:szCs w:val="24"/>
        </w:rPr>
        <w:t>Le tableau ci-après est la grille de Fecteau qui va servir à évaluer l’importance absolue de l’impact.</w:t>
      </w:r>
    </w:p>
    <w:p w:rsidR="00BA3EE1" w:rsidRPr="003E743A" w:rsidRDefault="00BA3EE1" w:rsidP="007F3DC3">
      <w:pPr>
        <w:spacing w:after="0" w:line="240" w:lineRule="auto"/>
        <w:jc w:val="both"/>
        <w:rPr>
          <w:rFonts w:ascii="Times New Roman" w:eastAsia="Calibri" w:hAnsi="Times New Roman" w:cs="Times New Roman"/>
          <w:sz w:val="24"/>
          <w:szCs w:val="24"/>
        </w:rPr>
      </w:pPr>
    </w:p>
    <w:p w:rsidR="007F3DC3" w:rsidRPr="00BA3EE1" w:rsidRDefault="007F3DC3" w:rsidP="00BA3EE1">
      <w:pPr>
        <w:jc w:val="center"/>
        <w:rPr>
          <w:rFonts w:ascii="Times New Roman" w:hAnsi="Times New Roman" w:cs="Times New Roman"/>
          <w:b/>
          <w:sz w:val="20"/>
          <w:szCs w:val="20"/>
        </w:rPr>
      </w:pPr>
      <w:bookmarkStart w:id="301" w:name="_Toc459389428"/>
      <w:bookmarkStart w:id="302" w:name="_Toc4770112"/>
      <w:bookmarkStart w:id="303" w:name="_Toc51074010"/>
      <w:r w:rsidRPr="00BA3EE1">
        <w:rPr>
          <w:rFonts w:ascii="Times New Roman" w:hAnsi="Times New Roman" w:cs="Times New Roman"/>
          <w:b/>
          <w:sz w:val="20"/>
          <w:szCs w:val="20"/>
        </w:rPr>
        <w:t xml:space="preserve">Tableau </w:t>
      </w:r>
      <w:r w:rsidRPr="00BA3EE1">
        <w:rPr>
          <w:rFonts w:ascii="Times New Roman" w:hAnsi="Times New Roman" w:cs="Times New Roman"/>
          <w:b/>
          <w:sz w:val="20"/>
          <w:szCs w:val="20"/>
        </w:rPr>
        <w:fldChar w:fldCharType="begin"/>
      </w:r>
      <w:r w:rsidRPr="00BA3EE1">
        <w:rPr>
          <w:rFonts w:ascii="Times New Roman" w:hAnsi="Times New Roman" w:cs="Times New Roman"/>
          <w:b/>
          <w:sz w:val="20"/>
          <w:szCs w:val="20"/>
        </w:rPr>
        <w:instrText xml:space="preserve"> SEQ Tableau \* ARABIC </w:instrText>
      </w:r>
      <w:r w:rsidRPr="00BA3EE1">
        <w:rPr>
          <w:rFonts w:ascii="Times New Roman" w:hAnsi="Times New Roman" w:cs="Times New Roman"/>
          <w:b/>
          <w:sz w:val="20"/>
          <w:szCs w:val="20"/>
        </w:rPr>
        <w:fldChar w:fldCharType="separate"/>
      </w:r>
      <w:r w:rsidR="00820701">
        <w:rPr>
          <w:rFonts w:ascii="Times New Roman" w:hAnsi="Times New Roman" w:cs="Times New Roman"/>
          <w:b/>
          <w:noProof/>
          <w:sz w:val="20"/>
          <w:szCs w:val="20"/>
        </w:rPr>
        <w:t>19</w:t>
      </w:r>
      <w:r w:rsidRPr="00BA3EE1">
        <w:rPr>
          <w:rFonts w:ascii="Times New Roman" w:hAnsi="Times New Roman" w:cs="Times New Roman"/>
          <w:b/>
          <w:sz w:val="20"/>
          <w:szCs w:val="20"/>
        </w:rPr>
        <w:fldChar w:fldCharType="end"/>
      </w:r>
      <w:r w:rsidRPr="00BA3EE1">
        <w:rPr>
          <w:rFonts w:ascii="Times New Roman" w:hAnsi="Times New Roman" w:cs="Times New Roman"/>
          <w:b/>
          <w:sz w:val="20"/>
          <w:szCs w:val="20"/>
        </w:rPr>
        <w:t>: Grille d’évaluation de l’importance des impacts</w:t>
      </w:r>
      <w:bookmarkEnd w:id="301"/>
      <w:bookmarkEnd w:id="302"/>
      <w:bookmarkEnd w:id="303"/>
    </w:p>
    <w:tbl>
      <w:tblPr>
        <w:tblW w:w="87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036"/>
        <w:gridCol w:w="388"/>
        <w:gridCol w:w="1185"/>
        <w:gridCol w:w="228"/>
        <w:gridCol w:w="1335"/>
        <w:gridCol w:w="366"/>
        <w:gridCol w:w="1553"/>
        <w:gridCol w:w="850"/>
        <w:gridCol w:w="1843"/>
      </w:tblGrid>
      <w:tr w:rsidR="002B551D" w:rsidRPr="00AA45E9" w:rsidTr="00A95D75">
        <w:trPr>
          <w:cantSplit/>
          <w:trHeight w:hRule="exact" w:val="281"/>
          <w:jc w:val="center"/>
        </w:trPr>
        <w:tc>
          <w:tcPr>
            <w:tcW w:w="1424" w:type="dxa"/>
            <w:gridSpan w:val="2"/>
            <w:vMerge w:val="restart"/>
            <w:shd w:val="clear" w:color="auto" w:fill="D5DCE4"/>
            <w:vAlign w:val="center"/>
          </w:tcPr>
          <w:p w:rsidR="002B551D" w:rsidRPr="003E743A" w:rsidRDefault="002B551D" w:rsidP="007F1DFA">
            <w:pPr>
              <w:spacing w:after="0" w:line="240" w:lineRule="auto"/>
              <w:jc w:val="center"/>
              <w:rPr>
                <w:rFonts w:ascii="Times New Roman" w:hAnsi="Times New Roman"/>
                <w:b/>
                <w:sz w:val="20"/>
                <w:szCs w:val="24"/>
              </w:rPr>
            </w:pPr>
            <w:r w:rsidRPr="003E743A">
              <w:rPr>
                <w:rFonts w:ascii="Times New Roman" w:hAnsi="Times New Roman"/>
                <w:b/>
                <w:sz w:val="20"/>
                <w:szCs w:val="24"/>
              </w:rPr>
              <w:t>Intensité</w:t>
            </w:r>
          </w:p>
        </w:tc>
        <w:tc>
          <w:tcPr>
            <w:tcW w:w="1413" w:type="dxa"/>
            <w:gridSpan w:val="2"/>
            <w:vMerge w:val="restart"/>
            <w:shd w:val="clear" w:color="auto" w:fill="D5DCE4"/>
            <w:vAlign w:val="center"/>
          </w:tcPr>
          <w:p w:rsidR="002B551D" w:rsidRPr="003E743A" w:rsidRDefault="002B551D" w:rsidP="007F1DFA">
            <w:pPr>
              <w:spacing w:after="0" w:line="240" w:lineRule="auto"/>
              <w:jc w:val="center"/>
              <w:rPr>
                <w:rFonts w:ascii="Times New Roman" w:hAnsi="Times New Roman"/>
                <w:b/>
                <w:sz w:val="20"/>
                <w:szCs w:val="24"/>
              </w:rPr>
            </w:pPr>
            <w:r w:rsidRPr="003E743A">
              <w:rPr>
                <w:rFonts w:ascii="Times New Roman" w:hAnsi="Times New Roman"/>
                <w:b/>
                <w:sz w:val="20"/>
                <w:szCs w:val="24"/>
              </w:rPr>
              <w:t>Étendue</w:t>
            </w:r>
          </w:p>
        </w:tc>
        <w:tc>
          <w:tcPr>
            <w:tcW w:w="1701" w:type="dxa"/>
            <w:gridSpan w:val="2"/>
            <w:vMerge w:val="restart"/>
            <w:shd w:val="clear" w:color="auto" w:fill="D5DCE4"/>
            <w:vAlign w:val="center"/>
          </w:tcPr>
          <w:p w:rsidR="002B551D" w:rsidRPr="003E743A" w:rsidRDefault="002B551D" w:rsidP="007F1DFA">
            <w:pPr>
              <w:spacing w:after="0" w:line="240" w:lineRule="auto"/>
              <w:jc w:val="center"/>
              <w:rPr>
                <w:rFonts w:ascii="Times New Roman" w:hAnsi="Times New Roman"/>
                <w:b/>
                <w:sz w:val="20"/>
                <w:szCs w:val="24"/>
              </w:rPr>
            </w:pPr>
            <w:r w:rsidRPr="003E743A">
              <w:rPr>
                <w:rFonts w:ascii="Times New Roman" w:hAnsi="Times New Roman"/>
                <w:b/>
                <w:sz w:val="20"/>
                <w:szCs w:val="24"/>
              </w:rPr>
              <w:t>Durée</w:t>
            </w:r>
          </w:p>
        </w:tc>
        <w:tc>
          <w:tcPr>
            <w:tcW w:w="4246" w:type="dxa"/>
            <w:gridSpan w:val="3"/>
            <w:tcBorders>
              <w:bottom w:val="nil"/>
            </w:tcBorders>
            <w:shd w:val="clear" w:color="auto" w:fill="D5DCE4"/>
          </w:tcPr>
          <w:p w:rsidR="002B551D" w:rsidRPr="003E743A" w:rsidRDefault="002B551D" w:rsidP="007F1DFA">
            <w:pPr>
              <w:spacing w:after="0" w:line="240" w:lineRule="auto"/>
              <w:jc w:val="center"/>
              <w:rPr>
                <w:rFonts w:ascii="Times New Roman" w:hAnsi="Times New Roman"/>
                <w:b/>
                <w:sz w:val="20"/>
                <w:szCs w:val="24"/>
              </w:rPr>
            </w:pPr>
            <w:r w:rsidRPr="003E743A">
              <w:rPr>
                <w:rFonts w:ascii="Times New Roman" w:hAnsi="Times New Roman"/>
                <w:b/>
                <w:sz w:val="20"/>
                <w:szCs w:val="24"/>
              </w:rPr>
              <w:t>Importance</w:t>
            </w:r>
          </w:p>
        </w:tc>
      </w:tr>
      <w:tr w:rsidR="00A95D75" w:rsidRPr="00AA45E9" w:rsidTr="00A95D75">
        <w:trPr>
          <w:cantSplit/>
          <w:trHeight w:hRule="exact" w:val="281"/>
          <w:jc w:val="center"/>
        </w:trPr>
        <w:tc>
          <w:tcPr>
            <w:tcW w:w="1424" w:type="dxa"/>
            <w:gridSpan w:val="2"/>
            <w:vMerge/>
            <w:shd w:val="clear" w:color="auto" w:fill="D5DCE4"/>
          </w:tcPr>
          <w:p w:rsidR="00A95D75" w:rsidRPr="003E743A" w:rsidRDefault="00A95D75" w:rsidP="007F1DFA">
            <w:pPr>
              <w:spacing w:after="0" w:line="240" w:lineRule="auto"/>
              <w:jc w:val="both"/>
              <w:rPr>
                <w:rFonts w:ascii="Times New Roman" w:hAnsi="Times New Roman"/>
                <w:b/>
                <w:sz w:val="20"/>
                <w:szCs w:val="24"/>
              </w:rPr>
            </w:pPr>
          </w:p>
        </w:tc>
        <w:tc>
          <w:tcPr>
            <w:tcW w:w="1413" w:type="dxa"/>
            <w:gridSpan w:val="2"/>
            <w:vMerge/>
            <w:shd w:val="clear" w:color="auto" w:fill="D5DCE4"/>
          </w:tcPr>
          <w:p w:rsidR="00A95D75" w:rsidRPr="003E743A" w:rsidRDefault="00A95D75" w:rsidP="007F1DFA">
            <w:pPr>
              <w:spacing w:after="0" w:line="240" w:lineRule="auto"/>
              <w:jc w:val="both"/>
              <w:rPr>
                <w:rFonts w:ascii="Times New Roman" w:hAnsi="Times New Roman"/>
                <w:b/>
                <w:sz w:val="20"/>
                <w:szCs w:val="24"/>
              </w:rPr>
            </w:pPr>
          </w:p>
        </w:tc>
        <w:tc>
          <w:tcPr>
            <w:tcW w:w="1701" w:type="dxa"/>
            <w:gridSpan w:val="2"/>
            <w:vMerge/>
            <w:shd w:val="clear" w:color="auto" w:fill="D5DCE4"/>
          </w:tcPr>
          <w:p w:rsidR="00A95D75" w:rsidRPr="003E743A" w:rsidRDefault="00A95D75" w:rsidP="007F1DFA">
            <w:pPr>
              <w:spacing w:after="0" w:line="240" w:lineRule="auto"/>
              <w:jc w:val="both"/>
              <w:rPr>
                <w:rFonts w:ascii="Times New Roman" w:hAnsi="Times New Roman"/>
                <w:b/>
                <w:sz w:val="20"/>
                <w:szCs w:val="24"/>
              </w:rPr>
            </w:pPr>
          </w:p>
        </w:tc>
        <w:tc>
          <w:tcPr>
            <w:tcW w:w="1553" w:type="dxa"/>
            <w:tcBorders>
              <w:bottom w:val="nil"/>
            </w:tcBorders>
            <w:shd w:val="clear" w:color="auto" w:fill="D5DCE4"/>
          </w:tcPr>
          <w:p w:rsidR="00A95D75" w:rsidRPr="003E743A" w:rsidRDefault="00A95D75" w:rsidP="007F1DFA">
            <w:pPr>
              <w:spacing w:after="0" w:line="240" w:lineRule="auto"/>
              <w:jc w:val="center"/>
              <w:rPr>
                <w:rFonts w:ascii="Times New Roman" w:hAnsi="Times New Roman"/>
                <w:b/>
                <w:sz w:val="20"/>
                <w:szCs w:val="24"/>
              </w:rPr>
            </w:pPr>
            <w:r w:rsidRPr="003E743A">
              <w:rPr>
                <w:rFonts w:ascii="Times New Roman" w:hAnsi="Times New Roman"/>
                <w:b/>
                <w:sz w:val="20"/>
                <w:szCs w:val="24"/>
              </w:rPr>
              <w:t>Impact Négatif</w:t>
            </w:r>
          </w:p>
        </w:tc>
        <w:tc>
          <w:tcPr>
            <w:tcW w:w="850" w:type="dxa"/>
            <w:tcBorders>
              <w:bottom w:val="nil"/>
            </w:tcBorders>
            <w:shd w:val="clear" w:color="auto" w:fill="D5DCE4"/>
          </w:tcPr>
          <w:p w:rsidR="00A95D75" w:rsidRPr="003E743A" w:rsidRDefault="00A95D75" w:rsidP="007F1DFA">
            <w:pPr>
              <w:spacing w:after="0" w:line="240" w:lineRule="auto"/>
              <w:jc w:val="center"/>
              <w:rPr>
                <w:rFonts w:ascii="Times New Roman" w:hAnsi="Times New Roman"/>
                <w:b/>
                <w:sz w:val="20"/>
                <w:szCs w:val="24"/>
              </w:rPr>
            </w:pPr>
            <w:r>
              <w:rPr>
                <w:rFonts w:ascii="Times New Roman" w:hAnsi="Times New Roman"/>
                <w:b/>
                <w:sz w:val="20"/>
                <w:szCs w:val="24"/>
              </w:rPr>
              <w:t>V</w:t>
            </w:r>
            <w:r w:rsidR="00807E9B">
              <w:rPr>
                <w:rFonts w:ascii="Times New Roman" w:hAnsi="Times New Roman"/>
                <w:b/>
                <w:sz w:val="20"/>
                <w:szCs w:val="24"/>
              </w:rPr>
              <w:t>aleur</w:t>
            </w:r>
          </w:p>
        </w:tc>
        <w:tc>
          <w:tcPr>
            <w:tcW w:w="1843" w:type="dxa"/>
            <w:tcBorders>
              <w:bottom w:val="nil"/>
            </w:tcBorders>
            <w:shd w:val="clear" w:color="auto" w:fill="D5DCE4"/>
          </w:tcPr>
          <w:p w:rsidR="00A95D75" w:rsidRPr="003E743A" w:rsidRDefault="00A95D75" w:rsidP="007F1DFA">
            <w:pPr>
              <w:spacing w:after="0" w:line="240" w:lineRule="auto"/>
              <w:jc w:val="center"/>
              <w:rPr>
                <w:rFonts w:ascii="Times New Roman" w:hAnsi="Times New Roman"/>
                <w:b/>
                <w:sz w:val="20"/>
                <w:szCs w:val="24"/>
              </w:rPr>
            </w:pPr>
            <w:r w:rsidRPr="003E743A">
              <w:rPr>
                <w:rFonts w:ascii="Times New Roman" w:hAnsi="Times New Roman"/>
                <w:b/>
                <w:sz w:val="20"/>
                <w:szCs w:val="24"/>
              </w:rPr>
              <w:t>Impact Positif</w:t>
            </w:r>
          </w:p>
        </w:tc>
      </w:tr>
      <w:tr w:rsidR="002B551D" w:rsidRPr="00AA45E9" w:rsidTr="00A95D75">
        <w:trPr>
          <w:cantSplit/>
          <w:trHeight w:hRule="exact" w:val="281"/>
          <w:jc w:val="center"/>
        </w:trPr>
        <w:tc>
          <w:tcPr>
            <w:tcW w:w="1036" w:type="dxa"/>
            <w:vMerge w:val="restart"/>
            <w:vAlign w:val="center"/>
          </w:tcPr>
          <w:p w:rsidR="002B551D" w:rsidRPr="003E743A" w:rsidRDefault="002B551D" w:rsidP="007F1DFA">
            <w:pPr>
              <w:spacing w:after="0" w:line="240" w:lineRule="auto"/>
              <w:jc w:val="center"/>
              <w:rPr>
                <w:rFonts w:ascii="Times New Roman" w:hAnsi="Times New Roman"/>
                <w:b/>
                <w:sz w:val="20"/>
                <w:szCs w:val="24"/>
              </w:rPr>
            </w:pPr>
            <w:r>
              <w:rPr>
                <w:rFonts w:ascii="Times New Roman" w:hAnsi="Times New Roman"/>
                <w:b/>
                <w:sz w:val="20"/>
                <w:szCs w:val="24"/>
              </w:rPr>
              <w:t xml:space="preserve"> </w:t>
            </w:r>
            <w:r w:rsidRPr="003E743A">
              <w:rPr>
                <w:rFonts w:ascii="Times New Roman" w:hAnsi="Times New Roman"/>
                <w:b/>
                <w:sz w:val="20"/>
                <w:szCs w:val="24"/>
              </w:rPr>
              <w:t>Forte</w:t>
            </w:r>
          </w:p>
        </w:tc>
        <w:tc>
          <w:tcPr>
            <w:tcW w:w="388" w:type="dxa"/>
            <w:vMerge w:val="restart"/>
            <w:vAlign w:val="center"/>
          </w:tcPr>
          <w:p w:rsidR="002B551D" w:rsidRPr="003E743A" w:rsidRDefault="002B551D" w:rsidP="007F1DFA">
            <w:pPr>
              <w:spacing w:after="0" w:line="240" w:lineRule="auto"/>
              <w:jc w:val="center"/>
              <w:rPr>
                <w:rFonts w:ascii="Times New Roman" w:hAnsi="Times New Roman"/>
                <w:b/>
                <w:sz w:val="20"/>
                <w:szCs w:val="24"/>
              </w:rPr>
            </w:pPr>
            <w:r w:rsidRPr="006F796D">
              <w:rPr>
                <w:rFonts w:ascii="Times New Roman" w:hAnsi="Times New Roman"/>
                <w:b/>
                <w:color w:val="FF0000"/>
                <w:sz w:val="20"/>
                <w:szCs w:val="24"/>
              </w:rPr>
              <w:t>5</w:t>
            </w:r>
          </w:p>
        </w:tc>
        <w:tc>
          <w:tcPr>
            <w:tcW w:w="1185" w:type="dxa"/>
            <w:vMerge w:val="restart"/>
            <w:vAlign w:val="center"/>
          </w:tcPr>
          <w:p w:rsidR="002B551D" w:rsidRPr="003E743A" w:rsidRDefault="002B551D" w:rsidP="007F1DFA">
            <w:pPr>
              <w:spacing w:after="0" w:line="240" w:lineRule="auto"/>
              <w:jc w:val="center"/>
              <w:rPr>
                <w:rFonts w:ascii="Times New Roman" w:hAnsi="Times New Roman"/>
                <w:sz w:val="20"/>
                <w:szCs w:val="24"/>
              </w:rPr>
            </w:pPr>
            <w:r w:rsidRPr="003E743A">
              <w:rPr>
                <w:rFonts w:ascii="Times New Roman" w:hAnsi="Times New Roman"/>
                <w:sz w:val="20"/>
                <w:szCs w:val="24"/>
              </w:rPr>
              <w:t>Régionale</w:t>
            </w:r>
          </w:p>
        </w:tc>
        <w:tc>
          <w:tcPr>
            <w:tcW w:w="228" w:type="dxa"/>
            <w:vMerge w:val="restart"/>
            <w:vAlign w:val="center"/>
          </w:tcPr>
          <w:p w:rsidR="002B551D" w:rsidRPr="006F796D" w:rsidRDefault="002B551D" w:rsidP="007F1DFA">
            <w:pPr>
              <w:spacing w:after="0" w:line="240" w:lineRule="auto"/>
              <w:jc w:val="center"/>
              <w:rPr>
                <w:rFonts w:ascii="Times New Roman" w:hAnsi="Times New Roman"/>
                <w:b/>
                <w:sz w:val="20"/>
                <w:szCs w:val="24"/>
              </w:rPr>
            </w:pPr>
            <w:r w:rsidRPr="006F796D">
              <w:rPr>
                <w:rFonts w:ascii="Times New Roman" w:hAnsi="Times New Roman"/>
                <w:b/>
                <w:sz w:val="20"/>
                <w:szCs w:val="24"/>
              </w:rPr>
              <w:t>5</w:t>
            </w:r>
          </w:p>
        </w:tc>
        <w:tc>
          <w:tcPr>
            <w:tcW w:w="1335" w:type="dxa"/>
            <w:vAlign w:val="center"/>
          </w:tcPr>
          <w:p w:rsidR="002B551D" w:rsidRPr="003E743A" w:rsidRDefault="002B551D" w:rsidP="007F1DFA">
            <w:pPr>
              <w:spacing w:after="0" w:line="240" w:lineRule="auto"/>
              <w:jc w:val="center"/>
              <w:rPr>
                <w:rFonts w:ascii="Times New Roman" w:hAnsi="Times New Roman"/>
                <w:sz w:val="20"/>
                <w:szCs w:val="24"/>
              </w:rPr>
            </w:pPr>
            <w:r w:rsidRPr="003E743A">
              <w:rPr>
                <w:rFonts w:ascii="Times New Roman" w:hAnsi="Times New Roman"/>
                <w:sz w:val="20"/>
                <w:szCs w:val="24"/>
              </w:rPr>
              <w:t>Longue</w:t>
            </w:r>
          </w:p>
        </w:tc>
        <w:tc>
          <w:tcPr>
            <w:tcW w:w="366" w:type="dxa"/>
            <w:vAlign w:val="center"/>
          </w:tcPr>
          <w:p w:rsidR="002B551D" w:rsidRPr="006F796D" w:rsidRDefault="002B551D" w:rsidP="007F1DFA">
            <w:pPr>
              <w:spacing w:after="0" w:line="240" w:lineRule="auto"/>
              <w:jc w:val="center"/>
              <w:rPr>
                <w:rFonts w:ascii="Times New Roman" w:hAnsi="Times New Roman"/>
                <w:b/>
                <w:sz w:val="20"/>
                <w:szCs w:val="24"/>
              </w:rPr>
            </w:pPr>
            <w:r w:rsidRPr="006F796D">
              <w:rPr>
                <w:rFonts w:ascii="Times New Roman" w:hAnsi="Times New Roman"/>
                <w:b/>
                <w:sz w:val="20"/>
                <w:szCs w:val="24"/>
              </w:rPr>
              <w:t>5</w:t>
            </w:r>
          </w:p>
        </w:tc>
        <w:tc>
          <w:tcPr>
            <w:tcW w:w="1553" w:type="dxa"/>
            <w:shd w:val="clear" w:color="auto" w:fill="FF0000"/>
            <w:vAlign w:val="center"/>
          </w:tcPr>
          <w:p w:rsidR="002B551D" w:rsidRPr="003E743A" w:rsidRDefault="002B551D" w:rsidP="007F1DFA">
            <w:pPr>
              <w:spacing w:after="0" w:line="240" w:lineRule="auto"/>
              <w:jc w:val="center"/>
              <w:rPr>
                <w:rFonts w:ascii="Times New Roman" w:hAnsi="Times New Roman"/>
                <w:sz w:val="20"/>
                <w:szCs w:val="24"/>
              </w:rPr>
            </w:pPr>
            <w:r w:rsidRPr="003E743A">
              <w:rPr>
                <w:rFonts w:ascii="Times New Roman" w:hAnsi="Times New Roman"/>
                <w:sz w:val="20"/>
                <w:szCs w:val="24"/>
              </w:rPr>
              <w:t>Majeure</w:t>
            </w:r>
          </w:p>
        </w:tc>
        <w:tc>
          <w:tcPr>
            <w:tcW w:w="850" w:type="dxa"/>
            <w:shd w:val="clear" w:color="auto" w:fill="FFFFFF" w:themeFill="background1"/>
            <w:vAlign w:val="center"/>
          </w:tcPr>
          <w:p w:rsidR="002B551D" w:rsidRPr="006F796D" w:rsidRDefault="002B551D" w:rsidP="007F1DFA">
            <w:pPr>
              <w:spacing w:after="0" w:line="240" w:lineRule="auto"/>
              <w:jc w:val="center"/>
              <w:rPr>
                <w:rFonts w:ascii="Times New Roman" w:hAnsi="Times New Roman"/>
                <w:b/>
                <w:sz w:val="20"/>
                <w:szCs w:val="24"/>
              </w:rPr>
            </w:pPr>
            <w:r>
              <w:rPr>
                <w:rFonts w:ascii="Times New Roman" w:hAnsi="Times New Roman"/>
                <w:b/>
                <w:sz w:val="20"/>
                <w:szCs w:val="24"/>
              </w:rPr>
              <w:t>125</w:t>
            </w:r>
          </w:p>
        </w:tc>
        <w:tc>
          <w:tcPr>
            <w:tcW w:w="1843" w:type="dxa"/>
            <w:shd w:val="clear" w:color="auto" w:fill="8AFD7B"/>
            <w:vAlign w:val="center"/>
          </w:tcPr>
          <w:p w:rsidR="002B551D" w:rsidRPr="003E743A" w:rsidRDefault="002B551D" w:rsidP="007F1DFA">
            <w:pPr>
              <w:spacing w:after="0" w:line="240" w:lineRule="auto"/>
              <w:jc w:val="center"/>
              <w:rPr>
                <w:rFonts w:ascii="Times New Roman" w:hAnsi="Times New Roman"/>
                <w:sz w:val="20"/>
                <w:szCs w:val="24"/>
              </w:rPr>
            </w:pPr>
            <w:r w:rsidRPr="003E743A">
              <w:rPr>
                <w:rFonts w:ascii="Times New Roman" w:hAnsi="Times New Roman"/>
                <w:sz w:val="20"/>
                <w:szCs w:val="24"/>
              </w:rPr>
              <w:t>Majeure</w:t>
            </w:r>
          </w:p>
        </w:tc>
      </w:tr>
      <w:tr w:rsidR="002B551D" w:rsidRPr="00AA45E9" w:rsidTr="00A95D75">
        <w:trPr>
          <w:cantSplit/>
          <w:trHeight w:hRule="exact" w:val="281"/>
          <w:jc w:val="center"/>
        </w:trPr>
        <w:tc>
          <w:tcPr>
            <w:tcW w:w="1036" w:type="dxa"/>
            <w:vMerge/>
            <w:vAlign w:val="center"/>
          </w:tcPr>
          <w:p w:rsidR="002B551D" w:rsidRPr="003E743A" w:rsidRDefault="002B551D" w:rsidP="007F1DFA">
            <w:pPr>
              <w:spacing w:after="0" w:line="240" w:lineRule="auto"/>
              <w:jc w:val="center"/>
              <w:rPr>
                <w:rFonts w:ascii="Times New Roman" w:hAnsi="Times New Roman"/>
                <w:b/>
                <w:sz w:val="20"/>
                <w:szCs w:val="24"/>
              </w:rPr>
            </w:pPr>
          </w:p>
        </w:tc>
        <w:tc>
          <w:tcPr>
            <w:tcW w:w="388" w:type="dxa"/>
            <w:vMerge/>
            <w:vAlign w:val="center"/>
          </w:tcPr>
          <w:p w:rsidR="002B551D" w:rsidRPr="003E743A" w:rsidRDefault="002B551D" w:rsidP="007F1DFA">
            <w:pPr>
              <w:spacing w:after="0" w:line="240" w:lineRule="auto"/>
              <w:jc w:val="center"/>
              <w:rPr>
                <w:rFonts w:ascii="Times New Roman" w:hAnsi="Times New Roman"/>
                <w:b/>
                <w:sz w:val="20"/>
                <w:szCs w:val="24"/>
              </w:rPr>
            </w:pPr>
          </w:p>
        </w:tc>
        <w:tc>
          <w:tcPr>
            <w:tcW w:w="1185" w:type="dxa"/>
            <w:vMerge/>
            <w:vAlign w:val="center"/>
          </w:tcPr>
          <w:p w:rsidR="002B551D" w:rsidRPr="003E743A" w:rsidRDefault="002B551D" w:rsidP="007F1DFA">
            <w:pPr>
              <w:spacing w:after="0" w:line="240" w:lineRule="auto"/>
              <w:jc w:val="center"/>
              <w:rPr>
                <w:rFonts w:ascii="Times New Roman" w:hAnsi="Times New Roman"/>
                <w:sz w:val="20"/>
                <w:szCs w:val="24"/>
              </w:rPr>
            </w:pPr>
          </w:p>
        </w:tc>
        <w:tc>
          <w:tcPr>
            <w:tcW w:w="228" w:type="dxa"/>
            <w:vMerge/>
            <w:vAlign w:val="center"/>
          </w:tcPr>
          <w:p w:rsidR="002B551D" w:rsidRPr="003E743A" w:rsidRDefault="002B551D" w:rsidP="007F1DFA">
            <w:pPr>
              <w:spacing w:after="0" w:line="240" w:lineRule="auto"/>
              <w:jc w:val="center"/>
              <w:rPr>
                <w:rFonts w:ascii="Times New Roman" w:hAnsi="Times New Roman"/>
                <w:sz w:val="20"/>
                <w:szCs w:val="24"/>
              </w:rPr>
            </w:pPr>
          </w:p>
        </w:tc>
        <w:tc>
          <w:tcPr>
            <w:tcW w:w="1335" w:type="dxa"/>
            <w:vAlign w:val="center"/>
          </w:tcPr>
          <w:p w:rsidR="002B551D" w:rsidRPr="003E743A" w:rsidRDefault="002B551D" w:rsidP="007F1DFA">
            <w:pPr>
              <w:spacing w:after="0" w:line="240" w:lineRule="auto"/>
              <w:jc w:val="center"/>
              <w:rPr>
                <w:rFonts w:ascii="Times New Roman" w:hAnsi="Times New Roman"/>
                <w:sz w:val="20"/>
                <w:szCs w:val="24"/>
              </w:rPr>
            </w:pPr>
            <w:r w:rsidRPr="003E743A">
              <w:rPr>
                <w:rFonts w:ascii="Times New Roman" w:hAnsi="Times New Roman"/>
                <w:sz w:val="20"/>
                <w:szCs w:val="24"/>
              </w:rPr>
              <w:t>Moyenne</w:t>
            </w:r>
          </w:p>
        </w:tc>
        <w:tc>
          <w:tcPr>
            <w:tcW w:w="366" w:type="dxa"/>
            <w:vAlign w:val="center"/>
          </w:tcPr>
          <w:p w:rsidR="002B551D" w:rsidRPr="006F796D" w:rsidRDefault="002B551D" w:rsidP="007F1DFA">
            <w:pPr>
              <w:spacing w:after="0" w:line="240" w:lineRule="auto"/>
              <w:jc w:val="center"/>
              <w:rPr>
                <w:rFonts w:ascii="Times New Roman" w:hAnsi="Times New Roman"/>
                <w:b/>
                <w:sz w:val="20"/>
                <w:szCs w:val="24"/>
              </w:rPr>
            </w:pPr>
            <w:r w:rsidRPr="006F796D">
              <w:rPr>
                <w:rFonts w:ascii="Times New Roman" w:hAnsi="Times New Roman"/>
                <w:b/>
                <w:sz w:val="20"/>
                <w:szCs w:val="24"/>
              </w:rPr>
              <w:t>3</w:t>
            </w:r>
          </w:p>
        </w:tc>
        <w:tc>
          <w:tcPr>
            <w:tcW w:w="1553" w:type="dxa"/>
            <w:shd w:val="clear" w:color="auto" w:fill="FF0000"/>
            <w:vAlign w:val="center"/>
          </w:tcPr>
          <w:p w:rsidR="002B551D" w:rsidRPr="003E743A" w:rsidRDefault="002B551D" w:rsidP="007F1DFA">
            <w:pPr>
              <w:spacing w:after="0" w:line="240" w:lineRule="auto"/>
              <w:jc w:val="center"/>
              <w:rPr>
                <w:rFonts w:ascii="Times New Roman" w:hAnsi="Times New Roman"/>
                <w:sz w:val="20"/>
                <w:szCs w:val="24"/>
              </w:rPr>
            </w:pPr>
            <w:r w:rsidRPr="003E743A">
              <w:rPr>
                <w:rFonts w:ascii="Times New Roman" w:hAnsi="Times New Roman"/>
                <w:sz w:val="20"/>
                <w:szCs w:val="24"/>
              </w:rPr>
              <w:t>Majeure</w:t>
            </w:r>
          </w:p>
        </w:tc>
        <w:tc>
          <w:tcPr>
            <w:tcW w:w="850" w:type="dxa"/>
            <w:shd w:val="clear" w:color="auto" w:fill="FFFFFF" w:themeFill="background1"/>
          </w:tcPr>
          <w:p w:rsidR="002B551D" w:rsidRPr="006F796D" w:rsidRDefault="002B551D" w:rsidP="007F1DFA">
            <w:pPr>
              <w:spacing w:after="0" w:line="240" w:lineRule="auto"/>
              <w:jc w:val="center"/>
              <w:rPr>
                <w:rFonts w:ascii="Times New Roman" w:hAnsi="Times New Roman"/>
                <w:b/>
                <w:sz w:val="20"/>
                <w:szCs w:val="24"/>
              </w:rPr>
            </w:pPr>
            <w:r>
              <w:rPr>
                <w:rFonts w:ascii="Times New Roman" w:hAnsi="Times New Roman"/>
                <w:b/>
                <w:sz w:val="20"/>
                <w:szCs w:val="24"/>
              </w:rPr>
              <w:t>75</w:t>
            </w:r>
          </w:p>
        </w:tc>
        <w:tc>
          <w:tcPr>
            <w:tcW w:w="1843" w:type="dxa"/>
            <w:shd w:val="clear" w:color="auto" w:fill="8AFD7B"/>
            <w:vAlign w:val="center"/>
          </w:tcPr>
          <w:p w:rsidR="002B551D" w:rsidRPr="003E743A" w:rsidRDefault="002B551D" w:rsidP="007F1DFA">
            <w:pPr>
              <w:spacing w:after="0" w:line="240" w:lineRule="auto"/>
              <w:jc w:val="center"/>
              <w:rPr>
                <w:rFonts w:ascii="Times New Roman" w:hAnsi="Times New Roman"/>
                <w:sz w:val="20"/>
                <w:szCs w:val="24"/>
              </w:rPr>
            </w:pPr>
            <w:r w:rsidRPr="003E743A">
              <w:rPr>
                <w:rFonts w:ascii="Times New Roman" w:hAnsi="Times New Roman"/>
                <w:sz w:val="20"/>
                <w:szCs w:val="24"/>
              </w:rPr>
              <w:t>Majeure</w:t>
            </w:r>
          </w:p>
        </w:tc>
      </w:tr>
      <w:tr w:rsidR="002B551D" w:rsidRPr="00AA45E9" w:rsidTr="00A95D75">
        <w:trPr>
          <w:cantSplit/>
          <w:trHeight w:hRule="exact" w:val="281"/>
          <w:jc w:val="center"/>
        </w:trPr>
        <w:tc>
          <w:tcPr>
            <w:tcW w:w="1036" w:type="dxa"/>
            <w:vMerge/>
            <w:vAlign w:val="center"/>
          </w:tcPr>
          <w:p w:rsidR="002B551D" w:rsidRPr="003E743A" w:rsidRDefault="002B551D" w:rsidP="007F1DFA">
            <w:pPr>
              <w:spacing w:after="0" w:line="240" w:lineRule="auto"/>
              <w:jc w:val="center"/>
              <w:rPr>
                <w:rFonts w:ascii="Times New Roman" w:hAnsi="Times New Roman"/>
                <w:b/>
                <w:sz w:val="20"/>
                <w:szCs w:val="24"/>
              </w:rPr>
            </w:pPr>
          </w:p>
        </w:tc>
        <w:tc>
          <w:tcPr>
            <w:tcW w:w="388" w:type="dxa"/>
            <w:vMerge/>
            <w:vAlign w:val="center"/>
          </w:tcPr>
          <w:p w:rsidR="002B551D" w:rsidRPr="003E743A" w:rsidRDefault="002B551D" w:rsidP="007F1DFA">
            <w:pPr>
              <w:spacing w:after="0" w:line="240" w:lineRule="auto"/>
              <w:jc w:val="center"/>
              <w:rPr>
                <w:rFonts w:ascii="Times New Roman" w:hAnsi="Times New Roman"/>
                <w:b/>
                <w:sz w:val="20"/>
                <w:szCs w:val="24"/>
              </w:rPr>
            </w:pPr>
          </w:p>
        </w:tc>
        <w:tc>
          <w:tcPr>
            <w:tcW w:w="1185" w:type="dxa"/>
            <w:vMerge/>
            <w:vAlign w:val="center"/>
          </w:tcPr>
          <w:p w:rsidR="002B551D" w:rsidRPr="003E743A" w:rsidRDefault="002B551D" w:rsidP="007F1DFA">
            <w:pPr>
              <w:spacing w:after="0" w:line="240" w:lineRule="auto"/>
              <w:jc w:val="center"/>
              <w:rPr>
                <w:rFonts w:ascii="Times New Roman" w:hAnsi="Times New Roman"/>
                <w:sz w:val="20"/>
                <w:szCs w:val="24"/>
              </w:rPr>
            </w:pPr>
          </w:p>
        </w:tc>
        <w:tc>
          <w:tcPr>
            <w:tcW w:w="228" w:type="dxa"/>
            <w:vMerge/>
            <w:vAlign w:val="center"/>
          </w:tcPr>
          <w:p w:rsidR="002B551D" w:rsidRPr="003E743A" w:rsidRDefault="002B551D" w:rsidP="007F1DFA">
            <w:pPr>
              <w:spacing w:after="0" w:line="240" w:lineRule="auto"/>
              <w:jc w:val="center"/>
              <w:rPr>
                <w:rFonts w:ascii="Times New Roman" w:hAnsi="Times New Roman"/>
                <w:sz w:val="20"/>
                <w:szCs w:val="24"/>
              </w:rPr>
            </w:pPr>
          </w:p>
        </w:tc>
        <w:tc>
          <w:tcPr>
            <w:tcW w:w="1335" w:type="dxa"/>
            <w:vAlign w:val="center"/>
          </w:tcPr>
          <w:p w:rsidR="002B551D" w:rsidRPr="003E743A" w:rsidRDefault="002B551D" w:rsidP="007F1DFA">
            <w:pPr>
              <w:spacing w:after="0" w:line="240" w:lineRule="auto"/>
              <w:jc w:val="center"/>
              <w:rPr>
                <w:rFonts w:ascii="Times New Roman" w:hAnsi="Times New Roman"/>
                <w:sz w:val="20"/>
                <w:szCs w:val="24"/>
              </w:rPr>
            </w:pPr>
            <w:r w:rsidRPr="003E743A">
              <w:rPr>
                <w:rFonts w:ascii="Times New Roman" w:hAnsi="Times New Roman"/>
                <w:sz w:val="20"/>
                <w:szCs w:val="24"/>
              </w:rPr>
              <w:t>Courte</w:t>
            </w:r>
          </w:p>
        </w:tc>
        <w:tc>
          <w:tcPr>
            <w:tcW w:w="366" w:type="dxa"/>
            <w:vAlign w:val="center"/>
          </w:tcPr>
          <w:p w:rsidR="002B551D" w:rsidRPr="006F796D" w:rsidRDefault="002B551D" w:rsidP="007F1DFA">
            <w:pPr>
              <w:spacing w:after="0" w:line="240" w:lineRule="auto"/>
              <w:jc w:val="center"/>
              <w:rPr>
                <w:rFonts w:ascii="Times New Roman" w:hAnsi="Times New Roman"/>
                <w:b/>
                <w:sz w:val="20"/>
                <w:szCs w:val="24"/>
              </w:rPr>
            </w:pPr>
            <w:r w:rsidRPr="006F796D">
              <w:rPr>
                <w:rFonts w:ascii="Times New Roman" w:hAnsi="Times New Roman"/>
                <w:b/>
                <w:sz w:val="20"/>
                <w:szCs w:val="24"/>
              </w:rPr>
              <w:t>1</w:t>
            </w:r>
          </w:p>
        </w:tc>
        <w:tc>
          <w:tcPr>
            <w:tcW w:w="1553" w:type="dxa"/>
            <w:shd w:val="clear" w:color="auto" w:fill="FFFF00"/>
            <w:vAlign w:val="center"/>
          </w:tcPr>
          <w:p w:rsidR="002B551D" w:rsidRPr="003E743A" w:rsidRDefault="002B551D" w:rsidP="007F1DFA">
            <w:pPr>
              <w:spacing w:after="0" w:line="240" w:lineRule="auto"/>
              <w:jc w:val="center"/>
              <w:rPr>
                <w:rFonts w:ascii="Times New Roman" w:hAnsi="Times New Roman"/>
                <w:sz w:val="20"/>
                <w:szCs w:val="24"/>
              </w:rPr>
            </w:pPr>
            <w:r w:rsidRPr="003E743A">
              <w:rPr>
                <w:rFonts w:ascii="Times New Roman" w:hAnsi="Times New Roman"/>
                <w:sz w:val="20"/>
                <w:szCs w:val="24"/>
              </w:rPr>
              <w:t>Moyenne</w:t>
            </w:r>
          </w:p>
        </w:tc>
        <w:tc>
          <w:tcPr>
            <w:tcW w:w="850" w:type="dxa"/>
            <w:shd w:val="clear" w:color="auto" w:fill="FFFFFF" w:themeFill="background1"/>
          </w:tcPr>
          <w:p w:rsidR="002B551D" w:rsidRPr="006F796D" w:rsidRDefault="002B551D" w:rsidP="007F1DFA">
            <w:pPr>
              <w:spacing w:after="0" w:line="240" w:lineRule="auto"/>
              <w:jc w:val="center"/>
              <w:rPr>
                <w:rFonts w:ascii="Times New Roman" w:hAnsi="Times New Roman"/>
                <w:b/>
                <w:sz w:val="20"/>
                <w:szCs w:val="24"/>
              </w:rPr>
            </w:pPr>
            <w:r>
              <w:rPr>
                <w:rFonts w:ascii="Times New Roman" w:hAnsi="Times New Roman"/>
                <w:b/>
                <w:sz w:val="20"/>
                <w:szCs w:val="24"/>
              </w:rPr>
              <w:t>25</w:t>
            </w:r>
          </w:p>
        </w:tc>
        <w:tc>
          <w:tcPr>
            <w:tcW w:w="1843" w:type="dxa"/>
            <w:shd w:val="clear" w:color="auto" w:fill="FFE599" w:themeFill="accent4" w:themeFillTint="66"/>
            <w:vAlign w:val="center"/>
          </w:tcPr>
          <w:p w:rsidR="002B551D" w:rsidRPr="003E743A" w:rsidRDefault="002B551D" w:rsidP="007F1DFA">
            <w:pPr>
              <w:spacing w:after="0" w:line="240" w:lineRule="auto"/>
              <w:jc w:val="center"/>
              <w:rPr>
                <w:rFonts w:ascii="Times New Roman" w:hAnsi="Times New Roman"/>
                <w:sz w:val="20"/>
                <w:szCs w:val="24"/>
              </w:rPr>
            </w:pPr>
            <w:r w:rsidRPr="003E743A">
              <w:rPr>
                <w:rFonts w:ascii="Times New Roman" w:hAnsi="Times New Roman"/>
                <w:sz w:val="20"/>
                <w:szCs w:val="24"/>
              </w:rPr>
              <w:t>M</w:t>
            </w:r>
            <w:r>
              <w:rPr>
                <w:rFonts w:ascii="Times New Roman" w:hAnsi="Times New Roman"/>
                <w:sz w:val="20"/>
                <w:szCs w:val="24"/>
              </w:rPr>
              <w:t>oyenne</w:t>
            </w:r>
          </w:p>
        </w:tc>
      </w:tr>
      <w:tr w:rsidR="002B551D" w:rsidRPr="00AA45E9" w:rsidTr="00A95D75">
        <w:trPr>
          <w:cantSplit/>
          <w:trHeight w:hRule="exact" w:val="281"/>
          <w:jc w:val="center"/>
        </w:trPr>
        <w:tc>
          <w:tcPr>
            <w:tcW w:w="1036" w:type="dxa"/>
            <w:vMerge/>
            <w:vAlign w:val="center"/>
          </w:tcPr>
          <w:p w:rsidR="002B551D" w:rsidRPr="003E743A" w:rsidRDefault="002B551D" w:rsidP="007F1DFA">
            <w:pPr>
              <w:spacing w:after="0" w:line="240" w:lineRule="auto"/>
              <w:jc w:val="center"/>
              <w:rPr>
                <w:rFonts w:ascii="Times New Roman" w:hAnsi="Times New Roman"/>
                <w:b/>
                <w:sz w:val="20"/>
                <w:szCs w:val="24"/>
              </w:rPr>
            </w:pPr>
          </w:p>
        </w:tc>
        <w:tc>
          <w:tcPr>
            <w:tcW w:w="388" w:type="dxa"/>
            <w:vMerge/>
            <w:vAlign w:val="center"/>
          </w:tcPr>
          <w:p w:rsidR="002B551D" w:rsidRPr="003E743A" w:rsidRDefault="002B551D" w:rsidP="007F1DFA">
            <w:pPr>
              <w:spacing w:after="0" w:line="240" w:lineRule="auto"/>
              <w:jc w:val="center"/>
              <w:rPr>
                <w:rFonts w:ascii="Times New Roman" w:hAnsi="Times New Roman"/>
                <w:b/>
                <w:sz w:val="20"/>
                <w:szCs w:val="24"/>
              </w:rPr>
            </w:pPr>
          </w:p>
        </w:tc>
        <w:tc>
          <w:tcPr>
            <w:tcW w:w="1185" w:type="dxa"/>
            <w:vMerge w:val="restart"/>
            <w:vAlign w:val="center"/>
          </w:tcPr>
          <w:p w:rsidR="002B551D" w:rsidRPr="003E743A" w:rsidRDefault="002B551D" w:rsidP="007F1DFA">
            <w:pPr>
              <w:spacing w:after="0" w:line="240" w:lineRule="auto"/>
              <w:jc w:val="center"/>
              <w:rPr>
                <w:rFonts w:ascii="Times New Roman" w:hAnsi="Times New Roman"/>
                <w:sz w:val="20"/>
                <w:szCs w:val="24"/>
              </w:rPr>
            </w:pPr>
            <w:r w:rsidRPr="003E743A">
              <w:rPr>
                <w:rFonts w:ascii="Times New Roman" w:hAnsi="Times New Roman"/>
                <w:sz w:val="20"/>
                <w:szCs w:val="24"/>
              </w:rPr>
              <w:t>Locale</w:t>
            </w:r>
          </w:p>
        </w:tc>
        <w:tc>
          <w:tcPr>
            <w:tcW w:w="228" w:type="dxa"/>
            <w:vMerge w:val="restart"/>
            <w:vAlign w:val="center"/>
          </w:tcPr>
          <w:p w:rsidR="002B551D" w:rsidRPr="003E743A" w:rsidRDefault="002B551D" w:rsidP="007F1DFA">
            <w:pPr>
              <w:spacing w:after="0" w:line="240" w:lineRule="auto"/>
              <w:jc w:val="center"/>
              <w:rPr>
                <w:rFonts w:ascii="Times New Roman" w:hAnsi="Times New Roman"/>
                <w:sz w:val="20"/>
                <w:szCs w:val="24"/>
              </w:rPr>
            </w:pPr>
            <w:r w:rsidRPr="006F796D">
              <w:rPr>
                <w:rFonts w:ascii="Times New Roman" w:hAnsi="Times New Roman"/>
                <w:b/>
                <w:sz w:val="20"/>
                <w:szCs w:val="24"/>
              </w:rPr>
              <w:t>3</w:t>
            </w:r>
          </w:p>
        </w:tc>
        <w:tc>
          <w:tcPr>
            <w:tcW w:w="1335" w:type="dxa"/>
            <w:vAlign w:val="center"/>
          </w:tcPr>
          <w:p w:rsidR="002B551D" w:rsidRPr="003E743A" w:rsidRDefault="002B551D" w:rsidP="007F1DFA">
            <w:pPr>
              <w:spacing w:after="0" w:line="240" w:lineRule="auto"/>
              <w:jc w:val="center"/>
              <w:rPr>
                <w:rFonts w:ascii="Times New Roman" w:hAnsi="Times New Roman"/>
                <w:sz w:val="20"/>
                <w:szCs w:val="24"/>
              </w:rPr>
            </w:pPr>
            <w:r w:rsidRPr="003E743A">
              <w:rPr>
                <w:rFonts w:ascii="Times New Roman" w:hAnsi="Times New Roman"/>
                <w:sz w:val="20"/>
                <w:szCs w:val="24"/>
              </w:rPr>
              <w:t>Longue</w:t>
            </w:r>
          </w:p>
        </w:tc>
        <w:tc>
          <w:tcPr>
            <w:tcW w:w="366" w:type="dxa"/>
            <w:vAlign w:val="center"/>
          </w:tcPr>
          <w:p w:rsidR="002B551D" w:rsidRPr="003E743A" w:rsidRDefault="002B551D" w:rsidP="007F1DFA">
            <w:pPr>
              <w:spacing w:after="0" w:line="240" w:lineRule="auto"/>
              <w:jc w:val="center"/>
              <w:rPr>
                <w:rFonts w:ascii="Times New Roman" w:hAnsi="Times New Roman"/>
                <w:sz w:val="20"/>
                <w:szCs w:val="24"/>
              </w:rPr>
            </w:pPr>
            <w:r w:rsidRPr="00674610">
              <w:rPr>
                <w:rFonts w:ascii="Times New Roman" w:hAnsi="Times New Roman"/>
                <w:b/>
                <w:sz w:val="20"/>
                <w:szCs w:val="24"/>
              </w:rPr>
              <w:t>5</w:t>
            </w:r>
          </w:p>
        </w:tc>
        <w:tc>
          <w:tcPr>
            <w:tcW w:w="1553" w:type="dxa"/>
            <w:tcBorders>
              <w:bottom w:val="nil"/>
            </w:tcBorders>
            <w:shd w:val="clear" w:color="auto" w:fill="FF0000"/>
            <w:vAlign w:val="center"/>
          </w:tcPr>
          <w:p w:rsidR="002B551D" w:rsidRPr="003E743A" w:rsidRDefault="002B551D" w:rsidP="007F1DFA">
            <w:pPr>
              <w:spacing w:after="0" w:line="240" w:lineRule="auto"/>
              <w:jc w:val="center"/>
              <w:rPr>
                <w:rFonts w:ascii="Times New Roman" w:hAnsi="Times New Roman"/>
                <w:sz w:val="20"/>
                <w:szCs w:val="24"/>
              </w:rPr>
            </w:pPr>
            <w:r w:rsidRPr="003E743A">
              <w:rPr>
                <w:rFonts w:ascii="Times New Roman" w:hAnsi="Times New Roman"/>
                <w:sz w:val="20"/>
                <w:szCs w:val="24"/>
              </w:rPr>
              <w:t>Majeure</w:t>
            </w:r>
          </w:p>
        </w:tc>
        <w:tc>
          <w:tcPr>
            <w:tcW w:w="850" w:type="dxa"/>
            <w:tcBorders>
              <w:bottom w:val="nil"/>
            </w:tcBorders>
            <w:shd w:val="clear" w:color="auto" w:fill="FFFFFF" w:themeFill="background1"/>
          </w:tcPr>
          <w:p w:rsidR="002B551D" w:rsidRPr="006F796D" w:rsidRDefault="002B551D" w:rsidP="007F1DFA">
            <w:pPr>
              <w:spacing w:after="0" w:line="240" w:lineRule="auto"/>
              <w:jc w:val="center"/>
              <w:rPr>
                <w:rFonts w:ascii="Times New Roman" w:hAnsi="Times New Roman"/>
                <w:b/>
                <w:sz w:val="20"/>
                <w:szCs w:val="24"/>
              </w:rPr>
            </w:pPr>
            <w:r>
              <w:rPr>
                <w:rFonts w:ascii="Times New Roman" w:hAnsi="Times New Roman"/>
                <w:b/>
                <w:sz w:val="20"/>
                <w:szCs w:val="24"/>
              </w:rPr>
              <w:t>75</w:t>
            </w:r>
          </w:p>
        </w:tc>
        <w:tc>
          <w:tcPr>
            <w:tcW w:w="1843" w:type="dxa"/>
            <w:tcBorders>
              <w:bottom w:val="nil"/>
            </w:tcBorders>
            <w:shd w:val="clear" w:color="auto" w:fill="8AFD7B"/>
            <w:vAlign w:val="center"/>
          </w:tcPr>
          <w:p w:rsidR="002B551D" w:rsidRPr="003E743A" w:rsidRDefault="002B551D" w:rsidP="007F1DFA">
            <w:pPr>
              <w:spacing w:after="0" w:line="240" w:lineRule="auto"/>
              <w:jc w:val="center"/>
              <w:rPr>
                <w:rFonts w:ascii="Times New Roman" w:hAnsi="Times New Roman"/>
                <w:sz w:val="20"/>
                <w:szCs w:val="24"/>
              </w:rPr>
            </w:pPr>
            <w:r w:rsidRPr="003E743A">
              <w:rPr>
                <w:rFonts w:ascii="Times New Roman" w:hAnsi="Times New Roman"/>
                <w:sz w:val="20"/>
                <w:szCs w:val="24"/>
              </w:rPr>
              <w:t>Majeure</w:t>
            </w:r>
          </w:p>
        </w:tc>
      </w:tr>
      <w:tr w:rsidR="002B551D" w:rsidRPr="00AA45E9" w:rsidTr="00A95D75">
        <w:trPr>
          <w:cantSplit/>
          <w:trHeight w:hRule="exact" w:val="281"/>
          <w:jc w:val="center"/>
        </w:trPr>
        <w:tc>
          <w:tcPr>
            <w:tcW w:w="1036" w:type="dxa"/>
            <w:vMerge/>
            <w:vAlign w:val="center"/>
          </w:tcPr>
          <w:p w:rsidR="002B551D" w:rsidRPr="003E743A" w:rsidRDefault="002B551D" w:rsidP="007F1DFA">
            <w:pPr>
              <w:spacing w:after="0" w:line="240" w:lineRule="auto"/>
              <w:jc w:val="center"/>
              <w:rPr>
                <w:rFonts w:ascii="Times New Roman" w:hAnsi="Times New Roman"/>
                <w:b/>
                <w:sz w:val="20"/>
                <w:szCs w:val="24"/>
              </w:rPr>
            </w:pPr>
          </w:p>
        </w:tc>
        <w:tc>
          <w:tcPr>
            <w:tcW w:w="388" w:type="dxa"/>
            <w:vMerge/>
            <w:vAlign w:val="center"/>
          </w:tcPr>
          <w:p w:rsidR="002B551D" w:rsidRPr="003E743A" w:rsidRDefault="002B551D" w:rsidP="007F1DFA">
            <w:pPr>
              <w:spacing w:after="0" w:line="240" w:lineRule="auto"/>
              <w:jc w:val="center"/>
              <w:rPr>
                <w:rFonts w:ascii="Times New Roman" w:hAnsi="Times New Roman"/>
                <w:b/>
                <w:sz w:val="20"/>
                <w:szCs w:val="24"/>
              </w:rPr>
            </w:pPr>
          </w:p>
        </w:tc>
        <w:tc>
          <w:tcPr>
            <w:tcW w:w="1185" w:type="dxa"/>
            <w:vMerge/>
            <w:vAlign w:val="center"/>
          </w:tcPr>
          <w:p w:rsidR="002B551D" w:rsidRPr="003E743A" w:rsidRDefault="002B551D" w:rsidP="007F1DFA">
            <w:pPr>
              <w:spacing w:after="0" w:line="240" w:lineRule="auto"/>
              <w:jc w:val="center"/>
              <w:rPr>
                <w:rFonts w:ascii="Times New Roman" w:hAnsi="Times New Roman"/>
                <w:sz w:val="20"/>
                <w:szCs w:val="24"/>
              </w:rPr>
            </w:pPr>
          </w:p>
        </w:tc>
        <w:tc>
          <w:tcPr>
            <w:tcW w:w="228" w:type="dxa"/>
            <w:vMerge/>
            <w:vAlign w:val="center"/>
          </w:tcPr>
          <w:p w:rsidR="002B551D" w:rsidRPr="003E743A" w:rsidRDefault="002B551D" w:rsidP="007F1DFA">
            <w:pPr>
              <w:spacing w:after="0" w:line="240" w:lineRule="auto"/>
              <w:jc w:val="center"/>
              <w:rPr>
                <w:rFonts w:ascii="Times New Roman" w:hAnsi="Times New Roman"/>
                <w:sz w:val="20"/>
                <w:szCs w:val="24"/>
              </w:rPr>
            </w:pPr>
          </w:p>
        </w:tc>
        <w:tc>
          <w:tcPr>
            <w:tcW w:w="1335" w:type="dxa"/>
            <w:vAlign w:val="center"/>
          </w:tcPr>
          <w:p w:rsidR="002B551D" w:rsidRPr="003E743A" w:rsidRDefault="002B551D" w:rsidP="007F1DFA">
            <w:pPr>
              <w:spacing w:after="0" w:line="240" w:lineRule="auto"/>
              <w:jc w:val="center"/>
              <w:rPr>
                <w:rFonts w:ascii="Times New Roman" w:hAnsi="Times New Roman"/>
                <w:sz w:val="20"/>
                <w:szCs w:val="24"/>
              </w:rPr>
            </w:pPr>
            <w:r w:rsidRPr="003E743A">
              <w:rPr>
                <w:rFonts w:ascii="Times New Roman" w:hAnsi="Times New Roman"/>
                <w:sz w:val="20"/>
                <w:szCs w:val="24"/>
              </w:rPr>
              <w:t>Moyenne</w:t>
            </w:r>
          </w:p>
        </w:tc>
        <w:tc>
          <w:tcPr>
            <w:tcW w:w="366" w:type="dxa"/>
            <w:vAlign w:val="center"/>
          </w:tcPr>
          <w:p w:rsidR="002B551D" w:rsidRPr="003E743A" w:rsidRDefault="002B551D" w:rsidP="007F1DFA">
            <w:pPr>
              <w:spacing w:after="0" w:line="240" w:lineRule="auto"/>
              <w:jc w:val="center"/>
              <w:rPr>
                <w:rFonts w:ascii="Times New Roman" w:hAnsi="Times New Roman"/>
                <w:sz w:val="20"/>
                <w:szCs w:val="24"/>
              </w:rPr>
            </w:pPr>
            <w:r w:rsidRPr="00674610">
              <w:rPr>
                <w:rFonts w:ascii="Times New Roman" w:hAnsi="Times New Roman"/>
                <w:b/>
                <w:sz w:val="20"/>
                <w:szCs w:val="24"/>
              </w:rPr>
              <w:t>3</w:t>
            </w:r>
          </w:p>
        </w:tc>
        <w:tc>
          <w:tcPr>
            <w:tcW w:w="1553" w:type="dxa"/>
            <w:shd w:val="clear" w:color="auto" w:fill="FFFF00"/>
            <w:vAlign w:val="center"/>
          </w:tcPr>
          <w:p w:rsidR="002B551D" w:rsidRPr="003E743A" w:rsidRDefault="002B551D" w:rsidP="007F1DFA">
            <w:pPr>
              <w:spacing w:after="0" w:line="240" w:lineRule="auto"/>
              <w:jc w:val="center"/>
              <w:rPr>
                <w:rFonts w:ascii="Times New Roman" w:hAnsi="Times New Roman"/>
                <w:sz w:val="20"/>
                <w:szCs w:val="24"/>
              </w:rPr>
            </w:pPr>
            <w:r w:rsidRPr="003E743A">
              <w:rPr>
                <w:rFonts w:ascii="Times New Roman" w:hAnsi="Times New Roman"/>
                <w:sz w:val="20"/>
                <w:szCs w:val="24"/>
              </w:rPr>
              <w:t>Moyenne</w:t>
            </w:r>
          </w:p>
        </w:tc>
        <w:tc>
          <w:tcPr>
            <w:tcW w:w="850" w:type="dxa"/>
            <w:shd w:val="clear" w:color="auto" w:fill="FFFFFF" w:themeFill="background1"/>
            <w:vAlign w:val="center"/>
          </w:tcPr>
          <w:p w:rsidR="002B551D" w:rsidRPr="00D205EB" w:rsidRDefault="002B551D" w:rsidP="007F1DFA">
            <w:pPr>
              <w:spacing w:after="0" w:line="240" w:lineRule="auto"/>
              <w:jc w:val="center"/>
              <w:rPr>
                <w:rFonts w:ascii="Times New Roman" w:hAnsi="Times New Roman"/>
                <w:sz w:val="20"/>
                <w:szCs w:val="24"/>
              </w:rPr>
            </w:pPr>
            <w:r>
              <w:rPr>
                <w:rFonts w:ascii="Times New Roman" w:hAnsi="Times New Roman"/>
                <w:b/>
                <w:sz w:val="20"/>
                <w:szCs w:val="24"/>
              </w:rPr>
              <w:t>45</w:t>
            </w:r>
          </w:p>
        </w:tc>
        <w:tc>
          <w:tcPr>
            <w:tcW w:w="1843" w:type="dxa"/>
            <w:shd w:val="clear" w:color="auto" w:fill="FFFFAB"/>
            <w:vAlign w:val="center"/>
          </w:tcPr>
          <w:p w:rsidR="002B551D" w:rsidRPr="003E743A" w:rsidRDefault="002B551D" w:rsidP="007F1DFA">
            <w:pPr>
              <w:spacing w:after="0" w:line="240" w:lineRule="auto"/>
              <w:jc w:val="center"/>
              <w:rPr>
                <w:rFonts w:ascii="Times New Roman" w:hAnsi="Times New Roman"/>
                <w:sz w:val="20"/>
                <w:szCs w:val="24"/>
              </w:rPr>
            </w:pPr>
            <w:r w:rsidRPr="003E743A">
              <w:rPr>
                <w:rFonts w:ascii="Times New Roman" w:hAnsi="Times New Roman"/>
                <w:sz w:val="20"/>
                <w:szCs w:val="24"/>
              </w:rPr>
              <w:t>Moyenne</w:t>
            </w:r>
          </w:p>
        </w:tc>
      </w:tr>
      <w:tr w:rsidR="002B551D" w:rsidRPr="00AA45E9" w:rsidTr="00A95D75">
        <w:trPr>
          <w:cantSplit/>
          <w:trHeight w:hRule="exact" w:val="281"/>
          <w:jc w:val="center"/>
        </w:trPr>
        <w:tc>
          <w:tcPr>
            <w:tcW w:w="1036" w:type="dxa"/>
            <w:vMerge/>
            <w:vAlign w:val="center"/>
          </w:tcPr>
          <w:p w:rsidR="002B551D" w:rsidRPr="003E743A" w:rsidRDefault="002B551D" w:rsidP="007F1DFA">
            <w:pPr>
              <w:spacing w:after="0" w:line="240" w:lineRule="auto"/>
              <w:jc w:val="center"/>
              <w:rPr>
                <w:rFonts w:ascii="Times New Roman" w:hAnsi="Times New Roman"/>
                <w:b/>
                <w:sz w:val="20"/>
                <w:szCs w:val="24"/>
              </w:rPr>
            </w:pPr>
          </w:p>
        </w:tc>
        <w:tc>
          <w:tcPr>
            <w:tcW w:w="388" w:type="dxa"/>
            <w:vMerge/>
            <w:vAlign w:val="center"/>
          </w:tcPr>
          <w:p w:rsidR="002B551D" w:rsidRPr="003E743A" w:rsidRDefault="002B551D" w:rsidP="007F1DFA">
            <w:pPr>
              <w:spacing w:after="0" w:line="240" w:lineRule="auto"/>
              <w:jc w:val="center"/>
              <w:rPr>
                <w:rFonts w:ascii="Times New Roman" w:hAnsi="Times New Roman"/>
                <w:b/>
                <w:sz w:val="20"/>
                <w:szCs w:val="24"/>
              </w:rPr>
            </w:pPr>
          </w:p>
        </w:tc>
        <w:tc>
          <w:tcPr>
            <w:tcW w:w="1185" w:type="dxa"/>
            <w:vMerge/>
            <w:vAlign w:val="center"/>
          </w:tcPr>
          <w:p w:rsidR="002B551D" w:rsidRPr="003E743A" w:rsidRDefault="002B551D" w:rsidP="007F1DFA">
            <w:pPr>
              <w:spacing w:after="0" w:line="240" w:lineRule="auto"/>
              <w:jc w:val="center"/>
              <w:rPr>
                <w:rFonts w:ascii="Times New Roman" w:hAnsi="Times New Roman"/>
                <w:sz w:val="20"/>
                <w:szCs w:val="24"/>
              </w:rPr>
            </w:pPr>
          </w:p>
        </w:tc>
        <w:tc>
          <w:tcPr>
            <w:tcW w:w="228" w:type="dxa"/>
            <w:vMerge/>
            <w:vAlign w:val="center"/>
          </w:tcPr>
          <w:p w:rsidR="002B551D" w:rsidRPr="003E743A" w:rsidRDefault="002B551D" w:rsidP="007F1DFA">
            <w:pPr>
              <w:spacing w:after="0" w:line="240" w:lineRule="auto"/>
              <w:jc w:val="center"/>
              <w:rPr>
                <w:rFonts w:ascii="Times New Roman" w:hAnsi="Times New Roman"/>
                <w:sz w:val="20"/>
                <w:szCs w:val="24"/>
              </w:rPr>
            </w:pPr>
          </w:p>
        </w:tc>
        <w:tc>
          <w:tcPr>
            <w:tcW w:w="1335" w:type="dxa"/>
            <w:vAlign w:val="center"/>
          </w:tcPr>
          <w:p w:rsidR="002B551D" w:rsidRPr="003E743A" w:rsidRDefault="002B551D" w:rsidP="007F1DFA">
            <w:pPr>
              <w:spacing w:after="0" w:line="240" w:lineRule="auto"/>
              <w:jc w:val="center"/>
              <w:rPr>
                <w:rFonts w:ascii="Times New Roman" w:hAnsi="Times New Roman"/>
                <w:sz w:val="20"/>
                <w:szCs w:val="24"/>
              </w:rPr>
            </w:pPr>
            <w:r w:rsidRPr="003E743A">
              <w:rPr>
                <w:rFonts w:ascii="Times New Roman" w:hAnsi="Times New Roman"/>
                <w:sz w:val="20"/>
                <w:szCs w:val="24"/>
              </w:rPr>
              <w:t>Courte</w:t>
            </w:r>
          </w:p>
        </w:tc>
        <w:tc>
          <w:tcPr>
            <w:tcW w:w="366" w:type="dxa"/>
            <w:vAlign w:val="center"/>
          </w:tcPr>
          <w:p w:rsidR="002B551D" w:rsidRPr="003E743A" w:rsidRDefault="002B551D" w:rsidP="007F1DFA">
            <w:pPr>
              <w:spacing w:after="0" w:line="240" w:lineRule="auto"/>
              <w:jc w:val="center"/>
              <w:rPr>
                <w:rFonts w:ascii="Times New Roman" w:hAnsi="Times New Roman"/>
                <w:sz w:val="20"/>
                <w:szCs w:val="24"/>
              </w:rPr>
            </w:pPr>
            <w:r w:rsidRPr="00674610">
              <w:rPr>
                <w:rFonts w:ascii="Times New Roman" w:hAnsi="Times New Roman"/>
                <w:b/>
                <w:sz w:val="20"/>
                <w:szCs w:val="24"/>
              </w:rPr>
              <w:t>1</w:t>
            </w:r>
          </w:p>
        </w:tc>
        <w:tc>
          <w:tcPr>
            <w:tcW w:w="1553" w:type="dxa"/>
            <w:shd w:val="clear" w:color="auto" w:fill="00B050"/>
            <w:vAlign w:val="center"/>
          </w:tcPr>
          <w:p w:rsidR="002B551D" w:rsidRPr="003E743A" w:rsidRDefault="002B551D" w:rsidP="007F1DFA">
            <w:pPr>
              <w:spacing w:after="0" w:line="240" w:lineRule="auto"/>
              <w:jc w:val="center"/>
              <w:rPr>
                <w:rFonts w:ascii="Times New Roman" w:hAnsi="Times New Roman"/>
                <w:sz w:val="20"/>
                <w:szCs w:val="24"/>
              </w:rPr>
            </w:pPr>
            <w:r w:rsidRPr="003E743A">
              <w:rPr>
                <w:rFonts w:ascii="Times New Roman" w:hAnsi="Times New Roman"/>
                <w:sz w:val="20"/>
                <w:szCs w:val="24"/>
              </w:rPr>
              <w:t>M</w:t>
            </w:r>
            <w:r>
              <w:rPr>
                <w:rFonts w:ascii="Times New Roman" w:hAnsi="Times New Roman"/>
                <w:sz w:val="20"/>
                <w:szCs w:val="24"/>
              </w:rPr>
              <w:t>ineure</w:t>
            </w:r>
          </w:p>
        </w:tc>
        <w:tc>
          <w:tcPr>
            <w:tcW w:w="850" w:type="dxa"/>
            <w:shd w:val="clear" w:color="auto" w:fill="FFFFFF" w:themeFill="background1"/>
          </w:tcPr>
          <w:p w:rsidR="002B551D" w:rsidRPr="00D205EB" w:rsidRDefault="002B551D" w:rsidP="007F1DFA">
            <w:pPr>
              <w:spacing w:after="0" w:line="240" w:lineRule="auto"/>
              <w:jc w:val="center"/>
              <w:rPr>
                <w:rFonts w:ascii="Times New Roman" w:hAnsi="Times New Roman"/>
                <w:sz w:val="20"/>
                <w:szCs w:val="24"/>
              </w:rPr>
            </w:pPr>
            <w:r>
              <w:rPr>
                <w:rFonts w:ascii="Times New Roman" w:hAnsi="Times New Roman"/>
                <w:b/>
                <w:sz w:val="20"/>
                <w:szCs w:val="24"/>
              </w:rPr>
              <w:t>15</w:t>
            </w:r>
          </w:p>
        </w:tc>
        <w:tc>
          <w:tcPr>
            <w:tcW w:w="1843" w:type="dxa"/>
            <w:tcBorders>
              <w:bottom w:val="single" w:sz="4" w:space="0" w:color="auto"/>
            </w:tcBorders>
            <w:shd w:val="clear" w:color="auto" w:fill="F4B083" w:themeFill="accent2" w:themeFillTint="99"/>
            <w:vAlign w:val="center"/>
          </w:tcPr>
          <w:p w:rsidR="002B551D" w:rsidRPr="003E743A" w:rsidRDefault="002B551D" w:rsidP="007F1DFA">
            <w:pPr>
              <w:spacing w:after="0" w:line="240" w:lineRule="auto"/>
              <w:jc w:val="center"/>
              <w:rPr>
                <w:rFonts w:ascii="Times New Roman" w:hAnsi="Times New Roman"/>
                <w:sz w:val="20"/>
                <w:szCs w:val="24"/>
              </w:rPr>
            </w:pPr>
            <w:r w:rsidRPr="003E743A">
              <w:rPr>
                <w:rFonts w:ascii="Times New Roman" w:hAnsi="Times New Roman"/>
                <w:sz w:val="20"/>
                <w:szCs w:val="24"/>
              </w:rPr>
              <w:t>M</w:t>
            </w:r>
            <w:r>
              <w:rPr>
                <w:rFonts w:ascii="Times New Roman" w:hAnsi="Times New Roman"/>
                <w:sz w:val="20"/>
                <w:szCs w:val="24"/>
              </w:rPr>
              <w:t>ineure</w:t>
            </w:r>
          </w:p>
        </w:tc>
      </w:tr>
      <w:tr w:rsidR="002B551D" w:rsidRPr="00AA45E9" w:rsidTr="00A95D75">
        <w:trPr>
          <w:cantSplit/>
          <w:trHeight w:hRule="exact" w:val="281"/>
          <w:jc w:val="center"/>
        </w:trPr>
        <w:tc>
          <w:tcPr>
            <w:tcW w:w="1036" w:type="dxa"/>
            <w:vMerge/>
            <w:vAlign w:val="center"/>
          </w:tcPr>
          <w:p w:rsidR="002B551D" w:rsidRPr="003E743A" w:rsidRDefault="002B551D" w:rsidP="007F1DFA">
            <w:pPr>
              <w:spacing w:after="0" w:line="240" w:lineRule="auto"/>
              <w:jc w:val="center"/>
              <w:rPr>
                <w:rFonts w:ascii="Times New Roman" w:hAnsi="Times New Roman"/>
                <w:b/>
                <w:sz w:val="20"/>
                <w:szCs w:val="24"/>
              </w:rPr>
            </w:pPr>
          </w:p>
        </w:tc>
        <w:tc>
          <w:tcPr>
            <w:tcW w:w="388" w:type="dxa"/>
            <w:vMerge/>
            <w:vAlign w:val="center"/>
          </w:tcPr>
          <w:p w:rsidR="002B551D" w:rsidRPr="003E743A" w:rsidRDefault="002B551D" w:rsidP="007F1DFA">
            <w:pPr>
              <w:spacing w:after="0" w:line="240" w:lineRule="auto"/>
              <w:jc w:val="center"/>
              <w:rPr>
                <w:rFonts w:ascii="Times New Roman" w:hAnsi="Times New Roman"/>
                <w:b/>
                <w:sz w:val="20"/>
                <w:szCs w:val="24"/>
              </w:rPr>
            </w:pPr>
          </w:p>
        </w:tc>
        <w:tc>
          <w:tcPr>
            <w:tcW w:w="1185" w:type="dxa"/>
            <w:vMerge w:val="restart"/>
            <w:vAlign w:val="center"/>
          </w:tcPr>
          <w:p w:rsidR="002B551D" w:rsidRPr="003E743A" w:rsidRDefault="002B551D" w:rsidP="007F1DFA">
            <w:pPr>
              <w:spacing w:after="0" w:line="240" w:lineRule="auto"/>
              <w:jc w:val="center"/>
              <w:rPr>
                <w:rFonts w:ascii="Times New Roman" w:hAnsi="Times New Roman"/>
                <w:sz w:val="20"/>
                <w:szCs w:val="24"/>
              </w:rPr>
            </w:pPr>
            <w:r w:rsidRPr="003E743A">
              <w:rPr>
                <w:rFonts w:ascii="Times New Roman" w:hAnsi="Times New Roman"/>
                <w:sz w:val="20"/>
                <w:szCs w:val="24"/>
              </w:rPr>
              <w:t>Ponctuelle</w:t>
            </w:r>
          </w:p>
        </w:tc>
        <w:tc>
          <w:tcPr>
            <w:tcW w:w="228" w:type="dxa"/>
            <w:vMerge w:val="restart"/>
            <w:vAlign w:val="center"/>
          </w:tcPr>
          <w:p w:rsidR="002B551D" w:rsidRPr="003E743A" w:rsidRDefault="002B551D" w:rsidP="007F1DFA">
            <w:pPr>
              <w:spacing w:after="0" w:line="240" w:lineRule="auto"/>
              <w:jc w:val="center"/>
              <w:rPr>
                <w:rFonts w:ascii="Times New Roman" w:hAnsi="Times New Roman"/>
                <w:sz w:val="20"/>
                <w:szCs w:val="24"/>
              </w:rPr>
            </w:pPr>
            <w:r w:rsidRPr="006F796D">
              <w:rPr>
                <w:rFonts w:ascii="Times New Roman" w:hAnsi="Times New Roman"/>
                <w:b/>
                <w:sz w:val="20"/>
                <w:szCs w:val="24"/>
              </w:rPr>
              <w:t>1</w:t>
            </w:r>
          </w:p>
        </w:tc>
        <w:tc>
          <w:tcPr>
            <w:tcW w:w="1335" w:type="dxa"/>
            <w:vAlign w:val="center"/>
          </w:tcPr>
          <w:p w:rsidR="002B551D" w:rsidRPr="003E743A" w:rsidRDefault="002B551D" w:rsidP="007F1DFA">
            <w:pPr>
              <w:spacing w:after="0" w:line="240" w:lineRule="auto"/>
              <w:jc w:val="center"/>
              <w:rPr>
                <w:rFonts w:ascii="Times New Roman" w:hAnsi="Times New Roman"/>
                <w:sz w:val="20"/>
                <w:szCs w:val="24"/>
              </w:rPr>
            </w:pPr>
            <w:r w:rsidRPr="003E743A">
              <w:rPr>
                <w:rFonts w:ascii="Times New Roman" w:hAnsi="Times New Roman"/>
                <w:sz w:val="20"/>
                <w:szCs w:val="24"/>
              </w:rPr>
              <w:t>Longue</w:t>
            </w:r>
          </w:p>
        </w:tc>
        <w:tc>
          <w:tcPr>
            <w:tcW w:w="366" w:type="dxa"/>
            <w:vAlign w:val="center"/>
          </w:tcPr>
          <w:p w:rsidR="002B551D" w:rsidRPr="003E743A" w:rsidRDefault="002B551D" w:rsidP="007F1DFA">
            <w:pPr>
              <w:spacing w:after="0" w:line="240" w:lineRule="auto"/>
              <w:jc w:val="center"/>
              <w:rPr>
                <w:rFonts w:ascii="Times New Roman" w:hAnsi="Times New Roman"/>
                <w:sz w:val="20"/>
                <w:szCs w:val="24"/>
              </w:rPr>
            </w:pPr>
            <w:r w:rsidRPr="00674610">
              <w:rPr>
                <w:rFonts w:ascii="Times New Roman" w:hAnsi="Times New Roman"/>
                <w:b/>
                <w:sz w:val="20"/>
                <w:szCs w:val="24"/>
              </w:rPr>
              <w:t>5</w:t>
            </w:r>
          </w:p>
        </w:tc>
        <w:tc>
          <w:tcPr>
            <w:tcW w:w="1553" w:type="dxa"/>
            <w:tcBorders>
              <w:top w:val="nil"/>
              <w:bottom w:val="nil"/>
            </w:tcBorders>
            <w:shd w:val="clear" w:color="auto" w:fill="FFFF00"/>
            <w:vAlign w:val="center"/>
          </w:tcPr>
          <w:p w:rsidR="002B551D" w:rsidRPr="003E743A" w:rsidRDefault="002B551D" w:rsidP="007F1DFA">
            <w:pPr>
              <w:spacing w:after="0" w:line="240" w:lineRule="auto"/>
              <w:jc w:val="center"/>
              <w:rPr>
                <w:rFonts w:ascii="Times New Roman" w:hAnsi="Times New Roman"/>
                <w:sz w:val="20"/>
                <w:szCs w:val="24"/>
              </w:rPr>
            </w:pPr>
            <w:r w:rsidRPr="003E743A">
              <w:rPr>
                <w:rFonts w:ascii="Times New Roman" w:hAnsi="Times New Roman"/>
                <w:sz w:val="20"/>
                <w:szCs w:val="24"/>
              </w:rPr>
              <w:t>M</w:t>
            </w:r>
            <w:r>
              <w:rPr>
                <w:rFonts w:ascii="Times New Roman" w:hAnsi="Times New Roman"/>
                <w:sz w:val="20"/>
                <w:szCs w:val="24"/>
              </w:rPr>
              <w:t>oyenne</w:t>
            </w:r>
          </w:p>
        </w:tc>
        <w:tc>
          <w:tcPr>
            <w:tcW w:w="850" w:type="dxa"/>
            <w:tcBorders>
              <w:top w:val="nil"/>
              <w:bottom w:val="nil"/>
            </w:tcBorders>
            <w:shd w:val="clear" w:color="auto" w:fill="FFFFFF" w:themeFill="background1"/>
          </w:tcPr>
          <w:p w:rsidR="002B551D" w:rsidRPr="00D205EB" w:rsidRDefault="002B551D" w:rsidP="007F1DFA">
            <w:pPr>
              <w:spacing w:after="0" w:line="240" w:lineRule="auto"/>
              <w:jc w:val="center"/>
              <w:rPr>
                <w:rFonts w:ascii="Times New Roman" w:hAnsi="Times New Roman"/>
                <w:sz w:val="20"/>
                <w:szCs w:val="24"/>
              </w:rPr>
            </w:pPr>
            <w:r>
              <w:rPr>
                <w:rFonts w:ascii="Times New Roman" w:hAnsi="Times New Roman"/>
                <w:b/>
                <w:sz w:val="20"/>
                <w:szCs w:val="24"/>
              </w:rPr>
              <w:t>25</w:t>
            </w:r>
          </w:p>
        </w:tc>
        <w:tc>
          <w:tcPr>
            <w:tcW w:w="1843" w:type="dxa"/>
            <w:tcBorders>
              <w:top w:val="single" w:sz="4" w:space="0" w:color="auto"/>
              <w:bottom w:val="nil"/>
            </w:tcBorders>
            <w:shd w:val="clear" w:color="auto" w:fill="FFE599" w:themeFill="accent4" w:themeFillTint="66"/>
            <w:vAlign w:val="center"/>
          </w:tcPr>
          <w:p w:rsidR="002B551D" w:rsidRPr="003E743A" w:rsidRDefault="002B551D" w:rsidP="007F1DFA">
            <w:pPr>
              <w:spacing w:after="0" w:line="240" w:lineRule="auto"/>
              <w:jc w:val="center"/>
              <w:rPr>
                <w:rFonts w:ascii="Times New Roman" w:hAnsi="Times New Roman"/>
                <w:sz w:val="20"/>
                <w:szCs w:val="24"/>
              </w:rPr>
            </w:pPr>
            <w:r>
              <w:rPr>
                <w:rFonts w:ascii="Times New Roman" w:hAnsi="Times New Roman"/>
                <w:sz w:val="20"/>
                <w:szCs w:val="24"/>
              </w:rPr>
              <w:t>Moyenne</w:t>
            </w:r>
          </w:p>
        </w:tc>
      </w:tr>
      <w:tr w:rsidR="002B551D" w:rsidRPr="00AA45E9" w:rsidTr="00A95D75">
        <w:trPr>
          <w:cantSplit/>
          <w:trHeight w:hRule="exact" w:val="281"/>
          <w:jc w:val="center"/>
        </w:trPr>
        <w:tc>
          <w:tcPr>
            <w:tcW w:w="1036" w:type="dxa"/>
            <w:vMerge/>
            <w:vAlign w:val="center"/>
          </w:tcPr>
          <w:p w:rsidR="002B551D" w:rsidRPr="003E743A" w:rsidRDefault="002B551D" w:rsidP="007F1DFA">
            <w:pPr>
              <w:spacing w:after="0" w:line="240" w:lineRule="auto"/>
              <w:jc w:val="center"/>
              <w:rPr>
                <w:rFonts w:ascii="Times New Roman" w:hAnsi="Times New Roman"/>
                <w:b/>
                <w:sz w:val="20"/>
                <w:szCs w:val="24"/>
              </w:rPr>
            </w:pPr>
          </w:p>
        </w:tc>
        <w:tc>
          <w:tcPr>
            <w:tcW w:w="388" w:type="dxa"/>
            <w:vMerge/>
            <w:vAlign w:val="center"/>
          </w:tcPr>
          <w:p w:rsidR="002B551D" w:rsidRPr="003E743A" w:rsidRDefault="002B551D" w:rsidP="007F1DFA">
            <w:pPr>
              <w:spacing w:after="0" w:line="240" w:lineRule="auto"/>
              <w:jc w:val="center"/>
              <w:rPr>
                <w:rFonts w:ascii="Times New Roman" w:hAnsi="Times New Roman"/>
                <w:b/>
                <w:sz w:val="20"/>
                <w:szCs w:val="24"/>
              </w:rPr>
            </w:pPr>
          </w:p>
        </w:tc>
        <w:tc>
          <w:tcPr>
            <w:tcW w:w="1185" w:type="dxa"/>
            <w:vMerge/>
            <w:vAlign w:val="center"/>
          </w:tcPr>
          <w:p w:rsidR="002B551D" w:rsidRPr="003E743A" w:rsidRDefault="002B551D" w:rsidP="007F1DFA">
            <w:pPr>
              <w:spacing w:after="0" w:line="240" w:lineRule="auto"/>
              <w:jc w:val="center"/>
              <w:rPr>
                <w:rFonts w:ascii="Times New Roman" w:hAnsi="Times New Roman"/>
                <w:sz w:val="20"/>
                <w:szCs w:val="24"/>
              </w:rPr>
            </w:pPr>
          </w:p>
        </w:tc>
        <w:tc>
          <w:tcPr>
            <w:tcW w:w="228" w:type="dxa"/>
            <w:vMerge/>
            <w:vAlign w:val="center"/>
          </w:tcPr>
          <w:p w:rsidR="002B551D" w:rsidRPr="003E743A" w:rsidRDefault="002B551D" w:rsidP="007F1DFA">
            <w:pPr>
              <w:spacing w:after="0" w:line="240" w:lineRule="auto"/>
              <w:jc w:val="center"/>
              <w:rPr>
                <w:rFonts w:ascii="Times New Roman" w:hAnsi="Times New Roman"/>
                <w:sz w:val="20"/>
                <w:szCs w:val="24"/>
              </w:rPr>
            </w:pPr>
          </w:p>
        </w:tc>
        <w:tc>
          <w:tcPr>
            <w:tcW w:w="1335" w:type="dxa"/>
            <w:vAlign w:val="center"/>
          </w:tcPr>
          <w:p w:rsidR="002B551D" w:rsidRPr="003E743A" w:rsidRDefault="002B551D" w:rsidP="007F1DFA">
            <w:pPr>
              <w:spacing w:after="0" w:line="240" w:lineRule="auto"/>
              <w:jc w:val="center"/>
              <w:rPr>
                <w:rFonts w:ascii="Times New Roman" w:hAnsi="Times New Roman"/>
                <w:sz w:val="20"/>
                <w:szCs w:val="24"/>
              </w:rPr>
            </w:pPr>
            <w:r w:rsidRPr="003E743A">
              <w:rPr>
                <w:rFonts w:ascii="Times New Roman" w:hAnsi="Times New Roman"/>
                <w:sz w:val="20"/>
                <w:szCs w:val="24"/>
              </w:rPr>
              <w:t>Moyenne</w:t>
            </w:r>
          </w:p>
        </w:tc>
        <w:tc>
          <w:tcPr>
            <w:tcW w:w="366" w:type="dxa"/>
            <w:vAlign w:val="center"/>
          </w:tcPr>
          <w:p w:rsidR="002B551D" w:rsidRPr="003E743A" w:rsidRDefault="002B551D" w:rsidP="007F1DFA">
            <w:pPr>
              <w:spacing w:after="0" w:line="240" w:lineRule="auto"/>
              <w:jc w:val="center"/>
              <w:rPr>
                <w:rFonts w:ascii="Times New Roman" w:hAnsi="Times New Roman"/>
                <w:sz w:val="20"/>
                <w:szCs w:val="24"/>
              </w:rPr>
            </w:pPr>
            <w:r w:rsidRPr="00674610">
              <w:rPr>
                <w:rFonts w:ascii="Times New Roman" w:hAnsi="Times New Roman"/>
                <w:b/>
                <w:sz w:val="20"/>
                <w:szCs w:val="24"/>
              </w:rPr>
              <w:t>3</w:t>
            </w:r>
          </w:p>
        </w:tc>
        <w:tc>
          <w:tcPr>
            <w:tcW w:w="1553" w:type="dxa"/>
            <w:shd w:val="clear" w:color="auto" w:fill="00B050"/>
            <w:vAlign w:val="center"/>
          </w:tcPr>
          <w:p w:rsidR="002B551D" w:rsidRPr="003E743A" w:rsidRDefault="002B551D" w:rsidP="007F1DFA">
            <w:pPr>
              <w:spacing w:after="0" w:line="240" w:lineRule="auto"/>
              <w:jc w:val="center"/>
              <w:rPr>
                <w:rFonts w:ascii="Times New Roman" w:hAnsi="Times New Roman"/>
                <w:sz w:val="20"/>
                <w:szCs w:val="24"/>
              </w:rPr>
            </w:pPr>
            <w:r w:rsidRPr="003E743A">
              <w:rPr>
                <w:rFonts w:ascii="Times New Roman" w:hAnsi="Times New Roman"/>
                <w:sz w:val="20"/>
                <w:szCs w:val="24"/>
              </w:rPr>
              <w:t>Mineure</w:t>
            </w:r>
          </w:p>
        </w:tc>
        <w:tc>
          <w:tcPr>
            <w:tcW w:w="850" w:type="dxa"/>
            <w:shd w:val="clear" w:color="auto" w:fill="FFFFFF" w:themeFill="background1"/>
          </w:tcPr>
          <w:p w:rsidR="002B551D" w:rsidRPr="00D205EB" w:rsidRDefault="002B551D" w:rsidP="007F1DFA">
            <w:pPr>
              <w:spacing w:after="0" w:line="240" w:lineRule="auto"/>
              <w:jc w:val="center"/>
              <w:rPr>
                <w:rFonts w:ascii="Times New Roman" w:hAnsi="Times New Roman"/>
                <w:sz w:val="20"/>
                <w:szCs w:val="24"/>
              </w:rPr>
            </w:pPr>
            <w:r>
              <w:rPr>
                <w:rFonts w:ascii="Times New Roman" w:hAnsi="Times New Roman"/>
                <w:b/>
                <w:sz w:val="20"/>
                <w:szCs w:val="24"/>
              </w:rPr>
              <w:t>15</w:t>
            </w:r>
          </w:p>
        </w:tc>
        <w:tc>
          <w:tcPr>
            <w:tcW w:w="1843" w:type="dxa"/>
            <w:shd w:val="clear" w:color="auto" w:fill="F4B083" w:themeFill="accent2" w:themeFillTint="99"/>
            <w:vAlign w:val="center"/>
          </w:tcPr>
          <w:p w:rsidR="002B551D" w:rsidRPr="003E743A" w:rsidRDefault="002B551D" w:rsidP="007F1DFA">
            <w:pPr>
              <w:spacing w:after="0" w:line="240" w:lineRule="auto"/>
              <w:jc w:val="center"/>
              <w:rPr>
                <w:rFonts w:ascii="Times New Roman" w:hAnsi="Times New Roman"/>
                <w:sz w:val="20"/>
                <w:szCs w:val="24"/>
              </w:rPr>
            </w:pPr>
            <w:r>
              <w:rPr>
                <w:rFonts w:ascii="Times New Roman" w:hAnsi="Times New Roman"/>
                <w:sz w:val="20"/>
                <w:szCs w:val="24"/>
              </w:rPr>
              <w:t>Mineur</w:t>
            </w:r>
            <w:r w:rsidRPr="003E743A">
              <w:rPr>
                <w:rFonts w:ascii="Times New Roman" w:hAnsi="Times New Roman"/>
                <w:sz w:val="20"/>
                <w:szCs w:val="24"/>
              </w:rPr>
              <w:t>e</w:t>
            </w:r>
          </w:p>
        </w:tc>
      </w:tr>
      <w:tr w:rsidR="002B551D" w:rsidRPr="00AA45E9" w:rsidTr="00A95D75">
        <w:trPr>
          <w:cantSplit/>
          <w:trHeight w:hRule="exact" w:val="281"/>
          <w:jc w:val="center"/>
        </w:trPr>
        <w:tc>
          <w:tcPr>
            <w:tcW w:w="1036" w:type="dxa"/>
            <w:vMerge/>
            <w:vAlign w:val="center"/>
          </w:tcPr>
          <w:p w:rsidR="002B551D" w:rsidRPr="003E743A" w:rsidRDefault="002B551D" w:rsidP="007F1DFA">
            <w:pPr>
              <w:spacing w:after="0" w:line="240" w:lineRule="auto"/>
              <w:jc w:val="center"/>
              <w:rPr>
                <w:rFonts w:ascii="Times New Roman" w:hAnsi="Times New Roman"/>
                <w:b/>
                <w:sz w:val="20"/>
                <w:szCs w:val="24"/>
              </w:rPr>
            </w:pPr>
          </w:p>
        </w:tc>
        <w:tc>
          <w:tcPr>
            <w:tcW w:w="388" w:type="dxa"/>
            <w:vMerge/>
            <w:vAlign w:val="center"/>
          </w:tcPr>
          <w:p w:rsidR="002B551D" w:rsidRPr="003E743A" w:rsidRDefault="002B551D" w:rsidP="007F1DFA">
            <w:pPr>
              <w:spacing w:after="0" w:line="240" w:lineRule="auto"/>
              <w:jc w:val="center"/>
              <w:rPr>
                <w:rFonts w:ascii="Times New Roman" w:hAnsi="Times New Roman"/>
                <w:b/>
                <w:sz w:val="20"/>
                <w:szCs w:val="24"/>
              </w:rPr>
            </w:pPr>
          </w:p>
        </w:tc>
        <w:tc>
          <w:tcPr>
            <w:tcW w:w="1185" w:type="dxa"/>
            <w:vMerge/>
            <w:vAlign w:val="center"/>
          </w:tcPr>
          <w:p w:rsidR="002B551D" w:rsidRPr="003E743A" w:rsidRDefault="002B551D" w:rsidP="007F1DFA">
            <w:pPr>
              <w:spacing w:after="0" w:line="240" w:lineRule="auto"/>
              <w:jc w:val="center"/>
              <w:rPr>
                <w:rFonts w:ascii="Times New Roman" w:hAnsi="Times New Roman"/>
                <w:sz w:val="20"/>
                <w:szCs w:val="24"/>
              </w:rPr>
            </w:pPr>
          </w:p>
        </w:tc>
        <w:tc>
          <w:tcPr>
            <w:tcW w:w="228" w:type="dxa"/>
            <w:vMerge/>
            <w:vAlign w:val="center"/>
          </w:tcPr>
          <w:p w:rsidR="002B551D" w:rsidRPr="003E743A" w:rsidRDefault="002B551D" w:rsidP="007F1DFA">
            <w:pPr>
              <w:spacing w:after="0" w:line="240" w:lineRule="auto"/>
              <w:jc w:val="center"/>
              <w:rPr>
                <w:rFonts w:ascii="Times New Roman" w:hAnsi="Times New Roman"/>
                <w:sz w:val="20"/>
                <w:szCs w:val="24"/>
              </w:rPr>
            </w:pPr>
          </w:p>
        </w:tc>
        <w:tc>
          <w:tcPr>
            <w:tcW w:w="1335" w:type="dxa"/>
            <w:vAlign w:val="center"/>
          </w:tcPr>
          <w:p w:rsidR="002B551D" w:rsidRPr="003E743A" w:rsidRDefault="002B551D" w:rsidP="007F1DFA">
            <w:pPr>
              <w:spacing w:after="0" w:line="240" w:lineRule="auto"/>
              <w:jc w:val="center"/>
              <w:rPr>
                <w:rFonts w:ascii="Times New Roman" w:hAnsi="Times New Roman"/>
                <w:sz w:val="20"/>
                <w:szCs w:val="24"/>
              </w:rPr>
            </w:pPr>
            <w:r w:rsidRPr="003E743A">
              <w:rPr>
                <w:rFonts w:ascii="Times New Roman" w:hAnsi="Times New Roman"/>
                <w:sz w:val="20"/>
                <w:szCs w:val="24"/>
              </w:rPr>
              <w:t>Courte</w:t>
            </w:r>
          </w:p>
        </w:tc>
        <w:tc>
          <w:tcPr>
            <w:tcW w:w="366" w:type="dxa"/>
            <w:vAlign w:val="center"/>
          </w:tcPr>
          <w:p w:rsidR="002B551D" w:rsidRPr="003E743A" w:rsidRDefault="002B551D" w:rsidP="007F1DFA">
            <w:pPr>
              <w:spacing w:after="0" w:line="240" w:lineRule="auto"/>
              <w:jc w:val="center"/>
              <w:rPr>
                <w:rFonts w:ascii="Times New Roman" w:hAnsi="Times New Roman"/>
                <w:sz w:val="20"/>
                <w:szCs w:val="24"/>
              </w:rPr>
            </w:pPr>
            <w:r w:rsidRPr="00674610">
              <w:rPr>
                <w:rFonts w:ascii="Times New Roman" w:hAnsi="Times New Roman"/>
                <w:b/>
                <w:sz w:val="20"/>
                <w:szCs w:val="24"/>
              </w:rPr>
              <w:t>1</w:t>
            </w:r>
          </w:p>
        </w:tc>
        <w:tc>
          <w:tcPr>
            <w:tcW w:w="1553" w:type="dxa"/>
            <w:tcBorders>
              <w:top w:val="nil"/>
              <w:bottom w:val="nil"/>
            </w:tcBorders>
            <w:shd w:val="clear" w:color="auto" w:fill="00B050"/>
            <w:vAlign w:val="center"/>
          </w:tcPr>
          <w:p w:rsidR="002B551D" w:rsidRPr="003E743A" w:rsidRDefault="002B551D" w:rsidP="007F1DFA">
            <w:pPr>
              <w:spacing w:after="0" w:line="240" w:lineRule="auto"/>
              <w:jc w:val="center"/>
              <w:rPr>
                <w:rFonts w:ascii="Times New Roman" w:hAnsi="Times New Roman"/>
                <w:sz w:val="20"/>
                <w:szCs w:val="24"/>
              </w:rPr>
            </w:pPr>
            <w:r w:rsidRPr="003E743A">
              <w:rPr>
                <w:rFonts w:ascii="Times New Roman" w:hAnsi="Times New Roman"/>
                <w:sz w:val="20"/>
                <w:szCs w:val="24"/>
              </w:rPr>
              <w:t>Mineure</w:t>
            </w:r>
          </w:p>
        </w:tc>
        <w:tc>
          <w:tcPr>
            <w:tcW w:w="850" w:type="dxa"/>
            <w:tcBorders>
              <w:top w:val="nil"/>
              <w:bottom w:val="nil"/>
            </w:tcBorders>
            <w:shd w:val="clear" w:color="auto" w:fill="FFFFFF" w:themeFill="background1"/>
          </w:tcPr>
          <w:p w:rsidR="002B551D" w:rsidRPr="00D205EB" w:rsidRDefault="002B551D" w:rsidP="007F1DFA">
            <w:pPr>
              <w:spacing w:after="0" w:line="240" w:lineRule="auto"/>
              <w:jc w:val="center"/>
              <w:rPr>
                <w:rFonts w:ascii="Times New Roman" w:hAnsi="Times New Roman"/>
                <w:sz w:val="20"/>
                <w:szCs w:val="24"/>
              </w:rPr>
            </w:pPr>
            <w:r>
              <w:rPr>
                <w:rFonts w:ascii="Times New Roman" w:hAnsi="Times New Roman"/>
                <w:b/>
                <w:sz w:val="20"/>
                <w:szCs w:val="24"/>
              </w:rPr>
              <w:t>5</w:t>
            </w:r>
          </w:p>
        </w:tc>
        <w:tc>
          <w:tcPr>
            <w:tcW w:w="1843" w:type="dxa"/>
            <w:tcBorders>
              <w:top w:val="nil"/>
              <w:bottom w:val="nil"/>
            </w:tcBorders>
            <w:shd w:val="clear" w:color="auto" w:fill="F4B083" w:themeFill="accent2" w:themeFillTint="99"/>
            <w:vAlign w:val="center"/>
          </w:tcPr>
          <w:p w:rsidR="002B551D" w:rsidRPr="003E743A" w:rsidRDefault="002B551D" w:rsidP="007F1DFA">
            <w:pPr>
              <w:spacing w:after="0" w:line="240" w:lineRule="auto"/>
              <w:jc w:val="center"/>
              <w:rPr>
                <w:rFonts w:ascii="Times New Roman" w:hAnsi="Times New Roman"/>
                <w:sz w:val="20"/>
                <w:szCs w:val="24"/>
              </w:rPr>
            </w:pPr>
            <w:r w:rsidRPr="003E743A">
              <w:rPr>
                <w:rFonts w:ascii="Times New Roman" w:hAnsi="Times New Roman"/>
                <w:sz w:val="20"/>
                <w:szCs w:val="24"/>
              </w:rPr>
              <w:t>Mineure</w:t>
            </w:r>
          </w:p>
        </w:tc>
      </w:tr>
      <w:tr w:rsidR="002B551D" w:rsidRPr="00AA45E9" w:rsidTr="00A95D75">
        <w:trPr>
          <w:cantSplit/>
          <w:trHeight w:hRule="exact" w:val="281"/>
          <w:jc w:val="center"/>
        </w:trPr>
        <w:tc>
          <w:tcPr>
            <w:tcW w:w="1036" w:type="dxa"/>
            <w:vMerge w:val="restart"/>
            <w:vAlign w:val="center"/>
          </w:tcPr>
          <w:p w:rsidR="002B551D" w:rsidRPr="003E743A" w:rsidRDefault="002B551D" w:rsidP="007F1DFA">
            <w:pPr>
              <w:spacing w:after="0" w:line="240" w:lineRule="auto"/>
              <w:jc w:val="center"/>
              <w:rPr>
                <w:rFonts w:ascii="Times New Roman" w:hAnsi="Times New Roman"/>
                <w:b/>
                <w:sz w:val="20"/>
                <w:szCs w:val="24"/>
              </w:rPr>
            </w:pPr>
            <w:r w:rsidRPr="003E743A">
              <w:rPr>
                <w:rFonts w:ascii="Times New Roman" w:hAnsi="Times New Roman"/>
                <w:b/>
                <w:sz w:val="20"/>
                <w:szCs w:val="24"/>
              </w:rPr>
              <w:t>Moyenne</w:t>
            </w:r>
          </w:p>
        </w:tc>
        <w:tc>
          <w:tcPr>
            <w:tcW w:w="388" w:type="dxa"/>
            <w:vMerge w:val="restart"/>
            <w:vAlign w:val="center"/>
          </w:tcPr>
          <w:p w:rsidR="002B551D" w:rsidRPr="003E743A" w:rsidRDefault="002B551D" w:rsidP="007F1DFA">
            <w:pPr>
              <w:spacing w:after="0" w:line="240" w:lineRule="auto"/>
              <w:jc w:val="center"/>
              <w:rPr>
                <w:rFonts w:ascii="Times New Roman" w:hAnsi="Times New Roman"/>
                <w:b/>
                <w:sz w:val="20"/>
                <w:szCs w:val="24"/>
              </w:rPr>
            </w:pPr>
            <w:r w:rsidRPr="006F796D">
              <w:rPr>
                <w:rFonts w:ascii="Times New Roman" w:hAnsi="Times New Roman"/>
                <w:b/>
                <w:color w:val="FF0000"/>
                <w:sz w:val="20"/>
                <w:szCs w:val="24"/>
              </w:rPr>
              <w:t>3</w:t>
            </w:r>
          </w:p>
        </w:tc>
        <w:tc>
          <w:tcPr>
            <w:tcW w:w="1185" w:type="dxa"/>
            <w:vMerge w:val="restart"/>
            <w:vAlign w:val="center"/>
          </w:tcPr>
          <w:p w:rsidR="002B551D" w:rsidRPr="003E743A" w:rsidRDefault="002B551D" w:rsidP="007F1DFA">
            <w:pPr>
              <w:spacing w:after="0" w:line="240" w:lineRule="auto"/>
              <w:jc w:val="center"/>
              <w:rPr>
                <w:rFonts w:ascii="Times New Roman" w:hAnsi="Times New Roman"/>
                <w:sz w:val="20"/>
                <w:szCs w:val="24"/>
              </w:rPr>
            </w:pPr>
            <w:r w:rsidRPr="003E743A">
              <w:rPr>
                <w:rFonts w:ascii="Times New Roman" w:hAnsi="Times New Roman"/>
                <w:sz w:val="20"/>
                <w:szCs w:val="24"/>
              </w:rPr>
              <w:t>Régionale</w:t>
            </w:r>
          </w:p>
        </w:tc>
        <w:tc>
          <w:tcPr>
            <w:tcW w:w="228" w:type="dxa"/>
            <w:vMerge w:val="restart"/>
            <w:vAlign w:val="center"/>
          </w:tcPr>
          <w:p w:rsidR="002B551D" w:rsidRPr="003E743A" w:rsidRDefault="002B551D" w:rsidP="007F1DFA">
            <w:pPr>
              <w:spacing w:after="0" w:line="240" w:lineRule="auto"/>
              <w:jc w:val="center"/>
              <w:rPr>
                <w:rFonts w:ascii="Times New Roman" w:hAnsi="Times New Roman"/>
                <w:sz w:val="20"/>
                <w:szCs w:val="24"/>
              </w:rPr>
            </w:pPr>
            <w:r w:rsidRPr="00674610">
              <w:rPr>
                <w:rFonts w:ascii="Times New Roman" w:hAnsi="Times New Roman"/>
                <w:b/>
                <w:sz w:val="20"/>
                <w:szCs w:val="24"/>
              </w:rPr>
              <w:t>5</w:t>
            </w:r>
          </w:p>
        </w:tc>
        <w:tc>
          <w:tcPr>
            <w:tcW w:w="1335" w:type="dxa"/>
            <w:vAlign w:val="center"/>
          </w:tcPr>
          <w:p w:rsidR="002B551D" w:rsidRPr="003E743A" w:rsidRDefault="002B551D" w:rsidP="007F1DFA">
            <w:pPr>
              <w:spacing w:after="0" w:line="240" w:lineRule="auto"/>
              <w:jc w:val="center"/>
              <w:rPr>
                <w:rFonts w:ascii="Times New Roman" w:hAnsi="Times New Roman"/>
                <w:sz w:val="20"/>
                <w:szCs w:val="24"/>
              </w:rPr>
            </w:pPr>
            <w:r w:rsidRPr="003E743A">
              <w:rPr>
                <w:rFonts w:ascii="Times New Roman" w:hAnsi="Times New Roman"/>
                <w:sz w:val="20"/>
                <w:szCs w:val="24"/>
              </w:rPr>
              <w:t>Longue</w:t>
            </w:r>
          </w:p>
        </w:tc>
        <w:tc>
          <w:tcPr>
            <w:tcW w:w="366" w:type="dxa"/>
            <w:vAlign w:val="center"/>
          </w:tcPr>
          <w:p w:rsidR="002B551D" w:rsidRPr="003E743A" w:rsidRDefault="002B551D" w:rsidP="007F1DFA">
            <w:pPr>
              <w:spacing w:after="0" w:line="240" w:lineRule="auto"/>
              <w:jc w:val="center"/>
              <w:rPr>
                <w:rFonts w:ascii="Times New Roman" w:hAnsi="Times New Roman"/>
                <w:sz w:val="20"/>
                <w:szCs w:val="24"/>
              </w:rPr>
            </w:pPr>
            <w:r w:rsidRPr="00674610">
              <w:rPr>
                <w:rFonts w:ascii="Times New Roman" w:hAnsi="Times New Roman"/>
                <w:b/>
                <w:sz w:val="20"/>
                <w:szCs w:val="24"/>
              </w:rPr>
              <w:t>5</w:t>
            </w:r>
          </w:p>
        </w:tc>
        <w:tc>
          <w:tcPr>
            <w:tcW w:w="1553" w:type="dxa"/>
            <w:tcBorders>
              <w:bottom w:val="nil"/>
            </w:tcBorders>
            <w:shd w:val="clear" w:color="auto" w:fill="FF0000"/>
            <w:vAlign w:val="center"/>
          </w:tcPr>
          <w:p w:rsidR="002B551D" w:rsidRPr="003E743A" w:rsidRDefault="002B551D" w:rsidP="007F1DFA">
            <w:pPr>
              <w:spacing w:after="0" w:line="240" w:lineRule="auto"/>
              <w:jc w:val="center"/>
              <w:rPr>
                <w:rFonts w:ascii="Times New Roman" w:hAnsi="Times New Roman"/>
                <w:sz w:val="20"/>
                <w:szCs w:val="24"/>
              </w:rPr>
            </w:pPr>
            <w:r w:rsidRPr="003E743A">
              <w:rPr>
                <w:rFonts w:ascii="Times New Roman" w:hAnsi="Times New Roman"/>
                <w:sz w:val="20"/>
                <w:szCs w:val="24"/>
              </w:rPr>
              <w:t>Majeure</w:t>
            </w:r>
          </w:p>
        </w:tc>
        <w:tc>
          <w:tcPr>
            <w:tcW w:w="850" w:type="dxa"/>
            <w:tcBorders>
              <w:bottom w:val="nil"/>
            </w:tcBorders>
            <w:shd w:val="clear" w:color="auto" w:fill="FFFFFF" w:themeFill="background1"/>
          </w:tcPr>
          <w:p w:rsidR="002B551D" w:rsidRPr="00D205EB" w:rsidRDefault="002B551D" w:rsidP="007F1DFA">
            <w:pPr>
              <w:spacing w:after="0" w:line="240" w:lineRule="auto"/>
              <w:jc w:val="center"/>
              <w:rPr>
                <w:rFonts w:ascii="Times New Roman" w:hAnsi="Times New Roman"/>
                <w:sz w:val="20"/>
                <w:szCs w:val="24"/>
              </w:rPr>
            </w:pPr>
            <w:r>
              <w:rPr>
                <w:rFonts w:ascii="Times New Roman" w:hAnsi="Times New Roman"/>
                <w:b/>
                <w:sz w:val="20"/>
                <w:szCs w:val="24"/>
              </w:rPr>
              <w:t>75</w:t>
            </w:r>
          </w:p>
        </w:tc>
        <w:tc>
          <w:tcPr>
            <w:tcW w:w="1843" w:type="dxa"/>
            <w:tcBorders>
              <w:bottom w:val="nil"/>
            </w:tcBorders>
            <w:shd w:val="clear" w:color="auto" w:fill="8AFD7B"/>
            <w:vAlign w:val="center"/>
          </w:tcPr>
          <w:p w:rsidR="002B551D" w:rsidRPr="003E743A" w:rsidRDefault="002B551D" w:rsidP="007F1DFA">
            <w:pPr>
              <w:spacing w:after="0" w:line="240" w:lineRule="auto"/>
              <w:jc w:val="center"/>
              <w:rPr>
                <w:rFonts w:ascii="Times New Roman" w:hAnsi="Times New Roman"/>
                <w:sz w:val="20"/>
                <w:szCs w:val="24"/>
              </w:rPr>
            </w:pPr>
            <w:r w:rsidRPr="003E743A">
              <w:rPr>
                <w:rFonts w:ascii="Times New Roman" w:hAnsi="Times New Roman"/>
                <w:sz w:val="20"/>
                <w:szCs w:val="24"/>
              </w:rPr>
              <w:t>Majeure</w:t>
            </w:r>
          </w:p>
        </w:tc>
      </w:tr>
      <w:tr w:rsidR="002B551D" w:rsidRPr="00AA45E9" w:rsidTr="00A95D75">
        <w:trPr>
          <w:cantSplit/>
          <w:trHeight w:hRule="exact" w:val="281"/>
          <w:jc w:val="center"/>
        </w:trPr>
        <w:tc>
          <w:tcPr>
            <w:tcW w:w="1036" w:type="dxa"/>
            <w:vMerge/>
            <w:vAlign w:val="center"/>
          </w:tcPr>
          <w:p w:rsidR="002B551D" w:rsidRPr="003E743A" w:rsidRDefault="002B551D" w:rsidP="007F1DFA">
            <w:pPr>
              <w:spacing w:after="0" w:line="240" w:lineRule="auto"/>
              <w:jc w:val="center"/>
              <w:rPr>
                <w:rFonts w:ascii="Times New Roman" w:hAnsi="Times New Roman"/>
                <w:b/>
                <w:sz w:val="20"/>
                <w:szCs w:val="24"/>
              </w:rPr>
            </w:pPr>
          </w:p>
        </w:tc>
        <w:tc>
          <w:tcPr>
            <w:tcW w:w="388" w:type="dxa"/>
            <w:vMerge/>
            <w:vAlign w:val="center"/>
          </w:tcPr>
          <w:p w:rsidR="002B551D" w:rsidRPr="003E743A" w:rsidRDefault="002B551D" w:rsidP="007F1DFA">
            <w:pPr>
              <w:spacing w:after="0" w:line="240" w:lineRule="auto"/>
              <w:jc w:val="center"/>
              <w:rPr>
                <w:rFonts w:ascii="Times New Roman" w:hAnsi="Times New Roman"/>
                <w:b/>
                <w:sz w:val="20"/>
                <w:szCs w:val="24"/>
              </w:rPr>
            </w:pPr>
          </w:p>
        </w:tc>
        <w:tc>
          <w:tcPr>
            <w:tcW w:w="1185" w:type="dxa"/>
            <w:vMerge/>
            <w:vAlign w:val="center"/>
          </w:tcPr>
          <w:p w:rsidR="002B551D" w:rsidRPr="003E743A" w:rsidRDefault="002B551D" w:rsidP="007F1DFA">
            <w:pPr>
              <w:spacing w:after="0" w:line="240" w:lineRule="auto"/>
              <w:jc w:val="center"/>
              <w:rPr>
                <w:rFonts w:ascii="Times New Roman" w:hAnsi="Times New Roman"/>
                <w:sz w:val="20"/>
                <w:szCs w:val="24"/>
              </w:rPr>
            </w:pPr>
          </w:p>
        </w:tc>
        <w:tc>
          <w:tcPr>
            <w:tcW w:w="228" w:type="dxa"/>
            <w:vMerge/>
            <w:vAlign w:val="center"/>
          </w:tcPr>
          <w:p w:rsidR="002B551D" w:rsidRPr="003E743A" w:rsidRDefault="002B551D" w:rsidP="007F1DFA">
            <w:pPr>
              <w:spacing w:after="0" w:line="240" w:lineRule="auto"/>
              <w:jc w:val="center"/>
              <w:rPr>
                <w:rFonts w:ascii="Times New Roman" w:hAnsi="Times New Roman"/>
                <w:sz w:val="20"/>
                <w:szCs w:val="24"/>
              </w:rPr>
            </w:pPr>
          </w:p>
        </w:tc>
        <w:tc>
          <w:tcPr>
            <w:tcW w:w="1335" w:type="dxa"/>
            <w:vAlign w:val="center"/>
          </w:tcPr>
          <w:p w:rsidR="002B551D" w:rsidRPr="003E743A" w:rsidRDefault="002B551D" w:rsidP="007F1DFA">
            <w:pPr>
              <w:spacing w:after="0" w:line="240" w:lineRule="auto"/>
              <w:jc w:val="center"/>
              <w:rPr>
                <w:rFonts w:ascii="Times New Roman" w:hAnsi="Times New Roman"/>
                <w:sz w:val="20"/>
                <w:szCs w:val="24"/>
              </w:rPr>
            </w:pPr>
            <w:r w:rsidRPr="003E743A">
              <w:rPr>
                <w:rFonts w:ascii="Times New Roman" w:hAnsi="Times New Roman"/>
                <w:sz w:val="20"/>
                <w:szCs w:val="24"/>
              </w:rPr>
              <w:t>Moyenne</w:t>
            </w:r>
          </w:p>
        </w:tc>
        <w:tc>
          <w:tcPr>
            <w:tcW w:w="366" w:type="dxa"/>
            <w:vAlign w:val="center"/>
          </w:tcPr>
          <w:p w:rsidR="002B551D" w:rsidRPr="003E743A" w:rsidRDefault="002B551D" w:rsidP="007F1DFA">
            <w:pPr>
              <w:spacing w:after="0" w:line="240" w:lineRule="auto"/>
              <w:jc w:val="center"/>
              <w:rPr>
                <w:rFonts w:ascii="Times New Roman" w:hAnsi="Times New Roman"/>
                <w:sz w:val="20"/>
                <w:szCs w:val="24"/>
              </w:rPr>
            </w:pPr>
            <w:r w:rsidRPr="00674610">
              <w:rPr>
                <w:rFonts w:ascii="Times New Roman" w:hAnsi="Times New Roman"/>
                <w:b/>
                <w:sz w:val="20"/>
                <w:szCs w:val="24"/>
              </w:rPr>
              <w:t>3</w:t>
            </w:r>
          </w:p>
        </w:tc>
        <w:tc>
          <w:tcPr>
            <w:tcW w:w="1553" w:type="dxa"/>
            <w:shd w:val="clear" w:color="auto" w:fill="FFFF00"/>
            <w:vAlign w:val="center"/>
          </w:tcPr>
          <w:p w:rsidR="002B551D" w:rsidRPr="003E743A" w:rsidRDefault="002B551D" w:rsidP="007F1DFA">
            <w:pPr>
              <w:spacing w:after="0" w:line="240" w:lineRule="auto"/>
              <w:jc w:val="center"/>
              <w:rPr>
                <w:rFonts w:ascii="Times New Roman" w:hAnsi="Times New Roman"/>
                <w:sz w:val="20"/>
                <w:szCs w:val="24"/>
              </w:rPr>
            </w:pPr>
            <w:r w:rsidRPr="003E743A">
              <w:rPr>
                <w:rFonts w:ascii="Times New Roman" w:hAnsi="Times New Roman"/>
                <w:sz w:val="20"/>
                <w:szCs w:val="24"/>
              </w:rPr>
              <w:t>Moyenne</w:t>
            </w:r>
          </w:p>
        </w:tc>
        <w:tc>
          <w:tcPr>
            <w:tcW w:w="850" w:type="dxa"/>
            <w:shd w:val="clear" w:color="auto" w:fill="FFFFFF" w:themeFill="background1"/>
          </w:tcPr>
          <w:p w:rsidR="002B551D" w:rsidRPr="00D205EB" w:rsidRDefault="002B551D" w:rsidP="007F1DFA">
            <w:pPr>
              <w:spacing w:after="0" w:line="240" w:lineRule="auto"/>
              <w:jc w:val="center"/>
              <w:rPr>
                <w:rFonts w:ascii="Times New Roman" w:hAnsi="Times New Roman"/>
                <w:sz w:val="20"/>
                <w:szCs w:val="24"/>
              </w:rPr>
            </w:pPr>
            <w:r>
              <w:rPr>
                <w:rFonts w:ascii="Times New Roman" w:hAnsi="Times New Roman"/>
                <w:b/>
                <w:sz w:val="20"/>
                <w:szCs w:val="24"/>
              </w:rPr>
              <w:t>45</w:t>
            </w:r>
          </w:p>
        </w:tc>
        <w:tc>
          <w:tcPr>
            <w:tcW w:w="1843" w:type="dxa"/>
            <w:shd w:val="clear" w:color="auto" w:fill="FFFFAB"/>
            <w:vAlign w:val="center"/>
          </w:tcPr>
          <w:p w:rsidR="002B551D" w:rsidRPr="003E743A" w:rsidRDefault="002B551D" w:rsidP="007F1DFA">
            <w:pPr>
              <w:spacing w:after="0" w:line="240" w:lineRule="auto"/>
              <w:jc w:val="center"/>
              <w:rPr>
                <w:rFonts w:ascii="Times New Roman" w:hAnsi="Times New Roman"/>
                <w:sz w:val="20"/>
                <w:szCs w:val="24"/>
              </w:rPr>
            </w:pPr>
            <w:r w:rsidRPr="003E743A">
              <w:rPr>
                <w:rFonts w:ascii="Times New Roman" w:hAnsi="Times New Roman"/>
                <w:sz w:val="20"/>
                <w:szCs w:val="24"/>
              </w:rPr>
              <w:t>Moyenne</w:t>
            </w:r>
          </w:p>
        </w:tc>
      </w:tr>
      <w:tr w:rsidR="002B551D" w:rsidRPr="00AA45E9" w:rsidTr="00A95D75">
        <w:trPr>
          <w:cantSplit/>
          <w:trHeight w:hRule="exact" w:val="281"/>
          <w:jc w:val="center"/>
        </w:trPr>
        <w:tc>
          <w:tcPr>
            <w:tcW w:w="1036" w:type="dxa"/>
            <w:vMerge/>
            <w:vAlign w:val="center"/>
          </w:tcPr>
          <w:p w:rsidR="002B551D" w:rsidRPr="003E743A" w:rsidRDefault="002B551D" w:rsidP="007F1DFA">
            <w:pPr>
              <w:spacing w:after="0" w:line="240" w:lineRule="auto"/>
              <w:jc w:val="center"/>
              <w:rPr>
                <w:rFonts w:ascii="Times New Roman" w:hAnsi="Times New Roman"/>
                <w:b/>
                <w:sz w:val="20"/>
                <w:szCs w:val="24"/>
              </w:rPr>
            </w:pPr>
          </w:p>
        </w:tc>
        <w:tc>
          <w:tcPr>
            <w:tcW w:w="388" w:type="dxa"/>
            <w:vMerge/>
            <w:vAlign w:val="center"/>
          </w:tcPr>
          <w:p w:rsidR="002B551D" w:rsidRPr="003E743A" w:rsidRDefault="002B551D" w:rsidP="007F1DFA">
            <w:pPr>
              <w:spacing w:after="0" w:line="240" w:lineRule="auto"/>
              <w:jc w:val="center"/>
              <w:rPr>
                <w:rFonts w:ascii="Times New Roman" w:hAnsi="Times New Roman"/>
                <w:b/>
                <w:sz w:val="20"/>
                <w:szCs w:val="24"/>
              </w:rPr>
            </w:pPr>
          </w:p>
        </w:tc>
        <w:tc>
          <w:tcPr>
            <w:tcW w:w="1185" w:type="dxa"/>
            <w:vMerge/>
            <w:vAlign w:val="center"/>
          </w:tcPr>
          <w:p w:rsidR="002B551D" w:rsidRPr="003E743A" w:rsidRDefault="002B551D" w:rsidP="007F1DFA">
            <w:pPr>
              <w:spacing w:after="0" w:line="240" w:lineRule="auto"/>
              <w:jc w:val="center"/>
              <w:rPr>
                <w:rFonts w:ascii="Times New Roman" w:hAnsi="Times New Roman"/>
                <w:sz w:val="20"/>
                <w:szCs w:val="24"/>
              </w:rPr>
            </w:pPr>
          </w:p>
        </w:tc>
        <w:tc>
          <w:tcPr>
            <w:tcW w:w="228" w:type="dxa"/>
            <w:vMerge/>
            <w:vAlign w:val="center"/>
          </w:tcPr>
          <w:p w:rsidR="002B551D" w:rsidRPr="003E743A" w:rsidRDefault="002B551D" w:rsidP="007F1DFA">
            <w:pPr>
              <w:spacing w:after="0" w:line="240" w:lineRule="auto"/>
              <w:jc w:val="center"/>
              <w:rPr>
                <w:rFonts w:ascii="Times New Roman" w:hAnsi="Times New Roman"/>
                <w:sz w:val="20"/>
                <w:szCs w:val="24"/>
              </w:rPr>
            </w:pPr>
          </w:p>
        </w:tc>
        <w:tc>
          <w:tcPr>
            <w:tcW w:w="1335" w:type="dxa"/>
            <w:vAlign w:val="center"/>
          </w:tcPr>
          <w:p w:rsidR="002B551D" w:rsidRPr="003E743A" w:rsidRDefault="002B551D" w:rsidP="007F1DFA">
            <w:pPr>
              <w:spacing w:after="0" w:line="240" w:lineRule="auto"/>
              <w:jc w:val="center"/>
              <w:rPr>
                <w:rFonts w:ascii="Times New Roman" w:hAnsi="Times New Roman"/>
                <w:sz w:val="20"/>
                <w:szCs w:val="24"/>
              </w:rPr>
            </w:pPr>
            <w:r w:rsidRPr="003E743A">
              <w:rPr>
                <w:rFonts w:ascii="Times New Roman" w:hAnsi="Times New Roman"/>
                <w:sz w:val="20"/>
                <w:szCs w:val="24"/>
              </w:rPr>
              <w:t>Courte</w:t>
            </w:r>
          </w:p>
        </w:tc>
        <w:tc>
          <w:tcPr>
            <w:tcW w:w="366" w:type="dxa"/>
            <w:vAlign w:val="center"/>
          </w:tcPr>
          <w:p w:rsidR="002B551D" w:rsidRPr="003E743A" w:rsidRDefault="002B551D" w:rsidP="007F1DFA">
            <w:pPr>
              <w:spacing w:after="0" w:line="240" w:lineRule="auto"/>
              <w:jc w:val="center"/>
              <w:rPr>
                <w:rFonts w:ascii="Times New Roman" w:hAnsi="Times New Roman"/>
                <w:sz w:val="20"/>
                <w:szCs w:val="24"/>
              </w:rPr>
            </w:pPr>
            <w:r w:rsidRPr="00674610">
              <w:rPr>
                <w:rFonts w:ascii="Times New Roman" w:hAnsi="Times New Roman"/>
                <w:b/>
                <w:sz w:val="20"/>
                <w:szCs w:val="24"/>
              </w:rPr>
              <w:t>1</w:t>
            </w:r>
          </w:p>
        </w:tc>
        <w:tc>
          <w:tcPr>
            <w:tcW w:w="1553" w:type="dxa"/>
            <w:shd w:val="clear" w:color="auto" w:fill="00B050"/>
            <w:vAlign w:val="center"/>
          </w:tcPr>
          <w:p w:rsidR="002B551D" w:rsidRPr="003E743A" w:rsidRDefault="002B551D" w:rsidP="007F1DFA">
            <w:pPr>
              <w:spacing w:after="0" w:line="240" w:lineRule="auto"/>
              <w:jc w:val="center"/>
              <w:rPr>
                <w:rFonts w:ascii="Times New Roman" w:hAnsi="Times New Roman"/>
                <w:sz w:val="20"/>
                <w:szCs w:val="24"/>
              </w:rPr>
            </w:pPr>
            <w:r w:rsidRPr="003E743A">
              <w:rPr>
                <w:rFonts w:ascii="Times New Roman" w:hAnsi="Times New Roman"/>
                <w:sz w:val="20"/>
                <w:szCs w:val="24"/>
              </w:rPr>
              <w:t>M</w:t>
            </w:r>
            <w:r>
              <w:rPr>
                <w:rFonts w:ascii="Times New Roman" w:hAnsi="Times New Roman"/>
                <w:sz w:val="20"/>
                <w:szCs w:val="24"/>
              </w:rPr>
              <w:t>ineure</w:t>
            </w:r>
          </w:p>
        </w:tc>
        <w:tc>
          <w:tcPr>
            <w:tcW w:w="850" w:type="dxa"/>
            <w:shd w:val="clear" w:color="auto" w:fill="FFFFFF" w:themeFill="background1"/>
          </w:tcPr>
          <w:p w:rsidR="002B551D" w:rsidRPr="00D205EB" w:rsidRDefault="002B551D" w:rsidP="007F1DFA">
            <w:pPr>
              <w:spacing w:after="0" w:line="240" w:lineRule="auto"/>
              <w:jc w:val="center"/>
              <w:rPr>
                <w:rFonts w:ascii="Times New Roman" w:hAnsi="Times New Roman"/>
                <w:sz w:val="20"/>
                <w:szCs w:val="24"/>
              </w:rPr>
            </w:pPr>
            <w:r>
              <w:rPr>
                <w:rFonts w:ascii="Times New Roman" w:hAnsi="Times New Roman"/>
                <w:b/>
                <w:sz w:val="20"/>
                <w:szCs w:val="24"/>
              </w:rPr>
              <w:t>15</w:t>
            </w:r>
          </w:p>
        </w:tc>
        <w:tc>
          <w:tcPr>
            <w:tcW w:w="1843" w:type="dxa"/>
            <w:shd w:val="clear" w:color="auto" w:fill="F4B083" w:themeFill="accent2" w:themeFillTint="99"/>
            <w:vAlign w:val="center"/>
          </w:tcPr>
          <w:p w:rsidR="002B551D" w:rsidRPr="003E743A" w:rsidRDefault="002B551D" w:rsidP="007F1DFA">
            <w:pPr>
              <w:spacing w:after="0" w:line="240" w:lineRule="auto"/>
              <w:jc w:val="center"/>
              <w:rPr>
                <w:rFonts w:ascii="Times New Roman" w:hAnsi="Times New Roman"/>
                <w:sz w:val="20"/>
                <w:szCs w:val="24"/>
              </w:rPr>
            </w:pPr>
            <w:r w:rsidRPr="003E743A">
              <w:rPr>
                <w:rFonts w:ascii="Times New Roman" w:hAnsi="Times New Roman"/>
                <w:sz w:val="20"/>
                <w:szCs w:val="24"/>
              </w:rPr>
              <w:t>M</w:t>
            </w:r>
            <w:r>
              <w:rPr>
                <w:rFonts w:ascii="Times New Roman" w:hAnsi="Times New Roman"/>
                <w:sz w:val="20"/>
                <w:szCs w:val="24"/>
              </w:rPr>
              <w:t>ineure</w:t>
            </w:r>
          </w:p>
        </w:tc>
      </w:tr>
      <w:tr w:rsidR="002B551D" w:rsidRPr="00AA45E9" w:rsidTr="00A95D75">
        <w:trPr>
          <w:cantSplit/>
          <w:trHeight w:hRule="exact" w:val="281"/>
          <w:jc w:val="center"/>
        </w:trPr>
        <w:tc>
          <w:tcPr>
            <w:tcW w:w="1036" w:type="dxa"/>
            <w:vMerge/>
            <w:vAlign w:val="center"/>
          </w:tcPr>
          <w:p w:rsidR="002B551D" w:rsidRPr="003E743A" w:rsidRDefault="002B551D" w:rsidP="007F1DFA">
            <w:pPr>
              <w:spacing w:after="0" w:line="240" w:lineRule="auto"/>
              <w:jc w:val="center"/>
              <w:rPr>
                <w:rFonts w:ascii="Times New Roman" w:hAnsi="Times New Roman"/>
                <w:b/>
                <w:sz w:val="20"/>
                <w:szCs w:val="24"/>
              </w:rPr>
            </w:pPr>
          </w:p>
        </w:tc>
        <w:tc>
          <w:tcPr>
            <w:tcW w:w="388" w:type="dxa"/>
            <w:vMerge/>
            <w:vAlign w:val="center"/>
          </w:tcPr>
          <w:p w:rsidR="002B551D" w:rsidRPr="003E743A" w:rsidRDefault="002B551D" w:rsidP="007F1DFA">
            <w:pPr>
              <w:spacing w:after="0" w:line="240" w:lineRule="auto"/>
              <w:jc w:val="center"/>
              <w:rPr>
                <w:rFonts w:ascii="Times New Roman" w:hAnsi="Times New Roman"/>
                <w:b/>
                <w:sz w:val="20"/>
                <w:szCs w:val="24"/>
              </w:rPr>
            </w:pPr>
          </w:p>
        </w:tc>
        <w:tc>
          <w:tcPr>
            <w:tcW w:w="1185" w:type="dxa"/>
            <w:vMerge w:val="restart"/>
            <w:vAlign w:val="center"/>
          </w:tcPr>
          <w:p w:rsidR="002B551D" w:rsidRPr="003E743A" w:rsidRDefault="002B551D" w:rsidP="007F1DFA">
            <w:pPr>
              <w:spacing w:after="0" w:line="240" w:lineRule="auto"/>
              <w:jc w:val="center"/>
              <w:rPr>
                <w:rFonts w:ascii="Times New Roman" w:hAnsi="Times New Roman"/>
                <w:sz w:val="20"/>
                <w:szCs w:val="24"/>
              </w:rPr>
            </w:pPr>
            <w:r w:rsidRPr="003E743A">
              <w:rPr>
                <w:rFonts w:ascii="Times New Roman" w:hAnsi="Times New Roman"/>
                <w:sz w:val="20"/>
                <w:szCs w:val="24"/>
              </w:rPr>
              <w:t>Locale</w:t>
            </w:r>
          </w:p>
        </w:tc>
        <w:tc>
          <w:tcPr>
            <w:tcW w:w="228" w:type="dxa"/>
            <w:vMerge w:val="restart"/>
            <w:vAlign w:val="center"/>
          </w:tcPr>
          <w:p w:rsidR="002B551D" w:rsidRPr="003E743A" w:rsidRDefault="002B551D" w:rsidP="007F1DFA">
            <w:pPr>
              <w:spacing w:after="0" w:line="240" w:lineRule="auto"/>
              <w:jc w:val="center"/>
              <w:rPr>
                <w:rFonts w:ascii="Times New Roman" w:hAnsi="Times New Roman"/>
                <w:sz w:val="20"/>
                <w:szCs w:val="24"/>
              </w:rPr>
            </w:pPr>
            <w:r w:rsidRPr="00674610">
              <w:rPr>
                <w:rFonts w:ascii="Times New Roman" w:hAnsi="Times New Roman"/>
                <w:b/>
                <w:sz w:val="20"/>
                <w:szCs w:val="24"/>
              </w:rPr>
              <w:t>3</w:t>
            </w:r>
          </w:p>
        </w:tc>
        <w:tc>
          <w:tcPr>
            <w:tcW w:w="1335" w:type="dxa"/>
            <w:vAlign w:val="center"/>
          </w:tcPr>
          <w:p w:rsidR="002B551D" w:rsidRPr="003E743A" w:rsidRDefault="002B551D" w:rsidP="007F1DFA">
            <w:pPr>
              <w:spacing w:after="0" w:line="240" w:lineRule="auto"/>
              <w:jc w:val="center"/>
              <w:rPr>
                <w:rFonts w:ascii="Times New Roman" w:hAnsi="Times New Roman"/>
                <w:sz w:val="20"/>
                <w:szCs w:val="24"/>
              </w:rPr>
            </w:pPr>
            <w:r w:rsidRPr="003E743A">
              <w:rPr>
                <w:rFonts w:ascii="Times New Roman" w:hAnsi="Times New Roman"/>
                <w:sz w:val="20"/>
                <w:szCs w:val="24"/>
              </w:rPr>
              <w:t>Longue</w:t>
            </w:r>
          </w:p>
        </w:tc>
        <w:tc>
          <w:tcPr>
            <w:tcW w:w="366" w:type="dxa"/>
            <w:vAlign w:val="center"/>
          </w:tcPr>
          <w:p w:rsidR="002B551D" w:rsidRPr="003E743A" w:rsidRDefault="002B551D" w:rsidP="007F1DFA">
            <w:pPr>
              <w:spacing w:after="0" w:line="240" w:lineRule="auto"/>
              <w:jc w:val="center"/>
              <w:rPr>
                <w:rFonts w:ascii="Times New Roman" w:hAnsi="Times New Roman"/>
                <w:sz w:val="20"/>
                <w:szCs w:val="24"/>
              </w:rPr>
            </w:pPr>
            <w:r w:rsidRPr="00674610">
              <w:rPr>
                <w:rFonts w:ascii="Times New Roman" w:hAnsi="Times New Roman"/>
                <w:b/>
                <w:sz w:val="20"/>
                <w:szCs w:val="24"/>
              </w:rPr>
              <w:t>5</w:t>
            </w:r>
          </w:p>
        </w:tc>
        <w:tc>
          <w:tcPr>
            <w:tcW w:w="1553" w:type="dxa"/>
            <w:shd w:val="clear" w:color="auto" w:fill="FFFF00"/>
            <w:vAlign w:val="center"/>
          </w:tcPr>
          <w:p w:rsidR="002B551D" w:rsidRPr="003E743A" w:rsidRDefault="002B551D" w:rsidP="007F1DFA">
            <w:pPr>
              <w:spacing w:after="0" w:line="240" w:lineRule="auto"/>
              <w:jc w:val="center"/>
              <w:rPr>
                <w:rFonts w:ascii="Times New Roman" w:hAnsi="Times New Roman"/>
                <w:sz w:val="20"/>
                <w:szCs w:val="24"/>
              </w:rPr>
            </w:pPr>
            <w:r w:rsidRPr="003E743A">
              <w:rPr>
                <w:rFonts w:ascii="Times New Roman" w:hAnsi="Times New Roman"/>
                <w:sz w:val="20"/>
                <w:szCs w:val="24"/>
              </w:rPr>
              <w:t>Moyenne</w:t>
            </w:r>
          </w:p>
        </w:tc>
        <w:tc>
          <w:tcPr>
            <w:tcW w:w="850" w:type="dxa"/>
            <w:shd w:val="clear" w:color="auto" w:fill="FFFFFF" w:themeFill="background1"/>
          </w:tcPr>
          <w:p w:rsidR="002B551D" w:rsidRPr="00D205EB" w:rsidRDefault="002B551D" w:rsidP="007F1DFA">
            <w:pPr>
              <w:spacing w:after="0" w:line="240" w:lineRule="auto"/>
              <w:jc w:val="center"/>
              <w:rPr>
                <w:rFonts w:ascii="Times New Roman" w:hAnsi="Times New Roman"/>
                <w:sz w:val="20"/>
                <w:szCs w:val="24"/>
              </w:rPr>
            </w:pPr>
            <w:r>
              <w:rPr>
                <w:rFonts w:ascii="Times New Roman" w:hAnsi="Times New Roman"/>
                <w:b/>
                <w:sz w:val="20"/>
                <w:szCs w:val="24"/>
              </w:rPr>
              <w:t>45</w:t>
            </w:r>
          </w:p>
        </w:tc>
        <w:tc>
          <w:tcPr>
            <w:tcW w:w="1843" w:type="dxa"/>
            <w:shd w:val="clear" w:color="auto" w:fill="FFFFAB"/>
            <w:vAlign w:val="center"/>
          </w:tcPr>
          <w:p w:rsidR="002B551D" w:rsidRPr="003E743A" w:rsidRDefault="002B551D" w:rsidP="007F1DFA">
            <w:pPr>
              <w:spacing w:after="0" w:line="240" w:lineRule="auto"/>
              <w:jc w:val="center"/>
              <w:rPr>
                <w:rFonts w:ascii="Times New Roman" w:hAnsi="Times New Roman"/>
                <w:sz w:val="20"/>
                <w:szCs w:val="24"/>
              </w:rPr>
            </w:pPr>
            <w:r w:rsidRPr="003E743A">
              <w:rPr>
                <w:rFonts w:ascii="Times New Roman" w:hAnsi="Times New Roman"/>
                <w:sz w:val="20"/>
                <w:szCs w:val="24"/>
              </w:rPr>
              <w:t>Moyenne</w:t>
            </w:r>
          </w:p>
        </w:tc>
      </w:tr>
      <w:tr w:rsidR="002B551D" w:rsidRPr="00AA45E9" w:rsidTr="00A95D75">
        <w:trPr>
          <w:cantSplit/>
          <w:trHeight w:hRule="exact" w:val="281"/>
          <w:jc w:val="center"/>
        </w:trPr>
        <w:tc>
          <w:tcPr>
            <w:tcW w:w="1036" w:type="dxa"/>
            <w:vMerge/>
            <w:vAlign w:val="center"/>
          </w:tcPr>
          <w:p w:rsidR="002B551D" w:rsidRPr="003E743A" w:rsidRDefault="002B551D" w:rsidP="007F1DFA">
            <w:pPr>
              <w:spacing w:after="0" w:line="240" w:lineRule="auto"/>
              <w:jc w:val="center"/>
              <w:rPr>
                <w:rFonts w:ascii="Times New Roman" w:hAnsi="Times New Roman"/>
                <w:b/>
                <w:sz w:val="20"/>
                <w:szCs w:val="24"/>
              </w:rPr>
            </w:pPr>
          </w:p>
        </w:tc>
        <w:tc>
          <w:tcPr>
            <w:tcW w:w="388" w:type="dxa"/>
            <w:vMerge/>
            <w:vAlign w:val="center"/>
          </w:tcPr>
          <w:p w:rsidR="002B551D" w:rsidRPr="003E743A" w:rsidRDefault="002B551D" w:rsidP="007F1DFA">
            <w:pPr>
              <w:spacing w:after="0" w:line="240" w:lineRule="auto"/>
              <w:jc w:val="center"/>
              <w:rPr>
                <w:rFonts w:ascii="Times New Roman" w:hAnsi="Times New Roman"/>
                <w:b/>
                <w:sz w:val="20"/>
                <w:szCs w:val="24"/>
              </w:rPr>
            </w:pPr>
          </w:p>
        </w:tc>
        <w:tc>
          <w:tcPr>
            <w:tcW w:w="1185" w:type="dxa"/>
            <w:vMerge/>
            <w:vAlign w:val="center"/>
          </w:tcPr>
          <w:p w:rsidR="002B551D" w:rsidRPr="003E743A" w:rsidRDefault="002B551D" w:rsidP="007F1DFA">
            <w:pPr>
              <w:spacing w:after="0" w:line="240" w:lineRule="auto"/>
              <w:jc w:val="center"/>
              <w:rPr>
                <w:rFonts w:ascii="Times New Roman" w:hAnsi="Times New Roman"/>
                <w:sz w:val="20"/>
                <w:szCs w:val="24"/>
              </w:rPr>
            </w:pPr>
          </w:p>
        </w:tc>
        <w:tc>
          <w:tcPr>
            <w:tcW w:w="228" w:type="dxa"/>
            <w:vMerge/>
            <w:vAlign w:val="center"/>
          </w:tcPr>
          <w:p w:rsidR="002B551D" w:rsidRPr="003E743A" w:rsidRDefault="002B551D" w:rsidP="007F1DFA">
            <w:pPr>
              <w:spacing w:after="0" w:line="240" w:lineRule="auto"/>
              <w:jc w:val="center"/>
              <w:rPr>
                <w:rFonts w:ascii="Times New Roman" w:hAnsi="Times New Roman"/>
                <w:sz w:val="20"/>
                <w:szCs w:val="24"/>
              </w:rPr>
            </w:pPr>
          </w:p>
        </w:tc>
        <w:tc>
          <w:tcPr>
            <w:tcW w:w="1335" w:type="dxa"/>
            <w:vAlign w:val="center"/>
          </w:tcPr>
          <w:p w:rsidR="002B551D" w:rsidRPr="003E743A" w:rsidRDefault="002B551D" w:rsidP="007F1DFA">
            <w:pPr>
              <w:spacing w:after="0" w:line="240" w:lineRule="auto"/>
              <w:jc w:val="center"/>
              <w:rPr>
                <w:rFonts w:ascii="Times New Roman" w:hAnsi="Times New Roman"/>
                <w:sz w:val="20"/>
                <w:szCs w:val="24"/>
              </w:rPr>
            </w:pPr>
            <w:r w:rsidRPr="003E743A">
              <w:rPr>
                <w:rFonts w:ascii="Times New Roman" w:hAnsi="Times New Roman"/>
                <w:sz w:val="20"/>
                <w:szCs w:val="24"/>
              </w:rPr>
              <w:t>Moyenne</w:t>
            </w:r>
          </w:p>
        </w:tc>
        <w:tc>
          <w:tcPr>
            <w:tcW w:w="366" w:type="dxa"/>
            <w:vAlign w:val="center"/>
          </w:tcPr>
          <w:p w:rsidR="002B551D" w:rsidRPr="003E743A" w:rsidRDefault="002B551D" w:rsidP="007F1DFA">
            <w:pPr>
              <w:spacing w:after="0" w:line="240" w:lineRule="auto"/>
              <w:jc w:val="center"/>
              <w:rPr>
                <w:rFonts w:ascii="Times New Roman" w:hAnsi="Times New Roman"/>
                <w:sz w:val="20"/>
                <w:szCs w:val="24"/>
              </w:rPr>
            </w:pPr>
            <w:r w:rsidRPr="00674610">
              <w:rPr>
                <w:rFonts w:ascii="Times New Roman" w:hAnsi="Times New Roman"/>
                <w:b/>
                <w:sz w:val="20"/>
                <w:szCs w:val="24"/>
              </w:rPr>
              <w:t>3</w:t>
            </w:r>
          </w:p>
        </w:tc>
        <w:tc>
          <w:tcPr>
            <w:tcW w:w="1553" w:type="dxa"/>
            <w:shd w:val="clear" w:color="auto" w:fill="FFFF00"/>
            <w:vAlign w:val="center"/>
          </w:tcPr>
          <w:p w:rsidR="002B551D" w:rsidRPr="003E743A" w:rsidRDefault="002B551D" w:rsidP="007F1DFA">
            <w:pPr>
              <w:spacing w:after="0" w:line="240" w:lineRule="auto"/>
              <w:jc w:val="center"/>
              <w:rPr>
                <w:rFonts w:ascii="Times New Roman" w:hAnsi="Times New Roman"/>
                <w:sz w:val="20"/>
                <w:szCs w:val="24"/>
              </w:rPr>
            </w:pPr>
            <w:r w:rsidRPr="003E743A">
              <w:rPr>
                <w:rFonts w:ascii="Times New Roman" w:hAnsi="Times New Roman"/>
                <w:sz w:val="20"/>
                <w:szCs w:val="24"/>
              </w:rPr>
              <w:t>Moyenne</w:t>
            </w:r>
          </w:p>
        </w:tc>
        <w:tc>
          <w:tcPr>
            <w:tcW w:w="850" w:type="dxa"/>
            <w:shd w:val="clear" w:color="auto" w:fill="FFFFFF" w:themeFill="background1"/>
          </w:tcPr>
          <w:p w:rsidR="002B551D" w:rsidRPr="00D205EB" w:rsidRDefault="002B551D" w:rsidP="007F1DFA">
            <w:pPr>
              <w:spacing w:after="0" w:line="240" w:lineRule="auto"/>
              <w:jc w:val="center"/>
              <w:rPr>
                <w:rFonts w:ascii="Times New Roman" w:hAnsi="Times New Roman"/>
                <w:sz w:val="20"/>
                <w:szCs w:val="24"/>
              </w:rPr>
            </w:pPr>
            <w:r>
              <w:rPr>
                <w:rFonts w:ascii="Times New Roman" w:hAnsi="Times New Roman"/>
                <w:b/>
                <w:sz w:val="20"/>
                <w:szCs w:val="24"/>
              </w:rPr>
              <w:t>27</w:t>
            </w:r>
          </w:p>
        </w:tc>
        <w:tc>
          <w:tcPr>
            <w:tcW w:w="1843" w:type="dxa"/>
            <w:shd w:val="clear" w:color="auto" w:fill="FFFFAB"/>
            <w:vAlign w:val="center"/>
          </w:tcPr>
          <w:p w:rsidR="002B551D" w:rsidRPr="003E743A" w:rsidRDefault="002B551D" w:rsidP="007F1DFA">
            <w:pPr>
              <w:spacing w:after="0" w:line="240" w:lineRule="auto"/>
              <w:jc w:val="center"/>
              <w:rPr>
                <w:rFonts w:ascii="Times New Roman" w:hAnsi="Times New Roman"/>
                <w:sz w:val="20"/>
                <w:szCs w:val="24"/>
              </w:rPr>
            </w:pPr>
            <w:r w:rsidRPr="003E743A">
              <w:rPr>
                <w:rFonts w:ascii="Times New Roman" w:hAnsi="Times New Roman"/>
                <w:sz w:val="20"/>
                <w:szCs w:val="24"/>
              </w:rPr>
              <w:t>Moyenne</w:t>
            </w:r>
          </w:p>
        </w:tc>
      </w:tr>
      <w:tr w:rsidR="002B551D" w:rsidRPr="00AA45E9" w:rsidTr="00A95D75">
        <w:trPr>
          <w:cantSplit/>
          <w:trHeight w:hRule="exact" w:val="281"/>
          <w:jc w:val="center"/>
        </w:trPr>
        <w:tc>
          <w:tcPr>
            <w:tcW w:w="1036" w:type="dxa"/>
            <w:vMerge/>
            <w:vAlign w:val="center"/>
          </w:tcPr>
          <w:p w:rsidR="002B551D" w:rsidRPr="003E743A" w:rsidRDefault="002B551D" w:rsidP="007F1DFA">
            <w:pPr>
              <w:spacing w:after="0" w:line="240" w:lineRule="auto"/>
              <w:jc w:val="center"/>
              <w:rPr>
                <w:rFonts w:ascii="Times New Roman" w:hAnsi="Times New Roman"/>
                <w:b/>
                <w:sz w:val="20"/>
                <w:szCs w:val="24"/>
              </w:rPr>
            </w:pPr>
          </w:p>
        </w:tc>
        <w:tc>
          <w:tcPr>
            <w:tcW w:w="388" w:type="dxa"/>
            <w:vMerge/>
            <w:vAlign w:val="center"/>
          </w:tcPr>
          <w:p w:rsidR="002B551D" w:rsidRPr="003E743A" w:rsidRDefault="002B551D" w:rsidP="007F1DFA">
            <w:pPr>
              <w:spacing w:after="0" w:line="240" w:lineRule="auto"/>
              <w:jc w:val="center"/>
              <w:rPr>
                <w:rFonts w:ascii="Times New Roman" w:hAnsi="Times New Roman"/>
                <w:b/>
                <w:sz w:val="20"/>
                <w:szCs w:val="24"/>
              </w:rPr>
            </w:pPr>
          </w:p>
        </w:tc>
        <w:tc>
          <w:tcPr>
            <w:tcW w:w="1185" w:type="dxa"/>
            <w:vMerge/>
            <w:vAlign w:val="center"/>
          </w:tcPr>
          <w:p w:rsidR="002B551D" w:rsidRPr="003E743A" w:rsidRDefault="002B551D" w:rsidP="007F1DFA">
            <w:pPr>
              <w:spacing w:after="0" w:line="240" w:lineRule="auto"/>
              <w:jc w:val="center"/>
              <w:rPr>
                <w:rFonts w:ascii="Times New Roman" w:hAnsi="Times New Roman"/>
                <w:sz w:val="20"/>
                <w:szCs w:val="24"/>
              </w:rPr>
            </w:pPr>
          </w:p>
        </w:tc>
        <w:tc>
          <w:tcPr>
            <w:tcW w:w="228" w:type="dxa"/>
            <w:vMerge/>
            <w:vAlign w:val="center"/>
          </w:tcPr>
          <w:p w:rsidR="002B551D" w:rsidRPr="003E743A" w:rsidRDefault="002B551D" w:rsidP="007F1DFA">
            <w:pPr>
              <w:spacing w:after="0" w:line="240" w:lineRule="auto"/>
              <w:jc w:val="center"/>
              <w:rPr>
                <w:rFonts w:ascii="Times New Roman" w:hAnsi="Times New Roman"/>
                <w:sz w:val="20"/>
                <w:szCs w:val="24"/>
              </w:rPr>
            </w:pPr>
          </w:p>
        </w:tc>
        <w:tc>
          <w:tcPr>
            <w:tcW w:w="1335" w:type="dxa"/>
            <w:vAlign w:val="center"/>
          </w:tcPr>
          <w:p w:rsidR="002B551D" w:rsidRPr="003E743A" w:rsidRDefault="002B551D" w:rsidP="007F1DFA">
            <w:pPr>
              <w:spacing w:after="0" w:line="240" w:lineRule="auto"/>
              <w:jc w:val="center"/>
              <w:rPr>
                <w:rFonts w:ascii="Times New Roman" w:hAnsi="Times New Roman"/>
                <w:sz w:val="20"/>
                <w:szCs w:val="24"/>
              </w:rPr>
            </w:pPr>
            <w:r w:rsidRPr="003E743A">
              <w:rPr>
                <w:rFonts w:ascii="Times New Roman" w:hAnsi="Times New Roman"/>
                <w:sz w:val="20"/>
                <w:szCs w:val="24"/>
              </w:rPr>
              <w:t>Courte</w:t>
            </w:r>
          </w:p>
        </w:tc>
        <w:tc>
          <w:tcPr>
            <w:tcW w:w="366" w:type="dxa"/>
            <w:vAlign w:val="center"/>
          </w:tcPr>
          <w:p w:rsidR="002B551D" w:rsidRPr="003E743A" w:rsidRDefault="002B551D" w:rsidP="007F1DFA">
            <w:pPr>
              <w:spacing w:after="0" w:line="240" w:lineRule="auto"/>
              <w:jc w:val="center"/>
              <w:rPr>
                <w:rFonts w:ascii="Times New Roman" w:hAnsi="Times New Roman"/>
                <w:sz w:val="20"/>
                <w:szCs w:val="24"/>
              </w:rPr>
            </w:pPr>
            <w:r w:rsidRPr="00674610">
              <w:rPr>
                <w:rFonts w:ascii="Times New Roman" w:hAnsi="Times New Roman"/>
                <w:b/>
                <w:sz w:val="20"/>
                <w:szCs w:val="24"/>
              </w:rPr>
              <w:t>1</w:t>
            </w:r>
          </w:p>
        </w:tc>
        <w:tc>
          <w:tcPr>
            <w:tcW w:w="1553" w:type="dxa"/>
            <w:shd w:val="clear" w:color="auto" w:fill="00B050"/>
            <w:vAlign w:val="center"/>
          </w:tcPr>
          <w:p w:rsidR="002B551D" w:rsidRPr="003E743A" w:rsidRDefault="002B551D" w:rsidP="007F1DFA">
            <w:pPr>
              <w:spacing w:after="0" w:line="240" w:lineRule="auto"/>
              <w:jc w:val="center"/>
              <w:rPr>
                <w:rFonts w:ascii="Times New Roman" w:hAnsi="Times New Roman"/>
                <w:sz w:val="20"/>
                <w:szCs w:val="24"/>
              </w:rPr>
            </w:pPr>
            <w:r w:rsidRPr="003E743A">
              <w:rPr>
                <w:rFonts w:ascii="Times New Roman" w:hAnsi="Times New Roman"/>
                <w:sz w:val="20"/>
                <w:szCs w:val="24"/>
              </w:rPr>
              <w:t>M</w:t>
            </w:r>
            <w:r>
              <w:rPr>
                <w:rFonts w:ascii="Times New Roman" w:hAnsi="Times New Roman"/>
                <w:sz w:val="20"/>
                <w:szCs w:val="24"/>
              </w:rPr>
              <w:t>ineur</w:t>
            </w:r>
            <w:r w:rsidRPr="003E743A">
              <w:rPr>
                <w:rFonts w:ascii="Times New Roman" w:hAnsi="Times New Roman"/>
                <w:sz w:val="20"/>
                <w:szCs w:val="24"/>
              </w:rPr>
              <w:t>e</w:t>
            </w:r>
          </w:p>
        </w:tc>
        <w:tc>
          <w:tcPr>
            <w:tcW w:w="850" w:type="dxa"/>
            <w:shd w:val="clear" w:color="auto" w:fill="FFFFFF" w:themeFill="background1"/>
          </w:tcPr>
          <w:p w:rsidR="002B551D" w:rsidRPr="00D205EB" w:rsidRDefault="002B551D" w:rsidP="007F1DFA">
            <w:pPr>
              <w:spacing w:after="0" w:line="240" w:lineRule="auto"/>
              <w:jc w:val="center"/>
              <w:rPr>
                <w:rFonts w:ascii="Times New Roman" w:hAnsi="Times New Roman"/>
                <w:sz w:val="20"/>
                <w:szCs w:val="24"/>
              </w:rPr>
            </w:pPr>
            <w:r>
              <w:rPr>
                <w:rFonts w:ascii="Times New Roman" w:hAnsi="Times New Roman"/>
                <w:b/>
                <w:sz w:val="20"/>
                <w:szCs w:val="24"/>
              </w:rPr>
              <w:t>9</w:t>
            </w:r>
          </w:p>
        </w:tc>
        <w:tc>
          <w:tcPr>
            <w:tcW w:w="1843" w:type="dxa"/>
            <w:shd w:val="clear" w:color="auto" w:fill="F4B083" w:themeFill="accent2" w:themeFillTint="99"/>
            <w:vAlign w:val="center"/>
          </w:tcPr>
          <w:p w:rsidR="002B551D" w:rsidRPr="003E743A" w:rsidRDefault="002B551D" w:rsidP="007F1DFA">
            <w:pPr>
              <w:spacing w:after="0" w:line="240" w:lineRule="auto"/>
              <w:jc w:val="center"/>
              <w:rPr>
                <w:rFonts w:ascii="Times New Roman" w:hAnsi="Times New Roman"/>
                <w:sz w:val="20"/>
                <w:szCs w:val="24"/>
              </w:rPr>
            </w:pPr>
            <w:r>
              <w:rPr>
                <w:rFonts w:ascii="Times New Roman" w:hAnsi="Times New Roman"/>
                <w:sz w:val="20"/>
                <w:szCs w:val="24"/>
              </w:rPr>
              <w:t>Mineure</w:t>
            </w:r>
          </w:p>
        </w:tc>
      </w:tr>
      <w:tr w:rsidR="002B551D" w:rsidRPr="00AA45E9" w:rsidTr="00A95D75">
        <w:trPr>
          <w:cantSplit/>
          <w:trHeight w:hRule="exact" w:val="281"/>
          <w:jc w:val="center"/>
        </w:trPr>
        <w:tc>
          <w:tcPr>
            <w:tcW w:w="1036" w:type="dxa"/>
            <w:vMerge/>
            <w:vAlign w:val="center"/>
          </w:tcPr>
          <w:p w:rsidR="002B551D" w:rsidRPr="003E743A" w:rsidRDefault="002B551D" w:rsidP="007F1DFA">
            <w:pPr>
              <w:spacing w:after="0" w:line="240" w:lineRule="auto"/>
              <w:jc w:val="center"/>
              <w:rPr>
                <w:rFonts w:ascii="Times New Roman" w:hAnsi="Times New Roman"/>
                <w:b/>
                <w:sz w:val="20"/>
                <w:szCs w:val="24"/>
              </w:rPr>
            </w:pPr>
          </w:p>
        </w:tc>
        <w:tc>
          <w:tcPr>
            <w:tcW w:w="388" w:type="dxa"/>
            <w:vMerge/>
            <w:vAlign w:val="center"/>
          </w:tcPr>
          <w:p w:rsidR="002B551D" w:rsidRPr="003E743A" w:rsidRDefault="002B551D" w:rsidP="007F1DFA">
            <w:pPr>
              <w:spacing w:after="0" w:line="240" w:lineRule="auto"/>
              <w:jc w:val="center"/>
              <w:rPr>
                <w:rFonts w:ascii="Times New Roman" w:hAnsi="Times New Roman"/>
                <w:b/>
                <w:sz w:val="20"/>
                <w:szCs w:val="24"/>
              </w:rPr>
            </w:pPr>
          </w:p>
        </w:tc>
        <w:tc>
          <w:tcPr>
            <w:tcW w:w="1185" w:type="dxa"/>
            <w:vMerge w:val="restart"/>
            <w:vAlign w:val="center"/>
          </w:tcPr>
          <w:p w:rsidR="002B551D" w:rsidRPr="003E743A" w:rsidRDefault="002B551D" w:rsidP="007F1DFA">
            <w:pPr>
              <w:spacing w:after="0" w:line="240" w:lineRule="auto"/>
              <w:jc w:val="center"/>
              <w:rPr>
                <w:rFonts w:ascii="Times New Roman" w:hAnsi="Times New Roman"/>
                <w:sz w:val="20"/>
                <w:szCs w:val="24"/>
              </w:rPr>
            </w:pPr>
            <w:r w:rsidRPr="003E743A">
              <w:rPr>
                <w:rFonts w:ascii="Times New Roman" w:hAnsi="Times New Roman"/>
                <w:sz w:val="20"/>
                <w:szCs w:val="24"/>
              </w:rPr>
              <w:t>Ponctuelle</w:t>
            </w:r>
          </w:p>
        </w:tc>
        <w:tc>
          <w:tcPr>
            <w:tcW w:w="228" w:type="dxa"/>
            <w:vMerge w:val="restart"/>
            <w:vAlign w:val="center"/>
          </w:tcPr>
          <w:p w:rsidR="002B551D" w:rsidRPr="003E743A" w:rsidRDefault="002B551D" w:rsidP="007F1DFA">
            <w:pPr>
              <w:spacing w:after="0" w:line="240" w:lineRule="auto"/>
              <w:jc w:val="center"/>
              <w:rPr>
                <w:rFonts w:ascii="Times New Roman" w:hAnsi="Times New Roman"/>
                <w:sz w:val="20"/>
                <w:szCs w:val="24"/>
              </w:rPr>
            </w:pPr>
            <w:r w:rsidRPr="00674610">
              <w:rPr>
                <w:rFonts w:ascii="Times New Roman" w:hAnsi="Times New Roman"/>
                <w:b/>
                <w:sz w:val="20"/>
                <w:szCs w:val="24"/>
              </w:rPr>
              <w:t>1</w:t>
            </w:r>
          </w:p>
        </w:tc>
        <w:tc>
          <w:tcPr>
            <w:tcW w:w="1335" w:type="dxa"/>
            <w:vAlign w:val="center"/>
          </w:tcPr>
          <w:p w:rsidR="002B551D" w:rsidRPr="003E743A" w:rsidRDefault="002B551D" w:rsidP="007F1DFA">
            <w:pPr>
              <w:spacing w:after="0" w:line="240" w:lineRule="auto"/>
              <w:jc w:val="center"/>
              <w:rPr>
                <w:rFonts w:ascii="Times New Roman" w:hAnsi="Times New Roman"/>
                <w:sz w:val="20"/>
                <w:szCs w:val="24"/>
              </w:rPr>
            </w:pPr>
            <w:r w:rsidRPr="003E743A">
              <w:rPr>
                <w:rFonts w:ascii="Times New Roman" w:hAnsi="Times New Roman"/>
                <w:sz w:val="20"/>
                <w:szCs w:val="24"/>
              </w:rPr>
              <w:t>Longue</w:t>
            </w:r>
          </w:p>
        </w:tc>
        <w:tc>
          <w:tcPr>
            <w:tcW w:w="366" w:type="dxa"/>
            <w:vAlign w:val="center"/>
          </w:tcPr>
          <w:p w:rsidR="002B551D" w:rsidRPr="003E743A" w:rsidRDefault="002B551D" w:rsidP="007F1DFA">
            <w:pPr>
              <w:spacing w:after="0" w:line="240" w:lineRule="auto"/>
              <w:jc w:val="center"/>
              <w:rPr>
                <w:rFonts w:ascii="Times New Roman" w:hAnsi="Times New Roman"/>
                <w:sz w:val="20"/>
                <w:szCs w:val="24"/>
              </w:rPr>
            </w:pPr>
            <w:r w:rsidRPr="00674610">
              <w:rPr>
                <w:rFonts w:ascii="Times New Roman" w:hAnsi="Times New Roman"/>
                <w:b/>
                <w:sz w:val="20"/>
                <w:szCs w:val="24"/>
              </w:rPr>
              <w:t>5</w:t>
            </w:r>
          </w:p>
        </w:tc>
        <w:tc>
          <w:tcPr>
            <w:tcW w:w="1553" w:type="dxa"/>
            <w:shd w:val="clear" w:color="auto" w:fill="00B050"/>
            <w:vAlign w:val="center"/>
          </w:tcPr>
          <w:p w:rsidR="002B551D" w:rsidRPr="003E743A" w:rsidRDefault="002B551D" w:rsidP="007F1DFA">
            <w:pPr>
              <w:spacing w:after="0" w:line="240" w:lineRule="auto"/>
              <w:jc w:val="center"/>
              <w:rPr>
                <w:rFonts w:ascii="Times New Roman" w:hAnsi="Times New Roman"/>
                <w:sz w:val="20"/>
                <w:szCs w:val="24"/>
              </w:rPr>
            </w:pPr>
            <w:r w:rsidRPr="003E743A">
              <w:rPr>
                <w:rFonts w:ascii="Times New Roman" w:hAnsi="Times New Roman"/>
                <w:sz w:val="20"/>
                <w:szCs w:val="24"/>
              </w:rPr>
              <w:t>M</w:t>
            </w:r>
            <w:r>
              <w:rPr>
                <w:rFonts w:ascii="Times New Roman" w:hAnsi="Times New Roman"/>
                <w:sz w:val="20"/>
                <w:szCs w:val="24"/>
              </w:rPr>
              <w:t>ineur</w:t>
            </w:r>
            <w:r w:rsidRPr="003E743A">
              <w:rPr>
                <w:rFonts w:ascii="Times New Roman" w:hAnsi="Times New Roman"/>
                <w:sz w:val="20"/>
                <w:szCs w:val="24"/>
              </w:rPr>
              <w:t>e</w:t>
            </w:r>
          </w:p>
        </w:tc>
        <w:tc>
          <w:tcPr>
            <w:tcW w:w="850" w:type="dxa"/>
            <w:shd w:val="clear" w:color="auto" w:fill="FFFFFF" w:themeFill="background1"/>
          </w:tcPr>
          <w:p w:rsidR="002B551D" w:rsidRPr="00D205EB" w:rsidRDefault="002B551D" w:rsidP="007F1DFA">
            <w:pPr>
              <w:spacing w:after="0" w:line="240" w:lineRule="auto"/>
              <w:jc w:val="center"/>
              <w:rPr>
                <w:rFonts w:ascii="Times New Roman" w:hAnsi="Times New Roman"/>
                <w:sz w:val="20"/>
                <w:szCs w:val="24"/>
              </w:rPr>
            </w:pPr>
            <w:r>
              <w:rPr>
                <w:rFonts w:ascii="Times New Roman" w:hAnsi="Times New Roman"/>
                <w:b/>
                <w:sz w:val="20"/>
                <w:szCs w:val="24"/>
              </w:rPr>
              <w:t>15</w:t>
            </w:r>
          </w:p>
        </w:tc>
        <w:tc>
          <w:tcPr>
            <w:tcW w:w="1843" w:type="dxa"/>
            <w:shd w:val="clear" w:color="auto" w:fill="F4B083" w:themeFill="accent2" w:themeFillTint="99"/>
            <w:vAlign w:val="center"/>
          </w:tcPr>
          <w:p w:rsidR="002B551D" w:rsidRPr="003E743A" w:rsidRDefault="002B551D" w:rsidP="007F1DFA">
            <w:pPr>
              <w:spacing w:after="0" w:line="240" w:lineRule="auto"/>
              <w:jc w:val="center"/>
              <w:rPr>
                <w:rFonts w:ascii="Times New Roman" w:hAnsi="Times New Roman"/>
                <w:sz w:val="20"/>
                <w:szCs w:val="24"/>
              </w:rPr>
            </w:pPr>
            <w:r w:rsidRPr="003E743A">
              <w:rPr>
                <w:rFonts w:ascii="Times New Roman" w:hAnsi="Times New Roman"/>
                <w:sz w:val="20"/>
                <w:szCs w:val="24"/>
              </w:rPr>
              <w:t>M</w:t>
            </w:r>
            <w:r>
              <w:rPr>
                <w:rFonts w:ascii="Times New Roman" w:hAnsi="Times New Roman"/>
                <w:sz w:val="20"/>
                <w:szCs w:val="24"/>
              </w:rPr>
              <w:t>ineur</w:t>
            </w:r>
            <w:r w:rsidRPr="003E743A">
              <w:rPr>
                <w:rFonts w:ascii="Times New Roman" w:hAnsi="Times New Roman"/>
                <w:sz w:val="20"/>
                <w:szCs w:val="24"/>
              </w:rPr>
              <w:t>e</w:t>
            </w:r>
          </w:p>
        </w:tc>
      </w:tr>
      <w:tr w:rsidR="002B551D" w:rsidRPr="00AA45E9" w:rsidTr="00A95D75">
        <w:trPr>
          <w:cantSplit/>
          <w:trHeight w:hRule="exact" w:val="281"/>
          <w:jc w:val="center"/>
        </w:trPr>
        <w:tc>
          <w:tcPr>
            <w:tcW w:w="1036" w:type="dxa"/>
            <w:vMerge/>
            <w:vAlign w:val="center"/>
          </w:tcPr>
          <w:p w:rsidR="002B551D" w:rsidRPr="003E743A" w:rsidRDefault="002B551D" w:rsidP="007F1DFA">
            <w:pPr>
              <w:spacing w:after="0" w:line="240" w:lineRule="auto"/>
              <w:jc w:val="center"/>
              <w:rPr>
                <w:rFonts w:ascii="Times New Roman" w:hAnsi="Times New Roman"/>
                <w:b/>
                <w:sz w:val="20"/>
                <w:szCs w:val="24"/>
              </w:rPr>
            </w:pPr>
          </w:p>
        </w:tc>
        <w:tc>
          <w:tcPr>
            <w:tcW w:w="388" w:type="dxa"/>
            <w:vMerge/>
            <w:vAlign w:val="center"/>
          </w:tcPr>
          <w:p w:rsidR="002B551D" w:rsidRPr="003E743A" w:rsidRDefault="002B551D" w:rsidP="007F1DFA">
            <w:pPr>
              <w:spacing w:after="0" w:line="240" w:lineRule="auto"/>
              <w:jc w:val="center"/>
              <w:rPr>
                <w:rFonts w:ascii="Times New Roman" w:hAnsi="Times New Roman"/>
                <w:b/>
                <w:sz w:val="20"/>
                <w:szCs w:val="24"/>
              </w:rPr>
            </w:pPr>
          </w:p>
        </w:tc>
        <w:tc>
          <w:tcPr>
            <w:tcW w:w="1185" w:type="dxa"/>
            <w:vMerge/>
            <w:vAlign w:val="center"/>
          </w:tcPr>
          <w:p w:rsidR="002B551D" w:rsidRPr="003E743A" w:rsidRDefault="002B551D" w:rsidP="007F1DFA">
            <w:pPr>
              <w:spacing w:after="0" w:line="240" w:lineRule="auto"/>
              <w:jc w:val="center"/>
              <w:rPr>
                <w:rFonts w:ascii="Times New Roman" w:hAnsi="Times New Roman"/>
                <w:sz w:val="20"/>
                <w:szCs w:val="24"/>
              </w:rPr>
            </w:pPr>
          </w:p>
        </w:tc>
        <w:tc>
          <w:tcPr>
            <w:tcW w:w="228" w:type="dxa"/>
            <w:vMerge/>
            <w:vAlign w:val="center"/>
          </w:tcPr>
          <w:p w:rsidR="002B551D" w:rsidRPr="003E743A" w:rsidRDefault="002B551D" w:rsidP="007F1DFA">
            <w:pPr>
              <w:spacing w:after="0" w:line="240" w:lineRule="auto"/>
              <w:jc w:val="center"/>
              <w:rPr>
                <w:rFonts w:ascii="Times New Roman" w:hAnsi="Times New Roman"/>
                <w:sz w:val="20"/>
                <w:szCs w:val="24"/>
              </w:rPr>
            </w:pPr>
          </w:p>
        </w:tc>
        <w:tc>
          <w:tcPr>
            <w:tcW w:w="1335" w:type="dxa"/>
            <w:vAlign w:val="center"/>
          </w:tcPr>
          <w:p w:rsidR="002B551D" w:rsidRPr="003E743A" w:rsidRDefault="002B551D" w:rsidP="007F1DFA">
            <w:pPr>
              <w:spacing w:after="0" w:line="240" w:lineRule="auto"/>
              <w:jc w:val="center"/>
              <w:rPr>
                <w:rFonts w:ascii="Times New Roman" w:hAnsi="Times New Roman"/>
                <w:sz w:val="20"/>
                <w:szCs w:val="24"/>
              </w:rPr>
            </w:pPr>
            <w:r w:rsidRPr="003E743A">
              <w:rPr>
                <w:rFonts w:ascii="Times New Roman" w:hAnsi="Times New Roman"/>
                <w:sz w:val="20"/>
                <w:szCs w:val="24"/>
              </w:rPr>
              <w:t>Moyenne</w:t>
            </w:r>
          </w:p>
        </w:tc>
        <w:tc>
          <w:tcPr>
            <w:tcW w:w="366" w:type="dxa"/>
            <w:vAlign w:val="center"/>
          </w:tcPr>
          <w:p w:rsidR="002B551D" w:rsidRPr="003E743A" w:rsidRDefault="002B551D" w:rsidP="007F1DFA">
            <w:pPr>
              <w:spacing w:after="0" w:line="240" w:lineRule="auto"/>
              <w:jc w:val="center"/>
              <w:rPr>
                <w:rFonts w:ascii="Times New Roman" w:hAnsi="Times New Roman"/>
                <w:sz w:val="20"/>
                <w:szCs w:val="24"/>
              </w:rPr>
            </w:pPr>
            <w:r w:rsidRPr="00674610">
              <w:rPr>
                <w:rFonts w:ascii="Times New Roman" w:hAnsi="Times New Roman"/>
                <w:b/>
                <w:sz w:val="20"/>
                <w:szCs w:val="24"/>
              </w:rPr>
              <w:t>3</w:t>
            </w:r>
          </w:p>
        </w:tc>
        <w:tc>
          <w:tcPr>
            <w:tcW w:w="1553" w:type="dxa"/>
            <w:shd w:val="clear" w:color="auto" w:fill="00B050"/>
            <w:vAlign w:val="center"/>
          </w:tcPr>
          <w:p w:rsidR="002B551D" w:rsidRPr="003E743A" w:rsidRDefault="002B551D" w:rsidP="007F1DFA">
            <w:pPr>
              <w:spacing w:after="0" w:line="240" w:lineRule="auto"/>
              <w:jc w:val="center"/>
              <w:rPr>
                <w:rFonts w:ascii="Times New Roman" w:hAnsi="Times New Roman"/>
                <w:sz w:val="20"/>
                <w:szCs w:val="24"/>
              </w:rPr>
            </w:pPr>
            <w:r w:rsidRPr="003E743A">
              <w:rPr>
                <w:rFonts w:ascii="Times New Roman" w:hAnsi="Times New Roman"/>
                <w:sz w:val="20"/>
                <w:szCs w:val="24"/>
              </w:rPr>
              <w:t>M</w:t>
            </w:r>
            <w:r>
              <w:rPr>
                <w:rFonts w:ascii="Times New Roman" w:hAnsi="Times New Roman"/>
                <w:sz w:val="20"/>
                <w:szCs w:val="24"/>
              </w:rPr>
              <w:t>ineur</w:t>
            </w:r>
            <w:r w:rsidRPr="003E743A">
              <w:rPr>
                <w:rFonts w:ascii="Times New Roman" w:hAnsi="Times New Roman"/>
                <w:sz w:val="20"/>
                <w:szCs w:val="24"/>
              </w:rPr>
              <w:t>e</w:t>
            </w:r>
          </w:p>
        </w:tc>
        <w:tc>
          <w:tcPr>
            <w:tcW w:w="850" w:type="dxa"/>
            <w:shd w:val="clear" w:color="auto" w:fill="FFFFFF" w:themeFill="background1"/>
          </w:tcPr>
          <w:p w:rsidR="002B551D" w:rsidRPr="00D205EB" w:rsidRDefault="002B551D" w:rsidP="007F1DFA">
            <w:pPr>
              <w:spacing w:after="0" w:line="240" w:lineRule="auto"/>
              <w:jc w:val="center"/>
              <w:rPr>
                <w:rFonts w:ascii="Times New Roman" w:hAnsi="Times New Roman"/>
                <w:sz w:val="20"/>
                <w:szCs w:val="24"/>
              </w:rPr>
            </w:pPr>
            <w:r>
              <w:rPr>
                <w:rFonts w:ascii="Times New Roman" w:hAnsi="Times New Roman"/>
                <w:b/>
                <w:sz w:val="20"/>
                <w:szCs w:val="24"/>
              </w:rPr>
              <w:t>9</w:t>
            </w:r>
          </w:p>
        </w:tc>
        <w:tc>
          <w:tcPr>
            <w:tcW w:w="1843" w:type="dxa"/>
            <w:shd w:val="clear" w:color="auto" w:fill="F4B083" w:themeFill="accent2" w:themeFillTint="99"/>
            <w:vAlign w:val="center"/>
          </w:tcPr>
          <w:p w:rsidR="002B551D" w:rsidRPr="003E743A" w:rsidRDefault="002B551D" w:rsidP="007F1DFA">
            <w:pPr>
              <w:spacing w:after="0" w:line="240" w:lineRule="auto"/>
              <w:jc w:val="center"/>
              <w:rPr>
                <w:rFonts w:ascii="Times New Roman" w:hAnsi="Times New Roman"/>
                <w:sz w:val="20"/>
                <w:szCs w:val="24"/>
              </w:rPr>
            </w:pPr>
            <w:r w:rsidRPr="003E743A">
              <w:rPr>
                <w:rFonts w:ascii="Times New Roman" w:hAnsi="Times New Roman"/>
                <w:sz w:val="20"/>
                <w:szCs w:val="24"/>
              </w:rPr>
              <w:t>M</w:t>
            </w:r>
            <w:r>
              <w:rPr>
                <w:rFonts w:ascii="Times New Roman" w:hAnsi="Times New Roman"/>
                <w:sz w:val="20"/>
                <w:szCs w:val="24"/>
              </w:rPr>
              <w:t>ineur</w:t>
            </w:r>
            <w:r w:rsidRPr="003E743A">
              <w:rPr>
                <w:rFonts w:ascii="Times New Roman" w:hAnsi="Times New Roman"/>
                <w:sz w:val="20"/>
                <w:szCs w:val="24"/>
              </w:rPr>
              <w:t>e</w:t>
            </w:r>
            <w:r w:rsidRPr="003E743A" w:rsidDel="00A7311E">
              <w:rPr>
                <w:rFonts w:ascii="Times New Roman" w:hAnsi="Times New Roman"/>
                <w:sz w:val="20"/>
                <w:szCs w:val="24"/>
              </w:rPr>
              <w:t xml:space="preserve"> </w:t>
            </w:r>
          </w:p>
        </w:tc>
      </w:tr>
      <w:tr w:rsidR="002B551D" w:rsidRPr="00AA45E9" w:rsidTr="00A95D75">
        <w:trPr>
          <w:cantSplit/>
          <w:trHeight w:hRule="exact" w:val="281"/>
          <w:jc w:val="center"/>
        </w:trPr>
        <w:tc>
          <w:tcPr>
            <w:tcW w:w="1036" w:type="dxa"/>
            <w:vMerge/>
            <w:vAlign w:val="center"/>
          </w:tcPr>
          <w:p w:rsidR="002B551D" w:rsidRPr="003E743A" w:rsidRDefault="002B551D" w:rsidP="007F1DFA">
            <w:pPr>
              <w:spacing w:after="0" w:line="240" w:lineRule="auto"/>
              <w:jc w:val="center"/>
              <w:rPr>
                <w:rFonts w:ascii="Times New Roman" w:hAnsi="Times New Roman"/>
                <w:b/>
                <w:sz w:val="20"/>
                <w:szCs w:val="24"/>
              </w:rPr>
            </w:pPr>
          </w:p>
        </w:tc>
        <w:tc>
          <w:tcPr>
            <w:tcW w:w="388" w:type="dxa"/>
            <w:vMerge/>
            <w:vAlign w:val="center"/>
          </w:tcPr>
          <w:p w:rsidR="002B551D" w:rsidRPr="003E743A" w:rsidRDefault="002B551D" w:rsidP="007F1DFA">
            <w:pPr>
              <w:spacing w:after="0" w:line="240" w:lineRule="auto"/>
              <w:jc w:val="center"/>
              <w:rPr>
                <w:rFonts w:ascii="Times New Roman" w:hAnsi="Times New Roman"/>
                <w:b/>
                <w:sz w:val="20"/>
                <w:szCs w:val="24"/>
              </w:rPr>
            </w:pPr>
          </w:p>
        </w:tc>
        <w:tc>
          <w:tcPr>
            <w:tcW w:w="1185" w:type="dxa"/>
            <w:vMerge/>
            <w:vAlign w:val="center"/>
          </w:tcPr>
          <w:p w:rsidR="002B551D" w:rsidRPr="003E743A" w:rsidRDefault="002B551D" w:rsidP="007F1DFA">
            <w:pPr>
              <w:spacing w:after="0" w:line="240" w:lineRule="auto"/>
              <w:jc w:val="center"/>
              <w:rPr>
                <w:rFonts w:ascii="Times New Roman" w:hAnsi="Times New Roman"/>
                <w:sz w:val="20"/>
                <w:szCs w:val="24"/>
              </w:rPr>
            </w:pPr>
          </w:p>
        </w:tc>
        <w:tc>
          <w:tcPr>
            <w:tcW w:w="228" w:type="dxa"/>
            <w:vMerge/>
            <w:vAlign w:val="center"/>
          </w:tcPr>
          <w:p w:rsidR="002B551D" w:rsidRPr="003E743A" w:rsidRDefault="002B551D" w:rsidP="007F1DFA">
            <w:pPr>
              <w:spacing w:after="0" w:line="240" w:lineRule="auto"/>
              <w:jc w:val="center"/>
              <w:rPr>
                <w:rFonts w:ascii="Times New Roman" w:hAnsi="Times New Roman"/>
                <w:sz w:val="20"/>
                <w:szCs w:val="24"/>
              </w:rPr>
            </w:pPr>
          </w:p>
        </w:tc>
        <w:tc>
          <w:tcPr>
            <w:tcW w:w="1335" w:type="dxa"/>
            <w:vAlign w:val="center"/>
          </w:tcPr>
          <w:p w:rsidR="002B551D" w:rsidRPr="003E743A" w:rsidRDefault="002B551D" w:rsidP="007F1DFA">
            <w:pPr>
              <w:spacing w:after="0" w:line="240" w:lineRule="auto"/>
              <w:jc w:val="center"/>
              <w:rPr>
                <w:rFonts w:ascii="Times New Roman" w:hAnsi="Times New Roman"/>
                <w:sz w:val="20"/>
                <w:szCs w:val="24"/>
              </w:rPr>
            </w:pPr>
            <w:r w:rsidRPr="003E743A">
              <w:rPr>
                <w:rFonts w:ascii="Times New Roman" w:hAnsi="Times New Roman"/>
                <w:sz w:val="20"/>
                <w:szCs w:val="24"/>
              </w:rPr>
              <w:t>Courte</w:t>
            </w:r>
          </w:p>
        </w:tc>
        <w:tc>
          <w:tcPr>
            <w:tcW w:w="366" w:type="dxa"/>
            <w:vAlign w:val="center"/>
          </w:tcPr>
          <w:p w:rsidR="002B551D" w:rsidRPr="003E743A" w:rsidRDefault="002B551D" w:rsidP="007F1DFA">
            <w:pPr>
              <w:spacing w:after="0" w:line="240" w:lineRule="auto"/>
              <w:jc w:val="center"/>
              <w:rPr>
                <w:rFonts w:ascii="Times New Roman" w:hAnsi="Times New Roman"/>
                <w:sz w:val="20"/>
                <w:szCs w:val="24"/>
              </w:rPr>
            </w:pPr>
            <w:r w:rsidRPr="00674610">
              <w:rPr>
                <w:rFonts w:ascii="Times New Roman" w:hAnsi="Times New Roman"/>
                <w:b/>
                <w:sz w:val="20"/>
                <w:szCs w:val="24"/>
              </w:rPr>
              <w:t>1</w:t>
            </w:r>
          </w:p>
        </w:tc>
        <w:tc>
          <w:tcPr>
            <w:tcW w:w="1553" w:type="dxa"/>
            <w:tcBorders>
              <w:top w:val="nil"/>
              <w:bottom w:val="nil"/>
            </w:tcBorders>
            <w:shd w:val="clear" w:color="auto" w:fill="00B050"/>
            <w:vAlign w:val="center"/>
          </w:tcPr>
          <w:p w:rsidR="002B551D" w:rsidRPr="003E743A" w:rsidRDefault="002B551D" w:rsidP="007F1DFA">
            <w:pPr>
              <w:spacing w:after="0" w:line="240" w:lineRule="auto"/>
              <w:jc w:val="center"/>
              <w:rPr>
                <w:rFonts w:ascii="Times New Roman" w:hAnsi="Times New Roman"/>
                <w:sz w:val="20"/>
                <w:szCs w:val="24"/>
              </w:rPr>
            </w:pPr>
            <w:r w:rsidRPr="003E743A">
              <w:rPr>
                <w:rFonts w:ascii="Times New Roman" w:hAnsi="Times New Roman"/>
                <w:sz w:val="20"/>
                <w:szCs w:val="24"/>
              </w:rPr>
              <w:t>Mineure</w:t>
            </w:r>
          </w:p>
        </w:tc>
        <w:tc>
          <w:tcPr>
            <w:tcW w:w="850" w:type="dxa"/>
            <w:tcBorders>
              <w:top w:val="nil"/>
              <w:bottom w:val="nil"/>
            </w:tcBorders>
            <w:shd w:val="clear" w:color="auto" w:fill="FFFFFF" w:themeFill="background1"/>
          </w:tcPr>
          <w:p w:rsidR="002B551D" w:rsidRPr="00D205EB" w:rsidRDefault="002B551D" w:rsidP="007F1DFA">
            <w:pPr>
              <w:spacing w:after="0" w:line="240" w:lineRule="auto"/>
              <w:jc w:val="center"/>
              <w:rPr>
                <w:rFonts w:ascii="Times New Roman" w:hAnsi="Times New Roman"/>
                <w:sz w:val="20"/>
                <w:szCs w:val="24"/>
              </w:rPr>
            </w:pPr>
            <w:r>
              <w:rPr>
                <w:rFonts w:ascii="Times New Roman" w:hAnsi="Times New Roman"/>
                <w:b/>
                <w:sz w:val="20"/>
                <w:szCs w:val="24"/>
              </w:rPr>
              <w:t>3</w:t>
            </w:r>
          </w:p>
        </w:tc>
        <w:tc>
          <w:tcPr>
            <w:tcW w:w="1843" w:type="dxa"/>
            <w:tcBorders>
              <w:top w:val="nil"/>
              <w:bottom w:val="nil"/>
            </w:tcBorders>
            <w:shd w:val="clear" w:color="auto" w:fill="F4B083" w:themeFill="accent2" w:themeFillTint="99"/>
            <w:vAlign w:val="center"/>
          </w:tcPr>
          <w:p w:rsidR="002B551D" w:rsidRPr="003E743A" w:rsidRDefault="002B551D" w:rsidP="007F1DFA">
            <w:pPr>
              <w:spacing w:after="0" w:line="240" w:lineRule="auto"/>
              <w:jc w:val="center"/>
              <w:rPr>
                <w:rFonts w:ascii="Times New Roman" w:hAnsi="Times New Roman"/>
                <w:sz w:val="20"/>
                <w:szCs w:val="24"/>
              </w:rPr>
            </w:pPr>
            <w:r w:rsidRPr="003E743A">
              <w:rPr>
                <w:rFonts w:ascii="Times New Roman" w:hAnsi="Times New Roman"/>
                <w:sz w:val="20"/>
                <w:szCs w:val="24"/>
              </w:rPr>
              <w:t>Mineure</w:t>
            </w:r>
          </w:p>
        </w:tc>
      </w:tr>
      <w:tr w:rsidR="002B551D" w:rsidRPr="00AA45E9" w:rsidTr="00A95D75">
        <w:trPr>
          <w:cantSplit/>
          <w:trHeight w:hRule="exact" w:val="281"/>
          <w:jc w:val="center"/>
        </w:trPr>
        <w:tc>
          <w:tcPr>
            <w:tcW w:w="1036" w:type="dxa"/>
            <w:vMerge w:val="restart"/>
            <w:vAlign w:val="center"/>
          </w:tcPr>
          <w:p w:rsidR="002B551D" w:rsidRPr="003E743A" w:rsidRDefault="002B551D" w:rsidP="007F1DFA">
            <w:pPr>
              <w:spacing w:after="0" w:line="240" w:lineRule="auto"/>
              <w:jc w:val="center"/>
              <w:rPr>
                <w:rFonts w:ascii="Times New Roman" w:hAnsi="Times New Roman"/>
                <w:b/>
                <w:sz w:val="20"/>
                <w:szCs w:val="24"/>
              </w:rPr>
            </w:pPr>
            <w:r w:rsidRPr="003E743A">
              <w:rPr>
                <w:rFonts w:ascii="Times New Roman" w:hAnsi="Times New Roman"/>
                <w:b/>
                <w:sz w:val="20"/>
                <w:szCs w:val="24"/>
              </w:rPr>
              <w:t>Faible</w:t>
            </w:r>
          </w:p>
        </w:tc>
        <w:tc>
          <w:tcPr>
            <w:tcW w:w="388" w:type="dxa"/>
            <w:vMerge w:val="restart"/>
            <w:vAlign w:val="center"/>
          </w:tcPr>
          <w:p w:rsidR="002B551D" w:rsidRPr="003E743A" w:rsidRDefault="002B551D" w:rsidP="007F1DFA">
            <w:pPr>
              <w:spacing w:after="0" w:line="240" w:lineRule="auto"/>
              <w:jc w:val="center"/>
              <w:rPr>
                <w:rFonts w:ascii="Times New Roman" w:hAnsi="Times New Roman"/>
                <w:b/>
                <w:sz w:val="20"/>
                <w:szCs w:val="24"/>
              </w:rPr>
            </w:pPr>
            <w:r w:rsidRPr="006F796D">
              <w:rPr>
                <w:rFonts w:ascii="Times New Roman" w:hAnsi="Times New Roman"/>
                <w:b/>
                <w:color w:val="FF0000"/>
                <w:sz w:val="20"/>
                <w:szCs w:val="24"/>
              </w:rPr>
              <w:t>1</w:t>
            </w:r>
          </w:p>
        </w:tc>
        <w:tc>
          <w:tcPr>
            <w:tcW w:w="1185" w:type="dxa"/>
            <w:vMerge w:val="restart"/>
            <w:vAlign w:val="center"/>
          </w:tcPr>
          <w:p w:rsidR="002B551D" w:rsidRPr="003E743A" w:rsidRDefault="002B551D" w:rsidP="007F1DFA">
            <w:pPr>
              <w:spacing w:after="0" w:line="240" w:lineRule="auto"/>
              <w:jc w:val="center"/>
              <w:rPr>
                <w:rFonts w:ascii="Times New Roman" w:hAnsi="Times New Roman"/>
                <w:sz w:val="20"/>
                <w:szCs w:val="24"/>
              </w:rPr>
            </w:pPr>
            <w:r w:rsidRPr="003E743A">
              <w:rPr>
                <w:rFonts w:ascii="Times New Roman" w:hAnsi="Times New Roman"/>
                <w:sz w:val="20"/>
                <w:szCs w:val="24"/>
              </w:rPr>
              <w:t>Régionale</w:t>
            </w:r>
          </w:p>
        </w:tc>
        <w:tc>
          <w:tcPr>
            <w:tcW w:w="228" w:type="dxa"/>
            <w:vMerge w:val="restart"/>
            <w:vAlign w:val="center"/>
          </w:tcPr>
          <w:p w:rsidR="002B551D" w:rsidRPr="003E743A" w:rsidRDefault="002B551D" w:rsidP="007F1DFA">
            <w:pPr>
              <w:spacing w:after="0" w:line="240" w:lineRule="auto"/>
              <w:jc w:val="center"/>
              <w:rPr>
                <w:rFonts w:ascii="Times New Roman" w:hAnsi="Times New Roman"/>
                <w:sz w:val="20"/>
                <w:szCs w:val="24"/>
              </w:rPr>
            </w:pPr>
            <w:r w:rsidRPr="00674610">
              <w:rPr>
                <w:rFonts w:ascii="Times New Roman" w:hAnsi="Times New Roman"/>
                <w:b/>
                <w:sz w:val="20"/>
                <w:szCs w:val="24"/>
              </w:rPr>
              <w:t>5</w:t>
            </w:r>
          </w:p>
        </w:tc>
        <w:tc>
          <w:tcPr>
            <w:tcW w:w="1335" w:type="dxa"/>
            <w:vAlign w:val="center"/>
          </w:tcPr>
          <w:p w:rsidR="002B551D" w:rsidRPr="003E743A" w:rsidRDefault="002B551D" w:rsidP="007F1DFA">
            <w:pPr>
              <w:spacing w:after="0" w:line="240" w:lineRule="auto"/>
              <w:jc w:val="center"/>
              <w:rPr>
                <w:rFonts w:ascii="Times New Roman" w:hAnsi="Times New Roman"/>
                <w:sz w:val="20"/>
                <w:szCs w:val="24"/>
              </w:rPr>
            </w:pPr>
            <w:r w:rsidRPr="003E743A">
              <w:rPr>
                <w:rFonts w:ascii="Times New Roman" w:hAnsi="Times New Roman"/>
                <w:sz w:val="20"/>
                <w:szCs w:val="24"/>
              </w:rPr>
              <w:t>Longue</w:t>
            </w:r>
          </w:p>
        </w:tc>
        <w:tc>
          <w:tcPr>
            <w:tcW w:w="366" w:type="dxa"/>
            <w:vAlign w:val="center"/>
          </w:tcPr>
          <w:p w:rsidR="002B551D" w:rsidRPr="003E743A" w:rsidRDefault="002B551D" w:rsidP="007F1DFA">
            <w:pPr>
              <w:spacing w:after="0" w:line="240" w:lineRule="auto"/>
              <w:jc w:val="center"/>
              <w:rPr>
                <w:rFonts w:ascii="Times New Roman" w:hAnsi="Times New Roman"/>
                <w:sz w:val="20"/>
                <w:szCs w:val="24"/>
              </w:rPr>
            </w:pPr>
            <w:r w:rsidRPr="00674610">
              <w:rPr>
                <w:rFonts w:ascii="Times New Roman" w:hAnsi="Times New Roman"/>
                <w:b/>
                <w:sz w:val="20"/>
                <w:szCs w:val="24"/>
              </w:rPr>
              <w:t>5</w:t>
            </w:r>
          </w:p>
        </w:tc>
        <w:tc>
          <w:tcPr>
            <w:tcW w:w="1553" w:type="dxa"/>
            <w:tcBorders>
              <w:bottom w:val="nil"/>
            </w:tcBorders>
            <w:shd w:val="clear" w:color="auto" w:fill="FFFF00"/>
            <w:vAlign w:val="center"/>
          </w:tcPr>
          <w:p w:rsidR="002B551D" w:rsidRPr="003E743A" w:rsidRDefault="002B551D" w:rsidP="007F1DFA">
            <w:pPr>
              <w:spacing w:after="0" w:line="240" w:lineRule="auto"/>
              <w:jc w:val="center"/>
              <w:rPr>
                <w:rFonts w:ascii="Times New Roman" w:hAnsi="Times New Roman"/>
                <w:sz w:val="20"/>
                <w:szCs w:val="24"/>
              </w:rPr>
            </w:pPr>
            <w:r w:rsidRPr="003E743A">
              <w:rPr>
                <w:rFonts w:ascii="Times New Roman" w:hAnsi="Times New Roman"/>
                <w:sz w:val="20"/>
                <w:szCs w:val="24"/>
              </w:rPr>
              <w:t>M</w:t>
            </w:r>
            <w:r>
              <w:rPr>
                <w:rFonts w:ascii="Times New Roman" w:hAnsi="Times New Roman"/>
                <w:sz w:val="20"/>
                <w:szCs w:val="24"/>
              </w:rPr>
              <w:t>oyenne</w:t>
            </w:r>
          </w:p>
        </w:tc>
        <w:tc>
          <w:tcPr>
            <w:tcW w:w="850" w:type="dxa"/>
            <w:tcBorders>
              <w:bottom w:val="nil"/>
            </w:tcBorders>
            <w:shd w:val="clear" w:color="auto" w:fill="FFFFFF" w:themeFill="background1"/>
          </w:tcPr>
          <w:p w:rsidR="002B551D" w:rsidRPr="00D205EB" w:rsidRDefault="002B551D" w:rsidP="007F1DFA">
            <w:pPr>
              <w:spacing w:after="0" w:line="240" w:lineRule="auto"/>
              <w:jc w:val="center"/>
              <w:rPr>
                <w:rFonts w:ascii="Times New Roman" w:hAnsi="Times New Roman"/>
                <w:sz w:val="20"/>
                <w:szCs w:val="24"/>
              </w:rPr>
            </w:pPr>
            <w:r>
              <w:rPr>
                <w:rFonts w:ascii="Times New Roman" w:hAnsi="Times New Roman"/>
                <w:b/>
                <w:sz w:val="20"/>
                <w:szCs w:val="24"/>
              </w:rPr>
              <w:t>25</w:t>
            </w:r>
          </w:p>
        </w:tc>
        <w:tc>
          <w:tcPr>
            <w:tcW w:w="1843" w:type="dxa"/>
            <w:tcBorders>
              <w:bottom w:val="nil"/>
            </w:tcBorders>
            <w:shd w:val="clear" w:color="auto" w:fill="FFE599" w:themeFill="accent4" w:themeFillTint="66"/>
            <w:vAlign w:val="center"/>
          </w:tcPr>
          <w:p w:rsidR="002B551D" w:rsidRPr="003E743A" w:rsidRDefault="002B551D" w:rsidP="007F1DFA">
            <w:pPr>
              <w:spacing w:after="0" w:line="240" w:lineRule="auto"/>
              <w:jc w:val="center"/>
              <w:rPr>
                <w:rFonts w:ascii="Times New Roman" w:hAnsi="Times New Roman"/>
                <w:sz w:val="20"/>
                <w:szCs w:val="24"/>
              </w:rPr>
            </w:pPr>
            <w:r w:rsidRPr="003E743A">
              <w:rPr>
                <w:rFonts w:ascii="Times New Roman" w:hAnsi="Times New Roman"/>
                <w:sz w:val="20"/>
                <w:szCs w:val="24"/>
              </w:rPr>
              <w:t>M</w:t>
            </w:r>
            <w:r>
              <w:rPr>
                <w:rFonts w:ascii="Times New Roman" w:hAnsi="Times New Roman"/>
                <w:sz w:val="20"/>
                <w:szCs w:val="24"/>
              </w:rPr>
              <w:t>oyenne</w:t>
            </w:r>
          </w:p>
        </w:tc>
      </w:tr>
      <w:tr w:rsidR="002B551D" w:rsidRPr="00AA45E9" w:rsidTr="00A95D75">
        <w:trPr>
          <w:cantSplit/>
          <w:trHeight w:hRule="exact" w:val="281"/>
          <w:jc w:val="center"/>
        </w:trPr>
        <w:tc>
          <w:tcPr>
            <w:tcW w:w="1036" w:type="dxa"/>
            <w:vMerge/>
          </w:tcPr>
          <w:p w:rsidR="002B551D" w:rsidRPr="003E743A" w:rsidRDefault="002B551D" w:rsidP="007F1DFA">
            <w:pPr>
              <w:spacing w:after="0" w:line="240" w:lineRule="auto"/>
              <w:jc w:val="both"/>
              <w:rPr>
                <w:rFonts w:ascii="Times New Roman" w:hAnsi="Times New Roman"/>
                <w:sz w:val="20"/>
                <w:szCs w:val="24"/>
              </w:rPr>
            </w:pPr>
          </w:p>
        </w:tc>
        <w:tc>
          <w:tcPr>
            <w:tcW w:w="388" w:type="dxa"/>
            <w:vMerge/>
          </w:tcPr>
          <w:p w:rsidR="002B551D" w:rsidRPr="003E743A" w:rsidRDefault="002B551D" w:rsidP="007F1DFA">
            <w:pPr>
              <w:spacing w:after="0" w:line="240" w:lineRule="auto"/>
              <w:jc w:val="both"/>
              <w:rPr>
                <w:rFonts w:ascii="Times New Roman" w:hAnsi="Times New Roman"/>
                <w:sz w:val="20"/>
                <w:szCs w:val="24"/>
              </w:rPr>
            </w:pPr>
          </w:p>
        </w:tc>
        <w:tc>
          <w:tcPr>
            <w:tcW w:w="1185" w:type="dxa"/>
            <w:vMerge/>
            <w:vAlign w:val="center"/>
          </w:tcPr>
          <w:p w:rsidR="002B551D" w:rsidRPr="003E743A" w:rsidRDefault="002B551D" w:rsidP="007F1DFA">
            <w:pPr>
              <w:spacing w:after="0" w:line="240" w:lineRule="auto"/>
              <w:jc w:val="center"/>
              <w:rPr>
                <w:rFonts w:ascii="Times New Roman" w:hAnsi="Times New Roman"/>
                <w:sz w:val="20"/>
                <w:szCs w:val="24"/>
              </w:rPr>
            </w:pPr>
          </w:p>
        </w:tc>
        <w:tc>
          <w:tcPr>
            <w:tcW w:w="228" w:type="dxa"/>
            <w:vMerge/>
            <w:vAlign w:val="center"/>
          </w:tcPr>
          <w:p w:rsidR="002B551D" w:rsidRPr="003E743A" w:rsidRDefault="002B551D" w:rsidP="007F1DFA">
            <w:pPr>
              <w:spacing w:after="0" w:line="240" w:lineRule="auto"/>
              <w:jc w:val="center"/>
              <w:rPr>
                <w:rFonts w:ascii="Times New Roman" w:hAnsi="Times New Roman"/>
                <w:sz w:val="20"/>
                <w:szCs w:val="24"/>
              </w:rPr>
            </w:pPr>
          </w:p>
        </w:tc>
        <w:tc>
          <w:tcPr>
            <w:tcW w:w="1335" w:type="dxa"/>
            <w:vAlign w:val="center"/>
          </w:tcPr>
          <w:p w:rsidR="002B551D" w:rsidRPr="003E743A" w:rsidRDefault="002B551D" w:rsidP="007F1DFA">
            <w:pPr>
              <w:spacing w:after="0" w:line="240" w:lineRule="auto"/>
              <w:jc w:val="center"/>
              <w:rPr>
                <w:rFonts w:ascii="Times New Roman" w:hAnsi="Times New Roman"/>
                <w:sz w:val="20"/>
                <w:szCs w:val="24"/>
              </w:rPr>
            </w:pPr>
            <w:r w:rsidRPr="003E743A">
              <w:rPr>
                <w:rFonts w:ascii="Times New Roman" w:hAnsi="Times New Roman"/>
                <w:sz w:val="20"/>
                <w:szCs w:val="24"/>
              </w:rPr>
              <w:t>Moyenne</w:t>
            </w:r>
          </w:p>
        </w:tc>
        <w:tc>
          <w:tcPr>
            <w:tcW w:w="366" w:type="dxa"/>
            <w:vAlign w:val="center"/>
          </w:tcPr>
          <w:p w:rsidR="002B551D" w:rsidRPr="003E743A" w:rsidRDefault="002B551D" w:rsidP="007F1DFA">
            <w:pPr>
              <w:spacing w:after="0" w:line="240" w:lineRule="auto"/>
              <w:jc w:val="center"/>
              <w:rPr>
                <w:rFonts w:ascii="Times New Roman" w:hAnsi="Times New Roman"/>
                <w:sz w:val="20"/>
                <w:szCs w:val="24"/>
              </w:rPr>
            </w:pPr>
            <w:r w:rsidRPr="00674610">
              <w:rPr>
                <w:rFonts w:ascii="Times New Roman" w:hAnsi="Times New Roman"/>
                <w:b/>
                <w:sz w:val="20"/>
                <w:szCs w:val="24"/>
              </w:rPr>
              <w:t>3</w:t>
            </w:r>
          </w:p>
        </w:tc>
        <w:tc>
          <w:tcPr>
            <w:tcW w:w="1553" w:type="dxa"/>
            <w:shd w:val="clear" w:color="auto" w:fill="00B050"/>
          </w:tcPr>
          <w:p w:rsidR="002B551D" w:rsidRPr="003E743A" w:rsidRDefault="002B551D" w:rsidP="007F1DFA">
            <w:pPr>
              <w:spacing w:after="0" w:line="240" w:lineRule="auto"/>
              <w:jc w:val="center"/>
              <w:rPr>
                <w:rFonts w:ascii="Times New Roman" w:hAnsi="Times New Roman"/>
                <w:sz w:val="20"/>
                <w:szCs w:val="24"/>
              </w:rPr>
            </w:pPr>
            <w:r w:rsidRPr="00C37F98">
              <w:rPr>
                <w:rFonts w:ascii="Times New Roman" w:hAnsi="Times New Roman"/>
                <w:sz w:val="20"/>
                <w:szCs w:val="24"/>
              </w:rPr>
              <w:t>Mineure</w:t>
            </w:r>
          </w:p>
        </w:tc>
        <w:tc>
          <w:tcPr>
            <w:tcW w:w="850" w:type="dxa"/>
            <w:shd w:val="clear" w:color="auto" w:fill="FFFFFF" w:themeFill="background1"/>
          </w:tcPr>
          <w:p w:rsidR="002B551D" w:rsidRPr="00D205EB" w:rsidRDefault="002B551D" w:rsidP="007F1DFA">
            <w:pPr>
              <w:spacing w:after="0" w:line="240" w:lineRule="auto"/>
              <w:jc w:val="center"/>
              <w:rPr>
                <w:rFonts w:ascii="Times New Roman" w:hAnsi="Times New Roman"/>
                <w:sz w:val="20"/>
                <w:szCs w:val="24"/>
              </w:rPr>
            </w:pPr>
            <w:r>
              <w:rPr>
                <w:rFonts w:ascii="Times New Roman" w:hAnsi="Times New Roman"/>
                <w:b/>
                <w:sz w:val="20"/>
                <w:szCs w:val="24"/>
              </w:rPr>
              <w:t>15</w:t>
            </w:r>
          </w:p>
        </w:tc>
        <w:tc>
          <w:tcPr>
            <w:tcW w:w="1843" w:type="dxa"/>
            <w:shd w:val="clear" w:color="auto" w:fill="F4B083" w:themeFill="accent2" w:themeFillTint="99"/>
            <w:vAlign w:val="center"/>
          </w:tcPr>
          <w:p w:rsidR="002B551D" w:rsidRPr="003E743A" w:rsidRDefault="002B551D" w:rsidP="007F1DFA">
            <w:pPr>
              <w:spacing w:after="0" w:line="240" w:lineRule="auto"/>
              <w:jc w:val="center"/>
              <w:rPr>
                <w:rFonts w:ascii="Times New Roman" w:hAnsi="Times New Roman"/>
                <w:sz w:val="20"/>
                <w:szCs w:val="24"/>
              </w:rPr>
            </w:pPr>
            <w:r w:rsidRPr="003E743A">
              <w:rPr>
                <w:rFonts w:ascii="Times New Roman" w:hAnsi="Times New Roman"/>
                <w:sz w:val="20"/>
                <w:szCs w:val="24"/>
              </w:rPr>
              <w:t>Mineure</w:t>
            </w:r>
          </w:p>
        </w:tc>
      </w:tr>
      <w:tr w:rsidR="002B551D" w:rsidRPr="00AA45E9" w:rsidTr="00A95D75">
        <w:trPr>
          <w:cantSplit/>
          <w:trHeight w:hRule="exact" w:val="281"/>
          <w:jc w:val="center"/>
        </w:trPr>
        <w:tc>
          <w:tcPr>
            <w:tcW w:w="1036" w:type="dxa"/>
            <w:vMerge/>
          </w:tcPr>
          <w:p w:rsidR="002B551D" w:rsidRPr="003E743A" w:rsidRDefault="002B551D" w:rsidP="007F1DFA">
            <w:pPr>
              <w:spacing w:after="0" w:line="240" w:lineRule="auto"/>
              <w:jc w:val="both"/>
              <w:rPr>
                <w:rFonts w:ascii="Times New Roman" w:hAnsi="Times New Roman"/>
                <w:sz w:val="20"/>
                <w:szCs w:val="24"/>
              </w:rPr>
            </w:pPr>
          </w:p>
        </w:tc>
        <w:tc>
          <w:tcPr>
            <w:tcW w:w="388" w:type="dxa"/>
            <w:vMerge/>
          </w:tcPr>
          <w:p w:rsidR="002B551D" w:rsidRPr="003E743A" w:rsidRDefault="002B551D" w:rsidP="007F1DFA">
            <w:pPr>
              <w:spacing w:after="0" w:line="240" w:lineRule="auto"/>
              <w:jc w:val="both"/>
              <w:rPr>
                <w:rFonts w:ascii="Times New Roman" w:hAnsi="Times New Roman"/>
                <w:sz w:val="20"/>
                <w:szCs w:val="24"/>
              </w:rPr>
            </w:pPr>
          </w:p>
        </w:tc>
        <w:tc>
          <w:tcPr>
            <w:tcW w:w="1185" w:type="dxa"/>
            <w:vMerge/>
            <w:vAlign w:val="center"/>
          </w:tcPr>
          <w:p w:rsidR="002B551D" w:rsidRPr="003E743A" w:rsidRDefault="002B551D" w:rsidP="007F1DFA">
            <w:pPr>
              <w:spacing w:after="0" w:line="240" w:lineRule="auto"/>
              <w:jc w:val="center"/>
              <w:rPr>
                <w:rFonts w:ascii="Times New Roman" w:hAnsi="Times New Roman"/>
                <w:sz w:val="20"/>
                <w:szCs w:val="24"/>
              </w:rPr>
            </w:pPr>
          </w:p>
        </w:tc>
        <w:tc>
          <w:tcPr>
            <w:tcW w:w="228" w:type="dxa"/>
            <w:vMerge/>
            <w:vAlign w:val="center"/>
          </w:tcPr>
          <w:p w:rsidR="002B551D" w:rsidRPr="003E743A" w:rsidRDefault="002B551D" w:rsidP="007F1DFA">
            <w:pPr>
              <w:spacing w:after="0" w:line="240" w:lineRule="auto"/>
              <w:jc w:val="center"/>
              <w:rPr>
                <w:rFonts w:ascii="Times New Roman" w:hAnsi="Times New Roman"/>
                <w:sz w:val="20"/>
                <w:szCs w:val="24"/>
              </w:rPr>
            </w:pPr>
          </w:p>
        </w:tc>
        <w:tc>
          <w:tcPr>
            <w:tcW w:w="1335" w:type="dxa"/>
            <w:vAlign w:val="center"/>
          </w:tcPr>
          <w:p w:rsidR="002B551D" w:rsidRPr="003E743A" w:rsidRDefault="002B551D" w:rsidP="007F1DFA">
            <w:pPr>
              <w:spacing w:after="0" w:line="240" w:lineRule="auto"/>
              <w:jc w:val="center"/>
              <w:rPr>
                <w:rFonts w:ascii="Times New Roman" w:hAnsi="Times New Roman"/>
                <w:sz w:val="20"/>
                <w:szCs w:val="24"/>
              </w:rPr>
            </w:pPr>
            <w:r w:rsidRPr="003E743A">
              <w:rPr>
                <w:rFonts w:ascii="Times New Roman" w:hAnsi="Times New Roman"/>
                <w:sz w:val="20"/>
                <w:szCs w:val="24"/>
              </w:rPr>
              <w:t>Courte</w:t>
            </w:r>
          </w:p>
        </w:tc>
        <w:tc>
          <w:tcPr>
            <w:tcW w:w="366" w:type="dxa"/>
            <w:vAlign w:val="center"/>
          </w:tcPr>
          <w:p w:rsidR="002B551D" w:rsidRPr="003E743A" w:rsidRDefault="002B551D" w:rsidP="007F1DFA">
            <w:pPr>
              <w:spacing w:after="0" w:line="240" w:lineRule="auto"/>
              <w:jc w:val="center"/>
              <w:rPr>
                <w:rFonts w:ascii="Times New Roman" w:hAnsi="Times New Roman"/>
                <w:sz w:val="20"/>
                <w:szCs w:val="24"/>
              </w:rPr>
            </w:pPr>
            <w:r w:rsidRPr="00674610">
              <w:rPr>
                <w:rFonts w:ascii="Times New Roman" w:hAnsi="Times New Roman"/>
                <w:b/>
                <w:sz w:val="20"/>
                <w:szCs w:val="24"/>
              </w:rPr>
              <w:t>1</w:t>
            </w:r>
          </w:p>
        </w:tc>
        <w:tc>
          <w:tcPr>
            <w:tcW w:w="1553" w:type="dxa"/>
            <w:tcBorders>
              <w:top w:val="nil"/>
              <w:bottom w:val="nil"/>
            </w:tcBorders>
            <w:shd w:val="clear" w:color="auto" w:fill="00B050"/>
          </w:tcPr>
          <w:p w:rsidR="002B551D" w:rsidRPr="003E743A" w:rsidRDefault="002B551D" w:rsidP="007F1DFA">
            <w:pPr>
              <w:spacing w:after="0" w:line="240" w:lineRule="auto"/>
              <w:jc w:val="center"/>
              <w:rPr>
                <w:rFonts w:ascii="Times New Roman" w:hAnsi="Times New Roman"/>
                <w:sz w:val="20"/>
                <w:szCs w:val="24"/>
              </w:rPr>
            </w:pPr>
            <w:r w:rsidRPr="00C37F98">
              <w:rPr>
                <w:rFonts w:ascii="Times New Roman" w:hAnsi="Times New Roman"/>
                <w:sz w:val="20"/>
                <w:szCs w:val="24"/>
              </w:rPr>
              <w:t>Mineure</w:t>
            </w:r>
          </w:p>
        </w:tc>
        <w:tc>
          <w:tcPr>
            <w:tcW w:w="850" w:type="dxa"/>
            <w:tcBorders>
              <w:top w:val="nil"/>
              <w:bottom w:val="nil"/>
            </w:tcBorders>
            <w:shd w:val="clear" w:color="auto" w:fill="FFFFFF" w:themeFill="background1"/>
          </w:tcPr>
          <w:p w:rsidR="002B551D" w:rsidRPr="00D205EB" w:rsidRDefault="002B551D" w:rsidP="007F1DFA">
            <w:pPr>
              <w:spacing w:after="0" w:line="240" w:lineRule="auto"/>
              <w:jc w:val="center"/>
              <w:rPr>
                <w:rFonts w:ascii="Times New Roman" w:hAnsi="Times New Roman"/>
                <w:sz w:val="20"/>
                <w:szCs w:val="24"/>
              </w:rPr>
            </w:pPr>
            <w:r>
              <w:rPr>
                <w:rFonts w:ascii="Times New Roman" w:hAnsi="Times New Roman"/>
                <w:b/>
                <w:sz w:val="20"/>
                <w:szCs w:val="24"/>
              </w:rPr>
              <w:t>5</w:t>
            </w:r>
          </w:p>
        </w:tc>
        <w:tc>
          <w:tcPr>
            <w:tcW w:w="1843" w:type="dxa"/>
            <w:tcBorders>
              <w:top w:val="nil"/>
              <w:bottom w:val="nil"/>
            </w:tcBorders>
            <w:shd w:val="clear" w:color="auto" w:fill="F4B083" w:themeFill="accent2" w:themeFillTint="99"/>
            <w:vAlign w:val="center"/>
          </w:tcPr>
          <w:p w:rsidR="002B551D" w:rsidRPr="003E743A" w:rsidRDefault="002B551D" w:rsidP="007F1DFA">
            <w:pPr>
              <w:spacing w:after="0" w:line="240" w:lineRule="auto"/>
              <w:jc w:val="center"/>
              <w:rPr>
                <w:rFonts w:ascii="Times New Roman" w:hAnsi="Times New Roman"/>
                <w:sz w:val="20"/>
                <w:szCs w:val="24"/>
              </w:rPr>
            </w:pPr>
            <w:r w:rsidRPr="003E743A">
              <w:rPr>
                <w:rFonts w:ascii="Times New Roman" w:hAnsi="Times New Roman"/>
                <w:sz w:val="20"/>
                <w:szCs w:val="24"/>
              </w:rPr>
              <w:t>Mineure</w:t>
            </w:r>
          </w:p>
        </w:tc>
      </w:tr>
      <w:tr w:rsidR="002B551D" w:rsidRPr="00AA45E9" w:rsidTr="00A95D75">
        <w:trPr>
          <w:cantSplit/>
          <w:trHeight w:hRule="exact" w:val="281"/>
          <w:jc w:val="center"/>
        </w:trPr>
        <w:tc>
          <w:tcPr>
            <w:tcW w:w="1036" w:type="dxa"/>
            <w:vMerge/>
          </w:tcPr>
          <w:p w:rsidR="002B551D" w:rsidRPr="003E743A" w:rsidRDefault="002B551D" w:rsidP="007F1DFA">
            <w:pPr>
              <w:spacing w:after="0" w:line="240" w:lineRule="auto"/>
              <w:jc w:val="both"/>
              <w:rPr>
                <w:rFonts w:ascii="Times New Roman" w:hAnsi="Times New Roman"/>
                <w:sz w:val="20"/>
                <w:szCs w:val="24"/>
              </w:rPr>
            </w:pPr>
          </w:p>
        </w:tc>
        <w:tc>
          <w:tcPr>
            <w:tcW w:w="388" w:type="dxa"/>
            <w:vMerge/>
          </w:tcPr>
          <w:p w:rsidR="002B551D" w:rsidRPr="003E743A" w:rsidRDefault="002B551D" w:rsidP="007F1DFA">
            <w:pPr>
              <w:spacing w:after="0" w:line="240" w:lineRule="auto"/>
              <w:jc w:val="both"/>
              <w:rPr>
                <w:rFonts w:ascii="Times New Roman" w:hAnsi="Times New Roman"/>
                <w:sz w:val="20"/>
                <w:szCs w:val="24"/>
              </w:rPr>
            </w:pPr>
          </w:p>
        </w:tc>
        <w:tc>
          <w:tcPr>
            <w:tcW w:w="1185" w:type="dxa"/>
            <w:vMerge w:val="restart"/>
            <w:vAlign w:val="center"/>
          </w:tcPr>
          <w:p w:rsidR="002B551D" w:rsidRPr="003E743A" w:rsidRDefault="002B551D" w:rsidP="007F1DFA">
            <w:pPr>
              <w:spacing w:after="0" w:line="240" w:lineRule="auto"/>
              <w:jc w:val="center"/>
              <w:rPr>
                <w:rFonts w:ascii="Times New Roman" w:hAnsi="Times New Roman"/>
                <w:sz w:val="20"/>
                <w:szCs w:val="24"/>
              </w:rPr>
            </w:pPr>
            <w:r w:rsidRPr="003E743A">
              <w:rPr>
                <w:rFonts w:ascii="Times New Roman" w:hAnsi="Times New Roman"/>
                <w:sz w:val="20"/>
                <w:szCs w:val="24"/>
              </w:rPr>
              <w:t>Locale</w:t>
            </w:r>
          </w:p>
        </w:tc>
        <w:tc>
          <w:tcPr>
            <w:tcW w:w="228" w:type="dxa"/>
            <w:vMerge w:val="restart"/>
            <w:vAlign w:val="center"/>
          </w:tcPr>
          <w:p w:rsidR="002B551D" w:rsidRPr="003E743A" w:rsidRDefault="002B551D" w:rsidP="007F1DFA">
            <w:pPr>
              <w:spacing w:after="0" w:line="240" w:lineRule="auto"/>
              <w:jc w:val="center"/>
              <w:rPr>
                <w:rFonts w:ascii="Times New Roman" w:hAnsi="Times New Roman"/>
                <w:sz w:val="20"/>
                <w:szCs w:val="24"/>
              </w:rPr>
            </w:pPr>
            <w:r w:rsidRPr="00674610">
              <w:rPr>
                <w:rFonts w:ascii="Times New Roman" w:hAnsi="Times New Roman"/>
                <w:b/>
                <w:sz w:val="20"/>
                <w:szCs w:val="24"/>
              </w:rPr>
              <w:t>3</w:t>
            </w:r>
          </w:p>
        </w:tc>
        <w:tc>
          <w:tcPr>
            <w:tcW w:w="1335" w:type="dxa"/>
            <w:vAlign w:val="center"/>
          </w:tcPr>
          <w:p w:rsidR="002B551D" w:rsidRPr="003E743A" w:rsidRDefault="002B551D" w:rsidP="007F1DFA">
            <w:pPr>
              <w:spacing w:after="0" w:line="240" w:lineRule="auto"/>
              <w:jc w:val="center"/>
              <w:rPr>
                <w:rFonts w:ascii="Times New Roman" w:hAnsi="Times New Roman"/>
                <w:sz w:val="20"/>
                <w:szCs w:val="24"/>
              </w:rPr>
            </w:pPr>
            <w:r w:rsidRPr="003E743A">
              <w:rPr>
                <w:rFonts w:ascii="Times New Roman" w:hAnsi="Times New Roman"/>
                <w:sz w:val="20"/>
                <w:szCs w:val="24"/>
              </w:rPr>
              <w:t>Longue</w:t>
            </w:r>
          </w:p>
        </w:tc>
        <w:tc>
          <w:tcPr>
            <w:tcW w:w="366" w:type="dxa"/>
            <w:vAlign w:val="center"/>
          </w:tcPr>
          <w:p w:rsidR="002B551D" w:rsidRPr="003E743A" w:rsidRDefault="002B551D" w:rsidP="007F1DFA">
            <w:pPr>
              <w:spacing w:after="0" w:line="240" w:lineRule="auto"/>
              <w:jc w:val="center"/>
              <w:rPr>
                <w:rFonts w:ascii="Times New Roman" w:hAnsi="Times New Roman"/>
                <w:sz w:val="20"/>
                <w:szCs w:val="24"/>
              </w:rPr>
            </w:pPr>
            <w:r w:rsidRPr="00674610">
              <w:rPr>
                <w:rFonts w:ascii="Times New Roman" w:hAnsi="Times New Roman"/>
                <w:b/>
                <w:sz w:val="20"/>
                <w:szCs w:val="24"/>
              </w:rPr>
              <w:t>5</w:t>
            </w:r>
          </w:p>
        </w:tc>
        <w:tc>
          <w:tcPr>
            <w:tcW w:w="1553" w:type="dxa"/>
            <w:shd w:val="clear" w:color="auto" w:fill="00B050"/>
          </w:tcPr>
          <w:p w:rsidR="002B551D" w:rsidRPr="003E743A" w:rsidRDefault="002B551D" w:rsidP="007F1DFA">
            <w:pPr>
              <w:spacing w:after="0" w:line="240" w:lineRule="auto"/>
              <w:jc w:val="center"/>
              <w:rPr>
                <w:rFonts w:ascii="Times New Roman" w:hAnsi="Times New Roman"/>
                <w:sz w:val="20"/>
                <w:szCs w:val="24"/>
              </w:rPr>
            </w:pPr>
            <w:r w:rsidRPr="0036606C">
              <w:rPr>
                <w:rFonts w:ascii="Times New Roman" w:hAnsi="Times New Roman"/>
                <w:sz w:val="20"/>
                <w:szCs w:val="24"/>
              </w:rPr>
              <w:t>Mineure</w:t>
            </w:r>
          </w:p>
        </w:tc>
        <w:tc>
          <w:tcPr>
            <w:tcW w:w="850" w:type="dxa"/>
            <w:shd w:val="clear" w:color="auto" w:fill="FFFFFF" w:themeFill="background1"/>
          </w:tcPr>
          <w:p w:rsidR="002B551D" w:rsidRPr="00A4509E" w:rsidRDefault="002B551D" w:rsidP="007F1DFA">
            <w:pPr>
              <w:spacing w:after="0" w:line="240" w:lineRule="auto"/>
              <w:jc w:val="center"/>
              <w:rPr>
                <w:rFonts w:ascii="Times New Roman" w:hAnsi="Times New Roman"/>
                <w:sz w:val="20"/>
                <w:szCs w:val="24"/>
              </w:rPr>
            </w:pPr>
            <w:r>
              <w:rPr>
                <w:rFonts w:ascii="Times New Roman" w:hAnsi="Times New Roman"/>
                <w:b/>
                <w:sz w:val="20"/>
                <w:szCs w:val="24"/>
              </w:rPr>
              <w:t>15</w:t>
            </w:r>
          </w:p>
        </w:tc>
        <w:tc>
          <w:tcPr>
            <w:tcW w:w="1843" w:type="dxa"/>
            <w:shd w:val="clear" w:color="auto" w:fill="F4B083" w:themeFill="accent2" w:themeFillTint="99"/>
          </w:tcPr>
          <w:p w:rsidR="002B551D" w:rsidRPr="003E743A" w:rsidRDefault="002B551D" w:rsidP="007F1DFA">
            <w:pPr>
              <w:spacing w:after="0" w:line="240" w:lineRule="auto"/>
              <w:jc w:val="center"/>
              <w:rPr>
                <w:rFonts w:ascii="Times New Roman" w:hAnsi="Times New Roman"/>
                <w:sz w:val="20"/>
                <w:szCs w:val="24"/>
              </w:rPr>
            </w:pPr>
            <w:r w:rsidRPr="00264BA0">
              <w:rPr>
                <w:rFonts w:ascii="Times New Roman" w:hAnsi="Times New Roman"/>
                <w:sz w:val="20"/>
                <w:szCs w:val="24"/>
              </w:rPr>
              <w:t>Mineure</w:t>
            </w:r>
          </w:p>
        </w:tc>
      </w:tr>
      <w:tr w:rsidR="002B551D" w:rsidRPr="00AA45E9" w:rsidTr="00A95D75">
        <w:trPr>
          <w:cantSplit/>
          <w:trHeight w:hRule="exact" w:val="281"/>
          <w:jc w:val="center"/>
        </w:trPr>
        <w:tc>
          <w:tcPr>
            <w:tcW w:w="1036" w:type="dxa"/>
            <w:vMerge/>
          </w:tcPr>
          <w:p w:rsidR="002B551D" w:rsidRPr="003E743A" w:rsidRDefault="002B551D" w:rsidP="007F1DFA">
            <w:pPr>
              <w:spacing w:after="0" w:line="240" w:lineRule="auto"/>
              <w:jc w:val="both"/>
              <w:rPr>
                <w:rFonts w:ascii="Times New Roman" w:hAnsi="Times New Roman"/>
                <w:sz w:val="20"/>
                <w:szCs w:val="24"/>
              </w:rPr>
            </w:pPr>
          </w:p>
        </w:tc>
        <w:tc>
          <w:tcPr>
            <w:tcW w:w="388" w:type="dxa"/>
            <w:vMerge/>
          </w:tcPr>
          <w:p w:rsidR="002B551D" w:rsidRPr="003E743A" w:rsidRDefault="002B551D" w:rsidP="007F1DFA">
            <w:pPr>
              <w:spacing w:after="0" w:line="240" w:lineRule="auto"/>
              <w:jc w:val="both"/>
              <w:rPr>
                <w:rFonts w:ascii="Times New Roman" w:hAnsi="Times New Roman"/>
                <w:sz w:val="20"/>
                <w:szCs w:val="24"/>
              </w:rPr>
            </w:pPr>
          </w:p>
        </w:tc>
        <w:tc>
          <w:tcPr>
            <w:tcW w:w="1185" w:type="dxa"/>
            <w:vMerge/>
            <w:vAlign w:val="center"/>
          </w:tcPr>
          <w:p w:rsidR="002B551D" w:rsidRPr="003E743A" w:rsidRDefault="002B551D" w:rsidP="007F1DFA">
            <w:pPr>
              <w:spacing w:after="0" w:line="240" w:lineRule="auto"/>
              <w:jc w:val="center"/>
              <w:rPr>
                <w:rFonts w:ascii="Times New Roman" w:hAnsi="Times New Roman"/>
                <w:sz w:val="20"/>
                <w:szCs w:val="24"/>
              </w:rPr>
            </w:pPr>
          </w:p>
        </w:tc>
        <w:tc>
          <w:tcPr>
            <w:tcW w:w="228" w:type="dxa"/>
            <w:vMerge/>
            <w:vAlign w:val="center"/>
          </w:tcPr>
          <w:p w:rsidR="002B551D" w:rsidRPr="003E743A" w:rsidRDefault="002B551D" w:rsidP="007F1DFA">
            <w:pPr>
              <w:spacing w:after="0" w:line="240" w:lineRule="auto"/>
              <w:jc w:val="center"/>
              <w:rPr>
                <w:rFonts w:ascii="Times New Roman" w:hAnsi="Times New Roman"/>
                <w:sz w:val="20"/>
                <w:szCs w:val="24"/>
              </w:rPr>
            </w:pPr>
          </w:p>
        </w:tc>
        <w:tc>
          <w:tcPr>
            <w:tcW w:w="1335" w:type="dxa"/>
            <w:vAlign w:val="center"/>
          </w:tcPr>
          <w:p w:rsidR="002B551D" w:rsidRPr="003E743A" w:rsidRDefault="002B551D" w:rsidP="007F1DFA">
            <w:pPr>
              <w:spacing w:after="0" w:line="240" w:lineRule="auto"/>
              <w:jc w:val="center"/>
              <w:rPr>
                <w:rFonts w:ascii="Times New Roman" w:hAnsi="Times New Roman"/>
                <w:sz w:val="20"/>
                <w:szCs w:val="24"/>
              </w:rPr>
            </w:pPr>
            <w:r w:rsidRPr="003E743A">
              <w:rPr>
                <w:rFonts w:ascii="Times New Roman" w:hAnsi="Times New Roman"/>
                <w:sz w:val="20"/>
                <w:szCs w:val="24"/>
              </w:rPr>
              <w:t>Moyenne</w:t>
            </w:r>
          </w:p>
        </w:tc>
        <w:tc>
          <w:tcPr>
            <w:tcW w:w="366" w:type="dxa"/>
            <w:vAlign w:val="center"/>
          </w:tcPr>
          <w:p w:rsidR="002B551D" w:rsidRPr="003E743A" w:rsidRDefault="002B551D" w:rsidP="007F1DFA">
            <w:pPr>
              <w:spacing w:after="0" w:line="240" w:lineRule="auto"/>
              <w:jc w:val="center"/>
              <w:rPr>
                <w:rFonts w:ascii="Times New Roman" w:hAnsi="Times New Roman"/>
                <w:sz w:val="20"/>
                <w:szCs w:val="24"/>
              </w:rPr>
            </w:pPr>
            <w:r w:rsidRPr="00674610">
              <w:rPr>
                <w:rFonts w:ascii="Times New Roman" w:hAnsi="Times New Roman"/>
                <w:b/>
                <w:sz w:val="20"/>
                <w:szCs w:val="24"/>
              </w:rPr>
              <w:t>3</w:t>
            </w:r>
          </w:p>
        </w:tc>
        <w:tc>
          <w:tcPr>
            <w:tcW w:w="1553" w:type="dxa"/>
            <w:shd w:val="clear" w:color="auto" w:fill="00B050"/>
          </w:tcPr>
          <w:p w:rsidR="002B551D" w:rsidRPr="003E743A" w:rsidRDefault="002B551D" w:rsidP="007F1DFA">
            <w:pPr>
              <w:spacing w:after="0" w:line="240" w:lineRule="auto"/>
              <w:jc w:val="center"/>
              <w:rPr>
                <w:rFonts w:ascii="Times New Roman" w:hAnsi="Times New Roman"/>
                <w:sz w:val="20"/>
                <w:szCs w:val="24"/>
              </w:rPr>
            </w:pPr>
            <w:r w:rsidRPr="0036606C">
              <w:rPr>
                <w:rFonts w:ascii="Times New Roman" w:hAnsi="Times New Roman"/>
                <w:sz w:val="20"/>
                <w:szCs w:val="24"/>
              </w:rPr>
              <w:t>Mineure</w:t>
            </w:r>
          </w:p>
        </w:tc>
        <w:tc>
          <w:tcPr>
            <w:tcW w:w="850" w:type="dxa"/>
            <w:shd w:val="clear" w:color="auto" w:fill="FFFFFF" w:themeFill="background1"/>
          </w:tcPr>
          <w:p w:rsidR="002B551D" w:rsidRPr="00A4509E" w:rsidRDefault="002B551D" w:rsidP="007F1DFA">
            <w:pPr>
              <w:spacing w:after="0" w:line="240" w:lineRule="auto"/>
              <w:jc w:val="center"/>
              <w:rPr>
                <w:rFonts w:ascii="Times New Roman" w:hAnsi="Times New Roman"/>
                <w:sz w:val="20"/>
                <w:szCs w:val="24"/>
              </w:rPr>
            </w:pPr>
            <w:r>
              <w:rPr>
                <w:rFonts w:ascii="Times New Roman" w:hAnsi="Times New Roman"/>
                <w:b/>
                <w:sz w:val="20"/>
                <w:szCs w:val="24"/>
              </w:rPr>
              <w:t>9</w:t>
            </w:r>
          </w:p>
        </w:tc>
        <w:tc>
          <w:tcPr>
            <w:tcW w:w="1843" w:type="dxa"/>
            <w:shd w:val="clear" w:color="auto" w:fill="F4B083" w:themeFill="accent2" w:themeFillTint="99"/>
          </w:tcPr>
          <w:p w:rsidR="002B551D" w:rsidRPr="003E743A" w:rsidRDefault="002B551D" w:rsidP="007F1DFA">
            <w:pPr>
              <w:spacing w:after="0" w:line="240" w:lineRule="auto"/>
              <w:jc w:val="center"/>
              <w:rPr>
                <w:rFonts w:ascii="Times New Roman" w:hAnsi="Times New Roman"/>
                <w:sz w:val="20"/>
                <w:szCs w:val="24"/>
              </w:rPr>
            </w:pPr>
            <w:r w:rsidRPr="00264BA0">
              <w:rPr>
                <w:rFonts w:ascii="Times New Roman" w:hAnsi="Times New Roman"/>
                <w:sz w:val="20"/>
                <w:szCs w:val="24"/>
              </w:rPr>
              <w:t>Mineure</w:t>
            </w:r>
          </w:p>
        </w:tc>
      </w:tr>
      <w:tr w:rsidR="002B551D" w:rsidRPr="00AA45E9" w:rsidTr="00A95D75">
        <w:trPr>
          <w:cantSplit/>
          <w:trHeight w:hRule="exact" w:val="281"/>
          <w:jc w:val="center"/>
        </w:trPr>
        <w:tc>
          <w:tcPr>
            <w:tcW w:w="1036" w:type="dxa"/>
            <w:vMerge/>
          </w:tcPr>
          <w:p w:rsidR="002B551D" w:rsidRPr="003E743A" w:rsidRDefault="002B551D" w:rsidP="007F1DFA">
            <w:pPr>
              <w:spacing w:after="0" w:line="240" w:lineRule="auto"/>
              <w:jc w:val="both"/>
              <w:rPr>
                <w:rFonts w:ascii="Times New Roman" w:hAnsi="Times New Roman"/>
                <w:sz w:val="20"/>
                <w:szCs w:val="24"/>
              </w:rPr>
            </w:pPr>
          </w:p>
        </w:tc>
        <w:tc>
          <w:tcPr>
            <w:tcW w:w="388" w:type="dxa"/>
            <w:vMerge/>
          </w:tcPr>
          <w:p w:rsidR="002B551D" w:rsidRPr="003E743A" w:rsidRDefault="002B551D" w:rsidP="007F1DFA">
            <w:pPr>
              <w:spacing w:after="0" w:line="240" w:lineRule="auto"/>
              <w:jc w:val="both"/>
              <w:rPr>
                <w:rFonts w:ascii="Times New Roman" w:hAnsi="Times New Roman"/>
                <w:sz w:val="20"/>
                <w:szCs w:val="24"/>
              </w:rPr>
            </w:pPr>
          </w:p>
        </w:tc>
        <w:tc>
          <w:tcPr>
            <w:tcW w:w="1185" w:type="dxa"/>
            <w:vMerge/>
            <w:vAlign w:val="center"/>
          </w:tcPr>
          <w:p w:rsidR="002B551D" w:rsidRPr="003E743A" w:rsidRDefault="002B551D" w:rsidP="007F1DFA">
            <w:pPr>
              <w:spacing w:after="0" w:line="240" w:lineRule="auto"/>
              <w:jc w:val="center"/>
              <w:rPr>
                <w:rFonts w:ascii="Times New Roman" w:hAnsi="Times New Roman"/>
                <w:sz w:val="20"/>
                <w:szCs w:val="24"/>
              </w:rPr>
            </w:pPr>
          </w:p>
        </w:tc>
        <w:tc>
          <w:tcPr>
            <w:tcW w:w="228" w:type="dxa"/>
            <w:vMerge/>
            <w:vAlign w:val="center"/>
          </w:tcPr>
          <w:p w:rsidR="002B551D" w:rsidRPr="003E743A" w:rsidRDefault="002B551D" w:rsidP="007F1DFA">
            <w:pPr>
              <w:spacing w:after="0" w:line="240" w:lineRule="auto"/>
              <w:jc w:val="center"/>
              <w:rPr>
                <w:rFonts w:ascii="Times New Roman" w:hAnsi="Times New Roman"/>
                <w:sz w:val="20"/>
                <w:szCs w:val="24"/>
              </w:rPr>
            </w:pPr>
          </w:p>
        </w:tc>
        <w:tc>
          <w:tcPr>
            <w:tcW w:w="1335" w:type="dxa"/>
            <w:vAlign w:val="center"/>
          </w:tcPr>
          <w:p w:rsidR="002B551D" w:rsidRPr="003E743A" w:rsidRDefault="002B551D" w:rsidP="007F1DFA">
            <w:pPr>
              <w:spacing w:after="0" w:line="240" w:lineRule="auto"/>
              <w:jc w:val="center"/>
              <w:rPr>
                <w:rFonts w:ascii="Times New Roman" w:hAnsi="Times New Roman"/>
                <w:sz w:val="20"/>
                <w:szCs w:val="24"/>
              </w:rPr>
            </w:pPr>
            <w:r w:rsidRPr="003E743A">
              <w:rPr>
                <w:rFonts w:ascii="Times New Roman" w:hAnsi="Times New Roman"/>
                <w:sz w:val="20"/>
                <w:szCs w:val="24"/>
              </w:rPr>
              <w:t>Courte</w:t>
            </w:r>
          </w:p>
        </w:tc>
        <w:tc>
          <w:tcPr>
            <w:tcW w:w="366" w:type="dxa"/>
            <w:vAlign w:val="center"/>
          </w:tcPr>
          <w:p w:rsidR="002B551D" w:rsidRPr="003E743A" w:rsidRDefault="002B551D" w:rsidP="007F1DFA">
            <w:pPr>
              <w:spacing w:after="0" w:line="240" w:lineRule="auto"/>
              <w:jc w:val="center"/>
              <w:rPr>
                <w:rFonts w:ascii="Times New Roman" w:hAnsi="Times New Roman"/>
                <w:sz w:val="20"/>
                <w:szCs w:val="24"/>
              </w:rPr>
            </w:pPr>
            <w:r w:rsidRPr="00674610">
              <w:rPr>
                <w:rFonts w:ascii="Times New Roman" w:hAnsi="Times New Roman"/>
                <w:b/>
                <w:sz w:val="20"/>
                <w:szCs w:val="24"/>
              </w:rPr>
              <w:t>1</w:t>
            </w:r>
          </w:p>
        </w:tc>
        <w:tc>
          <w:tcPr>
            <w:tcW w:w="1553" w:type="dxa"/>
            <w:tcBorders>
              <w:top w:val="nil"/>
            </w:tcBorders>
            <w:shd w:val="clear" w:color="auto" w:fill="00B050"/>
            <w:vAlign w:val="center"/>
          </w:tcPr>
          <w:p w:rsidR="002B551D" w:rsidRPr="003E743A" w:rsidRDefault="002B551D" w:rsidP="007F1DFA">
            <w:pPr>
              <w:spacing w:after="0" w:line="240" w:lineRule="auto"/>
              <w:jc w:val="center"/>
              <w:rPr>
                <w:rFonts w:ascii="Times New Roman" w:hAnsi="Times New Roman"/>
                <w:sz w:val="20"/>
                <w:szCs w:val="24"/>
              </w:rPr>
            </w:pPr>
            <w:r w:rsidRPr="003E743A">
              <w:rPr>
                <w:rFonts w:ascii="Times New Roman" w:hAnsi="Times New Roman"/>
                <w:sz w:val="20"/>
                <w:szCs w:val="24"/>
              </w:rPr>
              <w:t>Mineure</w:t>
            </w:r>
          </w:p>
        </w:tc>
        <w:tc>
          <w:tcPr>
            <w:tcW w:w="850" w:type="dxa"/>
            <w:tcBorders>
              <w:top w:val="nil"/>
            </w:tcBorders>
            <w:shd w:val="clear" w:color="auto" w:fill="FFFFFF" w:themeFill="background1"/>
          </w:tcPr>
          <w:p w:rsidR="002B551D" w:rsidRPr="00A4509E" w:rsidRDefault="002B551D" w:rsidP="007F1DFA">
            <w:pPr>
              <w:spacing w:after="0" w:line="240" w:lineRule="auto"/>
              <w:jc w:val="center"/>
              <w:rPr>
                <w:rFonts w:ascii="Times New Roman" w:hAnsi="Times New Roman"/>
                <w:sz w:val="20"/>
                <w:szCs w:val="24"/>
              </w:rPr>
            </w:pPr>
            <w:r>
              <w:rPr>
                <w:rFonts w:ascii="Times New Roman" w:hAnsi="Times New Roman"/>
                <w:b/>
                <w:sz w:val="20"/>
                <w:szCs w:val="24"/>
              </w:rPr>
              <w:t>3</w:t>
            </w:r>
          </w:p>
        </w:tc>
        <w:tc>
          <w:tcPr>
            <w:tcW w:w="1843" w:type="dxa"/>
            <w:tcBorders>
              <w:top w:val="nil"/>
            </w:tcBorders>
            <w:shd w:val="clear" w:color="auto" w:fill="F4B083" w:themeFill="accent2" w:themeFillTint="99"/>
            <w:vAlign w:val="center"/>
          </w:tcPr>
          <w:p w:rsidR="002B551D" w:rsidRPr="003E743A" w:rsidRDefault="002B551D" w:rsidP="007F1DFA">
            <w:pPr>
              <w:spacing w:after="0" w:line="240" w:lineRule="auto"/>
              <w:jc w:val="center"/>
              <w:rPr>
                <w:rFonts w:ascii="Times New Roman" w:hAnsi="Times New Roman"/>
                <w:sz w:val="20"/>
                <w:szCs w:val="24"/>
              </w:rPr>
            </w:pPr>
            <w:r w:rsidRPr="003E743A">
              <w:rPr>
                <w:rFonts w:ascii="Times New Roman" w:hAnsi="Times New Roman"/>
                <w:sz w:val="20"/>
                <w:szCs w:val="24"/>
              </w:rPr>
              <w:t>Mineure</w:t>
            </w:r>
          </w:p>
        </w:tc>
      </w:tr>
      <w:tr w:rsidR="002B551D" w:rsidRPr="00AA45E9" w:rsidTr="00A95D75">
        <w:trPr>
          <w:cantSplit/>
          <w:trHeight w:hRule="exact" w:val="281"/>
          <w:jc w:val="center"/>
        </w:trPr>
        <w:tc>
          <w:tcPr>
            <w:tcW w:w="1036" w:type="dxa"/>
            <w:vMerge/>
          </w:tcPr>
          <w:p w:rsidR="002B551D" w:rsidRPr="003E743A" w:rsidRDefault="002B551D" w:rsidP="007F1DFA">
            <w:pPr>
              <w:spacing w:after="0" w:line="240" w:lineRule="auto"/>
              <w:jc w:val="both"/>
              <w:rPr>
                <w:rFonts w:ascii="Times New Roman" w:hAnsi="Times New Roman"/>
                <w:sz w:val="20"/>
                <w:szCs w:val="24"/>
              </w:rPr>
            </w:pPr>
          </w:p>
        </w:tc>
        <w:tc>
          <w:tcPr>
            <w:tcW w:w="388" w:type="dxa"/>
            <w:vMerge/>
          </w:tcPr>
          <w:p w:rsidR="002B551D" w:rsidRPr="003E743A" w:rsidRDefault="002B551D" w:rsidP="007F1DFA">
            <w:pPr>
              <w:spacing w:after="0" w:line="240" w:lineRule="auto"/>
              <w:jc w:val="both"/>
              <w:rPr>
                <w:rFonts w:ascii="Times New Roman" w:hAnsi="Times New Roman"/>
                <w:sz w:val="20"/>
                <w:szCs w:val="24"/>
              </w:rPr>
            </w:pPr>
          </w:p>
        </w:tc>
        <w:tc>
          <w:tcPr>
            <w:tcW w:w="1185" w:type="dxa"/>
            <w:vMerge w:val="restart"/>
            <w:vAlign w:val="center"/>
          </w:tcPr>
          <w:p w:rsidR="002B551D" w:rsidRPr="003E743A" w:rsidRDefault="002B551D" w:rsidP="007F1DFA">
            <w:pPr>
              <w:spacing w:after="0" w:line="240" w:lineRule="auto"/>
              <w:jc w:val="center"/>
              <w:rPr>
                <w:rFonts w:ascii="Times New Roman" w:hAnsi="Times New Roman"/>
                <w:sz w:val="20"/>
                <w:szCs w:val="24"/>
              </w:rPr>
            </w:pPr>
            <w:r w:rsidRPr="003E743A">
              <w:rPr>
                <w:rFonts w:ascii="Times New Roman" w:hAnsi="Times New Roman"/>
                <w:sz w:val="20"/>
                <w:szCs w:val="24"/>
              </w:rPr>
              <w:t>Ponctuelle</w:t>
            </w:r>
          </w:p>
        </w:tc>
        <w:tc>
          <w:tcPr>
            <w:tcW w:w="228" w:type="dxa"/>
            <w:vMerge w:val="restart"/>
            <w:vAlign w:val="center"/>
          </w:tcPr>
          <w:p w:rsidR="002B551D" w:rsidRPr="003E743A" w:rsidRDefault="002B551D" w:rsidP="007F1DFA">
            <w:pPr>
              <w:spacing w:after="0" w:line="240" w:lineRule="auto"/>
              <w:jc w:val="center"/>
              <w:rPr>
                <w:rFonts w:ascii="Times New Roman" w:hAnsi="Times New Roman"/>
                <w:sz w:val="20"/>
                <w:szCs w:val="24"/>
              </w:rPr>
            </w:pPr>
            <w:r w:rsidRPr="00674610">
              <w:rPr>
                <w:rFonts w:ascii="Times New Roman" w:hAnsi="Times New Roman"/>
                <w:b/>
                <w:sz w:val="20"/>
                <w:szCs w:val="24"/>
              </w:rPr>
              <w:t>1</w:t>
            </w:r>
          </w:p>
        </w:tc>
        <w:tc>
          <w:tcPr>
            <w:tcW w:w="1335" w:type="dxa"/>
            <w:vAlign w:val="center"/>
          </w:tcPr>
          <w:p w:rsidR="002B551D" w:rsidRPr="003E743A" w:rsidRDefault="002B551D" w:rsidP="007F1DFA">
            <w:pPr>
              <w:spacing w:after="0" w:line="240" w:lineRule="auto"/>
              <w:jc w:val="center"/>
              <w:rPr>
                <w:rFonts w:ascii="Times New Roman" w:hAnsi="Times New Roman"/>
                <w:sz w:val="20"/>
                <w:szCs w:val="24"/>
              </w:rPr>
            </w:pPr>
            <w:r w:rsidRPr="003E743A">
              <w:rPr>
                <w:rFonts w:ascii="Times New Roman" w:hAnsi="Times New Roman"/>
                <w:sz w:val="20"/>
                <w:szCs w:val="24"/>
              </w:rPr>
              <w:t>Longue</w:t>
            </w:r>
          </w:p>
        </w:tc>
        <w:tc>
          <w:tcPr>
            <w:tcW w:w="366" w:type="dxa"/>
            <w:vAlign w:val="center"/>
          </w:tcPr>
          <w:p w:rsidR="002B551D" w:rsidRPr="003E743A" w:rsidRDefault="002B551D" w:rsidP="007F1DFA">
            <w:pPr>
              <w:spacing w:after="0" w:line="240" w:lineRule="auto"/>
              <w:jc w:val="center"/>
              <w:rPr>
                <w:rFonts w:ascii="Times New Roman" w:hAnsi="Times New Roman"/>
                <w:sz w:val="20"/>
                <w:szCs w:val="24"/>
              </w:rPr>
            </w:pPr>
            <w:r w:rsidRPr="00674610">
              <w:rPr>
                <w:rFonts w:ascii="Times New Roman" w:hAnsi="Times New Roman"/>
                <w:b/>
                <w:sz w:val="20"/>
                <w:szCs w:val="24"/>
              </w:rPr>
              <w:t>5</w:t>
            </w:r>
          </w:p>
        </w:tc>
        <w:tc>
          <w:tcPr>
            <w:tcW w:w="1553" w:type="dxa"/>
            <w:shd w:val="clear" w:color="auto" w:fill="00B050"/>
            <w:vAlign w:val="center"/>
          </w:tcPr>
          <w:p w:rsidR="002B551D" w:rsidRPr="003E743A" w:rsidRDefault="002B551D" w:rsidP="007F1DFA">
            <w:pPr>
              <w:spacing w:after="0" w:line="240" w:lineRule="auto"/>
              <w:jc w:val="center"/>
              <w:rPr>
                <w:rFonts w:ascii="Times New Roman" w:hAnsi="Times New Roman"/>
                <w:sz w:val="20"/>
                <w:szCs w:val="24"/>
              </w:rPr>
            </w:pPr>
            <w:r w:rsidRPr="003E743A">
              <w:rPr>
                <w:rFonts w:ascii="Times New Roman" w:hAnsi="Times New Roman"/>
                <w:sz w:val="20"/>
                <w:szCs w:val="24"/>
              </w:rPr>
              <w:t>Mineure</w:t>
            </w:r>
          </w:p>
        </w:tc>
        <w:tc>
          <w:tcPr>
            <w:tcW w:w="850" w:type="dxa"/>
            <w:shd w:val="clear" w:color="auto" w:fill="FFFFFF" w:themeFill="background1"/>
          </w:tcPr>
          <w:p w:rsidR="002B551D" w:rsidRPr="00A4509E" w:rsidRDefault="002B551D" w:rsidP="007F1DFA">
            <w:pPr>
              <w:spacing w:after="0" w:line="240" w:lineRule="auto"/>
              <w:jc w:val="center"/>
              <w:rPr>
                <w:rFonts w:ascii="Times New Roman" w:hAnsi="Times New Roman"/>
                <w:sz w:val="20"/>
                <w:szCs w:val="24"/>
              </w:rPr>
            </w:pPr>
            <w:r>
              <w:rPr>
                <w:rFonts w:ascii="Times New Roman" w:hAnsi="Times New Roman"/>
                <w:b/>
                <w:sz w:val="20"/>
                <w:szCs w:val="24"/>
              </w:rPr>
              <w:t>5</w:t>
            </w:r>
          </w:p>
        </w:tc>
        <w:tc>
          <w:tcPr>
            <w:tcW w:w="1843" w:type="dxa"/>
            <w:shd w:val="clear" w:color="auto" w:fill="F4B083" w:themeFill="accent2" w:themeFillTint="99"/>
            <w:vAlign w:val="center"/>
          </w:tcPr>
          <w:p w:rsidR="002B551D" w:rsidRPr="003E743A" w:rsidRDefault="002B551D" w:rsidP="007F1DFA">
            <w:pPr>
              <w:spacing w:after="0" w:line="240" w:lineRule="auto"/>
              <w:jc w:val="center"/>
              <w:rPr>
                <w:rFonts w:ascii="Times New Roman" w:hAnsi="Times New Roman"/>
                <w:sz w:val="20"/>
                <w:szCs w:val="24"/>
              </w:rPr>
            </w:pPr>
            <w:r w:rsidRPr="003E743A">
              <w:rPr>
                <w:rFonts w:ascii="Times New Roman" w:hAnsi="Times New Roman"/>
                <w:sz w:val="20"/>
                <w:szCs w:val="24"/>
              </w:rPr>
              <w:t>Mineure</w:t>
            </w:r>
          </w:p>
        </w:tc>
      </w:tr>
      <w:tr w:rsidR="002B551D" w:rsidRPr="00AA45E9" w:rsidTr="00A95D75">
        <w:trPr>
          <w:cantSplit/>
          <w:trHeight w:hRule="exact" w:val="281"/>
          <w:jc w:val="center"/>
        </w:trPr>
        <w:tc>
          <w:tcPr>
            <w:tcW w:w="1036" w:type="dxa"/>
            <w:vMerge/>
          </w:tcPr>
          <w:p w:rsidR="002B551D" w:rsidRPr="003E743A" w:rsidRDefault="002B551D" w:rsidP="007F1DFA">
            <w:pPr>
              <w:spacing w:after="0" w:line="240" w:lineRule="auto"/>
              <w:jc w:val="both"/>
              <w:rPr>
                <w:rFonts w:ascii="Times New Roman" w:hAnsi="Times New Roman"/>
                <w:sz w:val="20"/>
                <w:szCs w:val="24"/>
              </w:rPr>
            </w:pPr>
          </w:p>
        </w:tc>
        <w:tc>
          <w:tcPr>
            <w:tcW w:w="388" w:type="dxa"/>
            <w:vMerge/>
          </w:tcPr>
          <w:p w:rsidR="002B551D" w:rsidRPr="003E743A" w:rsidRDefault="002B551D" w:rsidP="007F1DFA">
            <w:pPr>
              <w:spacing w:after="0" w:line="240" w:lineRule="auto"/>
              <w:jc w:val="both"/>
              <w:rPr>
                <w:rFonts w:ascii="Times New Roman" w:hAnsi="Times New Roman"/>
                <w:sz w:val="20"/>
                <w:szCs w:val="24"/>
              </w:rPr>
            </w:pPr>
          </w:p>
        </w:tc>
        <w:tc>
          <w:tcPr>
            <w:tcW w:w="1185" w:type="dxa"/>
            <w:vMerge/>
          </w:tcPr>
          <w:p w:rsidR="002B551D" w:rsidRPr="003E743A" w:rsidRDefault="002B551D" w:rsidP="007F1DFA">
            <w:pPr>
              <w:spacing w:after="0" w:line="240" w:lineRule="auto"/>
              <w:jc w:val="both"/>
              <w:rPr>
                <w:rFonts w:ascii="Times New Roman" w:hAnsi="Times New Roman"/>
                <w:sz w:val="20"/>
                <w:szCs w:val="24"/>
              </w:rPr>
            </w:pPr>
          </w:p>
        </w:tc>
        <w:tc>
          <w:tcPr>
            <w:tcW w:w="228" w:type="dxa"/>
            <w:vMerge/>
          </w:tcPr>
          <w:p w:rsidR="002B551D" w:rsidRPr="003E743A" w:rsidRDefault="002B551D" w:rsidP="007F1DFA">
            <w:pPr>
              <w:spacing w:after="0" w:line="240" w:lineRule="auto"/>
              <w:jc w:val="both"/>
              <w:rPr>
                <w:rFonts w:ascii="Times New Roman" w:hAnsi="Times New Roman"/>
                <w:sz w:val="20"/>
                <w:szCs w:val="24"/>
              </w:rPr>
            </w:pPr>
          </w:p>
        </w:tc>
        <w:tc>
          <w:tcPr>
            <w:tcW w:w="1335" w:type="dxa"/>
            <w:vAlign w:val="center"/>
          </w:tcPr>
          <w:p w:rsidR="002B551D" w:rsidRPr="003E743A" w:rsidRDefault="002B551D" w:rsidP="007F1DFA">
            <w:pPr>
              <w:spacing w:after="0" w:line="240" w:lineRule="auto"/>
              <w:jc w:val="center"/>
              <w:rPr>
                <w:rFonts w:ascii="Times New Roman" w:hAnsi="Times New Roman"/>
                <w:sz w:val="20"/>
                <w:szCs w:val="24"/>
              </w:rPr>
            </w:pPr>
            <w:r w:rsidRPr="003E743A">
              <w:rPr>
                <w:rFonts w:ascii="Times New Roman" w:hAnsi="Times New Roman"/>
                <w:sz w:val="20"/>
                <w:szCs w:val="24"/>
              </w:rPr>
              <w:t>Moyenne</w:t>
            </w:r>
          </w:p>
        </w:tc>
        <w:tc>
          <w:tcPr>
            <w:tcW w:w="366" w:type="dxa"/>
            <w:vAlign w:val="center"/>
          </w:tcPr>
          <w:p w:rsidR="002B551D" w:rsidRPr="003E743A" w:rsidRDefault="002B551D" w:rsidP="007F1DFA">
            <w:pPr>
              <w:spacing w:after="0" w:line="240" w:lineRule="auto"/>
              <w:jc w:val="center"/>
              <w:rPr>
                <w:rFonts w:ascii="Times New Roman" w:hAnsi="Times New Roman"/>
                <w:sz w:val="20"/>
                <w:szCs w:val="24"/>
              </w:rPr>
            </w:pPr>
            <w:r w:rsidRPr="00674610">
              <w:rPr>
                <w:rFonts w:ascii="Times New Roman" w:hAnsi="Times New Roman"/>
                <w:b/>
                <w:sz w:val="20"/>
                <w:szCs w:val="24"/>
              </w:rPr>
              <w:t>3</w:t>
            </w:r>
          </w:p>
        </w:tc>
        <w:tc>
          <w:tcPr>
            <w:tcW w:w="1553" w:type="dxa"/>
            <w:shd w:val="clear" w:color="auto" w:fill="00B050"/>
            <w:vAlign w:val="center"/>
          </w:tcPr>
          <w:p w:rsidR="002B551D" w:rsidRPr="003E743A" w:rsidRDefault="002B551D" w:rsidP="007F1DFA">
            <w:pPr>
              <w:spacing w:after="0" w:line="240" w:lineRule="auto"/>
              <w:jc w:val="center"/>
              <w:rPr>
                <w:rFonts w:ascii="Times New Roman" w:hAnsi="Times New Roman"/>
                <w:sz w:val="20"/>
                <w:szCs w:val="24"/>
              </w:rPr>
            </w:pPr>
            <w:r w:rsidRPr="003E743A">
              <w:rPr>
                <w:rFonts w:ascii="Times New Roman" w:hAnsi="Times New Roman"/>
                <w:sz w:val="20"/>
                <w:szCs w:val="24"/>
              </w:rPr>
              <w:t>Mineure</w:t>
            </w:r>
          </w:p>
        </w:tc>
        <w:tc>
          <w:tcPr>
            <w:tcW w:w="850" w:type="dxa"/>
            <w:shd w:val="clear" w:color="auto" w:fill="FFFFFF" w:themeFill="background1"/>
          </w:tcPr>
          <w:p w:rsidR="002B551D" w:rsidRPr="00A4509E" w:rsidRDefault="002B551D" w:rsidP="007F1DFA">
            <w:pPr>
              <w:spacing w:after="0" w:line="240" w:lineRule="auto"/>
              <w:jc w:val="center"/>
              <w:rPr>
                <w:rFonts w:ascii="Times New Roman" w:hAnsi="Times New Roman"/>
                <w:sz w:val="20"/>
                <w:szCs w:val="24"/>
              </w:rPr>
            </w:pPr>
            <w:r>
              <w:rPr>
                <w:rFonts w:ascii="Times New Roman" w:hAnsi="Times New Roman"/>
                <w:b/>
                <w:sz w:val="20"/>
                <w:szCs w:val="24"/>
              </w:rPr>
              <w:t>3</w:t>
            </w:r>
          </w:p>
        </w:tc>
        <w:tc>
          <w:tcPr>
            <w:tcW w:w="1843" w:type="dxa"/>
            <w:shd w:val="clear" w:color="auto" w:fill="F4B083" w:themeFill="accent2" w:themeFillTint="99"/>
            <w:vAlign w:val="center"/>
          </w:tcPr>
          <w:p w:rsidR="002B551D" w:rsidRPr="003E743A" w:rsidRDefault="002B551D" w:rsidP="007F1DFA">
            <w:pPr>
              <w:spacing w:after="0" w:line="240" w:lineRule="auto"/>
              <w:jc w:val="center"/>
              <w:rPr>
                <w:rFonts w:ascii="Times New Roman" w:hAnsi="Times New Roman"/>
                <w:sz w:val="20"/>
                <w:szCs w:val="24"/>
              </w:rPr>
            </w:pPr>
            <w:r w:rsidRPr="003E743A">
              <w:rPr>
                <w:rFonts w:ascii="Times New Roman" w:hAnsi="Times New Roman"/>
                <w:sz w:val="20"/>
                <w:szCs w:val="24"/>
              </w:rPr>
              <w:t>Mineure</w:t>
            </w:r>
          </w:p>
        </w:tc>
      </w:tr>
      <w:tr w:rsidR="002B551D" w:rsidRPr="00AA45E9" w:rsidTr="00A95D75">
        <w:trPr>
          <w:cantSplit/>
          <w:trHeight w:hRule="exact" w:val="281"/>
          <w:jc w:val="center"/>
        </w:trPr>
        <w:tc>
          <w:tcPr>
            <w:tcW w:w="1036" w:type="dxa"/>
            <w:vMerge/>
          </w:tcPr>
          <w:p w:rsidR="002B551D" w:rsidRPr="003E743A" w:rsidRDefault="002B551D" w:rsidP="007F1DFA">
            <w:pPr>
              <w:spacing w:after="0" w:line="240" w:lineRule="auto"/>
              <w:jc w:val="both"/>
              <w:rPr>
                <w:rFonts w:ascii="Times New Roman" w:hAnsi="Times New Roman"/>
                <w:sz w:val="20"/>
                <w:szCs w:val="24"/>
              </w:rPr>
            </w:pPr>
          </w:p>
        </w:tc>
        <w:tc>
          <w:tcPr>
            <w:tcW w:w="388" w:type="dxa"/>
            <w:vMerge/>
          </w:tcPr>
          <w:p w:rsidR="002B551D" w:rsidRPr="003E743A" w:rsidRDefault="002B551D" w:rsidP="007F1DFA">
            <w:pPr>
              <w:spacing w:after="0" w:line="240" w:lineRule="auto"/>
              <w:jc w:val="both"/>
              <w:rPr>
                <w:rFonts w:ascii="Times New Roman" w:hAnsi="Times New Roman"/>
                <w:sz w:val="20"/>
                <w:szCs w:val="24"/>
              </w:rPr>
            </w:pPr>
          </w:p>
        </w:tc>
        <w:tc>
          <w:tcPr>
            <w:tcW w:w="1185" w:type="dxa"/>
            <w:vMerge/>
          </w:tcPr>
          <w:p w:rsidR="002B551D" w:rsidRPr="003E743A" w:rsidRDefault="002B551D" w:rsidP="007F1DFA">
            <w:pPr>
              <w:spacing w:after="0" w:line="240" w:lineRule="auto"/>
              <w:jc w:val="both"/>
              <w:rPr>
                <w:rFonts w:ascii="Times New Roman" w:hAnsi="Times New Roman"/>
                <w:sz w:val="20"/>
                <w:szCs w:val="24"/>
              </w:rPr>
            </w:pPr>
          </w:p>
        </w:tc>
        <w:tc>
          <w:tcPr>
            <w:tcW w:w="228" w:type="dxa"/>
            <w:vMerge/>
          </w:tcPr>
          <w:p w:rsidR="002B551D" w:rsidRPr="003E743A" w:rsidRDefault="002B551D" w:rsidP="007F1DFA">
            <w:pPr>
              <w:spacing w:after="0" w:line="240" w:lineRule="auto"/>
              <w:jc w:val="both"/>
              <w:rPr>
                <w:rFonts w:ascii="Times New Roman" w:hAnsi="Times New Roman"/>
                <w:sz w:val="20"/>
                <w:szCs w:val="24"/>
              </w:rPr>
            </w:pPr>
          </w:p>
        </w:tc>
        <w:tc>
          <w:tcPr>
            <w:tcW w:w="1335" w:type="dxa"/>
            <w:vAlign w:val="center"/>
          </w:tcPr>
          <w:p w:rsidR="002B551D" w:rsidRPr="003E743A" w:rsidRDefault="002B551D" w:rsidP="007F1DFA">
            <w:pPr>
              <w:spacing w:after="0" w:line="240" w:lineRule="auto"/>
              <w:jc w:val="center"/>
              <w:rPr>
                <w:rFonts w:ascii="Times New Roman" w:hAnsi="Times New Roman"/>
                <w:sz w:val="20"/>
                <w:szCs w:val="24"/>
              </w:rPr>
            </w:pPr>
            <w:r w:rsidRPr="003E743A">
              <w:rPr>
                <w:rFonts w:ascii="Times New Roman" w:hAnsi="Times New Roman"/>
                <w:sz w:val="20"/>
                <w:szCs w:val="24"/>
              </w:rPr>
              <w:t>Courte</w:t>
            </w:r>
          </w:p>
        </w:tc>
        <w:tc>
          <w:tcPr>
            <w:tcW w:w="366" w:type="dxa"/>
            <w:vAlign w:val="center"/>
          </w:tcPr>
          <w:p w:rsidR="002B551D" w:rsidRPr="003E743A" w:rsidRDefault="002B551D" w:rsidP="007F1DFA">
            <w:pPr>
              <w:spacing w:after="0" w:line="240" w:lineRule="auto"/>
              <w:jc w:val="center"/>
              <w:rPr>
                <w:rFonts w:ascii="Times New Roman" w:hAnsi="Times New Roman"/>
                <w:sz w:val="20"/>
                <w:szCs w:val="24"/>
              </w:rPr>
            </w:pPr>
            <w:r w:rsidRPr="00674610">
              <w:rPr>
                <w:rFonts w:ascii="Times New Roman" w:hAnsi="Times New Roman"/>
                <w:b/>
                <w:sz w:val="20"/>
                <w:szCs w:val="24"/>
              </w:rPr>
              <w:t>1</w:t>
            </w:r>
          </w:p>
        </w:tc>
        <w:tc>
          <w:tcPr>
            <w:tcW w:w="1553" w:type="dxa"/>
            <w:shd w:val="clear" w:color="auto" w:fill="00B050"/>
            <w:vAlign w:val="center"/>
          </w:tcPr>
          <w:p w:rsidR="002B551D" w:rsidRPr="003E743A" w:rsidRDefault="002B551D" w:rsidP="007F1DFA">
            <w:pPr>
              <w:spacing w:after="0" w:line="240" w:lineRule="auto"/>
              <w:jc w:val="center"/>
              <w:rPr>
                <w:rFonts w:ascii="Times New Roman" w:hAnsi="Times New Roman"/>
                <w:sz w:val="20"/>
                <w:szCs w:val="24"/>
              </w:rPr>
            </w:pPr>
            <w:r w:rsidRPr="003E743A">
              <w:rPr>
                <w:rFonts w:ascii="Times New Roman" w:hAnsi="Times New Roman"/>
                <w:sz w:val="20"/>
                <w:szCs w:val="24"/>
              </w:rPr>
              <w:t>Mineure</w:t>
            </w:r>
          </w:p>
        </w:tc>
        <w:tc>
          <w:tcPr>
            <w:tcW w:w="850" w:type="dxa"/>
            <w:shd w:val="clear" w:color="auto" w:fill="FFFFFF" w:themeFill="background1"/>
          </w:tcPr>
          <w:p w:rsidR="002B551D" w:rsidRPr="00A4509E" w:rsidRDefault="002B551D" w:rsidP="007F1DFA">
            <w:pPr>
              <w:spacing w:after="0" w:line="240" w:lineRule="auto"/>
              <w:jc w:val="center"/>
              <w:rPr>
                <w:rFonts w:ascii="Times New Roman" w:hAnsi="Times New Roman"/>
                <w:sz w:val="20"/>
                <w:szCs w:val="24"/>
              </w:rPr>
            </w:pPr>
            <w:r>
              <w:rPr>
                <w:rFonts w:ascii="Times New Roman" w:hAnsi="Times New Roman"/>
                <w:b/>
                <w:sz w:val="20"/>
                <w:szCs w:val="24"/>
              </w:rPr>
              <w:t>1</w:t>
            </w:r>
          </w:p>
        </w:tc>
        <w:tc>
          <w:tcPr>
            <w:tcW w:w="1843" w:type="dxa"/>
            <w:shd w:val="clear" w:color="auto" w:fill="F4B083" w:themeFill="accent2" w:themeFillTint="99"/>
            <w:vAlign w:val="center"/>
          </w:tcPr>
          <w:p w:rsidR="002B551D" w:rsidRPr="003E743A" w:rsidRDefault="002B551D" w:rsidP="007F1DFA">
            <w:pPr>
              <w:spacing w:after="0" w:line="240" w:lineRule="auto"/>
              <w:jc w:val="center"/>
              <w:rPr>
                <w:rFonts w:ascii="Times New Roman" w:hAnsi="Times New Roman"/>
                <w:sz w:val="20"/>
                <w:szCs w:val="24"/>
              </w:rPr>
            </w:pPr>
            <w:r w:rsidRPr="003E743A">
              <w:rPr>
                <w:rFonts w:ascii="Times New Roman" w:hAnsi="Times New Roman"/>
                <w:sz w:val="20"/>
                <w:szCs w:val="24"/>
              </w:rPr>
              <w:t>Mineure</w:t>
            </w:r>
          </w:p>
        </w:tc>
      </w:tr>
    </w:tbl>
    <w:p w:rsidR="004900F4" w:rsidRDefault="004900F4" w:rsidP="007F3DC3">
      <w:pPr>
        <w:spacing w:after="0" w:line="240" w:lineRule="auto"/>
        <w:jc w:val="both"/>
        <w:rPr>
          <w:rFonts w:ascii="Times New Roman" w:eastAsia="Calibri" w:hAnsi="Times New Roman" w:cs="Times New Roman"/>
          <w:sz w:val="18"/>
          <w:szCs w:val="18"/>
        </w:rPr>
      </w:pPr>
    </w:p>
    <w:p w:rsidR="007F3DC3" w:rsidRDefault="007F3DC3" w:rsidP="007F3DC3">
      <w:pPr>
        <w:spacing w:after="0" w:line="240" w:lineRule="auto"/>
        <w:jc w:val="both"/>
        <w:rPr>
          <w:rFonts w:ascii="Times New Roman" w:eastAsia="Calibri" w:hAnsi="Times New Roman" w:cs="Times New Roman"/>
          <w:b/>
          <w:sz w:val="20"/>
          <w:szCs w:val="20"/>
        </w:rPr>
      </w:pPr>
      <w:r w:rsidRPr="003E743A">
        <w:rPr>
          <w:rFonts w:ascii="Times New Roman" w:eastAsia="Calibri" w:hAnsi="Times New Roman" w:cs="Times New Roman"/>
          <w:sz w:val="18"/>
          <w:szCs w:val="18"/>
        </w:rPr>
        <w:t xml:space="preserve">       </w:t>
      </w:r>
      <w:r w:rsidR="00E15410">
        <w:rPr>
          <w:rFonts w:ascii="Times New Roman" w:eastAsia="Calibri" w:hAnsi="Times New Roman" w:cs="Times New Roman"/>
          <w:b/>
          <w:sz w:val="20"/>
          <w:szCs w:val="20"/>
        </w:rPr>
        <w:t>Source : ECI, 2020</w:t>
      </w:r>
    </w:p>
    <w:p w:rsidR="004900F4" w:rsidRDefault="002B551D" w:rsidP="007F3DC3">
      <w:pPr>
        <w:spacing w:after="0" w:line="240" w:lineRule="auto"/>
        <w:jc w:val="both"/>
        <w:rPr>
          <w:rFonts w:ascii="Times New Roman" w:eastAsia="Calibri" w:hAnsi="Times New Roman" w:cs="Times New Roman"/>
          <w:b/>
          <w:sz w:val="20"/>
          <w:szCs w:val="20"/>
        </w:rPr>
      </w:pPr>
      <w:r w:rsidRPr="002B551D">
        <w:rPr>
          <w:rFonts w:ascii="Times New Roman" w:eastAsia="Calibri" w:hAnsi="Times New Roman" w:cs="Times New Roman"/>
          <w:b/>
          <w:sz w:val="20"/>
          <w:szCs w:val="20"/>
        </w:rPr>
        <w:t>L’interaction de ces critères est évaluée comme suit :</w:t>
      </w:r>
      <w:r w:rsidR="00E13E42">
        <w:rPr>
          <w:rFonts w:ascii="Times New Roman" w:eastAsia="Calibri" w:hAnsi="Times New Roman" w:cs="Times New Roman"/>
          <w:b/>
          <w:sz w:val="20"/>
          <w:szCs w:val="20"/>
        </w:rPr>
        <w:t xml:space="preserve">     Importance de l’impact = Intensité *</w:t>
      </w:r>
      <w:r w:rsidR="004900F4">
        <w:rPr>
          <w:rFonts w:ascii="Times New Roman" w:eastAsia="Calibri" w:hAnsi="Times New Roman" w:cs="Times New Roman"/>
          <w:b/>
          <w:sz w:val="20"/>
          <w:szCs w:val="20"/>
        </w:rPr>
        <w:t xml:space="preserve"> Etendue * </w:t>
      </w:r>
      <w:r w:rsidR="00E13E42">
        <w:rPr>
          <w:rFonts w:ascii="Times New Roman" w:eastAsia="Calibri" w:hAnsi="Times New Roman" w:cs="Times New Roman"/>
          <w:b/>
          <w:sz w:val="20"/>
          <w:szCs w:val="20"/>
        </w:rPr>
        <w:t>Durée</w:t>
      </w:r>
    </w:p>
    <w:p w:rsidR="00E13E42" w:rsidRDefault="00E13E42" w:rsidP="007F3DC3">
      <w:pPr>
        <w:spacing w:after="0" w:line="240" w:lineRule="auto"/>
        <w:jc w:val="both"/>
        <w:rPr>
          <w:rFonts w:ascii="Times New Roman" w:eastAsia="Calibri" w:hAnsi="Times New Roman" w:cs="Times New Roman"/>
          <w:b/>
          <w:sz w:val="20"/>
          <w:szCs w:val="20"/>
        </w:rPr>
      </w:pPr>
      <w:r>
        <w:rPr>
          <w:rFonts w:ascii="Times New Roman" w:eastAsia="Calibri" w:hAnsi="Times New Roman" w:cs="Times New Roman"/>
          <w:b/>
          <w:sz w:val="20"/>
          <w:szCs w:val="20"/>
        </w:rPr>
        <w:t xml:space="preserve">Exemple :  Importance </w:t>
      </w:r>
      <w:r w:rsidR="00D044DA">
        <w:rPr>
          <w:rFonts w:ascii="Times New Roman" w:eastAsia="Calibri" w:hAnsi="Times New Roman" w:cs="Times New Roman"/>
          <w:b/>
          <w:sz w:val="20"/>
          <w:szCs w:val="20"/>
        </w:rPr>
        <w:t xml:space="preserve">impact </w:t>
      </w:r>
      <w:r w:rsidR="002B551D">
        <w:rPr>
          <w:rFonts w:ascii="Times New Roman" w:eastAsia="Calibri" w:hAnsi="Times New Roman" w:cs="Times New Roman"/>
          <w:b/>
          <w:sz w:val="20"/>
          <w:szCs w:val="20"/>
        </w:rPr>
        <w:t>négatif Majeure</w:t>
      </w:r>
      <w:r w:rsidR="00D044DA">
        <w:rPr>
          <w:rFonts w:ascii="Times New Roman" w:eastAsia="Calibri" w:hAnsi="Times New Roman" w:cs="Times New Roman"/>
          <w:b/>
          <w:sz w:val="20"/>
          <w:szCs w:val="20"/>
        </w:rPr>
        <w:t xml:space="preserve"> (125) = Fort (5) * Régionale (5) * Longue (5)</w:t>
      </w:r>
    </w:p>
    <w:p w:rsidR="004900F4" w:rsidRDefault="002B551D" w:rsidP="00FA3FAE">
      <w:pPr>
        <w:pStyle w:val="PargrafodaLista"/>
        <w:numPr>
          <w:ilvl w:val="0"/>
          <w:numId w:val="42"/>
        </w:numPr>
        <w:spacing w:after="0" w:line="240" w:lineRule="auto"/>
        <w:jc w:val="both"/>
        <w:rPr>
          <w:rFonts w:ascii="Times New Roman" w:hAnsi="Times New Roman"/>
          <w:b/>
        </w:rPr>
      </w:pPr>
      <w:r w:rsidRPr="002B551D">
        <w:rPr>
          <w:rFonts w:ascii="Times New Roman" w:hAnsi="Times New Roman"/>
          <w:b/>
        </w:rPr>
        <w:t>Majeure si supérieure à 45 ; Moyenne si inférieure ou égale à 45 et supérieurs ou égale à 25 ; mineure si inférieure à 25.</w:t>
      </w:r>
    </w:p>
    <w:p w:rsidR="0019769C" w:rsidRPr="002B551D" w:rsidRDefault="0019769C" w:rsidP="0019769C">
      <w:pPr>
        <w:pStyle w:val="PargrafodaLista"/>
        <w:spacing w:after="0" w:line="240" w:lineRule="auto"/>
        <w:ind w:left="1068"/>
        <w:jc w:val="both"/>
        <w:rPr>
          <w:rFonts w:ascii="Times New Roman" w:hAnsi="Times New Roman"/>
          <w:b/>
        </w:rPr>
      </w:pPr>
    </w:p>
    <w:p w:rsidR="007F3DC3" w:rsidRPr="00615465" w:rsidRDefault="00615465" w:rsidP="00615465">
      <w:pPr>
        <w:pStyle w:val="PargrafodaLista"/>
        <w:keepNext/>
        <w:spacing w:before="240" w:after="240"/>
        <w:ind w:left="1158" w:right="284" w:firstLine="258"/>
        <w:jc w:val="both"/>
        <w:outlineLvl w:val="2"/>
        <w:rPr>
          <w:rFonts w:ascii="Times New Roman" w:hAnsi="Times New Roman"/>
          <w:b/>
          <w:sz w:val="24"/>
          <w:szCs w:val="24"/>
          <w:lang w:val="fr-FR" w:eastAsia="fr-FR"/>
        </w:rPr>
      </w:pPr>
      <w:bookmarkStart w:id="304" w:name="_Toc477774488"/>
      <w:bookmarkStart w:id="305" w:name="_Toc491267553"/>
      <w:bookmarkStart w:id="306" w:name="_Toc505616468"/>
      <w:bookmarkStart w:id="307" w:name="_Toc515981060"/>
      <w:bookmarkStart w:id="308" w:name="_Toc535396948"/>
      <w:bookmarkStart w:id="309" w:name="_Toc6310488"/>
      <w:bookmarkStart w:id="310" w:name="_Toc51072570"/>
      <w:r>
        <w:rPr>
          <w:rFonts w:ascii="Times New Roman" w:hAnsi="Times New Roman"/>
          <w:b/>
          <w:sz w:val="24"/>
          <w:szCs w:val="24"/>
          <w:lang w:val="fr-FR" w:eastAsia="fr-FR"/>
        </w:rPr>
        <w:t>6.1.3.</w:t>
      </w:r>
      <w:r w:rsidR="007F3DC3" w:rsidRPr="00615465">
        <w:rPr>
          <w:rFonts w:ascii="Times New Roman" w:hAnsi="Times New Roman"/>
          <w:b/>
          <w:sz w:val="24"/>
          <w:szCs w:val="24"/>
          <w:lang w:val="fr-FR" w:eastAsia="fr-FR"/>
        </w:rPr>
        <w:t xml:space="preserve"> Formulation de mesures d’atténuation</w:t>
      </w:r>
      <w:bookmarkEnd w:id="304"/>
      <w:bookmarkEnd w:id="305"/>
      <w:bookmarkEnd w:id="306"/>
      <w:bookmarkEnd w:id="307"/>
      <w:bookmarkEnd w:id="308"/>
      <w:bookmarkEnd w:id="309"/>
      <w:bookmarkEnd w:id="310"/>
    </w:p>
    <w:p w:rsidR="007F3DC3" w:rsidRPr="003E743A" w:rsidRDefault="007F3DC3" w:rsidP="00A476E5">
      <w:pPr>
        <w:ind w:left="-284"/>
        <w:jc w:val="both"/>
        <w:rPr>
          <w:rFonts w:ascii="Times New Roman" w:hAnsi="Times New Roman" w:cs="Times New Roman"/>
          <w:sz w:val="24"/>
          <w:szCs w:val="24"/>
        </w:rPr>
      </w:pPr>
      <w:r w:rsidRPr="003E743A">
        <w:rPr>
          <w:rFonts w:ascii="Times New Roman" w:hAnsi="Times New Roman" w:cs="Times New Roman"/>
          <w:sz w:val="24"/>
          <w:szCs w:val="24"/>
        </w:rPr>
        <w:t>Une fois les impacts négatifs caractérisés suivant leur importance, la procédure de prise en charge des impacts et des risques significatifs a été formulée à travers des mesures d’atténuation, établies non seulement sur la base de leur viabilité et de leur faisabilité (technique et financière), mais aussi et surtout à des niveaux jugés acceptables pour la qualité de l’environnement physique, biologique, socio-économique et culturel.</w:t>
      </w:r>
    </w:p>
    <w:p w:rsidR="007F3DC3" w:rsidRDefault="007F3DC3" w:rsidP="00A476E5">
      <w:pPr>
        <w:ind w:left="-284"/>
        <w:jc w:val="both"/>
        <w:rPr>
          <w:rFonts w:ascii="Times New Roman" w:hAnsi="Times New Roman" w:cs="Times New Roman"/>
          <w:sz w:val="24"/>
          <w:szCs w:val="24"/>
        </w:rPr>
      </w:pPr>
      <w:r w:rsidRPr="003E743A">
        <w:rPr>
          <w:rFonts w:ascii="Times New Roman" w:hAnsi="Times New Roman" w:cs="Times New Roman"/>
          <w:sz w:val="24"/>
          <w:szCs w:val="24"/>
        </w:rPr>
        <w:t xml:space="preserve">L’ensemble des mesures d’atténuation est consigné dans un Plan de Gestion Environnementale et Sociale (PGES), qui inclut les modalités de sa mise en œuvre, les mesures de suivi et de surveillance déclinant les paramètres environnementaux et sociaux à suivre ainsi que les articulations à mettre en place pour une mise en œuvre efficiente des actions envisagées. </w:t>
      </w:r>
    </w:p>
    <w:p w:rsidR="007F3DC3" w:rsidRDefault="00615465" w:rsidP="00FC410F">
      <w:pPr>
        <w:pStyle w:val="PargrafodaLista"/>
        <w:keepNext/>
        <w:spacing w:before="240" w:after="240"/>
        <w:ind w:left="450" w:right="284" w:hanging="450"/>
        <w:jc w:val="both"/>
        <w:outlineLvl w:val="1"/>
        <w:rPr>
          <w:rFonts w:ascii="Times New Roman" w:hAnsi="Times New Roman"/>
          <w:b/>
          <w:sz w:val="24"/>
          <w:szCs w:val="24"/>
          <w:lang w:val="fr-FR" w:eastAsia="fr-FR"/>
        </w:rPr>
      </w:pPr>
      <w:bookmarkStart w:id="311" w:name="_Toc515981061"/>
      <w:r w:rsidRPr="00FC410F">
        <w:rPr>
          <w:rFonts w:ascii="Times New Roman" w:hAnsi="Times New Roman"/>
          <w:b/>
          <w:sz w:val="24"/>
          <w:szCs w:val="24"/>
          <w:lang w:val="fr-FR" w:eastAsia="fr-FR"/>
        </w:rPr>
        <w:lastRenderedPageBreak/>
        <w:t xml:space="preserve"> </w:t>
      </w:r>
      <w:r w:rsidR="007F3DC3" w:rsidRPr="00FC410F">
        <w:rPr>
          <w:rFonts w:ascii="Times New Roman" w:hAnsi="Times New Roman"/>
          <w:b/>
          <w:sz w:val="24"/>
          <w:szCs w:val="24"/>
          <w:lang w:val="fr-FR" w:eastAsia="fr-FR"/>
        </w:rPr>
        <w:t xml:space="preserve"> </w:t>
      </w:r>
      <w:bookmarkStart w:id="312" w:name="_Toc535396949"/>
      <w:bookmarkStart w:id="313" w:name="_Toc6310489"/>
      <w:bookmarkStart w:id="314" w:name="_Toc51072571"/>
      <w:r w:rsidR="00FC410F">
        <w:rPr>
          <w:rFonts w:ascii="Times New Roman" w:hAnsi="Times New Roman"/>
          <w:b/>
          <w:sz w:val="24"/>
          <w:szCs w:val="24"/>
          <w:lang w:val="fr-FR" w:eastAsia="fr-FR"/>
        </w:rPr>
        <w:t>6</w:t>
      </w:r>
      <w:r w:rsidR="007F3DC3" w:rsidRPr="00FC410F">
        <w:rPr>
          <w:rFonts w:ascii="Times New Roman" w:hAnsi="Times New Roman"/>
          <w:b/>
          <w:sz w:val="24"/>
          <w:szCs w:val="24"/>
          <w:lang w:val="fr-FR" w:eastAsia="fr-FR"/>
        </w:rPr>
        <w:t>.2. IDENTIFICATION ET CARACTERISATION DES IMPACTS ATTENDUS</w:t>
      </w:r>
      <w:bookmarkEnd w:id="311"/>
      <w:bookmarkEnd w:id="312"/>
      <w:bookmarkEnd w:id="313"/>
      <w:bookmarkEnd w:id="314"/>
    </w:p>
    <w:p w:rsidR="00FC410F" w:rsidRPr="00FC410F" w:rsidRDefault="00FC410F" w:rsidP="00FC410F">
      <w:pPr>
        <w:pStyle w:val="PargrafodaLista"/>
        <w:keepNext/>
        <w:spacing w:before="240" w:after="240"/>
        <w:ind w:left="450" w:right="284" w:hanging="450"/>
        <w:jc w:val="both"/>
        <w:rPr>
          <w:rFonts w:ascii="Times New Roman" w:hAnsi="Times New Roman"/>
          <w:b/>
          <w:sz w:val="24"/>
          <w:szCs w:val="24"/>
          <w:lang w:val="fr-FR" w:eastAsia="fr-FR"/>
        </w:rPr>
      </w:pPr>
    </w:p>
    <w:p w:rsidR="007F3DC3" w:rsidRPr="00FC410F" w:rsidRDefault="00FC410F" w:rsidP="00FC410F">
      <w:pPr>
        <w:pStyle w:val="PargrafodaLista"/>
        <w:keepNext/>
        <w:spacing w:before="240" w:after="240"/>
        <w:ind w:left="1158" w:right="284" w:firstLine="258"/>
        <w:jc w:val="both"/>
        <w:outlineLvl w:val="2"/>
        <w:rPr>
          <w:rFonts w:ascii="Times New Roman" w:hAnsi="Times New Roman"/>
          <w:b/>
          <w:sz w:val="24"/>
          <w:szCs w:val="24"/>
          <w:lang w:val="fr-FR" w:eastAsia="fr-FR"/>
        </w:rPr>
      </w:pPr>
      <w:bookmarkStart w:id="315" w:name="_Toc477774490"/>
      <w:bookmarkStart w:id="316" w:name="_Toc491267555"/>
      <w:bookmarkStart w:id="317" w:name="_Toc505616470"/>
      <w:bookmarkStart w:id="318" w:name="_Toc515981062"/>
      <w:bookmarkStart w:id="319" w:name="_Toc535396950"/>
      <w:bookmarkStart w:id="320" w:name="_Toc6310490"/>
      <w:bookmarkStart w:id="321" w:name="_Toc51072572"/>
      <w:r>
        <w:rPr>
          <w:rFonts w:ascii="Times New Roman" w:hAnsi="Times New Roman"/>
          <w:b/>
          <w:sz w:val="24"/>
          <w:szCs w:val="24"/>
          <w:lang w:val="fr-FR" w:eastAsia="fr-FR"/>
        </w:rPr>
        <w:t>6</w:t>
      </w:r>
      <w:r w:rsidR="007F3DC3" w:rsidRPr="00FC410F">
        <w:rPr>
          <w:rFonts w:ascii="Times New Roman" w:hAnsi="Times New Roman"/>
          <w:b/>
          <w:sz w:val="24"/>
          <w:szCs w:val="24"/>
          <w:lang w:val="fr-FR" w:eastAsia="fr-FR"/>
        </w:rPr>
        <w:t>.2.1 Impacts positifs attendus du projet</w:t>
      </w:r>
      <w:bookmarkEnd w:id="315"/>
      <w:bookmarkEnd w:id="316"/>
      <w:bookmarkEnd w:id="317"/>
      <w:bookmarkEnd w:id="318"/>
      <w:bookmarkEnd w:id="319"/>
      <w:bookmarkEnd w:id="320"/>
      <w:bookmarkEnd w:id="321"/>
    </w:p>
    <w:p w:rsidR="008311E6" w:rsidRDefault="007F3DC3" w:rsidP="00725370">
      <w:pPr>
        <w:ind w:left="-284"/>
        <w:jc w:val="both"/>
        <w:rPr>
          <w:rFonts w:ascii="Times New Roman" w:hAnsi="Times New Roman" w:cs="Times New Roman"/>
          <w:sz w:val="24"/>
          <w:szCs w:val="24"/>
        </w:rPr>
      </w:pPr>
      <w:r w:rsidRPr="003E743A">
        <w:rPr>
          <w:rFonts w:ascii="Times New Roman" w:hAnsi="Times New Roman" w:cs="Times New Roman"/>
          <w:sz w:val="24"/>
          <w:szCs w:val="24"/>
        </w:rPr>
        <w:t xml:space="preserve">Le </w:t>
      </w:r>
      <w:r w:rsidR="008311E6">
        <w:rPr>
          <w:rFonts w:ascii="Times New Roman" w:hAnsi="Times New Roman" w:cs="Times New Roman"/>
          <w:sz w:val="24"/>
          <w:szCs w:val="24"/>
        </w:rPr>
        <w:t xml:space="preserve">PUASEE-FA </w:t>
      </w:r>
      <w:r w:rsidRPr="003E743A">
        <w:rPr>
          <w:rFonts w:ascii="Times New Roman" w:hAnsi="Times New Roman" w:cs="Times New Roman"/>
          <w:sz w:val="24"/>
          <w:szCs w:val="24"/>
        </w:rPr>
        <w:t>constitue une dimension très importante pour le développement économique et social de la Guinée Bissau.</w:t>
      </w:r>
    </w:p>
    <w:p w:rsidR="007F3DC3" w:rsidRPr="003E743A" w:rsidRDefault="008311E6" w:rsidP="00725370">
      <w:pPr>
        <w:ind w:left="-284"/>
        <w:jc w:val="both"/>
        <w:rPr>
          <w:rFonts w:ascii="Times New Roman" w:hAnsi="Times New Roman" w:cs="Times New Roman"/>
          <w:sz w:val="24"/>
          <w:szCs w:val="24"/>
        </w:rPr>
      </w:pPr>
      <w:r>
        <w:rPr>
          <w:rFonts w:ascii="Times New Roman" w:hAnsi="Times New Roman" w:cs="Times New Roman"/>
          <w:sz w:val="24"/>
          <w:szCs w:val="24"/>
        </w:rPr>
        <w:t xml:space="preserve">Les </w:t>
      </w:r>
      <w:r w:rsidR="00497EE3">
        <w:rPr>
          <w:rFonts w:ascii="Times New Roman" w:hAnsi="Times New Roman" w:cs="Times New Roman"/>
          <w:sz w:val="24"/>
          <w:szCs w:val="24"/>
        </w:rPr>
        <w:t>activités</w:t>
      </w:r>
      <w:r>
        <w:rPr>
          <w:rFonts w:ascii="Times New Roman" w:hAnsi="Times New Roman" w:cs="Times New Roman"/>
          <w:sz w:val="24"/>
          <w:szCs w:val="24"/>
        </w:rPr>
        <w:t xml:space="preserve"> </w:t>
      </w:r>
      <w:r w:rsidR="00D23BE9">
        <w:rPr>
          <w:rFonts w:ascii="Times New Roman" w:hAnsi="Times New Roman" w:cs="Times New Roman"/>
          <w:sz w:val="24"/>
          <w:szCs w:val="24"/>
        </w:rPr>
        <w:t>prévu</w:t>
      </w:r>
      <w:r w:rsidR="00497EE3">
        <w:rPr>
          <w:rFonts w:ascii="Times New Roman" w:hAnsi="Times New Roman" w:cs="Times New Roman"/>
          <w:sz w:val="24"/>
          <w:szCs w:val="24"/>
        </w:rPr>
        <w:t>e</w:t>
      </w:r>
      <w:r w:rsidR="00D23BE9">
        <w:rPr>
          <w:rFonts w:ascii="Times New Roman" w:hAnsi="Times New Roman" w:cs="Times New Roman"/>
          <w:sz w:val="24"/>
          <w:szCs w:val="24"/>
        </w:rPr>
        <w:t xml:space="preserve">s </w:t>
      </w:r>
      <w:r w:rsidR="007F3DC3" w:rsidRPr="003E743A">
        <w:rPr>
          <w:rFonts w:ascii="Times New Roman" w:hAnsi="Times New Roman" w:cs="Times New Roman"/>
          <w:sz w:val="24"/>
          <w:szCs w:val="24"/>
        </w:rPr>
        <w:t>lors de la réalisation des travaux et de l’exploitation de</w:t>
      </w:r>
      <w:r>
        <w:rPr>
          <w:rFonts w:ascii="Times New Roman" w:hAnsi="Times New Roman" w:cs="Times New Roman"/>
          <w:sz w:val="24"/>
          <w:szCs w:val="24"/>
        </w:rPr>
        <w:t xml:space="preserve">s </w:t>
      </w:r>
      <w:r w:rsidR="00D23BE9">
        <w:rPr>
          <w:rFonts w:ascii="Times New Roman" w:hAnsi="Times New Roman" w:cs="Times New Roman"/>
          <w:sz w:val="24"/>
          <w:szCs w:val="24"/>
        </w:rPr>
        <w:t>réservoirs</w:t>
      </w:r>
      <w:r w:rsidR="007F3DC3" w:rsidRPr="003E743A">
        <w:rPr>
          <w:rFonts w:ascii="Times New Roman" w:hAnsi="Times New Roman" w:cs="Times New Roman"/>
          <w:sz w:val="24"/>
          <w:szCs w:val="24"/>
        </w:rPr>
        <w:t xml:space="preserve"> contribueront de façon significative à l’atteinte les objectifs des programmes nationaux pour améliorer les conditions de vie de la population</w:t>
      </w:r>
      <w:r w:rsidR="00D23BE9">
        <w:rPr>
          <w:rFonts w:ascii="Times New Roman" w:hAnsi="Times New Roman" w:cs="Times New Roman"/>
          <w:sz w:val="24"/>
          <w:szCs w:val="24"/>
        </w:rPr>
        <w:t xml:space="preserve">, de lutter contre les zones desservies par l’EAGB et de </w:t>
      </w:r>
      <w:r w:rsidR="00236033">
        <w:rPr>
          <w:rFonts w:ascii="Times New Roman" w:hAnsi="Times New Roman" w:cs="Times New Roman"/>
          <w:sz w:val="24"/>
          <w:szCs w:val="24"/>
        </w:rPr>
        <w:t xml:space="preserve">lutter contre les maladies </w:t>
      </w:r>
      <w:r w:rsidR="00497EE3">
        <w:rPr>
          <w:rFonts w:ascii="Times New Roman" w:hAnsi="Times New Roman" w:cs="Times New Roman"/>
          <w:sz w:val="24"/>
          <w:szCs w:val="24"/>
        </w:rPr>
        <w:t>hydriques que s’ouvre</w:t>
      </w:r>
      <w:r w:rsidR="00236033">
        <w:rPr>
          <w:rFonts w:ascii="Times New Roman" w:hAnsi="Times New Roman" w:cs="Times New Roman"/>
          <w:sz w:val="24"/>
          <w:szCs w:val="24"/>
        </w:rPr>
        <w:t xml:space="preserve"> la plupart de la population</w:t>
      </w:r>
      <w:r w:rsidR="007F3DC3" w:rsidRPr="003E743A">
        <w:rPr>
          <w:rFonts w:ascii="Times New Roman" w:hAnsi="Times New Roman" w:cs="Times New Roman"/>
          <w:sz w:val="24"/>
          <w:szCs w:val="24"/>
        </w:rPr>
        <w:t xml:space="preserve">. </w:t>
      </w:r>
    </w:p>
    <w:p w:rsidR="007F3DC3" w:rsidRPr="00FC410F" w:rsidRDefault="00FC410F" w:rsidP="00FC410F">
      <w:pPr>
        <w:pStyle w:val="PargrafodaLista"/>
        <w:keepNext/>
        <w:spacing w:before="240" w:after="240"/>
        <w:ind w:left="1866" w:right="284" w:firstLine="258"/>
        <w:jc w:val="both"/>
        <w:outlineLvl w:val="2"/>
        <w:rPr>
          <w:rFonts w:ascii="Times New Roman" w:hAnsi="Times New Roman"/>
          <w:b/>
          <w:sz w:val="24"/>
          <w:szCs w:val="24"/>
          <w:lang w:val="fr-FR" w:eastAsia="fr-FR"/>
        </w:rPr>
      </w:pPr>
      <w:bookmarkStart w:id="322" w:name="_Toc458154599"/>
      <w:bookmarkStart w:id="323" w:name="_Toc458156994"/>
      <w:bookmarkStart w:id="324" w:name="_Toc535396951"/>
      <w:bookmarkStart w:id="325" w:name="_Toc6310491"/>
      <w:bookmarkStart w:id="326" w:name="_Toc51072573"/>
      <w:r>
        <w:rPr>
          <w:rFonts w:ascii="Times New Roman" w:hAnsi="Times New Roman"/>
          <w:b/>
          <w:sz w:val="24"/>
          <w:szCs w:val="24"/>
          <w:lang w:val="fr-FR" w:eastAsia="fr-FR"/>
        </w:rPr>
        <w:t>6.</w:t>
      </w:r>
      <w:r w:rsidR="007F3DC3" w:rsidRPr="00FC410F">
        <w:rPr>
          <w:rFonts w:ascii="Times New Roman" w:hAnsi="Times New Roman"/>
          <w:b/>
          <w:sz w:val="24"/>
          <w:szCs w:val="24"/>
          <w:lang w:val="fr-FR" w:eastAsia="fr-FR"/>
        </w:rPr>
        <w:t>2.1.1.  En phase de pré-construction et construction du projet</w:t>
      </w:r>
      <w:bookmarkEnd w:id="322"/>
      <w:bookmarkEnd w:id="323"/>
      <w:bookmarkEnd w:id="324"/>
      <w:bookmarkEnd w:id="325"/>
      <w:bookmarkEnd w:id="326"/>
    </w:p>
    <w:p w:rsidR="004455A3" w:rsidRPr="0049645E" w:rsidRDefault="004455A3" w:rsidP="00FA3FAE">
      <w:pPr>
        <w:pStyle w:val="Listecouleur-Accent11"/>
        <w:numPr>
          <w:ilvl w:val="0"/>
          <w:numId w:val="79"/>
        </w:numPr>
        <w:spacing w:after="200"/>
        <w:rPr>
          <w:rFonts w:ascii="Times New Roman" w:hAnsi="Times New Roman"/>
          <w:b/>
          <w:sz w:val="24"/>
          <w:szCs w:val="24"/>
        </w:rPr>
      </w:pPr>
      <w:r w:rsidRPr="0049645E">
        <w:rPr>
          <w:rFonts w:ascii="Times New Roman" w:hAnsi="Times New Roman"/>
          <w:b/>
          <w:sz w:val="24"/>
          <w:szCs w:val="24"/>
        </w:rPr>
        <w:t xml:space="preserve">Impacts biophysiques positifs du </w:t>
      </w:r>
      <w:r w:rsidR="00260E99">
        <w:rPr>
          <w:rFonts w:ascii="Times New Roman" w:hAnsi="Times New Roman"/>
          <w:b/>
          <w:sz w:val="24"/>
          <w:szCs w:val="24"/>
          <w:lang w:val="fr-FR"/>
        </w:rPr>
        <w:t>sous-</w:t>
      </w:r>
      <w:r w:rsidRPr="0049645E">
        <w:rPr>
          <w:rFonts w:ascii="Times New Roman" w:hAnsi="Times New Roman"/>
          <w:b/>
          <w:sz w:val="24"/>
          <w:szCs w:val="24"/>
        </w:rPr>
        <w:t>projet</w:t>
      </w:r>
    </w:p>
    <w:p w:rsidR="004455A3" w:rsidRPr="00E85A11" w:rsidRDefault="004455A3" w:rsidP="004455A3">
      <w:pPr>
        <w:tabs>
          <w:tab w:val="left" w:pos="8789"/>
        </w:tabs>
        <w:spacing w:line="240" w:lineRule="auto"/>
        <w:ind w:left="-284" w:right="-850"/>
        <w:jc w:val="both"/>
        <w:rPr>
          <w:rFonts w:ascii="Times New Roman" w:hAnsi="Times New Roman"/>
        </w:rPr>
      </w:pPr>
      <w:r w:rsidRPr="00E85A11">
        <w:rPr>
          <w:rFonts w:ascii="Times New Roman" w:hAnsi="Times New Roman"/>
        </w:rPr>
        <w:t>Dans cette phase, il n’y a pas d’impact positif sur le milieu biophysique.</w:t>
      </w:r>
    </w:p>
    <w:p w:rsidR="004455A3" w:rsidRDefault="004455A3" w:rsidP="00FA3FAE">
      <w:pPr>
        <w:pStyle w:val="Listecouleur-Accent11"/>
        <w:numPr>
          <w:ilvl w:val="0"/>
          <w:numId w:val="79"/>
        </w:numPr>
        <w:spacing w:after="200"/>
        <w:rPr>
          <w:rFonts w:ascii="Times New Roman" w:hAnsi="Times New Roman"/>
          <w:b/>
          <w:sz w:val="24"/>
          <w:szCs w:val="24"/>
        </w:rPr>
      </w:pPr>
      <w:r w:rsidRPr="003E743A">
        <w:rPr>
          <w:rFonts w:ascii="Times New Roman" w:hAnsi="Times New Roman"/>
          <w:b/>
          <w:sz w:val="24"/>
          <w:szCs w:val="24"/>
        </w:rPr>
        <w:t xml:space="preserve">Impacts socioéconomiques positifs du </w:t>
      </w:r>
      <w:r w:rsidR="00260E99">
        <w:rPr>
          <w:rFonts w:ascii="Times New Roman" w:hAnsi="Times New Roman"/>
          <w:b/>
          <w:sz w:val="24"/>
          <w:szCs w:val="24"/>
          <w:lang w:val="fr-FR"/>
        </w:rPr>
        <w:t>sous-</w:t>
      </w:r>
      <w:r w:rsidRPr="003E743A">
        <w:rPr>
          <w:rFonts w:ascii="Times New Roman" w:hAnsi="Times New Roman"/>
          <w:b/>
          <w:sz w:val="24"/>
          <w:szCs w:val="24"/>
        </w:rPr>
        <w:t>projet</w:t>
      </w:r>
    </w:p>
    <w:p w:rsidR="004455A3" w:rsidRPr="003E743A" w:rsidRDefault="004455A3" w:rsidP="004455A3">
      <w:pPr>
        <w:pStyle w:val="Listecouleur-Accent11"/>
        <w:rPr>
          <w:rFonts w:ascii="Times New Roman" w:hAnsi="Times New Roman"/>
          <w:b/>
          <w:sz w:val="24"/>
          <w:szCs w:val="24"/>
        </w:rPr>
      </w:pPr>
    </w:p>
    <w:tbl>
      <w:tblPr>
        <w:tblpPr w:leftFromText="141" w:rightFromText="141" w:vertAnchor="text" w:horzAnchor="margin" w:tblpXSpec="right" w:tblpY="411"/>
        <w:tblW w:w="3153" w:type="dxa"/>
        <w:tblBorders>
          <w:top w:val="single" w:sz="4" w:space="0" w:color="auto"/>
          <w:left w:val="dashDotStroked" w:sz="24" w:space="0" w:color="auto"/>
          <w:bottom w:val="dashDotStroked" w:sz="24" w:space="0" w:color="auto"/>
          <w:right w:val="dashDotStroked" w:sz="24" w:space="0" w:color="auto"/>
          <w:insideH w:val="single" w:sz="4" w:space="0" w:color="auto"/>
          <w:insideV w:val="dashDotStroked" w:sz="24" w:space="0" w:color="auto"/>
        </w:tblBorders>
        <w:tblLook w:val="04A0" w:firstRow="1" w:lastRow="0" w:firstColumn="1" w:lastColumn="0" w:noHBand="0" w:noVBand="1"/>
      </w:tblPr>
      <w:tblGrid>
        <w:gridCol w:w="1507"/>
        <w:gridCol w:w="1190"/>
        <w:gridCol w:w="456"/>
      </w:tblGrid>
      <w:tr w:rsidR="007E3C4B" w:rsidRPr="00AA45E9" w:rsidTr="008E6D9C">
        <w:tc>
          <w:tcPr>
            <w:tcW w:w="3153" w:type="dxa"/>
            <w:gridSpan w:val="3"/>
            <w:tcBorders>
              <w:bottom w:val="single" w:sz="4" w:space="0" w:color="auto"/>
            </w:tcBorders>
            <w:shd w:val="clear" w:color="auto" w:fill="1F3864" w:themeFill="accent5" w:themeFillShade="80"/>
          </w:tcPr>
          <w:p w:rsidR="007E3C4B" w:rsidRPr="00867483" w:rsidRDefault="00797CAA" w:rsidP="00867483">
            <w:pPr>
              <w:spacing w:after="0" w:line="240" w:lineRule="auto"/>
              <w:jc w:val="center"/>
              <w:rPr>
                <w:rFonts w:ascii="Times New Roman" w:hAnsi="Times New Roman"/>
                <w:b/>
                <w:sz w:val="24"/>
                <w:szCs w:val="24"/>
              </w:rPr>
            </w:pPr>
            <w:r w:rsidRPr="00867483">
              <w:rPr>
                <w:rFonts w:ascii="Times New Roman" w:hAnsi="Times New Roman"/>
                <w:b/>
                <w:sz w:val="24"/>
                <w:szCs w:val="24"/>
              </w:rPr>
              <w:t>Caractérisation</w:t>
            </w:r>
            <w:r w:rsidR="007E3C4B" w:rsidRPr="00867483">
              <w:rPr>
                <w:rFonts w:ascii="Times New Roman" w:hAnsi="Times New Roman"/>
                <w:b/>
                <w:sz w:val="24"/>
                <w:szCs w:val="24"/>
              </w:rPr>
              <w:t xml:space="preserve"> de l’impact</w:t>
            </w:r>
          </w:p>
        </w:tc>
      </w:tr>
      <w:tr w:rsidR="0019769C" w:rsidRPr="00AA45E9" w:rsidTr="00D96D77">
        <w:tc>
          <w:tcPr>
            <w:tcW w:w="1507" w:type="dxa"/>
            <w:tcBorders>
              <w:bottom w:val="single" w:sz="4" w:space="0" w:color="auto"/>
              <w:right w:val="single" w:sz="4" w:space="0" w:color="auto"/>
            </w:tcBorders>
            <w:shd w:val="clear" w:color="auto" w:fill="1F3864" w:themeFill="accent5" w:themeFillShade="80"/>
          </w:tcPr>
          <w:p w:rsidR="0019769C" w:rsidRPr="00AA45E9" w:rsidRDefault="0019769C" w:rsidP="0019769C">
            <w:pPr>
              <w:spacing w:after="0" w:line="240" w:lineRule="auto"/>
              <w:jc w:val="center"/>
              <w:rPr>
                <w:rFonts w:ascii="Times New Roman" w:hAnsi="Times New Roman"/>
                <w:b/>
                <w:sz w:val="24"/>
                <w:szCs w:val="24"/>
              </w:rPr>
            </w:pPr>
            <w:r>
              <w:rPr>
                <w:rFonts w:ascii="Times New Roman" w:hAnsi="Times New Roman"/>
                <w:b/>
                <w:sz w:val="24"/>
                <w:szCs w:val="24"/>
              </w:rPr>
              <w:t xml:space="preserve">Nature </w:t>
            </w:r>
          </w:p>
        </w:tc>
        <w:tc>
          <w:tcPr>
            <w:tcW w:w="1646" w:type="dxa"/>
            <w:gridSpan w:val="2"/>
            <w:tcBorders>
              <w:left w:val="single" w:sz="4" w:space="0" w:color="auto"/>
              <w:bottom w:val="single" w:sz="4" w:space="0" w:color="auto"/>
            </w:tcBorders>
            <w:shd w:val="clear" w:color="auto" w:fill="auto"/>
          </w:tcPr>
          <w:p w:rsidR="0019769C" w:rsidRPr="00E96A04" w:rsidRDefault="0019769C" w:rsidP="00867483">
            <w:pPr>
              <w:spacing w:after="0" w:line="240" w:lineRule="auto"/>
              <w:jc w:val="center"/>
              <w:rPr>
                <w:rFonts w:ascii="Times New Roman" w:hAnsi="Times New Roman"/>
                <w:b/>
                <w:sz w:val="24"/>
                <w:szCs w:val="24"/>
              </w:rPr>
            </w:pPr>
            <w:r w:rsidRPr="00E96A04">
              <w:rPr>
                <w:rFonts w:ascii="Times New Roman" w:hAnsi="Times New Roman"/>
                <w:b/>
                <w:sz w:val="24"/>
                <w:szCs w:val="24"/>
              </w:rPr>
              <w:t>Positif</w:t>
            </w:r>
          </w:p>
        </w:tc>
      </w:tr>
      <w:tr w:rsidR="007E3C4B" w:rsidRPr="00AA45E9" w:rsidTr="008E6D9C">
        <w:tc>
          <w:tcPr>
            <w:tcW w:w="1507" w:type="dxa"/>
            <w:tcBorders>
              <w:bottom w:val="single" w:sz="4" w:space="0" w:color="auto"/>
              <w:right w:val="single" w:sz="4" w:space="0" w:color="auto"/>
            </w:tcBorders>
            <w:shd w:val="clear" w:color="auto" w:fill="1F3864" w:themeFill="accent5" w:themeFillShade="80"/>
          </w:tcPr>
          <w:p w:rsidR="007E3C4B" w:rsidRPr="00AA45E9" w:rsidRDefault="007E3C4B" w:rsidP="00867483">
            <w:pPr>
              <w:spacing w:after="0" w:line="240" w:lineRule="auto"/>
              <w:jc w:val="center"/>
              <w:rPr>
                <w:rFonts w:ascii="Times New Roman" w:hAnsi="Times New Roman"/>
                <w:b/>
                <w:sz w:val="24"/>
                <w:szCs w:val="24"/>
              </w:rPr>
            </w:pPr>
            <w:r w:rsidRPr="00AA45E9">
              <w:rPr>
                <w:rFonts w:ascii="Times New Roman" w:hAnsi="Times New Roman"/>
                <w:b/>
                <w:sz w:val="24"/>
                <w:szCs w:val="24"/>
              </w:rPr>
              <w:t>Intensité</w:t>
            </w:r>
          </w:p>
        </w:tc>
        <w:tc>
          <w:tcPr>
            <w:tcW w:w="1190" w:type="dxa"/>
            <w:tcBorders>
              <w:left w:val="single" w:sz="4" w:space="0" w:color="auto"/>
              <w:bottom w:val="single" w:sz="4" w:space="0" w:color="auto"/>
              <w:right w:val="single" w:sz="4" w:space="0" w:color="auto"/>
            </w:tcBorders>
            <w:shd w:val="clear" w:color="auto" w:fill="auto"/>
          </w:tcPr>
          <w:p w:rsidR="007E3C4B" w:rsidRPr="00867483" w:rsidRDefault="007E3C4B" w:rsidP="00867483">
            <w:pPr>
              <w:spacing w:after="0" w:line="240" w:lineRule="auto"/>
              <w:jc w:val="center"/>
              <w:rPr>
                <w:rFonts w:ascii="Times New Roman" w:hAnsi="Times New Roman"/>
                <w:sz w:val="24"/>
                <w:szCs w:val="24"/>
              </w:rPr>
            </w:pPr>
            <w:r w:rsidRPr="00867483">
              <w:rPr>
                <w:rFonts w:ascii="Times New Roman" w:hAnsi="Times New Roman"/>
                <w:sz w:val="24"/>
                <w:szCs w:val="24"/>
              </w:rPr>
              <w:t>Forte</w:t>
            </w:r>
          </w:p>
        </w:tc>
        <w:tc>
          <w:tcPr>
            <w:tcW w:w="456" w:type="dxa"/>
            <w:tcBorders>
              <w:left w:val="single" w:sz="4" w:space="0" w:color="auto"/>
              <w:bottom w:val="single" w:sz="4" w:space="0" w:color="auto"/>
            </w:tcBorders>
            <w:shd w:val="clear" w:color="auto" w:fill="auto"/>
          </w:tcPr>
          <w:p w:rsidR="007E3C4B" w:rsidRPr="00867483" w:rsidRDefault="007E3C4B" w:rsidP="00867483">
            <w:pPr>
              <w:spacing w:after="0" w:line="240" w:lineRule="auto"/>
              <w:jc w:val="center"/>
              <w:rPr>
                <w:rFonts w:ascii="Times New Roman" w:hAnsi="Times New Roman"/>
                <w:sz w:val="24"/>
                <w:szCs w:val="24"/>
              </w:rPr>
            </w:pPr>
            <w:r w:rsidRPr="00867483">
              <w:rPr>
                <w:rFonts w:ascii="Times New Roman" w:hAnsi="Times New Roman"/>
                <w:sz w:val="24"/>
                <w:szCs w:val="24"/>
              </w:rPr>
              <w:t>5</w:t>
            </w:r>
          </w:p>
        </w:tc>
      </w:tr>
      <w:tr w:rsidR="007E3C4B" w:rsidRPr="00AA45E9" w:rsidTr="008E6D9C">
        <w:tc>
          <w:tcPr>
            <w:tcW w:w="1507" w:type="dxa"/>
            <w:tcBorders>
              <w:bottom w:val="single" w:sz="4" w:space="0" w:color="auto"/>
              <w:right w:val="single" w:sz="4" w:space="0" w:color="auto"/>
            </w:tcBorders>
            <w:shd w:val="clear" w:color="auto" w:fill="1F3864" w:themeFill="accent5" w:themeFillShade="80"/>
          </w:tcPr>
          <w:p w:rsidR="007E3C4B" w:rsidRPr="00AA45E9" w:rsidRDefault="007E3C4B" w:rsidP="00867483">
            <w:pPr>
              <w:spacing w:after="0" w:line="240" w:lineRule="auto"/>
              <w:jc w:val="center"/>
              <w:rPr>
                <w:rFonts w:ascii="Times New Roman" w:hAnsi="Times New Roman"/>
                <w:sz w:val="24"/>
                <w:szCs w:val="24"/>
              </w:rPr>
            </w:pPr>
            <w:r w:rsidRPr="00AA45E9">
              <w:rPr>
                <w:rFonts w:ascii="Times New Roman" w:hAnsi="Times New Roman"/>
                <w:b/>
                <w:sz w:val="24"/>
                <w:szCs w:val="24"/>
              </w:rPr>
              <w:t>Etendue</w:t>
            </w:r>
          </w:p>
        </w:tc>
        <w:tc>
          <w:tcPr>
            <w:tcW w:w="1190" w:type="dxa"/>
            <w:tcBorders>
              <w:left w:val="single" w:sz="4" w:space="0" w:color="auto"/>
              <w:bottom w:val="single" w:sz="4" w:space="0" w:color="auto"/>
              <w:right w:val="single" w:sz="4" w:space="0" w:color="auto"/>
            </w:tcBorders>
          </w:tcPr>
          <w:p w:rsidR="007E3C4B" w:rsidRPr="00867483" w:rsidRDefault="007E3C4B" w:rsidP="00867483">
            <w:pPr>
              <w:spacing w:after="0" w:line="240" w:lineRule="auto"/>
              <w:jc w:val="center"/>
              <w:rPr>
                <w:rFonts w:ascii="Times New Roman" w:hAnsi="Times New Roman"/>
                <w:sz w:val="24"/>
                <w:szCs w:val="24"/>
              </w:rPr>
            </w:pPr>
            <w:r w:rsidRPr="00867483">
              <w:rPr>
                <w:rFonts w:ascii="Times New Roman" w:hAnsi="Times New Roman"/>
                <w:sz w:val="24"/>
                <w:szCs w:val="24"/>
              </w:rPr>
              <w:t>Régionale</w:t>
            </w:r>
          </w:p>
        </w:tc>
        <w:tc>
          <w:tcPr>
            <w:tcW w:w="456" w:type="dxa"/>
            <w:tcBorders>
              <w:left w:val="single" w:sz="4" w:space="0" w:color="auto"/>
              <w:bottom w:val="single" w:sz="4" w:space="0" w:color="auto"/>
            </w:tcBorders>
          </w:tcPr>
          <w:p w:rsidR="007E3C4B" w:rsidRPr="00867483" w:rsidRDefault="007E3C4B" w:rsidP="00867483">
            <w:pPr>
              <w:spacing w:after="0" w:line="240" w:lineRule="auto"/>
              <w:jc w:val="center"/>
              <w:rPr>
                <w:rFonts w:ascii="Times New Roman" w:hAnsi="Times New Roman"/>
                <w:sz w:val="24"/>
                <w:szCs w:val="24"/>
              </w:rPr>
            </w:pPr>
            <w:r w:rsidRPr="00867483">
              <w:rPr>
                <w:rFonts w:ascii="Times New Roman" w:hAnsi="Times New Roman"/>
                <w:sz w:val="24"/>
                <w:szCs w:val="24"/>
              </w:rPr>
              <w:t>5</w:t>
            </w:r>
          </w:p>
        </w:tc>
      </w:tr>
      <w:tr w:rsidR="007E3C4B" w:rsidRPr="00AA45E9" w:rsidTr="008E6D9C">
        <w:tc>
          <w:tcPr>
            <w:tcW w:w="1507" w:type="dxa"/>
            <w:tcBorders>
              <w:bottom w:val="single" w:sz="4" w:space="0" w:color="auto"/>
              <w:right w:val="single" w:sz="4" w:space="0" w:color="auto"/>
            </w:tcBorders>
            <w:shd w:val="clear" w:color="auto" w:fill="1F3864" w:themeFill="accent5" w:themeFillShade="80"/>
          </w:tcPr>
          <w:p w:rsidR="007E3C4B" w:rsidRDefault="007E3C4B" w:rsidP="00867483">
            <w:pPr>
              <w:spacing w:after="0" w:line="240" w:lineRule="auto"/>
              <w:jc w:val="center"/>
              <w:rPr>
                <w:rFonts w:ascii="Times New Roman" w:hAnsi="Times New Roman"/>
                <w:sz w:val="24"/>
                <w:szCs w:val="24"/>
              </w:rPr>
            </w:pPr>
            <w:r w:rsidRPr="00AA45E9">
              <w:rPr>
                <w:rFonts w:ascii="Times New Roman" w:hAnsi="Times New Roman"/>
                <w:b/>
                <w:sz w:val="24"/>
                <w:szCs w:val="24"/>
              </w:rPr>
              <w:t>Durée</w:t>
            </w:r>
          </w:p>
        </w:tc>
        <w:tc>
          <w:tcPr>
            <w:tcW w:w="1190" w:type="dxa"/>
            <w:tcBorders>
              <w:left w:val="single" w:sz="4" w:space="0" w:color="auto"/>
              <w:bottom w:val="single" w:sz="4" w:space="0" w:color="auto"/>
              <w:right w:val="single" w:sz="4" w:space="0" w:color="auto"/>
            </w:tcBorders>
          </w:tcPr>
          <w:p w:rsidR="007E3C4B" w:rsidRPr="00867483" w:rsidRDefault="007E3C4B" w:rsidP="00867483">
            <w:pPr>
              <w:spacing w:after="0" w:line="240" w:lineRule="auto"/>
              <w:jc w:val="center"/>
              <w:rPr>
                <w:rFonts w:ascii="Times New Roman" w:hAnsi="Times New Roman"/>
                <w:sz w:val="24"/>
                <w:szCs w:val="24"/>
              </w:rPr>
            </w:pPr>
            <w:r w:rsidRPr="00867483">
              <w:rPr>
                <w:rFonts w:ascii="Times New Roman" w:hAnsi="Times New Roman"/>
                <w:sz w:val="24"/>
                <w:szCs w:val="24"/>
              </w:rPr>
              <w:t>Courte</w:t>
            </w:r>
          </w:p>
        </w:tc>
        <w:tc>
          <w:tcPr>
            <w:tcW w:w="456" w:type="dxa"/>
            <w:tcBorders>
              <w:left w:val="single" w:sz="4" w:space="0" w:color="auto"/>
              <w:bottom w:val="single" w:sz="4" w:space="0" w:color="auto"/>
            </w:tcBorders>
          </w:tcPr>
          <w:p w:rsidR="007E3C4B" w:rsidRPr="00867483" w:rsidRDefault="007E3C4B" w:rsidP="00867483">
            <w:pPr>
              <w:spacing w:after="0" w:line="240" w:lineRule="auto"/>
              <w:jc w:val="center"/>
              <w:rPr>
                <w:rFonts w:ascii="Times New Roman" w:hAnsi="Times New Roman"/>
                <w:sz w:val="24"/>
                <w:szCs w:val="24"/>
              </w:rPr>
            </w:pPr>
            <w:r w:rsidRPr="00867483">
              <w:rPr>
                <w:rFonts w:ascii="Times New Roman" w:hAnsi="Times New Roman"/>
                <w:sz w:val="24"/>
                <w:szCs w:val="24"/>
              </w:rPr>
              <w:t>1</w:t>
            </w:r>
          </w:p>
        </w:tc>
      </w:tr>
      <w:tr w:rsidR="007E3C4B" w:rsidRPr="00AA45E9" w:rsidTr="00FC410F">
        <w:tc>
          <w:tcPr>
            <w:tcW w:w="3153" w:type="dxa"/>
            <w:gridSpan w:val="3"/>
            <w:tcBorders>
              <w:bottom w:val="single" w:sz="4" w:space="0" w:color="auto"/>
            </w:tcBorders>
            <w:shd w:val="clear" w:color="auto" w:fill="FFFFFF" w:themeFill="background1"/>
          </w:tcPr>
          <w:p w:rsidR="007E3C4B" w:rsidRPr="00867483" w:rsidRDefault="007E3C4B" w:rsidP="00867483">
            <w:pPr>
              <w:spacing w:after="0" w:line="240" w:lineRule="auto"/>
              <w:jc w:val="center"/>
              <w:rPr>
                <w:rFonts w:ascii="Times New Roman" w:hAnsi="Times New Roman"/>
                <w:sz w:val="6"/>
                <w:szCs w:val="6"/>
              </w:rPr>
            </w:pPr>
          </w:p>
        </w:tc>
      </w:tr>
      <w:tr w:rsidR="007E3C4B" w:rsidRPr="00AA45E9" w:rsidTr="0019769C">
        <w:tc>
          <w:tcPr>
            <w:tcW w:w="1507" w:type="dxa"/>
            <w:tcBorders>
              <w:bottom w:val="dashDotStroked" w:sz="24" w:space="0" w:color="auto"/>
              <w:right w:val="single" w:sz="4" w:space="0" w:color="auto"/>
            </w:tcBorders>
            <w:shd w:val="clear" w:color="auto" w:fill="1F3864" w:themeFill="accent5" w:themeFillShade="80"/>
          </w:tcPr>
          <w:p w:rsidR="007E3C4B" w:rsidRPr="00AA45E9" w:rsidRDefault="007E3C4B" w:rsidP="00867483">
            <w:pPr>
              <w:spacing w:after="0" w:line="240" w:lineRule="auto"/>
              <w:jc w:val="center"/>
              <w:rPr>
                <w:rFonts w:ascii="Times New Roman" w:hAnsi="Times New Roman"/>
                <w:b/>
                <w:sz w:val="24"/>
                <w:szCs w:val="24"/>
              </w:rPr>
            </w:pPr>
            <w:r w:rsidRPr="00AA45E9">
              <w:rPr>
                <w:rFonts w:ascii="Times New Roman" w:hAnsi="Times New Roman"/>
                <w:b/>
                <w:sz w:val="24"/>
                <w:szCs w:val="24"/>
              </w:rPr>
              <w:t>Importance</w:t>
            </w:r>
          </w:p>
        </w:tc>
        <w:tc>
          <w:tcPr>
            <w:tcW w:w="1190" w:type="dxa"/>
            <w:tcBorders>
              <w:left w:val="single" w:sz="4" w:space="0" w:color="auto"/>
              <w:bottom w:val="dashDotStroked" w:sz="24" w:space="0" w:color="auto"/>
              <w:right w:val="single" w:sz="4" w:space="0" w:color="auto"/>
            </w:tcBorders>
            <w:shd w:val="clear" w:color="auto" w:fill="FFE599" w:themeFill="accent4" w:themeFillTint="66"/>
          </w:tcPr>
          <w:p w:rsidR="007E3C4B" w:rsidRPr="008E6D9C" w:rsidRDefault="007E3C4B" w:rsidP="00867483">
            <w:pPr>
              <w:spacing w:after="0" w:line="240" w:lineRule="auto"/>
              <w:jc w:val="center"/>
              <w:rPr>
                <w:rFonts w:ascii="Times New Roman" w:hAnsi="Times New Roman"/>
                <w:b/>
                <w:sz w:val="24"/>
                <w:szCs w:val="24"/>
              </w:rPr>
            </w:pPr>
            <w:r w:rsidRPr="008E6D9C">
              <w:rPr>
                <w:rFonts w:ascii="Times New Roman" w:hAnsi="Times New Roman"/>
                <w:b/>
                <w:sz w:val="24"/>
                <w:szCs w:val="24"/>
              </w:rPr>
              <w:t>Moyenne</w:t>
            </w:r>
          </w:p>
        </w:tc>
        <w:tc>
          <w:tcPr>
            <w:tcW w:w="456" w:type="dxa"/>
            <w:tcBorders>
              <w:left w:val="single" w:sz="4" w:space="0" w:color="auto"/>
              <w:bottom w:val="dashDotStroked" w:sz="24" w:space="0" w:color="auto"/>
            </w:tcBorders>
            <w:shd w:val="clear" w:color="auto" w:fill="FFE599" w:themeFill="accent4" w:themeFillTint="66"/>
          </w:tcPr>
          <w:p w:rsidR="007E3C4B" w:rsidRPr="008E6D9C" w:rsidRDefault="007E3C4B" w:rsidP="00867483">
            <w:pPr>
              <w:spacing w:after="0" w:line="240" w:lineRule="auto"/>
              <w:jc w:val="center"/>
              <w:rPr>
                <w:rFonts w:ascii="Times New Roman" w:hAnsi="Times New Roman"/>
                <w:b/>
                <w:sz w:val="24"/>
                <w:szCs w:val="24"/>
              </w:rPr>
            </w:pPr>
            <w:r w:rsidRPr="008E6D9C">
              <w:rPr>
                <w:rFonts w:ascii="Times New Roman" w:hAnsi="Times New Roman"/>
                <w:b/>
                <w:sz w:val="24"/>
                <w:szCs w:val="24"/>
              </w:rPr>
              <w:t>25</w:t>
            </w:r>
          </w:p>
        </w:tc>
      </w:tr>
    </w:tbl>
    <w:p w:rsidR="00C856C0" w:rsidRPr="004455A3" w:rsidRDefault="007E3C4B" w:rsidP="00FA3FAE">
      <w:pPr>
        <w:pStyle w:val="PargrafodaLista"/>
        <w:numPr>
          <w:ilvl w:val="0"/>
          <w:numId w:val="41"/>
        </w:numPr>
        <w:pBdr>
          <w:bottom w:val="dashDotStroked" w:sz="24" w:space="1" w:color="auto"/>
        </w:pBdr>
        <w:jc w:val="both"/>
        <w:rPr>
          <w:rFonts w:ascii="Times New Roman" w:hAnsi="Times New Roman"/>
          <w:b/>
          <w:sz w:val="24"/>
          <w:szCs w:val="24"/>
        </w:rPr>
      </w:pPr>
      <w:r w:rsidRPr="004455A3">
        <w:rPr>
          <w:rFonts w:ascii="Times New Roman" w:hAnsi="Times New Roman"/>
          <w:b/>
          <w:sz w:val="24"/>
          <w:szCs w:val="24"/>
        </w:rPr>
        <w:t xml:space="preserve"> </w:t>
      </w:r>
      <w:r w:rsidR="004455A3" w:rsidRPr="004455A3">
        <w:rPr>
          <w:rFonts w:ascii="Times New Roman" w:hAnsi="Times New Roman"/>
          <w:b/>
          <w:sz w:val="24"/>
          <w:szCs w:val="24"/>
        </w:rPr>
        <w:t>Création d’emplois temporaires</w:t>
      </w:r>
    </w:p>
    <w:p w:rsidR="00066898" w:rsidRDefault="007E3C4B" w:rsidP="00577550">
      <w:pPr>
        <w:jc w:val="both"/>
        <w:rPr>
          <w:rFonts w:ascii="Times New Roman" w:hAnsi="Times New Roman"/>
          <w:sz w:val="24"/>
          <w:szCs w:val="24"/>
        </w:rPr>
      </w:pPr>
      <w:r w:rsidRPr="00AA45E9">
        <w:rPr>
          <w:rFonts w:ascii="Times New Roman" w:hAnsi="Times New Roman"/>
          <w:sz w:val="24"/>
          <w:szCs w:val="24"/>
        </w:rPr>
        <w:t xml:space="preserve"> </w:t>
      </w:r>
      <w:r w:rsidR="004455A3" w:rsidRPr="00AA45E9">
        <w:rPr>
          <w:rFonts w:ascii="Times New Roman" w:hAnsi="Times New Roman"/>
          <w:sz w:val="24"/>
          <w:szCs w:val="24"/>
        </w:rPr>
        <w:t>Les activités</w:t>
      </w:r>
      <w:r w:rsidR="004455A3">
        <w:rPr>
          <w:rFonts w:ascii="Times New Roman" w:hAnsi="Times New Roman"/>
          <w:sz w:val="24"/>
          <w:szCs w:val="24"/>
        </w:rPr>
        <w:t xml:space="preserve"> de réalisation ou de réhabilitation </w:t>
      </w:r>
      <w:r w:rsidR="00D50654">
        <w:rPr>
          <w:rFonts w:ascii="Times New Roman" w:hAnsi="Times New Roman"/>
          <w:sz w:val="24"/>
          <w:szCs w:val="24"/>
        </w:rPr>
        <w:t xml:space="preserve">des réservoirs </w:t>
      </w:r>
      <w:r w:rsidR="00D50654" w:rsidRPr="00AA45E9">
        <w:rPr>
          <w:rFonts w:ascii="Times New Roman" w:hAnsi="Times New Roman"/>
          <w:sz w:val="24"/>
          <w:szCs w:val="24"/>
        </w:rPr>
        <w:t>indiquées</w:t>
      </w:r>
      <w:r w:rsidR="004455A3" w:rsidRPr="00AA45E9">
        <w:rPr>
          <w:rFonts w:ascii="Times New Roman" w:hAnsi="Times New Roman"/>
          <w:sz w:val="24"/>
          <w:szCs w:val="24"/>
        </w:rPr>
        <w:t xml:space="preserve"> dans les phases de pré-construction (nettoyage, planage, libération d’emprise, etc.), de constructions (approvisionnement en matériaux, travaux de génie civil, de remise en état, etc.) </w:t>
      </w:r>
      <w:r w:rsidR="00D50654" w:rsidRPr="004455A3">
        <w:rPr>
          <w:rFonts w:ascii="Times New Roman" w:hAnsi="Times New Roman" w:cs="Times New Roman"/>
          <w:color w:val="000000"/>
          <w:sz w:val="24"/>
          <w:szCs w:val="24"/>
        </w:rPr>
        <w:t>vont permettre</w:t>
      </w:r>
      <w:r w:rsidR="00D50654">
        <w:rPr>
          <w:rFonts w:ascii="Times New Roman" w:hAnsi="Times New Roman" w:cs="Times New Roman"/>
          <w:color w:val="000000"/>
          <w:sz w:val="24"/>
          <w:szCs w:val="24"/>
        </w:rPr>
        <w:t xml:space="preserve"> une disponibilité momentanée en terme</w:t>
      </w:r>
      <w:r w:rsidR="004137BD">
        <w:rPr>
          <w:rFonts w:ascii="Times New Roman" w:hAnsi="Times New Roman" w:cs="Times New Roman"/>
          <w:color w:val="000000"/>
          <w:sz w:val="24"/>
          <w:szCs w:val="24"/>
        </w:rPr>
        <w:t xml:space="preserve"> de</w:t>
      </w:r>
      <w:r w:rsidR="00D50654" w:rsidRPr="004455A3">
        <w:rPr>
          <w:rFonts w:ascii="Times New Roman" w:hAnsi="Times New Roman" w:cs="Times New Roman"/>
          <w:color w:val="000000"/>
          <w:sz w:val="24"/>
          <w:szCs w:val="24"/>
        </w:rPr>
        <w:t xml:space="preserve"> l’offre d’emploi</w:t>
      </w:r>
      <w:r w:rsidR="00D30CA6">
        <w:rPr>
          <w:rFonts w:ascii="Times New Roman" w:hAnsi="Times New Roman" w:cs="Times New Roman"/>
          <w:color w:val="000000"/>
          <w:sz w:val="24"/>
          <w:szCs w:val="24"/>
        </w:rPr>
        <w:t>s</w:t>
      </w:r>
      <w:r w:rsidR="00D50654" w:rsidRPr="004455A3">
        <w:rPr>
          <w:rFonts w:ascii="Times New Roman" w:hAnsi="Times New Roman" w:cs="Times New Roman"/>
          <w:color w:val="000000"/>
          <w:sz w:val="24"/>
          <w:szCs w:val="24"/>
        </w:rPr>
        <w:t xml:space="preserve"> aux forces de travail.</w:t>
      </w:r>
      <w:r w:rsidR="008A7F8A">
        <w:rPr>
          <w:rFonts w:ascii="Times New Roman" w:hAnsi="Times New Roman" w:cs="Times New Roman"/>
          <w:color w:val="000000"/>
          <w:sz w:val="24"/>
          <w:szCs w:val="24"/>
        </w:rPr>
        <w:t xml:space="preserve"> Les revenus </w:t>
      </w:r>
      <w:r w:rsidR="008A7F8A" w:rsidRPr="00AA45E9">
        <w:rPr>
          <w:rFonts w:ascii="Times New Roman" w:hAnsi="Times New Roman"/>
          <w:sz w:val="24"/>
          <w:szCs w:val="24"/>
        </w:rPr>
        <w:t>vont avoir des retombées sur les populations en termes d'emplois créés et de revenus générés du fait de l’utilisation de la main d'œuvre locale non spécialisée</w:t>
      </w:r>
      <w:r w:rsidR="008A7F8A">
        <w:rPr>
          <w:rFonts w:ascii="Times New Roman" w:hAnsi="Times New Roman"/>
          <w:sz w:val="24"/>
          <w:szCs w:val="24"/>
        </w:rPr>
        <w:t>.</w:t>
      </w:r>
      <w:r w:rsidR="00577550">
        <w:rPr>
          <w:rFonts w:ascii="Times New Roman" w:hAnsi="Times New Roman"/>
          <w:sz w:val="24"/>
          <w:szCs w:val="24"/>
        </w:rPr>
        <w:t xml:space="preserve"> </w:t>
      </w:r>
    </w:p>
    <w:p w:rsidR="00066898" w:rsidRPr="00066898" w:rsidRDefault="00066898" w:rsidP="00066898">
      <w:pPr>
        <w:jc w:val="both"/>
        <w:rPr>
          <w:rFonts w:ascii="Times New Roman" w:hAnsi="Times New Roman"/>
          <w:sz w:val="24"/>
          <w:szCs w:val="24"/>
        </w:rPr>
      </w:pPr>
      <w:r w:rsidRPr="00066898">
        <w:rPr>
          <w:rFonts w:ascii="Times New Roman" w:hAnsi="Times New Roman"/>
          <w:sz w:val="24"/>
          <w:szCs w:val="24"/>
        </w:rPr>
        <w:t>Les différents profils d’emplois susceptibles d’être crées dans le cadre de la m</w:t>
      </w:r>
      <w:r>
        <w:rPr>
          <w:rFonts w:ascii="Times New Roman" w:hAnsi="Times New Roman"/>
          <w:sz w:val="24"/>
          <w:szCs w:val="24"/>
        </w:rPr>
        <w:t xml:space="preserve">ise en œuvre de ce projet sont </w:t>
      </w:r>
      <w:r w:rsidRPr="00066898">
        <w:rPr>
          <w:rFonts w:ascii="Times New Roman" w:hAnsi="Times New Roman"/>
          <w:sz w:val="24"/>
          <w:szCs w:val="24"/>
        </w:rPr>
        <w:t xml:space="preserve">principalement : </w:t>
      </w:r>
    </w:p>
    <w:p w:rsidR="00066898" w:rsidRPr="00066898" w:rsidRDefault="00066898" w:rsidP="00FA3FAE">
      <w:pPr>
        <w:pStyle w:val="PargrafodaLista"/>
        <w:numPr>
          <w:ilvl w:val="0"/>
          <w:numId w:val="80"/>
        </w:numPr>
        <w:spacing w:after="0" w:line="240" w:lineRule="auto"/>
        <w:jc w:val="both"/>
        <w:rPr>
          <w:rFonts w:ascii="Times New Roman" w:hAnsi="Times New Roman"/>
          <w:sz w:val="24"/>
          <w:szCs w:val="24"/>
        </w:rPr>
      </w:pPr>
      <w:r w:rsidRPr="00066898">
        <w:rPr>
          <w:rFonts w:ascii="Times New Roman" w:hAnsi="Times New Roman"/>
          <w:sz w:val="24"/>
          <w:szCs w:val="24"/>
        </w:rPr>
        <w:t>des manœuvres pour tous travaux de débroussaillage, de désherbage, de fouille,</w:t>
      </w:r>
    </w:p>
    <w:p w:rsidR="00066898" w:rsidRPr="00066898" w:rsidRDefault="00066898" w:rsidP="00FA3FAE">
      <w:pPr>
        <w:pStyle w:val="PargrafodaLista"/>
        <w:numPr>
          <w:ilvl w:val="0"/>
          <w:numId w:val="80"/>
        </w:numPr>
        <w:spacing w:after="0" w:line="240" w:lineRule="auto"/>
        <w:jc w:val="both"/>
        <w:rPr>
          <w:rFonts w:ascii="Times New Roman" w:hAnsi="Times New Roman"/>
          <w:sz w:val="24"/>
          <w:szCs w:val="24"/>
        </w:rPr>
      </w:pPr>
      <w:r w:rsidRPr="00066898">
        <w:rPr>
          <w:rFonts w:ascii="Times New Roman" w:hAnsi="Times New Roman"/>
          <w:sz w:val="24"/>
          <w:szCs w:val="24"/>
        </w:rPr>
        <w:t>des maçons pour tous travaux de génie civil,</w:t>
      </w:r>
    </w:p>
    <w:p w:rsidR="00066898" w:rsidRPr="00066898" w:rsidRDefault="00066898" w:rsidP="00FA3FAE">
      <w:pPr>
        <w:pStyle w:val="PargrafodaLista"/>
        <w:numPr>
          <w:ilvl w:val="0"/>
          <w:numId w:val="80"/>
        </w:numPr>
        <w:spacing w:after="0" w:line="240" w:lineRule="auto"/>
        <w:jc w:val="both"/>
        <w:rPr>
          <w:rFonts w:ascii="Times New Roman" w:hAnsi="Times New Roman"/>
          <w:sz w:val="24"/>
          <w:szCs w:val="24"/>
        </w:rPr>
      </w:pPr>
      <w:r w:rsidRPr="00066898">
        <w:rPr>
          <w:rFonts w:ascii="Times New Roman" w:hAnsi="Times New Roman"/>
          <w:sz w:val="24"/>
          <w:szCs w:val="24"/>
        </w:rPr>
        <w:t>des ferrailleurs,</w:t>
      </w:r>
    </w:p>
    <w:p w:rsidR="00066898" w:rsidRPr="00066898" w:rsidRDefault="00066898" w:rsidP="00FA3FAE">
      <w:pPr>
        <w:pStyle w:val="PargrafodaLista"/>
        <w:numPr>
          <w:ilvl w:val="0"/>
          <w:numId w:val="80"/>
        </w:numPr>
        <w:spacing w:after="0" w:line="240" w:lineRule="auto"/>
        <w:jc w:val="both"/>
        <w:rPr>
          <w:rFonts w:ascii="Times New Roman" w:hAnsi="Times New Roman"/>
          <w:sz w:val="24"/>
          <w:szCs w:val="24"/>
        </w:rPr>
      </w:pPr>
      <w:r w:rsidRPr="00066898">
        <w:rPr>
          <w:rFonts w:ascii="Times New Roman" w:hAnsi="Times New Roman"/>
          <w:sz w:val="24"/>
          <w:szCs w:val="24"/>
        </w:rPr>
        <w:t>des peintres,</w:t>
      </w:r>
    </w:p>
    <w:p w:rsidR="00066898" w:rsidRPr="00066898" w:rsidRDefault="00066898" w:rsidP="00FA3FAE">
      <w:pPr>
        <w:pStyle w:val="PargrafodaLista"/>
        <w:numPr>
          <w:ilvl w:val="0"/>
          <w:numId w:val="80"/>
        </w:numPr>
        <w:spacing w:after="0" w:line="240" w:lineRule="auto"/>
        <w:jc w:val="both"/>
        <w:rPr>
          <w:rFonts w:ascii="Times New Roman" w:hAnsi="Times New Roman"/>
          <w:sz w:val="24"/>
          <w:szCs w:val="24"/>
        </w:rPr>
      </w:pPr>
      <w:r w:rsidRPr="00066898">
        <w:rPr>
          <w:rFonts w:ascii="Times New Roman" w:hAnsi="Times New Roman"/>
          <w:sz w:val="24"/>
          <w:szCs w:val="24"/>
        </w:rPr>
        <w:t>des conducteurs d’engins spécifiques</w:t>
      </w:r>
    </w:p>
    <w:p w:rsidR="00066898" w:rsidRDefault="00066898" w:rsidP="00066898">
      <w:pPr>
        <w:spacing w:after="0" w:line="240" w:lineRule="auto"/>
        <w:jc w:val="both"/>
        <w:rPr>
          <w:rFonts w:ascii="Times New Roman" w:hAnsi="Times New Roman"/>
          <w:sz w:val="24"/>
          <w:szCs w:val="24"/>
        </w:rPr>
      </w:pPr>
    </w:p>
    <w:p w:rsidR="00577550" w:rsidRDefault="00577550" w:rsidP="00577550">
      <w:pPr>
        <w:jc w:val="both"/>
        <w:rPr>
          <w:rFonts w:ascii="Times New Roman" w:hAnsi="Times New Roman"/>
          <w:sz w:val="24"/>
          <w:szCs w:val="24"/>
        </w:rPr>
      </w:pPr>
      <w:r>
        <w:rPr>
          <w:rFonts w:ascii="Times New Roman" w:hAnsi="Times New Roman"/>
          <w:sz w:val="24"/>
          <w:szCs w:val="24"/>
        </w:rPr>
        <w:t>De même la présence des chantiers et des bases de vie</w:t>
      </w:r>
      <w:r w:rsidRPr="00AA45E9">
        <w:rPr>
          <w:rFonts w:ascii="Times New Roman" w:hAnsi="Times New Roman"/>
          <w:sz w:val="24"/>
          <w:szCs w:val="24"/>
        </w:rPr>
        <w:t xml:space="preserve"> participera à l’amélioration des conditions économiques et sociales des populations (promotion de l’emploi des jeunes mais aussi des femmes par rapport aux activités de restauration et éventuellement des nouveaux arrivants) et de manière générale, à l’augmentation du niveau de vie des populations.</w:t>
      </w:r>
    </w:p>
    <w:p w:rsidR="008A7F8A" w:rsidRDefault="008A7F8A" w:rsidP="008A7F8A">
      <w:pPr>
        <w:jc w:val="both"/>
        <w:rPr>
          <w:rFonts w:ascii="Times New Roman" w:hAnsi="Times New Roman"/>
          <w:sz w:val="24"/>
          <w:szCs w:val="24"/>
        </w:rPr>
      </w:pPr>
      <w:r w:rsidRPr="00AA45E9">
        <w:rPr>
          <w:rFonts w:ascii="Times New Roman" w:hAnsi="Times New Roman"/>
          <w:sz w:val="24"/>
          <w:szCs w:val="24"/>
        </w:rPr>
        <w:t xml:space="preserve">Outre ces revenus liés aux emplois directs du </w:t>
      </w:r>
      <w:r>
        <w:rPr>
          <w:rFonts w:ascii="Times New Roman" w:hAnsi="Times New Roman"/>
          <w:sz w:val="24"/>
          <w:szCs w:val="24"/>
        </w:rPr>
        <w:t>sous-</w:t>
      </w:r>
      <w:r w:rsidRPr="00AA45E9">
        <w:rPr>
          <w:rFonts w:ascii="Times New Roman" w:hAnsi="Times New Roman"/>
          <w:sz w:val="24"/>
          <w:szCs w:val="24"/>
        </w:rPr>
        <w:t>projet</w:t>
      </w:r>
      <w:r>
        <w:rPr>
          <w:rFonts w:ascii="Times New Roman" w:hAnsi="Times New Roman"/>
          <w:sz w:val="24"/>
          <w:szCs w:val="24"/>
        </w:rPr>
        <w:t xml:space="preserve"> n°2</w:t>
      </w:r>
      <w:r w:rsidRPr="00AA45E9">
        <w:rPr>
          <w:rFonts w:ascii="Times New Roman" w:hAnsi="Times New Roman"/>
          <w:sz w:val="24"/>
          <w:szCs w:val="24"/>
        </w:rPr>
        <w:t xml:space="preserve">, un certain nombre d’emplois indirects pourraient être générés par les </w:t>
      </w:r>
      <w:r w:rsidR="00577550">
        <w:rPr>
          <w:rFonts w:ascii="Times New Roman" w:hAnsi="Times New Roman"/>
          <w:sz w:val="24"/>
          <w:szCs w:val="24"/>
        </w:rPr>
        <w:t xml:space="preserve">travaux de construction et de réhabilitation des réservoirs. </w:t>
      </w:r>
    </w:p>
    <w:p w:rsidR="00066898" w:rsidRDefault="00066898" w:rsidP="008A7F8A">
      <w:pPr>
        <w:jc w:val="both"/>
        <w:rPr>
          <w:rFonts w:ascii="Times New Roman" w:hAnsi="Times New Roman"/>
          <w:sz w:val="24"/>
          <w:szCs w:val="24"/>
        </w:rPr>
      </w:pPr>
    </w:p>
    <w:p w:rsidR="00066898" w:rsidRDefault="00066898" w:rsidP="008A7F8A">
      <w:pPr>
        <w:jc w:val="both"/>
        <w:rPr>
          <w:rFonts w:ascii="Times New Roman" w:hAnsi="Times New Roman" w:cs="Times New Roman"/>
          <w:color w:val="000000"/>
          <w:sz w:val="24"/>
          <w:szCs w:val="24"/>
        </w:rPr>
      </w:pPr>
    </w:p>
    <w:tbl>
      <w:tblPr>
        <w:tblpPr w:leftFromText="141" w:rightFromText="141" w:vertAnchor="text" w:horzAnchor="margin" w:tblpXSpec="right" w:tblpY="410"/>
        <w:tblW w:w="3153" w:type="dxa"/>
        <w:tblBorders>
          <w:top w:val="single" w:sz="4" w:space="0" w:color="auto"/>
          <w:left w:val="dashDotStroked" w:sz="24" w:space="0" w:color="auto"/>
          <w:bottom w:val="dashDotStroked" w:sz="24" w:space="0" w:color="auto"/>
          <w:right w:val="dashDotStroked" w:sz="24" w:space="0" w:color="auto"/>
          <w:insideH w:val="single" w:sz="4" w:space="0" w:color="auto"/>
          <w:insideV w:val="dashDotStroked" w:sz="24" w:space="0" w:color="auto"/>
        </w:tblBorders>
        <w:tblLook w:val="04A0" w:firstRow="1" w:lastRow="0" w:firstColumn="1" w:lastColumn="0" w:noHBand="0" w:noVBand="1"/>
      </w:tblPr>
      <w:tblGrid>
        <w:gridCol w:w="1507"/>
        <w:gridCol w:w="1190"/>
        <w:gridCol w:w="456"/>
      </w:tblGrid>
      <w:tr w:rsidR="00F173DC" w:rsidRPr="00AA45E9" w:rsidTr="008E6D9C">
        <w:tc>
          <w:tcPr>
            <w:tcW w:w="3153" w:type="dxa"/>
            <w:gridSpan w:val="3"/>
            <w:tcBorders>
              <w:bottom w:val="single" w:sz="4" w:space="0" w:color="auto"/>
            </w:tcBorders>
            <w:shd w:val="clear" w:color="auto" w:fill="002060"/>
          </w:tcPr>
          <w:p w:rsidR="00F173DC" w:rsidRPr="00867483" w:rsidRDefault="00F173DC" w:rsidP="00F173DC">
            <w:pPr>
              <w:spacing w:after="0" w:line="240" w:lineRule="auto"/>
              <w:jc w:val="center"/>
              <w:rPr>
                <w:rFonts w:ascii="Times New Roman" w:hAnsi="Times New Roman"/>
                <w:b/>
                <w:sz w:val="24"/>
                <w:szCs w:val="24"/>
              </w:rPr>
            </w:pPr>
            <w:r w:rsidRPr="00867483">
              <w:rPr>
                <w:rFonts w:ascii="Times New Roman" w:hAnsi="Times New Roman"/>
                <w:b/>
                <w:sz w:val="24"/>
                <w:szCs w:val="24"/>
              </w:rPr>
              <w:lastRenderedPageBreak/>
              <w:t>Caractérisation de l’impact</w:t>
            </w:r>
          </w:p>
        </w:tc>
      </w:tr>
      <w:tr w:rsidR="0019769C" w:rsidRPr="00AA45E9" w:rsidTr="00D96D77">
        <w:tc>
          <w:tcPr>
            <w:tcW w:w="1507" w:type="dxa"/>
            <w:tcBorders>
              <w:bottom w:val="single" w:sz="4" w:space="0" w:color="auto"/>
              <w:right w:val="single" w:sz="4" w:space="0" w:color="auto"/>
            </w:tcBorders>
            <w:shd w:val="clear" w:color="auto" w:fill="002060"/>
          </w:tcPr>
          <w:p w:rsidR="0019769C" w:rsidRPr="00AA45E9" w:rsidRDefault="0019769C" w:rsidP="00817BFF">
            <w:pPr>
              <w:spacing w:after="0" w:line="240" w:lineRule="auto"/>
              <w:jc w:val="center"/>
              <w:rPr>
                <w:rFonts w:ascii="Times New Roman" w:hAnsi="Times New Roman"/>
                <w:b/>
                <w:sz w:val="24"/>
                <w:szCs w:val="24"/>
              </w:rPr>
            </w:pPr>
            <w:r>
              <w:rPr>
                <w:rFonts w:ascii="Times New Roman" w:hAnsi="Times New Roman"/>
                <w:b/>
                <w:sz w:val="24"/>
                <w:szCs w:val="24"/>
              </w:rPr>
              <w:t xml:space="preserve">Nature </w:t>
            </w:r>
          </w:p>
        </w:tc>
        <w:tc>
          <w:tcPr>
            <w:tcW w:w="1646" w:type="dxa"/>
            <w:gridSpan w:val="2"/>
            <w:tcBorders>
              <w:left w:val="single" w:sz="4" w:space="0" w:color="auto"/>
              <w:bottom w:val="single" w:sz="4" w:space="0" w:color="auto"/>
            </w:tcBorders>
            <w:shd w:val="clear" w:color="auto" w:fill="auto"/>
          </w:tcPr>
          <w:p w:rsidR="0019769C" w:rsidRPr="00E96A04" w:rsidRDefault="0019769C" w:rsidP="00F173DC">
            <w:pPr>
              <w:spacing w:after="0" w:line="240" w:lineRule="auto"/>
              <w:jc w:val="center"/>
              <w:rPr>
                <w:rFonts w:ascii="Times New Roman" w:hAnsi="Times New Roman"/>
                <w:b/>
                <w:sz w:val="24"/>
                <w:szCs w:val="24"/>
              </w:rPr>
            </w:pPr>
            <w:r w:rsidRPr="00E96A04">
              <w:rPr>
                <w:rFonts w:ascii="Times New Roman" w:hAnsi="Times New Roman"/>
                <w:b/>
                <w:sz w:val="24"/>
                <w:szCs w:val="24"/>
              </w:rPr>
              <w:t>Positif</w:t>
            </w:r>
          </w:p>
        </w:tc>
      </w:tr>
      <w:tr w:rsidR="00F173DC" w:rsidRPr="00AA45E9" w:rsidTr="008E6D9C">
        <w:tc>
          <w:tcPr>
            <w:tcW w:w="1507" w:type="dxa"/>
            <w:tcBorders>
              <w:bottom w:val="single" w:sz="4" w:space="0" w:color="auto"/>
              <w:right w:val="single" w:sz="4" w:space="0" w:color="auto"/>
            </w:tcBorders>
            <w:shd w:val="clear" w:color="auto" w:fill="002060"/>
          </w:tcPr>
          <w:p w:rsidR="00F173DC" w:rsidRPr="00AA45E9" w:rsidRDefault="00F173DC" w:rsidP="00F173DC">
            <w:pPr>
              <w:spacing w:after="0" w:line="240" w:lineRule="auto"/>
              <w:jc w:val="center"/>
              <w:rPr>
                <w:rFonts w:ascii="Times New Roman" w:hAnsi="Times New Roman"/>
                <w:b/>
                <w:sz w:val="24"/>
                <w:szCs w:val="24"/>
              </w:rPr>
            </w:pPr>
            <w:r w:rsidRPr="00AA45E9">
              <w:rPr>
                <w:rFonts w:ascii="Times New Roman" w:hAnsi="Times New Roman"/>
                <w:b/>
                <w:sz w:val="24"/>
                <w:szCs w:val="24"/>
              </w:rPr>
              <w:t>Intensité</w:t>
            </w:r>
          </w:p>
        </w:tc>
        <w:tc>
          <w:tcPr>
            <w:tcW w:w="1190" w:type="dxa"/>
            <w:tcBorders>
              <w:left w:val="single" w:sz="4" w:space="0" w:color="auto"/>
              <w:bottom w:val="single" w:sz="4" w:space="0" w:color="auto"/>
              <w:right w:val="single" w:sz="4" w:space="0" w:color="auto"/>
            </w:tcBorders>
            <w:shd w:val="clear" w:color="auto" w:fill="auto"/>
          </w:tcPr>
          <w:p w:rsidR="00F173DC" w:rsidRPr="00867483" w:rsidRDefault="00F173DC" w:rsidP="00F173DC">
            <w:pPr>
              <w:spacing w:after="0" w:line="240" w:lineRule="auto"/>
              <w:jc w:val="center"/>
              <w:rPr>
                <w:rFonts w:ascii="Times New Roman" w:hAnsi="Times New Roman"/>
                <w:sz w:val="24"/>
                <w:szCs w:val="24"/>
              </w:rPr>
            </w:pPr>
            <w:r w:rsidRPr="00867483">
              <w:rPr>
                <w:rFonts w:ascii="Times New Roman" w:hAnsi="Times New Roman"/>
                <w:sz w:val="24"/>
                <w:szCs w:val="24"/>
              </w:rPr>
              <w:t>Forte</w:t>
            </w:r>
          </w:p>
        </w:tc>
        <w:tc>
          <w:tcPr>
            <w:tcW w:w="456" w:type="dxa"/>
            <w:tcBorders>
              <w:left w:val="single" w:sz="4" w:space="0" w:color="auto"/>
              <w:bottom w:val="single" w:sz="4" w:space="0" w:color="auto"/>
            </w:tcBorders>
            <w:shd w:val="clear" w:color="auto" w:fill="auto"/>
          </w:tcPr>
          <w:p w:rsidR="00F173DC" w:rsidRPr="00867483" w:rsidRDefault="00F173DC" w:rsidP="00F173DC">
            <w:pPr>
              <w:spacing w:after="0" w:line="240" w:lineRule="auto"/>
              <w:jc w:val="center"/>
              <w:rPr>
                <w:rFonts w:ascii="Times New Roman" w:hAnsi="Times New Roman"/>
                <w:sz w:val="24"/>
                <w:szCs w:val="24"/>
              </w:rPr>
            </w:pPr>
            <w:r w:rsidRPr="00867483">
              <w:rPr>
                <w:rFonts w:ascii="Times New Roman" w:hAnsi="Times New Roman"/>
                <w:sz w:val="24"/>
                <w:szCs w:val="24"/>
              </w:rPr>
              <w:t>5</w:t>
            </w:r>
          </w:p>
        </w:tc>
      </w:tr>
      <w:tr w:rsidR="00F173DC" w:rsidRPr="00AA45E9" w:rsidTr="008E6D9C">
        <w:tc>
          <w:tcPr>
            <w:tcW w:w="1507" w:type="dxa"/>
            <w:tcBorders>
              <w:bottom w:val="single" w:sz="4" w:space="0" w:color="auto"/>
              <w:right w:val="single" w:sz="4" w:space="0" w:color="auto"/>
            </w:tcBorders>
            <w:shd w:val="clear" w:color="auto" w:fill="002060"/>
          </w:tcPr>
          <w:p w:rsidR="00F173DC" w:rsidRPr="00AA45E9" w:rsidRDefault="00F173DC" w:rsidP="00F173DC">
            <w:pPr>
              <w:spacing w:after="0" w:line="240" w:lineRule="auto"/>
              <w:jc w:val="center"/>
              <w:rPr>
                <w:rFonts w:ascii="Times New Roman" w:hAnsi="Times New Roman"/>
                <w:sz w:val="24"/>
                <w:szCs w:val="24"/>
              </w:rPr>
            </w:pPr>
            <w:r w:rsidRPr="00AA45E9">
              <w:rPr>
                <w:rFonts w:ascii="Times New Roman" w:hAnsi="Times New Roman"/>
                <w:b/>
                <w:sz w:val="24"/>
                <w:szCs w:val="24"/>
              </w:rPr>
              <w:t>Etendue</w:t>
            </w:r>
          </w:p>
        </w:tc>
        <w:tc>
          <w:tcPr>
            <w:tcW w:w="1190" w:type="dxa"/>
            <w:tcBorders>
              <w:left w:val="single" w:sz="4" w:space="0" w:color="auto"/>
              <w:bottom w:val="single" w:sz="4" w:space="0" w:color="auto"/>
              <w:right w:val="single" w:sz="4" w:space="0" w:color="auto"/>
            </w:tcBorders>
          </w:tcPr>
          <w:p w:rsidR="00F173DC" w:rsidRPr="00867483" w:rsidRDefault="00F173DC" w:rsidP="00F173DC">
            <w:pPr>
              <w:spacing w:after="0" w:line="240" w:lineRule="auto"/>
              <w:jc w:val="center"/>
              <w:rPr>
                <w:rFonts w:ascii="Times New Roman" w:hAnsi="Times New Roman"/>
                <w:sz w:val="24"/>
                <w:szCs w:val="24"/>
              </w:rPr>
            </w:pPr>
            <w:r w:rsidRPr="00867483">
              <w:rPr>
                <w:rFonts w:ascii="Times New Roman" w:hAnsi="Times New Roman"/>
                <w:sz w:val="24"/>
                <w:szCs w:val="24"/>
              </w:rPr>
              <w:t>Régionale</w:t>
            </w:r>
          </w:p>
        </w:tc>
        <w:tc>
          <w:tcPr>
            <w:tcW w:w="456" w:type="dxa"/>
            <w:tcBorders>
              <w:left w:val="single" w:sz="4" w:space="0" w:color="auto"/>
              <w:bottom w:val="single" w:sz="4" w:space="0" w:color="auto"/>
            </w:tcBorders>
          </w:tcPr>
          <w:p w:rsidR="00F173DC" w:rsidRPr="00867483" w:rsidRDefault="00F173DC" w:rsidP="00F173DC">
            <w:pPr>
              <w:spacing w:after="0" w:line="240" w:lineRule="auto"/>
              <w:jc w:val="center"/>
              <w:rPr>
                <w:rFonts w:ascii="Times New Roman" w:hAnsi="Times New Roman"/>
                <w:sz w:val="24"/>
                <w:szCs w:val="24"/>
              </w:rPr>
            </w:pPr>
            <w:r w:rsidRPr="00867483">
              <w:rPr>
                <w:rFonts w:ascii="Times New Roman" w:hAnsi="Times New Roman"/>
                <w:sz w:val="24"/>
                <w:szCs w:val="24"/>
              </w:rPr>
              <w:t>5</w:t>
            </w:r>
          </w:p>
        </w:tc>
      </w:tr>
      <w:tr w:rsidR="008E6D9C" w:rsidRPr="00AA45E9" w:rsidTr="008E6D9C">
        <w:tc>
          <w:tcPr>
            <w:tcW w:w="1507" w:type="dxa"/>
            <w:tcBorders>
              <w:bottom w:val="single" w:sz="4" w:space="0" w:color="auto"/>
              <w:right w:val="single" w:sz="4" w:space="0" w:color="auto"/>
            </w:tcBorders>
            <w:shd w:val="clear" w:color="auto" w:fill="002060"/>
          </w:tcPr>
          <w:p w:rsidR="00F173DC" w:rsidRDefault="00F173DC" w:rsidP="00F173DC">
            <w:pPr>
              <w:spacing w:after="0" w:line="240" w:lineRule="auto"/>
              <w:jc w:val="center"/>
              <w:rPr>
                <w:rFonts w:ascii="Times New Roman" w:hAnsi="Times New Roman"/>
                <w:sz w:val="24"/>
                <w:szCs w:val="24"/>
              </w:rPr>
            </w:pPr>
            <w:r w:rsidRPr="00AA45E9">
              <w:rPr>
                <w:rFonts w:ascii="Times New Roman" w:hAnsi="Times New Roman"/>
                <w:b/>
                <w:sz w:val="24"/>
                <w:szCs w:val="24"/>
              </w:rPr>
              <w:t>Durée</w:t>
            </w:r>
          </w:p>
        </w:tc>
        <w:tc>
          <w:tcPr>
            <w:tcW w:w="1190" w:type="dxa"/>
            <w:tcBorders>
              <w:left w:val="single" w:sz="4" w:space="0" w:color="auto"/>
              <w:bottom w:val="single" w:sz="4" w:space="0" w:color="auto"/>
              <w:right w:val="single" w:sz="4" w:space="0" w:color="auto"/>
            </w:tcBorders>
          </w:tcPr>
          <w:p w:rsidR="00F173DC" w:rsidRPr="00867483" w:rsidRDefault="00F173DC" w:rsidP="00F173DC">
            <w:pPr>
              <w:spacing w:after="0" w:line="240" w:lineRule="auto"/>
              <w:jc w:val="center"/>
              <w:rPr>
                <w:rFonts w:ascii="Times New Roman" w:hAnsi="Times New Roman"/>
                <w:sz w:val="24"/>
                <w:szCs w:val="24"/>
              </w:rPr>
            </w:pPr>
            <w:r w:rsidRPr="00867483">
              <w:rPr>
                <w:rFonts w:ascii="Times New Roman" w:hAnsi="Times New Roman"/>
                <w:sz w:val="24"/>
                <w:szCs w:val="24"/>
              </w:rPr>
              <w:t>Courte</w:t>
            </w:r>
          </w:p>
        </w:tc>
        <w:tc>
          <w:tcPr>
            <w:tcW w:w="456" w:type="dxa"/>
            <w:tcBorders>
              <w:left w:val="single" w:sz="4" w:space="0" w:color="auto"/>
              <w:bottom w:val="single" w:sz="4" w:space="0" w:color="auto"/>
            </w:tcBorders>
          </w:tcPr>
          <w:p w:rsidR="00F173DC" w:rsidRPr="00867483" w:rsidRDefault="00F173DC" w:rsidP="00F173DC">
            <w:pPr>
              <w:spacing w:after="0" w:line="240" w:lineRule="auto"/>
              <w:jc w:val="center"/>
              <w:rPr>
                <w:rFonts w:ascii="Times New Roman" w:hAnsi="Times New Roman"/>
                <w:sz w:val="24"/>
                <w:szCs w:val="24"/>
              </w:rPr>
            </w:pPr>
            <w:r w:rsidRPr="00867483">
              <w:rPr>
                <w:rFonts w:ascii="Times New Roman" w:hAnsi="Times New Roman"/>
                <w:sz w:val="24"/>
                <w:szCs w:val="24"/>
              </w:rPr>
              <w:t>1</w:t>
            </w:r>
          </w:p>
        </w:tc>
      </w:tr>
      <w:tr w:rsidR="00F173DC" w:rsidRPr="00AA45E9" w:rsidTr="00FC410F">
        <w:tc>
          <w:tcPr>
            <w:tcW w:w="3153" w:type="dxa"/>
            <w:gridSpan w:val="3"/>
            <w:tcBorders>
              <w:bottom w:val="single" w:sz="4" w:space="0" w:color="auto"/>
            </w:tcBorders>
            <w:shd w:val="clear" w:color="auto" w:fill="FFFFFF" w:themeFill="background1"/>
          </w:tcPr>
          <w:p w:rsidR="00F173DC" w:rsidRPr="00867483" w:rsidRDefault="00F173DC" w:rsidP="00F173DC">
            <w:pPr>
              <w:spacing w:after="0" w:line="240" w:lineRule="auto"/>
              <w:jc w:val="center"/>
              <w:rPr>
                <w:rFonts w:ascii="Times New Roman" w:hAnsi="Times New Roman"/>
                <w:sz w:val="6"/>
                <w:szCs w:val="6"/>
              </w:rPr>
            </w:pPr>
          </w:p>
        </w:tc>
      </w:tr>
      <w:tr w:rsidR="00F173DC" w:rsidRPr="00AA45E9" w:rsidTr="0019769C">
        <w:tc>
          <w:tcPr>
            <w:tcW w:w="1507" w:type="dxa"/>
            <w:tcBorders>
              <w:bottom w:val="dashDotStroked" w:sz="24" w:space="0" w:color="auto"/>
              <w:right w:val="single" w:sz="4" w:space="0" w:color="auto"/>
            </w:tcBorders>
            <w:shd w:val="clear" w:color="auto" w:fill="002060"/>
          </w:tcPr>
          <w:p w:rsidR="00F173DC" w:rsidRPr="00AA45E9" w:rsidRDefault="00F173DC" w:rsidP="00F173DC">
            <w:pPr>
              <w:spacing w:after="0" w:line="240" w:lineRule="auto"/>
              <w:jc w:val="center"/>
              <w:rPr>
                <w:rFonts w:ascii="Times New Roman" w:hAnsi="Times New Roman"/>
                <w:b/>
                <w:sz w:val="24"/>
                <w:szCs w:val="24"/>
              </w:rPr>
            </w:pPr>
            <w:r w:rsidRPr="00AA45E9">
              <w:rPr>
                <w:rFonts w:ascii="Times New Roman" w:hAnsi="Times New Roman"/>
                <w:b/>
                <w:sz w:val="24"/>
                <w:szCs w:val="24"/>
              </w:rPr>
              <w:t>Importance</w:t>
            </w:r>
          </w:p>
        </w:tc>
        <w:tc>
          <w:tcPr>
            <w:tcW w:w="1190" w:type="dxa"/>
            <w:tcBorders>
              <w:left w:val="single" w:sz="4" w:space="0" w:color="auto"/>
              <w:bottom w:val="dashDotStroked" w:sz="24" w:space="0" w:color="auto"/>
              <w:right w:val="single" w:sz="4" w:space="0" w:color="auto"/>
            </w:tcBorders>
            <w:shd w:val="clear" w:color="auto" w:fill="FFE599" w:themeFill="accent4" w:themeFillTint="66"/>
          </w:tcPr>
          <w:p w:rsidR="00F173DC" w:rsidRPr="008E6D9C" w:rsidRDefault="00F173DC" w:rsidP="00F173DC">
            <w:pPr>
              <w:spacing w:after="0" w:line="240" w:lineRule="auto"/>
              <w:jc w:val="center"/>
              <w:rPr>
                <w:rFonts w:ascii="Times New Roman" w:hAnsi="Times New Roman"/>
                <w:b/>
                <w:sz w:val="24"/>
                <w:szCs w:val="24"/>
              </w:rPr>
            </w:pPr>
            <w:r w:rsidRPr="008E6D9C">
              <w:rPr>
                <w:rFonts w:ascii="Times New Roman" w:hAnsi="Times New Roman"/>
                <w:b/>
                <w:sz w:val="24"/>
                <w:szCs w:val="24"/>
              </w:rPr>
              <w:t>Moyenne</w:t>
            </w:r>
          </w:p>
        </w:tc>
        <w:tc>
          <w:tcPr>
            <w:tcW w:w="456" w:type="dxa"/>
            <w:tcBorders>
              <w:left w:val="single" w:sz="4" w:space="0" w:color="auto"/>
              <w:bottom w:val="dashDotStroked" w:sz="24" w:space="0" w:color="auto"/>
            </w:tcBorders>
            <w:shd w:val="clear" w:color="auto" w:fill="FFE599" w:themeFill="accent4" w:themeFillTint="66"/>
          </w:tcPr>
          <w:p w:rsidR="00F173DC" w:rsidRPr="008E6D9C" w:rsidRDefault="00F173DC" w:rsidP="00F173DC">
            <w:pPr>
              <w:spacing w:after="0" w:line="240" w:lineRule="auto"/>
              <w:jc w:val="center"/>
              <w:rPr>
                <w:rFonts w:ascii="Times New Roman" w:hAnsi="Times New Roman"/>
                <w:b/>
                <w:sz w:val="24"/>
                <w:szCs w:val="24"/>
              </w:rPr>
            </w:pPr>
            <w:r w:rsidRPr="008E6D9C">
              <w:rPr>
                <w:rFonts w:ascii="Times New Roman" w:hAnsi="Times New Roman"/>
                <w:b/>
                <w:sz w:val="24"/>
                <w:szCs w:val="24"/>
              </w:rPr>
              <w:t>25</w:t>
            </w:r>
          </w:p>
        </w:tc>
      </w:tr>
    </w:tbl>
    <w:p w:rsidR="00FA5FF6" w:rsidRPr="00FA5FF6" w:rsidRDefault="00FA5FF6" w:rsidP="00FA3FAE">
      <w:pPr>
        <w:pStyle w:val="PargrafodaLista"/>
        <w:numPr>
          <w:ilvl w:val="0"/>
          <w:numId w:val="41"/>
        </w:numPr>
        <w:pBdr>
          <w:bottom w:val="dashDotStroked" w:sz="24" w:space="1" w:color="auto"/>
        </w:pBdr>
        <w:jc w:val="both"/>
        <w:rPr>
          <w:rFonts w:ascii="Times New Roman" w:hAnsi="Times New Roman"/>
          <w:b/>
          <w:sz w:val="24"/>
          <w:szCs w:val="24"/>
        </w:rPr>
      </w:pPr>
      <w:r w:rsidRPr="00FA5FF6">
        <w:rPr>
          <w:rFonts w:ascii="Times New Roman" w:hAnsi="Times New Roman"/>
          <w:b/>
          <w:sz w:val="24"/>
          <w:szCs w:val="24"/>
        </w:rPr>
        <w:t>Opportunités d’affaires pour des opérateurs économiques privés</w:t>
      </w:r>
    </w:p>
    <w:p w:rsidR="005D78D2" w:rsidRDefault="00FA5FF6" w:rsidP="00FA5FF6">
      <w:pPr>
        <w:jc w:val="both"/>
        <w:rPr>
          <w:rFonts w:ascii="Times New Roman" w:hAnsi="Times New Roman"/>
          <w:sz w:val="24"/>
          <w:szCs w:val="24"/>
        </w:rPr>
      </w:pPr>
      <w:r w:rsidRPr="00FA5FF6">
        <w:rPr>
          <w:rFonts w:ascii="Times New Roman" w:hAnsi="Times New Roman"/>
          <w:sz w:val="24"/>
          <w:szCs w:val="24"/>
        </w:rPr>
        <w:t>Les opportunités d’affaires vont toucher des activités de différentes catégories socioprofessionnelles dans la zone d’influence du projet. Le commerc</w:t>
      </w:r>
      <w:r w:rsidR="005D78D2">
        <w:rPr>
          <w:rFonts w:ascii="Times New Roman" w:hAnsi="Times New Roman"/>
          <w:sz w:val="24"/>
          <w:szCs w:val="24"/>
        </w:rPr>
        <w:t>e, le transport, le BTP</w:t>
      </w:r>
      <w:r w:rsidRPr="00FA5FF6">
        <w:rPr>
          <w:rFonts w:ascii="Times New Roman" w:hAnsi="Times New Roman"/>
          <w:sz w:val="24"/>
          <w:szCs w:val="24"/>
        </w:rPr>
        <w:t xml:space="preserve"> ainsi que la main d’œuvres locales, seront positivement impactés. </w:t>
      </w:r>
    </w:p>
    <w:p w:rsidR="00B94688" w:rsidRPr="00FA5FF6" w:rsidRDefault="00FA5FF6" w:rsidP="00FA5FF6">
      <w:pPr>
        <w:jc w:val="both"/>
        <w:rPr>
          <w:rFonts w:ascii="Times New Roman" w:hAnsi="Times New Roman"/>
          <w:sz w:val="24"/>
          <w:szCs w:val="24"/>
        </w:rPr>
      </w:pPr>
      <w:r>
        <w:rPr>
          <w:rFonts w:ascii="Times New Roman" w:hAnsi="Times New Roman"/>
          <w:sz w:val="24"/>
          <w:szCs w:val="24"/>
        </w:rPr>
        <w:t>Plus spécifiquement</w:t>
      </w:r>
      <w:r w:rsidR="005D78D2">
        <w:rPr>
          <w:rFonts w:ascii="Times New Roman" w:hAnsi="Times New Roman"/>
          <w:sz w:val="24"/>
          <w:szCs w:val="24"/>
        </w:rPr>
        <w:t xml:space="preserve">, l’achat des matériaux </w:t>
      </w:r>
      <w:r w:rsidR="00B53632" w:rsidRPr="00B53632">
        <w:rPr>
          <w:rFonts w:ascii="Times New Roman" w:hAnsi="Times New Roman"/>
          <w:sz w:val="24"/>
          <w:szCs w:val="24"/>
        </w:rPr>
        <w:t>divers</w:t>
      </w:r>
      <w:r w:rsidR="00B53632">
        <w:rPr>
          <w:rFonts w:ascii="Times New Roman" w:hAnsi="Times New Roman"/>
          <w:sz w:val="24"/>
          <w:szCs w:val="24"/>
        </w:rPr>
        <w:t xml:space="preserve"> </w:t>
      </w:r>
      <w:r w:rsidR="00B53632" w:rsidRPr="00B53632">
        <w:rPr>
          <w:rFonts w:ascii="Times New Roman" w:hAnsi="Times New Roman"/>
          <w:sz w:val="24"/>
          <w:szCs w:val="24"/>
        </w:rPr>
        <w:t>(ciments, fer, béton, etc.)</w:t>
      </w:r>
      <w:r w:rsidR="00B53632">
        <w:rPr>
          <w:rFonts w:ascii="Times New Roman" w:hAnsi="Times New Roman"/>
          <w:sz w:val="24"/>
          <w:szCs w:val="24"/>
        </w:rPr>
        <w:t xml:space="preserve"> </w:t>
      </w:r>
      <w:r w:rsidR="005D78D2">
        <w:rPr>
          <w:rFonts w:ascii="Times New Roman" w:hAnsi="Times New Roman"/>
          <w:sz w:val="24"/>
          <w:szCs w:val="24"/>
        </w:rPr>
        <w:t>de construction ou de réhabilitation</w:t>
      </w:r>
      <w:r w:rsidRPr="00FA5FF6">
        <w:rPr>
          <w:rFonts w:ascii="Times New Roman" w:hAnsi="Times New Roman"/>
          <w:sz w:val="24"/>
          <w:szCs w:val="24"/>
        </w:rPr>
        <w:t xml:space="preserve"> auront des impacts positifs directs importants sur toute la chaine d’activité économique.</w:t>
      </w:r>
    </w:p>
    <w:tbl>
      <w:tblPr>
        <w:tblpPr w:leftFromText="141" w:rightFromText="141" w:vertAnchor="text" w:horzAnchor="margin" w:tblpXSpec="right" w:tblpY="473"/>
        <w:tblW w:w="3153" w:type="dxa"/>
        <w:tblBorders>
          <w:top w:val="single" w:sz="4" w:space="0" w:color="auto"/>
          <w:left w:val="dashDotStroked" w:sz="24" w:space="0" w:color="auto"/>
          <w:bottom w:val="dashDotStroked" w:sz="24" w:space="0" w:color="auto"/>
          <w:right w:val="dashDotStroked" w:sz="24" w:space="0" w:color="auto"/>
          <w:insideH w:val="single" w:sz="4" w:space="0" w:color="auto"/>
          <w:insideV w:val="dashDotStroked" w:sz="24" w:space="0" w:color="auto"/>
        </w:tblBorders>
        <w:tblLook w:val="04A0" w:firstRow="1" w:lastRow="0" w:firstColumn="1" w:lastColumn="0" w:noHBand="0" w:noVBand="1"/>
      </w:tblPr>
      <w:tblGrid>
        <w:gridCol w:w="1507"/>
        <w:gridCol w:w="1190"/>
        <w:gridCol w:w="456"/>
      </w:tblGrid>
      <w:tr w:rsidR="00FC410F" w:rsidRPr="00AA45E9" w:rsidTr="00FC410F">
        <w:tc>
          <w:tcPr>
            <w:tcW w:w="3153" w:type="dxa"/>
            <w:gridSpan w:val="3"/>
            <w:tcBorders>
              <w:bottom w:val="single" w:sz="4" w:space="0" w:color="auto"/>
            </w:tcBorders>
            <w:shd w:val="clear" w:color="auto" w:fill="002060"/>
          </w:tcPr>
          <w:p w:rsidR="00FC410F" w:rsidRPr="00867483" w:rsidRDefault="00FC410F" w:rsidP="00FC410F">
            <w:pPr>
              <w:spacing w:after="0" w:line="240" w:lineRule="auto"/>
              <w:jc w:val="center"/>
              <w:rPr>
                <w:rFonts w:ascii="Times New Roman" w:hAnsi="Times New Roman"/>
                <w:b/>
                <w:sz w:val="24"/>
                <w:szCs w:val="24"/>
              </w:rPr>
            </w:pPr>
            <w:r w:rsidRPr="00867483">
              <w:rPr>
                <w:rFonts w:ascii="Times New Roman" w:hAnsi="Times New Roman"/>
                <w:b/>
                <w:sz w:val="24"/>
                <w:szCs w:val="24"/>
              </w:rPr>
              <w:t>Caractérisation de l’impact</w:t>
            </w:r>
          </w:p>
        </w:tc>
      </w:tr>
      <w:tr w:rsidR="0019769C" w:rsidRPr="00AA45E9" w:rsidTr="00D96D77">
        <w:trPr>
          <w:trHeight w:val="268"/>
        </w:trPr>
        <w:tc>
          <w:tcPr>
            <w:tcW w:w="1507" w:type="dxa"/>
            <w:tcBorders>
              <w:bottom w:val="single" w:sz="4" w:space="0" w:color="auto"/>
              <w:right w:val="single" w:sz="4" w:space="0" w:color="auto"/>
            </w:tcBorders>
            <w:shd w:val="clear" w:color="auto" w:fill="002060"/>
          </w:tcPr>
          <w:p w:rsidR="0019769C" w:rsidRPr="00AA45E9" w:rsidRDefault="0019769C" w:rsidP="00FC410F">
            <w:pPr>
              <w:spacing w:after="0" w:line="240" w:lineRule="auto"/>
              <w:jc w:val="center"/>
              <w:rPr>
                <w:rFonts w:ascii="Times New Roman" w:hAnsi="Times New Roman"/>
                <w:b/>
                <w:sz w:val="24"/>
                <w:szCs w:val="24"/>
              </w:rPr>
            </w:pPr>
            <w:r>
              <w:rPr>
                <w:rFonts w:ascii="Times New Roman" w:hAnsi="Times New Roman"/>
                <w:b/>
                <w:sz w:val="24"/>
                <w:szCs w:val="24"/>
              </w:rPr>
              <w:t xml:space="preserve">Nature </w:t>
            </w:r>
          </w:p>
        </w:tc>
        <w:tc>
          <w:tcPr>
            <w:tcW w:w="1646" w:type="dxa"/>
            <w:gridSpan w:val="2"/>
            <w:tcBorders>
              <w:left w:val="single" w:sz="4" w:space="0" w:color="auto"/>
              <w:bottom w:val="single" w:sz="4" w:space="0" w:color="auto"/>
            </w:tcBorders>
            <w:shd w:val="clear" w:color="auto" w:fill="auto"/>
          </w:tcPr>
          <w:p w:rsidR="0019769C" w:rsidRPr="00E96A04" w:rsidRDefault="0019769C" w:rsidP="00FC410F">
            <w:pPr>
              <w:spacing w:after="0" w:line="240" w:lineRule="auto"/>
              <w:jc w:val="center"/>
              <w:rPr>
                <w:rFonts w:ascii="Times New Roman" w:hAnsi="Times New Roman"/>
                <w:b/>
                <w:sz w:val="24"/>
                <w:szCs w:val="24"/>
              </w:rPr>
            </w:pPr>
            <w:r w:rsidRPr="00E96A04">
              <w:rPr>
                <w:rFonts w:ascii="Times New Roman" w:hAnsi="Times New Roman"/>
                <w:b/>
                <w:sz w:val="24"/>
                <w:szCs w:val="24"/>
              </w:rPr>
              <w:t>Positif</w:t>
            </w:r>
          </w:p>
        </w:tc>
      </w:tr>
      <w:tr w:rsidR="00FC410F" w:rsidRPr="00AA45E9" w:rsidTr="00FC410F">
        <w:tc>
          <w:tcPr>
            <w:tcW w:w="1507" w:type="dxa"/>
            <w:tcBorders>
              <w:bottom w:val="single" w:sz="4" w:space="0" w:color="auto"/>
              <w:right w:val="single" w:sz="4" w:space="0" w:color="auto"/>
            </w:tcBorders>
            <w:shd w:val="clear" w:color="auto" w:fill="002060"/>
          </w:tcPr>
          <w:p w:rsidR="00FC410F" w:rsidRPr="00AA45E9" w:rsidRDefault="00FC410F" w:rsidP="00FC410F">
            <w:pPr>
              <w:spacing w:after="0" w:line="240" w:lineRule="auto"/>
              <w:jc w:val="center"/>
              <w:rPr>
                <w:rFonts w:ascii="Times New Roman" w:hAnsi="Times New Roman"/>
                <w:b/>
                <w:sz w:val="24"/>
                <w:szCs w:val="24"/>
              </w:rPr>
            </w:pPr>
            <w:r w:rsidRPr="00AA45E9">
              <w:rPr>
                <w:rFonts w:ascii="Times New Roman" w:hAnsi="Times New Roman"/>
                <w:b/>
                <w:sz w:val="24"/>
                <w:szCs w:val="24"/>
              </w:rPr>
              <w:t>Intensité</w:t>
            </w:r>
          </w:p>
        </w:tc>
        <w:tc>
          <w:tcPr>
            <w:tcW w:w="1190" w:type="dxa"/>
            <w:tcBorders>
              <w:left w:val="single" w:sz="4" w:space="0" w:color="auto"/>
              <w:bottom w:val="single" w:sz="4" w:space="0" w:color="auto"/>
              <w:right w:val="single" w:sz="4" w:space="0" w:color="auto"/>
            </w:tcBorders>
            <w:shd w:val="clear" w:color="auto" w:fill="auto"/>
          </w:tcPr>
          <w:p w:rsidR="00FC410F" w:rsidRPr="00867483" w:rsidRDefault="0019769C" w:rsidP="00FC410F">
            <w:pPr>
              <w:spacing w:after="0" w:line="240" w:lineRule="auto"/>
              <w:jc w:val="center"/>
              <w:rPr>
                <w:rFonts w:ascii="Times New Roman" w:hAnsi="Times New Roman"/>
                <w:sz w:val="24"/>
                <w:szCs w:val="24"/>
              </w:rPr>
            </w:pPr>
            <w:r>
              <w:rPr>
                <w:rFonts w:ascii="Times New Roman" w:hAnsi="Times New Roman"/>
                <w:sz w:val="24"/>
                <w:szCs w:val="24"/>
              </w:rPr>
              <w:t>Moyenne</w:t>
            </w:r>
          </w:p>
        </w:tc>
        <w:tc>
          <w:tcPr>
            <w:tcW w:w="456" w:type="dxa"/>
            <w:tcBorders>
              <w:left w:val="single" w:sz="4" w:space="0" w:color="auto"/>
              <w:bottom w:val="single" w:sz="4" w:space="0" w:color="auto"/>
            </w:tcBorders>
            <w:shd w:val="clear" w:color="auto" w:fill="auto"/>
          </w:tcPr>
          <w:p w:rsidR="00FC410F" w:rsidRPr="00867483" w:rsidRDefault="0019769C" w:rsidP="00FC410F">
            <w:pPr>
              <w:spacing w:after="0" w:line="240" w:lineRule="auto"/>
              <w:jc w:val="center"/>
              <w:rPr>
                <w:rFonts w:ascii="Times New Roman" w:hAnsi="Times New Roman"/>
                <w:sz w:val="24"/>
                <w:szCs w:val="24"/>
              </w:rPr>
            </w:pPr>
            <w:r>
              <w:rPr>
                <w:rFonts w:ascii="Times New Roman" w:hAnsi="Times New Roman"/>
                <w:sz w:val="24"/>
                <w:szCs w:val="24"/>
              </w:rPr>
              <w:t>3</w:t>
            </w:r>
          </w:p>
        </w:tc>
      </w:tr>
      <w:tr w:rsidR="00FC410F" w:rsidRPr="00AA45E9" w:rsidTr="00FC410F">
        <w:tc>
          <w:tcPr>
            <w:tcW w:w="1507" w:type="dxa"/>
            <w:tcBorders>
              <w:bottom w:val="single" w:sz="4" w:space="0" w:color="auto"/>
              <w:right w:val="single" w:sz="4" w:space="0" w:color="auto"/>
            </w:tcBorders>
            <w:shd w:val="clear" w:color="auto" w:fill="002060"/>
          </w:tcPr>
          <w:p w:rsidR="00FC410F" w:rsidRPr="00AA45E9" w:rsidRDefault="00FC410F" w:rsidP="00FC410F">
            <w:pPr>
              <w:spacing w:after="0" w:line="240" w:lineRule="auto"/>
              <w:jc w:val="center"/>
              <w:rPr>
                <w:rFonts w:ascii="Times New Roman" w:hAnsi="Times New Roman"/>
                <w:sz w:val="24"/>
                <w:szCs w:val="24"/>
              </w:rPr>
            </w:pPr>
            <w:r w:rsidRPr="00AA45E9">
              <w:rPr>
                <w:rFonts w:ascii="Times New Roman" w:hAnsi="Times New Roman"/>
                <w:b/>
                <w:sz w:val="24"/>
                <w:szCs w:val="24"/>
              </w:rPr>
              <w:t>Etendue</w:t>
            </w:r>
          </w:p>
        </w:tc>
        <w:tc>
          <w:tcPr>
            <w:tcW w:w="1190" w:type="dxa"/>
            <w:tcBorders>
              <w:left w:val="single" w:sz="4" w:space="0" w:color="auto"/>
              <w:bottom w:val="single" w:sz="4" w:space="0" w:color="auto"/>
              <w:right w:val="single" w:sz="4" w:space="0" w:color="auto"/>
            </w:tcBorders>
          </w:tcPr>
          <w:p w:rsidR="00FC410F" w:rsidRPr="00867483" w:rsidRDefault="0019769C" w:rsidP="00FC410F">
            <w:pPr>
              <w:spacing w:after="0" w:line="240" w:lineRule="auto"/>
              <w:jc w:val="center"/>
              <w:rPr>
                <w:rFonts w:ascii="Times New Roman" w:hAnsi="Times New Roman"/>
                <w:sz w:val="24"/>
                <w:szCs w:val="24"/>
              </w:rPr>
            </w:pPr>
            <w:r>
              <w:rPr>
                <w:rFonts w:ascii="Times New Roman" w:hAnsi="Times New Roman"/>
                <w:sz w:val="24"/>
                <w:szCs w:val="24"/>
              </w:rPr>
              <w:t>Locale</w:t>
            </w:r>
          </w:p>
        </w:tc>
        <w:tc>
          <w:tcPr>
            <w:tcW w:w="456" w:type="dxa"/>
            <w:tcBorders>
              <w:left w:val="single" w:sz="4" w:space="0" w:color="auto"/>
              <w:bottom w:val="single" w:sz="4" w:space="0" w:color="auto"/>
            </w:tcBorders>
          </w:tcPr>
          <w:p w:rsidR="00FC410F" w:rsidRPr="00867483" w:rsidRDefault="0019769C" w:rsidP="00FC410F">
            <w:pPr>
              <w:spacing w:after="0" w:line="240" w:lineRule="auto"/>
              <w:jc w:val="center"/>
              <w:rPr>
                <w:rFonts w:ascii="Times New Roman" w:hAnsi="Times New Roman"/>
                <w:sz w:val="24"/>
                <w:szCs w:val="24"/>
              </w:rPr>
            </w:pPr>
            <w:r>
              <w:rPr>
                <w:rFonts w:ascii="Times New Roman" w:hAnsi="Times New Roman"/>
                <w:sz w:val="24"/>
                <w:szCs w:val="24"/>
              </w:rPr>
              <w:t>3</w:t>
            </w:r>
          </w:p>
        </w:tc>
      </w:tr>
      <w:tr w:rsidR="0019769C" w:rsidRPr="00AA45E9" w:rsidTr="00FC410F">
        <w:tc>
          <w:tcPr>
            <w:tcW w:w="1507" w:type="dxa"/>
            <w:tcBorders>
              <w:bottom w:val="single" w:sz="4" w:space="0" w:color="auto"/>
              <w:right w:val="single" w:sz="4" w:space="0" w:color="auto"/>
            </w:tcBorders>
            <w:shd w:val="clear" w:color="auto" w:fill="002060"/>
          </w:tcPr>
          <w:p w:rsidR="0019769C" w:rsidRDefault="0019769C" w:rsidP="0019769C">
            <w:pPr>
              <w:spacing w:after="0" w:line="240" w:lineRule="auto"/>
              <w:jc w:val="center"/>
              <w:rPr>
                <w:rFonts w:ascii="Times New Roman" w:hAnsi="Times New Roman"/>
                <w:sz w:val="24"/>
                <w:szCs w:val="24"/>
              </w:rPr>
            </w:pPr>
            <w:r w:rsidRPr="00AA45E9">
              <w:rPr>
                <w:rFonts w:ascii="Times New Roman" w:hAnsi="Times New Roman"/>
                <w:b/>
                <w:sz w:val="24"/>
                <w:szCs w:val="24"/>
              </w:rPr>
              <w:t>Durée</w:t>
            </w:r>
          </w:p>
        </w:tc>
        <w:tc>
          <w:tcPr>
            <w:tcW w:w="1190" w:type="dxa"/>
            <w:tcBorders>
              <w:left w:val="single" w:sz="4" w:space="0" w:color="auto"/>
              <w:bottom w:val="single" w:sz="4" w:space="0" w:color="auto"/>
              <w:right w:val="single" w:sz="4" w:space="0" w:color="auto"/>
            </w:tcBorders>
          </w:tcPr>
          <w:p w:rsidR="0019769C" w:rsidRPr="00867483" w:rsidRDefault="0019769C" w:rsidP="0019769C">
            <w:pPr>
              <w:spacing w:after="0" w:line="240" w:lineRule="auto"/>
              <w:jc w:val="center"/>
              <w:rPr>
                <w:rFonts w:ascii="Times New Roman" w:hAnsi="Times New Roman"/>
                <w:sz w:val="24"/>
                <w:szCs w:val="24"/>
              </w:rPr>
            </w:pPr>
            <w:r>
              <w:rPr>
                <w:rFonts w:ascii="Times New Roman" w:hAnsi="Times New Roman"/>
                <w:sz w:val="24"/>
                <w:szCs w:val="24"/>
              </w:rPr>
              <w:t>Moyenne</w:t>
            </w:r>
          </w:p>
        </w:tc>
        <w:tc>
          <w:tcPr>
            <w:tcW w:w="456" w:type="dxa"/>
            <w:tcBorders>
              <w:left w:val="single" w:sz="4" w:space="0" w:color="auto"/>
              <w:bottom w:val="single" w:sz="4" w:space="0" w:color="auto"/>
            </w:tcBorders>
          </w:tcPr>
          <w:p w:rsidR="0019769C" w:rsidRPr="00867483" w:rsidRDefault="0019769C" w:rsidP="0019769C">
            <w:pPr>
              <w:spacing w:after="0" w:line="240" w:lineRule="auto"/>
              <w:jc w:val="center"/>
              <w:rPr>
                <w:rFonts w:ascii="Times New Roman" w:hAnsi="Times New Roman"/>
                <w:sz w:val="24"/>
                <w:szCs w:val="24"/>
              </w:rPr>
            </w:pPr>
            <w:r>
              <w:rPr>
                <w:rFonts w:ascii="Times New Roman" w:hAnsi="Times New Roman"/>
                <w:sz w:val="24"/>
                <w:szCs w:val="24"/>
              </w:rPr>
              <w:t>3</w:t>
            </w:r>
          </w:p>
        </w:tc>
      </w:tr>
      <w:tr w:rsidR="00FC410F" w:rsidRPr="00AA45E9" w:rsidTr="00FC410F">
        <w:tc>
          <w:tcPr>
            <w:tcW w:w="3153" w:type="dxa"/>
            <w:gridSpan w:val="3"/>
            <w:tcBorders>
              <w:bottom w:val="single" w:sz="4" w:space="0" w:color="auto"/>
            </w:tcBorders>
            <w:shd w:val="clear" w:color="auto" w:fill="FFFFFF" w:themeFill="background1"/>
          </w:tcPr>
          <w:p w:rsidR="00FC410F" w:rsidRPr="00867483" w:rsidRDefault="00FC410F" w:rsidP="00FC410F">
            <w:pPr>
              <w:spacing w:after="0" w:line="240" w:lineRule="auto"/>
              <w:jc w:val="center"/>
              <w:rPr>
                <w:rFonts w:ascii="Times New Roman" w:hAnsi="Times New Roman"/>
                <w:sz w:val="6"/>
                <w:szCs w:val="6"/>
              </w:rPr>
            </w:pPr>
          </w:p>
        </w:tc>
      </w:tr>
      <w:tr w:rsidR="00FC410F" w:rsidRPr="00AA45E9" w:rsidTr="0019769C">
        <w:tc>
          <w:tcPr>
            <w:tcW w:w="1507" w:type="dxa"/>
            <w:tcBorders>
              <w:bottom w:val="dashDotStroked" w:sz="24" w:space="0" w:color="auto"/>
              <w:right w:val="single" w:sz="4" w:space="0" w:color="auto"/>
            </w:tcBorders>
            <w:shd w:val="clear" w:color="auto" w:fill="002060"/>
          </w:tcPr>
          <w:p w:rsidR="00FC410F" w:rsidRPr="00AA45E9" w:rsidRDefault="00FC410F" w:rsidP="00FC410F">
            <w:pPr>
              <w:spacing w:after="0" w:line="240" w:lineRule="auto"/>
              <w:jc w:val="center"/>
              <w:rPr>
                <w:rFonts w:ascii="Times New Roman" w:hAnsi="Times New Roman"/>
                <w:b/>
                <w:sz w:val="24"/>
                <w:szCs w:val="24"/>
              </w:rPr>
            </w:pPr>
            <w:r w:rsidRPr="00AA45E9">
              <w:rPr>
                <w:rFonts w:ascii="Times New Roman" w:hAnsi="Times New Roman"/>
                <w:b/>
                <w:sz w:val="24"/>
                <w:szCs w:val="24"/>
              </w:rPr>
              <w:t>Importance</w:t>
            </w:r>
          </w:p>
        </w:tc>
        <w:tc>
          <w:tcPr>
            <w:tcW w:w="1190" w:type="dxa"/>
            <w:tcBorders>
              <w:left w:val="single" w:sz="4" w:space="0" w:color="auto"/>
              <w:bottom w:val="dashDotStroked" w:sz="24" w:space="0" w:color="auto"/>
              <w:right w:val="single" w:sz="4" w:space="0" w:color="auto"/>
            </w:tcBorders>
            <w:shd w:val="clear" w:color="auto" w:fill="FFE599" w:themeFill="accent4" w:themeFillTint="66"/>
          </w:tcPr>
          <w:p w:rsidR="00FC410F" w:rsidRPr="008E6D9C" w:rsidRDefault="00FC410F" w:rsidP="00FC410F">
            <w:pPr>
              <w:spacing w:after="0" w:line="240" w:lineRule="auto"/>
              <w:jc w:val="center"/>
              <w:rPr>
                <w:rFonts w:ascii="Times New Roman" w:hAnsi="Times New Roman"/>
                <w:b/>
                <w:sz w:val="24"/>
                <w:szCs w:val="24"/>
              </w:rPr>
            </w:pPr>
            <w:r w:rsidRPr="008E6D9C">
              <w:rPr>
                <w:rFonts w:ascii="Times New Roman" w:hAnsi="Times New Roman"/>
                <w:b/>
                <w:sz w:val="24"/>
                <w:szCs w:val="24"/>
              </w:rPr>
              <w:t>Moyenne</w:t>
            </w:r>
          </w:p>
        </w:tc>
        <w:tc>
          <w:tcPr>
            <w:tcW w:w="456" w:type="dxa"/>
            <w:tcBorders>
              <w:left w:val="single" w:sz="4" w:space="0" w:color="auto"/>
              <w:bottom w:val="dashDotStroked" w:sz="24" w:space="0" w:color="auto"/>
            </w:tcBorders>
            <w:shd w:val="clear" w:color="auto" w:fill="FFE599" w:themeFill="accent4" w:themeFillTint="66"/>
          </w:tcPr>
          <w:p w:rsidR="00FC410F" w:rsidRPr="008E6D9C" w:rsidRDefault="0019769C" w:rsidP="00FC410F">
            <w:pPr>
              <w:spacing w:after="0" w:line="240" w:lineRule="auto"/>
              <w:jc w:val="center"/>
              <w:rPr>
                <w:rFonts w:ascii="Times New Roman" w:hAnsi="Times New Roman"/>
                <w:b/>
                <w:sz w:val="24"/>
                <w:szCs w:val="24"/>
              </w:rPr>
            </w:pPr>
            <w:r>
              <w:rPr>
                <w:rFonts w:ascii="Times New Roman" w:hAnsi="Times New Roman"/>
                <w:b/>
                <w:sz w:val="24"/>
                <w:szCs w:val="24"/>
              </w:rPr>
              <w:t>27</w:t>
            </w:r>
          </w:p>
        </w:tc>
      </w:tr>
    </w:tbl>
    <w:p w:rsidR="00D50654" w:rsidRPr="00A808D9" w:rsidRDefault="00A808D9" w:rsidP="00FA3FAE">
      <w:pPr>
        <w:pStyle w:val="PargrafodaLista"/>
        <w:numPr>
          <w:ilvl w:val="0"/>
          <w:numId w:val="41"/>
        </w:numPr>
        <w:pBdr>
          <w:bottom w:val="dashDotStroked" w:sz="24" w:space="1" w:color="auto"/>
        </w:pBdr>
        <w:jc w:val="both"/>
        <w:rPr>
          <w:rFonts w:ascii="Times New Roman" w:hAnsi="Times New Roman"/>
          <w:b/>
          <w:sz w:val="24"/>
          <w:szCs w:val="24"/>
        </w:rPr>
      </w:pPr>
      <w:r>
        <w:rPr>
          <w:rFonts w:ascii="Times New Roman" w:hAnsi="Times New Roman"/>
          <w:b/>
          <w:sz w:val="24"/>
          <w:szCs w:val="24"/>
        </w:rPr>
        <w:t>C</w:t>
      </w:r>
      <w:r w:rsidRPr="00A808D9">
        <w:rPr>
          <w:rFonts w:ascii="Times New Roman" w:hAnsi="Times New Roman"/>
          <w:b/>
          <w:sz w:val="24"/>
          <w:szCs w:val="24"/>
        </w:rPr>
        <w:t>réation de relation sociale</w:t>
      </w:r>
    </w:p>
    <w:p w:rsidR="0063207E" w:rsidRDefault="00B94688" w:rsidP="0063207E">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La </w:t>
      </w:r>
      <w:r w:rsidR="00E85917">
        <w:rPr>
          <w:rFonts w:ascii="Times New Roman" w:hAnsi="Times New Roman" w:cs="Times New Roman"/>
          <w:color w:val="000000"/>
          <w:sz w:val="24"/>
          <w:szCs w:val="24"/>
        </w:rPr>
        <w:t>présence</w:t>
      </w:r>
      <w:r w:rsidR="00777AE9">
        <w:rPr>
          <w:rFonts w:ascii="Times New Roman" w:hAnsi="Times New Roman" w:cs="Times New Roman"/>
          <w:color w:val="000000"/>
          <w:sz w:val="24"/>
          <w:szCs w:val="24"/>
        </w:rPr>
        <w:t xml:space="preserve"> du personnel d’</w:t>
      </w:r>
      <w:r>
        <w:rPr>
          <w:rFonts w:ascii="Times New Roman" w:hAnsi="Times New Roman" w:cs="Times New Roman"/>
          <w:color w:val="000000"/>
          <w:sz w:val="24"/>
          <w:szCs w:val="24"/>
        </w:rPr>
        <w:t>entreprises en BTP</w:t>
      </w:r>
      <w:r w:rsidR="00777AE9">
        <w:rPr>
          <w:rFonts w:ascii="Times New Roman" w:hAnsi="Times New Roman" w:cs="Times New Roman"/>
          <w:color w:val="000000"/>
          <w:sz w:val="24"/>
          <w:szCs w:val="24"/>
        </w:rPr>
        <w:t xml:space="preserve"> ou des ouvriers étranger</w:t>
      </w:r>
      <w:r w:rsidR="00E85917">
        <w:rPr>
          <w:rFonts w:ascii="Times New Roman" w:hAnsi="Times New Roman" w:cs="Times New Roman"/>
          <w:color w:val="000000"/>
          <w:sz w:val="24"/>
          <w:szCs w:val="24"/>
        </w:rPr>
        <w:t xml:space="preserve"> </w:t>
      </w:r>
      <w:r>
        <w:rPr>
          <w:rFonts w:ascii="Times New Roman" w:hAnsi="Times New Roman" w:cs="Times New Roman"/>
          <w:color w:val="000000"/>
          <w:sz w:val="24"/>
          <w:szCs w:val="24"/>
        </w:rPr>
        <w:t>peut favoriser</w:t>
      </w:r>
      <w:r w:rsidR="0063207E">
        <w:rPr>
          <w:rFonts w:ascii="Times New Roman" w:hAnsi="Times New Roman" w:cs="Times New Roman"/>
          <w:color w:val="000000"/>
          <w:sz w:val="24"/>
          <w:szCs w:val="24"/>
        </w:rPr>
        <w:t xml:space="preserve"> </w:t>
      </w:r>
      <w:r w:rsidR="0063207E" w:rsidRPr="00B94688">
        <w:rPr>
          <w:rFonts w:ascii="Times New Roman" w:hAnsi="Times New Roman" w:cs="Times New Roman"/>
          <w:color w:val="000000"/>
          <w:sz w:val="24"/>
          <w:szCs w:val="24"/>
        </w:rPr>
        <w:t xml:space="preserve">des relations allant </w:t>
      </w:r>
      <w:r w:rsidR="00A96346">
        <w:rPr>
          <w:rFonts w:ascii="Times New Roman" w:hAnsi="Times New Roman" w:cs="Times New Roman"/>
          <w:color w:val="000000"/>
          <w:sz w:val="24"/>
          <w:szCs w:val="24"/>
        </w:rPr>
        <w:t xml:space="preserve">à </w:t>
      </w:r>
      <w:r w:rsidR="0063207E" w:rsidRPr="00B94688">
        <w:rPr>
          <w:rFonts w:ascii="Times New Roman" w:hAnsi="Times New Roman" w:cs="Times New Roman"/>
          <w:color w:val="000000"/>
          <w:sz w:val="24"/>
          <w:szCs w:val="24"/>
        </w:rPr>
        <w:t>des interconnaissances</w:t>
      </w:r>
      <w:r w:rsidR="0063207E">
        <w:rPr>
          <w:rFonts w:ascii="Times New Roman" w:hAnsi="Times New Roman" w:cs="Times New Roman"/>
          <w:color w:val="000000"/>
          <w:sz w:val="24"/>
          <w:szCs w:val="24"/>
        </w:rPr>
        <w:t xml:space="preserve"> sociales</w:t>
      </w:r>
      <w:r w:rsidR="00A96346">
        <w:rPr>
          <w:rFonts w:ascii="Times New Roman" w:hAnsi="Times New Roman" w:cs="Times New Roman"/>
          <w:color w:val="000000"/>
          <w:sz w:val="24"/>
          <w:szCs w:val="24"/>
        </w:rPr>
        <w:t xml:space="preserve">, </w:t>
      </w:r>
      <w:r w:rsidR="0063207E">
        <w:rPr>
          <w:rFonts w:ascii="Times New Roman" w:hAnsi="Times New Roman" w:cs="Times New Roman"/>
          <w:color w:val="000000"/>
          <w:sz w:val="24"/>
          <w:szCs w:val="24"/>
        </w:rPr>
        <w:t>culturelles, techniques,</w:t>
      </w:r>
      <w:r w:rsidR="00A96346">
        <w:rPr>
          <w:rFonts w:ascii="Times New Roman" w:hAnsi="Times New Roman" w:cs="Times New Roman"/>
          <w:color w:val="000000"/>
          <w:sz w:val="24"/>
          <w:szCs w:val="24"/>
        </w:rPr>
        <w:t xml:space="preserve"> commerciales. Cette brassage avec la population </w:t>
      </w:r>
      <w:r w:rsidR="00514DAE">
        <w:rPr>
          <w:rFonts w:ascii="Times New Roman" w:hAnsi="Times New Roman" w:cs="Times New Roman"/>
          <w:color w:val="000000"/>
          <w:sz w:val="24"/>
          <w:szCs w:val="24"/>
        </w:rPr>
        <w:t>renforcera et/ou améliorera les conditions de vie de la population.</w:t>
      </w:r>
    </w:p>
    <w:p w:rsidR="00C856C0" w:rsidRDefault="00C856C0" w:rsidP="00366CA3">
      <w:pPr>
        <w:jc w:val="both"/>
        <w:rPr>
          <w:rFonts w:ascii="Times New Roman" w:hAnsi="Times New Roman" w:cs="Times New Roman"/>
          <w:color w:val="000000"/>
          <w:sz w:val="24"/>
          <w:szCs w:val="24"/>
        </w:rPr>
      </w:pPr>
    </w:p>
    <w:p w:rsidR="00366CA3" w:rsidRPr="00AA6F0C" w:rsidRDefault="00366CA3" w:rsidP="00820701">
      <w:pPr>
        <w:pStyle w:val="Cabealho3"/>
      </w:pPr>
      <w:bookmarkStart w:id="327" w:name="_Toc51072574"/>
      <w:bookmarkStart w:id="328" w:name="_Toc535396952"/>
      <w:bookmarkStart w:id="329" w:name="_Toc11158352"/>
      <w:r>
        <w:t xml:space="preserve">6.2.1.2. </w:t>
      </w:r>
      <w:r w:rsidRPr="00AA6F0C">
        <w:t>En phase d’exploitation</w:t>
      </w:r>
      <w:bookmarkEnd w:id="327"/>
      <w:r w:rsidRPr="00AA6F0C">
        <w:t xml:space="preserve"> </w:t>
      </w:r>
      <w:bookmarkEnd w:id="328"/>
      <w:bookmarkEnd w:id="329"/>
    </w:p>
    <w:p w:rsidR="00366CA3" w:rsidRPr="003E743A" w:rsidRDefault="00366CA3" w:rsidP="00366CA3">
      <w:pPr>
        <w:spacing w:line="240" w:lineRule="auto"/>
        <w:ind w:left="-284"/>
        <w:jc w:val="both"/>
        <w:rPr>
          <w:rFonts w:ascii="Times New Roman" w:hAnsi="Times New Roman"/>
          <w:sz w:val="24"/>
          <w:szCs w:val="24"/>
        </w:rPr>
      </w:pPr>
      <w:r w:rsidRPr="003E743A">
        <w:rPr>
          <w:rFonts w:ascii="Times New Roman" w:hAnsi="Times New Roman"/>
          <w:sz w:val="24"/>
          <w:szCs w:val="24"/>
        </w:rPr>
        <w:t xml:space="preserve">Les impacts positifs du </w:t>
      </w:r>
      <w:r>
        <w:rPr>
          <w:rFonts w:ascii="Times New Roman" w:hAnsi="Times New Roman"/>
          <w:sz w:val="24"/>
          <w:szCs w:val="24"/>
        </w:rPr>
        <w:t>sous-</w:t>
      </w:r>
      <w:r w:rsidRPr="003E743A">
        <w:rPr>
          <w:rFonts w:ascii="Times New Roman" w:hAnsi="Times New Roman"/>
          <w:sz w:val="24"/>
          <w:szCs w:val="24"/>
        </w:rPr>
        <w:t xml:space="preserve">projet </w:t>
      </w:r>
      <w:r>
        <w:rPr>
          <w:rFonts w:ascii="Times New Roman" w:hAnsi="Times New Roman"/>
          <w:sz w:val="24"/>
          <w:szCs w:val="24"/>
        </w:rPr>
        <w:t xml:space="preserve">n°2 </w:t>
      </w:r>
      <w:r w:rsidRPr="003E743A">
        <w:rPr>
          <w:rFonts w:ascii="Times New Roman" w:hAnsi="Times New Roman"/>
          <w:sz w:val="24"/>
          <w:szCs w:val="24"/>
        </w:rPr>
        <w:t xml:space="preserve">en phase d’exploitation sont beaucoup plus significatifs au niveau du milieu </w:t>
      </w:r>
      <w:r>
        <w:rPr>
          <w:rFonts w:ascii="Times New Roman" w:hAnsi="Times New Roman"/>
          <w:sz w:val="24"/>
          <w:szCs w:val="24"/>
        </w:rPr>
        <w:t>s</w:t>
      </w:r>
      <w:r w:rsidRPr="003E743A">
        <w:rPr>
          <w:rFonts w:ascii="Times New Roman" w:hAnsi="Times New Roman"/>
          <w:sz w:val="24"/>
          <w:szCs w:val="24"/>
        </w:rPr>
        <w:t xml:space="preserve">ocio-économique </w:t>
      </w:r>
      <w:r>
        <w:rPr>
          <w:rFonts w:ascii="Times New Roman" w:hAnsi="Times New Roman"/>
          <w:sz w:val="24"/>
          <w:szCs w:val="24"/>
        </w:rPr>
        <w:t xml:space="preserve">que au niveau du </w:t>
      </w:r>
      <w:r w:rsidRPr="003E743A">
        <w:rPr>
          <w:rFonts w:ascii="Times New Roman" w:hAnsi="Times New Roman"/>
          <w:sz w:val="24"/>
          <w:szCs w:val="24"/>
        </w:rPr>
        <w:t>milieu biophysique.</w:t>
      </w:r>
    </w:p>
    <w:p w:rsidR="00C856C0" w:rsidRDefault="00366CA3" w:rsidP="00FA3FAE">
      <w:pPr>
        <w:pStyle w:val="Listecouleur-Accent11"/>
        <w:numPr>
          <w:ilvl w:val="0"/>
          <w:numId w:val="79"/>
        </w:numPr>
        <w:spacing w:after="200"/>
        <w:rPr>
          <w:rFonts w:ascii="Times New Roman" w:hAnsi="Times New Roman"/>
          <w:b/>
          <w:sz w:val="24"/>
          <w:szCs w:val="24"/>
        </w:rPr>
      </w:pPr>
      <w:r w:rsidRPr="00AA6F0C">
        <w:rPr>
          <w:rFonts w:ascii="Times New Roman" w:hAnsi="Times New Roman"/>
          <w:b/>
          <w:sz w:val="24"/>
          <w:szCs w:val="24"/>
        </w:rPr>
        <w:t>Impacts positifs sur le milieu biophysique</w:t>
      </w:r>
    </w:p>
    <w:tbl>
      <w:tblPr>
        <w:tblpPr w:leftFromText="141" w:rightFromText="141" w:vertAnchor="text" w:horzAnchor="margin" w:tblpXSpec="right" w:tblpY="444"/>
        <w:tblW w:w="3153" w:type="dxa"/>
        <w:tblBorders>
          <w:top w:val="single" w:sz="4" w:space="0" w:color="auto"/>
          <w:left w:val="dashDotStroked" w:sz="24" w:space="0" w:color="auto"/>
          <w:bottom w:val="dashDotStroked" w:sz="24" w:space="0" w:color="auto"/>
          <w:right w:val="dashDotStroked" w:sz="24" w:space="0" w:color="auto"/>
          <w:insideH w:val="single" w:sz="4" w:space="0" w:color="auto"/>
          <w:insideV w:val="dashDotStroked" w:sz="24" w:space="0" w:color="auto"/>
        </w:tblBorders>
        <w:tblLook w:val="04A0" w:firstRow="1" w:lastRow="0" w:firstColumn="1" w:lastColumn="0" w:noHBand="0" w:noVBand="1"/>
      </w:tblPr>
      <w:tblGrid>
        <w:gridCol w:w="1490"/>
        <w:gridCol w:w="1230"/>
        <w:gridCol w:w="433"/>
      </w:tblGrid>
      <w:tr w:rsidR="000F5D9F" w:rsidRPr="00AA45E9" w:rsidTr="000F5D9F">
        <w:tc>
          <w:tcPr>
            <w:tcW w:w="3153" w:type="dxa"/>
            <w:gridSpan w:val="3"/>
            <w:tcBorders>
              <w:bottom w:val="single" w:sz="4" w:space="0" w:color="auto"/>
            </w:tcBorders>
            <w:shd w:val="clear" w:color="auto" w:fill="002060"/>
          </w:tcPr>
          <w:p w:rsidR="000F5D9F" w:rsidRPr="00867483" w:rsidRDefault="000F5D9F" w:rsidP="000F5D9F">
            <w:pPr>
              <w:spacing w:after="0" w:line="240" w:lineRule="auto"/>
              <w:jc w:val="center"/>
              <w:rPr>
                <w:rFonts w:ascii="Times New Roman" w:hAnsi="Times New Roman"/>
                <w:b/>
                <w:sz w:val="24"/>
                <w:szCs w:val="24"/>
              </w:rPr>
            </w:pPr>
            <w:r w:rsidRPr="00867483">
              <w:rPr>
                <w:rFonts w:ascii="Times New Roman" w:hAnsi="Times New Roman"/>
                <w:b/>
                <w:sz w:val="24"/>
                <w:szCs w:val="24"/>
              </w:rPr>
              <w:t>Caractérisation de l’impact</w:t>
            </w:r>
          </w:p>
        </w:tc>
      </w:tr>
      <w:tr w:rsidR="0019769C" w:rsidRPr="00AA45E9" w:rsidTr="00D96D77">
        <w:tc>
          <w:tcPr>
            <w:tcW w:w="1507" w:type="dxa"/>
            <w:tcBorders>
              <w:bottom w:val="single" w:sz="4" w:space="0" w:color="auto"/>
              <w:right w:val="single" w:sz="4" w:space="0" w:color="auto"/>
            </w:tcBorders>
            <w:shd w:val="clear" w:color="auto" w:fill="002060"/>
          </w:tcPr>
          <w:p w:rsidR="0019769C" w:rsidRPr="00AA45E9" w:rsidRDefault="0019769C" w:rsidP="00FC410F">
            <w:pPr>
              <w:spacing w:after="0" w:line="240" w:lineRule="auto"/>
              <w:jc w:val="center"/>
              <w:rPr>
                <w:rFonts w:ascii="Times New Roman" w:hAnsi="Times New Roman"/>
                <w:b/>
                <w:sz w:val="24"/>
                <w:szCs w:val="24"/>
              </w:rPr>
            </w:pPr>
            <w:r>
              <w:rPr>
                <w:rFonts w:ascii="Times New Roman" w:hAnsi="Times New Roman"/>
                <w:b/>
                <w:sz w:val="24"/>
                <w:szCs w:val="24"/>
              </w:rPr>
              <w:t xml:space="preserve">Nature </w:t>
            </w:r>
          </w:p>
        </w:tc>
        <w:tc>
          <w:tcPr>
            <w:tcW w:w="1646" w:type="dxa"/>
            <w:gridSpan w:val="2"/>
            <w:tcBorders>
              <w:left w:val="single" w:sz="4" w:space="0" w:color="auto"/>
              <w:bottom w:val="single" w:sz="4" w:space="0" w:color="auto"/>
            </w:tcBorders>
            <w:shd w:val="clear" w:color="auto" w:fill="auto"/>
          </w:tcPr>
          <w:p w:rsidR="0019769C" w:rsidRPr="00E96A04" w:rsidRDefault="0019769C" w:rsidP="000F5D9F">
            <w:pPr>
              <w:spacing w:after="0" w:line="240" w:lineRule="auto"/>
              <w:jc w:val="center"/>
              <w:rPr>
                <w:rFonts w:ascii="Times New Roman" w:hAnsi="Times New Roman"/>
                <w:b/>
                <w:sz w:val="24"/>
                <w:szCs w:val="24"/>
              </w:rPr>
            </w:pPr>
            <w:r w:rsidRPr="00E96A04">
              <w:rPr>
                <w:rFonts w:ascii="Times New Roman" w:hAnsi="Times New Roman"/>
                <w:b/>
                <w:sz w:val="24"/>
                <w:szCs w:val="24"/>
              </w:rPr>
              <w:t>Positif</w:t>
            </w:r>
          </w:p>
        </w:tc>
      </w:tr>
      <w:tr w:rsidR="000F5D9F" w:rsidRPr="00AA45E9" w:rsidTr="000F5D9F">
        <w:tc>
          <w:tcPr>
            <w:tcW w:w="1507" w:type="dxa"/>
            <w:tcBorders>
              <w:bottom w:val="single" w:sz="4" w:space="0" w:color="auto"/>
              <w:right w:val="single" w:sz="4" w:space="0" w:color="auto"/>
            </w:tcBorders>
            <w:shd w:val="clear" w:color="auto" w:fill="002060"/>
          </w:tcPr>
          <w:p w:rsidR="000F5D9F" w:rsidRPr="00AA45E9" w:rsidRDefault="000F5D9F" w:rsidP="000F5D9F">
            <w:pPr>
              <w:spacing w:after="0" w:line="240" w:lineRule="auto"/>
              <w:jc w:val="center"/>
              <w:rPr>
                <w:rFonts w:ascii="Times New Roman" w:hAnsi="Times New Roman"/>
                <w:b/>
                <w:sz w:val="24"/>
                <w:szCs w:val="24"/>
              </w:rPr>
            </w:pPr>
            <w:r w:rsidRPr="00AA45E9">
              <w:rPr>
                <w:rFonts w:ascii="Times New Roman" w:hAnsi="Times New Roman"/>
                <w:b/>
                <w:sz w:val="24"/>
                <w:szCs w:val="24"/>
              </w:rPr>
              <w:t>Intensité</w:t>
            </w:r>
          </w:p>
        </w:tc>
        <w:tc>
          <w:tcPr>
            <w:tcW w:w="1190" w:type="dxa"/>
            <w:tcBorders>
              <w:left w:val="single" w:sz="4" w:space="0" w:color="auto"/>
              <w:bottom w:val="single" w:sz="4" w:space="0" w:color="auto"/>
              <w:right w:val="single" w:sz="4" w:space="0" w:color="auto"/>
            </w:tcBorders>
            <w:shd w:val="clear" w:color="auto" w:fill="auto"/>
          </w:tcPr>
          <w:p w:rsidR="000F5D9F" w:rsidRPr="00867483" w:rsidRDefault="0019769C" w:rsidP="000F5D9F">
            <w:pPr>
              <w:spacing w:after="0" w:line="240" w:lineRule="auto"/>
              <w:jc w:val="center"/>
              <w:rPr>
                <w:rFonts w:ascii="Times New Roman" w:hAnsi="Times New Roman"/>
                <w:sz w:val="24"/>
                <w:szCs w:val="24"/>
              </w:rPr>
            </w:pPr>
            <w:r>
              <w:rPr>
                <w:rFonts w:ascii="Times New Roman" w:hAnsi="Times New Roman"/>
                <w:sz w:val="24"/>
                <w:szCs w:val="24"/>
              </w:rPr>
              <w:t>Faible</w:t>
            </w:r>
          </w:p>
        </w:tc>
        <w:tc>
          <w:tcPr>
            <w:tcW w:w="456" w:type="dxa"/>
            <w:tcBorders>
              <w:left w:val="single" w:sz="4" w:space="0" w:color="auto"/>
              <w:bottom w:val="single" w:sz="4" w:space="0" w:color="auto"/>
            </w:tcBorders>
            <w:shd w:val="clear" w:color="auto" w:fill="auto"/>
          </w:tcPr>
          <w:p w:rsidR="000F5D9F" w:rsidRPr="00867483" w:rsidRDefault="0019769C" w:rsidP="000F5D9F">
            <w:pPr>
              <w:spacing w:after="0" w:line="240" w:lineRule="auto"/>
              <w:jc w:val="center"/>
              <w:rPr>
                <w:rFonts w:ascii="Times New Roman" w:hAnsi="Times New Roman"/>
                <w:sz w:val="24"/>
                <w:szCs w:val="24"/>
              </w:rPr>
            </w:pPr>
            <w:r>
              <w:rPr>
                <w:rFonts w:ascii="Times New Roman" w:hAnsi="Times New Roman"/>
                <w:sz w:val="24"/>
                <w:szCs w:val="24"/>
              </w:rPr>
              <w:t>1</w:t>
            </w:r>
          </w:p>
        </w:tc>
      </w:tr>
      <w:tr w:rsidR="000F5D9F" w:rsidRPr="00AA45E9" w:rsidTr="000F5D9F">
        <w:tc>
          <w:tcPr>
            <w:tcW w:w="1507" w:type="dxa"/>
            <w:tcBorders>
              <w:bottom w:val="single" w:sz="4" w:space="0" w:color="auto"/>
              <w:right w:val="single" w:sz="4" w:space="0" w:color="auto"/>
            </w:tcBorders>
            <w:shd w:val="clear" w:color="auto" w:fill="002060"/>
          </w:tcPr>
          <w:p w:rsidR="000F5D9F" w:rsidRPr="00AA45E9" w:rsidRDefault="000F5D9F" w:rsidP="000F5D9F">
            <w:pPr>
              <w:spacing w:after="0" w:line="240" w:lineRule="auto"/>
              <w:jc w:val="center"/>
              <w:rPr>
                <w:rFonts w:ascii="Times New Roman" w:hAnsi="Times New Roman"/>
                <w:sz w:val="24"/>
                <w:szCs w:val="24"/>
              </w:rPr>
            </w:pPr>
            <w:r w:rsidRPr="00AA45E9">
              <w:rPr>
                <w:rFonts w:ascii="Times New Roman" w:hAnsi="Times New Roman"/>
                <w:b/>
                <w:sz w:val="24"/>
                <w:szCs w:val="24"/>
              </w:rPr>
              <w:t>Etendue</w:t>
            </w:r>
          </w:p>
        </w:tc>
        <w:tc>
          <w:tcPr>
            <w:tcW w:w="1190" w:type="dxa"/>
            <w:tcBorders>
              <w:left w:val="single" w:sz="4" w:space="0" w:color="auto"/>
              <w:bottom w:val="single" w:sz="4" w:space="0" w:color="auto"/>
              <w:right w:val="single" w:sz="4" w:space="0" w:color="auto"/>
            </w:tcBorders>
          </w:tcPr>
          <w:p w:rsidR="000F5D9F" w:rsidRPr="00867483" w:rsidRDefault="0019769C" w:rsidP="000F5D9F">
            <w:pPr>
              <w:spacing w:after="0" w:line="240" w:lineRule="auto"/>
              <w:jc w:val="center"/>
              <w:rPr>
                <w:rFonts w:ascii="Times New Roman" w:hAnsi="Times New Roman"/>
                <w:sz w:val="24"/>
                <w:szCs w:val="24"/>
              </w:rPr>
            </w:pPr>
            <w:r>
              <w:rPr>
                <w:rFonts w:ascii="Times New Roman" w:hAnsi="Times New Roman"/>
                <w:sz w:val="24"/>
                <w:szCs w:val="24"/>
              </w:rPr>
              <w:t>Ponctuelle</w:t>
            </w:r>
          </w:p>
        </w:tc>
        <w:tc>
          <w:tcPr>
            <w:tcW w:w="456" w:type="dxa"/>
            <w:tcBorders>
              <w:left w:val="single" w:sz="4" w:space="0" w:color="auto"/>
              <w:bottom w:val="single" w:sz="4" w:space="0" w:color="auto"/>
            </w:tcBorders>
          </w:tcPr>
          <w:p w:rsidR="000F5D9F" w:rsidRPr="00867483" w:rsidRDefault="0019769C" w:rsidP="000F5D9F">
            <w:pPr>
              <w:spacing w:after="0" w:line="240" w:lineRule="auto"/>
              <w:jc w:val="center"/>
              <w:rPr>
                <w:rFonts w:ascii="Times New Roman" w:hAnsi="Times New Roman"/>
                <w:sz w:val="24"/>
                <w:szCs w:val="24"/>
              </w:rPr>
            </w:pPr>
            <w:r>
              <w:rPr>
                <w:rFonts w:ascii="Times New Roman" w:hAnsi="Times New Roman"/>
                <w:sz w:val="24"/>
                <w:szCs w:val="24"/>
              </w:rPr>
              <w:t>1</w:t>
            </w:r>
          </w:p>
        </w:tc>
      </w:tr>
      <w:tr w:rsidR="000F5D9F" w:rsidRPr="00AA45E9" w:rsidTr="000F5D9F">
        <w:tc>
          <w:tcPr>
            <w:tcW w:w="1507" w:type="dxa"/>
            <w:tcBorders>
              <w:bottom w:val="single" w:sz="4" w:space="0" w:color="auto"/>
              <w:right w:val="single" w:sz="4" w:space="0" w:color="auto"/>
            </w:tcBorders>
            <w:shd w:val="clear" w:color="auto" w:fill="002060"/>
          </w:tcPr>
          <w:p w:rsidR="000F5D9F" w:rsidRDefault="000F5D9F" w:rsidP="000F5D9F">
            <w:pPr>
              <w:spacing w:after="0" w:line="240" w:lineRule="auto"/>
              <w:jc w:val="center"/>
              <w:rPr>
                <w:rFonts w:ascii="Times New Roman" w:hAnsi="Times New Roman"/>
                <w:sz w:val="24"/>
                <w:szCs w:val="24"/>
              </w:rPr>
            </w:pPr>
            <w:r w:rsidRPr="00AA45E9">
              <w:rPr>
                <w:rFonts w:ascii="Times New Roman" w:hAnsi="Times New Roman"/>
                <w:b/>
                <w:sz w:val="24"/>
                <w:szCs w:val="24"/>
              </w:rPr>
              <w:t>Durée</w:t>
            </w:r>
          </w:p>
        </w:tc>
        <w:tc>
          <w:tcPr>
            <w:tcW w:w="1190" w:type="dxa"/>
            <w:tcBorders>
              <w:left w:val="single" w:sz="4" w:space="0" w:color="auto"/>
              <w:bottom w:val="single" w:sz="4" w:space="0" w:color="auto"/>
              <w:right w:val="single" w:sz="4" w:space="0" w:color="auto"/>
            </w:tcBorders>
          </w:tcPr>
          <w:p w:rsidR="000F5D9F" w:rsidRPr="00867483" w:rsidRDefault="0019769C" w:rsidP="000F5D9F">
            <w:pPr>
              <w:spacing w:after="0" w:line="240" w:lineRule="auto"/>
              <w:jc w:val="center"/>
              <w:rPr>
                <w:rFonts w:ascii="Times New Roman" w:hAnsi="Times New Roman"/>
                <w:sz w:val="24"/>
                <w:szCs w:val="24"/>
              </w:rPr>
            </w:pPr>
            <w:r>
              <w:rPr>
                <w:rFonts w:ascii="Times New Roman" w:hAnsi="Times New Roman"/>
                <w:sz w:val="24"/>
                <w:szCs w:val="24"/>
              </w:rPr>
              <w:t>Longue</w:t>
            </w:r>
          </w:p>
        </w:tc>
        <w:tc>
          <w:tcPr>
            <w:tcW w:w="456" w:type="dxa"/>
            <w:tcBorders>
              <w:left w:val="single" w:sz="4" w:space="0" w:color="auto"/>
              <w:bottom w:val="single" w:sz="4" w:space="0" w:color="auto"/>
            </w:tcBorders>
          </w:tcPr>
          <w:p w:rsidR="000F5D9F" w:rsidRPr="00867483" w:rsidRDefault="0019769C" w:rsidP="000F5D9F">
            <w:pPr>
              <w:spacing w:after="0" w:line="240" w:lineRule="auto"/>
              <w:jc w:val="center"/>
              <w:rPr>
                <w:rFonts w:ascii="Times New Roman" w:hAnsi="Times New Roman"/>
                <w:sz w:val="24"/>
                <w:szCs w:val="24"/>
              </w:rPr>
            </w:pPr>
            <w:r>
              <w:rPr>
                <w:rFonts w:ascii="Times New Roman" w:hAnsi="Times New Roman"/>
                <w:sz w:val="24"/>
                <w:szCs w:val="24"/>
              </w:rPr>
              <w:t>5</w:t>
            </w:r>
          </w:p>
        </w:tc>
      </w:tr>
      <w:tr w:rsidR="000F5D9F" w:rsidRPr="00AA45E9" w:rsidTr="00FC410F">
        <w:tc>
          <w:tcPr>
            <w:tcW w:w="3153" w:type="dxa"/>
            <w:gridSpan w:val="3"/>
            <w:tcBorders>
              <w:bottom w:val="single" w:sz="4" w:space="0" w:color="auto"/>
            </w:tcBorders>
            <w:shd w:val="clear" w:color="auto" w:fill="FFFFFF" w:themeFill="background1"/>
          </w:tcPr>
          <w:p w:rsidR="000F5D9F" w:rsidRPr="00867483" w:rsidRDefault="000F5D9F" w:rsidP="000F5D9F">
            <w:pPr>
              <w:spacing w:after="0" w:line="240" w:lineRule="auto"/>
              <w:jc w:val="center"/>
              <w:rPr>
                <w:rFonts w:ascii="Times New Roman" w:hAnsi="Times New Roman"/>
                <w:sz w:val="6"/>
                <w:szCs w:val="6"/>
              </w:rPr>
            </w:pPr>
          </w:p>
        </w:tc>
      </w:tr>
      <w:tr w:rsidR="000F5D9F" w:rsidRPr="00AA45E9" w:rsidTr="0019769C">
        <w:tc>
          <w:tcPr>
            <w:tcW w:w="1507" w:type="dxa"/>
            <w:tcBorders>
              <w:bottom w:val="dashDotStroked" w:sz="24" w:space="0" w:color="auto"/>
              <w:right w:val="single" w:sz="4" w:space="0" w:color="auto"/>
            </w:tcBorders>
            <w:shd w:val="clear" w:color="auto" w:fill="002060"/>
          </w:tcPr>
          <w:p w:rsidR="000F5D9F" w:rsidRPr="00AA45E9" w:rsidRDefault="000F5D9F" w:rsidP="000F5D9F">
            <w:pPr>
              <w:spacing w:after="0" w:line="240" w:lineRule="auto"/>
              <w:jc w:val="center"/>
              <w:rPr>
                <w:rFonts w:ascii="Times New Roman" w:hAnsi="Times New Roman"/>
                <w:b/>
                <w:sz w:val="24"/>
                <w:szCs w:val="24"/>
              </w:rPr>
            </w:pPr>
            <w:r w:rsidRPr="00AA45E9">
              <w:rPr>
                <w:rFonts w:ascii="Times New Roman" w:hAnsi="Times New Roman"/>
                <w:b/>
                <w:sz w:val="24"/>
                <w:szCs w:val="24"/>
              </w:rPr>
              <w:t>Importance</w:t>
            </w:r>
          </w:p>
        </w:tc>
        <w:tc>
          <w:tcPr>
            <w:tcW w:w="1190" w:type="dxa"/>
            <w:tcBorders>
              <w:left w:val="single" w:sz="4" w:space="0" w:color="auto"/>
              <w:bottom w:val="dashDotStroked" w:sz="24" w:space="0" w:color="auto"/>
              <w:right w:val="single" w:sz="4" w:space="0" w:color="auto"/>
            </w:tcBorders>
            <w:shd w:val="clear" w:color="auto" w:fill="F7CAAC" w:themeFill="accent2" w:themeFillTint="66"/>
          </w:tcPr>
          <w:p w:rsidR="000F5D9F" w:rsidRPr="008E6D9C" w:rsidRDefault="0019769C" w:rsidP="000F5D9F">
            <w:pPr>
              <w:spacing w:after="0" w:line="240" w:lineRule="auto"/>
              <w:jc w:val="center"/>
              <w:rPr>
                <w:rFonts w:ascii="Times New Roman" w:hAnsi="Times New Roman"/>
                <w:b/>
                <w:sz w:val="24"/>
                <w:szCs w:val="24"/>
              </w:rPr>
            </w:pPr>
            <w:r>
              <w:rPr>
                <w:rFonts w:ascii="Times New Roman" w:hAnsi="Times New Roman"/>
                <w:b/>
                <w:sz w:val="24"/>
                <w:szCs w:val="24"/>
              </w:rPr>
              <w:t>Mineure</w:t>
            </w:r>
          </w:p>
        </w:tc>
        <w:tc>
          <w:tcPr>
            <w:tcW w:w="456" w:type="dxa"/>
            <w:tcBorders>
              <w:left w:val="single" w:sz="4" w:space="0" w:color="auto"/>
              <w:bottom w:val="dashDotStroked" w:sz="24" w:space="0" w:color="auto"/>
            </w:tcBorders>
            <w:shd w:val="clear" w:color="auto" w:fill="F7CAAC" w:themeFill="accent2" w:themeFillTint="66"/>
          </w:tcPr>
          <w:p w:rsidR="000F5D9F" w:rsidRPr="008E6D9C" w:rsidRDefault="000F5D9F" w:rsidP="000F5D9F">
            <w:pPr>
              <w:spacing w:after="0" w:line="240" w:lineRule="auto"/>
              <w:jc w:val="center"/>
              <w:rPr>
                <w:rFonts w:ascii="Times New Roman" w:hAnsi="Times New Roman"/>
                <w:b/>
                <w:sz w:val="24"/>
                <w:szCs w:val="24"/>
              </w:rPr>
            </w:pPr>
            <w:r w:rsidRPr="008E6D9C">
              <w:rPr>
                <w:rFonts w:ascii="Times New Roman" w:hAnsi="Times New Roman"/>
                <w:b/>
                <w:sz w:val="24"/>
                <w:szCs w:val="24"/>
              </w:rPr>
              <w:t>5</w:t>
            </w:r>
          </w:p>
        </w:tc>
      </w:tr>
    </w:tbl>
    <w:p w:rsidR="00C856C0" w:rsidRPr="000F5D9F" w:rsidRDefault="00E11321" w:rsidP="00FA3FAE">
      <w:pPr>
        <w:pStyle w:val="PargrafodaLista"/>
        <w:numPr>
          <w:ilvl w:val="0"/>
          <w:numId w:val="41"/>
        </w:numPr>
        <w:pBdr>
          <w:bottom w:val="dashDotStroked" w:sz="24" w:space="1" w:color="auto"/>
        </w:pBdr>
        <w:jc w:val="both"/>
        <w:rPr>
          <w:rFonts w:ascii="Times New Roman" w:hAnsi="Times New Roman"/>
          <w:b/>
          <w:sz w:val="24"/>
          <w:szCs w:val="24"/>
        </w:rPr>
      </w:pPr>
      <w:r w:rsidRPr="000F5D9F">
        <w:rPr>
          <w:rFonts w:ascii="Times New Roman" w:hAnsi="Times New Roman"/>
          <w:b/>
          <w:sz w:val="24"/>
          <w:szCs w:val="24"/>
        </w:rPr>
        <w:t>Impacts positifs sur les paysages</w:t>
      </w:r>
    </w:p>
    <w:p w:rsidR="00E11321" w:rsidRDefault="000739C1" w:rsidP="00D2682F">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Grace au </w:t>
      </w:r>
      <w:r w:rsidR="000F5D9F">
        <w:rPr>
          <w:rFonts w:ascii="Times New Roman" w:hAnsi="Times New Roman" w:cs="Times New Roman"/>
          <w:color w:val="000000"/>
          <w:sz w:val="24"/>
          <w:szCs w:val="24"/>
        </w:rPr>
        <w:t>déversement</w:t>
      </w:r>
      <w:r>
        <w:rPr>
          <w:rFonts w:ascii="Times New Roman" w:hAnsi="Times New Roman" w:cs="Times New Roman"/>
          <w:color w:val="000000"/>
          <w:sz w:val="24"/>
          <w:szCs w:val="24"/>
        </w:rPr>
        <w:t xml:space="preserve"> régulier du </w:t>
      </w:r>
      <w:r w:rsidR="000F5D9F">
        <w:rPr>
          <w:rFonts w:ascii="Times New Roman" w:hAnsi="Times New Roman" w:cs="Times New Roman"/>
          <w:color w:val="000000"/>
          <w:sz w:val="24"/>
          <w:szCs w:val="24"/>
        </w:rPr>
        <w:t xml:space="preserve">trop-plein, une végétation verdoyante pourra être noter aux alentours des déversoirs mais ces eaux pourront être utiliser pour l’arrosage des arbres d’ornement ou d’ombrage.   </w:t>
      </w:r>
    </w:p>
    <w:p w:rsidR="007F1DFA" w:rsidRDefault="007F1DFA" w:rsidP="00D2682F">
      <w:pPr>
        <w:jc w:val="both"/>
        <w:rPr>
          <w:rFonts w:ascii="Times New Roman" w:hAnsi="Times New Roman" w:cs="Times New Roman"/>
          <w:color w:val="000000"/>
          <w:sz w:val="24"/>
          <w:szCs w:val="24"/>
        </w:rPr>
      </w:pPr>
    </w:p>
    <w:tbl>
      <w:tblPr>
        <w:tblpPr w:leftFromText="141" w:rightFromText="141" w:vertAnchor="text" w:horzAnchor="margin" w:tblpXSpec="right" w:tblpY="448"/>
        <w:tblW w:w="3153" w:type="dxa"/>
        <w:tblBorders>
          <w:top w:val="single" w:sz="4" w:space="0" w:color="auto"/>
          <w:left w:val="dashDotStroked" w:sz="24" w:space="0" w:color="auto"/>
          <w:bottom w:val="dashDotStroked" w:sz="24" w:space="0" w:color="auto"/>
          <w:right w:val="dashDotStroked" w:sz="24" w:space="0" w:color="auto"/>
          <w:insideH w:val="single" w:sz="4" w:space="0" w:color="auto"/>
          <w:insideV w:val="dashDotStroked" w:sz="24" w:space="0" w:color="auto"/>
        </w:tblBorders>
        <w:tblLook w:val="04A0" w:firstRow="1" w:lastRow="0" w:firstColumn="1" w:lastColumn="0" w:noHBand="0" w:noVBand="1"/>
      </w:tblPr>
      <w:tblGrid>
        <w:gridCol w:w="1490"/>
        <w:gridCol w:w="1230"/>
        <w:gridCol w:w="433"/>
      </w:tblGrid>
      <w:tr w:rsidR="00FC410F" w:rsidRPr="00AA45E9" w:rsidTr="00FC410F">
        <w:tc>
          <w:tcPr>
            <w:tcW w:w="3153" w:type="dxa"/>
            <w:gridSpan w:val="3"/>
            <w:tcBorders>
              <w:bottom w:val="single" w:sz="4" w:space="0" w:color="auto"/>
            </w:tcBorders>
            <w:shd w:val="clear" w:color="auto" w:fill="002060"/>
          </w:tcPr>
          <w:p w:rsidR="00FC410F" w:rsidRPr="00867483" w:rsidRDefault="00FC410F" w:rsidP="00FC410F">
            <w:pPr>
              <w:spacing w:after="0" w:line="240" w:lineRule="auto"/>
              <w:jc w:val="center"/>
              <w:rPr>
                <w:rFonts w:ascii="Times New Roman" w:hAnsi="Times New Roman"/>
                <w:b/>
                <w:sz w:val="24"/>
                <w:szCs w:val="24"/>
              </w:rPr>
            </w:pPr>
            <w:r w:rsidRPr="00867483">
              <w:rPr>
                <w:rFonts w:ascii="Times New Roman" w:hAnsi="Times New Roman"/>
                <w:b/>
                <w:sz w:val="24"/>
                <w:szCs w:val="24"/>
              </w:rPr>
              <w:t>Caractérisation de l’impact</w:t>
            </w:r>
          </w:p>
        </w:tc>
      </w:tr>
      <w:tr w:rsidR="0019769C" w:rsidRPr="00AA45E9" w:rsidTr="00D96D77">
        <w:tc>
          <w:tcPr>
            <w:tcW w:w="1507" w:type="dxa"/>
            <w:tcBorders>
              <w:bottom w:val="single" w:sz="4" w:space="0" w:color="auto"/>
              <w:right w:val="single" w:sz="4" w:space="0" w:color="auto"/>
            </w:tcBorders>
            <w:shd w:val="clear" w:color="auto" w:fill="002060"/>
          </w:tcPr>
          <w:p w:rsidR="0019769C" w:rsidRPr="00AA45E9" w:rsidRDefault="0019769C" w:rsidP="00FC410F">
            <w:pPr>
              <w:spacing w:after="0" w:line="240" w:lineRule="auto"/>
              <w:jc w:val="center"/>
              <w:rPr>
                <w:rFonts w:ascii="Times New Roman" w:hAnsi="Times New Roman"/>
                <w:b/>
                <w:sz w:val="24"/>
                <w:szCs w:val="24"/>
              </w:rPr>
            </w:pPr>
            <w:r>
              <w:rPr>
                <w:rFonts w:ascii="Times New Roman" w:hAnsi="Times New Roman"/>
                <w:b/>
                <w:sz w:val="24"/>
                <w:szCs w:val="24"/>
              </w:rPr>
              <w:t xml:space="preserve">Nature </w:t>
            </w:r>
          </w:p>
        </w:tc>
        <w:tc>
          <w:tcPr>
            <w:tcW w:w="1646" w:type="dxa"/>
            <w:gridSpan w:val="2"/>
            <w:tcBorders>
              <w:left w:val="single" w:sz="4" w:space="0" w:color="auto"/>
              <w:bottom w:val="single" w:sz="4" w:space="0" w:color="auto"/>
            </w:tcBorders>
            <w:shd w:val="clear" w:color="auto" w:fill="auto"/>
          </w:tcPr>
          <w:p w:rsidR="0019769C" w:rsidRPr="00E96A04" w:rsidRDefault="0019769C" w:rsidP="00FC410F">
            <w:pPr>
              <w:spacing w:after="0" w:line="240" w:lineRule="auto"/>
              <w:jc w:val="center"/>
              <w:rPr>
                <w:rFonts w:ascii="Times New Roman" w:hAnsi="Times New Roman"/>
                <w:b/>
                <w:sz w:val="24"/>
                <w:szCs w:val="24"/>
              </w:rPr>
            </w:pPr>
            <w:r w:rsidRPr="00E96A04">
              <w:rPr>
                <w:rFonts w:ascii="Times New Roman" w:hAnsi="Times New Roman"/>
                <w:b/>
                <w:sz w:val="24"/>
                <w:szCs w:val="24"/>
              </w:rPr>
              <w:t>Positif</w:t>
            </w:r>
          </w:p>
        </w:tc>
      </w:tr>
      <w:tr w:rsidR="0019769C" w:rsidRPr="00AA45E9" w:rsidTr="00FC410F">
        <w:tc>
          <w:tcPr>
            <w:tcW w:w="1507" w:type="dxa"/>
            <w:tcBorders>
              <w:bottom w:val="single" w:sz="4" w:space="0" w:color="auto"/>
              <w:right w:val="single" w:sz="4" w:space="0" w:color="auto"/>
            </w:tcBorders>
            <w:shd w:val="clear" w:color="auto" w:fill="002060"/>
          </w:tcPr>
          <w:p w:rsidR="0019769C" w:rsidRPr="00AA45E9" w:rsidRDefault="0019769C" w:rsidP="0019769C">
            <w:pPr>
              <w:spacing w:after="0" w:line="240" w:lineRule="auto"/>
              <w:jc w:val="center"/>
              <w:rPr>
                <w:rFonts w:ascii="Times New Roman" w:hAnsi="Times New Roman"/>
                <w:b/>
                <w:sz w:val="24"/>
                <w:szCs w:val="24"/>
              </w:rPr>
            </w:pPr>
            <w:r w:rsidRPr="00AA45E9">
              <w:rPr>
                <w:rFonts w:ascii="Times New Roman" w:hAnsi="Times New Roman"/>
                <w:b/>
                <w:sz w:val="24"/>
                <w:szCs w:val="24"/>
              </w:rPr>
              <w:t>Intensité</w:t>
            </w:r>
          </w:p>
        </w:tc>
        <w:tc>
          <w:tcPr>
            <w:tcW w:w="1190" w:type="dxa"/>
            <w:tcBorders>
              <w:left w:val="single" w:sz="4" w:space="0" w:color="auto"/>
              <w:bottom w:val="single" w:sz="4" w:space="0" w:color="auto"/>
              <w:right w:val="single" w:sz="4" w:space="0" w:color="auto"/>
            </w:tcBorders>
            <w:shd w:val="clear" w:color="auto" w:fill="auto"/>
          </w:tcPr>
          <w:p w:rsidR="0019769C" w:rsidRPr="00867483" w:rsidRDefault="0019769C" w:rsidP="0019769C">
            <w:pPr>
              <w:spacing w:after="0" w:line="240" w:lineRule="auto"/>
              <w:jc w:val="center"/>
              <w:rPr>
                <w:rFonts w:ascii="Times New Roman" w:hAnsi="Times New Roman"/>
                <w:sz w:val="24"/>
                <w:szCs w:val="24"/>
              </w:rPr>
            </w:pPr>
            <w:r>
              <w:rPr>
                <w:rFonts w:ascii="Times New Roman" w:hAnsi="Times New Roman"/>
                <w:sz w:val="24"/>
                <w:szCs w:val="24"/>
              </w:rPr>
              <w:t>Faible</w:t>
            </w:r>
          </w:p>
        </w:tc>
        <w:tc>
          <w:tcPr>
            <w:tcW w:w="456" w:type="dxa"/>
            <w:tcBorders>
              <w:left w:val="single" w:sz="4" w:space="0" w:color="auto"/>
              <w:bottom w:val="single" w:sz="4" w:space="0" w:color="auto"/>
            </w:tcBorders>
            <w:shd w:val="clear" w:color="auto" w:fill="auto"/>
          </w:tcPr>
          <w:p w:rsidR="0019769C" w:rsidRPr="00867483" w:rsidRDefault="0019769C" w:rsidP="0019769C">
            <w:pPr>
              <w:spacing w:after="0" w:line="240" w:lineRule="auto"/>
              <w:jc w:val="center"/>
              <w:rPr>
                <w:rFonts w:ascii="Times New Roman" w:hAnsi="Times New Roman"/>
                <w:sz w:val="24"/>
                <w:szCs w:val="24"/>
              </w:rPr>
            </w:pPr>
            <w:r>
              <w:rPr>
                <w:rFonts w:ascii="Times New Roman" w:hAnsi="Times New Roman"/>
                <w:sz w:val="24"/>
                <w:szCs w:val="24"/>
              </w:rPr>
              <w:t>1</w:t>
            </w:r>
          </w:p>
        </w:tc>
      </w:tr>
      <w:tr w:rsidR="0019769C" w:rsidRPr="00AA45E9" w:rsidTr="00FC410F">
        <w:tc>
          <w:tcPr>
            <w:tcW w:w="1507" w:type="dxa"/>
            <w:tcBorders>
              <w:bottom w:val="single" w:sz="4" w:space="0" w:color="auto"/>
              <w:right w:val="single" w:sz="4" w:space="0" w:color="auto"/>
            </w:tcBorders>
            <w:shd w:val="clear" w:color="auto" w:fill="002060"/>
          </w:tcPr>
          <w:p w:rsidR="0019769C" w:rsidRPr="00AA45E9" w:rsidRDefault="0019769C" w:rsidP="0019769C">
            <w:pPr>
              <w:spacing w:after="0" w:line="240" w:lineRule="auto"/>
              <w:jc w:val="center"/>
              <w:rPr>
                <w:rFonts w:ascii="Times New Roman" w:hAnsi="Times New Roman"/>
                <w:sz w:val="24"/>
                <w:szCs w:val="24"/>
              </w:rPr>
            </w:pPr>
            <w:r w:rsidRPr="00AA45E9">
              <w:rPr>
                <w:rFonts w:ascii="Times New Roman" w:hAnsi="Times New Roman"/>
                <w:b/>
                <w:sz w:val="24"/>
                <w:szCs w:val="24"/>
              </w:rPr>
              <w:t>Etendue</w:t>
            </w:r>
          </w:p>
        </w:tc>
        <w:tc>
          <w:tcPr>
            <w:tcW w:w="1190" w:type="dxa"/>
            <w:tcBorders>
              <w:left w:val="single" w:sz="4" w:space="0" w:color="auto"/>
              <w:bottom w:val="single" w:sz="4" w:space="0" w:color="auto"/>
              <w:right w:val="single" w:sz="4" w:space="0" w:color="auto"/>
            </w:tcBorders>
          </w:tcPr>
          <w:p w:rsidR="0019769C" w:rsidRPr="00867483" w:rsidRDefault="0019769C" w:rsidP="0019769C">
            <w:pPr>
              <w:spacing w:after="0" w:line="240" w:lineRule="auto"/>
              <w:jc w:val="center"/>
              <w:rPr>
                <w:rFonts w:ascii="Times New Roman" w:hAnsi="Times New Roman"/>
                <w:sz w:val="24"/>
                <w:szCs w:val="24"/>
              </w:rPr>
            </w:pPr>
            <w:r>
              <w:rPr>
                <w:rFonts w:ascii="Times New Roman" w:hAnsi="Times New Roman"/>
                <w:sz w:val="24"/>
                <w:szCs w:val="24"/>
              </w:rPr>
              <w:t>Ponctuelle</w:t>
            </w:r>
          </w:p>
        </w:tc>
        <w:tc>
          <w:tcPr>
            <w:tcW w:w="456" w:type="dxa"/>
            <w:tcBorders>
              <w:left w:val="single" w:sz="4" w:space="0" w:color="auto"/>
              <w:bottom w:val="single" w:sz="4" w:space="0" w:color="auto"/>
            </w:tcBorders>
          </w:tcPr>
          <w:p w:rsidR="0019769C" w:rsidRPr="00867483" w:rsidRDefault="0019769C" w:rsidP="0019769C">
            <w:pPr>
              <w:spacing w:after="0" w:line="240" w:lineRule="auto"/>
              <w:jc w:val="center"/>
              <w:rPr>
                <w:rFonts w:ascii="Times New Roman" w:hAnsi="Times New Roman"/>
                <w:sz w:val="24"/>
                <w:szCs w:val="24"/>
              </w:rPr>
            </w:pPr>
            <w:r>
              <w:rPr>
                <w:rFonts w:ascii="Times New Roman" w:hAnsi="Times New Roman"/>
                <w:sz w:val="24"/>
                <w:szCs w:val="24"/>
              </w:rPr>
              <w:t>1</w:t>
            </w:r>
          </w:p>
        </w:tc>
      </w:tr>
      <w:tr w:rsidR="0019769C" w:rsidRPr="00AA45E9" w:rsidTr="00FC410F">
        <w:tc>
          <w:tcPr>
            <w:tcW w:w="1507" w:type="dxa"/>
            <w:tcBorders>
              <w:bottom w:val="single" w:sz="4" w:space="0" w:color="auto"/>
              <w:right w:val="single" w:sz="4" w:space="0" w:color="auto"/>
            </w:tcBorders>
            <w:shd w:val="clear" w:color="auto" w:fill="002060"/>
          </w:tcPr>
          <w:p w:rsidR="0019769C" w:rsidRDefault="0019769C" w:rsidP="0019769C">
            <w:pPr>
              <w:spacing w:after="0" w:line="240" w:lineRule="auto"/>
              <w:jc w:val="center"/>
              <w:rPr>
                <w:rFonts w:ascii="Times New Roman" w:hAnsi="Times New Roman"/>
                <w:sz w:val="24"/>
                <w:szCs w:val="24"/>
              </w:rPr>
            </w:pPr>
            <w:r w:rsidRPr="00AA45E9">
              <w:rPr>
                <w:rFonts w:ascii="Times New Roman" w:hAnsi="Times New Roman"/>
                <w:b/>
                <w:sz w:val="24"/>
                <w:szCs w:val="24"/>
              </w:rPr>
              <w:t>Durée</w:t>
            </w:r>
          </w:p>
        </w:tc>
        <w:tc>
          <w:tcPr>
            <w:tcW w:w="1190" w:type="dxa"/>
            <w:tcBorders>
              <w:left w:val="single" w:sz="4" w:space="0" w:color="auto"/>
              <w:bottom w:val="single" w:sz="4" w:space="0" w:color="auto"/>
              <w:right w:val="single" w:sz="4" w:space="0" w:color="auto"/>
            </w:tcBorders>
          </w:tcPr>
          <w:p w:rsidR="0019769C" w:rsidRPr="00867483" w:rsidRDefault="0019769C" w:rsidP="0019769C">
            <w:pPr>
              <w:spacing w:after="0" w:line="240" w:lineRule="auto"/>
              <w:jc w:val="center"/>
              <w:rPr>
                <w:rFonts w:ascii="Times New Roman" w:hAnsi="Times New Roman"/>
                <w:sz w:val="24"/>
                <w:szCs w:val="24"/>
              </w:rPr>
            </w:pPr>
            <w:r>
              <w:rPr>
                <w:rFonts w:ascii="Times New Roman" w:hAnsi="Times New Roman"/>
                <w:sz w:val="24"/>
                <w:szCs w:val="24"/>
              </w:rPr>
              <w:t>Longue</w:t>
            </w:r>
          </w:p>
        </w:tc>
        <w:tc>
          <w:tcPr>
            <w:tcW w:w="456" w:type="dxa"/>
            <w:tcBorders>
              <w:left w:val="single" w:sz="4" w:space="0" w:color="auto"/>
              <w:bottom w:val="single" w:sz="4" w:space="0" w:color="auto"/>
            </w:tcBorders>
          </w:tcPr>
          <w:p w:rsidR="0019769C" w:rsidRPr="00867483" w:rsidRDefault="0019769C" w:rsidP="0019769C">
            <w:pPr>
              <w:spacing w:after="0" w:line="240" w:lineRule="auto"/>
              <w:jc w:val="center"/>
              <w:rPr>
                <w:rFonts w:ascii="Times New Roman" w:hAnsi="Times New Roman"/>
                <w:sz w:val="24"/>
                <w:szCs w:val="24"/>
              </w:rPr>
            </w:pPr>
            <w:r>
              <w:rPr>
                <w:rFonts w:ascii="Times New Roman" w:hAnsi="Times New Roman"/>
                <w:sz w:val="24"/>
                <w:szCs w:val="24"/>
              </w:rPr>
              <w:t>5</w:t>
            </w:r>
          </w:p>
        </w:tc>
      </w:tr>
      <w:tr w:rsidR="0019769C" w:rsidRPr="00AA45E9" w:rsidTr="00FC410F">
        <w:tc>
          <w:tcPr>
            <w:tcW w:w="3153" w:type="dxa"/>
            <w:gridSpan w:val="3"/>
            <w:tcBorders>
              <w:bottom w:val="single" w:sz="4" w:space="0" w:color="auto"/>
            </w:tcBorders>
            <w:shd w:val="clear" w:color="auto" w:fill="FFFFFF" w:themeFill="background1"/>
          </w:tcPr>
          <w:p w:rsidR="0019769C" w:rsidRPr="00867483" w:rsidRDefault="0019769C" w:rsidP="0019769C">
            <w:pPr>
              <w:spacing w:after="0" w:line="240" w:lineRule="auto"/>
              <w:jc w:val="center"/>
              <w:rPr>
                <w:rFonts w:ascii="Times New Roman" w:hAnsi="Times New Roman"/>
                <w:sz w:val="6"/>
                <w:szCs w:val="6"/>
              </w:rPr>
            </w:pPr>
          </w:p>
        </w:tc>
      </w:tr>
      <w:tr w:rsidR="0019769C" w:rsidRPr="00AA45E9" w:rsidTr="0019769C">
        <w:tc>
          <w:tcPr>
            <w:tcW w:w="1507" w:type="dxa"/>
            <w:tcBorders>
              <w:bottom w:val="dashDotStroked" w:sz="24" w:space="0" w:color="auto"/>
              <w:right w:val="single" w:sz="4" w:space="0" w:color="auto"/>
            </w:tcBorders>
            <w:shd w:val="clear" w:color="auto" w:fill="002060"/>
          </w:tcPr>
          <w:p w:rsidR="0019769C" w:rsidRPr="00AA45E9" w:rsidRDefault="0019769C" w:rsidP="0019769C">
            <w:pPr>
              <w:spacing w:after="0" w:line="240" w:lineRule="auto"/>
              <w:jc w:val="center"/>
              <w:rPr>
                <w:rFonts w:ascii="Times New Roman" w:hAnsi="Times New Roman"/>
                <w:b/>
                <w:sz w:val="24"/>
                <w:szCs w:val="24"/>
              </w:rPr>
            </w:pPr>
            <w:r w:rsidRPr="00AA45E9">
              <w:rPr>
                <w:rFonts w:ascii="Times New Roman" w:hAnsi="Times New Roman"/>
                <w:b/>
                <w:sz w:val="24"/>
                <w:szCs w:val="24"/>
              </w:rPr>
              <w:t>Importance</w:t>
            </w:r>
          </w:p>
        </w:tc>
        <w:tc>
          <w:tcPr>
            <w:tcW w:w="1190" w:type="dxa"/>
            <w:tcBorders>
              <w:left w:val="single" w:sz="4" w:space="0" w:color="auto"/>
              <w:bottom w:val="dashDotStroked" w:sz="24" w:space="0" w:color="auto"/>
              <w:right w:val="single" w:sz="4" w:space="0" w:color="auto"/>
            </w:tcBorders>
            <w:shd w:val="clear" w:color="auto" w:fill="F7CAAC" w:themeFill="accent2" w:themeFillTint="66"/>
          </w:tcPr>
          <w:p w:rsidR="0019769C" w:rsidRPr="008E6D9C" w:rsidRDefault="0019769C" w:rsidP="0019769C">
            <w:pPr>
              <w:spacing w:after="0" w:line="240" w:lineRule="auto"/>
              <w:jc w:val="center"/>
              <w:rPr>
                <w:rFonts w:ascii="Times New Roman" w:hAnsi="Times New Roman"/>
                <w:b/>
                <w:sz w:val="24"/>
                <w:szCs w:val="24"/>
              </w:rPr>
            </w:pPr>
            <w:r>
              <w:rPr>
                <w:rFonts w:ascii="Times New Roman" w:hAnsi="Times New Roman"/>
                <w:b/>
                <w:sz w:val="24"/>
                <w:szCs w:val="24"/>
              </w:rPr>
              <w:t>Mineure</w:t>
            </w:r>
          </w:p>
        </w:tc>
        <w:tc>
          <w:tcPr>
            <w:tcW w:w="456" w:type="dxa"/>
            <w:tcBorders>
              <w:left w:val="single" w:sz="4" w:space="0" w:color="auto"/>
              <w:bottom w:val="dashDotStroked" w:sz="24" w:space="0" w:color="auto"/>
            </w:tcBorders>
            <w:shd w:val="clear" w:color="auto" w:fill="F7CAAC" w:themeFill="accent2" w:themeFillTint="66"/>
          </w:tcPr>
          <w:p w:rsidR="0019769C" w:rsidRPr="008E6D9C" w:rsidRDefault="0019769C" w:rsidP="0019769C">
            <w:pPr>
              <w:spacing w:after="0" w:line="240" w:lineRule="auto"/>
              <w:jc w:val="center"/>
              <w:rPr>
                <w:rFonts w:ascii="Times New Roman" w:hAnsi="Times New Roman"/>
                <w:b/>
                <w:sz w:val="24"/>
                <w:szCs w:val="24"/>
              </w:rPr>
            </w:pPr>
            <w:r w:rsidRPr="008E6D9C">
              <w:rPr>
                <w:rFonts w:ascii="Times New Roman" w:hAnsi="Times New Roman"/>
                <w:b/>
                <w:sz w:val="24"/>
                <w:szCs w:val="24"/>
              </w:rPr>
              <w:t>5</w:t>
            </w:r>
          </w:p>
        </w:tc>
      </w:tr>
    </w:tbl>
    <w:p w:rsidR="00C856C0" w:rsidRPr="007F1DFA" w:rsidRDefault="007F1DFA" w:rsidP="00FA3FAE">
      <w:pPr>
        <w:pStyle w:val="PargrafodaLista"/>
        <w:numPr>
          <w:ilvl w:val="0"/>
          <w:numId w:val="41"/>
        </w:numPr>
        <w:pBdr>
          <w:bottom w:val="dashDotStroked" w:sz="24" w:space="1" w:color="auto"/>
        </w:pBdr>
        <w:jc w:val="both"/>
        <w:rPr>
          <w:rFonts w:ascii="Times New Roman" w:hAnsi="Times New Roman"/>
          <w:b/>
          <w:sz w:val="24"/>
          <w:szCs w:val="24"/>
        </w:rPr>
      </w:pPr>
      <w:r w:rsidRPr="007F1DFA">
        <w:rPr>
          <w:rFonts w:ascii="Times New Roman" w:hAnsi="Times New Roman"/>
          <w:b/>
          <w:sz w:val="24"/>
          <w:szCs w:val="24"/>
        </w:rPr>
        <w:t>Maintien périodique du ruissellement</w:t>
      </w:r>
    </w:p>
    <w:p w:rsidR="007F1DFA" w:rsidRPr="007F1DFA" w:rsidRDefault="007F1DFA" w:rsidP="007F1DFA">
      <w:pPr>
        <w:jc w:val="both"/>
        <w:rPr>
          <w:rFonts w:ascii="Times New Roman" w:hAnsi="Times New Roman" w:cs="Times New Roman"/>
          <w:color w:val="000000"/>
          <w:sz w:val="24"/>
          <w:szCs w:val="24"/>
        </w:rPr>
      </w:pPr>
      <w:r w:rsidRPr="007F1DFA">
        <w:rPr>
          <w:rFonts w:ascii="Times New Roman" w:hAnsi="Times New Roman" w:cs="Times New Roman"/>
          <w:color w:val="000000"/>
          <w:sz w:val="24"/>
          <w:szCs w:val="24"/>
        </w:rPr>
        <w:t>Si le déversement du trop-plein est régulier, le surplus d’eau du réservoir issu du trop-plein contribuera à maintenir le ruissellement à l’exutoire.</w:t>
      </w:r>
    </w:p>
    <w:p w:rsidR="00C856C0" w:rsidRDefault="00C856C0" w:rsidP="007F1DFA">
      <w:pPr>
        <w:jc w:val="both"/>
        <w:rPr>
          <w:rFonts w:ascii="Times New Roman" w:hAnsi="Times New Roman" w:cs="Times New Roman"/>
          <w:color w:val="000000"/>
          <w:sz w:val="24"/>
          <w:szCs w:val="24"/>
        </w:rPr>
      </w:pPr>
    </w:p>
    <w:p w:rsidR="00B36D70" w:rsidRPr="007F1DFA" w:rsidRDefault="00B36D70" w:rsidP="007F1DFA">
      <w:pPr>
        <w:jc w:val="both"/>
        <w:rPr>
          <w:rFonts w:ascii="Times New Roman" w:hAnsi="Times New Roman" w:cs="Times New Roman"/>
          <w:color w:val="000000"/>
          <w:sz w:val="24"/>
          <w:szCs w:val="24"/>
        </w:rPr>
      </w:pPr>
    </w:p>
    <w:p w:rsidR="007F1DFA" w:rsidRDefault="007F1DFA" w:rsidP="00FA3FAE">
      <w:pPr>
        <w:pStyle w:val="Listecouleur-Accent11"/>
        <w:numPr>
          <w:ilvl w:val="0"/>
          <w:numId w:val="79"/>
        </w:numPr>
        <w:spacing w:after="200"/>
        <w:rPr>
          <w:rFonts w:ascii="Times New Roman" w:hAnsi="Times New Roman"/>
          <w:b/>
          <w:sz w:val="24"/>
          <w:szCs w:val="24"/>
        </w:rPr>
      </w:pPr>
      <w:r w:rsidRPr="00AA6F0C">
        <w:rPr>
          <w:rFonts w:ascii="Times New Roman" w:hAnsi="Times New Roman"/>
          <w:b/>
          <w:sz w:val="24"/>
          <w:szCs w:val="24"/>
        </w:rPr>
        <w:t xml:space="preserve">Impacts positifs sur le milieu </w:t>
      </w:r>
      <w:r>
        <w:rPr>
          <w:rFonts w:ascii="Times New Roman" w:hAnsi="Times New Roman"/>
          <w:b/>
          <w:sz w:val="24"/>
          <w:szCs w:val="24"/>
        </w:rPr>
        <w:t>socio-économique</w:t>
      </w:r>
    </w:p>
    <w:p w:rsidR="00C856C0" w:rsidRPr="005008FC" w:rsidRDefault="009D72AD" w:rsidP="00FA3FAE">
      <w:pPr>
        <w:pStyle w:val="PargrafodaLista"/>
        <w:numPr>
          <w:ilvl w:val="0"/>
          <w:numId w:val="41"/>
        </w:numPr>
        <w:pBdr>
          <w:bottom w:val="dashDotStroked" w:sz="24" w:space="1" w:color="auto"/>
        </w:pBdr>
        <w:jc w:val="both"/>
        <w:rPr>
          <w:rFonts w:ascii="Times New Roman" w:hAnsi="Times New Roman"/>
          <w:b/>
          <w:sz w:val="24"/>
          <w:szCs w:val="24"/>
        </w:rPr>
      </w:pPr>
      <w:r w:rsidRPr="00705DA0">
        <w:rPr>
          <w:rFonts w:ascii="Times New Roman" w:hAnsi="Times New Roman"/>
          <w:b/>
          <w:sz w:val="24"/>
          <w:szCs w:val="24"/>
        </w:rPr>
        <w:t xml:space="preserve">Impacts </w:t>
      </w:r>
      <w:r>
        <w:rPr>
          <w:rFonts w:ascii="Times New Roman" w:hAnsi="Times New Roman"/>
          <w:b/>
          <w:sz w:val="24"/>
          <w:szCs w:val="24"/>
          <w:lang w:val="fr-FR"/>
        </w:rPr>
        <w:t xml:space="preserve">positifs </w:t>
      </w:r>
      <w:r w:rsidRPr="00705DA0">
        <w:rPr>
          <w:rFonts w:ascii="Times New Roman" w:hAnsi="Times New Roman"/>
          <w:b/>
          <w:sz w:val="24"/>
          <w:szCs w:val="24"/>
        </w:rPr>
        <w:t>sur</w:t>
      </w:r>
      <w:r w:rsidRPr="005008FC">
        <w:rPr>
          <w:rFonts w:ascii="Times New Roman" w:hAnsi="Times New Roman"/>
          <w:b/>
          <w:sz w:val="24"/>
          <w:szCs w:val="24"/>
        </w:rPr>
        <w:t xml:space="preserve"> </w:t>
      </w:r>
      <w:r>
        <w:rPr>
          <w:rFonts w:ascii="Times New Roman" w:hAnsi="Times New Roman"/>
          <w:b/>
          <w:sz w:val="24"/>
          <w:szCs w:val="24"/>
        </w:rPr>
        <w:t>le</w:t>
      </w:r>
      <w:r w:rsidR="00B36D70" w:rsidRPr="005008FC">
        <w:rPr>
          <w:rFonts w:ascii="Times New Roman" w:hAnsi="Times New Roman"/>
          <w:b/>
          <w:sz w:val="24"/>
          <w:szCs w:val="24"/>
        </w:rPr>
        <w:t xml:space="preserve"> déficit d’approvisionnement en eau potable</w:t>
      </w:r>
    </w:p>
    <w:p w:rsidR="006D1C66" w:rsidRPr="006D1C66" w:rsidRDefault="0057318C" w:rsidP="006D1C66">
      <w:pPr>
        <w:jc w:val="both"/>
        <w:rPr>
          <w:rFonts w:ascii="Times New Roman" w:hAnsi="Times New Roman" w:cs="Times New Roman"/>
          <w:color w:val="000000"/>
          <w:sz w:val="24"/>
          <w:szCs w:val="24"/>
        </w:rPr>
      </w:pPr>
      <w:r>
        <w:rPr>
          <w:rFonts w:ascii="Times New Roman" w:hAnsi="Times New Roman" w:cs="Times New Roman"/>
          <w:color w:val="000000"/>
          <w:sz w:val="24"/>
          <w:szCs w:val="24"/>
        </w:rPr>
        <w:t>La</w:t>
      </w:r>
      <w:r w:rsidR="0093166A">
        <w:rPr>
          <w:rFonts w:ascii="Times New Roman" w:hAnsi="Times New Roman" w:cs="Times New Roman"/>
          <w:color w:val="000000"/>
          <w:sz w:val="24"/>
          <w:szCs w:val="24"/>
        </w:rPr>
        <w:t xml:space="preserve"> situation actuelle du pays ou dans les quartiers desservis, montre que </w:t>
      </w:r>
      <w:r w:rsidR="0093166A" w:rsidRPr="006D1C66">
        <w:rPr>
          <w:rFonts w:ascii="Times New Roman" w:hAnsi="Times New Roman" w:cs="Times New Roman"/>
          <w:color w:val="000000"/>
          <w:sz w:val="24"/>
          <w:szCs w:val="24"/>
        </w:rPr>
        <w:t>l’approvisionnement en eau dans</w:t>
      </w:r>
      <w:r w:rsidR="0093166A">
        <w:rPr>
          <w:rFonts w:ascii="Times New Roman" w:hAnsi="Times New Roman" w:cs="Times New Roman"/>
          <w:color w:val="000000"/>
          <w:sz w:val="24"/>
          <w:szCs w:val="24"/>
        </w:rPr>
        <w:t xml:space="preserve"> certaines zones, </w:t>
      </w:r>
      <w:r w:rsidR="0093166A" w:rsidRPr="006D1C66">
        <w:rPr>
          <w:rFonts w:ascii="Times New Roman" w:hAnsi="Times New Roman" w:cs="Times New Roman"/>
          <w:color w:val="000000"/>
          <w:sz w:val="24"/>
          <w:szCs w:val="24"/>
        </w:rPr>
        <w:t xml:space="preserve">ont </w:t>
      </w:r>
      <w:r w:rsidRPr="006D1C66">
        <w:rPr>
          <w:rFonts w:ascii="Times New Roman" w:hAnsi="Times New Roman" w:cs="Times New Roman"/>
          <w:color w:val="000000"/>
          <w:sz w:val="24"/>
          <w:szCs w:val="24"/>
        </w:rPr>
        <w:t>concouru au</w:t>
      </w:r>
      <w:r w:rsidR="006D1C66" w:rsidRPr="006D1C66">
        <w:rPr>
          <w:rFonts w:ascii="Times New Roman" w:hAnsi="Times New Roman" w:cs="Times New Roman"/>
          <w:color w:val="000000"/>
          <w:sz w:val="24"/>
          <w:szCs w:val="24"/>
        </w:rPr>
        <w:t xml:space="preserve"> développement d’initiatives locales qui, souvent ne répondent pas aux normes sanitaires édictées en la matière. </w:t>
      </w:r>
    </w:p>
    <w:tbl>
      <w:tblPr>
        <w:tblpPr w:leftFromText="141" w:rightFromText="141" w:vertAnchor="text" w:horzAnchor="margin" w:tblpXSpec="right" w:tblpY="35"/>
        <w:tblW w:w="3153" w:type="dxa"/>
        <w:tblBorders>
          <w:top w:val="single" w:sz="4" w:space="0" w:color="auto"/>
          <w:left w:val="dashDotStroked" w:sz="24" w:space="0" w:color="auto"/>
          <w:bottom w:val="dashDotStroked" w:sz="24" w:space="0" w:color="auto"/>
          <w:right w:val="dashDotStroked" w:sz="24" w:space="0" w:color="auto"/>
          <w:insideH w:val="single" w:sz="4" w:space="0" w:color="auto"/>
          <w:insideV w:val="dashDotStroked" w:sz="24" w:space="0" w:color="auto"/>
        </w:tblBorders>
        <w:tblLook w:val="04A0" w:firstRow="1" w:lastRow="0" w:firstColumn="1" w:lastColumn="0" w:noHBand="0" w:noVBand="1"/>
      </w:tblPr>
      <w:tblGrid>
        <w:gridCol w:w="1507"/>
        <w:gridCol w:w="1190"/>
        <w:gridCol w:w="456"/>
      </w:tblGrid>
      <w:tr w:rsidR="00CD2D91" w:rsidRPr="00AA45E9" w:rsidTr="00CD2D91">
        <w:tc>
          <w:tcPr>
            <w:tcW w:w="3153" w:type="dxa"/>
            <w:gridSpan w:val="3"/>
            <w:tcBorders>
              <w:bottom w:val="single" w:sz="4" w:space="0" w:color="auto"/>
            </w:tcBorders>
            <w:shd w:val="clear" w:color="auto" w:fill="002060"/>
          </w:tcPr>
          <w:p w:rsidR="00CD2D91" w:rsidRPr="00867483" w:rsidRDefault="00CD2D91" w:rsidP="00CD2D91">
            <w:pPr>
              <w:spacing w:after="0" w:line="240" w:lineRule="auto"/>
              <w:jc w:val="center"/>
              <w:rPr>
                <w:rFonts w:ascii="Times New Roman" w:hAnsi="Times New Roman"/>
                <w:b/>
                <w:sz w:val="24"/>
                <w:szCs w:val="24"/>
              </w:rPr>
            </w:pPr>
            <w:r w:rsidRPr="00867483">
              <w:rPr>
                <w:rFonts w:ascii="Times New Roman" w:hAnsi="Times New Roman"/>
                <w:b/>
                <w:sz w:val="24"/>
                <w:szCs w:val="24"/>
              </w:rPr>
              <w:lastRenderedPageBreak/>
              <w:t>Caractérisation de l’impact</w:t>
            </w:r>
          </w:p>
        </w:tc>
      </w:tr>
      <w:tr w:rsidR="0019769C" w:rsidRPr="00AA45E9" w:rsidTr="00D96D77">
        <w:tc>
          <w:tcPr>
            <w:tcW w:w="1507" w:type="dxa"/>
            <w:tcBorders>
              <w:bottom w:val="single" w:sz="4" w:space="0" w:color="auto"/>
              <w:right w:val="single" w:sz="4" w:space="0" w:color="auto"/>
            </w:tcBorders>
            <w:shd w:val="clear" w:color="auto" w:fill="002060"/>
          </w:tcPr>
          <w:p w:rsidR="0019769C" w:rsidRPr="00AA45E9" w:rsidRDefault="0019769C" w:rsidP="00FC410F">
            <w:pPr>
              <w:spacing w:after="0" w:line="240" w:lineRule="auto"/>
              <w:jc w:val="center"/>
              <w:rPr>
                <w:rFonts w:ascii="Times New Roman" w:hAnsi="Times New Roman"/>
                <w:b/>
                <w:sz w:val="24"/>
                <w:szCs w:val="24"/>
              </w:rPr>
            </w:pPr>
            <w:r>
              <w:rPr>
                <w:rFonts w:ascii="Times New Roman" w:hAnsi="Times New Roman"/>
                <w:b/>
                <w:sz w:val="24"/>
                <w:szCs w:val="24"/>
              </w:rPr>
              <w:t xml:space="preserve">Nature </w:t>
            </w:r>
          </w:p>
        </w:tc>
        <w:tc>
          <w:tcPr>
            <w:tcW w:w="1646" w:type="dxa"/>
            <w:gridSpan w:val="2"/>
            <w:tcBorders>
              <w:left w:val="single" w:sz="4" w:space="0" w:color="auto"/>
              <w:bottom w:val="single" w:sz="4" w:space="0" w:color="auto"/>
            </w:tcBorders>
            <w:shd w:val="clear" w:color="auto" w:fill="auto"/>
          </w:tcPr>
          <w:p w:rsidR="0019769C" w:rsidRPr="00E96A04" w:rsidRDefault="0019769C" w:rsidP="00CD2D91">
            <w:pPr>
              <w:spacing w:after="0" w:line="240" w:lineRule="auto"/>
              <w:jc w:val="center"/>
              <w:rPr>
                <w:rFonts w:ascii="Times New Roman" w:hAnsi="Times New Roman"/>
                <w:b/>
                <w:sz w:val="24"/>
                <w:szCs w:val="24"/>
              </w:rPr>
            </w:pPr>
            <w:r w:rsidRPr="00E96A04">
              <w:rPr>
                <w:rFonts w:ascii="Times New Roman" w:hAnsi="Times New Roman"/>
                <w:b/>
                <w:sz w:val="24"/>
                <w:szCs w:val="24"/>
              </w:rPr>
              <w:t>Positif</w:t>
            </w:r>
          </w:p>
        </w:tc>
      </w:tr>
      <w:tr w:rsidR="00CD2D91" w:rsidRPr="00AA45E9" w:rsidTr="00CD2D91">
        <w:tc>
          <w:tcPr>
            <w:tcW w:w="1507" w:type="dxa"/>
            <w:tcBorders>
              <w:bottom w:val="single" w:sz="4" w:space="0" w:color="auto"/>
              <w:right w:val="single" w:sz="4" w:space="0" w:color="auto"/>
            </w:tcBorders>
            <w:shd w:val="clear" w:color="auto" w:fill="002060"/>
          </w:tcPr>
          <w:p w:rsidR="00CD2D91" w:rsidRPr="00AA45E9" w:rsidRDefault="00CD2D91" w:rsidP="00CD2D91">
            <w:pPr>
              <w:spacing w:after="0" w:line="240" w:lineRule="auto"/>
              <w:jc w:val="center"/>
              <w:rPr>
                <w:rFonts w:ascii="Times New Roman" w:hAnsi="Times New Roman"/>
                <w:b/>
                <w:sz w:val="24"/>
                <w:szCs w:val="24"/>
              </w:rPr>
            </w:pPr>
            <w:r w:rsidRPr="00AA45E9">
              <w:rPr>
                <w:rFonts w:ascii="Times New Roman" w:hAnsi="Times New Roman"/>
                <w:b/>
                <w:sz w:val="24"/>
                <w:szCs w:val="24"/>
              </w:rPr>
              <w:t>Intensité</w:t>
            </w:r>
          </w:p>
        </w:tc>
        <w:tc>
          <w:tcPr>
            <w:tcW w:w="1190" w:type="dxa"/>
            <w:tcBorders>
              <w:left w:val="single" w:sz="4" w:space="0" w:color="auto"/>
              <w:bottom w:val="single" w:sz="4" w:space="0" w:color="auto"/>
              <w:right w:val="single" w:sz="4" w:space="0" w:color="auto"/>
            </w:tcBorders>
            <w:shd w:val="clear" w:color="auto" w:fill="auto"/>
          </w:tcPr>
          <w:p w:rsidR="00CD2D91" w:rsidRPr="00867483" w:rsidRDefault="00CD2D91" w:rsidP="00CD2D91">
            <w:pPr>
              <w:spacing w:after="0" w:line="240" w:lineRule="auto"/>
              <w:jc w:val="center"/>
              <w:rPr>
                <w:rFonts w:ascii="Times New Roman" w:hAnsi="Times New Roman"/>
                <w:sz w:val="24"/>
                <w:szCs w:val="24"/>
              </w:rPr>
            </w:pPr>
            <w:r w:rsidRPr="00867483">
              <w:rPr>
                <w:rFonts w:ascii="Times New Roman" w:hAnsi="Times New Roman"/>
                <w:sz w:val="24"/>
                <w:szCs w:val="24"/>
              </w:rPr>
              <w:t>Forte</w:t>
            </w:r>
          </w:p>
        </w:tc>
        <w:tc>
          <w:tcPr>
            <w:tcW w:w="456" w:type="dxa"/>
            <w:tcBorders>
              <w:left w:val="single" w:sz="4" w:space="0" w:color="auto"/>
              <w:bottom w:val="single" w:sz="4" w:space="0" w:color="auto"/>
            </w:tcBorders>
            <w:shd w:val="clear" w:color="auto" w:fill="auto"/>
          </w:tcPr>
          <w:p w:rsidR="00CD2D91" w:rsidRPr="00867483" w:rsidRDefault="00CD2D91" w:rsidP="00CD2D91">
            <w:pPr>
              <w:spacing w:after="0" w:line="240" w:lineRule="auto"/>
              <w:jc w:val="center"/>
              <w:rPr>
                <w:rFonts w:ascii="Times New Roman" w:hAnsi="Times New Roman"/>
                <w:sz w:val="24"/>
                <w:szCs w:val="24"/>
              </w:rPr>
            </w:pPr>
            <w:r w:rsidRPr="00867483">
              <w:rPr>
                <w:rFonts w:ascii="Times New Roman" w:hAnsi="Times New Roman"/>
                <w:sz w:val="24"/>
                <w:szCs w:val="24"/>
              </w:rPr>
              <w:t>5</w:t>
            </w:r>
          </w:p>
        </w:tc>
      </w:tr>
      <w:tr w:rsidR="00CD2D91" w:rsidRPr="00AA45E9" w:rsidTr="00CD2D91">
        <w:tc>
          <w:tcPr>
            <w:tcW w:w="1507" w:type="dxa"/>
            <w:tcBorders>
              <w:bottom w:val="single" w:sz="4" w:space="0" w:color="auto"/>
              <w:right w:val="single" w:sz="4" w:space="0" w:color="auto"/>
            </w:tcBorders>
            <w:shd w:val="clear" w:color="auto" w:fill="002060"/>
          </w:tcPr>
          <w:p w:rsidR="00CD2D91" w:rsidRPr="00AA45E9" w:rsidRDefault="00CD2D91" w:rsidP="00CD2D91">
            <w:pPr>
              <w:spacing w:after="0" w:line="240" w:lineRule="auto"/>
              <w:jc w:val="center"/>
              <w:rPr>
                <w:rFonts w:ascii="Times New Roman" w:hAnsi="Times New Roman"/>
                <w:sz w:val="24"/>
                <w:szCs w:val="24"/>
              </w:rPr>
            </w:pPr>
            <w:r w:rsidRPr="00AA45E9">
              <w:rPr>
                <w:rFonts w:ascii="Times New Roman" w:hAnsi="Times New Roman"/>
                <w:b/>
                <w:sz w:val="24"/>
                <w:szCs w:val="24"/>
              </w:rPr>
              <w:t>Etendue</w:t>
            </w:r>
          </w:p>
        </w:tc>
        <w:tc>
          <w:tcPr>
            <w:tcW w:w="1190" w:type="dxa"/>
            <w:tcBorders>
              <w:left w:val="single" w:sz="4" w:space="0" w:color="auto"/>
              <w:bottom w:val="single" w:sz="4" w:space="0" w:color="auto"/>
              <w:right w:val="single" w:sz="4" w:space="0" w:color="auto"/>
            </w:tcBorders>
          </w:tcPr>
          <w:p w:rsidR="00CD2D91" w:rsidRPr="00867483" w:rsidRDefault="0019769C" w:rsidP="00CD2D91">
            <w:pPr>
              <w:spacing w:after="0" w:line="240" w:lineRule="auto"/>
              <w:jc w:val="center"/>
              <w:rPr>
                <w:rFonts w:ascii="Times New Roman" w:hAnsi="Times New Roman"/>
                <w:sz w:val="24"/>
                <w:szCs w:val="24"/>
              </w:rPr>
            </w:pPr>
            <w:r>
              <w:rPr>
                <w:rFonts w:ascii="Times New Roman" w:hAnsi="Times New Roman"/>
                <w:sz w:val="24"/>
                <w:szCs w:val="24"/>
              </w:rPr>
              <w:t>Locale</w:t>
            </w:r>
          </w:p>
        </w:tc>
        <w:tc>
          <w:tcPr>
            <w:tcW w:w="456" w:type="dxa"/>
            <w:tcBorders>
              <w:left w:val="single" w:sz="4" w:space="0" w:color="auto"/>
              <w:bottom w:val="single" w:sz="4" w:space="0" w:color="auto"/>
            </w:tcBorders>
          </w:tcPr>
          <w:p w:rsidR="00CD2D91" w:rsidRPr="00867483" w:rsidRDefault="0028223C" w:rsidP="00CD2D91">
            <w:pPr>
              <w:spacing w:after="0" w:line="240" w:lineRule="auto"/>
              <w:jc w:val="center"/>
              <w:rPr>
                <w:rFonts w:ascii="Times New Roman" w:hAnsi="Times New Roman"/>
                <w:sz w:val="24"/>
                <w:szCs w:val="24"/>
              </w:rPr>
            </w:pPr>
            <w:r>
              <w:rPr>
                <w:rFonts w:ascii="Times New Roman" w:hAnsi="Times New Roman"/>
                <w:sz w:val="24"/>
                <w:szCs w:val="24"/>
              </w:rPr>
              <w:t>3</w:t>
            </w:r>
          </w:p>
        </w:tc>
      </w:tr>
      <w:tr w:rsidR="00CD2D91" w:rsidRPr="00AA45E9" w:rsidTr="00CD2D91">
        <w:tc>
          <w:tcPr>
            <w:tcW w:w="1507" w:type="dxa"/>
            <w:tcBorders>
              <w:bottom w:val="single" w:sz="4" w:space="0" w:color="auto"/>
              <w:right w:val="single" w:sz="4" w:space="0" w:color="auto"/>
            </w:tcBorders>
            <w:shd w:val="clear" w:color="auto" w:fill="002060"/>
          </w:tcPr>
          <w:p w:rsidR="00CD2D91" w:rsidRDefault="00CD2D91" w:rsidP="00CD2D91">
            <w:pPr>
              <w:spacing w:after="0" w:line="240" w:lineRule="auto"/>
              <w:jc w:val="center"/>
              <w:rPr>
                <w:rFonts w:ascii="Times New Roman" w:hAnsi="Times New Roman"/>
                <w:sz w:val="24"/>
                <w:szCs w:val="24"/>
              </w:rPr>
            </w:pPr>
            <w:r w:rsidRPr="00AA45E9">
              <w:rPr>
                <w:rFonts w:ascii="Times New Roman" w:hAnsi="Times New Roman"/>
                <w:b/>
                <w:sz w:val="24"/>
                <w:szCs w:val="24"/>
              </w:rPr>
              <w:t>Durée</w:t>
            </w:r>
          </w:p>
        </w:tc>
        <w:tc>
          <w:tcPr>
            <w:tcW w:w="1190" w:type="dxa"/>
            <w:tcBorders>
              <w:left w:val="single" w:sz="4" w:space="0" w:color="auto"/>
              <w:bottom w:val="single" w:sz="4" w:space="0" w:color="auto"/>
              <w:right w:val="single" w:sz="4" w:space="0" w:color="auto"/>
            </w:tcBorders>
          </w:tcPr>
          <w:p w:rsidR="00CD2D91" w:rsidRPr="00867483" w:rsidRDefault="0028223C" w:rsidP="00CD2D91">
            <w:pPr>
              <w:spacing w:after="0" w:line="240" w:lineRule="auto"/>
              <w:jc w:val="center"/>
              <w:rPr>
                <w:rFonts w:ascii="Times New Roman" w:hAnsi="Times New Roman"/>
                <w:sz w:val="24"/>
                <w:szCs w:val="24"/>
              </w:rPr>
            </w:pPr>
            <w:r>
              <w:rPr>
                <w:rFonts w:ascii="Times New Roman" w:hAnsi="Times New Roman"/>
                <w:sz w:val="24"/>
                <w:szCs w:val="24"/>
              </w:rPr>
              <w:t>Longue</w:t>
            </w:r>
          </w:p>
        </w:tc>
        <w:tc>
          <w:tcPr>
            <w:tcW w:w="456" w:type="dxa"/>
            <w:tcBorders>
              <w:left w:val="single" w:sz="4" w:space="0" w:color="auto"/>
              <w:bottom w:val="single" w:sz="4" w:space="0" w:color="auto"/>
            </w:tcBorders>
          </w:tcPr>
          <w:p w:rsidR="00CD2D91" w:rsidRPr="00867483" w:rsidRDefault="0028223C" w:rsidP="00CD2D91">
            <w:pPr>
              <w:spacing w:after="0" w:line="240" w:lineRule="auto"/>
              <w:jc w:val="center"/>
              <w:rPr>
                <w:rFonts w:ascii="Times New Roman" w:hAnsi="Times New Roman"/>
                <w:sz w:val="24"/>
                <w:szCs w:val="24"/>
              </w:rPr>
            </w:pPr>
            <w:r>
              <w:rPr>
                <w:rFonts w:ascii="Times New Roman" w:hAnsi="Times New Roman"/>
                <w:sz w:val="24"/>
                <w:szCs w:val="24"/>
              </w:rPr>
              <w:t>5</w:t>
            </w:r>
          </w:p>
        </w:tc>
      </w:tr>
      <w:tr w:rsidR="00CD2D91" w:rsidRPr="00AA45E9" w:rsidTr="00FC410F">
        <w:tc>
          <w:tcPr>
            <w:tcW w:w="3153" w:type="dxa"/>
            <w:gridSpan w:val="3"/>
            <w:tcBorders>
              <w:bottom w:val="single" w:sz="4" w:space="0" w:color="auto"/>
            </w:tcBorders>
            <w:shd w:val="clear" w:color="auto" w:fill="FFFFFF" w:themeFill="background1"/>
          </w:tcPr>
          <w:p w:rsidR="00CD2D91" w:rsidRPr="00867483" w:rsidRDefault="00CD2D91" w:rsidP="00CD2D91">
            <w:pPr>
              <w:spacing w:after="0" w:line="240" w:lineRule="auto"/>
              <w:jc w:val="center"/>
              <w:rPr>
                <w:rFonts w:ascii="Times New Roman" w:hAnsi="Times New Roman"/>
                <w:sz w:val="6"/>
                <w:szCs w:val="6"/>
              </w:rPr>
            </w:pPr>
          </w:p>
        </w:tc>
      </w:tr>
      <w:tr w:rsidR="00CD2D91" w:rsidRPr="00AA45E9" w:rsidTr="00093A77">
        <w:tc>
          <w:tcPr>
            <w:tcW w:w="1507" w:type="dxa"/>
            <w:tcBorders>
              <w:bottom w:val="dashDotStroked" w:sz="24" w:space="0" w:color="auto"/>
              <w:right w:val="single" w:sz="4" w:space="0" w:color="auto"/>
            </w:tcBorders>
            <w:shd w:val="clear" w:color="auto" w:fill="002060"/>
          </w:tcPr>
          <w:p w:rsidR="00CD2D91" w:rsidRPr="00AA45E9" w:rsidRDefault="00CD2D91" w:rsidP="00CD2D91">
            <w:pPr>
              <w:spacing w:after="0" w:line="240" w:lineRule="auto"/>
              <w:jc w:val="center"/>
              <w:rPr>
                <w:rFonts w:ascii="Times New Roman" w:hAnsi="Times New Roman"/>
                <w:b/>
                <w:sz w:val="24"/>
                <w:szCs w:val="24"/>
              </w:rPr>
            </w:pPr>
            <w:r w:rsidRPr="00AA45E9">
              <w:rPr>
                <w:rFonts w:ascii="Times New Roman" w:hAnsi="Times New Roman"/>
                <w:b/>
                <w:sz w:val="24"/>
                <w:szCs w:val="24"/>
              </w:rPr>
              <w:t>Importance</w:t>
            </w:r>
          </w:p>
        </w:tc>
        <w:tc>
          <w:tcPr>
            <w:tcW w:w="1190" w:type="dxa"/>
            <w:tcBorders>
              <w:left w:val="single" w:sz="4" w:space="0" w:color="auto"/>
              <w:bottom w:val="dashDotStroked" w:sz="24" w:space="0" w:color="auto"/>
              <w:right w:val="single" w:sz="4" w:space="0" w:color="auto"/>
            </w:tcBorders>
            <w:shd w:val="clear" w:color="auto" w:fill="92D050"/>
          </w:tcPr>
          <w:p w:rsidR="00CD2D91" w:rsidRPr="008E6D9C" w:rsidRDefault="0028223C" w:rsidP="00CD2D91">
            <w:pPr>
              <w:spacing w:after="0" w:line="240" w:lineRule="auto"/>
              <w:jc w:val="center"/>
              <w:rPr>
                <w:rFonts w:ascii="Times New Roman" w:hAnsi="Times New Roman"/>
                <w:b/>
                <w:sz w:val="24"/>
                <w:szCs w:val="24"/>
              </w:rPr>
            </w:pPr>
            <w:r>
              <w:rPr>
                <w:rFonts w:ascii="Times New Roman" w:hAnsi="Times New Roman"/>
                <w:b/>
                <w:sz w:val="24"/>
                <w:szCs w:val="24"/>
              </w:rPr>
              <w:t>Majeure</w:t>
            </w:r>
          </w:p>
        </w:tc>
        <w:tc>
          <w:tcPr>
            <w:tcW w:w="456" w:type="dxa"/>
            <w:tcBorders>
              <w:left w:val="single" w:sz="4" w:space="0" w:color="auto"/>
              <w:bottom w:val="dashDotStroked" w:sz="24" w:space="0" w:color="auto"/>
            </w:tcBorders>
            <w:shd w:val="clear" w:color="auto" w:fill="92D050"/>
          </w:tcPr>
          <w:p w:rsidR="00CD2D91" w:rsidRPr="008E6D9C" w:rsidRDefault="0028223C" w:rsidP="00CD2D91">
            <w:pPr>
              <w:spacing w:after="0" w:line="240" w:lineRule="auto"/>
              <w:jc w:val="center"/>
              <w:rPr>
                <w:rFonts w:ascii="Times New Roman" w:hAnsi="Times New Roman"/>
                <w:b/>
                <w:sz w:val="24"/>
                <w:szCs w:val="24"/>
              </w:rPr>
            </w:pPr>
            <w:r>
              <w:rPr>
                <w:rFonts w:ascii="Times New Roman" w:hAnsi="Times New Roman"/>
                <w:b/>
                <w:sz w:val="24"/>
                <w:szCs w:val="24"/>
              </w:rPr>
              <w:t>7</w:t>
            </w:r>
            <w:r w:rsidR="00CD2D91" w:rsidRPr="008E6D9C">
              <w:rPr>
                <w:rFonts w:ascii="Times New Roman" w:hAnsi="Times New Roman"/>
                <w:b/>
                <w:sz w:val="24"/>
                <w:szCs w:val="24"/>
              </w:rPr>
              <w:t>5</w:t>
            </w:r>
          </w:p>
        </w:tc>
      </w:tr>
    </w:tbl>
    <w:p w:rsidR="006D1C66" w:rsidRPr="006D1C66" w:rsidRDefault="006D1C66" w:rsidP="006D1C66">
      <w:pPr>
        <w:jc w:val="both"/>
        <w:rPr>
          <w:rFonts w:ascii="Times New Roman" w:hAnsi="Times New Roman" w:cs="Times New Roman"/>
          <w:color w:val="000000"/>
          <w:sz w:val="24"/>
          <w:szCs w:val="24"/>
        </w:rPr>
      </w:pPr>
      <w:r w:rsidRPr="006D1C66">
        <w:rPr>
          <w:rFonts w:ascii="Times New Roman" w:hAnsi="Times New Roman" w:cs="Times New Roman"/>
          <w:color w:val="000000"/>
          <w:sz w:val="24"/>
          <w:szCs w:val="24"/>
        </w:rPr>
        <w:t>Il s’agit souvent de</w:t>
      </w:r>
      <w:r w:rsidR="0093166A">
        <w:rPr>
          <w:rFonts w:ascii="Times New Roman" w:hAnsi="Times New Roman" w:cs="Times New Roman"/>
          <w:color w:val="000000"/>
          <w:sz w:val="24"/>
          <w:szCs w:val="24"/>
        </w:rPr>
        <w:t>s</w:t>
      </w:r>
      <w:r w:rsidRPr="006D1C66">
        <w:rPr>
          <w:rFonts w:ascii="Times New Roman" w:hAnsi="Times New Roman" w:cs="Times New Roman"/>
          <w:color w:val="000000"/>
          <w:sz w:val="24"/>
          <w:szCs w:val="24"/>
        </w:rPr>
        <w:t xml:space="preserve"> conditions de stockage de l’eau dans les maisons qui ne permett</w:t>
      </w:r>
      <w:r>
        <w:rPr>
          <w:rFonts w:ascii="Times New Roman" w:hAnsi="Times New Roman" w:cs="Times New Roman"/>
          <w:color w:val="000000"/>
          <w:sz w:val="24"/>
          <w:szCs w:val="24"/>
        </w:rPr>
        <w:t xml:space="preserve">ent pas de garantir la qualité </w:t>
      </w:r>
      <w:r w:rsidRPr="006D1C66">
        <w:rPr>
          <w:rFonts w:ascii="Times New Roman" w:hAnsi="Times New Roman" w:cs="Times New Roman"/>
          <w:color w:val="000000"/>
          <w:sz w:val="24"/>
          <w:szCs w:val="24"/>
        </w:rPr>
        <w:t xml:space="preserve">microbiologique de l’eau </w:t>
      </w:r>
      <w:r w:rsidR="0093166A" w:rsidRPr="006D1C66">
        <w:rPr>
          <w:rFonts w:ascii="Times New Roman" w:hAnsi="Times New Roman" w:cs="Times New Roman"/>
          <w:color w:val="000000"/>
          <w:sz w:val="24"/>
          <w:szCs w:val="24"/>
        </w:rPr>
        <w:t>de boisson consommée</w:t>
      </w:r>
      <w:r w:rsidRPr="006D1C66">
        <w:rPr>
          <w:rFonts w:ascii="Times New Roman" w:hAnsi="Times New Roman" w:cs="Times New Roman"/>
          <w:color w:val="000000"/>
          <w:sz w:val="24"/>
          <w:szCs w:val="24"/>
        </w:rPr>
        <w:t xml:space="preserve">.  En outre, </w:t>
      </w:r>
      <w:r w:rsidR="0093166A" w:rsidRPr="006D1C66">
        <w:rPr>
          <w:rFonts w:ascii="Times New Roman" w:hAnsi="Times New Roman" w:cs="Times New Roman"/>
          <w:color w:val="000000"/>
          <w:sz w:val="24"/>
          <w:szCs w:val="24"/>
        </w:rPr>
        <w:t>l’exploitation de</w:t>
      </w:r>
      <w:r w:rsidR="0093166A">
        <w:rPr>
          <w:rFonts w:ascii="Times New Roman" w:hAnsi="Times New Roman" w:cs="Times New Roman"/>
          <w:color w:val="000000"/>
          <w:sz w:val="24"/>
          <w:szCs w:val="24"/>
        </w:rPr>
        <w:t xml:space="preserve"> certaines nappes polluées</w:t>
      </w:r>
      <w:r>
        <w:rPr>
          <w:rFonts w:ascii="Times New Roman" w:hAnsi="Times New Roman" w:cs="Times New Roman"/>
          <w:color w:val="000000"/>
          <w:sz w:val="24"/>
          <w:szCs w:val="24"/>
        </w:rPr>
        <w:t xml:space="preserve"> </w:t>
      </w:r>
      <w:r w:rsidRPr="006D1C66">
        <w:rPr>
          <w:rFonts w:ascii="Times New Roman" w:hAnsi="Times New Roman" w:cs="Times New Roman"/>
          <w:color w:val="000000"/>
          <w:sz w:val="24"/>
          <w:szCs w:val="24"/>
        </w:rPr>
        <w:t xml:space="preserve">directement par les ménages avec l’utilisation des pompes </w:t>
      </w:r>
      <w:r w:rsidR="0093166A">
        <w:rPr>
          <w:rFonts w:ascii="Times New Roman" w:hAnsi="Times New Roman" w:cs="Times New Roman"/>
          <w:color w:val="000000"/>
          <w:sz w:val="24"/>
          <w:szCs w:val="24"/>
        </w:rPr>
        <w:t xml:space="preserve">ou puits traditionnels </w:t>
      </w:r>
      <w:r w:rsidRPr="006D1C66">
        <w:rPr>
          <w:rFonts w:ascii="Times New Roman" w:hAnsi="Times New Roman" w:cs="Times New Roman"/>
          <w:color w:val="000000"/>
          <w:sz w:val="24"/>
          <w:szCs w:val="24"/>
        </w:rPr>
        <w:t xml:space="preserve">constitue </w:t>
      </w:r>
      <w:r>
        <w:rPr>
          <w:rFonts w:ascii="Times New Roman" w:hAnsi="Times New Roman" w:cs="Times New Roman"/>
          <w:color w:val="000000"/>
          <w:sz w:val="24"/>
          <w:szCs w:val="24"/>
        </w:rPr>
        <w:t xml:space="preserve">un véritable problème de santé </w:t>
      </w:r>
      <w:r w:rsidR="0093166A">
        <w:rPr>
          <w:rFonts w:ascii="Times New Roman" w:hAnsi="Times New Roman" w:cs="Times New Roman"/>
          <w:color w:val="000000"/>
          <w:sz w:val="24"/>
          <w:szCs w:val="24"/>
        </w:rPr>
        <w:t>publique.</w:t>
      </w:r>
      <w:r w:rsidRPr="006D1C66">
        <w:rPr>
          <w:rFonts w:ascii="Times New Roman" w:hAnsi="Times New Roman" w:cs="Times New Roman"/>
          <w:color w:val="000000"/>
          <w:sz w:val="24"/>
          <w:szCs w:val="24"/>
        </w:rPr>
        <w:t xml:space="preserve">  </w:t>
      </w:r>
    </w:p>
    <w:p w:rsidR="00705DA0" w:rsidRDefault="0093166A" w:rsidP="00B36D70">
      <w:pPr>
        <w:jc w:val="both"/>
        <w:rPr>
          <w:rFonts w:ascii="Times New Roman" w:hAnsi="Times New Roman" w:cs="Times New Roman"/>
          <w:color w:val="000000"/>
          <w:sz w:val="24"/>
          <w:szCs w:val="24"/>
        </w:rPr>
      </w:pPr>
      <w:r>
        <w:rPr>
          <w:rFonts w:ascii="Times New Roman" w:hAnsi="Times New Roman" w:cs="Times New Roman"/>
          <w:color w:val="000000"/>
          <w:sz w:val="24"/>
          <w:szCs w:val="24"/>
        </w:rPr>
        <w:t>Ainsi avec la réalisation des réservoirs prévus,</w:t>
      </w:r>
      <w:r w:rsidR="006D1C66" w:rsidRPr="006D1C66">
        <w:rPr>
          <w:rFonts w:ascii="Times New Roman" w:hAnsi="Times New Roman" w:cs="Times New Roman"/>
          <w:color w:val="000000"/>
          <w:sz w:val="24"/>
          <w:szCs w:val="24"/>
        </w:rPr>
        <w:t xml:space="preserve"> l’apport d’une eau de qualité et en quantité suffisante permettra d’enrayer for</w:t>
      </w:r>
      <w:r w:rsidR="006D1C66">
        <w:rPr>
          <w:rFonts w:ascii="Times New Roman" w:hAnsi="Times New Roman" w:cs="Times New Roman"/>
          <w:color w:val="000000"/>
          <w:sz w:val="24"/>
          <w:szCs w:val="24"/>
        </w:rPr>
        <w:t>tement ces pratiques</w:t>
      </w:r>
      <w:r w:rsidR="0057318C">
        <w:rPr>
          <w:rFonts w:ascii="Times New Roman" w:hAnsi="Times New Roman" w:cs="Times New Roman"/>
          <w:color w:val="000000"/>
          <w:sz w:val="24"/>
          <w:szCs w:val="24"/>
        </w:rPr>
        <w:t xml:space="preserve"> et atténuera significativement les déficits d’</w:t>
      </w:r>
      <w:r w:rsidR="00CD2D91">
        <w:rPr>
          <w:rFonts w:ascii="Times New Roman" w:hAnsi="Times New Roman" w:cs="Times New Roman"/>
          <w:color w:val="000000"/>
          <w:sz w:val="24"/>
          <w:szCs w:val="24"/>
        </w:rPr>
        <w:t>approvisionnement</w:t>
      </w:r>
      <w:r w:rsidR="0057318C">
        <w:rPr>
          <w:rFonts w:ascii="Times New Roman" w:hAnsi="Times New Roman" w:cs="Times New Roman"/>
          <w:color w:val="000000"/>
          <w:sz w:val="24"/>
          <w:szCs w:val="24"/>
        </w:rPr>
        <w:t xml:space="preserve"> en eau</w:t>
      </w:r>
      <w:r w:rsidR="00CD2D91">
        <w:rPr>
          <w:rFonts w:ascii="Times New Roman" w:hAnsi="Times New Roman" w:cs="Times New Roman"/>
          <w:color w:val="000000"/>
          <w:sz w:val="24"/>
          <w:szCs w:val="24"/>
        </w:rPr>
        <w:t xml:space="preserve"> potable</w:t>
      </w:r>
      <w:r w:rsidR="006D1C66">
        <w:rPr>
          <w:rFonts w:ascii="Times New Roman" w:hAnsi="Times New Roman" w:cs="Times New Roman"/>
          <w:color w:val="000000"/>
          <w:sz w:val="24"/>
          <w:szCs w:val="24"/>
        </w:rPr>
        <w:t xml:space="preserve">. </w:t>
      </w:r>
      <w:r w:rsidR="003C548E">
        <w:rPr>
          <w:rFonts w:ascii="Times New Roman" w:hAnsi="Times New Roman" w:cs="Times New Roman"/>
          <w:color w:val="000000"/>
          <w:sz w:val="24"/>
          <w:szCs w:val="24"/>
        </w:rPr>
        <w:t xml:space="preserve">Ainsi, </w:t>
      </w:r>
      <w:r w:rsidR="003C548E" w:rsidRPr="003C548E">
        <w:rPr>
          <w:rFonts w:ascii="Times New Roman" w:hAnsi="Times New Roman" w:cs="Times New Roman"/>
          <w:color w:val="000000"/>
          <w:sz w:val="24"/>
          <w:szCs w:val="24"/>
        </w:rPr>
        <w:t>une analyse périodique de la qualité de cette eau devra être effectuée dans le cadre du suivi.</w:t>
      </w:r>
    </w:p>
    <w:tbl>
      <w:tblPr>
        <w:tblpPr w:leftFromText="141" w:rightFromText="141" w:vertAnchor="text" w:horzAnchor="margin" w:tblpXSpec="right" w:tblpY="492"/>
        <w:tblW w:w="3182" w:type="dxa"/>
        <w:tblBorders>
          <w:top w:val="single" w:sz="4" w:space="0" w:color="auto"/>
          <w:left w:val="dashDotStroked" w:sz="24" w:space="0" w:color="auto"/>
          <w:bottom w:val="dashDotStroked" w:sz="24" w:space="0" w:color="auto"/>
          <w:right w:val="dashDotStroked" w:sz="24" w:space="0" w:color="auto"/>
          <w:insideH w:val="single" w:sz="4" w:space="0" w:color="auto"/>
          <w:insideV w:val="dashDotStroked" w:sz="24" w:space="0" w:color="auto"/>
        </w:tblBorders>
        <w:tblLook w:val="04A0" w:firstRow="1" w:lastRow="0" w:firstColumn="1" w:lastColumn="0" w:noHBand="0" w:noVBand="1"/>
      </w:tblPr>
      <w:tblGrid>
        <w:gridCol w:w="1416"/>
        <w:gridCol w:w="1190"/>
        <w:gridCol w:w="576"/>
      </w:tblGrid>
      <w:tr w:rsidR="00705DA0" w:rsidRPr="00AA45E9" w:rsidTr="0028223C">
        <w:tc>
          <w:tcPr>
            <w:tcW w:w="3182" w:type="dxa"/>
            <w:gridSpan w:val="3"/>
            <w:tcBorders>
              <w:bottom w:val="single" w:sz="4" w:space="0" w:color="auto"/>
            </w:tcBorders>
            <w:shd w:val="clear" w:color="auto" w:fill="002060"/>
          </w:tcPr>
          <w:p w:rsidR="00705DA0" w:rsidRPr="00867483" w:rsidRDefault="00705DA0" w:rsidP="00705DA0">
            <w:pPr>
              <w:spacing w:after="0" w:line="240" w:lineRule="auto"/>
              <w:jc w:val="center"/>
              <w:rPr>
                <w:rFonts w:ascii="Times New Roman" w:hAnsi="Times New Roman"/>
                <w:b/>
                <w:sz w:val="24"/>
                <w:szCs w:val="24"/>
              </w:rPr>
            </w:pPr>
            <w:r w:rsidRPr="00867483">
              <w:rPr>
                <w:rFonts w:ascii="Times New Roman" w:hAnsi="Times New Roman"/>
                <w:b/>
                <w:sz w:val="24"/>
                <w:szCs w:val="24"/>
              </w:rPr>
              <w:t>Caractérisation de l’impact</w:t>
            </w:r>
          </w:p>
        </w:tc>
      </w:tr>
      <w:tr w:rsidR="0028223C" w:rsidRPr="00AA45E9" w:rsidTr="0028223C">
        <w:tc>
          <w:tcPr>
            <w:tcW w:w="1416" w:type="dxa"/>
            <w:tcBorders>
              <w:bottom w:val="single" w:sz="4" w:space="0" w:color="auto"/>
              <w:right w:val="single" w:sz="4" w:space="0" w:color="auto"/>
            </w:tcBorders>
            <w:shd w:val="clear" w:color="auto" w:fill="002060"/>
          </w:tcPr>
          <w:p w:rsidR="0028223C" w:rsidRPr="00AA45E9" w:rsidRDefault="0028223C" w:rsidP="00705DA0">
            <w:pPr>
              <w:spacing w:after="0" w:line="240" w:lineRule="auto"/>
              <w:jc w:val="center"/>
              <w:rPr>
                <w:rFonts w:ascii="Times New Roman" w:hAnsi="Times New Roman"/>
                <w:b/>
                <w:sz w:val="24"/>
                <w:szCs w:val="24"/>
              </w:rPr>
            </w:pPr>
            <w:r>
              <w:rPr>
                <w:rFonts w:ascii="Times New Roman" w:hAnsi="Times New Roman"/>
                <w:b/>
                <w:sz w:val="24"/>
                <w:szCs w:val="24"/>
              </w:rPr>
              <w:t xml:space="preserve">Nature </w:t>
            </w:r>
          </w:p>
        </w:tc>
        <w:tc>
          <w:tcPr>
            <w:tcW w:w="1766" w:type="dxa"/>
            <w:gridSpan w:val="2"/>
            <w:tcBorders>
              <w:left w:val="single" w:sz="4" w:space="0" w:color="auto"/>
              <w:bottom w:val="single" w:sz="4" w:space="0" w:color="auto"/>
            </w:tcBorders>
            <w:shd w:val="clear" w:color="auto" w:fill="auto"/>
          </w:tcPr>
          <w:p w:rsidR="0028223C" w:rsidRPr="00E96A04" w:rsidRDefault="0028223C" w:rsidP="00705DA0">
            <w:pPr>
              <w:spacing w:after="0" w:line="240" w:lineRule="auto"/>
              <w:jc w:val="center"/>
              <w:rPr>
                <w:rFonts w:ascii="Times New Roman" w:hAnsi="Times New Roman"/>
                <w:b/>
                <w:sz w:val="24"/>
                <w:szCs w:val="24"/>
              </w:rPr>
            </w:pPr>
            <w:r w:rsidRPr="00E96A04">
              <w:rPr>
                <w:rFonts w:ascii="Times New Roman" w:hAnsi="Times New Roman"/>
                <w:b/>
                <w:sz w:val="24"/>
                <w:szCs w:val="24"/>
              </w:rPr>
              <w:t>Positif</w:t>
            </w:r>
          </w:p>
        </w:tc>
      </w:tr>
      <w:tr w:rsidR="0028223C" w:rsidRPr="00AA45E9" w:rsidTr="0028223C">
        <w:tc>
          <w:tcPr>
            <w:tcW w:w="1416" w:type="dxa"/>
            <w:tcBorders>
              <w:bottom w:val="single" w:sz="4" w:space="0" w:color="auto"/>
              <w:right w:val="single" w:sz="4" w:space="0" w:color="auto"/>
            </w:tcBorders>
            <w:shd w:val="clear" w:color="auto" w:fill="002060"/>
          </w:tcPr>
          <w:p w:rsidR="0028223C" w:rsidRPr="00AA45E9" w:rsidRDefault="0028223C" w:rsidP="0028223C">
            <w:pPr>
              <w:spacing w:after="0" w:line="240" w:lineRule="auto"/>
              <w:jc w:val="center"/>
              <w:rPr>
                <w:rFonts w:ascii="Times New Roman" w:hAnsi="Times New Roman"/>
                <w:b/>
                <w:sz w:val="24"/>
                <w:szCs w:val="24"/>
              </w:rPr>
            </w:pPr>
            <w:r w:rsidRPr="00AA45E9">
              <w:rPr>
                <w:rFonts w:ascii="Times New Roman" w:hAnsi="Times New Roman"/>
                <w:b/>
                <w:sz w:val="24"/>
                <w:szCs w:val="24"/>
              </w:rPr>
              <w:t>Intensité</w:t>
            </w:r>
          </w:p>
        </w:tc>
        <w:tc>
          <w:tcPr>
            <w:tcW w:w="1190" w:type="dxa"/>
            <w:tcBorders>
              <w:left w:val="single" w:sz="4" w:space="0" w:color="auto"/>
              <w:bottom w:val="single" w:sz="4" w:space="0" w:color="auto"/>
              <w:right w:val="single" w:sz="4" w:space="0" w:color="auto"/>
            </w:tcBorders>
            <w:shd w:val="clear" w:color="auto" w:fill="auto"/>
          </w:tcPr>
          <w:p w:rsidR="0028223C" w:rsidRPr="00867483" w:rsidRDefault="0028223C" w:rsidP="0028223C">
            <w:pPr>
              <w:spacing w:after="0" w:line="240" w:lineRule="auto"/>
              <w:jc w:val="center"/>
              <w:rPr>
                <w:rFonts w:ascii="Times New Roman" w:hAnsi="Times New Roman"/>
                <w:sz w:val="24"/>
                <w:szCs w:val="24"/>
              </w:rPr>
            </w:pPr>
            <w:r w:rsidRPr="00867483">
              <w:rPr>
                <w:rFonts w:ascii="Times New Roman" w:hAnsi="Times New Roman"/>
                <w:sz w:val="24"/>
                <w:szCs w:val="24"/>
              </w:rPr>
              <w:t>Forte</w:t>
            </w:r>
          </w:p>
        </w:tc>
        <w:tc>
          <w:tcPr>
            <w:tcW w:w="576" w:type="dxa"/>
            <w:tcBorders>
              <w:left w:val="single" w:sz="4" w:space="0" w:color="auto"/>
              <w:bottom w:val="single" w:sz="4" w:space="0" w:color="auto"/>
            </w:tcBorders>
            <w:shd w:val="clear" w:color="auto" w:fill="auto"/>
          </w:tcPr>
          <w:p w:rsidR="0028223C" w:rsidRPr="00867483" w:rsidRDefault="0028223C" w:rsidP="0028223C">
            <w:pPr>
              <w:spacing w:after="0" w:line="240" w:lineRule="auto"/>
              <w:jc w:val="center"/>
              <w:rPr>
                <w:rFonts w:ascii="Times New Roman" w:hAnsi="Times New Roman"/>
                <w:sz w:val="24"/>
                <w:szCs w:val="24"/>
              </w:rPr>
            </w:pPr>
            <w:r w:rsidRPr="00867483">
              <w:rPr>
                <w:rFonts w:ascii="Times New Roman" w:hAnsi="Times New Roman"/>
                <w:sz w:val="24"/>
                <w:szCs w:val="24"/>
              </w:rPr>
              <w:t>5</w:t>
            </w:r>
          </w:p>
        </w:tc>
      </w:tr>
      <w:tr w:rsidR="0028223C" w:rsidRPr="00AA45E9" w:rsidTr="0028223C">
        <w:tc>
          <w:tcPr>
            <w:tcW w:w="1416" w:type="dxa"/>
            <w:tcBorders>
              <w:bottom w:val="single" w:sz="4" w:space="0" w:color="auto"/>
              <w:right w:val="single" w:sz="4" w:space="0" w:color="auto"/>
            </w:tcBorders>
            <w:shd w:val="clear" w:color="auto" w:fill="002060"/>
          </w:tcPr>
          <w:p w:rsidR="0028223C" w:rsidRPr="00AA45E9" w:rsidRDefault="0028223C" w:rsidP="0028223C">
            <w:pPr>
              <w:spacing w:after="0" w:line="240" w:lineRule="auto"/>
              <w:jc w:val="center"/>
              <w:rPr>
                <w:rFonts w:ascii="Times New Roman" w:hAnsi="Times New Roman"/>
                <w:sz w:val="24"/>
                <w:szCs w:val="24"/>
              </w:rPr>
            </w:pPr>
            <w:r w:rsidRPr="00AA45E9">
              <w:rPr>
                <w:rFonts w:ascii="Times New Roman" w:hAnsi="Times New Roman"/>
                <w:b/>
                <w:sz w:val="24"/>
                <w:szCs w:val="24"/>
              </w:rPr>
              <w:t>Etendue</w:t>
            </w:r>
          </w:p>
        </w:tc>
        <w:tc>
          <w:tcPr>
            <w:tcW w:w="1190" w:type="dxa"/>
            <w:tcBorders>
              <w:left w:val="single" w:sz="4" w:space="0" w:color="auto"/>
              <w:bottom w:val="single" w:sz="4" w:space="0" w:color="auto"/>
              <w:right w:val="single" w:sz="4" w:space="0" w:color="auto"/>
            </w:tcBorders>
          </w:tcPr>
          <w:p w:rsidR="0028223C" w:rsidRPr="00867483" w:rsidRDefault="0028223C" w:rsidP="0028223C">
            <w:pPr>
              <w:spacing w:after="0" w:line="240" w:lineRule="auto"/>
              <w:jc w:val="center"/>
              <w:rPr>
                <w:rFonts w:ascii="Times New Roman" w:hAnsi="Times New Roman"/>
                <w:sz w:val="24"/>
                <w:szCs w:val="24"/>
              </w:rPr>
            </w:pPr>
            <w:r>
              <w:rPr>
                <w:rFonts w:ascii="Times New Roman" w:hAnsi="Times New Roman"/>
                <w:sz w:val="24"/>
                <w:szCs w:val="24"/>
              </w:rPr>
              <w:t>Régionale</w:t>
            </w:r>
          </w:p>
        </w:tc>
        <w:tc>
          <w:tcPr>
            <w:tcW w:w="576" w:type="dxa"/>
            <w:tcBorders>
              <w:left w:val="single" w:sz="4" w:space="0" w:color="auto"/>
              <w:bottom w:val="single" w:sz="4" w:space="0" w:color="auto"/>
            </w:tcBorders>
          </w:tcPr>
          <w:p w:rsidR="0028223C" w:rsidRPr="00867483" w:rsidRDefault="0028223C" w:rsidP="0028223C">
            <w:pPr>
              <w:spacing w:after="0" w:line="240" w:lineRule="auto"/>
              <w:jc w:val="center"/>
              <w:rPr>
                <w:rFonts w:ascii="Times New Roman" w:hAnsi="Times New Roman"/>
                <w:sz w:val="24"/>
                <w:szCs w:val="24"/>
              </w:rPr>
            </w:pPr>
            <w:r>
              <w:rPr>
                <w:rFonts w:ascii="Times New Roman" w:hAnsi="Times New Roman"/>
                <w:sz w:val="24"/>
                <w:szCs w:val="24"/>
              </w:rPr>
              <w:t>5</w:t>
            </w:r>
          </w:p>
        </w:tc>
      </w:tr>
      <w:tr w:rsidR="0028223C" w:rsidRPr="00AA45E9" w:rsidTr="0028223C">
        <w:tc>
          <w:tcPr>
            <w:tcW w:w="1416" w:type="dxa"/>
            <w:tcBorders>
              <w:bottom w:val="single" w:sz="4" w:space="0" w:color="auto"/>
              <w:right w:val="single" w:sz="4" w:space="0" w:color="auto"/>
            </w:tcBorders>
            <w:shd w:val="clear" w:color="auto" w:fill="002060"/>
          </w:tcPr>
          <w:p w:rsidR="0028223C" w:rsidRDefault="0028223C" w:rsidP="0028223C">
            <w:pPr>
              <w:spacing w:after="0" w:line="240" w:lineRule="auto"/>
              <w:jc w:val="center"/>
              <w:rPr>
                <w:rFonts w:ascii="Times New Roman" w:hAnsi="Times New Roman"/>
                <w:sz w:val="24"/>
                <w:szCs w:val="24"/>
              </w:rPr>
            </w:pPr>
            <w:r w:rsidRPr="00AA45E9">
              <w:rPr>
                <w:rFonts w:ascii="Times New Roman" w:hAnsi="Times New Roman"/>
                <w:b/>
                <w:sz w:val="24"/>
                <w:szCs w:val="24"/>
              </w:rPr>
              <w:t>Durée</w:t>
            </w:r>
          </w:p>
        </w:tc>
        <w:tc>
          <w:tcPr>
            <w:tcW w:w="1190" w:type="dxa"/>
            <w:tcBorders>
              <w:left w:val="single" w:sz="4" w:space="0" w:color="auto"/>
              <w:bottom w:val="single" w:sz="4" w:space="0" w:color="auto"/>
              <w:right w:val="single" w:sz="4" w:space="0" w:color="auto"/>
            </w:tcBorders>
          </w:tcPr>
          <w:p w:rsidR="0028223C" w:rsidRPr="00867483" w:rsidRDefault="0028223C" w:rsidP="0028223C">
            <w:pPr>
              <w:spacing w:after="0" w:line="240" w:lineRule="auto"/>
              <w:jc w:val="center"/>
              <w:rPr>
                <w:rFonts w:ascii="Times New Roman" w:hAnsi="Times New Roman"/>
                <w:sz w:val="24"/>
                <w:szCs w:val="24"/>
              </w:rPr>
            </w:pPr>
            <w:r>
              <w:rPr>
                <w:rFonts w:ascii="Times New Roman" w:hAnsi="Times New Roman"/>
                <w:sz w:val="24"/>
                <w:szCs w:val="24"/>
              </w:rPr>
              <w:t>Longue</w:t>
            </w:r>
          </w:p>
        </w:tc>
        <w:tc>
          <w:tcPr>
            <w:tcW w:w="576" w:type="dxa"/>
            <w:tcBorders>
              <w:left w:val="single" w:sz="4" w:space="0" w:color="auto"/>
              <w:bottom w:val="single" w:sz="4" w:space="0" w:color="auto"/>
            </w:tcBorders>
          </w:tcPr>
          <w:p w:rsidR="0028223C" w:rsidRPr="00867483" w:rsidRDefault="0028223C" w:rsidP="0028223C">
            <w:pPr>
              <w:spacing w:after="0" w:line="240" w:lineRule="auto"/>
              <w:jc w:val="center"/>
              <w:rPr>
                <w:rFonts w:ascii="Times New Roman" w:hAnsi="Times New Roman"/>
                <w:sz w:val="24"/>
                <w:szCs w:val="24"/>
              </w:rPr>
            </w:pPr>
            <w:r>
              <w:rPr>
                <w:rFonts w:ascii="Times New Roman" w:hAnsi="Times New Roman"/>
                <w:sz w:val="24"/>
                <w:szCs w:val="24"/>
              </w:rPr>
              <w:t>5</w:t>
            </w:r>
          </w:p>
        </w:tc>
      </w:tr>
      <w:tr w:rsidR="0028223C" w:rsidRPr="00AA45E9" w:rsidTr="0028223C">
        <w:tc>
          <w:tcPr>
            <w:tcW w:w="3182" w:type="dxa"/>
            <w:gridSpan w:val="3"/>
            <w:tcBorders>
              <w:bottom w:val="single" w:sz="4" w:space="0" w:color="auto"/>
            </w:tcBorders>
            <w:shd w:val="clear" w:color="auto" w:fill="FFFFFF" w:themeFill="background1"/>
          </w:tcPr>
          <w:p w:rsidR="0028223C" w:rsidRPr="00867483" w:rsidRDefault="0028223C" w:rsidP="0028223C">
            <w:pPr>
              <w:spacing w:after="0" w:line="240" w:lineRule="auto"/>
              <w:jc w:val="center"/>
              <w:rPr>
                <w:rFonts w:ascii="Times New Roman" w:hAnsi="Times New Roman"/>
                <w:sz w:val="6"/>
                <w:szCs w:val="6"/>
              </w:rPr>
            </w:pPr>
          </w:p>
        </w:tc>
      </w:tr>
      <w:tr w:rsidR="0028223C" w:rsidRPr="00AA45E9" w:rsidTr="00093A77">
        <w:tc>
          <w:tcPr>
            <w:tcW w:w="1416" w:type="dxa"/>
            <w:tcBorders>
              <w:bottom w:val="dashDotStroked" w:sz="24" w:space="0" w:color="auto"/>
              <w:right w:val="single" w:sz="4" w:space="0" w:color="auto"/>
            </w:tcBorders>
            <w:shd w:val="clear" w:color="auto" w:fill="002060"/>
          </w:tcPr>
          <w:p w:rsidR="0028223C" w:rsidRPr="00AA45E9" w:rsidRDefault="0028223C" w:rsidP="0028223C">
            <w:pPr>
              <w:spacing w:after="0" w:line="240" w:lineRule="auto"/>
              <w:jc w:val="center"/>
              <w:rPr>
                <w:rFonts w:ascii="Times New Roman" w:hAnsi="Times New Roman"/>
                <w:b/>
                <w:sz w:val="24"/>
                <w:szCs w:val="24"/>
              </w:rPr>
            </w:pPr>
            <w:r w:rsidRPr="00AA45E9">
              <w:rPr>
                <w:rFonts w:ascii="Times New Roman" w:hAnsi="Times New Roman"/>
                <w:b/>
                <w:sz w:val="24"/>
                <w:szCs w:val="24"/>
              </w:rPr>
              <w:t>Importance</w:t>
            </w:r>
          </w:p>
        </w:tc>
        <w:tc>
          <w:tcPr>
            <w:tcW w:w="1190" w:type="dxa"/>
            <w:tcBorders>
              <w:left w:val="single" w:sz="4" w:space="0" w:color="auto"/>
              <w:bottom w:val="dashDotStroked" w:sz="24" w:space="0" w:color="auto"/>
              <w:right w:val="single" w:sz="4" w:space="0" w:color="auto"/>
            </w:tcBorders>
            <w:shd w:val="clear" w:color="auto" w:fill="92D050"/>
          </w:tcPr>
          <w:p w:rsidR="0028223C" w:rsidRPr="008E6D9C" w:rsidRDefault="0028223C" w:rsidP="0028223C">
            <w:pPr>
              <w:spacing w:after="0" w:line="240" w:lineRule="auto"/>
              <w:jc w:val="center"/>
              <w:rPr>
                <w:rFonts w:ascii="Times New Roman" w:hAnsi="Times New Roman"/>
                <w:b/>
                <w:sz w:val="24"/>
                <w:szCs w:val="24"/>
              </w:rPr>
            </w:pPr>
            <w:r>
              <w:rPr>
                <w:rFonts w:ascii="Times New Roman" w:hAnsi="Times New Roman"/>
                <w:b/>
                <w:sz w:val="24"/>
                <w:szCs w:val="24"/>
              </w:rPr>
              <w:t>Majeure</w:t>
            </w:r>
          </w:p>
        </w:tc>
        <w:tc>
          <w:tcPr>
            <w:tcW w:w="576" w:type="dxa"/>
            <w:tcBorders>
              <w:left w:val="single" w:sz="4" w:space="0" w:color="auto"/>
              <w:bottom w:val="dashDotStroked" w:sz="24" w:space="0" w:color="auto"/>
            </w:tcBorders>
            <w:shd w:val="clear" w:color="auto" w:fill="92D050"/>
          </w:tcPr>
          <w:p w:rsidR="0028223C" w:rsidRPr="008E6D9C" w:rsidRDefault="0028223C" w:rsidP="0028223C">
            <w:pPr>
              <w:spacing w:after="0" w:line="240" w:lineRule="auto"/>
              <w:jc w:val="center"/>
              <w:rPr>
                <w:rFonts w:ascii="Times New Roman" w:hAnsi="Times New Roman"/>
                <w:b/>
                <w:sz w:val="24"/>
                <w:szCs w:val="24"/>
              </w:rPr>
            </w:pPr>
            <w:r>
              <w:rPr>
                <w:rFonts w:ascii="Times New Roman" w:hAnsi="Times New Roman"/>
                <w:b/>
                <w:sz w:val="24"/>
                <w:szCs w:val="24"/>
              </w:rPr>
              <w:t>12</w:t>
            </w:r>
            <w:r w:rsidRPr="008E6D9C">
              <w:rPr>
                <w:rFonts w:ascii="Times New Roman" w:hAnsi="Times New Roman"/>
                <w:b/>
                <w:sz w:val="24"/>
                <w:szCs w:val="24"/>
              </w:rPr>
              <w:t>5</w:t>
            </w:r>
          </w:p>
        </w:tc>
      </w:tr>
    </w:tbl>
    <w:p w:rsidR="00705DA0" w:rsidRPr="00705DA0" w:rsidRDefault="00705DA0" w:rsidP="00FA3FAE">
      <w:pPr>
        <w:pStyle w:val="PargrafodaLista"/>
        <w:numPr>
          <w:ilvl w:val="0"/>
          <w:numId w:val="41"/>
        </w:numPr>
        <w:pBdr>
          <w:bottom w:val="dashDotStroked" w:sz="24" w:space="1" w:color="auto"/>
        </w:pBdr>
        <w:jc w:val="both"/>
        <w:rPr>
          <w:rFonts w:ascii="Times New Roman" w:hAnsi="Times New Roman"/>
          <w:b/>
          <w:sz w:val="24"/>
          <w:szCs w:val="24"/>
        </w:rPr>
      </w:pPr>
      <w:r w:rsidRPr="00705DA0">
        <w:rPr>
          <w:rFonts w:ascii="Times New Roman" w:hAnsi="Times New Roman"/>
          <w:b/>
          <w:sz w:val="24"/>
          <w:szCs w:val="24"/>
        </w:rPr>
        <w:t xml:space="preserve">Impacts </w:t>
      </w:r>
      <w:r w:rsidR="005C511A">
        <w:rPr>
          <w:rFonts w:ascii="Times New Roman" w:hAnsi="Times New Roman"/>
          <w:b/>
          <w:sz w:val="24"/>
          <w:szCs w:val="24"/>
          <w:lang w:val="fr-FR"/>
        </w:rPr>
        <w:t xml:space="preserve">positifs </w:t>
      </w:r>
      <w:r w:rsidRPr="00705DA0">
        <w:rPr>
          <w:rFonts w:ascii="Times New Roman" w:hAnsi="Times New Roman"/>
          <w:b/>
          <w:sz w:val="24"/>
          <w:szCs w:val="24"/>
        </w:rPr>
        <w:t>sur la santé et sécurité des populations</w:t>
      </w:r>
    </w:p>
    <w:p w:rsidR="00705DA0" w:rsidRDefault="00705DA0" w:rsidP="00705DA0">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En </w:t>
      </w:r>
      <w:r w:rsidRPr="00705DA0">
        <w:rPr>
          <w:rFonts w:ascii="Times New Roman" w:hAnsi="Times New Roman" w:cs="Times New Roman"/>
          <w:color w:val="000000"/>
          <w:sz w:val="24"/>
          <w:szCs w:val="24"/>
        </w:rPr>
        <w:t>phase d’exploitation</w:t>
      </w:r>
      <w:r>
        <w:rPr>
          <w:rFonts w:ascii="Times New Roman" w:hAnsi="Times New Roman" w:cs="Times New Roman"/>
          <w:color w:val="000000"/>
          <w:sz w:val="24"/>
          <w:szCs w:val="24"/>
        </w:rPr>
        <w:t xml:space="preserve"> des réservoirs</w:t>
      </w:r>
      <w:r w:rsidRPr="00705DA0">
        <w:rPr>
          <w:rFonts w:ascii="Times New Roman" w:hAnsi="Times New Roman" w:cs="Times New Roman"/>
          <w:color w:val="000000"/>
          <w:sz w:val="24"/>
          <w:szCs w:val="24"/>
        </w:rPr>
        <w:t>,</w:t>
      </w:r>
      <w:r>
        <w:rPr>
          <w:rFonts w:ascii="Times New Roman" w:hAnsi="Times New Roman" w:cs="Times New Roman"/>
          <w:color w:val="000000"/>
          <w:sz w:val="24"/>
          <w:szCs w:val="24"/>
        </w:rPr>
        <w:t xml:space="preserve"> </w:t>
      </w:r>
      <w:r w:rsidRPr="00705DA0">
        <w:rPr>
          <w:rFonts w:ascii="Times New Roman" w:hAnsi="Times New Roman" w:cs="Times New Roman"/>
          <w:color w:val="000000"/>
          <w:sz w:val="24"/>
          <w:szCs w:val="24"/>
        </w:rPr>
        <w:t>l’augmentation de la disponibilité de l’eau pot</w:t>
      </w:r>
      <w:r>
        <w:rPr>
          <w:rFonts w:ascii="Times New Roman" w:hAnsi="Times New Roman" w:cs="Times New Roman"/>
          <w:color w:val="000000"/>
          <w:sz w:val="24"/>
          <w:szCs w:val="24"/>
        </w:rPr>
        <w:t>able dans les quartiers concernés comme Bor, Safim, Prabis, Aéroport et Antula</w:t>
      </w:r>
      <w:r w:rsidRPr="00705DA0">
        <w:rPr>
          <w:rFonts w:ascii="Times New Roman" w:hAnsi="Times New Roman" w:cs="Times New Roman"/>
          <w:color w:val="000000"/>
          <w:sz w:val="24"/>
          <w:szCs w:val="24"/>
        </w:rPr>
        <w:t xml:space="preserve"> contribuera fortement à réduire la prévalence des m</w:t>
      </w:r>
      <w:r>
        <w:rPr>
          <w:rFonts w:ascii="Times New Roman" w:hAnsi="Times New Roman" w:cs="Times New Roman"/>
          <w:color w:val="000000"/>
          <w:sz w:val="24"/>
          <w:szCs w:val="24"/>
        </w:rPr>
        <w:t>aladies d’origine hydrique</w:t>
      </w:r>
      <w:r w:rsidRPr="00705DA0">
        <w:rPr>
          <w:rFonts w:ascii="Times New Roman" w:hAnsi="Times New Roman" w:cs="Times New Roman"/>
          <w:color w:val="000000"/>
          <w:sz w:val="24"/>
          <w:szCs w:val="24"/>
        </w:rPr>
        <w:t xml:space="preserve">. </w:t>
      </w:r>
    </w:p>
    <w:p w:rsidR="00705DA0" w:rsidRPr="00B36D70" w:rsidRDefault="00705DA0" w:rsidP="00705DA0">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En plus grâce à la </w:t>
      </w:r>
      <w:r w:rsidRPr="00705DA0">
        <w:rPr>
          <w:rFonts w:ascii="Times New Roman" w:hAnsi="Times New Roman" w:cs="Times New Roman"/>
          <w:color w:val="000000"/>
          <w:sz w:val="24"/>
          <w:szCs w:val="24"/>
        </w:rPr>
        <w:t>disponibilité de l’eau potable en quantité suf</w:t>
      </w:r>
      <w:r>
        <w:rPr>
          <w:rFonts w:ascii="Times New Roman" w:hAnsi="Times New Roman" w:cs="Times New Roman"/>
          <w:color w:val="000000"/>
          <w:sz w:val="24"/>
          <w:szCs w:val="24"/>
        </w:rPr>
        <w:t xml:space="preserve">fisante et à proximité des </w:t>
      </w:r>
      <w:r w:rsidRPr="00705DA0">
        <w:rPr>
          <w:rFonts w:ascii="Times New Roman" w:hAnsi="Times New Roman" w:cs="Times New Roman"/>
          <w:color w:val="000000"/>
          <w:sz w:val="24"/>
          <w:szCs w:val="24"/>
        </w:rPr>
        <w:t xml:space="preserve">populations réduira les déplacements des populations en quête d’eau potable qui présentaient des </w:t>
      </w:r>
      <w:r>
        <w:rPr>
          <w:rFonts w:ascii="Times New Roman" w:hAnsi="Times New Roman" w:cs="Times New Roman"/>
          <w:color w:val="000000"/>
          <w:sz w:val="24"/>
          <w:szCs w:val="24"/>
        </w:rPr>
        <w:t xml:space="preserve">risques </w:t>
      </w:r>
      <w:r w:rsidRPr="00705DA0">
        <w:rPr>
          <w:rFonts w:ascii="Times New Roman" w:hAnsi="Times New Roman" w:cs="Times New Roman"/>
          <w:color w:val="000000"/>
          <w:sz w:val="24"/>
          <w:szCs w:val="24"/>
        </w:rPr>
        <w:t xml:space="preserve">d’accident </w:t>
      </w:r>
      <w:r>
        <w:rPr>
          <w:rFonts w:ascii="Times New Roman" w:hAnsi="Times New Roman" w:cs="Times New Roman"/>
          <w:color w:val="000000"/>
          <w:sz w:val="24"/>
          <w:szCs w:val="24"/>
        </w:rPr>
        <w:t xml:space="preserve">corporel </w:t>
      </w:r>
      <w:r w:rsidRPr="00705DA0">
        <w:rPr>
          <w:rFonts w:ascii="Times New Roman" w:hAnsi="Times New Roman" w:cs="Times New Roman"/>
          <w:color w:val="000000"/>
          <w:sz w:val="24"/>
          <w:szCs w:val="24"/>
        </w:rPr>
        <w:t xml:space="preserve">dus au transport de l’eau sur de longues distances et à des heures </w:t>
      </w:r>
      <w:r>
        <w:rPr>
          <w:rFonts w:ascii="Times New Roman" w:hAnsi="Times New Roman" w:cs="Times New Roman"/>
          <w:color w:val="000000"/>
          <w:sz w:val="24"/>
          <w:szCs w:val="24"/>
        </w:rPr>
        <w:t xml:space="preserve">matinales ou tardives. </w:t>
      </w:r>
    </w:p>
    <w:tbl>
      <w:tblPr>
        <w:tblpPr w:leftFromText="141" w:rightFromText="141" w:vertAnchor="text" w:horzAnchor="margin" w:tblpXSpec="right" w:tblpY="457"/>
        <w:tblW w:w="3153" w:type="dxa"/>
        <w:tblBorders>
          <w:top w:val="single" w:sz="4" w:space="0" w:color="auto"/>
          <w:left w:val="dashDotStroked" w:sz="24" w:space="0" w:color="auto"/>
          <w:bottom w:val="dashDotStroked" w:sz="24" w:space="0" w:color="auto"/>
          <w:right w:val="dashDotStroked" w:sz="24" w:space="0" w:color="auto"/>
          <w:insideH w:val="single" w:sz="4" w:space="0" w:color="auto"/>
          <w:insideV w:val="dashDotStroked" w:sz="24" w:space="0" w:color="auto"/>
        </w:tblBorders>
        <w:tblLook w:val="04A0" w:firstRow="1" w:lastRow="0" w:firstColumn="1" w:lastColumn="0" w:noHBand="0" w:noVBand="1"/>
      </w:tblPr>
      <w:tblGrid>
        <w:gridCol w:w="1507"/>
        <w:gridCol w:w="1190"/>
        <w:gridCol w:w="456"/>
      </w:tblGrid>
      <w:tr w:rsidR="001C63A3" w:rsidRPr="00AA45E9" w:rsidTr="001C63A3">
        <w:tc>
          <w:tcPr>
            <w:tcW w:w="3153" w:type="dxa"/>
            <w:gridSpan w:val="3"/>
            <w:tcBorders>
              <w:bottom w:val="single" w:sz="4" w:space="0" w:color="auto"/>
            </w:tcBorders>
            <w:shd w:val="clear" w:color="auto" w:fill="002060"/>
          </w:tcPr>
          <w:p w:rsidR="001C63A3" w:rsidRPr="00867483" w:rsidRDefault="001C63A3" w:rsidP="001C63A3">
            <w:pPr>
              <w:spacing w:after="0" w:line="240" w:lineRule="auto"/>
              <w:jc w:val="center"/>
              <w:rPr>
                <w:rFonts w:ascii="Times New Roman" w:hAnsi="Times New Roman"/>
                <w:b/>
                <w:sz w:val="24"/>
                <w:szCs w:val="24"/>
              </w:rPr>
            </w:pPr>
            <w:r w:rsidRPr="00867483">
              <w:rPr>
                <w:rFonts w:ascii="Times New Roman" w:hAnsi="Times New Roman"/>
                <w:b/>
                <w:sz w:val="24"/>
                <w:szCs w:val="24"/>
              </w:rPr>
              <w:t>Caractérisation de l’impact</w:t>
            </w:r>
          </w:p>
        </w:tc>
      </w:tr>
      <w:tr w:rsidR="0028223C" w:rsidRPr="00AA45E9" w:rsidTr="00D96D77">
        <w:tc>
          <w:tcPr>
            <w:tcW w:w="1507" w:type="dxa"/>
            <w:tcBorders>
              <w:bottom w:val="single" w:sz="4" w:space="0" w:color="auto"/>
              <w:right w:val="single" w:sz="4" w:space="0" w:color="auto"/>
            </w:tcBorders>
            <w:shd w:val="clear" w:color="auto" w:fill="002060"/>
          </w:tcPr>
          <w:p w:rsidR="0028223C" w:rsidRPr="00AA45E9" w:rsidRDefault="0028223C" w:rsidP="001C63A3">
            <w:pPr>
              <w:spacing w:after="0" w:line="240" w:lineRule="auto"/>
              <w:jc w:val="center"/>
              <w:rPr>
                <w:rFonts w:ascii="Times New Roman" w:hAnsi="Times New Roman"/>
                <w:b/>
                <w:sz w:val="24"/>
                <w:szCs w:val="24"/>
              </w:rPr>
            </w:pPr>
            <w:r>
              <w:rPr>
                <w:rFonts w:ascii="Times New Roman" w:hAnsi="Times New Roman"/>
                <w:b/>
                <w:sz w:val="24"/>
                <w:szCs w:val="24"/>
              </w:rPr>
              <w:t xml:space="preserve">Nature </w:t>
            </w:r>
          </w:p>
        </w:tc>
        <w:tc>
          <w:tcPr>
            <w:tcW w:w="1646" w:type="dxa"/>
            <w:gridSpan w:val="2"/>
            <w:tcBorders>
              <w:left w:val="single" w:sz="4" w:space="0" w:color="auto"/>
              <w:bottom w:val="single" w:sz="4" w:space="0" w:color="auto"/>
            </w:tcBorders>
            <w:shd w:val="clear" w:color="auto" w:fill="auto"/>
          </w:tcPr>
          <w:p w:rsidR="0028223C" w:rsidRPr="00E96A04" w:rsidRDefault="0028223C" w:rsidP="001C63A3">
            <w:pPr>
              <w:spacing w:after="0" w:line="240" w:lineRule="auto"/>
              <w:jc w:val="center"/>
              <w:rPr>
                <w:rFonts w:ascii="Times New Roman" w:hAnsi="Times New Roman"/>
                <w:b/>
                <w:sz w:val="24"/>
                <w:szCs w:val="24"/>
              </w:rPr>
            </w:pPr>
            <w:r w:rsidRPr="00E96A04">
              <w:rPr>
                <w:rFonts w:ascii="Times New Roman" w:hAnsi="Times New Roman"/>
                <w:b/>
                <w:sz w:val="24"/>
                <w:szCs w:val="24"/>
              </w:rPr>
              <w:t>Positif</w:t>
            </w:r>
          </w:p>
        </w:tc>
      </w:tr>
      <w:tr w:rsidR="001C63A3" w:rsidRPr="00AA45E9" w:rsidTr="001C63A3">
        <w:tc>
          <w:tcPr>
            <w:tcW w:w="1507" w:type="dxa"/>
            <w:tcBorders>
              <w:bottom w:val="single" w:sz="4" w:space="0" w:color="auto"/>
              <w:right w:val="single" w:sz="4" w:space="0" w:color="auto"/>
            </w:tcBorders>
            <w:shd w:val="clear" w:color="auto" w:fill="002060"/>
          </w:tcPr>
          <w:p w:rsidR="001C63A3" w:rsidRPr="00AA45E9" w:rsidRDefault="001C63A3" w:rsidP="001C63A3">
            <w:pPr>
              <w:spacing w:after="0" w:line="240" w:lineRule="auto"/>
              <w:jc w:val="center"/>
              <w:rPr>
                <w:rFonts w:ascii="Times New Roman" w:hAnsi="Times New Roman"/>
                <w:b/>
                <w:sz w:val="24"/>
                <w:szCs w:val="24"/>
              </w:rPr>
            </w:pPr>
            <w:r w:rsidRPr="00AA45E9">
              <w:rPr>
                <w:rFonts w:ascii="Times New Roman" w:hAnsi="Times New Roman"/>
                <w:b/>
                <w:sz w:val="24"/>
                <w:szCs w:val="24"/>
              </w:rPr>
              <w:t>Intensité</w:t>
            </w:r>
          </w:p>
        </w:tc>
        <w:tc>
          <w:tcPr>
            <w:tcW w:w="1190" w:type="dxa"/>
            <w:tcBorders>
              <w:left w:val="single" w:sz="4" w:space="0" w:color="auto"/>
              <w:bottom w:val="single" w:sz="4" w:space="0" w:color="auto"/>
              <w:right w:val="single" w:sz="4" w:space="0" w:color="auto"/>
            </w:tcBorders>
            <w:shd w:val="clear" w:color="auto" w:fill="auto"/>
          </w:tcPr>
          <w:p w:rsidR="001C63A3" w:rsidRPr="00867483" w:rsidRDefault="0028223C" w:rsidP="001C63A3">
            <w:pPr>
              <w:spacing w:after="0" w:line="240" w:lineRule="auto"/>
              <w:jc w:val="center"/>
              <w:rPr>
                <w:rFonts w:ascii="Times New Roman" w:hAnsi="Times New Roman"/>
                <w:sz w:val="24"/>
                <w:szCs w:val="24"/>
              </w:rPr>
            </w:pPr>
            <w:r>
              <w:rPr>
                <w:rFonts w:ascii="Times New Roman" w:hAnsi="Times New Roman"/>
                <w:sz w:val="24"/>
                <w:szCs w:val="24"/>
              </w:rPr>
              <w:t>Moyenne</w:t>
            </w:r>
          </w:p>
        </w:tc>
        <w:tc>
          <w:tcPr>
            <w:tcW w:w="456" w:type="dxa"/>
            <w:tcBorders>
              <w:left w:val="single" w:sz="4" w:space="0" w:color="auto"/>
              <w:bottom w:val="single" w:sz="4" w:space="0" w:color="auto"/>
            </w:tcBorders>
            <w:shd w:val="clear" w:color="auto" w:fill="auto"/>
          </w:tcPr>
          <w:p w:rsidR="001C63A3" w:rsidRPr="00867483" w:rsidRDefault="0028223C" w:rsidP="001C63A3">
            <w:pPr>
              <w:spacing w:after="0" w:line="240" w:lineRule="auto"/>
              <w:jc w:val="center"/>
              <w:rPr>
                <w:rFonts w:ascii="Times New Roman" w:hAnsi="Times New Roman"/>
                <w:sz w:val="24"/>
                <w:szCs w:val="24"/>
              </w:rPr>
            </w:pPr>
            <w:r>
              <w:rPr>
                <w:rFonts w:ascii="Times New Roman" w:hAnsi="Times New Roman"/>
                <w:sz w:val="24"/>
                <w:szCs w:val="24"/>
              </w:rPr>
              <w:t>3</w:t>
            </w:r>
          </w:p>
        </w:tc>
      </w:tr>
      <w:tr w:rsidR="001C63A3" w:rsidRPr="00AA45E9" w:rsidTr="001C63A3">
        <w:tc>
          <w:tcPr>
            <w:tcW w:w="1507" w:type="dxa"/>
            <w:tcBorders>
              <w:bottom w:val="single" w:sz="4" w:space="0" w:color="auto"/>
              <w:right w:val="single" w:sz="4" w:space="0" w:color="auto"/>
            </w:tcBorders>
            <w:shd w:val="clear" w:color="auto" w:fill="002060"/>
          </w:tcPr>
          <w:p w:rsidR="001C63A3" w:rsidRPr="00AA45E9" w:rsidRDefault="001C63A3" w:rsidP="001C63A3">
            <w:pPr>
              <w:spacing w:after="0" w:line="240" w:lineRule="auto"/>
              <w:jc w:val="center"/>
              <w:rPr>
                <w:rFonts w:ascii="Times New Roman" w:hAnsi="Times New Roman"/>
                <w:sz w:val="24"/>
                <w:szCs w:val="24"/>
              </w:rPr>
            </w:pPr>
            <w:r w:rsidRPr="00AA45E9">
              <w:rPr>
                <w:rFonts w:ascii="Times New Roman" w:hAnsi="Times New Roman"/>
                <w:b/>
                <w:sz w:val="24"/>
                <w:szCs w:val="24"/>
              </w:rPr>
              <w:t>Etendue</w:t>
            </w:r>
          </w:p>
        </w:tc>
        <w:tc>
          <w:tcPr>
            <w:tcW w:w="1190" w:type="dxa"/>
            <w:tcBorders>
              <w:left w:val="single" w:sz="4" w:space="0" w:color="auto"/>
              <w:bottom w:val="single" w:sz="4" w:space="0" w:color="auto"/>
              <w:right w:val="single" w:sz="4" w:space="0" w:color="auto"/>
            </w:tcBorders>
          </w:tcPr>
          <w:p w:rsidR="001C63A3" w:rsidRPr="00867483" w:rsidRDefault="0028223C" w:rsidP="001C63A3">
            <w:pPr>
              <w:spacing w:after="0" w:line="240" w:lineRule="auto"/>
              <w:jc w:val="center"/>
              <w:rPr>
                <w:rFonts w:ascii="Times New Roman" w:hAnsi="Times New Roman"/>
                <w:sz w:val="24"/>
                <w:szCs w:val="24"/>
              </w:rPr>
            </w:pPr>
            <w:r>
              <w:rPr>
                <w:rFonts w:ascii="Times New Roman" w:hAnsi="Times New Roman"/>
                <w:sz w:val="24"/>
                <w:szCs w:val="24"/>
              </w:rPr>
              <w:t>Locale</w:t>
            </w:r>
          </w:p>
        </w:tc>
        <w:tc>
          <w:tcPr>
            <w:tcW w:w="456" w:type="dxa"/>
            <w:tcBorders>
              <w:left w:val="single" w:sz="4" w:space="0" w:color="auto"/>
              <w:bottom w:val="single" w:sz="4" w:space="0" w:color="auto"/>
            </w:tcBorders>
          </w:tcPr>
          <w:p w:rsidR="001C63A3" w:rsidRPr="00867483" w:rsidRDefault="0028223C" w:rsidP="001C63A3">
            <w:pPr>
              <w:spacing w:after="0" w:line="240" w:lineRule="auto"/>
              <w:jc w:val="center"/>
              <w:rPr>
                <w:rFonts w:ascii="Times New Roman" w:hAnsi="Times New Roman"/>
                <w:sz w:val="24"/>
                <w:szCs w:val="24"/>
              </w:rPr>
            </w:pPr>
            <w:r>
              <w:rPr>
                <w:rFonts w:ascii="Times New Roman" w:hAnsi="Times New Roman"/>
                <w:sz w:val="24"/>
                <w:szCs w:val="24"/>
              </w:rPr>
              <w:t>3</w:t>
            </w:r>
          </w:p>
        </w:tc>
      </w:tr>
      <w:tr w:rsidR="001C63A3" w:rsidRPr="00AA45E9" w:rsidTr="001C63A3">
        <w:tc>
          <w:tcPr>
            <w:tcW w:w="1507" w:type="dxa"/>
            <w:tcBorders>
              <w:bottom w:val="single" w:sz="4" w:space="0" w:color="auto"/>
              <w:right w:val="single" w:sz="4" w:space="0" w:color="auto"/>
            </w:tcBorders>
            <w:shd w:val="clear" w:color="auto" w:fill="002060"/>
          </w:tcPr>
          <w:p w:rsidR="001C63A3" w:rsidRDefault="001C63A3" w:rsidP="001C63A3">
            <w:pPr>
              <w:spacing w:after="0" w:line="240" w:lineRule="auto"/>
              <w:jc w:val="center"/>
              <w:rPr>
                <w:rFonts w:ascii="Times New Roman" w:hAnsi="Times New Roman"/>
                <w:sz w:val="24"/>
                <w:szCs w:val="24"/>
              </w:rPr>
            </w:pPr>
            <w:r w:rsidRPr="00AA45E9">
              <w:rPr>
                <w:rFonts w:ascii="Times New Roman" w:hAnsi="Times New Roman"/>
                <w:b/>
                <w:sz w:val="24"/>
                <w:szCs w:val="24"/>
              </w:rPr>
              <w:t>Durée</w:t>
            </w:r>
          </w:p>
        </w:tc>
        <w:tc>
          <w:tcPr>
            <w:tcW w:w="1190" w:type="dxa"/>
            <w:tcBorders>
              <w:left w:val="single" w:sz="4" w:space="0" w:color="auto"/>
              <w:bottom w:val="single" w:sz="4" w:space="0" w:color="auto"/>
              <w:right w:val="single" w:sz="4" w:space="0" w:color="auto"/>
            </w:tcBorders>
          </w:tcPr>
          <w:p w:rsidR="001C63A3" w:rsidRPr="00867483" w:rsidRDefault="001C63A3" w:rsidP="001C63A3">
            <w:pPr>
              <w:spacing w:after="0" w:line="240" w:lineRule="auto"/>
              <w:jc w:val="center"/>
              <w:rPr>
                <w:rFonts w:ascii="Times New Roman" w:hAnsi="Times New Roman"/>
                <w:sz w:val="24"/>
                <w:szCs w:val="24"/>
              </w:rPr>
            </w:pPr>
            <w:r>
              <w:rPr>
                <w:rFonts w:ascii="Times New Roman" w:hAnsi="Times New Roman"/>
                <w:sz w:val="24"/>
                <w:szCs w:val="24"/>
              </w:rPr>
              <w:t>Longue</w:t>
            </w:r>
          </w:p>
        </w:tc>
        <w:tc>
          <w:tcPr>
            <w:tcW w:w="456" w:type="dxa"/>
            <w:tcBorders>
              <w:left w:val="single" w:sz="4" w:space="0" w:color="auto"/>
              <w:bottom w:val="single" w:sz="4" w:space="0" w:color="auto"/>
            </w:tcBorders>
          </w:tcPr>
          <w:p w:rsidR="001C63A3" w:rsidRPr="00867483" w:rsidRDefault="0028223C" w:rsidP="001C63A3">
            <w:pPr>
              <w:spacing w:after="0" w:line="240" w:lineRule="auto"/>
              <w:jc w:val="center"/>
              <w:rPr>
                <w:rFonts w:ascii="Times New Roman" w:hAnsi="Times New Roman"/>
                <w:sz w:val="24"/>
                <w:szCs w:val="24"/>
              </w:rPr>
            </w:pPr>
            <w:r>
              <w:rPr>
                <w:rFonts w:ascii="Times New Roman" w:hAnsi="Times New Roman"/>
                <w:sz w:val="24"/>
                <w:szCs w:val="24"/>
              </w:rPr>
              <w:t>5</w:t>
            </w:r>
          </w:p>
        </w:tc>
      </w:tr>
      <w:tr w:rsidR="001C63A3" w:rsidRPr="00AA45E9" w:rsidTr="00FC410F">
        <w:tc>
          <w:tcPr>
            <w:tcW w:w="3153" w:type="dxa"/>
            <w:gridSpan w:val="3"/>
            <w:tcBorders>
              <w:bottom w:val="single" w:sz="4" w:space="0" w:color="auto"/>
            </w:tcBorders>
            <w:shd w:val="clear" w:color="auto" w:fill="FFFFFF" w:themeFill="background1"/>
          </w:tcPr>
          <w:p w:rsidR="001C63A3" w:rsidRPr="00867483" w:rsidRDefault="001C63A3" w:rsidP="001C63A3">
            <w:pPr>
              <w:spacing w:after="0" w:line="240" w:lineRule="auto"/>
              <w:jc w:val="center"/>
              <w:rPr>
                <w:rFonts w:ascii="Times New Roman" w:hAnsi="Times New Roman"/>
                <w:sz w:val="6"/>
                <w:szCs w:val="6"/>
              </w:rPr>
            </w:pPr>
          </w:p>
        </w:tc>
      </w:tr>
      <w:tr w:rsidR="001C63A3" w:rsidRPr="00AA45E9" w:rsidTr="001C63A3">
        <w:tc>
          <w:tcPr>
            <w:tcW w:w="1507" w:type="dxa"/>
            <w:tcBorders>
              <w:bottom w:val="dashDotStroked" w:sz="24" w:space="0" w:color="auto"/>
              <w:right w:val="single" w:sz="4" w:space="0" w:color="auto"/>
            </w:tcBorders>
            <w:shd w:val="clear" w:color="auto" w:fill="002060"/>
          </w:tcPr>
          <w:p w:rsidR="001C63A3" w:rsidRPr="00AA45E9" w:rsidRDefault="001C63A3" w:rsidP="001C63A3">
            <w:pPr>
              <w:spacing w:after="0" w:line="240" w:lineRule="auto"/>
              <w:jc w:val="center"/>
              <w:rPr>
                <w:rFonts w:ascii="Times New Roman" w:hAnsi="Times New Roman"/>
                <w:b/>
                <w:sz w:val="24"/>
                <w:szCs w:val="24"/>
              </w:rPr>
            </w:pPr>
            <w:r w:rsidRPr="00AA45E9">
              <w:rPr>
                <w:rFonts w:ascii="Times New Roman" w:hAnsi="Times New Roman"/>
                <w:b/>
                <w:sz w:val="24"/>
                <w:szCs w:val="24"/>
              </w:rPr>
              <w:t>Importance</w:t>
            </w:r>
          </w:p>
        </w:tc>
        <w:tc>
          <w:tcPr>
            <w:tcW w:w="1190" w:type="dxa"/>
            <w:tcBorders>
              <w:left w:val="single" w:sz="4" w:space="0" w:color="auto"/>
              <w:bottom w:val="dashDotStroked" w:sz="24" w:space="0" w:color="auto"/>
              <w:right w:val="single" w:sz="4" w:space="0" w:color="auto"/>
            </w:tcBorders>
            <w:shd w:val="clear" w:color="auto" w:fill="FFD966" w:themeFill="accent4" w:themeFillTint="99"/>
          </w:tcPr>
          <w:p w:rsidR="001C63A3" w:rsidRPr="008E6D9C" w:rsidRDefault="0028223C" w:rsidP="001C63A3">
            <w:pPr>
              <w:spacing w:after="0" w:line="240" w:lineRule="auto"/>
              <w:jc w:val="center"/>
              <w:rPr>
                <w:rFonts w:ascii="Times New Roman" w:hAnsi="Times New Roman"/>
                <w:b/>
                <w:sz w:val="24"/>
                <w:szCs w:val="24"/>
              </w:rPr>
            </w:pPr>
            <w:r>
              <w:rPr>
                <w:rFonts w:ascii="Times New Roman" w:hAnsi="Times New Roman"/>
                <w:b/>
                <w:sz w:val="24"/>
                <w:szCs w:val="24"/>
              </w:rPr>
              <w:t>Moyenne</w:t>
            </w:r>
          </w:p>
        </w:tc>
        <w:tc>
          <w:tcPr>
            <w:tcW w:w="456" w:type="dxa"/>
            <w:tcBorders>
              <w:left w:val="single" w:sz="4" w:space="0" w:color="auto"/>
              <w:bottom w:val="dashDotStroked" w:sz="24" w:space="0" w:color="auto"/>
            </w:tcBorders>
            <w:shd w:val="clear" w:color="auto" w:fill="FFD966" w:themeFill="accent4" w:themeFillTint="99"/>
          </w:tcPr>
          <w:p w:rsidR="001C63A3" w:rsidRPr="008E6D9C" w:rsidRDefault="0028223C" w:rsidP="001C63A3">
            <w:pPr>
              <w:spacing w:after="0" w:line="240" w:lineRule="auto"/>
              <w:jc w:val="center"/>
              <w:rPr>
                <w:rFonts w:ascii="Times New Roman" w:hAnsi="Times New Roman"/>
                <w:b/>
                <w:sz w:val="24"/>
                <w:szCs w:val="24"/>
              </w:rPr>
            </w:pPr>
            <w:r>
              <w:rPr>
                <w:rFonts w:ascii="Times New Roman" w:hAnsi="Times New Roman"/>
                <w:b/>
                <w:sz w:val="24"/>
                <w:szCs w:val="24"/>
              </w:rPr>
              <w:t>45</w:t>
            </w:r>
          </w:p>
        </w:tc>
      </w:tr>
    </w:tbl>
    <w:p w:rsidR="00F02227" w:rsidRPr="005C511A" w:rsidRDefault="00F02227" w:rsidP="00FA3FAE">
      <w:pPr>
        <w:pStyle w:val="PargrafodaLista"/>
        <w:numPr>
          <w:ilvl w:val="0"/>
          <w:numId w:val="41"/>
        </w:numPr>
        <w:pBdr>
          <w:bottom w:val="dashDotStroked" w:sz="24" w:space="1" w:color="auto"/>
        </w:pBdr>
        <w:jc w:val="both"/>
        <w:rPr>
          <w:rFonts w:ascii="Times New Roman" w:hAnsi="Times New Roman"/>
          <w:b/>
          <w:sz w:val="24"/>
          <w:szCs w:val="24"/>
        </w:rPr>
      </w:pPr>
      <w:r w:rsidRPr="005C511A">
        <w:rPr>
          <w:rFonts w:ascii="Times New Roman" w:hAnsi="Times New Roman"/>
          <w:b/>
          <w:sz w:val="24"/>
          <w:szCs w:val="24"/>
        </w:rPr>
        <w:t>Impacts</w:t>
      </w:r>
      <w:r w:rsidR="005C511A">
        <w:rPr>
          <w:rFonts w:ascii="Times New Roman" w:hAnsi="Times New Roman"/>
          <w:b/>
          <w:sz w:val="24"/>
          <w:szCs w:val="24"/>
          <w:lang w:val="fr-FR"/>
        </w:rPr>
        <w:t xml:space="preserve"> positifs</w:t>
      </w:r>
      <w:r w:rsidRPr="005C511A">
        <w:rPr>
          <w:rFonts w:ascii="Times New Roman" w:hAnsi="Times New Roman"/>
          <w:b/>
          <w:sz w:val="24"/>
          <w:szCs w:val="24"/>
        </w:rPr>
        <w:t xml:space="preserve"> sur la vie socio-culturelle des populations</w:t>
      </w:r>
    </w:p>
    <w:p w:rsidR="00F02227" w:rsidRPr="00F02227" w:rsidRDefault="00F02227" w:rsidP="005006D5">
      <w:pPr>
        <w:spacing w:after="0"/>
        <w:jc w:val="both"/>
        <w:rPr>
          <w:rFonts w:ascii="Times New Roman" w:hAnsi="Times New Roman" w:cs="Times New Roman"/>
          <w:color w:val="000000"/>
          <w:sz w:val="24"/>
          <w:szCs w:val="24"/>
        </w:rPr>
      </w:pPr>
      <w:r w:rsidRPr="00F02227">
        <w:rPr>
          <w:rFonts w:ascii="Times New Roman" w:hAnsi="Times New Roman" w:cs="Times New Roman"/>
          <w:color w:val="000000"/>
          <w:sz w:val="24"/>
          <w:szCs w:val="24"/>
        </w:rPr>
        <w:t xml:space="preserve">La pérennisation de l’approvisionnement en eau potable </w:t>
      </w:r>
      <w:r w:rsidR="005C511A" w:rsidRPr="00F02227">
        <w:rPr>
          <w:rFonts w:ascii="Times New Roman" w:hAnsi="Times New Roman" w:cs="Times New Roman"/>
          <w:color w:val="000000"/>
          <w:sz w:val="24"/>
          <w:szCs w:val="24"/>
        </w:rPr>
        <w:t xml:space="preserve">induira </w:t>
      </w:r>
      <w:r w:rsidR="005006D5">
        <w:rPr>
          <w:rFonts w:ascii="Times New Roman" w:hAnsi="Times New Roman" w:cs="Times New Roman"/>
          <w:color w:val="000000"/>
          <w:sz w:val="24"/>
          <w:szCs w:val="24"/>
        </w:rPr>
        <w:t>à l’</w:t>
      </w:r>
      <w:r w:rsidR="005006D5" w:rsidRPr="005006D5">
        <w:rPr>
          <w:rFonts w:ascii="Times New Roman" w:hAnsi="Times New Roman" w:cs="Times New Roman"/>
          <w:color w:val="000000"/>
          <w:sz w:val="24"/>
          <w:szCs w:val="24"/>
        </w:rPr>
        <w:t>amélioration</w:t>
      </w:r>
      <w:r w:rsidR="005006D5">
        <w:rPr>
          <w:rFonts w:ascii="Times New Roman" w:hAnsi="Times New Roman" w:cs="Times New Roman"/>
          <w:color w:val="000000"/>
          <w:sz w:val="24"/>
          <w:szCs w:val="24"/>
        </w:rPr>
        <w:t xml:space="preserve"> du cadre et des conditions de </w:t>
      </w:r>
      <w:r w:rsidR="005006D5" w:rsidRPr="00F02227">
        <w:rPr>
          <w:rFonts w:ascii="Times New Roman" w:hAnsi="Times New Roman" w:cs="Times New Roman"/>
          <w:color w:val="000000"/>
          <w:sz w:val="24"/>
          <w:szCs w:val="24"/>
        </w:rPr>
        <w:t>vie</w:t>
      </w:r>
      <w:r w:rsidR="005006D5">
        <w:rPr>
          <w:rFonts w:ascii="Times New Roman" w:hAnsi="Times New Roman" w:cs="Times New Roman"/>
          <w:color w:val="000000"/>
          <w:sz w:val="24"/>
          <w:szCs w:val="24"/>
        </w:rPr>
        <w:t xml:space="preserve"> des populations mais aussi à une</w:t>
      </w:r>
      <w:r w:rsidR="005C511A" w:rsidRPr="00F02227">
        <w:rPr>
          <w:rFonts w:ascii="Times New Roman" w:hAnsi="Times New Roman" w:cs="Times New Roman"/>
          <w:color w:val="000000"/>
          <w:sz w:val="24"/>
          <w:szCs w:val="24"/>
        </w:rPr>
        <w:t xml:space="preserve"> dynamique</w:t>
      </w:r>
      <w:r w:rsidR="005006D5">
        <w:rPr>
          <w:rFonts w:ascii="Times New Roman" w:hAnsi="Times New Roman" w:cs="Times New Roman"/>
          <w:color w:val="000000"/>
          <w:sz w:val="24"/>
          <w:szCs w:val="24"/>
        </w:rPr>
        <w:t xml:space="preserve"> </w:t>
      </w:r>
      <w:r w:rsidR="00D30CA6">
        <w:rPr>
          <w:rFonts w:ascii="Times New Roman" w:hAnsi="Times New Roman" w:cs="Times New Roman"/>
          <w:color w:val="000000"/>
          <w:sz w:val="24"/>
          <w:szCs w:val="24"/>
        </w:rPr>
        <w:t xml:space="preserve">de </w:t>
      </w:r>
      <w:r w:rsidR="005006D5">
        <w:rPr>
          <w:rFonts w:ascii="Times New Roman" w:hAnsi="Times New Roman" w:cs="Times New Roman"/>
          <w:color w:val="000000"/>
          <w:sz w:val="24"/>
          <w:szCs w:val="24"/>
        </w:rPr>
        <w:t>peuplement d</w:t>
      </w:r>
      <w:r w:rsidR="005C511A">
        <w:rPr>
          <w:rFonts w:ascii="Times New Roman" w:hAnsi="Times New Roman" w:cs="Times New Roman"/>
          <w:color w:val="000000"/>
          <w:sz w:val="24"/>
          <w:szCs w:val="24"/>
        </w:rPr>
        <w:t xml:space="preserve">es </w:t>
      </w:r>
      <w:r w:rsidR="00B409CE">
        <w:rPr>
          <w:rFonts w:ascii="Times New Roman" w:hAnsi="Times New Roman" w:cs="Times New Roman"/>
          <w:color w:val="000000"/>
          <w:sz w:val="24"/>
          <w:szCs w:val="24"/>
        </w:rPr>
        <w:t>secteur</w:t>
      </w:r>
      <w:r w:rsidR="003553DF">
        <w:rPr>
          <w:rFonts w:ascii="Times New Roman" w:hAnsi="Times New Roman" w:cs="Times New Roman"/>
          <w:color w:val="000000"/>
          <w:sz w:val="24"/>
          <w:szCs w:val="24"/>
        </w:rPr>
        <w:t xml:space="preserve">s ou </w:t>
      </w:r>
      <w:r w:rsidR="005006D5">
        <w:rPr>
          <w:rFonts w:ascii="Times New Roman" w:hAnsi="Times New Roman" w:cs="Times New Roman"/>
          <w:color w:val="000000"/>
          <w:sz w:val="24"/>
          <w:szCs w:val="24"/>
        </w:rPr>
        <w:t xml:space="preserve">des </w:t>
      </w:r>
      <w:r w:rsidR="003553DF">
        <w:rPr>
          <w:rFonts w:ascii="Times New Roman" w:hAnsi="Times New Roman" w:cs="Times New Roman"/>
          <w:color w:val="000000"/>
          <w:sz w:val="24"/>
          <w:szCs w:val="24"/>
        </w:rPr>
        <w:t>quartiers concernés par</w:t>
      </w:r>
      <w:r w:rsidR="005006D5">
        <w:rPr>
          <w:rFonts w:ascii="Times New Roman" w:hAnsi="Times New Roman" w:cs="Times New Roman"/>
          <w:color w:val="000000"/>
          <w:sz w:val="24"/>
          <w:szCs w:val="24"/>
        </w:rPr>
        <w:t xml:space="preserve"> le projet de PUASEE-FA</w:t>
      </w:r>
      <w:r w:rsidRPr="00F02227">
        <w:rPr>
          <w:rFonts w:ascii="Times New Roman" w:hAnsi="Times New Roman" w:cs="Times New Roman"/>
          <w:color w:val="000000"/>
          <w:sz w:val="24"/>
          <w:szCs w:val="24"/>
        </w:rPr>
        <w:t>.</w:t>
      </w:r>
    </w:p>
    <w:p w:rsidR="001C63A3" w:rsidRDefault="00F02227" w:rsidP="00F02227">
      <w:pPr>
        <w:jc w:val="both"/>
        <w:rPr>
          <w:rFonts w:ascii="Times New Roman" w:hAnsi="Times New Roman" w:cs="Times New Roman"/>
          <w:color w:val="000000"/>
          <w:sz w:val="24"/>
          <w:szCs w:val="24"/>
        </w:rPr>
      </w:pPr>
      <w:r w:rsidRPr="00F02227">
        <w:rPr>
          <w:rFonts w:ascii="Times New Roman" w:hAnsi="Times New Roman" w:cs="Times New Roman"/>
          <w:color w:val="000000"/>
          <w:sz w:val="24"/>
          <w:szCs w:val="24"/>
        </w:rPr>
        <w:t xml:space="preserve">Au plan social, les corvées de remplissage des bidons d’eau et de </w:t>
      </w:r>
      <w:r w:rsidR="001C63A3" w:rsidRPr="00F02227">
        <w:rPr>
          <w:rFonts w:ascii="Times New Roman" w:hAnsi="Times New Roman" w:cs="Times New Roman"/>
          <w:color w:val="000000"/>
          <w:sz w:val="24"/>
          <w:szCs w:val="24"/>
        </w:rPr>
        <w:t>leur transpor</w:t>
      </w:r>
      <w:r w:rsidR="001C63A3">
        <w:rPr>
          <w:rFonts w:ascii="Times New Roman" w:hAnsi="Times New Roman" w:cs="Times New Roman"/>
          <w:color w:val="000000"/>
          <w:sz w:val="24"/>
          <w:szCs w:val="24"/>
        </w:rPr>
        <w:t>t infligé</w:t>
      </w:r>
      <w:r w:rsidR="005C511A">
        <w:rPr>
          <w:rFonts w:ascii="Times New Roman" w:hAnsi="Times New Roman" w:cs="Times New Roman"/>
          <w:color w:val="000000"/>
          <w:sz w:val="24"/>
          <w:szCs w:val="24"/>
        </w:rPr>
        <w:t xml:space="preserve"> aux enfants et aux </w:t>
      </w:r>
      <w:r w:rsidR="001C63A3">
        <w:rPr>
          <w:rFonts w:ascii="Times New Roman" w:hAnsi="Times New Roman" w:cs="Times New Roman"/>
          <w:color w:val="000000"/>
          <w:sz w:val="24"/>
          <w:szCs w:val="24"/>
        </w:rPr>
        <w:t xml:space="preserve">femmes, </w:t>
      </w:r>
      <w:r w:rsidRPr="00F02227">
        <w:rPr>
          <w:rFonts w:ascii="Times New Roman" w:hAnsi="Times New Roman" w:cs="Times New Roman"/>
          <w:color w:val="000000"/>
          <w:sz w:val="24"/>
          <w:szCs w:val="24"/>
        </w:rPr>
        <w:t>du fait de l’insuffisance ou de la pénurie d’eau seront réduites voire</w:t>
      </w:r>
      <w:r w:rsidR="005C511A">
        <w:rPr>
          <w:rFonts w:ascii="Times New Roman" w:hAnsi="Times New Roman" w:cs="Times New Roman"/>
          <w:color w:val="000000"/>
          <w:sz w:val="24"/>
          <w:szCs w:val="24"/>
        </w:rPr>
        <w:t xml:space="preserve"> supprimées.  Cela réduira les </w:t>
      </w:r>
      <w:r w:rsidRPr="00F02227">
        <w:rPr>
          <w:rFonts w:ascii="Times New Roman" w:hAnsi="Times New Roman" w:cs="Times New Roman"/>
          <w:color w:val="000000"/>
          <w:sz w:val="24"/>
          <w:szCs w:val="24"/>
        </w:rPr>
        <w:t>risques de tensions sociales qui pourraient résulter de cet état de fait.</w:t>
      </w:r>
      <w:r w:rsidR="001C63A3">
        <w:rPr>
          <w:rFonts w:ascii="Times New Roman" w:hAnsi="Times New Roman" w:cs="Times New Roman"/>
          <w:color w:val="000000"/>
          <w:sz w:val="24"/>
          <w:szCs w:val="24"/>
        </w:rPr>
        <w:t xml:space="preserve"> </w:t>
      </w:r>
      <w:r w:rsidRPr="00F02227">
        <w:rPr>
          <w:rFonts w:ascii="Times New Roman" w:hAnsi="Times New Roman" w:cs="Times New Roman"/>
          <w:color w:val="000000"/>
          <w:sz w:val="24"/>
          <w:szCs w:val="24"/>
        </w:rPr>
        <w:t xml:space="preserve">En outre, </w:t>
      </w:r>
      <w:r w:rsidR="005C511A">
        <w:rPr>
          <w:rFonts w:ascii="Times New Roman" w:hAnsi="Times New Roman" w:cs="Times New Roman"/>
          <w:color w:val="000000"/>
          <w:sz w:val="24"/>
          <w:szCs w:val="24"/>
        </w:rPr>
        <w:t xml:space="preserve">le cadre de vie sera nettement </w:t>
      </w:r>
      <w:r w:rsidR="001C63A3">
        <w:rPr>
          <w:rFonts w:ascii="Times New Roman" w:hAnsi="Times New Roman" w:cs="Times New Roman"/>
          <w:color w:val="000000"/>
          <w:sz w:val="24"/>
          <w:szCs w:val="24"/>
        </w:rPr>
        <w:t xml:space="preserve">amélioré </w:t>
      </w:r>
      <w:r w:rsidR="001C63A3" w:rsidRPr="00F02227">
        <w:rPr>
          <w:rFonts w:ascii="Times New Roman" w:hAnsi="Times New Roman" w:cs="Times New Roman"/>
          <w:color w:val="000000"/>
          <w:sz w:val="24"/>
          <w:szCs w:val="24"/>
        </w:rPr>
        <w:t>avec l’assainissement des quartiers et partant</w:t>
      </w:r>
      <w:r w:rsidR="001C63A3">
        <w:rPr>
          <w:rFonts w:ascii="Times New Roman" w:hAnsi="Times New Roman" w:cs="Times New Roman"/>
          <w:color w:val="000000"/>
          <w:sz w:val="24"/>
          <w:szCs w:val="24"/>
        </w:rPr>
        <w:t>,</w:t>
      </w:r>
      <w:r w:rsidRPr="00F02227">
        <w:rPr>
          <w:rFonts w:ascii="Times New Roman" w:hAnsi="Times New Roman" w:cs="Times New Roman"/>
          <w:color w:val="000000"/>
          <w:sz w:val="24"/>
          <w:szCs w:val="24"/>
        </w:rPr>
        <w:t xml:space="preserve"> </w:t>
      </w:r>
      <w:r w:rsidR="001C63A3" w:rsidRPr="00F02227">
        <w:rPr>
          <w:rFonts w:ascii="Times New Roman" w:hAnsi="Times New Roman" w:cs="Times New Roman"/>
          <w:color w:val="000000"/>
          <w:sz w:val="24"/>
          <w:szCs w:val="24"/>
        </w:rPr>
        <w:t>la réduction voire</w:t>
      </w:r>
      <w:r w:rsidR="001C63A3">
        <w:rPr>
          <w:rFonts w:ascii="Times New Roman" w:hAnsi="Times New Roman" w:cs="Times New Roman"/>
          <w:color w:val="000000"/>
          <w:sz w:val="24"/>
          <w:szCs w:val="24"/>
        </w:rPr>
        <w:t xml:space="preserve"> l’éradication des maladies </w:t>
      </w:r>
      <w:r w:rsidRPr="00F02227">
        <w:rPr>
          <w:rFonts w:ascii="Times New Roman" w:hAnsi="Times New Roman" w:cs="Times New Roman"/>
          <w:color w:val="000000"/>
          <w:sz w:val="24"/>
          <w:szCs w:val="24"/>
        </w:rPr>
        <w:t>d’origine</w:t>
      </w:r>
      <w:r w:rsidR="001C63A3">
        <w:rPr>
          <w:rFonts w:ascii="Times New Roman" w:hAnsi="Times New Roman" w:cs="Times New Roman"/>
          <w:color w:val="000000"/>
          <w:sz w:val="24"/>
          <w:szCs w:val="24"/>
        </w:rPr>
        <w:t xml:space="preserve"> </w:t>
      </w:r>
      <w:r w:rsidRPr="00F02227">
        <w:rPr>
          <w:rFonts w:ascii="Times New Roman" w:hAnsi="Times New Roman" w:cs="Times New Roman"/>
          <w:color w:val="000000"/>
          <w:sz w:val="24"/>
          <w:szCs w:val="24"/>
        </w:rPr>
        <w:t>hydrique.</w:t>
      </w:r>
      <w:r w:rsidR="001C63A3">
        <w:rPr>
          <w:rFonts w:ascii="Times New Roman" w:hAnsi="Times New Roman" w:cs="Times New Roman"/>
          <w:color w:val="000000"/>
          <w:sz w:val="24"/>
          <w:szCs w:val="24"/>
        </w:rPr>
        <w:t xml:space="preserve"> </w:t>
      </w:r>
    </w:p>
    <w:tbl>
      <w:tblPr>
        <w:tblpPr w:leftFromText="141" w:rightFromText="141" w:vertAnchor="text" w:horzAnchor="margin" w:tblpXSpec="right" w:tblpY="440"/>
        <w:tblW w:w="3153" w:type="dxa"/>
        <w:tblBorders>
          <w:top w:val="single" w:sz="4" w:space="0" w:color="auto"/>
          <w:left w:val="dashDotStroked" w:sz="24" w:space="0" w:color="auto"/>
          <w:bottom w:val="dashDotStroked" w:sz="24" w:space="0" w:color="auto"/>
          <w:right w:val="dashDotStroked" w:sz="24" w:space="0" w:color="auto"/>
          <w:insideH w:val="single" w:sz="4" w:space="0" w:color="auto"/>
          <w:insideV w:val="dashDotStroked" w:sz="24" w:space="0" w:color="auto"/>
        </w:tblBorders>
        <w:tblLook w:val="04A0" w:firstRow="1" w:lastRow="0" w:firstColumn="1" w:lastColumn="0" w:noHBand="0" w:noVBand="1"/>
      </w:tblPr>
      <w:tblGrid>
        <w:gridCol w:w="1507"/>
        <w:gridCol w:w="1190"/>
        <w:gridCol w:w="456"/>
      </w:tblGrid>
      <w:tr w:rsidR="007779B6" w:rsidRPr="00AA45E9" w:rsidTr="007779B6">
        <w:tc>
          <w:tcPr>
            <w:tcW w:w="3153" w:type="dxa"/>
            <w:gridSpan w:val="3"/>
            <w:tcBorders>
              <w:bottom w:val="single" w:sz="4" w:space="0" w:color="auto"/>
            </w:tcBorders>
            <w:shd w:val="clear" w:color="auto" w:fill="002060"/>
          </w:tcPr>
          <w:p w:rsidR="007779B6" w:rsidRPr="00867483" w:rsidRDefault="007779B6" w:rsidP="007779B6">
            <w:pPr>
              <w:spacing w:after="0" w:line="240" w:lineRule="auto"/>
              <w:jc w:val="center"/>
              <w:rPr>
                <w:rFonts w:ascii="Times New Roman" w:hAnsi="Times New Roman"/>
                <w:b/>
                <w:sz w:val="24"/>
                <w:szCs w:val="24"/>
              </w:rPr>
            </w:pPr>
            <w:r w:rsidRPr="00867483">
              <w:rPr>
                <w:rFonts w:ascii="Times New Roman" w:hAnsi="Times New Roman"/>
                <w:b/>
                <w:sz w:val="24"/>
                <w:szCs w:val="24"/>
              </w:rPr>
              <w:t>Caractérisation de l’impact</w:t>
            </w:r>
          </w:p>
        </w:tc>
      </w:tr>
      <w:tr w:rsidR="0028223C" w:rsidRPr="00AA45E9" w:rsidTr="00D96D77">
        <w:tc>
          <w:tcPr>
            <w:tcW w:w="1507" w:type="dxa"/>
            <w:tcBorders>
              <w:bottom w:val="single" w:sz="4" w:space="0" w:color="auto"/>
              <w:right w:val="single" w:sz="4" w:space="0" w:color="auto"/>
            </w:tcBorders>
            <w:shd w:val="clear" w:color="auto" w:fill="002060"/>
          </w:tcPr>
          <w:p w:rsidR="0028223C" w:rsidRPr="00AA45E9" w:rsidRDefault="0028223C" w:rsidP="007779B6">
            <w:pPr>
              <w:spacing w:after="0" w:line="240" w:lineRule="auto"/>
              <w:jc w:val="center"/>
              <w:rPr>
                <w:rFonts w:ascii="Times New Roman" w:hAnsi="Times New Roman"/>
                <w:b/>
                <w:sz w:val="24"/>
                <w:szCs w:val="24"/>
              </w:rPr>
            </w:pPr>
            <w:r>
              <w:rPr>
                <w:rFonts w:ascii="Times New Roman" w:hAnsi="Times New Roman"/>
                <w:b/>
                <w:sz w:val="24"/>
                <w:szCs w:val="24"/>
              </w:rPr>
              <w:t xml:space="preserve">Nature </w:t>
            </w:r>
          </w:p>
        </w:tc>
        <w:tc>
          <w:tcPr>
            <w:tcW w:w="1646" w:type="dxa"/>
            <w:gridSpan w:val="2"/>
            <w:tcBorders>
              <w:left w:val="single" w:sz="4" w:space="0" w:color="auto"/>
              <w:bottom w:val="single" w:sz="4" w:space="0" w:color="auto"/>
            </w:tcBorders>
            <w:shd w:val="clear" w:color="auto" w:fill="auto"/>
          </w:tcPr>
          <w:p w:rsidR="0028223C" w:rsidRPr="00E96A04" w:rsidRDefault="0028223C" w:rsidP="007779B6">
            <w:pPr>
              <w:spacing w:after="0" w:line="240" w:lineRule="auto"/>
              <w:jc w:val="center"/>
              <w:rPr>
                <w:rFonts w:ascii="Times New Roman" w:hAnsi="Times New Roman"/>
                <w:b/>
                <w:sz w:val="24"/>
                <w:szCs w:val="24"/>
              </w:rPr>
            </w:pPr>
            <w:r w:rsidRPr="00E96A04">
              <w:rPr>
                <w:rFonts w:ascii="Times New Roman" w:hAnsi="Times New Roman"/>
                <w:b/>
                <w:sz w:val="24"/>
                <w:szCs w:val="24"/>
              </w:rPr>
              <w:t>Positif</w:t>
            </w:r>
          </w:p>
        </w:tc>
      </w:tr>
      <w:tr w:rsidR="0028223C" w:rsidRPr="00AA45E9" w:rsidTr="007779B6">
        <w:tc>
          <w:tcPr>
            <w:tcW w:w="1507" w:type="dxa"/>
            <w:tcBorders>
              <w:bottom w:val="single" w:sz="4" w:space="0" w:color="auto"/>
              <w:right w:val="single" w:sz="4" w:space="0" w:color="auto"/>
            </w:tcBorders>
            <w:shd w:val="clear" w:color="auto" w:fill="002060"/>
          </w:tcPr>
          <w:p w:rsidR="0028223C" w:rsidRPr="00AA45E9" w:rsidRDefault="0028223C" w:rsidP="0028223C">
            <w:pPr>
              <w:spacing w:after="0" w:line="240" w:lineRule="auto"/>
              <w:jc w:val="center"/>
              <w:rPr>
                <w:rFonts w:ascii="Times New Roman" w:hAnsi="Times New Roman"/>
                <w:b/>
                <w:sz w:val="24"/>
                <w:szCs w:val="24"/>
              </w:rPr>
            </w:pPr>
            <w:r w:rsidRPr="00AA45E9">
              <w:rPr>
                <w:rFonts w:ascii="Times New Roman" w:hAnsi="Times New Roman"/>
                <w:b/>
                <w:sz w:val="24"/>
                <w:szCs w:val="24"/>
              </w:rPr>
              <w:t>Intensité</w:t>
            </w:r>
          </w:p>
        </w:tc>
        <w:tc>
          <w:tcPr>
            <w:tcW w:w="1190" w:type="dxa"/>
            <w:tcBorders>
              <w:left w:val="single" w:sz="4" w:space="0" w:color="auto"/>
              <w:bottom w:val="single" w:sz="4" w:space="0" w:color="auto"/>
              <w:right w:val="single" w:sz="4" w:space="0" w:color="auto"/>
            </w:tcBorders>
            <w:shd w:val="clear" w:color="auto" w:fill="auto"/>
          </w:tcPr>
          <w:p w:rsidR="0028223C" w:rsidRPr="00867483" w:rsidRDefault="0028223C" w:rsidP="0028223C">
            <w:pPr>
              <w:spacing w:after="0" w:line="240" w:lineRule="auto"/>
              <w:jc w:val="center"/>
              <w:rPr>
                <w:rFonts w:ascii="Times New Roman" w:hAnsi="Times New Roman"/>
                <w:sz w:val="24"/>
                <w:szCs w:val="24"/>
              </w:rPr>
            </w:pPr>
            <w:r>
              <w:rPr>
                <w:rFonts w:ascii="Times New Roman" w:hAnsi="Times New Roman"/>
                <w:sz w:val="24"/>
                <w:szCs w:val="24"/>
              </w:rPr>
              <w:t>Moyenne</w:t>
            </w:r>
          </w:p>
        </w:tc>
        <w:tc>
          <w:tcPr>
            <w:tcW w:w="456" w:type="dxa"/>
            <w:tcBorders>
              <w:left w:val="single" w:sz="4" w:space="0" w:color="auto"/>
              <w:bottom w:val="single" w:sz="4" w:space="0" w:color="auto"/>
            </w:tcBorders>
            <w:shd w:val="clear" w:color="auto" w:fill="auto"/>
          </w:tcPr>
          <w:p w:rsidR="0028223C" w:rsidRPr="00867483" w:rsidRDefault="0028223C" w:rsidP="0028223C">
            <w:pPr>
              <w:spacing w:after="0" w:line="240" w:lineRule="auto"/>
              <w:jc w:val="center"/>
              <w:rPr>
                <w:rFonts w:ascii="Times New Roman" w:hAnsi="Times New Roman"/>
                <w:sz w:val="24"/>
                <w:szCs w:val="24"/>
              </w:rPr>
            </w:pPr>
            <w:r>
              <w:rPr>
                <w:rFonts w:ascii="Times New Roman" w:hAnsi="Times New Roman"/>
                <w:sz w:val="24"/>
                <w:szCs w:val="24"/>
              </w:rPr>
              <w:t>3</w:t>
            </w:r>
          </w:p>
        </w:tc>
      </w:tr>
      <w:tr w:rsidR="0028223C" w:rsidRPr="00AA45E9" w:rsidTr="007779B6">
        <w:tc>
          <w:tcPr>
            <w:tcW w:w="1507" w:type="dxa"/>
            <w:tcBorders>
              <w:bottom w:val="single" w:sz="4" w:space="0" w:color="auto"/>
              <w:right w:val="single" w:sz="4" w:space="0" w:color="auto"/>
            </w:tcBorders>
            <w:shd w:val="clear" w:color="auto" w:fill="002060"/>
          </w:tcPr>
          <w:p w:rsidR="0028223C" w:rsidRPr="00AA45E9" w:rsidRDefault="0028223C" w:rsidP="0028223C">
            <w:pPr>
              <w:spacing w:after="0" w:line="240" w:lineRule="auto"/>
              <w:jc w:val="center"/>
              <w:rPr>
                <w:rFonts w:ascii="Times New Roman" w:hAnsi="Times New Roman"/>
                <w:sz w:val="24"/>
                <w:szCs w:val="24"/>
              </w:rPr>
            </w:pPr>
            <w:r w:rsidRPr="00AA45E9">
              <w:rPr>
                <w:rFonts w:ascii="Times New Roman" w:hAnsi="Times New Roman"/>
                <w:b/>
                <w:sz w:val="24"/>
                <w:szCs w:val="24"/>
              </w:rPr>
              <w:t>Etendue</w:t>
            </w:r>
          </w:p>
        </w:tc>
        <w:tc>
          <w:tcPr>
            <w:tcW w:w="1190" w:type="dxa"/>
            <w:tcBorders>
              <w:left w:val="single" w:sz="4" w:space="0" w:color="auto"/>
              <w:bottom w:val="single" w:sz="4" w:space="0" w:color="auto"/>
              <w:right w:val="single" w:sz="4" w:space="0" w:color="auto"/>
            </w:tcBorders>
          </w:tcPr>
          <w:p w:rsidR="0028223C" w:rsidRPr="00867483" w:rsidRDefault="0028223C" w:rsidP="0028223C">
            <w:pPr>
              <w:spacing w:after="0" w:line="240" w:lineRule="auto"/>
              <w:jc w:val="center"/>
              <w:rPr>
                <w:rFonts w:ascii="Times New Roman" w:hAnsi="Times New Roman"/>
                <w:sz w:val="24"/>
                <w:szCs w:val="24"/>
              </w:rPr>
            </w:pPr>
            <w:r>
              <w:rPr>
                <w:rFonts w:ascii="Times New Roman" w:hAnsi="Times New Roman"/>
                <w:sz w:val="24"/>
                <w:szCs w:val="24"/>
              </w:rPr>
              <w:t>Locale</w:t>
            </w:r>
          </w:p>
        </w:tc>
        <w:tc>
          <w:tcPr>
            <w:tcW w:w="456" w:type="dxa"/>
            <w:tcBorders>
              <w:left w:val="single" w:sz="4" w:space="0" w:color="auto"/>
              <w:bottom w:val="single" w:sz="4" w:space="0" w:color="auto"/>
            </w:tcBorders>
          </w:tcPr>
          <w:p w:rsidR="0028223C" w:rsidRPr="00867483" w:rsidRDefault="0028223C" w:rsidP="0028223C">
            <w:pPr>
              <w:spacing w:after="0" w:line="240" w:lineRule="auto"/>
              <w:jc w:val="center"/>
              <w:rPr>
                <w:rFonts w:ascii="Times New Roman" w:hAnsi="Times New Roman"/>
                <w:sz w:val="24"/>
                <w:szCs w:val="24"/>
              </w:rPr>
            </w:pPr>
            <w:r>
              <w:rPr>
                <w:rFonts w:ascii="Times New Roman" w:hAnsi="Times New Roman"/>
                <w:sz w:val="24"/>
                <w:szCs w:val="24"/>
              </w:rPr>
              <w:t>3</w:t>
            </w:r>
          </w:p>
        </w:tc>
      </w:tr>
      <w:tr w:rsidR="0028223C" w:rsidRPr="00AA45E9" w:rsidTr="007779B6">
        <w:tc>
          <w:tcPr>
            <w:tcW w:w="1507" w:type="dxa"/>
            <w:tcBorders>
              <w:bottom w:val="single" w:sz="4" w:space="0" w:color="auto"/>
              <w:right w:val="single" w:sz="4" w:space="0" w:color="auto"/>
            </w:tcBorders>
            <w:shd w:val="clear" w:color="auto" w:fill="002060"/>
          </w:tcPr>
          <w:p w:rsidR="0028223C" w:rsidRDefault="0028223C" w:rsidP="0028223C">
            <w:pPr>
              <w:spacing w:after="0" w:line="240" w:lineRule="auto"/>
              <w:jc w:val="center"/>
              <w:rPr>
                <w:rFonts w:ascii="Times New Roman" w:hAnsi="Times New Roman"/>
                <w:sz w:val="24"/>
                <w:szCs w:val="24"/>
              </w:rPr>
            </w:pPr>
            <w:r w:rsidRPr="00AA45E9">
              <w:rPr>
                <w:rFonts w:ascii="Times New Roman" w:hAnsi="Times New Roman"/>
                <w:b/>
                <w:sz w:val="24"/>
                <w:szCs w:val="24"/>
              </w:rPr>
              <w:t>Durée</w:t>
            </w:r>
          </w:p>
        </w:tc>
        <w:tc>
          <w:tcPr>
            <w:tcW w:w="1190" w:type="dxa"/>
            <w:tcBorders>
              <w:left w:val="single" w:sz="4" w:space="0" w:color="auto"/>
              <w:bottom w:val="single" w:sz="4" w:space="0" w:color="auto"/>
              <w:right w:val="single" w:sz="4" w:space="0" w:color="auto"/>
            </w:tcBorders>
          </w:tcPr>
          <w:p w:rsidR="0028223C" w:rsidRPr="00867483" w:rsidRDefault="0028223C" w:rsidP="0028223C">
            <w:pPr>
              <w:spacing w:after="0" w:line="240" w:lineRule="auto"/>
              <w:jc w:val="center"/>
              <w:rPr>
                <w:rFonts w:ascii="Times New Roman" w:hAnsi="Times New Roman"/>
                <w:sz w:val="24"/>
                <w:szCs w:val="24"/>
              </w:rPr>
            </w:pPr>
            <w:r>
              <w:rPr>
                <w:rFonts w:ascii="Times New Roman" w:hAnsi="Times New Roman"/>
                <w:sz w:val="24"/>
                <w:szCs w:val="24"/>
              </w:rPr>
              <w:t>Longue</w:t>
            </w:r>
          </w:p>
        </w:tc>
        <w:tc>
          <w:tcPr>
            <w:tcW w:w="456" w:type="dxa"/>
            <w:tcBorders>
              <w:left w:val="single" w:sz="4" w:space="0" w:color="auto"/>
              <w:bottom w:val="single" w:sz="4" w:space="0" w:color="auto"/>
            </w:tcBorders>
          </w:tcPr>
          <w:p w:rsidR="0028223C" w:rsidRPr="00867483" w:rsidRDefault="0028223C" w:rsidP="0028223C">
            <w:pPr>
              <w:spacing w:after="0" w:line="240" w:lineRule="auto"/>
              <w:jc w:val="center"/>
              <w:rPr>
                <w:rFonts w:ascii="Times New Roman" w:hAnsi="Times New Roman"/>
                <w:sz w:val="24"/>
                <w:szCs w:val="24"/>
              </w:rPr>
            </w:pPr>
            <w:r>
              <w:rPr>
                <w:rFonts w:ascii="Times New Roman" w:hAnsi="Times New Roman"/>
                <w:sz w:val="24"/>
                <w:szCs w:val="24"/>
              </w:rPr>
              <w:t>5</w:t>
            </w:r>
          </w:p>
        </w:tc>
      </w:tr>
      <w:tr w:rsidR="0028223C" w:rsidRPr="00AA45E9" w:rsidTr="00FC410F">
        <w:tc>
          <w:tcPr>
            <w:tcW w:w="3153" w:type="dxa"/>
            <w:gridSpan w:val="3"/>
            <w:tcBorders>
              <w:bottom w:val="single" w:sz="4" w:space="0" w:color="auto"/>
            </w:tcBorders>
            <w:shd w:val="clear" w:color="auto" w:fill="FFFFFF" w:themeFill="background1"/>
          </w:tcPr>
          <w:p w:rsidR="0028223C" w:rsidRPr="00867483" w:rsidRDefault="0028223C" w:rsidP="0028223C">
            <w:pPr>
              <w:spacing w:after="0" w:line="240" w:lineRule="auto"/>
              <w:jc w:val="center"/>
              <w:rPr>
                <w:rFonts w:ascii="Times New Roman" w:hAnsi="Times New Roman"/>
                <w:sz w:val="6"/>
                <w:szCs w:val="6"/>
              </w:rPr>
            </w:pPr>
          </w:p>
        </w:tc>
      </w:tr>
      <w:tr w:rsidR="0028223C" w:rsidRPr="00AA45E9" w:rsidTr="007779B6">
        <w:tc>
          <w:tcPr>
            <w:tcW w:w="1507" w:type="dxa"/>
            <w:tcBorders>
              <w:bottom w:val="dashDotStroked" w:sz="24" w:space="0" w:color="auto"/>
              <w:right w:val="single" w:sz="4" w:space="0" w:color="auto"/>
            </w:tcBorders>
            <w:shd w:val="clear" w:color="auto" w:fill="002060"/>
          </w:tcPr>
          <w:p w:rsidR="0028223C" w:rsidRPr="00AA45E9" w:rsidRDefault="0028223C" w:rsidP="0028223C">
            <w:pPr>
              <w:spacing w:after="0" w:line="240" w:lineRule="auto"/>
              <w:jc w:val="center"/>
              <w:rPr>
                <w:rFonts w:ascii="Times New Roman" w:hAnsi="Times New Roman"/>
                <w:b/>
                <w:sz w:val="24"/>
                <w:szCs w:val="24"/>
              </w:rPr>
            </w:pPr>
            <w:r w:rsidRPr="00AA45E9">
              <w:rPr>
                <w:rFonts w:ascii="Times New Roman" w:hAnsi="Times New Roman"/>
                <w:b/>
                <w:sz w:val="24"/>
                <w:szCs w:val="24"/>
              </w:rPr>
              <w:t>Importance</w:t>
            </w:r>
          </w:p>
        </w:tc>
        <w:tc>
          <w:tcPr>
            <w:tcW w:w="1190" w:type="dxa"/>
            <w:tcBorders>
              <w:left w:val="single" w:sz="4" w:space="0" w:color="auto"/>
              <w:bottom w:val="dashDotStroked" w:sz="24" w:space="0" w:color="auto"/>
              <w:right w:val="single" w:sz="4" w:space="0" w:color="auto"/>
            </w:tcBorders>
            <w:shd w:val="clear" w:color="auto" w:fill="FFD966" w:themeFill="accent4" w:themeFillTint="99"/>
          </w:tcPr>
          <w:p w:rsidR="0028223C" w:rsidRPr="008E6D9C" w:rsidRDefault="0028223C" w:rsidP="0028223C">
            <w:pPr>
              <w:spacing w:after="0" w:line="240" w:lineRule="auto"/>
              <w:jc w:val="center"/>
              <w:rPr>
                <w:rFonts w:ascii="Times New Roman" w:hAnsi="Times New Roman"/>
                <w:b/>
                <w:sz w:val="24"/>
                <w:szCs w:val="24"/>
              </w:rPr>
            </w:pPr>
            <w:r>
              <w:rPr>
                <w:rFonts w:ascii="Times New Roman" w:hAnsi="Times New Roman"/>
                <w:b/>
                <w:sz w:val="24"/>
                <w:szCs w:val="24"/>
              </w:rPr>
              <w:t>Moyenne</w:t>
            </w:r>
          </w:p>
        </w:tc>
        <w:tc>
          <w:tcPr>
            <w:tcW w:w="456" w:type="dxa"/>
            <w:tcBorders>
              <w:left w:val="single" w:sz="4" w:space="0" w:color="auto"/>
              <w:bottom w:val="dashDotStroked" w:sz="24" w:space="0" w:color="auto"/>
            </w:tcBorders>
            <w:shd w:val="clear" w:color="auto" w:fill="FFD966" w:themeFill="accent4" w:themeFillTint="99"/>
          </w:tcPr>
          <w:p w:rsidR="0028223C" w:rsidRPr="008E6D9C" w:rsidRDefault="0028223C" w:rsidP="0028223C">
            <w:pPr>
              <w:spacing w:after="0" w:line="240" w:lineRule="auto"/>
              <w:jc w:val="center"/>
              <w:rPr>
                <w:rFonts w:ascii="Times New Roman" w:hAnsi="Times New Roman"/>
                <w:b/>
                <w:sz w:val="24"/>
                <w:szCs w:val="24"/>
              </w:rPr>
            </w:pPr>
            <w:r>
              <w:rPr>
                <w:rFonts w:ascii="Times New Roman" w:hAnsi="Times New Roman"/>
                <w:b/>
                <w:sz w:val="24"/>
                <w:szCs w:val="24"/>
              </w:rPr>
              <w:t>45</w:t>
            </w:r>
          </w:p>
        </w:tc>
      </w:tr>
    </w:tbl>
    <w:p w:rsidR="00514E41" w:rsidRPr="007779B6" w:rsidRDefault="00514E41" w:rsidP="00FA3FAE">
      <w:pPr>
        <w:pStyle w:val="PargrafodaLista"/>
        <w:numPr>
          <w:ilvl w:val="0"/>
          <w:numId w:val="41"/>
        </w:numPr>
        <w:pBdr>
          <w:bottom w:val="dashDotStroked" w:sz="24" w:space="1" w:color="auto"/>
        </w:pBdr>
        <w:jc w:val="both"/>
        <w:rPr>
          <w:rFonts w:ascii="Times New Roman" w:hAnsi="Times New Roman"/>
          <w:b/>
          <w:sz w:val="24"/>
          <w:szCs w:val="24"/>
        </w:rPr>
      </w:pPr>
      <w:r w:rsidRPr="007779B6">
        <w:rPr>
          <w:rFonts w:ascii="Times New Roman" w:hAnsi="Times New Roman"/>
          <w:b/>
          <w:sz w:val="24"/>
          <w:szCs w:val="24"/>
        </w:rPr>
        <w:t>Impacts au niveau de l’emploi et l’économie</w:t>
      </w:r>
    </w:p>
    <w:p w:rsidR="00514E41" w:rsidRPr="00514E41" w:rsidRDefault="00514E41" w:rsidP="00514E41">
      <w:pPr>
        <w:jc w:val="both"/>
        <w:rPr>
          <w:rFonts w:ascii="Times New Roman" w:hAnsi="Times New Roman" w:cs="Times New Roman"/>
          <w:color w:val="000000"/>
          <w:sz w:val="24"/>
          <w:szCs w:val="24"/>
        </w:rPr>
      </w:pPr>
      <w:r w:rsidRPr="00514E41">
        <w:rPr>
          <w:rFonts w:ascii="Times New Roman" w:hAnsi="Times New Roman" w:cs="Times New Roman"/>
          <w:color w:val="000000"/>
          <w:sz w:val="24"/>
          <w:szCs w:val="24"/>
        </w:rPr>
        <w:t xml:space="preserve">L’exploitation </w:t>
      </w:r>
      <w:r w:rsidR="00815EB4">
        <w:rPr>
          <w:rFonts w:ascii="Times New Roman" w:hAnsi="Times New Roman" w:cs="Times New Roman"/>
          <w:color w:val="000000"/>
          <w:sz w:val="24"/>
          <w:szCs w:val="24"/>
        </w:rPr>
        <w:t>des réservoirs</w:t>
      </w:r>
      <w:r w:rsidR="00B271FD">
        <w:rPr>
          <w:rFonts w:ascii="Times New Roman" w:hAnsi="Times New Roman" w:cs="Times New Roman"/>
          <w:color w:val="000000"/>
          <w:sz w:val="24"/>
          <w:szCs w:val="24"/>
        </w:rPr>
        <w:t xml:space="preserve">, </w:t>
      </w:r>
      <w:r w:rsidRPr="00514E41">
        <w:rPr>
          <w:rFonts w:ascii="Times New Roman" w:hAnsi="Times New Roman" w:cs="Times New Roman"/>
          <w:color w:val="000000"/>
          <w:sz w:val="24"/>
          <w:szCs w:val="24"/>
        </w:rPr>
        <w:t>le</w:t>
      </w:r>
      <w:r w:rsidR="00815EB4">
        <w:rPr>
          <w:rFonts w:ascii="Times New Roman" w:hAnsi="Times New Roman" w:cs="Times New Roman"/>
          <w:color w:val="000000"/>
          <w:sz w:val="24"/>
          <w:szCs w:val="24"/>
        </w:rPr>
        <w:t xml:space="preserve">s opérations d’entretien et de </w:t>
      </w:r>
      <w:r w:rsidRPr="00514E41">
        <w:rPr>
          <w:rFonts w:ascii="Times New Roman" w:hAnsi="Times New Roman" w:cs="Times New Roman"/>
          <w:color w:val="000000"/>
          <w:sz w:val="24"/>
          <w:szCs w:val="24"/>
        </w:rPr>
        <w:t xml:space="preserve">maintenance nécessiteront </w:t>
      </w:r>
      <w:r w:rsidR="000312AC" w:rsidRPr="00514E41">
        <w:rPr>
          <w:rFonts w:ascii="Times New Roman" w:hAnsi="Times New Roman" w:cs="Times New Roman"/>
          <w:color w:val="000000"/>
          <w:sz w:val="24"/>
          <w:szCs w:val="24"/>
        </w:rPr>
        <w:t xml:space="preserve">des interventions ponctuelles </w:t>
      </w:r>
      <w:r w:rsidR="000312AC">
        <w:rPr>
          <w:rFonts w:ascii="Times New Roman" w:hAnsi="Times New Roman" w:cs="Times New Roman"/>
          <w:color w:val="000000"/>
          <w:sz w:val="24"/>
          <w:szCs w:val="24"/>
        </w:rPr>
        <w:t xml:space="preserve">d’une </w:t>
      </w:r>
      <w:r w:rsidRPr="00514E41">
        <w:rPr>
          <w:rFonts w:ascii="Times New Roman" w:hAnsi="Times New Roman" w:cs="Times New Roman"/>
          <w:color w:val="000000"/>
          <w:sz w:val="24"/>
          <w:szCs w:val="24"/>
        </w:rPr>
        <w:t>main-d’œuvre qualifiée</w:t>
      </w:r>
      <w:r w:rsidR="00645E17">
        <w:rPr>
          <w:rFonts w:ascii="Times New Roman" w:hAnsi="Times New Roman" w:cs="Times New Roman"/>
          <w:color w:val="000000"/>
          <w:sz w:val="24"/>
          <w:szCs w:val="24"/>
        </w:rPr>
        <w:t>,</w:t>
      </w:r>
      <w:r w:rsidR="00B271FD">
        <w:rPr>
          <w:rFonts w:ascii="Times New Roman" w:hAnsi="Times New Roman" w:cs="Times New Roman"/>
          <w:color w:val="000000"/>
          <w:sz w:val="24"/>
          <w:szCs w:val="24"/>
        </w:rPr>
        <w:t xml:space="preserve"> </w:t>
      </w:r>
      <w:r w:rsidR="00645E17">
        <w:rPr>
          <w:rFonts w:ascii="Times New Roman" w:hAnsi="Times New Roman" w:cs="Times New Roman"/>
          <w:color w:val="000000"/>
          <w:sz w:val="24"/>
          <w:szCs w:val="24"/>
        </w:rPr>
        <w:t>m</w:t>
      </w:r>
      <w:r w:rsidR="00B271FD">
        <w:rPr>
          <w:rFonts w:ascii="Times New Roman" w:hAnsi="Times New Roman" w:cs="Times New Roman"/>
          <w:color w:val="000000"/>
          <w:sz w:val="24"/>
          <w:szCs w:val="24"/>
        </w:rPr>
        <w:t>ais aussi, le recrutement de</w:t>
      </w:r>
      <w:r w:rsidR="00645E17">
        <w:rPr>
          <w:rFonts w:ascii="Times New Roman" w:hAnsi="Times New Roman" w:cs="Times New Roman"/>
          <w:color w:val="000000"/>
          <w:sz w:val="24"/>
          <w:szCs w:val="24"/>
        </w:rPr>
        <w:t xml:space="preserve"> </w:t>
      </w:r>
      <w:r w:rsidR="00B271FD">
        <w:rPr>
          <w:rFonts w:ascii="Times New Roman" w:hAnsi="Times New Roman" w:cs="Times New Roman"/>
          <w:color w:val="000000"/>
          <w:sz w:val="24"/>
          <w:szCs w:val="24"/>
        </w:rPr>
        <w:t>ga</w:t>
      </w:r>
      <w:r w:rsidR="006D63F5">
        <w:rPr>
          <w:rFonts w:ascii="Times New Roman" w:hAnsi="Times New Roman" w:cs="Times New Roman"/>
          <w:color w:val="000000"/>
          <w:sz w:val="24"/>
          <w:szCs w:val="24"/>
        </w:rPr>
        <w:t>rdien ou de ser</w:t>
      </w:r>
      <w:r w:rsidR="00B271FD">
        <w:rPr>
          <w:rFonts w:ascii="Times New Roman" w:hAnsi="Times New Roman" w:cs="Times New Roman"/>
          <w:color w:val="000000"/>
          <w:sz w:val="24"/>
          <w:szCs w:val="24"/>
        </w:rPr>
        <w:t xml:space="preserve">vice de </w:t>
      </w:r>
      <w:r w:rsidR="006D63F5">
        <w:rPr>
          <w:rFonts w:ascii="Times New Roman" w:hAnsi="Times New Roman" w:cs="Times New Roman"/>
          <w:color w:val="000000"/>
          <w:sz w:val="24"/>
          <w:szCs w:val="24"/>
        </w:rPr>
        <w:t>gardiennage</w:t>
      </w:r>
      <w:r w:rsidR="00B271FD">
        <w:rPr>
          <w:rFonts w:ascii="Times New Roman" w:hAnsi="Times New Roman" w:cs="Times New Roman"/>
          <w:color w:val="000000"/>
          <w:sz w:val="24"/>
          <w:szCs w:val="24"/>
        </w:rPr>
        <w:t xml:space="preserve"> pour la sécurisation des </w:t>
      </w:r>
      <w:r w:rsidR="00645E17">
        <w:rPr>
          <w:rFonts w:ascii="Times New Roman" w:hAnsi="Times New Roman" w:cs="Times New Roman"/>
          <w:color w:val="000000"/>
          <w:sz w:val="24"/>
          <w:szCs w:val="24"/>
        </w:rPr>
        <w:t>réservoirs</w:t>
      </w:r>
      <w:r w:rsidR="00B271FD">
        <w:rPr>
          <w:rFonts w:ascii="Times New Roman" w:hAnsi="Times New Roman" w:cs="Times New Roman"/>
          <w:color w:val="000000"/>
          <w:sz w:val="24"/>
          <w:szCs w:val="24"/>
        </w:rPr>
        <w:t xml:space="preserve"> </w:t>
      </w:r>
      <w:r w:rsidR="000312AC">
        <w:rPr>
          <w:rFonts w:ascii="Times New Roman" w:hAnsi="Times New Roman" w:cs="Times New Roman"/>
          <w:color w:val="000000"/>
          <w:sz w:val="24"/>
          <w:szCs w:val="24"/>
        </w:rPr>
        <w:t>induira à des possibili</w:t>
      </w:r>
      <w:r w:rsidR="00B271FD">
        <w:rPr>
          <w:rFonts w:ascii="Times New Roman" w:hAnsi="Times New Roman" w:cs="Times New Roman"/>
          <w:color w:val="000000"/>
          <w:sz w:val="24"/>
          <w:szCs w:val="24"/>
        </w:rPr>
        <w:t xml:space="preserve">tés d’emplois. </w:t>
      </w:r>
    </w:p>
    <w:p w:rsidR="00514E41" w:rsidRPr="00514E41" w:rsidRDefault="007779B6" w:rsidP="00514E41">
      <w:pPr>
        <w:jc w:val="both"/>
        <w:rPr>
          <w:rFonts w:ascii="Times New Roman" w:hAnsi="Times New Roman" w:cs="Times New Roman"/>
          <w:color w:val="000000"/>
          <w:sz w:val="24"/>
          <w:szCs w:val="24"/>
        </w:rPr>
      </w:pPr>
      <w:r>
        <w:rPr>
          <w:rFonts w:ascii="Times New Roman" w:hAnsi="Times New Roman" w:cs="Times New Roman"/>
          <w:color w:val="000000"/>
          <w:sz w:val="24"/>
          <w:szCs w:val="24"/>
        </w:rPr>
        <w:t>L</w:t>
      </w:r>
      <w:r w:rsidRPr="00514E41">
        <w:rPr>
          <w:rFonts w:ascii="Times New Roman" w:hAnsi="Times New Roman" w:cs="Times New Roman"/>
          <w:color w:val="000000"/>
          <w:sz w:val="24"/>
          <w:szCs w:val="24"/>
        </w:rPr>
        <w:t>e renforcement</w:t>
      </w:r>
      <w:r>
        <w:rPr>
          <w:rFonts w:ascii="Times New Roman" w:hAnsi="Times New Roman" w:cs="Times New Roman"/>
          <w:color w:val="000000"/>
          <w:sz w:val="24"/>
          <w:szCs w:val="24"/>
        </w:rPr>
        <w:t xml:space="preserve"> de</w:t>
      </w:r>
      <w:r w:rsidR="00514E41" w:rsidRPr="00514E41">
        <w:rPr>
          <w:rFonts w:ascii="Times New Roman" w:hAnsi="Times New Roman" w:cs="Times New Roman"/>
          <w:color w:val="000000"/>
          <w:sz w:val="24"/>
          <w:szCs w:val="24"/>
        </w:rPr>
        <w:t xml:space="preserve"> </w:t>
      </w:r>
      <w:r w:rsidRPr="00514E41">
        <w:rPr>
          <w:rFonts w:ascii="Times New Roman" w:hAnsi="Times New Roman" w:cs="Times New Roman"/>
          <w:color w:val="000000"/>
          <w:sz w:val="24"/>
          <w:szCs w:val="24"/>
        </w:rPr>
        <w:t>la capacité</w:t>
      </w:r>
      <w:r>
        <w:rPr>
          <w:rFonts w:ascii="Times New Roman" w:hAnsi="Times New Roman" w:cs="Times New Roman"/>
          <w:color w:val="000000"/>
          <w:sz w:val="24"/>
          <w:szCs w:val="24"/>
        </w:rPr>
        <w:t xml:space="preserve"> de production en</w:t>
      </w:r>
      <w:r w:rsidR="00815EB4">
        <w:rPr>
          <w:rFonts w:ascii="Times New Roman" w:hAnsi="Times New Roman" w:cs="Times New Roman"/>
          <w:color w:val="000000"/>
          <w:sz w:val="24"/>
          <w:szCs w:val="24"/>
        </w:rPr>
        <w:t xml:space="preserve"> eau </w:t>
      </w:r>
      <w:r w:rsidR="00645E17">
        <w:rPr>
          <w:rFonts w:ascii="Times New Roman" w:hAnsi="Times New Roman" w:cs="Times New Roman"/>
          <w:color w:val="000000"/>
          <w:sz w:val="24"/>
          <w:szCs w:val="24"/>
        </w:rPr>
        <w:t>potable dans les secteurs concernant</w:t>
      </w:r>
      <w:r w:rsidR="00514E41" w:rsidRPr="00514E41">
        <w:rPr>
          <w:rFonts w:ascii="Times New Roman" w:hAnsi="Times New Roman" w:cs="Times New Roman"/>
          <w:color w:val="000000"/>
          <w:sz w:val="24"/>
          <w:szCs w:val="24"/>
        </w:rPr>
        <w:t xml:space="preserve"> favorisera fortement le peuplement ou </w:t>
      </w:r>
      <w:r w:rsidR="00815EB4">
        <w:rPr>
          <w:rFonts w:ascii="Times New Roman" w:hAnsi="Times New Roman" w:cs="Times New Roman"/>
          <w:color w:val="000000"/>
          <w:sz w:val="24"/>
          <w:szCs w:val="24"/>
        </w:rPr>
        <w:t xml:space="preserve">le repeuplement des différents </w:t>
      </w:r>
      <w:r>
        <w:rPr>
          <w:rFonts w:ascii="Times New Roman" w:hAnsi="Times New Roman" w:cs="Times New Roman"/>
          <w:color w:val="000000"/>
          <w:sz w:val="24"/>
          <w:szCs w:val="24"/>
        </w:rPr>
        <w:t>quartiers ;</w:t>
      </w:r>
      <w:r w:rsidR="00514E41" w:rsidRPr="00514E41">
        <w:rPr>
          <w:rFonts w:ascii="Times New Roman" w:hAnsi="Times New Roman" w:cs="Times New Roman"/>
          <w:color w:val="000000"/>
          <w:sz w:val="24"/>
          <w:szCs w:val="24"/>
        </w:rPr>
        <w:t xml:space="preserve"> </w:t>
      </w:r>
      <w:r w:rsidRPr="00514E41">
        <w:rPr>
          <w:rFonts w:ascii="Times New Roman" w:hAnsi="Times New Roman" w:cs="Times New Roman"/>
          <w:color w:val="000000"/>
          <w:sz w:val="24"/>
          <w:szCs w:val="24"/>
        </w:rPr>
        <w:t>ce qui constituera</w:t>
      </w:r>
      <w:r>
        <w:rPr>
          <w:rFonts w:ascii="Times New Roman" w:hAnsi="Times New Roman" w:cs="Times New Roman"/>
          <w:color w:val="000000"/>
          <w:sz w:val="24"/>
          <w:szCs w:val="24"/>
        </w:rPr>
        <w:t xml:space="preserve"> un gain financier pour les propriétaires </w:t>
      </w:r>
      <w:r w:rsidR="00514E41" w:rsidRPr="00514E41">
        <w:rPr>
          <w:rFonts w:ascii="Times New Roman" w:hAnsi="Times New Roman" w:cs="Times New Roman"/>
          <w:color w:val="000000"/>
          <w:sz w:val="24"/>
          <w:szCs w:val="24"/>
        </w:rPr>
        <w:t xml:space="preserve">et </w:t>
      </w:r>
      <w:r>
        <w:rPr>
          <w:rFonts w:ascii="Times New Roman" w:hAnsi="Times New Roman" w:cs="Times New Roman"/>
          <w:color w:val="000000"/>
          <w:sz w:val="24"/>
          <w:szCs w:val="24"/>
        </w:rPr>
        <w:t>promoteurs immobiliers et en plus,</w:t>
      </w:r>
      <w:r w:rsidR="00815EB4">
        <w:rPr>
          <w:rFonts w:ascii="Times New Roman" w:hAnsi="Times New Roman" w:cs="Times New Roman"/>
          <w:color w:val="000000"/>
          <w:sz w:val="24"/>
          <w:szCs w:val="24"/>
        </w:rPr>
        <w:t xml:space="preserve"> une </w:t>
      </w:r>
      <w:r w:rsidR="00514E41" w:rsidRPr="00514E41">
        <w:rPr>
          <w:rFonts w:ascii="Times New Roman" w:hAnsi="Times New Roman" w:cs="Times New Roman"/>
          <w:color w:val="000000"/>
          <w:sz w:val="24"/>
          <w:szCs w:val="24"/>
        </w:rPr>
        <w:t>réduction des dépenses additionnelles lié</w:t>
      </w:r>
      <w:r>
        <w:rPr>
          <w:rFonts w:ascii="Times New Roman" w:hAnsi="Times New Roman" w:cs="Times New Roman"/>
          <w:color w:val="000000"/>
          <w:sz w:val="24"/>
          <w:szCs w:val="24"/>
        </w:rPr>
        <w:t>es à l’achat de l’eau</w:t>
      </w:r>
      <w:r w:rsidR="00514E41" w:rsidRPr="00514E41">
        <w:rPr>
          <w:rFonts w:ascii="Times New Roman" w:hAnsi="Times New Roman" w:cs="Times New Roman"/>
          <w:color w:val="000000"/>
          <w:sz w:val="24"/>
          <w:szCs w:val="24"/>
        </w:rPr>
        <w:t xml:space="preserve">. </w:t>
      </w:r>
    </w:p>
    <w:p w:rsidR="00514E41" w:rsidRDefault="00514E41" w:rsidP="00514E41">
      <w:pPr>
        <w:jc w:val="both"/>
        <w:rPr>
          <w:rFonts w:ascii="Times New Roman" w:hAnsi="Times New Roman" w:cs="Times New Roman"/>
          <w:color w:val="000000"/>
          <w:sz w:val="24"/>
          <w:szCs w:val="24"/>
        </w:rPr>
      </w:pPr>
      <w:r w:rsidRPr="00514E41">
        <w:rPr>
          <w:rFonts w:ascii="Times New Roman" w:hAnsi="Times New Roman" w:cs="Times New Roman"/>
          <w:color w:val="000000"/>
          <w:sz w:val="24"/>
          <w:szCs w:val="24"/>
        </w:rPr>
        <w:lastRenderedPageBreak/>
        <w:t xml:space="preserve">Par ailleurs, la pérennisation de la disponibilité </w:t>
      </w:r>
      <w:r w:rsidR="007779B6">
        <w:rPr>
          <w:rFonts w:ascii="Times New Roman" w:hAnsi="Times New Roman" w:cs="Times New Roman"/>
          <w:color w:val="000000"/>
          <w:sz w:val="24"/>
          <w:szCs w:val="24"/>
        </w:rPr>
        <w:t xml:space="preserve">de l’eau potable </w:t>
      </w:r>
      <w:r w:rsidR="00815EB4">
        <w:rPr>
          <w:rFonts w:ascii="Times New Roman" w:hAnsi="Times New Roman" w:cs="Times New Roman"/>
          <w:color w:val="000000"/>
          <w:sz w:val="24"/>
          <w:szCs w:val="24"/>
        </w:rPr>
        <w:t xml:space="preserve">favorisera la </w:t>
      </w:r>
      <w:r w:rsidRPr="00514E41">
        <w:rPr>
          <w:rFonts w:ascii="Times New Roman" w:hAnsi="Times New Roman" w:cs="Times New Roman"/>
          <w:color w:val="000000"/>
          <w:sz w:val="24"/>
          <w:szCs w:val="24"/>
        </w:rPr>
        <w:t>création et/ou le développement des activités liées à la vente d’eau et</w:t>
      </w:r>
      <w:r w:rsidR="007779B6">
        <w:rPr>
          <w:rFonts w:ascii="Times New Roman" w:hAnsi="Times New Roman" w:cs="Times New Roman"/>
          <w:color w:val="000000"/>
          <w:sz w:val="24"/>
          <w:szCs w:val="24"/>
        </w:rPr>
        <w:t xml:space="preserve"> de glaces</w:t>
      </w:r>
      <w:r w:rsidR="00815EB4">
        <w:rPr>
          <w:rFonts w:ascii="Times New Roman" w:hAnsi="Times New Roman" w:cs="Times New Roman"/>
          <w:color w:val="000000"/>
          <w:sz w:val="24"/>
          <w:szCs w:val="24"/>
        </w:rPr>
        <w:t xml:space="preserve">, etc. </w:t>
      </w:r>
      <w:r w:rsidR="00CD2D91" w:rsidRPr="00AA45E9">
        <w:rPr>
          <w:rFonts w:ascii="Times New Roman" w:hAnsi="Times New Roman"/>
          <w:sz w:val="24"/>
          <w:szCs w:val="24"/>
        </w:rPr>
        <w:t>Ces emplois vont non seulement réduire le nombre de chômeur</w:t>
      </w:r>
      <w:r w:rsidR="00CD2D91">
        <w:rPr>
          <w:rFonts w:ascii="Times New Roman" w:hAnsi="Times New Roman"/>
          <w:sz w:val="24"/>
          <w:szCs w:val="24"/>
        </w:rPr>
        <w:t>s</w:t>
      </w:r>
      <w:r w:rsidR="00CD2D91" w:rsidRPr="00AA45E9">
        <w:rPr>
          <w:rFonts w:ascii="Times New Roman" w:hAnsi="Times New Roman"/>
          <w:sz w:val="24"/>
          <w:szCs w:val="24"/>
        </w:rPr>
        <w:t xml:space="preserve"> mais également procurer des revenus stables à ces employés.</w:t>
      </w:r>
    </w:p>
    <w:tbl>
      <w:tblPr>
        <w:tblpPr w:leftFromText="141" w:rightFromText="141" w:vertAnchor="text" w:horzAnchor="margin" w:tblpXSpec="right" w:tblpY="421"/>
        <w:tblW w:w="3153" w:type="dxa"/>
        <w:tblBorders>
          <w:top w:val="single" w:sz="4" w:space="0" w:color="auto"/>
          <w:left w:val="dashDotStroked" w:sz="24" w:space="0" w:color="auto"/>
          <w:bottom w:val="dashDotStroked" w:sz="24" w:space="0" w:color="auto"/>
          <w:right w:val="dashDotStroked" w:sz="24" w:space="0" w:color="auto"/>
          <w:insideH w:val="single" w:sz="4" w:space="0" w:color="auto"/>
          <w:insideV w:val="dashDotStroked" w:sz="24" w:space="0" w:color="auto"/>
        </w:tblBorders>
        <w:tblLook w:val="04A0" w:firstRow="1" w:lastRow="0" w:firstColumn="1" w:lastColumn="0" w:noHBand="0" w:noVBand="1"/>
      </w:tblPr>
      <w:tblGrid>
        <w:gridCol w:w="1507"/>
        <w:gridCol w:w="1190"/>
        <w:gridCol w:w="456"/>
      </w:tblGrid>
      <w:tr w:rsidR="00214347" w:rsidRPr="00AA45E9" w:rsidTr="00214347">
        <w:tc>
          <w:tcPr>
            <w:tcW w:w="3153" w:type="dxa"/>
            <w:gridSpan w:val="3"/>
            <w:tcBorders>
              <w:bottom w:val="single" w:sz="4" w:space="0" w:color="auto"/>
            </w:tcBorders>
            <w:shd w:val="clear" w:color="auto" w:fill="002060"/>
          </w:tcPr>
          <w:p w:rsidR="00214347" w:rsidRPr="00867483" w:rsidRDefault="00214347" w:rsidP="00214347">
            <w:pPr>
              <w:spacing w:after="0" w:line="240" w:lineRule="auto"/>
              <w:jc w:val="center"/>
              <w:rPr>
                <w:rFonts w:ascii="Times New Roman" w:hAnsi="Times New Roman"/>
                <w:b/>
                <w:sz w:val="24"/>
                <w:szCs w:val="24"/>
              </w:rPr>
            </w:pPr>
            <w:r w:rsidRPr="00867483">
              <w:rPr>
                <w:rFonts w:ascii="Times New Roman" w:hAnsi="Times New Roman"/>
                <w:b/>
                <w:sz w:val="24"/>
                <w:szCs w:val="24"/>
              </w:rPr>
              <w:t>Caractérisation de l’impact</w:t>
            </w:r>
          </w:p>
        </w:tc>
      </w:tr>
      <w:tr w:rsidR="00E96A04" w:rsidRPr="00AA45E9" w:rsidTr="00247507">
        <w:tc>
          <w:tcPr>
            <w:tcW w:w="1507" w:type="dxa"/>
            <w:tcBorders>
              <w:bottom w:val="single" w:sz="4" w:space="0" w:color="auto"/>
              <w:right w:val="single" w:sz="4" w:space="0" w:color="auto"/>
            </w:tcBorders>
            <w:shd w:val="clear" w:color="auto" w:fill="002060"/>
          </w:tcPr>
          <w:p w:rsidR="00E96A04" w:rsidRPr="00AA45E9" w:rsidRDefault="00E96A04" w:rsidP="00214347">
            <w:pPr>
              <w:spacing w:after="0" w:line="240" w:lineRule="auto"/>
              <w:jc w:val="center"/>
              <w:rPr>
                <w:rFonts w:ascii="Times New Roman" w:hAnsi="Times New Roman"/>
                <w:b/>
                <w:sz w:val="24"/>
                <w:szCs w:val="24"/>
              </w:rPr>
            </w:pPr>
            <w:r>
              <w:rPr>
                <w:rFonts w:ascii="Times New Roman" w:hAnsi="Times New Roman"/>
                <w:b/>
                <w:sz w:val="24"/>
                <w:szCs w:val="24"/>
              </w:rPr>
              <w:t xml:space="preserve">Nature </w:t>
            </w:r>
          </w:p>
        </w:tc>
        <w:tc>
          <w:tcPr>
            <w:tcW w:w="1646" w:type="dxa"/>
            <w:gridSpan w:val="2"/>
            <w:tcBorders>
              <w:left w:val="single" w:sz="4" w:space="0" w:color="auto"/>
              <w:bottom w:val="single" w:sz="4" w:space="0" w:color="auto"/>
            </w:tcBorders>
            <w:shd w:val="clear" w:color="auto" w:fill="auto"/>
          </w:tcPr>
          <w:p w:rsidR="00E96A04" w:rsidRPr="00E96A04" w:rsidRDefault="00E96A04" w:rsidP="00214347">
            <w:pPr>
              <w:spacing w:after="0" w:line="240" w:lineRule="auto"/>
              <w:jc w:val="center"/>
              <w:rPr>
                <w:rFonts w:ascii="Times New Roman" w:hAnsi="Times New Roman"/>
                <w:b/>
                <w:sz w:val="24"/>
                <w:szCs w:val="24"/>
              </w:rPr>
            </w:pPr>
            <w:r w:rsidRPr="00E96A04">
              <w:rPr>
                <w:rFonts w:ascii="Times New Roman" w:hAnsi="Times New Roman"/>
                <w:b/>
                <w:sz w:val="24"/>
                <w:szCs w:val="24"/>
              </w:rPr>
              <w:t>Positif</w:t>
            </w:r>
          </w:p>
        </w:tc>
      </w:tr>
      <w:tr w:rsidR="0028223C" w:rsidRPr="00AA45E9" w:rsidTr="00214347">
        <w:tc>
          <w:tcPr>
            <w:tcW w:w="1507" w:type="dxa"/>
            <w:tcBorders>
              <w:bottom w:val="single" w:sz="4" w:space="0" w:color="auto"/>
              <w:right w:val="single" w:sz="4" w:space="0" w:color="auto"/>
            </w:tcBorders>
            <w:shd w:val="clear" w:color="auto" w:fill="002060"/>
          </w:tcPr>
          <w:p w:rsidR="0028223C" w:rsidRPr="00AA45E9" w:rsidRDefault="0028223C" w:rsidP="0028223C">
            <w:pPr>
              <w:spacing w:after="0" w:line="240" w:lineRule="auto"/>
              <w:jc w:val="center"/>
              <w:rPr>
                <w:rFonts w:ascii="Times New Roman" w:hAnsi="Times New Roman"/>
                <w:b/>
                <w:sz w:val="24"/>
                <w:szCs w:val="24"/>
              </w:rPr>
            </w:pPr>
            <w:r w:rsidRPr="00AA45E9">
              <w:rPr>
                <w:rFonts w:ascii="Times New Roman" w:hAnsi="Times New Roman"/>
                <w:b/>
                <w:sz w:val="24"/>
                <w:szCs w:val="24"/>
              </w:rPr>
              <w:t>Intensité</w:t>
            </w:r>
          </w:p>
        </w:tc>
        <w:tc>
          <w:tcPr>
            <w:tcW w:w="1190" w:type="dxa"/>
            <w:tcBorders>
              <w:left w:val="single" w:sz="4" w:space="0" w:color="auto"/>
              <w:bottom w:val="single" w:sz="4" w:space="0" w:color="auto"/>
              <w:right w:val="single" w:sz="4" w:space="0" w:color="auto"/>
            </w:tcBorders>
            <w:shd w:val="clear" w:color="auto" w:fill="auto"/>
          </w:tcPr>
          <w:p w:rsidR="0028223C" w:rsidRPr="00867483" w:rsidRDefault="0028223C" w:rsidP="0028223C">
            <w:pPr>
              <w:spacing w:after="0" w:line="240" w:lineRule="auto"/>
              <w:jc w:val="center"/>
              <w:rPr>
                <w:rFonts w:ascii="Times New Roman" w:hAnsi="Times New Roman"/>
                <w:sz w:val="24"/>
                <w:szCs w:val="24"/>
              </w:rPr>
            </w:pPr>
            <w:r>
              <w:rPr>
                <w:rFonts w:ascii="Times New Roman" w:hAnsi="Times New Roman"/>
                <w:sz w:val="24"/>
                <w:szCs w:val="24"/>
              </w:rPr>
              <w:t>Faible</w:t>
            </w:r>
          </w:p>
        </w:tc>
        <w:tc>
          <w:tcPr>
            <w:tcW w:w="456" w:type="dxa"/>
            <w:tcBorders>
              <w:left w:val="single" w:sz="4" w:space="0" w:color="auto"/>
              <w:bottom w:val="single" w:sz="4" w:space="0" w:color="auto"/>
            </w:tcBorders>
            <w:shd w:val="clear" w:color="auto" w:fill="auto"/>
          </w:tcPr>
          <w:p w:rsidR="0028223C" w:rsidRPr="00867483" w:rsidRDefault="0028223C" w:rsidP="0028223C">
            <w:pPr>
              <w:spacing w:after="0" w:line="240" w:lineRule="auto"/>
              <w:jc w:val="center"/>
              <w:rPr>
                <w:rFonts w:ascii="Times New Roman" w:hAnsi="Times New Roman"/>
                <w:sz w:val="24"/>
                <w:szCs w:val="24"/>
              </w:rPr>
            </w:pPr>
            <w:r>
              <w:rPr>
                <w:rFonts w:ascii="Times New Roman" w:hAnsi="Times New Roman"/>
                <w:sz w:val="24"/>
                <w:szCs w:val="24"/>
              </w:rPr>
              <w:t>1</w:t>
            </w:r>
          </w:p>
        </w:tc>
      </w:tr>
      <w:tr w:rsidR="0028223C" w:rsidRPr="00AA45E9" w:rsidTr="00214347">
        <w:tc>
          <w:tcPr>
            <w:tcW w:w="1507" w:type="dxa"/>
            <w:tcBorders>
              <w:bottom w:val="single" w:sz="4" w:space="0" w:color="auto"/>
              <w:right w:val="single" w:sz="4" w:space="0" w:color="auto"/>
            </w:tcBorders>
            <w:shd w:val="clear" w:color="auto" w:fill="002060"/>
          </w:tcPr>
          <w:p w:rsidR="0028223C" w:rsidRPr="00AA45E9" w:rsidRDefault="0028223C" w:rsidP="0028223C">
            <w:pPr>
              <w:spacing w:after="0" w:line="240" w:lineRule="auto"/>
              <w:jc w:val="center"/>
              <w:rPr>
                <w:rFonts w:ascii="Times New Roman" w:hAnsi="Times New Roman"/>
                <w:sz w:val="24"/>
                <w:szCs w:val="24"/>
              </w:rPr>
            </w:pPr>
            <w:r w:rsidRPr="00AA45E9">
              <w:rPr>
                <w:rFonts w:ascii="Times New Roman" w:hAnsi="Times New Roman"/>
                <w:b/>
                <w:sz w:val="24"/>
                <w:szCs w:val="24"/>
              </w:rPr>
              <w:t>Etendue</w:t>
            </w:r>
          </w:p>
        </w:tc>
        <w:tc>
          <w:tcPr>
            <w:tcW w:w="1190" w:type="dxa"/>
            <w:tcBorders>
              <w:left w:val="single" w:sz="4" w:space="0" w:color="auto"/>
              <w:bottom w:val="single" w:sz="4" w:space="0" w:color="auto"/>
              <w:right w:val="single" w:sz="4" w:space="0" w:color="auto"/>
            </w:tcBorders>
          </w:tcPr>
          <w:p w:rsidR="0028223C" w:rsidRPr="00867483" w:rsidRDefault="0028223C" w:rsidP="0028223C">
            <w:pPr>
              <w:spacing w:after="0" w:line="240" w:lineRule="auto"/>
              <w:jc w:val="center"/>
              <w:rPr>
                <w:rFonts w:ascii="Times New Roman" w:hAnsi="Times New Roman"/>
                <w:sz w:val="24"/>
                <w:szCs w:val="24"/>
              </w:rPr>
            </w:pPr>
            <w:r>
              <w:rPr>
                <w:rFonts w:ascii="Times New Roman" w:hAnsi="Times New Roman"/>
                <w:sz w:val="24"/>
                <w:szCs w:val="24"/>
              </w:rPr>
              <w:t>Locale</w:t>
            </w:r>
          </w:p>
        </w:tc>
        <w:tc>
          <w:tcPr>
            <w:tcW w:w="456" w:type="dxa"/>
            <w:tcBorders>
              <w:left w:val="single" w:sz="4" w:space="0" w:color="auto"/>
              <w:bottom w:val="single" w:sz="4" w:space="0" w:color="auto"/>
            </w:tcBorders>
          </w:tcPr>
          <w:p w:rsidR="0028223C" w:rsidRPr="00867483" w:rsidRDefault="0028223C" w:rsidP="0028223C">
            <w:pPr>
              <w:spacing w:after="0" w:line="240" w:lineRule="auto"/>
              <w:jc w:val="center"/>
              <w:rPr>
                <w:rFonts w:ascii="Times New Roman" w:hAnsi="Times New Roman"/>
                <w:sz w:val="24"/>
                <w:szCs w:val="24"/>
              </w:rPr>
            </w:pPr>
            <w:r>
              <w:rPr>
                <w:rFonts w:ascii="Times New Roman" w:hAnsi="Times New Roman"/>
                <w:sz w:val="24"/>
                <w:szCs w:val="24"/>
              </w:rPr>
              <w:t>3</w:t>
            </w:r>
          </w:p>
        </w:tc>
      </w:tr>
      <w:tr w:rsidR="0028223C" w:rsidRPr="00AA45E9" w:rsidTr="00214347">
        <w:tc>
          <w:tcPr>
            <w:tcW w:w="1507" w:type="dxa"/>
            <w:tcBorders>
              <w:bottom w:val="single" w:sz="4" w:space="0" w:color="auto"/>
              <w:right w:val="single" w:sz="4" w:space="0" w:color="auto"/>
            </w:tcBorders>
            <w:shd w:val="clear" w:color="auto" w:fill="002060"/>
          </w:tcPr>
          <w:p w:rsidR="0028223C" w:rsidRDefault="0028223C" w:rsidP="0028223C">
            <w:pPr>
              <w:spacing w:after="0" w:line="240" w:lineRule="auto"/>
              <w:jc w:val="center"/>
              <w:rPr>
                <w:rFonts w:ascii="Times New Roman" w:hAnsi="Times New Roman"/>
                <w:sz w:val="24"/>
                <w:szCs w:val="24"/>
              </w:rPr>
            </w:pPr>
            <w:r w:rsidRPr="00AA45E9">
              <w:rPr>
                <w:rFonts w:ascii="Times New Roman" w:hAnsi="Times New Roman"/>
                <w:b/>
                <w:sz w:val="24"/>
                <w:szCs w:val="24"/>
              </w:rPr>
              <w:t>Durée</w:t>
            </w:r>
          </w:p>
        </w:tc>
        <w:tc>
          <w:tcPr>
            <w:tcW w:w="1190" w:type="dxa"/>
            <w:tcBorders>
              <w:left w:val="single" w:sz="4" w:space="0" w:color="auto"/>
              <w:bottom w:val="single" w:sz="4" w:space="0" w:color="auto"/>
              <w:right w:val="single" w:sz="4" w:space="0" w:color="auto"/>
            </w:tcBorders>
          </w:tcPr>
          <w:p w:rsidR="0028223C" w:rsidRPr="00867483" w:rsidRDefault="0028223C" w:rsidP="0028223C">
            <w:pPr>
              <w:spacing w:after="0" w:line="240" w:lineRule="auto"/>
              <w:jc w:val="center"/>
              <w:rPr>
                <w:rFonts w:ascii="Times New Roman" w:hAnsi="Times New Roman"/>
                <w:sz w:val="24"/>
                <w:szCs w:val="24"/>
              </w:rPr>
            </w:pPr>
            <w:r>
              <w:rPr>
                <w:rFonts w:ascii="Times New Roman" w:hAnsi="Times New Roman"/>
                <w:sz w:val="24"/>
                <w:szCs w:val="24"/>
              </w:rPr>
              <w:t>Longue</w:t>
            </w:r>
          </w:p>
        </w:tc>
        <w:tc>
          <w:tcPr>
            <w:tcW w:w="456" w:type="dxa"/>
            <w:tcBorders>
              <w:left w:val="single" w:sz="4" w:space="0" w:color="auto"/>
              <w:bottom w:val="single" w:sz="4" w:space="0" w:color="auto"/>
            </w:tcBorders>
          </w:tcPr>
          <w:p w:rsidR="0028223C" w:rsidRPr="00867483" w:rsidRDefault="0028223C" w:rsidP="0028223C">
            <w:pPr>
              <w:spacing w:after="0" w:line="240" w:lineRule="auto"/>
              <w:jc w:val="center"/>
              <w:rPr>
                <w:rFonts w:ascii="Times New Roman" w:hAnsi="Times New Roman"/>
                <w:sz w:val="24"/>
                <w:szCs w:val="24"/>
              </w:rPr>
            </w:pPr>
            <w:r>
              <w:rPr>
                <w:rFonts w:ascii="Times New Roman" w:hAnsi="Times New Roman"/>
                <w:sz w:val="24"/>
                <w:szCs w:val="24"/>
              </w:rPr>
              <w:t>5</w:t>
            </w:r>
          </w:p>
        </w:tc>
      </w:tr>
      <w:tr w:rsidR="0028223C" w:rsidRPr="00AA45E9" w:rsidTr="00FC410F">
        <w:tc>
          <w:tcPr>
            <w:tcW w:w="3153" w:type="dxa"/>
            <w:gridSpan w:val="3"/>
            <w:tcBorders>
              <w:bottom w:val="single" w:sz="4" w:space="0" w:color="auto"/>
            </w:tcBorders>
            <w:shd w:val="clear" w:color="auto" w:fill="FFFFFF" w:themeFill="background1"/>
          </w:tcPr>
          <w:p w:rsidR="0028223C" w:rsidRPr="00867483" w:rsidRDefault="0028223C" w:rsidP="0028223C">
            <w:pPr>
              <w:spacing w:after="0" w:line="240" w:lineRule="auto"/>
              <w:jc w:val="center"/>
              <w:rPr>
                <w:rFonts w:ascii="Times New Roman" w:hAnsi="Times New Roman"/>
                <w:sz w:val="6"/>
                <w:szCs w:val="6"/>
              </w:rPr>
            </w:pPr>
          </w:p>
        </w:tc>
      </w:tr>
      <w:tr w:rsidR="0028223C" w:rsidRPr="00AA45E9" w:rsidTr="0028223C">
        <w:tc>
          <w:tcPr>
            <w:tcW w:w="1507" w:type="dxa"/>
            <w:tcBorders>
              <w:bottom w:val="dashDotStroked" w:sz="24" w:space="0" w:color="auto"/>
              <w:right w:val="single" w:sz="4" w:space="0" w:color="auto"/>
            </w:tcBorders>
            <w:shd w:val="clear" w:color="auto" w:fill="002060"/>
          </w:tcPr>
          <w:p w:rsidR="0028223C" w:rsidRPr="00AA45E9" w:rsidRDefault="0028223C" w:rsidP="0028223C">
            <w:pPr>
              <w:spacing w:after="0" w:line="240" w:lineRule="auto"/>
              <w:jc w:val="center"/>
              <w:rPr>
                <w:rFonts w:ascii="Times New Roman" w:hAnsi="Times New Roman"/>
                <w:b/>
                <w:sz w:val="24"/>
                <w:szCs w:val="24"/>
              </w:rPr>
            </w:pPr>
            <w:r w:rsidRPr="00AA45E9">
              <w:rPr>
                <w:rFonts w:ascii="Times New Roman" w:hAnsi="Times New Roman"/>
                <w:b/>
                <w:sz w:val="24"/>
                <w:szCs w:val="24"/>
              </w:rPr>
              <w:t>Importance</w:t>
            </w:r>
          </w:p>
        </w:tc>
        <w:tc>
          <w:tcPr>
            <w:tcW w:w="1190" w:type="dxa"/>
            <w:tcBorders>
              <w:left w:val="single" w:sz="4" w:space="0" w:color="auto"/>
              <w:bottom w:val="dashDotStroked" w:sz="24" w:space="0" w:color="auto"/>
              <w:right w:val="single" w:sz="4" w:space="0" w:color="auto"/>
            </w:tcBorders>
            <w:shd w:val="clear" w:color="auto" w:fill="F4B083" w:themeFill="accent2" w:themeFillTint="99"/>
          </w:tcPr>
          <w:p w:rsidR="0028223C" w:rsidRPr="008E6D9C" w:rsidRDefault="0028223C" w:rsidP="0028223C">
            <w:pPr>
              <w:spacing w:after="0" w:line="240" w:lineRule="auto"/>
              <w:jc w:val="center"/>
              <w:rPr>
                <w:rFonts w:ascii="Times New Roman" w:hAnsi="Times New Roman"/>
                <w:b/>
                <w:sz w:val="24"/>
                <w:szCs w:val="24"/>
              </w:rPr>
            </w:pPr>
            <w:r>
              <w:rPr>
                <w:rFonts w:ascii="Times New Roman" w:hAnsi="Times New Roman"/>
                <w:b/>
                <w:sz w:val="24"/>
                <w:szCs w:val="24"/>
              </w:rPr>
              <w:t>Mineure</w:t>
            </w:r>
          </w:p>
        </w:tc>
        <w:tc>
          <w:tcPr>
            <w:tcW w:w="456" w:type="dxa"/>
            <w:tcBorders>
              <w:left w:val="single" w:sz="4" w:space="0" w:color="auto"/>
              <w:bottom w:val="dashDotStroked" w:sz="24" w:space="0" w:color="auto"/>
            </w:tcBorders>
            <w:shd w:val="clear" w:color="auto" w:fill="F4B083" w:themeFill="accent2" w:themeFillTint="99"/>
          </w:tcPr>
          <w:p w:rsidR="0028223C" w:rsidRPr="008E6D9C" w:rsidRDefault="0028223C" w:rsidP="0028223C">
            <w:pPr>
              <w:spacing w:after="0" w:line="240" w:lineRule="auto"/>
              <w:jc w:val="center"/>
              <w:rPr>
                <w:rFonts w:ascii="Times New Roman" w:hAnsi="Times New Roman"/>
                <w:b/>
                <w:sz w:val="24"/>
                <w:szCs w:val="24"/>
              </w:rPr>
            </w:pPr>
            <w:r>
              <w:rPr>
                <w:rFonts w:ascii="Times New Roman" w:hAnsi="Times New Roman"/>
                <w:b/>
                <w:sz w:val="24"/>
                <w:szCs w:val="24"/>
              </w:rPr>
              <w:t>15</w:t>
            </w:r>
          </w:p>
        </w:tc>
      </w:tr>
    </w:tbl>
    <w:p w:rsidR="005008FC" w:rsidRPr="00214347" w:rsidRDefault="005008FC" w:rsidP="00FA3FAE">
      <w:pPr>
        <w:pStyle w:val="PargrafodaLista"/>
        <w:numPr>
          <w:ilvl w:val="0"/>
          <w:numId w:val="41"/>
        </w:numPr>
        <w:pBdr>
          <w:bottom w:val="dashDotStroked" w:sz="24" w:space="1" w:color="auto"/>
        </w:pBdr>
        <w:jc w:val="both"/>
        <w:rPr>
          <w:rFonts w:ascii="Times New Roman" w:hAnsi="Times New Roman"/>
          <w:b/>
          <w:sz w:val="24"/>
          <w:szCs w:val="24"/>
        </w:rPr>
      </w:pPr>
      <w:r w:rsidRPr="00214347">
        <w:rPr>
          <w:rFonts w:ascii="Times New Roman" w:hAnsi="Times New Roman"/>
          <w:b/>
          <w:sz w:val="24"/>
          <w:szCs w:val="24"/>
        </w:rPr>
        <w:t xml:space="preserve"> </w:t>
      </w:r>
      <w:r w:rsidR="00C27EDF" w:rsidRPr="00214347">
        <w:rPr>
          <w:rFonts w:ascii="Times New Roman" w:hAnsi="Times New Roman"/>
          <w:b/>
          <w:sz w:val="24"/>
          <w:szCs w:val="24"/>
        </w:rPr>
        <w:t>Meilleure couverture d’accès à l’eau portable dans les zones desservi</w:t>
      </w:r>
      <w:r w:rsidR="00D30CA6">
        <w:rPr>
          <w:rFonts w:ascii="Times New Roman" w:hAnsi="Times New Roman"/>
          <w:b/>
          <w:sz w:val="24"/>
          <w:szCs w:val="24"/>
          <w:lang w:val="fr-FR"/>
        </w:rPr>
        <w:t>e</w:t>
      </w:r>
      <w:r w:rsidR="00C27EDF" w:rsidRPr="00214347">
        <w:rPr>
          <w:rFonts w:ascii="Times New Roman" w:hAnsi="Times New Roman"/>
          <w:b/>
          <w:sz w:val="24"/>
          <w:szCs w:val="24"/>
        </w:rPr>
        <w:t xml:space="preserve">s </w:t>
      </w:r>
    </w:p>
    <w:p w:rsidR="00214347" w:rsidRDefault="005008FC" w:rsidP="005008FC">
      <w:pPr>
        <w:jc w:val="both"/>
        <w:rPr>
          <w:rFonts w:ascii="Times New Roman" w:hAnsi="Times New Roman" w:cs="Times New Roman"/>
          <w:color w:val="000000"/>
          <w:sz w:val="24"/>
          <w:szCs w:val="24"/>
        </w:rPr>
      </w:pPr>
      <w:r w:rsidRPr="005008FC">
        <w:rPr>
          <w:rFonts w:ascii="Times New Roman" w:hAnsi="Times New Roman" w:cs="Times New Roman"/>
          <w:color w:val="000000"/>
          <w:sz w:val="24"/>
          <w:szCs w:val="24"/>
        </w:rPr>
        <w:t>Avec la mise en œuvre du projet</w:t>
      </w:r>
      <w:r w:rsidR="00C27EDF">
        <w:rPr>
          <w:rFonts w:ascii="Times New Roman" w:hAnsi="Times New Roman" w:cs="Times New Roman"/>
          <w:color w:val="000000"/>
          <w:sz w:val="24"/>
          <w:szCs w:val="24"/>
        </w:rPr>
        <w:t xml:space="preserve"> PUASEE-FA</w:t>
      </w:r>
      <w:r w:rsidRPr="005008FC">
        <w:rPr>
          <w:rFonts w:ascii="Times New Roman" w:hAnsi="Times New Roman" w:cs="Times New Roman"/>
          <w:color w:val="000000"/>
          <w:sz w:val="24"/>
          <w:szCs w:val="24"/>
        </w:rPr>
        <w:t xml:space="preserve">, l’extension du service </w:t>
      </w:r>
      <w:r w:rsidR="006678D5">
        <w:rPr>
          <w:rFonts w:ascii="Times New Roman" w:hAnsi="Times New Roman" w:cs="Times New Roman"/>
          <w:color w:val="000000"/>
          <w:sz w:val="24"/>
          <w:szCs w:val="24"/>
        </w:rPr>
        <w:t>d’eau aux localités</w:t>
      </w:r>
      <w:r w:rsidRPr="005008FC">
        <w:rPr>
          <w:rFonts w:ascii="Times New Roman" w:hAnsi="Times New Roman" w:cs="Times New Roman"/>
          <w:color w:val="000000"/>
          <w:sz w:val="24"/>
          <w:szCs w:val="24"/>
        </w:rPr>
        <w:t xml:space="preserve"> desser</w:t>
      </w:r>
      <w:r w:rsidR="006678D5">
        <w:rPr>
          <w:rFonts w:ascii="Times New Roman" w:hAnsi="Times New Roman" w:cs="Times New Roman"/>
          <w:color w:val="000000"/>
          <w:sz w:val="24"/>
          <w:szCs w:val="24"/>
        </w:rPr>
        <w:t xml:space="preserve">vies pourra être envisagée par des autres </w:t>
      </w:r>
      <w:r w:rsidRPr="005008FC">
        <w:rPr>
          <w:rFonts w:ascii="Times New Roman" w:hAnsi="Times New Roman" w:cs="Times New Roman"/>
          <w:color w:val="000000"/>
          <w:sz w:val="24"/>
          <w:szCs w:val="24"/>
        </w:rPr>
        <w:t xml:space="preserve">opérateurs. De ce fait on assistera à une meilleure couverture </w:t>
      </w:r>
      <w:r w:rsidR="006678D5" w:rsidRPr="005008FC">
        <w:rPr>
          <w:rFonts w:ascii="Times New Roman" w:hAnsi="Times New Roman" w:cs="Times New Roman"/>
          <w:color w:val="000000"/>
          <w:sz w:val="24"/>
          <w:szCs w:val="24"/>
        </w:rPr>
        <w:t>d</w:t>
      </w:r>
      <w:r w:rsidR="006678D5">
        <w:rPr>
          <w:rFonts w:ascii="Times New Roman" w:hAnsi="Times New Roman" w:cs="Times New Roman"/>
          <w:color w:val="000000"/>
          <w:sz w:val="24"/>
          <w:szCs w:val="24"/>
        </w:rPr>
        <w:t>’accès</w:t>
      </w:r>
      <w:r w:rsidRPr="005008FC">
        <w:rPr>
          <w:rFonts w:ascii="Times New Roman" w:hAnsi="Times New Roman" w:cs="Times New Roman"/>
          <w:color w:val="000000"/>
          <w:sz w:val="24"/>
          <w:szCs w:val="24"/>
        </w:rPr>
        <w:t xml:space="preserve"> </w:t>
      </w:r>
      <w:r w:rsidR="006678D5">
        <w:rPr>
          <w:rFonts w:ascii="Times New Roman" w:hAnsi="Times New Roman" w:cs="Times New Roman"/>
          <w:color w:val="000000"/>
          <w:sz w:val="24"/>
          <w:szCs w:val="24"/>
        </w:rPr>
        <w:t xml:space="preserve">à l’eau </w:t>
      </w:r>
      <w:r w:rsidRPr="005008FC">
        <w:rPr>
          <w:rFonts w:ascii="Times New Roman" w:hAnsi="Times New Roman" w:cs="Times New Roman"/>
          <w:color w:val="000000"/>
          <w:sz w:val="24"/>
          <w:szCs w:val="24"/>
        </w:rPr>
        <w:t>dans le pays.</w:t>
      </w:r>
    </w:p>
    <w:p w:rsidR="00CD2D91" w:rsidRDefault="00CD2D91" w:rsidP="005008FC">
      <w:pPr>
        <w:jc w:val="both"/>
        <w:rPr>
          <w:rFonts w:ascii="Times New Roman" w:hAnsi="Times New Roman" w:cs="Times New Roman"/>
          <w:color w:val="000000"/>
          <w:sz w:val="24"/>
          <w:szCs w:val="24"/>
        </w:rPr>
      </w:pPr>
    </w:p>
    <w:tbl>
      <w:tblPr>
        <w:tblpPr w:leftFromText="141" w:rightFromText="141" w:vertAnchor="text" w:horzAnchor="margin" w:tblpXSpec="right" w:tblpY="459"/>
        <w:tblW w:w="3153" w:type="dxa"/>
        <w:tblBorders>
          <w:top w:val="single" w:sz="4" w:space="0" w:color="auto"/>
          <w:left w:val="dashDotStroked" w:sz="24" w:space="0" w:color="auto"/>
          <w:bottom w:val="dashDotStroked" w:sz="24" w:space="0" w:color="auto"/>
          <w:right w:val="dashDotStroked" w:sz="24" w:space="0" w:color="auto"/>
          <w:insideH w:val="single" w:sz="4" w:space="0" w:color="auto"/>
          <w:insideV w:val="dashDotStroked" w:sz="24" w:space="0" w:color="auto"/>
        </w:tblBorders>
        <w:tblLook w:val="04A0" w:firstRow="1" w:lastRow="0" w:firstColumn="1" w:lastColumn="0" w:noHBand="0" w:noVBand="1"/>
      </w:tblPr>
      <w:tblGrid>
        <w:gridCol w:w="1416"/>
        <w:gridCol w:w="1190"/>
        <w:gridCol w:w="576"/>
      </w:tblGrid>
      <w:tr w:rsidR="00214347" w:rsidRPr="00AA45E9" w:rsidTr="00214347">
        <w:tc>
          <w:tcPr>
            <w:tcW w:w="3153" w:type="dxa"/>
            <w:gridSpan w:val="3"/>
            <w:tcBorders>
              <w:bottom w:val="single" w:sz="4" w:space="0" w:color="auto"/>
            </w:tcBorders>
            <w:shd w:val="clear" w:color="auto" w:fill="002060"/>
          </w:tcPr>
          <w:p w:rsidR="00214347" w:rsidRPr="00867483" w:rsidRDefault="00214347" w:rsidP="00214347">
            <w:pPr>
              <w:spacing w:after="0" w:line="240" w:lineRule="auto"/>
              <w:jc w:val="center"/>
              <w:rPr>
                <w:rFonts w:ascii="Times New Roman" w:hAnsi="Times New Roman"/>
                <w:b/>
                <w:sz w:val="24"/>
                <w:szCs w:val="24"/>
              </w:rPr>
            </w:pPr>
            <w:r w:rsidRPr="00867483">
              <w:rPr>
                <w:rFonts w:ascii="Times New Roman" w:hAnsi="Times New Roman"/>
                <w:b/>
                <w:sz w:val="24"/>
                <w:szCs w:val="24"/>
              </w:rPr>
              <w:t>Caractérisation de l’impact</w:t>
            </w:r>
          </w:p>
        </w:tc>
      </w:tr>
      <w:tr w:rsidR="0028223C" w:rsidRPr="00AA45E9" w:rsidTr="00D96D77">
        <w:tc>
          <w:tcPr>
            <w:tcW w:w="1507" w:type="dxa"/>
            <w:tcBorders>
              <w:bottom w:val="single" w:sz="4" w:space="0" w:color="auto"/>
              <w:right w:val="single" w:sz="4" w:space="0" w:color="auto"/>
            </w:tcBorders>
            <w:shd w:val="clear" w:color="auto" w:fill="002060"/>
          </w:tcPr>
          <w:p w:rsidR="0028223C" w:rsidRPr="00AA45E9" w:rsidRDefault="0028223C" w:rsidP="00214347">
            <w:pPr>
              <w:spacing w:after="0" w:line="240" w:lineRule="auto"/>
              <w:jc w:val="center"/>
              <w:rPr>
                <w:rFonts w:ascii="Times New Roman" w:hAnsi="Times New Roman"/>
                <w:b/>
                <w:sz w:val="24"/>
                <w:szCs w:val="24"/>
              </w:rPr>
            </w:pPr>
            <w:r>
              <w:rPr>
                <w:rFonts w:ascii="Times New Roman" w:hAnsi="Times New Roman"/>
                <w:b/>
                <w:sz w:val="24"/>
                <w:szCs w:val="24"/>
              </w:rPr>
              <w:t xml:space="preserve">Nature </w:t>
            </w:r>
          </w:p>
        </w:tc>
        <w:tc>
          <w:tcPr>
            <w:tcW w:w="1646" w:type="dxa"/>
            <w:gridSpan w:val="2"/>
            <w:tcBorders>
              <w:left w:val="single" w:sz="4" w:space="0" w:color="auto"/>
              <w:bottom w:val="single" w:sz="4" w:space="0" w:color="auto"/>
            </w:tcBorders>
            <w:shd w:val="clear" w:color="auto" w:fill="auto"/>
          </w:tcPr>
          <w:p w:rsidR="0028223C" w:rsidRPr="00E96A04" w:rsidRDefault="0028223C" w:rsidP="00214347">
            <w:pPr>
              <w:spacing w:after="0" w:line="240" w:lineRule="auto"/>
              <w:jc w:val="center"/>
              <w:rPr>
                <w:rFonts w:ascii="Times New Roman" w:hAnsi="Times New Roman"/>
                <w:b/>
                <w:sz w:val="24"/>
                <w:szCs w:val="24"/>
              </w:rPr>
            </w:pPr>
            <w:r w:rsidRPr="00E96A04">
              <w:rPr>
                <w:rFonts w:ascii="Times New Roman" w:hAnsi="Times New Roman"/>
                <w:b/>
                <w:sz w:val="24"/>
                <w:szCs w:val="24"/>
              </w:rPr>
              <w:t>Positif</w:t>
            </w:r>
          </w:p>
        </w:tc>
      </w:tr>
      <w:tr w:rsidR="0028223C" w:rsidRPr="00AA45E9" w:rsidTr="00214347">
        <w:tc>
          <w:tcPr>
            <w:tcW w:w="1507" w:type="dxa"/>
            <w:tcBorders>
              <w:bottom w:val="single" w:sz="4" w:space="0" w:color="auto"/>
              <w:right w:val="single" w:sz="4" w:space="0" w:color="auto"/>
            </w:tcBorders>
            <w:shd w:val="clear" w:color="auto" w:fill="002060"/>
          </w:tcPr>
          <w:p w:rsidR="0028223C" w:rsidRPr="00AA45E9" w:rsidRDefault="0028223C" w:rsidP="0028223C">
            <w:pPr>
              <w:spacing w:after="0" w:line="240" w:lineRule="auto"/>
              <w:jc w:val="center"/>
              <w:rPr>
                <w:rFonts w:ascii="Times New Roman" w:hAnsi="Times New Roman"/>
                <w:b/>
                <w:sz w:val="24"/>
                <w:szCs w:val="24"/>
              </w:rPr>
            </w:pPr>
            <w:r w:rsidRPr="00AA45E9">
              <w:rPr>
                <w:rFonts w:ascii="Times New Roman" w:hAnsi="Times New Roman"/>
                <w:b/>
                <w:sz w:val="24"/>
                <w:szCs w:val="24"/>
              </w:rPr>
              <w:t>Intensité</w:t>
            </w:r>
          </w:p>
        </w:tc>
        <w:tc>
          <w:tcPr>
            <w:tcW w:w="1190" w:type="dxa"/>
            <w:tcBorders>
              <w:left w:val="single" w:sz="4" w:space="0" w:color="auto"/>
              <w:bottom w:val="single" w:sz="4" w:space="0" w:color="auto"/>
              <w:right w:val="single" w:sz="4" w:space="0" w:color="auto"/>
            </w:tcBorders>
            <w:shd w:val="clear" w:color="auto" w:fill="auto"/>
          </w:tcPr>
          <w:p w:rsidR="0028223C" w:rsidRPr="00867483" w:rsidRDefault="0028223C" w:rsidP="0028223C">
            <w:pPr>
              <w:spacing w:after="0" w:line="240" w:lineRule="auto"/>
              <w:jc w:val="center"/>
              <w:rPr>
                <w:rFonts w:ascii="Times New Roman" w:hAnsi="Times New Roman"/>
                <w:sz w:val="24"/>
                <w:szCs w:val="24"/>
              </w:rPr>
            </w:pPr>
            <w:r w:rsidRPr="00867483">
              <w:rPr>
                <w:rFonts w:ascii="Times New Roman" w:hAnsi="Times New Roman"/>
                <w:sz w:val="24"/>
                <w:szCs w:val="24"/>
              </w:rPr>
              <w:t>Forte</w:t>
            </w:r>
          </w:p>
        </w:tc>
        <w:tc>
          <w:tcPr>
            <w:tcW w:w="456" w:type="dxa"/>
            <w:tcBorders>
              <w:left w:val="single" w:sz="4" w:space="0" w:color="auto"/>
              <w:bottom w:val="single" w:sz="4" w:space="0" w:color="auto"/>
            </w:tcBorders>
            <w:shd w:val="clear" w:color="auto" w:fill="auto"/>
          </w:tcPr>
          <w:p w:rsidR="0028223C" w:rsidRPr="00867483" w:rsidRDefault="0028223C" w:rsidP="0028223C">
            <w:pPr>
              <w:spacing w:after="0" w:line="240" w:lineRule="auto"/>
              <w:jc w:val="center"/>
              <w:rPr>
                <w:rFonts w:ascii="Times New Roman" w:hAnsi="Times New Roman"/>
                <w:sz w:val="24"/>
                <w:szCs w:val="24"/>
              </w:rPr>
            </w:pPr>
            <w:r w:rsidRPr="00867483">
              <w:rPr>
                <w:rFonts w:ascii="Times New Roman" w:hAnsi="Times New Roman"/>
                <w:sz w:val="24"/>
                <w:szCs w:val="24"/>
              </w:rPr>
              <w:t>5</w:t>
            </w:r>
          </w:p>
        </w:tc>
      </w:tr>
      <w:tr w:rsidR="0028223C" w:rsidRPr="00AA45E9" w:rsidTr="00214347">
        <w:tc>
          <w:tcPr>
            <w:tcW w:w="1507" w:type="dxa"/>
            <w:tcBorders>
              <w:bottom w:val="single" w:sz="4" w:space="0" w:color="auto"/>
              <w:right w:val="single" w:sz="4" w:space="0" w:color="auto"/>
            </w:tcBorders>
            <w:shd w:val="clear" w:color="auto" w:fill="002060"/>
          </w:tcPr>
          <w:p w:rsidR="0028223C" w:rsidRPr="00AA45E9" w:rsidRDefault="0028223C" w:rsidP="0028223C">
            <w:pPr>
              <w:spacing w:after="0" w:line="240" w:lineRule="auto"/>
              <w:jc w:val="center"/>
              <w:rPr>
                <w:rFonts w:ascii="Times New Roman" w:hAnsi="Times New Roman"/>
                <w:sz w:val="24"/>
                <w:szCs w:val="24"/>
              </w:rPr>
            </w:pPr>
            <w:r w:rsidRPr="00AA45E9">
              <w:rPr>
                <w:rFonts w:ascii="Times New Roman" w:hAnsi="Times New Roman"/>
                <w:b/>
                <w:sz w:val="24"/>
                <w:szCs w:val="24"/>
              </w:rPr>
              <w:t>Etendue</w:t>
            </w:r>
          </w:p>
        </w:tc>
        <w:tc>
          <w:tcPr>
            <w:tcW w:w="1190" w:type="dxa"/>
            <w:tcBorders>
              <w:left w:val="single" w:sz="4" w:space="0" w:color="auto"/>
              <w:bottom w:val="single" w:sz="4" w:space="0" w:color="auto"/>
              <w:right w:val="single" w:sz="4" w:space="0" w:color="auto"/>
            </w:tcBorders>
          </w:tcPr>
          <w:p w:rsidR="0028223C" w:rsidRPr="00867483" w:rsidRDefault="0028223C" w:rsidP="0028223C">
            <w:pPr>
              <w:spacing w:after="0" w:line="240" w:lineRule="auto"/>
              <w:jc w:val="center"/>
              <w:rPr>
                <w:rFonts w:ascii="Times New Roman" w:hAnsi="Times New Roman"/>
                <w:sz w:val="24"/>
                <w:szCs w:val="24"/>
              </w:rPr>
            </w:pPr>
            <w:r>
              <w:rPr>
                <w:rFonts w:ascii="Times New Roman" w:hAnsi="Times New Roman"/>
                <w:sz w:val="24"/>
                <w:szCs w:val="24"/>
              </w:rPr>
              <w:t>Régionale</w:t>
            </w:r>
          </w:p>
        </w:tc>
        <w:tc>
          <w:tcPr>
            <w:tcW w:w="456" w:type="dxa"/>
            <w:tcBorders>
              <w:left w:val="single" w:sz="4" w:space="0" w:color="auto"/>
              <w:bottom w:val="single" w:sz="4" w:space="0" w:color="auto"/>
            </w:tcBorders>
          </w:tcPr>
          <w:p w:rsidR="0028223C" w:rsidRPr="00867483" w:rsidRDefault="0028223C" w:rsidP="0028223C">
            <w:pPr>
              <w:spacing w:after="0" w:line="240" w:lineRule="auto"/>
              <w:jc w:val="center"/>
              <w:rPr>
                <w:rFonts w:ascii="Times New Roman" w:hAnsi="Times New Roman"/>
                <w:sz w:val="24"/>
                <w:szCs w:val="24"/>
              </w:rPr>
            </w:pPr>
            <w:r>
              <w:rPr>
                <w:rFonts w:ascii="Times New Roman" w:hAnsi="Times New Roman"/>
                <w:sz w:val="24"/>
                <w:szCs w:val="24"/>
              </w:rPr>
              <w:t>5</w:t>
            </w:r>
          </w:p>
        </w:tc>
      </w:tr>
      <w:tr w:rsidR="0028223C" w:rsidRPr="00AA45E9" w:rsidTr="00214347">
        <w:tc>
          <w:tcPr>
            <w:tcW w:w="1507" w:type="dxa"/>
            <w:tcBorders>
              <w:bottom w:val="single" w:sz="4" w:space="0" w:color="auto"/>
              <w:right w:val="single" w:sz="4" w:space="0" w:color="auto"/>
            </w:tcBorders>
            <w:shd w:val="clear" w:color="auto" w:fill="002060"/>
          </w:tcPr>
          <w:p w:rsidR="0028223C" w:rsidRDefault="0028223C" w:rsidP="0028223C">
            <w:pPr>
              <w:spacing w:after="0" w:line="240" w:lineRule="auto"/>
              <w:jc w:val="center"/>
              <w:rPr>
                <w:rFonts w:ascii="Times New Roman" w:hAnsi="Times New Roman"/>
                <w:sz w:val="24"/>
                <w:szCs w:val="24"/>
              </w:rPr>
            </w:pPr>
            <w:r w:rsidRPr="00AA45E9">
              <w:rPr>
                <w:rFonts w:ascii="Times New Roman" w:hAnsi="Times New Roman"/>
                <w:b/>
                <w:sz w:val="24"/>
                <w:szCs w:val="24"/>
              </w:rPr>
              <w:t>Durée</w:t>
            </w:r>
          </w:p>
        </w:tc>
        <w:tc>
          <w:tcPr>
            <w:tcW w:w="1190" w:type="dxa"/>
            <w:tcBorders>
              <w:left w:val="single" w:sz="4" w:space="0" w:color="auto"/>
              <w:bottom w:val="single" w:sz="4" w:space="0" w:color="auto"/>
              <w:right w:val="single" w:sz="4" w:space="0" w:color="auto"/>
            </w:tcBorders>
          </w:tcPr>
          <w:p w:rsidR="0028223C" w:rsidRPr="00867483" w:rsidRDefault="0028223C" w:rsidP="0028223C">
            <w:pPr>
              <w:spacing w:after="0" w:line="240" w:lineRule="auto"/>
              <w:jc w:val="center"/>
              <w:rPr>
                <w:rFonts w:ascii="Times New Roman" w:hAnsi="Times New Roman"/>
                <w:sz w:val="24"/>
                <w:szCs w:val="24"/>
              </w:rPr>
            </w:pPr>
            <w:r>
              <w:rPr>
                <w:rFonts w:ascii="Times New Roman" w:hAnsi="Times New Roman"/>
                <w:sz w:val="24"/>
                <w:szCs w:val="24"/>
              </w:rPr>
              <w:t>Longue</w:t>
            </w:r>
          </w:p>
        </w:tc>
        <w:tc>
          <w:tcPr>
            <w:tcW w:w="456" w:type="dxa"/>
            <w:tcBorders>
              <w:left w:val="single" w:sz="4" w:space="0" w:color="auto"/>
              <w:bottom w:val="single" w:sz="4" w:space="0" w:color="auto"/>
            </w:tcBorders>
          </w:tcPr>
          <w:p w:rsidR="0028223C" w:rsidRPr="00867483" w:rsidRDefault="0028223C" w:rsidP="0028223C">
            <w:pPr>
              <w:spacing w:after="0" w:line="240" w:lineRule="auto"/>
              <w:jc w:val="center"/>
              <w:rPr>
                <w:rFonts w:ascii="Times New Roman" w:hAnsi="Times New Roman"/>
                <w:sz w:val="24"/>
                <w:szCs w:val="24"/>
              </w:rPr>
            </w:pPr>
            <w:r>
              <w:rPr>
                <w:rFonts w:ascii="Times New Roman" w:hAnsi="Times New Roman"/>
                <w:sz w:val="24"/>
                <w:szCs w:val="24"/>
              </w:rPr>
              <w:t>5</w:t>
            </w:r>
          </w:p>
        </w:tc>
      </w:tr>
      <w:tr w:rsidR="0028223C" w:rsidRPr="00AA45E9" w:rsidTr="00FC410F">
        <w:tc>
          <w:tcPr>
            <w:tcW w:w="3153" w:type="dxa"/>
            <w:gridSpan w:val="3"/>
            <w:tcBorders>
              <w:bottom w:val="single" w:sz="4" w:space="0" w:color="auto"/>
            </w:tcBorders>
            <w:shd w:val="clear" w:color="auto" w:fill="FFFFFF" w:themeFill="background1"/>
          </w:tcPr>
          <w:p w:rsidR="0028223C" w:rsidRPr="00867483" w:rsidRDefault="0028223C" w:rsidP="0028223C">
            <w:pPr>
              <w:spacing w:after="0" w:line="240" w:lineRule="auto"/>
              <w:jc w:val="center"/>
              <w:rPr>
                <w:rFonts w:ascii="Times New Roman" w:hAnsi="Times New Roman"/>
                <w:sz w:val="6"/>
                <w:szCs w:val="6"/>
              </w:rPr>
            </w:pPr>
          </w:p>
        </w:tc>
      </w:tr>
      <w:tr w:rsidR="0028223C" w:rsidRPr="00AA45E9" w:rsidTr="00093A77">
        <w:tc>
          <w:tcPr>
            <w:tcW w:w="1507" w:type="dxa"/>
            <w:tcBorders>
              <w:bottom w:val="dashDotStroked" w:sz="24" w:space="0" w:color="auto"/>
              <w:right w:val="single" w:sz="4" w:space="0" w:color="auto"/>
            </w:tcBorders>
            <w:shd w:val="clear" w:color="auto" w:fill="002060"/>
          </w:tcPr>
          <w:p w:rsidR="0028223C" w:rsidRPr="00AA45E9" w:rsidRDefault="0028223C" w:rsidP="0028223C">
            <w:pPr>
              <w:spacing w:after="0" w:line="240" w:lineRule="auto"/>
              <w:jc w:val="center"/>
              <w:rPr>
                <w:rFonts w:ascii="Times New Roman" w:hAnsi="Times New Roman"/>
                <w:b/>
                <w:sz w:val="24"/>
                <w:szCs w:val="24"/>
              </w:rPr>
            </w:pPr>
            <w:r w:rsidRPr="00AA45E9">
              <w:rPr>
                <w:rFonts w:ascii="Times New Roman" w:hAnsi="Times New Roman"/>
                <w:b/>
                <w:sz w:val="24"/>
                <w:szCs w:val="24"/>
              </w:rPr>
              <w:t>Importance</w:t>
            </w:r>
          </w:p>
        </w:tc>
        <w:tc>
          <w:tcPr>
            <w:tcW w:w="1190" w:type="dxa"/>
            <w:tcBorders>
              <w:left w:val="single" w:sz="4" w:space="0" w:color="auto"/>
              <w:bottom w:val="dashDotStroked" w:sz="24" w:space="0" w:color="auto"/>
              <w:right w:val="single" w:sz="4" w:space="0" w:color="auto"/>
            </w:tcBorders>
            <w:shd w:val="clear" w:color="auto" w:fill="92D050"/>
          </w:tcPr>
          <w:p w:rsidR="0028223C" w:rsidRPr="008E6D9C" w:rsidRDefault="0028223C" w:rsidP="0028223C">
            <w:pPr>
              <w:spacing w:after="0" w:line="240" w:lineRule="auto"/>
              <w:jc w:val="center"/>
              <w:rPr>
                <w:rFonts w:ascii="Times New Roman" w:hAnsi="Times New Roman"/>
                <w:b/>
                <w:sz w:val="24"/>
                <w:szCs w:val="24"/>
              </w:rPr>
            </w:pPr>
            <w:r>
              <w:rPr>
                <w:rFonts w:ascii="Times New Roman" w:hAnsi="Times New Roman"/>
                <w:b/>
                <w:sz w:val="24"/>
                <w:szCs w:val="24"/>
              </w:rPr>
              <w:t>Majeure</w:t>
            </w:r>
          </w:p>
        </w:tc>
        <w:tc>
          <w:tcPr>
            <w:tcW w:w="456" w:type="dxa"/>
            <w:tcBorders>
              <w:left w:val="single" w:sz="4" w:space="0" w:color="auto"/>
              <w:bottom w:val="dashDotStroked" w:sz="24" w:space="0" w:color="auto"/>
            </w:tcBorders>
            <w:shd w:val="clear" w:color="auto" w:fill="92D050"/>
          </w:tcPr>
          <w:p w:rsidR="0028223C" w:rsidRPr="008E6D9C" w:rsidRDefault="0028223C" w:rsidP="0028223C">
            <w:pPr>
              <w:spacing w:after="0" w:line="240" w:lineRule="auto"/>
              <w:jc w:val="center"/>
              <w:rPr>
                <w:rFonts w:ascii="Times New Roman" w:hAnsi="Times New Roman"/>
                <w:b/>
                <w:sz w:val="24"/>
                <w:szCs w:val="24"/>
              </w:rPr>
            </w:pPr>
            <w:r>
              <w:rPr>
                <w:rFonts w:ascii="Times New Roman" w:hAnsi="Times New Roman"/>
                <w:b/>
                <w:sz w:val="24"/>
                <w:szCs w:val="24"/>
              </w:rPr>
              <w:t>12</w:t>
            </w:r>
            <w:r w:rsidRPr="008E6D9C">
              <w:rPr>
                <w:rFonts w:ascii="Times New Roman" w:hAnsi="Times New Roman"/>
                <w:b/>
                <w:sz w:val="24"/>
                <w:szCs w:val="24"/>
              </w:rPr>
              <w:t>5</w:t>
            </w:r>
          </w:p>
        </w:tc>
      </w:tr>
    </w:tbl>
    <w:p w:rsidR="00C856C0" w:rsidRPr="00214347" w:rsidRDefault="000F10BF" w:rsidP="00FA3FAE">
      <w:pPr>
        <w:pStyle w:val="PargrafodaLista"/>
        <w:numPr>
          <w:ilvl w:val="0"/>
          <w:numId w:val="41"/>
        </w:numPr>
        <w:pBdr>
          <w:bottom w:val="dashDotStroked" w:sz="24" w:space="1" w:color="auto"/>
        </w:pBdr>
        <w:jc w:val="both"/>
        <w:rPr>
          <w:rFonts w:ascii="Times New Roman" w:hAnsi="Times New Roman"/>
          <w:b/>
          <w:sz w:val="24"/>
          <w:szCs w:val="24"/>
        </w:rPr>
      </w:pPr>
      <w:r w:rsidRPr="00214347">
        <w:rPr>
          <w:rFonts w:ascii="Times New Roman" w:hAnsi="Times New Roman"/>
          <w:b/>
          <w:sz w:val="24"/>
          <w:szCs w:val="24"/>
        </w:rPr>
        <w:t>Amélioration de la performance de l’EAGB</w:t>
      </w:r>
    </w:p>
    <w:p w:rsidR="000F10BF" w:rsidRPr="000F10BF" w:rsidRDefault="000F10BF" w:rsidP="000F10BF">
      <w:pPr>
        <w:jc w:val="both"/>
        <w:rPr>
          <w:rFonts w:ascii="Times New Roman" w:hAnsi="Times New Roman" w:cs="Times New Roman"/>
          <w:color w:val="000000"/>
          <w:sz w:val="24"/>
          <w:szCs w:val="24"/>
        </w:rPr>
      </w:pPr>
      <w:r w:rsidRPr="000F10BF">
        <w:rPr>
          <w:rFonts w:ascii="Times New Roman" w:hAnsi="Times New Roman" w:cs="Times New Roman"/>
          <w:color w:val="000000"/>
          <w:sz w:val="24"/>
          <w:szCs w:val="24"/>
        </w:rPr>
        <w:t>Avec la perspective du développement du réseau impliquant une r</w:t>
      </w:r>
      <w:r w:rsidR="00214347">
        <w:rPr>
          <w:rFonts w:ascii="Times New Roman" w:hAnsi="Times New Roman" w:cs="Times New Roman"/>
          <w:color w:val="000000"/>
          <w:sz w:val="24"/>
          <w:szCs w:val="24"/>
        </w:rPr>
        <w:t>ationalisation de plus en plus n</w:t>
      </w:r>
      <w:r w:rsidR="00C27EDF" w:rsidRPr="000F10BF">
        <w:rPr>
          <w:rFonts w:ascii="Times New Roman" w:hAnsi="Times New Roman" w:cs="Times New Roman"/>
          <w:color w:val="000000"/>
          <w:sz w:val="24"/>
          <w:szCs w:val="24"/>
        </w:rPr>
        <w:t>écessaire</w:t>
      </w:r>
      <w:r w:rsidRPr="000F10BF">
        <w:rPr>
          <w:rFonts w:ascii="Times New Roman" w:hAnsi="Times New Roman" w:cs="Times New Roman"/>
          <w:color w:val="000000"/>
          <w:sz w:val="24"/>
          <w:szCs w:val="24"/>
        </w:rPr>
        <w:t xml:space="preserve"> des activités et des prestations, l’EAGB</w:t>
      </w:r>
      <w:r w:rsidR="00214347">
        <w:rPr>
          <w:rFonts w:ascii="Times New Roman" w:hAnsi="Times New Roman" w:cs="Times New Roman"/>
          <w:color w:val="000000"/>
          <w:sz w:val="24"/>
          <w:szCs w:val="24"/>
        </w:rPr>
        <w:t xml:space="preserve"> </w:t>
      </w:r>
      <w:r w:rsidRPr="000F10BF">
        <w:rPr>
          <w:rFonts w:ascii="Times New Roman" w:hAnsi="Times New Roman" w:cs="Times New Roman"/>
          <w:color w:val="000000"/>
          <w:sz w:val="24"/>
          <w:szCs w:val="24"/>
        </w:rPr>
        <w:t xml:space="preserve">sera conduit à intégrer dans son fonctionnement des règles de performance, d’efficacité, d’efficience, de rentabilité, donc de maîtrise des investissements et de maximisation du rendement. Précisément elle sera amenée à mettre en place de nouvelles méthodes de travail et de communication pour se rendre plus proche des usagers d’eau qu’elle produit. Cela permettra : </w:t>
      </w:r>
    </w:p>
    <w:p w:rsidR="000F10BF" w:rsidRPr="00214347" w:rsidRDefault="000F10BF" w:rsidP="00FA3FAE">
      <w:pPr>
        <w:pStyle w:val="PargrafodaLista"/>
        <w:numPr>
          <w:ilvl w:val="0"/>
          <w:numId w:val="81"/>
        </w:numPr>
        <w:spacing w:after="0"/>
        <w:jc w:val="both"/>
        <w:rPr>
          <w:rFonts w:ascii="Times New Roman" w:hAnsi="Times New Roman"/>
          <w:color w:val="000000"/>
          <w:sz w:val="24"/>
          <w:szCs w:val="24"/>
        </w:rPr>
      </w:pPr>
      <w:r w:rsidRPr="00214347">
        <w:rPr>
          <w:rFonts w:ascii="Times New Roman" w:hAnsi="Times New Roman"/>
          <w:color w:val="000000"/>
          <w:sz w:val="24"/>
          <w:szCs w:val="24"/>
        </w:rPr>
        <w:t xml:space="preserve">l’améliorer la qualité du service de distribution de l’eau potable, </w:t>
      </w:r>
    </w:p>
    <w:p w:rsidR="00214347" w:rsidRPr="00214347" w:rsidRDefault="000F10BF" w:rsidP="00FA3FAE">
      <w:pPr>
        <w:pStyle w:val="PargrafodaLista"/>
        <w:numPr>
          <w:ilvl w:val="0"/>
          <w:numId w:val="81"/>
        </w:numPr>
        <w:spacing w:after="0"/>
        <w:jc w:val="both"/>
        <w:rPr>
          <w:rFonts w:ascii="Times New Roman" w:hAnsi="Times New Roman"/>
          <w:color w:val="000000"/>
          <w:sz w:val="24"/>
          <w:szCs w:val="24"/>
        </w:rPr>
      </w:pPr>
      <w:r w:rsidRPr="00214347">
        <w:rPr>
          <w:rFonts w:ascii="Times New Roman" w:hAnsi="Times New Roman"/>
          <w:color w:val="000000"/>
          <w:sz w:val="24"/>
          <w:szCs w:val="24"/>
        </w:rPr>
        <w:t>la fournir en quantité et en qualité de l’eau de boisson à la population.</w:t>
      </w:r>
    </w:p>
    <w:p w:rsidR="00214347" w:rsidRDefault="00260E99" w:rsidP="00820701">
      <w:pPr>
        <w:pStyle w:val="Cabealho3"/>
      </w:pPr>
      <w:bookmarkStart w:id="330" w:name="_Toc515981065"/>
      <w:bookmarkStart w:id="331" w:name="_Toc535396953"/>
      <w:bookmarkStart w:id="332" w:name="_Toc11158353"/>
      <w:bookmarkStart w:id="333" w:name="_Toc51072575"/>
      <w:r>
        <w:t>6.2.2</w:t>
      </w:r>
      <w:r w:rsidR="00214347">
        <w:t xml:space="preserve">. </w:t>
      </w:r>
      <w:r w:rsidR="00214347" w:rsidRPr="00AA6F0C">
        <w:t>Impacts négatifs attendus du projet</w:t>
      </w:r>
      <w:bookmarkEnd w:id="330"/>
      <w:bookmarkEnd w:id="331"/>
      <w:bookmarkEnd w:id="332"/>
      <w:bookmarkEnd w:id="333"/>
    </w:p>
    <w:p w:rsidR="00214347" w:rsidRPr="003E743A" w:rsidRDefault="00214347" w:rsidP="00820701">
      <w:pPr>
        <w:pStyle w:val="Cabealho3"/>
      </w:pPr>
      <w:bookmarkStart w:id="334" w:name="_Toc515981066"/>
      <w:bookmarkStart w:id="335" w:name="_Toc535396954"/>
      <w:bookmarkStart w:id="336" w:name="_Toc11158354"/>
      <w:bookmarkStart w:id="337" w:name="_Toc51072576"/>
      <w:r>
        <w:t xml:space="preserve">6.2.2.1. </w:t>
      </w:r>
      <w:r w:rsidRPr="003E743A">
        <w:t>Impacts négatifs attendus en phase de pré-construction et de construction</w:t>
      </w:r>
      <w:bookmarkEnd w:id="334"/>
      <w:bookmarkEnd w:id="335"/>
      <w:bookmarkEnd w:id="336"/>
      <w:bookmarkEnd w:id="337"/>
    </w:p>
    <w:p w:rsidR="00214347" w:rsidRPr="003E743A" w:rsidRDefault="00214347" w:rsidP="00F34378">
      <w:pPr>
        <w:ind w:right="284"/>
        <w:jc w:val="both"/>
        <w:rPr>
          <w:rFonts w:ascii="Times New Roman" w:hAnsi="Times New Roman"/>
          <w:sz w:val="24"/>
          <w:szCs w:val="24"/>
        </w:rPr>
      </w:pPr>
      <w:r w:rsidRPr="003E743A">
        <w:rPr>
          <w:rFonts w:ascii="Times New Roman" w:hAnsi="Times New Roman"/>
          <w:sz w:val="24"/>
          <w:szCs w:val="24"/>
        </w:rPr>
        <w:t>Les impacts attendus sur le milieu physique sont inhérents aux travaux</w:t>
      </w:r>
      <w:r w:rsidR="003107EE">
        <w:rPr>
          <w:rFonts w:ascii="Times New Roman" w:hAnsi="Times New Roman"/>
          <w:sz w:val="24"/>
          <w:szCs w:val="24"/>
        </w:rPr>
        <w:t xml:space="preserve"> de construction et réhabilitation des réservoirs</w:t>
      </w:r>
      <w:r w:rsidRPr="003E743A">
        <w:rPr>
          <w:rFonts w:ascii="Times New Roman" w:hAnsi="Times New Roman"/>
          <w:sz w:val="24"/>
          <w:szCs w:val="24"/>
        </w:rPr>
        <w:t>. Les impacts environnementaux négatifs du projet dus aux trava</w:t>
      </w:r>
      <w:r w:rsidR="003107EE">
        <w:rPr>
          <w:rFonts w:ascii="Times New Roman" w:hAnsi="Times New Roman"/>
          <w:sz w:val="24"/>
          <w:szCs w:val="24"/>
        </w:rPr>
        <w:t xml:space="preserve">ux concerneront surtout : </w:t>
      </w:r>
      <w:r w:rsidRPr="003E743A">
        <w:rPr>
          <w:rFonts w:ascii="Times New Roman" w:hAnsi="Times New Roman"/>
          <w:sz w:val="24"/>
          <w:szCs w:val="24"/>
        </w:rPr>
        <w:t xml:space="preserve">les risques de pollution </w:t>
      </w:r>
      <w:r w:rsidR="0053136B">
        <w:rPr>
          <w:rFonts w:ascii="Times New Roman" w:hAnsi="Times New Roman"/>
          <w:sz w:val="24"/>
          <w:szCs w:val="24"/>
        </w:rPr>
        <w:t xml:space="preserve">de l’air, </w:t>
      </w:r>
      <w:r w:rsidRPr="003E743A">
        <w:rPr>
          <w:rFonts w:ascii="Times New Roman" w:hAnsi="Times New Roman"/>
          <w:sz w:val="24"/>
          <w:szCs w:val="24"/>
        </w:rPr>
        <w:t>de dégradation de</w:t>
      </w:r>
      <w:r w:rsidR="0053136B">
        <w:rPr>
          <w:rFonts w:ascii="Times New Roman" w:hAnsi="Times New Roman"/>
          <w:sz w:val="24"/>
          <w:szCs w:val="24"/>
        </w:rPr>
        <w:t xml:space="preserve">s </w:t>
      </w:r>
      <w:r w:rsidRPr="003E743A">
        <w:rPr>
          <w:rFonts w:ascii="Times New Roman" w:hAnsi="Times New Roman"/>
          <w:sz w:val="24"/>
          <w:szCs w:val="24"/>
        </w:rPr>
        <w:t>eau</w:t>
      </w:r>
      <w:r w:rsidR="0053136B">
        <w:rPr>
          <w:rFonts w:ascii="Times New Roman" w:hAnsi="Times New Roman"/>
          <w:sz w:val="24"/>
          <w:szCs w:val="24"/>
        </w:rPr>
        <w:t>x de surface et souterrain</w:t>
      </w:r>
      <w:r w:rsidRPr="003E743A">
        <w:rPr>
          <w:rFonts w:ascii="Times New Roman" w:hAnsi="Times New Roman"/>
          <w:sz w:val="24"/>
          <w:szCs w:val="24"/>
        </w:rPr>
        <w:t>, la perte de végétation dues aux déboisements pour dégager les emprises,</w:t>
      </w:r>
      <w:r w:rsidR="00D22E84">
        <w:rPr>
          <w:rFonts w:ascii="Times New Roman" w:hAnsi="Times New Roman"/>
          <w:sz w:val="24"/>
          <w:szCs w:val="24"/>
        </w:rPr>
        <w:t xml:space="preserve"> etc. </w:t>
      </w:r>
    </w:p>
    <w:tbl>
      <w:tblPr>
        <w:tblpPr w:leftFromText="141" w:rightFromText="141" w:vertAnchor="text" w:horzAnchor="margin" w:tblpXSpec="right" w:tblpY="439"/>
        <w:tblW w:w="3153" w:type="dxa"/>
        <w:tblBorders>
          <w:top w:val="single" w:sz="4" w:space="0" w:color="auto"/>
          <w:left w:val="dashDotStroked" w:sz="24" w:space="0" w:color="auto"/>
          <w:bottom w:val="dashDotStroked" w:sz="24" w:space="0" w:color="auto"/>
          <w:right w:val="dashDotStroked" w:sz="24" w:space="0" w:color="auto"/>
          <w:insideH w:val="single" w:sz="4" w:space="0" w:color="auto"/>
          <w:insideV w:val="dashDotStroked" w:sz="24" w:space="0" w:color="auto"/>
        </w:tblBorders>
        <w:tblLook w:val="04A0" w:firstRow="1" w:lastRow="0" w:firstColumn="1" w:lastColumn="0" w:noHBand="0" w:noVBand="1"/>
      </w:tblPr>
      <w:tblGrid>
        <w:gridCol w:w="1507"/>
        <w:gridCol w:w="1190"/>
        <w:gridCol w:w="456"/>
      </w:tblGrid>
      <w:tr w:rsidR="00AD1D11" w:rsidRPr="00AA45E9" w:rsidTr="00FC410F">
        <w:tc>
          <w:tcPr>
            <w:tcW w:w="3153" w:type="dxa"/>
            <w:gridSpan w:val="3"/>
            <w:tcBorders>
              <w:bottom w:val="single" w:sz="4" w:space="0" w:color="auto"/>
            </w:tcBorders>
            <w:shd w:val="clear" w:color="auto" w:fill="002060"/>
          </w:tcPr>
          <w:p w:rsidR="00AD1D11" w:rsidRPr="00867483" w:rsidRDefault="00AD1D11" w:rsidP="00FC410F">
            <w:pPr>
              <w:spacing w:after="0" w:line="240" w:lineRule="auto"/>
              <w:jc w:val="center"/>
              <w:rPr>
                <w:rFonts w:ascii="Times New Roman" w:hAnsi="Times New Roman"/>
                <w:b/>
                <w:sz w:val="24"/>
                <w:szCs w:val="24"/>
              </w:rPr>
            </w:pPr>
            <w:r w:rsidRPr="00867483">
              <w:rPr>
                <w:rFonts w:ascii="Times New Roman" w:hAnsi="Times New Roman"/>
                <w:b/>
                <w:sz w:val="24"/>
                <w:szCs w:val="24"/>
              </w:rPr>
              <w:t>Caractérisation de l’impact</w:t>
            </w:r>
          </w:p>
        </w:tc>
      </w:tr>
      <w:tr w:rsidR="00E96A04" w:rsidRPr="00AA45E9" w:rsidTr="00247507">
        <w:tc>
          <w:tcPr>
            <w:tcW w:w="1507" w:type="dxa"/>
            <w:tcBorders>
              <w:bottom w:val="single" w:sz="4" w:space="0" w:color="auto"/>
              <w:right w:val="single" w:sz="4" w:space="0" w:color="auto"/>
            </w:tcBorders>
            <w:shd w:val="clear" w:color="auto" w:fill="002060"/>
          </w:tcPr>
          <w:p w:rsidR="00E96A04" w:rsidRPr="00AA45E9" w:rsidRDefault="00E96A04" w:rsidP="00FC410F">
            <w:pPr>
              <w:spacing w:after="0" w:line="240" w:lineRule="auto"/>
              <w:jc w:val="center"/>
              <w:rPr>
                <w:rFonts w:ascii="Times New Roman" w:hAnsi="Times New Roman"/>
                <w:b/>
                <w:sz w:val="24"/>
                <w:szCs w:val="24"/>
              </w:rPr>
            </w:pPr>
            <w:r>
              <w:rPr>
                <w:rFonts w:ascii="Times New Roman" w:hAnsi="Times New Roman"/>
                <w:b/>
                <w:sz w:val="24"/>
                <w:szCs w:val="24"/>
              </w:rPr>
              <w:t xml:space="preserve">Nature </w:t>
            </w:r>
          </w:p>
        </w:tc>
        <w:tc>
          <w:tcPr>
            <w:tcW w:w="1646" w:type="dxa"/>
            <w:gridSpan w:val="2"/>
            <w:tcBorders>
              <w:left w:val="single" w:sz="4" w:space="0" w:color="auto"/>
              <w:bottom w:val="single" w:sz="4" w:space="0" w:color="auto"/>
            </w:tcBorders>
            <w:shd w:val="clear" w:color="auto" w:fill="auto"/>
          </w:tcPr>
          <w:p w:rsidR="00E96A04" w:rsidRPr="00867483" w:rsidRDefault="00E96A04" w:rsidP="00FC410F">
            <w:pPr>
              <w:spacing w:after="0" w:line="240" w:lineRule="auto"/>
              <w:jc w:val="center"/>
              <w:rPr>
                <w:rFonts w:ascii="Times New Roman" w:hAnsi="Times New Roman"/>
                <w:sz w:val="24"/>
                <w:szCs w:val="24"/>
              </w:rPr>
            </w:pPr>
            <w:r w:rsidRPr="00E96A04">
              <w:rPr>
                <w:rFonts w:ascii="Times New Roman" w:hAnsi="Times New Roman"/>
                <w:b/>
                <w:sz w:val="24"/>
                <w:szCs w:val="24"/>
              </w:rPr>
              <w:t>Négatif</w:t>
            </w:r>
          </w:p>
        </w:tc>
      </w:tr>
      <w:tr w:rsidR="00AD1D11" w:rsidRPr="00AA45E9" w:rsidTr="00FC410F">
        <w:tc>
          <w:tcPr>
            <w:tcW w:w="1507" w:type="dxa"/>
            <w:tcBorders>
              <w:bottom w:val="single" w:sz="4" w:space="0" w:color="auto"/>
              <w:right w:val="single" w:sz="4" w:space="0" w:color="auto"/>
            </w:tcBorders>
            <w:shd w:val="clear" w:color="auto" w:fill="002060"/>
          </w:tcPr>
          <w:p w:rsidR="00AD1D11" w:rsidRPr="00AA45E9" w:rsidRDefault="00AD1D11" w:rsidP="00FC410F">
            <w:pPr>
              <w:spacing w:after="0" w:line="240" w:lineRule="auto"/>
              <w:jc w:val="center"/>
              <w:rPr>
                <w:rFonts w:ascii="Times New Roman" w:hAnsi="Times New Roman"/>
                <w:b/>
                <w:sz w:val="24"/>
                <w:szCs w:val="24"/>
              </w:rPr>
            </w:pPr>
            <w:r w:rsidRPr="00AA45E9">
              <w:rPr>
                <w:rFonts w:ascii="Times New Roman" w:hAnsi="Times New Roman"/>
                <w:b/>
                <w:sz w:val="24"/>
                <w:szCs w:val="24"/>
              </w:rPr>
              <w:t>Intensité</w:t>
            </w:r>
          </w:p>
        </w:tc>
        <w:tc>
          <w:tcPr>
            <w:tcW w:w="1190" w:type="dxa"/>
            <w:tcBorders>
              <w:left w:val="single" w:sz="4" w:space="0" w:color="auto"/>
              <w:bottom w:val="single" w:sz="4" w:space="0" w:color="auto"/>
              <w:right w:val="single" w:sz="4" w:space="0" w:color="auto"/>
            </w:tcBorders>
            <w:shd w:val="clear" w:color="auto" w:fill="auto"/>
          </w:tcPr>
          <w:p w:rsidR="00AD1D11" w:rsidRPr="00867483" w:rsidRDefault="00D96D77" w:rsidP="00FC410F">
            <w:pPr>
              <w:spacing w:after="0" w:line="240" w:lineRule="auto"/>
              <w:jc w:val="center"/>
              <w:rPr>
                <w:rFonts w:ascii="Times New Roman" w:hAnsi="Times New Roman"/>
                <w:sz w:val="24"/>
                <w:szCs w:val="24"/>
              </w:rPr>
            </w:pPr>
            <w:r>
              <w:rPr>
                <w:rFonts w:ascii="Times New Roman" w:hAnsi="Times New Roman"/>
                <w:sz w:val="24"/>
                <w:szCs w:val="24"/>
              </w:rPr>
              <w:t>Moyenne</w:t>
            </w:r>
          </w:p>
        </w:tc>
        <w:tc>
          <w:tcPr>
            <w:tcW w:w="456" w:type="dxa"/>
            <w:tcBorders>
              <w:left w:val="single" w:sz="4" w:space="0" w:color="auto"/>
              <w:bottom w:val="single" w:sz="4" w:space="0" w:color="auto"/>
            </w:tcBorders>
            <w:shd w:val="clear" w:color="auto" w:fill="auto"/>
          </w:tcPr>
          <w:p w:rsidR="00AD1D11" w:rsidRPr="00867483" w:rsidRDefault="00D96D77" w:rsidP="00FC410F">
            <w:pPr>
              <w:spacing w:after="0" w:line="240" w:lineRule="auto"/>
              <w:jc w:val="center"/>
              <w:rPr>
                <w:rFonts w:ascii="Times New Roman" w:hAnsi="Times New Roman"/>
                <w:sz w:val="24"/>
                <w:szCs w:val="24"/>
              </w:rPr>
            </w:pPr>
            <w:r>
              <w:rPr>
                <w:rFonts w:ascii="Times New Roman" w:hAnsi="Times New Roman"/>
                <w:sz w:val="24"/>
                <w:szCs w:val="24"/>
              </w:rPr>
              <w:t>3</w:t>
            </w:r>
          </w:p>
        </w:tc>
      </w:tr>
      <w:tr w:rsidR="00AD1D11" w:rsidRPr="00AA45E9" w:rsidTr="00FC410F">
        <w:tc>
          <w:tcPr>
            <w:tcW w:w="1507" w:type="dxa"/>
            <w:tcBorders>
              <w:bottom w:val="single" w:sz="4" w:space="0" w:color="auto"/>
              <w:right w:val="single" w:sz="4" w:space="0" w:color="auto"/>
            </w:tcBorders>
            <w:shd w:val="clear" w:color="auto" w:fill="002060"/>
          </w:tcPr>
          <w:p w:rsidR="00AD1D11" w:rsidRPr="00AA45E9" w:rsidRDefault="00AD1D11" w:rsidP="00FC410F">
            <w:pPr>
              <w:spacing w:after="0" w:line="240" w:lineRule="auto"/>
              <w:jc w:val="center"/>
              <w:rPr>
                <w:rFonts w:ascii="Times New Roman" w:hAnsi="Times New Roman"/>
                <w:sz w:val="24"/>
                <w:szCs w:val="24"/>
              </w:rPr>
            </w:pPr>
            <w:r w:rsidRPr="00AA45E9">
              <w:rPr>
                <w:rFonts w:ascii="Times New Roman" w:hAnsi="Times New Roman"/>
                <w:b/>
                <w:sz w:val="24"/>
                <w:szCs w:val="24"/>
              </w:rPr>
              <w:t>Etendue</w:t>
            </w:r>
          </w:p>
        </w:tc>
        <w:tc>
          <w:tcPr>
            <w:tcW w:w="1190" w:type="dxa"/>
            <w:tcBorders>
              <w:left w:val="single" w:sz="4" w:space="0" w:color="auto"/>
              <w:bottom w:val="single" w:sz="4" w:space="0" w:color="auto"/>
              <w:right w:val="single" w:sz="4" w:space="0" w:color="auto"/>
            </w:tcBorders>
          </w:tcPr>
          <w:p w:rsidR="00AD1D11" w:rsidRPr="00867483" w:rsidRDefault="00D96D77" w:rsidP="00FC410F">
            <w:pPr>
              <w:spacing w:after="0" w:line="240" w:lineRule="auto"/>
              <w:jc w:val="center"/>
              <w:rPr>
                <w:rFonts w:ascii="Times New Roman" w:hAnsi="Times New Roman"/>
                <w:sz w:val="24"/>
                <w:szCs w:val="24"/>
              </w:rPr>
            </w:pPr>
            <w:r>
              <w:rPr>
                <w:rFonts w:ascii="Times New Roman" w:hAnsi="Times New Roman"/>
                <w:sz w:val="24"/>
                <w:szCs w:val="24"/>
              </w:rPr>
              <w:t>Locale</w:t>
            </w:r>
          </w:p>
        </w:tc>
        <w:tc>
          <w:tcPr>
            <w:tcW w:w="456" w:type="dxa"/>
            <w:tcBorders>
              <w:left w:val="single" w:sz="4" w:space="0" w:color="auto"/>
              <w:bottom w:val="single" w:sz="4" w:space="0" w:color="auto"/>
            </w:tcBorders>
          </w:tcPr>
          <w:p w:rsidR="00AD1D11" w:rsidRPr="00867483" w:rsidRDefault="00D96D77" w:rsidP="00FC410F">
            <w:pPr>
              <w:spacing w:after="0" w:line="240" w:lineRule="auto"/>
              <w:jc w:val="center"/>
              <w:rPr>
                <w:rFonts w:ascii="Times New Roman" w:hAnsi="Times New Roman"/>
                <w:sz w:val="24"/>
                <w:szCs w:val="24"/>
              </w:rPr>
            </w:pPr>
            <w:r>
              <w:rPr>
                <w:rFonts w:ascii="Times New Roman" w:hAnsi="Times New Roman"/>
                <w:sz w:val="24"/>
                <w:szCs w:val="24"/>
              </w:rPr>
              <w:t>3</w:t>
            </w:r>
          </w:p>
        </w:tc>
      </w:tr>
      <w:tr w:rsidR="00AD1D11" w:rsidRPr="00AA45E9" w:rsidTr="00FC410F">
        <w:tc>
          <w:tcPr>
            <w:tcW w:w="1507" w:type="dxa"/>
            <w:tcBorders>
              <w:bottom w:val="single" w:sz="4" w:space="0" w:color="auto"/>
              <w:right w:val="single" w:sz="4" w:space="0" w:color="auto"/>
            </w:tcBorders>
            <w:shd w:val="clear" w:color="auto" w:fill="002060"/>
          </w:tcPr>
          <w:p w:rsidR="00AD1D11" w:rsidRDefault="00AD1D11" w:rsidP="00FC410F">
            <w:pPr>
              <w:spacing w:after="0" w:line="240" w:lineRule="auto"/>
              <w:jc w:val="center"/>
              <w:rPr>
                <w:rFonts w:ascii="Times New Roman" w:hAnsi="Times New Roman"/>
                <w:sz w:val="24"/>
                <w:szCs w:val="24"/>
              </w:rPr>
            </w:pPr>
            <w:r w:rsidRPr="00AA45E9">
              <w:rPr>
                <w:rFonts w:ascii="Times New Roman" w:hAnsi="Times New Roman"/>
                <w:b/>
                <w:sz w:val="24"/>
                <w:szCs w:val="24"/>
              </w:rPr>
              <w:t>Durée</w:t>
            </w:r>
          </w:p>
        </w:tc>
        <w:tc>
          <w:tcPr>
            <w:tcW w:w="1190" w:type="dxa"/>
            <w:tcBorders>
              <w:left w:val="single" w:sz="4" w:space="0" w:color="auto"/>
              <w:bottom w:val="single" w:sz="4" w:space="0" w:color="auto"/>
              <w:right w:val="single" w:sz="4" w:space="0" w:color="auto"/>
            </w:tcBorders>
          </w:tcPr>
          <w:p w:rsidR="00AD1D11" w:rsidRPr="00867483" w:rsidRDefault="00D96D77" w:rsidP="00D96D77">
            <w:pPr>
              <w:spacing w:after="0" w:line="240" w:lineRule="auto"/>
              <w:jc w:val="center"/>
              <w:rPr>
                <w:rFonts w:ascii="Times New Roman" w:hAnsi="Times New Roman"/>
                <w:sz w:val="24"/>
                <w:szCs w:val="24"/>
              </w:rPr>
            </w:pPr>
            <w:r>
              <w:rPr>
                <w:rFonts w:ascii="Times New Roman" w:hAnsi="Times New Roman"/>
                <w:sz w:val="24"/>
                <w:szCs w:val="24"/>
              </w:rPr>
              <w:t>Courte</w:t>
            </w:r>
          </w:p>
        </w:tc>
        <w:tc>
          <w:tcPr>
            <w:tcW w:w="456" w:type="dxa"/>
            <w:tcBorders>
              <w:left w:val="single" w:sz="4" w:space="0" w:color="auto"/>
              <w:bottom w:val="single" w:sz="4" w:space="0" w:color="auto"/>
            </w:tcBorders>
          </w:tcPr>
          <w:p w:rsidR="00AD1D11" w:rsidRPr="00867483" w:rsidRDefault="00AD1D11" w:rsidP="00FC410F">
            <w:pPr>
              <w:spacing w:after="0" w:line="240" w:lineRule="auto"/>
              <w:jc w:val="center"/>
              <w:rPr>
                <w:rFonts w:ascii="Times New Roman" w:hAnsi="Times New Roman"/>
                <w:sz w:val="24"/>
                <w:szCs w:val="24"/>
              </w:rPr>
            </w:pPr>
            <w:r w:rsidRPr="00867483">
              <w:rPr>
                <w:rFonts w:ascii="Times New Roman" w:hAnsi="Times New Roman"/>
                <w:sz w:val="24"/>
                <w:szCs w:val="24"/>
              </w:rPr>
              <w:t>1</w:t>
            </w:r>
          </w:p>
        </w:tc>
      </w:tr>
      <w:tr w:rsidR="00AD1D11" w:rsidRPr="00AA45E9" w:rsidTr="00FC410F">
        <w:tc>
          <w:tcPr>
            <w:tcW w:w="3153" w:type="dxa"/>
            <w:gridSpan w:val="3"/>
            <w:tcBorders>
              <w:bottom w:val="single" w:sz="4" w:space="0" w:color="auto"/>
            </w:tcBorders>
            <w:shd w:val="clear" w:color="auto" w:fill="FFFFFF" w:themeFill="background1"/>
          </w:tcPr>
          <w:p w:rsidR="00AD1D11" w:rsidRPr="00867483" w:rsidRDefault="00AD1D11" w:rsidP="00FC410F">
            <w:pPr>
              <w:spacing w:after="0" w:line="240" w:lineRule="auto"/>
              <w:jc w:val="center"/>
              <w:rPr>
                <w:rFonts w:ascii="Times New Roman" w:hAnsi="Times New Roman"/>
                <w:sz w:val="6"/>
                <w:szCs w:val="6"/>
              </w:rPr>
            </w:pPr>
          </w:p>
        </w:tc>
      </w:tr>
      <w:tr w:rsidR="00AD1D11" w:rsidRPr="00AA45E9" w:rsidTr="00D96D77">
        <w:tc>
          <w:tcPr>
            <w:tcW w:w="1507" w:type="dxa"/>
            <w:tcBorders>
              <w:bottom w:val="dashDotStroked" w:sz="24" w:space="0" w:color="auto"/>
              <w:right w:val="single" w:sz="4" w:space="0" w:color="auto"/>
            </w:tcBorders>
            <w:shd w:val="clear" w:color="auto" w:fill="002060"/>
          </w:tcPr>
          <w:p w:rsidR="00AD1D11" w:rsidRPr="00AA45E9" w:rsidRDefault="00AD1D11" w:rsidP="00FC410F">
            <w:pPr>
              <w:spacing w:after="0" w:line="240" w:lineRule="auto"/>
              <w:jc w:val="center"/>
              <w:rPr>
                <w:rFonts w:ascii="Times New Roman" w:hAnsi="Times New Roman"/>
                <w:b/>
                <w:sz w:val="24"/>
                <w:szCs w:val="24"/>
              </w:rPr>
            </w:pPr>
            <w:r w:rsidRPr="00AA45E9">
              <w:rPr>
                <w:rFonts w:ascii="Times New Roman" w:hAnsi="Times New Roman"/>
                <w:b/>
                <w:sz w:val="24"/>
                <w:szCs w:val="24"/>
              </w:rPr>
              <w:t>Importance</w:t>
            </w:r>
          </w:p>
        </w:tc>
        <w:tc>
          <w:tcPr>
            <w:tcW w:w="1190" w:type="dxa"/>
            <w:tcBorders>
              <w:left w:val="single" w:sz="4" w:space="0" w:color="auto"/>
              <w:bottom w:val="dashDotStroked" w:sz="24" w:space="0" w:color="auto"/>
              <w:right w:val="single" w:sz="4" w:space="0" w:color="auto"/>
            </w:tcBorders>
            <w:shd w:val="clear" w:color="auto" w:fill="92D050"/>
          </w:tcPr>
          <w:p w:rsidR="00AD1D11" w:rsidRPr="008E6D9C" w:rsidRDefault="00D96D77" w:rsidP="00FC410F">
            <w:pPr>
              <w:spacing w:after="0" w:line="240" w:lineRule="auto"/>
              <w:jc w:val="center"/>
              <w:rPr>
                <w:rFonts w:ascii="Times New Roman" w:hAnsi="Times New Roman"/>
                <w:b/>
                <w:sz w:val="24"/>
                <w:szCs w:val="24"/>
              </w:rPr>
            </w:pPr>
            <w:r>
              <w:rPr>
                <w:rFonts w:ascii="Times New Roman" w:hAnsi="Times New Roman"/>
                <w:b/>
                <w:sz w:val="24"/>
                <w:szCs w:val="24"/>
              </w:rPr>
              <w:t>Mineure</w:t>
            </w:r>
          </w:p>
        </w:tc>
        <w:tc>
          <w:tcPr>
            <w:tcW w:w="456" w:type="dxa"/>
            <w:tcBorders>
              <w:left w:val="single" w:sz="4" w:space="0" w:color="auto"/>
              <w:bottom w:val="dashDotStroked" w:sz="24" w:space="0" w:color="auto"/>
            </w:tcBorders>
            <w:shd w:val="clear" w:color="auto" w:fill="92D050"/>
          </w:tcPr>
          <w:p w:rsidR="00AD1D11" w:rsidRPr="008E6D9C" w:rsidRDefault="00D96D77" w:rsidP="00FC410F">
            <w:pPr>
              <w:spacing w:after="0" w:line="240" w:lineRule="auto"/>
              <w:jc w:val="center"/>
              <w:rPr>
                <w:rFonts w:ascii="Times New Roman" w:hAnsi="Times New Roman"/>
                <w:b/>
                <w:sz w:val="24"/>
                <w:szCs w:val="24"/>
              </w:rPr>
            </w:pPr>
            <w:r>
              <w:rPr>
                <w:rFonts w:ascii="Times New Roman" w:hAnsi="Times New Roman"/>
                <w:b/>
                <w:sz w:val="24"/>
                <w:szCs w:val="24"/>
              </w:rPr>
              <w:t>9</w:t>
            </w:r>
          </w:p>
        </w:tc>
      </w:tr>
    </w:tbl>
    <w:p w:rsidR="00F34378" w:rsidRDefault="00E86B2D" w:rsidP="00FA3FAE">
      <w:pPr>
        <w:pStyle w:val="PargrafodaLista"/>
        <w:numPr>
          <w:ilvl w:val="0"/>
          <w:numId w:val="41"/>
        </w:numPr>
        <w:pBdr>
          <w:bottom w:val="dashDotStroked" w:sz="24" w:space="1" w:color="auto"/>
        </w:pBdr>
        <w:jc w:val="both"/>
        <w:rPr>
          <w:rFonts w:ascii="Times New Roman" w:hAnsi="Times New Roman"/>
          <w:b/>
          <w:sz w:val="24"/>
          <w:szCs w:val="24"/>
        </w:rPr>
      </w:pPr>
      <w:r w:rsidRPr="008103F9">
        <w:rPr>
          <w:rFonts w:ascii="Times New Roman" w:hAnsi="Times New Roman"/>
          <w:b/>
          <w:sz w:val="24"/>
          <w:szCs w:val="24"/>
        </w:rPr>
        <w:t>Impacts négatifs attendus sur la qualité de l’air</w:t>
      </w:r>
    </w:p>
    <w:p w:rsidR="009A2E92" w:rsidRDefault="009A2E92" w:rsidP="009A2E92">
      <w:pPr>
        <w:pStyle w:val="Listecouleur-Accent11"/>
        <w:ind w:left="0"/>
        <w:rPr>
          <w:rFonts w:ascii="Times New Roman" w:hAnsi="Times New Roman"/>
          <w:color w:val="000000"/>
          <w:sz w:val="24"/>
          <w:szCs w:val="24"/>
          <w:lang w:val="fr-FR"/>
        </w:rPr>
      </w:pPr>
      <w:r w:rsidRPr="009A2E92">
        <w:rPr>
          <w:rFonts w:ascii="Times New Roman" w:hAnsi="Times New Roman"/>
          <w:color w:val="000000"/>
          <w:sz w:val="24"/>
          <w:szCs w:val="24"/>
          <w:lang w:val="fr-FR"/>
        </w:rPr>
        <w:t xml:space="preserve">La qualité de l’air sera également sensiblement exposée par les émissions de poussière durant la préparation des emprises, les travaux de fouille, d’excavation et de remblaiement, la préparation du béton pour les travaux de </w:t>
      </w:r>
      <w:r w:rsidR="00741ACB" w:rsidRPr="009A2E92">
        <w:rPr>
          <w:rFonts w:ascii="Times New Roman" w:hAnsi="Times New Roman"/>
          <w:color w:val="000000"/>
          <w:sz w:val="24"/>
          <w:szCs w:val="24"/>
          <w:lang w:val="fr-FR"/>
        </w:rPr>
        <w:t>génie civil et la circulation des</w:t>
      </w:r>
      <w:r w:rsidRPr="009A2E92">
        <w:rPr>
          <w:rFonts w:ascii="Times New Roman" w:hAnsi="Times New Roman"/>
          <w:color w:val="000000"/>
          <w:sz w:val="24"/>
          <w:szCs w:val="24"/>
          <w:lang w:val="fr-FR"/>
        </w:rPr>
        <w:t xml:space="preserve"> </w:t>
      </w:r>
      <w:r w:rsidR="00741ACB" w:rsidRPr="009A2E92">
        <w:rPr>
          <w:rFonts w:ascii="Times New Roman" w:hAnsi="Times New Roman"/>
          <w:color w:val="000000"/>
          <w:sz w:val="24"/>
          <w:szCs w:val="24"/>
          <w:lang w:val="fr-FR"/>
        </w:rPr>
        <w:t xml:space="preserve">engins </w:t>
      </w:r>
      <w:r w:rsidR="005948E9" w:rsidRPr="009A2E92">
        <w:rPr>
          <w:rFonts w:ascii="Times New Roman" w:hAnsi="Times New Roman"/>
          <w:color w:val="000000"/>
          <w:sz w:val="24"/>
          <w:szCs w:val="24"/>
          <w:lang w:val="fr-FR"/>
        </w:rPr>
        <w:t>de construction</w:t>
      </w:r>
      <w:r w:rsidRPr="009A2E92">
        <w:rPr>
          <w:rFonts w:ascii="Times New Roman" w:hAnsi="Times New Roman"/>
          <w:color w:val="000000"/>
          <w:sz w:val="24"/>
          <w:szCs w:val="24"/>
          <w:lang w:val="fr-FR"/>
        </w:rPr>
        <w:t xml:space="preserve">.  </w:t>
      </w:r>
      <w:r w:rsidR="00741ACB" w:rsidRPr="009A2E92">
        <w:rPr>
          <w:rFonts w:ascii="Times New Roman" w:hAnsi="Times New Roman"/>
          <w:color w:val="000000"/>
          <w:sz w:val="24"/>
          <w:szCs w:val="24"/>
          <w:lang w:val="fr-FR"/>
        </w:rPr>
        <w:t>Les émissions de poussières</w:t>
      </w:r>
      <w:r w:rsidR="00741ACB">
        <w:rPr>
          <w:rFonts w:ascii="Times New Roman" w:hAnsi="Times New Roman"/>
          <w:color w:val="000000"/>
          <w:sz w:val="24"/>
          <w:szCs w:val="24"/>
          <w:lang w:val="fr-FR"/>
        </w:rPr>
        <w:t xml:space="preserve"> </w:t>
      </w:r>
      <w:r w:rsidRPr="009A2E92">
        <w:rPr>
          <w:rFonts w:ascii="Times New Roman" w:hAnsi="Times New Roman"/>
          <w:color w:val="000000"/>
          <w:sz w:val="24"/>
          <w:szCs w:val="24"/>
          <w:lang w:val="fr-FR"/>
        </w:rPr>
        <w:t xml:space="preserve">peuvent être à </w:t>
      </w:r>
      <w:r w:rsidR="005948E9" w:rsidRPr="009A2E92">
        <w:rPr>
          <w:rFonts w:ascii="Times New Roman" w:hAnsi="Times New Roman"/>
          <w:color w:val="000000"/>
          <w:sz w:val="24"/>
          <w:szCs w:val="24"/>
          <w:lang w:val="fr-FR"/>
        </w:rPr>
        <w:t>la base</w:t>
      </w:r>
      <w:r w:rsidRPr="009A2E92">
        <w:rPr>
          <w:rFonts w:ascii="Times New Roman" w:hAnsi="Times New Roman"/>
          <w:color w:val="000000"/>
          <w:sz w:val="24"/>
          <w:szCs w:val="24"/>
          <w:lang w:val="fr-FR"/>
        </w:rPr>
        <w:t xml:space="preserve"> d’infections pulmonaires sur le personnel de chantier et requièrent des mesures pour en atténuer l’impact.</w:t>
      </w:r>
    </w:p>
    <w:p w:rsidR="00741ACB" w:rsidRPr="009A2E92" w:rsidRDefault="00741ACB" w:rsidP="009A2E92">
      <w:pPr>
        <w:pStyle w:val="Listecouleur-Accent11"/>
        <w:ind w:left="0"/>
        <w:rPr>
          <w:rFonts w:ascii="Times New Roman" w:hAnsi="Times New Roman"/>
          <w:color w:val="000000"/>
          <w:sz w:val="24"/>
          <w:szCs w:val="24"/>
          <w:lang w:val="fr-FR"/>
        </w:rPr>
      </w:pPr>
    </w:p>
    <w:p w:rsidR="009A2E92" w:rsidRDefault="00741ACB" w:rsidP="009A2E92">
      <w:pPr>
        <w:pStyle w:val="Listecouleur-Accent11"/>
        <w:ind w:left="0"/>
        <w:rPr>
          <w:rFonts w:ascii="Times New Roman" w:hAnsi="Times New Roman"/>
          <w:color w:val="000000"/>
          <w:sz w:val="24"/>
          <w:szCs w:val="24"/>
          <w:lang w:val="fr-FR"/>
        </w:rPr>
      </w:pPr>
      <w:r w:rsidRPr="009A2E92">
        <w:rPr>
          <w:rFonts w:ascii="Times New Roman" w:hAnsi="Times New Roman"/>
          <w:color w:val="000000"/>
          <w:sz w:val="24"/>
          <w:szCs w:val="24"/>
          <w:lang w:val="fr-FR"/>
        </w:rPr>
        <w:t>La pollution</w:t>
      </w:r>
      <w:r>
        <w:rPr>
          <w:rFonts w:ascii="Times New Roman" w:hAnsi="Times New Roman"/>
          <w:color w:val="000000"/>
          <w:sz w:val="24"/>
          <w:szCs w:val="24"/>
          <w:lang w:val="fr-FR"/>
        </w:rPr>
        <w:t xml:space="preserve"> </w:t>
      </w:r>
      <w:r w:rsidR="005948E9" w:rsidRPr="009A2E92">
        <w:rPr>
          <w:rFonts w:ascii="Times New Roman" w:hAnsi="Times New Roman"/>
          <w:color w:val="000000"/>
          <w:sz w:val="24"/>
          <w:szCs w:val="24"/>
          <w:lang w:val="fr-FR"/>
        </w:rPr>
        <w:t xml:space="preserve">atmosphérique est </w:t>
      </w:r>
      <w:r w:rsidR="001212DC" w:rsidRPr="009A2E92">
        <w:rPr>
          <w:rFonts w:ascii="Times New Roman" w:hAnsi="Times New Roman"/>
          <w:color w:val="000000"/>
          <w:sz w:val="24"/>
          <w:szCs w:val="24"/>
          <w:lang w:val="fr-FR"/>
        </w:rPr>
        <w:t>la résultante d’émissions de poussières dans l’atmosphère causées par les</w:t>
      </w:r>
      <w:r w:rsidR="009A2E92" w:rsidRPr="009A2E92">
        <w:rPr>
          <w:rFonts w:ascii="Times New Roman" w:hAnsi="Times New Roman"/>
          <w:color w:val="000000"/>
          <w:sz w:val="24"/>
          <w:szCs w:val="24"/>
          <w:lang w:val="fr-FR"/>
        </w:rPr>
        <w:t xml:space="preserve"> engins et véhicules de chantier (S02, NOx, CO, C02 et HC), les travaux d’excavation et de transport de sables et de matériaux divers sur site par des camions non couverts. </w:t>
      </w:r>
    </w:p>
    <w:p w:rsidR="00741ACB" w:rsidRPr="009A2E92" w:rsidRDefault="00741ACB" w:rsidP="009A2E92">
      <w:pPr>
        <w:pStyle w:val="Listecouleur-Accent11"/>
        <w:ind w:left="0"/>
        <w:rPr>
          <w:rFonts w:ascii="Times New Roman" w:hAnsi="Times New Roman"/>
          <w:color w:val="000000"/>
          <w:sz w:val="24"/>
          <w:szCs w:val="24"/>
          <w:lang w:val="fr-FR"/>
        </w:rPr>
      </w:pPr>
    </w:p>
    <w:p w:rsidR="009A2E92" w:rsidRDefault="009A2E92" w:rsidP="009A2E92">
      <w:pPr>
        <w:pStyle w:val="Listecouleur-Accent11"/>
        <w:ind w:left="0"/>
        <w:rPr>
          <w:rFonts w:ascii="Times New Roman" w:hAnsi="Times New Roman"/>
          <w:color w:val="000000"/>
          <w:sz w:val="24"/>
          <w:szCs w:val="24"/>
          <w:lang w:val="fr-FR"/>
        </w:rPr>
      </w:pPr>
      <w:r w:rsidRPr="009A2E92">
        <w:rPr>
          <w:rFonts w:ascii="Times New Roman" w:hAnsi="Times New Roman"/>
          <w:color w:val="000000"/>
          <w:sz w:val="24"/>
          <w:szCs w:val="24"/>
          <w:lang w:val="fr-FR"/>
        </w:rPr>
        <w:t>La propagation de ces poussières sera</w:t>
      </w:r>
      <w:r>
        <w:rPr>
          <w:rFonts w:ascii="Times New Roman" w:hAnsi="Times New Roman"/>
          <w:color w:val="000000"/>
          <w:sz w:val="24"/>
          <w:szCs w:val="24"/>
          <w:lang w:val="fr-FR"/>
        </w:rPr>
        <w:t xml:space="preserve"> également accentuée par un temps </w:t>
      </w:r>
      <w:r w:rsidR="00741ACB" w:rsidRPr="009A2E92">
        <w:rPr>
          <w:rFonts w:ascii="Times New Roman" w:hAnsi="Times New Roman"/>
          <w:color w:val="000000"/>
          <w:sz w:val="24"/>
          <w:szCs w:val="24"/>
          <w:lang w:val="fr-FR"/>
        </w:rPr>
        <w:t>venteux et sec</w:t>
      </w:r>
      <w:r w:rsidRPr="009A2E92">
        <w:rPr>
          <w:rFonts w:ascii="Times New Roman" w:hAnsi="Times New Roman"/>
          <w:color w:val="000000"/>
          <w:sz w:val="24"/>
          <w:szCs w:val="24"/>
          <w:lang w:val="fr-FR"/>
        </w:rPr>
        <w:t xml:space="preserve">.  L’activité de construction génère principalement de grosses poussières (avec un diamètre aérodynamique supérieur à </w:t>
      </w:r>
      <w:r w:rsidRPr="009A2E92">
        <w:rPr>
          <w:rFonts w:ascii="Times New Roman" w:hAnsi="Times New Roman"/>
          <w:color w:val="000000"/>
          <w:sz w:val="24"/>
          <w:szCs w:val="24"/>
          <w:lang w:val="fr-FR"/>
        </w:rPr>
        <w:lastRenderedPageBreak/>
        <w:t xml:space="preserve">10 μm) et une petite quantité de fines poussières et d’aérosols. Les principales sources de grosses poussières sont les activités de démolition, les travaux de terrassement et l’entreposage de sable fin. Elles se diffusent uniquement au niveau local et leur diffusion est limitée à un nombre d’activités spécifiques dans le temps et dans l’espace. </w:t>
      </w:r>
    </w:p>
    <w:p w:rsidR="009A2E92" w:rsidRPr="009A2E92" w:rsidRDefault="009A2E92" w:rsidP="009A2E92">
      <w:pPr>
        <w:pStyle w:val="Listecouleur-Accent11"/>
        <w:ind w:left="0"/>
        <w:rPr>
          <w:rFonts w:ascii="Times New Roman" w:hAnsi="Times New Roman"/>
          <w:color w:val="000000"/>
          <w:sz w:val="24"/>
          <w:szCs w:val="24"/>
          <w:lang w:val="fr-FR"/>
        </w:rPr>
      </w:pPr>
    </w:p>
    <w:p w:rsidR="00B8529E" w:rsidRDefault="009A2E92" w:rsidP="009A2E92">
      <w:pPr>
        <w:pStyle w:val="Listecouleur-Accent11"/>
        <w:ind w:left="0"/>
        <w:rPr>
          <w:rFonts w:ascii="Times New Roman" w:hAnsi="Times New Roman"/>
          <w:color w:val="000000"/>
          <w:sz w:val="24"/>
          <w:szCs w:val="24"/>
          <w:lang w:val="fr-FR"/>
        </w:rPr>
      </w:pPr>
      <w:r>
        <w:rPr>
          <w:rFonts w:ascii="Times New Roman" w:hAnsi="Times New Roman"/>
          <w:color w:val="000000"/>
          <w:sz w:val="24"/>
          <w:szCs w:val="24"/>
          <w:lang w:val="fr-FR"/>
        </w:rPr>
        <w:t xml:space="preserve">Le soudage et la </w:t>
      </w:r>
      <w:r w:rsidRPr="009A2E92">
        <w:rPr>
          <w:rFonts w:ascii="Times New Roman" w:hAnsi="Times New Roman"/>
          <w:color w:val="000000"/>
          <w:sz w:val="24"/>
          <w:szCs w:val="24"/>
          <w:lang w:val="fr-FR"/>
        </w:rPr>
        <w:t>déco</w:t>
      </w:r>
      <w:r>
        <w:rPr>
          <w:rFonts w:ascii="Times New Roman" w:hAnsi="Times New Roman"/>
          <w:color w:val="000000"/>
          <w:sz w:val="24"/>
          <w:szCs w:val="24"/>
          <w:lang w:val="fr-FR"/>
        </w:rPr>
        <w:t xml:space="preserve">upe thermique dégagent également un mélange solide de particules et de </w:t>
      </w:r>
      <w:r w:rsidRPr="009A2E92">
        <w:rPr>
          <w:rFonts w:ascii="Times New Roman" w:hAnsi="Times New Roman"/>
          <w:color w:val="000000"/>
          <w:sz w:val="24"/>
          <w:szCs w:val="24"/>
          <w:lang w:val="fr-FR"/>
        </w:rPr>
        <w:t>gaz, appelé fumée de soudure. Les particules solides présentes dans la fumée de soudure rendent généralement la fumée de soudure visible. Ces particules solides et poussières de soudure sont constituées de poussières respirables et non respirables, selon leur granulométrie.</w:t>
      </w:r>
    </w:p>
    <w:p w:rsidR="009A2E92" w:rsidRPr="009A2E92" w:rsidRDefault="009A2E92" w:rsidP="009A2E92">
      <w:pPr>
        <w:pStyle w:val="Listecouleur-Accent11"/>
        <w:ind w:left="0"/>
        <w:rPr>
          <w:rFonts w:ascii="Times New Roman" w:hAnsi="Times New Roman"/>
          <w:color w:val="000000"/>
          <w:sz w:val="24"/>
          <w:szCs w:val="24"/>
          <w:lang w:val="fr-FR"/>
        </w:rPr>
      </w:pPr>
    </w:p>
    <w:p w:rsidR="00AD1D11" w:rsidRDefault="00A60B7A" w:rsidP="00287EDE">
      <w:pPr>
        <w:pStyle w:val="Listecouleur-Accent11"/>
        <w:ind w:left="0"/>
        <w:rPr>
          <w:rFonts w:ascii="Times New Roman" w:hAnsi="Times New Roman"/>
          <w:color w:val="000000"/>
          <w:sz w:val="24"/>
          <w:szCs w:val="24"/>
        </w:rPr>
      </w:pPr>
      <w:r>
        <w:rPr>
          <w:rFonts w:ascii="Times New Roman" w:hAnsi="Times New Roman"/>
          <w:color w:val="000000"/>
          <w:sz w:val="24"/>
          <w:szCs w:val="24"/>
          <w:lang w:val="fr-FR"/>
        </w:rPr>
        <w:t xml:space="preserve">Ainsi durant les travaux, </w:t>
      </w:r>
      <w:r w:rsidR="00F34378" w:rsidRPr="00F34378">
        <w:rPr>
          <w:rFonts w:ascii="Times New Roman" w:hAnsi="Times New Roman"/>
          <w:color w:val="000000"/>
          <w:sz w:val="24"/>
          <w:szCs w:val="24"/>
        </w:rPr>
        <w:t>le soulèvement de poussière pourrait ne pas être important</w:t>
      </w:r>
      <w:r>
        <w:rPr>
          <w:rFonts w:ascii="Times New Roman" w:hAnsi="Times New Roman"/>
          <w:color w:val="000000"/>
          <w:sz w:val="24"/>
          <w:szCs w:val="24"/>
          <w:lang w:val="fr-FR"/>
        </w:rPr>
        <w:t xml:space="preserve"> </w:t>
      </w:r>
      <w:r w:rsidR="00B33C20">
        <w:rPr>
          <w:rFonts w:ascii="Times New Roman" w:hAnsi="Times New Roman"/>
          <w:color w:val="000000"/>
          <w:sz w:val="24"/>
          <w:szCs w:val="24"/>
          <w:lang w:val="fr-FR"/>
        </w:rPr>
        <w:t>car les activi</w:t>
      </w:r>
      <w:r w:rsidR="009A2E92">
        <w:rPr>
          <w:rFonts w:ascii="Times New Roman" w:hAnsi="Times New Roman"/>
          <w:color w:val="000000"/>
          <w:sz w:val="24"/>
          <w:szCs w:val="24"/>
          <w:lang w:val="fr-FR"/>
        </w:rPr>
        <w:t>tés se localiseront dans des</w:t>
      </w:r>
      <w:r w:rsidR="00B33C20">
        <w:rPr>
          <w:rFonts w:ascii="Times New Roman" w:hAnsi="Times New Roman"/>
          <w:color w:val="000000"/>
          <w:sz w:val="24"/>
          <w:szCs w:val="24"/>
          <w:lang w:val="fr-FR"/>
        </w:rPr>
        <w:t xml:space="preserve"> endroit</w:t>
      </w:r>
      <w:r w:rsidR="009A2E92">
        <w:rPr>
          <w:rFonts w:ascii="Times New Roman" w:hAnsi="Times New Roman"/>
          <w:color w:val="000000"/>
          <w:sz w:val="24"/>
          <w:szCs w:val="24"/>
          <w:lang w:val="fr-FR"/>
        </w:rPr>
        <w:t>s précis</w:t>
      </w:r>
      <w:r w:rsidR="00B33C20">
        <w:rPr>
          <w:rFonts w:ascii="Times New Roman" w:hAnsi="Times New Roman"/>
          <w:color w:val="000000"/>
          <w:sz w:val="24"/>
          <w:szCs w:val="24"/>
          <w:lang w:val="fr-FR"/>
        </w:rPr>
        <w:t>.</w:t>
      </w:r>
      <w:r w:rsidR="00F34378" w:rsidRPr="00F34378">
        <w:rPr>
          <w:rFonts w:ascii="Times New Roman" w:hAnsi="Times New Roman"/>
          <w:color w:val="000000"/>
          <w:sz w:val="24"/>
          <w:szCs w:val="24"/>
        </w:rPr>
        <w:t xml:space="preserve"> </w:t>
      </w:r>
      <w:r w:rsidR="009A2E92">
        <w:rPr>
          <w:rFonts w:ascii="Times New Roman" w:hAnsi="Times New Roman"/>
          <w:color w:val="000000"/>
          <w:sz w:val="24"/>
          <w:szCs w:val="24"/>
          <w:lang w:val="fr-FR"/>
        </w:rPr>
        <w:t>Concernant</w:t>
      </w:r>
      <w:r w:rsidR="00F34378" w:rsidRPr="00F34378">
        <w:rPr>
          <w:rFonts w:ascii="Times New Roman" w:hAnsi="Times New Roman"/>
          <w:color w:val="000000"/>
          <w:sz w:val="24"/>
          <w:szCs w:val="24"/>
        </w:rPr>
        <w:t xml:space="preserve"> du côté de Prabis</w:t>
      </w:r>
      <w:r w:rsidR="00B33C20">
        <w:rPr>
          <w:rFonts w:ascii="Times New Roman" w:hAnsi="Times New Roman"/>
          <w:color w:val="000000"/>
          <w:sz w:val="24"/>
          <w:szCs w:val="24"/>
          <w:lang w:val="fr-FR"/>
        </w:rPr>
        <w:t xml:space="preserve">, </w:t>
      </w:r>
      <w:r w:rsidR="009A2E92">
        <w:rPr>
          <w:rFonts w:ascii="Times New Roman" w:hAnsi="Times New Roman"/>
          <w:color w:val="000000"/>
          <w:sz w:val="24"/>
          <w:szCs w:val="24"/>
          <w:lang w:val="fr-FR"/>
        </w:rPr>
        <w:t xml:space="preserve">de </w:t>
      </w:r>
      <w:r w:rsidR="005849B9">
        <w:rPr>
          <w:rFonts w:ascii="Times New Roman" w:hAnsi="Times New Roman"/>
          <w:color w:val="000000"/>
          <w:sz w:val="24"/>
          <w:szCs w:val="24"/>
          <w:lang w:val="fr-FR"/>
        </w:rPr>
        <w:t>Safim</w:t>
      </w:r>
      <w:r w:rsidR="00597278">
        <w:rPr>
          <w:rFonts w:ascii="Times New Roman" w:hAnsi="Times New Roman"/>
          <w:color w:val="000000"/>
          <w:sz w:val="24"/>
          <w:szCs w:val="24"/>
          <w:lang w:val="fr-FR"/>
        </w:rPr>
        <w:t xml:space="preserve">, </w:t>
      </w:r>
      <w:r w:rsidR="009A2E92">
        <w:rPr>
          <w:rFonts w:ascii="Times New Roman" w:hAnsi="Times New Roman"/>
          <w:color w:val="000000"/>
          <w:sz w:val="24"/>
          <w:szCs w:val="24"/>
          <w:lang w:val="fr-FR"/>
        </w:rPr>
        <w:t xml:space="preserve">de </w:t>
      </w:r>
      <w:r w:rsidR="00597278">
        <w:rPr>
          <w:rFonts w:ascii="Times New Roman" w:hAnsi="Times New Roman"/>
          <w:color w:val="000000"/>
          <w:sz w:val="24"/>
          <w:szCs w:val="24"/>
          <w:lang w:val="fr-FR"/>
        </w:rPr>
        <w:t xml:space="preserve">Bor et </w:t>
      </w:r>
      <w:r w:rsidR="009A2E92">
        <w:rPr>
          <w:rFonts w:ascii="Times New Roman" w:hAnsi="Times New Roman"/>
          <w:color w:val="000000"/>
          <w:sz w:val="24"/>
          <w:szCs w:val="24"/>
          <w:lang w:val="fr-FR"/>
        </w:rPr>
        <w:t>d’</w:t>
      </w:r>
      <w:r w:rsidR="00597278">
        <w:rPr>
          <w:rFonts w:ascii="Times New Roman" w:hAnsi="Times New Roman"/>
          <w:color w:val="000000"/>
          <w:sz w:val="24"/>
          <w:szCs w:val="24"/>
          <w:lang w:val="fr-FR"/>
        </w:rPr>
        <w:t xml:space="preserve">Aéroport </w:t>
      </w:r>
      <w:r w:rsidR="00597278">
        <w:rPr>
          <w:rFonts w:ascii="Times New Roman" w:hAnsi="Times New Roman"/>
          <w:color w:val="000000"/>
          <w:sz w:val="24"/>
          <w:szCs w:val="24"/>
        </w:rPr>
        <w:t>ou les</w:t>
      </w:r>
      <w:r w:rsidR="00A31121">
        <w:rPr>
          <w:rFonts w:ascii="Times New Roman" w:hAnsi="Times New Roman"/>
          <w:color w:val="000000"/>
          <w:sz w:val="24"/>
          <w:szCs w:val="24"/>
          <w:lang w:val="fr-FR"/>
        </w:rPr>
        <w:t xml:space="preserve"> habitations sont très proche </w:t>
      </w:r>
      <w:r w:rsidR="009A2E92">
        <w:rPr>
          <w:rFonts w:ascii="Times New Roman" w:hAnsi="Times New Roman"/>
          <w:color w:val="000000"/>
          <w:sz w:val="24"/>
          <w:szCs w:val="24"/>
          <w:lang w:val="fr-FR"/>
        </w:rPr>
        <w:t>du site</w:t>
      </w:r>
      <w:r w:rsidR="00A31121">
        <w:rPr>
          <w:rFonts w:ascii="Times New Roman" w:hAnsi="Times New Roman"/>
          <w:color w:val="000000"/>
          <w:sz w:val="24"/>
          <w:szCs w:val="24"/>
          <w:lang w:val="fr-FR"/>
        </w:rPr>
        <w:t xml:space="preserve"> avec une</w:t>
      </w:r>
      <w:r w:rsidR="00A31121">
        <w:rPr>
          <w:rFonts w:ascii="Times New Roman" w:hAnsi="Times New Roman"/>
          <w:color w:val="000000"/>
          <w:sz w:val="24"/>
          <w:szCs w:val="24"/>
        </w:rPr>
        <w:t xml:space="preserve"> densité de population</w:t>
      </w:r>
      <w:r w:rsidR="00F34378" w:rsidRPr="00F34378">
        <w:rPr>
          <w:rFonts w:ascii="Times New Roman" w:hAnsi="Times New Roman"/>
          <w:color w:val="000000"/>
          <w:sz w:val="24"/>
          <w:szCs w:val="24"/>
        </w:rPr>
        <w:t xml:space="preserve"> plus élevée et l’humidité du sol moins importante, le soulèvement de poussiè</w:t>
      </w:r>
      <w:r w:rsidR="00A31121">
        <w:rPr>
          <w:rFonts w:ascii="Times New Roman" w:hAnsi="Times New Roman"/>
          <w:color w:val="000000"/>
          <w:sz w:val="24"/>
          <w:szCs w:val="24"/>
        </w:rPr>
        <w:t>res pourrait</w:t>
      </w:r>
      <w:r w:rsidR="00F34378" w:rsidRPr="00F34378">
        <w:rPr>
          <w:rFonts w:ascii="Times New Roman" w:hAnsi="Times New Roman"/>
          <w:color w:val="000000"/>
          <w:sz w:val="24"/>
          <w:szCs w:val="24"/>
        </w:rPr>
        <w:t xml:space="preserve"> être plus significatif</w:t>
      </w:r>
      <w:r w:rsidR="00A31121">
        <w:rPr>
          <w:rFonts w:ascii="Times New Roman" w:hAnsi="Times New Roman"/>
          <w:color w:val="000000"/>
          <w:sz w:val="24"/>
          <w:szCs w:val="24"/>
          <w:lang w:val="fr-FR"/>
        </w:rPr>
        <w:t>.</w:t>
      </w:r>
      <w:r w:rsidR="00F34378" w:rsidRPr="00F34378">
        <w:rPr>
          <w:rFonts w:ascii="Times New Roman" w:hAnsi="Times New Roman"/>
          <w:color w:val="000000"/>
          <w:sz w:val="24"/>
          <w:szCs w:val="24"/>
        </w:rPr>
        <w:t xml:space="preserve"> </w:t>
      </w:r>
    </w:p>
    <w:p w:rsidR="003272DA" w:rsidRDefault="003272DA" w:rsidP="00287EDE">
      <w:pPr>
        <w:pStyle w:val="Listecouleur-Accent11"/>
        <w:ind w:left="0"/>
        <w:rPr>
          <w:rFonts w:ascii="Times New Roman" w:hAnsi="Times New Roman"/>
          <w:color w:val="000000"/>
          <w:sz w:val="24"/>
          <w:szCs w:val="24"/>
        </w:rPr>
      </w:pPr>
    </w:p>
    <w:tbl>
      <w:tblPr>
        <w:tblpPr w:leftFromText="141" w:rightFromText="141" w:vertAnchor="text" w:horzAnchor="margin" w:tblpXSpec="right" w:tblpY="361"/>
        <w:tblW w:w="3153" w:type="dxa"/>
        <w:tblBorders>
          <w:top w:val="single" w:sz="4" w:space="0" w:color="auto"/>
          <w:left w:val="dashDotStroked" w:sz="24" w:space="0" w:color="auto"/>
          <w:bottom w:val="dashDotStroked" w:sz="24" w:space="0" w:color="auto"/>
          <w:right w:val="dashDotStroked" w:sz="24" w:space="0" w:color="auto"/>
          <w:insideH w:val="single" w:sz="4" w:space="0" w:color="auto"/>
          <w:insideV w:val="dashDotStroked" w:sz="24" w:space="0" w:color="auto"/>
        </w:tblBorders>
        <w:tblLook w:val="04A0" w:firstRow="1" w:lastRow="0" w:firstColumn="1" w:lastColumn="0" w:noHBand="0" w:noVBand="1"/>
      </w:tblPr>
      <w:tblGrid>
        <w:gridCol w:w="1467"/>
        <w:gridCol w:w="1230"/>
        <w:gridCol w:w="456"/>
      </w:tblGrid>
      <w:tr w:rsidR="00547523" w:rsidRPr="00AA45E9" w:rsidTr="00547523">
        <w:tc>
          <w:tcPr>
            <w:tcW w:w="3153" w:type="dxa"/>
            <w:gridSpan w:val="3"/>
            <w:tcBorders>
              <w:bottom w:val="single" w:sz="4" w:space="0" w:color="auto"/>
            </w:tcBorders>
            <w:shd w:val="clear" w:color="auto" w:fill="002060"/>
          </w:tcPr>
          <w:p w:rsidR="00547523" w:rsidRPr="00867483" w:rsidRDefault="00547523" w:rsidP="00547523">
            <w:pPr>
              <w:spacing w:after="0" w:line="240" w:lineRule="auto"/>
              <w:jc w:val="center"/>
              <w:rPr>
                <w:rFonts w:ascii="Times New Roman" w:hAnsi="Times New Roman"/>
                <w:b/>
                <w:sz w:val="24"/>
                <w:szCs w:val="24"/>
              </w:rPr>
            </w:pPr>
            <w:r w:rsidRPr="00867483">
              <w:rPr>
                <w:rFonts w:ascii="Times New Roman" w:hAnsi="Times New Roman"/>
                <w:b/>
                <w:sz w:val="24"/>
                <w:szCs w:val="24"/>
              </w:rPr>
              <w:t>Caractérisation de l’impact</w:t>
            </w:r>
          </w:p>
        </w:tc>
      </w:tr>
      <w:tr w:rsidR="00E96A04" w:rsidRPr="00AA45E9" w:rsidTr="00247507">
        <w:tc>
          <w:tcPr>
            <w:tcW w:w="1467" w:type="dxa"/>
            <w:tcBorders>
              <w:bottom w:val="single" w:sz="4" w:space="0" w:color="auto"/>
              <w:right w:val="single" w:sz="4" w:space="0" w:color="auto"/>
            </w:tcBorders>
            <w:shd w:val="clear" w:color="auto" w:fill="002060"/>
          </w:tcPr>
          <w:p w:rsidR="00E96A04" w:rsidRPr="00AA45E9" w:rsidRDefault="00E96A04" w:rsidP="00547523">
            <w:pPr>
              <w:spacing w:after="0" w:line="240" w:lineRule="auto"/>
              <w:jc w:val="center"/>
              <w:rPr>
                <w:rFonts w:ascii="Times New Roman" w:hAnsi="Times New Roman"/>
                <w:b/>
                <w:sz w:val="24"/>
                <w:szCs w:val="24"/>
              </w:rPr>
            </w:pPr>
            <w:r>
              <w:rPr>
                <w:rFonts w:ascii="Times New Roman" w:hAnsi="Times New Roman"/>
                <w:b/>
                <w:sz w:val="24"/>
                <w:szCs w:val="24"/>
              </w:rPr>
              <w:t xml:space="preserve">Nature </w:t>
            </w:r>
          </w:p>
        </w:tc>
        <w:tc>
          <w:tcPr>
            <w:tcW w:w="1686" w:type="dxa"/>
            <w:gridSpan w:val="2"/>
            <w:tcBorders>
              <w:left w:val="single" w:sz="4" w:space="0" w:color="auto"/>
              <w:bottom w:val="single" w:sz="4" w:space="0" w:color="auto"/>
            </w:tcBorders>
            <w:shd w:val="clear" w:color="auto" w:fill="auto"/>
          </w:tcPr>
          <w:p w:rsidR="00E96A04" w:rsidRPr="00867483" w:rsidRDefault="00E96A04" w:rsidP="00547523">
            <w:pPr>
              <w:spacing w:after="0" w:line="240" w:lineRule="auto"/>
              <w:jc w:val="center"/>
              <w:rPr>
                <w:rFonts w:ascii="Times New Roman" w:hAnsi="Times New Roman"/>
                <w:sz w:val="24"/>
                <w:szCs w:val="24"/>
              </w:rPr>
            </w:pPr>
            <w:r w:rsidRPr="00E96A04">
              <w:rPr>
                <w:rFonts w:ascii="Times New Roman" w:hAnsi="Times New Roman"/>
                <w:b/>
                <w:sz w:val="24"/>
                <w:szCs w:val="24"/>
              </w:rPr>
              <w:t>Négatif</w:t>
            </w:r>
          </w:p>
        </w:tc>
      </w:tr>
      <w:tr w:rsidR="00547523" w:rsidRPr="00AA45E9" w:rsidTr="00D96D77">
        <w:tc>
          <w:tcPr>
            <w:tcW w:w="1467" w:type="dxa"/>
            <w:tcBorders>
              <w:bottom w:val="single" w:sz="4" w:space="0" w:color="auto"/>
              <w:right w:val="single" w:sz="4" w:space="0" w:color="auto"/>
            </w:tcBorders>
            <w:shd w:val="clear" w:color="auto" w:fill="002060"/>
          </w:tcPr>
          <w:p w:rsidR="00547523" w:rsidRPr="00AA45E9" w:rsidRDefault="00547523" w:rsidP="00547523">
            <w:pPr>
              <w:spacing w:after="0" w:line="240" w:lineRule="auto"/>
              <w:jc w:val="center"/>
              <w:rPr>
                <w:rFonts w:ascii="Times New Roman" w:hAnsi="Times New Roman"/>
                <w:b/>
                <w:sz w:val="24"/>
                <w:szCs w:val="24"/>
              </w:rPr>
            </w:pPr>
            <w:r w:rsidRPr="00AA45E9">
              <w:rPr>
                <w:rFonts w:ascii="Times New Roman" w:hAnsi="Times New Roman"/>
                <w:b/>
                <w:sz w:val="24"/>
                <w:szCs w:val="24"/>
              </w:rPr>
              <w:t>Intensité</w:t>
            </w:r>
          </w:p>
        </w:tc>
        <w:tc>
          <w:tcPr>
            <w:tcW w:w="1230" w:type="dxa"/>
            <w:tcBorders>
              <w:left w:val="single" w:sz="4" w:space="0" w:color="auto"/>
              <w:bottom w:val="single" w:sz="4" w:space="0" w:color="auto"/>
              <w:right w:val="single" w:sz="4" w:space="0" w:color="auto"/>
            </w:tcBorders>
            <w:shd w:val="clear" w:color="auto" w:fill="auto"/>
          </w:tcPr>
          <w:p w:rsidR="00547523" w:rsidRPr="00867483" w:rsidRDefault="00547523" w:rsidP="00547523">
            <w:pPr>
              <w:spacing w:after="0" w:line="240" w:lineRule="auto"/>
              <w:jc w:val="center"/>
              <w:rPr>
                <w:rFonts w:ascii="Times New Roman" w:hAnsi="Times New Roman"/>
                <w:sz w:val="24"/>
                <w:szCs w:val="24"/>
              </w:rPr>
            </w:pPr>
            <w:r w:rsidRPr="00867483">
              <w:rPr>
                <w:rFonts w:ascii="Times New Roman" w:hAnsi="Times New Roman"/>
                <w:sz w:val="24"/>
                <w:szCs w:val="24"/>
              </w:rPr>
              <w:t>Forte</w:t>
            </w:r>
          </w:p>
        </w:tc>
        <w:tc>
          <w:tcPr>
            <w:tcW w:w="456" w:type="dxa"/>
            <w:tcBorders>
              <w:left w:val="single" w:sz="4" w:space="0" w:color="auto"/>
              <w:bottom w:val="single" w:sz="4" w:space="0" w:color="auto"/>
            </w:tcBorders>
            <w:shd w:val="clear" w:color="auto" w:fill="auto"/>
          </w:tcPr>
          <w:p w:rsidR="00547523" w:rsidRPr="00867483" w:rsidRDefault="00547523" w:rsidP="00547523">
            <w:pPr>
              <w:spacing w:after="0" w:line="240" w:lineRule="auto"/>
              <w:jc w:val="center"/>
              <w:rPr>
                <w:rFonts w:ascii="Times New Roman" w:hAnsi="Times New Roman"/>
                <w:sz w:val="24"/>
                <w:szCs w:val="24"/>
              </w:rPr>
            </w:pPr>
            <w:r w:rsidRPr="00867483">
              <w:rPr>
                <w:rFonts w:ascii="Times New Roman" w:hAnsi="Times New Roman"/>
                <w:sz w:val="24"/>
                <w:szCs w:val="24"/>
              </w:rPr>
              <w:t>5</w:t>
            </w:r>
          </w:p>
        </w:tc>
      </w:tr>
      <w:tr w:rsidR="00547523" w:rsidRPr="00AA45E9" w:rsidTr="00D96D77">
        <w:tc>
          <w:tcPr>
            <w:tcW w:w="1467" w:type="dxa"/>
            <w:tcBorders>
              <w:bottom w:val="single" w:sz="4" w:space="0" w:color="auto"/>
              <w:right w:val="single" w:sz="4" w:space="0" w:color="auto"/>
            </w:tcBorders>
            <w:shd w:val="clear" w:color="auto" w:fill="002060"/>
          </w:tcPr>
          <w:p w:rsidR="00547523" w:rsidRPr="00AA45E9" w:rsidRDefault="00547523" w:rsidP="00547523">
            <w:pPr>
              <w:spacing w:after="0" w:line="240" w:lineRule="auto"/>
              <w:jc w:val="center"/>
              <w:rPr>
                <w:rFonts w:ascii="Times New Roman" w:hAnsi="Times New Roman"/>
                <w:sz w:val="24"/>
                <w:szCs w:val="24"/>
              </w:rPr>
            </w:pPr>
            <w:r w:rsidRPr="00AA45E9">
              <w:rPr>
                <w:rFonts w:ascii="Times New Roman" w:hAnsi="Times New Roman"/>
                <w:b/>
                <w:sz w:val="24"/>
                <w:szCs w:val="24"/>
              </w:rPr>
              <w:t>Etendue</w:t>
            </w:r>
          </w:p>
        </w:tc>
        <w:tc>
          <w:tcPr>
            <w:tcW w:w="1230" w:type="dxa"/>
            <w:tcBorders>
              <w:left w:val="single" w:sz="4" w:space="0" w:color="auto"/>
              <w:bottom w:val="single" w:sz="4" w:space="0" w:color="auto"/>
              <w:right w:val="single" w:sz="4" w:space="0" w:color="auto"/>
            </w:tcBorders>
          </w:tcPr>
          <w:p w:rsidR="00547523" w:rsidRPr="00867483" w:rsidRDefault="00D96D77" w:rsidP="00547523">
            <w:pPr>
              <w:spacing w:after="0" w:line="240" w:lineRule="auto"/>
              <w:jc w:val="center"/>
              <w:rPr>
                <w:rFonts w:ascii="Times New Roman" w:hAnsi="Times New Roman"/>
                <w:sz w:val="24"/>
                <w:szCs w:val="24"/>
              </w:rPr>
            </w:pPr>
            <w:r>
              <w:rPr>
                <w:rFonts w:ascii="Times New Roman" w:hAnsi="Times New Roman"/>
                <w:sz w:val="24"/>
                <w:szCs w:val="24"/>
              </w:rPr>
              <w:t>Ponctuelle</w:t>
            </w:r>
          </w:p>
        </w:tc>
        <w:tc>
          <w:tcPr>
            <w:tcW w:w="456" w:type="dxa"/>
            <w:tcBorders>
              <w:left w:val="single" w:sz="4" w:space="0" w:color="auto"/>
              <w:bottom w:val="single" w:sz="4" w:space="0" w:color="auto"/>
            </w:tcBorders>
          </w:tcPr>
          <w:p w:rsidR="00547523" w:rsidRPr="00867483" w:rsidRDefault="00D96D77" w:rsidP="00547523">
            <w:pPr>
              <w:spacing w:after="0" w:line="240" w:lineRule="auto"/>
              <w:jc w:val="center"/>
              <w:rPr>
                <w:rFonts w:ascii="Times New Roman" w:hAnsi="Times New Roman"/>
                <w:sz w:val="24"/>
                <w:szCs w:val="24"/>
              </w:rPr>
            </w:pPr>
            <w:r>
              <w:rPr>
                <w:rFonts w:ascii="Times New Roman" w:hAnsi="Times New Roman"/>
                <w:sz w:val="24"/>
                <w:szCs w:val="24"/>
              </w:rPr>
              <w:t>1</w:t>
            </w:r>
          </w:p>
        </w:tc>
      </w:tr>
      <w:tr w:rsidR="00547523" w:rsidRPr="00AA45E9" w:rsidTr="00D96D77">
        <w:tc>
          <w:tcPr>
            <w:tcW w:w="1467" w:type="dxa"/>
            <w:tcBorders>
              <w:bottom w:val="single" w:sz="4" w:space="0" w:color="auto"/>
              <w:right w:val="single" w:sz="4" w:space="0" w:color="auto"/>
            </w:tcBorders>
            <w:shd w:val="clear" w:color="auto" w:fill="002060"/>
          </w:tcPr>
          <w:p w:rsidR="00547523" w:rsidRDefault="00547523" w:rsidP="00547523">
            <w:pPr>
              <w:spacing w:after="0" w:line="240" w:lineRule="auto"/>
              <w:jc w:val="center"/>
              <w:rPr>
                <w:rFonts w:ascii="Times New Roman" w:hAnsi="Times New Roman"/>
                <w:sz w:val="24"/>
                <w:szCs w:val="24"/>
              </w:rPr>
            </w:pPr>
            <w:r w:rsidRPr="00AA45E9">
              <w:rPr>
                <w:rFonts w:ascii="Times New Roman" w:hAnsi="Times New Roman"/>
                <w:b/>
                <w:sz w:val="24"/>
                <w:szCs w:val="24"/>
              </w:rPr>
              <w:t>Durée</w:t>
            </w:r>
          </w:p>
        </w:tc>
        <w:tc>
          <w:tcPr>
            <w:tcW w:w="1230" w:type="dxa"/>
            <w:tcBorders>
              <w:left w:val="single" w:sz="4" w:space="0" w:color="auto"/>
              <w:bottom w:val="single" w:sz="4" w:space="0" w:color="auto"/>
              <w:right w:val="single" w:sz="4" w:space="0" w:color="auto"/>
            </w:tcBorders>
          </w:tcPr>
          <w:p w:rsidR="00547523" w:rsidRPr="00867483" w:rsidRDefault="00D96D77" w:rsidP="00547523">
            <w:pPr>
              <w:spacing w:after="0" w:line="240" w:lineRule="auto"/>
              <w:jc w:val="center"/>
              <w:rPr>
                <w:rFonts w:ascii="Times New Roman" w:hAnsi="Times New Roman"/>
                <w:sz w:val="24"/>
                <w:szCs w:val="24"/>
              </w:rPr>
            </w:pPr>
            <w:r>
              <w:rPr>
                <w:rFonts w:ascii="Times New Roman" w:hAnsi="Times New Roman"/>
                <w:sz w:val="24"/>
                <w:szCs w:val="24"/>
              </w:rPr>
              <w:t>Courte</w:t>
            </w:r>
          </w:p>
        </w:tc>
        <w:tc>
          <w:tcPr>
            <w:tcW w:w="456" w:type="dxa"/>
            <w:tcBorders>
              <w:left w:val="single" w:sz="4" w:space="0" w:color="auto"/>
              <w:bottom w:val="single" w:sz="4" w:space="0" w:color="auto"/>
            </w:tcBorders>
          </w:tcPr>
          <w:p w:rsidR="00547523" w:rsidRPr="00867483" w:rsidRDefault="00547523" w:rsidP="00547523">
            <w:pPr>
              <w:spacing w:after="0" w:line="240" w:lineRule="auto"/>
              <w:jc w:val="center"/>
              <w:rPr>
                <w:rFonts w:ascii="Times New Roman" w:hAnsi="Times New Roman"/>
                <w:sz w:val="24"/>
                <w:szCs w:val="24"/>
              </w:rPr>
            </w:pPr>
            <w:r w:rsidRPr="00867483">
              <w:rPr>
                <w:rFonts w:ascii="Times New Roman" w:hAnsi="Times New Roman"/>
                <w:sz w:val="24"/>
                <w:szCs w:val="24"/>
              </w:rPr>
              <w:t>1</w:t>
            </w:r>
          </w:p>
        </w:tc>
      </w:tr>
      <w:tr w:rsidR="00547523" w:rsidRPr="00AA45E9" w:rsidTr="00FC410F">
        <w:tc>
          <w:tcPr>
            <w:tcW w:w="3153" w:type="dxa"/>
            <w:gridSpan w:val="3"/>
            <w:tcBorders>
              <w:bottom w:val="single" w:sz="4" w:space="0" w:color="auto"/>
            </w:tcBorders>
            <w:shd w:val="clear" w:color="auto" w:fill="FFFFFF" w:themeFill="background1"/>
          </w:tcPr>
          <w:p w:rsidR="00547523" w:rsidRPr="00867483" w:rsidRDefault="00547523" w:rsidP="00547523">
            <w:pPr>
              <w:spacing w:after="0" w:line="240" w:lineRule="auto"/>
              <w:jc w:val="center"/>
              <w:rPr>
                <w:rFonts w:ascii="Times New Roman" w:hAnsi="Times New Roman"/>
                <w:sz w:val="6"/>
                <w:szCs w:val="6"/>
              </w:rPr>
            </w:pPr>
          </w:p>
        </w:tc>
      </w:tr>
      <w:tr w:rsidR="00D96D77" w:rsidRPr="00AA45E9" w:rsidTr="00D96D77">
        <w:tc>
          <w:tcPr>
            <w:tcW w:w="1467" w:type="dxa"/>
            <w:tcBorders>
              <w:bottom w:val="dashDotStroked" w:sz="24" w:space="0" w:color="auto"/>
              <w:right w:val="single" w:sz="4" w:space="0" w:color="auto"/>
            </w:tcBorders>
            <w:shd w:val="clear" w:color="auto" w:fill="002060"/>
          </w:tcPr>
          <w:p w:rsidR="00D96D77" w:rsidRPr="00AA45E9" w:rsidRDefault="00D96D77" w:rsidP="00D96D77">
            <w:pPr>
              <w:spacing w:after="0" w:line="240" w:lineRule="auto"/>
              <w:jc w:val="center"/>
              <w:rPr>
                <w:rFonts w:ascii="Times New Roman" w:hAnsi="Times New Roman"/>
                <w:b/>
                <w:sz w:val="24"/>
                <w:szCs w:val="24"/>
              </w:rPr>
            </w:pPr>
            <w:r w:rsidRPr="00AA45E9">
              <w:rPr>
                <w:rFonts w:ascii="Times New Roman" w:hAnsi="Times New Roman"/>
                <w:b/>
                <w:sz w:val="24"/>
                <w:szCs w:val="24"/>
              </w:rPr>
              <w:t>Importance</w:t>
            </w:r>
          </w:p>
        </w:tc>
        <w:tc>
          <w:tcPr>
            <w:tcW w:w="1230" w:type="dxa"/>
            <w:tcBorders>
              <w:left w:val="single" w:sz="4" w:space="0" w:color="auto"/>
              <w:bottom w:val="dashDotStroked" w:sz="24" w:space="0" w:color="auto"/>
              <w:right w:val="single" w:sz="4" w:space="0" w:color="auto"/>
            </w:tcBorders>
            <w:shd w:val="clear" w:color="auto" w:fill="92D050"/>
          </w:tcPr>
          <w:p w:rsidR="00D96D77" w:rsidRPr="008E6D9C" w:rsidRDefault="00D96D77" w:rsidP="00D96D77">
            <w:pPr>
              <w:spacing w:after="0" w:line="240" w:lineRule="auto"/>
              <w:jc w:val="center"/>
              <w:rPr>
                <w:rFonts w:ascii="Times New Roman" w:hAnsi="Times New Roman"/>
                <w:b/>
                <w:sz w:val="24"/>
                <w:szCs w:val="24"/>
              </w:rPr>
            </w:pPr>
            <w:r>
              <w:rPr>
                <w:rFonts w:ascii="Times New Roman" w:hAnsi="Times New Roman"/>
                <w:b/>
                <w:sz w:val="24"/>
                <w:szCs w:val="24"/>
              </w:rPr>
              <w:t>Mineure</w:t>
            </w:r>
          </w:p>
        </w:tc>
        <w:tc>
          <w:tcPr>
            <w:tcW w:w="456" w:type="dxa"/>
            <w:tcBorders>
              <w:left w:val="single" w:sz="4" w:space="0" w:color="auto"/>
              <w:bottom w:val="dashDotStroked" w:sz="24" w:space="0" w:color="auto"/>
            </w:tcBorders>
            <w:shd w:val="clear" w:color="auto" w:fill="92D050"/>
          </w:tcPr>
          <w:p w:rsidR="00D96D77" w:rsidRPr="008E6D9C" w:rsidRDefault="00D96D77" w:rsidP="00D96D77">
            <w:pPr>
              <w:spacing w:after="0" w:line="240" w:lineRule="auto"/>
              <w:jc w:val="center"/>
              <w:rPr>
                <w:rFonts w:ascii="Times New Roman" w:hAnsi="Times New Roman"/>
                <w:b/>
                <w:sz w:val="24"/>
                <w:szCs w:val="24"/>
              </w:rPr>
            </w:pPr>
            <w:r>
              <w:rPr>
                <w:rFonts w:ascii="Times New Roman" w:hAnsi="Times New Roman"/>
                <w:b/>
                <w:sz w:val="24"/>
                <w:szCs w:val="24"/>
              </w:rPr>
              <w:t>5</w:t>
            </w:r>
          </w:p>
        </w:tc>
      </w:tr>
    </w:tbl>
    <w:p w:rsidR="00A44FD4" w:rsidRPr="008103F9" w:rsidRDefault="00547523" w:rsidP="00FA3FAE">
      <w:pPr>
        <w:pStyle w:val="PargrafodaLista"/>
        <w:numPr>
          <w:ilvl w:val="0"/>
          <w:numId w:val="41"/>
        </w:numPr>
        <w:pBdr>
          <w:bottom w:val="dashDotStroked" w:sz="24" w:space="1" w:color="auto"/>
        </w:pBdr>
        <w:jc w:val="both"/>
        <w:rPr>
          <w:rFonts w:ascii="Times New Roman" w:hAnsi="Times New Roman"/>
          <w:b/>
          <w:sz w:val="24"/>
          <w:szCs w:val="24"/>
        </w:rPr>
      </w:pPr>
      <w:r w:rsidRPr="008103F9">
        <w:rPr>
          <w:rFonts w:ascii="Times New Roman" w:hAnsi="Times New Roman"/>
          <w:b/>
          <w:sz w:val="24"/>
          <w:szCs w:val="24"/>
        </w:rPr>
        <w:t xml:space="preserve"> </w:t>
      </w:r>
      <w:r w:rsidR="00A44FD4" w:rsidRPr="008103F9">
        <w:rPr>
          <w:rFonts w:ascii="Times New Roman" w:hAnsi="Times New Roman"/>
          <w:b/>
          <w:sz w:val="24"/>
          <w:szCs w:val="24"/>
        </w:rPr>
        <w:t>Impacts négatifs attendus sur le sol</w:t>
      </w:r>
    </w:p>
    <w:p w:rsidR="00B76259" w:rsidRPr="004B4A24" w:rsidRDefault="00A44FD4" w:rsidP="004B4A24">
      <w:pPr>
        <w:jc w:val="both"/>
        <w:rPr>
          <w:rFonts w:ascii="Times New Roman" w:hAnsi="Times New Roman" w:cs="Times New Roman"/>
          <w:color w:val="000000"/>
          <w:sz w:val="24"/>
          <w:szCs w:val="24"/>
        </w:rPr>
      </w:pPr>
      <w:r w:rsidRPr="00A44FD4">
        <w:rPr>
          <w:rFonts w:ascii="Times New Roman" w:hAnsi="Times New Roman" w:cs="Times New Roman"/>
          <w:color w:val="000000"/>
          <w:sz w:val="24"/>
          <w:szCs w:val="24"/>
        </w:rPr>
        <w:t>Les impacts sur ce compartiment proviendront des déversements accidentels de polluants (solvant, peinture, batterie morte,</w:t>
      </w:r>
      <w:r w:rsidR="004B4A24">
        <w:rPr>
          <w:rFonts w:ascii="Times New Roman" w:hAnsi="Times New Roman" w:cs="Times New Roman"/>
          <w:color w:val="000000"/>
          <w:sz w:val="24"/>
          <w:szCs w:val="24"/>
        </w:rPr>
        <w:t xml:space="preserve"> les sachets de ciment, les </w:t>
      </w:r>
      <w:r w:rsidR="004B4A24" w:rsidRPr="004B4A24">
        <w:rPr>
          <w:rFonts w:ascii="Times New Roman" w:hAnsi="Times New Roman" w:cs="Times New Roman"/>
          <w:color w:val="000000"/>
          <w:sz w:val="24"/>
          <w:szCs w:val="24"/>
        </w:rPr>
        <w:t>morceaux de bois</w:t>
      </w:r>
      <w:r w:rsidRPr="00A44FD4">
        <w:rPr>
          <w:rFonts w:ascii="Times New Roman" w:hAnsi="Times New Roman" w:cs="Times New Roman"/>
          <w:color w:val="000000"/>
          <w:sz w:val="24"/>
          <w:szCs w:val="24"/>
        </w:rPr>
        <w:t xml:space="preserve"> etc.) sur le sol. </w:t>
      </w:r>
      <w:r w:rsidR="00B76259" w:rsidRPr="00A44FD4">
        <w:rPr>
          <w:rFonts w:ascii="Times New Roman" w:hAnsi="Times New Roman" w:cs="Times New Roman"/>
          <w:color w:val="000000"/>
          <w:sz w:val="24"/>
          <w:szCs w:val="24"/>
        </w:rPr>
        <w:t xml:space="preserve">Dans la zone urbaine où le sol est moins argileux, un déversement accidentel de polluants aurait plus de conséquences dues à la perméabilité. </w:t>
      </w:r>
      <w:r w:rsidR="004B4A24" w:rsidRPr="004B4A24">
        <w:rPr>
          <w:rFonts w:ascii="Times New Roman" w:hAnsi="Times New Roman" w:cs="Times New Roman"/>
          <w:color w:val="000000"/>
          <w:sz w:val="24"/>
          <w:szCs w:val="24"/>
        </w:rPr>
        <w:t>A cela, il faut ajouter la contamination du sol par</w:t>
      </w:r>
      <w:r w:rsidR="00D95DEE">
        <w:rPr>
          <w:rFonts w:ascii="Times New Roman" w:hAnsi="Times New Roman" w:cs="Times New Roman"/>
          <w:color w:val="000000"/>
          <w:sz w:val="24"/>
          <w:szCs w:val="24"/>
        </w:rPr>
        <w:t xml:space="preserve"> </w:t>
      </w:r>
      <w:r w:rsidR="004B4A24" w:rsidRPr="004B4A24">
        <w:rPr>
          <w:rFonts w:ascii="Times New Roman" w:hAnsi="Times New Roman" w:cs="Times New Roman"/>
          <w:color w:val="000000"/>
          <w:sz w:val="24"/>
          <w:szCs w:val="24"/>
        </w:rPr>
        <w:t>les produits de traitement anti term</w:t>
      </w:r>
      <w:r w:rsidR="004B4A24">
        <w:rPr>
          <w:rFonts w:ascii="Times New Roman" w:hAnsi="Times New Roman" w:cs="Times New Roman"/>
          <w:color w:val="000000"/>
          <w:sz w:val="24"/>
          <w:szCs w:val="24"/>
        </w:rPr>
        <w:t>ite.</w:t>
      </w:r>
    </w:p>
    <w:p w:rsidR="00A44FD4" w:rsidRDefault="00A40A5E" w:rsidP="00A40A5E">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L’utilisation </w:t>
      </w:r>
      <w:r w:rsidRPr="00A40A5E">
        <w:rPr>
          <w:rFonts w:ascii="Times New Roman" w:hAnsi="Times New Roman" w:cs="Times New Roman"/>
          <w:color w:val="000000"/>
          <w:sz w:val="24"/>
          <w:szCs w:val="24"/>
        </w:rPr>
        <w:t xml:space="preserve">d’engins </w:t>
      </w:r>
      <w:r w:rsidR="007D1232" w:rsidRPr="00A40A5E">
        <w:rPr>
          <w:rFonts w:ascii="Times New Roman" w:hAnsi="Times New Roman" w:cs="Times New Roman"/>
          <w:color w:val="000000"/>
          <w:sz w:val="24"/>
          <w:szCs w:val="24"/>
        </w:rPr>
        <w:t>de terrassement</w:t>
      </w:r>
      <w:r w:rsidR="007D1232">
        <w:rPr>
          <w:rFonts w:ascii="Times New Roman" w:hAnsi="Times New Roman" w:cs="Times New Roman"/>
          <w:color w:val="000000"/>
          <w:sz w:val="24"/>
          <w:szCs w:val="24"/>
        </w:rPr>
        <w:t>, de remblaiement et</w:t>
      </w:r>
      <w:r>
        <w:rPr>
          <w:rFonts w:ascii="Times New Roman" w:hAnsi="Times New Roman" w:cs="Times New Roman"/>
          <w:color w:val="000000"/>
          <w:sz w:val="24"/>
          <w:szCs w:val="24"/>
        </w:rPr>
        <w:t xml:space="preserve"> </w:t>
      </w:r>
      <w:r w:rsidR="007D1232" w:rsidRPr="00A40A5E">
        <w:rPr>
          <w:rFonts w:ascii="Times New Roman" w:hAnsi="Times New Roman" w:cs="Times New Roman"/>
          <w:color w:val="000000"/>
          <w:sz w:val="24"/>
          <w:szCs w:val="24"/>
        </w:rPr>
        <w:t>d’excavation peut entraîner</w:t>
      </w:r>
      <w:r w:rsidR="007D1232">
        <w:rPr>
          <w:rFonts w:ascii="Times New Roman" w:hAnsi="Times New Roman" w:cs="Times New Roman"/>
          <w:color w:val="000000"/>
          <w:sz w:val="24"/>
          <w:szCs w:val="24"/>
        </w:rPr>
        <w:t xml:space="preserve"> une </w:t>
      </w:r>
      <w:r>
        <w:rPr>
          <w:rFonts w:ascii="Times New Roman" w:hAnsi="Times New Roman" w:cs="Times New Roman"/>
          <w:color w:val="000000"/>
          <w:sz w:val="24"/>
          <w:szCs w:val="24"/>
        </w:rPr>
        <w:t xml:space="preserve">fragilisation </w:t>
      </w:r>
      <w:r w:rsidR="005948E9">
        <w:rPr>
          <w:rFonts w:ascii="Times New Roman" w:hAnsi="Times New Roman" w:cs="Times New Roman"/>
          <w:color w:val="000000"/>
          <w:sz w:val="24"/>
          <w:szCs w:val="24"/>
        </w:rPr>
        <w:t>et un</w:t>
      </w:r>
      <w:r>
        <w:rPr>
          <w:rFonts w:ascii="Times New Roman" w:hAnsi="Times New Roman" w:cs="Times New Roman"/>
          <w:color w:val="000000"/>
          <w:sz w:val="24"/>
          <w:szCs w:val="24"/>
        </w:rPr>
        <w:t xml:space="preserve"> </w:t>
      </w:r>
      <w:r w:rsidR="007D1232">
        <w:rPr>
          <w:rFonts w:ascii="Times New Roman" w:hAnsi="Times New Roman" w:cs="Times New Roman"/>
          <w:color w:val="000000"/>
          <w:sz w:val="24"/>
          <w:szCs w:val="24"/>
        </w:rPr>
        <w:t xml:space="preserve">tassement </w:t>
      </w:r>
      <w:r w:rsidR="001212DC" w:rsidRPr="00A40A5E">
        <w:rPr>
          <w:rFonts w:ascii="Times New Roman" w:hAnsi="Times New Roman" w:cs="Times New Roman"/>
          <w:color w:val="000000"/>
          <w:sz w:val="24"/>
          <w:szCs w:val="24"/>
        </w:rPr>
        <w:t>d</w:t>
      </w:r>
      <w:r w:rsidR="001212DC">
        <w:rPr>
          <w:rFonts w:ascii="Times New Roman" w:hAnsi="Times New Roman" w:cs="Times New Roman"/>
          <w:color w:val="000000"/>
          <w:sz w:val="24"/>
          <w:szCs w:val="24"/>
        </w:rPr>
        <w:t xml:space="preserve">es </w:t>
      </w:r>
      <w:r w:rsidR="001A4BB7">
        <w:rPr>
          <w:rFonts w:ascii="Times New Roman" w:hAnsi="Times New Roman" w:cs="Times New Roman"/>
          <w:color w:val="000000"/>
          <w:sz w:val="24"/>
          <w:szCs w:val="24"/>
        </w:rPr>
        <w:t>sols et du sous</w:t>
      </w:r>
      <w:r>
        <w:rPr>
          <w:rFonts w:ascii="Times New Roman" w:hAnsi="Times New Roman" w:cs="Times New Roman"/>
          <w:color w:val="000000"/>
          <w:sz w:val="24"/>
          <w:szCs w:val="24"/>
        </w:rPr>
        <w:t xml:space="preserve">-sol.  A </w:t>
      </w:r>
      <w:r w:rsidRPr="00A40A5E">
        <w:rPr>
          <w:rFonts w:ascii="Times New Roman" w:hAnsi="Times New Roman" w:cs="Times New Roman"/>
          <w:color w:val="000000"/>
          <w:sz w:val="24"/>
          <w:szCs w:val="24"/>
        </w:rPr>
        <w:t xml:space="preserve">cela s’ajoutent les </w:t>
      </w:r>
      <w:r w:rsidR="007D1232" w:rsidRPr="00A40A5E">
        <w:rPr>
          <w:rFonts w:ascii="Times New Roman" w:hAnsi="Times New Roman" w:cs="Times New Roman"/>
          <w:color w:val="000000"/>
          <w:sz w:val="24"/>
          <w:szCs w:val="24"/>
        </w:rPr>
        <w:t>pollutions du</w:t>
      </w:r>
      <w:r w:rsidR="007D1232">
        <w:rPr>
          <w:rFonts w:ascii="Times New Roman" w:hAnsi="Times New Roman" w:cs="Times New Roman"/>
          <w:color w:val="000000"/>
          <w:sz w:val="24"/>
          <w:szCs w:val="24"/>
        </w:rPr>
        <w:t xml:space="preserve"> sol</w:t>
      </w:r>
      <w:r w:rsidRPr="00A40A5E">
        <w:rPr>
          <w:rFonts w:ascii="Times New Roman" w:hAnsi="Times New Roman" w:cs="Times New Roman"/>
          <w:color w:val="000000"/>
          <w:sz w:val="24"/>
          <w:szCs w:val="24"/>
        </w:rPr>
        <w:t xml:space="preserve"> </w:t>
      </w:r>
      <w:r w:rsidR="005948E9" w:rsidRPr="00A40A5E">
        <w:rPr>
          <w:rFonts w:ascii="Times New Roman" w:hAnsi="Times New Roman" w:cs="Times New Roman"/>
          <w:color w:val="000000"/>
          <w:sz w:val="24"/>
          <w:szCs w:val="24"/>
        </w:rPr>
        <w:t xml:space="preserve">qui peuvent </w:t>
      </w:r>
      <w:r w:rsidR="001212DC" w:rsidRPr="00A40A5E">
        <w:rPr>
          <w:rFonts w:ascii="Times New Roman" w:hAnsi="Times New Roman" w:cs="Times New Roman"/>
          <w:color w:val="000000"/>
          <w:sz w:val="24"/>
          <w:szCs w:val="24"/>
        </w:rPr>
        <w:t>être</w:t>
      </w:r>
      <w:r w:rsidR="001212DC">
        <w:rPr>
          <w:rFonts w:ascii="Times New Roman" w:hAnsi="Times New Roman" w:cs="Times New Roman"/>
          <w:color w:val="000000"/>
          <w:sz w:val="24"/>
          <w:szCs w:val="24"/>
        </w:rPr>
        <w:t xml:space="preserve"> </w:t>
      </w:r>
      <w:r w:rsidR="00D95DEE">
        <w:rPr>
          <w:rFonts w:ascii="Times New Roman" w:hAnsi="Times New Roman" w:cs="Times New Roman"/>
          <w:color w:val="000000"/>
          <w:sz w:val="24"/>
          <w:szCs w:val="24"/>
        </w:rPr>
        <w:t>dues aux</w:t>
      </w:r>
      <w:r>
        <w:rPr>
          <w:rFonts w:ascii="Times New Roman" w:hAnsi="Times New Roman" w:cs="Times New Roman"/>
          <w:color w:val="000000"/>
          <w:sz w:val="24"/>
          <w:szCs w:val="24"/>
        </w:rPr>
        <w:t xml:space="preserve"> </w:t>
      </w:r>
      <w:r w:rsidRPr="00A40A5E">
        <w:rPr>
          <w:rFonts w:ascii="Times New Roman" w:hAnsi="Times New Roman" w:cs="Times New Roman"/>
          <w:color w:val="000000"/>
          <w:sz w:val="24"/>
          <w:szCs w:val="24"/>
        </w:rPr>
        <w:t xml:space="preserve">hydrocarbures (fioul, huiles) et autres matériaux de construction. En effet, l’activité </w:t>
      </w:r>
      <w:r>
        <w:rPr>
          <w:rFonts w:ascii="Times New Roman" w:hAnsi="Times New Roman" w:cs="Times New Roman"/>
          <w:color w:val="000000"/>
          <w:sz w:val="24"/>
          <w:szCs w:val="24"/>
        </w:rPr>
        <w:t xml:space="preserve">des engins de chantier et leur </w:t>
      </w:r>
      <w:r w:rsidRPr="00A40A5E">
        <w:rPr>
          <w:rFonts w:ascii="Times New Roman" w:hAnsi="Times New Roman" w:cs="Times New Roman"/>
          <w:color w:val="000000"/>
          <w:sz w:val="24"/>
          <w:szCs w:val="24"/>
        </w:rPr>
        <w:t>entretien peuvent être à l’origine de déversements accidentels d’hydrocarbures ou</w:t>
      </w:r>
      <w:r>
        <w:rPr>
          <w:rFonts w:ascii="Times New Roman" w:hAnsi="Times New Roman" w:cs="Times New Roman"/>
          <w:color w:val="000000"/>
          <w:sz w:val="24"/>
          <w:szCs w:val="24"/>
        </w:rPr>
        <w:t xml:space="preserve"> d’huiles de graissage. Si les </w:t>
      </w:r>
      <w:r w:rsidRPr="00A40A5E">
        <w:rPr>
          <w:rFonts w:ascii="Times New Roman" w:hAnsi="Times New Roman" w:cs="Times New Roman"/>
          <w:color w:val="000000"/>
          <w:sz w:val="24"/>
          <w:szCs w:val="24"/>
        </w:rPr>
        <w:t xml:space="preserve">risques </w:t>
      </w:r>
      <w:r w:rsidR="00C36209" w:rsidRPr="00A40A5E">
        <w:rPr>
          <w:rFonts w:ascii="Times New Roman" w:hAnsi="Times New Roman" w:cs="Times New Roman"/>
          <w:color w:val="000000"/>
          <w:sz w:val="24"/>
          <w:szCs w:val="24"/>
        </w:rPr>
        <w:t xml:space="preserve">d’aboutir </w:t>
      </w:r>
      <w:r w:rsidR="00630320" w:rsidRPr="00A40A5E">
        <w:rPr>
          <w:rFonts w:ascii="Times New Roman" w:hAnsi="Times New Roman" w:cs="Times New Roman"/>
          <w:color w:val="000000"/>
          <w:sz w:val="24"/>
          <w:szCs w:val="24"/>
        </w:rPr>
        <w:t xml:space="preserve">à une pollution significative sont plus faibles que ceux liés aux </w:t>
      </w:r>
      <w:r w:rsidR="00630320" w:rsidRPr="003562BC">
        <w:rPr>
          <w:rFonts w:ascii="Times New Roman" w:hAnsi="Times New Roman" w:cs="Times New Roman"/>
          <w:color w:val="000000"/>
          <w:sz w:val="24"/>
          <w:szCs w:val="24"/>
        </w:rPr>
        <w:t>M.E.S</w:t>
      </w:r>
      <w:r w:rsidR="00630320" w:rsidRPr="00A40A5E">
        <w:rPr>
          <w:rFonts w:ascii="Times New Roman" w:hAnsi="Times New Roman" w:cs="Times New Roman"/>
          <w:color w:val="000000"/>
          <w:sz w:val="24"/>
          <w:szCs w:val="24"/>
        </w:rPr>
        <w:t>.</w:t>
      </w:r>
      <w:r w:rsidR="00630320">
        <w:rPr>
          <w:rFonts w:ascii="Times New Roman" w:hAnsi="Times New Roman" w:cs="Times New Roman"/>
          <w:color w:val="000000"/>
          <w:sz w:val="24"/>
          <w:szCs w:val="24"/>
        </w:rPr>
        <w:t xml:space="preserve"> leurs effets sont par</w:t>
      </w:r>
      <w:r>
        <w:rPr>
          <w:rFonts w:ascii="Times New Roman" w:hAnsi="Times New Roman" w:cs="Times New Roman"/>
          <w:color w:val="000000"/>
          <w:sz w:val="24"/>
          <w:szCs w:val="24"/>
        </w:rPr>
        <w:t xml:space="preserve"> </w:t>
      </w:r>
      <w:r w:rsidR="00630320">
        <w:rPr>
          <w:rFonts w:ascii="Times New Roman" w:hAnsi="Times New Roman" w:cs="Times New Roman"/>
          <w:color w:val="000000"/>
          <w:sz w:val="24"/>
          <w:szCs w:val="24"/>
        </w:rPr>
        <w:t>contre plus durables</w:t>
      </w:r>
      <w:r>
        <w:rPr>
          <w:rFonts w:ascii="Times New Roman" w:hAnsi="Times New Roman" w:cs="Times New Roman"/>
          <w:color w:val="000000"/>
          <w:sz w:val="24"/>
          <w:szCs w:val="24"/>
        </w:rPr>
        <w:t xml:space="preserve">.  Des </w:t>
      </w:r>
      <w:r w:rsidRPr="00A40A5E">
        <w:rPr>
          <w:rFonts w:ascii="Times New Roman" w:hAnsi="Times New Roman" w:cs="Times New Roman"/>
          <w:color w:val="000000"/>
          <w:sz w:val="24"/>
          <w:szCs w:val="24"/>
        </w:rPr>
        <w:t xml:space="preserve">mesures appropriées </w:t>
      </w:r>
      <w:r w:rsidR="007D1232" w:rsidRPr="00A40A5E">
        <w:rPr>
          <w:rFonts w:ascii="Times New Roman" w:hAnsi="Times New Roman" w:cs="Times New Roman"/>
          <w:color w:val="000000"/>
          <w:sz w:val="24"/>
          <w:szCs w:val="24"/>
        </w:rPr>
        <w:t xml:space="preserve">de </w:t>
      </w:r>
      <w:r w:rsidR="00030D72" w:rsidRPr="00A40A5E">
        <w:rPr>
          <w:rFonts w:ascii="Times New Roman" w:hAnsi="Times New Roman" w:cs="Times New Roman"/>
          <w:color w:val="000000"/>
          <w:sz w:val="24"/>
          <w:szCs w:val="24"/>
        </w:rPr>
        <w:t>gestion des</w:t>
      </w:r>
      <w:r w:rsidRPr="00A40A5E">
        <w:rPr>
          <w:rFonts w:ascii="Times New Roman" w:hAnsi="Times New Roman" w:cs="Times New Roman"/>
          <w:color w:val="000000"/>
          <w:sz w:val="24"/>
          <w:szCs w:val="24"/>
        </w:rPr>
        <w:t xml:space="preserve"> </w:t>
      </w:r>
      <w:r w:rsidR="005948E9" w:rsidRPr="00A40A5E">
        <w:rPr>
          <w:rFonts w:ascii="Times New Roman" w:hAnsi="Times New Roman" w:cs="Times New Roman"/>
          <w:color w:val="000000"/>
          <w:sz w:val="24"/>
          <w:szCs w:val="24"/>
        </w:rPr>
        <w:t xml:space="preserve">engins </w:t>
      </w:r>
      <w:r w:rsidR="001212DC" w:rsidRPr="00A40A5E">
        <w:rPr>
          <w:rFonts w:ascii="Times New Roman" w:hAnsi="Times New Roman" w:cs="Times New Roman"/>
          <w:color w:val="000000"/>
          <w:sz w:val="24"/>
          <w:szCs w:val="24"/>
        </w:rPr>
        <w:t xml:space="preserve">de </w:t>
      </w:r>
      <w:r w:rsidR="00C36209" w:rsidRPr="00A40A5E">
        <w:rPr>
          <w:rFonts w:ascii="Times New Roman" w:hAnsi="Times New Roman" w:cs="Times New Roman"/>
          <w:color w:val="000000"/>
          <w:sz w:val="24"/>
          <w:szCs w:val="24"/>
        </w:rPr>
        <w:t>terrassement</w:t>
      </w:r>
      <w:r w:rsidR="00C36209">
        <w:rPr>
          <w:rFonts w:ascii="Times New Roman" w:hAnsi="Times New Roman" w:cs="Times New Roman"/>
          <w:color w:val="000000"/>
          <w:sz w:val="24"/>
          <w:szCs w:val="24"/>
        </w:rPr>
        <w:t>, de remblaiement et</w:t>
      </w:r>
      <w:r>
        <w:rPr>
          <w:rFonts w:ascii="Times New Roman" w:hAnsi="Times New Roman" w:cs="Times New Roman"/>
          <w:color w:val="000000"/>
          <w:sz w:val="24"/>
          <w:szCs w:val="24"/>
        </w:rPr>
        <w:t xml:space="preserve"> </w:t>
      </w:r>
      <w:r w:rsidRPr="00A40A5E">
        <w:rPr>
          <w:rFonts w:ascii="Times New Roman" w:hAnsi="Times New Roman" w:cs="Times New Roman"/>
          <w:color w:val="000000"/>
          <w:sz w:val="24"/>
          <w:szCs w:val="24"/>
        </w:rPr>
        <w:t>d’excavation sont toutefois de rigueur pour minimiser les risques de contamination des sols et du plan d’eau.</w:t>
      </w:r>
      <w:r w:rsidR="003207B8">
        <w:rPr>
          <w:rFonts w:ascii="Times New Roman" w:hAnsi="Times New Roman" w:cs="Times New Roman"/>
          <w:color w:val="000000"/>
          <w:sz w:val="24"/>
          <w:szCs w:val="24"/>
        </w:rPr>
        <w:t xml:space="preserve"> </w:t>
      </w:r>
    </w:p>
    <w:tbl>
      <w:tblPr>
        <w:tblpPr w:leftFromText="141" w:rightFromText="141" w:vertAnchor="text" w:horzAnchor="margin" w:tblpXSpec="right" w:tblpY="469"/>
        <w:tblW w:w="3153" w:type="dxa"/>
        <w:tblBorders>
          <w:top w:val="single" w:sz="4" w:space="0" w:color="auto"/>
          <w:left w:val="dashDotStroked" w:sz="24" w:space="0" w:color="auto"/>
          <w:bottom w:val="dashDotStroked" w:sz="24" w:space="0" w:color="auto"/>
          <w:right w:val="dashDotStroked" w:sz="24" w:space="0" w:color="auto"/>
          <w:insideH w:val="single" w:sz="4" w:space="0" w:color="auto"/>
          <w:insideV w:val="dashDotStroked" w:sz="24" w:space="0" w:color="auto"/>
        </w:tblBorders>
        <w:tblLook w:val="04A0" w:firstRow="1" w:lastRow="0" w:firstColumn="1" w:lastColumn="0" w:noHBand="0" w:noVBand="1"/>
      </w:tblPr>
      <w:tblGrid>
        <w:gridCol w:w="1507"/>
        <w:gridCol w:w="1190"/>
        <w:gridCol w:w="456"/>
      </w:tblGrid>
      <w:tr w:rsidR="003207B8" w:rsidRPr="00AA45E9" w:rsidTr="003207B8">
        <w:tc>
          <w:tcPr>
            <w:tcW w:w="3153" w:type="dxa"/>
            <w:gridSpan w:val="3"/>
            <w:tcBorders>
              <w:bottom w:val="single" w:sz="4" w:space="0" w:color="auto"/>
            </w:tcBorders>
            <w:shd w:val="clear" w:color="auto" w:fill="002060"/>
          </w:tcPr>
          <w:p w:rsidR="003207B8" w:rsidRPr="00867483" w:rsidRDefault="003207B8" w:rsidP="003207B8">
            <w:pPr>
              <w:spacing w:after="0" w:line="240" w:lineRule="auto"/>
              <w:jc w:val="center"/>
              <w:rPr>
                <w:rFonts w:ascii="Times New Roman" w:hAnsi="Times New Roman"/>
                <w:b/>
                <w:sz w:val="24"/>
                <w:szCs w:val="24"/>
              </w:rPr>
            </w:pPr>
            <w:r w:rsidRPr="00867483">
              <w:rPr>
                <w:rFonts w:ascii="Times New Roman" w:hAnsi="Times New Roman"/>
                <w:b/>
                <w:sz w:val="24"/>
                <w:szCs w:val="24"/>
              </w:rPr>
              <w:t>Caractérisation de l’impact</w:t>
            </w:r>
          </w:p>
        </w:tc>
      </w:tr>
      <w:tr w:rsidR="00E96A04" w:rsidRPr="00AA45E9" w:rsidTr="00247507">
        <w:tc>
          <w:tcPr>
            <w:tcW w:w="1507" w:type="dxa"/>
            <w:tcBorders>
              <w:bottom w:val="single" w:sz="4" w:space="0" w:color="auto"/>
              <w:right w:val="single" w:sz="4" w:space="0" w:color="auto"/>
            </w:tcBorders>
            <w:shd w:val="clear" w:color="auto" w:fill="002060"/>
          </w:tcPr>
          <w:p w:rsidR="00E96A04" w:rsidRPr="00AA45E9" w:rsidRDefault="00E96A04" w:rsidP="003207B8">
            <w:pPr>
              <w:spacing w:after="0" w:line="240" w:lineRule="auto"/>
              <w:jc w:val="center"/>
              <w:rPr>
                <w:rFonts w:ascii="Times New Roman" w:hAnsi="Times New Roman"/>
                <w:b/>
                <w:sz w:val="24"/>
                <w:szCs w:val="24"/>
              </w:rPr>
            </w:pPr>
            <w:r>
              <w:rPr>
                <w:rFonts w:ascii="Times New Roman" w:hAnsi="Times New Roman"/>
                <w:b/>
                <w:sz w:val="24"/>
                <w:szCs w:val="24"/>
              </w:rPr>
              <w:t xml:space="preserve">Nature </w:t>
            </w:r>
          </w:p>
        </w:tc>
        <w:tc>
          <w:tcPr>
            <w:tcW w:w="1646" w:type="dxa"/>
            <w:gridSpan w:val="2"/>
            <w:tcBorders>
              <w:left w:val="single" w:sz="4" w:space="0" w:color="auto"/>
              <w:bottom w:val="single" w:sz="4" w:space="0" w:color="auto"/>
            </w:tcBorders>
            <w:shd w:val="clear" w:color="auto" w:fill="auto"/>
          </w:tcPr>
          <w:p w:rsidR="00E96A04" w:rsidRPr="00867483" w:rsidRDefault="00E96A04" w:rsidP="003207B8">
            <w:pPr>
              <w:spacing w:after="0" w:line="240" w:lineRule="auto"/>
              <w:jc w:val="center"/>
              <w:rPr>
                <w:rFonts w:ascii="Times New Roman" w:hAnsi="Times New Roman"/>
                <w:sz w:val="24"/>
                <w:szCs w:val="24"/>
              </w:rPr>
            </w:pPr>
            <w:r w:rsidRPr="00E96A04">
              <w:rPr>
                <w:rFonts w:ascii="Times New Roman" w:hAnsi="Times New Roman"/>
                <w:b/>
                <w:sz w:val="24"/>
                <w:szCs w:val="24"/>
              </w:rPr>
              <w:t>Négatif</w:t>
            </w:r>
          </w:p>
        </w:tc>
      </w:tr>
      <w:tr w:rsidR="003207B8" w:rsidRPr="00AA45E9" w:rsidTr="003207B8">
        <w:tc>
          <w:tcPr>
            <w:tcW w:w="1507" w:type="dxa"/>
            <w:tcBorders>
              <w:bottom w:val="single" w:sz="4" w:space="0" w:color="auto"/>
              <w:right w:val="single" w:sz="4" w:space="0" w:color="auto"/>
            </w:tcBorders>
            <w:shd w:val="clear" w:color="auto" w:fill="002060"/>
          </w:tcPr>
          <w:p w:rsidR="003207B8" w:rsidRPr="00AA45E9" w:rsidRDefault="003207B8" w:rsidP="003207B8">
            <w:pPr>
              <w:spacing w:after="0" w:line="240" w:lineRule="auto"/>
              <w:jc w:val="center"/>
              <w:rPr>
                <w:rFonts w:ascii="Times New Roman" w:hAnsi="Times New Roman"/>
                <w:b/>
                <w:sz w:val="24"/>
                <w:szCs w:val="24"/>
              </w:rPr>
            </w:pPr>
            <w:r w:rsidRPr="00AA45E9">
              <w:rPr>
                <w:rFonts w:ascii="Times New Roman" w:hAnsi="Times New Roman"/>
                <w:b/>
                <w:sz w:val="24"/>
                <w:szCs w:val="24"/>
              </w:rPr>
              <w:t>Intensité</w:t>
            </w:r>
          </w:p>
        </w:tc>
        <w:tc>
          <w:tcPr>
            <w:tcW w:w="1190" w:type="dxa"/>
            <w:tcBorders>
              <w:left w:val="single" w:sz="4" w:space="0" w:color="auto"/>
              <w:bottom w:val="single" w:sz="4" w:space="0" w:color="auto"/>
              <w:right w:val="single" w:sz="4" w:space="0" w:color="auto"/>
            </w:tcBorders>
            <w:shd w:val="clear" w:color="auto" w:fill="auto"/>
          </w:tcPr>
          <w:p w:rsidR="003207B8" w:rsidRPr="00867483" w:rsidRDefault="003207B8" w:rsidP="003207B8">
            <w:pPr>
              <w:spacing w:after="0" w:line="240" w:lineRule="auto"/>
              <w:jc w:val="center"/>
              <w:rPr>
                <w:rFonts w:ascii="Times New Roman" w:hAnsi="Times New Roman"/>
                <w:sz w:val="24"/>
                <w:szCs w:val="24"/>
              </w:rPr>
            </w:pPr>
            <w:r w:rsidRPr="00867483">
              <w:rPr>
                <w:rFonts w:ascii="Times New Roman" w:hAnsi="Times New Roman"/>
                <w:sz w:val="24"/>
                <w:szCs w:val="24"/>
              </w:rPr>
              <w:t>Forte</w:t>
            </w:r>
          </w:p>
        </w:tc>
        <w:tc>
          <w:tcPr>
            <w:tcW w:w="456" w:type="dxa"/>
            <w:tcBorders>
              <w:left w:val="single" w:sz="4" w:space="0" w:color="auto"/>
              <w:bottom w:val="single" w:sz="4" w:space="0" w:color="auto"/>
            </w:tcBorders>
            <w:shd w:val="clear" w:color="auto" w:fill="auto"/>
          </w:tcPr>
          <w:p w:rsidR="003207B8" w:rsidRPr="00867483" w:rsidRDefault="003207B8" w:rsidP="003207B8">
            <w:pPr>
              <w:spacing w:after="0" w:line="240" w:lineRule="auto"/>
              <w:jc w:val="center"/>
              <w:rPr>
                <w:rFonts w:ascii="Times New Roman" w:hAnsi="Times New Roman"/>
                <w:sz w:val="24"/>
                <w:szCs w:val="24"/>
              </w:rPr>
            </w:pPr>
            <w:r w:rsidRPr="00867483">
              <w:rPr>
                <w:rFonts w:ascii="Times New Roman" w:hAnsi="Times New Roman"/>
                <w:sz w:val="24"/>
                <w:szCs w:val="24"/>
              </w:rPr>
              <w:t>5</w:t>
            </w:r>
          </w:p>
        </w:tc>
      </w:tr>
      <w:tr w:rsidR="003207B8" w:rsidRPr="00AA45E9" w:rsidTr="003207B8">
        <w:tc>
          <w:tcPr>
            <w:tcW w:w="1507" w:type="dxa"/>
            <w:tcBorders>
              <w:bottom w:val="single" w:sz="4" w:space="0" w:color="auto"/>
              <w:right w:val="single" w:sz="4" w:space="0" w:color="auto"/>
            </w:tcBorders>
            <w:shd w:val="clear" w:color="auto" w:fill="002060"/>
          </w:tcPr>
          <w:p w:rsidR="003207B8" w:rsidRPr="00AA45E9" w:rsidRDefault="003207B8" w:rsidP="003207B8">
            <w:pPr>
              <w:spacing w:after="0" w:line="240" w:lineRule="auto"/>
              <w:jc w:val="center"/>
              <w:rPr>
                <w:rFonts w:ascii="Times New Roman" w:hAnsi="Times New Roman"/>
                <w:sz w:val="24"/>
                <w:szCs w:val="24"/>
              </w:rPr>
            </w:pPr>
            <w:r w:rsidRPr="00AA45E9">
              <w:rPr>
                <w:rFonts w:ascii="Times New Roman" w:hAnsi="Times New Roman"/>
                <w:b/>
                <w:sz w:val="24"/>
                <w:szCs w:val="24"/>
              </w:rPr>
              <w:t>Etendue</w:t>
            </w:r>
          </w:p>
        </w:tc>
        <w:tc>
          <w:tcPr>
            <w:tcW w:w="1190" w:type="dxa"/>
            <w:tcBorders>
              <w:left w:val="single" w:sz="4" w:space="0" w:color="auto"/>
              <w:bottom w:val="single" w:sz="4" w:space="0" w:color="auto"/>
              <w:right w:val="single" w:sz="4" w:space="0" w:color="auto"/>
            </w:tcBorders>
          </w:tcPr>
          <w:p w:rsidR="003207B8" w:rsidRPr="00867483" w:rsidRDefault="00D96D77" w:rsidP="003207B8">
            <w:pPr>
              <w:spacing w:after="0" w:line="240" w:lineRule="auto"/>
              <w:jc w:val="center"/>
              <w:rPr>
                <w:rFonts w:ascii="Times New Roman" w:hAnsi="Times New Roman"/>
                <w:sz w:val="24"/>
                <w:szCs w:val="24"/>
              </w:rPr>
            </w:pPr>
            <w:r>
              <w:rPr>
                <w:rFonts w:ascii="Times New Roman" w:hAnsi="Times New Roman"/>
                <w:sz w:val="24"/>
                <w:szCs w:val="24"/>
              </w:rPr>
              <w:t>Locale</w:t>
            </w:r>
          </w:p>
        </w:tc>
        <w:tc>
          <w:tcPr>
            <w:tcW w:w="456" w:type="dxa"/>
            <w:tcBorders>
              <w:left w:val="single" w:sz="4" w:space="0" w:color="auto"/>
              <w:bottom w:val="single" w:sz="4" w:space="0" w:color="auto"/>
            </w:tcBorders>
          </w:tcPr>
          <w:p w:rsidR="003207B8" w:rsidRPr="00867483" w:rsidRDefault="00D96D77" w:rsidP="003207B8">
            <w:pPr>
              <w:spacing w:after="0" w:line="240" w:lineRule="auto"/>
              <w:jc w:val="center"/>
              <w:rPr>
                <w:rFonts w:ascii="Times New Roman" w:hAnsi="Times New Roman"/>
                <w:sz w:val="24"/>
                <w:szCs w:val="24"/>
              </w:rPr>
            </w:pPr>
            <w:r>
              <w:rPr>
                <w:rFonts w:ascii="Times New Roman" w:hAnsi="Times New Roman"/>
                <w:sz w:val="24"/>
                <w:szCs w:val="24"/>
              </w:rPr>
              <w:t>3</w:t>
            </w:r>
          </w:p>
        </w:tc>
      </w:tr>
      <w:tr w:rsidR="003207B8" w:rsidRPr="00AA45E9" w:rsidTr="003207B8">
        <w:tc>
          <w:tcPr>
            <w:tcW w:w="1507" w:type="dxa"/>
            <w:tcBorders>
              <w:bottom w:val="single" w:sz="4" w:space="0" w:color="auto"/>
              <w:right w:val="single" w:sz="4" w:space="0" w:color="auto"/>
            </w:tcBorders>
            <w:shd w:val="clear" w:color="auto" w:fill="002060"/>
          </w:tcPr>
          <w:p w:rsidR="003207B8" w:rsidRDefault="003207B8" w:rsidP="003207B8">
            <w:pPr>
              <w:spacing w:after="0" w:line="240" w:lineRule="auto"/>
              <w:jc w:val="center"/>
              <w:rPr>
                <w:rFonts w:ascii="Times New Roman" w:hAnsi="Times New Roman"/>
                <w:sz w:val="24"/>
                <w:szCs w:val="24"/>
              </w:rPr>
            </w:pPr>
            <w:r w:rsidRPr="00AA45E9">
              <w:rPr>
                <w:rFonts w:ascii="Times New Roman" w:hAnsi="Times New Roman"/>
                <w:b/>
                <w:sz w:val="24"/>
                <w:szCs w:val="24"/>
              </w:rPr>
              <w:t>Durée</w:t>
            </w:r>
          </w:p>
        </w:tc>
        <w:tc>
          <w:tcPr>
            <w:tcW w:w="1190" w:type="dxa"/>
            <w:tcBorders>
              <w:left w:val="single" w:sz="4" w:space="0" w:color="auto"/>
              <w:bottom w:val="single" w:sz="4" w:space="0" w:color="auto"/>
              <w:right w:val="single" w:sz="4" w:space="0" w:color="auto"/>
            </w:tcBorders>
          </w:tcPr>
          <w:p w:rsidR="003207B8" w:rsidRPr="00867483" w:rsidRDefault="00D96D77" w:rsidP="003207B8">
            <w:pPr>
              <w:spacing w:after="0" w:line="240" w:lineRule="auto"/>
              <w:jc w:val="center"/>
              <w:rPr>
                <w:rFonts w:ascii="Times New Roman" w:hAnsi="Times New Roman"/>
                <w:sz w:val="24"/>
                <w:szCs w:val="24"/>
              </w:rPr>
            </w:pPr>
            <w:r>
              <w:rPr>
                <w:rFonts w:ascii="Times New Roman" w:hAnsi="Times New Roman"/>
                <w:sz w:val="24"/>
                <w:szCs w:val="24"/>
              </w:rPr>
              <w:t>Moyenne</w:t>
            </w:r>
          </w:p>
        </w:tc>
        <w:tc>
          <w:tcPr>
            <w:tcW w:w="456" w:type="dxa"/>
            <w:tcBorders>
              <w:left w:val="single" w:sz="4" w:space="0" w:color="auto"/>
              <w:bottom w:val="single" w:sz="4" w:space="0" w:color="auto"/>
            </w:tcBorders>
          </w:tcPr>
          <w:p w:rsidR="003207B8" w:rsidRPr="00867483" w:rsidRDefault="00D96D77" w:rsidP="003207B8">
            <w:pPr>
              <w:spacing w:after="0" w:line="240" w:lineRule="auto"/>
              <w:jc w:val="center"/>
              <w:rPr>
                <w:rFonts w:ascii="Times New Roman" w:hAnsi="Times New Roman"/>
                <w:sz w:val="24"/>
                <w:szCs w:val="24"/>
              </w:rPr>
            </w:pPr>
            <w:r>
              <w:rPr>
                <w:rFonts w:ascii="Times New Roman" w:hAnsi="Times New Roman"/>
                <w:sz w:val="24"/>
                <w:szCs w:val="24"/>
              </w:rPr>
              <w:t>3</w:t>
            </w:r>
          </w:p>
        </w:tc>
      </w:tr>
      <w:tr w:rsidR="003207B8" w:rsidRPr="00AA45E9" w:rsidTr="00FC410F">
        <w:tc>
          <w:tcPr>
            <w:tcW w:w="3153" w:type="dxa"/>
            <w:gridSpan w:val="3"/>
            <w:tcBorders>
              <w:bottom w:val="single" w:sz="4" w:space="0" w:color="auto"/>
            </w:tcBorders>
            <w:shd w:val="clear" w:color="auto" w:fill="FFFFFF" w:themeFill="background1"/>
          </w:tcPr>
          <w:p w:rsidR="003207B8" w:rsidRPr="00867483" w:rsidRDefault="003207B8" w:rsidP="003207B8">
            <w:pPr>
              <w:spacing w:after="0" w:line="240" w:lineRule="auto"/>
              <w:jc w:val="center"/>
              <w:rPr>
                <w:rFonts w:ascii="Times New Roman" w:hAnsi="Times New Roman"/>
                <w:sz w:val="6"/>
                <w:szCs w:val="6"/>
              </w:rPr>
            </w:pPr>
          </w:p>
        </w:tc>
      </w:tr>
      <w:tr w:rsidR="003207B8" w:rsidRPr="00AA45E9" w:rsidTr="00D96D77">
        <w:tc>
          <w:tcPr>
            <w:tcW w:w="1507" w:type="dxa"/>
            <w:tcBorders>
              <w:bottom w:val="dashDotStroked" w:sz="24" w:space="0" w:color="auto"/>
              <w:right w:val="single" w:sz="4" w:space="0" w:color="auto"/>
            </w:tcBorders>
            <w:shd w:val="clear" w:color="auto" w:fill="002060"/>
          </w:tcPr>
          <w:p w:rsidR="003207B8" w:rsidRPr="00AA45E9" w:rsidRDefault="003207B8" w:rsidP="003207B8">
            <w:pPr>
              <w:spacing w:after="0" w:line="240" w:lineRule="auto"/>
              <w:jc w:val="center"/>
              <w:rPr>
                <w:rFonts w:ascii="Times New Roman" w:hAnsi="Times New Roman"/>
                <w:b/>
                <w:sz w:val="24"/>
                <w:szCs w:val="24"/>
              </w:rPr>
            </w:pPr>
            <w:r w:rsidRPr="00AA45E9">
              <w:rPr>
                <w:rFonts w:ascii="Times New Roman" w:hAnsi="Times New Roman"/>
                <w:b/>
                <w:sz w:val="24"/>
                <w:szCs w:val="24"/>
              </w:rPr>
              <w:t>Importance</w:t>
            </w:r>
          </w:p>
        </w:tc>
        <w:tc>
          <w:tcPr>
            <w:tcW w:w="1190" w:type="dxa"/>
            <w:tcBorders>
              <w:left w:val="single" w:sz="4" w:space="0" w:color="auto"/>
              <w:bottom w:val="dashDotStroked" w:sz="24" w:space="0" w:color="auto"/>
              <w:right w:val="single" w:sz="4" w:space="0" w:color="auto"/>
            </w:tcBorders>
            <w:shd w:val="clear" w:color="auto" w:fill="FFFF00"/>
          </w:tcPr>
          <w:p w:rsidR="003207B8" w:rsidRPr="00D96D77" w:rsidRDefault="00D96D77" w:rsidP="003207B8">
            <w:pPr>
              <w:spacing w:after="0" w:line="240" w:lineRule="auto"/>
              <w:jc w:val="center"/>
              <w:rPr>
                <w:rFonts w:ascii="Times New Roman" w:hAnsi="Times New Roman"/>
                <w:b/>
                <w:sz w:val="24"/>
                <w:szCs w:val="24"/>
              </w:rPr>
            </w:pPr>
            <w:r w:rsidRPr="00D96D77">
              <w:rPr>
                <w:rFonts w:ascii="Times New Roman" w:hAnsi="Times New Roman"/>
                <w:b/>
                <w:sz w:val="24"/>
                <w:szCs w:val="24"/>
              </w:rPr>
              <w:t>Moyenne</w:t>
            </w:r>
          </w:p>
        </w:tc>
        <w:tc>
          <w:tcPr>
            <w:tcW w:w="456" w:type="dxa"/>
            <w:tcBorders>
              <w:left w:val="single" w:sz="4" w:space="0" w:color="auto"/>
              <w:bottom w:val="dashDotStroked" w:sz="24" w:space="0" w:color="auto"/>
            </w:tcBorders>
            <w:shd w:val="clear" w:color="auto" w:fill="FFFF00"/>
          </w:tcPr>
          <w:p w:rsidR="003207B8" w:rsidRPr="008E6D9C" w:rsidRDefault="00D96D77" w:rsidP="003207B8">
            <w:pPr>
              <w:spacing w:after="0" w:line="240" w:lineRule="auto"/>
              <w:jc w:val="center"/>
              <w:rPr>
                <w:rFonts w:ascii="Times New Roman" w:hAnsi="Times New Roman"/>
                <w:b/>
                <w:sz w:val="24"/>
                <w:szCs w:val="24"/>
              </w:rPr>
            </w:pPr>
            <w:r>
              <w:rPr>
                <w:rFonts w:ascii="Times New Roman" w:hAnsi="Times New Roman"/>
                <w:b/>
                <w:sz w:val="24"/>
                <w:szCs w:val="24"/>
              </w:rPr>
              <w:t>4</w:t>
            </w:r>
            <w:r w:rsidR="003207B8" w:rsidRPr="008E6D9C">
              <w:rPr>
                <w:rFonts w:ascii="Times New Roman" w:hAnsi="Times New Roman"/>
                <w:b/>
                <w:sz w:val="24"/>
                <w:szCs w:val="24"/>
              </w:rPr>
              <w:t>5</w:t>
            </w:r>
          </w:p>
        </w:tc>
      </w:tr>
    </w:tbl>
    <w:p w:rsidR="001C353E" w:rsidRDefault="001C353E" w:rsidP="00FA3FAE">
      <w:pPr>
        <w:pStyle w:val="PargrafodaLista"/>
        <w:numPr>
          <w:ilvl w:val="0"/>
          <w:numId w:val="41"/>
        </w:numPr>
        <w:pBdr>
          <w:bottom w:val="dashDotStroked" w:sz="24" w:space="1" w:color="auto"/>
        </w:pBdr>
        <w:jc w:val="both"/>
        <w:rPr>
          <w:rFonts w:ascii="Times New Roman" w:hAnsi="Times New Roman"/>
          <w:b/>
          <w:sz w:val="24"/>
          <w:szCs w:val="24"/>
        </w:rPr>
      </w:pPr>
      <w:r w:rsidRPr="008103F9">
        <w:rPr>
          <w:rFonts w:ascii="Times New Roman" w:hAnsi="Times New Roman"/>
          <w:b/>
          <w:sz w:val="24"/>
          <w:szCs w:val="24"/>
        </w:rPr>
        <w:t xml:space="preserve">Impacts négatifs attendus sur les eaux de surface et souterraines </w:t>
      </w:r>
    </w:p>
    <w:p w:rsidR="004B4A24" w:rsidRDefault="003D077F" w:rsidP="003D077F">
      <w:pPr>
        <w:jc w:val="both"/>
        <w:rPr>
          <w:rFonts w:ascii="Times New Roman" w:hAnsi="Times New Roman" w:cs="Times New Roman"/>
          <w:color w:val="000000"/>
          <w:sz w:val="24"/>
          <w:szCs w:val="24"/>
        </w:rPr>
      </w:pPr>
      <w:r w:rsidRPr="001C353E">
        <w:rPr>
          <w:rFonts w:ascii="Times New Roman" w:hAnsi="Times New Roman" w:cs="Times New Roman"/>
          <w:color w:val="000000"/>
          <w:sz w:val="24"/>
          <w:szCs w:val="24"/>
        </w:rPr>
        <w:t>La Guinée-Bissau appartient à une zone très pluvieuse avec des ruissellements importants et donc des lessivages du sol assez marqué</w:t>
      </w:r>
      <w:r>
        <w:rPr>
          <w:rFonts w:ascii="Times New Roman" w:hAnsi="Times New Roman" w:cs="Times New Roman"/>
          <w:color w:val="000000"/>
          <w:sz w:val="24"/>
          <w:szCs w:val="24"/>
        </w:rPr>
        <w:t>.</w:t>
      </w:r>
      <w:r w:rsidRPr="004B4A24">
        <w:rPr>
          <w:rFonts w:ascii="Times New Roman" w:hAnsi="Times New Roman" w:cs="Times New Roman"/>
          <w:color w:val="000000"/>
          <w:sz w:val="24"/>
          <w:szCs w:val="24"/>
        </w:rPr>
        <w:t xml:space="preserve"> </w:t>
      </w:r>
      <w:r>
        <w:rPr>
          <w:rFonts w:ascii="Times New Roman" w:hAnsi="Times New Roman" w:cs="Times New Roman"/>
          <w:color w:val="000000"/>
          <w:sz w:val="24"/>
          <w:szCs w:val="24"/>
        </w:rPr>
        <w:t>Ainsi, pendant les travaux</w:t>
      </w:r>
      <w:r w:rsidR="00A02399">
        <w:rPr>
          <w:rFonts w:ascii="Times New Roman" w:hAnsi="Times New Roman" w:cs="Times New Roman"/>
          <w:color w:val="000000"/>
          <w:sz w:val="24"/>
          <w:szCs w:val="24"/>
        </w:rPr>
        <w:t xml:space="preserve"> </w:t>
      </w:r>
      <w:r w:rsidR="002E56B3">
        <w:rPr>
          <w:rFonts w:ascii="Times New Roman" w:hAnsi="Times New Roman" w:cs="Times New Roman"/>
          <w:color w:val="000000"/>
          <w:sz w:val="24"/>
          <w:szCs w:val="24"/>
        </w:rPr>
        <w:t xml:space="preserve">de construction </w:t>
      </w:r>
      <w:r w:rsidR="00A02399">
        <w:rPr>
          <w:rFonts w:ascii="Times New Roman" w:hAnsi="Times New Roman" w:cs="Times New Roman"/>
          <w:color w:val="000000"/>
          <w:sz w:val="24"/>
          <w:szCs w:val="24"/>
        </w:rPr>
        <w:t>des réservoirs</w:t>
      </w:r>
      <w:r>
        <w:rPr>
          <w:rFonts w:ascii="Times New Roman" w:hAnsi="Times New Roman" w:cs="Times New Roman"/>
          <w:color w:val="000000"/>
          <w:sz w:val="24"/>
          <w:szCs w:val="24"/>
        </w:rPr>
        <w:t>, l</w:t>
      </w:r>
      <w:r w:rsidRPr="004B4A24">
        <w:rPr>
          <w:rFonts w:ascii="Times New Roman" w:hAnsi="Times New Roman" w:cs="Times New Roman"/>
          <w:color w:val="000000"/>
          <w:sz w:val="24"/>
          <w:szCs w:val="24"/>
        </w:rPr>
        <w:t>es rejets polluants</w:t>
      </w:r>
      <w:r>
        <w:rPr>
          <w:rFonts w:ascii="Times New Roman" w:hAnsi="Times New Roman" w:cs="Times New Roman"/>
          <w:color w:val="000000"/>
          <w:sz w:val="24"/>
          <w:szCs w:val="24"/>
        </w:rPr>
        <w:t xml:space="preserve"> </w:t>
      </w:r>
      <w:r w:rsidRPr="004B4A24">
        <w:rPr>
          <w:rFonts w:ascii="Times New Roman" w:hAnsi="Times New Roman" w:cs="Times New Roman"/>
          <w:color w:val="000000"/>
          <w:sz w:val="24"/>
          <w:szCs w:val="24"/>
        </w:rPr>
        <w:t>liquides ou so</w:t>
      </w:r>
      <w:r w:rsidR="00556647">
        <w:rPr>
          <w:rFonts w:ascii="Times New Roman" w:hAnsi="Times New Roman" w:cs="Times New Roman"/>
          <w:color w:val="000000"/>
          <w:sz w:val="24"/>
          <w:szCs w:val="24"/>
        </w:rPr>
        <w:t>lides provenant des chantiers (</w:t>
      </w:r>
      <w:r w:rsidRPr="004B4A24">
        <w:rPr>
          <w:rFonts w:ascii="Times New Roman" w:hAnsi="Times New Roman" w:cs="Times New Roman"/>
          <w:color w:val="000000"/>
          <w:sz w:val="24"/>
          <w:szCs w:val="24"/>
        </w:rPr>
        <w:t>peintures, chaux, e</w:t>
      </w:r>
      <w:r w:rsidR="00556647">
        <w:rPr>
          <w:rFonts w:ascii="Times New Roman" w:hAnsi="Times New Roman" w:cs="Times New Roman"/>
          <w:color w:val="000000"/>
          <w:sz w:val="24"/>
          <w:szCs w:val="24"/>
        </w:rPr>
        <w:t>aux usées, ciment,</w:t>
      </w:r>
      <w:r w:rsidRPr="004B4A24">
        <w:rPr>
          <w:rFonts w:ascii="Times New Roman" w:hAnsi="Times New Roman" w:cs="Times New Roman"/>
          <w:color w:val="000000"/>
          <w:sz w:val="24"/>
          <w:szCs w:val="24"/>
        </w:rPr>
        <w:t xml:space="preserve"> etc.</w:t>
      </w:r>
      <w:r w:rsidR="00556647">
        <w:rPr>
          <w:rFonts w:ascii="Times New Roman" w:hAnsi="Times New Roman" w:cs="Times New Roman"/>
          <w:color w:val="000000"/>
          <w:sz w:val="24"/>
          <w:szCs w:val="24"/>
        </w:rPr>
        <w:t xml:space="preserve">) pourraient facilement </w:t>
      </w:r>
      <w:r w:rsidR="00556647" w:rsidRPr="001C353E">
        <w:rPr>
          <w:rFonts w:ascii="Times New Roman" w:hAnsi="Times New Roman" w:cs="Times New Roman"/>
          <w:color w:val="000000"/>
          <w:sz w:val="24"/>
          <w:szCs w:val="24"/>
        </w:rPr>
        <w:t>se retrouver trans</w:t>
      </w:r>
      <w:r w:rsidR="00556647">
        <w:rPr>
          <w:rFonts w:ascii="Times New Roman" w:hAnsi="Times New Roman" w:cs="Times New Roman"/>
          <w:color w:val="000000"/>
          <w:sz w:val="24"/>
          <w:szCs w:val="24"/>
        </w:rPr>
        <w:t xml:space="preserve">portée vers les eaux de surface et </w:t>
      </w:r>
      <w:r w:rsidR="00A02399">
        <w:rPr>
          <w:rFonts w:ascii="Times New Roman" w:hAnsi="Times New Roman" w:cs="Times New Roman"/>
          <w:color w:val="000000"/>
          <w:sz w:val="24"/>
          <w:szCs w:val="24"/>
        </w:rPr>
        <w:t>polluer</w:t>
      </w:r>
      <w:r w:rsidR="00556647">
        <w:rPr>
          <w:rFonts w:ascii="Times New Roman" w:hAnsi="Times New Roman" w:cs="Times New Roman"/>
          <w:color w:val="000000"/>
          <w:sz w:val="24"/>
          <w:szCs w:val="24"/>
        </w:rPr>
        <w:t xml:space="preserve"> ainsi </w:t>
      </w:r>
      <w:r w:rsidR="00A02399">
        <w:rPr>
          <w:rFonts w:ascii="Times New Roman" w:hAnsi="Times New Roman" w:cs="Times New Roman"/>
          <w:color w:val="000000"/>
          <w:sz w:val="24"/>
          <w:szCs w:val="24"/>
        </w:rPr>
        <w:t>la qualité de l’eau.</w:t>
      </w:r>
    </w:p>
    <w:p w:rsidR="008E0B68" w:rsidRDefault="00EE585E" w:rsidP="00EE585E">
      <w:pPr>
        <w:jc w:val="both"/>
        <w:rPr>
          <w:rFonts w:ascii="Times New Roman" w:hAnsi="Times New Roman" w:cs="Times New Roman"/>
          <w:color w:val="000000"/>
          <w:sz w:val="24"/>
          <w:szCs w:val="24"/>
        </w:rPr>
      </w:pPr>
      <w:r w:rsidRPr="00EE585E">
        <w:rPr>
          <w:rFonts w:ascii="Times New Roman" w:hAnsi="Times New Roman" w:cs="Times New Roman"/>
          <w:color w:val="000000"/>
          <w:sz w:val="24"/>
          <w:szCs w:val="24"/>
        </w:rPr>
        <w:t xml:space="preserve">Pendant </w:t>
      </w:r>
      <w:r w:rsidR="00FC176E">
        <w:rPr>
          <w:rFonts w:ascii="Times New Roman" w:hAnsi="Times New Roman" w:cs="Times New Roman"/>
          <w:color w:val="000000"/>
          <w:sz w:val="24"/>
          <w:szCs w:val="24"/>
        </w:rPr>
        <w:t>l</w:t>
      </w:r>
      <w:r w:rsidRPr="00EE585E">
        <w:rPr>
          <w:rFonts w:ascii="Times New Roman" w:hAnsi="Times New Roman" w:cs="Times New Roman"/>
          <w:color w:val="000000"/>
          <w:sz w:val="24"/>
          <w:szCs w:val="24"/>
        </w:rPr>
        <w:t xml:space="preserve">es travaux de terrassement et d’excavation pourraient mettre les sols à nu et les exposer ainsi aux risques de pollution liés aux déversements accidentels de produits d’hydrocarbures. En cas de pluie, les eaux de ruissellement chargées de polluants pourraient s’infiltrer transportant ainsi la pollution vers les eaux souterraines. Ceci est particulièrement valable dans </w:t>
      </w:r>
      <w:r w:rsidR="00FC176E">
        <w:rPr>
          <w:rFonts w:ascii="Times New Roman" w:hAnsi="Times New Roman" w:cs="Times New Roman"/>
          <w:color w:val="000000"/>
          <w:sz w:val="24"/>
          <w:szCs w:val="24"/>
        </w:rPr>
        <w:t>l’ensemble des sites concernés</w:t>
      </w:r>
      <w:r w:rsidRPr="00EE585E">
        <w:rPr>
          <w:rFonts w:ascii="Times New Roman" w:hAnsi="Times New Roman" w:cs="Times New Roman"/>
          <w:color w:val="000000"/>
          <w:sz w:val="24"/>
          <w:szCs w:val="24"/>
        </w:rPr>
        <w:t xml:space="preserve"> </w:t>
      </w:r>
      <w:r w:rsidR="00FC176E">
        <w:rPr>
          <w:rFonts w:ascii="Times New Roman" w:hAnsi="Times New Roman" w:cs="Times New Roman"/>
          <w:color w:val="000000"/>
          <w:sz w:val="24"/>
          <w:szCs w:val="24"/>
        </w:rPr>
        <w:t xml:space="preserve">donc </w:t>
      </w:r>
      <w:r w:rsidRPr="00EE585E">
        <w:rPr>
          <w:rFonts w:ascii="Times New Roman" w:hAnsi="Times New Roman" w:cs="Times New Roman"/>
          <w:color w:val="000000"/>
          <w:sz w:val="24"/>
          <w:szCs w:val="24"/>
        </w:rPr>
        <w:t>le</w:t>
      </w:r>
      <w:r w:rsidR="00FC176E">
        <w:rPr>
          <w:rFonts w:ascii="Times New Roman" w:hAnsi="Times New Roman" w:cs="Times New Roman"/>
          <w:color w:val="000000"/>
          <w:sz w:val="24"/>
          <w:szCs w:val="24"/>
        </w:rPr>
        <w:t xml:space="preserve">s sols sont </w:t>
      </w:r>
      <w:r w:rsidRPr="00EE585E">
        <w:rPr>
          <w:rFonts w:ascii="Times New Roman" w:hAnsi="Times New Roman" w:cs="Times New Roman"/>
          <w:color w:val="000000"/>
          <w:sz w:val="24"/>
          <w:szCs w:val="24"/>
        </w:rPr>
        <w:t>plus sableux et donc retien</w:t>
      </w:r>
      <w:r w:rsidR="00FC176E">
        <w:rPr>
          <w:rFonts w:ascii="Times New Roman" w:hAnsi="Times New Roman" w:cs="Times New Roman"/>
          <w:color w:val="000000"/>
          <w:sz w:val="24"/>
          <w:szCs w:val="24"/>
        </w:rPr>
        <w:t>nen</w:t>
      </w:r>
      <w:r w:rsidRPr="00EE585E">
        <w:rPr>
          <w:rFonts w:ascii="Times New Roman" w:hAnsi="Times New Roman" w:cs="Times New Roman"/>
          <w:color w:val="000000"/>
          <w:sz w:val="24"/>
          <w:szCs w:val="24"/>
        </w:rPr>
        <w:t>t la pollution plus longtemps</w:t>
      </w:r>
      <w:r w:rsidR="002E56B3">
        <w:rPr>
          <w:rFonts w:ascii="Times New Roman" w:hAnsi="Times New Roman" w:cs="Times New Roman"/>
          <w:color w:val="000000"/>
          <w:sz w:val="24"/>
          <w:szCs w:val="24"/>
        </w:rPr>
        <w:t xml:space="preserve"> (à Prabis, à Bor et à Antula)</w:t>
      </w:r>
      <w:r w:rsidRPr="00EE585E">
        <w:rPr>
          <w:rFonts w:ascii="Times New Roman" w:hAnsi="Times New Roman" w:cs="Times New Roman"/>
          <w:color w:val="000000"/>
          <w:sz w:val="24"/>
          <w:szCs w:val="24"/>
        </w:rPr>
        <w:t xml:space="preserve">. Mais au vu de l’influence réduite de la zone des </w:t>
      </w:r>
      <w:r w:rsidR="00FC176E" w:rsidRPr="00EE585E">
        <w:rPr>
          <w:rFonts w:ascii="Times New Roman" w:hAnsi="Times New Roman" w:cs="Times New Roman"/>
          <w:color w:val="000000"/>
          <w:sz w:val="24"/>
          <w:szCs w:val="24"/>
        </w:rPr>
        <w:t>travaux les</w:t>
      </w:r>
      <w:r w:rsidRPr="00EE585E">
        <w:rPr>
          <w:rFonts w:ascii="Times New Roman" w:hAnsi="Times New Roman" w:cs="Times New Roman"/>
          <w:color w:val="000000"/>
          <w:sz w:val="24"/>
          <w:szCs w:val="24"/>
        </w:rPr>
        <w:t xml:space="preserve"> risques de diffusion de la pollution du sol vers les eaux de surface et ensuite les eaux sous-terraines sont faibles.  </w:t>
      </w:r>
    </w:p>
    <w:tbl>
      <w:tblPr>
        <w:tblpPr w:leftFromText="141" w:rightFromText="141" w:vertAnchor="text" w:horzAnchor="margin" w:tblpXSpec="right" w:tblpY="415"/>
        <w:tblW w:w="3153" w:type="dxa"/>
        <w:tblBorders>
          <w:top w:val="single" w:sz="4" w:space="0" w:color="auto"/>
          <w:left w:val="dashDotStroked" w:sz="24" w:space="0" w:color="auto"/>
          <w:bottom w:val="dashDotStroked" w:sz="24" w:space="0" w:color="auto"/>
          <w:right w:val="dashDotStroked" w:sz="24" w:space="0" w:color="auto"/>
          <w:insideH w:val="single" w:sz="4" w:space="0" w:color="auto"/>
          <w:insideV w:val="dashDotStroked" w:sz="24" w:space="0" w:color="auto"/>
        </w:tblBorders>
        <w:tblLook w:val="04A0" w:firstRow="1" w:lastRow="0" w:firstColumn="1" w:lastColumn="0" w:noHBand="0" w:noVBand="1"/>
      </w:tblPr>
      <w:tblGrid>
        <w:gridCol w:w="1507"/>
        <w:gridCol w:w="1190"/>
        <w:gridCol w:w="456"/>
      </w:tblGrid>
      <w:tr w:rsidR="00FC410F" w:rsidRPr="00AA45E9" w:rsidTr="00FC410F">
        <w:tc>
          <w:tcPr>
            <w:tcW w:w="3153" w:type="dxa"/>
            <w:gridSpan w:val="3"/>
            <w:tcBorders>
              <w:bottom w:val="single" w:sz="4" w:space="0" w:color="auto"/>
            </w:tcBorders>
            <w:shd w:val="clear" w:color="auto" w:fill="002060"/>
          </w:tcPr>
          <w:p w:rsidR="00FC410F" w:rsidRPr="00867483" w:rsidRDefault="00FC410F" w:rsidP="00FC410F">
            <w:pPr>
              <w:spacing w:after="0" w:line="240" w:lineRule="auto"/>
              <w:jc w:val="center"/>
              <w:rPr>
                <w:rFonts w:ascii="Times New Roman" w:hAnsi="Times New Roman"/>
                <w:b/>
                <w:sz w:val="24"/>
                <w:szCs w:val="24"/>
              </w:rPr>
            </w:pPr>
            <w:r w:rsidRPr="00867483">
              <w:rPr>
                <w:rFonts w:ascii="Times New Roman" w:hAnsi="Times New Roman"/>
                <w:b/>
                <w:sz w:val="24"/>
                <w:szCs w:val="24"/>
              </w:rPr>
              <w:lastRenderedPageBreak/>
              <w:t>Caractérisation de l’impact</w:t>
            </w:r>
          </w:p>
        </w:tc>
      </w:tr>
      <w:tr w:rsidR="00E96A04" w:rsidRPr="00AA45E9" w:rsidTr="00247507">
        <w:tc>
          <w:tcPr>
            <w:tcW w:w="1507" w:type="dxa"/>
            <w:tcBorders>
              <w:bottom w:val="single" w:sz="4" w:space="0" w:color="auto"/>
              <w:right w:val="single" w:sz="4" w:space="0" w:color="auto"/>
            </w:tcBorders>
            <w:shd w:val="clear" w:color="auto" w:fill="002060"/>
          </w:tcPr>
          <w:p w:rsidR="00E96A04" w:rsidRPr="00AA45E9" w:rsidRDefault="00E96A04" w:rsidP="00FC410F">
            <w:pPr>
              <w:spacing w:after="0" w:line="240" w:lineRule="auto"/>
              <w:jc w:val="center"/>
              <w:rPr>
                <w:rFonts w:ascii="Times New Roman" w:hAnsi="Times New Roman"/>
                <w:b/>
                <w:sz w:val="24"/>
                <w:szCs w:val="24"/>
              </w:rPr>
            </w:pPr>
            <w:r>
              <w:rPr>
                <w:rFonts w:ascii="Times New Roman" w:hAnsi="Times New Roman"/>
                <w:b/>
                <w:sz w:val="24"/>
                <w:szCs w:val="24"/>
              </w:rPr>
              <w:t xml:space="preserve">Nature </w:t>
            </w:r>
          </w:p>
        </w:tc>
        <w:tc>
          <w:tcPr>
            <w:tcW w:w="1646" w:type="dxa"/>
            <w:gridSpan w:val="2"/>
            <w:tcBorders>
              <w:left w:val="single" w:sz="4" w:space="0" w:color="auto"/>
              <w:bottom w:val="single" w:sz="4" w:space="0" w:color="auto"/>
            </w:tcBorders>
            <w:shd w:val="clear" w:color="auto" w:fill="auto"/>
          </w:tcPr>
          <w:p w:rsidR="00E96A04" w:rsidRPr="00867483" w:rsidRDefault="00E96A04" w:rsidP="00FC410F">
            <w:pPr>
              <w:spacing w:after="0" w:line="240" w:lineRule="auto"/>
              <w:jc w:val="center"/>
              <w:rPr>
                <w:rFonts w:ascii="Times New Roman" w:hAnsi="Times New Roman"/>
                <w:sz w:val="24"/>
                <w:szCs w:val="24"/>
              </w:rPr>
            </w:pPr>
            <w:r w:rsidRPr="00E96A04">
              <w:rPr>
                <w:rFonts w:ascii="Times New Roman" w:hAnsi="Times New Roman"/>
                <w:b/>
                <w:sz w:val="24"/>
                <w:szCs w:val="24"/>
              </w:rPr>
              <w:t>Négatif</w:t>
            </w:r>
          </w:p>
        </w:tc>
      </w:tr>
      <w:tr w:rsidR="00FC410F" w:rsidRPr="00AA45E9" w:rsidTr="00FC410F">
        <w:tc>
          <w:tcPr>
            <w:tcW w:w="1507" w:type="dxa"/>
            <w:tcBorders>
              <w:bottom w:val="single" w:sz="4" w:space="0" w:color="auto"/>
              <w:right w:val="single" w:sz="4" w:space="0" w:color="auto"/>
            </w:tcBorders>
            <w:shd w:val="clear" w:color="auto" w:fill="002060"/>
          </w:tcPr>
          <w:p w:rsidR="00FC410F" w:rsidRPr="00AA45E9" w:rsidRDefault="00FC410F" w:rsidP="00FC410F">
            <w:pPr>
              <w:spacing w:after="0" w:line="240" w:lineRule="auto"/>
              <w:jc w:val="center"/>
              <w:rPr>
                <w:rFonts w:ascii="Times New Roman" w:hAnsi="Times New Roman"/>
                <w:b/>
                <w:sz w:val="24"/>
                <w:szCs w:val="24"/>
              </w:rPr>
            </w:pPr>
            <w:r w:rsidRPr="00AA45E9">
              <w:rPr>
                <w:rFonts w:ascii="Times New Roman" w:hAnsi="Times New Roman"/>
                <w:b/>
                <w:sz w:val="24"/>
                <w:szCs w:val="24"/>
              </w:rPr>
              <w:t>Intensité</w:t>
            </w:r>
          </w:p>
        </w:tc>
        <w:tc>
          <w:tcPr>
            <w:tcW w:w="1190" w:type="dxa"/>
            <w:tcBorders>
              <w:left w:val="single" w:sz="4" w:space="0" w:color="auto"/>
              <w:bottom w:val="single" w:sz="4" w:space="0" w:color="auto"/>
              <w:right w:val="single" w:sz="4" w:space="0" w:color="auto"/>
            </w:tcBorders>
            <w:shd w:val="clear" w:color="auto" w:fill="auto"/>
          </w:tcPr>
          <w:p w:rsidR="00FC410F" w:rsidRPr="00867483" w:rsidRDefault="00FC410F" w:rsidP="00D96D77">
            <w:pPr>
              <w:spacing w:after="0" w:line="240" w:lineRule="auto"/>
              <w:jc w:val="center"/>
              <w:rPr>
                <w:rFonts w:ascii="Times New Roman" w:hAnsi="Times New Roman"/>
                <w:sz w:val="24"/>
                <w:szCs w:val="24"/>
              </w:rPr>
            </w:pPr>
            <w:r w:rsidRPr="00867483">
              <w:rPr>
                <w:rFonts w:ascii="Times New Roman" w:hAnsi="Times New Roman"/>
                <w:sz w:val="24"/>
                <w:szCs w:val="24"/>
              </w:rPr>
              <w:t>F</w:t>
            </w:r>
            <w:r w:rsidR="00D96D77">
              <w:rPr>
                <w:rFonts w:ascii="Times New Roman" w:hAnsi="Times New Roman"/>
                <w:sz w:val="24"/>
                <w:szCs w:val="24"/>
              </w:rPr>
              <w:t>aible</w:t>
            </w:r>
          </w:p>
        </w:tc>
        <w:tc>
          <w:tcPr>
            <w:tcW w:w="456" w:type="dxa"/>
            <w:tcBorders>
              <w:left w:val="single" w:sz="4" w:space="0" w:color="auto"/>
              <w:bottom w:val="single" w:sz="4" w:space="0" w:color="auto"/>
            </w:tcBorders>
            <w:shd w:val="clear" w:color="auto" w:fill="auto"/>
          </w:tcPr>
          <w:p w:rsidR="00FC410F" w:rsidRPr="00867483" w:rsidRDefault="00D96D77" w:rsidP="00FC410F">
            <w:pPr>
              <w:spacing w:after="0" w:line="240" w:lineRule="auto"/>
              <w:jc w:val="center"/>
              <w:rPr>
                <w:rFonts w:ascii="Times New Roman" w:hAnsi="Times New Roman"/>
                <w:sz w:val="24"/>
                <w:szCs w:val="24"/>
              </w:rPr>
            </w:pPr>
            <w:r>
              <w:rPr>
                <w:rFonts w:ascii="Times New Roman" w:hAnsi="Times New Roman"/>
                <w:sz w:val="24"/>
                <w:szCs w:val="24"/>
              </w:rPr>
              <w:t>1</w:t>
            </w:r>
          </w:p>
        </w:tc>
      </w:tr>
      <w:tr w:rsidR="00FC410F" w:rsidRPr="00AA45E9" w:rsidTr="00FC410F">
        <w:tc>
          <w:tcPr>
            <w:tcW w:w="1507" w:type="dxa"/>
            <w:tcBorders>
              <w:bottom w:val="single" w:sz="4" w:space="0" w:color="auto"/>
              <w:right w:val="single" w:sz="4" w:space="0" w:color="auto"/>
            </w:tcBorders>
            <w:shd w:val="clear" w:color="auto" w:fill="002060"/>
          </w:tcPr>
          <w:p w:rsidR="00FC410F" w:rsidRPr="00AA45E9" w:rsidRDefault="00FC410F" w:rsidP="00FC410F">
            <w:pPr>
              <w:spacing w:after="0" w:line="240" w:lineRule="auto"/>
              <w:jc w:val="center"/>
              <w:rPr>
                <w:rFonts w:ascii="Times New Roman" w:hAnsi="Times New Roman"/>
                <w:sz w:val="24"/>
                <w:szCs w:val="24"/>
              </w:rPr>
            </w:pPr>
            <w:r w:rsidRPr="00AA45E9">
              <w:rPr>
                <w:rFonts w:ascii="Times New Roman" w:hAnsi="Times New Roman"/>
                <w:b/>
                <w:sz w:val="24"/>
                <w:szCs w:val="24"/>
              </w:rPr>
              <w:t>Etendue</w:t>
            </w:r>
          </w:p>
        </w:tc>
        <w:tc>
          <w:tcPr>
            <w:tcW w:w="1190" w:type="dxa"/>
            <w:tcBorders>
              <w:left w:val="single" w:sz="4" w:space="0" w:color="auto"/>
              <w:bottom w:val="single" w:sz="4" w:space="0" w:color="auto"/>
              <w:right w:val="single" w:sz="4" w:space="0" w:color="auto"/>
            </w:tcBorders>
          </w:tcPr>
          <w:p w:rsidR="00FC410F" w:rsidRPr="00867483" w:rsidRDefault="00D96D77" w:rsidP="00FC410F">
            <w:pPr>
              <w:spacing w:after="0" w:line="240" w:lineRule="auto"/>
              <w:jc w:val="center"/>
              <w:rPr>
                <w:rFonts w:ascii="Times New Roman" w:hAnsi="Times New Roman"/>
                <w:sz w:val="24"/>
                <w:szCs w:val="24"/>
              </w:rPr>
            </w:pPr>
            <w:r>
              <w:rPr>
                <w:rFonts w:ascii="Times New Roman" w:hAnsi="Times New Roman"/>
                <w:sz w:val="24"/>
                <w:szCs w:val="24"/>
              </w:rPr>
              <w:t>Locale</w:t>
            </w:r>
          </w:p>
        </w:tc>
        <w:tc>
          <w:tcPr>
            <w:tcW w:w="456" w:type="dxa"/>
            <w:tcBorders>
              <w:left w:val="single" w:sz="4" w:space="0" w:color="auto"/>
              <w:bottom w:val="single" w:sz="4" w:space="0" w:color="auto"/>
            </w:tcBorders>
          </w:tcPr>
          <w:p w:rsidR="00FC410F" w:rsidRPr="00867483" w:rsidRDefault="00D96D77" w:rsidP="00FC410F">
            <w:pPr>
              <w:spacing w:after="0" w:line="240" w:lineRule="auto"/>
              <w:jc w:val="center"/>
              <w:rPr>
                <w:rFonts w:ascii="Times New Roman" w:hAnsi="Times New Roman"/>
                <w:sz w:val="24"/>
                <w:szCs w:val="24"/>
              </w:rPr>
            </w:pPr>
            <w:r>
              <w:rPr>
                <w:rFonts w:ascii="Times New Roman" w:hAnsi="Times New Roman"/>
                <w:sz w:val="24"/>
                <w:szCs w:val="24"/>
              </w:rPr>
              <w:t>3</w:t>
            </w:r>
          </w:p>
        </w:tc>
      </w:tr>
      <w:tr w:rsidR="00FC410F" w:rsidRPr="00AA45E9" w:rsidTr="00FC410F">
        <w:tc>
          <w:tcPr>
            <w:tcW w:w="1507" w:type="dxa"/>
            <w:tcBorders>
              <w:bottom w:val="single" w:sz="4" w:space="0" w:color="auto"/>
              <w:right w:val="single" w:sz="4" w:space="0" w:color="auto"/>
            </w:tcBorders>
            <w:shd w:val="clear" w:color="auto" w:fill="002060"/>
          </w:tcPr>
          <w:p w:rsidR="00FC410F" w:rsidRDefault="00FC410F" w:rsidP="00FC410F">
            <w:pPr>
              <w:spacing w:after="0" w:line="240" w:lineRule="auto"/>
              <w:jc w:val="center"/>
              <w:rPr>
                <w:rFonts w:ascii="Times New Roman" w:hAnsi="Times New Roman"/>
                <w:sz w:val="24"/>
                <w:szCs w:val="24"/>
              </w:rPr>
            </w:pPr>
            <w:r w:rsidRPr="00AA45E9">
              <w:rPr>
                <w:rFonts w:ascii="Times New Roman" w:hAnsi="Times New Roman"/>
                <w:b/>
                <w:sz w:val="24"/>
                <w:szCs w:val="24"/>
              </w:rPr>
              <w:t>Durée</w:t>
            </w:r>
          </w:p>
        </w:tc>
        <w:tc>
          <w:tcPr>
            <w:tcW w:w="1190" w:type="dxa"/>
            <w:tcBorders>
              <w:left w:val="single" w:sz="4" w:space="0" w:color="auto"/>
              <w:bottom w:val="single" w:sz="4" w:space="0" w:color="auto"/>
              <w:right w:val="single" w:sz="4" w:space="0" w:color="auto"/>
            </w:tcBorders>
          </w:tcPr>
          <w:p w:rsidR="00FC410F" w:rsidRPr="00867483" w:rsidRDefault="00D96D77" w:rsidP="00FC410F">
            <w:pPr>
              <w:spacing w:after="0" w:line="240" w:lineRule="auto"/>
              <w:jc w:val="center"/>
              <w:rPr>
                <w:rFonts w:ascii="Times New Roman" w:hAnsi="Times New Roman"/>
                <w:sz w:val="24"/>
                <w:szCs w:val="24"/>
              </w:rPr>
            </w:pPr>
            <w:r>
              <w:rPr>
                <w:rFonts w:ascii="Times New Roman" w:hAnsi="Times New Roman"/>
                <w:sz w:val="24"/>
                <w:szCs w:val="24"/>
              </w:rPr>
              <w:t>Moyenne</w:t>
            </w:r>
          </w:p>
        </w:tc>
        <w:tc>
          <w:tcPr>
            <w:tcW w:w="456" w:type="dxa"/>
            <w:tcBorders>
              <w:left w:val="single" w:sz="4" w:space="0" w:color="auto"/>
              <w:bottom w:val="single" w:sz="4" w:space="0" w:color="auto"/>
            </w:tcBorders>
          </w:tcPr>
          <w:p w:rsidR="00FC410F" w:rsidRPr="00867483" w:rsidRDefault="00D96D77" w:rsidP="00FC410F">
            <w:pPr>
              <w:spacing w:after="0" w:line="240" w:lineRule="auto"/>
              <w:jc w:val="center"/>
              <w:rPr>
                <w:rFonts w:ascii="Times New Roman" w:hAnsi="Times New Roman"/>
                <w:sz w:val="24"/>
                <w:szCs w:val="24"/>
              </w:rPr>
            </w:pPr>
            <w:r>
              <w:rPr>
                <w:rFonts w:ascii="Times New Roman" w:hAnsi="Times New Roman"/>
                <w:sz w:val="24"/>
                <w:szCs w:val="24"/>
              </w:rPr>
              <w:t>3</w:t>
            </w:r>
          </w:p>
        </w:tc>
      </w:tr>
      <w:tr w:rsidR="00FC410F" w:rsidRPr="00AA45E9" w:rsidTr="00FC410F">
        <w:tc>
          <w:tcPr>
            <w:tcW w:w="3153" w:type="dxa"/>
            <w:gridSpan w:val="3"/>
            <w:tcBorders>
              <w:bottom w:val="single" w:sz="4" w:space="0" w:color="auto"/>
            </w:tcBorders>
            <w:shd w:val="clear" w:color="auto" w:fill="FFFFFF" w:themeFill="background1"/>
          </w:tcPr>
          <w:p w:rsidR="00FC410F" w:rsidRPr="00867483" w:rsidRDefault="00FC410F" w:rsidP="00FC410F">
            <w:pPr>
              <w:spacing w:after="0" w:line="240" w:lineRule="auto"/>
              <w:jc w:val="center"/>
              <w:rPr>
                <w:rFonts w:ascii="Times New Roman" w:hAnsi="Times New Roman"/>
                <w:sz w:val="6"/>
                <w:szCs w:val="6"/>
              </w:rPr>
            </w:pPr>
          </w:p>
        </w:tc>
      </w:tr>
      <w:tr w:rsidR="00FC410F" w:rsidRPr="00AA45E9" w:rsidTr="00D96D77">
        <w:tc>
          <w:tcPr>
            <w:tcW w:w="1507" w:type="dxa"/>
            <w:tcBorders>
              <w:bottom w:val="dashDotStroked" w:sz="24" w:space="0" w:color="auto"/>
              <w:right w:val="single" w:sz="4" w:space="0" w:color="auto"/>
            </w:tcBorders>
            <w:shd w:val="clear" w:color="auto" w:fill="002060"/>
          </w:tcPr>
          <w:p w:rsidR="00FC410F" w:rsidRPr="00AA45E9" w:rsidRDefault="00FC410F" w:rsidP="00FC410F">
            <w:pPr>
              <w:spacing w:after="0" w:line="240" w:lineRule="auto"/>
              <w:jc w:val="center"/>
              <w:rPr>
                <w:rFonts w:ascii="Times New Roman" w:hAnsi="Times New Roman"/>
                <w:b/>
                <w:sz w:val="24"/>
                <w:szCs w:val="24"/>
              </w:rPr>
            </w:pPr>
            <w:r w:rsidRPr="00AA45E9">
              <w:rPr>
                <w:rFonts w:ascii="Times New Roman" w:hAnsi="Times New Roman"/>
                <w:b/>
                <w:sz w:val="24"/>
                <w:szCs w:val="24"/>
              </w:rPr>
              <w:t>Importance</w:t>
            </w:r>
          </w:p>
        </w:tc>
        <w:tc>
          <w:tcPr>
            <w:tcW w:w="1190" w:type="dxa"/>
            <w:tcBorders>
              <w:left w:val="single" w:sz="4" w:space="0" w:color="auto"/>
              <w:bottom w:val="dashDotStroked" w:sz="24" w:space="0" w:color="auto"/>
              <w:right w:val="single" w:sz="4" w:space="0" w:color="auto"/>
            </w:tcBorders>
            <w:shd w:val="clear" w:color="auto" w:fill="92D050"/>
          </w:tcPr>
          <w:p w:rsidR="00FC410F" w:rsidRPr="008E6D9C" w:rsidRDefault="00D96D77" w:rsidP="00FC410F">
            <w:pPr>
              <w:spacing w:after="0" w:line="240" w:lineRule="auto"/>
              <w:jc w:val="center"/>
              <w:rPr>
                <w:rFonts w:ascii="Times New Roman" w:hAnsi="Times New Roman"/>
                <w:b/>
                <w:sz w:val="24"/>
                <w:szCs w:val="24"/>
              </w:rPr>
            </w:pPr>
            <w:r>
              <w:rPr>
                <w:rFonts w:ascii="Times New Roman" w:hAnsi="Times New Roman"/>
                <w:b/>
                <w:sz w:val="24"/>
                <w:szCs w:val="24"/>
              </w:rPr>
              <w:t>Mineure</w:t>
            </w:r>
          </w:p>
        </w:tc>
        <w:tc>
          <w:tcPr>
            <w:tcW w:w="456" w:type="dxa"/>
            <w:tcBorders>
              <w:left w:val="single" w:sz="4" w:space="0" w:color="auto"/>
              <w:bottom w:val="dashDotStroked" w:sz="24" w:space="0" w:color="auto"/>
            </w:tcBorders>
            <w:shd w:val="clear" w:color="auto" w:fill="92D050"/>
          </w:tcPr>
          <w:p w:rsidR="00FC410F" w:rsidRPr="008E6D9C" w:rsidRDefault="00D96D77" w:rsidP="00FC410F">
            <w:pPr>
              <w:spacing w:after="0" w:line="240" w:lineRule="auto"/>
              <w:jc w:val="center"/>
              <w:rPr>
                <w:rFonts w:ascii="Times New Roman" w:hAnsi="Times New Roman"/>
                <w:b/>
                <w:sz w:val="24"/>
                <w:szCs w:val="24"/>
              </w:rPr>
            </w:pPr>
            <w:r>
              <w:rPr>
                <w:rFonts w:ascii="Times New Roman" w:hAnsi="Times New Roman"/>
                <w:b/>
                <w:sz w:val="24"/>
                <w:szCs w:val="24"/>
              </w:rPr>
              <w:t>9</w:t>
            </w:r>
          </w:p>
        </w:tc>
      </w:tr>
    </w:tbl>
    <w:p w:rsidR="00A40A5E" w:rsidRPr="00E67C0F" w:rsidRDefault="00A40A5E" w:rsidP="00FA3FAE">
      <w:pPr>
        <w:pStyle w:val="PargrafodaLista"/>
        <w:numPr>
          <w:ilvl w:val="0"/>
          <w:numId w:val="41"/>
        </w:numPr>
        <w:pBdr>
          <w:bottom w:val="dashDotStroked" w:sz="24" w:space="1" w:color="auto"/>
        </w:pBdr>
        <w:jc w:val="both"/>
        <w:rPr>
          <w:rFonts w:ascii="Times New Roman" w:hAnsi="Times New Roman"/>
          <w:b/>
          <w:sz w:val="24"/>
          <w:szCs w:val="24"/>
        </w:rPr>
      </w:pPr>
      <w:r w:rsidRPr="00E67C0F">
        <w:rPr>
          <w:rFonts w:ascii="Times New Roman" w:hAnsi="Times New Roman"/>
          <w:b/>
          <w:sz w:val="24"/>
          <w:szCs w:val="24"/>
        </w:rPr>
        <w:t>Impacts négatifs attendus sur la flore et la faune</w:t>
      </w:r>
    </w:p>
    <w:p w:rsidR="00E67C0F" w:rsidRDefault="00A40A5E" w:rsidP="00A40A5E">
      <w:pPr>
        <w:jc w:val="both"/>
        <w:rPr>
          <w:rFonts w:ascii="Times New Roman" w:hAnsi="Times New Roman" w:cs="Times New Roman"/>
          <w:color w:val="000000"/>
          <w:sz w:val="24"/>
          <w:szCs w:val="24"/>
        </w:rPr>
      </w:pPr>
      <w:r w:rsidRPr="00A40A5E">
        <w:rPr>
          <w:rFonts w:ascii="Times New Roman" w:hAnsi="Times New Roman" w:cs="Times New Roman"/>
          <w:color w:val="000000"/>
          <w:sz w:val="24"/>
          <w:szCs w:val="24"/>
        </w:rPr>
        <w:t>Les travaux d’installation de chantier, de débroussaillage et d’implan</w:t>
      </w:r>
      <w:r w:rsidR="001E398F">
        <w:rPr>
          <w:rFonts w:ascii="Times New Roman" w:hAnsi="Times New Roman" w:cs="Times New Roman"/>
          <w:color w:val="000000"/>
          <w:sz w:val="24"/>
          <w:szCs w:val="24"/>
        </w:rPr>
        <w:t xml:space="preserve">tation des ouvrages détruiront </w:t>
      </w:r>
      <w:r w:rsidRPr="00A40A5E">
        <w:rPr>
          <w:rFonts w:ascii="Times New Roman" w:hAnsi="Times New Roman" w:cs="Times New Roman"/>
          <w:color w:val="000000"/>
          <w:sz w:val="24"/>
          <w:szCs w:val="24"/>
        </w:rPr>
        <w:t xml:space="preserve">la végétation herbacée </w:t>
      </w:r>
      <w:r w:rsidR="00974BAA">
        <w:rPr>
          <w:rFonts w:ascii="Times New Roman" w:hAnsi="Times New Roman" w:cs="Times New Roman"/>
          <w:color w:val="000000"/>
          <w:sz w:val="24"/>
          <w:szCs w:val="24"/>
        </w:rPr>
        <w:t xml:space="preserve">au niveau de </w:t>
      </w:r>
      <w:r w:rsidR="00A8569F">
        <w:rPr>
          <w:rFonts w:ascii="Times New Roman" w:hAnsi="Times New Roman" w:cs="Times New Roman"/>
          <w:color w:val="000000"/>
          <w:sz w:val="24"/>
          <w:szCs w:val="24"/>
        </w:rPr>
        <w:t>Antula</w:t>
      </w:r>
      <w:r w:rsidR="001E398F">
        <w:rPr>
          <w:rFonts w:ascii="Times New Roman" w:hAnsi="Times New Roman" w:cs="Times New Roman"/>
          <w:color w:val="000000"/>
          <w:sz w:val="24"/>
          <w:szCs w:val="24"/>
        </w:rPr>
        <w:t>.</w:t>
      </w:r>
    </w:p>
    <w:p w:rsidR="00F9198B" w:rsidRDefault="001E398F" w:rsidP="00A40A5E">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Ainsi, </w:t>
      </w:r>
      <w:r w:rsidR="00D40A50">
        <w:rPr>
          <w:rFonts w:ascii="Times New Roman" w:hAnsi="Times New Roman" w:cs="Times New Roman"/>
          <w:color w:val="000000"/>
          <w:sz w:val="24"/>
          <w:szCs w:val="24"/>
        </w:rPr>
        <w:t>certaines</w:t>
      </w:r>
      <w:r w:rsidR="00A40A5E" w:rsidRPr="00A40A5E">
        <w:rPr>
          <w:rFonts w:ascii="Times New Roman" w:hAnsi="Times New Roman" w:cs="Times New Roman"/>
          <w:color w:val="000000"/>
          <w:sz w:val="24"/>
          <w:szCs w:val="24"/>
        </w:rPr>
        <w:t xml:space="preserve"> zone</w:t>
      </w:r>
      <w:r>
        <w:rPr>
          <w:rFonts w:ascii="Times New Roman" w:hAnsi="Times New Roman" w:cs="Times New Roman"/>
          <w:color w:val="000000"/>
          <w:sz w:val="24"/>
          <w:szCs w:val="24"/>
        </w:rPr>
        <w:t>s de localisation</w:t>
      </w:r>
      <w:r w:rsidR="00A40A5E" w:rsidRPr="00A40A5E">
        <w:rPr>
          <w:rFonts w:ascii="Times New Roman" w:hAnsi="Times New Roman" w:cs="Times New Roman"/>
          <w:color w:val="000000"/>
          <w:sz w:val="24"/>
          <w:szCs w:val="24"/>
        </w:rPr>
        <w:t xml:space="preserve"> du projet</w:t>
      </w:r>
      <w:r>
        <w:rPr>
          <w:rFonts w:ascii="Times New Roman" w:hAnsi="Times New Roman" w:cs="Times New Roman"/>
          <w:color w:val="000000"/>
          <w:sz w:val="24"/>
          <w:szCs w:val="24"/>
        </w:rPr>
        <w:t xml:space="preserve"> dans la ville de Bissau et</w:t>
      </w:r>
      <w:r w:rsidR="00F9198B">
        <w:rPr>
          <w:rFonts w:ascii="Times New Roman" w:hAnsi="Times New Roman" w:cs="Times New Roman"/>
          <w:color w:val="000000"/>
          <w:sz w:val="24"/>
          <w:szCs w:val="24"/>
        </w:rPr>
        <w:t xml:space="preserve"> de Biombo </w:t>
      </w:r>
      <w:r w:rsidR="00D40A50">
        <w:rPr>
          <w:rFonts w:ascii="Times New Roman" w:hAnsi="Times New Roman" w:cs="Times New Roman"/>
          <w:color w:val="000000"/>
          <w:sz w:val="24"/>
          <w:szCs w:val="24"/>
        </w:rPr>
        <w:t xml:space="preserve">(Antula, Safim et </w:t>
      </w:r>
      <w:r w:rsidR="00E772E0">
        <w:rPr>
          <w:rFonts w:ascii="Times New Roman" w:hAnsi="Times New Roman" w:cs="Times New Roman"/>
          <w:color w:val="000000"/>
          <w:sz w:val="24"/>
          <w:szCs w:val="24"/>
        </w:rPr>
        <w:t>Prabis)</w:t>
      </w:r>
      <w:r w:rsidR="00D40A50">
        <w:rPr>
          <w:rFonts w:ascii="Times New Roman" w:hAnsi="Times New Roman" w:cs="Times New Roman"/>
          <w:color w:val="000000"/>
          <w:sz w:val="24"/>
          <w:szCs w:val="24"/>
        </w:rPr>
        <w:t xml:space="preserve"> </w:t>
      </w:r>
      <w:r w:rsidR="00F9198B">
        <w:rPr>
          <w:rFonts w:ascii="Times New Roman" w:hAnsi="Times New Roman" w:cs="Times New Roman"/>
          <w:color w:val="000000"/>
          <w:sz w:val="24"/>
          <w:szCs w:val="24"/>
        </w:rPr>
        <w:t xml:space="preserve">ne présent </w:t>
      </w:r>
      <w:r w:rsidR="00F9198B" w:rsidRPr="00A40A5E">
        <w:rPr>
          <w:rFonts w:ascii="Times New Roman" w:hAnsi="Times New Roman" w:cs="Times New Roman"/>
          <w:color w:val="000000"/>
          <w:sz w:val="24"/>
          <w:szCs w:val="24"/>
        </w:rPr>
        <w:t>aucune formation végétale ni d’habitats significatifs de la faune</w:t>
      </w:r>
      <w:r w:rsidR="00F9198B">
        <w:rPr>
          <w:rFonts w:ascii="Times New Roman" w:hAnsi="Times New Roman" w:cs="Times New Roman"/>
          <w:color w:val="000000"/>
          <w:sz w:val="24"/>
          <w:szCs w:val="24"/>
        </w:rPr>
        <w:t xml:space="preserve"> </w:t>
      </w:r>
      <w:r w:rsidR="00A40A5E" w:rsidRPr="00A40A5E">
        <w:rPr>
          <w:rFonts w:ascii="Times New Roman" w:hAnsi="Times New Roman" w:cs="Times New Roman"/>
          <w:color w:val="000000"/>
          <w:sz w:val="24"/>
          <w:szCs w:val="24"/>
        </w:rPr>
        <w:t>à cau</w:t>
      </w:r>
      <w:r w:rsidR="00F9198B">
        <w:rPr>
          <w:rFonts w:ascii="Times New Roman" w:hAnsi="Times New Roman" w:cs="Times New Roman"/>
          <w:color w:val="000000"/>
          <w:sz w:val="24"/>
          <w:szCs w:val="24"/>
        </w:rPr>
        <w:t>se de leur forte anthropisation</w:t>
      </w:r>
      <w:r w:rsidR="00D40A50">
        <w:rPr>
          <w:rFonts w:ascii="Times New Roman" w:hAnsi="Times New Roman" w:cs="Times New Roman"/>
          <w:color w:val="000000"/>
          <w:sz w:val="24"/>
          <w:szCs w:val="24"/>
        </w:rPr>
        <w:t>,</w:t>
      </w:r>
      <w:r w:rsidR="00F9198B">
        <w:rPr>
          <w:rFonts w:ascii="Times New Roman" w:hAnsi="Times New Roman" w:cs="Times New Roman"/>
          <w:color w:val="000000"/>
          <w:sz w:val="24"/>
          <w:szCs w:val="24"/>
        </w:rPr>
        <w:t xml:space="preserve"> sauf dans le quartier de Bor</w:t>
      </w:r>
      <w:r w:rsidR="00D40A50">
        <w:rPr>
          <w:rFonts w:ascii="Times New Roman" w:hAnsi="Times New Roman" w:cs="Times New Roman"/>
          <w:color w:val="000000"/>
          <w:sz w:val="24"/>
          <w:szCs w:val="24"/>
        </w:rPr>
        <w:t>,</w:t>
      </w:r>
      <w:r w:rsidR="00F9198B">
        <w:rPr>
          <w:rFonts w:ascii="Times New Roman" w:hAnsi="Times New Roman" w:cs="Times New Roman"/>
          <w:color w:val="000000"/>
          <w:sz w:val="24"/>
          <w:szCs w:val="24"/>
        </w:rPr>
        <w:t xml:space="preserve"> ou quelques pieds d’anacardiers</w:t>
      </w:r>
      <w:r w:rsidR="00D40A50">
        <w:rPr>
          <w:rFonts w:ascii="Times New Roman" w:hAnsi="Times New Roman" w:cs="Times New Roman"/>
          <w:color w:val="000000"/>
          <w:sz w:val="24"/>
          <w:szCs w:val="24"/>
        </w:rPr>
        <w:t xml:space="preserve"> seront abattu lors de la libération d’emprise.</w:t>
      </w:r>
    </w:p>
    <w:p w:rsidR="00A40A5E" w:rsidRPr="00A40A5E" w:rsidRDefault="00A40A5E" w:rsidP="00A40A5E">
      <w:pPr>
        <w:jc w:val="both"/>
        <w:rPr>
          <w:rFonts w:ascii="Times New Roman" w:hAnsi="Times New Roman" w:cs="Times New Roman"/>
          <w:color w:val="000000"/>
          <w:sz w:val="24"/>
          <w:szCs w:val="24"/>
        </w:rPr>
      </w:pPr>
      <w:r w:rsidRPr="00A40A5E">
        <w:rPr>
          <w:rFonts w:ascii="Times New Roman" w:hAnsi="Times New Roman" w:cs="Times New Roman"/>
          <w:color w:val="000000"/>
          <w:sz w:val="24"/>
          <w:szCs w:val="24"/>
        </w:rPr>
        <w:t xml:space="preserve">Cependant, lors du déplacement des engins de chantier et des travailleurs au niveau des </w:t>
      </w:r>
      <w:r w:rsidR="0010153E" w:rsidRPr="00A40A5E">
        <w:rPr>
          <w:rFonts w:ascii="Times New Roman" w:hAnsi="Times New Roman" w:cs="Times New Roman"/>
          <w:color w:val="000000"/>
          <w:sz w:val="24"/>
          <w:szCs w:val="24"/>
        </w:rPr>
        <w:t>sites des</w:t>
      </w:r>
      <w:r w:rsidRPr="00A40A5E">
        <w:rPr>
          <w:rFonts w:ascii="Times New Roman" w:hAnsi="Times New Roman" w:cs="Times New Roman"/>
          <w:color w:val="000000"/>
          <w:sz w:val="24"/>
          <w:szCs w:val="24"/>
        </w:rPr>
        <w:t xml:space="preserve"> risques de dommage sur les arbres d’ornement ou d’ombrage autour des infrastructures pourraient être observés.</w:t>
      </w:r>
    </w:p>
    <w:p w:rsidR="00A40A5E" w:rsidRDefault="00A40A5E" w:rsidP="00A40A5E">
      <w:pPr>
        <w:jc w:val="both"/>
        <w:rPr>
          <w:rFonts w:ascii="Times New Roman" w:hAnsi="Times New Roman" w:cs="Times New Roman"/>
          <w:color w:val="000000"/>
          <w:sz w:val="24"/>
          <w:szCs w:val="24"/>
        </w:rPr>
      </w:pPr>
      <w:r w:rsidRPr="00A40A5E">
        <w:rPr>
          <w:rFonts w:ascii="Times New Roman" w:hAnsi="Times New Roman" w:cs="Times New Roman"/>
          <w:color w:val="000000"/>
          <w:sz w:val="24"/>
          <w:szCs w:val="24"/>
        </w:rPr>
        <w:t>La faune sauvage terrestre est très rare à cause de l’urbanisation de la zone. Elle est généralement constituée par des petits rongeurs, des petits reptiles, des oiseaux, etc.</w:t>
      </w:r>
    </w:p>
    <w:p w:rsidR="00A63F09" w:rsidRPr="00260E99" w:rsidRDefault="00401F64" w:rsidP="00FA3FAE">
      <w:pPr>
        <w:pStyle w:val="PargrafodaLista"/>
        <w:numPr>
          <w:ilvl w:val="0"/>
          <w:numId w:val="221"/>
        </w:numPr>
        <w:jc w:val="both"/>
        <w:rPr>
          <w:rFonts w:ascii="Times New Roman" w:hAnsi="Times New Roman"/>
          <w:color w:val="000000"/>
          <w:sz w:val="24"/>
          <w:szCs w:val="24"/>
        </w:rPr>
      </w:pPr>
      <w:r w:rsidRPr="00260E99">
        <w:rPr>
          <w:rFonts w:ascii="Times New Roman" w:hAnsi="Times New Roman"/>
          <w:b/>
          <w:sz w:val="24"/>
          <w:szCs w:val="24"/>
        </w:rPr>
        <w:t>L’environnement</w:t>
      </w:r>
      <w:r w:rsidR="00E772E0" w:rsidRPr="00260E99">
        <w:rPr>
          <w:rFonts w:ascii="Times New Roman" w:hAnsi="Times New Roman"/>
          <w:b/>
          <w:sz w:val="24"/>
          <w:szCs w:val="24"/>
        </w:rPr>
        <w:t xml:space="preserve"> socio-économique</w:t>
      </w:r>
    </w:p>
    <w:tbl>
      <w:tblPr>
        <w:tblpPr w:leftFromText="141" w:rightFromText="141" w:vertAnchor="text" w:horzAnchor="margin" w:tblpXSpec="right" w:tblpY="459"/>
        <w:tblW w:w="3153" w:type="dxa"/>
        <w:tblBorders>
          <w:top w:val="single" w:sz="4" w:space="0" w:color="auto"/>
          <w:left w:val="dashDotStroked" w:sz="24" w:space="0" w:color="auto"/>
          <w:bottom w:val="dashDotStroked" w:sz="24" w:space="0" w:color="auto"/>
          <w:right w:val="dashDotStroked" w:sz="24" w:space="0" w:color="auto"/>
          <w:insideH w:val="single" w:sz="4" w:space="0" w:color="auto"/>
          <w:insideV w:val="dashDotStroked" w:sz="24" w:space="0" w:color="auto"/>
        </w:tblBorders>
        <w:tblLook w:val="04A0" w:firstRow="1" w:lastRow="0" w:firstColumn="1" w:lastColumn="0" w:noHBand="0" w:noVBand="1"/>
      </w:tblPr>
      <w:tblGrid>
        <w:gridCol w:w="1507"/>
        <w:gridCol w:w="1190"/>
        <w:gridCol w:w="456"/>
      </w:tblGrid>
      <w:tr w:rsidR="0058156B" w:rsidRPr="00AA45E9" w:rsidTr="0058156B">
        <w:tc>
          <w:tcPr>
            <w:tcW w:w="3153" w:type="dxa"/>
            <w:gridSpan w:val="3"/>
            <w:tcBorders>
              <w:bottom w:val="single" w:sz="4" w:space="0" w:color="auto"/>
            </w:tcBorders>
            <w:shd w:val="clear" w:color="auto" w:fill="002060"/>
          </w:tcPr>
          <w:p w:rsidR="0058156B" w:rsidRPr="00867483" w:rsidRDefault="0058156B" w:rsidP="0058156B">
            <w:pPr>
              <w:spacing w:after="0" w:line="240" w:lineRule="auto"/>
              <w:jc w:val="center"/>
              <w:rPr>
                <w:rFonts w:ascii="Times New Roman" w:hAnsi="Times New Roman"/>
                <w:b/>
                <w:sz w:val="24"/>
                <w:szCs w:val="24"/>
              </w:rPr>
            </w:pPr>
            <w:r w:rsidRPr="00867483">
              <w:rPr>
                <w:rFonts w:ascii="Times New Roman" w:hAnsi="Times New Roman"/>
                <w:b/>
                <w:sz w:val="24"/>
                <w:szCs w:val="24"/>
              </w:rPr>
              <w:t>Caractérisation de l’impact</w:t>
            </w:r>
          </w:p>
        </w:tc>
      </w:tr>
      <w:tr w:rsidR="00E96A04" w:rsidRPr="00AA45E9" w:rsidTr="00247507">
        <w:tc>
          <w:tcPr>
            <w:tcW w:w="1507" w:type="dxa"/>
            <w:tcBorders>
              <w:bottom w:val="single" w:sz="4" w:space="0" w:color="auto"/>
              <w:right w:val="single" w:sz="4" w:space="0" w:color="auto"/>
            </w:tcBorders>
            <w:shd w:val="clear" w:color="auto" w:fill="002060"/>
          </w:tcPr>
          <w:p w:rsidR="00E96A04" w:rsidRPr="00AA45E9" w:rsidRDefault="00E96A04" w:rsidP="0058156B">
            <w:pPr>
              <w:spacing w:after="0" w:line="240" w:lineRule="auto"/>
              <w:jc w:val="center"/>
              <w:rPr>
                <w:rFonts w:ascii="Times New Roman" w:hAnsi="Times New Roman"/>
                <w:b/>
                <w:sz w:val="24"/>
                <w:szCs w:val="24"/>
              </w:rPr>
            </w:pPr>
            <w:r>
              <w:rPr>
                <w:rFonts w:ascii="Times New Roman" w:hAnsi="Times New Roman"/>
                <w:b/>
                <w:sz w:val="24"/>
                <w:szCs w:val="24"/>
              </w:rPr>
              <w:t xml:space="preserve">Nature </w:t>
            </w:r>
          </w:p>
        </w:tc>
        <w:tc>
          <w:tcPr>
            <w:tcW w:w="1646" w:type="dxa"/>
            <w:gridSpan w:val="2"/>
            <w:tcBorders>
              <w:left w:val="single" w:sz="4" w:space="0" w:color="auto"/>
              <w:bottom w:val="single" w:sz="4" w:space="0" w:color="auto"/>
            </w:tcBorders>
            <w:shd w:val="clear" w:color="auto" w:fill="auto"/>
          </w:tcPr>
          <w:p w:rsidR="00E96A04" w:rsidRPr="00867483" w:rsidRDefault="00E96A04" w:rsidP="0058156B">
            <w:pPr>
              <w:spacing w:after="0" w:line="240" w:lineRule="auto"/>
              <w:jc w:val="center"/>
              <w:rPr>
                <w:rFonts w:ascii="Times New Roman" w:hAnsi="Times New Roman"/>
                <w:sz w:val="24"/>
                <w:szCs w:val="24"/>
              </w:rPr>
            </w:pPr>
            <w:r w:rsidRPr="00E96A04">
              <w:rPr>
                <w:rFonts w:ascii="Times New Roman" w:hAnsi="Times New Roman"/>
                <w:b/>
                <w:sz w:val="24"/>
                <w:szCs w:val="24"/>
              </w:rPr>
              <w:t>Négatif</w:t>
            </w:r>
          </w:p>
        </w:tc>
      </w:tr>
      <w:tr w:rsidR="0058156B" w:rsidRPr="00AA45E9" w:rsidTr="0058156B">
        <w:tc>
          <w:tcPr>
            <w:tcW w:w="1507" w:type="dxa"/>
            <w:tcBorders>
              <w:bottom w:val="single" w:sz="4" w:space="0" w:color="auto"/>
              <w:right w:val="single" w:sz="4" w:space="0" w:color="auto"/>
            </w:tcBorders>
            <w:shd w:val="clear" w:color="auto" w:fill="002060"/>
          </w:tcPr>
          <w:p w:rsidR="0058156B" w:rsidRPr="00AA45E9" w:rsidRDefault="0058156B" w:rsidP="0058156B">
            <w:pPr>
              <w:spacing w:after="0" w:line="240" w:lineRule="auto"/>
              <w:jc w:val="center"/>
              <w:rPr>
                <w:rFonts w:ascii="Times New Roman" w:hAnsi="Times New Roman"/>
                <w:b/>
                <w:sz w:val="24"/>
                <w:szCs w:val="24"/>
              </w:rPr>
            </w:pPr>
            <w:r w:rsidRPr="00AA45E9">
              <w:rPr>
                <w:rFonts w:ascii="Times New Roman" w:hAnsi="Times New Roman"/>
                <w:b/>
                <w:sz w:val="24"/>
                <w:szCs w:val="24"/>
              </w:rPr>
              <w:t>Intensité</w:t>
            </w:r>
          </w:p>
        </w:tc>
        <w:tc>
          <w:tcPr>
            <w:tcW w:w="1190" w:type="dxa"/>
            <w:tcBorders>
              <w:left w:val="single" w:sz="4" w:space="0" w:color="auto"/>
              <w:bottom w:val="single" w:sz="4" w:space="0" w:color="auto"/>
              <w:right w:val="single" w:sz="4" w:space="0" w:color="auto"/>
            </w:tcBorders>
            <w:shd w:val="clear" w:color="auto" w:fill="auto"/>
          </w:tcPr>
          <w:p w:rsidR="0058156B" w:rsidRPr="00867483" w:rsidRDefault="0058156B" w:rsidP="0058156B">
            <w:pPr>
              <w:spacing w:after="0" w:line="240" w:lineRule="auto"/>
              <w:jc w:val="center"/>
              <w:rPr>
                <w:rFonts w:ascii="Times New Roman" w:hAnsi="Times New Roman"/>
                <w:sz w:val="24"/>
                <w:szCs w:val="24"/>
              </w:rPr>
            </w:pPr>
            <w:r w:rsidRPr="00867483">
              <w:rPr>
                <w:rFonts w:ascii="Times New Roman" w:hAnsi="Times New Roman"/>
                <w:sz w:val="24"/>
                <w:szCs w:val="24"/>
              </w:rPr>
              <w:t>Forte</w:t>
            </w:r>
          </w:p>
        </w:tc>
        <w:tc>
          <w:tcPr>
            <w:tcW w:w="456" w:type="dxa"/>
            <w:tcBorders>
              <w:left w:val="single" w:sz="4" w:space="0" w:color="auto"/>
              <w:bottom w:val="single" w:sz="4" w:space="0" w:color="auto"/>
            </w:tcBorders>
            <w:shd w:val="clear" w:color="auto" w:fill="auto"/>
          </w:tcPr>
          <w:p w:rsidR="0058156B" w:rsidRPr="00867483" w:rsidRDefault="0058156B" w:rsidP="0058156B">
            <w:pPr>
              <w:spacing w:after="0" w:line="240" w:lineRule="auto"/>
              <w:jc w:val="center"/>
              <w:rPr>
                <w:rFonts w:ascii="Times New Roman" w:hAnsi="Times New Roman"/>
                <w:sz w:val="24"/>
                <w:szCs w:val="24"/>
              </w:rPr>
            </w:pPr>
            <w:r w:rsidRPr="00867483">
              <w:rPr>
                <w:rFonts w:ascii="Times New Roman" w:hAnsi="Times New Roman"/>
                <w:sz w:val="24"/>
                <w:szCs w:val="24"/>
              </w:rPr>
              <w:t>5</w:t>
            </w:r>
          </w:p>
        </w:tc>
      </w:tr>
      <w:tr w:rsidR="0058156B" w:rsidRPr="00AA45E9" w:rsidTr="0058156B">
        <w:tc>
          <w:tcPr>
            <w:tcW w:w="1507" w:type="dxa"/>
            <w:tcBorders>
              <w:bottom w:val="single" w:sz="4" w:space="0" w:color="auto"/>
              <w:right w:val="single" w:sz="4" w:space="0" w:color="auto"/>
            </w:tcBorders>
            <w:shd w:val="clear" w:color="auto" w:fill="002060"/>
          </w:tcPr>
          <w:p w:rsidR="0058156B" w:rsidRPr="00AA45E9" w:rsidRDefault="0058156B" w:rsidP="0058156B">
            <w:pPr>
              <w:spacing w:after="0" w:line="240" w:lineRule="auto"/>
              <w:jc w:val="center"/>
              <w:rPr>
                <w:rFonts w:ascii="Times New Roman" w:hAnsi="Times New Roman"/>
                <w:sz w:val="24"/>
                <w:szCs w:val="24"/>
              </w:rPr>
            </w:pPr>
            <w:r w:rsidRPr="00AA45E9">
              <w:rPr>
                <w:rFonts w:ascii="Times New Roman" w:hAnsi="Times New Roman"/>
                <w:b/>
                <w:sz w:val="24"/>
                <w:szCs w:val="24"/>
              </w:rPr>
              <w:t>Etendue</w:t>
            </w:r>
          </w:p>
        </w:tc>
        <w:tc>
          <w:tcPr>
            <w:tcW w:w="1190" w:type="dxa"/>
            <w:tcBorders>
              <w:left w:val="single" w:sz="4" w:space="0" w:color="auto"/>
              <w:bottom w:val="single" w:sz="4" w:space="0" w:color="auto"/>
              <w:right w:val="single" w:sz="4" w:space="0" w:color="auto"/>
            </w:tcBorders>
          </w:tcPr>
          <w:p w:rsidR="0058156B" w:rsidRPr="00867483" w:rsidRDefault="00D96D77" w:rsidP="0058156B">
            <w:pPr>
              <w:spacing w:after="0" w:line="240" w:lineRule="auto"/>
              <w:jc w:val="center"/>
              <w:rPr>
                <w:rFonts w:ascii="Times New Roman" w:hAnsi="Times New Roman"/>
                <w:sz w:val="24"/>
                <w:szCs w:val="24"/>
              </w:rPr>
            </w:pPr>
            <w:r>
              <w:rPr>
                <w:rFonts w:ascii="Times New Roman" w:hAnsi="Times New Roman"/>
                <w:sz w:val="24"/>
                <w:szCs w:val="24"/>
              </w:rPr>
              <w:t>Locale</w:t>
            </w:r>
          </w:p>
        </w:tc>
        <w:tc>
          <w:tcPr>
            <w:tcW w:w="456" w:type="dxa"/>
            <w:tcBorders>
              <w:left w:val="single" w:sz="4" w:space="0" w:color="auto"/>
              <w:bottom w:val="single" w:sz="4" w:space="0" w:color="auto"/>
            </w:tcBorders>
          </w:tcPr>
          <w:p w:rsidR="0058156B" w:rsidRPr="00867483" w:rsidRDefault="00D96D77" w:rsidP="0058156B">
            <w:pPr>
              <w:spacing w:after="0" w:line="240" w:lineRule="auto"/>
              <w:jc w:val="center"/>
              <w:rPr>
                <w:rFonts w:ascii="Times New Roman" w:hAnsi="Times New Roman"/>
                <w:sz w:val="24"/>
                <w:szCs w:val="24"/>
              </w:rPr>
            </w:pPr>
            <w:r>
              <w:rPr>
                <w:rFonts w:ascii="Times New Roman" w:hAnsi="Times New Roman"/>
                <w:sz w:val="24"/>
                <w:szCs w:val="24"/>
              </w:rPr>
              <w:t>3</w:t>
            </w:r>
          </w:p>
        </w:tc>
      </w:tr>
      <w:tr w:rsidR="0058156B" w:rsidRPr="00AA45E9" w:rsidTr="0058156B">
        <w:tc>
          <w:tcPr>
            <w:tcW w:w="1507" w:type="dxa"/>
            <w:tcBorders>
              <w:bottom w:val="single" w:sz="4" w:space="0" w:color="auto"/>
              <w:right w:val="single" w:sz="4" w:space="0" w:color="auto"/>
            </w:tcBorders>
            <w:shd w:val="clear" w:color="auto" w:fill="002060"/>
          </w:tcPr>
          <w:p w:rsidR="0058156B" w:rsidRDefault="0058156B" w:rsidP="0058156B">
            <w:pPr>
              <w:spacing w:after="0" w:line="240" w:lineRule="auto"/>
              <w:jc w:val="center"/>
              <w:rPr>
                <w:rFonts w:ascii="Times New Roman" w:hAnsi="Times New Roman"/>
                <w:sz w:val="24"/>
                <w:szCs w:val="24"/>
              </w:rPr>
            </w:pPr>
            <w:r w:rsidRPr="00AA45E9">
              <w:rPr>
                <w:rFonts w:ascii="Times New Roman" w:hAnsi="Times New Roman"/>
                <w:b/>
                <w:sz w:val="24"/>
                <w:szCs w:val="24"/>
              </w:rPr>
              <w:t>Durée</w:t>
            </w:r>
          </w:p>
        </w:tc>
        <w:tc>
          <w:tcPr>
            <w:tcW w:w="1190" w:type="dxa"/>
            <w:tcBorders>
              <w:left w:val="single" w:sz="4" w:space="0" w:color="auto"/>
              <w:bottom w:val="single" w:sz="4" w:space="0" w:color="auto"/>
              <w:right w:val="single" w:sz="4" w:space="0" w:color="auto"/>
            </w:tcBorders>
          </w:tcPr>
          <w:p w:rsidR="0058156B" w:rsidRPr="00867483" w:rsidRDefault="00D96D77" w:rsidP="0058156B">
            <w:pPr>
              <w:spacing w:after="0" w:line="240" w:lineRule="auto"/>
              <w:jc w:val="center"/>
              <w:rPr>
                <w:rFonts w:ascii="Times New Roman" w:hAnsi="Times New Roman"/>
                <w:sz w:val="24"/>
                <w:szCs w:val="24"/>
              </w:rPr>
            </w:pPr>
            <w:r>
              <w:rPr>
                <w:rFonts w:ascii="Times New Roman" w:hAnsi="Times New Roman"/>
                <w:sz w:val="24"/>
                <w:szCs w:val="24"/>
              </w:rPr>
              <w:t>Courte</w:t>
            </w:r>
          </w:p>
        </w:tc>
        <w:tc>
          <w:tcPr>
            <w:tcW w:w="456" w:type="dxa"/>
            <w:tcBorders>
              <w:left w:val="single" w:sz="4" w:space="0" w:color="auto"/>
              <w:bottom w:val="single" w:sz="4" w:space="0" w:color="auto"/>
            </w:tcBorders>
          </w:tcPr>
          <w:p w:rsidR="0058156B" w:rsidRPr="00867483" w:rsidRDefault="0058156B" w:rsidP="0058156B">
            <w:pPr>
              <w:spacing w:after="0" w:line="240" w:lineRule="auto"/>
              <w:jc w:val="center"/>
              <w:rPr>
                <w:rFonts w:ascii="Times New Roman" w:hAnsi="Times New Roman"/>
                <w:sz w:val="24"/>
                <w:szCs w:val="24"/>
              </w:rPr>
            </w:pPr>
            <w:r w:rsidRPr="00867483">
              <w:rPr>
                <w:rFonts w:ascii="Times New Roman" w:hAnsi="Times New Roman"/>
                <w:sz w:val="24"/>
                <w:szCs w:val="24"/>
              </w:rPr>
              <w:t>1</w:t>
            </w:r>
          </w:p>
        </w:tc>
      </w:tr>
      <w:tr w:rsidR="0058156B" w:rsidRPr="00AA45E9" w:rsidTr="00FC410F">
        <w:tc>
          <w:tcPr>
            <w:tcW w:w="3153" w:type="dxa"/>
            <w:gridSpan w:val="3"/>
            <w:tcBorders>
              <w:bottom w:val="single" w:sz="4" w:space="0" w:color="auto"/>
            </w:tcBorders>
            <w:shd w:val="clear" w:color="auto" w:fill="FFFFFF" w:themeFill="background1"/>
          </w:tcPr>
          <w:p w:rsidR="0058156B" w:rsidRPr="00867483" w:rsidRDefault="0058156B" w:rsidP="0058156B">
            <w:pPr>
              <w:spacing w:after="0" w:line="240" w:lineRule="auto"/>
              <w:jc w:val="center"/>
              <w:rPr>
                <w:rFonts w:ascii="Times New Roman" w:hAnsi="Times New Roman"/>
                <w:sz w:val="6"/>
                <w:szCs w:val="6"/>
              </w:rPr>
            </w:pPr>
          </w:p>
        </w:tc>
      </w:tr>
      <w:tr w:rsidR="0058156B" w:rsidRPr="00AA45E9" w:rsidTr="00D96D77">
        <w:tc>
          <w:tcPr>
            <w:tcW w:w="1507" w:type="dxa"/>
            <w:tcBorders>
              <w:bottom w:val="dashDotStroked" w:sz="24" w:space="0" w:color="auto"/>
              <w:right w:val="single" w:sz="4" w:space="0" w:color="auto"/>
            </w:tcBorders>
            <w:shd w:val="clear" w:color="auto" w:fill="002060"/>
          </w:tcPr>
          <w:p w:rsidR="0058156B" w:rsidRPr="00AA45E9" w:rsidRDefault="0058156B" w:rsidP="0058156B">
            <w:pPr>
              <w:spacing w:after="0" w:line="240" w:lineRule="auto"/>
              <w:jc w:val="center"/>
              <w:rPr>
                <w:rFonts w:ascii="Times New Roman" w:hAnsi="Times New Roman"/>
                <w:b/>
                <w:sz w:val="24"/>
                <w:szCs w:val="24"/>
              </w:rPr>
            </w:pPr>
            <w:r w:rsidRPr="00AA45E9">
              <w:rPr>
                <w:rFonts w:ascii="Times New Roman" w:hAnsi="Times New Roman"/>
                <w:b/>
                <w:sz w:val="24"/>
                <w:szCs w:val="24"/>
              </w:rPr>
              <w:t>Importance</w:t>
            </w:r>
          </w:p>
        </w:tc>
        <w:tc>
          <w:tcPr>
            <w:tcW w:w="1190" w:type="dxa"/>
            <w:tcBorders>
              <w:left w:val="single" w:sz="4" w:space="0" w:color="auto"/>
              <w:bottom w:val="dashDotStroked" w:sz="24" w:space="0" w:color="auto"/>
              <w:right w:val="single" w:sz="4" w:space="0" w:color="auto"/>
            </w:tcBorders>
            <w:shd w:val="clear" w:color="auto" w:fill="92D050"/>
          </w:tcPr>
          <w:p w:rsidR="0058156B" w:rsidRPr="008E6D9C" w:rsidRDefault="00D96D77" w:rsidP="0058156B">
            <w:pPr>
              <w:spacing w:after="0" w:line="240" w:lineRule="auto"/>
              <w:jc w:val="center"/>
              <w:rPr>
                <w:rFonts w:ascii="Times New Roman" w:hAnsi="Times New Roman"/>
                <w:b/>
                <w:sz w:val="24"/>
                <w:szCs w:val="24"/>
              </w:rPr>
            </w:pPr>
            <w:r>
              <w:rPr>
                <w:rFonts w:ascii="Times New Roman" w:hAnsi="Times New Roman"/>
                <w:b/>
                <w:sz w:val="24"/>
                <w:szCs w:val="24"/>
              </w:rPr>
              <w:t>Mineure</w:t>
            </w:r>
          </w:p>
        </w:tc>
        <w:tc>
          <w:tcPr>
            <w:tcW w:w="456" w:type="dxa"/>
            <w:tcBorders>
              <w:left w:val="single" w:sz="4" w:space="0" w:color="auto"/>
              <w:bottom w:val="dashDotStroked" w:sz="24" w:space="0" w:color="auto"/>
            </w:tcBorders>
            <w:shd w:val="clear" w:color="auto" w:fill="92D050"/>
          </w:tcPr>
          <w:p w:rsidR="0058156B" w:rsidRPr="008E6D9C" w:rsidRDefault="00D96D77" w:rsidP="0058156B">
            <w:pPr>
              <w:spacing w:after="0" w:line="240" w:lineRule="auto"/>
              <w:jc w:val="center"/>
              <w:rPr>
                <w:rFonts w:ascii="Times New Roman" w:hAnsi="Times New Roman"/>
                <w:b/>
                <w:sz w:val="24"/>
                <w:szCs w:val="24"/>
              </w:rPr>
            </w:pPr>
            <w:r>
              <w:rPr>
                <w:rFonts w:ascii="Times New Roman" w:hAnsi="Times New Roman"/>
                <w:b/>
                <w:sz w:val="24"/>
                <w:szCs w:val="24"/>
              </w:rPr>
              <w:t>1</w:t>
            </w:r>
            <w:r w:rsidR="0058156B" w:rsidRPr="008E6D9C">
              <w:rPr>
                <w:rFonts w:ascii="Times New Roman" w:hAnsi="Times New Roman"/>
                <w:b/>
                <w:sz w:val="24"/>
                <w:szCs w:val="24"/>
              </w:rPr>
              <w:t>5</w:t>
            </w:r>
          </w:p>
        </w:tc>
      </w:tr>
    </w:tbl>
    <w:p w:rsidR="00E772E0" w:rsidRPr="003D2CBA" w:rsidRDefault="00E772E0" w:rsidP="00FA3FAE">
      <w:pPr>
        <w:pStyle w:val="PargrafodaLista"/>
        <w:numPr>
          <w:ilvl w:val="0"/>
          <w:numId w:val="41"/>
        </w:numPr>
        <w:pBdr>
          <w:bottom w:val="dashDotStroked" w:sz="24" w:space="1" w:color="auto"/>
        </w:pBdr>
        <w:jc w:val="both"/>
        <w:rPr>
          <w:rFonts w:ascii="Times New Roman" w:hAnsi="Times New Roman"/>
          <w:b/>
          <w:sz w:val="24"/>
          <w:szCs w:val="24"/>
        </w:rPr>
      </w:pPr>
      <w:r w:rsidRPr="003D2CBA">
        <w:rPr>
          <w:rFonts w:ascii="Times New Roman" w:hAnsi="Times New Roman"/>
          <w:b/>
          <w:sz w:val="24"/>
          <w:szCs w:val="24"/>
        </w:rPr>
        <w:t xml:space="preserve">  Nuisances sonores</w:t>
      </w:r>
    </w:p>
    <w:p w:rsidR="00E772E0" w:rsidRDefault="00E772E0" w:rsidP="00E772E0">
      <w:pPr>
        <w:pStyle w:val="Listecouleur-Accent11"/>
        <w:ind w:left="0"/>
        <w:rPr>
          <w:rFonts w:ascii="Times New Roman" w:hAnsi="Times New Roman"/>
          <w:color w:val="000000"/>
          <w:sz w:val="24"/>
          <w:szCs w:val="24"/>
        </w:rPr>
      </w:pPr>
      <w:r>
        <w:rPr>
          <w:rFonts w:ascii="Times New Roman" w:hAnsi="Times New Roman"/>
          <w:color w:val="000000"/>
          <w:sz w:val="24"/>
          <w:szCs w:val="24"/>
          <w:lang w:val="fr-FR"/>
        </w:rPr>
        <w:t xml:space="preserve">Les travaux de </w:t>
      </w:r>
      <w:r w:rsidRPr="003272DA">
        <w:rPr>
          <w:rFonts w:ascii="Times New Roman" w:hAnsi="Times New Roman"/>
          <w:color w:val="000000"/>
          <w:sz w:val="24"/>
          <w:szCs w:val="24"/>
        </w:rPr>
        <w:t>réalisation</w:t>
      </w:r>
      <w:r>
        <w:rPr>
          <w:rFonts w:ascii="Times New Roman" w:hAnsi="Times New Roman"/>
          <w:color w:val="000000"/>
          <w:sz w:val="24"/>
          <w:szCs w:val="24"/>
          <w:lang w:val="fr-FR"/>
        </w:rPr>
        <w:t xml:space="preserve"> </w:t>
      </w:r>
      <w:r>
        <w:rPr>
          <w:rFonts w:ascii="Times New Roman" w:hAnsi="Times New Roman"/>
          <w:color w:val="000000"/>
          <w:sz w:val="24"/>
          <w:szCs w:val="24"/>
        </w:rPr>
        <w:t>des</w:t>
      </w:r>
      <w:r>
        <w:rPr>
          <w:rFonts w:ascii="Times New Roman" w:hAnsi="Times New Roman"/>
          <w:color w:val="000000"/>
          <w:sz w:val="24"/>
          <w:szCs w:val="24"/>
          <w:lang w:val="fr-FR"/>
        </w:rPr>
        <w:t xml:space="preserve"> réservoirs </w:t>
      </w:r>
      <w:r>
        <w:rPr>
          <w:rFonts w:ascii="Times New Roman" w:hAnsi="Times New Roman"/>
          <w:color w:val="000000"/>
          <w:sz w:val="24"/>
          <w:szCs w:val="24"/>
        </w:rPr>
        <w:t>engendreront</w:t>
      </w:r>
      <w:r>
        <w:rPr>
          <w:rFonts w:ascii="Times New Roman" w:hAnsi="Times New Roman"/>
          <w:color w:val="000000"/>
          <w:sz w:val="24"/>
          <w:szCs w:val="24"/>
          <w:lang w:val="fr-FR"/>
        </w:rPr>
        <w:t xml:space="preserve"> </w:t>
      </w:r>
      <w:r w:rsidRPr="003272DA">
        <w:rPr>
          <w:rFonts w:ascii="Times New Roman" w:hAnsi="Times New Roman"/>
          <w:color w:val="000000"/>
          <w:sz w:val="24"/>
          <w:szCs w:val="24"/>
        </w:rPr>
        <w:t>sans nul doute, des nuisances sonores</w:t>
      </w:r>
      <w:r w:rsidR="008E0B68">
        <w:rPr>
          <w:rFonts w:ascii="Times New Roman" w:hAnsi="Times New Roman"/>
          <w:color w:val="000000"/>
          <w:sz w:val="24"/>
          <w:szCs w:val="24"/>
          <w:lang w:val="fr-FR"/>
        </w:rPr>
        <w:t xml:space="preserve"> </w:t>
      </w:r>
      <w:r w:rsidRPr="003272DA">
        <w:rPr>
          <w:rFonts w:ascii="Times New Roman" w:hAnsi="Times New Roman"/>
          <w:color w:val="000000"/>
          <w:sz w:val="24"/>
          <w:szCs w:val="24"/>
        </w:rPr>
        <w:t>particulièrement pour le personnel de chantier et le</w:t>
      </w:r>
      <w:r>
        <w:rPr>
          <w:rFonts w:ascii="Times New Roman" w:hAnsi="Times New Roman"/>
          <w:color w:val="000000"/>
          <w:sz w:val="24"/>
          <w:szCs w:val="24"/>
          <w:lang w:val="fr-FR"/>
        </w:rPr>
        <w:t>s habitants tout autour des sites</w:t>
      </w:r>
      <w:r w:rsidRPr="003272DA">
        <w:rPr>
          <w:rFonts w:ascii="Times New Roman" w:hAnsi="Times New Roman"/>
          <w:color w:val="000000"/>
          <w:sz w:val="24"/>
          <w:szCs w:val="24"/>
        </w:rPr>
        <w:t>.</w:t>
      </w:r>
      <w:r>
        <w:rPr>
          <w:rFonts w:ascii="Times New Roman" w:hAnsi="Times New Roman"/>
          <w:color w:val="000000"/>
          <w:sz w:val="24"/>
          <w:szCs w:val="24"/>
          <w:lang w:val="fr-FR"/>
        </w:rPr>
        <w:t xml:space="preserve"> Ainsi, </w:t>
      </w:r>
      <w:r w:rsidR="00974BAA">
        <w:rPr>
          <w:rFonts w:ascii="Times New Roman" w:hAnsi="Times New Roman"/>
          <w:color w:val="000000"/>
          <w:sz w:val="24"/>
          <w:szCs w:val="24"/>
          <w:lang w:val="fr-FR"/>
        </w:rPr>
        <w:t>les</w:t>
      </w:r>
      <w:r w:rsidRPr="003272DA">
        <w:rPr>
          <w:rFonts w:ascii="Times New Roman" w:hAnsi="Times New Roman"/>
          <w:color w:val="000000"/>
          <w:sz w:val="24"/>
          <w:szCs w:val="24"/>
        </w:rPr>
        <w:t xml:space="preserve"> nuisances sonores seront causées par</w:t>
      </w:r>
      <w:r>
        <w:rPr>
          <w:rFonts w:ascii="Times New Roman" w:hAnsi="Times New Roman"/>
          <w:color w:val="000000"/>
          <w:sz w:val="24"/>
          <w:szCs w:val="24"/>
        </w:rPr>
        <w:t xml:space="preserve"> </w:t>
      </w:r>
      <w:r w:rsidRPr="003272DA">
        <w:rPr>
          <w:rFonts w:ascii="Times New Roman" w:hAnsi="Times New Roman"/>
          <w:color w:val="000000"/>
          <w:sz w:val="24"/>
          <w:szCs w:val="24"/>
        </w:rPr>
        <w:t>le matériel</w:t>
      </w:r>
      <w:r>
        <w:rPr>
          <w:rFonts w:ascii="Times New Roman" w:hAnsi="Times New Roman"/>
          <w:color w:val="000000"/>
          <w:sz w:val="24"/>
          <w:szCs w:val="24"/>
        </w:rPr>
        <w:t xml:space="preserve"> (grue, installations de sciage, générateurs, </w:t>
      </w:r>
      <w:r w:rsidRPr="003272DA">
        <w:rPr>
          <w:rFonts w:ascii="Times New Roman" w:hAnsi="Times New Roman"/>
          <w:color w:val="000000"/>
          <w:sz w:val="24"/>
          <w:szCs w:val="24"/>
        </w:rPr>
        <w:t xml:space="preserve">matériels roulants, groupes électrogène, etc.…). </w:t>
      </w:r>
    </w:p>
    <w:p w:rsidR="00E772E0" w:rsidRPr="003272DA" w:rsidRDefault="00E772E0" w:rsidP="00E772E0">
      <w:pPr>
        <w:pStyle w:val="Listecouleur-Accent11"/>
        <w:ind w:left="0"/>
        <w:rPr>
          <w:rFonts w:ascii="Times New Roman" w:hAnsi="Times New Roman"/>
          <w:color w:val="000000"/>
          <w:sz w:val="24"/>
          <w:szCs w:val="24"/>
        </w:rPr>
      </w:pPr>
      <w:r w:rsidRPr="003272DA">
        <w:rPr>
          <w:rFonts w:ascii="Times New Roman" w:hAnsi="Times New Roman"/>
          <w:color w:val="000000"/>
          <w:sz w:val="24"/>
          <w:szCs w:val="24"/>
        </w:rPr>
        <w:t xml:space="preserve">Le bruit et les vibrations associés au projet se  remarqueront principalement lors des étapes suivantes : </w:t>
      </w:r>
    </w:p>
    <w:p w:rsidR="00E772E0" w:rsidRPr="003272DA" w:rsidRDefault="00E772E0" w:rsidP="00E772E0">
      <w:pPr>
        <w:pStyle w:val="Listecouleur-Accent11"/>
        <w:rPr>
          <w:rFonts w:ascii="Times New Roman" w:hAnsi="Times New Roman"/>
          <w:color w:val="000000"/>
          <w:sz w:val="24"/>
          <w:szCs w:val="24"/>
        </w:rPr>
      </w:pPr>
      <w:r w:rsidRPr="003272DA">
        <w:rPr>
          <w:rFonts w:ascii="Times New Roman" w:hAnsi="Times New Roman"/>
          <w:color w:val="000000"/>
          <w:sz w:val="24"/>
          <w:szCs w:val="24"/>
        </w:rPr>
        <w:t>  la préparation des fondations et les déchargements du béton,</w:t>
      </w:r>
    </w:p>
    <w:p w:rsidR="00E772E0" w:rsidRPr="003272DA" w:rsidRDefault="00E772E0" w:rsidP="00E772E0">
      <w:pPr>
        <w:pStyle w:val="Listecouleur-Accent11"/>
        <w:rPr>
          <w:rFonts w:ascii="Times New Roman" w:hAnsi="Times New Roman"/>
          <w:color w:val="000000"/>
          <w:sz w:val="24"/>
          <w:szCs w:val="24"/>
        </w:rPr>
      </w:pPr>
      <w:r w:rsidRPr="003272DA">
        <w:rPr>
          <w:rFonts w:ascii="Times New Roman" w:hAnsi="Times New Roman"/>
          <w:color w:val="000000"/>
          <w:sz w:val="24"/>
          <w:szCs w:val="24"/>
        </w:rPr>
        <w:t xml:space="preserve">  la construction des structures métalliques, </w:t>
      </w:r>
    </w:p>
    <w:p w:rsidR="00E772E0" w:rsidRPr="003272DA" w:rsidRDefault="00E772E0" w:rsidP="00E772E0">
      <w:pPr>
        <w:pStyle w:val="Listecouleur-Accent11"/>
        <w:rPr>
          <w:rFonts w:ascii="Times New Roman" w:hAnsi="Times New Roman"/>
          <w:color w:val="000000"/>
          <w:sz w:val="24"/>
          <w:szCs w:val="24"/>
        </w:rPr>
      </w:pPr>
      <w:r w:rsidRPr="003272DA">
        <w:rPr>
          <w:rFonts w:ascii="Times New Roman" w:hAnsi="Times New Roman"/>
          <w:color w:val="000000"/>
          <w:sz w:val="24"/>
          <w:szCs w:val="24"/>
        </w:rPr>
        <w:t>  le déplacement des engins de construction,</w:t>
      </w:r>
    </w:p>
    <w:p w:rsidR="00E772E0" w:rsidRPr="003272DA" w:rsidRDefault="00E772E0" w:rsidP="00E772E0">
      <w:pPr>
        <w:pStyle w:val="Listecouleur-Accent11"/>
        <w:rPr>
          <w:rFonts w:ascii="Times New Roman" w:hAnsi="Times New Roman"/>
          <w:color w:val="000000"/>
          <w:sz w:val="24"/>
          <w:szCs w:val="24"/>
        </w:rPr>
      </w:pPr>
      <w:r w:rsidRPr="003272DA">
        <w:rPr>
          <w:rFonts w:ascii="Times New Roman" w:hAnsi="Times New Roman"/>
          <w:color w:val="000000"/>
          <w:sz w:val="24"/>
          <w:szCs w:val="24"/>
        </w:rPr>
        <w:t>  le fonctionnement des groupes électrogènes,</w:t>
      </w:r>
    </w:p>
    <w:p w:rsidR="00E772E0" w:rsidRPr="003272DA" w:rsidRDefault="00E772E0" w:rsidP="00E772E0">
      <w:pPr>
        <w:pStyle w:val="Listecouleur-Accent11"/>
        <w:rPr>
          <w:rFonts w:ascii="Times New Roman" w:hAnsi="Times New Roman"/>
          <w:color w:val="000000"/>
          <w:sz w:val="24"/>
          <w:szCs w:val="24"/>
        </w:rPr>
      </w:pPr>
      <w:r w:rsidRPr="003272DA">
        <w:rPr>
          <w:rFonts w:ascii="Times New Roman" w:hAnsi="Times New Roman"/>
          <w:color w:val="000000"/>
          <w:sz w:val="24"/>
          <w:szCs w:val="24"/>
        </w:rPr>
        <w:t xml:space="preserve">  et le compactage de surface, </w:t>
      </w:r>
    </w:p>
    <w:p w:rsidR="00E772E0" w:rsidRDefault="00E772E0" w:rsidP="00E772E0">
      <w:pPr>
        <w:pStyle w:val="Listecouleur-Accent11"/>
        <w:ind w:left="0"/>
        <w:rPr>
          <w:rFonts w:ascii="Times New Roman" w:hAnsi="Times New Roman"/>
          <w:color w:val="000000"/>
          <w:sz w:val="24"/>
          <w:szCs w:val="24"/>
        </w:rPr>
      </w:pPr>
      <w:r w:rsidRPr="003272DA">
        <w:rPr>
          <w:rFonts w:ascii="Times New Roman" w:hAnsi="Times New Roman"/>
          <w:color w:val="000000"/>
          <w:sz w:val="24"/>
          <w:szCs w:val="24"/>
        </w:rPr>
        <w:t>Les niveaux caractéristiques du bruit des équipements sur le chantier, sont donnés dans le tableau ci-après.</w:t>
      </w:r>
    </w:p>
    <w:p w:rsidR="00E772E0" w:rsidRDefault="00E772E0" w:rsidP="001212DC">
      <w:pPr>
        <w:pStyle w:val="Listecouleur-Accent11"/>
        <w:ind w:left="0"/>
        <w:jc w:val="center"/>
        <w:rPr>
          <w:rFonts w:ascii="Times New Roman" w:hAnsi="Times New Roman"/>
          <w:color w:val="000000"/>
          <w:sz w:val="24"/>
          <w:szCs w:val="24"/>
        </w:rPr>
      </w:pPr>
      <w:r>
        <w:rPr>
          <w:noProof/>
          <w:lang w:val="pt-PT" w:eastAsia="pt-PT"/>
        </w:rPr>
        <w:drawing>
          <wp:inline distT="0" distB="0" distL="0" distR="0" wp14:anchorId="73196120" wp14:editId="2FB00B60">
            <wp:extent cx="4324350" cy="1531089"/>
            <wp:effectExtent l="19050" t="19050" r="19050" b="12065"/>
            <wp:docPr id="58" name="Imag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0" cstate="email">
                      <a:extLst>
                        <a:ext uri="{28A0092B-C50C-407E-A947-70E740481C1C}">
                          <a14:useLocalDpi xmlns:a14="http://schemas.microsoft.com/office/drawing/2010/main"/>
                        </a:ext>
                      </a:extLst>
                    </a:blip>
                    <a:stretch>
                      <a:fillRect/>
                    </a:stretch>
                  </pic:blipFill>
                  <pic:spPr>
                    <a:xfrm>
                      <a:off x="0" y="0"/>
                      <a:ext cx="4325923" cy="1531646"/>
                    </a:xfrm>
                    <a:prstGeom prst="rect">
                      <a:avLst/>
                    </a:prstGeom>
                    <a:ln>
                      <a:solidFill>
                        <a:schemeClr val="accent1"/>
                      </a:solidFill>
                    </a:ln>
                  </pic:spPr>
                </pic:pic>
              </a:graphicData>
            </a:graphic>
          </wp:inline>
        </w:drawing>
      </w:r>
    </w:p>
    <w:p w:rsidR="001212DC" w:rsidRDefault="001212DC" w:rsidP="001212DC">
      <w:pPr>
        <w:pStyle w:val="Listecouleur-Accent11"/>
        <w:ind w:left="0"/>
        <w:jc w:val="center"/>
        <w:rPr>
          <w:rFonts w:ascii="Times New Roman" w:hAnsi="Times New Roman"/>
          <w:color w:val="000000"/>
          <w:sz w:val="24"/>
          <w:szCs w:val="24"/>
        </w:rPr>
      </w:pPr>
    </w:p>
    <w:p w:rsidR="001212DC" w:rsidRDefault="001212DC" w:rsidP="001212DC">
      <w:pPr>
        <w:pStyle w:val="Listecouleur-Accent11"/>
        <w:ind w:left="0"/>
        <w:jc w:val="center"/>
        <w:rPr>
          <w:rFonts w:ascii="Times New Roman" w:hAnsi="Times New Roman"/>
          <w:color w:val="000000"/>
          <w:sz w:val="24"/>
          <w:szCs w:val="24"/>
        </w:rPr>
      </w:pPr>
    </w:p>
    <w:p w:rsidR="001212DC" w:rsidRDefault="001212DC" w:rsidP="001212DC">
      <w:pPr>
        <w:pStyle w:val="Listecouleur-Accent11"/>
        <w:ind w:left="0"/>
        <w:jc w:val="center"/>
        <w:rPr>
          <w:rFonts w:ascii="Times New Roman" w:hAnsi="Times New Roman"/>
          <w:color w:val="000000"/>
          <w:sz w:val="24"/>
          <w:szCs w:val="24"/>
        </w:rPr>
      </w:pPr>
    </w:p>
    <w:p w:rsidR="001212DC" w:rsidRDefault="001212DC" w:rsidP="001212DC">
      <w:pPr>
        <w:pStyle w:val="Listecouleur-Accent11"/>
        <w:ind w:left="0"/>
        <w:jc w:val="center"/>
        <w:rPr>
          <w:rFonts w:ascii="Times New Roman" w:hAnsi="Times New Roman"/>
          <w:color w:val="000000"/>
          <w:sz w:val="24"/>
          <w:szCs w:val="24"/>
        </w:rPr>
      </w:pPr>
    </w:p>
    <w:p w:rsidR="001212DC" w:rsidRDefault="001212DC" w:rsidP="001212DC">
      <w:pPr>
        <w:pStyle w:val="Listecouleur-Accent11"/>
        <w:ind w:left="0"/>
        <w:jc w:val="center"/>
        <w:rPr>
          <w:rFonts w:ascii="Times New Roman" w:hAnsi="Times New Roman"/>
          <w:color w:val="000000"/>
          <w:sz w:val="24"/>
          <w:szCs w:val="24"/>
        </w:rPr>
      </w:pPr>
    </w:p>
    <w:p w:rsidR="001212DC" w:rsidRDefault="001212DC" w:rsidP="001212DC">
      <w:pPr>
        <w:pStyle w:val="Listecouleur-Accent11"/>
        <w:ind w:left="0"/>
        <w:jc w:val="center"/>
        <w:rPr>
          <w:rFonts w:ascii="Times New Roman" w:hAnsi="Times New Roman"/>
          <w:color w:val="000000"/>
          <w:sz w:val="24"/>
          <w:szCs w:val="24"/>
        </w:rPr>
      </w:pPr>
    </w:p>
    <w:p w:rsidR="001212DC" w:rsidRDefault="001212DC" w:rsidP="001212DC">
      <w:pPr>
        <w:pStyle w:val="Listecouleur-Accent11"/>
        <w:ind w:left="0"/>
        <w:jc w:val="center"/>
        <w:rPr>
          <w:rFonts w:ascii="Times New Roman" w:hAnsi="Times New Roman"/>
          <w:color w:val="000000"/>
          <w:sz w:val="24"/>
          <w:szCs w:val="24"/>
        </w:rPr>
      </w:pPr>
    </w:p>
    <w:p w:rsidR="001212DC" w:rsidRDefault="001212DC" w:rsidP="001212DC">
      <w:pPr>
        <w:pStyle w:val="Listecouleur-Accent11"/>
        <w:ind w:left="0"/>
        <w:jc w:val="center"/>
        <w:rPr>
          <w:rFonts w:ascii="Times New Roman" w:hAnsi="Times New Roman"/>
          <w:color w:val="000000"/>
          <w:sz w:val="24"/>
          <w:szCs w:val="24"/>
        </w:rPr>
      </w:pPr>
    </w:p>
    <w:tbl>
      <w:tblPr>
        <w:tblpPr w:leftFromText="141" w:rightFromText="141" w:vertAnchor="text" w:horzAnchor="margin" w:tblpXSpec="right" w:tblpY="475"/>
        <w:tblW w:w="3153" w:type="dxa"/>
        <w:tblBorders>
          <w:top w:val="single" w:sz="4" w:space="0" w:color="auto"/>
          <w:left w:val="dashDotStroked" w:sz="24" w:space="0" w:color="auto"/>
          <w:bottom w:val="dashDotStroked" w:sz="24" w:space="0" w:color="auto"/>
          <w:right w:val="dashDotStroked" w:sz="24" w:space="0" w:color="auto"/>
          <w:insideH w:val="single" w:sz="4" w:space="0" w:color="auto"/>
          <w:insideV w:val="dashDotStroked" w:sz="24" w:space="0" w:color="auto"/>
        </w:tblBorders>
        <w:tblLook w:val="04A0" w:firstRow="1" w:lastRow="0" w:firstColumn="1" w:lastColumn="0" w:noHBand="0" w:noVBand="1"/>
      </w:tblPr>
      <w:tblGrid>
        <w:gridCol w:w="1507"/>
        <w:gridCol w:w="1190"/>
        <w:gridCol w:w="456"/>
      </w:tblGrid>
      <w:tr w:rsidR="001212DC" w:rsidRPr="00AA45E9" w:rsidTr="001212DC">
        <w:tc>
          <w:tcPr>
            <w:tcW w:w="3153" w:type="dxa"/>
            <w:gridSpan w:val="3"/>
            <w:tcBorders>
              <w:bottom w:val="single" w:sz="4" w:space="0" w:color="auto"/>
            </w:tcBorders>
            <w:shd w:val="clear" w:color="auto" w:fill="002060"/>
          </w:tcPr>
          <w:p w:rsidR="001212DC" w:rsidRPr="00867483" w:rsidRDefault="001212DC" w:rsidP="001212DC">
            <w:pPr>
              <w:spacing w:after="0" w:line="240" w:lineRule="auto"/>
              <w:jc w:val="center"/>
              <w:rPr>
                <w:rFonts w:ascii="Times New Roman" w:hAnsi="Times New Roman"/>
                <w:b/>
                <w:sz w:val="24"/>
                <w:szCs w:val="24"/>
              </w:rPr>
            </w:pPr>
            <w:r w:rsidRPr="00867483">
              <w:rPr>
                <w:rFonts w:ascii="Times New Roman" w:hAnsi="Times New Roman"/>
                <w:b/>
                <w:sz w:val="24"/>
                <w:szCs w:val="24"/>
              </w:rPr>
              <w:lastRenderedPageBreak/>
              <w:t>Caractérisation de l’impact</w:t>
            </w:r>
          </w:p>
        </w:tc>
      </w:tr>
      <w:tr w:rsidR="00E96A04" w:rsidRPr="00AA45E9" w:rsidTr="00247507">
        <w:tc>
          <w:tcPr>
            <w:tcW w:w="1507" w:type="dxa"/>
            <w:tcBorders>
              <w:bottom w:val="single" w:sz="4" w:space="0" w:color="auto"/>
              <w:right w:val="single" w:sz="4" w:space="0" w:color="auto"/>
            </w:tcBorders>
            <w:shd w:val="clear" w:color="auto" w:fill="002060"/>
          </w:tcPr>
          <w:p w:rsidR="00E96A04" w:rsidRPr="00AA45E9" w:rsidRDefault="00E96A04" w:rsidP="001212DC">
            <w:pPr>
              <w:spacing w:after="0" w:line="240" w:lineRule="auto"/>
              <w:jc w:val="center"/>
              <w:rPr>
                <w:rFonts w:ascii="Times New Roman" w:hAnsi="Times New Roman"/>
                <w:b/>
                <w:sz w:val="24"/>
                <w:szCs w:val="24"/>
              </w:rPr>
            </w:pPr>
            <w:r>
              <w:rPr>
                <w:rFonts w:ascii="Times New Roman" w:hAnsi="Times New Roman"/>
                <w:b/>
                <w:sz w:val="24"/>
                <w:szCs w:val="24"/>
              </w:rPr>
              <w:t xml:space="preserve">Nature </w:t>
            </w:r>
          </w:p>
        </w:tc>
        <w:tc>
          <w:tcPr>
            <w:tcW w:w="1646" w:type="dxa"/>
            <w:gridSpan w:val="2"/>
            <w:tcBorders>
              <w:left w:val="single" w:sz="4" w:space="0" w:color="auto"/>
              <w:bottom w:val="single" w:sz="4" w:space="0" w:color="auto"/>
            </w:tcBorders>
            <w:shd w:val="clear" w:color="auto" w:fill="auto"/>
          </w:tcPr>
          <w:p w:rsidR="00E96A04" w:rsidRPr="00867483" w:rsidRDefault="00E96A04" w:rsidP="001212DC">
            <w:pPr>
              <w:spacing w:after="0" w:line="240" w:lineRule="auto"/>
              <w:jc w:val="center"/>
              <w:rPr>
                <w:rFonts w:ascii="Times New Roman" w:hAnsi="Times New Roman"/>
                <w:sz w:val="24"/>
                <w:szCs w:val="24"/>
              </w:rPr>
            </w:pPr>
            <w:r w:rsidRPr="00E96A04">
              <w:rPr>
                <w:rFonts w:ascii="Times New Roman" w:hAnsi="Times New Roman"/>
                <w:b/>
                <w:sz w:val="24"/>
                <w:szCs w:val="24"/>
              </w:rPr>
              <w:t>Négatif</w:t>
            </w:r>
          </w:p>
        </w:tc>
      </w:tr>
      <w:tr w:rsidR="00D96D77" w:rsidRPr="00AA45E9" w:rsidTr="001212DC">
        <w:tc>
          <w:tcPr>
            <w:tcW w:w="1507" w:type="dxa"/>
            <w:tcBorders>
              <w:bottom w:val="single" w:sz="4" w:space="0" w:color="auto"/>
              <w:right w:val="single" w:sz="4" w:space="0" w:color="auto"/>
            </w:tcBorders>
            <w:shd w:val="clear" w:color="auto" w:fill="002060"/>
          </w:tcPr>
          <w:p w:rsidR="00D96D77" w:rsidRPr="00AA45E9" w:rsidRDefault="00D96D77" w:rsidP="00D96D77">
            <w:pPr>
              <w:spacing w:after="0" w:line="240" w:lineRule="auto"/>
              <w:jc w:val="center"/>
              <w:rPr>
                <w:rFonts w:ascii="Times New Roman" w:hAnsi="Times New Roman"/>
                <w:b/>
                <w:sz w:val="24"/>
                <w:szCs w:val="24"/>
              </w:rPr>
            </w:pPr>
            <w:r w:rsidRPr="00AA45E9">
              <w:rPr>
                <w:rFonts w:ascii="Times New Roman" w:hAnsi="Times New Roman"/>
                <w:b/>
                <w:sz w:val="24"/>
                <w:szCs w:val="24"/>
              </w:rPr>
              <w:t>Intensité</w:t>
            </w:r>
          </w:p>
        </w:tc>
        <w:tc>
          <w:tcPr>
            <w:tcW w:w="1190" w:type="dxa"/>
            <w:tcBorders>
              <w:left w:val="single" w:sz="4" w:space="0" w:color="auto"/>
              <w:bottom w:val="single" w:sz="4" w:space="0" w:color="auto"/>
              <w:right w:val="single" w:sz="4" w:space="0" w:color="auto"/>
            </w:tcBorders>
            <w:shd w:val="clear" w:color="auto" w:fill="auto"/>
          </w:tcPr>
          <w:p w:rsidR="00D96D77" w:rsidRPr="00867483" w:rsidRDefault="00D96D77" w:rsidP="00D96D77">
            <w:pPr>
              <w:spacing w:after="0" w:line="240" w:lineRule="auto"/>
              <w:jc w:val="center"/>
              <w:rPr>
                <w:rFonts w:ascii="Times New Roman" w:hAnsi="Times New Roman"/>
                <w:sz w:val="24"/>
                <w:szCs w:val="24"/>
              </w:rPr>
            </w:pPr>
            <w:r w:rsidRPr="00867483">
              <w:rPr>
                <w:rFonts w:ascii="Times New Roman" w:hAnsi="Times New Roman"/>
                <w:sz w:val="24"/>
                <w:szCs w:val="24"/>
              </w:rPr>
              <w:t>Forte</w:t>
            </w:r>
          </w:p>
        </w:tc>
        <w:tc>
          <w:tcPr>
            <w:tcW w:w="456" w:type="dxa"/>
            <w:tcBorders>
              <w:left w:val="single" w:sz="4" w:space="0" w:color="auto"/>
              <w:bottom w:val="single" w:sz="4" w:space="0" w:color="auto"/>
            </w:tcBorders>
            <w:shd w:val="clear" w:color="auto" w:fill="auto"/>
          </w:tcPr>
          <w:p w:rsidR="00D96D77" w:rsidRPr="00867483" w:rsidRDefault="00D96D77" w:rsidP="00D96D77">
            <w:pPr>
              <w:spacing w:after="0" w:line="240" w:lineRule="auto"/>
              <w:jc w:val="center"/>
              <w:rPr>
                <w:rFonts w:ascii="Times New Roman" w:hAnsi="Times New Roman"/>
                <w:sz w:val="24"/>
                <w:szCs w:val="24"/>
              </w:rPr>
            </w:pPr>
            <w:r w:rsidRPr="00867483">
              <w:rPr>
                <w:rFonts w:ascii="Times New Roman" w:hAnsi="Times New Roman"/>
                <w:sz w:val="24"/>
                <w:szCs w:val="24"/>
              </w:rPr>
              <w:t>5</w:t>
            </w:r>
          </w:p>
        </w:tc>
      </w:tr>
      <w:tr w:rsidR="00D96D77" w:rsidRPr="00AA45E9" w:rsidTr="001212DC">
        <w:tc>
          <w:tcPr>
            <w:tcW w:w="1507" w:type="dxa"/>
            <w:tcBorders>
              <w:bottom w:val="single" w:sz="4" w:space="0" w:color="auto"/>
              <w:right w:val="single" w:sz="4" w:space="0" w:color="auto"/>
            </w:tcBorders>
            <w:shd w:val="clear" w:color="auto" w:fill="002060"/>
          </w:tcPr>
          <w:p w:rsidR="00D96D77" w:rsidRPr="00AA45E9" w:rsidRDefault="00D96D77" w:rsidP="00D96D77">
            <w:pPr>
              <w:spacing w:after="0" w:line="240" w:lineRule="auto"/>
              <w:jc w:val="center"/>
              <w:rPr>
                <w:rFonts w:ascii="Times New Roman" w:hAnsi="Times New Roman"/>
                <w:sz w:val="24"/>
                <w:szCs w:val="24"/>
              </w:rPr>
            </w:pPr>
            <w:r w:rsidRPr="00AA45E9">
              <w:rPr>
                <w:rFonts w:ascii="Times New Roman" w:hAnsi="Times New Roman"/>
                <w:b/>
                <w:sz w:val="24"/>
                <w:szCs w:val="24"/>
              </w:rPr>
              <w:t>Etendue</w:t>
            </w:r>
          </w:p>
        </w:tc>
        <w:tc>
          <w:tcPr>
            <w:tcW w:w="1190" w:type="dxa"/>
            <w:tcBorders>
              <w:left w:val="single" w:sz="4" w:space="0" w:color="auto"/>
              <w:bottom w:val="single" w:sz="4" w:space="0" w:color="auto"/>
              <w:right w:val="single" w:sz="4" w:space="0" w:color="auto"/>
            </w:tcBorders>
          </w:tcPr>
          <w:p w:rsidR="00D96D77" w:rsidRPr="00867483" w:rsidRDefault="00D96D77" w:rsidP="00D96D77">
            <w:pPr>
              <w:spacing w:after="0" w:line="240" w:lineRule="auto"/>
              <w:jc w:val="center"/>
              <w:rPr>
                <w:rFonts w:ascii="Times New Roman" w:hAnsi="Times New Roman"/>
                <w:sz w:val="24"/>
                <w:szCs w:val="24"/>
              </w:rPr>
            </w:pPr>
            <w:r>
              <w:rPr>
                <w:rFonts w:ascii="Times New Roman" w:hAnsi="Times New Roman"/>
                <w:sz w:val="24"/>
                <w:szCs w:val="24"/>
              </w:rPr>
              <w:t>Locale</w:t>
            </w:r>
          </w:p>
        </w:tc>
        <w:tc>
          <w:tcPr>
            <w:tcW w:w="456" w:type="dxa"/>
            <w:tcBorders>
              <w:left w:val="single" w:sz="4" w:space="0" w:color="auto"/>
              <w:bottom w:val="single" w:sz="4" w:space="0" w:color="auto"/>
            </w:tcBorders>
          </w:tcPr>
          <w:p w:rsidR="00D96D77" w:rsidRPr="00867483" w:rsidRDefault="00D96D77" w:rsidP="00D96D77">
            <w:pPr>
              <w:spacing w:after="0" w:line="240" w:lineRule="auto"/>
              <w:jc w:val="center"/>
              <w:rPr>
                <w:rFonts w:ascii="Times New Roman" w:hAnsi="Times New Roman"/>
                <w:sz w:val="24"/>
                <w:szCs w:val="24"/>
              </w:rPr>
            </w:pPr>
            <w:r>
              <w:rPr>
                <w:rFonts w:ascii="Times New Roman" w:hAnsi="Times New Roman"/>
                <w:sz w:val="24"/>
                <w:szCs w:val="24"/>
              </w:rPr>
              <w:t>3</w:t>
            </w:r>
          </w:p>
        </w:tc>
      </w:tr>
      <w:tr w:rsidR="00D96D77" w:rsidRPr="00AA45E9" w:rsidTr="001212DC">
        <w:tc>
          <w:tcPr>
            <w:tcW w:w="1507" w:type="dxa"/>
            <w:tcBorders>
              <w:bottom w:val="single" w:sz="4" w:space="0" w:color="auto"/>
              <w:right w:val="single" w:sz="4" w:space="0" w:color="auto"/>
            </w:tcBorders>
            <w:shd w:val="clear" w:color="auto" w:fill="002060"/>
          </w:tcPr>
          <w:p w:rsidR="00D96D77" w:rsidRDefault="00D96D77" w:rsidP="00D96D77">
            <w:pPr>
              <w:spacing w:after="0" w:line="240" w:lineRule="auto"/>
              <w:jc w:val="center"/>
              <w:rPr>
                <w:rFonts w:ascii="Times New Roman" w:hAnsi="Times New Roman"/>
                <w:sz w:val="24"/>
                <w:szCs w:val="24"/>
              </w:rPr>
            </w:pPr>
            <w:r w:rsidRPr="00AA45E9">
              <w:rPr>
                <w:rFonts w:ascii="Times New Roman" w:hAnsi="Times New Roman"/>
                <w:b/>
                <w:sz w:val="24"/>
                <w:szCs w:val="24"/>
              </w:rPr>
              <w:t>Durée</w:t>
            </w:r>
          </w:p>
        </w:tc>
        <w:tc>
          <w:tcPr>
            <w:tcW w:w="1190" w:type="dxa"/>
            <w:tcBorders>
              <w:left w:val="single" w:sz="4" w:space="0" w:color="auto"/>
              <w:bottom w:val="single" w:sz="4" w:space="0" w:color="auto"/>
              <w:right w:val="single" w:sz="4" w:space="0" w:color="auto"/>
            </w:tcBorders>
          </w:tcPr>
          <w:p w:rsidR="00D96D77" w:rsidRPr="00867483" w:rsidRDefault="00D96D77" w:rsidP="00D96D77">
            <w:pPr>
              <w:spacing w:after="0" w:line="240" w:lineRule="auto"/>
              <w:jc w:val="center"/>
              <w:rPr>
                <w:rFonts w:ascii="Times New Roman" w:hAnsi="Times New Roman"/>
                <w:sz w:val="24"/>
                <w:szCs w:val="24"/>
              </w:rPr>
            </w:pPr>
            <w:r>
              <w:rPr>
                <w:rFonts w:ascii="Times New Roman" w:hAnsi="Times New Roman"/>
                <w:sz w:val="24"/>
                <w:szCs w:val="24"/>
              </w:rPr>
              <w:t>Courte</w:t>
            </w:r>
          </w:p>
        </w:tc>
        <w:tc>
          <w:tcPr>
            <w:tcW w:w="456" w:type="dxa"/>
            <w:tcBorders>
              <w:left w:val="single" w:sz="4" w:space="0" w:color="auto"/>
              <w:bottom w:val="single" w:sz="4" w:space="0" w:color="auto"/>
            </w:tcBorders>
          </w:tcPr>
          <w:p w:rsidR="00D96D77" w:rsidRPr="00867483" w:rsidRDefault="00D96D77" w:rsidP="00D96D77">
            <w:pPr>
              <w:spacing w:after="0" w:line="240" w:lineRule="auto"/>
              <w:jc w:val="center"/>
              <w:rPr>
                <w:rFonts w:ascii="Times New Roman" w:hAnsi="Times New Roman"/>
                <w:sz w:val="24"/>
                <w:szCs w:val="24"/>
              </w:rPr>
            </w:pPr>
            <w:r w:rsidRPr="00867483">
              <w:rPr>
                <w:rFonts w:ascii="Times New Roman" w:hAnsi="Times New Roman"/>
                <w:sz w:val="24"/>
                <w:szCs w:val="24"/>
              </w:rPr>
              <w:t>1</w:t>
            </w:r>
          </w:p>
        </w:tc>
      </w:tr>
      <w:tr w:rsidR="00D96D77" w:rsidRPr="00AA45E9" w:rsidTr="00FC410F">
        <w:tc>
          <w:tcPr>
            <w:tcW w:w="3153" w:type="dxa"/>
            <w:gridSpan w:val="3"/>
            <w:tcBorders>
              <w:bottom w:val="single" w:sz="4" w:space="0" w:color="auto"/>
            </w:tcBorders>
            <w:shd w:val="clear" w:color="auto" w:fill="FFFFFF" w:themeFill="background1"/>
          </w:tcPr>
          <w:p w:rsidR="00D96D77" w:rsidRPr="00867483" w:rsidRDefault="00D96D77" w:rsidP="00D96D77">
            <w:pPr>
              <w:spacing w:after="0" w:line="240" w:lineRule="auto"/>
              <w:jc w:val="center"/>
              <w:rPr>
                <w:rFonts w:ascii="Times New Roman" w:hAnsi="Times New Roman"/>
                <w:sz w:val="6"/>
                <w:szCs w:val="6"/>
              </w:rPr>
            </w:pPr>
          </w:p>
        </w:tc>
      </w:tr>
      <w:tr w:rsidR="00D96D77" w:rsidRPr="00AA45E9" w:rsidTr="00D96D77">
        <w:tc>
          <w:tcPr>
            <w:tcW w:w="1507" w:type="dxa"/>
            <w:tcBorders>
              <w:bottom w:val="dashDotStroked" w:sz="24" w:space="0" w:color="auto"/>
              <w:right w:val="single" w:sz="4" w:space="0" w:color="auto"/>
            </w:tcBorders>
            <w:shd w:val="clear" w:color="auto" w:fill="002060"/>
          </w:tcPr>
          <w:p w:rsidR="00D96D77" w:rsidRPr="00AA45E9" w:rsidRDefault="00D96D77" w:rsidP="00D96D77">
            <w:pPr>
              <w:spacing w:after="0" w:line="240" w:lineRule="auto"/>
              <w:jc w:val="center"/>
              <w:rPr>
                <w:rFonts w:ascii="Times New Roman" w:hAnsi="Times New Roman"/>
                <w:b/>
                <w:sz w:val="24"/>
                <w:szCs w:val="24"/>
              </w:rPr>
            </w:pPr>
            <w:r w:rsidRPr="00AA45E9">
              <w:rPr>
                <w:rFonts w:ascii="Times New Roman" w:hAnsi="Times New Roman"/>
                <w:b/>
                <w:sz w:val="24"/>
                <w:szCs w:val="24"/>
              </w:rPr>
              <w:t>Importance</w:t>
            </w:r>
          </w:p>
        </w:tc>
        <w:tc>
          <w:tcPr>
            <w:tcW w:w="1190" w:type="dxa"/>
            <w:tcBorders>
              <w:left w:val="single" w:sz="4" w:space="0" w:color="auto"/>
              <w:bottom w:val="dashDotStroked" w:sz="24" w:space="0" w:color="auto"/>
              <w:right w:val="single" w:sz="4" w:space="0" w:color="auto"/>
            </w:tcBorders>
            <w:shd w:val="clear" w:color="auto" w:fill="92D050"/>
          </w:tcPr>
          <w:p w:rsidR="00D96D77" w:rsidRPr="008E6D9C" w:rsidRDefault="00D96D77" w:rsidP="00D96D77">
            <w:pPr>
              <w:spacing w:after="0" w:line="240" w:lineRule="auto"/>
              <w:jc w:val="center"/>
              <w:rPr>
                <w:rFonts w:ascii="Times New Roman" w:hAnsi="Times New Roman"/>
                <w:b/>
                <w:sz w:val="24"/>
                <w:szCs w:val="24"/>
              </w:rPr>
            </w:pPr>
            <w:r>
              <w:rPr>
                <w:rFonts w:ascii="Times New Roman" w:hAnsi="Times New Roman"/>
                <w:b/>
                <w:sz w:val="24"/>
                <w:szCs w:val="24"/>
              </w:rPr>
              <w:t>Mineure</w:t>
            </w:r>
          </w:p>
        </w:tc>
        <w:tc>
          <w:tcPr>
            <w:tcW w:w="456" w:type="dxa"/>
            <w:tcBorders>
              <w:left w:val="single" w:sz="4" w:space="0" w:color="auto"/>
              <w:bottom w:val="dashDotStroked" w:sz="24" w:space="0" w:color="auto"/>
            </w:tcBorders>
            <w:shd w:val="clear" w:color="auto" w:fill="92D050"/>
          </w:tcPr>
          <w:p w:rsidR="00D96D77" w:rsidRPr="008E6D9C" w:rsidRDefault="00D96D77" w:rsidP="00D96D77">
            <w:pPr>
              <w:spacing w:after="0" w:line="240" w:lineRule="auto"/>
              <w:jc w:val="center"/>
              <w:rPr>
                <w:rFonts w:ascii="Times New Roman" w:hAnsi="Times New Roman"/>
                <w:b/>
                <w:sz w:val="24"/>
                <w:szCs w:val="24"/>
              </w:rPr>
            </w:pPr>
            <w:r>
              <w:rPr>
                <w:rFonts w:ascii="Times New Roman" w:hAnsi="Times New Roman"/>
                <w:b/>
                <w:sz w:val="24"/>
                <w:szCs w:val="24"/>
              </w:rPr>
              <w:t>1</w:t>
            </w:r>
            <w:r w:rsidRPr="008E6D9C">
              <w:rPr>
                <w:rFonts w:ascii="Times New Roman" w:hAnsi="Times New Roman"/>
                <w:b/>
                <w:sz w:val="24"/>
                <w:szCs w:val="24"/>
              </w:rPr>
              <w:t>5</w:t>
            </w:r>
          </w:p>
        </w:tc>
      </w:tr>
    </w:tbl>
    <w:p w:rsidR="00924903" w:rsidRPr="003D2CBA" w:rsidRDefault="00924903" w:rsidP="00FA3FAE">
      <w:pPr>
        <w:pStyle w:val="PargrafodaLista"/>
        <w:numPr>
          <w:ilvl w:val="0"/>
          <w:numId w:val="41"/>
        </w:numPr>
        <w:pBdr>
          <w:bottom w:val="dashDotStroked" w:sz="24" w:space="1" w:color="auto"/>
        </w:pBdr>
        <w:jc w:val="both"/>
        <w:rPr>
          <w:rFonts w:ascii="Times New Roman" w:hAnsi="Times New Roman"/>
          <w:b/>
          <w:sz w:val="24"/>
          <w:szCs w:val="24"/>
        </w:rPr>
      </w:pPr>
      <w:r w:rsidRPr="003D2CBA">
        <w:rPr>
          <w:rFonts w:ascii="Times New Roman" w:hAnsi="Times New Roman"/>
          <w:b/>
          <w:sz w:val="24"/>
          <w:szCs w:val="24"/>
        </w:rPr>
        <w:tab/>
        <w:t xml:space="preserve">  Perturbations du trafic routier</w:t>
      </w:r>
    </w:p>
    <w:p w:rsidR="001212DC" w:rsidRDefault="00924903" w:rsidP="00BA3EE1">
      <w:pPr>
        <w:tabs>
          <w:tab w:val="left" w:pos="2193"/>
        </w:tabs>
        <w:jc w:val="both"/>
        <w:rPr>
          <w:rFonts w:ascii="Times New Roman" w:hAnsi="Times New Roman" w:cs="Times New Roman"/>
          <w:color w:val="000000"/>
          <w:sz w:val="24"/>
          <w:szCs w:val="24"/>
        </w:rPr>
      </w:pPr>
      <w:r w:rsidRPr="00924903">
        <w:rPr>
          <w:rFonts w:ascii="Times New Roman" w:hAnsi="Times New Roman" w:cs="Times New Roman"/>
          <w:color w:val="000000"/>
          <w:sz w:val="24"/>
          <w:szCs w:val="24"/>
        </w:rPr>
        <w:t>Les travaux de construction de</w:t>
      </w:r>
      <w:r w:rsidR="00C53EE4">
        <w:rPr>
          <w:rFonts w:ascii="Times New Roman" w:hAnsi="Times New Roman" w:cs="Times New Roman"/>
          <w:color w:val="000000"/>
          <w:sz w:val="24"/>
          <w:szCs w:val="24"/>
        </w:rPr>
        <w:t>s réservoirs</w:t>
      </w:r>
      <w:r w:rsidRPr="00924903">
        <w:rPr>
          <w:rFonts w:ascii="Times New Roman" w:hAnsi="Times New Roman" w:cs="Times New Roman"/>
          <w:color w:val="000000"/>
          <w:sz w:val="24"/>
          <w:szCs w:val="24"/>
        </w:rPr>
        <w:t xml:space="preserve"> </w:t>
      </w:r>
      <w:r w:rsidR="001735F8" w:rsidRPr="00924903">
        <w:rPr>
          <w:rFonts w:ascii="Times New Roman" w:hAnsi="Times New Roman" w:cs="Times New Roman"/>
          <w:color w:val="000000"/>
          <w:sz w:val="24"/>
          <w:szCs w:val="24"/>
        </w:rPr>
        <w:t>auront</w:t>
      </w:r>
      <w:r w:rsidRPr="00924903">
        <w:rPr>
          <w:rFonts w:ascii="Times New Roman" w:hAnsi="Times New Roman" w:cs="Times New Roman"/>
          <w:color w:val="000000"/>
          <w:sz w:val="24"/>
          <w:szCs w:val="24"/>
        </w:rPr>
        <w:t xml:space="preserve"> un impact négatif</w:t>
      </w:r>
      <w:r w:rsidR="00C53EE4">
        <w:rPr>
          <w:rFonts w:ascii="Times New Roman" w:hAnsi="Times New Roman" w:cs="Times New Roman"/>
          <w:color w:val="000000"/>
          <w:sz w:val="24"/>
          <w:szCs w:val="24"/>
        </w:rPr>
        <w:t xml:space="preserve"> sur le </w:t>
      </w:r>
      <w:r w:rsidR="00C53EE4" w:rsidRPr="00924903">
        <w:rPr>
          <w:rFonts w:ascii="Times New Roman" w:hAnsi="Times New Roman" w:cs="Times New Roman"/>
          <w:color w:val="000000"/>
          <w:sz w:val="24"/>
          <w:szCs w:val="24"/>
        </w:rPr>
        <w:t>tronçon routier</w:t>
      </w:r>
      <w:r w:rsidR="00C53EE4">
        <w:rPr>
          <w:rFonts w:ascii="Times New Roman" w:hAnsi="Times New Roman" w:cs="Times New Roman"/>
          <w:color w:val="000000"/>
          <w:sz w:val="24"/>
          <w:szCs w:val="24"/>
        </w:rPr>
        <w:t xml:space="preserve"> </w:t>
      </w:r>
      <w:r w:rsidR="001735F8">
        <w:rPr>
          <w:rFonts w:ascii="Times New Roman" w:hAnsi="Times New Roman" w:cs="Times New Roman"/>
          <w:color w:val="000000"/>
          <w:sz w:val="24"/>
          <w:szCs w:val="24"/>
        </w:rPr>
        <w:t>reliant la ville</w:t>
      </w:r>
      <w:r w:rsidR="008E0B68">
        <w:rPr>
          <w:rFonts w:ascii="Times New Roman" w:hAnsi="Times New Roman" w:cs="Times New Roman"/>
          <w:color w:val="000000"/>
          <w:sz w:val="24"/>
          <w:szCs w:val="24"/>
        </w:rPr>
        <w:t xml:space="preserve"> </w:t>
      </w:r>
      <w:r w:rsidR="001735F8">
        <w:rPr>
          <w:rFonts w:ascii="Times New Roman" w:hAnsi="Times New Roman" w:cs="Times New Roman"/>
          <w:color w:val="000000"/>
          <w:sz w:val="24"/>
          <w:szCs w:val="24"/>
        </w:rPr>
        <w:t>de</w:t>
      </w:r>
      <w:r w:rsidR="00C53EE4">
        <w:rPr>
          <w:rFonts w:ascii="Times New Roman" w:hAnsi="Times New Roman" w:cs="Times New Roman"/>
          <w:color w:val="000000"/>
          <w:sz w:val="24"/>
          <w:szCs w:val="24"/>
        </w:rPr>
        <w:t xml:space="preserve"> </w:t>
      </w:r>
      <w:r w:rsidR="001735F8">
        <w:rPr>
          <w:rFonts w:ascii="Times New Roman" w:hAnsi="Times New Roman" w:cs="Times New Roman"/>
          <w:color w:val="000000"/>
          <w:sz w:val="24"/>
          <w:szCs w:val="24"/>
        </w:rPr>
        <w:t>Bissau au</w:t>
      </w:r>
      <w:r w:rsidR="00C53EE4">
        <w:rPr>
          <w:rFonts w:ascii="Times New Roman" w:hAnsi="Times New Roman" w:cs="Times New Roman"/>
          <w:color w:val="000000"/>
          <w:sz w:val="24"/>
          <w:szCs w:val="24"/>
        </w:rPr>
        <w:t xml:space="preserve"> secteur de Prabis ou au secteur </w:t>
      </w:r>
      <w:r w:rsidR="001735F8">
        <w:rPr>
          <w:rFonts w:ascii="Times New Roman" w:hAnsi="Times New Roman" w:cs="Times New Roman"/>
          <w:color w:val="000000"/>
          <w:sz w:val="24"/>
          <w:szCs w:val="24"/>
        </w:rPr>
        <w:t xml:space="preserve">Safim </w:t>
      </w:r>
      <w:r w:rsidR="001735F8" w:rsidRPr="00924903">
        <w:rPr>
          <w:rFonts w:ascii="Times New Roman" w:hAnsi="Times New Roman" w:cs="Times New Roman"/>
          <w:color w:val="000000"/>
          <w:sz w:val="24"/>
          <w:szCs w:val="24"/>
        </w:rPr>
        <w:t>notamment</w:t>
      </w:r>
      <w:r w:rsidR="001735F8">
        <w:rPr>
          <w:rFonts w:ascii="Times New Roman" w:hAnsi="Times New Roman" w:cs="Times New Roman"/>
          <w:color w:val="000000"/>
          <w:sz w:val="24"/>
          <w:szCs w:val="24"/>
        </w:rPr>
        <w:t xml:space="preserve"> pendant la </w:t>
      </w:r>
      <w:r w:rsidR="00C53EE4">
        <w:rPr>
          <w:rFonts w:ascii="Times New Roman" w:hAnsi="Times New Roman" w:cs="Times New Roman"/>
          <w:color w:val="000000"/>
          <w:sz w:val="24"/>
          <w:szCs w:val="24"/>
        </w:rPr>
        <w:t xml:space="preserve">phase </w:t>
      </w:r>
      <w:r w:rsidRPr="00924903">
        <w:rPr>
          <w:rFonts w:ascii="Times New Roman" w:hAnsi="Times New Roman" w:cs="Times New Roman"/>
          <w:color w:val="000000"/>
          <w:sz w:val="24"/>
          <w:szCs w:val="24"/>
        </w:rPr>
        <w:t xml:space="preserve">d’approvisionnement du chantier en matériaux de remblais et autres équipements.  </w:t>
      </w:r>
      <w:r w:rsidR="00C53EE4" w:rsidRPr="00924903">
        <w:rPr>
          <w:rFonts w:ascii="Times New Roman" w:hAnsi="Times New Roman" w:cs="Times New Roman"/>
          <w:color w:val="000000"/>
          <w:sz w:val="24"/>
          <w:szCs w:val="24"/>
        </w:rPr>
        <w:t>Cet impact</w:t>
      </w:r>
      <w:r w:rsidR="00C53EE4">
        <w:rPr>
          <w:rFonts w:ascii="Times New Roman" w:hAnsi="Times New Roman" w:cs="Times New Roman"/>
          <w:color w:val="000000"/>
          <w:sz w:val="24"/>
          <w:szCs w:val="24"/>
        </w:rPr>
        <w:t xml:space="preserve"> est d’autant plus </w:t>
      </w:r>
      <w:r w:rsidRPr="00924903">
        <w:rPr>
          <w:rFonts w:ascii="Times New Roman" w:hAnsi="Times New Roman" w:cs="Times New Roman"/>
          <w:color w:val="000000"/>
          <w:sz w:val="24"/>
          <w:szCs w:val="24"/>
        </w:rPr>
        <w:t xml:space="preserve">probable </w:t>
      </w:r>
      <w:r w:rsidR="001212DC">
        <w:rPr>
          <w:rFonts w:ascii="Times New Roman" w:hAnsi="Times New Roman" w:cs="Times New Roman"/>
          <w:color w:val="000000"/>
          <w:sz w:val="24"/>
          <w:szCs w:val="24"/>
        </w:rPr>
        <w:t>entre Bissau et Antula ou</w:t>
      </w:r>
      <w:r w:rsidR="001735F8">
        <w:rPr>
          <w:rFonts w:ascii="Times New Roman" w:hAnsi="Times New Roman" w:cs="Times New Roman"/>
          <w:color w:val="000000"/>
          <w:sz w:val="24"/>
          <w:szCs w:val="24"/>
        </w:rPr>
        <w:t xml:space="preserve"> </w:t>
      </w:r>
      <w:r w:rsidRPr="00924903">
        <w:rPr>
          <w:rFonts w:ascii="Times New Roman" w:hAnsi="Times New Roman" w:cs="Times New Roman"/>
          <w:color w:val="000000"/>
          <w:sz w:val="24"/>
          <w:szCs w:val="24"/>
        </w:rPr>
        <w:t xml:space="preserve">cette route se caractérise par son exiguïté et </w:t>
      </w:r>
      <w:r w:rsidR="00AD3577">
        <w:rPr>
          <w:rFonts w:ascii="Times New Roman" w:hAnsi="Times New Roman" w:cs="Times New Roman"/>
          <w:color w:val="000000"/>
          <w:sz w:val="24"/>
          <w:szCs w:val="24"/>
        </w:rPr>
        <w:t>son fréquence d’utilisation.</w:t>
      </w:r>
    </w:p>
    <w:tbl>
      <w:tblPr>
        <w:tblpPr w:leftFromText="141" w:rightFromText="141" w:vertAnchor="text" w:horzAnchor="margin" w:tblpXSpec="right" w:tblpY="831"/>
        <w:tblW w:w="3153" w:type="dxa"/>
        <w:tblBorders>
          <w:top w:val="single" w:sz="4" w:space="0" w:color="auto"/>
          <w:left w:val="dashDotStroked" w:sz="24" w:space="0" w:color="auto"/>
          <w:bottom w:val="dashDotStroked" w:sz="24" w:space="0" w:color="auto"/>
          <w:right w:val="dashDotStroked" w:sz="24" w:space="0" w:color="auto"/>
          <w:insideH w:val="single" w:sz="4" w:space="0" w:color="auto"/>
          <w:insideV w:val="dashDotStroked" w:sz="24" w:space="0" w:color="auto"/>
        </w:tblBorders>
        <w:tblLook w:val="04A0" w:firstRow="1" w:lastRow="0" w:firstColumn="1" w:lastColumn="0" w:noHBand="0" w:noVBand="1"/>
      </w:tblPr>
      <w:tblGrid>
        <w:gridCol w:w="1507"/>
        <w:gridCol w:w="1190"/>
        <w:gridCol w:w="456"/>
      </w:tblGrid>
      <w:tr w:rsidR="008E0B68" w:rsidRPr="00AA45E9" w:rsidTr="001212DC">
        <w:tc>
          <w:tcPr>
            <w:tcW w:w="3153" w:type="dxa"/>
            <w:gridSpan w:val="3"/>
            <w:tcBorders>
              <w:bottom w:val="single" w:sz="4" w:space="0" w:color="auto"/>
            </w:tcBorders>
            <w:shd w:val="clear" w:color="auto" w:fill="002060"/>
          </w:tcPr>
          <w:p w:rsidR="008E0B68" w:rsidRPr="00867483" w:rsidRDefault="008E0B68" w:rsidP="001212DC">
            <w:pPr>
              <w:spacing w:after="0" w:line="240" w:lineRule="auto"/>
              <w:jc w:val="center"/>
              <w:rPr>
                <w:rFonts w:ascii="Times New Roman" w:hAnsi="Times New Roman"/>
                <w:b/>
                <w:sz w:val="24"/>
                <w:szCs w:val="24"/>
              </w:rPr>
            </w:pPr>
            <w:r w:rsidRPr="00867483">
              <w:rPr>
                <w:rFonts w:ascii="Times New Roman" w:hAnsi="Times New Roman"/>
                <w:b/>
                <w:sz w:val="24"/>
                <w:szCs w:val="24"/>
              </w:rPr>
              <w:t>Caractérisation de l’impact</w:t>
            </w:r>
          </w:p>
        </w:tc>
      </w:tr>
      <w:tr w:rsidR="00E96A04" w:rsidRPr="00AA45E9" w:rsidTr="00247507">
        <w:tc>
          <w:tcPr>
            <w:tcW w:w="1507" w:type="dxa"/>
            <w:tcBorders>
              <w:bottom w:val="single" w:sz="4" w:space="0" w:color="auto"/>
              <w:right w:val="single" w:sz="4" w:space="0" w:color="auto"/>
            </w:tcBorders>
            <w:shd w:val="clear" w:color="auto" w:fill="002060"/>
          </w:tcPr>
          <w:p w:rsidR="00E96A04" w:rsidRPr="00AA45E9" w:rsidRDefault="00E96A04" w:rsidP="001212DC">
            <w:pPr>
              <w:spacing w:after="0" w:line="240" w:lineRule="auto"/>
              <w:jc w:val="center"/>
              <w:rPr>
                <w:rFonts w:ascii="Times New Roman" w:hAnsi="Times New Roman"/>
                <w:b/>
                <w:sz w:val="24"/>
                <w:szCs w:val="24"/>
              </w:rPr>
            </w:pPr>
            <w:r>
              <w:rPr>
                <w:rFonts w:ascii="Times New Roman" w:hAnsi="Times New Roman"/>
                <w:b/>
                <w:sz w:val="24"/>
                <w:szCs w:val="24"/>
              </w:rPr>
              <w:t xml:space="preserve">Nature </w:t>
            </w:r>
          </w:p>
        </w:tc>
        <w:tc>
          <w:tcPr>
            <w:tcW w:w="1646" w:type="dxa"/>
            <w:gridSpan w:val="2"/>
            <w:tcBorders>
              <w:left w:val="single" w:sz="4" w:space="0" w:color="auto"/>
              <w:bottom w:val="single" w:sz="4" w:space="0" w:color="auto"/>
            </w:tcBorders>
            <w:shd w:val="clear" w:color="auto" w:fill="auto"/>
          </w:tcPr>
          <w:p w:rsidR="00E96A04" w:rsidRPr="00867483" w:rsidRDefault="00E96A04" w:rsidP="001212DC">
            <w:pPr>
              <w:spacing w:after="0" w:line="240" w:lineRule="auto"/>
              <w:jc w:val="center"/>
              <w:rPr>
                <w:rFonts w:ascii="Times New Roman" w:hAnsi="Times New Roman"/>
                <w:sz w:val="24"/>
                <w:szCs w:val="24"/>
              </w:rPr>
            </w:pPr>
            <w:r w:rsidRPr="00E96A04">
              <w:rPr>
                <w:rFonts w:ascii="Times New Roman" w:hAnsi="Times New Roman"/>
                <w:b/>
                <w:sz w:val="24"/>
                <w:szCs w:val="24"/>
              </w:rPr>
              <w:t>Négatif</w:t>
            </w:r>
          </w:p>
        </w:tc>
      </w:tr>
      <w:tr w:rsidR="008E0B68" w:rsidRPr="00AA45E9" w:rsidTr="001212DC">
        <w:tc>
          <w:tcPr>
            <w:tcW w:w="1507" w:type="dxa"/>
            <w:tcBorders>
              <w:bottom w:val="single" w:sz="4" w:space="0" w:color="auto"/>
              <w:right w:val="single" w:sz="4" w:space="0" w:color="auto"/>
            </w:tcBorders>
            <w:shd w:val="clear" w:color="auto" w:fill="002060"/>
          </w:tcPr>
          <w:p w:rsidR="008E0B68" w:rsidRPr="00AA45E9" w:rsidRDefault="008E0B68" w:rsidP="001212DC">
            <w:pPr>
              <w:spacing w:after="0" w:line="240" w:lineRule="auto"/>
              <w:jc w:val="center"/>
              <w:rPr>
                <w:rFonts w:ascii="Times New Roman" w:hAnsi="Times New Roman"/>
                <w:b/>
                <w:sz w:val="24"/>
                <w:szCs w:val="24"/>
              </w:rPr>
            </w:pPr>
            <w:r w:rsidRPr="00AA45E9">
              <w:rPr>
                <w:rFonts w:ascii="Times New Roman" w:hAnsi="Times New Roman"/>
                <w:b/>
                <w:sz w:val="24"/>
                <w:szCs w:val="24"/>
              </w:rPr>
              <w:t>Intensité</w:t>
            </w:r>
          </w:p>
        </w:tc>
        <w:tc>
          <w:tcPr>
            <w:tcW w:w="1190" w:type="dxa"/>
            <w:tcBorders>
              <w:left w:val="single" w:sz="4" w:space="0" w:color="auto"/>
              <w:bottom w:val="single" w:sz="4" w:space="0" w:color="auto"/>
              <w:right w:val="single" w:sz="4" w:space="0" w:color="auto"/>
            </w:tcBorders>
            <w:shd w:val="clear" w:color="auto" w:fill="auto"/>
          </w:tcPr>
          <w:p w:rsidR="008E0B68" w:rsidRPr="00867483" w:rsidRDefault="008E0B68" w:rsidP="001212DC">
            <w:pPr>
              <w:spacing w:after="0" w:line="240" w:lineRule="auto"/>
              <w:jc w:val="center"/>
              <w:rPr>
                <w:rFonts w:ascii="Times New Roman" w:hAnsi="Times New Roman"/>
                <w:sz w:val="24"/>
                <w:szCs w:val="24"/>
              </w:rPr>
            </w:pPr>
            <w:r w:rsidRPr="00867483">
              <w:rPr>
                <w:rFonts w:ascii="Times New Roman" w:hAnsi="Times New Roman"/>
                <w:sz w:val="24"/>
                <w:szCs w:val="24"/>
              </w:rPr>
              <w:t>Forte</w:t>
            </w:r>
          </w:p>
        </w:tc>
        <w:tc>
          <w:tcPr>
            <w:tcW w:w="456" w:type="dxa"/>
            <w:tcBorders>
              <w:left w:val="single" w:sz="4" w:space="0" w:color="auto"/>
              <w:bottom w:val="single" w:sz="4" w:space="0" w:color="auto"/>
            </w:tcBorders>
            <w:shd w:val="clear" w:color="auto" w:fill="auto"/>
          </w:tcPr>
          <w:p w:rsidR="008E0B68" w:rsidRPr="00867483" w:rsidRDefault="008E0B68" w:rsidP="001212DC">
            <w:pPr>
              <w:spacing w:after="0" w:line="240" w:lineRule="auto"/>
              <w:jc w:val="center"/>
              <w:rPr>
                <w:rFonts w:ascii="Times New Roman" w:hAnsi="Times New Roman"/>
                <w:sz w:val="24"/>
                <w:szCs w:val="24"/>
              </w:rPr>
            </w:pPr>
            <w:r w:rsidRPr="00867483">
              <w:rPr>
                <w:rFonts w:ascii="Times New Roman" w:hAnsi="Times New Roman"/>
                <w:sz w:val="24"/>
                <w:szCs w:val="24"/>
              </w:rPr>
              <w:t>5</w:t>
            </w:r>
          </w:p>
        </w:tc>
      </w:tr>
      <w:tr w:rsidR="008E0B68" w:rsidRPr="00AA45E9" w:rsidTr="001212DC">
        <w:tc>
          <w:tcPr>
            <w:tcW w:w="1507" w:type="dxa"/>
            <w:tcBorders>
              <w:bottom w:val="single" w:sz="4" w:space="0" w:color="auto"/>
              <w:right w:val="single" w:sz="4" w:space="0" w:color="auto"/>
            </w:tcBorders>
            <w:shd w:val="clear" w:color="auto" w:fill="002060"/>
          </w:tcPr>
          <w:p w:rsidR="008E0B68" w:rsidRPr="00AA45E9" w:rsidRDefault="008E0B68" w:rsidP="001212DC">
            <w:pPr>
              <w:spacing w:after="0" w:line="240" w:lineRule="auto"/>
              <w:jc w:val="center"/>
              <w:rPr>
                <w:rFonts w:ascii="Times New Roman" w:hAnsi="Times New Roman"/>
                <w:sz w:val="24"/>
                <w:szCs w:val="24"/>
              </w:rPr>
            </w:pPr>
            <w:r w:rsidRPr="00AA45E9">
              <w:rPr>
                <w:rFonts w:ascii="Times New Roman" w:hAnsi="Times New Roman"/>
                <w:b/>
                <w:sz w:val="24"/>
                <w:szCs w:val="24"/>
              </w:rPr>
              <w:t>Etendue</w:t>
            </w:r>
          </w:p>
        </w:tc>
        <w:tc>
          <w:tcPr>
            <w:tcW w:w="1190" w:type="dxa"/>
            <w:tcBorders>
              <w:left w:val="single" w:sz="4" w:space="0" w:color="auto"/>
              <w:bottom w:val="single" w:sz="4" w:space="0" w:color="auto"/>
              <w:right w:val="single" w:sz="4" w:space="0" w:color="auto"/>
            </w:tcBorders>
          </w:tcPr>
          <w:p w:rsidR="008E0B68" w:rsidRPr="00867483" w:rsidRDefault="00D96D77" w:rsidP="001212DC">
            <w:pPr>
              <w:spacing w:after="0" w:line="240" w:lineRule="auto"/>
              <w:jc w:val="center"/>
              <w:rPr>
                <w:rFonts w:ascii="Times New Roman" w:hAnsi="Times New Roman"/>
                <w:sz w:val="24"/>
                <w:szCs w:val="24"/>
              </w:rPr>
            </w:pPr>
            <w:r>
              <w:rPr>
                <w:rFonts w:ascii="Times New Roman" w:hAnsi="Times New Roman"/>
                <w:sz w:val="24"/>
                <w:szCs w:val="24"/>
              </w:rPr>
              <w:t>Régionale</w:t>
            </w:r>
          </w:p>
        </w:tc>
        <w:tc>
          <w:tcPr>
            <w:tcW w:w="456" w:type="dxa"/>
            <w:tcBorders>
              <w:left w:val="single" w:sz="4" w:space="0" w:color="auto"/>
              <w:bottom w:val="single" w:sz="4" w:space="0" w:color="auto"/>
            </w:tcBorders>
          </w:tcPr>
          <w:p w:rsidR="008E0B68" w:rsidRPr="00867483" w:rsidRDefault="008E0B68" w:rsidP="001212DC">
            <w:pPr>
              <w:spacing w:after="0" w:line="240" w:lineRule="auto"/>
              <w:jc w:val="center"/>
              <w:rPr>
                <w:rFonts w:ascii="Times New Roman" w:hAnsi="Times New Roman"/>
                <w:sz w:val="24"/>
                <w:szCs w:val="24"/>
              </w:rPr>
            </w:pPr>
            <w:r w:rsidRPr="00867483">
              <w:rPr>
                <w:rFonts w:ascii="Times New Roman" w:hAnsi="Times New Roman"/>
                <w:sz w:val="24"/>
                <w:szCs w:val="24"/>
              </w:rPr>
              <w:t>5</w:t>
            </w:r>
          </w:p>
        </w:tc>
      </w:tr>
      <w:tr w:rsidR="008E0B68" w:rsidRPr="00AA45E9" w:rsidTr="001212DC">
        <w:tc>
          <w:tcPr>
            <w:tcW w:w="1507" w:type="dxa"/>
            <w:tcBorders>
              <w:bottom w:val="single" w:sz="4" w:space="0" w:color="auto"/>
              <w:right w:val="single" w:sz="4" w:space="0" w:color="auto"/>
            </w:tcBorders>
            <w:shd w:val="clear" w:color="auto" w:fill="002060"/>
          </w:tcPr>
          <w:p w:rsidR="008E0B68" w:rsidRDefault="008E0B68" w:rsidP="001212DC">
            <w:pPr>
              <w:spacing w:after="0" w:line="240" w:lineRule="auto"/>
              <w:jc w:val="center"/>
              <w:rPr>
                <w:rFonts w:ascii="Times New Roman" w:hAnsi="Times New Roman"/>
                <w:sz w:val="24"/>
                <w:szCs w:val="24"/>
              </w:rPr>
            </w:pPr>
            <w:r w:rsidRPr="00AA45E9">
              <w:rPr>
                <w:rFonts w:ascii="Times New Roman" w:hAnsi="Times New Roman"/>
                <w:b/>
                <w:sz w:val="24"/>
                <w:szCs w:val="24"/>
              </w:rPr>
              <w:t>Durée</w:t>
            </w:r>
          </w:p>
        </w:tc>
        <w:tc>
          <w:tcPr>
            <w:tcW w:w="1190" w:type="dxa"/>
            <w:tcBorders>
              <w:left w:val="single" w:sz="4" w:space="0" w:color="auto"/>
              <w:bottom w:val="single" w:sz="4" w:space="0" w:color="auto"/>
              <w:right w:val="single" w:sz="4" w:space="0" w:color="auto"/>
            </w:tcBorders>
          </w:tcPr>
          <w:p w:rsidR="008E0B68" w:rsidRPr="00867483" w:rsidRDefault="00D96D77" w:rsidP="001212DC">
            <w:pPr>
              <w:spacing w:after="0" w:line="240" w:lineRule="auto"/>
              <w:jc w:val="center"/>
              <w:rPr>
                <w:rFonts w:ascii="Times New Roman" w:hAnsi="Times New Roman"/>
                <w:sz w:val="24"/>
                <w:szCs w:val="24"/>
              </w:rPr>
            </w:pPr>
            <w:r>
              <w:rPr>
                <w:rFonts w:ascii="Times New Roman" w:hAnsi="Times New Roman"/>
                <w:sz w:val="24"/>
                <w:szCs w:val="24"/>
              </w:rPr>
              <w:t>courte</w:t>
            </w:r>
          </w:p>
        </w:tc>
        <w:tc>
          <w:tcPr>
            <w:tcW w:w="456" w:type="dxa"/>
            <w:tcBorders>
              <w:left w:val="single" w:sz="4" w:space="0" w:color="auto"/>
              <w:bottom w:val="single" w:sz="4" w:space="0" w:color="auto"/>
            </w:tcBorders>
          </w:tcPr>
          <w:p w:rsidR="008E0B68" w:rsidRPr="00867483" w:rsidRDefault="008E0B68" w:rsidP="001212DC">
            <w:pPr>
              <w:spacing w:after="0" w:line="240" w:lineRule="auto"/>
              <w:jc w:val="center"/>
              <w:rPr>
                <w:rFonts w:ascii="Times New Roman" w:hAnsi="Times New Roman"/>
                <w:sz w:val="24"/>
                <w:szCs w:val="24"/>
              </w:rPr>
            </w:pPr>
            <w:r w:rsidRPr="00867483">
              <w:rPr>
                <w:rFonts w:ascii="Times New Roman" w:hAnsi="Times New Roman"/>
                <w:sz w:val="24"/>
                <w:szCs w:val="24"/>
              </w:rPr>
              <w:t>1</w:t>
            </w:r>
          </w:p>
        </w:tc>
      </w:tr>
      <w:tr w:rsidR="008E0B68" w:rsidRPr="00AA45E9" w:rsidTr="00FC410F">
        <w:tc>
          <w:tcPr>
            <w:tcW w:w="3153" w:type="dxa"/>
            <w:gridSpan w:val="3"/>
            <w:tcBorders>
              <w:bottom w:val="single" w:sz="4" w:space="0" w:color="auto"/>
            </w:tcBorders>
            <w:shd w:val="clear" w:color="auto" w:fill="FFFFFF" w:themeFill="background1"/>
          </w:tcPr>
          <w:p w:rsidR="008E0B68" w:rsidRPr="00867483" w:rsidRDefault="008E0B68" w:rsidP="001212DC">
            <w:pPr>
              <w:spacing w:after="0" w:line="240" w:lineRule="auto"/>
              <w:jc w:val="center"/>
              <w:rPr>
                <w:rFonts w:ascii="Times New Roman" w:hAnsi="Times New Roman"/>
                <w:sz w:val="6"/>
                <w:szCs w:val="6"/>
              </w:rPr>
            </w:pPr>
          </w:p>
        </w:tc>
      </w:tr>
      <w:tr w:rsidR="008E0B68" w:rsidRPr="00AA45E9" w:rsidTr="00D96D77">
        <w:tc>
          <w:tcPr>
            <w:tcW w:w="1507" w:type="dxa"/>
            <w:tcBorders>
              <w:bottom w:val="dashDotStroked" w:sz="24" w:space="0" w:color="auto"/>
              <w:right w:val="single" w:sz="4" w:space="0" w:color="auto"/>
            </w:tcBorders>
            <w:shd w:val="clear" w:color="auto" w:fill="002060"/>
          </w:tcPr>
          <w:p w:rsidR="008E0B68" w:rsidRPr="00AA45E9" w:rsidRDefault="008E0B68" w:rsidP="001212DC">
            <w:pPr>
              <w:spacing w:after="0" w:line="240" w:lineRule="auto"/>
              <w:jc w:val="center"/>
              <w:rPr>
                <w:rFonts w:ascii="Times New Roman" w:hAnsi="Times New Roman"/>
                <w:b/>
                <w:sz w:val="24"/>
                <w:szCs w:val="24"/>
              </w:rPr>
            </w:pPr>
            <w:r w:rsidRPr="00AA45E9">
              <w:rPr>
                <w:rFonts w:ascii="Times New Roman" w:hAnsi="Times New Roman"/>
                <w:b/>
                <w:sz w:val="24"/>
                <w:szCs w:val="24"/>
              </w:rPr>
              <w:t>Importance</w:t>
            </w:r>
          </w:p>
        </w:tc>
        <w:tc>
          <w:tcPr>
            <w:tcW w:w="1190" w:type="dxa"/>
            <w:tcBorders>
              <w:left w:val="single" w:sz="4" w:space="0" w:color="auto"/>
              <w:bottom w:val="dashDotStroked" w:sz="24" w:space="0" w:color="auto"/>
              <w:right w:val="single" w:sz="4" w:space="0" w:color="auto"/>
            </w:tcBorders>
            <w:shd w:val="clear" w:color="auto" w:fill="FFFF00"/>
          </w:tcPr>
          <w:p w:rsidR="008E0B68" w:rsidRPr="008E6D9C" w:rsidRDefault="00D96D77" w:rsidP="001212DC">
            <w:pPr>
              <w:spacing w:after="0" w:line="240" w:lineRule="auto"/>
              <w:jc w:val="center"/>
              <w:rPr>
                <w:rFonts w:ascii="Times New Roman" w:hAnsi="Times New Roman"/>
                <w:b/>
                <w:sz w:val="24"/>
                <w:szCs w:val="24"/>
              </w:rPr>
            </w:pPr>
            <w:r>
              <w:rPr>
                <w:rFonts w:ascii="Times New Roman" w:hAnsi="Times New Roman"/>
                <w:b/>
                <w:sz w:val="24"/>
                <w:szCs w:val="24"/>
              </w:rPr>
              <w:t>Moyenne</w:t>
            </w:r>
          </w:p>
        </w:tc>
        <w:tc>
          <w:tcPr>
            <w:tcW w:w="456" w:type="dxa"/>
            <w:tcBorders>
              <w:left w:val="single" w:sz="4" w:space="0" w:color="auto"/>
              <w:bottom w:val="dashDotStroked" w:sz="24" w:space="0" w:color="auto"/>
            </w:tcBorders>
            <w:shd w:val="clear" w:color="auto" w:fill="FFFF00"/>
          </w:tcPr>
          <w:p w:rsidR="008E0B68" w:rsidRPr="008E6D9C" w:rsidRDefault="008E0B68" w:rsidP="001212DC">
            <w:pPr>
              <w:spacing w:after="0" w:line="240" w:lineRule="auto"/>
              <w:jc w:val="center"/>
              <w:rPr>
                <w:rFonts w:ascii="Times New Roman" w:hAnsi="Times New Roman"/>
                <w:b/>
                <w:sz w:val="24"/>
                <w:szCs w:val="24"/>
              </w:rPr>
            </w:pPr>
            <w:r w:rsidRPr="008E6D9C">
              <w:rPr>
                <w:rFonts w:ascii="Times New Roman" w:hAnsi="Times New Roman"/>
                <w:b/>
                <w:sz w:val="24"/>
                <w:szCs w:val="24"/>
              </w:rPr>
              <w:t>25</w:t>
            </w:r>
          </w:p>
        </w:tc>
      </w:tr>
    </w:tbl>
    <w:p w:rsidR="00AD3577" w:rsidRPr="003D2CBA" w:rsidRDefault="00AD3577" w:rsidP="00FA3FAE">
      <w:pPr>
        <w:pStyle w:val="PargrafodaLista"/>
        <w:numPr>
          <w:ilvl w:val="0"/>
          <w:numId w:val="41"/>
        </w:numPr>
        <w:pBdr>
          <w:bottom w:val="dashDotStroked" w:sz="24" w:space="1" w:color="auto"/>
        </w:pBdr>
        <w:jc w:val="both"/>
        <w:rPr>
          <w:rFonts w:ascii="Times New Roman" w:hAnsi="Times New Roman"/>
          <w:b/>
          <w:sz w:val="24"/>
          <w:szCs w:val="24"/>
        </w:rPr>
      </w:pPr>
      <w:r w:rsidRPr="003D2CBA">
        <w:rPr>
          <w:rFonts w:ascii="Times New Roman" w:hAnsi="Times New Roman"/>
          <w:b/>
          <w:sz w:val="24"/>
          <w:szCs w:val="24"/>
        </w:rPr>
        <w:t>Augmentation du risque de contamination aux MST/VIH Sida</w:t>
      </w:r>
    </w:p>
    <w:p w:rsidR="00CE2BFC" w:rsidRPr="008E0B68" w:rsidRDefault="00AD3577" w:rsidP="00600849">
      <w:pPr>
        <w:jc w:val="both"/>
        <w:rPr>
          <w:rFonts w:ascii="Times New Roman" w:hAnsi="Times New Roman" w:cs="Times New Roman"/>
          <w:color w:val="000000"/>
          <w:sz w:val="24"/>
          <w:szCs w:val="24"/>
        </w:rPr>
      </w:pPr>
      <w:r w:rsidRPr="008E0B68">
        <w:rPr>
          <w:rFonts w:ascii="Times New Roman" w:hAnsi="Times New Roman" w:cs="Times New Roman"/>
          <w:color w:val="000000"/>
          <w:sz w:val="24"/>
          <w:szCs w:val="24"/>
        </w:rPr>
        <w:t>L’afflux de travailleurs pour la réalisation des travaux constitue un facteur potentiel d’augmentatio</w:t>
      </w:r>
      <w:r w:rsidR="008E0B68" w:rsidRPr="008E0B68">
        <w:rPr>
          <w:rFonts w:ascii="Times New Roman" w:hAnsi="Times New Roman" w:cs="Times New Roman"/>
          <w:color w:val="000000"/>
          <w:sz w:val="24"/>
          <w:szCs w:val="24"/>
        </w:rPr>
        <w:t xml:space="preserve">n du </w:t>
      </w:r>
      <w:r w:rsidRPr="008E0B68">
        <w:rPr>
          <w:rFonts w:ascii="Times New Roman" w:hAnsi="Times New Roman" w:cs="Times New Roman"/>
          <w:color w:val="000000"/>
          <w:sz w:val="24"/>
          <w:szCs w:val="24"/>
        </w:rPr>
        <w:t xml:space="preserve">risque de </w:t>
      </w:r>
      <w:r w:rsidR="00600849" w:rsidRPr="008E0B68">
        <w:rPr>
          <w:rFonts w:ascii="Times New Roman" w:hAnsi="Times New Roman" w:cs="Times New Roman"/>
          <w:color w:val="000000"/>
          <w:sz w:val="24"/>
          <w:szCs w:val="24"/>
        </w:rPr>
        <w:t>contamination au</w:t>
      </w:r>
      <w:r w:rsidRPr="008E0B68">
        <w:rPr>
          <w:rFonts w:ascii="Times New Roman" w:hAnsi="Times New Roman" w:cs="Times New Roman"/>
          <w:color w:val="000000"/>
          <w:sz w:val="24"/>
          <w:szCs w:val="24"/>
        </w:rPr>
        <w:t xml:space="preserve"> MST/VIH</w:t>
      </w:r>
      <w:r w:rsidR="00600849" w:rsidRPr="008E0B68">
        <w:rPr>
          <w:rFonts w:ascii="Times New Roman" w:hAnsi="Times New Roman" w:cs="Times New Roman"/>
          <w:color w:val="000000"/>
          <w:sz w:val="24"/>
          <w:szCs w:val="24"/>
        </w:rPr>
        <w:t xml:space="preserve"> Sida </w:t>
      </w:r>
      <w:r w:rsidR="00F33918" w:rsidRPr="008E0B68">
        <w:rPr>
          <w:rFonts w:ascii="Times New Roman" w:hAnsi="Times New Roman" w:cs="Times New Roman"/>
          <w:color w:val="000000"/>
          <w:sz w:val="24"/>
          <w:szCs w:val="24"/>
        </w:rPr>
        <w:t>dans le</w:t>
      </w:r>
      <w:r w:rsidR="00CE2BFC" w:rsidRPr="008E0B68">
        <w:rPr>
          <w:rFonts w:ascii="Times New Roman" w:hAnsi="Times New Roman" w:cs="Times New Roman"/>
          <w:color w:val="000000"/>
          <w:sz w:val="24"/>
          <w:szCs w:val="24"/>
        </w:rPr>
        <w:t xml:space="preserve"> cas où ces derniers </w:t>
      </w:r>
      <w:r w:rsidRPr="008E0B68">
        <w:rPr>
          <w:rFonts w:ascii="Times New Roman" w:hAnsi="Times New Roman" w:cs="Times New Roman"/>
          <w:color w:val="000000"/>
          <w:sz w:val="24"/>
          <w:szCs w:val="24"/>
        </w:rPr>
        <w:t>seraient</w:t>
      </w:r>
      <w:r w:rsidR="00CE2BFC" w:rsidRPr="008E0B68">
        <w:rPr>
          <w:rFonts w:ascii="Times New Roman" w:hAnsi="Times New Roman" w:cs="Times New Roman"/>
          <w:color w:val="000000"/>
          <w:sz w:val="24"/>
          <w:szCs w:val="24"/>
        </w:rPr>
        <w:t xml:space="preserve"> porteurs de ces</w:t>
      </w:r>
      <w:r w:rsidRPr="008E0B68">
        <w:rPr>
          <w:rFonts w:ascii="Times New Roman" w:hAnsi="Times New Roman" w:cs="Times New Roman"/>
          <w:color w:val="000000"/>
          <w:sz w:val="24"/>
          <w:szCs w:val="24"/>
        </w:rPr>
        <w:t xml:space="preserve"> maladies. </w:t>
      </w:r>
    </w:p>
    <w:p w:rsidR="001A008E" w:rsidRPr="008E0B68" w:rsidRDefault="009874FB" w:rsidP="00600849">
      <w:pPr>
        <w:jc w:val="both"/>
        <w:rPr>
          <w:rFonts w:ascii="Times New Roman" w:hAnsi="Times New Roman" w:cs="Times New Roman"/>
          <w:color w:val="000000"/>
          <w:sz w:val="24"/>
          <w:szCs w:val="24"/>
        </w:rPr>
      </w:pPr>
      <w:r w:rsidRPr="008E0B68">
        <w:rPr>
          <w:rFonts w:ascii="Times New Roman" w:hAnsi="Times New Roman"/>
          <w:sz w:val="24"/>
          <w:szCs w:val="24"/>
        </w:rPr>
        <w:t xml:space="preserve">Lorsque de jeunes ouvriers issus de milieu culturel différent se regroupent ensemble en un lieu dans le cadre d’un chantier et rencontre quotidiennement de jeunes filles issues souvent de milieu modeste, le risque est élevé d’avoir que des rapports intimes se créent. Ces conditions sont souvent favorables à la propagation de maladies sexuellement transmissibles comme le VIH/SIDA. C’est pourquoi il est important de réduire ce risque en recrutant des ouvriers issus de la même localité.   </w:t>
      </w:r>
    </w:p>
    <w:tbl>
      <w:tblPr>
        <w:tblpPr w:leftFromText="141" w:rightFromText="141" w:vertAnchor="text" w:horzAnchor="margin" w:tblpXSpec="right" w:tblpY="475"/>
        <w:tblW w:w="3153" w:type="dxa"/>
        <w:tblBorders>
          <w:top w:val="single" w:sz="4" w:space="0" w:color="auto"/>
          <w:left w:val="dashDotStroked" w:sz="24" w:space="0" w:color="auto"/>
          <w:bottom w:val="dashDotStroked" w:sz="24" w:space="0" w:color="auto"/>
          <w:right w:val="dashDotStroked" w:sz="24" w:space="0" w:color="auto"/>
          <w:insideH w:val="single" w:sz="4" w:space="0" w:color="auto"/>
          <w:insideV w:val="dashDotStroked" w:sz="24" w:space="0" w:color="auto"/>
        </w:tblBorders>
        <w:tblLook w:val="04A0" w:firstRow="1" w:lastRow="0" w:firstColumn="1" w:lastColumn="0" w:noHBand="0" w:noVBand="1"/>
      </w:tblPr>
      <w:tblGrid>
        <w:gridCol w:w="1507"/>
        <w:gridCol w:w="1190"/>
        <w:gridCol w:w="456"/>
      </w:tblGrid>
      <w:tr w:rsidR="008E0B68" w:rsidRPr="00AA45E9" w:rsidTr="008E0B68">
        <w:tc>
          <w:tcPr>
            <w:tcW w:w="3153" w:type="dxa"/>
            <w:gridSpan w:val="3"/>
            <w:tcBorders>
              <w:bottom w:val="single" w:sz="4" w:space="0" w:color="auto"/>
            </w:tcBorders>
            <w:shd w:val="clear" w:color="auto" w:fill="002060"/>
          </w:tcPr>
          <w:p w:rsidR="008E0B68" w:rsidRPr="00867483" w:rsidRDefault="008E0B68" w:rsidP="008E0B68">
            <w:pPr>
              <w:spacing w:after="0" w:line="240" w:lineRule="auto"/>
              <w:jc w:val="center"/>
              <w:rPr>
                <w:rFonts w:ascii="Times New Roman" w:hAnsi="Times New Roman"/>
                <w:b/>
                <w:sz w:val="24"/>
                <w:szCs w:val="24"/>
              </w:rPr>
            </w:pPr>
            <w:r w:rsidRPr="00867483">
              <w:rPr>
                <w:rFonts w:ascii="Times New Roman" w:hAnsi="Times New Roman"/>
                <w:b/>
                <w:sz w:val="24"/>
                <w:szCs w:val="24"/>
              </w:rPr>
              <w:t>Caractérisation de l’impact</w:t>
            </w:r>
          </w:p>
        </w:tc>
      </w:tr>
      <w:tr w:rsidR="00E96A04" w:rsidRPr="00AA45E9" w:rsidTr="00247507">
        <w:tc>
          <w:tcPr>
            <w:tcW w:w="1507" w:type="dxa"/>
            <w:tcBorders>
              <w:bottom w:val="single" w:sz="4" w:space="0" w:color="auto"/>
              <w:right w:val="single" w:sz="4" w:space="0" w:color="auto"/>
            </w:tcBorders>
            <w:shd w:val="clear" w:color="auto" w:fill="002060"/>
          </w:tcPr>
          <w:p w:rsidR="00E96A04" w:rsidRPr="00AA45E9" w:rsidRDefault="00E96A04" w:rsidP="008E0B68">
            <w:pPr>
              <w:spacing w:after="0" w:line="240" w:lineRule="auto"/>
              <w:jc w:val="center"/>
              <w:rPr>
                <w:rFonts w:ascii="Times New Roman" w:hAnsi="Times New Roman"/>
                <w:b/>
                <w:sz w:val="24"/>
                <w:szCs w:val="24"/>
              </w:rPr>
            </w:pPr>
            <w:r>
              <w:rPr>
                <w:rFonts w:ascii="Times New Roman" w:hAnsi="Times New Roman"/>
                <w:b/>
                <w:sz w:val="24"/>
                <w:szCs w:val="24"/>
              </w:rPr>
              <w:t xml:space="preserve">Nature </w:t>
            </w:r>
          </w:p>
        </w:tc>
        <w:tc>
          <w:tcPr>
            <w:tcW w:w="1646" w:type="dxa"/>
            <w:gridSpan w:val="2"/>
            <w:tcBorders>
              <w:left w:val="single" w:sz="4" w:space="0" w:color="auto"/>
              <w:bottom w:val="single" w:sz="4" w:space="0" w:color="auto"/>
            </w:tcBorders>
            <w:shd w:val="clear" w:color="auto" w:fill="auto"/>
          </w:tcPr>
          <w:p w:rsidR="00E96A04" w:rsidRPr="00867483" w:rsidRDefault="00E96A04" w:rsidP="008E0B68">
            <w:pPr>
              <w:spacing w:after="0" w:line="240" w:lineRule="auto"/>
              <w:jc w:val="center"/>
              <w:rPr>
                <w:rFonts w:ascii="Times New Roman" w:hAnsi="Times New Roman"/>
                <w:sz w:val="24"/>
                <w:szCs w:val="24"/>
              </w:rPr>
            </w:pPr>
            <w:r w:rsidRPr="00E96A04">
              <w:rPr>
                <w:rFonts w:ascii="Times New Roman" w:hAnsi="Times New Roman"/>
                <w:b/>
                <w:sz w:val="24"/>
                <w:szCs w:val="24"/>
              </w:rPr>
              <w:t>Négatif</w:t>
            </w:r>
          </w:p>
        </w:tc>
      </w:tr>
      <w:tr w:rsidR="008E0B68" w:rsidRPr="00AA45E9" w:rsidTr="008E0B68">
        <w:tc>
          <w:tcPr>
            <w:tcW w:w="1507" w:type="dxa"/>
            <w:tcBorders>
              <w:bottom w:val="single" w:sz="4" w:space="0" w:color="auto"/>
              <w:right w:val="single" w:sz="4" w:space="0" w:color="auto"/>
            </w:tcBorders>
            <w:shd w:val="clear" w:color="auto" w:fill="002060"/>
          </w:tcPr>
          <w:p w:rsidR="008E0B68" w:rsidRPr="00AA45E9" w:rsidRDefault="008E0B68" w:rsidP="008E0B68">
            <w:pPr>
              <w:spacing w:after="0" w:line="240" w:lineRule="auto"/>
              <w:jc w:val="center"/>
              <w:rPr>
                <w:rFonts w:ascii="Times New Roman" w:hAnsi="Times New Roman"/>
                <w:b/>
                <w:sz w:val="24"/>
                <w:szCs w:val="24"/>
              </w:rPr>
            </w:pPr>
            <w:r w:rsidRPr="00AA45E9">
              <w:rPr>
                <w:rFonts w:ascii="Times New Roman" w:hAnsi="Times New Roman"/>
                <w:b/>
                <w:sz w:val="24"/>
                <w:szCs w:val="24"/>
              </w:rPr>
              <w:t>Intensité</w:t>
            </w:r>
          </w:p>
        </w:tc>
        <w:tc>
          <w:tcPr>
            <w:tcW w:w="1190" w:type="dxa"/>
            <w:tcBorders>
              <w:left w:val="single" w:sz="4" w:space="0" w:color="auto"/>
              <w:bottom w:val="single" w:sz="4" w:space="0" w:color="auto"/>
              <w:right w:val="single" w:sz="4" w:space="0" w:color="auto"/>
            </w:tcBorders>
            <w:shd w:val="clear" w:color="auto" w:fill="auto"/>
          </w:tcPr>
          <w:p w:rsidR="008E0B68" w:rsidRPr="00867483" w:rsidRDefault="008E0B68" w:rsidP="008E0B68">
            <w:pPr>
              <w:spacing w:after="0" w:line="240" w:lineRule="auto"/>
              <w:jc w:val="center"/>
              <w:rPr>
                <w:rFonts w:ascii="Times New Roman" w:hAnsi="Times New Roman"/>
                <w:sz w:val="24"/>
                <w:szCs w:val="24"/>
              </w:rPr>
            </w:pPr>
            <w:r w:rsidRPr="00867483">
              <w:rPr>
                <w:rFonts w:ascii="Times New Roman" w:hAnsi="Times New Roman"/>
                <w:sz w:val="24"/>
                <w:szCs w:val="24"/>
              </w:rPr>
              <w:t>Forte</w:t>
            </w:r>
          </w:p>
        </w:tc>
        <w:tc>
          <w:tcPr>
            <w:tcW w:w="456" w:type="dxa"/>
            <w:tcBorders>
              <w:left w:val="single" w:sz="4" w:space="0" w:color="auto"/>
              <w:bottom w:val="single" w:sz="4" w:space="0" w:color="auto"/>
            </w:tcBorders>
            <w:shd w:val="clear" w:color="auto" w:fill="auto"/>
          </w:tcPr>
          <w:p w:rsidR="008E0B68" w:rsidRPr="00867483" w:rsidRDefault="008E0B68" w:rsidP="008E0B68">
            <w:pPr>
              <w:spacing w:after="0" w:line="240" w:lineRule="auto"/>
              <w:jc w:val="center"/>
              <w:rPr>
                <w:rFonts w:ascii="Times New Roman" w:hAnsi="Times New Roman"/>
                <w:sz w:val="24"/>
                <w:szCs w:val="24"/>
              </w:rPr>
            </w:pPr>
            <w:r w:rsidRPr="00867483">
              <w:rPr>
                <w:rFonts w:ascii="Times New Roman" w:hAnsi="Times New Roman"/>
                <w:sz w:val="24"/>
                <w:szCs w:val="24"/>
              </w:rPr>
              <w:t>5</w:t>
            </w:r>
          </w:p>
        </w:tc>
      </w:tr>
      <w:tr w:rsidR="008E0B68" w:rsidRPr="00AA45E9" w:rsidTr="008E0B68">
        <w:tc>
          <w:tcPr>
            <w:tcW w:w="1507" w:type="dxa"/>
            <w:tcBorders>
              <w:bottom w:val="single" w:sz="4" w:space="0" w:color="auto"/>
              <w:right w:val="single" w:sz="4" w:space="0" w:color="auto"/>
            </w:tcBorders>
            <w:shd w:val="clear" w:color="auto" w:fill="002060"/>
          </w:tcPr>
          <w:p w:rsidR="008E0B68" w:rsidRPr="00AA45E9" w:rsidRDefault="008E0B68" w:rsidP="008E0B68">
            <w:pPr>
              <w:spacing w:after="0" w:line="240" w:lineRule="auto"/>
              <w:jc w:val="center"/>
              <w:rPr>
                <w:rFonts w:ascii="Times New Roman" w:hAnsi="Times New Roman"/>
                <w:sz w:val="24"/>
                <w:szCs w:val="24"/>
              </w:rPr>
            </w:pPr>
            <w:r w:rsidRPr="00AA45E9">
              <w:rPr>
                <w:rFonts w:ascii="Times New Roman" w:hAnsi="Times New Roman"/>
                <w:b/>
                <w:sz w:val="24"/>
                <w:szCs w:val="24"/>
              </w:rPr>
              <w:t>Etendue</w:t>
            </w:r>
          </w:p>
        </w:tc>
        <w:tc>
          <w:tcPr>
            <w:tcW w:w="1190" w:type="dxa"/>
            <w:tcBorders>
              <w:left w:val="single" w:sz="4" w:space="0" w:color="auto"/>
              <w:bottom w:val="single" w:sz="4" w:space="0" w:color="auto"/>
              <w:right w:val="single" w:sz="4" w:space="0" w:color="auto"/>
            </w:tcBorders>
          </w:tcPr>
          <w:p w:rsidR="008E0B68" w:rsidRPr="00867483" w:rsidRDefault="00E96A04" w:rsidP="008E0B68">
            <w:pPr>
              <w:spacing w:after="0" w:line="240" w:lineRule="auto"/>
              <w:jc w:val="center"/>
              <w:rPr>
                <w:rFonts w:ascii="Times New Roman" w:hAnsi="Times New Roman"/>
                <w:sz w:val="24"/>
                <w:szCs w:val="24"/>
              </w:rPr>
            </w:pPr>
            <w:r>
              <w:rPr>
                <w:rFonts w:ascii="Times New Roman" w:hAnsi="Times New Roman"/>
                <w:sz w:val="24"/>
                <w:szCs w:val="24"/>
              </w:rPr>
              <w:t>Locale</w:t>
            </w:r>
          </w:p>
        </w:tc>
        <w:tc>
          <w:tcPr>
            <w:tcW w:w="456" w:type="dxa"/>
            <w:tcBorders>
              <w:left w:val="single" w:sz="4" w:space="0" w:color="auto"/>
              <w:bottom w:val="single" w:sz="4" w:space="0" w:color="auto"/>
            </w:tcBorders>
          </w:tcPr>
          <w:p w:rsidR="008E0B68" w:rsidRPr="00867483" w:rsidRDefault="00E96A04" w:rsidP="008E0B68">
            <w:pPr>
              <w:spacing w:after="0" w:line="240" w:lineRule="auto"/>
              <w:jc w:val="center"/>
              <w:rPr>
                <w:rFonts w:ascii="Times New Roman" w:hAnsi="Times New Roman"/>
                <w:sz w:val="24"/>
                <w:szCs w:val="24"/>
              </w:rPr>
            </w:pPr>
            <w:r>
              <w:rPr>
                <w:rFonts w:ascii="Times New Roman" w:hAnsi="Times New Roman"/>
                <w:sz w:val="24"/>
                <w:szCs w:val="24"/>
              </w:rPr>
              <w:t>3</w:t>
            </w:r>
          </w:p>
        </w:tc>
      </w:tr>
      <w:tr w:rsidR="008E0B68" w:rsidRPr="00AA45E9" w:rsidTr="008E0B68">
        <w:tc>
          <w:tcPr>
            <w:tcW w:w="1507" w:type="dxa"/>
            <w:tcBorders>
              <w:bottom w:val="single" w:sz="4" w:space="0" w:color="auto"/>
              <w:right w:val="single" w:sz="4" w:space="0" w:color="auto"/>
            </w:tcBorders>
            <w:shd w:val="clear" w:color="auto" w:fill="002060"/>
          </w:tcPr>
          <w:p w:rsidR="008E0B68" w:rsidRDefault="008E0B68" w:rsidP="008E0B68">
            <w:pPr>
              <w:spacing w:after="0" w:line="240" w:lineRule="auto"/>
              <w:jc w:val="center"/>
              <w:rPr>
                <w:rFonts w:ascii="Times New Roman" w:hAnsi="Times New Roman"/>
                <w:sz w:val="24"/>
                <w:szCs w:val="24"/>
              </w:rPr>
            </w:pPr>
            <w:r w:rsidRPr="00AA45E9">
              <w:rPr>
                <w:rFonts w:ascii="Times New Roman" w:hAnsi="Times New Roman"/>
                <w:b/>
                <w:sz w:val="24"/>
                <w:szCs w:val="24"/>
              </w:rPr>
              <w:t>Durée</w:t>
            </w:r>
          </w:p>
        </w:tc>
        <w:tc>
          <w:tcPr>
            <w:tcW w:w="1190" w:type="dxa"/>
            <w:tcBorders>
              <w:left w:val="single" w:sz="4" w:space="0" w:color="auto"/>
              <w:bottom w:val="single" w:sz="4" w:space="0" w:color="auto"/>
              <w:right w:val="single" w:sz="4" w:space="0" w:color="auto"/>
            </w:tcBorders>
          </w:tcPr>
          <w:p w:rsidR="008E0B68" w:rsidRPr="00867483" w:rsidRDefault="00E96A04" w:rsidP="008E0B68">
            <w:pPr>
              <w:spacing w:after="0" w:line="240" w:lineRule="auto"/>
              <w:jc w:val="center"/>
              <w:rPr>
                <w:rFonts w:ascii="Times New Roman" w:hAnsi="Times New Roman"/>
                <w:sz w:val="24"/>
                <w:szCs w:val="24"/>
              </w:rPr>
            </w:pPr>
            <w:r>
              <w:rPr>
                <w:rFonts w:ascii="Times New Roman" w:hAnsi="Times New Roman"/>
                <w:sz w:val="24"/>
                <w:szCs w:val="24"/>
              </w:rPr>
              <w:t>courte</w:t>
            </w:r>
          </w:p>
        </w:tc>
        <w:tc>
          <w:tcPr>
            <w:tcW w:w="456" w:type="dxa"/>
            <w:tcBorders>
              <w:left w:val="single" w:sz="4" w:space="0" w:color="auto"/>
              <w:bottom w:val="single" w:sz="4" w:space="0" w:color="auto"/>
            </w:tcBorders>
          </w:tcPr>
          <w:p w:rsidR="008E0B68" w:rsidRPr="00867483" w:rsidRDefault="008E0B68" w:rsidP="008E0B68">
            <w:pPr>
              <w:spacing w:after="0" w:line="240" w:lineRule="auto"/>
              <w:jc w:val="center"/>
              <w:rPr>
                <w:rFonts w:ascii="Times New Roman" w:hAnsi="Times New Roman"/>
                <w:sz w:val="24"/>
                <w:szCs w:val="24"/>
              </w:rPr>
            </w:pPr>
            <w:r w:rsidRPr="00867483">
              <w:rPr>
                <w:rFonts w:ascii="Times New Roman" w:hAnsi="Times New Roman"/>
                <w:sz w:val="24"/>
                <w:szCs w:val="24"/>
              </w:rPr>
              <w:t>1</w:t>
            </w:r>
          </w:p>
        </w:tc>
      </w:tr>
      <w:tr w:rsidR="008E0B68" w:rsidRPr="00AA45E9" w:rsidTr="00FC410F">
        <w:tc>
          <w:tcPr>
            <w:tcW w:w="3153" w:type="dxa"/>
            <w:gridSpan w:val="3"/>
            <w:tcBorders>
              <w:bottom w:val="single" w:sz="4" w:space="0" w:color="auto"/>
            </w:tcBorders>
            <w:shd w:val="clear" w:color="auto" w:fill="FFFFFF" w:themeFill="background1"/>
          </w:tcPr>
          <w:p w:rsidR="008E0B68" w:rsidRPr="00867483" w:rsidRDefault="008E0B68" w:rsidP="008E0B68">
            <w:pPr>
              <w:spacing w:after="0" w:line="240" w:lineRule="auto"/>
              <w:jc w:val="center"/>
              <w:rPr>
                <w:rFonts w:ascii="Times New Roman" w:hAnsi="Times New Roman"/>
                <w:sz w:val="6"/>
                <w:szCs w:val="6"/>
              </w:rPr>
            </w:pPr>
          </w:p>
        </w:tc>
      </w:tr>
      <w:tr w:rsidR="008E0B68" w:rsidRPr="00AA45E9" w:rsidTr="00E96A04">
        <w:tc>
          <w:tcPr>
            <w:tcW w:w="1507" w:type="dxa"/>
            <w:tcBorders>
              <w:bottom w:val="dashDotStroked" w:sz="24" w:space="0" w:color="auto"/>
              <w:right w:val="single" w:sz="4" w:space="0" w:color="auto"/>
            </w:tcBorders>
            <w:shd w:val="clear" w:color="auto" w:fill="002060"/>
          </w:tcPr>
          <w:p w:rsidR="008E0B68" w:rsidRPr="00AA45E9" w:rsidRDefault="008E0B68" w:rsidP="008E0B68">
            <w:pPr>
              <w:spacing w:after="0" w:line="240" w:lineRule="auto"/>
              <w:jc w:val="center"/>
              <w:rPr>
                <w:rFonts w:ascii="Times New Roman" w:hAnsi="Times New Roman"/>
                <w:b/>
                <w:sz w:val="24"/>
                <w:szCs w:val="24"/>
              </w:rPr>
            </w:pPr>
            <w:r w:rsidRPr="00AA45E9">
              <w:rPr>
                <w:rFonts w:ascii="Times New Roman" w:hAnsi="Times New Roman"/>
                <w:b/>
                <w:sz w:val="24"/>
                <w:szCs w:val="24"/>
              </w:rPr>
              <w:t>Importance</w:t>
            </w:r>
          </w:p>
        </w:tc>
        <w:tc>
          <w:tcPr>
            <w:tcW w:w="1190" w:type="dxa"/>
            <w:tcBorders>
              <w:left w:val="single" w:sz="4" w:space="0" w:color="auto"/>
              <w:bottom w:val="dashDotStroked" w:sz="24" w:space="0" w:color="auto"/>
              <w:right w:val="single" w:sz="4" w:space="0" w:color="auto"/>
            </w:tcBorders>
            <w:shd w:val="clear" w:color="auto" w:fill="92D050"/>
          </w:tcPr>
          <w:p w:rsidR="008E0B68" w:rsidRPr="008E6D9C" w:rsidRDefault="00E96A04" w:rsidP="008E0B68">
            <w:pPr>
              <w:spacing w:after="0" w:line="240" w:lineRule="auto"/>
              <w:jc w:val="center"/>
              <w:rPr>
                <w:rFonts w:ascii="Times New Roman" w:hAnsi="Times New Roman"/>
                <w:b/>
                <w:sz w:val="24"/>
                <w:szCs w:val="24"/>
              </w:rPr>
            </w:pPr>
            <w:r>
              <w:rPr>
                <w:rFonts w:ascii="Times New Roman" w:hAnsi="Times New Roman"/>
                <w:b/>
                <w:sz w:val="24"/>
                <w:szCs w:val="24"/>
              </w:rPr>
              <w:t>Mineure</w:t>
            </w:r>
          </w:p>
        </w:tc>
        <w:tc>
          <w:tcPr>
            <w:tcW w:w="456" w:type="dxa"/>
            <w:tcBorders>
              <w:left w:val="single" w:sz="4" w:space="0" w:color="auto"/>
              <w:bottom w:val="dashDotStroked" w:sz="24" w:space="0" w:color="auto"/>
            </w:tcBorders>
            <w:shd w:val="clear" w:color="auto" w:fill="92D050"/>
          </w:tcPr>
          <w:p w:rsidR="008E0B68" w:rsidRPr="008E6D9C" w:rsidRDefault="00E96A04" w:rsidP="008E0B68">
            <w:pPr>
              <w:spacing w:after="0" w:line="240" w:lineRule="auto"/>
              <w:jc w:val="center"/>
              <w:rPr>
                <w:rFonts w:ascii="Times New Roman" w:hAnsi="Times New Roman"/>
                <w:b/>
                <w:sz w:val="24"/>
                <w:szCs w:val="24"/>
              </w:rPr>
            </w:pPr>
            <w:r>
              <w:rPr>
                <w:rFonts w:ascii="Times New Roman" w:hAnsi="Times New Roman"/>
                <w:b/>
                <w:sz w:val="24"/>
                <w:szCs w:val="24"/>
              </w:rPr>
              <w:t>1</w:t>
            </w:r>
            <w:r w:rsidR="008E0B68" w:rsidRPr="008E6D9C">
              <w:rPr>
                <w:rFonts w:ascii="Times New Roman" w:hAnsi="Times New Roman"/>
                <w:b/>
                <w:sz w:val="24"/>
                <w:szCs w:val="24"/>
              </w:rPr>
              <w:t>5</w:t>
            </w:r>
          </w:p>
        </w:tc>
      </w:tr>
    </w:tbl>
    <w:p w:rsidR="00600849" w:rsidRPr="003D2CBA" w:rsidRDefault="00600849" w:rsidP="00FA3FAE">
      <w:pPr>
        <w:pStyle w:val="PargrafodaLista"/>
        <w:numPr>
          <w:ilvl w:val="0"/>
          <w:numId w:val="41"/>
        </w:numPr>
        <w:pBdr>
          <w:bottom w:val="dashDotStroked" w:sz="24" w:space="1" w:color="auto"/>
        </w:pBdr>
        <w:jc w:val="both"/>
        <w:rPr>
          <w:rFonts w:ascii="Times New Roman" w:hAnsi="Times New Roman"/>
          <w:b/>
          <w:sz w:val="24"/>
          <w:szCs w:val="24"/>
        </w:rPr>
      </w:pPr>
      <w:r w:rsidRPr="003D2CBA">
        <w:rPr>
          <w:rFonts w:ascii="Times New Roman" w:hAnsi="Times New Roman"/>
          <w:b/>
          <w:sz w:val="24"/>
          <w:szCs w:val="24"/>
        </w:rPr>
        <w:t xml:space="preserve"> Accidents de chantier</w:t>
      </w:r>
    </w:p>
    <w:p w:rsidR="00600849" w:rsidRDefault="00600849" w:rsidP="00600849">
      <w:pPr>
        <w:jc w:val="both"/>
        <w:rPr>
          <w:rFonts w:ascii="Times New Roman" w:hAnsi="Times New Roman" w:cs="Times New Roman"/>
          <w:color w:val="000000"/>
          <w:sz w:val="24"/>
          <w:szCs w:val="24"/>
        </w:rPr>
      </w:pPr>
      <w:r w:rsidRPr="00600849">
        <w:rPr>
          <w:rFonts w:ascii="Times New Roman" w:hAnsi="Times New Roman" w:cs="Times New Roman"/>
          <w:color w:val="000000"/>
          <w:sz w:val="24"/>
          <w:szCs w:val="24"/>
        </w:rPr>
        <w:t>Pendant la phase des travaux, il existe des risques d’accidents liés aux engins/i</w:t>
      </w:r>
      <w:r>
        <w:rPr>
          <w:rFonts w:ascii="Times New Roman" w:hAnsi="Times New Roman" w:cs="Times New Roman"/>
          <w:color w:val="000000"/>
          <w:sz w:val="24"/>
          <w:szCs w:val="24"/>
        </w:rPr>
        <w:t xml:space="preserve">nstruments de chantier et à la </w:t>
      </w:r>
      <w:r w:rsidRPr="00600849">
        <w:rPr>
          <w:rFonts w:ascii="Times New Roman" w:hAnsi="Times New Roman" w:cs="Times New Roman"/>
          <w:color w:val="000000"/>
          <w:sz w:val="24"/>
          <w:szCs w:val="24"/>
        </w:rPr>
        <w:t>présence de matériaux de construction mal protégés ou mal utilisé. Le risque d</w:t>
      </w:r>
      <w:r>
        <w:rPr>
          <w:rFonts w:ascii="Times New Roman" w:hAnsi="Times New Roman" w:cs="Times New Roman"/>
          <w:color w:val="000000"/>
          <w:sz w:val="24"/>
          <w:szCs w:val="24"/>
        </w:rPr>
        <w:t xml:space="preserve">e chute existe pour toutes les </w:t>
      </w:r>
      <w:r w:rsidRPr="00600849">
        <w:rPr>
          <w:rFonts w:ascii="Times New Roman" w:hAnsi="Times New Roman" w:cs="Times New Roman"/>
          <w:color w:val="000000"/>
          <w:sz w:val="24"/>
          <w:szCs w:val="24"/>
        </w:rPr>
        <w:t xml:space="preserve">personnes </w:t>
      </w:r>
      <w:r w:rsidR="007D1232" w:rsidRPr="00600849">
        <w:rPr>
          <w:rFonts w:ascii="Times New Roman" w:hAnsi="Times New Roman" w:cs="Times New Roman"/>
          <w:color w:val="000000"/>
          <w:sz w:val="24"/>
          <w:szCs w:val="24"/>
        </w:rPr>
        <w:t>autorisées et</w:t>
      </w:r>
      <w:r w:rsidR="007D1232">
        <w:rPr>
          <w:rFonts w:ascii="Times New Roman" w:hAnsi="Times New Roman" w:cs="Times New Roman"/>
          <w:color w:val="000000"/>
          <w:sz w:val="24"/>
          <w:szCs w:val="24"/>
        </w:rPr>
        <w:t xml:space="preserve"> non autorisées sur le </w:t>
      </w:r>
      <w:r w:rsidRPr="00600849">
        <w:rPr>
          <w:rFonts w:ascii="Times New Roman" w:hAnsi="Times New Roman" w:cs="Times New Roman"/>
          <w:color w:val="000000"/>
          <w:sz w:val="24"/>
          <w:szCs w:val="24"/>
        </w:rPr>
        <w:t xml:space="preserve">chantier.  </w:t>
      </w:r>
      <w:r w:rsidR="000C5FB0" w:rsidRPr="00AA45E9">
        <w:rPr>
          <w:rFonts w:ascii="Times New Roman" w:hAnsi="Times New Roman"/>
          <w:sz w:val="24"/>
          <w:szCs w:val="24"/>
        </w:rPr>
        <w:t xml:space="preserve">Le risque d’apparition de certaines maladies professionnelles consécutives à des efforts physiques, des écrasements, des chocs, des gestes répétitifs, des mauvaises postures, etc. est faible. </w:t>
      </w:r>
      <w:r w:rsidR="007D1232" w:rsidRPr="00600849">
        <w:rPr>
          <w:rFonts w:ascii="Times New Roman" w:hAnsi="Times New Roman" w:cs="Times New Roman"/>
          <w:color w:val="000000"/>
          <w:sz w:val="24"/>
          <w:szCs w:val="24"/>
        </w:rPr>
        <w:t>Un risque d’accident lié</w:t>
      </w:r>
      <w:r w:rsidR="007D1232">
        <w:rPr>
          <w:rFonts w:ascii="Times New Roman" w:hAnsi="Times New Roman" w:cs="Times New Roman"/>
          <w:color w:val="000000"/>
          <w:sz w:val="24"/>
          <w:szCs w:val="24"/>
        </w:rPr>
        <w:t xml:space="preserve"> au trafic</w:t>
      </w:r>
      <w:r>
        <w:rPr>
          <w:rFonts w:ascii="Times New Roman" w:hAnsi="Times New Roman" w:cs="Times New Roman"/>
          <w:color w:val="000000"/>
          <w:sz w:val="24"/>
          <w:szCs w:val="24"/>
        </w:rPr>
        <w:t xml:space="preserve"> </w:t>
      </w:r>
      <w:r w:rsidR="007D1232">
        <w:rPr>
          <w:rFonts w:ascii="Times New Roman" w:hAnsi="Times New Roman" w:cs="Times New Roman"/>
          <w:color w:val="000000"/>
          <w:sz w:val="24"/>
          <w:szCs w:val="24"/>
        </w:rPr>
        <w:t>routier pour</w:t>
      </w:r>
      <w:r>
        <w:rPr>
          <w:rFonts w:ascii="Times New Roman" w:hAnsi="Times New Roman" w:cs="Times New Roman"/>
          <w:color w:val="000000"/>
          <w:sz w:val="24"/>
          <w:szCs w:val="24"/>
        </w:rPr>
        <w:t xml:space="preserve"> </w:t>
      </w:r>
      <w:r w:rsidRPr="00600849">
        <w:rPr>
          <w:rFonts w:ascii="Times New Roman" w:hAnsi="Times New Roman" w:cs="Times New Roman"/>
          <w:color w:val="000000"/>
          <w:sz w:val="24"/>
          <w:szCs w:val="24"/>
        </w:rPr>
        <w:t xml:space="preserve">l’acheminement des matériaux de construction est également prévisible. </w:t>
      </w:r>
    </w:p>
    <w:tbl>
      <w:tblPr>
        <w:tblpPr w:leftFromText="141" w:rightFromText="141" w:vertAnchor="text" w:horzAnchor="margin" w:tblpXSpec="right" w:tblpY="451"/>
        <w:tblW w:w="3153" w:type="dxa"/>
        <w:tblBorders>
          <w:top w:val="single" w:sz="4" w:space="0" w:color="auto"/>
          <w:left w:val="dashDotStroked" w:sz="24" w:space="0" w:color="auto"/>
          <w:bottom w:val="dashDotStroked" w:sz="24" w:space="0" w:color="auto"/>
          <w:right w:val="dashDotStroked" w:sz="24" w:space="0" w:color="auto"/>
          <w:insideH w:val="single" w:sz="4" w:space="0" w:color="auto"/>
          <w:insideV w:val="dashDotStroked" w:sz="24" w:space="0" w:color="auto"/>
        </w:tblBorders>
        <w:tblLook w:val="04A0" w:firstRow="1" w:lastRow="0" w:firstColumn="1" w:lastColumn="0" w:noHBand="0" w:noVBand="1"/>
      </w:tblPr>
      <w:tblGrid>
        <w:gridCol w:w="1507"/>
        <w:gridCol w:w="1190"/>
        <w:gridCol w:w="456"/>
      </w:tblGrid>
      <w:tr w:rsidR="008E0B68" w:rsidRPr="00AA45E9" w:rsidTr="008E0B68">
        <w:tc>
          <w:tcPr>
            <w:tcW w:w="3153" w:type="dxa"/>
            <w:gridSpan w:val="3"/>
            <w:tcBorders>
              <w:bottom w:val="single" w:sz="4" w:space="0" w:color="auto"/>
            </w:tcBorders>
            <w:shd w:val="clear" w:color="auto" w:fill="002060"/>
          </w:tcPr>
          <w:p w:rsidR="008E0B68" w:rsidRPr="00867483" w:rsidRDefault="008E0B68" w:rsidP="008E0B68">
            <w:pPr>
              <w:spacing w:after="0" w:line="240" w:lineRule="auto"/>
              <w:jc w:val="center"/>
              <w:rPr>
                <w:rFonts w:ascii="Times New Roman" w:hAnsi="Times New Roman"/>
                <w:b/>
                <w:sz w:val="24"/>
                <w:szCs w:val="24"/>
              </w:rPr>
            </w:pPr>
            <w:r w:rsidRPr="00867483">
              <w:rPr>
                <w:rFonts w:ascii="Times New Roman" w:hAnsi="Times New Roman"/>
                <w:b/>
                <w:sz w:val="24"/>
                <w:szCs w:val="24"/>
              </w:rPr>
              <w:t>Caractérisation de l’impact</w:t>
            </w:r>
          </w:p>
        </w:tc>
      </w:tr>
      <w:tr w:rsidR="00E96A04" w:rsidRPr="00AA45E9" w:rsidTr="00247507">
        <w:tc>
          <w:tcPr>
            <w:tcW w:w="1507" w:type="dxa"/>
            <w:tcBorders>
              <w:bottom w:val="single" w:sz="4" w:space="0" w:color="auto"/>
              <w:right w:val="single" w:sz="4" w:space="0" w:color="auto"/>
            </w:tcBorders>
            <w:shd w:val="clear" w:color="auto" w:fill="002060"/>
          </w:tcPr>
          <w:p w:rsidR="00E96A04" w:rsidRPr="00AA45E9" w:rsidRDefault="00E96A04" w:rsidP="008E0B68">
            <w:pPr>
              <w:spacing w:after="0" w:line="240" w:lineRule="auto"/>
              <w:jc w:val="center"/>
              <w:rPr>
                <w:rFonts w:ascii="Times New Roman" w:hAnsi="Times New Roman"/>
                <w:b/>
                <w:sz w:val="24"/>
                <w:szCs w:val="24"/>
              </w:rPr>
            </w:pPr>
            <w:r>
              <w:rPr>
                <w:rFonts w:ascii="Times New Roman" w:hAnsi="Times New Roman"/>
                <w:b/>
                <w:sz w:val="24"/>
                <w:szCs w:val="24"/>
              </w:rPr>
              <w:t xml:space="preserve">Nature </w:t>
            </w:r>
          </w:p>
        </w:tc>
        <w:tc>
          <w:tcPr>
            <w:tcW w:w="1646" w:type="dxa"/>
            <w:gridSpan w:val="2"/>
            <w:tcBorders>
              <w:left w:val="single" w:sz="4" w:space="0" w:color="auto"/>
              <w:bottom w:val="single" w:sz="4" w:space="0" w:color="auto"/>
            </w:tcBorders>
            <w:shd w:val="clear" w:color="auto" w:fill="auto"/>
          </w:tcPr>
          <w:p w:rsidR="00E96A04" w:rsidRPr="00867483" w:rsidRDefault="00E96A04" w:rsidP="008E0B68">
            <w:pPr>
              <w:spacing w:after="0" w:line="240" w:lineRule="auto"/>
              <w:jc w:val="center"/>
              <w:rPr>
                <w:rFonts w:ascii="Times New Roman" w:hAnsi="Times New Roman"/>
                <w:sz w:val="24"/>
                <w:szCs w:val="24"/>
              </w:rPr>
            </w:pPr>
            <w:r w:rsidRPr="00E96A04">
              <w:rPr>
                <w:rFonts w:ascii="Times New Roman" w:hAnsi="Times New Roman"/>
                <w:b/>
                <w:sz w:val="24"/>
                <w:szCs w:val="24"/>
              </w:rPr>
              <w:t>Négatif</w:t>
            </w:r>
          </w:p>
        </w:tc>
      </w:tr>
      <w:tr w:rsidR="008E0B68" w:rsidRPr="00AA45E9" w:rsidTr="008E0B68">
        <w:tc>
          <w:tcPr>
            <w:tcW w:w="1507" w:type="dxa"/>
            <w:tcBorders>
              <w:bottom w:val="single" w:sz="4" w:space="0" w:color="auto"/>
              <w:right w:val="single" w:sz="4" w:space="0" w:color="auto"/>
            </w:tcBorders>
            <w:shd w:val="clear" w:color="auto" w:fill="002060"/>
          </w:tcPr>
          <w:p w:rsidR="008E0B68" w:rsidRPr="00AA45E9" w:rsidRDefault="008E0B68" w:rsidP="008E0B68">
            <w:pPr>
              <w:spacing w:after="0" w:line="240" w:lineRule="auto"/>
              <w:jc w:val="center"/>
              <w:rPr>
                <w:rFonts w:ascii="Times New Roman" w:hAnsi="Times New Roman"/>
                <w:b/>
                <w:sz w:val="24"/>
                <w:szCs w:val="24"/>
              </w:rPr>
            </w:pPr>
            <w:r w:rsidRPr="00AA45E9">
              <w:rPr>
                <w:rFonts w:ascii="Times New Roman" w:hAnsi="Times New Roman"/>
                <w:b/>
                <w:sz w:val="24"/>
                <w:szCs w:val="24"/>
              </w:rPr>
              <w:t>Intensité</w:t>
            </w:r>
          </w:p>
        </w:tc>
        <w:tc>
          <w:tcPr>
            <w:tcW w:w="1190" w:type="dxa"/>
            <w:tcBorders>
              <w:left w:val="single" w:sz="4" w:space="0" w:color="auto"/>
              <w:bottom w:val="single" w:sz="4" w:space="0" w:color="auto"/>
              <w:right w:val="single" w:sz="4" w:space="0" w:color="auto"/>
            </w:tcBorders>
            <w:shd w:val="clear" w:color="auto" w:fill="auto"/>
          </w:tcPr>
          <w:p w:rsidR="008E0B68" w:rsidRPr="00867483" w:rsidRDefault="008E0B68" w:rsidP="008E0B68">
            <w:pPr>
              <w:spacing w:after="0" w:line="240" w:lineRule="auto"/>
              <w:jc w:val="center"/>
              <w:rPr>
                <w:rFonts w:ascii="Times New Roman" w:hAnsi="Times New Roman"/>
                <w:sz w:val="24"/>
                <w:szCs w:val="24"/>
              </w:rPr>
            </w:pPr>
            <w:r w:rsidRPr="00867483">
              <w:rPr>
                <w:rFonts w:ascii="Times New Roman" w:hAnsi="Times New Roman"/>
                <w:sz w:val="24"/>
                <w:szCs w:val="24"/>
              </w:rPr>
              <w:t>Forte</w:t>
            </w:r>
          </w:p>
        </w:tc>
        <w:tc>
          <w:tcPr>
            <w:tcW w:w="456" w:type="dxa"/>
            <w:tcBorders>
              <w:left w:val="single" w:sz="4" w:space="0" w:color="auto"/>
              <w:bottom w:val="single" w:sz="4" w:space="0" w:color="auto"/>
            </w:tcBorders>
            <w:shd w:val="clear" w:color="auto" w:fill="auto"/>
          </w:tcPr>
          <w:p w:rsidR="008E0B68" w:rsidRPr="00867483" w:rsidRDefault="008E0B68" w:rsidP="008E0B68">
            <w:pPr>
              <w:spacing w:after="0" w:line="240" w:lineRule="auto"/>
              <w:jc w:val="center"/>
              <w:rPr>
                <w:rFonts w:ascii="Times New Roman" w:hAnsi="Times New Roman"/>
                <w:sz w:val="24"/>
                <w:szCs w:val="24"/>
              </w:rPr>
            </w:pPr>
            <w:r w:rsidRPr="00867483">
              <w:rPr>
                <w:rFonts w:ascii="Times New Roman" w:hAnsi="Times New Roman"/>
                <w:sz w:val="24"/>
                <w:szCs w:val="24"/>
              </w:rPr>
              <w:t>5</w:t>
            </w:r>
          </w:p>
        </w:tc>
      </w:tr>
      <w:tr w:rsidR="008E0B68" w:rsidRPr="00AA45E9" w:rsidTr="008E0B68">
        <w:tc>
          <w:tcPr>
            <w:tcW w:w="1507" w:type="dxa"/>
            <w:tcBorders>
              <w:bottom w:val="single" w:sz="4" w:space="0" w:color="auto"/>
              <w:right w:val="single" w:sz="4" w:space="0" w:color="auto"/>
            </w:tcBorders>
            <w:shd w:val="clear" w:color="auto" w:fill="002060"/>
          </w:tcPr>
          <w:p w:rsidR="008E0B68" w:rsidRPr="00AA45E9" w:rsidRDefault="008E0B68" w:rsidP="008E0B68">
            <w:pPr>
              <w:spacing w:after="0" w:line="240" w:lineRule="auto"/>
              <w:jc w:val="center"/>
              <w:rPr>
                <w:rFonts w:ascii="Times New Roman" w:hAnsi="Times New Roman"/>
                <w:sz w:val="24"/>
                <w:szCs w:val="24"/>
              </w:rPr>
            </w:pPr>
            <w:r w:rsidRPr="00AA45E9">
              <w:rPr>
                <w:rFonts w:ascii="Times New Roman" w:hAnsi="Times New Roman"/>
                <w:b/>
                <w:sz w:val="24"/>
                <w:szCs w:val="24"/>
              </w:rPr>
              <w:t>Etendue</w:t>
            </w:r>
          </w:p>
        </w:tc>
        <w:tc>
          <w:tcPr>
            <w:tcW w:w="1190" w:type="dxa"/>
            <w:tcBorders>
              <w:left w:val="single" w:sz="4" w:space="0" w:color="auto"/>
              <w:bottom w:val="single" w:sz="4" w:space="0" w:color="auto"/>
              <w:right w:val="single" w:sz="4" w:space="0" w:color="auto"/>
            </w:tcBorders>
          </w:tcPr>
          <w:p w:rsidR="008E0B68" w:rsidRPr="00867483" w:rsidRDefault="00E96A04" w:rsidP="008E0B68">
            <w:pPr>
              <w:spacing w:after="0" w:line="240" w:lineRule="auto"/>
              <w:jc w:val="center"/>
              <w:rPr>
                <w:rFonts w:ascii="Times New Roman" w:hAnsi="Times New Roman"/>
                <w:sz w:val="24"/>
                <w:szCs w:val="24"/>
              </w:rPr>
            </w:pPr>
            <w:r>
              <w:rPr>
                <w:rFonts w:ascii="Times New Roman" w:hAnsi="Times New Roman"/>
                <w:sz w:val="24"/>
                <w:szCs w:val="24"/>
              </w:rPr>
              <w:t>Locale</w:t>
            </w:r>
          </w:p>
        </w:tc>
        <w:tc>
          <w:tcPr>
            <w:tcW w:w="456" w:type="dxa"/>
            <w:tcBorders>
              <w:left w:val="single" w:sz="4" w:space="0" w:color="auto"/>
              <w:bottom w:val="single" w:sz="4" w:space="0" w:color="auto"/>
            </w:tcBorders>
          </w:tcPr>
          <w:p w:rsidR="008E0B68" w:rsidRPr="00867483" w:rsidRDefault="00E96A04" w:rsidP="008E0B68">
            <w:pPr>
              <w:spacing w:after="0" w:line="240" w:lineRule="auto"/>
              <w:jc w:val="center"/>
              <w:rPr>
                <w:rFonts w:ascii="Times New Roman" w:hAnsi="Times New Roman"/>
                <w:sz w:val="24"/>
                <w:szCs w:val="24"/>
              </w:rPr>
            </w:pPr>
            <w:r>
              <w:rPr>
                <w:rFonts w:ascii="Times New Roman" w:hAnsi="Times New Roman"/>
                <w:sz w:val="24"/>
                <w:szCs w:val="24"/>
              </w:rPr>
              <w:t>3</w:t>
            </w:r>
          </w:p>
        </w:tc>
      </w:tr>
      <w:tr w:rsidR="008E0B68" w:rsidRPr="00AA45E9" w:rsidTr="008E0B68">
        <w:tc>
          <w:tcPr>
            <w:tcW w:w="1507" w:type="dxa"/>
            <w:tcBorders>
              <w:bottom w:val="single" w:sz="4" w:space="0" w:color="auto"/>
              <w:right w:val="single" w:sz="4" w:space="0" w:color="auto"/>
            </w:tcBorders>
            <w:shd w:val="clear" w:color="auto" w:fill="002060"/>
          </w:tcPr>
          <w:p w:rsidR="008E0B68" w:rsidRDefault="008E0B68" w:rsidP="008E0B68">
            <w:pPr>
              <w:spacing w:after="0" w:line="240" w:lineRule="auto"/>
              <w:jc w:val="center"/>
              <w:rPr>
                <w:rFonts w:ascii="Times New Roman" w:hAnsi="Times New Roman"/>
                <w:sz w:val="24"/>
                <w:szCs w:val="24"/>
              </w:rPr>
            </w:pPr>
            <w:r w:rsidRPr="00AA45E9">
              <w:rPr>
                <w:rFonts w:ascii="Times New Roman" w:hAnsi="Times New Roman"/>
                <w:b/>
                <w:sz w:val="24"/>
                <w:szCs w:val="24"/>
              </w:rPr>
              <w:t>Durée</w:t>
            </w:r>
          </w:p>
        </w:tc>
        <w:tc>
          <w:tcPr>
            <w:tcW w:w="1190" w:type="dxa"/>
            <w:tcBorders>
              <w:left w:val="single" w:sz="4" w:space="0" w:color="auto"/>
              <w:bottom w:val="single" w:sz="4" w:space="0" w:color="auto"/>
              <w:right w:val="single" w:sz="4" w:space="0" w:color="auto"/>
            </w:tcBorders>
          </w:tcPr>
          <w:p w:rsidR="008E0B68" w:rsidRPr="00867483" w:rsidRDefault="00E96A04" w:rsidP="008E0B68">
            <w:pPr>
              <w:spacing w:after="0" w:line="240" w:lineRule="auto"/>
              <w:jc w:val="center"/>
              <w:rPr>
                <w:rFonts w:ascii="Times New Roman" w:hAnsi="Times New Roman"/>
                <w:sz w:val="24"/>
                <w:szCs w:val="24"/>
              </w:rPr>
            </w:pPr>
            <w:r>
              <w:rPr>
                <w:rFonts w:ascii="Times New Roman" w:hAnsi="Times New Roman"/>
                <w:sz w:val="24"/>
                <w:szCs w:val="24"/>
              </w:rPr>
              <w:t>Moyenne</w:t>
            </w:r>
          </w:p>
        </w:tc>
        <w:tc>
          <w:tcPr>
            <w:tcW w:w="456" w:type="dxa"/>
            <w:tcBorders>
              <w:left w:val="single" w:sz="4" w:space="0" w:color="auto"/>
              <w:bottom w:val="single" w:sz="4" w:space="0" w:color="auto"/>
            </w:tcBorders>
          </w:tcPr>
          <w:p w:rsidR="008E0B68" w:rsidRPr="00867483" w:rsidRDefault="00E96A04" w:rsidP="008E0B68">
            <w:pPr>
              <w:spacing w:after="0" w:line="240" w:lineRule="auto"/>
              <w:jc w:val="center"/>
              <w:rPr>
                <w:rFonts w:ascii="Times New Roman" w:hAnsi="Times New Roman"/>
                <w:sz w:val="24"/>
                <w:szCs w:val="24"/>
              </w:rPr>
            </w:pPr>
            <w:r>
              <w:rPr>
                <w:rFonts w:ascii="Times New Roman" w:hAnsi="Times New Roman"/>
                <w:sz w:val="24"/>
                <w:szCs w:val="24"/>
              </w:rPr>
              <w:t>3</w:t>
            </w:r>
          </w:p>
        </w:tc>
      </w:tr>
      <w:tr w:rsidR="008E0B68" w:rsidRPr="00AA45E9" w:rsidTr="00FC410F">
        <w:tc>
          <w:tcPr>
            <w:tcW w:w="3153" w:type="dxa"/>
            <w:gridSpan w:val="3"/>
            <w:tcBorders>
              <w:bottom w:val="single" w:sz="4" w:space="0" w:color="auto"/>
            </w:tcBorders>
            <w:shd w:val="clear" w:color="auto" w:fill="FFFFFF" w:themeFill="background1"/>
          </w:tcPr>
          <w:p w:rsidR="008E0B68" w:rsidRPr="00867483" w:rsidRDefault="008E0B68" w:rsidP="008E0B68">
            <w:pPr>
              <w:spacing w:after="0" w:line="240" w:lineRule="auto"/>
              <w:jc w:val="center"/>
              <w:rPr>
                <w:rFonts w:ascii="Times New Roman" w:hAnsi="Times New Roman"/>
                <w:sz w:val="6"/>
                <w:szCs w:val="6"/>
              </w:rPr>
            </w:pPr>
          </w:p>
        </w:tc>
      </w:tr>
      <w:tr w:rsidR="008E0B68" w:rsidRPr="00AA45E9" w:rsidTr="00E96A04">
        <w:tc>
          <w:tcPr>
            <w:tcW w:w="1507" w:type="dxa"/>
            <w:tcBorders>
              <w:bottom w:val="dashDotStroked" w:sz="24" w:space="0" w:color="auto"/>
              <w:right w:val="single" w:sz="4" w:space="0" w:color="auto"/>
            </w:tcBorders>
            <w:shd w:val="clear" w:color="auto" w:fill="002060"/>
          </w:tcPr>
          <w:p w:rsidR="008E0B68" w:rsidRPr="00AA45E9" w:rsidRDefault="008E0B68" w:rsidP="008E0B68">
            <w:pPr>
              <w:spacing w:after="0" w:line="240" w:lineRule="auto"/>
              <w:jc w:val="center"/>
              <w:rPr>
                <w:rFonts w:ascii="Times New Roman" w:hAnsi="Times New Roman"/>
                <w:b/>
                <w:sz w:val="24"/>
                <w:szCs w:val="24"/>
              </w:rPr>
            </w:pPr>
            <w:r w:rsidRPr="00AA45E9">
              <w:rPr>
                <w:rFonts w:ascii="Times New Roman" w:hAnsi="Times New Roman"/>
                <w:b/>
                <w:sz w:val="24"/>
                <w:szCs w:val="24"/>
              </w:rPr>
              <w:t>Importance</w:t>
            </w:r>
          </w:p>
        </w:tc>
        <w:tc>
          <w:tcPr>
            <w:tcW w:w="1190" w:type="dxa"/>
            <w:tcBorders>
              <w:left w:val="single" w:sz="4" w:space="0" w:color="auto"/>
              <w:bottom w:val="dashDotStroked" w:sz="24" w:space="0" w:color="auto"/>
              <w:right w:val="single" w:sz="4" w:space="0" w:color="auto"/>
            </w:tcBorders>
            <w:shd w:val="clear" w:color="auto" w:fill="FFFF00"/>
          </w:tcPr>
          <w:p w:rsidR="008E0B68" w:rsidRPr="008E6D9C" w:rsidRDefault="00E96A04" w:rsidP="008E0B68">
            <w:pPr>
              <w:spacing w:after="0" w:line="240" w:lineRule="auto"/>
              <w:jc w:val="center"/>
              <w:rPr>
                <w:rFonts w:ascii="Times New Roman" w:hAnsi="Times New Roman"/>
                <w:b/>
                <w:sz w:val="24"/>
                <w:szCs w:val="24"/>
              </w:rPr>
            </w:pPr>
            <w:r>
              <w:rPr>
                <w:rFonts w:ascii="Times New Roman" w:hAnsi="Times New Roman"/>
                <w:b/>
                <w:sz w:val="24"/>
                <w:szCs w:val="24"/>
              </w:rPr>
              <w:t>Moyenne</w:t>
            </w:r>
          </w:p>
        </w:tc>
        <w:tc>
          <w:tcPr>
            <w:tcW w:w="456" w:type="dxa"/>
            <w:tcBorders>
              <w:left w:val="single" w:sz="4" w:space="0" w:color="auto"/>
              <w:bottom w:val="dashDotStroked" w:sz="24" w:space="0" w:color="auto"/>
            </w:tcBorders>
            <w:shd w:val="clear" w:color="auto" w:fill="FFFF00"/>
          </w:tcPr>
          <w:p w:rsidR="008E0B68" w:rsidRPr="008E6D9C" w:rsidRDefault="00E96A04" w:rsidP="008E0B68">
            <w:pPr>
              <w:spacing w:after="0" w:line="240" w:lineRule="auto"/>
              <w:jc w:val="center"/>
              <w:rPr>
                <w:rFonts w:ascii="Times New Roman" w:hAnsi="Times New Roman"/>
                <w:b/>
                <w:sz w:val="24"/>
                <w:szCs w:val="24"/>
              </w:rPr>
            </w:pPr>
            <w:r>
              <w:rPr>
                <w:rFonts w:ascii="Times New Roman" w:hAnsi="Times New Roman"/>
                <w:b/>
                <w:sz w:val="24"/>
                <w:szCs w:val="24"/>
              </w:rPr>
              <w:t>4</w:t>
            </w:r>
            <w:r w:rsidR="008E0B68" w:rsidRPr="008E6D9C">
              <w:rPr>
                <w:rFonts w:ascii="Times New Roman" w:hAnsi="Times New Roman"/>
                <w:b/>
                <w:sz w:val="24"/>
                <w:szCs w:val="24"/>
              </w:rPr>
              <w:t>5</w:t>
            </w:r>
          </w:p>
        </w:tc>
      </w:tr>
    </w:tbl>
    <w:p w:rsidR="00600849" w:rsidRPr="003D2CBA" w:rsidRDefault="00600849" w:rsidP="00FA3FAE">
      <w:pPr>
        <w:pStyle w:val="PargrafodaLista"/>
        <w:numPr>
          <w:ilvl w:val="0"/>
          <w:numId w:val="41"/>
        </w:numPr>
        <w:pBdr>
          <w:bottom w:val="dashDotStroked" w:sz="24" w:space="1" w:color="auto"/>
        </w:pBdr>
        <w:jc w:val="both"/>
        <w:rPr>
          <w:rFonts w:ascii="Times New Roman" w:hAnsi="Times New Roman"/>
          <w:b/>
          <w:sz w:val="24"/>
          <w:szCs w:val="24"/>
        </w:rPr>
      </w:pPr>
      <w:r w:rsidRPr="003D2CBA">
        <w:rPr>
          <w:rFonts w:ascii="Times New Roman" w:hAnsi="Times New Roman"/>
          <w:b/>
          <w:sz w:val="24"/>
          <w:szCs w:val="24"/>
        </w:rPr>
        <w:t xml:space="preserve">  Production de déchets</w:t>
      </w:r>
    </w:p>
    <w:p w:rsidR="002C7066" w:rsidRPr="00600849" w:rsidRDefault="00600849" w:rsidP="00600849">
      <w:pPr>
        <w:jc w:val="both"/>
        <w:rPr>
          <w:rFonts w:ascii="Times New Roman" w:hAnsi="Times New Roman" w:cs="Times New Roman"/>
          <w:color w:val="000000"/>
          <w:sz w:val="24"/>
          <w:szCs w:val="24"/>
        </w:rPr>
      </w:pPr>
      <w:r w:rsidRPr="00600849">
        <w:rPr>
          <w:rFonts w:ascii="Times New Roman" w:hAnsi="Times New Roman" w:cs="Times New Roman"/>
          <w:color w:val="000000"/>
          <w:sz w:val="24"/>
          <w:szCs w:val="24"/>
        </w:rPr>
        <w:t>Les travaux de débroussaillage, de désherbage, de libération et de préparation de</w:t>
      </w:r>
      <w:r>
        <w:rPr>
          <w:rFonts w:ascii="Times New Roman" w:hAnsi="Times New Roman" w:cs="Times New Roman"/>
          <w:color w:val="000000"/>
          <w:sz w:val="24"/>
          <w:szCs w:val="24"/>
        </w:rPr>
        <w:t xml:space="preserve"> la plateforme, les </w:t>
      </w:r>
      <w:r w:rsidRPr="00600849">
        <w:rPr>
          <w:rFonts w:ascii="Times New Roman" w:hAnsi="Times New Roman" w:cs="Times New Roman"/>
          <w:color w:val="000000"/>
          <w:sz w:val="24"/>
          <w:szCs w:val="24"/>
        </w:rPr>
        <w:t xml:space="preserve">travaux de fouille, de terrassement, de décapage, etc. produiront des quantités </w:t>
      </w:r>
      <w:r>
        <w:rPr>
          <w:rFonts w:ascii="Times New Roman" w:hAnsi="Times New Roman" w:cs="Times New Roman"/>
          <w:color w:val="000000"/>
          <w:sz w:val="24"/>
          <w:szCs w:val="24"/>
        </w:rPr>
        <w:t xml:space="preserve">de déchets significatives. Ces </w:t>
      </w:r>
      <w:r w:rsidRPr="00600849">
        <w:rPr>
          <w:rFonts w:ascii="Times New Roman" w:hAnsi="Times New Roman" w:cs="Times New Roman"/>
          <w:color w:val="000000"/>
          <w:sz w:val="24"/>
          <w:szCs w:val="24"/>
        </w:rPr>
        <w:t>déchets peuvent être de différentes natures : les déchets inertes de roches, la s</w:t>
      </w:r>
      <w:r>
        <w:rPr>
          <w:rFonts w:ascii="Times New Roman" w:hAnsi="Times New Roman" w:cs="Times New Roman"/>
          <w:color w:val="000000"/>
          <w:sz w:val="24"/>
          <w:szCs w:val="24"/>
        </w:rPr>
        <w:t xml:space="preserve">ous -couche arable, résidus de </w:t>
      </w:r>
      <w:r w:rsidRPr="00600849">
        <w:rPr>
          <w:rFonts w:ascii="Times New Roman" w:hAnsi="Times New Roman" w:cs="Times New Roman"/>
          <w:color w:val="000000"/>
          <w:sz w:val="24"/>
          <w:szCs w:val="24"/>
        </w:rPr>
        <w:t>conduites PVC, emballages souillés de peinture, solvants, cuve à hydrocarbure, etc.</w:t>
      </w:r>
    </w:p>
    <w:p w:rsidR="002C7066" w:rsidRDefault="00600849" w:rsidP="00D2682F">
      <w:pPr>
        <w:jc w:val="both"/>
        <w:rPr>
          <w:rFonts w:ascii="Times New Roman" w:hAnsi="Times New Roman" w:cs="Times New Roman"/>
          <w:color w:val="000000"/>
          <w:sz w:val="24"/>
          <w:szCs w:val="24"/>
        </w:rPr>
      </w:pPr>
      <w:r w:rsidRPr="00600849">
        <w:rPr>
          <w:rFonts w:ascii="Times New Roman" w:hAnsi="Times New Roman" w:cs="Times New Roman"/>
          <w:color w:val="000000"/>
          <w:sz w:val="24"/>
          <w:szCs w:val="24"/>
        </w:rPr>
        <w:t>Déchets susceptibles d’être produits dans le chantier</w:t>
      </w:r>
    </w:p>
    <w:p w:rsidR="002C7066" w:rsidRDefault="00600849" w:rsidP="001212DC">
      <w:pPr>
        <w:jc w:val="center"/>
        <w:rPr>
          <w:rFonts w:ascii="Times New Roman" w:hAnsi="Times New Roman" w:cs="Times New Roman"/>
          <w:color w:val="000000"/>
          <w:sz w:val="24"/>
          <w:szCs w:val="24"/>
        </w:rPr>
      </w:pPr>
      <w:r>
        <w:rPr>
          <w:noProof/>
          <w:lang w:val="pt-PT" w:eastAsia="pt-PT"/>
        </w:rPr>
        <w:lastRenderedPageBreak/>
        <w:drawing>
          <wp:inline distT="0" distB="0" distL="0" distR="0" wp14:anchorId="0FB13A5E" wp14:editId="1D18EF7C">
            <wp:extent cx="4324350" cy="1257300"/>
            <wp:effectExtent l="19050" t="19050" r="19050" b="19050"/>
            <wp:docPr id="467" name="Image 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1"/>
                    <a:stretch>
                      <a:fillRect/>
                    </a:stretch>
                  </pic:blipFill>
                  <pic:spPr>
                    <a:xfrm>
                      <a:off x="0" y="0"/>
                      <a:ext cx="4324350" cy="1257300"/>
                    </a:xfrm>
                    <a:prstGeom prst="rect">
                      <a:avLst/>
                    </a:prstGeom>
                    <a:ln>
                      <a:solidFill>
                        <a:schemeClr val="accent1"/>
                      </a:solidFill>
                    </a:ln>
                  </pic:spPr>
                </pic:pic>
              </a:graphicData>
            </a:graphic>
          </wp:inline>
        </w:drawing>
      </w:r>
    </w:p>
    <w:tbl>
      <w:tblPr>
        <w:tblpPr w:leftFromText="141" w:rightFromText="141" w:vertAnchor="text" w:horzAnchor="margin" w:tblpXSpec="right" w:tblpY="428"/>
        <w:tblW w:w="3153" w:type="dxa"/>
        <w:tblBorders>
          <w:top w:val="single" w:sz="4" w:space="0" w:color="auto"/>
          <w:left w:val="dashDotStroked" w:sz="24" w:space="0" w:color="auto"/>
          <w:bottom w:val="dashDotStroked" w:sz="24" w:space="0" w:color="auto"/>
          <w:right w:val="dashDotStroked" w:sz="24" w:space="0" w:color="auto"/>
          <w:insideH w:val="single" w:sz="4" w:space="0" w:color="auto"/>
          <w:insideV w:val="dashDotStroked" w:sz="24" w:space="0" w:color="auto"/>
        </w:tblBorders>
        <w:tblLook w:val="04A0" w:firstRow="1" w:lastRow="0" w:firstColumn="1" w:lastColumn="0" w:noHBand="0" w:noVBand="1"/>
      </w:tblPr>
      <w:tblGrid>
        <w:gridCol w:w="1507"/>
        <w:gridCol w:w="1190"/>
        <w:gridCol w:w="456"/>
      </w:tblGrid>
      <w:tr w:rsidR="008E0B68" w:rsidRPr="00AA45E9" w:rsidTr="008E0B68">
        <w:tc>
          <w:tcPr>
            <w:tcW w:w="3153" w:type="dxa"/>
            <w:gridSpan w:val="3"/>
            <w:tcBorders>
              <w:bottom w:val="single" w:sz="4" w:space="0" w:color="auto"/>
            </w:tcBorders>
            <w:shd w:val="clear" w:color="auto" w:fill="002060"/>
          </w:tcPr>
          <w:p w:rsidR="008E0B68" w:rsidRPr="00867483" w:rsidRDefault="008E0B68" w:rsidP="008E0B68">
            <w:pPr>
              <w:spacing w:after="0" w:line="240" w:lineRule="auto"/>
              <w:jc w:val="center"/>
              <w:rPr>
                <w:rFonts w:ascii="Times New Roman" w:hAnsi="Times New Roman"/>
                <w:b/>
                <w:sz w:val="24"/>
                <w:szCs w:val="24"/>
              </w:rPr>
            </w:pPr>
            <w:r w:rsidRPr="00867483">
              <w:rPr>
                <w:rFonts w:ascii="Times New Roman" w:hAnsi="Times New Roman"/>
                <w:b/>
                <w:sz w:val="24"/>
                <w:szCs w:val="24"/>
              </w:rPr>
              <w:t>Caractérisation de l’impact</w:t>
            </w:r>
          </w:p>
        </w:tc>
      </w:tr>
      <w:tr w:rsidR="00E96A04" w:rsidRPr="00AA45E9" w:rsidTr="00247507">
        <w:tc>
          <w:tcPr>
            <w:tcW w:w="1507" w:type="dxa"/>
            <w:tcBorders>
              <w:bottom w:val="single" w:sz="4" w:space="0" w:color="auto"/>
              <w:right w:val="single" w:sz="4" w:space="0" w:color="auto"/>
            </w:tcBorders>
            <w:shd w:val="clear" w:color="auto" w:fill="002060"/>
          </w:tcPr>
          <w:p w:rsidR="00E96A04" w:rsidRPr="00AA45E9" w:rsidRDefault="00E96A04" w:rsidP="008E0B68">
            <w:pPr>
              <w:spacing w:after="0" w:line="240" w:lineRule="auto"/>
              <w:jc w:val="center"/>
              <w:rPr>
                <w:rFonts w:ascii="Times New Roman" w:hAnsi="Times New Roman"/>
                <w:b/>
                <w:sz w:val="24"/>
                <w:szCs w:val="24"/>
              </w:rPr>
            </w:pPr>
            <w:r>
              <w:rPr>
                <w:rFonts w:ascii="Times New Roman" w:hAnsi="Times New Roman"/>
                <w:b/>
                <w:sz w:val="24"/>
                <w:szCs w:val="24"/>
              </w:rPr>
              <w:t xml:space="preserve">Nature </w:t>
            </w:r>
          </w:p>
        </w:tc>
        <w:tc>
          <w:tcPr>
            <w:tcW w:w="1646" w:type="dxa"/>
            <w:gridSpan w:val="2"/>
            <w:tcBorders>
              <w:left w:val="single" w:sz="4" w:space="0" w:color="auto"/>
              <w:bottom w:val="single" w:sz="4" w:space="0" w:color="auto"/>
            </w:tcBorders>
            <w:shd w:val="clear" w:color="auto" w:fill="auto"/>
          </w:tcPr>
          <w:p w:rsidR="00E96A04" w:rsidRPr="00E96A04" w:rsidRDefault="00E96A04" w:rsidP="008E0B68">
            <w:pPr>
              <w:spacing w:after="0" w:line="240" w:lineRule="auto"/>
              <w:jc w:val="center"/>
              <w:rPr>
                <w:rFonts w:ascii="Times New Roman" w:hAnsi="Times New Roman"/>
                <w:b/>
                <w:sz w:val="24"/>
                <w:szCs w:val="24"/>
              </w:rPr>
            </w:pPr>
            <w:r w:rsidRPr="00E96A04">
              <w:rPr>
                <w:rFonts w:ascii="Times New Roman" w:hAnsi="Times New Roman"/>
                <w:b/>
                <w:sz w:val="24"/>
                <w:szCs w:val="24"/>
              </w:rPr>
              <w:t>Négatif</w:t>
            </w:r>
          </w:p>
        </w:tc>
      </w:tr>
      <w:tr w:rsidR="008E0B68" w:rsidRPr="00AA45E9" w:rsidTr="008E0B68">
        <w:tc>
          <w:tcPr>
            <w:tcW w:w="1507" w:type="dxa"/>
            <w:tcBorders>
              <w:bottom w:val="single" w:sz="4" w:space="0" w:color="auto"/>
              <w:right w:val="single" w:sz="4" w:space="0" w:color="auto"/>
            </w:tcBorders>
            <w:shd w:val="clear" w:color="auto" w:fill="002060"/>
          </w:tcPr>
          <w:p w:rsidR="008E0B68" w:rsidRPr="00AA45E9" w:rsidRDefault="008E0B68" w:rsidP="008E0B68">
            <w:pPr>
              <w:spacing w:after="0" w:line="240" w:lineRule="auto"/>
              <w:jc w:val="center"/>
              <w:rPr>
                <w:rFonts w:ascii="Times New Roman" w:hAnsi="Times New Roman"/>
                <w:b/>
                <w:sz w:val="24"/>
                <w:szCs w:val="24"/>
              </w:rPr>
            </w:pPr>
            <w:r w:rsidRPr="00AA45E9">
              <w:rPr>
                <w:rFonts w:ascii="Times New Roman" w:hAnsi="Times New Roman"/>
                <w:b/>
                <w:sz w:val="24"/>
                <w:szCs w:val="24"/>
              </w:rPr>
              <w:t>Intensité</w:t>
            </w:r>
          </w:p>
        </w:tc>
        <w:tc>
          <w:tcPr>
            <w:tcW w:w="1190" w:type="dxa"/>
            <w:tcBorders>
              <w:left w:val="single" w:sz="4" w:space="0" w:color="auto"/>
              <w:bottom w:val="single" w:sz="4" w:space="0" w:color="auto"/>
              <w:right w:val="single" w:sz="4" w:space="0" w:color="auto"/>
            </w:tcBorders>
            <w:shd w:val="clear" w:color="auto" w:fill="auto"/>
          </w:tcPr>
          <w:p w:rsidR="008E0B68" w:rsidRPr="00867483" w:rsidRDefault="00E96A04" w:rsidP="008E0B68">
            <w:pPr>
              <w:spacing w:after="0" w:line="240" w:lineRule="auto"/>
              <w:jc w:val="center"/>
              <w:rPr>
                <w:rFonts w:ascii="Times New Roman" w:hAnsi="Times New Roman"/>
                <w:sz w:val="24"/>
                <w:szCs w:val="24"/>
              </w:rPr>
            </w:pPr>
            <w:r>
              <w:rPr>
                <w:rFonts w:ascii="Times New Roman" w:hAnsi="Times New Roman"/>
                <w:sz w:val="24"/>
                <w:szCs w:val="24"/>
              </w:rPr>
              <w:t>Moyenne</w:t>
            </w:r>
          </w:p>
        </w:tc>
        <w:tc>
          <w:tcPr>
            <w:tcW w:w="456" w:type="dxa"/>
            <w:tcBorders>
              <w:left w:val="single" w:sz="4" w:space="0" w:color="auto"/>
              <w:bottom w:val="single" w:sz="4" w:space="0" w:color="auto"/>
            </w:tcBorders>
            <w:shd w:val="clear" w:color="auto" w:fill="auto"/>
          </w:tcPr>
          <w:p w:rsidR="008E0B68" w:rsidRPr="00867483" w:rsidRDefault="00E96A04" w:rsidP="008E0B68">
            <w:pPr>
              <w:spacing w:after="0" w:line="240" w:lineRule="auto"/>
              <w:jc w:val="center"/>
              <w:rPr>
                <w:rFonts w:ascii="Times New Roman" w:hAnsi="Times New Roman"/>
                <w:sz w:val="24"/>
                <w:szCs w:val="24"/>
              </w:rPr>
            </w:pPr>
            <w:r>
              <w:rPr>
                <w:rFonts w:ascii="Times New Roman" w:hAnsi="Times New Roman"/>
                <w:sz w:val="24"/>
                <w:szCs w:val="24"/>
              </w:rPr>
              <w:t>3</w:t>
            </w:r>
          </w:p>
        </w:tc>
      </w:tr>
      <w:tr w:rsidR="008E0B68" w:rsidRPr="00AA45E9" w:rsidTr="008E0B68">
        <w:tc>
          <w:tcPr>
            <w:tcW w:w="1507" w:type="dxa"/>
            <w:tcBorders>
              <w:bottom w:val="single" w:sz="4" w:space="0" w:color="auto"/>
              <w:right w:val="single" w:sz="4" w:space="0" w:color="auto"/>
            </w:tcBorders>
            <w:shd w:val="clear" w:color="auto" w:fill="002060"/>
          </w:tcPr>
          <w:p w:rsidR="008E0B68" w:rsidRPr="00AA45E9" w:rsidRDefault="008E0B68" w:rsidP="008E0B68">
            <w:pPr>
              <w:spacing w:after="0" w:line="240" w:lineRule="auto"/>
              <w:jc w:val="center"/>
              <w:rPr>
                <w:rFonts w:ascii="Times New Roman" w:hAnsi="Times New Roman"/>
                <w:sz w:val="24"/>
                <w:szCs w:val="24"/>
              </w:rPr>
            </w:pPr>
            <w:r w:rsidRPr="00AA45E9">
              <w:rPr>
                <w:rFonts w:ascii="Times New Roman" w:hAnsi="Times New Roman"/>
                <w:b/>
                <w:sz w:val="24"/>
                <w:szCs w:val="24"/>
              </w:rPr>
              <w:t>Etendue</w:t>
            </w:r>
          </w:p>
        </w:tc>
        <w:tc>
          <w:tcPr>
            <w:tcW w:w="1190" w:type="dxa"/>
            <w:tcBorders>
              <w:left w:val="single" w:sz="4" w:space="0" w:color="auto"/>
              <w:bottom w:val="single" w:sz="4" w:space="0" w:color="auto"/>
              <w:right w:val="single" w:sz="4" w:space="0" w:color="auto"/>
            </w:tcBorders>
          </w:tcPr>
          <w:p w:rsidR="008E0B68" w:rsidRPr="00867483" w:rsidRDefault="00E96A04" w:rsidP="008E0B68">
            <w:pPr>
              <w:spacing w:after="0" w:line="240" w:lineRule="auto"/>
              <w:jc w:val="center"/>
              <w:rPr>
                <w:rFonts w:ascii="Times New Roman" w:hAnsi="Times New Roman"/>
                <w:sz w:val="24"/>
                <w:szCs w:val="24"/>
              </w:rPr>
            </w:pPr>
            <w:r>
              <w:rPr>
                <w:rFonts w:ascii="Times New Roman" w:hAnsi="Times New Roman"/>
                <w:sz w:val="24"/>
                <w:szCs w:val="24"/>
              </w:rPr>
              <w:t>Locale</w:t>
            </w:r>
          </w:p>
        </w:tc>
        <w:tc>
          <w:tcPr>
            <w:tcW w:w="456" w:type="dxa"/>
            <w:tcBorders>
              <w:left w:val="single" w:sz="4" w:space="0" w:color="auto"/>
              <w:bottom w:val="single" w:sz="4" w:space="0" w:color="auto"/>
            </w:tcBorders>
          </w:tcPr>
          <w:p w:rsidR="008E0B68" w:rsidRPr="00867483" w:rsidRDefault="00E96A04" w:rsidP="008E0B68">
            <w:pPr>
              <w:spacing w:after="0" w:line="240" w:lineRule="auto"/>
              <w:jc w:val="center"/>
              <w:rPr>
                <w:rFonts w:ascii="Times New Roman" w:hAnsi="Times New Roman"/>
                <w:sz w:val="24"/>
                <w:szCs w:val="24"/>
              </w:rPr>
            </w:pPr>
            <w:r>
              <w:rPr>
                <w:rFonts w:ascii="Times New Roman" w:hAnsi="Times New Roman"/>
                <w:sz w:val="24"/>
                <w:szCs w:val="24"/>
              </w:rPr>
              <w:t>3</w:t>
            </w:r>
          </w:p>
        </w:tc>
      </w:tr>
      <w:tr w:rsidR="008E0B68" w:rsidRPr="00AA45E9" w:rsidTr="008E0B68">
        <w:tc>
          <w:tcPr>
            <w:tcW w:w="1507" w:type="dxa"/>
            <w:tcBorders>
              <w:bottom w:val="single" w:sz="4" w:space="0" w:color="auto"/>
              <w:right w:val="single" w:sz="4" w:space="0" w:color="auto"/>
            </w:tcBorders>
            <w:shd w:val="clear" w:color="auto" w:fill="002060"/>
          </w:tcPr>
          <w:p w:rsidR="008E0B68" w:rsidRDefault="008E0B68" w:rsidP="008E0B68">
            <w:pPr>
              <w:spacing w:after="0" w:line="240" w:lineRule="auto"/>
              <w:jc w:val="center"/>
              <w:rPr>
                <w:rFonts w:ascii="Times New Roman" w:hAnsi="Times New Roman"/>
                <w:sz w:val="24"/>
                <w:szCs w:val="24"/>
              </w:rPr>
            </w:pPr>
            <w:r w:rsidRPr="00AA45E9">
              <w:rPr>
                <w:rFonts w:ascii="Times New Roman" w:hAnsi="Times New Roman"/>
                <w:b/>
                <w:sz w:val="24"/>
                <w:szCs w:val="24"/>
              </w:rPr>
              <w:t>Durée</w:t>
            </w:r>
          </w:p>
        </w:tc>
        <w:tc>
          <w:tcPr>
            <w:tcW w:w="1190" w:type="dxa"/>
            <w:tcBorders>
              <w:left w:val="single" w:sz="4" w:space="0" w:color="auto"/>
              <w:bottom w:val="single" w:sz="4" w:space="0" w:color="auto"/>
              <w:right w:val="single" w:sz="4" w:space="0" w:color="auto"/>
            </w:tcBorders>
          </w:tcPr>
          <w:p w:rsidR="008E0B68" w:rsidRPr="00867483" w:rsidRDefault="00E96A04" w:rsidP="008E0B68">
            <w:pPr>
              <w:spacing w:after="0" w:line="240" w:lineRule="auto"/>
              <w:jc w:val="center"/>
              <w:rPr>
                <w:rFonts w:ascii="Times New Roman" w:hAnsi="Times New Roman"/>
                <w:sz w:val="24"/>
                <w:szCs w:val="24"/>
              </w:rPr>
            </w:pPr>
            <w:r>
              <w:rPr>
                <w:rFonts w:ascii="Times New Roman" w:hAnsi="Times New Roman"/>
                <w:sz w:val="24"/>
                <w:szCs w:val="24"/>
              </w:rPr>
              <w:t>Courte</w:t>
            </w:r>
          </w:p>
        </w:tc>
        <w:tc>
          <w:tcPr>
            <w:tcW w:w="456" w:type="dxa"/>
            <w:tcBorders>
              <w:left w:val="single" w:sz="4" w:space="0" w:color="auto"/>
              <w:bottom w:val="single" w:sz="4" w:space="0" w:color="auto"/>
            </w:tcBorders>
          </w:tcPr>
          <w:p w:rsidR="008E0B68" w:rsidRPr="00867483" w:rsidRDefault="008E0B68" w:rsidP="008E0B68">
            <w:pPr>
              <w:spacing w:after="0" w:line="240" w:lineRule="auto"/>
              <w:jc w:val="center"/>
              <w:rPr>
                <w:rFonts w:ascii="Times New Roman" w:hAnsi="Times New Roman"/>
                <w:sz w:val="24"/>
                <w:szCs w:val="24"/>
              </w:rPr>
            </w:pPr>
            <w:r w:rsidRPr="00867483">
              <w:rPr>
                <w:rFonts w:ascii="Times New Roman" w:hAnsi="Times New Roman"/>
                <w:sz w:val="24"/>
                <w:szCs w:val="24"/>
              </w:rPr>
              <w:t>1</w:t>
            </w:r>
          </w:p>
        </w:tc>
      </w:tr>
      <w:tr w:rsidR="008E0B68" w:rsidRPr="00AA45E9" w:rsidTr="00FC410F">
        <w:tc>
          <w:tcPr>
            <w:tcW w:w="3153" w:type="dxa"/>
            <w:gridSpan w:val="3"/>
            <w:tcBorders>
              <w:bottom w:val="single" w:sz="4" w:space="0" w:color="auto"/>
            </w:tcBorders>
            <w:shd w:val="clear" w:color="auto" w:fill="FFFFFF" w:themeFill="background1"/>
          </w:tcPr>
          <w:p w:rsidR="008E0B68" w:rsidRPr="00867483" w:rsidRDefault="008E0B68" w:rsidP="008E0B68">
            <w:pPr>
              <w:spacing w:after="0" w:line="240" w:lineRule="auto"/>
              <w:jc w:val="center"/>
              <w:rPr>
                <w:rFonts w:ascii="Times New Roman" w:hAnsi="Times New Roman"/>
                <w:sz w:val="6"/>
                <w:szCs w:val="6"/>
              </w:rPr>
            </w:pPr>
          </w:p>
        </w:tc>
      </w:tr>
      <w:tr w:rsidR="008E0B68" w:rsidRPr="00AA45E9" w:rsidTr="00E96A04">
        <w:tc>
          <w:tcPr>
            <w:tcW w:w="1507" w:type="dxa"/>
            <w:tcBorders>
              <w:bottom w:val="dashDotStroked" w:sz="24" w:space="0" w:color="auto"/>
              <w:right w:val="single" w:sz="4" w:space="0" w:color="auto"/>
            </w:tcBorders>
            <w:shd w:val="clear" w:color="auto" w:fill="002060"/>
          </w:tcPr>
          <w:p w:rsidR="008E0B68" w:rsidRPr="00AA45E9" w:rsidRDefault="008E0B68" w:rsidP="008E0B68">
            <w:pPr>
              <w:spacing w:after="0" w:line="240" w:lineRule="auto"/>
              <w:jc w:val="center"/>
              <w:rPr>
                <w:rFonts w:ascii="Times New Roman" w:hAnsi="Times New Roman"/>
                <w:b/>
                <w:sz w:val="24"/>
                <w:szCs w:val="24"/>
              </w:rPr>
            </w:pPr>
            <w:r w:rsidRPr="00AA45E9">
              <w:rPr>
                <w:rFonts w:ascii="Times New Roman" w:hAnsi="Times New Roman"/>
                <w:b/>
                <w:sz w:val="24"/>
                <w:szCs w:val="24"/>
              </w:rPr>
              <w:t>Importance</w:t>
            </w:r>
          </w:p>
        </w:tc>
        <w:tc>
          <w:tcPr>
            <w:tcW w:w="1190" w:type="dxa"/>
            <w:tcBorders>
              <w:left w:val="single" w:sz="4" w:space="0" w:color="auto"/>
              <w:bottom w:val="dashDotStroked" w:sz="24" w:space="0" w:color="auto"/>
              <w:right w:val="single" w:sz="4" w:space="0" w:color="auto"/>
            </w:tcBorders>
            <w:shd w:val="clear" w:color="auto" w:fill="92D050"/>
          </w:tcPr>
          <w:p w:rsidR="008E0B68" w:rsidRPr="008E6D9C" w:rsidRDefault="00E96A04" w:rsidP="008E0B68">
            <w:pPr>
              <w:spacing w:after="0" w:line="240" w:lineRule="auto"/>
              <w:jc w:val="center"/>
              <w:rPr>
                <w:rFonts w:ascii="Times New Roman" w:hAnsi="Times New Roman"/>
                <w:b/>
                <w:sz w:val="24"/>
                <w:szCs w:val="24"/>
              </w:rPr>
            </w:pPr>
            <w:r>
              <w:rPr>
                <w:rFonts w:ascii="Times New Roman" w:hAnsi="Times New Roman"/>
                <w:b/>
                <w:sz w:val="24"/>
                <w:szCs w:val="24"/>
              </w:rPr>
              <w:t>Mineure</w:t>
            </w:r>
          </w:p>
        </w:tc>
        <w:tc>
          <w:tcPr>
            <w:tcW w:w="456" w:type="dxa"/>
            <w:tcBorders>
              <w:left w:val="single" w:sz="4" w:space="0" w:color="auto"/>
              <w:bottom w:val="dashDotStroked" w:sz="24" w:space="0" w:color="auto"/>
            </w:tcBorders>
            <w:shd w:val="clear" w:color="auto" w:fill="92D050"/>
          </w:tcPr>
          <w:p w:rsidR="008E0B68" w:rsidRPr="008E6D9C" w:rsidRDefault="00E96A04" w:rsidP="008E0B68">
            <w:pPr>
              <w:spacing w:after="0" w:line="240" w:lineRule="auto"/>
              <w:jc w:val="center"/>
              <w:rPr>
                <w:rFonts w:ascii="Times New Roman" w:hAnsi="Times New Roman"/>
                <w:b/>
                <w:sz w:val="24"/>
                <w:szCs w:val="24"/>
              </w:rPr>
            </w:pPr>
            <w:r>
              <w:rPr>
                <w:rFonts w:ascii="Times New Roman" w:hAnsi="Times New Roman"/>
                <w:b/>
                <w:sz w:val="24"/>
                <w:szCs w:val="24"/>
              </w:rPr>
              <w:t>9</w:t>
            </w:r>
          </w:p>
        </w:tc>
      </w:tr>
    </w:tbl>
    <w:p w:rsidR="00C40DD3" w:rsidRPr="003D2CBA" w:rsidRDefault="00C40DD3" w:rsidP="00FA3FAE">
      <w:pPr>
        <w:pStyle w:val="PargrafodaLista"/>
        <w:numPr>
          <w:ilvl w:val="0"/>
          <w:numId w:val="41"/>
        </w:numPr>
        <w:pBdr>
          <w:bottom w:val="dashDotStroked" w:sz="24" w:space="1" w:color="auto"/>
        </w:pBdr>
        <w:jc w:val="both"/>
        <w:rPr>
          <w:rFonts w:ascii="Times New Roman" w:hAnsi="Times New Roman"/>
          <w:b/>
          <w:sz w:val="24"/>
          <w:szCs w:val="24"/>
        </w:rPr>
      </w:pPr>
      <w:r w:rsidRPr="003D2CBA">
        <w:rPr>
          <w:rFonts w:ascii="Times New Roman" w:hAnsi="Times New Roman"/>
          <w:b/>
          <w:sz w:val="24"/>
          <w:szCs w:val="24"/>
        </w:rPr>
        <w:t>Impacts négatifs attendus sur les activités de commerce</w:t>
      </w:r>
    </w:p>
    <w:p w:rsidR="00C40DD3" w:rsidRPr="00C40DD3" w:rsidRDefault="00C40DD3" w:rsidP="00C40DD3">
      <w:pPr>
        <w:jc w:val="both"/>
        <w:rPr>
          <w:rFonts w:ascii="Times New Roman" w:hAnsi="Times New Roman" w:cs="Times New Roman"/>
          <w:color w:val="000000"/>
          <w:sz w:val="24"/>
          <w:szCs w:val="24"/>
        </w:rPr>
      </w:pPr>
      <w:r w:rsidRPr="00C40DD3">
        <w:rPr>
          <w:rFonts w:ascii="Times New Roman" w:hAnsi="Times New Roman" w:cs="Times New Roman"/>
          <w:color w:val="000000"/>
          <w:sz w:val="24"/>
          <w:szCs w:val="24"/>
        </w:rPr>
        <w:t>Lors des travaux de</w:t>
      </w:r>
      <w:r w:rsidR="00145E27">
        <w:rPr>
          <w:rFonts w:ascii="Times New Roman" w:hAnsi="Times New Roman" w:cs="Times New Roman"/>
          <w:color w:val="000000"/>
          <w:sz w:val="24"/>
          <w:szCs w:val="24"/>
        </w:rPr>
        <w:t xml:space="preserve"> réhabilitation et de construction</w:t>
      </w:r>
      <w:r w:rsidR="00F63801">
        <w:rPr>
          <w:rFonts w:ascii="Times New Roman" w:hAnsi="Times New Roman" w:cs="Times New Roman"/>
          <w:color w:val="000000"/>
          <w:sz w:val="24"/>
          <w:szCs w:val="24"/>
        </w:rPr>
        <w:t xml:space="preserve"> des </w:t>
      </w:r>
      <w:r w:rsidR="00A63FEF">
        <w:rPr>
          <w:rFonts w:ascii="Times New Roman" w:hAnsi="Times New Roman" w:cs="Times New Roman"/>
          <w:color w:val="000000"/>
          <w:sz w:val="24"/>
          <w:szCs w:val="24"/>
        </w:rPr>
        <w:t>réservoirs</w:t>
      </w:r>
      <w:r w:rsidRPr="00C40DD3">
        <w:rPr>
          <w:rFonts w:ascii="Times New Roman" w:hAnsi="Times New Roman" w:cs="Times New Roman"/>
          <w:color w:val="000000"/>
          <w:sz w:val="24"/>
          <w:szCs w:val="24"/>
        </w:rPr>
        <w:t>, il n’est pas prévu de déplacement des populations</w:t>
      </w:r>
      <w:r w:rsidR="00145E27">
        <w:rPr>
          <w:rFonts w:ascii="Times New Roman" w:hAnsi="Times New Roman" w:cs="Times New Roman"/>
          <w:color w:val="000000"/>
          <w:sz w:val="24"/>
          <w:szCs w:val="24"/>
        </w:rPr>
        <w:t xml:space="preserve"> dans </w:t>
      </w:r>
      <w:r w:rsidR="00F63801">
        <w:rPr>
          <w:rFonts w:ascii="Times New Roman" w:hAnsi="Times New Roman" w:cs="Times New Roman"/>
          <w:color w:val="000000"/>
          <w:sz w:val="24"/>
          <w:szCs w:val="24"/>
        </w:rPr>
        <w:t>la plupart des sites (Aéroport, Bor, Antula) sauf à Safim ou des déplacements de personnes seront enregistré car il existe un restaurant au niveau de l’enceinte du site.</w:t>
      </w:r>
      <w:r w:rsidRPr="00C40DD3">
        <w:rPr>
          <w:rFonts w:ascii="Times New Roman" w:hAnsi="Times New Roman" w:cs="Times New Roman"/>
          <w:color w:val="000000"/>
          <w:sz w:val="24"/>
          <w:szCs w:val="24"/>
        </w:rPr>
        <w:t xml:space="preserve"> Cependant, il faudra s’attendre à des perturbations des activités commerciale</w:t>
      </w:r>
      <w:r>
        <w:rPr>
          <w:rFonts w:ascii="Times New Roman" w:hAnsi="Times New Roman" w:cs="Times New Roman"/>
          <w:color w:val="000000"/>
          <w:sz w:val="24"/>
          <w:szCs w:val="24"/>
        </w:rPr>
        <w:t xml:space="preserve">s sur les commerces (boutiques, </w:t>
      </w:r>
      <w:r w:rsidRPr="00C40DD3">
        <w:rPr>
          <w:rFonts w:ascii="Times New Roman" w:hAnsi="Times New Roman" w:cs="Times New Roman"/>
          <w:color w:val="000000"/>
          <w:sz w:val="24"/>
          <w:szCs w:val="24"/>
        </w:rPr>
        <w:t>magasins</w:t>
      </w:r>
      <w:r>
        <w:rPr>
          <w:rFonts w:ascii="Times New Roman" w:hAnsi="Times New Roman" w:cs="Times New Roman"/>
          <w:color w:val="000000"/>
          <w:sz w:val="24"/>
          <w:szCs w:val="24"/>
        </w:rPr>
        <w:t>,</w:t>
      </w:r>
      <w:r w:rsidR="00F63801">
        <w:rPr>
          <w:rFonts w:ascii="Times New Roman" w:hAnsi="Times New Roman" w:cs="Times New Roman"/>
          <w:color w:val="000000"/>
          <w:sz w:val="24"/>
          <w:szCs w:val="24"/>
        </w:rPr>
        <w:t xml:space="preserve"> restaurant,</w:t>
      </w:r>
      <w:r>
        <w:rPr>
          <w:rFonts w:ascii="Times New Roman" w:hAnsi="Times New Roman" w:cs="Times New Roman"/>
          <w:color w:val="000000"/>
          <w:sz w:val="24"/>
          <w:szCs w:val="24"/>
        </w:rPr>
        <w:t xml:space="preserve"> etc…</w:t>
      </w:r>
      <w:r w:rsidRPr="00C40DD3">
        <w:rPr>
          <w:rFonts w:ascii="Times New Roman" w:hAnsi="Times New Roman" w:cs="Times New Roman"/>
          <w:color w:val="000000"/>
          <w:sz w:val="24"/>
          <w:szCs w:val="24"/>
        </w:rPr>
        <w:t>) trop proches de la route</w:t>
      </w:r>
      <w:r>
        <w:rPr>
          <w:rFonts w:ascii="Times New Roman" w:hAnsi="Times New Roman" w:cs="Times New Roman"/>
          <w:color w:val="000000"/>
          <w:sz w:val="24"/>
          <w:szCs w:val="24"/>
        </w:rPr>
        <w:t xml:space="preserve"> et des sites de construction des </w:t>
      </w:r>
      <w:r w:rsidR="00145E27">
        <w:rPr>
          <w:rFonts w:ascii="Times New Roman" w:hAnsi="Times New Roman" w:cs="Times New Roman"/>
          <w:color w:val="000000"/>
          <w:sz w:val="24"/>
          <w:szCs w:val="24"/>
        </w:rPr>
        <w:t>réservoirs</w:t>
      </w:r>
      <w:r w:rsidRPr="00C40DD3">
        <w:rPr>
          <w:rFonts w:ascii="Times New Roman" w:hAnsi="Times New Roman" w:cs="Times New Roman"/>
          <w:color w:val="000000"/>
          <w:sz w:val="24"/>
          <w:szCs w:val="24"/>
        </w:rPr>
        <w:t xml:space="preserve">. </w:t>
      </w:r>
    </w:p>
    <w:p w:rsidR="00C40DD3" w:rsidRPr="00C40DD3" w:rsidRDefault="00C40DD3" w:rsidP="00C40DD3">
      <w:pPr>
        <w:jc w:val="both"/>
        <w:rPr>
          <w:rFonts w:ascii="Times New Roman" w:hAnsi="Times New Roman" w:cs="Times New Roman"/>
          <w:color w:val="000000"/>
          <w:sz w:val="24"/>
          <w:szCs w:val="24"/>
        </w:rPr>
      </w:pPr>
      <w:r w:rsidRPr="00C40DD3">
        <w:rPr>
          <w:rFonts w:ascii="Times New Roman" w:hAnsi="Times New Roman" w:cs="Times New Roman"/>
          <w:color w:val="000000"/>
          <w:sz w:val="24"/>
          <w:szCs w:val="24"/>
        </w:rPr>
        <w:t xml:space="preserve">Pour réduire ces risques, il serait nécessaire de mettre en place une organisation de l’avancement du chantier avec un programme de travail connu à l’avance et respecté et une sensibilisation des riverains et des commerces impactés. Des dispositions devront être prises pour éviter d’empêcher l’accès aux commerces ou une simple entrave à la circulation des biens et des personnes. </w:t>
      </w:r>
    </w:p>
    <w:tbl>
      <w:tblPr>
        <w:tblpPr w:leftFromText="141" w:rightFromText="141" w:vertAnchor="text" w:horzAnchor="margin" w:tblpXSpec="right" w:tblpY="724"/>
        <w:tblW w:w="3153" w:type="dxa"/>
        <w:tblBorders>
          <w:top w:val="single" w:sz="4" w:space="0" w:color="auto"/>
          <w:left w:val="dashDotStroked" w:sz="24" w:space="0" w:color="auto"/>
          <w:bottom w:val="dashDotStroked" w:sz="24" w:space="0" w:color="auto"/>
          <w:right w:val="dashDotStroked" w:sz="24" w:space="0" w:color="auto"/>
          <w:insideH w:val="single" w:sz="4" w:space="0" w:color="auto"/>
          <w:insideV w:val="dashDotStroked" w:sz="24" w:space="0" w:color="auto"/>
        </w:tblBorders>
        <w:tblLook w:val="04A0" w:firstRow="1" w:lastRow="0" w:firstColumn="1" w:lastColumn="0" w:noHBand="0" w:noVBand="1"/>
      </w:tblPr>
      <w:tblGrid>
        <w:gridCol w:w="1490"/>
        <w:gridCol w:w="1230"/>
        <w:gridCol w:w="433"/>
      </w:tblGrid>
      <w:tr w:rsidR="00A63FEF" w:rsidRPr="00AA45E9" w:rsidTr="00A63FEF">
        <w:tc>
          <w:tcPr>
            <w:tcW w:w="3153" w:type="dxa"/>
            <w:gridSpan w:val="3"/>
            <w:tcBorders>
              <w:bottom w:val="single" w:sz="4" w:space="0" w:color="auto"/>
            </w:tcBorders>
            <w:shd w:val="clear" w:color="auto" w:fill="002060"/>
          </w:tcPr>
          <w:p w:rsidR="00A63FEF" w:rsidRPr="00867483" w:rsidRDefault="00A63FEF" w:rsidP="00A63FEF">
            <w:pPr>
              <w:spacing w:after="0" w:line="240" w:lineRule="auto"/>
              <w:jc w:val="center"/>
              <w:rPr>
                <w:rFonts w:ascii="Times New Roman" w:hAnsi="Times New Roman"/>
                <w:b/>
                <w:sz w:val="24"/>
                <w:szCs w:val="24"/>
              </w:rPr>
            </w:pPr>
            <w:r w:rsidRPr="00867483">
              <w:rPr>
                <w:rFonts w:ascii="Times New Roman" w:hAnsi="Times New Roman"/>
                <w:b/>
                <w:sz w:val="24"/>
                <w:szCs w:val="24"/>
              </w:rPr>
              <w:t>Caractérisation de l’impact</w:t>
            </w:r>
          </w:p>
        </w:tc>
      </w:tr>
      <w:tr w:rsidR="0025590D" w:rsidRPr="00AA45E9" w:rsidTr="0025590D">
        <w:tc>
          <w:tcPr>
            <w:tcW w:w="1490" w:type="dxa"/>
            <w:tcBorders>
              <w:bottom w:val="single" w:sz="4" w:space="0" w:color="auto"/>
              <w:right w:val="single" w:sz="4" w:space="0" w:color="auto"/>
            </w:tcBorders>
            <w:shd w:val="clear" w:color="auto" w:fill="002060"/>
          </w:tcPr>
          <w:p w:rsidR="0025590D" w:rsidRPr="00AA45E9" w:rsidRDefault="0025590D" w:rsidP="00A63FEF">
            <w:pPr>
              <w:spacing w:after="0" w:line="240" w:lineRule="auto"/>
              <w:jc w:val="center"/>
              <w:rPr>
                <w:rFonts w:ascii="Times New Roman" w:hAnsi="Times New Roman"/>
                <w:b/>
                <w:sz w:val="24"/>
                <w:szCs w:val="24"/>
              </w:rPr>
            </w:pPr>
            <w:r>
              <w:rPr>
                <w:rFonts w:ascii="Times New Roman" w:hAnsi="Times New Roman"/>
                <w:b/>
                <w:sz w:val="24"/>
                <w:szCs w:val="24"/>
              </w:rPr>
              <w:t xml:space="preserve">Nature </w:t>
            </w:r>
          </w:p>
        </w:tc>
        <w:tc>
          <w:tcPr>
            <w:tcW w:w="1663" w:type="dxa"/>
            <w:gridSpan w:val="2"/>
            <w:tcBorders>
              <w:left w:val="single" w:sz="4" w:space="0" w:color="auto"/>
              <w:bottom w:val="single" w:sz="4" w:space="0" w:color="auto"/>
            </w:tcBorders>
            <w:shd w:val="clear" w:color="auto" w:fill="auto"/>
          </w:tcPr>
          <w:p w:rsidR="0025590D" w:rsidRPr="00867483" w:rsidRDefault="0025590D" w:rsidP="00A63FEF">
            <w:pPr>
              <w:spacing w:after="0" w:line="240" w:lineRule="auto"/>
              <w:jc w:val="center"/>
              <w:rPr>
                <w:rFonts w:ascii="Times New Roman" w:hAnsi="Times New Roman"/>
                <w:sz w:val="24"/>
                <w:szCs w:val="24"/>
              </w:rPr>
            </w:pPr>
            <w:r w:rsidRPr="00E96A04">
              <w:rPr>
                <w:rFonts w:ascii="Times New Roman" w:hAnsi="Times New Roman"/>
                <w:b/>
                <w:sz w:val="24"/>
                <w:szCs w:val="24"/>
              </w:rPr>
              <w:t>Négatif</w:t>
            </w:r>
          </w:p>
        </w:tc>
      </w:tr>
      <w:tr w:rsidR="00A63FEF" w:rsidRPr="00AA45E9" w:rsidTr="0025590D">
        <w:tc>
          <w:tcPr>
            <w:tcW w:w="1490" w:type="dxa"/>
            <w:tcBorders>
              <w:bottom w:val="single" w:sz="4" w:space="0" w:color="auto"/>
              <w:right w:val="single" w:sz="4" w:space="0" w:color="auto"/>
            </w:tcBorders>
            <w:shd w:val="clear" w:color="auto" w:fill="002060"/>
          </w:tcPr>
          <w:p w:rsidR="00A63FEF" w:rsidRPr="00AA45E9" w:rsidRDefault="00A63FEF" w:rsidP="00A63FEF">
            <w:pPr>
              <w:spacing w:after="0" w:line="240" w:lineRule="auto"/>
              <w:jc w:val="center"/>
              <w:rPr>
                <w:rFonts w:ascii="Times New Roman" w:hAnsi="Times New Roman"/>
                <w:b/>
                <w:sz w:val="24"/>
                <w:szCs w:val="24"/>
              </w:rPr>
            </w:pPr>
            <w:r w:rsidRPr="00AA45E9">
              <w:rPr>
                <w:rFonts w:ascii="Times New Roman" w:hAnsi="Times New Roman"/>
                <w:b/>
                <w:sz w:val="24"/>
                <w:szCs w:val="24"/>
              </w:rPr>
              <w:t>Intensité</w:t>
            </w:r>
          </w:p>
        </w:tc>
        <w:tc>
          <w:tcPr>
            <w:tcW w:w="1230" w:type="dxa"/>
            <w:tcBorders>
              <w:left w:val="single" w:sz="4" w:space="0" w:color="auto"/>
              <w:bottom w:val="single" w:sz="4" w:space="0" w:color="auto"/>
              <w:right w:val="single" w:sz="4" w:space="0" w:color="auto"/>
            </w:tcBorders>
            <w:shd w:val="clear" w:color="auto" w:fill="auto"/>
          </w:tcPr>
          <w:p w:rsidR="00A63FEF" w:rsidRPr="00867483" w:rsidRDefault="00E96A04" w:rsidP="00A63FEF">
            <w:pPr>
              <w:spacing w:after="0" w:line="240" w:lineRule="auto"/>
              <w:jc w:val="center"/>
              <w:rPr>
                <w:rFonts w:ascii="Times New Roman" w:hAnsi="Times New Roman"/>
                <w:sz w:val="24"/>
                <w:szCs w:val="24"/>
              </w:rPr>
            </w:pPr>
            <w:r>
              <w:rPr>
                <w:rFonts w:ascii="Times New Roman" w:hAnsi="Times New Roman"/>
                <w:sz w:val="24"/>
                <w:szCs w:val="24"/>
              </w:rPr>
              <w:t>Moyenne</w:t>
            </w:r>
          </w:p>
        </w:tc>
        <w:tc>
          <w:tcPr>
            <w:tcW w:w="433" w:type="dxa"/>
            <w:tcBorders>
              <w:left w:val="single" w:sz="4" w:space="0" w:color="auto"/>
              <w:bottom w:val="single" w:sz="4" w:space="0" w:color="auto"/>
            </w:tcBorders>
            <w:shd w:val="clear" w:color="auto" w:fill="auto"/>
          </w:tcPr>
          <w:p w:rsidR="00A63FEF" w:rsidRPr="00867483" w:rsidRDefault="00E96A04" w:rsidP="00A63FEF">
            <w:pPr>
              <w:spacing w:after="0" w:line="240" w:lineRule="auto"/>
              <w:jc w:val="center"/>
              <w:rPr>
                <w:rFonts w:ascii="Times New Roman" w:hAnsi="Times New Roman"/>
                <w:sz w:val="24"/>
                <w:szCs w:val="24"/>
              </w:rPr>
            </w:pPr>
            <w:r>
              <w:rPr>
                <w:rFonts w:ascii="Times New Roman" w:hAnsi="Times New Roman"/>
                <w:sz w:val="24"/>
                <w:szCs w:val="24"/>
              </w:rPr>
              <w:t>3</w:t>
            </w:r>
          </w:p>
        </w:tc>
      </w:tr>
      <w:tr w:rsidR="00A63FEF" w:rsidRPr="00AA45E9" w:rsidTr="0025590D">
        <w:tc>
          <w:tcPr>
            <w:tcW w:w="1490" w:type="dxa"/>
            <w:tcBorders>
              <w:bottom w:val="single" w:sz="4" w:space="0" w:color="auto"/>
              <w:right w:val="single" w:sz="4" w:space="0" w:color="auto"/>
            </w:tcBorders>
            <w:shd w:val="clear" w:color="auto" w:fill="002060"/>
          </w:tcPr>
          <w:p w:rsidR="00A63FEF" w:rsidRPr="00AA45E9" w:rsidRDefault="00A63FEF" w:rsidP="00A63FEF">
            <w:pPr>
              <w:spacing w:after="0" w:line="240" w:lineRule="auto"/>
              <w:jc w:val="center"/>
              <w:rPr>
                <w:rFonts w:ascii="Times New Roman" w:hAnsi="Times New Roman"/>
                <w:sz w:val="24"/>
                <w:szCs w:val="24"/>
              </w:rPr>
            </w:pPr>
            <w:r w:rsidRPr="00AA45E9">
              <w:rPr>
                <w:rFonts w:ascii="Times New Roman" w:hAnsi="Times New Roman"/>
                <w:b/>
                <w:sz w:val="24"/>
                <w:szCs w:val="24"/>
              </w:rPr>
              <w:t>Etendue</w:t>
            </w:r>
          </w:p>
        </w:tc>
        <w:tc>
          <w:tcPr>
            <w:tcW w:w="1230" w:type="dxa"/>
            <w:tcBorders>
              <w:left w:val="single" w:sz="4" w:space="0" w:color="auto"/>
              <w:bottom w:val="single" w:sz="4" w:space="0" w:color="auto"/>
              <w:right w:val="single" w:sz="4" w:space="0" w:color="auto"/>
            </w:tcBorders>
          </w:tcPr>
          <w:p w:rsidR="00A63FEF" w:rsidRPr="00867483" w:rsidRDefault="00E96A04" w:rsidP="00A63FEF">
            <w:pPr>
              <w:spacing w:after="0" w:line="240" w:lineRule="auto"/>
              <w:jc w:val="center"/>
              <w:rPr>
                <w:rFonts w:ascii="Times New Roman" w:hAnsi="Times New Roman"/>
                <w:sz w:val="24"/>
                <w:szCs w:val="24"/>
              </w:rPr>
            </w:pPr>
            <w:r>
              <w:rPr>
                <w:rFonts w:ascii="Times New Roman" w:hAnsi="Times New Roman"/>
                <w:sz w:val="24"/>
                <w:szCs w:val="24"/>
              </w:rPr>
              <w:t>Ponctuelle</w:t>
            </w:r>
          </w:p>
        </w:tc>
        <w:tc>
          <w:tcPr>
            <w:tcW w:w="433" w:type="dxa"/>
            <w:tcBorders>
              <w:left w:val="single" w:sz="4" w:space="0" w:color="auto"/>
              <w:bottom w:val="single" w:sz="4" w:space="0" w:color="auto"/>
            </w:tcBorders>
          </w:tcPr>
          <w:p w:rsidR="00A63FEF" w:rsidRPr="00867483" w:rsidRDefault="00E96A04" w:rsidP="00A63FEF">
            <w:pPr>
              <w:spacing w:after="0" w:line="240" w:lineRule="auto"/>
              <w:jc w:val="center"/>
              <w:rPr>
                <w:rFonts w:ascii="Times New Roman" w:hAnsi="Times New Roman"/>
                <w:sz w:val="24"/>
                <w:szCs w:val="24"/>
              </w:rPr>
            </w:pPr>
            <w:r>
              <w:rPr>
                <w:rFonts w:ascii="Times New Roman" w:hAnsi="Times New Roman"/>
                <w:sz w:val="24"/>
                <w:szCs w:val="24"/>
              </w:rPr>
              <w:t>1</w:t>
            </w:r>
          </w:p>
        </w:tc>
      </w:tr>
      <w:tr w:rsidR="00A63FEF" w:rsidRPr="00AA45E9" w:rsidTr="0025590D">
        <w:tc>
          <w:tcPr>
            <w:tcW w:w="1490" w:type="dxa"/>
            <w:tcBorders>
              <w:bottom w:val="single" w:sz="4" w:space="0" w:color="auto"/>
              <w:right w:val="single" w:sz="4" w:space="0" w:color="auto"/>
            </w:tcBorders>
            <w:shd w:val="clear" w:color="auto" w:fill="002060"/>
          </w:tcPr>
          <w:p w:rsidR="00A63FEF" w:rsidRDefault="00A63FEF" w:rsidP="00A63FEF">
            <w:pPr>
              <w:spacing w:after="0" w:line="240" w:lineRule="auto"/>
              <w:jc w:val="center"/>
              <w:rPr>
                <w:rFonts w:ascii="Times New Roman" w:hAnsi="Times New Roman"/>
                <w:sz w:val="24"/>
                <w:szCs w:val="24"/>
              </w:rPr>
            </w:pPr>
            <w:r w:rsidRPr="00AA45E9">
              <w:rPr>
                <w:rFonts w:ascii="Times New Roman" w:hAnsi="Times New Roman"/>
                <w:b/>
                <w:sz w:val="24"/>
                <w:szCs w:val="24"/>
              </w:rPr>
              <w:t>Durée</w:t>
            </w:r>
          </w:p>
        </w:tc>
        <w:tc>
          <w:tcPr>
            <w:tcW w:w="1230" w:type="dxa"/>
            <w:tcBorders>
              <w:left w:val="single" w:sz="4" w:space="0" w:color="auto"/>
              <w:bottom w:val="single" w:sz="4" w:space="0" w:color="auto"/>
              <w:right w:val="single" w:sz="4" w:space="0" w:color="auto"/>
            </w:tcBorders>
          </w:tcPr>
          <w:p w:rsidR="00A63FEF" w:rsidRPr="00867483" w:rsidRDefault="00E96A04" w:rsidP="00A63FEF">
            <w:pPr>
              <w:spacing w:after="0" w:line="240" w:lineRule="auto"/>
              <w:jc w:val="center"/>
              <w:rPr>
                <w:rFonts w:ascii="Times New Roman" w:hAnsi="Times New Roman"/>
                <w:sz w:val="24"/>
                <w:szCs w:val="24"/>
              </w:rPr>
            </w:pPr>
            <w:r>
              <w:rPr>
                <w:rFonts w:ascii="Times New Roman" w:hAnsi="Times New Roman"/>
                <w:sz w:val="24"/>
                <w:szCs w:val="24"/>
              </w:rPr>
              <w:t>Moyenne</w:t>
            </w:r>
          </w:p>
        </w:tc>
        <w:tc>
          <w:tcPr>
            <w:tcW w:w="433" w:type="dxa"/>
            <w:tcBorders>
              <w:left w:val="single" w:sz="4" w:space="0" w:color="auto"/>
              <w:bottom w:val="single" w:sz="4" w:space="0" w:color="auto"/>
            </w:tcBorders>
          </w:tcPr>
          <w:p w:rsidR="00A63FEF" w:rsidRPr="00867483" w:rsidRDefault="00E96A04" w:rsidP="00A63FEF">
            <w:pPr>
              <w:spacing w:after="0" w:line="240" w:lineRule="auto"/>
              <w:jc w:val="center"/>
              <w:rPr>
                <w:rFonts w:ascii="Times New Roman" w:hAnsi="Times New Roman"/>
                <w:sz w:val="24"/>
                <w:szCs w:val="24"/>
              </w:rPr>
            </w:pPr>
            <w:r>
              <w:rPr>
                <w:rFonts w:ascii="Times New Roman" w:hAnsi="Times New Roman"/>
                <w:sz w:val="24"/>
                <w:szCs w:val="24"/>
              </w:rPr>
              <w:t>3</w:t>
            </w:r>
          </w:p>
        </w:tc>
      </w:tr>
      <w:tr w:rsidR="00A63FEF" w:rsidRPr="00AA45E9" w:rsidTr="00FC410F">
        <w:tc>
          <w:tcPr>
            <w:tcW w:w="3153" w:type="dxa"/>
            <w:gridSpan w:val="3"/>
            <w:tcBorders>
              <w:bottom w:val="single" w:sz="4" w:space="0" w:color="auto"/>
            </w:tcBorders>
            <w:shd w:val="clear" w:color="auto" w:fill="FFFFFF" w:themeFill="background1"/>
          </w:tcPr>
          <w:p w:rsidR="00A63FEF" w:rsidRPr="00867483" w:rsidRDefault="00A63FEF" w:rsidP="00A63FEF">
            <w:pPr>
              <w:spacing w:after="0" w:line="240" w:lineRule="auto"/>
              <w:jc w:val="center"/>
              <w:rPr>
                <w:rFonts w:ascii="Times New Roman" w:hAnsi="Times New Roman"/>
                <w:sz w:val="6"/>
                <w:szCs w:val="6"/>
              </w:rPr>
            </w:pPr>
          </w:p>
        </w:tc>
      </w:tr>
      <w:tr w:rsidR="00A63FEF" w:rsidRPr="00AA45E9" w:rsidTr="0025590D">
        <w:tc>
          <w:tcPr>
            <w:tcW w:w="1490" w:type="dxa"/>
            <w:tcBorders>
              <w:bottom w:val="dashDotStroked" w:sz="24" w:space="0" w:color="auto"/>
              <w:right w:val="single" w:sz="4" w:space="0" w:color="auto"/>
            </w:tcBorders>
            <w:shd w:val="clear" w:color="auto" w:fill="002060"/>
          </w:tcPr>
          <w:p w:rsidR="00A63FEF" w:rsidRPr="00AA45E9" w:rsidRDefault="00A63FEF" w:rsidP="00A63FEF">
            <w:pPr>
              <w:spacing w:after="0" w:line="240" w:lineRule="auto"/>
              <w:jc w:val="center"/>
              <w:rPr>
                <w:rFonts w:ascii="Times New Roman" w:hAnsi="Times New Roman"/>
                <w:b/>
                <w:sz w:val="24"/>
                <w:szCs w:val="24"/>
              </w:rPr>
            </w:pPr>
            <w:r w:rsidRPr="00AA45E9">
              <w:rPr>
                <w:rFonts w:ascii="Times New Roman" w:hAnsi="Times New Roman"/>
                <w:b/>
                <w:sz w:val="24"/>
                <w:szCs w:val="24"/>
              </w:rPr>
              <w:t>Importance</w:t>
            </w:r>
          </w:p>
        </w:tc>
        <w:tc>
          <w:tcPr>
            <w:tcW w:w="1230" w:type="dxa"/>
            <w:tcBorders>
              <w:left w:val="single" w:sz="4" w:space="0" w:color="auto"/>
              <w:bottom w:val="dashDotStroked" w:sz="24" w:space="0" w:color="auto"/>
              <w:right w:val="single" w:sz="4" w:space="0" w:color="auto"/>
            </w:tcBorders>
            <w:shd w:val="clear" w:color="auto" w:fill="92D050"/>
          </w:tcPr>
          <w:p w:rsidR="00A63FEF" w:rsidRPr="008E6D9C" w:rsidRDefault="00E96A04" w:rsidP="00A63FEF">
            <w:pPr>
              <w:spacing w:after="0" w:line="240" w:lineRule="auto"/>
              <w:jc w:val="center"/>
              <w:rPr>
                <w:rFonts w:ascii="Times New Roman" w:hAnsi="Times New Roman"/>
                <w:b/>
                <w:sz w:val="24"/>
                <w:szCs w:val="24"/>
              </w:rPr>
            </w:pPr>
            <w:r>
              <w:rPr>
                <w:rFonts w:ascii="Times New Roman" w:hAnsi="Times New Roman"/>
                <w:b/>
                <w:sz w:val="24"/>
                <w:szCs w:val="24"/>
              </w:rPr>
              <w:t>Mineure</w:t>
            </w:r>
          </w:p>
        </w:tc>
        <w:tc>
          <w:tcPr>
            <w:tcW w:w="433" w:type="dxa"/>
            <w:tcBorders>
              <w:left w:val="single" w:sz="4" w:space="0" w:color="auto"/>
              <w:bottom w:val="dashDotStroked" w:sz="24" w:space="0" w:color="auto"/>
            </w:tcBorders>
            <w:shd w:val="clear" w:color="auto" w:fill="92D050"/>
          </w:tcPr>
          <w:p w:rsidR="00A63FEF" w:rsidRPr="008E6D9C" w:rsidRDefault="00E96A04" w:rsidP="00A63FEF">
            <w:pPr>
              <w:spacing w:after="0" w:line="240" w:lineRule="auto"/>
              <w:jc w:val="center"/>
              <w:rPr>
                <w:rFonts w:ascii="Times New Roman" w:hAnsi="Times New Roman"/>
                <w:b/>
                <w:sz w:val="24"/>
                <w:szCs w:val="24"/>
              </w:rPr>
            </w:pPr>
            <w:r>
              <w:rPr>
                <w:rFonts w:ascii="Times New Roman" w:hAnsi="Times New Roman"/>
                <w:b/>
                <w:sz w:val="24"/>
                <w:szCs w:val="24"/>
              </w:rPr>
              <w:t>9</w:t>
            </w:r>
          </w:p>
        </w:tc>
      </w:tr>
    </w:tbl>
    <w:p w:rsidR="00A63F09" w:rsidRPr="003D2CBA" w:rsidRDefault="00047ADE" w:rsidP="00FA3FAE">
      <w:pPr>
        <w:pStyle w:val="PargrafodaLista"/>
        <w:numPr>
          <w:ilvl w:val="0"/>
          <w:numId w:val="41"/>
        </w:numPr>
        <w:pBdr>
          <w:bottom w:val="dashDotStroked" w:sz="24" w:space="1" w:color="auto"/>
        </w:pBdr>
        <w:jc w:val="both"/>
        <w:rPr>
          <w:rFonts w:ascii="Times New Roman" w:hAnsi="Times New Roman"/>
          <w:b/>
          <w:sz w:val="24"/>
          <w:szCs w:val="24"/>
        </w:rPr>
      </w:pPr>
      <w:r w:rsidRPr="003D2CBA">
        <w:rPr>
          <w:rFonts w:ascii="Times New Roman" w:hAnsi="Times New Roman"/>
          <w:b/>
          <w:sz w:val="24"/>
          <w:szCs w:val="24"/>
        </w:rPr>
        <w:t xml:space="preserve">Impacts négatifs attendus sur les risques de perte de terres, de dégradation de biens </w:t>
      </w:r>
    </w:p>
    <w:p w:rsidR="00047ADE" w:rsidRDefault="00047ADE" w:rsidP="00047ADE">
      <w:pPr>
        <w:spacing w:after="0" w:line="240" w:lineRule="auto"/>
        <w:jc w:val="both"/>
        <w:rPr>
          <w:rFonts w:ascii="Times New Roman" w:hAnsi="Times New Roman"/>
          <w:sz w:val="24"/>
          <w:szCs w:val="24"/>
        </w:rPr>
      </w:pPr>
      <w:r w:rsidRPr="00F03697">
        <w:rPr>
          <w:rFonts w:ascii="Times New Roman" w:hAnsi="Times New Roman"/>
          <w:sz w:val="24"/>
          <w:szCs w:val="24"/>
        </w:rPr>
        <w:t>La libération de l’emprise pour la réalisation du réservoir à Antula pine peuvent engendrer des risques</w:t>
      </w:r>
      <w:r w:rsidR="00A63FEF">
        <w:rPr>
          <w:rFonts w:ascii="Times New Roman" w:hAnsi="Times New Roman"/>
          <w:sz w:val="24"/>
          <w:szCs w:val="24"/>
        </w:rPr>
        <w:t xml:space="preserve"> </w:t>
      </w:r>
      <w:r w:rsidRPr="00F03697">
        <w:rPr>
          <w:rFonts w:ascii="Times New Roman" w:hAnsi="Times New Roman"/>
          <w:sz w:val="24"/>
          <w:szCs w:val="24"/>
        </w:rPr>
        <w:t>de perte de terre agricole au niveau de l’église, mais aussi des risques de dégradation des biens privés et publics surtout dans le quartier de Bor (des anacardiers au niveau du site) et le quartier de Safim</w:t>
      </w:r>
      <w:r w:rsidR="0098424C" w:rsidRPr="00F03697">
        <w:rPr>
          <w:rFonts w:ascii="Times New Roman" w:hAnsi="Times New Roman"/>
          <w:sz w:val="24"/>
          <w:szCs w:val="24"/>
        </w:rPr>
        <w:t xml:space="preserve"> (restau</w:t>
      </w:r>
      <w:r w:rsidRPr="00F03697">
        <w:rPr>
          <w:rFonts w:ascii="Times New Roman" w:hAnsi="Times New Roman"/>
          <w:sz w:val="24"/>
          <w:szCs w:val="24"/>
        </w:rPr>
        <w:t>rant</w:t>
      </w:r>
      <w:r w:rsidR="0098424C" w:rsidRPr="00F03697">
        <w:rPr>
          <w:rFonts w:ascii="Times New Roman" w:hAnsi="Times New Roman"/>
          <w:sz w:val="24"/>
          <w:szCs w:val="24"/>
        </w:rPr>
        <w:t>, boutique)</w:t>
      </w:r>
      <w:r w:rsidRPr="00F03697">
        <w:rPr>
          <w:rFonts w:ascii="Times New Roman" w:hAnsi="Times New Roman"/>
          <w:sz w:val="24"/>
          <w:szCs w:val="24"/>
        </w:rPr>
        <w:t>.</w:t>
      </w:r>
      <w:r w:rsidR="0098424C" w:rsidRPr="00F03697">
        <w:rPr>
          <w:rFonts w:ascii="Times New Roman" w:hAnsi="Times New Roman"/>
          <w:sz w:val="24"/>
          <w:szCs w:val="24"/>
        </w:rPr>
        <w:t xml:space="preserve"> Ainsi, les biens impactés recensés actuellement sont minimes et sont déjà pris en compte dans le PAR en cours</w:t>
      </w:r>
      <w:r w:rsidR="00F03697">
        <w:rPr>
          <w:rFonts w:ascii="Times New Roman" w:hAnsi="Times New Roman"/>
          <w:sz w:val="24"/>
          <w:szCs w:val="24"/>
        </w:rPr>
        <w:t>.</w:t>
      </w:r>
    </w:p>
    <w:p w:rsidR="00A63FEF" w:rsidRPr="00F03697" w:rsidRDefault="00A63FEF" w:rsidP="00047ADE">
      <w:pPr>
        <w:spacing w:after="0" w:line="240" w:lineRule="auto"/>
        <w:jc w:val="both"/>
        <w:rPr>
          <w:rFonts w:ascii="Times New Roman" w:hAnsi="Times New Roman"/>
          <w:sz w:val="24"/>
          <w:szCs w:val="24"/>
        </w:rPr>
      </w:pPr>
    </w:p>
    <w:tbl>
      <w:tblPr>
        <w:tblpPr w:leftFromText="141" w:rightFromText="141" w:vertAnchor="text" w:horzAnchor="margin" w:tblpXSpec="right" w:tblpY="465"/>
        <w:tblW w:w="3153" w:type="dxa"/>
        <w:tblBorders>
          <w:top w:val="single" w:sz="4" w:space="0" w:color="auto"/>
          <w:left w:val="dashDotStroked" w:sz="24" w:space="0" w:color="auto"/>
          <w:bottom w:val="dashDotStroked" w:sz="24" w:space="0" w:color="auto"/>
          <w:right w:val="dashDotStroked" w:sz="24" w:space="0" w:color="auto"/>
          <w:insideH w:val="single" w:sz="4" w:space="0" w:color="auto"/>
          <w:insideV w:val="dashDotStroked" w:sz="24" w:space="0" w:color="auto"/>
        </w:tblBorders>
        <w:tblLook w:val="04A0" w:firstRow="1" w:lastRow="0" w:firstColumn="1" w:lastColumn="0" w:noHBand="0" w:noVBand="1"/>
      </w:tblPr>
      <w:tblGrid>
        <w:gridCol w:w="1507"/>
        <w:gridCol w:w="1190"/>
        <w:gridCol w:w="456"/>
      </w:tblGrid>
      <w:tr w:rsidR="00A63FEF" w:rsidRPr="00AA45E9" w:rsidTr="00A63FEF">
        <w:tc>
          <w:tcPr>
            <w:tcW w:w="3153" w:type="dxa"/>
            <w:gridSpan w:val="3"/>
            <w:tcBorders>
              <w:bottom w:val="single" w:sz="4" w:space="0" w:color="auto"/>
            </w:tcBorders>
            <w:shd w:val="clear" w:color="auto" w:fill="002060"/>
          </w:tcPr>
          <w:p w:rsidR="00A63FEF" w:rsidRPr="00867483" w:rsidRDefault="00A63FEF" w:rsidP="00A63FEF">
            <w:pPr>
              <w:spacing w:after="0" w:line="240" w:lineRule="auto"/>
              <w:jc w:val="center"/>
              <w:rPr>
                <w:rFonts w:ascii="Times New Roman" w:hAnsi="Times New Roman"/>
                <w:b/>
                <w:sz w:val="24"/>
                <w:szCs w:val="24"/>
              </w:rPr>
            </w:pPr>
            <w:r w:rsidRPr="00867483">
              <w:rPr>
                <w:rFonts w:ascii="Times New Roman" w:hAnsi="Times New Roman"/>
                <w:b/>
                <w:sz w:val="24"/>
                <w:szCs w:val="24"/>
              </w:rPr>
              <w:t>Caractérisation de l’impact</w:t>
            </w:r>
          </w:p>
        </w:tc>
      </w:tr>
      <w:tr w:rsidR="0025590D" w:rsidRPr="00AA45E9" w:rsidTr="00247507">
        <w:tc>
          <w:tcPr>
            <w:tcW w:w="1507" w:type="dxa"/>
            <w:tcBorders>
              <w:bottom w:val="single" w:sz="4" w:space="0" w:color="auto"/>
              <w:right w:val="single" w:sz="4" w:space="0" w:color="auto"/>
            </w:tcBorders>
            <w:shd w:val="clear" w:color="auto" w:fill="002060"/>
          </w:tcPr>
          <w:p w:rsidR="0025590D" w:rsidRPr="00AA45E9" w:rsidRDefault="0025590D" w:rsidP="00A63FEF">
            <w:pPr>
              <w:spacing w:after="0" w:line="240" w:lineRule="auto"/>
              <w:jc w:val="center"/>
              <w:rPr>
                <w:rFonts w:ascii="Times New Roman" w:hAnsi="Times New Roman"/>
                <w:b/>
                <w:sz w:val="24"/>
                <w:szCs w:val="24"/>
              </w:rPr>
            </w:pPr>
            <w:r>
              <w:rPr>
                <w:rFonts w:ascii="Times New Roman" w:hAnsi="Times New Roman"/>
                <w:b/>
                <w:sz w:val="24"/>
                <w:szCs w:val="24"/>
              </w:rPr>
              <w:t xml:space="preserve">Nature </w:t>
            </w:r>
          </w:p>
        </w:tc>
        <w:tc>
          <w:tcPr>
            <w:tcW w:w="1646" w:type="dxa"/>
            <w:gridSpan w:val="2"/>
            <w:tcBorders>
              <w:left w:val="single" w:sz="4" w:space="0" w:color="auto"/>
              <w:bottom w:val="single" w:sz="4" w:space="0" w:color="auto"/>
            </w:tcBorders>
            <w:shd w:val="clear" w:color="auto" w:fill="auto"/>
          </w:tcPr>
          <w:p w:rsidR="0025590D" w:rsidRPr="00867483" w:rsidRDefault="0025590D" w:rsidP="00A63FEF">
            <w:pPr>
              <w:spacing w:after="0" w:line="240" w:lineRule="auto"/>
              <w:jc w:val="center"/>
              <w:rPr>
                <w:rFonts w:ascii="Times New Roman" w:hAnsi="Times New Roman"/>
                <w:sz w:val="24"/>
                <w:szCs w:val="24"/>
              </w:rPr>
            </w:pPr>
            <w:r w:rsidRPr="00E96A04">
              <w:rPr>
                <w:rFonts w:ascii="Times New Roman" w:hAnsi="Times New Roman"/>
                <w:b/>
                <w:sz w:val="24"/>
                <w:szCs w:val="24"/>
              </w:rPr>
              <w:t>Négatif</w:t>
            </w:r>
          </w:p>
        </w:tc>
      </w:tr>
      <w:tr w:rsidR="00A63FEF" w:rsidRPr="00AA45E9" w:rsidTr="00A63FEF">
        <w:tc>
          <w:tcPr>
            <w:tcW w:w="1507" w:type="dxa"/>
            <w:tcBorders>
              <w:bottom w:val="single" w:sz="4" w:space="0" w:color="auto"/>
              <w:right w:val="single" w:sz="4" w:space="0" w:color="auto"/>
            </w:tcBorders>
            <w:shd w:val="clear" w:color="auto" w:fill="002060"/>
          </w:tcPr>
          <w:p w:rsidR="00A63FEF" w:rsidRPr="00AA45E9" w:rsidRDefault="00A63FEF" w:rsidP="00A63FEF">
            <w:pPr>
              <w:spacing w:after="0" w:line="240" w:lineRule="auto"/>
              <w:jc w:val="center"/>
              <w:rPr>
                <w:rFonts w:ascii="Times New Roman" w:hAnsi="Times New Roman"/>
                <w:b/>
                <w:sz w:val="24"/>
                <w:szCs w:val="24"/>
              </w:rPr>
            </w:pPr>
            <w:r w:rsidRPr="00AA45E9">
              <w:rPr>
                <w:rFonts w:ascii="Times New Roman" w:hAnsi="Times New Roman"/>
                <w:b/>
                <w:sz w:val="24"/>
                <w:szCs w:val="24"/>
              </w:rPr>
              <w:t>Intensité</w:t>
            </w:r>
          </w:p>
        </w:tc>
        <w:tc>
          <w:tcPr>
            <w:tcW w:w="1190" w:type="dxa"/>
            <w:tcBorders>
              <w:left w:val="single" w:sz="4" w:space="0" w:color="auto"/>
              <w:bottom w:val="single" w:sz="4" w:space="0" w:color="auto"/>
              <w:right w:val="single" w:sz="4" w:space="0" w:color="auto"/>
            </w:tcBorders>
            <w:shd w:val="clear" w:color="auto" w:fill="auto"/>
          </w:tcPr>
          <w:p w:rsidR="00A63FEF" w:rsidRPr="00867483" w:rsidRDefault="00A63FEF" w:rsidP="00A63FEF">
            <w:pPr>
              <w:spacing w:after="0" w:line="240" w:lineRule="auto"/>
              <w:jc w:val="center"/>
              <w:rPr>
                <w:rFonts w:ascii="Times New Roman" w:hAnsi="Times New Roman"/>
                <w:sz w:val="24"/>
                <w:szCs w:val="24"/>
              </w:rPr>
            </w:pPr>
            <w:r w:rsidRPr="00867483">
              <w:rPr>
                <w:rFonts w:ascii="Times New Roman" w:hAnsi="Times New Roman"/>
                <w:sz w:val="24"/>
                <w:szCs w:val="24"/>
              </w:rPr>
              <w:t>Forte</w:t>
            </w:r>
          </w:p>
        </w:tc>
        <w:tc>
          <w:tcPr>
            <w:tcW w:w="456" w:type="dxa"/>
            <w:tcBorders>
              <w:left w:val="single" w:sz="4" w:space="0" w:color="auto"/>
              <w:bottom w:val="single" w:sz="4" w:space="0" w:color="auto"/>
            </w:tcBorders>
            <w:shd w:val="clear" w:color="auto" w:fill="auto"/>
          </w:tcPr>
          <w:p w:rsidR="00A63FEF" w:rsidRPr="00867483" w:rsidRDefault="00A63FEF" w:rsidP="00A63FEF">
            <w:pPr>
              <w:spacing w:after="0" w:line="240" w:lineRule="auto"/>
              <w:jc w:val="center"/>
              <w:rPr>
                <w:rFonts w:ascii="Times New Roman" w:hAnsi="Times New Roman"/>
                <w:sz w:val="24"/>
                <w:szCs w:val="24"/>
              </w:rPr>
            </w:pPr>
            <w:r w:rsidRPr="00867483">
              <w:rPr>
                <w:rFonts w:ascii="Times New Roman" w:hAnsi="Times New Roman"/>
                <w:sz w:val="24"/>
                <w:szCs w:val="24"/>
              </w:rPr>
              <w:t>5</w:t>
            </w:r>
          </w:p>
        </w:tc>
      </w:tr>
      <w:tr w:rsidR="00A63FEF" w:rsidRPr="00AA45E9" w:rsidTr="00A63FEF">
        <w:tc>
          <w:tcPr>
            <w:tcW w:w="1507" w:type="dxa"/>
            <w:tcBorders>
              <w:bottom w:val="single" w:sz="4" w:space="0" w:color="auto"/>
              <w:right w:val="single" w:sz="4" w:space="0" w:color="auto"/>
            </w:tcBorders>
            <w:shd w:val="clear" w:color="auto" w:fill="002060"/>
          </w:tcPr>
          <w:p w:rsidR="00A63FEF" w:rsidRPr="00AA45E9" w:rsidRDefault="00A63FEF" w:rsidP="00A63FEF">
            <w:pPr>
              <w:spacing w:after="0" w:line="240" w:lineRule="auto"/>
              <w:jc w:val="center"/>
              <w:rPr>
                <w:rFonts w:ascii="Times New Roman" w:hAnsi="Times New Roman"/>
                <w:sz w:val="24"/>
                <w:szCs w:val="24"/>
              </w:rPr>
            </w:pPr>
            <w:r w:rsidRPr="00AA45E9">
              <w:rPr>
                <w:rFonts w:ascii="Times New Roman" w:hAnsi="Times New Roman"/>
                <w:b/>
                <w:sz w:val="24"/>
                <w:szCs w:val="24"/>
              </w:rPr>
              <w:t>Etendue</w:t>
            </w:r>
          </w:p>
        </w:tc>
        <w:tc>
          <w:tcPr>
            <w:tcW w:w="1190" w:type="dxa"/>
            <w:tcBorders>
              <w:left w:val="single" w:sz="4" w:space="0" w:color="auto"/>
              <w:bottom w:val="single" w:sz="4" w:space="0" w:color="auto"/>
              <w:right w:val="single" w:sz="4" w:space="0" w:color="auto"/>
            </w:tcBorders>
          </w:tcPr>
          <w:p w:rsidR="00A63FEF" w:rsidRPr="00867483" w:rsidRDefault="00E96A04" w:rsidP="00A63FEF">
            <w:pPr>
              <w:spacing w:after="0" w:line="240" w:lineRule="auto"/>
              <w:jc w:val="center"/>
              <w:rPr>
                <w:rFonts w:ascii="Times New Roman" w:hAnsi="Times New Roman"/>
                <w:sz w:val="24"/>
                <w:szCs w:val="24"/>
              </w:rPr>
            </w:pPr>
            <w:r>
              <w:rPr>
                <w:rFonts w:ascii="Times New Roman" w:hAnsi="Times New Roman"/>
                <w:sz w:val="24"/>
                <w:szCs w:val="24"/>
              </w:rPr>
              <w:t>Locale</w:t>
            </w:r>
          </w:p>
        </w:tc>
        <w:tc>
          <w:tcPr>
            <w:tcW w:w="456" w:type="dxa"/>
            <w:tcBorders>
              <w:left w:val="single" w:sz="4" w:space="0" w:color="auto"/>
              <w:bottom w:val="single" w:sz="4" w:space="0" w:color="auto"/>
            </w:tcBorders>
          </w:tcPr>
          <w:p w:rsidR="00A63FEF" w:rsidRPr="00867483" w:rsidRDefault="00E96A04" w:rsidP="00A63FEF">
            <w:pPr>
              <w:spacing w:after="0" w:line="240" w:lineRule="auto"/>
              <w:jc w:val="center"/>
              <w:rPr>
                <w:rFonts w:ascii="Times New Roman" w:hAnsi="Times New Roman"/>
                <w:sz w:val="24"/>
                <w:szCs w:val="24"/>
              </w:rPr>
            </w:pPr>
            <w:r>
              <w:rPr>
                <w:rFonts w:ascii="Times New Roman" w:hAnsi="Times New Roman"/>
                <w:sz w:val="24"/>
                <w:szCs w:val="24"/>
              </w:rPr>
              <w:t>3</w:t>
            </w:r>
          </w:p>
        </w:tc>
      </w:tr>
      <w:tr w:rsidR="00A63FEF" w:rsidRPr="00AA45E9" w:rsidTr="00A63FEF">
        <w:tc>
          <w:tcPr>
            <w:tcW w:w="1507" w:type="dxa"/>
            <w:tcBorders>
              <w:bottom w:val="single" w:sz="4" w:space="0" w:color="auto"/>
              <w:right w:val="single" w:sz="4" w:space="0" w:color="auto"/>
            </w:tcBorders>
            <w:shd w:val="clear" w:color="auto" w:fill="002060"/>
          </w:tcPr>
          <w:p w:rsidR="00A63FEF" w:rsidRDefault="00A63FEF" w:rsidP="00A63FEF">
            <w:pPr>
              <w:spacing w:after="0" w:line="240" w:lineRule="auto"/>
              <w:jc w:val="center"/>
              <w:rPr>
                <w:rFonts w:ascii="Times New Roman" w:hAnsi="Times New Roman"/>
                <w:sz w:val="24"/>
                <w:szCs w:val="24"/>
              </w:rPr>
            </w:pPr>
            <w:r w:rsidRPr="00AA45E9">
              <w:rPr>
                <w:rFonts w:ascii="Times New Roman" w:hAnsi="Times New Roman"/>
                <w:b/>
                <w:sz w:val="24"/>
                <w:szCs w:val="24"/>
              </w:rPr>
              <w:t>Durée</w:t>
            </w:r>
          </w:p>
        </w:tc>
        <w:tc>
          <w:tcPr>
            <w:tcW w:w="1190" w:type="dxa"/>
            <w:tcBorders>
              <w:left w:val="single" w:sz="4" w:space="0" w:color="auto"/>
              <w:bottom w:val="single" w:sz="4" w:space="0" w:color="auto"/>
              <w:right w:val="single" w:sz="4" w:space="0" w:color="auto"/>
            </w:tcBorders>
          </w:tcPr>
          <w:p w:rsidR="00A63FEF" w:rsidRPr="00867483" w:rsidRDefault="00E96A04" w:rsidP="00A63FEF">
            <w:pPr>
              <w:spacing w:after="0" w:line="240" w:lineRule="auto"/>
              <w:jc w:val="center"/>
              <w:rPr>
                <w:rFonts w:ascii="Times New Roman" w:hAnsi="Times New Roman"/>
                <w:sz w:val="24"/>
                <w:szCs w:val="24"/>
              </w:rPr>
            </w:pPr>
            <w:r>
              <w:rPr>
                <w:rFonts w:ascii="Times New Roman" w:hAnsi="Times New Roman"/>
                <w:sz w:val="24"/>
                <w:szCs w:val="24"/>
              </w:rPr>
              <w:t>Moyenne</w:t>
            </w:r>
          </w:p>
        </w:tc>
        <w:tc>
          <w:tcPr>
            <w:tcW w:w="456" w:type="dxa"/>
            <w:tcBorders>
              <w:left w:val="single" w:sz="4" w:space="0" w:color="auto"/>
              <w:bottom w:val="single" w:sz="4" w:space="0" w:color="auto"/>
            </w:tcBorders>
          </w:tcPr>
          <w:p w:rsidR="00A63FEF" w:rsidRPr="00867483" w:rsidRDefault="00E96A04" w:rsidP="00A63FEF">
            <w:pPr>
              <w:spacing w:after="0" w:line="240" w:lineRule="auto"/>
              <w:jc w:val="center"/>
              <w:rPr>
                <w:rFonts w:ascii="Times New Roman" w:hAnsi="Times New Roman"/>
                <w:sz w:val="24"/>
                <w:szCs w:val="24"/>
              </w:rPr>
            </w:pPr>
            <w:r>
              <w:rPr>
                <w:rFonts w:ascii="Times New Roman" w:hAnsi="Times New Roman"/>
                <w:sz w:val="24"/>
                <w:szCs w:val="24"/>
              </w:rPr>
              <w:t>3</w:t>
            </w:r>
          </w:p>
        </w:tc>
      </w:tr>
      <w:tr w:rsidR="00A63FEF" w:rsidRPr="00AA45E9" w:rsidTr="00FC410F">
        <w:tc>
          <w:tcPr>
            <w:tcW w:w="3153" w:type="dxa"/>
            <w:gridSpan w:val="3"/>
            <w:tcBorders>
              <w:bottom w:val="single" w:sz="4" w:space="0" w:color="auto"/>
            </w:tcBorders>
            <w:shd w:val="clear" w:color="auto" w:fill="FFFFFF" w:themeFill="background1"/>
          </w:tcPr>
          <w:p w:rsidR="00A63FEF" w:rsidRPr="00867483" w:rsidRDefault="00A63FEF" w:rsidP="00A63FEF">
            <w:pPr>
              <w:spacing w:after="0" w:line="240" w:lineRule="auto"/>
              <w:jc w:val="center"/>
              <w:rPr>
                <w:rFonts w:ascii="Times New Roman" w:hAnsi="Times New Roman"/>
                <w:sz w:val="6"/>
                <w:szCs w:val="6"/>
              </w:rPr>
            </w:pPr>
          </w:p>
        </w:tc>
      </w:tr>
      <w:tr w:rsidR="00A63FEF" w:rsidRPr="00AA45E9" w:rsidTr="0025590D">
        <w:tc>
          <w:tcPr>
            <w:tcW w:w="1507" w:type="dxa"/>
            <w:tcBorders>
              <w:bottom w:val="dashDotStroked" w:sz="24" w:space="0" w:color="auto"/>
              <w:right w:val="single" w:sz="4" w:space="0" w:color="auto"/>
            </w:tcBorders>
            <w:shd w:val="clear" w:color="auto" w:fill="002060"/>
          </w:tcPr>
          <w:p w:rsidR="00A63FEF" w:rsidRPr="00AA45E9" w:rsidRDefault="00A63FEF" w:rsidP="00A63FEF">
            <w:pPr>
              <w:spacing w:after="0" w:line="240" w:lineRule="auto"/>
              <w:jc w:val="center"/>
              <w:rPr>
                <w:rFonts w:ascii="Times New Roman" w:hAnsi="Times New Roman"/>
                <w:b/>
                <w:sz w:val="24"/>
                <w:szCs w:val="24"/>
              </w:rPr>
            </w:pPr>
            <w:r w:rsidRPr="00AA45E9">
              <w:rPr>
                <w:rFonts w:ascii="Times New Roman" w:hAnsi="Times New Roman"/>
                <w:b/>
                <w:sz w:val="24"/>
                <w:szCs w:val="24"/>
              </w:rPr>
              <w:t>Importance</w:t>
            </w:r>
          </w:p>
        </w:tc>
        <w:tc>
          <w:tcPr>
            <w:tcW w:w="1190" w:type="dxa"/>
            <w:tcBorders>
              <w:left w:val="single" w:sz="4" w:space="0" w:color="auto"/>
              <w:bottom w:val="dashDotStroked" w:sz="24" w:space="0" w:color="auto"/>
              <w:right w:val="single" w:sz="4" w:space="0" w:color="auto"/>
            </w:tcBorders>
            <w:shd w:val="clear" w:color="auto" w:fill="FFFF00"/>
          </w:tcPr>
          <w:p w:rsidR="00A63FEF" w:rsidRPr="008E6D9C" w:rsidRDefault="00E96A04" w:rsidP="00A63FEF">
            <w:pPr>
              <w:spacing w:after="0" w:line="240" w:lineRule="auto"/>
              <w:jc w:val="center"/>
              <w:rPr>
                <w:rFonts w:ascii="Times New Roman" w:hAnsi="Times New Roman"/>
                <w:b/>
                <w:sz w:val="24"/>
                <w:szCs w:val="24"/>
              </w:rPr>
            </w:pPr>
            <w:r>
              <w:rPr>
                <w:rFonts w:ascii="Times New Roman" w:hAnsi="Times New Roman"/>
                <w:b/>
                <w:sz w:val="24"/>
                <w:szCs w:val="24"/>
              </w:rPr>
              <w:t>Moyenne</w:t>
            </w:r>
          </w:p>
        </w:tc>
        <w:tc>
          <w:tcPr>
            <w:tcW w:w="456" w:type="dxa"/>
            <w:tcBorders>
              <w:left w:val="single" w:sz="4" w:space="0" w:color="auto"/>
              <w:bottom w:val="dashDotStroked" w:sz="24" w:space="0" w:color="auto"/>
            </w:tcBorders>
            <w:shd w:val="clear" w:color="auto" w:fill="FFFF00"/>
          </w:tcPr>
          <w:p w:rsidR="00A63FEF" w:rsidRPr="008E6D9C" w:rsidRDefault="00E96A04" w:rsidP="00A63FEF">
            <w:pPr>
              <w:spacing w:after="0" w:line="240" w:lineRule="auto"/>
              <w:jc w:val="center"/>
              <w:rPr>
                <w:rFonts w:ascii="Times New Roman" w:hAnsi="Times New Roman"/>
                <w:b/>
                <w:sz w:val="24"/>
                <w:szCs w:val="24"/>
              </w:rPr>
            </w:pPr>
            <w:r>
              <w:rPr>
                <w:rFonts w:ascii="Times New Roman" w:hAnsi="Times New Roman"/>
                <w:b/>
                <w:sz w:val="24"/>
                <w:szCs w:val="24"/>
              </w:rPr>
              <w:t>4</w:t>
            </w:r>
            <w:r w:rsidR="00A63FEF" w:rsidRPr="008E6D9C">
              <w:rPr>
                <w:rFonts w:ascii="Times New Roman" w:hAnsi="Times New Roman"/>
                <w:b/>
                <w:sz w:val="24"/>
                <w:szCs w:val="24"/>
              </w:rPr>
              <w:t>5</w:t>
            </w:r>
          </w:p>
        </w:tc>
      </w:tr>
    </w:tbl>
    <w:p w:rsidR="000C5FB0" w:rsidRPr="003D2CBA" w:rsidRDefault="000C5FB0" w:rsidP="00FA3FAE">
      <w:pPr>
        <w:pStyle w:val="PargrafodaLista"/>
        <w:numPr>
          <w:ilvl w:val="0"/>
          <w:numId w:val="41"/>
        </w:numPr>
        <w:pBdr>
          <w:bottom w:val="dashDotStroked" w:sz="24" w:space="1" w:color="auto"/>
        </w:pBdr>
        <w:jc w:val="both"/>
        <w:rPr>
          <w:rFonts w:ascii="Times New Roman" w:hAnsi="Times New Roman"/>
          <w:b/>
          <w:sz w:val="24"/>
          <w:szCs w:val="24"/>
        </w:rPr>
      </w:pPr>
      <w:r w:rsidRPr="003D2CBA">
        <w:rPr>
          <w:rFonts w:ascii="Times New Roman" w:hAnsi="Times New Roman"/>
          <w:b/>
          <w:sz w:val="24"/>
          <w:szCs w:val="24"/>
        </w:rPr>
        <w:t xml:space="preserve">Impacts négatifs sur le climat social </w:t>
      </w:r>
    </w:p>
    <w:p w:rsidR="000C5FB0" w:rsidRPr="000C5FB0" w:rsidRDefault="000C5FB0" w:rsidP="000C5FB0">
      <w:pPr>
        <w:jc w:val="both"/>
        <w:rPr>
          <w:rFonts w:ascii="Times New Roman" w:hAnsi="Times New Roman" w:cs="Times New Roman"/>
          <w:color w:val="000000"/>
          <w:sz w:val="24"/>
          <w:szCs w:val="24"/>
        </w:rPr>
      </w:pPr>
      <w:r>
        <w:rPr>
          <w:rFonts w:ascii="Times New Roman" w:hAnsi="Times New Roman" w:cs="Times New Roman"/>
          <w:color w:val="000000"/>
          <w:sz w:val="24"/>
          <w:szCs w:val="24"/>
        </w:rPr>
        <w:t>Lors des travaux de réalisation, u</w:t>
      </w:r>
      <w:r w:rsidRPr="000C5FB0">
        <w:rPr>
          <w:rFonts w:ascii="Times New Roman" w:hAnsi="Times New Roman" w:cs="Times New Roman"/>
          <w:color w:val="000000"/>
          <w:sz w:val="24"/>
          <w:szCs w:val="24"/>
        </w:rPr>
        <w:t>n</w:t>
      </w:r>
      <w:r>
        <w:rPr>
          <w:rFonts w:ascii="Times New Roman" w:hAnsi="Times New Roman" w:cs="Times New Roman"/>
          <w:color w:val="000000"/>
          <w:sz w:val="24"/>
          <w:szCs w:val="24"/>
        </w:rPr>
        <w:t>e importante création d’emplois temporaires</w:t>
      </w:r>
      <w:r w:rsidRPr="000C5FB0">
        <w:rPr>
          <w:rFonts w:ascii="Times New Roman" w:hAnsi="Times New Roman" w:cs="Times New Roman"/>
          <w:color w:val="000000"/>
          <w:sz w:val="24"/>
          <w:szCs w:val="24"/>
        </w:rPr>
        <w:t xml:space="preserve"> est attendus.</w:t>
      </w:r>
      <w:r>
        <w:rPr>
          <w:rFonts w:ascii="Times New Roman" w:hAnsi="Times New Roman" w:cs="Times New Roman"/>
          <w:color w:val="000000"/>
          <w:sz w:val="24"/>
          <w:szCs w:val="24"/>
        </w:rPr>
        <w:t xml:space="preserve"> Ainsi, il est clair et net, que c</w:t>
      </w:r>
      <w:r w:rsidRPr="000C5FB0">
        <w:rPr>
          <w:rFonts w:ascii="Times New Roman" w:hAnsi="Times New Roman" w:cs="Times New Roman"/>
          <w:color w:val="000000"/>
          <w:sz w:val="24"/>
          <w:szCs w:val="24"/>
        </w:rPr>
        <w:t xml:space="preserve">es emplois devraient revenir en premier lieu </w:t>
      </w:r>
      <w:r>
        <w:rPr>
          <w:rFonts w:ascii="Times New Roman" w:hAnsi="Times New Roman" w:cs="Times New Roman"/>
          <w:color w:val="000000"/>
          <w:sz w:val="24"/>
          <w:szCs w:val="24"/>
        </w:rPr>
        <w:t>aux jeunes personnes habitants dans les quartiers</w:t>
      </w:r>
      <w:r w:rsidRPr="000C5FB0">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ou </w:t>
      </w:r>
      <w:r w:rsidRPr="000C5FB0">
        <w:rPr>
          <w:rFonts w:ascii="Times New Roman" w:hAnsi="Times New Roman" w:cs="Times New Roman"/>
          <w:color w:val="000000"/>
          <w:sz w:val="24"/>
          <w:szCs w:val="24"/>
        </w:rPr>
        <w:t>les travaux</w:t>
      </w:r>
      <w:r>
        <w:rPr>
          <w:rFonts w:ascii="Times New Roman" w:hAnsi="Times New Roman" w:cs="Times New Roman"/>
          <w:color w:val="000000"/>
          <w:sz w:val="24"/>
          <w:szCs w:val="24"/>
        </w:rPr>
        <w:t xml:space="preserve"> se dérouleront</w:t>
      </w:r>
      <w:r w:rsidRPr="000C5FB0">
        <w:rPr>
          <w:rFonts w:ascii="Times New Roman" w:hAnsi="Times New Roman" w:cs="Times New Roman"/>
          <w:color w:val="000000"/>
          <w:sz w:val="24"/>
          <w:szCs w:val="24"/>
        </w:rPr>
        <w:t>. Ceci permettra certainement d’éviter des frustrations et des conflits sachant que le chômage est très présent dans la zone du projet.</w:t>
      </w:r>
    </w:p>
    <w:p w:rsidR="000C5FB0" w:rsidRPr="000C5FB0" w:rsidRDefault="000C5FB0" w:rsidP="000C5FB0">
      <w:pPr>
        <w:jc w:val="both"/>
        <w:rPr>
          <w:rFonts w:ascii="Times New Roman" w:hAnsi="Times New Roman" w:cs="Times New Roman"/>
          <w:color w:val="000000"/>
          <w:sz w:val="24"/>
          <w:szCs w:val="24"/>
        </w:rPr>
      </w:pPr>
      <w:r w:rsidRPr="000C5FB0">
        <w:rPr>
          <w:rFonts w:ascii="Times New Roman" w:hAnsi="Times New Roman" w:cs="Times New Roman"/>
          <w:color w:val="000000"/>
          <w:sz w:val="24"/>
          <w:szCs w:val="24"/>
        </w:rPr>
        <w:t>Le recrutement local permettra dans un autre registre de réduire les risques de conflits sociaux à cause d’un non-respect ou d’une simple méconnaissance de certains us et coutumes.</w:t>
      </w:r>
    </w:p>
    <w:p w:rsidR="00EF6556" w:rsidRDefault="00EF6556" w:rsidP="00EF6556">
      <w:pPr>
        <w:jc w:val="both"/>
        <w:rPr>
          <w:rFonts w:ascii="Times New Roman" w:hAnsi="Times New Roman" w:cs="Times New Roman"/>
          <w:color w:val="000000"/>
          <w:sz w:val="24"/>
          <w:szCs w:val="24"/>
        </w:rPr>
      </w:pPr>
      <w:r w:rsidRPr="000C5FB0">
        <w:rPr>
          <w:rFonts w:ascii="Times New Roman" w:hAnsi="Times New Roman" w:cs="Times New Roman"/>
          <w:color w:val="000000"/>
          <w:sz w:val="24"/>
          <w:szCs w:val="24"/>
        </w:rPr>
        <w:t>Un comité de gestion faisant l‘interface entre l’entreprise et les populations locales et composé d’autorités administratives, de leaders locaux, d’association de populations organisées, etc. pourrait aider à éviter des conflits sociaux avec les populations riveraines.</w:t>
      </w:r>
    </w:p>
    <w:p w:rsidR="000C5FB0" w:rsidRPr="000C5FB0" w:rsidRDefault="00EF6556" w:rsidP="000C5FB0">
      <w:pPr>
        <w:jc w:val="both"/>
        <w:rPr>
          <w:rFonts w:ascii="Times New Roman" w:hAnsi="Times New Roman" w:cs="Times New Roman"/>
          <w:color w:val="000000"/>
          <w:sz w:val="24"/>
          <w:szCs w:val="24"/>
        </w:rPr>
      </w:pPr>
      <w:r>
        <w:rPr>
          <w:rFonts w:ascii="Times New Roman" w:hAnsi="Times New Roman" w:cs="Times New Roman"/>
          <w:color w:val="000000"/>
          <w:sz w:val="24"/>
          <w:szCs w:val="24"/>
        </w:rPr>
        <w:t>Le PUASEE-FA</w:t>
      </w:r>
      <w:r w:rsidR="000C5FB0" w:rsidRPr="000C5FB0">
        <w:rPr>
          <w:rFonts w:ascii="Times New Roman" w:hAnsi="Times New Roman" w:cs="Times New Roman"/>
          <w:color w:val="000000"/>
          <w:sz w:val="24"/>
          <w:szCs w:val="24"/>
        </w:rPr>
        <w:t xml:space="preserve"> devra veiller à ce que les entreprises recrutent des habitants locaux en priorité tout en sachant que pour les postes nécessitant une certaine qualification, les entreprises sont libres de recruter </w:t>
      </w:r>
      <w:r w:rsidR="000C5FB0" w:rsidRPr="000C5FB0">
        <w:rPr>
          <w:rFonts w:ascii="Times New Roman" w:hAnsi="Times New Roman" w:cs="Times New Roman"/>
          <w:color w:val="000000"/>
          <w:sz w:val="24"/>
          <w:szCs w:val="24"/>
        </w:rPr>
        <w:lastRenderedPageBreak/>
        <w:t xml:space="preserve">le personnel qui leur permettra de respecter leur engagement contractuel en termes de délais, de qualité et de coût.  </w:t>
      </w:r>
    </w:p>
    <w:tbl>
      <w:tblPr>
        <w:tblpPr w:leftFromText="141" w:rightFromText="141" w:vertAnchor="text" w:horzAnchor="margin" w:tblpXSpec="right" w:tblpY="454"/>
        <w:tblW w:w="3153" w:type="dxa"/>
        <w:tblBorders>
          <w:top w:val="single" w:sz="4" w:space="0" w:color="auto"/>
          <w:left w:val="dashDotStroked" w:sz="24" w:space="0" w:color="auto"/>
          <w:bottom w:val="dashDotStroked" w:sz="24" w:space="0" w:color="auto"/>
          <w:right w:val="dashDotStroked" w:sz="24" w:space="0" w:color="auto"/>
          <w:insideH w:val="single" w:sz="4" w:space="0" w:color="auto"/>
          <w:insideV w:val="dashDotStroked" w:sz="24" w:space="0" w:color="auto"/>
        </w:tblBorders>
        <w:tblLook w:val="04A0" w:firstRow="1" w:lastRow="0" w:firstColumn="1" w:lastColumn="0" w:noHBand="0" w:noVBand="1"/>
      </w:tblPr>
      <w:tblGrid>
        <w:gridCol w:w="1490"/>
        <w:gridCol w:w="1230"/>
        <w:gridCol w:w="433"/>
      </w:tblGrid>
      <w:tr w:rsidR="00A63FEF" w:rsidRPr="00AA45E9" w:rsidTr="00A63FEF">
        <w:tc>
          <w:tcPr>
            <w:tcW w:w="3153" w:type="dxa"/>
            <w:gridSpan w:val="3"/>
            <w:tcBorders>
              <w:bottom w:val="single" w:sz="4" w:space="0" w:color="auto"/>
            </w:tcBorders>
            <w:shd w:val="clear" w:color="auto" w:fill="002060"/>
          </w:tcPr>
          <w:p w:rsidR="00A63FEF" w:rsidRPr="00867483" w:rsidRDefault="00A63FEF" w:rsidP="00A63FEF">
            <w:pPr>
              <w:spacing w:after="0" w:line="240" w:lineRule="auto"/>
              <w:jc w:val="center"/>
              <w:rPr>
                <w:rFonts w:ascii="Times New Roman" w:hAnsi="Times New Roman"/>
                <w:b/>
                <w:sz w:val="24"/>
                <w:szCs w:val="24"/>
              </w:rPr>
            </w:pPr>
            <w:r w:rsidRPr="00867483">
              <w:rPr>
                <w:rFonts w:ascii="Times New Roman" w:hAnsi="Times New Roman"/>
                <w:b/>
                <w:sz w:val="24"/>
                <w:szCs w:val="24"/>
              </w:rPr>
              <w:t>Caractérisation de l’impact</w:t>
            </w:r>
          </w:p>
        </w:tc>
      </w:tr>
      <w:tr w:rsidR="0025590D" w:rsidRPr="00AA45E9" w:rsidTr="0025590D">
        <w:tc>
          <w:tcPr>
            <w:tcW w:w="1490" w:type="dxa"/>
            <w:tcBorders>
              <w:bottom w:val="single" w:sz="4" w:space="0" w:color="auto"/>
              <w:right w:val="single" w:sz="4" w:space="0" w:color="auto"/>
            </w:tcBorders>
            <w:shd w:val="clear" w:color="auto" w:fill="002060"/>
          </w:tcPr>
          <w:p w:rsidR="0025590D" w:rsidRPr="00AA45E9" w:rsidRDefault="0025590D" w:rsidP="00A63FEF">
            <w:pPr>
              <w:spacing w:after="0" w:line="240" w:lineRule="auto"/>
              <w:jc w:val="center"/>
              <w:rPr>
                <w:rFonts w:ascii="Times New Roman" w:hAnsi="Times New Roman"/>
                <w:b/>
                <w:sz w:val="24"/>
                <w:szCs w:val="24"/>
              </w:rPr>
            </w:pPr>
            <w:r>
              <w:rPr>
                <w:rFonts w:ascii="Times New Roman" w:hAnsi="Times New Roman"/>
                <w:b/>
                <w:sz w:val="24"/>
                <w:szCs w:val="24"/>
              </w:rPr>
              <w:t xml:space="preserve">Nature </w:t>
            </w:r>
          </w:p>
        </w:tc>
        <w:tc>
          <w:tcPr>
            <w:tcW w:w="1663" w:type="dxa"/>
            <w:gridSpan w:val="2"/>
            <w:tcBorders>
              <w:left w:val="single" w:sz="4" w:space="0" w:color="auto"/>
              <w:bottom w:val="single" w:sz="4" w:space="0" w:color="auto"/>
            </w:tcBorders>
            <w:shd w:val="clear" w:color="auto" w:fill="auto"/>
          </w:tcPr>
          <w:p w:rsidR="0025590D" w:rsidRPr="00867483" w:rsidRDefault="0025590D" w:rsidP="00A63FEF">
            <w:pPr>
              <w:spacing w:after="0" w:line="240" w:lineRule="auto"/>
              <w:jc w:val="center"/>
              <w:rPr>
                <w:rFonts w:ascii="Times New Roman" w:hAnsi="Times New Roman"/>
                <w:sz w:val="24"/>
                <w:szCs w:val="24"/>
              </w:rPr>
            </w:pPr>
            <w:r w:rsidRPr="00E96A04">
              <w:rPr>
                <w:rFonts w:ascii="Times New Roman" w:hAnsi="Times New Roman"/>
                <w:b/>
                <w:sz w:val="24"/>
                <w:szCs w:val="24"/>
              </w:rPr>
              <w:t>Négatif</w:t>
            </w:r>
          </w:p>
        </w:tc>
      </w:tr>
      <w:tr w:rsidR="00A63FEF" w:rsidRPr="00AA45E9" w:rsidTr="0025590D">
        <w:tc>
          <w:tcPr>
            <w:tcW w:w="1490" w:type="dxa"/>
            <w:tcBorders>
              <w:bottom w:val="single" w:sz="4" w:space="0" w:color="auto"/>
              <w:right w:val="single" w:sz="4" w:space="0" w:color="auto"/>
            </w:tcBorders>
            <w:shd w:val="clear" w:color="auto" w:fill="002060"/>
          </w:tcPr>
          <w:p w:rsidR="00A63FEF" w:rsidRPr="00AA45E9" w:rsidRDefault="00A63FEF" w:rsidP="00A63FEF">
            <w:pPr>
              <w:spacing w:after="0" w:line="240" w:lineRule="auto"/>
              <w:jc w:val="center"/>
              <w:rPr>
                <w:rFonts w:ascii="Times New Roman" w:hAnsi="Times New Roman"/>
                <w:b/>
                <w:sz w:val="24"/>
                <w:szCs w:val="24"/>
              </w:rPr>
            </w:pPr>
            <w:r w:rsidRPr="00AA45E9">
              <w:rPr>
                <w:rFonts w:ascii="Times New Roman" w:hAnsi="Times New Roman"/>
                <w:b/>
                <w:sz w:val="24"/>
                <w:szCs w:val="24"/>
              </w:rPr>
              <w:t>Intensité</w:t>
            </w:r>
          </w:p>
        </w:tc>
        <w:tc>
          <w:tcPr>
            <w:tcW w:w="1230" w:type="dxa"/>
            <w:tcBorders>
              <w:left w:val="single" w:sz="4" w:space="0" w:color="auto"/>
              <w:bottom w:val="single" w:sz="4" w:space="0" w:color="auto"/>
              <w:right w:val="single" w:sz="4" w:space="0" w:color="auto"/>
            </w:tcBorders>
            <w:shd w:val="clear" w:color="auto" w:fill="auto"/>
          </w:tcPr>
          <w:p w:rsidR="00A63FEF" w:rsidRPr="00867483" w:rsidRDefault="0025590D" w:rsidP="00A63FEF">
            <w:pPr>
              <w:spacing w:after="0" w:line="240" w:lineRule="auto"/>
              <w:jc w:val="center"/>
              <w:rPr>
                <w:rFonts w:ascii="Times New Roman" w:hAnsi="Times New Roman"/>
                <w:sz w:val="24"/>
                <w:szCs w:val="24"/>
              </w:rPr>
            </w:pPr>
            <w:r>
              <w:rPr>
                <w:rFonts w:ascii="Times New Roman" w:hAnsi="Times New Roman"/>
                <w:sz w:val="24"/>
                <w:szCs w:val="24"/>
              </w:rPr>
              <w:t>Faible</w:t>
            </w:r>
          </w:p>
        </w:tc>
        <w:tc>
          <w:tcPr>
            <w:tcW w:w="433" w:type="dxa"/>
            <w:tcBorders>
              <w:left w:val="single" w:sz="4" w:space="0" w:color="auto"/>
              <w:bottom w:val="single" w:sz="4" w:space="0" w:color="auto"/>
            </w:tcBorders>
            <w:shd w:val="clear" w:color="auto" w:fill="auto"/>
          </w:tcPr>
          <w:p w:rsidR="00A63FEF" w:rsidRPr="00867483" w:rsidRDefault="0025590D" w:rsidP="00A63FEF">
            <w:pPr>
              <w:spacing w:after="0" w:line="240" w:lineRule="auto"/>
              <w:jc w:val="center"/>
              <w:rPr>
                <w:rFonts w:ascii="Times New Roman" w:hAnsi="Times New Roman"/>
                <w:sz w:val="24"/>
                <w:szCs w:val="24"/>
              </w:rPr>
            </w:pPr>
            <w:r>
              <w:rPr>
                <w:rFonts w:ascii="Times New Roman" w:hAnsi="Times New Roman"/>
                <w:sz w:val="24"/>
                <w:szCs w:val="24"/>
              </w:rPr>
              <w:t>1</w:t>
            </w:r>
          </w:p>
        </w:tc>
      </w:tr>
      <w:tr w:rsidR="00A63FEF" w:rsidRPr="00AA45E9" w:rsidTr="0025590D">
        <w:tc>
          <w:tcPr>
            <w:tcW w:w="1490" w:type="dxa"/>
            <w:tcBorders>
              <w:bottom w:val="single" w:sz="4" w:space="0" w:color="auto"/>
              <w:right w:val="single" w:sz="4" w:space="0" w:color="auto"/>
            </w:tcBorders>
            <w:shd w:val="clear" w:color="auto" w:fill="002060"/>
          </w:tcPr>
          <w:p w:rsidR="00A63FEF" w:rsidRPr="00AA45E9" w:rsidRDefault="00A63FEF" w:rsidP="00A63FEF">
            <w:pPr>
              <w:spacing w:after="0" w:line="240" w:lineRule="auto"/>
              <w:jc w:val="center"/>
              <w:rPr>
                <w:rFonts w:ascii="Times New Roman" w:hAnsi="Times New Roman"/>
                <w:sz w:val="24"/>
                <w:szCs w:val="24"/>
              </w:rPr>
            </w:pPr>
            <w:r w:rsidRPr="00AA45E9">
              <w:rPr>
                <w:rFonts w:ascii="Times New Roman" w:hAnsi="Times New Roman"/>
                <w:b/>
                <w:sz w:val="24"/>
                <w:szCs w:val="24"/>
              </w:rPr>
              <w:t>Etendue</w:t>
            </w:r>
          </w:p>
        </w:tc>
        <w:tc>
          <w:tcPr>
            <w:tcW w:w="1230" w:type="dxa"/>
            <w:tcBorders>
              <w:left w:val="single" w:sz="4" w:space="0" w:color="auto"/>
              <w:bottom w:val="single" w:sz="4" w:space="0" w:color="auto"/>
              <w:right w:val="single" w:sz="4" w:space="0" w:color="auto"/>
            </w:tcBorders>
          </w:tcPr>
          <w:p w:rsidR="00A63FEF" w:rsidRPr="00867483" w:rsidRDefault="0025590D" w:rsidP="00A63FEF">
            <w:pPr>
              <w:spacing w:after="0" w:line="240" w:lineRule="auto"/>
              <w:jc w:val="center"/>
              <w:rPr>
                <w:rFonts w:ascii="Times New Roman" w:hAnsi="Times New Roman"/>
                <w:sz w:val="24"/>
                <w:szCs w:val="24"/>
              </w:rPr>
            </w:pPr>
            <w:r>
              <w:rPr>
                <w:rFonts w:ascii="Times New Roman" w:hAnsi="Times New Roman"/>
                <w:sz w:val="24"/>
                <w:szCs w:val="24"/>
              </w:rPr>
              <w:t>Ponctuelle</w:t>
            </w:r>
          </w:p>
        </w:tc>
        <w:tc>
          <w:tcPr>
            <w:tcW w:w="433" w:type="dxa"/>
            <w:tcBorders>
              <w:left w:val="single" w:sz="4" w:space="0" w:color="auto"/>
              <w:bottom w:val="single" w:sz="4" w:space="0" w:color="auto"/>
            </w:tcBorders>
          </w:tcPr>
          <w:p w:rsidR="00A63FEF" w:rsidRPr="00867483" w:rsidRDefault="0025590D" w:rsidP="00A63FEF">
            <w:pPr>
              <w:spacing w:after="0" w:line="240" w:lineRule="auto"/>
              <w:jc w:val="center"/>
              <w:rPr>
                <w:rFonts w:ascii="Times New Roman" w:hAnsi="Times New Roman"/>
                <w:sz w:val="24"/>
                <w:szCs w:val="24"/>
              </w:rPr>
            </w:pPr>
            <w:r>
              <w:rPr>
                <w:rFonts w:ascii="Times New Roman" w:hAnsi="Times New Roman"/>
                <w:sz w:val="24"/>
                <w:szCs w:val="24"/>
              </w:rPr>
              <w:t>1</w:t>
            </w:r>
          </w:p>
        </w:tc>
      </w:tr>
      <w:tr w:rsidR="00A63FEF" w:rsidRPr="00AA45E9" w:rsidTr="0025590D">
        <w:tc>
          <w:tcPr>
            <w:tcW w:w="1490" w:type="dxa"/>
            <w:tcBorders>
              <w:bottom w:val="single" w:sz="4" w:space="0" w:color="auto"/>
              <w:right w:val="single" w:sz="4" w:space="0" w:color="auto"/>
            </w:tcBorders>
            <w:shd w:val="clear" w:color="auto" w:fill="002060"/>
          </w:tcPr>
          <w:p w:rsidR="00A63FEF" w:rsidRDefault="00A63FEF" w:rsidP="00A63FEF">
            <w:pPr>
              <w:spacing w:after="0" w:line="240" w:lineRule="auto"/>
              <w:jc w:val="center"/>
              <w:rPr>
                <w:rFonts w:ascii="Times New Roman" w:hAnsi="Times New Roman"/>
                <w:sz w:val="24"/>
                <w:szCs w:val="24"/>
              </w:rPr>
            </w:pPr>
            <w:r w:rsidRPr="00AA45E9">
              <w:rPr>
                <w:rFonts w:ascii="Times New Roman" w:hAnsi="Times New Roman"/>
                <w:b/>
                <w:sz w:val="24"/>
                <w:szCs w:val="24"/>
              </w:rPr>
              <w:t>Durée</w:t>
            </w:r>
          </w:p>
        </w:tc>
        <w:tc>
          <w:tcPr>
            <w:tcW w:w="1230" w:type="dxa"/>
            <w:tcBorders>
              <w:left w:val="single" w:sz="4" w:space="0" w:color="auto"/>
              <w:bottom w:val="single" w:sz="4" w:space="0" w:color="auto"/>
              <w:right w:val="single" w:sz="4" w:space="0" w:color="auto"/>
            </w:tcBorders>
          </w:tcPr>
          <w:p w:rsidR="00A63FEF" w:rsidRPr="00867483" w:rsidRDefault="0025590D" w:rsidP="00A63FEF">
            <w:pPr>
              <w:spacing w:after="0" w:line="240" w:lineRule="auto"/>
              <w:jc w:val="center"/>
              <w:rPr>
                <w:rFonts w:ascii="Times New Roman" w:hAnsi="Times New Roman"/>
                <w:sz w:val="24"/>
                <w:szCs w:val="24"/>
              </w:rPr>
            </w:pPr>
            <w:r>
              <w:rPr>
                <w:rFonts w:ascii="Times New Roman" w:hAnsi="Times New Roman"/>
                <w:sz w:val="24"/>
                <w:szCs w:val="24"/>
              </w:rPr>
              <w:t>Courte</w:t>
            </w:r>
          </w:p>
        </w:tc>
        <w:tc>
          <w:tcPr>
            <w:tcW w:w="433" w:type="dxa"/>
            <w:tcBorders>
              <w:left w:val="single" w:sz="4" w:space="0" w:color="auto"/>
              <w:bottom w:val="single" w:sz="4" w:space="0" w:color="auto"/>
            </w:tcBorders>
          </w:tcPr>
          <w:p w:rsidR="00A63FEF" w:rsidRPr="00867483" w:rsidRDefault="00A63FEF" w:rsidP="00A63FEF">
            <w:pPr>
              <w:spacing w:after="0" w:line="240" w:lineRule="auto"/>
              <w:jc w:val="center"/>
              <w:rPr>
                <w:rFonts w:ascii="Times New Roman" w:hAnsi="Times New Roman"/>
                <w:sz w:val="24"/>
                <w:szCs w:val="24"/>
              </w:rPr>
            </w:pPr>
            <w:r w:rsidRPr="00867483">
              <w:rPr>
                <w:rFonts w:ascii="Times New Roman" w:hAnsi="Times New Roman"/>
                <w:sz w:val="24"/>
                <w:szCs w:val="24"/>
              </w:rPr>
              <w:t>1</w:t>
            </w:r>
          </w:p>
        </w:tc>
      </w:tr>
      <w:tr w:rsidR="00A63FEF" w:rsidRPr="00AA45E9" w:rsidTr="00FC410F">
        <w:tc>
          <w:tcPr>
            <w:tcW w:w="3153" w:type="dxa"/>
            <w:gridSpan w:val="3"/>
            <w:tcBorders>
              <w:bottom w:val="single" w:sz="4" w:space="0" w:color="auto"/>
            </w:tcBorders>
            <w:shd w:val="clear" w:color="auto" w:fill="FFFFFF" w:themeFill="background1"/>
          </w:tcPr>
          <w:p w:rsidR="00A63FEF" w:rsidRPr="00867483" w:rsidRDefault="00A63FEF" w:rsidP="00A63FEF">
            <w:pPr>
              <w:spacing w:after="0" w:line="240" w:lineRule="auto"/>
              <w:jc w:val="center"/>
              <w:rPr>
                <w:rFonts w:ascii="Times New Roman" w:hAnsi="Times New Roman"/>
                <w:sz w:val="6"/>
                <w:szCs w:val="6"/>
              </w:rPr>
            </w:pPr>
          </w:p>
        </w:tc>
      </w:tr>
      <w:tr w:rsidR="00A63FEF" w:rsidRPr="00AA45E9" w:rsidTr="0025590D">
        <w:tc>
          <w:tcPr>
            <w:tcW w:w="1490" w:type="dxa"/>
            <w:tcBorders>
              <w:bottom w:val="dashDotStroked" w:sz="24" w:space="0" w:color="auto"/>
              <w:right w:val="single" w:sz="4" w:space="0" w:color="auto"/>
            </w:tcBorders>
            <w:shd w:val="clear" w:color="auto" w:fill="002060"/>
          </w:tcPr>
          <w:p w:rsidR="00A63FEF" w:rsidRPr="00AA45E9" w:rsidRDefault="00A63FEF" w:rsidP="00A63FEF">
            <w:pPr>
              <w:spacing w:after="0" w:line="240" w:lineRule="auto"/>
              <w:jc w:val="center"/>
              <w:rPr>
                <w:rFonts w:ascii="Times New Roman" w:hAnsi="Times New Roman"/>
                <w:b/>
                <w:sz w:val="24"/>
                <w:szCs w:val="24"/>
              </w:rPr>
            </w:pPr>
            <w:r w:rsidRPr="00AA45E9">
              <w:rPr>
                <w:rFonts w:ascii="Times New Roman" w:hAnsi="Times New Roman"/>
                <w:b/>
                <w:sz w:val="24"/>
                <w:szCs w:val="24"/>
              </w:rPr>
              <w:t>Importance</w:t>
            </w:r>
          </w:p>
        </w:tc>
        <w:tc>
          <w:tcPr>
            <w:tcW w:w="1230" w:type="dxa"/>
            <w:tcBorders>
              <w:left w:val="single" w:sz="4" w:space="0" w:color="auto"/>
              <w:bottom w:val="dashDotStroked" w:sz="24" w:space="0" w:color="auto"/>
              <w:right w:val="single" w:sz="4" w:space="0" w:color="auto"/>
            </w:tcBorders>
            <w:shd w:val="clear" w:color="auto" w:fill="92D050"/>
          </w:tcPr>
          <w:p w:rsidR="00A63FEF" w:rsidRPr="008E6D9C" w:rsidRDefault="0025590D" w:rsidP="00A63FEF">
            <w:pPr>
              <w:spacing w:after="0" w:line="240" w:lineRule="auto"/>
              <w:jc w:val="center"/>
              <w:rPr>
                <w:rFonts w:ascii="Times New Roman" w:hAnsi="Times New Roman"/>
                <w:b/>
                <w:sz w:val="24"/>
                <w:szCs w:val="24"/>
              </w:rPr>
            </w:pPr>
            <w:r>
              <w:rPr>
                <w:rFonts w:ascii="Times New Roman" w:hAnsi="Times New Roman"/>
                <w:b/>
                <w:sz w:val="24"/>
                <w:szCs w:val="24"/>
              </w:rPr>
              <w:t>Mineure</w:t>
            </w:r>
          </w:p>
        </w:tc>
        <w:tc>
          <w:tcPr>
            <w:tcW w:w="433" w:type="dxa"/>
            <w:tcBorders>
              <w:left w:val="single" w:sz="4" w:space="0" w:color="auto"/>
              <w:bottom w:val="dashDotStroked" w:sz="24" w:space="0" w:color="auto"/>
            </w:tcBorders>
            <w:shd w:val="clear" w:color="auto" w:fill="92D050"/>
          </w:tcPr>
          <w:p w:rsidR="00A63FEF" w:rsidRPr="008E6D9C" w:rsidRDefault="0025590D" w:rsidP="00A63FEF">
            <w:pPr>
              <w:spacing w:after="0" w:line="240" w:lineRule="auto"/>
              <w:jc w:val="center"/>
              <w:rPr>
                <w:rFonts w:ascii="Times New Roman" w:hAnsi="Times New Roman"/>
                <w:b/>
                <w:sz w:val="24"/>
                <w:szCs w:val="24"/>
              </w:rPr>
            </w:pPr>
            <w:r>
              <w:rPr>
                <w:rFonts w:ascii="Times New Roman" w:hAnsi="Times New Roman"/>
                <w:b/>
                <w:sz w:val="24"/>
                <w:szCs w:val="24"/>
              </w:rPr>
              <w:t>1</w:t>
            </w:r>
          </w:p>
        </w:tc>
      </w:tr>
    </w:tbl>
    <w:p w:rsidR="00EF6556" w:rsidRPr="00B10C82" w:rsidRDefault="00EF6556" w:rsidP="00FA3FAE">
      <w:pPr>
        <w:pStyle w:val="PargrafodaLista"/>
        <w:numPr>
          <w:ilvl w:val="0"/>
          <w:numId w:val="41"/>
        </w:numPr>
        <w:pBdr>
          <w:bottom w:val="dashDotStroked" w:sz="24" w:space="1" w:color="auto"/>
        </w:pBdr>
        <w:jc w:val="both"/>
        <w:rPr>
          <w:rFonts w:ascii="Times New Roman" w:hAnsi="Times New Roman"/>
          <w:b/>
          <w:sz w:val="24"/>
          <w:szCs w:val="24"/>
        </w:rPr>
      </w:pPr>
      <w:r w:rsidRPr="00B10C82">
        <w:rPr>
          <w:rFonts w:ascii="Times New Roman" w:hAnsi="Times New Roman"/>
          <w:b/>
          <w:sz w:val="24"/>
          <w:szCs w:val="24"/>
        </w:rPr>
        <w:t>Impacts négatifs sur le paysage urbain</w:t>
      </w:r>
    </w:p>
    <w:p w:rsidR="00A63F09" w:rsidRDefault="002E4843" w:rsidP="002E4843">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En vue de la localisation précise des sites de réalisation </w:t>
      </w:r>
      <w:r w:rsidR="00880031">
        <w:rPr>
          <w:rFonts w:ascii="Times New Roman" w:hAnsi="Times New Roman" w:cs="Times New Roman"/>
          <w:color w:val="000000"/>
          <w:sz w:val="24"/>
          <w:szCs w:val="24"/>
        </w:rPr>
        <w:t>des réservoirs, l</w:t>
      </w:r>
      <w:r w:rsidR="00A63FEF">
        <w:rPr>
          <w:rFonts w:ascii="Times New Roman" w:hAnsi="Times New Roman" w:cs="Times New Roman"/>
          <w:color w:val="000000"/>
          <w:sz w:val="24"/>
          <w:szCs w:val="24"/>
        </w:rPr>
        <w:t xml:space="preserve">es travaux ne modifieront </w:t>
      </w:r>
      <w:r w:rsidRPr="002E4843">
        <w:rPr>
          <w:rFonts w:ascii="Times New Roman" w:hAnsi="Times New Roman" w:cs="Times New Roman"/>
          <w:color w:val="000000"/>
          <w:sz w:val="24"/>
          <w:szCs w:val="24"/>
        </w:rPr>
        <w:t>pas</w:t>
      </w:r>
      <w:r w:rsidR="00A63FEF">
        <w:rPr>
          <w:rFonts w:ascii="Times New Roman" w:hAnsi="Times New Roman" w:cs="Times New Roman"/>
          <w:color w:val="000000"/>
          <w:sz w:val="24"/>
          <w:szCs w:val="24"/>
        </w:rPr>
        <w:t xml:space="preserve"> </w:t>
      </w:r>
      <w:r w:rsidRPr="002E4843">
        <w:rPr>
          <w:rFonts w:ascii="Times New Roman" w:hAnsi="Times New Roman" w:cs="Times New Roman"/>
          <w:color w:val="000000"/>
          <w:sz w:val="24"/>
          <w:szCs w:val="24"/>
        </w:rPr>
        <w:t>significativement le paysage urbain</w:t>
      </w:r>
      <w:r w:rsidR="00880031">
        <w:rPr>
          <w:rFonts w:ascii="Times New Roman" w:hAnsi="Times New Roman" w:cs="Times New Roman"/>
          <w:color w:val="000000"/>
          <w:sz w:val="24"/>
          <w:szCs w:val="24"/>
        </w:rPr>
        <w:t>,</w:t>
      </w:r>
      <w:r w:rsidRPr="002E4843">
        <w:rPr>
          <w:rFonts w:ascii="Times New Roman" w:hAnsi="Times New Roman" w:cs="Times New Roman"/>
          <w:color w:val="000000"/>
          <w:sz w:val="24"/>
          <w:szCs w:val="24"/>
        </w:rPr>
        <w:t xml:space="preserve"> </w:t>
      </w:r>
      <w:r w:rsidR="00880031">
        <w:rPr>
          <w:rFonts w:ascii="Times New Roman" w:hAnsi="Times New Roman" w:cs="Times New Roman"/>
          <w:color w:val="000000"/>
          <w:sz w:val="24"/>
          <w:szCs w:val="24"/>
        </w:rPr>
        <w:t>de même que l’installation des bases de chantier.</w:t>
      </w:r>
    </w:p>
    <w:p w:rsidR="00A63FEF" w:rsidRDefault="00A63FEF" w:rsidP="002E4843">
      <w:pPr>
        <w:jc w:val="both"/>
        <w:rPr>
          <w:rFonts w:ascii="Times New Roman" w:hAnsi="Times New Roman" w:cs="Times New Roman"/>
          <w:color w:val="000000"/>
          <w:sz w:val="24"/>
          <w:szCs w:val="24"/>
        </w:rPr>
      </w:pPr>
    </w:p>
    <w:p w:rsidR="00260E99" w:rsidRDefault="00260E99" w:rsidP="002E4843">
      <w:pPr>
        <w:jc w:val="both"/>
        <w:rPr>
          <w:rFonts w:ascii="Times New Roman" w:hAnsi="Times New Roman" w:cs="Times New Roman"/>
          <w:color w:val="000000"/>
          <w:sz w:val="24"/>
          <w:szCs w:val="24"/>
        </w:rPr>
      </w:pPr>
    </w:p>
    <w:p w:rsidR="00880031" w:rsidRDefault="00880031" w:rsidP="00820701">
      <w:pPr>
        <w:pStyle w:val="Cabealho3"/>
      </w:pPr>
      <w:bookmarkStart w:id="338" w:name="_Toc535396955"/>
      <w:bookmarkStart w:id="339" w:name="_Toc11158355"/>
      <w:bookmarkStart w:id="340" w:name="_Toc51072577"/>
      <w:r>
        <w:t>6</w:t>
      </w:r>
      <w:r w:rsidRPr="00C05CFC">
        <w:t>.2.2.</w:t>
      </w:r>
      <w:r>
        <w:t>2.</w:t>
      </w:r>
      <w:r w:rsidRPr="00C05CFC">
        <w:t xml:space="preserve"> Impacts en phase d’exploitation</w:t>
      </w:r>
      <w:bookmarkEnd w:id="338"/>
      <w:bookmarkEnd w:id="339"/>
      <w:bookmarkEnd w:id="340"/>
    </w:p>
    <w:p w:rsidR="00A63F09" w:rsidRPr="00260E99" w:rsidRDefault="009E6A53" w:rsidP="00260E99">
      <w:pPr>
        <w:jc w:val="both"/>
        <w:rPr>
          <w:rFonts w:ascii="Times New Roman" w:hAnsi="Times New Roman"/>
          <w:sz w:val="24"/>
          <w:szCs w:val="24"/>
        </w:rPr>
      </w:pPr>
      <w:r>
        <w:rPr>
          <w:rFonts w:ascii="Times New Roman" w:hAnsi="Times New Roman"/>
          <w:sz w:val="24"/>
          <w:szCs w:val="24"/>
        </w:rPr>
        <w:t>En phase d’exploitation</w:t>
      </w:r>
      <w:r w:rsidR="00880031" w:rsidRPr="0040796D">
        <w:rPr>
          <w:rFonts w:ascii="Times New Roman" w:hAnsi="Times New Roman"/>
          <w:sz w:val="24"/>
          <w:szCs w:val="24"/>
        </w:rPr>
        <w:t>, les impacts négatifs attendus ident</w:t>
      </w:r>
      <w:r>
        <w:rPr>
          <w:rFonts w:ascii="Times New Roman" w:hAnsi="Times New Roman"/>
          <w:sz w:val="24"/>
          <w:szCs w:val="24"/>
        </w:rPr>
        <w:t>ifiés sont liés à la présence des réservoirs et l’ensemble des équipements nécessaires.</w:t>
      </w:r>
    </w:p>
    <w:tbl>
      <w:tblPr>
        <w:tblpPr w:leftFromText="141" w:rightFromText="141" w:vertAnchor="text" w:horzAnchor="margin" w:tblpXSpec="right" w:tblpY="413"/>
        <w:tblW w:w="3153" w:type="dxa"/>
        <w:tblBorders>
          <w:top w:val="single" w:sz="4" w:space="0" w:color="auto"/>
          <w:left w:val="dashDotStroked" w:sz="24" w:space="0" w:color="auto"/>
          <w:bottom w:val="dashDotStroked" w:sz="24" w:space="0" w:color="auto"/>
          <w:right w:val="dashDotStroked" w:sz="24" w:space="0" w:color="auto"/>
          <w:insideH w:val="single" w:sz="4" w:space="0" w:color="auto"/>
          <w:insideV w:val="dashDotStroked" w:sz="24" w:space="0" w:color="auto"/>
        </w:tblBorders>
        <w:tblLook w:val="04A0" w:firstRow="1" w:lastRow="0" w:firstColumn="1" w:lastColumn="0" w:noHBand="0" w:noVBand="1"/>
      </w:tblPr>
      <w:tblGrid>
        <w:gridCol w:w="1490"/>
        <w:gridCol w:w="1230"/>
        <w:gridCol w:w="433"/>
      </w:tblGrid>
      <w:tr w:rsidR="00A63FEF" w:rsidRPr="00AA45E9" w:rsidTr="00A63FEF">
        <w:tc>
          <w:tcPr>
            <w:tcW w:w="3153" w:type="dxa"/>
            <w:gridSpan w:val="3"/>
            <w:tcBorders>
              <w:bottom w:val="single" w:sz="4" w:space="0" w:color="auto"/>
            </w:tcBorders>
            <w:shd w:val="clear" w:color="auto" w:fill="002060"/>
          </w:tcPr>
          <w:p w:rsidR="00A63FEF" w:rsidRPr="00867483" w:rsidRDefault="00A63FEF" w:rsidP="00A63FEF">
            <w:pPr>
              <w:spacing w:after="0" w:line="240" w:lineRule="auto"/>
              <w:jc w:val="center"/>
              <w:rPr>
                <w:rFonts w:ascii="Times New Roman" w:hAnsi="Times New Roman"/>
                <w:b/>
                <w:sz w:val="24"/>
                <w:szCs w:val="24"/>
              </w:rPr>
            </w:pPr>
            <w:r w:rsidRPr="00867483">
              <w:rPr>
                <w:rFonts w:ascii="Times New Roman" w:hAnsi="Times New Roman"/>
                <w:b/>
                <w:sz w:val="24"/>
                <w:szCs w:val="24"/>
              </w:rPr>
              <w:t>Caractérisation de l’impact</w:t>
            </w:r>
          </w:p>
        </w:tc>
      </w:tr>
      <w:tr w:rsidR="0025590D" w:rsidRPr="00AA45E9" w:rsidTr="0025590D">
        <w:tc>
          <w:tcPr>
            <w:tcW w:w="1490" w:type="dxa"/>
            <w:tcBorders>
              <w:bottom w:val="single" w:sz="4" w:space="0" w:color="auto"/>
              <w:right w:val="single" w:sz="4" w:space="0" w:color="auto"/>
            </w:tcBorders>
            <w:shd w:val="clear" w:color="auto" w:fill="002060"/>
          </w:tcPr>
          <w:p w:rsidR="0025590D" w:rsidRPr="00AA45E9" w:rsidRDefault="0025590D" w:rsidP="00A63FEF">
            <w:pPr>
              <w:spacing w:after="0" w:line="240" w:lineRule="auto"/>
              <w:jc w:val="center"/>
              <w:rPr>
                <w:rFonts w:ascii="Times New Roman" w:hAnsi="Times New Roman"/>
                <w:b/>
                <w:sz w:val="24"/>
                <w:szCs w:val="24"/>
              </w:rPr>
            </w:pPr>
            <w:r>
              <w:rPr>
                <w:rFonts w:ascii="Times New Roman" w:hAnsi="Times New Roman"/>
                <w:b/>
                <w:sz w:val="24"/>
                <w:szCs w:val="24"/>
              </w:rPr>
              <w:t xml:space="preserve">Nature </w:t>
            </w:r>
          </w:p>
        </w:tc>
        <w:tc>
          <w:tcPr>
            <w:tcW w:w="1663" w:type="dxa"/>
            <w:gridSpan w:val="2"/>
            <w:tcBorders>
              <w:left w:val="single" w:sz="4" w:space="0" w:color="auto"/>
              <w:bottom w:val="single" w:sz="4" w:space="0" w:color="auto"/>
            </w:tcBorders>
            <w:shd w:val="clear" w:color="auto" w:fill="auto"/>
          </w:tcPr>
          <w:p w:rsidR="0025590D" w:rsidRPr="00867483" w:rsidRDefault="0025590D" w:rsidP="00A63FEF">
            <w:pPr>
              <w:spacing w:after="0" w:line="240" w:lineRule="auto"/>
              <w:jc w:val="center"/>
              <w:rPr>
                <w:rFonts w:ascii="Times New Roman" w:hAnsi="Times New Roman"/>
                <w:sz w:val="24"/>
                <w:szCs w:val="24"/>
              </w:rPr>
            </w:pPr>
            <w:r w:rsidRPr="00E96A04">
              <w:rPr>
                <w:rFonts w:ascii="Times New Roman" w:hAnsi="Times New Roman"/>
                <w:b/>
                <w:sz w:val="24"/>
                <w:szCs w:val="24"/>
              </w:rPr>
              <w:t>Négatif</w:t>
            </w:r>
          </w:p>
        </w:tc>
      </w:tr>
      <w:tr w:rsidR="00A63FEF" w:rsidRPr="00AA45E9" w:rsidTr="0025590D">
        <w:tc>
          <w:tcPr>
            <w:tcW w:w="1490" w:type="dxa"/>
            <w:tcBorders>
              <w:bottom w:val="single" w:sz="4" w:space="0" w:color="auto"/>
              <w:right w:val="single" w:sz="4" w:space="0" w:color="auto"/>
            </w:tcBorders>
            <w:shd w:val="clear" w:color="auto" w:fill="002060"/>
          </w:tcPr>
          <w:p w:rsidR="00A63FEF" w:rsidRPr="00AA45E9" w:rsidRDefault="00A63FEF" w:rsidP="00A63FEF">
            <w:pPr>
              <w:spacing w:after="0" w:line="240" w:lineRule="auto"/>
              <w:jc w:val="center"/>
              <w:rPr>
                <w:rFonts w:ascii="Times New Roman" w:hAnsi="Times New Roman"/>
                <w:b/>
                <w:sz w:val="24"/>
                <w:szCs w:val="24"/>
              </w:rPr>
            </w:pPr>
            <w:r w:rsidRPr="00AA45E9">
              <w:rPr>
                <w:rFonts w:ascii="Times New Roman" w:hAnsi="Times New Roman"/>
                <w:b/>
                <w:sz w:val="24"/>
                <w:szCs w:val="24"/>
              </w:rPr>
              <w:t>Intensité</w:t>
            </w:r>
          </w:p>
        </w:tc>
        <w:tc>
          <w:tcPr>
            <w:tcW w:w="1230" w:type="dxa"/>
            <w:tcBorders>
              <w:left w:val="single" w:sz="4" w:space="0" w:color="auto"/>
              <w:bottom w:val="single" w:sz="4" w:space="0" w:color="auto"/>
              <w:right w:val="single" w:sz="4" w:space="0" w:color="auto"/>
            </w:tcBorders>
            <w:shd w:val="clear" w:color="auto" w:fill="auto"/>
          </w:tcPr>
          <w:p w:rsidR="00A63FEF" w:rsidRPr="00867483" w:rsidRDefault="0025590D" w:rsidP="00A63FEF">
            <w:pPr>
              <w:spacing w:after="0" w:line="240" w:lineRule="auto"/>
              <w:jc w:val="center"/>
              <w:rPr>
                <w:rFonts w:ascii="Times New Roman" w:hAnsi="Times New Roman"/>
                <w:sz w:val="24"/>
                <w:szCs w:val="24"/>
              </w:rPr>
            </w:pPr>
            <w:r>
              <w:rPr>
                <w:rFonts w:ascii="Times New Roman" w:hAnsi="Times New Roman"/>
                <w:sz w:val="24"/>
                <w:szCs w:val="24"/>
              </w:rPr>
              <w:t>Faible</w:t>
            </w:r>
          </w:p>
        </w:tc>
        <w:tc>
          <w:tcPr>
            <w:tcW w:w="433" w:type="dxa"/>
            <w:tcBorders>
              <w:left w:val="single" w:sz="4" w:space="0" w:color="auto"/>
              <w:bottom w:val="single" w:sz="4" w:space="0" w:color="auto"/>
            </w:tcBorders>
            <w:shd w:val="clear" w:color="auto" w:fill="auto"/>
          </w:tcPr>
          <w:p w:rsidR="00A63FEF" w:rsidRPr="00867483" w:rsidRDefault="0025590D" w:rsidP="00A63FEF">
            <w:pPr>
              <w:spacing w:after="0" w:line="240" w:lineRule="auto"/>
              <w:jc w:val="center"/>
              <w:rPr>
                <w:rFonts w:ascii="Times New Roman" w:hAnsi="Times New Roman"/>
                <w:sz w:val="24"/>
                <w:szCs w:val="24"/>
              </w:rPr>
            </w:pPr>
            <w:r>
              <w:rPr>
                <w:rFonts w:ascii="Times New Roman" w:hAnsi="Times New Roman"/>
                <w:sz w:val="24"/>
                <w:szCs w:val="24"/>
              </w:rPr>
              <w:t>1</w:t>
            </w:r>
          </w:p>
        </w:tc>
      </w:tr>
      <w:tr w:rsidR="00A63FEF" w:rsidRPr="00AA45E9" w:rsidTr="0025590D">
        <w:tc>
          <w:tcPr>
            <w:tcW w:w="1490" w:type="dxa"/>
            <w:tcBorders>
              <w:bottom w:val="single" w:sz="4" w:space="0" w:color="auto"/>
              <w:right w:val="single" w:sz="4" w:space="0" w:color="auto"/>
            </w:tcBorders>
            <w:shd w:val="clear" w:color="auto" w:fill="002060"/>
          </w:tcPr>
          <w:p w:rsidR="00A63FEF" w:rsidRPr="00AA45E9" w:rsidRDefault="00A63FEF" w:rsidP="00A63FEF">
            <w:pPr>
              <w:spacing w:after="0" w:line="240" w:lineRule="auto"/>
              <w:jc w:val="center"/>
              <w:rPr>
                <w:rFonts w:ascii="Times New Roman" w:hAnsi="Times New Roman"/>
                <w:sz w:val="24"/>
                <w:szCs w:val="24"/>
              </w:rPr>
            </w:pPr>
            <w:r w:rsidRPr="00AA45E9">
              <w:rPr>
                <w:rFonts w:ascii="Times New Roman" w:hAnsi="Times New Roman"/>
                <w:b/>
                <w:sz w:val="24"/>
                <w:szCs w:val="24"/>
              </w:rPr>
              <w:t>Etendue</w:t>
            </w:r>
          </w:p>
        </w:tc>
        <w:tc>
          <w:tcPr>
            <w:tcW w:w="1230" w:type="dxa"/>
            <w:tcBorders>
              <w:left w:val="single" w:sz="4" w:space="0" w:color="auto"/>
              <w:bottom w:val="single" w:sz="4" w:space="0" w:color="auto"/>
              <w:right w:val="single" w:sz="4" w:space="0" w:color="auto"/>
            </w:tcBorders>
          </w:tcPr>
          <w:p w:rsidR="00A63FEF" w:rsidRPr="00867483" w:rsidRDefault="0025590D" w:rsidP="00A63FEF">
            <w:pPr>
              <w:spacing w:after="0" w:line="240" w:lineRule="auto"/>
              <w:jc w:val="center"/>
              <w:rPr>
                <w:rFonts w:ascii="Times New Roman" w:hAnsi="Times New Roman"/>
                <w:sz w:val="24"/>
                <w:szCs w:val="24"/>
              </w:rPr>
            </w:pPr>
            <w:r>
              <w:rPr>
                <w:rFonts w:ascii="Times New Roman" w:hAnsi="Times New Roman"/>
                <w:sz w:val="24"/>
                <w:szCs w:val="24"/>
              </w:rPr>
              <w:t>Ponctuelle</w:t>
            </w:r>
          </w:p>
        </w:tc>
        <w:tc>
          <w:tcPr>
            <w:tcW w:w="433" w:type="dxa"/>
            <w:tcBorders>
              <w:left w:val="single" w:sz="4" w:space="0" w:color="auto"/>
              <w:bottom w:val="single" w:sz="4" w:space="0" w:color="auto"/>
            </w:tcBorders>
          </w:tcPr>
          <w:p w:rsidR="00A63FEF" w:rsidRPr="00867483" w:rsidRDefault="0025590D" w:rsidP="00A63FEF">
            <w:pPr>
              <w:spacing w:after="0" w:line="240" w:lineRule="auto"/>
              <w:jc w:val="center"/>
              <w:rPr>
                <w:rFonts w:ascii="Times New Roman" w:hAnsi="Times New Roman"/>
                <w:sz w:val="24"/>
                <w:szCs w:val="24"/>
              </w:rPr>
            </w:pPr>
            <w:r>
              <w:rPr>
                <w:rFonts w:ascii="Times New Roman" w:hAnsi="Times New Roman"/>
                <w:sz w:val="24"/>
                <w:szCs w:val="24"/>
              </w:rPr>
              <w:t>1</w:t>
            </w:r>
          </w:p>
        </w:tc>
      </w:tr>
      <w:tr w:rsidR="00A63FEF" w:rsidRPr="00AA45E9" w:rsidTr="0025590D">
        <w:tc>
          <w:tcPr>
            <w:tcW w:w="1490" w:type="dxa"/>
            <w:tcBorders>
              <w:bottom w:val="single" w:sz="4" w:space="0" w:color="auto"/>
              <w:right w:val="single" w:sz="4" w:space="0" w:color="auto"/>
            </w:tcBorders>
            <w:shd w:val="clear" w:color="auto" w:fill="002060"/>
          </w:tcPr>
          <w:p w:rsidR="00A63FEF" w:rsidRDefault="00A63FEF" w:rsidP="00A63FEF">
            <w:pPr>
              <w:spacing w:after="0" w:line="240" w:lineRule="auto"/>
              <w:jc w:val="center"/>
              <w:rPr>
                <w:rFonts w:ascii="Times New Roman" w:hAnsi="Times New Roman"/>
                <w:sz w:val="24"/>
                <w:szCs w:val="24"/>
              </w:rPr>
            </w:pPr>
            <w:r w:rsidRPr="00AA45E9">
              <w:rPr>
                <w:rFonts w:ascii="Times New Roman" w:hAnsi="Times New Roman"/>
                <w:b/>
                <w:sz w:val="24"/>
                <w:szCs w:val="24"/>
              </w:rPr>
              <w:t>Durée</w:t>
            </w:r>
          </w:p>
        </w:tc>
        <w:tc>
          <w:tcPr>
            <w:tcW w:w="1230" w:type="dxa"/>
            <w:tcBorders>
              <w:left w:val="single" w:sz="4" w:space="0" w:color="auto"/>
              <w:bottom w:val="single" w:sz="4" w:space="0" w:color="auto"/>
              <w:right w:val="single" w:sz="4" w:space="0" w:color="auto"/>
            </w:tcBorders>
          </w:tcPr>
          <w:p w:rsidR="00A63FEF" w:rsidRPr="00867483" w:rsidRDefault="00A63FEF" w:rsidP="00A63FEF">
            <w:pPr>
              <w:spacing w:after="0" w:line="240" w:lineRule="auto"/>
              <w:jc w:val="center"/>
              <w:rPr>
                <w:rFonts w:ascii="Times New Roman" w:hAnsi="Times New Roman"/>
                <w:sz w:val="24"/>
                <w:szCs w:val="24"/>
              </w:rPr>
            </w:pPr>
            <w:r>
              <w:rPr>
                <w:rFonts w:ascii="Times New Roman" w:hAnsi="Times New Roman"/>
                <w:sz w:val="24"/>
                <w:szCs w:val="24"/>
              </w:rPr>
              <w:t>Longue</w:t>
            </w:r>
          </w:p>
        </w:tc>
        <w:tc>
          <w:tcPr>
            <w:tcW w:w="433" w:type="dxa"/>
            <w:tcBorders>
              <w:left w:val="single" w:sz="4" w:space="0" w:color="auto"/>
              <w:bottom w:val="single" w:sz="4" w:space="0" w:color="auto"/>
            </w:tcBorders>
          </w:tcPr>
          <w:p w:rsidR="00A63FEF" w:rsidRPr="00867483" w:rsidRDefault="0025590D" w:rsidP="00A63FEF">
            <w:pPr>
              <w:spacing w:after="0" w:line="240" w:lineRule="auto"/>
              <w:jc w:val="center"/>
              <w:rPr>
                <w:rFonts w:ascii="Times New Roman" w:hAnsi="Times New Roman"/>
                <w:sz w:val="24"/>
                <w:szCs w:val="24"/>
              </w:rPr>
            </w:pPr>
            <w:r>
              <w:rPr>
                <w:rFonts w:ascii="Times New Roman" w:hAnsi="Times New Roman"/>
                <w:sz w:val="24"/>
                <w:szCs w:val="24"/>
              </w:rPr>
              <w:t>5</w:t>
            </w:r>
          </w:p>
        </w:tc>
      </w:tr>
      <w:tr w:rsidR="00A63FEF" w:rsidRPr="00AA45E9" w:rsidTr="00FC410F">
        <w:tc>
          <w:tcPr>
            <w:tcW w:w="3153" w:type="dxa"/>
            <w:gridSpan w:val="3"/>
            <w:tcBorders>
              <w:bottom w:val="single" w:sz="4" w:space="0" w:color="auto"/>
            </w:tcBorders>
            <w:shd w:val="clear" w:color="auto" w:fill="FFFFFF" w:themeFill="background1"/>
          </w:tcPr>
          <w:p w:rsidR="00A63FEF" w:rsidRPr="00867483" w:rsidRDefault="00A63FEF" w:rsidP="00A63FEF">
            <w:pPr>
              <w:spacing w:after="0" w:line="240" w:lineRule="auto"/>
              <w:jc w:val="center"/>
              <w:rPr>
                <w:rFonts w:ascii="Times New Roman" w:hAnsi="Times New Roman"/>
                <w:sz w:val="6"/>
                <w:szCs w:val="6"/>
              </w:rPr>
            </w:pPr>
          </w:p>
        </w:tc>
      </w:tr>
      <w:tr w:rsidR="00A63FEF" w:rsidRPr="00AA45E9" w:rsidTr="0025590D">
        <w:tc>
          <w:tcPr>
            <w:tcW w:w="1490" w:type="dxa"/>
            <w:tcBorders>
              <w:bottom w:val="dashDotStroked" w:sz="24" w:space="0" w:color="auto"/>
              <w:right w:val="single" w:sz="4" w:space="0" w:color="auto"/>
            </w:tcBorders>
            <w:shd w:val="clear" w:color="auto" w:fill="002060"/>
          </w:tcPr>
          <w:p w:rsidR="00A63FEF" w:rsidRPr="00AA45E9" w:rsidRDefault="00A63FEF" w:rsidP="00A63FEF">
            <w:pPr>
              <w:spacing w:after="0" w:line="240" w:lineRule="auto"/>
              <w:jc w:val="center"/>
              <w:rPr>
                <w:rFonts w:ascii="Times New Roman" w:hAnsi="Times New Roman"/>
                <w:b/>
                <w:sz w:val="24"/>
                <w:szCs w:val="24"/>
              </w:rPr>
            </w:pPr>
            <w:r w:rsidRPr="00AA45E9">
              <w:rPr>
                <w:rFonts w:ascii="Times New Roman" w:hAnsi="Times New Roman"/>
                <w:b/>
                <w:sz w:val="24"/>
                <w:szCs w:val="24"/>
              </w:rPr>
              <w:t>Importance</w:t>
            </w:r>
          </w:p>
        </w:tc>
        <w:tc>
          <w:tcPr>
            <w:tcW w:w="1230" w:type="dxa"/>
            <w:tcBorders>
              <w:left w:val="single" w:sz="4" w:space="0" w:color="auto"/>
              <w:bottom w:val="dashDotStroked" w:sz="24" w:space="0" w:color="auto"/>
              <w:right w:val="single" w:sz="4" w:space="0" w:color="auto"/>
            </w:tcBorders>
            <w:shd w:val="clear" w:color="auto" w:fill="92D050"/>
          </w:tcPr>
          <w:p w:rsidR="00A63FEF" w:rsidRPr="008E6D9C" w:rsidRDefault="0025590D" w:rsidP="00A63FEF">
            <w:pPr>
              <w:spacing w:after="0" w:line="240" w:lineRule="auto"/>
              <w:jc w:val="center"/>
              <w:rPr>
                <w:rFonts w:ascii="Times New Roman" w:hAnsi="Times New Roman"/>
                <w:b/>
                <w:sz w:val="24"/>
                <w:szCs w:val="24"/>
              </w:rPr>
            </w:pPr>
            <w:r>
              <w:rPr>
                <w:rFonts w:ascii="Times New Roman" w:hAnsi="Times New Roman"/>
                <w:b/>
                <w:sz w:val="24"/>
                <w:szCs w:val="24"/>
              </w:rPr>
              <w:t>Mineure</w:t>
            </w:r>
          </w:p>
        </w:tc>
        <w:tc>
          <w:tcPr>
            <w:tcW w:w="433" w:type="dxa"/>
            <w:tcBorders>
              <w:left w:val="single" w:sz="4" w:space="0" w:color="auto"/>
              <w:bottom w:val="dashDotStroked" w:sz="24" w:space="0" w:color="auto"/>
            </w:tcBorders>
            <w:shd w:val="clear" w:color="auto" w:fill="92D050"/>
          </w:tcPr>
          <w:p w:rsidR="00A63FEF" w:rsidRPr="008E6D9C" w:rsidRDefault="00A63FEF" w:rsidP="00A63FEF">
            <w:pPr>
              <w:spacing w:after="0" w:line="240" w:lineRule="auto"/>
              <w:jc w:val="center"/>
              <w:rPr>
                <w:rFonts w:ascii="Times New Roman" w:hAnsi="Times New Roman"/>
                <w:b/>
                <w:sz w:val="24"/>
                <w:szCs w:val="24"/>
              </w:rPr>
            </w:pPr>
            <w:r w:rsidRPr="008E6D9C">
              <w:rPr>
                <w:rFonts w:ascii="Times New Roman" w:hAnsi="Times New Roman"/>
                <w:b/>
                <w:sz w:val="24"/>
                <w:szCs w:val="24"/>
              </w:rPr>
              <w:t>5</w:t>
            </w:r>
          </w:p>
        </w:tc>
      </w:tr>
    </w:tbl>
    <w:p w:rsidR="00FE6762" w:rsidRPr="00B10C82" w:rsidRDefault="00FE6762" w:rsidP="00FA3FAE">
      <w:pPr>
        <w:pStyle w:val="PargrafodaLista"/>
        <w:numPr>
          <w:ilvl w:val="0"/>
          <w:numId w:val="41"/>
        </w:numPr>
        <w:pBdr>
          <w:bottom w:val="dashDotStroked" w:sz="24" w:space="1" w:color="auto"/>
        </w:pBdr>
        <w:jc w:val="both"/>
        <w:rPr>
          <w:rFonts w:ascii="Times New Roman" w:hAnsi="Times New Roman"/>
          <w:b/>
          <w:sz w:val="24"/>
          <w:szCs w:val="24"/>
        </w:rPr>
      </w:pPr>
      <w:r w:rsidRPr="00B10C82">
        <w:rPr>
          <w:rFonts w:ascii="Times New Roman" w:hAnsi="Times New Roman"/>
          <w:b/>
          <w:sz w:val="24"/>
          <w:szCs w:val="24"/>
        </w:rPr>
        <w:t xml:space="preserve">-Modification du paysage </w:t>
      </w:r>
    </w:p>
    <w:p w:rsidR="00C22429" w:rsidRDefault="00FE6762" w:rsidP="00C22429">
      <w:pPr>
        <w:jc w:val="both"/>
        <w:rPr>
          <w:rFonts w:ascii="Times New Roman" w:hAnsi="Times New Roman" w:cs="Times New Roman"/>
          <w:color w:val="000000"/>
          <w:sz w:val="24"/>
          <w:szCs w:val="24"/>
        </w:rPr>
      </w:pPr>
      <w:r w:rsidRPr="00FE6762">
        <w:rPr>
          <w:rFonts w:ascii="Times New Roman" w:hAnsi="Times New Roman" w:cs="Times New Roman"/>
          <w:color w:val="000000"/>
          <w:sz w:val="24"/>
          <w:szCs w:val="24"/>
        </w:rPr>
        <w:t>Le</w:t>
      </w:r>
      <w:r w:rsidR="009E6A53">
        <w:rPr>
          <w:rFonts w:ascii="Times New Roman" w:hAnsi="Times New Roman" w:cs="Times New Roman"/>
          <w:color w:val="000000"/>
          <w:sz w:val="24"/>
          <w:szCs w:val="24"/>
        </w:rPr>
        <w:t>s</w:t>
      </w:r>
      <w:r w:rsidRPr="00FE6762">
        <w:rPr>
          <w:rFonts w:ascii="Times New Roman" w:hAnsi="Times New Roman" w:cs="Times New Roman"/>
          <w:color w:val="000000"/>
          <w:sz w:val="24"/>
          <w:szCs w:val="24"/>
        </w:rPr>
        <w:t xml:space="preserve"> réservoir</w:t>
      </w:r>
      <w:r w:rsidR="009E6A53">
        <w:rPr>
          <w:rFonts w:ascii="Times New Roman" w:hAnsi="Times New Roman" w:cs="Times New Roman"/>
          <w:color w:val="000000"/>
          <w:sz w:val="24"/>
          <w:szCs w:val="24"/>
        </w:rPr>
        <w:t>s</w:t>
      </w:r>
      <w:r w:rsidRPr="00FE6762">
        <w:rPr>
          <w:rFonts w:ascii="Times New Roman" w:hAnsi="Times New Roman" w:cs="Times New Roman"/>
          <w:color w:val="000000"/>
          <w:sz w:val="24"/>
          <w:szCs w:val="24"/>
        </w:rPr>
        <w:t xml:space="preserve"> modifier</w:t>
      </w:r>
      <w:r w:rsidR="009E6A53">
        <w:rPr>
          <w:rFonts w:ascii="Times New Roman" w:hAnsi="Times New Roman" w:cs="Times New Roman"/>
          <w:color w:val="000000"/>
          <w:sz w:val="24"/>
          <w:szCs w:val="24"/>
        </w:rPr>
        <w:t>ont le paysage des</w:t>
      </w:r>
      <w:r w:rsidRPr="00FE6762">
        <w:rPr>
          <w:rFonts w:ascii="Times New Roman" w:hAnsi="Times New Roman" w:cs="Times New Roman"/>
          <w:color w:val="000000"/>
          <w:sz w:val="24"/>
          <w:szCs w:val="24"/>
        </w:rPr>
        <w:t xml:space="preserve"> site</w:t>
      </w:r>
      <w:r w:rsidR="009E6A53">
        <w:rPr>
          <w:rFonts w:ascii="Times New Roman" w:hAnsi="Times New Roman" w:cs="Times New Roman"/>
          <w:color w:val="000000"/>
          <w:sz w:val="24"/>
          <w:szCs w:val="24"/>
        </w:rPr>
        <w:t>s par leurs</w:t>
      </w:r>
      <w:r w:rsidR="009E6A53" w:rsidRPr="00FE6762">
        <w:rPr>
          <w:rFonts w:ascii="Times New Roman" w:hAnsi="Times New Roman" w:cs="Times New Roman"/>
          <w:color w:val="000000"/>
          <w:sz w:val="24"/>
          <w:szCs w:val="24"/>
        </w:rPr>
        <w:t xml:space="preserve"> présences</w:t>
      </w:r>
      <w:r w:rsidRPr="00FE6762">
        <w:rPr>
          <w:rFonts w:ascii="Times New Roman" w:hAnsi="Times New Roman" w:cs="Times New Roman"/>
          <w:color w:val="000000"/>
          <w:sz w:val="24"/>
          <w:szCs w:val="24"/>
        </w:rPr>
        <w:t>. Générale</w:t>
      </w:r>
      <w:r w:rsidR="00FA10EF">
        <w:rPr>
          <w:rFonts w:ascii="Times New Roman" w:hAnsi="Times New Roman" w:cs="Times New Roman"/>
          <w:color w:val="000000"/>
          <w:sz w:val="24"/>
          <w:szCs w:val="24"/>
        </w:rPr>
        <w:t xml:space="preserve">ment, cette modification n’est </w:t>
      </w:r>
      <w:r w:rsidRPr="00FE6762">
        <w:rPr>
          <w:rFonts w:ascii="Times New Roman" w:hAnsi="Times New Roman" w:cs="Times New Roman"/>
          <w:color w:val="000000"/>
          <w:sz w:val="24"/>
          <w:szCs w:val="24"/>
        </w:rPr>
        <w:t>pas agréable à la vue de par l’aspect de l’ouvrage constitué d’un amas de béton.</w:t>
      </w:r>
    </w:p>
    <w:p w:rsidR="00A63FEF" w:rsidRDefault="00A63FEF" w:rsidP="00C22429">
      <w:pPr>
        <w:jc w:val="both"/>
        <w:rPr>
          <w:rFonts w:ascii="Times New Roman" w:hAnsi="Times New Roman" w:cs="Times New Roman"/>
          <w:color w:val="000000"/>
          <w:sz w:val="24"/>
          <w:szCs w:val="24"/>
        </w:rPr>
      </w:pPr>
    </w:p>
    <w:tbl>
      <w:tblPr>
        <w:tblpPr w:leftFromText="141" w:rightFromText="141" w:vertAnchor="text" w:horzAnchor="margin" w:tblpXSpec="right" w:tblpY="481"/>
        <w:tblW w:w="3153" w:type="dxa"/>
        <w:tblBorders>
          <w:top w:val="single" w:sz="4" w:space="0" w:color="auto"/>
          <w:left w:val="dashDotStroked" w:sz="24" w:space="0" w:color="auto"/>
          <w:bottom w:val="dashDotStroked" w:sz="24" w:space="0" w:color="auto"/>
          <w:right w:val="dashDotStroked" w:sz="24" w:space="0" w:color="auto"/>
          <w:insideH w:val="single" w:sz="4" w:space="0" w:color="auto"/>
          <w:insideV w:val="dashDotStroked" w:sz="24" w:space="0" w:color="auto"/>
        </w:tblBorders>
        <w:tblLook w:val="04A0" w:firstRow="1" w:lastRow="0" w:firstColumn="1" w:lastColumn="0" w:noHBand="0" w:noVBand="1"/>
      </w:tblPr>
      <w:tblGrid>
        <w:gridCol w:w="1507"/>
        <w:gridCol w:w="1190"/>
        <w:gridCol w:w="456"/>
      </w:tblGrid>
      <w:tr w:rsidR="00A63FEF" w:rsidRPr="00AA45E9" w:rsidTr="00A63FEF">
        <w:tc>
          <w:tcPr>
            <w:tcW w:w="3153" w:type="dxa"/>
            <w:gridSpan w:val="3"/>
            <w:tcBorders>
              <w:bottom w:val="single" w:sz="4" w:space="0" w:color="auto"/>
            </w:tcBorders>
            <w:shd w:val="clear" w:color="auto" w:fill="002060"/>
          </w:tcPr>
          <w:p w:rsidR="00A63FEF" w:rsidRPr="00867483" w:rsidRDefault="00A63FEF" w:rsidP="00A63FEF">
            <w:pPr>
              <w:spacing w:after="0" w:line="240" w:lineRule="auto"/>
              <w:jc w:val="center"/>
              <w:rPr>
                <w:rFonts w:ascii="Times New Roman" w:hAnsi="Times New Roman"/>
                <w:b/>
                <w:sz w:val="24"/>
                <w:szCs w:val="24"/>
              </w:rPr>
            </w:pPr>
            <w:r w:rsidRPr="00867483">
              <w:rPr>
                <w:rFonts w:ascii="Times New Roman" w:hAnsi="Times New Roman"/>
                <w:b/>
                <w:sz w:val="24"/>
                <w:szCs w:val="24"/>
              </w:rPr>
              <w:t>Caractérisation de l’impact</w:t>
            </w:r>
          </w:p>
        </w:tc>
      </w:tr>
      <w:tr w:rsidR="0025590D" w:rsidRPr="00AA45E9" w:rsidTr="00247507">
        <w:tc>
          <w:tcPr>
            <w:tcW w:w="1507" w:type="dxa"/>
            <w:tcBorders>
              <w:bottom w:val="single" w:sz="4" w:space="0" w:color="auto"/>
              <w:right w:val="single" w:sz="4" w:space="0" w:color="auto"/>
            </w:tcBorders>
            <w:shd w:val="clear" w:color="auto" w:fill="002060"/>
          </w:tcPr>
          <w:p w:rsidR="0025590D" w:rsidRPr="00AA45E9" w:rsidRDefault="0025590D" w:rsidP="00A63FEF">
            <w:pPr>
              <w:spacing w:after="0" w:line="240" w:lineRule="auto"/>
              <w:jc w:val="center"/>
              <w:rPr>
                <w:rFonts w:ascii="Times New Roman" w:hAnsi="Times New Roman"/>
                <w:b/>
                <w:sz w:val="24"/>
                <w:szCs w:val="24"/>
              </w:rPr>
            </w:pPr>
            <w:r>
              <w:rPr>
                <w:rFonts w:ascii="Times New Roman" w:hAnsi="Times New Roman"/>
                <w:b/>
                <w:sz w:val="24"/>
                <w:szCs w:val="24"/>
              </w:rPr>
              <w:t xml:space="preserve">Nature </w:t>
            </w:r>
          </w:p>
        </w:tc>
        <w:tc>
          <w:tcPr>
            <w:tcW w:w="1646" w:type="dxa"/>
            <w:gridSpan w:val="2"/>
            <w:tcBorders>
              <w:left w:val="single" w:sz="4" w:space="0" w:color="auto"/>
              <w:bottom w:val="single" w:sz="4" w:space="0" w:color="auto"/>
            </w:tcBorders>
            <w:shd w:val="clear" w:color="auto" w:fill="auto"/>
          </w:tcPr>
          <w:p w:rsidR="0025590D" w:rsidRPr="00867483" w:rsidRDefault="0025590D" w:rsidP="00A63FEF">
            <w:pPr>
              <w:spacing w:after="0" w:line="240" w:lineRule="auto"/>
              <w:jc w:val="center"/>
              <w:rPr>
                <w:rFonts w:ascii="Times New Roman" w:hAnsi="Times New Roman"/>
                <w:sz w:val="24"/>
                <w:szCs w:val="24"/>
              </w:rPr>
            </w:pPr>
            <w:r w:rsidRPr="00E96A04">
              <w:rPr>
                <w:rFonts w:ascii="Times New Roman" w:hAnsi="Times New Roman"/>
                <w:b/>
                <w:sz w:val="24"/>
                <w:szCs w:val="24"/>
              </w:rPr>
              <w:t>Négatif</w:t>
            </w:r>
          </w:p>
        </w:tc>
      </w:tr>
      <w:tr w:rsidR="00A63FEF" w:rsidRPr="00AA45E9" w:rsidTr="00A63FEF">
        <w:tc>
          <w:tcPr>
            <w:tcW w:w="1507" w:type="dxa"/>
            <w:tcBorders>
              <w:bottom w:val="single" w:sz="4" w:space="0" w:color="auto"/>
              <w:right w:val="single" w:sz="4" w:space="0" w:color="auto"/>
            </w:tcBorders>
            <w:shd w:val="clear" w:color="auto" w:fill="002060"/>
          </w:tcPr>
          <w:p w:rsidR="00A63FEF" w:rsidRPr="00AA45E9" w:rsidRDefault="00A63FEF" w:rsidP="00A63FEF">
            <w:pPr>
              <w:spacing w:after="0" w:line="240" w:lineRule="auto"/>
              <w:jc w:val="center"/>
              <w:rPr>
                <w:rFonts w:ascii="Times New Roman" w:hAnsi="Times New Roman"/>
                <w:b/>
                <w:sz w:val="24"/>
                <w:szCs w:val="24"/>
              </w:rPr>
            </w:pPr>
            <w:r w:rsidRPr="00AA45E9">
              <w:rPr>
                <w:rFonts w:ascii="Times New Roman" w:hAnsi="Times New Roman"/>
                <w:b/>
                <w:sz w:val="24"/>
                <w:szCs w:val="24"/>
              </w:rPr>
              <w:t>Intensité</w:t>
            </w:r>
          </w:p>
        </w:tc>
        <w:tc>
          <w:tcPr>
            <w:tcW w:w="1190" w:type="dxa"/>
            <w:tcBorders>
              <w:left w:val="single" w:sz="4" w:space="0" w:color="auto"/>
              <w:bottom w:val="single" w:sz="4" w:space="0" w:color="auto"/>
              <w:right w:val="single" w:sz="4" w:space="0" w:color="auto"/>
            </w:tcBorders>
            <w:shd w:val="clear" w:color="auto" w:fill="auto"/>
          </w:tcPr>
          <w:p w:rsidR="00A63FEF" w:rsidRPr="00867483" w:rsidRDefault="0025590D" w:rsidP="00A63FEF">
            <w:pPr>
              <w:spacing w:after="0" w:line="240" w:lineRule="auto"/>
              <w:jc w:val="center"/>
              <w:rPr>
                <w:rFonts w:ascii="Times New Roman" w:hAnsi="Times New Roman"/>
                <w:sz w:val="24"/>
                <w:szCs w:val="24"/>
              </w:rPr>
            </w:pPr>
            <w:r>
              <w:rPr>
                <w:rFonts w:ascii="Times New Roman" w:hAnsi="Times New Roman"/>
                <w:sz w:val="24"/>
                <w:szCs w:val="24"/>
              </w:rPr>
              <w:t>Moyenne</w:t>
            </w:r>
          </w:p>
        </w:tc>
        <w:tc>
          <w:tcPr>
            <w:tcW w:w="456" w:type="dxa"/>
            <w:tcBorders>
              <w:left w:val="single" w:sz="4" w:space="0" w:color="auto"/>
              <w:bottom w:val="single" w:sz="4" w:space="0" w:color="auto"/>
            </w:tcBorders>
            <w:shd w:val="clear" w:color="auto" w:fill="auto"/>
          </w:tcPr>
          <w:p w:rsidR="00A63FEF" w:rsidRPr="00867483" w:rsidRDefault="0025590D" w:rsidP="00A63FEF">
            <w:pPr>
              <w:spacing w:after="0" w:line="240" w:lineRule="auto"/>
              <w:jc w:val="center"/>
              <w:rPr>
                <w:rFonts w:ascii="Times New Roman" w:hAnsi="Times New Roman"/>
                <w:sz w:val="24"/>
                <w:szCs w:val="24"/>
              </w:rPr>
            </w:pPr>
            <w:r>
              <w:rPr>
                <w:rFonts w:ascii="Times New Roman" w:hAnsi="Times New Roman"/>
                <w:sz w:val="24"/>
                <w:szCs w:val="24"/>
              </w:rPr>
              <w:t>3</w:t>
            </w:r>
          </w:p>
        </w:tc>
      </w:tr>
      <w:tr w:rsidR="00A63FEF" w:rsidRPr="00AA45E9" w:rsidTr="00A63FEF">
        <w:tc>
          <w:tcPr>
            <w:tcW w:w="1507" w:type="dxa"/>
            <w:tcBorders>
              <w:bottom w:val="single" w:sz="4" w:space="0" w:color="auto"/>
              <w:right w:val="single" w:sz="4" w:space="0" w:color="auto"/>
            </w:tcBorders>
            <w:shd w:val="clear" w:color="auto" w:fill="002060"/>
          </w:tcPr>
          <w:p w:rsidR="00A63FEF" w:rsidRPr="00AA45E9" w:rsidRDefault="00A63FEF" w:rsidP="00A63FEF">
            <w:pPr>
              <w:spacing w:after="0" w:line="240" w:lineRule="auto"/>
              <w:jc w:val="center"/>
              <w:rPr>
                <w:rFonts w:ascii="Times New Roman" w:hAnsi="Times New Roman"/>
                <w:sz w:val="24"/>
                <w:szCs w:val="24"/>
              </w:rPr>
            </w:pPr>
            <w:r w:rsidRPr="00AA45E9">
              <w:rPr>
                <w:rFonts w:ascii="Times New Roman" w:hAnsi="Times New Roman"/>
                <w:b/>
                <w:sz w:val="24"/>
                <w:szCs w:val="24"/>
              </w:rPr>
              <w:t>Etendue</w:t>
            </w:r>
          </w:p>
        </w:tc>
        <w:tc>
          <w:tcPr>
            <w:tcW w:w="1190" w:type="dxa"/>
            <w:tcBorders>
              <w:left w:val="single" w:sz="4" w:space="0" w:color="auto"/>
              <w:bottom w:val="single" w:sz="4" w:space="0" w:color="auto"/>
              <w:right w:val="single" w:sz="4" w:space="0" w:color="auto"/>
            </w:tcBorders>
          </w:tcPr>
          <w:p w:rsidR="00A63FEF" w:rsidRPr="00867483" w:rsidRDefault="0025590D" w:rsidP="00A63FEF">
            <w:pPr>
              <w:spacing w:after="0" w:line="240" w:lineRule="auto"/>
              <w:jc w:val="center"/>
              <w:rPr>
                <w:rFonts w:ascii="Times New Roman" w:hAnsi="Times New Roman"/>
                <w:sz w:val="24"/>
                <w:szCs w:val="24"/>
              </w:rPr>
            </w:pPr>
            <w:r>
              <w:rPr>
                <w:rFonts w:ascii="Times New Roman" w:hAnsi="Times New Roman"/>
                <w:sz w:val="24"/>
                <w:szCs w:val="24"/>
              </w:rPr>
              <w:t>Locale</w:t>
            </w:r>
          </w:p>
        </w:tc>
        <w:tc>
          <w:tcPr>
            <w:tcW w:w="456" w:type="dxa"/>
            <w:tcBorders>
              <w:left w:val="single" w:sz="4" w:space="0" w:color="auto"/>
              <w:bottom w:val="single" w:sz="4" w:space="0" w:color="auto"/>
            </w:tcBorders>
          </w:tcPr>
          <w:p w:rsidR="00A63FEF" w:rsidRPr="00867483" w:rsidRDefault="0025590D" w:rsidP="00A63FEF">
            <w:pPr>
              <w:spacing w:after="0" w:line="240" w:lineRule="auto"/>
              <w:jc w:val="center"/>
              <w:rPr>
                <w:rFonts w:ascii="Times New Roman" w:hAnsi="Times New Roman"/>
                <w:sz w:val="24"/>
                <w:szCs w:val="24"/>
              </w:rPr>
            </w:pPr>
            <w:r>
              <w:rPr>
                <w:rFonts w:ascii="Times New Roman" w:hAnsi="Times New Roman"/>
                <w:sz w:val="24"/>
                <w:szCs w:val="24"/>
              </w:rPr>
              <w:t>3</w:t>
            </w:r>
          </w:p>
        </w:tc>
      </w:tr>
      <w:tr w:rsidR="00A63FEF" w:rsidRPr="00AA45E9" w:rsidTr="00A63FEF">
        <w:tc>
          <w:tcPr>
            <w:tcW w:w="1507" w:type="dxa"/>
            <w:tcBorders>
              <w:bottom w:val="single" w:sz="4" w:space="0" w:color="auto"/>
              <w:right w:val="single" w:sz="4" w:space="0" w:color="auto"/>
            </w:tcBorders>
            <w:shd w:val="clear" w:color="auto" w:fill="002060"/>
          </w:tcPr>
          <w:p w:rsidR="00A63FEF" w:rsidRDefault="00A63FEF" w:rsidP="00A63FEF">
            <w:pPr>
              <w:spacing w:after="0" w:line="240" w:lineRule="auto"/>
              <w:jc w:val="center"/>
              <w:rPr>
                <w:rFonts w:ascii="Times New Roman" w:hAnsi="Times New Roman"/>
                <w:sz w:val="24"/>
                <w:szCs w:val="24"/>
              </w:rPr>
            </w:pPr>
            <w:r w:rsidRPr="00AA45E9">
              <w:rPr>
                <w:rFonts w:ascii="Times New Roman" w:hAnsi="Times New Roman"/>
                <w:b/>
                <w:sz w:val="24"/>
                <w:szCs w:val="24"/>
              </w:rPr>
              <w:t>Durée</w:t>
            </w:r>
          </w:p>
        </w:tc>
        <w:tc>
          <w:tcPr>
            <w:tcW w:w="1190" w:type="dxa"/>
            <w:tcBorders>
              <w:left w:val="single" w:sz="4" w:space="0" w:color="auto"/>
              <w:bottom w:val="single" w:sz="4" w:space="0" w:color="auto"/>
              <w:right w:val="single" w:sz="4" w:space="0" w:color="auto"/>
            </w:tcBorders>
          </w:tcPr>
          <w:p w:rsidR="00A63FEF" w:rsidRPr="00867483" w:rsidRDefault="00A63FEF" w:rsidP="00A63FEF">
            <w:pPr>
              <w:spacing w:after="0" w:line="240" w:lineRule="auto"/>
              <w:jc w:val="center"/>
              <w:rPr>
                <w:rFonts w:ascii="Times New Roman" w:hAnsi="Times New Roman"/>
                <w:sz w:val="24"/>
                <w:szCs w:val="24"/>
              </w:rPr>
            </w:pPr>
            <w:r>
              <w:rPr>
                <w:rFonts w:ascii="Times New Roman" w:hAnsi="Times New Roman"/>
                <w:sz w:val="24"/>
                <w:szCs w:val="24"/>
              </w:rPr>
              <w:t>Longue</w:t>
            </w:r>
          </w:p>
        </w:tc>
        <w:tc>
          <w:tcPr>
            <w:tcW w:w="456" w:type="dxa"/>
            <w:tcBorders>
              <w:left w:val="single" w:sz="4" w:space="0" w:color="auto"/>
              <w:bottom w:val="single" w:sz="4" w:space="0" w:color="auto"/>
            </w:tcBorders>
          </w:tcPr>
          <w:p w:rsidR="00A63FEF" w:rsidRPr="00867483" w:rsidRDefault="0025590D" w:rsidP="00A63FEF">
            <w:pPr>
              <w:spacing w:after="0" w:line="240" w:lineRule="auto"/>
              <w:jc w:val="center"/>
              <w:rPr>
                <w:rFonts w:ascii="Times New Roman" w:hAnsi="Times New Roman"/>
                <w:sz w:val="24"/>
                <w:szCs w:val="24"/>
              </w:rPr>
            </w:pPr>
            <w:r>
              <w:rPr>
                <w:rFonts w:ascii="Times New Roman" w:hAnsi="Times New Roman"/>
                <w:sz w:val="24"/>
                <w:szCs w:val="24"/>
              </w:rPr>
              <w:t>5</w:t>
            </w:r>
          </w:p>
        </w:tc>
      </w:tr>
      <w:tr w:rsidR="00A63FEF" w:rsidRPr="00AA45E9" w:rsidTr="00FC410F">
        <w:tc>
          <w:tcPr>
            <w:tcW w:w="3153" w:type="dxa"/>
            <w:gridSpan w:val="3"/>
            <w:tcBorders>
              <w:bottom w:val="single" w:sz="4" w:space="0" w:color="auto"/>
            </w:tcBorders>
            <w:shd w:val="clear" w:color="auto" w:fill="FFFFFF" w:themeFill="background1"/>
          </w:tcPr>
          <w:p w:rsidR="00A63FEF" w:rsidRPr="00867483" w:rsidRDefault="00A63FEF" w:rsidP="00A63FEF">
            <w:pPr>
              <w:spacing w:after="0" w:line="240" w:lineRule="auto"/>
              <w:jc w:val="center"/>
              <w:rPr>
                <w:rFonts w:ascii="Times New Roman" w:hAnsi="Times New Roman"/>
                <w:sz w:val="6"/>
                <w:szCs w:val="6"/>
              </w:rPr>
            </w:pPr>
          </w:p>
        </w:tc>
      </w:tr>
      <w:tr w:rsidR="00A63FEF" w:rsidRPr="00AA45E9" w:rsidTr="0025590D">
        <w:tc>
          <w:tcPr>
            <w:tcW w:w="1507" w:type="dxa"/>
            <w:tcBorders>
              <w:bottom w:val="dashDotStroked" w:sz="24" w:space="0" w:color="auto"/>
              <w:right w:val="single" w:sz="4" w:space="0" w:color="auto"/>
            </w:tcBorders>
            <w:shd w:val="clear" w:color="auto" w:fill="002060"/>
          </w:tcPr>
          <w:p w:rsidR="00A63FEF" w:rsidRPr="00AA45E9" w:rsidRDefault="00A63FEF" w:rsidP="00A63FEF">
            <w:pPr>
              <w:spacing w:after="0" w:line="240" w:lineRule="auto"/>
              <w:jc w:val="center"/>
              <w:rPr>
                <w:rFonts w:ascii="Times New Roman" w:hAnsi="Times New Roman"/>
                <w:b/>
                <w:sz w:val="24"/>
                <w:szCs w:val="24"/>
              </w:rPr>
            </w:pPr>
            <w:r w:rsidRPr="00AA45E9">
              <w:rPr>
                <w:rFonts w:ascii="Times New Roman" w:hAnsi="Times New Roman"/>
                <w:b/>
                <w:sz w:val="24"/>
                <w:szCs w:val="24"/>
              </w:rPr>
              <w:t>Importance</w:t>
            </w:r>
          </w:p>
        </w:tc>
        <w:tc>
          <w:tcPr>
            <w:tcW w:w="1190" w:type="dxa"/>
            <w:tcBorders>
              <w:left w:val="single" w:sz="4" w:space="0" w:color="auto"/>
              <w:bottom w:val="dashDotStroked" w:sz="24" w:space="0" w:color="auto"/>
              <w:right w:val="single" w:sz="4" w:space="0" w:color="auto"/>
            </w:tcBorders>
            <w:shd w:val="clear" w:color="auto" w:fill="FFFF00"/>
          </w:tcPr>
          <w:p w:rsidR="00A63FEF" w:rsidRPr="008E6D9C" w:rsidRDefault="0025590D" w:rsidP="00A63FEF">
            <w:pPr>
              <w:spacing w:after="0" w:line="240" w:lineRule="auto"/>
              <w:jc w:val="center"/>
              <w:rPr>
                <w:rFonts w:ascii="Times New Roman" w:hAnsi="Times New Roman"/>
                <w:b/>
                <w:sz w:val="24"/>
                <w:szCs w:val="24"/>
              </w:rPr>
            </w:pPr>
            <w:r>
              <w:rPr>
                <w:rFonts w:ascii="Times New Roman" w:hAnsi="Times New Roman"/>
                <w:b/>
                <w:sz w:val="24"/>
                <w:szCs w:val="24"/>
              </w:rPr>
              <w:t>Moyenne</w:t>
            </w:r>
          </w:p>
        </w:tc>
        <w:tc>
          <w:tcPr>
            <w:tcW w:w="456" w:type="dxa"/>
            <w:tcBorders>
              <w:left w:val="single" w:sz="4" w:space="0" w:color="auto"/>
              <w:bottom w:val="dashDotStroked" w:sz="24" w:space="0" w:color="auto"/>
            </w:tcBorders>
            <w:shd w:val="clear" w:color="auto" w:fill="FFFF00"/>
          </w:tcPr>
          <w:p w:rsidR="00A63FEF" w:rsidRPr="008E6D9C" w:rsidRDefault="0025590D" w:rsidP="00A63FEF">
            <w:pPr>
              <w:spacing w:after="0" w:line="240" w:lineRule="auto"/>
              <w:jc w:val="center"/>
              <w:rPr>
                <w:rFonts w:ascii="Times New Roman" w:hAnsi="Times New Roman"/>
                <w:b/>
                <w:sz w:val="24"/>
                <w:szCs w:val="24"/>
              </w:rPr>
            </w:pPr>
            <w:r>
              <w:rPr>
                <w:rFonts w:ascii="Times New Roman" w:hAnsi="Times New Roman"/>
                <w:b/>
                <w:sz w:val="24"/>
                <w:szCs w:val="24"/>
              </w:rPr>
              <w:t>4</w:t>
            </w:r>
            <w:r w:rsidR="00A63FEF" w:rsidRPr="008E6D9C">
              <w:rPr>
                <w:rFonts w:ascii="Times New Roman" w:hAnsi="Times New Roman"/>
                <w:b/>
                <w:sz w:val="24"/>
                <w:szCs w:val="24"/>
              </w:rPr>
              <w:t>5</w:t>
            </w:r>
          </w:p>
        </w:tc>
      </w:tr>
    </w:tbl>
    <w:p w:rsidR="005A5FB0" w:rsidRPr="00B10C82" w:rsidRDefault="005A5FB0" w:rsidP="00FA3FAE">
      <w:pPr>
        <w:pStyle w:val="PargrafodaLista"/>
        <w:numPr>
          <w:ilvl w:val="0"/>
          <w:numId w:val="41"/>
        </w:numPr>
        <w:pBdr>
          <w:bottom w:val="dashDotStroked" w:sz="24" w:space="1" w:color="auto"/>
        </w:pBdr>
        <w:jc w:val="both"/>
        <w:rPr>
          <w:rFonts w:ascii="Times New Roman" w:hAnsi="Times New Roman"/>
          <w:b/>
          <w:sz w:val="24"/>
          <w:szCs w:val="24"/>
        </w:rPr>
      </w:pPr>
      <w:r w:rsidRPr="00B10C82">
        <w:rPr>
          <w:rFonts w:ascii="Times New Roman" w:hAnsi="Times New Roman"/>
          <w:b/>
          <w:sz w:val="24"/>
          <w:szCs w:val="24"/>
        </w:rPr>
        <w:t>Risque de pollution des Eaux</w:t>
      </w:r>
    </w:p>
    <w:p w:rsidR="005A5FB0" w:rsidRPr="005A5FB0" w:rsidRDefault="005A5FB0" w:rsidP="005A5FB0">
      <w:pPr>
        <w:jc w:val="both"/>
        <w:rPr>
          <w:rFonts w:ascii="Times New Roman" w:hAnsi="Times New Roman" w:cs="Times New Roman"/>
          <w:color w:val="000000"/>
          <w:sz w:val="24"/>
          <w:szCs w:val="24"/>
        </w:rPr>
      </w:pPr>
      <w:r w:rsidRPr="005A5FB0">
        <w:rPr>
          <w:rFonts w:ascii="Times New Roman" w:hAnsi="Times New Roman" w:cs="Times New Roman"/>
          <w:color w:val="000000"/>
          <w:sz w:val="24"/>
          <w:szCs w:val="24"/>
        </w:rPr>
        <w:t>Le principal impact négatif prévi</w:t>
      </w:r>
      <w:r>
        <w:rPr>
          <w:rFonts w:ascii="Times New Roman" w:hAnsi="Times New Roman" w:cs="Times New Roman"/>
          <w:color w:val="000000"/>
          <w:sz w:val="24"/>
          <w:szCs w:val="24"/>
        </w:rPr>
        <w:t>sible en phase d’exploitation des</w:t>
      </w:r>
      <w:r w:rsidRPr="005A5FB0">
        <w:rPr>
          <w:rFonts w:ascii="Times New Roman" w:hAnsi="Times New Roman" w:cs="Times New Roman"/>
          <w:color w:val="000000"/>
          <w:sz w:val="24"/>
          <w:szCs w:val="24"/>
        </w:rPr>
        <w:t xml:space="preserve"> réservoir</w:t>
      </w:r>
      <w:r>
        <w:rPr>
          <w:rFonts w:ascii="Times New Roman" w:hAnsi="Times New Roman" w:cs="Times New Roman"/>
          <w:color w:val="000000"/>
          <w:sz w:val="24"/>
          <w:szCs w:val="24"/>
        </w:rPr>
        <w:t>s</w:t>
      </w:r>
      <w:r w:rsidRPr="005A5FB0">
        <w:rPr>
          <w:rFonts w:ascii="Times New Roman" w:hAnsi="Times New Roman" w:cs="Times New Roman"/>
          <w:color w:val="000000"/>
          <w:sz w:val="24"/>
          <w:szCs w:val="24"/>
        </w:rPr>
        <w:t xml:space="preserve"> demeure</w:t>
      </w:r>
      <w:r w:rsidR="00802D2E">
        <w:rPr>
          <w:rFonts w:ascii="Times New Roman" w:hAnsi="Times New Roman" w:cs="Times New Roman"/>
          <w:color w:val="000000"/>
          <w:sz w:val="24"/>
          <w:szCs w:val="24"/>
        </w:rPr>
        <w:t xml:space="preserve"> dans la gestion des</w:t>
      </w:r>
      <w:r w:rsidR="00A63FEF">
        <w:rPr>
          <w:rFonts w:ascii="Times New Roman" w:hAnsi="Times New Roman" w:cs="Times New Roman"/>
          <w:color w:val="000000"/>
          <w:sz w:val="24"/>
          <w:szCs w:val="24"/>
        </w:rPr>
        <w:t xml:space="preserve"> </w:t>
      </w:r>
      <w:r w:rsidR="00802D2E">
        <w:rPr>
          <w:rFonts w:ascii="Times New Roman" w:hAnsi="Times New Roman" w:cs="Times New Roman"/>
          <w:color w:val="000000"/>
          <w:sz w:val="24"/>
          <w:szCs w:val="24"/>
        </w:rPr>
        <w:t xml:space="preserve">eaux de lavage </w:t>
      </w:r>
      <w:r w:rsidR="00802D2E" w:rsidRPr="005A5FB0">
        <w:rPr>
          <w:rFonts w:ascii="Times New Roman" w:hAnsi="Times New Roman" w:cs="Times New Roman"/>
          <w:color w:val="000000"/>
          <w:sz w:val="24"/>
          <w:szCs w:val="24"/>
        </w:rPr>
        <w:t>des ouvrages</w:t>
      </w:r>
      <w:r w:rsidRPr="005A5FB0">
        <w:rPr>
          <w:rFonts w:ascii="Times New Roman" w:hAnsi="Times New Roman" w:cs="Times New Roman"/>
          <w:color w:val="000000"/>
          <w:sz w:val="24"/>
          <w:szCs w:val="24"/>
        </w:rPr>
        <w:t xml:space="preserve">.  </w:t>
      </w:r>
      <w:r w:rsidR="00802D2E" w:rsidRPr="005A5FB0">
        <w:rPr>
          <w:rFonts w:ascii="Times New Roman" w:hAnsi="Times New Roman" w:cs="Times New Roman"/>
          <w:color w:val="000000"/>
          <w:sz w:val="24"/>
          <w:szCs w:val="24"/>
        </w:rPr>
        <w:t>En effet, les ouvrages doivent être lavés annuellement</w:t>
      </w:r>
      <w:r w:rsidRPr="005A5FB0">
        <w:rPr>
          <w:rFonts w:ascii="Times New Roman" w:hAnsi="Times New Roman" w:cs="Times New Roman"/>
          <w:color w:val="000000"/>
          <w:sz w:val="24"/>
          <w:szCs w:val="24"/>
        </w:rPr>
        <w:t xml:space="preserve">.  </w:t>
      </w:r>
      <w:r w:rsidR="00802D2E" w:rsidRPr="005A5FB0">
        <w:rPr>
          <w:rFonts w:ascii="Times New Roman" w:hAnsi="Times New Roman" w:cs="Times New Roman"/>
          <w:color w:val="000000"/>
          <w:sz w:val="24"/>
          <w:szCs w:val="24"/>
        </w:rPr>
        <w:t xml:space="preserve">Cela implique l’utilisation </w:t>
      </w:r>
      <w:r w:rsidR="003D2CBA" w:rsidRPr="005A5FB0">
        <w:rPr>
          <w:rFonts w:ascii="Times New Roman" w:hAnsi="Times New Roman" w:cs="Times New Roman"/>
          <w:color w:val="000000"/>
          <w:sz w:val="24"/>
          <w:szCs w:val="24"/>
        </w:rPr>
        <w:t>de produits</w:t>
      </w:r>
      <w:r w:rsidR="00802D2E">
        <w:rPr>
          <w:rFonts w:ascii="Times New Roman" w:hAnsi="Times New Roman" w:cs="Times New Roman"/>
          <w:color w:val="000000"/>
          <w:sz w:val="24"/>
          <w:szCs w:val="24"/>
        </w:rPr>
        <w:t xml:space="preserve"> </w:t>
      </w:r>
      <w:r w:rsidRPr="005A5FB0">
        <w:rPr>
          <w:rFonts w:ascii="Times New Roman" w:hAnsi="Times New Roman" w:cs="Times New Roman"/>
          <w:color w:val="000000"/>
          <w:sz w:val="24"/>
          <w:szCs w:val="24"/>
        </w:rPr>
        <w:t>désinfectants et de décapage lorsque ce dernier est nécessaire.</w:t>
      </w:r>
    </w:p>
    <w:p w:rsidR="005A5FB0" w:rsidRPr="005A5FB0" w:rsidRDefault="005A5FB0" w:rsidP="005A5FB0">
      <w:pPr>
        <w:jc w:val="both"/>
        <w:rPr>
          <w:rFonts w:ascii="Times New Roman" w:hAnsi="Times New Roman" w:cs="Times New Roman"/>
          <w:color w:val="000000"/>
          <w:sz w:val="24"/>
          <w:szCs w:val="24"/>
        </w:rPr>
      </w:pPr>
      <w:r w:rsidRPr="005A5FB0">
        <w:rPr>
          <w:rFonts w:ascii="Times New Roman" w:hAnsi="Times New Roman" w:cs="Times New Roman"/>
          <w:color w:val="000000"/>
          <w:sz w:val="24"/>
          <w:szCs w:val="24"/>
        </w:rPr>
        <w:t>Ces produits sont toutefois utilisés en très faible concentration et rigoureusement d</w:t>
      </w:r>
      <w:r w:rsidR="00802D2E">
        <w:rPr>
          <w:rFonts w:ascii="Times New Roman" w:hAnsi="Times New Roman" w:cs="Times New Roman"/>
          <w:color w:val="000000"/>
          <w:sz w:val="24"/>
          <w:szCs w:val="24"/>
        </w:rPr>
        <w:t xml:space="preserve">osés puisque les réservoirs ne </w:t>
      </w:r>
      <w:r w:rsidRPr="005A5FB0">
        <w:rPr>
          <w:rFonts w:ascii="Times New Roman" w:hAnsi="Times New Roman" w:cs="Times New Roman"/>
          <w:color w:val="000000"/>
          <w:sz w:val="24"/>
          <w:szCs w:val="24"/>
        </w:rPr>
        <w:t xml:space="preserve">doivent pas contenir de polluants. De plus, ils sont neutralisés dans les </w:t>
      </w:r>
      <w:r w:rsidR="003D2CBA">
        <w:rPr>
          <w:rFonts w:ascii="Times New Roman" w:hAnsi="Times New Roman" w:cs="Times New Roman"/>
          <w:color w:val="000000"/>
          <w:sz w:val="24"/>
          <w:szCs w:val="24"/>
        </w:rPr>
        <w:t>réservoirs</w:t>
      </w:r>
      <w:r w:rsidRPr="005A5FB0">
        <w:rPr>
          <w:rFonts w:ascii="Times New Roman" w:hAnsi="Times New Roman" w:cs="Times New Roman"/>
          <w:color w:val="000000"/>
          <w:sz w:val="24"/>
          <w:szCs w:val="24"/>
        </w:rPr>
        <w:t xml:space="preserve"> avant rejet.</w:t>
      </w:r>
    </w:p>
    <w:p w:rsidR="005A5FB0" w:rsidRDefault="005A5FB0" w:rsidP="005A5FB0">
      <w:pPr>
        <w:jc w:val="both"/>
        <w:rPr>
          <w:rFonts w:ascii="Times New Roman" w:hAnsi="Times New Roman" w:cs="Times New Roman"/>
          <w:color w:val="000000"/>
          <w:sz w:val="24"/>
          <w:szCs w:val="24"/>
        </w:rPr>
      </w:pPr>
      <w:r w:rsidRPr="005A5FB0">
        <w:rPr>
          <w:rFonts w:ascii="Times New Roman" w:hAnsi="Times New Roman" w:cs="Times New Roman"/>
          <w:color w:val="000000"/>
          <w:sz w:val="24"/>
          <w:szCs w:val="24"/>
        </w:rPr>
        <w:t xml:space="preserve">La vidange des réservoirs sera progressive. Une fois les </w:t>
      </w:r>
      <w:r w:rsidR="003D2CBA">
        <w:rPr>
          <w:rFonts w:ascii="Times New Roman" w:hAnsi="Times New Roman" w:cs="Times New Roman"/>
          <w:color w:val="000000"/>
          <w:sz w:val="24"/>
          <w:szCs w:val="24"/>
        </w:rPr>
        <w:t>réservoirs sont vidé</w:t>
      </w:r>
      <w:r w:rsidRPr="005A5FB0">
        <w:rPr>
          <w:rFonts w:ascii="Times New Roman" w:hAnsi="Times New Roman" w:cs="Times New Roman"/>
          <w:color w:val="000000"/>
          <w:sz w:val="24"/>
          <w:szCs w:val="24"/>
        </w:rPr>
        <w:t xml:space="preserve">s, </w:t>
      </w:r>
      <w:r w:rsidR="003D2CBA">
        <w:rPr>
          <w:rFonts w:ascii="Times New Roman" w:hAnsi="Times New Roman" w:cs="Times New Roman"/>
          <w:color w:val="000000"/>
          <w:sz w:val="24"/>
          <w:szCs w:val="24"/>
        </w:rPr>
        <w:t>leur nettoyage seront effectué.</w:t>
      </w:r>
      <w:r w:rsidR="003D2CBA" w:rsidRPr="005A5FB0">
        <w:rPr>
          <w:rFonts w:ascii="Times New Roman" w:hAnsi="Times New Roman" w:cs="Times New Roman"/>
          <w:color w:val="000000"/>
          <w:sz w:val="24"/>
          <w:szCs w:val="24"/>
        </w:rPr>
        <w:t xml:space="preserve"> Par</w:t>
      </w:r>
      <w:r w:rsidRPr="005A5FB0">
        <w:rPr>
          <w:rFonts w:ascii="Times New Roman" w:hAnsi="Times New Roman" w:cs="Times New Roman"/>
          <w:color w:val="000000"/>
          <w:sz w:val="24"/>
          <w:szCs w:val="24"/>
        </w:rPr>
        <w:t xml:space="preserve"> contre, la fréquence d’une vidange accidentelle est difficile à évaluer. Nous base</w:t>
      </w:r>
      <w:r w:rsidR="003D2CBA">
        <w:rPr>
          <w:rFonts w:ascii="Times New Roman" w:hAnsi="Times New Roman" w:cs="Times New Roman"/>
          <w:color w:val="000000"/>
          <w:sz w:val="24"/>
          <w:szCs w:val="24"/>
        </w:rPr>
        <w:t xml:space="preserve">rons l’analyse de l’impact sur </w:t>
      </w:r>
      <w:r w:rsidRPr="005A5FB0">
        <w:rPr>
          <w:rFonts w:ascii="Times New Roman" w:hAnsi="Times New Roman" w:cs="Times New Roman"/>
          <w:color w:val="000000"/>
          <w:sz w:val="24"/>
          <w:szCs w:val="24"/>
        </w:rPr>
        <w:t>une opération de vidange annuelle.</w:t>
      </w:r>
    </w:p>
    <w:tbl>
      <w:tblPr>
        <w:tblpPr w:leftFromText="141" w:rightFromText="141" w:vertAnchor="text" w:horzAnchor="margin" w:tblpXSpec="right" w:tblpY="447"/>
        <w:tblW w:w="3153" w:type="dxa"/>
        <w:tblBorders>
          <w:top w:val="single" w:sz="4" w:space="0" w:color="auto"/>
          <w:left w:val="dashDotStroked" w:sz="24" w:space="0" w:color="auto"/>
          <w:bottom w:val="dashDotStroked" w:sz="24" w:space="0" w:color="auto"/>
          <w:right w:val="dashDotStroked" w:sz="24" w:space="0" w:color="auto"/>
          <w:insideH w:val="single" w:sz="4" w:space="0" w:color="auto"/>
          <w:insideV w:val="dashDotStroked" w:sz="24" w:space="0" w:color="auto"/>
        </w:tblBorders>
        <w:tblLook w:val="04A0" w:firstRow="1" w:lastRow="0" w:firstColumn="1" w:lastColumn="0" w:noHBand="0" w:noVBand="1"/>
      </w:tblPr>
      <w:tblGrid>
        <w:gridCol w:w="1507"/>
        <w:gridCol w:w="1190"/>
        <w:gridCol w:w="456"/>
      </w:tblGrid>
      <w:tr w:rsidR="00A63FEF" w:rsidRPr="00AA45E9" w:rsidTr="00A63FEF">
        <w:tc>
          <w:tcPr>
            <w:tcW w:w="3153" w:type="dxa"/>
            <w:gridSpan w:val="3"/>
            <w:tcBorders>
              <w:bottom w:val="single" w:sz="4" w:space="0" w:color="auto"/>
            </w:tcBorders>
            <w:shd w:val="clear" w:color="auto" w:fill="002060"/>
          </w:tcPr>
          <w:p w:rsidR="00A63FEF" w:rsidRPr="00867483" w:rsidRDefault="00A63FEF" w:rsidP="00A63FEF">
            <w:pPr>
              <w:spacing w:after="0" w:line="240" w:lineRule="auto"/>
              <w:jc w:val="center"/>
              <w:rPr>
                <w:rFonts w:ascii="Times New Roman" w:hAnsi="Times New Roman"/>
                <w:b/>
                <w:sz w:val="24"/>
                <w:szCs w:val="24"/>
              </w:rPr>
            </w:pPr>
            <w:r w:rsidRPr="00867483">
              <w:rPr>
                <w:rFonts w:ascii="Times New Roman" w:hAnsi="Times New Roman"/>
                <w:b/>
                <w:sz w:val="24"/>
                <w:szCs w:val="24"/>
              </w:rPr>
              <w:t>Caractérisation de l’impact</w:t>
            </w:r>
          </w:p>
        </w:tc>
      </w:tr>
      <w:tr w:rsidR="007D340F" w:rsidRPr="00AA45E9" w:rsidTr="007D340F">
        <w:tc>
          <w:tcPr>
            <w:tcW w:w="3153" w:type="dxa"/>
            <w:gridSpan w:val="3"/>
            <w:tcBorders>
              <w:bottom w:val="single" w:sz="4" w:space="0" w:color="auto"/>
            </w:tcBorders>
            <w:shd w:val="clear" w:color="auto" w:fill="FFFFFF" w:themeFill="background1"/>
          </w:tcPr>
          <w:p w:rsidR="007D340F" w:rsidRPr="007D340F" w:rsidRDefault="007D340F" w:rsidP="00A63FEF">
            <w:pPr>
              <w:spacing w:after="0" w:line="240" w:lineRule="auto"/>
              <w:jc w:val="center"/>
              <w:rPr>
                <w:rFonts w:ascii="Times New Roman" w:hAnsi="Times New Roman"/>
                <w:b/>
                <w:sz w:val="6"/>
                <w:szCs w:val="6"/>
                <w:vertAlign w:val="subscript"/>
              </w:rPr>
            </w:pPr>
          </w:p>
        </w:tc>
      </w:tr>
      <w:tr w:rsidR="0025590D" w:rsidRPr="00AA45E9" w:rsidTr="00247507">
        <w:trPr>
          <w:trHeight w:val="270"/>
        </w:trPr>
        <w:tc>
          <w:tcPr>
            <w:tcW w:w="1507" w:type="dxa"/>
            <w:tcBorders>
              <w:bottom w:val="single" w:sz="4" w:space="0" w:color="auto"/>
              <w:right w:val="single" w:sz="4" w:space="0" w:color="auto"/>
            </w:tcBorders>
            <w:shd w:val="clear" w:color="auto" w:fill="002060"/>
          </w:tcPr>
          <w:p w:rsidR="0025590D" w:rsidRPr="00AA45E9" w:rsidRDefault="0025590D" w:rsidP="00A63FEF">
            <w:pPr>
              <w:spacing w:after="0" w:line="240" w:lineRule="auto"/>
              <w:jc w:val="center"/>
              <w:rPr>
                <w:rFonts w:ascii="Times New Roman" w:hAnsi="Times New Roman"/>
                <w:b/>
                <w:sz w:val="24"/>
                <w:szCs w:val="24"/>
              </w:rPr>
            </w:pPr>
            <w:r>
              <w:rPr>
                <w:rFonts w:ascii="Times New Roman" w:hAnsi="Times New Roman"/>
                <w:b/>
                <w:sz w:val="24"/>
                <w:szCs w:val="24"/>
              </w:rPr>
              <w:t xml:space="preserve">Nature </w:t>
            </w:r>
          </w:p>
        </w:tc>
        <w:tc>
          <w:tcPr>
            <w:tcW w:w="1646" w:type="dxa"/>
            <w:gridSpan w:val="2"/>
            <w:tcBorders>
              <w:left w:val="single" w:sz="4" w:space="0" w:color="auto"/>
              <w:bottom w:val="single" w:sz="4" w:space="0" w:color="auto"/>
            </w:tcBorders>
            <w:shd w:val="clear" w:color="auto" w:fill="auto"/>
          </w:tcPr>
          <w:p w:rsidR="0025590D" w:rsidRPr="0025590D" w:rsidRDefault="0025590D" w:rsidP="00A63FEF">
            <w:pPr>
              <w:spacing w:after="0" w:line="240" w:lineRule="auto"/>
              <w:jc w:val="center"/>
              <w:rPr>
                <w:rFonts w:ascii="Times New Roman" w:hAnsi="Times New Roman"/>
                <w:b/>
                <w:sz w:val="24"/>
                <w:szCs w:val="24"/>
              </w:rPr>
            </w:pPr>
            <w:r w:rsidRPr="00E96A04">
              <w:rPr>
                <w:rFonts w:ascii="Times New Roman" w:hAnsi="Times New Roman"/>
                <w:b/>
                <w:sz w:val="24"/>
                <w:szCs w:val="24"/>
              </w:rPr>
              <w:t>Négatif</w:t>
            </w:r>
          </w:p>
        </w:tc>
      </w:tr>
      <w:tr w:rsidR="00A63FEF" w:rsidRPr="00AA45E9" w:rsidTr="00A63FEF">
        <w:tc>
          <w:tcPr>
            <w:tcW w:w="1507" w:type="dxa"/>
            <w:tcBorders>
              <w:bottom w:val="single" w:sz="4" w:space="0" w:color="auto"/>
              <w:right w:val="single" w:sz="4" w:space="0" w:color="auto"/>
            </w:tcBorders>
            <w:shd w:val="clear" w:color="auto" w:fill="002060"/>
          </w:tcPr>
          <w:p w:rsidR="00A63FEF" w:rsidRPr="00AA45E9" w:rsidRDefault="00A63FEF" w:rsidP="00A63FEF">
            <w:pPr>
              <w:spacing w:after="0" w:line="240" w:lineRule="auto"/>
              <w:jc w:val="center"/>
              <w:rPr>
                <w:rFonts w:ascii="Times New Roman" w:hAnsi="Times New Roman"/>
                <w:b/>
                <w:sz w:val="24"/>
                <w:szCs w:val="24"/>
              </w:rPr>
            </w:pPr>
            <w:r w:rsidRPr="00AA45E9">
              <w:rPr>
                <w:rFonts w:ascii="Times New Roman" w:hAnsi="Times New Roman"/>
                <w:b/>
                <w:sz w:val="24"/>
                <w:szCs w:val="24"/>
              </w:rPr>
              <w:t>Intensité</w:t>
            </w:r>
          </w:p>
        </w:tc>
        <w:tc>
          <w:tcPr>
            <w:tcW w:w="1190" w:type="dxa"/>
            <w:tcBorders>
              <w:left w:val="single" w:sz="4" w:space="0" w:color="auto"/>
              <w:bottom w:val="single" w:sz="4" w:space="0" w:color="auto"/>
              <w:right w:val="single" w:sz="4" w:space="0" w:color="auto"/>
            </w:tcBorders>
            <w:shd w:val="clear" w:color="auto" w:fill="auto"/>
          </w:tcPr>
          <w:p w:rsidR="00A63FEF" w:rsidRPr="00867483" w:rsidRDefault="0025590D" w:rsidP="00A63FEF">
            <w:pPr>
              <w:spacing w:after="0" w:line="240" w:lineRule="auto"/>
              <w:jc w:val="center"/>
              <w:rPr>
                <w:rFonts w:ascii="Times New Roman" w:hAnsi="Times New Roman"/>
                <w:sz w:val="24"/>
                <w:szCs w:val="24"/>
              </w:rPr>
            </w:pPr>
            <w:r>
              <w:rPr>
                <w:rFonts w:ascii="Times New Roman" w:hAnsi="Times New Roman"/>
                <w:sz w:val="24"/>
                <w:szCs w:val="24"/>
              </w:rPr>
              <w:t>Faible</w:t>
            </w:r>
          </w:p>
        </w:tc>
        <w:tc>
          <w:tcPr>
            <w:tcW w:w="456" w:type="dxa"/>
            <w:tcBorders>
              <w:left w:val="single" w:sz="4" w:space="0" w:color="auto"/>
              <w:bottom w:val="single" w:sz="4" w:space="0" w:color="auto"/>
            </w:tcBorders>
            <w:shd w:val="clear" w:color="auto" w:fill="auto"/>
          </w:tcPr>
          <w:p w:rsidR="00A63FEF" w:rsidRPr="00867483" w:rsidRDefault="0025590D" w:rsidP="00A63FEF">
            <w:pPr>
              <w:spacing w:after="0" w:line="240" w:lineRule="auto"/>
              <w:jc w:val="center"/>
              <w:rPr>
                <w:rFonts w:ascii="Times New Roman" w:hAnsi="Times New Roman"/>
                <w:sz w:val="24"/>
                <w:szCs w:val="24"/>
              </w:rPr>
            </w:pPr>
            <w:r>
              <w:rPr>
                <w:rFonts w:ascii="Times New Roman" w:hAnsi="Times New Roman"/>
                <w:sz w:val="24"/>
                <w:szCs w:val="24"/>
              </w:rPr>
              <w:t>1</w:t>
            </w:r>
          </w:p>
        </w:tc>
      </w:tr>
      <w:tr w:rsidR="00A63FEF" w:rsidRPr="00AA45E9" w:rsidTr="00A63FEF">
        <w:tc>
          <w:tcPr>
            <w:tcW w:w="1507" w:type="dxa"/>
            <w:tcBorders>
              <w:bottom w:val="single" w:sz="4" w:space="0" w:color="auto"/>
              <w:right w:val="single" w:sz="4" w:space="0" w:color="auto"/>
            </w:tcBorders>
            <w:shd w:val="clear" w:color="auto" w:fill="002060"/>
          </w:tcPr>
          <w:p w:rsidR="00A63FEF" w:rsidRPr="00AA45E9" w:rsidRDefault="00A63FEF" w:rsidP="00A63FEF">
            <w:pPr>
              <w:spacing w:after="0" w:line="240" w:lineRule="auto"/>
              <w:jc w:val="center"/>
              <w:rPr>
                <w:rFonts w:ascii="Times New Roman" w:hAnsi="Times New Roman"/>
                <w:sz w:val="24"/>
                <w:szCs w:val="24"/>
              </w:rPr>
            </w:pPr>
            <w:r w:rsidRPr="00AA45E9">
              <w:rPr>
                <w:rFonts w:ascii="Times New Roman" w:hAnsi="Times New Roman"/>
                <w:b/>
                <w:sz w:val="24"/>
                <w:szCs w:val="24"/>
              </w:rPr>
              <w:t>Etendue</w:t>
            </w:r>
          </w:p>
        </w:tc>
        <w:tc>
          <w:tcPr>
            <w:tcW w:w="1190" w:type="dxa"/>
            <w:tcBorders>
              <w:left w:val="single" w:sz="4" w:space="0" w:color="auto"/>
              <w:bottom w:val="single" w:sz="4" w:space="0" w:color="auto"/>
              <w:right w:val="single" w:sz="4" w:space="0" w:color="auto"/>
            </w:tcBorders>
          </w:tcPr>
          <w:p w:rsidR="00A63FEF" w:rsidRPr="00867483" w:rsidRDefault="0025590D" w:rsidP="00A63FEF">
            <w:pPr>
              <w:spacing w:after="0" w:line="240" w:lineRule="auto"/>
              <w:jc w:val="center"/>
              <w:rPr>
                <w:rFonts w:ascii="Times New Roman" w:hAnsi="Times New Roman"/>
                <w:sz w:val="24"/>
                <w:szCs w:val="24"/>
              </w:rPr>
            </w:pPr>
            <w:r>
              <w:rPr>
                <w:rFonts w:ascii="Times New Roman" w:hAnsi="Times New Roman"/>
                <w:sz w:val="24"/>
                <w:szCs w:val="24"/>
              </w:rPr>
              <w:t>Locale</w:t>
            </w:r>
          </w:p>
        </w:tc>
        <w:tc>
          <w:tcPr>
            <w:tcW w:w="456" w:type="dxa"/>
            <w:tcBorders>
              <w:left w:val="single" w:sz="4" w:space="0" w:color="auto"/>
              <w:bottom w:val="single" w:sz="4" w:space="0" w:color="auto"/>
            </w:tcBorders>
          </w:tcPr>
          <w:p w:rsidR="00A63FEF" w:rsidRPr="00867483" w:rsidRDefault="0025590D" w:rsidP="00A63FEF">
            <w:pPr>
              <w:spacing w:after="0" w:line="240" w:lineRule="auto"/>
              <w:jc w:val="center"/>
              <w:rPr>
                <w:rFonts w:ascii="Times New Roman" w:hAnsi="Times New Roman"/>
                <w:sz w:val="24"/>
                <w:szCs w:val="24"/>
              </w:rPr>
            </w:pPr>
            <w:r>
              <w:rPr>
                <w:rFonts w:ascii="Times New Roman" w:hAnsi="Times New Roman"/>
                <w:sz w:val="24"/>
                <w:szCs w:val="24"/>
              </w:rPr>
              <w:t>3</w:t>
            </w:r>
          </w:p>
        </w:tc>
      </w:tr>
      <w:tr w:rsidR="00A63FEF" w:rsidRPr="00AA45E9" w:rsidTr="00A63FEF">
        <w:tc>
          <w:tcPr>
            <w:tcW w:w="1507" w:type="dxa"/>
            <w:tcBorders>
              <w:bottom w:val="single" w:sz="4" w:space="0" w:color="auto"/>
              <w:right w:val="single" w:sz="4" w:space="0" w:color="auto"/>
            </w:tcBorders>
            <w:shd w:val="clear" w:color="auto" w:fill="002060"/>
          </w:tcPr>
          <w:p w:rsidR="00A63FEF" w:rsidRDefault="00A63FEF" w:rsidP="00A63FEF">
            <w:pPr>
              <w:spacing w:after="0" w:line="240" w:lineRule="auto"/>
              <w:jc w:val="center"/>
              <w:rPr>
                <w:rFonts w:ascii="Times New Roman" w:hAnsi="Times New Roman"/>
                <w:sz w:val="24"/>
                <w:szCs w:val="24"/>
              </w:rPr>
            </w:pPr>
            <w:r w:rsidRPr="00AA45E9">
              <w:rPr>
                <w:rFonts w:ascii="Times New Roman" w:hAnsi="Times New Roman"/>
                <w:b/>
                <w:sz w:val="24"/>
                <w:szCs w:val="24"/>
              </w:rPr>
              <w:t>Durée</w:t>
            </w:r>
          </w:p>
        </w:tc>
        <w:tc>
          <w:tcPr>
            <w:tcW w:w="1190" w:type="dxa"/>
            <w:tcBorders>
              <w:left w:val="single" w:sz="4" w:space="0" w:color="auto"/>
              <w:bottom w:val="single" w:sz="4" w:space="0" w:color="auto"/>
              <w:right w:val="single" w:sz="4" w:space="0" w:color="auto"/>
            </w:tcBorders>
          </w:tcPr>
          <w:p w:rsidR="00A63FEF" w:rsidRPr="00867483" w:rsidRDefault="00A63FEF" w:rsidP="00A63FEF">
            <w:pPr>
              <w:spacing w:after="0" w:line="240" w:lineRule="auto"/>
              <w:jc w:val="center"/>
              <w:rPr>
                <w:rFonts w:ascii="Times New Roman" w:hAnsi="Times New Roman"/>
                <w:sz w:val="24"/>
                <w:szCs w:val="24"/>
              </w:rPr>
            </w:pPr>
            <w:r>
              <w:rPr>
                <w:rFonts w:ascii="Times New Roman" w:hAnsi="Times New Roman"/>
                <w:sz w:val="24"/>
                <w:szCs w:val="24"/>
              </w:rPr>
              <w:t>Longue</w:t>
            </w:r>
          </w:p>
        </w:tc>
        <w:tc>
          <w:tcPr>
            <w:tcW w:w="456" w:type="dxa"/>
            <w:tcBorders>
              <w:left w:val="single" w:sz="4" w:space="0" w:color="auto"/>
              <w:bottom w:val="single" w:sz="4" w:space="0" w:color="auto"/>
            </w:tcBorders>
          </w:tcPr>
          <w:p w:rsidR="00A63FEF" w:rsidRPr="00867483" w:rsidRDefault="00A63FEF" w:rsidP="00A63FEF">
            <w:pPr>
              <w:spacing w:after="0" w:line="240" w:lineRule="auto"/>
              <w:jc w:val="center"/>
              <w:rPr>
                <w:rFonts w:ascii="Times New Roman" w:hAnsi="Times New Roman"/>
                <w:sz w:val="24"/>
                <w:szCs w:val="24"/>
              </w:rPr>
            </w:pPr>
            <w:r w:rsidRPr="00867483">
              <w:rPr>
                <w:rFonts w:ascii="Times New Roman" w:hAnsi="Times New Roman"/>
                <w:sz w:val="24"/>
                <w:szCs w:val="24"/>
              </w:rPr>
              <w:t>1</w:t>
            </w:r>
          </w:p>
        </w:tc>
      </w:tr>
      <w:tr w:rsidR="00A63FEF" w:rsidRPr="00AA45E9" w:rsidTr="007D340F">
        <w:tc>
          <w:tcPr>
            <w:tcW w:w="3153" w:type="dxa"/>
            <w:gridSpan w:val="3"/>
            <w:tcBorders>
              <w:bottom w:val="single" w:sz="4" w:space="0" w:color="auto"/>
            </w:tcBorders>
            <w:shd w:val="clear" w:color="auto" w:fill="FFFFFF" w:themeFill="background1"/>
          </w:tcPr>
          <w:p w:rsidR="00A63FEF" w:rsidRPr="00867483" w:rsidRDefault="00A63FEF" w:rsidP="00A63FEF">
            <w:pPr>
              <w:spacing w:after="0" w:line="240" w:lineRule="auto"/>
              <w:jc w:val="center"/>
              <w:rPr>
                <w:rFonts w:ascii="Times New Roman" w:hAnsi="Times New Roman"/>
                <w:sz w:val="6"/>
                <w:szCs w:val="6"/>
              </w:rPr>
            </w:pPr>
          </w:p>
        </w:tc>
      </w:tr>
      <w:tr w:rsidR="00A63FEF" w:rsidRPr="00AA45E9" w:rsidTr="0025590D">
        <w:tc>
          <w:tcPr>
            <w:tcW w:w="1507" w:type="dxa"/>
            <w:tcBorders>
              <w:bottom w:val="dashDotStroked" w:sz="24" w:space="0" w:color="auto"/>
              <w:right w:val="single" w:sz="4" w:space="0" w:color="auto"/>
            </w:tcBorders>
            <w:shd w:val="clear" w:color="auto" w:fill="002060"/>
          </w:tcPr>
          <w:p w:rsidR="00A63FEF" w:rsidRPr="00AA45E9" w:rsidRDefault="00A63FEF" w:rsidP="00A63FEF">
            <w:pPr>
              <w:spacing w:after="0" w:line="240" w:lineRule="auto"/>
              <w:jc w:val="center"/>
              <w:rPr>
                <w:rFonts w:ascii="Times New Roman" w:hAnsi="Times New Roman"/>
                <w:b/>
                <w:sz w:val="24"/>
                <w:szCs w:val="24"/>
              </w:rPr>
            </w:pPr>
            <w:r w:rsidRPr="00AA45E9">
              <w:rPr>
                <w:rFonts w:ascii="Times New Roman" w:hAnsi="Times New Roman"/>
                <w:b/>
                <w:sz w:val="24"/>
                <w:szCs w:val="24"/>
              </w:rPr>
              <w:t>Importance</w:t>
            </w:r>
          </w:p>
        </w:tc>
        <w:tc>
          <w:tcPr>
            <w:tcW w:w="1190" w:type="dxa"/>
            <w:tcBorders>
              <w:left w:val="single" w:sz="4" w:space="0" w:color="auto"/>
              <w:bottom w:val="dashDotStroked" w:sz="24" w:space="0" w:color="auto"/>
              <w:right w:val="single" w:sz="4" w:space="0" w:color="auto"/>
            </w:tcBorders>
            <w:shd w:val="clear" w:color="auto" w:fill="92D050"/>
          </w:tcPr>
          <w:p w:rsidR="00A63FEF" w:rsidRPr="008E6D9C" w:rsidRDefault="0025590D" w:rsidP="00A63FEF">
            <w:pPr>
              <w:spacing w:after="0" w:line="240" w:lineRule="auto"/>
              <w:jc w:val="center"/>
              <w:rPr>
                <w:rFonts w:ascii="Times New Roman" w:hAnsi="Times New Roman"/>
                <w:b/>
                <w:sz w:val="24"/>
                <w:szCs w:val="24"/>
              </w:rPr>
            </w:pPr>
            <w:r>
              <w:rPr>
                <w:rFonts w:ascii="Times New Roman" w:hAnsi="Times New Roman"/>
                <w:b/>
                <w:sz w:val="24"/>
                <w:szCs w:val="24"/>
              </w:rPr>
              <w:t>Mineure</w:t>
            </w:r>
          </w:p>
        </w:tc>
        <w:tc>
          <w:tcPr>
            <w:tcW w:w="456" w:type="dxa"/>
            <w:tcBorders>
              <w:left w:val="single" w:sz="4" w:space="0" w:color="auto"/>
              <w:bottom w:val="dashDotStroked" w:sz="24" w:space="0" w:color="auto"/>
            </w:tcBorders>
            <w:shd w:val="clear" w:color="auto" w:fill="92D050"/>
          </w:tcPr>
          <w:p w:rsidR="00A63FEF" w:rsidRPr="008E6D9C" w:rsidRDefault="0025590D" w:rsidP="00A63FEF">
            <w:pPr>
              <w:spacing w:after="0" w:line="240" w:lineRule="auto"/>
              <w:jc w:val="center"/>
              <w:rPr>
                <w:rFonts w:ascii="Times New Roman" w:hAnsi="Times New Roman"/>
                <w:b/>
                <w:sz w:val="24"/>
                <w:szCs w:val="24"/>
              </w:rPr>
            </w:pPr>
            <w:r>
              <w:rPr>
                <w:rFonts w:ascii="Times New Roman" w:hAnsi="Times New Roman"/>
                <w:b/>
                <w:sz w:val="24"/>
                <w:szCs w:val="24"/>
              </w:rPr>
              <w:t>1</w:t>
            </w:r>
            <w:r w:rsidR="00A63FEF" w:rsidRPr="008E6D9C">
              <w:rPr>
                <w:rFonts w:ascii="Times New Roman" w:hAnsi="Times New Roman"/>
                <w:b/>
                <w:sz w:val="24"/>
                <w:szCs w:val="24"/>
              </w:rPr>
              <w:t>5</w:t>
            </w:r>
          </w:p>
        </w:tc>
      </w:tr>
    </w:tbl>
    <w:p w:rsidR="00C22429" w:rsidRPr="00B10C82" w:rsidRDefault="005A5FB0" w:rsidP="00FA3FAE">
      <w:pPr>
        <w:pStyle w:val="PargrafodaLista"/>
        <w:numPr>
          <w:ilvl w:val="0"/>
          <w:numId w:val="41"/>
        </w:numPr>
        <w:pBdr>
          <w:bottom w:val="dashDotStroked" w:sz="24" w:space="1" w:color="auto"/>
        </w:pBdr>
        <w:jc w:val="both"/>
        <w:rPr>
          <w:rFonts w:ascii="Times New Roman" w:hAnsi="Times New Roman"/>
          <w:b/>
          <w:sz w:val="24"/>
          <w:szCs w:val="24"/>
        </w:rPr>
      </w:pPr>
      <w:r w:rsidRPr="00B10C82">
        <w:rPr>
          <w:rFonts w:ascii="Times New Roman" w:hAnsi="Times New Roman"/>
          <w:b/>
          <w:sz w:val="24"/>
          <w:szCs w:val="24"/>
        </w:rPr>
        <w:t>Risque de p</w:t>
      </w:r>
      <w:r w:rsidR="00C22429" w:rsidRPr="00B10C82">
        <w:rPr>
          <w:rFonts w:ascii="Times New Roman" w:hAnsi="Times New Roman"/>
          <w:b/>
          <w:sz w:val="24"/>
          <w:szCs w:val="24"/>
        </w:rPr>
        <w:t>ollution des Eaux</w:t>
      </w:r>
      <w:r w:rsidRPr="00B10C82">
        <w:rPr>
          <w:rFonts w:ascii="Times New Roman" w:hAnsi="Times New Roman"/>
          <w:b/>
          <w:sz w:val="24"/>
          <w:szCs w:val="24"/>
        </w:rPr>
        <w:t xml:space="preserve"> pluviales</w:t>
      </w:r>
    </w:p>
    <w:p w:rsidR="00C22429" w:rsidRPr="00C22429" w:rsidRDefault="00310EA3" w:rsidP="00C22429">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Pendant les travaux de maintenance et d’entretien </w:t>
      </w:r>
      <w:r w:rsidR="009726AC">
        <w:rPr>
          <w:rFonts w:ascii="Times New Roman" w:hAnsi="Times New Roman" w:cs="Times New Roman"/>
          <w:color w:val="000000"/>
          <w:sz w:val="24"/>
          <w:szCs w:val="24"/>
        </w:rPr>
        <w:t>des réservoirs</w:t>
      </w:r>
      <w:r>
        <w:rPr>
          <w:rFonts w:ascii="Times New Roman" w:hAnsi="Times New Roman" w:cs="Times New Roman"/>
          <w:color w:val="000000"/>
          <w:sz w:val="24"/>
          <w:szCs w:val="24"/>
        </w:rPr>
        <w:t xml:space="preserve"> et des équipements</w:t>
      </w:r>
      <w:r w:rsidR="00C22429" w:rsidRPr="00C22429">
        <w:rPr>
          <w:rFonts w:ascii="Times New Roman" w:hAnsi="Times New Roman" w:cs="Times New Roman"/>
          <w:color w:val="000000"/>
          <w:sz w:val="24"/>
          <w:szCs w:val="24"/>
        </w:rPr>
        <w:t>,</w:t>
      </w:r>
      <w:r w:rsidR="007F32B1">
        <w:rPr>
          <w:rFonts w:ascii="Times New Roman" w:hAnsi="Times New Roman" w:cs="Times New Roman"/>
          <w:color w:val="000000"/>
          <w:sz w:val="24"/>
          <w:szCs w:val="24"/>
        </w:rPr>
        <w:t xml:space="preserve"> le risque de</w:t>
      </w:r>
      <w:r w:rsidR="00A63FEF">
        <w:rPr>
          <w:rFonts w:ascii="Times New Roman" w:hAnsi="Times New Roman" w:cs="Times New Roman"/>
          <w:color w:val="000000"/>
          <w:sz w:val="24"/>
          <w:szCs w:val="24"/>
        </w:rPr>
        <w:t xml:space="preserve"> </w:t>
      </w:r>
      <w:r w:rsidR="007F32B1">
        <w:rPr>
          <w:rFonts w:ascii="Times New Roman" w:hAnsi="Times New Roman" w:cs="Times New Roman"/>
          <w:color w:val="000000"/>
          <w:sz w:val="24"/>
          <w:szCs w:val="24"/>
        </w:rPr>
        <w:t xml:space="preserve">pollution </w:t>
      </w:r>
      <w:r w:rsidR="009726AC">
        <w:rPr>
          <w:rFonts w:ascii="Times New Roman" w:hAnsi="Times New Roman" w:cs="Times New Roman"/>
          <w:color w:val="000000"/>
          <w:sz w:val="24"/>
          <w:szCs w:val="24"/>
        </w:rPr>
        <w:t xml:space="preserve">des eaux </w:t>
      </w:r>
      <w:r w:rsidR="00254282">
        <w:rPr>
          <w:rFonts w:ascii="Times New Roman" w:hAnsi="Times New Roman" w:cs="Times New Roman"/>
          <w:color w:val="000000"/>
          <w:sz w:val="24"/>
          <w:szCs w:val="24"/>
        </w:rPr>
        <w:t xml:space="preserve">pluviales </w:t>
      </w:r>
      <w:r w:rsidR="007F32B1">
        <w:rPr>
          <w:rFonts w:ascii="Times New Roman" w:hAnsi="Times New Roman" w:cs="Times New Roman"/>
          <w:color w:val="000000"/>
          <w:sz w:val="24"/>
          <w:szCs w:val="24"/>
        </w:rPr>
        <w:t xml:space="preserve">est prévisible en </w:t>
      </w:r>
      <w:r w:rsidR="009726AC">
        <w:rPr>
          <w:rFonts w:ascii="Times New Roman" w:hAnsi="Times New Roman" w:cs="Times New Roman"/>
          <w:color w:val="000000"/>
          <w:sz w:val="24"/>
          <w:szCs w:val="24"/>
        </w:rPr>
        <w:t xml:space="preserve">raison </w:t>
      </w:r>
      <w:r w:rsidR="00C22429" w:rsidRPr="00C22429">
        <w:rPr>
          <w:rFonts w:ascii="Times New Roman" w:hAnsi="Times New Roman" w:cs="Times New Roman"/>
          <w:color w:val="000000"/>
          <w:sz w:val="24"/>
          <w:szCs w:val="24"/>
        </w:rPr>
        <w:t>principalement :</w:t>
      </w:r>
    </w:p>
    <w:p w:rsidR="00254282" w:rsidRPr="00A63FEF" w:rsidRDefault="007F32B1" w:rsidP="00FA3FAE">
      <w:pPr>
        <w:pStyle w:val="PargrafodaLista"/>
        <w:numPr>
          <w:ilvl w:val="0"/>
          <w:numId w:val="82"/>
        </w:numPr>
        <w:jc w:val="both"/>
        <w:rPr>
          <w:rFonts w:ascii="Times New Roman" w:hAnsi="Times New Roman"/>
          <w:color w:val="000000"/>
          <w:sz w:val="24"/>
          <w:szCs w:val="24"/>
        </w:rPr>
      </w:pPr>
      <w:r w:rsidRPr="00A63FEF">
        <w:rPr>
          <w:rFonts w:ascii="Times New Roman" w:hAnsi="Times New Roman"/>
          <w:color w:val="000000"/>
          <w:sz w:val="24"/>
          <w:szCs w:val="24"/>
        </w:rPr>
        <w:t>Des</w:t>
      </w:r>
      <w:r w:rsidR="00C22429" w:rsidRPr="00A63FEF">
        <w:rPr>
          <w:rFonts w:ascii="Times New Roman" w:hAnsi="Times New Roman"/>
          <w:color w:val="000000"/>
          <w:sz w:val="24"/>
          <w:szCs w:val="24"/>
        </w:rPr>
        <w:t xml:space="preserve"> rejets des eaux pluviales chargées en hydrocarbures et autres polluants,</w:t>
      </w:r>
    </w:p>
    <w:p w:rsidR="00C22429" w:rsidRPr="00A63FEF" w:rsidRDefault="007F32B1" w:rsidP="00FA3FAE">
      <w:pPr>
        <w:pStyle w:val="PargrafodaLista"/>
        <w:numPr>
          <w:ilvl w:val="0"/>
          <w:numId w:val="82"/>
        </w:numPr>
        <w:jc w:val="both"/>
        <w:rPr>
          <w:rFonts w:ascii="Times New Roman" w:hAnsi="Times New Roman"/>
          <w:color w:val="000000"/>
          <w:sz w:val="24"/>
          <w:szCs w:val="24"/>
        </w:rPr>
      </w:pPr>
      <w:r w:rsidRPr="00A63FEF">
        <w:rPr>
          <w:rFonts w:ascii="Times New Roman" w:hAnsi="Times New Roman"/>
          <w:color w:val="000000"/>
          <w:sz w:val="24"/>
          <w:szCs w:val="24"/>
        </w:rPr>
        <w:t xml:space="preserve">Des rejets des substances huileuses, etc., résultant de l’entretien des </w:t>
      </w:r>
      <w:r w:rsidR="00517A9D" w:rsidRPr="00A63FEF">
        <w:rPr>
          <w:rFonts w:ascii="Times New Roman" w:hAnsi="Times New Roman"/>
          <w:color w:val="000000"/>
          <w:sz w:val="24"/>
          <w:szCs w:val="24"/>
        </w:rPr>
        <w:t xml:space="preserve">équipements et </w:t>
      </w:r>
      <w:r w:rsidR="00254282" w:rsidRPr="00A63FEF">
        <w:rPr>
          <w:rFonts w:ascii="Times New Roman" w:hAnsi="Times New Roman"/>
          <w:color w:val="000000"/>
          <w:sz w:val="24"/>
          <w:szCs w:val="24"/>
        </w:rPr>
        <w:t>engins de</w:t>
      </w:r>
      <w:r w:rsidR="00A7209E" w:rsidRPr="00A63FEF">
        <w:rPr>
          <w:rFonts w:ascii="Times New Roman" w:hAnsi="Times New Roman"/>
          <w:color w:val="000000"/>
          <w:sz w:val="24"/>
          <w:szCs w:val="24"/>
        </w:rPr>
        <w:t xml:space="preserve"> </w:t>
      </w:r>
      <w:r w:rsidR="00C22429" w:rsidRPr="00A63FEF">
        <w:rPr>
          <w:rFonts w:ascii="Times New Roman" w:hAnsi="Times New Roman"/>
          <w:color w:val="000000"/>
          <w:sz w:val="24"/>
          <w:szCs w:val="24"/>
        </w:rPr>
        <w:t>manutention utilisés,</w:t>
      </w:r>
    </w:p>
    <w:p w:rsidR="00C22429" w:rsidRDefault="00A7209E" w:rsidP="007F32B1">
      <w:pPr>
        <w:jc w:val="both"/>
        <w:rPr>
          <w:rFonts w:ascii="Times New Roman" w:hAnsi="Times New Roman" w:cs="Times New Roman"/>
          <w:color w:val="000000"/>
          <w:sz w:val="24"/>
          <w:szCs w:val="24"/>
        </w:rPr>
      </w:pPr>
      <w:r w:rsidRPr="00C22429">
        <w:rPr>
          <w:rFonts w:ascii="Times New Roman" w:hAnsi="Times New Roman" w:cs="Times New Roman"/>
          <w:color w:val="000000"/>
          <w:sz w:val="24"/>
          <w:szCs w:val="24"/>
        </w:rPr>
        <w:lastRenderedPageBreak/>
        <w:t>Les eaux pluviales en</w:t>
      </w:r>
      <w:r w:rsidR="00C22429" w:rsidRPr="00C22429">
        <w:rPr>
          <w:rFonts w:ascii="Times New Roman" w:hAnsi="Times New Roman" w:cs="Times New Roman"/>
          <w:color w:val="000000"/>
          <w:sz w:val="24"/>
          <w:szCs w:val="24"/>
        </w:rPr>
        <w:t xml:space="preserve"> </w:t>
      </w:r>
      <w:r w:rsidR="00517A9D" w:rsidRPr="00C22429">
        <w:rPr>
          <w:rFonts w:ascii="Times New Roman" w:hAnsi="Times New Roman" w:cs="Times New Roman"/>
          <w:color w:val="000000"/>
          <w:sz w:val="24"/>
          <w:szCs w:val="24"/>
        </w:rPr>
        <w:t xml:space="preserve">contact </w:t>
      </w:r>
      <w:r w:rsidR="00254282" w:rsidRPr="00C22429">
        <w:rPr>
          <w:rFonts w:ascii="Times New Roman" w:hAnsi="Times New Roman" w:cs="Times New Roman"/>
          <w:color w:val="000000"/>
          <w:sz w:val="24"/>
          <w:szCs w:val="24"/>
        </w:rPr>
        <w:t>avec les produits hydrocarburés peuvent polluer le</w:t>
      </w:r>
      <w:r w:rsidR="00254282">
        <w:rPr>
          <w:rFonts w:ascii="Times New Roman" w:hAnsi="Times New Roman" w:cs="Times New Roman"/>
          <w:color w:val="000000"/>
          <w:sz w:val="24"/>
          <w:szCs w:val="24"/>
        </w:rPr>
        <w:t xml:space="preserve"> plan d’eau</w:t>
      </w:r>
      <w:r w:rsidR="000B6EDB">
        <w:rPr>
          <w:rFonts w:ascii="Times New Roman" w:hAnsi="Times New Roman" w:cs="Times New Roman"/>
          <w:color w:val="000000"/>
          <w:sz w:val="24"/>
          <w:szCs w:val="24"/>
        </w:rPr>
        <w:t>,</w:t>
      </w:r>
      <w:r w:rsidR="00254282">
        <w:rPr>
          <w:rFonts w:ascii="Times New Roman" w:hAnsi="Times New Roman" w:cs="Times New Roman"/>
          <w:color w:val="000000"/>
          <w:sz w:val="24"/>
          <w:szCs w:val="24"/>
        </w:rPr>
        <w:t xml:space="preserve"> </w:t>
      </w:r>
      <w:r w:rsidR="00A63FEF">
        <w:rPr>
          <w:rFonts w:ascii="Times New Roman" w:hAnsi="Times New Roman" w:cs="Times New Roman"/>
          <w:color w:val="000000"/>
          <w:sz w:val="24"/>
          <w:szCs w:val="24"/>
        </w:rPr>
        <w:t>d’où toute la</w:t>
      </w:r>
      <w:r>
        <w:rPr>
          <w:rFonts w:ascii="Times New Roman" w:hAnsi="Times New Roman" w:cs="Times New Roman"/>
          <w:color w:val="000000"/>
          <w:sz w:val="24"/>
          <w:szCs w:val="24"/>
        </w:rPr>
        <w:t xml:space="preserve"> nécessité de procéder à des mesures de protection</w:t>
      </w:r>
      <w:r w:rsidR="00517A9D">
        <w:rPr>
          <w:rFonts w:ascii="Times New Roman" w:hAnsi="Times New Roman" w:cs="Times New Roman"/>
          <w:color w:val="000000"/>
          <w:sz w:val="24"/>
          <w:szCs w:val="24"/>
        </w:rPr>
        <w:t xml:space="preserve">. </w:t>
      </w:r>
      <w:r w:rsidRPr="00C22429">
        <w:rPr>
          <w:rFonts w:ascii="Times New Roman" w:hAnsi="Times New Roman" w:cs="Times New Roman"/>
          <w:color w:val="000000"/>
          <w:sz w:val="24"/>
          <w:szCs w:val="24"/>
        </w:rPr>
        <w:t>La gestion</w:t>
      </w:r>
      <w:r>
        <w:rPr>
          <w:rFonts w:ascii="Times New Roman" w:hAnsi="Times New Roman" w:cs="Times New Roman"/>
          <w:color w:val="000000"/>
          <w:sz w:val="24"/>
          <w:szCs w:val="24"/>
        </w:rPr>
        <w:t xml:space="preserve"> des déchets solides et liquides constituera dès lors un enjeu majeur pour s</w:t>
      </w:r>
      <w:r w:rsidRPr="00C22429">
        <w:rPr>
          <w:rFonts w:ascii="Times New Roman" w:hAnsi="Times New Roman" w:cs="Times New Roman"/>
          <w:color w:val="000000"/>
          <w:sz w:val="24"/>
          <w:szCs w:val="24"/>
        </w:rPr>
        <w:t>auvegarder</w:t>
      </w:r>
      <w:r w:rsidR="00C22429" w:rsidRPr="00C22429">
        <w:rPr>
          <w:rFonts w:ascii="Times New Roman" w:hAnsi="Times New Roman" w:cs="Times New Roman"/>
          <w:color w:val="000000"/>
          <w:sz w:val="24"/>
          <w:szCs w:val="24"/>
        </w:rPr>
        <w:t xml:space="preserve"> la qualité du plan d’eau. </w:t>
      </w:r>
    </w:p>
    <w:tbl>
      <w:tblPr>
        <w:tblpPr w:leftFromText="141" w:rightFromText="141" w:vertAnchor="text" w:horzAnchor="margin" w:tblpXSpec="right" w:tblpY="471"/>
        <w:tblW w:w="3153" w:type="dxa"/>
        <w:tblBorders>
          <w:top w:val="single" w:sz="4" w:space="0" w:color="auto"/>
          <w:left w:val="dashDotStroked" w:sz="24" w:space="0" w:color="auto"/>
          <w:bottom w:val="dashDotStroked" w:sz="24" w:space="0" w:color="auto"/>
          <w:right w:val="dashDotStroked" w:sz="24" w:space="0" w:color="auto"/>
          <w:insideH w:val="single" w:sz="4" w:space="0" w:color="auto"/>
          <w:insideV w:val="dashDotStroked" w:sz="24" w:space="0" w:color="auto"/>
        </w:tblBorders>
        <w:tblLook w:val="04A0" w:firstRow="1" w:lastRow="0" w:firstColumn="1" w:lastColumn="0" w:noHBand="0" w:noVBand="1"/>
      </w:tblPr>
      <w:tblGrid>
        <w:gridCol w:w="1507"/>
        <w:gridCol w:w="1190"/>
        <w:gridCol w:w="456"/>
      </w:tblGrid>
      <w:tr w:rsidR="00A63FEF" w:rsidRPr="00AA45E9" w:rsidTr="00A63FEF">
        <w:tc>
          <w:tcPr>
            <w:tcW w:w="3153" w:type="dxa"/>
            <w:gridSpan w:val="3"/>
            <w:tcBorders>
              <w:bottom w:val="single" w:sz="4" w:space="0" w:color="auto"/>
            </w:tcBorders>
            <w:shd w:val="clear" w:color="auto" w:fill="002060"/>
          </w:tcPr>
          <w:p w:rsidR="00A63FEF" w:rsidRPr="00867483" w:rsidRDefault="00A63FEF" w:rsidP="00A63FEF">
            <w:pPr>
              <w:spacing w:after="0" w:line="240" w:lineRule="auto"/>
              <w:jc w:val="center"/>
              <w:rPr>
                <w:rFonts w:ascii="Times New Roman" w:hAnsi="Times New Roman"/>
                <w:b/>
                <w:sz w:val="24"/>
                <w:szCs w:val="24"/>
              </w:rPr>
            </w:pPr>
            <w:r w:rsidRPr="00867483">
              <w:rPr>
                <w:rFonts w:ascii="Times New Roman" w:hAnsi="Times New Roman"/>
                <w:b/>
                <w:sz w:val="24"/>
                <w:szCs w:val="24"/>
              </w:rPr>
              <w:t>Caractérisation de l’impact</w:t>
            </w:r>
          </w:p>
        </w:tc>
      </w:tr>
      <w:tr w:rsidR="0025590D" w:rsidRPr="00AA45E9" w:rsidTr="00247507">
        <w:tc>
          <w:tcPr>
            <w:tcW w:w="1507" w:type="dxa"/>
            <w:tcBorders>
              <w:bottom w:val="single" w:sz="4" w:space="0" w:color="auto"/>
              <w:right w:val="single" w:sz="4" w:space="0" w:color="auto"/>
            </w:tcBorders>
            <w:shd w:val="clear" w:color="auto" w:fill="002060"/>
          </w:tcPr>
          <w:p w:rsidR="0025590D" w:rsidRPr="00AA45E9" w:rsidRDefault="0025590D" w:rsidP="00A63FEF">
            <w:pPr>
              <w:spacing w:after="0" w:line="240" w:lineRule="auto"/>
              <w:jc w:val="center"/>
              <w:rPr>
                <w:rFonts w:ascii="Times New Roman" w:hAnsi="Times New Roman"/>
                <w:b/>
                <w:sz w:val="24"/>
                <w:szCs w:val="24"/>
              </w:rPr>
            </w:pPr>
            <w:r>
              <w:rPr>
                <w:rFonts w:ascii="Times New Roman" w:hAnsi="Times New Roman"/>
                <w:b/>
                <w:sz w:val="24"/>
                <w:szCs w:val="24"/>
              </w:rPr>
              <w:t xml:space="preserve">Nature </w:t>
            </w:r>
          </w:p>
        </w:tc>
        <w:tc>
          <w:tcPr>
            <w:tcW w:w="1646" w:type="dxa"/>
            <w:gridSpan w:val="2"/>
            <w:tcBorders>
              <w:left w:val="single" w:sz="4" w:space="0" w:color="auto"/>
              <w:bottom w:val="single" w:sz="4" w:space="0" w:color="auto"/>
            </w:tcBorders>
            <w:shd w:val="clear" w:color="auto" w:fill="auto"/>
          </w:tcPr>
          <w:p w:rsidR="0025590D" w:rsidRPr="00867483" w:rsidRDefault="0025590D" w:rsidP="00A63FEF">
            <w:pPr>
              <w:spacing w:after="0" w:line="240" w:lineRule="auto"/>
              <w:jc w:val="center"/>
              <w:rPr>
                <w:rFonts w:ascii="Times New Roman" w:hAnsi="Times New Roman"/>
                <w:sz w:val="24"/>
                <w:szCs w:val="24"/>
              </w:rPr>
            </w:pPr>
            <w:r w:rsidRPr="00E96A04">
              <w:rPr>
                <w:rFonts w:ascii="Times New Roman" w:hAnsi="Times New Roman"/>
                <w:b/>
                <w:sz w:val="24"/>
                <w:szCs w:val="24"/>
              </w:rPr>
              <w:t>Négatif</w:t>
            </w:r>
          </w:p>
        </w:tc>
      </w:tr>
      <w:tr w:rsidR="00A63FEF" w:rsidRPr="00AA45E9" w:rsidTr="00A63FEF">
        <w:tc>
          <w:tcPr>
            <w:tcW w:w="1507" w:type="dxa"/>
            <w:tcBorders>
              <w:bottom w:val="single" w:sz="4" w:space="0" w:color="auto"/>
              <w:right w:val="single" w:sz="4" w:space="0" w:color="auto"/>
            </w:tcBorders>
            <w:shd w:val="clear" w:color="auto" w:fill="002060"/>
          </w:tcPr>
          <w:p w:rsidR="00A63FEF" w:rsidRPr="00AA45E9" w:rsidRDefault="00A63FEF" w:rsidP="00A63FEF">
            <w:pPr>
              <w:spacing w:after="0" w:line="240" w:lineRule="auto"/>
              <w:jc w:val="center"/>
              <w:rPr>
                <w:rFonts w:ascii="Times New Roman" w:hAnsi="Times New Roman"/>
                <w:b/>
                <w:sz w:val="24"/>
                <w:szCs w:val="24"/>
              </w:rPr>
            </w:pPr>
            <w:r w:rsidRPr="00AA45E9">
              <w:rPr>
                <w:rFonts w:ascii="Times New Roman" w:hAnsi="Times New Roman"/>
                <w:b/>
                <w:sz w:val="24"/>
                <w:szCs w:val="24"/>
              </w:rPr>
              <w:t>Intensité</w:t>
            </w:r>
          </w:p>
        </w:tc>
        <w:tc>
          <w:tcPr>
            <w:tcW w:w="1190" w:type="dxa"/>
            <w:tcBorders>
              <w:left w:val="single" w:sz="4" w:space="0" w:color="auto"/>
              <w:bottom w:val="single" w:sz="4" w:space="0" w:color="auto"/>
              <w:right w:val="single" w:sz="4" w:space="0" w:color="auto"/>
            </w:tcBorders>
            <w:shd w:val="clear" w:color="auto" w:fill="auto"/>
          </w:tcPr>
          <w:p w:rsidR="00A63FEF" w:rsidRPr="00867483" w:rsidRDefault="00A63FEF" w:rsidP="00A63FEF">
            <w:pPr>
              <w:spacing w:after="0" w:line="240" w:lineRule="auto"/>
              <w:jc w:val="center"/>
              <w:rPr>
                <w:rFonts w:ascii="Times New Roman" w:hAnsi="Times New Roman"/>
                <w:sz w:val="24"/>
                <w:szCs w:val="24"/>
              </w:rPr>
            </w:pPr>
            <w:r w:rsidRPr="00867483">
              <w:rPr>
                <w:rFonts w:ascii="Times New Roman" w:hAnsi="Times New Roman"/>
                <w:sz w:val="24"/>
                <w:szCs w:val="24"/>
              </w:rPr>
              <w:t>Forte</w:t>
            </w:r>
          </w:p>
        </w:tc>
        <w:tc>
          <w:tcPr>
            <w:tcW w:w="456" w:type="dxa"/>
            <w:tcBorders>
              <w:left w:val="single" w:sz="4" w:space="0" w:color="auto"/>
              <w:bottom w:val="single" w:sz="4" w:space="0" w:color="auto"/>
            </w:tcBorders>
            <w:shd w:val="clear" w:color="auto" w:fill="auto"/>
          </w:tcPr>
          <w:p w:rsidR="00A63FEF" w:rsidRPr="00867483" w:rsidRDefault="00A63FEF" w:rsidP="00A63FEF">
            <w:pPr>
              <w:spacing w:after="0" w:line="240" w:lineRule="auto"/>
              <w:jc w:val="center"/>
              <w:rPr>
                <w:rFonts w:ascii="Times New Roman" w:hAnsi="Times New Roman"/>
                <w:sz w:val="24"/>
                <w:szCs w:val="24"/>
              </w:rPr>
            </w:pPr>
            <w:r w:rsidRPr="00867483">
              <w:rPr>
                <w:rFonts w:ascii="Times New Roman" w:hAnsi="Times New Roman"/>
                <w:sz w:val="24"/>
                <w:szCs w:val="24"/>
              </w:rPr>
              <w:t>5</w:t>
            </w:r>
          </w:p>
        </w:tc>
      </w:tr>
      <w:tr w:rsidR="00A63FEF" w:rsidRPr="00AA45E9" w:rsidTr="00A63FEF">
        <w:tc>
          <w:tcPr>
            <w:tcW w:w="1507" w:type="dxa"/>
            <w:tcBorders>
              <w:bottom w:val="single" w:sz="4" w:space="0" w:color="auto"/>
              <w:right w:val="single" w:sz="4" w:space="0" w:color="auto"/>
            </w:tcBorders>
            <w:shd w:val="clear" w:color="auto" w:fill="002060"/>
          </w:tcPr>
          <w:p w:rsidR="00A63FEF" w:rsidRPr="00AA45E9" w:rsidRDefault="00A63FEF" w:rsidP="00A63FEF">
            <w:pPr>
              <w:spacing w:after="0" w:line="240" w:lineRule="auto"/>
              <w:jc w:val="center"/>
              <w:rPr>
                <w:rFonts w:ascii="Times New Roman" w:hAnsi="Times New Roman"/>
                <w:sz w:val="24"/>
                <w:szCs w:val="24"/>
              </w:rPr>
            </w:pPr>
            <w:r w:rsidRPr="00AA45E9">
              <w:rPr>
                <w:rFonts w:ascii="Times New Roman" w:hAnsi="Times New Roman"/>
                <w:b/>
                <w:sz w:val="24"/>
                <w:szCs w:val="24"/>
              </w:rPr>
              <w:t>Etendue</w:t>
            </w:r>
          </w:p>
        </w:tc>
        <w:tc>
          <w:tcPr>
            <w:tcW w:w="1190" w:type="dxa"/>
            <w:tcBorders>
              <w:left w:val="single" w:sz="4" w:space="0" w:color="auto"/>
              <w:bottom w:val="single" w:sz="4" w:space="0" w:color="auto"/>
              <w:right w:val="single" w:sz="4" w:space="0" w:color="auto"/>
            </w:tcBorders>
          </w:tcPr>
          <w:p w:rsidR="00A63FEF" w:rsidRPr="00867483" w:rsidRDefault="0025590D" w:rsidP="0025590D">
            <w:pPr>
              <w:spacing w:after="0" w:line="240" w:lineRule="auto"/>
              <w:rPr>
                <w:rFonts w:ascii="Times New Roman" w:hAnsi="Times New Roman"/>
                <w:sz w:val="24"/>
                <w:szCs w:val="24"/>
              </w:rPr>
            </w:pPr>
            <w:r>
              <w:rPr>
                <w:rFonts w:ascii="Times New Roman" w:hAnsi="Times New Roman"/>
                <w:sz w:val="24"/>
                <w:szCs w:val="24"/>
              </w:rPr>
              <w:t xml:space="preserve"> Locale</w:t>
            </w:r>
          </w:p>
        </w:tc>
        <w:tc>
          <w:tcPr>
            <w:tcW w:w="456" w:type="dxa"/>
            <w:tcBorders>
              <w:left w:val="single" w:sz="4" w:space="0" w:color="auto"/>
              <w:bottom w:val="single" w:sz="4" w:space="0" w:color="auto"/>
            </w:tcBorders>
          </w:tcPr>
          <w:p w:rsidR="00A63FEF" w:rsidRPr="00867483" w:rsidRDefault="0025590D" w:rsidP="00A63FEF">
            <w:pPr>
              <w:spacing w:after="0" w:line="240" w:lineRule="auto"/>
              <w:jc w:val="center"/>
              <w:rPr>
                <w:rFonts w:ascii="Times New Roman" w:hAnsi="Times New Roman"/>
                <w:sz w:val="24"/>
                <w:szCs w:val="24"/>
              </w:rPr>
            </w:pPr>
            <w:r>
              <w:rPr>
                <w:rFonts w:ascii="Times New Roman" w:hAnsi="Times New Roman"/>
                <w:sz w:val="24"/>
                <w:szCs w:val="24"/>
              </w:rPr>
              <w:t>3</w:t>
            </w:r>
          </w:p>
        </w:tc>
      </w:tr>
      <w:tr w:rsidR="00A63FEF" w:rsidRPr="00AA45E9" w:rsidTr="00A63FEF">
        <w:tc>
          <w:tcPr>
            <w:tcW w:w="1507" w:type="dxa"/>
            <w:tcBorders>
              <w:bottom w:val="single" w:sz="4" w:space="0" w:color="auto"/>
              <w:right w:val="single" w:sz="4" w:space="0" w:color="auto"/>
            </w:tcBorders>
            <w:shd w:val="clear" w:color="auto" w:fill="002060"/>
          </w:tcPr>
          <w:p w:rsidR="00A63FEF" w:rsidRDefault="00A63FEF" w:rsidP="00A63FEF">
            <w:pPr>
              <w:spacing w:after="0" w:line="240" w:lineRule="auto"/>
              <w:jc w:val="center"/>
              <w:rPr>
                <w:rFonts w:ascii="Times New Roman" w:hAnsi="Times New Roman"/>
                <w:sz w:val="24"/>
                <w:szCs w:val="24"/>
              </w:rPr>
            </w:pPr>
            <w:r w:rsidRPr="00AA45E9">
              <w:rPr>
                <w:rFonts w:ascii="Times New Roman" w:hAnsi="Times New Roman"/>
                <w:b/>
                <w:sz w:val="24"/>
                <w:szCs w:val="24"/>
              </w:rPr>
              <w:t>Durée</w:t>
            </w:r>
          </w:p>
        </w:tc>
        <w:tc>
          <w:tcPr>
            <w:tcW w:w="1190" w:type="dxa"/>
            <w:tcBorders>
              <w:left w:val="single" w:sz="4" w:space="0" w:color="auto"/>
              <w:bottom w:val="single" w:sz="4" w:space="0" w:color="auto"/>
              <w:right w:val="single" w:sz="4" w:space="0" w:color="auto"/>
            </w:tcBorders>
          </w:tcPr>
          <w:p w:rsidR="00A63FEF" w:rsidRPr="00867483" w:rsidRDefault="00A63FEF" w:rsidP="00A63FEF">
            <w:pPr>
              <w:spacing w:after="0" w:line="240" w:lineRule="auto"/>
              <w:jc w:val="center"/>
              <w:rPr>
                <w:rFonts w:ascii="Times New Roman" w:hAnsi="Times New Roman"/>
                <w:sz w:val="24"/>
                <w:szCs w:val="24"/>
              </w:rPr>
            </w:pPr>
            <w:r>
              <w:rPr>
                <w:rFonts w:ascii="Times New Roman" w:hAnsi="Times New Roman"/>
                <w:sz w:val="24"/>
                <w:szCs w:val="24"/>
              </w:rPr>
              <w:t>Longue</w:t>
            </w:r>
          </w:p>
        </w:tc>
        <w:tc>
          <w:tcPr>
            <w:tcW w:w="456" w:type="dxa"/>
            <w:tcBorders>
              <w:left w:val="single" w:sz="4" w:space="0" w:color="auto"/>
              <w:bottom w:val="single" w:sz="4" w:space="0" w:color="auto"/>
            </w:tcBorders>
          </w:tcPr>
          <w:p w:rsidR="00A63FEF" w:rsidRPr="00867483" w:rsidRDefault="0025590D" w:rsidP="00A63FEF">
            <w:pPr>
              <w:spacing w:after="0" w:line="240" w:lineRule="auto"/>
              <w:jc w:val="center"/>
              <w:rPr>
                <w:rFonts w:ascii="Times New Roman" w:hAnsi="Times New Roman"/>
                <w:sz w:val="24"/>
                <w:szCs w:val="24"/>
              </w:rPr>
            </w:pPr>
            <w:r>
              <w:rPr>
                <w:rFonts w:ascii="Times New Roman" w:hAnsi="Times New Roman"/>
                <w:sz w:val="24"/>
                <w:szCs w:val="24"/>
              </w:rPr>
              <w:t>5</w:t>
            </w:r>
          </w:p>
        </w:tc>
      </w:tr>
      <w:tr w:rsidR="00A63FEF" w:rsidRPr="00AA45E9" w:rsidTr="00FC410F">
        <w:tc>
          <w:tcPr>
            <w:tcW w:w="3153" w:type="dxa"/>
            <w:gridSpan w:val="3"/>
            <w:tcBorders>
              <w:bottom w:val="single" w:sz="4" w:space="0" w:color="auto"/>
            </w:tcBorders>
            <w:shd w:val="clear" w:color="auto" w:fill="FFFFFF" w:themeFill="background1"/>
          </w:tcPr>
          <w:p w:rsidR="00A63FEF" w:rsidRPr="00867483" w:rsidRDefault="00A63FEF" w:rsidP="00A63FEF">
            <w:pPr>
              <w:spacing w:after="0" w:line="240" w:lineRule="auto"/>
              <w:jc w:val="center"/>
              <w:rPr>
                <w:rFonts w:ascii="Times New Roman" w:hAnsi="Times New Roman"/>
                <w:sz w:val="6"/>
                <w:szCs w:val="6"/>
              </w:rPr>
            </w:pPr>
          </w:p>
        </w:tc>
      </w:tr>
      <w:tr w:rsidR="00A63FEF" w:rsidRPr="00AA45E9" w:rsidTr="0025590D">
        <w:tc>
          <w:tcPr>
            <w:tcW w:w="1507" w:type="dxa"/>
            <w:tcBorders>
              <w:bottom w:val="dashDotStroked" w:sz="24" w:space="0" w:color="auto"/>
              <w:right w:val="single" w:sz="4" w:space="0" w:color="auto"/>
            </w:tcBorders>
            <w:shd w:val="clear" w:color="auto" w:fill="002060"/>
          </w:tcPr>
          <w:p w:rsidR="00A63FEF" w:rsidRPr="00AA45E9" w:rsidRDefault="00A63FEF" w:rsidP="00A63FEF">
            <w:pPr>
              <w:spacing w:after="0" w:line="240" w:lineRule="auto"/>
              <w:jc w:val="center"/>
              <w:rPr>
                <w:rFonts w:ascii="Times New Roman" w:hAnsi="Times New Roman"/>
                <w:b/>
                <w:sz w:val="24"/>
                <w:szCs w:val="24"/>
              </w:rPr>
            </w:pPr>
            <w:r w:rsidRPr="00AA45E9">
              <w:rPr>
                <w:rFonts w:ascii="Times New Roman" w:hAnsi="Times New Roman"/>
                <w:b/>
                <w:sz w:val="24"/>
                <w:szCs w:val="24"/>
              </w:rPr>
              <w:t>Importance</w:t>
            </w:r>
          </w:p>
        </w:tc>
        <w:tc>
          <w:tcPr>
            <w:tcW w:w="1190" w:type="dxa"/>
            <w:tcBorders>
              <w:left w:val="single" w:sz="4" w:space="0" w:color="auto"/>
              <w:bottom w:val="dashDotStroked" w:sz="24" w:space="0" w:color="auto"/>
              <w:right w:val="single" w:sz="4" w:space="0" w:color="auto"/>
            </w:tcBorders>
            <w:shd w:val="clear" w:color="auto" w:fill="FF0000"/>
          </w:tcPr>
          <w:p w:rsidR="00A63FEF" w:rsidRPr="008E6D9C" w:rsidRDefault="0025590D" w:rsidP="00A63FEF">
            <w:pPr>
              <w:spacing w:after="0" w:line="240" w:lineRule="auto"/>
              <w:jc w:val="center"/>
              <w:rPr>
                <w:rFonts w:ascii="Times New Roman" w:hAnsi="Times New Roman"/>
                <w:b/>
                <w:sz w:val="24"/>
                <w:szCs w:val="24"/>
              </w:rPr>
            </w:pPr>
            <w:r>
              <w:rPr>
                <w:rFonts w:ascii="Times New Roman" w:hAnsi="Times New Roman"/>
                <w:b/>
                <w:sz w:val="24"/>
                <w:szCs w:val="24"/>
              </w:rPr>
              <w:t>Majeure</w:t>
            </w:r>
          </w:p>
        </w:tc>
        <w:tc>
          <w:tcPr>
            <w:tcW w:w="456" w:type="dxa"/>
            <w:tcBorders>
              <w:left w:val="single" w:sz="4" w:space="0" w:color="auto"/>
              <w:bottom w:val="dashDotStroked" w:sz="24" w:space="0" w:color="auto"/>
            </w:tcBorders>
            <w:shd w:val="clear" w:color="auto" w:fill="FF0000"/>
          </w:tcPr>
          <w:p w:rsidR="00A63FEF" w:rsidRPr="008E6D9C" w:rsidRDefault="0025590D" w:rsidP="00A63FEF">
            <w:pPr>
              <w:spacing w:after="0" w:line="240" w:lineRule="auto"/>
              <w:jc w:val="center"/>
              <w:rPr>
                <w:rFonts w:ascii="Times New Roman" w:hAnsi="Times New Roman"/>
                <w:b/>
                <w:sz w:val="24"/>
                <w:szCs w:val="24"/>
              </w:rPr>
            </w:pPr>
            <w:r>
              <w:rPr>
                <w:rFonts w:ascii="Times New Roman" w:hAnsi="Times New Roman"/>
                <w:b/>
                <w:sz w:val="24"/>
                <w:szCs w:val="24"/>
              </w:rPr>
              <w:t>7</w:t>
            </w:r>
            <w:r w:rsidR="00A63FEF" w:rsidRPr="008E6D9C">
              <w:rPr>
                <w:rFonts w:ascii="Times New Roman" w:hAnsi="Times New Roman"/>
                <w:b/>
                <w:sz w:val="24"/>
                <w:szCs w:val="24"/>
              </w:rPr>
              <w:t>5</w:t>
            </w:r>
          </w:p>
        </w:tc>
      </w:tr>
    </w:tbl>
    <w:p w:rsidR="00FA10EF" w:rsidRPr="00B10C82" w:rsidRDefault="0025590D" w:rsidP="00FA3FAE">
      <w:pPr>
        <w:pStyle w:val="PargrafodaLista"/>
        <w:numPr>
          <w:ilvl w:val="0"/>
          <w:numId w:val="41"/>
        </w:numPr>
        <w:pBdr>
          <w:bottom w:val="dashDotStroked" w:sz="24" w:space="1" w:color="auto"/>
        </w:pBdr>
        <w:jc w:val="both"/>
        <w:rPr>
          <w:rFonts w:ascii="Times New Roman" w:hAnsi="Times New Roman"/>
          <w:b/>
          <w:sz w:val="24"/>
          <w:szCs w:val="24"/>
        </w:rPr>
      </w:pPr>
      <w:r>
        <w:rPr>
          <w:rFonts w:ascii="Times New Roman" w:hAnsi="Times New Roman"/>
          <w:b/>
          <w:sz w:val="24"/>
          <w:szCs w:val="24"/>
          <w:lang w:val="fr-FR"/>
        </w:rPr>
        <w:t>Risque d’a</w:t>
      </w:r>
      <w:r w:rsidRPr="00B10C82">
        <w:rPr>
          <w:rFonts w:ascii="Times New Roman" w:hAnsi="Times New Roman"/>
          <w:b/>
          <w:sz w:val="24"/>
          <w:szCs w:val="24"/>
        </w:rPr>
        <w:t>ugmentation</w:t>
      </w:r>
      <w:r w:rsidR="00FA10EF" w:rsidRPr="00B10C82">
        <w:rPr>
          <w:rFonts w:ascii="Times New Roman" w:hAnsi="Times New Roman"/>
          <w:b/>
          <w:sz w:val="24"/>
          <w:szCs w:val="24"/>
        </w:rPr>
        <w:t xml:space="preserve"> de l’insalubrité </w:t>
      </w:r>
    </w:p>
    <w:p w:rsidR="00A63FEF" w:rsidRDefault="00FA10EF" w:rsidP="00FA10EF">
      <w:pPr>
        <w:jc w:val="both"/>
        <w:rPr>
          <w:rFonts w:ascii="Times New Roman" w:hAnsi="Times New Roman" w:cs="Times New Roman"/>
          <w:color w:val="000000"/>
          <w:sz w:val="24"/>
          <w:szCs w:val="24"/>
        </w:rPr>
      </w:pPr>
      <w:r w:rsidRPr="00FA10EF">
        <w:rPr>
          <w:rFonts w:ascii="Times New Roman" w:hAnsi="Times New Roman" w:cs="Times New Roman"/>
          <w:color w:val="000000"/>
          <w:sz w:val="24"/>
          <w:szCs w:val="24"/>
        </w:rPr>
        <w:t>L’amélioration de la fournir de l’eau potable à la population, entraine</w:t>
      </w:r>
      <w:r>
        <w:rPr>
          <w:rFonts w:ascii="Times New Roman" w:hAnsi="Times New Roman" w:cs="Times New Roman"/>
          <w:color w:val="000000"/>
          <w:sz w:val="24"/>
          <w:szCs w:val="24"/>
        </w:rPr>
        <w:t xml:space="preserve">ra </w:t>
      </w:r>
      <w:r w:rsidR="00254282">
        <w:rPr>
          <w:rFonts w:ascii="Times New Roman" w:hAnsi="Times New Roman" w:cs="Times New Roman"/>
          <w:color w:val="000000"/>
          <w:sz w:val="24"/>
          <w:szCs w:val="24"/>
        </w:rPr>
        <w:t xml:space="preserve">une </w:t>
      </w:r>
      <w:r>
        <w:rPr>
          <w:rFonts w:ascii="Times New Roman" w:hAnsi="Times New Roman" w:cs="Times New Roman"/>
          <w:color w:val="000000"/>
          <w:sz w:val="24"/>
          <w:szCs w:val="24"/>
        </w:rPr>
        <w:t xml:space="preserve">augmentation </w:t>
      </w:r>
      <w:r w:rsidR="00387A78">
        <w:rPr>
          <w:rFonts w:ascii="Times New Roman" w:hAnsi="Times New Roman" w:cs="Times New Roman"/>
          <w:color w:val="000000"/>
          <w:sz w:val="24"/>
          <w:szCs w:val="24"/>
        </w:rPr>
        <w:t>de</w:t>
      </w:r>
      <w:r w:rsidR="005948E9" w:rsidRPr="00FA10EF">
        <w:rPr>
          <w:rFonts w:ascii="Times New Roman" w:hAnsi="Times New Roman" w:cs="Times New Roman"/>
          <w:color w:val="000000"/>
          <w:sz w:val="24"/>
          <w:szCs w:val="24"/>
        </w:rPr>
        <w:t xml:space="preserve"> rejet</w:t>
      </w:r>
      <w:r w:rsidRPr="00FA10EF">
        <w:rPr>
          <w:rFonts w:ascii="Times New Roman" w:hAnsi="Times New Roman" w:cs="Times New Roman"/>
          <w:color w:val="000000"/>
          <w:sz w:val="24"/>
          <w:szCs w:val="24"/>
        </w:rPr>
        <w:t xml:space="preserve"> des eaux usées. Etant donné la difficulté </w:t>
      </w:r>
      <w:r w:rsidR="005948E9" w:rsidRPr="00FA10EF">
        <w:rPr>
          <w:rFonts w:ascii="Times New Roman" w:hAnsi="Times New Roman" w:cs="Times New Roman"/>
          <w:color w:val="000000"/>
          <w:sz w:val="24"/>
          <w:szCs w:val="24"/>
        </w:rPr>
        <w:t>de gestion</w:t>
      </w:r>
      <w:r w:rsidRPr="00FA10EF">
        <w:rPr>
          <w:rFonts w:ascii="Times New Roman" w:hAnsi="Times New Roman" w:cs="Times New Roman"/>
          <w:color w:val="000000"/>
          <w:sz w:val="24"/>
          <w:szCs w:val="24"/>
        </w:rPr>
        <w:t xml:space="preserve"> de ces </w:t>
      </w:r>
      <w:r>
        <w:rPr>
          <w:rFonts w:ascii="Times New Roman" w:hAnsi="Times New Roman" w:cs="Times New Roman"/>
          <w:color w:val="000000"/>
          <w:sz w:val="24"/>
          <w:szCs w:val="24"/>
        </w:rPr>
        <w:t xml:space="preserve">eaux par certains habitants de </w:t>
      </w:r>
      <w:r w:rsidRPr="00FA10EF">
        <w:rPr>
          <w:rFonts w:ascii="Times New Roman" w:hAnsi="Times New Roman" w:cs="Times New Roman"/>
          <w:color w:val="000000"/>
          <w:sz w:val="24"/>
          <w:szCs w:val="24"/>
        </w:rPr>
        <w:t>Bissau, cette situation pourrait entrainer l’augmentation de l’insalubr</w:t>
      </w:r>
      <w:r>
        <w:rPr>
          <w:rFonts w:ascii="Times New Roman" w:hAnsi="Times New Roman" w:cs="Times New Roman"/>
          <w:color w:val="000000"/>
          <w:sz w:val="24"/>
          <w:szCs w:val="24"/>
        </w:rPr>
        <w:t xml:space="preserve">ité liée à la mauvaise gestion </w:t>
      </w:r>
      <w:r w:rsidRPr="00FA10EF">
        <w:rPr>
          <w:rFonts w:ascii="Times New Roman" w:hAnsi="Times New Roman" w:cs="Times New Roman"/>
          <w:color w:val="000000"/>
          <w:sz w:val="24"/>
          <w:szCs w:val="24"/>
        </w:rPr>
        <w:t>des eaux usées.</w:t>
      </w:r>
      <w:r w:rsidR="00387A78">
        <w:rPr>
          <w:rFonts w:ascii="Times New Roman" w:hAnsi="Times New Roman" w:cs="Times New Roman"/>
          <w:color w:val="000000"/>
          <w:sz w:val="24"/>
          <w:szCs w:val="24"/>
        </w:rPr>
        <w:t xml:space="preserve"> </w:t>
      </w:r>
    </w:p>
    <w:tbl>
      <w:tblPr>
        <w:tblpPr w:leftFromText="141" w:rightFromText="141" w:vertAnchor="text" w:horzAnchor="margin" w:tblpXSpec="right" w:tblpY="428"/>
        <w:tblW w:w="3153" w:type="dxa"/>
        <w:tblBorders>
          <w:top w:val="single" w:sz="4" w:space="0" w:color="auto"/>
          <w:left w:val="dashDotStroked" w:sz="24" w:space="0" w:color="auto"/>
          <w:bottom w:val="dashDotStroked" w:sz="24" w:space="0" w:color="auto"/>
          <w:right w:val="dashDotStroked" w:sz="24" w:space="0" w:color="auto"/>
          <w:insideH w:val="single" w:sz="4" w:space="0" w:color="auto"/>
          <w:insideV w:val="dashDotStroked" w:sz="24" w:space="0" w:color="auto"/>
        </w:tblBorders>
        <w:tblLook w:val="04A0" w:firstRow="1" w:lastRow="0" w:firstColumn="1" w:lastColumn="0" w:noHBand="0" w:noVBand="1"/>
      </w:tblPr>
      <w:tblGrid>
        <w:gridCol w:w="1507"/>
        <w:gridCol w:w="1190"/>
        <w:gridCol w:w="456"/>
      </w:tblGrid>
      <w:tr w:rsidR="00A63FEF" w:rsidRPr="00AA45E9" w:rsidTr="00A63FEF">
        <w:tc>
          <w:tcPr>
            <w:tcW w:w="3153" w:type="dxa"/>
            <w:gridSpan w:val="3"/>
            <w:tcBorders>
              <w:bottom w:val="single" w:sz="4" w:space="0" w:color="auto"/>
            </w:tcBorders>
            <w:shd w:val="clear" w:color="auto" w:fill="002060"/>
          </w:tcPr>
          <w:p w:rsidR="00A63FEF" w:rsidRPr="00867483" w:rsidRDefault="00A63FEF" w:rsidP="00A63FEF">
            <w:pPr>
              <w:spacing w:after="0" w:line="240" w:lineRule="auto"/>
              <w:jc w:val="center"/>
              <w:rPr>
                <w:rFonts w:ascii="Times New Roman" w:hAnsi="Times New Roman"/>
                <w:b/>
                <w:sz w:val="24"/>
                <w:szCs w:val="24"/>
              </w:rPr>
            </w:pPr>
            <w:r w:rsidRPr="00867483">
              <w:rPr>
                <w:rFonts w:ascii="Times New Roman" w:hAnsi="Times New Roman"/>
                <w:b/>
                <w:sz w:val="24"/>
                <w:szCs w:val="24"/>
              </w:rPr>
              <w:t>Caractérisation de l’impact</w:t>
            </w:r>
          </w:p>
        </w:tc>
      </w:tr>
      <w:tr w:rsidR="0025590D" w:rsidRPr="00AA45E9" w:rsidTr="00247507">
        <w:tc>
          <w:tcPr>
            <w:tcW w:w="1507" w:type="dxa"/>
            <w:tcBorders>
              <w:bottom w:val="single" w:sz="4" w:space="0" w:color="auto"/>
              <w:right w:val="single" w:sz="4" w:space="0" w:color="auto"/>
            </w:tcBorders>
            <w:shd w:val="clear" w:color="auto" w:fill="002060"/>
          </w:tcPr>
          <w:p w:rsidR="0025590D" w:rsidRPr="00AA45E9" w:rsidRDefault="0025590D" w:rsidP="00A63FEF">
            <w:pPr>
              <w:spacing w:after="0" w:line="240" w:lineRule="auto"/>
              <w:jc w:val="center"/>
              <w:rPr>
                <w:rFonts w:ascii="Times New Roman" w:hAnsi="Times New Roman"/>
                <w:b/>
                <w:sz w:val="24"/>
                <w:szCs w:val="24"/>
              </w:rPr>
            </w:pPr>
            <w:r>
              <w:rPr>
                <w:rFonts w:ascii="Times New Roman" w:hAnsi="Times New Roman"/>
                <w:b/>
                <w:sz w:val="24"/>
                <w:szCs w:val="24"/>
              </w:rPr>
              <w:t xml:space="preserve">Nature </w:t>
            </w:r>
          </w:p>
        </w:tc>
        <w:tc>
          <w:tcPr>
            <w:tcW w:w="1646" w:type="dxa"/>
            <w:gridSpan w:val="2"/>
            <w:tcBorders>
              <w:left w:val="single" w:sz="4" w:space="0" w:color="auto"/>
              <w:bottom w:val="single" w:sz="4" w:space="0" w:color="auto"/>
            </w:tcBorders>
            <w:shd w:val="clear" w:color="auto" w:fill="auto"/>
          </w:tcPr>
          <w:p w:rsidR="0025590D" w:rsidRPr="00867483" w:rsidRDefault="0025590D" w:rsidP="00A63FEF">
            <w:pPr>
              <w:spacing w:after="0" w:line="240" w:lineRule="auto"/>
              <w:jc w:val="center"/>
              <w:rPr>
                <w:rFonts w:ascii="Times New Roman" w:hAnsi="Times New Roman"/>
                <w:sz w:val="24"/>
                <w:szCs w:val="24"/>
              </w:rPr>
            </w:pPr>
            <w:r w:rsidRPr="00E96A04">
              <w:rPr>
                <w:rFonts w:ascii="Times New Roman" w:hAnsi="Times New Roman"/>
                <w:b/>
                <w:sz w:val="24"/>
                <w:szCs w:val="24"/>
              </w:rPr>
              <w:t>Négatif</w:t>
            </w:r>
          </w:p>
        </w:tc>
      </w:tr>
      <w:tr w:rsidR="00A63FEF" w:rsidRPr="00AA45E9" w:rsidTr="00A63FEF">
        <w:tc>
          <w:tcPr>
            <w:tcW w:w="1507" w:type="dxa"/>
            <w:tcBorders>
              <w:bottom w:val="single" w:sz="4" w:space="0" w:color="auto"/>
              <w:right w:val="single" w:sz="4" w:space="0" w:color="auto"/>
            </w:tcBorders>
            <w:shd w:val="clear" w:color="auto" w:fill="002060"/>
          </w:tcPr>
          <w:p w:rsidR="00A63FEF" w:rsidRPr="00AA45E9" w:rsidRDefault="00A63FEF" w:rsidP="00A63FEF">
            <w:pPr>
              <w:spacing w:after="0" w:line="240" w:lineRule="auto"/>
              <w:jc w:val="center"/>
              <w:rPr>
                <w:rFonts w:ascii="Times New Roman" w:hAnsi="Times New Roman"/>
                <w:b/>
                <w:sz w:val="24"/>
                <w:szCs w:val="24"/>
              </w:rPr>
            </w:pPr>
            <w:r w:rsidRPr="00AA45E9">
              <w:rPr>
                <w:rFonts w:ascii="Times New Roman" w:hAnsi="Times New Roman"/>
                <w:b/>
                <w:sz w:val="24"/>
                <w:szCs w:val="24"/>
              </w:rPr>
              <w:t>Intensité</w:t>
            </w:r>
          </w:p>
        </w:tc>
        <w:tc>
          <w:tcPr>
            <w:tcW w:w="1190" w:type="dxa"/>
            <w:tcBorders>
              <w:left w:val="single" w:sz="4" w:space="0" w:color="auto"/>
              <w:bottom w:val="single" w:sz="4" w:space="0" w:color="auto"/>
              <w:right w:val="single" w:sz="4" w:space="0" w:color="auto"/>
            </w:tcBorders>
            <w:shd w:val="clear" w:color="auto" w:fill="auto"/>
          </w:tcPr>
          <w:p w:rsidR="00A63FEF" w:rsidRPr="00867483" w:rsidRDefault="0025590D" w:rsidP="00A63FEF">
            <w:pPr>
              <w:spacing w:after="0" w:line="240" w:lineRule="auto"/>
              <w:jc w:val="center"/>
              <w:rPr>
                <w:rFonts w:ascii="Times New Roman" w:hAnsi="Times New Roman"/>
                <w:sz w:val="24"/>
                <w:szCs w:val="24"/>
              </w:rPr>
            </w:pPr>
            <w:r>
              <w:rPr>
                <w:rFonts w:ascii="Times New Roman" w:hAnsi="Times New Roman"/>
                <w:sz w:val="24"/>
                <w:szCs w:val="24"/>
              </w:rPr>
              <w:t>Moyenne</w:t>
            </w:r>
          </w:p>
        </w:tc>
        <w:tc>
          <w:tcPr>
            <w:tcW w:w="456" w:type="dxa"/>
            <w:tcBorders>
              <w:left w:val="single" w:sz="4" w:space="0" w:color="auto"/>
              <w:bottom w:val="single" w:sz="4" w:space="0" w:color="auto"/>
            </w:tcBorders>
            <w:shd w:val="clear" w:color="auto" w:fill="auto"/>
          </w:tcPr>
          <w:p w:rsidR="00A63FEF" w:rsidRPr="00867483" w:rsidRDefault="0025590D" w:rsidP="00A63FEF">
            <w:pPr>
              <w:spacing w:after="0" w:line="240" w:lineRule="auto"/>
              <w:jc w:val="center"/>
              <w:rPr>
                <w:rFonts w:ascii="Times New Roman" w:hAnsi="Times New Roman"/>
                <w:sz w:val="24"/>
                <w:szCs w:val="24"/>
              </w:rPr>
            </w:pPr>
            <w:r>
              <w:rPr>
                <w:rFonts w:ascii="Times New Roman" w:hAnsi="Times New Roman"/>
                <w:sz w:val="24"/>
                <w:szCs w:val="24"/>
              </w:rPr>
              <w:t>3</w:t>
            </w:r>
          </w:p>
        </w:tc>
      </w:tr>
      <w:tr w:rsidR="00A63FEF" w:rsidRPr="00AA45E9" w:rsidTr="00A63FEF">
        <w:tc>
          <w:tcPr>
            <w:tcW w:w="1507" w:type="dxa"/>
            <w:tcBorders>
              <w:bottom w:val="single" w:sz="4" w:space="0" w:color="auto"/>
              <w:right w:val="single" w:sz="4" w:space="0" w:color="auto"/>
            </w:tcBorders>
            <w:shd w:val="clear" w:color="auto" w:fill="002060"/>
          </w:tcPr>
          <w:p w:rsidR="00A63FEF" w:rsidRPr="00AA45E9" w:rsidRDefault="00A63FEF" w:rsidP="00A63FEF">
            <w:pPr>
              <w:spacing w:after="0" w:line="240" w:lineRule="auto"/>
              <w:jc w:val="center"/>
              <w:rPr>
                <w:rFonts w:ascii="Times New Roman" w:hAnsi="Times New Roman"/>
                <w:sz w:val="24"/>
                <w:szCs w:val="24"/>
              </w:rPr>
            </w:pPr>
            <w:r w:rsidRPr="00AA45E9">
              <w:rPr>
                <w:rFonts w:ascii="Times New Roman" w:hAnsi="Times New Roman"/>
                <w:b/>
                <w:sz w:val="24"/>
                <w:szCs w:val="24"/>
              </w:rPr>
              <w:t>Etendue</w:t>
            </w:r>
          </w:p>
        </w:tc>
        <w:tc>
          <w:tcPr>
            <w:tcW w:w="1190" w:type="dxa"/>
            <w:tcBorders>
              <w:left w:val="single" w:sz="4" w:space="0" w:color="auto"/>
              <w:bottom w:val="single" w:sz="4" w:space="0" w:color="auto"/>
              <w:right w:val="single" w:sz="4" w:space="0" w:color="auto"/>
            </w:tcBorders>
          </w:tcPr>
          <w:p w:rsidR="00A63FEF" w:rsidRPr="00867483" w:rsidRDefault="0025590D" w:rsidP="00A63FEF">
            <w:pPr>
              <w:spacing w:after="0" w:line="240" w:lineRule="auto"/>
              <w:jc w:val="center"/>
              <w:rPr>
                <w:rFonts w:ascii="Times New Roman" w:hAnsi="Times New Roman"/>
                <w:sz w:val="24"/>
                <w:szCs w:val="24"/>
              </w:rPr>
            </w:pPr>
            <w:r>
              <w:rPr>
                <w:rFonts w:ascii="Times New Roman" w:hAnsi="Times New Roman"/>
                <w:sz w:val="24"/>
                <w:szCs w:val="24"/>
              </w:rPr>
              <w:t>Locale</w:t>
            </w:r>
          </w:p>
        </w:tc>
        <w:tc>
          <w:tcPr>
            <w:tcW w:w="456" w:type="dxa"/>
            <w:tcBorders>
              <w:left w:val="single" w:sz="4" w:space="0" w:color="auto"/>
              <w:bottom w:val="single" w:sz="4" w:space="0" w:color="auto"/>
            </w:tcBorders>
          </w:tcPr>
          <w:p w:rsidR="00A63FEF" w:rsidRPr="00867483" w:rsidRDefault="0025590D" w:rsidP="00A63FEF">
            <w:pPr>
              <w:spacing w:after="0" w:line="240" w:lineRule="auto"/>
              <w:jc w:val="center"/>
              <w:rPr>
                <w:rFonts w:ascii="Times New Roman" w:hAnsi="Times New Roman"/>
                <w:sz w:val="24"/>
                <w:szCs w:val="24"/>
              </w:rPr>
            </w:pPr>
            <w:r>
              <w:rPr>
                <w:rFonts w:ascii="Times New Roman" w:hAnsi="Times New Roman"/>
                <w:sz w:val="24"/>
                <w:szCs w:val="24"/>
              </w:rPr>
              <w:t>3</w:t>
            </w:r>
          </w:p>
        </w:tc>
      </w:tr>
      <w:tr w:rsidR="00A63FEF" w:rsidRPr="00AA45E9" w:rsidTr="00A63FEF">
        <w:tc>
          <w:tcPr>
            <w:tcW w:w="1507" w:type="dxa"/>
            <w:tcBorders>
              <w:bottom w:val="single" w:sz="4" w:space="0" w:color="auto"/>
              <w:right w:val="single" w:sz="4" w:space="0" w:color="auto"/>
            </w:tcBorders>
            <w:shd w:val="clear" w:color="auto" w:fill="002060"/>
          </w:tcPr>
          <w:p w:rsidR="00A63FEF" w:rsidRDefault="00A63FEF" w:rsidP="00A63FEF">
            <w:pPr>
              <w:spacing w:after="0" w:line="240" w:lineRule="auto"/>
              <w:jc w:val="center"/>
              <w:rPr>
                <w:rFonts w:ascii="Times New Roman" w:hAnsi="Times New Roman"/>
                <w:sz w:val="24"/>
                <w:szCs w:val="24"/>
              </w:rPr>
            </w:pPr>
            <w:r w:rsidRPr="00AA45E9">
              <w:rPr>
                <w:rFonts w:ascii="Times New Roman" w:hAnsi="Times New Roman"/>
                <w:b/>
                <w:sz w:val="24"/>
                <w:szCs w:val="24"/>
              </w:rPr>
              <w:t>Durée</w:t>
            </w:r>
          </w:p>
        </w:tc>
        <w:tc>
          <w:tcPr>
            <w:tcW w:w="1190" w:type="dxa"/>
            <w:tcBorders>
              <w:left w:val="single" w:sz="4" w:space="0" w:color="auto"/>
              <w:bottom w:val="single" w:sz="4" w:space="0" w:color="auto"/>
              <w:right w:val="single" w:sz="4" w:space="0" w:color="auto"/>
            </w:tcBorders>
          </w:tcPr>
          <w:p w:rsidR="00A63FEF" w:rsidRPr="00867483" w:rsidRDefault="00A63FEF" w:rsidP="00A63FEF">
            <w:pPr>
              <w:spacing w:after="0" w:line="240" w:lineRule="auto"/>
              <w:jc w:val="center"/>
              <w:rPr>
                <w:rFonts w:ascii="Times New Roman" w:hAnsi="Times New Roman"/>
                <w:sz w:val="24"/>
                <w:szCs w:val="24"/>
              </w:rPr>
            </w:pPr>
            <w:r>
              <w:rPr>
                <w:rFonts w:ascii="Times New Roman" w:hAnsi="Times New Roman"/>
                <w:sz w:val="24"/>
                <w:szCs w:val="24"/>
              </w:rPr>
              <w:t>Longue</w:t>
            </w:r>
          </w:p>
        </w:tc>
        <w:tc>
          <w:tcPr>
            <w:tcW w:w="456" w:type="dxa"/>
            <w:tcBorders>
              <w:left w:val="single" w:sz="4" w:space="0" w:color="auto"/>
              <w:bottom w:val="single" w:sz="4" w:space="0" w:color="auto"/>
            </w:tcBorders>
          </w:tcPr>
          <w:p w:rsidR="00A63FEF" w:rsidRPr="00867483" w:rsidRDefault="0025590D" w:rsidP="00A63FEF">
            <w:pPr>
              <w:spacing w:after="0" w:line="240" w:lineRule="auto"/>
              <w:jc w:val="center"/>
              <w:rPr>
                <w:rFonts w:ascii="Times New Roman" w:hAnsi="Times New Roman"/>
                <w:sz w:val="24"/>
                <w:szCs w:val="24"/>
              </w:rPr>
            </w:pPr>
            <w:r>
              <w:rPr>
                <w:rFonts w:ascii="Times New Roman" w:hAnsi="Times New Roman"/>
                <w:sz w:val="24"/>
                <w:szCs w:val="24"/>
              </w:rPr>
              <w:t>5</w:t>
            </w:r>
          </w:p>
        </w:tc>
      </w:tr>
      <w:tr w:rsidR="00A63FEF" w:rsidRPr="00AA45E9" w:rsidTr="00FC410F">
        <w:tc>
          <w:tcPr>
            <w:tcW w:w="3153" w:type="dxa"/>
            <w:gridSpan w:val="3"/>
            <w:tcBorders>
              <w:bottom w:val="single" w:sz="4" w:space="0" w:color="auto"/>
            </w:tcBorders>
            <w:shd w:val="clear" w:color="auto" w:fill="FFFFFF" w:themeFill="background1"/>
          </w:tcPr>
          <w:p w:rsidR="00A63FEF" w:rsidRPr="00867483" w:rsidRDefault="00A63FEF" w:rsidP="00A63FEF">
            <w:pPr>
              <w:spacing w:after="0" w:line="240" w:lineRule="auto"/>
              <w:jc w:val="center"/>
              <w:rPr>
                <w:rFonts w:ascii="Times New Roman" w:hAnsi="Times New Roman"/>
                <w:sz w:val="6"/>
                <w:szCs w:val="6"/>
              </w:rPr>
            </w:pPr>
          </w:p>
        </w:tc>
      </w:tr>
      <w:tr w:rsidR="00A63FEF" w:rsidRPr="00AA45E9" w:rsidTr="00A63FEF">
        <w:tc>
          <w:tcPr>
            <w:tcW w:w="1507" w:type="dxa"/>
            <w:tcBorders>
              <w:bottom w:val="dashDotStroked" w:sz="24" w:space="0" w:color="auto"/>
              <w:right w:val="single" w:sz="4" w:space="0" w:color="auto"/>
            </w:tcBorders>
            <w:shd w:val="clear" w:color="auto" w:fill="002060"/>
          </w:tcPr>
          <w:p w:rsidR="00A63FEF" w:rsidRPr="00AA45E9" w:rsidRDefault="00A63FEF" w:rsidP="00A63FEF">
            <w:pPr>
              <w:spacing w:after="0" w:line="240" w:lineRule="auto"/>
              <w:jc w:val="center"/>
              <w:rPr>
                <w:rFonts w:ascii="Times New Roman" w:hAnsi="Times New Roman"/>
                <w:b/>
                <w:sz w:val="24"/>
                <w:szCs w:val="24"/>
              </w:rPr>
            </w:pPr>
            <w:r w:rsidRPr="00AA45E9">
              <w:rPr>
                <w:rFonts w:ascii="Times New Roman" w:hAnsi="Times New Roman"/>
                <w:b/>
                <w:sz w:val="24"/>
                <w:szCs w:val="24"/>
              </w:rPr>
              <w:t>Importance</w:t>
            </w:r>
          </w:p>
        </w:tc>
        <w:tc>
          <w:tcPr>
            <w:tcW w:w="1190" w:type="dxa"/>
            <w:tcBorders>
              <w:left w:val="single" w:sz="4" w:space="0" w:color="auto"/>
              <w:bottom w:val="dashDotStroked" w:sz="24" w:space="0" w:color="auto"/>
              <w:right w:val="single" w:sz="4" w:space="0" w:color="auto"/>
            </w:tcBorders>
            <w:shd w:val="clear" w:color="auto" w:fill="FFD966" w:themeFill="accent4" w:themeFillTint="99"/>
          </w:tcPr>
          <w:p w:rsidR="00A63FEF" w:rsidRPr="008E6D9C" w:rsidRDefault="0025590D" w:rsidP="00A63FEF">
            <w:pPr>
              <w:spacing w:after="0" w:line="240" w:lineRule="auto"/>
              <w:jc w:val="center"/>
              <w:rPr>
                <w:rFonts w:ascii="Times New Roman" w:hAnsi="Times New Roman"/>
                <w:b/>
                <w:sz w:val="24"/>
                <w:szCs w:val="24"/>
              </w:rPr>
            </w:pPr>
            <w:r>
              <w:rPr>
                <w:rFonts w:ascii="Times New Roman" w:hAnsi="Times New Roman"/>
                <w:b/>
                <w:sz w:val="24"/>
                <w:szCs w:val="24"/>
              </w:rPr>
              <w:t>Moyenne</w:t>
            </w:r>
          </w:p>
        </w:tc>
        <w:tc>
          <w:tcPr>
            <w:tcW w:w="456" w:type="dxa"/>
            <w:tcBorders>
              <w:left w:val="single" w:sz="4" w:space="0" w:color="auto"/>
              <w:bottom w:val="dashDotStroked" w:sz="24" w:space="0" w:color="auto"/>
            </w:tcBorders>
            <w:shd w:val="clear" w:color="auto" w:fill="FFD966" w:themeFill="accent4" w:themeFillTint="99"/>
          </w:tcPr>
          <w:p w:rsidR="00A63FEF" w:rsidRPr="008E6D9C" w:rsidRDefault="0025590D" w:rsidP="00A63FEF">
            <w:pPr>
              <w:spacing w:after="0" w:line="240" w:lineRule="auto"/>
              <w:jc w:val="center"/>
              <w:rPr>
                <w:rFonts w:ascii="Times New Roman" w:hAnsi="Times New Roman"/>
                <w:b/>
                <w:sz w:val="24"/>
                <w:szCs w:val="24"/>
              </w:rPr>
            </w:pPr>
            <w:r>
              <w:rPr>
                <w:rFonts w:ascii="Times New Roman" w:hAnsi="Times New Roman"/>
                <w:b/>
                <w:sz w:val="24"/>
                <w:szCs w:val="24"/>
              </w:rPr>
              <w:t>4</w:t>
            </w:r>
            <w:r w:rsidR="00A63FEF" w:rsidRPr="008E6D9C">
              <w:rPr>
                <w:rFonts w:ascii="Times New Roman" w:hAnsi="Times New Roman"/>
                <w:b/>
                <w:sz w:val="24"/>
                <w:szCs w:val="24"/>
              </w:rPr>
              <w:t>5</w:t>
            </w:r>
          </w:p>
        </w:tc>
      </w:tr>
    </w:tbl>
    <w:p w:rsidR="00FA10EF" w:rsidRPr="00B10C82" w:rsidRDefault="0025590D" w:rsidP="00FA3FAE">
      <w:pPr>
        <w:pStyle w:val="PargrafodaLista"/>
        <w:numPr>
          <w:ilvl w:val="0"/>
          <w:numId w:val="41"/>
        </w:numPr>
        <w:pBdr>
          <w:bottom w:val="dashDotStroked" w:sz="24" w:space="1" w:color="auto"/>
        </w:pBdr>
        <w:jc w:val="both"/>
        <w:rPr>
          <w:rFonts w:ascii="Times New Roman" w:hAnsi="Times New Roman"/>
          <w:b/>
          <w:sz w:val="24"/>
          <w:szCs w:val="24"/>
        </w:rPr>
      </w:pPr>
      <w:r>
        <w:rPr>
          <w:rFonts w:ascii="Times New Roman" w:hAnsi="Times New Roman"/>
          <w:b/>
          <w:sz w:val="24"/>
          <w:szCs w:val="24"/>
          <w:lang w:val="fr-FR"/>
        </w:rPr>
        <w:t>Risque d’a</w:t>
      </w:r>
      <w:r w:rsidR="00FA10EF" w:rsidRPr="00B10C82">
        <w:rPr>
          <w:rFonts w:ascii="Times New Roman" w:hAnsi="Times New Roman"/>
          <w:b/>
          <w:sz w:val="24"/>
          <w:szCs w:val="24"/>
        </w:rPr>
        <w:t xml:space="preserve">tteinte à la santé </w:t>
      </w:r>
    </w:p>
    <w:p w:rsidR="00A63F09" w:rsidRPr="00FA10EF" w:rsidRDefault="00FA10EF" w:rsidP="00FA10EF">
      <w:pPr>
        <w:jc w:val="both"/>
        <w:rPr>
          <w:rFonts w:ascii="Times New Roman" w:hAnsi="Times New Roman" w:cs="Times New Roman"/>
          <w:color w:val="000000"/>
          <w:sz w:val="24"/>
          <w:szCs w:val="24"/>
        </w:rPr>
      </w:pPr>
      <w:r w:rsidRPr="00FA10EF">
        <w:rPr>
          <w:rFonts w:ascii="Times New Roman" w:hAnsi="Times New Roman" w:cs="Times New Roman"/>
          <w:color w:val="000000"/>
          <w:sz w:val="24"/>
          <w:szCs w:val="24"/>
        </w:rPr>
        <w:t xml:space="preserve">Les eaux usées mal gérées dans les maisons </w:t>
      </w:r>
      <w:r w:rsidR="00AB72CF" w:rsidRPr="00FA10EF">
        <w:rPr>
          <w:rFonts w:ascii="Times New Roman" w:hAnsi="Times New Roman" w:cs="Times New Roman"/>
          <w:color w:val="000000"/>
          <w:sz w:val="24"/>
          <w:szCs w:val="24"/>
        </w:rPr>
        <w:t>peuvent devenir</w:t>
      </w:r>
      <w:r w:rsidRPr="00FA10EF">
        <w:rPr>
          <w:rFonts w:ascii="Times New Roman" w:hAnsi="Times New Roman" w:cs="Times New Roman"/>
          <w:color w:val="000000"/>
          <w:sz w:val="24"/>
          <w:szCs w:val="24"/>
        </w:rPr>
        <w:t xml:space="preserve"> de</w:t>
      </w:r>
      <w:r>
        <w:rPr>
          <w:rFonts w:ascii="Times New Roman" w:hAnsi="Times New Roman" w:cs="Times New Roman"/>
          <w:color w:val="000000"/>
          <w:sz w:val="24"/>
          <w:szCs w:val="24"/>
        </w:rPr>
        <w:t xml:space="preserve">s gîtes de moustiques vecteurs </w:t>
      </w:r>
      <w:r w:rsidRPr="00FA10EF">
        <w:rPr>
          <w:rFonts w:ascii="Times New Roman" w:hAnsi="Times New Roman" w:cs="Times New Roman"/>
          <w:color w:val="000000"/>
          <w:sz w:val="24"/>
          <w:szCs w:val="24"/>
        </w:rPr>
        <w:t>du</w:t>
      </w:r>
      <w:r w:rsidR="00A63FEF">
        <w:rPr>
          <w:rFonts w:ascii="Times New Roman" w:hAnsi="Times New Roman" w:cs="Times New Roman"/>
          <w:color w:val="000000"/>
          <w:sz w:val="24"/>
          <w:szCs w:val="24"/>
        </w:rPr>
        <w:t xml:space="preserve"> </w:t>
      </w:r>
      <w:r w:rsidRPr="00FA10EF">
        <w:rPr>
          <w:rFonts w:ascii="Times New Roman" w:hAnsi="Times New Roman" w:cs="Times New Roman"/>
          <w:color w:val="000000"/>
          <w:sz w:val="24"/>
          <w:szCs w:val="24"/>
        </w:rPr>
        <w:t>paludisme qui reste l’une des premières causes de consultation médicale de la population.</w:t>
      </w:r>
    </w:p>
    <w:p w:rsidR="00A63F09" w:rsidRDefault="00A63F09" w:rsidP="00D2682F">
      <w:pPr>
        <w:jc w:val="both"/>
        <w:rPr>
          <w:rFonts w:ascii="Times New Roman" w:hAnsi="Times New Roman" w:cs="Times New Roman"/>
          <w:color w:val="000000"/>
          <w:sz w:val="24"/>
          <w:szCs w:val="24"/>
        </w:rPr>
      </w:pPr>
    </w:p>
    <w:p w:rsidR="008D7CFC" w:rsidRDefault="008D7CFC" w:rsidP="008D7CFC">
      <w:pPr>
        <w:jc w:val="both"/>
        <w:rPr>
          <w:rFonts w:ascii="Times New Roman" w:hAnsi="Times New Roman" w:cs="Times New Roman"/>
          <w:color w:val="000000"/>
          <w:sz w:val="24"/>
          <w:szCs w:val="24"/>
        </w:rPr>
      </w:pPr>
    </w:p>
    <w:tbl>
      <w:tblPr>
        <w:tblpPr w:leftFromText="141" w:rightFromText="141" w:vertAnchor="text" w:horzAnchor="margin" w:tblpXSpec="right" w:tblpY="774"/>
        <w:tblW w:w="3153" w:type="dxa"/>
        <w:tblBorders>
          <w:top w:val="single" w:sz="4" w:space="0" w:color="auto"/>
          <w:left w:val="dashDotStroked" w:sz="24" w:space="0" w:color="auto"/>
          <w:bottom w:val="dashDotStroked" w:sz="24" w:space="0" w:color="auto"/>
          <w:right w:val="dashDotStroked" w:sz="24" w:space="0" w:color="auto"/>
          <w:insideH w:val="single" w:sz="4" w:space="0" w:color="auto"/>
          <w:insideV w:val="dashDotStroked" w:sz="24" w:space="0" w:color="auto"/>
        </w:tblBorders>
        <w:tblLook w:val="04A0" w:firstRow="1" w:lastRow="0" w:firstColumn="1" w:lastColumn="0" w:noHBand="0" w:noVBand="1"/>
      </w:tblPr>
      <w:tblGrid>
        <w:gridCol w:w="1507"/>
        <w:gridCol w:w="1190"/>
        <w:gridCol w:w="456"/>
      </w:tblGrid>
      <w:tr w:rsidR="008D7CFC" w:rsidRPr="00AA45E9" w:rsidTr="007062AE">
        <w:tc>
          <w:tcPr>
            <w:tcW w:w="3153" w:type="dxa"/>
            <w:gridSpan w:val="3"/>
            <w:tcBorders>
              <w:bottom w:val="single" w:sz="4" w:space="0" w:color="auto"/>
            </w:tcBorders>
            <w:shd w:val="clear" w:color="auto" w:fill="002060"/>
          </w:tcPr>
          <w:p w:rsidR="008D7CFC" w:rsidRPr="00867483" w:rsidRDefault="008D7CFC" w:rsidP="007062AE">
            <w:pPr>
              <w:spacing w:after="0" w:line="240" w:lineRule="auto"/>
              <w:jc w:val="center"/>
              <w:rPr>
                <w:rFonts w:ascii="Times New Roman" w:hAnsi="Times New Roman"/>
                <w:b/>
                <w:sz w:val="24"/>
                <w:szCs w:val="24"/>
              </w:rPr>
            </w:pPr>
            <w:r w:rsidRPr="00867483">
              <w:rPr>
                <w:rFonts w:ascii="Times New Roman" w:hAnsi="Times New Roman"/>
                <w:b/>
                <w:sz w:val="24"/>
                <w:szCs w:val="24"/>
              </w:rPr>
              <w:t>Caractérisation de l’impact</w:t>
            </w:r>
          </w:p>
        </w:tc>
      </w:tr>
      <w:tr w:rsidR="008D7CFC" w:rsidRPr="00AA45E9" w:rsidTr="007062AE">
        <w:tc>
          <w:tcPr>
            <w:tcW w:w="1507" w:type="dxa"/>
            <w:tcBorders>
              <w:bottom w:val="single" w:sz="4" w:space="0" w:color="auto"/>
              <w:right w:val="single" w:sz="4" w:space="0" w:color="auto"/>
            </w:tcBorders>
            <w:shd w:val="clear" w:color="auto" w:fill="002060"/>
          </w:tcPr>
          <w:p w:rsidR="008D7CFC" w:rsidRPr="00AA45E9" w:rsidRDefault="008D7CFC" w:rsidP="007062AE">
            <w:pPr>
              <w:spacing w:after="0" w:line="240" w:lineRule="auto"/>
              <w:jc w:val="center"/>
              <w:rPr>
                <w:rFonts w:ascii="Times New Roman" w:hAnsi="Times New Roman"/>
                <w:b/>
                <w:sz w:val="24"/>
                <w:szCs w:val="24"/>
              </w:rPr>
            </w:pPr>
            <w:r>
              <w:rPr>
                <w:rFonts w:ascii="Times New Roman" w:hAnsi="Times New Roman"/>
                <w:b/>
                <w:sz w:val="24"/>
                <w:szCs w:val="24"/>
              </w:rPr>
              <w:t xml:space="preserve">Nature </w:t>
            </w:r>
          </w:p>
        </w:tc>
        <w:tc>
          <w:tcPr>
            <w:tcW w:w="1646" w:type="dxa"/>
            <w:gridSpan w:val="2"/>
            <w:tcBorders>
              <w:left w:val="single" w:sz="4" w:space="0" w:color="auto"/>
              <w:bottom w:val="single" w:sz="4" w:space="0" w:color="auto"/>
            </w:tcBorders>
            <w:shd w:val="clear" w:color="auto" w:fill="auto"/>
          </w:tcPr>
          <w:p w:rsidR="008D7CFC" w:rsidRPr="00867483" w:rsidRDefault="008D7CFC" w:rsidP="007062AE">
            <w:pPr>
              <w:spacing w:after="0" w:line="240" w:lineRule="auto"/>
              <w:jc w:val="center"/>
              <w:rPr>
                <w:rFonts w:ascii="Times New Roman" w:hAnsi="Times New Roman"/>
                <w:sz w:val="24"/>
                <w:szCs w:val="24"/>
              </w:rPr>
            </w:pPr>
            <w:r w:rsidRPr="00E96A04">
              <w:rPr>
                <w:rFonts w:ascii="Times New Roman" w:hAnsi="Times New Roman"/>
                <w:b/>
                <w:sz w:val="24"/>
                <w:szCs w:val="24"/>
              </w:rPr>
              <w:t>Négatif</w:t>
            </w:r>
          </w:p>
        </w:tc>
      </w:tr>
      <w:tr w:rsidR="008D7CFC" w:rsidRPr="00AA45E9" w:rsidTr="007062AE">
        <w:tc>
          <w:tcPr>
            <w:tcW w:w="1507" w:type="dxa"/>
            <w:tcBorders>
              <w:bottom w:val="single" w:sz="4" w:space="0" w:color="auto"/>
              <w:right w:val="single" w:sz="4" w:space="0" w:color="auto"/>
            </w:tcBorders>
            <w:shd w:val="clear" w:color="auto" w:fill="002060"/>
          </w:tcPr>
          <w:p w:rsidR="008D7CFC" w:rsidRPr="00AA45E9" w:rsidRDefault="008D7CFC" w:rsidP="007062AE">
            <w:pPr>
              <w:spacing w:after="0" w:line="240" w:lineRule="auto"/>
              <w:jc w:val="center"/>
              <w:rPr>
                <w:rFonts w:ascii="Times New Roman" w:hAnsi="Times New Roman"/>
                <w:b/>
                <w:sz w:val="24"/>
                <w:szCs w:val="24"/>
              </w:rPr>
            </w:pPr>
            <w:r w:rsidRPr="00AA45E9">
              <w:rPr>
                <w:rFonts w:ascii="Times New Roman" w:hAnsi="Times New Roman"/>
                <w:b/>
                <w:sz w:val="24"/>
                <w:szCs w:val="24"/>
              </w:rPr>
              <w:t>Intensité</w:t>
            </w:r>
          </w:p>
        </w:tc>
        <w:tc>
          <w:tcPr>
            <w:tcW w:w="1190" w:type="dxa"/>
            <w:tcBorders>
              <w:left w:val="single" w:sz="4" w:space="0" w:color="auto"/>
              <w:bottom w:val="single" w:sz="4" w:space="0" w:color="auto"/>
              <w:right w:val="single" w:sz="4" w:space="0" w:color="auto"/>
            </w:tcBorders>
            <w:shd w:val="clear" w:color="auto" w:fill="auto"/>
          </w:tcPr>
          <w:p w:rsidR="008D7CFC" w:rsidRPr="00867483" w:rsidRDefault="008D7CFC" w:rsidP="007062AE">
            <w:pPr>
              <w:spacing w:after="0" w:line="240" w:lineRule="auto"/>
              <w:jc w:val="center"/>
              <w:rPr>
                <w:rFonts w:ascii="Times New Roman" w:hAnsi="Times New Roman"/>
                <w:sz w:val="24"/>
                <w:szCs w:val="24"/>
              </w:rPr>
            </w:pPr>
            <w:r>
              <w:rPr>
                <w:rFonts w:ascii="Times New Roman" w:hAnsi="Times New Roman"/>
                <w:sz w:val="24"/>
                <w:szCs w:val="24"/>
              </w:rPr>
              <w:t>Moyenne</w:t>
            </w:r>
          </w:p>
        </w:tc>
        <w:tc>
          <w:tcPr>
            <w:tcW w:w="456" w:type="dxa"/>
            <w:tcBorders>
              <w:left w:val="single" w:sz="4" w:space="0" w:color="auto"/>
              <w:bottom w:val="single" w:sz="4" w:space="0" w:color="auto"/>
            </w:tcBorders>
            <w:shd w:val="clear" w:color="auto" w:fill="auto"/>
          </w:tcPr>
          <w:p w:rsidR="008D7CFC" w:rsidRPr="00867483" w:rsidRDefault="008D7CFC" w:rsidP="007062AE">
            <w:pPr>
              <w:spacing w:after="0" w:line="240" w:lineRule="auto"/>
              <w:jc w:val="center"/>
              <w:rPr>
                <w:rFonts w:ascii="Times New Roman" w:hAnsi="Times New Roman"/>
                <w:sz w:val="24"/>
                <w:szCs w:val="24"/>
              </w:rPr>
            </w:pPr>
            <w:r>
              <w:rPr>
                <w:rFonts w:ascii="Times New Roman" w:hAnsi="Times New Roman"/>
                <w:sz w:val="24"/>
                <w:szCs w:val="24"/>
              </w:rPr>
              <w:t>3</w:t>
            </w:r>
          </w:p>
        </w:tc>
      </w:tr>
      <w:tr w:rsidR="008D7CFC" w:rsidRPr="00AA45E9" w:rsidTr="007062AE">
        <w:tc>
          <w:tcPr>
            <w:tcW w:w="1507" w:type="dxa"/>
            <w:tcBorders>
              <w:bottom w:val="single" w:sz="4" w:space="0" w:color="auto"/>
              <w:right w:val="single" w:sz="4" w:space="0" w:color="auto"/>
            </w:tcBorders>
            <w:shd w:val="clear" w:color="auto" w:fill="002060"/>
          </w:tcPr>
          <w:p w:rsidR="008D7CFC" w:rsidRPr="00AA45E9" w:rsidRDefault="008D7CFC" w:rsidP="007062AE">
            <w:pPr>
              <w:spacing w:after="0" w:line="240" w:lineRule="auto"/>
              <w:jc w:val="center"/>
              <w:rPr>
                <w:rFonts w:ascii="Times New Roman" w:hAnsi="Times New Roman"/>
                <w:sz w:val="24"/>
                <w:szCs w:val="24"/>
              </w:rPr>
            </w:pPr>
            <w:r w:rsidRPr="00AA45E9">
              <w:rPr>
                <w:rFonts w:ascii="Times New Roman" w:hAnsi="Times New Roman"/>
                <w:b/>
                <w:sz w:val="24"/>
                <w:szCs w:val="24"/>
              </w:rPr>
              <w:t>Etendue</w:t>
            </w:r>
          </w:p>
        </w:tc>
        <w:tc>
          <w:tcPr>
            <w:tcW w:w="1190" w:type="dxa"/>
            <w:tcBorders>
              <w:left w:val="single" w:sz="4" w:space="0" w:color="auto"/>
              <w:bottom w:val="single" w:sz="4" w:space="0" w:color="auto"/>
              <w:right w:val="single" w:sz="4" w:space="0" w:color="auto"/>
            </w:tcBorders>
          </w:tcPr>
          <w:p w:rsidR="008D7CFC" w:rsidRPr="00867483" w:rsidRDefault="008D7CFC" w:rsidP="007062AE">
            <w:pPr>
              <w:spacing w:after="0" w:line="240" w:lineRule="auto"/>
              <w:jc w:val="center"/>
              <w:rPr>
                <w:rFonts w:ascii="Times New Roman" w:hAnsi="Times New Roman"/>
                <w:sz w:val="24"/>
                <w:szCs w:val="24"/>
              </w:rPr>
            </w:pPr>
            <w:r>
              <w:rPr>
                <w:rFonts w:ascii="Times New Roman" w:hAnsi="Times New Roman"/>
                <w:sz w:val="24"/>
                <w:szCs w:val="24"/>
              </w:rPr>
              <w:t>Locale</w:t>
            </w:r>
          </w:p>
        </w:tc>
        <w:tc>
          <w:tcPr>
            <w:tcW w:w="456" w:type="dxa"/>
            <w:tcBorders>
              <w:left w:val="single" w:sz="4" w:space="0" w:color="auto"/>
              <w:bottom w:val="single" w:sz="4" w:space="0" w:color="auto"/>
            </w:tcBorders>
          </w:tcPr>
          <w:p w:rsidR="008D7CFC" w:rsidRPr="00867483" w:rsidRDefault="008D7CFC" w:rsidP="007062AE">
            <w:pPr>
              <w:spacing w:after="0" w:line="240" w:lineRule="auto"/>
              <w:jc w:val="center"/>
              <w:rPr>
                <w:rFonts w:ascii="Times New Roman" w:hAnsi="Times New Roman"/>
                <w:sz w:val="24"/>
                <w:szCs w:val="24"/>
              </w:rPr>
            </w:pPr>
            <w:r>
              <w:rPr>
                <w:rFonts w:ascii="Times New Roman" w:hAnsi="Times New Roman"/>
                <w:sz w:val="24"/>
                <w:szCs w:val="24"/>
              </w:rPr>
              <w:t>3</w:t>
            </w:r>
          </w:p>
        </w:tc>
      </w:tr>
      <w:tr w:rsidR="008D7CFC" w:rsidRPr="00AA45E9" w:rsidTr="007062AE">
        <w:tc>
          <w:tcPr>
            <w:tcW w:w="1507" w:type="dxa"/>
            <w:tcBorders>
              <w:bottom w:val="single" w:sz="4" w:space="0" w:color="auto"/>
              <w:right w:val="single" w:sz="4" w:space="0" w:color="auto"/>
            </w:tcBorders>
            <w:shd w:val="clear" w:color="auto" w:fill="002060"/>
          </w:tcPr>
          <w:p w:rsidR="008D7CFC" w:rsidRDefault="008D7CFC" w:rsidP="007062AE">
            <w:pPr>
              <w:spacing w:after="0" w:line="240" w:lineRule="auto"/>
              <w:jc w:val="center"/>
              <w:rPr>
                <w:rFonts w:ascii="Times New Roman" w:hAnsi="Times New Roman"/>
                <w:sz w:val="24"/>
                <w:szCs w:val="24"/>
              </w:rPr>
            </w:pPr>
            <w:r w:rsidRPr="00AA45E9">
              <w:rPr>
                <w:rFonts w:ascii="Times New Roman" w:hAnsi="Times New Roman"/>
                <w:b/>
                <w:sz w:val="24"/>
                <w:szCs w:val="24"/>
              </w:rPr>
              <w:t>Durée</w:t>
            </w:r>
          </w:p>
        </w:tc>
        <w:tc>
          <w:tcPr>
            <w:tcW w:w="1190" w:type="dxa"/>
            <w:tcBorders>
              <w:left w:val="single" w:sz="4" w:space="0" w:color="auto"/>
              <w:bottom w:val="single" w:sz="4" w:space="0" w:color="auto"/>
              <w:right w:val="single" w:sz="4" w:space="0" w:color="auto"/>
            </w:tcBorders>
          </w:tcPr>
          <w:p w:rsidR="008D7CFC" w:rsidRPr="00867483" w:rsidRDefault="008D7CFC" w:rsidP="007062AE">
            <w:pPr>
              <w:spacing w:after="0" w:line="240" w:lineRule="auto"/>
              <w:jc w:val="center"/>
              <w:rPr>
                <w:rFonts w:ascii="Times New Roman" w:hAnsi="Times New Roman"/>
                <w:sz w:val="24"/>
                <w:szCs w:val="24"/>
              </w:rPr>
            </w:pPr>
            <w:r>
              <w:rPr>
                <w:rFonts w:ascii="Times New Roman" w:hAnsi="Times New Roman"/>
                <w:sz w:val="24"/>
                <w:szCs w:val="24"/>
              </w:rPr>
              <w:t>Courte</w:t>
            </w:r>
          </w:p>
        </w:tc>
        <w:tc>
          <w:tcPr>
            <w:tcW w:w="456" w:type="dxa"/>
            <w:tcBorders>
              <w:left w:val="single" w:sz="4" w:space="0" w:color="auto"/>
              <w:bottom w:val="single" w:sz="4" w:space="0" w:color="auto"/>
            </w:tcBorders>
          </w:tcPr>
          <w:p w:rsidR="008D7CFC" w:rsidRPr="00867483" w:rsidRDefault="008D7CFC" w:rsidP="007062AE">
            <w:pPr>
              <w:spacing w:after="0" w:line="240" w:lineRule="auto"/>
              <w:jc w:val="center"/>
              <w:rPr>
                <w:rFonts w:ascii="Times New Roman" w:hAnsi="Times New Roman"/>
                <w:sz w:val="24"/>
                <w:szCs w:val="24"/>
              </w:rPr>
            </w:pPr>
            <w:r>
              <w:rPr>
                <w:rFonts w:ascii="Times New Roman" w:hAnsi="Times New Roman"/>
                <w:sz w:val="24"/>
                <w:szCs w:val="24"/>
              </w:rPr>
              <w:t>1</w:t>
            </w:r>
          </w:p>
        </w:tc>
      </w:tr>
      <w:tr w:rsidR="008D7CFC" w:rsidRPr="00AA45E9" w:rsidTr="007062AE">
        <w:tc>
          <w:tcPr>
            <w:tcW w:w="3153" w:type="dxa"/>
            <w:gridSpan w:val="3"/>
            <w:tcBorders>
              <w:bottom w:val="single" w:sz="4" w:space="0" w:color="auto"/>
            </w:tcBorders>
            <w:shd w:val="clear" w:color="auto" w:fill="FFFFFF" w:themeFill="background1"/>
          </w:tcPr>
          <w:p w:rsidR="008D7CFC" w:rsidRPr="00867483" w:rsidRDefault="008D7CFC" w:rsidP="007062AE">
            <w:pPr>
              <w:spacing w:after="0" w:line="240" w:lineRule="auto"/>
              <w:jc w:val="center"/>
              <w:rPr>
                <w:rFonts w:ascii="Times New Roman" w:hAnsi="Times New Roman"/>
                <w:sz w:val="6"/>
                <w:szCs w:val="6"/>
              </w:rPr>
            </w:pPr>
          </w:p>
        </w:tc>
      </w:tr>
      <w:tr w:rsidR="008D7CFC" w:rsidRPr="00AA45E9" w:rsidTr="007062AE">
        <w:tc>
          <w:tcPr>
            <w:tcW w:w="1507" w:type="dxa"/>
            <w:tcBorders>
              <w:bottom w:val="dashDotStroked" w:sz="24" w:space="0" w:color="auto"/>
              <w:right w:val="single" w:sz="4" w:space="0" w:color="auto"/>
            </w:tcBorders>
            <w:shd w:val="clear" w:color="auto" w:fill="002060"/>
          </w:tcPr>
          <w:p w:rsidR="008D7CFC" w:rsidRPr="00AA45E9" w:rsidRDefault="008D7CFC" w:rsidP="007062AE">
            <w:pPr>
              <w:spacing w:after="0" w:line="240" w:lineRule="auto"/>
              <w:jc w:val="center"/>
              <w:rPr>
                <w:rFonts w:ascii="Times New Roman" w:hAnsi="Times New Roman"/>
                <w:b/>
                <w:sz w:val="24"/>
                <w:szCs w:val="24"/>
              </w:rPr>
            </w:pPr>
            <w:r w:rsidRPr="00AA45E9">
              <w:rPr>
                <w:rFonts w:ascii="Times New Roman" w:hAnsi="Times New Roman"/>
                <w:b/>
                <w:sz w:val="24"/>
                <w:szCs w:val="24"/>
              </w:rPr>
              <w:t>Importance</w:t>
            </w:r>
          </w:p>
        </w:tc>
        <w:tc>
          <w:tcPr>
            <w:tcW w:w="1190" w:type="dxa"/>
            <w:tcBorders>
              <w:left w:val="single" w:sz="4" w:space="0" w:color="auto"/>
              <w:bottom w:val="dashDotStroked" w:sz="24" w:space="0" w:color="auto"/>
              <w:right w:val="single" w:sz="4" w:space="0" w:color="auto"/>
            </w:tcBorders>
            <w:shd w:val="clear" w:color="auto" w:fill="92D050"/>
          </w:tcPr>
          <w:p w:rsidR="008D7CFC" w:rsidRPr="008E6D9C" w:rsidRDefault="008D7CFC" w:rsidP="007062AE">
            <w:pPr>
              <w:spacing w:after="0" w:line="240" w:lineRule="auto"/>
              <w:jc w:val="center"/>
              <w:rPr>
                <w:rFonts w:ascii="Times New Roman" w:hAnsi="Times New Roman"/>
                <w:b/>
                <w:sz w:val="24"/>
                <w:szCs w:val="24"/>
              </w:rPr>
            </w:pPr>
            <w:r>
              <w:rPr>
                <w:rFonts w:ascii="Times New Roman" w:hAnsi="Times New Roman"/>
                <w:b/>
                <w:sz w:val="24"/>
                <w:szCs w:val="24"/>
              </w:rPr>
              <w:t>Mineure</w:t>
            </w:r>
          </w:p>
        </w:tc>
        <w:tc>
          <w:tcPr>
            <w:tcW w:w="456" w:type="dxa"/>
            <w:tcBorders>
              <w:left w:val="single" w:sz="4" w:space="0" w:color="auto"/>
              <w:bottom w:val="dashDotStroked" w:sz="24" w:space="0" w:color="auto"/>
            </w:tcBorders>
            <w:shd w:val="clear" w:color="auto" w:fill="92D050"/>
          </w:tcPr>
          <w:p w:rsidR="008D7CFC" w:rsidRPr="008E6D9C" w:rsidRDefault="008D7CFC" w:rsidP="007062AE">
            <w:pPr>
              <w:spacing w:after="0" w:line="240" w:lineRule="auto"/>
              <w:jc w:val="center"/>
              <w:rPr>
                <w:rFonts w:ascii="Times New Roman" w:hAnsi="Times New Roman"/>
                <w:b/>
                <w:sz w:val="24"/>
                <w:szCs w:val="24"/>
              </w:rPr>
            </w:pPr>
            <w:r>
              <w:rPr>
                <w:rFonts w:ascii="Times New Roman" w:hAnsi="Times New Roman"/>
                <w:b/>
                <w:sz w:val="24"/>
                <w:szCs w:val="24"/>
              </w:rPr>
              <w:t>9</w:t>
            </w:r>
          </w:p>
        </w:tc>
      </w:tr>
    </w:tbl>
    <w:p w:rsidR="008D7CFC" w:rsidRPr="000D22E9" w:rsidRDefault="008D7CFC" w:rsidP="00FA3FAE">
      <w:pPr>
        <w:pStyle w:val="PargrafodaLista"/>
        <w:numPr>
          <w:ilvl w:val="0"/>
          <w:numId w:val="41"/>
        </w:numPr>
        <w:pBdr>
          <w:bottom w:val="dashDotStroked" w:sz="24" w:space="1" w:color="auto"/>
        </w:pBdr>
        <w:jc w:val="both"/>
        <w:rPr>
          <w:rFonts w:ascii="Times New Roman" w:hAnsi="Times New Roman"/>
          <w:b/>
          <w:sz w:val="24"/>
          <w:szCs w:val="24"/>
          <w:lang w:val="fr-FR"/>
        </w:rPr>
      </w:pPr>
      <w:r w:rsidRPr="000D22E9">
        <w:rPr>
          <w:rFonts w:ascii="Times New Roman" w:hAnsi="Times New Roman"/>
          <w:b/>
          <w:sz w:val="24"/>
          <w:szCs w:val="24"/>
          <w:lang w:val="fr-FR"/>
        </w:rPr>
        <w:t>Risque d’engendrer des perturbations au niveau des réseaux de distribution d’eau ou d’arrêt de fonctionnement des réservoirs pendant des heures</w:t>
      </w:r>
    </w:p>
    <w:p w:rsidR="008D7CFC" w:rsidRPr="000D22E9" w:rsidRDefault="008D7CFC" w:rsidP="008D7CFC">
      <w:pPr>
        <w:jc w:val="both"/>
        <w:rPr>
          <w:rFonts w:ascii="Times New Roman" w:hAnsi="Times New Roman" w:cs="Times New Roman"/>
          <w:color w:val="000000"/>
          <w:sz w:val="24"/>
          <w:szCs w:val="24"/>
        </w:rPr>
      </w:pPr>
      <w:r w:rsidRPr="000D22E9">
        <w:rPr>
          <w:rFonts w:ascii="Times New Roman" w:hAnsi="Times New Roman" w:cs="Times New Roman"/>
          <w:color w:val="000000"/>
          <w:sz w:val="24"/>
          <w:szCs w:val="24"/>
        </w:rPr>
        <w:t xml:space="preserve">Pendant les travaux de maintenance et d’entretien des réservoirs et des équipements, ces activités pourront engendrer des </w:t>
      </w:r>
      <w:r w:rsidRPr="000D22E9">
        <w:rPr>
          <w:rFonts w:ascii="Times New Roman" w:hAnsi="Times New Roman"/>
          <w:bCs/>
          <w:sz w:val="24"/>
          <w:szCs w:val="24"/>
        </w:rPr>
        <w:t>Risques des perturbations au niveau des réseaux de distribution d’eau ou d’arrêt de fonctionnement des réservoirs pendant des heures.</w:t>
      </w:r>
    </w:p>
    <w:p w:rsidR="008D7CFC" w:rsidRDefault="008D7CFC" w:rsidP="008D7CFC">
      <w:pPr>
        <w:jc w:val="both"/>
        <w:rPr>
          <w:rFonts w:ascii="Times New Roman" w:hAnsi="Times New Roman" w:cs="Times New Roman"/>
          <w:color w:val="000000"/>
          <w:sz w:val="24"/>
          <w:szCs w:val="24"/>
        </w:rPr>
      </w:pPr>
    </w:p>
    <w:p w:rsidR="008D7CFC" w:rsidRDefault="008D7CFC" w:rsidP="008D7CFC">
      <w:pPr>
        <w:jc w:val="both"/>
        <w:rPr>
          <w:rFonts w:ascii="Times New Roman" w:hAnsi="Times New Roman" w:cs="Times New Roman"/>
          <w:color w:val="000000"/>
          <w:sz w:val="24"/>
          <w:szCs w:val="24"/>
        </w:rPr>
      </w:pPr>
    </w:p>
    <w:p w:rsidR="00A63F09" w:rsidRDefault="00A63F09" w:rsidP="00D2682F">
      <w:pPr>
        <w:jc w:val="both"/>
        <w:rPr>
          <w:rFonts w:ascii="Times New Roman" w:hAnsi="Times New Roman" w:cs="Times New Roman"/>
          <w:color w:val="000000"/>
          <w:sz w:val="24"/>
          <w:szCs w:val="24"/>
        </w:rPr>
      </w:pPr>
    </w:p>
    <w:p w:rsidR="00A63F09" w:rsidRDefault="00A63F09" w:rsidP="00D2682F">
      <w:pPr>
        <w:jc w:val="both"/>
        <w:rPr>
          <w:rFonts w:ascii="Times New Roman" w:hAnsi="Times New Roman" w:cs="Times New Roman"/>
          <w:color w:val="000000"/>
          <w:sz w:val="24"/>
          <w:szCs w:val="24"/>
        </w:rPr>
      </w:pPr>
    </w:p>
    <w:p w:rsidR="005948E9" w:rsidRDefault="005948E9" w:rsidP="00D2682F">
      <w:pPr>
        <w:jc w:val="both"/>
        <w:rPr>
          <w:rFonts w:ascii="Times New Roman" w:hAnsi="Times New Roman" w:cs="Times New Roman"/>
          <w:color w:val="000000"/>
          <w:sz w:val="24"/>
          <w:szCs w:val="24"/>
        </w:rPr>
      </w:pPr>
    </w:p>
    <w:p w:rsidR="005948E9" w:rsidRDefault="005948E9" w:rsidP="00D2682F">
      <w:pPr>
        <w:jc w:val="both"/>
        <w:rPr>
          <w:rFonts w:ascii="Times New Roman" w:hAnsi="Times New Roman" w:cs="Times New Roman"/>
          <w:color w:val="000000"/>
          <w:sz w:val="24"/>
          <w:szCs w:val="24"/>
        </w:rPr>
      </w:pPr>
    </w:p>
    <w:p w:rsidR="005948E9" w:rsidRDefault="005948E9" w:rsidP="00D2682F">
      <w:pPr>
        <w:jc w:val="both"/>
        <w:rPr>
          <w:rFonts w:ascii="Times New Roman" w:hAnsi="Times New Roman" w:cs="Times New Roman"/>
          <w:color w:val="000000"/>
          <w:sz w:val="24"/>
          <w:szCs w:val="24"/>
        </w:rPr>
      </w:pPr>
    </w:p>
    <w:p w:rsidR="005948E9" w:rsidRDefault="005948E9" w:rsidP="00D2682F">
      <w:pPr>
        <w:jc w:val="both"/>
        <w:rPr>
          <w:rFonts w:ascii="Times New Roman" w:hAnsi="Times New Roman" w:cs="Times New Roman"/>
          <w:color w:val="000000"/>
          <w:sz w:val="24"/>
          <w:szCs w:val="24"/>
        </w:rPr>
      </w:pPr>
    </w:p>
    <w:p w:rsidR="0068039D" w:rsidRDefault="0068039D" w:rsidP="00D2682F">
      <w:pPr>
        <w:jc w:val="both"/>
        <w:rPr>
          <w:rFonts w:ascii="Times New Roman" w:hAnsi="Times New Roman" w:cs="Times New Roman"/>
          <w:color w:val="000000"/>
          <w:sz w:val="24"/>
          <w:szCs w:val="24"/>
        </w:rPr>
      </w:pPr>
    </w:p>
    <w:p w:rsidR="0068039D" w:rsidRDefault="0068039D" w:rsidP="00D2682F">
      <w:pPr>
        <w:jc w:val="both"/>
        <w:rPr>
          <w:rFonts w:ascii="Times New Roman" w:hAnsi="Times New Roman" w:cs="Times New Roman"/>
          <w:color w:val="000000"/>
          <w:sz w:val="24"/>
          <w:szCs w:val="24"/>
        </w:rPr>
      </w:pPr>
    </w:p>
    <w:p w:rsidR="0068039D" w:rsidRDefault="0068039D" w:rsidP="00D2682F">
      <w:pPr>
        <w:jc w:val="both"/>
        <w:rPr>
          <w:rFonts w:ascii="Times New Roman" w:hAnsi="Times New Roman" w:cs="Times New Roman"/>
          <w:color w:val="000000"/>
          <w:sz w:val="24"/>
          <w:szCs w:val="24"/>
        </w:rPr>
      </w:pPr>
    </w:p>
    <w:p w:rsidR="0068039D" w:rsidRDefault="0068039D" w:rsidP="00D2682F">
      <w:pPr>
        <w:jc w:val="both"/>
        <w:rPr>
          <w:rFonts w:ascii="Times New Roman" w:hAnsi="Times New Roman" w:cs="Times New Roman"/>
          <w:color w:val="000000"/>
          <w:sz w:val="24"/>
          <w:szCs w:val="24"/>
        </w:rPr>
      </w:pPr>
    </w:p>
    <w:p w:rsidR="0068039D" w:rsidRDefault="0068039D" w:rsidP="00D2682F">
      <w:pPr>
        <w:jc w:val="both"/>
        <w:rPr>
          <w:rFonts w:ascii="Times New Roman" w:hAnsi="Times New Roman" w:cs="Times New Roman"/>
          <w:color w:val="000000"/>
          <w:sz w:val="24"/>
          <w:szCs w:val="24"/>
        </w:rPr>
      </w:pPr>
    </w:p>
    <w:p w:rsidR="0068039D" w:rsidRDefault="0068039D" w:rsidP="00D2682F">
      <w:pPr>
        <w:jc w:val="both"/>
        <w:rPr>
          <w:rFonts w:ascii="Times New Roman" w:hAnsi="Times New Roman" w:cs="Times New Roman"/>
          <w:color w:val="000000"/>
          <w:sz w:val="24"/>
          <w:szCs w:val="24"/>
        </w:rPr>
      </w:pPr>
    </w:p>
    <w:p w:rsidR="0052566B" w:rsidRDefault="0052566B" w:rsidP="0052566B">
      <w:pPr>
        <w:jc w:val="center"/>
        <w:rPr>
          <w:rFonts w:ascii="Times New Roman" w:hAnsi="Times New Roman"/>
          <w:b/>
          <w:sz w:val="20"/>
          <w:szCs w:val="20"/>
        </w:rPr>
        <w:sectPr w:rsidR="0052566B" w:rsidSect="00FD763C">
          <w:headerReference w:type="default" r:id="rId102"/>
          <w:footerReference w:type="default" r:id="rId103"/>
          <w:headerReference w:type="first" r:id="rId104"/>
          <w:pgSz w:w="11906" w:h="16838"/>
          <w:pgMar w:top="851" w:right="566" w:bottom="1134" w:left="1417" w:header="284" w:footer="533" w:gutter="0"/>
          <w:cols w:space="708"/>
          <w:docGrid w:linePitch="360"/>
        </w:sectPr>
      </w:pPr>
      <w:bookmarkStart w:id="341" w:name="_Toc11158749"/>
    </w:p>
    <w:p w:rsidR="008D7CFC" w:rsidRPr="00BA3EE1" w:rsidRDefault="008D7CFC" w:rsidP="008D7CFC">
      <w:pPr>
        <w:jc w:val="center"/>
        <w:rPr>
          <w:rFonts w:ascii="Times New Roman" w:hAnsi="Times New Roman" w:cs="Times New Roman"/>
          <w:b/>
          <w:sz w:val="20"/>
          <w:szCs w:val="20"/>
        </w:rPr>
      </w:pPr>
      <w:bookmarkStart w:id="342" w:name="_Toc51074011"/>
      <w:bookmarkEnd w:id="341"/>
      <w:r w:rsidRPr="00BA3EE1">
        <w:rPr>
          <w:rFonts w:ascii="Times New Roman" w:hAnsi="Times New Roman" w:cs="Times New Roman"/>
          <w:b/>
          <w:sz w:val="20"/>
          <w:szCs w:val="20"/>
        </w:rPr>
        <w:lastRenderedPageBreak/>
        <w:t xml:space="preserve">Tableau </w:t>
      </w:r>
      <w:r w:rsidRPr="00BA3EE1">
        <w:rPr>
          <w:rFonts w:ascii="Times New Roman" w:hAnsi="Times New Roman" w:cs="Times New Roman"/>
          <w:b/>
          <w:sz w:val="20"/>
          <w:szCs w:val="20"/>
        </w:rPr>
        <w:fldChar w:fldCharType="begin"/>
      </w:r>
      <w:r w:rsidRPr="00BA3EE1">
        <w:rPr>
          <w:rFonts w:ascii="Times New Roman" w:hAnsi="Times New Roman" w:cs="Times New Roman"/>
          <w:b/>
          <w:sz w:val="20"/>
          <w:szCs w:val="20"/>
        </w:rPr>
        <w:instrText xml:space="preserve"> SEQ Tableau \* ARABIC </w:instrText>
      </w:r>
      <w:r w:rsidRPr="00BA3EE1">
        <w:rPr>
          <w:rFonts w:ascii="Times New Roman" w:hAnsi="Times New Roman" w:cs="Times New Roman"/>
          <w:b/>
          <w:sz w:val="20"/>
          <w:szCs w:val="20"/>
        </w:rPr>
        <w:fldChar w:fldCharType="separate"/>
      </w:r>
      <w:r w:rsidR="00820701">
        <w:rPr>
          <w:rFonts w:ascii="Times New Roman" w:hAnsi="Times New Roman" w:cs="Times New Roman"/>
          <w:b/>
          <w:noProof/>
          <w:sz w:val="20"/>
          <w:szCs w:val="20"/>
        </w:rPr>
        <w:t>20</w:t>
      </w:r>
      <w:r w:rsidRPr="00BA3EE1">
        <w:rPr>
          <w:rFonts w:ascii="Times New Roman" w:hAnsi="Times New Roman" w:cs="Times New Roman"/>
          <w:b/>
          <w:sz w:val="20"/>
          <w:szCs w:val="20"/>
        </w:rPr>
        <w:fldChar w:fldCharType="end"/>
      </w:r>
      <w:r w:rsidRPr="00BA3EE1">
        <w:rPr>
          <w:rFonts w:ascii="Times New Roman" w:hAnsi="Times New Roman" w:cs="Times New Roman"/>
          <w:b/>
          <w:sz w:val="20"/>
          <w:szCs w:val="20"/>
        </w:rPr>
        <w:t>: Synthèse des impacts positifs attendus au niveau du sous-projet n°2</w:t>
      </w:r>
      <w:bookmarkEnd w:id="342"/>
    </w:p>
    <w:tbl>
      <w:tblPr>
        <w:tblW w:w="162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3"/>
        <w:gridCol w:w="142"/>
        <w:gridCol w:w="94"/>
        <w:gridCol w:w="47"/>
        <w:gridCol w:w="567"/>
        <w:gridCol w:w="709"/>
        <w:gridCol w:w="6662"/>
        <w:gridCol w:w="1276"/>
        <w:gridCol w:w="284"/>
        <w:gridCol w:w="1275"/>
        <w:gridCol w:w="284"/>
        <w:gridCol w:w="1276"/>
        <w:gridCol w:w="283"/>
        <w:gridCol w:w="1276"/>
        <w:gridCol w:w="709"/>
      </w:tblGrid>
      <w:tr w:rsidR="008D7CFC" w:rsidRPr="00AA45E9" w:rsidTr="007062AE">
        <w:trPr>
          <w:jc w:val="center"/>
        </w:trPr>
        <w:tc>
          <w:tcPr>
            <w:tcW w:w="1696" w:type="dxa"/>
            <w:gridSpan w:val="4"/>
            <w:shd w:val="clear" w:color="auto" w:fill="F2F2F2" w:themeFill="background1" w:themeFillShade="F2"/>
            <w:vAlign w:val="center"/>
          </w:tcPr>
          <w:p w:rsidR="008D7CFC" w:rsidRPr="00AA45E9" w:rsidRDefault="008D7CFC" w:rsidP="007062AE">
            <w:pPr>
              <w:spacing w:after="0" w:line="240" w:lineRule="auto"/>
              <w:jc w:val="center"/>
              <w:rPr>
                <w:rFonts w:ascii="Times New Roman" w:hAnsi="Times New Roman"/>
                <w:b/>
              </w:rPr>
            </w:pPr>
            <w:r w:rsidRPr="00AA45E9">
              <w:rPr>
                <w:rFonts w:ascii="Times New Roman" w:hAnsi="Times New Roman"/>
                <w:b/>
              </w:rPr>
              <w:t>PHASES</w:t>
            </w:r>
          </w:p>
        </w:tc>
        <w:tc>
          <w:tcPr>
            <w:tcW w:w="1276" w:type="dxa"/>
            <w:gridSpan w:val="2"/>
            <w:shd w:val="clear" w:color="auto" w:fill="F2F2F2" w:themeFill="background1" w:themeFillShade="F2"/>
            <w:vAlign w:val="center"/>
          </w:tcPr>
          <w:p w:rsidR="008D7CFC" w:rsidRPr="00AA45E9" w:rsidRDefault="008D7CFC" w:rsidP="007062AE">
            <w:pPr>
              <w:spacing w:after="0" w:line="240" w:lineRule="auto"/>
              <w:jc w:val="center"/>
              <w:rPr>
                <w:rFonts w:ascii="Times New Roman" w:hAnsi="Times New Roman"/>
                <w:b/>
              </w:rPr>
            </w:pPr>
            <w:r w:rsidRPr="00AA45E9">
              <w:rPr>
                <w:rFonts w:ascii="Times New Roman" w:hAnsi="Times New Roman"/>
                <w:b/>
              </w:rPr>
              <w:t>MILIEU</w:t>
            </w:r>
          </w:p>
        </w:tc>
        <w:tc>
          <w:tcPr>
            <w:tcW w:w="6662" w:type="dxa"/>
            <w:shd w:val="clear" w:color="auto" w:fill="F2F2F2" w:themeFill="background1" w:themeFillShade="F2"/>
            <w:vAlign w:val="center"/>
          </w:tcPr>
          <w:p w:rsidR="008D7CFC" w:rsidRPr="00AA45E9" w:rsidRDefault="008D7CFC" w:rsidP="007062AE">
            <w:pPr>
              <w:spacing w:after="0" w:line="240" w:lineRule="auto"/>
              <w:jc w:val="center"/>
              <w:rPr>
                <w:rFonts w:ascii="Times New Roman" w:hAnsi="Times New Roman"/>
                <w:b/>
              </w:rPr>
            </w:pPr>
            <w:r w:rsidRPr="00AA45E9">
              <w:rPr>
                <w:rFonts w:ascii="Times New Roman" w:hAnsi="Times New Roman"/>
                <w:b/>
              </w:rPr>
              <w:t>IMPACTS POSITIFS POTENTIELS</w:t>
            </w:r>
          </w:p>
        </w:tc>
        <w:tc>
          <w:tcPr>
            <w:tcW w:w="1560" w:type="dxa"/>
            <w:gridSpan w:val="2"/>
            <w:shd w:val="clear" w:color="auto" w:fill="002060"/>
            <w:vAlign w:val="center"/>
          </w:tcPr>
          <w:p w:rsidR="008D7CFC" w:rsidRPr="0052566B" w:rsidRDefault="008D7CFC" w:rsidP="007062AE">
            <w:pPr>
              <w:spacing w:after="0" w:line="240" w:lineRule="auto"/>
              <w:jc w:val="both"/>
              <w:rPr>
                <w:rFonts w:ascii="Times New Roman" w:hAnsi="Times New Roman"/>
                <w:b/>
                <w:sz w:val="20"/>
                <w:szCs w:val="20"/>
              </w:rPr>
            </w:pPr>
            <w:r w:rsidRPr="0052566B">
              <w:rPr>
                <w:rFonts w:ascii="Times New Roman" w:hAnsi="Times New Roman"/>
                <w:b/>
                <w:sz w:val="20"/>
                <w:szCs w:val="20"/>
              </w:rPr>
              <w:t>Intensité</w:t>
            </w:r>
          </w:p>
        </w:tc>
        <w:tc>
          <w:tcPr>
            <w:tcW w:w="1559" w:type="dxa"/>
            <w:gridSpan w:val="2"/>
            <w:shd w:val="clear" w:color="auto" w:fill="002060"/>
            <w:vAlign w:val="center"/>
          </w:tcPr>
          <w:p w:rsidR="008D7CFC" w:rsidRPr="0052566B" w:rsidRDefault="008D7CFC" w:rsidP="007062AE">
            <w:pPr>
              <w:spacing w:after="0" w:line="240" w:lineRule="auto"/>
              <w:jc w:val="both"/>
              <w:rPr>
                <w:rFonts w:ascii="Times New Roman" w:hAnsi="Times New Roman"/>
                <w:b/>
                <w:sz w:val="20"/>
                <w:szCs w:val="20"/>
              </w:rPr>
            </w:pPr>
            <w:r w:rsidRPr="0052566B">
              <w:rPr>
                <w:rFonts w:ascii="Times New Roman" w:hAnsi="Times New Roman"/>
                <w:b/>
                <w:sz w:val="20"/>
                <w:szCs w:val="20"/>
              </w:rPr>
              <w:t>Etendue</w:t>
            </w:r>
          </w:p>
        </w:tc>
        <w:tc>
          <w:tcPr>
            <w:tcW w:w="1559" w:type="dxa"/>
            <w:gridSpan w:val="2"/>
            <w:shd w:val="clear" w:color="auto" w:fill="002060"/>
            <w:vAlign w:val="center"/>
          </w:tcPr>
          <w:p w:rsidR="008D7CFC" w:rsidRPr="0052566B" w:rsidRDefault="008D7CFC" w:rsidP="007062AE">
            <w:pPr>
              <w:spacing w:after="0" w:line="240" w:lineRule="auto"/>
              <w:jc w:val="both"/>
              <w:rPr>
                <w:rFonts w:ascii="Times New Roman" w:hAnsi="Times New Roman"/>
                <w:b/>
                <w:sz w:val="20"/>
                <w:szCs w:val="20"/>
              </w:rPr>
            </w:pPr>
            <w:r w:rsidRPr="0052566B">
              <w:rPr>
                <w:rFonts w:ascii="Times New Roman" w:hAnsi="Times New Roman"/>
                <w:b/>
                <w:sz w:val="20"/>
                <w:szCs w:val="20"/>
              </w:rPr>
              <w:t>Durée</w:t>
            </w:r>
          </w:p>
        </w:tc>
        <w:tc>
          <w:tcPr>
            <w:tcW w:w="1985" w:type="dxa"/>
            <w:gridSpan w:val="2"/>
            <w:shd w:val="clear" w:color="auto" w:fill="002060"/>
            <w:vAlign w:val="center"/>
          </w:tcPr>
          <w:p w:rsidR="008D7CFC" w:rsidRPr="0052566B" w:rsidRDefault="008D7CFC" w:rsidP="007062AE">
            <w:pPr>
              <w:spacing w:after="0" w:line="240" w:lineRule="auto"/>
              <w:jc w:val="both"/>
              <w:rPr>
                <w:rFonts w:ascii="Times New Roman" w:hAnsi="Times New Roman"/>
                <w:b/>
                <w:sz w:val="20"/>
                <w:szCs w:val="20"/>
              </w:rPr>
            </w:pPr>
            <w:r w:rsidRPr="0052566B">
              <w:rPr>
                <w:rFonts w:ascii="Times New Roman" w:hAnsi="Times New Roman"/>
                <w:b/>
                <w:sz w:val="20"/>
                <w:szCs w:val="20"/>
              </w:rPr>
              <w:t>Importance</w:t>
            </w:r>
          </w:p>
        </w:tc>
      </w:tr>
      <w:tr w:rsidR="008D7CFC" w:rsidRPr="00AA45E9" w:rsidTr="007062AE">
        <w:trPr>
          <w:gridBefore w:val="2"/>
          <w:gridAfter w:val="10"/>
          <w:wBefore w:w="1555" w:type="dxa"/>
          <w:wAfter w:w="14034" w:type="dxa"/>
          <w:trHeight w:val="70"/>
          <w:jc w:val="center"/>
        </w:trPr>
        <w:tc>
          <w:tcPr>
            <w:tcW w:w="708" w:type="dxa"/>
            <w:gridSpan w:val="3"/>
            <w:shd w:val="clear" w:color="auto" w:fill="000000" w:themeFill="text1"/>
            <w:vAlign w:val="center"/>
          </w:tcPr>
          <w:p w:rsidR="008D7CFC" w:rsidRPr="005244BC" w:rsidRDefault="008D7CFC" w:rsidP="007062AE">
            <w:pPr>
              <w:spacing w:after="0" w:line="240" w:lineRule="auto"/>
              <w:jc w:val="both"/>
              <w:rPr>
                <w:rFonts w:ascii="Times New Roman" w:hAnsi="Times New Roman"/>
                <w:sz w:val="16"/>
                <w:szCs w:val="16"/>
              </w:rPr>
            </w:pPr>
          </w:p>
        </w:tc>
      </w:tr>
      <w:tr w:rsidR="008D7CFC" w:rsidRPr="00AA45E9" w:rsidTr="007062AE">
        <w:trPr>
          <w:trHeight w:val="70"/>
          <w:jc w:val="center"/>
        </w:trPr>
        <w:tc>
          <w:tcPr>
            <w:tcW w:w="1555" w:type="dxa"/>
            <w:gridSpan w:val="2"/>
            <w:vMerge w:val="restart"/>
            <w:shd w:val="clear" w:color="auto" w:fill="BDD6EE"/>
            <w:vAlign w:val="center"/>
          </w:tcPr>
          <w:p w:rsidR="008D7CFC" w:rsidRPr="00AA45E9" w:rsidRDefault="008D7CFC" w:rsidP="007062AE">
            <w:pPr>
              <w:spacing w:after="0" w:line="240" w:lineRule="auto"/>
              <w:jc w:val="center"/>
              <w:rPr>
                <w:rFonts w:ascii="Times New Roman" w:eastAsia="MS Gothic" w:hAnsi="Times New Roman"/>
                <w:b/>
                <w:sz w:val="20"/>
                <w:szCs w:val="20"/>
              </w:rPr>
            </w:pPr>
            <w:r w:rsidRPr="00AA45E9">
              <w:rPr>
                <w:rFonts w:ascii="Times New Roman" w:eastAsia="MS Gothic" w:hAnsi="Times New Roman"/>
                <w:b/>
                <w:sz w:val="20"/>
                <w:szCs w:val="20"/>
              </w:rPr>
              <w:t>Pré-construction et</w:t>
            </w:r>
          </w:p>
          <w:p w:rsidR="008D7CFC" w:rsidRPr="00AA45E9" w:rsidRDefault="008D7CFC" w:rsidP="007062AE">
            <w:pPr>
              <w:spacing w:after="0" w:line="240" w:lineRule="auto"/>
              <w:jc w:val="center"/>
              <w:rPr>
                <w:rFonts w:ascii="Times New Roman" w:hAnsi="Times New Roman"/>
              </w:rPr>
            </w:pPr>
            <w:r w:rsidRPr="00AA45E9">
              <w:rPr>
                <w:rFonts w:ascii="Times New Roman" w:eastAsia="MS Gothic" w:hAnsi="Times New Roman"/>
                <w:b/>
                <w:sz w:val="20"/>
                <w:szCs w:val="20"/>
              </w:rPr>
              <w:t>Construction</w:t>
            </w:r>
          </w:p>
        </w:tc>
        <w:tc>
          <w:tcPr>
            <w:tcW w:w="1417" w:type="dxa"/>
            <w:gridSpan w:val="4"/>
            <w:vMerge w:val="restart"/>
            <w:vAlign w:val="center"/>
          </w:tcPr>
          <w:p w:rsidR="008D7CFC" w:rsidRPr="00291334" w:rsidRDefault="008D7CFC" w:rsidP="007062AE">
            <w:pPr>
              <w:spacing w:after="0" w:line="240" w:lineRule="auto"/>
              <w:jc w:val="center"/>
              <w:rPr>
                <w:rFonts w:ascii="Times New Roman" w:eastAsia="MS Gothic" w:hAnsi="Times New Roman"/>
                <w:b/>
                <w:sz w:val="16"/>
                <w:szCs w:val="16"/>
              </w:rPr>
            </w:pPr>
            <w:r w:rsidRPr="00291334">
              <w:rPr>
                <w:rFonts w:ascii="Times New Roman" w:eastAsia="MS Gothic" w:hAnsi="Times New Roman"/>
                <w:b/>
                <w:sz w:val="16"/>
                <w:szCs w:val="16"/>
              </w:rPr>
              <w:t>SOCIO-ECONOMIQUE</w:t>
            </w:r>
          </w:p>
        </w:tc>
        <w:tc>
          <w:tcPr>
            <w:tcW w:w="6662" w:type="dxa"/>
            <w:vAlign w:val="center"/>
          </w:tcPr>
          <w:p w:rsidR="008D7CFC" w:rsidRPr="00291334" w:rsidRDefault="008D7CFC" w:rsidP="00FA3FAE">
            <w:pPr>
              <w:pStyle w:val="PargrafodaLista"/>
              <w:numPr>
                <w:ilvl w:val="0"/>
                <w:numId w:val="225"/>
              </w:numPr>
              <w:spacing w:after="0" w:line="240" w:lineRule="auto"/>
              <w:ind w:left="313" w:hanging="313"/>
              <w:jc w:val="both"/>
              <w:rPr>
                <w:rFonts w:ascii="Times New Roman" w:hAnsi="Times New Roman"/>
                <w:sz w:val="22"/>
                <w:szCs w:val="22"/>
              </w:rPr>
            </w:pPr>
            <w:r w:rsidRPr="00291334">
              <w:rPr>
                <w:rFonts w:ascii="Times New Roman" w:hAnsi="Times New Roman"/>
                <w:sz w:val="22"/>
                <w:szCs w:val="22"/>
              </w:rPr>
              <w:t>Création d’emplois temporaires</w:t>
            </w:r>
          </w:p>
          <w:p w:rsidR="008D7CFC" w:rsidRPr="00291334" w:rsidRDefault="008D7CFC" w:rsidP="00FA3FAE">
            <w:pPr>
              <w:pStyle w:val="PargrafodaLista"/>
              <w:numPr>
                <w:ilvl w:val="0"/>
                <w:numId w:val="80"/>
              </w:numPr>
              <w:spacing w:after="0" w:line="240" w:lineRule="auto"/>
              <w:ind w:hanging="265"/>
              <w:jc w:val="both"/>
              <w:rPr>
                <w:rFonts w:ascii="Times New Roman" w:hAnsi="Times New Roman"/>
                <w:sz w:val="22"/>
                <w:szCs w:val="22"/>
              </w:rPr>
            </w:pPr>
            <w:r w:rsidRPr="00291334">
              <w:rPr>
                <w:rFonts w:ascii="Times New Roman" w:hAnsi="Times New Roman"/>
                <w:sz w:val="22"/>
                <w:szCs w:val="22"/>
              </w:rPr>
              <w:t>des manœuvres pour tous travaux de débroussaillage, de désherbage, de fouille,</w:t>
            </w:r>
          </w:p>
          <w:p w:rsidR="008D7CFC" w:rsidRPr="00291334" w:rsidRDefault="008D7CFC" w:rsidP="00FA3FAE">
            <w:pPr>
              <w:pStyle w:val="PargrafodaLista"/>
              <w:numPr>
                <w:ilvl w:val="0"/>
                <w:numId w:val="80"/>
              </w:numPr>
              <w:spacing w:after="0" w:line="240" w:lineRule="auto"/>
              <w:ind w:hanging="265"/>
              <w:jc w:val="both"/>
              <w:rPr>
                <w:rFonts w:ascii="Times New Roman" w:hAnsi="Times New Roman"/>
                <w:sz w:val="22"/>
                <w:szCs w:val="22"/>
              </w:rPr>
            </w:pPr>
            <w:r w:rsidRPr="00291334">
              <w:rPr>
                <w:rFonts w:ascii="Times New Roman" w:hAnsi="Times New Roman"/>
                <w:sz w:val="22"/>
                <w:szCs w:val="22"/>
              </w:rPr>
              <w:t>des maçons pour tous travaux de génie civil,</w:t>
            </w:r>
          </w:p>
          <w:p w:rsidR="008D7CFC" w:rsidRPr="00291334" w:rsidRDefault="008D7CFC" w:rsidP="00FA3FAE">
            <w:pPr>
              <w:pStyle w:val="PargrafodaLista"/>
              <w:numPr>
                <w:ilvl w:val="0"/>
                <w:numId w:val="80"/>
              </w:numPr>
              <w:spacing w:after="0" w:line="240" w:lineRule="auto"/>
              <w:ind w:hanging="265"/>
              <w:jc w:val="both"/>
              <w:rPr>
                <w:rFonts w:ascii="Times New Roman" w:hAnsi="Times New Roman"/>
                <w:sz w:val="22"/>
                <w:szCs w:val="22"/>
              </w:rPr>
            </w:pPr>
            <w:r w:rsidRPr="00291334">
              <w:rPr>
                <w:rFonts w:ascii="Times New Roman" w:hAnsi="Times New Roman"/>
                <w:sz w:val="22"/>
                <w:szCs w:val="22"/>
              </w:rPr>
              <w:t>des ferrailleurs,</w:t>
            </w:r>
          </w:p>
          <w:p w:rsidR="008D7CFC" w:rsidRPr="00291334" w:rsidRDefault="008D7CFC" w:rsidP="00FA3FAE">
            <w:pPr>
              <w:pStyle w:val="PargrafodaLista"/>
              <w:numPr>
                <w:ilvl w:val="0"/>
                <w:numId w:val="80"/>
              </w:numPr>
              <w:spacing w:after="0" w:line="240" w:lineRule="auto"/>
              <w:ind w:hanging="265"/>
              <w:jc w:val="both"/>
              <w:rPr>
                <w:rFonts w:ascii="Times New Roman" w:hAnsi="Times New Roman"/>
                <w:sz w:val="22"/>
                <w:szCs w:val="22"/>
              </w:rPr>
            </w:pPr>
            <w:r w:rsidRPr="00291334">
              <w:rPr>
                <w:rFonts w:ascii="Times New Roman" w:hAnsi="Times New Roman"/>
                <w:sz w:val="22"/>
                <w:szCs w:val="22"/>
              </w:rPr>
              <w:t>des peintres,</w:t>
            </w:r>
          </w:p>
          <w:p w:rsidR="008D7CFC" w:rsidRPr="00291334" w:rsidRDefault="008D7CFC" w:rsidP="00FA3FAE">
            <w:pPr>
              <w:pStyle w:val="PargrafodaLista"/>
              <w:numPr>
                <w:ilvl w:val="0"/>
                <w:numId w:val="80"/>
              </w:numPr>
              <w:spacing w:after="0" w:line="240" w:lineRule="auto"/>
              <w:ind w:hanging="265"/>
              <w:jc w:val="both"/>
              <w:rPr>
                <w:rFonts w:ascii="Times New Roman" w:hAnsi="Times New Roman"/>
                <w:sz w:val="22"/>
                <w:szCs w:val="22"/>
              </w:rPr>
            </w:pPr>
            <w:r w:rsidRPr="00291334">
              <w:rPr>
                <w:rFonts w:ascii="Times New Roman" w:hAnsi="Times New Roman"/>
                <w:sz w:val="22"/>
                <w:szCs w:val="22"/>
              </w:rPr>
              <w:t>des conducteurs d’engins spécifiques</w:t>
            </w:r>
          </w:p>
        </w:tc>
        <w:tc>
          <w:tcPr>
            <w:tcW w:w="1276" w:type="dxa"/>
            <w:vAlign w:val="center"/>
          </w:tcPr>
          <w:p w:rsidR="008D7CFC" w:rsidRPr="000847E6" w:rsidRDefault="008D7CFC" w:rsidP="007062AE">
            <w:pPr>
              <w:spacing w:after="0" w:line="240" w:lineRule="auto"/>
              <w:jc w:val="center"/>
              <w:rPr>
                <w:rFonts w:ascii="Times New Roman" w:hAnsi="Times New Roman"/>
              </w:rPr>
            </w:pPr>
            <w:r w:rsidRPr="000847E6">
              <w:rPr>
                <w:rFonts w:ascii="Times New Roman" w:hAnsi="Times New Roman"/>
              </w:rPr>
              <w:t>Forte</w:t>
            </w:r>
          </w:p>
        </w:tc>
        <w:tc>
          <w:tcPr>
            <w:tcW w:w="284" w:type="dxa"/>
            <w:shd w:val="clear" w:color="auto" w:fill="002060"/>
            <w:vAlign w:val="center"/>
          </w:tcPr>
          <w:p w:rsidR="008D7CFC" w:rsidRPr="000847E6" w:rsidRDefault="008D7CFC" w:rsidP="007062AE">
            <w:pPr>
              <w:spacing w:after="0" w:line="240" w:lineRule="auto"/>
              <w:jc w:val="center"/>
              <w:rPr>
                <w:rFonts w:ascii="Times New Roman" w:hAnsi="Times New Roman"/>
                <w:b/>
              </w:rPr>
            </w:pPr>
            <w:r w:rsidRPr="000847E6">
              <w:rPr>
                <w:rFonts w:ascii="Times New Roman" w:hAnsi="Times New Roman"/>
                <w:b/>
              </w:rPr>
              <w:t>5</w:t>
            </w:r>
          </w:p>
        </w:tc>
        <w:tc>
          <w:tcPr>
            <w:tcW w:w="1275" w:type="dxa"/>
            <w:vAlign w:val="center"/>
          </w:tcPr>
          <w:p w:rsidR="008D7CFC" w:rsidRPr="000847E6" w:rsidRDefault="008D7CFC" w:rsidP="007062AE">
            <w:pPr>
              <w:spacing w:after="0" w:line="240" w:lineRule="auto"/>
              <w:jc w:val="center"/>
              <w:rPr>
                <w:rFonts w:ascii="Times New Roman" w:hAnsi="Times New Roman"/>
              </w:rPr>
            </w:pPr>
            <w:r w:rsidRPr="000847E6">
              <w:rPr>
                <w:rFonts w:ascii="Times New Roman" w:hAnsi="Times New Roman"/>
              </w:rPr>
              <w:t>Régionale</w:t>
            </w:r>
          </w:p>
        </w:tc>
        <w:tc>
          <w:tcPr>
            <w:tcW w:w="284" w:type="dxa"/>
            <w:shd w:val="clear" w:color="auto" w:fill="002060"/>
            <w:vAlign w:val="center"/>
          </w:tcPr>
          <w:p w:rsidR="008D7CFC" w:rsidRPr="000847E6" w:rsidRDefault="008D7CFC" w:rsidP="007062AE">
            <w:pPr>
              <w:spacing w:after="0" w:line="240" w:lineRule="auto"/>
              <w:jc w:val="center"/>
              <w:rPr>
                <w:rFonts w:ascii="Times New Roman" w:hAnsi="Times New Roman"/>
                <w:b/>
              </w:rPr>
            </w:pPr>
            <w:r w:rsidRPr="000847E6">
              <w:rPr>
                <w:rFonts w:ascii="Times New Roman" w:hAnsi="Times New Roman"/>
                <w:b/>
              </w:rPr>
              <w:t>5</w:t>
            </w:r>
          </w:p>
        </w:tc>
        <w:tc>
          <w:tcPr>
            <w:tcW w:w="1276" w:type="dxa"/>
            <w:vAlign w:val="center"/>
          </w:tcPr>
          <w:p w:rsidR="008D7CFC" w:rsidRPr="000847E6" w:rsidRDefault="008D7CFC" w:rsidP="007062AE">
            <w:pPr>
              <w:spacing w:after="0" w:line="240" w:lineRule="auto"/>
              <w:jc w:val="center"/>
              <w:rPr>
                <w:rFonts w:ascii="Times New Roman" w:hAnsi="Times New Roman"/>
              </w:rPr>
            </w:pPr>
            <w:r w:rsidRPr="000847E6">
              <w:rPr>
                <w:rFonts w:ascii="Times New Roman" w:hAnsi="Times New Roman"/>
              </w:rPr>
              <w:t>Courte</w:t>
            </w:r>
          </w:p>
        </w:tc>
        <w:tc>
          <w:tcPr>
            <w:tcW w:w="283" w:type="dxa"/>
            <w:shd w:val="clear" w:color="auto" w:fill="002060"/>
            <w:vAlign w:val="center"/>
          </w:tcPr>
          <w:p w:rsidR="008D7CFC" w:rsidRPr="000847E6" w:rsidRDefault="008D7CFC" w:rsidP="007062AE">
            <w:pPr>
              <w:spacing w:after="0" w:line="240" w:lineRule="auto"/>
              <w:jc w:val="center"/>
              <w:rPr>
                <w:rFonts w:ascii="Times New Roman" w:hAnsi="Times New Roman"/>
                <w:b/>
              </w:rPr>
            </w:pPr>
            <w:r w:rsidRPr="000847E6">
              <w:rPr>
                <w:rFonts w:ascii="Times New Roman" w:hAnsi="Times New Roman"/>
                <w:b/>
              </w:rPr>
              <w:t>1</w:t>
            </w:r>
          </w:p>
        </w:tc>
        <w:tc>
          <w:tcPr>
            <w:tcW w:w="1276" w:type="dxa"/>
            <w:shd w:val="clear" w:color="auto" w:fill="FFE599" w:themeFill="accent4" w:themeFillTint="66"/>
            <w:vAlign w:val="center"/>
          </w:tcPr>
          <w:p w:rsidR="008D7CFC" w:rsidRPr="000847E6" w:rsidRDefault="008D7CFC" w:rsidP="007062AE">
            <w:pPr>
              <w:spacing w:after="0" w:line="240" w:lineRule="auto"/>
              <w:jc w:val="center"/>
              <w:rPr>
                <w:rFonts w:ascii="Times New Roman" w:hAnsi="Times New Roman"/>
                <w:b/>
              </w:rPr>
            </w:pPr>
            <w:r w:rsidRPr="000847E6">
              <w:rPr>
                <w:rFonts w:ascii="Times New Roman" w:hAnsi="Times New Roman"/>
                <w:b/>
              </w:rPr>
              <w:t>Moyenne</w:t>
            </w:r>
          </w:p>
        </w:tc>
        <w:tc>
          <w:tcPr>
            <w:tcW w:w="709" w:type="dxa"/>
            <w:shd w:val="clear" w:color="auto" w:fill="FFE599" w:themeFill="accent4" w:themeFillTint="66"/>
            <w:vAlign w:val="center"/>
          </w:tcPr>
          <w:p w:rsidR="008D7CFC" w:rsidRPr="000847E6" w:rsidRDefault="008D7CFC" w:rsidP="007062AE">
            <w:pPr>
              <w:spacing w:after="0" w:line="240" w:lineRule="auto"/>
              <w:jc w:val="center"/>
              <w:rPr>
                <w:rFonts w:ascii="Times New Roman" w:hAnsi="Times New Roman"/>
                <w:b/>
              </w:rPr>
            </w:pPr>
            <w:r w:rsidRPr="000847E6">
              <w:rPr>
                <w:rFonts w:ascii="Times New Roman" w:hAnsi="Times New Roman"/>
                <w:b/>
              </w:rPr>
              <w:t>25</w:t>
            </w:r>
          </w:p>
        </w:tc>
      </w:tr>
      <w:tr w:rsidR="008D7CFC" w:rsidRPr="00AA45E9" w:rsidTr="007062AE">
        <w:trPr>
          <w:trHeight w:val="273"/>
          <w:jc w:val="center"/>
        </w:trPr>
        <w:tc>
          <w:tcPr>
            <w:tcW w:w="1555" w:type="dxa"/>
            <w:gridSpan w:val="2"/>
            <w:vMerge/>
            <w:shd w:val="clear" w:color="auto" w:fill="BDD6EE"/>
            <w:vAlign w:val="center"/>
          </w:tcPr>
          <w:p w:rsidR="008D7CFC" w:rsidRPr="00AA45E9" w:rsidRDefault="008D7CFC" w:rsidP="007062AE">
            <w:pPr>
              <w:spacing w:after="0" w:line="240" w:lineRule="auto"/>
              <w:jc w:val="center"/>
              <w:rPr>
                <w:rFonts w:ascii="Times New Roman" w:hAnsi="Times New Roman"/>
              </w:rPr>
            </w:pPr>
          </w:p>
        </w:tc>
        <w:tc>
          <w:tcPr>
            <w:tcW w:w="1417" w:type="dxa"/>
            <w:gridSpan w:val="4"/>
            <w:vMerge/>
            <w:vAlign w:val="center"/>
          </w:tcPr>
          <w:p w:rsidR="008D7CFC" w:rsidRPr="00291334" w:rsidRDefault="008D7CFC" w:rsidP="007062AE">
            <w:pPr>
              <w:spacing w:after="0" w:line="240" w:lineRule="auto"/>
              <w:jc w:val="center"/>
              <w:rPr>
                <w:rFonts w:ascii="Times New Roman" w:hAnsi="Times New Roman"/>
                <w:sz w:val="16"/>
                <w:szCs w:val="16"/>
              </w:rPr>
            </w:pPr>
          </w:p>
        </w:tc>
        <w:tc>
          <w:tcPr>
            <w:tcW w:w="6662" w:type="dxa"/>
            <w:vAlign w:val="center"/>
          </w:tcPr>
          <w:p w:rsidR="008D7CFC" w:rsidRPr="00291334" w:rsidRDefault="008D7CFC" w:rsidP="00FA3FAE">
            <w:pPr>
              <w:pStyle w:val="PargrafodaLista"/>
              <w:numPr>
                <w:ilvl w:val="0"/>
                <w:numId w:val="225"/>
              </w:numPr>
              <w:spacing w:after="0" w:line="240" w:lineRule="auto"/>
              <w:ind w:left="313" w:hanging="313"/>
              <w:jc w:val="both"/>
              <w:rPr>
                <w:rFonts w:ascii="Times New Roman" w:hAnsi="Times New Roman"/>
                <w:sz w:val="22"/>
                <w:szCs w:val="22"/>
              </w:rPr>
            </w:pPr>
            <w:r w:rsidRPr="00291334">
              <w:rPr>
                <w:rFonts w:ascii="Times New Roman" w:hAnsi="Times New Roman"/>
                <w:sz w:val="22"/>
                <w:szCs w:val="22"/>
              </w:rPr>
              <w:tab/>
              <w:t>Opportunités d’affaires pour des opérateurs économiques privés</w:t>
            </w:r>
          </w:p>
        </w:tc>
        <w:tc>
          <w:tcPr>
            <w:tcW w:w="1276" w:type="dxa"/>
            <w:vAlign w:val="center"/>
          </w:tcPr>
          <w:p w:rsidR="008D7CFC" w:rsidRPr="00AA45E9" w:rsidRDefault="008D7CFC" w:rsidP="007062AE">
            <w:pPr>
              <w:spacing w:after="0" w:line="240" w:lineRule="auto"/>
              <w:jc w:val="center"/>
              <w:rPr>
                <w:rFonts w:ascii="Times New Roman" w:hAnsi="Times New Roman"/>
                <w:sz w:val="18"/>
                <w:szCs w:val="18"/>
              </w:rPr>
            </w:pPr>
            <w:r w:rsidRPr="000847E6">
              <w:rPr>
                <w:rFonts w:ascii="Times New Roman" w:hAnsi="Times New Roman"/>
              </w:rPr>
              <w:t>Forte</w:t>
            </w:r>
          </w:p>
        </w:tc>
        <w:tc>
          <w:tcPr>
            <w:tcW w:w="284" w:type="dxa"/>
            <w:shd w:val="clear" w:color="auto" w:fill="002060"/>
            <w:vAlign w:val="center"/>
          </w:tcPr>
          <w:p w:rsidR="008D7CFC" w:rsidRPr="000847E6" w:rsidRDefault="008D7CFC" w:rsidP="007062AE">
            <w:pPr>
              <w:spacing w:after="0" w:line="240" w:lineRule="auto"/>
              <w:jc w:val="center"/>
              <w:rPr>
                <w:rFonts w:ascii="Times New Roman" w:hAnsi="Times New Roman"/>
                <w:b/>
                <w:sz w:val="18"/>
                <w:szCs w:val="18"/>
              </w:rPr>
            </w:pPr>
            <w:r w:rsidRPr="000847E6">
              <w:rPr>
                <w:rFonts w:ascii="Times New Roman" w:hAnsi="Times New Roman"/>
                <w:b/>
              </w:rPr>
              <w:t>5</w:t>
            </w:r>
          </w:p>
        </w:tc>
        <w:tc>
          <w:tcPr>
            <w:tcW w:w="1275" w:type="dxa"/>
            <w:vAlign w:val="center"/>
          </w:tcPr>
          <w:p w:rsidR="008D7CFC" w:rsidRPr="00AA45E9" w:rsidRDefault="008D7CFC" w:rsidP="007062AE">
            <w:pPr>
              <w:spacing w:after="0" w:line="240" w:lineRule="auto"/>
              <w:jc w:val="center"/>
              <w:rPr>
                <w:rFonts w:ascii="Times New Roman" w:hAnsi="Times New Roman"/>
                <w:sz w:val="18"/>
                <w:szCs w:val="18"/>
              </w:rPr>
            </w:pPr>
            <w:r w:rsidRPr="000847E6">
              <w:rPr>
                <w:rFonts w:ascii="Times New Roman" w:hAnsi="Times New Roman"/>
              </w:rPr>
              <w:t>Régionale</w:t>
            </w:r>
          </w:p>
        </w:tc>
        <w:tc>
          <w:tcPr>
            <w:tcW w:w="284" w:type="dxa"/>
            <w:shd w:val="clear" w:color="auto" w:fill="002060"/>
            <w:vAlign w:val="center"/>
          </w:tcPr>
          <w:p w:rsidR="008D7CFC" w:rsidRPr="000847E6" w:rsidRDefault="008D7CFC" w:rsidP="007062AE">
            <w:pPr>
              <w:spacing w:after="0" w:line="240" w:lineRule="auto"/>
              <w:jc w:val="center"/>
              <w:rPr>
                <w:rFonts w:ascii="Times New Roman" w:hAnsi="Times New Roman"/>
                <w:b/>
                <w:sz w:val="18"/>
                <w:szCs w:val="18"/>
              </w:rPr>
            </w:pPr>
            <w:r w:rsidRPr="000847E6">
              <w:rPr>
                <w:rFonts w:ascii="Times New Roman" w:hAnsi="Times New Roman"/>
                <w:b/>
              </w:rPr>
              <w:t>5</w:t>
            </w:r>
          </w:p>
        </w:tc>
        <w:tc>
          <w:tcPr>
            <w:tcW w:w="1276" w:type="dxa"/>
            <w:tcBorders>
              <w:bottom w:val="single" w:sz="4" w:space="0" w:color="auto"/>
            </w:tcBorders>
            <w:vAlign w:val="center"/>
          </w:tcPr>
          <w:p w:rsidR="008D7CFC" w:rsidRPr="00AA45E9" w:rsidRDefault="008D7CFC" w:rsidP="007062AE">
            <w:pPr>
              <w:spacing w:after="0" w:line="240" w:lineRule="auto"/>
              <w:jc w:val="center"/>
              <w:rPr>
                <w:rFonts w:ascii="Times New Roman" w:hAnsi="Times New Roman"/>
                <w:sz w:val="18"/>
                <w:szCs w:val="18"/>
              </w:rPr>
            </w:pPr>
            <w:r w:rsidRPr="000847E6">
              <w:rPr>
                <w:rFonts w:ascii="Times New Roman" w:hAnsi="Times New Roman"/>
              </w:rPr>
              <w:t>Courte</w:t>
            </w:r>
          </w:p>
        </w:tc>
        <w:tc>
          <w:tcPr>
            <w:tcW w:w="283" w:type="dxa"/>
            <w:shd w:val="clear" w:color="auto" w:fill="002060"/>
            <w:vAlign w:val="center"/>
          </w:tcPr>
          <w:p w:rsidR="008D7CFC" w:rsidRPr="000847E6" w:rsidRDefault="008D7CFC" w:rsidP="007062AE">
            <w:pPr>
              <w:spacing w:after="0" w:line="240" w:lineRule="auto"/>
              <w:jc w:val="center"/>
              <w:rPr>
                <w:rFonts w:ascii="Times New Roman" w:hAnsi="Times New Roman"/>
                <w:b/>
                <w:sz w:val="18"/>
                <w:szCs w:val="18"/>
              </w:rPr>
            </w:pPr>
            <w:r w:rsidRPr="000847E6">
              <w:rPr>
                <w:rFonts w:ascii="Times New Roman" w:hAnsi="Times New Roman"/>
                <w:b/>
              </w:rPr>
              <w:t>1</w:t>
            </w:r>
          </w:p>
        </w:tc>
        <w:tc>
          <w:tcPr>
            <w:tcW w:w="1276" w:type="dxa"/>
            <w:tcBorders>
              <w:bottom w:val="single" w:sz="4" w:space="0" w:color="auto"/>
            </w:tcBorders>
            <w:shd w:val="clear" w:color="auto" w:fill="FFE599" w:themeFill="accent4" w:themeFillTint="66"/>
            <w:vAlign w:val="center"/>
          </w:tcPr>
          <w:p w:rsidR="008D7CFC" w:rsidRPr="005244BC" w:rsidRDefault="008D7CFC" w:rsidP="007062AE">
            <w:pPr>
              <w:spacing w:after="0" w:line="240" w:lineRule="auto"/>
              <w:jc w:val="center"/>
              <w:rPr>
                <w:rFonts w:ascii="Times New Roman" w:hAnsi="Times New Roman"/>
                <w:b/>
                <w:sz w:val="16"/>
                <w:szCs w:val="16"/>
              </w:rPr>
            </w:pPr>
            <w:r w:rsidRPr="000847E6">
              <w:rPr>
                <w:rFonts w:ascii="Times New Roman" w:hAnsi="Times New Roman"/>
                <w:b/>
              </w:rPr>
              <w:t>Moyenne</w:t>
            </w:r>
          </w:p>
        </w:tc>
        <w:tc>
          <w:tcPr>
            <w:tcW w:w="709" w:type="dxa"/>
            <w:tcBorders>
              <w:bottom w:val="single" w:sz="4" w:space="0" w:color="auto"/>
            </w:tcBorders>
            <w:shd w:val="clear" w:color="auto" w:fill="FFE599" w:themeFill="accent4" w:themeFillTint="66"/>
            <w:vAlign w:val="center"/>
          </w:tcPr>
          <w:p w:rsidR="008D7CFC" w:rsidRPr="005244BC" w:rsidRDefault="008D7CFC" w:rsidP="007062AE">
            <w:pPr>
              <w:spacing w:after="0" w:line="240" w:lineRule="auto"/>
              <w:jc w:val="center"/>
              <w:rPr>
                <w:rFonts w:ascii="Times New Roman" w:hAnsi="Times New Roman"/>
                <w:b/>
                <w:sz w:val="16"/>
                <w:szCs w:val="16"/>
              </w:rPr>
            </w:pPr>
            <w:r w:rsidRPr="000847E6">
              <w:rPr>
                <w:rFonts w:ascii="Times New Roman" w:hAnsi="Times New Roman"/>
                <w:b/>
              </w:rPr>
              <w:t>25</w:t>
            </w:r>
          </w:p>
        </w:tc>
      </w:tr>
      <w:tr w:rsidR="008D7CFC" w:rsidRPr="00AA45E9" w:rsidTr="007062AE">
        <w:trPr>
          <w:jc w:val="center"/>
        </w:trPr>
        <w:tc>
          <w:tcPr>
            <w:tcW w:w="1555" w:type="dxa"/>
            <w:gridSpan w:val="2"/>
            <w:vMerge/>
            <w:shd w:val="clear" w:color="auto" w:fill="BDD6EE"/>
            <w:vAlign w:val="center"/>
          </w:tcPr>
          <w:p w:rsidR="008D7CFC" w:rsidRPr="00AA45E9" w:rsidRDefault="008D7CFC" w:rsidP="007062AE">
            <w:pPr>
              <w:spacing w:after="0" w:line="240" w:lineRule="auto"/>
              <w:jc w:val="center"/>
              <w:rPr>
                <w:rFonts w:ascii="Times New Roman" w:hAnsi="Times New Roman"/>
              </w:rPr>
            </w:pPr>
          </w:p>
        </w:tc>
        <w:tc>
          <w:tcPr>
            <w:tcW w:w="1417" w:type="dxa"/>
            <w:gridSpan w:val="4"/>
            <w:vMerge/>
            <w:vAlign w:val="center"/>
          </w:tcPr>
          <w:p w:rsidR="008D7CFC" w:rsidRPr="00291334" w:rsidRDefault="008D7CFC" w:rsidP="007062AE">
            <w:pPr>
              <w:spacing w:after="0" w:line="240" w:lineRule="auto"/>
              <w:jc w:val="center"/>
              <w:rPr>
                <w:rFonts w:ascii="Times New Roman" w:hAnsi="Times New Roman"/>
                <w:sz w:val="16"/>
                <w:szCs w:val="16"/>
              </w:rPr>
            </w:pPr>
          </w:p>
        </w:tc>
        <w:tc>
          <w:tcPr>
            <w:tcW w:w="6662" w:type="dxa"/>
            <w:vAlign w:val="center"/>
          </w:tcPr>
          <w:p w:rsidR="008D7CFC" w:rsidRPr="00291334" w:rsidRDefault="008D7CFC" w:rsidP="00FA3FAE">
            <w:pPr>
              <w:pStyle w:val="PargrafodaLista"/>
              <w:numPr>
                <w:ilvl w:val="0"/>
                <w:numId w:val="225"/>
              </w:numPr>
              <w:spacing w:after="0" w:line="240" w:lineRule="auto"/>
              <w:ind w:left="313" w:hanging="313"/>
              <w:jc w:val="both"/>
              <w:rPr>
                <w:rFonts w:ascii="Times New Roman" w:hAnsi="Times New Roman"/>
                <w:sz w:val="22"/>
                <w:szCs w:val="22"/>
              </w:rPr>
            </w:pPr>
            <w:r w:rsidRPr="00291334">
              <w:rPr>
                <w:rFonts w:ascii="Times New Roman" w:hAnsi="Times New Roman"/>
                <w:sz w:val="22"/>
                <w:szCs w:val="22"/>
              </w:rPr>
              <w:tab/>
              <w:t>Création de relation sociale</w:t>
            </w:r>
          </w:p>
        </w:tc>
        <w:tc>
          <w:tcPr>
            <w:tcW w:w="1276" w:type="dxa"/>
            <w:vAlign w:val="center"/>
          </w:tcPr>
          <w:p w:rsidR="008D7CFC" w:rsidRPr="00AA45E9" w:rsidRDefault="008D7CFC" w:rsidP="007062AE">
            <w:pPr>
              <w:spacing w:after="0" w:line="240" w:lineRule="auto"/>
              <w:jc w:val="center"/>
              <w:rPr>
                <w:rFonts w:ascii="Times New Roman" w:hAnsi="Times New Roman"/>
                <w:sz w:val="18"/>
                <w:szCs w:val="18"/>
              </w:rPr>
            </w:pPr>
            <w:r w:rsidRPr="000847E6">
              <w:rPr>
                <w:rFonts w:ascii="Times New Roman" w:hAnsi="Times New Roman"/>
              </w:rPr>
              <w:t>Forte</w:t>
            </w:r>
          </w:p>
        </w:tc>
        <w:tc>
          <w:tcPr>
            <w:tcW w:w="284" w:type="dxa"/>
            <w:shd w:val="clear" w:color="auto" w:fill="002060"/>
            <w:vAlign w:val="center"/>
          </w:tcPr>
          <w:p w:rsidR="008D7CFC" w:rsidRPr="00AA45E9" w:rsidRDefault="008D7CFC" w:rsidP="007062AE">
            <w:pPr>
              <w:spacing w:after="0" w:line="240" w:lineRule="auto"/>
              <w:jc w:val="center"/>
              <w:rPr>
                <w:rFonts w:ascii="Times New Roman" w:hAnsi="Times New Roman"/>
                <w:sz w:val="18"/>
                <w:szCs w:val="18"/>
              </w:rPr>
            </w:pPr>
            <w:r w:rsidRPr="000847E6">
              <w:rPr>
                <w:rFonts w:ascii="Times New Roman" w:hAnsi="Times New Roman"/>
                <w:b/>
              </w:rPr>
              <w:t>5</w:t>
            </w:r>
          </w:p>
        </w:tc>
        <w:tc>
          <w:tcPr>
            <w:tcW w:w="1275" w:type="dxa"/>
          </w:tcPr>
          <w:p w:rsidR="008D7CFC" w:rsidRPr="00AA45E9" w:rsidRDefault="008D7CFC" w:rsidP="007062AE">
            <w:pPr>
              <w:spacing w:after="0" w:line="240" w:lineRule="auto"/>
              <w:jc w:val="center"/>
              <w:rPr>
                <w:rFonts w:ascii="Times New Roman" w:hAnsi="Times New Roman"/>
                <w:sz w:val="18"/>
                <w:szCs w:val="18"/>
              </w:rPr>
            </w:pPr>
            <w:r>
              <w:rPr>
                <w:rFonts w:ascii="Times New Roman" w:hAnsi="Times New Roman"/>
                <w:sz w:val="24"/>
                <w:szCs w:val="24"/>
              </w:rPr>
              <w:t>Locale</w:t>
            </w:r>
          </w:p>
        </w:tc>
        <w:tc>
          <w:tcPr>
            <w:tcW w:w="284" w:type="dxa"/>
            <w:shd w:val="clear" w:color="auto" w:fill="002060"/>
          </w:tcPr>
          <w:p w:rsidR="008D7CFC" w:rsidRPr="000847E6" w:rsidRDefault="008D7CFC" w:rsidP="007062AE">
            <w:pPr>
              <w:spacing w:after="0" w:line="240" w:lineRule="auto"/>
              <w:jc w:val="center"/>
              <w:rPr>
                <w:rFonts w:ascii="Times New Roman" w:hAnsi="Times New Roman"/>
                <w:b/>
                <w:sz w:val="18"/>
                <w:szCs w:val="18"/>
              </w:rPr>
            </w:pPr>
            <w:r w:rsidRPr="000847E6">
              <w:rPr>
                <w:rFonts w:ascii="Times New Roman" w:hAnsi="Times New Roman"/>
                <w:b/>
                <w:sz w:val="24"/>
                <w:szCs w:val="24"/>
              </w:rPr>
              <w:t>3</w:t>
            </w:r>
          </w:p>
        </w:tc>
        <w:tc>
          <w:tcPr>
            <w:tcW w:w="1276" w:type="dxa"/>
            <w:tcBorders>
              <w:bottom w:val="single" w:sz="4" w:space="0" w:color="auto"/>
            </w:tcBorders>
          </w:tcPr>
          <w:p w:rsidR="008D7CFC" w:rsidRPr="00AA45E9" w:rsidRDefault="008D7CFC" w:rsidP="007062AE">
            <w:pPr>
              <w:spacing w:after="0" w:line="240" w:lineRule="auto"/>
              <w:jc w:val="center"/>
              <w:rPr>
                <w:rFonts w:ascii="Times New Roman" w:hAnsi="Times New Roman"/>
                <w:sz w:val="18"/>
                <w:szCs w:val="18"/>
              </w:rPr>
            </w:pPr>
            <w:r>
              <w:rPr>
                <w:rFonts w:ascii="Times New Roman" w:hAnsi="Times New Roman"/>
                <w:sz w:val="24"/>
                <w:szCs w:val="24"/>
              </w:rPr>
              <w:t>Moyenne</w:t>
            </w:r>
          </w:p>
        </w:tc>
        <w:tc>
          <w:tcPr>
            <w:tcW w:w="283" w:type="dxa"/>
            <w:shd w:val="clear" w:color="auto" w:fill="002060"/>
          </w:tcPr>
          <w:p w:rsidR="008D7CFC" w:rsidRPr="000847E6" w:rsidRDefault="008D7CFC" w:rsidP="007062AE">
            <w:pPr>
              <w:spacing w:after="0" w:line="240" w:lineRule="auto"/>
              <w:jc w:val="center"/>
              <w:rPr>
                <w:rFonts w:ascii="Times New Roman" w:hAnsi="Times New Roman"/>
                <w:b/>
                <w:sz w:val="18"/>
                <w:szCs w:val="18"/>
              </w:rPr>
            </w:pPr>
            <w:r w:rsidRPr="000847E6">
              <w:rPr>
                <w:rFonts w:ascii="Times New Roman" w:hAnsi="Times New Roman"/>
                <w:b/>
                <w:sz w:val="24"/>
                <w:szCs w:val="24"/>
              </w:rPr>
              <w:t>3</w:t>
            </w:r>
          </w:p>
        </w:tc>
        <w:tc>
          <w:tcPr>
            <w:tcW w:w="1276" w:type="dxa"/>
            <w:tcBorders>
              <w:bottom w:val="single" w:sz="4" w:space="0" w:color="auto"/>
            </w:tcBorders>
            <w:shd w:val="clear" w:color="auto" w:fill="FFE599" w:themeFill="accent4" w:themeFillTint="66"/>
            <w:vAlign w:val="center"/>
          </w:tcPr>
          <w:p w:rsidR="008D7CFC" w:rsidRPr="005244BC" w:rsidRDefault="008D7CFC" w:rsidP="007062AE">
            <w:pPr>
              <w:spacing w:after="0" w:line="240" w:lineRule="auto"/>
              <w:jc w:val="center"/>
              <w:rPr>
                <w:rFonts w:ascii="Times New Roman" w:hAnsi="Times New Roman"/>
                <w:b/>
                <w:sz w:val="16"/>
                <w:szCs w:val="16"/>
              </w:rPr>
            </w:pPr>
            <w:r w:rsidRPr="000847E6">
              <w:rPr>
                <w:rFonts w:ascii="Times New Roman" w:hAnsi="Times New Roman"/>
                <w:b/>
              </w:rPr>
              <w:t>Moyenne</w:t>
            </w:r>
          </w:p>
        </w:tc>
        <w:tc>
          <w:tcPr>
            <w:tcW w:w="709" w:type="dxa"/>
            <w:tcBorders>
              <w:bottom w:val="single" w:sz="4" w:space="0" w:color="auto"/>
            </w:tcBorders>
            <w:shd w:val="clear" w:color="auto" w:fill="FFE599" w:themeFill="accent4" w:themeFillTint="66"/>
            <w:vAlign w:val="center"/>
          </w:tcPr>
          <w:p w:rsidR="008D7CFC" w:rsidRPr="005244BC" w:rsidRDefault="008D7CFC" w:rsidP="007062AE">
            <w:pPr>
              <w:spacing w:after="0" w:line="240" w:lineRule="auto"/>
              <w:jc w:val="center"/>
              <w:rPr>
                <w:rFonts w:ascii="Times New Roman" w:hAnsi="Times New Roman"/>
                <w:b/>
                <w:sz w:val="16"/>
                <w:szCs w:val="16"/>
              </w:rPr>
            </w:pPr>
            <w:r>
              <w:rPr>
                <w:rFonts w:ascii="Times New Roman" w:hAnsi="Times New Roman"/>
                <w:b/>
              </w:rPr>
              <w:t>27</w:t>
            </w:r>
          </w:p>
        </w:tc>
      </w:tr>
      <w:tr w:rsidR="008D7CFC" w:rsidRPr="00291334" w:rsidTr="00C00BA3">
        <w:trPr>
          <w:gridBefore w:val="1"/>
          <w:gridAfter w:val="10"/>
          <w:wBefore w:w="1413" w:type="dxa"/>
          <w:wAfter w:w="14034" w:type="dxa"/>
          <w:trHeight w:val="70"/>
          <w:jc w:val="center"/>
        </w:trPr>
        <w:tc>
          <w:tcPr>
            <w:tcW w:w="236" w:type="dxa"/>
            <w:gridSpan w:val="2"/>
            <w:shd w:val="clear" w:color="auto" w:fill="0D0D0D"/>
            <w:vAlign w:val="center"/>
          </w:tcPr>
          <w:p w:rsidR="008D7CFC" w:rsidRPr="007E5D41" w:rsidRDefault="008D7CFC" w:rsidP="007062AE">
            <w:pPr>
              <w:spacing w:after="0" w:line="240" w:lineRule="auto"/>
              <w:jc w:val="center"/>
              <w:rPr>
                <w:rFonts w:ascii="Times New Roman" w:hAnsi="Times New Roman"/>
                <w:color w:val="FFFFFF"/>
                <w:sz w:val="2"/>
                <w:szCs w:val="2"/>
              </w:rPr>
            </w:pPr>
            <w:r w:rsidRPr="007E5D41">
              <w:rPr>
                <w:rFonts w:ascii="Times New Roman" w:hAnsi="Times New Roman"/>
                <w:color w:val="FFFFFF"/>
                <w:sz w:val="2"/>
                <w:szCs w:val="2"/>
              </w:rPr>
              <w:t>3</w:t>
            </w:r>
          </w:p>
          <w:p w:rsidR="008D7CFC" w:rsidRPr="007E5D41" w:rsidRDefault="008D7CFC" w:rsidP="007062AE">
            <w:pPr>
              <w:spacing w:after="0" w:line="240" w:lineRule="auto"/>
              <w:jc w:val="center"/>
              <w:rPr>
                <w:rFonts w:ascii="Times New Roman" w:hAnsi="Times New Roman"/>
                <w:color w:val="FFFFFF"/>
                <w:sz w:val="2"/>
                <w:szCs w:val="2"/>
              </w:rPr>
            </w:pPr>
          </w:p>
        </w:tc>
        <w:tc>
          <w:tcPr>
            <w:tcW w:w="614" w:type="dxa"/>
            <w:gridSpan w:val="2"/>
            <w:shd w:val="clear" w:color="auto" w:fill="0D0D0D"/>
            <w:vAlign w:val="center"/>
          </w:tcPr>
          <w:p w:rsidR="008D7CFC" w:rsidRPr="00291334" w:rsidRDefault="008D7CFC" w:rsidP="007062AE">
            <w:pPr>
              <w:spacing w:after="0" w:line="240" w:lineRule="auto"/>
              <w:jc w:val="center"/>
              <w:rPr>
                <w:rFonts w:ascii="Times New Roman" w:hAnsi="Times New Roman"/>
                <w:b/>
                <w:sz w:val="16"/>
                <w:szCs w:val="16"/>
              </w:rPr>
            </w:pPr>
          </w:p>
        </w:tc>
      </w:tr>
      <w:tr w:rsidR="008D7CFC" w:rsidRPr="00AA45E9" w:rsidTr="007062AE">
        <w:trPr>
          <w:jc w:val="center"/>
        </w:trPr>
        <w:tc>
          <w:tcPr>
            <w:tcW w:w="1555" w:type="dxa"/>
            <w:gridSpan w:val="2"/>
            <w:vMerge w:val="restart"/>
            <w:shd w:val="clear" w:color="auto" w:fill="BDD6EE"/>
            <w:vAlign w:val="center"/>
          </w:tcPr>
          <w:p w:rsidR="008D7CFC" w:rsidRPr="00AA45E9" w:rsidRDefault="008D7CFC" w:rsidP="007062AE">
            <w:pPr>
              <w:spacing w:after="0" w:line="240" w:lineRule="auto"/>
              <w:jc w:val="center"/>
              <w:rPr>
                <w:rFonts w:ascii="Times New Roman" w:eastAsia="MS Gothic" w:hAnsi="Times New Roman"/>
                <w:b/>
                <w:sz w:val="20"/>
                <w:szCs w:val="20"/>
              </w:rPr>
            </w:pPr>
            <w:r w:rsidRPr="00AA45E9">
              <w:rPr>
                <w:rFonts w:ascii="Times New Roman" w:eastAsia="MS Gothic" w:hAnsi="Times New Roman"/>
                <w:b/>
                <w:sz w:val="20"/>
                <w:szCs w:val="20"/>
              </w:rPr>
              <w:t>Exploitation</w:t>
            </w:r>
          </w:p>
        </w:tc>
        <w:tc>
          <w:tcPr>
            <w:tcW w:w="1417" w:type="dxa"/>
            <w:gridSpan w:val="4"/>
            <w:vAlign w:val="center"/>
          </w:tcPr>
          <w:p w:rsidR="008D7CFC" w:rsidRPr="00291334" w:rsidRDefault="008D7CFC" w:rsidP="007062AE">
            <w:pPr>
              <w:spacing w:after="0" w:line="240" w:lineRule="auto"/>
              <w:jc w:val="center"/>
              <w:rPr>
                <w:rFonts w:ascii="Times New Roman" w:hAnsi="Times New Roman"/>
                <w:b/>
                <w:sz w:val="16"/>
                <w:szCs w:val="16"/>
              </w:rPr>
            </w:pPr>
            <w:r w:rsidRPr="00291334">
              <w:rPr>
                <w:rFonts w:ascii="Times New Roman" w:hAnsi="Times New Roman"/>
                <w:b/>
                <w:sz w:val="16"/>
                <w:szCs w:val="16"/>
              </w:rPr>
              <w:t>PAYSAGE</w:t>
            </w:r>
          </w:p>
        </w:tc>
        <w:tc>
          <w:tcPr>
            <w:tcW w:w="6662" w:type="dxa"/>
            <w:vAlign w:val="center"/>
          </w:tcPr>
          <w:p w:rsidR="008D7CFC" w:rsidRPr="00291334" w:rsidRDefault="008D7CFC" w:rsidP="00FA3FAE">
            <w:pPr>
              <w:pStyle w:val="PargrafodaLista"/>
              <w:numPr>
                <w:ilvl w:val="0"/>
                <w:numId w:val="225"/>
              </w:numPr>
              <w:spacing w:after="0" w:line="240" w:lineRule="auto"/>
              <w:ind w:left="313" w:hanging="313"/>
              <w:jc w:val="both"/>
              <w:rPr>
                <w:rFonts w:ascii="Times New Roman" w:hAnsi="Times New Roman"/>
                <w:sz w:val="22"/>
                <w:szCs w:val="22"/>
              </w:rPr>
            </w:pPr>
            <w:r w:rsidRPr="00291334">
              <w:rPr>
                <w:rFonts w:ascii="Times New Roman" w:hAnsi="Times New Roman"/>
                <w:sz w:val="22"/>
                <w:szCs w:val="22"/>
              </w:rPr>
              <w:t xml:space="preserve">Création d’une végétation verdoyante avec des arbres d’ornement ou d’ombrage.   </w:t>
            </w:r>
          </w:p>
        </w:tc>
        <w:tc>
          <w:tcPr>
            <w:tcW w:w="1276" w:type="dxa"/>
            <w:vAlign w:val="center"/>
          </w:tcPr>
          <w:p w:rsidR="008D7CFC" w:rsidRPr="00AA45E9" w:rsidRDefault="008D7CFC" w:rsidP="007062AE">
            <w:pPr>
              <w:spacing w:after="0" w:line="240" w:lineRule="auto"/>
              <w:jc w:val="center"/>
              <w:rPr>
                <w:rFonts w:ascii="Times New Roman" w:hAnsi="Times New Roman"/>
                <w:sz w:val="18"/>
                <w:szCs w:val="18"/>
              </w:rPr>
            </w:pPr>
            <w:r>
              <w:rPr>
                <w:rFonts w:ascii="Times New Roman" w:hAnsi="Times New Roman"/>
                <w:sz w:val="24"/>
                <w:szCs w:val="24"/>
              </w:rPr>
              <w:t>Faible</w:t>
            </w:r>
          </w:p>
        </w:tc>
        <w:tc>
          <w:tcPr>
            <w:tcW w:w="284" w:type="dxa"/>
            <w:shd w:val="clear" w:color="auto" w:fill="002060"/>
            <w:vAlign w:val="center"/>
          </w:tcPr>
          <w:p w:rsidR="008D7CFC" w:rsidRPr="00291334" w:rsidRDefault="008D7CFC" w:rsidP="007062AE">
            <w:pPr>
              <w:spacing w:after="0" w:line="240" w:lineRule="auto"/>
              <w:jc w:val="center"/>
              <w:rPr>
                <w:rFonts w:ascii="Times New Roman" w:hAnsi="Times New Roman"/>
                <w:b/>
                <w:sz w:val="18"/>
                <w:szCs w:val="18"/>
              </w:rPr>
            </w:pPr>
            <w:r w:rsidRPr="00291334">
              <w:rPr>
                <w:rFonts w:ascii="Times New Roman" w:hAnsi="Times New Roman"/>
                <w:b/>
                <w:sz w:val="24"/>
                <w:szCs w:val="24"/>
              </w:rPr>
              <w:t>1</w:t>
            </w:r>
          </w:p>
        </w:tc>
        <w:tc>
          <w:tcPr>
            <w:tcW w:w="1275" w:type="dxa"/>
            <w:vAlign w:val="center"/>
          </w:tcPr>
          <w:p w:rsidR="008D7CFC" w:rsidRPr="00AA45E9" w:rsidRDefault="008D7CFC" w:rsidP="007062AE">
            <w:pPr>
              <w:spacing w:after="0" w:line="240" w:lineRule="auto"/>
              <w:jc w:val="center"/>
              <w:rPr>
                <w:rFonts w:ascii="Times New Roman" w:hAnsi="Times New Roman"/>
                <w:sz w:val="18"/>
                <w:szCs w:val="18"/>
              </w:rPr>
            </w:pPr>
            <w:r>
              <w:rPr>
                <w:rFonts w:ascii="Times New Roman" w:hAnsi="Times New Roman"/>
                <w:sz w:val="24"/>
                <w:szCs w:val="24"/>
              </w:rPr>
              <w:t>Ponctuelle</w:t>
            </w:r>
          </w:p>
        </w:tc>
        <w:tc>
          <w:tcPr>
            <w:tcW w:w="284" w:type="dxa"/>
            <w:shd w:val="clear" w:color="auto" w:fill="002060"/>
            <w:vAlign w:val="center"/>
          </w:tcPr>
          <w:p w:rsidR="008D7CFC" w:rsidRPr="00291334" w:rsidRDefault="008D7CFC" w:rsidP="007062AE">
            <w:pPr>
              <w:spacing w:after="0" w:line="240" w:lineRule="auto"/>
              <w:jc w:val="center"/>
              <w:rPr>
                <w:rFonts w:ascii="Times New Roman" w:hAnsi="Times New Roman"/>
                <w:b/>
                <w:sz w:val="18"/>
                <w:szCs w:val="18"/>
              </w:rPr>
            </w:pPr>
            <w:r w:rsidRPr="00291334">
              <w:rPr>
                <w:rFonts w:ascii="Times New Roman" w:hAnsi="Times New Roman"/>
                <w:b/>
                <w:sz w:val="24"/>
                <w:szCs w:val="24"/>
              </w:rPr>
              <w:t>1</w:t>
            </w:r>
          </w:p>
        </w:tc>
        <w:tc>
          <w:tcPr>
            <w:tcW w:w="1276" w:type="dxa"/>
            <w:vAlign w:val="center"/>
          </w:tcPr>
          <w:p w:rsidR="008D7CFC" w:rsidRPr="00AA45E9" w:rsidRDefault="008D7CFC" w:rsidP="007062AE">
            <w:pPr>
              <w:spacing w:after="0" w:line="240" w:lineRule="auto"/>
              <w:jc w:val="center"/>
              <w:rPr>
                <w:rFonts w:ascii="Times New Roman" w:hAnsi="Times New Roman"/>
                <w:sz w:val="18"/>
                <w:szCs w:val="18"/>
              </w:rPr>
            </w:pPr>
            <w:r>
              <w:rPr>
                <w:rFonts w:ascii="Times New Roman" w:hAnsi="Times New Roman"/>
                <w:sz w:val="24"/>
                <w:szCs w:val="24"/>
              </w:rPr>
              <w:t>Longue</w:t>
            </w:r>
          </w:p>
        </w:tc>
        <w:tc>
          <w:tcPr>
            <w:tcW w:w="283" w:type="dxa"/>
            <w:shd w:val="clear" w:color="auto" w:fill="002060"/>
            <w:vAlign w:val="center"/>
          </w:tcPr>
          <w:p w:rsidR="008D7CFC" w:rsidRPr="00291334" w:rsidRDefault="008D7CFC" w:rsidP="007062AE">
            <w:pPr>
              <w:spacing w:after="0" w:line="240" w:lineRule="auto"/>
              <w:jc w:val="center"/>
              <w:rPr>
                <w:rFonts w:ascii="Times New Roman" w:hAnsi="Times New Roman"/>
                <w:b/>
                <w:sz w:val="18"/>
                <w:szCs w:val="18"/>
              </w:rPr>
            </w:pPr>
            <w:r w:rsidRPr="00291334">
              <w:rPr>
                <w:rFonts w:ascii="Times New Roman" w:hAnsi="Times New Roman"/>
                <w:b/>
                <w:sz w:val="24"/>
                <w:szCs w:val="24"/>
              </w:rPr>
              <w:t>5</w:t>
            </w:r>
          </w:p>
        </w:tc>
        <w:tc>
          <w:tcPr>
            <w:tcW w:w="1276" w:type="dxa"/>
            <w:shd w:val="clear" w:color="auto" w:fill="F7CAAC" w:themeFill="accent2" w:themeFillTint="66"/>
            <w:vAlign w:val="center"/>
          </w:tcPr>
          <w:p w:rsidR="008D7CFC" w:rsidRPr="005244BC" w:rsidRDefault="008D7CFC" w:rsidP="007062AE">
            <w:pPr>
              <w:spacing w:after="0" w:line="240" w:lineRule="auto"/>
              <w:jc w:val="center"/>
              <w:rPr>
                <w:rFonts w:ascii="Times New Roman" w:hAnsi="Times New Roman"/>
                <w:b/>
                <w:sz w:val="16"/>
                <w:szCs w:val="16"/>
              </w:rPr>
            </w:pPr>
            <w:r>
              <w:rPr>
                <w:rFonts w:ascii="Times New Roman" w:hAnsi="Times New Roman"/>
                <w:b/>
                <w:sz w:val="24"/>
                <w:szCs w:val="24"/>
              </w:rPr>
              <w:t>Mineure</w:t>
            </w:r>
          </w:p>
        </w:tc>
        <w:tc>
          <w:tcPr>
            <w:tcW w:w="709" w:type="dxa"/>
            <w:shd w:val="clear" w:color="auto" w:fill="F7CAAC" w:themeFill="accent2" w:themeFillTint="66"/>
            <w:vAlign w:val="center"/>
          </w:tcPr>
          <w:p w:rsidR="008D7CFC" w:rsidRPr="005244BC" w:rsidRDefault="008D7CFC" w:rsidP="007062AE">
            <w:pPr>
              <w:spacing w:after="0" w:line="240" w:lineRule="auto"/>
              <w:jc w:val="center"/>
              <w:rPr>
                <w:rFonts w:ascii="Times New Roman" w:hAnsi="Times New Roman"/>
                <w:b/>
                <w:sz w:val="16"/>
                <w:szCs w:val="16"/>
              </w:rPr>
            </w:pPr>
            <w:r w:rsidRPr="008E6D9C">
              <w:rPr>
                <w:rFonts w:ascii="Times New Roman" w:hAnsi="Times New Roman"/>
                <w:b/>
                <w:sz w:val="24"/>
                <w:szCs w:val="24"/>
              </w:rPr>
              <w:t>5</w:t>
            </w:r>
          </w:p>
        </w:tc>
      </w:tr>
      <w:tr w:rsidR="008D7CFC" w:rsidRPr="00AA45E9" w:rsidTr="007062AE">
        <w:trPr>
          <w:jc w:val="center"/>
        </w:trPr>
        <w:tc>
          <w:tcPr>
            <w:tcW w:w="1555" w:type="dxa"/>
            <w:gridSpan w:val="2"/>
            <w:vMerge/>
            <w:shd w:val="clear" w:color="auto" w:fill="BDD6EE"/>
          </w:tcPr>
          <w:p w:rsidR="008D7CFC" w:rsidRPr="00AA45E9" w:rsidRDefault="008D7CFC" w:rsidP="007062AE">
            <w:pPr>
              <w:spacing w:after="0" w:line="240" w:lineRule="auto"/>
              <w:jc w:val="both"/>
              <w:rPr>
                <w:rFonts w:ascii="Times New Roman" w:hAnsi="Times New Roman"/>
              </w:rPr>
            </w:pPr>
          </w:p>
        </w:tc>
        <w:tc>
          <w:tcPr>
            <w:tcW w:w="1417" w:type="dxa"/>
            <w:gridSpan w:val="4"/>
            <w:vAlign w:val="center"/>
          </w:tcPr>
          <w:p w:rsidR="008D7CFC" w:rsidRPr="00291334" w:rsidRDefault="008D7CFC" w:rsidP="007062AE">
            <w:pPr>
              <w:spacing w:after="0" w:line="240" w:lineRule="auto"/>
              <w:jc w:val="center"/>
              <w:rPr>
                <w:rFonts w:ascii="Times New Roman" w:hAnsi="Times New Roman"/>
                <w:b/>
                <w:sz w:val="16"/>
                <w:szCs w:val="16"/>
              </w:rPr>
            </w:pPr>
            <w:r w:rsidRPr="00291334">
              <w:rPr>
                <w:rFonts w:ascii="Times New Roman" w:hAnsi="Times New Roman"/>
                <w:b/>
                <w:sz w:val="16"/>
                <w:szCs w:val="16"/>
              </w:rPr>
              <w:t>EAUX</w:t>
            </w:r>
          </w:p>
        </w:tc>
        <w:tc>
          <w:tcPr>
            <w:tcW w:w="6662" w:type="dxa"/>
            <w:vAlign w:val="center"/>
          </w:tcPr>
          <w:p w:rsidR="008D7CFC" w:rsidRPr="00291334" w:rsidRDefault="008D7CFC" w:rsidP="00FA3FAE">
            <w:pPr>
              <w:pStyle w:val="PargrafodaLista"/>
              <w:numPr>
                <w:ilvl w:val="0"/>
                <w:numId w:val="225"/>
              </w:numPr>
              <w:spacing w:after="0" w:line="240" w:lineRule="auto"/>
              <w:ind w:left="313" w:hanging="313"/>
              <w:jc w:val="both"/>
              <w:rPr>
                <w:rFonts w:ascii="Times New Roman" w:hAnsi="Times New Roman"/>
                <w:sz w:val="22"/>
                <w:szCs w:val="22"/>
              </w:rPr>
            </w:pPr>
            <w:r w:rsidRPr="00291334">
              <w:rPr>
                <w:rFonts w:ascii="Times New Roman" w:hAnsi="Times New Roman"/>
                <w:sz w:val="22"/>
                <w:szCs w:val="22"/>
              </w:rPr>
              <w:t>Maintenir le ruissellement à l’exutoire.</w:t>
            </w:r>
          </w:p>
        </w:tc>
        <w:tc>
          <w:tcPr>
            <w:tcW w:w="1276" w:type="dxa"/>
            <w:vAlign w:val="center"/>
          </w:tcPr>
          <w:p w:rsidR="008D7CFC" w:rsidRPr="00AA45E9" w:rsidRDefault="008D7CFC" w:rsidP="007062AE">
            <w:pPr>
              <w:spacing w:after="0" w:line="240" w:lineRule="auto"/>
              <w:jc w:val="center"/>
              <w:rPr>
                <w:rFonts w:ascii="Times New Roman" w:hAnsi="Times New Roman"/>
                <w:sz w:val="18"/>
                <w:szCs w:val="18"/>
              </w:rPr>
            </w:pPr>
            <w:r>
              <w:rPr>
                <w:rFonts w:ascii="Times New Roman" w:hAnsi="Times New Roman"/>
                <w:sz w:val="24"/>
                <w:szCs w:val="24"/>
              </w:rPr>
              <w:t>Faible</w:t>
            </w:r>
          </w:p>
        </w:tc>
        <w:tc>
          <w:tcPr>
            <w:tcW w:w="284" w:type="dxa"/>
            <w:shd w:val="clear" w:color="auto" w:fill="002060"/>
            <w:vAlign w:val="center"/>
          </w:tcPr>
          <w:p w:rsidR="008D7CFC" w:rsidRPr="00291334" w:rsidRDefault="008D7CFC" w:rsidP="007062AE">
            <w:pPr>
              <w:spacing w:after="0" w:line="240" w:lineRule="auto"/>
              <w:jc w:val="center"/>
              <w:rPr>
                <w:rFonts w:ascii="Times New Roman" w:hAnsi="Times New Roman"/>
                <w:b/>
                <w:sz w:val="18"/>
                <w:szCs w:val="18"/>
              </w:rPr>
            </w:pPr>
            <w:r w:rsidRPr="00291334">
              <w:rPr>
                <w:rFonts w:ascii="Times New Roman" w:hAnsi="Times New Roman"/>
                <w:b/>
                <w:sz w:val="24"/>
                <w:szCs w:val="24"/>
              </w:rPr>
              <w:t>1</w:t>
            </w:r>
          </w:p>
        </w:tc>
        <w:tc>
          <w:tcPr>
            <w:tcW w:w="1275" w:type="dxa"/>
            <w:vAlign w:val="center"/>
          </w:tcPr>
          <w:p w:rsidR="008D7CFC" w:rsidRPr="00AA45E9" w:rsidRDefault="008D7CFC" w:rsidP="007062AE">
            <w:pPr>
              <w:spacing w:after="0" w:line="240" w:lineRule="auto"/>
              <w:jc w:val="center"/>
              <w:rPr>
                <w:rFonts w:ascii="Times New Roman" w:hAnsi="Times New Roman"/>
                <w:sz w:val="18"/>
                <w:szCs w:val="18"/>
              </w:rPr>
            </w:pPr>
            <w:r>
              <w:rPr>
                <w:rFonts w:ascii="Times New Roman" w:hAnsi="Times New Roman"/>
                <w:sz w:val="24"/>
                <w:szCs w:val="24"/>
              </w:rPr>
              <w:t>Ponctuelle</w:t>
            </w:r>
          </w:p>
        </w:tc>
        <w:tc>
          <w:tcPr>
            <w:tcW w:w="284" w:type="dxa"/>
            <w:shd w:val="clear" w:color="auto" w:fill="002060"/>
            <w:vAlign w:val="center"/>
          </w:tcPr>
          <w:p w:rsidR="008D7CFC" w:rsidRPr="00291334" w:rsidRDefault="008D7CFC" w:rsidP="007062AE">
            <w:pPr>
              <w:spacing w:after="0" w:line="240" w:lineRule="auto"/>
              <w:jc w:val="center"/>
              <w:rPr>
                <w:rFonts w:ascii="Times New Roman" w:hAnsi="Times New Roman"/>
                <w:b/>
                <w:sz w:val="18"/>
                <w:szCs w:val="18"/>
              </w:rPr>
            </w:pPr>
            <w:r w:rsidRPr="00291334">
              <w:rPr>
                <w:rFonts w:ascii="Times New Roman" w:hAnsi="Times New Roman"/>
                <w:b/>
                <w:sz w:val="24"/>
                <w:szCs w:val="24"/>
              </w:rPr>
              <w:t>1</w:t>
            </w:r>
          </w:p>
        </w:tc>
        <w:tc>
          <w:tcPr>
            <w:tcW w:w="1276" w:type="dxa"/>
            <w:vAlign w:val="center"/>
          </w:tcPr>
          <w:p w:rsidR="008D7CFC" w:rsidRPr="00AA45E9" w:rsidRDefault="008D7CFC" w:rsidP="007062AE">
            <w:pPr>
              <w:spacing w:after="0" w:line="240" w:lineRule="auto"/>
              <w:jc w:val="center"/>
              <w:rPr>
                <w:rFonts w:ascii="Times New Roman" w:hAnsi="Times New Roman"/>
                <w:sz w:val="18"/>
                <w:szCs w:val="18"/>
              </w:rPr>
            </w:pPr>
            <w:r>
              <w:rPr>
                <w:rFonts w:ascii="Times New Roman" w:hAnsi="Times New Roman"/>
                <w:sz w:val="24"/>
                <w:szCs w:val="24"/>
              </w:rPr>
              <w:t>Longue</w:t>
            </w:r>
          </w:p>
        </w:tc>
        <w:tc>
          <w:tcPr>
            <w:tcW w:w="283" w:type="dxa"/>
            <w:shd w:val="clear" w:color="auto" w:fill="002060"/>
            <w:vAlign w:val="center"/>
          </w:tcPr>
          <w:p w:rsidR="008D7CFC" w:rsidRPr="00291334" w:rsidRDefault="008D7CFC" w:rsidP="007062AE">
            <w:pPr>
              <w:spacing w:after="0" w:line="240" w:lineRule="auto"/>
              <w:jc w:val="center"/>
              <w:rPr>
                <w:rFonts w:ascii="Times New Roman" w:hAnsi="Times New Roman"/>
                <w:b/>
                <w:sz w:val="18"/>
                <w:szCs w:val="18"/>
              </w:rPr>
            </w:pPr>
            <w:r w:rsidRPr="00291334">
              <w:rPr>
                <w:rFonts w:ascii="Times New Roman" w:hAnsi="Times New Roman"/>
                <w:b/>
                <w:sz w:val="24"/>
                <w:szCs w:val="24"/>
              </w:rPr>
              <w:t>5</w:t>
            </w:r>
          </w:p>
        </w:tc>
        <w:tc>
          <w:tcPr>
            <w:tcW w:w="1276" w:type="dxa"/>
            <w:shd w:val="clear" w:color="auto" w:fill="F7CAAC" w:themeFill="accent2" w:themeFillTint="66"/>
            <w:vAlign w:val="center"/>
          </w:tcPr>
          <w:p w:rsidR="008D7CFC" w:rsidRPr="005244BC" w:rsidRDefault="008D7CFC" w:rsidP="007062AE">
            <w:pPr>
              <w:spacing w:after="0" w:line="240" w:lineRule="auto"/>
              <w:jc w:val="center"/>
              <w:rPr>
                <w:rFonts w:ascii="Times New Roman" w:hAnsi="Times New Roman"/>
                <w:b/>
                <w:sz w:val="16"/>
                <w:szCs w:val="16"/>
              </w:rPr>
            </w:pPr>
            <w:r>
              <w:rPr>
                <w:rFonts w:ascii="Times New Roman" w:hAnsi="Times New Roman"/>
                <w:b/>
                <w:sz w:val="24"/>
                <w:szCs w:val="24"/>
              </w:rPr>
              <w:t>Mineure</w:t>
            </w:r>
          </w:p>
        </w:tc>
        <w:tc>
          <w:tcPr>
            <w:tcW w:w="709" w:type="dxa"/>
            <w:shd w:val="clear" w:color="auto" w:fill="F7CAAC" w:themeFill="accent2" w:themeFillTint="66"/>
            <w:vAlign w:val="center"/>
          </w:tcPr>
          <w:p w:rsidR="008D7CFC" w:rsidRPr="005244BC" w:rsidRDefault="008D7CFC" w:rsidP="007062AE">
            <w:pPr>
              <w:spacing w:after="0" w:line="240" w:lineRule="auto"/>
              <w:jc w:val="center"/>
              <w:rPr>
                <w:rFonts w:ascii="Times New Roman" w:hAnsi="Times New Roman"/>
                <w:b/>
                <w:sz w:val="16"/>
                <w:szCs w:val="16"/>
              </w:rPr>
            </w:pPr>
            <w:r w:rsidRPr="008E6D9C">
              <w:rPr>
                <w:rFonts w:ascii="Times New Roman" w:hAnsi="Times New Roman"/>
                <w:b/>
                <w:sz w:val="24"/>
                <w:szCs w:val="24"/>
              </w:rPr>
              <w:t>5</w:t>
            </w:r>
          </w:p>
        </w:tc>
      </w:tr>
      <w:tr w:rsidR="008D7CFC" w:rsidRPr="00AA45E9" w:rsidTr="007062AE">
        <w:trPr>
          <w:jc w:val="center"/>
        </w:trPr>
        <w:tc>
          <w:tcPr>
            <w:tcW w:w="1555" w:type="dxa"/>
            <w:gridSpan w:val="2"/>
            <w:vMerge/>
            <w:shd w:val="clear" w:color="auto" w:fill="BDD6EE"/>
          </w:tcPr>
          <w:p w:rsidR="008D7CFC" w:rsidRPr="00AA45E9" w:rsidRDefault="008D7CFC" w:rsidP="007062AE">
            <w:pPr>
              <w:spacing w:after="0" w:line="240" w:lineRule="auto"/>
              <w:jc w:val="both"/>
              <w:rPr>
                <w:rFonts w:ascii="Times New Roman" w:hAnsi="Times New Roman"/>
              </w:rPr>
            </w:pPr>
          </w:p>
        </w:tc>
        <w:tc>
          <w:tcPr>
            <w:tcW w:w="1417" w:type="dxa"/>
            <w:gridSpan w:val="4"/>
            <w:vMerge w:val="restart"/>
            <w:vAlign w:val="center"/>
          </w:tcPr>
          <w:p w:rsidR="008D7CFC" w:rsidRPr="00291334" w:rsidRDefault="008D7CFC" w:rsidP="007062AE">
            <w:pPr>
              <w:spacing w:after="0" w:line="240" w:lineRule="auto"/>
              <w:jc w:val="center"/>
              <w:rPr>
                <w:rFonts w:ascii="Times New Roman" w:hAnsi="Times New Roman"/>
                <w:b/>
                <w:sz w:val="16"/>
                <w:szCs w:val="16"/>
              </w:rPr>
            </w:pPr>
            <w:r w:rsidRPr="00291334">
              <w:rPr>
                <w:rFonts w:ascii="Times New Roman" w:eastAsia="MS Gothic" w:hAnsi="Times New Roman"/>
                <w:b/>
                <w:sz w:val="16"/>
                <w:szCs w:val="16"/>
              </w:rPr>
              <w:t>SOCIO-ECONOMIQUE</w:t>
            </w:r>
          </w:p>
        </w:tc>
        <w:tc>
          <w:tcPr>
            <w:tcW w:w="6662" w:type="dxa"/>
            <w:vAlign w:val="center"/>
          </w:tcPr>
          <w:p w:rsidR="008D7CFC" w:rsidRPr="00291334" w:rsidRDefault="008D7CFC" w:rsidP="00FA3FAE">
            <w:pPr>
              <w:pStyle w:val="PargrafodaLista"/>
              <w:numPr>
                <w:ilvl w:val="0"/>
                <w:numId w:val="225"/>
              </w:numPr>
              <w:spacing w:after="0" w:line="240" w:lineRule="auto"/>
              <w:ind w:left="313" w:hanging="313"/>
              <w:jc w:val="both"/>
              <w:rPr>
                <w:rFonts w:ascii="Times New Roman" w:hAnsi="Times New Roman"/>
                <w:sz w:val="22"/>
                <w:szCs w:val="22"/>
              </w:rPr>
            </w:pPr>
            <w:r w:rsidRPr="00291334">
              <w:rPr>
                <w:rFonts w:ascii="Times New Roman" w:hAnsi="Times New Roman"/>
                <w:sz w:val="22"/>
                <w:szCs w:val="22"/>
              </w:rPr>
              <w:t>Atténuations significativement des déficits d’approvisionnement en eau potable.</w:t>
            </w:r>
          </w:p>
        </w:tc>
        <w:tc>
          <w:tcPr>
            <w:tcW w:w="1276" w:type="dxa"/>
            <w:vAlign w:val="center"/>
          </w:tcPr>
          <w:p w:rsidR="008D7CFC" w:rsidRPr="00AA45E9" w:rsidRDefault="008D7CFC" w:rsidP="007062AE">
            <w:pPr>
              <w:spacing w:after="0" w:line="240" w:lineRule="auto"/>
              <w:jc w:val="center"/>
              <w:rPr>
                <w:rFonts w:ascii="Times New Roman" w:hAnsi="Times New Roman"/>
                <w:sz w:val="18"/>
                <w:szCs w:val="18"/>
              </w:rPr>
            </w:pPr>
            <w:r w:rsidRPr="00867483">
              <w:rPr>
                <w:rFonts w:ascii="Times New Roman" w:hAnsi="Times New Roman"/>
                <w:sz w:val="24"/>
                <w:szCs w:val="24"/>
              </w:rPr>
              <w:t>Forte</w:t>
            </w:r>
          </w:p>
        </w:tc>
        <w:tc>
          <w:tcPr>
            <w:tcW w:w="284" w:type="dxa"/>
            <w:shd w:val="clear" w:color="auto" w:fill="002060"/>
            <w:vAlign w:val="center"/>
          </w:tcPr>
          <w:p w:rsidR="008D7CFC" w:rsidRPr="00291334" w:rsidRDefault="008D7CFC" w:rsidP="007062AE">
            <w:pPr>
              <w:spacing w:after="0" w:line="240" w:lineRule="auto"/>
              <w:jc w:val="center"/>
              <w:rPr>
                <w:rFonts w:ascii="Times New Roman" w:hAnsi="Times New Roman"/>
                <w:b/>
                <w:sz w:val="18"/>
                <w:szCs w:val="18"/>
              </w:rPr>
            </w:pPr>
            <w:r w:rsidRPr="00291334">
              <w:rPr>
                <w:rFonts w:ascii="Times New Roman" w:hAnsi="Times New Roman"/>
                <w:b/>
                <w:sz w:val="24"/>
                <w:szCs w:val="24"/>
              </w:rPr>
              <w:t>5</w:t>
            </w:r>
          </w:p>
        </w:tc>
        <w:tc>
          <w:tcPr>
            <w:tcW w:w="1275" w:type="dxa"/>
            <w:vAlign w:val="center"/>
          </w:tcPr>
          <w:p w:rsidR="008D7CFC" w:rsidRPr="00AA45E9" w:rsidRDefault="008D7CFC" w:rsidP="007062AE">
            <w:pPr>
              <w:spacing w:after="0" w:line="240" w:lineRule="auto"/>
              <w:jc w:val="center"/>
              <w:rPr>
                <w:rFonts w:ascii="Times New Roman" w:hAnsi="Times New Roman"/>
                <w:sz w:val="18"/>
                <w:szCs w:val="18"/>
              </w:rPr>
            </w:pPr>
            <w:r>
              <w:rPr>
                <w:rFonts w:ascii="Times New Roman" w:hAnsi="Times New Roman"/>
                <w:sz w:val="24"/>
                <w:szCs w:val="24"/>
              </w:rPr>
              <w:t>Locale</w:t>
            </w:r>
          </w:p>
        </w:tc>
        <w:tc>
          <w:tcPr>
            <w:tcW w:w="284" w:type="dxa"/>
            <w:shd w:val="clear" w:color="auto" w:fill="002060"/>
            <w:vAlign w:val="center"/>
          </w:tcPr>
          <w:p w:rsidR="008D7CFC" w:rsidRPr="00291334" w:rsidRDefault="008D7CFC" w:rsidP="007062AE">
            <w:pPr>
              <w:spacing w:after="0" w:line="240" w:lineRule="auto"/>
              <w:jc w:val="center"/>
              <w:rPr>
                <w:rFonts w:ascii="Times New Roman" w:hAnsi="Times New Roman"/>
                <w:b/>
                <w:sz w:val="18"/>
                <w:szCs w:val="18"/>
              </w:rPr>
            </w:pPr>
            <w:r w:rsidRPr="00291334">
              <w:rPr>
                <w:rFonts w:ascii="Times New Roman" w:hAnsi="Times New Roman"/>
                <w:b/>
                <w:sz w:val="24"/>
                <w:szCs w:val="24"/>
              </w:rPr>
              <w:t>3</w:t>
            </w:r>
          </w:p>
        </w:tc>
        <w:tc>
          <w:tcPr>
            <w:tcW w:w="1276" w:type="dxa"/>
            <w:vAlign w:val="center"/>
          </w:tcPr>
          <w:p w:rsidR="008D7CFC" w:rsidRPr="00AA45E9" w:rsidRDefault="008D7CFC" w:rsidP="007062AE">
            <w:pPr>
              <w:spacing w:after="0" w:line="240" w:lineRule="auto"/>
              <w:jc w:val="center"/>
              <w:rPr>
                <w:rFonts w:ascii="Times New Roman" w:hAnsi="Times New Roman"/>
                <w:sz w:val="18"/>
                <w:szCs w:val="18"/>
              </w:rPr>
            </w:pPr>
            <w:r>
              <w:rPr>
                <w:rFonts w:ascii="Times New Roman" w:hAnsi="Times New Roman"/>
                <w:sz w:val="24"/>
                <w:szCs w:val="24"/>
              </w:rPr>
              <w:t>Longue</w:t>
            </w:r>
          </w:p>
        </w:tc>
        <w:tc>
          <w:tcPr>
            <w:tcW w:w="283" w:type="dxa"/>
            <w:shd w:val="clear" w:color="auto" w:fill="002060"/>
            <w:vAlign w:val="center"/>
          </w:tcPr>
          <w:p w:rsidR="008D7CFC" w:rsidRPr="00291334" w:rsidRDefault="008D7CFC" w:rsidP="007062AE">
            <w:pPr>
              <w:spacing w:after="0" w:line="240" w:lineRule="auto"/>
              <w:jc w:val="center"/>
              <w:rPr>
                <w:rFonts w:ascii="Times New Roman" w:hAnsi="Times New Roman"/>
                <w:b/>
                <w:sz w:val="18"/>
                <w:szCs w:val="18"/>
              </w:rPr>
            </w:pPr>
            <w:r w:rsidRPr="00291334">
              <w:rPr>
                <w:rFonts w:ascii="Times New Roman" w:hAnsi="Times New Roman"/>
                <w:b/>
                <w:sz w:val="24"/>
                <w:szCs w:val="24"/>
              </w:rPr>
              <w:t>5</w:t>
            </w:r>
          </w:p>
        </w:tc>
        <w:tc>
          <w:tcPr>
            <w:tcW w:w="1276" w:type="dxa"/>
            <w:shd w:val="clear" w:color="auto" w:fill="92D050"/>
            <w:vAlign w:val="center"/>
          </w:tcPr>
          <w:p w:rsidR="008D7CFC" w:rsidRPr="005244BC" w:rsidRDefault="008D7CFC" w:rsidP="007062AE">
            <w:pPr>
              <w:spacing w:after="0" w:line="240" w:lineRule="auto"/>
              <w:jc w:val="center"/>
              <w:rPr>
                <w:rFonts w:ascii="Times New Roman" w:hAnsi="Times New Roman"/>
                <w:b/>
                <w:sz w:val="16"/>
                <w:szCs w:val="16"/>
              </w:rPr>
            </w:pPr>
            <w:r>
              <w:rPr>
                <w:rFonts w:ascii="Times New Roman" w:hAnsi="Times New Roman"/>
                <w:b/>
                <w:sz w:val="24"/>
                <w:szCs w:val="24"/>
              </w:rPr>
              <w:t>Majeure</w:t>
            </w:r>
          </w:p>
        </w:tc>
        <w:tc>
          <w:tcPr>
            <w:tcW w:w="709" w:type="dxa"/>
            <w:shd w:val="clear" w:color="auto" w:fill="92D050"/>
            <w:vAlign w:val="center"/>
          </w:tcPr>
          <w:p w:rsidR="008D7CFC" w:rsidRPr="005244BC" w:rsidRDefault="008D7CFC" w:rsidP="007062AE">
            <w:pPr>
              <w:spacing w:after="0" w:line="240" w:lineRule="auto"/>
              <w:jc w:val="center"/>
              <w:rPr>
                <w:rFonts w:ascii="Times New Roman" w:hAnsi="Times New Roman"/>
                <w:b/>
                <w:sz w:val="16"/>
                <w:szCs w:val="16"/>
              </w:rPr>
            </w:pPr>
            <w:r>
              <w:rPr>
                <w:rFonts w:ascii="Times New Roman" w:hAnsi="Times New Roman"/>
                <w:b/>
                <w:sz w:val="24"/>
                <w:szCs w:val="24"/>
              </w:rPr>
              <w:t>7</w:t>
            </w:r>
            <w:r w:rsidRPr="008E6D9C">
              <w:rPr>
                <w:rFonts w:ascii="Times New Roman" w:hAnsi="Times New Roman"/>
                <w:b/>
                <w:sz w:val="24"/>
                <w:szCs w:val="24"/>
              </w:rPr>
              <w:t>5</w:t>
            </w:r>
          </w:p>
        </w:tc>
      </w:tr>
      <w:tr w:rsidR="008D7CFC" w:rsidRPr="00AA45E9" w:rsidTr="007062AE">
        <w:trPr>
          <w:jc w:val="center"/>
        </w:trPr>
        <w:tc>
          <w:tcPr>
            <w:tcW w:w="1555" w:type="dxa"/>
            <w:gridSpan w:val="2"/>
            <w:vMerge/>
            <w:shd w:val="clear" w:color="auto" w:fill="BDD6EE"/>
          </w:tcPr>
          <w:p w:rsidR="008D7CFC" w:rsidRPr="00AA45E9" w:rsidRDefault="008D7CFC" w:rsidP="007062AE">
            <w:pPr>
              <w:spacing w:after="0" w:line="240" w:lineRule="auto"/>
              <w:jc w:val="both"/>
              <w:rPr>
                <w:rFonts w:ascii="Times New Roman" w:hAnsi="Times New Roman"/>
              </w:rPr>
            </w:pPr>
          </w:p>
        </w:tc>
        <w:tc>
          <w:tcPr>
            <w:tcW w:w="1417" w:type="dxa"/>
            <w:gridSpan w:val="4"/>
            <w:vMerge/>
          </w:tcPr>
          <w:p w:rsidR="008D7CFC" w:rsidRPr="00AA45E9" w:rsidRDefault="008D7CFC" w:rsidP="007062AE">
            <w:pPr>
              <w:spacing w:after="0" w:line="240" w:lineRule="auto"/>
              <w:jc w:val="both"/>
              <w:rPr>
                <w:rFonts w:ascii="Times New Roman" w:hAnsi="Times New Roman"/>
                <w:b/>
              </w:rPr>
            </w:pPr>
          </w:p>
        </w:tc>
        <w:tc>
          <w:tcPr>
            <w:tcW w:w="6662" w:type="dxa"/>
            <w:vAlign w:val="center"/>
          </w:tcPr>
          <w:p w:rsidR="008D7CFC" w:rsidRPr="00291334" w:rsidRDefault="008D7CFC" w:rsidP="00FA3FAE">
            <w:pPr>
              <w:pStyle w:val="PargrafodaLista"/>
              <w:numPr>
                <w:ilvl w:val="0"/>
                <w:numId w:val="225"/>
              </w:numPr>
              <w:spacing w:after="0" w:line="240" w:lineRule="auto"/>
              <w:ind w:left="313" w:hanging="313"/>
              <w:jc w:val="both"/>
              <w:rPr>
                <w:rFonts w:ascii="Times New Roman" w:hAnsi="Times New Roman"/>
                <w:sz w:val="22"/>
                <w:szCs w:val="22"/>
              </w:rPr>
            </w:pPr>
            <w:r w:rsidRPr="00291334">
              <w:rPr>
                <w:rFonts w:ascii="Times New Roman" w:hAnsi="Times New Roman"/>
                <w:sz w:val="22"/>
                <w:szCs w:val="22"/>
              </w:rPr>
              <w:t>Réduction de la prévalence des maladies d’origines hydriques</w:t>
            </w:r>
          </w:p>
        </w:tc>
        <w:tc>
          <w:tcPr>
            <w:tcW w:w="1276" w:type="dxa"/>
            <w:vMerge w:val="restart"/>
            <w:vAlign w:val="center"/>
          </w:tcPr>
          <w:p w:rsidR="008D7CFC" w:rsidRPr="00AA45E9" w:rsidRDefault="008D7CFC" w:rsidP="007062AE">
            <w:pPr>
              <w:spacing w:after="0" w:line="240" w:lineRule="auto"/>
              <w:jc w:val="center"/>
              <w:rPr>
                <w:rFonts w:ascii="Times New Roman" w:hAnsi="Times New Roman"/>
                <w:sz w:val="18"/>
                <w:szCs w:val="18"/>
              </w:rPr>
            </w:pPr>
            <w:r w:rsidRPr="00867483">
              <w:rPr>
                <w:rFonts w:ascii="Times New Roman" w:hAnsi="Times New Roman"/>
                <w:sz w:val="24"/>
                <w:szCs w:val="24"/>
              </w:rPr>
              <w:t>Forte</w:t>
            </w:r>
          </w:p>
        </w:tc>
        <w:tc>
          <w:tcPr>
            <w:tcW w:w="284" w:type="dxa"/>
            <w:vMerge w:val="restart"/>
            <w:shd w:val="clear" w:color="auto" w:fill="002060"/>
            <w:vAlign w:val="center"/>
          </w:tcPr>
          <w:p w:rsidR="008D7CFC" w:rsidRPr="00291334" w:rsidRDefault="008D7CFC" w:rsidP="007062AE">
            <w:pPr>
              <w:spacing w:after="0" w:line="240" w:lineRule="auto"/>
              <w:jc w:val="center"/>
              <w:rPr>
                <w:rFonts w:ascii="Times New Roman" w:hAnsi="Times New Roman"/>
                <w:b/>
                <w:sz w:val="18"/>
                <w:szCs w:val="18"/>
              </w:rPr>
            </w:pPr>
            <w:r w:rsidRPr="00291334">
              <w:rPr>
                <w:rFonts w:ascii="Times New Roman" w:hAnsi="Times New Roman"/>
                <w:b/>
                <w:sz w:val="24"/>
                <w:szCs w:val="24"/>
              </w:rPr>
              <w:t>5</w:t>
            </w:r>
          </w:p>
        </w:tc>
        <w:tc>
          <w:tcPr>
            <w:tcW w:w="1275" w:type="dxa"/>
            <w:vMerge w:val="restart"/>
            <w:vAlign w:val="center"/>
          </w:tcPr>
          <w:p w:rsidR="008D7CFC" w:rsidRPr="00AA45E9" w:rsidRDefault="008D7CFC" w:rsidP="007062AE">
            <w:pPr>
              <w:spacing w:after="0" w:line="240" w:lineRule="auto"/>
              <w:jc w:val="center"/>
              <w:rPr>
                <w:rFonts w:ascii="Times New Roman" w:hAnsi="Times New Roman"/>
                <w:sz w:val="18"/>
                <w:szCs w:val="18"/>
              </w:rPr>
            </w:pPr>
            <w:r>
              <w:rPr>
                <w:rFonts w:ascii="Times New Roman" w:hAnsi="Times New Roman"/>
                <w:sz w:val="24"/>
                <w:szCs w:val="24"/>
              </w:rPr>
              <w:t>Régionale</w:t>
            </w:r>
          </w:p>
        </w:tc>
        <w:tc>
          <w:tcPr>
            <w:tcW w:w="284" w:type="dxa"/>
            <w:vMerge w:val="restart"/>
            <w:shd w:val="clear" w:color="auto" w:fill="002060"/>
            <w:vAlign w:val="center"/>
          </w:tcPr>
          <w:p w:rsidR="008D7CFC" w:rsidRPr="00291334" w:rsidRDefault="008D7CFC" w:rsidP="007062AE">
            <w:pPr>
              <w:spacing w:after="0" w:line="240" w:lineRule="auto"/>
              <w:jc w:val="center"/>
              <w:rPr>
                <w:rFonts w:ascii="Times New Roman" w:hAnsi="Times New Roman"/>
                <w:b/>
                <w:sz w:val="18"/>
                <w:szCs w:val="18"/>
              </w:rPr>
            </w:pPr>
            <w:r w:rsidRPr="00291334">
              <w:rPr>
                <w:rFonts w:ascii="Times New Roman" w:hAnsi="Times New Roman"/>
                <w:b/>
                <w:sz w:val="24"/>
                <w:szCs w:val="24"/>
              </w:rPr>
              <w:t>5</w:t>
            </w:r>
          </w:p>
        </w:tc>
        <w:tc>
          <w:tcPr>
            <w:tcW w:w="1276" w:type="dxa"/>
            <w:vMerge w:val="restart"/>
            <w:vAlign w:val="center"/>
          </w:tcPr>
          <w:p w:rsidR="008D7CFC" w:rsidRPr="00AA45E9" w:rsidRDefault="008D7CFC" w:rsidP="007062AE">
            <w:pPr>
              <w:spacing w:after="0" w:line="240" w:lineRule="auto"/>
              <w:jc w:val="center"/>
              <w:rPr>
                <w:rFonts w:ascii="Times New Roman" w:hAnsi="Times New Roman"/>
                <w:sz w:val="18"/>
                <w:szCs w:val="18"/>
              </w:rPr>
            </w:pPr>
            <w:r>
              <w:rPr>
                <w:rFonts w:ascii="Times New Roman" w:hAnsi="Times New Roman"/>
                <w:sz w:val="24"/>
                <w:szCs w:val="24"/>
              </w:rPr>
              <w:t>Longue</w:t>
            </w:r>
          </w:p>
        </w:tc>
        <w:tc>
          <w:tcPr>
            <w:tcW w:w="283" w:type="dxa"/>
            <w:vMerge w:val="restart"/>
            <w:shd w:val="clear" w:color="auto" w:fill="002060"/>
            <w:vAlign w:val="center"/>
          </w:tcPr>
          <w:p w:rsidR="008D7CFC" w:rsidRPr="00291334" w:rsidRDefault="008D7CFC" w:rsidP="007062AE">
            <w:pPr>
              <w:spacing w:after="0" w:line="240" w:lineRule="auto"/>
              <w:jc w:val="center"/>
              <w:rPr>
                <w:rFonts w:ascii="Times New Roman" w:hAnsi="Times New Roman"/>
                <w:b/>
                <w:sz w:val="18"/>
                <w:szCs w:val="18"/>
              </w:rPr>
            </w:pPr>
            <w:r w:rsidRPr="00291334">
              <w:rPr>
                <w:rFonts w:ascii="Times New Roman" w:hAnsi="Times New Roman"/>
                <w:b/>
                <w:sz w:val="24"/>
                <w:szCs w:val="24"/>
              </w:rPr>
              <w:t>5</w:t>
            </w:r>
          </w:p>
        </w:tc>
        <w:tc>
          <w:tcPr>
            <w:tcW w:w="1276" w:type="dxa"/>
            <w:vMerge w:val="restart"/>
            <w:shd w:val="clear" w:color="auto" w:fill="92D050"/>
            <w:vAlign w:val="center"/>
          </w:tcPr>
          <w:p w:rsidR="008D7CFC" w:rsidRPr="005244BC" w:rsidRDefault="008D7CFC" w:rsidP="007062AE">
            <w:pPr>
              <w:spacing w:after="0" w:line="240" w:lineRule="auto"/>
              <w:jc w:val="center"/>
              <w:rPr>
                <w:rFonts w:ascii="Times New Roman" w:hAnsi="Times New Roman"/>
                <w:b/>
                <w:sz w:val="16"/>
                <w:szCs w:val="16"/>
              </w:rPr>
            </w:pPr>
            <w:r>
              <w:rPr>
                <w:rFonts w:ascii="Times New Roman" w:hAnsi="Times New Roman"/>
                <w:b/>
                <w:sz w:val="24"/>
                <w:szCs w:val="24"/>
              </w:rPr>
              <w:t>Majeure</w:t>
            </w:r>
          </w:p>
        </w:tc>
        <w:tc>
          <w:tcPr>
            <w:tcW w:w="709" w:type="dxa"/>
            <w:vMerge w:val="restart"/>
            <w:shd w:val="clear" w:color="auto" w:fill="92D050"/>
            <w:vAlign w:val="center"/>
          </w:tcPr>
          <w:p w:rsidR="008D7CFC" w:rsidRPr="005244BC" w:rsidRDefault="008D7CFC" w:rsidP="007062AE">
            <w:pPr>
              <w:spacing w:after="0" w:line="240" w:lineRule="auto"/>
              <w:jc w:val="center"/>
              <w:rPr>
                <w:rFonts w:ascii="Times New Roman" w:hAnsi="Times New Roman"/>
                <w:b/>
                <w:sz w:val="16"/>
                <w:szCs w:val="16"/>
              </w:rPr>
            </w:pPr>
            <w:r>
              <w:rPr>
                <w:rFonts w:ascii="Times New Roman" w:hAnsi="Times New Roman"/>
                <w:b/>
                <w:sz w:val="24"/>
                <w:szCs w:val="24"/>
              </w:rPr>
              <w:t>12</w:t>
            </w:r>
            <w:r w:rsidRPr="008E6D9C">
              <w:rPr>
                <w:rFonts w:ascii="Times New Roman" w:hAnsi="Times New Roman"/>
                <w:b/>
                <w:sz w:val="24"/>
                <w:szCs w:val="24"/>
              </w:rPr>
              <w:t>5</w:t>
            </w:r>
          </w:p>
        </w:tc>
      </w:tr>
      <w:tr w:rsidR="008D7CFC" w:rsidRPr="00AA45E9" w:rsidTr="007062AE">
        <w:trPr>
          <w:jc w:val="center"/>
        </w:trPr>
        <w:tc>
          <w:tcPr>
            <w:tcW w:w="1555" w:type="dxa"/>
            <w:gridSpan w:val="2"/>
            <w:vMerge/>
            <w:shd w:val="clear" w:color="auto" w:fill="BDD6EE"/>
          </w:tcPr>
          <w:p w:rsidR="008D7CFC" w:rsidRPr="00AA45E9" w:rsidRDefault="008D7CFC" w:rsidP="007062AE">
            <w:pPr>
              <w:spacing w:after="0" w:line="240" w:lineRule="auto"/>
              <w:jc w:val="both"/>
              <w:rPr>
                <w:rFonts w:ascii="Times New Roman" w:hAnsi="Times New Roman"/>
              </w:rPr>
            </w:pPr>
          </w:p>
        </w:tc>
        <w:tc>
          <w:tcPr>
            <w:tcW w:w="1417" w:type="dxa"/>
            <w:gridSpan w:val="4"/>
            <w:vMerge/>
          </w:tcPr>
          <w:p w:rsidR="008D7CFC" w:rsidRPr="00AA45E9" w:rsidRDefault="008D7CFC" w:rsidP="007062AE">
            <w:pPr>
              <w:spacing w:after="0" w:line="240" w:lineRule="auto"/>
              <w:jc w:val="both"/>
              <w:rPr>
                <w:rFonts w:ascii="Times New Roman" w:hAnsi="Times New Roman"/>
                <w:b/>
              </w:rPr>
            </w:pPr>
          </w:p>
        </w:tc>
        <w:tc>
          <w:tcPr>
            <w:tcW w:w="6662" w:type="dxa"/>
          </w:tcPr>
          <w:p w:rsidR="008D7CFC" w:rsidRPr="00291334" w:rsidRDefault="008D7CFC" w:rsidP="00FA3FAE">
            <w:pPr>
              <w:pStyle w:val="PargrafodaLista"/>
              <w:numPr>
                <w:ilvl w:val="0"/>
                <w:numId w:val="225"/>
              </w:numPr>
              <w:spacing w:after="0" w:line="240" w:lineRule="auto"/>
              <w:ind w:left="313" w:hanging="313"/>
              <w:jc w:val="both"/>
              <w:rPr>
                <w:rFonts w:ascii="Times New Roman" w:hAnsi="Times New Roman"/>
                <w:sz w:val="22"/>
                <w:szCs w:val="22"/>
              </w:rPr>
            </w:pPr>
            <w:r w:rsidRPr="00291334">
              <w:rPr>
                <w:rFonts w:ascii="Times New Roman" w:hAnsi="Times New Roman"/>
                <w:sz w:val="22"/>
                <w:szCs w:val="22"/>
              </w:rPr>
              <w:t>Réduction des déplacements des populations en quête d’eau potable</w:t>
            </w:r>
          </w:p>
        </w:tc>
        <w:tc>
          <w:tcPr>
            <w:tcW w:w="1276" w:type="dxa"/>
            <w:vMerge/>
            <w:vAlign w:val="center"/>
          </w:tcPr>
          <w:p w:rsidR="008D7CFC" w:rsidRPr="00AA45E9" w:rsidRDefault="008D7CFC" w:rsidP="007062AE">
            <w:pPr>
              <w:spacing w:after="0" w:line="240" w:lineRule="auto"/>
              <w:jc w:val="center"/>
              <w:rPr>
                <w:rFonts w:ascii="Times New Roman" w:hAnsi="Times New Roman"/>
                <w:sz w:val="18"/>
                <w:szCs w:val="18"/>
              </w:rPr>
            </w:pPr>
          </w:p>
        </w:tc>
        <w:tc>
          <w:tcPr>
            <w:tcW w:w="284" w:type="dxa"/>
            <w:vMerge/>
            <w:shd w:val="clear" w:color="auto" w:fill="002060"/>
            <w:vAlign w:val="center"/>
          </w:tcPr>
          <w:p w:rsidR="008D7CFC" w:rsidRPr="00291334" w:rsidRDefault="008D7CFC" w:rsidP="007062AE">
            <w:pPr>
              <w:spacing w:after="0" w:line="240" w:lineRule="auto"/>
              <w:jc w:val="center"/>
              <w:rPr>
                <w:rFonts w:ascii="Times New Roman" w:hAnsi="Times New Roman"/>
                <w:b/>
                <w:sz w:val="18"/>
                <w:szCs w:val="18"/>
              </w:rPr>
            </w:pPr>
          </w:p>
        </w:tc>
        <w:tc>
          <w:tcPr>
            <w:tcW w:w="1275" w:type="dxa"/>
            <w:vMerge/>
            <w:vAlign w:val="center"/>
          </w:tcPr>
          <w:p w:rsidR="008D7CFC" w:rsidRPr="00AA45E9" w:rsidRDefault="008D7CFC" w:rsidP="007062AE">
            <w:pPr>
              <w:spacing w:after="0" w:line="240" w:lineRule="auto"/>
              <w:jc w:val="center"/>
              <w:rPr>
                <w:rFonts w:ascii="Times New Roman" w:hAnsi="Times New Roman"/>
                <w:sz w:val="18"/>
                <w:szCs w:val="18"/>
              </w:rPr>
            </w:pPr>
          </w:p>
        </w:tc>
        <w:tc>
          <w:tcPr>
            <w:tcW w:w="284" w:type="dxa"/>
            <w:vMerge/>
            <w:shd w:val="clear" w:color="auto" w:fill="002060"/>
            <w:vAlign w:val="center"/>
          </w:tcPr>
          <w:p w:rsidR="008D7CFC" w:rsidRPr="00291334" w:rsidRDefault="008D7CFC" w:rsidP="007062AE">
            <w:pPr>
              <w:spacing w:after="0" w:line="240" w:lineRule="auto"/>
              <w:jc w:val="center"/>
              <w:rPr>
                <w:rFonts w:ascii="Times New Roman" w:hAnsi="Times New Roman"/>
                <w:b/>
                <w:sz w:val="18"/>
                <w:szCs w:val="18"/>
              </w:rPr>
            </w:pPr>
          </w:p>
        </w:tc>
        <w:tc>
          <w:tcPr>
            <w:tcW w:w="1276" w:type="dxa"/>
            <w:vMerge/>
            <w:vAlign w:val="center"/>
          </w:tcPr>
          <w:p w:rsidR="008D7CFC" w:rsidRPr="00AA45E9" w:rsidRDefault="008D7CFC" w:rsidP="007062AE">
            <w:pPr>
              <w:spacing w:after="0" w:line="240" w:lineRule="auto"/>
              <w:jc w:val="center"/>
              <w:rPr>
                <w:rFonts w:ascii="Times New Roman" w:hAnsi="Times New Roman"/>
                <w:sz w:val="18"/>
                <w:szCs w:val="18"/>
              </w:rPr>
            </w:pPr>
          </w:p>
        </w:tc>
        <w:tc>
          <w:tcPr>
            <w:tcW w:w="283" w:type="dxa"/>
            <w:vMerge/>
            <w:shd w:val="clear" w:color="auto" w:fill="002060"/>
            <w:vAlign w:val="center"/>
          </w:tcPr>
          <w:p w:rsidR="008D7CFC" w:rsidRPr="00291334" w:rsidRDefault="008D7CFC" w:rsidP="007062AE">
            <w:pPr>
              <w:spacing w:after="0" w:line="240" w:lineRule="auto"/>
              <w:jc w:val="center"/>
              <w:rPr>
                <w:rFonts w:ascii="Times New Roman" w:hAnsi="Times New Roman"/>
                <w:b/>
                <w:sz w:val="18"/>
                <w:szCs w:val="18"/>
              </w:rPr>
            </w:pPr>
          </w:p>
        </w:tc>
        <w:tc>
          <w:tcPr>
            <w:tcW w:w="1276" w:type="dxa"/>
            <w:vMerge/>
            <w:shd w:val="clear" w:color="auto" w:fill="92D050"/>
            <w:vAlign w:val="center"/>
          </w:tcPr>
          <w:p w:rsidR="008D7CFC" w:rsidRPr="005244BC" w:rsidRDefault="008D7CFC" w:rsidP="007062AE">
            <w:pPr>
              <w:spacing w:after="0" w:line="240" w:lineRule="auto"/>
              <w:jc w:val="center"/>
              <w:rPr>
                <w:rFonts w:ascii="Times New Roman" w:hAnsi="Times New Roman"/>
                <w:b/>
                <w:sz w:val="16"/>
                <w:szCs w:val="16"/>
              </w:rPr>
            </w:pPr>
          </w:p>
        </w:tc>
        <w:tc>
          <w:tcPr>
            <w:tcW w:w="709" w:type="dxa"/>
            <w:vMerge/>
            <w:shd w:val="clear" w:color="auto" w:fill="92D050"/>
            <w:vAlign w:val="center"/>
          </w:tcPr>
          <w:p w:rsidR="008D7CFC" w:rsidRPr="005244BC" w:rsidRDefault="008D7CFC" w:rsidP="007062AE">
            <w:pPr>
              <w:spacing w:after="0" w:line="240" w:lineRule="auto"/>
              <w:jc w:val="center"/>
              <w:rPr>
                <w:rFonts w:ascii="Times New Roman" w:hAnsi="Times New Roman"/>
                <w:b/>
                <w:sz w:val="16"/>
                <w:szCs w:val="16"/>
              </w:rPr>
            </w:pPr>
          </w:p>
        </w:tc>
      </w:tr>
      <w:tr w:rsidR="008D7CFC" w:rsidRPr="00AA45E9" w:rsidTr="007062AE">
        <w:trPr>
          <w:jc w:val="center"/>
        </w:trPr>
        <w:tc>
          <w:tcPr>
            <w:tcW w:w="1555" w:type="dxa"/>
            <w:gridSpan w:val="2"/>
            <w:vMerge/>
            <w:shd w:val="clear" w:color="auto" w:fill="BDD6EE"/>
          </w:tcPr>
          <w:p w:rsidR="008D7CFC" w:rsidRPr="00AA45E9" w:rsidRDefault="008D7CFC" w:rsidP="007062AE">
            <w:pPr>
              <w:spacing w:after="0" w:line="240" w:lineRule="auto"/>
              <w:jc w:val="both"/>
              <w:rPr>
                <w:rFonts w:ascii="Times New Roman" w:hAnsi="Times New Roman"/>
              </w:rPr>
            </w:pPr>
          </w:p>
        </w:tc>
        <w:tc>
          <w:tcPr>
            <w:tcW w:w="1417" w:type="dxa"/>
            <w:gridSpan w:val="4"/>
            <w:vMerge/>
          </w:tcPr>
          <w:p w:rsidR="008D7CFC" w:rsidRPr="00AA45E9" w:rsidRDefault="008D7CFC" w:rsidP="007062AE">
            <w:pPr>
              <w:tabs>
                <w:tab w:val="left" w:pos="2193"/>
              </w:tabs>
              <w:spacing w:after="0" w:line="240" w:lineRule="auto"/>
              <w:jc w:val="both"/>
              <w:rPr>
                <w:rFonts w:ascii="Times New Roman" w:hAnsi="Times New Roman"/>
                <w:b/>
                <w:sz w:val="20"/>
                <w:szCs w:val="20"/>
              </w:rPr>
            </w:pPr>
          </w:p>
        </w:tc>
        <w:tc>
          <w:tcPr>
            <w:tcW w:w="6662" w:type="dxa"/>
          </w:tcPr>
          <w:p w:rsidR="008D7CFC" w:rsidRPr="00291334" w:rsidRDefault="008D7CFC" w:rsidP="00FA3FAE">
            <w:pPr>
              <w:pStyle w:val="PargrafodaLista"/>
              <w:numPr>
                <w:ilvl w:val="0"/>
                <w:numId w:val="225"/>
              </w:numPr>
              <w:spacing w:after="0" w:line="240" w:lineRule="auto"/>
              <w:ind w:left="313" w:hanging="313"/>
              <w:jc w:val="both"/>
              <w:rPr>
                <w:rFonts w:ascii="Times New Roman" w:hAnsi="Times New Roman"/>
                <w:sz w:val="22"/>
                <w:szCs w:val="22"/>
              </w:rPr>
            </w:pPr>
            <w:r w:rsidRPr="00291334">
              <w:rPr>
                <w:rFonts w:ascii="Times New Roman" w:hAnsi="Times New Roman"/>
                <w:sz w:val="22"/>
                <w:szCs w:val="22"/>
              </w:rPr>
              <w:t>Diminution des risques d’accident corporel dus au transport de l’eau sur de longues distances et à des heures matinales ou tardives</w:t>
            </w:r>
          </w:p>
        </w:tc>
        <w:tc>
          <w:tcPr>
            <w:tcW w:w="1276" w:type="dxa"/>
            <w:vMerge/>
            <w:shd w:val="clear" w:color="auto" w:fill="FFFFFF"/>
            <w:vAlign w:val="center"/>
          </w:tcPr>
          <w:p w:rsidR="008D7CFC" w:rsidRPr="00AA45E9" w:rsidRDefault="008D7CFC" w:rsidP="007062AE">
            <w:pPr>
              <w:spacing w:after="0" w:line="240" w:lineRule="auto"/>
              <w:jc w:val="center"/>
              <w:rPr>
                <w:rFonts w:ascii="Times New Roman" w:hAnsi="Times New Roman"/>
                <w:sz w:val="18"/>
                <w:szCs w:val="18"/>
              </w:rPr>
            </w:pPr>
          </w:p>
        </w:tc>
        <w:tc>
          <w:tcPr>
            <w:tcW w:w="284" w:type="dxa"/>
            <w:vMerge/>
            <w:shd w:val="clear" w:color="auto" w:fill="002060"/>
            <w:vAlign w:val="center"/>
          </w:tcPr>
          <w:p w:rsidR="008D7CFC" w:rsidRPr="00291334" w:rsidRDefault="008D7CFC" w:rsidP="007062AE">
            <w:pPr>
              <w:spacing w:after="0" w:line="240" w:lineRule="auto"/>
              <w:jc w:val="center"/>
              <w:rPr>
                <w:rFonts w:ascii="Times New Roman" w:hAnsi="Times New Roman"/>
                <w:b/>
                <w:sz w:val="18"/>
                <w:szCs w:val="18"/>
              </w:rPr>
            </w:pPr>
          </w:p>
        </w:tc>
        <w:tc>
          <w:tcPr>
            <w:tcW w:w="1275" w:type="dxa"/>
            <w:vMerge/>
            <w:shd w:val="clear" w:color="auto" w:fill="FFFFFF"/>
            <w:vAlign w:val="center"/>
          </w:tcPr>
          <w:p w:rsidR="008D7CFC" w:rsidRPr="00AA45E9" w:rsidRDefault="008D7CFC" w:rsidP="007062AE">
            <w:pPr>
              <w:spacing w:after="0" w:line="240" w:lineRule="auto"/>
              <w:jc w:val="center"/>
              <w:rPr>
                <w:rFonts w:ascii="Times New Roman" w:hAnsi="Times New Roman"/>
                <w:sz w:val="18"/>
                <w:szCs w:val="18"/>
              </w:rPr>
            </w:pPr>
          </w:p>
        </w:tc>
        <w:tc>
          <w:tcPr>
            <w:tcW w:w="284" w:type="dxa"/>
            <w:vMerge/>
            <w:shd w:val="clear" w:color="auto" w:fill="002060"/>
            <w:vAlign w:val="center"/>
          </w:tcPr>
          <w:p w:rsidR="008D7CFC" w:rsidRPr="00291334" w:rsidRDefault="008D7CFC" w:rsidP="007062AE">
            <w:pPr>
              <w:spacing w:after="0" w:line="240" w:lineRule="auto"/>
              <w:jc w:val="center"/>
              <w:rPr>
                <w:rFonts w:ascii="Times New Roman" w:hAnsi="Times New Roman"/>
                <w:b/>
                <w:sz w:val="18"/>
                <w:szCs w:val="18"/>
              </w:rPr>
            </w:pPr>
          </w:p>
        </w:tc>
        <w:tc>
          <w:tcPr>
            <w:tcW w:w="1276" w:type="dxa"/>
            <w:vMerge/>
            <w:shd w:val="clear" w:color="auto" w:fill="FFFFFF"/>
            <w:vAlign w:val="center"/>
          </w:tcPr>
          <w:p w:rsidR="008D7CFC" w:rsidRPr="00AA45E9" w:rsidRDefault="008D7CFC" w:rsidP="007062AE">
            <w:pPr>
              <w:spacing w:after="0" w:line="240" w:lineRule="auto"/>
              <w:jc w:val="center"/>
              <w:rPr>
                <w:rFonts w:ascii="Times New Roman" w:hAnsi="Times New Roman"/>
                <w:sz w:val="18"/>
                <w:szCs w:val="18"/>
              </w:rPr>
            </w:pPr>
          </w:p>
        </w:tc>
        <w:tc>
          <w:tcPr>
            <w:tcW w:w="283" w:type="dxa"/>
            <w:vMerge/>
            <w:shd w:val="clear" w:color="auto" w:fill="002060"/>
            <w:vAlign w:val="center"/>
          </w:tcPr>
          <w:p w:rsidR="008D7CFC" w:rsidRPr="00291334" w:rsidRDefault="008D7CFC" w:rsidP="007062AE">
            <w:pPr>
              <w:spacing w:after="0" w:line="240" w:lineRule="auto"/>
              <w:jc w:val="center"/>
              <w:rPr>
                <w:rFonts w:ascii="Times New Roman" w:hAnsi="Times New Roman"/>
                <w:b/>
                <w:sz w:val="18"/>
                <w:szCs w:val="18"/>
              </w:rPr>
            </w:pPr>
          </w:p>
        </w:tc>
        <w:tc>
          <w:tcPr>
            <w:tcW w:w="1276" w:type="dxa"/>
            <w:vMerge/>
            <w:shd w:val="clear" w:color="auto" w:fill="92D050"/>
            <w:vAlign w:val="center"/>
          </w:tcPr>
          <w:p w:rsidR="008D7CFC" w:rsidRPr="005244BC" w:rsidRDefault="008D7CFC" w:rsidP="007062AE">
            <w:pPr>
              <w:spacing w:after="0" w:line="240" w:lineRule="auto"/>
              <w:jc w:val="center"/>
              <w:rPr>
                <w:rFonts w:ascii="Times New Roman" w:hAnsi="Times New Roman"/>
                <w:b/>
                <w:sz w:val="16"/>
                <w:szCs w:val="16"/>
              </w:rPr>
            </w:pPr>
          </w:p>
        </w:tc>
        <w:tc>
          <w:tcPr>
            <w:tcW w:w="709" w:type="dxa"/>
            <w:vMerge/>
            <w:shd w:val="clear" w:color="auto" w:fill="92D050"/>
            <w:vAlign w:val="center"/>
          </w:tcPr>
          <w:p w:rsidR="008D7CFC" w:rsidRPr="005244BC" w:rsidRDefault="008D7CFC" w:rsidP="007062AE">
            <w:pPr>
              <w:spacing w:after="0" w:line="240" w:lineRule="auto"/>
              <w:jc w:val="center"/>
              <w:rPr>
                <w:rFonts w:ascii="Times New Roman" w:hAnsi="Times New Roman"/>
                <w:b/>
                <w:sz w:val="16"/>
                <w:szCs w:val="16"/>
              </w:rPr>
            </w:pPr>
          </w:p>
        </w:tc>
      </w:tr>
      <w:tr w:rsidR="008D7CFC" w:rsidRPr="00AA45E9" w:rsidTr="007062AE">
        <w:trPr>
          <w:jc w:val="center"/>
        </w:trPr>
        <w:tc>
          <w:tcPr>
            <w:tcW w:w="1555" w:type="dxa"/>
            <w:gridSpan w:val="2"/>
            <w:vMerge/>
            <w:shd w:val="clear" w:color="auto" w:fill="BDD6EE"/>
          </w:tcPr>
          <w:p w:rsidR="008D7CFC" w:rsidRPr="00AA45E9" w:rsidRDefault="008D7CFC" w:rsidP="007062AE">
            <w:pPr>
              <w:spacing w:after="0" w:line="240" w:lineRule="auto"/>
              <w:jc w:val="both"/>
              <w:rPr>
                <w:rFonts w:ascii="Times New Roman" w:hAnsi="Times New Roman"/>
              </w:rPr>
            </w:pPr>
          </w:p>
        </w:tc>
        <w:tc>
          <w:tcPr>
            <w:tcW w:w="1417" w:type="dxa"/>
            <w:gridSpan w:val="4"/>
            <w:vMerge/>
          </w:tcPr>
          <w:p w:rsidR="008D7CFC" w:rsidRPr="00AA45E9" w:rsidRDefault="008D7CFC" w:rsidP="007062AE">
            <w:pPr>
              <w:spacing w:after="0" w:line="240" w:lineRule="auto"/>
              <w:jc w:val="both"/>
              <w:rPr>
                <w:rFonts w:ascii="Times New Roman" w:hAnsi="Times New Roman"/>
                <w:b/>
              </w:rPr>
            </w:pPr>
          </w:p>
        </w:tc>
        <w:tc>
          <w:tcPr>
            <w:tcW w:w="6662" w:type="dxa"/>
          </w:tcPr>
          <w:p w:rsidR="008D7CFC" w:rsidRPr="00291334" w:rsidRDefault="008D7CFC" w:rsidP="00FA3FAE">
            <w:pPr>
              <w:pStyle w:val="PargrafodaLista"/>
              <w:numPr>
                <w:ilvl w:val="0"/>
                <w:numId w:val="225"/>
              </w:numPr>
              <w:spacing w:after="0" w:line="240" w:lineRule="auto"/>
              <w:ind w:left="313" w:hanging="313"/>
              <w:jc w:val="both"/>
              <w:rPr>
                <w:rFonts w:ascii="Times New Roman" w:hAnsi="Times New Roman"/>
                <w:sz w:val="22"/>
                <w:szCs w:val="22"/>
              </w:rPr>
            </w:pPr>
            <w:r w:rsidRPr="00291334">
              <w:rPr>
                <w:rFonts w:ascii="Times New Roman" w:hAnsi="Times New Roman"/>
                <w:sz w:val="22"/>
                <w:szCs w:val="22"/>
              </w:rPr>
              <w:t xml:space="preserve">Amélioration du cadre et des conditions de vie des populations mais aussi à une dynamique </w:t>
            </w:r>
            <w:r w:rsidR="00C00BA3">
              <w:rPr>
                <w:rFonts w:ascii="Times New Roman" w:hAnsi="Times New Roman"/>
                <w:sz w:val="22"/>
                <w:szCs w:val="22"/>
                <w:lang w:val="fr-FR"/>
              </w:rPr>
              <w:t xml:space="preserve">de </w:t>
            </w:r>
            <w:r w:rsidRPr="00291334">
              <w:rPr>
                <w:rFonts w:ascii="Times New Roman" w:hAnsi="Times New Roman"/>
                <w:sz w:val="22"/>
                <w:szCs w:val="22"/>
              </w:rPr>
              <w:t>peuplement des secteurs ou des quartiers</w:t>
            </w:r>
          </w:p>
        </w:tc>
        <w:tc>
          <w:tcPr>
            <w:tcW w:w="1276" w:type="dxa"/>
            <w:vMerge w:val="restart"/>
            <w:vAlign w:val="center"/>
          </w:tcPr>
          <w:p w:rsidR="008D7CFC" w:rsidRPr="00AA45E9" w:rsidRDefault="008D7CFC" w:rsidP="007062AE">
            <w:pPr>
              <w:spacing w:after="0" w:line="240" w:lineRule="auto"/>
              <w:jc w:val="center"/>
              <w:rPr>
                <w:rFonts w:ascii="Times New Roman" w:hAnsi="Times New Roman"/>
                <w:sz w:val="18"/>
                <w:szCs w:val="18"/>
              </w:rPr>
            </w:pPr>
            <w:r>
              <w:rPr>
                <w:rFonts w:ascii="Times New Roman" w:hAnsi="Times New Roman"/>
                <w:sz w:val="24"/>
                <w:szCs w:val="24"/>
              </w:rPr>
              <w:t>Moyenne</w:t>
            </w:r>
          </w:p>
        </w:tc>
        <w:tc>
          <w:tcPr>
            <w:tcW w:w="284" w:type="dxa"/>
            <w:vMerge w:val="restart"/>
            <w:shd w:val="clear" w:color="auto" w:fill="002060"/>
            <w:vAlign w:val="center"/>
          </w:tcPr>
          <w:p w:rsidR="008D7CFC" w:rsidRPr="00291334" w:rsidRDefault="008D7CFC" w:rsidP="007062AE">
            <w:pPr>
              <w:spacing w:after="0" w:line="240" w:lineRule="auto"/>
              <w:jc w:val="center"/>
              <w:rPr>
                <w:rFonts w:ascii="Times New Roman" w:hAnsi="Times New Roman"/>
                <w:b/>
                <w:sz w:val="18"/>
                <w:szCs w:val="18"/>
              </w:rPr>
            </w:pPr>
            <w:r w:rsidRPr="00291334">
              <w:rPr>
                <w:rFonts w:ascii="Times New Roman" w:hAnsi="Times New Roman"/>
                <w:b/>
                <w:sz w:val="24"/>
                <w:szCs w:val="24"/>
              </w:rPr>
              <w:t>3</w:t>
            </w:r>
          </w:p>
        </w:tc>
        <w:tc>
          <w:tcPr>
            <w:tcW w:w="1275" w:type="dxa"/>
            <w:vMerge w:val="restart"/>
            <w:vAlign w:val="center"/>
          </w:tcPr>
          <w:p w:rsidR="008D7CFC" w:rsidRPr="00AA45E9" w:rsidRDefault="008D7CFC" w:rsidP="007062AE">
            <w:pPr>
              <w:spacing w:after="0" w:line="240" w:lineRule="auto"/>
              <w:jc w:val="center"/>
              <w:rPr>
                <w:rFonts w:ascii="Times New Roman" w:hAnsi="Times New Roman"/>
                <w:sz w:val="18"/>
                <w:szCs w:val="18"/>
              </w:rPr>
            </w:pPr>
            <w:r>
              <w:rPr>
                <w:rFonts w:ascii="Times New Roman" w:hAnsi="Times New Roman"/>
                <w:sz w:val="24"/>
                <w:szCs w:val="24"/>
              </w:rPr>
              <w:t>Locale</w:t>
            </w:r>
          </w:p>
        </w:tc>
        <w:tc>
          <w:tcPr>
            <w:tcW w:w="284" w:type="dxa"/>
            <w:vMerge w:val="restart"/>
            <w:shd w:val="clear" w:color="auto" w:fill="002060"/>
            <w:vAlign w:val="center"/>
          </w:tcPr>
          <w:p w:rsidR="008D7CFC" w:rsidRPr="00291334" w:rsidRDefault="008D7CFC" w:rsidP="007062AE">
            <w:pPr>
              <w:spacing w:after="0" w:line="240" w:lineRule="auto"/>
              <w:jc w:val="center"/>
              <w:rPr>
                <w:rFonts w:ascii="Times New Roman" w:hAnsi="Times New Roman"/>
                <w:b/>
                <w:sz w:val="18"/>
                <w:szCs w:val="18"/>
              </w:rPr>
            </w:pPr>
            <w:r w:rsidRPr="00291334">
              <w:rPr>
                <w:rFonts w:ascii="Times New Roman" w:hAnsi="Times New Roman"/>
                <w:b/>
                <w:sz w:val="24"/>
                <w:szCs w:val="24"/>
              </w:rPr>
              <w:t>3</w:t>
            </w:r>
          </w:p>
        </w:tc>
        <w:tc>
          <w:tcPr>
            <w:tcW w:w="1276" w:type="dxa"/>
            <w:vMerge w:val="restart"/>
            <w:vAlign w:val="center"/>
          </w:tcPr>
          <w:p w:rsidR="008D7CFC" w:rsidRPr="00AA45E9" w:rsidRDefault="008D7CFC" w:rsidP="007062AE">
            <w:pPr>
              <w:spacing w:after="0" w:line="240" w:lineRule="auto"/>
              <w:jc w:val="center"/>
              <w:rPr>
                <w:rFonts w:ascii="Times New Roman" w:hAnsi="Times New Roman"/>
                <w:sz w:val="18"/>
                <w:szCs w:val="18"/>
              </w:rPr>
            </w:pPr>
            <w:r>
              <w:rPr>
                <w:rFonts w:ascii="Times New Roman" w:hAnsi="Times New Roman"/>
                <w:sz w:val="24"/>
                <w:szCs w:val="24"/>
              </w:rPr>
              <w:t>Longue</w:t>
            </w:r>
          </w:p>
        </w:tc>
        <w:tc>
          <w:tcPr>
            <w:tcW w:w="283" w:type="dxa"/>
            <w:vMerge w:val="restart"/>
            <w:shd w:val="clear" w:color="auto" w:fill="002060"/>
            <w:vAlign w:val="center"/>
          </w:tcPr>
          <w:p w:rsidR="008D7CFC" w:rsidRPr="00291334" w:rsidRDefault="008D7CFC" w:rsidP="007062AE">
            <w:pPr>
              <w:spacing w:after="0" w:line="240" w:lineRule="auto"/>
              <w:jc w:val="center"/>
              <w:rPr>
                <w:rFonts w:ascii="Times New Roman" w:hAnsi="Times New Roman"/>
                <w:b/>
                <w:sz w:val="18"/>
                <w:szCs w:val="18"/>
              </w:rPr>
            </w:pPr>
            <w:r w:rsidRPr="00291334">
              <w:rPr>
                <w:rFonts w:ascii="Times New Roman" w:hAnsi="Times New Roman"/>
                <w:b/>
                <w:sz w:val="24"/>
                <w:szCs w:val="24"/>
              </w:rPr>
              <w:t>5</w:t>
            </w:r>
          </w:p>
        </w:tc>
        <w:tc>
          <w:tcPr>
            <w:tcW w:w="1276" w:type="dxa"/>
            <w:vMerge w:val="restart"/>
            <w:shd w:val="clear" w:color="auto" w:fill="FFE599" w:themeFill="accent4" w:themeFillTint="66"/>
            <w:vAlign w:val="center"/>
          </w:tcPr>
          <w:p w:rsidR="008D7CFC" w:rsidRPr="005244BC" w:rsidRDefault="008D7CFC" w:rsidP="007062AE">
            <w:pPr>
              <w:spacing w:after="0" w:line="240" w:lineRule="auto"/>
              <w:jc w:val="center"/>
              <w:rPr>
                <w:rFonts w:ascii="Times New Roman" w:hAnsi="Times New Roman"/>
                <w:b/>
                <w:sz w:val="16"/>
                <w:szCs w:val="16"/>
              </w:rPr>
            </w:pPr>
            <w:r>
              <w:rPr>
                <w:rFonts w:ascii="Times New Roman" w:hAnsi="Times New Roman"/>
                <w:b/>
                <w:sz w:val="24"/>
                <w:szCs w:val="24"/>
              </w:rPr>
              <w:t>Moyenne</w:t>
            </w:r>
          </w:p>
        </w:tc>
        <w:tc>
          <w:tcPr>
            <w:tcW w:w="709" w:type="dxa"/>
            <w:vMerge w:val="restart"/>
            <w:shd w:val="clear" w:color="auto" w:fill="FFE599" w:themeFill="accent4" w:themeFillTint="66"/>
            <w:vAlign w:val="center"/>
          </w:tcPr>
          <w:p w:rsidR="008D7CFC" w:rsidRPr="005244BC" w:rsidRDefault="008D7CFC" w:rsidP="007062AE">
            <w:pPr>
              <w:spacing w:after="0" w:line="240" w:lineRule="auto"/>
              <w:jc w:val="center"/>
              <w:rPr>
                <w:rFonts w:ascii="Times New Roman" w:hAnsi="Times New Roman"/>
                <w:b/>
                <w:sz w:val="16"/>
                <w:szCs w:val="16"/>
              </w:rPr>
            </w:pPr>
            <w:r>
              <w:rPr>
                <w:rFonts w:ascii="Times New Roman" w:hAnsi="Times New Roman"/>
                <w:b/>
                <w:sz w:val="24"/>
                <w:szCs w:val="24"/>
              </w:rPr>
              <w:t>45</w:t>
            </w:r>
          </w:p>
        </w:tc>
      </w:tr>
      <w:tr w:rsidR="008D7CFC" w:rsidRPr="00AA45E9" w:rsidTr="007062AE">
        <w:trPr>
          <w:jc w:val="center"/>
        </w:trPr>
        <w:tc>
          <w:tcPr>
            <w:tcW w:w="1555" w:type="dxa"/>
            <w:gridSpan w:val="2"/>
            <w:vMerge/>
            <w:shd w:val="clear" w:color="auto" w:fill="BDD6EE"/>
          </w:tcPr>
          <w:p w:rsidR="008D7CFC" w:rsidRPr="00AA45E9" w:rsidRDefault="008D7CFC" w:rsidP="007062AE">
            <w:pPr>
              <w:spacing w:after="0" w:line="240" w:lineRule="auto"/>
              <w:jc w:val="both"/>
              <w:rPr>
                <w:rFonts w:ascii="Times New Roman" w:hAnsi="Times New Roman"/>
              </w:rPr>
            </w:pPr>
          </w:p>
        </w:tc>
        <w:tc>
          <w:tcPr>
            <w:tcW w:w="1417" w:type="dxa"/>
            <w:gridSpan w:val="4"/>
            <w:vMerge/>
          </w:tcPr>
          <w:p w:rsidR="008D7CFC" w:rsidRPr="00AA45E9" w:rsidRDefault="008D7CFC" w:rsidP="007062AE">
            <w:pPr>
              <w:spacing w:after="0" w:line="240" w:lineRule="auto"/>
              <w:jc w:val="both"/>
              <w:rPr>
                <w:rFonts w:ascii="Times New Roman" w:hAnsi="Times New Roman"/>
                <w:b/>
              </w:rPr>
            </w:pPr>
          </w:p>
        </w:tc>
        <w:tc>
          <w:tcPr>
            <w:tcW w:w="6662" w:type="dxa"/>
          </w:tcPr>
          <w:p w:rsidR="008D7CFC" w:rsidRPr="00291334" w:rsidRDefault="008D7CFC" w:rsidP="00FA3FAE">
            <w:pPr>
              <w:pStyle w:val="PargrafodaLista"/>
              <w:numPr>
                <w:ilvl w:val="0"/>
                <w:numId w:val="225"/>
              </w:numPr>
              <w:spacing w:after="0" w:line="240" w:lineRule="auto"/>
              <w:ind w:left="313" w:hanging="313"/>
              <w:jc w:val="both"/>
              <w:rPr>
                <w:rFonts w:ascii="Times New Roman" w:hAnsi="Times New Roman"/>
                <w:sz w:val="22"/>
                <w:szCs w:val="22"/>
              </w:rPr>
            </w:pPr>
            <w:r w:rsidRPr="00291334">
              <w:rPr>
                <w:rFonts w:ascii="Times New Roman" w:hAnsi="Times New Roman"/>
                <w:sz w:val="22"/>
                <w:szCs w:val="22"/>
              </w:rPr>
              <w:t>Réduction des risques de tensions sociales</w:t>
            </w:r>
          </w:p>
        </w:tc>
        <w:tc>
          <w:tcPr>
            <w:tcW w:w="1276" w:type="dxa"/>
            <w:vMerge/>
            <w:vAlign w:val="center"/>
          </w:tcPr>
          <w:p w:rsidR="008D7CFC" w:rsidRPr="00AA45E9" w:rsidRDefault="008D7CFC" w:rsidP="007062AE">
            <w:pPr>
              <w:spacing w:after="0" w:line="240" w:lineRule="auto"/>
              <w:jc w:val="center"/>
              <w:rPr>
                <w:rFonts w:ascii="Times New Roman" w:hAnsi="Times New Roman"/>
                <w:sz w:val="18"/>
                <w:szCs w:val="18"/>
              </w:rPr>
            </w:pPr>
          </w:p>
        </w:tc>
        <w:tc>
          <w:tcPr>
            <w:tcW w:w="284" w:type="dxa"/>
            <w:vMerge/>
            <w:shd w:val="clear" w:color="auto" w:fill="002060"/>
            <w:vAlign w:val="center"/>
          </w:tcPr>
          <w:p w:rsidR="008D7CFC" w:rsidRPr="00291334" w:rsidRDefault="008D7CFC" w:rsidP="007062AE">
            <w:pPr>
              <w:spacing w:after="0" w:line="240" w:lineRule="auto"/>
              <w:jc w:val="center"/>
              <w:rPr>
                <w:rFonts w:ascii="Times New Roman" w:hAnsi="Times New Roman"/>
                <w:b/>
                <w:sz w:val="18"/>
                <w:szCs w:val="18"/>
              </w:rPr>
            </w:pPr>
          </w:p>
        </w:tc>
        <w:tc>
          <w:tcPr>
            <w:tcW w:w="1275" w:type="dxa"/>
            <w:vMerge/>
            <w:vAlign w:val="center"/>
          </w:tcPr>
          <w:p w:rsidR="008D7CFC" w:rsidRPr="00AA45E9" w:rsidRDefault="008D7CFC" w:rsidP="007062AE">
            <w:pPr>
              <w:spacing w:after="0" w:line="240" w:lineRule="auto"/>
              <w:jc w:val="center"/>
              <w:rPr>
                <w:rFonts w:ascii="Times New Roman" w:hAnsi="Times New Roman"/>
                <w:sz w:val="18"/>
                <w:szCs w:val="18"/>
              </w:rPr>
            </w:pPr>
          </w:p>
        </w:tc>
        <w:tc>
          <w:tcPr>
            <w:tcW w:w="284" w:type="dxa"/>
            <w:vMerge/>
            <w:shd w:val="clear" w:color="auto" w:fill="002060"/>
            <w:vAlign w:val="center"/>
          </w:tcPr>
          <w:p w:rsidR="008D7CFC" w:rsidRPr="00291334" w:rsidRDefault="008D7CFC" w:rsidP="007062AE">
            <w:pPr>
              <w:spacing w:after="0" w:line="240" w:lineRule="auto"/>
              <w:jc w:val="center"/>
              <w:rPr>
                <w:rFonts w:ascii="Times New Roman" w:hAnsi="Times New Roman"/>
                <w:b/>
                <w:sz w:val="18"/>
                <w:szCs w:val="18"/>
              </w:rPr>
            </w:pPr>
          </w:p>
        </w:tc>
        <w:tc>
          <w:tcPr>
            <w:tcW w:w="1276" w:type="dxa"/>
            <w:vMerge/>
            <w:vAlign w:val="center"/>
          </w:tcPr>
          <w:p w:rsidR="008D7CFC" w:rsidRPr="00AA45E9" w:rsidRDefault="008D7CFC" w:rsidP="007062AE">
            <w:pPr>
              <w:spacing w:after="0" w:line="240" w:lineRule="auto"/>
              <w:jc w:val="center"/>
              <w:rPr>
                <w:rFonts w:ascii="Times New Roman" w:hAnsi="Times New Roman"/>
                <w:sz w:val="18"/>
                <w:szCs w:val="18"/>
              </w:rPr>
            </w:pPr>
          </w:p>
        </w:tc>
        <w:tc>
          <w:tcPr>
            <w:tcW w:w="283" w:type="dxa"/>
            <w:vMerge/>
            <w:shd w:val="clear" w:color="auto" w:fill="002060"/>
            <w:vAlign w:val="center"/>
          </w:tcPr>
          <w:p w:rsidR="008D7CFC" w:rsidRPr="00291334" w:rsidRDefault="008D7CFC" w:rsidP="007062AE">
            <w:pPr>
              <w:spacing w:after="0" w:line="240" w:lineRule="auto"/>
              <w:jc w:val="center"/>
              <w:rPr>
                <w:rFonts w:ascii="Times New Roman" w:hAnsi="Times New Roman"/>
                <w:b/>
                <w:sz w:val="18"/>
                <w:szCs w:val="18"/>
              </w:rPr>
            </w:pPr>
          </w:p>
        </w:tc>
        <w:tc>
          <w:tcPr>
            <w:tcW w:w="1276" w:type="dxa"/>
            <w:vMerge/>
            <w:shd w:val="clear" w:color="auto" w:fill="FFE599" w:themeFill="accent4" w:themeFillTint="66"/>
            <w:vAlign w:val="center"/>
          </w:tcPr>
          <w:p w:rsidR="008D7CFC" w:rsidRPr="00172718" w:rsidRDefault="008D7CFC" w:rsidP="007062AE">
            <w:pPr>
              <w:spacing w:after="0" w:line="240" w:lineRule="auto"/>
              <w:jc w:val="center"/>
              <w:rPr>
                <w:rFonts w:ascii="Times New Roman" w:hAnsi="Times New Roman"/>
                <w:b/>
                <w:sz w:val="16"/>
                <w:szCs w:val="16"/>
              </w:rPr>
            </w:pPr>
          </w:p>
        </w:tc>
        <w:tc>
          <w:tcPr>
            <w:tcW w:w="709" w:type="dxa"/>
            <w:vMerge/>
            <w:shd w:val="clear" w:color="auto" w:fill="FFE599" w:themeFill="accent4" w:themeFillTint="66"/>
            <w:vAlign w:val="center"/>
          </w:tcPr>
          <w:p w:rsidR="008D7CFC" w:rsidRPr="00172718" w:rsidRDefault="008D7CFC" w:rsidP="007062AE">
            <w:pPr>
              <w:spacing w:after="0" w:line="240" w:lineRule="auto"/>
              <w:jc w:val="center"/>
              <w:rPr>
                <w:rFonts w:ascii="Times New Roman" w:hAnsi="Times New Roman"/>
                <w:b/>
                <w:sz w:val="16"/>
                <w:szCs w:val="16"/>
              </w:rPr>
            </w:pPr>
          </w:p>
        </w:tc>
      </w:tr>
      <w:tr w:rsidR="008D7CFC" w:rsidRPr="00AA45E9" w:rsidTr="007062AE">
        <w:trPr>
          <w:jc w:val="center"/>
        </w:trPr>
        <w:tc>
          <w:tcPr>
            <w:tcW w:w="1555" w:type="dxa"/>
            <w:gridSpan w:val="2"/>
            <w:vMerge/>
            <w:shd w:val="clear" w:color="auto" w:fill="BDD6EE"/>
          </w:tcPr>
          <w:p w:rsidR="008D7CFC" w:rsidRPr="00AA45E9" w:rsidRDefault="008D7CFC" w:rsidP="007062AE">
            <w:pPr>
              <w:spacing w:after="0" w:line="240" w:lineRule="auto"/>
              <w:jc w:val="both"/>
              <w:rPr>
                <w:rFonts w:ascii="Times New Roman" w:hAnsi="Times New Roman"/>
              </w:rPr>
            </w:pPr>
          </w:p>
        </w:tc>
        <w:tc>
          <w:tcPr>
            <w:tcW w:w="1417" w:type="dxa"/>
            <w:gridSpan w:val="4"/>
            <w:vMerge/>
          </w:tcPr>
          <w:p w:rsidR="008D7CFC" w:rsidRPr="00AA45E9" w:rsidRDefault="008D7CFC" w:rsidP="007062AE">
            <w:pPr>
              <w:spacing w:after="0" w:line="240" w:lineRule="auto"/>
              <w:jc w:val="both"/>
              <w:rPr>
                <w:rFonts w:ascii="Times New Roman" w:hAnsi="Times New Roman"/>
                <w:b/>
              </w:rPr>
            </w:pPr>
          </w:p>
        </w:tc>
        <w:tc>
          <w:tcPr>
            <w:tcW w:w="6662" w:type="dxa"/>
          </w:tcPr>
          <w:p w:rsidR="008D7CFC" w:rsidRPr="00291334" w:rsidRDefault="008D7CFC" w:rsidP="00FA3FAE">
            <w:pPr>
              <w:pStyle w:val="PargrafodaLista"/>
              <w:numPr>
                <w:ilvl w:val="0"/>
                <w:numId w:val="225"/>
              </w:numPr>
              <w:spacing w:after="0" w:line="240" w:lineRule="auto"/>
              <w:ind w:left="313" w:hanging="313"/>
              <w:jc w:val="both"/>
              <w:rPr>
                <w:rFonts w:ascii="Times New Roman" w:hAnsi="Times New Roman"/>
                <w:sz w:val="22"/>
                <w:szCs w:val="22"/>
              </w:rPr>
            </w:pPr>
            <w:r w:rsidRPr="00291334">
              <w:rPr>
                <w:rFonts w:ascii="Times New Roman" w:hAnsi="Times New Roman"/>
                <w:sz w:val="22"/>
                <w:szCs w:val="22"/>
              </w:rPr>
              <w:t>Création d’emploi dans les localités concernées</w:t>
            </w:r>
          </w:p>
        </w:tc>
        <w:tc>
          <w:tcPr>
            <w:tcW w:w="1276" w:type="dxa"/>
            <w:vMerge w:val="restart"/>
            <w:vAlign w:val="center"/>
          </w:tcPr>
          <w:p w:rsidR="008D7CFC" w:rsidRPr="00AA45E9" w:rsidRDefault="008D7CFC" w:rsidP="007062AE">
            <w:pPr>
              <w:spacing w:after="0" w:line="240" w:lineRule="auto"/>
              <w:jc w:val="center"/>
              <w:rPr>
                <w:rFonts w:ascii="Times New Roman" w:hAnsi="Times New Roman"/>
                <w:sz w:val="18"/>
                <w:szCs w:val="18"/>
              </w:rPr>
            </w:pPr>
            <w:r>
              <w:rPr>
                <w:rFonts w:ascii="Times New Roman" w:hAnsi="Times New Roman"/>
                <w:sz w:val="24"/>
                <w:szCs w:val="24"/>
              </w:rPr>
              <w:t>Moyenne</w:t>
            </w:r>
          </w:p>
        </w:tc>
        <w:tc>
          <w:tcPr>
            <w:tcW w:w="284" w:type="dxa"/>
            <w:vMerge w:val="restart"/>
            <w:shd w:val="clear" w:color="auto" w:fill="002060"/>
            <w:vAlign w:val="center"/>
          </w:tcPr>
          <w:p w:rsidR="008D7CFC" w:rsidRPr="00291334" w:rsidRDefault="008D7CFC" w:rsidP="007062AE">
            <w:pPr>
              <w:spacing w:after="0" w:line="240" w:lineRule="auto"/>
              <w:jc w:val="center"/>
              <w:rPr>
                <w:rFonts w:ascii="Times New Roman" w:hAnsi="Times New Roman"/>
                <w:b/>
                <w:sz w:val="18"/>
                <w:szCs w:val="18"/>
              </w:rPr>
            </w:pPr>
            <w:r w:rsidRPr="00291334">
              <w:rPr>
                <w:rFonts w:ascii="Times New Roman" w:hAnsi="Times New Roman"/>
                <w:b/>
                <w:sz w:val="24"/>
                <w:szCs w:val="24"/>
              </w:rPr>
              <w:t>3</w:t>
            </w:r>
          </w:p>
        </w:tc>
        <w:tc>
          <w:tcPr>
            <w:tcW w:w="1275" w:type="dxa"/>
            <w:vMerge w:val="restart"/>
            <w:vAlign w:val="center"/>
          </w:tcPr>
          <w:p w:rsidR="008D7CFC" w:rsidRPr="00AA45E9" w:rsidRDefault="008D7CFC" w:rsidP="007062AE">
            <w:pPr>
              <w:spacing w:after="0" w:line="240" w:lineRule="auto"/>
              <w:jc w:val="center"/>
              <w:rPr>
                <w:rFonts w:ascii="Times New Roman" w:hAnsi="Times New Roman"/>
                <w:sz w:val="18"/>
                <w:szCs w:val="18"/>
              </w:rPr>
            </w:pPr>
            <w:r>
              <w:rPr>
                <w:rFonts w:ascii="Times New Roman" w:hAnsi="Times New Roman"/>
                <w:sz w:val="24"/>
                <w:szCs w:val="24"/>
              </w:rPr>
              <w:t>Locale</w:t>
            </w:r>
          </w:p>
        </w:tc>
        <w:tc>
          <w:tcPr>
            <w:tcW w:w="284" w:type="dxa"/>
            <w:vMerge w:val="restart"/>
            <w:shd w:val="clear" w:color="auto" w:fill="002060"/>
            <w:vAlign w:val="center"/>
          </w:tcPr>
          <w:p w:rsidR="008D7CFC" w:rsidRPr="00291334" w:rsidRDefault="008D7CFC" w:rsidP="007062AE">
            <w:pPr>
              <w:spacing w:after="0" w:line="240" w:lineRule="auto"/>
              <w:jc w:val="center"/>
              <w:rPr>
                <w:rFonts w:ascii="Times New Roman" w:hAnsi="Times New Roman"/>
                <w:b/>
                <w:sz w:val="18"/>
                <w:szCs w:val="18"/>
              </w:rPr>
            </w:pPr>
            <w:r w:rsidRPr="00291334">
              <w:rPr>
                <w:rFonts w:ascii="Times New Roman" w:hAnsi="Times New Roman"/>
                <w:b/>
                <w:sz w:val="24"/>
                <w:szCs w:val="24"/>
              </w:rPr>
              <w:t>3</w:t>
            </w:r>
          </w:p>
        </w:tc>
        <w:tc>
          <w:tcPr>
            <w:tcW w:w="1276" w:type="dxa"/>
            <w:vMerge w:val="restart"/>
            <w:vAlign w:val="center"/>
          </w:tcPr>
          <w:p w:rsidR="008D7CFC" w:rsidRPr="00AA45E9" w:rsidRDefault="008D7CFC" w:rsidP="007062AE">
            <w:pPr>
              <w:spacing w:after="0" w:line="240" w:lineRule="auto"/>
              <w:jc w:val="center"/>
              <w:rPr>
                <w:rFonts w:ascii="Times New Roman" w:hAnsi="Times New Roman"/>
                <w:sz w:val="18"/>
                <w:szCs w:val="18"/>
              </w:rPr>
            </w:pPr>
            <w:r>
              <w:rPr>
                <w:rFonts w:ascii="Times New Roman" w:hAnsi="Times New Roman"/>
                <w:sz w:val="24"/>
                <w:szCs w:val="24"/>
              </w:rPr>
              <w:t>Longue</w:t>
            </w:r>
          </w:p>
        </w:tc>
        <w:tc>
          <w:tcPr>
            <w:tcW w:w="283" w:type="dxa"/>
            <w:vMerge w:val="restart"/>
            <w:shd w:val="clear" w:color="auto" w:fill="002060"/>
            <w:vAlign w:val="center"/>
          </w:tcPr>
          <w:p w:rsidR="008D7CFC" w:rsidRPr="00291334" w:rsidRDefault="008D7CFC" w:rsidP="007062AE">
            <w:pPr>
              <w:spacing w:after="0" w:line="240" w:lineRule="auto"/>
              <w:jc w:val="center"/>
              <w:rPr>
                <w:rFonts w:ascii="Times New Roman" w:hAnsi="Times New Roman"/>
                <w:b/>
                <w:sz w:val="18"/>
                <w:szCs w:val="18"/>
              </w:rPr>
            </w:pPr>
            <w:r w:rsidRPr="00291334">
              <w:rPr>
                <w:rFonts w:ascii="Times New Roman" w:hAnsi="Times New Roman"/>
                <w:b/>
                <w:sz w:val="24"/>
                <w:szCs w:val="24"/>
              </w:rPr>
              <w:t>5</w:t>
            </w:r>
          </w:p>
        </w:tc>
        <w:tc>
          <w:tcPr>
            <w:tcW w:w="1276" w:type="dxa"/>
            <w:vMerge w:val="restart"/>
            <w:shd w:val="clear" w:color="auto" w:fill="FFE599" w:themeFill="accent4" w:themeFillTint="66"/>
            <w:vAlign w:val="center"/>
          </w:tcPr>
          <w:p w:rsidR="008D7CFC" w:rsidRPr="00AA45E9" w:rsidRDefault="008D7CFC" w:rsidP="007062AE">
            <w:pPr>
              <w:spacing w:after="0" w:line="240" w:lineRule="auto"/>
              <w:jc w:val="center"/>
              <w:rPr>
                <w:rFonts w:ascii="Times New Roman" w:hAnsi="Times New Roman"/>
                <w:b/>
                <w:sz w:val="18"/>
                <w:szCs w:val="18"/>
              </w:rPr>
            </w:pPr>
            <w:r>
              <w:rPr>
                <w:rFonts w:ascii="Times New Roman" w:hAnsi="Times New Roman"/>
                <w:b/>
                <w:sz w:val="24"/>
                <w:szCs w:val="24"/>
              </w:rPr>
              <w:t>Moyenne</w:t>
            </w:r>
          </w:p>
        </w:tc>
        <w:tc>
          <w:tcPr>
            <w:tcW w:w="709" w:type="dxa"/>
            <w:vMerge w:val="restart"/>
            <w:shd w:val="clear" w:color="auto" w:fill="FFE599" w:themeFill="accent4" w:themeFillTint="66"/>
            <w:vAlign w:val="center"/>
          </w:tcPr>
          <w:p w:rsidR="008D7CFC" w:rsidRPr="00AA45E9" w:rsidRDefault="008D7CFC" w:rsidP="007062AE">
            <w:pPr>
              <w:spacing w:after="0" w:line="240" w:lineRule="auto"/>
              <w:jc w:val="center"/>
              <w:rPr>
                <w:rFonts w:ascii="Times New Roman" w:hAnsi="Times New Roman"/>
                <w:b/>
                <w:sz w:val="18"/>
                <w:szCs w:val="18"/>
              </w:rPr>
            </w:pPr>
            <w:r>
              <w:rPr>
                <w:rFonts w:ascii="Times New Roman" w:hAnsi="Times New Roman"/>
                <w:b/>
                <w:sz w:val="24"/>
                <w:szCs w:val="24"/>
              </w:rPr>
              <w:t>45</w:t>
            </w:r>
          </w:p>
        </w:tc>
      </w:tr>
      <w:tr w:rsidR="008D7CFC" w:rsidRPr="00AA45E9" w:rsidTr="007062AE">
        <w:trPr>
          <w:jc w:val="center"/>
        </w:trPr>
        <w:tc>
          <w:tcPr>
            <w:tcW w:w="1555" w:type="dxa"/>
            <w:gridSpan w:val="2"/>
            <w:vMerge/>
            <w:shd w:val="clear" w:color="auto" w:fill="BDD6EE"/>
          </w:tcPr>
          <w:p w:rsidR="008D7CFC" w:rsidRPr="00AA45E9" w:rsidRDefault="008D7CFC" w:rsidP="007062AE">
            <w:pPr>
              <w:spacing w:after="0" w:line="240" w:lineRule="auto"/>
              <w:jc w:val="both"/>
              <w:rPr>
                <w:rFonts w:ascii="Times New Roman" w:hAnsi="Times New Roman"/>
              </w:rPr>
            </w:pPr>
          </w:p>
        </w:tc>
        <w:tc>
          <w:tcPr>
            <w:tcW w:w="1417" w:type="dxa"/>
            <w:gridSpan w:val="4"/>
            <w:vMerge/>
          </w:tcPr>
          <w:p w:rsidR="008D7CFC" w:rsidRPr="00AA45E9" w:rsidRDefault="008D7CFC" w:rsidP="007062AE">
            <w:pPr>
              <w:spacing w:after="0" w:line="240" w:lineRule="auto"/>
              <w:jc w:val="both"/>
              <w:rPr>
                <w:rFonts w:ascii="Times New Roman" w:hAnsi="Times New Roman"/>
                <w:b/>
                <w:sz w:val="24"/>
                <w:szCs w:val="24"/>
              </w:rPr>
            </w:pPr>
          </w:p>
        </w:tc>
        <w:tc>
          <w:tcPr>
            <w:tcW w:w="6662" w:type="dxa"/>
          </w:tcPr>
          <w:p w:rsidR="008D7CFC" w:rsidRPr="00291334" w:rsidRDefault="008D7CFC" w:rsidP="00FA3FAE">
            <w:pPr>
              <w:pStyle w:val="PargrafodaLista"/>
              <w:numPr>
                <w:ilvl w:val="0"/>
                <w:numId w:val="225"/>
              </w:numPr>
              <w:spacing w:after="0" w:line="240" w:lineRule="auto"/>
              <w:ind w:left="313" w:hanging="313"/>
              <w:jc w:val="both"/>
              <w:rPr>
                <w:rFonts w:ascii="Times New Roman" w:hAnsi="Times New Roman"/>
                <w:sz w:val="22"/>
                <w:szCs w:val="22"/>
              </w:rPr>
            </w:pPr>
            <w:r w:rsidRPr="00291334">
              <w:rPr>
                <w:rFonts w:ascii="Times New Roman" w:hAnsi="Times New Roman"/>
                <w:sz w:val="22"/>
                <w:szCs w:val="22"/>
              </w:rPr>
              <w:t>Augmentation des gains financiers pour les propriétaires et promoteurs immobiliers</w:t>
            </w:r>
          </w:p>
        </w:tc>
        <w:tc>
          <w:tcPr>
            <w:tcW w:w="1276" w:type="dxa"/>
            <w:vMerge/>
            <w:vAlign w:val="center"/>
          </w:tcPr>
          <w:p w:rsidR="008D7CFC" w:rsidRPr="00AA45E9" w:rsidRDefault="008D7CFC" w:rsidP="007062AE">
            <w:pPr>
              <w:spacing w:after="0" w:line="240" w:lineRule="auto"/>
              <w:jc w:val="center"/>
              <w:rPr>
                <w:rFonts w:ascii="Times New Roman" w:hAnsi="Times New Roman"/>
                <w:sz w:val="18"/>
                <w:szCs w:val="18"/>
              </w:rPr>
            </w:pPr>
          </w:p>
        </w:tc>
        <w:tc>
          <w:tcPr>
            <w:tcW w:w="284" w:type="dxa"/>
            <w:vMerge/>
            <w:shd w:val="clear" w:color="auto" w:fill="002060"/>
            <w:vAlign w:val="center"/>
          </w:tcPr>
          <w:p w:rsidR="008D7CFC" w:rsidRPr="00291334" w:rsidRDefault="008D7CFC" w:rsidP="007062AE">
            <w:pPr>
              <w:spacing w:after="0" w:line="240" w:lineRule="auto"/>
              <w:jc w:val="center"/>
              <w:rPr>
                <w:rFonts w:ascii="Times New Roman" w:hAnsi="Times New Roman"/>
                <w:b/>
                <w:sz w:val="18"/>
                <w:szCs w:val="18"/>
              </w:rPr>
            </w:pPr>
          </w:p>
        </w:tc>
        <w:tc>
          <w:tcPr>
            <w:tcW w:w="1275" w:type="dxa"/>
            <w:vMerge/>
            <w:vAlign w:val="center"/>
          </w:tcPr>
          <w:p w:rsidR="008D7CFC" w:rsidRPr="00AA45E9" w:rsidRDefault="008D7CFC" w:rsidP="007062AE">
            <w:pPr>
              <w:spacing w:after="0" w:line="240" w:lineRule="auto"/>
              <w:jc w:val="center"/>
              <w:rPr>
                <w:rFonts w:ascii="Times New Roman" w:hAnsi="Times New Roman"/>
                <w:sz w:val="18"/>
                <w:szCs w:val="18"/>
              </w:rPr>
            </w:pPr>
          </w:p>
        </w:tc>
        <w:tc>
          <w:tcPr>
            <w:tcW w:w="284" w:type="dxa"/>
            <w:vMerge/>
            <w:shd w:val="clear" w:color="auto" w:fill="002060"/>
            <w:vAlign w:val="center"/>
          </w:tcPr>
          <w:p w:rsidR="008D7CFC" w:rsidRPr="00291334" w:rsidRDefault="008D7CFC" w:rsidP="007062AE">
            <w:pPr>
              <w:spacing w:after="0" w:line="240" w:lineRule="auto"/>
              <w:jc w:val="center"/>
              <w:rPr>
                <w:rFonts w:ascii="Times New Roman" w:hAnsi="Times New Roman"/>
                <w:b/>
                <w:sz w:val="18"/>
                <w:szCs w:val="18"/>
              </w:rPr>
            </w:pPr>
          </w:p>
        </w:tc>
        <w:tc>
          <w:tcPr>
            <w:tcW w:w="1276" w:type="dxa"/>
            <w:vMerge/>
            <w:vAlign w:val="center"/>
          </w:tcPr>
          <w:p w:rsidR="008D7CFC" w:rsidRPr="00AA45E9" w:rsidRDefault="008D7CFC" w:rsidP="007062AE">
            <w:pPr>
              <w:spacing w:after="0" w:line="240" w:lineRule="auto"/>
              <w:jc w:val="center"/>
              <w:rPr>
                <w:rFonts w:ascii="Times New Roman" w:hAnsi="Times New Roman"/>
                <w:sz w:val="18"/>
                <w:szCs w:val="18"/>
              </w:rPr>
            </w:pPr>
          </w:p>
        </w:tc>
        <w:tc>
          <w:tcPr>
            <w:tcW w:w="283" w:type="dxa"/>
            <w:vMerge/>
            <w:shd w:val="clear" w:color="auto" w:fill="002060"/>
            <w:vAlign w:val="center"/>
          </w:tcPr>
          <w:p w:rsidR="008D7CFC" w:rsidRPr="00291334" w:rsidRDefault="008D7CFC" w:rsidP="007062AE">
            <w:pPr>
              <w:spacing w:after="0" w:line="240" w:lineRule="auto"/>
              <w:jc w:val="center"/>
              <w:rPr>
                <w:rFonts w:ascii="Times New Roman" w:hAnsi="Times New Roman"/>
                <w:b/>
                <w:sz w:val="18"/>
                <w:szCs w:val="18"/>
              </w:rPr>
            </w:pPr>
          </w:p>
        </w:tc>
        <w:tc>
          <w:tcPr>
            <w:tcW w:w="1276" w:type="dxa"/>
            <w:vMerge/>
            <w:shd w:val="clear" w:color="auto" w:fill="FFE599" w:themeFill="accent4" w:themeFillTint="66"/>
            <w:vAlign w:val="center"/>
          </w:tcPr>
          <w:p w:rsidR="008D7CFC" w:rsidRPr="00AA45E9" w:rsidRDefault="008D7CFC" w:rsidP="007062AE">
            <w:pPr>
              <w:spacing w:after="0" w:line="240" w:lineRule="auto"/>
              <w:jc w:val="center"/>
              <w:rPr>
                <w:rFonts w:ascii="Times New Roman" w:hAnsi="Times New Roman"/>
                <w:b/>
                <w:sz w:val="18"/>
                <w:szCs w:val="18"/>
              </w:rPr>
            </w:pPr>
          </w:p>
        </w:tc>
        <w:tc>
          <w:tcPr>
            <w:tcW w:w="709" w:type="dxa"/>
            <w:vMerge/>
            <w:shd w:val="clear" w:color="auto" w:fill="FFE599" w:themeFill="accent4" w:themeFillTint="66"/>
            <w:vAlign w:val="center"/>
          </w:tcPr>
          <w:p w:rsidR="008D7CFC" w:rsidRPr="00AA45E9" w:rsidRDefault="008D7CFC" w:rsidP="007062AE">
            <w:pPr>
              <w:spacing w:after="0" w:line="240" w:lineRule="auto"/>
              <w:jc w:val="center"/>
              <w:rPr>
                <w:rFonts w:ascii="Times New Roman" w:hAnsi="Times New Roman"/>
                <w:b/>
                <w:sz w:val="18"/>
                <w:szCs w:val="18"/>
              </w:rPr>
            </w:pPr>
          </w:p>
        </w:tc>
      </w:tr>
      <w:tr w:rsidR="008D7CFC" w:rsidRPr="00AA45E9" w:rsidTr="007062AE">
        <w:trPr>
          <w:jc w:val="center"/>
        </w:trPr>
        <w:tc>
          <w:tcPr>
            <w:tcW w:w="1555" w:type="dxa"/>
            <w:gridSpan w:val="2"/>
            <w:vMerge/>
            <w:shd w:val="clear" w:color="auto" w:fill="BDD6EE"/>
          </w:tcPr>
          <w:p w:rsidR="008D7CFC" w:rsidRPr="00AA45E9" w:rsidRDefault="008D7CFC" w:rsidP="007062AE">
            <w:pPr>
              <w:spacing w:after="0" w:line="240" w:lineRule="auto"/>
              <w:jc w:val="both"/>
              <w:rPr>
                <w:rFonts w:ascii="Times New Roman" w:hAnsi="Times New Roman"/>
              </w:rPr>
            </w:pPr>
          </w:p>
        </w:tc>
        <w:tc>
          <w:tcPr>
            <w:tcW w:w="1417" w:type="dxa"/>
            <w:gridSpan w:val="4"/>
            <w:vMerge/>
          </w:tcPr>
          <w:p w:rsidR="008D7CFC" w:rsidRPr="00AA45E9" w:rsidRDefault="008D7CFC" w:rsidP="007062AE">
            <w:pPr>
              <w:spacing w:after="0" w:line="240" w:lineRule="auto"/>
              <w:jc w:val="both"/>
              <w:rPr>
                <w:rFonts w:ascii="Times New Roman" w:hAnsi="Times New Roman"/>
                <w:b/>
                <w:sz w:val="24"/>
                <w:szCs w:val="24"/>
              </w:rPr>
            </w:pPr>
          </w:p>
        </w:tc>
        <w:tc>
          <w:tcPr>
            <w:tcW w:w="6662" w:type="dxa"/>
          </w:tcPr>
          <w:p w:rsidR="008D7CFC" w:rsidRPr="00291334" w:rsidRDefault="008D7CFC" w:rsidP="00FA3FAE">
            <w:pPr>
              <w:pStyle w:val="PargrafodaLista"/>
              <w:numPr>
                <w:ilvl w:val="0"/>
                <w:numId w:val="225"/>
              </w:numPr>
              <w:spacing w:after="0" w:line="240" w:lineRule="auto"/>
              <w:ind w:left="313" w:hanging="313"/>
              <w:jc w:val="both"/>
              <w:rPr>
                <w:rFonts w:ascii="Times New Roman" w:hAnsi="Times New Roman"/>
                <w:sz w:val="22"/>
                <w:szCs w:val="22"/>
              </w:rPr>
            </w:pPr>
            <w:r w:rsidRPr="00291334">
              <w:rPr>
                <w:rFonts w:ascii="Times New Roman" w:hAnsi="Times New Roman"/>
                <w:sz w:val="22"/>
                <w:szCs w:val="22"/>
              </w:rPr>
              <w:t>Création et/ou le développement des activités liées à la vente d’eau et de glaces</w:t>
            </w:r>
          </w:p>
        </w:tc>
        <w:tc>
          <w:tcPr>
            <w:tcW w:w="1276" w:type="dxa"/>
            <w:vMerge/>
            <w:vAlign w:val="center"/>
          </w:tcPr>
          <w:p w:rsidR="008D7CFC" w:rsidRPr="00AA45E9" w:rsidRDefault="008D7CFC" w:rsidP="007062AE">
            <w:pPr>
              <w:spacing w:after="0" w:line="240" w:lineRule="auto"/>
              <w:jc w:val="center"/>
              <w:rPr>
                <w:rFonts w:ascii="Times New Roman" w:hAnsi="Times New Roman"/>
                <w:sz w:val="18"/>
                <w:szCs w:val="18"/>
              </w:rPr>
            </w:pPr>
          </w:p>
        </w:tc>
        <w:tc>
          <w:tcPr>
            <w:tcW w:w="284" w:type="dxa"/>
            <w:vMerge/>
            <w:shd w:val="clear" w:color="auto" w:fill="002060"/>
            <w:vAlign w:val="center"/>
          </w:tcPr>
          <w:p w:rsidR="008D7CFC" w:rsidRPr="00291334" w:rsidRDefault="008D7CFC" w:rsidP="007062AE">
            <w:pPr>
              <w:spacing w:after="0" w:line="240" w:lineRule="auto"/>
              <w:jc w:val="center"/>
              <w:rPr>
                <w:rFonts w:ascii="Times New Roman" w:hAnsi="Times New Roman"/>
                <w:b/>
                <w:sz w:val="18"/>
                <w:szCs w:val="18"/>
              </w:rPr>
            </w:pPr>
          </w:p>
        </w:tc>
        <w:tc>
          <w:tcPr>
            <w:tcW w:w="1275" w:type="dxa"/>
            <w:vMerge/>
            <w:vAlign w:val="center"/>
          </w:tcPr>
          <w:p w:rsidR="008D7CFC" w:rsidRPr="00AA45E9" w:rsidRDefault="008D7CFC" w:rsidP="007062AE">
            <w:pPr>
              <w:spacing w:after="0" w:line="240" w:lineRule="auto"/>
              <w:jc w:val="center"/>
              <w:rPr>
                <w:rFonts w:ascii="Times New Roman" w:hAnsi="Times New Roman"/>
                <w:sz w:val="18"/>
                <w:szCs w:val="18"/>
              </w:rPr>
            </w:pPr>
          </w:p>
        </w:tc>
        <w:tc>
          <w:tcPr>
            <w:tcW w:w="284" w:type="dxa"/>
            <w:vMerge/>
            <w:shd w:val="clear" w:color="auto" w:fill="002060"/>
            <w:vAlign w:val="center"/>
          </w:tcPr>
          <w:p w:rsidR="008D7CFC" w:rsidRPr="00291334" w:rsidRDefault="008D7CFC" w:rsidP="007062AE">
            <w:pPr>
              <w:spacing w:after="0" w:line="240" w:lineRule="auto"/>
              <w:jc w:val="center"/>
              <w:rPr>
                <w:rFonts w:ascii="Times New Roman" w:hAnsi="Times New Roman"/>
                <w:b/>
                <w:sz w:val="18"/>
                <w:szCs w:val="18"/>
              </w:rPr>
            </w:pPr>
          </w:p>
        </w:tc>
        <w:tc>
          <w:tcPr>
            <w:tcW w:w="1276" w:type="dxa"/>
            <w:vMerge/>
            <w:vAlign w:val="center"/>
          </w:tcPr>
          <w:p w:rsidR="008D7CFC" w:rsidRPr="00AA45E9" w:rsidRDefault="008D7CFC" w:rsidP="007062AE">
            <w:pPr>
              <w:spacing w:after="0" w:line="240" w:lineRule="auto"/>
              <w:jc w:val="center"/>
              <w:rPr>
                <w:rFonts w:ascii="Times New Roman" w:hAnsi="Times New Roman"/>
                <w:sz w:val="18"/>
                <w:szCs w:val="18"/>
              </w:rPr>
            </w:pPr>
          </w:p>
        </w:tc>
        <w:tc>
          <w:tcPr>
            <w:tcW w:w="283" w:type="dxa"/>
            <w:vMerge/>
            <w:shd w:val="clear" w:color="auto" w:fill="002060"/>
            <w:vAlign w:val="center"/>
          </w:tcPr>
          <w:p w:rsidR="008D7CFC" w:rsidRPr="00291334" w:rsidRDefault="008D7CFC" w:rsidP="007062AE">
            <w:pPr>
              <w:spacing w:after="0" w:line="240" w:lineRule="auto"/>
              <w:jc w:val="center"/>
              <w:rPr>
                <w:rFonts w:ascii="Times New Roman" w:hAnsi="Times New Roman"/>
                <w:b/>
                <w:sz w:val="18"/>
                <w:szCs w:val="18"/>
              </w:rPr>
            </w:pPr>
          </w:p>
        </w:tc>
        <w:tc>
          <w:tcPr>
            <w:tcW w:w="1276" w:type="dxa"/>
            <w:vMerge/>
            <w:shd w:val="clear" w:color="auto" w:fill="FFE599" w:themeFill="accent4" w:themeFillTint="66"/>
            <w:vAlign w:val="center"/>
          </w:tcPr>
          <w:p w:rsidR="008D7CFC" w:rsidRPr="00AA45E9" w:rsidRDefault="008D7CFC" w:rsidP="007062AE">
            <w:pPr>
              <w:spacing w:after="0" w:line="240" w:lineRule="auto"/>
              <w:jc w:val="center"/>
              <w:rPr>
                <w:rFonts w:ascii="Times New Roman" w:hAnsi="Times New Roman"/>
                <w:b/>
                <w:sz w:val="18"/>
                <w:szCs w:val="18"/>
              </w:rPr>
            </w:pPr>
          </w:p>
        </w:tc>
        <w:tc>
          <w:tcPr>
            <w:tcW w:w="709" w:type="dxa"/>
            <w:vMerge/>
            <w:shd w:val="clear" w:color="auto" w:fill="FFE599" w:themeFill="accent4" w:themeFillTint="66"/>
            <w:vAlign w:val="center"/>
          </w:tcPr>
          <w:p w:rsidR="008D7CFC" w:rsidRPr="00AA45E9" w:rsidRDefault="008D7CFC" w:rsidP="007062AE">
            <w:pPr>
              <w:spacing w:after="0" w:line="240" w:lineRule="auto"/>
              <w:jc w:val="center"/>
              <w:rPr>
                <w:rFonts w:ascii="Times New Roman" w:hAnsi="Times New Roman"/>
                <w:b/>
                <w:sz w:val="18"/>
                <w:szCs w:val="18"/>
              </w:rPr>
            </w:pPr>
          </w:p>
        </w:tc>
      </w:tr>
      <w:tr w:rsidR="008D7CFC" w:rsidRPr="00AA45E9" w:rsidTr="007062AE">
        <w:trPr>
          <w:jc w:val="center"/>
        </w:trPr>
        <w:tc>
          <w:tcPr>
            <w:tcW w:w="1555" w:type="dxa"/>
            <w:gridSpan w:val="2"/>
            <w:vMerge/>
            <w:shd w:val="clear" w:color="auto" w:fill="BDD6EE"/>
          </w:tcPr>
          <w:p w:rsidR="008D7CFC" w:rsidRPr="00AA45E9" w:rsidRDefault="008D7CFC" w:rsidP="007062AE">
            <w:pPr>
              <w:spacing w:after="0" w:line="240" w:lineRule="auto"/>
              <w:jc w:val="both"/>
              <w:rPr>
                <w:rFonts w:ascii="Times New Roman" w:hAnsi="Times New Roman"/>
              </w:rPr>
            </w:pPr>
          </w:p>
        </w:tc>
        <w:tc>
          <w:tcPr>
            <w:tcW w:w="1417" w:type="dxa"/>
            <w:gridSpan w:val="4"/>
            <w:vMerge/>
          </w:tcPr>
          <w:p w:rsidR="008D7CFC" w:rsidRPr="00AA45E9" w:rsidRDefault="008D7CFC" w:rsidP="007062AE">
            <w:pPr>
              <w:spacing w:after="0" w:line="240" w:lineRule="auto"/>
              <w:jc w:val="both"/>
              <w:rPr>
                <w:rFonts w:ascii="Times New Roman" w:hAnsi="Times New Roman"/>
                <w:b/>
                <w:sz w:val="24"/>
                <w:szCs w:val="24"/>
              </w:rPr>
            </w:pPr>
          </w:p>
        </w:tc>
        <w:tc>
          <w:tcPr>
            <w:tcW w:w="6662" w:type="dxa"/>
          </w:tcPr>
          <w:p w:rsidR="008D7CFC" w:rsidRPr="00291334" w:rsidRDefault="008D7CFC" w:rsidP="00FA3FAE">
            <w:pPr>
              <w:pStyle w:val="PargrafodaLista"/>
              <w:numPr>
                <w:ilvl w:val="0"/>
                <w:numId w:val="225"/>
              </w:numPr>
              <w:spacing w:after="0" w:line="240" w:lineRule="auto"/>
              <w:ind w:left="313" w:hanging="313"/>
              <w:jc w:val="both"/>
              <w:rPr>
                <w:rFonts w:ascii="Times New Roman" w:hAnsi="Times New Roman"/>
                <w:sz w:val="22"/>
                <w:szCs w:val="22"/>
              </w:rPr>
            </w:pPr>
            <w:r w:rsidRPr="00291334">
              <w:rPr>
                <w:rFonts w:ascii="Times New Roman" w:hAnsi="Times New Roman"/>
                <w:sz w:val="22"/>
                <w:szCs w:val="22"/>
              </w:rPr>
              <w:t>Extension des services de distribution d’eau aux localités desservies par d’autres opérateurs.</w:t>
            </w:r>
          </w:p>
        </w:tc>
        <w:tc>
          <w:tcPr>
            <w:tcW w:w="1276" w:type="dxa"/>
            <w:vAlign w:val="center"/>
          </w:tcPr>
          <w:p w:rsidR="008D7CFC" w:rsidRPr="00AA45E9" w:rsidRDefault="008D7CFC" w:rsidP="007062AE">
            <w:pPr>
              <w:spacing w:after="0" w:line="240" w:lineRule="auto"/>
              <w:jc w:val="center"/>
              <w:rPr>
                <w:rFonts w:ascii="Times New Roman" w:hAnsi="Times New Roman"/>
                <w:sz w:val="18"/>
                <w:szCs w:val="18"/>
              </w:rPr>
            </w:pPr>
            <w:r>
              <w:rPr>
                <w:rFonts w:ascii="Times New Roman" w:hAnsi="Times New Roman"/>
                <w:sz w:val="24"/>
                <w:szCs w:val="24"/>
              </w:rPr>
              <w:t>Faible</w:t>
            </w:r>
          </w:p>
        </w:tc>
        <w:tc>
          <w:tcPr>
            <w:tcW w:w="284" w:type="dxa"/>
            <w:shd w:val="clear" w:color="auto" w:fill="002060"/>
            <w:vAlign w:val="center"/>
          </w:tcPr>
          <w:p w:rsidR="008D7CFC" w:rsidRPr="00291334" w:rsidRDefault="008D7CFC" w:rsidP="007062AE">
            <w:pPr>
              <w:spacing w:after="0" w:line="240" w:lineRule="auto"/>
              <w:jc w:val="center"/>
              <w:rPr>
                <w:rFonts w:ascii="Times New Roman" w:hAnsi="Times New Roman"/>
                <w:b/>
                <w:sz w:val="18"/>
                <w:szCs w:val="18"/>
              </w:rPr>
            </w:pPr>
            <w:r w:rsidRPr="00291334">
              <w:rPr>
                <w:rFonts w:ascii="Times New Roman" w:hAnsi="Times New Roman"/>
                <w:b/>
                <w:sz w:val="24"/>
                <w:szCs w:val="24"/>
              </w:rPr>
              <w:t>1</w:t>
            </w:r>
          </w:p>
        </w:tc>
        <w:tc>
          <w:tcPr>
            <w:tcW w:w="1275" w:type="dxa"/>
            <w:vAlign w:val="center"/>
          </w:tcPr>
          <w:p w:rsidR="008D7CFC" w:rsidRPr="00AA45E9" w:rsidRDefault="008D7CFC" w:rsidP="007062AE">
            <w:pPr>
              <w:spacing w:after="0" w:line="240" w:lineRule="auto"/>
              <w:jc w:val="center"/>
              <w:rPr>
                <w:rFonts w:ascii="Times New Roman" w:hAnsi="Times New Roman"/>
                <w:sz w:val="18"/>
                <w:szCs w:val="18"/>
              </w:rPr>
            </w:pPr>
            <w:r>
              <w:rPr>
                <w:rFonts w:ascii="Times New Roman" w:hAnsi="Times New Roman"/>
                <w:sz w:val="24"/>
                <w:szCs w:val="24"/>
              </w:rPr>
              <w:t>Locale</w:t>
            </w:r>
          </w:p>
        </w:tc>
        <w:tc>
          <w:tcPr>
            <w:tcW w:w="284" w:type="dxa"/>
            <w:shd w:val="clear" w:color="auto" w:fill="002060"/>
            <w:vAlign w:val="center"/>
          </w:tcPr>
          <w:p w:rsidR="008D7CFC" w:rsidRPr="00291334" w:rsidRDefault="008D7CFC" w:rsidP="007062AE">
            <w:pPr>
              <w:spacing w:after="0" w:line="240" w:lineRule="auto"/>
              <w:jc w:val="center"/>
              <w:rPr>
                <w:rFonts w:ascii="Times New Roman" w:hAnsi="Times New Roman"/>
                <w:b/>
                <w:sz w:val="18"/>
                <w:szCs w:val="18"/>
              </w:rPr>
            </w:pPr>
            <w:r w:rsidRPr="00291334">
              <w:rPr>
                <w:rFonts w:ascii="Times New Roman" w:hAnsi="Times New Roman"/>
                <w:b/>
                <w:sz w:val="24"/>
                <w:szCs w:val="24"/>
              </w:rPr>
              <w:t>3</w:t>
            </w:r>
          </w:p>
        </w:tc>
        <w:tc>
          <w:tcPr>
            <w:tcW w:w="1276" w:type="dxa"/>
            <w:vAlign w:val="center"/>
          </w:tcPr>
          <w:p w:rsidR="008D7CFC" w:rsidRPr="00AA45E9" w:rsidRDefault="008D7CFC" w:rsidP="007062AE">
            <w:pPr>
              <w:spacing w:after="0" w:line="240" w:lineRule="auto"/>
              <w:jc w:val="center"/>
              <w:rPr>
                <w:rFonts w:ascii="Times New Roman" w:hAnsi="Times New Roman"/>
                <w:sz w:val="18"/>
                <w:szCs w:val="18"/>
              </w:rPr>
            </w:pPr>
            <w:r>
              <w:rPr>
                <w:rFonts w:ascii="Times New Roman" w:hAnsi="Times New Roman"/>
                <w:sz w:val="24"/>
                <w:szCs w:val="24"/>
              </w:rPr>
              <w:t>Longue</w:t>
            </w:r>
          </w:p>
        </w:tc>
        <w:tc>
          <w:tcPr>
            <w:tcW w:w="283" w:type="dxa"/>
            <w:shd w:val="clear" w:color="auto" w:fill="002060"/>
            <w:vAlign w:val="center"/>
          </w:tcPr>
          <w:p w:rsidR="008D7CFC" w:rsidRPr="00291334" w:rsidRDefault="008D7CFC" w:rsidP="007062AE">
            <w:pPr>
              <w:spacing w:after="0" w:line="240" w:lineRule="auto"/>
              <w:jc w:val="center"/>
              <w:rPr>
                <w:rFonts w:ascii="Times New Roman" w:hAnsi="Times New Roman"/>
                <w:b/>
                <w:sz w:val="18"/>
                <w:szCs w:val="18"/>
              </w:rPr>
            </w:pPr>
            <w:r w:rsidRPr="00291334">
              <w:rPr>
                <w:rFonts w:ascii="Times New Roman" w:hAnsi="Times New Roman"/>
                <w:b/>
                <w:sz w:val="24"/>
                <w:szCs w:val="24"/>
              </w:rPr>
              <w:t>5</w:t>
            </w:r>
          </w:p>
        </w:tc>
        <w:tc>
          <w:tcPr>
            <w:tcW w:w="1276" w:type="dxa"/>
            <w:shd w:val="clear" w:color="auto" w:fill="F7CAAC" w:themeFill="accent2" w:themeFillTint="66"/>
            <w:vAlign w:val="center"/>
          </w:tcPr>
          <w:p w:rsidR="008D7CFC" w:rsidRPr="00AA45E9" w:rsidRDefault="008D7CFC" w:rsidP="007062AE">
            <w:pPr>
              <w:spacing w:after="0" w:line="240" w:lineRule="auto"/>
              <w:jc w:val="center"/>
              <w:rPr>
                <w:rFonts w:ascii="Times New Roman" w:hAnsi="Times New Roman"/>
                <w:b/>
                <w:sz w:val="18"/>
                <w:szCs w:val="18"/>
              </w:rPr>
            </w:pPr>
            <w:r>
              <w:rPr>
                <w:rFonts w:ascii="Times New Roman" w:hAnsi="Times New Roman"/>
                <w:b/>
                <w:sz w:val="24"/>
                <w:szCs w:val="24"/>
              </w:rPr>
              <w:t>Mineure</w:t>
            </w:r>
          </w:p>
        </w:tc>
        <w:tc>
          <w:tcPr>
            <w:tcW w:w="709" w:type="dxa"/>
            <w:shd w:val="clear" w:color="auto" w:fill="F7CAAC" w:themeFill="accent2" w:themeFillTint="66"/>
            <w:vAlign w:val="center"/>
          </w:tcPr>
          <w:p w:rsidR="008D7CFC" w:rsidRPr="00AA45E9" w:rsidRDefault="008D7CFC" w:rsidP="007062AE">
            <w:pPr>
              <w:spacing w:after="0" w:line="240" w:lineRule="auto"/>
              <w:jc w:val="center"/>
              <w:rPr>
                <w:rFonts w:ascii="Times New Roman" w:hAnsi="Times New Roman"/>
                <w:b/>
                <w:sz w:val="18"/>
                <w:szCs w:val="18"/>
              </w:rPr>
            </w:pPr>
            <w:r>
              <w:rPr>
                <w:rFonts w:ascii="Times New Roman" w:hAnsi="Times New Roman"/>
                <w:b/>
                <w:sz w:val="24"/>
                <w:szCs w:val="24"/>
              </w:rPr>
              <w:t>15</w:t>
            </w:r>
          </w:p>
        </w:tc>
      </w:tr>
      <w:tr w:rsidR="008D7CFC" w:rsidRPr="00AA45E9" w:rsidTr="007062AE">
        <w:trPr>
          <w:jc w:val="center"/>
        </w:trPr>
        <w:tc>
          <w:tcPr>
            <w:tcW w:w="1555" w:type="dxa"/>
            <w:gridSpan w:val="2"/>
            <w:vMerge/>
            <w:shd w:val="clear" w:color="auto" w:fill="BDD6EE"/>
          </w:tcPr>
          <w:p w:rsidR="008D7CFC" w:rsidRPr="00AA45E9" w:rsidRDefault="008D7CFC" w:rsidP="007062AE">
            <w:pPr>
              <w:spacing w:after="0" w:line="240" w:lineRule="auto"/>
              <w:jc w:val="both"/>
              <w:rPr>
                <w:rFonts w:ascii="Times New Roman" w:hAnsi="Times New Roman"/>
              </w:rPr>
            </w:pPr>
          </w:p>
        </w:tc>
        <w:tc>
          <w:tcPr>
            <w:tcW w:w="1417" w:type="dxa"/>
            <w:gridSpan w:val="4"/>
            <w:vMerge/>
          </w:tcPr>
          <w:p w:rsidR="008D7CFC" w:rsidRPr="00AA45E9" w:rsidRDefault="008D7CFC" w:rsidP="007062AE">
            <w:pPr>
              <w:spacing w:after="0" w:line="240" w:lineRule="auto"/>
              <w:jc w:val="both"/>
              <w:rPr>
                <w:rFonts w:ascii="Times New Roman" w:hAnsi="Times New Roman"/>
                <w:b/>
                <w:sz w:val="24"/>
                <w:szCs w:val="24"/>
              </w:rPr>
            </w:pPr>
          </w:p>
        </w:tc>
        <w:tc>
          <w:tcPr>
            <w:tcW w:w="6662" w:type="dxa"/>
          </w:tcPr>
          <w:p w:rsidR="008D7CFC" w:rsidRPr="00291334" w:rsidRDefault="008D7CFC" w:rsidP="00FA3FAE">
            <w:pPr>
              <w:pStyle w:val="PargrafodaLista"/>
              <w:numPr>
                <w:ilvl w:val="0"/>
                <w:numId w:val="225"/>
              </w:numPr>
              <w:spacing w:after="0" w:line="240" w:lineRule="auto"/>
              <w:ind w:left="313" w:hanging="313"/>
              <w:jc w:val="both"/>
              <w:rPr>
                <w:rFonts w:ascii="Times New Roman" w:hAnsi="Times New Roman"/>
                <w:sz w:val="22"/>
                <w:szCs w:val="22"/>
              </w:rPr>
            </w:pPr>
            <w:r w:rsidRPr="00291334">
              <w:rPr>
                <w:rFonts w:ascii="Times New Roman" w:hAnsi="Times New Roman"/>
                <w:sz w:val="22"/>
                <w:szCs w:val="22"/>
              </w:rPr>
              <w:t>Amélioration de la performance de l’EAGB</w:t>
            </w:r>
          </w:p>
        </w:tc>
        <w:tc>
          <w:tcPr>
            <w:tcW w:w="1276" w:type="dxa"/>
            <w:vAlign w:val="center"/>
          </w:tcPr>
          <w:p w:rsidR="008D7CFC" w:rsidRPr="00AA45E9" w:rsidRDefault="008D7CFC" w:rsidP="007062AE">
            <w:pPr>
              <w:spacing w:after="0" w:line="240" w:lineRule="auto"/>
              <w:jc w:val="center"/>
              <w:rPr>
                <w:rFonts w:ascii="Times New Roman" w:hAnsi="Times New Roman"/>
                <w:sz w:val="18"/>
                <w:szCs w:val="18"/>
              </w:rPr>
            </w:pPr>
            <w:r w:rsidRPr="00867483">
              <w:rPr>
                <w:rFonts w:ascii="Times New Roman" w:hAnsi="Times New Roman"/>
                <w:sz w:val="24"/>
                <w:szCs w:val="24"/>
              </w:rPr>
              <w:t>Forte</w:t>
            </w:r>
          </w:p>
        </w:tc>
        <w:tc>
          <w:tcPr>
            <w:tcW w:w="284" w:type="dxa"/>
            <w:shd w:val="clear" w:color="auto" w:fill="002060"/>
            <w:vAlign w:val="center"/>
          </w:tcPr>
          <w:p w:rsidR="008D7CFC" w:rsidRPr="00291334" w:rsidRDefault="008D7CFC" w:rsidP="007062AE">
            <w:pPr>
              <w:spacing w:after="0" w:line="240" w:lineRule="auto"/>
              <w:jc w:val="center"/>
              <w:rPr>
                <w:rFonts w:ascii="Times New Roman" w:hAnsi="Times New Roman"/>
                <w:b/>
                <w:sz w:val="18"/>
                <w:szCs w:val="18"/>
              </w:rPr>
            </w:pPr>
            <w:r w:rsidRPr="00291334">
              <w:rPr>
                <w:rFonts w:ascii="Times New Roman" w:hAnsi="Times New Roman"/>
                <w:b/>
                <w:sz w:val="24"/>
                <w:szCs w:val="24"/>
              </w:rPr>
              <w:t>5</w:t>
            </w:r>
          </w:p>
        </w:tc>
        <w:tc>
          <w:tcPr>
            <w:tcW w:w="1275" w:type="dxa"/>
            <w:vAlign w:val="center"/>
          </w:tcPr>
          <w:p w:rsidR="008D7CFC" w:rsidRPr="00AA45E9" w:rsidRDefault="008D7CFC" w:rsidP="007062AE">
            <w:pPr>
              <w:spacing w:after="0" w:line="240" w:lineRule="auto"/>
              <w:jc w:val="center"/>
              <w:rPr>
                <w:rFonts w:ascii="Times New Roman" w:hAnsi="Times New Roman"/>
                <w:sz w:val="18"/>
                <w:szCs w:val="18"/>
              </w:rPr>
            </w:pPr>
            <w:r>
              <w:rPr>
                <w:rFonts w:ascii="Times New Roman" w:hAnsi="Times New Roman"/>
                <w:sz w:val="24"/>
                <w:szCs w:val="24"/>
              </w:rPr>
              <w:t>Régionale</w:t>
            </w:r>
          </w:p>
        </w:tc>
        <w:tc>
          <w:tcPr>
            <w:tcW w:w="284" w:type="dxa"/>
            <w:shd w:val="clear" w:color="auto" w:fill="002060"/>
            <w:vAlign w:val="center"/>
          </w:tcPr>
          <w:p w:rsidR="008D7CFC" w:rsidRPr="00291334" w:rsidRDefault="008D7CFC" w:rsidP="007062AE">
            <w:pPr>
              <w:spacing w:after="0" w:line="240" w:lineRule="auto"/>
              <w:jc w:val="center"/>
              <w:rPr>
                <w:rFonts w:ascii="Times New Roman" w:hAnsi="Times New Roman"/>
                <w:b/>
                <w:sz w:val="18"/>
                <w:szCs w:val="18"/>
              </w:rPr>
            </w:pPr>
            <w:r w:rsidRPr="00291334">
              <w:rPr>
                <w:rFonts w:ascii="Times New Roman" w:hAnsi="Times New Roman"/>
                <w:b/>
                <w:sz w:val="24"/>
                <w:szCs w:val="24"/>
              </w:rPr>
              <w:t>5</w:t>
            </w:r>
          </w:p>
        </w:tc>
        <w:tc>
          <w:tcPr>
            <w:tcW w:w="1276" w:type="dxa"/>
            <w:vAlign w:val="center"/>
          </w:tcPr>
          <w:p w:rsidR="008D7CFC" w:rsidRPr="00AA45E9" w:rsidRDefault="008D7CFC" w:rsidP="007062AE">
            <w:pPr>
              <w:spacing w:after="0" w:line="240" w:lineRule="auto"/>
              <w:jc w:val="center"/>
              <w:rPr>
                <w:rFonts w:ascii="Times New Roman" w:hAnsi="Times New Roman"/>
                <w:sz w:val="18"/>
                <w:szCs w:val="18"/>
              </w:rPr>
            </w:pPr>
            <w:r>
              <w:rPr>
                <w:rFonts w:ascii="Times New Roman" w:hAnsi="Times New Roman"/>
                <w:sz w:val="24"/>
                <w:szCs w:val="24"/>
              </w:rPr>
              <w:t>Longue</w:t>
            </w:r>
          </w:p>
        </w:tc>
        <w:tc>
          <w:tcPr>
            <w:tcW w:w="283" w:type="dxa"/>
            <w:shd w:val="clear" w:color="auto" w:fill="002060"/>
            <w:vAlign w:val="center"/>
          </w:tcPr>
          <w:p w:rsidR="008D7CFC" w:rsidRPr="00291334" w:rsidRDefault="008D7CFC" w:rsidP="007062AE">
            <w:pPr>
              <w:spacing w:after="0" w:line="240" w:lineRule="auto"/>
              <w:jc w:val="center"/>
              <w:rPr>
                <w:rFonts w:ascii="Times New Roman" w:hAnsi="Times New Roman"/>
                <w:b/>
                <w:sz w:val="18"/>
                <w:szCs w:val="18"/>
              </w:rPr>
            </w:pPr>
            <w:r w:rsidRPr="00291334">
              <w:rPr>
                <w:rFonts w:ascii="Times New Roman" w:hAnsi="Times New Roman"/>
                <w:b/>
                <w:sz w:val="24"/>
                <w:szCs w:val="24"/>
              </w:rPr>
              <w:t>5</w:t>
            </w:r>
          </w:p>
        </w:tc>
        <w:tc>
          <w:tcPr>
            <w:tcW w:w="1276" w:type="dxa"/>
            <w:shd w:val="clear" w:color="auto" w:fill="92D050"/>
            <w:vAlign w:val="center"/>
          </w:tcPr>
          <w:p w:rsidR="008D7CFC" w:rsidRPr="00AA45E9" w:rsidRDefault="008D7CFC" w:rsidP="007062AE">
            <w:pPr>
              <w:spacing w:after="0" w:line="240" w:lineRule="auto"/>
              <w:jc w:val="center"/>
              <w:rPr>
                <w:rFonts w:ascii="Times New Roman" w:hAnsi="Times New Roman"/>
                <w:b/>
                <w:sz w:val="18"/>
                <w:szCs w:val="18"/>
              </w:rPr>
            </w:pPr>
            <w:r>
              <w:rPr>
                <w:rFonts w:ascii="Times New Roman" w:hAnsi="Times New Roman"/>
                <w:b/>
                <w:sz w:val="24"/>
                <w:szCs w:val="24"/>
              </w:rPr>
              <w:t>Majeure</w:t>
            </w:r>
          </w:p>
        </w:tc>
        <w:tc>
          <w:tcPr>
            <w:tcW w:w="709" w:type="dxa"/>
            <w:shd w:val="clear" w:color="auto" w:fill="92D050"/>
            <w:vAlign w:val="center"/>
          </w:tcPr>
          <w:p w:rsidR="008D7CFC" w:rsidRPr="00AA45E9" w:rsidRDefault="008D7CFC" w:rsidP="007062AE">
            <w:pPr>
              <w:spacing w:after="0" w:line="240" w:lineRule="auto"/>
              <w:jc w:val="center"/>
              <w:rPr>
                <w:rFonts w:ascii="Times New Roman" w:hAnsi="Times New Roman"/>
                <w:b/>
                <w:sz w:val="18"/>
                <w:szCs w:val="18"/>
              </w:rPr>
            </w:pPr>
            <w:r>
              <w:rPr>
                <w:rFonts w:ascii="Times New Roman" w:hAnsi="Times New Roman"/>
                <w:b/>
                <w:sz w:val="24"/>
                <w:szCs w:val="24"/>
              </w:rPr>
              <w:t>12</w:t>
            </w:r>
            <w:r w:rsidRPr="008E6D9C">
              <w:rPr>
                <w:rFonts w:ascii="Times New Roman" w:hAnsi="Times New Roman"/>
                <w:b/>
                <w:sz w:val="24"/>
                <w:szCs w:val="24"/>
              </w:rPr>
              <w:t>5</w:t>
            </w:r>
          </w:p>
        </w:tc>
      </w:tr>
    </w:tbl>
    <w:p w:rsidR="008D7CFC" w:rsidRDefault="008D7CFC" w:rsidP="008D7CFC">
      <w:pPr>
        <w:jc w:val="both"/>
        <w:rPr>
          <w:rFonts w:ascii="Times New Roman" w:hAnsi="Times New Roman" w:cs="Times New Roman"/>
          <w:color w:val="000000"/>
          <w:sz w:val="24"/>
          <w:szCs w:val="24"/>
        </w:rPr>
      </w:pPr>
    </w:p>
    <w:p w:rsidR="008D7CFC" w:rsidRDefault="008D7CFC" w:rsidP="008D7CFC">
      <w:pPr>
        <w:rPr>
          <w:rFonts w:ascii="Times New Roman" w:hAnsi="Times New Roman" w:cs="Times New Roman"/>
          <w:sz w:val="24"/>
          <w:szCs w:val="24"/>
        </w:rPr>
      </w:pPr>
    </w:p>
    <w:p w:rsidR="008D7CFC" w:rsidRPr="00BA3EE1" w:rsidRDefault="008D7CFC" w:rsidP="008D7CFC">
      <w:pPr>
        <w:jc w:val="center"/>
        <w:rPr>
          <w:rFonts w:ascii="Times New Roman" w:hAnsi="Times New Roman" w:cs="Times New Roman"/>
          <w:b/>
          <w:sz w:val="20"/>
          <w:szCs w:val="20"/>
        </w:rPr>
      </w:pPr>
      <w:r w:rsidRPr="00BA3EE1">
        <w:rPr>
          <w:rFonts w:ascii="Times New Roman" w:hAnsi="Times New Roman" w:cs="Times New Roman"/>
          <w:b/>
          <w:sz w:val="20"/>
          <w:szCs w:val="20"/>
        </w:rPr>
        <w:lastRenderedPageBreak/>
        <w:tab/>
      </w:r>
      <w:bookmarkStart w:id="343" w:name="_Toc51074012"/>
      <w:r w:rsidRPr="00BA3EE1">
        <w:rPr>
          <w:rFonts w:ascii="Times New Roman" w:hAnsi="Times New Roman" w:cs="Times New Roman"/>
          <w:b/>
          <w:sz w:val="20"/>
          <w:szCs w:val="20"/>
        </w:rPr>
        <w:t xml:space="preserve">Tableau </w:t>
      </w:r>
      <w:r w:rsidRPr="00BA3EE1">
        <w:rPr>
          <w:rFonts w:ascii="Times New Roman" w:hAnsi="Times New Roman" w:cs="Times New Roman"/>
          <w:b/>
          <w:sz w:val="20"/>
          <w:szCs w:val="20"/>
        </w:rPr>
        <w:fldChar w:fldCharType="begin"/>
      </w:r>
      <w:r w:rsidRPr="00BA3EE1">
        <w:rPr>
          <w:rFonts w:ascii="Times New Roman" w:hAnsi="Times New Roman" w:cs="Times New Roman"/>
          <w:b/>
          <w:sz w:val="20"/>
          <w:szCs w:val="20"/>
        </w:rPr>
        <w:instrText xml:space="preserve"> SEQ Tableau \* ARABIC </w:instrText>
      </w:r>
      <w:r w:rsidRPr="00BA3EE1">
        <w:rPr>
          <w:rFonts w:ascii="Times New Roman" w:hAnsi="Times New Roman" w:cs="Times New Roman"/>
          <w:b/>
          <w:sz w:val="20"/>
          <w:szCs w:val="20"/>
        </w:rPr>
        <w:fldChar w:fldCharType="separate"/>
      </w:r>
      <w:r w:rsidR="00820701">
        <w:rPr>
          <w:rFonts w:ascii="Times New Roman" w:hAnsi="Times New Roman" w:cs="Times New Roman"/>
          <w:b/>
          <w:noProof/>
          <w:sz w:val="20"/>
          <w:szCs w:val="20"/>
        </w:rPr>
        <w:t>21</w:t>
      </w:r>
      <w:r w:rsidRPr="00BA3EE1">
        <w:rPr>
          <w:rFonts w:ascii="Times New Roman" w:hAnsi="Times New Roman" w:cs="Times New Roman"/>
          <w:b/>
          <w:sz w:val="20"/>
          <w:szCs w:val="20"/>
        </w:rPr>
        <w:fldChar w:fldCharType="end"/>
      </w:r>
      <w:r w:rsidRPr="00BA3EE1">
        <w:rPr>
          <w:rFonts w:ascii="Times New Roman" w:hAnsi="Times New Roman" w:cs="Times New Roman"/>
          <w:b/>
          <w:sz w:val="20"/>
          <w:szCs w:val="20"/>
        </w:rPr>
        <w:t>: Synthèse des impacts négatifs attendus au niveau du sous-projet n°2</w:t>
      </w:r>
      <w:bookmarkEnd w:id="343"/>
    </w:p>
    <w:tbl>
      <w:tblPr>
        <w:tblW w:w="160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425"/>
        <w:gridCol w:w="426"/>
        <w:gridCol w:w="141"/>
        <w:gridCol w:w="662"/>
        <w:gridCol w:w="6568"/>
        <w:gridCol w:w="1134"/>
        <w:gridCol w:w="283"/>
        <w:gridCol w:w="1276"/>
        <w:gridCol w:w="283"/>
        <w:gridCol w:w="1276"/>
        <w:gridCol w:w="284"/>
        <w:gridCol w:w="1275"/>
        <w:gridCol w:w="709"/>
      </w:tblGrid>
      <w:tr w:rsidR="008D7CFC" w:rsidRPr="00AA45E9" w:rsidTr="007062AE">
        <w:trPr>
          <w:jc w:val="center"/>
        </w:trPr>
        <w:tc>
          <w:tcPr>
            <w:tcW w:w="1696" w:type="dxa"/>
            <w:gridSpan w:val="2"/>
            <w:shd w:val="clear" w:color="auto" w:fill="F2F2F2" w:themeFill="background1" w:themeFillShade="F2"/>
            <w:vAlign w:val="center"/>
          </w:tcPr>
          <w:p w:rsidR="008D7CFC" w:rsidRPr="00AA45E9" w:rsidRDefault="008D7CFC" w:rsidP="007062AE">
            <w:pPr>
              <w:spacing w:after="0" w:line="240" w:lineRule="auto"/>
              <w:jc w:val="center"/>
              <w:rPr>
                <w:rFonts w:ascii="Times New Roman" w:hAnsi="Times New Roman"/>
                <w:b/>
              </w:rPr>
            </w:pPr>
            <w:r w:rsidRPr="00AA45E9">
              <w:rPr>
                <w:rFonts w:ascii="Times New Roman" w:hAnsi="Times New Roman"/>
                <w:b/>
              </w:rPr>
              <w:t>PHASES</w:t>
            </w:r>
          </w:p>
        </w:tc>
        <w:tc>
          <w:tcPr>
            <w:tcW w:w="1229" w:type="dxa"/>
            <w:gridSpan w:val="3"/>
            <w:shd w:val="clear" w:color="auto" w:fill="F2F2F2" w:themeFill="background1" w:themeFillShade="F2"/>
            <w:vAlign w:val="center"/>
          </w:tcPr>
          <w:p w:rsidR="008D7CFC" w:rsidRPr="00AA45E9" w:rsidRDefault="008D7CFC" w:rsidP="007062AE">
            <w:pPr>
              <w:spacing w:after="0" w:line="240" w:lineRule="auto"/>
              <w:jc w:val="center"/>
              <w:rPr>
                <w:rFonts w:ascii="Times New Roman" w:hAnsi="Times New Roman"/>
                <w:b/>
              </w:rPr>
            </w:pPr>
            <w:r w:rsidRPr="00AA45E9">
              <w:rPr>
                <w:rFonts w:ascii="Times New Roman" w:hAnsi="Times New Roman"/>
                <w:b/>
              </w:rPr>
              <w:t>MILIEU</w:t>
            </w:r>
          </w:p>
        </w:tc>
        <w:tc>
          <w:tcPr>
            <w:tcW w:w="6568" w:type="dxa"/>
            <w:shd w:val="clear" w:color="auto" w:fill="F2F2F2" w:themeFill="background1" w:themeFillShade="F2"/>
            <w:vAlign w:val="center"/>
          </w:tcPr>
          <w:p w:rsidR="008D7CFC" w:rsidRPr="00AA45E9" w:rsidRDefault="008D7CFC" w:rsidP="007062AE">
            <w:pPr>
              <w:spacing w:after="0" w:line="240" w:lineRule="auto"/>
              <w:jc w:val="center"/>
              <w:rPr>
                <w:rFonts w:ascii="Times New Roman" w:hAnsi="Times New Roman"/>
                <w:b/>
              </w:rPr>
            </w:pPr>
            <w:r>
              <w:rPr>
                <w:rFonts w:ascii="Times New Roman" w:hAnsi="Times New Roman"/>
                <w:b/>
              </w:rPr>
              <w:t>IMPACTS NEGA</w:t>
            </w:r>
            <w:r w:rsidRPr="00AA45E9">
              <w:rPr>
                <w:rFonts w:ascii="Times New Roman" w:hAnsi="Times New Roman"/>
                <w:b/>
              </w:rPr>
              <w:t>TIFS POTENTIELS</w:t>
            </w:r>
          </w:p>
        </w:tc>
        <w:tc>
          <w:tcPr>
            <w:tcW w:w="1417" w:type="dxa"/>
            <w:gridSpan w:val="2"/>
            <w:shd w:val="clear" w:color="auto" w:fill="002060"/>
            <w:vAlign w:val="center"/>
          </w:tcPr>
          <w:p w:rsidR="008D7CFC" w:rsidRPr="0052566B" w:rsidRDefault="008D7CFC" w:rsidP="007062AE">
            <w:pPr>
              <w:spacing w:after="0" w:line="240" w:lineRule="auto"/>
              <w:jc w:val="both"/>
              <w:rPr>
                <w:rFonts w:ascii="Times New Roman" w:hAnsi="Times New Roman"/>
                <w:b/>
                <w:sz w:val="20"/>
                <w:szCs w:val="20"/>
              </w:rPr>
            </w:pPr>
            <w:r w:rsidRPr="0052566B">
              <w:rPr>
                <w:rFonts w:ascii="Times New Roman" w:hAnsi="Times New Roman"/>
                <w:b/>
                <w:sz w:val="20"/>
                <w:szCs w:val="20"/>
              </w:rPr>
              <w:t>Intensité</w:t>
            </w:r>
          </w:p>
        </w:tc>
        <w:tc>
          <w:tcPr>
            <w:tcW w:w="1559" w:type="dxa"/>
            <w:gridSpan w:val="2"/>
            <w:shd w:val="clear" w:color="auto" w:fill="002060"/>
            <w:vAlign w:val="center"/>
          </w:tcPr>
          <w:p w:rsidR="008D7CFC" w:rsidRPr="0052566B" w:rsidRDefault="008D7CFC" w:rsidP="007062AE">
            <w:pPr>
              <w:spacing w:after="0" w:line="240" w:lineRule="auto"/>
              <w:jc w:val="both"/>
              <w:rPr>
                <w:rFonts w:ascii="Times New Roman" w:hAnsi="Times New Roman"/>
                <w:b/>
                <w:sz w:val="20"/>
                <w:szCs w:val="20"/>
              </w:rPr>
            </w:pPr>
            <w:r w:rsidRPr="0052566B">
              <w:rPr>
                <w:rFonts w:ascii="Times New Roman" w:hAnsi="Times New Roman"/>
                <w:b/>
                <w:sz w:val="20"/>
                <w:szCs w:val="20"/>
              </w:rPr>
              <w:t>Etendue</w:t>
            </w:r>
          </w:p>
        </w:tc>
        <w:tc>
          <w:tcPr>
            <w:tcW w:w="1560" w:type="dxa"/>
            <w:gridSpan w:val="2"/>
            <w:shd w:val="clear" w:color="auto" w:fill="002060"/>
            <w:vAlign w:val="center"/>
          </w:tcPr>
          <w:p w:rsidR="008D7CFC" w:rsidRPr="0052566B" w:rsidRDefault="008D7CFC" w:rsidP="007062AE">
            <w:pPr>
              <w:spacing w:after="0" w:line="240" w:lineRule="auto"/>
              <w:jc w:val="both"/>
              <w:rPr>
                <w:rFonts w:ascii="Times New Roman" w:hAnsi="Times New Roman"/>
                <w:b/>
                <w:sz w:val="20"/>
                <w:szCs w:val="20"/>
              </w:rPr>
            </w:pPr>
            <w:r w:rsidRPr="0052566B">
              <w:rPr>
                <w:rFonts w:ascii="Times New Roman" w:hAnsi="Times New Roman"/>
                <w:b/>
                <w:sz w:val="20"/>
                <w:szCs w:val="20"/>
              </w:rPr>
              <w:t>Durée</w:t>
            </w:r>
          </w:p>
        </w:tc>
        <w:tc>
          <w:tcPr>
            <w:tcW w:w="1984" w:type="dxa"/>
            <w:gridSpan w:val="2"/>
            <w:shd w:val="clear" w:color="auto" w:fill="002060"/>
            <w:vAlign w:val="center"/>
          </w:tcPr>
          <w:p w:rsidR="008D7CFC" w:rsidRPr="0052566B" w:rsidRDefault="008D7CFC" w:rsidP="007062AE">
            <w:pPr>
              <w:spacing w:after="0" w:line="240" w:lineRule="auto"/>
              <w:jc w:val="both"/>
              <w:rPr>
                <w:rFonts w:ascii="Times New Roman" w:hAnsi="Times New Roman"/>
                <w:b/>
                <w:sz w:val="20"/>
                <w:szCs w:val="20"/>
              </w:rPr>
            </w:pPr>
            <w:r w:rsidRPr="0052566B">
              <w:rPr>
                <w:rFonts w:ascii="Times New Roman" w:hAnsi="Times New Roman"/>
                <w:b/>
                <w:sz w:val="20"/>
                <w:szCs w:val="20"/>
              </w:rPr>
              <w:t>Importance</w:t>
            </w:r>
          </w:p>
        </w:tc>
      </w:tr>
      <w:tr w:rsidR="008D7CFC" w:rsidRPr="00AA45E9" w:rsidTr="007062AE">
        <w:trPr>
          <w:gridBefore w:val="1"/>
          <w:gridAfter w:val="11"/>
          <w:wBefore w:w="1271" w:type="dxa"/>
          <w:wAfter w:w="13891" w:type="dxa"/>
          <w:trHeight w:val="70"/>
          <w:jc w:val="center"/>
        </w:trPr>
        <w:tc>
          <w:tcPr>
            <w:tcW w:w="851" w:type="dxa"/>
            <w:gridSpan w:val="2"/>
            <w:shd w:val="clear" w:color="auto" w:fill="000000" w:themeFill="text1"/>
            <w:vAlign w:val="center"/>
          </w:tcPr>
          <w:p w:rsidR="008D7CFC" w:rsidRPr="00375630" w:rsidRDefault="008D7CFC" w:rsidP="007062AE">
            <w:pPr>
              <w:spacing w:after="0" w:line="240" w:lineRule="auto"/>
              <w:jc w:val="both"/>
              <w:rPr>
                <w:rFonts w:ascii="Times New Roman" w:hAnsi="Times New Roman"/>
                <w:sz w:val="8"/>
                <w:szCs w:val="8"/>
              </w:rPr>
            </w:pPr>
          </w:p>
        </w:tc>
      </w:tr>
      <w:tr w:rsidR="00BD326C" w:rsidRPr="00AA45E9" w:rsidTr="007062AE">
        <w:trPr>
          <w:jc w:val="center"/>
        </w:trPr>
        <w:tc>
          <w:tcPr>
            <w:tcW w:w="1696" w:type="dxa"/>
            <w:gridSpan w:val="2"/>
            <w:vMerge w:val="restart"/>
            <w:shd w:val="clear" w:color="auto" w:fill="BDD6EE"/>
            <w:vAlign w:val="center"/>
          </w:tcPr>
          <w:p w:rsidR="00BD326C" w:rsidRPr="008E1DE6" w:rsidRDefault="00BD326C" w:rsidP="007062AE">
            <w:pPr>
              <w:spacing w:after="0" w:line="240" w:lineRule="auto"/>
              <w:jc w:val="center"/>
              <w:rPr>
                <w:rFonts w:ascii="Times New Roman" w:eastAsia="MS Gothic" w:hAnsi="Times New Roman"/>
                <w:b/>
                <w:sz w:val="20"/>
                <w:szCs w:val="20"/>
              </w:rPr>
            </w:pPr>
            <w:r w:rsidRPr="008E1DE6">
              <w:rPr>
                <w:rFonts w:ascii="Times New Roman" w:eastAsia="MS Gothic" w:hAnsi="Times New Roman"/>
                <w:b/>
                <w:sz w:val="20"/>
                <w:szCs w:val="20"/>
              </w:rPr>
              <w:t>Pré-construction et</w:t>
            </w:r>
          </w:p>
          <w:p w:rsidR="00BD326C" w:rsidRPr="008E1DE6" w:rsidRDefault="00BD326C" w:rsidP="007062AE">
            <w:pPr>
              <w:spacing w:after="0" w:line="240" w:lineRule="auto"/>
              <w:jc w:val="center"/>
              <w:rPr>
                <w:rFonts w:ascii="Times New Roman" w:eastAsia="MS Gothic" w:hAnsi="Times New Roman"/>
                <w:b/>
                <w:sz w:val="20"/>
                <w:szCs w:val="20"/>
              </w:rPr>
            </w:pPr>
            <w:r w:rsidRPr="008E1DE6">
              <w:rPr>
                <w:rFonts w:ascii="Times New Roman" w:eastAsia="MS Gothic" w:hAnsi="Times New Roman"/>
                <w:b/>
                <w:sz w:val="20"/>
                <w:szCs w:val="20"/>
              </w:rPr>
              <w:t>Construction</w:t>
            </w:r>
          </w:p>
        </w:tc>
        <w:tc>
          <w:tcPr>
            <w:tcW w:w="1229" w:type="dxa"/>
            <w:gridSpan w:val="3"/>
            <w:vAlign w:val="center"/>
          </w:tcPr>
          <w:p w:rsidR="00BD326C" w:rsidRPr="008E1DE6" w:rsidRDefault="00BD326C" w:rsidP="007062AE">
            <w:pPr>
              <w:spacing w:after="0" w:line="240" w:lineRule="auto"/>
              <w:jc w:val="center"/>
              <w:rPr>
                <w:rFonts w:ascii="Times New Roman" w:hAnsi="Times New Roman"/>
                <w:b/>
                <w:sz w:val="20"/>
                <w:szCs w:val="20"/>
              </w:rPr>
            </w:pPr>
            <w:r w:rsidRPr="008E1DE6">
              <w:rPr>
                <w:rFonts w:ascii="Times New Roman" w:hAnsi="Times New Roman"/>
                <w:b/>
                <w:sz w:val="20"/>
                <w:szCs w:val="20"/>
              </w:rPr>
              <w:t>AIR</w:t>
            </w:r>
          </w:p>
        </w:tc>
        <w:tc>
          <w:tcPr>
            <w:tcW w:w="6568" w:type="dxa"/>
            <w:vAlign w:val="center"/>
          </w:tcPr>
          <w:p w:rsidR="00BD326C" w:rsidRPr="000D22E9" w:rsidRDefault="00BD326C" w:rsidP="00FA3FAE">
            <w:pPr>
              <w:pStyle w:val="Listecouleur-Accent11"/>
              <w:numPr>
                <w:ilvl w:val="0"/>
                <w:numId w:val="83"/>
              </w:numPr>
              <w:rPr>
                <w:rFonts w:ascii="Times New Roman" w:hAnsi="Times New Roman"/>
                <w:lang w:val="fr-FR"/>
              </w:rPr>
            </w:pPr>
            <w:r w:rsidRPr="000D22E9">
              <w:rPr>
                <w:rFonts w:ascii="Times New Roman" w:hAnsi="Times New Roman"/>
              </w:rPr>
              <w:t>Risque de dégradation de la qualité de l’air (bruits, poussières et gaz d’échappement)</w:t>
            </w:r>
          </w:p>
        </w:tc>
        <w:tc>
          <w:tcPr>
            <w:tcW w:w="1134" w:type="dxa"/>
            <w:vAlign w:val="center"/>
          </w:tcPr>
          <w:p w:rsidR="00BD326C" w:rsidRPr="00AA45E9" w:rsidRDefault="00BD326C" w:rsidP="007062AE">
            <w:pPr>
              <w:spacing w:after="0" w:line="240" w:lineRule="auto"/>
              <w:jc w:val="center"/>
              <w:rPr>
                <w:rFonts w:ascii="Times New Roman" w:hAnsi="Times New Roman"/>
                <w:sz w:val="18"/>
                <w:szCs w:val="18"/>
              </w:rPr>
            </w:pPr>
            <w:r>
              <w:rPr>
                <w:rFonts w:ascii="Times New Roman" w:hAnsi="Times New Roman"/>
                <w:sz w:val="24"/>
                <w:szCs w:val="24"/>
              </w:rPr>
              <w:t>Moyenne</w:t>
            </w:r>
          </w:p>
        </w:tc>
        <w:tc>
          <w:tcPr>
            <w:tcW w:w="283" w:type="dxa"/>
            <w:shd w:val="clear" w:color="auto" w:fill="002060"/>
            <w:vAlign w:val="center"/>
          </w:tcPr>
          <w:p w:rsidR="00BD326C" w:rsidRPr="008E1DE6" w:rsidRDefault="00BD326C" w:rsidP="007062AE">
            <w:pPr>
              <w:spacing w:after="0" w:line="240" w:lineRule="auto"/>
              <w:jc w:val="center"/>
              <w:rPr>
                <w:rFonts w:ascii="Times New Roman" w:hAnsi="Times New Roman"/>
                <w:b/>
                <w:sz w:val="18"/>
                <w:szCs w:val="18"/>
              </w:rPr>
            </w:pPr>
            <w:r w:rsidRPr="008E1DE6">
              <w:rPr>
                <w:rFonts w:ascii="Times New Roman" w:hAnsi="Times New Roman"/>
                <w:b/>
                <w:sz w:val="24"/>
                <w:szCs w:val="24"/>
              </w:rPr>
              <w:t>3</w:t>
            </w:r>
          </w:p>
        </w:tc>
        <w:tc>
          <w:tcPr>
            <w:tcW w:w="1276" w:type="dxa"/>
            <w:vAlign w:val="center"/>
          </w:tcPr>
          <w:p w:rsidR="00BD326C" w:rsidRPr="00AA45E9" w:rsidRDefault="00BD326C" w:rsidP="007062AE">
            <w:pPr>
              <w:spacing w:after="0" w:line="240" w:lineRule="auto"/>
              <w:jc w:val="center"/>
              <w:rPr>
                <w:rFonts w:ascii="Times New Roman" w:hAnsi="Times New Roman"/>
                <w:sz w:val="18"/>
                <w:szCs w:val="18"/>
              </w:rPr>
            </w:pPr>
            <w:r>
              <w:rPr>
                <w:rFonts w:ascii="Times New Roman" w:hAnsi="Times New Roman"/>
                <w:sz w:val="24"/>
                <w:szCs w:val="24"/>
              </w:rPr>
              <w:t>Locale</w:t>
            </w:r>
          </w:p>
        </w:tc>
        <w:tc>
          <w:tcPr>
            <w:tcW w:w="283" w:type="dxa"/>
            <w:shd w:val="clear" w:color="auto" w:fill="002060"/>
            <w:vAlign w:val="center"/>
          </w:tcPr>
          <w:p w:rsidR="00BD326C" w:rsidRPr="008E1DE6" w:rsidRDefault="00BD326C" w:rsidP="007062AE">
            <w:pPr>
              <w:spacing w:after="0" w:line="240" w:lineRule="auto"/>
              <w:jc w:val="center"/>
              <w:rPr>
                <w:rFonts w:ascii="Times New Roman" w:hAnsi="Times New Roman"/>
                <w:b/>
                <w:sz w:val="18"/>
                <w:szCs w:val="18"/>
              </w:rPr>
            </w:pPr>
            <w:r w:rsidRPr="008E1DE6">
              <w:rPr>
                <w:rFonts w:ascii="Times New Roman" w:hAnsi="Times New Roman"/>
                <w:b/>
                <w:sz w:val="24"/>
                <w:szCs w:val="24"/>
              </w:rPr>
              <w:t>3</w:t>
            </w:r>
          </w:p>
        </w:tc>
        <w:tc>
          <w:tcPr>
            <w:tcW w:w="1276" w:type="dxa"/>
            <w:vAlign w:val="center"/>
          </w:tcPr>
          <w:p w:rsidR="00BD326C" w:rsidRPr="00AA45E9" w:rsidRDefault="00BD326C" w:rsidP="007062AE">
            <w:pPr>
              <w:spacing w:after="0" w:line="240" w:lineRule="auto"/>
              <w:jc w:val="center"/>
              <w:rPr>
                <w:rFonts w:ascii="Times New Roman" w:hAnsi="Times New Roman"/>
                <w:sz w:val="18"/>
                <w:szCs w:val="18"/>
              </w:rPr>
            </w:pPr>
            <w:r>
              <w:rPr>
                <w:rFonts w:ascii="Times New Roman" w:hAnsi="Times New Roman"/>
                <w:sz w:val="24"/>
                <w:szCs w:val="24"/>
              </w:rPr>
              <w:t>Courte</w:t>
            </w:r>
          </w:p>
        </w:tc>
        <w:tc>
          <w:tcPr>
            <w:tcW w:w="284" w:type="dxa"/>
            <w:shd w:val="clear" w:color="auto" w:fill="002060"/>
            <w:vAlign w:val="center"/>
          </w:tcPr>
          <w:p w:rsidR="00BD326C" w:rsidRPr="008E1DE6" w:rsidRDefault="00BD326C" w:rsidP="007062AE">
            <w:pPr>
              <w:spacing w:after="0" w:line="240" w:lineRule="auto"/>
              <w:jc w:val="center"/>
              <w:rPr>
                <w:rFonts w:ascii="Times New Roman" w:hAnsi="Times New Roman"/>
                <w:b/>
                <w:sz w:val="18"/>
                <w:szCs w:val="18"/>
              </w:rPr>
            </w:pPr>
            <w:r w:rsidRPr="008E1DE6">
              <w:rPr>
                <w:rFonts w:ascii="Times New Roman" w:hAnsi="Times New Roman"/>
                <w:b/>
                <w:sz w:val="24"/>
                <w:szCs w:val="24"/>
              </w:rPr>
              <w:t>1</w:t>
            </w:r>
          </w:p>
        </w:tc>
        <w:tc>
          <w:tcPr>
            <w:tcW w:w="1275" w:type="dxa"/>
            <w:shd w:val="clear" w:color="auto" w:fill="92D050"/>
            <w:vAlign w:val="center"/>
          </w:tcPr>
          <w:p w:rsidR="00BD326C" w:rsidRPr="005244BC" w:rsidRDefault="00BD326C" w:rsidP="007062AE">
            <w:pPr>
              <w:spacing w:after="0" w:line="240" w:lineRule="auto"/>
              <w:jc w:val="center"/>
              <w:rPr>
                <w:rFonts w:ascii="Times New Roman" w:hAnsi="Times New Roman"/>
                <w:b/>
                <w:sz w:val="16"/>
                <w:szCs w:val="16"/>
              </w:rPr>
            </w:pPr>
            <w:r>
              <w:rPr>
                <w:rFonts w:ascii="Times New Roman" w:hAnsi="Times New Roman"/>
                <w:b/>
                <w:sz w:val="24"/>
                <w:szCs w:val="24"/>
              </w:rPr>
              <w:t>Mineure</w:t>
            </w:r>
          </w:p>
        </w:tc>
        <w:tc>
          <w:tcPr>
            <w:tcW w:w="709" w:type="dxa"/>
            <w:shd w:val="clear" w:color="auto" w:fill="92D050"/>
            <w:vAlign w:val="center"/>
          </w:tcPr>
          <w:p w:rsidR="00BD326C" w:rsidRPr="005244BC" w:rsidRDefault="00BD326C" w:rsidP="007062AE">
            <w:pPr>
              <w:spacing w:after="0" w:line="240" w:lineRule="auto"/>
              <w:jc w:val="center"/>
              <w:rPr>
                <w:rFonts w:ascii="Times New Roman" w:hAnsi="Times New Roman"/>
                <w:b/>
                <w:sz w:val="16"/>
                <w:szCs w:val="16"/>
              </w:rPr>
            </w:pPr>
            <w:r>
              <w:rPr>
                <w:rFonts w:ascii="Times New Roman" w:hAnsi="Times New Roman"/>
                <w:b/>
                <w:sz w:val="24"/>
                <w:szCs w:val="24"/>
              </w:rPr>
              <w:t>9</w:t>
            </w:r>
          </w:p>
        </w:tc>
      </w:tr>
      <w:tr w:rsidR="00BD326C" w:rsidRPr="00AA45E9" w:rsidTr="007062AE">
        <w:trPr>
          <w:jc w:val="center"/>
        </w:trPr>
        <w:tc>
          <w:tcPr>
            <w:tcW w:w="1696" w:type="dxa"/>
            <w:gridSpan w:val="2"/>
            <w:vMerge/>
            <w:shd w:val="clear" w:color="auto" w:fill="BDD6EE"/>
            <w:vAlign w:val="center"/>
          </w:tcPr>
          <w:p w:rsidR="00BD326C" w:rsidRPr="008E1DE6" w:rsidRDefault="00BD326C" w:rsidP="007062AE">
            <w:pPr>
              <w:spacing w:after="0" w:line="240" w:lineRule="auto"/>
              <w:jc w:val="center"/>
              <w:rPr>
                <w:rFonts w:ascii="Times New Roman" w:hAnsi="Times New Roman"/>
                <w:sz w:val="20"/>
                <w:szCs w:val="20"/>
              </w:rPr>
            </w:pPr>
          </w:p>
        </w:tc>
        <w:tc>
          <w:tcPr>
            <w:tcW w:w="1229" w:type="dxa"/>
            <w:gridSpan w:val="3"/>
            <w:vMerge w:val="restart"/>
            <w:vAlign w:val="center"/>
          </w:tcPr>
          <w:p w:rsidR="00BD326C" w:rsidRPr="008E1DE6" w:rsidRDefault="00BD326C" w:rsidP="007062AE">
            <w:pPr>
              <w:spacing w:after="0" w:line="240" w:lineRule="auto"/>
              <w:jc w:val="center"/>
              <w:rPr>
                <w:rFonts w:ascii="Times New Roman" w:hAnsi="Times New Roman"/>
                <w:b/>
                <w:sz w:val="20"/>
                <w:szCs w:val="20"/>
              </w:rPr>
            </w:pPr>
            <w:r w:rsidRPr="008E1DE6">
              <w:rPr>
                <w:rFonts w:ascii="Times New Roman" w:hAnsi="Times New Roman"/>
                <w:b/>
                <w:sz w:val="20"/>
                <w:szCs w:val="20"/>
              </w:rPr>
              <w:t>SOL</w:t>
            </w:r>
          </w:p>
        </w:tc>
        <w:tc>
          <w:tcPr>
            <w:tcW w:w="6568" w:type="dxa"/>
            <w:vAlign w:val="center"/>
          </w:tcPr>
          <w:p w:rsidR="00BD326C" w:rsidRPr="000D22E9" w:rsidRDefault="00BD326C" w:rsidP="007062AE">
            <w:pPr>
              <w:spacing w:after="0" w:line="240" w:lineRule="auto"/>
              <w:jc w:val="both"/>
              <w:rPr>
                <w:rFonts w:ascii="Times New Roman" w:hAnsi="Times New Roman"/>
              </w:rPr>
            </w:pPr>
            <w:r w:rsidRPr="000D22E9">
              <w:rPr>
                <w:rFonts w:ascii="Times New Roman" w:hAnsi="Times New Roman"/>
              </w:rPr>
              <w:t>Risque de production de déblais et de modification de la texture des sols</w:t>
            </w:r>
          </w:p>
        </w:tc>
        <w:tc>
          <w:tcPr>
            <w:tcW w:w="1134" w:type="dxa"/>
            <w:vMerge w:val="restart"/>
            <w:vAlign w:val="center"/>
          </w:tcPr>
          <w:p w:rsidR="00BD326C" w:rsidRPr="00AA45E9" w:rsidRDefault="00BD326C" w:rsidP="007062AE">
            <w:pPr>
              <w:spacing w:after="0" w:line="240" w:lineRule="auto"/>
              <w:jc w:val="center"/>
              <w:rPr>
                <w:rFonts w:ascii="Times New Roman" w:hAnsi="Times New Roman"/>
                <w:sz w:val="18"/>
                <w:szCs w:val="18"/>
              </w:rPr>
            </w:pPr>
            <w:r w:rsidRPr="00867483">
              <w:rPr>
                <w:rFonts w:ascii="Times New Roman" w:hAnsi="Times New Roman"/>
                <w:sz w:val="24"/>
                <w:szCs w:val="24"/>
              </w:rPr>
              <w:t>Forte</w:t>
            </w:r>
          </w:p>
        </w:tc>
        <w:tc>
          <w:tcPr>
            <w:tcW w:w="283" w:type="dxa"/>
            <w:vMerge w:val="restart"/>
            <w:shd w:val="clear" w:color="auto" w:fill="002060"/>
            <w:vAlign w:val="center"/>
          </w:tcPr>
          <w:p w:rsidR="00BD326C" w:rsidRPr="008E1DE6" w:rsidRDefault="00BD326C" w:rsidP="007062AE">
            <w:pPr>
              <w:spacing w:after="0" w:line="240" w:lineRule="auto"/>
              <w:jc w:val="center"/>
              <w:rPr>
                <w:rFonts w:ascii="Times New Roman" w:hAnsi="Times New Roman"/>
                <w:b/>
                <w:sz w:val="18"/>
                <w:szCs w:val="18"/>
              </w:rPr>
            </w:pPr>
            <w:r w:rsidRPr="008E1DE6">
              <w:rPr>
                <w:rFonts w:ascii="Times New Roman" w:hAnsi="Times New Roman"/>
                <w:b/>
                <w:sz w:val="24"/>
                <w:szCs w:val="24"/>
              </w:rPr>
              <w:t>5</w:t>
            </w:r>
          </w:p>
        </w:tc>
        <w:tc>
          <w:tcPr>
            <w:tcW w:w="1276" w:type="dxa"/>
            <w:vMerge w:val="restart"/>
            <w:vAlign w:val="center"/>
          </w:tcPr>
          <w:p w:rsidR="00BD326C" w:rsidRPr="00AA45E9" w:rsidRDefault="00BD326C" w:rsidP="007062AE">
            <w:pPr>
              <w:spacing w:after="0" w:line="240" w:lineRule="auto"/>
              <w:jc w:val="center"/>
              <w:rPr>
                <w:rFonts w:ascii="Times New Roman" w:hAnsi="Times New Roman"/>
                <w:sz w:val="18"/>
                <w:szCs w:val="18"/>
              </w:rPr>
            </w:pPr>
            <w:r>
              <w:rPr>
                <w:rFonts w:ascii="Times New Roman" w:hAnsi="Times New Roman"/>
                <w:sz w:val="24"/>
                <w:szCs w:val="24"/>
              </w:rPr>
              <w:t>Ponctuelle</w:t>
            </w:r>
          </w:p>
        </w:tc>
        <w:tc>
          <w:tcPr>
            <w:tcW w:w="283" w:type="dxa"/>
            <w:vMerge w:val="restart"/>
            <w:shd w:val="clear" w:color="auto" w:fill="002060"/>
            <w:vAlign w:val="center"/>
          </w:tcPr>
          <w:p w:rsidR="00BD326C" w:rsidRPr="008E1DE6" w:rsidRDefault="00BD326C" w:rsidP="007062AE">
            <w:pPr>
              <w:spacing w:after="0" w:line="240" w:lineRule="auto"/>
              <w:jc w:val="center"/>
              <w:rPr>
                <w:rFonts w:ascii="Times New Roman" w:hAnsi="Times New Roman"/>
                <w:b/>
                <w:sz w:val="18"/>
                <w:szCs w:val="18"/>
              </w:rPr>
            </w:pPr>
            <w:r w:rsidRPr="008E1DE6">
              <w:rPr>
                <w:rFonts w:ascii="Times New Roman" w:hAnsi="Times New Roman"/>
                <w:b/>
                <w:sz w:val="24"/>
                <w:szCs w:val="24"/>
              </w:rPr>
              <w:t>1</w:t>
            </w:r>
          </w:p>
        </w:tc>
        <w:tc>
          <w:tcPr>
            <w:tcW w:w="1276" w:type="dxa"/>
            <w:vMerge w:val="restart"/>
            <w:vAlign w:val="center"/>
          </w:tcPr>
          <w:p w:rsidR="00BD326C" w:rsidRPr="00AA45E9" w:rsidRDefault="00BD326C" w:rsidP="007062AE">
            <w:pPr>
              <w:spacing w:after="0" w:line="240" w:lineRule="auto"/>
              <w:jc w:val="center"/>
              <w:rPr>
                <w:rFonts w:ascii="Times New Roman" w:hAnsi="Times New Roman"/>
                <w:sz w:val="18"/>
                <w:szCs w:val="18"/>
              </w:rPr>
            </w:pPr>
            <w:r>
              <w:rPr>
                <w:rFonts w:ascii="Times New Roman" w:hAnsi="Times New Roman"/>
                <w:sz w:val="24"/>
                <w:szCs w:val="24"/>
              </w:rPr>
              <w:t>Courte</w:t>
            </w:r>
          </w:p>
        </w:tc>
        <w:tc>
          <w:tcPr>
            <w:tcW w:w="284" w:type="dxa"/>
            <w:vMerge w:val="restart"/>
            <w:shd w:val="clear" w:color="auto" w:fill="002060"/>
            <w:vAlign w:val="center"/>
          </w:tcPr>
          <w:p w:rsidR="00BD326C" w:rsidRPr="008E1DE6" w:rsidRDefault="00BD326C" w:rsidP="007062AE">
            <w:pPr>
              <w:spacing w:after="0" w:line="240" w:lineRule="auto"/>
              <w:jc w:val="center"/>
              <w:rPr>
                <w:rFonts w:ascii="Times New Roman" w:hAnsi="Times New Roman"/>
                <w:b/>
                <w:sz w:val="18"/>
                <w:szCs w:val="18"/>
              </w:rPr>
            </w:pPr>
            <w:r w:rsidRPr="008E1DE6">
              <w:rPr>
                <w:rFonts w:ascii="Times New Roman" w:hAnsi="Times New Roman"/>
                <w:b/>
                <w:sz w:val="24"/>
                <w:szCs w:val="24"/>
              </w:rPr>
              <w:t>1</w:t>
            </w:r>
          </w:p>
        </w:tc>
        <w:tc>
          <w:tcPr>
            <w:tcW w:w="1275" w:type="dxa"/>
            <w:vMerge w:val="restart"/>
            <w:shd w:val="clear" w:color="auto" w:fill="92D050"/>
            <w:vAlign w:val="center"/>
          </w:tcPr>
          <w:p w:rsidR="00BD326C" w:rsidRPr="005244BC" w:rsidRDefault="00BD326C" w:rsidP="007062AE">
            <w:pPr>
              <w:spacing w:after="0" w:line="240" w:lineRule="auto"/>
              <w:jc w:val="center"/>
              <w:rPr>
                <w:rFonts w:ascii="Times New Roman" w:hAnsi="Times New Roman"/>
                <w:b/>
                <w:sz w:val="16"/>
                <w:szCs w:val="16"/>
              </w:rPr>
            </w:pPr>
            <w:r>
              <w:rPr>
                <w:rFonts w:ascii="Times New Roman" w:hAnsi="Times New Roman"/>
                <w:b/>
                <w:sz w:val="24"/>
                <w:szCs w:val="24"/>
              </w:rPr>
              <w:t>Mineure</w:t>
            </w:r>
          </w:p>
        </w:tc>
        <w:tc>
          <w:tcPr>
            <w:tcW w:w="709" w:type="dxa"/>
            <w:vMerge w:val="restart"/>
            <w:shd w:val="clear" w:color="auto" w:fill="92D050"/>
            <w:vAlign w:val="center"/>
          </w:tcPr>
          <w:p w:rsidR="00BD326C" w:rsidRPr="005244BC" w:rsidRDefault="00BD326C" w:rsidP="007062AE">
            <w:pPr>
              <w:spacing w:after="0" w:line="240" w:lineRule="auto"/>
              <w:jc w:val="center"/>
              <w:rPr>
                <w:rFonts w:ascii="Times New Roman" w:hAnsi="Times New Roman"/>
                <w:b/>
                <w:sz w:val="16"/>
                <w:szCs w:val="16"/>
              </w:rPr>
            </w:pPr>
            <w:r>
              <w:rPr>
                <w:rFonts w:ascii="Times New Roman" w:hAnsi="Times New Roman"/>
                <w:b/>
                <w:sz w:val="24"/>
                <w:szCs w:val="24"/>
              </w:rPr>
              <w:t>5</w:t>
            </w:r>
          </w:p>
        </w:tc>
      </w:tr>
      <w:tr w:rsidR="00BD326C" w:rsidRPr="00AA45E9" w:rsidTr="007062AE">
        <w:trPr>
          <w:jc w:val="center"/>
        </w:trPr>
        <w:tc>
          <w:tcPr>
            <w:tcW w:w="1696" w:type="dxa"/>
            <w:gridSpan w:val="2"/>
            <w:vMerge/>
            <w:shd w:val="clear" w:color="auto" w:fill="BDD6EE"/>
            <w:vAlign w:val="center"/>
          </w:tcPr>
          <w:p w:rsidR="00BD326C" w:rsidRPr="008E1DE6" w:rsidRDefault="00BD326C" w:rsidP="007062AE">
            <w:pPr>
              <w:spacing w:after="0" w:line="240" w:lineRule="auto"/>
              <w:jc w:val="center"/>
              <w:rPr>
                <w:rFonts w:ascii="Times New Roman" w:hAnsi="Times New Roman"/>
                <w:sz w:val="20"/>
                <w:szCs w:val="20"/>
              </w:rPr>
            </w:pPr>
          </w:p>
        </w:tc>
        <w:tc>
          <w:tcPr>
            <w:tcW w:w="1229" w:type="dxa"/>
            <w:gridSpan w:val="3"/>
            <w:vMerge/>
            <w:vAlign w:val="center"/>
          </w:tcPr>
          <w:p w:rsidR="00BD326C" w:rsidRPr="008E1DE6" w:rsidRDefault="00BD326C" w:rsidP="007062AE">
            <w:pPr>
              <w:spacing w:after="0" w:line="240" w:lineRule="auto"/>
              <w:jc w:val="center"/>
              <w:rPr>
                <w:rFonts w:ascii="Times New Roman" w:hAnsi="Times New Roman"/>
                <w:b/>
                <w:sz w:val="20"/>
                <w:szCs w:val="20"/>
              </w:rPr>
            </w:pPr>
          </w:p>
        </w:tc>
        <w:tc>
          <w:tcPr>
            <w:tcW w:w="6568" w:type="dxa"/>
            <w:vAlign w:val="center"/>
          </w:tcPr>
          <w:p w:rsidR="00BD326C" w:rsidRPr="000D22E9" w:rsidRDefault="00BD326C" w:rsidP="00FA3FAE">
            <w:pPr>
              <w:pStyle w:val="Listecouleur-Accent11"/>
              <w:numPr>
                <w:ilvl w:val="0"/>
                <w:numId w:val="84"/>
              </w:numPr>
              <w:rPr>
                <w:rFonts w:ascii="Times New Roman" w:hAnsi="Times New Roman"/>
                <w:lang w:val="fr-FR"/>
              </w:rPr>
            </w:pPr>
            <w:r w:rsidRPr="000D22E9">
              <w:rPr>
                <w:rFonts w:ascii="Times New Roman" w:hAnsi="Times New Roman"/>
              </w:rPr>
              <w:t>Risque de pollution accidentelle des sols est à craindre dues à d’éventuelles fuites de carburant ou de lubrifiant.</w:t>
            </w:r>
          </w:p>
        </w:tc>
        <w:tc>
          <w:tcPr>
            <w:tcW w:w="1134" w:type="dxa"/>
            <w:vMerge/>
            <w:vAlign w:val="center"/>
          </w:tcPr>
          <w:p w:rsidR="00BD326C" w:rsidRPr="00AA45E9" w:rsidRDefault="00BD326C" w:rsidP="007062AE">
            <w:pPr>
              <w:spacing w:after="0" w:line="240" w:lineRule="auto"/>
              <w:jc w:val="center"/>
              <w:rPr>
                <w:rFonts w:ascii="Times New Roman" w:hAnsi="Times New Roman"/>
                <w:sz w:val="18"/>
                <w:szCs w:val="18"/>
              </w:rPr>
            </w:pPr>
          </w:p>
        </w:tc>
        <w:tc>
          <w:tcPr>
            <w:tcW w:w="283" w:type="dxa"/>
            <w:vMerge/>
            <w:shd w:val="clear" w:color="auto" w:fill="002060"/>
            <w:vAlign w:val="center"/>
          </w:tcPr>
          <w:p w:rsidR="00BD326C" w:rsidRPr="008E1DE6" w:rsidRDefault="00BD326C" w:rsidP="007062AE">
            <w:pPr>
              <w:spacing w:after="0" w:line="240" w:lineRule="auto"/>
              <w:jc w:val="center"/>
              <w:rPr>
                <w:rFonts w:ascii="Times New Roman" w:hAnsi="Times New Roman"/>
                <w:b/>
                <w:sz w:val="18"/>
                <w:szCs w:val="18"/>
              </w:rPr>
            </w:pPr>
          </w:p>
        </w:tc>
        <w:tc>
          <w:tcPr>
            <w:tcW w:w="1276" w:type="dxa"/>
            <w:vMerge/>
            <w:vAlign w:val="center"/>
          </w:tcPr>
          <w:p w:rsidR="00BD326C" w:rsidRPr="00AA45E9" w:rsidRDefault="00BD326C" w:rsidP="007062AE">
            <w:pPr>
              <w:spacing w:after="0" w:line="240" w:lineRule="auto"/>
              <w:jc w:val="center"/>
              <w:rPr>
                <w:rFonts w:ascii="Times New Roman" w:hAnsi="Times New Roman"/>
                <w:sz w:val="18"/>
                <w:szCs w:val="18"/>
              </w:rPr>
            </w:pPr>
          </w:p>
        </w:tc>
        <w:tc>
          <w:tcPr>
            <w:tcW w:w="283" w:type="dxa"/>
            <w:vMerge/>
            <w:shd w:val="clear" w:color="auto" w:fill="002060"/>
            <w:vAlign w:val="center"/>
          </w:tcPr>
          <w:p w:rsidR="00BD326C" w:rsidRPr="008E1DE6" w:rsidRDefault="00BD326C" w:rsidP="007062AE">
            <w:pPr>
              <w:spacing w:after="0" w:line="240" w:lineRule="auto"/>
              <w:jc w:val="center"/>
              <w:rPr>
                <w:rFonts w:ascii="Times New Roman" w:hAnsi="Times New Roman"/>
                <w:b/>
                <w:sz w:val="18"/>
                <w:szCs w:val="18"/>
              </w:rPr>
            </w:pPr>
          </w:p>
        </w:tc>
        <w:tc>
          <w:tcPr>
            <w:tcW w:w="1276" w:type="dxa"/>
            <w:vMerge/>
            <w:vAlign w:val="center"/>
          </w:tcPr>
          <w:p w:rsidR="00BD326C" w:rsidRPr="00AA45E9" w:rsidRDefault="00BD326C" w:rsidP="007062AE">
            <w:pPr>
              <w:spacing w:after="0" w:line="240" w:lineRule="auto"/>
              <w:jc w:val="center"/>
              <w:rPr>
                <w:rFonts w:ascii="Times New Roman" w:hAnsi="Times New Roman"/>
                <w:sz w:val="18"/>
                <w:szCs w:val="18"/>
              </w:rPr>
            </w:pPr>
          </w:p>
        </w:tc>
        <w:tc>
          <w:tcPr>
            <w:tcW w:w="284" w:type="dxa"/>
            <w:vMerge/>
            <w:shd w:val="clear" w:color="auto" w:fill="002060"/>
            <w:vAlign w:val="center"/>
          </w:tcPr>
          <w:p w:rsidR="00BD326C" w:rsidRPr="008E1DE6" w:rsidRDefault="00BD326C" w:rsidP="007062AE">
            <w:pPr>
              <w:spacing w:after="0" w:line="240" w:lineRule="auto"/>
              <w:jc w:val="center"/>
              <w:rPr>
                <w:rFonts w:ascii="Times New Roman" w:hAnsi="Times New Roman"/>
                <w:b/>
                <w:sz w:val="18"/>
                <w:szCs w:val="18"/>
              </w:rPr>
            </w:pPr>
          </w:p>
        </w:tc>
        <w:tc>
          <w:tcPr>
            <w:tcW w:w="1275" w:type="dxa"/>
            <w:vMerge/>
            <w:shd w:val="clear" w:color="auto" w:fill="92D050"/>
            <w:vAlign w:val="center"/>
          </w:tcPr>
          <w:p w:rsidR="00BD326C" w:rsidRPr="005244BC" w:rsidRDefault="00BD326C" w:rsidP="007062AE">
            <w:pPr>
              <w:spacing w:after="0" w:line="240" w:lineRule="auto"/>
              <w:jc w:val="center"/>
              <w:rPr>
                <w:rFonts w:ascii="Times New Roman" w:hAnsi="Times New Roman"/>
                <w:b/>
                <w:sz w:val="16"/>
                <w:szCs w:val="16"/>
              </w:rPr>
            </w:pPr>
          </w:p>
        </w:tc>
        <w:tc>
          <w:tcPr>
            <w:tcW w:w="709" w:type="dxa"/>
            <w:vMerge/>
            <w:shd w:val="clear" w:color="auto" w:fill="92D050"/>
            <w:vAlign w:val="center"/>
          </w:tcPr>
          <w:p w:rsidR="00BD326C" w:rsidRPr="005244BC" w:rsidRDefault="00BD326C" w:rsidP="007062AE">
            <w:pPr>
              <w:spacing w:after="0" w:line="240" w:lineRule="auto"/>
              <w:jc w:val="center"/>
              <w:rPr>
                <w:rFonts w:ascii="Times New Roman" w:hAnsi="Times New Roman"/>
                <w:b/>
                <w:sz w:val="16"/>
                <w:szCs w:val="16"/>
              </w:rPr>
            </w:pPr>
          </w:p>
        </w:tc>
      </w:tr>
      <w:tr w:rsidR="00BD326C" w:rsidRPr="00AA45E9" w:rsidTr="007062AE">
        <w:trPr>
          <w:jc w:val="center"/>
        </w:trPr>
        <w:tc>
          <w:tcPr>
            <w:tcW w:w="1696" w:type="dxa"/>
            <w:gridSpan w:val="2"/>
            <w:vMerge/>
            <w:shd w:val="clear" w:color="auto" w:fill="BDD6EE"/>
            <w:vAlign w:val="center"/>
          </w:tcPr>
          <w:p w:rsidR="00BD326C" w:rsidRPr="008E1DE6" w:rsidRDefault="00BD326C" w:rsidP="007062AE">
            <w:pPr>
              <w:spacing w:after="0" w:line="240" w:lineRule="auto"/>
              <w:jc w:val="center"/>
              <w:rPr>
                <w:rFonts w:ascii="Times New Roman" w:hAnsi="Times New Roman"/>
                <w:sz w:val="20"/>
                <w:szCs w:val="20"/>
              </w:rPr>
            </w:pPr>
          </w:p>
        </w:tc>
        <w:tc>
          <w:tcPr>
            <w:tcW w:w="1229" w:type="dxa"/>
            <w:gridSpan w:val="3"/>
            <w:vMerge/>
            <w:vAlign w:val="center"/>
          </w:tcPr>
          <w:p w:rsidR="00BD326C" w:rsidRPr="008E1DE6" w:rsidRDefault="00BD326C" w:rsidP="007062AE">
            <w:pPr>
              <w:spacing w:after="0" w:line="240" w:lineRule="auto"/>
              <w:jc w:val="center"/>
              <w:rPr>
                <w:rFonts w:ascii="Times New Roman" w:hAnsi="Times New Roman"/>
                <w:b/>
                <w:sz w:val="20"/>
                <w:szCs w:val="20"/>
              </w:rPr>
            </w:pPr>
          </w:p>
        </w:tc>
        <w:tc>
          <w:tcPr>
            <w:tcW w:w="6568" w:type="dxa"/>
            <w:vAlign w:val="center"/>
          </w:tcPr>
          <w:p w:rsidR="00BD326C" w:rsidRPr="000D22E9" w:rsidRDefault="00BD326C" w:rsidP="00FA3FAE">
            <w:pPr>
              <w:pStyle w:val="Listecouleur-Accent11"/>
              <w:numPr>
                <w:ilvl w:val="0"/>
                <w:numId w:val="84"/>
              </w:numPr>
              <w:rPr>
                <w:rFonts w:ascii="Times New Roman" w:hAnsi="Times New Roman"/>
              </w:rPr>
            </w:pPr>
            <w:r w:rsidRPr="000D22E9">
              <w:rPr>
                <w:rFonts w:ascii="Times New Roman" w:hAnsi="Times New Roman"/>
              </w:rPr>
              <w:t>Risque d’une fragilisation et d’un tassement des sols  et  du  sous-sol</w:t>
            </w:r>
          </w:p>
        </w:tc>
        <w:tc>
          <w:tcPr>
            <w:tcW w:w="1134" w:type="dxa"/>
            <w:vMerge/>
            <w:vAlign w:val="center"/>
          </w:tcPr>
          <w:p w:rsidR="00BD326C" w:rsidRPr="00AA45E9" w:rsidRDefault="00BD326C" w:rsidP="007062AE">
            <w:pPr>
              <w:spacing w:after="0" w:line="240" w:lineRule="auto"/>
              <w:jc w:val="center"/>
              <w:rPr>
                <w:rFonts w:ascii="Times New Roman" w:hAnsi="Times New Roman"/>
                <w:sz w:val="18"/>
                <w:szCs w:val="18"/>
              </w:rPr>
            </w:pPr>
          </w:p>
        </w:tc>
        <w:tc>
          <w:tcPr>
            <w:tcW w:w="283" w:type="dxa"/>
            <w:vMerge/>
            <w:shd w:val="clear" w:color="auto" w:fill="002060"/>
            <w:vAlign w:val="center"/>
          </w:tcPr>
          <w:p w:rsidR="00BD326C" w:rsidRPr="008E1DE6" w:rsidRDefault="00BD326C" w:rsidP="007062AE">
            <w:pPr>
              <w:spacing w:after="0" w:line="240" w:lineRule="auto"/>
              <w:jc w:val="center"/>
              <w:rPr>
                <w:rFonts w:ascii="Times New Roman" w:hAnsi="Times New Roman"/>
                <w:b/>
                <w:sz w:val="18"/>
                <w:szCs w:val="18"/>
              </w:rPr>
            </w:pPr>
          </w:p>
        </w:tc>
        <w:tc>
          <w:tcPr>
            <w:tcW w:w="1276" w:type="dxa"/>
            <w:vMerge/>
            <w:vAlign w:val="center"/>
          </w:tcPr>
          <w:p w:rsidR="00BD326C" w:rsidRPr="00AA45E9" w:rsidRDefault="00BD326C" w:rsidP="007062AE">
            <w:pPr>
              <w:spacing w:after="0" w:line="240" w:lineRule="auto"/>
              <w:jc w:val="center"/>
              <w:rPr>
                <w:rFonts w:ascii="Times New Roman" w:hAnsi="Times New Roman"/>
                <w:sz w:val="18"/>
                <w:szCs w:val="18"/>
              </w:rPr>
            </w:pPr>
          </w:p>
        </w:tc>
        <w:tc>
          <w:tcPr>
            <w:tcW w:w="283" w:type="dxa"/>
            <w:vMerge/>
            <w:shd w:val="clear" w:color="auto" w:fill="002060"/>
            <w:vAlign w:val="center"/>
          </w:tcPr>
          <w:p w:rsidR="00BD326C" w:rsidRPr="008E1DE6" w:rsidRDefault="00BD326C" w:rsidP="007062AE">
            <w:pPr>
              <w:spacing w:after="0" w:line="240" w:lineRule="auto"/>
              <w:jc w:val="center"/>
              <w:rPr>
                <w:rFonts w:ascii="Times New Roman" w:hAnsi="Times New Roman"/>
                <w:b/>
                <w:sz w:val="18"/>
                <w:szCs w:val="18"/>
              </w:rPr>
            </w:pPr>
          </w:p>
        </w:tc>
        <w:tc>
          <w:tcPr>
            <w:tcW w:w="1276" w:type="dxa"/>
            <w:vMerge/>
            <w:vAlign w:val="center"/>
          </w:tcPr>
          <w:p w:rsidR="00BD326C" w:rsidRPr="00AA45E9" w:rsidRDefault="00BD326C" w:rsidP="007062AE">
            <w:pPr>
              <w:spacing w:after="0" w:line="240" w:lineRule="auto"/>
              <w:jc w:val="center"/>
              <w:rPr>
                <w:rFonts w:ascii="Times New Roman" w:hAnsi="Times New Roman"/>
                <w:sz w:val="18"/>
                <w:szCs w:val="18"/>
              </w:rPr>
            </w:pPr>
          </w:p>
        </w:tc>
        <w:tc>
          <w:tcPr>
            <w:tcW w:w="284" w:type="dxa"/>
            <w:vMerge/>
            <w:shd w:val="clear" w:color="auto" w:fill="002060"/>
            <w:vAlign w:val="center"/>
          </w:tcPr>
          <w:p w:rsidR="00BD326C" w:rsidRPr="008E1DE6" w:rsidRDefault="00BD326C" w:rsidP="007062AE">
            <w:pPr>
              <w:spacing w:after="0" w:line="240" w:lineRule="auto"/>
              <w:jc w:val="center"/>
              <w:rPr>
                <w:rFonts w:ascii="Times New Roman" w:hAnsi="Times New Roman"/>
                <w:b/>
                <w:sz w:val="18"/>
                <w:szCs w:val="18"/>
              </w:rPr>
            </w:pPr>
          </w:p>
        </w:tc>
        <w:tc>
          <w:tcPr>
            <w:tcW w:w="1275" w:type="dxa"/>
            <w:vMerge/>
            <w:shd w:val="clear" w:color="auto" w:fill="92D050"/>
            <w:vAlign w:val="center"/>
          </w:tcPr>
          <w:p w:rsidR="00BD326C" w:rsidRPr="005244BC" w:rsidRDefault="00BD326C" w:rsidP="007062AE">
            <w:pPr>
              <w:spacing w:after="0" w:line="240" w:lineRule="auto"/>
              <w:jc w:val="center"/>
              <w:rPr>
                <w:rFonts w:ascii="Times New Roman" w:hAnsi="Times New Roman"/>
                <w:b/>
                <w:sz w:val="16"/>
                <w:szCs w:val="16"/>
              </w:rPr>
            </w:pPr>
          </w:p>
        </w:tc>
        <w:tc>
          <w:tcPr>
            <w:tcW w:w="709" w:type="dxa"/>
            <w:vMerge/>
            <w:shd w:val="clear" w:color="auto" w:fill="92D050"/>
            <w:vAlign w:val="center"/>
          </w:tcPr>
          <w:p w:rsidR="00BD326C" w:rsidRPr="005244BC" w:rsidRDefault="00BD326C" w:rsidP="007062AE">
            <w:pPr>
              <w:spacing w:after="0" w:line="240" w:lineRule="auto"/>
              <w:jc w:val="center"/>
              <w:rPr>
                <w:rFonts w:ascii="Times New Roman" w:hAnsi="Times New Roman"/>
                <w:b/>
                <w:sz w:val="16"/>
                <w:szCs w:val="16"/>
              </w:rPr>
            </w:pPr>
          </w:p>
        </w:tc>
      </w:tr>
      <w:tr w:rsidR="00BD326C" w:rsidRPr="00AA45E9" w:rsidTr="007062AE">
        <w:trPr>
          <w:jc w:val="center"/>
        </w:trPr>
        <w:tc>
          <w:tcPr>
            <w:tcW w:w="1696" w:type="dxa"/>
            <w:gridSpan w:val="2"/>
            <w:vMerge/>
            <w:shd w:val="clear" w:color="auto" w:fill="BDD6EE"/>
            <w:vAlign w:val="center"/>
          </w:tcPr>
          <w:p w:rsidR="00BD326C" w:rsidRPr="008E1DE6" w:rsidRDefault="00BD326C" w:rsidP="007062AE">
            <w:pPr>
              <w:spacing w:after="0" w:line="240" w:lineRule="auto"/>
              <w:jc w:val="center"/>
              <w:rPr>
                <w:rFonts w:ascii="Times New Roman" w:hAnsi="Times New Roman"/>
                <w:sz w:val="20"/>
                <w:szCs w:val="20"/>
              </w:rPr>
            </w:pPr>
          </w:p>
        </w:tc>
        <w:tc>
          <w:tcPr>
            <w:tcW w:w="1229" w:type="dxa"/>
            <w:gridSpan w:val="3"/>
            <w:vMerge w:val="restart"/>
            <w:vAlign w:val="center"/>
          </w:tcPr>
          <w:p w:rsidR="00BD326C" w:rsidRPr="008E1DE6" w:rsidRDefault="00BD326C" w:rsidP="007062AE">
            <w:pPr>
              <w:spacing w:after="0" w:line="240" w:lineRule="auto"/>
              <w:jc w:val="center"/>
              <w:rPr>
                <w:rFonts w:ascii="Times New Roman" w:hAnsi="Times New Roman"/>
                <w:b/>
                <w:sz w:val="20"/>
                <w:szCs w:val="20"/>
              </w:rPr>
            </w:pPr>
            <w:r w:rsidRPr="008E1DE6">
              <w:rPr>
                <w:rFonts w:ascii="Times New Roman" w:hAnsi="Times New Roman"/>
                <w:b/>
                <w:sz w:val="20"/>
                <w:szCs w:val="20"/>
              </w:rPr>
              <w:t>EAUX</w:t>
            </w:r>
          </w:p>
        </w:tc>
        <w:tc>
          <w:tcPr>
            <w:tcW w:w="6568" w:type="dxa"/>
            <w:vAlign w:val="center"/>
          </w:tcPr>
          <w:p w:rsidR="00BD326C" w:rsidRPr="000D22E9" w:rsidRDefault="00BD326C" w:rsidP="00FA3FAE">
            <w:pPr>
              <w:pStyle w:val="Listecouleur-Accent11"/>
              <w:numPr>
                <w:ilvl w:val="0"/>
                <w:numId w:val="85"/>
              </w:numPr>
              <w:rPr>
                <w:rFonts w:ascii="Times New Roman" w:hAnsi="Times New Roman"/>
                <w:b/>
                <w:lang w:val="fr-FR"/>
              </w:rPr>
            </w:pPr>
            <w:r w:rsidRPr="000D22E9">
              <w:rPr>
                <w:rFonts w:ascii="Times New Roman" w:hAnsi="Times New Roman"/>
              </w:rPr>
              <w:t>Risque potentiel de contamination de ces eaux de ruissellement due à d’éventuelles fuites de carburant ou de lubrifiant</w:t>
            </w:r>
          </w:p>
        </w:tc>
        <w:tc>
          <w:tcPr>
            <w:tcW w:w="1134" w:type="dxa"/>
            <w:vMerge w:val="restart"/>
            <w:vAlign w:val="center"/>
          </w:tcPr>
          <w:p w:rsidR="00BD326C" w:rsidRPr="00AA45E9" w:rsidRDefault="00BD326C" w:rsidP="007062AE">
            <w:pPr>
              <w:spacing w:after="0" w:line="240" w:lineRule="auto"/>
              <w:jc w:val="center"/>
              <w:rPr>
                <w:rFonts w:ascii="Times New Roman" w:hAnsi="Times New Roman"/>
                <w:sz w:val="18"/>
                <w:szCs w:val="18"/>
              </w:rPr>
            </w:pPr>
            <w:r w:rsidRPr="00867483">
              <w:rPr>
                <w:rFonts w:ascii="Times New Roman" w:hAnsi="Times New Roman"/>
                <w:sz w:val="24"/>
                <w:szCs w:val="24"/>
              </w:rPr>
              <w:t>Forte</w:t>
            </w:r>
          </w:p>
        </w:tc>
        <w:tc>
          <w:tcPr>
            <w:tcW w:w="283" w:type="dxa"/>
            <w:vMerge w:val="restart"/>
            <w:shd w:val="clear" w:color="auto" w:fill="002060"/>
            <w:vAlign w:val="center"/>
          </w:tcPr>
          <w:p w:rsidR="00BD326C" w:rsidRPr="008E1DE6" w:rsidRDefault="00BD326C" w:rsidP="007062AE">
            <w:pPr>
              <w:spacing w:after="0" w:line="240" w:lineRule="auto"/>
              <w:jc w:val="center"/>
              <w:rPr>
                <w:rFonts w:ascii="Times New Roman" w:hAnsi="Times New Roman"/>
                <w:b/>
                <w:sz w:val="18"/>
                <w:szCs w:val="18"/>
              </w:rPr>
            </w:pPr>
            <w:r w:rsidRPr="008E1DE6">
              <w:rPr>
                <w:rFonts w:ascii="Times New Roman" w:hAnsi="Times New Roman"/>
                <w:b/>
                <w:sz w:val="24"/>
                <w:szCs w:val="24"/>
              </w:rPr>
              <w:t>5</w:t>
            </w:r>
          </w:p>
        </w:tc>
        <w:tc>
          <w:tcPr>
            <w:tcW w:w="1276" w:type="dxa"/>
            <w:vMerge w:val="restart"/>
            <w:vAlign w:val="center"/>
          </w:tcPr>
          <w:p w:rsidR="00BD326C" w:rsidRPr="00AA45E9" w:rsidRDefault="00BD326C" w:rsidP="007062AE">
            <w:pPr>
              <w:spacing w:after="0" w:line="240" w:lineRule="auto"/>
              <w:jc w:val="center"/>
              <w:rPr>
                <w:rFonts w:ascii="Times New Roman" w:hAnsi="Times New Roman"/>
                <w:sz w:val="18"/>
                <w:szCs w:val="18"/>
              </w:rPr>
            </w:pPr>
            <w:r>
              <w:rPr>
                <w:rFonts w:ascii="Times New Roman" w:hAnsi="Times New Roman"/>
                <w:sz w:val="24"/>
                <w:szCs w:val="24"/>
              </w:rPr>
              <w:t>Locale</w:t>
            </w:r>
          </w:p>
        </w:tc>
        <w:tc>
          <w:tcPr>
            <w:tcW w:w="283" w:type="dxa"/>
            <w:vMerge w:val="restart"/>
            <w:shd w:val="clear" w:color="auto" w:fill="002060"/>
            <w:vAlign w:val="center"/>
          </w:tcPr>
          <w:p w:rsidR="00BD326C" w:rsidRPr="008E1DE6" w:rsidRDefault="00BD326C" w:rsidP="007062AE">
            <w:pPr>
              <w:spacing w:after="0" w:line="240" w:lineRule="auto"/>
              <w:jc w:val="center"/>
              <w:rPr>
                <w:rFonts w:ascii="Times New Roman" w:hAnsi="Times New Roman"/>
                <w:b/>
                <w:sz w:val="18"/>
                <w:szCs w:val="18"/>
              </w:rPr>
            </w:pPr>
            <w:r w:rsidRPr="008E1DE6">
              <w:rPr>
                <w:rFonts w:ascii="Times New Roman" w:hAnsi="Times New Roman"/>
                <w:b/>
                <w:sz w:val="24"/>
                <w:szCs w:val="24"/>
              </w:rPr>
              <w:t>3</w:t>
            </w:r>
          </w:p>
        </w:tc>
        <w:tc>
          <w:tcPr>
            <w:tcW w:w="1276" w:type="dxa"/>
            <w:vMerge w:val="restart"/>
            <w:vAlign w:val="center"/>
          </w:tcPr>
          <w:p w:rsidR="00BD326C" w:rsidRPr="00AA45E9" w:rsidRDefault="00BD326C" w:rsidP="007062AE">
            <w:pPr>
              <w:spacing w:after="0" w:line="240" w:lineRule="auto"/>
              <w:jc w:val="center"/>
              <w:rPr>
                <w:rFonts w:ascii="Times New Roman" w:hAnsi="Times New Roman"/>
                <w:sz w:val="18"/>
                <w:szCs w:val="18"/>
              </w:rPr>
            </w:pPr>
            <w:r>
              <w:rPr>
                <w:rFonts w:ascii="Times New Roman" w:hAnsi="Times New Roman"/>
                <w:sz w:val="24"/>
                <w:szCs w:val="24"/>
              </w:rPr>
              <w:t>Moyenne</w:t>
            </w:r>
          </w:p>
        </w:tc>
        <w:tc>
          <w:tcPr>
            <w:tcW w:w="284" w:type="dxa"/>
            <w:vMerge w:val="restart"/>
            <w:shd w:val="clear" w:color="auto" w:fill="002060"/>
            <w:vAlign w:val="center"/>
          </w:tcPr>
          <w:p w:rsidR="00BD326C" w:rsidRPr="008E1DE6" w:rsidRDefault="00BD326C" w:rsidP="007062AE">
            <w:pPr>
              <w:spacing w:after="0" w:line="240" w:lineRule="auto"/>
              <w:jc w:val="center"/>
              <w:rPr>
                <w:rFonts w:ascii="Times New Roman" w:hAnsi="Times New Roman"/>
                <w:b/>
                <w:sz w:val="18"/>
                <w:szCs w:val="18"/>
              </w:rPr>
            </w:pPr>
            <w:r w:rsidRPr="008E1DE6">
              <w:rPr>
                <w:rFonts w:ascii="Times New Roman" w:hAnsi="Times New Roman"/>
                <w:b/>
                <w:sz w:val="24"/>
                <w:szCs w:val="24"/>
              </w:rPr>
              <w:t>3</w:t>
            </w:r>
          </w:p>
        </w:tc>
        <w:tc>
          <w:tcPr>
            <w:tcW w:w="1275" w:type="dxa"/>
            <w:vMerge w:val="restart"/>
            <w:shd w:val="clear" w:color="auto" w:fill="FFFF00"/>
            <w:vAlign w:val="center"/>
          </w:tcPr>
          <w:p w:rsidR="00BD326C" w:rsidRPr="005244BC" w:rsidRDefault="00BD326C" w:rsidP="007062AE">
            <w:pPr>
              <w:spacing w:after="0" w:line="240" w:lineRule="auto"/>
              <w:jc w:val="center"/>
              <w:rPr>
                <w:rFonts w:ascii="Times New Roman" w:hAnsi="Times New Roman"/>
                <w:b/>
                <w:sz w:val="16"/>
                <w:szCs w:val="16"/>
              </w:rPr>
            </w:pPr>
            <w:r w:rsidRPr="00D96D77">
              <w:rPr>
                <w:rFonts w:ascii="Times New Roman" w:hAnsi="Times New Roman"/>
                <w:b/>
                <w:sz w:val="24"/>
                <w:szCs w:val="24"/>
              </w:rPr>
              <w:t>Moyenne</w:t>
            </w:r>
          </w:p>
        </w:tc>
        <w:tc>
          <w:tcPr>
            <w:tcW w:w="709" w:type="dxa"/>
            <w:vMerge w:val="restart"/>
            <w:shd w:val="clear" w:color="auto" w:fill="FFFF00"/>
            <w:vAlign w:val="center"/>
          </w:tcPr>
          <w:p w:rsidR="00BD326C" w:rsidRPr="005244BC" w:rsidRDefault="00BD326C" w:rsidP="007062AE">
            <w:pPr>
              <w:spacing w:after="0" w:line="240" w:lineRule="auto"/>
              <w:jc w:val="center"/>
              <w:rPr>
                <w:rFonts w:ascii="Times New Roman" w:hAnsi="Times New Roman"/>
                <w:b/>
                <w:sz w:val="16"/>
                <w:szCs w:val="16"/>
              </w:rPr>
            </w:pPr>
            <w:r>
              <w:rPr>
                <w:rFonts w:ascii="Times New Roman" w:hAnsi="Times New Roman"/>
                <w:b/>
                <w:sz w:val="24"/>
                <w:szCs w:val="24"/>
              </w:rPr>
              <w:t>4</w:t>
            </w:r>
            <w:r w:rsidRPr="008E6D9C">
              <w:rPr>
                <w:rFonts w:ascii="Times New Roman" w:hAnsi="Times New Roman"/>
                <w:b/>
                <w:sz w:val="24"/>
                <w:szCs w:val="24"/>
              </w:rPr>
              <w:t>5</w:t>
            </w:r>
          </w:p>
        </w:tc>
      </w:tr>
      <w:tr w:rsidR="00BD326C" w:rsidRPr="00AA45E9" w:rsidTr="007062AE">
        <w:trPr>
          <w:jc w:val="center"/>
        </w:trPr>
        <w:tc>
          <w:tcPr>
            <w:tcW w:w="1696" w:type="dxa"/>
            <w:gridSpan w:val="2"/>
            <w:vMerge/>
            <w:shd w:val="clear" w:color="auto" w:fill="BDD6EE"/>
            <w:vAlign w:val="center"/>
          </w:tcPr>
          <w:p w:rsidR="00BD326C" w:rsidRPr="008E1DE6" w:rsidRDefault="00BD326C" w:rsidP="007062AE">
            <w:pPr>
              <w:spacing w:after="0" w:line="240" w:lineRule="auto"/>
              <w:jc w:val="center"/>
              <w:rPr>
                <w:rFonts w:ascii="Times New Roman" w:hAnsi="Times New Roman"/>
                <w:sz w:val="20"/>
                <w:szCs w:val="20"/>
              </w:rPr>
            </w:pPr>
          </w:p>
        </w:tc>
        <w:tc>
          <w:tcPr>
            <w:tcW w:w="1229" w:type="dxa"/>
            <w:gridSpan w:val="3"/>
            <w:vMerge/>
            <w:vAlign w:val="center"/>
          </w:tcPr>
          <w:p w:rsidR="00BD326C" w:rsidRPr="008E1DE6" w:rsidRDefault="00BD326C" w:rsidP="007062AE">
            <w:pPr>
              <w:spacing w:after="0" w:line="240" w:lineRule="auto"/>
              <w:jc w:val="center"/>
              <w:rPr>
                <w:rFonts w:ascii="Times New Roman" w:hAnsi="Times New Roman"/>
                <w:b/>
                <w:sz w:val="20"/>
                <w:szCs w:val="20"/>
              </w:rPr>
            </w:pPr>
          </w:p>
        </w:tc>
        <w:tc>
          <w:tcPr>
            <w:tcW w:w="6568" w:type="dxa"/>
            <w:vAlign w:val="center"/>
          </w:tcPr>
          <w:p w:rsidR="00BD326C" w:rsidRPr="000D22E9" w:rsidRDefault="00BD326C" w:rsidP="00FA3FAE">
            <w:pPr>
              <w:pStyle w:val="Listecouleur-Accent11"/>
              <w:numPr>
                <w:ilvl w:val="0"/>
                <w:numId w:val="86"/>
              </w:numPr>
              <w:tabs>
                <w:tab w:val="left" w:pos="737"/>
              </w:tabs>
              <w:rPr>
                <w:rFonts w:ascii="Times New Roman" w:hAnsi="Times New Roman"/>
                <w:lang w:val="fr-FR"/>
              </w:rPr>
            </w:pPr>
            <w:r w:rsidRPr="000D22E9">
              <w:rPr>
                <w:rFonts w:ascii="Times New Roman" w:hAnsi="Times New Roman"/>
              </w:rPr>
              <w:t>Risque de dégradation de la qualité des eaux souterraines</w:t>
            </w:r>
          </w:p>
        </w:tc>
        <w:tc>
          <w:tcPr>
            <w:tcW w:w="1134" w:type="dxa"/>
            <w:vMerge/>
            <w:vAlign w:val="center"/>
          </w:tcPr>
          <w:p w:rsidR="00BD326C" w:rsidRPr="00AA45E9" w:rsidRDefault="00BD326C" w:rsidP="007062AE">
            <w:pPr>
              <w:spacing w:after="0" w:line="240" w:lineRule="auto"/>
              <w:jc w:val="center"/>
              <w:rPr>
                <w:rFonts w:ascii="Times New Roman" w:hAnsi="Times New Roman"/>
                <w:sz w:val="18"/>
                <w:szCs w:val="18"/>
              </w:rPr>
            </w:pPr>
          </w:p>
        </w:tc>
        <w:tc>
          <w:tcPr>
            <w:tcW w:w="283" w:type="dxa"/>
            <w:vMerge/>
            <w:shd w:val="clear" w:color="auto" w:fill="002060"/>
            <w:vAlign w:val="center"/>
          </w:tcPr>
          <w:p w:rsidR="00BD326C" w:rsidRPr="008E1DE6" w:rsidRDefault="00BD326C" w:rsidP="007062AE">
            <w:pPr>
              <w:spacing w:after="0" w:line="240" w:lineRule="auto"/>
              <w:jc w:val="center"/>
              <w:rPr>
                <w:rFonts w:ascii="Times New Roman" w:hAnsi="Times New Roman"/>
                <w:b/>
                <w:sz w:val="18"/>
                <w:szCs w:val="18"/>
              </w:rPr>
            </w:pPr>
          </w:p>
        </w:tc>
        <w:tc>
          <w:tcPr>
            <w:tcW w:w="1276" w:type="dxa"/>
            <w:vMerge/>
            <w:vAlign w:val="center"/>
          </w:tcPr>
          <w:p w:rsidR="00BD326C" w:rsidRPr="00AA45E9" w:rsidRDefault="00BD326C" w:rsidP="007062AE">
            <w:pPr>
              <w:spacing w:after="0" w:line="240" w:lineRule="auto"/>
              <w:jc w:val="center"/>
              <w:rPr>
                <w:rFonts w:ascii="Times New Roman" w:hAnsi="Times New Roman"/>
                <w:sz w:val="18"/>
                <w:szCs w:val="18"/>
              </w:rPr>
            </w:pPr>
          </w:p>
        </w:tc>
        <w:tc>
          <w:tcPr>
            <w:tcW w:w="283" w:type="dxa"/>
            <w:vMerge/>
            <w:shd w:val="clear" w:color="auto" w:fill="002060"/>
            <w:vAlign w:val="center"/>
          </w:tcPr>
          <w:p w:rsidR="00BD326C" w:rsidRPr="008E1DE6" w:rsidRDefault="00BD326C" w:rsidP="007062AE">
            <w:pPr>
              <w:spacing w:after="0" w:line="240" w:lineRule="auto"/>
              <w:jc w:val="center"/>
              <w:rPr>
                <w:rFonts w:ascii="Times New Roman" w:hAnsi="Times New Roman"/>
                <w:b/>
                <w:sz w:val="18"/>
                <w:szCs w:val="18"/>
              </w:rPr>
            </w:pPr>
          </w:p>
        </w:tc>
        <w:tc>
          <w:tcPr>
            <w:tcW w:w="1276" w:type="dxa"/>
            <w:vMerge/>
            <w:vAlign w:val="center"/>
          </w:tcPr>
          <w:p w:rsidR="00BD326C" w:rsidRPr="00AA45E9" w:rsidRDefault="00BD326C" w:rsidP="007062AE">
            <w:pPr>
              <w:spacing w:after="0" w:line="240" w:lineRule="auto"/>
              <w:jc w:val="center"/>
              <w:rPr>
                <w:rFonts w:ascii="Times New Roman" w:hAnsi="Times New Roman"/>
                <w:sz w:val="18"/>
                <w:szCs w:val="18"/>
              </w:rPr>
            </w:pPr>
          </w:p>
        </w:tc>
        <w:tc>
          <w:tcPr>
            <w:tcW w:w="284" w:type="dxa"/>
            <w:vMerge/>
            <w:shd w:val="clear" w:color="auto" w:fill="002060"/>
            <w:vAlign w:val="center"/>
          </w:tcPr>
          <w:p w:rsidR="00BD326C" w:rsidRPr="008E1DE6" w:rsidRDefault="00BD326C" w:rsidP="007062AE">
            <w:pPr>
              <w:spacing w:after="0" w:line="240" w:lineRule="auto"/>
              <w:jc w:val="center"/>
              <w:rPr>
                <w:rFonts w:ascii="Times New Roman" w:hAnsi="Times New Roman"/>
                <w:b/>
                <w:sz w:val="18"/>
                <w:szCs w:val="18"/>
              </w:rPr>
            </w:pPr>
          </w:p>
        </w:tc>
        <w:tc>
          <w:tcPr>
            <w:tcW w:w="1275" w:type="dxa"/>
            <w:vMerge/>
            <w:shd w:val="clear" w:color="auto" w:fill="FFFF00"/>
            <w:vAlign w:val="center"/>
          </w:tcPr>
          <w:p w:rsidR="00BD326C" w:rsidRPr="005244BC" w:rsidRDefault="00BD326C" w:rsidP="007062AE">
            <w:pPr>
              <w:spacing w:after="0" w:line="240" w:lineRule="auto"/>
              <w:jc w:val="center"/>
              <w:rPr>
                <w:rFonts w:ascii="Times New Roman" w:hAnsi="Times New Roman"/>
                <w:b/>
                <w:sz w:val="16"/>
                <w:szCs w:val="16"/>
              </w:rPr>
            </w:pPr>
          </w:p>
        </w:tc>
        <w:tc>
          <w:tcPr>
            <w:tcW w:w="709" w:type="dxa"/>
            <w:vMerge/>
            <w:shd w:val="clear" w:color="auto" w:fill="FFFF00"/>
            <w:vAlign w:val="center"/>
          </w:tcPr>
          <w:p w:rsidR="00BD326C" w:rsidRPr="005244BC" w:rsidRDefault="00BD326C" w:rsidP="007062AE">
            <w:pPr>
              <w:spacing w:after="0" w:line="240" w:lineRule="auto"/>
              <w:jc w:val="center"/>
              <w:rPr>
                <w:rFonts w:ascii="Times New Roman" w:hAnsi="Times New Roman"/>
                <w:b/>
                <w:sz w:val="16"/>
                <w:szCs w:val="16"/>
              </w:rPr>
            </w:pPr>
          </w:p>
        </w:tc>
      </w:tr>
      <w:tr w:rsidR="00BD326C" w:rsidRPr="00AA45E9" w:rsidTr="007062AE">
        <w:trPr>
          <w:jc w:val="center"/>
        </w:trPr>
        <w:tc>
          <w:tcPr>
            <w:tcW w:w="1696" w:type="dxa"/>
            <w:gridSpan w:val="2"/>
            <w:vMerge/>
            <w:shd w:val="clear" w:color="auto" w:fill="BDD6EE"/>
            <w:vAlign w:val="center"/>
          </w:tcPr>
          <w:p w:rsidR="00BD326C" w:rsidRPr="008E1DE6" w:rsidRDefault="00BD326C" w:rsidP="007062AE">
            <w:pPr>
              <w:spacing w:after="0" w:line="240" w:lineRule="auto"/>
              <w:jc w:val="center"/>
              <w:rPr>
                <w:rFonts w:ascii="Times New Roman" w:hAnsi="Times New Roman"/>
                <w:sz w:val="20"/>
                <w:szCs w:val="20"/>
              </w:rPr>
            </w:pPr>
          </w:p>
        </w:tc>
        <w:tc>
          <w:tcPr>
            <w:tcW w:w="1229" w:type="dxa"/>
            <w:gridSpan w:val="3"/>
            <w:vMerge w:val="restart"/>
            <w:vAlign w:val="center"/>
          </w:tcPr>
          <w:p w:rsidR="00384924" w:rsidRDefault="00BD326C" w:rsidP="007062AE">
            <w:pPr>
              <w:tabs>
                <w:tab w:val="left" w:pos="2193"/>
              </w:tabs>
              <w:spacing w:after="0" w:line="240" w:lineRule="auto"/>
              <w:jc w:val="center"/>
              <w:rPr>
                <w:rFonts w:ascii="Times New Roman" w:hAnsi="Times New Roman"/>
                <w:b/>
                <w:sz w:val="20"/>
                <w:szCs w:val="20"/>
              </w:rPr>
            </w:pPr>
            <w:r w:rsidRPr="008E1DE6">
              <w:rPr>
                <w:rFonts w:ascii="Times New Roman" w:hAnsi="Times New Roman"/>
                <w:b/>
                <w:sz w:val="20"/>
                <w:szCs w:val="20"/>
              </w:rPr>
              <w:t>FLORE</w:t>
            </w:r>
            <w:r w:rsidR="00384924">
              <w:rPr>
                <w:rFonts w:ascii="Times New Roman" w:hAnsi="Times New Roman"/>
                <w:b/>
                <w:sz w:val="20"/>
                <w:szCs w:val="20"/>
              </w:rPr>
              <w:t>/</w:t>
            </w:r>
          </w:p>
          <w:p w:rsidR="00BD326C" w:rsidRPr="008E1DE6" w:rsidRDefault="00384924" w:rsidP="007062AE">
            <w:pPr>
              <w:tabs>
                <w:tab w:val="left" w:pos="2193"/>
              </w:tabs>
              <w:spacing w:after="0" w:line="240" w:lineRule="auto"/>
              <w:jc w:val="center"/>
              <w:rPr>
                <w:rFonts w:ascii="Times New Roman" w:hAnsi="Times New Roman"/>
                <w:b/>
                <w:sz w:val="20"/>
                <w:szCs w:val="20"/>
              </w:rPr>
            </w:pPr>
            <w:r>
              <w:rPr>
                <w:rFonts w:ascii="Times New Roman" w:hAnsi="Times New Roman"/>
                <w:b/>
                <w:sz w:val="20"/>
                <w:szCs w:val="20"/>
              </w:rPr>
              <w:t>FAUNE</w:t>
            </w:r>
          </w:p>
        </w:tc>
        <w:tc>
          <w:tcPr>
            <w:tcW w:w="6568" w:type="dxa"/>
            <w:vAlign w:val="center"/>
          </w:tcPr>
          <w:p w:rsidR="00BD326C" w:rsidRPr="000D22E9" w:rsidRDefault="00BD326C" w:rsidP="00FA3FAE">
            <w:pPr>
              <w:pStyle w:val="Listecouleur-Accent11"/>
              <w:numPr>
                <w:ilvl w:val="0"/>
                <w:numId w:val="87"/>
              </w:numPr>
              <w:tabs>
                <w:tab w:val="left" w:pos="737"/>
              </w:tabs>
              <w:rPr>
                <w:rFonts w:ascii="Times New Roman" w:hAnsi="Times New Roman"/>
              </w:rPr>
            </w:pPr>
            <w:r w:rsidRPr="000D22E9">
              <w:rPr>
                <w:rFonts w:ascii="Times New Roman" w:hAnsi="Times New Roman"/>
                <w:color w:val="000000"/>
                <w:lang w:val="fr-FR"/>
              </w:rPr>
              <w:t xml:space="preserve">Risque de </w:t>
            </w:r>
            <w:r w:rsidRPr="000D22E9">
              <w:rPr>
                <w:rFonts w:ascii="Times New Roman" w:hAnsi="Times New Roman"/>
                <w:color w:val="000000"/>
              </w:rPr>
              <w:t>détruire la végétation herbacée au niveau de Antula.</w:t>
            </w:r>
          </w:p>
        </w:tc>
        <w:tc>
          <w:tcPr>
            <w:tcW w:w="1134" w:type="dxa"/>
            <w:vMerge w:val="restart"/>
            <w:shd w:val="clear" w:color="auto" w:fill="FFFFFF"/>
            <w:vAlign w:val="center"/>
          </w:tcPr>
          <w:p w:rsidR="00BD326C" w:rsidRPr="00AA45E9" w:rsidRDefault="00BD326C" w:rsidP="007062AE">
            <w:pPr>
              <w:spacing w:after="0" w:line="240" w:lineRule="auto"/>
              <w:jc w:val="center"/>
              <w:rPr>
                <w:rFonts w:ascii="Times New Roman" w:hAnsi="Times New Roman"/>
                <w:sz w:val="18"/>
                <w:szCs w:val="18"/>
              </w:rPr>
            </w:pPr>
            <w:r w:rsidRPr="00867483">
              <w:rPr>
                <w:rFonts w:ascii="Times New Roman" w:hAnsi="Times New Roman"/>
                <w:sz w:val="24"/>
                <w:szCs w:val="24"/>
              </w:rPr>
              <w:t>F</w:t>
            </w:r>
            <w:r>
              <w:rPr>
                <w:rFonts w:ascii="Times New Roman" w:hAnsi="Times New Roman"/>
                <w:sz w:val="24"/>
                <w:szCs w:val="24"/>
              </w:rPr>
              <w:t>aible</w:t>
            </w:r>
          </w:p>
        </w:tc>
        <w:tc>
          <w:tcPr>
            <w:tcW w:w="283" w:type="dxa"/>
            <w:vMerge w:val="restart"/>
            <w:shd w:val="clear" w:color="auto" w:fill="002060"/>
            <w:vAlign w:val="center"/>
          </w:tcPr>
          <w:p w:rsidR="00BD326C" w:rsidRPr="008E1DE6" w:rsidRDefault="00BD326C" w:rsidP="007062AE">
            <w:pPr>
              <w:spacing w:after="0" w:line="240" w:lineRule="auto"/>
              <w:jc w:val="center"/>
              <w:rPr>
                <w:rFonts w:ascii="Times New Roman" w:hAnsi="Times New Roman"/>
                <w:b/>
                <w:sz w:val="18"/>
                <w:szCs w:val="18"/>
              </w:rPr>
            </w:pPr>
            <w:r w:rsidRPr="008E1DE6">
              <w:rPr>
                <w:rFonts w:ascii="Times New Roman" w:hAnsi="Times New Roman"/>
                <w:b/>
                <w:sz w:val="24"/>
                <w:szCs w:val="24"/>
              </w:rPr>
              <w:t>1</w:t>
            </w:r>
          </w:p>
        </w:tc>
        <w:tc>
          <w:tcPr>
            <w:tcW w:w="1276" w:type="dxa"/>
            <w:vMerge w:val="restart"/>
            <w:shd w:val="clear" w:color="auto" w:fill="FFFFFF"/>
            <w:vAlign w:val="center"/>
          </w:tcPr>
          <w:p w:rsidR="00BD326C" w:rsidRPr="00AA45E9" w:rsidRDefault="00BD326C" w:rsidP="007062AE">
            <w:pPr>
              <w:spacing w:after="0" w:line="240" w:lineRule="auto"/>
              <w:jc w:val="center"/>
              <w:rPr>
                <w:rFonts w:ascii="Times New Roman" w:hAnsi="Times New Roman"/>
                <w:sz w:val="18"/>
                <w:szCs w:val="18"/>
              </w:rPr>
            </w:pPr>
            <w:r>
              <w:rPr>
                <w:rFonts w:ascii="Times New Roman" w:hAnsi="Times New Roman"/>
                <w:sz w:val="24"/>
                <w:szCs w:val="24"/>
              </w:rPr>
              <w:t>Locale</w:t>
            </w:r>
          </w:p>
        </w:tc>
        <w:tc>
          <w:tcPr>
            <w:tcW w:w="283" w:type="dxa"/>
            <w:vMerge w:val="restart"/>
            <w:shd w:val="clear" w:color="auto" w:fill="002060"/>
            <w:vAlign w:val="center"/>
          </w:tcPr>
          <w:p w:rsidR="00BD326C" w:rsidRPr="008E1DE6" w:rsidRDefault="00BD326C" w:rsidP="007062AE">
            <w:pPr>
              <w:spacing w:after="0" w:line="240" w:lineRule="auto"/>
              <w:jc w:val="center"/>
              <w:rPr>
                <w:rFonts w:ascii="Times New Roman" w:hAnsi="Times New Roman"/>
                <w:b/>
                <w:sz w:val="18"/>
                <w:szCs w:val="18"/>
              </w:rPr>
            </w:pPr>
            <w:r w:rsidRPr="008E1DE6">
              <w:rPr>
                <w:rFonts w:ascii="Times New Roman" w:hAnsi="Times New Roman"/>
                <w:b/>
                <w:sz w:val="24"/>
                <w:szCs w:val="24"/>
              </w:rPr>
              <w:t>3</w:t>
            </w:r>
          </w:p>
        </w:tc>
        <w:tc>
          <w:tcPr>
            <w:tcW w:w="1276" w:type="dxa"/>
            <w:vMerge w:val="restart"/>
            <w:shd w:val="clear" w:color="auto" w:fill="FFFFFF"/>
            <w:vAlign w:val="center"/>
          </w:tcPr>
          <w:p w:rsidR="00BD326C" w:rsidRPr="00AA45E9" w:rsidRDefault="00BD326C" w:rsidP="007062AE">
            <w:pPr>
              <w:spacing w:after="0" w:line="240" w:lineRule="auto"/>
              <w:jc w:val="center"/>
              <w:rPr>
                <w:rFonts w:ascii="Times New Roman" w:hAnsi="Times New Roman"/>
                <w:sz w:val="18"/>
                <w:szCs w:val="18"/>
              </w:rPr>
            </w:pPr>
            <w:r>
              <w:rPr>
                <w:rFonts w:ascii="Times New Roman" w:hAnsi="Times New Roman"/>
                <w:sz w:val="24"/>
                <w:szCs w:val="24"/>
              </w:rPr>
              <w:t>Moyenne</w:t>
            </w:r>
          </w:p>
        </w:tc>
        <w:tc>
          <w:tcPr>
            <w:tcW w:w="284" w:type="dxa"/>
            <w:vMerge w:val="restart"/>
            <w:shd w:val="clear" w:color="auto" w:fill="002060"/>
            <w:vAlign w:val="center"/>
          </w:tcPr>
          <w:p w:rsidR="00BD326C" w:rsidRPr="008E1DE6" w:rsidRDefault="00BD326C" w:rsidP="007062AE">
            <w:pPr>
              <w:spacing w:after="0" w:line="240" w:lineRule="auto"/>
              <w:jc w:val="center"/>
              <w:rPr>
                <w:rFonts w:ascii="Times New Roman" w:hAnsi="Times New Roman"/>
                <w:b/>
                <w:sz w:val="18"/>
                <w:szCs w:val="18"/>
              </w:rPr>
            </w:pPr>
            <w:r w:rsidRPr="008E1DE6">
              <w:rPr>
                <w:rFonts w:ascii="Times New Roman" w:hAnsi="Times New Roman"/>
                <w:b/>
                <w:sz w:val="24"/>
                <w:szCs w:val="24"/>
              </w:rPr>
              <w:t>3</w:t>
            </w:r>
          </w:p>
        </w:tc>
        <w:tc>
          <w:tcPr>
            <w:tcW w:w="1275" w:type="dxa"/>
            <w:vMerge w:val="restart"/>
            <w:shd w:val="clear" w:color="auto" w:fill="92D050"/>
            <w:vAlign w:val="center"/>
          </w:tcPr>
          <w:p w:rsidR="00BD326C" w:rsidRPr="005244BC" w:rsidRDefault="00BD326C" w:rsidP="007062AE">
            <w:pPr>
              <w:spacing w:after="0" w:line="240" w:lineRule="auto"/>
              <w:jc w:val="center"/>
              <w:rPr>
                <w:rFonts w:ascii="Times New Roman" w:hAnsi="Times New Roman"/>
                <w:b/>
                <w:sz w:val="16"/>
                <w:szCs w:val="16"/>
              </w:rPr>
            </w:pPr>
            <w:r>
              <w:rPr>
                <w:rFonts w:ascii="Times New Roman" w:hAnsi="Times New Roman"/>
                <w:b/>
                <w:sz w:val="24"/>
                <w:szCs w:val="24"/>
              </w:rPr>
              <w:t>Mineure</w:t>
            </w:r>
          </w:p>
        </w:tc>
        <w:tc>
          <w:tcPr>
            <w:tcW w:w="709" w:type="dxa"/>
            <w:vMerge w:val="restart"/>
            <w:shd w:val="clear" w:color="auto" w:fill="92D050"/>
            <w:vAlign w:val="center"/>
          </w:tcPr>
          <w:p w:rsidR="00BD326C" w:rsidRPr="005244BC" w:rsidRDefault="00BD326C" w:rsidP="007062AE">
            <w:pPr>
              <w:spacing w:after="0" w:line="240" w:lineRule="auto"/>
              <w:jc w:val="center"/>
              <w:rPr>
                <w:rFonts w:ascii="Times New Roman" w:hAnsi="Times New Roman"/>
                <w:b/>
                <w:sz w:val="16"/>
                <w:szCs w:val="16"/>
              </w:rPr>
            </w:pPr>
            <w:r>
              <w:rPr>
                <w:rFonts w:ascii="Times New Roman" w:hAnsi="Times New Roman"/>
                <w:b/>
                <w:sz w:val="24"/>
                <w:szCs w:val="24"/>
              </w:rPr>
              <w:t>9</w:t>
            </w:r>
          </w:p>
        </w:tc>
      </w:tr>
      <w:tr w:rsidR="00BD326C" w:rsidRPr="00AA45E9" w:rsidTr="00BD326C">
        <w:trPr>
          <w:trHeight w:val="255"/>
          <w:jc w:val="center"/>
        </w:trPr>
        <w:tc>
          <w:tcPr>
            <w:tcW w:w="1696" w:type="dxa"/>
            <w:gridSpan w:val="2"/>
            <w:vMerge/>
            <w:shd w:val="clear" w:color="auto" w:fill="BDD6EE"/>
            <w:vAlign w:val="center"/>
          </w:tcPr>
          <w:p w:rsidR="00BD326C" w:rsidRPr="008E1DE6" w:rsidRDefault="00BD326C" w:rsidP="007062AE">
            <w:pPr>
              <w:spacing w:after="0" w:line="240" w:lineRule="auto"/>
              <w:jc w:val="center"/>
              <w:rPr>
                <w:rFonts w:ascii="Times New Roman" w:hAnsi="Times New Roman"/>
                <w:sz w:val="20"/>
                <w:szCs w:val="20"/>
              </w:rPr>
            </w:pPr>
          </w:p>
        </w:tc>
        <w:tc>
          <w:tcPr>
            <w:tcW w:w="1229" w:type="dxa"/>
            <w:gridSpan w:val="3"/>
            <w:vMerge/>
            <w:vAlign w:val="center"/>
          </w:tcPr>
          <w:p w:rsidR="00BD326C" w:rsidRPr="008E1DE6" w:rsidRDefault="00BD326C" w:rsidP="007062AE">
            <w:pPr>
              <w:tabs>
                <w:tab w:val="left" w:pos="2193"/>
              </w:tabs>
              <w:spacing w:after="0" w:line="240" w:lineRule="auto"/>
              <w:jc w:val="center"/>
              <w:rPr>
                <w:rFonts w:ascii="Times New Roman" w:hAnsi="Times New Roman"/>
                <w:b/>
                <w:sz w:val="20"/>
                <w:szCs w:val="20"/>
              </w:rPr>
            </w:pPr>
          </w:p>
        </w:tc>
        <w:tc>
          <w:tcPr>
            <w:tcW w:w="6568" w:type="dxa"/>
            <w:vAlign w:val="center"/>
          </w:tcPr>
          <w:p w:rsidR="00BD326C" w:rsidRPr="00BD326C" w:rsidRDefault="00BD326C" w:rsidP="00FA3FAE">
            <w:pPr>
              <w:pStyle w:val="Listecouleur-Accent11"/>
              <w:numPr>
                <w:ilvl w:val="0"/>
                <w:numId w:val="87"/>
              </w:numPr>
              <w:tabs>
                <w:tab w:val="left" w:pos="737"/>
              </w:tabs>
              <w:rPr>
                <w:rFonts w:ascii="Times New Roman" w:hAnsi="Times New Roman"/>
              </w:rPr>
            </w:pPr>
            <w:r w:rsidRPr="000D22E9">
              <w:rPr>
                <w:rFonts w:ascii="Times New Roman" w:hAnsi="Times New Roman"/>
                <w:color w:val="000000"/>
              </w:rPr>
              <w:t>Risque d’abattage de quelques pieds d’anacardiers à BOR</w:t>
            </w:r>
          </w:p>
        </w:tc>
        <w:tc>
          <w:tcPr>
            <w:tcW w:w="1134" w:type="dxa"/>
            <w:vMerge/>
            <w:shd w:val="clear" w:color="auto" w:fill="FFFFFF"/>
            <w:vAlign w:val="center"/>
          </w:tcPr>
          <w:p w:rsidR="00BD326C" w:rsidRPr="00AA45E9" w:rsidRDefault="00BD326C" w:rsidP="007062AE">
            <w:pPr>
              <w:spacing w:after="0" w:line="240" w:lineRule="auto"/>
              <w:jc w:val="center"/>
              <w:rPr>
                <w:rFonts w:ascii="Times New Roman" w:hAnsi="Times New Roman"/>
                <w:sz w:val="18"/>
                <w:szCs w:val="18"/>
              </w:rPr>
            </w:pPr>
          </w:p>
        </w:tc>
        <w:tc>
          <w:tcPr>
            <w:tcW w:w="283" w:type="dxa"/>
            <w:vMerge/>
            <w:shd w:val="clear" w:color="auto" w:fill="002060"/>
            <w:vAlign w:val="center"/>
          </w:tcPr>
          <w:p w:rsidR="00BD326C" w:rsidRPr="008E1DE6" w:rsidRDefault="00BD326C" w:rsidP="007062AE">
            <w:pPr>
              <w:spacing w:after="0" w:line="240" w:lineRule="auto"/>
              <w:jc w:val="center"/>
              <w:rPr>
                <w:rFonts w:ascii="Times New Roman" w:hAnsi="Times New Roman"/>
                <w:b/>
                <w:sz w:val="18"/>
                <w:szCs w:val="18"/>
              </w:rPr>
            </w:pPr>
          </w:p>
        </w:tc>
        <w:tc>
          <w:tcPr>
            <w:tcW w:w="1276" w:type="dxa"/>
            <w:vMerge/>
            <w:shd w:val="clear" w:color="auto" w:fill="FFFFFF"/>
            <w:vAlign w:val="center"/>
          </w:tcPr>
          <w:p w:rsidR="00BD326C" w:rsidRPr="00AA45E9" w:rsidRDefault="00BD326C" w:rsidP="007062AE">
            <w:pPr>
              <w:spacing w:after="0" w:line="240" w:lineRule="auto"/>
              <w:jc w:val="center"/>
              <w:rPr>
                <w:rFonts w:ascii="Times New Roman" w:hAnsi="Times New Roman"/>
                <w:sz w:val="18"/>
                <w:szCs w:val="18"/>
              </w:rPr>
            </w:pPr>
          </w:p>
        </w:tc>
        <w:tc>
          <w:tcPr>
            <w:tcW w:w="283" w:type="dxa"/>
            <w:vMerge/>
            <w:shd w:val="clear" w:color="auto" w:fill="002060"/>
            <w:vAlign w:val="center"/>
          </w:tcPr>
          <w:p w:rsidR="00BD326C" w:rsidRPr="008E1DE6" w:rsidRDefault="00BD326C" w:rsidP="007062AE">
            <w:pPr>
              <w:spacing w:after="0" w:line="240" w:lineRule="auto"/>
              <w:jc w:val="center"/>
              <w:rPr>
                <w:rFonts w:ascii="Times New Roman" w:hAnsi="Times New Roman"/>
                <w:b/>
                <w:sz w:val="18"/>
                <w:szCs w:val="18"/>
              </w:rPr>
            </w:pPr>
          </w:p>
        </w:tc>
        <w:tc>
          <w:tcPr>
            <w:tcW w:w="1276" w:type="dxa"/>
            <w:vMerge/>
            <w:shd w:val="clear" w:color="auto" w:fill="FFFFFF"/>
            <w:vAlign w:val="center"/>
          </w:tcPr>
          <w:p w:rsidR="00BD326C" w:rsidRPr="00AA45E9" w:rsidRDefault="00BD326C" w:rsidP="007062AE">
            <w:pPr>
              <w:spacing w:after="0" w:line="240" w:lineRule="auto"/>
              <w:jc w:val="center"/>
              <w:rPr>
                <w:rFonts w:ascii="Times New Roman" w:hAnsi="Times New Roman"/>
                <w:sz w:val="18"/>
                <w:szCs w:val="18"/>
              </w:rPr>
            </w:pPr>
          </w:p>
        </w:tc>
        <w:tc>
          <w:tcPr>
            <w:tcW w:w="284" w:type="dxa"/>
            <w:vMerge/>
            <w:shd w:val="clear" w:color="auto" w:fill="002060"/>
            <w:vAlign w:val="center"/>
          </w:tcPr>
          <w:p w:rsidR="00BD326C" w:rsidRPr="008E1DE6" w:rsidRDefault="00BD326C" w:rsidP="007062AE">
            <w:pPr>
              <w:spacing w:after="0" w:line="240" w:lineRule="auto"/>
              <w:jc w:val="center"/>
              <w:rPr>
                <w:rFonts w:ascii="Times New Roman" w:hAnsi="Times New Roman"/>
                <w:b/>
                <w:sz w:val="18"/>
                <w:szCs w:val="18"/>
              </w:rPr>
            </w:pPr>
          </w:p>
        </w:tc>
        <w:tc>
          <w:tcPr>
            <w:tcW w:w="1275" w:type="dxa"/>
            <w:vMerge/>
            <w:shd w:val="clear" w:color="auto" w:fill="92D050"/>
            <w:vAlign w:val="center"/>
          </w:tcPr>
          <w:p w:rsidR="00BD326C" w:rsidRPr="005244BC" w:rsidRDefault="00BD326C" w:rsidP="007062AE">
            <w:pPr>
              <w:spacing w:after="0" w:line="240" w:lineRule="auto"/>
              <w:jc w:val="center"/>
              <w:rPr>
                <w:rFonts w:ascii="Times New Roman" w:hAnsi="Times New Roman"/>
                <w:b/>
                <w:sz w:val="16"/>
                <w:szCs w:val="16"/>
              </w:rPr>
            </w:pPr>
          </w:p>
        </w:tc>
        <w:tc>
          <w:tcPr>
            <w:tcW w:w="709" w:type="dxa"/>
            <w:vMerge/>
            <w:shd w:val="clear" w:color="auto" w:fill="92D050"/>
            <w:vAlign w:val="center"/>
          </w:tcPr>
          <w:p w:rsidR="00BD326C" w:rsidRPr="005244BC" w:rsidRDefault="00BD326C" w:rsidP="007062AE">
            <w:pPr>
              <w:spacing w:after="0" w:line="240" w:lineRule="auto"/>
              <w:jc w:val="center"/>
              <w:rPr>
                <w:rFonts w:ascii="Times New Roman" w:hAnsi="Times New Roman"/>
                <w:b/>
                <w:sz w:val="16"/>
                <w:szCs w:val="16"/>
              </w:rPr>
            </w:pPr>
          </w:p>
        </w:tc>
      </w:tr>
      <w:tr w:rsidR="00BD326C" w:rsidRPr="00AA45E9" w:rsidTr="007062AE">
        <w:trPr>
          <w:trHeight w:val="255"/>
          <w:jc w:val="center"/>
        </w:trPr>
        <w:tc>
          <w:tcPr>
            <w:tcW w:w="1696" w:type="dxa"/>
            <w:gridSpan w:val="2"/>
            <w:vMerge/>
            <w:shd w:val="clear" w:color="auto" w:fill="BDD6EE"/>
            <w:vAlign w:val="center"/>
          </w:tcPr>
          <w:p w:rsidR="00BD326C" w:rsidRPr="008E1DE6" w:rsidRDefault="00BD326C" w:rsidP="00BD326C">
            <w:pPr>
              <w:spacing w:after="0" w:line="240" w:lineRule="auto"/>
              <w:jc w:val="center"/>
              <w:rPr>
                <w:rFonts w:ascii="Times New Roman" w:hAnsi="Times New Roman"/>
                <w:sz w:val="20"/>
                <w:szCs w:val="20"/>
              </w:rPr>
            </w:pPr>
          </w:p>
        </w:tc>
        <w:tc>
          <w:tcPr>
            <w:tcW w:w="1229" w:type="dxa"/>
            <w:gridSpan w:val="3"/>
            <w:vMerge/>
            <w:vAlign w:val="center"/>
          </w:tcPr>
          <w:p w:rsidR="00BD326C" w:rsidRPr="008E1DE6" w:rsidRDefault="00BD326C" w:rsidP="00BD326C">
            <w:pPr>
              <w:tabs>
                <w:tab w:val="left" w:pos="2193"/>
              </w:tabs>
              <w:spacing w:after="0" w:line="240" w:lineRule="auto"/>
              <w:jc w:val="center"/>
              <w:rPr>
                <w:rFonts w:ascii="Times New Roman" w:hAnsi="Times New Roman"/>
                <w:b/>
                <w:sz w:val="20"/>
                <w:szCs w:val="20"/>
              </w:rPr>
            </w:pPr>
          </w:p>
        </w:tc>
        <w:tc>
          <w:tcPr>
            <w:tcW w:w="6568" w:type="dxa"/>
            <w:vAlign w:val="center"/>
          </w:tcPr>
          <w:p w:rsidR="00BD326C" w:rsidRPr="00206F59" w:rsidRDefault="00BD326C" w:rsidP="00FA3FAE">
            <w:pPr>
              <w:pStyle w:val="Listecouleur-Accent11"/>
              <w:numPr>
                <w:ilvl w:val="0"/>
                <w:numId w:val="87"/>
              </w:numPr>
              <w:tabs>
                <w:tab w:val="left" w:pos="737"/>
              </w:tabs>
              <w:rPr>
                <w:rFonts w:ascii="Times New Roman" w:hAnsi="Times New Roman"/>
                <w:color w:val="000000"/>
                <w:lang w:val="fr-FR"/>
              </w:rPr>
            </w:pPr>
            <w:r>
              <w:rPr>
                <w:rFonts w:ascii="Times New Roman" w:hAnsi="Times New Roman"/>
                <w:color w:val="000000"/>
                <w:lang w:val="fr-FR"/>
              </w:rPr>
              <w:t xml:space="preserve">Risque de perturbation </w:t>
            </w:r>
            <w:r w:rsidR="00384924">
              <w:rPr>
                <w:rFonts w:ascii="Times New Roman" w:hAnsi="Times New Roman"/>
                <w:color w:val="000000"/>
                <w:lang w:val="fr-FR"/>
              </w:rPr>
              <w:t xml:space="preserve">de certains espèces (oiseaux, rongeurs, animaux domestique, etc.) </w:t>
            </w:r>
            <w:r>
              <w:rPr>
                <w:rFonts w:ascii="Times New Roman" w:hAnsi="Times New Roman"/>
                <w:color w:val="000000"/>
                <w:lang w:val="fr-FR"/>
              </w:rPr>
              <w:t>due aux production de bruit</w:t>
            </w:r>
          </w:p>
        </w:tc>
        <w:tc>
          <w:tcPr>
            <w:tcW w:w="1134" w:type="dxa"/>
            <w:vMerge/>
            <w:shd w:val="clear" w:color="auto" w:fill="FFFFFF"/>
            <w:vAlign w:val="center"/>
          </w:tcPr>
          <w:p w:rsidR="00BD326C" w:rsidRPr="00AA45E9" w:rsidRDefault="00BD326C" w:rsidP="00BD326C">
            <w:pPr>
              <w:spacing w:after="0" w:line="240" w:lineRule="auto"/>
              <w:jc w:val="center"/>
              <w:rPr>
                <w:rFonts w:ascii="Times New Roman" w:hAnsi="Times New Roman"/>
                <w:sz w:val="18"/>
                <w:szCs w:val="18"/>
              </w:rPr>
            </w:pPr>
          </w:p>
        </w:tc>
        <w:tc>
          <w:tcPr>
            <w:tcW w:w="283" w:type="dxa"/>
            <w:vMerge/>
            <w:shd w:val="clear" w:color="auto" w:fill="002060"/>
            <w:vAlign w:val="center"/>
          </w:tcPr>
          <w:p w:rsidR="00BD326C" w:rsidRPr="008E1DE6" w:rsidRDefault="00BD326C" w:rsidP="00BD326C">
            <w:pPr>
              <w:spacing w:after="0" w:line="240" w:lineRule="auto"/>
              <w:jc w:val="center"/>
              <w:rPr>
                <w:rFonts w:ascii="Times New Roman" w:hAnsi="Times New Roman"/>
                <w:b/>
                <w:sz w:val="18"/>
                <w:szCs w:val="18"/>
              </w:rPr>
            </w:pPr>
          </w:p>
        </w:tc>
        <w:tc>
          <w:tcPr>
            <w:tcW w:w="1276" w:type="dxa"/>
            <w:vMerge/>
            <w:shd w:val="clear" w:color="auto" w:fill="FFFFFF"/>
            <w:vAlign w:val="center"/>
          </w:tcPr>
          <w:p w:rsidR="00BD326C" w:rsidRPr="00AA45E9" w:rsidRDefault="00BD326C" w:rsidP="00BD326C">
            <w:pPr>
              <w:spacing w:after="0" w:line="240" w:lineRule="auto"/>
              <w:jc w:val="center"/>
              <w:rPr>
                <w:rFonts w:ascii="Times New Roman" w:hAnsi="Times New Roman"/>
                <w:sz w:val="18"/>
                <w:szCs w:val="18"/>
              </w:rPr>
            </w:pPr>
          </w:p>
        </w:tc>
        <w:tc>
          <w:tcPr>
            <w:tcW w:w="283" w:type="dxa"/>
            <w:vMerge/>
            <w:shd w:val="clear" w:color="auto" w:fill="002060"/>
            <w:vAlign w:val="center"/>
          </w:tcPr>
          <w:p w:rsidR="00BD326C" w:rsidRPr="008E1DE6" w:rsidRDefault="00BD326C" w:rsidP="00BD326C">
            <w:pPr>
              <w:spacing w:after="0" w:line="240" w:lineRule="auto"/>
              <w:jc w:val="center"/>
              <w:rPr>
                <w:rFonts w:ascii="Times New Roman" w:hAnsi="Times New Roman"/>
                <w:b/>
                <w:sz w:val="18"/>
                <w:szCs w:val="18"/>
              </w:rPr>
            </w:pPr>
          </w:p>
        </w:tc>
        <w:tc>
          <w:tcPr>
            <w:tcW w:w="1276" w:type="dxa"/>
            <w:vMerge/>
            <w:shd w:val="clear" w:color="auto" w:fill="FFFFFF"/>
            <w:vAlign w:val="center"/>
          </w:tcPr>
          <w:p w:rsidR="00BD326C" w:rsidRPr="00AA45E9" w:rsidRDefault="00BD326C" w:rsidP="00BD326C">
            <w:pPr>
              <w:spacing w:after="0" w:line="240" w:lineRule="auto"/>
              <w:jc w:val="center"/>
              <w:rPr>
                <w:rFonts w:ascii="Times New Roman" w:hAnsi="Times New Roman"/>
                <w:sz w:val="18"/>
                <w:szCs w:val="18"/>
              </w:rPr>
            </w:pPr>
          </w:p>
        </w:tc>
        <w:tc>
          <w:tcPr>
            <w:tcW w:w="284" w:type="dxa"/>
            <w:vMerge/>
            <w:shd w:val="clear" w:color="auto" w:fill="002060"/>
            <w:vAlign w:val="center"/>
          </w:tcPr>
          <w:p w:rsidR="00BD326C" w:rsidRPr="008E1DE6" w:rsidRDefault="00BD326C" w:rsidP="00BD326C">
            <w:pPr>
              <w:spacing w:after="0" w:line="240" w:lineRule="auto"/>
              <w:jc w:val="center"/>
              <w:rPr>
                <w:rFonts w:ascii="Times New Roman" w:hAnsi="Times New Roman"/>
                <w:b/>
                <w:sz w:val="18"/>
                <w:szCs w:val="18"/>
              </w:rPr>
            </w:pPr>
          </w:p>
        </w:tc>
        <w:tc>
          <w:tcPr>
            <w:tcW w:w="1275" w:type="dxa"/>
            <w:vMerge/>
            <w:shd w:val="clear" w:color="auto" w:fill="92D050"/>
            <w:vAlign w:val="center"/>
          </w:tcPr>
          <w:p w:rsidR="00BD326C" w:rsidRPr="005244BC" w:rsidRDefault="00BD326C" w:rsidP="00BD326C">
            <w:pPr>
              <w:spacing w:after="0" w:line="240" w:lineRule="auto"/>
              <w:jc w:val="center"/>
              <w:rPr>
                <w:rFonts w:ascii="Times New Roman" w:hAnsi="Times New Roman"/>
                <w:b/>
                <w:sz w:val="16"/>
                <w:szCs w:val="16"/>
              </w:rPr>
            </w:pPr>
          </w:p>
        </w:tc>
        <w:tc>
          <w:tcPr>
            <w:tcW w:w="709" w:type="dxa"/>
            <w:vMerge/>
            <w:shd w:val="clear" w:color="auto" w:fill="92D050"/>
            <w:vAlign w:val="center"/>
          </w:tcPr>
          <w:p w:rsidR="00BD326C" w:rsidRPr="005244BC" w:rsidRDefault="00BD326C" w:rsidP="00BD326C">
            <w:pPr>
              <w:spacing w:after="0" w:line="240" w:lineRule="auto"/>
              <w:jc w:val="center"/>
              <w:rPr>
                <w:rFonts w:ascii="Times New Roman" w:hAnsi="Times New Roman"/>
                <w:b/>
                <w:sz w:val="16"/>
                <w:szCs w:val="16"/>
              </w:rPr>
            </w:pPr>
          </w:p>
        </w:tc>
      </w:tr>
      <w:tr w:rsidR="00BD326C" w:rsidRPr="00AA45E9" w:rsidTr="007062AE">
        <w:trPr>
          <w:jc w:val="center"/>
        </w:trPr>
        <w:tc>
          <w:tcPr>
            <w:tcW w:w="1696" w:type="dxa"/>
            <w:gridSpan w:val="2"/>
            <w:vMerge/>
            <w:shd w:val="clear" w:color="auto" w:fill="BDD6EE"/>
            <w:vAlign w:val="center"/>
          </w:tcPr>
          <w:p w:rsidR="00BD326C" w:rsidRPr="008E1DE6" w:rsidRDefault="00BD326C" w:rsidP="00BD326C">
            <w:pPr>
              <w:spacing w:after="0" w:line="240" w:lineRule="auto"/>
              <w:jc w:val="center"/>
              <w:rPr>
                <w:rFonts w:ascii="Times New Roman" w:hAnsi="Times New Roman"/>
                <w:sz w:val="20"/>
                <w:szCs w:val="20"/>
              </w:rPr>
            </w:pPr>
          </w:p>
        </w:tc>
        <w:tc>
          <w:tcPr>
            <w:tcW w:w="1229" w:type="dxa"/>
            <w:gridSpan w:val="3"/>
            <w:vAlign w:val="center"/>
          </w:tcPr>
          <w:p w:rsidR="00BD326C" w:rsidRPr="008E1DE6" w:rsidRDefault="00BD326C" w:rsidP="00BD326C">
            <w:pPr>
              <w:tabs>
                <w:tab w:val="left" w:pos="2193"/>
              </w:tabs>
              <w:spacing w:after="0" w:line="240" w:lineRule="auto"/>
              <w:jc w:val="center"/>
              <w:rPr>
                <w:rFonts w:ascii="Times New Roman" w:hAnsi="Times New Roman"/>
                <w:b/>
                <w:sz w:val="20"/>
                <w:szCs w:val="20"/>
              </w:rPr>
            </w:pPr>
            <w:r w:rsidRPr="008E1DE6">
              <w:rPr>
                <w:rFonts w:ascii="Times New Roman" w:hAnsi="Times New Roman"/>
                <w:b/>
                <w:sz w:val="20"/>
                <w:szCs w:val="20"/>
              </w:rPr>
              <w:t>PAYSAGE</w:t>
            </w:r>
          </w:p>
        </w:tc>
        <w:tc>
          <w:tcPr>
            <w:tcW w:w="6568" w:type="dxa"/>
            <w:vAlign w:val="center"/>
          </w:tcPr>
          <w:p w:rsidR="00BD326C" w:rsidRPr="000D22E9" w:rsidRDefault="00BD326C" w:rsidP="00FA3FAE">
            <w:pPr>
              <w:pStyle w:val="Listecouleur-Accent11"/>
              <w:numPr>
                <w:ilvl w:val="0"/>
                <w:numId w:val="87"/>
              </w:numPr>
              <w:tabs>
                <w:tab w:val="left" w:pos="737"/>
              </w:tabs>
              <w:rPr>
                <w:rFonts w:ascii="Times New Roman" w:hAnsi="Times New Roman"/>
                <w:color w:val="000000"/>
              </w:rPr>
            </w:pPr>
            <w:r w:rsidRPr="000D22E9">
              <w:rPr>
                <w:rFonts w:ascii="Times New Roman" w:hAnsi="Times New Roman"/>
              </w:rPr>
              <w:t>Modification de l’aspect du paysage</w:t>
            </w:r>
          </w:p>
        </w:tc>
        <w:tc>
          <w:tcPr>
            <w:tcW w:w="1134" w:type="dxa"/>
            <w:shd w:val="clear" w:color="auto" w:fill="FFFFFF"/>
            <w:vAlign w:val="center"/>
          </w:tcPr>
          <w:p w:rsidR="00BD326C" w:rsidRPr="00AA45E9" w:rsidRDefault="00BD326C" w:rsidP="00BD326C">
            <w:pPr>
              <w:spacing w:after="0" w:line="240" w:lineRule="auto"/>
              <w:jc w:val="center"/>
              <w:rPr>
                <w:rFonts w:ascii="Times New Roman" w:hAnsi="Times New Roman"/>
                <w:sz w:val="18"/>
                <w:szCs w:val="18"/>
              </w:rPr>
            </w:pPr>
            <w:r w:rsidRPr="00867483">
              <w:rPr>
                <w:rFonts w:ascii="Times New Roman" w:hAnsi="Times New Roman"/>
                <w:sz w:val="24"/>
                <w:szCs w:val="24"/>
              </w:rPr>
              <w:t>F</w:t>
            </w:r>
            <w:r>
              <w:rPr>
                <w:rFonts w:ascii="Times New Roman" w:hAnsi="Times New Roman"/>
                <w:sz w:val="24"/>
                <w:szCs w:val="24"/>
              </w:rPr>
              <w:t>aible</w:t>
            </w:r>
          </w:p>
        </w:tc>
        <w:tc>
          <w:tcPr>
            <w:tcW w:w="283" w:type="dxa"/>
            <w:shd w:val="clear" w:color="auto" w:fill="002060"/>
            <w:vAlign w:val="center"/>
          </w:tcPr>
          <w:p w:rsidR="00BD326C" w:rsidRPr="008E1DE6" w:rsidRDefault="00BD326C" w:rsidP="00BD326C">
            <w:pPr>
              <w:spacing w:after="0" w:line="240" w:lineRule="auto"/>
              <w:jc w:val="center"/>
              <w:rPr>
                <w:rFonts w:ascii="Times New Roman" w:hAnsi="Times New Roman"/>
                <w:b/>
                <w:sz w:val="18"/>
                <w:szCs w:val="18"/>
              </w:rPr>
            </w:pPr>
            <w:r w:rsidRPr="008E1DE6">
              <w:rPr>
                <w:rFonts w:ascii="Times New Roman" w:hAnsi="Times New Roman"/>
                <w:b/>
                <w:sz w:val="24"/>
                <w:szCs w:val="24"/>
              </w:rPr>
              <w:t>1</w:t>
            </w:r>
          </w:p>
        </w:tc>
        <w:tc>
          <w:tcPr>
            <w:tcW w:w="1276" w:type="dxa"/>
            <w:shd w:val="clear" w:color="auto" w:fill="FFFFFF"/>
            <w:vAlign w:val="center"/>
          </w:tcPr>
          <w:p w:rsidR="00BD326C" w:rsidRPr="00AA45E9" w:rsidRDefault="00BD326C" w:rsidP="00BD326C">
            <w:pPr>
              <w:spacing w:after="0" w:line="240" w:lineRule="auto"/>
              <w:jc w:val="center"/>
              <w:rPr>
                <w:rFonts w:ascii="Times New Roman" w:hAnsi="Times New Roman"/>
                <w:sz w:val="18"/>
                <w:szCs w:val="18"/>
              </w:rPr>
            </w:pPr>
            <w:r>
              <w:rPr>
                <w:rFonts w:ascii="Times New Roman" w:hAnsi="Times New Roman"/>
                <w:sz w:val="24"/>
                <w:szCs w:val="24"/>
              </w:rPr>
              <w:t>Locale</w:t>
            </w:r>
          </w:p>
        </w:tc>
        <w:tc>
          <w:tcPr>
            <w:tcW w:w="283" w:type="dxa"/>
            <w:shd w:val="clear" w:color="auto" w:fill="002060"/>
            <w:vAlign w:val="center"/>
          </w:tcPr>
          <w:p w:rsidR="00BD326C" w:rsidRPr="008E1DE6" w:rsidRDefault="00BD326C" w:rsidP="00BD326C">
            <w:pPr>
              <w:spacing w:after="0" w:line="240" w:lineRule="auto"/>
              <w:jc w:val="center"/>
              <w:rPr>
                <w:rFonts w:ascii="Times New Roman" w:hAnsi="Times New Roman"/>
                <w:b/>
                <w:sz w:val="18"/>
                <w:szCs w:val="18"/>
              </w:rPr>
            </w:pPr>
            <w:r w:rsidRPr="008E1DE6">
              <w:rPr>
                <w:rFonts w:ascii="Times New Roman" w:hAnsi="Times New Roman"/>
                <w:b/>
                <w:sz w:val="24"/>
                <w:szCs w:val="24"/>
              </w:rPr>
              <w:t>3</w:t>
            </w:r>
          </w:p>
        </w:tc>
        <w:tc>
          <w:tcPr>
            <w:tcW w:w="1276" w:type="dxa"/>
            <w:shd w:val="clear" w:color="auto" w:fill="FFFFFF"/>
            <w:vAlign w:val="center"/>
          </w:tcPr>
          <w:p w:rsidR="00BD326C" w:rsidRPr="00AA45E9" w:rsidRDefault="00BD326C" w:rsidP="00BD326C">
            <w:pPr>
              <w:spacing w:after="0" w:line="240" w:lineRule="auto"/>
              <w:jc w:val="center"/>
              <w:rPr>
                <w:rFonts w:ascii="Times New Roman" w:hAnsi="Times New Roman"/>
                <w:sz w:val="18"/>
                <w:szCs w:val="18"/>
              </w:rPr>
            </w:pPr>
            <w:r>
              <w:rPr>
                <w:rFonts w:ascii="Times New Roman" w:hAnsi="Times New Roman"/>
                <w:sz w:val="24"/>
                <w:szCs w:val="24"/>
              </w:rPr>
              <w:t>Moyenne</w:t>
            </w:r>
          </w:p>
        </w:tc>
        <w:tc>
          <w:tcPr>
            <w:tcW w:w="284" w:type="dxa"/>
            <w:shd w:val="clear" w:color="auto" w:fill="002060"/>
            <w:vAlign w:val="center"/>
          </w:tcPr>
          <w:p w:rsidR="00BD326C" w:rsidRPr="008E1DE6" w:rsidRDefault="00BD326C" w:rsidP="00BD326C">
            <w:pPr>
              <w:spacing w:after="0" w:line="240" w:lineRule="auto"/>
              <w:jc w:val="center"/>
              <w:rPr>
                <w:rFonts w:ascii="Times New Roman" w:hAnsi="Times New Roman"/>
                <w:b/>
                <w:sz w:val="18"/>
                <w:szCs w:val="18"/>
              </w:rPr>
            </w:pPr>
            <w:r w:rsidRPr="008E1DE6">
              <w:rPr>
                <w:rFonts w:ascii="Times New Roman" w:hAnsi="Times New Roman"/>
                <w:b/>
                <w:sz w:val="24"/>
                <w:szCs w:val="24"/>
              </w:rPr>
              <w:t>3</w:t>
            </w:r>
          </w:p>
        </w:tc>
        <w:tc>
          <w:tcPr>
            <w:tcW w:w="1275" w:type="dxa"/>
            <w:shd w:val="clear" w:color="auto" w:fill="92D050"/>
            <w:vAlign w:val="center"/>
          </w:tcPr>
          <w:p w:rsidR="00BD326C" w:rsidRPr="005244BC" w:rsidRDefault="00BD326C" w:rsidP="00BD326C">
            <w:pPr>
              <w:spacing w:after="0" w:line="240" w:lineRule="auto"/>
              <w:jc w:val="center"/>
              <w:rPr>
                <w:rFonts w:ascii="Times New Roman" w:hAnsi="Times New Roman"/>
                <w:b/>
                <w:sz w:val="16"/>
                <w:szCs w:val="16"/>
              </w:rPr>
            </w:pPr>
            <w:r>
              <w:rPr>
                <w:rFonts w:ascii="Times New Roman" w:hAnsi="Times New Roman"/>
                <w:b/>
                <w:sz w:val="24"/>
                <w:szCs w:val="24"/>
              </w:rPr>
              <w:t>Mineure</w:t>
            </w:r>
          </w:p>
        </w:tc>
        <w:tc>
          <w:tcPr>
            <w:tcW w:w="709" w:type="dxa"/>
            <w:shd w:val="clear" w:color="auto" w:fill="92D050"/>
            <w:vAlign w:val="center"/>
          </w:tcPr>
          <w:p w:rsidR="00BD326C" w:rsidRPr="005244BC" w:rsidRDefault="00BD326C" w:rsidP="00BD326C">
            <w:pPr>
              <w:spacing w:after="0" w:line="240" w:lineRule="auto"/>
              <w:jc w:val="center"/>
              <w:rPr>
                <w:rFonts w:ascii="Times New Roman" w:hAnsi="Times New Roman"/>
                <w:b/>
                <w:sz w:val="16"/>
                <w:szCs w:val="16"/>
              </w:rPr>
            </w:pPr>
            <w:r>
              <w:rPr>
                <w:rFonts w:ascii="Times New Roman" w:hAnsi="Times New Roman"/>
                <w:b/>
                <w:sz w:val="24"/>
                <w:szCs w:val="24"/>
              </w:rPr>
              <w:t>9</w:t>
            </w:r>
          </w:p>
        </w:tc>
      </w:tr>
      <w:tr w:rsidR="00BD326C" w:rsidRPr="00AA45E9" w:rsidTr="007062AE">
        <w:trPr>
          <w:jc w:val="center"/>
        </w:trPr>
        <w:tc>
          <w:tcPr>
            <w:tcW w:w="1696" w:type="dxa"/>
            <w:gridSpan w:val="2"/>
            <w:vMerge/>
            <w:shd w:val="clear" w:color="auto" w:fill="BDD6EE"/>
            <w:vAlign w:val="center"/>
          </w:tcPr>
          <w:p w:rsidR="00BD326C" w:rsidRPr="008E1DE6" w:rsidRDefault="00BD326C" w:rsidP="00BD326C">
            <w:pPr>
              <w:spacing w:after="0" w:line="240" w:lineRule="auto"/>
              <w:jc w:val="center"/>
              <w:rPr>
                <w:rFonts w:ascii="Times New Roman" w:hAnsi="Times New Roman"/>
                <w:sz w:val="20"/>
                <w:szCs w:val="20"/>
              </w:rPr>
            </w:pPr>
          </w:p>
        </w:tc>
        <w:tc>
          <w:tcPr>
            <w:tcW w:w="1229" w:type="dxa"/>
            <w:gridSpan w:val="3"/>
            <w:vMerge w:val="restart"/>
            <w:vAlign w:val="center"/>
          </w:tcPr>
          <w:p w:rsidR="00BD326C" w:rsidRPr="008E1DE6" w:rsidRDefault="00BD326C" w:rsidP="00BD326C">
            <w:pPr>
              <w:spacing w:after="0" w:line="240" w:lineRule="auto"/>
              <w:jc w:val="center"/>
              <w:rPr>
                <w:rFonts w:ascii="Times New Roman" w:hAnsi="Times New Roman"/>
                <w:b/>
                <w:sz w:val="20"/>
                <w:szCs w:val="20"/>
              </w:rPr>
            </w:pPr>
            <w:r w:rsidRPr="008E1DE6">
              <w:rPr>
                <w:rFonts w:ascii="Times New Roman" w:hAnsi="Times New Roman"/>
                <w:b/>
                <w:sz w:val="20"/>
                <w:szCs w:val="20"/>
              </w:rPr>
              <w:t>HUMAIN</w:t>
            </w:r>
          </w:p>
        </w:tc>
        <w:tc>
          <w:tcPr>
            <w:tcW w:w="6568" w:type="dxa"/>
            <w:vAlign w:val="center"/>
          </w:tcPr>
          <w:p w:rsidR="00BD326C" w:rsidRPr="000D22E9" w:rsidRDefault="00BD326C" w:rsidP="00FA3FAE">
            <w:pPr>
              <w:pStyle w:val="Listecouleur-Accent11"/>
              <w:numPr>
                <w:ilvl w:val="0"/>
                <w:numId w:val="87"/>
              </w:numPr>
              <w:rPr>
                <w:rFonts w:ascii="Times New Roman" w:hAnsi="Times New Roman"/>
                <w:b/>
                <w:lang w:val="fr-FR"/>
              </w:rPr>
            </w:pPr>
            <w:r w:rsidRPr="000D22E9">
              <w:rPr>
                <w:rFonts w:ascii="Times New Roman" w:hAnsi="Times New Roman"/>
              </w:rPr>
              <w:t xml:space="preserve">Risque de perturbation du cadre de vie des populations riveraines dû aux productions de poussières, de bruit </w:t>
            </w:r>
          </w:p>
        </w:tc>
        <w:tc>
          <w:tcPr>
            <w:tcW w:w="1134" w:type="dxa"/>
            <w:vAlign w:val="center"/>
          </w:tcPr>
          <w:p w:rsidR="00BD326C" w:rsidRPr="00AA45E9" w:rsidRDefault="00BD326C" w:rsidP="00BD326C">
            <w:pPr>
              <w:spacing w:after="0" w:line="240" w:lineRule="auto"/>
              <w:jc w:val="center"/>
              <w:rPr>
                <w:rFonts w:ascii="Times New Roman" w:hAnsi="Times New Roman"/>
                <w:sz w:val="18"/>
                <w:szCs w:val="18"/>
              </w:rPr>
            </w:pPr>
            <w:r w:rsidRPr="00867483">
              <w:rPr>
                <w:rFonts w:ascii="Times New Roman" w:hAnsi="Times New Roman"/>
                <w:sz w:val="24"/>
                <w:szCs w:val="24"/>
              </w:rPr>
              <w:t>Forte</w:t>
            </w:r>
          </w:p>
        </w:tc>
        <w:tc>
          <w:tcPr>
            <w:tcW w:w="283" w:type="dxa"/>
            <w:shd w:val="clear" w:color="auto" w:fill="002060"/>
            <w:vAlign w:val="center"/>
          </w:tcPr>
          <w:p w:rsidR="00BD326C" w:rsidRPr="008E1DE6" w:rsidRDefault="00BD326C" w:rsidP="00BD326C">
            <w:pPr>
              <w:spacing w:after="0" w:line="240" w:lineRule="auto"/>
              <w:jc w:val="center"/>
              <w:rPr>
                <w:rFonts w:ascii="Times New Roman" w:hAnsi="Times New Roman"/>
                <w:b/>
                <w:sz w:val="18"/>
                <w:szCs w:val="18"/>
              </w:rPr>
            </w:pPr>
            <w:r w:rsidRPr="008E1DE6">
              <w:rPr>
                <w:rFonts w:ascii="Times New Roman" w:hAnsi="Times New Roman"/>
                <w:b/>
                <w:sz w:val="24"/>
                <w:szCs w:val="24"/>
              </w:rPr>
              <w:t>5</w:t>
            </w:r>
          </w:p>
        </w:tc>
        <w:tc>
          <w:tcPr>
            <w:tcW w:w="1276" w:type="dxa"/>
            <w:vAlign w:val="center"/>
          </w:tcPr>
          <w:p w:rsidR="00BD326C" w:rsidRPr="00AA45E9" w:rsidRDefault="00BD326C" w:rsidP="00BD326C">
            <w:pPr>
              <w:spacing w:after="0" w:line="240" w:lineRule="auto"/>
              <w:jc w:val="center"/>
              <w:rPr>
                <w:rFonts w:ascii="Times New Roman" w:hAnsi="Times New Roman"/>
                <w:sz w:val="18"/>
                <w:szCs w:val="18"/>
              </w:rPr>
            </w:pPr>
            <w:r>
              <w:rPr>
                <w:rFonts w:ascii="Times New Roman" w:hAnsi="Times New Roman"/>
                <w:sz w:val="24"/>
                <w:szCs w:val="24"/>
              </w:rPr>
              <w:t>Locale</w:t>
            </w:r>
          </w:p>
        </w:tc>
        <w:tc>
          <w:tcPr>
            <w:tcW w:w="283" w:type="dxa"/>
            <w:shd w:val="clear" w:color="auto" w:fill="002060"/>
            <w:vAlign w:val="center"/>
          </w:tcPr>
          <w:p w:rsidR="00BD326C" w:rsidRPr="008E1DE6" w:rsidRDefault="00BD326C" w:rsidP="00BD326C">
            <w:pPr>
              <w:spacing w:after="0" w:line="240" w:lineRule="auto"/>
              <w:jc w:val="center"/>
              <w:rPr>
                <w:rFonts w:ascii="Times New Roman" w:hAnsi="Times New Roman"/>
                <w:b/>
                <w:sz w:val="18"/>
                <w:szCs w:val="18"/>
              </w:rPr>
            </w:pPr>
            <w:r w:rsidRPr="008E1DE6">
              <w:rPr>
                <w:rFonts w:ascii="Times New Roman" w:hAnsi="Times New Roman"/>
                <w:b/>
                <w:sz w:val="24"/>
                <w:szCs w:val="24"/>
              </w:rPr>
              <w:t>3</w:t>
            </w:r>
          </w:p>
        </w:tc>
        <w:tc>
          <w:tcPr>
            <w:tcW w:w="1276" w:type="dxa"/>
            <w:vAlign w:val="center"/>
          </w:tcPr>
          <w:p w:rsidR="00BD326C" w:rsidRPr="00AA45E9" w:rsidRDefault="00BD326C" w:rsidP="00BD326C">
            <w:pPr>
              <w:spacing w:after="0" w:line="240" w:lineRule="auto"/>
              <w:jc w:val="center"/>
              <w:rPr>
                <w:rFonts w:ascii="Times New Roman" w:hAnsi="Times New Roman"/>
                <w:sz w:val="18"/>
                <w:szCs w:val="18"/>
              </w:rPr>
            </w:pPr>
            <w:r>
              <w:rPr>
                <w:rFonts w:ascii="Times New Roman" w:hAnsi="Times New Roman"/>
                <w:sz w:val="24"/>
                <w:szCs w:val="24"/>
              </w:rPr>
              <w:t>Courte</w:t>
            </w:r>
          </w:p>
        </w:tc>
        <w:tc>
          <w:tcPr>
            <w:tcW w:w="284" w:type="dxa"/>
            <w:shd w:val="clear" w:color="auto" w:fill="002060"/>
            <w:vAlign w:val="center"/>
          </w:tcPr>
          <w:p w:rsidR="00BD326C" w:rsidRPr="008E1DE6" w:rsidRDefault="00BD326C" w:rsidP="00BD326C">
            <w:pPr>
              <w:spacing w:after="0" w:line="240" w:lineRule="auto"/>
              <w:jc w:val="center"/>
              <w:rPr>
                <w:rFonts w:ascii="Times New Roman" w:hAnsi="Times New Roman"/>
                <w:b/>
                <w:sz w:val="18"/>
                <w:szCs w:val="18"/>
              </w:rPr>
            </w:pPr>
            <w:r w:rsidRPr="008E1DE6">
              <w:rPr>
                <w:rFonts w:ascii="Times New Roman" w:hAnsi="Times New Roman"/>
                <w:b/>
                <w:sz w:val="24"/>
                <w:szCs w:val="24"/>
              </w:rPr>
              <w:t>1</w:t>
            </w:r>
          </w:p>
        </w:tc>
        <w:tc>
          <w:tcPr>
            <w:tcW w:w="1275" w:type="dxa"/>
            <w:shd w:val="clear" w:color="auto" w:fill="92D050"/>
            <w:vAlign w:val="center"/>
          </w:tcPr>
          <w:p w:rsidR="00BD326C" w:rsidRPr="005244BC" w:rsidRDefault="00BD326C" w:rsidP="00BD326C">
            <w:pPr>
              <w:spacing w:after="0" w:line="240" w:lineRule="auto"/>
              <w:jc w:val="center"/>
              <w:rPr>
                <w:rFonts w:ascii="Times New Roman" w:hAnsi="Times New Roman"/>
                <w:b/>
                <w:sz w:val="16"/>
                <w:szCs w:val="16"/>
              </w:rPr>
            </w:pPr>
            <w:r>
              <w:rPr>
                <w:rFonts w:ascii="Times New Roman" w:hAnsi="Times New Roman"/>
                <w:b/>
                <w:sz w:val="24"/>
                <w:szCs w:val="24"/>
              </w:rPr>
              <w:t>Mineure</w:t>
            </w:r>
          </w:p>
        </w:tc>
        <w:tc>
          <w:tcPr>
            <w:tcW w:w="709" w:type="dxa"/>
            <w:shd w:val="clear" w:color="auto" w:fill="92D050"/>
            <w:vAlign w:val="center"/>
          </w:tcPr>
          <w:p w:rsidR="00BD326C" w:rsidRPr="005244BC" w:rsidRDefault="00BD326C" w:rsidP="00BD326C">
            <w:pPr>
              <w:spacing w:after="0" w:line="240" w:lineRule="auto"/>
              <w:jc w:val="center"/>
              <w:rPr>
                <w:rFonts w:ascii="Times New Roman" w:hAnsi="Times New Roman"/>
                <w:b/>
                <w:sz w:val="16"/>
                <w:szCs w:val="16"/>
              </w:rPr>
            </w:pPr>
            <w:r>
              <w:rPr>
                <w:rFonts w:ascii="Times New Roman" w:hAnsi="Times New Roman"/>
                <w:b/>
                <w:sz w:val="24"/>
                <w:szCs w:val="24"/>
              </w:rPr>
              <w:t>1</w:t>
            </w:r>
            <w:r w:rsidRPr="008E6D9C">
              <w:rPr>
                <w:rFonts w:ascii="Times New Roman" w:hAnsi="Times New Roman"/>
                <w:b/>
                <w:sz w:val="24"/>
                <w:szCs w:val="24"/>
              </w:rPr>
              <w:t>5</w:t>
            </w:r>
          </w:p>
        </w:tc>
      </w:tr>
      <w:tr w:rsidR="00BD326C" w:rsidRPr="00AA45E9" w:rsidTr="007062AE">
        <w:trPr>
          <w:jc w:val="center"/>
        </w:trPr>
        <w:tc>
          <w:tcPr>
            <w:tcW w:w="1696" w:type="dxa"/>
            <w:gridSpan w:val="2"/>
            <w:vMerge/>
            <w:shd w:val="clear" w:color="auto" w:fill="BDD6EE"/>
            <w:vAlign w:val="center"/>
          </w:tcPr>
          <w:p w:rsidR="00BD326C" w:rsidRPr="008E1DE6" w:rsidRDefault="00BD326C" w:rsidP="00BD326C">
            <w:pPr>
              <w:spacing w:after="0" w:line="240" w:lineRule="auto"/>
              <w:jc w:val="center"/>
              <w:rPr>
                <w:rFonts w:ascii="Times New Roman" w:hAnsi="Times New Roman"/>
                <w:sz w:val="20"/>
                <w:szCs w:val="20"/>
              </w:rPr>
            </w:pPr>
          </w:p>
        </w:tc>
        <w:tc>
          <w:tcPr>
            <w:tcW w:w="1229" w:type="dxa"/>
            <w:gridSpan w:val="3"/>
            <w:vMerge/>
            <w:vAlign w:val="center"/>
          </w:tcPr>
          <w:p w:rsidR="00BD326C" w:rsidRPr="008E1DE6" w:rsidRDefault="00BD326C" w:rsidP="00BD326C">
            <w:pPr>
              <w:spacing w:after="0" w:line="240" w:lineRule="auto"/>
              <w:jc w:val="center"/>
              <w:rPr>
                <w:rFonts w:ascii="Times New Roman" w:hAnsi="Times New Roman"/>
                <w:b/>
                <w:sz w:val="20"/>
                <w:szCs w:val="20"/>
              </w:rPr>
            </w:pPr>
          </w:p>
        </w:tc>
        <w:tc>
          <w:tcPr>
            <w:tcW w:w="6568" w:type="dxa"/>
            <w:vAlign w:val="center"/>
          </w:tcPr>
          <w:p w:rsidR="00BD326C" w:rsidRPr="000D22E9" w:rsidRDefault="00BD326C" w:rsidP="00FA3FAE">
            <w:pPr>
              <w:pStyle w:val="Listecouleur-Accent11"/>
              <w:numPr>
                <w:ilvl w:val="0"/>
                <w:numId w:val="87"/>
              </w:numPr>
              <w:rPr>
                <w:rFonts w:ascii="Times New Roman" w:hAnsi="Times New Roman"/>
              </w:rPr>
            </w:pPr>
            <w:r w:rsidRPr="000D22E9">
              <w:rPr>
                <w:rFonts w:ascii="Times New Roman" w:hAnsi="Times New Roman"/>
              </w:rPr>
              <w:t>Risque de gêner la circulation des passants et des automobilistes</w:t>
            </w:r>
          </w:p>
        </w:tc>
        <w:tc>
          <w:tcPr>
            <w:tcW w:w="1134" w:type="dxa"/>
            <w:vAlign w:val="center"/>
          </w:tcPr>
          <w:p w:rsidR="00BD326C" w:rsidRPr="00AA45E9" w:rsidRDefault="00BD326C" w:rsidP="00BD326C">
            <w:pPr>
              <w:spacing w:after="0" w:line="240" w:lineRule="auto"/>
              <w:jc w:val="center"/>
              <w:rPr>
                <w:rFonts w:ascii="Times New Roman" w:hAnsi="Times New Roman"/>
                <w:sz w:val="18"/>
                <w:szCs w:val="18"/>
              </w:rPr>
            </w:pPr>
            <w:r w:rsidRPr="00867483">
              <w:rPr>
                <w:rFonts w:ascii="Times New Roman" w:hAnsi="Times New Roman"/>
                <w:sz w:val="24"/>
                <w:szCs w:val="24"/>
              </w:rPr>
              <w:t>Forte</w:t>
            </w:r>
          </w:p>
        </w:tc>
        <w:tc>
          <w:tcPr>
            <w:tcW w:w="283" w:type="dxa"/>
            <w:shd w:val="clear" w:color="auto" w:fill="002060"/>
            <w:vAlign w:val="center"/>
          </w:tcPr>
          <w:p w:rsidR="00BD326C" w:rsidRPr="008E1DE6" w:rsidRDefault="00BD326C" w:rsidP="00BD326C">
            <w:pPr>
              <w:spacing w:after="0" w:line="240" w:lineRule="auto"/>
              <w:jc w:val="center"/>
              <w:rPr>
                <w:rFonts w:ascii="Times New Roman" w:hAnsi="Times New Roman"/>
                <w:b/>
                <w:sz w:val="18"/>
                <w:szCs w:val="18"/>
              </w:rPr>
            </w:pPr>
            <w:r w:rsidRPr="008E1DE6">
              <w:rPr>
                <w:rFonts w:ascii="Times New Roman" w:hAnsi="Times New Roman"/>
                <w:b/>
                <w:sz w:val="24"/>
                <w:szCs w:val="24"/>
              </w:rPr>
              <w:t>5</w:t>
            </w:r>
          </w:p>
        </w:tc>
        <w:tc>
          <w:tcPr>
            <w:tcW w:w="1276" w:type="dxa"/>
            <w:vAlign w:val="center"/>
          </w:tcPr>
          <w:p w:rsidR="00BD326C" w:rsidRPr="00AA45E9" w:rsidRDefault="00BD326C" w:rsidP="00BD326C">
            <w:pPr>
              <w:spacing w:after="0" w:line="240" w:lineRule="auto"/>
              <w:jc w:val="center"/>
              <w:rPr>
                <w:rFonts w:ascii="Times New Roman" w:hAnsi="Times New Roman"/>
                <w:sz w:val="18"/>
                <w:szCs w:val="18"/>
              </w:rPr>
            </w:pPr>
            <w:r>
              <w:rPr>
                <w:rFonts w:ascii="Times New Roman" w:hAnsi="Times New Roman"/>
                <w:sz w:val="24"/>
                <w:szCs w:val="24"/>
              </w:rPr>
              <w:t>Locale</w:t>
            </w:r>
          </w:p>
        </w:tc>
        <w:tc>
          <w:tcPr>
            <w:tcW w:w="283" w:type="dxa"/>
            <w:shd w:val="clear" w:color="auto" w:fill="002060"/>
            <w:vAlign w:val="center"/>
          </w:tcPr>
          <w:p w:rsidR="00BD326C" w:rsidRPr="008E1DE6" w:rsidRDefault="00BD326C" w:rsidP="00BD326C">
            <w:pPr>
              <w:spacing w:after="0" w:line="240" w:lineRule="auto"/>
              <w:jc w:val="center"/>
              <w:rPr>
                <w:rFonts w:ascii="Times New Roman" w:hAnsi="Times New Roman"/>
                <w:b/>
                <w:sz w:val="18"/>
                <w:szCs w:val="18"/>
              </w:rPr>
            </w:pPr>
            <w:r w:rsidRPr="008E1DE6">
              <w:rPr>
                <w:rFonts w:ascii="Times New Roman" w:hAnsi="Times New Roman"/>
                <w:b/>
                <w:sz w:val="24"/>
                <w:szCs w:val="24"/>
              </w:rPr>
              <w:t>3</w:t>
            </w:r>
          </w:p>
        </w:tc>
        <w:tc>
          <w:tcPr>
            <w:tcW w:w="1276" w:type="dxa"/>
            <w:vAlign w:val="center"/>
          </w:tcPr>
          <w:p w:rsidR="00BD326C" w:rsidRPr="00AA45E9" w:rsidRDefault="00BD326C" w:rsidP="00BD326C">
            <w:pPr>
              <w:spacing w:after="0" w:line="240" w:lineRule="auto"/>
              <w:jc w:val="center"/>
              <w:rPr>
                <w:rFonts w:ascii="Times New Roman" w:hAnsi="Times New Roman"/>
                <w:sz w:val="18"/>
                <w:szCs w:val="18"/>
              </w:rPr>
            </w:pPr>
            <w:r>
              <w:rPr>
                <w:rFonts w:ascii="Times New Roman" w:hAnsi="Times New Roman"/>
                <w:sz w:val="24"/>
                <w:szCs w:val="24"/>
              </w:rPr>
              <w:t>Courte</w:t>
            </w:r>
          </w:p>
        </w:tc>
        <w:tc>
          <w:tcPr>
            <w:tcW w:w="284" w:type="dxa"/>
            <w:shd w:val="clear" w:color="auto" w:fill="002060"/>
            <w:vAlign w:val="center"/>
          </w:tcPr>
          <w:p w:rsidR="00BD326C" w:rsidRPr="008E1DE6" w:rsidRDefault="00BD326C" w:rsidP="00BD326C">
            <w:pPr>
              <w:spacing w:after="0" w:line="240" w:lineRule="auto"/>
              <w:jc w:val="center"/>
              <w:rPr>
                <w:rFonts w:ascii="Times New Roman" w:hAnsi="Times New Roman"/>
                <w:b/>
                <w:sz w:val="18"/>
                <w:szCs w:val="18"/>
              </w:rPr>
            </w:pPr>
            <w:r w:rsidRPr="008E1DE6">
              <w:rPr>
                <w:rFonts w:ascii="Times New Roman" w:hAnsi="Times New Roman"/>
                <w:b/>
                <w:sz w:val="24"/>
                <w:szCs w:val="24"/>
              </w:rPr>
              <w:t>1</w:t>
            </w:r>
          </w:p>
        </w:tc>
        <w:tc>
          <w:tcPr>
            <w:tcW w:w="1275" w:type="dxa"/>
            <w:shd w:val="clear" w:color="auto" w:fill="92D050"/>
            <w:vAlign w:val="center"/>
          </w:tcPr>
          <w:p w:rsidR="00BD326C" w:rsidRPr="005244BC" w:rsidRDefault="00BD326C" w:rsidP="00BD326C">
            <w:pPr>
              <w:spacing w:after="0" w:line="240" w:lineRule="auto"/>
              <w:jc w:val="center"/>
              <w:rPr>
                <w:rFonts w:ascii="Times New Roman" w:hAnsi="Times New Roman"/>
                <w:b/>
                <w:sz w:val="16"/>
                <w:szCs w:val="16"/>
              </w:rPr>
            </w:pPr>
            <w:r>
              <w:rPr>
                <w:rFonts w:ascii="Times New Roman" w:hAnsi="Times New Roman"/>
                <w:b/>
                <w:sz w:val="24"/>
                <w:szCs w:val="24"/>
              </w:rPr>
              <w:t>Mineure</w:t>
            </w:r>
          </w:p>
        </w:tc>
        <w:tc>
          <w:tcPr>
            <w:tcW w:w="709" w:type="dxa"/>
            <w:shd w:val="clear" w:color="auto" w:fill="92D050"/>
            <w:vAlign w:val="center"/>
          </w:tcPr>
          <w:p w:rsidR="00BD326C" w:rsidRPr="005244BC" w:rsidRDefault="00BD326C" w:rsidP="00BD326C">
            <w:pPr>
              <w:spacing w:after="0" w:line="240" w:lineRule="auto"/>
              <w:jc w:val="center"/>
              <w:rPr>
                <w:rFonts w:ascii="Times New Roman" w:hAnsi="Times New Roman"/>
                <w:b/>
                <w:sz w:val="16"/>
                <w:szCs w:val="16"/>
              </w:rPr>
            </w:pPr>
            <w:r>
              <w:rPr>
                <w:rFonts w:ascii="Times New Roman" w:hAnsi="Times New Roman"/>
                <w:b/>
                <w:sz w:val="24"/>
                <w:szCs w:val="24"/>
              </w:rPr>
              <w:t>1</w:t>
            </w:r>
            <w:r w:rsidRPr="008E6D9C">
              <w:rPr>
                <w:rFonts w:ascii="Times New Roman" w:hAnsi="Times New Roman"/>
                <w:b/>
                <w:sz w:val="24"/>
                <w:szCs w:val="24"/>
              </w:rPr>
              <w:t>5</w:t>
            </w:r>
          </w:p>
        </w:tc>
      </w:tr>
      <w:tr w:rsidR="00BD326C" w:rsidRPr="00AA45E9" w:rsidTr="007062AE">
        <w:trPr>
          <w:jc w:val="center"/>
        </w:trPr>
        <w:tc>
          <w:tcPr>
            <w:tcW w:w="1696" w:type="dxa"/>
            <w:gridSpan w:val="2"/>
            <w:vMerge/>
            <w:shd w:val="clear" w:color="auto" w:fill="BDD6EE"/>
            <w:vAlign w:val="center"/>
          </w:tcPr>
          <w:p w:rsidR="00BD326C" w:rsidRPr="008E1DE6" w:rsidRDefault="00BD326C" w:rsidP="00BD326C">
            <w:pPr>
              <w:spacing w:after="0" w:line="240" w:lineRule="auto"/>
              <w:jc w:val="center"/>
              <w:rPr>
                <w:rFonts w:ascii="Times New Roman" w:hAnsi="Times New Roman"/>
                <w:sz w:val="20"/>
                <w:szCs w:val="20"/>
              </w:rPr>
            </w:pPr>
          </w:p>
        </w:tc>
        <w:tc>
          <w:tcPr>
            <w:tcW w:w="1229" w:type="dxa"/>
            <w:gridSpan w:val="3"/>
            <w:vMerge/>
            <w:vAlign w:val="center"/>
          </w:tcPr>
          <w:p w:rsidR="00BD326C" w:rsidRPr="008E1DE6" w:rsidRDefault="00BD326C" w:rsidP="00BD326C">
            <w:pPr>
              <w:spacing w:after="0" w:line="240" w:lineRule="auto"/>
              <w:jc w:val="center"/>
              <w:rPr>
                <w:rFonts w:ascii="Times New Roman" w:hAnsi="Times New Roman"/>
                <w:b/>
                <w:sz w:val="20"/>
                <w:szCs w:val="20"/>
              </w:rPr>
            </w:pPr>
          </w:p>
        </w:tc>
        <w:tc>
          <w:tcPr>
            <w:tcW w:w="6568" w:type="dxa"/>
            <w:vAlign w:val="center"/>
          </w:tcPr>
          <w:p w:rsidR="00BD326C" w:rsidRPr="000D22E9" w:rsidRDefault="00BD326C" w:rsidP="00FA3FAE">
            <w:pPr>
              <w:pStyle w:val="Listecouleur-Accent11"/>
              <w:numPr>
                <w:ilvl w:val="0"/>
                <w:numId w:val="87"/>
              </w:numPr>
              <w:rPr>
                <w:rFonts w:ascii="Times New Roman" w:hAnsi="Times New Roman"/>
              </w:rPr>
            </w:pPr>
            <w:r w:rsidRPr="000D22E9">
              <w:rPr>
                <w:rFonts w:ascii="Times New Roman" w:hAnsi="Times New Roman"/>
              </w:rPr>
              <w:t>Risques de propagation de maladies sexuellement transmissibles comme le VIH/SIDA</w:t>
            </w:r>
          </w:p>
        </w:tc>
        <w:tc>
          <w:tcPr>
            <w:tcW w:w="1134" w:type="dxa"/>
            <w:vAlign w:val="center"/>
          </w:tcPr>
          <w:p w:rsidR="00BD326C" w:rsidRPr="00867483" w:rsidRDefault="00BD326C" w:rsidP="00BD326C">
            <w:pPr>
              <w:spacing w:after="0" w:line="240" w:lineRule="auto"/>
              <w:jc w:val="center"/>
              <w:rPr>
                <w:rFonts w:ascii="Times New Roman" w:hAnsi="Times New Roman"/>
                <w:sz w:val="24"/>
                <w:szCs w:val="24"/>
              </w:rPr>
            </w:pPr>
            <w:r w:rsidRPr="00867483">
              <w:rPr>
                <w:rFonts w:ascii="Times New Roman" w:hAnsi="Times New Roman"/>
                <w:sz w:val="24"/>
                <w:szCs w:val="24"/>
              </w:rPr>
              <w:t>Forte</w:t>
            </w:r>
          </w:p>
        </w:tc>
        <w:tc>
          <w:tcPr>
            <w:tcW w:w="283" w:type="dxa"/>
            <w:shd w:val="clear" w:color="auto" w:fill="002060"/>
            <w:vAlign w:val="center"/>
          </w:tcPr>
          <w:p w:rsidR="00BD326C" w:rsidRPr="008E1DE6" w:rsidRDefault="00BD326C" w:rsidP="00BD326C">
            <w:pPr>
              <w:spacing w:after="0" w:line="240" w:lineRule="auto"/>
              <w:jc w:val="center"/>
              <w:rPr>
                <w:rFonts w:ascii="Times New Roman" w:hAnsi="Times New Roman"/>
                <w:b/>
                <w:sz w:val="24"/>
                <w:szCs w:val="24"/>
              </w:rPr>
            </w:pPr>
            <w:r w:rsidRPr="008E1DE6">
              <w:rPr>
                <w:rFonts w:ascii="Times New Roman" w:hAnsi="Times New Roman"/>
                <w:b/>
                <w:sz w:val="24"/>
                <w:szCs w:val="24"/>
              </w:rPr>
              <w:t>5</w:t>
            </w:r>
          </w:p>
        </w:tc>
        <w:tc>
          <w:tcPr>
            <w:tcW w:w="1276" w:type="dxa"/>
            <w:vAlign w:val="center"/>
          </w:tcPr>
          <w:p w:rsidR="00BD326C" w:rsidRDefault="00BD326C" w:rsidP="00BD326C">
            <w:pPr>
              <w:spacing w:after="0" w:line="240" w:lineRule="auto"/>
              <w:jc w:val="center"/>
              <w:rPr>
                <w:rFonts w:ascii="Times New Roman" w:hAnsi="Times New Roman"/>
                <w:sz w:val="24"/>
                <w:szCs w:val="24"/>
              </w:rPr>
            </w:pPr>
            <w:r>
              <w:rPr>
                <w:rFonts w:ascii="Times New Roman" w:hAnsi="Times New Roman"/>
                <w:sz w:val="24"/>
                <w:szCs w:val="24"/>
              </w:rPr>
              <w:t>Régionale</w:t>
            </w:r>
          </w:p>
        </w:tc>
        <w:tc>
          <w:tcPr>
            <w:tcW w:w="283" w:type="dxa"/>
            <w:shd w:val="clear" w:color="auto" w:fill="002060"/>
            <w:vAlign w:val="center"/>
          </w:tcPr>
          <w:p w:rsidR="00BD326C" w:rsidRPr="008E1DE6" w:rsidRDefault="00BD326C" w:rsidP="00BD326C">
            <w:pPr>
              <w:spacing w:after="0" w:line="240" w:lineRule="auto"/>
              <w:jc w:val="center"/>
              <w:rPr>
                <w:rFonts w:ascii="Times New Roman" w:hAnsi="Times New Roman"/>
                <w:b/>
                <w:sz w:val="24"/>
                <w:szCs w:val="24"/>
              </w:rPr>
            </w:pPr>
            <w:r w:rsidRPr="008E1DE6">
              <w:rPr>
                <w:rFonts w:ascii="Times New Roman" w:hAnsi="Times New Roman"/>
                <w:b/>
                <w:sz w:val="24"/>
                <w:szCs w:val="24"/>
              </w:rPr>
              <w:t>5</w:t>
            </w:r>
          </w:p>
        </w:tc>
        <w:tc>
          <w:tcPr>
            <w:tcW w:w="1276" w:type="dxa"/>
            <w:vAlign w:val="center"/>
          </w:tcPr>
          <w:p w:rsidR="00BD326C" w:rsidRDefault="00BD326C" w:rsidP="00BD326C">
            <w:pPr>
              <w:spacing w:after="0" w:line="240" w:lineRule="auto"/>
              <w:jc w:val="center"/>
              <w:rPr>
                <w:rFonts w:ascii="Times New Roman" w:hAnsi="Times New Roman"/>
                <w:sz w:val="24"/>
                <w:szCs w:val="24"/>
              </w:rPr>
            </w:pPr>
            <w:r>
              <w:rPr>
                <w:rFonts w:ascii="Times New Roman" w:hAnsi="Times New Roman"/>
                <w:sz w:val="24"/>
                <w:szCs w:val="24"/>
              </w:rPr>
              <w:t>Courte</w:t>
            </w:r>
          </w:p>
        </w:tc>
        <w:tc>
          <w:tcPr>
            <w:tcW w:w="284" w:type="dxa"/>
            <w:shd w:val="clear" w:color="auto" w:fill="002060"/>
            <w:vAlign w:val="center"/>
          </w:tcPr>
          <w:p w:rsidR="00BD326C" w:rsidRPr="008E1DE6" w:rsidRDefault="00BD326C" w:rsidP="00BD326C">
            <w:pPr>
              <w:spacing w:after="0" w:line="240" w:lineRule="auto"/>
              <w:jc w:val="center"/>
              <w:rPr>
                <w:rFonts w:ascii="Times New Roman" w:hAnsi="Times New Roman"/>
                <w:b/>
                <w:sz w:val="24"/>
                <w:szCs w:val="24"/>
              </w:rPr>
            </w:pPr>
            <w:r w:rsidRPr="008E1DE6">
              <w:rPr>
                <w:rFonts w:ascii="Times New Roman" w:hAnsi="Times New Roman"/>
                <w:b/>
                <w:sz w:val="24"/>
                <w:szCs w:val="24"/>
              </w:rPr>
              <w:t>1</w:t>
            </w:r>
          </w:p>
        </w:tc>
        <w:tc>
          <w:tcPr>
            <w:tcW w:w="1275" w:type="dxa"/>
            <w:shd w:val="clear" w:color="auto" w:fill="FFFF00"/>
            <w:vAlign w:val="center"/>
          </w:tcPr>
          <w:p w:rsidR="00BD326C" w:rsidRDefault="00BD326C" w:rsidP="00BD326C">
            <w:pPr>
              <w:spacing w:after="0" w:line="240" w:lineRule="auto"/>
              <w:jc w:val="center"/>
              <w:rPr>
                <w:rFonts w:ascii="Times New Roman" w:hAnsi="Times New Roman"/>
                <w:b/>
                <w:sz w:val="24"/>
                <w:szCs w:val="24"/>
              </w:rPr>
            </w:pPr>
            <w:r>
              <w:rPr>
                <w:rFonts w:ascii="Times New Roman" w:hAnsi="Times New Roman"/>
                <w:b/>
                <w:sz w:val="24"/>
                <w:szCs w:val="24"/>
              </w:rPr>
              <w:t>Moyenne</w:t>
            </w:r>
          </w:p>
        </w:tc>
        <w:tc>
          <w:tcPr>
            <w:tcW w:w="709" w:type="dxa"/>
            <w:shd w:val="clear" w:color="auto" w:fill="FFFF00"/>
            <w:vAlign w:val="center"/>
          </w:tcPr>
          <w:p w:rsidR="00BD326C" w:rsidRDefault="00BD326C" w:rsidP="00BD326C">
            <w:pPr>
              <w:spacing w:after="0" w:line="240" w:lineRule="auto"/>
              <w:jc w:val="center"/>
              <w:rPr>
                <w:rFonts w:ascii="Times New Roman" w:hAnsi="Times New Roman"/>
                <w:b/>
                <w:sz w:val="24"/>
                <w:szCs w:val="24"/>
              </w:rPr>
            </w:pPr>
            <w:r w:rsidRPr="008E6D9C">
              <w:rPr>
                <w:rFonts w:ascii="Times New Roman" w:hAnsi="Times New Roman"/>
                <w:b/>
                <w:sz w:val="24"/>
                <w:szCs w:val="24"/>
              </w:rPr>
              <w:t>25</w:t>
            </w:r>
          </w:p>
        </w:tc>
      </w:tr>
      <w:tr w:rsidR="00BD326C" w:rsidRPr="00AA45E9" w:rsidTr="007062AE">
        <w:trPr>
          <w:jc w:val="center"/>
        </w:trPr>
        <w:tc>
          <w:tcPr>
            <w:tcW w:w="1696" w:type="dxa"/>
            <w:gridSpan w:val="2"/>
            <w:vMerge/>
            <w:shd w:val="clear" w:color="auto" w:fill="BDD6EE"/>
            <w:vAlign w:val="center"/>
          </w:tcPr>
          <w:p w:rsidR="00BD326C" w:rsidRPr="008E1DE6" w:rsidRDefault="00BD326C" w:rsidP="00BD326C">
            <w:pPr>
              <w:spacing w:after="0" w:line="240" w:lineRule="auto"/>
              <w:jc w:val="center"/>
              <w:rPr>
                <w:rFonts w:ascii="Times New Roman" w:hAnsi="Times New Roman"/>
                <w:sz w:val="20"/>
                <w:szCs w:val="20"/>
              </w:rPr>
            </w:pPr>
          </w:p>
        </w:tc>
        <w:tc>
          <w:tcPr>
            <w:tcW w:w="1229" w:type="dxa"/>
            <w:gridSpan w:val="3"/>
            <w:vMerge/>
            <w:vAlign w:val="center"/>
          </w:tcPr>
          <w:p w:rsidR="00BD326C" w:rsidRPr="008E1DE6" w:rsidRDefault="00BD326C" w:rsidP="00BD326C">
            <w:pPr>
              <w:spacing w:after="0" w:line="240" w:lineRule="auto"/>
              <w:jc w:val="center"/>
              <w:rPr>
                <w:rFonts w:ascii="Times New Roman" w:hAnsi="Times New Roman"/>
                <w:b/>
                <w:sz w:val="20"/>
                <w:szCs w:val="20"/>
              </w:rPr>
            </w:pPr>
          </w:p>
        </w:tc>
        <w:tc>
          <w:tcPr>
            <w:tcW w:w="6568" w:type="dxa"/>
            <w:vAlign w:val="center"/>
          </w:tcPr>
          <w:p w:rsidR="00BD326C" w:rsidRPr="000D22E9" w:rsidRDefault="00BD326C" w:rsidP="00FA3FAE">
            <w:pPr>
              <w:pStyle w:val="Listecouleur-Accent11"/>
              <w:numPr>
                <w:ilvl w:val="0"/>
                <w:numId w:val="87"/>
              </w:numPr>
              <w:rPr>
                <w:rFonts w:ascii="Times New Roman" w:hAnsi="Times New Roman"/>
                <w:b/>
                <w:lang w:val="fr-FR"/>
              </w:rPr>
            </w:pPr>
            <w:r w:rsidRPr="000D22E9">
              <w:rPr>
                <w:rFonts w:ascii="Times New Roman" w:hAnsi="Times New Roman"/>
                <w:color w:val="000000"/>
                <w:lang w:val="fr-FR"/>
              </w:rPr>
              <w:t>R</w:t>
            </w:r>
            <w:r w:rsidR="0016753A">
              <w:rPr>
                <w:rFonts w:ascii="Times New Roman" w:hAnsi="Times New Roman"/>
                <w:color w:val="000000"/>
              </w:rPr>
              <w:t>isque</w:t>
            </w:r>
            <w:r w:rsidR="0016753A">
              <w:rPr>
                <w:rFonts w:ascii="Times New Roman" w:hAnsi="Times New Roman"/>
                <w:color w:val="000000"/>
                <w:lang w:val="fr-FR"/>
              </w:rPr>
              <w:t>s</w:t>
            </w:r>
            <w:r w:rsidR="0016753A">
              <w:rPr>
                <w:rFonts w:ascii="Times New Roman" w:hAnsi="Times New Roman"/>
                <w:color w:val="000000"/>
              </w:rPr>
              <w:t xml:space="preserve"> d’accident</w:t>
            </w:r>
            <w:r w:rsidRPr="000D22E9">
              <w:rPr>
                <w:rFonts w:ascii="Times New Roman" w:hAnsi="Times New Roman"/>
                <w:color w:val="000000"/>
              </w:rPr>
              <w:t xml:space="preserve"> liés aux engins/instruments de chantier et à la présence de matériaux de construction mal protégés ou mal utilisé</w:t>
            </w:r>
            <w:r w:rsidRPr="000D22E9">
              <w:rPr>
                <w:rFonts w:ascii="Times New Roman" w:hAnsi="Times New Roman"/>
                <w:color w:val="000000"/>
                <w:lang w:val="fr-FR"/>
              </w:rPr>
              <w:t>.</w:t>
            </w:r>
          </w:p>
          <w:p w:rsidR="00BD326C" w:rsidRPr="000D22E9" w:rsidRDefault="00BD326C" w:rsidP="00FA3FAE">
            <w:pPr>
              <w:pStyle w:val="Listecouleur-Accent11"/>
              <w:numPr>
                <w:ilvl w:val="0"/>
                <w:numId w:val="87"/>
              </w:numPr>
              <w:rPr>
                <w:rFonts w:ascii="Times New Roman" w:hAnsi="Times New Roman"/>
                <w:b/>
                <w:lang w:val="fr-FR"/>
              </w:rPr>
            </w:pPr>
            <w:r w:rsidRPr="000D22E9">
              <w:rPr>
                <w:rFonts w:ascii="Times New Roman" w:hAnsi="Times New Roman"/>
              </w:rPr>
              <w:t>Risque de blessures dû à la manutention manuelle et mécanique</w:t>
            </w:r>
          </w:p>
        </w:tc>
        <w:tc>
          <w:tcPr>
            <w:tcW w:w="1134" w:type="dxa"/>
            <w:vAlign w:val="center"/>
          </w:tcPr>
          <w:p w:rsidR="00BD326C" w:rsidRPr="00AA45E9" w:rsidRDefault="00BD326C" w:rsidP="00BD326C">
            <w:pPr>
              <w:spacing w:after="0" w:line="240" w:lineRule="auto"/>
              <w:jc w:val="center"/>
              <w:rPr>
                <w:rFonts w:ascii="Times New Roman" w:hAnsi="Times New Roman"/>
                <w:sz w:val="18"/>
                <w:szCs w:val="18"/>
              </w:rPr>
            </w:pPr>
            <w:r w:rsidRPr="00867483">
              <w:rPr>
                <w:rFonts w:ascii="Times New Roman" w:hAnsi="Times New Roman"/>
                <w:sz w:val="24"/>
                <w:szCs w:val="24"/>
              </w:rPr>
              <w:t>Forte</w:t>
            </w:r>
          </w:p>
        </w:tc>
        <w:tc>
          <w:tcPr>
            <w:tcW w:w="283" w:type="dxa"/>
            <w:shd w:val="clear" w:color="auto" w:fill="002060"/>
            <w:vAlign w:val="center"/>
          </w:tcPr>
          <w:p w:rsidR="00BD326C" w:rsidRPr="008E1DE6" w:rsidRDefault="00BD326C" w:rsidP="00BD326C">
            <w:pPr>
              <w:spacing w:after="0" w:line="240" w:lineRule="auto"/>
              <w:jc w:val="center"/>
              <w:rPr>
                <w:rFonts w:ascii="Times New Roman" w:hAnsi="Times New Roman"/>
                <w:b/>
                <w:sz w:val="18"/>
                <w:szCs w:val="18"/>
              </w:rPr>
            </w:pPr>
            <w:r w:rsidRPr="008E1DE6">
              <w:rPr>
                <w:rFonts w:ascii="Times New Roman" w:hAnsi="Times New Roman"/>
                <w:b/>
                <w:sz w:val="24"/>
                <w:szCs w:val="24"/>
              </w:rPr>
              <w:t>5</w:t>
            </w:r>
          </w:p>
        </w:tc>
        <w:tc>
          <w:tcPr>
            <w:tcW w:w="1276" w:type="dxa"/>
            <w:vAlign w:val="center"/>
          </w:tcPr>
          <w:p w:rsidR="00BD326C" w:rsidRPr="00AA45E9" w:rsidRDefault="00BD326C" w:rsidP="00BD326C">
            <w:pPr>
              <w:spacing w:after="0" w:line="240" w:lineRule="auto"/>
              <w:jc w:val="center"/>
              <w:rPr>
                <w:rFonts w:ascii="Times New Roman" w:hAnsi="Times New Roman"/>
                <w:sz w:val="18"/>
                <w:szCs w:val="18"/>
              </w:rPr>
            </w:pPr>
            <w:r>
              <w:rPr>
                <w:rFonts w:ascii="Times New Roman" w:hAnsi="Times New Roman"/>
                <w:sz w:val="24"/>
                <w:szCs w:val="24"/>
              </w:rPr>
              <w:t>Locale</w:t>
            </w:r>
          </w:p>
        </w:tc>
        <w:tc>
          <w:tcPr>
            <w:tcW w:w="283" w:type="dxa"/>
            <w:shd w:val="clear" w:color="auto" w:fill="002060"/>
            <w:vAlign w:val="center"/>
          </w:tcPr>
          <w:p w:rsidR="00BD326C" w:rsidRPr="008E1DE6" w:rsidRDefault="00BD326C" w:rsidP="00BD326C">
            <w:pPr>
              <w:spacing w:after="0" w:line="240" w:lineRule="auto"/>
              <w:jc w:val="center"/>
              <w:rPr>
                <w:rFonts w:ascii="Times New Roman" w:hAnsi="Times New Roman"/>
                <w:b/>
                <w:sz w:val="18"/>
                <w:szCs w:val="18"/>
              </w:rPr>
            </w:pPr>
            <w:r w:rsidRPr="008E1DE6">
              <w:rPr>
                <w:rFonts w:ascii="Times New Roman" w:hAnsi="Times New Roman"/>
                <w:b/>
                <w:sz w:val="24"/>
                <w:szCs w:val="24"/>
              </w:rPr>
              <w:t>3</w:t>
            </w:r>
          </w:p>
        </w:tc>
        <w:tc>
          <w:tcPr>
            <w:tcW w:w="1276" w:type="dxa"/>
            <w:vAlign w:val="center"/>
          </w:tcPr>
          <w:p w:rsidR="00BD326C" w:rsidRPr="00AA45E9" w:rsidRDefault="00BD326C" w:rsidP="00BD326C">
            <w:pPr>
              <w:spacing w:after="0" w:line="240" w:lineRule="auto"/>
              <w:jc w:val="center"/>
              <w:rPr>
                <w:rFonts w:ascii="Times New Roman" w:hAnsi="Times New Roman"/>
                <w:sz w:val="18"/>
                <w:szCs w:val="18"/>
              </w:rPr>
            </w:pPr>
            <w:r>
              <w:rPr>
                <w:rFonts w:ascii="Times New Roman" w:hAnsi="Times New Roman"/>
                <w:sz w:val="24"/>
                <w:szCs w:val="24"/>
              </w:rPr>
              <w:t>Courte</w:t>
            </w:r>
          </w:p>
        </w:tc>
        <w:tc>
          <w:tcPr>
            <w:tcW w:w="284" w:type="dxa"/>
            <w:shd w:val="clear" w:color="auto" w:fill="002060"/>
            <w:vAlign w:val="center"/>
          </w:tcPr>
          <w:p w:rsidR="00BD326C" w:rsidRPr="008E1DE6" w:rsidRDefault="00BD326C" w:rsidP="00BD326C">
            <w:pPr>
              <w:spacing w:after="0" w:line="240" w:lineRule="auto"/>
              <w:jc w:val="center"/>
              <w:rPr>
                <w:rFonts w:ascii="Times New Roman" w:hAnsi="Times New Roman"/>
                <w:b/>
                <w:sz w:val="18"/>
                <w:szCs w:val="18"/>
              </w:rPr>
            </w:pPr>
            <w:r w:rsidRPr="008E1DE6">
              <w:rPr>
                <w:rFonts w:ascii="Times New Roman" w:hAnsi="Times New Roman"/>
                <w:b/>
                <w:sz w:val="24"/>
                <w:szCs w:val="24"/>
              </w:rPr>
              <w:t>1</w:t>
            </w:r>
          </w:p>
        </w:tc>
        <w:tc>
          <w:tcPr>
            <w:tcW w:w="1275" w:type="dxa"/>
            <w:shd w:val="clear" w:color="auto" w:fill="92D050"/>
            <w:vAlign w:val="center"/>
          </w:tcPr>
          <w:p w:rsidR="00BD326C" w:rsidRPr="00AA45E9" w:rsidRDefault="00BD326C" w:rsidP="00BD326C">
            <w:pPr>
              <w:spacing w:after="0" w:line="240" w:lineRule="auto"/>
              <w:jc w:val="center"/>
              <w:rPr>
                <w:rFonts w:ascii="Times New Roman" w:hAnsi="Times New Roman"/>
                <w:b/>
                <w:sz w:val="18"/>
                <w:szCs w:val="18"/>
              </w:rPr>
            </w:pPr>
            <w:r>
              <w:rPr>
                <w:rFonts w:ascii="Times New Roman" w:hAnsi="Times New Roman"/>
                <w:b/>
                <w:sz w:val="24"/>
                <w:szCs w:val="24"/>
              </w:rPr>
              <w:t>Mineure</w:t>
            </w:r>
          </w:p>
        </w:tc>
        <w:tc>
          <w:tcPr>
            <w:tcW w:w="709" w:type="dxa"/>
            <w:shd w:val="clear" w:color="auto" w:fill="92D050"/>
            <w:vAlign w:val="center"/>
          </w:tcPr>
          <w:p w:rsidR="00BD326C" w:rsidRPr="00AA45E9" w:rsidRDefault="00BD326C" w:rsidP="00BD326C">
            <w:pPr>
              <w:spacing w:after="0" w:line="240" w:lineRule="auto"/>
              <w:jc w:val="center"/>
              <w:rPr>
                <w:rFonts w:ascii="Times New Roman" w:hAnsi="Times New Roman"/>
                <w:b/>
                <w:sz w:val="18"/>
                <w:szCs w:val="18"/>
              </w:rPr>
            </w:pPr>
            <w:r>
              <w:rPr>
                <w:rFonts w:ascii="Times New Roman" w:hAnsi="Times New Roman"/>
                <w:b/>
                <w:sz w:val="24"/>
                <w:szCs w:val="24"/>
              </w:rPr>
              <w:t>1</w:t>
            </w:r>
            <w:r w:rsidRPr="008E6D9C">
              <w:rPr>
                <w:rFonts w:ascii="Times New Roman" w:hAnsi="Times New Roman"/>
                <w:b/>
                <w:sz w:val="24"/>
                <w:szCs w:val="24"/>
              </w:rPr>
              <w:t>5</w:t>
            </w:r>
          </w:p>
        </w:tc>
      </w:tr>
      <w:tr w:rsidR="00BD326C" w:rsidRPr="00AA45E9" w:rsidTr="007062AE">
        <w:trPr>
          <w:jc w:val="center"/>
        </w:trPr>
        <w:tc>
          <w:tcPr>
            <w:tcW w:w="1696" w:type="dxa"/>
            <w:gridSpan w:val="2"/>
            <w:vMerge/>
            <w:shd w:val="clear" w:color="auto" w:fill="BDD6EE"/>
            <w:vAlign w:val="center"/>
          </w:tcPr>
          <w:p w:rsidR="00BD326C" w:rsidRPr="008E1DE6" w:rsidRDefault="00BD326C" w:rsidP="00BD326C">
            <w:pPr>
              <w:spacing w:after="0" w:line="240" w:lineRule="auto"/>
              <w:jc w:val="center"/>
              <w:rPr>
                <w:rFonts w:ascii="Times New Roman" w:hAnsi="Times New Roman"/>
                <w:sz w:val="20"/>
                <w:szCs w:val="20"/>
              </w:rPr>
            </w:pPr>
          </w:p>
        </w:tc>
        <w:tc>
          <w:tcPr>
            <w:tcW w:w="1229" w:type="dxa"/>
            <w:gridSpan w:val="3"/>
            <w:vMerge/>
            <w:vAlign w:val="center"/>
          </w:tcPr>
          <w:p w:rsidR="00BD326C" w:rsidRPr="008E1DE6" w:rsidRDefault="00BD326C" w:rsidP="00BD326C">
            <w:pPr>
              <w:spacing w:after="0" w:line="240" w:lineRule="auto"/>
              <w:jc w:val="center"/>
              <w:rPr>
                <w:rFonts w:ascii="Times New Roman" w:hAnsi="Times New Roman"/>
                <w:b/>
                <w:sz w:val="20"/>
                <w:szCs w:val="20"/>
              </w:rPr>
            </w:pPr>
          </w:p>
        </w:tc>
        <w:tc>
          <w:tcPr>
            <w:tcW w:w="6568" w:type="dxa"/>
            <w:vAlign w:val="center"/>
          </w:tcPr>
          <w:p w:rsidR="00BD326C" w:rsidRPr="000D22E9" w:rsidRDefault="00BD326C" w:rsidP="00FA3FAE">
            <w:pPr>
              <w:pStyle w:val="Listecouleur-Accent11"/>
              <w:numPr>
                <w:ilvl w:val="0"/>
                <w:numId w:val="87"/>
              </w:numPr>
              <w:rPr>
                <w:rFonts w:ascii="Times New Roman" w:hAnsi="Times New Roman"/>
                <w:color w:val="000000"/>
                <w:lang w:val="fr-FR"/>
              </w:rPr>
            </w:pPr>
            <w:r w:rsidRPr="000D22E9">
              <w:rPr>
                <w:rFonts w:ascii="Times New Roman" w:hAnsi="Times New Roman"/>
                <w:color w:val="000000"/>
                <w:lang w:val="fr-FR"/>
              </w:rPr>
              <w:t xml:space="preserve">Risque de </w:t>
            </w:r>
            <w:r w:rsidRPr="000D22E9">
              <w:rPr>
                <w:rFonts w:ascii="Times New Roman" w:hAnsi="Times New Roman"/>
                <w:color w:val="000000"/>
              </w:rPr>
              <w:t>production de quantités de déchets significatives</w:t>
            </w:r>
            <w:r w:rsidRPr="000D22E9">
              <w:rPr>
                <w:rFonts w:ascii="Times New Roman" w:hAnsi="Times New Roman"/>
                <w:color w:val="000000"/>
                <w:lang w:val="fr-FR"/>
              </w:rPr>
              <w:t xml:space="preserve"> (les déchets inertes de roches, la sous -couche arable, résidus de conduites PVC, emballages souillés de peinture, solvants, cuve à hydrocarbure)</w:t>
            </w:r>
          </w:p>
        </w:tc>
        <w:tc>
          <w:tcPr>
            <w:tcW w:w="1134" w:type="dxa"/>
            <w:vAlign w:val="center"/>
          </w:tcPr>
          <w:p w:rsidR="00BD326C" w:rsidRPr="00867483" w:rsidRDefault="00BD326C" w:rsidP="00BD326C">
            <w:pPr>
              <w:spacing w:after="0" w:line="240" w:lineRule="auto"/>
              <w:jc w:val="center"/>
              <w:rPr>
                <w:rFonts w:ascii="Times New Roman" w:hAnsi="Times New Roman"/>
                <w:sz w:val="24"/>
                <w:szCs w:val="24"/>
              </w:rPr>
            </w:pPr>
            <w:r w:rsidRPr="00867483">
              <w:rPr>
                <w:rFonts w:ascii="Times New Roman" w:hAnsi="Times New Roman"/>
                <w:sz w:val="24"/>
                <w:szCs w:val="24"/>
              </w:rPr>
              <w:t>Forte</w:t>
            </w:r>
          </w:p>
        </w:tc>
        <w:tc>
          <w:tcPr>
            <w:tcW w:w="283" w:type="dxa"/>
            <w:shd w:val="clear" w:color="auto" w:fill="002060"/>
            <w:vAlign w:val="center"/>
          </w:tcPr>
          <w:p w:rsidR="00BD326C" w:rsidRPr="008E1DE6" w:rsidRDefault="00BD326C" w:rsidP="00BD326C">
            <w:pPr>
              <w:spacing w:after="0" w:line="240" w:lineRule="auto"/>
              <w:jc w:val="center"/>
              <w:rPr>
                <w:rFonts w:ascii="Times New Roman" w:hAnsi="Times New Roman"/>
                <w:b/>
                <w:sz w:val="24"/>
                <w:szCs w:val="24"/>
              </w:rPr>
            </w:pPr>
            <w:r w:rsidRPr="008E1DE6">
              <w:rPr>
                <w:rFonts w:ascii="Times New Roman" w:hAnsi="Times New Roman"/>
                <w:b/>
                <w:sz w:val="24"/>
                <w:szCs w:val="24"/>
              </w:rPr>
              <w:t>5</w:t>
            </w:r>
          </w:p>
        </w:tc>
        <w:tc>
          <w:tcPr>
            <w:tcW w:w="1276" w:type="dxa"/>
            <w:vAlign w:val="center"/>
          </w:tcPr>
          <w:p w:rsidR="00BD326C" w:rsidRDefault="00BD326C" w:rsidP="00BD326C">
            <w:pPr>
              <w:spacing w:after="0" w:line="240" w:lineRule="auto"/>
              <w:jc w:val="center"/>
              <w:rPr>
                <w:rFonts w:ascii="Times New Roman" w:hAnsi="Times New Roman"/>
                <w:sz w:val="24"/>
                <w:szCs w:val="24"/>
              </w:rPr>
            </w:pPr>
            <w:r>
              <w:rPr>
                <w:rFonts w:ascii="Times New Roman" w:hAnsi="Times New Roman"/>
                <w:sz w:val="24"/>
                <w:szCs w:val="24"/>
              </w:rPr>
              <w:t>Locale</w:t>
            </w:r>
          </w:p>
        </w:tc>
        <w:tc>
          <w:tcPr>
            <w:tcW w:w="283" w:type="dxa"/>
            <w:shd w:val="clear" w:color="auto" w:fill="002060"/>
            <w:vAlign w:val="center"/>
          </w:tcPr>
          <w:p w:rsidR="00BD326C" w:rsidRPr="008E1DE6" w:rsidRDefault="00BD326C" w:rsidP="00BD326C">
            <w:pPr>
              <w:spacing w:after="0" w:line="240" w:lineRule="auto"/>
              <w:jc w:val="center"/>
              <w:rPr>
                <w:rFonts w:ascii="Times New Roman" w:hAnsi="Times New Roman"/>
                <w:b/>
                <w:sz w:val="24"/>
                <w:szCs w:val="24"/>
              </w:rPr>
            </w:pPr>
            <w:r w:rsidRPr="008E1DE6">
              <w:rPr>
                <w:rFonts w:ascii="Times New Roman" w:hAnsi="Times New Roman"/>
                <w:b/>
                <w:sz w:val="24"/>
                <w:szCs w:val="24"/>
              </w:rPr>
              <w:t>3</w:t>
            </w:r>
          </w:p>
        </w:tc>
        <w:tc>
          <w:tcPr>
            <w:tcW w:w="1276" w:type="dxa"/>
            <w:vAlign w:val="center"/>
          </w:tcPr>
          <w:p w:rsidR="00BD326C" w:rsidRDefault="00BD326C" w:rsidP="00BD326C">
            <w:pPr>
              <w:spacing w:after="0" w:line="240" w:lineRule="auto"/>
              <w:jc w:val="center"/>
              <w:rPr>
                <w:rFonts w:ascii="Times New Roman" w:hAnsi="Times New Roman"/>
                <w:sz w:val="24"/>
                <w:szCs w:val="24"/>
              </w:rPr>
            </w:pPr>
            <w:r>
              <w:rPr>
                <w:rFonts w:ascii="Times New Roman" w:hAnsi="Times New Roman"/>
                <w:sz w:val="24"/>
                <w:szCs w:val="24"/>
              </w:rPr>
              <w:t>Moyenne</w:t>
            </w:r>
          </w:p>
        </w:tc>
        <w:tc>
          <w:tcPr>
            <w:tcW w:w="284" w:type="dxa"/>
            <w:shd w:val="clear" w:color="auto" w:fill="002060"/>
            <w:vAlign w:val="center"/>
          </w:tcPr>
          <w:p w:rsidR="00BD326C" w:rsidRPr="008E1DE6" w:rsidRDefault="00BD326C" w:rsidP="00BD326C">
            <w:pPr>
              <w:spacing w:after="0" w:line="240" w:lineRule="auto"/>
              <w:jc w:val="center"/>
              <w:rPr>
                <w:rFonts w:ascii="Times New Roman" w:hAnsi="Times New Roman"/>
                <w:b/>
                <w:sz w:val="24"/>
                <w:szCs w:val="24"/>
              </w:rPr>
            </w:pPr>
            <w:r w:rsidRPr="008E1DE6">
              <w:rPr>
                <w:rFonts w:ascii="Times New Roman" w:hAnsi="Times New Roman"/>
                <w:b/>
                <w:sz w:val="24"/>
                <w:szCs w:val="24"/>
              </w:rPr>
              <w:t>3</w:t>
            </w:r>
          </w:p>
        </w:tc>
        <w:tc>
          <w:tcPr>
            <w:tcW w:w="1275" w:type="dxa"/>
            <w:shd w:val="clear" w:color="auto" w:fill="FFFF00"/>
            <w:vAlign w:val="center"/>
          </w:tcPr>
          <w:p w:rsidR="00BD326C" w:rsidRDefault="00BD326C" w:rsidP="00BD326C">
            <w:pPr>
              <w:spacing w:after="0" w:line="240" w:lineRule="auto"/>
              <w:jc w:val="center"/>
              <w:rPr>
                <w:rFonts w:ascii="Times New Roman" w:hAnsi="Times New Roman"/>
                <w:b/>
                <w:sz w:val="24"/>
                <w:szCs w:val="24"/>
              </w:rPr>
            </w:pPr>
            <w:r>
              <w:rPr>
                <w:rFonts w:ascii="Times New Roman" w:hAnsi="Times New Roman"/>
                <w:b/>
                <w:sz w:val="24"/>
                <w:szCs w:val="24"/>
              </w:rPr>
              <w:t>Moyenne</w:t>
            </w:r>
          </w:p>
        </w:tc>
        <w:tc>
          <w:tcPr>
            <w:tcW w:w="709" w:type="dxa"/>
            <w:shd w:val="clear" w:color="auto" w:fill="FFFF00"/>
            <w:vAlign w:val="center"/>
          </w:tcPr>
          <w:p w:rsidR="00BD326C" w:rsidRDefault="00BD326C" w:rsidP="00BD326C">
            <w:pPr>
              <w:spacing w:after="0" w:line="240" w:lineRule="auto"/>
              <w:jc w:val="center"/>
              <w:rPr>
                <w:rFonts w:ascii="Times New Roman" w:hAnsi="Times New Roman"/>
                <w:b/>
                <w:sz w:val="24"/>
                <w:szCs w:val="24"/>
              </w:rPr>
            </w:pPr>
            <w:r>
              <w:rPr>
                <w:rFonts w:ascii="Times New Roman" w:hAnsi="Times New Roman"/>
                <w:b/>
                <w:sz w:val="24"/>
                <w:szCs w:val="24"/>
              </w:rPr>
              <w:t>4</w:t>
            </w:r>
            <w:r w:rsidRPr="008E6D9C">
              <w:rPr>
                <w:rFonts w:ascii="Times New Roman" w:hAnsi="Times New Roman"/>
                <w:b/>
                <w:sz w:val="24"/>
                <w:szCs w:val="24"/>
              </w:rPr>
              <w:t>5</w:t>
            </w:r>
          </w:p>
        </w:tc>
      </w:tr>
      <w:tr w:rsidR="00BD326C" w:rsidRPr="00AA45E9" w:rsidTr="007062AE">
        <w:trPr>
          <w:jc w:val="center"/>
        </w:trPr>
        <w:tc>
          <w:tcPr>
            <w:tcW w:w="1696" w:type="dxa"/>
            <w:gridSpan w:val="2"/>
            <w:vMerge/>
            <w:shd w:val="clear" w:color="auto" w:fill="BDD6EE"/>
            <w:vAlign w:val="center"/>
          </w:tcPr>
          <w:p w:rsidR="00BD326C" w:rsidRPr="008E1DE6" w:rsidRDefault="00BD326C" w:rsidP="00BD326C">
            <w:pPr>
              <w:spacing w:after="0" w:line="240" w:lineRule="auto"/>
              <w:jc w:val="center"/>
              <w:rPr>
                <w:rFonts w:ascii="Times New Roman" w:hAnsi="Times New Roman"/>
                <w:sz w:val="20"/>
                <w:szCs w:val="20"/>
              </w:rPr>
            </w:pPr>
          </w:p>
        </w:tc>
        <w:tc>
          <w:tcPr>
            <w:tcW w:w="1229" w:type="dxa"/>
            <w:gridSpan w:val="3"/>
            <w:vMerge/>
            <w:vAlign w:val="center"/>
          </w:tcPr>
          <w:p w:rsidR="00BD326C" w:rsidRPr="008E1DE6" w:rsidRDefault="00BD326C" w:rsidP="00BD326C">
            <w:pPr>
              <w:spacing w:after="0" w:line="240" w:lineRule="auto"/>
              <w:jc w:val="center"/>
              <w:rPr>
                <w:rFonts w:ascii="Times New Roman" w:hAnsi="Times New Roman"/>
                <w:b/>
                <w:sz w:val="20"/>
                <w:szCs w:val="20"/>
              </w:rPr>
            </w:pPr>
          </w:p>
        </w:tc>
        <w:tc>
          <w:tcPr>
            <w:tcW w:w="6568" w:type="dxa"/>
            <w:vAlign w:val="center"/>
          </w:tcPr>
          <w:p w:rsidR="00BD326C" w:rsidRPr="000D22E9" w:rsidRDefault="00BD326C" w:rsidP="00FA3FAE">
            <w:pPr>
              <w:pStyle w:val="Listecouleur-Accent11"/>
              <w:numPr>
                <w:ilvl w:val="0"/>
                <w:numId w:val="87"/>
              </w:numPr>
              <w:rPr>
                <w:rFonts w:ascii="Times New Roman" w:hAnsi="Times New Roman"/>
                <w:color w:val="000000"/>
                <w:lang w:val="fr-FR"/>
              </w:rPr>
            </w:pPr>
            <w:r w:rsidRPr="000D22E9">
              <w:rPr>
                <w:rFonts w:ascii="Times New Roman" w:hAnsi="Times New Roman"/>
              </w:rPr>
              <w:t>Risque de perturbations des activités commerciales sur les commerces (boutiques, échoppes et magasins) trop proches de</w:t>
            </w:r>
            <w:r w:rsidRPr="000D22E9">
              <w:rPr>
                <w:rFonts w:ascii="Times New Roman" w:hAnsi="Times New Roman"/>
                <w:lang w:val="fr-FR"/>
              </w:rPr>
              <w:t>s sites</w:t>
            </w:r>
          </w:p>
        </w:tc>
        <w:tc>
          <w:tcPr>
            <w:tcW w:w="1134" w:type="dxa"/>
            <w:vAlign w:val="center"/>
          </w:tcPr>
          <w:p w:rsidR="00BD326C" w:rsidRPr="00867483" w:rsidRDefault="00BD326C" w:rsidP="00BD326C">
            <w:pPr>
              <w:spacing w:after="0" w:line="240" w:lineRule="auto"/>
              <w:jc w:val="center"/>
              <w:rPr>
                <w:rFonts w:ascii="Times New Roman" w:hAnsi="Times New Roman"/>
                <w:sz w:val="24"/>
                <w:szCs w:val="24"/>
              </w:rPr>
            </w:pPr>
            <w:r>
              <w:rPr>
                <w:rFonts w:ascii="Times New Roman" w:hAnsi="Times New Roman"/>
                <w:sz w:val="24"/>
                <w:szCs w:val="24"/>
              </w:rPr>
              <w:t>Moyenne</w:t>
            </w:r>
          </w:p>
        </w:tc>
        <w:tc>
          <w:tcPr>
            <w:tcW w:w="283" w:type="dxa"/>
            <w:shd w:val="clear" w:color="auto" w:fill="002060"/>
            <w:vAlign w:val="center"/>
          </w:tcPr>
          <w:p w:rsidR="00BD326C" w:rsidRPr="008E1DE6" w:rsidRDefault="00BD326C" w:rsidP="00BD326C">
            <w:pPr>
              <w:spacing w:after="0" w:line="240" w:lineRule="auto"/>
              <w:jc w:val="center"/>
              <w:rPr>
                <w:rFonts w:ascii="Times New Roman" w:hAnsi="Times New Roman"/>
                <w:b/>
                <w:sz w:val="24"/>
                <w:szCs w:val="24"/>
              </w:rPr>
            </w:pPr>
            <w:r w:rsidRPr="008E1DE6">
              <w:rPr>
                <w:rFonts w:ascii="Times New Roman" w:hAnsi="Times New Roman"/>
                <w:b/>
                <w:sz w:val="24"/>
                <w:szCs w:val="24"/>
              </w:rPr>
              <w:t>3</w:t>
            </w:r>
          </w:p>
        </w:tc>
        <w:tc>
          <w:tcPr>
            <w:tcW w:w="1276" w:type="dxa"/>
            <w:vAlign w:val="center"/>
          </w:tcPr>
          <w:p w:rsidR="00BD326C" w:rsidRDefault="00BD326C" w:rsidP="00BD326C">
            <w:pPr>
              <w:spacing w:after="0" w:line="240" w:lineRule="auto"/>
              <w:jc w:val="center"/>
              <w:rPr>
                <w:rFonts w:ascii="Times New Roman" w:hAnsi="Times New Roman"/>
                <w:sz w:val="24"/>
                <w:szCs w:val="24"/>
              </w:rPr>
            </w:pPr>
            <w:r>
              <w:rPr>
                <w:rFonts w:ascii="Times New Roman" w:hAnsi="Times New Roman"/>
                <w:sz w:val="24"/>
                <w:szCs w:val="24"/>
              </w:rPr>
              <w:t>Locale</w:t>
            </w:r>
          </w:p>
        </w:tc>
        <w:tc>
          <w:tcPr>
            <w:tcW w:w="283" w:type="dxa"/>
            <w:shd w:val="clear" w:color="auto" w:fill="002060"/>
            <w:vAlign w:val="center"/>
          </w:tcPr>
          <w:p w:rsidR="00BD326C" w:rsidRPr="008E1DE6" w:rsidRDefault="00BD326C" w:rsidP="00BD326C">
            <w:pPr>
              <w:spacing w:after="0" w:line="240" w:lineRule="auto"/>
              <w:jc w:val="center"/>
              <w:rPr>
                <w:rFonts w:ascii="Times New Roman" w:hAnsi="Times New Roman"/>
                <w:b/>
                <w:sz w:val="24"/>
                <w:szCs w:val="24"/>
              </w:rPr>
            </w:pPr>
            <w:r w:rsidRPr="008E1DE6">
              <w:rPr>
                <w:rFonts w:ascii="Times New Roman" w:hAnsi="Times New Roman"/>
                <w:b/>
                <w:sz w:val="24"/>
                <w:szCs w:val="24"/>
              </w:rPr>
              <w:t>3</w:t>
            </w:r>
          </w:p>
        </w:tc>
        <w:tc>
          <w:tcPr>
            <w:tcW w:w="1276" w:type="dxa"/>
            <w:vAlign w:val="center"/>
          </w:tcPr>
          <w:p w:rsidR="00BD326C" w:rsidRDefault="00BD326C" w:rsidP="00BD326C">
            <w:pPr>
              <w:spacing w:after="0" w:line="240" w:lineRule="auto"/>
              <w:jc w:val="center"/>
              <w:rPr>
                <w:rFonts w:ascii="Times New Roman" w:hAnsi="Times New Roman"/>
                <w:sz w:val="24"/>
                <w:szCs w:val="24"/>
              </w:rPr>
            </w:pPr>
            <w:r>
              <w:rPr>
                <w:rFonts w:ascii="Times New Roman" w:hAnsi="Times New Roman"/>
                <w:sz w:val="24"/>
                <w:szCs w:val="24"/>
              </w:rPr>
              <w:t>Courte</w:t>
            </w:r>
          </w:p>
        </w:tc>
        <w:tc>
          <w:tcPr>
            <w:tcW w:w="284" w:type="dxa"/>
            <w:shd w:val="clear" w:color="auto" w:fill="002060"/>
            <w:vAlign w:val="center"/>
          </w:tcPr>
          <w:p w:rsidR="00BD326C" w:rsidRPr="008E1DE6" w:rsidRDefault="00BD326C" w:rsidP="00BD326C">
            <w:pPr>
              <w:spacing w:after="0" w:line="240" w:lineRule="auto"/>
              <w:jc w:val="center"/>
              <w:rPr>
                <w:rFonts w:ascii="Times New Roman" w:hAnsi="Times New Roman"/>
                <w:b/>
                <w:sz w:val="24"/>
                <w:szCs w:val="24"/>
              </w:rPr>
            </w:pPr>
            <w:r w:rsidRPr="008E1DE6">
              <w:rPr>
                <w:rFonts w:ascii="Times New Roman" w:hAnsi="Times New Roman"/>
                <w:b/>
                <w:sz w:val="24"/>
                <w:szCs w:val="24"/>
              </w:rPr>
              <w:t>1</w:t>
            </w:r>
          </w:p>
        </w:tc>
        <w:tc>
          <w:tcPr>
            <w:tcW w:w="1275" w:type="dxa"/>
            <w:shd w:val="clear" w:color="auto" w:fill="92D050"/>
            <w:vAlign w:val="center"/>
          </w:tcPr>
          <w:p w:rsidR="00BD326C" w:rsidRDefault="00BD326C" w:rsidP="00BD326C">
            <w:pPr>
              <w:spacing w:after="0" w:line="240" w:lineRule="auto"/>
              <w:jc w:val="center"/>
              <w:rPr>
                <w:rFonts w:ascii="Times New Roman" w:hAnsi="Times New Roman"/>
                <w:b/>
                <w:sz w:val="24"/>
                <w:szCs w:val="24"/>
              </w:rPr>
            </w:pPr>
            <w:r>
              <w:rPr>
                <w:rFonts w:ascii="Times New Roman" w:hAnsi="Times New Roman"/>
                <w:b/>
                <w:sz w:val="24"/>
                <w:szCs w:val="24"/>
              </w:rPr>
              <w:t>Mineure</w:t>
            </w:r>
          </w:p>
        </w:tc>
        <w:tc>
          <w:tcPr>
            <w:tcW w:w="709" w:type="dxa"/>
            <w:shd w:val="clear" w:color="auto" w:fill="92D050"/>
            <w:vAlign w:val="center"/>
          </w:tcPr>
          <w:p w:rsidR="00BD326C" w:rsidRDefault="00BD326C" w:rsidP="00BD326C">
            <w:pPr>
              <w:spacing w:after="0" w:line="240" w:lineRule="auto"/>
              <w:jc w:val="center"/>
              <w:rPr>
                <w:rFonts w:ascii="Times New Roman" w:hAnsi="Times New Roman"/>
                <w:b/>
                <w:sz w:val="24"/>
                <w:szCs w:val="24"/>
              </w:rPr>
            </w:pPr>
            <w:r>
              <w:rPr>
                <w:rFonts w:ascii="Times New Roman" w:hAnsi="Times New Roman"/>
                <w:b/>
                <w:sz w:val="24"/>
                <w:szCs w:val="24"/>
              </w:rPr>
              <w:t>9</w:t>
            </w:r>
          </w:p>
        </w:tc>
      </w:tr>
      <w:tr w:rsidR="00BD326C" w:rsidRPr="00AA45E9" w:rsidTr="007062AE">
        <w:trPr>
          <w:jc w:val="center"/>
        </w:trPr>
        <w:tc>
          <w:tcPr>
            <w:tcW w:w="1696" w:type="dxa"/>
            <w:gridSpan w:val="2"/>
            <w:vMerge/>
            <w:shd w:val="clear" w:color="auto" w:fill="BDD6EE"/>
            <w:vAlign w:val="center"/>
          </w:tcPr>
          <w:p w:rsidR="00BD326C" w:rsidRPr="008E1DE6" w:rsidRDefault="00BD326C" w:rsidP="00BD326C">
            <w:pPr>
              <w:spacing w:after="0" w:line="240" w:lineRule="auto"/>
              <w:jc w:val="center"/>
              <w:rPr>
                <w:rFonts w:ascii="Times New Roman" w:hAnsi="Times New Roman"/>
                <w:sz w:val="20"/>
                <w:szCs w:val="20"/>
              </w:rPr>
            </w:pPr>
          </w:p>
        </w:tc>
        <w:tc>
          <w:tcPr>
            <w:tcW w:w="1229" w:type="dxa"/>
            <w:gridSpan w:val="3"/>
            <w:vMerge/>
            <w:vAlign w:val="center"/>
          </w:tcPr>
          <w:p w:rsidR="00BD326C" w:rsidRPr="008E1DE6" w:rsidRDefault="00BD326C" w:rsidP="00BD326C">
            <w:pPr>
              <w:spacing w:after="0" w:line="240" w:lineRule="auto"/>
              <w:jc w:val="center"/>
              <w:rPr>
                <w:rFonts w:ascii="Times New Roman" w:hAnsi="Times New Roman"/>
                <w:b/>
                <w:sz w:val="20"/>
                <w:szCs w:val="20"/>
              </w:rPr>
            </w:pPr>
          </w:p>
        </w:tc>
        <w:tc>
          <w:tcPr>
            <w:tcW w:w="6568" w:type="dxa"/>
            <w:vAlign w:val="center"/>
          </w:tcPr>
          <w:p w:rsidR="00BD326C" w:rsidRPr="000D22E9" w:rsidRDefault="00BD326C" w:rsidP="00FA3FAE">
            <w:pPr>
              <w:pStyle w:val="Listecouleur-Accent11"/>
              <w:numPr>
                <w:ilvl w:val="0"/>
                <w:numId w:val="87"/>
              </w:numPr>
              <w:rPr>
                <w:rFonts w:ascii="Times New Roman" w:hAnsi="Times New Roman"/>
                <w:b/>
                <w:lang w:val="fr-FR"/>
              </w:rPr>
            </w:pPr>
            <w:r w:rsidRPr="000D22E9">
              <w:rPr>
                <w:rFonts w:ascii="Times New Roman" w:hAnsi="Times New Roman"/>
              </w:rPr>
              <w:t>Risques de perturbation/dégradation des réseaux des concessionnaires</w:t>
            </w:r>
          </w:p>
        </w:tc>
        <w:tc>
          <w:tcPr>
            <w:tcW w:w="1134" w:type="dxa"/>
            <w:vAlign w:val="center"/>
          </w:tcPr>
          <w:p w:rsidR="00BD326C" w:rsidRPr="00AA45E9" w:rsidRDefault="00BD326C" w:rsidP="00BD326C">
            <w:pPr>
              <w:spacing w:after="0" w:line="240" w:lineRule="auto"/>
              <w:jc w:val="center"/>
              <w:rPr>
                <w:rFonts w:ascii="Times New Roman" w:hAnsi="Times New Roman"/>
                <w:sz w:val="18"/>
                <w:szCs w:val="18"/>
              </w:rPr>
            </w:pPr>
            <w:r>
              <w:rPr>
                <w:rFonts w:ascii="Times New Roman" w:hAnsi="Times New Roman"/>
                <w:sz w:val="24"/>
                <w:szCs w:val="24"/>
              </w:rPr>
              <w:t>Moyenne</w:t>
            </w:r>
          </w:p>
        </w:tc>
        <w:tc>
          <w:tcPr>
            <w:tcW w:w="283" w:type="dxa"/>
            <w:shd w:val="clear" w:color="auto" w:fill="002060"/>
            <w:vAlign w:val="center"/>
          </w:tcPr>
          <w:p w:rsidR="00BD326C" w:rsidRPr="008E1DE6" w:rsidRDefault="00BD326C" w:rsidP="00BD326C">
            <w:pPr>
              <w:spacing w:after="0" w:line="240" w:lineRule="auto"/>
              <w:jc w:val="center"/>
              <w:rPr>
                <w:rFonts w:ascii="Times New Roman" w:hAnsi="Times New Roman"/>
                <w:b/>
                <w:sz w:val="18"/>
                <w:szCs w:val="18"/>
              </w:rPr>
            </w:pPr>
            <w:r w:rsidRPr="008E1DE6">
              <w:rPr>
                <w:rFonts w:ascii="Times New Roman" w:hAnsi="Times New Roman"/>
                <w:b/>
                <w:sz w:val="24"/>
                <w:szCs w:val="24"/>
              </w:rPr>
              <w:t>3</w:t>
            </w:r>
          </w:p>
        </w:tc>
        <w:tc>
          <w:tcPr>
            <w:tcW w:w="1276" w:type="dxa"/>
            <w:vAlign w:val="center"/>
          </w:tcPr>
          <w:p w:rsidR="00BD326C" w:rsidRPr="00AA45E9" w:rsidRDefault="00BD326C" w:rsidP="00BD326C">
            <w:pPr>
              <w:spacing w:after="0" w:line="240" w:lineRule="auto"/>
              <w:jc w:val="center"/>
              <w:rPr>
                <w:rFonts w:ascii="Times New Roman" w:hAnsi="Times New Roman"/>
                <w:sz w:val="18"/>
                <w:szCs w:val="18"/>
              </w:rPr>
            </w:pPr>
            <w:r>
              <w:rPr>
                <w:rFonts w:ascii="Times New Roman" w:hAnsi="Times New Roman"/>
                <w:sz w:val="24"/>
                <w:szCs w:val="24"/>
              </w:rPr>
              <w:t>Ponctuelle</w:t>
            </w:r>
          </w:p>
        </w:tc>
        <w:tc>
          <w:tcPr>
            <w:tcW w:w="283" w:type="dxa"/>
            <w:shd w:val="clear" w:color="auto" w:fill="002060"/>
            <w:vAlign w:val="center"/>
          </w:tcPr>
          <w:p w:rsidR="00BD326C" w:rsidRPr="008E1DE6" w:rsidRDefault="00BD326C" w:rsidP="00BD326C">
            <w:pPr>
              <w:spacing w:after="0" w:line="240" w:lineRule="auto"/>
              <w:jc w:val="center"/>
              <w:rPr>
                <w:rFonts w:ascii="Times New Roman" w:hAnsi="Times New Roman"/>
                <w:b/>
                <w:sz w:val="18"/>
                <w:szCs w:val="18"/>
              </w:rPr>
            </w:pPr>
            <w:r w:rsidRPr="008E1DE6">
              <w:rPr>
                <w:rFonts w:ascii="Times New Roman" w:hAnsi="Times New Roman"/>
                <w:b/>
                <w:sz w:val="24"/>
                <w:szCs w:val="24"/>
              </w:rPr>
              <w:t>1</w:t>
            </w:r>
          </w:p>
        </w:tc>
        <w:tc>
          <w:tcPr>
            <w:tcW w:w="1276" w:type="dxa"/>
            <w:vAlign w:val="center"/>
          </w:tcPr>
          <w:p w:rsidR="00BD326C" w:rsidRPr="00AA45E9" w:rsidRDefault="00BD326C" w:rsidP="00BD326C">
            <w:pPr>
              <w:spacing w:after="0" w:line="240" w:lineRule="auto"/>
              <w:jc w:val="center"/>
              <w:rPr>
                <w:rFonts w:ascii="Times New Roman" w:hAnsi="Times New Roman"/>
                <w:sz w:val="18"/>
                <w:szCs w:val="18"/>
              </w:rPr>
            </w:pPr>
            <w:r>
              <w:rPr>
                <w:rFonts w:ascii="Times New Roman" w:hAnsi="Times New Roman"/>
                <w:sz w:val="24"/>
                <w:szCs w:val="24"/>
              </w:rPr>
              <w:t>Moyenne</w:t>
            </w:r>
          </w:p>
        </w:tc>
        <w:tc>
          <w:tcPr>
            <w:tcW w:w="284" w:type="dxa"/>
            <w:shd w:val="clear" w:color="auto" w:fill="002060"/>
            <w:vAlign w:val="center"/>
          </w:tcPr>
          <w:p w:rsidR="00BD326C" w:rsidRPr="008E1DE6" w:rsidRDefault="00BD326C" w:rsidP="00BD326C">
            <w:pPr>
              <w:spacing w:after="0" w:line="240" w:lineRule="auto"/>
              <w:jc w:val="center"/>
              <w:rPr>
                <w:rFonts w:ascii="Times New Roman" w:hAnsi="Times New Roman"/>
                <w:b/>
                <w:sz w:val="18"/>
                <w:szCs w:val="18"/>
              </w:rPr>
            </w:pPr>
            <w:r w:rsidRPr="008E1DE6">
              <w:rPr>
                <w:rFonts w:ascii="Times New Roman" w:hAnsi="Times New Roman"/>
                <w:b/>
                <w:sz w:val="24"/>
                <w:szCs w:val="24"/>
              </w:rPr>
              <w:t>3</w:t>
            </w:r>
          </w:p>
        </w:tc>
        <w:tc>
          <w:tcPr>
            <w:tcW w:w="1275" w:type="dxa"/>
            <w:shd w:val="clear" w:color="auto" w:fill="92D050"/>
            <w:vAlign w:val="center"/>
          </w:tcPr>
          <w:p w:rsidR="00BD326C" w:rsidRPr="00AA45E9" w:rsidRDefault="00BD326C" w:rsidP="00BD326C">
            <w:pPr>
              <w:spacing w:after="0" w:line="240" w:lineRule="auto"/>
              <w:jc w:val="center"/>
              <w:rPr>
                <w:rFonts w:ascii="Times New Roman" w:hAnsi="Times New Roman"/>
                <w:b/>
                <w:sz w:val="18"/>
                <w:szCs w:val="18"/>
              </w:rPr>
            </w:pPr>
            <w:r>
              <w:rPr>
                <w:rFonts w:ascii="Times New Roman" w:hAnsi="Times New Roman"/>
                <w:b/>
                <w:sz w:val="24"/>
                <w:szCs w:val="24"/>
              </w:rPr>
              <w:t>Mineure</w:t>
            </w:r>
          </w:p>
        </w:tc>
        <w:tc>
          <w:tcPr>
            <w:tcW w:w="709" w:type="dxa"/>
            <w:shd w:val="clear" w:color="auto" w:fill="92D050"/>
            <w:vAlign w:val="center"/>
          </w:tcPr>
          <w:p w:rsidR="00BD326C" w:rsidRPr="00AA45E9" w:rsidRDefault="00BD326C" w:rsidP="00BD326C">
            <w:pPr>
              <w:spacing w:after="0" w:line="240" w:lineRule="auto"/>
              <w:jc w:val="center"/>
              <w:rPr>
                <w:rFonts w:ascii="Times New Roman" w:hAnsi="Times New Roman"/>
                <w:b/>
                <w:sz w:val="18"/>
                <w:szCs w:val="18"/>
              </w:rPr>
            </w:pPr>
            <w:r>
              <w:rPr>
                <w:rFonts w:ascii="Times New Roman" w:hAnsi="Times New Roman"/>
                <w:b/>
                <w:sz w:val="24"/>
                <w:szCs w:val="24"/>
              </w:rPr>
              <w:t>9</w:t>
            </w:r>
          </w:p>
        </w:tc>
      </w:tr>
      <w:tr w:rsidR="00BD326C" w:rsidRPr="00AA45E9" w:rsidTr="007062AE">
        <w:trPr>
          <w:jc w:val="center"/>
        </w:trPr>
        <w:tc>
          <w:tcPr>
            <w:tcW w:w="1696" w:type="dxa"/>
            <w:gridSpan w:val="2"/>
            <w:vMerge/>
            <w:shd w:val="clear" w:color="auto" w:fill="BDD6EE"/>
            <w:vAlign w:val="center"/>
          </w:tcPr>
          <w:p w:rsidR="00BD326C" w:rsidRPr="008E1DE6" w:rsidRDefault="00BD326C" w:rsidP="00BD326C">
            <w:pPr>
              <w:spacing w:after="0" w:line="240" w:lineRule="auto"/>
              <w:jc w:val="center"/>
              <w:rPr>
                <w:rFonts w:ascii="Times New Roman" w:hAnsi="Times New Roman"/>
                <w:sz w:val="20"/>
                <w:szCs w:val="20"/>
              </w:rPr>
            </w:pPr>
          </w:p>
        </w:tc>
        <w:tc>
          <w:tcPr>
            <w:tcW w:w="1229" w:type="dxa"/>
            <w:gridSpan w:val="3"/>
            <w:vMerge/>
            <w:vAlign w:val="center"/>
          </w:tcPr>
          <w:p w:rsidR="00BD326C" w:rsidRPr="008E1DE6" w:rsidRDefault="00BD326C" w:rsidP="00BD326C">
            <w:pPr>
              <w:spacing w:after="0" w:line="240" w:lineRule="auto"/>
              <w:jc w:val="center"/>
              <w:rPr>
                <w:rFonts w:ascii="Times New Roman" w:hAnsi="Times New Roman"/>
                <w:b/>
                <w:sz w:val="20"/>
                <w:szCs w:val="20"/>
              </w:rPr>
            </w:pPr>
          </w:p>
        </w:tc>
        <w:tc>
          <w:tcPr>
            <w:tcW w:w="6568" w:type="dxa"/>
            <w:vAlign w:val="center"/>
          </w:tcPr>
          <w:p w:rsidR="00BD326C" w:rsidRPr="000D22E9" w:rsidRDefault="00BD326C" w:rsidP="00FA3FAE">
            <w:pPr>
              <w:pStyle w:val="Listecouleur-Accent11"/>
              <w:numPr>
                <w:ilvl w:val="0"/>
                <w:numId w:val="87"/>
              </w:numPr>
              <w:rPr>
                <w:rFonts w:ascii="Times New Roman" w:hAnsi="Times New Roman"/>
                <w:b/>
                <w:lang w:val="fr-FR"/>
              </w:rPr>
            </w:pPr>
            <w:r w:rsidRPr="000D22E9">
              <w:rPr>
                <w:rFonts w:ascii="Times New Roman" w:hAnsi="Times New Roman"/>
              </w:rPr>
              <w:t xml:space="preserve">Risques de conflits sociaux </w:t>
            </w:r>
          </w:p>
        </w:tc>
        <w:tc>
          <w:tcPr>
            <w:tcW w:w="1134" w:type="dxa"/>
            <w:vAlign w:val="center"/>
          </w:tcPr>
          <w:p w:rsidR="00BD326C" w:rsidRPr="00AA45E9" w:rsidRDefault="00BD326C" w:rsidP="00BD326C">
            <w:pPr>
              <w:spacing w:after="0" w:line="240" w:lineRule="auto"/>
              <w:jc w:val="center"/>
              <w:rPr>
                <w:rFonts w:ascii="Times New Roman" w:hAnsi="Times New Roman"/>
                <w:sz w:val="18"/>
                <w:szCs w:val="18"/>
              </w:rPr>
            </w:pPr>
            <w:r w:rsidRPr="00867483">
              <w:rPr>
                <w:rFonts w:ascii="Times New Roman" w:hAnsi="Times New Roman"/>
                <w:sz w:val="24"/>
                <w:szCs w:val="24"/>
              </w:rPr>
              <w:t>Forte</w:t>
            </w:r>
          </w:p>
        </w:tc>
        <w:tc>
          <w:tcPr>
            <w:tcW w:w="283" w:type="dxa"/>
            <w:shd w:val="clear" w:color="auto" w:fill="002060"/>
            <w:vAlign w:val="center"/>
          </w:tcPr>
          <w:p w:rsidR="00BD326C" w:rsidRPr="008E1DE6" w:rsidRDefault="00BD326C" w:rsidP="00BD326C">
            <w:pPr>
              <w:spacing w:after="0" w:line="240" w:lineRule="auto"/>
              <w:jc w:val="center"/>
              <w:rPr>
                <w:rFonts w:ascii="Times New Roman" w:hAnsi="Times New Roman"/>
                <w:b/>
                <w:sz w:val="18"/>
                <w:szCs w:val="18"/>
              </w:rPr>
            </w:pPr>
            <w:r w:rsidRPr="008E1DE6">
              <w:rPr>
                <w:rFonts w:ascii="Times New Roman" w:hAnsi="Times New Roman"/>
                <w:b/>
                <w:sz w:val="24"/>
                <w:szCs w:val="24"/>
              </w:rPr>
              <w:t>5</w:t>
            </w:r>
          </w:p>
        </w:tc>
        <w:tc>
          <w:tcPr>
            <w:tcW w:w="1276" w:type="dxa"/>
            <w:vAlign w:val="center"/>
          </w:tcPr>
          <w:p w:rsidR="00BD326C" w:rsidRPr="00AA45E9" w:rsidRDefault="00BD326C" w:rsidP="00BD326C">
            <w:pPr>
              <w:spacing w:after="0" w:line="240" w:lineRule="auto"/>
              <w:jc w:val="center"/>
              <w:rPr>
                <w:rFonts w:ascii="Times New Roman" w:hAnsi="Times New Roman"/>
                <w:sz w:val="18"/>
                <w:szCs w:val="18"/>
              </w:rPr>
            </w:pPr>
            <w:r>
              <w:rPr>
                <w:rFonts w:ascii="Times New Roman" w:hAnsi="Times New Roman"/>
                <w:sz w:val="24"/>
                <w:szCs w:val="24"/>
              </w:rPr>
              <w:t>Locale</w:t>
            </w:r>
          </w:p>
        </w:tc>
        <w:tc>
          <w:tcPr>
            <w:tcW w:w="283" w:type="dxa"/>
            <w:shd w:val="clear" w:color="auto" w:fill="002060"/>
            <w:vAlign w:val="center"/>
          </w:tcPr>
          <w:p w:rsidR="00BD326C" w:rsidRPr="008E1DE6" w:rsidRDefault="00BD326C" w:rsidP="00BD326C">
            <w:pPr>
              <w:spacing w:after="0" w:line="240" w:lineRule="auto"/>
              <w:jc w:val="center"/>
              <w:rPr>
                <w:rFonts w:ascii="Times New Roman" w:hAnsi="Times New Roman"/>
                <w:b/>
                <w:sz w:val="18"/>
                <w:szCs w:val="18"/>
              </w:rPr>
            </w:pPr>
            <w:r w:rsidRPr="008E1DE6">
              <w:rPr>
                <w:rFonts w:ascii="Times New Roman" w:hAnsi="Times New Roman"/>
                <w:b/>
                <w:sz w:val="24"/>
                <w:szCs w:val="24"/>
              </w:rPr>
              <w:t>3</w:t>
            </w:r>
          </w:p>
        </w:tc>
        <w:tc>
          <w:tcPr>
            <w:tcW w:w="1276" w:type="dxa"/>
            <w:vAlign w:val="center"/>
          </w:tcPr>
          <w:p w:rsidR="00BD326C" w:rsidRPr="00AA45E9" w:rsidRDefault="00BD326C" w:rsidP="00BD326C">
            <w:pPr>
              <w:spacing w:after="0" w:line="240" w:lineRule="auto"/>
              <w:jc w:val="center"/>
              <w:rPr>
                <w:rFonts w:ascii="Times New Roman" w:hAnsi="Times New Roman"/>
                <w:sz w:val="18"/>
                <w:szCs w:val="18"/>
              </w:rPr>
            </w:pPr>
            <w:r>
              <w:rPr>
                <w:rFonts w:ascii="Times New Roman" w:hAnsi="Times New Roman"/>
                <w:sz w:val="24"/>
                <w:szCs w:val="24"/>
              </w:rPr>
              <w:t>Moyenne</w:t>
            </w:r>
          </w:p>
        </w:tc>
        <w:tc>
          <w:tcPr>
            <w:tcW w:w="284" w:type="dxa"/>
            <w:shd w:val="clear" w:color="auto" w:fill="002060"/>
            <w:vAlign w:val="center"/>
          </w:tcPr>
          <w:p w:rsidR="00BD326C" w:rsidRPr="008E1DE6" w:rsidRDefault="00BD326C" w:rsidP="00BD326C">
            <w:pPr>
              <w:spacing w:after="0" w:line="240" w:lineRule="auto"/>
              <w:jc w:val="center"/>
              <w:rPr>
                <w:rFonts w:ascii="Times New Roman" w:hAnsi="Times New Roman"/>
                <w:b/>
                <w:sz w:val="18"/>
                <w:szCs w:val="18"/>
              </w:rPr>
            </w:pPr>
            <w:r w:rsidRPr="008E1DE6">
              <w:rPr>
                <w:rFonts w:ascii="Times New Roman" w:hAnsi="Times New Roman"/>
                <w:b/>
                <w:sz w:val="24"/>
                <w:szCs w:val="24"/>
              </w:rPr>
              <w:t>3</w:t>
            </w:r>
          </w:p>
        </w:tc>
        <w:tc>
          <w:tcPr>
            <w:tcW w:w="1275" w:type="dxa"/>
            <w:shd w:val="clear" w:color="auto" w:fill="auto"/>
            <w:vAlign w:val="center"/>
          </w:tcPr>
          <w:p w:rsidR="00BD326C" w:rsidRPr="00AA45E9" w:rsidRDefault="00BD326C" w:rsidP="00BD326C">
            <w:pPr>
              <w:spacing w:after="0" w:line="240" w:lineRule="auto"/>
              <w:jc w:val="center"/>
              <w:rPr>
                <w:rFonts w:ascii="Times New Roman" w:hAnsi="Times New Roman"/>
                <w:b/>
                <w:sz w:val="18"/>
                <w:szCs w:val="18"/>
              </w:rPr>
            </w:pPr>
            <w:r>
              <w:rPr>
                <w:rFonts w:ascii="Times New Roman" w:hAnsi="Times New Roman"/>
                <w:b/>
                <w:sz w:val="24"/>
                <w:szCs w:val="24"/>
              </w:rPr>
              <w:t>Moyenne</w:t>
            </w:r>
          </w:p>
        </w:tc>
        <w:tc>
          <w:tcPr>
            <w:tcW w:w="709" w:type="dxa"/>
            <w:shd w:val="clear" w:color="auto" w:fill="auto"/>
            <w:vAlign w:val="center"/>
          </w:tcPr>
          <w:p w:rsidR="00BD326C" w:rsidRPr="00AA45E9" w:rsidRDefault="00BD326C" w:rsidP="00BD326C">
            <w:pPr>
              <w:spacing w:after="0" w:line="240" w:lineRule="auto"/>
              <w:jc w:val="center"/>
              <w:rPr>
                <w:rFonts w:ascii="Times New Roman" w:hAnsi="Times New Roman"/>
                <w:b/>
                <w:sz w:val="18"/>
                <w:szCs w:val="18"/>
              </w:rPr>
            </w:pPr>
            <w:r>
              <w:rPr>
                <w:rFonts w:ascii="Times New Roman" w:hAnsi="Times New Roman"/>
                <w:b/>
                <w:sz w:val="24"/>
                <w:szCs w:val="24"/>
              </w:rPr>
              <w:t>4</w:t>
            </w:r>
            <w:r w:rsidRPr="008E6D9C">
              <w:rPr>
                <w:rFonts w:ascii="Times New Roman" w:hAnsi="Times New Roman"/>
                <w:b/>
                <w:sz w:val="24"/>
                <w:szCs w:val="24"/>
              </w:rPr>
              <w:t>5</w:t>
            </w:r>
          </w:p>
        </w:tc>
      </w:tr>
      <w:tr w:rsidR="00BD326C" w:rsidRPr="00AA45E9" w:rsidTr="007062AE">
        <w:trPr>
          <w:jc w:val="center"/>
        </w:trPr>
        <w:tc>
          <w:tcPr>
            <w:tcW w:w="1696" w:type="dxa"/>
            <w:gridSpan w:val="2"/>
            <w:vMerge/>
            <w:shd w:val="clear" w:color="auto" w:fill="BDD6EE"/>
            <w:vAlign w:val="center"/>
          </w:tcPr>
          <w:p w:rsidR="00BD326C" w:rsidRPr="008E1DE6" w:rsidRDefault="00BD326C" w:rsidP="00BD326C">
            <w:pPr>
              <w:spacing w:after="0" w:line="240" w:lineRule="auto"/>
              <w:jc w:val="center"/>
              <w:rPr>
                <w:rFonts w:ascii="Times New Roman" w:hAnsi="Times New Roman"/>
                <w:sz w:val="20"/>
                <w:szCs w:val="20"/>
              </w:rPr>
            </w:pPr>
          </w:p>
        </w:tc>
        <w:tc>
          <w:tcPr>
            <w:tcW w:w="1229" w:type="dxa"/>
            <w:gridSpan w:val="3"/>
            <w:vMerge/>
            <w:vAlign w:val="center"/>
          </w:tcPr>
          <w:p w:rsidR="00BD326C" w:rsidRPr="008E1DE6" w:rsidRDefault="00BD326C" w:rsidP="00BD326C">
            <w:pPr>
              <w:spacing w:after="0" w:line="240" w:lineRule="auto"/>
              <w:jc w:val="center"/>
              <w:rPr>
                <w:rFonts w:ascii="Times New Roman" w:hAnsi="Times New Roman"/>
                <w:b/>
                <w:sz w:val="20"/>
                <w:szCs w:val="20"/>
              </w:rPr>
            </w:pPr>
          </w:p>
        </w:tc>
        <w:tc>
          <w:tcPr>
            <w:tcW w:w="6568" w:type="dxa"/>
            <w:vAlign w:val="center"/>
          </w:tcPr>
          <w:p w:rsidR="00BD326C" w:rsidRPr="000D22E9" w:rsidRDefault="00BD326C" w:rsidP="00FA3FAE">
            <w:pPr>
              <w:pStyle w:val="Listecouleur-Accent11"/>
              <w:numPr>
                <w:ilvl w:val="0"/>
                <w:numId w:val="87"/>
              </w:numPr>
              <w:rPr>
                <w:rFonts w:ascii="Times New Roman" w:hAnsi="Times New Roman"/>
                <w:b/>
                <w:lang w:val="fr-FR"/>
              </w:rPr>
            </w:pPr>
            <w:r w:rsidRPr="000D22E9">
              <w:rPr>
                <w:rFonts w:ascii="Times New Roman" w:hAnsi="Times New Roman"/>
              </w:rPr>
              <w:t>Risque de perte de terre ou de dégradation de biens lors des travaux de libération des emprises</w:t>
            </w:r>
          </w:p>
        </w:tc>
        <w:tc>
          <w:tcPr>
            <w:tcW w:w="1134" w:type="dxa"/>
            <w:vAlign w:val="center"/>
          </w:tcPr>
          <w:p w:rsidR="00BD326C" w:rsidRPr="00AA45E9" w:rsidRDefault="00BD326C" w:rsidP="00BD326C">
            <w:pPr>
              <w:spacing w:after="0" w:line="240" w:lineRule="auto"/>
              <w:jc w:val="center"/>
              <w:rPr>
                <w:rFonts w:ascii="Times New Roman" w:hAnsi="Times New Roman"/>
                <w:sz w:val="18"/>
                <w:szCs w:val="18"/>
              </w:rPr>
            </w:pPr>
            <w:r>
              <w:rPr>
                <w:rFonts w:ascii="Times New Roman" w:hAnsi="Times New Roman"/>
                <w:sz w:val="24"/>
                <w:szCs w:val="24"/>
              </w:rPr>
              <w:t>Moyenne</w:t>
            </w:r>
          </w:p>
        </w:tc>
        <w:tc>
          <w:tcPr>
            <w:tcW w:w="283" w:type="dxa"/>
            <w:shd w:val="clear" w:color="auto" w:fill="002060"/>
            <w:vAlign w:val="center"/>
          </w:tcPr>
          <w:p w:rsidR="00BD326C" w:rsidRPr="008E1DE6" w:rsidRDefault="00BD326C" w:rsidP="00BD326C">
            <w:pPr>
              <w:spacing w:after="0" w:line="240" w:lineRule="auto"/>
              <w:jc w:val="center"/>
              <w:rPr>
                <w:rFonts w:ascii="Times New Roman" w:hAnsi="Times New Roman"/>
                <w:b/>
                <w:sz w:val="18"/>
                <w:szCs w:val="18"/>
              </w:rPr>
            </w:pPr>
            <w:r w:rsidRPr="008E1DE6">
              <w:rPr>
                <w:rFonts w:ascii="Times New Roman" w:hAnsi="Times New Roman"/>
                <w:b/>
                <w:sz w:val="24"/>
                <w:szCs w:val="24"/>
              </w:rPr>
              <w:t>3</w:t>
            </w:r>
          </w:p>
        </w:tc>
        <w:tc>
          <w:tcPr>
            <w:tcW w:w="1276" w:type="dxa"/>
            <w:vAlign w:val="center"/>
          </w:tcPr>
          <w:p w:rsidR="00BD326C" w:rsidRPr="00AA45E9" w:rsidRDefault="00BD326C" w:rsidP="00BD326C">
            <w:pPr>
              <w:spacing w:after="0" w:line="240" w:lineRule="auto"/>
              <w:jc w:val="center"/>
              <w:rPr>
                <w:rFonts w:ascii="Times New Roman" w:hAnsi="Times New Roman"/>
                <w:sz w:val="18"/>
                <w:szCs w:val="18"/>
              </w:rPr>
            </w:pPr>
            <w:r>
              <w:rPr>
                <w:rFonts w:ascii="Times New Roman" w:hAnsi="Times New Roman"/>
                <w:sz w:val="24"/>
                <w:szCs w:val="24"/>
              </w:rPr>
              <w:t>Ponctuelle</w:t>
            </w:r>
          </w:p>
        </w:tc>
        <w:tc>
          <w:tcPr>
            <w:tcW w:w="283" w:type="dxa"/>
            <w:shd w:val="clear" w:color="auto" w:fill="002060"/>
            <w:vAlign w:val="center"/>
          </w:tcPr>
          <w:p w:rsidR="00BD326C" w:rsidRPr="008E1DE6" w:rsidRDefault="00BD326C" w:rsidP="00BD326C">
            <w:pPr>
              <w:spacing w:after="0" w:line="240" w:lineRule="auto"/>
              <w:jc w:val="center"/>
              <w:rPr>
                <w:rFonts w:ascii="Times New Roman" w:hAnsi="Times New Roman"/>
                <w:b/>
                <w:sz w:val="18"/>
                <w:szCs w:val="18"/>
              </w:rPr>
            </w:pPr>
            <w:r w:rsidRPr="008E1DE6">
              <w:rPr>
                <w:rFonts w:ascii="Times New Roman" w:hAnsi="Times New Roman"/>
                <w:b/>
                <w:sz w:val="24"/>
                <w:szCs w:val="24"/>
              </w:rPr>
              <w:t>1</w:t>
            </w:r>
          </w:p>
        </w:tc>
        <w:tc>
          <w:tcPr>
            <w:tcW w:w="1276" w:type="dxa"/>
            <w:vAlign w:val="center"/>
          </w:tcPr>
          <w:p w:rsidR="00BD326C" w:rsidRPr="00AA45E9" w:rsidRDefault="00BD326C" w:rsidP="00BD326C">
            <w:pPr>
              <w:spacing w:after="0" w:line="240" w:lineRule="auto"/>
              <w:jc w:val="center"/>
              <w:rPr>
                <w:rFonts w:ascii="Times New Roman" w:hAnsi="Times New Roman"/>
                <w:sz w:val="18"/>
                <w:szCs w:val="18"/>
              </w:rPr>
            </w:pPr>
            <w:r>
              <w:rPr>
                <w:rFonts w:ascii="Times New Roman" w:hAnsi="Times New Roman"/>
                <w:sz w:val="24"/>
                <w:szCs w:val="24"/>
              </w:rPr>
              <w:t>Moyenne</w:t>
            </w:r>
          </w:p>
        </w:tc>
        <w:tc>
          <w:tcPr>
            <w:tcW w:w="284" w:type="dxa"/>
            <w:shd w:val="clear" w:color="auto" w:fill="002060"/>
            <w:vAlign w:val="center"/>
          </w:tcPr>
          <w:p w:rsidR="00BD326C" w:rsidRPr="008E1DE6" w:rsidRDefault="00BD326C" w:rsidP="00BD326C">
            <w:pPr>
              <w:spacing w:after="0" w:line="240" w:lineRule="auto"/>
              <w:jc w:val="center"/>
              <w:rPr>
                <w:rFonts w:ascii="Times New Roman" w:hAnsi="Times New Roman"/>
                <w:b/>
                <w:sz w:val="18"/>
                <w:szCs w:val="18"/>
              </w:rPr>
            </w:pPr>
            <w:r w:rsidRPr="008E1DE6">
              <w:rPr>
                <w:rFonts w:ascii="Times New Roman" w:hAnsi="Times New Roman"/>
                <w:b/>
                <w:sz w:val="24"/>
                <w:szCs w:val="24"/>
              </w:rPr>
              <w:t>3</w:t>
            </w:r>
          </w:p>
        </w:tc>
        <w:tc>
          <w:tcPr>
            <w:tcW w:w="1275" w:type="dxa"/>
            <w:shd w:val="clear" w:color="auto" w:fill="92D050"/>
            <w:vAlign w:val="center"/>
          </w:tcPr>
          <w:p w:rsidR="00BD326C" w:rsidRPr="00AA45E9" w:rsidRDefault="00BD326C" w:rsidP="00BD326C">
            <w:pPr>
              <w:spacing w:after="0" w:line="240" w:lineRule="auto"/>
              <w:jc w:val="center"/>
              <w:rPr>
                <w:rFonts w:ascii="Times New Roman" w:hAnsi="Times New Roman"/>
                <w:b/>
                <w:sz w:val="18"/>
                <w:szCs w:val="18"/>
              </w:rPr>
            </w:pPr>
            <w:r>
              <w:rPr>
                <w:rFonts w:ascii="Times New Roman" w:hAnsi="Times New Roman"/>
                <w:b/>
                <w:sz w:val="24"/>
                <w:szCs w:val="24"/>
              </w:rPr>
              <w:t>Mineure</w:t>
            </w:r>
          </w:p>
        </w:tc>
        <w:tc>
          <w:tcPr>
            <w:tcW w:w="709" w:type="dxa"/>
            <w:shd w:val="clear" w:color="auto" w:fill="92D050"/>
            <w:vAlign w:val="center"/>
          </w:tcPr>
          <w:p w:rsidR="00BD326C" w:rsidRPr="00AA45E9" w:rsidRDefault="00BD326C" w:rsidP="00BD326C">
            <w:pPr>
              <w:spacing w:after="0" w:line="240" w:lineRule="auto"/>
              <w:jc w:val="center"/>
              <w:rPr>
                <w:rFonts w:ascii="Times New Roman" w:hAnsi="Times New Roman"/>
                <w:b/>
                <w:sz w:val="18"/>
                <w:szCs w:val="18"/>
              </w:rPr>
            </w:pPr>
            <w:r>
              <w:rPr>
                <w:rFonts w:ascii="Times New Roman" w:hAnsi="Times New Roman"/>
                <w:b/>
                <w:sz w:val="24"/>
                <w:szCs w:val="24"/>
              </w:rPr>
              <w:t>9</w:t>
            </w:r>
          </w:p>
        </w:tc>
      </w:tr>
      <w:tr w:rsidR="00BD326C" w:rsidRPr="00AA45E9" w:rsidTr="007062AE">
        <w:trPr>
          <w:gridBefore w:val="1"/>
          <w:gridAfter w:val="10"/>
          <w:wBefore w:w="1271" w:type="dxa"/>
          <w:wAfter w:w="13750" w:type="dxa"/>
          <w:jc w:val="center"/>
        </w:trPr>
        <w:tc>
          <w:tcPr>
            <w:tcW w:w="992" w:type="dxa"/>
            <w:gridSpan w:val="3"/>
            <w:shd w:val="clear" w:color="auto" w:fill="000000" w:themeFill="text1"/>
            <w:vAlign w:val="center"/>
          </w:tcPr>
          <w:p w:rsidR="00BD326C" w:rsidRPr="00AA45E9" w:rsidRDefault="00BD326C" w:rsidP="00BD326C">
            <w:pPr>
              <w:spacing w:after="0" w:line="240" w:lineRule="auto"/>
              <w:jc w:val="center"/>
              <w:rPr>
                <w:rFonts w:ascii="Times New Roman" w:hAnsi="Times New Roman"/>
                <w:b/>
                <w:sz w:val="18"/>
                <w:szCs w:val="18"/>
              </w:rPr>
            </w:pPr>
          </w:p>
        </w:tc>
      </w:tr>
      <w:tr w:rsidR="00BD326C" w:rsidRPr="00AA45E9" w:rsidTr="007062AE">
        <w:trPr>
          <w:jc w:val="center"/>
        </w:trPr>
        <w:tc>
          <w:tcPr>
            <w:tcW w:w="1696" w:type="dxa"/>
            <w:gridSpan w:val="2"/>
            <w:vMerge w:val="restart"/>
            <w:shd w:val="clear" w:color="auto" w:fill="BDD6EE"/>
            <w:vAlign w:val="center"/>
          </w:tcPr>
          <w:p w:rsidR="00BD326C" w:rsidRPr="008E1DE6" w:rsidRDefault="00BD326C" w:rsidP="00BD326C">
            <w:pPr>
              <w:spacing w:after="0" w:line="240" w:lineRule="auto"/>
              <w:jc w:val="center"/>
              <w:rPr>
                <w:rFonts w:ascii="Times New Roman" w:hAnsi="Times New Roman"/>
                <w:sz w:val="20"/>
                <w:szCs w:val="20"/>
              </w:rPr>
            </w:pPr>
            <w:r w:rsidRPr="008E1DE6">
              <w:rPr>
                <w:rFonts w:ascii="Times New Roman" w:eastAsia="MS Gothic" w:hAnsi="Times New Roman"/>
                <w:b/>
                <w:sz w:val="20"/>
                <w:szCs w:val="20"/>
              </w:rPr>
              <w:t>Exploitation</w:t>
            </w:r>
          </w:p>
        </w:tc>
        <w:tc>
          <w:tcPr>
            <w:tcW w:w="1229" w:type="dxa"/>
            <w:gridSpan w:val="3"/>
            <w:vAlign w:val="center"/>
          </w:tcPr>
          <w:p w:rsidR="00BD326C" w:rsidRPr="008E1DE6" w:rsidRDefault="00BD326C" w:rsidP="00BD326C">
            <w:pPr>
              <w:spacing w:after="0" w:line="240" w:lineRule="auto"/>
              <w:jc w:val="center"/>
              <w:rPr>
                <w:rFonts w:ascii="Times New Roman" w:hAnsi="Times New Roman"/>
                <w:b/>
                <w:sz w:val="20"/>
                <w:szCs w:val="20"/>
              </w:rPr>
            </w:pPr>
            <w:r w:rsidRPr="008E1DE6">
              <w:rPr>
                <w:rFonts w:ascii="Times New Roman" w:hAnsi="Times New Roman"/>
                <w:b/>
                <w:sz w:val="20"/>
                <w:szCs w:val="20"/>
              </w:rPr>
              <w:t>PAYSAGE</w:t>
            </w:r>
          </w:p>
        </w:tc>
        <w:tc>
          <w:tcPr>
            <w:tcW w:w="6568" w:type="dxa"/>
            <w:vAlign w:val="center"/>
          </w:tcPr>
          <w:p w:rsidR="00BD326C" w:rsidRPr="000D22E9" w:rsidRDefault="00BD326C" w:rsidP="00FA3FAE">
            <w:pPr>
              <w:pStyle w:val="Listecouleur-Accent11"/>
              <w:numPr>
                <w:ilvl w:val="0"/>
                <w:numId w:val="87"/>
              </w:numPr>
              <w:rPr>
                <w:rFonts w:ascii="Times New Roman" w:hAnsi="Times New Roman"/>
                <w:b/>
                <w:lang w:val="fr-FR"/>
              </w:rPr>
            </w:pPr>
            <w:r w:rsidRPr="000D22E9">
              <w:rPr>
                <w:rFonts w:ascii="Times New Roman" w:hAnsi="Times New Roman"/>
              </w:rPr>
              <w:t>Risque de dégradation et d’altérer l’aspect visuel du paysage</w:t>
            </w:r>
          </w:p>
        </w:tc>
        <w:tc>
          <w:tcPr>
            <w:tcW w:w="1134" w:type="dxa"/>
            <w:vAlign w:val="center"/>
          </w:tcPr>
          <w:p w:rsidR="00BD326C" w:rsidRPr="00AA45E9" w:rsidRDefault="00BD326C" w:rsidP="00BD326C">
            <w:pPr>
              <w:spacing w:after="0" w:line="240" w:lineRule="auto"/>
              <w:jc w:val="center"/>
              <w:rPr>
                <w:rFonts w:ascii="Times New Roman" w:hAnsi="Times New Roman"/>
                <w:sz w:val="18"/>
                <w:szCs w:val="18"/>
              </w:rPr>
            </w:pPr>
            <w:r>
              <w:rPr>
                <w:rFonts w:ascii="Times New Roman" w:hAnsi="Times New Roman"/>
                <w:sz w:val="24"/>
                <w:szCs w:val="24"/>
              </w:rPr>
              <w:t>Faible</w:t>
            </w:r>
          </w:p>
        </w:tc>
        <w:tc>
          <w:tcPr>
            <w:tcW w:w="283" w:type="dxa"/>
            <w:shd w:val="clear" w:color="auto" w:fill="002060"/>
            <w:vAlign w:val="center"/>
          </w:tcPr>
          <w:p w:rsidR="00BD326C" w:rsidRPr="008E1DE6" w:rsidRDefault="00BD326C" w:rsidP="00BD326C">
            <w:pPr>
              <w:spacing w:after="0" w:line="240" w:lineRule="auto"/>
              <w:jc w:val="center"/>
              <w:rPr>
                <w:rFonts w:ascii="Times New Roman" w:hAnsi="Times New Roman"/>
                <w:b/>
                <w:sz w:val="18"/>
                <w:szCs w:val="18"/>
              </w:rPr>
            </w:pPr>
            <w:r w:rsidRPr="008E1DE6">
              <w:rPr>
                <w:rFonts w:ascii="Times New Roman" w:hAnsi="Times New Roman"/>
                <w:b/>
                <w:sz w:val="24"/>
                <w:szCs w:val="24"/>
              </w:rPr>
              <w:t>1</w:t>
            </w:r>
          </w:p>
        </w:tc>
        <w:tc>
          <w:tcPr>
            <w:tcW w:w="1276" w:type="dxa"/>
            <w:vAlign w:val="center"/>
          </w:tcPr>
          <w:p w:rsidR="00BD326C" w:rsidRPr="00AA45E9" w:rsidRDefault="00BD326C" w:rsidP="00BD326C">
            <w:pPr>
              <w:spacing w:after="0" w:line="240" w:lineRule="auto"/>
              <w:jc w:val="center"/>
              <w:rPr>
                <w:rFonts w:ascii="Times New Roman" w:hAnsi="Times New Roman"/>
                <w:sz w:val="18"/>
                <w:szCs w:val="18"/>
              </w:rPr>
            </w:pPr>
            <w:r>
              <w:rPr>
                <w:rFonts w:ascii="Times New Roman" w:hAnsi="Times New Roman"/>
                <w:sz w:val="24"/>
                <w:szCs w:val="24"/>
              </w:rPr>
              <w:t>Ponctuelle</w:t>
            </w:r>
          </w:p>
        </w:tc>
        <w:tc>
          <w:tcPr>
            <w:tcW w:w="283" w:type="dxa"/>
            <w:shd w:val="clear" w:color="auto" w:fill="002060"/>
            <w:vAlign w:val="center"/>
          </w:tcPr>
          <w:p w:rsidR="00BD326C" w:rsidRPr="008E1DE6" w:rsidRDefault="00BD326C" w:rsidP="00BD326C">
            <w:pPr>
              <w:spacing w:after="0" w:line="240" w:lineRule="auto"/>
              <w:jc w:val="center"/>
              <w:rPr>
                <w:rFonts w:ascii="Times New Roman" w:hAnsi="Times New Roman"/>
                <w:b/>
                <w:sz w:val="18"/>
                <w:szCs w:val="18"/>
              </w:rPr>
            </w:pPr>
            <w:r w:rsidRPr="008E1DE6">
              <w:rPr>
                <w:rFonts w:ascii="Times New Roman" w:hAnsi="Times New Roman"/>
                <w:b/>
                <w:sz w:val="24"/>
                <w:szCs w:val="24"/>
              </w:rPr>
              <w:t>1</w:t>
            </w:r>
          </w:p>
        </w:tc>
        <w:tc>
          <w:tcPr>
            <w:tcW w:w="1276" w:type="dxa"/>
            <w:vAlign w:val="center"/>
          </w:tcPr>
          <w:p w:rsidR="00BD326C" w:rsidRPr="00AA45E9" w:rsidRDefault="00BD326C" w:rsidP="00BD326C">
            <w:pPr>
              <w:spacing w:after="0" w:line="240" w:lineRule="auto"/>
              <w:jc w:val="center"/>
              <w:rPr>
                <w:rFonts w:ascii="Times New Roman" w:hAnsi="Times New Roman"/>
                <w:sz w:val="18"/>
                <w:szCs w:val="18"/>
              </w:rPr>
            </w:pPr>
            <w:r>
              <w:rPr>
                <w:rFonts w:ascii="Times New Roman" w:hAnsi="Times New Roman"/>
                <w:sz w:val="24"/>
                <w:szCs w:val="24"/>
              </w:rPr>
              <w:t>Longue</w:t>
            </w:r>
          </w:p>
        </w:tc>
        <w:tc>
          <w:tcPr>
            <w:tcW w:w="284" w:type="dxa"/>
            <w:shd w:val="clear" w:color="auto" w:fill="002060"/>
            <w:vAlign w:val="center"/>
          </w:tcPr>
          <w:p w:rsidR="00BD326C" w:rsidRPr="008E1DE6" w:rsidRDefault="00BD326C" w:rsidP="00BD326C">
            <w:pPr>
              <w:spacing w:after="0" w:line="240" w:lineRule="auto"/>
              <w:jc w:val="center"/>
              <w:rPr>
                <w:rFonts w:ascii="Times New Roman" w:hAnsi="Times New Roman"/>
                <w:b/>
                <w:sz w:val="18"/>
                <w:szCs w:val="18"/>
              </w:rPr>
            </w:pPr>
            <w:r w:rsidRPr="008E1DE6">
              <w:rPr>
                <w:rFonts w:ascii="Times New Roman" w:hAnsi="Times New Roman"/>
                <w:b/>
                <w:sz w:val="24"/>
                <w:szCs w:val="24"/>
              </w:rPr>
              <w:t>5</w:t>
            </w:r>
          </w:p>
        </w:tc>
        <w:tc>
          <w:tcPr>
            <w:tcW w:w="1275" w:type="dxa"/>
            <w:shd w:val="clear" w:color="auto" w:fill="92D050"/>
            <w:vAlign w:val="center"/>
          </w:tcPr>
          <w:p w:rsidR="00BD326C" w:rsidRPr="00AA45E9" w:rsidRDefault="00BD326C" w:rsidP="00BD326C">
            <w:pPr>
              <w:spacing w:after="0" w:line="240" w:lineRule="auto"/>
              <w:jc w:val="center"/>
              <w:rPr>
                <w:rFonts w:ascii="Times New Roman" w:hAnsi="Times New Roman"/>
                <w:b/>
                <w:sz w:val="18"/>
                <w:szCs w:val="18"/>
              </w:rPr>
            </w:pPr>
            <w:r>
              <w:rPr>
                <w:rFonts w:ascii="Times New Roman" w:hAnsi="Times New Roman"/>
                <w:b/>
                <w:sz w:val="24"/>
                <w:szCs w:val="24"/>
              </w:rPr>
              <w:t>Mineure</w:t>
            </w:r>
          </w:p>
        </w:tc>
        <w:tc>
          <w:tcPr>
            <w:tcW w:w="709" w:type="dxa"/>
            <w:shd w:val="clear" w:color="auto" w:fill="92D050"/>
            <w:vAlign w:val="center"/>
          </w:tcPr>
          <w:p w:rsidR="00BD326C" w:rsidRPr="00AA45E9" w:rsidRDefault="00BD326C" w:rsidP="00BD326C">
            <w:pPr>
              <w:spacing w:after="0" w:line="240" w:lineRule="auto"/>
              <w:jc w:val="center"/>
              <w:rPr>
                <w:rFonts w:ascii="Times New Roman" w:hAnsi="Times New Roman"/>
                <w:b/>
                <w:sz w:val="18"/>
                <w:szCs w:val="18"/>
              </w:rPr>
            </w:pPr>
            <w:r w:rsidRPr="008E6D9C">
              <w:rPr>
                <w:rFonts w:ascii="Times New Roman" w:hAnsi="Times New Roman"/>
                <w:b/>
                <w:sz w:val="24"/>
                <w:szCs w:val="24"/>
              </w:rPr>
              <w:t>5</w:t>
            </w:r>
          </w:p>
        </w:tc>
      </w:tr>
      <w:tr w:rsidR="00BD326C" w:rsidRPr="00AA45E9" w:rsidTr="007062AE">
        <w:trPr>
          <w:jc w:val="center"/>
        </w:trPr>
        <w:tc>
          <w:tcPr>
            <w:tcW w:w="1696" w:type="dxa"/>
            <w:gridSpan w:val="2"/>
            <w:vMerge/>
            <w:shd w:val="clear" w:color="auto" w:fill="BDD6EE"/>
          </w:tcPr>
          <w:p w:rsidR="00BD326C" w:rsidRPr="00AA45E9" w:rsidRDefault="00BD326C" w:rsidP="00BD326C">
            <w:pPr>
              <w:spacing w:after="0" w:line="240" w:lineRule="auto"/>
              <w:jc w:val="both"/>
              <w:rPr>
                <w:rFonts w:ascii="Times New Roman" w:hAnsi="Times New Roman"/>
              </w:rPr>
            </w:pPr>
          </w:p>
        </w:tc>
        <w:tc>
          <w:tcPr>
            <w:tcW w:w="1229" w:type="dxa"/>
            <w:gridSpan w:val="3"/>
            <w:vAlign w:val="center"/>
          </w:tcPr>
          <w:p w:rsidR="00BD326C" w:rsidRPr="00AA45E9" w:rsidRDefault="00BD326C" w:rsidP="00BD326C">
            <w:pPr>
              <w:spacing w:after="0" w:line="240" w:lineRule="auto"/>
              <w:jc w:val="center"/>
              <w:rPr>
                <w:rFonts w:ascii="Times New Roman" w:hAnsi="Times New Roman"/>
                <w:b/>
              </w:rPr>
            </w:pPr>
            <w:r>
              <w:rPr>
                <w:rFonts w:ascii="Times New Roman" w:hAnsi="Times New Roman"/>
                <w:b/>
              </w:rPr>
              <w:t>EAUX</w:t>
            </w:r>
          </w:p>
        </w:tc>
        <w:tc>
          <w:tcPr>
            <w:tcW w:w="6568" w:type="dxa"/>
            <w:vAlign w:val="center"/>
          </w:tcPr>
          <w:p w:rsidR="00BD326C" w:rsidRPr="000D22E9" w:rsidRDefault="00BD326C" w:rsidP="00FA3FAE">
            <w:pPr>
              <w:pStyle w:val="Listecouleur-Accent11"/>
              <w:numPr>
                <w:ilvl w:val="0"/>
                <w:numId w:val="87"/>
              </w:numPr>
              <w:rPr>
                <w:rFonts w:ascii="Times New Roman" w:hAnsi="Times New Roman"/>
                <w:b/>
                <w:lang w:val="fr-FR"/>
              </w:rPr>
            </w:pPr>
            <w:r w:rsidRPr="000D22E9">
              <w:rPr>
                <w:rFonts w:ascii="Times New Roman" w:hAnsi="Times New Roman"/>
              </w:rPr>
              <w:t>Risque de pollution des Eaux de ruissellement et des eaux pluviales ;</w:t>
            </w:r>
          </w:p>
        </w:tc>
        <w:tc>
          <w:tcPr>
            <w:tcW w:w="1134" w:type="dxa"/>
            <w:vAlign w:val="center"/>
          </w:tcPr>
          <w:p w:rsidR="00BD326C" w:rsidRPr="00AA45E9" w:rsidRDefault="00BD326C" w:rsidP="00BD326C">
            <w:pPr>
              <w:spacing w:after="0" w:line="240" w:lineRule="auto"/>
              <w:jc w:val="center"/>
              <w:rPr>
                <w:rFonts w:ascii="Times New Roman" w:hAnsi="Times New Roman"/>
                <w:sz w:val="18"/>
                <w:szCs w:val="18"/>
              </w:rPr>
            </w:pPr>
            <w:r>
              <w:rPr>
                <w:rFonts w:ascii="Times New Roman" w:hAnsi="Times New Roman"/>
                <w:sz w:val="24"/>
                <w:szCs w:val="24"/>
              </w:rPr>
              <w:t>Moyenne</w:t>
            </w:r>
          </w:p>
        </w:tc>
        <w:tc>
          <w:tcPr>
            <w:tcW w:w="283" w:type="dxa"/>
            <w:shd w:val="clear" w:color="auto" w:fill="002060"/>
            <w:vAlign w:val="center"/>
          </w:tcPr>
          <w:p w:rsidR="00BD326C" w:rsidRPr="008E1DE6" w:rsidRDefault="00BD326C" w:rsidP="00BD326C">
            <w:pPr>
              <w:spacing w:after="0" w:line="240" w:lineRule="auto"/>
              <w:jc w:val="center"/>
              <w:rPr>
                <w:rFonts w:ascii="Times New Roman" w:hAnsi="Times New Roman"/>
                <w:b/>
                <w:sz w:val="18"/>
                <w:szCs w:val="18"/>
              </w:rPr>
            </w:pPr>
            <w:r w:rsidRPr="008E1DE6">
              <w:rPr>
                <w:rFonts w:ascii="Times New Roman" w:hAnsi="Times New Roman"/>
                <w:b/>
                <w:sz w:val="24"/>
                <w:szCs w:val="24"/>
              </w:rPr>
              <w:t>3</w:t>
            </w:r>
          </w:p>
        </w:tc>
        <w:tc>
          <w:tcPr>
            <w:tcW w:w="1276" w:type="dxa"/>
            <w:vAlign w:val="center"/>
          </w:tcPr>
          <w:p w:rsidR="00BD326C" w:rsidRPr="00AA45E9" w:rsidRDefault="00BD326C" w:rsidP="00BD326C">
            <w:pPr>
              <w:spacing w:after="0" w:line="240" w:lineRule="auto"/>
              <w:jc w:val="center"/>
              <w:rPr>
                <w:rFonts w:ascii="Times New Roman" w:hAnsi="Times New Roman"/>
                <w:sz w:val="18"/>
                <w:szCs w:val="18"/>
              </w:rPr>
            </w:pPr>
            <w:r>
              <w:rPr>
                <w:rFonts w:ascii="Times New Roman" w:hAnsi="Times New Roman"/>
                <w:sz w:val="24"/>
                <w:szCs w:val="24"/>
              </w:rPr>
              <w:t>Locale</w:t>
            </w:r>
          </w:p>
        </w:tc>
        <w:tc>
          <w:tcPr>
            <w:tcW w:w="283" w:type="dxa"/>
            <w:shd w:val="clear" w:color="auto" w:fill="002060"/>
            <w:vAlign w:val="center"/>
          </w:tcPr>
          <w:p w:rsidR="00BD326C" w:rsidRPr="008E1DE6" w:rsidRDefault="00BD326C" w:rsidP="00BD326C">
            <w:pPr>
              <w:spacing w:after="0" w:line="240" w:lineRule="auto"/>
              <w:jc w:val="center"/>
              <w:rPr>
                <w:rFonts w:ascii="Times New Roman" w:hAnsi="Times New Roman"/>
                <w:b/>
                <w:sz w:val="18"/>
                <w:szCs w:val="18"/>
              </w:rPr>
            </w:pPr>
            <w:r w:rsidRPr="008E1DE6">
              <w:rPr>
                <w:rFonts w:ascii="Times New Roman" w:hAnsi="Times New Roman"/>
                <w:b/>
                <w:sz w:val="24"/>
                <w:szCs w:val="24"/>
              </w:rPr>
              <w:t>3</w:t>
            </w:r>
          </w:p>
        </w:tc>
        <w:tc>
          <w:tcPr>
            <w:tcW w:w="1276" w:type="dxa"/>
            <w:vAlign w:val="center"/>
          </w:tcPr>
          <w:p w:rsidR="00BD326C" w:rsidRPr="00AA45E9" w:rsidRDefault="00BD326C" w:rsidP="00BD326C">
            <w:pPr>
              <w:spacing w:after="0" w:line="240" w:lineRule="auto"/>
              <w:jc w:val="center"/>
              <w:rPr>
                <w:rFonts w:ascii="Times New Roman" w:hAnsi="Times New Roman"/>
                <w:sz w:val="18"/>
                <w:szCs w:val="18"/>
              </w:rPr>
            </w:pPr>
            <w:r>
              <w:rPr>
                <w:rFonts w:ascii="Times New Roman" w:hAnsi="Times New Roman"/>
                <w:sz w:val="24"/>
                <w:szCs w:val="24"/>
              </w:rPr>
              <w:t>Longue</w:t>
            </w:r>
          </w:p>
        </w:tc>
        <w:tc>
          <w:tcPr>
            <w:tcW w:w="284" w:type="dxa"/>
            <w:shd w:val="clear" w:color="auto" w:fill="002060"/>
            <w:vAlign w:val="center"/>
          </w:tcPr>
          <w:p w:rsidR="00BD326C" w:rsidRPr="008E1DE6" w:rsidRDefault="00BD326C" w:rsidP="00BD326C">
            <w:pPr>
              <w:spacing w:after="0" w:line="240" w:lineRule="auto"/>
              <w:jc w:val="center"/>
              <w:rPr>
                <w:rFonts w:ascii="Times New Roman" w:hAnsi="Times New Roman"/>
                <w:b/>
                <w:sz w:val="18"/>
                <w:szCs w:val="18"/>
              </w:rPr>
            </w:pPr>
            <w:r w:rsidRPr="008E1DE6">
              <w:rPr>
                <w:rFonts w:ascii="Times New Roman" w:hAnsi="Times New Roman"/>
                <w:b/>
                <w:sz w:val="24"/>
                <w:szCs w:val="24"/>
              </w:rPr>
              <w:t>5</w:t>
            </w:r>
          </w:p>
        </w:tc>
        <w:tc>
          <w:tcPr>
            <w:tcW w:w="1275" w:type="dxa"/>
            <w:shd w:val="clear" w:color="auto" w:fill="FFFF00"/>
            <w:vAlign w:val="center"/>
          </w:tcPr>
          <w:p w:rsidR="00BD326C" w:rsidRPr="00AA45E9" w:rsidRDefault="00BD326C" w:rsidP="00BD326C">
            <w:pPr>
              <w:spacing w:after="0" w:line="240" w:lineRule="auto"/>
              <w:jc w:val="center"/>
              <w:rPr>
                <w:rFonts w:ascii="Times New Roman" w:hAnsi="Times New Roman"/>
                <w:b/>
                <w:sz w:val="18"/>
                <w:szCs w:val="18"/>
              </w:rPr>
            </w:pPr>
            <w:r>
              <w:rPr>
                <w:rFonts w:ascii="Times New Roman" w:hAnsi="Times New Roman"/>
                <w:b/>
                <w:sz w:val="24"/>
                <w:szCs w:val="24"/>
              </w:rPr>
              <w:t>Moyenne</w:t>
            </w:r>
          </w:p>
        </w:tc>
        <w:tc>
          <w:tcPr>
            <w:tcW w:w="709" w:type="dxa"/>
            <w:shd w:val="clear" w:color="auto" w:fill="FFFF00"/>
            <w:vAlign w:val="center"/>
          </w:tcPr>
          <w:p w:rsidR="00BD326C" w:rsidRPr="00AA45E9" w:rsidRDefault="00BD326C" w:rsidP="00BD326C">
            <w:pPr>
              <w:spacing w:after="0" w:line="240" w:lineRule="auto"/>
              <w:jc w:val="center"/>
              <w:rPr>
                <w:rFonts w:ascii="Times New Roman" w:hAnsi="Times New Roman"/>
                <w:b/>
                <w:sz w:val="18"/>
                <w:szCs w:val="18"/>
              </w:rPr>
            </w:pPr>
            <w:r>
              <w:rPr>
                <w:rFonts w:ascii="Times New Roman" w:hAnsi="Times New Roman"/>
                <w:b/>
                <w:sz w:val="24"/>
                <w:szCs w:val="24"/>
              </w:rPr>
              <w:t>4</w:t>
            </w:r>
            <w:r w:rsidRPr="008E6D9C">
              <w:rPr>
                <w:rFonts w:ascii="Times New Roman" w:hAnsi="Times New Roman"/>
                <w:b/>
                <w:sz w:val="24"/>
                <w:szCs w:val="24"/>
              </w:rPr>
              <w:t>5</w:t>
            </w:r>
          </w:p>
        </w:tc>
      </w:tr>
      <w:tr w:rsidR="00BD326C" w:rsidRPr="00AA45E9" w:rsidTr="007062AE">
        <w:trPr>
          <w:jc w:val="center"/>
        </w:trPr>
        <w:tc>
          <w:tcPr>
            <w:tcW w:w="1696" w:type="dxa"/>
            <w:gridSpan w:val="2"/>
            <w:vMerge/>
            <w:shd w:val="clear" w:color="auto" w:fill="BDD6EE"/>
          </w:tcPr>
          <w:p w:rsidR="00BD326C" w:rsidRPr="00AA45E9" w:rsidRDefault="00BD326C" w:rsidP="00BD326C">
            <w:pPr>
              <w:spacing w:after="0" w:line="240" w:lineRule="auto"/>
              <w:jc w:val="both"/>
              <w:rPr>
                <w:rFonts w:ascii="Times New Roman" w:hAnsi="Times New Roman"/>
              </w:rPr>
            </w:pPr>
          </w:p>
        </w:tc>
        <w:tc>
          <w:tcPr>
            <w:tcW w:w="1229" w:type="dxa"/>
            <w:gridSpan w:val="3"/>
            <w:vMerge w:val="restart"/>
            <w:vAlign w:val="center"/>
          </w:tcPr>
          <w:p w:rsidR="00BD326C" w:rsidRPr="00AA45E9" w:rsidRDefault="00BD326C" w:rsidP="00BD326C">
            <w:pPr>
              <w:spacing w:after="0" w:line="240" w:lineRule="auto"/>
              <w:jc w:val="center"/>
              <w:rPr>
                <w:rFonts w:ascii="Times New Roman" w:hAnsi="Times New Roman"/>
                <w:b/>
              </w:rPr>
            </w:pPr>
            <w:r>
              <w:rPr>
                <w:rFonts w:ascii="Times New Roman" w:hAnsi="Times New Roman"/>
                <w:b/>
              </w:rPr>
              <w:t>HUMAIN</w:t>
            </w:r>
          </w:p>
        </w:tc>
        <w:tc>
          <w:tcPr>
            <w:tcW w:w="6568" w:type="dxa"/>
            <w:vAlign w:val="center"/>
          </w:tcPr>
          <w:p w:rsidR="00BD326C" w:rsidRPr="000D22E9" w:rsidRDefault="00BD326C" w:rsidP="00FA3FAE">
            <w:pPr>
              <w:pStyle w:val="Listecouleur-Accent11"/>
              <w:numPr>
                <w:ilvl w:val="0"/>
                <w:numId w:val="87"/>
              </w:numPr>
              <w:rPr>
                <w:rFonts w:ascii="Times New Roman" w:hAnsi="Times New Roman"/>
                <w:b/>
                <w:lang w:val="fr-FR"/>
              </w:rPr>
            </w:pPr>
            <w:r w:rsidRPr="000D22E9">
              <w:rPr>
                <w:rFonts w:ascii="Times New Roman" w:hAnsi="Times New Roman"/>
                <w:bCs/>
                <w:lang w:val="fr-FR"/>
              </w:rPr>
              <w:t>Risque de générer des nuisances sonores et des productions de GES.</w:t>
            </w:r>
          </w:p>
        </w:tc>
        <w:tc>
          <w:tcPr>
            <w:tcW w:w="1134" w:type="dxa"/>
            <w:vAlign w:val="center"/>
          </w:tcPr>
          <w:p w:rsidR="00BD326C" w:rsidRPr="00AA45E9" w:rsidRDefault="00BD326C" w:rsidP="00BD326C">
            <w:pPr>
              <w:spacing w:after="0" w:line="240" w:lineRule="auto"/>
              <w:jc w:val="center"/>
              <w:rPr>
                <w:rFonts w:ascii="Times New Roman" w:hAnsi="Times New Roman"/>
                <w:sz w:val="18"/>
                <w:szCs w:val="18"/>
              </w:rPr>
            </w:pPr>
            <w:r>
              <w:rPr>
                <w:rFonts w:ascii="Times New Roman" w:hAnsi="Times New Roman"/>
                <w:sz w:val="24"/>
                <w:szCs w:val="24"/>
              </w:rPr>
              <w:t>Faible</w:t>
            </w:r>
          </w:p>
        </w:tc>
        <w:tc>
          <w:tcPr>
            <w:tcW w:w="283" w:type="dxa"/>
            <w:shd w:val="clear" w:color="auto" w:fill="002060"/>
            <w:vAlign w:val="center"/>
          </w:tcPr>
          <w:p w:rsidR="00BD326C" w:rsidRPr="008E1DE6" w:rsidRDefault="00BD326C" w:rsidP="00BD326C">
            <w:pPr>
              <w:spacing w:after="0" w:line="240" w:lineRule="auto"/>
              <w:jc w:val="center"/>
              <w:rPr>
                <w:rFonts w:ascii="Times New Roman" w:hAnsi="Times New Roman"/>
                <w:b/>
                <w:sz w:val="18"/>
                <w:szCs w:val="18"/>
              </w:rPr>
            </w:pPr>
            <w:r w:rsidRPr="008E1DE6">
              <w:rPr>
                <w:rFonts w:ascii="Times New Roman" w:hAnsi="Times New Roman"/>
                <w:b/>
                <w:sz w:val="24"/>
                <w:szCs w:val="24"/>
              </w:rPr>
              <w:t>1</w:t>
            </w:r>
          </w:p>
        </w:tc>
        <w:tc>
          <w:tcPr>
            <w:tcW w:w="1276" w:type="dxa"/>
            <w:vAlign w:val="center"/>
          </w:tcPr>
          <w:p w:rsidR="00BD326C" w:rsidRPr="00AA45E9" w:rsidRDefault="00BD326C" w:rsidP="00BD326C">
            <w:pPr>
              <w:spacing w:after="0" w:line="240" w:lineRule="auto"/>
              <w:jc w:val="center"/>
              <w:rPr>
                <w:rFonts w:ascii="Times New Roman" w:hAnsi="Times New Roman"/>
                <w:sz w:val="18"/>
                <w:szCs w:val="18"/>
              </w:rPr>
            </w:pPr>
            <w:r>
              <w:rPr>
                <w:rFonts w:ascii="Times New Roman" w:hAnsi="Times New Roman"/>
                <w:sz w:val="24"/>
                <w:szCs w:val="24"/>
              </w:rPr>
              <w:t>Locale</w:t>
            </w:r>
          </w:p>
        </w:tc>
        <w:tc>
          <w:tcPr>
            <w:tcW w:w="283" w:type="dxa"/>
            <w:shd w:val="clear" w:color="auto" w:fill="002060"/>
            <w:vAlign w:val="center"/>
          </w:tcPr>
          <w:p w:rsidR="00BD326C" w:rsidRPr="008E1DE6" w:rsidRDefault="00BD326C" w:rsidP="00BD326C">
            <w:pPr>
              <w:spacing w:after="0" w:line="240" w:lineRule="auto"/>
              <w:jc w:val="center"/>
              <w:rPr>
                <w:rFonts w:ascii="Times New Roman" w:hAnsi="Times New Roman"/>
                <w:b/>
                <w:sz w:val="18"/>
                <w:szCs w:val="18"/>
              </w:rPr>
            </w:pPr>
            <w:r w:rsidRPr="008E1DE6">
              <w:rPr>
                <w:rFonts w:ascii="Times New Roman" w:hAnsi="Times New Roman"/>
                <w:b/>
                <w:sz w:val="24"/>
                <w:szCs w:val="24"/>
              </w:rPr>
              <w:t>3</w:t>
            </w:r>
          </w:p>
        </w:tc>
        <w:tc>
          <w:tcPr>
            <w:tcW w:w="1276" w:type="dxa"/>
            <w:vAlign w:val="center"/>
          </w:tcPr>
          <w:p w:rsidR="00BD326C" w:rsidRPr="00AA45E9" w:rsidRDefault="00BD326C" w:rsidP="00BD326C">
            <w:pPr>
              <w:spacing w:after="0" w:line="240" w:lineRule="auto"/>
              <w:jc w:val="center"/>
              <w:rPr>
                <w:rFonts w:ascii="Times New Roman" w:hAnsi="Times New Roman"/>
                <w:sz w:val="18"/>
                <w:szCs w:val="18"/>
              </w:rPr>
            </w:pPr>
            <w:r>
              <w:rPr>
                <w:rFonts w:ascii="Times New Roman" w:hAnsi="Times New Roman"/>
                <w:sz w:val="24"/>
                <w:szCs w:val="24"/>
              </w:rPr>
              <w:t>Longue</w:t>
            </w:r>
          </w:p>
        </w:tc>
        <w:tc>
          <w:tcPr>
            <w:tcW w:w="284" w:type="dxa"/>
            <w:shd w:val="clear" w:color="auto" w:fill="002060"/>
            <w:vAlign w:val="center"/>
          </w:tcPr>
          <w:p w:rsidR="00BD326C" w:rsidRPr="008E1DE6" w:rsidRDefault="00BD326C" w:rsidP="00BD326C">
            <w:pPr>
              <w:spacing w:after="0" w:line="240" w:lineRule="auto"/>
              <w:jc w:val="center"/>
              <w:rPr>
                <w:rFonts w:ascii="Times New Roman" w:hAnsi="Times New Roman"/>
                <w:b/>
                <w:sz w:val="18"/>
                <w:szCs w:val="18"/>
              </w:rPr>
            </w:pPr>
            <w:r w:rsidRPr="008E1DE6">
              <w:rPr>
                <w:rFonts w:ascii="Times New Roman" w:hAnsi="Times New Roman"/>
                <w:b/>
                <w:sz w:val="24"/>
                <w:szCs w:val="24"/>
              </w:rPr>
              <w:t>5</w:t>
            </w:r>
          </w:p>
        </w:tc>
        <w:tc>
          <w:tcPr>
            <w:tcW w:w="1275" w:type="dxa"/>
            <w:shd w:val="clear" w:color="auto" w:fill="92D050"/>
            <w:vAlign w:val="center"/>
          </w:tcPr>
          <w:p w:rsidR="00BD326C" w:rsidRPr="00AA45E9" w:rsidRDefault="00BD326C" w:rsidP="00BD326C">
            <w:pPr>
              <w:spacing w:after="0" w:line="240" w:lineRule="auto"/>
              <w:jc w:val="center"/>
              <w:rPr>
                <w:rFonts w:ascii="Times New Roman" w:hAnsi="Times New Roman"/>
                <w:b/>
                <w:sz w:val="18"/>
                <w:szCs w:val="18"/>
              </w:rPr>
            </w:pPr>
            <w:r>
              <w:rPr>
                <w:rFonts w:ascii="Times New Roman" w:hAnsi="Times New Roman"/>
                <w:b/>
                <w:sz w:val="24"/>
                <w:szCs w:val="24"/>
              </w:rPr>
              <w:t>Mineure</w:t>
            </w:r>
          </w:p>
        </w:tc>
        <w:tc>
          <w:tcPr>
            <w:tcW w:w="709" w:type="dxa"/>
            <w:shd w:val="clear" w:color="auto" w:fill="92D050"/>
            <w:vAlign w:val="center"/>
          </w:tcPr>
          <w:p w:rsidR="00BD326C" w:rsidRPr="00AA45E9" w:rsidRDefault="00BD326C" w:rsidP="00BD326C">
            <w:pPr>
              <w:spacing w:after="0" w:line="240" w:lineRule="auto"/>
              <w:jc w:val="center"/>
              <w:rPr>
                <w:rFonts w:ascii="Times New Roman" w:hAnsi="Times New Roman"/>
                <w:b/>
                <w:sz w:val="18"/>
                <w:szCs w:val="18"/>
              </w:rPr>
            </w:pPr>
            <w:r>
              <w:rPr>
                <w:rFonts w:ascii="Times New Roman" w:hAnsi="Times New Roman"/>
                <w:b/>
                <w:sz w:val="24"/>
                <w:szCs w:val="24"/>
              </w:rPr>
              <w:t>1</w:t>
            </w:r>
            <w:r w:rsidRPr="008E6D9C">
              <w:rPr>
                <w:rFonts w:ascii="Times New Roman" w:hAnsi="Times New Roman"/>
                <w:b/>
                <w:sz w:val="24"/>
                <w:szCs w:val="24"/>
              </w:rPr>
              <w:t>5</w:t>
            </w:r>
          </w:p>
        </w:tc>
      </w:tr>
      <w:tr w:rsidR="00BD326C" w:rsidRPr="00AA45E9" w:rsidTr="007062AE">
        <w:trPr>
          <w:jc w:val="center"/>
        </w:trPr>
        <w:tc>
          <w:tcPr>
            <w:tcW w:w="1696" w:type="dxa"/>
            <w:gridSpan w:val="2"/>
            <w:vMerge/>
            <w:shd w:val="clear" w:color="auto" w:fill="BDD6EE"/>
          </w:tcPr>
          <w:p w:rsidR="00BD326C" w:rsidRPr="00AA45E9" w:rsidRDefault="00BD326C" w:rsidP="00BD326C">
            <w:pPr>
              <w:spacing w:after="0" w:line="240" w:lineRule="auto"/>
              <w:jc w:val="both"/>
              <w:rPr>
                <w:rFonts w:ascii="Times New Roman" w:hAnsi="Times New Roman"/>
              </w:rPr>
            </w:pPr>
          </w:p>
        </w:tc>
        <w:tc>
          <w:tcPr>
            <w:tcW w:w="1229" w:type="dxa"/>
            <w:gridSpan w:val="3"/>
            <w:vMerge/>
          </w:tcPr>
          <w:p w:rsidR="00BD326C" w:rsidRPr="00AA45E9" w:rsidRDefault="00BD326C" w:rsidP="00BD326C">
            <w:pPr>
              <w:spacing w:after="0" w:line="240" w:lineRule="auto"/>
              <w:jc w:val="both"/>
              <w:rPr>
                <w:rFonts w:ascii="Times New Roman" w:hAnsi="Times New Roman"/>
                <w:b/>
              </w:rPr>
            </w:pPr>
          </w:p>
        </w:tc>
        <w:tc>
          <w:tcPr>
            <w:tcW w:w="6568" w:type="dxa"/>
            <w:vAlign w:val="center"/>
          </w:tcPr>
          <w:p w:rsidR="00BD326C" w:rsidRPr="000D22E9" w:rsidRDefault="00BD326C" w:rsidP="00FA3FAE">
            <w:pPr>
              <w:pStyle w:val="Listecouleur-Accent11"/>
              <w:numPr>
                <w:ilvl w:val="0"/>
                <w:numId w:val="87"/>
              </w:numPr>
              <w:rPr>
                <w:rFonts w:ascii="Times New Roman" w:hAnsi="Times New Roman"/>
                <w:b/>
                <w:lang w:val="fr-FR"/>
              </w:rPr>
            </w:pPr>
            <w:r w:rsidRPr="000D22E9">
              <w:rPr>
                <w:rFonts w:ascii="Times New Roman" w:hAnsi="Times New Roman"/>
                <w:bCs/>
                <w:lang w:val="fr-FR"/>
              </w:rPr>
              <w:t>Risque d’engendrer des perturbations au niveau des réseaux de distribution d’eau ou des risques d’arrêt de fonctionnement des réservoirs pendant des heures</w:t>
            </w:r>
          </w:p>
        </w:tc>
        <w:tc>
          <w:tcPr>
            <w:tcW w:w="1134" w:type="dxa"/>
            <w:vAlign w:val="center"/>
          </w:tcPr>
          <w:p w:rsidR="00BD326C" w:rsidRPr="00AA45E9" w:rsidRDefault="00BD326C" w:rsidP="00BD326C">
            <w:pPr>
              <w:spacing w:after="0" w:line="240" w:lineRule="auto"/>
              <w:jc w:val="center"/>
              <w:rPr>
                <w:rFonts w:ascii="Times New Roman" w:hAnsi="Times New Roman"/>
                <w:sz w:val="18"/>
                <w:szCs w:val="18"/>
              </w:rPr>
            </w:pPr>
            <w:r>
              <w:rPr>
                <w:rFonts w:ascii="Times New Roman" w:hAnsi="Times New Roman"/>
                <w:sz w:val="24"/>
                <w:szCs w:val="24"/>
              </w:rPr>
              <w:t>Moyenne</w:t>
            </w:r>
          </w:p>
        </w:tc>
        <w:tc>
          <w:tcPr>
            <w:tcW w:w="283" w:type="dxa"/>
            <w:shd w:val="clear" w:color="auto" w:fill="002060"/>
            <w:vAlign w:val="center"/>
          </w:tcPr>
          <w:p w:rsidR="00BD326C" w:rsidRPr="008E1DE6" w:rsidRDefault="00BD326C" w:rsidP="00BD326C">
            <w:pPr>
              <w:spacing w:after="0" w:line="240" w:lineRule="auto"/>
              <w:jc w:val="center"/>
              <w:rPr>
                <w:rFonts w:ascii="Times New Roman" w:hAnsi="Times New Roman"/>
                <w:b/>
                <w:sz w:val="18"/>
                <w:szCs w:val="18"/>
              </w:rPr>
            </w:pPr>
            <w:r w:rsidRPr="008E1DE6">
              <w:rPr>
                <w:rFonts w:ascii="Times New Roman" w:hAnsi="Times New Roman"/>
                <w:b/>
                <w:sz w:val="24"/>
                <w:szCs w:val="24"/>
              </w:rPr>
              <w:t>3</w:t>
            </w:r>
          </w:p>
        </w:tc>
        <w:tc>
          <w:tcPr>
            <w:tcW w:w="1276" w:type="dxa"/>
            <w:vAlign w:val="center"/>
          </w:tcPr>
          <w:p w:rsidR="00BD326C" w:rsidRPr="00AA45E9" w:rsidRDefault="00BD326C" w:rsidP="00BD326C">
            <w:pPr>
              <w:spacing w:after="0" w:line="240" w:lineRule="auto"/>
              <w:jc w:val="center"/>
              <w:rPr>
                <w:rFonts w:ascii="Times New Roman" w:hAnsi="Times New Roman"/>
                <w:sz w:val="18"/>
                <w:szCs w:val="18"/>
              </w:rPr>
            </w:pPr>
            <w:r>
              <w:rPr>
                <w:rFonts w:ascii="Times New Roman" w:hAnsi="Times New Roman"/>
                <w:sz w:val="24"/>
                <w:szCs w:val="24"/>
              </w:rPr>
              <w:t>Locale</w:t>
            </w:r>
          </w:p>
        </w:tc>
        <w:tc>
          <w:tcPr>
            <w:tcW w:w="283" w:type="dxa"/>
            <w:shd w:val="clear" w:color="auto" w:fill="002060"/>
            <w:vAlign w:val="center"/>
          </w:tcPr>
          <w:p w:rsidR="00BD326C" w:rsidRPr="008E1DE6" w:rsidRDefault="00BD326C" w:rsidP="00BD326C">
            <w:pPr>
              <w:spacing w:after="0" w:line="240" w:lineRule="auto"/>
              <w:jc w:val="center"/>
              <w:rPr>
                <w:rFonts w:ascii="Times New Roman" w:hAnsi="Times New Roman"/>
                <w:b/>
                <w:sz w:val="18"/>
                <w:szCs w:val="18"/>
              </w:rPr>
            </w:pPr>
            <w:r w:rsidRPr="008E1DE6">
              <w:rPr>
                <w:rFonts w:ascii="Times New Roman" w:hAnsi="Times New Roman"/>
                <w:b/>
                <w:sz w:val="24"/>
                <w:szCs w:val="24"/>
              </w:rPr>
              <w:t>3</w:t>
            </w:r>
          </w:p>
        </w:tc>
        <w:tc>
          <w:tcPr>
            <w:tcW w:w="1276" w:type="dxa"/>
            <w:vAlign w:val="center"/>
          </w:tcPr>
          <w:p w:rsidR="00BD326C" w:rsidRPr="00AA45E9" w:rsidRDefault="00BD326C" w:rsidP="00BD326C">
            <w:pPr>
              <w:spacing w:after="0" w:line="240" w:lineRule="auto"/>
              <w:jc w:val="center"/>
              <w:rPr>
                <w:rFonts w:ascii="Times New Roman" w:hAnsi="Times New Roman"/>
                <w:sz w:val="18"/>
                <w:szCs w:val="18"/>
              </w:rPr>
            </w:pPr>
            <w:r>
              <w:rPr>
                <w:rFonts w:ascii="Times New Roman" w:hAnsi="Times New Roman"/>
                <w:sz w:val="24"/>
                <w:szCs w:val="24"/>
              </w:rPr>
              <w:t>Courte</w:t>
            </w:r>
          </w:p>
        </w:tc>
        <w:tc>
          <w:tcPr>
            <w:tcW w:w="284" w:type="dxa"/>
            <w:shd w:val="clear" w:color="auto" w:fill="002060"/>
            <w:vAlign w:val="center"/>
          </w:tcPr>
          <w:p w:rsidR="00BD326C" w:rsidRPr="008E1DE6" w:rsidRDefault="00BD326C" w:rsidP="00BD326C">
            <w:pPr>
              <w:spacing w:after="0" w:line="240" w:lineRule="auto"/>
              <w:jc w:val="center"/>
              <w:rPr>
                <w:rFonts w:ascii="Times New Roman" w:hAnsi="Times New Roman"/>
                <w:b/>
                <w:sz w:val="18"/>
                <w:szCs w:val="18"/>
              </w:rPr>
            </w:pPr>
            <w:r w:rsidRPr="008E1DE6">
              <w:rPr>
                <w:rFonts w:ascii="Times New Roman" w:hAnsi="Times New Roman"/>
                <w:b/>
                <w:sz w:val="24"/>
                <w:szCs w:val="24"/>
              </w:rPr>
              <w:t>1</w:t>
            </w:r>
          </w:p>
        </w:tc>
        <w:tc>
          <w:tcPr>
            <w:tcW w:w="1275" w:type="dxa"/>
            <w:shd w:val="clear" w:color="auto" w:fill="92D050"/>
            <w:vAlign w:val="center"/>
          </w:tcPr>
          <w:p w:rsidR="00BD326C" w:rsidRPr="00AA45E9" w:rsidRDefault="00BD326C" w:rsidP="00BD326C">
            <w:pPr>
              <w:spacing w:after="0" w:line="240" w:lineRule="auto"/>
              <w:jc w:val="center"/>
              <w:rPr>
                <w:rFonts w:ascii="Times New Roman" w:hAnsi="Times New Roman"/>
                <w:b/>
                <w:sz w:val="18"/>
                <w:szCs w:val="18"/>
              </w:rPr>
            </w:pPr>
            <w:r>
              <w:rPr>
                <w:rFonts w:ascii="Times New Roman" w:hAnsi="Times New Roman"/>
                <w:b/>
                <w:sz w:val="24"/>
                <w:szCs w:val="24"/>
              </w:rPr>
              <w:t>Mineure</w:t>
            </w:r>
          </w:p>
        </w:tc>
        <w:tc>
          <w:tcPr>
            <w:tcW w:w="709" w:type="dxa"/>
            <w:shd w:val="clear" w:color="auto" w:fill="92D050"/>
            <w:vAlign w:val="center"/>
          </w:tcPr>
          <w:p w:rsidR="00BD326C" w:rsidRPr="00AA45E9" w:rsidRDefault="00BD326C" w:rsidP="00BD326C">
            <w:pPr>
              <w:spacing w:after="0" w:line="240" w:lineRule="auto"/>
              <w:jc w:val="center"/>
              <w:rPr>
                <w:rFonts w:ascii="Times New Roman" w:hAnsi="Times New Roman"/>
                <w:b/>
                <w:sz w:val="18"/>
                <w:szCs w:val="18"/>
              </w:rPr>
            </w:pPr>
            <w:r>
              <w:rPr>
                <w:rFonts w:ascii="Times New Roman" w:hAnsi="Times New Roman"/>
                <w:b/>
                <w:sz w:val="24"/>
                <w:szCs w:val="24"/>
              </w:rPr>
              <w:t>9</w:t>
            </w:r>
          </w:p>
        </w:tc>
      </w:tr>
      <w:tr w:rsidR="00BD326C" w:rsidRPr="00AA45E9" w:rsidTr="007062AE">
        <w:trPr>
          <w:jc w:val="center"/>
        </w:trPr>
        <w:tc>
          <w:tcPr>
            <w:tcW w:w="1696" w:type="dxa"/>
            <w:gridSpan w:val="2"/>
            <w:vMerge/>
            <w:shd w:val="clear" w:color="auto" w:fill="BDD6EE"/>
          </w:tcPr>
          <w:p w:rsidR="00BD326C" w:rsidRPr="00AA45E9" w:rsidRDefault="00BD326C" w:rsidP="00BD326C">
            <w:pPr>
              <w:spacing w:after="0" w:line="240" w:lineRule="auto"/>
              <w:jc w:val="both"/>
              <w:rPr>
                <w:rFonts w:ascii="Times New Roman" w:hAnsi="Times New Roman"/>
              </w:rPr>
            </w:pPr>
          </w:p>
        </w:tc>
        <w:tc>
          <w:tcPr>
            <w:tcW w:w="1229" w:type="dxa"/>
            <w:gridSpan w:val="3"/>
            <w:vMerge/>
          </w:tcPr>
          <w:p w:rsidR="00BD326C" w:rsidRPr="00AA45E9" w:rsidRDefault="00BD326C" w:rsidP="00BD326C">
            <w:pPr>
              <w:spacing w:after="0" w:line="240" w:lineRule="auto"/>
              <w:jc w:val="both"/>
              <w:rPr>
                <w:rFonts w:ascii="Times New Roman" w:hAnsi="Times New Roman"/>
                <w:b/>
              </w:rPr>
            </w:pPr>
          </w:p>
        </w:tc>
        <w:tc>
          <w:tcPr>
            <w:tcW w:w="6568" w:type="dxa"/>
            <w:vAlign w:val="center"/>
          </w:tcPr>
          <w:p w:rsidR="00BD326C" w:rsidRPr="000D22E9" w:rsidRDefault="00BD326C" w:rsidP="00FA3FAE">
            <w:pPr>
              <w:pStyle w:val="Listecouleur-Accent11"/>
              <w:numPr>
                <w:ilvl w:val="0"/>
                <w:numId w:val="87"/>
              </w:numPr>
              <w:rPr>
                <w:rFonts w:ascii="Times New Roman" w:hAnsi="Times New Roman"/>
                <w:b/>
                <w:lang w:val="fr-FR"/>
              </w:rPr>
            </w:pPr>
            <w:r w:rsidRPr="000D22E9">
              <w:rPr>
                <w:rFonts w:ascii="Times New Roman" w:hAnsi="Times New Roman"/>
                <w:bCs/>
                <w:lang w:val="fr-FR"/>
              </w:rPr>
              <w:t>Risque d’augmentation de l’insalubrité liée à la mauvaise gestion des eaux usées.</w:t>
            </w:r>
          </w:p>
        </w:tc>
        <w:tc>
          <w:tcPr>
            <w:tcW w:w="1134" w:type="dxa"/>
            <w:vAlign w:val="center"/>
          </w:tcPr>
          <w:p w:rsidR="00BD326C" w:rsidRPr="00AA45E9" w:rsidRDefault="00BD326C" w:rsidP="00BD326C">
            <w:pPr>
              <w:spacing w:after="0" w:line="240" w:lineRule="auto"/>
              <w:jc w:val="center"/>
              <w:rPr>
                <w:rFonts w:ascii="Times New Roman" w:hAnsi="Times New Roman"/>
                <w:sz w:val="18"/>
                <w:szCs w:val="18"/>
              </w:rPr>
            </w:pPr>
            <w:r w:rsidRPr="00867483">
              <w:rPr>
                <w:rFonts w:ascii="Times New Roman" w:hAnsi="Times New Roman"/>
                <w:sz w:val="24"/>
                <w:szCs w:val="24"/>
              </w:rPr>
              <w:t>Forte</w:t>
            </w:r>
          </w:p>
        </w:tc>
        <w:tc>
          <w:tcPr>
            <w:tcW w:w="283" w:type="dxa"/>
            <w:shd w:val="clear" w:color="auto" w:fill="002060"/>
            <w:vAlign w:val="center"/>
          </w:tcPr>
          <w:p w:rsidR="00BD326C" w:rsidRPr="008E1DE6" w:rsidRDefault="00BD326C" w:rsidP="00BD326C">
            <w:pPr>
              <w:spacing w:after="0" w:line="240" w:lineRule="auto"/>
              <w:jc w:val="center"/>
              <w:rPr>
                <w:rFonts w:ascii="Times New Roman" w:hAnsi="Times New Roman"/>
                <w:b/>
                <w:sz w:val="18"/>
                <w:szCs w:val="18"/>
              </w:rPr>
            </w:pPr>
            <w:r w:rsidRPr="008E1DE6">
              <w:rPr>
                <w:rFonts w:ascii="Times New Roman" w:hAnsi="Times New Roman"/>
                <w:b/>
                <w:sz w:val="24"/>
                <w:szCs w:val="24"/>
              </w:rPr>
              <w:t>5</w:t>
            </w:r>
          </w:p>
        </w:tc>
        <w:tc>
          <w:tcPr>
            <w:tcW w:w="1276" w:type="dxa"/>
            <w:vAlign w:val="center"/>
          </w:tcPr>
          <w:p w:rsidR="00BD326C" w:rsidRPr="00AA45E9" w:rsidRDefault="00BD326C" w:rsidP="00BD326C">
            <w:pPr>
              <w:spacing w:after="0" w:line="240" w:lineRule="auto"/>
              <w:jc w:val="center"/>
              <w:rPr>
                <w:rFonts w:ascii="Times New Roman" w:hAnsi="Times New Roman"/>
                <w:sz w:val="18"/>
                <w:szCs w:val="18"/>
              </w:rPr>
            </w:pPr>
            <w:r>
              <w:rPr>
                <w:rFonts w:ascii="Times New Roman" w:hAnsi="Times New Roman"/>
                <w:sz w:val="24"/>
                <w:szCs w:val="24"/>
              </w:rPr>
              <w:t>Locale</w:t>
            </w:r>
          </w:p>
        </w:tc>
        <w:tc>
          <w:tcPr>
            <w:tcW w:w="283" w:type="dxa"/>
            <w:shd w:val="clear" w:color="auto" w:fill="002060"/>
            <w:vAlign w:val="center"/>
          </w:tcPr>
          <w:p w:rsidR="00BD326C" w:rsidRPr="008E1DE6" w:rsidRDefault="00BD326C" w:rsidP="00BD326C">
            <w:pPr>
              <w:spacing w:after="0" w:line="240" w:lineRule="auto"/>
              <w:jc w:val="center"/>
              <w:rPr>
                <w:rFonts w:ascii="Times New Roman" w:hAnsi="Times New Roman"/>
                <w:b/>
                <w:sz w:val="18"/>
                <w:szCs w:val="18"/>
              </w:rPr>
            </w:pPr>
            <w:r w:rsidRPr="008E1DE6">
              <w:rPr>
                <w:rFonts w:ascii="Times New Roman" w:hAnsi="Times New Roman"/>
                <w:b/>
                <w:sz w:val="24"/>
                <w:szCs w:val="24"/>
              </w:rPr>
              <w:t>3</w:t>
            </w:r>
          </w:p>
        </w:tc>
        <w:tc>
          <w:tcPr>
            <w:tcW w:w="1276" w:type="dxa"/>
            <w:vAlign w:val="center"/>
          </w:tcPr>
          <w:p w:rsidR="00BD326C" w:rsidRPr="00AA45E9" w:rsidRDefault="00BD326C" w:rsidP="00BD326C">
            <w:pPr>
              <w:spacing w:after="0" w:line="240" w:lineRule="auto"/>
              <w:jc w:val="center"/>
              <w:rPr>
                <w:rFonts w:ascii="Times New Roman" w:hAnsi="Times New Roman"/>
                <w:sz w:val="18"/>
                <w:szCs w:val="18"/>
              </w:rPr>
            </w:pPr>
            <w:r>
              <w:rPr>
                <w:rFonts w:ascii="Times New Roman" w:hAnsi="Times New Roman"/>
                <w:sz w:val="24"/>
                <w:szCs w:val="24"/>
              </w:rPr>
              <w:t>Longue</w:t>
            </w:r>
          </w:p>
        </w:tc>
        <w:tc>
          <w:tcPr>
            <w:tcW w:w="284" w:type="dxa"/>
            <w:shd w:val="clear" w:color="auto" w:fill="002060"/>
            <w:vAlign w:val="center"/>
          </w:tcPr>
          <w:p w:rsidR="00BD326C" w:rsidRPr="008E1DE6" w:rsidRDefault="00BD326C" w:rsidP="00BD326C">
            <w:pPr>
              <w:spacing w:after="0" w:line="240" w:lineRule="auto"/>
              <w:jc w:val="center"/>
              <w:rPr>
                <w:rFonts w:ascii="Times New Roman" w:hAnsi="Times New Roman"/>
                <w:b/>
                <w:sz w:val="18"/>
                <w:szCs w:val="18"/>
              </w:rPr>
            </w:pPr>
            <w:r w:rsidRPr="008E1DE6">
              <w:rPr>
                <w:rFonts w:ascii="Times New Roman" w:hAnsi="Times New Roman"/>
                <w:b/>
                <w:sz w:val="24"/>
                <w:szCs w:val="24"/>
              </w:rPr>
              <w:t>5</w:t>
            </w:r>
          </w:p>
        </w:tc>
        <w:tc>
          <w:tcPr>
            <w:tcW w:w="1275" w:type="dxa"/>
            <w:shd w:val="clear" w:color="auto" w:fill="FF0000"/>
            <w:vAlign w:val="center"/>
          </w:tcPr>
          <w:p w:rsidR="00BD326C" w:rsidRPr="00AA45E9" w:rsidRDefault="00BD326C" w:rsidP="00BD326C">
            <w:pPr>
              <w:spacing w:after="0" w:line="240" w:lineRule="auto"/>
              <w:jc w:val="center"/>
              <w:rPr>
                <w:rFonts w:ascii="Times New Roman" w:hAnsi="Times New Roman"/>
                <w:b/>
                <w:sz w:val="18"/>
                <w:szCs w:val="18"/>
              </w:rPr>
            </w:pPr>
            <w:r>
              <w:rPr>
                <w:rFonts w:ascii="Times New Roman" w:hAnsi="Times New Roman"/>
                <w:b/>
                <w:sz w:val="24"/>
                <w:szCs w:val="24"/>
              </w:rPr>
              <w:t>Majeure</w:t>
            </w:r>
          </w:p>
        </w:tc>
        <w:tc>
          <w:tcPr>
            <w:tcW w:w="709" w:type="dxa"/>
            <w:shd w:val="clear" w:color="auto" w:fill="FF0000"/>
            <w:vAlign w:val="center"/>
          </w:tcPr>
          <w:p w:rsidR="00BD326C" w:rsidRPr="00AA45E9" w:rsidRDefault="00BD326C" w:rsidP="00BD326C">
            <w:pPr>
              <w:spacing w:after="0" w:line="240" w:lineRule="auto"/>
              <w:jc w:val="center"/>
              <w:rPr>
                <w:rFonts w:ascii="Times New Roman" w:hAnsi="Times New Roman"/>
                <w:b/>
                <w:sz w:val="18"/>
                <w:szCs w:val="18"/>
              </w:rPr>
            </w:pPr>
            <w:r>
              <w:rPr>
                <w:rFonts w:ascii="Times New Roman" w:hAnsi="Times New Roman"/>
                <w:b/>
                <w:sz w:val="24"/>
                <w:szCs w:val="24"/>
              </w:rPr>
              <w:t>7</w:t>
            </w:r>
            <w:r w:rsidRPr="008E6D9C">
              <w:rPr>
                <w:rFonts w:ascii="Times New Roman" w:hAnsi="Times New Roman"/>
                <w:b/>
                <w:sz w:val="24"/>
                <w:szCs w:val="24"/>
              </w:rPr>
              <w:t>5</w:t>
            </w:r>
          </w:p>
        </w:tc>
      </w:tr>
    </w:tbl>
    <w:p w:rsidR="008D7CFC" w:rsidRDefault="008D7CFC" w:rsidP="008D7CFC">
      <w:pPr>
        <w:tabs>
          <w:tab w:val="left" w:pos="3399"/>
        </w:tabs>
        <w:rPr>
          <w:rFonts w:ascii="Times New Roman" w:hAnsi="Times New Roman" w:cs="Times New Roman"/>
          <w:sz w:val="24"/>
          <w:szCs w:val="24"/>
        </w:rPr>
      </w:pPr>
    </w:p>
    <w:p w:rsidR="006124C5" w:rsidRDefault="006124C5" w:rsidP="00D2682F">
      <w:pPr>
        <w:jc w:val="both"/>
        <w:rPr>
          <w:rFonts w:ascii="Times New Roman" w:hAnsi="Times New Roman" w:cs="Times New Roman"/>
          <w:color w:val="000000"/>
          <w:sz w:val="24"/>
          <w:szCs w:val="24"/>
        </w:rPr>
      </w:pPr>
    </w:p>
    <w:p w:rsidR="006124C5" w:rsidRDefault="006124C5" w:rsidP="006124C5">
      <w:pPr>
        <w:rPr>
          <w:rFonts w:ascii="Times New Roman" w:hAnsi="Times New Roman" w:cs="Times New Roman"/>
          <w:sz w:val="24"/>
          <w:szCs w:val="24"/>
        </w:rPr>
      </w:pPr>
    </w:p>
    <w:p w:rsidR="006124C5" w:rsidRDefault="006124C5" w:rsidP="006124C5">
      <w:pPr>
        <w:tabs>
          <w:tab w:val="left" w:pos="3399"/>
        </w:tabs>
        <w:rPr>
          <w:rFonts w:ascii="Times New Roman" w:hAnsi="Times New Roman" w:cs="Times New Roman"/>
          <w:sz w:val="24"/>
          <w:szCs w:val="24"/>
        </w:rPr>
      </w:pPr>
      <w:r>
        <w:rPr>
          <w:rFonts w:ascii="Times New Roman" w:hAnsi="Times New Roman" w:cs="Times New Roman"/>
          <w:sz w:val="24"/>
          <w:szCs w:val="24"/>
        </w:rPr>
        <w:tab/>
      </w:r>
    </w:p>
    <w:p w:rsidR="006124C5" w:rsidRDefault="006124C5" w:rsidP="006124C5">
      <w:pPr>
        <w:tabs>
          <w:tab w:val="left" w:pos="3399"/>
        </w:tabs>
        <w:rPr>
          <w:rFonts w:ascii="Times New Roman" w:hAnsi="Times New Roman" w:cs="Times New Roman"/>
          <w:sz w:val="24"/>
          <w:szCs w:val="24"/>
        </w:rPr>
      </w:pPr>
    </w:p>
    <w:p w:rsidR="006124C5" w:rsidRDefault="006124C5" w:rsidP="006124C5">
      <w:pPr>
        <w:tabs>
          <w:tab w:val="left" w:pos="3399"/>
        </w:tabs>
        <w:rPr>
          <w:rFonts w:ascii="Times New Roman" w:hAnsi="Times New Roman" w:cs="Times New Roman"/>
          <w:sz w:val="24"/>
          <w:szCs w:val="24"/>
        </w:rPr>
      </w:pPr>
    </w:p>
    <w:p w:rsidR="006124C5" w:rsidRDefault="006124C5" w:rsidP="006124C5">
      <w:pPr>
        <w:tabs>
          <w:tab w:val="left" w:pos="3399"/>
        </w:tabs>
        <w:rPr>
          <w:rFonts w:ascii="Times New Roman" w:hAnsi="Times New Roman" w:cs="Times New Roman"/>
          <w:sz w:val="24"/>
          <w:szCs w:val="24"/>
        </w:rPr>
      </w:pPr>
    </w:p>
    <w:p w:rsidR="006124C5" w:rsidRDefault="006124C5" w:rsidP="006124C5">
      <w:pPr>
        <w:tabs>
          <w:tab w:val="left" w:pos="3399"/>
        </w:tabs>
        <w:rPr>
          <w:rFonts w:ascii="Times New Roman" w:hAnsi="Times New Roman" w:cs="Times New Roman"/>
          <w:sz w:val="24"/>
          <w:szCs w:val="24"/>
        </w:rPr>
      </w:pPr>
    </w:p>
    <w:p w:rsidR="006124C5" w:rsidRDefault="006124C5" w:rsidP="006124C5">
      <w:pPr>
        <w:tabs>
          <w:tab w:val="left" w:pos="3399"/>
        </w:tabs>
        <w:rPr>
          <w:rFonts w:ascii="Times New Roman" w:hAnsi="Times New Roman" w:cs="Times New Roman"/>
          <w:sz w:val="24"/>
          <w:szCs w:val="24"/>
        </w:rPr>
      </w:pPr>
    </w:p>
    <w:p w:rsidR="006124C5" w:rsidRDefault="006124C5" w:rsidP="006124C5">
      <w:pPr>
        <w:tabs>
          <w:tab w:val="left" w:pos="3399"/>
        </w:tabs>
        <w:rPr>
          <w:rFonts w:ascii="Times New Roman" w:hAnsi="Times New Roman" w:cs="Times New Roman"/>
          <w:sz w:val="24"/>
          <w:szCs w:val="24"/>
        </w:rPr>
      </w:pPr>
    </w:p>
    <w:p w:rsidR="006124C5" w:rsidRDefault="006124C5" w:rsidP="006124C5">
      <w:pPr>
        <w:tabs>
          <w:tab w:val="left" w:pos="3399"/>
        </w:tabs>
        <w:rPr>
          <w:rFonts w:ascii="Times New Roman" w:hAnsi="Times New Roman" w:cs="Times New Roman"/>
          <w:sz w:val="24"/>
          <w:szCs w:val="24"/>
        </w:rPr>
      </w:pPr>
    </w:p>
    <w:p w:rsidR="006124C5" w:rsidRDefault="006124C5" w:rsidP="006124C5">
      <w:pPr>
        <w:tabs>
          <w:tab w:val="left" w:pos="3399"/>
        </w:tabs>
        <w:rPr>
          <w:rFonts w:ascii="Times New Roman" w:hAnsi="Times New Roman" w:cs="Times New Roman"/>
          <w:sz w:val="24"/>
          <w:szCs w:val="24"/>
        </w:rPr>
      </w:pPr>
    </w:p>
    <w:p w:rsidR="0052566B" w:rsidRPr="006124C5" w:rsidRDefault="006124C5" w:rsidP="006124C5">
      <w:pPr>
        <w:tabs>
          <w:tab w:val="left" w:pos="3399"/>
        </w:tabs>
        <w:rPr>
          <w:rFonts w:ascii="Times New Roman" w:hAnsi="Times New Roman" w:cs="Times New Roman"/>
          <w:sz w:val="24"/>
          <w:szCs w:val="24"/>
        </w:rPr>
        <w:sectPr w:rsidR="0052566B" w:rsidRPr="006124C5" w:rsidSect="0052566B">
          <w:pgSz w:w="16838" w:h="11906" w:orient="landscape"/>
          <w:pgMar w:top="567" w:right="1134" w:bottom="1418" w:left="851" w:header="284" w:footer="709" w:gutter="0"/>
          <w:cols w:space="708"/>
          <w:docGrid w:linePitch="360"/>
        </w:sectPr>
      </w:pPr>
      <w:r>
        <w:rPr>
          <w:rFonts w:ascii="Times New Roman" w:hAnsi="Times New Roman" w:cs="Times New Roman"/>
          <w:sz w:val="24"/>
          <w:szCs w:val="24"/>
        </w:rPr>
        <w:tab/>
      </w:r>
    </w:p>
    <w:p w:rsidR="00764FFF" w:rsidRPr="00C874C2" w:rsidRDefault="00764FFF" w:rsidP="00C874C2">
      <w:pPr>
        <w:keepNext/>
        <w:keepLines/>
        <w:pBdr>
          <w:top w:val="outset" w:sz="12" w:space="1" w:color="auto"/>
          <w:left w:val="outset" w:sz="12" w:space="4" w:color="auto"/>
          <w:bottom w:val="outset" w:sz="12" w:space="1" w:color="auto"/>
          <w:right w:val="outset" w:sz="12" w:space="4" w:color="auto"/>
        </w:pBdr>
        <w:shd w:val="clear" w:color="auto" w:fill="F2F2F2" w:themeFill="background1" w:themeFillShade="F2"/>
        <w:spacing w:after="0" w:line="240" w:lineRule="auto"/>
        <w:ind w:left="-1276" w:right="567" w:firstLine="283"/>
        <w:jc w:val="center"/>
        <w:outlineLvl w:val="0"/>
        <w:rPr>
          <w:rFonts w:ascii="Times New Roman" w:eastAsia="Calibri" w:hAnsi="Times New Roman" w:cs="Times New Roman"/>
          <w:b/>
          <w:sz w:val="32"/>
          <w:szCs w:val="32"/>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id="344" w:name="_Toc515981068"/>
      <w:bookmarkStart w:id="345" w:name="_Toc535396956"/>
      <w:bookmarkStart w:id="346" w:name="_Toc11158356"/>
      <w:bookmarkStart w:id="347" w:name="_Toc51072578"/>
      <w:r w:rsidRPr="00C874C2">
        <w:rPr>
          <w:rFonts w:ascii="Times New Roman" w:eastAsia="Calibri" w:hAnsi="Times New Roman" w:cs="Times New Roman"/>
          <w:b/>
          <w:sz w:val="32"/>
          <w:szCs w:val="32"/>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7 * ETUDE DES RISQUES *</w:t>
      </w:r>
      <w:bookmarkEnd w:id="344"/>
      <w:bookmarkEnd w:id="345"/>
      <w:bookmarkEnd w:id="346"/>
      <w:bookmarkEnd w:id="347"/>
      <w:r w:rsidRPr="00C874C2">
        <w:rPr>
          <w:rFonts w:ascii="Times New Roman" w:eastAsia="Calibri" w:hAnsi="Times New Roman" w:cs="Times New Roman"/>
          <w:b/>
          <w:sz w:val="32"/>
          <w:szCs w:val="32"/>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rsidR="00764FFF" w:rsidRPr="003E743A" w:rsidRDefault="00764FFF" w:rsidP="00C874C2">
      <w:pPr>
        <w:spacing w:after="0"/>
        <w:jc w:val="both"/>
        <w:rPr>
          <w:rFonts w:ascii="Times New Roman" w:hAnsi="Times New Roman"/>
          <w:b/>
          <w:color w:val="FF0000"/>
          <w:sz w:val="24"/>
          <w:szCs w:val="24"/>
          <w:lang w:eastAsia="x-none"/>
        </w:rPr>
      </w:pPr>
    </w:p>
    <w:p w:rsidR="00764FFF" w:rsidRDefault="00764FFF" w:rsidP="00764FFF">
      <w:pPr>
        <w:ind w:left="-284" w:right="-942"/>
        <w:jc w:val="both"/>
        <w:rPr>
          <w:rFonts w:ascii="Times New Roman" w:hAnsi="Times New Roman"/>
          <w:sz w:val="24"/>
          <w:szCs w:val="24"/>
        </w:rPr>
      </w:pPr>
      <w:r>
        <w:rPr>
          <w:rFonts w:ascii="Times New Roman" w:hAnsi="Times New Roman"/>
          <w:sz w:val="24"/>
          <w:szCs w:val="24"/>
        </w:rPr>
        <w:t>D</w:t>
      </w:r>
      <w:r w:rsidRPr="003E743A">
        <w:rPr>
          <w:rFonts w:ascii="Times New Roman" w:hAnsi="Times New Roman"/>
          <w:sz w:val="24"/>
          <w:szCs w:val="24"/>
        </w:rPr>
        <w:t xml:space="preserve">ans </w:t>
      </w:r>
      <w:r>
        <w:rPr>
          <w:rFonts w:ascii="Times New Roman" w:hAnsi="Times New Roman"/>
          <w:sz w:val="24"/>
          <w:szCs w:val="24"/>
        </w:rPr>
        <w:t xml:space="preserve">ce </w:t>
      </w:r>
      <w:r w:rsidRPr="003E743A">
        <w:rPr>
          <w:rFonts w:ascii="Times New Roman" w:hAnsi="Times New Roman"/>
          <w:sz w:val="24"/>
          <w:szCs w:val="24"/>
        </w:rPr>
        <w:t>présent chapitre</w:t>
      </w:r>
      <w:r>
        <w:rPr>
          <w:rFonts w:ascii="Times New Roman" w:hAnsi="Times New Roman"/>
          <w:sz w:val="24"/>
          <w:szCs w:val="24"/>
        </w:rPr>
        <w:t xml:space="preserve"> il sera analysé</w:t>
      </w:r>
      <w:r w:rsidRPr="003E743A">
        <w:rPr>
          <w:rFonts w:ascii="Times New Roman" w:hAnsi="Times New Roman"/>
          <w:sz w:val="24"/>
          <w:szCs w:val="24"/>
        </w:rPr>
        <w:t xml:space="preserve"> les éléments de danger du projet dans sa globalité. Les installations exploitées au niveau du projet </w:t>
      </w:r>
      <w:r>
        <w:rPr>
          <w:rFonts w:ascii="Times New Roman" w:hAnsi="Times New Roman"/>
          <w:sz w:val="24"/>
          <w:szCs w:val="24"/>
        </w:rPr>
        <w:t xml:space="preserve">PUASEE-FA peuvent </w:t>
      </w:r>
      <w:r w:rsidRPr="003E743A">
        <w:rPr>
          <w:rFonts w:ascii="Times New Roman" w:hAnsi="Times New Roman"/>
          <w:sz w:val="24"/>
          <w:szCs w:val="24"/>
        </w:rPr>
        <w:t>présen</w:t>
      </w:r>
      <w:r>
        <w:rPr>
          <w:rFonts w:ascii="Times New Roman" w:hAnsi="Times New Roman"/>
          <w:sz w:val="24"/>
          <w:szCs w:val="24"/>
        </w:rPr>
        <w:t>ter</w:t>
      </w:r>
      <w:r w:rsidRPr="003E743A">
        <w:rPr>
          <w:rFonts w:ascii="Times New Roman" w:hAnsi="Times New Roman"/>
          <w:sz w:val="24"/>
          <w:szCs w:val="24"/>
        </w:rPr>
        <w:t xml:space="preserve"> des risques professionnels</w:t>
      </w:r>
      <w:r>
        <w:rPr>
          <w:rFonts w:ascii="Times New Roman" w:hAnsi="Times New Roman"/>
          <w:sz w:val="24"/>
          <w:szCs w:val="24"/>
        </w:rPr>
        <w:t xml:space="preserve"> et d’autres types de risque</w:t>
      </w:r>
      <w:r w:rsidRPr="003E743A">
        <w:rPr>
          <w:rFonts w:ascii="Times New Roman" w:hAnsi="Times New Roman"/>
          <w:sz w:val="24"/>
          <w:szCs w:val="24"/>
        </w:rPr>
        <w:t>. L’analyse de</w:t>
      </w:r>
      <w:r>
        <w:rPr>
          <w:rFonts w:ascii="Times New Roman" w:hAnsi="Times New Roman"/>
          <w:sz w:val="24"/>
          <w:szCs w:val="24"/>
        </w:rPr>
        <w:t>s</w:t>
      </w:r>
      <w:r w:rsidRPr="003E743A">
        <w:rPr>
          <w:rFonts w:ascii="Times New Roman" w:hAnsi="Times New Roman"/>
          <w:sz w:val="24"/>
          <w:szCs w:val="24"/>
        </w:rPr>
        <w:t xml:space="preserve"> risques a</w:t>
      </w:r>
      <w:r>
        <w:rPr>
          <w:rFonts w:ascii="Times New Roman" w:hAnsi="Times New Roman"/>
          <w:sz w:val="24"/>
          <w:szCs w:val="24"/>
        </w:rPr>
        <w:t>ura</w:t>
      </w:r>
      <w:r w:rsidRPr="003E743A">
        <w:rPr>
          <w:rFonts w:ascii="Times New Roman" w:hAnsi="Times New Roman"/>
          <w:sz w:val="24"/>
          <w:szCs w:val="24"/>
        </w:rPr>
        <w:t xml:space="preserve"> pour objectif, d’une part, d’identifier les situations qui peuvent être à l’origine d’un accident, et d’autre part, d’analyser les barrières de sécurité (mesures de prévention, moyens de protection et d’intervention) qui y sont associées. Il s’agit en définitive d’examiner</w:t>
      </w:r>
      <w:r>
        <w:rPr>
          <w:rFonts w:ascii="Times New Roman" w:hAnsi="Times New Roman"/>
          <w:sz w:val="24"/>
          <w:szCs w:val="24"/>
        </w:rPr>
        <w:t> :</w:t>
      </w:r>
    </w:p>
    <w:p w:rsidR="00764FFF" w:rsidRDefault="00764FFF" w:rsidP="00FA3FAE">
      <w:pPr>
        <w:numPr>
          <w:ilvl w:val="0"/>
          <w:numId w:val="145"/>
        </w:numPr>
        <w:ind w:left="851" w:right="-942" w:hanging="425"/>
        <w:jc w:val="both"/>
        <w:rPr>
          <w:rFonts w:ascii="Times New Roman" w:hAnsi="Times New Roman"/>
          <w:sz w:val="24"/>
          <w:szCs w:val="24"/>
        </w:rPr>
      </w:pPr>
      <w:r>
        <w:rPr>
          <w:rFonts w:ascii="Times New Roman" w:hAnsi="Times New Roman"/>
          <w:sz w:val="24"/>
          <w:szCs w:val="24"/>
        </w:rPr>
        <w:t xml:space="preserve"> </w:t>
      </w:r>
      <w:r w:rsidRPr="003E743A">
        <w:rPr>
          <w:rFonts w:ascii="Times New Roman" w:hAnsi="Times New Roman"/>
          <w:sz w:val="24"/>
          <w:szCs w:val="24"/>
        </w:rPr>
        <w:t xml:space="preserve">les défaillances d’origine interne : dangers liés aux produits, défaillances intrinsèques liées au dysfonctionnement des installations, mauvaise conception ou exploitation du matériel ; </w:t>
      </w:r>
    </w:p>
    <w:p w:rsidR="00764FFF" w:rsidRPr="003E743A" w:rsidRDefault="00764FFF" w:rsidP="00FA3FAE">
      <w:pPr>
        <w:numPr>
          <w:ilvl w:val="0"/>
          <w:numId w:val="145"/>
        </w:numPr>
        <w:ind w:left="851" w:right="-942" w:hanging="425"/>
        <w:jc w:val="both"/>
        <w:rPr>
          <w:rFonts w:ascii="Times New Roman" w:hAnsi="Times New Roman"/>
          <w:sz w:val="24"/>
          <w:szCs w:val="24"/>
        </w:rPr>
      </w:pPr>
      <w:r w:rsidRPr="003E743A">
        <w:rPr>
          <w:rFonts w:ascii="Times New Roman" w:hAnsi="Times New Roman"/>
          <w:sz w:val="24"/>
          <w:szCs w:val="24"/>
        </w:rPr>
        <w:t>les défaillances d’origine externe, qui résultent de la défaillance du matériel, elle -même consécutive à une agression externe (autres activités extérieures, risques naturels).</w:t>
      </w:r>
    </w:p>
    <w:p w:rsidR="00764FFF" w:rsidRPr="0034305A" w:rsidRDefault="00764FFF" w:rsidP="00764FFF">
      <w:pPr>
        <w:pStyle w:val="Listecouleur-Accent11"/>
        <w:keepNext/>
        <w:spacing w:before="240" w:after="240"/>
        <w:ind w:left="450" w:hanging="450"/>
        <w:outlineLvl w:val="1"/>
        <w:rPr>
          <w:rFonts w:ascii="Times New Roman" w:hAnsi="Times New Roman"/>
          <w:b/>
          <w:sz w:val="24"/>
          <w:szCs w:val="24"/>
          <w:lang w:val="fr-FR" w:eastAsia="fr-FR"/>
        </w:rPr>
      </w:pPr>
      <w:bookmarkStart w:id="348" w:name="_Toc491267559"/>
      <w:bookmarkStart w:id="349" w:name="_Toc505616474"/>
      <w:bookmarkStart w:id="350" w:name="_Toc515981069"/>
      <w:bookmarkStart w:id="351" w:name="_Toc535396957"/>
      <w:bookmarkStart w:id="352" w:name="_Toc11158357"/>
      <w:bookmarkStart w:id="353" w:name="_Toc51072579"/>
      <w:r>
        <w:rPr>
          <w:rFonts w:ascii="Times New Roman" w:hAnsi="Times New Roman"/>
          <w:b/>
          <w:sz w:val="24"/>
          <w:szCs w:val="24"/>
          <w:lang w:val="fr-FR" w:eastAsia="fr-FR"/>
        </w:rPr>
        <w:t>7</w:t>
      </w:r>
      <w:r w:rsidRPr="0034305A">
        <w:rPr>
          <w:rFonts w:ascii="Times New Roman" w:hAnsi="Times New Roman"/>
          <w:b/>
          <w:sz w:val="24"/>
          <w:szCs w:val="24"/>
          <w:lang w:val="fr-FR" w:eastAsia="fr-FR"/>
        </w:rPr>
        <w:t>.1 IDENTIFICATION ET EVALUATION DES RISQUES D’ACCIDENTS</w:t>
      </w:r>
      <w:bookmarkEnd w:id="348"/>
      <w:bookmarkEnd w:id="349"/>
      <w:bookmarkEnd w:id="350"/>
      <w:bookmarkEnd w:id="351"/>
      <w:bookmarkEnd w:id="352"/>
      <w:bookmarkEnd w:id="353"/>
    </w:p>
    <w:p w:rsidR="00764FFF" w:rsidRPr="003E743A" w:rsidRDefault="00764FFF" w:rsidP="00764FFF">
      <w:pPr>
        <w:ind w:left="-284" w:right="-942"/>
        <w:jc w:val="both"/>
        <w:rPr>
          <w:rFonts w:ascii="Times New Roman" w:hAnsi="Times New Roman"/>
          <w:sz w:val="24"/>
          <w:szCs w:val="24"/>
        </w:rPr>
      </w:pPr>
      <w:r w:rsidRPr="003E743A">
        <w:rPr>
          <w:rFonts w:ascii="Times New Roman" w:hAnsi="Times New Roman"/>
          <w:sz w:val="24"/>
          <w:szCs w:val="24"/>
        </w:rPr>
        <w:t>Ce</w:t>
      </w:r>
      <w:r>
        <w:rPr>
          <w:rFonts w:ascii="Times New Roman" w:hAnsi="Times New Roman"/>
          <w:sz w:val="24"/>
          <w:szCs w:val="24"/>
        </w:rPr>
        <w:t xml:space="preserve">tte étude </w:t>
      </w:r>
      <w:r w:rsidRPr="003E743A">
        <w:rPr>
          <w:rFonts w:ascii="Times New Roman" w:hAnsi="Times New Roman"/>
          <w:sz w:val="24"/>
          <w:szCs w:val="24"/>
        </w:rPr>
        <w:t xml:space="preserve">présente plusieurs objectifs : (i) faire le lien entre les dangers identifiés liés au procédé et liés aux produits associés ; (ii) identifier les phénomènes dangereux potentiels issus de cette association ; (iii) analyser la pertinence de cette identification compte tenu de la réalité physique du procédé et des produits ; (iv) cibler les équipements qui, compte tenu de cette analyse, seront retenus dans le cadre de l'analyse des risques. Ce dernier point permettra surtout d'identifier les équipements et opérations jugées critiques au terme de cette analyse. </w:t>
      </w:r>
    </w:p>
    <w:p w:rsidR="00764FFF" w:rsidRPr="003E743A" w:rsidRDefault="00764FFF" w:rsidP="00764FFF">
      <w:pPr>
        <w:ind w:left="-284" w:right="-942"/>
        <w:jc w:val="both"/>
        <w:rPr>
          <w:rFonts w:ascii="Times New Roman" w:hAnsi="Times New Roman"/>
          <w:sz w:val="24"/>
          <w:szCs w:val="24"/>
        </w:rPr>
      </w:pPr>
      <w:r w:rsidRPr="003E743A">
        <w:rPr>
          <w:rFonts w:ascii="Times New Roman" w:hAnsi="Times New Roman"/>
          <w:sz w:val="24"/>
          <w:szCs w:val="24"/>
        </w:rPr>
        <w:t>Les différents types de risques sont liés aux activités d’ouverture des tranchées pour le posage du câble sous-marine et terrestre et les activités de construction des infrastructures (chambre et station d’atterrissage).</w:t>
      </w:r>
    </w:p>
    <w:p w:rsidR="00764FFF" w:rsidRPr="003E743A" w:rsidRDefault="00764FFF" w:rsidP="00820701">
      <w:pPr>
        <w:pStyle w:val="Cabealho3"/>
        <w:numPr>
          <w:ilvl w:val="0"/>
          <w:numId w:val="146"/>
        </w:numPr>
      </w:pPr>
      <w:bookmarkStart w:id="354" w:name="_Toc427519724"/>
      <w:bookmarkStart w:id="355" w:name="_Toc465423870"/>
      <w:bookmarkStart w:id="356" w:name="_Toc491267561"/>
      <w:bookmarkStart w:id="357" w:name="_Toc505616476"/>
      <w:bookmarkStart w:id="358" w:name="_Toc515981071"/>
      <w:bookmarkStart w:id="359" w:name="_Toc535396958"/>
      <w:bookmarkStart w:id="360" w:name="_Toc11158358"/>
      <w:bookmarkStart w:id="361" w:name="_Toc51072580"/>
      <w:r>
        <w:t>7</w:t>
      </w:r>
      <w:r w:rsidRPr="003E743A">
        <w:t>.1.1. Conditions naturelles susceptibles de provoquer ou d’aggraver un accident</w:t>
      </w:r>
      <w:bookmarkEnd w:id="354"/>
      <w:bookmarkEnd w:id="355"/>
      <w:bookmarkEnd w:id="356"/>
      <w:bookmarkEnd w:id="357"/>
      <w:bookmarkEnd w:id="358"/>
      <w:bookmarkEnd w:id="359"/>
      <w:bookmarkEnd w:id="360"/>
      <w:bookmarkEnd w:id="361"/>
    </w:p>
    <w:p w:rsidR="00764FFF" w:rsidRDefault="00764FFF" w:rsidP="00764FFF">
      <w:pPr>
        <w:spacing w:after="0" w:line="276" w:lineRule="auto"/>
        <w:ind w:left="-288" w:right="-936"/>
        <w:jc w:val="both"/>
        <w:rPr>
          <w:rFonts w:ascii="Times New Roman" w:hAnsi="Times New Roman"/>
          <w:sz w:val="24"/>
          <w:szCs w:val="24"/>
          <w:lang w:bidi="en-US"/>
        </w:rPr>
      </w:pPr>
    </w:p>
    <w:p w:rsidR="00764FFF" w:rsidRPr="003130A9" w:rsidRDefault="00764FFF" w:rsidP="00764FFF">
      <w:pPr>
        <w:spacing w:after="200" w:line="276" w:lineRule="auto"/>
        <w:ind w:left="-284" w:right="-942"/>
        <w:jc w:val="both"/>
        <w:rPr>
          <w:rFonts w:ascii="Times New Roman" w:hAnsi="Times New Roman"/>
          <w:sz w:val="24"/>
          <w:szCs w:val="24"/>
          <w:lang w:bidi="en-US"/>
        </w:rPr>
      </w:pPr>
      <w:r w:rsidRPr="003130A9">
        <w:rPr>
          <w:rFonts w:ascii="Times New Roman" w:hAnsi="Times New Roman"/>
          <w:sz w:val="24"/>
          <w:szCs w:val="24"/>
          <w:lang w:bidi="en-US"/>
        </w:rPr>
        <w:t>Nous entendons par conditions naturelles, tous les événements non contrôlés par l’activité humaine. Ces éléments peuvent présenter, dans certaines conditions, un risque notable vis-à-vis des installations. Les conditions météorologiques peuvent agir comme agresseur des installations des décharges maîtrisées et par conséquent constituer des sources de danger.</w:t>
      </w:r>
    </w:p>
    <w:p w:rsidR="00764FFF" w:rsidRPr="003130A9" w:rsidRDefault="00764FFF" w:rsidP="00FA3FAE">
      <w:pPr>
        <w:pStyle w:val="Listecouleur-Accent11"/>
        <w:numPr>
          <w:ilvl w:val="0"/>
          <w:numId w:val="93"/>
        </w:numPr>
        <w:spacing w:after="200" w:line="276" w:lineRule="auto"/>
        <w:ind w:right="-711"/>
        <w:rPr>
          <w:rFonts w:ascii="Times New Roman" w:hAnsi="Times New Roman"/>
          <w:b/>
          <w:sz w:val="24"/>
          <w:szCs w:val="24"/>
          <w:lang w:val="fr-FR"/>
        </w:rPr>
      </w:pPr>
      <w:bookmarkStart w:id="362" w:name="_Toc427519726"/>
      <w:r w:rsidRPr="003130A9">
        <w:rPr>
          <w:rFonts w:ascii="Times New Roman" w:hAnsi="Times New Roman"/>
          <w:b/>
          <w:sz w:val="24"/>
          <w:szCs w:val="24"/>
          <w:lang w:val="fr-FR"/>
        </w:rPr>
        <w:t>Le relief</w:t>
      </w:r>
      <w:bookmarkEnd w:id="362"/>
      <w:r w:rsidRPr="003130A9">
        <w:rPr>
          <w:rFonts w:ascii="Times New Roman" w:hAnsi="Times New Roman"/>
          <w:b/>
          <w:sz w:val="24"/>
          <w:szCs w:val="24"/>
          <w:lang w:val="fr-FR"/>
        </w:rPr>
        <w:t> </w:t>
      </w:r>
    </w:p>
    <w:p w:rsidR="00764FFF" w:rsidRPr="003E743A" w:rsidRDefault="00764FFF" w:rsidP="00764FFF">
      <w:pPr>
        <w:tabs>
          <w:tab w:val="left" w:pos="-720"/>
        </w:tabs>
        <w:suppressAutoHyphens/>
        <w:overflowPunct w:val="0"/>
        <w:autoSpaceDE w:val="0"/>
        <w:autoSpaceDN w:val="0"/>
        <w:adjustRightInd w:val="0"/>
        <w:spacing w:after="0" w:line="276" w:lineRule="auto"/>
        <w:ind w:left="-284" w:right="-942"/>
        <w:jc w:val="both"/>
        <w:rPr>
          <w:rFonts w:ascii="Times New Roman" w:eastAsia="Times New Roman" w:hAnsi="Times New Roman"/>
          <w:spacing w:val="-3"/>
          <w:sz w:val="24"/>
          <w:szCs w:val="24"/>
          <w:lang w:eastAsia="fr-FR"/>
        </w:rPr>
      </w:pPr>
      <w:r w:rsidRPr="003E743A">
        <w:rPr>
          <w:rFonts w:ascii="Times New Roman" w:eastAsia="Times New Roman" w:hAnsi="Times New Roman"/>
          <w:spacing w:val="-3"/>
          <w:sz w:val="24"/>
          <w:szCs w:val="24"/>
          <w:lang w:eastAsia="fr-FR"/>
        </w:rPr>
        <w:t>Le relief dans ces sites est généralement plat, cependant on peut noter en quelques endroits des paysages peu accidentés avec la présence de contrebas qui alternent avec les plateaux.</w:t>
      </w:r>
    </w:p>
    <w:p w:rsidR="00764FFF" w:rsidRPr="003E743A" w:rsidRDefault="00764FFF" w:rsidP="00764FFF">
      <w:pPr>
        <w:ind w:left="-284" w:right="-942"/>
        <w:jc w:val="both"/>
        <w:rPr>
          <w:rFonts w:ascii="Times New Roman" w:hAnsi="Times New Roman"/>
          <w:b/>
          <w:sz w:val="24"/>
          <w:szCs w:val="24"/>
        </w:rPr>
      </w:pPr>
      <w:bookmarkStart w:id="363" w:name="_Toc427519727"/>
      <w:r w:rsidRPr="003E743A">
        <w:rPr>
          <w:rFonts w:ascii="Times New Roman" w:hAnsi="Times New Roman"/>
          <w:sz w:val="24"/>
          <w:szCs w:val="24"/>
        </w:rPr>
        <w:t>La prise en compte de cette réalité est importante dans l’implantation des bases vie des différents chantiers.</w:t>
      </w:r>
    </w:p>
    <w:p w:rsidR="00764FFF" w:rsidRPr="003130A9" w:rsidRDefault="00764FFF" w:rsidP="00FA3FAE">
      <w:pPr>
        <w:pStyle w:val="Listecouleur-Accent11"/>
        <w:numPr>
          <w:ilvl w:val="0"/>
          <w:numId w:val="93"/>
        </w:numPr>
        <w:spacing w:after="200" w:line="276" w:lineRule="auto"/>
        <w:ind w:right="-711"/>
        <w:rPr>
          <w:rFonts w:ascii="Times New Roman" w:hAnsi="Times New Roman"/>
          <w:b/>
          <w:sz w:val="24"/>
          <w:szCs w:val="24"/>
          <w:lang w:val="fr-FR"/>
        </w:rPr>
      </w:pPr>
      <w:bookmarkStart w:id="364" w:name="_Toc427519728"/>
      <w:bookmarkEnd w:id="363"/>
      <w:r w:rsidRPr="003130A9">
        <w:rPr>
          <w:rFonts w:ascii="Times New Roman" w:hAnsi="Times New Roman"/>
          <w:b/>
          <w:sz w:val="24"/>
          <w:szCs w:val="24"/>
          <w:lang w:val="fr-FR"/>
        </w:rPr>
        <w:t>Menaces extérieures naturelles</w:t>
      </w:r>
      <w:bookmarkEnd w:id="364"/>
      <w:r w:rsidRPr="003130A9">
        <w:rPr>
          <w:rFonts w:ascii="Times New Roman" w:hAnsi="Times New Roman"/>
          <w:b/>
          <w:sz w:val="24"/>
          <w:szCs w:val="24"/>
          <w:lang w:val="fr-FR"/>
        </w:rPr>
        <w:t> </w:t>
      </w:r>
    </w:p>
    <w:p w:rsidR="00764FFF" w:rsidRPr="003E743A" w:rsidRDefault="00764FFF" w:rsidP="00764FFF">
      <w:pPr>
        <w:ind w:left="-284" w:right="-942"/>
        <w:jc w:val="both"/>
        <w:rPr>
          <w:rFonts w:ascii="Times New Roman" w:hAnsi="Times New Roman"/>
          <w:sz w:val="24"/>
          <w:szCs w:val="24"/>
        </w:rPr>
      </w:pPr>
      <w:r w:rsidRPr="003E743A">
        <w:rPr>
          <w:rFonts w:ascii="Times New Roman" w:hAnsi="Times New Roman"/>
          <w:b/>
          <w:sz w:val="24"/>
          <w:szCs w:val="24"/>
          <w:u w:val="single"/>
        </w:rPr>
        <w:t>Inondations :</w:t>
      </w:r>
      <w:r w:rsidRPr="003E743A">
        <w:rPr>
          <w:rFonts w:ascii="Times New Roman" w:hAnsi="Times New Roman"/>
          <w:sz w:val="24"/>
          <w:szCs w:val="24"/>
        </w:rPr>
        <w:t xml:space="preserve"> Le risque est très important vu la nature des sols et la topographie locale de Biombo et Bissau.</w:t>
      </w:r>
    </w:p>
    <w:p w:rsidR="00764FFF" w:rsidRPr="003130A9" w:rsidRDefault="00764FFF" w:rsidP="00764FFF">
      <w:pPr>
        <w:spacing w:line="276" w:lineRule="auto"/>
        <w:ind w:left="-284" w:right="-942"/>
        <w:jc w:val="both"/>
        <w:rPr>
          <w:rFonts w:ascii="Times New Roman" w:hAnsi="Times New Roman"/>
          <w:sz w:val="24"/>
          <w:szCs w:val="24"/>
          <w:lang w:bidi="en-US"/>
        </w:rPr>
      </w:pPr>
      <w:r w:rsidRPr="003E743A">
        <w:rPr>
          <w:rFonts w:ascii="Times New Roman" w:hAnsi="Times New Roman"/>
          <w:b/>
          <w:sz w:val="24"/>
          <w:szCs w:val="24"/>
          <w:u w:val="single"/>
        </w:rPr>
        <w:lastRenderedPageBreak/>
        <w:t>Foudre :</w:t>
      </w:r>
      <w:r w:rsidRPr="003E743A">
        <w:rPr>
          <w:rFonts w:ascii="Times New Roman" w:hAnsi="Times New Roman"/>
          <w:sz w:val="24"/>
          <w:szCs w:val="24"/>
        </w:rPr>
        <w:t xml:space="preserve"> </w:t>
      </w:r>
      <w:r w:rsidRPr="003130A9">
        <w:rPr>
          <w:rFonts w:ascii="Times New Roman" w:hAnsi="Times New Roman"/>
          <w:sz w:val="24"/>
          <w:szCs w:val="24"/>
          <w:lang w:bidi="en-US"/>
        </w:rPr>
        <w:t>Le risque lié à la foudre est bien présent dans la zone du projet. La décharge de foudre est l’une des sources d’inflammation reconnues. L’existence de paratonnerre sur le site peut aider à minimiser ce risque d’incendie lié à la foudre.</w:t>
      </w:r>
    </w:p>
    <w:p w:rsidR="00764FFF" w:rsidRPr="003E743A" w:rsidRDefault="000B6EDB" w:rsidP="00764FFF">
      <w:pPr>
        <w:ind w:left="-284" w:right="-942"/>
        <w:jc w:val="both"/>
        <w:rPr>
          <w:rFonts w:ascii="Times New Roman" w:hAnsi="Times New Roman"/>
          <w:b/>
          <w:sz w:val="24"/>
          <w:szCs w:val="24"/>
          <w:u w:val="single"/>
        </w:rPr>
      </w:pPr>
      <w:r>
        <w:rPr>
          <w:rFonts w:ascii="Times New Roman" w:hAnsi="Times New Roman"/>
          <w:b/>
          <w:sz w:val="24"/>
          <w:szCs w:val="24"/>
          <w:u w:val="single"/>
        </w:rPr>
        <w:t>P</w:t>
      </w:r>
      <w:r w:rsidR="00764FFF" w:rsidRPr="003E743A">
        <w:rPr>
          <w:rFonts w:ascii="Times New Roman" w:hAnsi="Times New Roman"/>
          <w:b/>
          <w:sz w:val="24"/>
          <w:szCs w:val="24"/>
          <w:u w:val="single"/>
        </w:rPr>
        <w:t xml:space="preserve">luies : </w:t>
      </w:r>
      <w:r w:rsidR="00764FFF" w:rsidRPr="003E743A">
        <w:rPr>
          <w:rFonts w:ascii="Times New Roman" w:hAnsi="Times New Roman"/>
          <w:sz w:val="24"/>
          <w:szCs w:val="24"/>
        </w:rPr>
        <w:t xml:space="preserve">Les pluies pourraient </w:t>
      </w:r>
      <w:r w:rsidR="00764FFF">
        <w:rPr>
          <w:rFonts w:ascii="Times New Roman" w:hAnsi="Times New Roman"/>
          <w:sz w:val="24"/>
          <w:szCs w:val="24"/>
        </w:rPr>
        <w:t xml:space="preserve">causer </w:t>
      </w:r>
      <w:r w:rsidR="00764FFF" w:rsidRPr="003E743A">
        <w:rPr>
          <w:rFonts w:ascii="Times New Roman" w:hAnsi="Times New Roman"/>
          <w:sz w:val="24"/>
          <w:szCs w:val="24"/>
        </w:rPr>
        <w:t xml:space="preserve">des inondations dans les zones du projet. </w:t>
      </w:r>
    </w:p>
    <w:p w:rsidR="00764FFF" w:rsidRPr="003E743A" w:rsidRDefault="00764FFF" w:rsidP="00764FFF">
      <w:pPr>
        <w:ind w:left="-284" w:right="-942"/>
        <w:jc w:val="both"/>
        <w:rPr>
          <w:rFonts w:ascii="Times New Roman" w:hAnsi="Times New Roman"/>
          <w:b/>
          <w:sz w:val="24"/>
          <w:szCs w:val="24"/>
          <w:u w:val="single"/>
        </w:rPr>
      </w:pPr>
      <w:bookmarkStart w:id="365" w:name="_Toc427519729"/>
      <w:r w:rsidRPr="003E743A">
        <w:rPr>
          <w:rFonts w:ascii="Times New Roman" w:hAnsi="Times New Roman"/>
          <w:b/>
          <w:sz w:val="24"/>
          <w:szCs w:val="24"/>
          <w:u w:val="single"/>
        </w:rPr>
        <w:t>Proximités dangereuses et zones à protéger</w:t>
      </w:r>
      <w:bookmarkEnd w:id="365"/>
      <w:r w:rsidRPr="003E743A">
        <w:rPr>
          <w:rFonts w:ascii="Times New Roman" w:hAnsi="Times New Roman"/>
          <w:b/>
          <w:sz w:val="24"/>
          <w:szCs w:val="24"/>
          <w:u w:val="single"/>
        </w:rPr>
        <w:t> :</w:t>
      </w:r>
      <w:r w:rsidRPr="003E743A">
        <w:rPr>
          <w:rFonts w:ascii="Times New Roman" w:hAnsi="Times New Roman"/>
          <w:b/>
          <w:sz w:val="24"/>
          <w:szCs w:val="24"/>
        </w:rPr>
        <w:t xml:space="preserve"> </w:t>
      </w:r>
      <w:r w:rsidRPr="003E743A">
        <w:rPr>
          <w:rFonts w:ascii="Times New Roman" w:hAnsi="Times New Roman"/>
          <w:sz w:val="24"/>
          <w:szCs w:val="24"/>
        </w:rPr>
        <w:t>Le projet s’exécute en milieu terrestre</w:t>
      </w:r>
      <w:r w:rsidR="00BE72A2">
        <w:rPr>
          <w:rFonts w:ascii="Times New Roman" w:hAnsi="Times New Roman"/>
          <w:sz w:val="24"/>
          <w:szCs w:val="24"/>
        </w:rPr>
        <w:t xml:space="preserve"> et plus précisément en milieu urbain</w:t>
      </w:r>
      <w:r w:rsidRPr="003E743A">
        <w:rPr>
          <w:rFonts w:ascii="Times New Roman" w:hAnsi="Times New Roman"/>
          <w:sz w:val="24"/>
          <w:szCs w:val="24"/>
        </w:rPr>
        <w:t xml:space="preserve">. Les différentes bases de chantier devront être </w:t>
      </w:r>
      <w:r w:rsidR="00BE72A2">
        <w:rPr>
          <w:rFonts w:ascii="Times New Roman" w:hAnsi="Times New Roman"/>
          <w:sz w:val="24"/>
          <w:szCs w:val="24"/>
        </w:rPr>
        <w:t>installées dans une zone exempté</w:t>
      </w:r>
      <w:r w:rsidRPr="003E743A">
        <w:rPr>
          <w:rFonts w:ascii="Times New Roman" w:hAnsi="Times New Roman"/>
          <w:sz w:val="24"/>
          <w:szCs w:val="24"/>
        </w:rPr>
        <w:t xml:space="preserve"> ou assez éloignée de tout habitat, de toute flore dense, des voies de circulation importante, afin qu’un accident n’ait aucun impact sur le milieu intervention du </w:t>
      </w:r>
      <w:r w:rsidR="00BE72A2">
        <w:rPr>
          <w:rFonts w:ascii="Times New Roman" w:hAnsi="Times New Roman"/>
          <w:sz w:val="24"/>
          <w:szCs w:val="24"/>
        </w:rPr>
        <w:t xml:space="preserve">sous </w:t>
      </w:r>
      <w:r w:rsidRPr="003E743A">
        <w:rPr>
          <w:rFonts w:ascii="Times New Roman" w:hAnsi="Times New Roman"/>
          <w:sz w:val="24"/>
          <w:szCs w:val="24"/>
        </w:rPr>
        <w:t>projet</w:t>
      </w:r>
      <w:r w:rsidR="00BE72A2">
        <w:rPr>
          <w:rFonts w:ascii="Times New Roman" w:hAnsi="Times New Roman"/>
          <w:sz w:val="24"/>
          <w:szCs w:val="24"/>
        </w:rPr>
        <w:t xml:space="preserve"> n°2</w:t>
      </w:r>
      <w:r w:rsidRPr="003E743A">
        <w:rPr>
          <w:rFonts w:ascii="Times New Roman" w:hAnsi="Times New Roman"/>
          <w:sz w:val="24"/>
          <w:szCs w:val="24"/>
        </w:rPr>
        <w:t xml:space="preserve">. </w:t>
      </w:r>
    </w:p>
    <w:p w:rsidR="00764FFF" w:rsidRPr="003E743A" w:rsidRDefault="00764FFF" w:rsidP="00FA3FAE">
      <w:pPr>
        <w:pStyle w:val="Listecouleur-Accent11"/>
        <w:numPr>
          <w:ilvl w:val="0"/>
          <w:numId w:val="93"/>
        </w:numPr>
        <w:spacing w:after="200" w:line="276" w:lineRule="auto"/>
        <w:ind w:right="-711"/>
        <w:rPr>
          <w:rFonts w:ascii="Times New Roman" w:hAnsi="Times New Roman"/>
          <w:b/>
          <w:sz w:val="24"/>
          <w:szCs w:val="24"/>
          <w:lang w:val="fr-FR"/>
        </w:rPr>
      </w:pPr>
      <w:bookmarkStart w:id="366" w:name="_Toc427519730"/>
      <w:r w:rsidRPr="003E743A">
        <w:rPr>
          <w:rFonts w:ascii="Times New Roman" w:hAnsi="Times New Roman"/>
          <w:b/>
          <w:sz w:val="24"/>
          <w:szCs w:val="24"/>
          <w:lang w:val="fr-FR"/>
        </w:rPr>
        <w:t>Autres menaces</w:t>
      </w:r>
      <w:bookmarkEnd w:id="366"/>
    </w:p>
    <w:p w:rsidR="00764FFF" w:rsidRPr="003E743A" w:rsidRDefault="00764FFF" w:rsidP="00764FFF">
      <w:pPr>
        <w:ind w:left="-284" w:right="-942"/>
        <w:jc w:val="both"/>
        <w:rPr>
          <w:rFonts w:ascii="Times New Roman" w:hAnsi="Times New Roman"/>
          <w:sz w:val="24"/>
          <w:szCs w:val="24"/>
        </w:rPr>
      </w:pPr>
      <w:r w:rsidRPr="003E743A">
        <w:rPr>
          <w:rFonts w:ascii="Times New Roman" w:hAnsi="Times New Roman"/>
          <w:b/>
          <w:sz w:val="24"/>
          <w:szCs w:val="24"/>
          <w:u w:val="single"/>
        </w:rPr>
        <w:t>Chute d’aéronef :</w:t>
      </w:r>
      <w:r w:rsidRPr="003E743A">
        <w:rPr>
          <w:rFonts w:ascii="Times New Roman" w:hAnsi="Times New Roman"/>
          <w:i/>
          <w:sz w:val="24"/>
          <w:szCs w:val="24"/>
        </w:rPr>
        <w:t xml:space="preserve"> </w:t>
      </w:r>
      <w:r w:rsidRPr="003E743A">
        <w:rPr>
          <w:rFonts w:ascii="Times New Roman" w:hAnsi="Times New Roman"/>
          <w:sz w:val="24"/>
          <w:szCs w:val="24"/>
        </w:rPr>
        <w:t>risque peu probable ; malgré la présence de l’aéroport de Bissau.</w:t>
      </w:r>
    </w:p>
    <w:p w:rsidR="00764FFF" w:rsidRPr="003E743A" w:rsidRDefault="00764FFF" w:rsidP="00764FFF">
      <w:pPr>
        <w:ind w:left="-284" w:right="-942"/>
        <w:jc w:val="both"/>
        <w:rPr>
          <w:rFonts w:ascii="Times New Roman" w:hAnsi="Times New Roman"/>
          <w:sz w:val="24"/>
          <w:szCs w:val="24"/>
        </w:rPr>
      </w:pPr>
      <w:r w:rsidRPr="003E743A">
        <w:rPr>
          <w:rFonts w:ascii="Times New Roman" w:hAnsi="Times New Roman"/>
          <w:b/>
          <w:sz w:val="24"/>
          <w:szCs w:val="24"/>
          <w:u w:val="single"/>
        </w:rPr>
        <w:t>Malveillance :</w:t>
      </w:r>
      <w:r w:rsidRPr="003E743A">
        <w:rPr>
          <w:rFonts w:ascii="Times New Roman" w:hAnsi="Times New Roman"/>
          <w:sz w:val="24"/>
          <w:szCs w:val="24"/>
        </w:rPr>
        <w:t xml:space="preserve"> des risques possibles de brigandage dont l’Entreprise devra se prémunir par un service de sûreté efficace de jour comme de nuit.</w:t>
      </w:r>
    </w:p>
    <w:p w:rsidR="00764FFF" w:rsidRPr="003E743A" w:rsidRDefault="00764FFF" w:rsidP="00820701">
      <w:pPr>
        <w:pStyle w:val="Cabealho3"/>
        <w:numPr>
          <w:ilvl w:val="0"/>
          <w:numId w:val="146"/>
        </w:numPr>
      </w:pPr>
      <w:bookmarkStart w:id="367" w:name="_Toc491267560"/>
      <w:bookmarkStart w:id="368" w:name="_Toc505616475"/>
      <w:bookmarkStart w:id="369" w:name="_Toc515981070"/>
      <w:bookmarkStart w:id="370" w:name="_Toc535396959"/>
      <w:bookmarkStart w:id="371" w:name="_Toc11158359"/>
      <w:bookmarkStart w:id="372" w:name="_Toc51072581"/>
      <w:r>
        <w:t>7</w:t>
      </w:r>
      <w:r w:rsidRPr="003E743A">
        <w:t xml:space="preserve">.1.2. </w:t>
      </w:r>
      <w:r>
        <w:t>I</w:t>
      </w:r>
      <w:r w:rsidRPr="003E743A">
        <w:t xml:space="preserve">dentification </w:t>
      </w:r>
      <w:r>
        <w:t>d</w:t>
      </w:r>
      <w:r w:rsidRPr="003E743A">
        <w:t>es risques professionnels</w:t>
      </w:r>
      <w:bookmarkEnd w:id="367"/>
      <w:bookmarkEnd w:id="368"/>
      <w:bookmarkEnd w:id="369"/>
      <w:bookmarkEnd w:id="370"/>
      <w:bookmarkEnd w:id="371"/>
      <w:bookmarkEnd w:id="372"/>
    </w:p>
    <w:p w:rsidR="00764FFF" w:rsidRDefault="00764FFF" w:rsidP="00764FFF">
      <w:pPr>
        <w:spacing w:after="200" w:line="240" w:lineRule="auto"/>
        <w:ind w:left="-284" w:right="-942"/>
        <w:jc w:val="both"/>
        <w:rPr>
          <w:rFonts w:ascii="Times New Roman" w:hAnsi="Times New Roman"/>
          <w:sz w:val="24"/>
          <w:szCs w:val="24"/>
        </w:rPr>
      </w:pPr>
      <w:r w:rsidRPr="003E743A">
        <w:rPr>
          <w:rFonts w:ascii="Times New Roman" w:hAnsi="Times New Roman"/>
          <w:sz w:val="24"/>
          <w:szCs w:val="24"/>
        </w:rPr>
        <w:t xml:space="preserve">Ce sera l’identification des risques d’accidents et de maladies professionnels auxquels les travailleurs seront exposés par rapport aux activités de </w:t>
      </w:r>
      <w:r w:rsidR="00BE72A2">
        <w:rPr>
          <w:rFonts w:ascii="Times New Roman" w:hAnsi="Times New Roman"/>
          <w:sz w:val="24"/>
          <w:szCs w:val="24"/>
        </w:rPr>
        <w:t xml:space="preserve">réalisation des réservoirs </w:t>
      </w:r>
      <w:r w:rsidRPr="003E743A">
        <w:rPr>
          <w:rFonts w:ascii="Times New Roman" w:hAnsi="Times New Roman"/>
          <w:sz w:val="24"/>
          <w:szCs w:val="24"/>
        </w:rPr>
        <w:t xml:space="preserve">mais aussi à l’exploitation, ce qui laisse présager les risques d’accident du personnel de chantier et </w:t>
      </w:r>
      <w:r>
        <w:rPr>
          <w:rFonts w:ascii="Times New Roman" w:hAnsi="Times New Roman"/>
          <w:sz w:val="24"/>
          <w:szCs w:val="24"/>
        </w:rPr>
        <w:t xml:space="preserve">des employés. </w:t>
      </w:r>
      <w:r w:rsidRPr="003E743A">
        <w:rPr>
          <w:rFonts w:ascii="Times New Roman" w:hAnsi="Times New Roman"/>
          <w:sz w:val="24"/>
          <w:szCs w:val="24"/>
        </w:rPr>
        <w:t xml:space="preserve">Ainsi il faudra les protéger par des mesures de prévention et de protection appropriées. </w:t>
      </w:r>
    </w:p>
    <w:p w:rsidR="00025185" w:rsidRDefault="00025185" w:rsidP="00764FFF">
      <w:pPr>
        <w:spacing w:after="200" w:line="240" w:lineRule="auto"/>
        <w:ind w:left="-284" w:right="-942"/>
        <w:jc w:val="both"/>
        <w:rPr>
          <w:rFonts w:ascii="Times New Roman" w:hAnsi="Times New Roman"/>
          <w:sz w:val="24"/>
          <w:szCs w:val="24"/>
        </w:rPr>
      </w:pPr>
    </w:p>
    <w:p w:rsidR="00025185" w:rsidRDefault="00025185" w:rsidP="00764FFF">
      <w:pPr>
        <w:spacing w:after="200" w:line="240" w:lineRule="auto"/>
        <w:ind w:left="-284" w:right="-942"/>
        <w:jc w:val="both"/>
        <w:rPr>
          <w:rFonts w:ascii="Times New Roman" w:hAnsi="Times New Roman"/>
          <w:sz w:val="24"/>
          <w:szCs w:val="24"/>
        </w:rPr>
      </w:pPr>
    </w:p>
    <w:p w:rsidR="00025185" w:rsidRDefault="00025185" w:rsidP="00764FFF">
      <w:pPr>
        <w:spacing w:after="200" w:line="240" w:lineRule="auto"/>
        <w:ind w:left="-284" w:right="-942"/>
        <w:jc w:val="both"/>
        <w:rPr>
          <w:rFonts w:ascii="Times New Roman" w:hAnsi="Times New Roman"/>
          <w:sz w:val="24"/>
          <w:szCs w:val="24"/>
        </w:rPr>
      </w:pPr>
    </w:p>
    <w:p w:rsidR="00025185" w:rsidRDefault="00025185" w:rsidP="00764FFF">
      <w:pPr>
        <w:spacing w:after="200" w:line="240" w:lineRule="auto"/>
        <w:ind w:left="-284" w:right="-942"/>
        <w:jc w:val="both"/>
        <w:rPr>
          <w:rFonts w:ascii="Times New Roman" w:hAnsi="Times New Roman"/>
          <w:sz w:val="24"/>
          <w:szCs w:val="24"/>
        </w:rPr>
      </w:pPr>
    </w:p>
    <w:p w:rsidR="00025185" w:rsidRDefault="00025185" w:rsidP="00764FFF">
      <w:pPr>
        <w:spacing w:after="200" w:line="240" w:lineRule="auto"/>
        <w:ind w:left="-284" w:right="-942"/>
        <w:jc w:val="both"/>
        <w:rPr>
          <w:rFonts w:ascii="Times New Roman" w:hAnsi="Times New Roman"/>
          <w:sz w:val="24"/>
          <w:szCs w:val="24"/>
        </w:rPr>
      </w:pPr>
    </w:p>
    <w:p w:rsidR="00025185" w:rsidRDefault="00025185" w:rsidP="00764FFF">
      <w:pPr>
        <w:spacing w:after="200" w:line="240" w:lineRule="auto"/>
        <w:ind w:left="-284" w:right="-942"/>
        <w:jc w:val="both"/>
        <w:rPr>
          <w:rFonts w:ascii="Times New Roman" w:hAnsi="Times New Roman"/>
          <w:sz w:val="24"/>
          <w:szCs w:val="24"/>
        </w:rPr>
      </w:pPr>
    </w:p>
    <w:p w:rsidR="00025185" w:rsidRDefault="00025185" w:rsidP="00764FFF">
      <w:pPr>
        <w:spacing w:after="200" w:line="240" w:lineRule="auto"/>
        <w:ind w:left="-284" w:right="-942"/>
        <w:jc w:val="both"/>
        <w:rPr>
          <w:rFonts w:ascii="Times New Roman" w:hAnsi="Times New Roman"/>
          <w:sz w:val="24"/>
          <w:szCs w:val="24"/>
        </w:rPr>
      </w:pPr>
    </w:p>
    <w:p w:rsidR="00025185" w:rsidRDefault="00025185" w:rsidP="00764FFF">
      <w:pPr>
        <w:spacing w:after="200" w:line="240" w:lineRule="auto"/>
        <w:ind w:left="-284" w:right="-942"/>
        <w:jc w:val="both"/>
        <w:rPr>
          <w:rFonts w:ascii="Times New Roman" w:hAnsi="Times New Roman"/>
          <w:sz w:val="24"/>
          <w:szCs w:val="24"/>
        </w:rPr>
      </w:pPr>
    </w:p>
    <w:p w:rsidR="00025185" w:rsidRDefault="00025185" w:rsidP="00764FFF">
      <w:pPr>
        <w:spacing w:after="200" w:line="240" w:lineRule="auto"/>
        <w:ind w:left="-284" w:right="-942"/>
        <w:jc w:val="both"/>
        <w:rPr>
          <w:rFonts w:ascii="Times New Roman" w:hAnsi="Times New Roman"/>
          <w:sz w:val="24"/>
          <w:szCs w:val="24"/>
        </w:rPr>
      </w:pPr>
    </w:p>
    <w:p w:rsidR="00025185" w:rsidRDefault="00025185" w:rsidP="00764FFF">
      <w:pPr>
        <w:spacing w:after="200" w:line="240" w:lineRule="auto"/>
        <w:ind w:left="-284" w:right="-942"/>
        <w:jc w:val="both"/>
        <w:rPr>
          <w:rFonts w:ascii="Times New Roman" w:hAnsi="Times New Roman"/>
          <w:sz w:val="24"/>
          <w:szCs w:val="24"/>
        </w:rPr>
      </w:pPr>
    </w:p>
    <w:p w:rsidR="00025185" w:rsidRDefault="00025185" w:rsidP="00764FFF">
      <w:pPr>
        <w:spacing w:after="200" w:line="240" w:lineRule="auto"/>
        <w:ind w:left="-284" w:right="-942"/>
        <w:jc w:val="both"/>
        <w:rPr>
          <w:rFonts w:ascii="Times New Roman" w:hAnsi="Times New Roman"/>
          <w:sz w:val="24"/>
          <w:szCs w:val="24"/>
        </w:rPr>
      </w:pPr>
    </w:p>
    <w:p w:rsidR="00025185" w:rsidRDefault="00025185" w:rsidP="00764FFF">
      <w:pPr>
        <w:spacing w:after="200" w:line="240" w:lineRule="auto"/>
        <w:ind w:left="-284" w:right="-942"/>
        <w:jc w:val="both"/>
        <w:rPr>
          <w:rFonts w:ascii="Times New Roman" w:hAnsi="Times New Roman"/>
          <w:sz w:val="24"/>
          <w:szCs w:val="24"/>
        </w:rPr>
      </w:pPr>
    </w:p>
    <w:p w:rsidR="00025185" w:rsidRDefault="00025185" w:rsidP="00764FFF">
      <w:pPr>
        <w:spacing w:after="200" w:line="240" w:lineRule="auto"/>
        <w:ind w:left="-284" w:right="-942"/>
        <w:jc w:val="both"/>
        <w:rPr>
          <w:rFonts w:ascii="Times New Roman" w:hAnsi="Times New Roman"/>
          <w:sz w:val="24"/>
          <w:szCs w:val="24"/>
        </w:rPr>
      </w:pPr>
    </w:p>
    <w:p w:rsidR="00025185" w:rsidRDefault="00025185" w:rsidP="00764FFF">
      <w:pPr>
        <w:spacing w:after="200" w:line="240" w:lineRule="auto"/>
        <w:ind w:left="-284" w:right="-942"/>
        <w:jc w:val="both"/>
        <w:rPr>
          <w:rFonts w:ascii="Times New Roman" w:hAnsi="Times New Roman"/>
          <w:sz w:val="24"/>
          <w:szCs w:val="24"/>
        </w:rPr>
      </w:pPr>
    </w:p>
    <w:p w:rsidR="00025185" w:rsidRDefault="00025185" w:rsidP="008D7CFC">
      <w:pPr>
        <w:spacing w:after="200" w:line="240" w:lineRule="auto"/>
        <w:ind w:right="-942"/>
        <w:jc w:val="both"/>
        <w:rPr>
          <w:rFonts w:ascii="Times New Roman" w:hAnsi="Times New Roman"/>
          <w:sz w:val="24"/>
          <w:szCs w:val="24"/>
        </w:rPr>
        <w:sectPr w:rsidR="00025185" w:rsidSect="00764FFF">
          <w:pgSz w:w="12240" w:h="15840"/>
          <w:pgMar w:top="1417" w:right="1417" w:bottom="1417" w:left="1417" w:header="720" w:footer="720" w:gutter="0"/>
          <w:cols w:space="720"/>
          <w:noEndnote/>
          <w:docGrid w:linePitch="299"/>
        </w:sectPr>
      </w:pPr>
    </w:p>
    <w:p w:rsidR="00025185" w:rsidRPr="00BA3EE1" w:rsidRDefault="00BA3EE1" w:rsidP="00BA3EE1">
      <w:pPr>
        <w:jc w:val="center"/>
        <w:rPr>
          <w:rFonts w:ascii="Times New Roman" w:hAnsi="Times New Roman" w:cs="Times New Roman"/>
          <w:b/>
          <w:sz w:val="20"/>
          <w:szCs w:val="20"/>
        </w:rPr>
      </w:pPr>
      <w:bookmarkStart w:id="373" w:name="_Toc51074013"/>
      <w:r w:rsidRPr="00BA3EE1">
        <w:rPr>
          <w:rFonts w:ascii="Times New Roman" w:hAnsi="Times New Roman" w:cs="Times New Roman"/>
          <w:b/>
          <w:sz w:val="20"/>
          <w:szCs w:val="20"/>
        </w:rPr>
        <w:lastRenderedPageBreak/>
        <w:t xml:space="preserve">Tableau </w:t>
      </w:r>
      <w:r w:rsidRPr="00BA3EE1">
        <w:rPr>
          <w:rFonts w:ascii="Times New Roman" w:hAnsi="Times New Roman" w:cs="Times New Roman"/>
          <w:b/>
          <w:sz w:val="20"/>
          <w:szCs w:val="20"/>
        </w:rPr>
        <w:fldChar w:fldCharType="begin"/>
      </w:r>
      <w:r w:rsidRPr="00BA3EE1">
        <w:rPr>
          <w:rFonts w:ascii="Times New Roman" w:hAnsi="Times New Roman" w:cs="Times New Roman"/>
          <w:b/>
          <w:sz w:val="20"/>
          <w:szCs w:val="20"/>
        </w:rPr>
        <w:instrText xml:space="preserve"> SEQ Tableau \* ARABIC </w:instrText>
      </w:r>
      <w:r w:rsidRPr="00BA3EE1">
        <w:rPr>
          <w:rFonts w:ascii="Times New Roman" w:hAnsi="Times New Roman" w:cs="Times New Roman"/>
          <w:b/>
          <w:sz w:val="20"/>
          <w:szCs w:val="20"/>
        </w:rPr>
        <w:fldChar w:fldCharType="separate"/>
      </w:r>
      <w:r w:rsidR="00820701">
        <w:rPr>
          <w:rFonts w:ascii="Times New Roman" w:hAnsi="Times New Roman" w:cs="Times New Roman"/>
          <w:b/>
          <w:noProof/>
          <w:sz w:val="20"/>
          <w:szCs w:val="20"/>
        </w:rPr>
        <w:t>22</w:t>
      </w:r>
      <w:r w:rsidRPr="00BA3EE1">
        <w:rPr>
          <w:rFonts w:ascii="Times New Roman" w:hAnsi="Times New Roman" w:cs="Times New Roman"/>
          <w:b/>
          <w:sz w:val="20"/>
          <w:szCs w:val="20"/>
        </w:rPr>
        <w:fldChar w:fldCharType="end"/>
      </w:r>
      <w:r w:rsidRPr="00BA3EE1">
        <w:rPr>
          <w:rFonts w:ascii="Times New Roman" w:hAnsi="Times New Roman" w:cs="Times New Roman"/>
          <w:b/>
          <w:sz w:val="20"/>
          <w:szCs w:val="20"/>
        </w:rPr>
        <w:t>: Identification des risques professionnels</w:t>
      </w:r>
      <w:bookmarkEnd w:id="373"/>
    </w:p>
    <w:tbl>
      <w:tblPr>
        <w:tblStyle w:val="Tabelacomgrelha"/>
        <w:tblW w:w="14885" w:type="dxa"/>
        <w:tblInd w:w="-856" w:type="dxa"/>
        <w:tblLayout w:type="fixed"/>
        <w:tblLook w:val="04A0" w:firstRow="1" w:lastRow="0" w:firstColumn="1" w:lastColumn="0" w:noHBand="0" w:noVBand="1"/>
      </w:tblPr>
      <w:tblGrid>
        <w:gridCol w:w="1702"/>
        <w:gridCol w:w="5812"/>
        <w:gridCol w:w="7371"/>
      </w:tblGrid>
      <w:tr w:rsidR="00025185" w:rsidTr="00C874C2">
        <w:tc>
          <w:tcPr>
            <w:tcW w:w="1702" w:type="dxa"/>
            <w:shd w:val="clear" w:color="auto" w:fill="002060"/>
            <w:vAlign w:val="center"/>
          </w:tcPr>
          <w:p w:rsidR="00025185" w:rsidRPr="00C874C2" w:rsidRDefault="00C874C2" w:rsidP="00C874C2">
            <w:pPr>
              <w:ind w:right="28"/>
              <w:jc w:val="center"/>
              <w:rPr>
                <w:rFonts w:ascii="Times New Roman" w:hAnsi="Times New Roman"/>
                <w:b/>
                <w:sz w:val="24"/>
                <w:szCs w:val="24"/>
              </w:rPr>
            </w:pPr>
            <w:r>
              <w:rPr>
                <w:rFonts w:ascii="Times New Roman" w:hAnsi="Times New Roman"/>
                <w:b/>
                <w:sz w:val="24"/>
                <w:szCs w:val="24"/>
              </w:rPr>
              <w:t>R</w:t>
            </w:r>
            <w:r w:rsidR="00025185" w:rsidRPr="00C874C2">
              <w:rPr>
                <w:rFonts w:ascii="Times New Roman" w:hAnsi="Times New Roman"/>
                <w:b/>
                <w:sz w:val="24"/>
                <w:szCs w:val="24"/>
              </w:rPr>
              <w:t>isques professionnels</w:t>
            </w:r>
          </w:p>
        </w:tc>
        <w:tc>
          <w:tcPr>
            <w:tcW w:w="5812" w:type="dxa"/>
            <w:shd w:val="clear" w:color="auto" w:fill="002060"/>
            <w:vAlign w:val="center"/>
          </w:tcPr>
          <w:p w:rsidR="00025185" w:rsidRPr="00C874C2" w:rsidRDefault="00025185" w:rsidP="00C874C2">
            <w:pPr>
              <w:tabs>
                <w:tab w:val="left" w:pos="1273"/>
              </w:tabs>
              <w:jc w:val="center"/>
              <w:rPr>
                <w:rFonts w:ascii="Times New Roman" w:hAnsi="Times New Roman"/>
                <w:b/>
                <w:sz w:val="24"/>
                <w:szCs w:val="24"/>
              </w:rPr>
            </w:pPr>
            <w:r w:rsidRPr="00C874C2">
              <w:rPr>
                <w:rFonts w:ascii="Times New Roman" w:hAnsi="Times New Roman"/>
                <w:b/>
                <w:sz w:val="24"/>
                <w:szCs w:val="24"/>
              </w:rPr>
              <w:t xml:space="preserve">Descriptions </w:t>
            </w:r>
          </w:p>
        </w:tc>
        <w:tc>
          <w:tcPr>
            <w:tcW w:w="7371" w:type="dxa"/>
            <w:shd w:val="clear" w:color="auto" w:fill="002060"/>
            <w:vAlign w:val="center"/>
          </w:tcPr>
          <w:p w:rsidR="00025185" w:rsidRPr="00C874C2" w:rsidRDefault="00025185" w:rsidP="00C874C2">
            <w:pPr>
              <w:jc w:val="center"/>
              <w:rPr>
                <w:rFonts w:ascii="Times New Roman" w:hAnsi="Times New Roman"/>
                <w:b/>
                <w:sz w:val="24"/>
                <w:szCs w:val="24"/>
              </w:rPr>
            </w:pPr>
            <w:r w:rsidRPr="00C874C2">
              <w:rPr>
                <w:rFonts w:ascii="Times New Roman" w:hAnsi="Times New Roman"/>
                <w:b/>
                <w:sz w:val="24"/>
                <w:szCs w:val="24"/>
              </w:rPr>
              <w:t>Mesures d’atténuation proposées</w:t>
            </w:r>
          </w:p>
        </w:tc>
      </w:tr>
      <w:tr w:rsidR="00025185" w:rsidTr="00C874C2">
        <w:tc>
          <w:tcPr>
            <w:tcW w:w="1702" w:type="dxa"/>
            <w:shd w:val="clear" w:color="auto" w:fill="F2F2F2" w:themeFill="background1" w:themeFillShade="F2"/>
            <w:vAlign w:val="center"/>
          </w:tcPr>
          <w:p w:rsidR="00025185" w:rsidRPr="00C874C2" w:rsidRDefault="00025185" w:rsidP="00C874C2">
            <w:pPr>
              <w:ind w:right="28"/>
              <w:jc w:val="center"/>
              <w:rPr>
                <w:rFonts w:ascii="Times New Roman" w:hAnsi="Times New Roman"/>
                <w:b/>
                <w:sz w:val="24"/>
                <w:szCs w:val="24"/>
              </w:rPr>
            </w:pPr>
            <w:r w:rsidRPr="00C874C2">
              <w:rPr>
                <w:rFonts w:ascii="Times New Roman" w:hAnsi="Times New Roman"/>
                <w:b/>
                <w:sz w:val="24"/>
                <w:szCs w:val="24"/>
              </w:rPr>
              <w:t>Risques liés aux manutentions</w:t>
            </w:r>
          </w:p>
        </w:tc>
        <w:tc>
          <w:tcPr>
            <w:tcW w:w="5812" w:type="dxa"/>
          </w:tcPr>
          <w:p w:rsidR="006143D6" w:rsidRPr="006143D6" w:rsidRDefault="006143D6" w:rsidP="00096E01">
            <w:pPr>
              <w:tabs>
                <w:tab w:val="left" w:pos="1273"/>
              </w:tabs>
              <w:jc w:val="both"/>
              <w:rPr>
                <w:rFonts w:ascii="Times New Roman" w:hAnsi="Times New Roman"/>
                <w:sz w:val="24"/>
                <w:szCs w:val="24"/>
              </w:rPr>
            </w:pPr>
            <w:r w:rsidRPr="006143D6">
              <w:rPr>
                <w:rFonts w:ascii="Times New Roman" w:hAnsi="Times New Roman"/>
                <w:sz w:val="24"/>
                <w:szCs w:val="24"/>
              </w:rPr>
              <w:t>La circulation des engins (manutention mécanisée) est souvent source de collision, de dérapage, de heurt, de coincement et d’écrasement.</w:t>
            </w:r>
          </w:p>
          <w:p w:rsidR="006143D6" w:rsidRPr="006143D6" w:rsidRDefault="006143D6" w:rsidP="00096E01">
            <w:pPr>
              <w:tabs>
                <w:tab w:val="left" w:pos="1273"/>
              </w:tabs>
              <w:jc w:val="both"/>
              <w:rPr>
                <w:rFonts w:ascii="Times New Roman" w:hAnsi="Times New Roman"/>
                <w:sz w:val="24"/>
                <w:szCs w:val="24"/>
              </w:rPr>
            </w:pPr>
            <w:r w:rsidRPr="006143D6">
              <w:rPr>
                <w:rFonts w:ascii="Times New Roman" w:hAnsi="Times New Roman"/>
                <w:sz w:val="24"/>
                <w:szCs w:val="24"/>
              </w:rPr>
              <w:t>La manutention manuelle est également source de blessures et de maladies professionnelles liées à des efforts physiques, des écrasements, des coincements, des chocs, des gestes répétitifs et des mauvaises postures, des manutentions de charges de masse unitaire élevée, charge éloignée du corps, faire les lits…</w:t>
            </w:r>
          </w:p>
          <w:p w:rsidR="00025185" w:rsidRDefault="006143D6" w:rsidP="00096E01">
            <w:pPr>
              <w:tabs>
                <w:tab w:val="left" w:pos="1273"/>
              </w:tabs>
              <w:jc w:val="both"/>
              <w:rPr>
                <w:rFonts w:ascii="Times New Roman" w:hAnsi="Times New Roman"/>
                <w:sz w:val="24"/>
                <w:szCs w:val="24"/>
              </w:rPr>
            </w:pPr>
            <w:r w:rsidRPr="006143D6">
              <w:rPr>
                <w:rFonts w:ascii="Times New Roman" w:hAnsi="Times New Roman"/>
                <w:sz w:val="24"/>
                <w:szCs w:val="24"/>
              </w:rPr>
              <w:t>La manutention des moteurs des engins et des voitures au niveau du bateau et terrestre peut engendre des bruits, qui à la longue peut mener à des situations sanitaires dangereuse au niveau de l’audition des travailleurs.</w:t>
            </w:r>
          </w:p>
        </w:tc>
        <w:tc>
          <w:tcPr>
            <w:tcW w:w="7371" w:type="dxa"/>
          </w:tcPr>
          <w:p w:rsidR="00C00BA3" w:rsidRPr="00C00BA3" w:rsidRDefault="00C00BA3" w:rsidP="00FA3FAE">
            <w:pPr>
              <w:pStyle w:val="PargrafodaLista"/>
              <w:numPr>
                <w:ilvl w:val="0"/>
                <w:numId w:val="147"/>
              </w:numPr>
              <w:spacing w:after="0" w:line="240" w:lineRule="auto"/>
              <w:ind w:left="183" w:hanging="183"/>
              <w:jc w:val="both"/>
              <w:rPr>
                <w:rFonts w:ascii="Times New Roman" w:hAnsi="Times New Roman"/>
                <w:sz w:val="24"/>
                <w:szCs w:val="24"/>
                <w:lang w:val="fr-FR"/>
              </w:rPr>
            </w:pPr>
            <w:r w:rsidRPr="00D13841">
              <w:rPr>
                <w:rFonts w:ascii="Times New Roman" w:hAnsi="Times New Roman"/>
                <w:iCs/>
                <w:sz w:val="24"/>
                <w:szCs w:val="24"/>
                <w:lang w:val="fr-FR"/>
              </w:rPr>
              <w:t>Afficher les consignes de sécurité sur le chantier</w:t>
            </w:r>
            <w:r>
              <w:rPr>
                <w:rFonts w:ascii="Times New Roman" w:hAnsi="Times New Roman"/>
                <w:iCs/>
                <w:sz w:val="24"/>
                <w:szCs w:val="24"/>
                <w:lang w:val="fr-FR"/>
              </w:rPr>
              <w:t> ;</w:t>
            </w:r>
          </w:p>
          <w:p w:rsidR="006143D6" w:rsidRPr="00096E01" w:rsidRDefault="006143D6" w:rsidP="00FA3FAE">
            <w:pPr>
              <w:pStyle w:val="PargrafodaLista"/>
              <w:numPr>
                <w:ilvl w:val="0"/>
                <w:numId w:val="147"/>
              </w:numPr>
              <w:spacing w:after="0" w:line="240" w:lineRule="auto"/>
              <w:ind w:left="183" w:hanging="183"/>
              <w:jc w:val="both"/>
              <w:rPr>
                <w:rFonts w:ascii="Times New Roman" w:hAnsi="Times New Roman"/>
                <w:sz w:val="24"/>
                <w:szCs w:val="24"/>
              </w:rPr>
            </w:pPr>
            <w:r w:rsidRPr="00096E01">
              <w:rPr>
                <w:rFonts w:ascii="Times New Roman" w:hAnsi="Times New Roman"/>
                <w:sz w:val="24"/>
                <w:szCs w:val="24"/>
              </w:rPr>
              <w:t>Porter les EPI (gants, chaussures de sécurité, casques) ;</w:t>
            </w:r>
          </w:p>
          <w:p w:rsidR="006143D6" w:rsidRPr="00096E01" w:rsidRDefault="006143D6" w:rsidP="00FA3FAE">
            <w:pPr>
              <w:pStyle w:val="PargrafodaLista"/>
              <w:numPr>
                <w:ilvl w:val="0"/>
                <w:numId w:val="147"/>
              </w:numPr>
              <w:spacing w:after="0" w:line="240" w:lineRule="auto"/>
              <w:ind w:left="183" w:hanging="183"/>
              <w:jc w:val="both"/>
              <w:rPr>
                <w:rFonts w:ascii="Times New Roman" w:hAnsi="Times New Roman"/>
                <w:sz w:val="24"/>
                <w:szCs w:val="24"/>
              </w:rPr>
            </w:pPr>
            <w:r w:rsidRPr="00096E01">
              <w:rPr>
                <w:rFonts w:ascii="Times New Roman" w:hAnsi="Times New Roman"/>
                <w:sz w:val="24"/>
                <w:szCs w:val="24"/>
              </w:rPr>
              <w:t>Entretenir régulièrement les engins ;</w:t>
            </w:r>
          </w:p>
          <w:p w:rsidR="006143D6" w:rsidRPr="00096E01" w:rsidRDefault="006143D6" w:rsidP="00FA3FAE">
            <w:pPr>
              <w:pStyle w:val="PargrafodaLista"/>
              <w:numPr>
                <w:ilvl w:val="0"/>
                <w:numId w:val="147"/>
              </w:numPr>
              <w:spacing w:after="0" w:line="240" w:lineRule="auto"/>
              <w:ind w:left="183" w:hanging="183"/>
              <w:jc w:val="both"/>
              <w:rPr>
                <w:rFonts w:ascii="Times New Roman" w:hAnsi="Times New Roman"/>
                <w:sz w:val="24"/>
                <w:szCs w:val="24"/>
              </w:rPr>
            </w:pPr>
            <w:r w:rsidRPr="00096E01">
              <w:rPr>
                <w:rFonts w:ascii="Times New Roman" w:hAnsi="Times New Roman"/>
                <w:sz w:val="24"/>
                <w:szCs w:val="24"/>
              </w:rPr>
              <w:t>Etablir un plan de circulation ;</w:t>
            </w:r>
          </w:p>
          <w:p w:rsidR="006143D6" w:rsidRPr="00096E01" w:rsidRDefault="006143D6" w:rsidP="00FA3FAE">
            <w:pPr>
              <w:pStyle w:val="PargrafodaLista"/>
              <w:numPr>
                <w:ilvl w:val="0"/>
                <w:numId w:val="147"/>
              </w:numPr>
              <w:spacing w:after="0" w:line="240" w:lineRule="auto"/>
              <w:ind w:left="183" w:hanging="183"/>
              <w:jc w:val="both"/>
              <w:rPr>
                <w:rFonts w:ascii="Times New Roman" w:hAnsi="Times New Roman"/>
                <w:sz w:val="24"/>
                <w:szCs w:val="24"/>
              </w:rPr>
            </w:pPr>
            <w:r w:rsidRPr="00096E01">
              <w:rPr>
                <w:rFonts w:ascii="Times New Roman" w:hAnsi="Times New Roman"/>
                <w:sz w:val="24"/>
                <w:szCs w:val="24"/>
              </w:rPr>
              <w:t>Bien arrimer les charges manutentionnées ;</w:t>
            </w:r>
          </w:p>
          <w:p w:rsidR="006143D6" w:rsidRPr="00096E01" w:rsidRDefault="006143D6" w:rsidP="00FA3FAE">
            <w:pPr>
              <w:pStyle w:val="PargrafodaLista"/>
              <w:numPr>
                <w:ilvl w:val="0"/>
                <w:numId w:val="147"/>
              </w:numPr>
              <w:spacing w:after="0" w:line="240" w:lineRule="auto"/>
              <w:ind w:left="183" w:hanging="183"/>
              <w:jc w:val="both"/>
              <w:rPr>
                <w:rFonts w:ascii="Times New Roman" w:hAnsi="Times New Roman"/>
                <w:sz w:val="24"/>
                <w:szCs w:val="24"/>
              </w:rPr>
            </w:pPr>
            <w:r w:rsidRPr="00096E01">
              <w:rPr>
                <w:rFonts w:ascii="Times New Roman" w:hAnsi="Times New Roman"/>
                <w:sz w:val="24"/>
                <w:szCs w:val="24"/>
              </w:rPr>
              <w:t>Entretenir des voies de circulation ;</w:t>
            </w:r>
          </w:p>
          <w:p w:rsidR="006143D6" w:rsidRPr="00096E01" w:rsidRDefault="006143D6" w:rsidP="00FA3FAE">
            <w:pPr>
              <w:pStyle w:val="PargrafodaLista"/>
              <w:numPr>
                <w:ilvl w:val="0"/>
                <w:numId w:val="147"/>
              </w:numPr>
              <w:spacing w:after="0" w:line="240" w:lineRule="auto"/>
              <w:ind w:left="183" w:hanging="183"/>
              <w:jc w:val="both"/>
              <w:rPr>
                <w:rFonts w:ascii="Times New Roman" w:hAnsi="Times New Roman"/>
                <w:sz w:val="24"/>
                <w:szCs w:val="24"/>
              </w:rPr>
            </w:pPr>
            <w:r w:rsidRPr="00096E01">
              <w:rPr>
                <w:rFonts w:ascii="Times New Roman" w:hAnsi="Times New Roman"/>
                <w:sz w:val="24"/>
                <w:szCs w:val="24"/>
              </w:rPr>
              <w:t xml:space="preserve">Utiliser les moyens de manutention comme les chariots à roulettes… ;  </w:t>
            </w:r>
          </w:p>
          <w:p w:rsidR="006143D6" w:rsidRPr="00096E01" w:rsidRDefault="006143D6" w:rsidP="00FA3FAE">
            <w:pPr>
              <w:pStyle w:val="PargrafodaLista"/>
              <w:numPr>
                <w:ilvl w:val="0"/>
                <w:numId w:val="147"/>
              </w:numPr>
              <w:spacing w:after="0" w:line="240" w:lineRule="auto"/>
              <w:ind w:left="183" w:hanging="183"/>
              <w:jc w:val="both"/>
              <w:rPr>
                <w:rFonts w:ascii="Times New Roman" w:hAnsi="Times New Roman"/>
                <w:sz w:val="24"/>
                <w:szCs w:val="24"/>
              </w:rPr>
            </w:pPr>
            <w:r w:rsidRPr="00096E01">
              <w:rPr>
                <w:rFonts w:ascii="Times New Roman" w:hAnsi="Times New Roman"/>
                <w:sz w:val="24"/>
                <w:szCs w:val="24"/>
              </w:rPr>
              <w:t>Former le personnel à la manutention ;</w:t>
            </w:r>
          </w:p>
          <w:p w:rsidR="006143D6" w:rsidRPr="00096E01" w:rsidRDefault="006143D6" w:rsidP="00FA3FAE">
            <w:pPr>
              <w:pStyle w:val="PargrafodaLista"/>
              <w:numPr>
                <w:ilvl w:val="0"/>
                <w:numId w:val="147"/>
              </w:numPr>
              <w:spacing w:after="0" w:line="240" w:lineRule="auto"/>
              <w:ind w:left="183" w:hanging="183"/>
              <w:jc w:val="both"/>
              <w:rPr>
                <w:rFonts w:ascii="Times New Roman" w:hAnsi="Times New Roman"/>
                <w:sz w:val="24"/>
                <w:szCs w:val="24"/>
              </w:rPr>
            </w:pPr>
            <w:r w:rsidRPr="00096E01">
              <w:rPr>
                <w:rFonts w:ascii="Times New Roman" w:hAnsi="Times New Roman"/>
                <w:sz w:val="24"/>
                <w:szCs w:val="24"/>
              </w:rPr>
              <w:t>Former le personnel à l’adoption des gestes et des postures appropriées ;</w:t>
            </w:r>
          </w:p>
          <w:p w:rsidR="006143D6" w:rsidRPr="00096E01" w:rsidRDefault="006143D6" w:rsidP="00FA3FAE">
            <w:pPr>
              <w:pStyle w:val="PargrafodaLista"/>
              <w:numPr>
                <w:ilvl w:val="0"/>
                <w:numId w:val="147"/>
              </w:numPr>
              <w:spacing w:after="0" w:line="240" w:lineRule="auto"/>
              <w:ind w:left="183" w:hanging="183"/>
              <w:jc w:val="both"/>
              <w:rPr>
                <w:rFonts w:ascii="Times New Roman" w:hAnsi="Times New Roman"/>
                <w:sz w:val="24"/>
                <w:szCs w:val="24"/>
              </w:rPr>
            </w:pPr>
            <w:r w:rsidRPr="00096E01">
              <w:rPr>
                <w:rFonts w:ascii="Times New Roman" w:hAnsi="Times New Roman"/>
                <w:sz w:val="24"/>
                <w:szCs w:val="24"/>
              </w:rPr>
              <w:t>Limiter les manutentions manuelles ;</w:t>
            </w:r>
          </w:p>
          <w:p w:rsidR="00025185" w:rsidRPr="00096E01" w:rsidRDefault="006143D6" w:rsidP="00FA3FAE">
            <w:pPr>
              <w:pStyle w:val="PargrafodaLista"/>
              <w:numPr>
                <w:ilvl w:val="0"/>
                <w:numId w:val="147"/>
              </w:numPr>
              <w:spacing w:after="0" w:line="240" w:lineRule="auto"/>
              <w:ind w:left="183" w:hanging="183"/>
              <w:jc w:val="both"/>
              <w:rPr>
                <w:rFonts w:ascii="Times New Roman" w:hAnsi="Times New Roman"/>
                <w:sz w:val="24"/>
                <w:szCs w:val="24"/>
              </w:rPr>
            </w:pPr>
            <w:r w:rsidRPr="00096E01">
              <w:rPr>
                <w:rFonts w:ascii="Times New Roman" w:hAnsi="Times New Roman"/>
                <w:sz w:val="24"/>
                <w:szCs w:val="24"/>
              </w:rPr>
              <w:t>Organiser les postes de travail pour supprimer ou diminuer les manutentions.</w:t>
            </w:r>
          </w:p>
        </w:tc>
      </w:tr>
      <w:tr w:rsidR="00025185" w:rsidTr="00C874C2">
        <w:tc>
          <w:tcPr>
            <w:tcW w:w="1702" w:type="dxa"/>
            <w:shd w:val="clear" w:color="auto" w:fill="F2F2F2" w:themeFill="background1" w:themeFillShade="F2"/>
            <w:vAlign w:val="center"/>
          </w:tcPr>
          <w:p w:rsidR="006143D6" w:rsidRPr="00C874C2" w:rsidRDefault="006143D6" w:rsidP="00C874C2">
            <w:pPr>
              <w:spacing w:after="200"/>
              <w:ind w:right="28"/>
              <w:jc w:val="center"/>
              <w:rPr>
                <w:rFonts w:ascii="Times New Roman" w:hAnsi="Times New Roman"/>
                <w:b/>
                <w:sz w:val="24"/>
                <w:szCs w:val="24"/>
              </w:rPr>
            </w:pPr>
            <w:bookmarkStart w:id="374" w:name="_Toc491267563"/>
            <w:bookmarkStart w:id="375" w:name="_Toc505616478"/>
            <w:bookmarkStart w:id="376" w:name="_Toc515981073"/>
            <w:bookmarkStart w:id="377" w:name="_Toc532301149"/>
            <w:bookmarkStart w:id="378" w:name="_Toc532301555"/>
            <w:r w:rsidRPr="00C874C2">
              <w:rPr>
                <w:rFonts w:ascii="Times New Roman" w:hAnsi="Times New Roman"/>
                <w:b/>
                <w:sz w:val="24"/>
                <w:szCs w:val="24"/>
              </w:rPr>
              <w:t>Risques de chutes de plein pied</w:t>
            </w:r>
            <w:bookmarkEnd w:id="374"/>
            <w:bookmarkEnd w:id="375"/>
            <w:bookmarkEnd w:id="376"/>
            <w:bookmarkEnd w:id="377"/>
            <w:bookmarkEnd w:id="378"/>
          </w:p>
          <w:p w:rsidR="00025185" w:rsidRPr="00C874C2" w:rsidRDefault="00025185" w:rsidP="00C874C2">
            <w:pPr>
              <w:spacing w:after="200"/>
              <w:ind w:right="28"/>
              <w:jc w:val="center"/>
              <w:rPr>
                <w:rFonts w:ascii="Times New Roman" w:hAnsi="Times New Roman"/>
                <w:b/>
                <w:sz w:val="24"/>
                <w:szCs w:val="24"/>
              </w:rPr>
            </w:pPr>
          </w:p>
        </w:tc>
        <w:tc>
          <w:tcPr>
            <w:tcW w:w="5812" w:type="dxa"/>
          </w:tcPr>
          <w:p w:rsidR="006143D6" w:rsidRPr="003E743A" w:rsidRDefault="006143D6" w:rsidP="00096E01">
            <w:pPr>
              <w:tabs>
                <w:tab w:val="left" w:pos="1273"/>
              </w:tabs>
              <w:jc w:val="both"/>
              <w:rPr>
                <w:rFonts w:ascii="Times New Roman" w:hAnsi="Times New Roman"/>
                <w:sz w:val="24"/>
                <w:szCs w:val="24"/>
              </w:rPr>
            </w:pPr>
            <w:r w:rsidRPr="003E743A">
              <w:rPr>
                <w:rFonts w:ascii="Times New Roman" w:hAnsi="Times New Roman"/>
                <w:sz w:val="24"/>
                <w:szCs w:val="24"/>
              </w:rPr>
              <w:t>Comme dans toutes les</w:t>
            </w:r>
            <w:r>
              <w:rPr>
                <w:rFonts w:ascii="Times New Roman" w:hAnsi="Times New Roman"/>
                <w:sz w:val="24"/>
                <w:szCs w:val="24"/>
              </w:rPr>
              <w:t xml:space="preserve"> activités de construction</w:t>
            </w:r>
            <w:r w:rsidR="00096E01">
              <w:rPr>
                <w:rFonts w:ascii="Times New Roman" w:hAnsi="Times New Roman"/>
                <w:sz w:val="24"/>
                <w:szCs w:val="24"/>
              </w:rPr>
              <w:t xml:space="preserve"> de </w:t>
            </w:r>
            <w:r w:rsidR="00406AFE">
              <w:rPr>
                <w:rFonts w:ascii="Times New Roman" w:hAnsi="Times New Roman"/>
                <w:sz w:val="24"/>
                <w:szCs w:val="24"/>
              </w:rPr>
              <w:t>réservoir</w:t>
            </w:r>
            <w:r w:rsidRPr="003E743A">
              <w:rPr>
                <w:rFonts w:ascii="Times New Roman" w:hAnsi="Times New Roman"/>
                <w:sz w:val="24"/>
                <w:szCs w:val="24"/>
              </w:rPr>
              <w:t xml:space="preserve">, les risques de chutes du personnel sont prévisibles. Ces chutes sont pour la plupart, causées par les installations de chantier au sol, les planchers de travail, </w:t>
            </w:r>
            <w:r>
              <w:rPr>
                <w:rFonts w:ascii="Times New Roman" w:hAnsi="Times New Roman"/>
                <w:sz w:val="24"/>
                <w:szCs w:val="24"/>
              </w:rPr>
              <w:t xml:space="preserve">les activités </w:t>
            </w:r>
            <w:r w:rsidR="00406AFE">
              <w:rPr>
                <w:rFonts w:ascii="Times New Roman" w:hAnsi="Times New Roman"/>
                <w:sz w:val="24"/>
                <w:szCs w:val="24"/>
              </w:rPr>
              <w:t>de maçonnerie en hauteur</w:t>
            </w:r>
            <w:r w:rsidRPr="003E743A">
              <w:rPr>
                <w:rFonts w:ascii="Times New Roman" w:hAnsi="Times New Roman"/>
                <w:sz w:val="24"/>
                <w:szCs w:val="24"/>
              </w:rPr>
              <w:t>, les passerelles, les accès au</w:t>
            </w:r>
            <w:r>
              <w:rPr>
                <w:rFonts w:ascii="Times New Roman" w:hAnsi="Times New Roman"/>
                <w:sz w:val="24"/>
                <w:szCs w:val="24"/>
              </w:rPr>
              <w:t>x</w:t>
            </w:r>
            <w:r w:rsidRPr="003E743A">
              <w:rPr>
                <w:rFonts w:ascii="Times New Roman" w:hAnsi="Times New Roman"/>
                <w:sz w:val="24"/>
                <w:szCs w:val="24"/>
              </w:rPr>
              <w:t xml:space="preserve"> ouvrage</w:t>
            </w:r>
            <w:r>
              <w:rPr>
                <w:rFonts w:ascii="Times New Roman" w:hAnsi="Times New Roman"/>
                <w:sz w:val="24"/>
                <w:szCs w:val="24"/>
              </w:rPr>
              <w:t>s</w:t>
            </w:r>
            <w:r w:rsidRPr="003E743A">
              <w:rPr>
                <w:rFonts w:ascii="Times New Roman" w:hAnsi="Times New Roman"/>
                <w:sz w:val="24"/>
                <w:szCs w:val="24"/>
              </w:rPr>
              <w:t xml:space="preserve"> </w:t>
            </w:r>
            <w:r>
              <w:rPr>
                <w:rFonts w:ascii="Times New Roman" w:hAnsi="Times New Roman"/>
                <w:sz w:val="24"/>
                <w:szCs w:val="24"/>
              </w:rPr>
              <w:t>à</w:t>
            </w:r>
            <w:r w:rsidRPr="003E743A">
              <w:rPr>
                <w:rFonts w:ascii="Times New Roman" w:hAnsi="Times New Roman"/>
                <w:sz w:val="24"/>
                <w:szCs w:val="24"/>
              </w:rPr>
              <w:t xml:space="preserve"> réhabilit</w:t>
            </w:r>
            <w:r>
              <w:rPr>
                <w:rFonts w:ascii="Times New Roman" w:hAnsi="Times New Roman"/>
                <w:sz w:val="24"/>
                <w:szCs w:val="24"/>
              </w:rPr>
              <w:t>er</w:t>
            </w:r>
            <w:r w:rsidR="00406AFE">
              <w:rPr>
                <w:rFonts w:ascii="Times New Roman" w:hAnsi="Times New Roman"/>
                <w:sz w:val="24"/>
                <w:szCs w:val="24"/>
              </w:rPr>
              <w:t>, la fixation des équipements</w:t>
            </w:r>
            <w:r w:rsidRPr="003E743A">
              <w:rPr>
                <w:rFonts w:ascii="Times New Roman" w:hAnsi="Times New Roman"/>
                <w:sz w:val="24"/>
                <w:szCs w:val="24"/>
              </w:rPr>
              <w:t>, etc.</w:t>
            </w:r>
          </w:p>
          <w:p w:rsidR="00025185" w:rsidRDefault="006143D6" w:rsidP="00406AFE">
            <w:pPr>
              <w:tabs>
                <w:tab w:val="left" w:pos="1273"/>
              </w:tabs>
              <w:jc w:val="both"/>
              <w:rPr>
                <w:rFonts w:ascii="Times New Roman" w:hAnsi="Times New Roman"/>
                <w:sz w:val="24"/>
                <w:szCs w:val="24"/>
              </w:rPr>
            </w:pPr>
            <w:r w:rsidRPr="003E743A">
              <w:rPr>
                <w:rFonts w:ascii="Times New Roman" w:hAnsi="Times New Roman"/>
                <w:sz w:val="24"/>
                <w:szCs w:val="24"/>
              </w:rPr>
              <w:t xml:space="preserve">En phase d’exploitation, il existe aussi </w:t>
            </w:r>
            <w:r w:rsidRPr="00096E01">
              <w:rPr>
                <w:rFonts w:ascii="Times New Roman" w:hAnsi="Times New Roman"/>
                <w:sz w:val="24"/>
                <w:szCs w:val="24"/>
              </w:rPr>
              <w:t xml:space="preserve">des risques liés aux chutes de plain-pied et glissades. </w:t>
            </w:r>
            <w:r w:rsidRPr="003E743A">
              <w:rPr>
                <w:rFonts w:ascii="Times New Roman" w:hAnsi="Times New Roman"/>
                <w:sz w:val="24"/>
                <w:szCs w:val="24"/>
              </w:rPr>
              <w:t>Ce sont des risques de blessures causées par la chute de plain-pied d’une personne. La blessure peut résulter de la chute elle-même.</w:t>
            </w:r>
            <w:r w:rsidRPr="00096E01">
              <w:rPr>
                <w:rFonts w:ascii="Times New Roman" w:hAnsi="Times New Roman"/>
                <w:sz w:val="24"/>
                <w:szCs w:val="24"/>
              </w:rPr>
              <w:t xml:space="preserve"> </w:t>
            </w:r>
            <w:r w:rsidRPr="003E743A">
              <w:rPr>
                <w:rFonts w:ascii="Times New Roman" w:hAnsi="Times New Roman"/>
                <w:sz w:val="24"/>
                <w:szCs w:val="24"/>
              </w:rPr>
              <w:t>Ces chutes sont pour la plupart, causées par les sols glissant</w:t>
            </w:r>
            <w:r>
              <w:rPr>
                <w:rFonts w:ascii="Times New Roman" w:hAnsi="Times New Roman"/>
                <w:sz w:val="24"/>
                <w:szCs w:val="24"/>
              </w:rPr>
              <w:t>s</w:t>
            </w:r>
            <w:r w:rsidRPr="003E743A">
              <w:rPr>
                <w:rFonts w:ascii="Times New Roman" w:hAnsi="Times New Roman"/>
                <w:sz w:val="24"/>
                <w:szCs w:val="24"/>
              </w:rPr>
              <w:t xml:space="preserve"> </w:t>
            </w:r>
            <w:r>
              <w:rPr>
                <w:rFonts w:ascii="Times New Roman" w:hAnsi="Times New Roman"/>
                <w:sz w:val="24"/>
                <w:szCs w:val="24"/>
              </w:rPr>
              <w:t>ou des</w:t>
            </w:r>
            <w:r w:rsidRPr="003E743A">
              <w:rPr>
                <w:rFonts w:ascii="Times New Roman" w:hAnsi="Times New Roman"/>
                <w:sz w:val="24"/>
                <w:szCs w:val="24"/>
              </w:rPr>
              <w:t xml:space="preserve"> rebord</w:t>
            </w:r>
            <w:r w:rsidR="00406AFE">
              <w:rPr>
                <w:rFonts w:ascii="Times New Roman" w:hAnsi="Times New Roman"/>
                <w:sz w:val="24"/>
                <w:szCs w:val="24"/>
              </w:rPr>
              <w:t>s des réservoirs</w:t>
            </w:r>
            <w:r w:rsidRPr="003E743A">
              <w:rPr>
                <w:rFonts w:ascii="Times New Roman" w:hAnsi="Times New Roman"/>
                <w:sz w:val="24"/>
                <w:szCs w:val="24"/>
              </w:rPr>
              <w:t xml:space="preserve"> parfois trop petit</w:t>
            </w:r>
            <w:r>
              <w:rPr>
                <w:rFonts w:ascii="Times New Roman" w:hAnsi="Times New Roman"/>
                <w:sz w:val="24"/>
                <w:szCs w:val="24"/>
              </w:rPr>
              <w:t>s pour marcher</w:t>
            </w:r>
            <w:r w:rsidRPr="003E743A">
              <w:rPr>
                <w:rFonts w:ascii="Times New Roman" w:hAnsi="Times New Roman"/>
                <w:sz w:val="24"/>
                <w:szCs w:val="24"/>
              </w:rPr>
              <w:t>.</w:t>
            </w:r>
          </w:p>
        </w:tc>
        <w:tc>
          <w:tcPr>
            <w:tcW w:w="7371" w:type="dxa"/>
          </w:tcPr>
          <w:p w:rsidR="00025185" w:rsidRPr="000C12E5" w:rsidRDefault="006143D6" w:rsidP="00FA3FAE">
            <w:pPr>
              <w:pStyle w:val="PargrafodaLista"/>
              <w:numPr>
                <w:ilvl w:val="0"/>
                <w:numId w:val="148"/>
              </w:numPr>
              <w:spacing w:after="0" w:line="240" w:lineRule="auto"/>
              <w:jc w:val="both"/>
              <w:rPr>
                <w:rFonts w:ascii="Times New Roman" w:hAnsi="Times New Roman"/>
                <w:sz w:val="24"/>
                <w:szCs w:val="24"/>
                <w:u w:val="single"/>
              </w:rPr>
            </w:pPr>
            <w:r w:rsidRPr="000C12E5">
              <w:rPr>
                <w:rFonts w:ascii="Times New Roman" w:hAnsi="Times New Roman"/>
                <w:sz w:val="24"/>
                <w:szCs w:val="24"/>
                <w:u w:val="single"/>
              </w:rPr>
              <w:t>Phase de construction</w:t>
            </w:r>
          </w:p>
          <w:p w:rsidR="006143D6" w:rsidRPr="006143D6" w:rsidRDefault="006143D6" w:rsidP="00FA3FAE">
            <w:pPr>
              <w:pStyle w:val="PargrafodaLista"/>
              <w:numPr>
                <w:ilvl w:val="0"/>
                <w:numId w:val="147"/>
              </w:numPr>
              <w:spacing w:after="0" w:line="240" w:lineRule="auto"/>
              <w:ind w:left="891" w:hanging="183"/>
              <w:jc w:val="both"/>
              <w:rPr>
                <w:rFonts w:ascii="Times New Roman" w:hAnsi="Times New Roman"/>
                <w:sz w:val="24"/>
                <w:szCs w:val="24"/>
              </w:rPr>
            </w:pPr>
            <w:r w:rsidRPr="006143D6">
              <w:rPr>
                <w:rFonts w:ascii="Times New Roman" w:hAnsi="Times New Roman"/>
                <w:sz w:val="24"/>
                <w:szCs w:val="24"/>
              </w:rPr>
              <w:t>Eclairer les passages des zones sombres ;</w:t>
            </w:r>
          </w:p>
          <w:p w:rsidR="006143D6" w:rsidRPr="006143D6" w:rsidRDefault="006143D6" w:rsidP="00FA3FAE">
            <w:pPr>
              <w:pStyle w:val="PargrafodaLista"/>
              <w:numPr>
                <w:ilvl w:val="0"/>
                <w:numId w:val="147"/>
              </w:numPr>
              <w:spacing w:after="0" w:line="240" w:lineRule="auto"/>
              <w:ind w:left="891" w:hanging="183"/>
              <w:jc w:val="both"/>
              <w:rPr>
                <w:rFonts w:ascii="Times New Roman" w:hAnsi="Times New Roman"/>
                <w:sz w:val="24"/>
                <w:szCs w:val="24"/>
              </w:rPr>
            </w:pPr>
            <w:r w:rsidRPr="006143D6">
              <w:rPr>
                <w:rFonts w:ascii="Times New Roman" w:hAnsi="Times New Roman"/>
                <w:sz w:val="24"/>
                <w:szCs w:val="24"/>
              </w:rPr>
              <w:t>Nettoyer et entretenir les plateformes de travail ;</w:t>
            </w:r>
          </w:p>
          <w:p w:rsidR="006143D6" w:rsidRPr="006143D6" w:rsidRDefault="006143D6" w:rsidP="00FA3FAE">
            <w:pPr>
              <w:pStyle w:val="PargrafodaLista"/>
              <w:numPr>
                <w:ilvl w:val="0"/>
                <w:numId w:val="147"/>
              </w:numPr>
              <w:spacing w:after="0" w:line="240" w:lineRule="auto"/>
              <w:ind w:left="891" w:hanging="183"/>
              <w:jc w:val="both"/>
              <w:rPr>
                <w:rFonts w:ascii="Times New Roman" w:hAnsi="Times New Roman"/>
                <w:sz w:val="24"/>
                <w:szCs w:val="24"/>
              </w:rPr>
            </w:pPr>
            <w:r w:rsidRPr="006143D6">
              <w:rPr>
                <w:rFonts w:ascii="Times New Roman" w:hAnsi="Times New Roman"/>
                <w:sz w:val="24"/>
                <w:szCs w:val="24"/>
              </w:rPr>
              <w:t>Baliser les zones à risque ;</w:t>
            </w:r>
          </w:p>
          <w:p w:rsidR="006143D6" w:rsidRPr="006143D6" w:rsidRDefault="006143D6" w:rsidP="00FA3FAE">
            <w:pPr>
              <w:pStyle w:val="PargrafodaLista"/>
              <w:numPr>
                <w:ilvl w:val="0"/>
                <w:numId w:val="147"/>
              </w:numPr>
              <w:spacing w:after="0" w:line="240" w:lineRule="auto"/>
              <w:ind w:left="891" w:hanging="183"/>
              <w:jc w:val="both"/>
              <w:rPr>
                <w:rFonts w:ascii="Times New Roman" w:hAnsi="Times New Roman"/>
                <w:sz w:val="24"/>
                <w:szCs w:val="24"/>
              </w:rPr>
            </w:pPr>
            <w:r w:rsidRPr="006143D6">
              <w:rPr>
                <w:rFonts w:ascii="Times New Roman" w:hAnsi="Times New Roman"/>
                <w:sz w:val="24"/>
                <w:szCs w:val="24"/>
              </w:rPr>
              <w:t>Limiter les longueurs de rallonge électrique</w:t>
            </w:r>
          </w:p>
          <w:p w:rsidR="006143D6" w:rsidRPr="006143D6" w:rsidRDefault="006143D6" w:rsidP="00FA3FAE">
            <w:pPr>
              <w:pStyle w:val="PargrafodaLista"/>
              <w:numPr>
                <w:ilvl w:val="0"/>
                <w:numId w:val="147"/>
              </w:numPr>
              <w:spacing w:after="0" w:line="240" w:lineRule="auto"/>
              <w:ind w:left="891" w:hanging="183"/>
              <w:jc w:val="both"/>
              <w:rPr>
                <w:rFonts w:ascii="Times New Roman" w:hAnsi="Times New Roman"/>
                <w:sz w:val="24"/>
                <w:szCs w:val="24"/>
              </w:rPr>
            </w:pPr>
            <w:r w:rsidRPr="006143D6">
              <w:rPr>
                <w:rFonts w:ascii="Times New Roman" w:hAnsi="Times New Roman"/>
                <w:sz w:val="24"/>
                <w:szCs w:val="24"/>
              </w:rPr>
              <w:t>Poser des garde-fou</w:t>
            </w:r>
            <w:r w:rsidR="00C00BA3">
              <w:rPr>
                <w:rFonts w:ascii="Times New Roman" w:hAnsi="Times New Roman"/>
                <w:sz w:val="24"/>
                <w:szCs w:val="24"/>
                <w:lang w:val="fr-FR"/>
              </w:rPr>
              <w:t>s</w:t>
            </w:r>
          </w:p>
          <w:p w:rsidR="006143D6" w:rsidRPr="006143D6" w:rsidRDefault="006143D6" w:rsidP="00FA3FAE">
            <w:pPr>
              <w:pStyle w:val="PargrafodaLista"/>
              <w:numPr>
                <w:ilvl w:val="0"/>
                <w:numId w:val="147"/>
              </w:numPr>
              <w:spacing w:after="0" w:line="240" w:lineRule="auto"/>
              <w:ind w:left="891" w:hanging="183"/>
              <w:jc w:val="both"/>
              <w:rPr>
                <w:rFonts w:ascii="Times New Roman" w:hAnsi="Times New Roman"/>
                <w:sz w:val="24"/>
                <w:szCs w:val="24"/>
              </w:rPr>
            </w:pPr>
            <w:r w:rsidRPr="006143D6">
              <w:rPr>
                <w:rFonts w:ascii="Times New Roman" w:hAnsi="Times New Roman"/>
                <w:sz w:val="24"/>
                <w:szCs w:val="24"/>
              </w:rPr>
              <w:t>Remblayer les fouilles</w:t>
            </w:r>
          </w:p>
          <w:p w:rsidR="006143D6" w:rsidRDefault="006143D6" w:rsidP="00FA3FAE">
            <w:pPr>
              <w:pStyle w:val="PargrafodaLista"/>
              <w:numPr>
                <w:ilvl w:val="0"/>
                <w:numId w:val="147"/>
              </w:numPr>
              <w:spacing w:after="0" w:line="240" w:lineRule="auto"/>
              <w:ind w:left="891" w:hanging="183"/>
              <w:jc w:val="both"/>
              <w:rPr>
                <w:rFonts w:ascii="Times New Roman" w:hAnsi="Times New Roman"/>
                <w:sz w:val="24"/>
                <w:szCs w:val="24"/>
              </w:rPr>
            </w:pPr>
            <w:r w:rsidRPr="006143D6">
              <w:rPr>
                <w:rFonts w:ascii="Times New Roman" w:hAnsi="Times New Roman"/>
                <w:sz w:val="24"/>
                <w:szCs w:val="24"/>
              </w:rPr>
              <w:t>Porter des chaussures de sécurité antidérapantes et des casques de protection</w:t>
            </w:r>
          </w:p>
          <w:p w:rsidR="00C00BA3" w:rsidRPr="00BD3189" w:rsidRDefault="00C00BA3" w:rsidP="00FA3FAE">
            <w:pPr>
              <w:pStyle w:val="PargrafodaLista"/>
              <w:numPr>
                <w:ilvl w:val="0"/>
                <w:numId w:val="147"/>
              </w:numPr>
              <w:spacing w:after="0" w:line="240" w:lineRule="auto"/>
              <w:ind w:left="891" w:hanging="183"/>
              <w:jc w:val="both"/>
              <w:rPr>
                <w:rFonts w:ascii="Times New Roman" w:hAnsi="Times New Roman"/>
                <w:sz w:val="24"/>
                <w:szCs w:val="24"/>
                <w:lang w:val="fr-FR"/>
              </w:rPr>
            </w:pPr>
            <w:r w:rsidRPr="008476F3">
              <w:rPr>
                <w:rFonts w:ascii="Times New Roman" w:hAnsi="Times New Roman"/>
                <w:sz w:val="24"/>
                <w:szCs w:val="24"/>
                <w:lang w:val="fr-FR"/>
              </w:rPr>
              <w:t>Sensibiliser le personnel de chantier sur les mesures de sécurité</w:t>
            </w:r>
          </w:p>
          <w:p w:rsidR="006143D6" w:rsidRPr="000C12E5" w:rsidRDefault="006143D6" w:rsidP="00FA3FAE">
            <w:pPr>
              <w:pStyle w:val="PargrafodaLista"/>
              <w:numPr>
                <w:ilvl w:val="0"/>
                <w:numId w:val="148"/>
              </w:numPr>
              <w:spacing w:after="0" w:line="240" w:lineRule="auto"/>
              <w:jc w:val="both"/>
              <w:rPr>
                <w:rFonts w:ascii="Times New Roman" w:hAnsi="Times New Roman"/>
                <w:sz w:val="24"/>
                <w:szCs w:val="24"/>
                <w:u w:val="single"/>
              </w:rPr>
            </w:pPr>
            <w:r w:rsidRPr="000C12E5">
              <w:rPr>
                <w:rFonts w:ascii="Times New Roman" w:hAnsi="Times New Roman"/>
                <w:sz w:val="24"/>
                <w:szCs w:val="24"/>
                <w:u w:val="single"/>
              </w:rPr>
              <w:t>Phase d’exploitation</w:t>
            </w:r>
          </w:p>
          <w:p w:rsidR="006143D6" w:rsidRPr="006143D6" w:rsidRDefault="006143D6" w:rsidP="00FA3FAE">
            <w:pPr>
              <w:pStyle w:val="PargrafodaLista"/>
              <w:numPr>
                <w:ilvl w:val="0"/>
                <w:numId w:val="147"/>
              </w:numPr>
              <w:spacing w:after="0" w:line="240" w:lineRule="auto"/>
              <w:ind w:left="749" w:hanging="183"/>
              <w:jc w:val="both"/>
              <w:rPr>
                <w:rFonts w:ascii="Times New Roman" w:hAnsi="Times New Roman"/>
                <w:sz w:val="24"/>
                <w:szCs w:val="24"/>
              </w:rPr>
            </w:pPr>
            <w:r w:rsidRPr="006143D6">
              <w:rPr>
                <w:rFonts w:ascii="Times New Roman" w:hAnsi="Times New Roman"/>
                <w:sz w:val="24"/>
                <w:szCs w:val="24"/>
              </w:rPr>
              <w:t xml:space="preserve">Dégager les voix d’accès </w:t>
            </w:r>
          </w:p>
          <w:p w:rsidR="006143D6" w:rsidRPr="006143D6" w:rsidRDefault="006143D6" w:rsidP="00FA3FAE">
            <w:pPr>
              <w:pStyle w:val="PargrafodaLista"/>
              <w:numPr>
                <w:ilvl w:val="0"/>
                <w:numId w:val="147"/>
              </w:numPr>
              <w:spacing w:after="0" w:line="240" w:lineRule="auto"/>
              <w:ind w:left="749" w:hanging="183"/>
              <w:jc w:val="both"/>
              <w:rPr>
                <w:rFonts w:ascii="Times New Roman" w:hAnsi="Times New Roman"/>
                <w:sz w:val="24"/>
                <w:szCs w:val="24"/>
              </w:rPr>
            </w:pPr>
            <w:r w:rsidRPr="006143D6">
              <w:rPr>
                <w:rFonts w:ascii="Times New Roman" w:hAnsi="Times New Roman"/>
                <w:sz w:val="24"/>
                <w:szCs w:val="24"/>
              </w:rPr>
              <w:t xml:space="preserve">Utiliser des revêtements de sol antidérapant, </w:t>
            </w:r>
          </w:p>
          <w:p w:rsidR="006143D6" w:rsidRPr="006143D6" w:rsidRDefault="006143D6" w:rsidP="00FA3FAE">
            <w:pPr>
              <w:pStyle w:val="PargrafodaLista"/>
              <w:numPr>
                <w:ilvl w:val="0"/>
                <w:numId w:val="147"/>
              </w:numPr>
              <w:spacing w:after="0" w:line="240" w:lineRule="auto"/>
              <w:ind w:left="749" w:hanging="183"/>
              <w:jc w:val="both"/>
              <w:rPr>
                <w:rFonts w:ascii="Times New Roman" w:hAnsi="Times New Roman"/>
                <w:sz w:val="24"/>
                <w:szCs w:val="24"/>
              </w:rPr>
            </w:pPr>
            <w:r w:rsidRPr="006143D6">
              <w:rPr>
                <w:rFonts w:ascii="Times New Roman" w:hAnsi="Times New Roman"/>
                <w:sz w:val="24"/>
                <w:szCs w:val="24"/>
              </w:rPr>
              <w:t xml:space="preserve">Supprimer les inégalités du sol, élargissement des passages… </w:t>
            </w:r>
          </w:p>
          <w:p w:rsidR="006143D6" w:rsidRDefault="006143D6" w:rsidP="00FA3FAE">
            <w:pPr>
              <w:pStyle w:val="PargrafodaLista"/>
              <w:numPr>
                <w:ilvl w:val="0"/>
                <w:numId w:val="147"/>
              </w:numPr>
              <w:spacing w:after="0" w:line="240" w:lineRule="auto"/>
              <w:ind w:left="749" w:hanging="183"/>
              <w:jc w:val="both"/>
              <w:rPr>
                <w:rFonts w:ascii="Times New Roman" w:hAnsi="Times New Roman"/>
                <w:sz w:val="24"/>
                <w:szCs w:val="24"/>
              </w:rPr>
            </w:pPr>
            <w:r w:rsidRPr="006143D6">
              <w:rPr>
                <w:rFonts w:ascii="Times New Roman" w:hAnsi="Times New Roman"/>
                <w:sz w:val="24"/>
                <w:szCs w:val="24"/>
              </w:rPr>
              <w:t>Mettre en place des panneaux d’indication de risque de chute dans les rebords ;</w:t>
            </w:r>
          </w:p>
        </w:tc>
      </w:tr>
      <w:tr w:rsidR="00025185" w:rsidTr="00C874C2">
        <w:tc>
          <w:tcPr>
            <w:tcW w:w="1702" w:type="dxa"/>
            <w:shd w:val="clear" w:color="auto" w:fill="F2F2F2" w:themeFill="background1" w:themeFillShade="F2"/>
            <w:vAlign w:val="center"/>
          </w:tcPr>
          <w:p w:rsidR="00025185" w:rsidRPr="00C874C2" w:rsidRDefault="006143D6" w:rsidP="00C874C2">
            <w:pPr>
              <w:spacing w:after="200"/>
              <w:ind w:right="28"/>
              <w:jc w:val="center"/>
              <w:rPr>
                <w:rFonts w:ascii="Times New Roman" w:hAnsi="Times New Roman"/>
                <w:b/>
                <w:sz w:val="24"/>
                <w:szCs w:val="24"/>
              </w:rPr>
            </w:pPr>
            <w:r w:rsidRPr="00C874C2">
              <w:rPr>
                <w:rFonts w:ascii="Times New Roman" w:hAnsi="Times New Roman"/>
                <w:b/>
                <w:sz w:val="24"/>
                <w:szCs w:val="24"/>
              </w:rPr>
              <w:lastRenderedPageBreak/>
              <w:t>Risques de chutes d’objet</w:t>
            </w:r>
          </w:p>
        </w:tc>
        <w:tc>
          <w:tcPr>
            <w:tcW w:w="5812" w:type="dxa"/>
          </w:tcPr>
          <w:p w:rsidR="00025185" w:rsidRDefault="006143D6" w:rsidP="00406AFE">
            <w:pPr>
              <w:tabs>
                <w:tab w:val="left" w:pos="1273"/>
              </w:tabs>
              <w:jc w:val="both"/>
              <w:rPr>
                <w:rFonts w:ascii="Times New Roman" w:hAnsi="Times New Roman"/>
                <w:sz w:val="24"/>
                <w:szCs w:val="24"/>
              </w:rPr>
            </w:pPr>
            <w:r w:rsidRPr="006143D6">
              <w:rPr>
                <w:rFonts w:ascii="Times New Roman" w:hAnsi="Times New Roman"/>
                <w:sz w:val="24"/>
                <w:szCs w:val="24"/>
              </w:rPr>
              <w:t>Ce risque est associé à la présence de petits objets (outils, pièce de coffrage, béton, déchets), au renversement de coffrage (éléments préfabriqués, murs, etc.) et à l’effondrement d’étaiements, de passerelles, de coffrage sous charges diverses, d’éléments en cours de manut</w:t>
            </w:r>
            <w:r w:rsidR="00406AFE">
              <w:rPr>
                <w:rFonts w:ascii="Times New Roman" w:hAnsi="Times New Roman"/>
                <w:sz w:val="24"/>
                <w:szCs w:val="24"/>
              </w:rPr>
              <w:t>ention, d’éléments préfabriqués.</w:t>
            </w:r>
          </w:p>
        </w:tc>
        <w:tc>
          <w:tcPr>
            <w:tcW w:w="7371" w:type="dxa"/>
          </w:tcPr>
          <w:p w:rsidR="006143D6" w:rsidRPr="006143D6" w:rsidRDefault="006143D6" w:rsidP="00FA3FAE">
            <w:pPr>
              <w:pStyle w:val="PargrafodaLista"/>
              <w:numPr>
                <w:ilvl w:val="0"/>
                <w:numId w:val="147"/>
              </w:numPr>
              <w:spacing w:after="0" w:line="240" w:lineRule="auto"/>
              <w:ind w:left="183" w:hanging="183"/>
              <w:jc w:val="both"/>
              <w:rPr>
                <w:rFonts w:ascii="Times New Roman" w:hAnsi="Times New Roman"/>
                <w:sz w:val="24"/>
                <w:szCs w:val="24"/>
              </w:rPr>
            </w:pPr>
            <w:r w:rsidRPr="006143D6">
              <w:rPr>
                <w:rFonts w:ascii="Times New Roman" w:hAnsi="Times New Roman"/>
                <w:sz w:val="24"/>
                <w:szCs w:val="24"/>
              </w:rPr>
              <w:t xml:space="preserve">Contrôler régulier les installations (coffrage, passerelles, </w:t>
            </w:r>
            <w:r w:rsidR="00BD3189" w:rsidRPr="00206F59">
              <w:rPr>
                <w:rFonts w:ascii="Times New Roman" w:hAnsi="Times New Roman"/>
                <w:sz w:val="24"/>
                <w:szCs w:val="24"/>
                <w:lang w:val="fr-FR"/>
              </w:rPr>
              <w:t xml:space="preserve">, </w:t>
            </w:r>
            <w:r w:rsidR="00BD3189">
              <w:rPr>
                <w:rFonts w:ascii="Times New Roman" w:hAnsi="Times New Roman"/>
                <w:sz w:val="24"/>
                <w:szCs w:val="24"/>
                <w:lang w:val="fr-FR"/>
              </w:rPr>
              <w:t>équipements et accessoires de levage</w:t>
            </w:r>
            <w:r w:rsidR="00BD3189" w:rsidRPr="006143D6">
              <w:rPr>
                <w:rFonts w:ascii="Times New Roman" w:hAnsi="Times New Roman"/>
                <w:sz w:val="24"/>
                <w:szCs w:val="24"/>
              </w:rPr>
              <w:t xml:space="preserve"> </w:t>
            </w:r>
            <w:r w:rsidRPr="006143D6">
              <w:rPr>
                <w:rFonts w:ascii="Times New Roman" w:hAnsi="Times New Roman"/>
                <w:sz w:val="24"/>
                <w:szCs w:val="24"/>
              </w:rPr>
              <w:t>etc.) ;</w:t>
            </w:r>
          </w:p>
          <w:p w:rsidR="006143D6" w:rsidRPr="006143D6" w:rsidRDefault="006143D6" w:rsidP="00FA3FAE">
            <w:pPr>
              <w:pStyle w:val="PargrafodaLista"/>
              <w:numPr>
                <w:ilvl w:val="0"/>
                <w:numId w:val="147"/>
              </w:numPr>
              <w:spacing w:after="0" w:line="240" w:lineRule="auto"/>
              <w:ind w:left="183" w:hanging="183"/>
              <w:jc w:val="both"/>
              <w:rPr>
                <w:rFonts w:ascii="Times New Roman" w:hAnsi="Times New Roman"/>
                <w:sz w:val="24"/>
                <w:szCs w:val="24"/>
              </w:rPr>
            </w:pPr>
            <w:r w:rsidRPr="006143D6">
              <w:rPr>
                <w:rFonts w:ascii="Times New Roman" w:hAnsi="Times New Roman"/>
                <w:sz w:val="24"/>
                <w:szCs w:val="24"/>
              </w:rPr>
              <w:t>Ranger les outils après d’utilisation dans des endroits bien sécurisés ;</w:t>
            </w:r>
          </w:p>
          <w:p w:rsidR="006143D6" w:rsidRPr="006143D6" w:rsidRDefault="006143D6" w:rsidP="00FA3FAE">
            <w:pPr>
              <w:pStyle w:val="PargrafodaLista"/>
              <w:numPr>
                <w:ilvl w:val="0"/>
                <w:numId w:val="147"/>
              </w:numPr>
              <w:spacing w:after="0" w:line="240" w:lineRule="auto"/>
              <w:ind w:left="183" w:hanging="183"/>
              <w:jc w:val="both"/>
              <w:rPr>
                <w:rFonts w:ascii="Times New Roman" w:hAnsi="Times New Roman"/>
                <w:sz w:val="24"/>
                <w:szCs w:val="24"/>
              </w:rPr>
            </w:pPr>
            <w:r w:rsidRPr="006143D6">
              <w:rPr>
                <w:rFonts w:ascii="Times New Roman" w:hAnsi="Times New Roman"/>
                <w:sz w:val="24"/>
                <w:szCs w:val="24"/>
              </w:rPr>
              <w:t>Porter les EPI (gants, chaussures de sécurité, casques) ;</w:t>
            </w:r>
          </w:p>
          <w:p w:rsidR="00025185" w:rsidRDefault="006143D6" w:rsidP="00FA3FAE">
            <w:pPr>
              <w:pStyle w:val="PargrafodaLista"/>
              <w:numPr>
                <w:ilvl w:val="0"/>
                <w:numId w:val="147"/>
              </w:numPr>
              <w:spacing w:after="0" w:line="240" w:lineRule="auto"/>
              <w:ind w:left="183" w:hanging="183"/>
              <w:jc w:val="both"/>
              <w:rPr>
                <w:rFonts w:ascii="Times New Roman" w:hAnsi="Times New Roman"/>
                <w:sz w:val="24"/>
                <w:szCs w:val="24"/>
              </w:rPr>
            </w:pPr>
            <w:r w:rsidRPr="006143D6">
              <w:rPr>
                <w:rFonts w:ascii="Times New Roman" w:hAnsi="Times New Roman"/>
                <w:sz w:val="24"/>
                <w:szCs w:val="24"/>
              </w:rPr>
              <w:t>Limiter des manutentions manuelles.</w:t>
            </w:r>
          </w:p>
        </w:tc>
      </w:tr>
      <w:tr w:rsidR="00025185" w:rsidTr="00C874C2">
        <w:tc>
          <w:tcPr>
            <w:tcW w:w="1702" w:type="dxa"/>
            <w:shd w:val="clear" w:color="auto" w:fill="F2F2F2" w:themeFill="background1" w:themeFillShade="F2"/>
            <w:vAlign w:val="center"/>
          </w:tcPr>
          <w:p w:rsidR="00025185" w:rsidRPr="00C874C2" w:rsidRDefault="006143D6" w:rsidP="00C874C2">
            <w:pPr>
              <w:spacing w:after="200"/>
              <w:ind w:right="28"/>
              <w:jc w:val="center"/>
              <w:rPr>
                <w:rFonts w:ascii="Times New Roman" w:hAnsi="Times New Roman"/>
                <w:b/>
                <w:sz w:val="24"/>
                <w:szCs w:val="24"/>
              </w:rPr>
            </w:pPr>
            <w:r w:rsidRPr="00C874C2">
              <w:rPr>
                <w:rFonts w:ascii="Times New Roman" w:hAnsi="Times New Roman"/>
                <w:b/>
                <w:sz w:val="24"/>
                <w:szCs w:val="24"/>
              </w:rPr>
              <w:t>Risques de brulure et d’incendie</w:t>
            </w:r>
          </w:p>
        </w:tc>
        <w:tc>
          <w:tcPr>
            <w:tcW w:w="5812" w:type="dxa"/>
          </w:tcPr>
          <w:p w:rsidR="00025185" w:rsidRDefault="006143D6" w:rsidP="00CE2734">
            <w:pPr>
              <w:tabs>
                <w:tab w:val="left" w:pos="1273"/>
              </w:tabs>
              <w:jc w:val="both"/>
              <w:rPr>
                <w:rFonts w:ascii="Times New Roman" w:hAnsi="Times New Roman"/>
                <w:sz w:val="24"/>
                <w:szCs w:val="24"/>
              </w:rPr>
            </w:pPr>
            <w:r w:rsidRPr="006143D6">
              <w:rPr>
                <w:rFonts w:ascii="Times New Roman" w:hAnsi="Times New Roman"/>
                <w:sz w:val="24"/>
                <w:szCs w:val="24"/>
              </w:rPr>
              <w:t xml:space="preserve">Ce sont des risques de brûlure ou de blessure de personnes consécutifs à un incendie lors de la mise en place </w:t>
            </w:r>
            <w:r w:rsidR="00CE2734">
              <w:rPr>
                <w:rFonts w:ascii="Times New Roman" w:hAnsi="Times New Roman"/>
                <w:sz w:val="24"/>
                <w:szCs w:val="24"/>
              </w:rPr>
              <w:t xml:space="preserve">des </w:t>
            </w:r>
            <w:r w:rsidRPr="006143D6">
              <w:rPr>
                <w:rFonts w:ascii="Times New Roman" w:hAnsi="Times New Roman"/>
                <w:sz w:val="24"/>
                <w:szCs w:val="24"/>
              </w:rPr>
              <w:t xml:space="preserve">matériaux ou produits inflammables, mais aussi à l’utilisation d’énergie électrique au </w:t>
            </w:r>
            <w:r w:rsidR="00CE2734">
              <w:rPr>
                <w:rFonts w:ascii="Times New Roman" w:hAnsi="Times New Roman"/>
                <w:sz w:val="24"/>
                <w:szCs w:val="24"/>
              </w:rPr>
              <w:t>niveau des bases de vie et du chantier</w:t>
            </w:r>
            <w:r w:rsidRPr="006143D6">
              <w:rPr>
                <w:rFonts w:ascii="Times New Roman" w:hAnsi="Times New Roman"/>
                <w:sz w:val="24"/>
                <w:szCs w:val="24"/>
              </w:rPr>
              <w:t>. Ils peuvent provoquer des dégâts humains et matériels importants.</w:t>
            </w:r>
          </w:p>
        </w:tc>
        <w:tc>
          <w:tcPr>
            <w:tcW w:w="7371" w:type="dxa"/>
          </w:tcPr>
          <w:p w:rsidR="006143D6" w:rsidRPr="006143D6" w:rsidRDefault="006143D6" w:rsidP="00FA3FAE">
            <w:pPr>
              <w:pStyle w:val="PargrafodaLista"/>
              <w:numPr>
                <w:ilvl w:val="0"/>
                <w:numId w:val="147"/>
              </w:numPr>
              <w:spacing w:after="0" w:line="240" w:lineRule="auto"/>
              <w:ind w:left="183" w:hanging="183"/>
              <w:jc w:val="both"/>
              <w:rPr>
                <w:rFonts w:ascii="Times New Roman" w:hAnsi="Times New Roman"/>
                <w:sz w:val="24"/>
                <w:szCs w:val="24"/>
              </w:rPr>
            </w:pPr>
            <w:r w:rsidRPr="006143D6">
              <w:rPr>
                <w:rFonts w:ascii="Times New Roman" w:hAnsi="Times New Roman"/>
                <w:sz w:val="24"/>
                <w:szCs w:val="24"/>
              </w:rPr>
              <w:t>Mettre en place des extincteurs avec des inscriptions sur les méthodes d’usages au niveau des bases de vie des ou</w:t>
            </w:r>
            <w:r w:rsidR="00CE2734">
              <w:rPr>
                <w:rFonts w:ascii="Times New Roman" w:hAnsi="Times New Roman"/>
                <w:sz w:val="24"/>
                <w:szCs w:val="24"/>
              </w:rPr>
              <w:t xml:space="preserve">vriers sur au niveau du navire </w:t>
            </w:r>
          </w:p>
          <w:p w:rsidR="006143D6" w:rsidRPr="00CE2734" w:rsidRDefault="006143D6" w:rsidP="00FA3FAE">
            <w:pPr>
              <w:pStyle w:val="PargrafodaLista"/>
              <w:numPr>
                <w:ilvl w:val="0"/>
                <w:numId w:val="147"/>
              </w:numPr>
              <w:spacing w:after="0" w:line="240" w:lineRule="auto"/>
              <w:ind w:left="183" w:hanging="183"/>
              <w:jc w:val="both"/>
              <w:rPr>
                <w:rFonts w:ascii="Times New Roman" w:hAnsi="Times New Roman"/>
                <w:sz w:val="24"/>
                <w:szCs w:val="24"/>
              </w:rPr>
            </w:pPr>
            <w:r w:rsidRPr="006143D6">
              <w:rPr>
                <w:rFonts w:ascii="Times New Roman" w:hAnsi="Times New Roman"/>
                <w:sz w:val="24"/>
                <w:szCs w:val="24"/>
              </w:rPr>
              <w:t>Traiter immédiatement de toute anomalie électrique ;</w:t>
            </w:r>
          </w:p>
          <w:p w:rsidR="006143D6" w:rsidRPr="006143D6" w:rsidRDefault="006143D6" w:rsidP="00FA3FAE">
            <w:pPr>
              <w:pStyle w:val="PargrafodaLista"/>
              <w:numPr>
                <w:ilvl w:val="0"/>
                <w:numId w:val="147"/>
              </w:numPr>
              <w:spacing w:after="0" w:line="240" w:lineRule="auto"/>
              <w:ind w:left="183" w:hanging="183"/>
              <w:jc w:val="both"/>
              <w:rPr>
                <w:rFonts w:ascii="Times New Roman" w:hAnsi="Times New Roman"/>
                <w:sz w:val="24"/>
                <w:szCs w:val="24"/>
              </w:rPr>
            </w:pPr>
            <w:r w:rsidRPr="006143D6">
              <w:rPr>
                <w:rFonts w:ascii="Times New Roman" w:hAnsi="Times New Roman"/>
                <w:sz w:val="24"/>
                <w:szCs w:val="24"/>
              </w:rPr>
              <w:t>Equiper d'un contact niveau bas 25 % et d'</w:t>
            </w:r>
            <w:r w:rsidR="00CE2734">
              <w:rPr>
                <w:rFonts w:ascii="Times New Roman" w:hAnsi="Times New Roman"/>
                <w:sz w:val="24"/>
                <w:szCs w:val="24"/>
              </w:rPr>
              <w:t xml:space="preserve">un indicateur visuel de niveau </w:t>
            </w:r>
          </w:p>
          <w:p w:rsidR="006143D6" w:rsidRPr="00BD3189" w:rsidRDefault="006143D6" w:rsidP="00FA3FAE">
            <w:pPr>
              <w:pStyle w:val="PargrafodaLista"/>
              <w:numPr>
                <w:ilvl w:val="0"/>
                <w:numId w:val="147"/>
              </w:numPr>
              <w:spacing w:after="0" w:line="240" w:lineRule="auto"/>
              <w:ind w:left="183" w:hanging="183"/>
              <w:jc w:val="both"/>
              <w:rPr>
                <w:rFonts w:ascii="Times New Roman" w:hAnsi="Times New Roman"/>
                <w:sz w:val="24"/>
                <w:szCs w:val="24"/>
                <w:lang w:val="fr-FR"/>
              </w:rPr>
            </w:pPr>
            <w:r w:rsidRPr="006143D6">
              <w:rPr>
                <w:rFonts w:ascii="Times New Roman" w:hAnsi="Times New Roman"/>
                <w:sz w:val="24"/>
                <w:szCs w:val="24"/>
              </w:rPr>
              <w:t xml:space="preserve">Effectuer le remplissage de la cuve </w:t>
            </w:r>
            <w:r w:rsidR="00BD3189">
              <w:rPr>
                <w:rFonts w:ascii="Times New Roman" w:hAnsi="Times New Roman"/>
                <w:sz w:val="24"/>
                <w:szCs w:val="24"/>
                <w:lang w:val="fr-FR"/>
              </w:rPr>
              <w:t>d’hydrocarbure</w:t>
            </w:r>
            <w:r w:rsidR="00BD3189" w:rsidRPr="006143D6">
              <w:rPr>
                <w:rFonts w:ascii="Times New Roman" w:hAnsi="Times New Roman"/>
                <w:sz w:val="24"/>
                <w:szCs w:val="24"/>
              </w:rPr>
              <w:t xml:space="preserve"> </w:t>
            </w:r>
            <w:r w:rsidRPr="006143D6">
              <w:rPr>
                <w:rFonts w:ascii="Times New Roman" w:hAnsi="Times New Roman"/>
                <w:sz w:val="24"/>
                <w:szCs w:val="24"/>
              </w:rPr>
              <w:t xml:space="preserve">depuis l’extérieur par l’intermédiaire </w:t>
            </w:r>
            <w:r w:rsidR="00BD3189">
              <w:rPr>
                <w:rFonts w:ascii="Times New Roman" w:hAnsi="Times New Roman"/>
                <w:sz w:val="24"/>
                <w:szCs w:val="24"/>
                <w:lang w:val="fr-FR"/>
              </w:rPr>
              <w:t>d’un dispositif de</w:t>
            </w:r>
            <w:r w:rsidR="00BD3189" w:rsidRPr="00206F59">
              <w:rPr>
                <w:rFonts w:ascii="Times New Roman" w:hAnsi="Times New Roman"/>
                <w:sz w:val="24"/>
                <w:szCs w:val="24"/>
                <w:lang w:val="fr-FR"/>
              </w:rPr>
              <w:t xml:space="preserve"> dépotage</w:t>
            </w:r>
            <w:r w:rsidR="00BD3189">
              <w:rPr>
                <w:rFonts w:ascii="Times New Roman" w:hAnsi="Times New Roman"/>
                <w:sz w:val="24"/>
                <w:szCs w:val="24"/>
                <w:lang w:val="fr-FR"/>
              </w:rPr>
              <w:t xml:space="preserve"> conforme aux bonnes pratiques </w:t>
            </w:r>
            <w:r w:rsidRPr="00BD3189">
              <w:rPr>
                <w:rFonts w:ascii="Times New Roman" w:hAnsi="Times New Roman"/>
                <w:sz w:val="24"/>
                <w:szCs w:val="24"/>
              </w:rPr>
              <w:t>;</w:t>
            </w:r>
          </w:p>
          <w:p w:rsidR="006143D6" w:rsidRPr="006143D6" w:rsidRDefault="006143D6" w:rsidP="00FA3FAE">
            <w:pPr>
              <w:pStyle w:val="PargrafodaLista"/>
              <w:numPr>
                <w:ilvl w:val="0"/>
                <w:numId w:val="147"/>
              </w:numPr>
              <w:spacing w:after="0" w:line="240" w:lineRule="auto"/>
              <w:ind w:left="183" w:hanging="183"/>
              <w:jc w:val="both"/>
              <w:rPr>
                <w:rFonts w:ascii="Times New Roman" w:hAnsi="Times New Roman"/>
                <w:sz w:val="24"/>
                <w:szCs w:val="24"/>
              </w:rPr>
            </w:pPr>
            <w:r w:rsidRPr="006143D6">
              <w:rPr>
                <w:rFonts w:ascii="Times New Roman" w:hAnsi="Times New Roman"/>
                <w:sz w:val="24"/>
                <w:szCs w:val="24"/>
              </w:rPr>
              <w:t>Etablir des plans d’intervention (consigne d’incendie, etc.)  Et d’évacuation (issue de secours…) …etc. ;</w:t>
            </w:r>
          </w:p>
          <w:p w:rsidR="00025185" w:rsidRDefault="006143D6" w:rsidP="00FA3FAE">
            <w:pPr>
              <w:pStyle w:val="PargrafodaLista"/>
              <w:numPr>
                <w:ilvl w:val="0"/>
                <w:numId w:val="147"/>
              </w:numPr>
              <w:spacing w:after="0" w:line="240" w:lineRule="auto"/>
              <w:ind w:left="183" w:hanging="183"/>
              <w:jc w:val="both"/>
              <w:rPr>
                <w:rFonts w:ascii="Times New Roman" w:hAnsi="Times New Roman"/>
                <w:sz w:val="24"/>
                <w:szCs w:val="24"/>
              </w:rPr>
            </w:pPr>
            <w:r w:rsidRPr="006143D6">
              <w:rPr>
                <w:rFonts w:ascii="Times New Roman" w:hAnsi="Times New Roman"/>
                <w:sz w:val="24"/>
                <w:szCs w:val="24"/>
              </w:rPr>
              <w:t>Interdire de fumer au niveau des sites du chantier po</w:t>
            </w:r>
            <w:r w:rsidR="00CE2734">
              <w:rPr>
                <w:rFonts w:ascii="Times New Roman" w:hAnsi="Times New Roman"/>
                <w:sz w:val="24"/>
                <w:szCs w:val="24"/>
              </w:rPr>
              <w:t>ur éviter de provoquer des feux</w:t>
            </w:r>
            <w:r w:rsidRPr="006143D6">
              <w:rPr>
                <w:rFonts w:ascii="Times New Roman" w:hAnsi="Times New Roman"/>
                <w:sz w:val="24"/>
                <w:szCs w:val="24"/>
              </w:rPr>
              <w:t>;</w:t>
            </w:r>
          </w:p>
        </w:tc>
      </w:tr>
      <w:tr w:rsidR="006143D6" w:rsidTr="00C874C2">
        <w:tc>
          <w:tcPr>
            <w:tcW w:w="1702" w:type="dxa"/>
            <w:shd w:val="clear" w:color="auto" w:fill="F2F2F2" w:themeFill="background1" w:themeFillShade="F2"/>
            <w:vAlign w:val="center"/>
          </w:tcPr>
          <w:p w:rsidR="006143D6" w:rsidRPr="00C874C2" w:rsidRDefault="006143D6" w:rsidP="00C874C2">
            <w:pPr>
              <w:spacing w:after="200"/>
              <w:ind w:right="28"/>
              <w:jc w:val="center"/>
              <w:rPr>
                <w:rFonts w:ascii="Times New Roman" w:hAnsi="Times New Roman"/>
                <w:b/>
                <w:sz w:val="24"/>
                <w:szCs w:val="24"/>
              </w:rPr>
            </w:pPr>
            <w:r w:rsidRPr="00C874C2">
              <w:rPr>
                <w:rFonts w:ascii="Times New Roman" w:hAnsi="Times New Roman"/>
                <w:b/>
                <w:sz w:val="24"/>
                <w:szCs w:val="24"/>
              </w:rPr>
              <w:t>Risques liés au manque d’hygiène corporelle</w:t>
            </w:r>
          </w:p>
        </w:tc>
        <w:tc>
          <w:tcPr>
            <w:tcW w:w="5812" w:type="dxa"/>
          </w:tcPr>
          <w:p w:rsidR="006143D6" w:rsidRDefault="006143D6" w:rsidP="00096E01">
            <w:pPr>
              <w:tabs>
                <w:tab w:val="left" w:pos="1273"/>
              </w:tabs>
              <w:jc w:val="both"/>
              <w:rPr>
                <w:rFonts w:ascii="Times New Roman" w:hAnsi="Times New Roman"/>
                <w:sz w:val="24"/>
                <w:szCs w:val="24"/>
              </w:rPr>
            </w:pPr>
            <w:r w:rsidRPr="006143D6">
              <w:rPr>
                <w:rFonts w:ascii="Times New Roman" w:hAnsi="Times New Roman"/>
                <w:sz w:val="24"/>
                <w:szCs w:val="24"/>
              </w:rPr>
              <w:t>Ce sont des risques d’atteinte à la santé, ou liés à l’absence de moyens nécessaires pour permettre l’hygiène corporelle du personnel. Ce risque peut être lié aussi à l’absence de moyens et de personnels pour les premiers soins et notamment les blessures bénignes.</w:t>
            </w:r>
          </w:p>
        </w:tc>
        <w:tc>
          <w:tcPr>
            <w:tcW w:w="7371" w:type="dxa"/>
          </w:tcPr>
          <w:p w:rsidR="006143D6" w:rsidRPr="006143D6" w:rsidRDefault="006143D6" w:rsidP="00FA3FAE">
            <w:pPr>
              <w:pStyle w:val="PargrafodaLista"/>
              <w:numPr>
                <w:ilvl w:val="0"/>
                <w:numId w:val="147"/>
              </w:numPr>
              <w:spacing w:after="0" w:line="240" w:lineRule="auto"/>
              <w:ind w:left="183" w:hanging="183"/>
              <w:jc w:val="both"/>
              <w:rPr>
                <w:rFonts w:ascii="Times New Roman" w:hAnsi="Times New Roman"/>
                <w:sz w:val="24"/>
                <w:szCs w:val="24"/>
              </w:rPr>
            </w:pPr>
            <w:r w:rsidRPr="006143D6">
              <w:rPr>
                <w:rFonts w:ascii="Times New Roman" w:hAnsi="Times New Roman"/>
                <w:sz w:val="24"/>
                <w:szCs w:val="24"/>
              </w:rPr>
              <w:t>Installer des WC en nombre suffisant avec des laves mains, des points d’eau potable, des vestiaires.</w:t>
            </w:r>
          </w:p>
          <w:p w:rsidR="006143D6" w:rsidRPr="006143D6" w:rsidRDefault="006143D6" w:rsidP="00FA3FAE">
            <w:pPr>
              <w:pStyle w:val="PargrafodaLista"/>
              <w:numPr>
                <w:ilvl w:val="0"/>
                <w:numId w:val="147"/>
              </w:numPr>
              <w:spacing w:after="0" w:line="240" w:lineRule="auto"/>
              <w:ind w:left="183" w:hanging="183"/>
              <w:jc w:val="both"/>
              <w:rPr>
                <w:rFonts w:ascii="Times New Roman" w:hAnsi="Times New Roman"/>
                <w:sz w:val="24"/>
                <w:szCs w:val="24"/>
              </w:rPr>
            </w:pPr>
            <w:r w:rsidRPr="006143D6">
              <w:rPr>
                <w:rFonts w:ascii="Times New Roman" w:hAnsi="Times New Roman"/>
                <w:sz w:val="24"/>
                <w:szCs w:val="24"/>
              </w:rPr>
              <w:t xml:space="preserve">Maintenir constamment l’état de propreté des équipements sanitaires, séparer les hommes des femmes  </w:t>
            </w:r>
          </w:p>
          <w:p w:rsidR="006143D6" w:rsidRPr="006143D6" w:rsidRDefault="006143D6" w:rsidP="00FA3FAE">
            <w:pPr>
              <w:pStyle w:val="PargrafodaLista"/>
              <w:numPr>
                <w:ilvl w:val="0"/>
                <w:numId w:val="147"/>
              </w:numPr>
              <w:spacing w:after="0" w:line="240" w:lineRule="auto"/>
              <w:ind w:left="183" w:hanging="183"/>
              <w:jc w:val="both"/>
              <w:rPr>
                <w:rFonts w:ascii="Times New Roman" w:hAnsi="Times New Roman"/>
                <w:sz w:val="24"/>
                <w:szCs w:val="24"/>
              </w:rPr>
            </w:pPr>
            <w:r w:rsidRPr="006143D6">
              <w:rPr>
                <w:rFonts w:ascii="Times New Roman" w:hAnsi="Times New Roman"/>
                <w:sz w:val="24"/>
                <w:szCs w:val="24"/>
              </w:rPr>
              <w:t>Effectuer des visites médicales régulièrement</w:t>
            </w:r>
          </w:p>
          <w:p w:rsidR="006143D6" w:rsidRDefault="006143D6" w:rsidP="00FA3FAE">
            <w:pPr>
              <w:pStyle w:val="PargrafodaLista"/>
              <w:numPr>
                <w:ilvl w:val="0"/>
                <w:numId w:val="147"/>
              </w:numPr>
              <w:spacing w:after="0" w:line="240" w:lineRule="auto"/>
              <w:ind w:left="183" w:hanging="183"/>
              <w:jc w:val="both"/>
              <w:rPr>
                <w:rFonts w:ascii="Times New Roman" w:hAnsi="Times New Roman"/>
                <w:sz w:val="24"/>
                <w:szCs w:val="24"/>
              </w:rPr>
            </w:pPr>
            <w:r w:rsidRPr="006143D6">
              <w:rPr>
                <w:rFonts w:ascii="Times New Roman" w:hAnsi="Times New Roman"/>
                <w:sz w:val="24"/>
                <w:szCs w:val="24"/>
              </w:rPr>
              <w:t>Présence d’une trousse de secours sur la base de chantier.</w:t>
            </w:r>
          </w:p>
        </w:tc>
      </w:tr>
      <w:tr w:rsidR="006143D6" w:rsidTr="00C874C2">
        <w:tc>
          <w:tcPr>
            <w:tcW w:w="1702" w:type="dxa"/>
            <w:shd w:val="clear" w:color="auto" w:fill="F2F2F2" w:themeFill="background1" w:themeFillShade="F2"/>
            <w:vAlign w:val="center"/>
          </w:tcPr>
          <w:p w:rsidR="006143D6" w:rsidRPr="00C874C2" w:rsidRDefault="006143D6" w:rsidP="00C874C2">
            <w:pPr>
              <w:spacing w:after="200"/>
              <w:ind w:right="28"/>
              <w:jc w:val="center"/>
              <w:rPr>
                <w:rFonts w:ascii="Times New Roman" w:hAnsi="Times New Roman"/>
                <w:b/>
                <w:sz w:val="24"/>
                <w:szCs w:val="24"/>
              </w:rPr>
            </w:pPr>
            <w:r w:rsidRPr="00C874C2">
              <w:rPr>
                <w:rFonts w:ascii="Times New Roman" w:hAnsi="Times New Roman"/>
                <w:b/>
                <w:sz w:val="24"/>
                <w:szCs w:val="24"/>
              </w:rPr>
              <w:t>Risques liés au travail de nuit</w:t>
            </w:r>
          </w:p>
        </w:tc>
        <w:tc>
          <w:tcPr>
            <w:tcW w:w="5812" w:type="dxa"/>
          </w:tcPr>
          <w:p w:rsidR="006143D6" w:rsidRDefault="006143D6" w:rsidP="00096E01">
            <w:pPr>
              <w:tabs>
                <w:tab w:val="left" w:pos="1273"/>
              </w:tabs>
              <w:jc w:val="both"/>
              <w:rPr>
                <w:rFonts w:ascii="Times New Roman" w:hAnsi="Times New Roman"/>
                <w:sz w:val="24"/>
                <w:szCs w:val="24"/>
              </w:rPr>
            </w:pPr>
            <w:r w:rsidRPr="006143D6">
              <w:rPr>
                <w:rFonts w:ascii="Times New Roman" w:hAnsi="Times New Roman"/>
                <w:sz w:val="24"/>
                <w:szCs w:val="24"/>
              </w:rPr>
              <w:t>Les risques liés au travail de nuit ont des impacts grave</w:t>
            </w:r>
            <w:r w:rsidR="00830B1F">
              <w:rPr>
                <w:rFonts w:ascii="Times New Roman" w:hAnsi="Times New Roman"/>
                <w:sz w:val="24"/>
                <w:szCs w:val="24"/>
              </w:rPr>
              <w:t>s</w:t>
            </w:r>
            <w:r w:rsidRPr="006143D6">
              <w:rPr>
                <w:rFonts w:ascii="Times New Roman" w:hAnsi="Times New Roman"/>
                <w:sz w:val="24"/>
                <w:szCs w:val="24"/>
              </w:rPr>
              <w:t xml:space="preserve"> sur la santé, provoquent une grande fatigue physique et psychique. Ce sont des risques liés au manque de sommeil des travailleurs de la nuit et principalement des veilleurs de nuit.</w:t>
            </w:r>
          </w:p>
        </w:tc>
        <w:tc>
          <w:tcPr>
            <w:tcW w:w="7371" w:type="dxa"/>
          </w:tcPr>
          <w:p w:rsidR="006143D6" w:rsidRPr="006143D6" w:rsidRDefault="006143D6" w:rsidP="00FA3FAE">
            <w:pPr>
              <w:pStyle w:val="PargrafodaLista"/>
              <w:numPr>
                <w:ilvl w:val="0"/>
                <w:numId w:val="147"/>
              </w:numPr>
              <w:spacing w:after="0" w:line="240" w:lineRule="auto"/>
              <w:ind w:left="183" w:hanging="183"/>
              <w:jc w:val="both"/>
              <w:rPr>
                <w:rFonts w:ascii="Times New Roman" w:hAnsi="Times New Roman"/>
                <w:sz w:val="24"/>
                <w:szCs w:val="24"/>
              </w:rPr>
            </w:pPr>
            <w:r w:rsidRPr="006143D6">
              <w:rPr>
                <w:rFonts w:ascii="Times New Roman" w:hAnsi="Times New Roman"/>
                <w:sz w:val="24"/>
                <w:szCs w:val="24"/>
              </w:rPr>
              <w:t xml:space="preserve">Comme c’est des travaux </w:t>
            </w:r>
            <w:r w:rsidR="00CE2734">
              <w:rPr>
                <w:rFonts w:ascii="Times New Roman" w:hAnsi="Times New Roman"/>
                <w:sz w:val="24"/>
                <w:szCs w:val="24"/>
                <w:lang w:val="fr-FR"/>
              </w:rPr>
              <w:t>de</w:t>
            </w:r>
            <w:r w:rsidR="00B315BD">
              <w:rPr>
                <w:rFonts w:ascii="Times New Roman" w:hAnsi="Times New Roman"/>
                <w:sz w:val="24"/>
                <w:szCs w:val="24"/>
                <w:lang w:val="fr-FR"/>
              </w:rPr>
              <w:t>s</w:t>
            </w:r>
            <w:r w:rsidR="00CE2734">
              <w:rPr>
                <w:rFonts w:ascii="Times New Roman" w:hAnsi="Times New Roman"/>
                <w:sz w:val="24"/>
                <w:szCs w:val="24"/>
                <w:lang w:val="fr-FR"/>
              </w:rPr>
              <w:t xml:space="preserve"> construction</w:t>
            </w:r>
            <w:r w:rsidR="00B315BD">
              <w:rPr>
                <w:rFonts w:ascii="Times New Roman" w:hAnsi="Times New Roman"/>
                <w:sz w:val="24"/>
                <w:szCs w:val="24"/>
                <w:lang w:val="fr-FR"/>
              </w:rPr>
              <w:t>s</w:t>
            </w:r>
            <w:r w:rsidR="00CE2734">
              <w:rPr>
                <w:rFonts w:ascii="Times New Roman" w:hAnsi="Times New Roman"/>
                <w:sz w:val="24"/>
                <w:szCs w:val="24"/>
                <w:lang w:val="fr-FR"/>
              </w:rPr>
              <w:t xml:space="preserve"> de réservoir </w:t>
            </w:r>
            <w:r w:rsidRPr="006143D6">
              <w:rPr>
                <w:rFonts w:ascii="Times New Roman" w:hAnsi="Times New Roman"/>
                <w:sz w:val="24"/>
                <w:szCs w:val="24"/>
              </w:rPr>
              <w:t>en milieu rural et urbain, il est fortement recommandé d’effectuer les travaux pendant la journée ;</w:t>
            </w:r>
          </w:p>
          <w:p w:rsidR="006143D6" w:rsidRPr="006143D6" w:rsidRDefault="006143D6" w:rsidP="00FA3FAE">
            <w:pPr>
              <w:pStyle w:val="PargrafodaLista"/>
              <w:numPr>
                <w:ilvl w:val="0"/>
                <w:numId w:val="147"/>
              </w:numPr>
              <w:spacing w:after="0" w:line="240" w:lineRule="auto"/>
              <w:ind w:left="183" w:hanging="183"/>
              <w:jc w:val="both"/>
              <w:rPr>
                <w:rFonts w:ascii="Times New Roman" w:hAnsi="Times New Roman"/>
                <w:sz w:val="24"/>
                <w:szCs w:val="24"/>
              </w:rPr>
            </w:pPr>
            <w:r w:rsidRPr="006143D6">
              <w:rPr>
                <w:rFonts w:ascii="Times New Roman" w:hAnsi="Times New Roman"/>
                <w:sz w:val="24"/>
                <w:szCs w:val="24"/>
              </w:rPr>
              <w:t>Réorganiser le travail en diminuant les cadences (faire des cycles sur deux semaines de 3 et 4 nuits pour les veilleurs de nuit)</w:t>
            </w:r>
          </w:p>
        </w:tc>
      </w:tr>
      <w:tr w:rsidR="006143D6" w:rsidTr="00C874C2">
        <w:tc>
          <w:tcPr>
            <w:tcW w:w="1702" w:type="dxa"/>
            <w:shd w:val="clear" w:color="auto" w:fill="F2F2F2" w:themeFill="background1" w:themeFillShade="F2"/>
            <w:vAlign w:val="center"/>
          </w:tcPr>
          <w:p w:rsidR="006143D6" w:rsidRPr="00C874C2" w:rsidRDefault="006143D6" w:rsidP="00C874C2">
            <w:pPr>
              <w:spacing w:after="200"/>
              <w:ind w:right="28"/>
              <w:jc w:val="center"/>
              <w:rPr>
                <w:rFonts w:ascii="Times New Roman" w:hAnsi="Times New Roman"/>
                <w:b/>
                <w:sz w:val="24"/>
                <w:szCs w:val="24"/>
              </w:rPr>
            </w:pPr>
            <w:r w:rsidRPr="00C874C2">
              <w:rPr>
                <w:rFonts w:ascii="Times New Roman" w:hAnsi="Times New Roman"/>
                <w:b/>
                <w:sz w:val="24"/>
                <w:szCs w:val="24"/>
              </w:rPr>
              <w:t>Risque</w:t>
            </w:r>
            <w:r w:rsidR="000B6EDB">
              <w:rPr>
                <w:rFonts w:ascii="Times New Roman" w:hAnsi="Times New Roman"/>
                <w:b/>
                <w:sz w:val="24"/>
                <w:szCs w:val="24"/>
              </w:rPr>
              <w:t>s</w:t>
            </w:r>
            <w:r w:rsidRPr="00C874C2">
              <w:rPr>
                <w:rFonts w:ascii="Times New Roman" w:hAnsi="Times New Roman"/>
                <w:b/>
                <w:sz w:val="24"/>
                <w:szCs w:val="24"/>
              </w:rPr>
              <w:t xml:space="preserve"> d’inhalation de poussière</w:t>
            </w:r>
          </w:p>
        </w:tc>
        <w:tc>
          <w:tcPr>
            <w:tcW w:w="5812" w:type="dxa"/>
          </w:tcPr>
          <w:p w:rsidR="006143D6" w:rsidRDefault="00B315BD" w:rsidP="00B315BD">
            <w:pPr>
              <w:tabs>
                <w:tab w:val="left" w:pos="1273"/>
              </w:tabs>
              <w:jc w:val="both"/>
              <w:rPr>
                <w:rFonts w:ascii="Times New Roman" w:hAnsi="Times New Roman"/>
                <w:sz w:val="24"/>
                <w:szCs w:val="24"/>
              </w:rPr>
            </w:pPr>
            <w:r>
              <w:rPr>
                <w:rFonts w:ascii="Times New Roman" w:hAnsi="Times New Roman"/>
                <w:sz w:val="24"/>
                <w:szCs w:val="24"/>
              </w:rPr>
              <w:t xml:space="preserve">Les activités liées aux constructions des réservoirs </w:t>
            </w:r>
            <w:r w:rsidR="006143D6" w:rsidRPr="006143D6">
              <w:rPr>
                <w:rFonts w:ascii="Times New Roman" w:hAnsi="Times New Roman"/>
                <w:sz w:val="24"/>
                <w:szCs w:val="24"/>
              </w:rPr>
              <w:t>peuvent engendrer des émissions de particules de poussières dangereu</w:t>
            </w:r>
            <w:r>
              <w:rPr>
                <w:rFonts w:ascii="Times New Roman" w:hAnsi="Times New Roman"/>
                <w:sz w:val="24"/>
                <w:szCs w:val="24"/>
              </w:rPr>
              <w:t>ses pour la santé des personnes.</w:t>
            </w:r>
          </w:p>
        </w:tc>
        <w:tc>
          <w:tcPr>
            <w:tcW w:w="7371" w:type="dxa"/>
          </w:tcPr>
          <w:p w:rsidR="006143D6" w:rsidRPr="006143D6" w:rsidRDefault="00B315BD" w:rsidP="00FA3FAE">
            <w:pPr>
              <w:pStyle w:val="PargrafodaLista"/>
              <w:numPr>
                <w:ilvl w:val="0"/>
                <w:numId w:val="147"/>
              </w:numPr>
              <w:spacing w:after="0" w:line="240" w:lineRule="auto"/>
              <w:ind w:left="183" w:hanging="183"/>
              <w:jc w:val="both"/>
              <w:rPr>
                <w:rFonts w:ascii="Times New Roman" w:hAnsi="Times New Roman"/>
                <w:sz w:val="24"/>
                <w:szCs w:val="24"/>
              </w:rPr>
            </w:pPr>
            <w:r>
              <w:rPr>
                <w:rFonts w:ascii="Times New Roman" w:hAnsi="Times New Roman"/>
                <w:sz w:val="24"/>
                <w:szCs w:val="24"/>
              </w:rPr>
              <w:t>P</w:t>
            </w:r>
            <w:r w:rsidR="006143D6" w:rsidRPr="006143D6">
              <w:rPr>
                <w:rFonts w:ascii="Times New Roman" w:hAnsi="Times New Roman"/>
                <w:sz w:val="24"/>
                <w:szCs w:val="24"/>
              </w:rPr>
              <w:t>rocé</w:t>
            </w:r>
            <w:r>
              <w:rPr>
                <w:rFonts w:ascii="Times New Roman" w:hAnsi="Times New Roman"/>
                <w:sz w:val="24"/>
                <w:szCs w:val="24"/>
              </w:rPr>
              <w:t>der à des</w:t>
            </w:r>
            <w:r w:rsidR="000C12E5">
              <w:rPr>
                <w:rFonts w:ascii="Times New Roman" w:hAnsi="Times New Roman"/>
                <w:sz w:val="24"/>
                <w:szCs w:val="24"/>
              </w:rPr>
              <w:t xml:space="preserve"> arrosages sur tous les sites (</w:t>
            </w:r>
            <w:r w:rsidR="000C12E5">
              <w:rPr>
                <w:rFonts w:ascii="Times New Roman" w:hAnsi="Times New Roman"/>
                <w:sz w:val="24"/>
                <w:szCs w:val="24"/>
                <w:lang w:val="fr-FR"/>
              </w:rPr>
              <w:t>S</w:t>
            </w:r>
            <w:r>
              <w:rPr>
                <w:rFonts w:ascii="Times New Roman" w:hAnsi="Times New Roman"/>
                <w:sz w:val="24"/>
                <w:szCs w:val="24"/>
              </w:rPr>
              <w:t>afim,</w:t>
            </w:r>
            <w:r w:rsidR="005D18F3">
              <w:rPr>
                <w:rFonts w:ascii="Times New Roman" w:hAnsi="Times New Roman"/>
                <w:sz w:val="24"/>
                <w:szCs w:val="24"/>
                <w:lang w:val="fr-FR"/>
              </w:rPr>
              <w:t xml:space="preserve"> </w:t>
            </w:r>
            <w:r w:rsidR="000C12E5">
              <w:rPr>
                <w:rFonts w:ascii="Times New Roman" w:hAnsi="Times New Roman"/>
                <w:sz w:val="24"/>
                <w:szCs w:val="24"/>
              </w:rPr>
              <w:t>Antula, Bor, P</w:t>
            </w:r>
            <w:r>
              <w:rPr>
                <w:rFonts w:ascii="Times New Roman" w:hAnsi="Times New Roman"/>
                <w:sz w:val="24"/>
                <w:szCs w:val="24"/>
              </w:rPr>
              <w:t>rabis, aéroport)</w:t>
            </w:r>
          </w:p>
          <w:p w:rsidR="006143D6" w:rsidRPr="006143D6" w:rsidRDefault="006143D6" w:rsidP="00FA3FAE">
            <w:pPr>
              <w:pStyle w:val="PargrafodaLista"/>
              <w:numPr>
                <w:ilvl w:val="0"/>
                <w:numId w:val="147"/>
              </w:numPr>
              <w:spacing w:after="0" w:line="240" w:lineRule="auto"/>
              <w:ind w:left="183" w:hanging="183"/>
              <w:jc w:val="both"/>
              <w:rPr>
                <w:rFonts w:ascii="Times New Roman" w:hAnsi="Times New Roman"/>
                <w:sz w:val="24"/>
                <w:szCs w:val="24"/>
              </w:rPr>
            </w:pPr>
            <w:r w:rsidRPr="006143D6">
              <w:rPr>
                <w:rFonts w:ascii="Times New Roman" w:hAnsi="Times New Roman"/>
                <w:sz w:val="24"/>
                <w:szCs w:val="24"/>
              </w:rPr>
              <w:t>Equiper les ouvriers de masques de respiration</w:t>
            </w:r>
          </w:p>
          <w:p w:rsidR="006143D6" w:rsidRPr="006143D6" w:rsidRDefault="006143D6" w:rsidP="00FA3FAE">
            <w:pPr>
              <w:pStyle w:val="PargrafodaLista"/>
              <w:numPr>
                <w:ilvl w:val="0"/>
                <w:numId w:val="147"/>
              </w:numPr>
              <w:spacing w:after="0" w:line="240" w:lineRule="auto"/>
              <w:ind w:left="183" w:hanging="183"/>
              <w:jc w:val="both"/>
              <w:rPr>
                <w:rFonts w:ascii="Times New Roman" w:hAnsi="Times New Roman"/>
                <w:sz w:val="24"/>
                <w:szCs w:val="24"/>
              </w:rPr>
            </w:pPr>
            <w:r w:rsidRPr="006143D6">
              <w:rPr>
                <w:rFonts w:ascii="Times New Roman" w:hAnsi="Times New Roman"/>
                <w:sz w:val="24"/>
                <w:szCs w:val="24"/>
              </w:rPr>
              <w:t>Trouver des méthodes et engins beaucoup plus op</w:t>
            </w:r>
            <w:r w:rsidR="005D18F3">
              <w:rPr>
                <w:rFonts w:ascii="Times New Roman" w:hAnsi="Times New Roman"/>
                <w:sz w:val="24"/>
                <w:szCs w:val="24"/>
              </w:rPr>
              <w:t>érationnels en milieu urbain</w:t>
            </w:r>
          </w:p>
          <w:p w:rsidR="006143D6" w:rsidRDefault="006143D6" w:rsidP="00FA3FAE">
            <w:pPr>
              <w:pStyle w:val="PargrafodaLista"/>
              <w:numPr>
                <w:ilvl w:val="0"/>
                <w:numId w:val="147"/>
              </w:numPr>
              <w:spacing w:after="0" w:line="240" w:lineRule="auto"/>
              <w:ind w:left="183" w:hanging="183"/>
              <w:jc w:val="both"/>
              <w:rPr>
                <w:rFonts w:ascii="Times New Roman" w:hAnsi="Times New Roman"/>
                <w:sz w:val="24"/>
                <w:szCs w:val="24"/>
              </w:rPr>
            </w:pPr>
            <w:r w:rsidRPr="006143D6">
              <w:rPr>
                <w:rFonts w:ascii="Times New Roman" w:hAnsi="Times New Roman"/>
                <w:sz w:val="24"/>
                <w:szCs w:val="24"/>
              </w:rPr>
              <w:lastRenderedPageBreak/>
              <w:t>Sensibiliser les ouvriers pour mieux gérer les émissions de poussière</w:t>
            </w:r>
          </w:p>
        </w:tc>
      </w:tr>
      <w:tr w:rsidR="006143D6" w:rsidTr="00C874C2">
        <w:tc>
          <w:tcPr>
            <w:tcW w:w="1702" w:type="dxa"/>
            <w:shd w:val="clear" w:color="auto" w:fill="F2F2F2" w:themeFill="background1" w:themeFillShade="F2"/>
            <w:vAlign w:val="center"/>
          </w:tcPr>
          <w:p w:rsidR="00096E01" w:rsidRPr="00C874C2" w:rsidRDefault="00096E01" w:rsidP="00C874C2">
            <w:pPr>
              <w:spacing w:after="200"/>
              <w:ind w:right="28"/>
              <w:jc w:val="center"/>
              <w:rPr>
                <w:rFonts w:ascii="Times New Roman" w:hAnsi="Times New Roman"/>
                <w:b/>
                <w:sz w:val="24"/>
                <w:szCs w:val="24"/>
              </w:rPr>
            </w:pPr>
            <w:r w:rsidRPr="00C874C2">
              <w:rPr>
                <w:rFonts w:ascii="Times New Roman" w:hAnsi="Times New Roman"/>
                <w:b/>
                <w:sz w:val="24"/>
                <w:szCs w:val="24"/>
              </w:rPr>
              <w:lastRenderedPageBreak/>
              <w:t>Risques liés au ciment</w:t>
            </w:r>
          </w:p>
          <w:p w:rsidR="006143D6" w:rsidRPr="00C874C2" w:rsidRDefault="006143D6" w:rsidP="00C874C2">
            <w:pPr>
              <w:spacing w:after="200"/>
              <w:ind w:right="28"/>
              <w:jc w:val="center"/>
              <w:rPr>
                <w:rFonts w:ascii="Times New Roman" w:hAnsi="Times New Roman"/>
                <w:b/>
                <w:sz w:val="24"/>
                <w:szCs w:val="24"/>
              </w:rPr>
            </w:pPr>
          </w:p>
        </w:tc>
        <w:tc>
          <w:tcPr>
            <w:tcW w:w="5812" w:type="dxa"/>
          </w:tcPr>
          <w:p w:rsidR="00096E01" w:rsidRPr="00096E01" w:rsidRDefault="00096E01" w:rsidP="00096E01">
            <w:pPr>
              <w:tabs>
                <w:tab w:val="left" w:pos="1273"/>
              </w:tabs>
              <w:jc w:val="both"/>
              <w:rPr>
                <w:rFonts w:ascii="Times New Roman" w:hAnsi="Times New Roman"/>
                <w:sz w:val="24"/>
                <w:szCs w:val="24"/>
              </w:rPr>
            </w:pPr>
            <w:r w:rsidRPr="00096E01">
              <w:rPr>
                <w:rFonts w:ascii="Times New Roman" w:hAnsi="Times New Roman"/>
                <w:sz w:val="24"/>
                <w:szCs w:val="24"/>
              </w:rPr>
              <w:t>Le ciment de maçonnerie est corrosif. Une exposition de courte durée à la poudre sèche présente peu de risque. Toutefois, une exposition d’une durée suffisante au ciment de maçonnerie sec ou humide peut provoquer de graves lésions potentiellement irréversibles des tissus (peau et yeux) sous forme de brûlures chimiques (caustiques) jusqu’au troisième degré.</w:t>
            </w:r>
          </w:p>
          <w:p w:rsidR="00096E01" w:rsidRPr="000C12E5" w:rsidRDefault="00096E01" w:rsidP="00FA3FAE">
            <w:pPr>
              <w:pStyle w:val="PargrafodaLista"/>
              <w:numPr>
                <w:ilvl w:val="0"/>
                <w:numId w:val="222"/>
              </w:numPr>
              <w:tabs>
                <w:tab w:val="left" w:pos="1273"/>
              </w:tabs>
              <w:spacing w:after="0" w:line="240" w:lineRule="auto"/>
              <w:jc w:val="both"/>
              <w:rPr>
                <w:rFonts w:ascii="Times New Roman" w:hAnsi="Times New Roman"/>
                <w:sz w:val="24"/>
                <w:szCs w:val="24"/>
              </w:rPr>
            </w:pPr>
            <w:r w:rsidRPr="000C12E5">
              <w:rPr>
                <w:rFonts w:ascii="Times New Roman" w:hAnsi="Times New Roman"/>
                <w:sz w:val="24"/>
                <w:szCs w:val="24"/>
              </w:rPr>
              <w:t>Effets potentiels sur la santé ;</w:t>
            </w:r>
          </w:p>
          <w:p w:rsidR="00096E01" w:rsidRPr="000C12E5" w:rsidRDefault="00096E01" w:rsidP="00FA3FAE">
            <w:pPr>
              <w:pStyle w:val="PargrafodaLista"/>
              <w:numPr>
                <w:ilvl w:val="0"/>
                <w:numId w:val="222"/>
              </w:numPr>
              <w:tabs>
                <w:tab w:val="left" w:pos="1273"/>
              </w:tabs>
              <w:spacing w:after="0" w:line="240" w:lineRule="auto"/>
              <w:jc w:val="both"/>
              <w:rPr>
                <w:rFonts w:ascii="Times New Roman" w:hAnsi="Times New Roman"/>
                <w:sz w:val="24"/>
                <w:szCs w:val="24"/>
              </w:rPr>
            </w:pPr>
            <w:r w:rsidRPr="000C12E5">
              <w:rPr>
                <w:rFonts w:ascii="Times New Roman" w:hAnsi="Times New Roman"/>
                <w:sz w:val="24"/>
                <w:szCs w:val="24"/>
              </w:rPr>
              <w:t xml:space="preserve">Effets nocifs d’un contact </w:t>
            </w:r>
            <w:r w:rsidR="005D18F3" w:rsidRPr="000C12E5">
              <w:rPr>
                <w:rFonts w:ascii="Times New Roman" w:hAnsi="Times New Roman"/>
                <w:sz w:val="24"/>
                <w:szCs w:val="24"/>
              </w:rPr>
              <w:t>oculaire</w:t>
            </w:r>
            <w:r w:rsidRPr="000C12E5">
              <w:rPr>
                <w:rFonts w:ascii="Times New Roman" w:hAnsi="Times New Roman"/>
                <w:sz w:val="24"/>
                <w:szCs w:val="24"/>
              </w:rPr>
              <w:t xml:space="preserve"> ;</w:t>
            </w:r>
          </w:p>
          <w:p w:rsidR="00096E01" w:rsidRPr="000C12E5" w:rsidRDefault="00096E01" w:rsidP="00FA3FAE">
            <w:pPr>
              <w:pStyle w:val="PargrafodaLista"/>
              <w:numPr>
                <w:ilvl w:val="0"/>
                <w:numId w:val="222"/>
              </w:numPr>
              <w:tabs>
                <w:tab w:val="left" w:pos="1273"/>
              </w:tabs>
              <w:spacing w:after="0" w:line="240" w:lineRule="auto"/>
              <w:jc w:val="both"/>
              <w:rPr>
                <w:rFonts w:ascii="Times New Roman" w:hAnsi="Times New Roman"/>
                <w:sz w:val="24"/>
                <w:szCs w:val="24"/>
              </w:rPr>
            </w:pPr>
            <w:r w:rsidRPr="000C12E5">
              <w:rPr>
                <w:rFonts w:ascii="Times New Roman" w:hAnsi="Times New Roman"/>
                <w:sz w:val="24"/>
                <w:szCs w:val="24"/>
              </w:rPr>
              <w:t>Effets nocifs d’un contact cutané ;</w:t>
            </w:r>
          </w:p>
          <w:p w:rsidR="00096E01" w:rsidRPr="000C12E5" w:rsidRDefault="00096E01" w:rsidP="00FA3FAE">
            <w:pPr>
              <w:pStyle w:val="PargrafodaLista"/>
              <w:numPr>
                <w:ilvl w:val="0"/>
                <w:numId w:val="222"/>
              </w:numPr>
              <w:tabs>
                <w:tab w:val="left" w:pos="1273"/>
              </w:tabs>
              <w:spacing w:after="0" w:line="240" w:lineRule="auto"/>
              <w:jc w:val="both"/>
              <w:rPr>
                <w:rFonts w:ascii="Times New Roman" w:hAnsi="Times New Roman"/>
                <w:sz w:val="24"/>
                <w:szCs w:val="24"/>
              </w:rPr>
            </w:pPr>
            <w:r w:rsidRPr="000C12E5">
              <w:rPr>
                <w:rFonts w:ascii="Times New Roman" w:hAnsi="Times New Roman"/>
                <w:sz w:val="24"/>
                <w:szCs w:val="24"/>
              </w:rPr>
              <w:t>Effets nocifs de l’inhalation ;</w:t>
            </w:r>
          </w:p>
          <w:p w:rsidR="006143D6" w:rsidRPr="000C12E5" w:rsidRDefault="00096E01" w:rsidP="00FA3FAE">
            <w:pPr>
              <w:pStyle w:val="PargrafodaLista"/>
              <w:numPr>
                <w:ilvl w:val="0"/>
                <w:numId w:val="222"/>
              </w:numPr>
              <w:tabs>
                <w:tab w:val="left" w:pos="1273"/>
              </w:tabs>
              <w:spacing w:after="0" w:line="240" w:lineRule="auto"/>
              <w:jc w:val="both"/>
              <w:rPr>
                <w:rFonts w:ascii="Times New Roman" w:hAnsi="Times New Roman"/>
                <w:sz w:val="24"/>
                <w:szCs w:val="24"/>
              </w:rPr>
            </w:pPr>
            <w:r w:rsidRPr="000C12E5">
              <w:rPr>
                <w:rFonts w:ascii="Times New Roman" w:hAnsi="Times New Roman"/>
                <w:sz w:val="24"/>
                <w:szCs w:val="24"/>
              </w:rPr>
              <w:t>Risque des espaces clos ;</w:t>
            </w:r>
          </w:p>
        </w:tc>
        <w:tc>
          <w:tcPr>
            <w:tcW w:w="7371" w:type="dxa"/>
          </w:tcPr>
          <w:p w:rsidR="005D18F3" w:rsidRPr="006143D6" w:rsidRDefault="005D18F3" w:rsidP="00FA3FAE">
            <w:pPr>
              <w:pStyle w:val="PargrafodaLista"/>
              <w:numPr>
                <w:ilvl w:val="0"/>
                <w:numId w:val="147"/>
              </w:numPr>
              <w:spacing w:after="0" w:line="240" w:lineRule="auto"/>
              <w:ind w:left="183" w:hanging="183"/>
              <w:jc w:val="both"/>
              <w:rPr>
                <w:rFonts w:ascii="Times New Roman" w:hAnsi="Times New Roman"/>
                <w:sz w:val="24"/>
                <w:szCs w:val="24"/>
              </w:rPr>
            </w:pPr>
            <w:r w:rsidRPr="006143D6">
              <w:rPr>
                <w:rFonts w:ascii="Times New Roman" w:hAnsi="Times New Roman"/>
                <w:sz w:val="24"/>
                <w:szCs w:val="24"/>
              </w:rPr>
              <w:t>Equiper les ouvriers de masques de respiration</w:t>
            </w:r>
            <w:r w:rsidR="00462F6D">
              <w:rPr>
                <w:rFonts w:ascii="Times New Roman" w:hAnsi="Times New Roman"/>
                <w:sz w:val="24"/>
                <w:szCs w:val="24"/>
              </w:rPr>
              <w:t> </w:t>
            </w:r>
            <w:r w:rsidR="00462F6D">
              <w:rPr>
                <w:rFonts w:ascii="Times New Roman" w:hAnsi="Times New Roman"/>
                <w:sz w:val="24"/>
                <w:szCs w:val="24"/>
                <w:lang w:val="fr-FR"/>
              </w:rPr>
              <w:t>;</w:t>
            </w:r>
          </w:p>
          <w:p w:rsidR="005D18F3" w:rsidRDefault="005D18F3" w:rsidP="00FA3FAE">
            <w:pPr>
              <w:pStyle w:val="PargrafodaLista"/>
              <w:numPr>
                <w:ilvl w:val="0"/>
                <w:numId w:val="147"/>
              </w:numPr>
              <w:spacing w:after="0" w:line="240" w:lineRule="auto"/>
              <w:ind w:left="183" w:hanging="183"/>
              <w:jc w:val="both"/>
              <w:rPr>
                <w:rFonts w:ascii="Times New Roman" w:hAnsi="Times New Roman"/>
                <w:sz w:val="24"/>
                <w:szCs w:val="24"/>
              </w:rPr>
            </w:pPr>
            <w:r w:rsidRPr="006143D6">
              <w:rPr>
                <w:rFonts w:ascii="Times New Roman" w:hAnsi="Times New Roman"/>
                <w:sz w:val="24"/>
                <w:szCs w:val="24"/>
              </w:rPr>
              <w:t>Porter les EPI;</w:t>
            </w:r>
          </w:p>
          <w:p w:rsidR="005D18F3" w:rsidRPr="005D18F3" w:rsidRDefault="005D18F3" w:rsidP="00FA3FAE">
            <w:pPr>
              <w:pStyle w:val="PargrafodaLista"/>
              <w:numPr>
                <w:ilvl w:val="0"/>
                <w:numId w:val="147"/>
              </w:numPr>
              <w:spacing w:after="0" w:line="240" w:lineRule="auto"/>
              <w:ind w:left="183" w:hanging="183"/>
              <w:jc w:val="both"/>
              <w:rPr>
                <w:rFonts w:ascii="Times New Roman" w:hAnsi="Times New Roman"/>
                <w:sz w:val="24"/>
                <w:szCs w:val="24"/>
              </w:rPr>
            </w:pPr>
            <w:r>
              <w:rPr>
                <w:rFonts w:ascii="Times New Roman" w:hAnsi="Times New Roman"/>
                <w:sz w:val="24"/>
                <w:szCs w:val="24"/>
                <w:lang w:val="fr-FR"/>
              </w:rPr>
              <w:t>Sensibiliser les ouvriers sur l’utilisation du ciment ;</w:t>
            </w:r>
          </w:p>
          <w:p w:rsidR="005D18F3" w:rsidRPr="005D18F3" w:rsidRDefault="005D18F3" w:rsidP="00FA3FAE">
            <w:pPr>
              <w:pStyle w:val="PargrafodaLista"/>
              <w:numPr>
                <w:ilvl w:val="0"/>
                <w:numId w:val="147"/>
              </w:numPr>
              <w:spacing w:after="0" w:line="240" w:lineRule="auto"/>
              <w:ind w:left="183" w:hanging="183"/>
              <w:jc w:val="both"/>
              <w:rPr>
                <w:rFonts w:ascii="Times New Roman" w:hAnsi="Times New Roman"/>
                <w:sz w:val="24"/>
                <w:szCs w:val="24"/>
              </w:rPr>
            </w:pPr>
            <w:r>
              <w:rPr>
                <w:rFonts w:ascii="Times New Roman" w:hAnsi="Times New Roman"/>
                <w:sz w:val="24"/>
                <w:szCs w:val="24"/>
              </w:rPr>
              <w:t>P</w:t>
            </w:r>
            <w:r w:rsidRPr="006143D6">
              <w:rPr>
                <w:rFonts w:ascii="Times New Roman" w:hAnsi="Times New Roman"/>
                <w:sz w:val="24"/>
                <w:szCs w:val="24"/>
              </w:rPr>
              <w:t>rocé</w:t>
            </w:r>
            <w:r>
              <w:rPr>
                <w:rFonts w:ascii="Times New Roman" w:hAnsi="Times New Roman"/>
                <w:sz w:val="24"/>
                <w:szCs w:val="24"/>
              </w:rPr>
              <w:t>der à des arrosages sur tous les</w:t>
            </w:r>
            <w:r>
              <w:rPr>
                <w:rFonts w:ascii="Times New Roman" w:hAnsi="Times New Roman"/>
                <w:sz w:val="24"/>
                <w:szCs w:val="24"/>
                <w:lang w:val="fr-FR"/>
              </w:rPr>
              <w:t xml:space="preserve"> sites ;</w:t>
            </w:r>
          </w:p>
          <w:p w:rsidR="00462F6D" w:rsidRPr="006143D6" w:rsidRDefault="00462F6D" w:rsidP="00FA3FAE">
            <w:pPr>
              <w:pStyle w:val="PargrafodaLista"/>
              <w:numPr>
                <w:ilvl w:val="0"/>
                <w:numId w:val="147"/>
              </w:numPr>
              <w:spacing w:after="0" w:line="240" w:lineRule="auto"/>
              <w:ind w:left="183" w:hanging="183"/>
              <w:jc w:val="both"/>
              <w:rPr>
                <w:rFonts w:ascii="Times New Roman" w:hAnsi="Times New Roman"/>
                <w:sz w:val="24"/>
                <w:szCs w:val="24"/>
              </w:rPr>
            </w:pPr>
            <w:r w:rsidRPr="006143D6">
              <w:rPr>
                <w:rFonts w:ascii="Times New Roman" w:hAnsi="Times New Roman"/>
                <w:sz w:val="24"/>
                <w:szCs w:val="24"/>
              </w:rPr>
              <w:t>Effectuer des visites médicales régulièrement</w:t>
            </w:r>
          </w:p>
          <w:p w:rsidR="005D18F3" w:rsidRPr="00830B1F" w:rsidRDefault="00462F6D" w:rsidP="00FA3FAE">
            <w:pPr>
              <w:pStyle w:val="PargrafodaLista"/>
              <w:numPr>
                <w:ilvl w:val="0"/>
                <w:numId w:val="147"/>
              </w:numPr>
              <w:spacing w:after="0" w:line="240" w:lineRule="auto"/>
              <w:ind w:left="183" w:hanging="183"/>
              <w:jc w:val="both"/>
              <w:rPr>
                <w:rFonts w:ascii="Times New Roman" w:hAnsi="Times New Roman"/>
                <w:sz w:val="24"/>
                <w:szCs w:val="24"/>
              </w:rPr>
            </w:pPr>
            <w:r w:rsidRPr="00096E01">
              <w:rPr>
                <w:rFonts w:ascii="Times New Roman" w:hAnsi="Times New Roman"/>
                <w:sz w:val="24"/>
                <w:szCs w:val="24"/>
              </w:rPr>
              <w:t>Former le personnel à la manutention</w:t>
            </w:r>
            <w:r>
              <w:rPr>
                <w:rFonts w:ascii="Times New Roman" w:hAnsi="Times New Roman"/>
                <w:sz w:val="24"/>
                <w:szCs w:val="24"/>
                <w:lang w:val="fr-FR"/>
              </w:rPr>
              <w:t xml:space="preserve"> du ciment ;</w:t>
            </w:r>
          </w:p>
          <w:p w:rsidR="00830B1F" w:rsidRPr="00830B1F" w:rsidRDefault="00830B1F" w:rsidP="00FA3FAE">
            <w:pPr>
              <w:pStyle w:val="PargrafodaLista"/>
              <w:numPr>
                <w:ilvl w:val="0"/>
                <w:numId w:val="147"/>
              </w:numPr>
              <w:spacing w:after="0" w:line="240" w:lineRule="auto"/>
              <w:ind w:left="183" w:hanging="183"/>
              <w:jc w:val="both"/>
              <w:rPr>
                <w:rFonts w:ascii="Times New Roman" w:hAnsi="Times New Roman"/>
                <w:sz w:val="24"/>
                <w:szCs w:val="24"/>
                <w:lang w:val="fr-FR"/>
              </w:rPr>
            </w:pPr>
            <w:r w:rsidRPr="00C66BB7">
              <w:rPr>
                <w:rFonts w:ascii="Times New Roman" w:hAnsi="Times New Roman"/>
                <w:sz w:val="24"/>
                <w:szCs w:val="24"/>
                <w:lang w:val="fr-FR"/>
              </w:rPr>
              <w:t xml:space="preserve">Dotation d’équipements complets de protection individuelle pour le personnel qui manipule le ciment et les matériaux </w:t>
            </w:r>
            <w:r w:rsidRPr="00766F57">
              <w:rPr>
                <w:rFonts w:ascii="Times New Roman" w:hAnsi="Times New Roman"/>
                <w:sz w:val="24"/>
                <w:szCs w:val="24"/>
                <w:lang w:val="fr-FR"/>
              </w:rPr>
              <w:t xml:space="preserve">pulvérulents </w:t>
            </w:r>
            <w:r w:rsidRPr="00C66BB7">
              <w:rPr>
                <w:rFonts w:ascii="Times New Roman" w:hAnsi="Times New Roman"/>
                <w:sz w:val="24"/>
                <w:szCs w:val="24"/>
                <w:lang w:val="fr-FR"/>
              </w:rPr>
              <w:t>(Casques, Lunettes Anti-poussière, masques anti-poussière FFP3, combinaisons jetables haute visibilité, chaussures de sécurité antidérapant, gants)</w:t>
            </w:r>
            <w:r>
              <w:rPr>
                <w:rFonts w:ascii="Times New Roman" w:hAnsi="Times New Roman"/>
                <w:sz w:val="24"/>
                <w:szCs w:val="24"/>
                <w:lang w:val="fr-FR"/>
              </w:rPr>
              <w:t>.</w:t>
            </w:r>
          </w:p>
          <w:p w:rsidR="006143D6" w:rsidRDefault="006143D6" w:rsidP="00096E01">
            <w:pPr>
              <w:jc w:val="both"/>
              <w:rPr>
                <w:rFonts w:ascii="Times New Roman" w:hAnsi="Times New Roman"/>
                <w:sz w:val="24"/>
                <w:szCs w:val="24"/>
              </w:rPr>
            </w:pPr>
          </w:p>
        </w:tc>
      </w:tr>
      <w:tr w:rsidR="00830B1F" w:rsidTr="00C874C2">
        <w:tc>
          <w:tcPr>
            <w:tcW w:w="1702" w:type="dxa"/>
            <w:shd w:val="clear" w:color="auto" w:fill="F2F2F2" w:themeFill="background1" w:themeFillShade="F2"/>
            <w:vAlign w:val="center"/>
          </w:tcPr>
          <w:p w:rsidR="00830B1F" w:rsidRPr="00DD0271" w:rsidRDefault="00830B1F" w:rsidP="00830B1F">
            <w:pPr>
              <w:spacing w:after="200"/>
              <w:ind w:right="28"/>
              <w:jc w:val="center"/>
              <w:rPr>
                <w:rFonts w:ascii="Times New Roman" w:hAnsi="Times New Roman"/>
                <w:b/>
                <w:sz w:val="24"/>
                <w:szCs w:val="24"/>
              </w:rPr>
            </w:pPr>
            <w:r w:rsidRPr="00DD0271">
              <w:rPr>
                <w:rFonts w:ascii="Times New Roman" w:hAnsi="Times New Roman"/>
                <w:b/>
                <w:sz w:val="24"/>
                <w:szCs w:val="24"/>
              </w:rPr>
              <w:t>Risques liés aux opérations de fouille et d’excavation ;</w:t>
            </w:r>
          </w:p>
          <w:p w:rsidR="00830B1F" w:rsidRPr="00206F59" w:rsidRDefault="00830B1F" w:rsidP="00830B1F">
            <w:pPr>
              <w:spacing w:after="200"/>
              <w:ind w:right="28"/>
              <w:jc w:val="center"/>
              <w:rPr>
                <w:rFonts w:ascii="Times New Roman" w:hAnsi="Times New Roman"/>
                <w:b/>
                <w:sz w:val="24"/>
                <w:szCs w:val="24"/>
              </w:rPr>
            </w:pPr>
          </w:p>
        </w:tc>
        <w:tc>
          <w:tcPr>
            <w:tcW w:w="5812" w:type="dxa"/>
          </w:tcPr>
          <w:p w:rsidR="00830B1F" w:rsidRPr="0008615A" w:rsidRDefault="00830B1F" w:rsidP="00830B1F">
            <w:pPr>
              <w:tabs>
                <w:tab w:val="left" w:pos="1273"/>
              </w:tabs>
              <w:jc w:val="both"/>
              <w:rPr>
                <w:rFonts w:ascii="Times New Roman" w:hAnsi="Times New Roman"/>
                <w:sz w:val="24"/>
                <w:szCs w:val="24"/>
              </w:rPr>
            </w:pPr>
            <w:r w:rsidRPr="0008615A">
              <w:rPr>
                <w:rFonts w:ascii="Times New Roman" w:hAnsi="Times New Roman"/>
                <w:sz w:val="24"/>
                <w:szCs w:val="24"/>
              </w:rPr>
              <w:t>Les risques associés à la réalisation des</w:t>
            </w:r>
            <w:r w:rsidRPr="00B0183F">
              <w:rPr>
                <w:rFonts w:ascii="Times New Roman" w:hAnsi="Times New Roman"/>
                <w:b/>
                <w:sz w:val="24"/>
                <w:szCs w:val="24"/>
              </w:rPr>
              <w:t xml:space="preserve"> </w:t>
            </w:r>
            <w:r w:rsidRPr="00B0183F">
              <w:rPr>
                <w:rFonts w:ascii="Times New Roman" w:hAnsi="Times New Roman"/>
                <w:sz w:val="24"/>
                <w:szCs w:val="24"/>
              </w:rPr>
              <w:t>fouille et d’excavation </w:t>
            </w:r>
            <w:r w:rsidRPr="0008615A">
              <w:rPr>
                <w:rFonts w:ascii="Times New Roman" w:hAnsi="Times New Roman"/>
                <w:sz w:val="24"/>
                <w:szCs w:val="24"/>
              </w:rPr>
              <w:t>sont les suivants :</w:t>
            </w:r>
          </w:p>
          <w:p w:rsidR="00830B1F" w:rsidRPr="0008615A" w:rsidRDefault="00830B1F" w:rsidP="00FA3FAE">
            <w:pPr>
              <w:pStyle w:val="PargrafodaLista"/>
              <w:numPr>
                <w:ilvl w:val="0"/>
                <w:numId w:val="222"/>
              </w:numPr>
              <w:tabs>
                <w:tab w:val="left" w:pos="1273"/>
              </w:tabs>
              <w:spacing w:after="0" w:line="240" w:lineRule="auto"/>
              <w:ind w:left="320" w:hanging="283"/>
              <w:jc w:val="both"/>
              <w:rPr>
                <w:rFonts w:ascii="Times New Roman" w:hAnsi="Times New Roman"/>
                <w:sz w:val="24"/>
                <w:szCs w:val="24"/>
                <w:lang w:val="fr-FR"/>
              </w:rPr>
            </w:pPr>
            <w:r w:rsidRPr="0008615A">
              <w:rPr>
                <w:rFonts w:ascii="Times New Roman" w:hAnsi="Times New Roman"/>
                <w:sz w:val="24"/>
                <w:szCs w:val="24"/>
                <w:lang w:val="fr-FR"/>
              </w:rPr>
              <w:t>Le renversement d’engin ou véhicules circulant sur les lieux de travail ;</w:t>
            </w:r>
          </w:p>
          <w:p w:rsidR="00830B1F" w:rsidRPr="00B0183F" w:rsidRDefault="00830B1F" w:rsidP="00FA3FAE">
            <w:pPr>
              <w:pStyle w:val="PargrafodaLista"/>
              <w:numPr>
                <w:ilvl w:val="0"/>
                <w:numId w:val="222"/>
              </w:numPr>
              <w:tabs>
                <w:tab w:val="left" w:pos="1273"/>
              </w:tabs>
              <w:spacing w:after="0" w:line="240" w:lineRule="auto"/>
              <w:ind w:left="320" w:hanging="283"/>
              <w:jc w:val="both"/>
              <w:rPr>
                <w:rFonts w:ascii="Times New Roman" w:hAnsi="Times New Roman"/>
                <w:sz w:val="24"/>
                <w:szCs w:val="24"/>
                <w:lang w:val="fr-FR"/>
              </w:rPr>
            </w:pPr>
            <w:r w:rsidRPr="0008615A">
              <w:rPr>
                <w:rFonts w:ascii="Times New Roman" w:hAnsi="Times New Roman"/>
                <w:sz w:val="24"/>
                <w:szCs w:val="24"/>
                <w:lang w:val="fr-FR"/>
              </w:rPr>
              <w:t>L’électrisation ou électrocution par contact accidentel avec un conducteur électrique enterré.</w:t>
            </w:r>
          </w:p>
          <w:p w:rsidR="00830B1F" w:rsidRPr="0008615A" w:rsidRDefault="00830B1F" w:rsidP="00FA3FAE">
            <w:pPr>
              <w:pStyle w:val="PargrafodaLista"/>
              <w:numPr>
                <w:ilvl w:val="0"/>
                <w:numId w:val="222"/>
              </w:numPr>
              <w:tabs>
                <w:tab w:val="left" w:pos="1273"/>
              </w:tabs>
              <w:spacing w:after="0" w:line="240" w:lineRule="auto"/>
              <w:ind w:left="320" w:hanging="283"/>
              <w:jc w:val="both"/>
              <w:rPr>
                <w:rFonts w:ascii="Times New Roman" w:hAnsi="Times New Roman"/>
                <w:sz w:val="24"/>
                <w:szCs w:val="24"/>
                <w:lang w:val="fr-FR"/>
              </w:rPr>
            </w:pPr>
            <w:r w:rsidRPr="0008615A">
              <w:rPr>
                <w:rFonts w:ascii="Times New Roman" w:hAnsi="Times New Roman"/>
                <w:sz w:val="24"/>
                <w:szCs w:val="24"/>
                <w:lang w:val="fr-FR"/>
              </w:rPr>
              <w:t xml:space="preserve">À la chute de l’ouvrier ou d’une tierce personne </w:t>
            </w:r>
          </w:p>
          <w:p w:rsidR="00830B1F" w:rsidRPr="0008615A" w:rsidRDefault="00830B1F" w:rsidP="00FA3FAE">
            <w:pPr>
              <w:pStyle w:val="PargrafodaLista"/>
              <w:numPr>
                <w:ilvl w:val="0"/>
                <w:numId w:val="222"/>
              </w:numPr>
              <w:tabs>
                <w:tab w:val="left" w:pos="1273"/>
              </w:tabs>
              <w:spacing w:after="0" w:line="240" w:lineRule="auto"/>
              <w:ind w:left="320" w:hanging="283"/>
              <w:jc w:val="both"/>
              <w:rPr>
                <w:rFonts w:ascii="Times New Roman" w:hAnsi="Times New Roman"/>
                <w:sz w:val="24"/>
                <w:szCs w:val="24"/>
                <w:lang w:val="fr-FR"/>
              </w:rPr>
            </w:pPr>
            <w:r w:rsidRPr="0008615A">
              <w:rPr>
                <w:rFonts w:ascii="Times New Roman" w:hAnsi="Times New Roman"/>
                <w:sz w:val="24"/>
                <w:szCs w:val="24"/>
                <w:lang w:val="fr-FR"/>
              </w:rPr>
              <w:t>À l’envol de poussières ;</w:t>
            </w:r>
          </w:p>
          <w:p w:rsidR="00830B1F" w:rsidRPr="0008615A" w:rsidRDefault="00830B1F" w:rsidP="00FA3FAE">
            <w:pPr>
              <w:pStyle w:val="PargrafodaLista"/>
              <w:numPr>
                <w:ilvl w:val="0"/>
                <w:numId w:val="222"/>
              </w:numPr>
              <w:tabs>
                <w:tab w:val="left" w:pos="1273"/>
              </w:tabs>
              <w:spacing w:after="0" w:line="240" w:lineRule="auto"/>
              <w:ind w:left="320" w:hanging="283"/>
              <w:jc w:val="both"/>
              <w:rPr>
                <w:rFonts w:ascii="Times New Roman" w:hAnsi="Times New Roman"/>
                <w:sz w:val="24"/>
                <w:szCs w:val="24"/>
                <w:lang w:val="fr-FR"/>
              </w:rPr>
            </w:pPr>
            <w:r w:rsidRPr="0008615A">
              <w:rPr>
                <w:rFonts w:ascii="Times New Roman" w:hAnsi="Times New Roman"/>
                <w:sz w:val="24"/>
                <w:szCs w:val="24"/>
                <w:lang w:val="fr-FR"/>
              </w:rPr>
              <w:t>À la Chute de plain-pied liée à l’encombrement du site ;</w:t>
            </w:r>
          </w:p>
          <w:p w:rsidR="00830B1F" w:rsidRPr="00611235" w:rsidRDefault="00830B1F" w:rsidP="00FA3FAE">
            <w:pPr>
              <w:pStyle w:val="PargrafodaLista"/>
              <w:numPr>
                <w:ilvl w:val="0"/>
                <w:numId w:val="222"/>
              </w:numPr>
              <w:tabs>
                <w:tab w:val="left" w:pos="1273"/>
              </w:tabs>
              <w:spacing w:after="0" w:line="240" w:lineRule="auto"/>
              <w:ind w:left="320" w:hanging="283"/>
              <w:jc w:val="both"/>
              <w:rPr>
                <w:lang w:val="fr-FR"/>
              </w:rPr>
            </w:pPr>
            <w:r w:rsidRPr="0008615A">
              <w:rPr>
                <w:rFonts w:ascii="Times New Roman" w:hAnsi="Times New Roman"/>
                <w:sz w:val="24"/>
                <w:szCs w:val="24"/>
                <w:lang w:val="fr-FR"/>
              </w:rPr>
              <w:t>Au Contact avec outil coupant ou machine en mouvement ;</w:t>
            </w:r>
          </w:p>
        </w:tc>
        <w:tc>
          <w:tcPr>
            <w:tcW w:w="7371" w:type="dxa"/>
          </w:tcPr>
          <w:p w:rsidR="00830B1F" w:rsidRDefault="00830B1F" w:rsidP="00FA3FAE">
            <w:pPr>
              <w:pStyle w:val="PargrafodaLista"/>
              <w:numPr>
                <w:ilvl w:val="0"/>
                <w:numId w:val="147"/>
              </w:numPr>
              <w:spacing w:after="0" w:line="240" w:lineRule="auto"/>
              <w:ind w:left="183" w:hanging="183"/>
              <w:jc w:val="both"/>
              <w:rPr>
                <w:rFonts w:ascii="Times New Roman" w:hAnsi="Times New Roman"/>
                <w:sz w:val="24"/>
                <w:szCs w:val="24"/>
                <w:lang w:val="fr-FR"/>
              </w:rPr>
            </w:pPr>
            <w:r>
              <w:rPr>
                <w:rFonts w:ascii="Times New Roman" w:hAnsi="Times New Roman"/>
                <w:sz w:val="24"/>
                <w:szCs w:val="24"/>
                <w:lang w:val="fr-FR"/>
              </w:rPr>
              <w:t>Bien baliser les espaces de travail dans les différents sites concernés ;</w:t>
            </w:r>
          </w:p>
          <w:p w:rsidR="00830B1F" w:rsidRDefault="00830B1F" w:rsidP="00FA3FAE">
            <w:pPr>
              <w:pStyle w:val="PargrafodaLista"/>
              <w:numPr>
                <w:ilvl w:val="0"/>
                <w:numId w:val="147"/>
              </w:numPr>
              <w:spacing w:after="0" w:line="240" w:lineRule="auto"/>
              <w:ind w:left="183" w:hanging="183"/>
              <w:jc w:val="both"/>
              <w:rPr>
                <w:rFonts w:ascii="Times New Roman" w:hAnsi="Times New Roman"/>
                <w:sz w:val="24"/>
                <w:szCs w:val="24"/>
                <w:lang w:val="fr-FR"/>
              </w:rPr>
            </w:pPr>
            <w:r>
              <w:rPr>
                <w:rFonts w:ascii="Times New Roman" w:hAnsi="Times New Roman"/>
                <w:sz w:val="24"/>
                <w:szCs w:val="24"/>
                <w:lang w:val="fr-FR"/>
              </w:rPr>
              <w:t>Former les ouvriers et les opérateurs des engins sur les différents risques qu’ils peuvent rencontrer pendant les activités de fouille et d’excavation ;</w:t>
            </w:r>
          </w:p>
          <w:p w:rsidR="00830B1F" w:rsidRDefault="00830B1F" w:rsidP="00FA3FAE">
            <w:pPr>
              <w:pStyle w:val="PargrafodaLista"/>
              <w:numPr>
                <w:ilvl w:val="0"/>
                <w:numId w:val="147"/>
              </w:numPr>
              <w:spacing w:after="0" w:line="240" w:lineRule="auto"/>
              <w:ind w:left="183" w:hanging="183"/>
              <w:jc w:val="both"/>
              <w:rPr>
                <w:rFonts w:ascii="Times New Roman" w:hAnsi="Times New Roman"/>
                <w:sz w:val="24"/>
                <w:szCs w:val="24"/>
                <w:lang w:val="fr-FR"/>
              </w:rPr>
            </w:pPr>
            <w:r>
              <w:rPr>
                <w:rFonts w:ascii="Times New Roman" w:hAnsi="Times New Roman"/>
                <w:sz w:val="24"/>
                <w:szCs w:val="24"/>
                <w:lang w:val="fr-FR"/>
              </w:rPr>
              <w:t>Mettre en place un plan de circulation des engins ;</w:t>
            </w:r>
          </w:p>
          <w:p w:rsidR="00830B1F" w:rsidRDefault="00830B1F" w:rsidP="00FA3FAE">
            <w:pPr>
              <w:pStyle w:val="PargrafodaLista"/>
              <w:numPr>
                <w:ilvl w:val="0"/>
                <w:numId w:val="147"/>
              </w:numPr>
              <w:spacing w:after="0" w:line="240" w:lineRule="auto"/>
              <w:ind w:left="183" w:hanging="183"/>
              <w:jc w:val="both"/>
              <w:rPr>
                <w:rFonts w:ascii="Times New Roman" w:hAnsi="Times New Roman"/>
                <w:sz w:val="24"/>
                <w:szCs w:val="24"/>
                <w:lang w:val="fr-FR"/>
              </w:rPr>
            </w:pPr>
            <w:r>
              <w:rPr>
                <w:rFonts w:ascii="Times New Roman" w:hAnsi="Times New Roman"/>
                <w:sz w:val="24"/>
                <w:szCs w:val="24"/>
                <w:lang w:val="fr-FR"/>
              </w:rPr>
              <w:t>Equiper les ouvriers en EPI ;</w:t>
            </w:r>
          </w:p>
          <w:p w:rsidR="00830B1F" w:rsidRDefault="00830B1F" w:rsidP="00FA3FAE">
            <w:pPr>
              <w:pStyle w:val="PargrafodaLista"/>
              <w:numPr>
                <w:ilvl w:val="0"/>
                <w:numId w:val="147"/>
              </w:numPr>
              <w:spacing w:after="0" w:line="240" w:lineRule="auto"/>
              <w:ind w:left="183" w:hanging="183"/>
              <w:jc w:val="both"/>
              <w:rPr>
                <w:rFonts w:ascii="Times New Roman" w:hAnsi="Times New Roman"/>
                <w:sz w:val="24"/>
                <w:szCs w:val="24"/>
                <w:lang w:val="fr-FR"/>
              </w:rPr>
            </w:pPr>
            <w:r>
              <w:rPr>
                <w:rFonts w:ascii="Times New Roman" w:hAnsi="Times New Roman"/>
                <w:sz w:val="24"/>
                <w:szCs w:val="24"/>
                <w:lang w:val="fr-FR"/>
              </w:rPr>
              <w:t>Former les ouvriers sur les méthodes d’exécution des travaux ;</w:t>
            </w:r>
          </w:p>
          <w:p w:rsidR="00830B1F" w:rsidRPr="00206F59" w:rsidRDefault="00830B1F" w:rsidP="00FA3FAE">
            <w:pPr>
              <w:pStyle w:val="PargrafodaLista"/>
              <w:numPr>
                <w:ilvl w:val="0"/>
                <w:numId w:val="147"/>
              </w:numPr>
              <w:spacing w:after="0" w:line="240" w:lineRule="auto"/>
              <w:ind w:left="183" w:hanging="183"/>
              <w:jc w:val="both"/>
              <w:rPr>
                <w:rFonts w:ascii="Times New Roman" w:hAnsi="Times New Roman"/>
                <w:sz w:val="24"/>
                <w:szCs w:val="24"/>
                <w:lang w:val="fr-FR"/>
              </w:rPr>
            </w:pPr>
            <w:r w:rsidRPr="00206F59">
              <w:rPr>
                <w:rFonts w:ascii="Times New Roman" w:hAnsi="Times New Roman"/>
                <w:sz w:val="24"/>
                <w:szCs w:val="24"/>
                <w:lang w:val="fr-FR"/>
              </w:rPr>
              <w:t>Equiper les ouvriers de masques de respiration</w:t>
            </w:r>
          </w:p>
          <w:p w:rsidR="00830B1F" w:rsidRPr="00206F59" w:rsidRDefault="00830B1F" w:rsidP="00FA3FAE">
            <w:pPr>
              <w:pStyle w:val="PargrafodaLista"/>
              <w:numPr>
                <w:ilvl w:val="0"/>
                <w:numId w:val="147"/>
              </w:numPr>
              <w:spacing w:after="0" w:line="240" w:lineRule="auto"/>
              <w:ind w:left="183" w:hanging="183"/>
              <w:jc w:val="both"/>
              <w:rPr>
                <w:rFonts w:ascii="Times New Roman" w:hAnsi="Times New Roman"/>
                <w:sz w:val="24"/>
                <w:szCs w:val="24"/>
                <w:lang w:val="fr-FR"/>
              </w:rPr>
            </w:pPr>
            <w:r w:rsidRPr="00206F59">
              <w:rPr>
                <w:rFonts w:ascii="Times New Roman" w:hAnsi="Times New Roman"/>
                <w:sz w:val="24"/>
                <w:szCs w:val="24"/>
                <w:lang w:val="fr-FR"/>
              </w:rPr>
              <w:t>Trouver des méthodes et engins beaucoup plus opérationnels en milieu urbain</w:t>
            </w:r>
          </w:p>
          <w:p w:rsidR="00830B1F" w:rsidRDefault="00830B1F" w:rsidP="00FA3FAE">
            <w:pPr>
              <w:pStyle w:val="PargrafodaLista"/>
              <w:numPr>
                <w:ilvl w:val="0"/>
                <w:numId w:val="147"/>
              </w:numPr>
              <w:spacing w:after="0" w:line="240" w:lineRule="auto"/>
              <w:ind w:left="183" w:hanging="183"/>
              <w:jc w:val="both"/>
              <w:rPr>
                <w:rFonts w:ascii="Times New Roman" w:hAnsi="Times New Roman"/>
                <w:sz w:val="24"/>
                <w:szCs w:val="24"/>
                <w:lang w:val="fr-FR"/>
              </w:rPr>
            </w:pPr>
            <w:r w:rsidRPr="00206F59">
              <w:rPr>
                <w:rFonts w:ascii="Times New Roman" w:hAnsi="Times New Roman"/>
                <w:sz w:val="24"/>
                <w:szCs w:val="24"/>
                <w:lang w:val="fr-FR"/>
              </w:rPr>
              <w:t>Sensibiliser les ouvriers pour mieux gérer les émissions de poussière</w:t>
            </w:r>
            <w:r>
              <w:rPr>
                <w:rFonts w:ascii="Times New Roman" w:hAnsi="Times New Roman"/>
                <w:sz w:val="24"/>
                <w:szCs w:val="24"/>
                <w:lang w:val="fr-FR"/>
              </w:rPr>
              <w:t> ;</w:t>
            </w:r>
          </w:p>
          <w:p w:rsidR="00830B1F" w:rsidRDefault="00830B1F" w:rsidP="00830B1F">
            <w:pPr>
              <w:pStyle w:val="PargrafodaLista"/>
              <w:spacing w:after="0" w:line="240" w:lineRule="auto"/>
              <w:ind w:left="183"/>
              <w:jc w:val="both"/>
              <w:rPr>
                <w:rFonts w:ascii="Times New Roman" w:hAnsi="Times New Roman"/>
                <w:sz w:val="24"/>
                <w:szCs w:val="24"/>
                <w:lang w:val="fr-FR"/>
              </w:rPr>
            </w:pPr>
          </w:p>
          <w:p w:rsidR="00830B1F" w:rsidRPr="00206F59" w:rsidRDefault="00830B1F" w:rsidP="00830B1F">
            <w:pPr>
              <w:pStyle w:val="PargrafodaLista"/>
              <w:spacing w:after="0" w:line="240" w:lineRule="auto"/>
              <w:ind w:left="183"/>
              <w:jc w:val="both"/>
              <w:rPr>
                <w:rFonts w:ascii="Times New Roman" w:hAnsi="Times New Roman"/>
                <w:sz w:val="24"/>
                <w:szCs w:val="24"/>
                <w:lang w:val="fr-FR"/>
              </w:rPr>
            </w:pPr>
          </w:p>
        </w:tc>
      </w:tr>
      <w:tr w:rsidR="00830B1F" w:rsidTr="00C874C2">
        <w:tc>
          <w:tcPr>
            <w:tcW w:w="1702" w:type="dxa"/>
            <w:shd w:val="clear" w:color="auto" w:fill="F2F2F2" w:themeFill="background1" w:themeFillShade="F2"/>
            <w:vAlign w:val="center"/>
          </w:tcPr>
          <w:p w:rsidR="00830B1F" w:rsidRPr="00DD0271" w:rsidRDefault="00830B1F" w:rsidP="00830B1F">
            <w:pPr>
              <w:spacing w:after="200"/>
              <w:ind w:right="28"/>
              <w:jc w:val="center"/>
              <w:rPr>
                <w:rFonts w:ascii="Times New Roman" w:hAnsi="Times New Roman"/>
                <w:b/>
                <w:sz w:val="24"/>
                <w:szCs w:val="24"/>
              </w:rPr>
            </w:pPr>
            <w:r w:rsidRPr="00DD0271">
              <w:rPr>
                <w:rFonts w:ascii="Times New Roman" w:hAnsi="Times New Roman"/>
                <w:b/>
                <w:sz w:val="24"/>
                <w:szCs w:val="24"/>
              </w:rPr>
              <w:t>Risques liés aux circulations des engins de chantier</w:t>
            </w:r>
          </w:p>
        </w:tc>
        <w:tc>
          <w:tcPr>
            <w:tcW w:w="5812" w:type="dxa"/>
          </w:tcPr>
          <w:p w:rsidR="00830B1F" w:rsidRPr="00206F59" w:rsidRDefault="00830B1F" w:rsidP="00830B1F">
            <w:pPr>
              <w:tabs>
                <w:tab w:val="left" w:pos="1273"/>
              </w:tabs>
              <w:jc w:val="both"/>
              <w:rPr>
                <w:rFonts w:ascii="Times New Roman" w:hAnsi="Times New Roman"/>
                <w:sz w:val="24"/>
                <w:szCs w:val="24"/>
              </w:rPr>
            </w:pPr>
            <w:r w:rsidRPr="004748C3">
              <w:rPr>
                <w:rFonts w:ascii="Times New Roman" w:hAnsi="Times New Roman"/>
                <w:sz w:val="24"/>
                <w:szCs w:val="24"/>
              </w:rPr>
              <w:t xml:space="preserve">Les engins de transports, de levage, de compactage et d’excavation sont constitués différents types de systèmes mécaniques et hydrauliques dont leur dysfonctionnement peut présenter un potentiel de dangers. Ces systèmes hydrauliques fonctionnent grâce à de très grandes pressions de fluides. Une fuite d’air, d’huile ou une rupture de flexibles au niveau de ces engins peuvent entrainer des dommages collatéraux. Un dysfonctionnement du système </w:t>
            </w:r>
            <w:r w:rsidRPr="004748C3">
              <w:rPr>
                <w:rFonts w:ascii="Times New Roman" w:hAnsi="Times New Roman"/>
                <w:sz w:val="24"/>
                <w:szCs w:val="24"/>
              </w:rPr>
              <w:lastRenderedPageBreak/>
              <w:t>de freinage ou une absence de maintenance au niveau des parties mécaniques en rotation des engins tels que les pneus pr</w:t>
            </w:r>
            <w:r>
              <w:rPr>
                <w:rFonts w:ascii="Times New Roman" w:hAnsi="Times New Roman"/>
                <w:sz w:val="24"/>
                <w:szCs w:val="24"/>
              </w:rPr>
              <w:t>ésente un potentiel de dangers.</w:t>
            </w:r>
          </w:p>
        </w:tc>
        <w:tc>
          <w:tcPr>
            <w:tcW w:w="7371" w:type="dxa"/>
          </w:tcPr>
          <w:p w:rsidR="00830B1F" w:rsidRPr="00124C1F" w:rsidRDefault="00830B1F" w:rsidP="00FA3FAE">
            <w:pPr>
              <w:pStyle w:val="PargrafodaLista"/>
              <w:numPr>
                <w:ilvl w:val="0"/>
                <w:numId w:val="147"/>
              </w:numPr>
              <w:spacing w:after="0" w:line="240" w:lineRule="auto"/>
              <w:ind w:left="183" w:hanging="183"/>
              <w:rPr>
                <w:rFonts w:ascii="Times New Roman" w:hAnsi="Times New Roman"/>
                <w:iCs/>
                <w:sz w:val="24"/>
                <w:szCs w:val="24"/>
              </w:rPr>
            </w:pPr>
            <w:r w:rsidRPr="00124C1F">
              <w:rPr>
                <w:rFonts w:ascii="Times New Roman" w:hAnsi="Times New Roman"/>
                <w:iCs/>
                <w:sz w:val="24"/>
                <w:szCs w:val="24"/>
              </w:rPr>
              <w:lastRenderedPageBreak/>
              <w:t>Former le personnel sur  l’utilisation des engins,</w:t>
            </w:r>
          </w:p>
          <w:p w:rsidR="00830B1F" w:rsidRPr="00124C1F" w:rsidRDefault="00830B1F" w:rsidP="00FA3FAE">
            <w:pPr>
              <w:pStyle w:val="PargrafodaLista"/>
              <w:numPr>
                <w:ilvl w:val="0"/>
                <w:numId w:val="147"/>
              </w:numPr>
              <w:spacing w:after="0" w:line="240" w:lineRule="auto"/>
              <w:ind w:left="183" w:hanging="183"/>
              <w:rPr>
                <w:rFonts w:ascii="Times New Roman" w:hAnsi="Times New Roman"/>
                <w:iCs/>
                <w:sz w:val="24"/>
                <w:szCs w:val="24"/>
              </w:rPr>
            </w:pPr>
            <w:r w:rsidRPr="00124C1F">
              <w:rPr>
                <w:rFonts w:ascii="Times New Roman" w:hAnsi="Times New Roman"/>
                <w:iCs/>
                <w:sz w:val="24"/>
                <w:szCs w:val="24"/>
              </w:rPr>
              <w:t>Utiliser des moyens de manutention adaptés aux charges,</w:t>
            </w:r>
          </w:p>
          <w:p w:rsidR="00830B1F" w:rsidRPr="00124C1F" w:rsidRDefault="00830B1F" w:rsidP="00FA3FAE">
            <w:pPr>
              <w:pStyle w:val="PargrafodaLista"/>
              <w:numPr>
                <w:ilvl w:val="0"/>
                <w:numId w:val="147"/>
              </w:numPr>
              <w:spacing w:after="0" w:line="240" w:lineRule="auto"/>
              <w:ind w:left="183" w:hanging="183"/>
              <w:rPr>
                <w:rFonts w:ascii="Times New Roman" w:hAnsi="Times New Roman"/>
                <w:iCs/>
                <w:sz w:val="24"/>
                <w:szCs w:val="24"/>
              </w:rPr>
            </w:pPr>
            <w:r w:rsidRPr="00124C1F">
              <w:rPr>
                <w:rFonts w:ascii="Times New Roman" w:hAnsi="Times New Roman"/>
                <w:iCs/>
                <w:sz w:val="24"/>
                <w:szCs w:val="24"/>
              </w:rPr>
              <w:t>Utiliser des engins conformes à la réglementation,</w:t>
            </w:r>
          </w:p>
          <w:p w:rsidR="00830B1F" w:rsidRPr="00124C1F" w:rsidRDefault="00830B1F" w:rsidP="00FA3FAE">
            <w:pPr>
              <w:pStyle w:val="PargrafodaLista"/>
              <w:numPr>
                <w:ilvl w:val="0"/>
                <w:numId w:val="147"/>
              </w:numPr>
              <w:spacing w:after="0" w:line="240" w:lineRule="auto"/>
              <w:ind w:left="183" w:hanging="183"/>
              <w:rPr>
                <w:rFonts w:ascii="Times New Roman" w:hAnsi="Times New Roman"/>
                <w:iCs/>
                <w:sz w:val="24"/>
                <w:szCs w:val="24"/>
              </w:rPr>
            </w:pPr>
            <w:r w:rsidRPr="00124C1F">
              <w:rPr>
                <w:rFonts w:ascii="Times New Roman" w:hAnsi="Times New Roman"/>
                <w:iCs/>
                <w:sz w:val="24"/>
                <w:szCs w:val="24"/>
              </w:rPr>
              <w:t>Arroser régulièrement les pistes de circulation,</w:t>
            </w:r>
          </w:p>
          <w:p w:rsidR="00830B1F" w:rsidRPr="00124C1F" w:rsidRDefault="00830B1F" w:rsidP="00FA3FAE">
            <w:pPr>
              <w:pStyle w:val="PargrafodaLista"/>
              <w:numPr>
                <w:ilvl w:val="0"/>
                <w:numId w:val="147"/>
              </w:numPr>
              <w:spacing w:after="0" w:line="240" w:lineRule="auto"/>
              <w:ind w:left="183" w:hanging="183"/>
              <w:rPr>
                <w:rFonts w:ascii="Times New Roman" w:hAnsi="Times New Roman"/>
                <w:iCs/>
                <w:sz w:val="24"/>
                <w:szCs w:val="24"/>
              </w:rPr>
            </w:pPr>
            <w:r w:rsidRPr="00124C1F">
              <w:rPr>
                <w:rFonts w:ascii="Times New Roman" w:hAnsi="Times New Roman"/>
                <w:iCs/>
                <w:sz w:val="24"/>
                <w:szCs w:val="24"/>
              </w:rPr>
              <w:t>Mettre en place des règles de circulation,</w:t>
            </w:r>
          </w:p>
          <w:p w:rsidR="00830B1F" w:rsidRDefault="00830B1F" w:rsidP="00FA3FAE">
            <w:pPr>
              <w:pStyle w:val="PargrafodaLista"/>
              <w:numPr>
                <w:ilvl w:val="0"/>
                <w:numId w:val="147"/>
              </w:numPr>
              <w:spacing w:after="0" w:line="240" w:lineRule="auto"/>
              <w:ind w:left="183" w:hanging="183"/>
              <w:rPr>
                <w:rFonts w:ascii="Times New Roman" w:hAnsi="Times New Roman"/>
                <w:iCs/>
                <w:sz w:val="24"/>
                <w:szCs w:val="24"/>
              </w:rPr>
            </w:pPr>
            <w:r w:rsidRPr="00124C1F">
              <w:rPr>
                <w:rFonts w:ascii="Times New Roman" w:hAnsi="Times New Roman"/>
                <w:iCs/>
                <w:sz w:val="24"/>
                <w:szCs w:val="24"/>
              </w:rPr>
              <w:t>Faire l’entretien préventif des engins (les accessoires de levage).</w:t>
            </w:r>
          </w:p>
          <w:p w:rsidR="00830B1F" w:rsidRPr="006A7C98" w:rsidRDefault="00830B1F" w:rsidP="00FA3FAE">
            <w:pPr>
              <w:pStyle w:val="PargrafodaLista"/>
              <w:numPr>
                <w:ilvl w:val="0"/>
                <w:numId w:val="147"/>
              </w:numPr>
              <w:spacing w:after="0" w:line="240" w:lineRule="auto"/>
              <w:ind w:left="183" w:hanging="183"/>
              <w:rPr>
                <w:rFonts w:ascii="Times New Roman" w:hAnsi="Times New Roman"/>
                <w:iCs/>
                <w:sz w:val="24"/>
                <w:szCs w:val="24"/>
              </w:rPr>
            </w:pPr>
            <w:r w:rsidRPr="00D13841">
              <w:rPr>
                <w:rFonts w:ascii="Times New Roman" w:hAnsi="Times New Roman"/>
                <w:iCs/>
                <w:sz w:val="24"/>
                <w:szCs w:val="24"/>
                <w:lang w:val="fr-FR"/>
              </w:rPr>
              <w:t>Afficher les consignes de sécurité</w:t>
            </w:r>
            <w:r>
              <w:rPr>
                <w:rFonts w:ascii="Times New Roman" w:hAnsi="Times New Roman"/>
                <w:iCs/>
                <w:sz w:val="24"/>
                <w:szCs w:val="24"/>
                <w:lang w:val="fr-FR"/>
              </w:rPr>
              <w:t> ;</w:t>
            </w:r>
          </w:p>
          <w:p w:rsidR="00830B1F" w:rsidRPr="00837760" w:rsidRDefault="00830B1F" w:rsidP="00FA3FAE">
            <w:pPr>
              <w:pStyle w:val="PargrafodaLista"/>
              <w:numPr>
                <w:ilvl w:val="0"/>
                <w:numId w:val="147"/>
              </w:numPr>
              <w:spacing w:after="0" w:line="240" w:lineRule="auto"/>
              <w:ind w:left="183" w:hanging="183"/>
              <w:rPr>
                <w:rFonts w:ascii="Times New Roman" w:hAnsi="Times New Roman"/>
                <w:iCs/>
                <w:sz w:val="24"/>
                <w:szCs w:val="24"/>
              </w:rPr>
            </w:pPr>
            <w:r>
              <w:rPr>
                <w:rFonts w:ascii="Times New Roman" w:hAnsi="Times New Roman"/>
                <w:iCs/>
                <w:sz w:val="24"/>
                <w:szCs w:val="24"/>
                <w:lang w:val="fr-FR"/>
              </w:rPr>
              <w:lastRenderedPageBreak/>
              <w:t>Impliquer les concessionnaires des réseaux d’eau, d’électricité et de télécommunication.</w:t>
            </w:r>
          </w:p>
        </w:tc>
      </w:tr>
      <w:tr w:rsidR="00830B1F" w:rsidTr="00C874C2">
        <w:tc>
          <w:tcPr>
            <w:tcW w:w="1702" w:type="dxa"/>
            <w:shd w:val="clear" w:color="auto" w:fill="F2F2F2" w:themeFill="background1" w:themeFillShade="F2"/>
            <w:vAlign w:val="center"/>
          </w:tcPr>
          <w:p w:rsidR="00830B1F" w:rsidRPr="009508DD" w:rsidRDefault="00830B1F" w:rsidP="00830B1F">
            <w:pPr>
              <w:spacing w:after="200"/>
              <w:ind w:right="28"/>
              <w:jc w:val="center"/>
              <w:rPr>
                <w:rFonts w:ascii="Times New Roman" w:hAnsi="Times New Roman"/>
                <w:b/>
                <w:sz w:val="24"/>
                <w:szCs w:val="24"/>
              </w:rPr>
            </w:pPr>
            <w:r w:rsidRPr="009508DD">
              <w:rPr>
                <w:rFonts w:ascii="Times New Roman" w:hAnsi="Times New Roman"/>
                <w:b/>
                <w:sz w:val="24"/>
                <w:szCs w:val="24"/>
              </w:rPr>
              <w:lastRenderedPageBreak/>
              <w:t>Risques liés à l’intervention de plusieurs entreprises (Co-activité)</w:t>
            </w:r>
          </w:p>
        </w:tc>
        <w:tc>
          <w:tcPr>
            <w:tcW w:w="5812" w:type="dxa"/>
          </w:tcPr>
          <w:p w:rsidR="00830B1F" w:rsidRDefault="00830B1F" w:rsidP="00830B1F">
            <w:pPr>
              <w:tabs>
                <w:tab w:val="left" w:pos="1273"/>
              </w:tabs>
              <w:jc w:val="both"/>
              <w:rPr>
                <w:rFonts w:ascii="Times New Roman" w:hAnsi="Times New Roman"/>
                <w:sz w:val="24"/>
                <w:szCs w:val="24"/>
              </w:rPr>
            </w:pPr>
            <w:r>
              <w:rPr>
                <w:rFonts w:ascii="Times New Roman" w:hAnsi="Times New Roman"/>
                <w:sz w:val="24"/>
                <w:szCs w:val="24"/>
              </w:rPr>
              <w:t>La présence de plusieurs entreprises dans les sites d’activité pourrait occasionner des collisions entre les engins ou entre les camions et des accidents de circulation impliquant les ouvriers.</w:t>
            </w:r>
          </w:p>
          <w:p w:rsidR="00830B1F" w:rsidRPr="00206F59" w:rsidRDefault="00830B1F" w:rsidP="00830B1F">
            <w:pPr>
              <w:tabs>
                <w:tab w:val="left" w:pos="1273"/>
              </w:tabs>
              <w:jc w:val="both"/>
              <w:rPr>
                <w:rFonts w:ascii="Times New Roman" w:hAnsi="Times New Roman"/>
                <w:sz w:val="24"/>
                <w:szCs w:val="24"/>
              </w:rPr>
            </w:pPr>
            <w:r>
              <w:rPr>
                <w:rFonts w:ascii="Times New Roman" w:hAnsi="Times New Roman"/>
                <w:sz w:val="24"/>
                <w:szCs w:val="24"/>
              </w:rPr>
              <w:t>Mais aussi, avec la présence des nombreux ouvriers dans les sites pourraient augmenter les risques de conflit entre les ouvriers et la population.</w:t>
            </w:r>
          </w:p>
        </w:tc>
        <w:tc>
          <w:tcPr>
            <w:tcW w:w="7371" w:type="dxa"/>
          </w:tcPr>
          <w:p w:rsidR="00830B1F" w:rsidRDefault="00830B1F" w:rsidP="00FA3FAE">
            <w:pPr>
              <w:pStyle w:val="PargrafodaLista"/>
              <w:numPr>
                <w:ilvl w:val="0"/>
                <w:numId w:val="147"/>
              </w:numPr>
              <w:spacing w:after="0" w:line="240" w:lineRule="auto"/>
              <w:ind w:left="183" w:hanging="183"/>
              <w:jc w:val="both"/>
              <w:rPr>
                <w:rFonts w:ascii="Times New Roman" w:hAnsi="Times New Roman"/>
                <w:sz w:val="24"/>
                <w:szCs w:val="24"/>
                <w:lang w:val="fr-FR"/>
              </w:rPr>
            </w:pPr>
            <w:r>
              <w:rPr>
                <w:rFonts w:ascii="Times New Roman" w:hAnsi="Times New Roman"/>
                <w:sz w:val="24"/>
                <w:szCs w:val="24"/>
                <w:lang w:val="fr-FR"/>
              </w:rPr>
              <w:t>Mettre en place un plan d’intervention des différentes entreprises au niveau de chaque site ;</w:t>
            </w:r>
          </w:p>
          <w:p w:rsidR="00830B1F" w:rsidRDefault="00830B1F" w:rsidP="00FA3FAE">
            <w:pPr>
              <w:pStyle w:val="PargrafodaLista"/>
              <w:numPr>
                <w:ilvl w:val="0"/>
                <w:numId w:val="147"/>
              </w:numPr>
              <w:spacing w:after="0" w:line="240" w:lineRule="auto"/>
              <w:ind w:left="183" w:hanging="183"/>
              <w:jc w:val="both"/>
              <w:rPr>
                <w:rFonts w:ascii="Times New Roman" w:hAnsi="Times New Roman"/>
                <w:sz w:val="24"/>
                <w:szCs w:val="24"/>
                <w:lang w:val="fr-FR"/>
              </w:rPr>
            </w:pPr>
            <w:r>
              <w:rPr>
                <w:rFonts w:ascii="Times New Roman" w:hAnsi="Times New Roman"/>
                <w:sz w:val="24"/>
                <w:szCs w:val="24"/>
                <w:lang w:val="fr-FR"/>
              </w:rPr>
              <w:t>Eviter le groupement de plus de deux (2) entreprises dans un même endroit ;</w:t>
            </w:r>
          </w:p>
          <w:p w:rsidR="00830B1F" w:rsidRPr="00124C1F" w:rsidRDefault="00830B1F" w:rsidP="00FA3FAE">
            <w:pPr>
              <w:pStyle w:val="PargrafodaLista"/>
              <w:numPr>
                <w:ilvl w:val="0"/>
                <w:numId w:val="147"/>
              </w:numPr>
              <w:spacing w:after="0" w:line="240" w:lineRule="auto"/>
              <w:ind w:left="183" w:hanging="183"/>
              <w:rPr>
                <w:rFonts w:ascii="Times New Roman" w:hAnsi="Times New Roman"/>
                <w:iCs/>
                <w:sz w:val="24"/>
                <w:szCs w:val="24"/>
              </w:rPr>
            </w:pPr>
            <w:r w:rsidRPr="00124C1F">
              <w:rPr>
                <w:rFonts w:ascii="Times New Roman" w:hAnsi="Times New Roman"/>
                <w:iCs/>
                <w:sz w:val="24"/>
                <w:szCs w:val="24"/>
              </w:rPr>
              <w:t>Utiliser des engins conformes à la réglementation,</w:t>
            </w:r>
          </w:p>
          <w:p w:rsidR="00830B1F" w:rsidRPr="00124C1F" w:rsidRDefault="00830B1F" w:rsidP="00FA3FAE">
            <w:pPr>
              <w:pStyle w:val="PargrafodaLista"/>
              <w:numPr>
                <w:ilvl w:val="0"/>
                <w:numId w:val="147"/>
              </w:numPr>
              <w:spacing w:after="0" w:line="240" w:lineRule="auto"/>
              <w:ind w:left="183" w:hanging="183"/>
              <w:rPr>
                <w:rFonts w:ascii="Times New Roman" w:hAnsi="Times New Roman"/>
                <w:iCs/>
                <w:sz w:val="24"/>
                <w:szCs w:val="24"/>
              </w:rPr>
            </w:pPr>
            <w:r w:rsidRPr="00124C1F">
              <w:rPr>
                <w:rFonts w:ascii="Times New Roman" w:hAnsi="Times New Roman"/>
                <w:iCs/>
                <w:sz w:val="24"/>
                <w:szCs w:val="24"/>
              </w:rPr>
              <w:t>Mettre en place des règles de circulation,</w:t>
            </w:r>
          </w:p>
          <w:p w:rsidR="00830B1F" w:rsidRDefault="00830B1F" w:rsidP="00FA3FAE">
            <w:pPr>
              <w:pStyle w:val="PargrafodaLista"/>
              <w:numPr>
                <w:ilvl w:val="0"/>
                <w:numId w:val="147"/>
              </w:numPr>
              <w:spacing w:after="0" w:line="240" w:lineRule="auto"/>
              <w:ind w:left="183" w:hanging="183"/>
              <w:jc w:val="both"/>
              <w:rPr>
                <w:rFonts w:ascii="Times New Roman" w:hAnsi="Times New Roman"/>
                <w:sz w:val="24"/>
                <w:szCs w:val="24"/>
                <w:lang w:val="fr-FR"/>
              </w:rPr>
            </w:pPr>
            <w:r>
              <w:rPr>
                <w:rFonts w:ascii="Times New Roman" w:hAnsi="Times New Roman"/>
                <w:sz w:val="24"/>
                <w:szCs w:val="24"/>
                <w:lang w:val="fr-FR"/>
              </w:rPr>
              <w:t>Equiper les ouvriers en EPI ;</w:t>
            </w:r>
          </w:p>
          <w:p w:rsidR="00830B1F" w:rsidRDefault="00830B1F" w:rsidP="00FA3FAE">
            <w:pPr>
              <w:pStyle w:val="PargrafodaLista"/>
              <w:numPr>
                <w:ilvl w:val="0"/>
                <w:numId w:val="147"/>
              </w:numPr>
              <w:spacing w:after="0" w:line="240" w:lineRule="auto"/>
              <w:ind w:left="183" w:hanging="183"/>
              <w:jc w:val="both"/>
              <w:rPr>
                <w:rFonts w:ascii="Times New Roman" w:hAnsi="Times New Roman"/>
                <w:sz w:val="24"/>
                <w:szCs w:val="24"/>
                <w:lang w:val="fr-FR"/>
              </w:rPr>
            </w:pPr>
            <w:r>
              <w:rPr>
                <w:rFonts w:ascii="Times New Roman" w:hAnsi="Times New Roman"/>
                <w:sz w:val="24"/>
                <w:szCs w:val="24"/>
                <w:lang w:val="fr-FR"/>
              </w:rPr>
              <w:t>Former les ouvriers sur les méthodes d’exécution des travaux ;</w:t>
            </w:r>
          </w:p>
          <w:p w:rsidR="00830B1F" w:rsidRPr="0008615A" w:rsidRDefault="00830B1F" w:rsidP="00FA3FAE">
            <w:pPr>
              <w:pStyle w:val="PargrafodaLista"/>
              <w:numPr>
                <w:ilvl w:val="0"/>
                <w:numId w:val="147"/>
              </w:numPr>
              <w:spacing w:after="0" w:line="240" w:lineRule="auto"/>
              <w:ind w:left="183" w:hanging="183"/>
              <w:jc w:val="both"/>
              <w:rPr>
                <w:rFonts w:ascii="Times New Roman" w:hAnsi="Times New Roman"/>
                <w:sz w:val="24"/>
                <w:szCs w:val="24"/>
                <w:lang w:val="fr-FR"/>
              </w:rPr>
            </w:pPr>
            <w:r w:rsidRPr="00206F59">
              <w:rPr>
                <w:rFonts w:ascii="Times New Roman" w:hAnsi="Times New Roman"/>
                <w:sz w:val="24"/>
                <w:szCs w:val="24"/>
                <w:lang w:val="fr-FR"/>
              </w:rPr>
              <w:t>Equiper les ouvriers de masques de respiration</w:t>
            </w:r>
            <w:r>
              <w:rPr>
                <w:rFonts w:ascii="Times New Roman" w:hAnsi="Times New Roman"/>
                <w:sz w:val="24"/>
                <w:szCs w:val="24"/>
                <w:lang w:val="fr-FR"/>
              </w:rPr>
              <w:t> ;</w:t>
            </w:r>
          </w:p>
        </w:tc>
      </w:tr>
      <w:tr w:rsidR="00830B1F" w:rsidTr="00C874C2">
        <w:tc>
          <w:tcPr>
            <w:tcW w:w="1702" w:type="dxa"/>
            <w:shd w:val="clear" w:color="auto" w:fill="F2F2F2" w:themeFill="background1" w:themeFillShade="F2"/>
            <w:vAlign w:val="center"/>
          </w:tcPr>
          <w:p w:rsidR="00830B1F" w:rsidRPr="009508DD" w:rsidRDefault="00830B1F" w:rsidP="00830B1F">
            <w:pPr>
              <w:spacing w:after="200"/>
              <w:ind w:right="28"/>
              <w:jc w:val="center"/>
              <w:rPr>
                <w:rFonts w:ascii="Times New Roman" w:hAnsi="Times New Roman"/>
                <w:b/>
                <w:sz w:val="24"/>
                <w:szCs w:val="24"/>
              </w:rPr>
            </w:pPr>
            <w:r w:rsidRPr="000F2072">
              <w:rPr>
                <w:rFonts w:ascii="Times New Roman" w:hAnsi="Times New Roman"/>
                <w:b/>
                <w:sz w:val="24"/>
                <w:szCs w:val="24"/>
              </w:rPr>
              <w:t>Risques liés à l’atteinte de maladies contagieuses comme COVID-19</w:t>
            </w:r>
          </w:p>
        </w:tc>
        <w:tc>
          <w:tcPr>
            <w:tcW w:w="5812" w:type="dxa"/>
          </w:tcPr>
          <w:p w:rsidR="00830B1F" w:rsidRDefault="00647913" w:rsidP="00830B1F">
            <w:pPr>
              <w:tabs>
                <w:tab w:val="left" w:pos="1273"/>
              </w:tabs>
              <w:jc w:val="both"/>
              <w:rPr>
                <w:rFonts w:ascii="Times New Roman" w:hAnsi="Times New Roman"/>
                <w:sz w:val="24"/>
                <w:szCs w:val="24"/>
              </w:rPr>
            </w:pPr>
            <w:r>
              <w:rPr>
                <w:rFonts w:ascii="Times New Roman" w:hAnsi="Times New Roman"/>
                <w:sz w:val="24"/>
                <w:szCs w:val="24"/>
              </w:rPr>
              <w:t>Les base vies et chantiers regroupent beaucoup de personnes qui interagisse</w:t>
            </w:r>
            <w:r w:rsidR="00942549">
              <w:rPr>
                <w:rFonts w:ascii="Times New Roman" w:hAnsi="Times New Roman"/>
                <w:sz w:val="24"/>
                <w:szCs w:val="24"/>
              </w:rPr>
              <w:t xml:space="preserve"> entre eux. Ainsi, </w:t>
            </w:r>
            <w:r w:rsidR="00830B1F">
              <w:rPr>
                <w:rFonts w:ascii="Times New Roman" w:hAnsi="Times New Roman"/>
                <w:sz w:val="24"/>
                <w:szCs w:val="24"/>
              </w:rPr>
              <w:t xml:space="preserve">les risques </w:t>
            </w:r>
            <w:r w:rsidR="00942549">
              <w:rPr>
                <w:rFonts w:ascii="Times New Roman" w:hAnsi="Times New Roman"/>
                <w:sz w:val="24"/>
                <w:szCs w:val="24"/>
              </w:rPr>
              <w:t>de propagation du</w:t>
            </w:r>
            <w:r>
              <w:rPr>
                <w:rFonts w:ascii="Times New Roman" w:hAnsi="Times New Roman"/>
                <w:sz w:val="24"/>
                <w:szCs w:val="24"/>
              </w:rPr>
              <w:t xml:space="preserve"> COVID 19 </w:t>
            </w:r>
            <w:r w:rsidR="00942549">
              <w:rPr>
                <w:rFonts w:ascii="Times New Roman" w:hAnsi="Times New Roman"/>
                <w:sz w:val="24"/>
                <w:szCs w:val="24"/>
              </w:rPr>
              <w:t>pourrait être noter si des dispositions ne seront pas prises.</w:t>
            </w:r>
          </w:p>
        </w:tc>
        <w:tc>
          <w:tcPr>
            <w:tcW w:w="7371" w:type="dxa"/>
          </w:tcPr>
          <w:p w:rsidR="00830B1F" w:rsidRDefault="00942549" w:rsidP="00FA3FAE">
            <w:pPr>
              <w:pStyle w:val="PargrafodaLista"/>
              <w:numPr>
                <w:ilvl w:val="0"/>
                <w:numId w:val="147"/>
              </w:numPr>
              <w:spacing w:after="0" w:line="240" w:lineRule="auto"/>
              <w:ind w:left="183" w:hanging="183"/>
              <w:jc w:val="both"/>
              <w:rPr>
                <w:rFonts w:ascii="Times New Roman" w:hAnsi="Times New Roman"/>
                <w:sz w:val="24"/>
                <w:szCs w:val="24"/>
                <w:lang w:val="fr-FR"/>
              </w:rPr>
            </w:pPr>
            <w:r>
              <w:rPr>
                <w:rFonts w:ascii="Times New Roman" w:hAnsi="Times New Roman"/>
                <w:sz w:val="24"/>
                <w:szCs w:val="24"/>
                <w:lang w:val="fr-FR"/>
              </w:rPr>
              <w:t>Mettre en place des panneaux de sensibilisation contre le COVID 19</w:t>
            </w:r>
          </w:p>
          <w:p w:rsidR="00942549" w:rsidRDefault="00942549" w:rsidP="00FA3FAE">
            <w:pPr>
              <w:pStyle w:val="PargrafodaLista"/>
              <w:numPr>
                <w:ilvl w:val="0"/>
                <w:numId w:val="147"/>
              </w:numPr>
              <w:spacing w:after="0" w:line="240" w:lineRule="auto"/>
              <w:ind w:left="183" w:hanging="183"/>
              <w:jc w:val="both"/>
              <w:rPr>
                <w:rFonts w:ascii="Times New Roman" w:hAnsi="Times New Roman"/>
                <w:sz w:val="24"/>
                <w:szCs w:val="24"/>
                <w:lang w:val="fr-FR"/>
              </w:rPr>
            </w:pPr>
            <w:r>
              <w:rPr>
                <w:rFonts w:ascii="Times New Roman" w:hAnsi="Times New Roman"/>
                <w:sz w:val="24"/>
                <w:szCs w:val="24"/>
                <w:lang w:val="fr-FR"/>
              </w:rPr>
              <w:t>Exiger le respect des mesures de lutte contre la propagation</w:t>
            </w:r>
          </w:p>
          <w:p w:rsidR="00942549" w:rsidRDefault="00942549" w:rsidP="00FA3FAE">
            <w:pPr>
              <w:pStyle w:val="PargrafodaLista"/>
              <w:numPr>
                <w:ilvl w:val="0"/>
                <w:numId w:val="147"/>
              </w:numPr>
              <w:spacing w:after="0" w:line="240" w:lineRule="auto"/>
              <w:ind w:left="183" w:hanging="183"/>
              <w:jc w:val="both"/>
              <w:rPr>
                <w:rFonts w:ascii="Times New Roman" w:hAnsi="Times New Roman"/>
                <w:sz w:val="24"/>
                <w:szCs w:val="24"/>
                <w:lang w:val="fr-FR"/>
              </w:rPr>
            </w:pPr>
            <w:r>
              <w:rPr>
                <w:rFonts w:ascii="Times New Roman" w:hAnsi="Times New Roman"/>
                <w:sz w:val="24"/>
                <w:szCs w:val="24"/>
                <w:lang w:val="fr-FR"/>
              </w:rPr>
              <w:t>Mettre à la disposition des ouvriers des masques de protection et des gels antiseptiques</w:t>
            </w:r>
          </w:p>
          <w:p w:rsidR="00942549" w:rsidRPr="00F62F78" w:rsidRDefault="00942549" w:rsidP="00F62F78">
            <w:pPr>
              <w:pStyle w:val="PargrafodaLista"/>
              <w:numPr>
                <w:ilvl w:val="0"/>
                <w:numId w:val="147"/>
              </w:numPr>
              <w:spacing w:after="0" w:line="240" w:lineRule="auto"/>
              <w:ind w:left="183" w:hanging="183"/>
              <w:jc w:val="both"/>
              <w:rPr>
                <w:rFonts w:ascii="Times New Roman" w:hAnsi="Times New Roman"/>
                <w:sz w:val="24"/>
                <w:szCs w:val="24"/>
                <w:lang w:val="fr-FR"/>
              </w:rPr>
            </w:pPr>
            <w:r>
              <w:rPr>
                <w:rFonts w:ascii="Times New Roman" w:hAnsi="Times New Roman"/>
                <w:sz w:val="24"/>
                <w:szCs w:val="24"/>
                <w:lang w:val="fr-FR"/>
              </w:rPr>
              <w:t>Organiser des campagnes de sensibilisation ;</w:t>
            </w:r>
          </w:p>
        </w:tc>
      </w:tr>
    </w:tbl>
    <w:p w:rsidR="00025185" w:rsidRDefault="00025185" w:rsidP="00764FFF">
      <w:pPr>
        <w:spacing w:after="200" w:line="240" w:lineRule="auto"/>
        <w:ind w:left="-284" w:right="-942"/>
        <w:jc w:val="both"/>
        <w:rPr>
          <w:rFonts w:ascii="Times New Roman" w:hAnsi="Times New Roman"/>
          <w:sz w:val="24"/>
          <w:szCs w:val="24"/>
        </w:rPr>
        <w:sectPr w:rsidR="00025185" w:rsidSect="00025185">
          <w:pgSz w:w="15840" w:h="12240" w:orient="landscape"/>
          <w:pgMar w:top="1418" w:right="1418" w:bottom="1418" w:left="1418" w:header="720" w:footer="720" w:gutter="0"/>
          <w:cols w:space="720"/>
          <w:noEndnote/>
          <w:docGrid w:linePitch="299"/>
        </w:sectPr>
      </w:pPr>
    </w:p>
    <w:p w:rsidR="00764FFF" w:rsidRPr="003E743A" w:rsidRDefault="000C12E5" w:rsidP="00820701">
      <w:pPr>
        <w:pStyle w:val="Cabealho3"/>
        <w:numPr>
          <w:ilvl w:val="2"/>
          <w:numId w:val="223"/>
        </w:numPr>
      </w:pPr>
      <w:bookmarkStart w:id="379" w:name="_Toc491267568"/>
      <w:bookmarkStart w:id="380" w:name="_Toc505616483"/>
      <w:bookmarkStart w:id="381" w:name="_Toc515981078"/>
      <w:bookmarkStart w:id="382" w:name="_Toc535396960"/>
      <w:bookmarkStart w:id="383" w:name="_Toc11158360"/>
      <w:bookmarkStart w:id="384" w:name="_Toc51072582"/>
      <w:r>
        <w:lastRenderedPageBreak/>
        <w:t>R</w:t>
      </w:r>
      <w:r w:rsidR="00764FFF" w:rsidRPr="003E743A">
        <w:t>isque</w:t>
      </w:r>
      <w:r w:rsidR="00764FFF">
        <w:t>s</w:t>
      </w:r>
      <w:r w:rsidR="00764FFF" w:rsidRPr="003E743A">
        <w:t xml:space="preserve"> liés aux substances et/ou produits stockés en phase travaux et en phase exploitation</w:t>
      </w:r>
      <w:bookmarkEnd w:id="379"/>
      <w:bookmarkEnd w:id="380"/>
      <w:bookmarkEnd w:id="381"/>
      <w:bookmarkEnd w:id="382"/>
      <w:bookmarkEnd w:id="383"/>
      <w:bookmarkEnd w:id="384"/>
    </w:p>
    <w:p w:rsidR="00764FFF" w:rsidRPr="003E743A" w:rsidRDefault="00764FFF" w:rsidP="00764FFF">
      <w:pPr>
        <w:ind w:left="-284" w:right="-942"/>
        <w:jc w:val="both"/>
        <w:rPr>
          <w:rFonts w:ascii="Times New Roman" w:hAnsi="Times New Roman"/>
          <w:sz w:val="24"/>
          <w:szCs w:val="24"/>
        </w:rPr>
      </w:pPr>
      <w:r w:rsidRPr="003E743A">
        <w:rPr>
          <w:rFonts w:ascii="Times New Roman" w:hAnsi="Times New Roman"/>
          <w:sz w:val="24"/>
          <w:szCs w:val="24"/>
        </w:rPr>
        <w:t>L'objectif de ce paragraphe est de présenter les risques liés aux produits, et notamment les caractéristiques intrinsèques des produits stockés, utilisés ou susceptibles d’être présents durant les travaux ou l’exploitation, pouvant conduire in fine à un accident majeur. Les produits principaux suivants sont à considérer :</w:t>
      </w:r>
    </w:p>
    <w:p w:rsidR="00764FFF" w:rsidRPr="003E743A" w:rsidRDefault="00764FFF" w:rsidP="00FA3FAE">
      <w:pPr>
        <w:pStyle w:val="Listecouleur-Accent11"/>
        <w:numPr>
          <w:ilvl w:val="0"/>
          <w:numId w:val="91"/>
        </w:numPr>
        <w:spacing w:after="160" w:line="259" w:lineRule="auto"/>
        <w:ind w:right="-711"/>
        <w:rPr>
          <w:rFonts w:ascii="Times New Roman" w:hAnsi="Times New Roman"/>
          <w:sz w:val="24"/>
          <w:szCs w:val="24"/>
          <w:lang w:val="fr-FR"/>
        </w:rPr>
      </w:pPr>
      <w:r w:rsidRPr="003E743A">
        <w:rPr>
          <w:rFonts w:ascii="Times New Roman" w:hAnsi="Times New Roman"/>
          <w:sz w:val="24"/>
          <w:szCs w:val="24"/>
          <w:lang w:val="fr-FR"/>
        </w:rPr>
        <w:t>Gasoil</w:t>
      </w:r>
    </w:p>
    <w:p w:rsidR="00764FFF" w:rsidRPr="003E743A" w:rsidRDefault="00764FFF" w:rsidP="00FA3FAE">
      <w:pPr>
        <w:pStyle w:val="Listecouleur-Accent11"/>
        <w:numPr>
          <w:ilvl w:val="0"/>
          <w:numId w:val="91"/>
        </w:numPr>
        <w:spacing w:after="160" w:line="259" w:lineRule="auto"/>
        <w:ind w:right="-711"/>
        <w:rPr>
          <w:rFonts w:ascii="Times New Roman" w:hAnsi="Times New Roman"/>
          <w:sz w:val="24"/>
          <w:szCs w:val="24"/>
          <w:lang w:val="fr-FR"/>
        </w:rPr>
      </w:pPr>
      <w:r w:rsidRPr="003E743A">
        <w:rPr>
          <w:rFonts w:ascii="Times New Roman" w:hAnsi="Times New Roman"/>
          <w:sz w:val="24"/>
          <w:szCs w:val="24"/>
          <w:lang w:val="fr-FR"/>
        </w:rPr>
        <w:t>Huiles de lubrifications</w:t>
      </w:r>
    </w:p>
    <w:p w:rsidR="00764FFF" w:rsidRDefault="00764FFF" w:rsidP="00FA3FAE">
      <w:pPr>
        <w:pStyle w:val="Listecouleur-Accent11"/>
        <w:numPr>
          <w:ilvl w:val="0"/>
          <w:numId w:val="91"/>
        </w:numPr>
        <w:spacing w:after="160" w:line="259" w:lineRule="auto"/>
        <w:ind w:right="-711"/>
        <w:rPr>
          <w:rFonts w:ascii="Times New Roman" w:hAnsi="Times New Roman"/>
          <w:sz w:val="24"/>
          <w:szCs w:val="24"/>
          <w:lang w:val="fr-FR"/>
        </w:rPr>
      </w:pPr>
      <w:r w:rsidRPr="003E743A">
        <w:rPr>
          <w:rFonts w:ascii="Times New Roman" w:hAnsi="Times New Roman"/>
          <w:sz w:val="24"/>
          <w:szCs w:val="24"/>
          <w:lang w:val="fr-FR"/>
        </w:rPr>
        <w:t>Huiles usées</w:t>
      </w:r>
    </w:p>
    <w:p w:rsidR="00830B1F" w:rsidRPr="00AA21FC" w:rsidRDefault="00830B1F" w:rsidP="00830B1F">
      <w:pPr>
        <w:spacing w:after="0"/>
        <w:jc w:val="center"/>
        <w:rPr>
          <w:rFonts w:ascii="Times New Roman" w:eastAsia="MS Mincho" w:hAnsi="Times New Roman"/>
          <w:b/>
          <w:lang w:val="fr-CA" w:eastAsia="fr-CA"/>
        </w:rPr>
      </w:pPr>
      <w:bookmarkStart w:id="385" w:name="_Toc37713904"/>
      <w:bookmarkStart w:id="386" w:name="_Toc51074014"/>
      <w:bookmarkStart w:id="387" w:name="_Hlk38065276"/>
      <w:bookmarkStart w:id="388" w:name="_Toc491267578"/>
      <w:bookmarkStart w:id="389" w:name="_Toc505616493"/>
      <w:bookmarkStart w:id="390" w:name="_Toc515981087"/>
      <w:bookmarkStart w:id="391" w:name="_Toc535396961"/>
      <w:bookmarkStart w:id="392" w:name="_Toc11158361"/>
      <w:r w:rsidRPr="00206F59">
        <w:rPr>
          <w:rFonts w:ascii="Times New Roman" w:hAnsi="Times New Roman" w:cs="Times New Roman"/>
          <w:b/>
          <w:sz w:val="20"/>
          <w:szCs w:val="20"/>
        </w:rPr>
        <w:t xml:space="preserve">Tableau </w:t>
      </w:r>
      <w:r w:rsidRPr="00206F59">
        <w:rPr>
          <w:rFonts w:ascii="Times New Roman" w:hAnsi="Times New Roman" w:cs="Times New Roman"/>
          <w:b/>
          <w:sz w:val="20"/>
          <w:szCs w:val="20"/>
        </w:rPr>
        <w:fldChar w:fldCharType="begin"/>
      </w:r>
      <w:r w:rsidRPr="00206F59">
        <w:rPr>
          <w:rFonts w:ascii="Times New Roman" w:hAnsi="Times New Roman" w:cs="Times New Roman"/>
          <w:b/>
          <w:sz w:val="20"/>
          <w:szCs w:val="20"/>
        </w:rPr>
        <w:instrText xml:space="preserve"> SEQ Tableau \* ARABIC </w:instrText>
      </w:r>
      <w:r w:rsidRPr="00206F59">
        <w:rPr>
          <w:rFonts w:ascii="Times New Roman" w:hAnsi="Times New Roman" w:cs="Times New Roman"/>
          <w:b/>
          <w:sz w:val="20"/>
          <w:szCs w:val="20"/>
        </w:rPr>
        <w:fldChar w:fldCharType="separate"/>
      </w:r>
      <w:r w:rsidR="00820701">
        <w:rPr>
          <w:rFonts w:ascii="Times New Roman" w:hAnsi="Times New Roman" w:cs="Times New Roman"/>
          <w:b/>
          <w:noProof/>
          <w:sz w:val="20"/>
          <w:szCs w:val="20"/>
        </w:rPr>
        <w:t>23</w:t>
      </w:r>
      <w:r w:rsidRPr="00206F59">
        <w:rPr>
          <w:rFonts w:ascii="Times New Roman" w:hAnsi="Times New Roman" w:cs="Times New Roman"/>
          <w:b/>
          <w:sz w:val="20"/>
          <w:szCs w:val="20"/>
        </w:rPr>
        <w:fldChar w:fldCharType="end"/>
      </w:r>
      <w:r w:rsidRPr="0007208F">
        <w:rPr>
          <w:rFonts w:ascii="Times New Roman" w:eastAsia="MS Mincho" w:hAnsi="Times New Roman"/>
          <w:b/>
          <w:lang w:val="fr-CA" w:eastAsia="fr-CA"/>
        </w:rPr>
        <w:t> :</w:t>
      </w:r>
      <w:r w:rsidRPr="00AA21FC">
        <w:rPr>
          <w:rFonts w:ascii="Times New Roman" w:eastAsia="MS Mincho" w:hAnsi="Times New Roman"/>
          <w:b/>
          <w:lang w:val="fr-CA" w:eastAsia="fr-CA"/>
        </w:rPr>
        <w:t xml:space="preserve"> </w:t>
      </w:r>
      <w:r w:rsidRPr="009521AC">
        <w:rPr>
          <w:rFonts w:ascii="Times New Roman" w:eastAsia="MS Mincho" w:hAnsi="Times New Roman"/>
          <w:bCs/>
          <w:lang w:val="fr-CA" w:eastAsia="fr-CA"/>
        </w:rPr>
        <w:t>Identification des dangers liés aux produits</w:t>
      </w:r>
      <w:bookmarkEnd w:id="385"/>
      <w:r>
        <w:rPr>
          <w:rStyle w:val="Refdenotaderodap"/>
          <w:rFonts w:eastAsia="MS Mincho"/>
          <w:bCs/>
          <w:lang w:val="fr-CA" w:eastAsia="fr-CA"/>
        </w:rPr>
        <w:footnoteReference w:id="2"/>
      </w:r>
      <w:bookmarkEnd w:id="386"/>
    </w:p>
    <w:tbl>
      <w:tblPr>
        <w:tblW w:w="5959" w:type="pct"/>
        <w:tblInd w:w="-7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346"/>
        <w:gridCol w:w="1348"/>
        <w:gridCol w:w="2318"/>
        <w:gridCol w:w="2867"/>
        <w:gridCol w:w="3319"/>
      </w:tblGrid>
      <w:tr w:rsidR="00830B1F" w:rsidRPr="00AA21FC" w:rsidTr="002F0DE8">
        <w:trPr>
          <w:trHeight w:val="634"/>
          <w:tblHeader/>
        </w:trPr>
        <w:tc>
          <w:tcPr>
            <w:tcW w:w="601" w:type="pct"/>
            <w:shd w:val="clear" w:color="auto" w:fill="FFFF00"/>
            <w:vAlign w:val="center"/>
            <w:hideMark/>
          </w:tcPr>
          <w:bookmarkEnd w:id="387"/>
          <w:p w:rsidR="00830B1F" w:rsidRPr="00AA21FC" w:rsidRDefault="00830B1F" w:rsidP="002F0DE8">
            <w:pPr>
              <w:spacing w:after="0"/>
              <w:jc w:val="center"/>
              <w:rPr>
                <w:rFonts w:ascii="Times New Roman" w:hAnsi="Times New Roman"/>
                <w:b/>
                <w:bCs/>
                <w:sz w:val="18"/>
                <w:szCs w:val="18"/>
                <w:lang w:val="fr-CA"/>
              </w:rPr>
            </w:pPr>
            <w:r w:rsidRPr="00AA21FC">
              <w:rPr>
                <w:rFonts w:ascii="Times New Roman" w:hAnsi="Times New Roman"/>
                <w:b/>
                <w:bCs/>
                <w:sz w:val="18"/>
                <w:szCs w:val="18"/>
                <w:lang w:val="fr-CA"/>
              </w:rPr>
              <w:t>Dénomination / Composition</w:t>
            </w:r>
          </w:p>
        </w:tc>
        <w:tc>
          <w:tcPr>
            <w:tcW w:w="602" w:type="pct"/>
            <w:shd w:val="clear" w:color="auto" w:fill="FFFF00"/>
            <w:vAlign w:val="center"/>
            <w:hideMark/>
          </w:tcPr>
          <w:p w:rsidR="00830B1F" w:rsidRPr="00AA21FC" w:rsidRDefault="00830B1F" w:rsidP="002F0DE8">
            <w:pPr>
              <w:spacing w:after="0"/>
              <w:jc w:val="center"/>
              <w:rPr>
                <w:rFonts w:ascii="Times New Roman" w:hAnsi="Times New Roman"/>
                <w:b/>
                <w:bCs/>
                <w:sz w:val="18"/>
                <w:szCs w:val="18"/>
                <w:lang w:val="fr-CA"/>
              </w:rPr>
            </w:pPr>
            <w:r w:rsidRPr="00AA21FC">
              <w:rPr>
                <w:rFonts w:ascii="Times New Roman" w:hAnsi="Times New Roman"/>
                <w:b/>
                <w:bCs/>
                <w:sz w:val="18"/>
                <w:szCs w:val="18"/>
                <w:lang w:val="fr-CA"/>
              </w:rPr>
              <w:t>Pictogramme de danger (source : SGH / SIMDUT)</w:t>
            </w:r>
          </w:p>
        </w:tc>
        <w:tc>
          <w:tcPr>
            <w:tcW w:w="1035" w:type="pct"/>
            <w:shd w:val="clear" w:color="auto" w:fill="FFFF00"/>
            <w:vAlign w:val="center"/>
            <w:hideMark/>
          </w:tcPr>
          <w:p w:rsidR="00830B1F" w:rsidRPr="00AA21FC" w:rsidRDefault="00830B1F" w:rsidP="002F0DE8">
            <w:pPr>
              <w:spacing w:after="0"/>
              <w:jc w:val="center"/>
              <w:rPr>
                <w:rFonts w:ascii="Times New Roman" w:hAnsi="Times New Roman"/>
                <w:b/>
                <w:bCs/>
                <w:sz w:val="18"/>
                <w:szCs w:val="18"/>
                <w:lang w:val="fr-CA"/>
              </w:rPr>
            </w:pPr>
            <w:r w:rsidRPr="00AA21FC">
              <w:rPr>
                <w:rFonts w:ascii="Times New Roman" w:hAnsi="Times New Roman"/>
                <w:b/>
                <w:bCs/>
                <w:sz w:val="18"/>
                <w:szCs w:val="18"/>
                <w:lang w:val="fr-CA"/>
              </w:rPr>
              <w:t>Inflammabilité / Toxicité</w:t>
            </w:r>
            <w:r w:rsidRPr="00AA21FC">
              <w:rPr>
                <w:rFonts w:ascii="Times New Roman" w:hAnsi="Times New Roman"/>
                <w:bCs/>
                <w:sz w:val="18"/>
                <w:szCs w:val="18"/>
                <w:vertAlign w:val="superscript"/>
                <w:lang w:val="fr-CA"/>
              </w:rPr>
              <w:footnoteReference w:id="3"/>
            </w:r>
          </w:p>
        </w:tc>
        <w:tc>
          <w:tcPr>
            <w:tcW w:w="1280" w:type="pct"/>
            <w:shd w:val="clear" w:color="auto" w:fill="FFFF00"/>
            <w:vAlign w:val="center"/>
            <w:hideMark/>
          </w:tcPr>
          <w:p w:rsidR="00830B1F" w:rsidRPr="00AA21FC" w:rsidRDefault="00830B1F" w:rsidP="002F0DE8">
            <w:pPr>
              <w:spacing w:after="0"/>
              <w:jc w:val="center"/>
              <w:rPr>
                <w:rFonts w:ascii="Times New Roman" w:hAnsi="Times New Roman"/>
                <w:b/>
                <w:bCs/>
                <w:sz w:val="18"/>
                <w:szCs w:val="18"/>
                <w:lang w:val="fr-CA"/>
              </w:rPr>
            </w:pPr>
            <w:r w:rsidRPr="00AA21FC">
              <w:rPr>
                <w:rFonts w:ascii="Times New Roman" w:hAnsi="Times New Roman"/>
                <w:b/>
                <w:bCs/>
                <w:sz w:val="18"/>
                <w:szCs w:val="18"/>
                <w:lang w:val="fr-CA"/>
              </w:rPr>
              <w:t>Moyens de Protection – Précautions à prendre durant la manipulation</w:t>
            </w:r>
          </w:p>
        </w:tc>
        <w:tc>
          <w:tcPr>
            <w:tcW w:w="1482" w:type="pct"/>
            <w:shd w:val="clear" w:color="auto" w:fill="FFFF00"/>
            <w:vAlign w:val="center"/>
            <w:hideMark/>
          </w:tcPr>
          <w:p w:rsidR="00830B1F" w:rsidRPr="00AA21FC" w:rsidRDefault="00830B1F" w:rsidP="002F0DE8">
            <w:pPr>
              <w:spacing w:after="0"/>
              <w:jc w:val="center"/>
              <w:rPr>
                <w:rFonts w:ascii="Times New Roman" w:hAnsi="Times New Roman"/>
                <w:b/>
                <w:bCs/>
                <w:sz w:val="18"/>
                <w:szCs w:val="18"/>
                <w:lang w:val="fr-CA"/>
              </w:rPr>
            </w:pPr>
            <w:r w:rsidRPr="00AA21FC">
              <w:rPr>
                <w:rFonts w:ascii="Times New Roman" w:hAnsi="Times New Roman"/>
                <w:b/>
                <w:bCs/>
                <w:sz w:val="18"/>
                <w:szCs w:val="18"/>
                <w:lang w:val="fr-CA"/>
              </w:rPr>
              <w:t>Conditions de stockage</w:t>
            </w:r>
          </w:p>
        </w:tc>
      </w:tr>
      <w:tr w:rsidR="00830B1F" w:rsidRPr="00AA21FC" w:rsidTr="002F0DE8">
        <w:trPr>
          <w:trHeight w:val="1221"/>
        </w:trPr>
        <w:tc>
          <w:tcPr>
            <w:tcW w:w="601" w:type="pct"/>
            <w:shd w:val="clear" w:color="auto" w:fill="auto"/>
            <w:noWrap/>
            <w:vAlign w:val="center"/>
          </w:tcPr>
          <w:p w:rsidR="00830B1F" w:rsidRPr="00206F59" w:rsidRDefault="00830B1F" w:rsidP="00FA3FAE">
            <w:pPr>
              <w:pStyle w:val="Listecouleur-Accent11"/>
              <w:numPr>
                <w:ilvl w:val="0"/>
                <w:numId w:val="91"/>
              </w:numPr>
              <w:spacing w:line="259" w:lineRule="auto"/>
              <w:ind w:left="225" w:right="160"/>
              <w:jc w:val="center"/>
              <w:rPr>
                <w:rFonts w:ascii="Times New Roman" w:hAnsi="Times New Roman"/>
                <w:sz w:val="24"/>
                <w:szCs w:val="24"/>
                <w:lang w:val="fr-FR"/>
              </w:rPr>
            </w:pPr>
            <w:r w:rsidRPr="00206F59">
              <w:rPr>
                <w:rFonts w:ascii="Times New Roman" w:hAnsi="Times New Roman"/>
                <w:sz w:val="24"/>
                <w:szCs w:val="24"/>
                <w:lang w:val="fr-FR"/>
              </w:rPr>
              <w:t>Gasoil</w:t>
            </w:r>
          </w:p>
          <w:p w:rsidR="00830B1F" w:rsidRPr="00AA21FC" w:rsidRDefault="00830B1F" w:rsidP="002F0DE8">
            <w:pPr>
              <w:spacing w:after="0"/>
              <w:ind w:right="160"/>
              <w:jc w:val="center"/>
              <w:rPr>
                <w:rFonts w:ascii="Times New Roman" w:hAnsi="Times New Roman"/>
                <w:b/>
                <w:color w:val="000000"/>
                <w:sz w:val="18"/>
                <w:szCs w:val="18"/>
                <w:lang w:val="fr-CA"/>
              </w:rPr>
            </w:pPr>
          </w:p>
        </w:tc>
        <w:tc>
          <w:tcPr>
            <w:tcW w:w="602" w:type="pct"/>
            <w:shd w:val="clear" w:color="auto" w:fill="auto"/>
            <w:noWrap/>
          </w:tcPr>
          <w:p w:rsidR="00830B1F" w:rsidRDefault="00830B1F" w:rsidP="002F0DE8">
            <w:pPr>
              <w:spacing w:after="0"/>
              <w:jc w:val="center"/>
              <w:rPr>
                <w:rFonts w:ascii="Times New Roman" w:hAnsi="Times New Roman"/>
                <w:color w:val="000000"/>
                <w:sz w:val="18"/>
                <w:szCs w:val="18"/>
                <w:lang w:val="en-US" w:bidi="en-US"/>
              </w:rPr>
            </w:pPr>
            <w:r>
              <w:rPr>
                <w:rFonts w:ascii="Times New Roman" w:hAnsi="Times New Roman"/>
                <w:noProof/>
                <w:color w:val="000000"/>
                <w:sz w:val="18"/>
                <w:szCs w:val="18"/>
                <w:lang w:val="pt-PT" w:eastAsia="pt-PT"/>
              </w:rPr>
              <w:drawing>
                <wp:inline distT="0" distB="0" distL="0" distR="0" wp14:anchorId="60A81886" wp14:editId="2BC1BA87">
                  <wp:extent cx="667385" cy="649951"/>
                  <wp:effectExtent l="0" t="0" r="0" b="0"/>
                  <wp:docPr id="541" name="Image 5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fgfg.jpeg"/>
                          <pic:cNvPicPr/>
                        </pic:nvPicPr>
                        <pic:blipFill rotWithShape="1">
                          <a:blip r:embed="rId105" cstate="email">
                            <a:extLst>
                              <a:ext uri="{28A0092B-C50C-407E-A947-70E740481C1C}">
                                <a14:useLocalDpi xmlns:a14="http://schemas.microsoft.com/office/drawing/2010/main"/>
                              </a:ext>
                            </a:extLst>
                          </a:blip>
                          <a:srcRect b="-13565"/>
                          <a:stretch/>
                        </pic:blipFill>
                        <pic:spPr bwMode="auto">
                          <a:xfrm>
                            <a:off x="0" y="0"/>
                            <a:ext cx="676567" cy="658893"/>
                          </a:xfrm>
                          <a:prstGeom prst="rect">
                            <a:avLst/>
                          </a:prstGeom>
                          <a:ln>
                            <a:noFill/>
                          </a:ln>
                          <a:extLst>
                            <a:ext uri="{53640926-AAD7-44D8-BBD7-CCE9431645EC}">
                              <a14:shadowObscured xmlns:a14="http://schemas.microsoft.com/office/drawing/2010/main"/>
                            </a:ext>
                          </a:extLst>
                        </pic:spPr>
                      </pic:pic>
                    </a:graphicData>
                  </a:graphic>
                </wp:inline>
              </w:drawing>
            </w:r>
          </w:p>
          <w:p w:rsidR="00830B1F" w:rsidRDefault="00830B1F" w:rsidP="002F0DE8">
            <w:pPr>
              <w:spacing w:after="0"/>
              <w:jc w:val="center"/>
              <w:rPr>
                <w:rFonts w:ascii="Times New Roman" w:hAnsi="Times New Roman"/>
                <w:sz w:val="18"/>
                <w:szCs w:val="18"/>
                <w:lang w:val="en-US" w:bidi="en-US"/>
              </w:rPr>
            </w:pPr>
            <w:r>
              <w:rPr>
                <w:rFonts w:ascii="Times New Roman" w:hAnsi="Times New Roman"/>
                <w:noProof/>
                <w:sz w:val="18"/>
                <w:szCs w:val="18"/>
                <w:lang w:val="pt-PT" w:eastAsia="pt-PT"/>
              </w:rPr>
              <w:drawing>
                <wp:inline distT="0" distB="0" distL="0" distR="0" wp14:anchorId="421D8B75" wp14:editId="027BED1C">
                  <wp:extent cx="622935" cy="549648"/>
                  <wp:effectExtent l="0" t="0" r="12065" b="9525"/>
                  <wp:docPr id="542" name="Image 5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fgfg.jpeg"/>
                          <pic:cNvPicPr/>
                        </pic:nvPicPr>
                        <pic:blipFill rotWithShape="1">
                          <a:blip r:embed="rId106" cstate="email">
                            <a:extLst>
                              <a:ext uri="{28A0092B-C50C-407E-A947-70E740481C1C}">
                                <a14:useLocalDpi xmlns:a14="http://schemas.microsoft.com/office/drawing/2010/main"/>
                              </a:ext>
                            </a:extLst>
                          </a:blip>
                          <a:srcRect b="-1012"/>
                          <a:stretch/>
                        </pic:blipFill>
                        <pic:spPr bwMode="auto">
                          <a:xfrm>
                            <a:off x="0" y="0"/>
                            <a:ext cx="644422" cy="568607"/>
                          </a:xfrm>
                          <a:prstGeom prst="rect">
                            <a:avLst/>
                          </a:prstGeom>
                          <a:ln>
                            <a:noFill/>
                          </a:ln>
                          <a:extLst>
                            <a:ext uri="{53640926-AAD7-44D8-BBD7-CCE9431645EC}">
                              <a14:shadowObscured xmlns:a14="http://schemas.microsoft.com/office/drawing/2010/main"/>
                            </a:ext>
                          </a:extLst>
                        </pic:spPr>
                      </pic:pic>
                    </a:graphicData>
                  </a:graphic>
                </wp:inline>
              </w:drawing>
            </w:r>
          </w:p>
          <w:p w:rsidR="00830B1F" w:rsidRDefault="00830B1F" w:rsidP="002F0DE8">
            <w:pPr>
              <w:spacing w:after="0"/>
              <w:rPr>
                <w:rFonts w:ascii="Times New Roman" w:hAnsi="Times New Roman"/>
                <w:sz w:val="18"/>
                <w:szCs w:val="18"/>
                <w:lang w:val="en-US" w:bidi="en-US"/>
              </w:rPr>
            </w:pPr>
          </w:p>
          <w:p w:rsidR="00830B1F" w:rsidRDefault="00830B1F" w:rsidP="002F0DE8">
            <w:pPr>
              <w:spacing w:after="0"/>
              <w:jc w:val="center"/>
              <w:rPr>
                <w:rFonts w:ascii="Times New Roman" w:hAnsi="Times New Roman"/>
                <w:sz w:val="18"/>
                <w:szCs w:val="18"/>
                <w:lang w:val="en-US" w:bidi="en-US"/>
              </w:rPr>
            </w:pPr>
            <w:r>
              <w:rPr>
                <w:rFonts w:ascii="Times New Roman" w:hAnsi="Times New Roman"/>
                <w:noProof/>
                <w:sz w:val="18"/>
                <w:szCs w:val="18"/>
                <w:lang w:val="pt-PT" w:eastAsia="pt-PT"/>
              </w:rPr>
              <w:drawing>
                <wp:inline distT="0" distB="0" distL="0" distR="0" wp14:anchorId="67440A56" wp14:editId="384D63CE">
                  <wp:extent cx="635635" cy="635635"/>
                  <wp:effectExtent l="0" t="0" r="0" b="0"/>
                  <wp:docPr id="543" name="Image 5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fgfg.jpeg"/>
                          <pic:cNvPicPr/>
                        </pic:nvPicPr>
                        <pic:blipFill rotWithShape="1">
                          <a:blip r:embed="rId107" cstate="email">
                            <a:extLst>
                              <a:ext uri="{28A0092B-C50C-407E-A947-70E740481C1C}">
                                <a14:useLocalDpi xmlns:a14="http://schemas.microsoft.com/office/drawing/2010/main"/>
                              </a:ext>
                            </a:extLst>
                          </a:blip>
                          <a:srcRect t="-1" b="-13567"/>
                          <a:stretch/>
                        </pic:blipFill>
                        <pic:spPr bwMode="auto">
                          <a:xfrm>
                            <a:off x="0" y="0"/>
                            <a:ext cx="635635" cy="635635"/>
                          </a:xfrm>
                          <a:prstGeom prst="rect">
                            <a:avLst/>
                          </a:prstGeom>
                          <a:ln>
                            <a:noFill/>
                          </a:ln>
                          <a:extLst>
                            <a:ext uri="{53640926-AAD7-44D8-BBD7-CCE9431645EC}">
                              <a14:shadowObscured xmlns:a14="http://schemas.microsoft.com/office/drawing/2010/main"/>
                            </a:ext>
                          </a:extLst>
                        </pic:spPr>
                      </pic:pic>
                    </a:graphicData>
                  </a:graphic>
                </wp:inline>
              </w:drawing>
            </w:r>
          </w:p>
          <w:p w:rsidR="00830B1F" w:rsidRDefault="00830B1F" w:rsidP="002F0DE8">
            <w:pPr>
              <w:spacing w:after="0"/>
              <w:rPr>
                <w:rFonts w:ascii="Times New Roman" w:hAnsi="Times New Roman"/>
                <w:sz w:val="18"/>
                <w:szCs w:val="18"/>
                <w:lang w:val="en-US" w:bidi="en-US"/>
              </w:rPr>
            </w:pPr>
          </w:p>
          <w:p w:rsidR="00830B1F" w:rsidRPr="00034A6A" w:rsidRDefault="00830B1F" w:rsidP="002F0DE8">
            <w:pPr>
              <w:spacing w:after="0"/>
              <w:jc w:val="center"/>
              <w:rPr>
                <w:rFonts w:ascii="Times New Roman" w:hAnsi="Times New Roman"/>
                <w:sz w:val="18"/>
                <w:szCs w:val="18"/>
                <w:lang w:val="en-US" w:bidi="en-US"/>
              </w:rPr>
            </w:pPr>
            <w:r>
              <w:rPr>
                <w:rFonts w:ascii="Times New Roman" w:hAnsi="Times New Roman"/>
                <w:noProof/>
                <w:sz w:val="18"/>
                <w:szCs w:val="18"/>
                <w:lang w:val="pt-PT" w:eastAsia="pt-PT"/>
              </w:rPr>
              <w:drawing>
                <wp:inline distT="0" distB="0" distL="0" distR="0" wp14:anchorId="0BFAA929" wp14:editId="2A383CC6">
                  <wp:extent cx="648335" cy="623347"/>
                  <wp:effectExtent l="0" t="0" r="12065" b="12065"/>
                  <wp:docPr id="544" name="Image 5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fgfg.jpeg"/>
                          <pic:cNvPicPr/>
                        </pic:nvPicPr>
                        <pic:blipFill rotWithShape="1">
                          <a:blip r:embed="rId108" cstate="email">
                            <a:extLst>
                              <a:ext uri="{28A0092B-C50C-407E-A947-70E740481C1C}">
                                <a14:useLocalDpi xmlns:a14="http://schemas.microsoft.com/office/drawing/2010/main"/>
                              </a:ext>
                            </a:extLst>
                          </a:blip>
                          <a:srcRect t="-7311"/>
                          <a:stretch/>
                        </pic:blipFill>
                        <pic:spPr bwMode="auto">
                          <a:xfrm>
                            <a:off x="0" y="0"/>
                            <a:ext cx="666055" cy="640384"/>
                          </a:xfrm>
                          <a:prstGeom prst="rect">
                            <a:avLst/>
                          </a:prstGeom>
                          <a:ln>
                            <a:noFill/>
                          </a:ln>
                          <a:extLst>
                            <a:ext uri="{53640926-AAD7-44D8-BBD7-CCE9431645EC}">
                              <a14:shadowObscured xmlns:a14="http://schemas.microsoft.com/office/drawing/2010/main"/>
                            </a:ext>
                          </a:extLst>
                        </pic:spPr>
                      </pic:pic>
                    </a:graphicData>
                  </a:graphic>
                </wp:inline>
              </w:drawing>
            </w:r>
          </w:p>
        </w:tc>
        <w:tc>
          <w:tcPr>
            <w:tcW w:w="1035" w:type="pct"/>
            <w:shd w:val="clear" w:color="auto" w:fill="auto"/>
          </w:tcPr>
          <w:p w:rsidR="00830B1F" w:rsidRPr="004A25D0" w:rsidRDefault="00830B1F" w:rsidP="00FA3FAE">
            <w:pPr>
              <w:numPr>
                <w:ilvl w:val="0"/>
                <w:numId w:val="230"/>
              </w:numPr>
              <w:spacing w:after="0" w:line="240" w:lineRule="auto"/>
              <w:ind w:left="298" w:hanging="283"/>
              <w:rPr>
                <w:rFonts w:ascii="Times New Roman" w:hAnsi="Times New Roman"/>
                <w:color w:val="000000"/>
                <w:sz w:val="18"/>
                <w:szCs w:val="18"/>
                <w:lang w:bidi="en-US"/>
              </w:rPr>
            </w:pPr>
            <w:r w:rsidRPr="004A25D0">
              <w:rPr>
                <w:rFonts w:ascii="Times New Roman" w:hAnsi="Times New Roman"/>
                <w:color w:val="000000"/>
                <w:sz w:val="18"/>
                <w:szCs w:val="18"/>
                <w:lang w:bidi="en-US"/>
              </w:rPr>
              <w:t xml:space="preserve">Effet cancérigène peu probable </w:t>
            </w:r>
          </w:p>
          <w:p w:rsidR="00830B1F" w:rsidRPr="004A25D0" w:rsidRDefault="00830B1F" w:rsidP="00FA3FAE">
            <w:pPr>
              <w:numPr>
                <w:ilvl w:val="0"/>
                <w:numId w:val="230"/>
              </w:numPr>
              <w:spacing w:after="0" w:line="240" w:lineRule="auto"/>
              <w:ind w:left="298" w:hanging="283"/>
              <w:rPr>
                <w:rFonts w:ascii="Times New Roman" w:hAnsi="Times New Roman"/>
                <w:color w:val="000000"/>
                <w:sz w:val="18"/>
                <w:szCs w:val="18"/>
                <w:lang w:bidi="en-US"/>
              </w:rPr>
            </w:pPr>
            <w:r w:rsidRPr="004A25D0">
              <w:rPr>
                <w:rFonts w:ascii="Times New Roman" w:hAnsi="Times New Roman"/>
                <w:color w:val="000000"/>
                <w:sz w:val="18"/>
                <w:szCs w:val="18"/>
                <w:lang w:bidi="en-US"/>
              </w:rPr>
              <w:t xml:space="preserve">Nocif : peut provoquer une atteinte des poumons en cas d’ingestion </w:t>
            </w:r>
          </w:p>
          <w:p w:rsidR="00830B1F" w:rsidRPr="004A25D0" w:rsidRDefault="00830B1F" w:rsidP="00FA3FAE">
            <w:pPr>
              <w:numPr>
                <w:ilvl w:val="0"/>
                <w:numId w:val="230"/>
              </w:numPr>
              <w:spacing w:after="0" w:line="240" w:lineRule="auto"/>
              <w:ind w:left="298" w:hanging="283"/>
              <w:rPr>
                <w:rFonts w:ascii="Times New Roman" w:hAnsi="Times New Roman"/>
                <w:color w:val="000000"/>
                <w:sz w:val="18"/>
                <w:szCs w:val="18"/>
                <w:lang w:bidi="en-US"/>
              </w:rPr>
            </w:pPr>
            <w:r w:rsidRPr="004A25D0">
              <w:rPr>
                <w:rFonts w:ascii="Times New Roman" w:hAnsi="Times New Roman"/>
                <w:color w:val="000000"/>
                <w:sz w:val="18"/>
                <w:szCs w:val="18"/>
                <w:lang w:bidi="en-US"/>
              </w:rPr>
              <w:t xml:space="preserve">Exposition répétée peut provoquer des assèchements de la peau </w:t>
            </w:r>
          </w:p>
          <w:p w:rsidR="00830B1F" w:rsidRPr="004A25D0" w:rsidRDefault="00830B1F" w:rsidP="00FA3FAE">
            <w:pPr>
              <w:numPr>
                <w:ilvl w:val="0"/>
                <w:numId w:val="230"/>
              </w:numPr>
              <w:spacing w:after="0" w:line="240" w:lineRule="auto"/>
              <w:ind w:left="298" w:hanging="283"/>
              <w:rPr>
                <w:rFonts w:ascii="Times New Roman" w:hAnsi="Times New Roman"/>
                <w:color w:val="000000"/>
                <w:sz w:val="18"/>
                <w:szCs w:val="18"/>
                <w:lang w:bidi="en-US"/>
              </w:rPr>
            </w:pPr>
            <w:r w:rsidRPr="004A25D0">
              <w:rPr>
                <w:rFonts w:ascii="Times New Roman" w:hAnsi="Times New Roman"/>
                <w:color w:val="000000"/>
                <w:sz w:val="18"/>
                <w:szCs w:val="18"/>
                <w:lang w:bidi="en-US"/>
              </w:rPr>
              <w:t xml:space="preserve">Toxique pour les organismes aquatiques, peut entraîner des effets </w:t>
            </w:r>
          </w:p>
          <w:p w:rsidR="00830B1F" w:rsidRPr="004A25D0" w:rsidRDefault="00830B1F" w:rsidP="00FA3FAE">
            <w:pPr>
              <w:numPr>
                <w:ilvl w:val="0"/>
                <w:numId w:val="230"/>
              </w:numPr>
              <w:spacing w:after="0" w:line="240" w:lineRule="auto"/>
              <w:ind w:left="298" w:hanging="283"/>
              <w:rPr>
                <w:rFonts w:ascii="Times New Roman" w:hAnsi="Times New Roman"/>
                <w:color w:val="000000"/>
                <w:sz w:val="18"/>
                <w:szCs w:val="18"/>
                <w:lang w:bidi="en-US"/>
              </w:rPr>
            </w:pPr>
            <w:r w:rsidRPr="004A25D0">
              <w:rPr>
                <w:rFonts w:ascii="Times New Roman" w:hAnsi="Times New Roman"/>
                <w:color w:val="000000"/>
                <w:sz w:val="18"/>
                <w:szCs w:val="18"/>
                <w:lang w:bidi="en-US"/>
              </w:rPr>
              <w:t>Néfastes à long terme pour l’environnement aquatique.</w:t>
            </w:r>
          </w:p>
        </w:tc>
        <w:tc>
          <w:tcPr>
            <w:tcW w:w="1280" w:type="pct"/>
            <w:shd w:val="clear" w:color="auto" w:fill="auto"/>
            <w:noWrap/>
          </w:tcPr>
          <w:p w:rsidR="00830B1F" w:rsidRPr="003F0D75" w:rsidRDefault="00830B1F" w:rsidP="00FA3FAE">
            <w:pPr>
              <w:numPr>
                <w:ilvl w:val="0"/>
                <w:numId w:val="230"/>
              </w:numPr>
              <w:spacing w:after="0" w:line="240" w:lineRule="auto"/>
              <w:ind w:left="298" w:right="-140" w:hanging="283"/>
              <w:rPr>
                <w:rFonts w:ascii="Times New Roman" w:hAnsi="Times New Roman"/>
                <w:color w:val="000000"/>
                <w:sz w:val="18"/>
                <w:szCs w:val="18"/>
                <w:lang w:bidi="en-US"/>
              </w:rPr>
            </w:pPr>
            <w:r w:rsidRPr="003F0D75">
              <w:rPr>
                <w:rFonts w:ascii="Times New Roman" w:hAnsi="Times New Roman"/>
                <w:color w:val="000000"/>
                <w:sz w:val="18"/>
                <w:szCs w:val="18"/>
                <w:lang w:bidi="en-US"/>
              </w:rPr>
              <w:t>P210 : Tenir à l’</w:t>
            </w:r>
            <w:r w:rsidRPr="003F0D75">
              <w:rPr>
                <w:color w:val="000000"/>
                <w:sz w:val="18"/>
                <w:szCs w:val="18"/>
                <w:lang w:bidi="en-US"/>
              </w:rPr>
              <w:t>écart</w:t>
            </w:r>
            <w:r w:rsidRPr="003F0D75">
              <w:rPr>
                <w:rFonts w:ascii="Times New Roman" w:hAnsi="Times New Roman"/>
                <w:color w:val="000000"/>
                <w:sz w:val="18"/>
                <w:szCs w:val="18"/>
                <w:lang w:bidi="en-US"/>
              </w:rPr>
              <w:t xml:space="preserve"> de la chaleur/des </w:t>
            </w:r>
            <w:r w:rsidRPr="003F0D75">
              <w:rPr>
                <w:color w:val="000000"/>
                <w:sz w:val="18"/>
                <w:szCs w:val="18"/>
                <w:lang w:bidi="en-US"/>
              </w:rPr>
              <w:t>étincelles</w:t>
            </w:r>
            <w:r w:rsidRPr="003F0D75">
              <w:rPr>
                <w:rFonts w:ascii="Times New Roman" w:hAnsi="Times New Roman"/>
                <w:color w:val="000000"/>
                <w:sz w:val="18"/>
                <w:szCs w:val="18"/>
                <w:lang w:bidi="en-US"/>
              </w:rPr>
              <w:t xml:space="preserve">/des flammes nues/des surfaces chaudes – Ne pas fumer. </w:t>
            </w:r>
          </w:p>
          <w:p w:rsidR="00830B1F" w:rsidRPr="003F0D75" w:rsidRDefault="00830B1F" w:rsidP="00FA3FAE">
            <w:pPr>
              <w:numPr>
                <w:ilvl w:val="0"/>
                <w:numId w:val="230"/>
              </w:numPr>
              <w:spacing w:after="0" w:line="240" w:lineRule="auto"/>
              <w:ind w:left="298" w:right="-140" w:hanging="283"/>
              <w:rPr>
                <w:rFonts w:ascii="Times New Roman" w:hAnsi="Times New Roman"/>
                <w:color w:val="000000"/>
                <w:sz w:val="18"/>
                <w:szCs w:val="18"/>
                <w:lang w:bidi="en-US"/>
              </w:rPr>
            </w:pPr>
            <w:r w:rsidRPr="003F0D75">
              <w:rPr>
                <w:rFonts w:ascii="Times New Roman" w:hAnsi="Times New Roman"/>
                <w:color w:val="000000"/>
                <w:sz w:val="18"/>
                <w:szCs w:val="18"/>
                <w:lang w:bidi="en-US"/>
              </w:rPr>
              <w:t xml:space="preserve">P233 : Maintenir le </w:t>
            </w:r>
            <w:r w:rsidRPr="003F0D75">
              <w:rPr>
                <w:color w:val="000000"/>
                <w:sz w:val="18"/>
                <w:szCs w:val="18"/>
                <w:lang w:bidi="en-US"/>
              </w:rPr>
              <w:t>récipient</w:t>
            </w:r>
            <w:r w:rsidRPr="003F0D75">
              <w:rPr>
                <w:rFonts w:ascii="Times New Roman" w:hAnsi="Times New Roman"/>
                <w:color w:val="000000"/>
                <w:sz w:val="18"/>
                <w:szCs w:val="18"/>
                <w:lang w:bidi="en-US"/>
              </w:rPr>
              <w:t xml:space="preserve"> fermé de </w:t>
            </w:r>
            <w:r w:rsidRPr="003F0D75">
              <w:rPr>
                <w:color w:val="000000"/>
                <w:sz w:val="18"/>
                <w:szCs w:val="18"/>
                <w:lang w:bidi="en-US"/>
              </w:rPr>
              <w:t>manière</w:t>
            </w:r>
            <w:r w:rsidRPr="003F0D75">
              <w:rPr>
                <w:rFonts w:ascii="Times New Roman" w:hAnsi="Times New Roman"/>
                <w:color w:val="000000"/>
                <w:sz w:val="18"/>
                <w:szCs w:val="18"/>
                <w:lang w:bidi="en-US"/>
              </w:rPr>
              <w:t xml:space="preserve"> </w:t>
            </w:r>
            <w:r w:rsidRPr="003F0D75">
              <w:rPr>
                <w:color w:val="000000"/>
                <w:sz w:val="18"/>
                <w:szCs w:val="18"/>
                <w:lang w:bidi="en-US"/>
              </w:rPr>
              <w:t>étanche</w:t>
            </w:r>
            <w:r w:rsidRPr="003F0D75">
              <w:rPr>
                <w:rFonts w:ascii="Times New Roman" w:hAnsi="Times New Roman"/>
                <w:color w:val="000000"/>
                <w:sz w:val="18"/>
                <w:szCs w:val="18"/>
                <w:lang w:bidi="en-US"/>
              </w:rPr>
              <w:t xml:space="preserve">. </w:t>
            </w:r>
          </w:p>
          <w:p w:rsidR="00830B1F" w:rsidRPr="003F0D75" w:rsidRDefault="00830B1F" w:rsidP="00FA3FAE">
            <w:pPr>
              <w:numPr>
                <w:ilvl w:val="0"/>
                <w:numId w:val="230"/>
              </w:numPr>
              <w:spacing w:after="0" w:line="240" w:lineRule="auto"/>
              <w:ind w:left="298" w:right="-140" w:hanging="283"/>
              <w:rPr>
                <w:rFonts w:ascii="Times New Roman" w:hAnsi="Times New Roman"/>
                <w:color w:val="000000"/>
                <w:sz w:val="18"/>
                <w:szCs w:val="18"/>
                <w:lang w:bidi="en-US"/>
              </w:rPr>
            </w:pPr>
            <w:r w:rsidRPr="003F0D75">
              <w:rPr>
                <w:rFonts w:ascii="Times New Roman" w:hAnsi="Times New Roman"/>
                <w:color w:val="000000"/>
                <w:sz w:val="18"/>
                <w:szCs w:val="18"/>
                <w:lang w:bidi="en-US"/>
              </w:rPr>
              <w:t xml:space="preserve">P235 : Tenir au frais. </w:t>
            </w:r>
          </w:p>
          <w:p w:rsidR="00830B1F" w:rsidRPr="003F0D75" w:rsidRDefault="00830B1F" w:rsidP="00FA3FAE">
            <w:pPr>
              <w:numPr>
                <w:ilvl w:val="0"/>
                <w:numId w:val="230"/>
              </w:numPr>
              <w:spacing w:after="0" w:line="240" w:lineRule="auto"/>
              <w:ind w:left="298" w:right="-140" w:hanging="283"/>
              <w:rPr>
                <w:rFonts w:ascii="Times New Roman" w:hAnsi="Times New Roman"/>
                <w:color w:val="000000"/>
                <w:sz w:val="18"/>
                <w:szCs w:val="18"/>
                <w:lang w:bidi="en-US"/>
              </w:rPr>
            </w:pPr>
            <w:r w:rsidRPr="003F0D75">
              <w:rPr>
                <w:rFonts w:ascii="Times New Roman" w:hAnsi="Times New Roman"/>
                <w:color w:val="000000"/>
                <w:sz w:val="18"/>
                <w:szCs w:val="18"/>
                <w:lang w:bidi="en-US"/>
              </w:rPr>
              <w:t xml:space="preserve">P240 : Mise à la terre/liaison </w:t>
            </w:r>
            <w:r w:rsidRPr="003F0D75">
              <w:rPr>
                <w:color w:val="000000"/>
                <w:sz w:val="18"/>
                <w:szCs w:val="18"/>
                <w:lang w:bidi="en-US"/>
              </w:rPr>
              <w:t>équipotentielle</w:t>
            </w:r>
            <w:r w:rsidRPr="003F0D75">
              <w:rPr>
                <w:rFonts w:ascii="Times New Roman" w:hAnsi="Times New Roman"/>
                <w:color w:val="000000"/>
                <w:sz w:val="18"/>
                <w:szCs w:val="18"/>
                <w:lang w:bidi="en-US"/>
              </w:rPr>
              <w:t xml:space="preserve"> du </w:t>
            </w:r>
            <w:r w:rsidRPr="003F0D75">
              <w:rPr>
                <w:color w:val="000000"/>
                <w:sz w:val="18"/>
                <w:szCs w:val="18"/>
                <w:lang w:bidi="en-US"/>
              </w:rPr>
              <w:t>récipient</w:t>
            </w:r>
            <w:r w:rsidRPr="003F0D75">
              <w:rPr>
                <w:rFonts w:ascii="Times New Roman" w:hAnsi="Times New Roman"/>
                <w:color w:val="000000"/>
                <w:sz w:val="18"/>
                <w:szCs w:val="18"/>
                <w:lang w:bidi="en-US"/>
              </w:rPr>
              <w:t xml:space="preserve"> et du </w:t>
            </w:r>
            <w:r w:rsidRPr="003F0D75">
              <w:rPr>
                <w:color w:val="000000"/>
                <w:sz w:val="18"/>
                <w:szCs w:val="18"/>
                <w:lang w:bidi="en-US"/>
              </w:rPr>
              <w:t>matériel</w:t>
            </w:r>
            <w:r w:rsidRPr="003F0D75">
              <w:rPr>
                <w:rFonts w:ascii="Times New Roman" w:hAnsi="Times New Roman"/>
                <w:color w:val="000000"/>
                <w:sz w:val="18"/>
                <w:szCs w:val="18"/>
                <w:lang w:bidi="en-US"/>
              </w:rPr>
              <w:t xml:space="preserve"> de </w:t>
            </w:r>
            <w:r w:rsidRPr="003F0D75">
              <w:rPr>
                <w:color w:val="000000"/>
                <w:sz w:val="18"/>
                <w:szCs w:val="18"/>
                <w:lang w:bidi="en-US"/>
              </w:rPr>
              <w:t>réception</w:t>
            </w:r>
            <w:r w:rsidRPr="003F0D75">
              <w:rPr>
                <w:rFonts w:ascii="Times New Roman" w:hAnsi="Times New Roman"/>
                <w:color w:val="000000"/>
                <w:sz w:val="18"/>
                <w:szCs w:val="18"/>
                <w:lang w:bidi="en-US"/>
              </w:rPr>
              <w:t xml:space="preserve"> </w:t>
            </w:r>
          </w:p>
          <w:p w:rsidR="00830B1F" w:rsidRPr="003F0D75" w:rsidRDefault="00830B1F" w:rsidP="00FA3FAE">
            <w:pPr>
              <w:numPr>
                <w:ilvl w:val="0"/>
                <w:numId w:val="230"/>
              </w:numPr>
              <w:spacing w:after="0" w:line="240" w:lineRule="auto"/>
              <w:ind w:left="298" w:right="-140" w:hanging="283"/>
              <w:rPr>
                <w:rFonts w:ascii="Times New Roman" w:hAnsi="Times New Roman"/>
                <w:color w:val="000000"/>
                <w:sz w:val="18"/>
                <w:szCs w:val="18"/>
                <w:lang w:bidi="en-US"/>
              </w:rPr>
            </w:pPr>
            <w:r w:rsidRPr="003F0D75">
              <w:rPr>
                <w:rFonts w:ascii="Times New Roman" w:hAnsi="Times New Roman"/>
                <w:color w:val="000000"/>
                <w:sz w:val="18"/>
                <w:szCs w:val="18"/>
                <w:lang w:bidi="en-US"/>
              </w:rPr>
              <w:t xml:space="preserve">P241 : Utiliser du </w:t>
            </w:r>
            <w:r w:rsidRPr="003F0D75">
              <w:rPr>
                <w:color w:val="000000"/>
                <w:sz w:val="18"/>
                <w:szCs w:val="18"/>
                <w:lang w:bidi="en-US"/>
              </w:rPr>
              <w:t>matériel</w:t>
            </w:r>
            <w:r w:rsidRPr="003F0D75">
              <w:rPr>
                <w:rFonts w:ascii="Times New Roman" w:hAnsi="Times New Roman"/>
                <w:color w:val="000000"/>
                <w:sz w:val="18"/>
                <w:szCs w:val="18"/>
                <w:lang w:bidi="en-US"/>
              </w:rPr>
              <w:t xml:space="preserve"> </w:t>
            </w:r>
            <w:r w:rsidRPr="003F0D75">
              <w:rPr>
                <w:color w:val="000000"/>
                <w:sz w:val="18"/>
                <w:szCs w:val="18"/>
                <w:lang w:bidi="en-US"/>
              </w:rPr>
              <w:t>électrique</w:t>
            </w:r>
            <w:r w:rsidRPr="003F0D75">
              <w:rPr>
                <w:rFonts w:ascii="Times New Roman" w:hAnsi="Times New Roman"/>
                <w:color w:val="000000"/>
                <w:sz w:val="18"/>
                <w:szCs w:val="18"/>
                <w:lang w:bidi="en-US"/>
              </w:rPr>
              <w:t>/de ventilation/d’</w:t>
            </w:r>
            <w:r w:rsidRPr="003F0D75">
              <w:rPr>
                <w:color w:val="000000"/>
                <w:sz w:val="18"/>
                <w:szCs w:val="18"/>
                <w:lang w:bidi="en-US"/>
              </w:rPr>
              <w:t>éclairage</w:t>
            </w:r>
            <w:r w:rsidRPr="003F0D75">
              <w:rPr>
                <w:rFonts w:ascii="Times New Roman" w:hAnsi="Times New Roman"/>
                <w:color w:val="000000"/>
                <w:sz w:val="18"/>
                <w:szCs w:val="18"/>
                <w:lang w:bidi="en-US"/>
              </w:rPr>
              <w:t xml:space="preserve">/.../ </w:t>
            </w:r>
            <w:r w:rsidRPr="003F0D75">
              <w:rPr>
                <w:color w:val="000000"/>
                <w:sz w:val="18"/>
                <w:szCs w:val="18"/>
                <w:lang w:bidi="en-US"/>
              </w:rPr>
              <w:t>antidéflagrant</w:t>
            </w:r>
            <w:r w:rsidRPr="003F0D75">
              <w:rPr>
                <w:rFonts w:ascii="Times New Roman" w:hAnsi="Times New Roman"/>
                <w:color w:val="000000"/>
                <w:sz w:val="18"/>
                <w:szCs w:val="18"/>
                <w:lang w:bidi="en-US"/>
              </w:rPr>
              <w:t xml:space="preserve">. </w:t>
            </w:r>
          </w:p>
          <w:p w:rsidR="00830B1F" w:rsidRPr="003F0D75" w:rsidRDefault="00830B1F" w:rsidP="00FA3FAE">
            <w:pPr>
              <w:numPr>
                <w:ilvl w:val="0"/>
                <w:numId w:val="230"/>
              </w:numPr>
              <w:spacing w:after="0" w:line="240" w:lineRule="auto"/>
              <w:ind w:left="298" w:right="-140" w:hanging="283"/>
              <w:rPr>
                <w:rFonts w:ascii="Times New Roman" w:hAnsi="Times New Roman"/>
                <w:color w:val="000000"/>
                <w:sz w:val="18"/>
                <w:szCs w:val="18"/>
                <w:lang w:bidi="en-US"/>
              </w:rPr>
            </w:pPr>
            <w:r w:rsidRPr="003F0D75">
              <w:rPr>
                <w:rFonts w:ascii="Times New Roman" w:hAnsi="Times New Roman"/>
                <w:color w:val="000000"/>
                <w:sz w:val="18"/>
                <w:szCs w:val="18"/>
                <w:lang w:bidi="en-US"/>
              </w:rPr>
              <w:t xml:space="preserve">P242 : Ne pas utiliser d’outils produisant des </w:t>
            </w:r>
            <w:r w:rsidRPr="003F0D75">
              <w:rPr>
                <w:color w:val="000000"/>
                <w:sz w:val="18"/>
                <w:szCs w:val="18"/>
                <w:lang w:bidi="en-US"/>
              </w:rPr>
              <w:t>étincelles</w:t>
            </w:r>
            <w:r w:rsidRPr="003F0D75">
              <w:rPr>
                <w:rFonts w:ascii="Times New Roman" w:hAnsi="Times New Roman"/>
                <w:color w:val="000000"/>
                <w:sz w:val="18"/>
                <w:szCs w:val="18"/>
                <w:lang w:bidi="en-US"/>
              </w:rPr>
              <w:t xml:space="preserve">. </w:t>
            </w:r>
          </w:p>
          <w:p w:rsidR="00830B1F" w:rsidRPr="003F0D75" w:rsidRDefault="00830B1F" w:rsidP="00FA3FAE">
            <w:pPr>
              <w:numPr>
                <w:ilvl w:val="0"/>
                <w:numId w:val="230"/>
              </w:numPr>
              <w:spacing w:after="0" w:line="240" w:lineRule="auto"/>
              <w:ind w:left="298" w:right="-140" w:hanging="283"/>
              <w:rPr>
                <w:rFonts w:ascii="Times New Roman" w:hAnsi="Times New Roman"/>
                <w:color w:val="000000"/>
                <w:sz w:val="18"/>
                <w:szCs w:val="18"/>
                <w:lang w:bidi="en-US"/>
              </w:rPr>
            </w:pPr>
            <w:r w:rsidRPr="003F0D75">
              <w:rPr>
                <w:rFonts w:ascii="Times New Roman" w:hAnsi="Times New Roman"/>
                <w:color w:val="000000"/>
                <w:sz w:val="18"/>
                <w:szCs w:val="18"/>
                <w:lang w:bidi="en-US"/>
              </w:rPr>
              <w:t xml:space="preserve">P243 : Prendre des mesures de </w:t>
            </w:r>
            <w:r w:rsidRPr="003F0D75">
              <w:rPr>
                <w:color w:val="000000"/>
                <w:sz w:val="18"/>
                <w:szCs w:val="18"/>
                <w:lang w:bidi="en-US"/>
              </w:rPr>
              <w:t>précaution</w:t>
            </w:r>
            <w:r w:rsidRPr="003F0D75">
              <w:rPr>
                <w:rFonts w:ascii="Times New Roman" w:hAnsi="Times New Roman"/>
                <w:color w:val="000000"/>
                <w:sz w:val="18"/>
                <w:szCs w:val="18"/>
                <w:lang w:bidi="en-US"/>
              </w:rPr>
              <w:t xml:space="preserve"> contre les </w:t>
            </w:r>
            <w:r w:rsidRPr="003F0D75">
              <w:rPr>
                <w:color w:val="000000"/>
                <w:sz w:val="18"/>
                <w:szCs w:val="18"/>
                <w:lang w:bidi="en-US"/>
              </w:rPr>
              <w:t>décharges</w:t>
            </w:r>
            <w:r w:rsidRPr="003F0D75">
              <w:rPr>
                <w:rFonts w:ascii="Times New Roman" w:hAnsi="Times New Roman"/>
                <w:color w:val="000000"/>
                <w:sz w:val="18"/>
                <w:szCs w:val="18"/>
                <w:lang w:bidi="en-US"/>
              </w:rPr>
              <w:t xml:space="preserve"> </w:t>
            </w:r>
            <w:r w:rsidRPr="003F0D75">
              <w:rPr>
                <w:color w:val="000000"/>
                <w:sz w:val="18"/>
                <w:szCs w:val="18"/>
                <w:lang w:bidi="en-US"/>
              </w:rPr>
              <w:t>électrostatiques</w:t>
            </w:r>
            <w:r w:rsidRPr="003F0D75">
              <w:rPr>
                <w:rFonts w:ascii="Times New Roman" w:hAnsi="Times New Roman"/>
                <w:color w:val="000000"/>
                <w:sz w:val="18"/>
                <w:szCs w:val="18"/>
                <w:lang w:bidi="en-US"/>
              </w:rPr>
              <w:t xml:space="preserve">. </w:t>
            </w:r>
          </w:p>
          <w:p w:rsidR="00830B1F" w:rsidRDefault="00830B1F" w:rsidP="00FA3FAE">
            <w:pPr>
              <w:numPr>
                <w:ilvl w:val="0"/>
                <w:numId w:val="230"/>
              </w:numPr>
              <w:spacing w:after="0" w:line="240" w:lineRule="auto"/>
              <w:ind w:left="298" w:right="-140" w:hanging="283"/>
              <w:rPr>
                <w:rFonts w:ascii="Times New Roman" w:hAnsi="Times New Roman"/>
                <w:color w:val="000000"/>
                <w:sz w:val="18"/>
                <w:szCs w:val="18"/>
                <w:lang w:bidi="en-US"/>
              </w:rPr>
            </w:pPr>
            <w:r w:rsidRPr="003F0D75">
              <w:rPr>
                <w:rFonts w:ascii="Times New Roman" w:hAnsi="Times New Roman"/>
                <w:color w:val="000000"/>
                <w:sz w:val="18"/>
                <w:szCs w:val="18"/>
                <w:lang w:bidi="en-US"/>
              </w:rPr>
              <w:t xml:space="preserve">P280 : Porter des gants de protection/des </w:t>
            </w:r>
            <w:r w:rsidRPr="003F0D75">
              <w:rPr>
                <w:color w:val="000000"/>
                <w:sz w:val="18"/>
                <w:szCs w:val="18"/>
                <w:lang w:bidi="en-US"/>
              </w:rPr>
              <w:t>vêtements</w:t>
            </w:r>
            <w:r w:rsidRPr="003F0D75">
              <w:rPr>
                <w:rFonts w:ascii="Times New Roman" w:hAnsi="Times New Roman"/>
                <w:color w:val="000000"/>
                <w:sz w:val="18"/>
                <w:szCs w:val="18"/>
                <w:lang w:bidi="en-US"/>
              </w:rPr>
              <w:t xml:space="preserve"> de protection/un </w:t>
            </w:r>
            <w:r w:rsidRPr="003F0D75">
              <w:rPr>
                <w:color w:val="000000"/>
                <w:sz w:val="18"/>
                <w:szCs w:val="18"/>
                <w:lang w:bidi="en-US"/>
              </w:rPr>
              <w:t>équipement</w:t>
            </w:r>
            <w:r w:rsidRPr="003F0D75">
              <w:rPr>
                <w:rFonts w:ascii="Times New Roman" w:hAnsi="Times New Roman"/>
                <w:color w:val="000000"/>
                <w:sz w:val="18"/>
                <w:szCs w:val="18"/>
                <w:lang w:bidi="en-US"/>
              </w:rPr>
              <w:t xml:space="preserve"> de protection des yeux/du visage. </w:t>
            </w:r>
          </w:p>
          <w:p w:rsidR="00830B1F" w:rsidRPr="00E46594" w:rsidRDefault="00830B1F" w:rsidP="00FA3FAE">
            <w:pPr>
              <w:numPr>
                <w:ilvl w:val="0"/>
                <w:numId w:val="230"/>
              </w:numPr>
              <w:spacing w:after="0" w:line="240" w:lineRule="auto"/>
              <w:ind w:left="298" w:right="-140" w:hanging="283"/>
              <w:rPr>
                <w:rFonts w:ascii="Times New Roman" w:hAnsi="Times New Roman"/>
                <w:color w:val="000000"/>
                <w:sz w:val="18"/>
                <w:szCs w:val="18"/>
                <w:lang w:bidi="en-US"/>
              </w:rPr>
            </w:pPr>
            <w:r w:rsidRPr="00E46594">
              <w:rPr>
                <w:rFonts w:ascii="TT159t00" w:hAnsi="TT159t00"/>
                <w:sz w:val="14"/>
                <w:szCs w:val="14"/>
              </w:rPr>
              <w:t xml:space="preserve">P264 : Se laver les mains soigneusement après manipulation. </w:t>
            </w:r>
          </w:p>
          <w:p w:rsidR="00830B1F" w:rsidRPr="000426D3" w:rsidRDefault="00830B1F" w:rsidP="00FA3FAE">
            <w:pPr>
              <w:numPr>
                <w:ilvl w:val="0"/>
                <w:numId w:val="230"/>
              </w:numPr>
              <w:spacing w:after="0" w:line="240" w:lineRule="auto"/>
              <w:ind w:left="298" w:right="-140" w:hanging="283"/>
              <w:rPr>
                <w:rFonts w:ascii="Times New Roman" w:hAnsi="Times New Roman"/>
                <w:color w:val="000000"/>
                <w:sz w:val="18"/>
                <w:szCs w:val="18"/>
                <w:lang w:bidi="en-US"/>
              </w:rPr>
            </w:pPr>
            <w:r w:rsidRPr="000426D3">
              <w:rPr>
                <w:rFonts w:ascii="Times New Roman" w:hAnsi="Times New Roman"/>
                <w:color w:val="000000"/>
                <w:sz w:val="18"/>
                <w:szCs w:val="18"/>
                <w:lang w:bidi="en-US"/>
              </w:rPr>
              <w:t xml:space="preserve">P201 : Se procurer les instructions avant l'utilisation. </w:t>
            </w:r>
          </w:p>
          <w:p w:rsidR="00830B1F" w:rsidRPr="00E97466" w:rsidRDefault="00830B1F" w:rsidP="00FA3FAE">
            <w:pPr>
              <w:numPr>
                <w:ilvl w:val="0"/>
                <w:numId w:val="230"/>
              </w:numPr>
              <w:spacing w:after="0" w:line="240" w:lineRule="auto"/>
              <w:ind w:left="298" w:right="-140" w:hanging="283"/>
              <w:rPr>
                <w:rFonts w:ascii="Times New Roman" w:hAnsi="Times New Roman"/>
                <w:color w:val="000000"/>
                <w:sz w:val="18"/>
                <w:szCs w:val="18"/>
                <w:lang w:bidi="en-US"/>
              </w:rPr>
            </w:pPr>
            <w:r w:rsidRPr="000426D3">
              <w:rPr>
                <w:rFonts w:ascii="Times New Roman" w:hAnsi="Times New Roman"/>
                <w:color w:val="000000"/>
                <w:sz w:val="18"/>
                <w:szCs w:val="18"/>
                <w:lang w:bidi="en-US"/>
              </w:rPr>
              <w:t xml:space="preserve">P202 : Ne pas manipuler avant d’avoir lu et compris toutes les </w:t>
            </w:r>
            <w:r w:rsidRPr="000426D3">
              <w:rPr>
                <w:color w:val="000000"/>
                <w:sz w:val="18"/>
                <w:szCs w:val="18"/>
                <w:lang w:bidi="en-US"/>
              </w:rPr>
              <w:t>précautions</w:t>
            </w:r>
            <w:r w:rsidRPr="000426D3">
              <w:rPr>
                <w:rFonts w:ascii="Times New Roman" w:hAnsi="Times New Roman"/>
                <w:color w:val="000000"/>
                <w:sz w:val="18"/>
                <w:szCs w:val="18"/>
                <w:lang w:bidi="en-US"/>
              </w:rPr>
              <w:t xml:space="preserve"> de </w:t>
            </w:r>
            <w:r w:rsidRPr="000426D3">
              <w:rPr>
                <w:color w:val="000000"/>
                <w:sz w:val="18"/>
                <w:szCs w:val="18"/>
                <w:lang w:bidi="en-US"/>
              </w:rPr>
              <w:t>sécurité</w:t>
            </w:r>
            <w:r w:rsidRPr="000426D3">
              <w:rPr>
                <w:rFonts w:ascii="Times New Roman" w:hAnsi="Times New Roman"/>
                <w:color w:val="000000"/>
                <w:sz w:val="18"/>
                <w:szCs w:val="18"/>
                <w:lang w:bidi="en-US"/>
              </w:rPr>
              <w:t xml:space="preserve">́. </w:t>
            </w:r>
          </w:p>
        </w:tc>
        <w:tc>
          <w:tcPr>
            <w:tcW w:w="1482" w:type="pct"/>
            <w:shd w:val="clear" w:color="auto" w:fill="auto"/>
            <w:noWrap/>
          </w:tcPr>
          <w:p w:rsidR="00830B1F" w:rsidRPr="00CD4626" w:rsidRDefault="00830B1F" w:rsidP="00FA3FAE">
            <w:pPr>
              <w:numPr>
                <w:ilvl w:val="0"/>
                <w:numId w:val="230"/>
              </w:numPr>
              <w:spacing w:after="0" w:line="240" w:lineRule="auto"/>
              <w:ind w:left="298" w:hanging="283"/>
              <w:rPr>
                <w:rFonts w:ascii="Times New Roman" w:hAnsi="Times New Roman"/>
                <w:color w:val="000000"/>
                <w:sz w:val="18"/>
                <w:szCs w:val="18"/>
                <w:lang w:bidi="en-US"/>
              </w:rPr>
            </w:pPr>
            <w:r w:rsidRPr="00CD4626">
              <w:rPr>
                <w:rFonts w:ascii="Times New Roman" w:hAnsi="Times New Roman"/>
                <w:color w:val="000000"/>
                <w:sz w:val="18"/>
                <w:szCs w:val="18"/>
                <w:lang w:bidi="en-US"/>
              </w:rPr>
              <w:t xml:space="preserve">Stocker dans un endroit bien ventilé. Tenir au frais. </w:t>
            </w:r>
          </w:p>
          <w:p w:rsidR="00830B1F" w:rsidRPr="00064E7E" w:rsidRDefault="00830B1F" w:rsidP="00FA3FAE">
            <w:pPr>
              <w:numPr>
                <w:ilvl w:val="0"/>
                <w:numId w:val="230"/>
              </w:numPr>
              <w:spacing w:after="0" w:line="240" w:lineRule="auto"/>
              <w:ind w:left="298" w:hanging="283"/>
              <w:rPr>
                <w:rFonts w:ascii="Times New Roman" w:hAnsi="Times New Roman"/>
                <w:color w:val="000000"/>
                <w:sz w:val="18"/>
                <w:szCs w:val="18"/>
                <w:lang w:bidi="en-US"/>
              </w:rPr>
            </w:pPr>
            <w:r w:rsidRPr="00064E7E">
              <w:rPr>
                <w:rFonts w:ascii="Times New Roman" w:hAnsi="Times New Roman"/>
                <w:color w:val="000000"/>
                <w:sz w:val="18"/>
                <w:szCs w:val="18"/>
                <w:lang w:bidi="en-US"/>
              </w:rPr>
              <w:t xml:space="preserve">Stocker les </w:t>
            </w:r>
            <w:r w:rsidRPr="00064E7E">
              <w:rPr>
                <w:color w:val="000000"/>
                <w:sz w:val="18"/>
                <w:szCs w:val="18"/>
                <w:lang w:bidi="en-US"/>
              </w:rPr>
              <w:t>conditionnés</w:t>
            </w:r>
            <w:r w:rsidRPr="00064E7E">
              <w:rPr>
                <w:rFonts w:ascii="Times New Roman" w:hAnsi="Times New Roman"/>
                <w:color w:val="000000"/>
                <w:sz w:val="18"/>
                <w:szCs w:val="18"/>
                <w:lang w:bidi="en-US"/>
              </w:rPr>
              <w:t xml:space="preserve"> (</w:t>
            </w:r>
            <w:r w:rsidRPr="00064E7E">
              <w:rPr>
                <w:color w:val="000000"/>
                <w:sz w:val="18"/>
                <w:szCs w:val="18"/>
                <w:lang w:bidi="en-US"/>
              </w:rPr>
              <w:t>fûts</w:t>
            </w:r>
            <w:r w:rsidRPr="00064E7E">
              <w:rPr>
                <w:rFonts w:ascii="Times New Roman" w:hAnsi="Times New Roman"/>
                <w:color w:val="000000"/>
                <w:sz w:val="18"/>
                <w:szCs w:val="18"/>
                <w:lang w:bidi="en-US"/>
              </w:rPr>
              <w:t xml:space="preserve">, </w:t>
            </w:r>
            <w:r w:rsidRPr="00064E7E">
              <w:rPr>
                <w:color w:val="000000"/>
                <w:sz w:val="18"/>
                <w:szCs w:val="18"/>
                <w:lang w:bidi="en-US"/>
              </w:rPr>
              <w:t>échantillons</w:t>
            </w:r>
            <w:r w:rsidRPr="00064E7E">
              <w:rPr>
                <w:rFonts w:ascii="Times New Roman" w:hAnsi="Times New Roman"/>
                <w:color w:val="000000"/>
                <w:sz w:val="18"/>
                <w:szCs w:val="18"/>
                <w:lang w:bidi="en-US"/>
              </w:rPr>
              <w:t xml:space="preserve">, bidons...) dans des locaux bien </w:t>
            </w:r>
            <w:r w:rsidRPr="00064E7E">
              <w:rPr>
                <w:color w:val="000000"/>
                <w:sz w:val="18"/>
                <w:szCs w:val="18"/>
                <w:lang w:bidi="en-US"/>
              </w:rPr>
              <w:t>ventilés</w:t>
            </w:r>
            <w:r w:rsidRPr="00064E7E">
              <w:rPr>
                <w:rFonts w:ascii="Times New Roman" w:hAnsi="Times New Roman"/>
                <w:color w:val="000000"/>
                <w:sz w:val="18"/>
                <w:szCs w:val="18"/>
                <w:lang w:bidi="en-US"/>
              </w:rPr>
              <w:t>. STOCKER A TEMPERATURE AMBIANTE à l'abri de l'eau, de l'</w:t>
            </w:r>
            <w:r w:rsidRPr="00064E7E">
              <w:rPr>
                <w:color w:val="000000"/>
                <w:sz w:val="18"/>
                <w:szCs w:val="18"/>
                <w:lang w:bidi="en-US"/>
              </w:rPr>
              <w:t>humidité</w:t>
            </w:r>
            <w:r w:rsidRPr="00064E7E">
              <w:rPr>
                <w:rFonts w:ascii="Times New Roman" w:hAnsi="Times New Roman"/>
                <w:color w:val="000000"/>
                <w:sz w:val="18"/>
                <w:szCs w:val="18"/>
                <w:lang w:bidi="en-US"/>
              </w:rPr>
              <w:t xml:space="preserve">́, de la chaleur et de toute source possible d'inflammation. Conserver les </w:t>
            </w:r>
            <w:r w:rsidRPr="00064E7E">
              <w:rPr>
                <w:color w:val="000000"/>
                <w:sz w:val="18"/>
                <w:szCs w:val="18"/>
                <w:lang w:bidi="en-US"/>
              </w:rPr>
              <w:t>récipients</w:t>
            </w:r>
            <w:r w:rsidRPr="00064E7E">
              <w:rPr>
                <w:rFonts w:ascii="Times New Roman" w:hAnsi="Times New Roman"/>
                <w:color w:val="000000"/>
                <w:sz w:val="18"/>
                <w:szCs w:val="18"/>
                <w:lang w:bidi="en-US"/>
              </w:rPr>
              <w:t xml:space="preserve"> </w:t>
            </w:r>
            <w:r w:rsidRPr="00064E7E">
              <w:rPr>
                <w:color w:val="000000"/>
                <w:sz w:val="18"/>
                <w:szCs w:val="18"/>
                <w:lang w:bidi="en-US"/>
              </w:rPr>
              <w:t>fermes</w:t>
            </w:r>
            <w:r w:rsidRPr="00064E7E">
              <w:rPr>
                <w:rFonts w:ascii="Times New Roman" w:hAnsi="Times New Roman"/>
                <w:color w:val="000000"/>
                <w:sz w:val="18"/>
                <w:szCs w:val="18"/>
                <w:lang w:bidi="en-US"/>
              </w:rPr>
              <w:t xml:space="preserve"> et </w:t>
            </w:r>
            <w:r w:rsidRPr="00064E7E">
              <w:rPr>
                <w:color w:val="000000"/>
                <w:sz w:val="18"/>
                <w:szCs w:val="18"/>
                <w:lang w:bidi="en-US"/>
              </w:rPr>
              <w:t>étiquetés</w:t>
            </w:r>
            <w:r w:rsidRPr="00064E7E">
              <w:rPr>
                <w:rFonts w:ascii="Times New Roman" w:hAnsi="Times New Roman"/>
                <w:color w:val="000000"/>
                <w:sz w:val="18"/>
                <w:szCs w:val="18"/>
                <w:lang w:bidi="en-US"/>
              </w:rPr>
              <w:t xml:space="preserve"> en dehors de l’utilisation. A </w:t>
            </w:r>
            <w:r w:rsidRPr="00064E7E">
              <w:rPr>
                <w:color w:val="000000"/>
                <w:sz w:val="18"/>
                <w:szCs w:val="18"/>
                <w:lang w:bidi="en-US"/>
              </w:rPr>
              <w:t>éviter</w:t>
            </w:r>
            <w:r w:rsidRPr="00064E7E">
              <w:rPr>
                <w:rFonts w:ascii="Times New Roman" w:hAnsi="Times New Roman"/>
                <w:color w:val="000000"/>
                <w:sz w:val="18"/>
                <w:szCs w:val="18"/>
                <w:lang w:bidi="en-US"/>
              </w:rPr>
              <w:t xml:space="preserve"> : Le stockage soumis aux </w:t>
            </w:r>
            <w:r w:rsidRPr="00064E7E">
              <w:rPr>
                <w:color w:val="000000"/>
                <w:sz w:val="18"/>
                <w:szCs w:val="18"/>
                <w:lang w:bidi="en-US"/>
              </w:rPr>
              <w:t>intempéries</w:t>
            </w:r>
            <w:r w:rsidRPr="00064E7E">
              <w:rPr>
                <w:rFonts w:ascii="Times New Roman" w:hAnsi="Times New Roman"/>
                <w:color w:val="000000"/>
                <w:sz w:val="18"/>
                <w:szCs w:val="18"/>
                <w:lang w:bidi="en-US"/>
              </w:rPr>
              <w:t xml:space="preserve">. </w:t>
            </w:r>
          </w:p>
          <w:p w:rsidR="00830B1F" w:rsidRPr="00CD4626" w:rsidRDefault="00830B1F" w:rsidP="00FA3FAE">
            <w:pPr>
              <w:numPr>
                <w:ilvl w:val="0"/>
                <w:numId w:val="230"/>
              </w:numPr>
              <w:spacing w:after="0" w:line="240" w:lineRule="auto"/>
              <w:ind w:left="298" w:hanging="283"/>
              <w:rPr>
                <w:rFonts w:ascii="Times New Roman" w:hAnsi="Times New Roman"/>
                <w:color w:val="000000"/>
                <w:sz w:val="18"/>
                <w:szCs w:val="18"/>
                <w:lang w:bidi="en-US"/>
              </w:rPr>
            </w:pPr>
            <w:r w:rsidRPr="00CD4626">
              <w:rPr>
                <w:rFonts w:ascii="Times New Roman" w:hAnsi="Times New Roman"/>
                <w:color w:val="000000"/>
                <w:sz w:val="18"/>
                <w:szCs w:val="18"/>
                <w:lang w:bidi="en-US"/>
              </w:rPr>
              <w:t xml:space="preserve">N'utiliser que des </w:t>
            </w:r>
            <w:r w:rsidRPr="00CD4626">
              <w:rPr>
                <w:color w:val="000000"/>
                <w:sz w:val="18"/>
                <w:szCs w:val="18"/>
                <w:lang w:bidi="en-US"/>
              </w:rPr>
              <w:t>récipients</w:t>
            </w:r>
            <w:r w:rsidRPr="00CD4626">
              <w:rPr>
                <w:rFonts w:ascii="Times New Roman" w:hAnsi="Times New Roman"/>
                <w:color w:val="000000"/>
                <w:sz w:val="18"/>
                <w:szCs w:val="18"/>
                <w:lang w:bidi="en-US"/>
              </w:rPr>
              <w:t xml:space="preserve">, joints, tuyauteries..., </w:t>
            </w:r>
            <w:r w:rsidRPr="00CD4626">
              <w:rPr>
                <w:color w:val="000000"/>
                <w:sz w:val="18"/>
                <w:szCs w:val="18"/>
                <w:lang w:bidi="en-US"/>
              </w:rPr>
              <w:t>résistant</w:t>
            </w:r>
            <w:r w:rsidRPr="00CD4626">
              <w:rPr>
                <w:rFonts w:ascii="Times New Roman" w:hAnsi="Times New Roman"/>
                <w:color w:val="000000"/>
                <w:sz w:val="18"/>
                <w:szCs w:val="18"/>
                <w:lang w:bidi="en-US"/>
              </w:rPr>
              <w:t xml:space="preserve"> aux hydrocarbures. </w:t>
            </w:r>
          </w:p>
          <w:p w:rsidR="00830B1F" w:rsidRPr="00CD4626" w:rsidRDefault="00830B1F" w:rsidP="00FA3FAE">
            <w:pPr>
              <w:numPr>
                <w:ilvl w:val="0"/>
                <w:numId w:val="230"/>
              </w:numPr>
              <w:spacing w:after="0" w:line="240" w:lineRule="auto"/>
              <w:ind w:left="298" w:hanging="283"/>
              <w:rPr>
                <w:rFonts w:ascii="Times New Roman" w:hAnsi="Times New Roman"/>
                <w:color w:val="000000"/>
                <w:sz w:val="18"/>
                <w:szCs w:val="18"/>
                <w:lang w:bidi="en-US"/>
              </w:rPr>
            </w:pPr>
          </w:p>
        </w:tc>
      </w:tr>
      <w:tr w:rsidR="00830B1F" w:rsidRPr="00AA21FC" w:rsidTr="002F0DE8">
        <w:trPr>
          <w:trHeight w:val="1221"/>
        </w:trPr>
        <w:tc>
          <w:tcPr>
            <w:tcW w:w="601" w:type="pct"/>
            <w:shd w:val="clear" w:color="auto" w:fill="auto"/>
            <w:noWrap/>
            <w:vAlign w:val="center"/>
          </w:tcPr>
          <w:p w:rsidR="00830B1F" w:rsidRPr="00B33679" w:rsidRDefault="00830B1F" w:rsidP="00FA3FAE">
            <w:pPr>
              <w:pStyle w:val="Listecouleur-Accent11"/>
              <w:numPr>
                <w:ilvl w:val="0"/>
                <w:numId w:val="91"/>
              </w:numPr>
              <w:spacing w:line="259" w:lineRule="auto"/>
              <w:ind w:left="216" w:right="160"/>
              <w:jc w:val="center"/>
              <w:rPr>
                <w:rFonts w:ascii="Times New Roman" w:hAnsi="Times New Roman"/>
                <w:sz w:val="24"/>
                <w:szCs w:val="24"/>
                <w:lang w:val="fr-FR"/>
              </w:rPr>
            </w:pPr>
            <w:r w:rsidRPr="00C641F0">
              <w:rPr>
                <w:rFonts w:ascii="Times New Roman" w:hAnsi="Times New Roman"/>
                <w:sz w:val="24"/>
                <w:szCs w:val="24"/>
                <w:lang w:val="fr-FR"/>
              </w:rPr>
              <w:lastRenderedPageBreak/>
              <w:t>Huiles</w:t>
            </w:r>
            <w:r w:rsidRPr="00B33679">
              <w:rPr>
                <w:rFonts w:ascii="Times New Roman" w:hAnsi="Times New Roman"/>
                <w:sz w:val="24"/>
                <w:szCs w:val="24"/>
                <w:lang w:val="fr-FR"/>
              </w:rPr>
              <w:t xml:space="preserve"> de lubrification</w:t>
            </w:r>
          </w:p>
        </w:tc>
        <w:tc>
          <w:tcPr>
            <w:tcW w:w="602" w:type="pct"/>
            <w:shd w:val="clear" w:color="auto" w:fill="auto"/>
            <w:noWrap/>
          </w:tcPr>
          <w:p w:rsidR="00830B1F" w:rsidRPr="004A25D0" w:rsidRDefault="00830B1F" w:rsidP="002F0DE8">
            <w:pPr>
              <w:spacing w:after="0"/>
              <w:jc w:val="center"/>
              <w:rPr>
                <w:rFonts w:ascii="Times New Roman" w:hAnsi="Times New Roman"/>
                <w:color w:val="000000"/>
                <w:sz w:val="18"/>
                <w:szCs w:val="18"/>
                <w:lang w:bidi="en-US"/>
              </w:rPr>
            </w:pPr>
            <w:r>
              <w:rPr>
                <w:rFonts w:ascii="Times New Roman" w:hAnsi="Times New Roman"/>
                <w:noProof/>
                <w:sz w:val="18"/>
                <w:szCs w:val="18"/>
                <w:lang w:val="pt-PT" w:eastAsia="pt-PT"/>
              </w:rPr>
              <w:drawing>
                <wp:inline distT="0" distB="0" distL="0" distR="0" wp14:anchorId="4A803838" wp14:editId="33F99057">
                  <wp:extent cx="622935" cy="549648"/>
                  <wp:effectExtent l="0" t="0" r="12065" b="9525"/>
                  <wp:docPr id="545" name="Image 5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fgfg.jpeg"/>
                          <pic:cNvPicPr/>
                        </pic:nvPicPr>
                        <pic:blipFill rotWithShape="1">
                          <a:blip r:embed="rId106" cstate="email">
                            <a:extLst>
                              <a:ext uri="{28A0092B-C50C-407E-A947-70E740481C1C}">
                                <a14:useLocalDpi xmlns:a14="http://schemas.microsoft.com/office/drawing/2010/main"/>
                              </a:ext>
                            </a:extLst>
                          </a:blip>
                          <a:srcRect b="-1012"/>
                          <a:stretch/>
                        </pic:blipFill>
                        <pic:spPr bwMode="auto">
                          <a:xfrm>
                            <a:off x="0" y="0"/>
                            <a:ext cx="644422" cy="568607"/>
                          </a:xfrm>
                          <a:prstGeom prst="rect">
                            <a:avLst/>
                          </a:prstGeom>
                          <a:ln>
                            <a:noFill/>
                          </a:ln>
                          <a:extLst>
                            <a:ext uri="{53640926-AAD7-44D8-BBD7-CCE9431645EC}">
                              <a14:shadowObscured xmlns:a14="http://schemas.microsoft.com/office/drawing/2010/main"/>
                            </a:ext>
                          </a:extLst>
                        </pic:spPr>
                      </pic:pic>
                    </a:graphicData>
                  </a:graphic>
                </wp:inline>
              </w:drawing>
            </w:r>
            <w:r>
              <w:rPr>
                <w:rFonts w:ascii="Times New Roman" w:hAnsi="Times New Roman"/>
                <w:noProof/>
                <w:sz w:val="18"/>
                <w:szCs w:val="18"/>
                <w:lang w:val="pt-PT" w:eastAsia="pt-PT"/>
              </w:rPr>
              <w:drawing>
                <wp:inline distT="0" distB="0" distL="0" distR="0" wp14:anchorId="082324D6" wp14:editId="4748E74E">
                  <wp:extent cx="635635" cy="635635"/>
                  <wp:effectExtent l="0" t="0" r="0" b="0"/>
                  <wp:docPr id="30" name="Imag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fgfg.jpeg"/>
                          <pic:cNvPicPr/>
                        </pic:nvPicPr>
                        <pic:blipFill rotWithShape="1">
                          <a:blip r:embed="rId107" cstate="email">
                            <a:extLst>
                              <a:ext uri="{28A0092B-C50C-407E-A947-70E740481C1C}">
                                <a14:useLocalDpi xmlns:a14="http://schemas.microsoft.com/office/drawing/2010/main"/>
                              </a:ext>
                            </a:extLst>
                          </a:blip>
                          <a:srcRect t="-1" b="-13567"/>
                          <a:stretch/>
                        </pic:blipFill>
                        <pic:spPr bwMode="auto">
                          <a:xfrm>
                            <a:off x="0" y="0"/>
                            <a:ext cx="635635" cy="635635"/>
                          </a:xfrm>
                          <a:prstGeom prst="rect">
                            <a:avLst/>
                          </a:prstGeom>
                          <a:ln>
                            <a:noFill/>
                          </a:ln>
                          <a:extLst>
                            <a:ext uri="{53640926-AAD7-44D8-BBD7-CCE9431645EC}">
                              <a14:shadowObscured xmlns:a14="http://schemas.microsoft.com/office/drawing/2010/main"/>
                            </a:ext>
                          </a:extLst>
                        </pic:spPr>
                      </pic:pic>
                    </a:graphicData>
                  </a:graphic>
                </wp:inline>
              </w:drawing>
            </w:r>
          </w:p>
        </w:tc>
        <w:tc>
          <w:tcPr>
            <w:tcW w:w="1035" w:type="pct"/>
            <w:shd w:val="clear" w:color="auto" w:fill="auto"/>
          </w:tcPr>
          <w:p w:rsidR="00830B1F" w:rsidRPr="0047727F" w:rsidRDefault="00830B1F" w:rsidP="00FA3FAE">
            <w:pPr>
              <w:numPr>
                <w:ilvl w:val="0"/>
                <w:numId w:val="230"/>
              </w:numPr>
              <w:spacing w:after="0" w:line="240" w:lineRule="auto"/>
              <w:ind w:left="298" w:hanging="283"/>
              <w:rPr>
                <w:rFonts w:ascii="Times New Roman" w:hAnsi="Times New Roman"/>
                <w:color w:val="000000"/>
                <w:sz w:val="18"/>
                <w:szCs w:val="18"/>
                <w:lang w:bidi="en-US"/>
              </w:rPr>
            </w:pPr>
            <w:r w:rsidRPr="0047727F">
              <w:rPr>
                <w:rFonts w:ascii="Times New Roman" w:hAnsi="Times New Roman"/>
                <w:color w:val="000000"/>
                <w:sz w:val="18"/>
                <w:szCs w:val="18"/>
                <w:lang w:bidi="en-US"/>
              </w:rPr>
              <w:t>Contact oculaire ou de la peau peut provoquer une irritation (Sensation de brûlure, rougeur) ;</w:t>
            </w:r>
          </w:p>
          <w:p w:rsidR="00830B1F" w:rsidRPr="0047727F" w:rsidRDefault="00830B1F" w:rsidP="00FA3FAE">
            <w:pPr>
              <w:numPr>
                <w:ilvl w:val="0"/>
                <w:numId w:val="230"/>
              </w:numPr>
              <w:spacing w:after="0" w:line="240" w:lineRule="auto"/>
              <w:ind w:left="298" w:hanging="283"/>
              <w:rPr>
                <w:rFonts w:ascii="Times New Roman" w:hAnsi="Times New Roman"/>
                <w:color w:val="000000"/>
                <w:sz w:val="18"/>
                <w:szCs w:val="18"/>
                <w:lang w:bidi="en-US"/>
              </w:rPr>
            </w:pPr>
            <w:r w:rsidRPr="0047727F">
              <w:rPr>
                <w:rFonts w:ascii="Times New Roman" w:hAnsi="Times New Roman"/>
                <w:color w:val="000000"/>
                <w:sz w:val="18"/>
                <w:szCs w:val="18"/>
                <w:lang w:bidi="en-US"/>
              </w:rPr>
              <w:t xml:space="preserve">Ingestion de quantités importantes peut entraîner des nausées ou des </w:t>
            </w:r>
          </w:p>
          <w:p w:rsidR="00830B1F" w:rsidRPr="0047727F" w:rsidRDefault="00830B1F" w:rsidP="00FA3FAE">
            <w:pPr>
              <w:numPr>
                <w:ilvl w:val="0"/>
                <w:numId w:val="230"/>
              </w:numPr>
              <w:spacing w:after="0" w:line="240" w:lineRule="auto"/>
              <w:ind w:left="298" w:hanging="283"/>
              <w:rPr>
                <w:rFonts w:ascii="Times New Roman" w:hAnsi="Times New Roman"/>
                <w:color w:val="000000"/>
                <w:sz w:val="18"/>
                <w:szCs w:val="18"/>
                <w:lang w:bidi="en-US"/>
              </w:rPr>
            </w:pPr>
            <w:r w:rsidRPr="0047727F">
              <w:rPr>
                <w:rFonts w:ascii="Times New Roman" w:hAnsi="Times New Roman"/>
                <w:color w:val="000000"/>
                <w:sz w:val="18"/>
                <w:szCs w:val="18"/>
                <w:lang w:bidi="en-US"/>
              </w:rPr>
              <w:t>Diarrhées ;</w:t>
            </w:r>
          </w:p>
          <w:p w:rsidR="00830B1F" w:rsidRPr="0047727F" w:rsidRDefault="00830B1F" w:rsidP="00FA3FAE">
            <w:pPr>
              <w:numPr>
                <w:ilvl w:val="0"/>
                <w:numId w:val="230"/>
              </w:numPr>
              <w:spacing w:after="0" w:line="240" w:lineRule="auto"/>
              <w:ind w:left="298" w:hanging="283"/>
              <w:rPr>
                <w:rFonts w:ascii="Times New Roman" w:hAnsi="Times New Roman"/>
                <w:color w:val="000000"/>
                <w:sz w:val="18"/>
                <w:szCs w:val="18"/>
                <w:lang w:bidi="en-US"/>
              </w:rPr>
            </w:pPr>
            <w:r w:rsidRPr="0047727F">
              <w:rPr>
                <w:rFonts w:ascii="Times New Roman" w:hAnsi="Times New Roman"/>
                <w:color w:val="000000"/>
                <w:sz w:val="18"/>
                <w:szCs w:val="18"/>
                <w:lang w:bidi="en-US"/>
              </w:rPr>
              <w:t>Combustion complète ou incomplète de l’huile de lubrification produit des suies et des gaz plus ou moins toxiques tels que le monoxyde de carbone, le dioxyde de carbone, le sulfure d’hydrogène, les oxydes de phosphore, les</w:t>
            </w:r>
          </w:p>
          <w:p w:rsidR="00830B1F" w:rsidRPr="0047727F" w:rsidRDefault="00830B1F" w:rsidP="00FA3FAE">
            <w:pPr>
              <w:numPr>
                <w:ilvl w:val="0"/>
                <w:numId w:val="230"/>
              </w:numPr>
              <w:spacing w:after="0" w:line="240" w:lineRule="auto"/>
              <w:ind w:left="298" w:hanging="283"/>
              <w:rPr>
                <w:rFonts w:ascii="Times New Roman" w:hAnsi="Times New Roman"/>
                <w:color w:val="000000"/>
                <w:sz w:val="18"/>
                <w:szCs w:val="18"/>
                <w:lang w:bidi="en-US"/>
              </w:rPr>
            </w:pPr>
            <w:r w:rsidRPr="0047727F">
              <w:rPr>
                <w:rFonts w:ascii="Times New Roman" w:hAnsi="Times New Roman"/>
                <w:color w:val="000000"/>
                <w:sz w:val="18"/>
                <w:szCs w:val="18"/>
                <w:lang w:bidi="en-US"/>
              </w:rPr>
              <w:t xml:space="preserve"> Oxydes d’azote, les oxydes de soufre, les amines   aromatiques, etc. dont</w:t>
            </w:r>
          </w:p>
          <w:p w:rsidR="00830B1F" w:rsidRDefault="00830B1F" w:rsidP="00FA3FAE">
            <w:pPr>
              <w:numPr>
                <w:ilvl w:val="0"/>
                <w:numId w:val="230"/>
              </w:numPr>
              <w:spacing w:after="0" w:line="240" w:lineRule="auto"/>
              <w:ind w:left="298" w:hanging="283"/>
              <w:rPr>
                <w:rFonts w:ascii="Times New Roman" w:hAnsi="Times New Roman"/>
                <w:color w:val="000000"/>
                <w:sz w:val="18"/>
                <w:szCs w:val="18"/>
                <w:lang w:bidi="en-US"/>
              </w:rPr>
            </w:pPr>
            <w:r w:rsidRPr="0047727F">
              <w:rPr>
                <w:rFonts w:ascii="Times New Roman" w:hAnsi="Times New Roman"/>
                <w:color w:val="000000"/>
                <w:sz w:val="18"/>
                <w:szCs w:val="18"/>
                <w:lang w:bidi="en-US"/>
              </w:rPr>
              <w:t>Inhalation est très dangereuse ;</w:t>
            </w:r>
          </w:p>
          <w:p w:rsidR="00830B1F" w:rsidRPr="0047727F" w:rsidRDefault="00830B1F" w:rsidP="00FA3FAE">
            <w:pPr>
              <w:numPr>
                <w:ilvl w:val="0"/>
                <w:numId w:val="230"/>
              </w:numPr>
              <w:spacing w:after="0" w:line="240" w:lineRule="auto"/>
              <w:ind w:left="298" w:hanging="283"/>
              <w:rPr>
                <w:rFonts w:ascii="Times New Roman" w:hAnsi="Times New Roman"/>
                <w:color w:val="000000"/>
                <w:sz w:val="18"/>
                <w:szCs w:val="18"/>
                <w:lang w:bidi="en-US"/>
              </w:rPr>
            </w:pPr>
            <w:r w:rsidRPr="00B913AE">
              <w:rPr>
                <w:rFonts w:ascii="Times New Roman" w:hAnsi="Times New Roman"/>
                <w:color w:val="000000"/>
                <w:sz w:val="18"/>
                <w:szCs w:val="18"/>
                <w:lang w:bidi="en-US"/>
              </w:rPr>
              <w:t>Le produit s’étale à la surface de l’eau pouvant ainsi perturber les transferts d’oxygènes des organismes aquatiques,</w:t>
            </w:r>
          </w:p>
        </w:tc>
        <w:tc>
          <w:tcPr>
            <w:tcW w:w="1280" w:type="pct"/>
            <w:shd w:val="clear" w:color="auto" w:fill="auto"/>
            <w:noWrap/>
          </w:tcPr>
          <w:p w:rsidR="00830B1F" w:rsidRPr="00C378AE" w:rsidRDefault="00830B1F" w:rsidP="00FA3FAE">
            <w:pPr>
              <w:numPr>
                <w:ilvl w:val="0"/>
                <w:numId w:val="231"/>
              </w:numPr>
              <w:tabs>
                <w:tab w:val="num" w:pos="720"/>
              </w:tabs>
              <w:spacing w:after="0" w:line="240" w:lineRule="auto"/>
              <w:jc w:val="both"/>
              <w:rPr>
                <w:rFonts w:ascii="Times New Roman" w:eastAsia="Times New Roman" w:hAnsi="Times New Roman"/>
                <w:color w:val="000000"/>
                <w:sz w:val="18"/>
                <w:szCs w:val="18"/>
                <w:lang w:bidi="en-US"/>
              </w:rPr>
            </w:pPr>
            <w:r w:rsidRPr="00C378AE">
              <w:rPr>
                <w:rFonts w:ascii="Times New Roman" w:hAnsi="Times New Roman"/>
                <w:color w:val="000000"/>
                <w:sz w:val="18"/>
                <w:szCs w:val="18"/>
                <w:lang w:bidi="en-US"/>
              </w:rPr>
              <w:t xml:space="preserve"> Protection cutanée : </w:t>
            </w:r>
            <w:r w:rsidRPr="00C378AE">
              <w:rPr>
                <w:color w:val="000000"/>
                <w:sz w:val="18"/>
                <w:szCs w:val="18"/>
                <w:lang w:bidi="en-US"/>
              </w:rPr>
              <w:t>gants nitrile</w:t>
            </w:r>
            <w:r w:rsidRPr="00C378AE">
              <w:rPr>
                <w:rFonts w:ascii="Times New Roman" w:hAnsi="Times New Roman"/>
                <w:color w:val="000000"/>
                <w:sz w:val="18"/>
                <w:szCs w:val="18"/>
                <w:lang w:bidi="en-US"/>
              </w:rPr>
              <w:t xml:space="preserve"> ou néoprène à manchettes longues.</w:t>
            </w:r>
          </w:p>
          <w:p w:rsidR="00830B1F" w:rsidRPr="00C378AE" w:rsidRDefault="00830B1F" w:rsidP="00FA3FAE">
            <w:pPr>
              <w:numPr>
                <w:ilvl w:val="0"/>
                <w:numId w:val="231"/>
              </w:numPr>
              <w:tabs>
                <w:tab w:val="num" w:pos="720"/>
              </w:tabs>
              <w:spacing w:after="0" w:line="240" w:lineRule="auto"/>
              <w:jc w:val="both"/>
              <w:rPr>
                <w:rFonts w:ascii="Times New Roman" w:hAnsi="Times New Roman"/>
                <w:color w:val="000000"/>
                <w:sz w:val="18"/>
                <w:szCs w:val="18"/>
                <w:lang w:bidi="en-US"/>
              </w:rPr>
            </w:pPr>
            <w:r w:rsidRPr="00C378AE">
              <w:rPr>
                <w:rFonts w:ascii="Times New Roman" w:hAnsi="Times New Roman"/>
                <w:color w:val="000000"/>
                <w:sz w:val="18"/>
                <w:szCs w:val="18"/>
                <w:lang w:bidi="en-US"/>
              </w:rPr>
              <w:t>- Protection respiratoire : filtre particulaire de type P</w:t>
            </w:r>
          </w:p>
          <w:p w:rsidR="00830B1F" w:rsidRPr="00C378AE" w:rsidRDefault="00830B1F" w:rsidP="00FA3FAE">
            <w:pPr>
              <w:numPr>
                <w:ilvl w:val="0"/>
                <w:numId w:val="231"/>
              </w:numPr>
              <w:tabs>
                <w:tab w:val="num" w:pos="720"/>
              </w:tabs>
              <w:spacing w:after="0" w:line="240" w:lineRule="auto"/>
              <w:jc w:val="both"/>
              <w:rPr>
                <w:rFonts w:ascii="Times New Roman" w:hAnsi="Times New Roman"/>
                <w:color w:val="000000"/>
                <w:sz w:val="18"/>
                <w:szCs w:val="18"/>
                <w:lang w:bidi="en-US"/>
              </w:rPr>
            </w:pPr>
            <w:r w:rsidRPr="00C378AE">
              <w:rPr>
                <w:rFonts w:ascii="Times New Roman" w:hAnsi="Times New Roman"/>
                <w:color w:val="000000"/>
                <w:sz w:val="18"/>
                <w:szCs w:val="18"/>
                <w:lang w:bidi="en-US"/>
              </w:rPr>
              <w:t>- Bleu de travail en coton, régulièrement nettoyé.</w:t>
            </w:r>
          </w:p>
          <w:p w:rsidR="00830B1F" w:rsidRPr="0015518A" w:rsidRDefault="00830B1F" w:rsidP="00FA3FAE">
            <w:pPr>
              <w:numPr>
                <w:ilvl w:val="0"/>
                <w:numId w:val="231"/>
              </w:numPr>
              <w:tabs>
                <w:tab w:val="num" w:pos="720"/>
              </w:tabs>
              <w:spacing w:after="0" w:line="240" w:lineRule="auto"/>
              <w:jc w:val="both"/>
              <w:rPr>
                <w:rFonts w:ascii="Times New Roman" w:eastAsia="Times New Roman" w:hAnsi="Times New Roman"/>
                <w:color w:val="000000"/>
                <w:sz w:val="18"/>
                <w:szCs w:val="18"/>
                <w:lang w:bidi="en-US"/>
              </w:rPr>
            </w:pPr>
            <w:r w:rsidRPr="0015518A">
              <w:rPr>
                <w:rFonts w:ascii="Times New Roman" w:hAnsi="Times New Roman"/>
                <w:color w:val="000000"/>
                <w:sz w:val="18"/>
                <w:szCs w:val="18"/>
                <w:lang w:bidi="en-US"/>
              </w:rPr>
              <w:t>Aspiration, captage à la source des fumées, capotage des machines, vérification des débits d’huile (au minimum efficace pour réduire les risques d’éclaboussures).</w:t>
            </w:r>
          </w:p>
          <w:p w:rsidR="00830B1F" w:rsidRPr="0015518A" w:rsidRDefault="00830B1F" w:rsidP="00FA3FAE">
            <w:pPr>
              <w:numPr>
                <w:ilvl w:val="0"/>
                <w:numId w:val="231"/>
              </w:numPr>
              <w:tabs>
                <w:tab w:val="num" w:pos="720"/>
              </w:tabs>
              <w:spacing w:after="0" w:line="240" w:lineRule="auto"/>
              <w:jc w:val="both"/>
              <w:rPr>
                <w:rFonts w:ascii="Times New Roman" w:hAnsi="Times New Roman"/>
                <w:color w:val="000000"/>
                <w:sz w:val="18"/>
                <w:szCs w:val="18"/>
                <w:lang w:bidi="en-US"/>
              </w:rPr>
            </w:pPr>
            <w:r w:rsidRPr="0015518A">
              <w:rPr>
                <w:rFonts w:ascii="Times New Roman" w:hAnsi="Times New Roman"/>
                <w:color w:val="000000"/>
                <w:sz w:val="18"/>
                <w:szCs w:val="18"/>
                <w:lang w:bidi="en-US"/>
              </w:rPr>
              <w:t>Eviter le contact avec les pièces, les parties des machines ou vêtements recouverts d’huile : utiliser des gants couvrant les avant-bras et des tabliers de protection, se laver les mains fréquemment.</w:t>
            </w:r>
          </w:p>
          <w:p w:rsidR="00830B1F" w:rsidRPr="0015518A" w:rsidRDefault="00830B1F" w:rsidP="00FA3FAE">
            <w:pPr>
              <w:numPr>
                <w:ilvl w:val="0"/>
                <w:numId w:val="231"/>
              </w:numPr>
              <w:tabs>
                <w:tab w:val="num" w:pos="720"/>
              </w:tabs>
              <w:spacing w:after="0" w:line="240" w:lineRule="auto"/>
              <w:jc w:val="both"/>
              <w:rPr>
                <w:rFonts w:ascii="Times New Roman" w:hAnsi="Times New Roman"/>
                <w:color w:val="000000"/>
                <w:sz w:val="18"/>
                <w:szCs w:val="18"/>
                <w:lang w:bidi="en-US"/>
              </w:rPr>
            </w:pPr>
            <w:r w:rsidRPr="0015518A">
              <w:rPr>
                <w:color w:val="000000"/>
                <w:sz w:val="18"/>
                <w:szCs w:val="18"/>
                <w:lang w:bidi="en-US"/>
              </w:rPr>
              <w:t>Utiliser</w:t>
            </w:r>
            <w:r w:rsidRPr="0015518A">
              <w:rPr>
                <w:rFonts w:ascii="Times New Roman" w:hAnsi="Times New Roman"/>
                <w:color w:val="000000"/>
                <w:sz w:val="18"/>
                <w:szCs w:val="18"/>
                <w:lang w:bidi="en-US"/>
              </w:rPr>
              <w:t xml:space="preserve"> un produit détergent et aseptisant avant la mise en place de fluide aqueux, une eau propre de bonne qualité biologique, contrôler le niveau de pH, la teneur en micro-organismes des fluides en service.</w:t>
            </w:r>
          </w:p>
          <w:p w:rsidR="00830B1F" w:rsidRPr="0015518A" w:rsidRDefault="00830B1F" w:rsidP="00FA3FAE">
            <w:pPr>
              <w:numPr>
                <w:ilvl w:val="0"/>
                <w:numId w:val="231"/>
              </w:numPr>
              <w:tabs>
                <w:tab w:val="num" w:pos="720"/>
              </w:tabs>
              <w:spacing w:after="0" w:line="240" w:lineRule="auto"/>
              <w:jc w:val="both"/>
              <w:rPr>
                <w:rFonts w:ascii="Times New Roman" w:hAnsi="Times New Roman"/>
                <w:color w:val="000000"/>
                <w:sz w:val="18"/>
                <w:szCs w:val="18"/>
                <w:lang w:bidi="en-US"/>
              </w:rPr>
            </w:pPr>
            <w:r w:rsidRPr="0015518A">
              <w:rPr>
                <w:color w:val="000000"/>
                <w:sz w:val="18"/>
                <w:szCs w:val="18"/>
                <w:lang w:bidi="en-US"/>
              </w:rPr>
              <w:t>Renouveler</w:t>
            </w:r>
            <w:r w:rsidRPr="0015518A">
              <w:rPr>
                <w:rFonts w:ascii="Times New Roman" w:hAnsi="Times New Roman"/>
                <w:color w:val="000000"/>
                <w:sz w:val="18"/>
                <w:szCs w:val="18"/>
                <w:lang w:bidi="en-US"/>
              </w:rPr>
              <w:t xml:space="preserve"> souvent l’huile de coupe.</w:t>
            </w:r>
          </w:p>
          <w:p w:rsidR="00830B1F" w:rsidRPr="00472672" w:rsidRDefault="00830B1F" w:rsidP="00FA3FAE">
            <w:pPr>
              <w:numPr>
                <w:ilvl w:val="0"/>
                <w:numId w:val="231"/>
              </w:numPr>
              <w:spacing w:after="0" w:line="240" w:lineRule="auto"/>
              <w:jc w:val="both"/>
              <w:rPr>
                <w:rFonts w:ascii="Times New Roman" w:eastAsia="Times New Roman" w:hAnsi="Times New Roman"/>
                <w:color w:val="000000"/>
                <w:sz w:val="18"/>
                <w:szCs w:val="18"/>
                <w:lang w:bidi="en-US"/>
              </w:rPr>
            </w:pPr>
            <w:r w:rsidRPr="00472672">
              <w:rPr>
                <w:rFonts w:ascii="Times New Roman" w:hAnsi="Times New Roman"/>
                <w:color w:val="000000"/>
                <w:sz w:val="18"/>
                <w:szCs w:val="18"/>
                <w:lang w:bidi="en-US"/>
              </w:rPr>
              <w:t xml:space="preserve">Usinage à sec possible pour certains matériaux </w:t>
            </w:r>
            <w:r w:rsidRPr="00472672">
              <w:rPr>
                <w:color w:val="000000"/>
                <w:sz w:val="18"/>
                <w:szCs w:val="18"/>
                <w:lang w:bidi="en-US"/>
              </w:rPr>
              <w:t>(machine</w:t>
            </w:r>
            <w:r w:rsidRPr="00472672">
              <w:rPr>
                <w:rFonts w:ascii="Times New Roman" w:hAnsi="Times New Roman"/>
                <w:color w:val="000000"/>
                <w:sz w:val="18"/>
                <w:szCs w:val="18"/>
                <w:lang w:bidi="en-US"/>
              </w:rPr>
              <w:t xml:space="preserve"> « au zéro lubrifiant </w:t>
            </w:r>
            <w:r w:rsidRPr="00472672">
              <w:rPr>
                <w:color w:val="000000"/>
                <w:sz w:val="18"/>
                <w:szCs w:val="18"/>
                <w:lang w:bidi="en-US"/>
              </w:rPr>
              <w:t>»)</w:t>
            </w:r>
            <w:r w:rsidRPr="00472672">
              <w:rPr>
                <w:rFonts w:ascii="Times New Roman" w:hAnsi="Times New Roman"/>
                <w:color w:val="000000"/>
                <w:sz w:val="18"/>
                <w:szCs w:val="18"/>
                <w:lang w:bidi="en-US"/>
              </w:rPr>
              <w:t xml:space="preserve"> conçue pour protéger l’environnement).</w:t>
            </w:r>
          </w:p>
          <w:p w:rsidR="00830B1F" w:rsidRPr="00B330E4" w:rsidRDefault="00830B1F" w:rsidP="00FA3FAE">
            <w:pPr>
              <w:numPr>
                <w:ilvl w:val="0"/>
                <w:numId w:val="231"/>
              </w:numPr>
              <w:spacing w:after="0" w:line="240" w:lineRule="auto"/>
              <w:jc w:val="both"/>
              <w:rPr>
                <w:rFonts w:ascii="Times New Roman" w:hAnsi="Times New Roman"/>
                <w:color w:val="000000"/>
                <w:sz w:val="18"/>
                <w:szCs w:val="18"/>
                <w:lang w:bidi="en-US"/>
              </w:rPr>
            </w:pPr>
            <w:r w:rsidRPr="006D5D59">
              <w:rPr>
                <w:color w:val="000000"/>
                <w:sz w:val="18"/>
                <w:szCs w:val="18"/>
                <w:lang w:bidi="en-US"/>
              </w:rPr>
              <w:t>Micro lubrification</w:t>
            </w:r>
            <w:r w:rsidRPr="006D5D59">
              <w:rPr>
                <w:rFonts w:ascii="Times New Roman" w:hAnsi="Times New Roman"/>
                <w:color w:val="000000"/>
                <w:sz w:val="18"/>
                <w:szCs w:val="18"/>
                <w:lang w:bidi="en-US"/>
              </w:rPr>
              <w:t xml:space="preserve"> par pulvérisation localisée d’huile végétale </w:t>
            </w:r>
            <w:r w:rsidRPr="006D5D59">
              <w:rPr>
                <w:color w:val="000000"/>
                <w:sz w:val="18"/>
                <w:szCs w:val="18"/>
                <w:lang w:bidi="en-US"/>
              </w:rPr>
              <w:t>(procédé</w:t>
            </w:r>
            <w:r w:rsidRPr="006D5D59">
              <w:rPr>
                <w:rFonts w:ascii="Times New Roman" w:hAnsi="Times New Roman"/>
                <w:color w:val="000000"/>
                <w:sz w:val="18"/>
                <w:szCs w:val="18"/>
                <w:lang w:bidi="en-US"/>
              </w:rPr>
              <w:t xml:space="preserve"> possible pour le fraisage, taraudage, perçage, alésage, sciage, emboutissage, rectification possible mais pas en tournage ).</w:t>
            </w:r>
          </w:p>
        </w:tc>
        <w:tc>
          <w:tcPr>
            <w:tcW w:w="1482" w:type="pct"/>
            <w:shd w:val="clear" w:color="auto" w:fill="auto"/>
            <w:noWrap/>
          </w:tcPr>
          <w:p w:rsidR="00830B1F" w:rsidRPr="009323E5" w:rsidRDefault="00830B1F" w:rsidP="00FA3FAE">
            <w:pPr>
              <w:numPr>
                <w:ilvl w:val="0"/>
                <w:numId w:val="231"/>
              </w:numPr>
              <w:tabs>
                <w:tab w:val="num" w:pos="720"/>
              </w:tabs>
              <w:spacing w:after="0" w:line="240" w:lineRule="auto"/>
              <w:jc w:val="both"/>
              <w:rPr>
                <w:rFonts w:ascii="Times New Roman" w:eastAsia="Times New Roman" w:hAnsi="Times New Roman"/>
                <w:color w:val="000000"/>
                <w:sz w:val="18"/>
                <w:szCs w:val="18"/>
                <w:lang w:bidi="en-US"/>
              </w:rPr>
            </w:pPr>
            <w:r w:rsidRPr="009323E5">
              <w:rPr>
                <w:rFonts w:ascii="Times New Roman" w:hAnsi="Times New Roman"/>
                <w:color w:val="000000"/>
                <w:sz w:val="18"/>
                <w:szCs w:val="18"/>
                <w:lang w:bidi="en-US"/>
              </w:rPr>
              <w:t>Stocker à l’abri des intempéries et des écarts importants de température</w:t>
            </w:r>
          </w:p>
          <w:p w:rsidR="00830B1F" w:rsidRPr="009323E5" w:rsidRDefault="00830B1F" w:rsidP="00FA3FAE">
            <w:pPr>
              <w:numPr>
                <w:ilvl w:val="0"/>
                <w:numId w:val="231"/>
              </w:numPr>
              <w:tabs>
                <w:tab w:val="num" w:pos="720"/>
              </w:tabs>
              <w:spacing w:after="0" w:line="240" w:lineRule="auto"/>
              <w:jc w:val="both"/>
              <w:rPr>
                <w:rFonts w:ascii="Times New Roman" w:hAnsi="Times New Roman"/>
                <w:color w:val="000000"/>
                <w:sz w:val="18"/>
                <w:szCs w:val="18"/>
                <w:lang w:bidi="en-US"/>
              </w:rPr>
            </w:pPr>
            <w:r w:rsidRPr="009323E5">
              <w:rPr>
                <w:rFonts w:ascii="Times New Roman" w:hAnsi="Times New Roman"/>
                <w:color w:val="000000"/>
                <w:sz w:val="18"/>
                <w:szCs w:val="18"/>
                <w:lang w:bidi="en-US"/>
              </w:rPr>
              <w:t>Stocker les fûts et les tonnelets couchés pour éviter le dessèchement des joints et l’entrée d’air</w:t>
            </w:r>
          </w:p>
          <w:p w:rsidR="00830B1F" w:rsidRPr="009323E5" w:rsidRDefault="00830B1F" w:rsidP="00FA3FAE">
            <w:pPr>
              <w:numPr>
                <w:ilvl w:val="0"/>
                <w:numId w:val="231"/>
              </w:numPr>
              <w:tabs>
                <w:tab w:val="num" w:pos="720"/>
              </w:tabs>
              <w:spacing w:after="0" w:line="240" w:lineRule="auto"/>
              <w:jc w:val="both"/>
              <w:rPr>
                <w:rFonts w:ascii="Times New Roman" w:hAnsi="Times New Roman"/>
                <w:color w:val="000000"/>
                <w:sz w:val="18"/>
                <w:szCs w:val="18"/>
                <w:lang w:bidi="en-US"/>
              </w:rPr>
            </w:pPr>
            <w:r w:rsidRPr="009323E5">
              <w:rPr>
                <w:rFonts w:ascii="Times New Roman" w:hAnsi="Times New Roman"/>
                <w:color w:val="000000"/>
                <w:sz w:val="18"/>
                <w:szCs w:val="18"/>
                <w:lang w:bidi="en-US"/>
              </w:rPr>
              <w:t>Stocker les emballages sur des cales les isolant du sol</w:t>
            </w:r>
          </w:p>
          <w:p w:rsidR="00830B1F" w:rsidRPr="009323E5" w:rsidRDefault="00830B1F" w:rsidP="00FA3FAE">
            <w:pPr>
              <w:numPr>
                <w:ilvl w:val="0"/>
                <w:numId w:val="231"/>
              </w:numPr>
              <w:tabs>
                <w:tab w:val="num" w:pos="720"/>
              </w:tabs>
              <w:spacing w:after="0" w:line="240" w:lineRule="auto"/>
              <w:jc w:val="both"/>
              <w:rPr>
                <w:rFonts w:ascii="Times New Roman" w:hAnsi="Times New Roman"/>
                <w:color w:val="000000"/>
                <w:sz w:val="18"/>
                <w:szCs w:val="18"/>
                <w:lang w:bidi="en-US"/>
              </w:rPr>
            </w:pPr>
            <w:r w:rsidRPr="009323E5">
              <w:rPr>
                <w:rFonts w:ascii="Times New Roman" w:hAnsi="Times New Roman"/>
                <w:color w:val="000000"/>
                <w:sz w:val="18"/>
                <w:szCs w:val="18"/>
                <w:lang w:bidi="en-US"/>
              </w:rPr>
              <w:t>Appliquer le système FIFO (First In First Out) dans la gestion de vos stocks</w:t>
            </w:r>
          </w:p>
          <w:p w:rsidR="00830B1F" w:rsidRPr="009323E5" w:rsidRDefault="00830B1F" w:rsidP="00FA3FAE">
            <w:pPr>
              <w:numPr>
                <w:ilvl w:val="0"/>
                <w:numId w:val="231"/>
              </w:numPr>
              <w:tabs>
                <w:tab w:val="num" w:pos="720"/>
              </w:tabs>
              <w:spacing w:after="0" w:line="240" w:lineRule="auto"/>
              <w:jc w:val="both"/>
              <w:rPr>
                <w:rFonts w:ascii="Times New Roman" w:hAnsi="Times New Roman"/>
                <w:color w:val="000000"/>
                <w:sz w:val="18"/>
                <w:szCs w:val="18"/>
                <w:lang w:bidi="en-US"/>
              </w:rPr>
            </w:pPr>
            <w:r w:rsidRPr="009323E5">
              <w:rPr>
                <w:rFonts w:ascii="Times New Roman" w:hAnsi="Times New Roman"/>
                <w:color w:val="000000"/>
                <w:sz w:val="18"/>
                <w:szCs w:val="18"/>
                <w:lang w:bidi="en-US"/>
              </w:rPr>
              <w:t>Noter la date d’ouverture sur l’emballage</w:t>
            </w:r>
          </w:p>
          <w:p w:rsidR="00830B1F" w:rsidRPr="009323E5" w:rsidRDefault="00830B1F" w:rsidP="00FA3FAE">
            <w:pPr>
              <w:numPr>
                <w:ilvl w:val="0"/>
                <w:numId w:val="231"/>
              </w:numPr>
              <w:tabs>
                <w:tab w:val="num" w:pos="720"/>
              </w:tabs>
              <w:spacing w:after="0" w:line="240" w:lineRule="auto"/>
              <w:jc w:val="both"/>
              <w:rPr>
                <w:rFonts w:ascii="Times New Roman" w:hAnsi="Times New Roman"/>
                <w:color w:val="000000"/>
                <w:sz w:val="18"/>
                <w:szCs w:val="18"/>
                <w:lang w:bidi="en-US"/>
              </w:rPr>
            </w:pPr>
            <w:r w:rsidRPr="009323E5">
              <w:rPr>
                <w:rFonts w:ascii="Times New Roman" w:hAnsi="Times New Roman"/>
                <w:color w:val="000000"/>
                <w:sz w:val="18"/>
                <w:szCs w:val="18"/>
                <w:lang w:bidi="en-US"/>
              </w:rPr>
              <w:t>Essuyer la proximité des ouvertures</w:t>
            </w:r>
          </w:p>
          <w:p w:rsidR="00830B1F" w:rsidRPr="009323E5" w:rsidRDefault="00830B1F" w:rsidP="00FA3FAE">
            <w:pPr>
              <w:numPr>
                <w:ilvl w:val="0"/>
                <w:numId w:val="231"/>
              </w:numPr>
              <w:tabs>
                <w:tab w:val="num" w:pos="720"/>
              </w:tabs>
              <w:spacing w:after="0" w:line="240" w:lineRule="auto"/>
              <w:jc w:val="both"/>
              <w:rPr>
                <w:rFonts w:ascii="Times New Roman" w:hAnsi="Times New Roman"/>
                <w:color w:val="000000"/>
                <w:sz w:val="18"/>
                <w:szCs w:val="18"/>
                <w:lang w:bidi="en-US"/>
              </w:rPr>
            </w:pPr>
            <w:r w:rsidRPr="009323E5">
              <w:rPr>
                <w:rFonts w:ascii="Times New Roman" w:hAnsi="Times New Roman"/>
                <w:color w:val="000000"/>
                <w:sz w:val="18"/>
                <w:szCs w:val="18"/>
                <w:lang w:bidi="en-US"/>
              </w:rPr>
              <w:t>Refermer l’emballage après chaque prélèvement</w:t>
            </w:r>
          </w:p>
          <w:p w:rsidR="00830B1F" w:rsidRPr="009323E5" w:rsidRDefault="00830B1F" w:rsidP="00FA3FAE">
            <w:pPr>
              <w:numPr>
                <w:ilvl w:val="0"/>
                <w:numId w:val="231"/>
              </w:numPr>
              <w:tabs>
                <w:tab w:val="num" w:pos="720"/>
              </w:tabs>
              <w:spacing w:after="0" w:line="240" w:lineRule="auto"/>
              <w:jc w:val="both"/>
              <w:rPr>
                <w:rFonts w:ascii="Times New Roman" w:hAnsi="Times New Roman"/>
                <w:color w:val="000000"/>
                <w:sz w:val="18"/>
                <w:szCs w:val="18"/>
                <w:lang w:bidi="en-US"/>
              </w:rPr>
            </w:pPr>
            <w:r w:rsidRPr="009323E5">
              <w:rPr>
                <w:rFonts w:ascii="Times New Roman" w:hAnsi="Times New Roman"/>
                <w:color w:val="000000"/>
                <w:sz w:val="18"/>
                <w:szCs w:val="18"/>
                <w:lang w:bidi="en-US"/>
              </w:rPr>
              <w:t>Durée de conservation : entre 1 et 3 ans pour les emballages non entamés et stockés (en fonction de vos conditions de stockage)</w:t>
            </w:r>
          </w:p>
          <w:p w:rsidR="00830B1F" w:rsidRPr="009323E5" w:rsidRDefault="00830B1F" w:rsidP="00FA3FAE">
            <w:pPr>
              <w:numPr>
                <w:ilvl w:val="0"/>
                <w:numId w:val="231"/>
              </w:numPr>
              <w:tabs>
                <w:tab w:val="num" w:pos="720"/>
              </w:tabs>
              <w:spacing w:after="0" w:line="240" w:lineRule="auto"/>
              <w:jc w:val="both"/>
              <w:rPr>
                <w:rFonts w:ascii="Times New Roman" w:hAnsi="Times New Roman"/>
                <w:color w:val="000000"/>
                <w:sz w:val="18"/>
                <w:szCs w:val="18"/>
                <w:lang w:bidi="en-US"/>
              </w:rPr>
            </w:pPr>
            <w:r w:rsidRPr="009323E5">
              <w:rPr>
                <w:rFonts w:ascii="Times New Roman" w:hAnsi="Times New Roman"/>
                <w:color w:val="000000"/>
                <w:sz w:val="18"/>
                <w:szCs w:val="18"/>
                <w:lang w:bidi="en-US"/>
              </w:rPr>
              <w:t>Durée de conservation pour produit ouvert : 6 mois</w:t>
            </w:r>
          </w:p>
          <w:p w:rsidR="00830B1F" w:rsidRPr="009323E5" w:rsidRDefault="00830B1F" w:rsidP="00FA3FAE">
            <w:pPr>
              <w:numPr>
                <w:ilvl w:val="0"/>
                <w:numId w:val="231"/>
              </w:numPr>
              <w:tabs>
                <w:tab w:val="num" w:pos="720"/>
              </w:tabs>
              <w:spacing w:after="0" w:line="240" w:lineRule="auto"/>
              <w:jc w:val="both"/>
              <w:rPr>
                <w:rFonts w:ascii="Times New Roman" w:hAnsi="Times New Roman"/>
                <w:color w:val="000000"/>
                <w:sz w:val="18"/>
                <w:szCs w:val="18"/>
                <w:lang w:bidi="en-US"/>
              </w:rPr>
            </w:pPr>
            <w:r w:rsidRPr="009323E5">
              <w:rPr>
                <w:rFonts w:ascii="Times New Roman" w:hAnsi="Times New Roman"/>
                <w:color w:val="000000"/>
                <w:sz w:val="18"/>
                <w:szCs w:val="18"/>
                <w:lang w:bidi="en-US"/>
              </w:rPr>
              <w:t>Procéder à un contrôle visuel de votre huile, en cas de doute, contactez BELUB</w:t>
            </w:r>
          </w:p>
          <w:p w:rsidR="00830B1F" w:rsidRPr="00F557EE" w:rsidRDefault="00830B1F" w:rsidP="00FA3FAE">
            <w:pPr>
              <w:numPr>
                <w:ilvl w:val="0"/>
                <w:numId w:val="231"/>
              </w:numPr>
              <w:tabs>
                <w:tab w:val="num" w:pos="720"/>
              </w:tabs>
              <w:spacing w:after="0" w:line="240" w:lineRule="auto"/>
              <w:jc w:val="both"/>
              <w:rPr>
                <w:rFonts w:ascii="Times New Roman" w:hAnsi="Times New Roman"/>
                <w:color w:val="000000"/>
                <w:sz w:val="18"/>
                <w:szCs w:val="18"/>
                <w:lang w:bidi="en-US"/>
              </w:rPr>
            </w:pPr>
            <w:r w:rsidRPr="009323E5">
              <w:rPr>
                <w:rFonts w:ascii="Times New Roman" w:hAnsi="Times New Roman"/>
                <w:color w:val="000000"/>
                <w:sz w:val="18"/>
                <w:szCs w:val="18"/>
                <w:lang w:bidi="en-US"/>
              </w:rPr>
              <w:t>En ce qui concerne les huiles en vrac, s’assurer que les cuves sont propres, accessibles pour le nettoyage et munies d’une purge et d’un filtre.</w:t>
            </w:r>
          </w:p>
        </w:tc>
      </w:tr>
      <w:tr w:rsidR="00830B1F" w:rsidRPr="00AA21FC" w:rsidTr="002F0DE8">
        <w:trPr>
          <w:trHeight w:val="1221"/>
        </w:trPr>
        <w:tc>
          <w:tcPr>
            <w:tcW w:w="601" w:type="pct"/>
            <w:shd w:val="clear" w:color="auto" w:fill="auto"/>
            <w:noWrap/>
            <w:vAlign w:val="center"/>
          </w:tcPr>
          <w:p w:rsidR="00830B1F" w:rsidRPr="00993101" w:rsidRDefault="00830B1F" w:rsidP="00FA3FAE">
            <w:pPr>
              <w:pStyle w:val="Listecouleur-Accent11"/>
              <w:numPr>
                <w:ilvl w:val="0"/>
                <w:numId w:val="91"/>
              </w:numPr>
              <w:spacing w:line="259" w:lineRule="auto"/>
              <w:ind w:left="216" w:right="160"/>
              <w:jc w:val="center"/>
              <w:rPr>
                <w:rFonts w:ascii="Times New Roman" w:hAnsi="Times New Roman"/>
                <w:sz w:val="24"/>
                <w:szCs w:val="24"/>
                <w:lang w:val="fr-FR"/>
              </w:rPr>
            </w:pPr>
            <w:r w:rsidRPr="00C641F0">
              <w:rPr>
                <w:rFonts w:ascii="Times New Roman" w:hAnsi="Times New Roman"/>
                <w:sz w:val="24"/>
                <w:szCs w:val="24"/>
                <w:lang w:val="fr-FR"/>
              </w:rPr>
              <w:t>Huiles</w:t>
            </w:r>
            <w:r w:rsidRPr="00993101">
              <w:rPr>
                <w:rFonts w:ascii="Times New Roman" w:hAnsi="Times New Roman"/>
                <w:sz w:val="24"/>
                <w:szCs w:val="24"/>
                <w:lang w:val="fr-FR"/>
              </w:rPr>
              <w:t xml:space="preserve"> usagées</w:t>
            </w:r>
          </w:p>
        </w:tc>
        <w:tc>
          <w:tcPr>
            <w:tcW w:w="602" w:type="pct"/>
            <w:shd w:val="clear" w:color="auto" w:fill="auto"/>
            <w:noWrap/>
          </w:tcPr>
          <w:p w:rsidR="00830B1F" w:rsidRDefault="00830B1F" w:rsidP="002F0DE8">
            <w:pPr>
              <w:spacing w:after="0"/>
              <w:jc w:val="center"/>
              <w:rPr>
                <w:rFonts w:ascii="Times New Roman" w:hAnsi="Times New Roman"/>
                <w:color w:val="000000"/>
                <w:sz w:val="18"/>
                <w:szCs w:val="18"/>
                <w:lang w:bidi="en-US"/>
              </w:rPr>
            </w:pPr>
            <w:r>
              <w:rPr>
                <w:rFonts w:ascii="Times New Roman" w:hAnsi="Times New Roman"/>
                <w:noProof/>
                <w:sz w:val="18"/>
                <w:szCs w:val="18"/>
                <w:lang w:val="pt-PT" w:eastAsia="pt-PT"/>
              </w:rPr>
              <w:drawing>
                <wp:inline distT="0" distB="0" distL="0" distR="0" wp14:anchorId="52DE72B4" wp14:editId="3AE3354A">
                  <wp:extent cx="635635" cy="635635"/>
                  <wp:effectExtent l="0" t="0" r="0" b="0"/>
                  <wp:docPr id="546" name="Image 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fgfg.jpeg"/>
                          <pic:cNvPicPr/>
                        </pic:nvPicPr>
                        <pic:blipFill rotWithShape="1">
                          <a:blip r:embed="rId107" cstate="email">
                            <a:extLst>
                              <a:ext uri="{28A0092B-C50C-407E-A947-70E740481C1C}">
                                <a14:useLocalDpi xmlns:a14="http://schemas.microsoft.com/office/drawing/2010/main"/>
                              </a:ext>
                            </a:extLst>
                          </a:blip>
                          <a:srcRect t="-1" b="-13567"/>
                          <a:stretch/>
                        </pic:blipFill>
                        <pic:spPr bwMode="auto">
                          <a:xfrm>
                            <a:off x="0" y="0"/>
                            <a:ext cx="635635" cy="635635"/>
                          </a:xfrm>
                          <a:prstGeom prst="rect">
                            <a:avLst/>
                          </a:prstGeom>
                          <a:ln>
                            <a:noFill/>
                          </a:ln>
                          <a:extLst>
                            <a:ext uri="{53640926-AAD7-44D8-BBD7-CCE9431645EC}">
                              <a14:shadowObscured xmlns:a14="http://schemas.microsoft.com/office/drawing/2010/main"/>
                            </a:ext>
                          </a:extLst>
                        </pic:spPr>
                      </pic:pic>
                    </a:graphicData>
                  </a:graphic>
                </wp:inline>
              </w:drawing>
            </w:r>
          </w:p>
          <w:p w:rsidR="00830B1F" w:rsidRDefault="00830B1F" w:rsidP="002F0DE8">
            <w:pPr>
              <w:spacing w:after="0"/>
              <w:rPr>
                <w:rFonts w:ascii="Times New Roman" w:hAnsi="Times New Roman"/>
                <w:sz w:val="18"/>
                <w:szCs w:val="18"/>
                <w:lang w:bidi="en-US"/>
              </w:rPr>
            </w:pPr>
          </w:p>
          <w:p w:rsidR="00830B1F" w:rsidRDefault="00830B1F" w:rsidP="002F0DE8">
            <w:pPr>
              <w:spacing w:after="0"/>
              <w:jc w:val="center"/>
              <w:rPr>
                <w:rFonts w:ascii="Times New Roman" w:hAnsi="Times New Roman"/>
                <w:sz w:val="18"/>
                <w:szCs w:val="18"/>
                <w:lang w:bidi="en-US"/>
              </w:rPr>
            </w:pPr>
            <w:r>
              <w:rPr>
                <w:rFonts w:ascii="Times New Roman" w:hAnsi="Times New Roman"/>
                <w:noProof/>
                <w:sz w:val="18"/>
                <w:szCs w:val="18"/>
                <w:lang w:val="pt-PT" w:eastAsia="pt-PT"/>
              </w:rPr>
              <w:drawing>
                <wp:inline distT="0" distB="0" distL="0" distR="0" wp14:anchorId="39801FD1" wp14:editId="035156CB">
                  <wp:extent cx="648335" cy="623347"/>
                  <wp:effectExtent l="0" t="0" r="12065" b="12065"/>
                  <wp:docPr id="550" name="Image 5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fgfg.jpeg"/>
                          <pic:cNvPicPr/>
                        </pic:nvPicPr>
                        <pic:blipFill rotWithShape="1">
                          <a:blip r:embed="rId108" cstate="email">
                            <a:extLst>
                              <a:ext uri="{28A0092B-C50C-407E-A947-70E740481C1C}">
                                <a14:useLocalDpi xmlns:a14="http://schemas.microsoft.com/office/drawing/2010/main"/>
                              </a:ext>
                            </a:extLst>
                          </a:blip>
                          <a:srcRect t="-7311"/>
                          <a:stretch/>
                        </pic:blipFill>
                        <pic:spPr bwMode="auto">
                          <a:xfrm>
                            <a:off x="0" y="0"/>
                            <a:ext cx="666055" cy="640384"/>
                          </a:xfrm>
                          <a:prstGeom prst="rect">
                            <a:avLst/>
                          </a:prstGeom>
                          <a:ln>
                            <a:noFill/>
                          </a:ln>
                          <a:extLst>
                            <a:ext uri="{53640926-AAD7-44D8-BBD7-CCE9431645EC}">
                              <a14:shadowObscured xmlns:a14="http://schemas.microsoft.com/office/drawing/2010/main"/>
                            </a:ext>
                          </a:extLst>
                        </pic:spPr>
                      </pic:pic>
                    </a:graphicData>
                  </a:graphic>
                </wp:inline>
              </w:drawing>
            </w:r>
          </w:p>
          <w:p w:rsidR="00830B1F" w:rsidRPr="00691A87" w:rsidRDefault="00830B1F" w:rsidP="002F0DE8">
            <w:pPr>
              <w:spacing w:after="0"/>
              <w:rPr>
                <w:rFonts w:ascii="Times New Roman" w:hAnsi="Times New Roman"/>
                <w:sz w:val="18"/>
                <w:szCs w:val="18"/>
                <w:lang w:bidi="en-US"/>
              </w:rPr>
            </w:pPr>
          </w:p>
          <w:p w:rsidR="00830B1F" w:rsidRDefault="00830B1F" w:rsidP="002F0DE8">
            <w:pPr>
              <w:spacing w:after="0"/>
              <w:rPr>
                <w:rFonts w:ascii="Times New Roman" w:hAnsi="Times New Roman"/>
                <w:sz w:val="18"/>
                <w:szCs w:val="18"/>
                <w:lang w:bidi="en-US"/>
              </w:rPr>
            </w:pPr>
          </w:p>
          <w:p w:rsidR="00830B1F" w:rsidRPr="00691A87" w:rsidRDefault="00830B1F" w:rsidP="002F0DE8">
            <w:pPr>
              <w:spacing w:after="0"/>
              <w:jc w:val="center"/>
              <w:rPr>
                <w:rFonts w:ascii="Times New Roman" w:hAnsi="Times New Roman"/>
                <w:sz w:val="18"/>
                <w:szCs w:val="18"/>
                <w:lang w:bidi="en-US"/>
              </w:rPr>
            </w:pPr>
            <w:r>
              <w:rPr>
                <w:rFonts w:ascii="Times New Roman" w:hAnsi="Times New Roman"/>
                <w:noProof/>
                <w:color w:val="000000"/>
                <w:sz w:val="18"/>
                <w:szCs w:val="18"/>
                <w:lang w:val="pt-PT" w:eastAsia="pt-PT"/>
              </w:rPr>
              <w:lastRenderedPageBreak/>
              <w:drawing>
                <wp:inline distT="0" distB="0" distL="0" distR="0" wp14:anchorId="627B5042" wp14:editId="2FC2DBC2">
                  <wp:extent cx="667385" cy="649951"/>
                  <wp:effectExtent l="0" t="0" r="0" b="0"/>
                  <wp:docPr id="551" name="Image 5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fgfg.jpeg"/>
                          <pic:cNvPicPr/>
                        </pic:nvPicPr>
                        <pic:blipFill rotWithShape="1">
                          <a:blip r:embed="rId105" cstate="email">
                            <a:extLst>
                              <a:ext uri="{28A0092B-C50C-407E-A947-70E740481C1C}">
                                <a14:useLocalDpi xmlns:a14="http://schemas.microsoft.com/office/drawing/2010/main"/>
                              </a:ext>
                            </a:extLst>
                          </a:blip>
                          <a:srcRect b="-13565"/>
                          <a:stretch/>
                        </pic:blipFill>
                        <pic:spPr bwMode="auto">
                          <a:xfrm>
                            <a:off x="0" y="0"/>
                            <a:ext cx="676567" cy="658893"/>
                          </a:xfrm>
                          <a:prstGeom prst="rect">
                            <a:avLst/>
                          </a:prstGeom>
                          <a:ln>
                            <a:noFill/>
                          </a:ln>
                          <a:extLst>
                            <a:ext uri="{53640926-AAD7-44D8-BBD7-CCE9431645EC}">
                              <a14:shadowObscured xmlns:a14="http://schemas.microsoft.com/office/drawing/2010/main"/>
                            </a:ext>
                          </a:extLst>
                        </pic:spPr>
                      </pic:pic>
                    </a:graphicData>
                  </a:graphic>
                </wp:inline>
              </w:drawing>
            </w:r>
          </w:p>
        </w:tc>
        <w:tc>
          <w:tcPr>
            <w:tcW w:w="1035" w:type="pct"/>
            <w:shd w:val="clear" w:color="auto" w:fill="auto"/>
          </w:tcPr>
          <w:p w:rsidR="00830B1F" w:rsidRPr="000D5528" w:rsidRDefault="00830B1F" w:rsidP="00FA3FAE">
            <w:pPr>
              <w:numPr>
                <w:ilvl w:val="0"/>
                <w:numId w:val="230"/>
              </w:numPr>
              <w:spacing w:after="0" w:line="240" w:lineRule="auto"/>
              <w:ind w:left="298" w:hanging="283"/>
              <w:rPr>
                <w:rFonts w:ascii="Times New Roman" w:hAnsi="Times New Roman"/>
                <w:color w:val="000000"/>
                <w:sz w:val="18"/>
                <w:szCs w:val="18"/>
                <w:lang w:bidi="en-US"/>
              </w:rPr>
            </w:pPr>
            <w:r w:rsidRPr="000D5528">
              <w:rPr>
                <w:rFonts w:ascii="Times New Roman" w:hAnsi="Times New Roman"/>
                <w:color w:val="000000"/>
                <w:sz w:val="18"/>
                <w:szCs w:val="18"/>
                <w:lang w:bidi="en-US"/>
              </w:rPr>
              <w:lastRenderedPageBreak/>
              <w:t>L'inhalation peut être nocive.</w:t>
            </w:r>
          </w:p>
          <w:p w:rsidR="00830B1F" w:rsidRPr="000D5528" w:rsidRDefault="00830B1F" w:rsidP="00FA3FAE">
            <w:pPr>
              <w:numPr>
                <w:ilvl w:val="0"/>
                <w:numId w:val="230"/>
              </w:numPr>
              <w:spacing w:after="0" w:line="240" w:lineRule="auto"/>
              <w:ind w:left="298" w:hanging="283"/>
              <w:rPr>
                <w:rFonts w:ascii="Times New Roman" w:hAnsi="Times New Roman"/>
                <w:color w:val="000000"/>
                <w:sz w:val="18"/>
                <w:szCs w:val="18"/>
                <w:lang w:bidi="en-US"/>
              </w:rPr>
            </w:pPr>
            <w:r w:rsidRPr="000D5528">
              <w:rPr>
                <w:rFonts w:ascii="Times New Roman" w:hAnsi="Times New Roman"/>
                <w:color w:val="000000"/>
                <w:sz w:val="18"/>
                <w:szCs w:val="18"/>
                <w:lang w:bidi="en-US"/>
              </w:rPr>
              <w:t>L'absorption par la peau peut être nocive.</w:t>
            </w:r>
          </w:p>
          <w:p w:rsidR="00830B1F" w:rsidRPr="000D5528" w:rsidRDefault="00830B1F" w:rsidP="00FA3FAE">
            <w:pPr>
              <w:numPr>
                <w:ilvl w:val="0"/>
                <w:numId w:val="230"/>
              </w:numPr>
              <w:spacing w:after="0" w:line="240" w:lineRule="auto"/>
              <w:ind w:left="298" w:hanging="283"/>
              <w:rPr>
                <w:rFonts w:ascii="Times New Roman" w:hAnsi="Times New Roman"/>
                <w:color w:val="000000"/>
                <w:sz w:val="18"/>
                <w:szCs w:val="18"/>
                <w:lang w:bidi="en-US"/>
              </w:rPr>
            </w:pPr>
            <w:r w:rsidRPr="000D5528">
              <w:rPr>
                <w:rFonts w:ascii="Times New Roman" w:hAnsi="Times New Roman"/>
                <w:color w:val="000000"/>
                <w:sz w:val="18"/>
                <w:szCs w:val="18"/>
                <w:lang w:bidi="en-US"/>
              </w:rPr>
              <w:t>L'ingestion peut être nocive ou fatale.</w:t>
            </w:r>
          </w:p>
          <w:p w:rsidR="00830B1F" w:rsidRPr="000D5528" w:rsidRDefault="00830B1F" w:rsidP="00FA3FAE">
            <w:pPr>
              <w:numPr>
                <w:ilvl w:val="0"/>
                <w:numId w:val="230"/>
              </w:numPr>
              <w:spacing w:after="0" w:line="240" w:lineRule="auto"/>
              <w:ind w:left="298" w:hanging="283"/>
              <w:rPr>
                <w:rFonts w:ascii="Times New Roman" w:hAnsi="Times New Roman"/>
                <w:color w:val="000000"/>
                <w:sz w:val="18"/>
                <w:szCs w:val="18"/>
                <w:lang w:bidi="en-US"/>
              </w:rPr>
            </w:pPr>
            <w:r w:rsidRPr="000D5528">
              <w:rPr>
                <w:rFonts w:ascii="Times New Roman" w:hAnsi="Times New Roman"/>
                <w:color w:val="000000"/>
                <w:sz w:val="18"/>
                <w:szCs w:val="18"/>
                <w:lang w:bidi="en-US"/>
              </w:rPr>
              <w:t>Peut irriter les voies respiratoires (nez, gorge et poumons), les yeux et la peau.</w:t>
            </w:r>
          </w:p>
          <w:p w:rsidR="00830B1F" w:rsidRPr="000D5528" w:rsidRDefault="00830B1F" w:rsidP="00FA3FAE">
            <w:pPr>
              <w:numPr>
                <w:ilvl w:val="0"/>
                <w:numId w:val="230"/>
              </w:numPr>
              <w:spacing w:after="0" w:line="240" w:lineRule="auto"/>
              <w:ind w:left="298" w:hanging="283"/>
              <w:rPr>
                <w:rFonts w:ascii="Times New Roman" w:hAnsi="Times New Roman"/>
                <w:color w:val="000000"/>
                <w:sz w:val="18"/>
                <w:szCs w:val="18"/>
                <w:lang w:bidi="en-US"/>
              </w:rPr>
            </w:pPr>
            <w:r w:rsidRPr="000D5528">
              <w:rPr>
                <w:rFonts w:ascii="Times New Roman" w:hAnsi="Times New Roman"/>
                <w:color w:val="000000"/>
                <w:sz w:val="18"/>
                <w:szCs w:val="18"/>
                <w:lang w:bidi="en-US"/>
              </w:rPr>
              <w:t xml:space="preserve">Danger présumé de cancer. Contient une matière qui peut causer le cancer. Le risque de Cancer est fonction de la </w:t>
            </w:r>
            <w:r w:rsidRPr="000D5528">
              <w:rPr>
                <w:rFonts w:ascii="Times New Roman" w:hAnsi="Times New Roman"/>
                <w:color w:val="000000"/>
                <w:sz w:val="18"/>
                <w:szCs w:val="18"/>
                <w:lang w:bidi="en-US"/>
              </w:rPr>
              <w:lastRenderedPageBreak/>
              <w:t>durée et du niveau d'exposition.</w:t>
            </w:r>
          </w:p>
          <w:p w:rsidR="00830B1F" w:rsidRPr="000D5528" w:rsidRDefault="00830B1F" w:rsidP="00FA3FAE">
            <w:pPr>
              <w:numPr>
                <w:ilvl w:val="0"/>
                <w:numId w:val="230"/>
              </w:numPr>
              <w:spacing w:after="0" w:line="240" w:lineRule="auto"/>
              <w:ind w:left="298" w:hanging="283"/>
              <w:rPr>
                <w:rFonts w:ascii="Times New Roman" w:hAnsi="Times New Roman"/>
                <w:color w:val="000000"/>
                <w:sz w:val="18"/>
                <w:szCs w:val="18"/>
                <w:lang w:bidi="en-US"/>
              </w:rPr>
            </w:pPr>
            <w:r w:rsidRPr="000D5528">
              <w:rPr>
                <w:rFonts w:ascii="Times New Roman" w:hAnsi="Times New Roman"/>
                <w:color w:val="000000"/>
                <w:sz w:val="18"/>
                <w:szCs w:val="18"/>
                <w:lang w:bidi="en-US"/>
              </w:rPr>
              <w:t>Contient une matière qui peut causer des anomalies congénitales.</w:t>
            </w:r>
          </w:p>
          <w:p w:rsidR="00830B1F" w:rsidRPr="000D5528" w:rsidRDefault="00830B1F" w:rsidP="00FA3FAE">
            <w:pPr>
              <w:numPr>
                <w:ilvl w:val="0"/>
                <w:numId w:val="230"/>
              </w:numPr>
              <w:spacing w:after="0" w:line="240" w:lineRule="auto"/>
              <w:ind w:left="298" w:hanging="283"/>
              <w:rPr>
                <w:rFonts w:ascii="Times New Roman" w:hAnsi="Times New Roman"/>
                <w:color w:val="000000"/>
                <w:sz w:val="18"/>
                <w:szCs w:val="18"/>
                <w:lang w:bidi="en-US"/>
              </w:rPr>
            </w:pPr>
            <w:r w:rsidRPr="000D5528">
              <w:rPr>
                <w:rFonts w:ascii="Times New Roman" w:hAnsi="Times New Roman"/>
                <w:color w:val="000000"/>
                <w:sz w:val="18"/>
                <w:szCs w:val="18"/>
                <w:lang w:bidi="en-US"/>
              </w:rPr>
              <w:t>Contient une matière qui peut causer des lésions au système nerveux central.</w:t>
            </w:r>
          </w:p>
          <w:p w:rsidR="00830B1F" w:rsidRPr="000D5528" w:rsidRDefault="00830B1F" w:rsidP="00FA3FAE">
            <w:pPr>
              <w:numPr>
                <w:ilvl w:val="0"/>
                <w:numId w:val="230"/>
              </w:numPr>
              <w:spacing w:after="0" w:line="240" w:lineRule="auto"/>
              <w:ind w:left="298" w:hanging="283"/>
              <w:rPr>
                <w:rFonts w:ascii="Times New Roman" w:hAnsi="Times New Roman"/>
                <w:color w:val="000000"/>
                <w:sz w:val="18"/>
                <w:szCs w:val="18"/>
                <w:lang w:bidi="en-US"/>
              </w:rPr>
            </w:pPr>
            <w:r w:rsidRPr="000D5528">
              <w:rPr>
                <w:rFonts w:ascii="Times New Roman" w:hAnsi="Times New Roman"/>
                <w:color w:val="000000"/>
                <w:sz w:val="18"/>
                <w:szCs w:val="18"/>
                <w:lang w:bidi="en-US"/>
              </w:rPr>
              <w:t>Dangers pour l'environnement : Le produit peut être toxique pour les poissons, les plantes, la faune et les animaux domestiques.</w:t>
            </w:r>
          </w:p>
          <w:p w:rsidR="00830B1F" w:rsidRPr="000D5528" w:rsidRDefault="00830B1F" w:rsidP="00FA3FAE">
            <w:pPr>
              <w:numPr>
                <w:ilvl w:val="0"/>
                <w:numId w:val="230"/>
              </w:numPr>
              <w:spacing w:after="0" w:line="240" w:lineRule="auto"/>
              <w:ind w:left="298" w:hanging="283"/>
              <w:rPr>
                <w:rFonts w:ascii="Times New Roman" w:hAnsi="Times New Roman"/>
                <w:color w:val="000000"/>
                <w:sz w:val="18"/>
                <w:szCs w:val="18"/>
                <w:lang w:bidi="en-US"/>
              </w:rPr>
            </w:pPr>
            <w:r w:rsidRPr="00DB78A8">
              <w:rPr>
                <w:rFonts w:ascii="Times New Roman" w:hAnsi="Times New Roman"/>
                <w:color w:val="000000"/>
                <w:sz w:val="18"/>
                <w:szCs w:val="18"/>
                <w:lang w:bidi="en-US"/>
              </w:rPr>
              <w:t>Le produit peut être toxique pour les poissons, les plantes, la faune et les animaux domestiques</w:t>
            </w:r>
          </w:p>
        </w:tc>
        <w:tc>
          <w:tcPr>
            <w:tcW w:w="1280" w:type="pct"/>
            <w:shd w:val="clear" w:color="auto" w:fill="auto"/>
            <w:noWrap/>
          </w:tcPr>
          <w:p w:rsidR="00830B1F" w:rsidRPr="0028065B" w:rsidRDefault="00830B1F" w:rsidP="00FA3FAE">
            <w:pPr>
              <w:numPr>
                <w:ilvl w:val="0"/>
                <w:numId w:val="230"/>
              </w:numPr>
              <w:tabs>
                <w:tab w:val="num" w:pos="720"/>
              </w:tabs>
              <w:spacing w:after="0" w:line="240" w:lineRule="auto"/>
              <w:ind w:left="298" w:hanging="283"/>
              <w:jc w:val="both"/>
              <w:rPr>
                <w:rFonts w:eastAsia="Times New Roman"/>
                <w:color w:val="000000"/>
                <w:sz w:val="18"/>
                <w:szCs w:val="18"/>
                <w:lang w:bidi="en-US"/>
              </w:rPr>
            </w:pPr>
            <w:r w:rsidRPr="0028065B">
              <w:rPr>
                <w:rFonts w:eastAsia="Times New Roman"/>
                <w:b/>
                <w:bCs/>
                <w:color w:val="000000"/>
                <w:sz w:val="18"/>
                <w:szCs w:val="18"/>
                <w:lang w:bidi="en-US"/>
              </w:rPr>
              <w:lastRenderedPageBreak/>
              <w:t>Sensibiliser</w:t>
            </w:r>
            <w:r w:rsidRPr="0028065B">
              <w:rPr>
                <w:rFonts w:eastAsia="Times New Roman"/>
                <w:color w:val="000000"/>
                <w:sz w:val="18"/>
                <w:szCs w:val="18"/>
                <w:lang w:bidi="en-US"/>
              </w:rPr>
              <w:t> tout le personnel de l’atelier aux risques de la contamination de la peau par les huiles usagées</w:t>
            </w:r>
          </w:p>
          <w:p w:rsidR="00830B1F" w:rsidRPr="0028065B" w:rsidRDefault="00830B1F" w:rsidP="00FA3FAE">
            <w:pPr>
              <w:numPr>
                <w:ilvl w:val="0"/>
                <w:numId w:val="230"/>
              </w:numPr>
              <w:tabs>
                <w:tab w:val="num" w:pos="720"/>
              </w:tabs>
              <w:spacing w:after="0" w:line="240" w:lineRule="auto"/>
              <w:ind w:left="298" w:hanging="283"/>
              <w:jc w:val="both"/>
              <w:rPr>
                <w:rFonts w:eastAsia="Times New Roman"/>
                <w:color w:val="000000"/>
                <w:sz w:val="18"/>
                <w:szCs w:val="18"/>
                <w:lang w:bidi="en-US"/>
              </w:rPr>
            </w:pPr>
            <w:r w:rsidRPr="0028065B">
              <w:rPr>
                <w:rFonts w:eastAsia="Times New Roman"/>
                <w:b/>
                <w:bCs/>
                <w:color w:val="000000"/>
                <w:sz w:val="18"/>
                <w:szCs w:val="18"/>
                <w:lang w:bidi="en-US"/>
              </w:rPr>
              <w:t>Fournir des gants</w:t>
            </w:r>
            <w:r w:rsidRPr="0028065B">
              <w:rPr>
                <w:rFonts w:eastAsia="Times New Roman"/>
                <w:color w:val="000000"/>
                <w:sz w:val="18"/>
                <w:szCs w:val="18"/>
                <w:lang w:bidi="en-US"/>
              </w:rPr>
              <w:t> de type </w:t>
            </w:r>
            <w:hyperlink r:id="rId109" w:tgtFrame="_blank" w:history="1">
              <w:r w:rsidRPr="0028065B">
                <w:rPr>
                  <w:rStyle w:val="Hiperligao"/>
                  <w:rFonts w:eastAsia="Times New Roman"/>
                  <w:sz w:val="18"/>
                  <w:szCs w:val="18"/>
                  <w:lang w:bidi="en-US"/>
                </w:rPr>
                <w:t>EN 374-2</w:t>
              </w:r>
            </w:hyperlink>
          </w:p>
          <w:p w:rsidR="00830B1F" w:rsidRPr="0028065B" w:rsidRDefault="00830B1F" w:rsidP="00FA3FAE">
            <w:pPr>
              <w:numPr>
                <w:ilvl w:val="0"/>
                <w:numId w:val="230"/>
              </w:numPr>
              <w:tabs>
                <w:tab w:val="num" w:pos="1440"/>
              </w:tabs>
              <w:spacing w:after="0" w:line="240" w:lineRule="auto"/>
              <w:ind w:left="298" w:hanging="283"/>
              <w:jc w:val="both"/>
              <w:rPr>
                <w:rFonts w:eastAsia="Times New Roman"/>
                <w:color w:val="000000"/>
                <w:sz w:val="18"/>
                <w:szCs w:val="18"/>
                <w:lang w:bidi="en-US"/>
              </w:rPr>
            </w:pPr>
            <w:r w:rsidRPr="0028065B">
              <w:rPr>
                <w:rFonts w:eastAsia="Times New Roman"/>
                <w:color w:val="000000"/>
                <w:sz w:val="18"/>
                <w:szCs w:val="18"/>
                <w:lang w:bidi="en-US"/>
              </w:rPr>
              <w:t>Gant en nitrile </w:t>
            </w:r>
          </w:p>
          <w:p w:rsidR="00830B1F" w:rsidRPr="0028065B" w:rsidRDefault="00830B1F" w:rsidP="00FA3FAE">
            <w:pPr>
              <w:numPr>
                <w:ilvl w:val="0"/>
                <w:numId w:val="230"/>
              </w:numPr>
              <w:tabs>
                <w:tab w:val="num" w:pos="720"/>
              </w:tabs>
              <w:spacing w:after="0" w:line="240" w:lineRule="auto"/>
              <w:ind w:left="298" w:hanging="283"/>
              <w:jc w:val="both"/>
              <w:rPr>
                <w:rFonts w:eastAsia="Times New Roman"/>
                <w:color w:val="000000"/>
                <w:sz w:val="18"/>
                <w:szCs w:val="18"/>
                <w:lang w:bidi="en-US"/>
              </w:rPr>
            </w:pPr>
            <w:r w:rsidRPr="0028065B">
              <w:rPr>
                <w:rFonts w:eastAsia="Times New Roman"/>
                <w:color w:val="000000"/>
                <w:sz w:val="18"/>
                <w:szCs w:val="18"/>
                <w:lang w:bidi="en-US"/>
              </w:rPr>
              <w:t>Nettoyer ou remplacer régulièrement les </w:t>
            </w:r>
            <w:r w:rsidRPr="0028065B">
              <w:rPr>
                <w:rFonts w:eastAsia="Times New Roman"/>
                <w:b/>
                <w:bCs/>
                <w:color w:val="000000"/>
                <w:sz w:val="18"/>
                <w:szCs w:val="18"/>
                <w:lang w:bidi="en-US"/>
              </w:rPr>
              <w:t>combinaisons de travail</w:t>
            </w:r>
          </w:p>
          <w:p w:rsidR="00830B1F" w:rsidRPr="0028065B" w:rsidRDefault="00830B1F" w:rsidP="00FA3FAE">
            <w:pPr>
              <w:numPr>
                <w:ilvl w:val="0"/>
                <w:numId w:val="230"/>
              </w:numPr>
              <w:tabs>
                <w:tab w:val="num" w:pos="720"/>
              </w:tabs>
              <w:spacing w:after="0" w:line="240" w:lineRule="auto"/>
              <w:ind w:left="298" w:hanging="283"/>
              <w:jc w:val="both"/>
              <w:rPr>
                <w:rFonts w:eastAsia="Times New Roman"/>
                <w:color w:val="000000"/>
                <w:sz w:val="18"/>
                <w:szCs w:val="18"/>
                <w:lang w:bidi="en-US"/>
              </w:rPr>
            </w:pPr>
            <w:r w:rsidRPr="0028065B">
              <w:rPr>
                <w:rFonts w:eastAsia="Times New Roman"/>
                <w:color w:val="000000"/>
                <w:sz w:val="18"/>
                <w:szCs w:val="18"/>
                <w:lang w:bidi="en-US"/>
              </w:rPr>
              <w:t>Maintenir un </w:t>
            </w:r>
            <w:r w:rsidRPr="0028065B">
              <w:rPr>
                <w:rFonts w:eastAsia="Times New Roman"/>
                <w:b/>
                <w:bCs/>
                <w:color w:val="000000"/>
                <w:sz w:val="18"/>
                <w:szCs w:val="18"/>
                <w:lang w:bidi="en-US"/>
              </w:rPr>
              <w:t>niveau d’hygiène élevé</w:t>
            </w:r>
            <w:r w:rsidRPr="0028065B">
              <w:rPr>
                <w:rFonts w:eastAsia="Times New Roman"/>
                <w:color w:val="000000"/>
                <w:sz w:val="18"/>
                <w:szCs w:val="18"/>
                <w:lang w:bidi="en-US"/>
              </w:rPr>
              <w:t> dans l’atelier</w:t>
            </w:r>
          </w:p>
          <w:p w:rsidR="00830B1F" w:rsidRPr="0028065B" w:rsidRDefault="00830B1F" w:rsidP="00FA3FAE">
            <w:pPr>
              <w:numPr>
                <w:ilvl w:val="0"/>
                <w:numId w:val="230"/>
              </w:numPr>
              <w:tabs>
                <w:tab w:val="num" w:pos="720"/>
              </w:tabs>
              <w:spacing w:after="0" w:line="240" w:lineRule="auto"/>
              <w:ind w:left="298" w:hanging="283"/>
              <w:jc w:val="both"/>
              <w:rPr>
                <w:rFonts w:eastAsia="Times New Roman"/>
                <w:color w:val="000000"/>
                <w:sz w:val="18"/>
                <w:szCs w:val="18"/>
                <w:lang w:bidi="en-US"/>
              </w:rPr>
            </w:pPr>
            <w:r w:rsidRPr="0028065B">
              <w:rPr>
                <w:rFonts w:eastAsia="Times New Roman"/>
                <w:color w:val="000000"/>
                <w:sz w:val="18"/>
                <w:szCs w:val="18"/>
                <w:lang w:bidi="en-US"/>
              </w:rPr>
              <w:t>Préférer </w:t>
            </w:r>
            <w:r w:rsidRPr="0028065B">
              <w:rPr>
                <w:rFonts w:eastAsia="Times New Roman"/>
                <w:b/>
                <w:bCs/>
                <w:color w:val="000000"/>
                <w:sz w:val="18"/>
                <w:szCs w:val="18"/>
                <w:lang w:bidi="en-US"/>
              </w:rPr>
              <w:t>les essuie-mains</w:t>
            </w:r>
            <w:r w:rsidRPr="0028065B">
              <w:rPr>
                <w:rFonts w:eastAsia="Times New Roman"/>
                <w:color w:val="000000"/>
                <w:sz w:val="18"/>
                <w:szCs w:val="18"/>
                <w:lang w:bidi="en-US"/>
              </w:rPr>
              <w:t xml:space="preserve"> en papier sur dévidoir et proscrire </w:t>
            </w:r>
            <w:r w:rsidRPr="0028065B">
              <w:rPr>
                <w:rFonts w:eastAsia="Times New Roman"/>
                <w:color w:val="000000"/>
                <w:sz w:val="18"/>
                <w:szCs w:val="18"/>
                <w:lang w:bidi="en-US"/>
              </w:rPr>
              <w:lastRenderedPageBreak/>
              <w:t>les chiffons huileux. Prévoir une poubelle dédiée après utilisation.</w:t>
            </w:r>
          </w:p>
          <w:p w:rsidR="00830B1F" w:rsidRPr="0028065B" w:rsidRDefault="00830B1F" w:rsidP="00FA3FAE">
            <w:pPr>
              <w:numPr>
                <w:ilvl w:val="0"/>
                <w:numId w:val="230"/>
              </w:numPr>
              <w:tabs>
                <w:tab w:val="num" w:pos="720"/>
              </w:tabs>
              <w:spacing w:after="0" w:line="240" w:lineRule="auto"/>
              <w:ind w:left="298" w:hanging="283"/>
              <w:jc w:val="both"/>
              <w:rPr>
                <w:rFonts w:eastAsia="Times New Roman"/>
                <w:color w:val="000000"/>
                <w:sz w:val="18"/>
                <w:szCs w:val="18"/>
                <w:lang w:bidi="en-US"/>
              </w:rPr>
            </w:pPr>
            <w:r w:rsidRPr="0028065B">
              <w:rPr>
                <w:rFonts w:eastAsia="Times New Roman"/>
                <w:color w:val="000000"/>
                <w:sz w:val="18"/>
                <w:szCs w:val="18"/>
                <w:lang w:bidi="en-US"/>
              </w:rPr>
              <w:t>Envisager l’application de </w:t>
            </w:r>
            <w:r w:rsidRPr="0028065B">
              <w:rPr>
                <w:rFonts w:eastAsia="Times New Roman"/>
                <w:b/>
                <w:bCs/>
                <w:color w:val="000000"/>
                <w:sz w:val="18"/>
                <w:szCs w:val="18"/>
                <w:lang w:bidi="en-US"/>
              </w:rPr>
              <w:t>crèmes de protection</w:t>
            </w:r>
          </w:p>
          <w:p w:rsidR="00830B1F" w:rsidRPr="0028065B" w:rsidRDefault="00830B1F" w:rsidP="00FA3FAE">
            <w:pPr>
              <w:numPr>
                <w:ilvl w:val="0"/>
                <w:numId w:val="230"/>
              </w:numPr>
              <w:tabs>
                <w:tab w:val="num" w:pos="720"/>
              </w:tabs>
              <w:spacing w:after="0" w:line="240" w:lineRule="auto"/>
              <w:ind w:left="298" w:hanging="283"/>
              <w:jc w:val="both"/>
              <w:rPr>
                <w:rFonts w:eastAsia="Times New Roman"/>
                <w:color w:val="000000"/>
                <w:sz w:val="18"/>
                <w:szCs w:val="18"/>
                <w:lang w:bidi="en-US"/>
              </w:rPr>
            </w:pPr>
            <w:r w:rsidRPr="0028065B">
              <w:rPr>
                <w:rFonts w:eastAsia="Times New Roman"/>
                <w:color w:val="000000"/>
                <w:sz w:val="18"/>
                <w:szCs w:val="18"/>
                <w:lang w:bidi="en-US"/>
              </w:rPr>
              <w:t>Utiliser un </w:t>
            </w:r>
            <w:r w:rsidRPr="0028065B">
              <w:rPr>
                <w:rFonts w:eastAsia="Times New Roman"/>
                <w:b/>
                <w:bCs/>
                <w:color w:val="000000"/>
                <w:sz w:val="18"/>
                <w:szCs w:val="18"/>
                <w:lang w:bidi="en-US"/>
              </w:rPr>
              <w:t>extracteur-vidangeur</w:t>
            </w:r>
          </w:p>
          <w:p w:rsidR="00830B1F" w:rsidRPr="009E1744" w:rsidRDefault="00830B1F" w:rsidP="002F0DE8">
            <w:pPr>
              <w:spacing w:after="0"/>
              <w:ind w:left="298"/>
              <w:jc w:val="both"/>
              <w:rPr>
                <w:rFonts w:ascii="Times New Roman" w:hAnsi="Times New Roman"/>
                <w:color w:val="000000"/>
                <w:sz w:val="18"/>
                <w:szCs w:val="18"/>
                <w:lang w:bidi="en-US"/>
              </w:rPr>
            </w:pPr>
          </w:p>
        </w:tc>
        <w:tc>
          <w:tcPr>
            <w:tcW w:w="1482" w:type="pct"/>
            <w:shd w:val="clear" w:color="auto" w:fill="auto"/>
            <w:noWrap/>
          </w:tcPr>
          <w:p w:rsidR="00830B1F" w:rsidRDefault="00830B1F" w:rsidP="00FA3FAE">
            <w:pPr>
              <w:numPr>
                <w:ilvl w:val="0"/>
                <w:numId w:val="230"/>
              </w:numPr>
              <w:tabs>
                <w:tab w:val="num" w:pos="720"/>
              </w:tabs>
              <w:spacing w:after="0" w:line="240" w:lineRule="auto"/>
              <w:ind w:left="298" w:hanging="283"/>
              <w:jc w:val="both"/>
              <w:rPr>
                <w:color w:val="000000"/>
                <w:sz w:val="18"/>
                <w:szCs w:val="18"/>
                <w:lang w:bidi="en-US"/>
              </w:rPr>
            </w:pPr>
            <w:r>
              <w:rPr>
                <w:color w:val="000000"/>
                <w:sz w:val="18"/>
                <w:szCs w:val="18"/>
                <w:lang w:bidi="en-US"/>
              </w:rPr>
              <w:lastRenderedPageBreak/>
              <w:t>S</w:t>
            </w:r>
            <w:r w:rsidRPr="003577A1">
              <w:rPr>
                <w:b/>
                <w:bCs/>
                <w:color w:val="000000"/>
                <w:sz w:val="18"/>
                <w:szCs w:val="18"/>
                <w:lang w:bidi="en-US"/>
              </w:rPr>
              <w:t>tocker</w:t>
            </w:r>
            <w:r w:rsidRPr="003577A1">
              <w:rPr>
                <w:color w:val="000000"/>
                <w:sz w:val="18"/>
                <w:szCs w:val="18"/>
                <w:lang w:bidi="en-US"/>
              </w:rPr>
              <w:t> les huiles usagées dans un contenant adapté avec </w:t>
            </w:r>
            <w:r w:rsidRPr="003577A1">
              <w:rPr>
                <w:b/>
                <w:bCs/>
                <w:color w:val="000000"/>
                <w:sz w:val="18"/>
                <w:szCs w:val="18"/>
                <w:lang w:bidi="en-US"/>
              </w:rPr>
              <w:t>rétention</w:t>
            </w:r>
            <w:r w:rsidRPr="003577A1">
              <w:rPr>
                <w:color w:val="000000"/>
                <w:sz w:val="18"/>
                <w:szCs w:val="18"/>
                <w:lang w:bidi="en-US"/>
              </w:rPr>
              <w:t xml:space="preserve"> pour limiter les risques de pollution. </w:t>
            </w:r>
          </w:p>
          <w:p w:rsidR="00830B1F" w:rsidRDefault="00830B1F" w:rsidP="00FA3FAE">
            <w:pPr>
              <w:numPr>
                <w:ilvl w:val="0"/>
                <w:numId w:val="230"/>
              </w:numPr>
              <w:tabs>
                <w:tab w:val="num" w:pos="720"/>
              </w:tabs>
              <w:spacing w:after="0" w:line="240" w:lineRule="auto"/>
              <w:ind w:left="298" w:hanging="283"/>
              <w:jc w:val="both"/>
              <w:rPr>
                <w:color w:val="000000"/>
                <w:sz w:val="18"/>
                <w:szCs w:val="18"/>
                <w:lang w:bidi="en-US"/>
              </w:rPr>
            </w:pPr>
            <w:r w:rsidRPr="003577A1">
              <w:rPr>
                <w:color w:val="000000"/>
                <w:sz w:val="18"/>
                <w:szCs w:val="18"/>
                <w:lang w:bidi="en-US"/>
              </w:rPr>
              <w:t xml:space="preserve">Les cuves ou contenant doivent être </w:t>
            </w:r>
            <w:r>
              <w:rPr>
                <w:color w:val="000000"/>
                <w:sz w:val="18"/>
                <w:szCs w:val="18"/>
                <w:lang w:bidi="en-US"/>
              </w:rPr>
              <w:t>stockés à l’abri de l’eau.</w:t>
            </w:r>
          </w:p>
          <w:p w:rsidR="00830B1F" w:rsidRPr="003577A1" w:rsidRDefault="00830B1F" w:rsidP="00FA3FAE">
            <w:pPr>
              <w:numPr>
                <w:ilvl w:val="0"/>
                <w:numId w:val="230"/>
              </w:numPr>
              <w:tabs>
                <w:tab w:val="num" w:pos="720"/>
              </w:tabs>
              <w:spacing w:after="0" w:line="240" w:lineRule="auto"/>
              <w:ind w:left="298" w:hanging="283"/>
              <w:jc w:val="both"/>
              <w:rPr>
                <w:color w:val="000000"/>
                <w:sz w:val="18"/>
                <w:szCs w:val="18"/>
                <w:lang w:bidi="en-US"/>
              </w:rPr>
            </w:pPr>
            <w:r>
              <w:rPr>
                <w:color w:val="000000"/>
                <w:sz w:val="18"/>
                <w:szCs w:val="18"/>
                <w:lang w:bidi="en-US"/>
              </w:rPr>
              <w:t xml:space="preserve">Ne jamais </w:t>
            </w:r>
            <w:r w:rsidRPr="003577A1">
              <w:rPr>
                <w:b/>
                <w:bCs/>
                <w:color w:val="000000"/>
                <w:sz w:val="18"/>
                <w:szCs w:val="18"/>
                <w:lang w:bidi="en-US"/>
              </w:rPr>
              <w:t>mélanger</w:t>
            </w:r>
            <w:r w:rsidRPr="003577A1">
              <w:rPr>
                <w:color w:val="000000"/>
                <w:sz w:val="18"/>
                <w:szCs w:val="18"/>
                <w:lang w:bidi="en-US"/>
              </w:rPr>
              <w:t> les huiles avec d’autres déchets liquides et en particulier l’eau.</w:t>
            </w:r>
          </w:p>
          <w:p w:rsidR="00830B1F" w:rsidRPr="003577A1" w:rsidRDefault="00830B1F" w:rsidP="00FA3FAE">
            <w:pPr>
              <w:numPr>
                <w:ilvl w:val="0"/>
                <w:numId w:val="230"/>
              </w:numPr>
              <w:tabs>
                <w:tab w:val="num" w:pos="720"/>
              </w:tabs>
              <w:spacing w:after="0" w:line="240" w:lineRule="auto"/>
              <w:ind w:left="298" w:hanging="283"/>
              <w:jc w:val="both"/>
              <w:rPr>
                <w:color w:val="000000"/>
                <w:sz w:val="18"/>
                <w:szCs w:val="18"/>
                <w:lang w:bidi="en-US"/>
              </w:rPr>
            </w:pPr>
            <w:r w:rsidRPr="003577A1">
              <w:rPr>
                <w:color w:val="000000"/>
                <w:sz w:val="18"/>
                <w:szCs w:val="18"/>
                <w:lang w:bidi="en-US"/>
              </w:rPr>
              <w:t>Pour les stockages enterrés, la paroi de la cuve doit être double paroi.</w:t>
            </w:r>
          </w:p>
          <w:p w:rsidR="00830B1F" w:rsidRPr="003577A1" w:rsidRDefault="00830B1F" w:rsidP="00FA3FAE">
            <w:pPr>
              <w:numPr>
                <w:ilvl w:val="0"/>
                <w:numId w:val="230"/>
              </w:numPr>
              <w:tabs>
                <w:tab w:val="num" w:pos="720"/>
              </w:tabs>
              <w:spacing w:after="0" w:line="240" w:lineRule="auto"/>
              <w:ind w:left="298" w:hanging="283"/>
              <w:jc w:val="both"/>
              <w:rPr>
                <w:color w:val="000000"/>
                <w:sz w:val="18"/>
                <w:szCs w:val="18"/>
                <w:lang w:bidi="en-US"/>
              </w:rPr>
            </w:pPr>
            <w:r w:rsidRPr="003577A1">
              <w:rPr>
                <w:color w:val="000000"/>
                <w:sz w:val="18"/>
                <w:szCs w:val="18"/>
                <w:lang w:bidi="en-US"/>
              </w:rPr>
              <w:t>La zone de stockage doit être accessible aux véhicules de ramassage.</w:t>
            </w:r>
          </w:p>
          <w:p w:rsidR="00830B1F" w:rsidRPr="00AA21FC" w:rsidRDefault="00830B1F" w:rsidP="00FA3FAE">
            <w:pPr>
              <w:numPr>
                <w:ilvl w:val="0"/>
                <w:numId w:val="230"/>
              </w:numPr>
              <w:spacing w:after="0" w:line="240" w:lineRule="auto"/>
              <w:ind w:left="298" w:hanging="283"/>
              <w:jc w:val="both"/>
              <w:rPr>
                <w:rFonts w:ascii="Times New Roman" w:hAnsi="Times New Roman"/>
                <w:color w:val="000000"/>
                <w:sz w:val="18"/>
                <w:szCs w:val="18"/>
                <w:lang w:val="fr-CA" w:bidi="en-US"/>
              </w:rPr>
            </w:pPr>
          </w:p>
        </w:tc>
      </w:tr>
    </w:tbl>
    <w:p w:rsidR="00764FFF" w:rsidRPr="003E743A" w:rsidRDefault="000C12E5" w:rsidP="00820701">
      <w:pPr>
        <w:pStyle w:val="Cabealho3"/>
        <w:numPr>
          <w:ilvl w:val="0"/>
          <w:numId w:val="146"/>
        </w:numPr>
      </w:pPr>
      <w:bookmarkStart w:id="393" w:name="_Toc51072583"/>
      <w:r>
        <w:lastRenderedPageBreak/>
        <w:t>7.1.4</w:t>
      </w:r>
      <w:r w:rsidR="00764FFF" w:rsidRPr="003E743A">
        <w:t>. Risques liés aux groupes électrogènes</w:t>
      </w:r>
      <w:bookmarkEnd w:id="388"/>
      <w:bookmarkEnd w:id="389"/>
      <w:bookmarkEnd w:id="390"/>
      <w:bookmarkEnd w:id="391"/>
      <w:bookmarkEnd w:id="392"/>
      <w:bookmarkEnd w:id="393"/>
    </w:p>
    <w:p w:rsidR="00764FFF" w:rsidRPr="003E743A" w:rsidRDefault="00764FFF" w:rsidP="00764FFF">
      <w:pPr>
        <w:ind w:left="-284" w:right="-942"/>
        <w:jc w:val="both"/>
        <w:rPr>
          <w:rFonts w:ascii="Times New Roman" w:hAnsi="Times New Roman"/>
          <w:sz w:val="24"/>
          <w:szCs w:val="24"/>
        </w:rPr>
      </w:pPr>
      <w:r w:rsidRPr="003E743A">
        <w:rPr>
          <w:rFonts w:ascii="Times New Roman" w:hAnsi="Times New Roman"/>
          <w:sz w:val="24"/>
          <w:szCs w:val="24"/>
        </w:rPr>
        <w:t>Les groupes électrogènes sont constitués d’une partie mécanique et d’une partie électrique.  La partie mécanique est un moteur thermique avec des éléments mécaniques en rotation grâce à une combustion interne de gasoil ou de fioul lourd. Un mauvais fonctionnement de cette partie peut provoquer des incendies voire une explosion de l’ensemble. La partie électrique constituée d’un alternateur est entrainée par le moteur thermique, elle fournit une tension électrique élevée source d’électrocution, mais aussi de court -circuit pouvant entrainer un incendie. Des contraintes sur ces équipements peuvent potentiellement engendrer un risque d’échauffement.</w:t>
      </w:r>
    </w:p>
    <w:p w:rsidR="00764FFF" w:rsidRPr="003E743A" w:rsidRDefault="00764FFF" w:rsidP="00FA3FAE">
      <w:pPr>
        <w:pStyle w:val="Listecouleur-Accent11"/>
        <w:numPr>
          <w:ilvl w:val="0"/>
          <w:numId w:val="94"/>
        </w:numPr>
        <w:spacing w:after="200" w:line="276" w:lineRule="auto"/>
        <w:ind w:right="-711"/>
        <w:rPr>
          <w:rFonts w:ascii="Times New Roman" w:hAnsi="Times New Roman"/>
          <w:sz w:val="24"/>
          <w:szCs w:val="24"/>
          <w:lang w:val="fr-FR"/>
        </w:rPr>
      </w:pPr>
      <w:r w:rsidRPr="003E743A">
        <w:rPr>
          <w:rFonts w:ascii="Times New Roman" w:hAnsi="Times New Roman"/>
          <w:sz w:val="24"/>
          <w:szCs w:val="24"/>
          <w:u w:val="single"/>
          <w:lang w:val="fr-FR"/>
        </w:rPr>
        <w:t>Risques d’électrocution :</w:t>
      </w:r>
      <w:r w:rsidRPr="003E743A">
        <w:rPr>
          <w:rFonts w:ascii="Times New Roman" w:hAnsi="Times New Roman"/>
          <w:sz w:val="24"/>
          <w:szCs w:val="24"/>
          <w:lang w:val="fr-FR"/>
        </w:rPr>
        <w:t xml:space="preserve"> Toute personne intervenant sur un équipement électrique est soumise à trois risques principaux :</w:t>
      </w:r>
    </w:p>
    <w:p w:rsidR="00764FFF" w:rsidRPr="003E743A" w:rsidRDefault="00764FFF" w:rsidP="00FA3FAE">
      <w:pPr>
        <w:pStyle w:val="Listecouleur-Accent11"/>
        <w:numPr>
          <w:ilvl w:val="0"/>
          <w:numId w:val="95"/>
        </w:numPr>
        <w:spacing w:after="160" w:line="259" w:lineRule="auto"/>
        <w:ind w:right="-711"/>
        <w:rPr>
          <w:rFonts w:ascii="Times New Roman" w:hAnsi="Times New Roman"/>
          <w:sz w:val="24"/>
          <w:szCs w:val="24"/>
          <w:lang w:val="fr-FR"/>
        </w:rPr>
      </w:pPr>
      <w:r w:rsidRPr="003E743A">
        <w:rPr>
          <w:rFonts w:ascii="Times New Roman" w:hAnsi="Times New Roman"/>
          <w:sz w:val="24"/>
          <w:szCs w:val="24"/>
          <w:lang w:val="fr-FR"/>
        </w:rPr>
        <w:t>Le risque de contact avec des pièces nues sous tension. Dans ce cas, le courant électrique traverse le corps humain qui est un conducteur, ce qui provoque une contraction involontaire des muscles (communément appelée choc électrique), ainsi que des brûlures externes ou internes. L’électrocution intervient lorsque le choc électrique a des conséquences mortelles ;</w:t>
      </w:r>
    </w:p>
    <w:p w:rsidR="00764FFF" w:rsidRPr="003E743A" w:rsidRDefault="00764FFF" w:rsidP="00FA3FAE">
      <w:pPr>
        <w:pStyle w:val="Listecouleur-Accent11"/>
        <w:numPr>
          <w:ilvl w:val="0"/>
          <w:numId w:val="95"/>
        </w:numPr>
        <w:spacing w:after="160" w:line="259" w:lineRule="auto"/>
        <w:ind w:right="-711"/>
        <w:rPr>
          <w:rFonts w:ascii="Times New Roman" w:hAnsi="Times New Roman"/>
          <w:sz w:val="24"/>
          <w:szCs w:val="24"/>
          <w:lang w:val="fr-FR"/>
        </w:rPr>
      </w:pPr>
      <w:r w:rsidRPr="003E743A">
        <w:rPr>
          <w:rFonts w:ascii="Times New Roman" w:hAnsi="Times New Roman"/>
          <w:sz w:val="24"/>
          <w:szCs w:val="24"/>
          <w:lang w:val="fr-FR"/>
        </w:rPr>
        <w:t>Le risque de brûlure par projection de matières en fusion lors d’un court-circuit ;</w:t>
      </w:r>
    </w:p>
    <w:p w:rsidR="00764FFF" w:rsidRPr="003E743A" w:rsidRDefault="00764FFF" w:rsidP="00FA3FAE">
      <w:pPr>
        <w:pStyle w:val="Listecouleur-Accent11"/>
        <w:numPr>
          <w:ilvl w:val="0"/>
          <w:numId w:val="95"/>
        </w:numPr>
        <w:spacing w:after="160" w:line="259" w:lineRule="auto"/>
        <w:ind w:right="-711"/>
        <w:rPr>
          <w:rFonts w:ascii="Times New Roman" w:hAnsi="Times New Roman"/>
          <w:sz w:val="24"/>
          <w:szCs w:val="24"/>
          <w:lang w:val="fr-FR"/>
        </w:rPr>
      </w:pPr>
      <w:r w:rsidRPr="003E743A">
        <w:rPr>
          <w:rFonts w:ascii="Times New Roman" w:hAnsi="Times New Roman"/>
          <w:sz w:val="24"/>
          <w:szCs w:val="24"/>
          <w:lang w:val="fr-FR"/>
        </w:rPr>
        <w:t>Le risque spécifique à certains matériels ou équipements tel que les batteries (risque chimique).</w:t>
      </w:r>
    </w:p>
    <w:p w:rsidR="00764FFF" w:rsidRDefault="00764FFF" w:rsidP="00764FFF">
      <w:pPr>
        <w:spacing w:after="0"/>
        <w:ind w:right="-711"/>
        <w:jc w:val="both"/>
        <w:rPr>
          <w:rFonts w:ascii="Times New Roman" w:hAnsi="Times New Roman"/>
          <w:sz w:val="24"/>
          <w:szCs w:val="24"/>
        </w:rPr>
      </w:pPr>
      <w:r w:rsidRPr="003E743A">
        <w:rPr>
          <w:rFonts w:ascii="Times New Roman" w:hAnsi="Times New Roman"/>
          <w:sz w:val="24"/>
          <w:szCs w:val="24"/>
        </w:rPr>
        <w:t>Sur le site, les seuls équipements pouvant présenté</w:t>
      </w:r>
      <w:r>
        <w:rPr>
          <w:rFonts w:ascii="Times New Roman" w:hAnsi="Times New Roman"/>
          <w:sz w:val="24"/>
          <w:szCs w:val="24"/>
        </w:rPr>
        <w:t>s</w:t>
      </w:r>
      <w:r w:rsidRPr="003E743A">
        <w:rPr>
          <w:rFonts w:ascii="Times New Roman" w:hAnsi="Times New Roman"/>
          <w:sz w:val="24"/>
          <w:szCs w:val="24"/>
        </w:rPr>
        <w:t xml:space="preserve"> un tel risque sont les engins (circuits électriques, batteries). </w:t>
      </w:r>
    </w:p>
    <w:p w:rsidR="00764FFF" w:rsidRPr="000C12E5" w:rsidRDefault="00764FFF" w:rsidP="00764FFF">
      <w:pPr>
        <w:pStyle w:val="Listecouleur-Accent11"/>
        <w:keepNext/>
        <w:spacing w:before="240" w:after="240"/>
        <w:ind w:left="450" w:hanging="450"/>
        <w:outlineLvl w:val="1"/>
        <w:rPr>
          <w:rFonts w:ascii="Times New Roman" w:hAnsi="Times New Roman"/>
          <w:b/>
          <w:sz w:val="28"/>
          <w:szCs w:val="28"/>
          <w:lang w:val="fr-FR" w:eastAsia="fr-FR"/>
        </w:rPr>
      </w:pPr>
      <w:bookmarkStart w:id="394" w:name="_Toc525421886"/>
      <w:bookmarkStart w:id="395" w:name="_Toc535396962"/>
      <w:bookmarkStart w:id="396" w:name="_Toc11158362"/>
      <w:bookmarkStart w:id="397" w:name="_Toc51072584"/>
      <w:r w:rsidRPr="000C12E5">
        <w:rPr>
          <w:rFonts w:ascii="Times New Roman" w:hAnsi="Times New Roman"/>
          <w:b/>
          <w:sz w:val="28"/>
          <w:szCs w:val="28"/>
          <w:lang w:val="fr-FR" w:eastAsia="fr-FR"/>
        </w:rPr>
        <w:t>7.2. ÉVALUATION DES RISQUES PROFESSIONNELS</w:t>
      </w:r>
      <w:bookmarkEnd w:id="394"/>
      <w:bookmarkEnd w:id="395"/>
      <w:bookmarkEnd w:id="396"/>
      <w:bookmarkEnd w:id="397"/>
    </w:p>
    <w:p w:rsidR="00764FFF" w:rsidRPr="005E0349" w:rsidRDefault="00764FFF" w:rsidP="00764FFF">
      <w:pPr>
        <w:tabs>
          <w:tab w:val="left" w:pos="1597"/>
        </w:tabs>
        <w:ind w:left="-284" w:right="-942"/>
        <w:jc w:val="both"/>
        <w:rPr>
          <w:rFonts w:ascii="Times New Roman" w:hAnsi="Times New Roman"/>
          <w:sz w:val="24"/>
          <w:szCs w:val="24"/>
          <w:lang w:bidi="en-US"/>
        </w:rPr>
      </w:pPr>
      <w:r w:rsidRPr="005E0349">
        <w:rPr>
          <w:rFonts w:ascii="Times New Roman" w:hAnsi="Times New Roman"/>
          <w:sz w:val="24"/>
          <w:szCs w:val="24"/>
          <w:lang w:bidi="en-US"/>
        </w:rPr>
        <w:t xml:space="preserve">L'évaluation des risques professionnels est une obligation réglementaire que l’employeur doit prendre des mesures nécessaires pour assurer la promotion de la sécurité et de la santé des travailleurs. Elle est la base de toute démarche d’amélioration de la sécurité et des conditions de travail. </w:t>
      </w:r>
    </w:p>
    <w:p w:rsidR="00764FFF" w:rsidRPr="005E0349" w:rsidRDefault="00764FFF" w:rsidP="00764FFF">
      <w:pPr>
        <w:tabs>
          <w:tab w:val="left" w:pos="1597"/>
        </w:tabs>
        <w:ind w:left="-284" w:right="-942"/>
        <w:jc w:val="both"/>
        <w:rPr>
          <w:rFonts w:ascii="Times New Roman" w:hAnsi="Times New Roman"/>
          <w:sz w:val="24"/>
          <w:szCs w:val="24"/>
          <w:lang w:bidi="en-US"/>
        </w:rPr>
      </w:pPr>
      <w:r w:rsidRPr="005E0349">
        <w:rPr>
          <w:rFonts w:ascii="Times New Roman" w:hAnsi="Times New Roman"/>
          <w:sz w:val="24"/>
          <w:szCs w:val="24"/>
          <w:lang w:bidi="en-US"/>
        </w:rPr>
        <w:lastRenderedPageBreak/>
        <w:t>L’évaluation des risques professionnels sert à planifier des actions de prévention dans l’entreprise. Les risques professionnels en entreprise sont constitués de maladies professionnelles (MP) ou d’accidents de travail (AT).  La maladie professionnelle se définit comme une manifestation ou une affection qui est la conséquence d’une exposition plus ou moins prolongée à un risque et qui peut entrainer des lésions voire la mort du travailleur qui en est victime. Quant à l’accident de travail, il s’agit d’un fait ou d’un événement qui se produit de manière soudaine provoquant des lésions corporelles ou la mort d’un travailleur.</w:t>
      </w:r>
    </w:p>
    <w:p w:rsidR="00764FFF" w:rsidRPr="005E0349" w:rsidRDefault="00764FFF" w:rsidP="00764FFF">
      <w:pPr>
        <w:tabs>
          <w:tab w:val="left" w:pos="1597"/>
        </w:tabs>
        <w:ind w:left="-284" w:right="-942"/>
        <w:jc w:val="both"/>
        <w:rPr>
          <w:rFonts w:ascii="Times New Roman" w:hAnsi="Times New Roman"/>
          <w:sz w:val="24"/>
          <w:szCs w:val="24"/>
          <w:lang w:bidi="en-US"/>
        </w:rPr>
      </w:pPr>
      <w:r w:rsidRPr="005E0349">
        <w:rPr>
          <w:rFonts w:ascii="Times New Roman" w:hAnsi="Times New Roman"/>
          <w:sz w:val="24"/>
          <w:szCs w:val="24"/>
          <w:lang w:bidi="en-US"/>
        </w:rPr>
        <w:t>La prévention en Entreprise nécessite une maîtrise des risques professionnels qui consiste à identifier les risques, à les évaluer et à les anticiper c'est-à-dire mettre en place des moyens qui permettent l’élimination des risques ou leur réduction de sorte que les risques inacceptables deviennent acceptables. Ce qui revient à dire que la prévention en Entreprise c’est l’ensemble des mesures prises pour éviter qu’un sinistre se produise.</w:t>
      </w:r>
    </w:p>
    <w:p w:rsidR="00764FFF" w:rsidRPr="005E0349" w:rsidRDefault="00764FFF" w:rsidP="00764FFF">
      <w:pPr>
        <w:tabs>
          <w:tab w:val="left" w:pos="1597"/>
        </w:tabs>
        <w:ind w:left="-284" w:right="-942"/>
        <w:jc w:val="both"/>
        <w:rPr>
          <w:rFonts w:ascii="Times New Roman" w:hAnsi="Times New Roman"/>
          <w:sz w:val="24"/>
          <w:szCs w:val="24"/>
          <w:lang w:bidi="en-US"/>
        </w:rPr>
      </w:pPr>
      <w:r w:rsidRPr="005E0349">
        <w:rPr>
          <w:rFonts w:ascii="Times New Roman" w:hAnsi="Times New Roman"/>
          <w:sz w:val="24"/>
          <w:szCs w:val="24"/>
          <w:lang w:bidi="en-US"/>
        </w:rPr>
        <w:t>L’évaluation des risques est une étape importante pour la mise en place des moyens de prévention. Cette évaluation consiste à identifier les risques, à les estimer c'est-à-dire voire l’impact que le problème identifié pourrait avoir sur l’homme et à prioriser les actions de prévention à mettre en place. Cette priorisation est fonction de la probabilité d’occurrence et de la gravité du dommage causé.</w:t>
      </w:r>
    </w:p>
    <w:p w:rsidR="00764FFF" w:rsidRPr="0011050A" w:rsidRDefault="00764FFF" w:rsidP="00820701">
      <w:pPr>
        <w:pStyle w:val="Cabealho3"/>
      </w:pPr>
      <w:bookmarkStart w:id="398" w:name="_Toc535396963"/>
      <w:bookmarkStart w:id="399" w:name="_Toc11158363"/>
      <w:bookmarkStart w:id="400" w:name="_Toc51072585"/>
      <w:r>
        <w:t xml:space="preserve">7.2.1. </w:t>
      </w:r>
      <w:r w:rsidRPr="0011050A">
        <w:t>Méthodologie</w:t>
      </w:r>
      <w:bookmarkEnd w:id="398"/>
      <w:bookmarkEnd w:id="399"/>
      <w:bookmarkEnd w:id="400"/>
    </w:p>
    <w:p w:rsidR="00764FFF" w:rsidRPr="005E0349" w:rsidRDefault="00764FFF" w:rsidP="00764FFF">
      <w:pPr>
        <w:tabs>
          <w:tab w:val="left" w:pos="3840"/>
        </w:tabs>
        <w:jc w:val="both"/>
        <w:rPr>
          <w:rFonts w:ascii="Times New Roman" w:hAnsi="Times New Roman"/>
          <w:sz w:val="24"/>
          <w:szCs w:val="24"/>
          <w:lang w:bidi="en-US"/>
        </w:rPr>
      </w:pPr>
      <w:r w:rsidRPr="005E0349">
        <w:rPr>
          <w:rFonts w:ascii="Times New Roman" w:hAnsi="Times New Roman"/>
          <w:sz w:val="24"/>
          <w:szCs w:val="24"/>
          <w:lang w:bidi="en-US"/>
        </w:rPr>
        <w:t>La méthodologie utilisée comporte principalement trois étapes :</w:t>
      </w:r>
    </w:p>
    <w:p w:rsidR="00764FFF" w:rsidRPr="005E0349" w:rsidRDefault="00764FFF" w:rsidP="00FA3FAE">
      <w:pPr>
        <w:numPr>
          <w:ilvl w:val="0"/>
          <w:numId w:val="98"/>
        </w:numPr>
        <w:spacing w:after="0" w:line="276" w:lineRule="auto"/>
        <w:contextualSpacing/>
        <w:jc w:val="both"/>
        <w:rPr>
          <w:rFonts w:ascii="Times New Roman" w:hAnsi="Times New Roman"/>
          <w:sz w:val="24"/>
          <w:szCs w:val="24"/>
          <w:lang w:bidi="en-US"/>
        </w:rPr>
      </w:pPr>
      <w:r w:rsidRPr="005E0349">
        <w:rPr>
          <w:rFonts w:ascii="Times New Roman" w:hAnsi="Times New Roman"/>
          <w:sz w:val="24"/>
          <w:szCs w:val="24"/>
          <w:lang w:bidi="en-US"/>
        </w:rPr>
        <w:t>L’inventaire de toutes les unités de travail (Postes, métiers ou lieu de travail)</w:t>
      </w:r>
    </w:p>
    <w:p w:rsidR="00764FFF" w:rsidRPr="005E0349" w:rsidRDefault="00764FFF" w:rsidP="00FA3FAE">
      <w:pPr>
        <w:numPr>
          <w:ilvl w:val="0"/>
          <w:numId w:val="98"/>
        </w:numPr>
        <w:spacing w:after="0" w:line="276" w:lineRule="auto"/>
        <w:contextualSpacing/>
        <w:jc w:val="both"/>
        <w:rPr>
          <w:rFonts w:ascii="Times New Roman" w:hAnsi="Times New Roman"/>
          <w:sz w:val="24"/>
          <w:szCs w:val="24"/>
          <w:lang w:bidi="en-US"/>
        </w:rPr>
      </w:pPr>
      <w:r w:rsidRPr="005E0349">
        <w:rPr>
          <w:rFonts w:ascii="Times New Roman" w:hAnsi="Times New Roman"/>
          <w:sz w:val="24"/>
          <w:szCs w:val="24"/>
          <w:lang w:bidi="en-US"/>
        </w:rPr>
        <w:t>L’identification des situations dangereuses et risques liés à chaque unité de travail</w:t>
      </w:r>
    </w:p>
    <w:p w:rsidR="00764FFF" w:rsidRPr="005E0349" w:rsidRDefault="00764FFF" w:rsidP="00FA3FAE">
      <w:pPr>
        <w:numPr>
          <w:ilvl w:val="0"/>
          <w:numId w:val="98"/>
        </w:numPr>
        <w:spacing w:after="0" w:line="276" w:lineRule="auto"/>
        <w:contextualSpacing/>
        <w:jc w:val="both"/>
        <w:rPr>
          <w:rFonts w:ascii="Times New Roman" w:hAnsi="Times New Roman"/>
          <w:sz w:val="24"/>
          <w:szCs w:val="24"/>
          <w:lang w:bidi="en-US"/>
        </w:rPr>
      </w:pPr>
      <w:r w:rsidRPr="005E0349">
        <w:rPr>
          <w:rFonts w:ascii="Times New Roman" w:hAnsi="Times New Roman"/>
          <w:sz w:val="24"/>
          <w:szCs w:val="24"/>
          <w:lang w:bidi="en-US"/>
        </w:rPr>
        <w:t>Proposer des mesures de prévention et de protection et définir les priorités d’action</w:t>
      </w:r>
    </w:p>
    <w:p w:rsidR="00764FFF" w:rsidRPr="0011050A" w:rsidRDefault="00764FFF" w:rsidP="00820701">
      <w:pPr>
        <w:pStyle w:val="Cabealho3"/>
      </w:pPr>
      <w:bookmarkStart w:id="401" w:name="_Toc535396964"/>
      <w:bookmarkStart w:id="402" w:name="_Toc11158364"/>
      <w:bookmarkStart w:id="403" w:name="_Toc51072586"/>
      <w:r>
        <w:t xml:space="preserve">7.2.2. </w:t>
      </w:r>
      <w:r w:rsidRPr="0011050A">
        <w:t>Inventaire des unités de travail</w:t>
      </w:r>
      <w:bookmarkEnd w:id="401"/>
      <w:bookmarkEnd w:id="402"/>
      <w:bookmarkEnd w:id="403"/>
    </w:p>
    <w:p w:rsidR="00764FFF" w:rsidRPr="005E0349" w:rsidRDefault="00764FFF" w:rsidP="00764FFF">
      <w:pPr>
        <w:ind w:right="-800"/>
        <w:jc w:val="both"/>
        <w:rPr>
          <w:rFonts w:ascii="Times New Roman" w:hAnsi="Times New Roman"/>
          <w:sz w:val="24"/>
          <w:szCs w:val="24"/>
          <w:lang w:bidi="en-US"/>
        </w:rPr>
      </w:pPr>
      <w:r w:rsidRPr="005E0349">
        <w:rPr>
          <w:rFonts w:ascii="Times New Roman" w:hAnsi="Times New Roman"/>
          <w:sz w:val="24"/>
          <w:szCs w:val="24"/>
          <w:lang w:bidi="en-US"/>
        </w:rPr>
        <w:t>Pour définir les unités de travail l’approche "activité par activité" a été choisie ; il s’agit de lister les différentes activités de l’entreprise où à chaque fois le personnel est exposé.</w:t>
      </w:r>
    </w:p>
    <w:p w:rsidR="00764FFF" w:rsidRPr="0011050A" w:rsidRDefault="00764FFF" w:rsidP="00820701">
      <w:pPr>
        <w:pStyle w:val="Cabealho3"/>
      </w:pPr>
      <w:bookmarkStart w:id="404" w:name="_Toc535396965"/>
      <w:bookmarkStart w:id="405" w:name="_Toc11158365"/>
      <w:bookmarkStart w:id="406" w:name="_Toc51072587"/>
      <w:r>
        <w:t xml:space="preserve">7.2.3. </w:t>
      </w:r>
      <w:r w:rsidRPr="0011050A">
        <w:t>Identification et évaluation des risques</w:t>
      </w:r>
      <w:bookmarkEnd w:id="404"/>
      <w:bookmarkEnd w:id="405"/>
      <w:bookmarkEnd w:id="406"/>
    </w:p>
    <w:p w:rsidR="00764FFF" w:rsidRPr="005E0349" w:rsidRDefault="00764FFF" w:rsidP="00764FFF">
      <w:pPr>
        <w:tabs>
          <w:tab w:val="left" w:pos="4035"/>
        </w:tabs>
        <w:ind w:right="-942"/>
        <w:jc w:val="both"/>
        <w:rPr>
          <w:rFonts w:ascii="Times New Roman" w:hAnsi="Times New Roman"/>
          <w:sz w:val="24"/>
          <w:szCs w:val="24"/>
          <w:lang w:bidi="en-US"/>
        </w:rPr>
      </w:pPr>
      <w:r w:rsidRPr="005E0349">
        <w:rPr>
          <w:rFonts w:ascii="Times New Roman" w:hAnsi="Times New Roman"/>
          <w:sz w:val="24"/>
          <w:szCs w:val="24"/>
          <w:lang w:bidi="en-US"/>
        </w:rPr>
        <w:t>L’identification des risques a été basée sur le retour d’expérience (accidents et maladies professionnelles dans les domaines similaires), la réglementation (code du travail et textes annexes) et les visites de site. Pour l’évaluation des risques, un système de notation a été adopté ; cette cotation est faite dans le but de définir les risques importants et prioriser les actions de prévention.</w:t>
      </w:r>
    </w:p>
    <w:p w:rsidR="00764FFF" w:rsidRPr="005E0349" w:rsidRDefault="00764FFF" w:rsidP="00764FFF">
      <w:pPr>
        <w:ind w:right="-942"/>
        <w:jc w:val="both"/>
        <w:rPr>
          <w:rFonts w:ascii="Times New Roman" w:hAnsi="Times New Roman"/>
          <w:sz w:val="24"/>
          <w:szCs w:val="24"/>
        </w:rPr>
      </w:pPr>
      <w:r w:rsidRPr="005E0349">
        <w:rPr>
          <w:rFonts w:ascii="Times New Roman" w:hAnsi="Times New Roman"/>
          <w:sz w:val="24"/>
          <w:szCs w:val="24"/>
        </w:rPr>
        <w:t xml:space="preserve">Les critères qui ont été pris en compte dans cette évaluation sont : La </w:t>
      </w:r>
      <w:r w:rsidRPr="005E0349">
        <w:rPr>
          <w:rFonts w:ascii="Times New Roman" w:hAnsi="Times New Roman"/>
          <w:sz w:val="24"/>
          <w:szCs w:val="24"/>
          <w:u w:val="single"/>
        </w:rPr>
        <w:t>Probabilité</w:t>
      </w:r>
      <w:r w:rsidRPr="005E0349">
        <w:rPr>
          <w:rFonts w:ascii="Times New Roman" w:hAnsi="Times New Roman"/>
          <w:sz w:val="24"/>
          <w:szCs w:val="24"/>
        </w:rPr>
        <w:t xml:space="preserve"> de la tâche où la fréquence et ou la durée d’exposition sont prises en compte dans l’estimation de la probabilité et la </w:t>
      </w:r>
      <w:r w:rsidRPr="005E0349">
        <w:rPr>
          <w:rFonts w:ascii="Times New Roman" w:hAnsi="Times New Roman"/>
          <w:sz w:val="24"/>
          <w:szCs w:val="24"/>
          <w:u w:val="single"/>
        </w:rPr>
        <w:t>gravité</w:t>
      </w:r>
      <w:r w:rsidRPr="005E0349">
        <w:rPr>
          <w:rFonts w:ascii="Times New Roman" w:hAnsi="Times New Roman"/>
          <w:sz w:val="24"/>
          <w:szCs w:val="24"/>
        </w:rPr>
        <w:t xml:space="preserve"> de l’accident / incident.</w:t>
      </w:r>
    </w:p>
    <w:p w:rsidR="00764FFF" w:rsidRPr="008964DC" w:rsidRDefault="00764FFF" w:rsidP="00764FFF">
      <w:pPr>
        <w:overflowPunct w:val="0"/>
        <w:autoSpaceDE w:val="0"/>
        <w:autoSpaceDN w:val="0"/>
        <w:adjustRightInd w:val="0"/>
        <w:spacing w:after="0" w:line="240" w:lineRule="auto"/>
        <w:ind w:right="-711"/>
        <w:jc w:val="center"/>
        <w:rPr>
          <w:rFonts w:ascii="Times New Roman" w:eastAsia="Times New Roman" w:hAnsi="Times New Roman"/>
          <w:b/>
          <w:bCs/>
          <w:sz w:val="20"/>
          <w:szCs w:val="20"/>
          <w:lang w:eastAsia="fr-FR"/>
        </w:rPr>
      </w:pPr>
      <w:bookmarkStart w:id="407" w:name="_Toc484171880"/>
      <w:bookmarkStart w:id="408" w:name="_Toc501379797"/>
      <w:bookmarkStart w:id="409" w:name="_Toc525312941"/>
      <w:bookmarkStart w:id="410" w:name="_Toc525422000"/>
      <w:bookmarkStart w:id="411" w:name="_Toc11158767"/>
      <w:bookmarkStart w:id="412" w:name="_Toc51074015"/>
      <w:r w:rsidRPr="008964DC">
        <w:rPr>
          <w:rFonts w:ascii="Times New Roman" w:eastAsia="Times New Roman" w:hAnsi="Times New Roman"/>
          <w:b/>
          <w:bCs/>
          <w:sz w:val="20"/>
          <w:szCs w:val="20"/>
          <w:lang w:eastAsia="fr-FR"/>
        </w:rPr>
        <w:t xml:space="preserve">Tableau </w:t>
      </w:r>
      <w:r w:rsidRPr="008964DC">
        <w:rPr>
          <w:rFonts w:ascii="Times New Roman" w:eastAsia="Times New Roman" w:hAnsi="Times New Roman"/>
          <w:b/>
          <w:bCs/>
          <w:sz w:val="20"/>
          <w:szCs w:val="20"/>
          <w:lang w:eastAsia="fr-FR"/>
        </w:rPr>
        <w:fldChar w:fldCharType="begin"/>
      </w:r>
      <w:r w:rsidRPr="008964DC">
        <w:rPr>
          <w:rFonts w:ascii="Times New Roman" w:eastAsia="Times New Roman" w:hAnsi="Times New Roman"/>
          <w:b/>
          <w:bCs/>
          <w:sz w:val="20"/>
          <w:szCs w:val="20"/>
          <w:lang w:eastAsia="fr-FR"/>
        </w:rPr>
        <w:instrText xml:space="preserve"> </w:instrText>
      </w:r>
      <w:r>
        <w:rPr>
          <w:rFonts w:ascii="Times New Roman" w:eastAsia="Times New Roman" w:hAnsi="Times New Roman"/>
          <w:b/>
          <w:bCs/>
          <w:sz w:val="20"/>
          <w:szCs w:val="20"/>
          <w:lang w:eastAsia="fr-FR"/>
        </w:rPr>
        <w:instrText>SEQ</w:instrText>
      </w:r>
      <w:r w:rsidRPr="008964DC">
        <w:rPr>
          <w:rFonts w:ascii="Times New Roman" w:eastAsia="Times New Roman" w:hAnsi="Times New Roman"/>
          <w:b/>
          <w:bCs/>
          <w:sz w:val="20"/>
          <w:szCs w:val="20"/>
          <w:lang w:eastAsia="fr-FR"/>
        </w:rPr>
        <w:instrText xml:space="preserve"> Tableau \* ARABIC </w:instrText>
      </w:r>
      <w:r w:rsidRPr="008964DC">
        <w:rPr>
          <w:rFonts w:ascii="Times New Roman" w:eastAsia="Times New Roman" w:hAnsi="Times New Roman"/>
          <w:b/>
          <w:bCs/>
          <w:sz w:val="20"/>
          <w:szCs w:val="20"/>
          <w:lang w:eastAsia="fr-FR"/>
        </w:rPr>
        <w:fldChar w:fldCharType="separate"/>
      </w:r>
      <w:r w:rsidR="00820701">
        <w:rPr>
          <w:rFonts w:ascii="Times New Roman" w:eastAsia="Times New Roman" w:hAnsi="Times New Roman"/>
          <w:b/>
          <w:bCs/>
          <w:noProof/>
          <w:sz w:val="20"/>
          <w:szCs w:val="20"/>
          <w:lang w:eastAsia="fr-FR"/>
        </w:rPr>
        <w:t>24</w:t>
      </w:r>
      <w:r w:rsidRPr="008964DC">
        <w:rPr>
          <w:rFonts w:ascii="Times New Roman" w:eastAsia="Times New Roman" w:hAnsi="Times New Roman"/>
          <w:b/>
          <w:bCs/>
          <w:sz w:val="20"/>
          <w:szCs w:val="20"/>
          <w:lang w:eastAsia="fr-FR"/>
        </w:rPr>
        <w:fldChar w:fldCharType="end"/>
      </w:r>
      <w:r w:rsidRPr="008964DC">
        <w:rPr>
          <w:rFonts w:ascii="Times New Roman" w:eastAsia="Times New Roman" w:hAnsi="Times New Roman"/>
          <w:b/>
          <w:bCs/>
          <w:sz w:val="20"/>
          <w:szCs w:val="20"/>
          <w:lang w:eastAsia="fr-FR"/>
        </w:rPr>
        <w:t>: Grille d’estimation des niveaux de probabilité et de gravité</w:t>
      </w:r>
      <w:bookmarkEnd w:id="407"/>
      <w:bookmarkEnd w:id="408"/>
      <w:bookmarkEnd w:id="409"/>
      <w:bookmarkEnd w:id="410"/>
      <w:bookmarkEnd w:id="411"/>
      <w:bookmarkEnd w:id="412"/>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38"/>
        <w:gridCol w:w="3106"/>
        <w:gridCol w:w="1272"/>
        <w:gridCol w:w="2964"/>
      </w:tblGrid>
      <w:tr w:rsidR="00764FFF" w:rsidRPr="00AA45E9" w:rsidTr="000C12E5">
        <w:trPr>
          <w:jc w:val="center"/>
        </w:trPr>
        <w:tc>
          <w:tcPr>
            <w:tcW w:w="4344" w:type="dxa"/>
            <w:gridSpan w:val="2"/>
            <w:shd w:val="clear" w:color="auto" w:fill="F2F2F2" w:themeFill="background1" w:themeFillShade="F2"/>
            <w:vAlign w:val="center"/>
          </w:tcPr>
          <w:p w:rsidR="00764FFF" w:rsidRPr="003E743A" w:rsidRDefault="00764FFF" w:rsidP="00764FFF">
            <w:pPr>
              <w:spacing w:after="0" w:line="240" w:lineRule="auto"/>
              <w:jc w:val="center"/>
              <w:rPr>
                <w:rFonts w:ascii="Times New Roman" w:hAnsi="Times New Roman"/>
                <w:sz w:val="20"/>
                <w:szCs w:val="20"/>
              </w:rPr>
            </w:pPr>
            <w:r w:rsidRPr="003E743A">
              <w:rPr>
                <w:rFonts w:ascii="Times New Roman" w:hAnsi="Times New Roman"/>
                <w:sz w:val="20"/>
                <w:szCs w:val="20"/>
              </w:rPr>
              <w:t>Echelle de Probabilité</w:t>
            </w:r>
          </w:p>
        </w:tc>
        <w:tc>
          <w:tcPr>
            <w:tcW w:w="4236" w:type="dxa"/>
            <w:gridSpan w:val="2"/>
            <w:shd w:val="clear" w:color="auto" w:fill="F2F2F2" w:themeFill="background1" w:themeFillShade="F2"/>
            <w:vAlign w:val="center"/>
          </w:tcPr>
          <w:p w:rsidR="00764FFF" w:rsidRPr="003E743A" w:rsidRDefault="00764FFF" w:rsidP="00764FFF">
            <w:pPr>
              <w:spacing w:after="0" w:line="240" w:lineRule="auto"/>
              <w:jc w:val="center"/>
              <w:rPr>
                <w:rFonts w:ascii="Times New Roman" w:hAnsi="Times New Roman"/>
                <w:sz w:val="20"/>
                <w:szCs w:val="20"/>
              </w:rPr>
            </w:pPr>
            <w:r w:rsidRPr="003E743A">
              <w:rPr>
                <w:rFonts w:ascii="Times New Roman" w:hAnsi="Times New Roman"/>
                <w:sz w:val="20"/>
                <w:szCs w:val="20"/>
              </w:rPr>
              <w:t>Echelle de gravité</w:t>
            </w:r>
          </w:p>
        </w:tc>
      </w:tr>
      <w:tr w:rsidR="00764FFF" w:rsidRPr="00AA45E9" w:rsidTr="000C12E5">
        <w:trPr>
          <w:jc w:val="center"/>
        </w:trPr>
        <w:tc>
          <w:tcPr>
            <w:tcW w:w="1238" w:type="dxa"/>
            <w:shd w:val="clear" w:color="auto" w:fill="F2F2F2" w:themeFill="background1" w:themeFillShade="F2"/>
            <w:vAlign w:val="center"/>
          </w:tcPr>
          <w:p w:rsidR="00764FFF" w:rsidRPr="003E743A" w:rsidRDefault="00764FFF" w:rsidP="00764FFF">
            <w:pPr>
              <w:spacing w:after="0" w:line="240" w:lineRule="auto"/>
              <w:jc w:val="center"/>
              <w:rPr>
                <w:rFonts w:ascii="Times New Roman" w:hAnsi="Times New Roman"/>
                <w:sz w:val="20"/>
                <w:szCs w:val="20"/>
              </w:rPr>
            </w:pPr>
            <w:r w:rsidRPr="003E743A">
              <w:rPr>
                <w:rFonts w:ascii="Times New Roman" w:hAnsi="Times New Roman"/>
                <w:sz w:val="20"/>
                <w:szCs w:val="20"/>
              </w:rPr>
              <w:t>Score</w:t>
            </w:r>
          </w:p>
        </w:tc>
        <w:tc>
          <w:tcPr>
            <w:tcW w:w="3106" w:type="dxa"/>
            <w:shd w:val="clear" w:color="auto" w:fill="F2F2F2" w:themeFill="background1" w:themeFillShade="F2"/>
            <w:vAlign w:val="center"/>
          </w:tcPr>
          <w:p w:rsidR="00764FFF" w:rsidRPr="003E743A" w:rsidRDefault="00764FFF" w:rsidP="00764FFF">
            <w:pPr>
              <w:spacing w:after="0" w:line="240" w:lineRule="auto"/>
              <w:jc w:val="center"/>
              <w:rPr>
                <w:rFonts w:ascii="Times New Roman" w:hAnsi="Times New Roman"/>
                <w:sz w:val="20"/>
                <w:szCs w:val="20"/>
              </w:rPr>
            </w:pPr>
            <w:r w:rsidRPr="003E743A">
              <w:rPr>
                <w:rFonts w:ascii="Times New Roman" w:hAnsi="Times New Roman"/>
                <w:sz w:val="20"/>
                <w:szCs w:val="20"/>
              </w:rPr>
              <w:t>Signification</w:t>
            </w:r>
          </w:p>
        </w:tc>
        <w:tc>
          <w:tcPr>
            <w:tcW w:w="1272" w:type="dxa"/>
            <w:shd w:val="clear" w:color="auto" w:fill="F2F2F2" w:themeFill="background1" w:themeFillShade="F2"/>
            <w:vAlign w:val="center"/>
          </w:tcPr>
          <w:p w:rsidR="00764FFF" w:rsidRPr="003E743A" w:rsidRDefault="00764FFF" w:rsidP="00764FFF">
            <w:pPr>
              <w:spacing w:after="0" w:line="240" w:lineRule="auto"/>
              <w:jc w:val="center"/>
              <w:rPr>
                <w:rFonts w:ascii="Times New Roman" w:hAnsi="Times New Roman"/>
                <w:sz w:val="20"/>
                <w:szCs w:val="20"/>
              </w:rPr>
            </w:pPr>
            <w:r w:rsidRPr="003E743A">
              <w:rPr>
                <w:rFonts w:ascii="Times New Roman" w:hAnsi="Times New Roman"/>
                <w:sz w:val="20"/>
                <w:szCs w:val="20"/>
              </w:rPr>
              <w:t>Score</w:t>
            </w:r>
          </w:p>
        </w:tc>
        <w:tc>
          <w:tcPr>
            <w:tcW w:w="2964" w:type="dxa"/>
            <w:shd w:val="clear" w:color="auto" w:fill="F2F2F2" w:themeFill="background1" w:themeFillShade="F2"/>
            <w:vAlign w:val="center"/>
          </w:tcPr>
          <w:p w:rsidR="00764FFF" w:rsidRPr="003E743A" w:rsidRDefault="00764FFF" w:rsidP="00764FFF">
            <w:pPr>
              <w:spacing w:after="0" w:line="240" w:lineRule="auto"/>
              <w:jc w:val="center"/>
              <w:rPr>
                <w:rFonts w:ascii="Times New Roman" w:hAnsi="Times New Roman"/>
                <w:sz w:val="20"/>
                <w:szCs w:val="20"/>
              </w:rPr>
            </w:pPr>
            <w:r w:rsidRPr="003E743A">
              <w:rPr>
                <w:rFonts w:ascii="Times New Roman" w:hAnsi="Times New Roman"/>
                <w:sz w:val="20"/>
                <w:szCs w:val="20"/>
              </w:rPr>
              <w:t>Signification</w:t>
            </w:r>
          </w:p>
        </w:tc>
      </w:tr>
      <w:tr w:rsidR="00764FFF" w:rsidRPr="00AA45E9" w:rsidTr="00764FFF">
        <w:trPr>
          <w:trHeight w:val="294"/>
          <w:jc w:val="center"/>
        </w:trPr>
        <w:tc>
          <w:tcPr>
            <w:tcW w:w="1238" w:type="dxa"/>
            <w:vAlign w:val="center"/>
          </w:tcPr>
          <w:p w:rsidR="00764FFF" w:rsidRPr="003E743A" w:rsidRDefault="00764FFF" w:rsidP="00764FFF">
            <w:pPr>
              <w:spacing w:after="0" w:line="240" w:lineRule="auto"/>
              <w:jc w:val="center"/>
              <w:rPr>
                <w:rFonts w:ascii="Times New Roman" w:hAnsi="Times New Roman"/>
                <w:sz w:val="20"/>
                <w:szCs w:val="20"/>
              </w:rPr>
            </w:pPr>
            <w:r w:rsidRPr="003E743A">
              <w:rPr>
                <w:rFonts w:ascii="Times New Roman" w:hAnsi="Times New Roman"/>
                <w:sz w:val="20"/>
                <w:szCs w:val="20"/>
              </w:rPr>
              <w:t>1</w:t>
            </w:r>
          </w:p>
        </w:tc>
        <w:tc>
          <w:tcPr>
            <w:tcW w:w="3106" w:type="dxa"/>
            <w:vAlign w:val="center"/>
          </w:tcPr>
          <w:p w:rsidR="00764FFF" w:rsidRPr="003E743A" w:rsidRDefault="00764FFF" w:rsidP="00764FFF">
            <w:pPr>
              <w:spacing w:after="0" w:line="240" w:lineRule="auto"/>
              <w:jc w:val="both"/>
              <w:rPr>
                <w:rFonts w:ascii="Times New Roman" w:hAnsi="Times New Roman"/>
                <w:sz w:val="20"/>
                <w:szCs w:val="20"/>
              </w:rPr>
            </w:pPr>
            <w:r w:rsidRPr="003E743A">
              <w:rPr>
                <w:rFonts w:ascii="Times New Roman" w:hAnsi="Times New Roman"/>
                <w:sz w:val="20"/>
                <w:szCs w:val="20"/>
              </w:rPr>
              <w:t>Une fois par 10 ans, Très improbable</w:t>
            </w:r>
          </w:p>
        </w:tc>
        <w:tc>
          <w:tcPr>
            <w:tcW w:w="1272" w:type="dxa"/>
            <w:vAlign w:val="center"/>
          </w:tcPr>
          <w:p w:rsidR="00764FFF" w:rsidRPr="003E743A" w:rsidRDefault="00764FFF" w:rsidP="00764FFF">
            <w:pPr>
              <w:spacing w:after="0" w:line="240" w:lineRule="auto"/>
              <w:jc w:val="center"/>
              <w:rPr>
                <w:rFonts w:ascii="Times New Roman" w:hAnsi="Times New Roman"/>
                <w:sz w:val="20"/>
                <w:szCs w:val="20"/>
              </w:rPr>
            </w:pPr>
            <w:r w:rsidRPr="003E743A">
              <w:rPr>
                <w:rFonts w:ascii="Times New Roman" w:hAnsi="Times New Roman"/>
                <w:sz w:val="20"/>
                <w:szCs w:val="20"/>
              </w:rPr>
              <w:t>1</w:t>
            </w:r>
          </w:p>
        </w:tc>
        <w:tc>
          <w:tcPr>
            <w:tcW w:w="2964" w:type="dxa"/>
            <w:vAlign w:val="center"/>
          </w:tcPr>
          <w:p w:rsidR="00764FFF" w:rsidRPr="003E743A" w:rsidRDefault="00764FFF" w:rsidP="00764FFF">
            <w:pPr>
              <w:spacing w:after="0" w:line="240" w:lineRule="auto"/>
              <w:jc w:val="both"/>
              <w:rPr>
                <w:rFonts w:ascii="Times New Roman" w:hAnsi="Times New Roman"/>
                <w:sz w:val="20"/>
                <w:szCs w:val="20"/>
              </w:rPr>
            </w:pPr>
            <w:r w:rsidRPr="003E743A">
              <w:rPr>
                <w:rFonts w:ascii="Times New Roman" w:hAnsi="Times New Roman"/>
                <w:sz w:val="20"/>
                <w:szCs w:val="20"/>
              </w:rPr>
              <w:t>Lésions réversibles, sans AT</w:t>
            </w:r>
          </w:p>
        </w:tc>
      </w:tr>
      <w:tr w:rsidR="00764FFF" w:rsidRPr="00AA45E9" w:rsidTr="00764FFF">
        <w:trPr>
          <w:jc w:val="center"/>
        </w:trPr>
        <w:tc>
          <w:tcPr>
            <w:tcW w:w="1238" w:type="dxa"/>
            <w:vAlign w:val="center"/>
          </w:tcPr>
          <w:p w:rsidR="00764FFF" w:rsidRPr="003E743A" w:rsidRDefault="00764FFF" w:rsidP="00764FFF">
            <w:pPr>
              <w:spacing w:after="0" w:line="240" w:lineRule="auto"/>
              <w:jc w:val="center"/>
              <w:rPr>
                <w:rFonts w:ascii="Times New Roman" w:hAnsi="Times New Roman"/>
                <w:sz w:val="20"/>
                <w:szCs w:val="20"/>
              </w:rPr>
            </w:pPr>
            <w:r w:rsidRPr="003E743A">
              <w:rPr>
                <w:rFonts w:ascii="Times New Roman" w:hAnsi="Times New Roman"/>
                <w:sz w:val="20"/>
                <w:szCs w:val="20"/>
              </w:rPr>
              <w:t>2</w:t>
            </w:r>
          </w:p>
        </w:tc>
        <w:tc>
          <w:tcPr>
            <w:tcW w:w="3106" w:type="dxa"/>
            <w:vAlign w:val="center"/>
          </w:tcPr>
          <w:p w:rsidR="00764FFF" w:rsidRPr="003E743A" w:rsidRDefault="00764FFF" w:rsidP="00764FFF">
            <w:pPr>
              <w:spacing w:after="0" w:line="240" w:lineRule="auto"/>
              <w:jc w:val="both"/>
              <w:rPr>
                <w:rFonts w:ascii="Times New Roman" w:hAnsi="Times New Roman"/>
                <w:sz w:val="20"/>
                <w:szCs w:val="20"/>
              </w:rPr>
            </w:pPr>
            <w:r w:rsidRPr="003E743A">
              <w:rPr>
                <w:rFonts w:ascii="Times New Roman" w:hAnsi="Times New Roman"/>
                <w:sz w:val="20"/>
                <w:szCs w:val="20"/>
              </w:rPr>
              <w:t>Une fois par an, Improbable</w:t>
            </w:r>
          </w:p>
        </w:tc>
        <w:tc>
          <w:tcPr>
            <w:tcW w:w="1272" w:type="dxa"/>
            <w:vAlign w:val="center"/>
          </w:tcPr>
          <w:p w:rsidR="00764FFF" w:rsidRPr="003E743A" w:rsidRDefault="00764FFF" w:rsidP="00764FFF">
            <w:pPr>
              <w:spacing w:after="0" w:line="240" w:lineRule="auto"/>
              <w:jc w:val="center"/>
              <w:rPr>
                <w:rFonts w:ascii="Times New Roman" w:hAnsi="Times New Roman"/>
                <w:sz w:val="20"/>
                <w:szCs w:val="20"/>
              </w:rPr>
            </w:pPr>
            <w:r w:rsidRPr="003E743A">
              <w:rPr>
                <w:rFonts w:ascii="Times New Roman" w:hAnsi="Times New Roman"/>
                <w:sz w:val="20"/>
                <w:szCs w:val="20"/>
              </w:rPr>
              <w:t>2</w:t>
            </w:r>
          </w:p>
        </w:tc>
        <w:tc>
          <w:tcPr>
            <w:tcW w:w="2964" w:type="dxa"/>
            <w:vAlign w:val="center"/>
          </w:tcPr>
          <w:p w:rsidR="00764FFF" w:rsidRPr="003E743A" w:rsidRDefault="00764FFF" w:rsidP="00764FFF">
            <w:pPr>
              <w:spacing w:after="0" w:line="240" w:lineRule="auto"/>
              <w:jc w:val="both"/>
              <w:rPr>
                <w:rFonts w:ascii="Times New Roman" w:hAnsi="Times New Roman"/>
                <w:sz w:val="20"/>
                <w:szCs w:val="20"/>
              </w:rPr>
            </w:pPr>
            <w:r w:rsidRPr="003E743A">
              <w:rPr>
                <w:rFonts w:ascii="Times New Roman" w:hAnsi="Times New Roman"/>
                <w:sz w:val="20"/>
                <w:szCs w:val="20"/>
              </w:rPr>
              <w:t>Lésions réversibles, avec AT</w:t>
            </w:r>
          </w:p>
        </w:tc>
      </w:tr>
      <w:tr w:rsidR="00764FFF" w:rsidRPr="00AA45E9" w:rsidTr="00764FFF">
        <w:trPr>
          <w:trHeight w:val="431"/>
          <w:jc w:val="center"/>
        </w:trPr>
        <w:tc>
          <w:tcPr>
            <w:tcW w:w="1238" w:type="dxa"/>
            <w:vAlign w:val="center"/>
          </w:tcPr>
          <w:p w:rsidR="00764FFF" w:rsidRPr="003E743A" w:rsidRDefault="00764FFF" w:rsidP="00764FFF">
            <w:pPr>
              <w:spacing w:after="0" w:line="240" w:lineRule="auto"/>
              <w:jc w:val="center"/>
              <w:rPr>
                <w:rFonts w:ascii="Times New Roman" w:hAnsi="Times New Roman"/>
                <w:sz w:val="20"/>
                <w:szCs w:val="20"/>
              </w:rPr>
            </w:pPr>
            <w:r w:rsidRPr="003E743A">
              <w:rPr>
                <w:rFonts w:ascii="Times New Roman" w:hAnsi="Times New Roman"/>
                <w:sz w:val="20"/>
                <w:szCs w:val="20"/>
              </w:rPr>
              <w:t>3</w:t>
            </w:r>
          </w:p>
        </w:tc>
        <w:tc>
          <w:tcPr>
            <w:tcW w:w="3106" w:type="dxa"/>
            <w:vAlign w:val="center"/>
          </w:tcPr>
          <w:p w:rsidR="00764FFF" w:rsidRPr="003E743A" w:rsidRDefault="00764FFF" w:rsidP="00764FFF">
            <w:pPr>
              <w:spacing w:after="0" w:line="240" w:lineRule="auto"/>
              <w:jc w:val="both"/>
              <w:rPr>
                <w:rFonts w:ascii="Times New Roman" w:hAnsi="Times New Roman"/>
                <w:sz w:val="20"/>
                <w:szCs w:val="20"/>
              </w:rPr>
            </w:pPr>
            <w:r w:rsidRPr="003E743A">
              <w:rPr>
                <w:rFonts w:ascii="Times New Roman" w:hAnsi="Times New Roman"/>
                <w:sz w:val="20"/>
                <w:szCs w:val="20"/>
              </w:rPr>
              <w:t>Une fois par mois, Probable</w:t>
            </w:r>
          </w:p>
        </w:tc>
        <w:tc>
          <w:tcPr>
            <w:tcW w:w="1272" w:type="dxa"/>
            <w:vAlign w:val="center"/>
          </w:tcPr>
          <w:p w:rsidR="00764FFF" w:rsidRPr="003E743A" w:rsidRDefault="00764FFF" w:rsidP="00764FFF">
            <w:pPr>
              <w:spacing w:after="0" w:line="240" w:lineRule="auto"/>
              <w:jc w:val="center"/>
              <w:rPr>
                <w:rFonts w:ascii="Times New Roman" w:hAnsi="Times New Roman"/>
                <w:sz w:val="20"/>
                <w:szCs w:val="20"/>
              </w:rPr>
            </w:pPr>
            <w:r w:rsidRPr="003E743A">
              <w:rPr>
                <w:rFonts w:ascii="Times New Roman" w:hAnsi="Times New Roman"/>
                <w:sz w:val="20"/>
                <w:szCs w:val="20"/>
              </w:rPr>
              <w:t>3</w:t>
            </w:r>
          </w:p>
        </w:tc>
        <w:tc>
          <w:tcPr>
            <w:tcW w:w="2964" w:type="dxa"/>
            <w:vAlign w:val="center"/>
          </w:tcPr>
          <w:p w:rsidR="00764FFF" w:rsidRPr="003E743A" w:rsidRDefault="00764FFF" w:rsidP="00764FFF">
            <w:pPr>
              <w:spacing w:after="0" w:line="240" w:lineRule="auto"/>
              <w:jc w:val="both"/>
              <w:rPr>
                <w:rFonts w:ascii="Times New Roman" w:hAnsi="Times New Roman"/>
                <w:sz w:val="20"/>
                <w:szCs w:val="20"/>
              </w:rPr>
            </w:pPr>
            <w:r w:rsidRPr="003E743A">
              <w:rPr>
                <w:rFonts w:ascii="Times New Roman" w:hAnsi="Times New Roman"/>
                <w:sz w:val="20"/>
                <w:szCs w:val="20"/>
              </w:rPr>
              <w:t>Lésions irréversibles, Incapacité permanente</w:t>
            </w:r>
          </w:p>
        </w:tc>
      </w:tr>
      <w:tr w:rsidR="00764FFF" w:rsidRPr="00AA45E9" w:rsidTr="00764FFF">
        <w:trPr>
          <w:trHeight w:val="112"/>
          <w:jc w:val="center"/>
        </w:trPr>
        <w:tc>
          <w:tcPr>
            <w:tcW w:w="1238" w:type="dxa"/>
            <w:vAlign w:val="center"/>
          </w:tcPr>
          <w:p w:rsidR="00764FFF" w:rsidRPr="003E743A" w:rsidRDefault="00764FFF" w:rsidP="00764FFF">
            <w:pPr>
              <w:spacing w:after="0" w:line="240" w:lineRule="auto"/>
              <w:jc w:val="center"/>
              <w:rPr>
                <w:rFonts w:ascii="Times New Roman" w:hAnsi="Times New Roman"/>
                <w:sz w:val="20"/>
                <w:szCs w:val="20"/>
              </w:rPr>
            </w:pPr>
            <w:r w:rsidRPr="003E743A">
              <w:rPr>
                <w:rFonts w:ascii="Times New Roman" w:hAnsi="Times New Roman"/>
                <w:sz w:val="20"/>
                <w:szCs w:val="20"/>
              </w:rPr>
              <w:lastRenderedPageBreak/>
              <w:t>4</w:t>
            </w:r>
          </w:p>
        </w:tc>
        <w:tc>
          <w:tcPr>
            <w:tcW w:w="3106" w:type="dxa"/>
            <w:vAlign w:val="center"/>
          </w:tcPr>
          <w:p w:rsidR="00764FFF" w:rsidRPr="003E743A" w:rsidRDefault="00764FFF" w:rsidP="00764FFF">
            <w:pPr>
              <w:spacing w:after="0" w:line="240" w:lineRule="auto"/>
              <w:jc w:val="both"/>
              <w:rPr>
                <w:rFonts w:ascii="Times New Roman" w:hAnsi="Times New Roman"/>
                <w:sz w:val="20"/>
                <w:szCs w:val="20"/>
              </w:rPr>
            </w:pPr>
            <w:r w:rsidRPr="003E743A">
              <w:rPr>
                <w:rFonts w:ascii="Times New Roman" w:hAnsi="Times New Roman"/>
                <w:sz w:val="20"/>
                <w:szCs w:val="20"/>
              </w:rPr>
              <w:t>Une fois par semaine ou plus, Très probable</w:t>
            </w:r>
          </w:p>
        </w:tc>
        <w:tc>
          <w:tcPr>
            <w:tcW w:w="1272" w:type="dxa"/>
            <w:vAlign w:val="center"/>
          </w:tcPr>
          <w:p w:rsidR="00764FFF" w:rsidRPr="003E743A" w:rsidRDefault="00764FFF" w:rsidP="00764FFF">
            <w:pPr>
              <w:spacing w:after="0" w:line="240" w:lineRule="auto"/>
              <w:jc w:val="center"/>
              <w:rPr>
                <w:rFonts w:ascii="Times New Roman" w:hAnsi="Times New Roman"/>
                <w:sz w:val="20"/>
                <w:szCs w:val="20"/>
              </w:rPr>
            </w:pPr>
            <w:r w:rsidRPr="003E743A">
              <w:rPr>
                <w:rFonts w:ascii="Times New Roman" w:hAnsi="Times New Roman"/>
                <w:sz w:val="20"/>
                <w:szCs w:val="20"/>
              </w:rPr>
              <w:t>4</w:t>
            </w:r>
          </w:p>
        </w:tc>
        <w:tc>
          <w:tcPr>
            <w:tcW w:w="2964" w:type="dxa"/>
            <w:vAlign w:val="center"/>
          </w:tcPr>
          <w:p w:rsidR="00764FFF" w:rsidRPr="003E743A" w:rsidRDefault="00764FFF" w:rsidP="00764FFF">
            <w:pPr>
              <w:spacing w:after="0" w:line="240" w:lineRule="auto"/>
              <w:jc w:val="both"/>
              <w:rPr>
                <w:rFonts w:ascii="Times New Roman" w:hAnsi="Times New Roman"/>
                <w:sz w:val="20"/>
                <w:szCs w:val="20"/>
              </w:rPr>
            </w:pPr>
            <w:r w:rsidRPr="003E743A">
              <w:rPr>
                <w:rFonts w:ascii="Times New Roman" w:hAnsi="Times New Roman"/>
                <w:sz w:val="20"/>
                <w:szCs w:val="20"/>
              </w:rPr>
              <w:t>Décès</w:t>
            </w:r>
          </w:p>
        </w:tc>
      </w:tr>
    </w:tbl>
    <w:p w:rsidR="00764FFF" w:rsidRPr="003E743A" w:rsidRDefault="00764FFF" w:rsidP="00764FFF">
      <w:pPr>
        <w:jc w:val="both"/>
        <w:rPr>
          <w:rFonts w:ascii="Times New Roman" w:hAnsi="Times New Roman"/>
          <w:b/>
          <w:u w:val="single"/>
          <w:lang w:bidi="en-US"/>
        </w:rPr>
      </w:pPr>
    </w:p>
    <w:p w:rsidR="00764FFF" w:rsidRDefault="00764FFF" w:rsidP="00764FFF">
      <w:pPr>
        <w:spacing w:after="200" w:line="276" w:lineRule="auto"/>
        <w:ind w:right="-942"/>
        <w:jc w:val="both"/>
        <w:rPr>
          <w:rFonts w:ascii="Times New Roman" w:hAnsi="Times New Roman"/>
          <w:sz w:val="24"/>
          <w:szCs w:val="24"/>
        </w:rPr>
      </w:pPr>
      <w:r w:rsidRPr="005E0349">
        <w:rPr>
          <w:rFonts w:ascii="Times New Roman" w:hAnsi="Times New Roman"/>
          <w:sz w:val="24"/>
          <w:szCs w:val="24"/>
        </w:rPr>
        <w:t xml:space="preserve">Le risque est évalué par la formule : R (risque) = G (gravité) × P (probabilité), une "matrice de criticité" est établie et permet de voir les </w:t>
      </w:r>
      <w:r w:rsidRPr="005E0349">
        <w:rPr>
          <w:rFonts w:ascii="Times New Roman" w:hAnsi="Times New Roman"/>
          <w:sz w:val="24"/>
          <w:szCs w:val="24"/>
          <w:u w:val="single"/>
        </w:rPr>
        <w:t>risques acceptables</w:t>
      </w:r>
      <w:r w:rsidRPr="005E0349">
        <w:rPr>
          <w:rFonts w:ascii="Times New Roman" w:hAnsi="Times New Roman"/>
          <w:sz w:val="24"/>
          <w:szCs w:val="24"/>
        </w:rPr>
        <w:t xml:space="preserve"> et les </w:t>
      </w:r>
      <w:r w:rsidRPr="005E0349">
        <w:rPr>
          <w:rFonts w:ascii="Times New Roman" w:hAnsi="Times New Roman"/>
          <w:sz w:val="24"/>
          <w:szCs w:val="24"/>
          <w:u w:val="single"/>
        </w:rPr>
        <w:t>risques non acceptables</w:t>
      </w:r>
      <w:r w:rsidRPr="005E0349">
        <w:rPr>
          <w:rFonts w:ascii="Times New Roman" w:hAnsi="Times New Roman"/>
          <w:sz w:val="24"/>
          <w:szCs w:val="24"/>
        </w:rPr>
        <w:t xml:space="preserve"> mais également la priorisation des actions qui vont de 1 à 3.</w:t>
      </w:r>
    </w:p>
    <w:p w:rsidR="00764FFF" w:rsidRPr="008964DC" w:rsidRDefault="00764FFF" w:rsidP="00764FFF">
      <w:pPr>
        <w:overflowPunct w:val="0"/>
        <w:autoSpaceDE w:val="0"/>
        <w:autoSpaceDN w:val="0"/>
        <w:adjustRightInd w:val="0"/>
        <w:spacing w:after="0" w:line="240" w:lineRule="auto"/>
        <w:ind w:right="-711"/>
        <w:jc w:val="center"/>
        <w:rPr>
          <w:rFonts w:ascii="Times New Roman" w:eastAsia="Times New Roman" w:hAnsi="Times New Roman"/>
          <w:b/>
          <w:bCs/>
          <w:sz w:val="20"/>
          <w:szCs w:val="20"/>
          <w:lang w:eastAsia="fr-FR"/>
        </w:rPr>
      </w:pPr>
      <w:bookmarkStart w:id="413" w:name="_Toc484171881"/>
      <w:bookmarkStart w:id="414" w:name="_Toc501379798"/>
      <w:bookmarkStart w:id="415" w:name="_Toc525312942"/>
      <w:bookmarkStart w:id="416" w:name="_Toc525422001"/>
      <w:bookmarkStart w:id="417" w:name="_Toc11158768"/>
      <w:bookmarkStart w:id="418" w:name="_Toc51074016"/>
      <w:r w:rsidRPr="008964DC">
        <w:rPr>
          <w:rFonts w:ascii="Times New Roman" w:eastAsia="Times New Roman" w:hAnsi="Times New Roman"/>
          <w:b/>
          <w:bCs/>
          <w:sz w:val="20"/>
          <w:szCs w:val="20"/>
          <w:lang w:eastAsia="fr-FR"/>
        </w:rPr>
        <w:t xml:space="preserve">Tableau </w:t>
      </w:r>
      <w:r w:rsidRPr="008964DC">
        <w:rPr>
          <w:rFonts w:ascii="Times New Roman" w:eastAsia="Times New Roman" w:hAnsi="Times New Roman"/>
          <w:b/>
          <w:bCs/>
          <w:sz w:val="20"/>
          <w:szCs w:val="20"/>
          <w:lang w:eastAsia="fr-FR"/>
        </w:rPr>
        <w:fldChar w:fldCharType="begin"/>
      </w:r>
      <w:r w:rsidRPr="008964DC">
        <w:rPr>
          <w:rFonts w:ascii="Times New Roman" w:eastAsia="Times New Roman" w:hAnsi="Times New Roman"/>
          <w:b/>
          <w:bCs/>
          <w:sz w:val="20"/>
          <w:szCs w:val="20"/>
          <w:lang w:eastAsia="fr-FR"/>
        </w:rPr>
        <w:instrText xml:space="preserve"> </w:instrText>
      </w:r>
      <w:r>
        <w:rPr>
          <w:rFonts w:ascii="Times New Roman" w:eastAsia="Times New Roman" w:hAnsi="Times New Roman"/>
          <w:b/>
          <w:bCs/>
          <w:sz w:val="20"/>
          <w:szCs w:val="20"/>
          <w:lang w:eastAsia="fr-FR"/>
        </w:rPr>
        <w:instrText>SEQ</w:instrText>
      </w:r>
      <w:r w:rsidRPr="008964DC">
        <w:rPr>
          <w:rFonts w:ascii="Times New Roman" w:eastAsia="Times New Roman" w:hAnsi="Times New Roman"/>
          <w:b/>
          <w:bCs/>
          <w:sz w:val="20"/>
          <w:szCs w:val="20"/>
          <w:lang w:eastAsia="fr-FR"/>
        </w:rPr>
        <w:instrText xml:space="preserve"> Tableau \* ARABIC </w:instrText>
      </w:r>
      <w:r w:rsidRPr="008964DC">
        <w:rPr>
          <w:rFonts w:ascii="Times New Roman" w:eastAsia="Times New Roman" w:hAnsi="Times New Roman"/>
          <w:b/>
          <w:bCs/>
          <w:sz w:val="20"/>
          <w:szCs w:val="20"/>
          <w:lang w:eastAsia="fr-FR"/>
        </w:rPr>
        <w:fldChar w:fldCharType="separate"/>
      </w:r>
      <w:r w:rsidR="00820701">
        <w:rPr>
          <w:rFonts w:ascii="Times New Roman" w:eastAsia="Times New Roman" w:hAnsi="Times New Roman"/>
          <w:b/>
          <w:bCs/>
          <w:noProof/>
          <w:sz w:val="20"/>
          <w:szCs w:val="20"/>
          <w:lang w:eastAsia="fr-FR"/>
        </w:rPr>
        <w:t>25</w:t>
      </w:r>
      <w:r w:rsidRPr="008964DC">
        <w:rPr>
          <w:rFonts w:ascii="Times New Roman" w:eastAsia="Times New Roman" w:hAnsi="Times New Roman"/>
          <w:b/>
          <w:bCs/>
          <w:sz w:val="20"/>
          <w:szCs w:val="20"/>
          <w:lang w:eastAsia="fr-FR"/>
        </w:rPr>
        <w:fldChar w:fldCharType="end"/>
      </w:r>
      <w:r w:rsidRPr="008964DC">
        <w:rPr>
          <w:rFonts w:ascii="Times New Roman" w:eastAsia="Times New Roman" w:hAnsi="Times New Roman"/>
          <w:b/>
          <w:bCs/>
          <w:sz w:val="20"/>
          <w:szCs w:val="20"/>
          <w:lang w:eastAsia="fr-FR"/>
        </w:rPr>
        <w:t>: Matrice de criticité</w:t>
      </w:r>
      <w:bookmarkEnd w:id="413"/>
      <w:bookmarkEnd w:id="414"/>
      <w:bookmarkEnd w:id="415"/>
      <w:bookmarkEnd w:id="416"/>
      <w:bookmarkEnd w:id="417"/>
      <w:bookmarkEnd w:id="418"/>
    </w:p>
    <w:tbl>
      <w:tblPr>
        <w:tblW w:w="263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0"/>
        <w:gridCol w:w="952"/>
        <w:gridCol w:w="892"/>
        <w:gridCol w:w="850"/>
        <w:gridCol w:w="993"/>
      </w:tblGrid>
      <w:tr w:rsidR="00764FFF" w:rsidRPr="00AA45E9" w:rsidTr="00764FFF">
        <w:trPr>
          <w:trHeight w:val="124"/>
          <w:jc w:val="center"/>
        </w:trPr>
        <w:tc>
          <w:tcPr>
            <w:tcW w:w="1281" w:type="pct"/>
            <w:vAlign w:val="center"/>
          </w:tcPr>
          <w:p w:rsidR="00764FFF" w:rsidRPr="003E743A" w:rsidRDefault="00764FFF" w:rsidP="00764FFF">
            <w:pPr>
              <w:tabs>
                <w:tab w:val="left" w:pos="418"/>
              </w:tabs>
              <w:spacing w:after="0" w:line="240" w:lineRule="auto"/>
              <w:jc w:val="both"/>
              <w:rPr>
                <w:rFonts w:ascii="Times New Roman" w:hAnsi="Times New Roman"/>
              </w:rPr>
            </w:pPr>
          </w:p>
        </w:tc>
        <w:tc>
          <w:tcPr>
            <w:tcW w:w="960" w:type="pct"/>
            <w:tcBorders>
              <w:bottom w:val="single" w:sz="4" w:space="0" w:color="auto"/>
            </w:tcBorders>
            <w:shd w:val="clear" w:color="auto" w:fill="auto"/>
            <w:vAlign w:val="center"/>
          </w:tcPr>
          <w:p w:rsidR="00764FFF" w:rsidRPr="003E743A" w:rsidRDefault="00764FFF" w:rsidP="00764FFF">
            <w:pPr>
              <w:tabs>
                <w:tab w:val="left" w:pos="418"/>
              </w:tabs>
              <w:spacing w:after="0" w:line="240" w:lineRule="auto"/>
              <w:jc w:val="both"/>
              <w:rPr>
                <w:rFonts w:ascii="Times New Roman" w:hAnsi="Times New Roman"/>
              </w:rPr>
            </w:pPr>
            <w:r w:rsidRPr="003E743A">
              <w:rPr>
                <w:rFonts w:ascii="Times New Roman" w:hAnsi="Times New Roman"/>
              </w:rPr>
              <w:t>P1</w:t>
            </w:r>
          </w:p>
        </w:tc>
        <w:tc>
          <w:tcPr>
            <w:tcW w:w="900" w:type="pct"/>
            <w:tcBorders>
              <w:bottom w:val="single" w:sz="4" w:space="0" w:color="auto"/>
            </w:tcBorders>
            <w:shd w:val="clear" w:color="auto" w:fill="auto"/>
            <w:vAlign w:val="center"/>
          </w:tcPr>
          <w:p w:rsidR="00764FFF" w:rsidRPr="003E743A" w:rsidRDefault="00764FFF" w:rsidP="00764FFF">
            <w:pPr>
              <w:tabs>
                <w:tab w:val="left" w:pos="418"/>
              </w:tabs>
              <w:spacing w:after="0" w:line="240" w:lineRule="auto"/>
              <w:jc w:val="both"/>
              <w:rPr>
                <w:rFonts w:ascii="Times New Roman" w:hAnsi="Times New Roman"/>
              </w:rPr>
            </w:pPr>
            <w:r w:rsidRPr="003E743A">
              <w:rPr>
                <w:rFonts w:ascii="Times New Roman" w:hAnsi="Times New Roman"/>
              </w:rPr>
              <w:t>P2</w:t>
            </w:r>
          </w:p>
        </w:tc>
        <w:tc>
          <w:tcPr>
            <w:tcW w:w="857" w:type="pct"/>
            <w:tcBorders>
              <w:bottom w:val="single" w:sz="4" w:space="0" w:color="auto"/>
            </w:tcBorders>
            <w:shd w:val="clear" w:color="auto" w:fill="auto"/>
            <w:vAlign w:val="center"/>
          </w:tcPr>
          <w:p w:rsidR="00764FFF" w:rsidRPr="003E743A" w:rsidRDefault="00764FFF" w:rsidP="00764FFF">
            <w:pPr>
              <w:tabs>
                <w:tab w:val="left" w:pos="418"/>
              </w:tabs>
              <w:spacing w:after="0" w:line="240" w:lineRule="auto"/>
              <w:jc w:val="both"/>
              <w:rPr>
                <w:rFonts w:ascii="Times New Roman" w:hAnsi="Times New Roman"/>
              </w:rPr>
            </w:pPr>
            <w:r w:rsidRPr="003E743A">
              <w:rPr>
                <w:rFonts w:ascii="Times New Roman" w:hAnsi="Times New Roman"/>
              </w:rPr>
              <w:t>P3</w:t>
            </w:r>
          </w:p>
        </w:tc>
        <w:tc>
          <w:tcPr>
            <w:tcW w:w="1002" w:type="pct"/>
            <w:tcBorders>
              <w:bottom w:val="single" w:sz="4" w:space="0" w:color="auto"/>
            </w:tcBorders>
            <w:shd w:val="clear" w:color="auto" w:fill="auto"/>
            <w:vAlign w:val="center"/>
          </w:tcPr>
          <w:p w:rsidR="00764FFF" w:rsidRPr="003E743A" w:rsidRDefault="00764FFF" w:rsidP="00764FFF">
            <w:pPr>
              <w:tabs>
                <w:tab w:val="left" w:pos="418"/>
              </w:tabs>
              <w:spacing w:after="0" w:line="240" w:lineRule="auto"/>
              <w:jc w:val="both"/>
              <w:rPr>
                <w:rFonts w:ascii="Times New Roman" w:hAnsi="Times New Roman"/>
              </w:rPr>
            </w:pPr>
            <w:r w:rsidRPr="003E743A">
              <w:rPr>
                <w:rFonts w:ascii="Times New Roman" w:hAnsi="Times New Roman"/>
              </w:rPr>
              <w:t>P4</w:t>
            </w:r>
          </w:p>
        </w:tc>
      </w:tr>
      <w:tr w:rsidR="00764FFF" w:rsidRPr="00AA45E9" w:rsidTr="00764FFF">
        <w:trPr>
          <w:trHeight w:val="284"/>
          <w:jc w:val="center"/>
        </w:trPr>
        <w:tc>
          <w:tcPr>
            <w:tcW w:w="1281" w:type="pct"/>
            <w:vAlign w:val="center"/>
          </w:tcPr>
          <w:p w:rsidR="00764FFF" w:rsidRPr="003E743A" w:rsidRDefault="00764FFF" w:rsidP="00764FFF">
            <w:pPr>
              <w:tabs>
                <w:tab w:val="left" w:pos="418"/>
              </w:tabs>
              <w:spacing w:after="0" w:line="240" w:lineRule="auto"/>
              <w:jc w:val="both"/>
              <w:rPr>
                <w:rFonts w:ascii="Times New Roman" w:hAnsi="Times New Roman"/>
              </w:rPr>
            </w:pPr>
            <w:r w:rsidRPr="003E743A">
              <w:rPr>
                <w:rFonts w:ascii="Times New Roman" w:hAnsi="Times New Roman"/>
              </w:rPr>
              <w:t>G4</w:t>
            </w:r>
          </w:p>
        </w:tc>
        <w:tc>
          <w:tcPr>
            <w:tcW w:w="960" w:type="pct"/>
            <w:tcBorders>
              <w:bottom w:val="single" w:sz="4" w:space="0" w:color="auto"/>
            </w:tcBorders>
            <w:shd w:val="clear" w:color="auto" w:fill="FFFF00"/>
            <w:vAlign w:val="center"/>
          </w:tcPr>
          <w:p w:rsidR="00764FFF" w:rsidRPr="003E743A" w:rsidRDefault="00764FFF" w:rsidP="00764FFF">
            <w:pPr>
              <w:spacing w:after="0" w:line="240" w:lineRule="auto"/>
              <w:ind w:right="170"/>
              <w:jc w:val="both"/>
              <w:rPr>
                <w:rFonts w:ascii="Times New Roman" w:hAnsi="Times New Roman"/>
              </w:rPr>
            </w:pPr>
            <w:r w:rsidRPr="003E743A">
              <w:rPr>
                <w:rFonts w:ascii="Times New Roman" w:hAnsi="Times New Roman"/>
              </w:rPr>
              <w:t>41</w:t>
            </w:r>
          </w:p>
        </w:tc>
        <w:tc>
          <w:tcPr>
            <w:tcW w:w="900" w:type="pct"/>
            <w:shd w:val="clear" w:color="auto" w:fill="FFFF00"/>
            <w:vAlign w:val="center"/>
          </w:tcPr>
          <w:p w:rsidR="00764FFF" w:rsidRPr="003E743A" w:rsidRDefault="00764FFF" w:rsidP="00764FFF">
            <w:pPr>
              <w:spacing w:after="0" w:line="240" w:lineRule="auto"/>
              <w:ind w:right="170"/>
              <w:jc w:val="both"/>
              <w:rPr>
                <w:rFonts w:ascii="Times New Roman" w:hAnsi="Times New Roman"/>
              </w:rPr>
            </w:pPr>
            <w:r w:rsidRPr="003E743A">
              <w:rPr>
                <w:rFonts w:ascii="Times New Roman" w:hAnsi="Times New Roman"/>
              </w:rPr>
              <w:t>42</w:t>
            </w:r>
          </w:p>
        </w:tc>
        <w:tc>
          <w:tcPr>
            <w:tcW w:w="857" w:type="pct"/>
            <w:shd w:val="clear" w:color="auto" w:fill="FF0000"/>
            <w:vAlign w:val="center"/>
          </w:tcPr>
          <w:p w:rsidR="00764FFF" w:rsidRPr="003E743A" w:rsidRDefault="00764FFF" w:rsidP="00764FFF">
            <w:pPr>
              <w:tabs>
                <w:tab w:val="left" w:pos="418"/>
              </w:tabs>
              <w:spacing w:after="0" w:line="240" w:lineRule="auto"/>
              <w:ind w:right="-18"/>
              <w:jc w:val="both"/>
              <w:rPr>
                <w:rFonts w:ascii="Times New Roman" w:hAnsi="Times New Roman"/>
              </w:rPr>
            </w:pPr>
            <w:r w:rsidRPr="003E743A">
              <w:rPr>
                <w:rFonts w:ascii="Times New Roman" w:hAnsi="Times New Roman"/>
              </w:rPr>
              <w:t>43</w:t>
            </w:r>
          </w:p>
        </w:tc>
        <w:tc>
          <w:tcPr>
            <w:tcW w:w="1002" w:type="pct"/>
            <w:shd w:val="clear" w:color="auto" w:fill="FF0000"/>
            <w:vAlign w:val="center"/>
          </w:tcPr>
          <w:p w:rsidR="00764FFF" w:rsidRPr="003E743A" w:rsidRDefault="00764FFF" w:rsidP="00764FFF">
            <w:pPr>
              <w:tabs>
                <w:tab w:val="left" w:pos="418"/>
              </w:tabs>
              <w:spacing w:after="0" w:line="240" w:lineRule="auto"/>
              <w:ind w:right="-18"/>
              <w:jc w:val="both"/>
              <w:rPr>
                <w:rFonts w:ascii="Times New Roman" w:hAnsi="Times New Roman"/>
              </w:rPr>
            </w:pPr>
            <w:r w:rsidRPr="003E743A">
              <w:rPr>
                <w:rFonts w:ascii="Times New Roman" w:hAnsi="Times New Roman"/>
              </w:rPr>
              <w:t>44</w:t>
            </w:r>
          </w:p>
        </w:tc>
      </w:tr>
      <w:tr w:rsidR="00764FFF" w:rsidRPr="00AA45E9" w:rsidTr="00764FFF">
        <w:trPr>
          <w:trHeight w:val="274"/>
          <w:jc w:val="center"/>
        </w:trPr>
        <w:tc>
          <w:tcPr>
            <w:tcW w:w="1281" w:type="pct"/>
            <w:vAlign w:val="center"/>
          </w:tcPr>
          <w:p w:rsidR="00764FFF" w:rsidRPr="003E743A" w:rsidRDefault="00764FFF" w:rsidP="00764FFF">
            <w:pPr>
              <w:tabs>
                <w:tab w:val="left" w:pos="418"/>
              </w:tabs>
              <w:spacing w:after="0" w:line="240" w:lineRule="auto"/>
              <w:jc w:val="both"/>
              <w:rPr>
                <w:rFonts w:ascii="Times New Roman" w:hAnsi="Times New Roman"/>
              </w:rPr>
            </w:pPr>
            <w:r w:rsidRPr="003E743A">
              <w:rPr>
                <w:rFonts w:ascii="Times New Roman" w:hAnsi="Times New Roman"/>
              </w:rPr>
              <w:t>G3</w:t>
            </w:r>
          </w:p>
        </w:tc>
        <w:tc>
          <w:tcPr>
            <w:tcW w:w="960" w:type="pct"/>
            <w:shd w:val="clear" w:color="auto" w:fill="00FF00"/>
            <w:vAlign w:val="center"/>
          </w:tcPr>
          <w:p w:rsidR="00764FFF" w:rsidRPr="003E743A" w:rsidRDefault="00764FFF" w:rsidP="00764FFF">
            <w:pPr>
              <w:spacing w:after="0" w:line="240" w:lineRule="auto"/>
              <w:ind w:right="170"/>
              <w:jc w:val="both"/>
              <w:rPr>
                <w:rFonts w:ascii="Times New Roman" w:hAnsi="Times New Roman"/>
              </w:rPr>
            </w:pPr>
            <w:r w:rsidRPr="003E743A">
              <w:rPr>
                <w:rFonts w:ascii="Times New Roman" w:hAnsi="Times New Roman"/>
              </w:rPr>
              <w:t>31</w:t>
            </w:r>
          </w:p>
        </w:tc>
        <w:tc>
          <w:tcPr>
            <w:tcW w:w="900" w:type="pct"/>
            <w:tcBorders>
              <w:bottom w:val="single" w:sz="4" w:space="0" w:color="auto"/>
            </w:tcBorders>
            <w:shd w:val="clear" w:color="auto" w:fill="FFFF00"/>
            <w:vAlign w:val="center"/>
          </w:tcPr>
          <w:p w:rsidR="00764FFF" w:rsidRPr="003E743A" w:rsidRDefault="00764FFF" w:rsidP="00764FFF">
            <w:pPr>
              <w:spacing w:after="0" w:line="240" w:lineRule="auto"/>
              <w:ind w:right="170"/>
              <w:jc w:val="both"/>
              <w:rPr>
                <w:rFonts w:ascii="Times New Roman" w:hAnsi="Times New Roman"/>
              </w:rPr>
            </w:pPr>
            <w:r w:rsidRPr="003E743A">
              <w:rPr>
                <w:rFonts w:ascii="Times New Roman" w:hAnsi="Times New Roman"/>
              </w:rPr>
              <w:t>32</w:t>
            </w:r>
          </w:p>
        </w:tc>
        <w:tc>
          <w:tcPr>
            <w:tcW w:w="857" w:type="pct"/>
            <w:tcBorders>
              <w:bottom w:val="single" w:sz="4" w:space="0" w:color="auto"/>
            </w:tcBorders>
            <w:shd w:val="clear" w:color="auto" w:fill="FF0000"/>
            <w:vAlign w:val="center"/>
          </w:tcPr>
          <w:p w:rsidR="00764FFF" w:rsidRPr="003E743A" w:rsidRDefault="00764FFF" w:rsidP="00764FFF">
            <w:pPr>
              <w:tabs>
                <w:tab w:val="left" w:pos="418"/>
              </w:tabs>
              <w:spacing w:after="0" w:line="240" w:lineRule="auto"/>
              <w:ind w:right="-18"/>
              <w:jc w:val="both"/>
              <w:rPr>
                <w:rFonts w:ascii="Times New Roman" w:hAnsi="Times New Roman"/>
              </w:rPr>
            </w:pPr>
            <w:r w:rsidRPr="003E743A">
              <w:rPr>
                <w:rFonts w:ascii="Times New Roman" w:hAnsi="Times New Roman"/>
              </w:rPr>
              <w:t>33</w:t>
            </w:r>
          </w:p>
        </w:tc>
        <w:tc>
          <w:tcPr>
            <w:tcW w:w="1002" w:type="pct"/>
            <w:tcBorders>
              <w:bottom w:val="single" w:sz="4" w:space="0" w:color="auto"/>
            </w:tcBorders>
            <w:shd w:val="clear" w:color="auto" w:fill="FF0000"/>
            <w:vAlign w:val="center"/>
          </w:tcPr>
          <w:p w:rsidR="00764FFF" w:rsidRPr="003E743A" w:rsidRDefault="00764FFF" w:rsidP="00764FFF">
            <w:pPr>
              <w:tabs>
                <w:tab w:val="left" w:pos="418"/>
              </w:tabs>
              <w:spacing w:after="0" w:line="240" w:lineRule="auto"/>
              <w:ind w:right="-18"/>
              <w:jc w:val="both"/>
              <w:rPr>
                <w:rFonts w:ascii="Times New Roman" w:hAnsi="Times New Roman"/>
              </w:rPr>
            </w:pPr>
            <w:r w:rsidRPr="003E743A">
              <w:rPr>
                <w:rFonts w:ascii="Times New Roman" w:hAnsi="Times New Roman"/>
              </w:rPr>
              <w:t>34</w:t>
            </w:r>
          </w:p>
        </w:tc>
      </w:tr>
      <w:tr w:rsidR="00764FFF" w:rsidRPr="00AA45E9" w:rsidTr="00764FFF">
        <w:trPr>
          <w:trHeight w:val="136"/>
          <w:jc w:val="center"/>
        </w:trPr>
        <w:tc>
          <w:tcPr>
            <w:tcW w:w="1281" w:type="pct"/>
            <w:vAlign w:val="center"/>
          </w:tcPr>
          <w:p w:rsidR="00764FFF" w:rsidRPr="003E743A" w:rsidRDefault="00764FFF" w:rsidP="00764FFF">
            <w:pPr>
              <w:tabs>
                <w:tab w:val="left" w:pos="418"/>
              </w:tabs>
              <w:spacing w:after="0" w:line="240" w:lineRule="auto"/>
              <w:jc w:val="both"/>
              <w:rPr>
                <w:rFonts w:ascii="Times New Roman" w:hAnsi="Times New Roman"/>
              </w:rPr>
            </w:pPr>
            <w:r w:rsidRPr="003E743A">
              <w:rPr>
                <w:rFonts w:ascii="Times New Roman" w:hAnsi="Times New Roman"/>
              </w:rPr>
              <w:t>G2</w:t>
            </w:r>
          </w:p>
        </w:tc>
        <w:tc>
          <w:tcPr>
            <w:tcW w:w="960" w:type="pct"/>
            <w:shd w:val="clear" w:color="auto" w:fill="00FF00"/>
            <w:vAlign w:val="center"/>
          </w:tcPr>
          <w:p w:rsidR="00764FFF" w:rsidRPr="003E743A" w:rsidRDefault="00764FFF" w:rsidP="00764FFF">
            <w:pPr>
              <w:spacing w:after="0" w:line="240" w:lineRule="auto"/>
              <w:ind w:right="170"/>
              <w:jc w:val="both"/>
              <w:rPr>
                <w:rFonts w:ascii="Times New Roman" w:hAnsi="Times New Roman"/>
              </w:rPr>
            </w:pPr>
            <w:r w:rsidRPr="003E743A">
              <w:rPr>
                <w:rFonts w:ascii="Times New Roman" w:hAnsi="Times New Roman"/>
              </w:rPr>
              <w:t>21</w:t>
            </w:r>
          </w:p>
        </w:tc>
        <w:tc>
          <w:tcPr>
            <w:tcW w:w="900" w:type="pct"/>
            <w:shd w:val="clear" w:color="auto" w:fill="FFFF00"/>
            <w:vAlign w:val="center"/>
          </w:tcPr>
          <w:p w:rsidR="00764FFF" w:rsidRPr="003E743A" w:rsidRDefault="00764FFF" w:rsidP="00764FFF">
            <w:pPr>
              <w:spacing w:after="0" w:line="240" w:lineRule="auto"/>
              <w:ind w:right="170"/>
              <w:jc w:val="both"/>
              <w:rPr>
                <w:rFonts w:ascii="Times New Roman" w:hAnsi="Times New Roman"/>
              </w:rPr>
            </w:pPr>
            <w:r w:rsidRPr="003E743A">
              <w:rPr>
                <w:rFonts w:ascii="Times New Roman" w:hAnsi="Times New Roman"/>
              </w:rPr>
              <w:t>22</w:t>
            </w:r>
          </w:p>
        </w:tc>
        <w:tc>
          <w:tcPr>
            <w:tcW w:w="857" w:type="pct"/>
            <w:shd w:val="clear" w:color="auto" w:fill="FFFF00"/>
            <w:vAlign w:val="center"/>
          </w:tcPr>
          <w:p w:rsidR="00764FFF" w:rsidRPr="003E743A" w:rsidRDefault="00764FFF" w:rsidP="00764FFF">
            <w:pPr>
              <w:tabs>
                <w:tab w:val="left" w:pos="418"/>
              </w:tabs>
              <w:spacing w:after="0" w:line="240" w:lineRule="auto"/>
              <w:ind w:right="-18"/>
              <w:jc w:val="both"/>
              <w:rPr>
                <w:rFonts w:ascii="Times New Roman" w:hAnsi="Times New Roman"/>
              </w:rPr>
            </w:pPr>
            <w:r w:rsidRPr="003E743A">
              <w:rPr>
                <w:rFonts w:ascii="Times New Roman" w:hAnsi="Times New Roman"/>
              </w:rPr>
              <w:t>23</w:t>
            </w:r>
          </w:p>
        </w:tc>
        <w:tc>
          <w:tcPr>
            <w:tcW w:w="1002" w:type="pct"/>
            <w:shd w:val="clear" w:color="auto" w:fill="FFFF00"/>
            <w:vAlign w:val="center"/>
          </w:tcPr>
          <w:p w:rsidR="00764FFF" w:rsidRPr="003E743A" w:rsidRDefault="00764FFF" w:rsidP="00764FFF">
            <w:pPr>
              <w:tabs>
                <w:tab w:val="left" w:pos="418"/>
              </w:tabs>
              <w:spacing w:after="0" w:line="240" w:lineRule="auto"/>
              <w:ind w:right="-18"/>
              <w:jc w:val="both"/>
              <w:rPr>
                <w:rFonts w:ascii="Times New Roman" w:hAnsi="Times New Roman"/>
              </w:rPr>
            </w:pPr>
            <w:r w:rsidRPr="003E743A">
              <w:rPr>
                <w:rFonts w:ascii="Times New Roman" w:hAnsi="Times New Roman"/>
              </w:rPr>
              <w:t>24</w:t>
            </w:r>
          </w:p>
        </w:tc>
      </w:tr>
      <w:tr w:rsidR="00764FFF" w:rsidRPr="00AA45E9" w:rsidTr="00764FFF">
        <w:trPr>
          <w:trHeight w:val="154"/>
          <w:jc w:val="center"/>
        </w:trPr>
        <w:tc>
          <w:tcPr>
            <w:tcW w:w="1281" w:type="pct"/>
            <w:vAlign w:val="center"/>
          </w:tcPr>
          <w:p w:rsidR="00764FFF" w:rsidRPr="003E743A" w:rsidRDefault="00764FFF" w:rsidP="00764FFF">
            <w:pPr>
              <w:tabs>
                <w:tab w:val="left" w:pos="418"/>
              </w:tabs>
              <w:spacing w:after="0" w:line="240" w:lineRule="auto"/>
              <w:jc w:val="both"/>
              <w:rPr>
                <w:rFonts w:ascii="Times New Roman" w:hAnsi="Times New Roman"/>
              </w:rPr>
            </w:pPr>
            <w:r w:rsidRPr="003E743A">
              <w:rPr>
                <w:rFonts w:ascii="Times New Roman" w:hAnsi="Times New Roman"/>
              </w:rPr>
              <w:t>G1</w:t>
            </w:r>
          </w:p>
        </w:tc>
        <w:tc>
          <w:tcPr>
            <w:tcW w:w="960" w:type="pct"/>
            <w:shd w:val="clear" w:color="auto" w:fill="00FF00"/>
            <w:vAlign w:val="center"/>
          </w:tcPr>
          <w:p w:rsidR="00764FFF" w:rsidRPr="003E743A" w:rsidRDefault="00764FFF" w:rsidP="00764FFF">
            <w:pPr>
              <w:tabs>
                <w:tab w:val="left" w:pos="418"/>
              </w:tabs>
              <w:spacing w:after="0" w:line="240" w:lineRule="auto"/>
              <w:ind w:right="170"/>
              <w:jc w:val="both"/>
              <w:rPr>
                <w:rFonts w:ascii="Times New Roman" w:hAnsi="Times New Roman"/>
              </w:rPr>
            </w:pPr>
            <w:r w:rsidRPr="003E743A">
              <w:rPr>
                <w:rFonts w:ascii="Times New Roman" w:hAnsi="Times New Roman"/>
              </w:rPr>
              <w:t>11</w:t>
            </w:r>
          </w:p>
        </w:tc>
        <w:tc>
          <w:tcPr>
            <w:tcW w:w="900" w:type="pct"/>
            <w:shd w:val="clear" w:color="auto" w:fill="00FF00"/>
            <w:vAlign w:val="center"/>
          </w:tcPr>
          <w:p w:rsidR="00764FFF" w:rsidRPr="003E743A" w:rsidRDefault="00764FFF" w:rsidP="00764FFF">
            <w:pPr>
              <w:tabs>
                <w:tab w:val="left" w:pos="418"/>
              </w:tabs>
              <w:spacing w:after="0" w:line="240" w:lineRule="auto"/>
              <w:ind w:right="170"/>
              <w:jc w:val="both"/>
              <w:rPr>
                <w:rFonts w:ascii="Times New Roman" w:hAnsi="Times New Roman"/>
              </w:rPr>
            </w:pPr>
            <w:r w:rsidRPr="003E743A">
              <w:rPr>
                <w:rFonts w:ascii="Times New Roman" w:hAnsi="Times New Roman"/>
              </w:rPr>
              <w:t>12</w:t>
            </w:r>
          </w:p>
        </w:tc>
        <w:tc>
          <w:tcPr>
            <w:tcW w:w="857" w:type="pct"/>
            <w:shd w:val="clear" w:color="auto" w:fill="00FF00"/>
            <w:vAlign w:val="center"/>
          </w:tcPr>
          <w:p w:rsidR="00764FFF" w:rsidRPr="003E743A" w:rsidRDefault="00764FFF" w:rsidP="00764FFF">
            <w:pPr>
              <w:tabs>
                <w:tab w:val="left" w:pos="418"/>
              </w:tabs>
              <w:spacing w:after="0" w:line="240" w:lineRule="auto"/>
              <w:ind w:right="-18"/>
              <w:jc w:val="both"/>
              <w:rPr>
                <w:rFonts w:ascii="Times New Roman" w:hAnsi="Times New Roman"/>
              </w:rPr>
            </w:pPr>
            <w:r w:rsidRPr="003E743A">
              <w:rPr>
                <w:rFonts w:ascii="Times New Roman" w:hAnsi="Times New Roman"/>
              </w:rPr>
              <w:t>13</w:t>
            </w:r>
          </w:p>
        </w:tc>
        <w:tc>
          <w:tcPr>
            <w:tcW w:w="1002" w:type="pct"/>
            <w:shd w:val="clear" w:color="auto" w:fill="00FF00"/>
            <w:vAlign w:val="center"/>
          </w:tcPr>
          <w:p w:rsidR="00764FFF" w:rsidRPr="003E743A" w:rsidRDefault="00764FFF" w:rsidP="00764FFF">
            <w:pPr>
              <w:tabs>
                <w:tab w:val="left" w:pos="418"/>
              </w:tabs>
              <w:spacing w:after="0" w:line="240" w:lineRule="auto"/>
              <w:ind w:right="-18"/>
              <w:jc w:val="both"/>
              <w:rPr>
                <w:rFonts w:ascii="Times New Roman" w:hAnsi="Times New Roman"/>
              </w:rPr>
            </w:pPr>
            <w:r w:rsidRPr="003E743A">
              <w:rPr>
                <w:rFonts w:ascii="Times New Roman" w:hAnsi="Times New Roman"/>
              </w:rPr>
              <w:t>14</w:t>
            </w:r>
          </w:p>
        </w:tc>
      </w:tr>
    </w:tbl>
    <w:p w:rsidR="00764FFF" w:rsidRPr="005E0349" w:rsidRDefault="00764FFF" w:rsidP="00764FFF">
      <w:pPr>
        <w:spacing w:after="200" w:line="276" w:lineRule="auto"/>
        <w:ind w:right="170"/>
        <w:jc w:val="both"/>
        <w:rPr>
          <w:rFonts w:ascii="Times New Roman" w:hAnsi="Times New Roman"/>
          <w:sz w:val="24"/>
          <w:szCs w:val="24"/>
        </w:rPr>
      </w:pPr>
      <w:r w:rsidRPr="005E0349">
        <w:rPr>
          <w:rFonts w:ascii="Times New Roman" w:hAnsi="Times New Roman"/>
          <w:sz w:val="24"/>
          <w:szCs w:val="24"/>
        </w:rPr>
        <w:t>Signification des couleurs :</w:t>
      </w:r>
    </w:p>
    <w:p w:rsidR="00764FFF" w:rsidRPr="005E0349" w:rsidRDefault="00764FFF" w:rsidP="00FA3FAE">
      <w:pPr>
        <w:numPr>
          <w:ilvl w:val="0"/>
          <w:numId w:val="97"/>
        </w:numPr>
        <w:autoSpaceDE w:val="0"/>
        <w:autoSpaceDN w:val="0"/>
        <w:adjustRightInd w:val="0"/>
        <w:spacing w:after="0" w:line="276" w:lineRule="auto"/>
        <w:jc w:val="both"/>
        <w:rPr>
          <w:rFonts w:ascii="Times New Roman" w:hAnsi="Times New Roman"/>
          <w:sz w:val="24"/>
          <w:szCs w:val="24"/>
        </w:rPr>
      </w:pPr>
      <w:r w:rsidRPr="005E0349">
        <w:rPr>
          <w:rFonts w:ascii="Times New Roman" w:hAnsi="Times New Roman"/>
          <w:sz w:val="24"/>
          <w:szCs w:val="24"/>
        </w:rPr>
        <w:t>Un risque très limité aura une couleur verte. Dans ce cas la priorité sur les actions à mener est du troisième ordre ;</w:t>
      </w:r>
    </w:p>
    <w:p w:rsidR="00764FFF" w:rsidRPr="005E0349" w:rsidRDefault="00764FFF" w:rsidP="00FA3FAE">
      <w:pPr>
        <w:numPr>
          <w:ilvl w:val="0"/>
          <w:numId w:val="97"/>
        </w:numPr>
        <w:autoSpaceDE w:val="0"/>
        <w:autoSpaceDN w:val="0"/>
        <w:adjustRightInd w:val="0"/>
        <w:spacing w:after="0" w:line="276" w:lineRule="auto"/>
        <w:jc w:val="both"/>
        <w:rPr>
          <w:rFonts w:ascii="Times New Roman" w:hAnsi="Times New Roman"/>
          <w:sz w:val="24"/>
          <w:szCs w:val="24"/>
        </w:rPr>
      </w:pPr>
      <w:r w:rsidRPr="005E0349">
        <w:rPr>
          <w:rFonts w:ascii="Times New Roman" w:hAnsi="Times New Roman"/>
          <w:sz w:val="24"/>
          <w:szCs w:val="24"/>
        </w:rPr>
        <w:t>La couleur jaune matérialise un risque important. Dans ce cas la priorité sur les actions à mener est de 2 ;</w:t>
      </w:r>
    </w:p>
    <w:p w:rsidR="00764FFF" w:rsidRPr="005E0349" w:rsidRDefault="00764FFF" w:rsidP="00FA3FAE">
      <w:pPr>
        <w:numPr>
          <w:ilvl w:val="0"/>
          <w:numId w:val="97"/>
        </w:numPr>
        <w:autoSpaceDE w:val="0"/>
        <w:autoSpaceDN w:val="0"/>
        <w:adjustRightInd w:val="0"/>
        <w:spacing w:after="0" w:line="276" w:lineRule="auto"/>
        <w:jc w:val="both"/>
        <w:rPr>
          <w:rFonts w:ascii="Times New Roman" w:hAnsi="Times New Roman"/>
          <w:sz w:val="24"/>
          <w:szCs w:val="24"/>
        </w:rPr>
      </w:pPr>
      <w:r w:rsidRPr="005E0349">
        <w:rPr>
          <w:rFonts w:ascii="Times New Roman" w:hAnsi="Times New Roman"/>
          <w:sz w:val="24"/>
          <w:szCs w:val="24"/>
        </w:rPr>
        <w:t xml:space="preserve">Tandis qu’un risque élevé inacceptable va nécessiter une des actions prioritaires de premières importances. Il est représenté par la couleur rouge. </w:t>
      </w:r>
    </w:p>
    <w:p w:rsidR="00764FFF" w:rsidRPr="003E743A" w:rsidRDefault="00764FFF" w:rsidP="00764FFF">
      <w:pPr>
        <w:autoSpaceDE w:val="0"/>
        <w:autoSpaceDN w:val="0"/>
        <w:adjustRightInd w:val="0"/>
        <w:spacing w:line="276" w:lineRule="auto"/>
        <w:ind w:left="360"/>
        <w:jc w:val="both"/>
        <w:rPr>
          <w:rFonts w:ascii="Times New Roman" w:hAnsi="Times New Roman"/>
        </w:rPr>
      </w:pPr>
    </w:p>
    <w:tbl>
      <w:tblPr>
        <w:tblpPr w:leftFromText="141" w:rightFromText="141" w:vertAnchor="text" w:tblpXSpec="center" w:tblpY="1"/>
        <w:tblOverlap w:val="never"/>
        <w:tblW w:w="48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76"/>
        <w:gridCol w:w="4614"/>
      </w:tblGrid>
      <w:tr w:rsidR="00764FFF" w:rsidRPr="00AA45E9" w:rsidTr="00764FFF">
        <w:trPr>
          <w:trHeight w:val="347"/>
        </w:trPr>
        <w:tc>
          <w:tcPr>
            <w:tcW w:w="276" w:type="dxa"/>
            <w:shd w:val="clear" w:color="auto" w:fill="FF0000"/>
            <w:noWrap/>
            <w:vAlign w:val="bottom"/>
          </w:tcPr>
          <w:p w:rsidR="00764FFF" w:rsidRPr="003E743A" w:rsidRDefault="00764FFF" w:rsidP="00764FFF">
            <w:pPr>
              <w:spacing w:after="0" w:line="276" w:lineRule="auto"/>
              <w:jc w:val="both"/>
              <w:rPr>
                <w:rFonts w:ascii="Times New Roman" w:hAnsi="Times New Roman"/>
              </w:rPr>
            </w:pPr>
            <w:r w:rsidRPr="003E743A">
              <w:rPr>
                <w:rFonts w:ascii="Times New Roman" w:hAnsi="Times New Roman"/>
              </w:rPr>
              <w:t> </w:t>
            </w:r>
          </w:p>
        </w:tc>
        <w:tc>
          <w:tcPr>
            <w:tcW w:w="4614" w:type="dxa"/>
            <w:shd w:val="clear" w:color="auto" w:fill="auto"/>
            <w:noWrap/>
            <w:vAlign w:val="center"/>
          </w:tcPr>
          <w:p w:rsidR="00764FFF" w:rsidRPr="003E743A" w:rsidRDefault="00764FFF" w:rsidP="00764FFF">
            <w:pPr>
              <w:tabs>
                <w:tab w:val="left" w:pos="418"/>
              </w:tabs>
              <w:spacing w:after="0" w:line="276" w:lineRule="auto"/>
              <w:jc w:val="both"/>
              <w:rPr>
                <w:rFonts w:ascii="Times New Roman" w:hAnsi="Times New Roman"/>
              </w:rPr>
            </w:pPr>
            <w:r w:rsidRPr="003E743A">
              <w:rPr>
                <w:rFonts w:ascii="Times New Roman" w:hAnsi="Times New Roman"/>
              </w:rPr>
              <w:t>Risque élevé avec Actions à Priorité 1</w:t>
            </w:r>
          </w:p>
        </w:tc>
      </w:tr>
      <w:tr w:rsidR="00764FFF" w:rsidRPr="00AA45E9" w:rsidTr="00764FFF">
        <w:trPr>
          <w:trHeight w:val="343"/>
        </w:trPr>
        <w:tc>
          <w:tcPr>
            <w:tcW w:w="276" w:type="dxa"/>
            <w:tcBorders>
              <w:bottom w:val="single" w:sz="4" w:space="0" w:color="auto"/>
            </w:tcBorders>
            <w:shd w:val="clear" w:color="auto" w:fill="FFFF00"/>
            <w:noWrap/>
            <w:vAlign w:val="bottom"/>
          </w:tcPr>
          <w:p w:rsidR="00764FFF" w:rsidRPr="003E743A" w:rsidRDefault="00764FFF" w:rsidP="00764FFF">
            <w:pPr>
              <w:spacing w:after="0" w:line="276" w:lineRule="auto"/>
              <w:jc w:val="both"/>
              <w:rPr>
                <w:rFonts w:ascii="Times New Roman" w:hAnsi="Times New Roman"/>
              </w:rPr>
            </w:pPr>
            <w:r w:rsidRPr="003E743A">
              <w:rPr>
                <w:rFonts w:ascii="Times New Roman" w:hAnsi="Times New Roman"/>
              </w:rPr>
              <w:t> </w:t>
            </w:r>
          </w:p>
        </w:tc>
        <w:tc>
          <w:tcPr>
            <w:tcW w:w="4614" w:type="dxa"/>
            <w:shd w:val="clear" w:color="auto" w:fill="auto"/>
            <w:noWrap/>
            <w:vAlign w:val="center"/>
          </w:tcPr>
          <w:p w:rsidR="00764FFF" w:rsidRPr="003E743A" w:rsidRDefault="00764FFF" w:rsidP="00764FFF">
            <w:pPr>
              <w:tabs>
                <w:tab w:val="left" w:pos="418"/>
              </w:tabs>
              <w:spacing w:after="0" w:line="276" w:lineRule="auto"/>
              <w:jc w:val="both"/>
              <w:rPr>
                <w:rFonts w:ascii="Times New Roman" w:hAnsi="Times New Roman"/>
              </w:rPr>
            </w:pPr>
            <w:r w:rsidRPr="003E743A">
              <w:rPr>
                <w:rFonts w:ascii="Times New Roman" w:hAnsi="Times New Roman"/>
              </w:rPr>
              <w:t>Risque important avec Priorité 2</w:t>
            </w:r>
          </w:p>
        </w:tc>
      </w:tr>
      <w:tr w:rsidR="00764FFF" w:rsidRPr="00AA45E9" w:rsidTr="00764FFF">
        <w:trPr>
          <w:trHeight w:val="375"/>
        </w:trPr>
        <w:tc>
          <w:tcPr>
            <w:tcW w:w="276" w:type="dxa"/>
            <w:shd w:val="clear" w:color="auto" w:fill="00FF00"/>
            <w:noWrap/>
            <w:vAlign w:val="bottom"/>
          </w:tcPr>
          <w:p w:rsidR="00764FFF" w:rsidRPr="003E743A" w:rsidRDefault="00764FFF" w:rsidP="00764FFF">
            <w:pPr>
              <w:spacing w:after="0" w:line="276" w:lineRule="auto"/>
              <w:jc w:val="both"/>
              <w:rPr>
                <w:rFonts w:ascii="Times New Roman" w:hAnsi="Times New Roman"/>
              </w:rPr>
            </w:pPr>
            <w:r w:rsidRPr="003E743A">
              <w:rPr>
                <w:rFonts w:ascii="Times New Roman" w:hAnsi="Times New Roman"/>
              </w:rPr>
              <w:t> </w:t>
            </w:r>
          </w:p>
        </w:tc>
        <w:tc>
          <w:tcPr>
            <w:tcW w:w="4614" w:type="dxa"/>
            <w:shd w:val="clear" w:color="auto" w:fill="auto"/>
            <w:noWrap/>
            <w:vAlign w:val="center"/>
          </w:tcPr>
          <w:p w:rsidR="00764FFF" w:rsidRPr="003E743A" w:rsidRDefault="00764FFF" w:rsidP="00764FFF">
            <w:pPr>
              <w:tabs>
                <w:tab w:val="left" w:pos="418"/>
              </w:tabs>
              <w:spacing w:after="0" w:line="276" w:lineRule="auto"/>
              <w:jc w:val="both"/>
              <w:rPr>
                <w:rFonts w:ascii="Times New Roman" w:hAnsi="Times New Roman"/>
              </w:rPr>
            </w:pPr>
            <w:r w:rsidRPr="003E743A">
              <w:rPr>
                <w:rFonts w:ascii="Times New Roman" w:hAnsi="Times New Roman"/>
              </w:rPr>
              <w:t>Risque faible avec Priorité 3</w:t>
            </w:r>
          </w:p>
        </w:tc>
      </w:tr>
    </w:tbl>
    <w:p w:rsidR="00764FFF" w:rsidRPr="003E743A" w:rsidRDefault="00764FFF" w:rsidP="00764FFF">
      <w:pPr>
        <w:spacing w:before="120" w:after="120" w:line="276" w:lineRule="auto"/>
        <w:jc w:val="both"/>
        <w:rPr>
          <w:rFonts w:ascii="Times New Roman" w:hAnsi="Times New Roman"/>
        </w:rPr>
      </w:pPr>
    </w:p>
    <w:p w:rsidR="00764FFF" w:rsidRPr="003E743A" w:rsidRDefault="00764FFF" w:rsidP="00764FFF">
      <w:pPr>
        <w:spacing w:before="120" w:after="120" w:line="276" w:lineRule="auto"/>
        <w:jc w:val="both"/>
        <w:rPr>
          <w:rFonts w:ascii="Times New Roman" w:hAnsi="Times New Roman"/>
          <w:u w:val="single"/>
        </w:rPr>
      </w:pPr>
    </w:p>
    <w:p w:rsidR="00764FFF" w:rsidRDefault="00764FFF" w:rsidP="00764FFF">
      <w:pPr>
        <w:spacing w:before="120" w:after="120" w:line="276" w:lineRule="auto"/>
        <w:jc w:val="both"/>
        <w:rPr>
          <w:rFonts w:ascii="Times New Roman" w:hAnsi="Times New Roman"/>
          <w:sz w:val="24"/>
          <w:szCs w:val="24"/>
          <w:u w:val="single"/>
        </w:rPr>
      </w:pPr>
    </w:p>
    <w:p w:rsidR="00764FFF" w:rsidRPr="005E0349" w:rsidRDefault="00764FFF" w:rsidP="00764FFF">
      <w:pPr>
        <w:spacing w:before="120" w:after="120" w:line="276" w:lineRule="auto"/>
        <w:jc w:val="both"/>
        <w:rPr>
          <w:rFonts w:ascii="Times New Roman" w:hAnsi="Times New Roman"/>
          <w:sz w:val="24"/>
          <w:szCs w:val="24"/>
          <w:u w:val="single"/>
        </w:rPr>
      </w:pPr>
      <w:r w:rsidRPr="005E0349">
        <w:rPr>
          <w:rFonts w:ascii="Times New Roman" w:hAnsi="Times New Roman"/>
          <w:sz w:val="24"/>
          <w:szCs w:val="24"/>
          <w:u w:val="single"/>
        </w:rPr>
        <w:t>Définition des mesures de prévention et de protection</w:t>
      </w:r>
    </w:p>
    <w:p w:rsidR="00764FFF" w:rsidRPr="005E0349" w:rsidRDefault="00764FFF" w:rsidP="00764FFF">
      <w:pPr>
        <w:spacing w:after="200" w:line="276" w:lineRule="auto"/>
        <w:ind w:right="-569"/>
        <w:jc w:val="both"/>
        <w:rPr>
          <w:rFonts w:ascii="Times New Roman" w:hAnsi="Times New Roman"/>
          <w:sz w:val="24"/>
          <w:szCs w:val="24"/>
        </w:rPr>
      </w:pPr>
      <w:r w:rsidRPr="005E0349">
        <w:rPr>
          <w:rFonts w:ascii="Times New Roman" w:hAnsi="Times New Roman"/>
          <w:sz w:val="24"/>
          <w:szCs w:val="24"/>
        </w:rPr>
        <w:t>Des mesures de prévention et de protection sont déterminées pour tous les risques identifiés.</w:t>
      </w:r>
    </w:p>
    <w:p w:rsidR="00764FFF" w:rsidRPr="005E0349" w:rsidRDefault="00764FFF" w:rsidP="00820701">
      <w:pPr>
        <w:pStyle w:val="Cabealho3"/>
      </w:pPr>
      <w:bookmarkStart w:id="419" w:name="_Toc535396966"/>
      <w:bookmarkStart w:id="420" w:name="_Toc11158366"/>
      <w:bookmarkStart w:id="421" w:name="_Toc51072588"/>
      <w:r>
        <w:t>7</w:t>
      </w:r>
      <w:r w:rsidRPr="005E0349">
        <w:t>.2.4. Présentation des résultats</w:t>
      </w:r>
      <w:bookmarkEnd w:id="419"/>
      <w:bookmarkEnd w:id="420"/>
      <w:bookmarkEnd w:id="421"/>
    </w:p>
    <w:p w:rsidR="00764FFF" w:rsidRDefault="00764FFF" w:rsidP="00764FFF">
      <w:pPr>
        <w:ind w:left="-284" w:right="-942"/>
        <w:rPr>
          <w:rFonts w:ascii="Times New Roman" w:hAnsi="Times New Roman"/>
          <w:sz w:val="24"/>
          <w:szCs w:val="24"/>
        </w:rPr>
      </w:pPr>
      <w:r w:rsidRPr="005E0349">
        <w:rPr>
          <w:rFonts w:ascii="Times New Roman" w:hAnsi="Times New Roman"/>
          <w:sz w:val="24"/>
          <w:szCs w:val="24"/>
        </w:rPr>
        <w:t xml:space="preserve">Les différentes activités </w:t>
      </w:r>
      <w:r w:rsidR="00022D23">
        <w:rPr>
          <w:rFonts w:ascii="Times New Roman" w:hAnsi="Times New Roman"/>
          <w:sz w:val="24"/>
          <w:szCs w:val="24"/>
        </w:rPr>
        <w:t xml:space="preserve">du </w:t>
      </w:r>
      <w:r w:rsidR="00EC2325">
        <w:rPr>
          <w:rFonts w:ascii="Times New Roman" w:hAnsi="Times New Roman"/>
          <w:sz w:val="24"/>
          <w:szCs w:val="24"/>
        </w:rPr>
        <w:t xml:space="preserve">sous </w:t>
      </w:r>
      <w:r w:rsidR="00022D23">
        <w:rPr>
          <w:rFonts w:ascii="Times New Roman" w:hAnsi="Times New Roman"/>
          <w:sz w:val="24"/>
          <w:szCs w:val="24"/>
        </w:rPr>
        <w:t xml:space="preserve">projet </w:t>
      </w:r>
      <w:r w:rsidR="00EC2325">
        <w:rPr>
          <w:rFonts w:ascii="Times New Roman" w:hAnsi="Times New Roman"/>
          <w:sz w:val="24"/>
          <w:szCs w:val="24"/>
        </w:rPr>
        <w:t xml:space="preserve">n°2 </w:t>
      </w:r>
      <w:r w:rsidRPr="005E0349">
        <w:rPr>
          <w:rFonts w:ascii="Times New Roman" w:hAnsi="Times New Roman"/>
          <w:sz w:val="24"/>
          <w:szCs w:val="24"/>
        </w:rPr>
        <w:t>ainsi que les situations dangereuses auxquelles le personnel peut être exposé sont présentées dans le tableau ci- après :</w:t>
      </w:r>
    </w:p>
    <w:p w:rsidR="00764FFF" w:rsidRPr="00BA3EE1" w:rsidRDefault="00764FFF" w:rsidP="00BA3EE1">
      <w:pPr>
        <w:jc w:val="center"/>
        <w:rPr>
          <w:rFonts w:ascii="Times New Roman" w:hAnsi="Times New Roman" w:cs="Times New Roman"/>
          <w:b/>
          <w:sz w:val="20"/>
          <w:szCs w:val="20"/>
        </w:rPr>
      </w:pPr>
      <w:bookmarkStart w:id="422" w:name="_Toc11158769"/>
      <w:bookmarkStart w:id="423" w:name="_Toc51074017"/>
      <w:bookmarkStart w:id="424" w:name="_Toc525312943"/>
      <w:bookmarkStart w:id="425" w:name="_Toc525422002"/>
      <w:r w:rsidRPr="00BA3EE1">
        <w:rPr>
          <w:rFonts w:ascii="Times New Roman" w:hAnsi="Times New Roman" w:cs="Times New Roman"/>
          <w:b/>
          <w:sz w:val="20"/>
          <w:szCs w:val="20"/>
        </w:rPr>
        <w:t xml:space="preserve">Tableau </w:t>
      </w:r>
      <w:r w:rsidRPr="00BA3EE1">
        <w:rPr>
          <w:rFonts w:ascii="Times New Roman" w:hAnsi="Times New Roman" w:cs="Times New Roman"/>
          <w:b/>
          <w:sz w:val="20"/>
          <w:szCs w:val="20"/>
        </w:rPr>
        <w:fldChar w:fldCharType="begin"/>
      </w:r>
      <w:r w:rsidRPr="00BA3EE1">
        <w:rPr>
          <w:rFonts w:ascii="Times New Roman" w:hAnsi="Times New Roman" w:cs="Times New Roman"/>
          <w:b/>
          <w:sz w:val="20"/>
          <w:szCs w:val="20"/>
        </w:rPr>
        <w:instrText xml:space="preserve"> SEQ Tableau \* ARABIC </w:instrText>
      </w:r>
      <w:r w:rsidRPr="00BA3EE1">
        <w:rPr>
          <w:rFonts w:ascii="Times New Roman" w:hAnsi="Times New Roman" w:cs="Times New Roman"/>
          <w:b/>
          <w:sz w:val="20"/>
          <w:szCs w:val="20"/>
        </w:rPr>
        <w:fldChar w:fldCharType="separate"/>
      </w:r>
      <w:r w:rsidR="00820701">
        <w:rPr>
          <w:rFonts w:ascii="Times New Roman" w:hAnsi="Times New Roman" w:cs="Times New Roman"/>
          <w:b/>
          <w:noProof/>
          <w:sz w:val="20"/>
          <w:szCs w:val="20"/>
        </w:rPr>
        <w:t>26</w:t>
      </w:r>
      <w:r w:rsidRPr="00BA3EE1">
        <w:rPr>
          <w:rFonts w:ascii="Times New Roman" w:hAnsi="Times New Roman" w:cs="Times New Roman"/>
          <w:b/>
          <w:sz w:val="20"/>
          <w:szCs w:val="20"/>
        </w:rPr>
        <w:fldChar w:fldCharType="end"/>
      </w:r>
      <w:r w:rsidRPr="00BA3EE1">
        <w:rPr>
          <w:rFonts w:ascii="Times New Roman" w:hAnsi="Times New Roman" w:cs="Times New Roman"/>
          <w:b/>
          <w:sz w:val="20"/>
          <w:szCs w:val="20"/>
        </w:rPr>
        <w:t>: les différentes activités réalisées</w:t>
      </w:r>
      <w:bookmarkEnd w:id="422"/>
      <w:bookmarkEnd w:id="423"/>
      <w:r w:rsidRPr="00BA3EE1">
        <w:rPr>
          <w:rFonts w:ascii="Times New Roman" w:hAnsi="Times New Roman" w:cs="Times New Roman"/>
          <w:b/>
          <w:sz w:val="20"/>
          <w:szCs w:val="20"/>
        </w:rPr>
        <w:t xml:space="preserve"> </w:t>
      </w:r>
      <w:bookmarkEnd w:id="424"/>
      <w:bookmarkEnd w:id="425"/>
    </w:p>
    <w:tbl>
      <w:tblPr>
        <w:tblW w:w="100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6"/>
        <w:gridCol w:w="1508"/>
        <w:gridCol w:w="1819"/>
        <w:gridCol w:w="5539"/>
      </w:tblGrid>
      <w:tr w:rsidR="00764FFF" w:rsidRPr="00AA45E9" w:rsidTr="000C12E5">
        <w:trPr>
          <w:trHeight w:val="145"/>
          <w:tblHeader/>
          <w:jc w:val="center"/>
        </w:trPr>
        <w:tc>
          <w:tcPr>
            <w:tcW w:w="1186" w:type="dxa"/>
            <w:tcBorders>
              <w:bottom w:val="single" w:sz="4" w:space="0" w:color="auto"/>
            </w:tcBorders>
            <w:shd w:val="clear" w:color="auto" w:fill="F2F2F2" w:themeFill="background1" w:themeFillShade="F2"/>
            <w:vAlign w:val="center"/>
          </w:tcPr>
          <w:p w:rsidR="00764FFF" w:rsidRPr="000C12E5" w:rsidRDefault="00764FFF" w:rsidP="00764FFF">
            <w:pPr>
              <w:spacing w:after="0" w:line="276" w:lineRule="auto"/>
              <w:jc w:val="center"/>
              <w:rPr>
                <w:rFonts w:ascii="Times New Roman" w:hAnsi="Times New Roman"/>
                <w:b/>
                <w:sz w:val="18"/>
                <w:szCs w:val="18"/>
                <w:lang w:eastAsia="es-ES"/>
              </w:rPr>
            </w:pPr>
            <w:r w:rsidRPr="000C12E5">
              <w:rPr>
                <w:rFonts w:ascii="Times New Roman" w:hAnsi="Times New Roman"/>
                <w:b/>
                <w:sz w:val="18"/>
                <w:szCs w:val="18"/>
                <w:lang w:eastAsia="es-ES"/>
              </w:rPr>
              <w:t>Zone</w:t>
            </w:r>
          </w:p>
        </w:tc>
        <w:tc>
          <w:tcPr>
            <w:tcW w:w="1508" w:type="dxa"/>
            <w:tcBorders>
              <w:bottom w:val="single" w:sz="4" w:space="0" w:color="auto"/>
            </w:tcBorders>
            <w:shd w:val="clear" w:color="auto" w:fill="F2F2F2" w:themeFill="background1" w:themeFillShade="F2"/>
            <w:vAlign w:val="center"/>
          </w:tcPr>
          <w:p w:rsidR="00764FFF" w:rsidRPr="000C12E5" w:rsidRDefault="00764FFF" w:rsidP="00764FFF">
            <w:pPr>
              <w:spacing w:after="0" w:line="276" w:lineRule="auto"/>
              <w:jc w:val="center"/>
              <w:rPr>
                <w:rFonts w:ascii="Times New Roman" w:hAnsi="Times New Roman"/>
                <w:b/>
                <w:sz w:val="18"/>
                <w:szCs w:val="18"/>
                <w:lang w:eastAsia="es-ES"/>
              </w:rPr>
            </w:pPr>
            <w:r w:rsidRPr="000C12E5">
              <w:rPr>
                <w:rFonts w:ascii="Times New Roman" w:hAnsi="Times New Roman"/>
                <w:b/>
                <w:sz w:val="18"/>
                <w:szCs w:val="18"/>
                <w:lang w:eastAsia="es-ES"/>
              </w:rPr>
              <w:t>Activités</w:t>
            </w:r>
          </w:p>
        </w:tc>
        <w:tc>
          <w:tcPr>
            <w:tcW w:w="1819" w:type="dxa"/>
            <w:tcBorders>
              <w:bottom w:val="single" w:sz="4" w:space="0" w:color="auto"/>
            </w:tcBorders>
            <w:shd w:val="clear" w:color="auto" w:fill="F2F2F2" w:themeFill="background1" w:themeFillShade="F2"/>
            <w:vAlign w:val="center"/>
          </w:tcPr>
          <w:p w:rsidR="00764FFF" w:rsidRPr="000C12E5" w:rsidRDefault="00764FFF" w:rsidP="00764FFF">
            <w:pPr>
              <w:spacing w:after="0" w:line="276" w:lineRule="auto"/>
              <w:jc w:val="center"/>
              <w:rPr>
                <w:rFonts w:ascii="Times New Roman" w:hAnsi="Times New Roman"/>
                <w:b/>
                <w:sz w:val="18"/>
                <w:szCs w:val="18"/>
                <w:lang w:eastAsia="es-ES"/>
              </w:rPr>
            </w:pPr>
            <w:r w:rsidRPr="000C12E5">
              <w:rPr>
                <w:rFonts w:ascii="Times New Roman" w:hAnsi="Times New Roman"/>
                <w:b/>
                <w:sz w:val="18"/>
                <w:szCs w:val="18"/>
                <w:lang w:eastAsia="es-ES"/>
              </w:rPr>
              <w:t>Poste ou Personnel exposé</w:t>
            </w:r>
          </w:p>
        </w:tc>
        <w:tc>
          <w:tcPr>
            <w:tcW w:w="5539" w:type="dxa"/>
            <w:tcBorders>
              <w:bottom w:val="single" w:sz="4" w:space="0" w:color="auto"/>
            </w:tcBorders>
            <w:shd w:val="clear" w:color="auto" w:fill="F2F2F2" w:themeFill="background1" w:themeFillShade="F2"/>
            <w:vAlign w:val="center"/>
          </w:tcPr>
          <w:p w:rsidR="00764FFF" w:rsidRPr="000C12E5" w:rsidRDefault="00764FFF" w:rsidP="00764FFF">
            <w:pPr>
              <w:spacing w:after="0" w:line="276" w:lineRule="auto"/>
              <w:ind w:left="360"/>
              <w:contextualSpacing/>
              <w:jc w:val="center"/>
              <w:rPr>
                <w:rFonts w:ascii="Times New Roman" w:hAnsi="Times New Roman"/>
                <w:b/>
                <w:sz w:val="18"/>
                <w:szCs w:val="18"/>
                <w:lang w:eastAsia="es-ES"/>
              </w:rPr>
            </w:pPr>
            <w:r w:rsidRPr="000C12E5">
              <w:rPr>
                <w:rFonts w:ascii="Times New Roman" w:hAnsi="Times New Roman"/>
                <w:b/>
                <w:sz w:val="18"/>
                <w:szCs w:val="18"/>
                <w:lang w:eastAsia="es-ES"/>
              </w:rPr>
              <w:t>Situations dangereuses</w:t>
            </w:r>
          </w:p>
        </w:tc>
      </w:tr>
      <w:tr w:rsidR="00F614CC" w:rsidRPr="00AA45E9" w:rsidTr="00CF7E6A">
        <w:trPr>
          <w:trHeight w:val="145"/>
          <w:jc w:val="center"/>
        </w:trPr>
        <w:tc>
          <w:tcPr>
            <w:tcW w:w="1186" w:type="dxa"/>
            <w:vMerge w:val="restart"/>
            <w:shd w:val="clear" w:color="auto" w:fill="auto"/>
            <w:vAlign w:val="center"/>
          </w:tcPr>
          <w:p w:rsidR="00F614CC" w:rsidRPr="00FF68A8" w:rsidRDefault="00F614CC" w:rsidP="00764FFF">
            <w:pPr>
              <w:spacing w:after="200" w:line="276" w:lineRule="auto"/>
              <w:jc w:val="both"/>
              <w:rPr>
                <w:rFonts w:ascii="Times New Roman" w:hAnsi="Times New Roman"/>
                <w:sz w:val="18"/>
                <w:szCs w:val="18"/>
              </w:rPr>
            </w:pPr>
            <w:r>
              <w:rPr>
                <w:rFonts w:ascii="Times New Roman" w:hAnsi="Times New Roman"/>
                <w:sz w:val="18"/>
                <w:szCs w:val="18"/>
              </w:rPr>
              <w:t>Tous</w:t>
            </w:r>
            <w:r w:rsidRPr="00FF68A8">
              <w:rPr>
                <w:rFonts w:ascii="Times New Roman" w:hAnsi="Times New Roman"/>
                <w:sz w:val="18"/>
                <w:szCs w:val="18"/>
              </w:rPr>
              <w:t xml:space="preserve"> le</w:t>
            </w:r>
            <w:r>
              <w:rPr>
                <w:rFonts w:ascii="Times New Roman" w:hAnsi="Times New Roman"/>
                <w:sz w:val="18"/>
                <w:szCs w:val="18"/>
              </w:rPr>
              <w:t>s</w:t>
            </w:r>
            <w:r w:rsidRPr="00FF68A8">
              <w:rPr>
                <w:rFonts w:ascii="Times New Roman" w:hAnsi="Times New Roman"/>
                <w:sz w:val="18"/>
                <w:szCs w:val="18"/>
              </w:rPr>
              <w:t xml:space="preserve"> site</w:t>
            </w:r>
            <w:r>
              <w:rPr>
                <w:rFonts w:ascii="Times New Roman" w:hAnsi="Times New Roman"/>
                <w:sz w:val="18"/>
                <w:szCs w:val="18"/>
              </w:rPr>
              <w:t xml:space="preserve">s </w:t>
            </w:r>
          </w:p>
          <w:p w:rsidR="00F614CC" w:rsidRPr="00FF68A8" w:rsidRDefault="00F614CC" w:rsidP="00764FFF">
            <w:pPr>
              <w:spacing w:after="200" w:line="276" w:lineRule="auto"/>
              <w:jc w:val="both"/>
              <w:rPr>
                <w:rFonts w:ascii="Times New Roman" w:hAnsi="Times New Roman"/>
                <w:sz w:val="18"/>
                <w:szCs w:val="18"/>
              </w:rPr>
            </w:pPr>
          </w:p>
          <w:p w:rsidR="00F614CC" w:rsidRPr="00FF68A8" w:rsidRDefault="00F614CC" w:rsidP="00764FFF">
            <w:pPr>
              <w:spacing w:after="200" w:line="276" w:lineRule="auto"/>
              <w:jc w:val="both"/>
              <w:rPr>
                <w:rFonts w:ascii="Times New Roman" w:hAnsi="Times New Roman"/>
                <w:sz w:val="18"/>
                <w:szCs w:val="18"/>
              </w:rPr>
            </w:pPr>
          </w:p>
        </w:tc>
        <w:tc>
          <w:tcPr>
            <w:tcW w:w="1508" w:type="dxa"/>
            <w:tcBorders>
              <w:bottom w:val="single" w:sz="4" w:space="0" w:color="auto"/>
            </w:tcBorders>
            <w:shd w:val="clear" w:color="auto" w:fill="auto"/>
            <w:vAlign w:val="center"/>
          </w:tcPr>
          <w:p w:rsidR="00F614CC" w:rsidRPr="00FF68A8" w:rsidRDefault="00F614CC" w:rsidP="00764FFF">
            <w:pPr>
              <w:spacing w:after="200" w:line="276" w:lineRule="auto"/>
              <w:jc w:val="both"/>
              <w:rPr>
                <w:rFonts w:ascii="Times New Roman" w:hAnsi="Times New Roman"/>
                <w:sz w:val="18"/>
                <w:szCs w:val="18"/>
                <w:lang w:eastAsia="es-ES"/>
              </w:rPr>
            </w:pPr>
            <w:r w:rsidRPr="00FF68A8">
              <w:rPr>
                <w:rFonts w:ascii="Times New Roman" w:hAnsi="Times New Roman"/>
                <w:sz w:val="18"/>
                <w:szCs w:val="18"/>
              </w:rPr>
              <w:lastRenderedPageBreak/>
              <w:t>Toutes les activités internes</w:t>
            </w:r>
          </w:p>
        </w:tc>
        <w:tc>
          <w:tcPr>
            <w:tcW w:w="1819" w:type="dxa"/>
            <w:tcBorders>
              <w:bottom w:val="single" w:sz="4" w:space="0" w:color="auto"/>
            </w:tcBorders>
            <w:shd w:val="clear" w:color="auto" w:fill="auto"/>
            <w:vAlign w:val="center"/>
          </w:tcPr>
          <w:p w:rsidR="00F614CC" w:rsidRPr="00FF68A8" w:rsidRDefault="00F614CC" w:rsidP="00764FFF">
            <w:pPr>
              <w:spacing w:after="200" w:line="276" w:lineRule="auto"/>
              <w:jc w:val="both"/>
              <w:rPr>
                <w:rFonts w:ascii="Times New Roman" w:hAnsi="Times New Roman"/>
                <w:sz w:val="18"/>
                <w:szCs w:val="18"/>
                <w:lang w:eastAsia="es-ES"/>
              </w:rPr>
            </w:pPr>
            <w:r w:rsidRPr="00FF68A8">
              <w:rPr>
                <w:rFonts w:ascii="Times New Roman" w:hAnsi="Times New Roman"/>
                <w:sz w:val="18"/>
                <w:szCs w:val="18"/>
                <w:lang w:eastAsia="es-ES"/>
              </w:rPr>
              <w:t>Tout le personnel présent sur site</w:t>
            </w:r>
          </w:p>
        </w:tc>
        <w:tc>
          <w:tcPr>
            <w:tcW w:w="5539" w:type="dxa"/>
            <w:tcBorders>
              <w:bottom w:val="single" w:sz="4" w:space="0" w:color="auto"/>
            </w:tcBorders>
            <w:shd w:val="clear" w:color="auto" w:fill="auto"/>
            <w:vAlign w:val="center"/>
          </w:tcPr>
          <w:p w:rsidR="00F614CC" w:rsidRPr="00FF68A8" w:rsidRDefault="00F614CC" w:rsidP="00FA3FAE">
            <w:pPr>
              <w:numPr>
                <w:ilvl w:val="0"/>
                <w:numId w:val="99"/>
              </w:numPr>
              <w:spacing w:after="0" w:line="240" w:lineRule="auto"/>
              <w:jc w:val="both"/>
              <w:rPr>
                <w:rFonts w:ascii="Times New Roman" w:hAnsi="Times New Roman"/>
                <w:sz w:val="18"/>
                <w:szCs w:val="18"/>
                <w:lang w:eastAsia="es-ES"/>
              </w:rPr>
            </w:pPr>
            <w:r w:rsidRPr="00FF68A8">
              <w:rPr>
                <w:rFonts w:ascii="Times New Roman" w:hAnsi="Times New Roman"/>
                <w:sz w:val="18"/>
                <w:szCs w:val="18"/>
                <w:lang w:eastAsia="es-ES"/>
              </w:rPr>
              <w:t>Personnel circulant sur des espaces encombrés et/ou sur sols glissants</w:t>
            </w:r>
          </w:p>
          <w:p w:rsidR="00F614CC" w:rsidRPr="00FF68A8" w:rsidRDefault="00F614CC" w:rsidP="00FA3FAE">
            <w:pPr>
              <w:numPr>
                <w:ilvl w:val="0"/>
                <w:numId w:val="99"/>
              </w:numPr>
              <w:spacing w:after="0" w:line="240" w:lineRule="auto"/>
              <w:jc w:val="both"/>
              <w:rPr>
                <w:rFonts w:ascii="Times New Roman" w:hAnsi="Times New Roman"/>
                <w:sz w:val="18"/>
                <w:szCs w:val="18"/>
                <w:lang w:eastAsia="es-ES"/>
              </w:rPr>
            </w:pPr>
            <w:r w:rsidRPr="00FF68A8">
              <w:rPr>
                <w:rFonts w:ascii="Times New Roman" w:hAnsi="Times New Roman"/>
                <w:sz w:val="18"/>
                <w:szCs w:val="18"/>
                <w:lang w:eastAsia="es-ES"/>
              </w:rPr>
              <w:t>Même espace de circulation pour piétons et véhicules,</w:t>
            </w:r>
          </w:p>
          <w:p w:rsidR="00F614CC" w:rsidRPr="00FF68A8" w:rsidRDefault="00F614CC" w:rsidP="00FA3FAE">
            <w:pPr>
              <w:numPr>
                <w:ilvl w:val="0"/>
                <w:numId w:val="99"/>
              </w:numPr>
              <w:spacing w:after="0" w:line="240" w:lineRule="auto"/>
              <w:jc w:val="both"/>
              <w:rPr>
                <w:rFonts w:ascii="Times New Roman" w:hAnsi="Times New Roman"/>
                <w:sz w:val="18"/>
                <w:szCs w:val="18"/>
                <w:lang w:eastAsia="es-ES"/>
              </w:rPr>
            </w:pPr>
            <w:r w:rsidRPr="00FF68A8">
              <w:rPr>
                <w:rFonts w:ascii="Times New Roman" w:hAnsi="Times New Roman"/>
                <w:sz w:val="18"/>
                <w:szCs w:val="18"/>
                <w:lang w:eastAsia="es-ES"/>
              </w:rPr>
              <w:t>Absence d’hygiène,</w:t>
            </w:r>
          </w:p>
          <w:p w:rsidR="00F614CC" w:rsidRPr="00FF68A8" w:rsidRDefault="00F614CC" w:rsidP="00FA3FAE">
            <w:pPr>
              <w:numPr>
                <w:ilvl w:val="0"/>
                <w:numId w:val="99"/>
              </w:numPr>
              <w:spacing w:after="0" w:line="240" w:lineRule="auto"/>
              <w:jc w:val="both"/>
              <w:rPr>
                <w:rFonts w:ascii="Times New Roman" w:hAnsi="Times New Roman"/>
                <w:sz w:val="18"/>
                <w:szCs w:val="18"/>
                <w:lang w:eastAsia="es-ES"/>
              </w:rPr>
            </w:pPr>
            <w:r w:rsidRPr="00FF68A8">
              <w:rPr>
                <w:rFonts w:ascii="Times New Roman" w:hAnsi="Times New Roman"/>
                <w:sz w:val="18"/>
                <w:szCs w:val="18"/>
                <w:lang w:eastAsia="es-ES"/>
              </w:rPr>
              <w:t>Surcharge de travail,</w:t>
            </w:r>
          </w:p>
          <w:p w:rsidR="00F614CC" w:rsidRPr="00FF68A8" w:rsidRDefault="00F614CC" w:rsidP="00FA3FAE">
            <w:pPr>
              <w:numPr>
                <w:ilvl w:val="0"/>
                <w:numId w:val="99"/>
              </w:numPr>
              <w:spacing w:after="0" w:line="240" w:lineRule="auto"/>
              <w:jc w:val="both"/>
              <w:rPr>
                <w:rFonts w:ascii="Times New Roman" w:hAnsi="Times New Roman"/>
                <w:sz w:val="18"/>
                <w:szCs w:val="18"/>
                <w:lang w:eastAsia="es-ES"/>
              </w:rPr>
            </w:pPr>
            <w:r w:rsidRPr="00FF68A8">
              <w:rPr>
                <w:rFonts w:ascii="Times New Roman" w:hAnsi="Times New Roman"/>
                <w:sz w:val="18"/>
                <w:szCs w:val="18"/>
                <w:lang w:eastAsia="es-ES"/>
              </w:rPr>
              <w:t>Travail sous pression</w:t>
            </w:r>
          </w:p>
        </w:tc>
      </w:tr>
      <w:tr w:rsidR="00F614CC" w:rsidRPr="00AA45E9" w:rsidTr="00F614CC">
        <w:trPr>
          <w:trHeight w:val="943"/>
          <w:jc w:val="center"/>
        </w:trPr>
        <w:tc>
          <w:tcPr>
            <w:tcW w:w="1186" w:type="dxa"/>
            <w:vMerge/>
            <w:shd w:val="clear" w:color="auto" w:fill="auto"/>
            <w:vAlign w:val="center"/>
          </w:tcPr>
          <w:p w:rsidR="00F614CC" w:rsidRPr="00FF68A8" w:rsidRDefault="00F614CC" w:rsidP="00764FFF">
            <w:pPr>
              <w:spacing w:after="200" w:line="276" w:lineRule="auto"/>
              <w:jc w:val="both"/>
              <w:rPr>
                <w:rFonts w:ascii="Times New Roman" w:hAnsi="Times New Roman"/>
                <w:sz w:val="18"/>
                <w:szCs w:val="18"/>
              </w:rPr>
            </w:pPr>
          </w:p>
        </w:tc>
        <w:tc>
          <w:tcPr>
            <w:tcW w:w="1508" w:type="dxa"/>
            <w:tcBorders>
              <w:bottom w:val="single" w:sz="4" w:space="0" w:color="auto"/>
            </w:tcBorders>
            <w:shd w:val="clear" w:color="auto" w:fill="auto"/>
            <w:vAlign w:val="center"/>
          </w:tcPr>
          <w:p w:rsidR="00F614CC" w:rsidRPr="00FF68A8" w:rsidRDefault="00F614CC" w:rsidP="00764FFF">
            <w:pPr>
              <w:spacing w:after="200" w:line="276" w:lineRule="auto"/>
              <w:jc w:val="both"/>
              <w:rPr>
                <w:rFonts w:ascii="Times New Roman" w:hAnsi="Times New Roman"/>
                <w:sz w:val="18"/>
                <w:szCs w:val="18"/>
              </w:rPr>
            </w:pPr>
            <w:r w:rsidRPr="00FF68A8">
              <w:rPr>
                <w:rFonts w:ascii="Times New Roman" w:hAnsi="Times New Roman"/>
                <w:sz w:val="18"/>
                <w:szCs w:val="18"/>
              </w:rPr>
              <w:t>Conduite des engins</w:t>
            </w:r>
          </w:p>
        </w:tc>
        <w:tc>
          <w:tcPr>
            <w:tcW w:w="1819" w:type="dxa"/>
            <w:tcBorders>
              <w:bottom w:val="single" w:sz="4" w:space="0" w:color="auto"/>
            </w:tcBorders>
            <w:shd w:val="clear" w:color="auto" w:fill="auto"/>
            <w:vAlign w:val="center"/>
          </w:tcPr>
          <w:p w:rsidR="00F614CC" w:rsidRPr="00FF68A8" w:rsidRDefault="00F614CC" w:rsidP="00764FFF">
            <w:pPr>
              <w:spacing w:after="200" w:line="276" w:lineRule="auto"/>
              <w:jc w:val="both"/>
              <w:rPr>
                <w:rFonts w:ascii="Times New Roman" w:hAnsi="Times New Roman"/>
                <w:sz w:val="18"/>
                <w:szCs w:val="18"/>
                <w:lang w:eastAsia="es-ES"/>
              </w:rPr>
            </w:pPr>
            <w:r w:rsidRPr="00FF68A8">
              <w:rPr>
                <w:rFonts w:ascii="Times New Roman" w:hAnsi="Times New Roman"/>
                <w:sz w:val="18"/>
                <w:szCs w:val="18"/>
                <w:lang w:eastAsia="es-ES"/>
              </w:rPr>
              <w:t>Conducteur des engins et piétions qui circulent</w:t>
            </w:r>
          </w:p>
        </w:tc>
        <w:tc>
          <w:tcPr>
            <w:tcW w:w="5539" w:type="dxa"/>
            <w:tcBorders>
              <w:bottom w:val="single" w:sz="4" w:space="0" w:color="auto"/>
            </w:tcBorders>
            <w:shd w:val="clear" w:color="auto" w:fill="auto"/>
            <w:vAlign w:val="center"/>
          </w:tcPr>
          <w:p w:rsidR="00F614CC" w:rsidRPr="00FF68A8" w:rsidRDefault="00F614CC" w:rsidP="00FA3FAE">
            <w:pPr>
              <w:numPr>
                <w:ilvl w:val="0"/>
                <w:numId w:val="99"/>
              </w:numPr>
              <w:spacing w:after="0" w:line="240" w:lineRule="auto"/>
              <w:jc w:val="both"/>
              <w:rPr>
                <w:rFonts w:ascii="Times New Roman" w:hAnsi="Times New Roman"/>
                <w:sz w:val="18"/>
                <w:szCs w:val="18"/>
                <w:lang w:eastAsia="es-ES"/>
              </w:rPr>
            </w:pPr>
            <w:r w:rsidRPr="00FF68A8">
              <w:rPr>
                <w:rFonts w:ascii="Times New Roman" w:hAnsi="Times New Roman"/>
                <w:sz w:val="18"/>
                <w:szCs w:val="18"/>
                <w:lang w:eastAsia="es-ES"/>
              </w:rPr>
              <w:t>Absence d’entretien des engins (camions, etc.)</w:t>
            </w:r>
          </w:p>
          <w:p w:rsidR="00F614CC" w:rsidRPr="00FF68A8" w:rsidRDefault="00F614CC" w:rsidP="00FA3FAE">
            <w:pPr>
              <w:numPr>
                <w:ilvl w:val="0"/>
                <w:numId w:val="99"/>
              </w:numPr>
              <w:spacing w:after="0" w:line="240" w:lineRule="auto"/>
              <w:jc w:val="both"/>
              <w:rPr>
                <w:rFonts w:ascii="Times New Roman" w:hAnsi="Times New Roman"/>
                <w:sz w:val="18"/>
                <w:szCs w:val="18"/>
                <w:lang w:eastAsia="es-ES"/>
              </w:rPr>
            </w:pPr>
            <w:r w:rsidRPr="00FF68A8">
              <w:rPr>
                <w:rFonts w:ascii="Times New Roman" w:hAnsi="Times New Roman"/>
                <w:sz w:val="18"/>
                <w:szCs w:val="18"/>
                <w:lang w:eastAsia="es-ES"/>
              </w:rPr>
              <w:t>Charge trop élevée ou inadaptée par rapport au camion,</w:t>
            </w:r>
          </w:p>
          <w:p w:rsidR="00F614CC" w:rsidRPr="00FF68A8" w:rsidRDefault="00F614CC" w:rsidP="00FA3FAE">
            <w:pPr>
              <w:numPr>
                <w:ilvl w:val="0"/>
                <w:numId w:val="99"/>
              </w:numPr>
              <w:spacing w:after="0" w:line="240" w:lineRule="auto"/>
              <w:jc w:val="both"/>
              <w:rPr>
                <w:rFonts w:ascii="Times New Roman" w:hAnsi="Times New Roman"/>
                <w:sz w:val="18"/>
                <w:szCs w:val="18"/>
                <w:lang w:eastAsia="es-ES"/>
              </w:rPr>
            </w:pPr>
            <w:r w:rsidRPr="00FF68A8">
              <w:rPr>
                <w:rFonts w:ascii="Times New Roman" w:hAnsi="Times New Roman"/>
                <w:sz w:val="18"/>
                <w:szCs w:val="18"/>
                <w:lang w:eastAsia="es-ES"/>
              </w:rPr>
              <w:t>Circulation des camions sur des espaces encombrés ou circulation dense</w:t>
            </w:r>
          </w:p>
          <w:p w:rsidR="00F614CC" w:rsidRPr="00FF68A8" w:rsidRDefault="00F614CC" w:rsidP="00FA3FAE">
            <w:pPr>
              <w:numPr>
                <w:ilvl w:val="0"/>
                <w:numId w:val="99"/>
              </w:numPr>
              <w:spacing w:after="0" w:line="240" w:lineRule="auto"/>
              <w:jc w:val="both"/>
              <w:rPr>
                <w:rFonts w:ascii="Times New Roman" w:hAnsi="Times New Roman"/>
                <w:sz w:val="18"/>
                <w:szCs w:val="18"/>
                <w:lang w:eastAsia="es-ES"/>
              </w:rPr>
            </w:pPr>
            <w:r w:rsidRPr="00FF68A8">
              <w:rPr>
                <w:rFonts w:ascii="Times New Roman" w:hAnsi="Times New Roman"/>
                <w:sz w:val="18"/>
                <w:szCs w:val="18"/>
                <w:lang w:eastAsia="es-ES"/>
              </w:rPr>
              <w:t>Manque de formation des conducteurs des engins sur les règles de conduites,</w:t>
            </w:r>
          </w:p>
          <w:p w:rsidR="00F614CC" w:rsidRPr="00FF68A8" w:rsidRDefault="00F614CC" w:rsidP="00FA3FAE">
            <w:pPr>
              <w:numPr>
                <w:ilvl w:val="0"/>
                <w:numId w:val="99"/>
              </w:numPr>
              <w:spacing w:after="0" w:line="240" w:lineRule="auto"/>
              <w:jc w:val="both"/>
              <w:rPr>
                <w:rFonts w:ascii="Times New Roman" w:hAnsi="Times New Roman"/>
                <w:sz w:val="18"/>
                <w:szCs w:val="18"/>
                <w:lang w:eastAsia="es-ES"/>
              </w:rPr>
            </w:pPr>
            <w:r w:rsidRPr="00FF68A8">
              <w:rPr>
                <w:rFonts w:ascii="Times New Roman" w:hAnsi="Times New Roman"/>
                <w:sz w:val="18"/>
                <w:szCs w:val="18"/>
                <w:lang w:eastAsia="es-ES"/>
              </w:rPr>
              <w:t>Camions et piétons qui partagent le même espace de circulation</w:t>
            </w:r>
          </w:p>
        </w:tc>
      </w:tr>
      <w:tr w:rsidR="00022D23" w:rsidRPr="00AA45E9" w:rsidTr="009B3AB5">
        <w:trPr>
          <w:trHeight w:val="943"/>
          <w:jc w:val="center"/>
        </w:trPr>
        <w:tc>
          <w:tcPr>
            <w:tcW w:w="1186" w:type="dxa"/>
            <w:vMerge/>
            <w:shd w:val="clear" w:color="auto" w:fill="auto"/>
            <w:vAlign w:val="center"/>
          </w:tcPr>
          <w:p w:rsidR="00022D23" w:rsidRPr="00FF68A8" w:rsidRDefault="00022D23" w:rsidP="00764FFF">
            <w:pPr>
              <w:spacing w:after="200" w:line="276" w:lineRule="auto"/>
              <w:jc w:val="both"/>
              <w:rPr>
                <w:rFonts w:ascii="Times New Roman" w:hAnsi="Times New Roman"/>
                <w:sz w:val="18"/>
                <w:szCs w:val="18"/>
              </w:rPr>
            </w:pPr>
          </w:p>
        </w:tc>
        <w:tc>
          <w:tcPr>
            <w:tcW w:w="1508" w:type="dxa"/>
            <w:tcBorders>
              <w:bottom w:val="single" w:sz="4" w:space="0" w:color="auto"/>
            </w:tcBorders>
            <w:shd w:val="clear" w:color="auto" w:fill="FFFF00"/>
            <w:vAlign w:val="center"/>
          </w:tcPr>
          <w:p w:rsidR="00022D23" w:rsidRPr="00022D23" w:rsidRDefault="00022D23" w:rsidP="00022D23">
            <w:pPr>
              <w:spacing w:after="200" w:line="276" w:lineRule="auto"/>
              <w:jc w:val="both"/>
              <w:rPr>
                <w:rFonts w:ascii="Times New Roman" w:hAnsi="Times New Roman"/>
                <w:sz w:val="18"/>
                <w:szCs w:val="18"/>
              </w:rPr>
            </w:pPr>
            <w:r w:rsidRPr="00022D23">
              <w:rPr>
                <w:rFonts w:ascii="Times New Roman" w:hAnsi="Times New Roman"/>
                <w:sz w:val="18"/>
                <w:szCs w:val="18"/>
              </w:rPr>
              <w:t>Travaux en hauteur aux abords des réservoirs</w:t>
            </w:r>
          </w:p>
          <w:p w:rsidR="00022D23" w:rsidRPr="00022D23" w:rsidRDefault="00022D23" w:rsidP="00022D23">
            <w:pPr>
              <w:spacing w:after="200" w:line="276" w:lineRule="auto"/>
              <w:jc w:val="both"/>
              <w:rPr>
                <w:rFonts w:ascii="Times New Roman" w:hAnsi="Times New Roman"/>
                <w:sz w:val="18"/>
                <w:szCs w:val="18"/>
              </w:rPr>
            </w:pPr>
            <w:r w:rsidRPr="00022D23">
              <w:rPr>
                <w:rFonts w:ascii="Times New Roman" w:hAnsi="Times New Roman"/>
                <w:sz w:val="18"/>
                <w:szCs w:val="18"/>
              </w:rPr>
              <w:t>Intervention en espace confiné (intérieur réservoir)</w:t>
            </w:r>
          </w:p>
          <w:p w:rsidR="00022D23" w:rsidRPr="00022D23" w:rsidRDefault="00022D23" w:rsidP="00022D23">
            <w:pPr>
              <w:spacing w:after="200" w:line="276" w:lineRule="auto"/>
              <w:jc w:val="both"/>
              <w:rPr>
                <w:rFonts w:ascii="Times New Roman" w:hAnsi="Times New Roman"/>
                <w:sz w:val="18"/>
                <w:szCs w:val="18"/>
              </w:rPr>
            </w:pPr>
            <w:r w:rsidRPr="00022D23">
              <w:rPr>
                <w:rFonts w:ascii="Times New Roman" w:hAnsi="Times New Roman"/>
                <w:sz w:val="18"/>
                <w:szCs w:val="18"/>
              </w:rPr>
              <w:t>Actes de malveillance / vandalisme</w:t>
            </w:r>
          </w:p>
          <w:p w:rsidR="00022D23" w:rsidRPr="00022D23" w:rsidRDefault="00022D23" w:rsidP="00022D23">
            <w:pPr>
              <w:spacing w:after="200" w:line="276" w:lineRule="auto"/>
              <w:jc w:val="both"/>
              <w:rPr>
                <w:rFonts w:ascii="Times New Roman" w:hAnsi="Times New Roman"/>
                <w:sz w:val="18"/>
                <w:szCs w:val="18"/>
              </w:rPr>
            </w:pPr>
            <w:r w:rsidRPr="00022D23">
              <w:rPr>
                <w:rFonts w:ascii="Times New Roman" w:hAnsi="Times New Roman"/>
                <w:sz w:val="18"/>
                <w:szCs w:val="18"/>
              </w:rPr>
              <w:t xml:space="preserve">Travail en hauteur sur les installations électriques </w:t>
            </w:r>
          </w:p>
          <w:p w:rsidR="00022D23" w:rsidRPr="00022D23" w:rsidRDefault="00022D23" w:rsidP="00022D23">
            <w:pPr>
              <w:spacing w:after="200" w:line="276" w:lineRule="auto"/>
              <w:jc w:val="both"/>
              <w:rPr>
                <w:rFonts w:ascii="Times New Roman" w:hAnsi="Times New Roman"/>
                <w:sz w:val="18"/>
                <w:szCs w:val="18"/>
              </w:rPr>
            </w:pPr>
            <w:r w:rsidRPr="00022D23">
              <w:rPr>
                <w:rFonts w:ascii="Times New Roman" w:hAnsi="Times New Roman"/>
                <w:sz w:val="18"/>
                <w:szCs w:val="18"/>
              </w:rPr>
              <w:t>Manipulation de matière dangereuse pour traiter le bois des poteaux électriques (si applicable)</w:t>
            </w:r>
          </w:p>
          <w:p w:rsidR="00022D23" w:rsidRPr="00FF68A8" w:rsidRDefault="00022D23" w:rsidP="00022D23">
            <w:pPr>
              <w:spacing w:after="200" w:line="276" w:lineRule="auto"/>
              <w:jc w:val="both"/>
              <w:rPr>
                <w:rFonts w:ascii="Times New Roman" w:hAnsi="Times New Roman"/>
                <w:sz w:val="18"/>
                <w:szCs w:val="18"/>
              </w:rPr>
            </w:pPr>
          </w:p>
        </w:tc>
        <w:tc>
          <w:tcPr>
            <w:tcW w:w="1819" w:type="dxa"/>
            <w:tcBorders>
              <w:bottom w:val="single" w:sz="4" w:space="0" w:color="auto"/>
            </w:tcBorders>
            <w:shd w:val="clear" w:color="auto" w:fill="auto"/>
            <w:vAlign w:val="center"/>
          </w:tcPr>
          <w:p w:rsidR="00022D23" w:rsidRPr="00FF68A8" w:rsidRDefault="00022D23" w:rsidP="00764FFF">
            <w:pPr>
              <w:spacing w:after="200" w:line="276" w:lineRule="auto"/>
              <w:jc w:val="both"/>
              <w:rPr>
                <w:rFonts w:ascii="Times New Roman" w:hAnsi="Times New Roman"/>
                <w:sz w:val="18"/>
                <w:szCs w:val="18"/>
                <w:lang w:eastAsia="es-ES"/>
              </w:rPr>
            </w:pPr>
          </w:p>
        </w:tc>
        <w:tc>
          <w:tcPr>
            <w:tcW w:w="5539" w:type="dxa"/>
            <w:tcBorders>
              <w:bottom w:val="single" w:sz="4" w:space="0" w:color="auto"/>
            </w:tcBorders>
            <w:shd w:val="clear" w:color="auto" w:fill="auto"/>
            <w:vAlign w:val="center"/>
          </w:tcPr>
          <w:p w:rsidR="00022D23" w:rsidRPr="00FF68A8" w:rsidRDefault="00022D23" w:rsidP="00FA3FAE">
            <w:pPr>
              <w:numPr>
                <w:ilvl w:val="0"/>
                <w:numId w:val="99"/>
              </w:numPr>
              <w:spacing w:after="0" w:line="240" w:lineRule="auto"/>
              <w:jc w:val="both"/>
              <w:rPr>
                <w:rFonts w:ascii="Times New Roman" w:hAnsi="Times New Roman"/>
                <w:sz w:val="18"/>
                <w:szCs w:val="18"/>
                <w:lang w:eastAsia="es-ES"/>
              </w:rPr>
            </w:pPr>
          </w:p>
        </w:tc>
      </w:tr>
      <w:tr w:rsidR="00F614CC" w:rsidRPr="00AA45E9" w:rsidTr="00F614CC">
        <w:trPr>
          <w:trHeight w:val="145"/>
          <w:jc w:val="center"/>
        </w:trPr>
        <w:tc>
          <w:tcPr>
            <w:tcW w:w="1186" w:type="dxa"/>
            <w:vMerge/>
            <w:shd w:val="clear" w:color="auto" w:fill="auto"/>
            <w:vAlign w:val="center"/>
          </w:tcPr>
          <w:p w:rsidR="00F614CC" w:rsidRPr="00FF68A8" w:rsidRDefault="00F614CC" w:rsidP="00764FFF">
            <w:pPr>
              <w:autoSpaceDE w:val="0"/>
              <w:autoSpaceDN w:val="0"/>
              <w:adjustRightInd w:val="0"/>
              <w:spacing w:after="200" w:line="276" w:lineRule="auto"/>
              <w:jc w:val="both"/>
              <w:rPr>
                <w:rFonts w:ascii="Times New Roman" w:hAnsi="Times New Roman"/>
                <w:sz w:val="18"/>
                <w:szCs w:val="18"/>
                <w:lang w:eastAsia="es-ES"/>
              </w:rPr>
            </w:pPr>
          </w:p>
        </w:tc>
        <w:tc>
          <w:tcPr>
            <w:tcW w:w="1508" w:type="dxa"/>
            <w:tcBorders>
              <w:bottom w:val="single" w:sz="4" w:space="0" w:color="auto"/>
            </w:tcBorders>
            <w:shd w:val="clear" w:color="auto" w:fill="auto"/>
            <w:vAlign w:val="center"/>
          </w:tcPr>
          <w:p w:rsidR="00F614CC" w:rsidRPr="00FF68A8" w:rsidRDefault="00F614CC" w:rsidP="00764FFF">
            <w:pPr>
              <w:autoSpaceDE w:val="0"/>
              <w:autoSpaceDN w:val="0"/>
              <w:adjustRightInd w:val="0"/>
              <w:spacing w:after="200" w:line="276" w:lineRule="auto"/>
              <w:jc w:val="both"/>
              <w:rPr>
                <w:rFonts w:ascii="Times New Roman" w:hAnsi="Times New Roman"/>
                <w:sz w:val="18"/>
                <w:szCs w:val="18"/>
                <w:lang w:eastAsia="es-ES"/>
              </w:rPr>
            </w:pPr>
            <w:r w:rsidRPr="00FF68A8">
              <w:rPr>
                <w:rFonts w:ascii="Times New Roman" w:hAnsi="Times New Roman"/>
                <w:sz w:val="18"/>
                <w:szCs w:val="18"/>
                <w:lang w:eastAsia="es-ES"/>
              </w:rPr>
              <w:t>Opérations de nettoyage</w:t>
            </w:r>
            <w:r>
              <w:rPr>
                <w:rFonts w:ascii="Times New Roman" w:hAnsi="Times New Roman"/>
                <w:sz w:val="18"/>
                <w:szCs w:val="18"/>
                <w:lang w:eastAsia="es-ES"/>
              </w:rPr>
              <w:t xml:space="preserve"> des réservoirs</w:t>
            </w:r>
          </w:p>
        </w:tc>
        <w:tc>
          <w:tcPr>
            <w:tcW w:w="1819" w:type="dxa"/>
            <w:tcBorders>
              <w:bottom w:val="single" w:sz="4" w:space="0" w:color="auto"/>
            </w:tcBorders>
            <w:shd w:val="clear" w:color="auto" w:fill="auto"/>
            <w:vAlign w:val="center"/>
          </w:tcPr>
          <w:p w:rsidR="00F614CC" w:rsidRPr="00FF68A8" w:rsidRDefault="00F614CC" w:rsidP="00764FFF">
            <w:pPr>
              <w:spacing w:after="200" w:line="276" w:lineRule="auto"/>
              <w:jc w:val="both"/>
              <w:rPr>
                <w:rFonts w:ascii="Times New Roman" w:hAnsi="Times New Roman"/>
                <w:sz w:val="18"/>
                <w:szCs w:val="18"/>
                <w:lang w:eastAsia="es-ES"/>
              </w:rPr>
            </w:pPr>
            <w:r w:rsidRPr="00FF68A8">
              <w:rPr>
                <w:rFonts w:ascii="Times New Roman" w:hAnsi="Times New Roman"/>
                <w:sz w:val="18"/>
                <w:szCs w:val="18"/>
                <w:lang w:eastAsia="es-ES"/>
              </w:rPr>
              <w:t>Personnel de production</w:t>
            </w:r>
          </w:p>
        </w:tc>
        <w:tc>
          <w:tcPr>
            <w:tcW w:w="5539" w:type="dxa"/>
            <w:tcBorders>
              <w:bottom w:val="single" w:sz="4" w:space="0" w:color="auto"/>
            </w:tcBorders>
            <w:shd w:val="clear" w:color="auto" w:fill="auto"/>
            <w:vAlign w:val="center"/>
          </w:tcPr>
          <w:p w:rsidR="00F614CC" w:rsidRPr="00FF68A8" w:rsidRDefault="00F614CC" w:rsidP="00FA3FAE">
            <w:pPr>
              <w:numPr>
                <w:ilvl w:val="0"/>
                <w:numId w:val="99"/>
              </w:numPr>
              <w:spacing w:after="0" w:line="240" w:lineRule="auto"/>
              <w:jc w:val="both"/>
              <w:rPr>
                <w:rFonts w:ascii="Times New Roman" w:hAnsi="Times New Roman"/>
                <w:sz w:val="18"/>
                <w:szCs w:val="18"/>
              </w:rPr>
            </w:pPr>
            <w:r w:rsidRPr="00FF68A8">
              <w:rPr>
                <w:rFonts w:ascii="Times New Roman" w:hAnsi="Times New Roman"/>
                <w:sz w:val="18"/>
                <w:szCs w:val="18"/>
              </w:rPr>
              <w:t>Contact avec des agents mutagènes et pathogènes</w:t>
            </w:r>
          </w:p>
          <w:p w:rsidR="00F614CC" w:rsidRPr="00FF68A8" w:rsidRDefault="00F614CC" w:rsidP="00FA3FAE">
            <w:pPr>
              <w:numPr>
                <w:ilvl w:val="0"/>
                <w:numId w:val="99"/>
              </w:numPr>
              <w:spacing w:after="0" w:line="240" w:lineRule="auto"/>
              <w:jc w:val="both"/>
              <w:rPr>
                <w:rFonts w:ascii="Times New Roman" w:hAnsi="Times New Roman"/>
                <w:sz w:val="18"/>
                <w:szCs w:val="18"/>
              </w:rPr>
            </w:pPr>
            <w:r w:rsidRPr="00FF68A8">
              <w:rPr>
                <w:rFonts w:ascii="Times New Roman" w:hAnsi="Times New Roman"/>
                <w:sz w:val="18"/>
                <w:szCs w:val="18"/>
              </w:rPr>
              <w:t>Absence d’EPI</w:t>
            </w:r>
          </w:p>
          <w:p w:rsidR="00F614CC" w:rsidRPr="00FF68A8" w:rsidRDefault="00F614CC" w:rsidP="00FA3FAE">
            <w:pPr>
              <w:numPr>
                <w:ilvl w:val="0"/>
                <w:numId w:val="99"/>
              </w:numPr>
              <w:spacing w:after="0" w:line="240" w:lineRule="auto"/>
              <w:jc w:val="both"/>
              <w:rPr>
                <w:rFonts w:ascii="Times New Roman" w:hAnsi="Times New Roman"/>
                <w:sz w:val="18"/>
                <w:szCs w:val="18"/>
              </w:rPr>
            </w:pPr>
            <w:r w:rsidRPr="00FF68A8">
              <w:rPr>
                <w:rFonts w:ascii="Times New Roman" w:hAnsi="Times New Roman"/>
                <w:sz w:val="18"/>
                <w:szCs w:val="18"/>
              </w:rPr>
              <w:t xml:space="preserve">Mauvaise odeur </w:t>
            </w:r>
          </w:p>
          <w:p w:rsidR="00F614CC" w:rsidRPr="00FF68A8" w:rsidRDefault="00F614CC" w:rsidP="00FA3FAE">
            <w:pPr>
              <w:numPr>
                <w:ilvl w:val="0"/>
                <w:numId w:val="99"/>
              </w:numPr>
              <w:spacing w:after="0" w:line="240" w:lineRule="auto"/>
              <w:jc w:val="both"/>
              <w:rPr>
                <w:rFonts w:ascii="Times New Roman" w:hAnsi="Times New Roman"/>
                <w:sz w:val="18"/>
                <w:szCs w:val="18"/>
              </w:rPr>
            </w:pPr>
            <w:r w:rsidRPr="00FF68A8">
              <w:rPr>
                <w:rFonts w:ascii="Times New Roman" w:hAnsi="Times New Roman"/>
                <w:sz w:val="18"/>
                <w:szCs w:val="18"/>
              </w:rPr>
              <w:t>Circulation aux abords</w:t>
            </w:r>
          </w:p>
        </w:tc>
      </w:tr>
      <w:tr w:rsidR="00F614CC" w:rsidRPr="00AA45E9" w:rsidTr="00F614CC">
        <w:trPr>
          <w:trHeight w:val="1317"/>
          <w:jc w:val="center"/>
        </w:trPr>
        <w:tc>
          <w:tcPr>
            <w:tcW w:w="1186" w:type="dxa"/>
            <w:vMerge/>
            <w:shd w:val="clear" w:color="auto" w:fill="auto"/>
            <w:vAlign w:val="center"/>
          </w:tcPr>
          <w:p w:rsidR="00F614CC" w:rsidRPr="00FF68A8" w:rsidRDefault="00F614CC" w:rsidP="00764FFF">
            <w:pPr>
              <w:autoSpaceDE w:val="0"/>
              <w:autoSpaceDN w:val="0"/>
              <w:adjustRightInd w:val="0"/>
              <w:spacing w:after="200" w:line="276" w:lineRule="auto"/>
              <w:jc w:val="both"/>
              <w:rPr>
                <w:rFonts w:ascii="Times New Roman" w:hAnsi="Times New Roman"/>
                <w:sz w:val="18"/>
                <w:szCs w:val="18"/>
                <w:lang w:eastAsia="es-ES"/>
              </w:rPr>
            </w:pPr>
          </w:p>
        </w:tc>
        <w:tc>
          <w:tcPr>
            <w:tcW w:w="1508" w:type="dxa"/>
            <w:tcBorders>
              <w:bottom w:val="single" w:sz="4" w:space="0" w:color="auto"/>
            </w:tcBorders>
            <w:shd w:val="clear" w:color="auto" w:fill="auto"/>
            <w:vAlign w:val="center"/>
          </w:tcPr>
          <w:p w:rsidR="00F614CC" w:rsidRPr="00FF68A8" w:rsidRDefault="00F614CC" w:rsidP="00764FFF">
            <w:pPr>
              <w:autoSpaceDE w:val="0"/>
              <w:autoSpaceDN w:val="0"/>
              <w:adjustRightInd w:val="0"/>
              <w:spacing w:after="0" w:line="276" w:lineRule="auto"/>
              <w:jc w:val="both"/>
              <w:rPr>
                <w:rFonts w:ascii="Times New Roman" w:hAnsi="Times New Roman"/>
                <w:sz w:val="18"/>
                <w:szCs w:val="18"/>
                <w:lang w:eastAsia="es-ES"/>
              </w:rPr>
            </w:pPr>
            <w:r w:rsidRPr="00FF68A8">
              <w:rPr>
                <w:rFonts w:ascii="Times New Roman" w:hAnsi="Times New Roman"/>
                <w:sz w:val="18"/>
                <w:szCs w:val="18"/>
                <w:lang w:eastAsia="es-ES"/>
              </w:rPr>
              <w:t>Travaux de maintenance ou activités qui s’effectuent avec des équipements électriques</w:t>
            </w:r>
          </w:p>
        </w:tc>
        <w:tc>
          <w:tcPr>
            <w:tcW w:w="1819" w:type="dxa"/>
            <w:tcBorders>
              <w:bottom w:val="single" w:sz="4" w:space="0" w:color="auto"/>
            </w:tcBorders>
            <w:shd w:val="clear" w:color="auto" w:fill="auto"/>
            <w:vAlign w:val="center"/>
          </w:tcPr>
          <w:p w:rsidR="00F614CC" w:rsidRPr="00FF68A8" w:rsidRDefault="00F614CC" w:rsidP="00764FFF">
            <w:pPr>
              <w:spacing w:after="200" w:line="276" w:lineRule="auto"/>
              <w:jc w:val="both"/>
              <w:rPr>
                <w:rFonts w:ascii="Times New Roman" w:hAnsi="Times New Roman"/>
                <w:sz w:val="18"/>
                <w:szCs w:val="18"/>
                <w:lang w:eastAsia="es-ES"/>
              </w:rPr>
            </w:pPr>
            <w:r w:rsidRPr="00FF68A8">
              <w:rPr>
                <w:rFonts w:ascii="Times New Roman" w:hAnsi="Times New Roman"/>
                <w:sz w:val="18"/>
                <w:szCs w:val="18"/>
              </w:rPr>
              <w:t>Personnel de maintenance ou personnel qui travaille sur les équipements électriques</w:t>
            </w:r>
          </w:p>
        </w:tc>
        <w:tc>
          <w:tcPr>
            <w:tcW w:w="5539" w:type="dxa"/>
            <w:tcBorders>
              <w:bottom w:val="single" w:sz="4" w:space="0" w:color="auto"/>
            </w:tcBorders>
            <w:shd w:val="clear" w:color="auto" w:fill="auto"/>
            <w:vAlign w:val="center"/>
          </w:tcPr>
          <w:p w:rsidR="00EC2325" w:rsidRDefault="00EC2325" w:rsidP="00FA3FAE">
            <w:pPr>
              <w:numPr>
                <w:ilvl w:val="0"/>
                <w:numId w:val="99"/>
              </w:numPr>
              <w:spacing w:after="0" w:line="240" w:lineRule="auto"/>
              <w:jc w:val="both"/>
              <w:rPr>
                <w:rFonts w:ascii="Times New Roman" w:hAnsi="Times New Roman"/>
                <w:sz w:val="18"/>
                <w:szCs w:val="18"/>
              </w:rPr>
            </w:pPr>
            <w:r w:rsidRPr="00206F59">
              <w:rPr>
                <w:rFonts w:ascii="Times New Roman" w:hAnsi="Times New Roman"/>
                <w:sz w:val="18"/>
                <w:szCs w:val="18"/>
              </w:rPr>
              <w:t xml:space="preserve">Contact </w:t>
            </w:r>
            <w:r w:rsidRPr="003D2B3F">
              <w:rPr>
                <w:rFonts w:ascii="Times New Roman" w:hAnsi="Times New Roman"/>
                <w:sz w:val="18"/>
                <w:szCs w:val="18"/>
              </w:rPr>
              <w:t xml:space="preserve">direct ou indirect </w:t>
            </w:r>
            <w:r w:rsidRPr="00206F59">
              <w:rPr>
                <w:rFonts w:ascii="Times New Roman" w:hAnsi="Times New Roman"/>
                <w:sz w:val="18"/>
                <w:szCs w:val="18"/>
              </w:rPr>
              <w:t>avec des installations ou équipements électriques non conformes ou défectueuses</w:t>
            </w:r>
          </w:p>
          <w:p w:rsidR="00EC2325" w:rsidRDefault="00EC2325" w:rsidP="00FA3FAE">
            <w:pPr>
              <w:numPr>
                <w:ilvl w:val="0"/>
                <w:numId w:val="99"/>
              </w:numPr>
              <w:spacing w:after="0" w:line="240" w:lineRule="auto"/>
              <w:jc w:val="both"/>
              <w:rPr>
                <w:rFonts w:ascii="Times New Roman" w:hAnsi="Times New Roman"/>
                <w:sz w:val="18"/>
                <w:szCs w:val="18"/>
              </w:rPr>
            </w:pPr>
            <w:r>
              <w:rPr>
                <w:rFonts w:ascii="Times New Roman" w:hAnsi="Times New Roman"/>
                <w:sz w:val="18"/>
                <w:szCs w:val="18"/>
              </w:rPr>
              <w:t xml:space="preserve">Travail en hauteur sur les installations électriques </w:t>
            </w:r>
          </w:p>
          <w:p w:rsidR="00F614CC" w:rsidRPr="00FF68A8" w:rsidRDefault="00EC2325" w:rsidP="00FA3FAE">
            <w:pPr>
              <w:numPr>
                <w:ilvl w:val="0"/>
                <w:numId w:val="99"/>
              </w:numPr>
              <w:spacing w:after="0" w:line="240" w:lineRule="auto"/>
              <w:jc w:val="both"/>
              <w:rPr>
                <w:rFonts w:ascii="Times New Roman" w:hAnsi="Times New Roman"/>
                <w:sz w:val="18"/>
                <w:szCs w:val="18"/>
              </w:rPr>
            </w:pPr>
            <w:r w:rsidRPr="0083362F">
              <w:rPr>
                <w:rFonts w:ascii="Times New Roman" w:hAnsi="Times New Roman"/>
                <w:sz w:val="18"/>
                <w:szCs w:val="18"/>
              </w:rPr>
              <w:t>Manipulation de matière</w:t>
            </w:r>
            <w:r>
              <w:rPr>
                <w:rFonts w:ascii="Times New Roman" w:hAnsi="Times New Roman"/>
                <w:sz w:val="18"/>
                <w:szCs w:val="18"/>
              </w:rPr>
              <w:t xml:space="preserve"> </w:t>
            </w:r>
            <w:r w:rsidRPr="0083362F">
              <w:rPr>
                <w:rFonts w:ascii="Times New Roman" w:hAnsi="Times New Roman"/>
                <w:sz w:val="18"/>
                <w:szCs w:val="18"/>
              </w:rPr>
              <w:t>dangereuse pour traiter le bois des poteaux</w:t>
            </w:r>
            <w:r>
              <w:rPr>
                <w:rFonts w:ascii="Times New Roman" w:hAnsi="Times New Roman"/>
                <w:sz w:val="18"/>
                <w:szCs w:val="18"/>
              </w:rPr>
              <w:t xml:space="preserve"> électriques (si applicable)</w:t>
            </w:r>
          </w:p>
        </w:tc>
      </w:tr>
    </w:tbl>
    <w:p w:rsidR="00764FFF" w:rsidRPr="003E743A" w:rsidRDefault="00764FFF" w:rsidP="00764FFF">
      <w:pPr>
        <w:tabs>
          <w:tab w:val="left" w:pos="1155"/>
        </w:tabs>
        <w:jc w:val="both"/>
        <w:rPr>
          <w:rFonts w:ascii="Times New Roman" w:hAnsi="Times New Roman"/>
          <w:b/>
          <w:u w:val="single"/>
          <w:lang w:bidi="en-US"/>
        </w:rPr>
        <w:sectPr w:rsidR="00764FFF" w:rsidRPr="003E743A" w:rsidSect="00764FFF">
          <w:pgSz w:w="12240" w:h="15840"/>
          <w:pgMar w:top="1417" w:right="1417" w:bottom="1417" w:left="1417" w:header="720" w:footer="720" w:gutter="0"/>
          <w:cols w:space="720"/>
          <w:noEndnote/>
          <w:docGrid w:linePitch="299"/>
        </w:sectPr>
      </w:pPr>
    </w:p>
    <w:p w:rsidR="00764FFF" w:rsidRPr="00BA3EE1" w:rsidRDefault="00764FFF" w:rsidP="00BA3EE1">
      <w:pPr>
        <w:jc w:val="center"/>
        <w:rPr>
          <w:rFonts w:ascii="Times New Roman" w:hAnsi="Times New Roman" w:cs="Times New Roman"/>
          <w:b/>
          <w:sz w:val="20"/>
          <w:szCs w:val="20"/>
        </w:rPr>
      </w:pPr>
      <w:bookmarkStart w:id="426" w:name="_Toc484171882"/>
      <w:bookmarkStart w:id="427" w:name="_Toc501379799"/>
      <w:bookmarkStart w:id="428" w:name="_Toc525312944"/>
      <w:bookmarkStart w:id="429" w:name="_Toc525422003"/>
      <w:bookmarkStart w:id="430" w:name="_Toc11158770"/>
      <w:bookmarkStart w:id="431" w:name="_Toc51074018"/>
      <w:r w:rsidRPr="00BA3EE1">
        <w:rPr>
          <w:rFonts w:ascii="Times New Roman" w:hAnsi="Times New Roman" w:cs="Times New Roman"/>
          <w:b/>
          <w:sz w:val="20"/>
          <w:szCs w:val="20"/>
        </w:rPr>
        <w:lastRenderedPageBreak/>
        <w:t xml:space="preserve">Tableau </w:t>
      </w:r>
      <w:r w:rsidRPr="00BA3EE1">
        <w:rPr>
          <w:rFonts w:ascii="Times New Roman" w:hAnsi="Times New Roman" w:cs="Times New Roman"/>
          <w:b/>
          <w:sz w:val="20"/>
          <w:szCs w:val="20"/>
        </w:rPr>
        <w:fldChar w:fldCharType="begin"/>
      </w:r>
      <w:r w:rsidRPr="00BA3EE1">
        <w:rPr>
          <w:rFonts w:ascii="Times New Roman" w:hAnsi="Times New Roman" w:cs="Times New Roman"/>
          <w:b/>
          <w:sz w:val="20"/>
          <w:szCs w:val="20"/>
        </w:rPr>
        <w:instrText xml:space="preserve"> SEQ Tableau \* ARABIC </w:instrText>
      </w:r>
      <w:r w:rsidRPr="00BA3EE1">
        <w:rPr>
          <w:rFonts w:ascii="Times New Roman" w:hAnsi="Times New Roman" w:cs="Times New Roman"/>
          <w:b/>
          <w:sz w:val="20"/>
          <w:szCs w:val="20"/>
        </w:rPr>
        <w:fldChar w:fldCharType="separate"/>
      </w:r>
      <w:r w:rsidR="00820701">
        <w:rPr>
          <w:rFonts w:ascii="Times New Roman" w:hAnsi="Times New Roman" w:cs="Times New Roman"/>
          <w:b/>
          <w:noProof/>
          <w:sz w:val="20"/>
          <w:szCs w:val="20"/>
        </w:rPr>
        <w:t>27</w:t>
      </w:r>
      <w:r w:rsidRPr="00BA3EE1">
        <w:rPr>
          <w:rFonts w:ascii="Times New Roman" w:hAnsi="Times New Roman" w:cs="Times New Roman"/>
          <w:b/>
          <w:sz w:val="20"/>
          <w:szCs w:val="20"/>
        </w:rPr>
        <w:fldChar w:fldCharType="end"/>
      </w:r>
      <w:r w:rsidRPr="00BA3EE1">
        <w:rPr>
          <w:rFonts w:ascii="Times New Roman" w:hAnsi="Times New Roman" w:cs="Times New Roman"/>
          <w:b/>
          <w:sz w:val="20"/>
          <w:szCs w:val="20"/>
        </w:rPr>
        <w:t> : Analyse des risques phase construction</w:t>
      </w:r>
      <w:bookmarkEnd w:id="426"/>
      <w:bookmarkEnd w:id="427"/>
      <w:bookmarkEnd w:id="428"/>
      <w:bookmarkEnd w:id="429"/>
      <w:bookmarkEnd w:id="430"/>
      <w:bookmarkEnd w:id="431"/>
    </w:p>
    <w:tbl>
      <w:tblPr>
        <w:tblW w:w="14913" w:type="dxa"/>
        <w:tblInd w:w="-10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79"/>
        <w:gridCol w:w="993"/>
        <w:gridCol w:w="1276"/>
        <w:gridCol w:w="1134"/>
        <w:gridCol w:w="1417"/>
        <w:gridCol w:w="709"/>
        <w:gridCol w:w="709"/>
        <w:gridCol w:w="708"/>
        <w:gridCol w:w="4111"/>
        <w:gridCol w:w="709"/>
        <w:gridCol w:w="709"/>
        <w:gridCol w:w="708"/>
        <w:gridCol w:w="851"/>
      </w:tblGrid>
      <w:tr w:rsidR="00764FFF" w:rsidRPr="00AA45E9" w:rsidTr="00764FFF">
        <w:trPr>
          <w:trHeight w:val="506"/>
          <w:tblHeader/>
        </w:trPr>
        <w:tc>
          <w:tcPr>
            <w:tcW w:w="879" w:type="dxa"/>
            <w:vMerge w:val="restart"/>
            <w:shd w:val="clear" w:color="auto" w:fill="A8D08F"/>
            <w:vAlign w:val="center"/>
          </w:tcPr>
          <w:p w:rsidR="00764FFF" w:rsidRPr="00AA45E9" w:rsidRDefault="00764FFF" w:rsidP="00764FFF">
            <w:pPr>
              <w:spacing w:after="0" w:line="240" w:lineRule="auto"/>
              <w:rPr>
                <w:rFonts w:ascii="Times New Roman" w:hAnsi="Times New Roman"/>
                <w:sz w:val="16"/>
                <w:szCs w:val="16"/>
              </w:rPr>
            </w:pPr>
            <w:r w:rsidRPr="00AA45E9">
              <w:rPr>
                <w:rFonts w:ascii="Times New Roman" w:hAnsi="Times New Roman"/>
                <w:sz w:val="16"/>
                <w:szCs w:val="16"/>
              </w:rPr>
              <w:t>Activité</w:t>
            </w:r>
          </w:p>
        </w:tc>
        <w:tc>
          <w:tcPr>
            <w:tcW w:w="993" w:type="dxa"/>
            <w:vMerge w:val="restart"/>
            <w:shd w:val="clear" w:color="auto" w:fill="A8D08F"/>
            <w:vAlign w:val="center"/>
          </w:tcPr>
          <w:p w:rsidR="00764FFF" w:rsidRPr="00AA45E9" w:rsidRDefault="00764FFF" w:rsidP="00764FFF">
            <w:pPr>
              <w:spacing w:after="0" w:line="240" w:lineRule="auto"/>
              <w:rPr>
                <w:rFonts w:ascii="Times New Roman" w:hAnsi="Times New Roman"/>
                <w:sz w:val="16"/>
                <w:szCs w:val="16"/>
              </w:rPr>
            </w:pPr>
            <w:r w:rsidRPr="00AA45E9">
              <w:rPr>
                <w:rFonts w:ascii="Times New Roman" w:hAnsi="Times New Roman"/>
                <w:sz w:val="16"/>
                <w:szCs w:val="16"/>
              </w:rPr>
              <w:t>Poste où personnel exposé</w:t>
            </w:r>
          </w:p>
          <w:p w:rsidR="00764FFF" w:rsidRPr="00AA45E9" w:rsidRDefault="00764FFF" w:rsidP="00764FFF">
            <w:pPr>
              <w:spacing w:after="0" w:line="240" w:lineRule="auto"/>
              <w:rPr>
                <w:rFonts w:ascii="Times New Roman" w:hAnsi="Times New Roman"/>
                <w:sz w:val="16"/>
                <w:szCs w:val="16"/>
              </w:rPr>
            </w:pPr>
          </w:p>
        </w:tc>
        <w:tc>
          <w:tcPr>
            <w:tcW w:w="1276" w:type="dxa"/>
            <w:vMerge w:val="restart"/>
            <w:shd w:val="clear" w:color="auto" w:fill="A8D08F"/>
            <w:vAlign w:val="center"/>
          </w:tcPr>
          <w:p w:rsidR="00764FFF" w:rsidRPr="00AA45E9" w:rsidRDefault="00764FFF" w:rsidP="00764FFF">
            <w:pPr>
              <w:spacing w:after="0" w:line="240" w:lineRule="auto"/>
              <w:rPr>
                <w:rFonts w:ascii="Times New Roman" w:hAnsi="Times New Roman"/>
                <w:sz w:val="16"/>
                <w:szCs w:val="16"/>
              </w:rPr>
            </w:pPr>
            <w:r w:rsidRPr="00AA45E9">
              <w:rPr>
                <w:rFonts w:ascii="Times New Roman" w:hAnsi="Times New Roman"/>
                <w:sz w:val="16"/>
                <w:szCs w:val="16"/>
              </w:rPr>
              <w:t>Famille de risque</w:t>
            </w:r>
          </w:p>
        </w:tc>
        <w:tc>
          <w:tcPr>
            <w:tcW w:w="1134" w:type="dxa"/>
            <w:vMerge w:val="restart"/>
            <w:shd w:val="clear" w:color="auto" w:fill="A8D08F"/>
            <w:vAlign w:val="center"/>
          </w:tcPr>
          <w:p w:rsidR="00764FFF" w:rsidRPr="00AA45E9" w:rsidRDefault="00764FFF" w:rsidP="00764FFF">
            <w:pPr>
              <w:spacing w:after="0" w:line="240" w:lineRule="auto"/>
              <w:rPr>
                <w:rFonts w:ascii="Times New Roman" w:hAnsi="Times New Roman"/>
                <w:sz w:val="16"/>
                <w:szCs w:val="16"/>
              </w:rPr>
            </w:pPr>
            <w:r w:rsidRPr="00AA45E9">
              <w:rPr>
                <w:rFonts w:ascii="Times New Roman" w:hAnsi="Times New Roman"/>
                <w:sz w:val="16"/>
                <w:szCs w:val="16"/>
              </w:rPr>
              <w:t>Risque initial</w:t>
            </w:r>
          </w:p>
        </w:tc>
        <w:tc>
          <w:tcPr>
            <w:tcW w:w="1417" w:type="dxa"/>
            <w:vMerge w:val="restart"/>
            <w:shd w:val="clear" w:color="auto" w:fill="A8D08F"/>
            <w:vAlign w:val="center"/>
          </w:tcPr>
          <w:p w:rsidR="00764FFF" w:rsidRPr="00AA45E9" w:rsidRDefault="00764FFF" w:rsidP="00764FFF">
            <w:pPr>
              <w:spacing w:after="0" w:line="240" w:lineRule="auto"/>
              <w:rPr>
                <w:rFonts w:ascii="Times New Roman" w:hAnsi="Times New Roman"/>
                <w:sz w:val="16"/>
                <w:szCs w:val="16"/>
              </w:rPr>
            </w:pPr>
            <w:r w:rsidRPr="00AA45E9">
              <w:rPr>
                <w:rFonts w:ascii="Times New Roman" w:hAnsi="Times New Roman"/>
                <w:sz w:val="16"/>
                <w:szCs w:val="16"/>
              </w:rPr>
              <w:t>Dommage (lésion, atteinte à la santé</w:t>
            </w:r>
          </w:p>
        </w:tc>
        <w:tc>
          <w:tcPr>
            <w:tcW w:w="1418" w:type="dxa"/>
            <w:gridSpan w:val="2"/>
            <w:shd w:val="clear" w:color="auto" w:fill="A8D08F"/>
            <w:vAlign w:val="center"/>
          </w:tcPr>
          <w:p w:rsidR="00764FFF" w:rsidRPr="00AA45E9" w:rsidRDefault="00764FFF" w:rsidP="00764FFF">
            <w:pPr>
              <w:spacing w:after="0" w:line="240" w:lineRule="auto"/>
              <w:rPr>
                <w:rFonts w:ascii="Times New Roman" w:hAnsi="Times New Roman"/>
                <w:sz w:val="16"/>
                <w:szCs w:val="16"/>
              </w:rPr>
            </w:pPr>
            <w:r w:rsidRPr="00AA45E9">
              <w:rPr>
                <w:rFonts w:ascii="Times New Roman" w:hAnsi="Times New Roman"/>
                <w:sz w:val="16"/>
                <w:szCs w:val="16"/>
              </w:rPr>
              <w:t>Estimation du risque initial</w:t>
            </w:r>
          </w:p>
        </w:tc>
        <w:tc>
          <w:tcPr>
            <w:tcW w:w="708" w:type="dxa"/>
            <w:vMerge w:val="restart"/>
            <w:shd w:val="clear" w:color="auto" w:fill="A8D08F"/>
            <w:vAlign w:val="center"/>
          </w:tcPr>
          <w:p w:rsidR="00764FFF" w:rsidRPr="00AA45E9" w:rsidRDefault="00764FFF" w:rsidP="00764FFF">
            <w:pPr>
              <w:spacing w:after="0" w:line="240" w:lineRule="auto"/>
              <w:rPr>
                <w:rFonts w:ascii="Times New Roman" w:hAnsi="Times New Roman"/>
                <w:sz w:val="16"/>
                <w:szCs w:val="16"/>
              </w:rPr>
            </w:pPr>
            <w:r w:rsidRPr="00AA45E9">
              <w:rPr>
                <w:rFonts w:ascii="Times New Roman" w:hAnsi="Times New Roman"/>
                <w:sz w:val="16"/>
                <w:szCs w:val="16"/>
              </w:rPr>
              <w:t>Niveau de risque initial</w:t>
            </w:r>
          </w:p>
          <w:p w:rsidR="00764FFF" w:rsidRPr="00AA45E9" w:rsidRDefault="00764FFF" w:rsidP="00764FFF">
            <w:pPr>
              <w:spacing w:after="0" w:line="240" w:lineRule="auto"/>
              <w:rPr>
                <w:rFonts w:ascii="Times New Roman" w:hAnsi="Times New Roman"/>
                <w:sz w:val="16"/>
                <w:szCs w:val="16"/>
              </w:rPr>
            </w:pPr>
            <w:r w:rsidRPr="00AA45E9">
              <w:rPr>
                <w:rFonts w:ascii="Times New Roman" w:hAnsi="Times New Roman"/>
                <w:sz w:val="16"/>
                <w:szCs w:val="16"/>
              </w:rPr>
              <w:t>R : P×G</w:t>
            </w:r>
          </w:p>
        </w:tc>
        <w:tc>
          <w:tcPr>
            <w:tcW w:w="4111" w:type="dxa"/>
            <w:vMerge w:val="restart"/>
            <w:shd w:val="clear" w:color="auto" w:fill="A8D08F"/>
            <w:vAlign w:val="center"/>
          </w:tcPr>
          <w:p w:rsidR="00764FFF" w:rsidRPr="00AA45E9" w:rsidRDefault="00764FFF" w:rsidP="00764FFF">
            <w:pPr>
              <w:spacing w:after="0" w:line="240" w:lineRule="auto"/>
              <w:rPr>
                <w:rFonts w:ascii="Times New Roman" w:hAnsi="Times New Roman"/>
                <w:sz w:val="16"/>
                <w:szCs w:val="16"/>
              </w:rPr>
            </w:pPr>
            <w:r w:rsidRPr="00AA45E9">
              <w:rPr>
                <w:rFonts w:ascii="Times New Roman" w:hAnsi="Times New Roman"/>
                <w:sz w:val="16"/>
                <w:szCs w:val="16"/>
              </w:rPr>
              <w:t>Mesures de prévention et de protection</w:t>
            </w:r>
          </w:p>
        </w:tc>
        <w:tc>
          <w:tcPr>
            <w:tcW w:w="1418" w:type="dxa"/>
            <w:gridSpan w:val="2"/>
            <w:shd w:val="clear" w:color="auto" w:fill="A8D08F"/>
            <w:vAlign w:val="center"/>
          </w:tcPr>
          <w:p w:rsidR="00764FFF" w:rsidRPr="00AA45E9" w:rsidRDefault="00764FFF" w:rsidP="00764FFF">
            <w:pPr>
              <w:spacing w:after="0" w:line="240" w:lineRule="auto"/>
              <w:rPr>
                <w:rFonts w:ascii="Times New Roman" w:hAnsi="Times New Roman"/>
                <w:sz w:val="16"/>
                <w:szCs w:val="16"/>
              </w:rPr>
            </w:pPr>
            <w:r w:rsidRPr="00AA45E9">
              <w:rPr>
                <w:rFonts w:ascii="Times New Roman" w:hAnsi="Times New Roman"/>
                <w:sz w:val="16"/>
                <w:szCs w:val="16"/>
              </w:rPr>
              <w:t>Estimation du risque final</w:t>
            </w:r>
          </w:p>
        </w:tc>
        <w:tc>
          <w:tcPr>
            <w:tcW w:w="708" w:type="dxa"/>
            <w:vMerge w:val="restart"/>
            <w:shd w:val="clear" w:color="auto" w:fill="A8D08F"/>
            <w:vAlign w:val="center"/>
          </w:tcPr>
          <w:p w:rsidR="00764FFF" w:rsidRPr="00AA45E9" w:rsidRDefault="00764FFF" w:rsidP="00764FFF">
            <w:pPr>
              <w:spacing w:after="0" w:line="240" w:lineRule="auto"/>
              <w:rPr>
                <w:rFonts w:ascii="Times New Roman" w:hAnsi="Times New Roman"/>
                <w:sz w:val="16"/>
                <w:szCs w:val="16"/>
              </w:rPr>
            </w:pPr>
            <w:r w:rsidRPr="00AA45E9">
              <w:rPr>
                <w:rFonts w:ascii="Times New Roman" w:hAnsi="Times New Roman"/>
                <w:sz w:val="16"/>
                <w:szCs w:val="16"/>
              </w:rPr>
              <w:t>Niveau de risque final</w:t>
            </w:r>
          </w:p>
          <w:p w:rsidR="00764FFF" w:rsidRPr="00AA45E9" w:rsidRDefault="00764FFF" w:rsidP="00764FFF">
            <w:pPr>
              <w:spacing w:after="0" w:line="240" w:lineRule="auto"/>
              <w:rPr>
                <w:rFonts w:ascii="Times New Roman" w:hAnsi="Times New Roman"/>
                <w:sz w:val="16"/>
                <w:szCs w:val="16"/>
              </w:rPr>
            </w:pPr>
            <w:r w:rsidRPr="00AA45E9">
              <w:rPr>
                <w:rFonts w:ascii="Times New Roman" w:hAnsi="Times New Roman"/>
                <w:sz w:val="16"/>
                <w:szCs w:val="16"/>
              </w:rPr>
              <w:t>R : P×G</w:t>
            </w:r>
          </w:p>
        </w:tc>
        <w:tc>
          <w:tcPr>
            <w:tcW w:w="851" w:type="dxa"/>
            <w:vMerge w:val="restart"/>
            <w:shd w:val="clear" w:color="auto" w:fill="A8D08F"/>
            <w:vAlign w:val="center"/>
          </w:tcPr>
          <w:p w:rsidR="00764FFF" w:rsidRPr="00AA45E9" w:rsidRDefault="00764FFF" w:rsidP="00764FFF">
            <w:pPr>
              <w:spacing w:after="0" w:line="240" w:lineRule="auto"/>
              <w:rPr>
                <w:rFonts w:ascii="Times New Roman" w:hAnsi="Times New Roman"/>
                <w:sz w:val="16"/>
                <w:szCs w:val="16"/>
              </w:rPr>
            </w:pPr>
            <w:r w:rsidRPr="00AA45E9">
              <w:rPr>
                <w:rFonts w:ascii="Times New Roman" w:hAnsi="Times New Roman"/>
                <w:sz w:val="16"/>
                <w:szCs w:val="16"/>
              </w:rPr>
              <w:t>Risque résiduel</w:t>
            </w:r>
          </w:p>
        </w:tc>
      </w:tr>
      <w:tr w:rsidR="00764FFF" w:rsidRPr="00AA45E9" w:rsidTr="00764FFF">
        <w:trPr>
          <w:trHeight w:val="1127"/>
          <w:tblHeader/>
        </w:trPr>
        <w:tc>
          <w:tcPr>
            <w:tcW w:w="879" w:type="dxa"/>
            <w:vMerge/>
            <w:shd w:val="clear" w:color="auto" w:fill="E5DFEC"/>
            <w:vAlign w:val="center"/>
          </w:tcPr>
          <w:p w:rsidR="00764FFF" w:rsidRPr="00AA45E9" w:rsidRDefault="00764FFF" w:rsidP="00764FFF">
            <w:pPr>
              <w:spacing w:after="0" w:line="240" w:lineRule="auto"/>
              <w:rPr>
                <w:rFonts w:ascii="Times New Roman" w:hAnsi="Times New Roman"/>
                <w:sz w:val="16"/>
                <w:szCs w:val="16"/>
              </w:rPr>
            </w:pPr>
          </w:p>
        </w:tc>
        <w:tc>
          <w:tcPr>
            <w:tcW w:w="993" w:type="dxa"/>
            <w:vMerge/>
            <w:shd w:val="clear" w:color="auto" w:fill="E5DFEC"/>
          </w:tcPr>
          <w:p w:rsidR="00764FFF" w:rsidRPr="00AA45E9" w:rsidRDefault="00764FFF" w:rsidP="00764FFF">
            <w:pPr>
              <w:spacing w:after="0" w:line="240" w:lineRule="auto"/>
              <w:rPr>
                <w:rFonts w:ascii="Times New Roman" w:hAnsi="Times New Roman"/>
                <w:sz w:val="16"/>
                <w:szCs w:val="16"/>
              </w:rPr>
            </w:pPr>
          </w:p>
        </w:tc>
        <w:tc>
          <w:tcPr>
            <w:tcW w:w="1276" w:type="dxa"/>
            <w:vMerge/>
            <w:shd w:val="clear" w:color="auto" w:fill="E5DFEC"/>
            <w:vAlign w:val="center"/>
          </w:tcPr>
          <w:p w:rsidR="00764FFF" w:rsidRPr="00AA45E9" w:rsidRDefault="00764FFF" w:rsidP="00764FFF">
            <w:pPr>
              <w:spacing w:after="0" w:line="240" w:lineRule="auto"/>
              <w:rPr>
                <w:rFonts w:ascii="Times New Roman" w:hAnsi="Times New Roman"/>
                <w:sz w:val="16"/>
                <w:szCs w:val="16"/>
              </w:rPr>
            </w:pPr>
          </w:p>
        </w:tc>
        <w:tc>
          <w:tcPr>
            <w:tcW w:w="1134" w:type="dxa"/>
            <w:vMerge/>
            <w:shd w:val="clear" w:color="auto" w:fill="E5DFEC"/>
            <w:vAlign w:val="center"/>
          </w:tcPr>
          <w:p w:rsidR="00764FFF" w:rsidRPr="00AA45E9" w:rsidRDefault="00764FFF" w:rsidP="00764FFF">
            <w:pPr>
              <w:spacing w:after="0" w:line="240" w:lineRule="auto"/>
              <w:rPr>
                <w:rFonts w:ascii="Times New Roman" w:hAnsi="Times New Roman"/>
                <w:sz w:val="16"/>
                <w:szCs w:val="16"/>
              </w:rPr>
            </w:pPr>
          </w:p>
        </w:tc>
        <w:tc>
          <w:tcPr>
            <w:tcW w:w="1417" w:type="dxa"/>
            <w:vMerge/>
            <w:shd w:val="clear" w:color="auto" w:fill="E5DFEC"/>
            <w:vAlign w:val="center"/>
          </w:tcPr>
          <w:p w:rsidR="00764FFF" w:rsidRPr="00AA45E9" w:rsidRDefault="00764FFF" w:rsidP="00764FFF">
            <w:pPr>
              <w:spacing w:after="0" w:line="240" w:lineRule="auto"/>
              <w:rPr>
                <w:rFonts w:ascii="Times New Roman" w:hAnsi="Times New Roman"/>
                <w:sz w:val="16"/>
                <w:szCs w:val="16"/>
              </w:rPr>
            </w:pPr>
          </w:p>
        </w:tc>
        <w:tc>
          <w:tcPr>
            <w:tcW w:w="709" w:type="dxa"/>
            <w:shd w:val="clear" w:color="auto" w:fill="auto"/>
            <w:vAlign w:val="center"/>
          </w:tcPr>
          <w:p w:rsidR="00764FFF" w:rsidRPr="00AA45E9" w:rsidRDefault="00764FFF" w:rsidP="00764FFF">
            <w:pPr>
              <w:spacing w:after="0" w:line="240" w:lineRule="auto"/>
              <w:rPr>
                <w:rFonts w:ascii="Times New Roman" w:hAnsi="Times New Roman"/>
                <w:sz w:val="16"/>
                <w:szCs w:val="16"/>
              </w:rPr>
            </w:pPr>
            <w:r w:rsidRPr="00AA45E9">
              <w:rPr>
                <w:rFonts w:ascii="Times New Roman" w:hAnsi="Times New Roman"/>
                <w:sz w:val="16"/>
                <w:szCs w:val="16"/>
              </w:rPr>
              <w:t>Gravité initiale</w:t>
            </w:r>
          </w:p>
          <w:p w:rsidR="00764FFF" w:rsidRPr="00AA45E9" w:rsidRDefault="00764FFF" w:rsidP="00764FFF">
            <w:pPr>
              <w:spacing w:after="0" w:line="240" w:lineRule="auto"/>
              <w:rPr>
                <w:rFonts w:ascii="Times New Roman" w:hAnsi="Times New Roman"/>
                <w:sz w:val="16"/>
                <w:szCs w:val="16"/>
              </w:rPr>
            </w:pPr>
            <w:r w:rsidRPr="00AA45E9">
              <w:rPr>
                <w:rFonts w:ascii="Times New Roman" w:hAnsi="Times New Roman"/>
                <w:sz w:val="16"/>
                <w:szCs w:val="16"/>
              </w:rPr>
              <w:t>1 à 4</w:t>
            </w:r>
          </w:p>
        </w:tc>
        <w:tc>
          <w:tcPr>
            <w:tcW w:w="709" w:type="dxa"/>
            <w:shd w:val="clear" w:color="auto" w:fill="auto"/>
            <w:vAlign w:val="center"/>
          </w:tcPr>
          <w:p w:rsidR="00764FFF" w:rsidRPr="00AA45E9" w:rsidRDefault="00764FFF" w:rsidP="00764FFF">
            <w:pPr>
              <w:spacing w:after="0" w:line="240" w:lineRule="auto"/>
              <w:rPr>
                <w:rFonts w:ascii="Times New Roman" w:hAnsi="Times New Roman"/>
                <w:sz w:val="16"/>
                <w:szCs w:val="16"/>
              </w:rPr>
            </w:pPr>
            <w:r w:rsidRPr="00AA45E9">
              <w:rPr>
                <w:rFonts w:ascii="Times New Roman" w:hAnsi="Times New Roman"/>
                <w:sz w:val="16"/>
                <w:szCs w:val="16"/>
              </w:rPr>
              <w:t>Probabilité initiale</w:t>
            </w:r>
          </w:p>
          <w:p w:rsidR="00764FFF" w:rsidRPr="00AA45E9" w:rsidRDefault="00764FFF" w:rsidP="00764FFF">
            <w:pPr>
              <w:spacing w:after="0" w:line="240" w:lineRule="auto"/>
              <w:rPr>
                <w:rFonts w:ascii="Times New Roman" w:hAnsi="Times New Roman"/>
                <w:sz w:val="16"/>
                <w:szCs w:val="16"/>
              </w:rPr>
            </w:pPr>
            <w:r w:rsidRPr="00AA45E9">
              <w:rPr>
                <w:rFonts w:ascii="Times New Roman" w:hAnsi="Times New Roman"/>
                <w:sz w:val="16"/>
                <w:szCs w:val="16"/>
              </w:rPr>
              <w:t>1 à 4</w:t>
            </w:r>
          </w:p>
        </w:tc>
        <w:tc>
          <w:tcPr>
            <w:tcW w:w="708" w:type="dxa"/>
            <w:vMerge/>
            <w:tcBorders>
              <w:bottom w:val="single" w:sz="4" w:space="0" w:color="000000"/>
            </w:tcBorders>
            <w:shd w:val="clear" w:color="auto" w:fill="E5DFEC"/>
            <w:vAlign w:val="center"/>
          </w:tcPr>
          <w:p w:rsidR="00764FFF" w:rsidRPr="00AA45E9" w:rsidRDefault="00764FFF" w:rsidP="00764FFF">
            <w:pPr>
              <w:spacing w:after="0" w:line="240" w:lineRule="auto"/>
              <w:rPr>
                <w:rFonts w:ascii="Times New Roman" w:hAnsi="Times New Roman"/>
                <w:sz w:val="16"/>
                <w:szCs w:val="16"/>
              </w:rPr>
            </w:pPr>
          </w:p>
        </w:tc>
        <w:tc>
          <w:tcPr>
            <w:tcW w:w="4111" w:type="dxa"/>
            <w:vMerge/>
            <w:shd w:val="clear" w:color="auto" w:fill="E5DFEC"/>
            <w:vAlign w:val="center"/>
          </w:tcPr>
          <w:p w:rsidR="00764FFF" w:rsidRPr="00AA45E9" w:rsidRDefault="00764FFF" w:rsidP="00764FFF">
            <w:pPr>
              <w:spacing w:after="0" w:line="240" w:lineRule="auto"/>
              <w:rPr>
                <w:rFonts w:ascii="Times New Roman" w:hAnsi="Times New Roman"/>
                <w:sz w:val="16"/>
                <w:szCs w:val="16"/>
              </w:rPr>
            </w:pPr>
          </w:p>
        </w:tc>
        <w:tc>
          <w:tcPr>
            <w:tcW w:w="709" w:type="dxa"/>
            <w:shd w:val="clear" w:color="auto" w:fill="auto"/>
            <w:vAlign w:val="center"/>
          </w:tcPr>
          <w:p w:rsidR="00764FFF" w:rsidRPr="00AA45E9" w:rsidRDefault="00764FFF" w:rsidP="00764FFF">
            <w:pPr>
              <w:spacing w:after="0" w:line="240" w:lineRule="auto"/>
              <w:rPr>
                <w:rFonts w:ascii="Times New Roman" w:hAnsi="Times New Roman"/>
                <w:sz w:val="16"/>
                <w:szCs w:val="16"/>
              </w:rPr>
            </w:pPr>
            <w:r w:rsidRPr="00AA45E9">
              <w:rPr>
                <w:rFonts w:ascii="Times New Roman" w:hAnsi="Times New Roman"/>
                <w:sz w:val="16"/>
                <w:szCs w:val="16"/>
              </w:rPr>
              <w:t>Gravité finale</w:t>
            </w:r>
          </w:p>
          <w:p w:rsidR="00764FFF" w:rsidRPr="00AA45E9" w:rsidRDefault="00764FFF" w:rsidP="00764FFF">
            <w:pPr>
              <w:spacing w:after="0" w:line="240" w:lineRule="auto"/>
              <w:rPr>
                <w:rFonts w:ascii="Times New Roman" w:hAnsi="Times New Roman"/>
                <w:sz w:val="16"/>
                <w:szCs w:val="16"/>
              </w:rPr>
            </w:pPr>
            <w:r w:rsidRPr="00AA45E9">
              <w:rPr>
                <w:rFonts w:ascii="Times New Roman" w:hAnsi="Times New Roman"/>
                <w:sz w:val="16"/>
                <w:szCs w:val="16"/>
              </w:rPr>
              <w:t>1 à 4</w:t>
            </w:r>
          </w:p>
        </w:tc>
        <w:tc>
          <w:tcPr>
            <w:tcW w:w="709" w:type="dxa"/>
            <w:shd w:val="clear" w:color="auto" w:fill="auto"/>
            <w:vAlign w:val="center"/>
          </w:tcPr>
          <w:p w:rsidR="00764FFF" w:rsidRPr="00AA45E9" w:rsidRDefault="00764FFF" w:rsidP="00764FFF">
            <w:pPr>
              <w:spacing w:after="0" w:line="240" w:lineRule="auto"/>
              <w:rPr>
                <w:rFonts w:ascii="Times New Roman" w:hAnsi="Times New Roman"/>
                <w:sz w:val="16"/>
                <w:szCs w:val="16"/>
              </w:rPr>
            </w:pPr>
            <w:r w:rsidRPr="00AA45E9">
              <w:rPr>
                <w:rFonts w:ascii="Times New Roman" w:hAnsi="Times New Roman"/>
                <w:sz w:val="16"/>
                <w:szCs w:val="16"/>
              </w:rPr>
              <w:t>Probabilité finale</w:t>
            </w:r>
          </w:p>
          <w:p w:rsidR="00764FFF" w:rsidRPr="00AA45E9" w:rsidRDefault="00764FFF" w:rsidP="00764FFF">
            <w:pPr>
              <w:spacing w:after="0" w:line="240" w:lineRule="auto"/>
              <w:rPr>
                <w:rFonts w:ascii="Times New Roman" w:hAnsi="Times New Roman"/>
                <w:sz w:val="16"/>
                <w:szCs w:val="16"/>
              </w:rPr>
            </w:pPr>
            <w:r w:rsidRPr="00AA45E9">
              <w:rPr>
                <w:rFonts w:ascii="Times New Roman" w:hAnsi="Times New Roman"/>
                <w:sz w:val="16"/>
                <w:szCs w:val="16"/>
              </w:rPr>
              <w:t>1 à 4</w:t>
            </w:r>
          </w:p>
        </w:tc>
        <w:tc>
          <w:tcPr>
            <w:tcW w:w="708" w:type="dxa"/>
            <w:vMerge/>
            <w:tcBorders>
              <w:bottom w:val="single" w:sz="4" w:space="0" w:color="000000"/>
            </w:tcBorders>
            <w:shd w:val="clear" w:color="auto" w:fill="E5DFEC"/>
            <w:vAlign w:val="center"/>
          </w:tcPr>
          <w:p w:rsidR="00764FFF" w:rsidRPr="00AA45E9" w:rsidRDefault="00764FFF" w:rsidP="00764FFF">
            <w:pPr>
              <w:spacing w:after="0" w:line="240" w:lineRule="auto"/>
              <w:rPr>
                <w:rFonts w:ascii="Times New Roman" w:hAnsi="Times New Roman"/>
                <w:sz w:val="16"/>
                <w:szCs w:val="16"/>
              </w:rPr>
            </w:pPr>
          </w:p>
        </w:tc>
        <w:tc>
          <w:tcPr>
            <w:tcW w:w="851" w:type="dxa"/>
            <w:vMerge/>
            <w:shd w:val="clear" w:color="auto" w:fill="E5DFEC"/>
            <w:vAlign w:val="center"/>
          </w:tcPr>
          <w:p w:rsidR="00764FFF" w:rsidRPr="00AA45E9" w:rsidRDefault="00764FFF" w:rsidP="00764FFF">
            <w:pPr>
              <w:spacing w:after="0" w:line="240" w:lineRule="auto"/>
              <w:rPr>
                <w:rFonts w:ascii="Times New Roman" w:hAnsi="Times New Roman"/>
                <w:sz w:val="16"/>
                <w:szCs w:val="16"/>
              </w:rPr>
            </w:pPr>
          </w:p>
        </w:tc>
      </w:tr>
      <w:tr w:rsidR="00764FFF" w:rsidRPr="00AA45E9" w:rsidTr="00764FFF">
        <w:trPr>
          <w:trHeight w:val="342"/>
        </w:trPr>
        <w:tc>
          <w:tcPr>
            <w:tcW w:w="879" w:type="dxa"/>
            <w:vMerge w:val="restart"/>
            <w:vAlign w:val="center"/>
          </w:tcPr>
          <w:p w:rsidR="00764FFF" w:rsidRPr="00AA45E9" w:rsidRDefault="00764FFF" w:rsidP="00764FFF">
            <w:pPr>
              <w:spacing w:after="0" w:line="240" w:lineRule="auto"/>
              <w:rPr>
                <w:rFonts w:ascii="Times New Roman" w:hAnsi="Times New Roman"/>
                <w:sz w:val="16"/>
                <w:szCs w:val="16"/>
              </w:rPr>
            </w:pPr>
            <w:r w:rsidRPr="00AA45E9">
              <w:rPr>
                <w:rFonts w:ascii="Times New Roman" w:hAnsi="Times New Roman"/>
                <w:sz w:val="16"/>
                <w:szCs w:val="16"/>
              </w:rPr>
              <w:t>Acheminement du matériel sur le</w:t>
            </w:r>
            <w:r w:rsidR="00F614CC">
              <w:rPr>
                <w:rFonts w:ascii="Times New Roman" w:hAnsi="Times New Roman"/>
                <w:sz w:val="16"/>
                <w:szCs w:val="16"/>
              </w:rPr>
              <w:t>s</w:t>
            </w:r>
            <w:r w:rsidRPr="00AA45E9">
              <w:rPr>
                <w:rFonts w:ascii="Times New Roman" w:hAnsi="Times New Roman"/>
                <w:sz w:val="16"/>
                <w:szCs w:val="16"/>
              </w:rPr>
              <w:t xml:space="preserve"> site</w:t>
            </w:r>
            <w:r w:rsidR="00F614CC">
              <w:rPr>
                <w:rFonts w:ascii="Times New Roman" w:hAnsi="Times New Roman"/>
                <w:sz w:val="16"/>
                <w:szCs w:val="16"/>
              </w:rPr>
              <w:t>s</w:t>
            </w:r>
            <w:r w:rsidRPr="00AA45E9">
              <w:rPr>
                <w:rFonts w:ascii="Times New Roman" w:hAnsi="Times New Roman"/>
                <w:sz w:val="16"/>
                <w:szCs w:val="16"/>
              </w:rPr>
              <w:t xml:space="preserve"> par camion, grues, etc…</w:t>
            </w:r>
            <w:r w:rsidRPr="00AA45E9">
              <w:rPr>
                <w:rFonts w:ascii="Times New Roman" w:hAnsi="Times New Roman"/>
                <w:sz w:val="16"/>
                <w:szCs w:val="16"/>
              </w:rPr>
              <w:cr/>
            </w:r>
          </w:p>
          <w:p w:rsidR="00764FFF" w:rsidRPr="00AA45E9" w:rsidRDefault="00764FFF" w:rsidP="00764FFF">
            <w:pPr>
              <w:spacing w:after="0" w:line="240" w:lineRule="auto"/>
              <w:rPr>
                <w:rFonts w:ascii="Times New Roman" w:hAnsi="Times New Roman"/>
                <w:sz w:val="16"/>
                <w:szCs w:val="16"/>
              </w:rPr>
            </w:pPr>
          </w:p>
        </w:tc>
        <w:tc>
          <w:tcPr>
            <w:tcW w:w="993" w:type="dxa"/>
          </w:tcPr>
          <w:p w:rsidR="00764FFF" w:rsidRPr="00AA45E9" w:rsidRDefault="00764FFF" w:rsidP="00764FFF">
            <w:pPr>
              <w:spacing w:after="0" w:line="240" w:lineRule="auto"/>
              <w:rPr>
                <w:rFonts w:ascii="Times New Roman" w:hAnsi="Times New Roman"/>
                <w:sz w:val="16"/>
                <w:szCs w:val="16"/>
              </w:rPr>
            </w:pPr>
          </w:p>
        </w:tc>
        <w:tc>
          <w:tcPr>
            <w:tcW w:w="1276" w:type="dxa"/>
            <w:vAlign w:val="center"/>
          </w:tcPr>
          <w:p w:rsidR="00764FFF" w:rsidRPr="00AA45E9" w:rsidRDefault="00764FFF" w:rsidP="00764FFF">
            <w:pPr>
              <w:spacing w:after="0" w:line="240" w:lineRule="auto"/>
              <w:rPr>
                <w:rFonts w:ascii="Times New Roman" w:hAnsi="Times New Roman"/>
                <w:sz w:val="16"/>
                <w:szCs w:val="16"/>
              </w:rPr>
            </w:pPr>
            <w:r w:rsidRPr="00AA45E9">
              <w:rPr>
                <w:rFonts w:ascii="Times New Roman" w:hAnsi="Times New Roman"/>
                <w:sz w:val="16"/>
                <w:szCs w:val="16"/>
              </w:rPr>
              <w:t>Risque d’accident</w:t>
            </w:r>
          </w:p>
        </w:tc>
        <w:tc>
          <w:tcPr>
            <w:tcW w:w="1134" w:type="dxa"/>
            <w:vAlign w:val="center"/>
          </w:tcPr>
          <w:p w:rsidR="00764FFF" w:rsidRPr="00AA45E9" w:rsidRDefault="00764FFF" w:rsidP="00764FFF">
            <w:pPr>
              <w:spacing w:after="0" w:line="240" w:lineRule="auto"/>
              <w:rPr>
                <w:rFonts w:ascii="Times New Roman" w:hAnsi="Times New Roman"/>
                <w:sz w:val="16"/>
                <w:szCs w:val="16"/>
              </w:rPr>
            </w:pPr>
            <w:r w:rsidRPr="00AA45E9">
              <w:rPr>
                <w:rFonts w:ascii="Times New Roman" w:hAnsi="Times New Roman"/>
                <w:sz w:val="16"/>
                <w:szCs w:val="16"/>
              </w:rPr>
              <w:t xml:space="preserve">Collision véhicule /piéton </w:t>
            </w:r>
          </w:p>
          <w:p w:rsidR="00764FFF" w:rsidRPr="00AA45E9" w:rsidRDefault="00764FFF" w:rsidP="00764FFF">
            <w:pPr>
              <w:spacing w:after="0" w:line="240" w:lineRule="auto"/>
              <w:rPr>
                <w:rFonts w:ascii="Times New Roman" w:hAnsi="Times New Roman"/>
                <w:sz w:val="16"/>
                <w:szCs w:val="16"/>
              </w:rPr>
            </w:pPr>
          </w:p>
          <w:p w:rsidR="00764FFF" w:rsidRPr="00AA45E9" w:rsidRDefault="00764FFF" w:rsidP="00764FFF">
            <w:pPr>
              <w:spacing w:after="0" w:line="240" w:lineRule="auto"/>
              <w:rPr>
                <w:rFonts w:ascii="Times New Roman" w:hAnsi="Times New Roman"/>
                <w:sz w:val="16"/>
                <w:szCs w:val="16"/>
              </w:rPr>
            </w:pPr>
            <w:r w:rsidRPr="00AA45E9">
              <w:rPr>
                <w:rFonts w:ascii="Times New Roman" w:hAnsi="Times New Roman"/>
                <w:sz w:val="16"/>
                <w:szCs w:val="16"/>
              </w:rPr>
              <w:t>Collision entre navire</w:t>
            </w:r>
          </w:p>
          <w:p w:rsidR="00764FFF" w:rsidRPr="00AA45E9" w:rsidRDefault="00764FFF" w:rsidP="00764FFF">
            <w:pPr>
              <w:spacing w:after="0" w:line="240" w:lineRule="auto"/>
              <w:rPr>
                <w:rFonts w:ascii="Times New Roman" w:hAnsi="Times New Roman"/>
                <w:sz w:val="16"/>
                <w:szCs w:val="16"/>
              </w:rPr>
            </w:pPr>
            <w:r w:rsidRPr="00AA45E9">
              <w:rPr>
                <w:rFonts w:ascii="Times New Roman" w:hAnsi="Times New Roman"/>
                <w:sz w:val="16"/>
                <w:szCs w:val="16"/>
              </w:rPr>
              <w:t>Collision entre engin</w:t>
            </w:r>
          </w:p>
        </w:tc>
        <w:tc>
          <w:tcPr>
            <w:tcW w:w="1417" w:type="dxa"/>
            <w:vAlign w:val="center"/>
          </w:tcPr>
          <w:p w:rsidR="00764FFF" w:rsidRPr="00AA45E9" w:rsidRDefault="00764FFF" w:rsidP="00764FFF">
            <w:pPr>
              <w:spacing w:after="0" w:line="240" w:lineRule="auto"/>
              <w:rPr>
                <w:rFonts w:ascii="Times New Roman" w:hAnsi="Times New Roman"/>
                <w:sz w:val="16"/>
                <w:szCs w:val="16"/>
              </w:rPr>
            </w:pPr>
            <w:r w:rsidRPr="00AA45E9">
              <w:rPr>
                <w:rFonts w:ascii="Times New Roman" w:hAnsi="Times New Roman"/>
                <w:sz w:val="16"/>
                <w:szCs w:val="16"/>
              </w:rPr>
              <w:t>Blessures, décès</w:t>
            </w:r>
          </w:p>
        </w:tc>
        <w:tc>
          <w:tcPr>
            <w:tcW w:w="709" w:type="dxa"/>
            <w:vAlign w:val="center"/>
          </w:tcPr>
          <w:p w:rsidR="00764FFF" w:rsidRPr="00AA45E9" w:rsidRDefault="00764FFF" w:rsidP="00764FFF">
            <w:pPr>
              <w:spacing w:after="0" w:line="240" w:lineRule="auto"/>
              <w:rPr>
                <w:rFonts w:ascii="Times New Roman" w:hAnsi="Times New Roman"/>
                <w:sz w:val="16"/>
                <w:szCs w:val="16"/>
              </w:rPr>
            </w:pPr>
            <w:r w:rsidRPr="00AA45E9">
              <w:rPr>
                <w:rFonts w:ascii="Times New Roman" w:hAnsi="Times New Roman"/>
                <w:sz w:val="16"/>
                <w:szCs w:val="16"/>
              </w:rPr>
              <w:t>4</w:t>
            </w:r>
          </w:p>
        </w:tc>
        <w:tc>
          <w:tcPr>
            <w:tcW w:w="709" w:type="dxa"/>
            <w:vAlign w:val="center"/>
          </w:tcPr>
          <w:p w:rsidR="00764FFF" w:rsidRPr="00AA45E9" w:rsidRDefault="00764FFF" w:rsidP="00764FFF">
            <w:pPr>
              <w:spacing w:after="0" w:line="240" w:lineRule="auto"/>
              <w:rPr>
                <w:rFonts w:ascii="Times New Roman" w:hAnsi="Times New Roman"/>
                <w:sz w:val="16"/>
                <w:szCs w:val="16"/>
              </w:rPr>
            </w:pPr>
            <w:r w:rsidRPr="00AA45E9">
              <w:rPr>
                <w:rFonts w:ascii="Times New Roman" w:hAnsi="Times New Roman"/>
                <w:sz w:val="16"/>
                <w:szCs w:val="16"/>
              </w:rPr>
              <w:t>3</w:t>
            </w:r>
          </w:p>
        </w:tc>
        <w:tc>
          <w:tcPr>
            <w:tcW w:w="708" w:type="dxa"/>
            <w:shd w:val="clear" w:color="auto" w:fill="FF0000"/>
            <w:vAlign w:val="center"/>
          </w:tcPr>
          <w:p w:rsidR="00764FFF" w:rsidRPr="00AA45E9" w:rsidRDefault="00764FFF" w:rsidP="00764FFF">
            <w:pPr>
              <w:spacing w:after="0" w:line="240" w:lineRule="auto"/>
              <w:rPr>
                <w:rFonts w:ascii="Times New Roman" w:hAnsi="Times New Roman"/>
                <w:sz w:val="16"/>
                <w:szCs w:val="16"/>
              </w:rPr>
            </w:pPr>
            <w:r w:rsidRPr="00AA45E9">
              <w:rPr>
                <w:rFonts w:ascii="Times New Roman" w:hAnsi="Times New Roman"/>
                <w:sz w:val="16"/>
                <w:szCs w:val="16"/>
              </w:rPr>
              <w:t>43</w:t>
            </w:r>
          </w:p>
        </w:tc>
        <w:tc>
          <w:tcPr>
            <w:tcW w:w="4111" w:type="dxa"/>
            <w:vAlign w:val="center"/>
          </w:tcPr>
          <w:p w:rsidR="00764FFF" w:rsidRPr="00AA45E9" w:rsidRDefault="00764FFF" w:rsidP="00764FFF">
            <w:pPr>
              <w:spacing w:after="0" w:line="240" w:lineRule="auto"/>
              <w:rPr>
                <w:rFonts w:ascii="Times New Roman" w:hAnsi="Times New Roman"/>
                <w:sz w:val="16"/>
                <w:szCs w:val="16"/>
              </w:rPr>
            </w:pPr>
            <w:r w:rsidRPr="00AA45E9">
              <w:rPr>
                <w:rFonts w:ascii="Times New Roman" w:hAnsi="Times New Roman"/>
                <w:sz w:val="16"/>
                <w:szCs w:val="16"/>
              </w:rPr>
              <w:t>Former les conducteurs sur les règles de conduites ;</w:t>
            </w:r>
          </w:p>
          <w:p w:rsidR="00764FFF" w:rsidRPr="00AA45E9" w:rsidRDefault="00764FFF" w:rsidP="00764FFF">
            <w:pPr>
              <w:spacing w:after="0" w:line="240" w:lineRule="auto"/>
              <w:rPr>
                <w:rFonts w:ascii="Times New Roman" w:hAnsi="Times New Roman"/>
                <w:sz w:val="16"/>
                <w:szCs w:val="16"/>
              </w:rPr>
            </w:pPr>
            <w:r w:rsidRPr="00AA45E9">
              <w:rPr>
                <w:rFonts w:ascii="Times New Roman" w:hAnsi="Times New Roman"/>
                <w:sz w:val="16"/>
                <w:szCs w:val="16"/>
              </w:rPr>
              <w:t>Définir des ENTREES/SORTIES uniquement accessible pour le personnel du chantier</w:t>
            </w:r>
          </w:p>
          <w:p w:rsidR="00764FFF" w:rsidRPr="00AA45E9" w:rsidRDefault="00764FFF" w:rsidP="00764FFF">
            <w:pPr>
              <w:spacing w:after="0" w:line="240" w:lineRule="auto"/>
              <w:rPr>
                <w:rFonts w:ascii="Times New Roman" w:hAnsi="Times New Roman"/>
                <w:sz w:val="16"/>
                <w:szCs w:val="16"/>
              </w:rPr>
            </w:pPr>
            <w:r w:rsidRPr="00AA45E9">
              <w:rPr>
                <w:rFonts w:ascii="Times New Roman" w:hAnsi="Times New Roman"/>
                <w:sz w:val="16"/>
                <w:szCs w:val="16"/>
              </w:rPr>
              <w:t>Limiter la vitesse de circulation des véhicules</w:t>
            </w:r>
          </w:p>
          <w:p w:rsidR="00764FFF" w:rsidRPr="00AA45E9" w:rsidRDefault="00764FFF" w:rsidP="00764FFF">
            <w:pPr>
              <w:spacing w:after="0" w:line="240" w:lineRule="auto"/>
              <w:rPr>
                <w:rFonts w:ascii="Times New Roman" w:hAnsi="Times New Roman"/>
                <w:sz w:val="16"/>
                <w:szCs w:val="16"/>
              </w:rPr>
            </w:pPr>
            <w:r w:rsidRPr="00AA45E9">
              <w:rPr>
                <w:rFonts w:ascii="Times New Roman" w:hAnsi="Times New Roman"/>
                <w:sz w:val="16"/>
                <w:szCs w:val="16"/>
              </w:rPr>
              <w:t>Mettre en place un plan de circulation</w:t>
            </w:r>
          </w:p>
          <w:p w:rsidR="00764FFF" w:rsidRPr="00AA45E9" w:rsidRDefault="00764FFF" w:rsidP="00764FFF">
            <w:pPr>
              <w:spacing w:after="0" w:line="240" w:lineRule="auto"/>
              <w:rPr>
                <w:rFonts w:ascii="Times New Roman" w:hAnsi="Times New Roman"/>
                <w:sz w:val="16"/>
                <w:szCs w:val="16"/>
              </w:rPr>
            </w:pPr>
            <w:r w:rsidRPr="00AA45E9">
              <w:rPr>
                <w:rFonts w:ascii="Times New Roman" w:hAnsi="Times New Roman"/>
                <w:sz w:val="16"/>
                <w:szCs w:val="16"/>
              </w:rPr>
              <w:t>Veiller à bonne manipulation des engins</w:t>
            </w:r>
          </w:p>
        </w:tc>
        <w:tc>
          <w:tcPr>
            <w:tcW w:w="709" w:type="dxa"/>
            <w:vAlign w:val="center"/>
          </w:tcPr>
          <w:p w:rsidR="00764FFF" w:rsidRPr="00AA45E9" w:rsidRDefault="00764FFF" w:rsidP="00764FFF">
            <w:pPr>
              <w:spacing w:after="0" w:line="240" w:lineRule="auto"/>
              <w:rPr>
                <w:rFonts w:ascii="Times New Roman" w:hAnsi="Times New Roman"/>
                <w:sz w:val="16"/>
                <w:szCs w:val="16"/>
              </w:rPr>
            </w:pPr>
            <w:r w:rsidRPr="00AA45E9">
              <w:rPr>
                <w:rFonts w:ascii="Times New Roman" w:hAnsi="Times New Roman"/>
                <w:sz w:val="16"/>
                <w:szCs w:val="16"/>
              </w:rPr>
              <w:t>3</w:t>
            </w:r>
          </w:p>
        </w:tc>
        <w:tc>
          <w:tcPr>
            <w:tcW w:w="709" w:type="dxa"/>
            <w:vAlign w:val="center"/>
          </w:tcPr>
          <w:p w:rsidR="00764FFF" w:rsidRPr="00AA45E9" w:rsidRDefault="00764FFF" w:rsidP="00764FFF">
            <w:pPr>
              <w:spacing w:after="0" w:line="240" w:lineRule="auto"/>
              <w:rPr>
                <w:rFonts w:ascii="Times New Roman" w:hAnsi="Times New Roman"/>
                <w:sz w:val="16"/>
                <w:szCs w:val="16"/>
              </w:rPr>
            </w:pPr>
            <w:r w:rsidRPr="00AA45E9">
              <w:rPr>
                <w:rFonts w:ascii="Times New Roman" w:hAnsi="Times New Roman"/>
                <w:sz w:val="16"/>
                <w:szCs w:val="16"/>
              </w:rPr>
              <w:t>2</w:t>
            </w:r>
          </w:p>
        </w:tc>
        <w:tc>
          <w:tcPr>
            <w:tcW w:w="708" w:type="dxa"/>
            <w:shd w:val="clear" w:color="auto" w:fill="FFFF00"/>
            <w:vAlign w:val="center"/>
          </w:tcPr>
          <w:p w:rsidR="00764FFF" w:rsidRPr="00AA45E9" w:rsidRDefault="00764FFF" w:rsidP="00764FFF">
            <w:pPr>
              <w:spacing w:after="0" w:line="240" w:lineRule="auto"/>
              <w:rPr>
                <w:rFonts w:ascii="Times New Roman" w:hAnsi="Times New Roman"/>
                <w:sz w:val="16"/>
                <w:szCs w:val="16"/>
              </w:rPr>
            </w:pPr>
            <w:r w:rsidRPr="00AA45E9">
              <w:rPr>
                <w:rFonts w:ascii="Times New Roman" w:hAnsi="Times New Roman"/>
                <w:sz w:val="16"/>
                <w:szCs w:val="16"/>
              </w:rPr>
              <w:t>32</w:t>
            </w:r>
          </w:p>
        </w:tc>
        <w:tc>
          <w:tcPr>
            <w:tcW w:w="851" w:type="dxa"/>
            <w:vAlign w:val="center"/>
          </w:tcPr>
          <w:p w:rsidR="00764FFF" w:rsidRPr="00AA45E9" w:rsidRDefault="00764FFF" w:rsidP="00764FFF">
            <w:pPr>
              <w:spacing w:after="0" w:line="240" w:lineRule="auto"/>
              <w:rPr>
                <w:rFonts w:ascii="Times New Roman" w:hAnsi="Times New Roman"/>
                <w:sz w:val="16"/>
                <w:szCs w:val="16"/>
              </w:rPr>
            </w:pPr>
            <w:r w:rsidRPr="00AA45E9">
              <w:rPr>
                <w:rFonts w:ascii="Times New Roman" w:hAnsi="Times New Roman"/>
                <w:sz w:val="16"/>
                <w:szCs w:val="16"/>
              </w:rPr>
              <w:t>Fatigue</w:t>
            </w:r>
          </w:p>
        </w:tc>
      </w:tr>
      <w:tr w:rsidR="00764FFF" w:rsidRPr="00AA45E9" w:rsidTr="00F614CC">
        <w:trPr>
          <w:trHeight w:val="674"/>
        </w:trPr>
        <w:tc>
          <w:tcPr>
            <w:tcW w:w="879" w:type="dxa"/>
            <w:vMerge/>
            <w:vAlign w:val="center"/>
          </w:tcPr>
          <w:p w:rsidR="00764FFF" w:rsidRPr="00AA45E9" w:rsidRDefault="00764FFF" w:rsidP="00764FFF">
            <w:pPr>
              <w:spacing w:after="0" w:line="240" w:lineRule="auto"/>
              <w:rPr>
                <w:rFonts w:ascii="Times New Roman" w:hAnsi="Times New Roman"/>
                <w:sz w:val="16"/>
                <w:szCs w:val="16"/>
              </w:rPr>
            </w:pPr>
          </w:p>
        </w:tc>
        <w:tc>
          <w:tcPr>
            <w:tcW w:w="993" w:type="dxa"/>
            <w:vMerge w:val="restart"/>
            <w:vAlign w:val="center"/>
          </w:tcPr>
          <w:p w:rsidR="00764FFF" w:rsidRPr="00AA45E9" w:rsidRDefault="00764FFF" w:rsidP="00764FFF">
            <w:pPr>
              <w:spacing w:after="0" w:line="240" w:lineRule="auto"/>
              <w:rPr>
                <w:rFonts w:ascii="Times New Roman" w:hAnsi="Times New Roman"/>
                <w:sz w:val="16"/>
                <w:szCs w:val="16"/>
              </w:rPr>
            </w:pPr>
            <w:r w:rsidRPr="00AA45E9">
              <w:rPr>
                <w:rFonts w:ascii="Times New Roman" w:hAnsi="Times New Roman"/>
                <w:sz w:val="16"/>
                <w:szCs w:val="16"/>
              </w:rPr>
              <w:t>Conducteur ou personnel présent sur site</w:t>
            </w:r>
            <w:r w:rsidRPr="00AA45E9">
              <w:rPr>
                <w:rFonts w:ascii="Times New Roman" w:hAnsi="Times New Roman"/>
                <w:sz w:val="16"/>
                <w:szCs w:val="16"/>
              </w:rPr>
              <w:cr/>
            </w:r>
          </w:p>
          <w:p w:rsidR="00764FFF" w:rsidRPr="00AA45E9" w:rsidRDefault="00764FFF" w:rsidP="00764FFF">
            <w:pPr>
              <w:spacing w:after="0" w:line="240" w:lineRule="auto"/>
              <w:rPr>
                <w:rFonts w:ascii="Times New Roman" w:hAnsi="Times New Roman"/>
                <w:sz w:val="16"/>
                <w:szCs w:val="16"/>
              </w:rPr>
            </w:pPr>
          </w:p>
        </w:tc>
        <w:tc>
          <w:tcPr>
            <w:tcW w:w="1276" w:type="dxa"/>
            <w:vAlign w:val="center"/>
          </w:tcPr>
          <w:p w:rsidR="00764FFF" w:rsidRPr="00AA45E9" w:rsidRDefault="00764FFF" w:rsidP="00764FFF">
            <w:pPr>
              <w:spacing w:after="0" w:line="240" w:lineRule="auto"/>
              <w:rPr>
                <w:rFonts w:ascii="Times New Roman" w:hAnsi="Times New Roman"/>
                <w:sz w:val="16"/>
                <w:szCs w:val="16"/>
              </w:rPr>
            </w:pPr>
            <w:r w:rsidRPr="00AA45E9">
              <w:rPr>
                <w:rFonts w:ascii="Times New Roman" w:hAnsi="Times New Roman"/>
                <w:sz w:val="16"/>
                <w:szCs w:val="16"/>
              </w:rPr>
              <w:t>Risques liés à l’utilisation d’engins de manutention</w:t>
            </w:r>
          </w:p>
        </w:tc>
        <w:tc>
          <w:tcPr>
            <w:tcW w:w="1134" w:type="dxa"/>
            <w:vAlign w:val="center"/>
          </w:tcPr>
          <w:p w:rsidR="00764FFF" w:rsidRPr="00AA45E9" w:rsidRDefault="00764FFF" w:rsidP="00764FFF">
            <w:pPr>
              <w:spacing w:after="0" w:line="240" w:lineRule="auto"/>
              <w:rPr>
                <w:rFonts w:ascii="Times New Roman" w:hAnsi="Times New Roman"/>
                <w:sz w:val="16"/>
                <w:szCs w:val="16"/>
              </w:rPr>
            </w:pPr>
            <w:r w:rsidRPr="00AA45E9">
              <w:rPr>
                <w:rFonts w:ascii="Times New Roman" w:hAnsi="Times New Roman"/>
                <w:sz w:val="16"/>
                <w:szCs w:val="16"/>
              </w:rPr>
              <w:t>Collision d’engins / ouvriers ou piétons</w:t>
            </w:r>
          </w:p>
          <w:p w:rsidR="00764FFF" w:rsidRPr="00AA45E9" w:rsidRDefault="00764FFF" w:rsidP="00764FFF">
            <w:pPr>
              <w:spacing w:after="0" w:line="240" w:lineRule="auto"/>
              <w:rPr>
                <w:rFonts w:ascii="Times New Roman" w:hAnsi="Times New Roman"/>
                <w:sz w:val="16"/>
                <w:szCs w:val="16"/>
              </w:rPr>
            </w:pPr>
          </w:p>
        </w:tc>
        <w:tc>
          <w:tcPr>
            <w:tcW w:w="1417" w:type="dxa"/>
            <w:vAlign w:val="center"/>
          </w:tcPr>
          <w:p w:rsidR="00764FFF" w:rsidRPr="00AA45E9" w:rsidRDefault="00764FFF" w:rsidP="00764FFF">
            <w:pPr>
              <w:spacing w:after="0" w:line="240" w:lineRule="auto"/>
              <w:rPr>
                <w:rFonts w:ascii="Times New Roman" w:hAnsi="Times New Roman"/>
                <w:sz w:val="16"/>
                <w:szCs w:val="16"/>
              </w:rPr>
            </w:pPr>
            <w:r w:rsidRPr="00AA45E9">
              <w:rPr>
                <w:rFonts w:ascii="Times New Roman" w:hAnsi="Times New Roman"/>
                <w:sz w:val="16"/>
                <w:szCs w:val="16"/>
              </w:rPr>
              <w:t>Blessures/ Décès</w:t>
            </w:r>
          </w:p>
        </w:tc>
        <w:tc>
          <w:tcPr>
            <w:tcW w:w="709" w:type="dxa"/>
            <w:vAlign w:val="center"/>
          </w:tcPr>
          <w:p w:rsidR="00764FFF" w:rsidRPr="00AA45E9" w:rsidRDefault="00764FFF" w:rsidP="00764FFF">
            <w:pPr>
              <w:spacing w:after="0" w:line="240" w:lineRule="auto"/>
              <w:rPr>
                <w:rFonts w:ascii="Times New Roman" w:hAnsi="Times New Roman"/>
                <w:sz w:val="16"/>
                <w:szCs w:val="16"/>
              </w:rPr>
            </w:pPr>
            <w:r w:rsidRPr="00AA45E9">
              <w:rPr>
                <w:rFonts w:ascii="Times New Roman" w:hAnsi="Times New Roman"/>
                <w:sz w:val="16"/>
                <w:szCs w:val="16"/>
              </w:rPr>
              <w:t>4</w:t>
            </w:r>
          </w:p>
        </w:tc>
        <w:tc>
          <w:tcPr>
            <w:tcW w:w="709" w:type="dxa"/>
            <w:vAlign w:val="center"/>
          </w:tcPr>
          <w:p w:rsidR="00764FFF" w:rsidRPr="00AA45E9" w:rsidRDefault="00F614CC" w:rsidP="00764FFF">
            <w:pPr>
              <w:spacing w:after="0" w:line="240" w:lineRule="auto"/>
              <w:rPr>
                <w:rFonts w:ascii="Times New Roman" w:hAnsi="Times New Roman"/>
                <w:sz w:val="16"/>
                <w:szCs w:val="16"/>
              </w:rPr>
            </w:pPr>
            <w:r>
              <w:rPr>
                <w:rFonts w:ascii="Times New Roman" w:hAnsi="Times New Roman"/>
                <w:sz w:val="16"/>
                <w:szCs w:val="16"/>
              </w:rPr>
              <w:t>2</w:t>
            </w:r>
          </w:p>
        </w:tc>
        <w:tc>
          <w:tcPr>
            <w:tcW w:w="708" w:type="dxa"/>
            <w:shd w:val="clear" w:color="auto" w:fill="FFFF00"/>
            <w:vAlign w:val="center"/>
          </w:tcPr>
          <w:p w:rsidR="00764FFF" w:rsidRPr="00AA45E9" w:rsidRDefault="00F614CC" w:rsidP="00764FFF">
            <w:pPr>
              <w:spacing w:after="0" w:line="240" w:lineRule="auto"/>
              <w:rPr>
                <w:rFonts w:ascii="Times New Roman" w:hAnsi="Times New Roman"/>
                <w:sz w:val="16"/>
                <w:szCs w:val="16"/>
              </w:rPr>
            </w:pPr>
            <w:r>
              <w:rPr>
                <w:rFonts w:ascii="Times New Roman" w:hAnsi="Times New Roman"/>
                <w:sz w:val="16"/>
                <w:szCs w:val="16"/>
              </w:rPr>
              <w:t>42</w:t>
            </w:r>
          </w:p>
        </w:tc>
        <w:tc>
          <w:tcPr>
            <w:tcW w:w="4111" w:type="dxa"/>
            <w:vAlign w:val="center"/>
          </w:tcPr>
          <w:p w:rsidR="00764FFF" w:rsidRPr="00AA45E9" w:rsidRDefault="00764FFF" w:rsidP="00764FFF">
            <w:pPr>
              <w:spacing w:after="0" w:line="240" w:lineRule="auto"/>
              <w:rPr>
                <w:rFonts w:ascii="Times New Roman" w:hAnsi="Times New Roman"/>
                <w:sz w:val="16"/>
                <w:szCs w:val="16"/>
              </w:rPr>
            </w:pPr>
            <w:r w:rsidRPr="00AA45E9">
              <w:rPr>
                <w:rFonts w:ascii="Times New Roman" w:hAnsi="Times New Roman"/>
                <w:sz w:val="16"/>
                <w:szCs w:val="16"/>
              </w:rPr>
              <w:t>Mettre en place un plan de circulation et une signalisation dans le chantier,</w:t>
            </w:r>
          </w:p>
          <w:p w:rsidR="00764FFF" w:rsidRPr="00AA45E9" w:rsidRDefault="00764FFF" w:rsidP="00764FFF">
            <w:pPr>
              <w:spacing w:after="0" w:line="240" w:lineRule="auto"/>
              <w:rPr>
                <w:rFonts w:ascii="Times New Roman" w:hAnsi="Times New Roman"/>
                <w:sz w:val="16"/>
                <w:szCs w:val="16"/>
              </w:rPr>
            </w:pPr>
            <w:r w:rsidRPr="00AA45E9">
              <w:rPr>
                <w:rFonts w:ascii="Times New Roman" w:hAnsi="Times New Roman"/>
                <w:sz w:val="16"/>
                <w:szCs w:val="16"/>
              </w:rPr>
              <w:t>Maintenance des engins,</w:t>
            </w:r>
          </w:p>
          <w:p w:rsidR="00764FFF" w:rsidRPr="00AA45E9" w:rsidRDefault="00764FFF" w:rsidP="00764FFF">
            <w:pPr>
              <w:spacing w:after="0" w:line="240" w:lineRule="auto"/>
              <w:rPr>
                <w:rFonts w:ascii="Times New Roman" w:hAnsi="Times New Roman"/>
                <w:sz w:val="16"/>
                <w:szCs w:val="16"/>
              </w:rPr>
            </w:pPr>
            <w:r w:rsidRPr="00AA45E9">
              <w:rPr>
                <w:rFonts w:ascii="Times New Roman" w:hAnsi="Times New Roman"/>
                <w:sz w:val="16"/>
                <w:szCs w:val="16"/>
              </w:rPr>
              <w:t>Former les conducteurs d’engins sur les règles de conduites,</w:t>
            </w:r>
          </w:p>
          <w:p w:rsidR="00764FFF" w:rsidRPr="00AA45E9" w:rsidRDefault="00764FFF" w:rsidP="00764FFF">
            <w:pPr>
              <w:spacing w:after="0" w:line="240" w:lineRule="auto"/>
              <w:rPr>
                <w:rFonts w:ascii="Times New Roman" w:hAnsi="Times New Roman"/>
                <w:sz w:val="16"/>
                <w:szCs w:val="16"/>
              </w:rPr>
            </w:pPr>
            <w:r w:rsidRPr="00AA45E9">
              <w:rPr>
                <w:rFonts w:ascii="Times New Roman" w:hAnsi="Times New Roman"/>
                <w:sz w:val="16"/>
                <w:szCs w:val="16"/>
              </w:rPr>
              <w:t>Dégager les voies de circulation</w:t>
            </w:r>
          </w:p>
          <w:p w:rsidR="00764FFF" w:rsidRPr="00AA45E9" w:rsidRDefault="00764FFF" w:rsidP="00764FFF">
            <w:pPr>
              <w:spacing w:after="0" w:line="240" w:lineRule="auto"/>
              <w:rPr>
                <w:rFonts w:ascii="Times New Roman" w:hAnsi="Times New Roman"/>
                <w:sz w:val="16"/>
                <w:szCs w:val="16"/>
              </w:rPr>
            </w:pPr>
            <w:r w:rsidRPr="00AA45E9">
              <w:rPr>
                <w:rFonts w:ascii="Times New Roman" w:hAnsi="Times New Roman"/>
                <w:sz w:val="16"/>
                <w:szCs w:val="16"/>
              </w:rPr>
              <w:t>Définir des ENTREES/SORTIES uniquement accessibles pour le personnel du chantier</w:t>
            </w:r>
          </w:p>
        </w:tc>
        <w:tc>
          <w:tcPr>
            <w:tcW w:w="709" w:type="dxa"/>
            <w:vAlign w:val="center"/>
          </w:tcPr>
          <w:p w:rsidR="00764FFF" w:rsidRPr="00AA45E9" w:rsidRDefault="00764FFF" w:rsidP="00764FFF">
            <w:pPr>
              <w:spacing w:after="0" w:line="240" w:lineRule="auto"/>
              <w:rPr>
                <w:rFonts w:ascii="Times New Roman" w:hAnsi="Times New Roman"/>
                <w:sz w:val="16"/>
                <w:szCs w:val="16"/>
              </w:rPr>
            </w:pPr>
            <w:r w:rsidRPr="00AA45E9">
              <w:rPr>
                <w:rFonts w:ascii="Times New Roman" w:hAnsi="Times New Roman"/>
                <w:sz w:val="16"/>
                <w:szCs w:val="16"/>
              </w:rPr>
              <w:t>3</w:t>
            </w:r>
          </w:p>
        </w:tc>
        <w:tc>
          <w:tcPr>
            <w:tcW w:w="709" w:type="dxa"/>
            <w:vAlign w:val="center"/>
          </w:tcPr>
          <w:p w:rsidR="00764FFF" w:rsidRPr="00AA45E9" w:rsidRDefault="00764FFF" w:rsidP="00764FFF">
            <w:pPr>
              <w:spacing w:after="0" w:line="240" w:lineRule="auto"/>
              <w:rPr>
                <w:rFonts w:ascii="Times New Roman" w:hAnsi="Times New Roman"/>
                <w:sz w:val="16"/>
                <w:szCs w:val="16"/>
              </w:rPr>
            </w:pPr>
            <w:r w:rsidRPr="00AA45E9">
              <w:rPr>
                <w:rFonts w:ascii="Times New Roman" w:hAnsi="Times New Roman"/>
                <w:sz w:val="16"/>
                <w:szCs w:val="16"/>
              </w:rPr>
              <w:t>2</w:t>
            </w:r>
          </w:p>
        </w:tc>
        <w:tc>
          <w:tcPr>
            <w:tcW w:w="708" w:type="dxa"/>
            <w:shd w:val="clear" w:color="auto" w:fill="FFFF00"/>
            <w:vAlign w:val="center"/>
          </w:tcPr>
          <w:p w:rsidR="00764FFF" w:rsidRPr="00AA45E9" w:rsidRDefault="00764FFF" w:rsidP="00764FFF">
            <w:pPr>
              <w:spacing w:after="0" w:line="240" w:lineRule="auto"/>
              <w:rPr>
                <w:rFonts w:ascii="Times New Roman" w:hAnsi="Times New Roman"/>
                <w:sz w:val="16"/>
                <w:szCs w:val="16"/>
              </w:rPr>
            </w:pPr>
            <w:r w:rsidRPr="00AA45E9">
              <w:rPr>
                <w:rFonts w:ascii="Times New Roman" w:hAnsi="Times New Roman"/>
                <w:sz w:val="16"/>
                <w:szCs w:val="16"/>
              </w:rPr>
              <w:t>32</w:t>
            </w:r>
          </w:p>
        </w:tc>
        <w:tc>
          <w:tcPr>
            <w:tcW w:w="851" w:type="dxa"/>
            <w:vAlign w:val="center"/>
          </w:tcPr>
          <w:p w:rsidR="00764FFF" w:rsidRPr="00AA45E9" w:rsidRDefault="00764FFF" w:rsidP="00764FFF">
            <w:pPr>
              <w:spacing w:after="0" w:line="240" w:lineRule="auto"/>
              <w:rPr>
                <w:rFonts w:ascii="Times New Roman" w:hAnsi="Times New Roman"/>
                <w:sz w:val="16"/>
                <w:szCs w:val="16"/>
              </w:rPr>
            </w:pPr>
            <w:r w:rsidRPr="00AA45E9">
              <w:rPr>
                <w:rFonts w:ascii="Times New Roman" w:hAnsi="Times New Roman"/>
                <w:sz w:val="16"/>
                <w:szCs w:val="16"/>
              </w:rPr>
              <w:t>Fatigue</w:t>
            </w:r>
          </w:p>
        </w:tc>
      </w:tr>
      <w:tr w:rsidR="00764FFF" w:rsidRPr="00AA45E9" w:rsidTr="00764FFF">
        <w:trPr>
          <w:trHeight w:val="650"/>
        </w:trPr>
        <w:tc>
          <w:tcPr>
            <w:tcW w:w="879" w:type="dxa"/>
            <w:vMerge/>
            <w:vAlign w:val="center"/>
          </w:tcPr>
          <w:p w:rsidR="00764FFF" w:rsidRPr="00AA45E9" w:rsidRDefault="00764FFF" w:rsidP="00764FFF">
            <w:pPr>
              <w:spacing w:after="0" w:line="240" w:lineRule="auto"/>
              <w:rPr>
                <w:rFonts w:ascii="Times New Roman" w:hAnsi="Times New Roman"/>
                <w:sz w:val="16"/>
                <w:szCs w:val="16"/>
              </w:rPr>
            </w:pPr>
          </w:p>
        </w:tc>
        <w:tc>
          <w:tcPr>
            <w:tcW w:w="993" w:type="dxa"/>
            <w:vMerge/>
          </w:tcPr>
          <w:p w:rsidR="00764FFF" w:rsidRPr="00AA45E9" w:rsidRDefault="00764FFF" w:rsidP="00764FFF">
            <w:pPr>
              <w:spacing w:after="0" w:line="240" w:lineRule="auto"/>
              <w:rPr>
                <w:rFonts w:ascii="Times New Roman" w:hAnsi="Times New Roman"/>
                <w:sz w:val="16"/>
                <w:szCs w:val="16"/>
              </w:rPr>
            </w:pPr>
          </w:p>
        </w:tc>
        <w:tc>
          <w:tcPr>
            <w:tcW w:w="1276" w:type="dxa"/>
            <w:vAlign w:val="center"/>
          </w:tcPr>
          <w:p w:rsidR="00764FFF" w:rsidRPr="00AA45E9" w:rsidRDefault="00764FFF" w:rsidP="00764FFF">
            <w:pPr>
              <w:spacing w:after="0" w:line="240" w:lineRule="auto"/>
              <w:rPr>
                <w:rFonts w:ascii="Times New Roman" w:hAnsi="Times New Roman"/>
                <w:sz w:val="16"/>
                <w:szCs w:val="16"/>
              </w:rPr>
            </w:pPr>
            <w:r w:rsidRPr="00AA45E9">
              <w:rPr>
                <w:rFonts w:ascii="Times New Roman" w:hAnsi="Times New Roman"/>
                <w:sz w:val="16"/>
                <w:szCs w:val="16"/>
              </w:rPr>
              <w:t>Risques liés aux chutes d’objet</w:t>
            </w:r>
          </w:p>
        </w:tc>
        <w:tc>
          <w:tcPr>
            <w:tcW w:w="1134" w:type="dxa"/>
            <w:vAlign w:val="center"/>
          </w:tcPr>
          <w:p w:rsidR="00764FFF" w:rsidRPr="00AA45E9" w:rsidRDefault="00764FFF" w:rsidP="00764FFF">
            <w:pPr>
              <w:spacing w:after="0" w:line="240" w:lineRule="auto"/>
              <w:rPr>
                <w:rFonts w:ascii="Times New Roman" w:hAnsi="Times New Roman"/>
                <w:sz w:val="16"/>
                <w:szCs w:val="16"/>
              </w:rPr>
            </w:pPr>
            <w:r w:rsidRPr="00AA45E9">
              <w:rPr>
                <w:rFonts w:ascii="Times New Roman" w:hAnsi="Times New Roman"/>
                <w:sz w:val="16"/>
                <w:szCs w:val="16"/>
              </w:rPr>
              <w:t>Blessures,</w:t>
            </w:r>
          </w:p>
          <w:p w:rsidR="00764FFF" w:rsidRPr="00AA45E9" w:rsidRDefault="00764FFF" w:rsidP="00764FFF">
            <w:pPr>
              <w:spacing w:after="0" w:line="240" w:lineRule="auto"/>
              <w:rPr>
                <w:rFonts w:ascii="Times New Roman" w:hAnsi="Times New Roman"/>
                <w:sz w:val="16"/>
                <w:szCs w:val="16"/>
              </w:rPr>
            </w:pPr>
          </w:p>
        </w:tc>
        <w:tc>
          <w:tcPr>
            <w:tcW w:w="1417" w:type="dxa"/>
            <w:vAlign w:val="center"/>
          </w:tcPr>
          <w:p w:rsidR="00764FFF" w:rsidRPr="00AA45E9" w:rsidRDefault="00764FFF" w:rsidP="00764FFF">
            <w:pPr>
              <w:spacing w:after="0" w:line="240" w:lineRule="auto"/>
              <w:rPr>
                <w:rFonts w:ascii="Times New Roman" w:hAnsi="Times New Roman"/>
                <w:sz w:val="16"/>
                <w:szCs w:val="16"/>
              </w:rPr>
            </w:pPr>
            <w:r w:rsidRPr="00AA45E9">
              <w:rPr>
                <w:rFonts w:ascii="Times New Roman" w:hAnsi="Times New Roman"/>
                <w:sz w:val="16"/>
                <w:szCs w:val="16"/>
              </w:rPr>
              <w:t>Fractures,</w:t>
            </w:r>
          </w:p>
          <w:p w:rsidR="00764FFF" w:rsidRPr="00AA45E9" w:rsidRDefault="00764FFF" w:rsidP="00764FFF">
            <w:pPr>
              <w:spacing w:after="0" w:line="240" w:lineRule="auto"/>
              <w:rPr>
                <w:rFonts w:ascii="Times New Roman" w:hAnsi="Times New Roman"/>
                <w:sz w:val="16"/>
                <w:szCs w:val="16"/>
              </w:rPr>
            </w:pPr>
            <w:r w:rsidRPr="00AA45E9">
              <w:rPr>
                <w:rFonts w:ascii="Times New Roman" w:hAnsi="Times New Roman"/>
                <w:sz w:val="16"/>
                <w:szCs w:val="16"/>
              </w:rPr>
              <w:t>Décès</w:t>
            </w:r>
          </w:p>
        </w:tc>
        <w:tc>
          <w:tcPr>
            <w:tcW w:w="709" w:type="dxa"/>
            <w:vAlign w:val="center"/>
          </w:tcPr>
          <w:p w:rsidR="00764FFF" w:rsidRPr="00AA45E9" w:rsidRDefault="00764FFF" w:rsidP="00764FFF">
            <w:pPr>
              <w:spacing w:after="0" w:line="240" w:lineRule="auto"/>
              <w:rPr>
                <w:rFonts w:ascii="Times New Roman" w:hAnsi="Times New Roman"/>
                <w:sz w:val="16"/>
                <w:szCs w:val="16"/>
              </w:rPr>
            </w:pPr>
            <w:r w:rsidRPr="00AA45E9">
              <w:rPr>
                <w:rFonts w:ascii="Times New Roman" w:hAnsi="Times New Roman"/>
                <w:sz w:val="16"/>
                <w:szCs w:val="16"/>
              </w:rPr>
              <w:t>4</w:t>
            </w:r>
          </w:p>
        </w:tc>
        <w:tc>
          <w:tcPr>
            <w:tcW w:w="709" w:type="dxa"/>
            <w:vAlign w:val="center"/>
          </w:tcPr>
          <w:p w:rsidR="00764FFF" w:rsidRPr="00AA45E9" w:rsidRDefault="00764FFF" w:rsidP="00764FFF">
            <w:pPr>
              <w:spacing w:after="0" w:line="240" w:lineRule="auto"/>
              <w:rPr>
                <w:rFonts w:ascii="Times New Roman" w:hAnsi="Times New Roman"/>
                <w:sz w:val="16"/>
                <w:szCs w:val="16"/>
              </w:rPr>
            </w:pPr>
            <w:r w:rsidRPr="00AA45E9">
              <w:rPr>
                <w:rFonts w:ascii="Times New Roman" w:hAnsi="Times New Roman"/>
                <w:sz w:val="16"/>
                <w:szCs w:val="16"/>
              </w:rPr>
              <w:t>3</w:t>
            </w:r>
          </w:p>
        </w:tc>
        <w:tc>
          <w:tcPr>
            <w:tcW w:w="708" w:type="dxa"/>
            <w:shd w:val="clear" w:color="auto" w:fill="FF0000"/>
            <w:vAlign w:val="center"/>
          </w:tcPr>
          <w:p w:rsidR="00764FFF" w:rsidRPr="00AA45E9" w:rsidRDefault="00764FFF" w:rsidP="00764FFF">
            <w:pPr>
              <w:spacing w:after="0" w:line="240" w:lineRule="auto"/>
              <w:rPr>
                <w:rFonts w:ascii="Times New Roman" w:hAnsi="Times New Roman"/>
                <w:sz w:val="16"/>
                <w:szCs w:val="16"/>
              </w:rPr>
            </w:pPr>
            <w:r w:rsidRPr="00AA45E9">
              <w:rPr>
                <w:rFonts w:ascii="Times New Roman" w:hAnsi="Times New Roman"/>
                <w:sz w:val="16"/>
                <w:szCs w:val="16"/>
              </w:rPr>
              <w:t>43</w:t>
            </w:r>
          </w:p>
        </w:tc>
        <w:tc>
          <w:tcPr>
            <w:tcW w:w="4111" w:type="dxa"/>
            <w:vAlign w:val="center"/>
          </w:tcPr>
          <w:p w:rsidR="00764FFF" w:rsidRPr="00AA45E9" w:rsidRDefault="00764FFF" w:rsidP="00764FFF">
            <w:pPr>
              <w:spacing w:after="0" w:line="240" w:lineRule="auto"/>
              <w:rPr>
                <w:rFonts w:ascii="Times New Roman" w:hAnsi="Times New Roman"/>
                <w:sz w:val="16"/>
                <w:szCs w:val="16"/>
              </w:rPr>
            </w:pPr>
            <w:r w:rsidRPr="00AA45E9">
              <w:rPr>
                <w:rFonts w:ascii="Times New Roman" w:hAnsi="Times New Roman"/>
                <w:sz w:val="16"/>
                <w:szCs w:val="16"/>
              </w:rPr>
              <w:t>Port des EPI (casque, lunettes de protection, chaussures de sécurité)</w:t>
            </w:r>
          </w:p>
          <w:p w:rsidR="00764FFF" w:rsidRPr="00AA45E9" w:rsidRDefault="00764FFF" w:rsidP="00764FFF">
            <w:pPr>
              <w:spacing w:after="0" w:line="240" w:lineRule="auto"/>
              <w:rPr>
                <w:rFonts w:ascii="Times New Roman" w:hAnsi="Times New Roman"/>
                <w:sz w:val="16"/>
                <w:szCs w:val="16"/>
              </w:rPr>
            </w:pPr>
            <w:r w:rsidRPr="00AA45E9">
              <w:rPr>
                <w:rFonts w:ascii="Times New Roman" w:hAnsi="Times New Roman"/>
                <w:sz w:val="16"/>
                <w:szCs w:val="16"/>
              </w:rPr>
              <w:t>Contrôler les installations et engins susceptibles d’être source de chutes d’objets</w:t>
            </w:r>
          </w:p>
          <w:p w:rsidR="00764FFF" w:rsidRPr="00AA45E9" w:rsidRDefault="00764FFF" w:rsidP="00764FFF">
            <w:pPr>
              <w:spacing w:after="0" w:line="240" w:lineRule="auto"/>
              <w:rPr>
                <w:rFonts w:ascii="Times New Roman" w:hAnsi="Times New Roman"/>
                <w:sz w:val="16"/>
                <w:szCs w:val="16"/>
              </w:rPr>
            </w:pPr>
            <w:r w:rsidRPr="00AA45E9">
              <w:rPr>
                <w:rFonts w:ascii="Times New Roman" w:hAnsi="Times New Roman"/>
                <w:sz w:val="16"/>
                <w:szCs w:val="16"/>
              </w:rPr>
              <w:t>Installer des protections pour retenir les chutes d’objets</w:t>
            </w:r>
          </w:p>
        </w:tc>
        <w:tc>
          <w:tcPr>
            <w:tcW w:w="709" w:type="dxa"/>
            <w:vAlign w:val="center"/>
          </w:tcPr>
          <w:p w:rsidR="00764FFF" w:rsidRPr="00AA45E9" w:rsidRDefault="00764FFF" w:rsidP="00764FFF">
            <w:pPr>
              <w:spacing w:after="0" w:line="240" w:lineRule="auto"/>
              <w:rPr>
                <w:rFonts w:ascii="Times New Roman" w:hAnsi="Times New Roman"/>
                <w:sz w:val="16"/>
                <w:szCs w:val="16"/>
              </w:rPr>
            </w:pPr>
            <w:r w:rsidRPr="00AA45E9">
              <w:rPr>
                <w:rFonts w:ascii="Times New Roman" w:hAnsi="Times New Roman"/>
                <w:sz w:val="16"/>
                <w:szCs w:val="16"/>
              </w:rPr>
              <w:t>3</w:t>
            </w:r>
          </w:p>
        </w:tc>
        <w:tc>
          <w:tcPr>
            <w:tcW w:w="709" w:type="dxa"/>
            <w:vAlign w:val="center"/>
          </w:tcPr>
          <w:p w:rsidR="00764FFF" w:rsidRPr="00AA45E9" w:rsidRDefault="00764FFF" w:rsidP="00764FFF">
            <w:pPr>
              <w:spacing w:after="0" w:line="240" w:lineRule="auto"/>
              <w:rPr>
                <w:rFonts w:ascii="Times New Roman" w:hAnsi="Times New Roman"/>
                <w:sz w:val="16"/>
                <w:szCs w:val="16"/>
              </w:rPr>
            </w:pPr>
            <w:r w:rsidRPr="00AA45E9">
              <w:rPr>
                <w:rFonts w:ascii="Times New Roman" w:hAnsi="Times New Roman"/>
                <w:sz w:val="16"/>
                <w:szCs w:val="16"/>
              </w:rPr>
              <w:t>2</w:t>
            </w:r>
          </w:p>
        </w:tc>
        <w:tc>
          <w:tcPr>
            <w:tcW w:w="708" w:type="dxa"/>
            <w:shd w:val="clear" w:color="auto" w:fill="FFFF00"/>
            <w:vAlign w:val="center"/>
          </w:tcPr>
          <w:p w:rsidR="00764FFF" w:rsidRPr="00AA45E9" w:rsidRDefault="00764FFF" w:rsidP="00764FFF">
            <w:pPr>
              <w:spacing w:after="0" w:line="240" w:lineRule="auto"/>
              <w:rPr>
                <w:rFonts w:ascii="Times New Roman" w:hAnsi="Times New Roman"/>
                <w:sz w:val="16"/>
                <w:szCs w:val="16"/>
              </w:rPr>
            </w:pPr>
            <w:r w:rsidRPr="00AA45E9">
              <w:rPr>
                <w:rFonts w:ascii="Times New Roman" w:hAnsi="Times New Roman"/>
                <w:sz w:val="16"/>
                <w:szCs w:val="16"/>
              </w:rPr>
              <w:t>32</w:t>
            </w:r>
          </w:p>
        </w:tc>
        <w:tc>
          <w:tcPr>
            <w:tcW w:w="851" w:type="dxa"/>
            <w:vAlign w:val="center"/>
          </w:tcPr>
          <w:p w:rsidR="00764FFF" w:rsidRPr="00AA45E9" w:rsidRDefault="00764FFF" w:rsidP="00764FFF">
            <w:pPr>
              <w:spacing w:after="0" w:line="240" w:lineRule="auto"/>
              <w:rPr>
                <w:rFonts w:ascii="Times New Roman" w:hAnsi="Times New Roman"/>
                <w:sz w:val="16"/>
                <w:szCs w:val="16"/>
              </w:rPr>
            </w:pPr>
            <w:r w:rsidRPr="00AA45E9">
              <w:rPr>
                <w:rFonts w:ascii="Times New Roman" w:hAnsi="Times New Roman"/>
                <w:sz w:val="16"/>
                <w:szCs w:val="16"/>
              </w:rPr>
              <w:t>Fatigue</w:t>
            </w:r>
          </w:p>
        </w:tc>
      </w:tr>
      <w:tr w:rsidR="00764FFF" w:rsidRPr="00AA45E9" w:rsidTr="00764FFF">
        <w:trPr>
          <w:trHeight w:val="279"/>
        </w:trPr>
        <w:tc>
          <w:tcPr>
            <w:tcW w:w="879" w:type="dxa"/>
            <w:vMerge w:val="restart"/>
            <w:vAlign w:val="center"/>
          </w:tcPr>
          <w:p w:rsidR="00764FFF" w:rsidRPr="00AA45E9" w:rsidRDefault="00764FFF" w:rsidP="00764FFF">
            <w:pPr>
              <w:spacing w:after="0" w:line="240" w:lineRule="auto"/>
              <w:rPr>
                <w:rFonts w:ascii="Times New Roman" w:hAnsi="Times New Roman"/>
                <w:sz w:val="16"/>
                <w:szCs w:val="16"/>
              </w:rPr>
            </w:pPr>
            <w:r w:rsidRPr="00AA45E9">
              <w:rPr>
                <w:rFonts w:ascii="Times New Roman" w:hAnsi="Times New Roman"/>
                <w:sz w:val="16"/>
                <w:szCs w:val="16"/>
              </w:rPr>
              <w:t>Déchargement de matériels</w:t>
            </w:r>
          </w:p>
        </w:tc>
        <w:tc>
          <w:tcPr>
            <w:tcW w:w="993" w:type="dxa"/>
            <w:vMerge w:val="restart"/>
          </w:tcPr>
          <w:p w:rsidR="00764FFF" w:rsidRPr="00AA45E9" w:rsidRDefault="00764FFF" w:rsidP="00764FFF">
            <w:pPr>
              <w:spacing w:after="0" w:line="240" w:lineRule="auto"/>
              <w:rPr>
                <w:rFonts w:ascii="Times New Roman" w:hAnsi="Times New Roman"/>
                <w:sz w:val="16"/>
                <w:szCs w:val="16"/>
              </w:rPr>
            </w:pPr>
            <w:r w:rsidRPr="00AA45E9">
              <w:rPr>
                <w:rFonts w:ascii="Times New Roman" w:hAnsi="Times New Roman"/>
                <w:sz w:val="16"/>
                <w:szCs w:val="16"/>
              </w:rPr>
              <w:t>Personnel effectuant le déchargement ou présent sur site</w:t>
            </w:r>
          </w:p>
        </w:tc>
        <w:tc>
          <w:tcPr>
            <w:tcW w:w="1276" w:type="dxa"/>
            <w:vAlign w:val="center"/>
          </w:tcPr>
          <w:p w:rsidR="00764FFF" w:rsidRPr="00AA45E9" w:rsidRDefault="00764FFF" w:rsidP="00764FFF">
            <w:pPr>
              <w:spacing w:after="0" w:line="240" w:lineRule="auto"/>
              <w:rPr>
                <w:rFonts w:ascii="Times New Roman" w:hAnsi="Times New Roman"/>
                <w:sz w:val="16"/>
                <w:szCs w:val="16"/>
              </w:rPr>
            </w:pPr>
            <w:r w:rsidRPr="00AA45E9">
              <w:rPr>
                <w:rFonts w:ascii="Times New Roman" w:hAnsi="Times New Roman"/>
                <w:sz w:val="16"/>
                <w:szCs w:val="16"/>
              </w:rPr>
              <w:t>Risques liés à l’utilisation de machines</w:t>
            </w:r>
          </w:p>
        </w:tc>
        <w:tc>
          <w:tcPr>
            <w:tcW w:w="1134" w:type="dxa"/>
            <w:vAlign w:val="center"/>
          </w:tcPr>
          <w:p w:rsidR="00764FFF" w:rsidRPr="00AA45E9" w:rsidRDefault="00764FFF" w:rsidP="00764FFF">
            <w:pPr>
              <w:spacing w:after="0" w:line="240" w:lineRule="auto"/>
              <w:rPr>
                <w:rFonts w:ascii="Times New Roman" w:hAnsi="Times New Roman"/>
                <w:sz w:val="16"/>
                <w:szCs w:val="16"/>
              </w:rPr>
            </w:pPr>
            <w:r w:rsidRPr="00AA45E9">
              <w:rPr>
                <w:rFonts w:ascii="Times New Roman" w:hAnsi="Times New Roman"/>
                <w:sz w:val="16"/>
                <w:szCs w:val="16"/>
              </w:rPr>
              <w:t>Blessures,</w:t>
            </w:r>
          </w:p>
          <w:p w:rsidR="00764FFF" w:rsidRPr="00AA45E9" w:rsidRDefault="00764FFF" w:rsidP="00764FFF">
            <w:pPr>
              <w:spacing w:after="0" w:line="240" w:lineRule="auto"/>
              <w:rPr>
                <w:rFonts w:ascii="Times New Roman" w:hAnsi="Times New Roman"/>
                <w:sz w:val="16"/>
                <w:szCs w:val="16"/>
              </w:rPr>
            </w:pPr>
          </w:p>
        </w:tc>
        <w:tc>
          <w:tcPr>
            <w:tcW w:w="1417" w:type="dxa"/>
            <w:vAlign w:val="center"/>
          </w:tcPr>
          <w:p w:rsidR="00764FFF" w:rsidRPr="00AA45E9" w:rsidRDefault="00764FFF" w:rsidP="00764FFF">
            <w:pPr>
              <w:spacing w:after="0" w:line="240" w:lineRule="auto"/>
              <w:rPr>
                <w:rFonts w:ascii="Times New Roman" w:hAnsi="Times New Roman"/>
                <w:sz w:val="16"/>
                <w:szCs w:val="16"/>
              </w:rPr>
            </w:pPr>
            <w:r w:rsidRPr="00AA45E9">
              <w:rPr>
                <w:rFonts w:ascii="Times New Roman" w:hAnsi="Times New Roman"/>
                <w:sz w:val="16"/>
                <w:szCs w:val="16"/>
              </w:rPr>
              <w:t>Fracture,</w:t>
            </w:r>
          </w:p>
          <w:p w:rsidR="00764FFF" w:rsidRPr="00AA45E9" w:rsidRDefault="00764FFF" w:rsidP="00764FFF">
            <w:pPr>
              <w:spacing w:after="0" w:line="240" w:lineRule="auto"/>
              <w:rPr>
                <w:rFonts w:ascii="Times New Roman" w:hAnsi="Times New Roman"/>
                <w:sz w:val="16"/>
                <w:szCs w:val="16"/>
              </w:rPr>
            </w:pPr>
            <w:r w:rsidRPr="00AA45E9">
              <w:rPr>
                <w:rFonts w:ascii="Times New Roman" w:hAnsi="Times New Roman"/>
                <w:sz w:val="16"/>
                <w:szCs w:val="16"/>
              </w:rPr>
              <w:t>Décès</w:t>
            </w:r>
          </w:p>
        </w:tc>
        <w:tc>
          <w:tcPr>
            <w:tcW w:w="709" w:type="dxa"/>
            <w:vAlign w:val="center"/>
          </w:tcPr>
          <w:p w:rsidR="00764FFF" w:rsidRPr="00AA45E9" w:rsidRDefault="00764FFF" w:rsidP="00764FFF">
            <w:pPr>
              <w:spacing w:after="0" w:line="240" w:lineRule="auto"/>
              <w:rPr>
                <w:rFonts w:ascii="Times New Roman" w:hAnsi="Times New Roman"/>
                <w:sz w:val="16"/>
                <w:szCs w:val="16"/>
              </w:rPr>
            </w:pPr>
            <w:r w:rsidRPr="00AA45E9">
              <w:rPr>
                <w:rFonts w:ascii="Times New Roman" w:hAnsi="Times New Roman"/>
                <w:sz w:val="16"/>
                <w:szCs w:val="16"/>
              </w:rPr>
              <w:t>4</w:t>
            </w:r>
          </w:p>
        </w:tc>
        <w:tc>
          <w:tcPr>
            <w:tcW w:w="709" w:type="dxa"/>
            <w:vAlign w:val="center"/>
          </w:tcPr>
          <w:p w:rsidR="00764FFF" w:rsidRPr="00AA45E9" w:rsidRDefault="00764FFF" w:rsidP="00764FFF">
            <w:pPr>
              <w:spacing w:after="0" w:line="240" w:lineRule="auto"/>
              <w:rPr>
                <w:rFonts w:ascii="Times New Roman" w:hAnsi="Times New Roman"/>
                <w:sz w:val="16"/>
                <w:szCs w:val="16"/>
              </w:rPr>
            </w:pPr>
            <w:r w:rsidRPr="00AA45E9">
              <w:rPr>
                <w:rFonts w:ascii="Times New Roman" w:hAnsi="Times New Roman"/>
                <w:sz w:val="16"/>
                <w:szCs w:val="16"/>
              </w:rPr>
              <w:t>3</w:t>
            </w:r>
          </w:p>
        </w:tc>
        <w:tc>
          <w:tcPr>
            <w:tcW w:w="708" w:type="dxa"/>
            <w:shd w:val="clear" w:color="auto" w:fill="FF0000"/>
            <w:vAlign w:val="center"/>
          </w:tcPr>
          <w:p w:rsidR="00764FFF" w:rsidRPr="00AA45E9" w:rsidRDefault="00764FFF" w:rsidP="00764FFF">
            <w:pPr>
              <w:spacing w:after="0" w:line="240" w:lineRule="auto"/>
              <w:rPr>
                <w:rFonts w:ascii="Times New Roman" w:hAnsi="Times New Roman"/>
                <w:sz w:val="16"/>
                <w:szCs w:val="16"/>
              </w:rPr>
            </w:pPr>
            <w:r w:rsidRPr="00AA45E9">
              <w:rPr>
                <w:rFonts w:ascii="Times New Roman" w:hAnsi="Times New Roman"/>
                <w:sz w:val="16"/>
                <w:szCs w:val="16"/>
              </w:rPr>
              <w:t>43</w:t>
            </w:r>
          </w:p>
        </w:tc>
        <w:tc>
          <w:tcPr>
            <w:tcW w:w="4111" w:type="dxa"/>
            <w:vAlign w:val="center"/>
          </w:tcPr>
          <w:p w:rsidR="00764FFF" w:rsidRPr="00AA45E9" w:rsidRDefault="00764FFF" w:rsidP="00764FFF">
            <w:pPr>
              <w:spacing w:after="0" w:line="240" w:lineRule="auto"/>
              <w:rPr>
                <w:rFonts w:ascii="Times New Roman" w:hAnsi="Times New Roman"/>
                <w:sz w:val="16"/>
                <w:szCs w:val="16"/>
              </w:rPr>
            </w:pPr>
            <w:r w:rsidRPr="00AA45E9">
              <w:rPr>
                <w:rFonts w:ascii="Times New Roman" w:hAnsi="Times New Roman"/>
                <w:sz w:val="16"/>
                <w:szCs w:val="16"/>
              </w:rPr>
              <w:t>Mettre en place des fiches de poste pour l’utilisation des machines</w:t>
            </w:r>
          </w:p>
          <w:p w:rsidR="00764FFF" w:rsidRPr="00AA45E9" w:rsidRDefault="00764FFF" w:rsidP="00764FFF">
            <w:pPr>
              <w:spacing w:after="0" w:line="240" w:lineRule="auto"/>
              <w:rPr>
                <w:rFonts w:ascii="Times New Roman" w:hAnsi="Times New Roman"/>
                <w:sz w:val="16"/>
                <w:szCs w:val="16"/>
              </w:rPr>
            </w:pPr>
            <w:r w:rsidRPr="00AA45E9">
              <w:rPr>
                <w:rFonts w:ascii="Times New Roman" w:hAnsi="Times New Roman"/>
                <w:sz w:val="16"/>
                <w:szCs w:val="16"/>
              </w:rPr>
              <w:t>Limiter l’utilisation aux seules personnes habilitées</w:t>
            </w:r>
          </w:p>
        </w:tc>
        <w:tc>
          <w:tcPr>
            <w:tcW w:w="709" w:type="dxa"/>
            <w:vAlign w:val="center"/>
          </w:tcPr>
          <w:p w:rsidR="00764FFF" w:rsidRPr="00AA45E9" w:rsidRDefault="00764FFF" w:rsidP="00764FFF">
            <w:pPr>
              <w:spacing w:after="0" w:line="240" w:lineRule="auto"/>
              <w:rPr>
                <w:rFonts w:ascii="Times New Roman" w:hAnsi="Times New Roman"/>
                <w:sz w:val="16"/>
                <w:szCs w:val="16"/>
              </w:rPr>
            </w:pPr>
            <w:r w:rsidRPr="00AA45E9">
              <w:rPr>
                <w:rFonts w:ascii="Times New Roman" w:hAnsi="Times New Roman"/>
                <w:sz w:val="16"/>
                <w:szCs w:val="16"/>
              </w:rPr>
              <w:t>3</w:t>
            </w:r>
          </w:p>
        </w:tc>
        <w:tc>
          <w:tcPr>
            <w:tcW w:w="709" w:type="dxa"/>
            <w:vAlign w:val="center"/>
          </w:tcPr>
          <w:p w:rsidR="00764FFF" w:rsidRPr="00AA45E9" w:rsidRDefault="00764FFF" w:rsidP="00764FFF">
            <w:pPr>
              <w:spacing w:after="0" w:line="240" w:lineRule="auto"/>
              <w:rPr>
                <w:rFonts w:ascii="Times New Roman" w:hAnsi="Times New Roman"/>
                <w:sz w:val="16"/>
                <w:szCs w:val="16"/>
              </w:rPr>
            </w:pPr>
            <w:r w:rsidRPr="00AA45E9">
              <w:rPr>
                <w:rFonts w:ascii="Times New Roman" w:hAnsi="Times New Roman"/>
                <w:sz w:val="16"/>
                <w:szCs w:val="16"/>
              </w:rPr>
              <w:t>2</w:t>
            </w:r>
          </w:p>
        </w:tc>
        <w:tc>
          <w:tcPr>
            <w:tcW w:w="708" w:type="dxa"/>
            <w:shd w:val="clear" w:color="auto" w:fill="FFFF00"/>
            <w:vAlign w:val="center"/>
          </w:tcPr>
          <w:p w:rsidR="00764FFF" w:rsidRPr="00AA45E9" w:rsidRDefault="00764FFF" w:rsidP="00764FFF">
            <w:pPr>
              <w:spacing w:after="0" w:line="240" w:lineRule="auto"/>
              <w:rPr>
                <w:rFonts w:ascii="Times New Roman" w:hAnsi="Times New Roman"/>
                <w:sz w:val="16"/>
                <w:szCs w:val="16"/>
              </w:rPr>
            </w:pPr>
            <w:r w:rsidRPr="00AA45E9">
              <w:rPr>
                <w:rFonts w:ascii="Times New Roman" w:hAnsi="Times New Roman"/>
                <w:sz w:val="16"/>
                <w:szCs w:val="16"/>
              </w:rPr>
              <w:t>32</w:t>
            </w:r>
          </w:p>
        </w:tc>
        <w:tc>
          <w:tcPr>
            <w:tcW w:w="851" w:type="dxa"/>
            <w:vAlign w:val="center"/>
          </w:tcPr>
          <w:p w:rsidR="00764FFF" w:rsidRPr="00AA45E9" w:rsidRDefault="00764FFF" w:rsidP="00764FFF">
            <w:pPr>
              <w:spacing w:after="0" w:line="240" w:lineRule="auto"/>
              <w:rPr>
                <w:rFonts w:ascii="Times New Roman" w:hAnsi="Times New Roman"/>
                <w:sz w:val="16"/>
                <w:szCs w:val="16"/>
              </w:rPr>
            </w:pPr>
            <w:r w:rsidRPr="00AA45E9">
              <w:rPr>
                <w:rFonts w:ascii="Times New Roman" w:hAnsi="Times New Roman"/>
                <w:sz w:val="16"/>
                <w:szCs w:val="16"/>
              </w:rPr>
              <w:t>Fatigue</w:t>
            </w:r>
          </w:p>
        </w:tc>
      </w:tr>
      <w:tr w:rsidR="00764FFF" w:rsidRPr="00AA45E9" w:rsidTr="00764FFF">
        <w:trPr>
          <w:trHeight w:val="842"/>
        </w:trPr>
        <w:tc>
          <w:tcPr>
            <w:tcW w:w="879" w:type="dxa"/>
            <w:vMerge/>
            <w:vAlign w:val="center"/>
          </w:tcPr>
          <w:p w:rsidR="00764FFF" w:rsidRPr="00AA45E9" w:rsidRDefault="00764FFF" w:rsidP="00764FFF">
            <w:pPr>
              <w:spacing w:after="0" w:line="240" w:lineRule="auto"/>
              <w:rPr>
                <w:rFonts w:ascii="Times New Roman" w:hAnsi="Times New Roman"/>
                <w:sz w:val="16"/>
                <w:szCs w:val="16"/>
              </w:rPr>
            </w:pPr>
          </w:p>
        </w:tc>
        <w:tc>
          <w:tcPr>
            <w:tcW w:w="993" w:type="dxa"/>
            <w:vMerge/>
          </w:tcPr>
          <w:p w:rsidR="00764FFF" w:rsidRPr="00AA45E9" w:rsidRDefault="00764FFF" w:rsidP="00764FFF">
            <w:pPr>
              <w:spacing w:after="0" w:line="240" w:lineRule="auto"/>
              <w:rPr>
                <w:rFonts w:ascii="Times New Roman" w:hAnsi="Times New Roman"/>
                <w:sz w:val="16"/>
                <w:szCs w:val="16"/>
              </w:rPr>
            </w:pPr>
          </w:p>
        </w:tc>
        <w:tc>
          <w:tcPr>
            <w:tcW w:w="1276" w:type="dxa"/>
            <w:vAlign w:val="center"/>
          </w:tcPr>
          <w:p w:rsidR="00764FFF" w:rsidRPr="00AA45E9" w:rsidRDefault="00764FFF" w:rsidP="00764FFF">
            <w:pPr>
              <w:spacing w:after="0" w:line="240" w:lineRule="auto"/>
              <w:rPr>
                <w:rFonts w:ascii="Times New Roman" w:hAnsi="Times New Roman"/>
                <w:sz w:val="16"/>
                <w:szCs w:val="16"/>
              </w:rPr>
            </w:pPr>
            <w:r w:rsidRPr="00AA45E9">
              <w:rPr>
                <w:rFonts w:ascii="Times New Roman" w:hAnsi="Times New Roman"/>
                <w:sz w:val="16"/>
                <w:szCs w:val="16"/>
              </w:rPr>
              <w:t>Risques liés à la manutention mécanique</w:t>
            </w:r>
          </w:p>
        </w:tc>
        <w:tc>
          <w:tcPr>
            <w:tcW w:w="1134" w:type="dxa"/>
            <w:vAlign w:val="center"/>
          </w:tcPr>
          <w:p w:rsidR="00764FFF" w:rsidRPr="00AA45E9" w:rsidRDefault="00764FFF" w:rsidP="00764FFF">
            <w:pPr>
              <w:spacing w:after="0" w:line="240" w:lineRule="auto"/>
              <w:rPr>
                <w:rFonts w:ascii="Times New Roman" w:hAnsi="Times New Roman"/>
                <w:sz w:val="16"/>
                <w:szCs w:val="16"/>
              </w:rPr>
            </w:pPr>
            <w:r w:rsidRPr="00AA45E9">
              <w:rPr>
                <w:rFonts w:ascii="Times New Roman" w:hAnsi="Times New Roman"/>
                <w:sz w:val="16"/>
                <w:szCs w:val="16"/>
              </w:rPr>
              <w:t>Blessures,</w:t>
            </w:r>
          </w:p>
          <w:p w:rsidR="00764FFF" w:rsidRPr="00AA45E9" w:rsidRDefault="00764FFF" w:rsidP="00764FFF">
            <w:pPr>
              <w:spacing w:after="0" w:line="240" w:lineRule="auto"/>
              <w:rPr>
                <w:rFonts w:ascii="Times New Roman" w:hAnsi="Times New Roman"/>
                <w:sz w:val="16"/>
                <w:szCs w:val="16"/>
              </w:rPr>
            </w:pPr>
            <w:r w:rsidRPr="00AA45E9">
              <w:rPr>
                <w:rFonts w:ascii="Times New Roman" w:hAnsi="Times New Roman"/>
                <w:sz w:val="16"/>
                <w:szCs w:val="16"/>
              </w:rPr>
              <w:t>Décès,</w:t>
            </w:r>
          </w:p>
          <w:p w:rsidR="00764FFF" w:rsidRPr="00AA45E9" w:rsidRDefault="00764FFF" w:rsidP="00764FFF">
            <w:pPr>
              <w:spacing w:after="0" w:line="240" w:lineRule="auto"/>
              <w:rPr>
                <w:rFonts w:ascii="Times New Roman" w:hAnsi="Times New Roman"/>
                <w:sz w:val="16"/>
                <w:szCs w:val="16"/>
              </w:rPr>
            </w:pPr>
          </w:p>
        </w:tc>
        <w:tc>
          <w:tcPr>
            <w:tcW w:w="1417" w:type="dxa"/>
            <w:vAlign w:val="center"/>
          </w:tcPr>
          <w:p w:rsidR="00764FFF" w:rsidRPr="00AA45E9" w:rsidRDefault="00764FFF" w:rsidP="00764FFF">
            <w:pPr>
              <w:spacing w:after="0" w:line="240" w:lineRule="auto"/>
              <w:rPr>
                <w:rFonts w:ascii="Times New Roman" w:hAnsi="Times New Roman"/>
                <w:sz w:val="16"/>
                <w:szCs w:val="16"/>
              </w:rPr>
            </w:pPr>
            <w:r w:rsidRPr="00AA45E9">
              <w:rPr>
                <w:rFonts w:ascii="Times New Roman" w:hAnsi="Times New Roman"/>
                <w:sz w:val="16"/>
                <w:szCs w:val="16"/>
              </w:rPr>
              <w:t>Blessures,</w:t>
            </w:r>
          </w:p>
          <w:p w:rsidR="00764FFF" w:rsidRPr="00AA45E9" w:rsidRDefault="00764FFF" w:rsidP="00764FFF">
            <w:pPr>
              <w:spacing w:after="0" w:line="240" w:lineRule="auto"/>
              <w:rPr>
                <w:rFonts w:ascii="Times New Roman" w:hAnsi="Times New Roman"/>
                <w:sz w:val="16"/>
                <w:szCs w:val="16"/>
              </w:rPr>
            </w:pPr>
            <w:r w:rsidRPr="00AA45E9">
              <w:rPr>
                <w:rFonts w:ascii="Times New Roman" w:hAnsi="Times New Roman"/>
                <w:sz w:val="16"/>
                <w:szCs w:val="16"/>
              </w:rPr>
              <w:t>Fractures</w:t>
            </w:r>
          </w:p>
        </w:tc>
        <w:tc>
          <w:tcPr>
            <w:tcW w:w="709" w:type="dxa"/>
            <w:vAlign w:val="center"/>
          </w:tcPr>
          <w:p w:rsidR="00764FFF" w:rsidRPr="00AA45E9" w:rsidRDefault="00764FFF" w:rsidP="00764FFF">
            <w:pPr>
              <w:spacing w:after="0" w:line="240" w:lineRule="auto"/>
              <w:rPr>
                <w:rFonts w:ascii="Times New Roman" w:hAnsi="Times New Roman"/>
                <w:sz w:val="16"/>
                <w:szCs w:val="16"/>
              </w:rPr>
            </w:pPr>
            <w:r w:rsidRPr="00AA45E9">
              <w:rPr>
                <w:rFonts w:ascii="Times New Roman" w:hAnsi="Times New Roman"/>
                <w:sz w:val="16"/>
                <w:szCs w:val="16"/>
              </w:rPr>
              <w:t>4</w:t>
            </w:r>
          </w:p>
        </w:tc>
        <w:tc>
          <w:tcPr>
            <w:tcW w:w="709" w:type="dxa"/>
            <w:vAlign w:val="center"/>
          </w:tcPr>
          <w:p w:rsidR="00764FFF" w:rsidRPr="00AA45E9" w:rsidRDefault="00764FFF" w:rsidP="00764FFF">
            <w:pPr>
              <w:spacing w:after="0" w:line="240" w:lineRule="auto"/>
              <w:rPr>
                <w:rFonts w:ascii="Times New Roman" w:hAnsi="Times New Roman"/>
                <w:sz w:val="16"/>
                <w:szCs w:val="16"/>
              </w:rPr>
            </w:pPr>
            <w:r w:rsidRPr="00AA45E9">
              <w:rPr>
                <w:rFonts w:ascii="Times New Roman" w:hAnsi="Times New Roman"/>
                <w:sz w:val="16"/>
                <w:szCs w:val="16"/>
              </w:rPr>
              <w:t>3</w:t>
            </w:r>
          </w:p>
        </w:tc>
        <w:tc>
          <w:tcPr>
            <w:tcW w:w="708" w:type="dxa"/>
            <w:shd w:val="clear" w:color="auto" w:fill="FF0000"/>
            <w:vAlign w:val="center"/>
          </w:tcPr>
          <w:p w:rsidR="00764FFF" w:rsidRPr="00AA45E9" w:rsidRDefault="00764FFF" w:rsidP="00764FFF">
            <w:pPr>
              <w:spacing w:after="0" w:line="240" w:lineRule="auto"/>
              <w:rPr>
                <w:rFonts w:ascii="Times New Roman" w:hAnsi="Times New Roman"/>
                <w:sz w:val="16"/>
                <w:szCs w:val="16"/>
              </w:rPr>
            </w:pPr>
            <w:r w:rsidRPr="00AA45E9">
              <w:rPr>
                <w:rFonts w:ascii="Times New Roman" w:hAnsi="Times New Roman"/>
                <w:sz w:val="16"/>
                <w:szCs w:val="16"/>
              </w:rPr>
              <w:t>43</w:t>
            </w:r>
          </w:p>
        </w:tc>
        <w:tc>
          <w:tcPr>
            <w:tcW w:w="4111" w:type="dxa"/>
            <w:vAlign w:val="center"/>
          </w:tcPr>
          <w:p w:rsidR="00764FFF" w:rsidRPr="00AA45E9" w:rsidRDefault="00764FFF" w:rsidP="00764FFF">
            <w:pPr>
              <w:spacing w:after="0" w:line="240" w:lineRule="auto"/>
              <w:rPr>
                <w:rFonts w:ascii="Times New Roman" w:hAnsi="Times New Roman"/>
                <w:sz w:val="16"/>
                <w:szCs w:val="16"/>
              </w:rPr>
            </w:pPr>
            <w:r w:rsidRPr="00AA45E9">
              <w:rPr>
                <w:rFonts w:ascii="Times New Roman" w:hAnsi="Times New Roman"/>
                <w:sz w:val="16"/>
                <w:szCs w:val="16"/>
              </w:rPr>
              <w:t>Utiliser des moyens de manutentions adaptés aux charges transportées.</w:t>
            </w:r>
          </w:p>
          <w:p w:rsidR="00764FFF" w:rsidRPr="00AA45E9" w:rsidRDefault="00764FFF" w:rsidP="00764FFF">
            <w:pPr>
              <w:spacing w:after="0" w:line="240" w:lineRule="auto"/>
              <w:rPr>
                <w:rFonts w:ascii="Times New Roman" w:hAnsi="Times New Roman"/>
                <w:sz w:val="16"/>
                <w:szCs w:val="16"/>
              </w:rPr>
            </w:pPr>
            <w:r w:rsidRPr="00AA45E9">
              <w:rPr>
                <w:rFonts w:ascii="Times New Roman" w:hAnsi="Times New Roman"/>
                <w:sz w:val="16"/>
                <w:szCs w:val="16"/>
              </w:rPr>
              <w:t>Suivre les indications du fournisseur de matériel.</w:t>
            </w:r>
          </w:p>
          <w:p w:rsidR="00764FFF" w:rsidRPr="00AA45E9" w:rsidRDefault="00764FFF" w:rsidP="00764FFF">
            <w:pPr>
              <w:spacing w:after="0" w:line="240" w:lineRule="auto"/>
              <w:rPr>
                <w:rFonts w:ascii="Times New Roman" w:hAnsi="Times New Roman"/>
                <w:sz w:val="16"/>
                <w:szCs w:val="16"/>
              </w:rPr>
            </w:pPr>
            <w:r w:rsidRPr="00AA45E9">
              <w:rPr>
                <w:rFonts w:ascii="Times New Roman" w:hAnsi="Times New Roman"/>
                <w:sz w:val="16"/>
                <w:szCs w:val="16"/>
              </w:rPr>
              <w:t>Vérifier régulièrement l’état du matériel de manutention.</w:t>
            </w:r>
          </w:p>
          <w:p w:rsidR="00764FFF" w:rsidRPr="00AA45E9" w:rsidRDefault="00764FFF" w:rsidP="00764FFF">
            <w:pPr>
              <w:spacing w:after="0" w:line="240" w:lineRule="auto"/>
              <w:rPr>
                <w:rFonts w:ascii="Times New Roman" w:hAnsi="Times New Roman"/>
                <w:sz w:val="16"/>
                <w:szCs w:val="16"/>
              </w:rPr>
            </w:pPr>
            <w:r w:rsidRPr="00AA45E9">
              <w:rPr>
                <w:rFonts w:ascii="Times New Roman" w:hAnsi="Times New Roman"/>
                <w:sz w:val="16"/>
                <w:szCs w:val="16"/>
              </w:rPr>
              <w:t>Les salariés doivent être formés à l’utilisation de ces matériels</w:t>
            </w:r>
          </w:p>
        </w:tc>
        <w:tc>
          <w:tcPr>
            <w:tcW w:w="709" w:type="dxa"/>
            <w:vAlign w:val="center"/>
          </w:tcPr>
          <w:p w:rsidR="00764FFF" w:rsidRPr="00AA45E9" w:rsidRDefault="00764FFF" w:rsidP="00764FFF">
            <w:pPr>
              <w:spacing w:after="0" w:line="240" w:lineRule="auto"/>
              <w:rPr>
                <w:rFonts w:ascii="Times New Roman" w:hAnsi="Times New Roman"/>
                <w:sz w:val="16"/>
                <w:szCs w:val="16"/>
              </w:rPr>
            </w:pPr>
            <w:r w:rsidRPr="00AA45E9">
              <w:rPr>
                <w:rFonts w:ascii="Times New Roman" w:hAnsi="Times New Roman"/>
                <w:sz w:val="16"/>
                <w:szCs w:val="16"/>
              </w:rPr>
              <w:t>3</w:t>
            </w:r>
          </w:p>
        </w:tc>
        <w:tc>
          <w:tcPr>
            <w:tcW w:w="709" w:type="dxa"/>
            <w:vAlign w:val="center"/>
          </w:tcPr>
          <w:p w:rsidR="00764FFF" w:rsidRPr="00AA45E9" w:rsidRDefault="00764FFF" w:rsidP="00764FFF">
            <w:pPr>
              <w:spacing w:after="0" w:line="240" w:lineRule="auto"/>
              <w:rPr>
                <w:rFonts w:ascii="Times New Roman" w:hAnsi="Times New Roman"/>
                <w:sz w:val="16"/>
                <w:szCs w:val="16"/>
              </w:rPr>
            </w:pPr>
            <w:r w:rsidRPr="00AA45E9">
              <w:rPr>
                <w:rFonts w:ascii="Times New Roman" w:hAnsi="Times New Roman"/>
                <w:sz w:val="16"/>
                <w:szCs w:val="16"/>
              </w:rPr>
              <w:t>2</w:t>
            </w:r>
          </w:p>
        </w:tc>
        <w:tc>
          <w:tcPr>
            <w:tcW w:w="708" w:type="dxa"/>
            <w:shd w:val="clear" w:color="auto" w:fill="FFFF00"/>
            <w:vAlign w:val="center"/>
          </w:tcPr>
          <w:p w:rsidR="00764FFF" w:rsidRPr="00AA45E9" w:rsidRDefault="00764FFF" w:rsidP="00764FFF">
            <w:pPr>
              <w:spacing w:after="0" w:line="240" w:lineRule="auto"/>
              <w:rPr>
                <w:rFonts w:ascii="Times New Roman" w:hAnsi="Times New Roman"/>
                <w:sz w:val="16"/>
                <w:szCs w:val="16"/>
              </w:rPr>
            </w:pPr>
            <w:r w:rsidRPr="00AA45E9">
              <w:rPr>
                <w:rFonts w:ascii="Times New Roman" w:hAnsi="Times New Roman"/>
                <w:sz w:val="16"/>
                <w:szCs w:val="16"/>
              </w:rPr>
              <w:t>32</w:t>
            </w:r>
          </w:p>
        </w:tc>
        <w:tc>
          <w:tcPr>
            <w:tcW w:w="851" w:type="dxa"/>
            <w:vAlign w:val="center"/>
          </w:tcPr>
          <w:p w:rsidR="00764FFF" w:rsidRPr="00AA45E9" w:rsidRDefault="00764FFF" w:rsidP="00764FFF">
            <w:pPr>
              <w:spacing w:after="0" w:line="240" w:lineRule="auto"/>
              <w:rPr>
                <w:rFonts w:ascii="Times New Roman" w:hAnsi="Times New Roman"/>
                <w:sz w:val="16"/>
                <w:szCs w:val="16"/>
              </w:rPr>
            </w:pPr>
          </w:p>
        </w:tc>
      </w:tr>
      <w:tr w:rsidR="00764FFF" w:rsidRPr="00AA45E9" w:rsidTr="00764FFF">
        <w:trPr>
          <w:trHeight w:val="842"/>
        </w:trPr>
        <w:tc>
          <w:tcPr>
            <w:tcW w:w="879" w:type="dxa"/>
            <w:vMerge/>
            <w:vAlign w:val="center"/>
          </w:tcPr>
          <w:p w:rsidR="00764FFF" w:rsidRPr="00AA45E9" w:rsidRDefault="00764FFF" w:rsidP="00764FFF">
            <w:pPr>
              <w:spacing w:after="0" w:line="240" w:lineRule="auto"/>
              <w:rPr>
                <w:rFonts w:ascii="Times New Roman" w:hAnsi="Times New Roman"/>
                <w:sz w:val="16"/>
                <w:szCs w:val="16"/>
              </w:rPr>
            </w:pPr>
          </w:p>
        </w:tc>
        <w:tc>
          <w:tcPr>
            <w:tcW w:w="993" w:type="dxa"/>
            <w:vMerge/>
          </w:tcPr>
          <w:p w:rsidR="00764FFF" w:rsidRPr="00AA45E9" w:rsidRDefault="00764FFF" w:rsidP="00764FFF">
            <w:pPr>
              <w:spacing w:after="0" w:line="240" w:lineRule="auto"/>
              <w:rPr>
                <w:rFonts w:ascii="Times New Roman" w:hAnsi="Times New Roman"/>
                <w:sz w:val="16"/>
                <w:szCs w:val="16"/>
              </w:rPr>
            </w:pPr>
          </w:p>
        </w:tc>
        <w:tc>
          <w:tcPr>
            <w:tcW w:w="1276" w:type="dxa"/>
            <w:vAlign w:val="center"/>
          </w:tcPr>
          <w:p w:rsidR="00764FFF" w:rsidRPr="00AA45E9" w:rsidRDefault="00764FFF" w:rsidP="00764FFF">
            <w:pPr>
              <w:spacing w:after="0" w:line="240" w:lineRule="auto"/>
              <w:rPr>
                <w:rFonts w:ascii="Times New Roman" w:hAnsi="Times New Roman"/>
                <w:sz w:val="16"/>
                <w:szCs w:val="16"/>
              </w:rPr>
            </w:pPr>
            <w:r w:rsidRPr="00AA45E9">
              <w:rPr>
                <w:rFonts w:ascii="Times New Roman" w:hAnsi="Times New Roman"/>
                <w:sz w:val="16"/>
                <w:szCs w:val="16"/>
              </w:rPr>
              <w:t>Risques liés à la manutention</w:t>
            </w:r>
          </w:p>
          <w:p w:rsidR="00764FFF" w:rsidRPr="00AA45E9" w:rsidRDefault="00764FFF" w:rsidP="00764FFF">
            <w:pPr>
              <w:spacing w:after="0" w:line="240" w:lineRule="auto"/>
              <w:rPr>
                <w:rFonts w:ascii="Times New Roman" w:hAnsi="Times New Roman"/>
                <w:sz w:val="16"/>
                <w:szCs w:val="16"/>
              </w:rPr>
            </w:pPr>
            <w:r w:rsidRPr="00AA45E9">
              <w:rPr>
                <w:rFonts w:ascii="Times New Roman" w:hAnsi="Times New Roman"/>
                <w:sz w:val="16"/>
                <w:szCs w:val="16"/>
              </w:rPr>
              <w:t>Manuelle et aux gestes</w:t>
            </w:r>
          </w:p>
        </w:tc>
        <w:tc>
          <w:tcPr>
            <w:tcW w:w="1134" w:type="dxa"/>
            <w:vAlign w:val="center"/>
          </w:tcPr>
          <w:p w:rsidR="00764FFF" w:rsidRPr="00AA45E9" w:rsidRDefault="00764FFF" w:rsidP="00764FFF">
            <w:pPr>
              <w:spacing w:after="0" w:line="240" w:lineRule="auto"/>
              <w:rPr>
                <w:rFonts w:ascii="Times New Roman" w:hAnsi="Times New Roman"/>
                <w:sz w:val="16"/>
                <w:szCs w:val="16"/>
              </w:rPr>
            </w:pPr>
            <w:r w:rsidRPr="00AA45E9">
              <w:rPr>
                <w:rFonts w:ascii="Times New Roman" w:hAnsi="Times New Roman"/>
                <w:sz w:val="16"/>
                <w:szCs w:val="16"/>
              </w:rPr>
              <w:t>TMS</w:t>
            </w:r>
          </w:p>
          <w:p w:rsidR="00764FFF" w:rsidRPr="00AA45E9" w:rsidRDefault="00764FFF" w:rsidP="00764FFF">
            <w:pPr>
              <w:spacing w:after="0" w:line="240" w:lineRule="auto"/>
              <w:rPr>
                <w:rFonts w:ascii="Times New Roman" w:hAnsi="Times New Roman"/>
                <w:sz w:val="16"/>
                <w:szCs w:val="16"/>
              </w:rPr>
            </w:pPr>
          </w:p>
        </w:tc>
        <w:tc>
          <w:tcPr>
            <w:tcW w:w="1417" w:type="dxa"/>
            <w:vAlign w:val="center"/>
          </w:tcPr>
          <w:p w:rsidR="00764FFF" w:rsidRPr="00AA45E9" w:rsidRDefault="00764FFF" w:rsidP="00764FFF">
            <w:pPr>
              <w:spacing w:after="0" w:line="240" w:lineRule="auto"/>
              <w:rPr>
                <w:rFonts w:ascii="Times New Roman" w:hAnsi="Times New Roman"/>
                <w:sz w:val="16"/>
                <w:szCs w:val="16"/>
              </w:rPr>
            </w:pPr>
            <w:r w:rsidRPr="00AA45E9">
              <w:rPr>
                <w:rFonts w:ascii="Times New Roman" w:hAnsi="Times New Roman"/>
                <w:sz w:val="16"/>
                <w:szCs w:val="16"/>
              </w:rPr>
              <w:t>Douleurs</w:t>
            </w:r>
          </w:p>
          <w:p w:rsidR="00764FFF" w:rsidRPr="00AA45E9" w:rsidRDefault="00764FFF" w:rsidP="00764FFF">
            <w:pPr>
              <w:spacing w:after="0" w:line="240" w:lineRule="auto"/>
              <w:rPr>
                <w:rFonts w:ascii="Times New Roman" w:hAnsi="Times New Roman"/>
                <w:sz w:val="16"/>
                <w:szCs w:val="16"/>
              </w:rPr>
            </w:pPr>
            <w:r w:rsidRPr="00AA45E9">
              <w:rPr>
                <w:rFonts w:ascii="Times New Roman" w:hAnsi="Times New Roman"/>
                <w:sz w:val="16"/>
                <w:szCs w:val="16"/>
              </w:rPr>
              <w:t>Musculaires, Mal de dos, Lombalgies</w:t>
            </w:r>
          </w:p>
        </w:tc>
        <w:tc>
          <w:tcPr>
            <w:tcW w:w="709" w:type="dxa"/>
            <w:vAlign w:val="center"/>
          </w:tcPr>
          <w:p w:rsidR="00764FFF" w:rsidRPr="00AA45E9" w:rsidRDefault="00764FFF" w:rsidP="00764FFF">
            <w:pPr>
              <w:spacing w:after="0" w:line="240" w:lineRule="auto"/>
              <w:rPr>
                <w:rFonts w:ascii="Times New Roman" w:hAnsi="Times New Roman"/>
                <w:sz w:val="16"/>
                <w:szCs w:val="16"/>
              </w:rPr>
            </w:pPr>
            <w:r w:rsidRPr="00AA45E9">
              <w:rPr>
                <w:rFonts w:ascii="Times New Roman" w:hAnsi="Times New Roman"/>
                <w:sz w:val="16"/>
                <w:szCs w:val="16"/>
              </w:rPr>
              <w:t>2</w:t>
            </w:r>
          </w:p>
        </w:tc>
        <w:tc>
          <w:tcPr>
            <w:tcW w:w="709" w:type="dxa"/>
            <w:vAlign w:val="center"/>
          </w:tcPr>
          <w:p w:rsidR="00764FFF" w:rsidRPr="00AA45E9" w:rsidRDefault="00764FFF" w:rsidP="00764FFF">
            <w:pPr>
              <w:spacing w:after="0" w:line="240" w:lineRule="auto"/>
              <w:rPr>
                <w:rFonts w:ascii="Times New Roman" w:hAnsi="Times New Roman"/>
                <w:sz w:val="16"/>
                <w:szCs w:val="16"/>
              </w:rPr>
            </w:pPr>
            <w:r w:rsidRPr="00AA45E9">
              <w:rPr>
                <w:rFonts w:ascii="Times New Roman" w:hAnsi="Times New Roman"/>
                <w:sz w:val="16"/>
                <w:szCs w:val="16"/>
              </w:rPr>
              <w:t>3</w:t>
            </w:r>
          </w:p>
        </w:tc>
        <w:tc>
          <w:tcPr>
            <w:tcW w:w="708" w:type="dxa"/>
            <w:shd w:val="clear" w:color="auto" w:fill="FFFF00"/>
            <w:vAlign w:val="center"/>
          </w:tcPr>
          <w:p w:rsidR="00764FFF" w:rsidRPr="00AA45E9" w:rsidRDefault="00764FFF" w:rsidP="00764FFF">
            <w:pPr>
              <w:spacing w:after="0" w:line="240" w:lineRule="auto"/>
              <w:rPr>
                <w:rFonts w:ascii="Times New Roman" w:hAnsi="Times New Roman"/>
                <w:sz w:val="16"/>
                <w:szCs w:val="16"/>
              </w:rPr>
            </w:pPr>
            <w:r w:rsidRPr="00AA45E9">
              <w:rPr>
                <w:rFonts w:ascii="Times New Roman" w:hAnsi="Times New Roman"/>
                <w:sz w:val="16"/>
                <w:szCs w:val="16"/>
              </w:rPr>
              <w:t>23</w:t>
            </w:r>
          </w:p>
        </w:tc>
        <w:tc>
          <w:tcPr>
            <w:tcW w:w="4111" w:type="dxa"/>
            <w:vAlign w:val="center"/>
          </w:tcPr>
          <w:p w:rsidR="00764FFF" w:rsidRPr="00AA45E9" w:rsidRDefault="00764FFF" w:rsidP="00764FFF">
            <w:pPr>
              <w:spacing w:after="0" w:line="240" w:lineRule="auto"/>
              <w:rPr>
                <w:rFonts w:ascii="Times New Roman" w:hAnsi="Times New Roman"/>
                <w:sz w:val="16"/>
                <w:szCs w:val="16"/>
              </w:rPr>
            </w:pPr>
            <w:r w:rsidRPr="00AA45E9">
              <w:rPr>
                <w:rFonts w:ascii="Times New Roman" w:hAnsi="Times New Roman"/>
                <w:sz w:val="16"/>
                <w:szCs w:val="16"/>
              </w:rPr>
              <w:t>Limiter la charge quotidienne</w:t>
            </w:r>
          </w:p>
          <w:p w:rsidR="00764FFF" w:rsidRPr="00AA45E9" w:rsidRDefault="00764FFF" w:rsidP="00764FFF">
            <w:pPr>
              <w:spacing w:after="0" w:line="240" w:lineRule="auto"/>
              <w:rPr>
                <w:rFonts w:ascii="Times New Roman" w:hAnsi="Times New Roman"/>
                <w:sz w:val="16"/>
                <w:szCs w:val="16"/>
              </w:rPr>
            </w:pPr>
            <w:r w:rsidRPr="00AA45E9">
              <w:rPr>
                <w:rFonts w:ascii="Times New Roman" w:hAnsi="Times New Roman"/>
                <w:sz w:val="16"/>
                <w:szCs w:val="16"/>
              </w:rPr>
              <w:t>Former le personnel aux postures adaptées à la manutention manuelle</w:t>
            </w:r>
          </w:p>
          <w:p w:rsidR="00764FFF" w:rsidRPr="00AA45E9" w:rsidRDefault="00764FFF" w:rsidP="00764FFF">
            <w:pPr>
              <w:spacing w:after="0" w:line="240" w:lineRule="auto"/>
              <w:rPr>
                <w:rFonts w:ascii="Times New Roman" w:hAnsi="Times New Roman"/>
                <w:sz w:val="16"/>
                <w:szCs w:val="16"/>
              </w:rPr>
            </w:pPr>
            <w:r w:rsidRPr="00AA45E9">
              <w:rPr>
                <w:rFonts w:ascii="Times New Roman" w:hAnsi="Times New Roman"/>
                <w:sz w:val="16"/>
                <w:szCs w:val="16"/>
              </w:rPr>
              <w:t>Mise en place d’aide mécanique</w:t>
            </w:r>
          </w:p>
          <w:p w:rsidR="00764FFF" w:rsidRPr="00AA45E9" w:rsidRDefault="00764FFF" w:rsidP="00764FFF">
            <w:pPr>
              <w:spacing w:after="0" w:line="240" w:lineRule="auto"/>
              <w:rPr>
                <w:rFonts w:ascii="Times New Roman" w:hAnsi="Times New Roman"/>
                <w:sz w:val="16"/>
                <w:szCs w:val="16"/>
              </w:rPr>
            </w:pPr>
            <w:r w:rsidRPr="00AA45E9">
              <w:rPr>
                <w:rFonts w:ascii="Times New Roman" w:hAnsi="Times New Roman"/>
                <w:sz w:val="16"/>
                <w:szCs w:val="16"/>
              </w:rPr>
              <w:t>Introduire des moments de repos réguliers</w:t>
            </w:r>
          </w:p>
        </w:tc>
        <w:tc>
          <w:tcPr>
            <w:tcW w:w="709" w:type="dxa"/>
            <w:vAlign w:val="center"/>
          </w:tcPr>
          <w:p w:rsidR="00764FFF" w:rsidRPr="00AA45E9" w:rsidRDefault="00764FFF" w:rsidP="00764FFF">
            <w:pPr>
              <w:spacing w:after="0" w:line="240" w:lineRule="auto"/>
              <w:rPr>
                <w:rFonts w:ascii="Times New Roman" w:hAnsi="Times New Roman"/>
                <w:sz w:val="16"/>
                <w:szCs w:val="16"/>
              </w:rPr>
            </w:pPr>
            <w:r w:rsidRPr="00AA45E9">
              <w:rPr>
                <w:rFonts w:ascii="Times New Roman" w:hAnsi="Times New Roman"/>
                <w:sz w:val="16"/>
                <w:szCs w:val="16"/>
              </w:rPr>
              <w:t>1</w:t>
            </w:r>
          </w:p>
        </w:tc>
        <w:tc>
          <w:tcPr>
            <w:tcW w:w="709" w:type="dxa"/>
            <w:vAlign w:val="center"/>
          </w:tcPr>
          <w:p w:rsidR="00764FFF" w:rsidRPr="00AA45E9" w:rsidRDefault="00764FFF" w:rsidP="00764FFF">
            <w:pPr>
              <w:spacing w:after="0" w:line="240" w:lineRule="auto"/>
              <w:rPr>
                <w:rFonts w:ascii="Times New Roman" w:hAnsi="Times New Roman"/>
                <w:sz w:val="16"/>
                <w:szCs w:val="16"/>
              </w:rPr>
            </w:pPr>
            <w:r w:rsidRPr="00AA45E9">
              <w:rPr>
                <w:rFonts w:ascii="Times New Roman" w:hAnsi="Times New Roman"/>
                <w:sz w:val="16"/>
                <w:szCs w:val="16"/>
              </w:rPr>
              <w:t>2</w:t>
            </w:r>
          </w:p>
        </w:tc>
        <w:tc>
          <w:tcPr>
            <w:tcW w:w="708" w:type="dxa"/>
            <w:shd w:val="clear" w:color="auto" w:fill="92D050"/>
            <w:vAlign w:val="center"/>
          </w:tcPr>
          <w:p w:rsidR="00764FFF" w:rsidRPr="00AA45E9" w:rsidRDefault="00764FFF" w:rsidP="00764FFF">
            <w:pPr>
              <w:spacing w:after="0" w:line="240" w:lineRule="auto"/>
              <w:rPr>
                <w:rFonts w:ascii="Times New Roman" w:hAnsi="Times New Roman"/>
                <w:sz w:val="16"/>
                <w:szCs w:val="16"/>
              </w:rPr>
            </w:pPr>
            <w:r w:rsidRPr="00AA45E9">
              <w:rPr>
                <w:rFonts w:ascii="Times New Roman" w:hAnsi="Times New Roman"/>
                <w:sz w:val="16"/>
                <w:szCs w:val="16"/>
              </w:rPr>
              <w:t>12</w:t>
            </w:r>
          </w:p>
        </w:tc>
        <w:tc>
          <w:tcPr>
            <w:tcW w:w="851" w:type="dxa"/>
            <w:vAlign w:val="center"/>
          </w:tcPr>
          <w:p w:rsidR="00764FFF" w:rsidRPr="00AA45E9" w:rsidRDefault="00764FFF" w:rsidP="00764FFF">
            <w:pPr>
              <w:spacing w:after="0" w:line="240" w:lineRule="auto"/>
              <w:rPr>
                <w:rFonts w:ascii="Times New Roman" w:hAnsi="Times New Roman"/>
                <w:sz w:val="16"/>
                <w:szCs w:val="16"/>
              </w:rPr>
            </w:pPr>
            <w:r w:rsidRPr="00AA45E9">
              <w:rPr>
                <w:rFonts w:ascii="Times New Roman" w:hAnsi="Times New Roman"/>
                <w:sz w:val="16"/>
                <w:szCs w:val="16"/>
              </w:rPr>
              <w:t>Fatigue</w:t>
            </w:r>
          </w:p>
        </w:tc>
      </w:tr>
      <w:tr w:rsidR="00764FFF" w:rsidRPr="00AA45E9" w:rsidTr="00CA2FF9">
        <w:trPr>
          <w:trHeight w:val="222"/>
        </w:trPr>
        <w:tc>
          <w:tcPr>
            <w:tcW w:w="879" w:type="dxa"/>
            <w:vMerge/>
            <w:vAlign w:val="center"/>
          </w:tcPr>
          <w:p w:rsidR="00764FFF" w:rsidRPr="00AA45E9" w:rsidRDefault="00764FFF" w:rsidP="00764FFF">
            <w:pPr>
              <w:spacing w:after="0" w:line="240" w:lineRule="auto"/>
              <w:rPr>
                <w:rFonts w:ascii="Times New Roman" w:hAnsi="Times New Roman"/>
                <w:sz w:val="16"/>
                <w:szCs w:val="16"/>
              </w:rPr>
            </w:pPr>
          </w:p>
        </w:tc>
        <w:tc>
          <w:tcPr>
            <w:tcW w:w="993" w:type="dxa"/>
            <w:vMerge/>
          </w:tcPr>
          <w:p w:rsidR="00764FFF" w:rsidRPr="00AA45E9" w:rsidRDefault="00764FFF" w:rsidP="00764FFF">
            <w:pPr>
              <w:spacing w:after="0" w:line="240" w:lineRule="auto"/>
              <w:rPr>
                <w:rFonts w:ascii="Times New Roman" w:hAnsi="Times New Roman"/>
                <w:sz w:val="16"/>
                <w:szCs w:val="16"/>
              </w:rPr>
            </w:pPr>
          </w:p>
        </w:tc>
        <w:tc>
          <w:tcPr>
            <w:tcW w:w="1276" w:type="dxa"/>
            <w:vAlign w:val="center"/>
          </w:tcPr>
          <w:p w:rsidR="00764FFF" w:rsidRPr="00AA45E9" w:rsidRDefault="00764FFF" w:rsidP="00764FFF">
            <w:pPr>
              <w:spacing w:after="0" w:line="240" w:lineRule="auto"/>
              <w:rPr>
                <w:rFonts w:ascii="Times New Roman" w:hAnsi="Times New Roman"/>
                <w:sz w:val="16"/>
                <w:szCs w:val="16"/>
              </w:rPr>
            </w:pPr>
            <w:r w:rsidRPr="00AA45E9">
              <w:rPr>
                <w:rFonts w:ascii="Times New Roman" w:hAnsi="Times New Roman"/>
                <w:sz w:val="16"/>
                <w:szCs w:val="16"/>
              </w:rPr>
              <w:t>Risques liés aux chutes d’objets</w:t>
            </w:r>
          </w:p>
        </w:tc>
        <w:tc>
          <w:tcPr>
            <w:tcW w:w="1134" w:type="dxa"/>
            <w:vAlign w:val="center"/>
          </w:tcPr>
          <w:p w:rsidR="00764FFF" w:rsidRPr="00AA45E9" w:rsidRDefault="00764FFF" w:rsidP="00764FFF">
            <w:pPr>
              <w:spacing w:after="0" w:line="240" w:lineRule="auto"/>
              <w:rPr>
                <w:rFonts w:ascii="Times New Roman" w:hAnsi="Times New Roman"/>
                <w:sz w:val="16"/>
                <w:szCs w:val="16"/>
              </w:rPr>
            </w:pPr>
            <w:r w:rsidRPr="00AA45E9">
              <w:rPr>
                <w:rFonts w:ascii="Times New Roman" w:hAnsi="Times New Roman"/>
                <w:sz w:val="16"/>
                <w:szCs w:val="16"/>
              </w:rPr>
              <w:t>Blessures,</w:t>
            </w:r>
          </w:p>
          <w:p w:rsidR="00764FFF" w:rsidRPr="00AA45E9" w:rsidRDefault="00764FFF" w:rsidP="00764FFF">
            <w:pPr>
              <w:spacing w:after="0" w:line="240" w:lineRule="auto"/>
              <w:rPr>
                <w:rFonts w:ascii="Times New Roman" w:hAnsi="Times New Roman"/>
                <w:sz w:val="16"/>
                <w:szCs w:val="16"/>
              </w:rPr>
            </w:pPr>
          </w:p>
        </w:tc>
        <w:tc>
          <w:tcPr>
            <w:tcW w:w="1417" w:type="dxa"/>
            <w:vAlign w:val="center"/>
          </w:tcPr>
          <w:p w:rsidR="00764FFF" w:rsidRPr="00AA45E9" w:rsidRDefault="00764FFF" w:rsidP="00764FFF">
            <w:pPr>
              <w:spacing w:after="0" w:line="240" w:lineRule="auto"/>
              <w:rPr>
                <w:rFonts w:ascii="Times New Roman" w:hAnsi="Times New Roman"/>
                <w:sz w:val="16"/>
                <w:szCs w:val="16"/>
              </w:rPr>
            </w:pPr>
            <w:r w:rsidRPr="00AA45E9">
              <w:rPr>
                <w:rFonts w:ascii="Times New Roman" w:hAnsi="Times New Roman"/>
                <w:sz w:val="16"/>
                <w:szCs w:val="16"/>
              </w:rPr>
              <w:t>Fractures,</w:t>
            </w:r>
          </w:p>
          <w:p w:rsidR="00764FFF" w:rsidRPr="00AA45E9" w:rsidRDefault="00764FFF" w:rsidP="00764FFF">
            <w:pPr>
              <w:spacing w:after="0" w:line="240" w:lineRule="auto"/>
              <w:rPr>
                <w:rFonts w:ascii="Times New Roman" w:hAnsi="Times New Roman"/>
                <w:sz w:val="16"/>
                <w:szCs w:val="16"/>
              </w:rPr>
            </w:pPr>
            <w:r w:rsidRPr="00AA45E9">
              <w:rPr>
                <w:rFonts w:ascii="Times New Roman" w:hAnsi="Times New Roman"/>
                <w:sz w:val="16"/>
                <w:szCs w:val="16"/>
              </w:rPr>
              <w:t>Décès</w:t>
            </w:r>
          </w:p>
        </w:tc>
        <w:tc>
          <w:tcPr>
            <w:tcW w:w="709" w:type="dxa"/>
            <w:vAlign w:val="center"/>
          </w:tcPr>
          <w:p w:rsidR="00764FFF" w:rsidRPr="00AA45E9" w:rsidRDefault="00764FFF" w:rsidP="00764FFF">
            <w:pPr>
              <w:spacing w:after="0" w:line="240" w:lineRule="auto"/>
              <w:rPr>
                <w:rFonts w:ascii="Times New Roman" w:hAnsi="Times New Roman"/>
                <w:sz w:val="16"/>
                <w:szCs w:val="16"/>
              </w:rPr>
            </w:pPr>
            <w:r w:rsidRPr="00AA45E9">
              <w:rPr>
                <w:rFonts w:ascii="Times New Roman" w:hAnsi="Times New Roman"/>
                <w:sz w:val="16"/>
                <w:szCs w:val="16"/>
              </w:rPr>
              <w:t>4</w:t>
            </w:r>
          </w:p>
        </w:tc>
        <w:tc>
          <w:tcPr>
            <w:tcW w:w="709" w:type="dxa"/>
            <w:vAlign w:val="center"/>
          </w:tcPr>
          <w:p w:rsidR="00764FFF" w:rsidRPr="00AA45E9" w:rsidRDefault="00764FFF" w:rsidP="00764FFF">
            <w:pPr>
              <w:spacing w:after="0" w:line="240" w:lineRule="auto"/>
              <w:rPr>
                <w:rFonts w:ascii="Times New Roman" w:hAnsi="Times New Roman"/>
                <w:sz w:val="16"/>
                <w:szCs w:val="16"/>
              </w:rPr>
            </w:pPr>
            <w:r w:rsidRPr="00AA45E9">
              <w:rPr>
                <w:rFonts w:ascii="Times New Roman" w:hAnsi="Times New Roman"/>
                <w:sz w:val="16"/>
                <w:szCs w:val="16"/>
              </w:rPr>
              <w:t>3</w:t>
            </w:r>
          </w:p>
        </w:tc>
        <w:tc>
          <w:tcPr>
            <w:tcW w:w="708" w:type="dxa"/>
            <w:shd w:val="clear" w:color="auto" w:fill="FF0000"/>
            <w:vAlign w:val="center"/>
          </w:tcPr>
          <w:p w:rsidR="00764FFF" w:rsidRPr="00AA45E9" w:rsidRDefault="00764FFF" w:rsidP="00764FFF">
            <w:pPr>
              <w:spacing w:after="0" w:line="240" w:lineRule="auto"/>
              <w:rPr>
                <w:rFonts w:ascii="Times New Roman" w:hAnsi="Times New Roman"/>
                <w:sz w:val="16"/>
                <w:szCs w:val="16"/>
              </w:rPr>
            </w:pPr>
            <w:r w:rsidRPr="00AA45E9">
              <w:rPr>
                <w:rFonts w:ascii="Times New Roman" w:hAnsi="Times New Roman"/>
                <w:sz w:val="16"/>
                <w:szCs w:val="16"/>
              </w:rPr>
              <w:t>43</w:t>
            </w:r>
          </w:p>
        </w:tc>
        <w:tc>
          <w:tcPr>
            <w:tcW w:w="4111" w:type="dxa"/>
            <w:vAlign w:val="center"/>
          </w:tcPr>
          <w:p w:rsidR="00764FFF" w:rsidRPr="00AA45E9" w:rsidRDefault="00764FFF" w:rsidP="00764FFF">
            <w:pPr>
              <w:spacing w:after="0" w:line="240" w:lineRule="auto"/>
              <w:rPr>
                <w:rFonts w:ascii="Times New Roman" w:hAnsi="Times New Roman"/>
                <w:sz w:val="16"/>
                <w:szCs w:val="16"/>
              </w:rPr>
            </w:pPr>
            <w:r w:rsidRPr="00AA45E9">
              <w:rPr>
                <w:rFonts w:ascii="Times New Roman" w:hAnsi="Times New Roman"/>
                <w:sz w:val="16"/>
                <w:szCs w:val="16"/>
              </w:rPr>
              <w:t>Port des EPI (casque, lunettes de protection, chaussures de sécurité)</w:t>
            </w:r>
          </w:p>
          <w:p w:rsidR="00764FFF" w:rsidRPr="00AA45E9" w:rsidRDefault="00764FFF" w:rsidP="00764FFF">
            <w:pPr>
              <w:spacing w:after="0" w:line="240" w:lineRule="auto"/>
              <w:rPr>
                <w:rFonts w:ascii="Times New Roman" w:hAnsi="Times New Roman"/>
                <w:sz w:val="16"/>
                <w:szCs w:val="16"/>
              </w:rPr>
            </w:pPr>
            <w:r w:rsidRPr="00AA45E9">
              <w:rPr>
                <w:rFonts w:ascii="Times New Roman" w:hAnsi="Times New Roman"/>
                <w:sz w:val="16"/>
                <w:szCs w:val="16"/>
              </w:rPr>
              <w:t>Contrôler les installations et engins susceptibles d’être source de chutes d’objets</w:t>
            </w:r>
          </w:p>
          <w:p w:rsidR="00764FFF" w:rsidRPr="00AA45E9" w:rsidRDefault="00764FFF" w:rsidP="00764FFF">
            <w:pPr>
              <w:spacing w:after="0" w:line="240" w:lineRule="auto"/>
              <w:rPr>
                <w:rFonts w:ascii="Times New Roman" w:hAnsi="Times New Roman"/>
                <w:sz w:val="16"/>
                <w:szCs w:val="16"/>
              </w:rPr>
            </w:pPr>
            <w:r w:rsidRPr="00AA45E9">
              <w:rPr>
                <w:rFonts w:ascii="Times New Roman" w:hAnsi="Times New Roman"/>
                <w:sz w:val="16"/>
                <w:szCs w:val="16"/>
              </w:rPr>
              <w:t>Limiter la hauteur des stockages</w:t>
            </w:r>
          </w:p>
          <w:p w:rsidR="00764FFF" w:rsidRPr="00AA45E9" w:rsidRDefault="00764FFF" w:rsidP="00764FFF">
            <w:pPr>
              <w:spacing w:after="0" w:line="240" w:lineRule="auto"/>
              <w:rPr>
                <w:rFonts w:ascii="Times New Roman" w:hAnsi="Times New Roman"/>
                <w:sz w:val="16"/>
                <w:szCs w:val="16"/>
              </w:rPr>
            </w:pPr>
            <w:r w:rsidRPr="00AA45E9">
              <w:rPr>
                <w:rFonts w:ascii="Times New Roman" w:hAnsi="Times New Roman"/>
                <w:sz w:val="16"/>
                <w:szCs w:val="16"/>
              </w:rPr>
              <w:lastRenderedPageBreak/>
              <w:t>Installer des protections pour retenir les chutes d’objets</w:t>
            </w:r>
          </w:p>
        </w:tc>
        <w:tc>
          <w:tcPr>
            <w:tcW w:w="709" w:type="dxa"/>
            <w:vAlign w:val="center"/>
          </w:tcPr>
          <w:p w:rsidR="00764FFF" w:rsidRPr="00AA45E9" w:rsidRDefault="00764FFF" w:rsidP="00764FFF">
            <w:pPr>
              <w:spacing w:after="0" w:line="240" w:lineRule="auto"/>
              <w:rPr>
                <w:rFonts w:ascii="Times New Roman" w:hAnsi="Times New Roman"/>
                <w:sz w:val="16"/>
                <w:szCs w:val="16"/>
              </w:rPr>
            </w:pPr>
            <w:r w:rsidRPr="00AA45E9">
              <w:rPr>
                <w:rFonts w:ascii="Times New Roman" w:hAnsi="Times New Roman"/>
                <w:sz w:val="16"/>
                <w:szCs w:val="16"/>
              </w:rPr>
              <w:lastRenderedPageBreak/>
              <w:t>3</w:t>
            </w:r>
          </w:p>
        </w:tc>
        <w:tc>
          <w:tcPr>
            <w:tcW w:w="709" w:type="dxa"/>
            <w:vAlign w:val="center"/>
          </w:tcPr>
          <w:p w:rsidR="00764FFF" w:rsidRPr="00AA45E9" w:rsidRDefault="00764FFF" w:rsidP="00764FFF">
            <w:pPr>
              <w:spacing w:after="0" w:line="240" w:lineRule="auto"/>
              <w:rPr>
                <w:rFonts w:ascii="Times New Roman" w:hAnsi="Times New Roman"/>
                <w:sz w:val="16"/>
                <w:szCs w:val="16"/>
              </w:rPr>
            </w:pPr>
            <w:r w:rsidRPr="00AA45E9">
              <w:rPr>
                <w:rFonts w:ascii="Times New Roman" w:hAnsi="Times New Roman"/>
                <w:sz w:val="16"/>
                <w:szCs w:val="16"/>
              </w:rPr>
              <w:t>2</w:t>
            </w:r>
          </w:p>
        </w:tc>
        <w:tc>
          <w:tcPr>
            <w:tcW w:w="708" w:type="dxa"/>
            <w:shd w:val="clear" w:color="auto" w:fill="FFFF00"/>
            <w:vAlign w:val="center"/>
          </w:tcPr>
          <w:p w:rsidR="00764FFF" w:rsidRPr="00AA45E9" w:rsidRDefault="00764FFF" w:rsidP="00764FFF">
            <w:pPr>
              <w:spacing w:after="0" w:line="240" w:lineRule="auto"/>
              <w:rPr>
                <w:rFonts w:ascii="Times New Roman" w:hAnsi="Times New Roman"/>
                <w:sz w:val="16"/>
                <w:szCs w:val="16"/>
              </w:rPr>
            </w:pPr>
            <w:r w:rsidRPr="00AA45E9">
              <w:rPr>
                <w:rFonts w:ascii="Times New Roman" w:hAnsi="Times New Roman"/>
                <w:sz w:val="16"/>
                <w:szCs w:val="16"/>
              </w:rPr>
              <w:t>32</w:t>
            </w:r>
          </w:p>
        </w:tc>
        <w:tc>
          <w:tcPr>
            <w:tcW w:w="851" w:type="dxa"/>
            <w:vAlign w:val="center"/>
          </w:tcPr>
          <w:p w:rsidR="00764FFF" w:rsidRPr="00AA45E9" w:rsidRDefault="00764FFF" w:rsidP="00764FFF">
            <w:pPr>
              <w:spacing w:after="0" w:line="240" w:lineRule="auto"/>
              <w:rPr>
                <w:rFonts w:ascii="Times New Roman" w:hAnsi="Times New Roman"/>
                <w:sz w:val="16"/>
                <w:szCs w:val="16"/>
              </w:rPr>
            </w:pPr>
            <w:r w:rsidRPr="00AA45E9">
              <w:rPr>
                <w:rFonts w:ascii="Times New Roman" w:hAnsi="Times New Roman"/>
                <w:sz w:val="16"/>
                <w:szCs w:val="16"/>
              </w:rPr>
              <w:t>Fatigue</w:t>
            </w:r>
          </w:p>
        </w:tc>
      </w:tr>
      <w:tr w:rsidR="00764FFF" w:rsidRPr="00AA45E9" w:rsidTr="00764FFF">
        <w:trPr>
          <w:trHeight w:val="842"/>
        </w:trPr>
        <w:tc>
          <w:tcPr>
            <w:tcW w:w="879" w:type="dxa"/>
            <w:vMerge/>
            <w:vAlign w:val="center"/>
          </w:tcPr>
          <w:p w:rsidR="00764FFF" w:rsidRPr="00AA45E9" w:rsidRDefault="00764FFF" w:rsidP="00764FFF">
            <w:pPr>
              <w:spacing w:after="0" w:line="240" w:lineRule="auto"/>
              <w:rPr>
                <w:rFonts w:ascii="Times New Roman" w:hAnsi="Times New Roman"/>
                <w:sz w:val="16"/>
                <w:szCs w:val="16"/>
              </w:rPr>
            </w:pPr>
          </w:p>
        </w:tc>
        <w:tc>
          <w:tcPr>
            <w:tcW w:w="993" w:type="dxa"/>
            <w:vMerge/>
          </w:tcPr>
          <w:p w:rsidR="00764FFF" w:rsidRPr="00AA45E9" w:rsidRDefault="00764FFF" w:rsidP="00764FFF">
            <w:pPr>
              <w:spacing w:after="0" w:line="240" w:lineRule="auto"/>
              <w:rPr>
                <w:rFonts w:ascii="Times New Roman" w:hAnsi="Times New Roman"/>
                <w:sz w:val="16"/>
                <w:szCs w:val="16"/>
              </w:rPr>
            </w:pPr>
          </w:p>
        </w:tc>
        <w:tc>
          <w:tcPr>
            <w:tcW w:w="1276" w:type="dxa"/>
            <w:vAlign w:val="center"/>
          </w:tcPr>
          <w:p w:rsidR="00764FFF" w:rsidRPr="00AA45E9" w:rsidRDefault="00764FFF" w:rsidP="00764FFF">
            <w:pPr>
              <w:spacing w:after="0" w:line="240" w:lineRule="auto"/>
              <w:rPr>
                <w:rFonts w:ascii="Times New Roman" w:hAnsi="Times New Roman"/>
                <w:sz w:val="16"/>
                <w:szCs w:val="16"/>
              </w:rPr>
            </w:pPr>
            <w:r w:rsidRPr="00AA45E9">
              <w:rPr>
                <w:rFonts w:ascii="Times New Roman" w:hAnsi="Times New Roman"/>
                <w:sz w:val="16"/>
                <w:szCs w:val="16"/>
              </w:rPr>
              <w:t>Risques liés au travail par fortes chaleurs</w:t>
            </w:r>
          </w:p>
        </w:tc>
        <w:tc>
          <w:tcPr>
            <w:tcW w:w="1134" w:type="dxa"/>
            <w:vAlign w:val="center"/>
          </w:tcPr>
          <w:p w:rsidR="00764FFF" w:rsidRPr="00AA45E9" w:rsidRDefault="00764FFF" w:rsidP="00764FFF">
            <w:pPr>
              <w:spacing w:after="0" w:line="240" w:lineRule="auto"/>
              <w:rPr>
                <w:rFonts w:ascii="Times New Roman" w:hAnsi="Times New Roman"/>
                <w:sz w:val="16"/>
                <w:szCs w:val="16"/>
              </w:rPr>
            </w:pPr>
            <w:r w:rsidRPr="00AA45E9">
              <w:rPr>
                <w:rFonts w:ascii="Times New Roman" w:hAnsi="Times New Roman"/>
                <w:sz w:val="16"/>
                <w:szCs w:val="16"/>
              </w:rPr>
              <w:t>Coups de</w:t>
            </w:r>
          </w:p>
          <w:p w:rsidR="00764FFF" w:rsidRPr="00AA45E9" w:rsidRDefault="00764FFF" w:rsidP="00764FFF">
            <w:pPr>
              <w:spacing w:after="0" w:line="240" w:lineRule="auto"/>
              <w:rPr>
                <w:rFonts w:ascii="Times New Roman" w:hAnsi="Times New Roman"/>
                <w:sz w:val="16"/>
                <w:szCs w:val="16"/>
              </w:rPr>
            </w:pPr>
            <w:r w:rsidRPr="00AA45E9">
              <w:rPr>
                <w:rFonts w:ascii="Times New Roman" w:hAnsi="Times New Roman"/>
                <w:sz w:val="16"/>
                <w:szCs w:val="16"/>
              </w:rPr>
              <w:t>Chaleur,</w:t>
            </w:r>
          </w:p>
          <w:p w:rsidR="00764FFF" w:rsidRPr="00AA45E9" w:rsidRDefault="00764FFF" w:rsidP="00764FFF">
            <w:pPr>
              <w:spacing w:after="0" w:line="240" w:lineRule="auto"/>
              <w:rPr>
                <w:rFonts w:ascii="Times New Roman" w:hAnsi="Times New Roman"/>
                <w:sz w:val="16"/>
                <w:szCs w:val="16"/>
              </w:rPr>
            </w:pPr>
          </w:p>
        </w:tc>
        <w:tc>
          <w:tcPr>
            <w:tcW w:w="1417" w:type="dxa"/>
            <w:vAlign w:val="center"/>
          </w:tcPr>
          <w:p w:rsidR="00764FFF" w:rsidRPr="00AA45E9" w:rsidRDefault="00764FFF" w:rsidP="00764FFF">
            <w:pPr>
              <w:spacing w:after="0" w:line="240" w:lineRule="auto"/>
              <w:rPr>
                <w:rFonts w:ascii="Times New Roman" w:hAnsi="Times New Roman"/>
                <w:sz w:val="16"/>
                <w:szCs w:val="16"/>
              </w:rPr>
            </w:pPr>
            <w:r w:rsidRPr="00AA45E9">
              <w:rPr>
                <w:rFonts w:ascii="Times New Roman" w:hAnsi="Times New Roman"/>
                <w:sz w:val="16"/>
                <w:szCs w:val="16"/>
              </w:rPr>
              <w:t>Déshydratation</w:t>
            </w:r>
          </w:p>
        </w:tc>
        <w:tc>
          <w:tcPr>
            <w:tcW w:w="709" w:type="dxa"/>
            <w:vAlign w:val="center"/>
          </w:tcPr>
          <w:p w:rsidR="00764FFF" w:rsidRPr="00AA45E9" w:rsidRDefault="00764FFF" w:rsidP="00764FFF">
            <w:pPr>
              <w:spacing w:after="0" w:line="240" w:lineRule="auto"/>
              <w:rPr>
                <w:rFonts w:ascii="Times New Roman" w:hAnsi="Times New Roman"/>
                <w:sz w:val="16"/>
                <w:szCs w:val="16"/>
              </w:rPr>
            </w:pPr>
            <w:r w:rsidRPr="00AA45E9">
              <w:rPr>
                <w:rFonts w:ascii="Times New Roman" w:hAnsi="Times New Roman"/>
                <w:sz w:val="16"/>
                <w:szCs w:val="16"/>
              </w:rPr>
              <w:t>2</w:t>
            </w:r>
          </w:p>
        </w:tc>
        <w:tc>
          <w:tcPr>
            <w:tcW w:w="709" w:type="dxa"/>
            <w:vAlign w:val="center"/>
          </w:tcPr>
          <w:p w:rsidR="00764FFF" w:rsidRPr="00AA45E9" w:rsidRDefault="00764FFF" w:rsidP="00764FFF">
            <w:pPr>
              <w:spacing w:after="0" w:line="240" w:lineRule="auto"/>
              <w:rPr>
                <w:rFonts w:ascii="Times New Roman" w:hAnsi="Times New Roman"/>
                <w:sz w:val="16"/>
                <w:szCs w:val="16"/>
              </w:rPr>
            </w:pPr>
            <w:r w:rsidRPr="00AA45E9">
              <w:rPr>
                <w:rFonts w:ascii="Times New Roman" w:hAnsi="Times New Roman"/>
                <w:sz w:val="16"/>
                <w:szCs w:val="16"/>
              </w:rPr>
              <w:t>3</w:t>
            </w:r>
          </w:p>
        </w:tc>
        <w:tc>
          <w:tcPr>
            <w:tcW w:w="708" w:type="dxa"/>
            <w:shd w:val="clear" w:color="auto" w:fill="FFFF00"/>
            <w:vAlign w:val="center"/>
          </w:tcPr>
          <w:p w:rsidR="00764FFF" w:rsidRPr="00AA45E9" w:rsidRDefault="00764FFF" w:rsidP="00764FFF">
            <w:pPr>
              <w:spacing w:after="0" w:line="240" w:lineRule="auto"/>
              <w:rPr>
                <w:rFonts w:ascii="Times New Roman" w:hAnsi="Times New Roman"/>
                <w:sz w:val="16"/>
                <w:szCs w:val="16"/>
              </w:rPr>
            </w:pPr>
            <w:r w:rsidRPr="00AA45E9">
              <w:rPr>
                <w:rFonts w:ascii="Times New Roman" w:hAnsi="Times New Roman"/>
                <w:sz w:val="16"/>
                <w:szCs w:val="16"/>
              </w:rPr>
              <w:t>23</w:t>
            </w:r>
          </w:p>
        </w:tc>
        <w:tc>
          <w:tcPr>
            <w:tcW w:w="4111" w:type="dxa"/>
            <w:vAlign w:val="center"/>
          </w:tcPr>
          <w:p w:rsidR="00764FFF" w:rsidRPr="00AA45E9" w:rsidRDefault="00764FFF" w:rsidP="00764FFF">
            <w:pPr>
              <w:spacing w:after="0" w:line="240" w:lineRule="auto"/>
              <w:rPr>
                <w:rFonts w:ascii="Times New Roman" w:hAnsi="Times New Roman"/>
                <w:sz w:val="16"/>
                <w:szCs w:val="16"/>
              </w:rPr>
            </w:pPr>
            <w:r w:rsidRPr="00AA45E9">
              <w:rPr>
                <w:rFonts w:ascii="Times New Roman" w:hAnsi="Times New Roman"/>
                <w:sz w:val="16"/>
                <w:szCs w:val="16"/>
              </w:rPr>
              <w:t>Eviter le travail durant les heures les plus chaudes de la journée</w:t>
            </w:r>
          </w:p>
          <w:p w:rsidR="00764FFF" w:rsidRPr="00AA45E9" w:rsidRDefault="00764FFF" w:rsidP="00764FFF">
            <w:pPr>
              <w:spacing w:after="0" w:line="240" w:lineRule="auto"/>
              <w:rPr>
                <w:rFonts w:ascii="Times New Roman" w:hAnsi="Times New Roman"/>
                <w:sz w:val="16"/>
                <w:szCs w:val="16"/>
              </w:rPr>
            </w:pPr>
            <w:r w:rsidRPr="00AA45E9">
              <w:rPr>
                <w:rFonts w:ascii="Times New Roman" w:hAnsi="Times New Roman"/>
                <w:sz w:val="16"/>
                <w:szCs w:val="16"/>
              </w:rPr>
              <w:t>Fournir des bouteilles d’eau régulièrement aux travailleurs</w:t>
            </w:r>
          </w:p>
          <w:p w:rsidR="00764FFF" w:rsidRPr="00AA45E9" w:rsidRDefault="00764FFF" w:rsidP="00764FFF">
            <w:pPr>
              <w:spacing w:after="0" w:line="240" w:lineRule="auto"/>
              <w:rPr>
                <w:rFonts w:ascii="Times New Roman" w:hAnsi="Times New Roman"/>
                <w:sz w:val="16"/>
                <w:szCs w:val="16"/>
              </w:rPr>
            </w:pPr>
            <w:r w:rsidRPr="00AA45E9">
              <w:rPr>
                <w:rFonts w:ascii="Times New Roman" w:hAnsi="Times New Roman"/>
                <w:sz w:val="16"/>
                <w:szCs w:val="16"/>
              </w:rPr>
              <w:t>Introduire des pauses régulières</w:t>
            </w:r>
          </w:p>
        </w:tc>
        <w:tc>
          <w:tcPr>
            <w:tcW w:w="709" w:type="dxa"/>
            <w:vAlign w:val="center"/>
          </w:tcPr>
          <w:p w:rsidR="00764FFF" w:rsidRPr="00AA45E9" w:rsidRDefault="00764FFF" w:rsidP="00764FFF">
            <w:pPr>
              <w:spacing w:after="0" w:line="240" w:lineRule="auto"/>
              <w:rPr>
                <w:rFonts w:ascii="Times New Roman" w:hAnsi="Times New Roman"/>
                <w:sz w:val="16"/>
                <w:szCs w:val="16"/>
              </w:rPr>
            </w:pPr>
            <w:r w:rsidRPr="00AA45E9">
              <w:rPr>
                <w:rFonts w:ascii="Times New Roman" w:hAnsi="Times New Roman"/>
                <w:sz w:val="16"/>
                <w:szCs w:val="16"/>
              </w:rPr>
              <w:t>1</w:t>
            </w:r>
          </w:p>
        </w:tc>
        <w:tc>
          <w:tcPr>
            <w:tcW w:w="709" w:type="dxa"/>
            <w:vAlign w:val="center"/>
          </w:tcPr>
          <w:p w:rsidR="00764FFF" w:rsidRPr="00AA45E9" w:rsidRDefault="00764FFF" w:rsidP="00764FFF">
            <w:pPr>
              <w:spacing w:after="0" w:line="240" w:lineRule="auto"/>
              <w:rPr>
                <w:rFonts w:ascii="Times New Roman" w:hAnsi="Times New Roman"/>
                <w:sz w:val="16"/>
                <w:szCs w:val="16"/>
              </w:rPr>
            </w:pPr>
            <w:r w:rsidRPr="00AA45E9">
              <w:rPr>
                <w:rFonts w:ascii="Times New Roman" w:hAnsi="Times New Roman"/>
                <w:sz w:val="16"/>
                <w:szCs w:val="16"/>
              </w:rPr>
              <w:t>2</w:t>
            </w:r>
          </w:p>
        </w:tc>
        <w:tc>
          <w:tcPr>
            <w:tcW w:w="708" w:type="dxa"/>
            <w:shd w:val="clear" w:color="auto" w:fill="92D050"/>
            <w:vAlign w:val="center"/>
          </w:tcPr>
          <w:p w:rsidR="00764FFF" w:rsidRPr="00AA45E9" w:rsidRDefault="00764FFF" w:rsidP="00764FFF">
            <w:pPr>
              <w:spacing w:after="0" w:line="240" w:lineRule="auto"/>
              <w:rPr>
                <w:rFonts w:ascii="Times New Roman" w:hAnsi="Times New Roman"/>
                <w:sz w:val="16"/>
                <w:szCs w:val="16"/>
              </w:rPr>
            </w:pPr>
            <w:r w:rsidRPr="00AA45E9">
              <w:rPr>
                <w:rFonts w:ascii="Times New Roman" w:hAnsi="Times New Roman"/>
                <w:sz w:val="16"/>
                <w:szCs w:val="16"/>
              </w:rPr>
              <w:t>12</w:t>
            </w:r>
          </w:p>
        </w:tc>
        <w:tc>
          <w:tcPr>
            <w:tcW w:w="851" w:type="dxa"/>
            <w:vAlign w:val="center"/>
          </w:tcPr>
          <w:p w:rsidR="00764FFF" w:rsidRPr="00AA45E9" w:rsidRDefault="00764FFF" w:rsidP="00764FFF">
            <w:pPr>
              <w:spacing w:after="0" w:line="240" w:lineRule="auto"/>
              <w:rPr>
                <w:rFonts w:ascii="Times New Roman" w:hAnsi="Times New Roman"/>
                <w:sz w:val="16"/>
                <w:szCs w:val="16"/>
              </w:rPr>
            </w:pPr>
            <w:r w:rsidRPr="00AA45E9">
              <w:rPr>
                <w:rFonts w:ascii="Times New Roman" w:hAnsi="Times New Roman"/>
                <w:sz w:val="16"/>
                <w:szCs w:val="16"/>
              </w:rPr>
              <w:t>Fatigue</w:t>
            </w:r>
          </w:p>
        </w:tc>
      </w:tr>
      <w:tr w:rsidR="00764FFF" w:rsidRPr="00AA45E9" w:rsidTr="00764FFF">
        <w:trPr>
          <w:trHeight w:val="909"/>
        </w:trPr>
        <w:tc>
          <w:tcPr>
            <w:tcW w:w="879" w:type="dxa"/>
            <w:vMerge w:val="restart"/>
            <w:vAlign w:val="center"/>
          </w:tcPr>
          <w:p w:rsidR="00764FFF" w:rsidRPr="00AA45E9" w:rsidRDefault="00764FFF" w:rsidP="00764FFF">
            <w:pPr>
              <w:spacing w:after="0" w:line="240" w:lineRule="auto"/>
              <w:rPr>
                <w:rFonts w:ascii="Times New Roman" w:hAnsi="Times New Roman"/>
                <w:sz w:val="16"/>
                <w:szCs w:val="16"/>
              </w:rPr>
            </w:pPr>
            <w:r w:rsidRPr="00AA45E9">
              <w:rPr>
                <w:rFonts w:ascii="Times New Roman" w:hAnsi="Times New Roman"/>
                <w:sz w:val="16"/>
                <w:szCs w:val="16"/>
              </w:rPr>
              <w:t>Travaux de soudure</w:t>
            </w:r>
          </w:p>
        </w:tc>
        <w:tc>
          <w:tcPr>
            <w:tcW w:w="993" w:type="dxa"/>
            <w:vMerge w:val="restart"/>
            <w:vAlign w:val="center"/>
          </w:tcPr>
          <w:p w:rsidR="00764FFF" w:rsidRPr="00AA45E9" w:rsidRDefault="00764FFF" w:rsidP="00764FFF">
            <w:pPr>
              <w:spacing w:after="0" w:line="240" w:lineRule="auto"/>
              <w:rPr>
                <w:rFonts w:ascii="Times New Roman" w:hAnsi="Times New Roman"/>
                <w:sz w:val="16"/>
                <w:szCs w:val="16"/>
              </w:rPr>
            </w:pPr>
            <w:r w:rsidRPr="00AA45E9">
              <w:rPr>
                <w:rFonts w:ascii="Times New Roman" w:hAnsi="Times New Roman"/>
                <w:sz w:val="16"/>
                <w:szCs w:val="16"/>
              </w:rPr>
              <w:t>Personnel effectuant le travail</w:t>
            </w:r>
          </w:p>
        </w:tc>
        <w:tc>
          <w:tcPr>
            <w:tcW w:w="1276" w:type="dxa"/>
            <w:vAlign w:val="center"/>
          </w:tcPr>
          <w:p w:rsidR="00764FFF" w:rsidRPr="00AA45E9" w:rsidRDefault="00764FFF" w:rsidP="00764FFF">
            <w:pPr>
              <w:spacing w:after="0" w:line="240" w:lineRule="auto"/>
              <w:rPr>
                <w:rFonts w:ascii="Times New Roman" w:hAnsi="Times New Roman"/>
                <w:sz w:val="16"/>
                <w:szCs w:val="16"/>
              </w:rPr>
            </w:pPr>
            <w:r w:rsidRPr="00AA45E9">
              <w:rPr>
                <w:rFonts w:ascii="Times New Roman" w:hAnsi="Times New Roman"/>
                <w:sz w:val="16"/>
                <w:szCs w:val="16"/>
              </w:rPr>
              <w:t>Risques chimiques</w:t>
            </w:r>
          </w:p>
        </w:tc>
        <w:tc>
          <w:tcPr>
            <w:tcW w:w="1134" w:type="dxa"/>
            <w:vAlign w:val="center"/>
          </w:tcPr>
          <w:p w:rsidR="00764FFF" w:rsidRPr="00AA45E9" w:rsidRDefault="00764FFF" w:rsidP="00764FFF">
            <w:pPr>
              <w:spacing w:after="0" w:line="240" w:lineRule="auto"/>
              <w:rPr>
                <w:rFonts w:ascii="Times New Roman" w:hAnsi="Times New Roman"/>
                <w:sz w:val="16"/>
                <w:szCs w:val="16"/>
              </w:rPr>
            </w:pPr>
            <w:r w:rsidRPr="00AA45E9">
              <w:rPr>
                <w:rFonts w:ascii="Times New Roman" w:hAnsi="Times New Roman"/>
                <w:sz w:val="16"/>
                <w:szCs w:val="16"/>
              </w:rPr>
              <w:t>Décès,</w:t>
            </w:r>
          </w:p>
          <w:p w:rsidR="00764FFF" w:rsidRPr="00AA45E9" w:rsidRDefault="00764FFF" w:rsidP="00764FFF">
            <w:pPr>
              <w:spacing w:after="0" w:line="240" w:lineRule="auto"/>
              <w:rPr>
                <w:rFonts w:ascii="Times New Roman" w:hAnsi="Times New Roman"/>
                <w:sz w:val="16"/>
                <w:szCs w:val="16"/>
              </w:rPr>
            </w:pPr>
          </w:p>
        </w:tc>
        <w:tc>
          <w:tcPr>
            <w:tcW w:w="1417" w:type="dxa"/>
            <w:vAlign w:val="center"/>
          </w:tcPr>
          <w:p w:rsidR="00764FFF" w:rsidRPr="00AA45E9" w:rsidRDefault="00764FFF" w:rsidP="00764FFF">
            <w:pPr>
              <w:spacing w:after="0" w:line="240" w:lineRule="auto"/>
              <w:rPr>
                <w:rFonts w:ascii="Times New Roman" w:hAnsi="Times New Roman"/>
                <w:sz w:val="16"/>
                <w:szCs w:val="16"/>
              </w:rPr>
            </w:pPr>
            <w:r w:rsidRPr="00AA45E9">
              <w:rPr>
                <w:rFonts w:ascii="Times New Roman" w:hAnsi="Times New Roman"/>
                <w:sz w:val="16"/>
                <w:szCs w:val="16"/>
              </w:rPr>
              <w:t>Brulures,</w:t>
            </w:r>
          </w:p>
          <w:p w:rsidR="00764FFF" w:rsidRPr="00AA45E9" w:rsidRDefault="00764FFF" w:rsidP="00764FFF">
            <w:pPr>
              <w:spacing w:after="0" w:line="240" w:lineRule="auto"/>
              <w:rPr>
                <w:rFonts w:ascii="Times New Roman" w:hAnsi="Times New Roman"/>
                <w:sz w:val="16"/>
                <w:szCs w:val="16"/>
              </w:rPr>
            </w:pPr>
            <w:r w:rsidRPr="00AA45E9">
              <w:rPr>
                <w:rFonts w:ascii="Times New Roman" w:hAnsi="Times New Roman"/>
                <w:sz w:val="16"/>
                <w:szCs w:val="16"/>
              </w:rPr>
              <w:t>Affections respiratoires, Allergies, Irritations des yeux, Brûlures</w:t>
            </w:r>
          </w:p>
        </w:tc>
        <w:tc>
          <w:tcPr>
            <w:tcW w:w="709" w:type="dxa"/>
            <w:vAlign w:val="center"/>
          </w:tcPr>
          <w:p w:rsidR="00764FFF" w:rsidRPr="00AA45E9" w:rsidRDefault="00764FFF" w:rsidP="00764FFF">
            <w:pPr>
              <w:spacing w:after="0" w:line="240" w:lineRule="auto"/>
              <w:rPr>
                <w:rFonts w:ascii="Times New Roman" w:hAnsi="Times New Roman"/>
                <w:sz w:val="16"/>
                <w:szCs w:val="16"/>
              </w:rPr>
            </w:pPr>
            <w:r w:rsidRPr="00AA45E9">
              <w:rPr>
                <w:rFonts w:ascii="Times New Roman" w:hAnsi="Times New Roman"/>
                <w:sz w:val="16"/>
                <w:szCs w:val="16"/>
              </w:rPr>
              <w:t>4</w:t>
            </w:r>
          </w:p>
        </w:tc>
        <w:tc>
          <w:tcPr>
            <w:tcW w:w="709" w:type="dxa"/>
            <w:vAlign w:val="center"/>
          </w:tcPr>
          <w:p w:rsidR="00764FFF" w:rsidRPr="00AA45E9" w:rsidRDefault="00764FFF" w:rsidP="00764FFF">
            <w:pPr>
              <w:spacing w:after="0" w:line="240" w:lineRule="auto"/>
              <w:rPr>
                <w:rFonts w:ascii="Times New Roman" w:hAnsi="Times New Roman"/>
                <w:sz w:val="16"/>
                <w:szCs w:val="16"/>
              </w:rPr>
            </w:pPr>
            <w:r w:rsidRPr="00AA45E9">
              <w:rPr>
                <w:rFonts w:ascii="Times New Roman" w:hAnsi="Times New Roman"/>
                <w:sz w:val="16"/>
                <w:szCs w:val="16"/>
              </w:rPr>
              <w:t>3</w:t>
            </w:r>
          </w:p>
        </w:tc>
        <w:tc>
          <w:tcPr>
            <w:tcW w:w="708" w:type="dxa"/>
            <w:shd w:val="clear" w:color="auto" w:fill="FF0000"/>
            <w:vAlign w:val="center"/>
          </w:tcPr>
          <w:p w:rsidR="00764FFF" w:rsidRPr="00AA45E9" w:rsidRDefault="00764FFF" w:rsidP="00764FFF">
            <w:pPr>
              <w:spacing w:after="0" w:line="240" w:lineRule="auto"/>
              <w:rPr>
                <w:rFonts w:ascii="Times New Roman" w:hAnsi="Times New Roman"/>
                <w:sz w:val="16"/>
                <w:szCs w:val="16"/>
              </w:rPr>
            </w:pPr>
            <w:r w:rsidRPr="00AA45E9">
              <w:rPr>
                <w:rFonts w:ascii="Times New Roman" w:hAnsi="Times New Roman"/>
                <w:sz w:val="16"/>
                <w:szCs w:val="16"/>
              </w:rPr>
              <w:t>43</w:t>
            </w:r>
          </w:p>
        </w:tc>
        <w:tc>
          <w:tcPr>
            <w:tcW w:w="4111" w:type="dxa"/>
            <w:vAlign w:val="center"/>
          </w:tcPr>
          <w:p w:rsidR="00764FFF" w:rsidRPr="00AA45E9" w:rsidRDefault="00764FFF" w:rsidP="00764FFF">
            <w:pPr>
              <w:spacing w:after="0" w:line="240" w:lineRule="auto"/>
              <w:rPr>
                <w:rFonts w:ascii="Times New Roman" w:hAnsi="Times New Roman"/>
                <w:sz w:val="16"/>
                <w:szCs w:val="16"/>
              </w:rPr>
            </w:pPr>
            <w:r w:rsidRPr="00AA45E9">
              <w:rPr>
                <w:rFonts w:ascii="Times New Roman" w:hAnsi="Times New Roman"/>
                <w:sz w:val="16"/>
                <w:szCs w:val="16"/>
              </w:rPr>
              <w:t>Mettre à disposition les EPI (gants, masques, chaussures de sécurité, lunettes)</w:t>
            </w:r>
          </w:p>
          <w:p w:rsidR="00764FFF" w:rsidRPr="00AA45E9" w:rsidRDefault="00764FFF" w:rsidP="00764FFF">
            <w:pPr>
              <w:spacing w:after="0" w:line="240" w:lineRule="auto"/>
              <w:rPr>
                <w:rFonts w:ascii="Times New Roman" w:hAnsi="Times New Roman"/>
                <w:sz w:val="16"/>
                <w:szCs w:val="16"/>
              </w:rPr>
            </w:pPr>
            <w:r w:rsidRPr="00AA45E9">
              <w:rPr>
                <w:rFonts w:ascii="Times New Roman" w:hAnsi="Times New Roman"/>
                <w:sz w:val="16"/>
                <w:szCs w:val="16"/>
              </w:rPr>
              <w:t>Limiter l’exposition</w:t>
            </w:r>
          </w:p>
          <w:p w:rsidR="00764FFF" w:rsidRPr="00AA45E9" w:rsidRDefault="00764FFF" w:rsidP="00764FFF">
            <w:pPr>
              <w:spacing w:after="0" w:line="240" w:lineRule="auto"/>
              <w:rPr>
                <w:rFonts w:ascii="Times New Roman" w:hAnsi="Times New Roman"/>
                <w:sz w:val="16"/>
                <w:szCs w:val="16"/>
              </w:rPr>
            </w:pPr>
          </w:p>
        </w:tc>
        <w:tc>
          <w:tcPr>
            <w:tcW w:w="709" w:type="dxa"/>
            <w:vAlign w:val="center"/>
          </w:tcPr>
          <w:p w:rsidR="00764FFF" w:rsidRPr="00AA45E9" w:rsidRDefault="00764FFF" w:rsidP="00764FFF">
            <w:pPr>
              <w:spacing w:after="0" w:line="240" w:lineRule="auto"/>
              <w:rPr>
                <w:rFonts w:ascii="Times New Roman" w:hAnsi="Times New Roman"/>
                <w:sz w:val="16"/>
                <w:szCs w:val="16"/>
              </w:rPr>
            </w:pPr>
            <w:r w:rsidRPr="00AA45E9">
              <w:rPr>
                <w:rFonts w:ascii="Times New Roman" w:hAnsi="Times New Roman"/>
                <w:sz w:val="16"/>
                <w:szCs w:val="16"/>
              </w:rPr>
              <w:t>3</w:t>
            </w:r>
          </w:p>
        </w:tc>
        <w:tc>
          <w:tcPr>
            <w:tcW w:w="709" w:type="dxa"/>
            <w:vAlign w:val="center"/>
          </w:tcPr>
          <w:p w:rsidR="00764FFF" w:rsidRPr="00AA45E9" w:rsidRDefault="00764FFF" w:rsidP="00764FFF">
            <w:pPr>
              <w:spacing w:after="0" w:line="240" w:lineRule="auto"/>
              <w:rPr>
                <w:rFonts w:ascii="Times New Roman" w:hAnsi="Times New Roman"/>
                <w:sz w:val="16"/>
                <w:szCs w:val="16"/>
              </w:rPr>
            </w:pPr>
            <w:r w:rsidRPr="00AA45E9">
              <w:rPr>
                <w:rFonts w:ascii="Times New Roman" w:hAnsi="Times New Roman"/>
                <w:sz w:val="16"/>
                <w:szCs w:val="16"/>
              </w:rPr>
              <w:t>2</w:t>
            </w:r>
          </w:p>
        </w:tc>
        <w:tc>
          <w:tcPr>
            <w:tcW w:w="708" w:type="dxa"/>
            <w:shd w:val="clear" w:color="auto" w:fill="FFFF00"/>
            <w:vAlign w:val="center"/>
          </w:tcPr>
          <w:p w:rsidR="00764FFF" w:rsidRPr="00AA45E9" w:rsidRDefault="00764FFF" w:rsidP="00764FFF">
            <w:pPr>
              <w:spacing w:after="0" w:line="240" w:lineRule="auto"/>
              <w:rPr>
                <w:rFonts w:ascii="Times New Roman" w:hAnsi="Times New Roman"/>
                <w:sz w:val="16"/>
                <w:szCs w:val="16"/>
              </w:rPr>
            </w:pPr>
            <w:r w:rsidRPr="00AA45E9">
              <w:rPr>
                <w:rFonts w:ascii="Times New Roman" w:hAnsi="Times New Roman"/>
                <w:sz w:val="16"/>
                <w:szCs w:val="16"/>
              </w:rPr>
              <w:t>32</w:t>
            </w:r>
          </w:p>
        </w:tc>
        <w:tc>
          <w:tcPr>
            <w:tcW w:w="851" w:type="dxa"/>
            <w:vAlign w:val="center"/>
          </w:tcPr>
          <w:p w:rsidR="00764FFF" w:rsidRPr="00AA45E9" w:rsidRDefault="00764FFF" w:rsidP="00764FFF">
            <w:pPr>
              <w:spacing w:after="0" w:line="240" w:lineRule="auto"/>
              <w:rPr>
                <w:rFonts w:ascii="Times New Roman" w:hAnsi="Times New Roman"/>
                <w:sz w:val="16"/>
                <w:szCs w:val="16"/>
              </w:rPr>
            </w:pPr>
            <w:r w:rsidRPr="00AA45E9">
              <w:rPr>
                <w:rFonts w:ascii="Times New Roman" w:hAnsi="Times New Roman"/>
                <w:sz w:val="16"/>
                <w:szCs w:val="16"/>
              </w:rPr>
              <w:t>Fatigue</w:t>
            </w:r>
          </w:p>
        </w:tc>
      </w:tr>
      <w:tr w:rsidR="00764FFF" w:rsidRPr="00AA45E9" w:rsidTr="00764FFF">
        <w:trPr>
          <w:trHeight w:val="642"/>
        </w:trPr>
        <w:tc>
          <w:tcPr>
            <w:tcW w:w="879" w:type="dxa"/>
            <w:vMerge/>
            <w:vAlign w:val="center"/>
          </w:tcPr>
          <w:p w:rsidR="00764FFF" w:rsidRPr="00AA45E9" w:rsidRDefault="00764FFF" w:rsidP="00764FFF">
            <w:pPr>
              <w:spacing w:after="0" w:line="240" w:lineRule="auto"/>
              <w:rPr>
                <w:rFonts w:ascii="Times New Roman" w:hAnsi="Times New Roman"/>
                <w:sz w:val="16"/>
                <w:szCs w:val="16"/>
              </w:rPr>
            </w:pPr>
          </w:p>
        </w:tc>
        <w:tc>
          <w:tcPr>
            <w:tcW w:w="993" w:type="dxa"/>
            <w:vMerge/>
          </w:tcPr>
          <w:p w:rsidR="00764FFF" w:rsidRPr="00AA45E9" w:rsidRDefault="00764FFF" w:rsidP="00764FFF">
            <w:pPr>
              <w:spacing w:after="0" w:line="240" w:lineRule="auto"/>
              <w:rPr>
                <w:rFonts w:ascii="Times New Roman" w:hAnsi="Times New Roman"/>
                <w:sz w:val="16"/>
                <w:szCs w:val="16"/>
              </w:rPr>
            </w:pPr>
          </w:p>
        </w:tc>
        <w:tc>
          <w:tcPr>
            <w:tcW w:w="1276" w:type="dxa"/>
            <w:vAlign w:val="center"/>
          </w:tcPr>
          <w:p w:rsidR="00764FFF" w:rsidRPr="00AA45E9" w:rsidRDefault="00764FFF" w:rsidP="00764FFF">
            <w:pPr>
              <w:spacing w:after="0" w:line="240" w:lineRule="auto"/>
              <w:rPr>
                <w:rFonts w:ascii="Times New Roman" w:hAnsi="Times New Roman"/>
                <w:sz w:val="16"/>
                <w:szCs w:val="16"/>
              </w:rPr>
            </w:pPr>
            <w:r w:rsidRPr="00AA45E9">
              <w:rPr>
                <w:rFonts w:ascii="Times New Roman" w:hAnsi="Times New Roman"/>
                <w:sz w:val="16"/>
                <w:szCs w:val="16"/>
              </w:rPr>
              <w:t>Risques liés aux gestes répétitifs</w:t>
            </w:r>
          </w:p>
        </w:tc>
        <w:tc>
          <w:tcPr>
            <w:tcW w:w="1134" w:type="dxa"/>
            <w:vAlign w:val="center"/>
          </w:tcPr>
          <w:p w:rsidR="00764FFF" w:rsidRPr="00AA45E9" w:rsidRDefault="00764FFF" w:rsidP="00764FFF">
            <w:pPr>
              <w:spacing w:after="0" w:line="240" w:lineRule="auto"/>
              <w:rPr>
                <w:rFonts w:ascii="Times New Roman" w:hAnsi="Times New Roman"/>
                <w:sz w:val="16"/>
                <w:szCs w:val="16"/>
              </w:rPr>
            </w:pPr>
            <w:r w:rsidRPr="00AA45E9">
              <w:rPr>
                <w:rFonts w:ascii="Times New Roman" w:hAnsi="Times New Roman"/>
                <w:sz w:val="16"/>
                <w:szCs w:val="16"/>
              </w:rPr>
              <w:t>TMS</w:t>
            </w:r>
          </w:p>
          <w:p w:rsidR="00764FFF" w:rsidRPr="00AA45E9" w:rsidRDefault="00764FFF" w:rsidP="00764FFF">
            <w:pPr>
              <w:spacing w:after="0" w:line="240" w:lineRule="auto"/>
              <w:rPr>
                <w:rFonts w:ascii="Times New Roman" w:hAnsi="Times New Roman"/>
                <w:sz w:val="16"/>
                <w:szCs w:val="16"/>
              </w:rPr>
            </w:pPr>
          </w:p>
        </w:tc>
        <w:tc>
          <w:tcPr>
            <w:tcW w:w="1417" w:type="dxa"/>
            <w:vAlign w:val="center"/>
          </w:tcPr>
          <w:p w:rsidR="00764FFF" w:rsidRPr="00AA45E9" w:rsidRDefault="00764FFF" w:rsidP="00764FFF">
            <w:pPr>
              <w:spacing w:after="0" w:line="240" w:lineRule="auto"/>
              <w:rPr>
                <w:rFonts w:ascii="Times New Roman" w:hAnsi="Times New Roman"/>
                <w:sz w:val="16"/>
                <w:szCs w:val="16"/>
              </w:rPr>
            </w:pPr>
            <w:r w:rsidRPr="00AA45E9">
              <w:rPr>
                <w:rFonts w:ascii="Times New Roman" w:hAnsi="Times New Roman"/>
                <w:sz w:val="16"/>
                <w:szCs w:val="16"/>
              </w:rPr>
              <w:t>Douleurs</w:t>
            </w:r>
          </w:p>
          <w:p w:rsidR="00764FFF" w:rsidRPr="00AA45E9" w:rsidRDefault="00764FFF" w:rsidP="00764FFF">
            <w:pPr>
              <w:spacing w:after="0" w:line="240" w:lineRule="auto"/>
              <w:rPr>
                <w:rFonts w:ascii="Times New Roman" w:hAnsi="Times New Roman"/>
                <w:sz w:val="16"/>
                <w:szCs w:val="16"/>
              </w:rPr>
            </w:pPr>
            <w:r w:rsidRPr="00AA45E9">
              <w:rPr>
                <w:rFonts w:ascii="Times New Roman" w:hAnsi="Times New Roman"/>
                <w:sz w:val="16"/>
                <w:szCs w:val="16"/>
              </w:rPr>
              <w:t>Musculaires, Mal de dos, Lombalgies</w:t>
            </w:r>
          </w:p>
        </w:tc>
        <w:tc>
          <w:tcPr>
            <w:tcW w:w="709" w:type="dxa"/>
            <w:vAlign w:val="center"/>
          </w:tcPr>
          <w:p w:rsidR="00764FFF" w:rsidRPr="00AA45E9" w:rsidRDefault="00764FFF" w:rsidP="00764FFF">
            <w:pPr>
              <w:spacing w:after="0" w:line="240" w:lineRule="auto"/>
              <w:rPr>
                <w:rFonts w:ascii="Times New Roman" w:hAnsi="Times New Roman"/>
                <w:sz w:val="16"/>
                <w:szCs w:val="16"/>
              </w:rPr>
            </w:pPr>
            <w:r w:rsidRPr="00AA45E9">
              <w:rPr>
                <w:rFonts w:ascii="Times New Roman" w:hAnsi="Times New Roman"/>
                <w:sz w:val="16"/>
                <w:szCs w:val="16"/>
              </w:rPr>
              <w:t>2</w:t>
            </w:r>
          </w:p>
        </w:tc>
        <w:tc>
          <w:tcPr>
            <w:tcW w:w="709" w:type="dxa"/>
            <w:vAlign w:val="center"/>
          </w:tcPr>
          <w:p w:rsidR="00764FFF" w:rsidRPr="00AA45E9" w:rsidRDefault="00764FFF" w:rsidP="00764FFF">
            <w:pPr>
              <w:spacing w:after="0" w:line="240" w:lineRule="auto"/>
              <w:rPr>
                <w:rFonts w:ascii="Times New Roman" w:hAnsi="Times New Roman"/>
                <w:sz w:val="16"/>
                <w:szCs w:val="16"/>
              </w:rPr>
            </w:pPr>
            <w:r w:rsidRPr="00AA45E9">
              <w:rPr>
                <w:rFonts w:ascii="Times New Roman" w:hAnsi="Times New Roman"/>
                <w:sz w:val="16"/>
                <w:szCs w:val="16"/>
              </w:rPr>
              <w:t>3</w:t>
            </w:r>
          </w:p>
        </w:tc>
        <w:tc>
          <w:tcPr>
            <w:tcW w:w="708" w:type="dxa"/>
            <w:shd w:val="clear" w:color="auto" w:fill="FFFF00"/>
            <w:vAlign w:val="center"/>
          </w:tcPr>
          <w:p w:rsidR="00764FFF" w:rsidRPr="00AA45E9" w:rsidRDefault="00764FFF" w:rsidP="00764FFF">
            <w:pPr>
              <w:spacing w:after="0" w:line="240" w:lineRule="auto"/>
              <w:rPr>
                <w:rFonts w:ascii="Times New Roman" w:hAnsi="Times New Roman"/>
                <w:sz w:val="16"/>
                <w:szCs w:val="16"/>
              </w:rPr>
            </w:pPr>
            <w:r w:rsidRPr="00AA45E9">
              <w:rPr>
                <w:rFonts w:ascii="Times New Roman" w:hAnsi="Times New Roman"/>
                <w:sz w:val="16"/>
                <w:szCs w:val="16"/>
              </w:rPr>
              <w:t>23</w:t>
            </w:r>
          </w:p>
        </w:tc>
        <w:tc>
          <w:tcPr>
            <w:tcW w:w="4111" w:type="dxa"/>
            <w:vAlign w:val="center"/>
          </w:tcPr>
          <w:p w:rsidR="00764FFF" w:rsidRPr="00AA45E9" w:rsidRDefault="00764FFF" w:rsidP="00764FFF">
            <w:pPr>
              <w:spacing w:after="0" w:line="240" w:lineRule="auto"/>
              <w:rPr>
                <w:rFonts w:ascii="Times New Roman" w:hAnsi="Times New Roman"/>
                <w:sz w:val="16"/>
                <w:szCs w:val="16"/>
              </w:rPr>
            </w:pPr>
            <w:r w:rsidRPr="00AA45E9">
              <w:rPr>
                <w:rFonts w:ascii="Times New Roman" w:hAnsi="Times New Roman"/>
                <w:sz w:val="16"/>
                <w:szCs w:val="16"/>
              </w:rPr>
              <w:t>Limiter la charge quotidienne</w:t>
            </w:r>
          </w:p>
          <w:p w:rsidR="00764FFF" w:rsidRPr="00AA45E9" w:rsidRDefault="00764FFF" w:rsidP="00764FFF">
            <w:pPr>
              <w:spacing w:after="0" w:line="240" w:lineRule="auto"/>
              <w:rPr>
                <w:rFonts w:ascii="Times New Roman" w:hAnsi="Times New Roman"/>
                <w:sz w:val="16"/>
                <w:szCs w:val="16"/>
              </w:rPr>
            </w:pPr>
            <w:r w:rsidRPr="00AA45E9">
              <w:rPr>
                <w:rFonts w:ascii="Times New Roman" w:hAnsi="Times New Roman"/>
                <w:sz w:val="16"/>
                <w:szCs w:val="16"/>
              </w:rPr>
              <w:t>Former le personnel aux bons gestes à la manutention manuelle</w:t>
            </w:r>
          </w:p>
          <w:p w:rsidR="00764FFF" w:rsidRPr="00AA45E9" w:rsidRDefault="00764FFF" w:rsidP="00764FFF">
            <w:pPr>
              <w:spacing w:after="0" w:line="240" w:lineRule="auto"/>
              <w:rPr>
                <w:rFonts w:ascii="Times New Roman" w:hAnsi="Times New Roman"/>
                <w:sz w:val="16"/>
                <w:szCs w:val="16"/>
              </w:rPr>
            </w:pPr>
            <w:r w:rsidRPr="00AA45E9">
              <w:rPr>
                <w:rFonts w:ascii="Times New Roman" w:hAnsi="Times New Roman"/>
                <w:sz w:val="16"/>
                <w:szCs w:val="16"/>
              </w:rPr>
              <w:t>Mise en place d’aide mécanique</w:t>
            </w:r>
          </w:p>
          <w:p w:rsidR="00764FFF" w:rsidRPr="00AA45E9" w:rsidRDefault="00764FFF" w:rsidP="00764FFF">
            <w:pPr>
              <w:spacing w:after="0" w:line="240" w:lineRule="auto"/>
              <w:rPr>
                <w:rFonts w:ascii="Times New Roman" w:hAnsi="Times New Roman"/>
                <w:sz w:val="16"/>
                <w:szCs w:val="16"/>
              </w:rPr>
            </w:pPr>
            <w:r w:rsidRPr="00AA45E9">
              <w:rPr>
                <w:rFonts w:ascii="Times New Roman" w:hAnsi="Times New Roman"/>
                <w:sz w:val="16"/>
                <w:szCs w:val="16"/>
              </w:rPr>
              <w:t>Introduire des moments de repos régulier</w:t>
            </w:r>
          </w:p>
        </w:tc>
        <w:tc>
          <w:tcPr>
            <w:tcW w:w="709" w:type="dxa"/>
            <w:vAlign w:val="center"/>
          </w:tcPr>
          <w:p w:rsidR="00764FFF" w:rsidRPr="00AA45E9" w:rsidRDefault="00764FFF" w:rsidP="00764FFF">
            <w:pPr>
              <w:spacing w:after="0" w:line="240" w:lineRule="auto"/>
              <w:rPr>
                <w:rFonts w:ascii="Times New Roman" w:hAnsi="Times New Roman"/>
                <w:sz w:val="16"/>
                <w:szCs w:val="16"/>
              </w:rPr>
            </w:pPr>
            <w:r w:rsidRPr="00AA45E9">
              <w:rPr>
                <w:rFonts w:ascii="Times New Roman" w:hAnsi="Times New Roman"/>
                <w:sz w:val="16"/>
                <w:szCs w:val="16"/>
              </w:rPr>
              <w:t>1</w:t>
            </w:r>
          </w:p>
        </w:tc>
        <w:tc>
          <w:tcPr>
            <w:tcW w:w="709" w:type="dxa"/>
            <w:vAlign w:val="center"/>
          </w:tcPr>
          <w:p w:rsidR="00764FFF" w:rsidRPr="00AA45E9" w:rsidRDefault="00764FFF" w:rsidP="00764FFF">
            <w:pPr>
              <w:spacing w:after="0" w:line="240" w:lineRule="auto"/>
              <w:rPr>
                <w:rFonts w:ascii="Times New Roman" w:hAnsi="Times New Roman"/>
                <w:sz w:val="16"/>
                <w:szCs w:val="16"/>
              </w:rPr>
            </w:pPr>
            <w:r w:rsidRPr="00AA45E9">
              <w:rPr>
                <w:rFonts w:ascii="Times New Roman" w:hAnsi="Times New Roman"/>
                <w:sz w:val="16"/>
                <w:szCs w:val="16"/>
              </w:rPr>
              <w:t>2</w:t>
            </w:r>
          </w:p>
        </w:tc>
        <w:tc>
          <w:tcPr>
            <w:tcW w:w="708" w:type="dxa"/>
            <w:shd w:val="clear" w:color="auto" w:fill="92D050"/>
            <w:vAlign w:val="center"/>
          </w:tcPr>
          <w:p w:rsidR="00764FFF" w:rsidRPr="00AA45E9" w:rsidRDefault="00764FFF" w:rsidP="00764FFF">
            <w:pPr>
              <w:spacing w:after="0" w:line="240" w:lineRule="auto"/>
              <w:rPr>
                <w:rFonts w:ascii="Times New Roman" w:hAnsi="Times New Roman"/>
                <w:sz w:val="16"/>
                <w:szCs w:val="16"/>
              </w:rPr>
            </w:pPr>
            <w:r w:rsidRPr="00AA45E9">
              <w:rPr>
                <w:rFonts w:ascii="Times New Roman" w:hAnsi="Times New Roman"/>
                <w:sz w:val="16"/>
                <w:szCs w:val="16"/>
              </w:rPr>
              <w:t>12</w:t>
            </w:r>
          </w:p>
        </w:tc>
        <w:tc>
          <w:tcPr>
            <w:tcW w:w="851" w:type="dxa"/>
            <w:vAlign w:val="center"/>
          </w:tcPr>
          <w:p w:rsidR="00764FFF" w:rsidRPr="00AA45E9" w:rsidRDefault="00764FFF" w:rsidP="00764FFF">
            <w:pPr>
              <w:spacing w:after="0" w:line="240" w:lineRule="auto"/>
              <w:rPr>
                <w:rFonts w:ascii="Times New Roman" w:hAnsi="Times New Roman"/>
                <w:sz w:val="16"/>
                <w:szCs w:val="16"/>
              </w:rPr>
            </w:pPr>
            <w:r w:rsidRPr="00AA45E9">
              <w:rPr>
                <w:rFonts w:ascii="Times New Roman" w:hAnsi="Times New Roman"/>
                <w:sz w:val="16"/>
                <w:szCs w:val="16"/>
              </w:rPr>
              <w:t>Fatigue</w:t>
            </w:r>
          </w:p>
        </w:tc>
      </w:tr>
      <w:tr w:rsidR="00764FFF" w:rsidRPr="00AA45E9" w:rsidTr="00764FFF">
        <w:trPr>
          <w:trHeight w:val="842"/>
        </w:trPr>
        <w:tc>
          <w:tcPr>
            <w:tcW w:w="879" w:type="dxa"/>
            <w:vMerge w:val="restart"/>
            <w:vAlign w:val="center"/>
          </w:tcPr>
          <w:p w:rsidR="00764FFF" w:rsidRPr="00AA45E9" w:rsidRDefault="00764FFF" w:rsidP="00764FFF">
            <w:pPr>
              <w:spacing w:after="0" w:line="240" w:lineRule="auto"/>
              <w:rPr>
                <w:rFonts w:ascii="Times New Roman" w:hAnsi="Times New Roman"/>
                <w:sz w:val="16"/>
                <w:szCs w:val="16"/>
              </w:rPr>
            </w:pPr>
            <w:r w:rsidRPr="00AA45E9">
              <w:rPr>
                <w:rFonts w:ascii="Times New Roman" w:hAnsi="Times New Roman"/>
                <w:sz w:val="16"/>
                <w:szCs w:val="16"/>
              </w:rPr>
              <w:t>Installation des équipements</w:t>
            </w:r>
          </w:p>
          <w:p w:rsidR="00764FFF" w:rsidRPr="00AA45E9" w:rsidRDefault="00764FFF" w:rsidP="00764FFF">
            <w:pPr>
              <w:spacing w:after="0" w:line="240" w:lineRule="auto"/>
              <w:rPr>
                <w:rFonts w:ascii="Times New Roman" w:hAnsi="Times New Roman"/>
                <w:sz w:val="16"/>
                <w:szCs w:val="16"/>
              </w:rPr>
            </w:pPr>
            <w:r w:rsidRPr="00AA45E9">
              <w:rPr>
                <w:rFonts w:ascii="Times New Roman" w:hAnsi="Times New Roman"/>
                <w:sz w:val="16"/>
                <w:szCs w:val="16"/>
              </w:rPr>
              <w:t>(Mécanique où</w:t>
            </w:r>
          </w:p>
          <w:p w:rsidR="00764FFF" w:rsidRPr="00AA45E9" w:rsidRDefault="00764FFF" w:rsidP="00764FFF">
            <w:pPr>
              <w:spacing w:after="0" w:line="240" w:lineRule="auto"/>
              <w:rPr>
                <w:rFonts w:ascii="Times New Roman" w:hAnsi="Times New Roman"/>
                <w:sz w:val="16"/>
                <w:szCs w:val="16"/>
              </w:rPr>
            </w:pPr>
            <w:r w:rsidRPr="00AA45E9">
              <w:rPr>
                <w:rFonts w:ascii="Times New Roman" w:hAnsi="Times New Roman"/>
                <w:sz w:val="16"/>
                <w:szCs w:val="16"/>
              </w:rPr>
              <w:t>manuelle)</w:t>
            </w:r>
          </w:p>
        </w:tc>
        <w:tc>
          <w:tcPr>
            <w:tcW w:w="993" w:type="dxa"/>
            <w:vMerge w:val="restart"/>
            <w:vAlign w:val="center"/>
          </w:tcPr>
          <w:p w:rsidR="00764FFF" w:rsidRPr="00AA45E9" w:rsidRDefault="00764FFF" w:rsidP="00764FFF">
            <w:pPr>
              <w:spacing w:after="0" w:line="240" w:lineRule="auto"/>
              <w:rPr>
                <w:rFonts w:ascii="Times New Roman" w:hAnsi="Times New Roman"/>
                <w:sz w:val="16"/>
                <w:szCs w:val="16"/>
              </w:rPr>
            </w:pPr>
            <w:r w:rsidRPr="00AA45E9">
              <w:rPr>
                <w:rFonts w:ascii="Times New Roman" w:hAnsi="Times New Roman"/>
                <w:sz w:val="16"/>
                <w:szCs w:val="16"/>
              </w:rPr>
              <w:t>Personnel effectuant le travail ou conducteur d’engin</w:t>
            </w:r>
          </w:p>
          <w:p w:rsidR="00764FFF" w:rsidRPr="00AA45E9" w:rsidRDefault="00764FFF" w:rsidP="00764FFF">
            <w:pPr>
              <w:spacing w:after="0" w:line="240" w:lineRule="auto"/>
              <w:rPr>
                <w:rFonts w:ascii="Times New Roman" w:hAnsi="Times New Roman"/>
                <w:sz w:val="16"/>
                <w:szCs w:val="16"/>
              </w:rPr>
            </w:pPr>
          </w:p>
          <w:p w:rsidR="00764FFF" w:rsidRPr="00AA45E9" w:rsidRDefault="00764FFF" w:rsidP="00764FFF">
            <w:pPr>
              <w:spacing w:after="0" w:line="240" w:lineRule="auto"/>
              <w:rPr>
                <w:rFonts w:ascii="Times New Roman" w:hAnsi="Times New Roman"/>
                <w:sz w:val="16"/>
                <w:szCs w:val="16"/>
              </w:rPr>
            </w:pPr>
            <w:r w:rsidRPr="00AA45E9">
              <w:rPr>
                <w:rFonts w:ascii="Times New Roman" w:hAnsi="Times New Roman"/>
                <w:sz w:val="16"/>
                <w:szCs w:val="16"/>
              </w:rPr>
              <w:t>Personnel effectuant le travail ou conducteur</w:t>
            </w:r>
          </w:p>
          <w:p w:rsidR="00764FFF" w:rsidRPr="00AA45E9" w:rsidRDefault="00764FFF" w:rsidP="00764FFF">
            <w:pPr>
              <w:spacing w:after="0" w:line="240" w:lineRule="auto"/>
              <w:rPr>
                <w:rFonts w:ascii="Times New Roman" w:hAnsi="Times New Roman"/>
                <w:sz w:val="16"/>
                <w:szCs w:val="16"/>
              </w:rPr>
            </w:pPr>
            <w:r w:rsidRPr="00AA45E9">
              <w:rPr>
                <w:rFonts w:ascii="Times New Roman" w:hAnsi="Times New Roman"/>
                <w:sz w:val="16"/>
                <w:szCs w:val="16"/>
              </w:rPr>
              <w:t>d’engin</w:t>
            </w:r>
          </w:p>
        </w:tc>
        <w:tc>
          <w:tcPr>
            <w:tcW w:w="1276" w:type="dxa"/>
            <w:vAlign w:val="center"/>
          </w:tcPr>
          <w:p w:rsidR="00764FFF" w:rsidRPr="00AA45E9" w:rsidRDefault="00764FFF" w:rsidP="00764FFF">
            <w:pPr>
              <w:spacing w:after="0" w:line="240" w:lineRule="auto"/>
              <w:rPr>
                <w:rFonts w:ascii="Times New Roman" w:hAnsi="Times New Roman"/>
                <w:sz w:val="16"/>
                <w:szCs w:val="16"/>
              </w:rPr>
            </w:pPr>
            <w:r w:rsidRPr="00AA45E9">
              <w:rPr>
                <w:rFonts w:ascii="Times New Roman" w:hAnsi="Times New Roman"/>
                <w:sz w:val="16"/>
                <w:szCs w:val="16"/>
              </w:rPr>
              <w:t>Risques liés à l’utilisation de machines</w:t>
            </w:r>
          </w:p>
        </w:tc>
        <w:tc>
          <w:tcPr>
            <w:tcW w:w="1134" w:type="dxa"/>
            <w:vAlign w:val="center"/>
          </w:tcPr>
          <w:p w:rsidR="00764FFF" w:rsidRPr="00AA45E9" w:rsidRDefault="00764FFF" w:rsidP="00764FFF">
            <w:pPr>
              <w:spacing w:after="0" w:line="240" w:lineRule="auto"/>
              <w:rPr>
                <w:rFonts w:ascii="Times New Roman" w:hAnsi="Times New Roman"/>
                <w:sz w:val="16"/>
                <w:szCs w:val="16"/>
              </w:rPr>
            </w:pPr>
            <w:r w:rsidRPr="00AA45E9">
              <w:rPr>
                <w:rFonts w:ascii="Times New Roman" w:hAnsi="Times New Roman"/>
                <w:sz w:val="16"/>
                <w:szCs w:val="16"/>
              </w:rPr>
              <w:t>Blessures,</w:t>
            </w:r>
          </w:p>
          <w:p w:rsidR="00764FFF" w:rsidRPr="00AA45E9" w:rsidRDefault="00764FFF" w:rsidP="00764FFF">
            <w:pPr>
              <w:spacing w:after="0" w:line="240" w:lineRule="auto"/>
              <w:rPr>
                <w:rFonts w:ascii="Times New Roman" w:hAnsi="Times New Roman"/>
                <w:sz w:val="16"/>
                <w:szCs w:val="16"/>
              </w:rPr>
            </w:pPr>
          </w:p>
        </w:tc>
        <w:tc>
          <w:tcPr>
            <w:tcW w:w="1417" w:type="dxa"/>
            <w:vAlign w:val="center"/>
          </w:tcPr>
          <w:p w:rsidR="00764FFF" w:rsidRPr="00AA45E9" w:rsidRDefault="00764FFF" w:rsidP="00764FFF">
            <w:pPr>
              <w:spacing w:after="0" w:line="240" w:lineRule="auto"/>
              <w:rPr>
                <w:rFonts w:ascii="Times New Roman" w:hAnsi="Times New Roman"/>
                <w:sz w:val="16"/>
                <w:szCs w:val="16"/>
              </w:rPr>
            </w:pPr>
            <w:r w:rsidRPr="00AA45E9">
              <w:rPr>
                <w:rFonts w:ascii="Times New Roman" w:hAnsi="Times New Roman"/>
                <w:sz w:val="16"/>
                <w:szCs w:val="16"/>
              </w:rPr>
              <w:t>Fractures,</w:t>
            </w:r>
          </w:p>
          <w:p w:rsidR="00764FFF" w:rsidRPr="00AA45E9" w:rsidRDefault="00764FFF" w:rsidP="00764FFF">
            <w:pPr>
              <w:spacing w:after="0" w:line="240" w:lineRule="auto"/>
              <w:rPr>
                <w:rFonts w:ascii="Times New Roman" w:hAnsi="Times New Roman"/>
                <w:sz w:val="16"/>
                <w:szCs w:val="16"/>
              </w:rPr>
            </w:pPr>
            <w:r w:rsidRPr="00AA45E9">
              <w:rPr>
                <w:rFonts w:ascii="Times New Roman" w:hAnsi="Times New Roman"/>
                <w:sz w:val="16"/>
                <w:szCs w:val="16"/>
              </w:rPr>
              <w:t>Décès</w:t>
            </w:r>
          </w:p>
        </w:tc>
        <w:tc>
          <w:tcPr>
            <w:tcW w:w="709" w:type="dxa"/>
            <w:vAlign w:val="center"/>
          </w:tcPr>
          <w:p w:rsidR="00764FFF" w:rsidRPr="00AA45E9" w:rsidRDefault="00764FFF" w:rsidP="00764FFF">
            <w:pPr>
              <w:spacing w:after="0" w:line="240" w:lineRule="auto"/>
              <w:rPr>
                <w:rFonts w:ascii="Times New Roman" w:hAnsi="Times New Roman"/>
                <w:sz w:val="16"/>
                <w:szCs w:val="16"/>
              </w:rPr>
            </w:pPr>
            <w:r w:rsidRPr="00AA45E9">
              <w:rPr>
                <w:rFonts w:ascii="Times New Roman" w:hAnsi="Times New Roman"/>
                <w:sz w:val="16"/>
                <w:szCs w:val="16"/>
              </w:rPr>
              <w:t>4</w:t>
            </w:r>
          </w:p>
        </w:tc>
        <w:tc>
          <w:tcPr>
            <w:tcW w:w="709" w:type="dxa"/>
            <w:vAlign w:val="center"/>
          </w:tcPr>
          <w:p w:rsidR="00764FFF" w:rsidRPr="00AA45E9" w:rsidRDefault="00764FFF" w:rsidP="00764FFF">
            <w:pPr>
              <w:spacing w:after="0" w:line="240" w:lineRule="auto"/>
              <w:rPr>
                <w:rFonts w:ascii="Times New Roman" w:hAnsi="Times New Roman"/>
                <w:sz w:val="16"/>
                <w:szCs w:val="16"/>
              </w:rPr>
            </w:pPr>
            <w:r w:rsidRPr="00AA45E9">
              <w:rPr>
                <w:rFonts w:ascii="Times New Roman" w:hAnsi="Times New Roman"/>
                <w:sz w:val="16"/>
                <w:szCs w:val="16"/>
              </w:rPr>
              <w:t>3</w:t>
            </w:r>
          </w:p>
        </w:tc>
        <w:tc>
          <w:tcPr>
            <w:tcW w:w="708" w:type="dxa"/>
            <w:shd w:val="clear" w:color="auto" w:fill="FF0000"/>
            <w:vAlign w:val="center"/>
          </w:tcPr>
          <w:p w:rsidR="00764FFF" w:rsidRPr="00AA45E9" w:rsidRDefault="00764FFF" w:rsidP="00764FFF">
            <w:pPr>
              <w:spacing w:after="0" w:line="240" w:lineRule="auto"/>
              <w:rPr>
                <w:rFonts w:ascii="Times New Roman" w:hAnsi="Times New Roman"/>
                <w:sz w:val="16"/>
                <w:szCs w:val="16"/>
              </w:rPr>
            </w:pPr>
            <w:r w:rsidRPr="00AA45E9">
              <w:rPr>
                <w:rFonts w:ascii="Times New Roman" w:hAnsi="Times New Roman"/>
                <w:sz w:val="16"/>
                <w:szCs w:val="16"/>
              </w:rPr>
              <w:t>43</w:t>
            </w:r>
          </w:p>
        </w:tc>
        <w:tc>
          <w:tcPr>
            <w:tcW w:w="4111" w:type="dxa"/>
            <w:vAlign w:val="center"/>
          </w:tcPr>
          <w:p w:rsidR="00764FFF" w:rsidRPr="00AA45E9" w:rsidRDefault="00764FFF" w:rsidP="00764FFF">
            <w:pPr>
              <w:spacing w:after="0" w:line="240" w:lineRule="auto"/>
              <w:rPr>
                <w:rFonts w:ascii="Times New Roman" w:hAnsi="Times New Roman"/>
                <w:sz w:val="16"/>
                <w:szCs w:val="16"/>
              </w:rPr>
            </w:pPr>
            <w:r w:rsidRPr="00AA45E9">
              <w:rPr>
                <w:rFonts w:ascii="Times New Roman" w:hAnsi="Times New Roman"/>
                <w:sz w:val="16"/>
                <w:szCs w:val="16"/>
              </w:rPr>
              <w:t>Dispositifs d’arrêt d’urgence clairement identifiables sur les machines.</w:t>
            </w:r>
          </w:p>
          <w:p w:rsidR="00764FFF" w:rsidRPr="00AA45E9" w:rsidRDefault="00764FFF" w:rsidP="00764FFF">
            <w:pPr>
              <w:spacing w:after="0" w:line="240" w:lineRule="auto"/>
              <w:rPr>
                <w:rFonts w:ascii="Times New Roman" w:hAnsi="Times New Roman"/>
                <w:sz w:val="16"/>
                <w:szCs w:val="16"/>
              </w:rPr>
            </w:pPr>
            <w:r w:rsidRPr="00AA45E9">
              <w:rPr>
                <w:rFonts w:ascii="Times New Roman" w:hAnsi="Times New Roman"/>
                <w:sz w:val="16"/>
                <w:szCs w:val="16"/>
              </w:rPr>
              <w:t>Bien identifier les dispositifs de commande, pour éviter toute mise en route non intentionnelle.</w:t>
            </w:r>
          </w:p>
          <w:p w:rsidR="00764FFF" w:rsidRPr="00AA45E9" w:rsidRDefault="00764FFF" w:rsidP="00764FFF">
            <w:pPr>
              <w:spacing w:after="0" w:line="240" w:lineRule="auto"/>
              <w:rPr>
                <w:rFonts w:ascii="Times New Roman" w:hAnsi="Times New Roman"/>
                <w:sz w:val="16"/>
                <w:szCs w:val="16"/>
              </w:rPr>
            </w:pPr>
            <w:r w:rsidRPr="00AA45E9">
              <w:rPr>
                <w:rFonts w:ascii="Times New Roman" w:hAnsi="Times New Roman"/>
                <w:sz w:val="16"/>
                <w:szCs w:val="16"/>
              </w:rPr>
              <w:t>Dispositifs de sécurité sur la machine en état de fonctionnement.</w:t>
            </w:r>
          </w:p>
          <w:p w:rsidR="00764FFF" w:rsidRPr="00AA45E9" w:rsidRDefault="00764FFF" w:rsidP="00764FFF">
            <w:pPr>
              <w:spacing w:after="0" w:line="240" w:lineRule="auto"/>
              <w:rPr>
                <w:rFonts w:ascii="Times New Roman" w:hAnsi="Times New Roman"/>
                <w:sz w:val="16"/>
                <w:szCs w:val="16"/>
              </w:rPr>
            </w:pPr>
            <w:r w:rsidRPr="00AA45E9">
              <w:rPr>
                <w:rFonts w:ascii="Times New Roman" w:hAnsi="Times New Roman"/>
                <w:sz w:val="16"/>
                <w:szCs w:val="16"/>
              </w:rPr>
              <w:t>Faire vérifier la conformité des équipements par un organisme agrée.</w:t>
            </w:r>
          </w:p>
          <w:p w:rsidR="00764FFF" w:rsidRPr="00AA45E9" w:rsidRDefault="00764FFF" w:rsidP="00764FFF">
            <w:pPr>
              <w:spacing w:after="0" w:line="240" w:lineRule="auto"/>
              <w:rPr>
                <w:rFonts w:ascii="Times New Roman" w:hAnsi="Times New Roman"/>
                <w:sz w:val="16"/>
                <w:szCs w:val="16"/>
              </w:rPr>
            </w:pPr>
            <w:r w:rsidRPr="00AA45E9">
              <w:rPr>
                <w:rFonts w:ascii="Times New Roman" w:hAnsi="Times New Roman"/>
                <w:sz w:val="16"/>
                <w:szCs w:val="16"/>
              </w:rPr>
              <w:t>Donner des consignes pour les interventions sur les machines à l’arrêt.</w:t>
            </w:r>
          </w:p>
          <w:p w:rsidR="00764FFF" w:rsidRPr="00AA45E9" w:rsidRDefault="00764FFF" w:rsidP="00764FFF">
            <w:pPr>
              <w:spacing w:after="0" w:line="240" w:lineRule="auto"/>
              <w:rPr>
                <w:rFonts w:ascii="Times New Roman" w:hAnsi="Times New Roman"/>
                <w:sz w:val="16"/>
                <w:szCs w:val="16"/>
              </w:rPr>
            </w:pPr>
            <w:r w:rsidRPr="00AA45E9">
              <w:rPr>
                <w:rFonts w:ascii="Times New Roman" w:hAnsi="Times New Roman"/>
                <w:sz w:val="16"/>
                <w:szCs w:val="16"/>
              </w:rPr>
              <w:t>Sensibiliser les salariés aux règles de sécurité Port des EPI</w:t>
            </w:r>
          </w:p>
        </w:tc>
        <w:tc>
          <w:tcPr>
            <w:tcW w:w="709" w:type="dxa"/>
            <w:vAlign w:val="center"/>
          </w:tcPr>
          <w:p w:rsidR="00764FFF" w:rsidRPr="00AA45E9" w:rsidRDefault="00764FFF" w:rsidP="00764FFF">
            <w:pPr>
              <w:spacing w:after="0" w:line="240" w:lineRule="auto"/>
              <w:rPr>
                <w:rFonts w:ascii="Times New Roman" w:hAnsi="Times New Roman"/>
                <w:sz w:val="16"/>
                <w:szCs w:val="16"/>
              </w:rPr>
            </w:pPr>
            <w:r w:rsidRPr="00AA45E9">
              <w:rPr>
                <w:rFonts w:ascii="Times New Roman" w:hAnsi="Times New Roman"/>
                <w:sz w:val="16"/>
                <w:szCs w:val="16"/>
              </w:rPr>
              <w:t>3</w:t>
            </w:r>
          </w:p>
        </w:tc>
        <w:tc>
          <w:tcPr>
            <w:tcW w:w="709" w:type="dxa"/>
            <w:vAlign w:val="center"/>
          </w:tcPr>
          <w:p w:rsidR="00764FFF" w:rsidRPr="00AA45E9" w:rsidRDefault="00764FFF" w:rsidP="00764FFF">
            <w:pPr>
              <w:spacing w:after="0" w:line="240" w:lineRule="auto"/>
              <w:rPr>
                <w:rFonts w:ascii="Times New Roman" w:hAnsi="Times New Roman"/>
                <w:sz w:val="16"/>
                <w:szCs w:val="16"/>
              </w:rPr>
            </w:pPr>
            <w:r w:rsidRPr="00AA45E9">
              <w:rPr>
                <w:rFonts w:ascii="Times New Roman" w:hAnsi="Times New Roman"/>
                <w:sz w:val="16"/>
                <w:szCs w:val="16"/>
              </w:rPr>
              <w:t>2</w:t>
            </w:r>
          </w:p>
        </w:tc>
        <w:tc>
          <w:tcPr>
            <w:tcW w:w="708" w:type="dxa"/>
            <w:shd w:val="clear" w:color="auto" w:fill="FFFF00"/>
            <w:vAlign w:val="center"/>
          </w:tcPr>
          <w:p w:rsidR="00764FFF" w:rsidRPr="00AA45E9" w:rsidRDefault="00764FFF" w:rsidP="00764FFF">
            <w:pPr>
              <w:spacing w:after="0" w:line="240" w:lineRule="auto"/>
              <w:rPr>
                <w:rFonts w:ascii="Times New Roman" w:hAnsi="Times New Roman"/>
                <w:sz w:val="16"/>
                <w:szCs w:val="16"/>
              </w:rPr>
            </w:pPr>
            <w:r w:rsidRPr="00AA45E9">
              <w:rPr>
                <w:rFonts w:ascii="Times New Roman" w:hAnsi="Times New Roman"/>
                <w:sz w:val="16"/>
                <w:szCs w:val="16"/>
              </w:rPr>
              <w:t>32</w:t>
            </w:r>
          </w:p>
        </w:tc>
        <w:tc>
          <w:tcPr>
            <w:tcW w:w="851" w:type="dxa"/>
            <w:vAlign w:val="center"/>
          </w:tcPr>
          <w:p w:rsidR="00764FFF" w:rsidRPr="00AA45E9" w:rsidRDefault="00764FFF" w:rsidP="00764FFF">
            <w:pPr>
              <w:spacing w:after="0" w:line="240" w:lineRule="auto"/>
              <w:rPr>
                <w:rFonts w:ascii="Times New Roman" w:hAnsi="Times New Roman"/>
                <w:sz w:val="16"/>
                <w:szCs w:val="16"/>
              </w:rPr>
            </w:pPr>
            <w:r w:rsidRPr="00AA45E9">
              <w:rPr>
                <w:rFonts w:ascii="Times New Roman" w:hAnsi="Times New Roman"/>
                <w:sz w:val="16"/>
                <w:szCs w:val="16"/>
              </w:rPr>
              <w:t>Fatigue</w:t>
            </w:r>
          </w:p>
        </w:tc>
      </w:tr>
      <w:tr w:rsidR="00764FFF" w:rsidRPr="00AA45E9" w:rsidTr="00764FFF">
        <w:trPr>
          <w:trHeight w:val="842"/>
        </w:trPr>
        <w:tc>
          <w:tcPr>
            <w:tcW w:w="879" w:type="dxa"/>
            <w:vMerge/>
            <w:vAlign w:val="center"/>
          </w:tcPr>
          <w:p w:rsidR="00764FFF" w:rsidRPr="00AA45E9" w:rsidRDefault="00764FFF" w:rsidP="00764FFF">
            <w:pPr>
              <w:spacing w:after="0" w:line="240" w:lineRule="auto"/>
              <w:rPr>
                <w:rFonts w:ascii="Times New Roman" w:hAnsi="Times New Roman"/>
                <w:sz w:val="16"/>
                <w:szCs w:val="16"/>
              </w:rPr>
            </w:pPr>
          </w:p>
        </w:tc>
        <w:tc>
          <w:tcPr>
            <w:tcW w:w="993" w:type="dxa"/>
            <w:vMerge/>
          </w:tcPr>
          <w:p w:rsidR="00764FFF" w:rsidRPr="00AA45E9" w:rsidRDefault="00764FFF" w:rsidP="00764FFF">
            <w:pPr>
              <w:spacing w:after="0" w:line="240" w:lineRule="auto"/>
              <w:rPr>
                <w:rFonts w:ascii="Times New Roman" w:hAnsi="Times New Roman"/>
                <w:sz w:val="16"/>
                <w:szCs w:val="16"/>
              </w:rPr>
            </w:pPr>
          </w:p>
        </w:tc>
        <w:tc>
          <w:tcPr>
            <w:tcW w:w="1276" w:type="dxa"/>
            <w:vAlign w:val="center"/>
          </w:tcPr>
          <w:p w:rsidR="00764FFF" w:rsidRPr="00AA45E9" w:rsidRDefault="00764FFF" w:rsidP="00764FFF">
            <w:pPr>
              <w:spacing w:after="0" w:line="240" w:lineRule="auto"/>
              <w:rPr>
                <w:rFonts w:ascii="Times New Roman" w:hAnsi="Times New Roman"/>
                <w:sz w:val="16"/>
                <w:szCs w:val="16"/>
              </w:rPr>
            </w:pPr>
            <w:r w:rsidRPr="00AA45E9">
              <w:rPr>
                <w:rFonts w:ascii="Times New Roman" w:hAnsi="Times New Roman"/>
                <w:sz w:val="16"/>
                <w:szCs w:val="16"/>
              </w:rPr>
              <w:t>Risques liés à la manutention mécanique</w:t>
            </w:r>
          </w:p>
        </w:tc>
        <w:tc>
          <w:tcPr>
            <w:tcW w:w="1134" w:type="dxa"/>
            <w:vAlign w:val="center"/>
          </w:tcPr>
          <w:p w:rsidR="00764FFF" w:rsidRPr="00AA45E9" w:rsidRDefault="00764FFF" w:rsidP="00764FFF">
            <w:pPr>
              <w:spacing w:after="0" w:line="240" w:lineRule="auto"/>
              <w:rPr>
                <w:rFonts w:ascii="Times New Roman" w:hAnsi="Times New Roman"/>
                <w:sz w:val="16"/>
                <w:szCs w:val="16"/>
              </w:rPr>
            </w:pPr>
            <w:r w:rsidRPr="00AA45E9">
              <w:rPr>
                <w:rFonts w:ascii="Times New Roman" w:hAnsi="Times New Roman"/>
                <w:sz w:val="16"/>
                <w:szCs w:val="16"/>
              </w:rPr>
              <w:t>Blessures,</w:t>
            </w:r>
          </w:p>
        </w:tc>
        <w:tc>
          <w:tcPr>
            <w:tcW w:w="1417" w:type="dxa"/>
            <w:vAlign w:val="center"/>
          </w:tcPr>
          <w:p w:rsidR="00764FFF" w:rsidRPr="00AA45E9" w:rsidRDefault="00764FFF" w:rsidP="00764FFF">
            <w:pPr>
              <w:spacing w:after="0" w:line="240" w:lineRule="auto"/>
              <w:rPr>
                <w:rFonts w:ascii="Times New Roman" w:hAnsi="Times New Roman"/>
                <w:sz w:val="16"/>
                <w:szCs w:val="16"/>
              </w:rPr>
            </w:pPr>
            <w:r w:rsidRPr="00AA45E9">
              <w:rPr>
                <w:rFonts w:ascii="Times New Roman" w:hAnsi="Times New Roman"/>
                <w:sz w:val="16"/>
                <w:szCs w:val="16"/>
              </w:rPr>
              <w:t>Décès,</w:t>
            </w:r>
          </w:p>
          <w:p w:rsidR="00764FFF" w:rsidRPr="00AA45E9" w:rsidRDefault="00764FFF" w:rsidP="00764FFF">
            <w:pPr>
              <w:spacing w:after="0" w:line="240" w:lineRule="auto"/>
              <w:rPr>
                <w:rFonts w:ascii="Times New Roman" w:hAnsi="Times New Roman"/>
                <w:sz w:val="16"/>
                <w:szCs w:val="16"/>
              </w:rPr>
            </w:pPr>
            <w:r w:rsidRPr="00AA45E9">
              <w:rPr>
                <w:rFonts w:ascii="Times New Roman" w:hAnsi="Times New Roman"/>
                <w:sz w:val="16"/>
                <w:szCs w:val="16"/>
              </w:rPr>
              <w:t>Fractures</w:t>
            </w:r>
          </w:p>
        </w:tc>
        <w:tc>
          <w:tcPr>
            <w:tcW w:w="709" w:type="dxa"/>
            <w:vAlign w:val="center"/>
          </w:tcPr>
          <w:p w:rsidR="00764FFF" w:rsidRPr="00AA45E9" w:rsidRDefault="00764FFF" w:rsidP="00764FFF">
            <w:pPr>
              <w:spacing w:after="0" w:line="240" w:lineRule="auto"/>
              <w:rPr>
                <w:rFonts w:ascii="Times New Roman" w:hAnsi="Times New Roman"/>
                <w:sz w:val="16"/>
                <w:szCs w:val="16"/>
              </w:rPr>
            </w:pPr>
            <w:r w:rsidRPr="00AA45E9">
              <w:rPr>
                <w:rFonts w:ascii="Times New Roman" w:hAnsi="Times New Roman"/>
                <w:sz w:val="16"/>
                <w:szCs w:val="16"/>
              </w:rPr>
              <w:t>4</w:t>
            </w:r>
          </w:p>
        </w:tc>
        <w:tc>
          <w:tcPr>
            <w:tcW w:w="709" w:type="dxa"/>
            <w:vAlign w:val="center"/>
          </w:tcPr>
          <w:p w:rsidR="00764FFF" w:rsidRPr="00AA45E9" w:rsidRDefault="00764FFF" w:rsidP="00764FFF">
            <w:pPr>
              <w:spacing w:after="0" w:line="240" w:lineRule="auto"/>
              <w:rPr>
                <w:rFonts w:ascii="Times New Roman" w:hAnsi="Times New Roman"/>
                <w:sz w:val="16"/>
                <w:szCs w:val="16"/>
              </w:rPr>
            </w:pPr>
            <w:r w:rsidRPr="00AA45E9">
              <w:rPr>
                <w:rFonts w:ascii="Times New Roman" w:hAnsi="Times New Roman"/>
                <w:sz w:val="16"/>
                <w:szCs w:val="16"/>
              </w:rPr>
              <w:t>3</w:t>
            </w:r>
          </w:p>
        </w:tc>
        <w:tc>
          <w:tcPr>
            <w:tcW w:w="708" w:type="dxa"/>
            <w:shd w:val="clear" w:color="auto" w:fill="FF0000"/>
            <w:vAlign w:val="center"/>
          </w:tcPr>
          <w:p w:rsidR="00764FFF" w:rsidRPr="00AA45E9" w:rsidRDefault="00764FFF" w:rsidP="00764FFF">
            <w:pPr>
              <w:spacing w:after="0" w:line="240" w:lineRule="auto"/>
              <w:rPr>
                <w:rFonts w:ascii="Times New Roman" w:hAnsi="Times New Roman"/>
                <w:sz w:val="16"/>
                <w:szCs w:val="16"/>
              </w:rPr>
            </w:pPr>
            <w:r w:rsidRPr="00AA45E9">
              <w:rPr>
                <w:rFonts w:ascii="Times New Roman" w:hAnsi="Times New Roman"/>
                <w:sz w:val="16"/>
                <w:szCs w:val="16"/>
              </w:rPr>
              <w:t>43</w:t>
            </w:r>
          </w:p>
        </w:tc>
        <w:tc>
          <w:tcPr>
            <w:tcW w:w="4111" w:type="dxa"/>
            <w:vAlign w:val="center"/>
          </w:tcPr>
          <w:p w:rsidR="00764FFF" w:rsidRPr="00AA45E9" w:rsidRDefault="00764FFF" w:rsidP="00764FFF">
            <w:pPr>
              <w:spacing w:after="0" w:line="240" w:lineRule="auto"/>
              <w:rPr>
                <w:rFonts w:ascii="Times New Roman" w:hAnsi="Times New Roman"/>
                <w:sz w:val="16"/>
                <w:szCs w:val="16"/>
              </w:rPr>
            </w:pPr>
            <w:r w:rsidRPr="00AA45E9">
              <w:rPr>
                <w:rFonts w:ascii="Times New Roman" w:hAnsi="Times New Roman"/>
                <w:sz w:val="16"/>
                <w:szCs w:val="16"/>
              </w:rPr>
              <w:t>Utiliser des moyens de manutentions adaptés aux charges transportées.</w:t>
            </w:r>
          </w:p>
          <w:p w:rsidR="00764FFF" w:rsidRPr="00AA45E9" w:rsidRDefault="00764FFF" w:rsidP="00764FFF">
            <w:pPr>
              <w:spacing w:after="0" w:line="240" w:lineRule="auto"/>
              <w:rPr>
                <w:rFonts w:ascii="Times New Roman" w:hAnsi="Times New Roman"/>
                <w:sz w:val="16"/>
                <w:szCs w:val="16"/>
              </w:rPr>
            </w:pPr>
            <w:r w:rsidRPr="00AA45E9">
              <w:rPr>
                <w:rFonts w:ascii="Times New Roman" w:hAnsi="Times New Roman"/>
                <w:sz w:val="16"/>
                <w:szCs w:val="16"/>
              </w:rPr>
              <w:t>Suivre les indications du fournisseur de matériel.</w:t>
            </w:r>
          </w:p>
          <w:p w:rsidR="00764FFF" w:rsidRPr="00AA45E9" w:rsidRDefault="00764FFF" w:rsidP="00764FFF">
            <w:pPr>
              <w:spacing w:after="0" w:line="240" w:lineRule="auto"/>
              <w:rPr>
                <w:rFonts w:ascii="Times New Roman" w:hAnsi="Times New Roman"/>
                <w:sz w:val="16"/>
                <w:szCs w:val="16"/>
              </w:rPr>
            </w:pPr>
            <w:r w:rsidRPr="00AA45E9">
              <w:rPr>
                <w:rFonts w:ascii="Times New Roman" w:hAnsi="Times New Roman"/>
                <w:sz w:val="16"/>
                <w:szCs w:val="16"/>
              </w:rPr>
              <w:t>Vérifier régulièrement l’état du matériel de manutention.</w:t>
            </w:r>
          </w:p>
          <w:p w:rsidR="00764FFF" w:rsidRPr="00AA45E9" w:rsidRDefault="00764FFF" w:rsidP="00764FFF">
            <w:pPr>
              <w:spacing w:after="0" w:line="240" w:lineRule="auto"/>
              <w:rPr>
                <w:rFonts w:ascii="Times New Roman" w:hAnsi="Times New Roman"/>
                <w:sz w:val="16"/>
                <w:szCs w:val="16"/>
              </w:rPr>
            </w:pPr>
            <w:r w:rsidRPr="00AA45E9">
              <w:rPr>
                <w:rFonts w:ascii="Times New Roman" w:hAnsi="Times New Roman"/>
                <w:sz w:val="16"/>
                <w:szCs w:val="16"/>
              </w:rPr>
              <w:t>Les salariés doivent être formés à l’utilisation de ces matériels.</w:t>
            </w:r>
          </w:p>
          <w:p w:rsidR="00764FFF" w:rsidRPr="00AA45E9" w:rsidRDefault="00764FFF" w:rsidP="00764FFF">
            <w:pPr>
              <w:spacing w:after="0" w:line="240" w:lineRule="auto"/>
              <w:rPr>
                <w:rFonts w:ascii="Times New Roman" w:hAnsi="Times New Roman"/>
                <w:sz w:val="16"/>
                <w:szCs w:val="16"/>
              </w:rPr>
            </w:pPr>
            <w:r w:rsidRPr="00AA45E9">
              <w:rPr>
                <w:rFonts w:ascii="Times New Roman" w:hAnsi="Times New Roman"/>
                <w:sz w:val="16"/>
                <w:szCs w:val="16"/>
              </w:rPr>
              <w:t>Port des EPI</w:t>
            </w:r>
          </w:p>
        </w:tc>
        <w:tc>
          <w:tcPr>
            <w:tcW w:w="709" w:type="dxa"/>
            <w:vAlign w:val="center"/>
          </w:tcPr>
          <w:p w:rsidR="00764FFF" w:rsidRPr="00AA45E9" w:rsidRDefault="00764FFF" w:rsidP="00764FFF">
            <w:pPr>
              <w:spacing w:after="0" w:line="240" w:lineRule="auto"/>
              <w:rPr>
                <w:rFonts w:ascii="Times New Roman" w:hAnsi="Times New Roman"/>
                <w:sz w:val="16"/>
                <w:szCs w:val="16"/>
              </w:rPr>
            </w:pPr>
            <w:r w:rsidRPr="00AA45E9">
              <w:rPr>
                <w:rFonts w:ascii="Times New Roman" w:hAnsi="Times New Roman"/>
                <w:sz w:val="16"/>
                <w:szCs w:val="16"/>
              </w:rPr>
              <w:t>3</w:t>
            </w:r>
          </w:p>
        </w:tc>
        <w:tc>
          <w:tcPr>
            <w:tcW w:w="709" w:type="dxa"/>
            <w:vAlign w:val="center"/>
          </w:tcPr>
          <w:p w:rsidR="00764FFF" w:rsidRPr="00AA45E9" w:rsidRDefault="00764FFF" w:rsidP="00764FFF">
            <w:pPr>
              <w:spacing w:after="0" w:line="240" w:lineRule="auto"/>
              <w:rPr>
                <w:rFonts w:ascii="Times New Roman" w:hAnsi="Times New Roman"/>
                <w:sz w:val="16"/>
                <w:szCs w:val="16"/>
              </w:rPr>
            </w:pPr>
            <w:r w:rsidRPr="00AA45E9">
              <w:rPr>
                <w:rFonts w:ascii="Times New Roman" w:hAnsi="Times New Roman"/>
                <w:sz w:val="16"/>
                <w:szCs w:val="16"/>
              </w:rPr>
              <w:t>2</w:t>
            </w:r>
          </w:p>
        </w:tc>
        <w:tc>
          <w:tcPr>
            <w:tcW w:w="708" w:type="dxa"/>
            <w:shd w:val="clear" w:color="auto" w:fill="FFFF00"/>
            <w:vAlign w:val="center"/>
          </w:tcPr>
          <w:p w:rsidR="00764FFF" w:rsidRPr="00AA45E9" w:rsidRDefault="00764FFF" w:rsidP="00764FFF">
            <w:pPr>
              <w:spacing w:after="0" w:line="240" w:lineRule="auto"/>
              <w:rPr>
                <w:rFonts w:ascii="Times New Roman" w:hAnsi="Times New Roman"/>
                <w:sz w:val="16"/>
                <w:szCs w:val="16"/>
              </w:rPr>
            </w:pPr>
            <w:r w:rsidRPr="00AA45E9">
              <w:rPr>
                <w:rFonts w:ascii="Times New Roman" w:hAnsi="Times New Roman"/>
                <w:sz w:val="16"/>
                <w:szCs w:val="16"/>
              </w:rPr>
              <w:t>32</w:t>
            </w:r>
          </w:p>
        </w:tc>
        <w:tc>
          <w:tcPr>
            <w:tcW w:w="851" w:type="dxa"/>
            <w:vAlign w:val="center"/>
          </w:tcPr>
          <w:p w:rsidR="00764FFF" w:rsidRPr="00AA45E9" w:rsidRDefault="00764FFF" w:rsidP="00764FFF">
            <w:pPr>
              <w:spacing w:after="0" w:line="240" w:lineRule="auto"/>
              <w:rPr>
                <w:rFonts w:ascii="Times New Roman" w:hAnsi="Times New Roman"/>
                <w:sz w:val="16"/>
                <w:szCs w:val="16"/>
              </w:rPr>
            </w:pPr>
            <w:r w:rsidRPr="00AA45E9">
              <w:rPr>
                <w:rFonts w:ascii="Times New Roman" w:hAnsi="Times New Roman"/>
                <w:sz w:val="16"/>
                <w:szCs w:val="16"/>
              </w:rPr>
              <w:t>Fatigue</w:t>
            </w:r>
          </w:p>
        </w:tc>
      </w:tr>
      <w:tr w:rsidR="00764FFF" w:rsidRPr="00AA45E9" w:rsidTr="00764FFF">
        <w:trPr>
          <w:trHeight w:val="842"/>
        </w:trPr>
        <w:tc>
          <w:tcPr>
            <w:tcW w:w="879" w:type="dxa"/>
            <w:vMerge/>
            <w:vAlign w:val="center"/>
          </w:tcPr>
          <w:p w:rsidR="00764FFF" w:rsidRPr="00AA45E9" w:rsidRDefault="00764FFF" w:rsidP="00764FFF">
            <w:pPr>
              <w:spacing w:after="0" w:line="240" w:lineRule="auto"/>
              <w:rPr>
                <w:rFonts w:ascii="Times New Roman" w:hAnsi="Times New Roman"/>
                <w:sz w:val="16"/>
                <w:szCs w:val="16"/>
              </w:rPr>
            </w:pPr>
          </w:p>
        </w:tc>
        <w:tc>
          <w:tcPr>
            <w:tcW w:w="993" w:type="dxa"/>
            <w:vMerge/>
          </w:tcPr>
          <w:p w:rsidR="00764FFF" w:rsidRPr="00AA45E9" w:rsidRDefault="00764FFF" w:rsidP="00764FFF">
            <w:pPr>
              <w:spacing w:after="0" w:line="240" w:lineRule="auto"/>
              <w:rPr>
                <w:rFonts w:ascii="Times New Roman" w:hAnsi="Times New Roman"/>
                <w:sz w:val="16"/>
                <w:szCs w:val="16"/>
              </w:rPr>
            </w:pPr>
          </w:p>
        </w:tc>
        <w:tc>
          <w:tcPr>
            <w:tcW w:w="1276" w:type="dxa"/>
            <w:vAlign w:val="center"/>
          </w:tcPr>
          <w:p w:rsidR="00764FFF" w:rsidRPr="00AA45E9" w:rsidRDefault="00764FFF" w:rsidP="00764FFF">
            <w:pPr>
              <w:spacing w:after="0" w:line="240" w:lineRule="auto"/>
              <w:ind w:right="-76"/>
              <w:rPr>
                <w:rFonts w:ascii="Times New Roman" w:hAnsi="Times New Roman"/>
                <w:sz w:val="16"/>
                <w:szCs w:val="16"/>
              </w:rPr>
            </w:pPr>
            <w:r w:rsidRPr="00AA45E9">
              <w:rPr>
                <w:rFonts w:ascii="Times New Roman" w:hAnsi="Times New Roman"/>
                <w:sz w:val="16"/>
                <w:szCs w:val="16"/>
              </w:rPr>
              <w:t>Risques liés à la manutention manuelle et aux gestes répétitifs</w:t>
            </w:r>
          </w:p>
        </w:tc>
        <w:tc>
          <w:tcPr>
            <w:tcW w:w="1134" w:type="dxa"/>
            <w:vAlign w:val="center"/>
          </w:tcPr>
          <w:p w:rsidR="00764FFF" w:rsidRPr="00AA45E9" w:rsidRDefault="00764FFF" w:rsidP="00764FFF">
            <w:pPr>
              <w:spacing w:after="0" w:line="240" w:lineRule="auto"/>
              <w:rPr>
                <w:rFonts w:ascii="Times New Roman" w:hAnsi="Times New Roman"/>
                <w:sz w:val="16"/>
                <w:szCs w:val="16"/>
              </w:rPr>
            </w:pPr>
            <w:r w:rsidRPr="00AA45E9">
              <w:rPr>
                <w:rFonts w:ascii="Times New Roman" w:hAnsi="Times New Roman"/>
                <w:sz w:val="16"/>
                <w:szCs w:val="16"/>
              </w:rPr>
              <w:t>TMS</w:t>
            </w:r>
          </w:p>
          <w:p w:rsidR="00764FFF" w:rsidRPr="00AA45E9" w:rsidRDefault="00764FFF" w:rsidP="00764FFF">
            <w:pPr>
              <w:spacing w:after="0" w:line="240" w:lineRule="auto"/>
              <w:rPr>
                <w:rFonts w:ascii="Times New Roman" w:hAnsi="Times New Roman"/>
                <w:sz w:val="16"/>
                <w:szCs w:val="16"/>
              </w:rPr>
            </w:pPr>
          </w:p>
        </w:tc>
        <w:tc>
          <w:tcPr>
            <w:tcW w:w="1417" w:type="dxa"/>
            <w:vAlign w:val="center"/>
          </w:tcPr>
          <w:p w:rsidR="00764FFF" w:rsidRPr="00AA45E9" w:rsidRDefault="00764FFF" w:rsidP="00764FFF">
            <w:pPr>
              <w:spacing w:after="0" w:line="240" w:lineRule="auto"/>
              <w:rPr>
                <w:rFonts w:ascii="Times New Roman" w:hAnsi="Times New Roman"/>
                <w:sz w:val="16"/>
                <w:szCs w:val="16"/>
              </w:rPr>
            </w:pPr>
            <w:r w:rsidRPr="00AA45E9">
              <w:rPr>
                <w:rFonts w:ascii="Times New Roman" w:hAnsi="Times New Roman"/>
                <w:sz w:val="16"/>
                <w:szCs w:val="16"/>
              </w:rPr>
              <w:t>Douleurs musculaires</w:t>
            </w:r>
          </w:p>
        </w:tc>
        <w:tc>
          <w:tcPr>
            <w:tcW w:w="709" w:type="dxa"/>
            <w:vAlign w:val="center"/>
          </w:tcPr>
          <w:p w:rsidR="00764FFF" w:rsidRPr="00AA45E9" w:rsidRDefault="00764FFF" w:rsidP="00764FFF">
            <w:pPr>
              <w:spacing w:after="0" w:line="240" w:lineRule="auto"/>
              <w:rPr>
                <w:rFonts w:ascii="Times New Roman" w:hAnsi="Times New Roman"/>
                <w:sz w:val="16"/>
                <w:szCs w:val="16"/>
              </w:rPr>
            </w:pPr>
            <w:r w:rsidRPr="00AA45E9">
              <w:rPr>
                <w:rFonts w:ascii="Times New Roman" w:hAnsi="Times New Roman"/>
                <w:sz w:val="16"/>
                <w:szCs w:val="16"/>
              </w:rPr>
              <w:t>2</w:t>
            </w:r>
          </w:p>
        </w:tc>
        <w:tc>
          <w:tcPr>
            <w:tcW w:w="709" w:type="dxa"/>
            <w:vAlign w:val="center"/>
          </w:tcPr>
          <w:p w:rsidR="00764FFF" w:rsidRPr="00AA45E9" w:rsidRDefault="00764FFF" w:rsidP="00764FFF">
            <w:pPr>
              <w:spacing w:after="0" w:line="240" w:lineRule="auto"/>
              <w:rPr>
                <w:rFonts w:ascii="Times New Roman" w:hAnsi="Times New Roman"/>
                <w:sz w:val="16"/>
                <w:szCs w:val="16"/>
              </w:rPr>
            </w:pPr>
            <w:r w:rsidRPr="00AA45E9">
              <w:rPr>
                <w:rFonts w:ascii="Times New Roman" w:hAnsi="Times New Roman"/>
                <w:sz w:val="16"/>
                <w:szCs w:val="16"/>
              </w:rPr>
              <w:t>3</w:t>
            </w:r>
          </w:p>
        </w:tc>
        <w:tc>
          <w:tcPr>
            <w:tcW w:w="708" w:type="dxa"/>
            <w:shd w:val="clear" w:color="auto" w:fill="FFFF00"/>
            <w:vAlign w:val="center"/>
          </w:tcPr>
          <w:p w:rsidR="00764FFF" w:rsidRPr="00AA45E9" w:rsidRDefault="00764FFF" w:rsidP="00764FFF">
            <w:pPr>
              <w:spacing w:after="0" w:line="240" w:lineRule="auto"/>
              <w:rPr>
                <w:rFonts w:ascii="Times New Roman" w:hAnsi="Times New Roman"/>
                <w:sz w:val="16"/>
                <w:szCs w:val="16"/>
              </w:rPr>
            </w:pPr>
            <w:r w:rsidRPr="00AA45E9">
              <w:rPr>
                <w:rFonts w:ascii="Times New Roman" w:hAnsi="Times New Roman"/>
                <w:sz w:val="16"/>
                <w:szCs w:val="16"/>
              </w:rPr>
              <w:t>23</w:t>
            </w:r>
          </w:p>
        </w:tc>
        <w:tc>
          <w:tcPr>
            <w:tcW w:w="4111" w:type="dxa"/>
            <w:vAlign w:val="center"/>
          </w:tcPr>
          <w:p w:rsidR="00764FFF" w:rsidRPr="00AA45E9" w:rsidRDefault="00764FFF" w:rsidP="00764FFF">
            <w:pPr>
              <w:spacing w:after="0" w:line="240" w:lineRule="auto"/>
              <w:rPr>
                <w:rFonts w:ascii="Times New Roman" w:hAnsi="Times New Roman"/>
                <w:sz w:val="16"/>
                <w:szCs w:val="16"/>
              </w:rPr>
            </w:pPr>
            <w:r w:rsidRPr="00AA45E9">
              <w:rPr>
                <w:rFonts w:ascii="Times New Roman" w:hAnsi="Times New Roman"/>
                <w:sz w:val="16"/>
                <w:szCs w:val="16"/>
              </w:rPr>
              <w:t>Limiter la charge quotidienne</w:t>
            </w:r>
          </w:p>
          <w:p w:rsidR="00764FFF" w:rsidRPr="00AA45E9" w:rsidRDefault="00764FFF" w:rsidP="00764FFF">
            <w:pPr>
              <w:spacing w:after="0" w:line="240" w:lineRule="auto"/>
              <w:rPr>
                <w:rFonts w:ascii="Times New Roman" w:hAnsi="Times New Roman"/>
                <w:sz w:val="16"/>
                <w:szCs w:val="16"/>
              </w:rPr>
            </w:pPr>
            <w:r w:rsidRPr="00AA45E9">
              <w:rPr>
                <w:rFonts w:ascii="Times New Roman" w:hAnsi="Times New Roman"/>
                <w:sz w:val="16"/>
                <w:szCs w:val="16"/>
              </w:rPr>
              <w:t>Former le personnel aux postures adaptées à la manutention manuelle</w:t>
            </w:r>
          </w:p>
          <w:p w:rsidR="00764FFF" w:rsidRPr="00AA45E9" w:rsidRDefault="00764FFF" w:rsidP="00764FFF">
            <w:pPr>
              <w:spacing w:after="0" w:line="240" w:lineRule="auto"/>
              <w:rPr>
                <w:rFonts w:ascii="Times New Roman" w:hAnsi="Times New Roman"/>
                <w:sz w:val="16"/>
                <w:szCs w:val="16"/>
              </w:rPr>
            </w:pPr>
            <w:r w:rsidRPr="00AA45E9">
              <w:rPr>
                <w:rFonts w:ascii="Times New Roman" w:hAnsi="Times New Roman"/>
                <w:sz w:val="16"/>
                <w:szCs w:val="16"/>
              </w:rPr>
              <w:t>Mise en place d’aide mécanique</w:t>
            </w:r>
          </w:p>
          <w:p w:rsidR="00764FFF" w:rsidRPr="00AA45E9" w:rsidRDefault="00764FFF" w:rsidP="00764FFF">
            <w:pPr>
              <w:spacing w:after="0" w:line="240" w:lineRule="auto"/>
              <w:rPr>
                <w:rFonts w:ascii="Times New Roman" w:hAnsi="Times New Roman"/>
                <w:sz w:val="16"/>
                <w:szCs w:val="16"/>
              </w:rPr>
            </w:pPr>
            <w:r w:rsidRPr="00AA45E9">
              <w:rPr>
                <w:rFonts w:ascii="Times New Roman" w:hAnsi="Times New Roman"/>
                <w:sz w:val="16"/>
                <w:szCs w:val="16"/>
              </w:rPr>
              <w:t>Introduire des moments de repos réguliers</w:t>
            </w:r>
          </w:p>
        </w:tc>
        <w:tc>
          <w:tcPr>
            <w:tcW w:w="709" w:type="dxa"/>
            <w:vAlign w:val="center"/>
          </w:tcPr>
          <w:p w:rsidR="00764FFF" w:rsidRPr="00AA45E9" w:rsidRDefault="00764FFF" w:rsidP="00764FFF">
            <w:pPr>
              <w:spacing w:after="0" w:line="240" w:lineRule="auto"/>
              <w:rPr>
                <w:rFonts w:ascii="Times New Roman" w:hAnsi="Times New Roman"/>
                <w:sz w:val="16"/>
                <w:szCs w:val="16"/>
              </w:rPr>
            </w:pPr>
            <w:r w:rsidRPr="00AA45E9">
              <w:rPr>
                <w:rFonts w:ascii="Times New Roman" w:hAnsi="Times New Roman"/>
                <w:sz w:val="16"/>
                <w:szCs w:val="16"/>
              </w:rPr>
              <w:t>1</w:t>
            </w:r>
          </w:p>
        </w:tc>
        <w:tc>
          <w:tcPr>
            <w:tcW w:w="709" w:type="dxa"/>
            <w:vAlign w:val="center"/>
          </w:tcPr>
          <w:p w:rsidR="00764FFF" w:rsidRPr="00AA45E9" w:rsidRDefault="00764FFF" w:rsidP="00764FFF">
            <w:pPr>
              <w:spacing w:after="0" w:line="240" w:lineRule="auto"/>
              <w:rPr>
                <w:rFonts w:ascii="Times New Roman" w:hAnsi="Times New Roman"/>
                <w:sz w:val="16"/>
                <w:szCs w:val="16"/>
              </w:rPr>
            </w:pPr>
            <w:r w:rsidRPr="00AA45E9">
              <w:rPr>
                <w:rFonts w:ascii="Times New Roman" w:hAnsi="Times New Roman"/>
                <w:sz w:val="16"/>
                <w:szCs w:val="16"/>
              </w:rPr>
              <w:t>2</w:t>
            </w:r>
          </w:p>
        </w:tc>
        <w:tc>
          <w:tcPr>
            <w:tcW w:w="708" w:type="dxa"/>
            <w:shd w:val="clear" w:color="auto" w:fill="92D050"/>
            <w:vAlign w:val="center"/>
          </w:tcPr>
          <w:p w:rsidR="00764FFF" w:rsidRPr="00AA45E9" w:rsidRDefault="00764FFF" w:rsidP="00764FFF">
            <w:pPr>
              <w:spacing w:after="0" w:line="240" w:lineRule="auto"/>
              <w:rPr>
                <w:rFonts w:ascii="Times New Roman" w:hAnsi="Times New Roman"/>
                <w:sz w:val="16"/>
                <w:szCs w:val="16"/>
              </w:rPr>
            </w:pPr>
            <w:r w:rsidRPr="00AA45E9">
              <w:rPr>
                <w:rFonts w:ascii="Times New Roman" w:hAnsi="Times New Roman"/>
                <w:sz w:val="16"/>
                <w:szCs w:val="16"/>
              </w:rPr>
              <w:t>12</w:t>
            </w:r>
          </w:p>
        </w:tc>
        <w:tc>
          <w:tcPr>
            <w:tcW w:w="851" w:type="dxa"/>
            <w:vAlign w:val="center"/>
          </w:tcPr>
          <w:p w:rsidR="00764FFF" w:rsidRPr="00AA45E9" w:rsidRDefault="00764FFF" w:rsidP="00764FFF">
            <w:pPr>
              <w:spacing w:after="0" w:line="240" w:lineRule="auto"/>
              <w:rPr>
                <w:rFonts w:ascii="Times New Roman" w:hAnsi="Times New Roman"/>
                <w:sz w:val="16"/>
                <w:szCs w:val="16"/>
              </w:rPr>
            </w:pPr>
            <w:r w:rsidRPr="00AA45E9">
              <w:rPr>
                <w:rFonts w:ascii="Times New Roman" w:hAnsi="Times New Roman"/>
                <w:sz w:val="16"/>
                <w:szCs w:val="16"/>
              </w:rPr>
              <w:t>Fatigue</w:t>
            </w:r>
          </w:p>
        </w:tc>
      </w:tr>
      <w:tr w:rsidR="00764FFF" w:rsidRPr="00AA45E9" w:rsidTr="00764FFF">
        <w:trPr>
          <w:trHeight w:val="842"/>
        </w:trPr>
        <w:tc>
          <w:tcPr>
            <w:tcW w:w="879" w:type="dxa"/>
            <w:vMerge/>
            <w:vAlign w:val="center"/>
          </w:tcPr>
          <w:p w:rsidR="00764FFF" w:rsidRPr="00AA45E9" w:rsidRDefault="00764FFF" w:rsidP="00764FFF">
            <w:pPr>
              <w:spacing w:after="0" w:line="240" w:lineRule="auto"/>
              <w:rPr>
                <w:rFonts w:ascii="Times New Roman" w:hAnsi="Times New Roman"/>
                <w:sz w:val="16"/>
                <w:szCs w:val="16"/>
              </w:rPr>
            </w:pPr>
          </w:p>
        </w:tc>
        <w:tc>
          <w:tcPr>
            <w:tcW w:w="993" w:type="dxa"/>
            <w:vMerge/>
            <w:vAlign w:val="center"/>
          </w:tcPr>
          <w:p w:rsidR="00764FFF" w:rsidRPr="00AA45E9" w:rsidRDefault="00764FFF" w:rsidP="00764FFF">
            <w:pPr>
              <w:spacing w:after="0" w:line="240" w:lineRule="auto"/>
              <w:rPr>
                <w:rFonts w:ascii="Times New Roman" w:hAnsi="Times New Roman"/>
                <w:sz w:val="16"/>
                <w:szCs w:val="16"/>
              </w:rPr>
            </w:pPr>
          </w:p>
        </w:tc>
        <w:tc>
          <w:tcPr>
            <w:tcW w:w="1276" w:type="dxa"/>
            <w:vAlign w:val="center"/>
          </w:tcPr>
          <w:p w:rsidR="00764FFF" w:rsidRPr="00AA45E9" w:rsidRDefault="00764FFF" w:rsidP="00764FFF">
            <w:pPr>
              <w:spacing w:after="0" w:line="240" w:lineRule="auto"/>
              <w:rPr>
                <w:rFonts w:ascii="Times New Roman" w:hAnsi="Times New Roman"/>
                <w:sz w:val="16"/>
                <w:szCs w:val="16"/>
              </w:rPr>
            </w:pPr>
            <w:r w:rsidRPr="00AA45E9">
              <w:rPr>
                <w:rFonts w:ascii="Times New Roman" w:hAnsi="Times New Roman"/>
                <w:sz w:val="16"/>
                <w:szCs w:val="16"/>
              </w:rPr>
              <w:t>Risques liés aux chutes : de hauteur,</w:t>
            </w:r>
          </w:p>
          <w:p w:rsidR="00764FFF" w:rsidRPr="00AA45E9" w:rsidRDefault="00764FFF" w:rsidP="00764FFF">
            <w:pPr>
              <w:spacing w:after="0" w:line="240" w:lineRule="auto"/>
              <w:rPr>
                <w:rFonts w:ascii="Times New Roman" w:hAnsi="Times New Roman"/>
                <w:sz w:val="16"/>
                <w:szCs w:val="16"/>
              </w:rPr>
            </w:pPr>
            <w:r w:rsidRPr="00AA45E9">
              <w:rPr>
                <w:rFonts w:ascii="Times New Roman" w:hAnsi="Times New Roman"/>
                <w:sz w:val="16"/>
                <w:szCs w:val="16"/>
              </w:rPr>
              <w:t>de plain-pied</w:t>
            </w:r>
          </w:p>
        </w:tc>
        <w:tc>
          <w:tcPr>
            <w:tcW w:w="1134" w:type="dxa"/>
            <w:vAlign w:val="center"/>
          </w:tcPr>
          <w:p w:rsidR="00764FFF" w:rsidRPr="00AA45E9" w:rsidRDefault="00764FFF" w:rsidP="00764FFF">
            <w:pPr>
              <w:spacing w:after="0" w:line="240" w:lineRule="auto"/>
              <w:rPr>
                <w:rFonts w:ascii="Times New Roman" w:hAnsi="Times New Roman"/>
                <w:sz w:val="16"/>
                <w:szCs w:val="16"/>
              </w:rPr>
            </w:pPr>
            <w:r w:rsidRPr="00AA45E9">
              <w:rPr>
                <w:rFonts w:ascii="Times New Roman" w:hAnsi="Times New Roman"/>
                <w:sz w:val="16"/>
                <w:szCs w:val="16"/>
              </w:rPr>
              <w:t>Blessures,</w:t>
            </w:r>
          </w:p>
          <w:p w:rsidR="00764FFF" w:rsidRPr="00AA45E9" w:rsidRDefault="00764FFF" w:rsidP="00764FFF">
            <w:pPr>
              <w:spacing w:after="0" w:line="240" w:lineRule="auto"/>
              <w:rPr>
                <w:rFonts w:ascii="Times New Roman" w:hAnsi="Times New Roman"/>
                <w:sz w:val="16"/>
                <w:szCs w:val="16"/>
              </w:rPr>
            </w:pPr>
          </w:p>
        </w:tc>
        <w:tc>
          <w:tcPr>
            <w:tcW w:w="1417" w:type="dxa"/>
            <w:vAlign w:val="center"/>
          </w:tcPr>
          <w:p w:rsidR="00764FFF" w:rsidRPr="00AA45E9" w:rsidRDefault="00764FFF" w:rsidP="00764FFF">
            <w:pPr>
              <w:spacing w:after="0" w:line="240" w:lineRule="auto"/>
              <w:rPr>
                <w:rFonts w:ascii="Times New Roman" w:hAnsi="Times New Roman"/>
                <w:sz w:val="16"/>
                <w:szCs w:val="16"/>
              </w:rPr>
            </w:pPr>
            <w:r w:rsidRPr="00AA45E9">
              <w:rPr>
                <w:rFonts w:ascii="Times New Roman" w:hAnsi="Times New Roman"/>
                <w:sz w:val="16"/>
                <w:szCs w:val="16"/>
              </w:rPr>
              <w:t>Fractures</w:t>
            </w:r>
          </w:p>
        </w:tc>
        <w:tc>
          <w:tcPr>
            <w:tcW w:w="709" w:type="dxa"/>
            <w:vAlign w:val="center"/>
          </w:tcPr>
          <w:p w:rsidR="00764FFF" w:rsidRPr="00AA45E9" w:rsidRDefault="00764FFF" w:rsidP="00764FFF">
            <w:pPr>
              <w:spacing w:after="0" w:line="240" w:lineRule="auto"/>
              <w:rPr>
                <w:rFonts w:ascii="Times New Roman" w:hAnsi="Times New Roman"/>
                <w:sz w:val="16"/>
                <w:szCs w:val="16"/>
              </w:rPr>
            </w:pPr>
            <w:r w:rsidRPr="00AA45E9">
              <w:rPr>
                <w:rFonts w:ascii="Times New Roman" w:hAnsi="Times New Roman"/>
                <w:sz w:val="16"/>
                <w:szCs w:val="16"/>
              </w:rPr>
              <w:t>2</w:t>
            </w:r>
          </w:p>
        </w:tc>
        <w:tc>
          <w:tcPr>
            <w:tcW w:w="709" w:type="dxa"/>
            <w:vAlign w:val="center"/>
          </w:tcPr>
          <w:p w:rsidR="00764FFF" w:rsidRPr="00AA45E9" w:rsidRDefault="00764FFF" w:rsidP="00764FFF">
            <w:pPr>
              <w:spacing w:after="0" w:line="240" w:lineRule="auto"/>
              <w:rPr>
                <w:rFonts w:ascii="Times New Roman" w:hAnsi="Times New Roman"/>
                <w:sz w:val="16"/>
                <w:szCs w:val="16"/>
              </w:rPr>
            </w:pPr>
            <w:r w:rsidRPr="00AA45E9">
              <w:rPr>
                <w:rFonts w:ascii="Times New Roman" w:hAnsi="Times New Roman"/>
                <w:sz w:val="16"/>
                <w:szCs w:val="16"/>
              </w:rPr>
              <w:t>3</w:t>
            </w:r>
          </w:p>
        </w:tc>
        <w:tc>
          <w:tcPr>
            <w:tcW w:w="708" w:type="dxa"/>
            <w:shd w:val="clear" w:color="auto" w:fill="FFFF00"/>
            <w:vAlign w:val="center"/>
          </w:tcPr>
          <w:p w:rsidR="00764FFF" w:rsidRPr="00AA45E9" w:rsidRDefault="00764FFF" w:rsidP="00764FFF">
            <w:pPr>
              <w:spacing w:after="0" w:line="240" w:lineRule="auto"/>
              <w:rPr>
                <w:rFonts w:ascii="Times New Roman" w:hAnsi="Times New Roman"/>
                <w:sz w:val="16"/>
                <w:szCs w:val="16"/>
              </w:rPr>
            </w:pPr>
            <w:r w:rsidRPr="00AA45E9">
              <w:rPr>
                <w:rFonts w:ascii="Times New Roman" w:hAnsi="Times New Roman"/>
                <w:sz w:val="16"/>
                <w:szCs w:val="16"/>
              </w:rPr>
              <w:t>23</w:t>
            </w:r>
          </w:p>
        </w:tc>
        <w:tc>
          <w:tcPr>
            <w:tcW w:w="4111" w:type="dxa"/>
            <w:vAlign w:val="center"/>
          </w:tcPr>
          <w:p w:rsidR="00764FFF" w:rsidRPr="00AA45E9" w:rsidRDefault="00764FFF" w:rsidP="00764FFF">
            <w:pPr>
              <w:spacing w:after="0" w:line="240" w:lineRule="auto"/>
              <w:rPr>
                <w:rFonts w:ascii="Times New Roman" w:hAnsi="Times New Roman"/>
                <w:sz w:val="16"/>
                <w:szCs w:val="16"/>
              </w:rPr>
            </w:pPr>
            <w:r w:rsidRPr="00AA45E9">
              <w:rPr>
                <w:rFonts w:ascii="Times New Roman" w:hAnsi="Times New Roman"/>
                <w:sz w:val="16"/>
                <w:szCs w:val="16"/>
              </w:rPr>
              <w:t>Baliser et signaler les zones glissantes</w:t>
            </w:r>
          </w:p>
          <w:p w:rsidR="00764FFF" w:rsidRPr="00AA45E9" w:rsidRDefault="00764FFF" w:rsidP="00764FFF">
            <w:pPr>
              <w:spacing w:after="0" w:line="240" w:lineRule="auto"/>
              <w:rPr>
                <w:rFonts w:ascii="Times New Roman" w:hAnsi="Times New Roman"/>
                <w:sz w:val="16"/>
                <w:szCs w:val="16"/>
              </w:rPr>
            </w:pPr>
            <w:r w:rsidRPr="00AA45E9">
              <w:rPr>
                <w:rFonts w:ascii="Times New Roman" w:hAnsi="Times New Roman"/>
                <w:sz w:val="16"/>
                <w:szCs w:val="16"/>
              </w:rPr>
              <w:t>Port de chaussures antidérapantes</w:t>
            </w:r>
          </w:p>
        </w:tc>
        <w:tc>
          <w:tcPr>
            <w:tcW w:w="709" w:type="dxa"/>
            <w:vAlign w:val="center"/>
          </w:tcPr>
          <w:p w:rsidR="00764FFF" w:rsidRPr="00AA45E9" w:rsidRDefault="00764FFF" w:rsidP="00764FFF">
            <w:pPr>
              <w:spacing w:after="0" w:line="240" w:lineRule="auto"/>
              <w:rPr>
                <w:rFonts w:ascii="Times New Roman" w:hAnsi="Times New Roman"/>
                <w:sz w:val="16"/>
                <w:szCs w:val="16"/>
              </w:rPr>
            </w:pPr>
            <w:r w:rsidRPr="00AA45E9">
              <w:rPr>
                <w:rFonts w:ascii="Times New Roman" w:hAnsi="Times New Roman"/>
                <w:sz w:val="16"/>
                <w:szCs w:val="16"/>
              </w:rPr>
              <w:t>1</w:t>
            </w:r>
          </w:p>
        </w:tc>
        <w:tc>
          <w:tcPr>
            <w:tcW w:w="709" w:type="dxa"/>
            <w:vAlign w:val="center"/>
          </w:tcPr>
          <w:p w:rsidR="00764FFF" w:rsidRPr="00AA45E9" w:rsidRDefault="00764FFF" w:rsidP="00764FFF">
            <w:pPr>
              <w:spacing w:after="0" w:line="240" w:lineRule="auto"/>
              <w:rPr>
                <w:rFonts w:ascii="Times New Roman" w:hAnsi="Times New Roman"/>
                <w:sz w:val="16"/>
                <w:szCs w:val="16"/>
              </w:rPr>
            </w:pPr>
            <w:r w:rsidRPr="00AA45E9">
              <w:rPr>
                <w:rFonts w:ascii="Times New Roman" w:hAnsi="Times New Roman"/>
                <w:sz w:val="16"/>
                <w:szCs w:val="16"/>
              </w:rPr>
              <w:t>2</w:t>
            </w:r>
          </w:p>
        </w:tc>
        <w:tc>
          <w:tcPr>
            <w:tcW w:w="708" w:type="dxa"/>
            <w:shd w:val="clear" w:color="auto" w:fill="92D050"/>
            <w:vAlign w:val="center"/>
          </w:tcPr>
          <w:p w:rsidR="00764FFF" w:rsidRPr="00AA45E9" w:rsidRDefault="00764FFF" w:rsidP="00764FFF">
            <w:pPr>
              <w:spacing w:after="0" w:line="240" w:lineRule="auto"/>
              <w:rPr>
                <w:rFonts w:ascii="Times New Roman" w:hAnsi="Times New Roman"/>
                <w:sz w:val="16"/>
                <w:szCs w:val="16"/>
              </w:rPr>
            </w:pPr>
            <w:r w:rsidRPr="00AA45E9">
              <w:rPr>
                <w:rFonts w:ascii="Times New Roman" w:hAnsi="Times New Roman"/>
                <w:sz w:val="16"/>
                <w:szCs w:val="16"/>
              </w:rPr>
              <w:t>12</w:t>
            </w:r>
          </w:p>
        </w:tc>
        <w:tc>
          <w:tcPr>
            <w:tcW w:w="851" w:type="dxa"/>
            <w:vAlign w:val="center"/>
          </w:tcPr>
          <w:p w:rsidR="00764FFF" w:rsidRPr="00AA45E9" w:rsidRDefault="00764FFF" w:rsidP="00764FFF">
            <w:pPr>
              <w:spacing w:after="0" w:line="240" w:lineRule="auto"/>
              <w:rPr>
                <w:rFonts w:ascii="Times New Roman" w:hAnsi="Times New Roman"/>
                <w:sz w:val="16"/>
                <w:szCs w:val="16"/>
              </w:rPr>
            </w:pPr>
            <w:r w:rsidRPr="00AA45E9">
              <w:rPr>
                <w:rFonts w:ascii="Times New Roman" w:hAnsi="Times New Roman"/>
                <w:sz w:val="16"/>
                <w:szCs w:val="16"/>
              </w:rPr>
              <w:t>Fatigue</w:t>
            </w:r>
          </w:p>
        </w:tc>
      </w:tr>
      <w:tr w:rsidR="00764FFF" w:rsidRPr="00AA45E9" w:rsidTr="00764FFF">
        <w:trPr>
          <w:trHeight w:val="342"/>
        </w:trPr>
        <w:tc>
          <w:tcPr>
            <w:tcW w:w="879" w:type="dxa"/>
            <w:vMerge/>
            <w:vAlign w:val="center"/>
          </w:tcPr>
          <w:p w:rsidR="00764FFF" w:rsidRPr="00AA45E9" w:rsidRDefault="00764FFF" w:rsidP="00764FFF">
            <w:pPr>
              <w:spacing w:after="0" w:line="240" w:lineRule="auto"/>
              <w:rPr>
                <w:rFonts w:ascii="Times New Roman" w:hAnsi="Times New Roman"/>
                <w:sz w:val="16"/>
                <w:szCs w:val="16"/>
              </w:rPr>
            </w:pPr>
          </w:p>
        </w:tc>
        <w:tc>
          <w:tcPr>
            <w:tcW w:w="993" w:type="dxa"/>
            <w:vMerge/>
          </w:tcPr>
          <w:p w:rsidR="00764FFF" w:rsidRPr="00AA45E9" w:rsidRDefault="00764FFF" w:rsidP="00764FFF">
            <w:pPr>
              <w:spacing w:after="0" w:line="240" w:lineRule="auto"/>
              <w:rPr>
                <w:rFonts w:ascii="Times New Roman" w:hAnsi="Times New Roman"/>
                <w:sz w:val="16"/>
                <w:szCs w:val="16"/>
              </w:rPr>
            </w:pPr>
          </w:p>
        </w:tc>
        <w:tc>
          <w:tcPr>
            <w:tcW w:w="1276" w:type="dxa"/>
            <w:vAlign w:val="center"/>
          </w:tcPr>
          <w:p w:rsidR="00764FFF" w:rsidRPr="00AA45E9" w:rsidRDefault="00764FFF" w:rsidP="00764FFF">
            <w:pPr>
              <w:spacing w:after="0" w:line="240" w:lineRule="auto"/>
              <w:rPr>
                <w:rFonts w:ascii="Times New Roman" w:hAnsi="Times New Roman"/>
                <w:sz w:val="16"/>
                <w:szCs w:val="16"/>
              </w:rPr>
            </w:pPr>
            <w:r w:rsidRPr="00AA45E9">
              <w:rPr>
                <w:rFonts w:ascii="Times New Roman" w:hAnsi="Times New Roman"/>
                <w:sz w:val="16"/>
                <w:szCs w:val="16"/>
              </w:rPr>
              <w:t>Risques liés au bruit</w:t>
            </w:r>
          </w:p>
        </w:tc>
        <w:tc>
          <w:tcPr>
            <w:tcW w:w="1134" w:type="dxa"/>
            <w:vAlign w:val="center"/>
          </w:tcPr>
          <w:p w:rsidR="00764FFF" w:rsidRPr="00AA45E9" w:rsidRDefault="00764FFF" w:rsidP="00764FFF">
            <w:pPr>
              <w:spacing w:after="0" w:line="240" w:lineRule="auto"/>
              <w:rPr>
                <w:rFonts w:ascii="Times New Roman" w:hAnsi="Times New Roman"/>
                <w:sz w:val="16"/>
                <w:szCs w:val="16"/>
              </w:rPr>
            </w:pPr>
            <w:r w:rsidRPr="00AA45E9">
              <w:rPr>
                <w:rFonts w:ascii="Times New Roman" w:hAnsi="Times New Roman"/>
                <w:sz w:val="16"/>
                <w:szCs w:val="16"/>
              </w:rPr>
              <w:t>Surdité</w:t>
            </w:r>
          </w:p>
        </w:tc>
        <w:tc>
          <w:tcPr>
            <w:tcW w:w="1417" w:type="dxa"/>
            <w:vAlign w:val="center"/>
          </w:tcPr>
          <w:p w:rsidR="00764FFF" w:rsidRPr="00AA45E9" w:rsidRDefault="00764FFF" w:rsidP="00764FFF">
            <w:pPr>
              <w:spacing w:after="0" w:line="240" w:lineRule="auto"/>
              <w:rPr>
                <w:rFonts w:ascii="Times New Roman" w:hAnsi="Times New Roman"/>
                <w:sz w:val="16"/>
                <w:szCs w:val="16"/>
              </w:rPr>
            </w:pPr>
            <w:r w:rsidRPr="00AA45E9">
              <w:rPr>
                <w:rFonts w:ascii="Times New Roman" w:hAnsi="Times New Roman"/>
                <w:sz w:val="16"/>
                <w:szCs w:val="16"/>
              </w:rPr>
              <w:t>Pertes d’audition temporaires ou définitives</w:t>
            </w:r>
          </w:p>
        </w:tc>
        <w:tc>
          <w:tcPr>
            <w:tcW w:w="709" w:type="dxa"/>
            <w:vAlign w:val="center"/>
          </w:tcPr>
          <w:p w:rsidR="00764FFF" w:rsidRPr="00AA45E9" w:rsidRDefault="00764FFF" w:rsidP="00764FFF">
            <w:pPr>
              <w:spacing w:after="0" w:line="240" w:lineRule="auto"/>
              <w:rPr>
                <w:rFonts w:ascii="Times New Roman" w:hAnsi="Times New Roman"/>
                <w:sz w:val="16"/>
                <w:szCs w:val="16"/>
              </w:rPr>
            </w:pPr>
            <w:r w:rsidRPr="00AA45E9">
              <w:rPr>
                <w:rFonts w:ascii="Times New Roman" w:hAnsi="Times New Roman"/>
                <w:sz w:val="16"/>
                <w:szCs w:val="16"/>
              </w:rPr>
              <w:t>3</w:t>
            </w:r>
          </w:p>
        </w:tc>
        <w:tc>
          <w:tcPr>
            <w:tcW w:w="709" w:type="dxa"/>
            <w:vAlign w:val="center"/>
          </w:tcPr>
          <w:p w:rsidR="00764FFF" w:rsidRPr="00AA45E9" w:rsidRDefault="00764FFF" w:rsidP="00764FFF">
            <w:pPr>
              <w:spacing w:after="0" w:line="240" w:lineRule="auto"/>
              <w:rPr>
                <w:rFonts w:ascii="Times New Roman" w:hAnsi="Times New Roman"/>
                <w:sz w:val="16"/>
                <w:szCs w:val="16"/>
              </w:rPr>
            </w:pPr>
            <w:r w:rsidRPr="00AA45E9">
              <w:rPr>
                <w:rFonts w:ascii="Times New Roman" w:hAnsi="Times New Roman"/>
                <w:sz w:val="16"/>
                <w:szCs w:val="16"/>
              </w:rPr>
              <w:t>3</w:t>
            </w:r>
          </w:p>
        </w:tc>
        <w:tc>
          <w:tcPr>
            <w:tcW w:w="708" w:type="dxa"/>
            <w:shd w:val="clear" w:color="auto" w:fill="FF0000"/>
            <w:vAlign w:val="center"/>
          </w:tcPr>
          <w:p w:rsidR="00764FFF" w:rsidRPr="00AA45E9" w:rsidRDefault="00764FFF" w:rsidP="00764FFF">
            <w:pPr>
              <w:spacing w:after="0" w:line="240" w:lineRule="auto"/>
              <w:rPr>
                <w:rFonts w:ascii="Times New Roman" w:hAnsi="Times New Roman"/>
                <w:sz w:val="16"/>
                <w:szCs w:val="16"/>
              </w:rPr>
            </w:pPr>
            <w:r w:rsidRPr="00AA45E9">
              <w:rPr>
                <w:rFonts w:ascii="Times New Roman" w:hAnsi="Times New Roman"/>
                <w:sz w:val="16"/>
                <w:szCs w:val="16"/>
              </w:rPr>
              <w:t>33</w:t>
            </w:r>
          </w:p>
        </w:tc>
        <w:tc>
          <w:tcPr>
            <w:tcW w:w="4111" w:type="dxa"/>
            <w:vAlign w:val="center"/>
          </w:tcPr>
          <w:p w:rsidR="00764FFF" w:rsidRPr="00AA45E9" w:rsidRDefault="00764FFF" w:rsidP="00764FFF">
            <w:pPr>
              <w:spacing w:after="0" w:line="240" w:lineRule="auto"/>
              <w:rPr>
                <w:rFonts w:ascii="Times New Roman" w:hAnsi="Times New Roman"/>
                <w:sz w:val="16"/>
                <w:szCs w:val="16"/>
              </w:rPr>
            </w:pPr>
            <w:r w:rsidRPr="00AA45E9">
              <w:rPr>
                <w:rFonts w:ascii="Times New Roman" w:hAnsi="Times New Roman"/>
                <w:sz w:val="16"/>
                <w:szCs w:val="16"/>
              </w:rPr>
              <w:t>Fournir des bouchons d’oreille et des casques de protection auditive aux travailleurs et veiller à leur utilisation</w:t>
            </w:r>
          </w:p>
        </w:tc>
        <w:tc>
          <w:tcPr>
            <w:tcW w:w="709" w:type="dxa"/>
            <w:vAlign w:val="center"/>
          </w:tcPr>
          <w:p w:rsidR="00764FFF" w:rsidRPr="00AA45E9" w:rsidRDefault="00764FFF" w:rsidP="00764FFF">
            <w:pPr>
              <w:spacing w:after="0" w:line="240" w:lineRule="auto"/>
              <w:rPr>
                <w:rFonts w:ascii="Times New Roman" w:hAnsi="Times New Roman"/>
                <w:sz w:val="16"/>
                <w:szCs w:val="16"/>
              </w:rPr>
            </w:pPr>
            <w:r w:rsidRPr="00AA45E9">
              <w:rPr>
                <w:rFonts w:ascii="Times New Roman" w:hAnsi="Times New Roman"/>
                <w:sz w:val="16"/>
                <w:szCs w:val="16"/>
              </w:rPr>
              <w:t>2</w:t>
            </w:r>
          </w:p>
        </w:tc>
        <w:tc>
          <w:tcPr>
            <w:tcW w:w="709" w:type="dxa"/>
            <w:vAlign w:val="center"/>
          </w:tcPr>
          <w:p w:rsidR="00764FFF" w:rsidRPr="00AA45E9" w:rsidRDefault="00764FFF" w:rsidP="00764FFF">
            <w:pPr>
              <w:spacing w:after="0" w:line="240" w:lineRule="auto"/>
              <w:rPr>
                <w:rFonts w:ascii="Times New Roman" w:hAnsi="Times New Roman"/>
                <w:sz w:val="16"/>
                <w:szCs w:val="16"/>
              </w:rPr>
            </w:pPr>
            <w:r w:rsidRPr="00AA45E9">
              <w:rPr>
                <w:rFonts w:ascii="Times New Roman" w:hAnsi="Times New Roman"/>
                <w:sz w:val="16"/>
                <w:szCs w:val="16"/>
              </w:rPr>
              <w:t>2</w:t>
            </w:r>
          </w:p>
        </w:tc>
        <w:tc>
          <w:tcPr>
            <w:tcW w:w="708" w:type="dxa"/>
            <w:shd w:val="clear" w:color="auto" w:fill="FFFF00"/>
            <w:vAlign w:val="center"/>
          </w:tcPr>
          <w:p w:rsidR="00764FFF" w:rsidRPr="00AA45E9" w:rsidRDefault="00764FFF" w:rsidP="00764FFF">
            <w:pPr>
              <w:spacing w:after="0" w:line="240" w:lineRule="auto"/>
              <w:rPr>
                <w:rFonts w:ascii="Times New Roman" w:hAnsi="Times New Roman"/>
                <w:sz w:val="16"/>
                <w:szCs w:val="16"/>
              </w:rPr>
            </w:pPr>
            <w:r w:rsidRPr="00AA45E9">
              <w:rPr>
                <w:rFonts w:ascii="Times New Roman" w:hAnsi="Times New Roman"/>
                <w:sz w:val="16"/>
                <w:szCs w:val="16"/>
              </w:rPr>
              <w:t>22</w:t>
            </w:r>
          </w:p>
        </w:tc>
        <w:tc>
          <w:tcPr>
            <w:tcW w:w="851" w:type="dxa"/>
            <w:vAlign w:val="center"/>
          </w:tcPr>
          <w:p w:rsidR="00764FFF" w:rsidRPr="00AA45E9" w:rsidRDefault="00764FFF" w:rsidP="00764FFF">
            <w:pPr>
              <w:spacing w:after="0" w:line="240" w:lineRule="auto"/>
              <w:rPr>
                <w:rFonts w:ascii="Times New Roman" w:hAnsi="Times New Roman"/>
                <w:sz w:val="16"/>
                <w:szCs w:val="16"/>
              </w:rPr>
            </w:pPr>
            <w:r w:rsidRPr="00AA45E9">
              <w:rPr>
                <w:rFonts w:ascii="Times New Roman" w:hAnsi="Times New Roman"/>
                <w:sz w:val="16"/>
                <w:szCs w:val="16"/>
              </w:rPr>
              <w:t>Fatigue</w:t>
            </w:r>
          </w:p>
        </w:tc>
      </w:tr>
      <w:tr w:rsidR="00764FFF" w:rsidRPr="00AA45E9" w:rsidTr="00764FFF">
        <w:trPr>
          <w:trHeight w:val="350"/>
        </w:trPr>
        <w:tc>
          <w:tcPr>
            <w:tcW w:w="879" w:type="dxa"/>
            <w:vMerge/>
            <w:vAlign w:val="center"/>
          </w:tcPr>
          <w:p w:rsidR="00764FFF" w:rsidRPr="00AA45E9" w:rsidRDefault="00764FFF" w:rsidP="00764FFF">
            <w:pPr>
              <w:spacing w:after="0" w:line="240" w:lineRule="auto"/>
              <w:rPr>
                <w:rFonts w:ascii="Times New Roman" w:hAnsi="Times New Roman"/>
                <w:sz w:val="16"/>
                <w:szCs w:val="16"/>
              </w:rPr>
            </w:pPr>
          </w:p>
        </w:tc>
        <w:tc>
          <w:tcPr>
            <w:tcW w:w="993" w:type="dxa"/>
            <w:vMerge/>
          </w:tcPr>
          <w:p w:rsidR="00764FFF" w:rsidRPr="00AA45E9" w:rsidRDefault="00764FFF" w:rsidP="00764FFF">
            <w:pPr>
              <w:spacing w:after="0" w:line="240" w:lineRule="auto"/>
              <w:rPr>
                <w:rFonts w:ascii="Times New Roman" w:hAnsi="Times New Roman"/>
                <w:sz w:val="16"/>
                <w:szCs w:val="16"/>
              </w:rPr>
            </w:pPr>
          </w:p>
        </w:tc>
        <w:tc>
          <w:tcPr>
            <w:tcW w:w="1276" w:type="dxa"/>
            <w:vAlign w:val="center"/>
          </w:tcPr>
          <w:p w:rsidR="00764FFF" w:rsidRPr="00AA45E9" w:rsidRDefault="00764FFF" w:rsidP="00764FFF">
            <w:pPr>
              <w:spacing w:after="0" w:line="240" w:lineRule="auto"/>
              <w:rPr>
                <w:rFonts w:ascii="Times New Roman" w:hAnsi="Times New Roman"/>
                <w:sz w:val="16"/>
                <w:szCs w:val="16"/>
              </w:rPr>
            </w:pPr>
            <w:r w:rsidRPr="00AA45E9">
              <w:rPr>
                <w:rFonts w:ascii="Times New Roman" w:hAnsi="Times New Roman"/>
                <w:sz w:val="16"/>
                <w:szCs w:val="16"/>
              </w:rPr>
              <w:t>Risques</w:t>
            </w:r>
          </w:p>
          <w:p w:rsidR="00764FFF" w:rsidRPr="00AA45E9" w:rsidRDefault="00764FFF" w:rsidP="00764FFF">
            <w:pPr>
              <w:spacing w:after="0" w:line="240" w:lineRule="auto"/>
              <w:rPr>
                <w:rFonts w:ascii="Times New Roman" w:hAnsi="Times New Roman"/>
                <w:sz w:val="16"/>
                <w:szCs w:val="16"/>
              </w:rPr>
            </w:pPr>
            <w:r w:rsidRPr="00AA45E9">
              <w:rPr>
                <w:rFonts w:ascii="Times New Roman" w:hAnsi="Times New Roman"/>
                <w:sz w:val="16"/>
                <w:szCs w:val="16"/>
              </w:rPr>
              <w:t>électriques</w:t>
            </w:r>
          </w:p>
        </w:tc>
        <w:tc>
          <w:tcPr>
            <w:tcW w:w="1134" w:type="dxa"/>
            <w:vAlign w:val="center"/>
          </w:tcPr>
          <w:p w:rsidR="00764FFF" w:rsidRPr="00AA45E9" w:rsidRDefault="00764FFF" w:rsidP="00764FFF">
            <w:pPr>
              <w:spacing w:after="0" w:line="240" w:lineRule="auto"/>
              <w:rPr>
                <w:rFonts w:ascii="Times New Roman" w:hAnsi="Times New Roman"/>
                <w:sz w:val="16"/>
                <w:szCs w:val="16"/>
              </w:rPr>
            </w:pPr>
            <w:r w:rsidRPr="00AA45E9">
              <w:rPr>
                <w:rFonts w:ascii="Times New Roman" w:hAnsi="Times New Roman"/>
                <w:sz w:val="16"/>
                <w:szCs w:val="16"/>
              </w:rPr>
              <w:t>Electrocution/Electrisation</w:t>
            </w:r>
          </w:p>
        </w:tc>
        <w:tc>
          <w:tcPr>
            <w:tcW w:w="1417" w:type="dxa"/>
            <w:vAlign w:val="center"/>
          </w:tcPr>
          <w:p w:rsidR="00764FFF" w:rsidRPr="00AA45E9" w:rsidRDefault="00764FFF" w:rsidP="00764FFF">
            <w:pPr>
              <w:spacing w:after="0" w:line="240" w:lineRule="auto"/>
              <w:rPr>
                <w:rFonts w:ascii="Times New Roman" w:hAnsi="Times New Roman"/>
                <w:sz w:val="16"/>
                <w:szCs w:val="16"/>
              </w:rPr>
            </w:pPr>
            <w:r w:rsidRPr="00AA45E9">
              <w:rPr>
                <w:rFonts w:ascii="Times New Roman" w:hAnsi="Times New Roman"/>
                <w:sz w:val="16"/>
                <w:szCs w:val="16"/>
              </w:rPr>
              <w:t>Décès,</w:t>
            </w:r>
          </w:p>
          <w:p w:rsidR="00764FFF" w:rsidRPr="00AA45E9" w:rsidRDefault="00764FFF" w:rsidP="00764FFF">
            <w:pPr>
              <w:spacing w:after="0" w:line="240" w:lineRule="auto"/>
              <w:rPr>
                <w:rFonts w:ascii="Times New Roman" w:hAnsi="Times New Roman"/>
                <w:sz w:val="16"/>
                <w:szCs w:val="16"/>
              </w:rPr>
            </w:pPr>
            <w:r w:rsidRPr="00AA45E9">
              <w:rPr>
                <w:rFonts w:ascii="Times New Roman" w:hAnsi="Times New Roman"/>
                <w:sz w:val="16"/>
                <w:szCs w:val="16"/>
              </w:rPr>
              <w:t>Brulures</w:t>
            </w:r>
          </w:p>
        </w:tc>
        <w:tc>
          <w:tcPr>
            <w:tcW w:w="709" w:type="dxa"/>
            <w:vAlign w:val="center"/>
          </w:tcPr>
          <w:p w:rsidR="00764FFF" w:rsidRPr="00AA45E9" w:rsidRDefault="00764FFF" w:rsidP="00764FFF">
            <w:pPr>
              <w:spacing w:after="0" w:line="240" w:lineRule="auto"/>
              <w:rPr>
                <w:rFonts w:ascii="Times New Roman" w:hAnsi="Times New Roman"/>
                <w:sz w:val="16"/>
                <w:szCs w:val="16"/>
              </w:rPr>
            </w:pPr>
            <w:r w:rsidRPr="00AA45E9">
              <w:rPr>
                <w:rFonts w:ascii="Times New Roman" w:hAnsi="Times New Roman"/>
                <w:sz w:val="16"/>
                <w:szCs w:val="16"/>
              </w:rPr>
              <w:t>4</w:t>
            </w:r>
          </w:p>
        </w:tc>
        <w:tc>
          <w:tcPr>
            <w:tcW w:w="709" w:type="dxa"/>
            <w:vAlign w:val="center"/>
          </w:tcPr>
          <w:p w:rsidR="00764FFF" w:rsidRPr="00AA45E9" w:rsidRDefault="00764FFF" w:rsidP="00764FFF">
            <w:pPr>
              <w:spacing w:after="0" w:line="240" w:lineRule="auto"/>
              <w:rPr>
                <w:rFonts w:ascii="Times New Roman" w:hAnsi="Times New Roman"/>
                <w:sz w:val="16"/>
                <w:szCs w:val="16"/>
              </w:rPr>
            </w:pPr>
            <w:r w:rsidRPr="00AA45E9">
              <w:rPr>
                <w:rFonts w:ascii="Times New Roman" w:hAnsi="Times New Roman"/>
                <w:sz w:val="16"/>
                <w:szCs w:val="16"/>
              </w:rPr>
              <w:t>3</w:t>
            </w:r>
          </w:p>
        </w:tc>
        <w:tc>
          <w:tcPr>
            <w:tcW w:w="708" w:type="dxa"/>
            <w:shd w:val="clear" w:color="auto" w:fill="FF0000"/>
            <w:vAlign w:val="center"/>
          </w:tcPr>
          <w:p w:rsidR="00764FFF" w:rsidRPr="00AA45E9" w:rsidRDefault="00764FFF" w:rsidP="00764FFF">
            <w:pPr>
              <w:spacing w:after="0" w:line="240" w:lineRule="auto"/>
              <w:rPr>
                <w:rFonts w:ascii="Times New Roman" w:hAnsi="Times New Roman"/>
                <w:sz w:val="16"/>
                <w:szCs w:val="16"/>
              </w:rPr>
            </w:pPr>
            <w:r w:rsidRPr="00AA45E9">
              <w:rPr>
                <w:rFonts w:ascii="Times New Roman" w:hAnsi="Times New Roman"/>
                <w:sz w:val="16"/>
                <w:szCs w:val="16"/>
              </w:rPr>
              <w:t>43</w:t>
            </w:r>
          </w:p>
        </w:tc>
        <w:tc>
          <w:tcPr>
            <w:tcW w:w="4111" w:type="dxa"/>
            <w:vAlign w:val="center"/>
          </w:tcPr>
          <w:p w:rsidR="00764FFF" w:rsidRPr="00AA45E9" w:rsidRDefault="00764FFF" w:rsidP="00764FFF">
            <w:pPr>
              <w:spacing w:after="0" w:line="240" w:lineRule="auto"/>
              <w:rPr>
                <w:rFonts w:ascii="Times New Roman" w:hAnsi="Times New Roman"/>
                <w:sz w:val="16"/>
                <w:szCs w:val="16"/>
              </w:rPr>
            </w:pPr>
            <w:r w:rsidRPr="00AA45E9">
              <w:rPr>
                <w:rFonts w:ascii="Times New Roman" w:hAnsi="Times New Roman"/>
                <w:sz w:val="16"/>
                <w:szCs w:val="16"/>
              </w:rPr>
              <w:t>Toute intervention doit être réalisée par du personnel ayant reçu une habilitation.</w:t>
            </w:r>
          </w:p>
          <w:p w:rsidR="00764FFF" w:rsidRPr="00AA45E9" w:rsidRDefault="00764FFF" w:rsidP="00764FFF">
            <w:pPr>
              <w:spacing w:after="0" w:line="240" w:lineRule="auto"/>
              <w:rPr>
                <w:rFonts w:ascii="Times New Roman" w:hAnsi="Times New Roman"/>
                <w:sz w:val="16"/>
                <w:szCs w:val="16"/>
              </w:rPr>
            </w:pPr>
            <w:r w:rsidRPr="00AA45E9">
              <w:rPr>
                <w:rFonts w:ascii="Times New Roman" w:hAnsi="Times New Roman"/>
                <w:sz w:val="16"/>
                <w:szCs w:val="16"/>
              </w:rPr>
              <w:t>Faire réaliser et contrôler régulièrement les installations (électriques, appareils sous pression) par du personnel qualifié.</w:t>
            </w:r>
          </w:p>
          <w:p w:rsidR="00764FFF" w:rsidRPr="00AA45E9" w:rsidRDefault="00764FFF" w:rsidP="00764FFF">
            <w:pPr>
              <w:spacing w:after="0" w:line="240" w:lineRule="auto"/>
              <w:rPr>
                <w:rFonts w:ascii="Times New Roman" w:hAnsi="Times New Roman"/>
                <w:sz w:val="16"/>
                <w:szCs w:val="16"/>
              </w:rPr>
            </w:pPr>
            <w:r w:rsidRPr="00AA45E9">
              <w:rPr>
                <w:rFonts w:ascii="Times New Roman" w:hAnsi="Times New Roman"/>
                <w:sz w:val="16"/>
                <w:szCs w:val="16"/>
              </w:rPr>
              <w:t>Former les salariés aux mesures à prendre en cas d’incendie.</w:t>
            </w:r>
          </w:p>
        </w:tc>
        <w:tc>
          <w:tcPr>
            <w:tcW w:w="709" w:type="dxa"/>
            <w:vAlign w:val="center"/>
          </w:tcPr>
          <w:p w:rsidR="00764FFF" w:rsidRPr="00AA45E9" w:rsidRDefault="00764FFF" w:rsidP="00764FFF">
            <w:pPr>
              <w:spacing w:after="0" w:line="240" w:lineRule="auto"/>
              <w:rPr>
                <w:rFonts w:ascii="Times New Roman" w:hAnsi="Times New Roman"/>
                <w:sz w:val="16"/>
                <w:szCs w:val="16"/>
              </w:rPr>
            </w:pPr>
            <w:r w:rsidRPr="00AA45E9">
              <w:rPr>
                <w:rFonts w:ascii="Times New Roman" w:hAnsi="Times New Roman"/>
                <w:sz w:val="16"/>
                <w:szCs w:val="16"/>
              </w:rPr>
              <w:t>3</w:t>
            </w:r>
          </w:p>
        </w:tc>
        <w:tc>
          <w:tcPr>
            <w:tcW w:w="709" w:type="dxa"/>
            <w:vAlign w:val="center"/>
          </w:tcPr>
          <w:p w:rsidR="00764FFF" w:rsidRPr="00AA45E9" w:rsidRDefault="00764FFF" w:rsidP="00764FFF">
            <w:pPr>
              <w:spacing w:after="0" w:line="240" w:lineRule="auto"/>
              <w:rPr>
                <w:rFonts w:ascii="Times New Roman" w:hAnsi="Times New Roman"/>
                <w:sz w:val="16"/>
                <w:szCs w:val="16"/>
              </w:rPr>
            </w:pPr>
            <w:r w:rsidRPr="00AA45E9">
              <w:rPr>
                <w:rFonts w:ascii="Times New Roman" w:hAnsi="Times New Roman"/>
                <w:sz w:val="16"/>
                <w:szCs w:val="16"/>
              </w:rPr>
              <w:t>2</w:t>
            </w:r>
          </w:p>
        </w:tc>
        <w:tc>
          <w:tcPr>
            <w:tcW w:w="708" w:type="dxa"/>
            <w:shd w:val="clear" w:color="auto" w:fill="FFFF00"/>
            <w:vAlign w:val="center"/>
          </w:tcPr>
          <w:p w:rsidR="00764FFF" w:rsidRPr="00AA45E9" w:rsidRDefault="00764FFF" w:rsidP="00764FFF">
            <w:pPr>
              <w:spacing w:after="0" w:line="240" w:lineRule="auto"/>
              <w:rPr>
                <w:rFonts w:ascii="Times New Roman" w:hAnsi="Times New Roman"/>
                <w:sz w:val="16"/>
                <w:szCs w:val="16"/>
              </w:rPr>
            </w:pPr>
            <w:r w:rsidRPr="00AA45E9">
              <w:rPr>
                <w:rFonts w:ascii="Times New Roman" w:hAnsi="Times New Roman"/>
                <w:sz w:val="16"/>
                <w:szCs w:val="16"/>
              </w:rPr>
              <w:t>32</w:t>
            </w:r>
          </w:p>
        </w:tc>
        <w:tc>
          <w:tcPr>
            <w:tcW w:w="851" w:type="dxa"/>
            <w:vAlign w:val="center"/>
          </w:tcPr>
          <w:p w:rsidR="00764FFF" w:rsidRPr="00AA45E9" w:rsidRDefault="00764FFF" w:rsidP="00764FFF">
            <w:pPr>
              <w:spacing w:after="0" w:line="240" w:lineRule="auto"/>
              <w:rPr>
                <w:rFonts w:ascii="Times New Roman" w:hAnsi="Times New Roman"/>
                <w:sz w:val="16"/>
                <w:szCs w:val="16"/>
              </w:rPr>
            </w:pPr>
            <w:r w:rsidRPr="00AA45E9">
              <w:rPr>
                <w:rFonts w:ascii="Times New Roman" w:hAnsi="Times New Roman"/>
                <w:sz w:val="16"/>
                <w:szCs w:val="16"/>
              </w:rPr>
              <w:t>Fatigue</w:t>
            </w:r>
          </w:p>
        </w:tc>
      </w:tr>
      <w:tr w:rsidR="007D64A0" w:rsidRPr="00206F59" w:rsidTr="002F0DE8">
        <w:trPr>
          <w:trHeight w:val="350"/>
        </w:trPr>
        <w:tc>
          <w:tcPr>
            <w:tcW w:w="879" w:type="dxa"/>
            <w:vMerge w:val="restart"/>
            <w:vAlign w:val="center"/>
          </w:tcPr>
          <w:p w:rsidR="007D64A0" w:rsidRPr="00206F59" w:rsidRDefault="007D64A0" w:rsidP="00EC2325">
            <w:pPr>
              <w:spacing w:after="0" w:line="240" w:lineRule="auto"/>
              <w:jc w:val="center"/>
              <w:rPr>
                <w:rFonts w:ascii="Times New Roman" w:hAnsi="Times New Roman"/>
                <w:sz w:val="16"/>
                <w:szCs w:val="16"/>
              </w:rPr>
            </w:pPr>
            <w:r>
              <w:rPr>
                <w:rFonts w:ascii="Times New Roman" w:hAnsi="Times New Roman"/>
                <w:sz w:val="16"/>
                <w:szCs w:val="16"/>
              </w:rPr>
              <w:t>Maintenance ou d’entretien des réservoirs et des équipements en phase d’exploitation</w:t>
            </w:r>
          </w:p>
        </w:tc>
        <w:tc>
          <w:tcPr>
            <w:tcW w:w="993" w:type="dxa"/>
            <w:vMerge w:val="restart"/>
            <w:vAlign w:val="center"/>
          </w:tcPr>
          <w:p w:rsidR="007D64A0" w:rsidRPr="00206F59" w:rsidRDefault="007D64A0" w:rsidP="00EC2325">
            <w:pPr>
              <w:spacing w:after="0" w:line="240" w:lineRule="auto"/>
              <w:jc w:val="center"/>
              <w:rPr>
                <w:rFonts w:ascii="Times New Roman" w:hAnsi="Times New Roman"/>
                <w:sz w:val="16"/>
                <w:szCs w:val="16"/>
              </w:rPr>
            </w:pPr>
            <w:r>
              <w:rPr>
                <w:rFonts w:ascii="Times New Roman" w:hAnsi="Times New Roman"/>
                <w:sz w:val="16"/>
                <w:szCs w:val="16"/>
              </w:rPr>
              <w:t xml:space="preserve">Personnel chargé de la maintenance et entretien </w:t>
            </w:r>
          </w:p>
        </w:tc>
        <w:tc>
          <w:tcPr>
            <w:tcW w:w="1276" w:type="dxa"/>
            <w:vAlign w:val="center"/>
          </w:tcPr>
          <w:p w:rsidR="007D64A0" w:rsidRPr="00206F59" w:rsidRDefault="007D64A0" w:rsidP="002F0DE8">
            <w:pPr>
              <w:spacing w:after="0" w:line="240" w:lineRule="auto"/>
              <w:rPr>
                <w:rFonts w:ascii="Times New Roman" w:hAnsi="Times New Roman"/>
                <w:sz w:val="16"/>
                <w:szCs w:val="16"/>
              </w:rPr>
            </w:pPr>
            <w:r w:rsidRPr="00206F59">
              <w:rPr>
                <w:rFonts w:ascii="Times New Roman" w:hAnsi="Times New Roman"/>
                <w:sz w:val="16"/>
                <w:szCs w:val="16"/>
              </w:rPr>
              <w:t>Risques liés aux chutes d’objets</w:t>
            </w:r>
          </w:p>
        </w:tc>
        <w:tc>
          <w:tcPr>
            <w:tcW w:w="1134" w:type="dxa"/>
            <w:vAlign w:val="center"/>
          </w:tcPr>
          <w:p w:rsidR="007D64A0" w:rsidRPr="00206F59" w:rsidRDefault="007D64A0" w:rsidP="002F0DE8">
            <w:pPr>
              <w:spacing w:after="0" w:line="240" w:lineRule="auto"/>
              <w:rPr>
                <w:rFonts w:ascii="Times New Roman" w:hAnsi="Times New Roman"/>
                <w:sz w:val="16"/>
                <w:szCs w:val="16"/>
              </w:rPr>
            </w:pPr>
            <w:r w:rsidRPr="00206F59">
              <w:rPr>
                <w:rFonts w:ascii="Times New Roman" w:hAnsi="Times New Roman"/>
                <w:sz w:val="16"/>
                <w:szCs w:val="16"/>
              </w:rPr>
              <w:t>Blessures,</w:t>
            </w:r>
          </w:p>
          <w:p w:rsidR="007D64A0" w:rsidRPr="00206F59" w:rsidRDefault="007D64A0" w:rsidP="002F0DE8">
            <w:pPr>
              <w:spacing w:after="0" w:line="240" w:lineRule="auto"/>
              <w:rPr>
                <w:rFonts w:ascii="Times New Roman" w:hAnsi="Times New Roman"/>
                <w:sz w:val="16"/>
                <w:szCs w:val="16"/>
              </w:rPr>
            </w:pPr>
          </w:p>
        </w:tc>
        <w:tc>
          <w:tcPr>
            <w:tcW w:w="1417" w:type="dxa"/>
            <w:vAlign w:val="center"/>
          </w:tcPr>
          <w:p w:rsidR="007D64A0" w:rsidRPr="00206F59" w:rsidRDefault="009B3AB5" w:rsidP="002F0DE8">
            <w:pPr>
              <w:spacing w:after="0" w:line="240" w:lineRule="auto"/>
              <w:rPr>
                <w:rFonts w:ascii="Times New Roman" w:hAnsi="Times New Roman"/>
                <w:sz w:val="16"/>
                <w:szCs w:val="16"/>
              </w:rPr>
            </w:pPr>
            <w:r>
              <w:rPr>
                <w:rFonts w:ascii="Times New Roman" w:hAnsi="Times New Roman"/>
                <w:sz w:val="16"/>
                <w:szCs w:val="16"/>
              </w:rPr>
              <w:t>Fractures,</w:t>
            </w:r>
          </w:p>
        </w:tc>
        <w:tc>
          <w:tcPr>
            <w:tcW w:w="709" w:type="dxa"/>
            <w:vAlign w:val="center"/>
          </w:tcPr>
          <w:p w:rsidR="007D64A0" w:rsidRPr="00206F59" w:rsidRDefault="007D64A0" w:rsidP="002F0DE8">
            <w:pPr>
              <w:spacing w:after="0" w:line="240" w:lineRule="auto"/>
              <w:rPr>
                <w:rFonts w:ascii="Times New Roman" w:hAnsi="Times New Roman"/>
                <w:sz w:val="16"/>
                <w:szCs w:val="16"/>
              </w:rPr>
            </w:pPr>
            <w:r>
              <w:rPr>
                <w:rFonts w:ascii="Times New Roman" w:hAnsi="Times New Roman"/>
                <w:sz w:val="16"/>
                <w:szCs w:val="16"/>
              </w:rPr>
              <w:t>2</w:t>
            </w:r>
          </w:p>
        </w:tc>
        <w:tc>
          <w:tcPr>
            <w:tcW w:w="709" w:type="dxa"/>
            <w:vAlign w:val="center"/>
          </w:tcPr>
          <w:p w:rsidR="007D64A0" w:rsidRPr="00206F59" w:rsidRDefault="007D64A0" w:rsidP="002F0DE8">
            <w:pPr>
              <w:spacing w:after="0" w:line="240" w:lineRule="auto"/>
              <w:rPr>
                <w:rFonts w:ascii="Times New Roman" w:hAnsi="Times New Roman"/>
                <w:sz w:val="16"/>
                <w:szCs w:val="16"/>
              </w:rPr>
            </w:pPr>
            <w:r w:rsidRPr="00206F59">
              <w:rPr>
                <w:rFonts w:ascii="Times New Roman" w:hAnsi="Times New Roman"/>
                <w:sz w:val="16"/>
                <w:szCs w:val="16"/>
              </w:rPr>
              <w:t>3</w:t>
            </w:r>
          </w:p>
        </w:tc>
        <w:tc>
          <w:tcPr>
            <w:tcW w:w="708" w:type="dxa"/>
            <w:shd w:val="clear" w:color="auto" w:fill="FFFF00"/>
            <w:vAlign w:val="center"/>
          </w:tcPr>
          <w:p w:rsidR="007D64A0" w:rsidRPr="00206F59" w:rsidRDefault="007D64A0" w:rsidP="002F0DE8">
            <w:pPr>
              <w:spacing w:after="0" w:line="240" w:lineRule="auto"/>
              <w:rPr>
                <w:rFonts w:ascii="Times New Roman" w:hAnsi="Times New Roman"/>
                <w:sz w:val="16"/>
                <w:szCs w:val="16"/>
              </w:rPr>
            </w:pPr>
            <w:r>
              <w:rPr>
                <w:rFonts w:ascii="Times New Roman" w:hAnsi="Times New Roman"/>
                <w:sz w:val="16"/>
                <w:szCs w:val="16"/>
              </w:rPr>
              <w:t>23</w:t>
            </w:r>
          </w:p>
        </w:tc>
        <w:tc>
          <w:tcPr>
            <w:tcW w:w="4111" w:type="dxa"/>
            <w:vAlign w:val="center"/>
          </w:tcPr>
          <w:p w:rsidR="007D64A0" w:rsidRPr="00206F59" w:rsidRDefault="007D64A0" w:rsidP="002F0DE8">
            <w:pPr>
              <w:spacing w:after="0" w:line="240" w:lineRule="auto"/>
              <w:rPr>
                <w:rFonts w:ascii="Times New Roman" w:hAnsi="Times New Roman"/>
                <w:sz w:val="16"/>
                <w:szCs w:val="16"/>
              </w:rPr>
            </w:pPr>
            <w:r w:rsidRPr="00206F59">
              <w:rPr>
                <w:rFonts w:ascii="Times New Roman" w:hAnsi="Times New Roman"/>
                <w:sz w:val="16"/>
                <w:szCs w:val="16"/>
              </w:rPr>
              <w:t>Port des EPI (casque, lunettes de protection, chaussures de sécurité)</w:t>
            </w:r>
          </w:p>
          <w:p w:rsidR="007D64A0" w:rsidRPr="00206F59" w:rsidRDefault="007D64A0" w:rsidP="002F0DE8">
            <w:pPr>
              <w:spacing w:after="0" w:line="240" w:lineRule="auto"/>
              <w:rPr>
                <w:rFonts w:ascii="Times New Roman" w:hAnsi="Times New Roman"/>
                <w:sz w:val="16"/>
                <w:szCs w:val="16"/>
              </w:rPr>
            </w:pPr>
            <w:r w:rsidRPr="00206F59">
              <w:rPr>
                <w:rFonts w:ascii="Times New Roman" w:hAnsi="Times New Roman"/>
                <w:sz w:val="16"/>
                <w:szCs w:val="16"/>
              </w:rPr>
              <w:t>Contrôler les installations et engins susceptibles d’être source de chutes d’objets</w:t>
            </w:r>
          </w:p>
          <w:p w:rsidR="007D64A0" w:rsidRPr="00206F59" w:rsidRDefault="007D64A0" w:rsidP="002F0DE8">
            <w:pPr>
              <w:spacing w:after="0" w:line="240" w:lineRule="auto"/>
              <w:rPr>
                <w:rFonts w:ascii="Times New Roman" w:hAnsi="Times New Roman"/>
                <w:sz w:val="16"/>
                <w:szCs w:val="16"/>
              </w:rPr>
            </w:pPr>
            <w:r w:rsidRPr="00206F59">
              <w:rPr>
                <w:rFonts w:ascii="Times New Roman" w:hAnsi="Times New Roman"/>
                <w:sz w:val="16"/>
                <w:szCs w:val="16"/>
              </w:rPr>
              <w:t>Limiter la hauteur des stockages</w:t>
            </w:r>
          </w:p>
          <w:p w:rsidR="007D64A0" w:rsidRPr="00206F59" w:rsidRDefault="007D64A0" w:rsidP="002F0DE8">
            <w:pPr>
              <w:spacing w:after="0" w:line="240" w:lineRule="auto"/>
              <w:rPr>
                <w:rFonts w:ascii="Times New Roman" w:hAnsi="Times New Roman"/>
                <w:sz w:val="16"/>
                <w:szCs w:val="16"/>
              </w:rPr>
            </w:pPr>
            <w:r w:rsidRPr="00206F59">
              <w:rPr>
                <w:rFonts w:ascii="Times New Roman" w:hAnsi="Times New Roman"/>
                <w:sz w:val="16"/>
                <w:szCs w:val="16"/>
              </w:rPr>
              <w:t>Installer des protections pour retenir les chutes d’objets</w:t>
            </w:r>
          </w:p>
        </w:tc>
        <w:tc>
          <w:tcPr>
            <w:tcW w:w="709" w:type="dxa"/>
            <w:vAlign w:val="center"/>
          </w:tcPr>
          <w:p w:rsidR="007D64A0" w:rsidRPr="00206F59" w:rsidRDefault="007D64A0" w:rsidP="002F0DE8">
            <w:pPr>
              <w:spacing w:after="0" w:line="240" w:lineRule="auto"/>
              <w:rPr>
                <w:rFonts w:ascii="Times New Roman" w:hAnsi="Times New Roman"/>
                <w:sz w:val="16"/>
                <w:szCs w:val="16"/>
              </w:rPr>
            </w:pPr>
            <w:r w:rsidRPr="00206F59">
              <w:rPr>
                <w:rFonts w:ascii="Times New Roman" w:hAnsi="Times New Roman"/>
                <w:sz w:val="16"/>
                <w:szCs w:val="16"/>
              </w:rPr>
              <w:t>3</w:t>
            </w:r>
          </w:p>
        </w:tc>
        <w:tc>
          <w:tcPr>
            <w:tcW w:w="709" w:type="dxa"/>
            <w:vAlign w:val="center"/>
          </w:tcPr>
          <w:p w:rsidR="007D64A0" w:rsidRPr="00206F59" w:rsidRDefault="007D64A0" w:rsidP="002F0DE8">
            <w:pPr>
              <w:spacing w:after="0" w:line="240" w:lineRule="auto"/>
              <w:rPr>
                <w:rFonts w:ascii="Times New Roman" w:hAnsi="Times New Roman"/>
                <w:sz w:val="16"/>
                <w:szCs w:val="16"/>
              </w:rPr>
            </w:pPr>
            <w:r w:rsidRPr="00206F59">
              <w:rPr>
                <w:rFonts w:ascii="Times New Roman" w:hAnsi="Times New Roman"/>
                <w:sz w:val="16"/>
                <w:szCs w:val="16"/>
              </w:rPr>
              <w:t>2</w:t>
            </w:r>
          </w:p>
        </w:tc>
        <w:tc>
          <w:tcPr>
            <w:tcW w:w="708" w:type="dxa"/>
            <w:shd w:val="clear" w:color="auto" w:fill="FFFF00"/>
            <w:vAlign w:val="center"/>
          </w:tcPr>
          <w:p w:rsidR="007D64A0" w:rsidRPr="00206F59" w:rsidRDefault="007D64A0" w:rsidP="002F0DE8">
            <w:pPr>
              <w:spacing w:after="0" w:line="240" w:lineRule="auto"/>
              <w:rPr>
                <w:rFonts w:ascii="Times New Roman" w:hAnsi="Times New Roman"/>
                <w:sz w:val="16"/>
                <w:szCs w:val="16"/>
              </w:rPr>
            </w:pPr>
            <w:r w:rsidRPr="00206F59">
              <w:rPr>
                <w:rFonts w:ascii="Times New Roman" w:hAnsi="Times New Roman"/>
                <w:sz w:val="16"/>
                <w:szCs w:val="16"/>
              </w:rPr>
              <w:t>32</w:t>
            </w:r>
          </w:p>
        </w:tc>
        <w:tc>
          <w:tcPr>
            <w:tcW w:w="851" w:type="dxa"/>
            <w:vAlign w:val="center"/>
          </w:tcPr>
          <w:p w:rsidR="007D64A0" w:rsidRPr="00206F59" w:rsidRDefault="007D64A0" w:rsidP="002F0DE8">
            <w:pPr>
              <w:spacing w:after="0" w:line="240" w:lineRule="auto"/>
              <w:rPr>
                <w:rFonts w:ascii="Times New Roman" w:hAnsi="Times New Roman"/>
                <w:sz w:val="16"/>
                <w:szCs w:val="16"/>
              </w:rPr>
            </w:pPr>
            <w:r w:rsidRPr="00206F59">
              <w:rPr>
                <w:rFonts w:ascii="Times New Roman" w:hAnsi="Times New Roman"/>
                <w:sz w:val="16"/>
                <w:szCs w:val="16"/>
              </w:rPr>
              <w:t>Fatigue</w:t>
            </w:r>
          </w:p>
        </w:tc>
      </w:tr>
      <w:tr w:rsidR="007D64A0" w:rsidRPr="00206F59" w:rsidTr="002F0DE8">
        <w:trPr>
          <w:trHeight w:val="350"/>
        </w:trPr>
        <w:tc>
          <w:tcPr>
            <w:tcW w:w="879" w:type="dxa"/>
            <w:vMerge/>
            <w:vAlign w:val="center"/>
          </w:tcPr>
          <w:p w:rsidR="007D64A0" w:rsidRDefault="007D64A0" w:rsidP="002F0DE8">
            <w:pPr>
              <w:spacing w:after="0" w:line="240" w:lineRule="auto"/>
              <w:jc w:val="center"/>
              <w:rPr>
                <w:rFonts w:ascii="Times New Roman" w:hAnsi="Times New Roman"/>
                <w:sz w:val="16"/>
                <w:szCs w:val="16"/>
              </w:rPr>
            </w:pPr>
          </w:p>
        </w:tc>
        <w:tc>
          <w:tcPr>
            <w:tcW w:w="993" w:type="dxa"/>
            <w:vMerge/>
          </w:tcPr>
          <w:p w:rsidR="007D64A0" w:rsidRDefault="007D64A0" w:rsidP="002F0DE8">
            <w:pPr>
              <w:spacing w:after="0" w:line="240" w:lineRule="auto"/>
              <w:rPr>
                <w:rFonts w:ascii="Times New Roman" w:hAnsi="Times New Roman"/>
                <w:sz w:val="16"/>
                <w:szCs w:val="16"/>
              </w:rPr>
            </w:pPr>
          </w:p>
        </w:tc>
        <w:tc>
          <w:tcPr>
            <w:tcW w:w="1276" w:type="dxa"/>
            <w:vAlign w:val="center"/>
          </w:tcPr>
          <w:p w:rsidR="007D64A0" w:rsidRDefault="007D64A0" w:rsidP="002F0DE8">
            <w:pPr>
              <w:spacing w:after="0" w:line="240" w:lineRule="auto"/>
              <w:rPr>
                <w:rFonts w:ascii="Times New Roman" w:hAnsi="Times New Roman"/>
                <w:sz w:val="16"/>
                <w:szCs w:val="16"/>
              </w:rPr>
            </w:pPr>
            <w:r>
              <w:rPr>
                <w:rFonts w:ascii="Times New Roman" w:hAnsi="Times New Roman"/>
                <w:sz w:val="16"/>
                <w:szCs w:val="16"/>
              </w:rPr>
              <w:t>Risque d’inhalation de produit chimique</w:t>
            </w:r>
          </w:p>
        </w:tc>
        <w:tc>
          <w:tcPr>
            <w:tcW w:w="1134" w:type="dxa"/>
            <w:vAlign w:val="center"/>
          </w:tcPr>
          <w:p w:rsidR="007D64A0" w:rsidRPr="00206F59" w:rsidRDefault="007D64A0" w:rsidP="002F0DE8">
            <w:pPr>
              <w:spacing w:after="0" w:line="240" w:lineRule="auto"/>
              <w:rPr>
                <w:rFonts w:ascii="Times New Roman" w:hAnsi="Times New Roman"/>
                <w:sz w:val="16"/>
                <w:szCs w:val="16"/>
              </w:rPr>
            </w:pPr>
            <w:r>
              <w:rPr>
                <w:rFonts w:ascii="Times New Roman" w:hAnsi="Times New Roman"/>
                <w:sz w:val="16"/>
                <w:szCs w:val="16"/>
              </w:rPr>
              <w:t>Intoxication</w:t>
            </w:r>
          </w:p>
        </w:tc>
        <w:tc>
          <w:tcPr>
            <w:tcW w:w="1417" w:type="dxa"/>
            <w:vAlign w:val="center"/>
          </w:tcPr>
          <w:p w:rsidR="007D64A0" w:rsidRDefault="007D64A0" w:rsidP="002F0DE8">
            <w:pPr>
              <w:spacing w:after="0" w:line="240" w:lineRule="auto"/>
              <w:rPr>
                <w:rFonts w:ascii="Times New Roman" w:hAnsi="Times New Roman"/>
                <w:sz w:val="16"/>
                <w:szCs w:val="16"/>
              </w:rPr>
            </w:pPr>
            <w:r w:rsidRPr="00206F59">
              <w:rPr>
                <w:rFonts w:ascii="Times New Roman" w:hAnsi="Times New Roman"/>
                <w:sz w:val="16"/>
                <w:szCs w:val="16"/>
              </w:rPr>
              <w:t>Déshydratation</w:t>
            </w:r>
          </w:p>
          <w:p w:rsidR="007D64A0" w:rsidRDefault="007D64A0" w:rsidP="002F0DE8">
            <w:pPr>
              <w:spacing w:after="0" w:line="240" w:lineRule="auto"/>
              <w:rPr>
                <w:rFonts w:ascii="Times New Roman" w:hAnsi="Times New Roman"/>
                <w:sz w:val="16"/>
                <w:szCs w:val="16"/>
              </w:rPr>
            </w:pPr>
            <w:r>
              <w:rPr>
                <w:rFonts w:ascii="Times New Roman" w:hAnsi="Times New Roman"/>
                <w:sz w:val="16"/>
                <w:szCs w:val="16"/>
              </w:rPr>
              <w:t>Vomissement</w:t>
            </w:r>
          </w:p>
          <w:p w:rsidR="007D64A0" w:rsidRPr="00206F59" w:rsidRDefault="007D64A0" w:rsidP="002F0DE8">
            <w:pPr>
              <w:spacing w:after="0" w:line="240" w:lineRule="auto"/>
              <w:rPr>
                <w:rFonts w:ascii="Times New Roman" w:hAnsi="Times New Roman"/>
                <w:sz w:val="16"/>
                <w:szCs w:val="16"/>
              </w:rPr>
            </w:pPr>
            <w:r>
              <w:rPr>
                <w:rFonts w:ascii="Times New Roman" w:hAnsi="Times New Roman"/>
                <w:sz w:val="16"/>
                <w:szCs w:val="16"/>
              </w:rPr>
              <w:t>Douleur respiratoire et au ventre</w:t>
            </w:r>
          </w:p>
        </w:tc>
        <w:tc>
          <w:tcPr>
            <w:tcW w:w="709" w:type="dxa"/>
            <w:vAlign w:val="center"/>
          </w:tcPr>
          <w:p w:rsidR="007D64A0" w:rsidRPr="00206F59" w:rsidRDefault="007D64A0" w:rsidP="002F0DE8">
            <w:pPr>
              <w:spacing w:after="0" w:line="240" w:lineRule="auto"/>
              <w:rPr>
                <w:rFonts w:ascii="Times New Roman" w:hAnsi="Times New Roman"/>
                <w:sz w:val="16"/>
                <w:szCs w:val="16"/>
              </w:rPr>
            </w:pPr>
            <w:r>
              <w:rPr>
                <w:rFonts w:ascii="Times New Roman" w:hAnsi="Times New Roman"/>
                <w:sz w:val="16"/>
                <w:szCs w:val="16"/>
              </w:rPr>
              <w:t>2</w:t>
            </w:r>
          </w:p>
        </w:tc>
        <w:tc>
          <w:tcPr>
            <w:tcW w:w="709" w:type="dxa"/>
            <w:vAlign w:val="center"/>
          </w:tcPr>
          <w:p w:rsidR="007D64A0" w:rsidRPr="00206F59" w:rsidRDefault="007D64A0" w:rsidP="002F0DE8">
            <w:pPr>
              <w:spacing w:after="0" w:line="240" w:lineRule="auto"/>
              <w:rPr>
                <w:rFonts w:ascii="Times New Roman" w:hAnsi="Times New Roman"/>
                <w:sz w:val="16"/>
                <w:szCs w:val="16"/>
              </w:rPr>
            </w:pPr>
            <w:r w:rsidRPr="00206F59">
              <w:rPr>
                <w:rFonts w:ascii="Times New Roman" w:hAnsi="Times New Roman"/>
                <w:sz w:val="16"/>
                <w:szCs w:val="16"/>
              </w:rPr>
              <w:t>3</w:t>
            </w:r>
          </w:p>
        </w:tc>
        <w:tc>
          <w:tcPr>
            <w:tcW w:w="708" w:type="dxa"/>
            <w:shd w:val="clear" w:color="auto" w:fill="FFFF00"/>
            <w:vAlign w:val="center"/>
          </w:tcPr>
          <w:p w:rsidR="007D64A0" w:rsidRPr="00206F59" w:rsidRDefault="007D64A0" w:rsidP="002F0DE8">
            <w:pPr>
              <w:spacing w:after="0" w:line="240" w:lineRule="auto"/>
              <w:rPr>
                <w:rFonts w:ascii="Times New Roman" w:hAnsi="Times New Roman"/>
                <w:sz w:val="16"/>
                <w:szCs w:val="16"/>
              </w:rPr>
            </w:pPr>
            <w:r>
              <w:rPr>
                <w:rFonts w:ascii="Times New Roman" w:hAnsi="Times New Roman"/>
                <w:sz w:val="16"/>
                <w:szCs w:val="16"/>
              </w:rPr>
              <w:t>23</w:t>
            </w:r>
          </w:p>
        </w:tc>
        <w:tc>
          <w:tcPr>
            <w:tcW w:w="4111" w:type="dxa"/>
            <w:vAlign w:val="center"/>
          </w:tcPr>
          <w:p w:rsidR="007D64A0" w:rsidRPr="00206F59" w:rsidRDefault="007D64A0" w:rsidP="002F0DE8">
            <w:pPr>
              <w:spacing w:after="0" w:line="240" w:lineRule="auto"/>
              <w:rPr>
                <w:rFonts w:ascii="Times New Roman" w:hAnsi="Times New Roman"/>
                <w:sz w:val="16"/>
                <w:szCs w:val="16"/>
              </w:rPr>
            </w:pPr>
            <w:r w:rsidRPr="00206F59">
              <w:rPr>
                <w:rFonts w:ascii="Times New Roman" w:hAnsi="Times New Roman"/>
                <w:sz w:val="16"/>
                <w:szCs w:val="16"/>
              </w:rPr>
              <w:t>Port des EPI (casque, lunettes de protection, chaussures de sécurité)</w:t>
            </w:r>
          </w:p>
          <w:p w:rsidR="007D64A0" w:rsidRDefault="007D64A0" w:rsidP="002F0DE8">
            <w:pPr>
              <w:spacing w:after="0" w:line="240" w:lineRule="auto"/>
              <w:rPr>
                <w:rFonts w:ascii="Times New Roman" w:hAnsi="Times New Roman"/>
                <w:sz w:val="16"/>
                <w:szCs w:val="16"/>
              </w:rPr>
            </w:pPr>
            <w:r>
              <w:rPr>
                <w:rFonts w:ascii="Times New Roman" w:hAnsi="Times New Roman"/>
                <w:sz w:val="16"/>
                <w:szCs w:val="16"/>
              </w:rPr>
              <w:t>Veiller à utilisations des produits de laver et d’entretien des équipements</w:t>
            </w:r>
          </w:p>
          <w:p w:rsidR="007D64A0" w:rsidRPr="00206F59" w:rsidRDefault="007D64A0" w:rsidP="002F0DE8">
            <w:pPr>
              <w:spacing w:after="0" w:line="240" w:lineRule="auto"/>
              <w:rPr>
                <w:rFonts w:ascii="Times New Roman" w:hAnsi="Times New Roman"/>
                <w:sz w:val="16"/>
                <w:szCs w:val="16"/>
              </w:rPr>
            </w:pPr>
            <w:r>
              <w:rPr>
                <w:rFonts w:ascii="Times New Roman" w:hAnsi="Times New Roman"/>
                <w:sz w:val="16"/>
                <w:szCs w:val="16"/>
              </w:rPr>
              <w:t>Former le personnel à utilisation des produits d’entretien ;</w:t>
            </w:r>
          </w:p>
        </w:tc>
        <w:tc>
          <w:tcPr>
            <w:tcW w:w="709" w:type="dxa"/>
            <w:vAlign w:val="center"/>
          </w:tcPr>
          <w:p w:rsidR="007D64A0" w:rsidRPr="00206F59" w:rsidRDefault="007D64A0" w:rsidP="002F0DE8">
            <w:pPr>
              <w:spacing w:after="0" w:line="240" w:lineRule="auto"/>
              <w:rPr>
                <w:rFonts w:ascii="Times New Roman" w:hAnsi="Times New Roman"/>
                <w:sz w:val="16"/>
                <w:szCs w:val="16"/>
              </w:rPr>
            </w:pPr>
            <w:r w:rsidRPr="00206F59">
              <w:rPr>
                <w:rFonts w:ascii="Times New Roman" w:hAnsi="Times New Roman"/>
                <w:sz w:val="16"/>
                <w:szCs w:val="16"/>
              </w:rPr>
              <w:t>3</w:t>
            </w:r>
          </w:p>
        </w:tc>
        <w:tc>
          <w:tcPr>
            <w:tcW w:w="709" w:type="dxa"/>
            <w:vAlign w:val="center"/>
          </w:tcPr>
          <w:p w:rsidR="007D64A0" w:rsidRPr="00206F59" w:rsidRDefault="007D64A0" w:rsidP="002F0DE8">
            <w:pPr>
              <w:spacing w:after="0" w:line="240" w:lineRule="auto"/>
              <w:rPr>
                <w:rFonts w:ascii="Times New Roman" w:hAnsi="Times New Roman"/>
                <w:sz w:val="16"/>
                <w:szCs w:val="16"/>
              </w:rPr>
            </w:pPr>
            <w:r w:rsidRPr="00206F59">
              <w:rPr>
                <w:rFonts w:ascii="Times New Roman" w:hAnsi="Times New Roman"/>
                <w:sz w:val="16"/>
                <w:szCs w:val="16"/>
              </w:rPr>
              <w:t>2</w:t>
            </w:r>
          </w:p>
        </w:tc>
        <w:tc>
          <w:tcPr>
            <w:tcW w:w="708" w:type="dxa"/>
            <w:shd w:val="clear" w:color="auto" w:fill="FFFF00"/>
            <w:vAlign w:val="center"/>
          </w:tcPr>
          <w:p w:rsidR="007D64A0" w:rsidRPr="00206F59" w:rsidRDefault="007D64A0" w:rsidP="002F0DE8">
            <w:pPr>
              <w:spacing w:after="0" w:line="240" w:lineRule="auto"/>
              <w:rPr>
                <w:rFonts w:ascii="Times New Roman" w:hAnsi="Times New Roman"/>
                <w:sz w:val="16"/>
                <w:szCs w:val="16"/>
              </w:rPr>
            </w:pPr>
            <w:r w:rsidRPr="00206F59">
              <w:rPr>
                <w:rFonts w:ascii="Times New Roman" w:hAnsi="Times New Roman"/>
                <w:sz w:val="16"/>
                <w:szCs w:val="16"/>
              </w:rPr>
              <w:t>32</w:t>
            </w:r>
          </w:p>
        </w:tc>
        <w:tc>
          <w:tcPr>
            <w:tcW w:w="851" w:type="dxa"/>
            <w:vAlign w:val="center"/>
          </w:tcPr>
          <w:p w:rsidR="007D64A0" w:rsidRPr="00206F59" w:rsidRDefault="007D64A0" w:rsidP="007D64A0">
            <w:pPr>
              <w:spacing w:after="0" w:line="240" w:lineRule="auto"/>
              <w:rPr>
                <w:rFonts w:ascii="Times New Roman" w:hAnsi="Times New Roman"/>
                <w:sz w:val="16"/>
                <w:szCs w:val="16"/>
              </w:rPr>
            </w:pPr>
            <w:r w:rsidRPr="00206F59">
              <w:rPr>
                <w:rFonts w:ascii="Times New Roman" w:hAnsi="Times New Roman"/>
                <w:sz w:val="16"/>
                <w:szCs w:val="16"/>
              </w:rPr>
              <w:t>Fatigue</w:t>
            </w:r>
          </w:p>
        </w:tc>
      </w:tr>
      <w:tr w:rsidR="007D64A0" w:rsidRPr="00206F59" w:rsidTr="002F0DE8">
        <w:trPr>
          <w:trHeight w:val="350"/>
        </w:trPr>
        <w:tc>
          <w:tcPr>
            <w:tcW w:w="879" w:type="dxa"/>
            <w:vMerge/>
            <w:vAlign w:val="center"/>
          </w:tcPr>
          <w:p w:rsidR="007D64A0" w:rsidRPr="00206F59" w:rsidRDefault="007D64A0" w:rsidP="002F0DE8">
            <w:pPr>
              <w:spacing w:after="0" w:line="240" w:lineRule="auto"/>
              <w:jc w:val="center"/>
              <w:rPr>
                <w:rFonts w:ascii="Times New Roman" w:hAnsi="Times New Roman"/>
                <w:sz w:val="16"/>
                <w:szCs w:val="16"/>
              </w:rPr>
            </w:pPr>
          </w:p>
        </w:tc>
        <w:tc>
          <w:tcPr>
            <w:tcW w:w="993" w:type="dxa"/>
            <w:vMerge/>
          </w:tcPr>
          <w:p w:rsidR="007D64A0" w:rsidRPr="00206F59" w:rsidRDefault="007D64A0" w:rsidP="002F0DE8">
            <w:pPr>
              <w:spacing w:after="0" w:line="240" w:lineRule="auto"/>
              <w:rPr>
                <w:rFonts w:ascii="Times New Roman" w:hAnsi="Times New Roman"/>
                <w:sz w:val="16"/>
                <w:szCs w:val="16"/>
              </w:rPr>
            </w:pPr>
          </w:p>
        </w:tc>
        <w:tc>
          <w:tcPr>
            <w:tcW w:w="1276" w:type="dxa"/>
            <w:vAlign w:val="center"/>
          </w:tcPr>
          <w:p w:rsidR="007D64A0" w:rsidRPr="00206F59" w:rsidRDefault="007D64A0" w:rsidP="002F0DE8">
            <w:pPr>
              <w:spacing w:after="0" w:line="240" w:lineRule="auto"/>
              <w:rPr>
                <w:rFonts w:ascii="Times New Roman" w:hAnsi="Times New Roman"/>
                <w:sz w:val="16"/>
                <w:szCs w:val="16"/>
              </w:rPr>
            </w:pPr>
            <w:r w:rsidRPr="00206F59">
              <w:rPr>
                <w:rFonts w:ascii="Times New Roman" w:hAnsi="Times New Roman"/>
                <w:sz w:val="16"/>
                <w:szCs w:val="16"/>
              </w:rPr>
              <w:t>Risques</w:t>
            </w:r>
            <w:r>
              <w:rPr>
                <w:rFonts w:ascii="Times New Roman" w:hAnsi="Times New Roman"/>
                <w:sz w:val="16"/>
                <w:szCs w:val="16"/>
              </w:rPr>
              <w:t xml:space="preserve"> liés à</w:t>
            </w:r>
          </w:p>
          <w:p w:rsidR="007D64A0" w:rsidRPr="00206F59" w:rsidRDefault="007D64A0" w:rsidP="002F0DE8">
            <w:pPr>
              <w:spacing w:after="0" w:line="240" w:lineRule="auto"/>
              <w:rPr>
                <w:rFonts w:ascii="Times New Roman" w:hAnsi="Times New Roman"/>
                <w:sz w:val="16"/>
                <w:szCs w:val="16"/>
              </w:rPr>
            </w:pPr>
            <w:r>
              <w:rPr>
                <w:rFonts w:ascii="Times New Roman" w:hAnsi="Times New Roman"/>
                <w:sz w:val="16"/>
                <w:szCs w:val="16"/>
              </w:rPr>
              <w:t>Électricité (groupes électrogènes ou transformateurs)</w:t>
            </w:r>
          </w:p>
        </w:tc>
        <w:tc>
          <w:tcPr>
            <w:tcW w:w="1134" w:type="dxa"/>
            <w:vAlign w:val="center"/>
          </w:tcPr>
          <w:p w:rsidR="007D64A0" w:rsidRPr="00206F59" w:rsidRDefault="007D64A0" w:rsidP="002F0DE8">
            <w:pPr>
              <w:spacing w:after="0" w:line="240" w:lineRule="auto"/>
              <w:rPr>
                <w:rFonts w:ascii="Times New Roman" w:hAnsi="Times New Roman"/>
                <w:sz w:val="16"/>
                <w:szCs w:val="16"/>
              </w:rPr>
            </w:pPr>
            <w:r w:rsidRPr="00206F59">
              <w:rPr>
                <w:rFonts w:ascii="Times New Roman" w:hAnsi="Times New Roman"/>
                <w:sz w:val="16"/>
                <w:szCs w:val="16"/>
              </w:rPr>
              <w:t>Electrocution/Electrisation</w:t>
            </w:r>
          </w:p>
        </w:tc>
        <w:tc>
          <w:tcPr>
            <w:tcW w:w="1417" w:type="dxa"/>
            <w:vAlign w:val="center"/>
          </w:tcPr>
          <w:p w:rsidR="007D64A0" w:rsidRPr="00206F59" w:rsidRDefault="007D64A0" w:rsidP="002F0DE8">
            <w:pPr>
              <w:spacing w:after="0" w:line="240" w:lineRule="auto"/>
              <w:rPr>
                <w:rFonts w:ascii="Times New Roman" w:hAnsi="Times New Roman"/>
                <w:sz w:val="16"/>
                <w:szCs w:val="16"/>
              </w:rPr>
            </w:pPr>
            <w:r w:rsidRPr="00206F59">
              <w:rPr>
                <w:rFonts w:ascii="Times New Roman" w:hAnsi="Times New Roman"/>
                <w:sz w:val="16"/>
                <w:szCs w:val="16"/>
              </w:rPr>
              <w:t>Décès,</w:t>
            </w:r>
          </w:p>
          <w:p w:rsidR="007D64A0" w:rsidRPr="00206F59" w:rsidRDefault="007D64A0" w:rsidP="002F0DE8">
            <w:pPr>
              <w:spacing w:after="0" w:line="240" w:lineRule="auto"/>
              <w:rPr>
                <w:rFonts w:ascii="Times New Roman" w:hAnsi="Times New Roman"/>
                <w:sz w:val="16"/>
                <w:szCs w:val="16"/>
              </w:rPr>
            </w:pPr>
            <w:r w:rsidRPr="00206F59">
              <w:rPr>
                <w:rFonts w:ascii="Times New Roman" w:hAnsi="Times New Roman"/>
                <w:sz w:val="16"/>
                <w:szCs w:val="16"/>
              </w:rPr>
              <w:t>Brulures</w:t>
            </w:r>
          </w:p>
        </w:tc>
        <w:tc>
          <w:tcPr>
            <w:tcW w:w="709" w:type="dxa"/>
            <w:vAlign w:val="center"/>
          </w:tcPr>
          <w:p w:rsidR="007D64A0" w:rsidRPr="00206F59" w:rsidRDefault="007D64A0" w:rsidP="002F0DE8">
            <w:pPr>
              <w:spacing w:after="0" w:line="240" w:lineRule="auto"/>
              <w:rPr>
                <w:rFonts w:ascii="Times New Roman" w:hAnsi="Times New Roman"/>
                <w:sz w:val="16"/>
                <w:szCs w:val="16"/>
              </w:rPr>
            </w:pPr>
            <w:r w:rsidRPr="00206F59">
              <w:rPr>
                <w:rFonts w:ascii="Times New Roman" w:hAnsi="Times New Roman"/>
                <w:sz w:val="16"/>
                <w:szCs w:val="16"/>
              </w:rPr>
              <w:t>4</w:t>
            </w:r>
          </w:p>
        </w:tc>
        <w:tc>
          <w:tcPr>
            <w:tcW w:w="709" w:type="dxa"/>
            <w:vAlign w:val="center"/>
          </w:tcPr>
          <w:p w:rsidR="007D64A0" w:rsidRPr="00206F59" w:rsidRDefault="007D64A0" w:rsidP="002F0DE8">
            <w:pPr>
              <w:spacing w:after="0" w:line="240" w:lineRule="auto"/>
              <w:rPr>
                <w:rFonts w:ascii="Times New Roman" w:hAnsi="Times New Roman"/>
                <w:sz w:val="16"/>
                <w:szCs w:val="16"/>
              </w:rPr>
            </w:pPr>
            <w:r w:rsidRPr="00206F59">
              <w:rPr>
                <w:rFonts w:ascii="Times New Roman" w:hAnsi="Times New Roman"/>
                <w:sz w:val="16"/>
                <w:szCs w:val="16"/>
              </w:rPr>
              <w:t>3</w:t>
            </w:r>
          </w:p>
        </w:tc>
        <w:tc>
          <w:tcPr>
            <w:tcW w:w="708" w:type="dxa"/>
            <w:shd w:val="clear" w:color="auto" w:fill="FF0000"/>
            <w:vAlign w:val="center"/>
          </w:tcPr>
          <w:p w:rsidR="007D64A0" w:rsidRPr="00206F59" w:rsidRDefault="007D64A0" w:rsidP="002F0DE8">
            <w:pPr>
              <w:spacing w:after="0" w:line="240" w:lineRule="auto"/>
              <w:rPr>
                <w:rFonts w:ascii="Times New Roman" w:hAnsi="Times New Roman"/>
                <w:sz w:val="16"/>
                <w:szCs w:val="16"/>
              </w:rPr>
            </w:pPr>
            <w:r w:rsidRPr="00206F59">
              <w:rPr>
                <w:rFonts w:ascii="Times New Roman" w:hAnsi="Times New Roman"/>
                <w:sz w:val="16"/>
                <w:szCs w:val="16"/>
              </w:rPr>
              <w:t>43</w:t>
            </w:r>
          </w:p>
        </w:tc>
        <w:tc>
          <w:tcPr>
            <w:tcW w:w="4111" w:type="dxa"/>
            <w:vAlign w:val="center"/>
          </w:tcPr>
          <w:p w:rsidR="007D64A0" w:rsidRPr="00206F59" w:rsidRDefault="007D64A0" w:rsidP="002F0DE8">
            <w:pPr>
              <w:spacing w:after="0" w:line="240" w:lineRule="auto"/>
              <w:rPr>
                <w:rFonts w:ascii="Times New Roman" w:hAnsi="Times New Roman"/>
                <w:sz w:val="16"/>
                <w:szCs w:val="16"/>
              </w:rPr>
            </w:pPr>
            <w:r w:rsidRPr="00206F59">
              <w:rPr>
                <w:rFonts w:ascii="Times New Roman" w:hAnsi="Times New Roman"/>
                <w:sz w:val="16"/>
                <w:szCs w:val="16"/>
              </w:rPr>
              <w:t>Toute intervention doit être réalisée par du personnel ayant reçu une habilitation.</w:t>
            </w:r>
          </w:p>
          <w:p w:rsidR="007D64A0" w:rsidRPr="00206F59" w:rsidRDefault="007D64A0" w:rsidP="002F0DE8">
            <w:pPr>
              <w:spacing w:after="0" w:line="240" w:lineRule="auto"/>
              <w:rPr>
                <w:rFonts w:ascii="Times New Roman" w:hAnsi="Times New Roman"/>
                <w:sz w:val="16"/>
                <w:szCs w:val="16"/>
              </w:rPr>
            </w:pPr>
            <w:r w:rsidRPr="00206F59">
              <w:rPr>
                <w:rFonts w:ascii="Times New Roman" w:hAnsi="Times New Roman"/>
                <w:sz w:val="16"/>
                <w:szCs w:val="16"/>
              </w:rPr>
              <w:t>Faire réaliser et contrôler régulièrement les installations (électriques, appareils sous pression) par du personnel qualifié.</w:t>
            </w:r>
          </w:p>
          <w:p w:rsidR="007D64A0" w:rsidRPr="00206F59" w:rsidRDefault="007D64A0" w:rsidP="002F0DE8">
            <w:pPr>
              <w:spacing w:after="0" w:line="240" w:lineRule="auto"/>
              <w:rPr>
                <w:rFonts w:ascii="Times New Roman" w:hAnsi="Times New Roman"/>
                <w:sz w:val="16"/>
                <w:szCs w:val="16"/>
              </w:rPr>
            </w:pPr>
            <w:r w:rsidRPr="00206F59">
              <w:rPr>
                <w:rFonts w:ascii="Times New Roman" w:hAnsi="Times New Roman"/>
                <w:sz w:val="16"/>
                <w:szCs w:val="16"/>
              </w:rPr>
              <w:t>Former les salariés aux mesures à prendre en cas d’incendie.</w:t>
            </w:r>
          </w:p>
        </w:tc>
        <w:tc>
          <w:tcPr>
            <w:tcW w:w="709" w:type="dxa"/>
            <w:vAlign w:val="center"/>
          </w:tcPr>
          <w:p w:rsidR="007D64A0" w:rsidRPr="00206F59" w:rsidRDefault="007D64A0" w:rsidP="002F0DE8">
            <w:pPr>
              <w:spacing w:after="0" w:line="240" w:lineRule="auto"/>
              <w:rPr>
                <w:rFonts w:ascii="Times New Roman" w:hAnsi="Times New Roman"/>
                <w:sz w:val="16"/>
                <w:szCs w:val="16"/>
              </w:rPr>
            </w:pPr>
            <w:r w:rsidRPr="00206F59">
              <w:rPr>
                <w:rFonts w:ascii="Times New Roman" w:hAnsi="Times New Roman"/>
                <w:sz w:val="16"/>
                <w:szCs w:val="16"/>
              </w:rPr>
              <w:t>3</w:t>
            </w:r>
          </w:p>
        </w:tc>
        <w:tc>
          <w:tcPr>
            <w:tcW w:w="709" w:type="dxa"/>
            <w:vAlign w:val="center"/>
          </w:tcPr>
          <w:p w:rsidR="007D64A0" w:rsidRPr="00206F59" w:rsidRDefault="007D64A0" w:rsidP="002F0DE8">
            <w:pPr>
              <w:spacing w:after="0" w:line="240" w:lineRule="auto"/>
              <w:rPr>
                <w:rFonts w:ascii="Times New Roman" w:hAnsi="Times New Roman"/>
                <w:sz w:val="16"/>
                <w:szCs w:val="16"/>
              </w:rPr>
            </w:pPr>
            <w:r w:rsidRPr="00206F59">
              <w:rPr>
                <w:rFonts w:ascii="Times New Roman" w:hAnsi="Times New Roman"/>
                <w:sz w:val="16"/>
                <w:szCs w:val="16"/>
              </w:rPr>
              <w:t>2</w:t>
            </w:r>
          </w:p>
        </w:tc>
        <w:tc>
          <w:tcPr>
            <w:tcW w:w="708" w:type="dxa"/>
            <w:shd w:val="clear" w:color="auto" w:fill="FFFF00"/>
            <w:vAlign w:val="center"/>
          </w:tcPr>
          <w:p w:rsidR="007D64A0" w:rsidRPr="00206F59" w:rsidRDefault="007D64A0" w:rsidP="002F0DE8">
            <w:pPr>
              <w:spacing w:after="0" w:line="240" w:lineRule="auto"/>
              <w:rPr>
                <w:rFonts w:ascii="Times New Roman" w:hAnsi="Times New Roman"/>
                <w:sz w:val="16"/>
                <w:szCs w:val="16"/>
              </w:rPr>
            </w:pPr>
            <w:r w:rsidRPr="00206F59">
              <w:rPr>
                <w:rFonts w:ascii="Times New Roman" w:hAnsi="Times New Roman"/>
                <w:sz w:val="16"/>
                <w:szCs w:val="16"/>
              </w:rPr>
              <w:t>32</w:t>
            </w:r>
          </w:p>
        </w:tc>
        <w:tc>
          <w:tcPr>
            <w:tcW w:w="851" w:type="dxa"/>
            <w:vAlign w:val="center"/>
          </w:tcPr>
          <w:p w:rsidR="007D64A0" w:rsidRPr="00206F59" w:rsidRDefault="007D64A0" w:rsidP="002F0DE8">
            <w:pPr>
              <w:spacing w:after="0" w:line="240" w:lineRule="auto"/>
              <w:rPr>
                <w:rFonts w:ascii="Times New Roman" w:hAnsi="Times New Roman"/>
                <w:sz w:val="16"/>
                <w:szCs w:val="16"/>
              </w:rPr>
            </w:pPr>
            <w:r w:rsidRPr="00206F59">
              <w:rPr>
                <w:rFonts w:ascii="Times New Roman" w:hAnsi="Times New Roman"/>
                <w:sz w:val="16"/>
                <w:szCs w:val="16"/>
              </w:rPr>
              <w:t>Fatigue</w:t>
            </w:r>
          </w:p>
        </w:tc>
      </w:tr>
      <w:tr w:rsidR="007D64A0" w:rsidRPr="00AA45E9" w:rsidTr="00EC2325">
        <w:trPr>
          <w:trHeight w:val="350"/>
        </w:trPr>
        <w:tc>
          <w:tcPr>
            <w:tcW w:w="879" w:type="dxa"/>
            <w:vMerge/>
            <w:vAlign w:val="center"/>
          </w:tcPr>
          <w:p w:rsidR="007D64A0" w:rsidRPr="00AA45E9" w:rsidRDefault="007D64A0" w:rsidP="00EC2325">
            <w:pPr>
              <w:spacing w:after="0" w:line="240" w:lineRule="auto"/>
              <w:rPr>
                <w:rFonts w:ascii="Times New Roman" w:hAnsi="Times New Roman"/>
                <w:sz w:val="16"/>
                <w:szCs w:val="16"/>
              </w:rPr>
            </w:pPr>
          </w:p>
        </w:tc>
        <w:tc>
          <w:tcPr>
            <w:tcW w:w="993" w:type="dxa"/>
            <w:vMerge/>
          </w:tcPr>
          <w:p w:rsidR="007D64A0" w:rsidRPr="00AA45E9" w:rsidRDefault="007D64A0" w:rsidP="00EC2325">
            <w:pPr>
              <w:spacing w:after="0" w:line="240" w:lineRule="auto"/>
              <w:rPr>
                <w:rFonts w:ascii="Times New Roman" w:hAnsi="Times New Roman"/>
                <w:sz w:val="16"/>
                <w:szCs w:val="16"/>
              </w:rPr>
            </w:pPr>
          </w:p>
        </w:tc>
        <w:tc>
          <w:tcPr>
            <w:tcW w:w="1276" w:type="dxa"/>
            <w:vAlign w:val="center"/>
          </w:tcPr>
          <w:p w:rsidR="007D64A0" w:rsidRPr="00AA45E9" w:rsidRDefault="007D64A0" w:rsidP="00EC2325">
            <w:pPr>
              <w:spacing w:after="0" w:line="240" w:lineRule="auto"/>
              <w:rPr>
                <w:rFonts w:ascii="Times New Roman" w:hAnsi="Times New Roman"/>
                <w:sz w:val="16"/>
                <w:szCs w:val="16"/>
              </w:rPr>
            </w:pPr>
            <w:r w:rsidRPr="00AA45E9">
              <w:rPr>
                <w:rFonts w:ascii="Times New Roman" w:hAnsi="Times New Roman"/>
                <w:sz w:val="16"/>
                <w:szCs w:val="16"/>
              </w:rPr>
              <w:t>Risques liés aux chutes : de hauteur,</w:t>
            </w:r>
          </w:p>
          <w:p w:rsidR="007D64A0" w:rsidRPr="00AA45E9" w:rsidRDefault="007D64A0" w:rsidP="00EC2325">
            <w:pPr>
              <w:spacing w:after="0" w:line="240" w:lineRule="auto"/>
              <w:rPr>
                <w:rFonts w:ascii="Times New Roman" w:hAnsi="Times New Roman"/>
                <w:sz w:val="16"/>
                <w:szCs w:val="16"/>
              </w:rPr>
            </w:pPr>
          </w:p>
        </w:tc>
        <w:tc>
          <w:tcPr>
            <w:tcW w:w="1134" w:type="dxa"/>
            <w:vAlign w:val="center"/>
          </w:tcPr>
          <w:p w:rsidR="007D64A0" w:rsidRDefault="007D64A0" w:rsidP="00EC2325">
            <w:pPr>
              <w:spacing w:after="0" w:line="240" w:lineRule="auto"/>
              <w:rPr>
                <w:rFonts w:ascii="Times New Roman" w:hAnsi="Times New Roman"/>
                <w:sz w:val="16"/>
                <w:szCs w:val="16"/>
              </w:rPr>
            </w:pPr>
            <w:r w:rsidRPr="00AA45E9">
              <w:rPr>
                <w:rFonts w:ascii="Times New Roman" w:hAnsi="Times New Roman"/>
                <w:sz w:val="16"/>
                <w:szCs w:val="16"/>
              </w:rPr>
              <w:t>Blessures,</w:t>
            </w:r>
          </w:p>
          <w:p w:rsidR="007D64A0" w:rsidRPr="00AA45E9" w:rsidRDefault="007D64A0" w:rsidP="00EC2325">
            <w:pPr>
              <w:spacing w:after="0" w:line="240" w:lineRule="auto"/>
              <w:rPr>
                <w:rFonts w:ascii="Times New Roman" w:hAnsi="Times New Roman"/>
                <w:sz w:val="16"/>
                <w:szCs w:val="16"/>
              </w:rPr>
            </w:pPr>
          </w:p>
          <w:p w:rsidR="007D64A0" w:rsidRPr="00AA45E9" w:rsidRDefault="007D64A0" w:rsidP="00EC2325">
            <w:pPr>
              <w:spacing w:after="0" w:line="240" w:lineRule="auto"/>
              <w:rPr>
                <w:rFonts w:ascii="Times New Roman" w:hAnsi="Times New Roman"/>
                <w:sz w:val="16"/>
                <w:szCs w:val="16"/>
              </w:rPr>
            </w:pPr>
          </w:p>
        </w:tc>
        <w:tc>
          <w:tcPr>
            <w:tcW w:w="1417" w:type="dxa"/>
            <w:vAlign w:val="center"/>
          </w:tcPr>
          <w:p w:rsidR="007D64A0" w:rsidRDefault="007D64A0" w:rsidP="00EC2325">
            <w:pPr>
              <w:spacing w:after="0" w:line="240" w:lineRule="auto"/>
              <w:rPr>
                <w:rFonts w:ascii="Times New Roman" w:hAnsi="Times New Roman"/>
                <w:sz w:val="16"/>
                <w:szCs w:val="16"/>
              </w:rPr>
            </w:pPr>
            <w:r w:rsidRPr="00AA45E9">
              <w:rPr>
                <w:rFonts w:ascii="Times New Roman" w:hAnsi="Times New Roman"/>
                <w:sz w:val="16"/>
                <w:szCs w:val="16"/>
              </w:rPr>
              <w:t>Fractures</w:t>
            </w:r>
            <w:r>
              <w:rPr>
                <w:rFonts w:ascii="Times New Roman" w:hAnsi="Times New Roman"/>
                <w:sz w:val="16"/>
                <w:szCs w:val="16"/>
              </w:rPr>
              <w:t>,</w:t>
            </w:r>
          </w:p>
          <w:p w:rsidR="007D64A0" w:rsidRPr="00AA45E9" w:rsidRDefault="007D64A0" w:rsidP="00EC2325">
            <w:pPr>
              <w:spacing w:after="0" w:line="240" w:lineRule="auto"/>
              <w:rPr>
                <w:rFonts w:ascii="Times New Roman" w:hAnsi="Times New Roman"/>
                <w:sz w:val="16"/>
                <w:szCs w:val="16"/>
              </w:rPr>
            </w:pPr>
            <w:r>
              <w:rPr>
                <w:rFonts w:ascii="Times New Roman" w:hAnsi="Times New Roman"/>
                <w:sz w:val="16"/>
                <w:szCs w:val="16"/>
              </w:rPr>
              <w:t>Décès</w:t>
            </w:r>
          </w:p>
        </w:tc>
        <w:tc>
          <w:tcPr>
            <w:tcW w:w="709" w:type="dxa"/>
            <w:vAlign w:val="center"/>
          </w:tcPr>
          <w:p w:rsidR="007D64A0" w:rsidRPr="00AA45E9" w:rsidRDefault="007D64A0" w:rsidP="00EC2325">
            <w:pPr>
              <w:spacing w:after="0" w:line="240" w:lineRule="auto"/>
              <w:rPr>
                <w:rFonts w:ascii="Times New Roman" w:hAnsi="Times New Roman"/>
                <w:sz w:val="16"/>
                <w:szCs w:val="16"/>
              </w:rPr>
            </w:pPr>
            <w:r w:rsidRPr="00AA45E9">
              <w:rPr>
                <w:rFonts w:ascii="Times New Roman" w:hAnsi="Times New Roman"/>
                <w:sz w:val="16"/>
                <w:szCs w:val="16"/>
              </w:rPr>
              <w:t>2</w:t>
            </w:r>
          </w:p>
        </w:tc>
        <w:tc>
          <w:tcPr>
            <w:tcW w:w="709" w:type="dxa"/>
            <w:vAlign w:val="center"/>
          </w:tcPr>
          <w:p w:rsidR="007D64A0" w:rsidRPr="00AA45E9" w:rsidRDefault="007D64A0" w:rsidP="00EC2325">
            <w:pPr>
              <w:spacing w:after="0" w:line="240" w:lineRule="auto"/>
              <w:rPr>
                <w:rFonts w:ascii="Times New Roman" w:hAnsi="Times New Roman"/>
                <w:sz w:val="16"/>
                <w:szCs w:val="16"/>
              </w:rPr>
            </w:pPr>
            <w:r w:rsidRPr="00AA45E9">
              <w:rPr>
                <w:rFonts w:ascii="Times New Roman" w:hAnsi="Times New Roman"/>
                <w:sz w:val="16"/>
                <w:szCs w:val="16"/>
              </w:rPr>
              <w:t>3</w:t>
            </w:r>
          </w:p>
        </w:tc>
        <w:tc>
          <w:tcPr>
            <w:tcW w:w="708" w:type="dxa"/>
            <w:shd w:val="clear" w:color="auto" w:fill="FFFF00"/>
            <w:vAlign w:val="center"/>
          </w:tcPr>
          <w:p w:rsidR="007D64A0" w:rsidRPr="00AA45E9" w:rsidRDefault="007D64A0" w:rsidP="00EC2325">
            <w:pPr>
              <w:spacing w:after="0" w:line="240" w:lineRule="auto"/>
              <w:rPr>
                <w:rFonts w:ascii="Times New Roman" w:hAnsi="Times New Roman"/>
                <w:sz w:val="16"/>
                <w:szCs w:val="16"/>
              </w:rPr>
            </w:pPr>
            <w:r w:rsidRPr="00AA45E9">
              <w:rPr>
                <w:rFonts w:ascii="Times New Roman" w:hAnsi="Times New Roman"/>
                <w:sz w:val="16"/>
                <w:szCs w:val="16"/>
              </w:rPr>
              <w:t>23</w:t>
            </w:r>
          </w:p>
        </w:tc>
        <w:tc>
          <w:tcPr>
            <w:tcW w:w="4111" w:type="dxa"/>
            <w:vAlign w:val="center"/>
          </w:tcPr>
          <w:p w:rsidR="007D64A0" w:rsidRPr="00AA45E9" w:rsidRDefault="007D64A0" w:rsidP="00EC2325">
            <w:pPr>
              <w:spacing w:after="0" w:line="240" w:lineRule="auto"/>
              <w:rPr>
                <w:rFonts w:ascii="Times New Roman" w:hAnsi="Times New Roman"/>
                <w:sz w:val="16"/>
                <w:szCs w:val="16"/>
              </w:rPr>
            </w:pPr>
            <w:r w:rsidRPr="00AA45E9">
              <w:rPr>
                <w:rFonts w:ascii="Times New Roman" w:hAnsi="Times New Roman"/>
                <w:sz w:val="16"/>
                <w:szCs w:val="16"/>
              </w:rPr>
              <w:t>Baliser et signaler les zones glissantes</w:t>
            </w:r>
          </w:p>
          <w:p w:rsidR="007D64A0" w:rsidRDefault="007D64A0" w:rsidP="00EC2325">
            <w:pPr>
              <w:spacing w:after="0" w:line="240" w:lineRule="auto"/>
              <w:rPr>
                <w:rFonts w:ascii="Times New Roman" w:hAnsi="Times New Roman"/>
                <w:sz w:val="16"/>
                <w:szCs w:val="16"/>
              </w:rPr>
            </w:pPr>
            <w:r w:rsidRPr="00AA45E9">
              <w:rPr>
                <w:rFonts w:ascii="Times New Roman" w:hAnsi="Times New Roman"/>
                <w:sz w:val="16"/>
                <w:szCs w:val="16"/>
              </w:rPr>
              <w:t>Port de chaussures antidérapantes</w:t>
            </w:r>
          </w:p>
          <w:p w:rsidR="007D64A0" w:rsidRDefault="007D64A0" w:rsidP="00EC2325">
            <w:pPr>
              <w:spacing w:after="0" w:line="240" w:lineRule="auto"/>
              <w:rPr>
                <w:rFonts w:ascii="Times New Roman" w:hAnsi="Times New Roman"/>
                <w:sz w:val="16"/>
                <w:szCs w:val="16"/>
              </w:rPr>
            </w:pPr>
            <w:r>
              <w:rPr>
                <w:rFonts w:ascii="Times New Roman" w:hAnsi="Times New Roman"/>
                <w:sz w:val="16"/>
                <w:szCs w:val="16"/>
              </w:rPr>
              <w:t xml:space="preserve">Vérifier les échelles régulièrement </w:t>
            </w:r>
          </w:p>
          <w:p w:rsidR="007D64A0" w:rsidRPr="00AA45E9" w:rsidRDefault="007D64A0" w:rsidP="00EC2325">
            <w:pPr>
              <w:spacing w:after="0" w:line="240" w:lineRule="auto"/>
              <w:rPr>
                <w:rFonts w:ascii="Times New Roman" w:hAnsi="Times New Roman"/>
                <w:sz w:val="16"/>
                <w:szCs w:val="16"/>
              </w:rPr>
            </w:pPr>
            <w:r w:rsidRPr="00206F59">
              <w:rPr>
                <w:rFonts w:ascii="Times New Roman" w:hAnsi="Times New Roman"/>
                <w:sz w:val="16"/>
                <w:szCs w:val="16"/>
              </w:rPr>
              <w:t>Port des EPI (casque, lunettes de prot</w:t>
            </w:r>
            <w:r>
              <w:rPr>
                <w:rFonts w:ascii="Times New Roman" w:hAnsi="Times New Roman"/>
                <w:sz w:val="16"/>
                <w:szCs w:val="16"/>
              </w:rPr>
              <w:t>ection, chaussures de sécurité)</w:t>
            </w:r>
          </w:p>
        </w:tc>
        <w:tc>
          <w:tcPr>
            <w:tcW w:w="709" w:type="dxa"/>
            <w:vAlign w:val="center"/>
          </w:tcPr>
          <w:p w:rsidR="007D64A0" w:rsidRPr="00AA45E9" w:rsidRDefault="007D64A0" w:rsidP="00EC2325">
            <w:pPr>
              <w:spacing w:after="0" w:line="240" w:lineRule="auto"/>
              <w:rPr>
                <w:rFonts w:ascii="Times New Roman" w:hAnsi="Times New Roman"/>
                <w:sz w:val="16"/>
                <w:szCs w:val="16"/>
              </w:rPr>
            </w:pPr>
            <w:r w:rsidRPr="00AA45E9">
              <w:rPr>
                <w:rFonts w:ascii="Times New Roman" w:hAnsi="Times New Roman"/>
                <w:sz w:val="16"/>
                <w:szCs w:val="16"/>
              </w:rPr>
              <w:t>1</w:t>
            </w:r>
          </w:p>
        </w:tc>
        <w:tc>
          <w:tcPr>
            <w:tcW w:w="709" w:type="dxa"/>
            <w:vAlign w:val="center"/>
          </w:tcPr>
          <w:p w:rsidR="007D64A0" w:rsidRPr="00AA45E9" w:rsidRDefault="007D64A0" w:rsidP="00EC2325">
            <w:pPr>
              <w:spacing w:after="0" w:line="240" w:lineRule="auto"/>
              <w:rPr>
                <w:rFonts w:ascii="Times New Roman" w:hAnsi="Times New Roman"/>
                <w:sz w:val="16"/>
                <w:szCs w:val="16"/>
              </w:rPr>
            </w:pPr>
            <w:r w:rsidRPr="00AA45E9">
              <w:rPr>
                <w:rFonts w:ascii="Times New Roman" w:hAnsi="Times New Roman"/>
                <w:sz w:val="16"/>
                <w:szCs w:val="16"/>
              </w:rPr>
              <w:t>2</w:t>
            </w:r>
          </w:p>
        </w:tc>
        <w:tc>
          <w:tcPr>
            <w:tcW w:w="708" w:type="dxa"/>
            <w:shd w:val="clear" w:color="auto" w:fill="FFFF00"/>
            <w:vAlign w:val="center"/>
          </w:tcPr>
          <w:p w:rsidR="007D64A0" w:rsidRPr="00AA45E9" w:rsidRDefault="007D64A0" w:rsidP="00EC2325">
            <w:pPr>
              <w:spacing w:after="0" w:line="240" w:lineRule="auto"/>
              <w:rPr>
                <w:rFonts w:ascii="Times New Roman" w:hAnsi="Times New Roman"/>
                <w:sz w:val="16"/>
                <w:szCs w:val="16"/>
              </w:rPr>
            </w:pPr>
            <w:r w:rsidRPr="00AA45E9">
              <w:rPr>
                <w:rFonts w:ascii="Times New Roman" w:hAnsi="Times New Roman"/>
                <w:sz w:val="16"/>
                <w:szCs w:val="16"/>
              </w:rPr>
              <w:t>12</w:t>
            </w:r>
          </w:p>
        </w:tc>
        <w:tc>
          <w:tcPr>
            <w:tcW w:w="851" w:type="dxa"/>
            <w:vAlign w:val="center"/>
          </w:tcPr>
          <w:p w:rsidR="007D64A0" w:rsidRPr="00AA45E9" w:rsidRDefault="007D64A0" w:rsidP="00EC2325">
            <w:pPr>
              <w:spacing w:after="0" w:line="240" w:lineRule="auto"/>
              <w:rPr>
                <w:rFonts w:ascii="Times New Roman" w:hAnsi="Times New Roman"/>
                <w:sz w:val="16"/>
                <w:szCs w:val="16"/>
              </w:rPr>
            </w:pPr>
            <w:r w:rsidRPr="00206F59">
              <w:rPr>
                <w:rFonts w:ascii="Times New Roman" w:hAnsi="Times New Roman"/>
                <w:sz w:val="16"/>
                <w:szCs w:val="16"/>
              </w:rPr>
              <w:t>Fatigue</w:t>
            </w:r>
          </w:p>
        </w:tc>
      </w:tr>
    </w:tbl>
    <w:p w:rsidR="00764FFF" w:rsidRPr="003E743A" w:rsidRDefault="00764FFF" w:rsidP="00764FFF">
      <w:pPr>
        <w:tabs>
          <w:tab w:val="left" w:pos="1155"/>
        </w:tabs>
        <w:jc w:val="both"/>
        <w:rPr>
          <w:rFonts w:ascii="Times New Roman" w:hAnsi="Times New Roman"/>
          <w:b/>
          <w:u w:val="single"/>
          <w:lang w:bidi="en-US"/>
        </w:rPr>
      </w:pPr>
    </w:p>
    <w:p w:rsidR="00764FFF" w:rsidRPr="003E743A" w:rsidRDefault="00764FFF" w:rsidP="00764FFF">
      <w:pPr>
        <w:tabs>
          <w:tab w:val="left" w:pos="1155"/>
        </w:tabs>
        <w:jc w:val="both"/>
        <w:rPr>
          <w:rFonts w:ascii="Times New Roman" w:hAnsi="Times New Roman"/>
          <w:b/>
          <w:u w:val="single"/>
          <w:lang w:bidi="en-US"/>
        </w:rPr>
      </w:pPr>
    </w:p>
    <w:p w:rsidR="00764FFF" w:rsidRPr="003E743A" w:rsidRDefault="00764FFF" w:rsidP="00764FFF">
      <w:pPr>
        <w:tabs>
          <w:tab w:val="left" w:pos="1155"/>
        </w:tabs>
        <w:jc w:val="both"/>
        <w:rPr>
          <w:rFonts w:ascii="Times New Roman" w:hAnsi="Times New Roman"/>
          <w:b/>
          <w:u w:val="single"/>
          <w:lang w:bidi="en-US"/>
        </w:rPr>
        <w:sectPr w:rsidR="00764FFF" w:rsidRPr="003E743A" w:rsidSect="00764FFF">
          <w:pgSz w:w="15840" w:h="12240" w:orient="landscape"/>
          <w:pgMar w:top="1417" w:right="1417" w:bottom="1417" w:left="1417" w:header="720" w:footer="720" w:gutter="0"/>
          <w:cols w:space="720"/>
          <w:noEndnote/>
          <w:docGrid w:linePitch="299"/>
        </w:sectPr>
      </w:pPr>
    </w:p>
    <w:p w:rsidR="00764FFF" w:rsidRPr="0034305A" w:rsidRDefault="00764FFF" w:rsidP="00764FFF">
      <w:pPr>
        <w:pStyle w:val="Listecouleur-Accent11"/>
        <w:keepNext/>
        <w:spacing w:before="240" w:after="240"/>
        <w:ind w:left="450" w:hanging="450"/>
        <w:outlineLvl w:val="1"/>
        <w:rPr>
          <w:rFonts w:ascii="Times New Roman" w:hAnsi="Times New Roman"/>
          <w:b/>
          <w:sz w:val="24"/>
          <w:szCs w:val="24"/>
          <w:u w:val="single"/>
          <w:lang w:val="fr-FR" w:eastAsia="fr-FR"/>
        </w:rPr>
      </w:pPr>
      <w:bookmarkStart w:id="432" w:name="_Toc535396967"/>
      <w:bookmarkStart w:id="433" w:name="_Toc11158367"/>
      <w:bookmarkStart w:id="434" w:name="_Toc51072589"/>
      <w:r>
        <w:rPr>
          <w:rFonts w:ascii="Times New Roman" w:hAnsi="Times New Roman"/>
          <w:b/>
          <w:sz w:val="24"/>
          <w:szCs w:val="24"/>
          <w:u w:val="single"/>
          <w:lang w:val="fr-FR" w:eastAsia="fr-FR"/>
        </w:rPr>
        <w:lastRenderedPageBreak/>
        <w:t>7</w:t>
      </w:r>
      <w:r w:rsidRPr="0034305A">
        <w:rPr>
          <w:rFonts w:ascii="Times New Roman" w:hAnsi="Times New Roman"/>
          <w:b/>
          <w:sz w:val="24"/>
          <w:szCs w:val="24"/>
          <w:u w:val="single"/>
          <w:lang w:val="fr-FR" w:eastAsia="fr-FR"/>
        </w:rPr>
        <w:t>.3. ACCIDENTOLOGIE</w:t>
      </w:r>
      <w:bookmarkEnd w:id="432"/>
      <w:bookmarkEnd w:id="433"/>
      <w:bookmarkEnd w:id="434"/>
    </w:p>
    <w:p w:rsidR="00764FFF" w:rsidRPr="003E743A" w:rsidRDefault="00764FFF" w:rsidP="00820701">
      <w:pPr>
        <w:pStyle w:val="Cabealho3"/>
        <w:numPr>
          <w:ilvl w:val="0"/>
          <w:numId w:val="146"/>
        </w:numPr>
      </w:pPr>
      <w:r w:rsidRPr="003E743A">
        <w:t xml:space="preserve"> </w:t>
      </w:r>
      <w:r w:rsidRPr="003E743A">
        <w:tab/>
      </w:r>
      <w:bookmarkStart w:id="435" w:name="_Toc535396968"/>
      <w:bookmarkStart w:id="436" w:name="_Toc11158368"/>
      <w:bookmarkStart w:id="437" w:name="_Toc51072590"/>
      <w:r>
        <w:t>7.3</w:t>
      </w:r>
      <w:r w:rsidRPr="003E743A">
        <w:t>.1. Analyse de l’accidentologie</w:t>
      </w:r>
      <w:bookmarkEnd w:id="435"/>
      <w:bookmarkEnd w:id="436"/>
      <w:bookmarkEnd w:id="437"/>
    </w:p>
    <w:p w:rsidR="00764FFF" w:rsidRPr="0011050A" w:rsidRDefault="00764FFF" w:rsidP="00764FFF">
      <w:pPr>
        <w:spacing w:before="240" w:after="200" w:line="276" w:lineRule="auto"/>
        <w:ind w:left="-142"/>
        <w:jc w:val="both"/>
        <w:rPr>
          <w:rFonts w:ascii="Times New Roman" w:hAnsi="Times New Roman"/>
          <w:iCs/>
          <w:sz w:val="24"/>
          <w:szCs w:val="24"/>
        </w:rPr>
      </w:pPr>
      <w:r w:rsidRPr="0011050A">
        <w:rPr>
          <w:rFonts w:ascii="Times New Roman" w:hAnsi="Times New Roman"/>
          <w:iCs/>
          <w:sz w:val="24"/>
          <w:szCs w:val="24"/>
        </w:rPr>
        <w:t xml:space="preserve">L’étude des accidents survenus sur les installations similaires a pour objectif de préparer les analyses de risques liés à l’exploitation. Elle permet de cerner précisément les causes et conséquences des défaillances étudiées. </w:t>
      </w:r>
    </w:p>
    <w:p w:rsidR="00764FFF" w:rsidRPr="0011050A" w:rsidRDefault="00764FFF" w:rsidP="00764FFF">
      <w:pPr>
        <w:spacing w:before="240" w:after="200" w:line="276" w:lineRule="auto"/>
        <w:ind w:left="-142"/>
        <w:jc w:val="both"/>
        <w:rPr>
          <w:rFonts w:ascii="Times New Roman" w:hAnsi="Times New Roman"/>
          <w:iCs/>
          <w:sz w:val="24"/>
          <w:szCs w:val="24"/>
        </w:rPr>
      </w:pPr>
      <w:r w:rsidRPr="0011050A">
        <w:rPr>
          <w:rFonts w:ascii="Times New Roman" w:hAnsi="Times New Roman"/>
          <w:iCs/>
          <w:sz w:val="24"/>
          <w:szCs w:val="24"/>
        </w:rPr>
        <w:t xml:space="preserve">L’inventaire des accidents est mené à l’échelle internationale, car cela permet un plus grand champ d’observation, ce type de travaux de posage du câble étant relativement analogue dans le monde entier. Cette recherche est fondée sur la base de données ARIA du Bureau d’Analyse des Risques et des Pollutions Industrielles, rattaché au Service de l’Environnement industriel du Ministère de l’Écologie et du Développement Durable de la France. </w:t>
      </w:r>
    </w:p>
    <w:p w:rsidR="00764FFF" w:rsidRPr="0011050A" w:rsidRDefault="00764FFF" w:rsidP="00764FFF">
      <w:pPr>
        <w:spacing w:before="240" w:after="200" w:line="276" w:lineRule="auto"/>
        <w:ind w:left="-142"/>
        <w:jc w:val="both"/>
        <w:rPr>
          <w:rFonts w:ascii="Times New Roman" w:hAnsi="Times New Roman"/>
          <w:iCs/>
          <w:sz w:val="24"/>
          <w:szCs w:val="24"/>
        </w:rPr>
      </w:pPr>
      <w:r w:rsidRPr="0011050A">
        <w:rPr>
          <w:rFonts w:ascii="Times New Roman" w:hAnsi="Times New Roman"/>
          <w:iCs/>
          <w:sz w:val="24"/>
          <w:szCs w:val="24"/>
        </w:rPr>
        <w:t>L’analyse des accidents passés met en évidence :</w:t>
      </w:r>
    </w:p>
    <w:p w:rsidR="00764FFF" w:rsidRPr="003E743A" w:rsidRDefault="00764FFF" w:rsidP="00FA3FAE">
      <w:pPr>
        <w:pStyle w:val="Listecouleur-Accent11"/>
        <w:numPr>
          <w:ilvl w:val="0"/>
          <w:numId w:val="92"/>
        </w:numPr>
        <w:spacing w:after="160" w:line="259" w:lineRule="auto"/>
        <w:rPr>
          <w:rFonts w:ascii="Times New Roman" w:hAnsi="Times New Roman"/>
          <w:sz w:val="24"/>
          <w:szCs w:val="24"/>
          <w:lang w:val="fr-FR"/>
        </w:rPr>
      </w:pPr>
      <w:r w:rsidRPr="003E743A">
        <w:rPr>
          <w:rFonts w:ascii="Times New Roman" w:hAnsi="Times New Roman"/>
          <w:sz w:val="24"/>
          <w:szCs w:val="24"/>
          <w:lang w:val="fr-FR"/>
        </w:rPr>
        <w:t>La nature des événements pouvant conduire à la libération de potentiels de dangers ;</w:t>
      </w:r>
    </w:p>
    <w:p w:rsidR="00764FFF" w:rsidRPr="003E743A" w:rsidRDefault="00764FFF" w:rsidP="00FA3FAE">
      <w:pPr>
        <w:pStyle w:val="Listecouleur-Accent11"/>
        <w:numPr>
          <w:ilvl w:val="0"/>
          <w:numId w:val="92"/>
        </w:numPr>
        <w:spacing w:after="160" w:line="259" w:lineRule="auto"/>
        <w:rPr>
          <w:rFonts w:ascii="Times New Roman" w:hAnsi="Times New Roman"/>
          <w:sz w:val="24"/>
          <w:szCs w:val="24"/>
          <w:lang w:val="fr-FR"/>
        </w:rPr>
      </w:pPr>
      <w:r w:rsidRPr="003E743A">
        <w:rPr>
          <w:rFonts w:ascii="Times New Roman" w:hAnsi="Times New Roman"/>
          <w:sz w:val="24"/>
          <w:szCs w:val="24"/>
          <w:lang w:val="fr-FR"/>
        </w:rPr>
        <w:t>Les conséquences des événements redoutés ;</w:t>
      </w:r>
    </w:p>
    <w:p w:rsidR="00764FFF" w:rsidRPr="003E743A" w:rsidRDefault="00764FFF" w:rsidP="00FA3FAE">
      <w:pPr>
        <w:pStyle w:val="Listecouleur-Accent11"/>
        <w:numPr>
          <w:ilvl w:val="0"/>
          <w:numId w:val="92"/>
        </w:numPr>
        <w:spacing w:after="160" w:line="259" w:lineRule="auto"/>
        <w:rPr>
          <w:rFonts w:ascii="Times New Roman" w:hAnsi="Times New Roman"/>
          <w:sz w:val="24"/>
          <w:szCs w:val="24"/>
          <w:lang w:val="fr-FR"/>
        </w:rPr>
      </w:pPr>
      <w:r w:rsidRPr="003E743A">
        <w:rPr>
          <w:rFonts w:ascii="Times New Roman" w:hAnsi="Times New Roman"/>
          <w:sz w:val="24"/>
          <w:szCs w:val="24"/>
          <w:lang w:val="fr-FR"/>
        </w:rPr>
        <w:t>La pertinence des barrières de sécurité qui peuvent prévenir, détecter ou contrôler l’apparition des phénomènes dangereux ou en réduire les conséquences.</w:t>
      </w:r>
    </w:p>
    <w:p w:rsidR="00764FFF" w:rsidRDefault="00764FFF" w:rsidP="00764FFF">
      <w:pPr>
        <w:ind w:left="-284"/>
        <w:jc w:val="both"/>
        <w:rPr>
          <w:rFonts w:ascii="Times New Roman" w:hAnsi="Times New Roman"/>
        </w:rPr>
      </w:pPr>
      <w:r w:rsidRPr="003E743A">
        <w:rPr>
          <w:rFonts w:ascii="Times New Roman" w:hAnsi="Times New Roman"/>
        </w:rPr>
        <w:t>Les accidents recensé</w:t>
      </w:r>
      <w:r>
        <w:rPr>
          <w:rFonts w:ascii="Times New Roman" w:hAnsi="Times New Roman"/>
        </w:rPr>
        <w:t>s concernent les</w:t>
      </w:r>
      <w:r w:rsidRPr="003E743A">
        <w:rPr>
          <w:rFonts w:ascii="Times New Roman" w:hAnsi="Times New Roman"/>
        </w:rPr>
        <w:t xml:space="preserve"> activités </w:t>
      </w:r>
      <w:r w:rsidR="00CA2FF9">
        <w:rPr>
          <w:rFonts w:ascii="Times New Roman" w:hAnsi="Times New Roman"/>
        </w:rPr>
        <w:t xml:space="preserve">de réalisation et d’exploitation des réservoirs </w:t>
      </w:r>
      <w:r w:rsidRPr="003E743A">
        <w:rPr>
          <w:rFonts w:ascii="Times New Roman" w:hAnsi="Times New Roman"/>
        </w:rPr>
        <w:t>et des stocks de gasoil</w:t>
      </w:r>
      <w:r>
        <w:rPr>
          <w:rFonts w:ascii="Times New Roman" w:hAnsi="Times New Roman"/>
        </w:rPr>
        <w:t>, des dépôts entre autres ;</w:t>
      </w:r>
    </w:p>
    <w:p w:rsidR="00764FFF" w:rsidRPr="00C05CFC" w:rsidRDefault="00764FFF" w:rsidP="00764FFF">
      <w:pPr>
        <w:overflowPunct w:val="0"/>
        <w:autoSpaceDE w:val="0"/>
        <w:autoSpaceDN w:val="0"/>
        <w:adjustRightInd w:val="0"/>
        <w:spacing w:after="0" w:line="240" w:lineRule="auto"/>
        <w:ind w:right="-711"/>
        <w:jc w:val="center"/>
        <w:rPr>
          <w:rFonts w:ascii="Times New Roman" w:eastAsia="Times New Roman" w:hAnsi="Times New Roman"/>
          <w:b/>
          <w:bCs/>
          <w:sz w:val="20"/>
          <w:szCs w:val="20"/>
          <w:lang w:eastAsia="fr-FR"/>
        </w:rPr>
      </w:pPr>
      <w:bookmarkStart w:id="438" w:name="_Toc11158771"/>
      <w:bookmarkStart w:id="439" w:name="_Toc51074019"/>
      <w:r w:rsidRPr="00C05CFC">
        <w:rPr>
          <w:rFonts w:ascii="Times New Roman" w:eastAsia="Times New Roman" w:hAnsi="Times New Roman"/>
          <w:b/>
          <w:bCs/>
          <w:sz w:val="20"/>
          <w:szCs w:val="20"/>
          <w:lang w:eastAsia="fr-FR"/>
        </w:rPr>
        <w:t xml:space="preserve">Tableau </w:t>
      </w:r>
      <w:r w:rsidRPr="00C05CFC">
        <w:rPr>
          <w:rFonts w:ascii="Times New Roman" w:eastAsia="Times New Roman" w:hAnsi="Times New Roman"/>
          <w:b/>
          <w:bCs/>
          <w:sz w:val="20"/>
          <w:szCs w:val="20"/>
          <w:lang w:eastAsia="fr-FR"/>
        </w:rPr>
        <w:fldChar w:fldCharType="begin"/>
      </w:r>
      <w:r w:rsidRPr="00C05CFC">
        <w:rPr>
          <w:rFonts w:ascii="Times New Roman" w:eastAsia="Times New Roman" w:hAnsi="Times New Roman"/>
          <w:b/>
          <w:bCs/>
          <w:sz w:val="20"/>
          <w:szCs w:val="20"/>
          <w:lang w:eastAsia="fr-FR"/>
        </w:rPr>
        <w:instrText xml:space="preserve"> </w:instrText>
      </w:r>
      <w:r>
        <w:rPr>
          <w:rFonts w:ascii="Times New Roman" w:eastAsia="Times New Roman" w:hAnsi="Times New Roman"/>
          <w:b/>
          <w:bCs/>
          <w:sz w:val="20"/>
          <w:szCs w:val="20"/>
          <w:lang w:eastAsia="fr-FR"/>
        </w:rPr>
        <w:instrText>SEQ</w:instrText>
      </w:r>
      <w:r w:rsidRPr="00C05CFC">
        <w:rPr>
          <w:rFonts w:ascii="Times New Roman" w:eastAsia="Times New Roman" w:hAnsi="Times New Roman"/>
          <w:b/>
          <w:bCs/>
          <w:sz w:val="20"/>
          <w:szCs w:val="20"/>
          <w:lang w:eastAsia="fr-FR"/>
        </w:rPr>
        <w:instrText xml:space="preserve"> Tableau \* ARABIC </w:instrText>
      </w:r>
      <w:r w:rsidRPr="00C05CFC">
        <w:rPr>
          <w:rFonts w:ascii="Times New Roman" w:eastAsia="Times New Roman" w:hAnsi="Times New Roman"/>
          <w:b/>
          <w:bCs/>
          <w:sz w:val="20"/>
          <w:szCs w:val="20"/>
          <w:lang w:eastAsia="fr-FR"/>
        </w:rPr>
        <w:fldChar w:fldCharType="separate"/>
      </w:r>
      <w:r w:rsidR="00820701">
        <w:rPr>
          <w:rFonts w:ascii="Times New Roman" w:eastAsia="Times New Roman" w:hAnsi="Times New Roman"/>
          <w:b/>
          <w:bCs/>
          <w:noProof/>
          <w:sz w:val="20"/>
          <w:szCs w:val="20"/>
          <w:lang w:eastAsia="fr-FR"/>
        </w:rPr>
        <w:t>28</w:t>
      </w:r>
      <w:r w:rsidRPr="00C05CFC">
        <w:rPr>
          <w:rFonts w:ascii="Times New Roman" w:eastAsia="Times New Roman" w:hAnsi="Times New Roman"/>
          <w:b/>
          <w:bCs/>
          <w:sz w:val="20"/>
          <w:szCs w:val="20"/>
          <w:lang w:eastAsia="fr-FR"/>
        </w:rPr>
        <w:fldChar w:fldCharType="end"/>
      </w:r>
      <w:r w:rsidRPr="00C05CFC">
        <w:rPr>
          <w:rFonts w:ascii="Times New Roman" w:eastAsia="Times New Roman" w:hAnsi="Times New Roman"/>
          <w:b/>
          <w:bCs/>
          <w:sz w:val="20"/>
          <w:szCs w:val="20"/>
          <w:lang w:eastAsia="fr-FR"/>
        </w:rPr>
        <w:t xml:space="preserve"> : Les accidents recensés qui ont des stocks de gasoil</w:t>
      </w:r>
      <w:bookmarkEnd w:id="438"/>
      <w:bookmarkEnd w:id="439"/>
    </w:p>
    <w:tbl>
      <w:tblPr>
        <w:tblW w:w="1047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21"/>
        <w:gridCol w:w="2198"/>
        <w:gridCol w:w="1985"/>
        <w:gridCol w:w="2872"/>
        <w:gridCol w:w="3000"/>
      </w:tblGrid>
      <w:tr w:rsidR="00764FFF" w:rsidRPr="00AA45E9" w:rsidTr="00CC4282">
        <w:trPr>
          <w:tblHeader/>
          <w:jc w:val="center"/>
        </w:trPr>
        <w:tc>
          <w:tcPr>
            <w:tcW w:w="421" w:type="dxa"/>
            <w:shd w:val="clear" w:color="auto" w:fill="E2EFD9"/>
            <w:vAlign w:val="center"/>
          </w:tcPr>
          <w:p w:rsidR="00764FFF" w:rsidRPr="00AA45E9" w:rsidRDefault="00764FFF" w:rsidP="00976673">
            <w:pPr>
              <w:spacing w:after="0" w:line="240" w:lineRule="auto"/>
              <w:jc w:val="center"/>
              <w:rPr>
                <w:rFonts w:ascii="Times New Roman" w:hAnsi="Times New Roman"/>
                <w:b/>
                <w:sz w:val="18"/>
                <w:szCs w:val="18"/>
              </w:rPr>
            </w:pPr>
            <w:r w:rsidRPr="00AA45E9">
              <w:rPr>
                <w:rFonts w:ascii="Times New Roman" w:hAnsi="Times New Roman"/>
                <w:b/>
                <w:sz w:val="18"/>
                <w:szCs w:val="18"/>
              </w:rPr>
              <w:t>N°</w:t>
            </w:r>
          </w:p>
        </w:tc>
        <w:tc>
          <w:tcPr>
            <w:tcW w:w="2198" w:type="dxa"/>
            <w:shd w:val="clear" w:color="auto" w:fill="E2EFD9"/>
            <w:vAlign w:val="center"/>
          </w:tcPr>
          <w:p w:rsidR="00764FFF" w:rsidRPr="00AA45E9" w:rsidRDefault="00764FFF" w:rsidP="00976673">
            <w:pPr>
              <w:spacing w:after="0" w:line="240" w:lineRule="auto"/>
              <w:jc w:val="both"/>
              <w:rPr>
                <w:rFonts w:ascii="Times New Roman" w:hAnsi="Times New Roman"/>
                <w:b/>
                <w:sz w:val="18"/>
                <w:szCs w:val="18"/>
              </w:rPr>
            </w:pPr>
            <w:r w:rsidRPr="00AA45E9">
              <w:rPr>
                <w:rFonts w:ascii="Times New Roman" w:hAnsi="Times New Roman"/>
                <w:b/>
                <w:sz w:val="18"/>
                <w:szCs w:val="18"/>
              </w:rPr>
              <w:t>Accident</w:t>
            </w:r>
          </w:p>
        </w:tc>
        <w:tc>
          <w:tcPr>
            <w:tcW w:w="1985" w:type="dxa"/>
            <w:shd w:val="clear" w:color="auto" w:fill="E2EFD9"/>
            <w:vAlign w:val="center"/>
          </w:tcPr>
          <w:p w:rsidR="00764FFF" w:rsidRPr="00AA45E9" w:rsidRDefault="00764FFF" w:rsidP="00976673">
            <w:pPr>
              <w:spacing w:after="0" w:line="240" w:lineRule="auto"/>
              <w:jc w:val="both"/>
              <w:rPr>
                <w:rFonts w:ascii="Times New Roman" w:hAnsi="Times New Roman"/>
                <w:b/>
                <w:sz w:val="18"/>
                <w:szCs w:val="18"/>
              </w:rPr>
            </w:pPr>
            <w:r w:rsidRPr="00AA45E9">
              <w:rPr>
                <w:rFonts w:ascii="Times New Roman" w:hAnsi="Times New Roman"/>
                <w:b/>
                <w:sz w:val="18"/>
                <w:szCs w:val="18"/>
              </w:rPr>
              <w:t>Equipement</w:t>
            </w:r>
          </w:p>
        </w:tc>
        <w:tc>
          <w:tcPr>
            <w:tcW w:w="2872" w:type="dxa"/>
            <w:shd w:val="clear" w:color="auto" w:fill="E2EFD9"/>
            <w:vAlign w:val="center"/>
          </w:tcPr>
          <w:p w:rsidR="00764FFF" w:rsidRPr="00AA45E9" w:rsidRDefault="00764FFF" w:rsidP="00976673">
            <w:pPr>
              <w:spacing w:after="0" w:line="240" w:lineRule="auto"/>
              <w:jc w:val="both"/>
              <w:rPr>
                <w:rFonts w:ascii="Times New Roman" w:hAnsi="Times New Roman"/>
                <w:b/>
                <w:sz w:val="18"/>
                <w:szCs w:val="18"/>
              </w:rPr>
            </w:pPr>
            <w:r w:rsidRPr="00AA45E9">
              <w:rPr>
                <w:rFonts w:ascii="Times New Roman" w:hAnsi="Times New Roman"/>
                <w:b/>
                <w:sz w:val="18"/>
                <w:szCs w:val="18"/>
              </w:rPr>
              <w:t>Causes</w:t>
            </w:r>
          </w:p>
        </w:tc>
        <w:tc>
          <w:tcPr>
            <w:tcW w:w="3000" w:type="dxa"/>
            <w:shd w:val="clear" w:color="auto" w:fill="E2EFD9"/>
            <w:vAlign w:val="center"/>
          </w:tcPr>
          <w:p w:rsidR="00764FFF" w:rsidRPr="00AA45E9" w:rsidRDefault="00764FFF" w:rsidP="00976673">
            <w:pPr>
              <w:spacing w:after="0" w:line="240" w:lineRule="auto"/>
              <w:jc w:val="both"/>
              <w:rPr>
                <w:rFonts w:ascii="Times New Roman" w:hAnsi="Times New Roman"/>
                <w:b/>
                <w:sz w:val="18"/>
                <w:szCs w:val="18"/>
              </w:rPr>
            </w:pPr>
            <w:r w:rsidRPr="00AA45E9">
              <w:rPr>
                <w:rFonts w:ascii="Times New Roman" w:hAnsi="Times New Roman"/>
                <w:b/>
                <w:sz w:val="18"/>
                <w:szCs w:val="18"/>
              </w:rPr>
              <w:t>Conséquences</w:t>
            </w:r>
          </w:p>
        </w:tc>
      </w:tr>
      <w:tr w:rsidR="00764FFF" w:rsidRPr="00AA45E9" w:rsidTr="00CC4282">
        <w:trPr>
          <w:jc w:val="center"/>
        </w:trPr>
        <w:tc>
          <w:tcPr>
            <w:tcW w:w="421" w:type="dxa"/>
            <w:shd w:val="clear" w:color="auto" w:fill="E2EFD9"/>
            <w:vAlign w:val="center"/>
          </w:tcPr>
          <w:p w:rsidR="00764FFF" w:rsidRPr="00AA45E9" w:rsidRDefault="00764FFF" w:rsidP="00976673">
            <w:pPr>
              <w:spacing w:line="240" w:lineRule="auto"/>
              <w:jc w:val="center"/>
              <w:rPr>
                <w:rFonts w:ascii="Times New Roman" w:hAnsi="Times New Roman"/>
                <w:sz w:val="18"/>
                <w:szCs w:val="18"/>
              </w:rPr>
            </w:pPr>
            <w:r w:rsidRPr="00AA45E9">
              <w:rPr>
                <w:rFonts w:ascii="Times New Roman" w:hAnsi="Times New Roman"/>
                <w:sz w:val="18"/>
                <w:szCs w:val="18"/>
              </w:rPr>
              <w:t>01</w:t>
            </w:r>
          </w:p>
        </w:tc>
        <w:tc>
          <w:tcPr>
            <w:tcW w:w="2198" w:type="dxa"/>
            <w:shd w:val="clear" w:color="auto" w:fill="auto"/>
            <w:vAlign w:val="center"/>
          </w:tcPr>
          <w:p w:rsidR="00764FFF" w:rsidRPr="00AA45E9" w:rsidRDefault="00764FFF" w:rsidP="00976673">
            <w:pPr>
              <w:spacing w:line="240" w:lineRule="auto"/>
              <w:jc w:val="center"/>
              <w:rPr>
                <w:rFonts w:ascii="Times New Roman" w:hAnsi="Times New Roman"/>
                <w:sz w:val="18"/>
                <w:szCs w:val="18"/>
              </w:rPr>
            </w:pPr>
            <w:r w:rsidRPr="00AA45E9">
              <w:rPr>
                <w:rFonts w:ascii="Times New Roman" w:hAnsi="Times New Roman"/>
                <w:sz w:val="18"/>
                <w:szCs w:val="18"/>
              </w:rPr>
              <w:t>LE 5 MAI 2015 À HONOLULU (USA)</w:t>
            </w:r>
          </w:p>
        </w:tc>
        <w:tc>
          <w:tcPr>
            <w:tcW w:w="1985" w:type="dxa"/>
            <w:shd w:val="clear" w:color="auto" w:fill="auto"/>
            <w:vAlign w:val="center"/>
          </w:tcPr>
          <w:p w:rsidR="00764FFF" w:rsidRPr="00AA45E9" w:rsidRDefault="00764FFF" w:rsidP="00976673">
            <w:pPr>
              <w:spacing w:line="240" w:lineRule="auto"/>
              <w:rPr>
                <w:rFonts w:ascii="Times New Roman" w:hAnsi="Times New Roman"/>
                <w:sz w:val="18"/>
                <w:szCs w:val="18"/>
              </w:rPr>
            </w:pPr>
            <w:r w:rsidRPr="00AA45E9">
              <w:rPr>
                <w:rFonts w:ascii="Times New Roman" w:hAnsi="Times New Roman"/>
                <w:sz w:val="18"/>
                <w:szCs w:val="18"/>
              </w:rPr>
              <w:t>CÂBLIER ILE DE SEIN</w:t>
            </w:r>
          </w:p>
        </w:tc>
        <w:tc>
          <w:tcPr>
            <w:tcW w:w="2872" w:type="dxa"/>
            <w:shd w:val="clear" w:color="auto" w:fill="auto"/>
            <w:vAlign w:val="center"/>
          </w:tcPr>
          <w:p w:rsidR="00764FFF" w:rsidRPr="00AA45E9" w:rsidRDefault="00764FFF" w:rsidP="00976673">
            <w:pPr>
              <w:spacing w:line="240" w:lineRule="auto"/>
              <w:rPr>
                <w:rFonts w:ascii="Times New Roman" w:hAnsi="Times New Roman"/>
                <w:sz w:val="18"/>
                <w:szCs w:val="18"/>
              </w:rPr>
            </w:pPr>
            <w:r w:rsidRPr="00AA45E9">
              <w:rPr>
                <w:rFonts w:ascii="Times New Roman" w:hAnsi="Times New Roman"/>
                <w:sz w:val="18"/>
                <w:szCs w:val="18"/>
              </w:rPr>
              <w:t>INCENDIE</w:t>
            </w:r>
          </w:p>
        </w:tc>
        <w:tc>
          <w:tcPr>
            <w:tcW w:w="3000" w:type="dxa"/>
            <w:shd w:val="clear" w:color="auto" w:fill="auto"/>
            <w:vAlign w:val="center"/>
          </w:tcPr>
          <w:p w:rsidR="00764FFF" w:rsidRPr="00AA45E9" w:rsidRDefault="00764FFF" w:rsidP="00976673">
            <w:pPr>
              <w:spacing w:line="240" w:lineRule="auto"/>
              <w:rPr>
                <w:rFonts w:ascii="Times New Roman" w:hAnsi="Times New Roman"/>
                <w:sz w:val="18"/>
                <w:szCs w:val="18"/>
              </w:rPr>
            </w:pPr>
            <w:r w:rsidRPr="00AA45E9">
              <w:rPr>
                <w:rFonts w:ascii="Times New Roman" w:hAnsi="Times New Roman"/>
                <w:sz w:val="18"/>
                <w:szCs w:val="18"/>
              </w:rPr>
              <w:t>Les dégâts les plus importants se situent au niveau des nappes électriques (6600 volts), des organes et armoires de contrôle des DA1 et 2.</w:t>
            </w:r>
          </w:p>
        </w:tc>
      </w:tr>
      <w:tr w:rsidR="00764FFF" w:rsidRPr="00AA45E9" w:rsidTr="00976673">
        <w:trPr>
          <w:trHeight w:val="297"/>
          <w:jc w:val="center"/>
        </w:trPr>
        <w:tc>
          <w:tcPr>
            <w:tcW w:w="421" w:type="dxa"/>
            <w:shd w:val="clear" w:color="auto" w:fill="E2EFD9"/>
            <w:vAlign w:val="center"/>
          </w:tcPr>
          <w:p w:rsidR="00764FFF" w:rsidRPr="00AA45E9" w:rsidRDefault="00764FFF" w:rsidP="00976673">
            <w:pPr>
              <w:spacing w:after="0" w:line="240" w:lineRule="auto"/>
              <w:jc w:val="center"/>
              <w:rPr>
                <w:rFonts w:ascii="Times New Roman" w:hAnsi="Times New Roman"/>
                <w:sz w:val="18"/>
                <w:szCs w:val="18"/>
              </w:rPr>
            </w:pPr>
            <w:r w:rsidRPr="00AA45E9">
              <w:rPr>
                <w:rFonts w:ascii="Times New Roman" w:hAnsi="Times New Roman"/>
                <w:sz w:val="18"/>
                <w:szCs w:val="18"/>
              </w:rPr>
              <w:t>02</w:t>
            </w:r>
          </w:p>
        </w:tc>
        <w:tc>
          <w:tcPr>
            <w:tcW w:w="2198" w:type="dxa"/>
            <w:shd w:val="clear" w:color="auto" w:fill="auto"/>
            <w:vAlign w:val="center"/>
          </w:tcPr>
          <w:p w:rsidR="00764FFF" w:rsidRPr="00AA45E9" w:rsidRDefault="00764FFF" w:rsidP="00976673">
            <w:pPr>
              <w:spacing w:after="0" w:line="240" w:lineRule="auto"/>
              <w:jc w:val="center"/>
              <w:rPr>
                <w:rFonts w:ascii="Times New Roman" w:hAnsi="Times New Roman"/>
                <w:sz w:val="18"/>
                <w:szCs w:val="18"/>
              </w:rPr>
            </w:pPr>
            <w:r w:rsidRPr="00AA45E9">
              <w:rPr>
                <w:rFonts w:ascii="Times New Roman" w:hAnsi="Times New Roman"/>
                <w:sz w:val="18"/>
                <w:szCs w:val="18"/>
              </w:rPr>
              <w:t>le 15 janvier 2004</w:t>
            </w:r>
          </w:p>
        </w:tc>
        <w:tc>
          <w:tcPr>
            <w:tcW w:w="1985" w:type="dxa"/>
            <w:shd w:val="clear" w:color="auto" w:fill="auto"/>
            <w:vAlign w:val="center"/>
          </w:tcPr>
          <w:p w:rsidR="00764FFF" w:rsidRPr="00AA45E9" w:rsidRDefault="00764FFF" w:rsidP="00976673">
            <w:pPr>
              <w:spacing w:after="0" w:line="240" w:lineRule="auto"/>
              <w:rPr>
                <w:rFonts w:ascii="Times New Roman" w:hAnsi="Times New Roman"/>
                <w:sz w:val="18"/>
                <w:szCs w:val="18"/>
              </w:rPr>
            </w:pPr>
            <w:r w:rsidRPr="00AA45E9">
              <w:rPr>
                <w:rFonts w:ascii="Times New Roman" w:hAnsi="Times New Roman"/>
                <w:sz w:val="18"/>
                <w:szCs w:val="18"/>
              </w:rPr>
              <w:t>chalutier</w:t>
            </w:r>
          </w:p>
        </w:tc>
        <w:tc>
          <w:tcPr>
            <w:tcW w:w="2872" w:type="dxa"/>
            <w:shd w:val="clear" w:color="auto" w:fill="auto"/>
            <w:vAlign w:val="center"/>
          </w:tcPr>
          <w:p w:rsidR="00764FFF" w:rsidRPr="00AA45E9" w:rsidRDefault="00764FFF" w:rsidP="00976673">
            <w:pPr>
              <w:spacing w:after="0" w:line="240" w:lineRule="auto"/>
              <w:rPr>
                <w:rFonts w:ascii="Times New Roman" w:hAnsi="Times New Roman"/>
                <w:sz w:val="18"/>
                <w:szCs w:val="18"/>
              </w:rPr>
            </w:pPr>
            <w:r w:rsidRPr="00AA45E9">
              <w:rPr>
                <w:rFonts w:ascii="Times New Roman" w:hAnsi="Times New Roman"/>
                <w:sz w:val="18"/>
                <w:szCs w:val="18"/>
              </w:rPr>
              <w:t>le SEA-ME-WE 3 (prononcez : «si-mi-oui trois»)</w:t>
            </w:r>
          </w:p>
        </w:tc>
        <w:tc>
          <w:tcPr>
            <w:tcW w:w="3000" w:type="dxa"/>
            <w:shd w:val="clear" w:color="auto" w:fill="auto"/>
            <w:vAlign w:val="center"/>
          </w:tcPr>
          <w:p w:rsidR="00764FFF" w:rsidRPr="00AA45E9" w:rsidRDefault="00764FFF" w:rsidP="00976673">
            <w:pPr>
              <w:spacing w:after="0" w:line="240" w:lineRule="auto"/>
              <w:rPr>
                <w:rFonts w:ascii="Times New Roman" w:hAnsi="Times New Roman"/>
                <w:sz w:val="18"/>
                <w:szCs w:val="18"/>
              </w:rPr>
            </w:pPr>
            <w:r w:rsidRPr="00AA45E9">
              <w:rPr>
                <w:rFonts w:ascii="Times New Roman" w:hAnsi="Times New Roman"/>
                <w:sz w:val="18"/>
                <w:szCs w:val="18"/>
              </w:rPr>
              <w:t>le naufrage du chalutier bigouden «Bugaled Breizh» au sud du Cap Lizard.</w:t>
            </w:r>
          </w:p>
        </w:tc>
      </w:tr>
      <w:tr w:rsidR="00764FFF" w:rsidRPr="00AA45E9" w:rsidTr="00CC4282">
        <w:trPr>
          <w:trHeight w:val="549"/>
          <w:jc w:val="center"/>
        </w:trPr>
        <w:tc>
          <w:tcPr>
            <w:tcW w:w="421" w:type="dxa"/>
            <w:shd w:val="clear" w:color="auto" w:fill="E2EFD9"/>
            <w:vAlign w:val="center"/>
          </w:tcPr>
          <w:p w:rsidR="00764FFF" w:rsidRPr="00AA45E9" w:rsidRDefault="00764FFF" w:rsidP="00976673">
            <w:pPr>
              <w:spacing w:after="0" w:line="240" w:lineRule="auto"/>
              <w:jc w:val="center"/>
              <w:rPr>
                <w:rFonts w:ascii="Times New Roman" w:hAnsi="Times New Roman"/>
                <w:sz w:val="18"/>
                <w:szCs w:val="18"/>
              </w:rPr>
            </w:pPr>
            <w:r w:rsidRPr="00AA45E9">
              <w:rPr>
                <w:rFonts w:ascii="Times New Roman" w:hAnsi="Times New Roman"/>
                <w:sz w:val="18"/>
                <w:szCs w:val="18"/>
              </w:rPr>
              <w:t>03</w:t>
            </w:r>
          </w:p>
        </w:tc>
        <w:tc>
          <w:tcPr>
            <w:tcW w:w="2198" w:type="dxa"/>
            <w:vAlign w:val="center"/>
          </w:tcPr>
          <w:p w:rsidR="00764FFF" w:rsidRPr="00AA45E9" w:rsidRDefault="00764FFF" w:rsidP="00976673">
            <w:pPr>
              <w:spacing w:after="0" w:line="240" w:lineRule="auto"/>
              <w:jc w:val="both"/>
              <w:rPr>
                <w:rFonts w:ascii="Times New Roman" w:hAnsi="Times New Roman"/>
                <w:sz w:val="18"/>
                <w:szCs w:val="18"/>
              </w:rPr>
            </w:pPr>
            <w:r w:rsidRPr="00AA45E9">
              <w:rPr>
                <w:rFonts w:ascii="Times New Roman" w:hAnsi="Times New Roman"/>
                <w:sz w:val="18"/>
                <w:szCs w:val="18"/>
              </w:rPr>
              <w:t>N°10026 du 18/12/78 Pays Bas - NIJMEGEN</w:t>
            </w:r>
          </w:p>
        </w:tc>
        <w:tc>
          <w:tcPr>
            <w:tcW w:w="1985" w:type="dxa"/>
            <w:vAlign w:val="center"/>
          </w:tcPr>
          <w:p w:rsidR="00764FFF" w:rsidRPr="00AA45E9" w:rsidRDefault="00764FFF" w:rsidP="00976673">
            <w:pPr>
              <w:spacing w:after="0" w:line="240" w:lineRule="auto"/>
              <w:jc w:val="both"/>
              <w:rPr>
                <w:rFonts w:ascii="Times New Roman" w:hAnsi="Times New Roman"/>
                <w:sz w:val="18"/>
                <w:szCs w:val="18"/>
              </w:rPr>
            </w:pPr>
            <w:r w:rsidRPr="00AA45E9">
              <w:rPr>
                <w:rFonts w:ascii="Times New Roman" w:hAnsi="Times New Roman"/>
                <w:sz w:val="18"/>
                <w:szCs w:val="18"/>
              </w:rPr>
              <w:t>Cuve de stockage et camion-citerne</w:t>
            </w:r>
          </w:p>
        </w:tc>
        <w:tc>
          <w:tcPr>
            <w:tcW w:w="2872" w:type="dxa"/>
            <w:vAlign w:val="center"/>
          </w:tcPr>
          <w:p w:rsidR="00764FFF" w:rsidRPr="00AA45E9" w:rsidRDefault="00764FFF" w:rsidP="00976673">
            <w:pPr>
              <w:spacing w:after="0" w:line="240" w:lineRule="auto"/>
              <w:jc w:val="both"/>
              <w:rPr>
                <w:rFonts w:ascii="Times New Roman" w:hAnsi="Times New Roman"/>
                <w:sz w:val="18"/>
                <w:szCs w:val="18"/>
              </w:rPr>
            </w:pPr>
            <w:r w:rsidRPr="00AA45E9">
              <w:rPr>
                <w:rFonts w:ascii="Times New Roman" w:hAnsi="Times New Roman"/>
                <w:sz w:val="18"/>
                <w:szCs w:val="18"/>
              </w:rPr>
              <w:t>Une petite fuite se produit sur les ligués de transfert</w:t>
            </w:r>
          </w:p>
        </w:tc>
        <w:tc>
          <w:tcPr>
            <w:tcW w:w="3000" w:type="dxa"/>
            <w:vAlign w:val="center"/>
          </w:tcPr>
          <w:p w:rsidR="00764FFF" w:rsidRPr="00AA45E9" w:rsidRDefault="00764FFF" w:rsidP="00976673">
            <w:pPr>
              <w:spacing w:after="0" w:line="240" w:lineRule="auto"/>
              <w:jc w:val="both"/>
              <w:rPr>
                <w:rFonts w:ascii="Times New Roman" w:hAnsi="Times New Roman"/>
                <w:sz w:val="18"/>
                <w:szCs w:val="18"/>
              </w:rPr>
            </w:pPr>
            <w:r w:rsidRPr="00AA45E9">
              <w:rPr>
                <w:rFonts w:ascii="Times New Roman" w:hAnsi="Times New Roman"/>
                <w:sz w:val="18"/>
                <w:szCs w:val="18"/>
              </w:rPr>
              <w:t>La fuite s’enflamme sur un point chaud du moteur du camion</w:t>
            </w:r>
          </w:p>
        </w:tc>
      </w:tr>
      <w:tr w:rsidR="00764FFF" w:rsidRPr="00AA45E9" w:rsidTr="00CC4282">
        <w:trPr>
          <w:jc w:val="center"/>
        </w:trPr>
        <w:tc>
          <w:tcPr>
            <w:tcW w:w="421" w:type="dxa"/>
            <w:shd w:val="clear" w:color="auto" w:fill="E2EFD9"/>
            <w:vAlign w:val="center"/>
          </w:tcPr>
          <w:p w:rsidR="00764FFF" w:rsidRPr="00AA45E9" w:rsidRDefault="00764FFF" w:rsidP="00976673">
            <w:pPr>
              <w:spacing w:after="0" w:line="240" w:lineRule="auto"/>
              <w:jc w:val="center"/>
              <w:rPr>
                <w:rFonts w:ascii="Times New Roman" w:hAnsi="Times New Roman"/>
                <w:sz w:val="18"/>
                <w:szCs w:val="18"/>
              </w:rPr>
            </w:pPr>
            <w:r w:rsidRPr="00AA45E9">
              <w:rPr>
                <w:rFonts w:ascii="Times New Roman" w:hAnsi="Times New Roman"/>
                <w:sz w:val="18"/>
                <w:szCs w:val="18"/>
              </w:rPr>
              <w:t>04</w:t>
            </w:r>
          </w:p>
        </w:tc>
        <w:tc>
          <w:tcPr>
            <w:tcW w:w="2198" w:type="dxa"/>
            <w:vAlign w:val="center"/>
          </w:tcPr>
          <w:p w:rsidR="00764FFF" w:rsidRPr="00AA45E9" w:rsidRDefault="00764FFF" w:rsidP="00976673">
            <w:pPr>
              <w:spacing w:after="0" w:line="240" w:lineRule="auto"/>
              <w:jc w:val="both"/>
              <w:rPr>
                <w:rFonts w:ascii="Times New Roman" w:hAnsi="Times New Roman"/>
                <w:sz w:val="18"/>
                <w:szCs w:val="18"/>
              </w:rPr>
            </w:pPr>
            <w:r w:rsidRPr="00AA45E9">
              <w:rPr>
                <w:rFonts w:ascii="Times New Roman" w:hAnsi="Times New Roman"/>
                <w:sz w:val="18"/>
                <w:szCs w:val="18"/>
              </w:rPr>
              <w:t>N°10327 du 04/12/96 Espagne – Alcala De Henares</w:t>
            </w:r>
          </w:p>
        </w:tc>
        <w:tc>
          <w:tcPr>
            <w:tcW w:w="1985" w:type="dxa"/>
            <w:vAlign w:val="center"/>
          </w:tcPr>
          <w:p w:rsidR="00764FFF" w:rsidRPr="00AA45E9" w:rsidRDefault="00764FFF" w:rsidP="00976673">
            <w:pPr>
              <w:spacing w:after="0" w:line="240" w:lineRule="auto"/>
              <w:jc w:val="both"/>
              <w:rPr>
                <w:rFonts w:ascii="Times New Roman" w:hAnsi="Times New Roman"/>
                <w:sz w:val="18"/>
                <w:szCs w:val="18"/>
              </w:rPr>
            </w:pPr>
            <w:r w:rsidRPr="00AA45E9">
              <w:rPr>
                <w:rFonts w:ascii="Times New Roman" w:hAnsi="Times New Roman"/>
                <w:sz w:val="18"/>
                <w:szCs w:val="18"/>
              </w:rPr>
              <w:t>Un oléoduc de gasoil</w:t>
            </w:r>
          </w:p>
        </w:tc>
        <w:tc>
          <w:tcPr>
            <w:tcW w:w="2872" w:type="dxa"/>
            <w:vAlign w:val="center"/>
          </w:tcPr>
          <w:p w:rsidR="00764FFF" w:rsidRPr="00AA45E9" w:rsidRDefault="00764FFF" w:rsidP="00976673">
            <w:pPr>
              <w:spacing w:after="0" w:line="240" w:lineRule="auto"/>
              <w:jc w:val="both"/>
              <w:rPr>
                <w:rFonts w:ascii="Times New Roman" w:hAnsi="Times New Roman"/>
                <w:sz w:val="18"/>
                <w:szCs w:val="18"/>
              </w:rPr>
            </w:pPr>
            <w:r w:rsidRPr="00AA45E9">
              <w:rPr>
                <w:rFonts w:ascii="Times New Roman" w:hAnsi="Times New Roman"/>
                <w:sz w:val="18"/>
                <w:szCs w:val="18"/>
              </w:rPr>
              <w:t>Au cours des travaux de terrassement pour construire une S.S. un engin perfore un oléoduc de gasoil enterré à 1 m de profondeur</w:t>
            </w:r>
          </w:p>
        </w:tc>
        <w:tc>
          <w:tcPr>
            <w:tcW w:w="3000" w:type="dxa"/>
            <w:vAlign w:val="center"/>
          </w:tcPr>
          <w:p w:rsidR="00764FFF" w:rsidRPr="00AA45E9" w:rsidRDefault="00764FFF" w:rsidP="00976673">
            <w:pPr>
              <w:spacing w:after="0" w:line="240" w:lineRule="auto"/>
              <w:jc w:val="both"/>
              <w:rPr>
                <w:rFonts w:ascii="Times New Roman" w:hAnsi="Times New Roman"/>
                <w:sz w:val="18"/>
                <w:szCs w:val="18"/>
              </w:rPr>
            </w:pPr>
            <w:r w:rsidRPr="00AA45E9">
              <w:rPr>
                <w:rFonts w:ascii="Times New Roman" w:hAnsi="Times New Roman"/>
                <w:sz w:val="18"/>
                <w:szCs w:val="18"/>
              </w:rPr>
              <w:t>Un incendie se déclare les flammes font 25 m de haut. Le conducteur de l’engin est brûlé à 58%</w:t>
            </w:r>
          </w:p>
        </w:tc>
      </w:tr>
      <w:tr w:rsidR="00764FFF" w:rsidRPr="00AA45E9" w:rsidTr="00CC4282">
        <w:trPr>
          <w:trHeight w:val="816"/>
          <w:jc w:val="center"/>
        </w:trPr>
        <w:tc>
          <w:tcPr>
            <w:tcW w:w="421" w:type="dxa"/>
            <w:shd w:val="clear" w:color="auto" w:fill="E2EFD9"/>
            <w:vAlign w:val="center"/>
          </w:tcPr>
          <w:p w:rsidR="00764FFF" w:rsidRPr="00AA45E9" w:rsidRDefault="00764FFF" w:rsidP="00976673">
            <w:pPr>
              <w:spacing w:line="240" w:lineRule="auto"/>
              <w:jc w:val="center"/>
              <w:rPr>
                <w:rFonts w:ascii="Times New Roman" w:hAnsi="Times New Roman"/>
                <w:sz w:val="18"/>
                <w:szCs w:val="18"/>
              </w:rPr>
            </w:pPr>
            <w:r w:rsidRPr="00AA45E9">
              <w:rPr>
                <w:rFonts w:ascii="Times New Roman" w:hAnsi="Times New Roman"/>
                <w:sz w:val="18"/>
                <w:szCs w:val="18"/>
              </w:rPr>
              <w:t>05</w:t>
            </w:r>
          </w:p>
        </w:tc>
        <w:tc>
          <w:tcPr>
            <w:tcW w:w="2198" w:type="dxa"/>
            <w:vAlign w:val="center"/>
          </w:tcPr>
          <w:p w:rsidR="00764FFF" w:rsidRPr="00AA45E9" w:rsidRDefault="00764FFF" w:rsidP="00976673">
            <w:pPr>
              <w:spacing w:line="240" w:lineRule="auto"/>
              <w:jc w:val="both"/>
              <w:rPr>
                <w:rFonts w:ascii="Times New Roman" w:hAnsi="Times New Roman"/>
                <w:sz w:val="18"/>
                <w:szCs w:val="18"/>
              </w:rPr>
            </w:pPr>
            <w:r w:rsidRPr="00AA45E9">
              <w:rPr>
                <w:rFonts w:ascii="Times New Roman" w:hAnsi="Times New Roman"/>
                <w:sz w:val="18"/>
                <w:szCs w:val="18"/>
              </w:rPr>
              <w:t>N°10412 du 05/09/97</w:t>
            </w:r>
          </w:p>
          <w:p w:rsidR="00764FFF" w:rsidRPr="00AA45E9" w:rsidRDefault="00764FFF" w:rsidP="00976673">
            <w:pPr>
              <w:spacing w:line="240" w:lineRule="auto"/>
              <w:jc w:val="both"/>
              <w:rPr>
                <w:rFonts w:ascii="Times New Roman" w:hAnsi="Times New Roman"/>
                <w:sz w:val="18"/>
                <w:szCs w:val="18"/>
              </w:rPr>
            </w:pPr>
            <w:r w:rsidRPr="00AA45E9">
              <w:rPr>
                <w:rFonts w:ascii="Times New Roman" w:hAnsi="Times New Roman"/>
                <w:sz w:val="18"/>
                <w:szCs w:val="18"/>
              </w:rPr>
              <w:t>TURQUIE - BURSA</w:t>
            </w:r>
          </w:p>
        </w:tc>
        <w:tc>
          <w:tcPr>
            <w:tcW w:w="1985" w:type="dxa"/>
            <w:vAlign w:val="center"/>
          </w:tcPr>
          <w:p w:rsidR="00764FFF" w:rsidRPr="00AA45E9" w:rsidRDefault="00764FFF" w:rsidP="00976673">
            <w:pPr>
              <w:spacing w:line="240" w:lineRule="auto"/>
              <w:jc w:val="both"/>
              <w:rPr>
                <w:rFonts w:ascii="Times New Roman" w:hAnsi="Times New Roman"/>
                <w:sz w:val="18"/>
                <w:szCs w:val="18"/>
              </w:rPr>
            </w:pPr>
            <w:r w:rsidRPr="00AA45E9">
              <w:rPr>
                <w:rFonts w:ascii="Times New Roman" w:hAnsi="Times New Roman"/>
                <w:sz w:val="18"/>
                <w:szCs w:val="18"/>
              </w:rPr>
              <w:t>Installation de distribution</w:t>
            </w:r>
          </w:p>
        </w:tc>
        <w:tc>
          <w:tcPr>
            <w:tcW w:w="2872" w:type="dxa"/>
            <w:vAlign w:val="center"/>
          </w:tcPr>
          <w:p w:rsidR="00764FFF" w:rsidRPr="00AA45E9" w:rsidRDefault="00764FFF" w:rsidP="00976673">
            <w:pPr>
              <w:spacing w:line="240" w:lineRule="auto"/>
              <w:jc w:val="both"/>
              <w:rPr>
                <w:rFonts w:ascii="Times New Roman" w:hAnsi="Times New Roman"/>
                <w:sz w:val="18"/>
                <w:szCs w:val="18"/>
              </w:rPr>
            </w:pPr>
            <w:r w:rsidRPr="00AA45E9">
              <w:rPr>
                <w:rFonts w:ascii="Times New Roman" w:hAnsi="Times New Roman"/>
                <w:sz w:val="18"/>
                <w:szCs w:val="18"/>
              </w:rPr>
              <w:t>Inconnue</w:t>
            </w:r>
          </w:p>
        </w:tc>
        <w:tc>
          <w:tcPr>
            <w:tcW w:w="3000" w:type="dxa"/>
            <w:vAlign w:val="center"/>
          </w:tcPr>
          <w:p w:rsidR="00764FFF" w:rsidRPr="00AA45E9" w:rsidRDefault="00764FFF" w:rsidP="00976673">
            <w:pPr>
              <w:spacing w:after="0" w:line="240" w:lineRule="auto"/>
              <w:jc w:val="both"/>
              <w:rPr>
                <w:rFonts w:ascii="Times New Roman" w:hAnsi="Times New Roman"/>
                <w:sz w:val="18"/>
                <w:szCs w:val="18"/>
              </w:rPr>
            </w:pPr>
            <w:r w:rsidRPr="00AA45E9">
              <w:rPr>
                <w:rFonts w:ascii="Times New Roman" w:hAnsi="Times New Roman"/>
                <w:sz w:val="18"/>
                <w:szCs w:val="18"/>
              </w:rPr>
              <w:t>Une explosion consume un camion-citerne et deux taxis. Les dommages sont importants. Il n’y a pas de victimes.</w:t>
            </w:r>
          </w:p>
        </w:tc>
      </w:tr>
      <w:tr w:rsidR="00764FFF" w:rsidRPr="00AA45E9" w:rsidTr="00CC4282">
        <w:trPr>
          <w:jc w:val="center"/>
        </w:trPr>
        <w:tc>
          <w:tcPr>
            <w:tcW w:w="421" w:type="dxa"/>
            <w:shd w:val="clear" w:color="auto" w:fill="E2EFD9"/>
            <w:vAlign w:val="center"/>
          </w:tcPr>
          <w:p w:rsidR="00764FFF" w:rsidRPr="00AA45E9" w:rsidRDefault="00764FFF" w:rsidP="00976673">
            <w:pPr>
              <w:spacing w:after="0" w:line="240" w:lineRule="auto"/>
              <w:jc w:val="center"/>
              <w:rPr>
                <w:rFonts w:ascii="Times New Roman" w:hAnsi="Times New Roman"/>
                <w:sz w:val="18"/>
                <w:szCs w:val="18"/>
              </w:rPr>
            </w:pPr>
            <w:r w:rsidRPr="00AA45E9">
              <w:rPr>
                <w:rFonts w:ascii="Times New Roman" w:hAnsi="Times New Roman"/>
                <w:sz w:val="18"/>
                <w:szCs w:val="18"/>
              </w:rPr>
              <w:t>06</w:t>
            </w:r>
          </w:p>
        </w:tc>
        <w:tc>
          <w:tcPr>
            <w:tcW w:w="2198" w:type="dxa"/>
            <w:vAlign w:val="center"/>
          </w:tcPr>
          <w:p w:rsidR="00764FFF" w:rsidRPr="00AA45E9" w:rsidRDefault="00764FFF" w:rsidP="00976673">
            <w:pPr>
              <w:spacing w:after="0" w:line="240" w:lineRule="auto"/>
              <w:jc w:val="both"/>
              <w:rPr>
                <w:rFonts w:ascii="Times New Roman" w:hAnsi="Times New Roman"/>
                <w:sz w:val="18"/>
                <w:szCs w:val="18"/>
              </w:rPr>
            </w:pPr>
            <w:r w:rsidRPr="00AA45E9">
              <w:rPr>
                <w:rFonts w:ascii="Times New Roman" w:hAnsi="Times New Roman"/>
                <w:sz w:val="18"/>
                <w:szCs w:val="18"/>
              </w:rPr>
              <w:t>N°12367 DU 12/12/1997</w:t>
            </w:r>
          </w:p>
          <w:p w:rsidR="00764FFF" w:rsidRPr="00AA45E9" w:rsidRDefault="00764FFF" w:rsidP="00976673">
            <w:pPr>
              <w:spacing w:after="0" w:line="240" w:lineRule="auto"/>
              <w:jc w:val="both"/>
              <w:rPr>
                <w:rFonts w:ascii="Times New Roman" w:hAnsi="Times New Roman"/>
                <w:sz w:val="18"/>
                <w:szCs w:val="18"/>
              </w:rPr>
            </w:pPr>
            <w:r w:rsidRPr="00AA45E9">
              <w:rPr>
                <w:rFonts w:ascii="Times New Roman" w:hAnsi="Times New Roman"/>
                <w:sz w:val="18"/>
                <w:szCs w:val="18"/>
              </w:rPr>
              <w:t>ETATS UNIS – UP LAND</w:t>
            </w:r>
          </w:p>
        </w:tc>
        <w:tc>
          <w:tcPr>
            <w:tcW w:w="1985" w:type="dxa"/>
            <w:vAlign w:val="center"/>
          </w:tcPr>
          <w:p w:rsidR="00764FFF" w:rsidRPr="00AA45E9" w:rsidRDefault="00764FFF" w:rsidP="00976673">
            <w:pPr>
              <w:spacing w:after="0" w:line="240" w:lineRule="auto"/>
              <w:jc w:val="both"/>
              <w:rPr>
                <w:rFonts w:ascii="Times New Roman" w:hAnsi="Times New Roman"/>
                <w:sz w:val="18"/>
                <w:szCs w:val="18"/>
              </w:rPr>
            </w:pPr>
            <w:r w:rsidRPr="00AA45E9">
              <w:rPr>
                <w:rFonts w:ascii="Times New Roman" w:hAnsi="Times New Roman"/>
                <w:sz w:val="18"/>
                <w:szCs w:val="18"/>
              </w:rPr>
              <w:t>Réservoir enterré</w:t>
            </w:r>
          </w:p>
        </w:tc>
        <w:tc>
          <w:tcPr>
            <w:tcW w:w="2872" w:type="dxa"/>
            <w:vAlign w:val="center"/>
          </w:tcPr>
          <w:p w:rsidR="00764FFF" w:rsidRPr="00AA45E9" w:rsidRDefault="00764FFF" w:rsidP="00976673">
            <w:pPr>
              <w:spacing w:after="0" w:line="240" w:lineRule="auto"/>
              <w:jc w:val="both"/>
              <w:rPr>
                <w:rFonts w:ascii="Times New Roman" w:hAnsi="Times New Roman"/>
                <w:sz w:val="18"/>
                <w:szCs w:val="18"/>
              </w:rPr>
            </w:pPr>
            <w:r w:rsidRPr="00AA45E9">
              <w:rPr>
                <w:rFonts w:ascii="Times New Roman" w:hAnsi="Times New Roman"/>
                <w:sz w:val="18"/>
                <w:szCs w:val="18"/>
              </w:rPr>
              <w:t>Dans une station-service, deux ouvriers posent un revêtement de fibres de verre dans un réservoir enterré de carburant pour une mise en conformité</w:t>
            </w:r>
          </w:p>
        </w:tc>
        <w:tc>
          <w:tcPr>
            <w:tcW w:w="3000" w:type="dxa"/>
            <w:vAlign w:val="center"/>
          </w:tcPr>
          <w:p w:rsidR="00764FFF" w:rsidRPr="00AA45E9" w:rsidRDefault="00764FFF" w:rsidP="00976673">
            <w:pPr>
              <w:spacing w:after="0" w:line="240" w:lineRule="auto"/>
              <w:jc w:val="both"/>
              <w:rPr>
                <w:rFonts w:ascii="Times New Roman" w:hAnsi="Times New Roman"/>
                <w:sz w:val="18"/>
                <w:szCs w:val="18"/>
              </w:rPr>
            </w:pPr>
            <w:r w:rsidRPr="00AA45E9">
              <w:rPr>
                <w:rFonts w:ascii="Times New Roman" w:hAnsi="Times New Roman"/>
                <w:sz w:val="18"/>
                <w:szCs w:val="18"/>
              </w:rPr>
              <w:t>Une explosion survient, les vapeurs d’essence résiduelles sont vraisemblablement à l’origine du sinistre. Un ouvrier se trouvant à l’intérieur du réservoir est tué et le deuxième est brûlé au 2</w:t>
            </w:r>
            <w:r w:rsidRPr="00AA45E9">
              <w:rPr>
                <w:rFonts w:ascii="Times New Roman" w:hAnsi="Times New Roman"/>
                <w:sz w:val="18"/>
                <w:szCs w:val="18"/>
                <w:vertAlign w:val="superscript"/>
              </w:rPr>
              <w:t>ème</w:t>
            </w:r>
            <w:r w:rsidRPr="00AA45E9">
              <w:rPr>
                <w:rFonts w:ascii="Times New Roman" w:hAnsi="Times New Roman"/>
                <w:sz w:val="18"/>
                <w:szCs w:val="18"/>
              </w:rPr>
              <w:t xml:space="preserve"> et 3</w:t>
            </w:r>
            <w:r w:rsidRPr="00AA45E9">
              <w:rPr>
                <w:rFonts w:ascii="Times New Roman" w:hAnsi="Times New Roman"/>
                <w:sz w:val="18"/>
                <w:szCs w:val="18"/>
                <w:vertAlign w:val="superscript"/>
              </w:rPr>
              <w:t>ème</w:t>
            </w:r>
            <w:r w:rsidRPr="00AA45E9">
              <w:rPr>
                <w:rFonts w:ascii="Times New Roman" w:hAnsi="Times New Roman"/>
                <w:sz w:val="18"/>
                <w:szCs w:val="18"/>
              </w:rPr>
              <w:t xml:space="preserve"> degré sur 65% de corps.</w:t>
            </w:r>
          </w:p>
        </w:tc>
      </w:tr>
      <w:tr w:rsidR="00764FFF" w:rsidRPr="00AA45E9" w:rsidTr="00CC4282">
        <w:trPr>
          <w:jc w:val="center"/>
        </w:trPr>
        <w:tc>
          <w:tcPr>
            <w:tcW w:w="421" w:type="dxa"/>
            <w:shd w:val="clear" w:color="auto" w:fill="E2EFD9"/>
            <w:vAlign w:val="center"/>
          </w:tcPr>
          <w:p w:rsidR="00764FFF" w:rsidRPr="00AA45E9" w:rsidRDefault="00764FFF" w:rsidP="00976673">
            <w:pPr>
              <w:spacing w:after="0" w:line="240" w:lineRule="auto"/>
              <w:jc w:val="center"/>
              <w:rPr>
                <w:rFonts w:ascii="Times New Roman" w:hAnsi="Times New Roman"/>
                <w:sz w:val="18"/>
                <w:szCs w:val="18"/>
              </w:rPr>
            </w:pPr>
            <w:r w:rsidRPr="00AA45E9">
              <w:rPr>
                <w:rFonts w:ascii="Times New Roman" w:hAnsi="Times New Roman"/>
                <w:sz w:val="18"/>
                <w:szCs w:val="18"/>
              </w:rPr>
              <w:t>07</w:t>
            </w:r>
          </w:p>
        </w:tc>
        <w:tc>
          <w:tcPr>
            <w:tcW w:w="2198" w:type="dxa"/>
            <w:vAlign w:val="center"/>
          </w:tcPr>
          <w:p w:rsidR="00764FFF" w:rsidRPr="00AA45E9" w:rsidRDefault="00764FFF" w:rsidP="00976673">
            <w:pPr>
              <w:spacing w:after="0" w:line="240" w:lineRule="auto"/>
              <w:jc w:val="both"/>
              <w:rPr>
                <w:rFonts w:ascii="Times New Roman" w:hAnsi="Times New Roman"/>
                <w:sz w:val="18"/>
                <w:szCs w:val="18"/>
              </w:rPr>
            </w:pPr>
            <w:r w:rsidRPr="00AA45E9">
              <w:rPr>
                <w:rFonts w:ascii="Times New Roman" w:hAnsi="Times New Roman"/>
                <w:sz w:val="18"/>
                <w:szCs w:val="18"/>
              </w:rPr>
              <w:t>N°14177 du 12/9/98 COREE DU SUD - PUCHON</w:t>
            </w:r>
          </w:p>
        </w:tc>
        <w:tc>
          <w:tcPr>
            <w:tcW w:w="1985" w:type="dxa"/>
            <w:vAlign w:val="center"/>
          </w:tcPr>
          <w:p w:rsidR="00764FFF" w:rsidRPr="00AA45E9" w:rsidRDefault="00764FFF" w:rsidP="00976673">
            <w:pPr>
              <w:spacing w:after="0" w:line="240" w:lineRule="auto"/>
              <w:jc w:val="both"/>
              <w:rPr>
                <w:rFonts w:ascii="Times New Roman" w:hAnsi="Times New Roman"/>
                <w:sz w:val="18"/>
                <w:szCs w:val="18"/>
              </w:rPr>
            </w:pPr>
            <w:r w:rsidRPr="00AA45E9">
              <w:rPr>
                <w:rFonts w:ascii="Times New Roman" w:hAnsi="Times New Roman"/>
                <w:sz w:val="18"/>
                <w:szCs w:val="18"/>
              </w:rPr>
              <w:t>Station d’essence</w:t>
            </w:r>
          </w:p>
        </w:tc>
        <w:tc>
          <w:tcPr>
            <w:tcW w:w="2872" w:type="dxa"/>
            <w:vAlign w:val="center"/>
          </w:tcPr>
          <w:p w:rsidR="00764FFF" w:rsidRPr="00AA45E9" w:rsidRDefault="00764FFF" w:rsidP="00976673">
            <w:pPr>
              <w:spacing w:after="0" w:line="240" w:lineRule="auto"/>
              <w:jc w:val="both"/>
              <w:rPr>
                <w:rFonts w:ascii="Times New Roman" w:hAnsi="Times New Roman"/>
                <w:sz w:val="18"/>
                <w:szCs w:val="18"/>
              </w:rPr>
            </w:pPr>
            <w:r w:rsidRPr="00AA45E9">
              <w:rPr>
                <w:rFonts w:ascii="Times New Roman" w:hAnsi="Times New Roman"/>
                <w:sz w:val="18"/>
                <w:szCs w:val="18"/>
              </w:rPr>
              <w:t>Un matériel défectueux ou une négligence dans les procédures de sécurité serait à l’origine de l’explosion</w:t>
            </w:r>
          </w:p>
        </w:tc>
        <w:tc>
          <w:tcPr>
            <w:tcW w:w="3000" w:type="dxa"/>
            <w:vAlign w:val="center"/>
          </w:tcPr>
          <w:p w:rsidR="00764FFF" w:rsidRPr="00AA45E9" w:rsidRDefault="00764FFF" w:rsidP="00976673">
            <w:pPr>
              <w:spacing w:after="0" w:line="240" w:lineRule="auto"/>
              <w:jc w:val="both"/>
              <w:rPr>
                <w:rFonts w:ascii="Times New Roman" w:hAnsi="Times New Roman"/>
                <w:sz w:val="18"/>
                <w:szCs w:val="18"/>
              </w:rPr>
            </w:pPr>
            <w:r w:rsidRPr="00AA45E9">
              <w:rPr>
                <w:rFonts w:ascii="Times New Roman" w:hAnsi="Times New Roman"/>
                <w:sz w:val="18"/>
                <w:szCs w:val="18"/>
              </w:rPr>
              <w:t>L’explosion détruit une douzaine de voiture, brise des fenêtres et blesse 55 personnes (23 pompiers et 6 personnes sont dans un état critique)</w:t>
            </w:r>
          </w:p>
        </w:tc>
      </w:tr>
      <w:tr w:rsidR="00764FFF" w:rsidRPr="00AA45E9" w:rsidTr="00CC4282">
        <w:trPr>
          <w:jc w:val="center"/>
        </w:trPr>
        <w:tc>
          <w:tcPr>
            <w:tcW w:w="421" w:type="dxa"/>
            <w:shd w:val="clear" w:color="auto" w:fill="E2EFD9"/>
            <w:vAlign w:val="center"/>
          </w:tcPr>
          <w:p w:rsidR="00764FFF" w:rsidRPr="00AA45E9" w:rsidRDefault="00764FFF" w:rsidP="00976673">
            <w:pPr>
              <w:spacing w:after="0" w:line="240" w:lineRule="auto"/>
              <w:jc w:val="center"/>
              <w:rPr>
                <w:rFonts w:ascii="Times New Roman" w:hAnsi="Times New Roman"/>
                <w:sz w:val="18"/>
                <w:szCs w:val="18"/>
              </w:rPr>
            </w:pPr>
            <w:r w:rsidRPr="00AA45E9">
              <w:rPr>
                <w:rFonts w:ascii="Times New Roman" w:hAnsi="Times New Roman"/>
                <w:sz w:val="18"/>
                <w:szCs w:val="18"/>
              </w:rPr>
              <w:t>08</w:t>
            </w:r>
          </w:p>
        </w:tc>
        <w:tc>
          <w:tcPr>
            <w:tcW w:w="2198" w:type="dxa"/>
            <w:vAlign w:val="center"/>
          </w:tcPr>
          <w:p w:rsidR="00764FFF" w:rsidRPr="00AA45E9" w:rsidRDefault="00764FFF" w:rsidP="00976673">
            <w:pPr>
              <w:spacing w:after="0" w:line="240" w:lineRule="auto"/>
              <w:jc w:val="both"/>
              <w:rPr>
                <w:rFonts w:ascii="Times New Roman" w:hAnsi="Times New Roman"/>
                <w:sz w:val="18"/>
                <w:szCs w:val="18"/>
              </w:rPr>
            </w:pPr>
            <w:r w:rsidRPr="00AA45E9">
              <w:rPr>
                <w:rFonts w:ascii="Times New Roman" w:hAnsi="Times New Roman"/>
                <w:sz w:val="18"/>
                <w:szCs w:val="18"/>
              </w:rPr>
              <w:t>N°691 du 11/05/88 CRETEIL</w:t>
            </w:r>
          </w:p>
        </w:tc>
        <w:tc>
          <w:tcPr>
            <w:tcW w:w="1985" w:type="dxa"/>
            <w:vAlign w:val="center"/>
          </w:tcPr>
          <w:p w:rsidR="00764FFF" w:rsidRPr="00AA45E9" w:rsidRDefault="00764FFF" w:rsidP="00976673">
            <w:pPr>
              <w:spacing w:after="0" w:line="240" w:lineRule="auto"/>
              <w:jc w:val="both"/>
              <w:rPr>
                <w:rFonts w:ascii="Times New Roman" w:hAnsi="Times New Roman"/>
                <w:sz w:val="18"/>
                <w:szCs w:val="18"/>
              </w:rPr>
            </w:pPr>
            <w:r w:rsidRPr="00AA45E9">
              <w:rPr>
                <w:rFonts w:ascii="Times New Roman" w:hAnsi="Times New Roman"/>
                <w:sz w:val="18"/>
                <w:szCs w:val="18"/>
              </w:rPr>
              <w:t>Camion - citerne</w:t>
            </w:r>
          </w:p>
        </w:tc>
        <w:tc>
          <w:tcPr>
            <w:tcW w:w="2872" w:type="dxa"/>
            <w:vAlign w:val="center"/>
          </w:tcPr>
          <w:p w:rsidR="00764FFF" w:rsidRPr="00AA45E9" w:rsidRDefault="00764FFF" w:rsidP="00976673">
            <w:pPr>
              <w:spacing w:after="0" w:line="240" w:lineRule="auto"/>
              <w:jc w:val="both"/>
              <w:rPr>
                <w:rFonts w:ascii="Times New Roman" w:hAnsi="Times New Roman"/>
                <w:sz w:val="18"/>
                <w:szCs w:val="18"/>
              </w:rPr>
            </w:pPr>
            <w:r w:rsidRPr="00AA45E9">
              <w:rPr>
                <w:rFonts w:ascii="Times New Roman" w:hAnsi="Times New Roman"/>
                <w:sz w:val="18"/>
                <w:szCs w:val="18"/>
              </w:rPr>
              <w:t>Un flexible de dépotage est arraché lors de la livraison de super dans une S.S</w:t>
            </w:r>
          </w:p>
        </w:tc>
        <w:tc>
          <w:tcPr>
            <w:tcW w:w="3000" w:type="dxa"/>
            <w:vAlign w:val="center"/>
          </w:tcPr>
          <w:p w:rsidR="00764FFF" w:rsidRPr="00AA45E9" w:rsidRDefault="00764FFF" w:rsidP="00976673">
            <w:pPr>
              <w:spacing w:after="0" w:line="240" w:lineRule="auto"/>
              <w:jc w:val="both"/>
              <w:rPr>
                <w:rFonts w:ascii="Times New Roman" w:hAnsi="Times New Roman"/>
                <w:sz w:val="18"/>
                <w:szCs w:val="18"/>
              </w:rPr>
            </w:pPr>
            <w:r w:rsidRPr="00AA45E9">
              <w:rPr>
                <w:rFonts w:ascii="Times New Roman" w:hAnsi="Times New Roman"/>
                <w:sz w:val="18"/>
                <w:szCs w:val="18"/>
              </w:rPr>
              <w:t>300 l de carburant se déversent sur la chaussée</w:t>
            </w:r>
          </w:p>
        </w:tc>
      </w:tr>
      <w:tr w:rsidR="00764FFF" w:rsidRPr="00AA45E9" w:rsidTr="00CC4282">
        <w:trPr>
          <w:jc w:val="center"/>
        </w:trPr>
        <w:tc>
          <w:tcPr>
            <w:tcW w:w="421" w:type="dxa"/>
            <w:shd w:val="clear" w:color="auto" w:fill="E2EFD9"/>
            <w:vAlign w:val="center"/>
          </w:tcPr>
          <w:p w:rsidR="00764FFF" w:rsidRPr="00AA45E9" w:rsidRDefault="00764FFF" w:rsidP="00976673">
            <w:pPr>
              <w:spacing w:after="0" w:line="240" w:lineRule="auto"/>
              <w:jc w:val="center"/>
              <w:rPr>
                <w:rFonts w:ascii="Times New Roman" w:hAnsi="Times New Roman"/>
                <w:sz w:val="18"/>
                <w:szCs w:val="18"/>
              </w:rPr>
            </w:pPr>
            <w:r w:rsidRPr="00AA45E9">
              <w:rPr>
                <w:rFonts w:ascii="Times New Roman" w:hAnsi="Times New Roman"/>
                <w:sz w:val="18"/>
                <w:szCs w:val="18"/>
              </w:rPr>
              <w:t>09</w:t>
            </w:r>
          </w:p>
        </w:tc>
        <w:tc>
          <w:tcPr>
            <w:tcW w:w="2198" w:type="dxa"/>
            <w:vAlign w:val="center"/>
          </w:tcPr>
          <w:p w:rsidR="00764FFF" w:rsidRPr="00AA45E9" w:rsidRDefault="00764FFF" w:rsidP="00976673">
            <w:pPr>
              <w:spacing w:after="0" w:line="240" w:lineRule="auto"/>
              <w:jc w:val="both"/>
              <w:rPr>
                <w:rFonts w:ascii="Times New Roman" w:hAnsi="Times New Roman"/>
                <w:sz w:val="18"/>
                <w:szCs w:val="18"/>
              </w:rPr>
            </w:pPr>
            <w:r w:rsidRPr="00AA45E9">
              <w:rPr>
                <w:rFonts w:ascii="Times New Roman" w:hAnsi="Times New Roman"/>
                <w:sz w:val="18"/>
                <w:szCs w:val="18"/>
              </w:rPr>
              <w:t>N°927 du 04/11/89-73 AIGUEBELLE</w:t>
            </w:r>
          </w:p>
        </w:tc>
        <w:tc>
          <w:tcPr>
            <w:tcW w:w="1985" w:type="dxa"/>
            <w:vAlign w:val="center"/>
          </w:tcPr>
          <w:p w:rsidR="00764FFF" w:rsidRPr="00AA45E9" w:rsidRDefault="00764FFF" w:rsidP="00976673">
            <w:pPr>
              <w:spacing w:after="0" w:line="240" w:lineRule="auto"/>
              <w:jc w:val="both"/>
              <w:rPr>
                <w:rFonts w:ascii="Times New Roman" w:hAnsi="Times New Roman"/>
                <w:sz w:val="18"/>
                <w:szCs w:val="18"/>
              </w:rPr>
            </w:pPr>
            <w:r w:rsidRPr="00AA45E9">
              <w:rPr>
                <w:rFonts w:ascii="Times New Roman" w:hAnsi="Times New Roman"/>
                <w:sz w:val="18"/>
                <w:szCs w:val="18"/>
              </w:rPr>
              <w:t>Pompes à essence</w:t>
            </w:r>
          </w:p>
        </w:tc>
        <w:tc>
          <w:tcPr>
            <w:tcW w:w="2872" w:type="dxa"/>
            <w:vAlign w:val="center"/>
          </w:tcPr>
          <w:p w:rsidR="00764FFF" w:rsidRPr="00AA45E9" w:rsidRDefault="00764FFF" w:rsidP="00976673">
            <w:pPr>
              <w:spacing w:after="0" w:line="240" w:lineRule="auto"/>
              <w:jc w:val="both"/>
              <w:rPr>
                <w:rFonts w:ascii="Times New Roman" w:hAnsi="Times New Roman"/>
                <w:sz w:val="18"/>
                <w:szCs w:val="18"/>
              </w:rPr>
            </w:pPr>
            <w:r w:rsidRPr="00AA45E9">
              <w:rPr>
                <w:rFonts w:ascii="Times New Roman" w:hAnsi="Times New Roman"/>
                <w:sz w:val="18"/>
                <w:szCs w:val="18"/>
              </w:rPr>
              <w:t>Un poids lourd se renverse sur deux pompes à essences d’une S.S</w:t>
            </w:r>
          </w:p>
        </w:tc>
        <w:tc>
          <w:tcPr>
            <w:tcW w:w="3000" w:type="dxa"/>
            <w:vAlign w:val="center"/>
          </w:tcPr>
          <w:p w:rsidR="00764FFF" w:rsidRPr="00AA45E9" w:rsidRDefault="00764FFF" w:rsidP="00976673">
            <w:pPr>
              <w:spacing w:after="0" w:line="240" w:lineRule="auto"/>
              <w:jc w:val="both"/>
              <w:rPr>
                <w:rFonts w:ascii="Times New Roman" w:hAnsi="Times New Roman"/>
                <w:sz w:val="18"/>
                <w:szCs w:val="18"/>
              </w:rPr>
            </w:pPr>
            <w:r w:rsidRPr="00AA45E9">
              <w:rPr>
                <w:rFonts w:ascii="Times New Roman" w:hAnsi="Times New Roman"/>
                <w:sz w:val="18"/>
                <w:szCs w:val="18"/>
              </w:rPr>
              <w:t>Un incendie se déclare. Deux blessés légers sont à déplorer</w:t>
            </w:r>
          </w:p>
        </w:tc>
      </w:tr>
      <w:tr w:rsidR="00764FFF" w:rsidRPr="00AA45E9" w:rsidTr="00CC4282">
        <w:trPr>
          <w:jc w:val="center"/>
        </w:trPr>
        <w:tc>
          <w:tcPr>
            <w:tcW w:w="421" w:type="dxa"/>
            <w:shd w:val="clear" w:color="auto" w:fill="E2EFD9"/>
            <w:vAlign w:val="center"/>
          </w:tcPr>
          <w:p w:rsidR="00764FFF" w:rsidRPr="00AA45E9" w:rsidRDefault="00764FFF" w:rsidP="00976673">
            <w:pPr>
              <w:spacing w:after="0" w:line="240" w:lineRule="auto"/>
              <w:jc w:val="center"/>
              <w:rPr>
                <w:rFonts w:ascii="Times New Roman" w:hAnsi="Times New Roman"/>
                <w:sz w:val="18"/>
                <w:szCs w:val="18"/>
              </w:rPr>
            </w:pPr>
            <w:r w:rsidRPr="00AA45E9">
              <w:rPr>
                <w:rFonts w:ascii="Times New Roman" w:hAnsi="Times New Roman"/>
                <w:sz w:val="18"/>
                <w:szCs w:val="18"/>
              </w:rPr>
              <w:lastRenderedPageBreak/>
              <w:t>10</w:t>
            </w:r>
          </w:p>
        </w:tc>
        <w:tc>
          <w:tcPr>
            <w:tcW w:w="2198" w:type="dxa"/>
            <w:vAlign w:val="center"/>
          </w:tcPr>
          <w:p w:rsidR="00764FFF" w:rsidRPr="00AA45E9" w:rsidRDefault="00764FFF" w:rsidP="00976673">
            <w:pPr>
              <w:spacing w:after="0" w:line="240" w:lineRule="auto"/>
              <w:jc w:val="both"/>
              <w:rPr>
                <w:rFonts w:ascii="Times New Roman" w:hAnsi="Times New Roman"/>
                <w:sz w:val="18"/>
                <w:szCs w:val="18"/>
              </w:rPr>
            </w:pPr>
            <w:r w:rsidRPr="00AA45E9">
              <w:rPr>
                <w:rFonts w:ascii="Times New Roman" w:hAnsi="Times New Roman"/>
                <w:sz w:val="18"/>
                <w:szCs w:val="18"/>
              </w:rPr>
              <w:t>N°2079 du 11/07/1990-78 MARLY-LE-ROI</w:t>
            </w:r>
          </w:p>
        </w:tc>
        <w:tc>
          <w:tcPr>
            <w:tcW w:w="1985" w:type="dxa"/>
            <w:vAlign w:val="center"/>
          </w:tcPr>
          <w:p w:rsidR="00764FFF" w:rsidRPr="00AA45E9" w:rsidRDefault="00764FFF" w:rsidP="00976673">
            <w:pPr>
              <w:spacing w:after="0" w:line="240" w:lineRule="auto"/>
              <w:jc w:val="both"/>
              <w:rPr>
                <w:rFonts w:ascii="Times New Roman" w:hAnsi="Times New Roman"/>
                <w:sz w:val="18"/>
                <w:szCs w:val="18"/>
              </w:rPr>
            </w:pPr>
            <w:r w:rsidRPr="00AA45E9">
              <w:rPr>
                <w:rFonts w:ascii="Times New Roman" w:hAnsi="Times New Roman"/>
                <w:sz w:val="18"/>
                <w:szCs w:val="18"/>
              </w:rPr>
              <w:t>Citerne</w:t>
            </w:r>
          </w:p>
        </w:tc>
        <w:tc>
          <w:tcPr>
            <w:tcW w:w="2872" w:type="dxa"/>
            <w:vAlign w:val="center"/>
          </w:tcPr>
          <w:p w:rsidR="00764FFF" w:rsidRPr="00AA45E9" w:rsidRDefault="00764FFF" w:rsidP="00976673">
            <w:pPr>
              <w:spacing w:after="0" w:line="240" w:lineRule="auto"/>
              <w:jc w:val="both"/>
              <w:rPr>
                <w:rFonts w:ascii="Times New Roman" w:hAnsi="Times New Roman"/>
                <w:sz w:val="18"/>
                <w:szCs w:val="18"/>
              </w:rPr>
            </w:pPr>
            <w:r w:rsidRPr="00AA45E9">
              <w:rPr>
                <w:rFonts w:ascii="Times New Roman" w:hAnsi="Times New Roman"/>
                <w:sz w:val="18"/>
                <w:szCs w:val="18"/>
              </w:rPr>
              <w:t>Une fuite de carburant se produit au moment du remplissage d’une citerne</w:t>
            </w:r>
          </w:p>
        </w:tc>
        <w:tc>
          <w:tcPr>
            <w:tcW w:w="3000" w:type="dxa"/>
            <w:vAlign w:val="center"/>
          </w:tcPr>
          <w:p w:rsidR="00764FFF" w:rsidRPr="00AA45E9" w:rsidRDefault="00764FFF" w:rsidP="00976673">
            <w:pPr>
              <w:spacing w:after="0" w:line="240" w:lineRule="auto"/>
              <w:jc w:val="both"/>
              <w:rPr>
                <w:rFonts w:ascii="Times New Roman" w:hAnsi="Times New Roman"/>
                <w:sz w:val="18"/>
                <w:szCs w:val="18"/>
              </w:rPr>
            </w:pPr>
            <w:r w:rsidRPr="00AA45E9">
              <w:rPr>
                <w:rFonts w:ascii="Times New Roman" w:hAnsi="Times New Roman"/>
                <w:sz w:val="18"/>
                <w:szCs w:val="18"/>
              </w:rPr>
              <w:t>Des explosions puis un incendie se produisent. Trois personnes sont blessées dont un très gravement. La S.S est totalement détruite</w:t>
            </w:r>
          </w:p>
        </w:tc>
      </w:tr>
      <w:tr w:rsidR="00764FFF" w:rsidRPr="00AA45E9" w:rsidTr="00CC4282">
        <w:trPr>
          <w:jc w:val="center"/>
        </w:trPr>
        <w:tc>
          <w:tcPr>
            <w:tcW w:w="421" w:type="dxa"/>
            <w:shd w:val="clear" w:color="auto" w:fill="E2EFD9"/>
            <w:vAlign w:val="center"/>
          </w:tcPr>
          <w:p w:rsidR="00764FFF" w:rsidRPr="00AA45E9" w:rsidRDefault="00764FFF" w:rsidP="00976673">
            <w:pPr>
              <w:spacing w:after="0" w:line="240" w:lineRule="auto"/>
              <w:jc w:val="center"/>
              <w:rPr>
                <w:rFonts w:ascii="Times New Roman" w:hAnsi="Times New Roman"/>
                <w:sz w:val="18"/>
                <w:szCs w:val="18"/>
              </w:rPr>
            </w:pPr>
            <w:r w:rsidRPr="00AA45E9">
              <w:rPr>
                <w:rFonts w:ascii="Times New Roman" w:hAnsi="Times New Roman"/>
                <w:sz w:val="18"/>
                <w:szCs w:val="18"/>
              </w:rPr>
              <w:t>11</w:t>
            </w:r>
          </w:p>
        </w:tc>
        <w:tc>
          <w:tcPr>
            <w:tcW w:w="2198" w:type="dxa"/>
            <w:vAlign w:val="center"/>
          </w:tcPr>
          <w:p w:rsidR="00764FFF" w:rsidRPr="00AA45E9" w:rsidRDefault="00764FFF" w:rsidP="00976673">
            <w:pPr>
              <w:spacing w:after="0" w:line="240" w:lineRule="auto"/>
              <w:jc w:val="both"/>
              <w:rPr>
                <w:rFonts w:ascii="Times New Roman" w:hAnsi="Times New Roman"/>
                <w:sz w:val="18"/>
                <w:szCs w:val="18"/>
              </w:rPr>
            </w:pPr>
            <w:r w:rsidRPr="00AA45E9">
              <w:rPr>
                <w:rFonts w:ascii="Times New Roman" w:hAnsi="Times New Roman"/>
                <w:sz w:val="18"/>
                <w:szCs w:val="18"/>
              </w:rPr>
              <w:t>N°2754 du 24/7/91 MARSEILLE</w:t>
            </w:r>
          </w:p>
        </w:tc>
        <w:tc>
          <w:tcPr>
            <w:tcW w:w="1985" w:type="dxa"/>
            <w:vAlign w:val="center"/>
          </w:tcPr>
          <w:p w:rsidR="00764FFF" w:rsidRPr="00AA45E9" w:rsidRDefault="00764FFF" w:rsidP="00976673">
            <w:pPr>
              <w:spacing w:after="0" w:line="240" w:lineRule="auto"/>
              <w:jc w:val="both"/>
              <w:rPr>
                <w:rFonts w:ascii="Times New Roman" w:hAnsi="Times New Roman"/>
                <w:sz w:val="18"/>
                <w:szCs w:val="18"/>
              </w:rPr>
            </w:pPr>
            <w:r w:rsidRPr="00AA45E9">
              <w:rPr>
                <w:rFonts w:ascii="Times New Roman" w:hAnsi="Times New Roman"/>
                <w:sz w:val="18"/>
                <w:szCs w:val="18"/>
              </w:rPr>
              <w:t>Camion-citerne</w:t>
            </w:r>
          </w:p>
        </w:tc>
        <w:tc>
          <w:tcPr>
            <w:tcW w:w="2872" w:type="dxa"/>
            <w:vAlign w:val="center"/>
          </w:tcPr>
          <w:p w:rsidR="00764FFF" w:rsidRPr="00AA45E9" w:rsidRDefault="00764FFF" w:rsidP="00976673">
            <w:pPr>
              <w:spacing w:after="0" w:line="240" w:lineRule="auto"/>
              <w:jc w:val="both"/>
              <w:rPr>
                <w:rFonts w:ascii="Times New Roman" w:hAnsi="Times New Roman"/>
                <w:sz w:val="18"/>
                <w:szCs w:val="18"/>
              </w:rPr>
            </w:pPr>
            <w:r w:rsidRPr="00AA45E9">
              <w:rPr>
                <w:rFonts w:ascii="Times New Roman" w:hAnsi="Times New Roman"/>
                <w:sz w:val="18"/>
                <w:szCs w:val="18"/>
              </w:rPr>
              <w:t>Inconnue</w:t>
            </w:r>
          </w:p>
        </w:tc>
        <w:tc>
          <w:tcPr>
            <w:tcW w:w="3000" w:type="dxa"/>
            <w:vAlign w:val="center"/>
          </w:tcPr>
          <w:p w:rsidR="00764FFF" w:rsidRPr="00AA45E9" w:rsidRDefault="00764FFF" w:rsidP="00976673">
            <w:pPr>
              <w:spacing w:after="0" w:line="240" w:lineRule="auto"/>
              <w:jc w:val="both"/>
              <w:rPr>
                <w:rFonts w:ascii="Times New Roman" w:hAnsi="Times New Roman"/>
                <w:sz w:val="18"/>
                <w:szCs w:val="18"/>
              </w:rPr>
            </w:pPr>
            <w:r w:rsidRPr="00AA45E9">
              <w:rPr>
                <w:rFonts w:ascii="Times New Roman" w:hAnsi="Times New Roman"/>
                <w:sz w:val="18"/>
                <w:szCs w:val="18"/>
              </w:rPr>
              <w:t>Un incendie détruit un camion-citerne stationné dans une S.S</w:t>
            </w:r>
          </w:p>
        </w:tc>
      </w:tr>
      <w:tr w:rsidR="00764FFF" w:rsidRPr="00AA45E9" w:rsidTr="00CC4282">
        <w:trPr>
          <w:jc w:val="center"/>
        </w:trPr>
        <w:tc>
          <w:tcPr>
            <w:tcW w:w="421" w:type="dxa"/>
            <w:shd w:val="clear" w:color="auto" w:fill="E2EFD9"/>
            <w:vAlign w:val="center"/>
          </w:tcPr>
          <w:p w:rsidR="00764FFF" w:rsidRPr="00AA45E9" w:rsidRDefault="00764FFF" w:rsidP="00976673">
            <w:pPr>
              <w:spacing w:after="0" w:line="240" w:lineRule="auto"/>
              <w:jc w:val="center"/>
              <w:rPr>
                <w:rFonts w:ascii="Times New Roman" w:hAnsi="Times New Roman"/>
                <w:sz w:val="18"/>
                <w:szCs w:val="18"/>
              </w:rPr>
            </w:pPr>
            <w:r w:rsidRPr="00AA45E9">
              <w:rPr>
                <w:rFonts w:ascii="Times New Roman" w:hAnsi="Times New Roman"/>
                <w:sz w:val="18"/>
                <w:szCs w:val="18"/>
              </w:rPr>
              <w:t>12</w:t>
            </w:r>
          </w:p>
        </w:tc>
        <w:tc>
          <w:tcPr>
            <w:tcW w:w="2198" w:type="dxa"/>
            <w:vAlign w:val="center"/>
          </w:tcPr>
          <w:p w:rsidR="00764FFF" w:rsidRPr="00AA45E9" w:rsidRDefault="00764FFF" w:rsidP="00976673">
            <w:pPr>
              <w:spacing w:after="0" w:line="240" w:lineRule="auto"/>
              <w:jc w:val="both"/>
              <w:rPr>
                <w:rFonts w:ascii="Times New Roman" w:hAnsi="Times New Roman"/>
                <w:sz w:val="18"/>
                <w:szCs w:val="18"/>
              </w:rPr>
            </w:pPr>
            <w:r w:rsidRPr="00AA45E9">
              <w:rPr>
                <w:rFonts w:ascii="Times New Roman" w:hAnsi="Times New Roman"/>
                <w:sz w:val="18"/>
                <w:szCs w:val="18"/>
              </w:rPr>
              <w:t>15/01/1993 GIVORS</w:t>
            </w:r>
          </w:p>
        </w:tc>
        <w:tc>
          <w:tcPr>
            <w:tcW w:w="1985" w:type="dxa"/>
            <w:vAlign w:val="center"/>
          </w:tcPr>
          <w:p w:rsidR="00764FFF" w:rsidRPr="00AA45E9" w:rsidRDefault="00764FFF" w:rsidP="00976673">
            <w:pPr>
              <w:spacing w:after="0" w:line="240" w:lineRule="auto"/>
              <w:jc w:val="both"/>
              <w:rPr>
                <w:rFonts w:ascii="Times New Roman" w:hAnsi="Times New Roman"/>
                <w:sz w:val="18"/>
                <w:szCs w:val="18"/>
              </w:rPr>
            </w:pPr>
            <w:r w:rsidRPr="00AA45E9">
              <w:rPr>
                <w:rFonts w:ascii="Times New Roman" w:hAnsi="Times New Roman"/>
                <w:sz w:val="18"/>
                <w:szCs w:val="18"/>
              </w:rPr>
              <w:t>Cuve enterrée de super</w:t>
            </w:r>
          </w:p>
        </w:tc>
        <w:tc>
          <w:tcPr>
            <w:tcW w:w="2872" w:type="dxa"/>
            <w:vAlign w:val="center"/>
          </w:tcPr>
          <w:p w:rsidR="00764FFF" w:rsidRPr="00AA45E9" w:rsidRDefault="00764FFF" w:rsidP="00976673">
            <w:pPr>
              <w:spacing w:after="0" w:line="240" w:lineRule="auto"/>
              <w:jc w:val="both"/>
              <w:rPr>
                <w:rFonts w:ascii="Times New Roman" w:hAnsi="Times New Roman"/>
                <w:sz w:val="18"/>
                <w:szCs w:val="18"/>
              </w:rPr>
            </w:pPr>
            <w:r w:rsidRPr="00AA45E9">
              <w:rPr>
                <w:rFonts w:ascii="Times New Roman" w:hAnsi="Times New Roman"/>
                <w:sz w:val="18"/>
                <w:szCs w:val="18"/>
              </w:rPr>
              <w:t xml:space="preserve">Accident dû à une fuite sur un joint du tampon de remplissage </w:t>
            </w:r>
          </w:p>
        </w:tc>
        <w:tc>
          <w:tcPr>
            <w:tcW w:w="3000" w:type="dxa"/>
            <w:vAlign w:val="center"/>
          </w:tcPr>
          <w:p w:rsidR="00764FFF" w:rsidRPr="00AA45E9" w:rsidRDefault="00764FFF" w:rsidP="00976673">
            <w:pPr>
              <w:spacing w:after="0" w:line="240" w:lineRule="auto"/>
              <w:jc w:val="both"/>
              <w:rPr>
                <w:rFonts w:ascii="Times New Roman" w:hAnsi="Times New Roman"/>
                <w:sz w:val="18"/>
                <w:szCs w:val="18"/>
              </w:rPr>
            </w:pPr>
            <w:r w:rsidRPr="00AA45E9">
              <w:rPr>
                <w:rFonts w:ascii="Times New Roman" w:hAnsi="Times New Roman"/>
                <w:sz w:val="18"/>
                <w:szCs w:val="18"/>
              </w:rPr>
              <w:t>Inflammation du ciel gazeux d’une cuve enterrée de super provoque une explosion</w:t>
            </w:r>
          </w:p>
        </w:tc>
      </w:tr>
      <w:tr w:rsidR="00764FFF" w:rsidRPr="00AA45E9" w:rsidTr="00CC4282">
        <w:trPr>
          <w:jc w:val="center"/>
        </w:trPr>
        <w:tc>
          <w:tcPr>
            <w:tcW w:w="421" w:type="dxa"/>
            <w:shd w:val="clear" w:color="auto" w:fill="E2EFD9"/>
            <w:vAlign w:val="center"/>
          </w:tcPr>
          <w:p w:rsidR="00764FFF" w:rsidRPr="00AA45E9" w:rsidRDefault="00764FFF" w:rsidP="00976673">
            <w:pPr>
              <w:spacing w:after="0" w:line="240" w:lineRule="auto"/>
              <w:jc w:val="center"/>
              <w:rPr>
                <w:rFonts w:ascii="Times New Roman" w:hAnsi="Times New Roman"/>
                <w:sz w:val="18"/>
                <w:szCs w:val="18"/>
              </w:rPr>
            </w:pPr>
            <w:r w:rsidRPr="00AA45E9">
              <w:rPr>
                <w:rFonts w:ascii="Times New Roman" w:hAnsi="Times New Roman"/>
                <w:sz w:val="18"/>
                <w:szCs w:val="18"/>
              </w:rPr>
              <w:t>13</w:t>
            </w:r>
          </w:p>
        </w:tc>
        <w:tc>
          <w:tcPr>
            <w:tcW w:w="2198" w:type="dxa"/>
            <w:vAlign w:val="center"/>
          </w:tcPr>
          <w:p w:rsidR="00764FFF" w:rsidRPr="00AA45E9" w:rsidRDefault="00764FFF" w:rsidP="00976673">
            <w:pPr>
              <w:spacing w:after="0" w:line="240" w:lineRule="auto"/>
              <w:jc w:val="both"/>
              <w:rPr>
                <w:rFonts w:ascii="Times New Roman" w:hAnsi="Times New Roman"/>
                <w:sz w:val="18"/>
                <w:szCs w:val="18"/>
              </w:rPr>
            </w:pPr>
            <w:r w:rsidRPr="00AA45E9">
              <w:rPr>
                <w:rFonts w:ascii="Times New Roman" w:hAnsi="Times New Roman"/>
                <w:sz w:val="18"/>
                <w:szCs w:val="18"/>
              </w:rPr>
              <w:t>15/10/1993 CUSSET (ALLIER) France</w:t>
            </w:r>
          </w:p>
        </w:tc>
        <w:tc>
          <w:tcPr>
            <w:tcW w:w="1985" w:type="dxa"/>
            <w:vAlign w:val="center"/>
          </w:tcPr>
          <w:p w:rsidR="00764FFF" w:rsidRPr="00AA45E9" w:rsidRDefault="00764FFF" w:rsidP="00976673">
            <w:pPr>
              <w:spacing w:after="0" w:line="240" w:lineRule="auto"/>
              <w:jc w:val="both"/>
              <w:rPr>
                <w:rFonts w:ascii="Times New Roman" w:hAnsi="Times New Roman"/>
                <w:sz w:val="18"/>
                <w:szCs w:val="18"/>
              </w:rPr>
            </w:pPr>
            <w:r w:rsidRPr="00AA45E9">
              <w:rPr>
                <w:rFonts w:ascii="Times New Roman" w:hAnsi="Times New Roman"/>
                <w:sz w:val="18"/>
                <w:szCs w:val="18"/>
              </w:rPr>
              <w:t>Dépôt de produits pétroliers</w:t>
            </w:r>
          </w:p>
        </w:tc>
        <w:tc>
          <w:tcPr>
            <w:tcW w:w="2872" w:type="dxa"/>
            <w:vAlign w:val="center"/>
          </w:tcPr>
          <w:p w:rsidR="00764FFF" w:rsidRPr="00AA45E9" w:rsidRDefault="00764FFF" w:rsidP="00976673">
            <w:pPr>
              <w:spacing w:after="0" w:line="240" w:lineRule="auto"/>
              <w:jc w:val="both"/>
              <w:rPr>
                <w:rFonts w:ascii="Times New Roman" w:hAnsi="Times New Roman"/>
                <w:sz w:val="18"/>
                <w:szCs w:val="18"/>
              </w:rPr>
            </w:pPr>
            <w:r w:rsidRPr="00AA45E9">
              <w:rPr>
                <w:rFonts w:ascii="Times New Roman" w:hAnsi="Times New Roman"/>
                <w:sz w:val="18"/>
                <w:szCs w:val="18"/>
              </w:rPr>
              <w:t>Explosion de citerne en cours de dépotage. L’inspection des ICPE est favorable à l’hypothèse d’une fuite sur flexible de refoulement ayant favorisé un « brouillard » d’hydrocarbures enflammé par l’échappement de la pompe.</w:t>
            </w:r>
          </w:p>
        </w:tc>
        <w:tc>
          <w:tcPr>
            <w:tcW w:w="3000" w:type="dxa"/>
            <w:vAlign w:val="center"/>
          </w:tcPr>
          <w:p w:rsidR="00764FFF" w:rsidRPr="00AA45E9" w:rsidRDefault="00764FFF" w:rsidP="00976673">
            <w:pPr>
              <w:spacing w:after="0" w:line="240" w:lineRule="auto"/>
              <w:jc w:val="both"/>
              <w:rPr>
                <w:rFonts w:ascii="Times New Roman" w:hAnsi="Times New Roman"/>
                <w:sz w:val="18"/>
                <w:szCs w:val="18"/>
              </w:rPr>
            </w:pPr>
            <w:r w:rsidRPr="00AA45E9">
              <w:rPr>
                <w:rFonts w:ascii="Times New Roman" w:hAnsi="Times New Roman"/>
                <w:sz w:val="18"/>
                <w:szCs w:val="18"/>
              </w:rPr>
              <w:t>Le chauffeur et un pompier sont blessés.</w:t>
            </w:r>
          </w:p>
          <w:p w:rsidR="00764FFF" w:rsidRPr="00AA45E9" w:rsidRDefault="00764FFF" w:rsidP="00976673">
            <w:pPr>
              <w:spacing w:after="0" w:line="240" w:lineRule="auto"/>
              <w:jc w:val="both"/>
              <w:rPr>
                <w:rFonts w:ascii="Times New Roman" w:hAnsi="Times New Roman"/>
                <w:sz w:val="18"/>
                <w:szCs w:val="18"/>
              </w:rPr>
            </w:pPr>
            <w:r w:rsidRPr="00AA45E9">
              <w:rPr>
                <w:rFonts w:ascii="Times New Roman" w:hAnsi="Times New Roman"/>
                <w:sz w:val="18"/>
                <w:szCs w:val="18"/>
              </w:rPr>
              <w:t>-une citerne routière est détruite</w:t>
            </w:r>
          </w:p>
          <w:p w:rsidR="00764FFF" w:rsidRPr="00AA45E9" w:rsidRDefault="00764FFF" w:rsidP="00976673">
            <w:pPr>
              <w:spacing w:after="0" w:line="240" w:lineRule="auto"/>
              <w:jc w:val="both"/>
              <w:rPr>
                <w:rFonts w:ascii="Times New Roman" w:hAnsi="Times New Roman"/>
                <w:sz w:val="18"/>
                <w:szCs w:val="18"/>
              </w:rPr>
            </w:pPr>
            <w:r w:rsidRPr="00AA45E9">
              <w:rPr>
                <w:rFonts w:ascii="Times New Roman" w:hAnsi="Times New Roman"/>
                <w:sz w:val="18"/>
                <w:szCs w:val="18"/>
              </w:rPr>
              <w:t>-deux tracteurs sont endommagés</w:t>
            </w:r>
          </w:p>
          <w:p w:rsidR="00764FFF" w:rsidRPr="00AA45E9" w:rsidRDefault="00764FFF" w:rsidP="00976673">
            <w:pPr>
              <w:spacing w:after="0" w:line="240" w:lineRule="auto"/>
              <w:jc w:val="both"/>
              <w:rPr>
                <w:rFonts w:ascii="Times New Roman" w:hAnsi="Times New Roman"/>
                <w:sz w:val="18"/>
                <w:szCs w:val="18"/>
              </w:rPr>
            </w:pPr>
            <w:r w:rsidRPr="00AA45E9">
              <w:rPr>
                <w:rFonts w:ascii="Times New Roman" w:hAnsi="Times New Roman"/>
                <w:sz w:val="18"/>
                <w:szCs w:val="18"/>
              </w:rPr>
              <w:t>‘la station de remplissage des véhicules citernes est détruite</w:t>
            </w:r>
          </w:p>
        </w:tc>
      </w:tr>
    </w:tbl>
    <w:p w:rsidR="000C12E5" w:rsidRDefault="000C12E5" w:rsidP="000C12E5">
      <w:pPr>
        <w:overflowPunct w:val="0"/>
        <w:autoSpaceDE w:val="0"/>
        <w:autoSpaceDN w:val="0"/>
        <w:adjustRightInd w:val="0"/>
        <w:spacing w:after="0" w:line="240" w:lineRule="auto"/>
        <w:ind w:right="-711"/>
        <w:jc w:val="center"/>
        <w:rPr>
          <w:rFonts w:ascii="Times New Roman" w:eastAsia="Times New Roman" w:hAnsi="Times New Roman"/>
          <w:b/>
          <w:bCs/>
          <w:sz w:val="20"/>
          <w:szCs w:val="20"/>
          <w:lang w:eastAsia="fr-FR"/>
        </w:rPr>
      </w:pPr>
    </w:p>
    <w:p w:rsidR="000C12E5" w:rsidRPr="00BA3EE1" w:rsidRDefault="000C12E5" w:rsidP="000C12E5">
      <w:pPr>
        <w:jc w:val="center"/>
        <w:rPr>
          <w:rFonts w:ascii="Times New Roman" w:hAnsi="Times New Roman" w:cs="Times New Roman"/>
          <w:b/>
          <w:sz w:val="20"/>
          <w:szCs w:val="20"/>
        </w:rPr>
      </w:pPr>
      <w:bookmarkStart w:id="440" w:name="_Toc51074020"/>
      <w:r w:rsidRPr="00BA3EE1">
        <w:rPr>
          <w:rFonts w:ascii="Times New Roman" w:hAnsi="Times New Roman" w:cs="Times New Roman"/>
          <w:b/>
          <w:sz w:val="20"/>
          <w:szCs w:val="20"/>
        </w:rPr>
        <w:t xml:space="preserve">Tableau </w:t>
      </w:r>
      <w:r w:rsidRPr="00BA3EE1">
        <w:rPr>
          <w:rFonts w:ascii="Times New Roman" w:hAnsi="Times New Roman" w:cs="Times New Roman"/>
          <w:b/>
          <w:sz w:val="20"/>
          <w:szCs w:val="20"/>
        </w:rPr>
        <w:fldChar w:fldCharType="begin"/>
      </w:r>
      <w:r w:rsidRPr="00BA3EE1">
        <w:rPr>
          <w:rFonts w:ascii="Times New Roman" w:hAnsi="Times New Roman" w:cs="Times New Roman"/>
          <w:b/>
          <w:sz w:val="20"/>
          <w:szCs w:val="20"/>
        </w:rPr>
        <w:instrText xml:space="preserve"> SEQ Tableau \* ARABIC </w:instrText>
      </w:r>
      <w:r w:rsidRPr="00BA3EE1">
        <w:rPr>
          <w:rFonts w:ascii="Times New Roman" w:hAnsi="Times New Roman" w:cs="Times New Roman"/>
          <w:b/>
          <w:sz w:val="20"/>
          <w:szCs w:val="20"/>
        </w:rPr>
        <w:fldChar w:fldCharType="separate"/>
      </w:r>
      <w:r w:rsidR="00820701">
        <w:rPr>
          <w:rFonts w:ascii="Times New Roman" w:hAnsi="Times New Roman" w:cs="Times New Roman"/>
          <w:b/>
          <w:noProof/>
          <w:sz w:val="20"/>
          <w:szCs w:val="20"/>
        </w:rPr>
        <w:t>29</w:t>
      </w:r>
      <w:r w:rsidRPr="00BA3EE1">
        <w:rPr>
          <w:rFonts w:ascii="Times New Roman" w:hAnsi="Times New Roman" w:cs="Times New Roman"/>
          <w:b/>
          <w:sz w:val="20"/>
          <w:szCs w:val="20"/>
        </w:rPr>
        <w:fldChar w:fldCharType="end"/>
      </w:r>
      <w:r w:rsidRPr="00BA3EE1">
        <w:rPr>
          <w:rFonts w:ascii="Times New Roman" w:hAnsi="Times New Roman" w:cs="Times New Roman"/>
          <w:b/>
          <w:sz w:val="20"/>
          <w:szCs w:val="20"/>
        </w:rPr>
        <w:t xml:space="preserve"> : Les accidents recensés au niveau de l’ exploitation des réservoirs</w:t>
      </w:r>
      <w:bookmarkEnd w:id="440"/>
    </w:p>
    <w:p w:rsidR="000C12E5" w:rsidRDefault="000C12E5" w:rsidP="000C12E5">
      <w:pPr>
        <w:overflowPunct w:val="0"/>
        <w:autoSpaceDE w:val="0"/>
        <w:autoSpaceDN w:val="0"/>
        <w:adjustRightInd w:val="0"/>
        <w:spacing w:after="0" w:line="240" w:lineRule="auto"/>
        <w:ind w:right="-711"/>
        <w:jc w:val="center"/>
        <w:rPr>
          <w:rFonts w:ascii="Times New Roman" w:eastAsia="Times New Roman" w:hAnsi="Times New Roman"/>
          <w:b/>
          <w:bCs/>
          <w:sz w:val="20"/>
          <w:szCs w:val="20"/>
          <w:lang w:eastAsia="fr-FR"/>
        </w:rPr>
      </w:pPr>
    </w:p>
    <w:tbl>
      <w:tblPr>
        <w:tblStyle w:val="Tabelacomgrelha"/>
        <w:tblW w:w="10485" w:type="dxa"/>
        <w:tblInd w:w="-289" w:type="dxa"/>
        <w:tblLook w:val="04A0" w:firstRow="1" w:lastRow="0" w:firstColumn="1" w:lastColumn="0" w:noHBand="0" w:noVBand="1"/>
      </w:tblPr>
      <w:tblGrid>
        <w:gridCol w:w="464"/>
        <w:gridCol w:w="2429"/>
        <w:gridCol w:w="1396"/>
        <w:gridCol w:w="2820"/>
        <w:gridCol w:w="3376"/>
      </w:tblGrid>
      <w:tr w:rsidR="0098245C" w:rsidTr="000C12E5">
        <w:tc>
          <w:tcPr>
            <w:tcW w:w="426" w:type="dxa"/>
            <w:shd w:val="clear" w:color="auto" w:fill="E2EFD9" w:themeFill="accent6" w:themeFillTint="33"/>
            <w:vAlign w:val="center"/>
          </w:tcPr>
          <w:p w:rsidR="0098245C" w:rsidRPr="000C12E5" w:rsidRDefault="0098245C" w:rsidP="000C12E5">
            <w:pPr>
              <w:jc w:val="center"/>
              <w:rPr>
                <w:rStyle w:val="Forte"/>
                <w:rFonts w:ascii="Open Sans" w:hAnsi="Open Sans"/>
                <w:color w:val="333333"/>
                <w:bdr w:val="none" w:sz="0" w:space="0" w:color="auto" w:frame="1"/>
                <w:shd w:val="clear" w:color="auto" w:fill="FFFFFF"/>
              </w:rPr>
            </w:pPr>
            <w:r w:rsidRPr="000C12E5">
              <w:rPr>
                <w:rFonts w:ascii="Times New Roman" w:hAnsi="Times New Roman"/>
                <w:b/>
              </w:rPr>
              <w:t>N°</w:t>
            </w:r>
          </w:p>
        </w:tc>
        <w:tc>
          <w:tcPr>
            <w:tcW w:w="2431" w:type="dxa"/>
            <w:shd w:val="clear" w:color="auto" w:fill="E2EFD9" w:themeFill="accent6" w:themeFillTint="33"/>
            <w:vAlign w:val="center"/>
          </w:tcPr>
          <w:p w:rsidR="0098245C" w:rsidRPr="000C12E5" w:rsidRDefault="0098245C" w:rsidP="000C12E5">
            <w:pPr>
              <w:jc w:val="center"/>
              <w:rPr>
                <w:rStyle w:val="Forte"/>
                <w:rFonts w:ascii="Open Sans" w:hAnsi="Open Sans"/>
                <w:color w:val="333333"/>
                <w:bdr w:val="none" w:sz="0" w:space="0" w:color="auto" w:frame="1"/>
                <w:shd w:val="clear" w:color="auto" w:fill="FFFFFF"/>
              </w:rPr>
            </w:pPr>
            <w:r w:rsidRPr="000C12E5">
              <w:rPr>
                <w:rFonts w:ascii="Times New Roman" w:hAnsi="Times New Roman"/>
                <w:b/>
              </w:rPr>
              <w:t>Accident</w:t>
            </w:r>
          </w:p>
        </w:tc>
        <w:tc>
          <w:tcPr>
            <w:tcW w:w="1396" w:type="dxa"/>
            <w:shd w:val="clear" w:color="auto" w:fill="E2EFD9" w:themeFill="accent6" w:themeFillTint="33"/>
            <w:vAlign w:val="center"/>
          </w:tcPr>
          <w:p w:rsidR="0098245C" w:rsidRPr="000C12E5" w:rsidRDefault="0098245C" w:rsidP="000C12E5">
            <w:pPr>
              <w:jc w:val="center"/>
              <w:rPr>
                <w:rFonts w:ascii="Open Sans" w:hAnsi="Open Sans"/>
                <w:color w:val="333333"/>
                <w:shd w:val="clear" w:color="auto" w:fill="FFFFFF"/>
              </w:rPr>
            </w:pPr>
            <w:r w:rsidRPr="000C12E5">
              <w:rPr>
                <w:rFonts w:ascii="Times New Roman" w:hAnsi="Times New Roman"/>
                <w:b/>
              </w:rPr>
              <w:t>Equipement</w:t>
            </w:r>
          </w:p>
        </w:tc>
        <w:tc>
          <w:tcPr>
            <w:tcW w:w="2835" w:type="dxa"/>
            <w:shd w:val="clear" w:color="auto" w:fill="E2EFD9" w:themeFill="accent6" w:themeFillTint="33"/>
            <w:vAlign w:val="center"/>
          </w:tcPr>
          <w:p w:rsidR="0098245C" w:rsidRPr="000C12E5" w:rsidRDefault="0098245C" w:rsidP="000C12E5">
            <w:pPr>
              <w:jc w:val="center"/>
              <w:rPr>
                <w:rFonts w:ascii="Open Sans" w:hAnsi="Open Sans"/>
                <w:color w:val="333333"/>
                <w:shd w:val="clear" w:color="auto" w:fill="FFFFFF"/>
              </w:rPr>
            </w:pPr>
            <w:r w:rsidRPr="000C12E5">
              <w:rPr>
                <w:rFonts w:ascii="Times New Roman" w:hAnsi="Times New Roman"/>
                <w:b/>
              </w:rPr>
              <w:t>Causes</w:t>
            </w:r>
          </w:p>
        </w:tc>
        <w:tc>
          <w:tcPr>
            <w:tcW w:w="3397" w:type="dxa"/>
            <w:shd w:val="clear" w:color="auto" w:fill="E2EFD9" w:themeFill="accent6" w:themeFillTint="33"/>
            <w:vAlign w:val="center"/>
          </w:tcPr>
          <w:p w:rsidR="0098245C" w:rsidRPr="000C12E5" w:rsidRDefault="0098245C" w:rsidP="000C12E5">
            <w:pPr>
              <w:jc w:val="center"/>
              <w:rPr>
                <w:rFonts w:ascii="Open Sans" w:hAnsi="Open Sans"/>
                <w:color w:val="333333"/>
                <w:shd w:val="clear" w:color="auto" w:fill="FFFFFF"/>
              </w:rPr>
            </w:pPr>
            <w:r w:rsidRPr="000C12E5">
              <w:rPr>
                <w:rFonts w:ascii="Times New Roman" w:hAnsi="Times New Roman"/>
                <w:b/>
              </w:rPr>
              <w:t>Conséquences</w:t>
            </w:r>
          </w:p>
        </w:tc>
      </w:tr>
      <w:tr w:rsidR="0098245C" w:rsidTr="000C12E5">
        <w:tc>
          <w:tcPr>
            <w:tcW w:w="426" w:type="dxa"/>
            <w:shd w:val="clear" w:color="auto" w:fill="E2EFD9" w:themeFill="accent6" w:themeFillTint="33"/>
          </w:tcPr>
          <w:p w:rsidR="0098245C" w:rsidRDefault="0098245C" w:rsidP="00CF7E6A">
            <w:pPr>
              <w:rPr>
                <w:rStyle w:val="Forte"/>
                <w:rFonts w:ascii="Open Sans" w:hAnsi="Open Sans"/>
                <w:color w:val="333333"/>
                <w:sz w:val="20"/>
                <w:szCs w:val="20"/>
                <w:bdr w:val="none" w:sz="0" w:space="0" w:color="auto" w:frame="1"/>
                <w:shd w:val="clear" w:color="auto" w:fill="FFFFFF"/>
              </w:rPr>
            </w:pPr>
            <w:r>
              <w:rPr>
                <w:rStyle w:val="Forte"/>
                <w:rFonts w:ascii="Open Sans" w:hAnsi="Open Sans"/>
                <w:color w:val="333333"/>
                <w:sz w:val="20"/>
                <w:szCs w:val="20"/>
                <w:bdr w:val="none" w:sz="0" w:space="0" w:color="auto" w:frame="1"/>
                <w:shd w:val="clear" w:color="auto" w:fill="FFFFFF"/>
              </w:rPr>
              <w:t>01</w:t>
            </w:r>
          </w:p>
        </w:tc>
        <w:tc>
          <w:tcPr>
            <w:tcW w:w="2431" w:type="dxa"/>
            <w:vAlign w:val="center"/>
          </w:tcPr>
          <w:p w:rsidR="0098245C" w:rsidRDefault="0098245C" w:rsidP="000C12E5">
            <w:pPr>
              <w:jc w:val="center"/>
            </w:pPr>
            <w:r>
              <w:rPr>
                <w:rStyle w:val="Forte"/>
                <w:rFonts w:ascii="Open Sans" w:hAnsi="Open Sans"/>
                <w:color w:val="333333"/>
                <w:sz w:val="20"/>
                <w:szCs w:val="20"/>
                <w:bdr w:val="none" w:sz="0" w:space="0" w:color="auto" w:frame="1"/>
                <w:shd w:val="clear" w:color="auto" w:fill="FFFFFF"/>
              </w:rPr>
              <w:t>18/10/1990</w:t>
            </w:r>
            <w:r>
              <w:rPr>
                <w:rFonts w:ascii="Open Sans" w:hAnsi="Open Sans"/>
                <w:color w:val="333333"/>
                <w:sz w:val="20"/>
                <w:szCs w:val="20"/>
                <w:shd w:val="clear" w:color="auto" w:fill="FFFFFF"/>
              </w:rPr>
              <w:t> -  </w:t>
            </w:r>
            <w:r>
              <w:rPr>
                <w:rStyle w:val="Forte"/>
                <w:rFonts w:ascii="Open Sans" w:hAnsi="Open Sans"/>
                <w:color w:val="333333"/>
                <w:sz w:val="20"/>
                <w:szCs w:val="20"/>
                <w:bdr w:val="none" w:sz="0" w:space="0" w:color="auto" w:frame="1"/>
                <w:shd w:val="clear" w:color="auto" w:fill="FFFFFF"/>
              </w:rPr>
              <w:t>FRANCE - 34 - MAGALAS</w:t>
            </w:r>
          </w:p>
        </w:tc>
        <w:tc>
          <w:tcPr>
            <w:tcW w:w="1396" w:type="dxa"/>
            <w:vAlign w:val="center"/>
          </w:tcPr>
          <w:p w:rsidR="0098245C" w:rsidRPr="00F15334" w:rsidRDefault="0098245C" w:rsidP="000C12E5">
            <w:pPr>
              <w:jc w:val="center"/>
              <w:rPr>
                <w:sz w:val="20"/>
                <w:szCs w:val="20"/>
              </w:rPr>
            </w:pPr>
            <w:r w:rsidRPr="00F15334">
              <w:rPr>
                <w:rFonts w:ascii="Open Sans" w:hAnsi="Open Sans"/>
                <w:color w:val="333333"/>
                <w:sz w:val="20"/>
                <w:szCs w:val="20"/>
                <w:shd w:val="clear" w:color="auto" w:fill="FFFFFF"/>
              </w:rPr>
              <w:t>château d’eau</w:t>
            </w:r>
          </w:p>
        </w:tc>
        <w:tc>
          <w:tcPr>
            <w:tcW w:w="2835" w:type="dxa"/>
          </w:tcPr>
          <w:p w:rsidR="0098245C" w:rsidRPr="00F15334" w:rsidRDefault="0098245C" w:rsidP="00976673">
            <w:pPr>
              <w:jc w:val="both"/>
              <w:rPr>
                <w:sz w:val="20"/>
                <w:szCs w:val="20"/>
              </w:rPr>
            </w:pPr>
            <w:r w:rsidRPr="00F15334">
              <w:rPr>
                <w:rFonts w:ascii="Open Sans" w:hAnsi="Open Sans"/>
                <w:color w:val="333333"/>
                <w:sz w:val="20"/>
                <w:szCs w:val="20"/>
                <w:shd w:val="clear" w:color="auto" w:fill="FFFFFF"/>
              </w:rPr>
              <w:t>nettoyage des parois d’un château d’eau à l’aide de chlorure de méthylène</w:t>
            </w:r>
          </w:p>
        </w:tc>
        <w:tc>
          <w:tcPr>
            <w:tcW w:w="3397" w:type="dxa"/>
          </w:tcPr>
          <w:p w:rsidR="0098245C" w:rsidRPr="00F15334" w:rsidRDefault="0098245C" w:rsidP="00976673">
            <w:pPr>
              <w:jc w:val="both"/>
              <w:rPr>
                <w:rFonts w:ascii="Open Sans" w:hAnsi="Open Sans"/>
                <w:color w:val="333333"/>
                <w:sz w:val="20"/>
                <w:szCs w:val="20"/>
                <w:shd w:val="clear" w:color="auto" w:fill="FFFFFF"/>
              </w:rPr>
            </w:pPr>
            <w:r w:rsidRPr="00F15334">
              <w:rPr>
                <w:rFonts w:ascii="Open Sans" w:hAnsi="Open Sans"/>
                <w:color w:val="333333"/>
                <w:sz w:val="20"/>
                <w:szCs w:val="20"/>
                <w:shd w:val="clear" w:color="auto" w:fill="FFFFFF"/>
              </w:rPr>
              <w:t xml:space="preserve">Trois sapeurs-pompiers participant aux opérations de sauvetage sont gravement intoxiqués. </w:t>
            </w:r>
          </w:p>
          <w:p w:rsidR="0098245C" w:rsidRPr="00F15334" w:rsidRDefault="0098245C" w:rsidP="00976673">
            <w:pPr>
              <w:jc w:val="both"/>
              <w:rPr>
                <w:sz w:val="20"/>
                <w:szCs w:val="20"/>
              </w:rPr>
            </w:pPr>
            <w:r w:rsidRPr="00F15334">
              <w:rPr>
                <w:rFonts w:ascii="Open Sans" w:hAnsi="Open Sans"/>
                <w:color w:val="333333"/>
                <w:sz w:val="20"/>
                <w:szCs w:val="20"/>
                <w:shd w:val="clear" w:color="auto" w:fill="FFFFFF"/>
              </w:rPr>
              <w:t>Un ouvrier décède lors du nettoyage</w:t>
            </w:r>
          </w:p>
        </w:tc>
      </w:tr>
      <w:tr w:rsidR="0098245C" w:rsidTr="000C12E5">
        <w:tc>
          <w:tcPr>
            <w:tcW w:w="426" w:type="dxa"/>
            <w:shd w:val="clear" w:color="auto" w:fill="E2EFD9" w:themeFill="accent6" w:themeFillTint="33"/>
          </w:tcPr>
          <w:p w:rsidR="0098245C" w:rsidRDefault="0098245C" w:rsidP="00CF7E6A">
            <w:pPr>
              <w:rPr>
                <w:rStyle w:val="Forte"/>
                <w:rFonts w:ascii="Open Sans" w:hAnsi="Open Sans"/>
                <w:color w:val="333333"/>
                <w:sz w:val="20"/>
                <w:szCs w:val="20"/>
                <w:bdr w:val="none" w:sz="0" w:space="0" w:color="auto" w:frame="1"/>
                <w:shd w:val="clear" w:color="auto" w:fill="FFFFFF"/>
              </w:rPr>
            </w:pPr>
            <w:r>
              <w:rPr>
                <w:rStyle w:val="Forte"/>
                <w:rFonts w:ascii="Open Sans" w:hAnsi="Open Sans"/>
                <w:color w:val="333333"/>
                <w:sz w:val="20"/>
                <w:szCs w:val="20"/>
                <w:bdr w:val="none" w:sz="0" w:space="0" w:color="auto" w:frame="1"/>
                <w:shd w:val="clear" w:color="auto" w:fill="FFFFFF"/>
              </w:rPr>
              <w:t>02</w:t>
            </w:r>
          </w:p>
        </w:tc>
        <w:tc>
          <w:tcPr>
            <w:tcW w:w="2431" w:type="dxa"/>
            <w:vAlign w:val="center"/>
          </w:tcPr>
          <w:p w:rsidR="0098245C" w:rsidRDefault="0098245C" w:rsidP="000C12E5">
            <w:pPr>
              <w:jc w:val="center"/>
            </w:pPr>
            <w:r>
              <w:rPr>
                <w:rStyle w:val="Forte"/>
                <w:rFonts w:ascii="Open Sans" w:hAnsi="Open Sans"/>
                <w:color w:val="333333"/>
                <w:sz w:val="20"/>
                <w:szCs w:val="20"/>
                <w:bdr w:val="none" w:sz="0" w:space="0" w:color="auto" w:frame="1"/>
                <w:shd w:val="clear" w:color="auto" w:fill="FFFFFF"/>
              </w:rPr>
              <w:t>17/11/1997</w:t>
            </w:r>
            <w:r>
              <w:rPr>
                <w:rFonts w:ascii="Open Sans" w:hAnsi="Open Sans"/>
                <w:color w:val="333333"/>
                <w:sz w:val="20"/>
                <w:szCs w:val="20"/>
                <w:shd w:val="clear" w:color="auto" w:fill="FFFFFF"/>
              </w:rPr>
              <w:t> -  </w:t>
            </w:r>
            <w:r>
              <w:rPr>
                <w:rStyle w:val="Forte"/>
                <w:rFonts w:ascii="Open Sans" w:hAnsi="Open Sans"/>
                <w:color w:val="333333"/>
                <w:sz w:val="20"/>
                <w:szCs w:val="20"/>
                <w:bdr w:val="none" w:sz="0" w:space="0" w:color="auto" w:frame="1"/>
                <w:shd w:val="clear" w:color="auto" w:fill="FFFFFF"/>
              </w:rPr>
              <w:t>ESPAGNE - 00 - MELILLA</w:t>
            </w:r>
          </w:p>
        </w:tc>
        <w:tc>
          <w:tcPr>
            <w:tcW w:w="1396" w:type="dxa"/>
            <w:vAlign w:val="center"/>
          </w:tcPr>
          <w:p w:rsidR="0098245C" w:rsidRPr="00F15334" w:rsidRDefault="0098245C" w:rsidP="000C12E5">
            <w:pPr>
              <w:jc w:val="center"/>
              <w:rPr>
                <w:sz w:val="20"/>
                <w:szCs w:val="20"/>
              </w:rPr>
            </w:pPr>
            <w:r w:rsidRPr="00F15334">
              <w:rPr>
                <w:sz w:val="20"/>
                <w:szCs w:val="20"/>
              </w:rPr>
              <w:t>Effondrement d’un château d’eau</w:t>
            </w:r>
          </w:p>
        </w:tc>
        <w:tc>
          <w:tcPr>
            <w:tcW w:w="2835" w:type="dxa"/>
          </w:tcPr>
          <w:p w:rsidR="0098245C" w:rsidRPr="00F15334" w:rsidRDefault="0098245C" w:rsidP="00976673">
            <w:pPr>
              <w:jc w:val="both"/>
              <w:rPr>
                <w:sz w:val="20"/>
                <w:szCs w:val="20"/>
              </w:rPr>
            </w:pPr>
            <w:r w:rsidRPr="00F15334">
              <w:rPr>
                <w:rFonts w:ascii="Open Sans" w:hAnsi="Open Sans"/>
                <w:color w:val="333333"/>
                <w:sz w:val="20"/>
                <w:szCs w:val="20"/>
                <w:shd w:val="clear" w:color="auto" w:fill="FFFFFF"/>
              </w:rPr>
              <w:t>Un château d’eau fissuré sur 4 m s’effondre ; 20 000 m³ d’eau s’échappent. Le flot détruit tout sur son passage (véhicules, réseau téléphonique…) en une vingtaine de minutes</w:t>
            </w:r>
          </w:p>
        </w:tc>
        <w:tc>
          <w:tcPr>
            <w:tcW w:w="3397" w:type="dxa"/>
          </w:tcPr>
          <w:p w:rsidR="0098245C" w:rsidRPr="00F15334" w:rsidRDefault="0098245C" w:rsidP="00976673">
            <w:pPr>
              <w:jc w:val="both"/>
              <w:rPr>
                <w:sz w:val="20"/>
                <w:szCs w:val="20"/>
              </w:rPr>
            </w:pPr>
            <w:r w:rsidRPr="00F15334">
              <w:rPr>
                <w:rFonts w:ascii="Open Sans" w:hAnsi="Open Sans"/>
                <w:color w:val="333333"/>
                <w:sz w:val="20"/>
                <w:szCs w:val="20"/>
                <w:shd w:val="clear" w:color="auto" w:fill="FFFFFF"/>
              </w:rPr>
              <w:t>Neuf personnes sont tuées et 30 personnes sont blessées dont 2 grièvement. Une centaine de personnes sont évacuées.</w:t>
            </w:r>
          </w:p>
        </w:tc>
      </w:tr>
      <w:tr w:rsidR="0098245C" w:rsidTr="000C12E5">
        <w:tc>
          <w:tcPr>
            <w:tcW w:w="426" w:type="dxa"/>
            <w:shd w:val="clear" w:color="auto" w:fill="E2EFD9" w:themeFill="accent6" w:themeFillTint="33"/>
          </w:tcPr>
          <w:p w:rsidR="0098245C" w:rsidRDefault="0098245C" w:rsidP="00CF7E6A">
            <w:pPr>
              <w:rPr>
                <w:rStyle w:val="Forte"/>
                <w:rFonts w:ascii="Open Sans" w:hAnsi="Open Sans"/>
                <w:color w:val="333333"/>
                <w:sz w:val="20"/>
                <w:szCs w:val="20"/>
                <w:bdr w:val="none" w:sz="0" w:space="0" w:color="auto" w:frame="1"/>
                <w:shd w:val="clear" w:color="auto" w:fill="FFFFFF"/>
              </w:rPr>
            </w:pPr>
            <w:r>
              <w:rPr>
                <w:rStyle w:val="Forte"/>
                <w:rFonts w:ascii="Open Sans" w:hAnsi="Open Sans"/>
                <w:color w:val="333333"/>
                <w:sz w:val="20"/>
                <w:szCs w:val="20"/>
                <w:bdr w:val="none" w:sz="0" w:space="0" w:color="auto" w:frame="1"/>
                <w:shd w:val="clear" w:color="auto" w:fill="FFFFFF"/>
              </w:rPr>
              <w:t>03</w:t>
            </w:r>
          </w:p>
        </w:tc>
        <w:tc>
          <w:tcPr>
            <w:tcW w:w="2431" w:type="dxa"/>
            <w:vAlign w:val="center"/>
          </w:tcPr>
          <w:p w:rsidR="0098245C" w:rsidRDefault="0098245C" w:rsidP="000C12E5">
            <w:pPr>
              <w:jc w:val="center"/>
            </w:pPr>
            <w:r>
              <w:rPr>
                <w:rStyle w:val="Forte"/>
                <w:rFonts w:ascii="Open Sans" w:hAnsi="Open Sans"/>
                <w:color w:val="333333"/>
                <w:sz w:val="20"/>
                <w:szCs w:val="20"/>
                <w:bdr w:val="none" w:sz="0" w:space="0" w:color="auto" w:frame="1"/>
                <w:shd w:val="clear" w:color="auto" w:fill="FFFFFF"/>
              </w:rPr>
              <w:t>28/07/2006</w:t>
            </w:r>
            <w:r>
              <w:rPr>
                <w:rFonts w:ascii="Open Sans" w:hAnsi="Open Sans"/>
                <w:color w:val="333333"/>
                <w:sz w:val="20"/>
                <w:szCs w:val="20"/>
                <w:shd w:val="clear" w:color="auto" w:fill="FFFFFF"/>
              </w:rPr>
              <w:t> -  </w:t>
            </w:r>
            <w:r>
              <w:rPr>
                <w:rStyle w:val="Forte"/>
                <w:rFonts w:ascii="Open Sans" w:hAnsi="Open Sans"/>
                <w:color w:val="333333"/>
                <w:sz w:val="20"/>
                <w:szCs w:val="20"/>
                <w:bdr w:val="none" w:sz="0" w:space="0" w:color="auto" w:frame="1"/>
                <w:shd w:val="clear" w:color="auto" w:fill="FFFFFF"/>
              </w:rPr>
              <w:t>FRANCE - 27 - LE TORPT</w:t>
            </w:r>
          </w:p>
        </w:tc>
        <w:tc>
          <w:tcPr>
            <w:tcW w:w="1396" w:type="dxa"/>
            <w:vAlign w:val="center"/>
          </w:tcPr>
          <w:p w:rsidR="0098245C" w:rsidRPr="00F15334" w:rsidRDefault="0098245C" w:rsidP="000C12E5">
            <w:pPr>
              <w:jc w:val="center"/>
              <w:rPr>
                <w:sz w:val="20"/>
                <w:szCs w:val="20"/>
              </w:rPr>
            </w:pPr>
            <w:r w:rsidRPr="00F15334">
              <w:rPr>
                <w:rFonts w:ascii="Open Sans" w:hAnsi="Open Sans"/>
                <w:color w:val="333333"/>
                <w:sz w:val="20"/>
                <w:szCs w:val="20"/>
                <w:shd w:val="clear" w:color="auto" w:fill="FFFFFF"/>
              </w:rPr>
              <w:t>château d’eau</w:t>
            </w:r>
          </w:p>
        </w:tc>
        <w:tc>
          <w:tcPr>
            <w:tcW w:w="2835" w:type="dxa"/>
          </w:tcPr>
          <w:p w:rsidR="0098245C" w:rsidRPr="00F15334" w:rsidRDefault="0098245C" w:rsidP="00976673">
            <w:pPr>
              <w:jc w:val="both"/>
              <w:rPr>
                <w:sz w:val="20"/>
                <w:szCs w:val="20"/>
              </w:rPr>
            </w:pPr>
            <w:r w:rsidRPr="00F15334">
              <w:rPr>
                <w:rFonts w:ascii="Open Sans" w:hAnsi="Open Sans"/>
                <w:color w:val="333333"/>
                <w:sz w:val="20"/>
                <w:szCs w:val="20"/>
                <w:shd w:val="clear" w:color="auto" w:fill="FFFFFF"/>
              </w:rPr>
              <w:t>la rupture d’une canalisation de 300 mm de diamètre d’un château d’eau</w:t>
            </w:r>
          </w:p>
        </w:tc>
        <w:tc>
          <w:tcPr>
            <w:tcW w:w="3397" w:type="dxa"/>
          </w:tcPr>
          <w:p w:rsidR="0098245C" w:rsidRPr="00F15334" w:rsidRDefault="0098245C" w:rsidP="00976673">
            <w:pPr>
              <w:jc w:val="both"/>
              <w:rPr>
                <w:sz w:val="20"/>
                <w:szCs w:val="20"/>
              </w:rPr>
            </w:pPr>
            <w:r w:rsidRPr="00F15334">
              <w:rPr>
                <w:rFonts w:ascii="Open Sans" w:hAnsi="Open Sans"/>
                <w:color w:val="333333"/>
                <w:sz w:val="20"/>
                <w:szCs w:val="20"/>
                <w:shd w:val="clear" w:color="auto" w:fill="FFFFFF"/>
              </w:rPr>
              <w:t>château d’eau se vide vers 4 h de 750 m³ d’eau ; 3 000 habitants de 10 communes voisines sont en partie ou totalement privés d’eau potable</w:t>
            </w:r>
          </w:p>
        </w:tc>
      </w:tr>
      <w:tr w:rsidR="0098245C" w:rsidTr="000C12E5">
        <w:tc>
          <w:tcPr>
            <w:tcW w:w="426" w:type="dxa"/>
            <w:shd w:val="clear" w:color="auto" w:fill="E2EFD9" w:themeFill="accent6" w:themeFillTint="33"/>
          </w:tcPr>
          <w:p w:rsidR="0098245C" w:rsidRDefault="0098245C" w:rsidP="00CF7E6A">
            <w:pPr>
              <w:rPr>
                <w:rStyle w:val="Forte"/>
                <w:rFonts w:ascii="Open Sans" w:hAnsi="Open Sans"/>
                <w:color w:val="333333"/>
                <w:sz w:val="20"/>
                <w:szCs w:val="20"/>
                <w:bdr w:val="none" w:sz="0" w:space="0" w:color="auto" w:frame="1"/>
                <w:shd w:val="clear" w:color="auto" w:fill="FFFFFF"/>
              </w:rPr>
            </w:pPr>
            <w:r>
              <w:rPr>
                <w:rStyle w:val="Forte"/>
                <w:rFonts w:ascii="Open Sans" w:hAnsi="Open Sans"/>
                <w:color w:val="333333"/>
                <w:sz w:val="20"/>
                <w:szCs w:val="20"/>
                <w:bdr w:val="none" w:sz="0" w:space="0" w:color="auto" w:frame="1"/>
                <w:shd w:val="clear" w:color="auto" w:fill="FFFFFF"/>
              </w:rPr>
              <w:t>04</w:t>
            </w:r>
          </w:p>
        </w:tc>
        <w:tc>
          <w:tcPr>
            <w:tcW w:w="2431" w:type="dxa"/>
            <w:vAlign w:val="center"/>
          </w:tcPr>
          <w:p w:rsidR="0098245C" w:rsidRDefault="0098245C" w:rsidP="000C12E5">
            <w:pPr>
              <w:jc w:val="center"/>
            </w:pPr>
            <w:r>
              <w:rPr>
                <w:rStyle w:val="Forte"/>
                <w:rFonts w:ascii="Open Sans" w:hAnsi="Open Sans"/>
                <w:color w:val="333333"/>
                <w:sz w:val="20"/>
                <w:szCs w:val="20"/>
                <w:bdr w:val="none" w:sz="0" w:space="0" w:color="auto" w:frame="1"/>
                <w:shd w:val="clear" w:color="auto" w:fill="FFFFFF"/>
              </w:rPr>
              <w:t>11/06/2005</w:t>
            </w:r>
            <w:r>
              <w:rPr>
                <w:rFonts w:ascii="Open Sans" w:hAnsi="Open Sans"/>
                <w:color w:val="333333"/>
                <w:sz w:val="20"/>
                <w:szCs w:val="20"/>
                <w:shd w:val="clear" w:color="auto" w:fill="FFFFFF"/>
              </w:rPr>
              <w:t> -  </w:t>
            </w:r>
            <w:r>
              <w:rPr>
                <w:rStyle w:val="Forte"/>
                <w:rFonts w:ascii="Open Sans" w:hAnsi="Open Sans"/>
                <w:color w:val="333333"/>
                <w:sz w:val="20"/>
                <w:szCs w:val="20"/>
                <w:bdr w:val="none" w:sz="0" w:space="0" w:color="auto" w:frame="1"/>
                <w:shd w:val="clear" w:color="auto" w:fill="FFFFFF"/>
              </w:rPr>
              <w:t>FRANCE - 59 - WASNES-AU-BAC</w:t>
            </w:r>
          </w:p>
        </w:tc>
        <w:tc>
          <w:tcPr>
            <w:tcW w:w="1396" w:type="dxa"/>
            <w:vAlign w:val="center"/>
          </w:tcPr>
          <w:p w:rsidR="0098245C" w:rsidRPr="00F15334" w:rsidRDefault="0098245C" w:rsidP="000C12E5">
            <w:pPr>
              <w:jc w:val="center"/>
              <w:rPr>
                <w:sz w:val="20"/>
                <w:szCs w:val="20"/>
              </w:rPr>
            </w:pPr>
            <w:r w:rsidRPr="00F15334">
              <w:rPr>
                <w:rFonts w:ascii="Open Sans" w:hAnsi="Open Sans"/>
                <w:color w:val="333333"/>
                <w:sz w:val="20"/>
                <w:szCs w:val="20"/>
                <w:shd w:val="clear" w:color="auto" w:fill="FFFFFF"/>
              </w:rPr>
              <w:t>château d’eau</w:t>
            </w:r>
          </w:p>
        </w:tc>
        <w:tc>
          <w:tcPr>
            <w:tcW w:w="2835" w:type="dxa"/>
          </w:tcPr>
          <w:p w:rsidR="0098245C" w:rsidRPr="00F15334" w:rsidRDefault="0098245C" w:rsidP="00976673">
            <w:pPr>
              <w:jc w:val="both"/>
              <w:rPr>
                <w:sz w:val="20"/>
                <w:szCs w:val="20"/>
              </w:rPr>
            </w:pPr>
            <w:r w:rsidRPr="00F15334">
              <w:rPr>
                <w:rFonts w:ascii="Open Sans" w:hAnsi="Open Sans"/>
                <w:color w:val="333333"/>
                <w:sz w:val="20"/>
                <w:szCs w:val="20"/>
                <w:shd w:val="clear" w:color="auto" w:fill="FFFFFF"/>
              </w:rPr>
              <w:t>une effraction sur un château d’eau</w:t>
            </w:r>
          </w:p>
        </w:tc>
        <w:tc>
          <w:tcPr>
            <w:tcW w:w="3397" w:type="dxa"/>
          </w:tcPr>
          <w:p w:rsidR="0098245C" w:rsidRPr="00F15334" w:rsidRDefault="0098245C" w:rsidP="00976673">
            <w:pPr>
              <w:jc w:val="both"/>
              <w:rPr>
                <w:sz w:val="20"/>
                <w:szCs w:val="20"/>
              </w:rPr>
            </w:pPr>
            <w:r>
              <w:rPr>
                <w:rFonts w:ascii="Open Sans" w:hAnsi="Open Sans"/>
                <w:color w:val="333333"/>
                <w:sz w:val="20"/>
                <w:szCs w:val="20"/>
                <w:shd w:val="clear" w:color="auto" w:fill="FFFFFF"/>
              </w:rPr>
              <w:t>la nuit du vendredi au samedi, 6 communes sont privées d’eau potable</w:t>
            </w:r>
          </w:p>
        </w:tc>
      </w:tr>
      <w:tr w:rsidR="0098245C" w:rsidTr="000C12E5">
        <w:tc>
          <w:tcPr>
            <w:tcW w:w="426" w:type="dxa"/>
            <w:shd w:val="clear" w:color="auto" w:fill="E2EFD9" w:themeFill="accent6" w:themeFillTint="33"/>
          </w:tcPr>
          <w:p w:rsidR="0098245C" w:rsidRDefault="0098245C" w:rsidP="00CF7E6A">
            <w:pPr>
              <w:rPr>
                <w:rStyle w:val="Forte"/>
                <w:rFonts w:ascii="Open Sans" w:hAnsi="Open Sans"/>
                <w:color w:val="333333"/>
                <w:sz w:val="20"/>
                <w:szCs w:val="20"/>
                <w:bdr w:val="none" w:sz="0" w:space="0" w:color="auto" w:frame="1"/>
                <w:shd w:val="clear" w:color="auto" w:fill="FFFFFF"/>
              </w:rPr>
            </w:pPr>
            <w:r>
              <w:rPr>
                <w:rStyle w:val="Forte"/>
                <w:rFonts w:ascii="Open Sans" w:hAnsi="Open Sans"/>
                <w:color w:val="333333"/>
                <w:sz w:val="20"/>
                <w:szCs w:val="20"/>
                <w:bdr w:val="none" w:sz="0" w:space="0" w:color="auto" w:frame="1"/>
                <w:shd w:val="clear" w:color="auto" w:fill="FFFFFF"/>
              </w:rPr>
              <w:t>05</w:t>
            </w:r>
          </w:p>
        </w:tc>
        <w:tc>
          <w:tcPr>
            <w:tcW w:w="2431" w:type="dxa"/>
            <w:vAlign w:val="center"/>
          </w:tcPr>
          <w:p w:rsidR="0098245C" w:rsidRDefault="0098245C" w:rsidP="000C12E5">
            <w:pPr>
              <w:jc w:val="center"/>
              <w:rPr>
                <w:rStyle w:val="Forte"/>
                <w:rFonts w:ascii="Open Sans" w:hAnsi="Open Sans"/>
                <w:color w:val="333333"/>
                <w:sz w:val="20"/>
                <w:szCs w:val="20"/>
                <w:bdr w:val="none" w:sz="0" w:space="0" w:color="auto" w:frame="1"/>
                <w:shd w:val="clear" w:color="auto" w:fill="FFFFFF"/>
              </w:rPr>
            </w:pPr>
            <w:r>
              <w:rPr>
                <w:rStyle w:val="Forte"/>
                <w:rFonts w:ascii="Open Sans" w:hAnsi="Open Sans"/>
                <w:color w:val="333333"/>
                <w:sz w:val="20"/>
                <w:szCs w:val="20"/>
                <w:bdr w:val="none" w:sz="0" w:space="0" w:color="auto" w:frame="1"/>
                <w:shd w:val="clear" w:color="auto" w:fill="FFFFFF"/>
              </w:rPr>
              <w:t>01/08/2006</w:t>
            </w:r>
            <w:r>
              <w:rPr>
                <w:rFonts w:ascii="Open Sans" w:hAnsi="Open Sans"/>
                <w:color w:val="333333"/>
                <w:sz w:val="20"/>
                <w:szCs w:val="20"/>
                <w:shd w:val="clear" w:color="auto" w:fill="FFFFFF"/>
              </w:rPr>
              <w:t> -  </w:t>
            </w:r>
            <w:r>
              <w:rPr>
                <w:rStyle w:val="Forte"/>
                <w:rFonts w:ascii="Open Sans" w:hAnsi="Open Sans"/>
                <w:color w:val="333333"/>
                <w:sz w:val="20"/>
                <w:szCs w:val="20"/>
                <w:bdr w:val="none" w:sz="0" w:space="0" w:color="auto" w:frame="1"/>
                <w:shd w:val="clear" w:color="auto" w:fill="FFFFFF"/>
              </w:rPr>
              <w:t>FRANCE - 49 - CHEMILLE-EN-ANJOU</w:t>
            </w:r>
          </w:p>
        </w:tc>
        <w:tc>
          <w:tcPr>
            <w:tcW w:w="1396" w:type="dxa"/>
            <w:vAlign w:val="center"/>
          </w:tcPr>
          <w:p w:rsidR="0098245C" w:rsidRPr="00F15334" w:rsidRDefault="0098245C" w:rsidP="000C12E5">
            <w:pPr>
              <w:jc w:val="center"/>
              <w:rPr>
                <w:rFonts w:ascii="Open Sans" w:hAnsi="Open Sans"/>
                <w:color w:val="333333"/>
                <w:sz w:val="20"/>
                <w:szCs w:val="20"/>
                <w:shd w:val="clear" w:color="auto" w:fill="FFFFFF"/>
              </w:rPr>
            </w:pPr>
            <w:r w:rsidRPr="00A20AB3">
              <w:rPr>
                <w:rFonts w:ascii="Open Sans" w:hAnsi="Open Sans"/>
                <w:color w:val="333333"/>
                <w:sz w:val="20"/>
                <w:szCs w:val="20"/>
                <w:shd w:val="clear" w:color="auto" w:fill="FFFFFF"/>
              </w:rPr>
              <w:t>château d’eau</w:t>
            </w:r>
          </w:p>
        </w:tc>
        <w:tc>
          <w:tcPr>
            <w:tcW w:w="2835" w:type="dxa"/>
          </w:tcPr>
          <w:p w:rsidR="0098245C" w:rsidRPr="00F15334" w:rsidRDefault="0098245C" w:rsidP="00976673">
            <w:pPr>
              <w:jc w:val="both"/>
              <w:rPr>
                <w:rFonts w:ascii="Open Sans" w:hAnsi="Open Sans"/>
                <w:color w:val="333333"/>
                <w:sz w:val="20"/>
                <w:szCs w:val="20"/>
                <w:shd w:val="clear" w:color="auto" w:fill="FFFFFF"/>
              </w:rPr>
            </w:pPr>
            <w:r>
              <w:rPr>
                <w:rFonts w:ascii="Open Sans" w:hAnsi="Open Sans"/>
                <w:color w:val="333333"/>
                <w:sz w:val="20"/>
                <w:szCs w:val="20"/>
                <w:shd w:val="clear" w:color="auto" w:fill="FFFFFF"/>
              </w:rPr>
              <w:t> une canalisation se rompt à la base d’un château d’eau</w:t>
            </w:r>
          </w:p>
        </w:tc>
        <w:tc>
          <w:tcPr>
            <w:tcW w:w="3397" w:type="dxa"/>
          </w:tcPr>
          <w:p w:rsidR="0098245C" w:rsidRPr="00F15334" w:rsidRDefault="0098245C" w:rsidP="00976673">
            <w:pPr>
              <w:jc w:val="both"/>
              <w:rPr>
                <w:sz w:val="20"/>
                <w:szCs w:val="20"/>
              </w:rPr>
            </w:pPr>
            <w:r>
              <w:rPr>
                <w:rFonts w:ascii="Open Sans" w:hAnsi="Open Sans"/>
                <w:color w:val="333333"/>
                <w:sz w:val="20"/>
                <w:szCs w:val="20"/>
                <w:shd w:val="clear" w:color="auto" w:fill="FFFFFF"/>
              </w:rPr>
              <w:t> 5 à 8 000 habitants sont en partie ou totalement privés d’eau potable et de défense incendie sur 7 communes</w:t>
            </w:r>
          </w:p>
        </w:tc>
      </w:tr>
      <w:tr w:rsidR="0098245C" w:rsidTr="000C12E5">
        <w:tc>
          <w:tcPr>
            <w:tcW w:w="426" w:type="dxa"/>
            <w:shd w:val="clear" w:color="auto" w:fill="E2EFD9" w:themeFill="accent6" w:themeFillTint="33"/>
          </w:tcPr>
          <w:p w:rsidR="0098245C" w:rsidRDefault="0098245C" w:rsidP="00CF7E6A">
            <w:pPr>
              <w:rPr>
                <w:rStyle w:val="Forte"/>
                <w:rFonts w:ascii="Open Sans" w:hAnsi="Open Sans"/>
                <w:color w:val="333333"/>
                <w:sz w:val="20"/>
                <w:szCs w:val="20"/>
                <w:bdr w:val="none" w:sz="0" w:space="0" w:color="auto" w:frame="1"/>
                <w:shd w:val="clear" w:color="auto" w:fill="FFFFFF"/>
              </w:rPr>
            </w:pPr>
            <w:r>
              <w:rPr>
                <w:rStyle w:val="Forte"/>
                <w:rFonts w:ascii="Open Sans" w:hAnsi="Open Sans"/>
                <w:color w:val="333333"/>
                <w:sz w:val="20"/>
                <w:szCs w:val="20"/>
                <w:bdr w:val="none" w:sz="0" w:space="0" w:color="auto" w:frame="1"/>
                <w:shd w:val="clear" w:color="auto" w:fill="FFFFFF"/>
              </w:rPr>
              <w:t>06</w:t>
            </w:r>
          </w:p>
        </w:tc>
        <w:tc>
          <w:tcPr>
            <w:tcW w:w="2431" w:type="dxa"/>
            <w:vAlign w:val="center"/>
          </w:tcPr>
          <w:p w:rsidR="0098245C" w:rsidRDefault="0098245C" w:rsidP="000C12E5">
            <w:pPr>
              <w:jc w:val="center"/>
              <w:rPr>
                <w:rStyle w:val="Forte"/>
                <w:rFonts w:ascii="Open Sans" w:hAnsi="Open Sans"/>
                <w:color w:val="333333"/>
                <w:sz w:val="20"/>
                <w:szCs w:val="20"/>
                <w:bdr w:val="none" w:sz="0" w:space="0" w:color="auto" w:frame="1"/>
                <w:shd w:val="clear" w:color="auto" w:fill="FFFFFF"/>
              </w:rPr>
            </w:pPr>
            <w:r>
              <w:rPr>
                <w:rStyle w:val="Forte"/>
                <w:rFonts w:ascii="Open Sans" w:hAnsi="Open Sans"/>
                <w:color w:val="333333"/>
                <w:sz w:val="20"/>
                <w:szCs w:val="20"/>
                <w:bdr w:val="none" w:sz="0" w:space="0" w:color="auto" w:frame="1"/>
                <w:shd w:val="clear" w:color="auto" w:fill="FFFFFF"/>
              </w:rPr>
              <w:t>20/02/2007</w:t>
            </w:r>
            <w:r>
              <w:rPr>
                <w:rFonts w:ascii="Open Sans" w:hAnsi="Open Sans"/>
                <w:color w:val="333333"/>
                <w:sz w:val="20"/>
                <w:szCs w:val="20"/>
                <w:shd w:val="clear" w:color="auto" w:fill="FFFFFF"/>
              </w:rPr>
              <w:t> -  </w:t>
            </w:r>
            <w:r>
              <w:rPr>
                <w:rStyle w:val="Forte"/>
                <w:rFonts w:ascii="Open Sans" w:hAnsi="Open Sans"/>
                <w:color w:val="333333"/>
                <w:sz w:val="20"/>
                <w:szCs w:val="20"/>
                <w:bdr w:val="none" w:sz="0" w:space="0" w:color="auto" w:frame="1"/>
                <w:shd w:val="clear" w:color="auto" w:fill="FFFFFF"/>
              </w:rPr>
              <w:t>FRANCE - 21 - DIJON</w:t>
            </w:r>
          </w:p>
        </w:tc>
        <w:tc>
          <w:tcPr>
            <w:tcW w:w="1396" w:type="dxa"/>
            <w:vAlign w:val="center"/>
          </w:tcPr>
          <w:p w:rsidR="0098245C" w:rsidRPr="00F15334" w:rsidRDefault="0098245C" w:rsidP="000C12E5">
            <w:pPr>
              <w:jc w:val="center"/>
              <w:rPr>
                <w:rFonts w:ascii="Open Sans" w:hAnsi="Open Sans"/>
                <w:color w:val="333333"/>
                <w:sz w:val="20"/>
                <w:szCs w:val="20"/>
                <w:shd w:val="clear" w:color="auto" w:fill="FFFFFF"/>
              </w:rPr>
            </w:pPr>
            <w:r>
              <w:rPr>
                <w:rFonts w:ascii="Open Sans" w:hAnsi="Open Sans"/>
                <w:color w:val="333333"/>
                <w:sz w:val="20"/>
                <w:szCs w:val="20"/>
                <w:shd w:val="clear" w:color="auto" w:fill="FFFFFF"/>
              </w:rPr>
              <w:t>château d’eau</w:t>
            </w:r>
          </w:p>
        </w:tc>
        <w:tc>
          <w:tcPr>
            <w:tcW w:w="2835" w:type="dxa"/>
          </w:tcPr>
          <w:p w:rsidR="0098245C" w:rsidRPr="00F15334" w:rsidRDefault="0098245C" w:rsidP="00976673">
            <w:pPr>
              <w:jc w:val="both"/>
              <w:rPr>
                <w:rFonts w:ascii="Open Sans" w:hAnsi="Open Sans"/>
                <w:color w:val="333333"/>
                <w:sz w:val="20"/>
                <w:szCs w:val="20"/>
                <w:shd w:val="clear" w:color="auto" w:fill="FFFFFF"/>
              </w:rPr>
            </w:pPr>
            <w:r>
              <w:rPr>
                <w:rFonts w:ascii="Open Sans" w:hAnsi="Open Sans"/>
                <w:color w:val="333333"/>
                <w:sz w:val="20"/>
                <w:szCs w:val="20"/>
                <w:shd w:val="clear" w:color="auto" w:fill="FFFFFF"/>
              </w:rPr>
              <w:t>Des hydrocarbures polluent un château d’eau. Selon la gendarmerie, une citerne contenant 700 l de fioul aurait été renversée par inadvertance durant le week-end par la société qui nettoyait de l’ouvrage. es hydrocarbures se sont ensuite infiltrés dans les sols et ont atteint la réserve d’eau souterraine</w:t>
            </w:r>
          </w:p>
        </w:tc>
        <w:tc>
          <w:tcPr>
            <w:tcW w:w="3397" w:type="dxa"/>
          </w:tcPr>
          <w:p w:rsidR="0098245C" w:rsidRPr="00F15334" w:rsidRDefault="00CC4282" w:rsidP="00976673">
            <w:pPr>
              <w:jc w:val="both"/>
              <w:rPr>
                <w:sz w:val="20"/>
                <w:szCs w:val="20"/>
              </w:rPr>
            </w:pPr>
            <w:r>
              <w:rPr>
                <w:rFonts w:ascii="Open Sans" w:hAnsi="Open Sans"/>
                <w:color w:val="333333"/>
                <w:sz w:val="20"/>
                <w:szCs w:val="20"/>
                <w:shd w:val="clear" w:color="auto" w:fill="FFFFFF"/>
              </w:rPr>
              <w:t>l</w:t>
            </w:r>
            <w:r w:rsidR="0098245C">
              <w:rPr>
                <w:rFonts w:ascii="Open Sans" w:hAnsi="Open Sans"/>
                <w:color w:val="333333"/>
                <w:sz w:val="20"/>
                <w:szCs w:val="20"/>
                <w:shd w:val="clear" w:color="auto" w:fill="FFFFFF"/>
              </w:rPr>
              <w:t>es habitants de 4 communes (6 800 personnes) ne doivent plus consommer l’eau du robinet pour une durée indéterminée</w:t>
            </w:r>
          </w:p>
        </w:tc>
      </w:tr>
      <w:tr w:rsidR="0098245C" w:rsidTr="000C12E5">
        <w:tc>
          <w:tcPr>
            <w:tcW w:w="426" w:type="dxa"/>
            <w:shd w:val="clear" w:color="auto" w:fill="E2EFD9" w:themeFill="accent6" w:themeFillTint="33"/>
          </w:tcPr>
          <w:p w:rsidR="0098245C" w:rsidRDefault="0098245C" w:rsidP="00CF7E6A">
            <w:pPr>
              <w:rPr>
                <w:rStyle w:val="Forte"/>
                <w:rFonts w:ascii="Open Sans" w:hAnsi="Open Sans"/>
                <w:color w:val="333333"/>
                <w:sz w:val="20"/>
                <w:szCs w:val="20"/>
                <w:bdr w:val="none" w:sz="0" w:space="0" w:color="auto" w:frame="1"/>
                <w:shd w:val="clear" w:color="auto" w:fill="FFFFFF"/>
              </w:rPr>
            </w:pPr>
            <w:r>
              <w:rPr>
                <w:rStyle w:val="Forte"/>
                <w:rFonts w:ascii="Open Sans" w:hAnsi="Open Sans"/>
                <w:color w:val="333333"/>
                <w:sz w:val="20"/>
                <w:szCs w:val="20"/>
                <w:bdr w:val="none" w:sz="0" w:space="0" w:color="auto" w:frame="1"/>
                <w:shd w:val="clear" w:color="auto" w:fill="FFFFFF"/>
              </w:rPr>
              <w:t>07</w:t>
            </w:r>
          </w:p>
        </w:tc>
        <w:tc>
          <w:tcPr>
            <w:tcW w:w="2431" w:type="dxa"/>
            <w:vAlign w:val="center"/>
          </w:tcPr>
          <w:p w:rsidR="0098245C" w:rsidRDefault="0098245C" w:rsidP="000C12E5">
            <w:pPr>
              <w:jc w:val="center"/>
              <w:rPr>
                <w:rStyle w:val="Forte"/>
                <w:rFonts w:ascii="Open Sans" w:hAnsi="Open Sans"/>
                <w:color w:val="333333"/>
                <w:sz w:val="20"/>
                <w:szCs w:val="20"/>
                <w:bdr w:val="none" w:sz="0" w:space="0" w:color="auto" w:frame="1"/>
                <w:shd w:val="clear" w:color="auto" w:fill="FFFFFF"/>
              </w:rPr>
            </w:pPr>
            <w:r>
              <w:rPr>
                <w:rStyle w:val="Forte"/>
                <w:rFonts w:ascii="Open Sans" w:hAnsi="Open Sans"/>
                <w:color w:val="333333"/>
                <w:sz w:val="20"/>
                <w:szCs w:val="20"/>
                <w:bdr w:val="none" w:sz="0" w:space="0" w:color="auto" w:frame="1"/>
                <w:shd w:val="clear" w:color="auto" w:fill="FFFFFF"/>
              </w:rPr>
              <w:t>16/12/2015</w:t>
            </w:r>
            <w:r>
              <w:rPr>
                <w:rFonts w:ascii="Open Sans" w:hAnsi="Open Sans"/>
                <w:color w:val="333333"/>
                <w:sz w:val="20"/>
                <w:szCs w:val="20"/>
                <w:shd w:val="clear" w:color="auto" w:fill="FFFFFF"/>
              </w:rPr>
              <w:t> -  </w:t>
            </w:r>
            <w:r>
              <w:rPr>
                <w:rStyle w:val="Forte"/>
                <w:rFonts w:ascii="Open Sans" w:hAnsi="Open Sans"/>
                <w:color w:val="333333"/>
                <w:sz w:val="20"/>
                <w:szCs w:val="20"/>
                <w:bdr w:val="none" w:sz="0" w:space="0" w:color="auto" w:frame="1"/>
                <w:shd w:val="clear" w:color="auto" w:fill="FFFFFF"/>
              </w:rPr>
              <w:t>FRANCE - 60 - ESQUENNOY</w:t>
            </w:r>
          </w:p>
        </w:tc>
        <w:tc>
          <w:tcPr>
            <w:tcW w:w="1396" w:type="dxa"/>
            <w:vAlign w:val="center"/>
          </w:tcPr>
          <w:p w:rsidR="0098245C" w:rsidRPr="00F15334" w:rsidRDefault="0098245C" w:rsidP="000C12E5">
            <w:pPr>
              <w:jc w:val="center"/>
              <w:rPr>
                <w:rFonts w:ascii="Open Sans" w:hAnsi="Open Sans"/>
                <w:color w:val="333333"/>
                <w:sz w:val="20"/>
                <w:szCs w:val="20"/>
                <w:shd w:val="clear" w:color="auto" w:fill="FFFFFF"/>
              </w:rPr>
            </w:pPr>
            <w:r>
              <w:rPr>
                <w:rFonts w:ascii="Open Sans" w:hAnsi="Open Sans"/>
                <w:color w:val="333333"/>
                <w:sz w:val="20"/>
                <w:szCs w:val="20"/>
                <w:shd w:val="clear" w:color="auto" w:fill="FFFFFF"/>
              </w:rPr>
              <w:t>château d’eau</w:t>
            </w:r>
          </w:p>
        </w:tc>
        <w:tc>
          <w:tcPr>
            <w:tcW w:w="2835" w:type="dxa"/>
          </w:tcPr>
          <w:p w:rsidR="0098245C" w:rsidRPr="00F15334" w:rsidRDefault="0098245C" w:rsidP="00976673">
            <w:pPr>
              <w:jc w:val="both"/>
              <w:rPr>
                <w:rFonts w:ascii="Open Sans" w:hAnsi="Open Sans"/>
                <w:color w:val="333333"/>
                <w:sz w:val="20"/>
                <w:szCs w:val="20"/>
                <w:shd w:val="clear" w:color="auto" w:fill="FFFFFF"/>
              </w:rPr>
            </w:pPr>
            <w:r>
              <w:rPr>
                <w:rFonts w:ascii="Open Sans" w:hAnsi="Open Sans"/>
                <w:color w:val="333333"/>
                <w:sz w:val="20"/>
                <w:szCs w:val="20"/>
                <w:shd w:val="clear" w:color="auto" w:fill="FFFFFF"/>
              </w:rPr>
              <w:t>A la suite d’un acte de vandalisme, une fuite est détectée, vers 18 h, sur 2 bouteilles de chlore de 30 kg dans un château d’eau</w:t>
            </w:r>
          </w:p>
        </w:tc>
        <w:tc>
          <w:tcPr>
            <w:tcW w:w="3397" w:type="dxa"/>
          </w:tcPr>
          <w:p w:rsidR="0098245C" w:rsidRPr="00F15334" w:rsidRDefault="0098245C" w:rsidP="00976673">
            <w:pPr>
              <w:jc w:val="both"/>
              <w:rPr>
                <w:sz w:val="20"/>
                <w:szCs w:val="20"/>
              </w:rPr>
            </w:pPr>
            <w:r>
              <w:rPr>
                <w:rFonts w:ascii="Open Sans" w:hAnsi="Open Sans"/>
                <w:color w:val="333333"/>
                <w:sz w:val="20"/>
                <w:szCs w:val="20"/>
                <w:shd w:val="clear" w:color="auto" w:fill="FFFFFF"/>
              </w:rPr>
              <w:t>Les secours, sous ARI, coupent l’alimentation en chlore. Des reconnaissances sont effectuées sur les habitations voisines et 7 personnes sont confinées. </w:t>
            </w:r>
          </w:p>
        </w:tc>
      </w:tr>
    </w:tbl>
    <w:p w:rsidR="0098245C" w:rsidRDefault="0098245C" w:rsidP="00764FFF">
      <w:pPr>
        <w:jc w:val="both"/>
        <w:rPr>
          <w:rFonts w:ascii="Times New Roman" w:hAnsi="Times New Roman"/>
          <w:b/>
          <w:u w:val="single"/>
        </w:rPr>
      </w:pPr>
    </w:p>
    <w:p w:rsidR="00764FFF" w:rsidRPr="003E743A" w:rsidRDefault="00764FFF" w:rsidP="00764FFF">
      <w:pPr>
        <w:jc w:val="both"/>
        <w:rPr>
          <w:rFonts w:ascii="Times New Roman" w:hAnsi="Times New Roman"/>
          <w:b/>
          <w:u w:val="single"/>
        </w:rPr>
      </w:pPr>
      <w:r w:rsidRPr="003E743A">
        <w:rPr>
          <w:rFonts w:ascii="Times New Roman" w:hAnsi="Times New Roman"/>
          <w:b/>
          <w:u w:val="single"/>
        </w:rPr>
        <w:t>Conclusion</w:t>
      </w:r>
    </w:p>
    <w:p w:rsidR="00764FFF" w:rsidRPr="003E743A" w:rsidRDefault="0098245C" w:rsidP="00764FFF">
      <w:pPr>
        <w:ind w:left="-284"/>
        <w:jc w:val="both"/>
        <w:rPr>
          <w:rFonts w:ascii="Times New Roman" w:hAnsi="Times New Roman"/>
          <w:sz w:val="24"/>
          <w:szCs w:val="24"/>
        </w:rPr>
      </w:pPr>
      <w:r>
        <w:rPr>
          <w:rFonts w:ascii="Times New Roman" w:hAnsi="Times New Roman"/>
          <w:sz w:val="24"/>
          <w:szCs w:val="24"/>
        </w:rPr>
        <w:t>Sur 20</w:t>
      </w:r>
      <w:r w:rsidR="00764FFF">
        <w:rPr>
          <w:rFonts w:ascii="Times New Roman" w:hAnsi="Times New Roman"/>
          <w:sz w:val="24"/>
          <w:szCs w:val="24"/>
        </w:rPr>
        <w:t xml:space="preserve"> accidents,7</w:t>
      </w:r>
      <w:r w:rsidR="00764FFF" w:rsidRPr="003E743A">
        <w:rPr>
          <w:rFonts w:ascii="Times New Roman" w:hAnsi="Times New Roman"/>
          <w:sz w:val="24"/>
          <w:szCs w:val="24"/>
        </w:rPr>
        <w:t xml:space="preserve"> concernent des stations-services et des pompes de distribution. 2 accidents impliquent le gasoil (dont un oléoduc)</w:t>
      </w:r>
      <w:r>
        <w:rPr>
          <w:rFonts w:ascii="Times New Roman" w:hAnsi="Times New Roman"/>
          <w:sz w:val="24"/>
          <w:szCs w:val="24"/>
        </w:rPr>
        <w:t>, 4 accidents concernant des ruptures de canalisation et 3 autres par à cause de pollution des eaux.</w:t>
      </w:r>
      <w:r w:rsidR="00764FFF" w:rsidRPr="003E743A">
        <w:rPr>
          <w:rFonts w:ascii="Times New Roman" w:hAnsi="Times New Roman"/>
          <w:sz w:val="24"/>
          <w:szCs w:val="24"/>
        </w:rPr>
        <w:t xml:space="preserve"> Tous, aboutissent à des incendies et des explosions. Nous les mettons en exergue pour </w:t>
      </w:r>
      <w:r w:rsidR="00764FFF" w:rsidRPr="003E743A">
        <w:rPr>
          <w:rFonts w:ascii="Times New Roman" w:hAnsi="Times New Roman"/>
          <w:sz w:val="24"/>
          <w:szCs w:val="24"/>
        </w:rPr>
        <w:lastRenderedPageBreak/>
        <w:t>attirer</w:t>
      </w:r>
      <w:r w:rsidR="00764FFF">
        <w:rPr>
          <w:rFonts w:ascii="Times New Roman" w:hAnsi="Times New Roman"/>
          <w:sz w:val="24"/>
          <w:szCs w:val="24"/>
        </w:rPr>
        <w:t xml:space="preserve"> l’attention des responsables </w:t>
      </w:r>
      <w:r w:rsidR="00764FFF" w:rsidRPr="003E743A">
        <w:rPr>
          <w:rFonts w:ascii="Times New Roman" w:hAnsi="Times New Roman"/>
          <w:sz w:val="24"/>
          <w:szCs w:val="24"/>
        </w:rPr>
        <w:t>des bases vie sur les leçons à en tirer</w:t>
      </w:r>
      <w:r>
        <w:rPr>
          <w:rFonts w:ascii="Times New Roman" w:hAnsi="Times New Roman"/>
          <w:sz w:val="24"/>
          <w:szCs w:val="24"/>
        </w:rPr>
        <w:t xml:space="preserve"> mais aussi, effectuer des réalisations de qualité</w:t>
      </w:r>
      <w:r w:rsidR="00764FFF" w:rsidRPr="003E743A">
        <w:rPr>
          <w:rFonts w:ascii="Times New Roman" w:hAnsi="Times New Roman"/>
          <w:sz w:val="24"/>
          <w:szCs w:val="24"/>
        </w:rPr>
        <w:t xml:space="preserve">. </w:t>
      </w:r>
    </w:p>
    <w:p w:rsidR="00764FFF" w:rsidRPr="003E743A" w:rsidRDefault="00764FFF" w:rsidP="00764FFF">
      <w:pPr>
        <w:ind w:left="-284"/>
        <w:jc w:val="both"/>
        <w:rPr>
          <w:rFonts w:ascii="Times New Roman" w:hAnsi="Times New Roman"/>
          <w:sz w:val="24"/>
          <w:szCs w:val="24"/>
        </w:rPr>
      </w:pPr>
      <w:r w:rsidRPr="003E743A">
        <w:rPr>
          <w:rFonts w:ascii="Times New Roman" w:hAnsi="Times New Roman"/>
          <w:sz w:val="24"/>
          <w:szCs w:val="24"/>
        </w:rPr>
        <w:t xml:space="preserve">Ainsi, l’analyse de l’accidentologie et de l’identification des dangers potentiels liés aux </w:t>
      </w:r>
      <w:r w:rsidR="0098245C">
        <w:rPr>
          <w:rFonts w:ascii="Times New Roman" w:hAnsi="Times New Roman"/>
          <w:sz w:val="24"/>
          <w:szCs w:val="24"/>
        </w:rPr>
        <w:t xml:space="preserve">réservoirs </w:t>
      </w:r>
      <w:r w:rsidR="00AF4945">
        <w:rPr>
          <w:rFonts w:ascii="Times New Roman" w:hAnsi="Times New Roman"/>
          <w:sz w:val="24"/>
          <w:szCs w:val="24"/>
        </w:rPr>
        <w:t>et équipements</w:t>
      </w:r>
      <w:r w:rsidRPr="003E743A">
        <w:rPr>
          <w:rFonts w:ascii="Times New Roman" w:hAnsi="Times New Roman"/>
          <w:sz w:val="24"/>
          <w:szCs w:val="24"/>
        </w:rPr>
        <w:t xml:space="preserve"> et aux substances stockées, montre que les évènements qui peuvent être redoutés pour de tels projets sont :</w:t>
      </w:r>
    </w:p>
    <w:p w:rsidR="00764FFF" w:rsidRPr="003E743A" w:rsidRDefault="00764FFF" w:rsidP="00FA3FAE">
      <w:pPr>
        <w:numPr>
          <w:ilvl w:val="0"/>
          <w:numId w:val="96"/>
        </w:numPr>
        <w:spacing w:after="0"/>
        <w:jc w:val="both"/>
        <w:rPr>
          <w:rFonts w:ascii="Times New Roman" w:hAnsi="Times New Roman"/>
          <w:sz w:val="24"/>
          <w:szCs w:val="24"/>
        </w:rPr>
      </w:pPr>
      <w:r w:rsidRPr="003E743A">
        <w:rPr>
          <w:rFonts w:ascii="Times New Roman" w:hAnsi="Times New Roman"/>
          <w:sz w:val="24"/>
          <w:szCs w:val="24"/>
        </w:rPr>
        <w:t>Incendie et/ou explosion du groupe électrogène</w:t>
      </w:r>
      <w:r w:rsidR="000C12E5">
        <w:rPr>
          <w:rFonts w:ascii="Times New Roman" w:hAnsi="Times New Roman"/>
          <w:sz w:val="24"/>
          <w:szCs w:val="24"/>
        </w:rPr>
        <w:t> ;</w:t>
      </w:r>
    </w:p>
    <w:p w:rsidR="00764FFF" w:rsidRPr="003E743A" w:rsidRDefault="00764FFF" w:rsidP="00FA3FAE">
      <w:pPr>
        <w:numPr>
          <w:ilvl w:val="0"/>
          <w:numId w:val="96"/>
        </w:numPr>
        <w:spacing w:after="0"/>
        <w:jc w:val="both"/>
        <w:rPr>
          <w:rFonts w:ascii="Times New Roman" w:hAnsi="Times New Roman"/>
          <w:sz w:val="24"/>
          <w:szCs w:val="24"/>
        </w:rPr>
      </w:pPr>
      <w:r w:rsidRPr="003E743A">
        <w:rPr>
          <w:rFonts w:ascii="Times New Roman" w:hAnsi="Times New Roman"/>
          <w:sz w:val="24"/>
          <w:szCs w:val="24"/>
        </w:rPr>
        <w:t>Incendie d’une cuvette de rétention d’hydrocarbure</w:t>
      </w:r>
      <w:r w:rsidR="000C12E5">
        <w:rPr>
          <w:rFonts w:ascii="Times New Roman" w:hAnsi="Times New Roman"/>
          <w:sz w:val="24"/>
          <w:szCs w:val="24"/>
        </w:rPr>
        <w:t> ;</w:t>
      </w:r>
    </w:p>
    <w:p w:rsidR="00764FFF" w:rsidRPr="00AF4945" w:rsidRDefault="0098245C" w:rsidP="00FA3FAE">
      <w:pPr>
        <w:numPr>
          <w:ilvl w:val="0"/>
          <w:numId w:val="96"/>
        </w:numPr>
        <w:spacing w:after="0"/>
        <w:jc w:val="both"/>
        <w:rPr>
          <w:rFonts w:ascii="Times New Roman" w:hAnsi="Times New Roman"/>
          <w:sz w:val="24"/>
          <w:szCs w:val="24"/>
        </w:rPr>
      </w:pPr>
      <w:r w:rsidRPr="00AF4945">
        <w:rPr>
          <w:rFonts w:ascii="Times New Roman" w:hAnsi="Times New Roman"/>
          <w:sz w:val="24"/>
          <w:szCs w:val="24"/>
        </w:rPr>
        <w:t>Effondrement d’un château d’eau</w:t>
      </w:r>
      <w:r w:rsidR="000C12E5">
        <w:rPr>
          <w:rFonts w:ascii="Times New Roman" w:hAnsi="Times New Roman"/>
          <w:sz w:val="24"/>
          <w:szCs w:val="24"/>
        </w:rPr>
        <w:t> ;</w:t>
      </w:r>
    </w:p>
    <w:p w:rsidR="00AF4945" w:rsidRPr="00AF4945" w:rsidRDefault="00AF4945" w:rsidP="00FA3FAE">
      <w:pPr>
        <w:numPr>
          <w:ilvl w:val="0"/>
          <w:numId w:val="96"/>
        </w:numPr>
        <w:spacing w:after="0"/>
        <w:jc w:val="both"/>
        <w:rPr>
          <w:rFonts w:ascii="Times New Roman" w:hAnsi="Times New Roman"/>
          <w:sz w:val="24"/>
          <w:szCs w:val="24"/>
        </w:rPr>
      </w:pPr>
      <w:r w:rsidRPr="00AF4945">
        <w:rPr>
          <w:rFonts w:ascii="Times New Roman" w:hAnsi="Times New Roman"/>
          <w:sz w:val="24"/>
          <w:szCs w:val="24"/>
        </w:rPr>
        <w:t>Rupture des canalisations</w:t>
      </w:r>
      <w:r w:rsidR="000C12E5">
        <w:rPr>
          <w:rFonts w:ascii="Times New Roman" w:hAnsi="Times New Roman"/>
          <w:sz w:val="24"/>
          <w:szCs w:val="24"/>
        </w:rPr>
        <w:t> ;</w:t>
      </w:r>
    </w:p>
    <w:p w:rsidR="00AF4945" w:rsidRDefault="00AF4945" w:rsidP="00FA3FAE">
      <w:pPr>
        <w:numPr>
          <w:ilvl w:val="0"/>
          <w:numId w:val="96"/>
        </w:numPr>
        <w:spacing w:after="0"/>
        <w:jc w:val="both"/>
        <w:rPr>
          <w:rFonts w:ascii="Times New Roman" w:hAnsi="Times New Roman"/>
          <w:sz w:val="24"/>
          <w:szCs w:val="24"/>
        </w:rPr>
      </w:pPr>
      <w:r>
        <w:rPr>
          <w:rFonts w:ascii="Times New Roman" w:hAnsi="Times New Roman"/>
          <w:sz w:val="24"/>
          <w:szCs w:val="24"/>
        </w:rPr>
        <w:t>Pollution des eaux du réservoir</w:t>
      </w:r>
      <w:r w:rsidR="000C12E5">
        <w:rPr>
          <w:rFonts w:ascii="Times New Roman" w:hAnsi="Times New Roman"/>
          <w:sz w:val="24"/>
          <w:szCs w:val="24"/>
        </w:rPr>
        <w:t> ;</w:t>
      </w:r>
    </w:p>
    <w:p w:rsidR="00764FFF" w:rsidRPr="003E743A" w:rsidRDefault="00764FFF" w:rsidP="00764FFF">
      <w:pPr>
        <w:pStyle w:val="Listecouleur-Accent11"/>
        <w:keepNext/>
        <w:spacing w:before="240" w:after="240"/>
        <w:ind w:left="450" w:hanging="450"/>
        <w:outlineLvl w:val="1"/>
        <w:rPr>
          <w:rFonts w:ascii="Times New Roman" w:hAnsi="Times New Roman"/>
          <w:b/>
          <w:sz w:val="28"/>
          <w:szCs w:val="28"/>
          <w:u w:val="single"/>
          <w:lang w:val="fr-FR" w:eastAsia="fr-FR"/>
        </w:rPr>
      </w:pPr>
      <w:bookmarkStart w:id="441" w:name="_Toc525421887"/>
      <w:bookmarkStart w:id="442" w:name="_Toc535396969"/>
      <w:bookmarkStart w:id="443" w:name="_Toc11158369"/>
      <w:bookmarkStart w:id="444" w:name="_Toc51072591"/>
      <w:r>
        <w:rPr>
          <w:rFonts w:ascii="Times New Roman" w:hAnsi="Times New Roman"/>
          <w:b/>
          <w:sz w:val="28"/>
          <w:szCs w:val="28"/>
          <w:u w:val="single"/>
          <w:lang w:val="fr-FR" w:eastAsia="fr-FR"/>
        </w:rPr>
        <w:t>7</w:t>
      </w:r>
      <w:r w:rsidRPr="003E743A">
        <w:rPr>
          <w:rFonts w:ascii="Times New Roman" w:hAnsi="Times New Roman"/>
          <w:b/>
          <w:sz w:val="28"/>
          <w:szCs w:val="28"/>
          <w:u w:val="single"/>
          <w:lang w:val="fr-FR" w:eastAsia="fr-FR"/>
        </w:rPr>
        <w:t>.</w:t>
      </w:r>
      <w:r>
        <w:rPr>
          <w:rFonts w:ascii="Times New Roman" w:hAnsi="Times New Roman"/>
          <w:b/>
          <w:sz w:val="28"/>
          <w:szCs w:val="28"/>
          <w:u w:val="single"/>
          <w:lang w:val="fr-FR" w:eastAsia="fr-FR"/>
        </w:rPr>
        <w:t>4</w:t>
      </w:r>
      <w:r w:rsidRPr="003E743A">
        <w:rPr>
          <w:rFonts w:ascii="Times New Roman" w:hAnsi="Times New Roman"/>
          <w:b/>
          <w:sz w:val="28"/>
          <w:szCs w:val="28"/>
          <w:u w:val="single"/>
          <w:lang w:val="fr-FR" w:eastAsia="fr-FR"/>
        </w:rPr>
        <w:t xml:space="preserve">. </w:t>
      </w:r>
      <w:r w:rsidRPr="00594522">
        <w:rPr>
          <w:rFonts w:ascii="Times New Roman" w:hAnsi="Times New Roman"/>
          <w:b/>
          <w:sz w:val="28"/>
          <w:szCs w:val="28"/>
          <w:u w:val="single"/>
          <w:lang w:val="fr-FR" w:eastAsia="fr-FR"/>
        </w:rPr>
        <w:t xml:space="preserve">Mesures </w:t>
      </w:r>
      <w:bookmarkEnd w:id="441"/>
      <w:bookmarkEnd w:id="442"/>
      <w:bookmarkEnd w:id="443"/>
      <w:r w:rsidR="00976673">
        <w:rPr>
          <w:rFonts w:ascii="Times New Roman" w:hAnsi="Times New Roman"/>
          <w:b/>
          <w:sz w:val="28"/>
          <w:szCs w:val="28"/>
          <w:u w:val="single"/>
          <w:lang w:val="fr-FR" w:eastAsia="fr-FR"/>
        </w:rPr>
        <w:t xml:space="preserve">de gestion </w:t>
      </w:r>
      <w:r w:rsidR="00976673" w:rsidRPr="00206F59">
        <w:rPr>
          <w:rFonts w:ascii="Times New Roman" w:hAnsi="Times New Roman"/>
          <w:b/>
          <w:sz w:val="28"/>
          <w:szCs w:val="28"/>
          <w:u w:val="single"/>
          <w:lang w:val="fr-FR" w:eastAsia="fr-FR"/>
        </w:rPr>
        <w:t xml:space="preserve">des risques </w:t>
      </w:r>
      <w:r w:rsidR="00976673">
        <w:rPr>
          <w:rFonts w:ascii="Times New Roman" w:hAnsi="Times New Roman"/>
          <w:b/>
          <w:sz w:val="28"/>
          <w:szCs w:val="28"/>
          <w:u w:val="single"/>
          <w:lang w:val="fr-FR" w:eastAsia="fr-FR"/>
        </w:rPr>
        <w:t>liés à la santé et sécurité</w:t>
      </w:r>
      <w:bookmarkEnd w:id="444"/>
    </w:p>
    <w:p w:rsidR="00764FFF" w:rsidRPr="00763BF9" w:rsidRDefault="00764FFF" w:rsidP="00820701">
      <w:pPr>
        <w:pStyle w:val="Cabealho3"/>
        <w:numPr>
          <w:ilvl w:val="0"/>
          <w:numId w:val="146"/>
        </w:numPr>
      </w:pPr>
      <w:bookmarkStart w:id="445" w:name="_Toc525421888"/>
      <w:bookmarkStart w:id="446" w:name="_Toc535396970"/>
      <w:bookmarkStart w:id="447" w:name="_Toc11158370"/>
      <w:bookmarkStart w:id="448" w:name="_Toc51072592"/>
      <w:r>
        <w:t>7</w:t>
      </w:r>
      <w:r w:rsidRPr="00763BF9">
        <w:t>.</w:t>
      </w:r>
      <w:r>
        <w:t>4</w:t>
      </w:r>
      <w:r w:rsidRPr="00763BF9">
        <w:t>.1. Mesures de Prévention</w:t>
      </w:r>
      <w:bookmarkEnd w:id="445"/>
      <w:bookmarkEnd w:id="446"/>
      <w:bookmarkEnd w:id="447"/>
      <w:bookmarkEnd w:id="448"/>
    </w:p>
    <w:p w:rsidR="00764FFF" w:rsidRPr="00763BF9" w:rsidRDefault="00764FFF" w:rsidP="00FA3FAE">
      <w:pPr>
        <w:numPr>
          <w:ilvl w:val="0"/>
          <w:numId w:val="100"/>
        </w:numPr>
        <w:spacing w:after="0" w:line="276" w:lineRule="auto"/>
        <w:contextualSpacing/>
        <w:jc w:val="both"/>
        <w:rPr>
          <w:rFonts w:ascii="Times New Roman" w:hAnsi="Times New Roman"/>
          <w:sz w:val="24"/>
          <w:szCs w:val="24"/>
        </w:rPr>
      </w:pPr>
      <w:r w:rsidRPr="00763BF9">
        <w:rPr>
          <w:rFonts w:ascii="Times New Roman" w:hAnsi="Times New Roman"/>
          <w:sz w:val="24"/>
          <w:szCs w:val="24"/>
        </w:rPr>
        <w:t>Tous les salariés doivent</w:t>
      </w:r>
      <w:r w:rsidR="001B4673">
        <w:rPr>
          <w:rFonts w:ascii="Times New Roman" w:hAnsi="Times New Roman"/>
          <w:sz w:val="24"/>
          <w:szCs w:val="24"/>
        </w:rPr>
        <w:t xml:space="preserve"> être,</w:t>
      </w:r>
      <w:r w:rsidRPr="00763BF9">
        <w:rPr>
          <w:rFonts w:ascii="Times New Roman" w:hAnsi="Times New Roman"/>
          <w:sz w:val="24"/>
          <w:szCs w:val="24"/>
        </w:rPr>
        <w:t xml:space="preserve"> avant le début de l’exploitation de</w:t>
      </w:r>
      <w:r w:rsidR="001B4673">
        <w:rPr>
          <w:rFonts w:ascii="Times New Roman" w:hAnsi="Times New Roman"/>
          <w:sz w:val="24"/>
          <w:szCs w:val="24"/>
        </w:rPr>
        <w:t xml:space="preserve">s réservoirs </w:t>
      </w:r>
      <w:r w:rsidRPr="00763BF9">
        <w:rPr>
          <w:rFonts w:ascii="Times New Roman" w:hAnsi="Times New Roman"/>
          <w:sz w:val="24"/>
          <w:szCs w:val="24"/>
        </w:rPr>
        <w:t>:</w:t>
      </w:r>
    </w:p>
    <w:p w:rsidR="00764FFF" w:rsidRPr="00763BF9" w:rsidRDefault="00764FFF" w:rsidP="00FA3FAE">
      <w:pPr>
        <w:numPr>
          <w:ilvl w:val="1"/>
          <w:numId w:val="101"/>
        </w:numPr>
        <w:spacing w:after="0" w:line="276" w:lineRule="auto"/>
        <w:jc w:val="both"/>
        <w:rPr>
          <w:rFonts w:ascii="Times New Roman" w:hAnsi="Times New Roman"/>
          <w:sz w:val="24"/>
          <w:szCs w:val="24"/>
        </w:rPr>
      </w:pPr>
      <w:r w:rsidRPr="00763BF9">
        <w:rPr>
          <w:rFonts w:ascii="Times New Roman" w:hAnsi="Times New Roman"/>
          <w:sz w:val="24"/>
          <w:szCs w:val="24"/>
        </w:rPr>
        <w:t xml:space="preserve">Formés aux tâches qu’ils auront à réaliser, </w:t>
      </w:r>
    </w:p>
    <w:p w:rsidR="00764FFF" w:rsidRPr="00763BF9" w:rsidRDefault="00764FFF" w:rsidP="00FA3FAE">
      <w:pPr>
        <w:numPr>
          <w:ilvl w:val="1"/>
          <w:numId w:val="101"/>
        </w:numPr>
        <w:spacing w:after="0" w:line="276" w:lineRule="auto"/>
        <w:jc w:val="both"/>
        <w:rPr>
          <w:rFonts w:ascii="Times New Roman" w:hAnsi="Times New Roman"/>
          <w:sz w:val="24"/>
          <w:szCs w:val="24"/>
        </w:rPr>
      </w:pPr>
      <w:r w:rsidRPr="00763BF9">
        <w:rPr>
          <w:rFonts w:ascii="Times New Roman" w:hAnsi="Times New Roman"/>
          <w:sz w:val="24"/>
          <w:szCs w:val="24"/>
        </w:rPr>
        <w:t>Informés des risques liés à leurs postes de travail et les mesures de prévention devant leur permettre d’éviter les accidents,</w:t>
      </w:r>
    </w:p>
    <w:p w:rsidR="00764FFF" w:rsidRPr="00763BF9" w:rsidRDefault="00764FFF" w:rsidP="00FA3FAE">
      <w:pPr>
        <w:numPr>
          <w:ilvl w:val="0"/>
          <w:numId w:val="100"/>
        </w:numPr>
        <w:spacing w:after="0" w:line="276" w:lineRule="auto"/>
        <w:contextualSpacing/>
        <w:jc w:val="both"/>
        <w:rPr>
          <w:rFonts w:ascii="Times New Roman" w:eastAsia="Times New Roman" w:hAnsi="Times New Roman"/>
          <w:sz w:val="24"/>
          <w:szCs w:val="24"/>
        </w:rPr>
      </w:pPr>
      <w:r w:rsidRPr="00763BF9">
        <w:rPr>
          <w:rFonts w:ascii="Times New Roman" w:eastAsia="Times New Roman" w:hAnsi="Times New Roman"/>
          <w:sz w:val="24"/>
          <w:szCs w:val="24"/>
        </w:rPr>
        <w:t>Les salariés doivent être briefés quotidiennement par les responsables sécurité, avant le début des travaux pour rappeler les risques et les mesures de sécurité ;</w:t>
      </w:r>
    </w:p>
    <w:p w:rsidR="00764FFF" w:rsidRPr="00763BF9" w:rsidRDefault="00764FFF" w:rsidP="00FA3FAE">
      <w:pPr>
        <w:numPr>
          <w:ilvl w:val="0"/>
          <w:numId w:val="100"/>
        </w:numPr>
        <w:spacing w:after="0" w:line="276" w:lineRule="auto"/>
        <w:contextualSpacing/>
        <w:jc w:val="both"/>
        <w:rPr>
          <w:rFonts w:ascii="Times New Roman" w:eastAsia="Times New Roman" w:hAnsi="Times New Roman"/>
          <w:sz w:val="24"/>
          <w:szCs w:val="24"/>
        </w:rPr>
      </w:pPr>
      <w:r w:rsidRPr="00763BF9">
        <w:rPr>
          <w:rFonts w:ascii="Times New Roman" w:eastAsia="Times New Roman" w:hAnsi="Times New Roman"/>
          <w:sz w:val="24"/>
          <w:szCs w:val="24"/>
        </w:rPr>
        <w:t>L’entreprise doit assurer la surveillance et le suivi médical des travailleurs ;</w:t>
      </w:r>
    </w:p>
    <w:p w:rsidR="00764FFF" w:rsidRPr="00763BF9" w:rsidRDefault="00764FFF" w:rsidP="00FA3FAE">
      <w:pPr>
        <w:numPr>
          <w:ilvl w:val="0"/>
          <w:numId w:val="100"/>
        </w:numPr>
        <w:spacing w:after="0" w:line="276" w:lineRule="auto"/>
        <w:contextualSpacing/>
        <w:jc w:val="both"/>
        <w:rPr>
          <w:rFonts w:ascii="Times New Roman" w:eastAsia="Times New Roman" w:hAnsi="Times New Roman"/>
          <w:sz w:val="24"/>
          <w:szCs w:val="24"/>
        </w:rPr>
      </w:pPr>
      <w:r w:rsidRPr="00763BF9">
        <w:rPr>
          <w:rFonts w:ascii="Times New Roman" w:eastAsia="Times New Roman" w:hAnsi="Times New Roman"/>
          <w:sz w:val="24"/>
          <w:szCs w:val="24"/>
        </w:rPr>
        <w:t xml:space="preserve">Pour réduire le risque de départ </w:t>
      </w:r>
      <w:r w:rsidRPr="001B4673">
        <w:rPr>
          <w:rFonts w:ascii="Times New Roman" w:eastAsia="Times New Roman" w:hAnsi="Times New Roman"/>
          <w:sz w:val="24"/>
          <w:szCs w:val="24"/>
        </w:rPr>
        <w:t>de</w:t>
      </w:r>
      <w:r w:rsidRPr="00763BF9">
        <w:rPr>
          <w:rFonts w:ascii="Times New Roman" w:eastAsia="Times New Roman" w:hAnsi="Times New Roman"/>
          <w:sz w:val="24"/>
          <w:szCs w:val="24"/>
        </w:rPr>
        <w:t xml:space="preserve"> feu lors des travaux par point chaud, l’exploitant doit mettre en place un système de permis de feu et autorisation de travail par point chaud ;</w:t>
      </w:r>
    </w:p>
    <w:p w:rsidR="00764FFF" w:rsidRPr="00763BF9" w:rsidRDefault="00764FFF" w:rsidP="00FA3FAE">
      <w:pPr>
        <w:numPr>
          <w:ilvl w:val="0"/>
          <w:numId w:val="100"/>
        </w:numPr>
        <w:spacing w:after="0" w:line="276" w:lineRule="auto"/>
        <w:contextualSpacing/>
        <w:jc w:val="both"/>
        <w:rPr>
          <w:rFonts w:ascii="Times New Roman" w:eastAsia="Times New Roman" w:hAnsi="Times New Roman"/>
          <w:sz w:val="24"/>
          <w:szCs w:val="24"/>
        </w:rPr>
      </w:pPr>
      <w:r w:rsidRPr="00763BF9">
        <w:rPr>
          <w:rFonts w:ascii="Times New Roman" w:eastAsia="Times New Roman" w:hAnsi="Times New Roman"/>
          <w:sz w:val="24"/>
          <w:szCs w:val="24"/>
        </w:rPr>
        <w:t>Des affiches lisibles à distance et rappelant les risques encourus doivent être implantées au niveau des zones à risque ;</w:t>
      </w:r>
    </w:p>
    <w:p w:rsidR="00764FFF" w:rsidRPr="00763BF9" w:rsidRDefault="00764FFF" w:rsidP="00FA3FAE">
      <w:pPr>
        <w:numPr>
          <w:ilvl w:val="0"/>
          <w:numId w:val="100"/>
        </w:numPr>
        <w:spacing w:after="0" w:line="276" w:lineRule="auto"/>
        <w:contextualSpacing/>
        <w:jc w:val="both"/>
        <w:rPr>
          <w:rFonts w:ascii="Times New Roman" w:eastAsia="Times New Roman" w:hAnsi="Times New Roman"/>
          <w:sz w:val="24"/>
          <w:szCs w:val="24"/>
        </w:rPr>
      </w:pPr>
      <w:r w:rsidRPr="00763BF9">
        <w:rPr>
          <w:rFonts w:ascii="Times New Roman" w:eastAsia="Times New Roman" w:hAnsi="Times New Roman"/>
          <w:sz w:val="24"/>
          <w:szCs w:val="24"/>
        </w:rPr>
        <w:t>L’entreprise doit mettre en place un Comité d’Hygiène et de Sécurité au Travail (CHST) qui aura, entre autres missions, de :</w:t>
      </w:r>
    </w:p>
    <w:p w:rsidR="00764FFF" w:rsidRPr="00763BF9" w:rsidRDefault="00764FFF" w:rsidP="00FA3FAE">
      <w:pPr>
        <w:numPr>
          <w:ilvl w:val="1"/>
          <w:numId w:val="101"/>
        </w:numPr>
        <w:spacing w:after="0" w:line="276" w:lineRule="auto"/>
        <w:contextualSpacing/>
        <w:jc w:val="both"/>
        <w:rPr>
          <w:rFonts w:ascii="Times New Roman" w:eastAsia="Times New Roman" w:hAnsi="Times New Roman"/>
          <w:sz w:val="24"/>
          <w:szCs w:val="24"/>
        </w:rPr>
      </w:pPr>
      <w:r w:rsidRPr="00763BF9">
        <w:rPr>
          <w:rFonts w:ascii="Times New Roman" w:eastAsia="Times New Roman" w:hAnsi="Times New Roman"/>
          <w:sz w:val="24"/>
          <w:szCs w:val="24"/>
        </w:rPr>
        <w:t>Contribuer à la protection de la santé et de la sécurité des salariés ;</w:t>
      </w:r>
    </w:p>
    <w:p w:rsidR="00764FFF" w:rsidRPr="00763BF9" w:rsidRDefault="00764FFF" w:rsidP="00FA3FAE">
      <w:pPr>
        <w:numPr>
          <w:ilvl w:val="1"/>
          <w:numId w:val="101"/>
        </w:numPr>
        <w:spacing w:after="0" w:line="276" w:lineRule="auto"/>
        <w:contextualSpacing/>
        <w:jc w:val="both"/>
        <w:rPr>
          <w:rFonts w:ascii="Times New Roman" w:eastAsia="Times New Roman" w:hAnsi="Times New Roman"/>
          <w:sz w:val="24"/>
          <w:szCs w:val="24"/>
        </w:rPr>
      </w:pPr>
      <w:r w:rsidRPr="00763BF9">
        <w:rPr>
          <w:rFonts w:ascii="Times New Roman" w:eastAsia="Times New Roman" w:hAnsi="Times New Roman"/>
          <w:sz w:val="24"/>
          <w:szCs w:val="24"/>
        </w:rPr>
        <w:t xml:space="preserve">Procéder ou de faire procéder à une enquête à l’occasion de chaque accident du travail ou de chaque maladie professionnelle grave ; </w:t>
      </w:r>
    </w:p>
    <w:p w:rsidR="00764FFF" w:rsidRPr="00763BF9" w:rsidRDefault="00764FFF" w:rsidP="00FA3FAE">
      <w:pPr>
        <w:numPr>
          <w:ilvl w:val="1"/>
          <w:numId w:val="101"/>
        </w:numPr>
        <w:spacing w:after="0" w:line="276" w:lineRule="auto"/>
        <w:contextualSpacing/>
        <w:jc w:val="both"/>
        <w:rPr>
          <w:rFonts w:ascii="Times New Roman" w:eastAsia="Times New Roman" w:hAnsi="Times New Roman"/>
          <w:sz w:val="24"/>
          <w:szCs w:val="24"/>
        </w:rPr>
      </w:pPr>
      <w:r w:rsidRPr="00763BF9">
        <w:rPr>
          <w:rFonts w:ascii="Times New Roman" w:eastAsia="Times New Roman" w:hAnsi="Times New Roman"/>
          <w:sz w:val="24"/>
          <w:szCs w:val="24"/>
        </w:rPr>
        <w:t>S’assurer de l’application des prescriptions législatives et réglementaires et des consignes concernant l’Hygiène et la sécurité ;</w:t>
      </w:r>
    </w:p>
    <w:p w:rsidR="00764FFF" w:rsidRPr="00763BF9" w:rsidRDefault="00764FFF" w:rsidP="00FA3FAE">
      <w:pPr>
        <w:numPr>
          <w:ilvl w:val="1"/>
          <w:numId w:val="101"/>
        </w:numPr>
        <w:spacing w:after="0" w:line="276" w:lineRule="auto"/>
        <w:contextualSpacing/>
        <w:jc w:val="both"/>
        <w:rPr>
          <w:rFonts w:ascii="Times New Roman" w:eastAsia="Times New Roman" w:hAnsi="Times New Roman"/>
          <w:sz w:val="24"/>
          <w:szCs w:val="24"/>
        </w:rPr>
      </w:pPr>
      <w:r w:rsidRPr="00763BF9">
        <w:rPr>
          <w:rFonts w:ascii="Times New Roman" w:eastAsia="Times New Roman" w:hAnsi="Times New Roman"/>
          <w:sz w:val="24"/>
          <w:szCs w:val="24"/>
        </w:rPr>
        <w:t>Organiser avec les services compétents et les organismes agréés, la formation des équipes chargées des services d’incendie et de sauvetage ;</w:t>
      </w:r>
    </w:p>
    <w:p w:rsidR="00764FFF" w:rsidRPr="00763BF9" w:rsidRDefault="00764FFF" w:rsidP="00FA3FAE">
      <w:pPr>
        <w:numPr>
          <w:ilvl w:val="1"/>
          <w:numId w:val="101"/>
        </w:numPr>
        <w:spacing w:after="0" w:line="276" w:lineRule="auto"/>
        <w:contextualSpacing/>
        <w:jc w:val="both"/>
        <w:rPr>
          <w:rFonts w:ascii="Times New Roman" w:eastAsia="Times New Roman" w:hAnsi="Times New Roman"/>
          <w:sz w:val="24"/>
          <w:szCs w:val="24"/>
        </w:rPr>
      </w:pPr>
      <w:r w:rsidRPr="00763BF9">
        <w:rPr>
          <w:rFonts w:ascii="Times New Roman" w:eastAsia="Times New Roman" w:hAnsi="Times New Roman"/>
          <w:sz w:val="24"/>
          <w:szCs w:val="24"/>
        </w:rPr>
        <w:t>Développer le réflexe de sécurité au niveau des travailleurs et de recueillir de leur part toute suggestion contribuant à l’amélioration de l’Hygiène, de la Sécurité et des conditions de travail.</w:t>
      </w:r>
    </w:p>
    <w:p w:rsidR="00764FFF" w:rsidRPr="00763BF9" w:rsidRDefault="00764FFF" w:rsidP="00FA3FAE">
      <w:pPr>
        <w:numPr>
          <w:ilvl w:val="0"/>
          <w:numId w:val="100"/>
        </w:numPr>
        <w:spacing w:after="0" w:line="276" w:lineRule="auto"/>
        <w:contextualSpacing/>
        <w:jc w:val="both"/>
        <w:rPr>
          <w:rFonts w:ascii="Times New Roman" w:hAnsi="Times New Roman"/>
          <w:sz w:val="24"/>
          <w:szCs w:val="24"/>
        </w:rPr>
      </w:pPr>
      <w:r w:rsidRPr="00763BF9">
        <w:rPr>
          <w:rFonts w:ascii="Times New Roman" w:hAnsi="Times New Roman"/>
          <w:sz w:val="24"/>
          <w:szCs w:val="24"/>
        </w:rPr>
        <w:t>Interdire de fumer ou d’apporter toute énergie pouvant créer un incendie, en particulier dans le local d’exploitation. Cette interdiction doit être notifiée aux personnels internes et externes par affichage à l’entrée et à l’intérieur. Prendre des mesures de sanctions sévères pour les désobéissants ;</w:t>
      </w:r>
    </w:p>
    <w:p w:rsidR="00764FFF" w:rsidRPr="00763BF9" w:rsidRDefault="00764FFF" w:rsidP="00820701">
      <w:pPr>
        <w:pStyle w:val="Cabealho3"/>
        <w:numPr>
          <w:ilvl w:val="0"/>
          <w:numId w:val="146"/>
        </w:numPr>
      </w:pPr>
      <w:bookmarkStart w:id="449" w:name="_Toc535396971"/>
      <w:bookmarkStart w:id="450" w:name="_Toc11158371"/>
      <w:bookmarkStart w:id="451" w:name="_Toc51072593"/>
      <w:bookmarkStart w:id="452" w:name="_Toc525421889"/>
      <w:r>
        <w:t>7</w:t>
      </w:r>
      <w:r w:rsidRPr="00763BF9">
        <w:t>.</w:t>
      </w:r>
      <w:r>
        <w:t>4</w:t>
      </w:r>
      <w:r w:rsidRPr="00763BF9">
        <w:t>.2. Mesures générales de protection et d’intervention</w:t>
      </w:r>
      <w:bookmarkEnd w:id="449"/>
      <w:bookmarkEnd w:id="450"/>
      <w:bookmarkEnd w:id="451"/>
      <w:r w:rsidRPr="00763BF9">
        <w:t> </w:t>
      </w:r>
      <w:bookmarkEnd w:id="452"/>
    </w:p>
    <w:p w:rsidR="00764FFF" w:rsidRPr="00763BF9" w:rsidRDefault="00764FFF" w:rsidP="00FA3FAE">
      <w:pPr>
        <w:numPr>
          <w:ilvl w:val="0"/>
          <w:numId w:val="102"/>
        </w:numPr>
        <w:spacing w:after="0" w:line="276" w:lineRule="auto"/>
        <w:contextualSpacing/>
        <w:jc w:val="both"/>
        <w:rPr>
          <w:rFonts w:ascii="Times New Roman" w:eastAsia="Times New Roman" w:hAnsi="Times New Roman"/>
          <w:sz w:val="24"/>
          <w:szCs w:val="24"/>
        </w:rPr>
      </w:pPr>
      <w:r w:rsidRPr="00763BF9">
        <w:rPr>
          <w:rFonts w:ascii="Times New Roman" w:eastAsia="Times New Roman" w:hAnsi="Times New Roman"/>
          <w:sz w:val="24"/>
          <w:szCs w:val="24"/>
        </w:rPr>
        <w:t>Installer des extincteurs appropriés au niveau de toutes les zones de l’établissement où il y a un risque d’incendie ;</w:t>
      </w:r>
    </w:p>
    <w:p w:rsidR="00764FFF" w:rsidRPr="00763BF9" w:rsidRDefault="00764FFF" w:rsidP="00FA3FAE">
      <w:pPr>
        <w:numPr>
          <w:ilvl w:val="0"/>
          <w:numId w:val="102"/>
        </w:numPr>
        <w:spacing w:after="0" w:line="276" w:lineRule="auto"/>
        <w:contextualSpacing/>
        <w:jc w:val="both"/>
        <w:rPr>
          <w:rFonts w:ascii="Times New Roman" w:eastAsia="Times New Roman" w:hAnsi="Times New Roman"/>
          <w:sz w:val="24"/>
          <w:szCs w:val="24"/>
        </w:rPr>
      </w:pPr>
      <w:r w:rsidRPr="00763BF9">
        <w:rPr>
          <w:rFonts w:ascii="Times New Roman" w:eastAsia="Times New Roman" w:hAnsi="Times New Roman"/>
          <w:sz w:val="24"/>
          <w:szCs w:val="24"/>
        </w:rPr>
        <w:lastRenderedPageBreak/>
        <w:t>Prévoir la mise en place d'une équipe de personnes dûment formées qui, en cas d'incendie ou d'autre situation d'urgence, pourront intervenir sous la direction d’une personne compétente désignée (le responsable sécurité) ou le directeur de l’exploitation</w:t>
      </w:r>
      <w:r>
        <w:rPr>
          <w:rFonts w:ascii="Times New Roman" w:eastAsia="Times New Roman" w:hAnsi="Times New Roman"/>
          <w:sz w:val="24"/>
          <w:szCs w:val="24"/>
        </w:rPr>
        <w:t>.</w:t>
      </w:r>
    </w:p>
    <w:p w:rsidR="00764FFF" w:rsidRPr="00763BF9" w:rsidRDefault="00764FFF" w:rsidP="00764FFF">
      <w:pPr>
        <w:pStyle w:val="Listecouleur-Accent11"/>
        <w:keepNext/>
        <w:spacing w:before="240" w:after="240"/>
        <w:ind w:left="450" w:hanging="450"/>
        <w:outlineLvl w:val="1"/>
        <w:rPr>
          <w:rFonts w:ascii="Times New Roman" w:hAnsi="Times New Roman"/>
          <w:b/>
          <w:sz w:val="24"/>
          <w:szCs w:val="24"/>
          <w:u w:val="single"/>
          <w:lang w:val="fr-FR" w:eastAsia="fr-FR"/>
        </w:rPr>
      </w:pPr>
      <w:bookmarkStart w:id="453" w:name="_Toc525421890"/>
      <w:bookmarkStart w:id="454" w:name="_Toc535396972"/>
      <w:bookmarkStart w:id="455" w:name="_Toc11158372"/>
      <w:bookmarkStart w:id="456" w:name="_Toc51072594"/>
      <w:r>
        <w:rPr>
          <w:rFonts w:ascii="Times New Roman" w:hAnsi="Times New Roman"/>
          <w:b/>
          <w:sz w:val="24"/>
          <w:szCs w:val="24"/>
          <w:u w:val="single"/>
          <w:lang w:val="fr-FR" w:eastAsia="fr-FR"/>
        </w:rPr>
        <w:t>7</w:t>
      </w:r>
      <w:r w:rsidRPr="00763BF9">
        <w:rPr>
          <w:rFonts w:ascii="Times New Roman" w:hAnsi="Times New Roman"/>
          <w:b/>
          <w:sz w:val="24"/>
          <w:szCs w:val="24"/>
          <w:u w:val="single"/>
          <w:lang w:val="fr-FR" w:eastAsia="fr-FR"/>
        </w:rPr>
        <w:t>.</w:t>
      </w:r>
      <w:r>
        <w:rPr>
          <w:rFonts w:ascii="Times New Roman" w:hAnsi="Times New Roman"/>
          <w:b/>
          <w:sz w:val="24"/>
          <w:szCs w:val="24"/>
          <w:u w:val="single"/>
          <w:lang w:val="fr-FR" w:eastAsia="fr-FR"/>
        </w:rPr>
        <w:t>5</w:t>
      </w:r>
      <w:r w:rsidRPr="00763BF9">
        <w:rPr>
          <w:rFonts w:ascii="Times New Roman" w:hAnsi="Times New Roman"/>
          <w:b/>
          <w:sz w:val="24"/>
          <w:szCs w:val="24"/>
          <w:u w:val="single"/>
          <w:lang w:val="fr-FR" w:eastAsia="fr-FR"/>
        </w:rPr>
        <w:t>. Mesures de sécurité et d’hygiène des risques Professionnels</w:t>
      </w:r>
      <w:bookmarkEnd w:id="453"/>
      <w:bookmarkEnd w:id="454"/>
      <w:bookmarkEnd w:id="455"/>
      <w:bookmarkEnd w:id="456"/>
    </w:p>
    <w:p w:rsidR="00764FFF" w:rsidRPr="00763BF9" w:rsidRDefault="00764FFF" w:rsidP="00FA3FAE">
      <w:pPr>
        <w:numPr>
          <w:ilvl w:val="0"/>
          <w:numId w:val="103"/>
        </w:numPr>
        <w:spacing w:after="200" w:line="276" w:lineRule="auto"/>
        <w:contextualSpacing/>
        <w:jc w:val="both"/>
        <w:rPr>
          <w:rFonts w:ascii="Times New Roman" w:eastAsia="Times New Roman" w:hAnsi="Times New Roman"/>
          <w:sz w:val="24"/>
          <w:szCs w:val="24"/>
        </w:rPr>
      </w:pPr>
      <w:r w:rsidRPr="00763BF9">
        <w:rPr>
          <w:rFonts w:ascii="Times New Roman" w:eastAsia="Times New Roman" w:hAnsi="Times New Roman"/>
          <w:sz w:val="24"/>
          <w:szCs w:val="24"/>
        </w:rPr>
        <w:t>Assurer la formation du personnel (formation au secourisme, formation sur les gestes et postures de travail, formation des conducteurs de camions, formation sur l’utilisation des outils)</w:t>
      </w:r>
    </w:p>
    <w:p w:rsidR="00764FFF" w:rsidRPr="00763BF9" w:rsidRDefault="00764FFF" w:rsidP="00FA3FAE">
      <w:pPr>
        <w:numPr>
          <w:ilvl w:val="0"/>
          <w:numId w:val="103"/>
        </w:numPr>
        <w:spacing w:after="200" w:line="276" w:lineRule="auto"/>
        <w:contextualSpacing/>
        <w:jc w:val="both"/>
        <w:rPr>
          <w:rFonts w:ascii="Times New Roman" w:eastAsia="Times New Roman" w:hAnsi="Times New Roman"/>
          <w:sz w:val="24"/>
          <w:szCs w:val="24"/>
        </w:rPr>
      </w:pPr>
      <w:r w:rsidRPr="00763BF9">
        <w:rPr>
          <w:rFonts w:ascii="Times New Roman" w:eastAsia="Times New Roman" w:hAnsi="Times New Roman"/>
          <w:sz w:val="24"/>
          <w:szCs w:val="24"/>
        </w:rPr>
        <w:t xml:space="preserve">Fournir au personnel des EPI (chaussures de sécurité, protecteurs auditifs, gants de travail, casque de protection, masque respiratoire, des gilets) et exiger leur port à chaque fois que c’est nécessaire </w:t>
      </w:r>
    </w:p>
    <w:p w:rsidR="00764FFF" w:rsidRPr="00763BF9" w:rsidRDefault="00764FFF" w:rsidP="00FA3FAE">
      <w:pPr>
        <w:numPr>
          <w:ilvl w:val="0"/>
          <w:numId w:val="103"/>
        </w:numPr>
        <w:spacing w:after="200" w:line="276" w:lineRule="auto"/>
        <w:contextualSpacing/>
        <w:jc w:val="both"/>
        <w:rPr>
          <w:rFonts w:ascii="Times New Roman" w:eastAsia="Times New Roman" w:hAnsi="Times New Roman"/>
          <w:sz w:val="24"/>
          <w:szCs w:val="24"/>
        </w:rPr>
      </w:pPr>
      <w:r w:rsidRPr="00763BF9">
        <w:rPr>
          <w:rFonts w:ascii="Times New Roman" w:eastAsia="Times New Roman" w:hAnsi="Times New Roman"/>
          <w:sz w:val="24"/>
          <w:szCs w:val="24"/>
        </w:rPr>
        <w:t xml:space="preserve">S’assurer que les conducteurs des engins respectent les mesures de sécurité (port de ceinture de sécurité, vérification de la présence de personne à proximité immédiate de l'engin, ni en dessous, vérification des systèmes d’éclairage, l’état des pneumatiques, la présence des dispositifs de sécurité, les niveaux d’huile, d’eau, de fluide hydraulique, de carburant, les freins, la direction…) </w:t>
      </w:r>
    </w:p>
    <w:p w:rsidR="00764FFF" w:rsidRPr="00763BF9" w:rsidRDefault="00764FFF" w:rsidP="00FA3FAE">
      <w:pPr>
        <w:numPr>
          <w:ilvl w:val="0"/>
          <w:numId w:val="103"/>
        </w:numPr>
        <w:spacing w:after="200" w:line="276" w:lineRule="auto"/>
        <w:contextualSpacing/>
        <w:jc w:val="both"/>
        <w:rPr>
          <w:rFonts w:ascii="Times New Roman" w:eastAsia="Times New Roman" w:hAnsi="Times New Roman"/>
          <w:sz w:val="24"/>
          <w:szCs w:val="24"/>
        </w:rPr>
      </w:pPr>
      <w:r w:rsidRPr="00763BF9">
        <w:rPr>
          <w:rFonts w:ascii="Times New Roman" w:eastAsia="Times New Roman" w:hAnsi="Times New Roman"/>
          <w:sz w:val="24"/>
          <w:szCs w:val="24"/>
        </w:rPr>
        <w:t xml:space="preserve">Veiller à ce que les équipements soient utilisés par les personnes formées et habilitées </w:t>
      </w:r>
    </w:p>
    <w:p w:rsidR="00764FFF" w:rsidRPr="00763BF9" w:rsidRDefault="00764FFF" w:rsidP="00FA3FAE">
      <w:pPr>
        <w:numPr>
          <w:ilvl w:val="0"/>
          <w:numId w:val="103"/>
        </w:numPr>
        <w:spacing w:after="200" w:line="276" w:lineRule="auto"/>
        <w:contextualSpacing/>
        <w:jc w:val="both"/>
        <w:rPr>
          <w:rFonts w:ascii="Times New Roman" w:eastAsia="Times New Roman" w:hAnsi="Times New Roman"/>
          <w:sz w:val="24"/>
          <w:szCs w:val="24"/>
        </w:rPr>
      </w:pPr>
      <w:r w:rsidRPr="00763BF9">
        <w:rPr>
          <w:rFonts w:ascii="Times New Roman" w:eastAsia="Times New Roman" w:hAnsi="Times New Roman"/>
          <w:sz w:val="24"/>
          <w:szCs w:val="24"/>
        </w:rPr>
        <w:t xml:space="preserve">Limiter la vitesse de circulation des engins et véhicules en phase chantier </w:t>
      </w:r>
    </w:p>
    <w:p w:rsidR="00764FFF" w:rsidRPr="00763BF9" w:rsidRDefault="00764FFF" w:rsidP="00FA3FAE">
      <w:pPr>
        <w:numPr>
          <w:ilvl w:val="0"/>
          <w:numId w:val="103"/>
        </w:numPr>
        <w:spacing w:after="200" w:line="276" w:lineRule="auto"/>
        <w:contextualSpacing/>
        <w:jc w:val="both"/>
        <w:rPr>
          <w:rFonts w:ascii="Times New Roman" w:eastAsia="Times New Roman" w:hAnsi="Times New Roman"/>
          <w:sz w:val="24"/>
          <w:szCs w:val="24"/>
        </w:rPr>
      </w:pPr>
      <w:r w:rsidRPr="00763BF9">
        <w:rPr>
          <w:rFonts w:ascii="Times New Roman" w:eastAsia="Times New Roman" w:hAnsi="Times New Roman"/>
          <w:sz w:val="24"/>
          <w:szCs w:val="24"/>
        </w:rPr>
        <w:t xml:space="preserve">Mettre en place un extincteur et une trousse de secours dans chaque véhicule/engin ainsi qu’un lot minimal d’outillage (clés plates et mixtes, clés à molette, pinces, tournevis, marteau, chasse-goupilles et pompe à graisse, une paire de gants) en phase chantier </w:t>
      </w:r>
    </w:p>
    <w:p w:rsidR="00764FFF" w:rsidRPr="00763BF9" w:rsidRDefault="00764FFF" w:rsidP="00FA3FAE">
      <w:pPr>
        <w:numPr>
          <w:ilvl w:val="0"/>
          <w:numId w:val="103"/>
        </w:numPr>
        <w:spacing w:after="200" w:line="276" w:lineRule="auto"/>
        <w:contextualSpacing/>
        <w:jc w:val="both"/>
        <w:rPr>
          <w:rFonts w:ascii="Times New Roman" w:eastAsia="Times New Roman" w:hAnsi="Times New Roman"/>
          <w:sz w:val="24"/>
          <w:szCs w:val="24"/>
        </w:rPr>
      </w:pPr>
      <w:r w:rsidRPr="00763BF9">
        <w:rPr>
          <w:rFonts w:ascii="Times New Roman" w:eastAsia="Times New Roman" w:hAnsi="Times New Roman"/>
          <w:sz w:val="24"/>
          <w:szCs w:val="24"/>
        </w:rPr>
        <w:t>Signaler</w:t>
      </w:r>
      <w:r w:rsidR="001B4673">
        <w:rPr>
          <w:rFonts w:ascii="Times New Roman" w:eastAsia="Times New Roman" w:hAnsi="Times New Roman"/>
          <w:sz w:val="24"/>
          <w:szCs w:val="24"/>
        </w:rPr>
        <w:t xml:space="preserve"> clairement les zones de </w:t>
      </w:r>
      <w:r w:rsidR="00C36209">
        <w:rPr>
          <w:rFonts w:ascii="Times New Roman" w:eastAsia="Times New Roman" w:hAnsi="Times New Roman"/>
          <w:sz w:val="24"/>
          <w:szCs w:val="24"/>
        </w:rPr>
        <w:t>danger</w:t>
      </w:r>
      <w:r w:rsidR="00C36209" w:rsidRPr="00763BF9">
        <w:rPr>
          <w:rFonts w:ascii="Times New Roman" w:eastAsia="Times New Roman" w:hAnsi="Times New Roman"/>
          <w:sz w:val="24"/>
          <w:szCs w:val="24"/>
        </w:rPr>
        <w:t xml:space="preserve"> ;</w:t>
      </w:r>
    </w:p>
    <w:p w:rsidR="00764FFF" w:rsidRPr="00763BF9" w:rsidRDefault="00764FFF" w:rsidP="00FA3FAE">
      <w:pPr>
        <w:numPr>
          <w:ilvl w:val="0"/>
          <w:numId w:val="103"/>
        </w:numPr>
        <w:spacing w:after="200" w:line="276" w:lineRule="auto"/>
        <w:contextualSpacing/>
        <w:jc w:val="both"/>
        <w:rPr>
          <w:rFonts w:ascii="Times New Roman" w:eastAsia="Times New Roman" w:hAnsi="Times New Roman"/>
          <w:sz w:val="24"/>
          <w:szCs w:val="24"/>
        </w:rPr>
      </w:pPr>
      <w:r w:rsidRPr="00763BF9">
        <w:rPr>
          <w:rFonts w:ascii="Times New Roman" w:eastAsia="Times New Roman" w:hAnsi="Times New Roman"/>
          <w:sz w:val="24"/>
          <w:szCs w:val="24"/>
        </w:rPr>
        <w:t xml:space="preserve">Veiller à l’ordre et à la propreté sur le chantier, par exemple en installant des conteneurs à déchets et dégager les voies de circulation </w:t>
      </w:r>
    </w:p>
    <w:p w:rsidR="00764FFF" w:rsidRPr="00763BF9" w:rsidRDefault="00764FFF" w:rsidP="00FA3FAE">
      <w:pPr>
        <w:numPr>
          <w:ilvl w:val="0"/>
          <w:numId w:val="103"/>
        </w:numPr>
        <w:spacing w:after="200" w:line="276" w:lineRule="auto"/>
        <w:contextualSpacing/>
        <w:jc w:val="both"/>
        <w:rPr>
          <w:rFonts w:ascii="Times New Roman" w:eastAsia="Times New Roman" w:hAnsi="Times New Roman"/>
          <w:sz w:val="24"/>
          <w:szCs w:val="24"/>
        </w:rPr>
      </w:pPr>
      <w:r w:rsidRPr="00763BF9">
        <w:rPr>
          <w:rFonts w:ascii="Times New Roman" w:eastAsia="Times New Roman" w:hAnsi="Times New Roman"/>
          <w:sz w:val="24"/>
          <w:szCs w:val="24"/>
        </w:rPr>
        <w:t xml:space="preserve">Utiliser du matériel électrique conforme, prendre des mesures efficaces pour éviter le contact électrique (avec les câbles), réparer les manquements constatés dans les plus brefs délais </w:t>
      </w:r>
    </w:p>
    <w:p w:rsidR="00764FFF" w:rsidRPr="00763BF9" w:rsidRDefault="00764FFF" w:rsidP="00FA3FAE">
      <w:pPr>
        <w:numPr>
          <w:ilvl w:val="0"/>
          <w:numId w:val="103"/>
        </w:numPr>
        <w:spacing w:after="200" w:line="276" w:lineRule="auto"/>
        <w:contextualSpacing/>
        <w:jc w:val="both"/>
        <w:rPr>
          <w:rFonts w:ascii="Times New Roman" w:eastAsia="Times New Roman" w:hAnsi="Times New Roman"/>
          <w:sz w:val="24"/>
          <w:szCs w:val="24"/>
        </w:rPr>
      </w:pPr>
      <w:r w:rsidRPr="00763BF9">
        <w:rPr>
          <w:rFonts w:ascii="Times New Roman" w:eastAsia="Times New Roman" w:hAnsi="Times New Roman"/>
          <w:sz w:val="24"/>
          <w:szCs w:val="24"/>
        </w:rPr>
        <w:t xml:space="preserve">Utiliser un outillage avec contrôle ‘CE’ et pourvu des protections nécessaires </w:t>
      </w:r>
    </w:p>
    <w:p w:rsidR="00764FFF" w:rsidRPr="00763BF9" w:rsidRDefault="00764FFF" w:rsidP="00FA3FAE">
      <w:pPr>
        <w:numPr>
          <w:ilvl w:val="0"/>
          <w:numId w:val="103"/>
        </w:numPr>
        <w:spacing w:after="200" w:line="276" w:lineRule="auto"/>
        <w:contextualSpacing/>
        <w:jc w:val="both"/>
        <w:rPr>
          <w:rFonts w:ascii="Times New Roman" w:eastAsia="Times New Roman" w:hAnsi="Times New Roman"/>
          <w:sz w:val="24"/>
          <w:szCs w:val="24"/>
        </w:rPr>
      </w:pPr>
      <w:r w:rsidRPr="00763BF9">
        <w:rPr>
          <w:rFonts w:ascii="Times New Roman" w:eastAsia="Times New Roman" w:hAnsi="Times New Roman"/>
          <w:sz w:val="24"/>
          <w:szCs w:val="24"/>
        </w:rPr>
        <w:t xml:space="preserve">Assurer l’entretien périodique des équipements de chantier </w:t>
      </w:r>
    </w:p>
    <w:p w:rsidR="00764FFF" w:rsidRPr="00763BF9" w:rsidRDefault="00764FFF" w:rsidP="00FA3FAE">
      <w:pPr>
        <w:numPr>
          <w:ilvl w:val="0"/>
          <w:numId w:val="103"/>
        </w:numPr>
        <w:spacing w:after="200" w:line="276" w:lineRule="auto"/>
        <w:contextualSpacing/>
        <w:jc w:val="both"/>
        <w:rPr>
          <w:rFonts w:ascii="Times New Roman" w:eastAsia="Times New Roman" w:hAnsi="Times New Roman"/>
          <w:sz w:val="24"/>
          <w:szCs w:val="24"/>
        </w:rPr>
      </w:pPr>
      <w:r w:rsidRPr="00763BF9">
        <w:rPr>
          <w:rFonts w:ascii="Times New Roman" w:eastAsia="Times New Roman" w:hAnsi="Times New Roman"/>
          <w:sz w:val="24"/>
          <w:szCs w:val="24"/>
        </w:rPr>
        <w:t xml:space="preserve">Privilégier l’aide mécanique à la manutention manuelle afin de limiter le port de charges lourdes </w:t>
      </w:r>
    </w:p>
    <w:p w:rsidR="00764FFF" w:rsidRPr="00763BF9" w:rsidRDefault="00764FFF" w:rsidP="00FA3FAE">
      <w:pPr>
        <w:numPr>
          <w:ilvl w:val="0"/>
          <w:numId w:val="103"/>
        </w:numPr>
        <w:spacing w:after="200" w:line="276" w:lineRule="auto"/>
        <w:contextualSpacing/>
        <w:jc w:val="both"/>
        <w:rPr>
          <w:rFonts w:ascii="Times New Roman" w:eastAsia="Times New Roman" w:hAnsi="Times New Roman"/>
          <w:sz w:val="24"/>
          <w:szCs w:val="24"/>
        </w:rPr>
      </w:pPr>
      <w:r w:rsidRPr="00763BF9">
        <w:rPr>
          <w:rFonts w:ascii="Times New Roman" w:eastAsia="Times New Roman" w:hAnsi="Times New Roman"/>
          <w:sz w:val="24"/>
          <w:szCs w:val="24"/>
        </w:rPr>
        <w:t>Mettre en place des consignes de sécurité surtout au niveau des ouvriers en chargent</w:t>
      </w:r>
      <w:r w:rsidR="001B4673">
        <w:rPr>
          <w:rFonts w:ascii="Times New Roman" w:eastAsia="Times New Roman" w:hAnsi="Times New Roman"/>
          <w:sz w:val="24"/>
          <w:szCs w:val="24"/>
        </w:rPr>
        <w:t xml:space="preserve"> des travaux en hauteur ;</w:t>
      </w:r>
    </w:p>
    <w:p w:rsidR="00764FFF" w:rsidRPr="00763BF9" w:rsidRDefault="00764FFF" w:rsidP="00FA3FAE">
      <w:pPr>
        <w:numPr>
          <w:ilvl w:val="0"/>
          <w:numId w:val="103"/>
        </w:numPr>
        <w:spacing w:after="200" w:line="276" w:lineRule="auto"/>
        <w:contextualSpacing/>
        <w:jc w:val="both"/>
        <w:rPr>
          <w:rFonts w:ascii="Times New Roman" w:eastAsia="Times New Roman" w:hAnsi="Times New Roman"/>
          <w:sz w:val="24"/>
          <w:szCs w:val="24"/>
        </w:rPr>
      </w:pPr>
      <w:r w:rsidRPr="00763BF9">
        <w:rPr>
          <w:rFonts w:ascii="Times New Roman" w:eastAsia="Times New Roman" w:hAnsi="Times New Roman"/>
          <w:sz w:val="24"/>
          <w:szCs w:val="24"/>
        </w:rPr>
        <w:t xml:space="preserve">Équiper les véhicules ou le matériel qui effectuent des manœuvres en marche arrière d’une protection spécifique comme des signaux sonores, une caméra avec moniteurs, des rétroviseurs d’angle mort, des capteurs et/ou un système de blocage en phase chantier </w:t>
      </w:r>
    </w:p>
    <w:p w:rsidR="00764FFF" w:rsidRPr="00763BF9" w:rsidRDefault="00764FFF" w:rsidP="00FA3FAE">
      <w:pPr>
        <w:numPr>
          <w:ilvl w:val="0"/>
          <w:numId w:val="103"/>
        </w:numPr>
        <w:spacing w:after="200" w:line="276" w:lineRule="auto"/>
        <w:contextualSpacing/>
        <w:jc w:val="both"/>
        <w:rPr>
          <w:rFonts w:ascii="Times New Roman" w:eastAsia="Times New Roman" w:hAnsi="Times New Roman"/>
          <w:sz w:val="24"/>
          <w:szCs w:val="24"/>
        </w:rPr>
      </w:pPr>
      <w:r w:rsidRPr="00763BF9">
        <w:rPr>
          <w:rFonts w:ascii="Times New Roman" w:eastAsia="Times New Roman" w:hAnsi="Times New Roman"/>
          <w:sz w:val="24"/>
          <w:szCs w:val="24"/>
        </w:rPr>
        <w:t xml:space="preserve">Aménager des sanitaires et veiller à leur salubrité </w:t>
      </w:r>
    </w:p>
    <w:p w:rsidR="00764FFF" w:rsidRPr="00763BF9" w:rsidRDefault="00764FFF" w:rsidP="00FA3FAE">
      <w:pPr>
        <w:numPr>
          <w:ilvl w:val="0"/>
          <w:numId w:val="103"/>
        </w:numPr>
        <w:spacing w:after="200" w:line="276" w:lineRule="auto"/>
        <w:contextualSpacing/>
        <w:jc w:val="both"/>
        <w:rPr>
          <w:rFonts w:ascii="Times New Roman" w:eastAsia="Times New Roman" w:hAnsi="Times New Roman"/>
          <w:sz w:val="24"/>
          <w:szCs w:val="24"/>
        </w:rPr>
      </w:pPr>
      <w:r w:rsidRPr="00763BF9">
        <w:rPr>
          <w:rFonts w:ascii="Times New Roman" w:eastAsia="Times New Roman" w:hAnsi="Times New Roman"/>
          <w:sz w:val="24"/>
          <w:szCs w:val="24"/>
        </w:rPr>
        <w:t xml:space="preserve">Sensibiliser le personnel sur les règles d’hygiène et veiller à ce qu’elles soient respectées </w:t>
      </w:r>
    </w:p>
    <w:p w:rsidR="00764FFF" w:rsidRPr="00763BF9" w:rsidRDefault="00764FFF" w:rsidP="00FA3FAE">
      <w:pPr>
        <w:numPr>
          <w:ilvl w:val="0"/>
          <w:numId w:val="103"/>
        </w:numPr>
        <w:spacing w:after="200" w:line="276" w:lineRule="auto"/>
        <w:contextualSpacing/>
        <w:jc w:val="both"/>
        <w:rPr>
          <w:rFonts w:ascii="Times New Roman" w:eastAsia="Times New Roman" w:hAnsi="Times New Roman"/>
          <w:sz w:val="24"/>
          <w:szCs w:val="24"/>
        </w:rPr>
      </w:pPr>
      <w:r w:rsidRPr="00763BF9">
        <w:rPr>
          <w:rFonts w:ascii="Times New Roman" w:eastAsia="Times New Roman" w:hAnsi="Times New Roman"/>
          <w:sz w:val="24"/>
          <w:szCs w:val="24"/>
        </w:rPr>
        <w:t>Afficher les consignes relatives aux secours des personnes victimes de choc électrique</w:t>
      </w:r>
    </w:p>
    <w:p w:rsidR="00764FFF" w:rsidRPr="003E743A" w:rsidRDefault="00764FFF" w:rsidP="00FA3FAE">
      <w:pPr>
        <w:numPr>
          <w:ilvl w:val="0"/>
          <w:numId w:val="103"/>
        </w:numPr>
        <w:spacing w:after="200" w:line="276" w:lineRule="auto"/>
        <w:contextualSpacing/>
        <w:jc w:val="both"/>
        <w:rPr>
          <w:rFonts w:ascii="Times New Roman" w:eastAsia="Times New Roman" w:hAnsi="Times New Roman"/>
        </w:rPr>
      </w:pPr>
      <w:r w:rsidRPr="003E743A">
        <w:rPr>
          <w:rFonts w:ascii="Times New Roman" w:eastAsia="Times New Roman" w:hAnsi="Times New Roman"/>
        </w:rPr>
        <w:t>Isoler le chantier du reste de l’environnement</w:t>
      </w:r>
    </w:p>
    <w:p w:rsidR="00764FFF" w:rsidRPr="003E743A" w:rsidRDefault="00764FFF" w:rsidP="00FA3FAE">
      <w:pPr>
        <w:numPr>
          <w:ilvl w:val="0"/>
          <w:numId w:val="103"/>
        </w:numPr>
        <w:spacing w:after="200" w:line="276" w:lineRule="auto"/>
        <w:contextualSpacing/>
        <w:jc w:val="both"/>
        <w:rPr>
          <w:rFonts w:ascii="Times New Roman" w:eastAsia="Times New Roman" w:hAnsi="Times New Roman"/>
        </w:rPr>
      </w:pPr>
      <w:r w:rsidRPr="003E743A">
        <w:rPr>
          <w:rFonts w:ascii="Times New Roman" w:eastAsia="Times New Roman" w:hAnsi="Times New Roman"/>
        </w:rPr>
        <w:t xml:space="preserve">Inspecter périodiquement les lieux de travail (contrôler, surveiller la salubrité des locaux et équipements et si les mesures d’hygiène sont respectées) </w:t>
      </w:r>
    </w:p>
    <w:p w:rsidR="00764FFF" w:rsidRPr="003E743A" w:rsidRDefault="00764FFF" w:rsidP="00FA3FAE">
      <w:pPr>
        <w:numPr>
          <w:ilvl w:val="0"/>
          <w:numId w:val="103"/>
        </w:numPr>
        <w:spacing w:after="200" w:line="276" w:lineRule="auto"/>
        <w:contextualSpacing/>
        <w:jc w:val="both"/>
        <w:rPr>
          <w:rFonts w:ascii="Times New Roman" w:eastAsia="Times New Roman" w:hAnsi="Times New Roman"/>
        </w:rPr>
      </w:pPr>
      <w:r w:rsidRPr="003E743A">
        <w:rPr>
          <w:rFonts w:ascii="Times New Roman" w:eastAsia="Times New Roman" w:hAnsi="Times New Roman"/>
        </w:rPr>
        <w:t xml:space="preserve">Assurer la promotion de l’Hygiène alimentaire </w:t>
      </w:r>
    </w:p>
    <w:p w:rsidR="00764FFF" w:rsidRPr="003E743A" w:rsidRDefault="00764FFF" w:rsidP="00FA3FAE">
      <w:pPr>
        <w:numPr>
          <w:ilvl w:val="0"/>
          <w:numId w:val="103"/>
        </w:numPr>
        <w:spacing w:after="200" w:line="276" w:lineRule="auto"/>
        <w:contextualSpacing/>
        <w:jc w:val="both"/>
        <w:rPr>
          <w:rFonts w:ascii="Times New Roman" w:eastAsia="Times New Roman" w:hAnsi="Times New Roman"/>
        </w:rPr>
      </w:pPr>
      <w:r w:rsidRPr="003E743A">
        <w:rPr>
          <w:rFonts w:ascii="Times New Roman" w:eastAsia="Times New Roman" w:hAnsi="Times New Roman"/>
        </w:rPr>
        <w:t>Mettre à disposition produits d’hygiène, des solutions chlorées ou alcoolisées pour le lavage régulier des mains aux endroits nécessaires.</w:t>
      </w:r>
    </w:p>
    <w:p w:rsidR="00764FFF" w:rsidRDefault="00764FFF" w:rsidP="00764FFF">
      <w:pPr>
        <w:tabs>
          <w:tab w:val="left" w:pos="2250"/>
        </w:tabs>
        <w:rPr>
          <w:rFonts w:ascii="Times New Roman" w:hAnsi="Times New Roman"/>
        </w:rPr>
      </w:pPr>
    </w:p>
    <w:p w:rsidR="00884DFC" w:rsidRDefault="00884DFC" w:rsidP="00764FFF">
      <w:pPr>
        <w:tabs>
          <w:tab w:val="left" w:pos="2250"/>
        </w:tabs>
        <w:rPr>
          <w:rFonts w:ascii="Times New Roman" w:hAnsi="Times New Roman"/>
        </w:rPr>
      </w:pPr>
    </w:p>
    <w:p w:rsidR="00884DFC" w:rsidRDefault="00884DFC" w:rsidP="00764FFF">
      <w:pPr>
        <w:tabs>
          <w:tab w:val="left" w:pos="2250"/>
        </w:tabs>
        <w:rPr>
          <w:rFonts w:ascii="Times New Roman" w:hAnsi="Times New Roman"/>
        </w:rPr>
      </w:pPr>
    </w:p>
    <w:p w:rsidR="00884DFC" w:rsidRDefault="00884DFC" w:rsidP="00764FFF">
      <w:pPr>
        <w:tabs>
          <w:tab w:val="left" w:pos="2250"/>
        </w:tabs>
        <w:rPr>
          <w:rFonts w:ascii="Times New Roman" w:hAnsi="Times New Roman"/>
        </w:rPr>
        <w:sectPr w:rsidR="00884DFC" w:rsidSect="00FD763C">
          <w:headerReference w:type="default" r:id="rId110"/>
          <w:footerReference w:type="default" r:id="rId111"/>
          <w:pgSz w:w="11906" w:h="16838"/>
          <w:pgMar w:top="851" w:right="566" w:bottom="1134" w:left="1417" w:header="284" w:footer="267" w:gutter="0"/>
          <w:cols w:space="708"/>
          <w:docGrid w:linePitch="360"/>
        </w:sectPr>
      </w:pPr>
    </w:p>
    <w:p w:rsidR="00884DFC" w:rsidRPr="00064CEA" w:rsidRDefault="00A27CE1" w:rsidP="00884DFC">
      <w:pPr>
        <w:jc w:val="center"/>
        <w:rPr>
          <w:rFonts w:ascii="Times New Roman" w:hAnsi="Times New Roman"/>
          <w:b/>
        </w:rPr>
      </w:pPr>
      <w:bookmarkStart w:id="457" w:name="_Toc51074021"/>
      <w:r w:rsidRPr="00BA3EE1">
        <w:rPr>
          <w:rFonts w:ascii="Times New Roman" w:hAnsi="Times New Roman" w:cs="Times New Roman"/>
          <w:b/>
          <w:sz w:val="20"/>
          <w:szCs w:val="20"/>
        </w:rPr>
        <w:lastRenderedPageBreak/>
        <w:t xml:space="preserve">Tableau </w:t>
      </w:r>
      <w:r w:rsidRPr="00BA3EE1">
        <w:rPr>
          <w:rFonts w:ascii="Times New Roman" w:hAnsi="Times New Roman" w:cs="Times New Roman"/>
          <w:b/>
          <w:sz w:val="20"/>
          <w:szCs w:val="20"/>
        </w:rPr>
        <w:fldChar w:fldCharType="begin"/>
      </w:r>
      <w:r w:rsidRPr="00BA3EE1">
        <w:rPr>
          <w:rFonts w:ascii="Times New Roman" w:hAnsi="Times New Roman" w:cs="Times New Roman"/>
          <w:b/>
          <w:sz w:val="20"/>
          <w:szCs w:val="20"/>
        </w:rPr>
        <w:instrText xml:space="preserve"> SEQ Tableau \* ARABIC </w:instrText>
      </w:r>
      <w:r w:rsidRPr="00BA3EE1">
        <w:rPr>
          <w:rFonts w:ascii="Times New Roman" w:hAnsi="Times New Roman" w:cs="Times New Roman"/>
          <w:b/>
          <w:sz w:val="20"/>
          <w:szCs w:val="20"/>
        </w:rPr>
        <w:fldChar w:fldCharType="separate"/>
      </w:r>
      <w:r w:rsidR="00820701">
        <w:rPr>
          <w:rFonts w:ascii="Times New Roman" w:hAnsi="Times New Roman" w:cs="Times New Roman"/>
          <w:b/>
          <w:noProof/>
          <w:sz w:val="20"/>
          <w:szCs w:val="20"/>
        </w:rPr>
        <w:t>30</w:t>
      </w:r>
      <w:r w:rsidRPr="00BA3EE1">
        <w:rPr>
          <w:rFonts w:ascii="Times New Roman" w:hAnsi="Times New Roman" w:cs="Times New Roman"/>
          <w:b/>
          <w:sz w:val="20"/>
          <w:szCs w:val="20"/>
        </w:rPr>
        <w:fldChar w:fldCharType="end"/>
      </w:r>
      <w:r w:rsidRPr="00BA3EE1">
        <w:rPr>
          <w:rFonts w:ascii="Times New Roman" w:hAnsi="Times New Roman" w:cs="Times New Roman"/>
          <w:b/>
          <w:sz w:val="20"/>
          <w:szCs w:val="20"/>
        </w:rPr>
        <w:t xml:space="preserve"> : </w:t>
      </w:r>
      <w:r w:rsidR="00884DFC" w:rsidRPr="003F2FC3">
        <w:rPr>
          <w:rFonts w:ascii="Times New Roman" w:hAnsi="Times New Roman"/>
          <w:b/>
        </w:rPr>
        <w:t xml:space="preserve">Plan de </w:t>
      </w:r>
      <w:r w:rsidR="00884DFC" w:rsidRPr="00064CEA">
        <w:rPr>
          <w:rFonts w:ascii="Times New Roman" w:hAnsi="Times New Roman"/>
          <w:b/>
        </w:rPr>
        <w:t>gestion des risques professionnels</w:t>
      </w:r>
      <w:bookmarkEnd w:id="457"/>
    </w:p>
    <w:tbl>
      <w:tblPr>
        <w:tblW w:w="15310"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64"/>
        <w:gridCol w:w="2126"/>
        <w:gridCol w:w="3827"/>
        <w:gridCol w:w="2665"/>
        <w:gridCol w:w="1871"/>
        <w:gridCol w:w="2098"/>
        <w:gridCol w:w="1559"/>
      </w:tblGrid>
      <w:tr w:rsidR="00884DFC" w:rsidRPr="00BA7B1B" w:rsidTr="00201A4E">
        <w:trPr>
          <w:tblHeader/>
        </w:trPr>
        <w:tc>
          <w:tcPr>
            <w:tcW w:w="1164" w:type="dxa"/>
            <w:shd w:val="clear" w:color="auto" w:fill="E2EFD9" w:themeFill="accent6" w:themeFillTint="33"/>
            <w:vAlign w:val="center"/>
          </w:tcPr>
          <w:p w:rsidR="00884DFC" w:rsidRPr="00BA7B1B" w:rsidRDefault="00884DFC" w:rsidP="00BA7B1B">
            <w:pPr>
              <w:spacing w:after="0" w:line="240" w:lineRule="auto"/>
              <w:jc w:val="center"/>
              <w:rPr>
                <w:rFonts w:ascii="Times New Roman" w:hAnsi="Times New Roman" w:cs="Times New Roman"/>
                <w:b/>
                <w:sz w:val="18"/>
                <w:szCs w:val="18"/>
              </w:rPr>
            </w:pPr>
            <w:r w:rsidRPr="00BA7B1B">
              <w:rPr>
                <w:rFonts w:ascii="Times New Roman" w:hAnsi="Times New Roman" w:cs="Times New Roman"/>
                <w:b/>
                <w:sz w:val="18"/>
                <w:szCs w:val="18"/>
              </w:rPr>
              <w:t>Activités</w:t>
            </w:r>
          </w:p>
        </w:tc>
        <w:tc>
          <w:tcPr>
            <w:tcW w:w="2126" w:type="dxa"/>
            <w:shd w:val="clear" w:color="auto" w:fill="E2EFD9" w:themeFill="accent6" w:themeFillTint="33"/>
            <w:vAlign w:val="center"/>
          </w:tcPr>
          <w:p w:rsidR="00884DFC" w:rsidRPr="00BA7B1B" w:rsidRDefault="00884DFC" w:rsidP="00BA7B1B">
            <w:pPr>
              <w:spacing w:after="0" w:line="240" w:lineRule="auto"/>
              <w:jc w:val="center"/>
              <w:rPr>
                <w:rFonts w:ascii="Times New Roman" w:hAnsi="Times New Roman" w:cs="Times New Roman"/>
                <w:b/>
                <w:sz w:val="18"/>
                <w:szCs w:val="18"/>
              </w:rPr>
            </w:pPr>
            <w:r w:rsidRPr="00BA7B1B">
              <w:rPr>
                <w:rFonts w:ascii="Times New Roman" w:hAnsi="Times New Roman" w:cs="Times New Roman"/>
                <w:b/>
                <w:sz w:val="18"/>
                <w:szCs w:val="18"/>
              </w:rPr>
              <w:t>Facteur de risques</w:t>
            </w:r>
          </w:p>
        </w:tc>
        <w:tc>
          <w:tcPr>
            <w:tcW w:w="3827" w:type="dxa"/>
            <w:shd w:val="clear" w:color="auto" w:fill="E2EFD9" w:themeFill="accent6" w:themeFillTint="33"/>
            <w:vAlign w:val="center"/>
          </w:tcPr>
          <w:p w:rsidR="00884DFC" w:rsidRPr="00BA7B1B" w:rsidRDefault="00884DFC" w:rsidP="00BA7B1B">
            <w:pPr>
              <w:spacing w:after="0" w:line="240" w:lineRule="auto"/>
              <w:jc w:val="center"/>
              <w:rPr>
                <w:rFonts w:ascii="Times New Roman" w:hAnsi="Times New Roman" w:cs="Times New Roman"/>
                <w:b/>
                <w:sz w:val="18"/>
                <w:szCs w:val="18"/>
              </w:rPr>
            </w:pPr>
            <w:r w:rsidRPr="00BA7B1B">
              <w:rPr>
                <w:rFonts w:ascii="Times New Roman" w:hAnsi="Times New Roman" w:cs="Times New Roman"/>
                <w:b/>
                <w:sz w:val="18"/>
                <w:szCs w:val="18"/>
              </w:rPr>
              <w:t>Mesures de prévention</w:t>
            </w:r>
          </w:p>
        </w:tc>
        <w:tc>
          <w:tcPr>
            <w:tcW w:w="2665" w:type="dxa"/>
            <w:shd w:val="clear" w:color="auto" w:fill="E2EFD9" w:themeFill="accent6" w:themeFillTint="33"/>
            <w:vAlign w:val="center"/>
          </w:tcPr>
          <w:p w:rsidR="00884DFC" w:rsidRPr="00BA7B1B" w:rsidRDefault="00884DFC" w:rsidP="00BA7B1B">
            <w:pPr>
              <w:spacing w:after="0" w:line="240" w:lineRule="auto"/>
              <w:jc w:val="center"/>
              <w:rPr>
                <w:rFonts w:ascii="Times New Roman" w:hAnsi="Times New Roman" w:cs="Times New Roman"/>
                <w:b/>
                <w:sz w:val="18"/>
                <w:szCs w:val="18"/>
              </w:rPr>
            </w:pPr>
            <w:r w:rsidRPr="00BA7B1B">
              <w:rPr>
                <w:rFonts w:ascii="Times New Roman" w:hAnsi="Times New Roman" w:cs="Times New Roman"/>
                <w:b/>
                <w:sz w:val="18"/>
                <w:szCs w:val="18"/>
              </w:rPr>
              <w:t>Indicateurs de suivi</w:t>
            </w:r>
          </w:p>
        </w:tc>
        <w:tc>
          <w:tcPr>
            <w:tcW w:w="1871" w:type="dxa"/>
            <w:shd w:val="clear" w:color="auto" w:fill="E2EFD9" w:themeFill="accent6" w:themeFillTint="33"/>
            <w:vAlign w:val="center"/>
          </w:tcPr>
          <w:p w:rsidR="00884DFC" w:rsidRPr="00BA7B1B" w:rsidRDefault="00884DFC" w:rsidP="00BA7B1B">
            <w:pPr>
              <w:spacing w:after="0" w:line="240" w:lineRule="auto"/>
              <w:jc w:val="center"/>
              <w:rPr>
                <w:rFonts w:ascii="Times New Roman" w:hAnsi="Times New Roman" w:cs="Times New Roman"/>
                <w:b/>
                <w:sz w:val="18"/>
                <w:szCs w:val="18"/>
              </w:rPr>
            </w:pPr>
            <w:r w:rsidRPr="00BA7B1B">
              <w:rPr>
                <w:rFonts w:ascii="Times New Roman" w:hAnsi="Times New Roman" w:cs="Times New Roman"/>
                <w:b/>
                <w:sz w:val="18"/>
                <w:szCs w:val="18"/>
              </w:rPr>
              <w:t>Moyens de vérification</w:t>
            </w:r>
          </w:p>
        </w:tc>
        <w:tc>
          <w:tcPr>
            <w:tcW w:w="2098" w:type="dxa"/>
            <w:shd w:val="clear" w:color="auto" w:fill="E2EFD9" w:themeFill="accent6" w:themeFillTint="33"/>
            <w:vAlign w:val="center"/>
          </w:tcPr>
          <w:p w:rsidR="00884DFC" w:rsidRPr="00BA7B1B" w:rsidRDefault="00884DFC" w:rsidP="00BA7B1B">
            <w:pPr>
              <w:spacing w:after="0" w:line="240" w:lineRule="auto"/>
              <w:jc w:val="center"/>
              <w:rPr>
                <w:rFonts w:ascii="Times New Roman" w:hAnsi="Times New Roman" w:cs="Times New Roman"/>
                <w:b/>
                <w:sz w:val="18"/>
                <w:szCs w:val="18"/>
              </w:rPr>
            </w:pPr>
            <w:r w:rsidRPr="00BA7B1B">
              <w:rPr>
                <w:rFonts w:ascii="Times New Roman" w:hAnsi="Times New Roman" w:cs="Times New Roman"/>
                <w:b/>
                <w:sz w:val="18"/>
                <w:szCs w:val="18"/>
              </w:rPr>
              <w:t>Pilotes/responsable</w:t>
            </w:r>
          </w:p>
        </w:tc>
        <w:tc>
          <w:tcPr>
            <w:tcW w:w="1559" w:type="dxa"/>
            <w:shd w:val="clear" w:color="auto" w:fill="E2EFD9" w:themeFill="accent6" w:themeFillTint="33"/>
            <w:vAlign w:val="center"/>
          </w:tcPr>
          <w:p w:rsidR="00884DFC" w:rsidRPr="00BA7B1B" w:rsidRDefault="00884DFC" w:rsidP="00BA7B1B">
            <w:pPr>
              <w:spacing w:after="0" w:line="240" w:lineRule="auto"/>
              <w:jc w:val="center"/>
              <w:rPr>
                <w:rFonts w:ascii="Times New Roman" w:hAnsi="Times New Roman" w:cs="Times New Roman"/>
                <w:b/>
                <w:sz w:val="18"/>
                <w:szCs w:val="18"/>
              </w:rPr>
            </w:pPr>
            <w:r w:rsidRPr="00BA7B1B">
              <w:rPr>
                <w:rFonts w:ascii="Times New Roman" w:hAnsi="Times New Roman" w:cs="Times New Roman"/>
                <w:b/>
                <w:sz w:val="18"/>
                <w:szCs w:val="18"/>
              </w:rPr>
              <w:t>Coûts</w:t>
            </w:r>
          </w:p>
        </w:tc>
      </w:tr>
      <w:tr w:rsidR="00884DFC" w:rsidRPr="00BA7B1B" w:rsidTr="00884DFC">
        <w:tc>
          <w:tcPr>
            <w:tcW w:w="15310" w:type="dxa"/>
            <w:gridSpan w:val="7"/>
            <w:vAlign w:val="center"/>
          </w:tcPr>
          <w:p w:rsidR="00884DFC" w:rsidRPr="00BA7B1B" w:rsidRDefault="00884DFC" w:rsidP="00BA7B1B">
            <w:pPr>
              <w:spacing w:after="0" w:line="240" w:lineRule="auto"/>
              <w:jc w:val="center"/>
              <w:rPr>
                <w:rFonts w:ascii="Times New Roman" w:hAnsi="Times New Roman" w:cs="Times New Roman"/>
                <w:b/>
                <w:sz w:val="18"/>
                <w:szCs w:val="18"/>
              </w:rPr>
            </w:pPr>
            <w:r w:rsidRPr="00BA7B1B">
              <w:rPr>
                <w:rFonts w:ascii="Times New Roman" w:hAnsi="Times New Roman" w:cs="Times New Roman"/>
                <w:b/>
                <w:sz w:val="18"/>
                <w:szCs w:val="18"/>
              </w:rPr>
              <w:t>Phase construction</w:t>
            </w:r>
          </w:p>
        </w:tc>
      </w:tr>
      <w:tr w:rsidR="00884DFC" w:rsidRPr="00BA7B1B" w:rsidTr="00201A4E">
        <w:tc>
          <w:tcPr>
            <w:tcW w:w="1164" w:type="dxa"/>
            <w:vMerge w:val="restart"/>
            <w:vAlign w:val="center"/>
          </w:tcPr>
          <w:p w:rsidR="00884DFC" w:rsidRPr="00BA7B1B" w:rsidRDefault="00884DFC" w:rsidP="00BA7B1B">
            <w:pPr>
              <w:spacing w:after="0" w:line="240" w:lineRule="auto"/>
              <w:rPr>
                <w:rFonts w:ascii="Times New Roman" w:hAnsi="Times New Roman" w:cs="Times New Roman"/>
                <w:sz w:val="18"/>
                <w:szCs w:val="18"/>
              </w:rPr>
            </w:pPr>
          </w:p>
          <w:p w:rsidR="00884DFC" w:rsidRPr="00BA7B1B" w:rsidRDefault="00884DFC" w:rsidP="00BA7B1B">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 xml:space="preserve">Toutes les activités de chantier </w:t>
            </w:r>
          </w:p>
        </w:tc>
        <w:tc>
          <w:tcPr>
            <w:tcW w:w="2126" w:type="dxa"/>
            <w:vMerge w:val="restart"/>
            <w:vAlign w:val="center"/>
          </w:tcPr>
          <w:p w:rsidR="00884DFC" w:rsidRPr="00BA7B1B" w:rsidRDefault="00884DFC" w:rsidP="00BA7B1B">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Méconnaissance des risques liés aux activités</w:t>
            </w:r>
          </w:p>
        </w:tc>
        <w:tc>
          <w:tcPr>
            <w:tcW w:w="3827" w:type="dxa"/>
          </w:tcPr>
          <w:p w:rsidR="00884DFC" w:rsidRPr="00BA7B1B" w:rsidRDefault="00884DFC" w:rsidP="00BA7B1B">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Former/informer avant le démarrage du chantier  les travailleurs sur les risques associés aux activités et les moyens de prévention</w:t>
            </w:r>
          </w:p>
        </w:tc>
        <w:tc>
          <w:tcPr>
            <w:tcW w:w="2665" w:type="dxa"/>
          </w:tcPr>
          <w:p w:rsidR="00884DFC" w:rsidRPr="00BA7B1B" w:rsidRDefault="00884DFC" w:rsidP="00BA7B1B">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Nombre de travailleurs ayant été formé</w:t>
            </w:r>
          </w:p>
        </w:tc>
        <w:tc>
          <w:tcPr>
            <w:tcW w:w="1871" w:type="dxa"/>
          </w:tcPr>
          <w:p w:rsidR="00884DFC" w:rsidRPr="00BA7B1B" w:rsidRDefault="00884DFC" w:rsidP="00BA7B1B">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Attestation de formation</w:t>
            </w:r>
          </w:p>
        </w:tc>
        <w:tc>
          <w:tcPr>
            <w:tcW w:w="2098" w:type="dxa"/>
          </w:tcPr>
          <w:p w:rsidR="00884DFC" w:rsidRPr="00BA7B1B" w:rsidRDefault="00884DFC" w:rsidP="00BA7B1B">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Entreprise chargée des travaux</w:t>
            </w:r>
          </w:p>
        </w:tc>
        <w:tc>
          <w:tcPr>
            <w:tcW w:w="1559" w:type="dxa"/>
          </w:tcPr>
          <w:p w:rsidR="00884DFC" w:rsidRPr="00BA7B1B" w:rsidRDefault="00884DFC" w:rsidP="00BA7B1B">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300 000F/module de formation</w:t>
            </w:r>
          </w:p>
        </w:tc>
      </w:tr>
      <w:tr w:rsidR="00884DFC" w:rsidRPr="00BA7B1B" w:rsidTr="00201A4E">
        <w:tc>
          <w:tcPr>
            <w:tcW w:w="1164" w:type="dxa"/>
            <w:vMerge/>
          </w:tcPr>
          <w:p w:rsidR="00884DFC" w:rsidRPr="00BA7B1B" w:rsidRDefault="00884DFC" w:rsidP="00BA7B1B">
            <w:pPr>
              <w:spacing w:after="0" w:line="240" w:lineRule="auto"/>
              <w:rPr>
                <w:rFonts w:ascii="Times New Roman" w:hAnsi="Times New Roman" w:cs="Times New Roman"/>
                <w:sz w:val="18"/>
                <w:szCs w:val="18"/>
              </w:rPr>
            </w:pPr>
          </w:p>
        </w:tc>
        <w:tc>
          <w:tcPr>
            <w:tcW w:w="2126" w:type="dxa"/>
            <w:vMerge/>
          </w:tcPr>
          <w:p w:rsidR="00884DFC" w:rsidRPr="00BA7B1B" w:rsidRDefault="00884DFC" w:rsidP="00BA7B1B">
            <w:pPr>
              <w:spacing w:after="0" w:line="240" w:lineRule="auto"/>
              <w:rPr>
                <w:rFonts w:ascii="Times New Roman" w:hAnsi="Times New Roman" w:cs="Times New Roman"/>
                <w:sz w:val="18"/>
                <w:szCs w:val="18"/>
              </w:rPr>
            </w:pPr>
          </w:p>
        </w:tc>
        <w:tc>
          <w:tcPr>
            <w:tcW w:w="3827" w:type="dxa"/>
          </w:tcPr>
          <w:p w:rsidR="00884DFC" w:rsidRPr="00BA7B1B" w:rsidRDefault="00884DFC" w:rsidP="00BA7B1B">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 xml:space="preserve">Afficher des consignes de sécurité concernant les équipements, les produits aux endroits nécessaires </w:t>
            </w:r>
          </w:p>
        </w:tc>
        <w:tc>
          <w:tcPr>
            <w:tcW w:w="2665" w:type="dxa"/>
          </w:tcPr>
          <w:p w:rsidR="00884DFC" w:rsidRPr="00BA7B1B" w:rsidRDefault="00884DFC" w:rsidP="00BA7B1B">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Nombre de consignes de sécurité mis en place</w:t>
            </w:r>
          </w:p>
        </w:tc>
        <w:tc>
          <w:tcPr>
            <w:tcW w:w="1871" w:type="dxa"/>
          </w:tcPr>
          <w:p w:rsidR="00884DFC" w:rsidRPr="00BA7B1B" w:rsidRDefault="00884DFC" w:rsidP="00BA7B1B">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Contrôle visuel</w:t>
            </w:r>
          </w:p>
        </w:tc>
        <w:tc>
          <w:tcPr>
            <w:tcW w:w="2098" w:type="dxa"/>
          </w:tcPr>
          <w:p w:rsidR="00884DFC" w:rsidRPr="00BA7B1B" w:rsidRDefault="00884DFC" w:rsidP="00BA7B1B">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Entreprise chargée des travaux</w:t>
            </w:r>
          </w:p>
        </w:tc>
        <w:tc>
          <w:tcPr>
            <w:tcW w:w="1559" w:type="dxa"/>
          </w:tcPr>
          <w:p w:rsidR="00884DFC" w:rsidRPr="00BA7B1B" w:rsidRDefault="00884DFC" w:rsidP="00BA7B1B">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20 000F/panneau</w:t>
            </w:r>
          </w:p>
        </w:tc>
      </w:tr>
      <w:tr w:rsidR="00884DFC" w:rsidRPr="00BA7B1B" w:rsidTr="00201A4E">
        <w:trPr>
          <w:trHeight w:val="565"/>
        </w:trPr>
        <w:tc>
          <w:tcPr>
            <w:tcW w:w="1164" w:type="dxa"/>
            <w:vMerge/>
          </w:tcPr>
          <w:p w:rsidR="00884DFC" w:rsidRPr="00BA7B1B" w:rsidRDefault="00884DFC" w:rsidP="00BA7B1B">
            <w:pPr>
              <w:spacing w:after="0" w:line="240" w:lineRule="auto"/>
              <w:rPr>
                <w:rFonts w:ascii="Times New Roman" w:hAnsi="Times New Roman" w:cs="Times New Roman"/>
                <w:sz w:val="18"/>
                <w:szCs w:val="18"/>
              </w:rPr>
            </w:pPr>
          </w:p>
        </w:tc>
        <w:tc>
          <w:tcPr>
            <w:tcW w:w="2126" w:type="dxa"/>
            <w:vMerge/>
          </w:tcPr>
          <w:p w:rsidR="00884DFC" w:rsidRPr="00BA7B1B" w:rsidRDefault="00884DFC" w:rsidP="00BA7B1B">
            <w:pPr>
              <w:spacing w:after="0" w:line="240" w:lineRule="auto"/>
              <w:rPr>
                <w:rFonts w:ascii="Times New Roman" w:hAnsi="Times New Roman" w:cs="Times New Roman"/>
                <w:sz w:val="18"/>
                <w:szCs w:val="18"/>
              </w:rPr>
            </w:pPr>
          </w:p>
        </w:tc>
        <w:tc>
          <w:tcPr>
            <w:tcW w:w="3827" w:type="dxa"/>
          </w:tcPr>
          <w:p w:rsidR="00884DFC" w:rsidRPr="00BA7B1B" w:rsidRDefault="00BA7B1B" w:rsidP="00BA7B1B">
            <w:pPr>
              <w:spacing w:after="0" w:line="240" w:lineRule="auto"/>
              <w:rPr>
                <w:rFonts w:ascii="Times New Roman" w:hAnsi="Times New Roman" w:cs="Times New Roman"/>
                <w:sz w:val="18"/>
                <w:szCs w:val="18"/>
              </w:rPr>
            </w:pPr>
            <w:r>
              <w:rPr>
                <w:rFonts w:ascii="Times New Roman" w:hAnsi="Times New Roman" w:cs="Times New Roman"/>
                <w:sz w:val="18"/>
                <w:szCs w:val="18"/>
              </w:rPr>
              <w:t xml:space="preserve">Signaler les </w:t>
            </w:r>
            <w:r w:rsidR="00884DFC" w:rsidRPr="00BA7B1B">
              <w:rPr>
                <w:rFonts w:ascii="Times New Roman" w:hAnsi="Times New Roman" w:cs="Times New Roman"/>
                <w:sz w:val="18"/>
                <w:szCs w:val="18"/>
              </w:rPr>
              <w:t>zones à risques</w:t>
            </w:r>
          </w:p>
        </w:tc>
        <w:tc>
          <w:tcPr>
            <w:tcW w:w="2665" w:type="dxa"/>
          </w:tcPr>
          <w:p w:rsidR="00884DFC" w:rsidRPr="00BA7B1B" w:rsidRDefault="00884DFC" w:rsidP="00BA7B1B">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Existence de dispositifs de  signalisation au niveau des zones à risques</w:t>
            </w:r>
          </w:p>
        </w:tc>
        <w:tc>
          <w:tcPr>
            <w:tcW w:w="1871" w:type="dxa"/>
          </w:tcPr>
          <w:p w:rsidR="00884DFC" w:rsidRPr="00BA7B1B" w:rsidRDefault="00884DFC" w:rsidP="00BA7B1B">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Contrôle visuel</w:t>
            </w:r>
          </w:p>
        </w:tc>
        <w:tc>
          <w:tcPr>
            <w:tcW w:w="2098" w:type="dxa"/>
          </w:tcPr>
          <w:p w:rsidR="00884DFC" w:rsidRPr="00BA7B1B" w:rsidRDefault="00884DFC" w:rsidP="00BA7B1B">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Entreprise chargée des travaux</w:t>
            </w:r>
          </w:p>
        </w:tc>
        <w:tc>
          <w:tcPr>
            <w:tcW w:w="1559" w:type="dxa"/>
          </w:tcPr>
          <w:p w:rsidR="00884DFC" w:rsidRPr="00BA7B1B" w:rsidRDefault="00884DFC" w:rsidP="00BA7B1B">
            <w:pPr>
              <w:spacing w:after="0" w:line="240" w:lineRule="auto"/>
              <w:rPr>
                <w:rFonts w:ascii="Times New Roman" w:hAnsi="Times New Roman" w:cs="Times New Roman"/>
                <w:sz w:val="18"/>
                <w:szCs w:val="18"/>
              </w:rPr>
            </w:pPr>
          </w:p>
        </w:tc>
      </w:tr>
      <w:tr w:rsidR="00884DFC" w:rsidRPr="00BA7B1B" w:rsidTr="00201A4E">
        <w:tc>
          <w:tcPr>
            <w:tcW w:w="1164" w:type="dxa"/>
            <w:vMerge/>
          </w:tcPr>
          <w:p w:rsidR="00884DFC" w:rsidRPr="00BA7B1B" w:rsidRDefault="00884DFC" w:rsidP="00BA7B1B">
            <w:pPr>
              <w:spacing w:after="0" w:line="240" w:lineRule="auto"/>
              <w:rPr>
                <w:rFonts w:ascii="Times New Roman" w:hAnsi="Times New Roman" w:cs="Times New Roman"/>
                <w:sz w:val="18"/>
                <w:szCs w:val="18"/>
              </w:rPr>
            </w:pPr>
          </w:p>
        </w:tc>
        <w:tc>
          <w:tcPr>
            <w:tcW w:w="2126" w:type="dxa"/>
          </w:tcPr>
          <w:p w:rsidR="00884DFC" w:rsidRPr="00BA7B1B" w:rsidRDefault="00884DFC" w:rsidP="00BA7B1B">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Absence sur site de dispositifs/consignes  de sécurité</w:t>
            </w:r>
          </w:p>
        </w:tc>
        <w:tc>
          <w:tcPr>
            <w:tcW w:w="3827" w:type="dxa"/>
          </w:tcPr>
          <w:p w:rsidR="00884DFC" w:rsidRPr="00BA7B1B" w:rsidRDefault="00884DFC" w:rsidP="00BA7B1B">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Afficher aux endroits nécessaires les consignes de sécurité (obligation du port d’EPI, comportement à tenir en cas d’accident, numéros de secouristes du chantier, numéros d’urgence…)</w:t>
            </w:r>
          </w:p>
        </w:tc>
        <w:tc>
          <w:tcPr>
            <w:tcW w:w="2665" w:type="dxa"/>
          </w:tcPr>
          <w:p w:rsidR="00884DFC" w:rsidRPr="00BA7B1B" w:rsidRDefault="00884DFC" w:rsidP="00BA7B1B">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Nombre de locaux munis de consignes de sécurité</w:t>
            </w:r>
          </w:p>
        </w:tc>
        <w:tc>
          <w:tcPr>
            <w:tcW w:w="1871" w:type="dxa"/>
          </w:tcPr>
          <w:p w:rsidR="00884DFC" w:rsidRPr="00BA7B1B" w:rsidRDefault="00884DFC" w:rsidP="00BA7B1B">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Contrôle visuel</w:t>
            </w:r>
          </w:p>
        </w:tc>
        <w:tc>
          <w:tcPr>
            <w:tcW w:w="2098" w:type="dxa"/>
          </w:tcPr>
          <w:p w:rsidR="00884DFC" w:rsidRPr="00BA7B1B" w:rsidRDefault="00884DFC" w:rsidP="00BA7B1B">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Entreprise chargée des travaux</w:t>
            </w:r>
          </w:p>
        </w:tc>
        <w:tc>
          <w:tcPr>
            <w:tcW w:w="1559" w:type="dxa"/>
          </w:tcPr>
          <w:p w:rsidR="00884DFC" w:rsidRPr="00BA7B1B" w:rsidRDefault="00884DFC" w:rsidP="00BA7B1B">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25 000F/panneaux</w:t>
            </w:r>
          </w:p>
        </w:tc>
      </w:tr>
      <w:tr w:rsidR="00884DFC" w:rsidRPr="00BA7B1B" w:rsidTr="00201A4E">
        <w:tc>
          <w:tcPr>
            <w:tcW w:w="1164" w:type="dxa"/>
            <w:vMerge/>
          </w:tcPr>
          <w:p w:rsidR="00884DFC" w:rsidRPr="00BA7B1B" w:rsidRDefault="00884DFC" w:rsidP="00BA7B1B">
            <w:pPr>
              <w:spacing w:after="0" w:line="240" w:lineRule="auto"/>
              <w:rPr>
                <w:rFonts w:ascii="Times New Roman" w:hAnsi="Times New Roman" w:cs="Times New Roman"/>
                <w:sz w:val="18"/>
                <w:szCs w:val="18"/>
              </w:rPr>
            </w:pPr>
          </w:p>
        </w:tc>
        <w:tc>
          <w:tcPr>
            <w:tcW w:w="2126" w:type="dxa"/>
          </w:tcPr>
          <w:p w:rsidR="00884DFC" w:rsidRPr="00BA7B1B" w:rsidRDefault="00884DFC" w:rsidP="00BA7B1B">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Mauvaises postures de travail/gestes répétitifs</w:t>
            </w:r>
          </w:p>
        </w:tc>
        <w:tc>
          <w:tcPr>
            <w:tcW w:w="3827" w:type="dxa"/>
          </w:tcPr>
          <w:p w:rsidR="00884DFC" w:rsidRPr="00BA7B1B" w:rsidRDefault="00884DFC" w:rsidP="00BA7B1B">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Former les travailleurs sur les gestes et postures de travail à adopter et sur les techniques de levage pour les manutentionnaires</w:t>
            </w:r>
          </w:p>
        </w:tc>
        <w:tc>
          <w:tcPr>
            <w:tcW w:w="2665" w:type="dxa"/>
          </w:tcPr>
          <w:p w:rsidR="00884DFC" w:rsidRPr="00BA7B1B" w:rsidRDefault="00884DFC" w:rsidP="00BA7B1B">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Nombre de travailleurs ayant été formé</w:t>
            </w:r>
          </w:p>
        </w:tc>
        <w:tc>
          <w:tcPr>
            <w:tcW w:w="1871" w:type="dxa"/>
          </w:tcPr>
          <w:p w:rsidR="00884DFC" w:rsidRPr="00BA7B1B" w:rsidRDefault="00884DFC" w:rsidP="00BA7B1B">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Attestation de formation</w:t>
            </w:r>
          </w:p>
        </w:tc>
        <w:tc>
          <w:tcPr>
            <w:tcW w:w="2098" w:type="dxa"/>
          </w:tcPr>
          <w:p w:rsidR="00884DFC" w:rsidRPr="00BA7B1B" w:rsidRDefault="00884DFC" w:rsidP="00BA7B1B">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Entreprise chargée des travaux</w:t>
            </w:r>
          </w:p>
        </w:tc>
        <w:tc>
          <w:tcPr>
            <w:tcW w:w="1559" w:type="dxa"/>
          </w:tcPr>
          <w:p w:rsidR="00884DFC" w:rsidRPr="00BA7B1B" w:rsidRDefault="00884DFC" w:rsidP="00BA7B1B">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300 000F/module de formation</w:t>
            </w:r>
          </w:p>
        </w:tc>
      </w:tr>
      <w:tr w:rsidR="00884DFC" w:rsidRPr="00BA7B1B" w:rsidTr="00201A4E">
        <w:tc>
          <w:tcPr>
            <w:tcW w:w="1164" w:type="dxa"/>
            <w:vMerge/>
          </w:tcPr>
          <w:p w:rsidR="00884DFC" w:rsidRPr="00BA7B1B" w:rsidRDefault="00884DFC" w:rsidP="00BA7B1B">
            <w:pPr>
              <w:spacing w:after="0" w:line="240" w:lineRule="auto"/>
              <w:rPr>
                <w:rFonts w:ascii="Times New Roman" w:hAnsi="Times New Roman" w:cs="Times New Roman"/>
                <w:sz w:val="18"/>
                <w:szCs w:val="18"/>
              </w:rPr>
            </w:pPr>
          </w:p>
        </w:tc>
        <w:tc>
          <w:tcPr>
            <w:tcW w:w="2126" w:type="dxa"/>
          </w:tcPr>
          <w:p w:rsidR="00884DFC" w:rsidRPr="00BA7B1B" w:rsidRDefault="00884DFC" w:rsidP="00BA7B1B">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Manque de formation sur la manipulation  des produits  et des équipements et sur la réalisation des opérations à risques</w:t>
            </w:r>
          </w:p>
        </w:tc>
        <w:tc>
          <w:tcPr>
            <w:tcW w:w="3827" w:type="dxa"/>
          </w:tcPr>
          <w:p w:rsidR="00884DFC" w:rsidRPr="00BA7B1B" w:rsidRDefault="00884DFC" w:rsidP="00BA7B1B">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Former les travailleurs chacun en ce qui le concerne sur la manipulation des produits et des équipements et sur la réalisation des tâches en toutes sécurité</w:t>
            </w:r>
          </w:p>
        </w:tc>
        <w:tc>
          <w:tcPr>
            <w:tcW w:w="2665" w:type="dxa"/>
          </w:tcPr>
          <w:p w:rsidR="00884DFC" w:rsidRPr="00BA7B1B" w:rsidRDefault="00884DFC" w:rsidP="00BA7B1B">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Nombre de travailleurs ayant été formé</w:t>
            </w:r>
          </w:p>
        </w:tc>
        <w:tc>
          <w:tcPr>
            <w:tcW w:w="1871" w:type="dxa"/>
          </w:tcPr>
          <w:p w:rsidR="00884DFC" w:rsidRPr="00BA7B1B" w:rsidRDefault="00884DFC" w:rsidP="00BA7B1B">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Attestation de formation</w:t>
            </w:r>
          </w:p>
        </w:tc>
        <w:tc>
          <w:tcPr>
            <w:tcW w:w="2098" w:type="dxa"/>
          </w:tcPr>
          <w:p w:rsidR="00884DFC" w:rsidRPr="00BA7B1B" w:rsidRDefault="00884DFC" w:rsidP="00BA7B1B">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Entreprise chargée des travaux</w:t>
            </w:r>
          </w:p>
        </w:tc>
        <w:tc>
          <w:tcPr>
            <w:tcW w:w="1559" w:type="dxa"/>
          </w:tcPr>
          <w:p w:rsidR="00884DFC" w:rsidRPr="00BA7B1B" w:rsidRDefault="00884DFC" w:rsidP="00BA7B1B">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300 000F/module de formation</w:t>
            </w:r>
          </w:p>
        </w:tc>
      </w:tr>
      <w:tr w:rsidR="00884DFC" w:rsidRPr="00BA7B1B" w:rsidTr="00201A4E">
        <w:trPr>
          <w:trHeight w:val="1032"/>
        </w:trPr>
        <w:tc>
          <w:tcPr>
            <w:tcW w:w="1164" w:type="dxa"/>
            <w:vMerge/>
          </w:tcPr>
          <w:p w:rsidR="00884DFC" w:rsidRPr="00BA7B1B" w:rsidRDefault="00884DFC" w:rsidP="00BA7B1B">
            <w:pPr>
              <w:spacing w:after="0" w:line="240" w:lineRule="auto"/>
              <w:rPr>
                <w:rFonts w:ascii="Times New Roman" w:hAnsi="Times New Roman" w:cs="Times New Roman"/>
                <w:sz w:val="18"/>
                <w:szCs w:val="18"/>
              </w:rPr>
            </w:pPr>
          </w:p>
        </w:tc>
        <w:tc>
          <w:tcPr>
            <w:tcW w:w="2126" w:type="dxa"/>
          </w:tcPr>
          <w:p w:rsidR="00884DFC" w:rsidRPr="00BA7B1B" w:rsidRDefault="00884DFC" w:rsidP="00BA7B1B">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 xml:space="preserve">Encombrement/Insalubrité des lieux  de travail </w:t>
            </w:r>
          </w:p>
        </w:tc>
        <w:tc>
          <w:tcPr>
            <w:tcW w:w="3827" w:type="dxa"/>
          </w:tcPr>
          <w:p w:rsidR="00884DFC" w:rsidRPr="00BA7B1B" w:rsidRDefault="00884DFC" w:rsidP="00BA7B1B">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Désencombrer les lieux de travail,</w:t>
            </w:r>
          </w:p>
          <w:p w:rsidR="00884DFC" w:rsidRPr="00BA7B1B" w:rsidRDefault="00884DFC" w:rsidP="00BA7B1B">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Maintenir le chantier propre et ordonné</w:t>
            </w:r>
          </w:p>
        </w:tc>
        <w:tc>
          <w:tcPr>
            <w:tcW w:w="2665" w:type="dxa"/>
          </w:tcPr>
          <w:p w:rsidR="00884DFC" w:rsidRPr="00BA7B1B" w:rsidRDefault="00884DFC" w:rsidP="00BA7B1B">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Etat du chantier,</w:t>
            </w:r>
          </w:p>
          <w:p w:rsidR="00884DFC" w:rsidRPr="00BA7B1B" w:rsidRDefault="00884DFC" w:rsidP="00BA7B1B">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Niveau de propreté du chantier</w:t>
            </w:r>
          </w:p>
        </w:tc>
        <w:tc>
          <w:tcPr>
            <w:tcW w:w="1871" w:type="dxa"/>
          </w:tcPr>
          <w:p w:rsidR="00884DFC" w:rsidRPr="00BA7B1B" w:rsidRDefault="00884DFC" w:rsidP="00BA7B1B">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Contrôle visuel</w:t>
            </w:r>
          </w:p>
        </w:tc>
        <w:tc>
          <w:tcPr>
            <w:tcW w:w="2098" w:type="dxa"/>
          </w:tcPr>
          <w:p w:rsidR="00884DFC" w:rsidRPr="00BA7B1B" w:rsidRDefault="00884DFC" w:rsidP="00BA7B1B">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Entreprise chargée des travaux</w:t>
            </w:r>
          </w:p>
        </w:tc>
        <w:tc>
          <w:tcPr>
            <w:tcW w:w="1559" w:type="dxa"/>
          </w:tcPr>
          <w:p w:rsidR="00884DFC" w:rsidRPr="00BA7B1B" w:rsidRDefault="00884DFC" w:rsidP="00BA7B1B">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Organisationnel</w:t>
            </w:r>
          </w:p>
        </w:tc>
      </w:tr>
      <w:tr w:rsidR="00884DFC" w:rsidRPr="00BA7B1B" w:rsidTr="00201A4E">
        <w:trPr>
          <w:trHeight w:val="134"/>
        </w:trPr>
        <w:tc>
          <w:tcPr>
            <w:tcW w:w="1164" w:type="dxa"/>
            <w:vMerge/>
          </w:tcPr>
          <w:p w:rsidR="00884DFC" w:rsidRPr="00BA7B1B" w:rsidRDefault="00884DFC" w:rsidP="00BA7B1B">
            <w:pPr>
              <w:spacing w:after="0" w:line="240" w:lineRule="auto"/>
              <w:rPr>
                <w:rFonts w:ascii="Times New Roman" w:hAnsi="Times New Roman" w:cs="Times New Roman"/>
                <w:sz w:val="18"/>
                <w:szCs w:val="18"/>
              </w:rPr>
            </w:pPr>
          </w:p>
        </w:tc>
        <w:tc>
          <w:tcPr>
            <w:tcW w:w="2126" w:type="dxa"/>
            <w:vMerge w:val="restart"/>
          </w:tcPr>
          <w:p w:rsidR="00884DFC" w:rsidRPr="00BA7B1B" w:rsidRDefault="00884DFC" w:rsidP="00BA7B1B">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Absence de dispositifs de premiers secours</w:t>
            </w:r>
          </w:p>
        </w:tc>
        <w:tc>
          <w:tcPr>
            <w:tcW w:w="3827" w:type="dxa"/>
          </w:tcPr>
          <w:p w:rsidR="00884DFC" w:rsidRPr="00BA7B1B" w:rsidRDefault="00884DFC" w:rsidP="00BA7B1B">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Veiller à ce qu’une trousse de premiers secours soit toujours disponible sur le chantier</w:t>
            </w:r>
          </w:p>
        </w:tc>
        <w:tc>
          <w:tcPr>
            <w:tcW w:w="2665" w:type="dxa"/>
          </w:tcPr>
          <w:p w:rsidR="00884DFC" w:rsidRPr="00BA7B1B" w:rsidRDefault="00884DFC" w:rsidP="00BA7B1B">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Existence de trousse de premiers secours</w:t>
            </w:r>
          </w:p>
        </w:tc>
        <w:tc>
          <w:tcPr>
            <w:tcW w:w="1871" w:type="dxa"/>
          </w:tcPr>
          <w:p w:rsidR="00884DFC" w:rsidRPr="00BA7B1B" w:rsidRDefault="00884DFC" w:rsidP="00BA7B1B">
            <w:pPr>
              <w:spacing w:after="0" w:line="240" w:lineRule="auto"/>
              <w:rPr>
                <w:rFonts w:ascii="Times New Roman" w:hAnsi="Times New Roman" w:cs="Times New Roman"/>
                <w:sz w:val="18"/>
                <w:szCs w:val="18"/>
              </w:rPr>
            </w:pPr>
          </w:p>
        </w:tc>
        <w:tc>
          <w:tcPr>
            <w:tcW w:w="2098" w:type="dxa"/>
          </w:tcPr>
          <w:p w:rsidR="00884DFC" w:rsidRPr="00BA7B1B" w:rsidRDefault="00884DFC" w:rsidP="00BA7B1B">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Entreprise chargée des travaux</w:t>
            </w:r>
          </w:p>
        </w:tc>
        <w:tc>
          <w:tcPr>
            <w:tcW w:w="1559" w:type="dxa"/>
          </w:tcPr>
          <w:p w:rsidR="00884DFC" w:rsidRPr="00BA7B1B" w:rsidRDefault="00884DFC" w:rsidP="00BA7B1B">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 xml:space="preserve">100 000F/trousse de premiers secours </w:t>
            </w:r>
          </w:p>
        </w:tc>
      </w:tr>
      <w:tr w:rsidR="00884DFC" w:rsidRPr="00BA7B1B" w:rsidTr="00201A4E">
        <w:trPr>
          <w:trHeight w:val="73"/>
        </w:trPr>
        <w:tc>
          <w:tcPr>
            <w:tcW w:w="1164" w:type="dxa"/>
            <w:vMerge/>
          </w:tcPr>
          <w:p w:rsidR="00884DFC" w:rsidRPr="00BA7B1B" w:rsidRDefault="00884DFC" w:rsidP="00BA7B1B">
            <w:pPr>
              <w:spacing w:after="0" w:line="240" w:lineRule="auto"/>
              <w:rPr>
                <w:rFonts w:ascii="Times New Roman" w:hAnsi="Times New Roman" w:cs="Times New Roman"/>
                <w:sz w:val="18"/>
                <w:szCs w:val="18"/>
              </w:rPr>
            </w:pPr>
          </w:p>
        </w:tc>
        <w:tc>
          <w:tcPr>
            <w:tcW w:w="2126" w:type="dxa"/>
            <w:vMerge/>
          </w:tcPr>
          <w:p w:rsidR="00884DFC" w:rsidRPr="00BA7B1B" w:rsidRDefault="00884DFC" w:rsidP="00BA7B1B">
            <w:pPr>
              <w:spacing w:after="0" w:line="240" w:lineRule="auto"/>
              <w:rPr>
                <w:rFonts w:ascii="Times New Roman" w:hAnsi="Times New Roman" w:cs="Times New Roman"/>
                <w:sz w:val="18"/>
                <w:szCs w:val="18"/>
              </w:rPr>
            </w:pPr>
          </w:p>
        </w:tc>
        <w:tc>
          <w:tcPr>
            <w:tcW w:w="3827" w:type="dxa"/>
          </w:tcPr>
          <w:p w:rsidR="00884DFC" w:rsidRPr="00BA7B1B" w:rsidRDefault="00884DFC" w:rsidP="00BA7B1B">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Prévoir un défibrillateur sur le chantier</w:t>
            </w:r>
          </w:p>
        </w:tc>
        <w:tc>
          <w:tcPr>
            <w:tcW w:w="2665" w:type="dxa"/>
          </w:tcPr>
          <w:p w:rsidR="00884DFC" w:rsidRPr="00BA7B1B" w:rsidRDefault="00884DFC" w:rsidP="00BA7B1B">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Existence  de défibrillateur sur le chantier</w:t>
            </w:r>
          </w:p>
        </w:tc>
        <w:tc>
          <w:tcPr>
            <w:tcW w:w="1871" w:type="dxa"/>
          </w:tcPr>
          <w:p w:rsidR="00884DFC" w:rsidRPr="00BA7B1B" w:rsidRDefault="00884DFC" w:rsidP="00BA7B1B">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Contrôle visuel</w:t>
            </w:r>
          </w:p>
        </w:tc>
        <w:tc>
          <w:tcPr>
            <w:tcW w:w="2098" w:type="dxa"/>
          </w:tcPr>
          <w:p w:rsidR="00884DFC" w:rsidRPr="00BA7B1B" w:rsidRDefault="00884DFC" w:rsidP="00BA7B1B">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Entreprise chargée des travaux</w:t>
            </w:r>
          </w:p>
        </w:tc>
        <w:tc>
          <w:tcPr>
            <w:tcW w:w="1559" w:type="dxa"/>
          </w:tcPr>
          <w:p w:rsidR="00884DFC" w:rsidRPr="00BA7B1B" w:rsidRDefault="00884DFC" w:rsidP="00BA7B1B">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1 100 000F</w:t>
            </w:r>
          </w:p>
        </w:tc>
      </w:tr>
      <w:tr w:rsidR="00884DFC" w:rsidRPr="00BA7B1B" w:rsidTr="00201A4E">
        <w:tc>
          <w:tcPr>
            <w:tcW w:w="1164" w:type="dxa"/>
            <w:vMerge/>
          </w:tcPr>
          <w:p w:rsidR="00884DFC" w:rsidRPr="00BA7B1B" w:rsidRDefault="00884DFC" w:rsidP="00BA7B1B">
            <w:pPr>
              <w:spacing w:after="0" w:line="240" w:lineRule="auto"/>
              <w:rPr>
                <w:rFonts w:ascii="Times New Roman" w:hAnsi="Times New Roman" w:cs="Times New Roman"/>
                <w:sz w:val="18"/>
                <w:szCs w:val="18"/>
              </w:rPr>
            </w:pPr>
          </w:p>
        </w:tc>
        <w:tc>
          <w:tcPr>
            <w:tcW w:w="2126" w:type="dxa"/>
          </w:tcPr>
          <w:p w:rsidR="00884DFC" w:rsidRPr="00BA7B1B" w:rsidRDefault="00884DFC" w:rsidP="00BA7B1B">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Absence de secouristes sur le chantier</w:t>
            </w:r>
          </w:p>
        </w:tc>
        <w:tc>
          <w:tcPr>
            <w:tcW w:w="3827" w:type="dxa"/>
          </w:tcPr>
          <w:p w:rsidR="00884DFC" w:rsidRPr="00BA7B1B" w:rsidRDefault="00884DFC" w:rsidP="00BA7B1B">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Former des secouristes en fonction de l’effectif du chantier</w:t>
            </w:r>
          </w:p>
        </w:tc>
        <w:tc>
          <w:tcPr>
            <w:tcW w:w="2665" w:type="dxa"/>
          </w:tcPr>
          <w:p w:rsidR="00884DFC" w:rsidRPr="00BA7B1B" w:rsidRDefault="00884DFC" w:rsidP="00BA7B1B">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 xml:space="preserve">Nombre de secouristes présents sur le chantier </w:t>
            </w:r>
          </w:p>
        </w:tc>
        <w:tc>
          <w:tcPr>
            <w:tcW w:w="1871" w:type="dxa"/>
          </w:tcPr>
          <w:p w:rsidR="00884DFC" w:rsidRPr="00BA7B1B" w:rsidRDefault="00884DFC" w:rsidP="00BA7B1B">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Attestation de formation,</w:t>
            </w:r>
          </w:p>
          <w:p w:rsidR="00884DFC" w:rsidRPr="00BA7B1B" w:rsidRDefault="00884DFC" w:rsidP="00BA7B1B">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Contrôle visuel</w:t>
            </w:r>
          </w:p>
        </w:tc>
        <w:tc>
          <w:tcPr>
            <w:tcW w:w="2098" w:type="dxa"/>
          </w:tcPr>
          <w:p w:rsidR="00884DFC" w:rsidRPr="00BA7B1B" w:rsidRDefault="00884DFC" w:rsidP="00BA7B1B">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Entreprise chargée des travaux</w:t>
            </w:r>
          </w:p>
        </w:tc>
        <w:tc>
          <w:tcPr>
            <w:tcW w:w="1559" w:type="dxa"/>
          </w:tcPr>
          <w:p w:rsidR="00884DFC" w:rsidRPr="00BA7B1B" w:rsidRDefault="00884DFC" w:rsidP="00BA7B1B">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300 000F</w:t>
            </w:r>
          </w:p>
        </w:tc>
      </w:tr>
      <w:tr w:rsidR="00884DFC" w:rsidRPr="00BA7B1B" w:rsidTr="00201A4E">
        <w:tc>
          <w:tcPr>
            <w:tcW w:w="1164" w:type="dxa"/>
            <w:vMerge/>
          </w:tcPr>
          <w:p w:rsidR="00884DFC" w:rsidRPr="00BA7B1B" w:rsidRDefault="00884DFC" w:rsidP="00BA7B1B">
            <w:pPr>
              <w:spacing w:after="0" w:line="240" w:lineRule="auto"/>
              <w:rPr>
                <w:rFonts w:ascii="Times New Roman" w:hAnsi="Times New Roman" w:cs="Times New Roman"/>
                <w:sz w:val="18"/>
                <w:szCs w:val="18"/>
              </w:rPr>
            </w:pPr>
          </w:p>
        </w:tc>
        <w:tc>
          <w:tcPr>
            <w:tcW w:w="2126" w:type="dxa"/>
          </w:tcPr>
          <w:p w:rsidR="00884DFC" w:rsidRPr="00BA7B1B" w:rsidRDefault="00884DFC" w:rsidP="00BA7B1B">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 xml:space="preserve">Non-respect du port des EPI (chaussures de </w:t>
            </w:r>
            <w:r w:rsidRPr="00BA7B1B">
              <w:rPr>
                <w:rFonts w:ascii="Times New Roman" w:hAnsi="Times New Roman" w:cs="Times New Roman"/>
                <w:sz w:val="18"/>
                <w:szCs w:val="18"/>
              </w:rPr>
              <w:lastRenderedPageBreak/>
              <w:t>sécurité, gants, masques…)</w:t>
            </w:r>
          </w:p>
        </w:tc>
        <w:tc>
          <w:tcPr>
            <w:tcW w:w="3827" w:type="dxa"/>
          </w:tcPr>
          <w:p w:rsidR="00884DFC" w:rsidRPr="00BA7B1B" w:rsidRDefault="00884DFC" w:rsidP="00BA7B1B">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lastRenderedPageBreak/>
              <w:t>Doter le personnel d’EPI et exiger leur port à chaque fois que c’est nécessaire</w:t>
            </w:r>
          </w:p>
        </w:tc>
        <w:tc>
          <w:tcPr>
            <w:tcW w:w="2665" w:type="dxa"/>
          </w:tcPr>
          <w:p w:rsidR="00884DFC" w:rsidRPr="00BA7B1B" w:rsidRDefault="00884DFC" w:rsidP="00BA7B1B">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Nombre de travailleurs portant des EPI</w:t>
            </w:r>
          </w:p>
        </w:tc>
        <w:tc>
          <w:tcPr>
            <w:tcW w:w="1871" w:type="dxa"/>
          </w:tcPr>
          <w:p w:rsidR="00884DFC" w:rsidRPr="00BA7B1B" w:rsidRDefault="00884DFC" w:rsidP="00BA7B1B">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Contrôle visuel</w:t>
            </w:r>
          </w:p>
        </w:tc>
        <w:tc>
          <w:tcPr>
            <w:tcW w:w="2098" w:type="dxa"/>
          </w:tcPr>
          <w:p w:rsidR="00884DFC" w:rsidRPr="00BA7B1B" w:rsidRDefault="00884DFC" w:rsidP="00BA7B1B">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Entreprise chargée des travaux</w:t>
            </w:r>
          </w:p>
        </w:tc>
        <w:tc>
          <w:tcPr>
            <w:tcW w:w="1559" w:type="dxa"/>
          </w:tcPr>
          <w:p w:rsidR="00884DFC" w:rsidRPr="00BA7B1B" w:rsidRDefault="00884DFC" w:rsidP="00BA7B1B">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Chaussures de sécurité : 15 000F ;</w:t>
            </w:r>
          </w:p>
          <w:p w:rsidR="00884DFC" w:rsidRPr="00BA7B1B" w:rsidRDefault="00884DFC" w:rsidP="00BA7B1B">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lastRenderedPageBreak/>
              <w:t>Masque : 7000F ;</w:t>
            </w:r>
          </w:p>
          <w:p w:rsidR="00884DFC" w:rsidRPr="00BA7B1B" w:rsidRDefault="00884DFC" w:rsidP="00BA7B1B">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Gants : 5000F</w:t>
            </w:r>
          </w:p>
        </w:tc>
      </w:tr>
      <w:tr w:rsidR="00884DFC" w:rsidRPr="00BA7B1B" w:rsidTr="00201A4E">
        <w:tc>
          <w:tcPr>
            <w:tcW w:w="1164" w:type="dxa"/>
            <w:vMerge/>
          </w:tcPr>
          <w:p w:rsidR="00884DFC" w:rsidRPr="00BA7B1B" w:rsidRDefault="00884DFC" w:rsidP="00BA7B1B">
            <w:pPr>
              <w:spacing w:after="0" w:line="240" w:lineRule="auto"/>
              <w:rPr>
                <w:rFonts w:ascii="Times New Roman" w:hAnsi="Times New Roman" w:cs="Times New Roman"/>
                <w:sz w:val="18"/>
                <w:szCs w:val="18"/>
              </w:rPr>
            </w:pPr>
          </w:p>
        </w:tc>
        <w:tc>
          <w:tcPr>
            <w:tcW w:w="2126" w:type="dxa"/>
            <w:vMerge w:val="restart"/>
          </w:tcPr>
          <w:p w:rsidR="00884DFC" w:rsidRPr="00BA7B1B" w:rsidRDefault="00884DFC" w:rsidP="00BA7B1B">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 xml:space="preserve">Emission de bruit des équipements </w:t>
            </w:r>
          </w:p>
        </w:tc>
        <w:tc>
          <w:tcPr>
            <w:tcW w:w="3827" w:type="dxa"/>
          </w:tcPr>
          <w:p w:rsidR="00884DFC" w:rsidRPr="00BA7B1B" w:rsidRDefault="00884DFC" w:rsidP="00BA7B1B">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Utiliser des équipements certifiés générant moins de bruit</w:t>
            </w:r>
          </w:p>
        </w:tc>
        <w:tc>
          <w:tcPr>
            <w:tcW w:w="2665" w:type="dxa"/>
          </w:tcPr>
          <w:p w:rsidR="00884DFC" w:rsidRPr="00BA7B1B" w:rsidRDefault="00884DFC" w:rsidP="00BA7B1B">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 xml:space="preserve">Niveau sonore des équipements </w:t>
            </w:r>
          </w:p>
        </w:tc>
        <w:tc>
          <w:tcPr>
            <w:tcW w:w="1871" w:type="dxa"/>
          </w:tcPr>
          <w:p w:rsidR="00884DFC" w:rsidRPr="00BA7B1B" w:rsidRDefault="00884DFC" w:rsidP="00BA7B1B">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Fiche technique des équipements,</w:t>
            </w:r>
          </w:p>
          <w:p w:rsidR="00884DFC" w:rsidRPr="00BA7B1B" w:rsidRDefault="00884DFC" w:rsidP="00BA7B1B">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Mesures de bruit</w:t>
            </w:r>
          </w:p>
        </w:tc>
        <w:tc>
          <w:tcPr>
            <w:tcW w:w="2098" w:type="dxa"/>
          </w:tcPr>
          <w:p w:rsidR="00884DFC" w:rsidRPr="00BA7B1B" w:rsidRDefault="00884DFC" w:rsidP="00BA7B1B">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Entreprise chargée des travaux</w:t>
            </w:r>
          </w:p>
        </w:tc>
        <w:tc>
          <w:tcPr>
            <w:tcW w:w="1559" w:type="dxa"/>
          </w:tcPr>
          <w:p w:rsidR="00884DFC" w:rsidRPr="00BA7B1B" w:rsidRDefault="00884DFC" w:rsidP="00BA7B1B">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A inclure dans le DAO</w:t>
            </w:r>
          </w:p>
        </w:tc>
      </w:tr>
      <w:tr w:rsidR="00884DFC" w:rsidRPr="00BA7B1B" w:rsidTr="00201A4E">
        <w:tc>
          <w:tcPr>
            <w:tcW w:w="1164" w:type="dxa"/>
            <w:vMerge/>
          </w:tcPr>
          <w:p w:rsidR="00884DFC" w:rsidRPr="00BA7B1B" w:rsidRDefault="00884DFC" w:rsidP="00BA7B1B">
            <w:pPr>
              <w:spacing w:after="0" w:line="240" w:lineRule="auto"/>
              <w:rPr>
                <w:rFonts w:ascii="Times New Roman" w:hAnsi="Times New Roman" w:cs="Times New Roman"/>
                <w:sz w:val="18"/>
                <w:szCs w:val="18"/>
              </w:rPr>
            </w:pPr>
          </w:p>
        </w:tc>
        <w:tc>
          <w:tcPr>
            <w:tcW w:w="2126" w:type="dxa"/>
            <w:vMerge/>
          </w:tcPr>
          <w:p w:rsidR="00884DFC" w:rsidRPr="00BA7B1B" w:rsidRDefault="00884DFC" w:rsidP="00BA7B1B">
            <w:pPr>
              <w:spacing w:after="0" w:line="240" w:lineRule="auto"/>
              <w:rPr>
                <w:rFonts w:ascii="Times New Roman" w:hAnsi="Times New Roman" w:cs="Times New Roman"/>
                <w:sz w:val="18"/>
                <w:szCs w:val="18"/>
              </w:rPr>
            </w:pPr>
          </w:p>
        </w:tc>
        <w:tc>
          <w:tcPr>
            <w:tcW w:w="3827" w:type="dxa"/>
          </w:tcPr>
          <w:p w:rsidR="00884DFC" w:rsidRPr="00BA7B1B" w:rsidRDefault="00884DFC" w:rsidP="00BA7B1B">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 xml:space="preserve">Capoter si possible  les équipements bruyants </w:t>
            </w:r>
          </w:p>
        </w:tc>
        <w:tc>
          <w:tcPr>
            <w:tcW w:w="2665" w:type="dxa"/>
          </w:tcPr>
          <w:p w:rsidR="00884DFC" w:rsidRPr="00BA7B1B" w:rsidRDefault="00884DFC" w:rsidP="00BA7B1B">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Nombre d’équipement muni d’un dispositif de capotage</w:t>
            </w:r>
          </w:p>
        </w:tc>
        <w:tc>
          <w:tcPr>
            <w:tcW w:w="1871" w:type="dxa"/>
          </w:tcPr>
          <w:p w:rsidR="00884DFC" w:rsidRPr="00BA7B1B" w:rsidRDefault="00884DFC" w:rsidP="00BA7B1B">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Contrôle visuel</w:t>
            </w:r>
          </w:p>
        </w:tc>
        <w:tc>
          <w:tcPr>
            <w:tcW w:w="2098" w:type="dxa"/>
          </w:tcPr>
          <w:p w:rsidR="00884DFC" w:rsidRPr="00BA7B1B" w:rsidRDefault="00884DFC" w:rsidP="00BA7B1B">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Entreprise chargée des travaux</w:t>
            </w:r>
          </w:p>
        </w:tc>
        <w:tc>
          <w:tcPr>
            <w:tcW w:w="1559" w:type="dxa"/>
          </w:tcPr>
          <w:p w:rsidR="00884DFC" w:rsidRPr="00BA7B1B" w:rsidRDefault="00884DFC" w:rsidP="00BA7B1B">
            <w:pPr>
              <w:spacing w:after="0" w:line="240" w:lineRule="auto"/>
              <w:rPr>
                <w:rFonts w:ascii="Times New Roman" w:hAnsi="Times New Roman" w:cs="Times New Roman"/>
                <w:sz w:val="18"/>
                <w:szCs w:val="18"/>
              </w:rPr>
            </w:pPr>
          </w:p>
        </w:tc>
      </w:tr>
      <w:tr w:rsidR="00884DFC" w:rsidRPr="00BA7B1B" w:rsidTr="00201A4E">
        <w:tc>
          <w:tcPr>
            <w:tcW w:w="1164" w:type="dxa"/>
            <w:vMerge/>
          </w:tcPr>
          <w:p w:rsidR="00884DFC" w:rsidRPr="00BA7B1B" w:rsidRDefault="00884DFC" w:rsidP="00BA7B1B">
            <w:pPr>
              <w:spacing w:after="0" w:line="240" w:lineRule="auto"/>
              <w:rPr>
                <w:rFonts w:ascii="Times New Roman" w:hAnsi="Times New Roman" w:cs="Times New Roman"/>
                <w:sz w:val="18"/>
                <w:szCs w:val="18"/>
              </w:rPr>
            </w:pPr>
          </w:p>
        </w:tc>
        <w:tc>
          <w:tcPr>
            <w:tcW w:w="2126" w:type="dxa"/>
            <w:vMerge/>
          </w:tcPr>
          <w:p w:rsidR="00884DFC" w:rsidRPr="00BA7B1B" w:rsidRDefault="00884DFC" w:rsidP="00BA7B1B">
            <w:pPr>
              <w:spacing w:after="0" w:line="240" w:lineRule="auto"/>
              <w:rPr>
                <w:rFonts w:ascii="Times New Roman" w:hAnsi="Times New Roman" w:cs="Times New Roman"/>
                <w:sz w:val="18"/>
                <w:szCs w:val="18"/>
              </w:rPr>
            </w:pPr>
          </w:p>
        </w:tc>
        <w:tc>
          <w:tcPr>
            <w:tcW w:w="3827" w:type="dxa"/>
          </w:tcPr>
          <w:p w:rsidR="00884DFC" w:rsidRPr="00BA7B1B" w:rsidRDefault="00884DFC" w:rsidP="00BA7B1B">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Doter le personnel d’équipement de protection auditive (casque anti-bruit, bouchon d’oreille) et exiger leur port</w:t>
            </w:r>
          </w:p>
        </w:tc>
        <w:tc>
          <w:tcPr>
            <w:tcW w:w="2665" w:type="dxa"/>
          </w:tcPr>
          <w:p w:rsidR="00884DFC" w:rsidRPr="00BA7B1B" w:rsidRDefault="00884DFC" w:rsidP="00BA7B1B">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Nombre de travailleur portant un équipement de protection auditive</w:t>
            </w:r>
          </w:p>
        </w:tc>
        <w:tc>
          <w:tcPr>
            <w:tcW w:w="1871" w:type="dxa"/>
          </w:tcPr>
          <w:p w:rsidR="00884DFC" w:rsidRPr="00BA7B1B" w:rsidRDefault="00884DFC" w:rsidP="00BA7B1B">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Contrôle visuel</w:t>
            </w:r>
          </w:p>
        </w:tc>
        <w:tc>
          <w:tcPr>
            <w:tcW w:w="2098" w:type="dxa"/>
          </w:tcPr>
          <w:p w:rsidR="00884DFC" w:rsidRPr="00BA7B1B" w:rsidRDefault="00884DFC" w:rsidP="00BA7B1B">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Entreprise chargée des travaux</w:t>
            </w:r>
          </w:p>
        </w:tc>
        <w:tc>
          <w:tcPr>
            <w:tcW w:w="1559" w:type="dxa"/>
          </w:tcPr>
          <w:p w:rsidR="00884DFC" w:rsidRPr="00BA7B1B" w:rsidRDefault="00884DFC" w:rsidP="00BA7B1B">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Casque anti-bruit : 10 000F,</w:t>
            </w:r>
          </w:p>
          <w:p w:rsidR="00884DFC" w:rsidRPr="00BA7B1B" w:rsidRDefault="00884DFC" w:rsidP="00BA7B1B">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Bouchon d’oreille : 5000F</w:t>
            </w:r>
          </w:p>
        </w:tc>
      </w:tr>
      <w:tr w:rsidR="00884DFC" w:rsidRPr="00BA7B1B" w:rsidTr="00201A4E">
        <w:tc>
          <w:tcPr>
            <w:tcW w:w="1164" w:type="dxa"/>
            <w:vMerge/>
          </w:tcPr>
          <w:p w:rsidR="00884DFC" w:rsidRPr="00BA7B1B" w:rsidRDefault="00884DFC" w:rsidP="00BA7B1B">
            <w:pPr>
              <w:spacing w:after="0" w:line="240" w:lineRule="auto"/>
              <w:rPr>
                <w:rFonts w:ascii="Times New Roman" w:hAnsi="Times New Roman" w:cs="Times New Roman"/>
                <w:sz w:val="18"/>
                <w:szCs w:val="18"/>
              </w:rPr>
            </w:pPr>
          </w:p>
        </w:tc>
        <w:tc>
          <w:tcPr>
            <w:tcW w:w="2126" w:type="dxa"/>
            <w:vMerge/>
          </w:tcPr>
          <w:p w:rsidR="00884DFC" w:rsidRPr="00BA7B1B" w:rsidRDefault="00884DFC" w:rsidP="00BA7B1B">
            <w:pPr>
              <w:spacing w:after="0" w:line="240" w:lineRule="auto"/>
              <w:rPr>
                <w:rFonts w:ascii="Times New Roman" w:hAnsi="Times New Roman" w:cs="Times New Roman"/>
                <w:sz w:val="18"/>
                <w:szCs w:val="18"/>
              </w:rPr>
            </w:pPr>
          </w:p>
        </w:tc>
        <w:tc>
          <w:tcPr>
            <w:tcW w:w="3827" w:type="dxa"/>
          </w:tcPr>
          <w:p w:rsidR="00884DFC" w:rsidRPr="00BA7B1B" w:rsidRDefault="00884DFC" w:rsidP="00BA7B1B">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 xml:space="preserve">Eloigner les équipements bruyants  des opérateurs </w:t>
            </w:r>
          </w:p>
        </w:tc>
        <w:tc>
          <w:tcPr>
            <w:tcW w:w="2665" w:type="dxa"/>
          </w:tcPr>
          <w:p w:rsidR="00884DFC" w:rsidRPr="00BA7B1B" w:rsidRDefault="00884DFC" w:rsidP="00BA7B1B">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Distance séparant les équipements bruyants des opérateurs</w:t>
            </w:r>
          </w:p>
        </w:tc>
        <w:tc>
          <w:tcPr>
            <w:tcW w:w="1871" w:type="dxa"/>
          </w:tcPr>
          <w:p w:rsidR="00884DFC" w:rsidRPr="00BA7B1B" w:rsidRDefault="00884DFC" w:rsidP="00BA7B1B">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Contrôle visuel,</w:t>
            </w:r>
          </w:p>
          <w:p w:rsidR="00884DFC" w:rsidRPr="00BA7B1B" w:rsidRDefault="00884DFC" w:rsidP="00BA7B1B">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Mesure des distances</w:t>
            </w:r>
          </w:p>
        </w:tc>
        <w:tc>
          <w:tcPr>
            <w:tcW w:w="2098" w:type="dxa"/>
          </w:tcPr>
          <w:p w:rsidR="00884DFC" w:rsidRPr="00BA7B1B" w:rsidRDefault="00884DFC" w:rsidP="00BA7B1B">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Entreprise chargée des travaux</w:t>
            </w:r>
          </w:p>
        </w:tc>
        <w:tc>
          <w:tcPr>
            <w:tcW w:w="1559" w:type="dxa"/>
          </w:tcPr>
          <w:p w:rsidR="00884DFC" w:rsidRPr="00BA7B1B" w:rsidRDefault="00884DFC" w:rsidP="00BA7B1B">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 xml:space="preserve">Organisationnel </w:t>
            </w:r>
          </w:p>
        </w:tc>
      </w:tr>
      <w:tr w:rsidR="00884DFC" w:rsidRPr="00BA7B1B" w:rsidTr="00201A4E">
        <w:tc>
          <w:tcPr>
            <w:tcW w:w="1164" w:type="dxa"/>
            <w:vMerge/>
          </w:tcPr>
          <w:p w:rsidR="00884DFC" w:rsidRPr="00BA7B1B" w:rsidRDefault="00884DFC" w:rsidP="00BA7B1B">
            <w:pPr>
              <w:spacing w:after="0" w:line="240" w:lineRule="auto"/>
              <w:rPr>
                <w:rFonts w:ascii="Times New Roman" w:hAnsi="Times New Roman" w:cs="Times New Roman"/>
                <w:sz w:val="18"/>
                <w:szCs w:val="18"/>
              </w:rPr>
            </w:pPr>
          </w:p>
        </w:tc>
        <w:tc>
          <w:tcPr>
            <w:tcW w:w="2126" w:type="dxa"/>
          </w:tcPr>
          <w:p w:rsidR="00884DFC" w:rsidRPr="00BA7B1B" w:rsidRDefault="00884DFC" w:rsidP="00BA7B1B">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Circulation à proximité des excavatio</w:t>
            </w:r>
            <w:r w:rsidR="00BA7B1B">
              <w:rPr>
                <w:rFonts w:ascii="Times New Roman" w:hAnsi="Times New Roman" w:cs="Times New Roman"/>
                <w:sz w:val="18"/>
                <w:szCs w:val="18"/>
              </w:rPr>
              <w:t>ns</w:t>
            </w:r>
          </w:p>
        </w:tc>
        <w:tc>
          <w:tcPr>
            <w:tcW w:w="3827" w:type="dxa"/>
          </w:tcPr>
          <w:p w:rsidR="00884DFC" w:rsidRPr="00BA7B1B" w:rsidRDefault="00BA7B1B" w:rsidP="00BA7B1B">
            <w:pPr>
              <w:spacing w:after="0" w:line="240" w:lineRule="auto"/>
              <w:rPr>
                <w:rFonts w:ascii="Times New Roman" w:hAnsi="Times New Roman" w:cs="Times New Roman"/>
                <w:sz w:val="18"/>
                <w:szCs w:val="18"/>
              </w:rPr>
            </w:pPr>
            <w:r>
              <w:rPr>
                <w:rFonts w:ascii="Times New Roman" w:hAnsi="Times New Roman" w:cs="Times New Roman"/>
                <w:sz w:val="18"/>
                <w:szCs w:val="18"/>
              </w:rPr>
              <w:t>Baliser les excavations</w:t>
            </w:r>
            <w:r w:rsidR="00884DFC" w:rsidRPr="00BA7B1B">
              <w:rPr>
                <w:rFonts w:ascii="Times New Roman" w:hAnsi="Times New Roman" w:cs="Times New Roman"/>
                <w:sz w:val="18"/>
                <w:szCs w:val="18"/>
              </w:rPr>
              <w:t xml:space="preserve"> </w:t>
            </w:r>
          </w:p>
        </w:tc>
        <w:tc>
          <w:tcPr>
            <w:tcW w:w="2665" w:type="dxa"/>
          </w:tcPr>
          <w:p w:rsidR="00884DFC" w:rsidRPr="00BA7B1B" w:rsidRDefault="00884DFC" w:rsidP="00BA7B1B">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Nombre d’excavation muni de dispositif de balisage</w:t>
            </w:r>
          </w:p>
        </w:tc>
        <w:tc>
          <w:tcPr>
            <w:tcW w:w="1871" w:type="dxa"/>
          </w:tcPr>
          <w:p w:rsidR="00884DFC" w:rsidRPr="00BA7B1B" w:rsidRDefault="00884DFC" w:rsidP="00BA7B1B">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Contrôle visuel</w:t>
            </w:r>
          </w:p>
        </w:tc>
        <w:tc>
          <w:tcPr>
            <w:tcW w:w="2098" w:type="dxa"/>
          </w:tcPr>
          <w:p w:rsidR="00884DFC" w:rsidRPr="00BA7B1B" w:rsidRDefault="00884DFC" w:rsidP="00BA7B1B">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Entreprise chargée des travaux</w:t>
            </w:r>
          </w:p>
        </w:tc>
        <w:tc>
          <w:tcPr>
            <w:tcW w:w="1559" w:type="dxa"/>
          </w:tcPr>
          <w:p w:rsidR="00884DFC" w:rsidRPr="00BA7B1B" w:rsidRDefault="00884DFC" w:rsidP="00BA7B1B">
            <w:pPr>
              <w:spacing w:after="0" w:line="240" w:lineRule="auto"/>
              <w:rPr>
                <w:rFonts w:ascii="Times New Roman" w:hAnsi="Times New Roman" w:cs="Times New Roman"/>
                <w:sz w:val="18"/>
                <w:szCs w:val="18"/>
              </w:rPr>
            </w:pPr>
          </w:p>
        </w:tc>
      </w:tr>
      <w:tr w:rsidR="00884DFC" w:rsidRPr="00BA7B1B" w:rsidTr="00201A4E">
        <w:trPr>
          <w:trHeight w:val="220"/>
        </w:trPr>
        <w:tc>
          <w:tcPr>
            <w:tcW w:w="1164" w:type="dxa"/>
            <w:vMerge/>
          </w:tcPr>
          <w:p w:rsidR="00884DFC" w:rsidRPr="00BA7B1B" w:rsidRDefault="00884DFC" w:rsidP="00BA7B1B">
            <w:pPr>
              <w:spacing w:after="0" w:line="240" w:lineRule="auto"/>
              <w:rPr>
                <w:rFonts w:ascii="Times New Roman" w:hAnsi="Times New Roman" w:cs="Times New Roman"/>
                <w:sz w:val="18"/>
                <w:szCs w:val="18"/>
              </w:rPr>
            </w:pPr>
          </w:p>
        </w:tc>
        <w:tc>
          <w:tcPr>
            <w:tcW w:w="2126" w:type="dxa"/>
            <w:vMerge w:val="restart"/>
          </w:tcPr>
          <w:p w:rsidR="00884DFC" w:rsidRPr="00BA7B1B" w:rsidRDefault="00884DFC" w:rsidP="00BA7B1B">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Présence d’équipements électriques défaillant/manipulation de substance inflammables</w:t>
            </w:r>
          </w:p>
        </w:tc>
        <w:tc>
          <w:tcPr>
            <w:tcW w:w="3827" w:type="dxa"/>
          </w:tcPr>
          <w:p w:rsidR="00884DFC" w:rsidRPr="00BA7B1B" w:rsidRDefault="00884DFC" w:rsidP="00BA7B1B">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Utiliser des équipements électriques conformes,</w:t>
            </w:r>
          </w:p>
          <w:p w:rsidR="00884DFC" w:rsidRPr="00BA7B1B" w:rsidRDefault="00884DFC" w:rsidP="00BA7B1B">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Changer ou réparer les équipements défaillants</w:t>
            </w:r>
          </w:p>
        </w:tc>
        <w:tc>
          <w:tcPr>
            <w:tcW w:w="2665" w:type="dxa"/>
          </w:tcPr>
          <w:p w:rsidR="00884DFC" w:rsidRPr="00BA7B1B" w:rsidRDefault="00884DFC" w:rsidP="00BA7B1B">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Etat des équipements</w:t>
            </w:r>
          </w:p>
        </w:tc>
        <w:tc>
          <w:tcPr>
            <w:tcW w:w="1871" w:type="dxa"/>
          </w:tcPr>
          <w:p w:rsidR="00884DFC" w:rsidRPr="00BA7B1B" w:rsidRDefault="00884DFC" w:rsidP="00BA7B1B">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Contrôle visuel</w:t>
            </w:r>
          </w:p>
          <w:p w:rsidR="00884DFC" w:rsidRPr="00BA7B1B" w:rsidRDefault="00884DFC" w:rsidP="00BA7B1B">
            <w:pPr>
              <w:spacing w:after="0" w:line="240" w:lineRule="auto"/>
              <w:rPr>
                <w:rFonts w:ascii="Times New Roman" w:hAnsi="Times New Roman" w:cs="Times New Roman"/>
                <w:sz w:val="18"/>
                <w:szCs w:val="18"/>
              </w:rPr>
            </w:pPr>
          </w:p>
        </w:tc>
        <w:tc>
          <w:tcPr>
            <w:tcW w:w="2098" w:type="dxa"/>
          </w:tcPr>
          <w:p w:rsidR="00884DFC" w:rsidRPr="00BA7B1B" w:rsidRDefault="00884DFC" w:rsidP="00BA7B1B">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Entreprise chargée des travaux</w:t>
            </w:r>
          </w:p>
        </w:tc>
        <w:tc>
          <w:tcPr>
            <w:tcW w:w="1559" w:type="dxa"/>
          </w:tcPr>
          <w:p w:rsidR="00884DFC" w:rsidRPr="00BA7B1B" w:rsidRDefault="00884DFC" w:rsidP="00BA7B1B">
            <w:pPr>
              <w:spacing w:after="0" w:line="240" w:lineRule="auto"/>
              <w:rPr>
                <w:rFonts w:ascii="Times New Roman" w:hAnsi="Times New Roman" w:cs="Times New Roman"/>
                <w:sz w:val="18"/>
                <w:szCs w:val="18"/>
              </w:rPr>
            </w:pPr>
          </w:p>
        </w:tc>
      </w:tr>
      <w:tr w:rsidR="00884DFC" w:rsidRPr="00BA7B1B" w:rsidTr="00201A4E">
        <w:trPr>
          <w:trHeight w:val="234"/>
        </w:trPr>
        <w:tc>
          <w:tcPr>
            <w:tcW w:w="1164" w:type="dxa"/>
            <w:vMerge/>
          </w:tcPr>
          <w:p w:rsidR="00884DFC" w:rsidRPr="00BA7B1B" w:rsidRDefault="00884DFC" w:rsidP="00BA7B1B">
            <w:pPr>
              <w:spacing w:after="0" w:line="240" w:lineRule="auto"/>
              <w:rPr>
                <w:rFonts w:ascii="Times New Roman" w:hAnsi="Times New Roman" w:cs="Times New Roman"/>
                <w:sz w:val="18"/>
                <w:szCs w:val="18"/>
              </w:rPr>
            </w:pPr>
          </w:p>
        </w:tc>
        <w:tc>
          <w:tcPr>
            <w:tcW w:w="2126" w:type="dxa"/>
            <w:vMerge/>
          </w:tcPr>
          <w:p w:rsidR="00884DFC" w:rsidRPr="00BA7B1B" w:rsidRDefault="00884DFC" w:rsidP="00BA7B1B">
            <w:pPr>
              <w:spacing w:after="0" w:line="240" w:lineRule="auto"/>
              <w:rPr>
                <w:rFonts w:ascii="Times New Roman" w:hAnsi="Times New Roman" w:cs="Times New Roman"/>
                <w:sz w:val="18"/>
                <w:szCs w:val="18"/>
              </w:rPr>
            </w:pPr>
          </w:p>
        </w:tc>
        <w:tc>
          <w:tcPr>
            <w:tcW w:w="3827" w:type="dxa"/>
          </w:tcPr>
          <w:p w:rsidR="00884DFC" w:rsidRPr="00BA7B1B" w:rsidRDefault="00884DFC" w:rsidP="00BA7B1B">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Former les opérateurs sur la manipulation des substances inflammables,</w:t>
            </w:r>
          </w:p>
          <w:p w:rsidR="00884DFC" w:rsidRPr="00BA7B1B" w:rsidRDefault="00884DFC" w:rsidP="00BA7B1B">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Eloigner les sources de chaleur des substances,</w:t>
            </w:r>
          </w:p>
          <w:p w:rsidR="00884DFC" w:rsidRPr="00BA7B1B" w:rsidRDefault="00884DFC" w:rsidP="00BA7B1B">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Mettre en place des extincteurs,</w:t>
            </w:r>
          </w:p>
          <w:p w:rsidR="00884DFC" w:rsidRPr="00BA7B1B" w:rsidRDefault="00884DFC" w:rsidP="00BA7B1B">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Former  les ouvriers sur la manipulation des extincteurs</w:t>
            </w:r>
          </w:p>
        </w:tc>
        <w:tc>
          <w:tcPr>
            <w:tcW w:w="2665" w:type="dxa"/>
          </w:tcPr>
          <w:p w:rsidR="00884DFC" w:rsidRPr="00BA7B1B" w:rsidRDefault="00884DFC" w:rsidP="00BA7B1B">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Absence de source de chaleur à proximité des substances inflammables,</w:t>
            </w:r>
          </w:p>
          <w:p w:rsidR="00884DFC" w:rsidRPr="00BA7B1B" w:rsidRDefault="00884DFC" w:rsidP="00BA7B1B">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Nombre et type d’extincteurs mis en place,</w:t>
            </w:r>
          </w:p>
          <w:p w:rsidR="00884DFC" w:rsidRPr="00BA7B1B" w:rsidRDefault="00884DFC" w:rsidP="00BA7B1B">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Nombre de travailleurs ayant été formé sur la manipulation des produits et sur l’utilisation des extincteurs</w:t>
            </w:r>
          </w:p>
        </w:tc>
        <w:tc>
          <w:tcPr>
            <w:tcW w:w="1871" w:type="dxa"/>
          </w:tcPr>
          <w:p w:rsidR="00884DFC" w:rsidRPr="00BA7B1B" w:rsidRDefault="00884DFC" w:rsidP="00BA7B1B">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Contrôle visuel,</w:t>
            </w:r>
          </w:p>
          <w:p w:rsidR="00884DFC" w:rsidRPr="00BA7B1B" w:rsidRDefault="00884DFC" w:rsidP="00BA7B1B">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Attestation de formation</w:t>
            </w:r>
          </w:p>
        </w:tc>
        <w:tc>
          <w:tcPr>
            <w:tcW w:w="2098" w:type="dxa"/>
          </w:tcPr>
          <w:p w:rsidR="00884DFC" w:rsidRPr="00BA7B1B" w:rsidRDefault="00884DFC" w:rsidP="00BA7B1B">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Entreprise chargée des travaux</w:t>
            </w:r>
          </w:p>
        </w:tc>
        <w:tc>
          <w:tcPr>
            <w:tcW w:w="1559" w:type="dxa"/>
          </w:tcPr>
          <w:p w:rsidR="00884DFC" w:rsidRPr="00BA7B1B" w:rsidRDefault="00884DFC" w:rsidP="00BA7B1B">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300 000F/module de formation,</w:t>
            </w:r>
          </w:p>
          <w:p w:rsidR="00884DFC" w:rsidRPr="00BA7B1B" w:rsidRDefault="00884DFC" w:rsidP="00BA7B1B">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75 000F/extincteur</w:t>
            </w:r>
          </w:p>
        </w:tc>
      </w:tr>
      <w:tr w:rsidR="00884DFC" w:rsidRPr="00BA7B1B" w:rsidTr="00201A4E">
        <w:tc>
          <w:tcPr>
            <w:tcW w:w="1164" w:type="dxa"/>
            <w:vMerge/>
          </w:tcPr>
          <w:p w:rsidR="00884DFC" w:rsidRPr="00BA7B1B" w:rsidRDefault="00884DFC" w:rsidP="00BA7B1B">
            <w:pPr>
              <w:spacing w:after="0" w:line="240" w:lineRule="auto"/>
              <w:rPr>
                <w:rFonts w:ascii="Times New Roman" w:hAnsi="Times New Roman" w:cs="Times New Roman"/>
                <w:sz w:val="18"/>
                <w:szCs w:val="18"/>
              </w:rPr>
            </w:pPr>
          </w:p>
        </w:tc>
        <w:tc>
          <w:tcPr>
            <w:tcW w:w="2126" w:type="dxa"/>
          </w:tcPr>
          <w:p w:rsidR="00884DFC" w:rsidRPr="00BA7B1B" w:rsidRDefault="00884DFC" w:rsidP="00BA7B1B">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Insalubrité des vestiaires ou toilettes</w:t>
            </w:r>
          </w:p>
        </w:tc>
        <w:tc>
          <w:tcPr>
            <w:tcW w:w="3827" w:type="dxa"/>
          </w:tcPr>
          <w:p w:rsidR="00884DFC" w:rsidRPr="00BA7B1B" w:rsidRDefault="00884DFC" w:rsidP="00BA7B1B">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 xml:space="preserve">Nettoyer quotidiennement les toilettes et vestiaires </w:t>
            </w:r>
          </w:p>
        </w:tc>
        <w:tc>
          <w:tcPr>
            <w:tcW w:w="2665" w:type="dxa"/>
          </w:tcPr>
          <w:p w:rsidR="00884DFC" w:rsidRPr="00BA7B1B" w:rsidRDefault="00884DFC" w:rsidP="00BA7B1B">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Niveau de propreté des toilettes et vestiaires</w:t>
            </w:r>
          </w:p>
        </w:tc>
        <w:tc>
          <w:tcPr>
            <w:tcW w:w="1871" w:type="dxa"/>
          </w:tcPr>
          <w:p w:rsidR="00884DFC" w:rsidRPr="00BA7B1B" w:rsidRDefault="00884DFC" w:rsidP="00BA7B1B">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Contrôle visuel</w:t>
            </w:r>
          </w:p>
        </w:tc>
        <w:tc>
          <w:tcPr>
            <w:tcW w:w="2098" w:type="dxa"/>
          </w:tcPr>
          <w:p w:rsidR="00884DFC" w:rsidRPr="00BA7B1B" w:rsidRDefault="00884DFC" w:rsidP="00BA7B1B">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Entreprise chargée des travaux</w:t>
            </w:r>
          </w:p>
        </w:tc>
        <w:tc>
          <w:tcPr>
            <w:tcW w:w="1559" w:type="dxa"/>
          </w:tcPr>
          <w:p w:rsidR="00884DFC" w:rsidRPr="00BA7B1B" w:rsidRDefault="00884DFC" w:rsidP="00BA7B1B">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Organisationnel</w:t>
            </w:r>
          </w:p>
        </w:tc>
      </w:tr>
      <w:tr w:rsidR="00884DFC" w:rsidRPr="00BA7B1B" w:rsidTr="00201A4E">
        <w:trPr>
          <w:trHeight w:val="344"/>
        </w:trPr>
        <w:tc>
          <w:tcPr>
            <w:tcW w:w="1164" w:type="dxa"/>
            <w:vMerge/>
          </w:tcPr>
          <w:p w:rsidR="00884DFC" w:rsidRPr="00BA7B1B" w:rsidRDefault="00884DFC" w:rsidP="00BA7B1B">
            <w:pPr>
              <w:spacing w:after="0" w:line="240" w:lineRule="auto"/>
              <w:rPr>
                <w:rFonts w:ascii="Times New Roman" w:hAnsi="Times New Roman" w:cs="Times New Roman"/>
                <w:sz w:val="18"/>
                <w:szCs w:val="18"/>
              </w:rPr>
            </w:pPr>
          </w:p>
        </w:tc>
        <w:tc>
          <w:tcPr>
            <w:tcW w:w="2126" w:type="dxa"/>
          </w:tcPr>
          <w:p w:rsidR="00884DFC" w:rsidRPr="00BA7B1B" w:rsidRDefault="00884DFC" w:rsidP="00BA7B1B">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Génération de poussières (ciment, sable…)</w:t>
            </w:r>
          </w:p>
        </w:tc>
        <w:tc>
          <w:tcPr>
            <w:tcW w:w="3827" w:type="dxa"/>
          </w:tcPr>
          <w:p w:rsidR="00884DFC" w:rsidRPr="00BA7B1B" w:rsidRDefault="00884DFC" w:rsidP="00BA7B1B">
            <w:pPr>
              <w:spacing w:after="0" w:line="240" w:lineRule="auto"/>
              <w:rPr>
                <w:rFonts w:ascii="Times New Roman" w:hAnsi="Times New Roman" w:cs="Times New Roman"/>
                <w:sz w:val="18"/>
                <w:szCs w:val="18"/>
                <w:highlight w:val="yellow"/>
              </w:rPr>
            </w:pPr>
            <w:r w:rsidRPr="00BA7B1B">
              <w:rPr>
                <w:rFonts w:ascii="Times New Roman" w:hAnsi="Times New Roman" w:cs="Times New Roman"/>
                <w:sz w:val="18"/>
                <w:szCs w:val="18"/>
              </w:rPr>
              <w:t xml:space="preserve">Doter le personnel de masque respiratoire et exiger leur port </w:t>
            </w:r>
          </w:p>
        </w:tc>
        <w:tc>
          <w:tcPr>
            <w:tcW w:w="2665" w:type="dxa"/>
          </w:tcPr>
          <w:p w:rsidR="00884DFC" w:rsidRPr="00BA7B1B" w:rsidRDefault="00884DFC" w:rsidP="00BA7B1B">
            <w:pPr>
              <w:spacing w:after="0" w:line="240" w:lineRule="auto"/>
              <w:rPr>
                <w:rFonts w:ascii="Times New Roman" w:hAnsi="Times New Roman" w:cs="Times New Roman"/>
                <w:sz w:val="18"/>
                <w:szCs w:val="18"/>
                <w:highlight w:val="yellow"/>
              </w:rPr>
            </w:pPr>
            <w:r w:rsidRPr="00BA7B1B">
              <w:rPr>
                <w:rFonts w:ascii="Times New Roman" w:hAnsi="Times New Roman" w:cs="Times New Roman"/>
                <w:sz w:val="18"/>
                <w:szCs w:val="18"/>
              </w:rPr>
              <w:t>Nombre de travailleur portant des masques respiratoires</w:t>
            </w:r>
          </w:p>
        </w:tc>
        <w:tc>
          <w:tcPr>
            <w:tcW w:w="1871" w:type="dxa"/>
          </w:tcPr>
          <w:p w:rsidR="00884DFC" w:rsidRPr="00BA7B1B" w:rsidRDefault="00884DFC" w:rsidP="00BA7B1B">
            <w:pPr>
              <w:spacing w:after="0" w:line="240" w:lineRule="auto"/>
              <w:rPr>
                <w:rFonts w:ascii="Times New Roman" w:hAnsi="Times New Roman" w:cs="Times New Roman"/>
                <w:sz w:val="18"/>
                <w:szCs w:val="18"/>
                <w:highlight w:val="yellow"/>
              </w:rPr>
            </w:pPr>
            <w:r w:rsidRPr="00BA7B1B">
              <w:rPr>
                <w:rFonts w:ascii="Times New Roman" w:hAnsi="Times New Roman" w:cs="Times New Roman"/>
                <w:sz w:val="18"/>
                <w:szCs w:val="18"/>
              </w:rPr>
              <w:t>Contrôle visuel</w:t>
            </w:r>
          </w:p>
        </w:tc>
        <w:tc>
          <w:tcPr>
            <w:tcW w:w="2098" w:type="dxa"/>
          </w:tcPr>
          <w:p w:rsidR="00884DFC" w:rsidRPr="00BA7B1B" w:rsidRDefault="00884DFC" w:rsidP="00BA7B1B">
            <w:pPr>
              <w:spacing w:after="0" w:line="240" w:lineRule="auto"/>
              <w:rPr>
                <w:rFonts w:ascii="Times New Roman" w:hAnsi="Times New Roman" w:cs="Times New Roman"/>
                <w:sz w:val="18"/>
                <w:szCs w:val="18"/>
                <w:highlight w:val="yellow"/>
              </w:rPr>
            </w:pPr>
            <w:r w:rsidRPr="00BA7B1B">
              <w:rPr>
                <w:rFonts w:ascii="Times New Roman" w:hAnsi="Times New Roman" w:cs="Times New Roman"/>
                <w:sz w:val="18"/>
                <w:szCs w:val="18"/>
              </w:rPr>
              <w:t>Entreprise chargée des travaux</w:t>
            </w:r>
          </w:p>
        </w:tc>
        <w:tc>
          <w:tcPr>
            <w:tcW w:w="1559" w:type="dxa"/>
          </w:tcPr>
          <w:p w:rsidR="00884DFC" w:rsidRPr="00BA7B1B" w:rsidRDefault="00884DFC" w:rsidP="00BA7B1B">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Masque : 5000F</w:t>
            </w:r>
          </w:p>
        </w:tc>
      </w:tr>
      <w:tr w:rsidR="00884DFC" w:rsidRPr="00BA7B1B" w:rsidTr="00201A4E">
        <w:tc>
          <w:tcPr>
            <w:tcW w:w="1164" w:type="dxa"/>
          </w:tcPr>
          <w:p w:rsidR="00884DFC" w:rsidRPr="00BA7B1B" w:rsidRDefault="00884DFC" w:rsidP="00BA7B1B">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Manipulation des outils/équipements</w:t>
            </w:r>
          </w:p>
        </w:tc>
        <w:tc>
          <w:tcPr>
            <w:tcW w:w="2126" w:type="dxa"/>
          </w:tcPr>
          <w:p w:rsidR="00884DFC" w:rsidRPr="00BA7B1B" w:rsidRDefault="00884DFC" w:rsidP="00BA7B1B">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Mauvaise utilisation des outils/équipements,</w:t>
            </w:r>
          </w:p>
          <w:p w:rsidR="00884DFC" w:rsidRPr="00BA7B1B" w:rsidRDefault="00884DFC" w:rsidP="00BA7B1B">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Utilisation des outils par un personnel non autorisé</w:t>
            </w:r>
          </w:p>
        </w:tc>
        <w:tc>
          <w:tcPr>
            <w:tcW w:w="3827" w:type="dxa"/>
          </w:tcPr>
          <w:p w:rsidR="00884DFC" w:rsidRPr="00BA7B1B" w:rsidRDefault="00884DFC" w:rsidP="00BA7B1B">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Aménager un local pour le stockage des outils,</w:t>
            </w:r>
          </w:p>
          <w:p w:rsidR="00884DFC" w:rsidRPr="00BA7B1B" w:rsidRDefault="00884DFC" w:rsidP="00BA7B1B">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Nommer un responsable chargé de la gestion des outils,</w:t>
            </w:r>
          </w:p>
          <w:p w:rsidR="00884DFC" w:rsidRPr="00BA7B1B" w:rsidRDefault="00884DFC" w:rsidP="00BA7B1B">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Interdire l’utilisation des outils par un personnel non habilité</w:t>
            </w:r>
          </w:p>
        </w:tc>
        <w:tc>
          <w:tcPr>
            <w:tcW w:w="2665" w:type="dxa"/>
          </w:tcPr>
          <w:p w:rsidR="00884DFC" w:rsidRPr="00BA7B1B" w:rsidRDefault="00884DFC" w:rsidP="00BA7B1B">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Existence de local pour le stockage des outils,</w:t>
            </w:r>
          </w:p>
          <w:p w:rsidR="00884DFC" w:rsidRPr="00BA7B1B" w:rsidRDefault="00884DFC" w:rsidP="00BA7B1B">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Existence d’un responsable chargé de la gestion des outils</w:t>
            </w:r>
          </w:p>
        </w:tc>
        <w:tc>
          <w:tcPr>
            <w:tcW w:w="1871" w:type="dxa"/>
          </w:tcPr>
          <w:p w:rsidR="00884DFC" w:rsidRPr="00BA7B1B" w:rsidRDefault="00884DFC" w:rsidP="00BA7B1B">
            <w:pPr>
              <w:spacing w:after="0" w:line="240" w:lineRule="auto"/>
              <w:rPr>
                <w:rFonts w:ascii="Times New Roman" w:hAnsi="Times New Roman" w:cs="Times New Roman"/>
                <w:sz w:val="18"/>
                <w:szCs w:val="18"/>
                <w:highlight w:val="yellow"/>
              </w:rPr>
            </w:pPr>
            <w:r w:rsidRPr="00BA7B1B">
              <w:rPr>
                <w:rFonts w:ascii="Times New Roman" w:hAnsi="Times New Roman" w:cs="Times New Roman"/>
                <w:sz w:val="18"/>
                <w:szCs w:val="18"/>
              </w:rPr>
              <w:t>Contrôle visuel</w:t>
            </w:r>
          </w:p>
        </w:tc>
        <w:tc>
          <w:tcPr>
            <w:tcW w:w="2098" w:type="dxa"/>
          </w:tcPr>
          <w:p w:rsidR="00884DFC" w:rsidRPr="00BA7B1B" w:rsidRDefault="00884DFC" w:rsidP="00BA7B1B">
            <w:pPr>
              <w:spacing w:after="0" w:line="240" w:lineRule="auto"/>
              <w:rPr>
                <w:rFonts w:ascii="Times New Roman" w:hAnsi="Times New Roman" w:cs="Times New Roman"/>
                <w:sz w:val="18"/>
                <w:szCs w:val="18"/>
                <w:highlight w:val="yellow"/>
              </w:rPr>
            </w:pPr>
            <w:r w:rsidRPr="00BA7B1B">
              <w:rPr>
                <w:rFonts w:ascii="Times New Roman" w:hAnsi="Times New Roman" w:cs="Times New Roman"/>
                <w:sz w:val="18"/>
                <w:szCs w:val="18"/>
              </w:rPr>
              <w:t>Entreprise chargée des travaux</w:t>
            </w:r>
          </w:p>
        </w:tc>
        <w:tc>
          <w:tcPr>
            <w:tcW w:w="1559" w:type="dxa"/>
          </w:tcPr>
          <w:p w:rsidR="00884DFC" w:rsidRPr="00BA7B1B" w:rsidRDefault="00884DFC" w:rsidP="00BA7B1B">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Organisationnel</w:t>
            </w:r>
          </w:p>
        </w:tc>
      </w:tr>
      <w:tr w:rsidR="00884DFC" w:rsidRPr="00BA7B1B" w:rsidTr="00201A4E">
        <w:trPr>
          <w:trHeight w:val="134"/>
        </w:trPr>
        <w:tc>
          <w:tcPr>
            <w:tcW w:w="1164" w:type="dxa"/>
            <w:vMerge w:val="restart"/>
          </w:tcPr>
          <w:p w:rsidR="00884DFC" w:rsidRPr="00BA7B1B" w:rsidRDefault="00884DFC" w:rsidP="00BA7B1B">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Manipulation de produits chimiques</w:t>
            </w:r>
          </w:p>
        </w:tc>
        <w:tc>
          <w:tcPr>
            <w:tcW w:w="2126" w:type="dxa"/>
          </w:tcPr>
          <w:p w:rsidR="00884DFC" w:rsidRPr="00BA7B1B" w:rsidRDefault="00884DFC" w:rsidP="00BA7B1B">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Non-respect des règles de stockage des produits</w:t>
            </w:r>
          </w:p>
        </w:tc>
        <w:tc>
          <w:tcPr>
            <w:tcW w:w="3827" w:type="dxa"/>
          </w:tcPr>
          <w:p w:rsidR="00884DFC" w:rsidRPr="00BA7B1B" w:rsidRDefault="00884DFC" w:rsidP="00BA7B1B">
            <w:pPr>
              <w:spacing w:after="0" w:line="240" w:lineRule="auto"/>
              <w:rPr>
                <w:rFonts w:ascii="Times New Roman" w:hAnsi="Times New Roman" w:cs="Times New Roman"/>
                <w:sz w:val="18"/>
                <w:szCs w:val="18"/>
                <w:highlight w:val="yellow"/>
              </w:rPr>
            </w:pPr>
            <w:r w:rsidRPr="00BA7B1B">
              <w:rPr>
                <w:rFonts w:ascii="Times New Roman" w:hAnsi="Times New Roman" w:cs="Times New Roman"/>
                <w:sz w:val="18"/>
                <w:szCs w:val="18"/>
              </w:rPr>
              <w:t xml:space="preserve">Respecter les règles de stockage en tenant compte de l’incompatibilité  de certains produits, stocker les produits incompatibles dans des compartiments séparés </w:t>
            </w:r>
          </w:p>
        </w:tc>
        <w:tc>
          <w:tcPr>
            <w:tcW w:w="2665" w:type="dxa"/>
          </w:tcPr>
          <w:p w:rsidR="00884DFC" w:rsidRPr="00BA7B1B" w:rsidRDefault="00884DFC" w:rsidP="00BA7B1B">
            <w:pPr>
              <w:spacing w:after="0" w:line="240" w:lineRule="auto"/>
              <w:rPr>
                <w:rFonts w:ascii="Times New Roman" w:hAnsi="Times New Roman" w:cs="Times New Roman"/>
                <w:sz w:val="18"/>
                <w:szCs w:val="18"/>
                <w:highlight w:val="yellow"/>
              </w:rPr>
            </w:pPr>
            <w:r w:rsidRPr="00BA7B1B">
              <w:rPr>
                <w:rFonts w:ascii="Times New Roman" w:hAnsi="Times New Roman" w:cs="Times New Roman"/>
                <w:sz w:val="18"/>
                <w:szCs w:val="18"/>
              </w:rPr>
              <w:t>Effectivité du respect des règles de stockage des produits</w:t>
            </w:r>
          </w:p>
        </w:tc>
        <w:tc>
          <w:tcPr>
            <w:tcW w:w="1871" w:type="dxa"/>
          </w:tcPr>
          <w:p w:rsidR="00884DFC" w:rsidRPr="00BA7B1B" w:rsidRDefault="00884DFC" w:rsidP="00BA7B1B">
            <w:pPr>
              <w:spacing w:after="0" w:line="240" w:lineRule="auto"/>
              <w:rPr>
                <w:rFonts w:ascii="Times New Roman" w:hAnsi="Times New Roman" w:cs="Times New Roman"/>
                <w:sz w:val="18"/>
                <w:szCs w:val="18"/>
                <w:highlight w:val="yellow"/>
              </w:rPr>
            </w:pPr>
            <w:r w:rsidRPr="00BA7B1B">
              <w:rPr>
                <w:rFonts w:ascii="Times New Roman" w:hAnsi="Times New Roman" w:cs="Times New Roman"/>
                <w:sz w:val="18"/>
                <w:szCs w:val="18"/>
              </w:rPr>
              <w:t>Contrôle visuel</w:t>
            </w:r>
          </w:p>
        </w:tc>
        <w:tc>
          <w:tcPr>
            <w:tcW w:w="2098" w:type="dxa"/>
          </w:tcPr>
          <w:p w:rsidR="00884DFC" w:rsidRPr="00BA7B1B" w:rsidRDefault="00884DFC" w:rsidP="00BA7B1B">
            <w:pPr>
              <w:spacing w:after="0" w:line="240" w:lineRule="auto"/>
              <w:rPr>
                <w:rFonts w:ascii="Times New Roman" w:hAnsi="Times New Roman" w:cs="Times New Roman"/>
                <w:sz w:val="18"/>
                <w:szCs w:val="18"/>
                <w:highlight w:val="yellow"/>
              </w:rPr>
            </w:pPr>
            <w:r w:rsidRPr="00BA7B1B">
              <w:rPr>
                <w:rFonts w:ascii="Times New Roman" w:hAnsi="Times New Roman" w:cs="Times New Roman"/>
                <w:sz w:val="18"/>
                <w:szCs w:val="18"/>
              </w:rPr>
              <w:t>Entreprise chargée des travaux</w:t>
            </w:r>
          </w:p>
        </w:tc>
        <w:tc>
          <w:tcPr>
            <w:tcW w:w="1559" w:type="dxa"/>
          </w:tcPr>
          <w:p w:rsidR="00884DFC" w:rsidRPr="00BA7B1B" w:rsidRDefault="00884DFC" w:rsidP="00BA7B1B">
            <w:pPr>
              <w:spacing w:after="0" w:line="240" w:lineRule="auto"/>
              <w:rPr>
                <w:rFonts w:ascii="Times New Roman" w:hAnsi="Times New Roman" w:cs="Times New Roman"/>
                <w:sz w:val="18"/>
                <w:szCs w:val="18"/>
                <w:highlight w:val="yellow"/>
              </w:rPr>
            </w:pPr>
          </w:p>
        </w:tc>
      </w:tr>
      <w:tr w:rsidR="00884DFC" w:rsidRPr="00BA7B1B" w:rsidTr="00201A4E">
        <w:trPr>
          <w:trHeight w:val="275"/>
        </w:trPr>
        <w:tc>
          <w:tcPr>
            <w:tcW w:w="1164" w:type="dxa"/>
            <w:vMerge/>
          </w:tcPr>
          <w:p w:rsidR="00884DFC" w:rsidRPr="00BA7B1B" w:rsidRDefault="00884DFC" w:rsidP="00BA7B1B">
            <w:pPr>
              <w:spacing w:after="0" w:line="240" w:lineRule="auto"/>
              <w:rPr>
                <w:rFonts w:ascii="Times New Roman" w:hAnsi="Times New Roman" w:cs="Times New Roman"/>
                <w:sz w:val="18"/>
                <w:szCs w:val="18"/>
              </w:rPr>
            </w:pPr>
          </w:p>
        </w:tc>
        <w:tc>
          <w:tcPr>
            <w:tcW w:w="2126" w:type="dxa"/>
            <w:vMerge w:val="restart"/>
          </w:tcPr>
          <w:p w:rsidR="00884DFC" w:rsidRPr="00BA7B1B" w:rsidRDefault="00884DFC" w:rsidP="00BA7B1B">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Inhalation des émanations des produits/contact cutané avec les produits</w:t>
            </w:r>
          </w:p>
        </w:tc>
        <w:tc>
          <w:tcPr>
            <w:tcW w:w="3827" w:type="dxa"/>
            <w:vAlign w:val="center"/>
          </w:tcPr>
          <w:p w:rsidR="00884DFC" w:rsidRPr="00BA7B1B" w:rsidRDefault="00884DFC" w:rsidP="00BA7B1B">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Informer les travailleurs  sur les risques liés aux produits et les moyens de prévention</w:t>
            </w:r>
          </w:p>
        </w:tc>
        <w:tc>
          <w:tcPr>
            <w:tcW w:w="2665" w:type="dxa"/>
          </w:tcPr>
          <w:p w:rsidR="00884DFC" w:rsidRPr="00BA7B1B" w:rsidRDefault="00884DFC" w:rsidP="00BA7B1B">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Proportions de travailleurs ayant été informés/sensibilisés sur les risques liés aux produits</w:t>
            </w:r>
          </w:p>
        </w:tc>
        <w:tc>
          <w:tcPr>
            <w:tcW w:w="1871" w:type="dxa"/>
          </w:tcPr>
          <w:p w:rsidR="00884DFC" w:rsidRPr="00BA7B1B" w:rsidRDefault="00884DFC" w:rsidP="00BA7B1B">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Fiche d’émargement des personnes informées/sensibilisés</w:t>
            </w:r>
          </w:p>
        </w:tc>
        <w:tc>
          <w:tcPr>
            <w:tcW w:w="2098" w:type="dxa"/>
          </w:tcPr>
          <w:p w:rsidR="00884DFC" w:rsidRPr="00BA7B1B" w:rsidRDefault="00884DFC" w:rsidP="00BA7B1B">
            <w:pPr>
              <w:spacing w:after="0" w:line="240" w:lineRule="auto"/>
              <w:rPr>
                <w:rFonts w:ascii="Times New Roman" w:hAnsi="Times New Roman" w:cs="Times New Roman"/>
                <w:sz w:val="18"/>
                <w:szCs w:val="18"/>
                <w:highlight w:val="yellow"/>
              </w:rPr>
            </w:pPr>
            <w:r w:rsidRPr="00BA7B1B">
              <w:rPr>
                <w:rFonts w:ascii="Times New Roman" w:hAnsi="Times New Roman" w:cs="Times New Roman"/>
                <w:sz w:val="18"/>
                <w:szCs w:val="18"/>
              </w:rPr>
              <w:t>Entreprise chargée des travaux</w:t>
            </w:r>
          </w:p>
        </w:tc>
        <w:tc>
          <w:tcPr>
            <w:tcW w:w="1559" w:type="dxa"/>
          </w:tcPr>
          <w:p w:rsidR="00884DFC" w:rsidRPr="00BA7B1B" w:rsidRDefault="00884DFC" w:rsidP="00BA7B1B">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Organisationnel</w:t>
            </w:r>
          </w:p>
        </w:tc>
      </w:tr>
      <w:tr w:rsidR="00884DFC" w:rsidRPr="00BA7B1B" w:rsidTr="00201A4E">
        <w:trPr>
          <w:trHeight w:val="213"/>
        </w:trPr>
        <w:tc>
          <w:tcPr>
            <w:tcW w:w="1164" w:type="dxa"/>
            <w:vMerge/>
          </w:tcPr>
          <w:p w:rsidR="00884DFC" w:rsidRPr="00BA7B1B" w:rsidRDefault="00884DFC" w:rsidP="00BA7B1B">
            <w:pPr>
              <w:spacing w:after="0" w:line="240" w:lineRule="auto"/>
              <w:rPr>
                <w:rFonts w:ascii="Times New Roman" w:hAnsi="Times New Roman" w:cs="Times New Roman"/>
                <w:sz w:val="18"/>
                <w:szCs w:val="18"/>
              </w:rPr>
            </w:pPr>
          </w:p>
        </w:tc>
        <w:tc>
          <w:tcPr>
            <w:tcW w:w="2126" w:type="dxa"/>
            <w:vMerge/>
          </w:tcPr>
          <w:p w:rsidR="00884DFC" w:rsidRPr="00BA7B1B" w:rsidRDefault="00884DFC" w:rsidP="00BA7B1B">
            <w:pPr>
              <w:spacing w:after="0" w:line="240" w:lineRule="auto"/>
              <w:rPr>
                <w:rFonts w:ascii="Times New Roman" w:hAnsi="Times New Roman" w:cs="Times New Roman"/>
                <w:sz w:val="18"/>
                <w:szCs w:val="18"/>
              </w:rPr>
            </w:pPr>
          </w:p>
        </w:tc>
        <w:tc>
          <w:tcPr>
            <w:tcW w:w="3827" w:type="dxa"/>
            <w:vAlign w:val="center"/>
          </w:tcPr>
          <w:p w:rsidR="00884DFC" w:rsidRPr="00BA7B1B" w:rsidRDefault="00884DFC" w:rsidP="00BA7B1B">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Avoir à disposition la FDS des produits</w:t>
            </w:r>
          </w:p>
        </w:tc>
        <w:tc>
          <w:tcPr>
            <w:tcW w:w="2665" w:type="dxa"/>
          </w:tcPr>
          <w:p w:rsidR="00884DFC" w:rsidRPr="00BA7B1B" w:rsidRDefault="00884DFC" w:rsidP="00BA7B1B">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Nombre de produits dont les FDS sont disponibles</w:t>
            </w:r>
          </w:p>
        </w:tc>
        <w:tc>
          <w:tcPr>
            <w:tcW w:w="1871" w:type="dxa"/>
          </w:tcPr>
          <w:p w:rsidR="00884DFC" w:rsidRPr="00BA7B1B" w:rsidRDefault="00884DFC" w:rsidP="00BA7B1B">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Contrôle visuel</w:t>
            </w:r>
          </w:p>
        </w:tc>
        <w:tc>
          <w:tcPr>
            <w:tcW w:w="2098" w:type="dxa"/>
          </w:tcPr>
          <w:p w:rsidR="00884DFC" w:rsidRPr="00BA7B1B" w:rsidRDefault="00884DFC" w:rsidP="00BA7B1B">
            <w:pPr>
              <w:spacing w:after="0" w:line="240" w:lineRule="auto"/>
              <w:rPr>
                <w:rFonts w:ascii="Times New Roman" w:hAnsi="Times New Roman" w:cs="Times New Roman"/>
                <w:sz w:val="18"/>
                <w:szCs w:val="18"/>
                <w:highlight w:val="yellow"/>
              </w:rPr>
            </w:pPr>
            <w:r w:rsidRPr="00BA7B1B">
              <w:rPr>
                <w:rFonts w:ascii="Times New Roman" w:hAnsi="Times New Roman" w:cs="Times New Roman"/>
                <w:sz w:val="18"/>
                <w:szCs w:val="18"/>
              </w:rPr>
              <w:t>Entreprise chargée des travaux</w:t>
            </w:r>
          </w:p>
        </w:tc>
        <w:tc>
          <w:tcPr>
            <w:tcW w:w="1559" w:type="dxa"/>
          </w:tcPr>
          <w:p w:rsidR="00884DFC" w:rsidRPr="00BA7B1B" w:rsidRDefault="00884DFC" w:rsidP="00BA7B1B">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A demander aux fournisseurs</w:t>
            </w:r>
          </w:p>
        </w:tc>
      </w:tr>
      <w:tr w:rsidR="00884DFC" w:rsidRPr="00BA7B1B" w:rsidTr="00201A4E">
        <w:trPr>
          <w:trHeight w:val="360"/>
        </w:trPr>
        <w:tc>
          <w:tcPr>
            <w:tcW w:w="1164" w:type="dxa"/>
            <w:vMerge/>
          </w:tcPr>
          <w:p w:rsidR="00884DFC" w:rsidRPr="00BA7B1B" w:rsidRDefault="00884DFC" w:rsidP="00BA7B1B">
            <w:pPr>
              <w:spacing w:after="0" w:line="240" w:lineRule="auto"/>
              <w:rPr>
                <w:rFonts w:ascii="Times New Roman" w:hAnsi="Times New Roman" w:cs="Times New Roman"/>
                <w:sz w:val="18"/>
                <w:szCs w:val="18"/>
              </w:rPr>
            </w:pPr>
          </w:p>
        </w:tc>
        <w:tc>
          <w:tcPr>
            <w:tcW w:w="2126" w:type="dxa"/>
            <w:vMerge/>
          </w:tcPr>
          <w:p w:rsidR="00884DFC" w:rsidRPr="00BA7B1B" w:rsidRDefault="00884DFC" w:rsidP="00BA7B1B">
            <w:pPr>
              <w:spacing w:after="0" w:line="240" w:lineRule="auto"/>
              <w:rPr>
                <w:rFonts w:ascii="Times New Roman" w:hAnsi="Times New Roman" w:cs="Times New Roman"/>
                <w:sz w:val="18"/>
                <w:szCs w:val="18"/>
              </w:rPr>
            </w:pPr>
          </w:p>
        </w:tc>
        <w:tc>
          <w:tcPr>
            <w:tcW w:w="3827" w:type="dxa"/>
            <w:vAlign w:val="center"/>
          </w:tcPr>
          <w:p w:rsidR="00884DFC" w:rsidRPr="00BA7B1B" w:rsidRDefault="00884DFC" w:rsidP="00BA7B1B">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Assurer le suivi médical périodique des travailleurs  exposés</w:t>
            </w:r>
          </w:p>
        </w:tc>
        <w:tc>
          <w:tcPr>
            <w:tcW w:w="2665" w:type="dxa"/>
          </w:tcPr>
          <w:p w:rsidR="00884DFC" w:rsidRPr="00BA7B1B" w:rsidRDefault="00884DFC" w:rsidP="00BA7B1B">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Proportion de travailleurs ayant subi une visite médicale</w:t>
            </w:r>
          </w:p>
        </w:tc>
        <w:tc>
          <w:tcPr>
            <w:tcW w:w="1871" w:type="dxa"/>
          </w:tcPr>
          <w:p w:rsidR="00884DFC" w:rsidRPr="00BA7B1B" w:rsidRDefault="00884DFC" w:rsidP="00BA7B1B">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Fiche de suivi médical des travailleurs</w:t>
            </w:r>
          </w:p>
        </w:tc>
        <w:tc>
          <w:tcPr>
            <w:tcW w:w="2098" w:type="dxa"/>
          </w:tcPr>
          <w:p w:rsidR="00884DFC" w:rsidRPr="00BA7B1B" w:rsidRDefault="00884DFC" w:rsidP="00BA7B1B">
            <w:pPr>
              <w:spacing w:after="0" w:line="240" w:lineRule="auto"/>
              <w:rPr>
                <w:rFonts w:ascii="Times New Roman" w:hAnsi="Times New Roman" w:cs="Times New Roman"/>
                <w:sz w:val="18"/>
                <w:szCs w:val="18"/>
              </w:rPr>
            </w:pPr>
          </w:p>
        </w:tc>
        <w:tc>
          <w:tcPr>
            <w:tcW w:w="1559" w:type="dxa"/>
          </w:tcPr>
          <w:p w:rsidR="00884DFC" w:rsidRPr="00BA7B1B" w:rsidRDefault="00884DFC" w:rsidP="00BA7B1B">
            <w:pPr>
              <w:spacing w:after="0" w:line="240" w:lineRule="auto"/>
              <w:rPr>
                <w:rFonts w:ascii="Times New Roman" w:hAnsi="Times New Roman" w:cs="Times New Roman"/>
                <w:sz w:val="18"/>
                <w:szCs w:val="18"/>
              </w:rPr>
            </w:pPr>
          </w:p>
        </w:tc>
      </w:tr>
      <w:tr w:rsidR="00884DFC" w:rsidRPr="00BA7B1B" w:rsidTr="00201A4E">
        <w:trPr>
          <w:trHeight w:val="352"/>
        </w:trPr>
        <w:tc>
          <w:tcPr>
            <w:tcW w:w="1164" w:type="dxa"/>
            <w:vMerge/>
          </w:tcPr>
          <w:p w:rsidR="00884DFC" w:rsidRPr="00BA7B1B" w:rsidRDefault="00884DFC" w:rsidP="00BA7B1B">
            <w:pPr>
              <w:spacing w:after="0" w:line="240" w:lineRule="auto"/>
              <w:rPr>
                <w:rFonts w:ascii="Times New Roman" w:hAnsi="Times New Roman" w:cs="Times New Roman"/>
                <w:sz w:val="18"/>
                <w:szCs w:val="18"/>
              </w:rPr>
            </w:pPr>
          </w:p>
        </w:tc>
        <w:tc>
          <w:tcPr>
            <w:tcW w:w="2126" w:type="dxa"/>
            <w:vMerge/>
          </w:tcPr>
          <w:p w:rsidR="00884DFC" w:rsidRPr="00BA7B1B" w:rsidRDefault="00884DFC" w:rsidP="00BA7B1B">
            <w:pPr>
              <w:spacing w:after="0" w:line="240" w:lineRule="auto"/>
              <w:rPr>
                <w:rFonts w:ascii="Times New Roman" w:hAnsi="Times New Roman" w:cs="Times New Roman"/>
                <w:sz w:val="18"/>
                <w:szCs w:val="18"/>
              </w:rPr>
            </w:pPr>
          </w:p>
        </w:tc>
        <w:tc>
          <w:tcPr>
            <w:tcW w:w="3827" w:type="dxa"/>
            <w:vAlign w:val="center"/>
          </w:tcPr>
          <w:p w:rsidR="00884DFC" w:rsidRPr="00BA7B1B" w:rsidRDefault="00884DFC" w:rsidP="00BA7B1B">
            <w:pPr>
              <w:spacing w:after="0" w:line="240" w:lineRule="auto"/>
              <w:rPr>
                <w:rFonts w:ascii="Times New Roman" w:hAnsi="Times New Roman" w:cs="Times New Roman"/>
                <w:sz w:val="18"/>
                <w:szCs w:val="18"/>
                <w:highlight w:val="yellow"/>
              </w:rPr>
            </w:pPr>
            <w:r w:rsidRPr="00BA7B1B">
              <w:rPr>
                <w:rFonts w:ascii="Times New Roman" w:hAnsi="Times New Roman" w:cs="Times New Roman"/>
                <w:sz w:val="18"/>
                <w:szCs w:val="18"/>
              </w:rPr>
              <w:t>Fournir aux travailleurs des EPI (masque respiratoires  gants, lunettes de protection)</w:t>
            </w:r>
          </w:p>
        </w:tc>
        <w:tc>
          <w:tcPr>
            <w:tcW w:w="2665" w:type="dxa"/>
          </w:tcPr>
          <w:p w:rsidR="00884DFC" w:rsidRPr="00BA7B1B" w:rsidRDefault="00884DFC" w:rsidP="00BA7B1B">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 xml:space="preserve">Proportion de travailleurs portant des EPI </w:t>
            </w:r>
          </w:p>
        </w:tc>
        <w:tc>
          <w:tcPr>
            <w:tcW w:w="1871" w:type="dxa"/>
          </w:tcPr>
          <w:p w:rsidR="00884DFC" w:rsidRPr="00BA7B1B" w:rsidRDefault="00884DFC" w:rsidP="00BA7B1B">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Contrôle visuel</w:t>
            </w:r>
          </w:p>
        </w:tc>
        <w:tc>
          <w:tcPr>
            <w:tcW w:w="2098" w:type="dxa"/>
          </w:tcPr>
          <w:p w:rsidR="00884DFC" w:rsidRPr="00BA7B1B" w:rsidRDefault="00884DFC" w:rsidP="00BA7B1B">
            <w:pPr>
              <w:spacing w:after="0" w:line="240" w:lineRule="auto"/>
              <w:rPr>
                <w:rFonts w:ascii="Times New Roman" w:hAnsi="Times New Roman" w:cs="Times New Roman"/>
                <w:sz w:val="18"/>
                <w:szCs w:val="18"/>
              </w:rPr>
            </w:pPr>
          </w:p>
        </w:tc>
        <w:tc>
          <w:tcPr>
            <w:tcW w:w="1559" w:type="dxa"/>
          </w:tcPr>
          <w:p w:rsidR="00884DFC" w:rsidRPr="00BA7B1B" w:rsidRDefault="00884DFC" w:rsidP="00BA7B1B">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10 000 f/ lunettes,</w:t>
            </w:r>
          </w:p>
          <w:p w:rsidR="00884DFC" w:rsidRPr="00BA7B1B" w:rsidRDefault="00884DFC" w:rsidP="00BA7B1B">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Masque /7000f,</w:t>
            </w:r>
          </w:p>
          <w:p w:rsidR="00884DFC" w:rsidRPr="00BA7B1B" w:rsidRDefault="00884DFC" w:rsidP="00BA7B1B">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Gants/7000F</w:t>
            </w:r>
          </w:p>
        </w:tc>
      </w:tr>
      <w:tr w:rsidR="00884DFC" w:rsidRPr="00BA7B1B" w:rsidTr="00201A4E">
        <w:trPr>
          <w:trHeight w:val="275"/>
        </w:trPr>
        <w:tc>
          <w:tcPr>
            <w:tcW w:w="1164" w:type="dxa"/>
            <w:vMerge w:val="restart"/>
            <w:vAlign w:val="center"/>
          </w:tcPr>
          <w:p w:rsidR="00884DFC" w:rsidRPr="00BA7B1B" w:rsidRDefault="00884DFC" w:rsidP="00201A4E">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 xml:space="preserve">Réalisation des </w:t>
            </w:r>
            <w:r w:rsidR="00201A4E">
              <w:rPr>
                <w:rFonts w:ascii="Times New Roman" w:hAnsi="Times New Roman" w:cs="Times New Roman"/>
                <w:sz w:val="18"/>
                <w:szCs w:val="18"/>
              </w:rPr>
              <w:t>réservoirs</w:t>
            </w:r>
          </w:p>
        </w:tc>
        <w:tc>
          <w:tcPr>
            <w:tcW w:w="2126" w:type="dxa"/>
            <w:vMerge w:val="restart"/>
            <w:vAlign w:val="center"/>
          </w:tcPr>
          <w:p w:rsidR="00884DFC" w:rsidRPr="00BA7B1B" w:rsidRDefault="00884DFC" w:rsidP="00201A4E">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Exposition au risque d’</w:t>
            </w:r>
            <w:r w:rsidR="00201A4E" w:rsidRPr="00BA7B1B">
              <w:rPr>
                <w:rFonts w:ascii="Times New Roman" w:hAnsi="Times New Roman" w:cs="Times New Roman"/>
                <w:sz w:val="18"/>
                <w:szCs w:val="18"/>
              </w:rPr>
              <w:t>e</w:t>
            </w:r>
            <w:r w:rsidR="00201A4E">
              <w:rPr>
                <w:rFonts w:ascii="Times New Roman" w:hAnsi="Times New Roman" w:cs="Times New Roman"/>
                <w:sz w:val="18"/>
                <w:szCs w:val="18"/>
              </w:rPr>
              <w:t>ffondrement des coffrages</w:t>
            </w:r>
            <w:r w:rsidRPr="00BA7B1B">
              <w:rPr>
                <w:rFonts w:ascii="Times New Roman" w:hAnsi="Times New Roman" w:cs="Times New Roman"/>
                <w:sz w:val="18"/>
                <w:szCs w:val="18"/>
              </w:rPr>
              <w:t>,</w:t>
            </w:r>
          </w:p>
          <w:p w:rsidR="00201A4E" w:rsidRDefault="00884DFC" w:rsidP="00201A4E">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 xml:space="preserve">Déplacement de travailleurs à bord </w:t>
            </w:r>
            <w:r w:rsidR="00201A4E">
              <w:rPr>
                <w:rFonts w:ascii="Times New Roman" w:hAnsi="Times New Roman" w:cs="Times New Roman"/>
                <w:sz w:val="18"/>
                <w:szCs w:val="18"/>
              </w:rPr>
              <w:t>des coffrages</w:t>
            </w:r>
          </w:p>
          <w:p w:rsidR="00884DFC" w:rsidRDefault="00884DFC" w:rsidP="00201A4E">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 xml:space="preserve">Présence d’engins à proximité </w:t>
            </w:r>
          </w:p>
          <w:p w:rsidR="00201A4E" w:rsidRPr="00BA7B1B" w:rsidRDefault="00201A4E" w:rsidP="00201A4E">
            <w:pPr>
              <w:spacing w:after="0" w:line="240" w:lineRule="auto"/>
              <w:rPr>
                <w:rFonts w:ascii="Times New Roman" w:hAnsi="Times New Roman" w:cs="Times New Roman"/>
                <w:sz w:val="18"/>
                <w:szCs w:val="18"/>
              </w:rPr>
            </w:pPr>
            <w:r>
              <w:rPr>
                <w:rFonts w:ascii="Times New Roman" w:hAnsi="Times New Roman" w:cs="Times New Roman"/>
                <w:sz w:val="18"/>
                <w:szCs w:val="18"/>
              </w:rPr>
              <w:t>Exposition au risque de lever des charges en hauteur</w:t>
            </w:r>
          </w:p>
        </w:tc>
        <w:tc>
          <w:tcPr>
            <w:tcW w:w="3827" w:type="dxa"/>
          </w:tcPr>
          <w:p w:rsidR="00884DFC" w:rsidRPr="00BA7B1B" w:rsidRDefault="00884DFC" w:rsidP="0088059F">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Poser des</w:t>
            </w:r>
            <w:r w:rsidR="0088059F">
              <w:rPr>
                <w:rFonts w:ascii="Times New Roman" w:hAnsi="Times New Roman" w:cs="Times New Roman"/>
                <w:sz w:val="18"/>
                <w:szCs w:val="18"/>
              </w:rPr>
              <w:t xml:space="preserve"> barrières de sécurité</w:t>
            </w:r>
            <w:r w:rsidRPr="00BA7B1B">
              <w:rPr>
                <w:rFonts w:ascii="Times New Roman" w:hAnsi="Times New Roman" w:cs="Times New Roman"/>
                <w:sz w:val="18"/>
                <w:szCs w:val="18"/>
              </w:rPr>
              <w:t xml:space="preserve"> d’une hauteur suffisante</w:t>
            </w:r>
          </w:p>
        </w:tc>
        <w:tc>
          <w:tcPr>
            <w:tcW w:w="2665" w:type="dxa"/>
          </w:tcPr>
          <w:p w:rsidR="00884DFC" w:rsidRPr="00BA7B1B" w:rsidRDefault="0088059F" w:rsidP="00BA7B1B">
            <w:pPr>
              <w:spacing w:after="0" w:line="240" w:lineRule="auto"/>
              <w:rPr>
                <w:rFonts w:ascii="Times New Roman" w:hAnsi="Times New Roman" w:cs="Times New Roman"/>
                <w:sz w:val="18"/>
                <w:szCs w:val="18"/>
              </w:rPr>
            </w:pPr>
            <w:r>
              <w:rPr>
                <w:rFonts w:ascii="Times New Roman" w:hAnsi="Times New Roman" w:cs="Times New Roman"/>
                <w:sz w:val="18"/>
                <w:szCs w:val="18"/>
              </w:rPr>
              <w:t xml:space="preserve">Sur tout au tout du réservoir </w:t>
            </w:r>
          </w:p>
        </w:tc>
        <w:tc>
          <w:tcPr>
            <w:tcW w:w="1871" w:type="dxa"/>
          </w:tcPr>
          <w:p w:rsidR="00884DFC" w:rsidRPr="00BA7B1B" w:rsidRDefault="00884DFC" w:rsidP="00BA7B1B">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Contrôle visuel</w:t>
            </w:r>
          </w:p>
        </w:tc>
        <w:tc>
          <w:tcPr>
            <w:tcW w:w="2098" w:type="dxa"/>
          </w:tcPr>
          <w:p w:rsidR="00884DFC" w:rsidRPr="00BA7B1B" w:rsidRDefault="00884DFC" w:rsidP="00BA7B1B">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 xml:space="preserve">Entreprise chargée des travaux </w:t>
            </w:r>
          </w:p>
        </w:tc>
        <w:tc>
          <w:tcPr>
            <w:tcW w:w="1559" w:type="dxa"/>
          </w:tcPr>
          <w:p w:rsidR="00884DFC" w:rsidRPr="00BA7B1B" w:rsidRDefault="00884DFC" w:rsidP="00BA7B1B">
            <w:pPr>
              <w:spacing w:after="0" w:line="240" w:lineRule="auto"/>
              <w:rPr>
                <w:rFonts w:ascii="Times New Roman" w:hAnsi="Times New Roman" w:cs="Times New Roman"/>
                <w:sz w:val="18"/>
                <w:szCs w:val="18"/>
              </w:rPr>
            </w:pPr>
          </w:p>
        </w:tc>
      </w:tr>
      <w:tr w:rsidR="00884DFC" w:rsidRPr="00BA7B1B" w:rsidTr="00201A4E">
        <w:trPr>
          <w:trHeight w:val="318"/>
        </w:trPr>
        <w:tc>
          <w:tcPr>
            <w:tcW w:w="1164" w:type="dxa"/>
            <w:vMerge/>
          </w:tcPr>
          <w:p w:rsidR="00884DFC" w:rsidRPr="00BA7B1B" w:rsidRDefault="00884DFC" w:rsidP="00BA7B1B">
            <w:pPr>
              <w:spacing w:after="0" w:line="240" w:lineRule="auto"/>
              <w:rPr>
                <w:rFonts w:ascii="Times New Roman" w:hAnsi="Times New Roman" w:cs="Times New Roman"/>
                <w:sz w:val="18"/>
                <w:szCs w:val="18"/>
              </w:rPr>
            </w:pPr>
          </w:p>
        </w:tc>
        <w:tc>
          <w:tcPr>
            <w:tcW w:w="2126" w:type="dxa"/>
            <w:vMerge/>
          </w:tcPr>
          <w:p w:rsidR="00884DFC" w:rsidRPr="00BA7B1B" w:rsidRDefault="00884DFC" w:rsidP="00BA7B1B">
            <w:pPr>
              <w:spacing w:after="0" w:line="240" w:lineRule="auto"/>
              <w:rPr>
                <w:rFonts w:ascii="Times New Roman" w:hAnsi="Times New Roman" w:cs="Times New Roman"/>
                <w:sz w:val="18"/>
                <w:szCs w:val="18"/>
              </w:rPr>
            </w:pPr>
          </w:p>
        </w:tc>
        <w:tc>
          <w:tcPr>
            <w:tcW w:w="3827" w:type="dxa"/>
          </w:tcPr>
          <w:p w:rsidR="00884DFC" w:rsidRPr="00BA7B1B" w:rsidRDefault="00884DFC" w:rsidP="00BA7B1B">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Eviter le trafic lourd, les machines qui produisent beaucoup de vibrations</w:t>
            </w:r>
          </w:p>
        </w:tc>
        <w:tc>
          <w:tcPr>
            <w:tcW w:w="2665" w:type="dxa"/>
          </w:tcPr>
          <w:p w:rsidR="00884DFC" w:rsidRPr="00BA7B1B" w:rsidRDefault="00884DFC" w:rsidP="00BA7B1B">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 xml:space="preserve">Niveau  de vibrations des machines </w:t>
            </w:r>
          </w:p>
        </w:tc>
        <w:tc>
          <w:tcPr>
            <w:tcW w:w="1871" w:type="dxa"/>
          </w:tcPr>
          <w:p w:rsidR="00884DFC" w:rsidRPr="00BA7B1B" w:rsidRDefault="00884DFC" w:rsidP="00BA7B1B">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Contrôle visuel</w:t>
            </w:r>
          </w:p>
        </w:tc>
        <w:tc>
          <w:tcPr>
            <w:tcW w:w="2098" w:type="dxa"/>
          </w:tcPr>
          <w:p w:rsidR="00884DFC" w:rsidRPr="00BA7B1B" w:rsidRDefault="00884DFC" w:rsidP="00BA7B1B">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 xml:space="preserve">Entreprise chargée des travaux </w:t>
            </w:r>
          </w:p>
        </w:tc>
        <w:tc>
          <w:tcPr>
            <w:tcW w:w="1559" w:type="dxa"/>
          </w:tcPr>
          <w:p w:rsidR="00884DFC" w:rsidRPr="00BA7B1B" w:rsidRDefault="00884DFC" w:rsidP="00BA7B1B">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A intégrer dans les achats des équipements</w:t>
            </w:r>
          </w:p>
        </w:tc>
      </w:tr>
      <w:tr w:rsidR="00884DFC" w:rsidRPr="00BA7B1B" w:rsidTr="00201A4E">
        <w:trPr>
          <w:trHeight w:val="318"/>
        </w:trPr>
        <w:tc>
          <w:tcPr>
            <w:tcW w:w="1164" w:type="dxa"/>
            <w:vMerge/>
          </w:tcPr>
          <w:p w:rsidR="00884DFC" w:rsidRPr="00BA7B1B" w:rsidRDefault="00884DFC" w:rsidP="00BA7B1B">
            <w:pPr>
              <w:spacing w:after="0" w:line="240" w:lineRule="auto"/>
              <w:rPr>
                <w:rFonts w:ascii="Times New Roman" w:hAnsi="Times New Roman" w:cs="Times New Roman"/>
                <w:sz w:val="18"/>
                <w:szCs w:val="18"/>
              </w:rPr>
            </w:pPr>
          </w:p>
        </w:tc>
        <w:tc>
          <w:tcPr>
            <w:tcW w:w="2126" w:type="dxa"/>
            <w:vMerge/>
          </w:tcPr>
          <w:p w:rsidR="00884DFC" w:rsidRPr="00BA7B1B" w:rsidRDefault="00884DFC" w:rsidP="00BA7B1B">
            <w:pPr>
              <w:spacing w:after="0" w:line="240" w:lineRule="auto"/>
              <w:rPr>
                <w:rFonts w:ascii="Times New Roman" w:hAnsi="Times New Roman" w:cs="Times New Roman"/>
                <w:sz w:val="18"/>
                <w:szCs w:val="18"/>
              </w:rPr>
            </w:pPr>
          </w:p>
        </w:tc>
        <w:tc>
          <w:tcPr>
            <w:tcW w:w="3827" w:type="dxa"/>
          </w:tcPr>
          <w:p w:rsidR="00884DFC" w:rsidRPr="00BA7B1B" w:rsidRDefault="00884DFC" w:rsidP="0088059F">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Eviter une pression excessive ou l’accumulation de matéria</w:t>
            </w:r>
            <w:r w:rsidR="0088059F">
              <w:rPr>
                <w:rFonts w:ascii="Times New Roman" w:hAnsi="Times New Roman" w:cs="Times New Roman"/>
                <w:sz w:val="18"/>
                <w:szCs w:val="18"/>
              </w:rPr>
              <w:t>ux ou de matériel en bordure des coffrages</w:t>
            </w:r>
          </w:p>
        </w:tc>
        <w:tc>
          <w:tcPr>
            <w:tcW w:w="2665" w:type="dxa"/>
          </w:tcPr>
          <w:p w:rsidR="00884DFC" w:rsidRPr="00BA7B1B" w:rsidRDefault="00884DFC" w:rsidP="0088059F">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 xml:space="preserve">Absence de matériaux ou de matériel en bordure </w:t>
            </w:r>
          </w:p>
        </w:tc>
        <w:tc>
          <w:tcPr>
            <w:tcW w:w="1871" w:type="dxa"/>
          </w:tcPr>
          <w:p w:rsidR="00884DFC" w:rsidRPr="00BA7B1B" w:rsidRDefault="00884DFC" w:rsidP="00BA7B1B">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Contrôle visuel</w:t>
            </w:r>
          </w:p>
        </w:tc>
        <w:tc>
          <w:tcPr>
            <w:tcW w:w="2098" w:type="dxa"/>
          </w:tcPr>
          <w:p w:rsidR="00884DFC" w:rsidRPr="00BA7B1B" w:rsidRDefault="00884DFC" w:rsidP="00BA7B1B">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 xml:space="preserve">Entreprise chargée des travaux </w:t>
            </w:r>
          </w:p>
        </w:tc>
        <w:tc>
          <w:tcPr>
            <w:tcW w:w="1559" w:type="dxa"/>
          </w:tcPr>
          <w:p w:rsidR="00884DFC" w:rsidRPr="00BA7B1B" w:rsidRDefault="00884DFC" w:rsidP="00BA7B1B">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Organisationnel</w:t>
            </w:r>
          </w:p>
        </w:tc>
      </w:tr>
      <w:tr w:rsidR="00884DFC" w:rsidRPr="00BA7B1B" w:rsidTr="00201A4E">
        <w:trPr>
          <w:trHeight w:val="318"/>
        </w:trPr>
        <w:tc>
          <w:tcPr>
            <w:tcW w:w="1164" w:type="dxa"/>
            <w:vMerge/>
          </w:tcPr>
          <w:p w:rsidR="00884DFC" w:rsidRPr="00BA7B1B" w:rsidRDefault="00884DFC" w:rsidP="00BA7B1B">
            <w:pPr>
              <w:spacing w:after="0" w:line="240" w:lineRule="auto"/>
              <w:rPr>
                <w:rFonts w:ascii="Times New Roman" w:hAnsi="Times New Roman" w:cs="Times New Roman"/>
                <w:sz w:val="18"/>
                <w:szCs w:val="18"/>
              </w:rPr>
            </w:pPr>
          </w:p>
        </w:tc>
        <w:tc>
          <w:tcPr>
            <w:tcW w:w="2126" w:type="dxa"/>
            <w:vMerge/>
          </w:tcPr>
          <w:p w:rsidR="00884DFC" w:rsidRPr="00BA7B1B" w:rsidRDefault="00884DFC" w:rsidP="00BA7B1B">
            <w:pPr>
              <w:spacing w:after="0" w:line="240" w:lineRule="auto"/>
              <w:rPr>
                <w:rFonts w:ascii="Times New Roman" w:hAnsi="Times New Roman" w:cs="Times New Roman"/>
                <w:sz w:val="18"/>
                <w:szCs w:val="18"/>
              </w:rPr>
            </w:pPr>
          </w:p>
        </w:tc>
        <w:tc>
          <w:tcPr>
            <w:tcW w:w="3827" w:type="dxa"/>
          </w:tcPr>
          <w:p w:rsidR="00884DFC" w:rsidRPr="00BA7B1B" w:rsidRDefault="00884DFC" w:rsidP="004408E8">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Prévoir une protec</w:t>
            </w:r>
            <w:r w:rsidR="0088059F">
              <w:rPr>
                <w:rFonts w:ascii="Times New Roman" w:hAnsi="Times New Roman" w:cs="Times New Roman"/>
                <w:sz w:val="18"/>
                <w:szCs w:val="18"/>
              </w:rPr>
              <w:t xml:space="preserve">tion périphérique ou baliser les </w:t>
            </w:r>
            <w:r w:rsidR="004408E8">
              <w:rPr>
                <w:rFonts w:ascii="Times New Roman" w:hAnsi="Times New Roman" w:cs="Times New Roman"/>
                <w:sz w:val="18"/>
                <w:szCs w:val="18"/>
              </w:rPr>
              <w:t xml:space="preserve">zone de lever des charges </w:t>
            </w:r>
          </w:p>
        </w:tc>
        <w:tc>
          <w:tcPr>
            <w:tcW w:w="2665" w:type="dxa"/>
          </w:tcPr>
          <w:p w:rsidR="00884DFC" w:rsidRPr="00BA7B1B" w:rsidRDefault="00884DFC" w:rsidP="00BA7B1B">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 xml:space="preserve">Existence de balise sur les  tranchées </w:t>
            </w:r>
          </w:p>
        </w:tc>
        <w:tc>
          <w:tcPr>
            <w:tcW w:w="1871" w:type="dxa"/>
          </w:tcPr>
          <w:p w:rsidR="00884DFC" w:rsidRPr="00BA7B1B" w:rsidRDefault="00884DFC" w:rsidP="00BA7B1B">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Contrôle visuel</w:t>
            </w:r>
          </w:p>
        </w:tc>
        <w:tc>
          <w:tcPr>
            <w:tcW w:w="2098" w:type="dxa"/>
          </w:tcPr>
          <w:p w:rsidR="00884DFC" w:rsidRPr="00BA7B1B" w:rsidRDefault="00884DFC" w:rsidP="00BA7B1B">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 xml:space="preserve">Entreprise chargée des travaux </w:t>
            </w:r>
          </w:p>
        </w:tc>
        <w:tc>
          <w:tcPr>
            <w:tcW w:w="1559" w:type="dxa"/>
          </w:tcPr>
          <w:p w:rsidR="00884DFC" w:rsidRPr="00BA7B1B" w:rsidRDefault="00884DFC" w:rsidP="00BA7B1B">
            <w:pPr>
              <w:spacing w:after="0" w:line="240" w:lineRule="auto"/>
              <w:rPr>
                <w:rFonts w:ascii="Times New Roman" w:hAnsi="Times New Roman" w:cs="Times New Roman"/>
                <w:sz w:val="18"/>
                <w:szCs w:val="18"/>
              </w:rPr>
            </w:pPr>
          </w:p>
        </w:tc>
      </w:tr>
      <w:tr w:rsidR="00884DFC" w:rsidRPr="00BA7B1B" w:rsidTr="00201A4E">
        <w:trPr>
          <w:trHeight w:val="318"/>
        </w:trPr>
        <w:tc>
          <w:tcPr>
            <w:tcW w:w="1164" w:type="dxa"/>
            <w:vMerge/>
          </w:tcPr>
          <w:p w:rsidR="00884DFC" w:rsidRPr="00BA7B1B" w:rsidRDefault="00884DFC" w:rsidP="00BA7B1B">
            <w:pPr>
              <w:spacing w:after="0" w:line="240" w:lineRule="auto"/>
              <w:rPr>
                <w:rFonts w:ascii="Times New Roman" w:hAnsi="Times New Roman" w:cs="Times New Roman"/>
                <w:sz w:val="18"/>
                <w:szCs w:val="18"/>
              </w:rPr>
            </w:pPr>
          </w:p>
        </w:tc>
        <w:tc>
          <w:tcPr>
            <w:tcW w:w="2126" w:type="dxa"/>
            <w:vMerge/>
          </w:tcPr>
          <w:p w:rsidR="00884DFC" w:rsidRPr="00BA7B1B" w:rsidRDefault="00884DFC" w:rsidP="00BA7B1B">
            <w:pPr>
              <w:spacing w:after="0" w:line="240" w:lineRule="auto"/>
              <w:rPr>
                <w:rFonts w:ascii="Times New Roman" w:hAnsi="Times New Roman" w:cs="Times New Roman"/>
                <w:sz w:val="18"/>
                <w:szCs w:val="18"/>
              </w:rPr>
            </w:pPr>
          </w:p>
        </w:tc>
        <w:tc>
          <w:tcPr>
            <w:tcW w:w="3827" w:type="dxa"/>
          </w:tcPr>
          <w:p w:rsidR="00884DFC" w:rsidRPr="00BA7B1B" w:rsidRDefault="00590E2D" w:rsidP="00BA7B1B">
            <w:pPr>
              <w:spacing w:after="0" w:line="240" w:lineRule="auto"/>
              <w:rPr>
                <w:rFonts w:ascii="Times New Roman" w:hAnsi="Times New Roman" w:cs="Times New Roman"/>
                <w:sz w:val="18"/>
                <w:szCs w:val="18"/>
              </w:rPr>
            </w:pPr>
            <w:r>
              <w:rPr>
                <w:rFonts w:ascii="Times New Roman" w:hAnsi="Times New Roman" w:cs="Times New Roman"/>
                <w:sz w:val="18"/>
                <w:szCs w:val="18"/>
              </w:rPr>
              <w:t>Equiper les ouvrières en EPI adapter au travail de</w:t>
            </w:r>
            <w:r w:rsidR="00793854">
              <w:rPr>
                <w:rFonts w:ascii="Times New Roman" w:hAnsi="Times New Roman" w:cs="Times New Roman"/>
                <w:sz w:val="18"/>
                <w:szCs w:val="18"/>
              </w:rPr>
              <w:t xml:space="preserve"> hauteur</w:t>
            </w:r>
            <w:r>
              <w:rPr>
                <w:rFonts w:ascii="Times New Roman" w:hAnsi="Times New Roman" w:cs="Times New Roman"/>
                <w:sz w:val="18"/>
                <w:szCs w:val="18"/>
              </w:rPr>
              <w:t xml:space="preserve">  </w:t>
            </w:r>
          </w:p>
        </w:tc>
        <w:tc>
          <w:tcPr>
            <w:tcW w:w="2665" w:type="dxa"/>
          </w:tcPr>
          <w:p w:rsidR="00884DFC" w:rsidRPr="00BA7B1B" w:rsidRDefault="00884DFC" w:rsidP="00BA7B1B">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Linéaire de tranchée munis d’accès jusqu’au fond</w:t>
            </w:r>
          </w:p>
        </w:tc>
        <w:tc>
          <w:tcPr>
            <w:tcW w:w="1871" w:type="dxa"/>
          </w:tcPr>
          <w:p w:rsidR="00884DFC" w:rsidRPr="00BA7B1B" w:rsidRDefault="00884DFC" w:rsidP="00BA7B1B">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Contrôle visuel</w:t>
            </w:r>
          </w:p>
        </w:tc>
        <w:tc>
          <w:tcPr>
            <w:tcW w:w="2098" w:type="dxa"/>
          </w:tcPr>
          <w:p w:rsidR="00884DFC" w:rsidRPr="00BA7B1B" w:rsidRDefault="00884DFC" w:rsidP="00BA7B1B">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 xml:space="preserve">Entreprise chargée des travaux </w:t>
            </w:r>
          </w:p>
        </w:tc>
        <w:tc>
          <w:tcPr>
            <w:tcW w:w="1559" w:type="dxa"/>
          </w:tcPr>
          <w:p w:rsidR="00884DFC" w:rsidRPr="00BA7B1B" w:rsidRDefault="00884DFC" w:rsidP="00BA7B1B">
            <w:pPr>
              <w:spacing w:after="0" w:line="240" w:lineRule="auto"/>
              <w:rPr>
                <w:rFonts w:ascii="Times New Roman" w:hAnsi="Times New Roman" w:cs="Times New Roman"/>
                <w:sz w:val="18"/>
                <w:szCs w:val="18"/>
              </w:rPr>
            </w:pPr>
          </w:p>
        </w:tc>
      </w:tr>
      <w:tr w:rsidR="00884DFC" w:rsidRPr="00BA7B1B" w:rsidTr="00201A4E">
        <w:trPr>
          <w:trHeight w:val="318"/>
        </w:trPr>
        <w:tc>
          <w:tcPr>
            <w:tcW w:w="1164" w:type="dxa"/>
            <w:vMerge w:val="restart"/>
          </w:tcPr>
          <w:p w:rsidR="00884DFC" w:rsidRPr="00BA7B1B" w:rsidRDefault="00884DFC" w:rsidP="00BA7B1B">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Travail avec un équipement électrique</w:t>
            </w:r>
          </w:p>
        </w:tc>
        <w:tc>
          <w:tcPr>
            <w:tcW w:w="2126" w:type="dxa"/>
            <w:vMerge w:val="restart"/>
          </w:tcPr>
          <w:p w:rsidR="00884DFC" w:rsidRPr="00BA7B1B" w:rsidRDefault="00884DFC" w:rsidP="00BA7B1B">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Contact avec un équipement électrique sous tension</w:t>
            </w:r>
          </w:p>
        </w:tc>
        <w:tc>
          <w:tcPr>
            <w:tcW w:w="3827" w:type="dxa"/>
          </w:tcPr>
          <w:p w:rsidR="00884DFC" w:rsidRPr="00BA7B1B" w:rsidRDefault="00884DFC" w:rsidP="00BA7B1B">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 xml:space="preserve">Veiller à ce que les équipements électriques soient utilisés par un personnel formé et habilité </w:t>
            </w:r>
          </w:p>
        </w:tc>
        <w:tc>
          <w:tcPr>
            <w:tcW w:w="2665" w:type="dxa"/>
          </w:tcPr>
          <w:p w:rsidR="00884DFC" w:rsidRPr="00BA7B1B" w:rsidRDefault="00884DFC" w:rsidP="00BA7B1B">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Nombre d’électriciens formés et habilités</w:t>
            </w:r>
          </w:p>
        </w:tc>
        <w:tc>
          <w:tcPr>
            <w:tcW w:w="1871" w:type="dxa"/>
          </w:tcPr>
          <w:p w:rsidR="00884DFC" w:rsidRPr="00BA7B1B" w:rsidRDefault="00884DFC" w:rsidP="00BA7B1B">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Attestation de formation</w:t>
            </w:r>
          </w:p>
        </w:tc>
        <w:tc>
          <w:tcPr>
            <w:tcW w:w="2098" w:type="dxa"/>
          </w:tcPr>
          <w:p w:rsidR="00884DFC" w:rsidRPr="00BA7B1B" w:rsidRDefault="00884DFC" w:rsidP="00BA7B1B">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 xml:space="preserve">Entreprise chargée des travaux </w:t>
            </w:r>
          </w:p>
        </w:tc>
        <w:tc>
          <w:tcPr>
            <w:tcW w:w="1559" w:type="dxa"/>
          </w:tcPr>
          <w:p w:rsidR="00884DFC" w:rsidRPr="00BA7B1B" w:rsidRDefault="00884DFC" w:rsidP="00BA7B1B">
            <w:pPr>
              <w:spacing w:after="0" w:line="240" w:lineRule="auto"/>
              <w:rPr>
                <w:rFonts w:ascii="Times New Roman" w:hAnsi="Times New Roman" w:cs="Times New Roman"/>
                <w:sz w:val="18"/>
                <w:szCs w:val="18"/>
              </w:rPr>
            </w:pPr>
          </w:p>
        </w:tc>
      </w:tr>
      <w:tr w:rsidR="00884DFC" w:rsidRPr="00BA7B1B" w:rsidTr="00201A4E">
        <w:trPr>
          <w:trHeight w:val="184"/>
        </w:trPr>
        <w:tc>
          <w:tcPr>
            <w:tcW w:w="1164" w:type="dxa"/>
            <w:vMerge/>
          </w:tcPr>
          <w:p w:rsidR="00884DFC" w:rsidRPr="00BA7B1B" w:rsidRDefault="00884DFC" w:rsidP="00BA7B1B">
            <w:pPr>
              <w:spacing w:after="0" w:line="240" w:lineRule="auto"/>
              <w:rPr>
                <w:rFonts w:ascii="Times New Roman" w:hAnsi="Times New Roman" w:cs="Times New Roman"/>
                <w:sz w:val="18"/>
                <w:szCs w:val="18"/>
              </w:rPr>
            </w:pPr>
          </w:p>
        </w:tc>
        <w:tc>
          <w:tcPr>
            <w:tcW w:w="2126" w:type="dxa"/>
            <w:vMerge/>
          </w:tcPr>
          <w:p w:rsidR="00884DFC" w:rsidRPr="00BA7B1B" w:rsidRDefault="00884DFC" w:rsidP="00BA7B1B">
            <w:pPr>
              <w:spacing w:after="0" w:line="240" w:lineRule="auto"/>
              <w:rPr>
                <w:rFonts w:ascii="Times New Roman" w:hAnsi="Times New Roman" w:cs="Times New Roman"/>
                <w:sz w:val="18"/>
                <w:szCs w:val="18"/>
              </w:rPr>
            </w:pPr>
          </w:p>
        </w:tc>
        <w:tc>
          <w:tcPr>
            <w:tcW w:w="3827" w:type="dxa"/>
          </w:tcPr>
          <w:p w:rsidR="00884DFC" w:rsidRPr="00BA7B1B" w:rsidRDefault="00884DFC" w:rsidP="00BA7B1B">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Fournir aux électriciens  des EPI (vêtements ignifuges avec une résistance aux arcs électriques, casque de sécurité, lunettes de protection, protecteurs auditifs, gants en cuir, chaussures de protection en cuir) et exiger leur port lors des interventions</w:t>
            </w:r>
          </w:p>
        </w:tc>
        <w:tc>
          <w:tcPr>
            <w:tcW w:w="2665" w:type="dxa"/>
          </w:tcPr>
          <w:p w:rsidR="00884DFC" w:rsidRPr="00BA7B1B" w:rsidRDefault="00884DFC" w:rsidP="00BA7B1B">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Nombre d’électriciens portant des EPI adaptés</w:t>
            </w:r>
          </w:p>
        </w:tc>
        <w:tc>
          <w:tcPr>
            <w:tcW w:w="1871" w:type="dxa"/>
          </w:tcPr>
          <w:p w:rsidR="00884DFC" w:rsidRPr="00BA7B1B" w:rsidRDefault="00884DFC" w:rsidP="00BA7B1B">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Contrôle visuel</w:t>
            </w:r>
          </w:p>
        </w:tc>
        <w:tc>
          <w:tcPr>
            <w:tcW w:w="2098" w:type="dxa"/>
          </w:tcPr>
          <w:p w:rsidR="00884DFC" w:rsidRPr="00BA7B1B" w:rsidRDefault="00884DFC" w:rsidP="00BA7B1B">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 xml:space="preserve">Entreprise chargée des travaux </w:t>
            </w:r>
          </w:p>
        </w:tc>
        <w:tc>
          <w:tcPr>
            <w:tcW w:w="1559" w:type="dxa"/>
          </w:tcPr>
          <w:p w:rsidR="00884DFC" w:rsidRPr="00BA7B1B" w:rsidRDefault="00884DFC" w:rsidP="00BA7B1B">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Gants isolants : 20000f ;</w:t>
            </w:r>
          </w:p>
          <w:p w:rsidR="00884DFC" w:rsidRPr="00BA7B1B" w:rsidRDefault="00884DFC" w:rsidP="00BA7B1B">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Chaussures isolantes : 40000f ;</w:t>
            </w:r>
          </w:p>
          <w:p w:rsidR="00884DFC" w:rsidRPr="00BA7B1B" w:rsidRDefault="00884DFC" w:rsidP="00BA7B1B">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Combinaison de travail en coton ignifuge :</w:t>
            </w:r>
          </w:p>
          <w:p w:rsidR="00884DFC" w:rsidRPr="00BA7B1B" w:rsidRDefault="00793854" w:rsidP="00BA7B1B">
            <w:pPr>
              <w:spacing w:after="0" w:line="240" w:lineRule="auto"/>
              <w:rPr>
                <w:rFonts w:ascii="Times New Roman" w:hAnsi="Times New Roman" w:cs="Times New Roman"/>
                <w:sz w:val="18"/>
                <w:szCs w:val="18"/>
              </w:rPr>
            </w:pPr>
            <w:r>
              <w:rPr>
                <w:rFonts w:ascii="Times New Roman" w:hAnsi="Times New Roman" w:cs="Times New Roman"/>
                <w:sz w:val="18"/>
                <w:szCs w:val="18"/>
              </w:rPr>
              <w:t xml:space="preserve"> 30 000f</w:t>
            </w:r>
          </w:p>
        </w:tc>
      </w:tr>
      <w:tr w:rsidR="00884DFC" w:rsidRPr="00BA7B1B" w:rsidTr="00201A4E">
        <w:tc>
          <w:tcPr>
            <w:tcW w:w="1164" w:type="dxa"/>
            <w:vMerge/>
          </w:tcPr>
          <w:p w:rsidR="00884DFC" w:rsidRPr="00BA7B1B" w:rsidRDefault="00884DFC" w:rsidP="00BA7B1B">
            <w:pPr>
              <w:spacing w:after="0" w:line="240" w:lineRule="auto"/>
              <w:rPr>
                <w:rFonts w:ascii="Times New Roman" w:hAnsi="Times New Roman" w:cs="Times New Roman"/>
                <w:sz w:val="18"/>
                <w:szCs w:val="18"/>
              </w:rPr>
            </w:pPr>
          </w:p>
        </w:tc>
        <w:tc>
          <w:tcPr>
            <w:tcW w:w="2126" w:type="dxa"/>
          </w:tcPr>
          <w:p w:rsidR="00884DFC" w:rsidRPr="00BA7B1B" w:rsidRDefault="00884DFC" w:rsidP="00BA7B1B">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 xml:space="preserve">Défaillance de l’équipement </w:t>
            </w:r>
          </w:p>
        </w:tc>
        <w:tc>
          <w:tcPr>
            <w:tcW w:w="3827" w:type="dxa"/>
          </w:tcPr>
          <w:p w:rsidR="00884DFC" w:rsidRPr="00BA7B1B" w:rsidRDefault="00884DFC" w:rsidP="00BA7B1B">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Utiliser des équipements électriques conformes,</w:t>
            </w:r>
          </w:p>
          <w:p w:rsidR="00884DFC" w:rsidRPr="00BA7B1B" w:rsidRDefault="00884DFC" w:rsidP="00BA7B1B">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Assurer la maintenance régulière des équipements,</w:t>
            </w:r>
          </w:p>
          <w:p w:rsidR="00884DFC" w:rsidRPr="00BA7B1B" w:rsidRDefault="00884DFC" w:rsidP="00BA7B1B">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Réparer ou changer les équipements défaillants</w:t>
            </w:r>
          </w:p>
        </w:tc>
        <w:tc>
          <w:tcPr>
            <w:tcW w:w="2665" w:type="dxa"/>
          </w:tcPr>
          <w:p w:rsidR="00884DFC" w:rsidRPr="00BA7B1B" w:rsidRDefault="00884DFC" w:rsidP="00BA7B1B">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Présence d’équipements électriques conformes,</w:t>
            </w:r>
          </w:p>
          <w:p w:rsidR="00884DFC" w:rsidRPr="00BA7B1B" w:rsidRDefault="00884DFC" w:rsidP="00BA7B1B">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Fréquence des maintenances</w:t>
            </w:r>
          </w:p>
        </w:tc>
        <w:tc>
          <w:tcPr>
            <w:tcW w:w="1871" w:type="dxa"/>
          </w:tcPr>
          <w:p w:rsidR="00884DFC" w:rsidRPr="00BA7B1B" w:rsidRDefault="00884DFC" w:rsidP="00BA7B1B">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Fiche techniques des équipements,</w:t>
            </w:r>
          </w:p>
          <w:p w:rsidR="00884DFC" w:rsidRPr="00BA7B1B" w:rsidRDefault="00884DFC" w:rsidP="00BA7B1B">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Carnet d’entretien des équipements</w:t>
            </w:r>
          </w:p>
        </w:tc>
        <w:tc>
          <w:tcPr>
            <w:tcW w:w="2098" w:type="dxa"/>
          </w:tcPr>
          <w:p w:rsidR="00884DFC" w:rsidRPr="00BA7B1B" w:rsidRDefault="00884DFC" w:rsidP="00BA7B1B">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 xml:space="preserve">Entreprise chargée des travaux </w:t>
            </w:r>
          </w:p>
        </w:tc>
        <w:tc>
          <w:tcPr>
            <w:tcW w:w="1559" w:type="dxa"/>
          </w:tcPr>
          <w:p w:rsidR="00884DFC" w:rsidRPr="00BA7B1B" w:rsidRDefault="00884DFC" w:rsidP="00BA7B1B">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A inclure dans le budget de fonctionnement</w:t>
            </w:r>
          </w:p>
        </w:tc>
      </w:tr>
      <w:tr w:rsidR="00884DFC" w:rsidRPr="00BA7B1B" w:rsidTr="00201A4E">
        <w:trPr>
          <w:trHeight w:val="854"/>
        </w:trPr>
        <w:tc>
          <w:tcPr>
            <w:tcW w:w="1164" w:type="dxa"/>
            <w:vMerge w:val="restart"/>
          </w:tcPr>
          <w:p w:rsidR="00884DFC" w:rsidRPr="00BA7B1B" w:rsidRDefault="00884DFC" w:rsidP="00BA7B1B">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lastRenderedPageBreak/>
              <w:t>Manutention mécanique/ Conduite de véhicules sur le chantier</w:t>
            </w:r>
          </w:p>
        </w:tc>
        <w:tc>
          <w:tcPr>
            <w:tcW w:w="2126" w:type="dxa"/>
            <w:vMerge w:val="restart"/>
          </w:tcPr>
          <w:p w:rsidR="00884DFC" w:rsidRPr="00BA7B1B" w:rsidRDefault="00884DFC" w:rsidP="00BA7B1B">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Absence règles de circulation de circulation/piétons circulant sur l’aire de circulation des engins</w:t>
            </w:r>
          </w:p>
        </w:tc>
        <w:tc>
          <w:tcPr>
            <w:tcW w:w="3827" w:type="dxa"/>
          </w:tcPr>
          <w:p w:rsidR="00884DFC" w:rsidRPr="00BA7B1B" w:rsidRDefault="00884DFC" w:rsidP="00BA7B1B">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Mettre en place des règles de circulation, Marquer les voies de circulation des piétons et celles des engins</w:t>
            </w:r>
          </w:p>
          <w:p w:rsidR="00884DFC" w:rsidRPr="00BA7B1B" w:rsidRDefault="00884DFC" w:rsidP="00BA7B1B">
            <w:pPr>
              <w:spacing w:after="0" w:line="240" w:lineRule="auto"/>
              <w:rPr>
                <w:rFonts w:ascii="Times New Roman" w:hAnsi="Times New Roman" w:cs="Times New Roman"/>
                <w:sz w:val="18"/>
                <w:szCs w:val="18"/>
              </w:rPr>
            </w:pPr>
          </w:p>
          <w:p w:rsidR="00884DFC" w:rsidRPr="00BA7B1B" w:rsidRDefault="00884DFC" w:rsidP="00BA7B1B">
            <w:pPr>
              <w:spacing w:after="0" w:line="240" w:lineRule="auto"/>
              <w:rPr>
                <w:rFonts w:ascii="Times New Roman" w:hAnsi="Times New Roman" w:cs="Times New Roman"/>
                <w:sz w:val="18"/>
                <w:szCs w:val="18"/>
              </w:rPr>
            </w:pPr>
          </w:p>
        </w:tc>
        <w:tc>
          <w:tcPr>
            <w:tcW w:w="2665" w:type="dxa"/>
          </w:tcPr>
          <w:p w:rsidR="00884DFC" w:rsidRPr="00BA7B1B" w:rsidRDefault="00884DFC" w:rsidP="00BA7B1B">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Existence de règles de circulation,</w:t>
            </w:r>
          </w:p>
          <w:p w:rsidR="00884DFC" w:rsidRPr="00BA7B1B" w:rsidRDefault="00884DFC" w:rsidP="00BA7B1B">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Matérialisation de la zone de circulation des engins et des piétons</w:t>
            </w:r>
          </w:p>
        </w:tc>
        <w:tc>
          <w:tcPr>
            <w:tcW w:w="1871" w:type="dxa"/>
          </w:tcPr>
          <w:p w:rsidR="00884DFC" w:rsidRPr="00BA7B1B" w:rsidRDefault="00884DFC" w:rsidP="00BA7B1B">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Contrôle visuel</w:t>
            </w:r>
          </w:p>
        </w:tc>
        <w:tc>
          <w:tcPr>
            <w:tcW w:w="2098" w:type="dxa"/>
          </w:tcPr>
          <w:p w:rsidR="00884DFC" w:rsidRPr="00BA7B1B" w:rsidRDefault="00884DFC" w:rsidP="00BA7B1B">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 xml:space="preserve">Entreprise chargée des travaux </w:t>
            </w:r>
          </w:p>
        </w:tc>
        <w:tc>
          <w:tcPr>
            <w:tcW w:w="1559" w:type="dxa"/>
          </w:tcPr>
          <w:p w:rsidR="00884DFC" w:rsidRPr="00BA7B1B" w:rsidRDefault="00884DFC" w:rsidP="00BA7B1B">
            <w:pPr>
              <w:spacing w:after="0" w:line="240" w:lineRule="auto"/>
              <w:rPr>
                <w:rFonts w:ascii="Times New Roman" w:hAnsi="Times New Roman" w:cs="Times New Roman"/>
                <w:sz w:val="18"/>
                <w:szCs w:val="18"/>
              </w:rPr>
            </w:pPr>
          </w:p>
        </w:tc>
      </w:tr>
      <w:tr w:rsidR="00884DFC" w:rsidRPr="00BA7B1B" w:rsidTr="00201A4E">
        <w:tc>
          <w:tcPr>
            <w:tcW w:w="1164" w:type="dxa"/>
            <w:vMerge/>
          </w:tcPr>
          <w:p w:rsidR="00884DFC" w:rsidRPr="00BA7B1B" w:rsidRDefault="00884DFC" w:rsidP="00BA7B1B">
            <w:pPr>
              <w:spacing w:after="0" w:line="240" w:lineRule="auto"/>
              <w:rPr>
                <w:rFonts w:ascii="Times New Roman" w:hAnsi="Times New Roman" w:cs="Times New Roman"/>
                <w:sz w:val="18"/>
                <w:szCs w:val="18"/>
              </w:rPr>
            </w:pPr>
          </w:p>
        </w:tc>
        <w:tc>
          <w:tcPr>
            <w:tcW w:w="2126" w:type="dxa"/>
            <w:vMerge/>
          </w:tcPr>
          <w:p w:rsidR="00884DFC" w:rsidRPr="00BA7B1B" w:rsidRDefault="00884DFC" w:rsidP="00BA7B1B">
            <w:pPr>
              <w:spacing w:after="0" w:line="240" w:lineRule="auto"/>
              <w:rPr>
                <w:rFonts w:ascii="Times New Roman" w:hAnsi="Times New Roman" w:cs="Times New Roman"/>
                <w:sz w:val="18"/>
                <w:szCs w:val="18"/>
              </w:rPr>
            </w:pPr>
          </w:p>
        </w:tc>
        <w:tc>
          <w:tcPr>
            <w:tcW w:w="3827" w:type="dxa"/>
          </w:tcPr>
          <w:p w:rsidR="00884DFC" w:rsidRPr="00BA7B1B" w:rsidRDefault="00884DFC" w:rsidP="00BA7B1B">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 xml:space="preserve">Interdire la circulation des piétons sur les aires de circulation des engins/véhicules </w:t>
            </w:r>
          </w:p>
        </w:tc>
        <w:tc>
          <w:tcPr>
            <w:tcW w:w="2665" w:type="dxa"/>
          </w:tcPr>
          <w:p w:rsidR="00884DFC" w:rsidRPr="00BA7B1B" w:rsidRDefault="00884DFC" w:rsidP="00BA7B1B">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Existence d’affiches indiquant l’interdiction de la circulation des piétons sur les aires de circulation des engins/véhicules</w:t>
            </w:r>
          </w:p>
        </w:tc>
        <w:tc>
          <w:tcPr>
            <w:tcW w:w="1871" w:type="dxa"/>
          </w:tcPr>
          <w:p w:rsidR="00884DFC" w:rsidRPr="00BA7B1B" w:rsidRDefault="00884DFC" w:rsidP="00BA7B1B">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Contrôle visuel</w:t>
            </w:r>
          </w:p>
        </w:tc>
        <w:tc>
          <w:tcPr>
            <w:tcW w:w="2098" w:type="dxa"/>
          </w:tcPr>
          <w:p w:rsidR="00884DFC" w:rsidRPr="00BA7B1B" w:rsidRDefault="00884DFC" w:rsidP="00BA7B1B">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 xml:space="preserve">Entreprise chargée des travaux </w:t>
            </w:r>
          </w:p>
        </w:tc>
        <w:tc>
          <w:tcPr>
            <w:tcW w:w="1559" w:type="dxa"/>
          </w:tcPr>
          <w:p w:rsidR="00884DFC" w:rsidRPr="00BA7B1B" w:rsidRDefault="00884DFC" w:rsidP="00BA7B1B">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25 000F/panneaux</w:t>
            </w:r>
          </w:p>
        </w:tc>
      </w:tr>
      <w:tr w:rsidR="00884DFC" w:rsidRPr="00BA7B1B" w:rsidTr="00201A4E">
        <w:trPr>
          <w:trHeight w:val="419"/>
        </w:trPr>
        <w:tc>
          <w:tcPr>
            <w:tcW w:w="1164" w:type="dxa"/>
            <w:vMerge/>
          </w:tcPr>
          <w:p w:rsidR="00884DFC" w:rsidRPr="00BA7B1B" w:rsidRDefault="00884DFC" w:rsidP="00BA7B1B">
            <w:pPr>
              <w:spacing w:after="0" w:line="240" w:lineRule="auto"/>
              <w:rPr>
                <w:rFonts w:ascii="Times New Roman" w:hAnsi="Times New Roman" w:cs="Times New Roman"/>
                <w:sz w:val="18"/>
                <w:szCs w:val="18"/>
              </w:rPr>
            </w:pPr>
          </w:p>
        </w:tc>
        <w:tc>
          <w:tcPr>
            <w:tcW w:w="2126" w:type="dxa"/>
            <w:vMerge w:val="restart"/>
          </w:tcPr>
          <w:p w:rsidR="00884DFC" w:rsidRPr="00BA7B1B" w:rsidRDefault="00884DFC" w:rsidP="00BA7B1B">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Chute d’objet lors de la manutention mécanique, rupture d’un point d’arrimage de la charge, renversement etc. …</w:t>
            </w:r>
          </w:p>
          <w:p w:rsidR="00884DFC" w:rsidRPr="00BA7B1B" w:rsidRDefault="00884DFC" w:rsidP="00BA7B1B">
            <w:pPr>
              <w:spacing w:after="0" w:line="240" w:lineRule="auto"/>
              <w:rPr>
                <w:rFonts w:ascii="Times New Roman" w:hAnsi="Times New Roman" w:cs="Times New Roman"/>
                <w:sz w:val="18"/>
                <w:szCs w:val="18"/>
              </w:rPr>
            </w:pPr>
          </w:p>
        </w:tc>
        <w:tc>
          <w:tcPr>
            <w:tcW w:w="3827" w:type="dxa"/>
          </w:tcPr>
          <w:p w:rsidR="00884DFC" w:rsidRPr="00BA7B1B" w:rsidRDefault="00884DFC" w:rsidP="00BA7B1B">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Entretenir régulièrement les engi</w:t>
            </w:r>
            <w:r w:rsidR="00201A4E">
              <w:rPr>
                <w:rFonts w:ascii="Times New Roman" w:hAnsi="Times New Roman" w:cs="Times New Roman"/>
                <w:sz w:val="18"/>
                <w:szCs w:val="18"/>
              </w:rPr>
              <w:t>ns et les accessoires de levage</w:t>
            </w:r>
          </w:p>
        </w:tc>
        <w:tc>
          <w:tcPr>
            <w:tcW w:w="2665" w:type="dxa"/>
          </w:tcPr>
          <w:p w:rsidR="00884DFC" w:rsidRPr="00BA7B1B" w:rsidRDefault="00884DFC" w:rsidP="00BA7B1B">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 xml:space="preserve">Fréquence des entretiens </w:t>
            </w:r>
          </w:p>
        </w:tc>
        <w:tc>
          <w:tcPr>
            <w:tcW w:w="1871" w:type="dxa"/>
          </w:tcPr>
          <w:p w:rsidR="00884DFC" w:rsidRPr="00BA7B1B" w:rsidRDefault="00884DFC" w:rsidP="00BA7B1B">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Carnet d’entretiens des équipements</w:t>
            </w:r>
          </w:p>
        </w:tc>
        <w:tc>
          <w:tcPr>
            <w:tcW w:w="2098" w:type="dxa"/>
          </w:tcPr>
          <w:p w:rsidR="00884DFC" w:rsidRPr="00BA7B1B" w:rsidRDefault="00884DFC" w:rsidP="00BA7B1B">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 xml:space="preserve">Entreprise chargée des travaux </w:t>
            </w:r>
          </w:p>
        </w:tc>
        <w:tc>
          <w:tcPr>
            <w:tcW w:w="1559" w:type="dxa"/>
          </w:tcPr>
          <w:p w:rsidR="00884DFC" w:rsidRPr="00BA7B1B" w:rsidRDefault="00884DFC" w:rsidP="00BA7B1B">
            <w:pPr>
              <w:spacing w:after="0" w:line="240" w:lineRule="auto"/>
              <w:rPr>
                <w:rFonts w:ascii="Times New Roman" w:hAnsi="Times New Roman" w:cs="Times New Roman"/>
                <w:sz w:val="18"/>
                <w:szCs w:val="18"/>
              </w:rPr>
            </w:pPr>
          </w:p>
        </w:tc>
      </w:tr>
      <w:tr w:rsidR="00884DFC" w:rsidRPr="00BA7B1B" w:rsidTr="00201A4E">
        <w:trPr>
          <w:trHeight w:val="385"/>
        </w:trPr>
        <w:tc>
          <w:tcPr>
            <w:tcW w:w="1164" w:type="dxa"/>
            <w:vMerge/>
          </w:tcPr>
          <w:p w:rsidR="00884DFC" w:rsidRPr="00BA7B1B" w:rsidRDefault="00884DFC" w:rsidP="00BA7B1B">
            <w:pPr>
              <w:spacing w:after="0" w:line="240" w:lineRule="auto"/>
              <w:rPr>
                <w:rFonts w:ascii="Times New Roman" w:hAnsi="Times New Roman" w:cs="Times New Roman"/>
                <w:sz w:val="18"/>
                <w:szCs w:val="18"/>
              </w:rPr>
            </w:pPr>
          </w:p>
        </w:tc>
        <w:tc>
          <w:tcPr>
            <w:tcW w:w="2126" w:type="dxa"/>
            <w:vMerge/>
          </w:tcPr>
          <w:p w:rsidR="00884DFC" w:rsidRPr="00BA7B1B" w:rsidRDefault="00884DFC" w:rsidP="00BA7B1B">
            <w:pPr>
              <w:spacing w:after="0" w:line="240" w:lineRule="auto"/>
              <w:rPr>
                <w:rFonts w:ascii="Times New Roman" w:hAnsi="Times New Roman" w:cs="Times New Roman"/>
                <w:sz w:val="18"/>
                <w:szCs w:val="18"/>
              </w:rPr>
            </w:pPr>
          </w:p>
        </w:tc>
        <w:tc>
          <w:tcPr>
            <w:tcW w:w="3827" w:type="dxa"/>
          </w:tcPr>
          <w:p w:rsidR="00884DFC" w:rsidRPr="00BA7B1B" w:rsidRDefault="00884DFC" w:rsidP="00BA7B1B">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Former les conducteurs et opérateurs  aux techniques et aux bonnes pratiques de port des charges et d’arrimage</w:t>
            </w:r>
          </w:p>
        </w:tc>
        <w:tc>
          <w:tcPr>
            <w:tcW w:w="2665" w:type="dxa"/>
          </w:tcPr>
          <w:p w:rsidR="00884DFC" w:rsidRPr="00BA7B1B" w:rsidRDefault="00884DFC" w:rsidP="00BA7B1B">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Nombre de conducteurs ayant été formé</w:t>
            </w:r>
          </w:p>
        </w:tc>
        <w:tc>
          <w:tcPr>
            <w:tcW w:w="1871" w:type="dxa"/>
          </w:tcPr>
          <w:p w:rsidR="00884DFC" w:rsidRPr="00BA7B1B" w:rsidRDefault="00884DFC" w:rsidP="00BA7B1B">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Attestation de formation</w:t>
            </w:r>
          </w:p>
        </w:tc>
        <w:tc>
          <w:tcPr>
            <w:tcW w:w="2098" w:type="dxa"/>
          </w:tcPr>
          <w:p w:rsidR="00884DFC" w:rsidRPr="00BA7B1B" w:rsidRDefault="00884DFC" w:rsidP="00BA7B1B">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 xml:space="preserve">Entreprise chargée des travaux </w:t>
            </w:r>
          </w:p>
        </w:tc>
        <w:tc>
          <w:tcPr>
            <w:tcW w:w="1559" w:type="dxa"/>
          </w:tcPr>
          <w:p w:rsidR="00884DFC" w:rsidRPr="00BA7B1B" w:rsidRDefault="00884DFC" w:rsidP="00BA7B1B">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300 000F</w:t>
            </w:r>
          </w:p>
        </w:tc>
      </w:tr>
      <w:tr w:rsidR="00884DFC" w:rsidRPr="00BA7B1B" w:rsidTr="00201A4E">
        <w:trPr>
          <w:trHeight w:val="351"/>
        </w:trPr>
        <w:tc>
          <w:tcPr>
            <w:tcW w:w="1164" w:type="dxa"/>
            <w:vMerge/>
          </w:tcPr>
          <w:p w:rsidR="00884DFC" w:rsidRPr="00BA7B1B" w:rsidRDefault="00884DFC" w:rsidP="00BA7B1B">
            <w:pPr>
              <w:spacing w:after="0" w:line="240" w:lineRule="auto"/>
              <w:rPr>
                <w:rFonts w:ascii="Times New Roman" w:hAnsi="Times New Roman" w:cs="Times New Roman"/>
                <w:sz w:val="18"/>
                <w:szCs w:val="18"/>
              </w:rPr>
            </w:pPr>
          </w:p>
        </w:tc>
        <w:tc>
          <w:tcPr>
            <w:tcW w:w="2126" w:type="dxa"/>
            <w:vMerge/>
          </w:tcPr>
          <w:p w:rsidR="00884DFC" w:rsidRPr="00BA7B1B" w:rsidRDefault="00884DFC" w:rsidP="00BA7B1B">
            <w:pPr>
              <w:spacing w:after="0" w:line="240" w:lineRule="auto"/>
              <w:rPr>
                <w:rFonts w:ascii="Times New Roman" w:hAnsi="Times New Roman" w:cs="Times New Roman"/>
                <w:sz w:val="18"/>
                <w:szCs w:val="18"/>
              </w:rPr>
            </w:pPr>
          </w:p>
        </w:tc>
        <w:tc>
          <w:tcPr>
            <w:tcW w:w="3827" w:type="dxa"/>
          </w:tcPr>
          <w:p w:rsidR="00884DFC" w:rsidRPr="00BA7B1B" w:rsidRDefault="00884DFC" w:rsidP="00BA7B1B">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Vérifier  et  mettre en œuvre les procédures de contrôle permettant de déceler toute détérioration ou défectuosité des accessoires et des engins de levage</w:t>
            </w:r>
          </w:p>
        </w:tc>
        <w:tc>
          <w:tcPr>
            <w:tcW w:w="2665" w:type="dxa"/>
          </w:tcPr>
          <w:p w:rsidR="00884DFC" w:rsidRPr="00BA7B1B" w:rsidRDefault="00884DFC" w:rsidP="00BA7B1B">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Existence de procédures de contrôles des équipements</w:t>
            </w:r>
          </w:p>
        </w:tc>
        <w:tc>
          <w:tcPr>
            <w:tcW w:w="1871" w:type="dxa"/>
          </w:tcPr>
          <w:p w:rsidR="00884DFC" w:rsidRPr="00BA7B1B" w:rsidRDefault="00884DFC" w:rsidP="00BA7B1B">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Fiches de procédures</w:t>
            </w:r>
          </w:p>
        </w:tc>
        <w:tc>
          <w:tcPr>
            <w:tcW w:w="2098" w:type="dxa"/>
          </w:tcPr>
          <w:p w:rsidR="00884DFC" w:rsidRPr="00BA7B1B" w:rsidRDefault="00884DFC" w:rsidP="00BA7B1B">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 xml:space="preserve">Entreprise chargée des travaux </w:t>
            </w:r>
          </w:p>
        </w:tc>
        <w:tc>
          <w:tcPr>
            <w:tcW w:w="1559" w:type="dxa"/>
          </w:tcPr>
          <w:p w:rsidR="00884DFC" w:rsidRPr="00BA7B1B" w:rsidRDefault="00884DFC" w:rsidP="00BA7B1B">
            <w:pPr>
              <w:spacing w:after="0" w:line="240" w:lineRule="auto"/>
              <w:rPr>
                <w:rFonts w:ascii="Times New Roman" w:hAnsi="Times New Roman" w:cs="Times New Roman"/>
                <w:sz w:val="18"/>
                <w:szCs w:val="18"/>
              </w:rPr>
            </w:pPr>
          </w:p>
        </w:tc>
      </w:tr>
      <w:tr w:rsidR="00884DFC" w:rsidRPr="00BA7B1B" w:rsidTr="00201A4E">
        <w:tc>
          <w:tcPr>
            <w:tcW w:w="1164" w:type="dxa"/>
            <w:vMerge/>
          </w:tcPr>
          <w:p w:rsidR="00884DFC" w:rsidRPr="00BA7B1B" w:rsidRDefault="00884DFC" w:rsidP="00BA7B1B">
            <w:pPr>
              <w:spacing w:after="0" w:line="240" w:lineRule="auto"/>
              <w:rPr>
                <w:rFonts w:ascii="Times New Roman" w:hAnsi="Times New Roman" w:cs="Times New Roman"/>
                <w:sz w:val="18"/>
                <w:szCs w:val="18"/>
              </w:rPr>
            </w:pPr>
          </w:p>
        </w:tc>
        <w:tc>
          <w:tcPr>
            <w:tcW w:w="2126" w:type="dxa"/>
          </w:tcPr>
          <w:p w:rsidR="00884DFC" w:rsidRPr="00BA7B1B" w:rsidRDefault="00884DFC" w:rsidP="00BA7B1B">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Utilisation d’engin inadapté pour les travaux</w:t>
            </w:r>
          </w:p>
        </w:tc>
        <w:tc>
          <w:tcPr>
            <w:tcW w:w="3827" w:type="dxa"/>
          </w:tcPr>
          <w:p w:rsidR="00884DFC" w:rsidRPr="00BA7B1B" w:rsidRDefault="00884DFC" w:rsidP="00BA7B1B">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Utiliser des engins conformes et certifiés</w:t>
            </w:r>
          </w:p>
        </w:tc>
        <w:tc>
          <w:tcPr>
            <w:tcW w:w="2665" w:type="dxa"/>
          </w:tcPr>
          <w:p w:rsidR="00884DFC" w:rsidRPr="00BA7B1B" w:rsidRDefault="00884DFC" w:rsidP="00BA7B1B">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Existence d’engins conformes et certifiés</w:t>
            </w:r>
          </w:p>
        </w:tc>
        <w:tc>
          <w:tcPr>
            <w:tcW w:w="1871" w:type="dxa"/>
          </w:tcPr>
          <w:p w:rsidR="00884DFC" w:rsidRPr="00BA7B1B" w:rsidRDefault="00884DFC" w:rsidP="00BA7B1B">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Contrôle visuel Fiche technique des engins</w:t>
            </w:r>
          </w:p>
        </w:tc>
        <w:tc>
          <w:tcPr>
            <w:tcW w:w="2098" w:type="dxa"/>
          </w:tcPr>
          <w:p w:rsidR="00884DFC" w:rsidRPr="00BA7B1B" w:rsidRDefault="00884DFC" w:rsidP="00BA7B1B">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 xml:space="preserve">Entreprise chargée des travaux </w:t>
            </w:r>
          </w:p>
        </w:tc>
        <w:tc>
          <w:tcPr>
            <w:tcW w:w="1559" w:type="dxa"/>
          </w:tcPr>
          <w:p w:rsidR="00884DFC" w:rsidRPr="00BA7B1B" w:rsidRDefault="00884DFC" w:rsidP="00BA7B1B">
            <w:pPr>
              <w:spacing w:after="0" w:line="240" w:lineRule="auto"/>
              <w:rPr>
                <w:rFonts w:ascii="Times New Roman" w:hAnsi="Times New Roman" w:cs="Times New Roman"/>
                <w:sz w:val="18"/>
                <w:szCs w:val="18"/>
              </w:rPr>
            </w:pPr>
          </w:p>
        </w:tc>
      </w:tr>
      <w:tr w:rsidR="00884DFC" w:rsidRPr="00BA7B1B" w:rsidTr="00201A4E">
        <w:tc>
          <w:tcPr>
            <w:tcW w:w="1164" w:type="dxa"/>
            <w:vMerge/>
          </w:tcPr>
          <w:p w:rsidR="00884DFC" w:rsidRPr="00BA7B1B" w:rsidRDefault="00884DFC" w:rsidP="00BA7B1B">
            <w:pPr>
              <w:spacing w:after="0" w:line="240" w:lineRule="auto"/>
              <w:rPr>
                <w:rFonts w:ascii="Times New Roman" w:hAnsi="Times New Roman" w:cs="Times New Roman"/>
                <w:sz w:val="18"/>
                <w:szCs w:val="18"/>
              </w:rPr>
            </w:pPr>
          </w:p>
        </w:tc>
        <w:tc>
          <w:tcPr>
            <w:tcW w:w="2126" w:type="dxa"/>
          </w:tcPr>
          <w:p w:rsidR="00884DFC" w:rsidRPr="00BA7B1B" w:rsidRDefault="00884DFC" w:rsidP="00BA7B1B">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Formation insuffisante des conducteurs, manœuvres dangereuses</w:t>
            </w:r>
          </w:p>
        </w:tc>
        <w:tc>
          <w:tcPr>
            <w:tcW w:w="3827" w:type="dxa"/>
          </w:tcPr>
          <w:p w:rsidR="00884DFC" w:rsidRPr="00BA7B1B" w:rsidRDefault="00884DFC" w:rsidP="00BA7B1B">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Former les conducteurs d’engin,</w:t>
            </w:r>
          </w:p>
          <w:p w:rsidR="00884DFC" w:rsidRPr="00BA7B1B" w:rsidRDefault="00884DFC" w:rsidP="00BA7B1B">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Assister les conducteurs lors des manœuvres dangereuses</w:t>
            </w:r>
          </w:p>
        </w:tc>
        <w:tc>
          <w:tcPr>
            <w:tcW w:w="2665" w:type="dxa"/>
          </w:tcPr>
          <w:p w:rsidR="00884DFC" w:rsidRPr="00BA7B1B" w:rsidRDefault="00884DFC" w:rsidP="00BA7B1B">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Proportion de conducteurs d’engin formés</w:t>
            </w:r>
          </w:p>
        </w:tc>
        <w:tc>
          <w:tcPr>
            <w:tcW w:w="1871" w:type="dxa"/>
          </w:tcPr>
          <w:p w:rsidR="00884DFC" w:rsidRPr="00BA7B1B" w:rsidRDefault="00884DFC" w:rsidP="00BA7B1B">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 xml:space="preserve">Attestation de formation </w:t>
            </w:r>
          </w:p>
        </w:tc>
        <w:tc>
          <w:tcPr>
            <w:tcW w:w="2098" w:type="dxa"/>
          </w:tcPr>
          <w:p w:rsidR="00884DFC" w:rsidRPr="00BA7B1B" w:rsidRDefault="00884DFC" w:rsidP="00BA7B1B">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 xml:space="preserve">Entreprise chargée des travaux </w:t>
            </w:r>
          </w:p>
        </w:tc>
        <w:tc>
          <w:tcPr>
            <w:tcW w:w="1559" w:type="dxa"/>
          </w:tcPr>
          <w:p w:rsidR="00884DFC" w:rsidRPr="00BA7B1B" w:rsidRDefault="00884DFC" w:rsidP="00BA7B1B">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300 000F</w:t>
            </w:r>
          </w:p>
        </w:tc>
      </w:tr>
      <w:tr w:rsidR="00884DFC" w:rsidRPr="00BA7B1B" w:rsidTr="00201A4E">
        <w:tc>
          <w:tcPr>
            <w:tcW w:w="1164" w:type="dxa"/>
            <w:vMerge w:val="restart"/>
          </w:tcPr>
          <w:p w:rsidR="00884DFC" w:rsidRPr="00BA7B1B" w:rsidRDefault="00884DFC" w:rsidP="00BA7B1B">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Travaux en hauteur</w:t>
            </w:r>
          </w:p>
        </w:tc>
        <w:tc>
          <w:tcPr>
            <w:tcW w:w="2126" w:type="dxa"/>
          </w:tcPr>
          <w:p w:rsidR="00884DFC" w:rsidRPr="00BA7B1B" w:rsidRDefault="00884DFC" w:rsidP="00BA7B1B">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 xml:space="preserve">Utilisation d’équipements inadaptés pour les travaux en hauteur </w:t>
            </w:r>
          </w:p>
        </w:tc>
        <w:tc>
          <w:tcPr>
            <w:tcW w:w="3827" w:type="dxa"/>
          </w:tcPr>
          <w:p w:rsidR="00884DFC" w:rsidRPr="00BA7B1B" w:rsidRDefault="00884DFC" w:rsidP="00BA7B1B">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Utiliser des équipements adaptés (échafaudage, plate-forme élévatrice…)  pour les travaux en hauteur</w:t>
            </w:r>
          </w:p>
        </w:tc>
        <w:tc>
          <w:tcPr>
            <w:tcW w:w="2665" w:type="dxa"/>
          </w:tcPr>
          <w:p w:rsidR="00884DFC" w:rsidRPr="00BA7B1B" w:rsidRDefault="00884DFC" w:rsidP="00BA7B1B">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 xml:space="preserve">Présence d’équipements adaptés </w:t>
            </w:r>
          </w:p>
        </w:tc>
        <w:tc>
          <w:tcPr>
            <w:tcW w:w="1871" w:type="dxa"/>
          </w:tcPr>
          <w:p w:rsidR="00884DFC" w:rsidRPr="00BA7B1B" w:rsidRDefault="00884DFC" w:rsidP="00BA7B1B">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Contrôle visuel,</w:t>
            </w:r>
          </w:p>
          <w:p w:rsidR="00884DFC" w:rsidRPr="00BA7B1B" w:rsidRDefault="00884DFC" w:rsidP="00BA7B1B">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Fiche technique des équipements</w:t>
            </w:r>
          </w:p>
        </w:tc>
        <w:tc>
          <w:tcPr>
            <w:tcW w:w="2098" w:type="dxa"/>
          </w:tcPr>
          <w:p w:rsidR="00884DFC" w:rsidRPr="00BA7B1B" w:rsidRDefault="00884DFC" w:rsidP="00BA7B1B">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 xml:space="preserve">Entreprise chargée des travaux </w:t>
            </w:r>
          </w:p>
        </w:tc>
        <w:tc>
          <w:tcPr>
            <w:tcW w:w="1559" w:type="dxa"/>
          </w:tcPr>
          <w:p w:rsidR="00884DFC" w:rsidRPr="00BA7B1B" w:rsidRDefault="00884DFC" w:rsidP="00BA7B1B">
            <w:pPr>
              <w:spacing w:after="0" w:line="240" w:lineRule="auto"/>
              <w:rPr>
                <w:rFonts w:ascii="Times New Roman" w:hAnsi="Times New Roman" w:cs="Times New Roman"/>
                <w:sz w:val="18"/>
                <w:szCs w:val="18"/>
              </w:rPr>
            </w:pPr>
          </w:p>
        </w:tc>
      </w:tr>
      <w:tr w:rsidR="00884DFC" w:rsidRPr="00BA7B1B" w:rsidTr="00201A4E">
        <w:tc>
          <w:tcPr>
            <w:tcW w:w="1164" w:type="dxa"/>
            <w:vMerge/>
          </w:tcPr>
          <w:p w:rsidR="00884DFC" w:rsidRPr="00BA7B1B" w:rsidRDefault="00884DFC" w:rsidP="00BA7B1B">
            <w:pPr>
              <w:spacing w:after="0" w:line="240" w:lineRule="auto"/>
              <w:rPr>
                <w:rFonts w:ascii="Times New Roman" w:hAnsi="Times New Roman" w:cs="Times New Roman"/>
                <w:sz w:val="18"/>
                <w:szCs w:val="18"/>
              </w:rPr>
            </w:pPr>
          </w:p>
        </w:tc>
        <w:tc>
          <w:tcPr>
            <w:tcW w:w="2126" w:type="dxa"/>
          </w:tcPr>
          <w:p w:rsidR="00884DFC" w:rsidRPr="00BA7B1B" w:rsidRDefault="00884DFC" w:rsidP="00BA7B1B">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Absence de vérification des équipements lors des  travaux  en hauteur</w:t>
            </w:r>
          </w:p>
        </w:tc>
        <w:tc>
          <w:tcPr>
            <w:tcW w:w="3827" w:type="dxa"/>
          </w:tcPr>
          <w:p w:rsidR="00884DFC" w:rsidRPr="00BA7B1B" w:rsidRDefault="00884DFC" w:rsidP="00BA7B1B">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 xml:space="preserve">Vérifier les équipements pour les travaux  en hauteur avant utilisation </w:t>
            </w:r>
          </w:p>
        </w:tc>
        <w:tc>
          <w:tcPr>
            <w:tcW w:w="2665" w:type="dxa"/>
          </w:tcPr>
          <w:p w:rsidR="00884DFC" w:rsidRPr="00BA7B1B" w:rsidRDefault="00884DFC" w:rsidP="00BA7B1B">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 xml:space="preserve">Effectivité de la vérification des équipements avant utilisation </w:t>
            </w:r>
          </w:p>
        </w:tc>
        <w:tc>
          <w:tcPr>
            <w:tcW w:w="1871" w:type="dxa"/>
          </w:tcPr>
          <w:p w:rsidR="00884DFC" w:rsidRPr="00BA7B1B" w:rsidRDefault="00884DFC" w:rsidP="00BA7B1B">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Entretien avec les utilisateurs</w:t>
            </w:r>
          </w:p>
        </w:tc>
        <w:tc>
          <w:tcPr>
            <w:tcW w:w="2098" w:type="dxa"/>
          </w:tcPr>
          <w:p w:rsidR="00884DFC" w:rsidRPr="00BA7B1B" w:rsidRDefault="00884DFC" w:rsidP="00BA7B1B">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 xml:space="preserve">Entreprise chargée des travaux </w:t>
            </w:r>
          </w:p>
        </w:tc>
        <w:tc>
          <w:tcPr>
            <w:tcW w:w="1559" w:type="dxa"/>
          </w:tcPr>
          <w:p w:rsidR="00884DFC" w:rsidRPr="00BA7B1B" w:rsidRDefault="00884DFC" w:rsidP="00BA7B1B">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 xml:space="preserve">Organisationnel </w:t>
            </w:r>
          </w:p>
        </w:tc>
      </w:tr>
      <w:tr w:rsidR="00793854" w:rsidRPr="00BA7B1B" w:rsidTr="00C821BE">
        <w:tc>
          <w:tcPr>
            <w:tcW w:w="15310" w:type="dxa"/>
            <w:gridSpan w:val="7"/>
          </w:tcPr>
          <w:p w:rsidR="00793854" w:rsidRPr="00BA7B1B" w:rsidRDefault="00793854" w:rsidP="00C821BE">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Phase exploitation</w:t>
            </w:r>
          </w:p>
        </w:tc>
      </w:tr>
      <w:tr w:rsidR="00A27CE1" w:rsidRPr="00BA7B1B" w:rsidTr="00A27CE1">
        <w:tc>
          <w:tcPr>
            <w:tcW w:w="1164" w:type="dxa"/>
            <w:vMerge w:val="restart"/>
          </w:tcPr>
          <w:p w:rsidR="00A27CE1" w:rsidRPr="00BA7B1B" w:rsidRDefault="00A27CE1" w:rsidP="00A27CE1">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 xml:space="preserve">Entretien/maintenance des </w:t>
            </w:r>
            <w:r>
              <w:rPr>
                <w:rFonts w:ascii="Times New Roman" w:hAnsi="Times New Roman" w:cs="Times New Roman"/>
                <w:sz w:val="18"/>
                <w:szCs w:val="18"/>
              </w:rPr>
              <w:t>réservoirs</w:t>
            </w:r>
          </w:p>
        </w:tc>
        <w:tc>
          <w:tcPr>
            <w:tcW w:w="2126" w:type="dxa"/>
            <w:vAlign w:val="center"/>
          </w:tcPr>
          <w:p w:rsidR="00A27CE1" w:rsidRDefault="00A27CE1" w:rsidP="00A27CE1">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Travaux en hauteur</w:t>
            </w:r>
            <w:r>
              <w:rPr>
                <w:rFonts w:ascii="Times New Roman" w:hAnsi="Times New Roman" w:cs="Times New Roman"/>
                <w:sz w:val="18"/>
                <w:szCs w:val="18"/>
              </w:rPr>
              <w:t xml:space="preserve"> et au sol</w:t>
            </w:r>
          </w:p>
          <w:p w:rsidR="00A27CE1" w:rsidRDefault="00A27CE1" w:rsidP="00A27CE1">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 xml:space="preserve">Utilisation d’équipements </w:t>
            </w:r>
            <w:r>
              <w:rPr>
                <w:rFonts w:ascii="Times New Roman" w:hAnsi="Times New Roman" w:cs="Times New Roman"/>
                <w:sz w:val="18"/>
                <w:szCs w:val="18"/>
              </w:rPr>
              <w:t xml:space="preserve">et de produit </w:t>
            </w:r>
            <w:r w:rsidRPr="00BA7B1B">
              <w:rPr>
                <w:rFonts w:ascii="Times New Roman" w:hAnsi="Times New Roman" w:cs="Times New Roman"/>
                <w:sz w:val="18"/>
                <w:szCs w:val="18"/>
              </w:rPr>
              <w:t>inadaptés</w:t>
            </w:r>
          </w:p>
          <w:p w:rsidR="00A27CE1" w:rsidRPr="00BA7B1B" w:rsidRDefault="00A27CE1" w:rsidP="00A27CE1">
            <w:pPr>
              <w:spacing w:after="0" w:line="240" w:lineRule="auto"/>
              <w:rPr>
                <w:rFonts w:ascii="Times New Roman" w:hAnsi="Times New Roman" w:cs="Times New Roman"/>
                <w:sz w:val="18"/>
                <w:szCs w:val="18"/>
              </w:rPr>
            </w:pPr>
          </w:p>
        </w:tc>
        <w:tc>
          <w:tcPr>
            <w:tcW w:w="3827" w:type="dxa"/>
          </w:tcPr>
          <w:p w:rsidR="00A27CE1" w:rsidRDefault="00A27CE1" w:rsidP="00A27CE1">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Utiliser des équipements adaptés pour les travaux en hauteur</w:t>
            </w:r>
          </w:p>
          <w:p w:rsidR="00A27CE1" w:rsidRDefault="00A27CE1" w:rsidP="00A27CE1">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Vérifier les équipements pour les travaux en hauteur avant utilisation</w:t>
            </w:r>
          </w:p>
          <w:p w:rsidR="00A27CE1" w:rsidRPr="00BA7B1B" w:rsidRDefault="00A27CE1" w:rsidP="00A27CE1">
            <w:pPr>
              <w:spacing w:after="0" w:line="240" w:lineRule="auto"/>
              <w:rPr>
                <w:rFonts w:ascii="Times New Roman" w:hAnsi="Times New Roman" w:cs="Times New Roman"/>
                <w:sz w:val="18"/>
                <w:szCs w:val="18"/>
              </w:rPr>
            </w:pPr>
            <w:r>
              <w:rPr>
                <w:rFonts w:ascii="Times New Roman" w:hAnsi="Times New Roman" w:cs="Times New Roman"/>
                <w:sz w:val="18"/>
                <w:szCs w:val="18"/>
              </w:rPr>
              <w:t>Former et sensibiliser les personnels chargés de la maintenance et de l’entretien</w:t>
            </w:r>
          </w:p>
        </w:tc>
        <w:tc>
          <w:tcPr>
            <w:tcW w:w="2665" w:type="dxa"/>
          </w:tcPr>
          <w:p w:rsidR="00A27CE1" w:rsidRPr="002F13A7" w:rsidRDefault="00A27CE1" w:rsidP="00A27CE1">
            <w:pPr>
              <w:spacing w:after="0" w:line="240" w:lineRule="auto"/>
              <w:rPr>
                <w:rFonts w:ascii="Times New Roman" w:hAnsi="Times New Roman" w:cs="Times New Roman"/>
                <w:sz w:val="18"/>
                <w:szCs w:val="18"/>
              </w:rPr>
            </w:pPr>
            <w:r w:rsidRPr="002F13A7">
              <w:rPr>
                <w:rFonts w:ascii="Times New Roman" w:hAnsi="Times New Roman" w:cs="Times New Roman"/>
                <w:sz w:val="18"/>
                <w:szCs w:val="18"/>
              </w:rPr>
              <w:t xml:space="preserve">Présence d’équipements adaptés </w:t>
            </w:r>
          </w:p>
          <w:p w:rsidR="00A27CE1" w:rsidRDefault="00A27CE1" w:rsidP="00A27CE1">
            <w:pPr>
              <w:spacing w:after="0" w:line="240" w:lineRule="auto"/>
              <w:rPr>
                <w:rFonts w:ascii="Times New Roman" w:hAnsi="Times New Roman" w:cs="Times New Roman"/>
                <w:sz w:val="18"/>
                <w:szCs w:val="18"/>
              </w:rPr>
            </w:pPr>
            <w:r w:rsidRPr="002F13A7">
              <w:rPr>
                <w:rFonts w:ascii="Times New Roman" w:hAnsi="Times New Roman" w:cs="Times New Roman"/>
                <w:sz w:val="18"/>
                <w:szCs w:val="18"/>
              </w:rPr>
              <w:t>Effectivité de la vérification des équipements avant utilisation</w:t>
            </w:r>
          </w:p>
          <w:p w:rsidR="00A27CE1" w:rsidRPr="00BA7B1B" w:rsidRDefault="00A27CE1" w:rsidP="00A27CE1">
            <w:pPr>
              <w:spacing w:after="0" w:line="240" w:lineRule="auto"/>
              <w:rPr>
                <w:rFonts w:ascii="Times New Roman" w:hAnsi="Times New Roman" w:cs="Times New Roman"/>
                <w:sz w:val="18"/>
                <w:szCs w:val="18"/>
              </w:rPr>
            </w:pPr>
            <w:r>
              <w:rPr>
                <w:rFonts w:ascii="Times New Roman" w:hAnsi="Times New Roman" w:cs="Times New Roman"/>
                <w:sz w:val="18"/>
                <w:szCs w:val="18"/>
              </w:rPr>
              <w:t>Nombre du personnel formé</w:t>
            </w:r>
          </w:p>
        </w:tc>
        <w:tc>
          <w:tcPr>
            <w:tcW w:w="1871" w:type="dxa"/>
          </w:tcPr>
          <w:p w:rsidR="00A27CE1" w:rsidRPr="00BA7B1B" w:rsidRDefault="00A27CE1" w:rsidP="00A27CE1">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Contrôle visuel,</w:t>
            </w:r>
          </w:p>
          <w:p w:rsidR="00A27CE1" w:rsidRDefault="00A27CE1" w:rsidP="00A27CE1">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 xml:space="preserve">Fiche technique des équipements </w:t>
            </w:r>
          </w:p>
          <w:p w:rsidR="00A27CE1" w:rsidRDefault="00A27CE1" w:rsidP="00A27CE1">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Entretien avec les utilisateurs</w:t>
            </w:r>
          </w:p>
          <w:p w:rsidR="00A27CE1" w:rsidRPr="00BA7B1B" w:rsidRDefault="00A27CE1" w:rsidP="00A27CE1">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Attestation de formation</w:t>
            </w:r>
          </w:p>
        </w:tc>
        <w:tc>
          <w:tcPr>
            <w:tcW w:w="2098" w:type="dxa"/>
          </w:tcPr>
          <w:p w:rsidR="00A27CE1" w:rsidRPr="00BA7B1B" w:rsidRDefault="00A27CE1" w:rsidP="00A27CE1">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Exploitant</w:t>
            </w:r>
          </w:p>
        </w:tc>
        <w:tc>
          <w:tcPr>
            <w:tcW w:w="1559" w:type="dxa"/>
          </w:tcPr>
          <w:p w:rsidR="00A27CE1" w:rsidRPr="00BA7B1B" w:rsidRDefault="00A27CE1" w:rsidP="00A27CE1">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Organisationnel</w:t>
            </w:r>
          </w:p>
        </w:tc>
      </w:tr>
      <w:tr w:rsidR="00A27CE1" w:rsidRPr="00BA7B1B" w:rsidTr="00201A4E">
        <w:tc>
          <w:tcPr>
            <w:tcW w:w="1164" w:type="dxa"/>
            <w:vMerge/>
          </w:tcPr>
          <w:p w:rsidR="00A27CE1" w:rsidRPr="00BA7B1B" w:rsidRDefault="00A27CE1" w:rsidP="00A27CE1">
            <w:pPr>
              <w:spacing w:after="0" w:line="240" w:lineRule="auto"/>
              <w:rPr>
                <w:rFonts w:ascii="Times New Roman" w:hAnsi="Times New Roman" w:cs="Times New Roman"/>
                <w:sz w:val="18"/>
                <w:szCs w:val="18"/>
              </w:rPr>
            </w:pPr>
          </w:p>
        </w:tc>
        <w:tc>
          <w:tcPr>
            <w:tcW w:w="2126" w:type="dxa"/>
          </w:tcPr>
          <w:p w:rsidR="00A27CE1" w:rsidRPr="00BA7B1B" w:rsidRDefault="00A27CE1" w:rsidP="00A27CE1">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Défaillance de l’équipement</w:t>
            </w:r>
          </w:p>
        </w:tc>
        <w:tc>
          <w:tcPr>
            <w:tcW w:w="3827" w:type="dxa"/>
          </w:tcPr>
          <w:p w:rsidR="00A27CE1" w:rsidRPr="00BA7B1B" w:rsidRDefault="00A27CE1" w:rsidP="00A27CE1">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Utiliser des équipements conformes,</w:t>
            </w:r>
          </w:p>
          <w:p w:rsidR="00A27CE1" w:rsidRPr="00BA7B1B" w:rsidRDefault="00A27CE1" w:rsidP="00A27CE1">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Assurer la maintenance régulière des équipements,</w:t>
            </w:r>
          </w:p>
          <w:p w:rsidR="00A27CE1" w:rsidRPr="00BA7B1B" w:rsidRDefault="00A27CE1" w:rsidP="00A27CE1">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Réparer ou changer les équipements défaillants</w:t>
            </w:r>
          </w:p>
        </w:tc>
        <w:tc>
          <w:tcPr>
            <w:tcW w:w="2665" w:type="dxa"/>
          </w:tcPr>
          <w:p w:rsidR="00A27CE1" w:rsidRPr="00BA7B1B" w:rsidRDefault="00A27CE1" w:rsidP="00A27CE1">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Présence d’équipements conformes,</w:t>
            </w:r>
          </w:p>
          <w:p w:rsidR="00A27CE1" w:rsidRPr="00BA7B1B" w:rsidRDefault="00A27CE1" w:rsidP="00A27CE1">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Fréquence des maintenances</w:t>
            </w:r>
          </w:p>
        </w:tc>
        <w:tc>
          <w:tcPr>
            <w:tcW w:w="1871" w:type="dxa"/>
          </w:tcPr>
          <w:p w:rsidR="00A27CE1" w:rsidRPr="00BA7B1B" w:rsidRDefault="00A27CE1" w:rsidP="00A27CE1">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Fiche techniques des équipements,</w:t>
            </w:r>
          </w:p>
          <w:p w:rsidR="00A27CE1" w:rsidRPr="00BA7B1B" w:rsidRDefault="00A27CE1" w:rsidP="00A27CE1">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Carnet d’entretien des équipements</w:t>
            </w:r>
          </w:p>
        </w:tc>
        <w:tc>
          <w:tcPr>
            <w:tcW w:w="2098" w:type="dxa"/>
          </w:tcPr>
          <w:p w:rsidR="00A27CE1" w:rsidRPr="00BA7B1B" w:rsidRDefault="00A27CE1" w:rsidP="00A27CE1">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Exploitant</w:t>
            </w:r>
          </w:p>
        </w:tc>
        <w:tc>
          <w:tcPr>
            <w:tcW w:w="1559" w:type="dxa"/>
          </w:tcPr>
          <w:p w:rsidR="00A27CE1" w:rsidRPr="00BA7B1B" w:rsidRDefault="00A27CE1" w:rsidP="00A27CE1">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A inclure dans le budget de fonctionnement</w:t>
            </w:r>
          </w:p>
        </w:tc>
      </w:tr>
      <w:tr w:rsidR="00A27CE1" w:rsidRPr="00BA7B1B" w:rsidTr="00C821BE">
        <w:tc>
          <w:tcPr>
            <w:tcW w:w="1164" w:type="dxa"/>
            <w:vMerge w:val="restart"/>
          </w:tcPr>
          <w:p w:rsidR="00A27CE1" w:rsidRPr="00BA7B1B" w:rsidRDefault="00A27CE1" w:rsidP="00A27CE1">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lastRenderedPageBreak/>
              <w:t>Entretien/maintenance des installations électriques</w:t>
            </w:r>
          </w:p>
        </w:tc>
        <w:tc>
          <w:tcPr>
            <w:tcW w:w="2126" w:type="dxa"/>
            <w:vMerge w:val="restart"/>
          </w:tcPr>
          <w:p w:rsidR="00A27CE1" w:rsidRPr="00BA7B1B" w:rsidRDefault="00A27CE1" w:rsidP="00A27CE1">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Travaux en hauteur</w:t>
            </w:r>
          </w:p>
        </w:tc>
        <w:tc>
          <w:tcPr>
            <w:tcW w:w="3827" w:type="dxa"/>
            <w:vAlign w:val="center"/>
          </w:tcPr>
          <w:p w:rsidR="00A27CE1" w:rsidRPr="00BA7B1B" w:rsidRDefault="00A27CE1" w:rsidP="00A27CE1">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Former les intervenants sur les travaux en hauteur</w:t>
            </w:r>
          </w:p>
        </w:tc>
        <w:tc>
          <w:tcPr>
            <w:tcW w:w="2665" w:type="dxa"/>
          </w:tcPr>
          <w:p w:rsidR="00A27CE1" w:rsidRPr="00BA7B1B" w:rsidRDefault="00A27CE1" w:rsidP="00A27CE1">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Proportion de travailleurs ayant été formée sur les travaux en hauteur</w:t>
            </w:r>
          </w:p>
        </w:tc>
        <w:tc>
          <w:tcPr>
            <w:tcW w:w="1871" w:type="dxa"/>
          </w:tcPr>
          <w:p w:rsidR="00A27CE1" w:rsidRPr="00BA7B1B" w:rsidRDefault="00A27CE1" w:rsidP="00A27CE1">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Attestation de formation</w:t>
            </w:r>
          </w:p>
        </w:tc>
        <w:tc>
          <w:tcPr>
            <w:tcW w:w="2098" w:type="dxa"/>
          </w:tcPr>
          <w:p w:rsidR="00A27CE1" w:rsidRPr="00BA7B1B" w:rsidRDefault="00A27CE1" w:rsidP="00A27CE1">
            <w:pPr>
              <w:spacing w:after="0" w:line="240" w:lineRule="auto"/>
              <w:rPr>
                <w:rFonts w:ascii="Times New Roman" w:hAnsi="Times New Roman" w:cs="Times New Roman"/>
                <w:sz w:val="18"/>
                <w:szCs w:val="18"/>
              </w:rPr>
            </w:pPr>
          </w:p>
          <w:p w:rsidR="00A27CE1" w:rsidRPr="00BA7B1B" w:rsidRDefault="00A27CE1" w:rsidP="00A27CE1">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Exploitant</w:t>
            </w:r>
          </w:p>
        </w:tc>
        <w:tc>
          <w:tcPr>
            <w:tcW w:w="1559" w:type="dxa"/>
          </w:tcPr>
          <w:p w:rsidR="00A27CE1" w:rsidRPr="00BA7B1B" w:rsidRDefault="00A27CE1" w:rsidP="00A27CE1">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300 000F par module de formation</w:t>
            </w:r>
          </w:p>
        </w:tc>
      </w:tr>
      <w:tr w:rsidR="00A27CE1" w:rsidRPr="00BA7B1B" w:rsidTr="00A27CE1">
        <w:trPr>
          <w:trHeight w:val="1205"/>
        </w:trPr>
        <w:tc>
          <w:tcPr>
            <w:tcW w:w="1164" w:type="dxa"/>
            <w:vMerge/>
          </w:tcPr>
          <w:p w:rsidR="00A27CE1" w:rsidRPr="00BA7B1B" w:rsidRDefault="00A27CE1" w:rsidP="00A27CE1">
            <w:pPr>
              <w:spacing w:after="0" w:line="240" w:lineRule="auto"/>
              <w:rPr>
                <w:rFonts w:ascii="Times New Roman" w:hAnsi="Times New Roman" w:cs="Times New Roman"/>
                <w:sz w:val="18"/>
                <w:szCs w:val="18"/>
              </w:rPr>
            </w:pPr>
          </w:p>
        </w:tc>
        <w:tc>
          <w:tcPr>
            <w:tcW w:w="2126" w:type="dxa"/>
            <w:vMerge/>
          </w:tcPr>
          <w:p w:rsidR="00A27CE1" w:rsidRPr="00BA7B1B" w:rsidRDefault="00A27CE1" w:rsidP="00A27CE1">
            <w:pPr>
              <w:spacing w:after="0" w:line="240" w:lineRule="auto"/>
              <w:rPr>
                <w:rFonts w:ascii="Times New Roman" w:hAnsi="Times New Roman" w:cs="Times New Roman"/>
                <w:sz w:val="18"/>
                <w:szCs w:val="18"/>
              </w:rPr>
            </w:pPr>
          </w:p>
        </w:tc>
        <w:tc>
          <w:tcPr>
            <w:tcW w:w="3827" w:type="dxa"/>
            <w:vAlign w:val="center"/>
          </w:tcPr>
          <w:p w:rsidR="00A27CE1" w:rsidRPr="00BA7B1B" w:rsidRDefault="00A27CE1" w:rsidP="00A27CE1">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Utiliser des équipements adaptés (grimpettes, échelles à crochets, plateforme de travail)</w:t>
            </w:r>
          </w:p>
        </w:tc>
        <w:tc>
          <w:tcPr>
            <w:tcW w:w="2665" w:type="dxa"/>
          </w:tcPr>
          <w:p w:rsidR="00A27CE1" w:rsidRPr="00BA7B1B" w:rsidRDefault="00A27CE1" w:rsidP="00A27CE1">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 xml:space="preserve">Existence d’équipements adaptés </w:t>
            </w:r>
          </w:p>
        </w:tc>
        <w:tc>
          <w:tcPr>
            <w:tcW w:w="1871" w:type="dxa"/>
          </w:tcPr>
          <w:p w:rsidR="00A27CE1" w:rsidRPr="00BA7B1B" w:rsidRDefault="00A27CE1" w:rsidP="00A27CE1">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Contrôle visuel</w:t>
            </w:r>
          </w:p>
        </w:tc>
        <w:tc>
          <w:tcPr>
            <w:tcW w:w="2098" w:type="dxa"/>
          </w:tcPr>
          <w:p w:rsidR="00A27CE1" w:rsidRPr="00BA7B1B" w:rsidRDefault="00A27CE1" w:rsidP="00A27CE1">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Exploitant</w:t>
            </w:r>
          </w:p>
        </w:tc>
        <w:tc>
          <w:tcPr>
            <w:tcW w:w="1559" w:type="dxa"/>
          </w:tcPr>
          <w:p w:rsidR="00A27CE1" w:rsidRPr="00BA7B1B" w:rsidRDefault="00A27CE1" w:rsidP="00A27CE1">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Grimpette : 70 000 f ;</w:t>
            </w:r>
          </w:p>
          <w:p w:rsidR="00A27CE1" w:rsidRPr="00BA7B1B" w:rsidRDefault="00A27CE1" w:rsidP="00A27CE1">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Echelle à crochets : 110 000f ;</w:t>
            </w:r>
          </w:p>
          <w:p w:rsidR="00A27CE1" w:rsidRPr="00BA7B1B" w:rsidRDefault="00A27CE1" w:rsidP="00A27CE1">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 xml:space="preserve">Plate-forme de travail : 300 000f </w:t>
            </w:r>
          </w:p>
        </w:tc>
      </w:tr>
      <w:tr w:rsidR="00A27CE1" w:rsidRPr="00BA7B1B" w:rsidTr="00C821BE">
        <w:tc>
          <w:tcPr>
            <w:tcW w:w="1164" w:type="dxa"/>
            <w:vMerge/>
          </w:tcPr>
          <w:p w:rsidR="00A27CE1" w:rsidRPr="00BA7B1B" w:rsidRDefault="00A27CE1" w:rsidP="00A27CE1">
            <w:pPr>
              <w:spacing w:after="0" w:line="240" w:lineRule="auto"/>
              <w:rPr>
                <w:rFonts w:ascii="Times New Roman" w:hAnsi="Times New Roman" w:cs="Times New Roman"/>
                <w:sz w:val="18"/>
                <w:szCs w:val="18"/>
              </w:rPr>
            </w:pPr>
          </w:p>
        </w:tc>
        <w:tc>
          <w:tcPr>
            <w:tcW w:w="2126" w:type="dxa"/>
            <w:vMerge/>
          </w:tcPr>
          <w:p w:rsidR="00A27CE1" w:rsidRPr="00BA7B1B" w:rsidRDefault="00A27CE1" w:rsidP="00A27CE1">
            <w:pPr>
              <w:spacing w:after="0" w:line="240" w:lineRule="auto"/>
              <w:rPr>
                <w:rFonts w:ascii="Times New Roman" w:hAnsi="Times New Roman" w:cs="Times New Roman"/>
                <w:sz w:val="18"/>
                <w:szCs w:val="18"/>
              </w:rPr>
            </w:pPr>
          </w:p>
        </w:tc>
        <w:tc>
          <w:tcPr>
            <w:tcW w:w="3827" w:type="dxa"/>
            <w:vAlign w:val="center"/>
          </w:tcPr>
          <w:p w:rsidR="00A27CE1" w:rsidRPr="00BA7B1B" w:rsidRDefault="00A27CE1" w:rsidP="00A27CE1">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Mettre  en place une procédure d’intervention (premiers secours en cas d’accident</w:t>
            </w:r>
          </w:p>
        </w:tc>
        <w:tc>
          <w:tcPr>
            <w:tcW w:w="2665" w:type="dxa"/>
          </w:tcPr>
          <w:p w:rsidR="00A27CE1" w:rsidRPr="00BA7B1B" w:rsidRDefault="00A27CE1" w:rsidP="00A27CE1">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Existence de trousse de premiers secours</w:t>
            </w:r>
          </w:p>
        </w:tc>
        <w:tc>
          <w:tcPr>
            <w:tcW w:w="1871" w:type="dxa"/>
          </w:tcPr>
          <w:p w:rsidR="00A27CE1" w:rsidRPr="00BA7B1B" w:rsidRDefault="00A27CE1" w:rsidP="00A27CE1">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Contrôle visuel</w:t>
            </w:r>
          </w:p>
        </w:tc>
        <w:tc>
          <w:tcPr>
            <w:tcW w:w="2098" w:type="dxa"/>
          </w:tcPr>
          <w:p w:rsidR="00A27CE1" w:rsidRPr="00BA7B1B" w:rsidRDefault="00A27CE1" w:rsidP="00A27CE1">
            <w:pPr>
              <w:spacing w:after="0" w:line="240" w:lineRule="auto"/>
              <w:rPr>
                <w:rFonts w:ascii="Times New Roman" w:hAnsi="Times New Roman" w:cs="Times New Roman"/>
                <w:sz w:val="18"/>
                <w:szCs w:val="18"/>
              </w:rPr>
            </w:pPr>
          </w:p>
          <w:p w:rsidR="00A27CE1" w:rsidRPr="00BA7B1B" w:rsidRDefault="00A27CE1" w:rsidP="00A27CE1">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Exploitant</w:t>
            </w:r>
          </w:p>
        </w:tc>
        <w:tc>
          <w:tcPr>
            <w:tcW w:w="1559" w:type="dxa"/>
          </w:tcPr>
          <w:p w:rsidR="00A27CE1" w:rsidRPr="00BA7B1B" w:rsidRDefault="00A27CE1" w:rsidP="00A27CE1">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100  000/trousse</w:t>
            </w:r>
          </w:p>
        </w:tc>
      </w:tr>
      <w:tr w:rsidR="00A27CE1" w:rsidRPr="00BA7B1B" w:rsidTr="00C821BE">
        <w:tc>
          <w:tcPr>
            <w:tcW w:w="1164" w:type="dxa"/>
            <w:vMerge/>
          </w:tcPr>
          <w:p w:rsidR="00A27CE1" w:rsidRPr="00BA7B1B" w:rsidRDefault="00A27CE1" w:rsidP="00A27CE1">
            <w:pPr>
              <w:spacing w:after="0" w:line="240" w:lineRule="auto"/>
              <w:rPr>
                <w:rFonts w:ascii="Times New Roman" w:hAnsi="Times New Roman" w:cs="Times New Roman"/>
                <w:sz w:val="18"/>
                <w:szCs w:val="18"/>
              </w:rPr>
            </w:pPr>
          </w:p>
        </w:tc>
        <w:tc>
          <w:tcPr>
            <w:tcW w:w="2126" w:type="dxa"/>
            <w:vMerge/>
          </w:tcPr>
          <w:p w:rsidR="00A27CE1" w:rsidRPr="00BA7B1B" w:rsidRDefault="00A27CE1" w:rsidP="00A27CE1">
            <w:pPr>
              <w:spacing w:after="0" w:line="240" w:lineRule="auto"/>
              <w:rPr>
                <w:rFonts w:ascii="Times New Roman" w:hAnsi="Times New Roman" w:cs="Times New Roman"/>
                <w:sz w:val="18"/>
                <w:szCs w:val="18"/>
              </w:rPr>
            </w:pPr>
          </w:p>
        </w:tc>
        <w:tc>
          <w:tcPr>
            <w:tcW w:w="3827" w:type="dxa"/>
            <w:vAlign w:val="center"/>
          </w:tcPr>
          <w:p w:rsidR="00A27CE1" w:rsidRPr="00BA7B1B" w:rsidRDefault="00A27CE1" w:rsidP="00A27CE1">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Porter des EPI (casque, harnais de sécurité)</w:t>
            </w:r>
          </w:p>
        </w:tc>
        <w:tc>
          <w:tcPr>
            <w:tcW w:w="2665" w:type="dxa"/>
          </w:tcPr>
          <w:p w:rsidR="00A27CE1" w:rsidRPr="00BA7B1B" w:rsidRDefault="00A27CE1" w:rsidP="00A27CE1">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Proportion de travailleurs portant des EPI</w:t>
            </w:r>
          </w:p>
        </w:tc>
        <w:tc>
          <w:tcPr>
            <w:tcW w:w="1871" w:type="dxa"/>
          </w:tcPr>
          <w:p w:rsidR="00A27CE1" w:rsidRPr="00BA7B1B" w:rsidRDefault="00A27CE1" w:rsidP="00A27CE1">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Contrôle visuel</w:t>
            </w:r>
          </w:p>
        </w:tc>
        <w:tc>
          <w:tcPr>
            <w:tcW w:w="2098" w:type="dxa"/>
          </w:tcPr>
          <w:p w:rsidR="00A27CE1" w:rsidRPr="00BA7B1B" w:rsidRDefault="00A27CE1" w:rsidP="00A27CE1">
            <w:pPr>
              <w:spacing w:after="0" w:line="240" w:lineRule="auto"/>
              <w:rPr>
                <w:rFonts w:ascii="Times New Roman" w:hAnsi="Times New Roman" w:cs="Times New Roman"/>
                <w:sz w:val="18"/>
                <w:szCs w:val="18"/>
              </w:rPr>
            </w:pPr>
          </w:p>
          <w:p w:rsidR="00A27CE1" w:rsidRPr="00BA7B1B" w:rsidRDefault="00A27CE1" w:rsidP="00A27CE1">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Exploitant</w:t>
            </w:r>
          </w:p>
        </w:tc>
        <w:tc>
          <w:tcPr>
            <w:tcW w:w="1559" w:type="dxa"/>
          </w:tcPr>
          <w:p w:rsidR="00A27CE1" w:rsidRPr="00BA7B1B" w:rsidRDefault="00A27CE1" w:rsidP="00A27CE1">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10000/Casque de protection </w:t>
            </w:r>
          </w:p>
          <w:p w:rsidR="00A27CE1" w:rsidRPr="00BA7B1B" w:rsidRDefault="00A27CE1" w:rsidP="00A27CE1">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20000/harnais de sécurité</w:t>
            </w:r>
          </w:p>
        </w:tc>
      </w:tr>
      <w:tr w:rsidR="00A27CE1" w:rsidRPr="00BA7B1B" w:rsidTr="00C821BE">
        <w:tc>
          <w:tcPr>
            <w:tcW w:w="1164" w:type="dxa"/>
            <w:vMerge/>
          </w:tcPr>
          <w:p w:rsidR="00A27CE1" w:rsidRPr="00BA7B1B" w:rsidRDefault="00A27CE1" w:rsidP="00A27CE1">
            <w:pPr>
              <w:spacing w:after="0" w:line="240" w:lineRule="auto"/>
              <w:rPr>
                <w:rFonts w:ascii="Times New Roman" w:hAnsi="Times New Roman" w:cs="Times New Roman"/>
                <w:sz w:val="18"/>
                <w:szCs w:val="18"/>
              </w:rPr>
            </w:pPr>
          </w:p>
        </w:tc>
        <w:tc>
          <w:tcPr>
            <w:tcW w:w="2126" w:type="dxa"/>
            <w:vMerge w:val="restart"/>
          </w:tcPr>
          <w:p w:rsidR="00A27CE1" w:rsidRPr="00BA7B1B" w:rsidRDefault="00A27CE1" w:rsidP="00A27CE1">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Contact avec pièce/équipement sous tension</w:t>
            </w:r>
          </w:p>
        </w:tc>
        <w:tc>
          <w:tcPr>
            <w:tcW w:w="3827" w:type="dxa"/>
            <w:vAlign w:val="center"/>
          </w:tcPr>
          <w:p w:rsidR="00A27CE1" w:rsidRPr="00BA7B1B" w:rsidRDefault="00A27CE1" w:rsidP="00A27CE1">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Veiller à la formation et à l’habilitation  électrique des opérateurs</w:t>
            </w:r>
          </w:p>
        </w:tc>
        <w:tc>
          <w:tcPr>
            <w:tcW w:w="2665" w:type="dxa"/>
          </w:tcPr>
          <w:p w:rsidR="00A27CE1" w:rsidRPr="00BA7B1B" w:rsidRDefault="00A27CE1" w:rsidP="00A27CE1">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Proportion de travailleurs ayant été formé et habilité</w:t>
            </w:r>
          </w:p>
        </w:tc>
        <w:tc>
          <w:tcPr>
            <w:tcW w:w="1871" w:type="dxa"/>
          </w:tcPr>
          <w:p w:rsidR="00A27CE1" w:rsidRPr="00BA7B1B" w:rsidRDefault="00A27CE1" w:rsidP="00A27CE1">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Attestation de formation et habilitation électrique</w:t>
            </w:r>
          </w:p>
        </w:tc>
        <w:tc>
          <w:tcPr>
            <w:tcW w:w="2098" w:type="dxa"/>
          </w:tcPr>
          <w:p w:rsidR="00A27CE1" w:rsidRPr="00BA7B1B" w:rsidRDefault="00A27CE1" w:rsidP="00A27CE1">
            <w:pPr>
              <w:spacing w:after="0" w:line="240" w:lineRule="auto"/>
              <w:rPr>
                <w:rFonts w:ascii="Times New Roman" w:hAnsi="Times New Roman" w:cs="Times New Roman"/>
                <w:sz w:val="18"/>
                <w:szCs w:val="18"/>
              </w:rPr>
            </w:pPr>
          </w:p>
          <w:p w:rsidR="00A27CE1" w:rsidRPr="00BA7B1B" w:rsidRDefault="00A27CE1" w:rsidP="00A27CE1">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Exploitant</w:t>
            </w:r>
          </w:p>
        </w:tc>
        <w:tc>
          <w:tcPr>
            <w:tcW w:w="1559" w:type="dxa"/>
          </w:tcPr>
          <w:p w:rsidR="00A27CE1" w:rsidRPr="00BA7B1B" w:rsidRDefault="00A27CE1" w:rsidP="00A27CE1">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300 000F/module de formation</w:t>
            </w:r>
          </w:p>
        </w:tc>
      </w:tr>
      <w:tr w:rsidR="00A27CE1" w:rsidRPr="00BA7B1B" w:rsidTr="00C821BE">
        <w:tc>
          <w:tcPr>
            <w:tcW w:w="1164" w:type="dxa"/>
            <w:vMerge/>
          </w:tcPr>
          <w:p w:rsidR="00A27CE1" w:rsidRPr="00BA7B1B" w:rsidRDefault="00A27CE1" w:rsidP="00A27CE1">
            <w:pPr>
              <w:spacing w:after="0" w:line="240" w:lineRule="auto"/>
              <w:rPr>
                <w:rFonts w:ascii="Times New Roman" w:hAnsi="Times New Roman" w:cs="Times New Roman"/>
                <w:sz w:val="18"/>
                <w:szCs w:val="18"/>
              </w:rPr>
            </w:pPr>
          </w:p>
        </w:tc>
        <w:tc>
          <w:tcPr>
            <w:tcW w:w="2126" w:type="dxa"/>
            <w:vMerge/>
          </w:tcPr>
          <w:p w:rsidR="00A27CE1" w:rsidRPr="00BA7B1B" w:rsidRDefault="00A27CE1" w:rsidP="00A27CE1">
            <w:pPr>
              <w:spacing w:after="0" w:line="240" w:lineRule="auto"/>
              <w:rPr>
                <w:rFonts w:ascii="Times New Roman" w:hAnsi="Times New Roman" w:cs="Times New Roman"/>
                <w:sz w:val="18"/>
                <w:szCs w:val="18"/>
              </w:rPr>
            </w:pPr>
          </w:p>
        </w:tc>
        <w:tc>
          <w:tcPr>
            <w:tcW w:w="3827" w:type="dxa"/>
            <w:vAlign w:val="center"/>
          </w:tcPr>
          <w:p w:rsidR="00A27CE1" w:rsidRPr="00BA7B1B" w:rsidRDefault="00A27CE1" w:rsidP="00A27CE1">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Mettre en place des consignes de sécurité</w:t>
            </w:r>
          </w:p>
        </w:tc>
        <w:tc>
          <w:tcPr>
            <w:tcW w:w="2665" w:type="dxa"/>
          </w:tcPr>
          <w:p w:rsidR="00A27CE1" w:rsidRPr="00BA7B1B" w:rsidRDefault="00A27CE1" w:rsidP="00A27CE1">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Existence de consignes de sécurité</w:t>
            </w:r>
          </w:p>
        </w:tc>
        <w:tc>
          <w:tcPr>
            <w:tcW w:w="1871" w:type="dxa"/>
          </w:tcPr>
          <w:p w:rsidR="00A27CE1" w:rsidRPr="00BA7B1B" w:rsidRDefault="00A27CE1" w:rsidP="00A27CE1">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Contrôle visuel</w:t>
            </w:r>
          </w:p>
        </w:tc>
        <w:tc>
          <w:tcPr>
            <w:tcW w:w="2098" w:type="dxa"/>
          </w:tcPr>
          <w:p w:rsidR="00A27CE1" w:rsidRPr="00BA7B1B" w:rsidRDefault="00A27CE1" w:rsidP="00A27CE1">
            <w:pPr>
              <w:spacing w:after="0" w:line="240" w:lineRule="auto"/>
              <w:rPr>
                <w:rFonts w:ascii="Times New Roman" w:hAnsi="Times New Roman" w:cs="Times New Roman"/>
                <w:sz w:val="18"/>
                <w:szCs w:val="18"/>
              </w:rPr>
            </w:pPr>
          </w:p>
          <w:p w:rsidR="00A27CE1" w:rsidRPr="00BA7B1B" w:rsidRDefault="00A27CE1" w:rsidP="00A27CE1">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Exploitant</w:t>
            </w:r>
          </w:p>
        </w:tc>
        <w:tc>
          <w:tcPr>
            <w:tcW w:w="1559" w:type="dxa"/>
          </w:tcPr>
          <w:p w:rsidR="00A27CE1" w:rsidRPr="00BA7B1B" w:rsidRDefault="00A27CE1" w:rsidP="00A27CE1">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25 000F/panneau</w:t>
            </w:r>
          </w:p>
        </w:tc>
      </w:tr>
      <w:tr w:rsidR="00A27CE1" w:rsidRPr="00BA7B1B" w:rsidTr="00C821BE">
        <w:tc>
          <w:tcPr>
            <w:tcW w:w="1164" w:type="dxa"/>
            <w:vMerge/>
          </w:tcPr>
          <w:p w:rsidR="00A27CE1" w:rsidRPr="00BA7B1B" w:rsidRDefault="00A27CE1" w:rsidP="00A27CE1">
            <w:pPr>
              <w:spacing w:after="0" w:line="240" w:lineRule="auto"/>
              <w:rPr>
                <w:rFonts w:ascii="Times New Roman" w:hAnsi="Times New Roman" w:cs="Times New Roman"/>
                <w:sz w:val="18"/>
                <w:szCs w:val="18"/>
              </w:rPr>
            </w:pPr>
          </w:p>
        </w:tc>
        <w:tc>
          <w:tcPr>
            <w:tcW w:w="2126" w:type="dxa"/>
            <w:vMerge/>
          </w:tcPr>
          <w:p w:rsidR="00A27CE1" w:rsidRPr="00BA7B1B" w:rsidRDefault="00A27CE1" w:rsidP="00A27CE1">
            <w:pPr>
              <w:spacing w:after="0" w:line="240" w:lineRule="auto"/>
              <w:rPr>
                <w:rFonts w:ascii="Times New Roman" w:hAnsi="Times New Roman" w:cs="Times New Roman"/>
                <w:sz w:val="18"/>
                <w:szCs w:val="18"/>
              </w:rPr>
            </w:pPr>
          </w:p>
        </w:tc>
        <w:tc>
          <w:tcPr>
            <w:tcW w:w="3827" w:type="dxa"/>
            <w:vAlign w:val="center"/>
          </w:tcPr>
          <w:p w:rsidR="00A27CE1" w:rsidRPr="00BA7B1B" w:rsidRDefault="00A27CE1" w:rsidP="00A27CE1">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Doter le personnel d’EPI (gants isolants, chaussures ou bottes isolantes de sécurité, combinaison de travail en coton ignifugé ou en matériau similaire, écran facial anti-UV) et exiger leur utilisation</w:t>
            </w:r>
          </w:p>
        </w:tc>
        <w:tc>
          <w:tcPr>
            <w:tcW w:w="2665" w:type="dxa"/>
          </w:tcPr>
          <w:p w:rsidR="00A27CE1" w:rsidRPr="00BA7B1B" w:rsidRDefault="00A27CE1" w:rsidP="00A27CE1">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Proportion de travailleurs portant des EPI</w:t>
            </w:r>
          </w:p>
        </w:tc>
        <w:tc>
          <w:tcPr>
            <w:tcW w:w="1871" w:type="dxa"/>
          </w:tcPr>
          <w:p w:rsidR="00A27CE1" w:rsidRPr="00BA7B1B" w:rsidRDefault="00A27CE1" w:rsidP="00A27CE1">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Contrôle visuel</w:t>
            </w:r>
          </w:p>
        </w:tc>
        <w:tc>
          <w:tcPr>
            <w:tcW w:w="2098" w:type="dxa"/>
          </w:tcPr>
          <w:p w:rsidR="00A27CE1" w:rsidRPr="00BA7B1B" w:rsidRDefault="00A27CE1" w:rsidP="00A27CE1">
            <w:pPr>
              <w:spacing w:after="0" w:line="240" w:lineRule="auto"/>
              <w:rPr>
                <w:rFonts w:ascii="Times New Roman" w:hAnsi="Times New Roman" w:cs="Times New Roman"/>
                <w:sz w:val="18"/>
                <w:szCs w:val="18"/>
              </w:rPr>
            </w:pPr>
          </w:p>
          <w:p w:rsidR="00A27CE1" w:rsidRPr="00BA7B1B" w:rsidRDefault="00A27CE1" w:rsidP="00A27CE1">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Exploitant</w:t>
            </w:r>
          </w:p>
        </w:tc>
        <w:tc>
          <w:tcPr>
            <w:tcW w:w="1559" w:type="dxa"/>
          </w:tcPr>
          <w:p w:rsidR="00A27CE1" w:rsidRPr="00BA7B1B" w:rsidRDefault="00A27CE1" w:rsidP="00A27CE1">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Gants isolants : 20000f ;</w:t>
            </w:r>
          </w:p>
          <w:p w:rsidR="00A27CE1" w:rsidRPr="00BA7B1B" w:rsidRDefault="00A27CE1" w:rsidP="00A27CE1">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Chaussures isolantes : 40000f ;</w:t>
            </w:r>
          </w:p>
          <w:p w:rsidR="00A27CE1" w:rsidRPr="00BA7B1B" w:rsidRDefault="00A27CE1" w:rsidP="00A27CE1">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Combinaison de travail en coton ignifuge :</w:t>
            </w:r>
          </w:p>
          <w:p w:rsidR="00A27CE1" w:rsidRPr="00BA7B1B" w:rsidRDefault="00A27CE1" w:rsidP="00A27CE1">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 xml:space="preserve"> 30 000f</w:t>
            </w:r>
          </w:p>
        </w:tc>
      </w:tr>
    </w:tbl>
    <w:p w:rsidR="00884DFC" w:rsidRPr="00367753" w:rsidRDefault="00884DFC" w:rsidP="00884DFC">
      <w:pPr>
        <w:rPr>
          <w:rFonts w:ascii="Times New Roman" w:hAnsi="Times New Roman"/>
        </w:rPr>
        <w:sectPr w:rsidR="00884DFC" w:rsidRPr="00367753" w:rsidSect="00884DFC">
          <w:pgSz w:w="16840" w:h="11900" w:orient="landscape"/>
          <w:pgMar w:top="1417" w:right="1417" w:bottom="1417" w:left="1417" w:header="708" w:footer="708" w:gutter="0"/>
          <w:cols w:space="708"/>
          <w:docGrid w:linePitch="360"/>
        </w:sectPr>
      </w:pPr>
    </w:p>
    <w:p w:rsidR="00764FFF" w:rsidRPr="000C12E5" w:rsidRDefault="00764FFF" w:rsidP="000C12E5">
      <w:pPr>
        <w:keepNext/>
        <w:keepLines/>
        <w:pBdr>
          <w:top w:val="outset" w:sz="12" w:space="1" w:color="auto"/>
          <w:left w:val="outset" w:sz="12" w:space="4" w:color="auto"/>
          <w:bottom w:val="outset" w:sz="12" w:space="1" w:color="auto"/>
          <w:right w:val="outset" w:sz="12" w:space="4" w:color="auto"/>
        </w:pBdr>
        <w:shd w:val="clear" w:color="auto" w:fill="F2F2F2" w:themeFill="background1" w:themeFillShade="F2"/>
        <w:spacing w:after="0" w:line="240" w:lineRule="auto"/>
        <w:ind w:left="-1417" w:right="567" w:firstLine="283"/>
        <w:jc w:val="center"/>
        <w:outlineLvl w:val="0"/>
        <w:rPr>
          <w:rFonts w:ascii="Times New Roman" w:eastAsia="Calibri" w:hAnsi="Times New Roman" w:cs="Times New Roman"/>
          <w:b/>
          <w:sz w:val="32"/>
          <w:szCs w:val="32"/>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id="458" w:name="_Toc515981152"/>
      <w:bookmarkStart w:id="459" w:name="_Toc535408361"/>
      <w:bookmarkStart w:id="460" w:name="_Toc11158373"/>
      <w:bookmarkStart w:id="461" w:name="_Toc51072595"/>
      <w:r w:rsidRPr="000C12E5">
        <w:rPr>
          <w:rFonts w:ascii="Times New Roman" w:eastAsia="Calibri" w:hAnsi="Times New Roman" w:cs="Times New Roman"/>
          <w:b/>
          <w:sz w:val="32"/>
          <w:szCs w:val="32"/>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8 * PLAN DE GESTION ENVIRONNEMENTALE ET SOCIALE *</w:t>
      </w:r>
      <w:bookmarkEnd w:id="458"/>
      <w:bookmarkEnd w:id="459"/>
      <w:bookmarkEnd w:id="460"/>
      <w:bookmarkEnd w:id="461"/>
    </w:p>
    <w:p w:rsidR="00764FFF" w:rsidRPr="00D335A7" w:rsidRDefault="00764FFF" w:rsidP="00976673">
      <w:pPr>
        <w:spacing w:before="240" w:after="0" w:line="240" w:lineRule="auto"/>
        <w:ind w:left="-142" w:right="-141"/>
        <w:jc w:val="both"/>
        <w:rPr>
          <w:rFonts w:ascii="Times New Roman" w:hAnsi="Times New Roman"/>
          <w:iCs/>
          <w:sz w:val="24"/>
          <w:szCs w:val="24"/>
        </w:rPr>
      </w:pPr>
      <w:r w:rsidRPr="00D335A7">
        <w:rPr>
          <w:rFonts w:ascii="Times New Roman" w:hAnsi="Times New Roman"/>
          <w:iCs/>
          <w:sz w:val="24"/>
          <w:szCs w:val="24"/>
        </w:rPr>
        <w:t>Le plan de gestion environnementale vise à assurer la réalisation correcte, et dans les délais prévus, de toutes les mesures d’atténuation des impacts négatifs et la bonification des impacts positifs.</w:t>
      </w:r>
    </w:p>
    <w:p w:rsidR="00764FFF" w:rsidRPr="00D335A7" w:rsidRDefault="00764FFF" w:rsidP="00976673">
      <w:pPr>
        <w:spacing w:after="0" w:line="240" w:lineRule="auto"/>
        <w:ind w:left="-142" w:right="-141"/>
        <w:jc w:val="both"/>
        <w:rPr>
          <w:rFonts w:ascii="Times New Roman" w:hAnsi="Times New Roman"/>
          <w:iCs/>
          <w:sz w:val="24"/>
          <w:szCs w:val="24"/>
        </w:rPr>
      </w:pPr>
      <w:r w:rsidRPr="00D335A7">
        <w:rPr>
          <w:rFonts w:ascii="Times New Roman" w:hAnsi="Times New Roman"/>
          <w:iCs/>
          <w:sz w:val="24"/>
          <w:szCs w:val="24"/>
        </w:rPr>
        <w:t>Les objectifs du PGES sont entre autres de :</w:t>
      </w:r>
    </w:p>
    <w:p w:rsidR="00764FFF" w:rsidRPr="00D335A7" w:rsidRDefault="00764FFF" w:rsidP="00FA3FAE">
      <w:pPr>
        <w:numPr>
          <w:ilvl w:val="0"/>
          <w:numId w:val="88"/>
        </w:numPr>
        <w:spacing w:after="0" w:line="240" w:lineRule="auto"/>
        <w:ind w:right="-141"/>
        <w:jc w:val="both"/>
        <w:rPr>
          <w:rFonts w:ascii="Times New Roman" w:hAnsi="Times New Roman"/>
          <w:iCs/>
          <w:sz w:val="24"/>
          <w:szCs w:val="24"/>
        </w:rPr>
      </w:pPr>
      <w:r w:rsidRPr="00D335A7">
        <w:rPr>
          <w:rFonts w:ascii="Times New Roman" w:hAnsi="Times New Roman"/>
          <w:iCs/>
          <w:sz w:val="24"/>
          <w:szCs w:val="24"/>
        </w:rPr>
        <w:t>S’assurer que les activités du projet sont entreprises en conformité avec toutes les exigences légales et réglementaires ;</w:t>
      </w:r>
    </w:p>
    <w:p w:rsidR="00976673" w:rsidRPr="00297370" w:rsidRDefault="00764FFF" w:rsidP="00297370">
      <w:pPr>
        <w:numPr>
          <w:ilvl w:val="0"/>
          <w:numId w:val="88"/>
        </w:numPr>
        <w:spacing w:after="0" w:line="240" w:lineRule="auto"/>
        <w:ind w:right="-141"/>
        <w:jc w:val="both"/>
        <w:rPr>
          <w:rFonts w:ascii="Times New Roman" w:hAnsi="Times New Roman"/>
          <w:iCs/>
          <w:sz w:val="24"/>
          <w:szCs w:val="24"/>
        </w:rPr>
      </w:pPr>
      <w:r w:rsidRPr="00D335A7">
        <w:rPr>
          <w:rFonts w:ascii="Times New Roman" w:hAnsi="Times New Roman"/>
          <w:iCs/>
          <w:sz w:val="24"/>
          <w:szCs w:val="24"/>
        </w:rPr>
        <w:t>S’assurer que les enjeux environnementaux du projet sont bien compris par le promoteur et mis en œuvre aussi bien en phase de chantier que d’exploitation.</w:t>
      </w:r>
    </w:p>
    <w:p w:rsidR="00764FFF" w:rsidRPr="00D335A7" w:rsidRDefault="00764FFF" w:rsidP="00976673">
      <w:pPr>
        <w:spacing w:after="0" w:line="240" w:lineRule="auto"/>
        <w:ind w:left="-142" w:right="-141"/>
        <w:jc w:val="both"/>
        <w:rPr>
          <w:rFonts w:ascii="Times New Roman" w:hAnsi="Times New Roman"/>
          <w:iCs/>
          <w:sz w:val="24"/>
          <w:szCs w:val="24"/>
        </w:rPr>
      </w:pPr>
      <w:r w:rsidRPr="00D335A7">
        <w:rPr>
          <w:rFonts w:ascii="Times New Roman" w:hAnsi="Times New Roman"/>
          <w:iCs/>
          <w:sz w:val="24"/>
          <w:szCs w:val="24"/>
        </w:rPr>
        <w:t>Le plan de gestion environnementale comprend diverses mesures dont celles d’accompagnement, par exemple les actions de sensibilisation, de formation (renforcement institutionnel des acteurs), à réaliser en plus des actions techniques et/ou environnementales qui seront évaluées financièrement.</w:t>
      </w:r>
    </w:p>
    <w:p w:rsidR="00764FFF" w:rsidRPr="00D335A7" w:rsidRDefault="00764FFF" w:rsidP="00976673">
      <w:pPr>
        <w:spacing w:after="0" w:line="240" w:lineRule="auto"/>
        <w:ind w:left="-142" w:right="-141"/>
        <w:rPr>
          <w:rFonts w:ascii="Times New Roman" w:hAnsi="Times New Roman"/>
          <w:iCs/>
          <w:sz w:val="24"/>
          <w:szCs w:val="24"/>
        </w:rPr>
      </w:pPr>
      <w:r w:rsidRPr="00D335A7">
        <w:rPr>
          <w:rFonts w:ascii="Times New Roman" w:hAnsi="Times New Roman"/>
          <w:iCs/>
          <w:sz w:val="24"/>
          <w:szCs w:val="24"/>
        </w:rPr>
        <w:t>Le PGES sera au besoin révisé pour s’assurer de sa pertinence et de son efficacité. Les changements proposés seront discutés avec les autorités gouvernementales concernées.</w:t>
      </w:r>
    </w:p>
    <w:p w:rsidR="00764FFF" w:rsidRPr="000C12E5" w:rsidRDefault="00764FFF" w:rsidP="00297370">
      <w:pPr>
        <w:pStyle w:val="Listecouleur-Accent11"/>
        <w:keepNext/>
        <w:spacing w:before="240"/>
        <w:ind w:left="450" w:hanging="450"/>
        <w:outlineLvl w:val="1"/>
        <w:rPr>
          <w:rFonts w:ascii="Times New Roman" w:hAnsi="Times New Roman"/>
          <w:b/>
          <w:sz w:val="28"/>
          <w:szCs w:val="28"/>
          <w:lang w:val="fr-FR" w:eastAsia="fr-FR"/>
        </w:rPr>
      </w:pPr>
      <w:bookmarkStart w:id="462" w:name="_Toc515981153"/>
      <w:bookmarkStart w:id="463" w:name="_Toc531089399"/>
      <w:bookmarkStart w:id="464" w:name="_Toc535408362"/>
      <w:bookmarkStart w:id="465" w:name="_Toc11158374"/>
      <w:bookmarkStart w:id="466" w:name="_Toc51072596"/>
      <w:r w:rsidRPr="000C12E5">
        <w:rPr>
          <w:rFonts w:ascii="Times New Roman" w:hAnsi="Times New Roman"/>
          <w:b/>
          <w:sz w:val="28"/>
          <w:szCs w:val="28"/>
          <w:lang w:val="fr-FR" w:eastAsia="fr-FR"/>
        </w:rPr>
        <w:t>8.1. PLAN D’ATTENUATION DES IMPACTS</w:t>
      </w:r>
      <w:bookmarkEnd w:id="462"/>
      <w:bookmarkEnd w:id="463"/>
      <w:bookmarkEnd w:id="464"/>
      <w:bookmarkEnd w:id="465"/>
      <w:bookmarkEnd w:id="466"/>
    </w:p>
    <w:p w:rsidR="00764FFF" w:rsidRPr="00D335A7" w:rsidRDefault="00764FFF" w:rsidP="00764FFF">
      <w:pPr>
        <w:spacing w:after="0" w:line="276" w:lineRule="auto"/>
        <w:ind w:left="-142" w:right="-141"/>
        <w:jc w:val="both"/>
        <w:rPr>
          <w:rFonts w:ascii="Times New Roman" w:hAnsi="Times New Roman"/>
          <w:iCs/>
          <w:sz w:val="24"/>
          <w:szCs w:val="24"/>
        </w:rPr>
      </w:pPr>
      <w:r w:rsidRPr="00D335A7">
        <w:rPr>
          <w:rFonts w:ascii="Times New Roman" w:hAnsi="Times New Roman"/>
          <w:iCs/>
          <w:sz w:val="24"/>
          <w:szCs w:val="24"/>
        </w:rPr>
        <w:t xml:space="preserve">Trois (03) types de mesures d’atténuation seront prévus pour réduire les impacts pressentis des : </w:t>
      </w:r>
    </w:p>
    <w:p w:rsidR="00764FFF" w:rsidRPr="00297370" w:rsidRDefault="00764FFF" w:rsidP="00FA3FAE">
      <w:pPr>
        <w:numPr>
          <w:ilvl w:val="0"/>
          <w:numId w:val="104"/>
        </w:numPr>
        <w:pBdr>
          <w:top w:val="single" w:sz="4" w:space="1" w:color="auto"/>
          <w:left w:val="single" w:sz="4" w:space="4" w:color="auto"/>
          <w:bottom w:val="single" w:sz="4" w:space="1" w:color="auto"/>
          <w:right w:val="single" w:sz="4" w:space="4" w:color="auto"/>
        </w:pBdr>
        <w:spacing w:after="0" w:line="276" w:lineRule="auto"/>
        <w:ind w:left="709" w:right="-141"/>
        <w:jc w:val="both"/>
        <w:rPr>
          <w:rFonts w:ascii="Times New Roman" w:hAnsi="Times New Roman"/>
          <w:iCs/>
        </w:rPr>
      </w:pPr>
      <w:r w:rsidRPr="00297370">
        <w:rPr>
          <w:rFonts w:ascii="Times New Roman" w:hAnsi="Times New Roman"/>
          <w:iCs/>
        </w:rPr>
        <w:t>Mesures réglementaires que doivent respecter le promoteur et ses prestataires ; </w:t>
      </w:r>
    </w:p>
    <w:p w:rsidR="00764FFF" w:rsidRPr="00297370" w:rsidRDefault="00764FFF" w:rsidP="00FA3FAE">
      <w:pPr>
        <w:numPr>
          <w:ilvl w:val="0"/>
          <w:numId w:val="104"/>
        </w:numPr>
        <w:pBdr>
          <w:top w:val="single" w:sz="4" w:space="1" w:color="auto"/>
          <w:left w:val="single" w:sz="4" w:space="4" w:color="auto"/>
          <w:bottom w:val="single" w:sz="4" w:space="1" w:color="auto"/>
          <w:right w:val="single" w:sz="4" w:space="4" w:color="auto"/>
        </w:pBdr>
        <w:spacing w:after="0" w:line="276" w:lineRule="auto"/>
        <w:ind w:left="709" w:right="-141"/>
        <w:jc w:val="both"/>
        <w:rPr>
          <w:rFonts w:ascii="Times New Roman" w:hAnsi="Times New Roman"/>
          <w:iCs/>
        </w:rPr>
      </w:pPr>
      <w:r w:rsidRPr="00297370">
        <w:rPr>
          <w:rFonts w:ascii="Times New Roman" w:hAnsi="Times New Roman"/>
          <w:iCs/>
        </w:rPr>
        <w:t>Mesures d’atténuations spécifiques des impacts néga</w:t>
      </w:r>
      <w:r w:rsidR="00644F35" w:rsidRPr="00297370">
        <w:rPr>
          <w:rFonts w:ascii="Times New Roman" w:hAnsi="Times New Roman"/>
          <w:iCs/>
        </w:rPr>
        <w:t>tifs potentiels du projet PUASEE-FA</w:t>
      </w:r>
      <w:r w:rsidRPr="00297370">
        <w:rPr>
          <w:rFonts w:ascii="Times New Roman" w:hAnsi="Times New Roman"/>
          <w:iCs/>
        </w:rPr>
        <w:t xml:space="preserve"> ;</w:t>
      </w:r>
    </w:p>
    <w:p w:rsidR="00764FFF" w:rsidRPr="00297370" w:rsidRDefault="00764FFF" w:rsidP="00FA3FAE">
      <w:pPr>
        <w:numPr>
          <w:ilvl w:val="0"/>
          <w:numId w:val="104"/>
        </w:numPr>
        <w:pBdr>
          <w:top w:val="single" w:sz="4" w:space="1" w:color="auto"/>
          <w:left w:val="single" w:sz="4" w:space="4" w:color="auto"/>
          <w:bottom w:val="single" w:sz="4" w:space="1" w:color="auto"/>
          <w:right w:val="single" w:sz="4" w:space="4" w:color="auto"/>
        </w:pBdr>
        <w:spacing w:after="0" w:line="276" w:lineRule="auto"/>
        <w:ind w:left="709" w:right="-141"/>
        <w:jc w:val="both"/>
        <w:rPr>
          <w:rFonts w:ascii="Times New Roman" w:hAnsi="Times New Roman"/>
          <w:iCs/>
        </w:rPr>
      </w:pPr>
      <w:r w:rsidRPr="00297370">
        <w:rPr>
          <w:rFonts w:ascii="Times New Roman" w:hAnsi="Times New Roman"/>
          <w:iCs/>
        </w:rPr>
        <w:t>Mesures de compensation des impacts négatifs et d’optimisation des e</w:t>
      </w:r>
      <w:r w:rsidR="00243E86" w:rsidRPr="00297370">
        <w:rPr>
          <w:rFonts w:ascii="Times New Roman" w:hAnsi="Times New Roman"/>
          <w:iCs/>
        </w:rPr>
        <w:t xml:space="preserve">ffets positifs du </w:t>
      </w:r>
      <w:r w:rsidR="000C12E5" w:rsidRPr="00297370">
        <w:rPr>
          <w:rFonts w:ascii="Times New Roman" w:hAnsi="Times New Roman"/>
          <w:iCs/>
        </w:rPr>
        <w:t>sous-</w:t>
      </w:r>
      <w:r w:rsidR="00243E86" w:rsidRPr="00297370">
        <w:rPr>
          <w:rFonts w:ascii="Times New Roman" w:hAnsi="Times New Roman"/>
          <w:iCs/>
        </w:rPr>
        <w:t>projet</w:t>
      </w:r>
      <w:r w:rsidR="000C12E5" w:rsidRPr="00297370">
        <w:rPr>
          <w:rFonts w:ascii="Times New Roman" w:hAnsi="Times New Roman"/>
          <w:iCs/>
        </w:rPr>
        <w:t xml:space="preserve"> n°2 de</w:t>
      </w:r>
      <w:r w:rsidR="00243E86" w:rsidRPr="00297370">
        <w:rPr>
          <w:rFonts w:ascii="Times New Roman" w:hAnsi="Times New Roman"/>
          <w:iCs/>
        </w:rPr>
        <w:t xml:space="preserve"> PUASEE-FA</w:t>
      </w:r>
      <w:r w:rsidRPr="00297370">
        <w:rPr>
          <w:rFonts w:ascii="Times New Roman" w:hAnsi="Times New Roman"/>
          <w:iCs/>
        </w:rPr>
        <w:t>.</w:t>
      </w:r>
    </w:p>
    <w:p w:rsidR="00764FFF" w:rsidRPr="00D335A7" w:rsidRDefault="00764FFF" w:rsidP="00764FFF">
      <w:pPr>
        <w:spacing w:after="0"/>
        <w:ind w:left="-142" w:right="-141"/>
        <w:rPr>
          <w:rFonts w:ascii="Times New Roman" w:hAnsi="Times New Roman"/>
          <w:b/>
          <w:sz w:val="24"/>
          <w:szCs w:val="24"/>
        </w:rPr>
      </w:pPr>
    </w:p>
    <w:p w:rsidR="00764FFF" w:rsidRPr="000C12E5" w:rsidRDefault="00764FFF" w:rsidP="00976673">
      <w:pPr>
        <w:pStyle w:val="Listecouleur-Accent11"/>
        <w:keepNext/>
        <w:ind w:left="447" w:hanging="98"/>
        <w:outlineLvl w:val="2"/>
        <w:rPr>
          <w:rFonts w:ascii="Times New Roman" w:hAnsi="Times New Roman"/>
          <w:b/>
          <w:sz w:val="24"/>
          <w:szCs w:val="24"/>
          <w:lang w:val="fr-FR" w:eastAsia="fr-FR"/>
        </w:rPr>
      </w:pPr>
      <w:bookmarkStart w:id="467" w:name="_Toc515981154"/>
      <w:bookmarkStart w:id="468" w:name="_Toc531089400"/>
      <w:bookmarkStart w:id="469" w:name="_Toc535408363"/>
      <w:bookmarkStart w:id="470" w:name="_Toc11158375"/>
      <w:bookmarkStart w:id="471" w:name="_Toc51072597"/>
      <w:r w:rsidRPr="000C12E5">
        <w:rPr>
          <w:rFonts w:ascii="Times New Roman" w:hAnsi="Times New Roman"/>
          <w:b/>
          <w:sz w:val="24"/>
          <w:szCs w:val="24"/>
          <w:lang w:val="fr-FR" w:eastAsia="fr-FR"/>
        </w:rPr>
        <w:t xml:space="preserve">8.1.1. Mesures </w:t>
      </w:r>
      <w:bookmarkEnd w:id="467"/>
      <w:bookmarkEnd w:id="468"/>
      <w:r w:rsidRPr="000C12E5">
        <w:rPr>
          <w:rFonts w:ascii="Times New Roman" w:hAnsi="Times New Roman"/>
          <w:b/>
          <w:sz w:val="24"/>
          <w:szCs w:val="24"/>
          <w:lang w:val="fr-FR" w:eastAsia="fr-FR"/>
        </w:rPr>
        <w:t>règlementaires</w:t>
      </w:r>
      <w:bookmarkEnd w:id="469"/>
      <w:bookmarkEnd w:id="470"/>
      <w:bookmarkEnd w:id="471"/>
      <w:r w:rsidRPr="000C12E5">
        <w:rPr>
          <w:rFonts w:ascii="Times New Roman" w:hAnsi="Times New Roman"/>
          <w:b/>
          <w:sz w:val="24"/>
          <w:szCs w:val="24"/>
          <w:lang w:val="fr-FR" w:eastAsia="fr-FR"/>
        </w:rPr>
        <w:t xml:space="preserve"> </w:t>
      </w:r>
    </w:p>
    <w:p w:rsidR="00764FFF" w:rsidRPr="00D335A7" w:rsidRDefault="00764FFF" w:rsidP="00976673">
      <w:pPr>
        <w:spacing w:after="200" w:line="240" w:lineRule="auto"/>
        <w:ind w:left="-142" w:right="-141"/>
        <w:jc w:val="both"/>
        <w:rPr>
          <w:rFonts w:ascii="Times New Roman" w:hAnsi="Times New Roman"/>
          <w:iCs/>
          <w:sz w:val="24"/>
          <w:szCs w:val="24"/>
        </w:rPr>
      </w:pPr>
      <w:r w:rsidRPr="00D335A7">
        <w:rPr>
          <w:rFonts w:ascii="Times New Roman" w:hAnsi="Times New Roman"/>
          <w:iCs/>
          <w:sz w:val="24"/>
          <w:szCs w:val="24"/>
        </w:rPr>
        <w:t>Il s’agit de veiller à la conformité du projet vis-à-vis de la réglementation applicable, notamment :</w:t>
      </w:r>
    </w:p>
    <w:p w:rsidR="00764FFF" w:rsidRPr="00976673" w:rsidRDefault="00764FFF" w:rsidP="00FA3FAE">
      <w:pPr>
        <w:pStyle w:val="Listecouleur-Accent11"/>
        <w:numPr>
          <w:ilvl w:val="0"/>
          <w:numId w:val="108"/>
        </w:numPr>
        <w:ind w:right="-141"/>
        <w:rPr>
          <w:rFonts w:ascii="Times New Roman" w:hAnsi="Times New Roman"/>
          <w:b/>
          <w:iCs/>
          <w:sz w:val="24"/>
          <w:szCs w:val="24"/>
          <w:lang w:val="fr-FR"/>
        </w:rPr>
      </w:pPr>
      <w:r w:rsidRPr="00976673">
        <w:rPr>
          <w:rFonts w:ascii="Times New Roman" w:hAnsi="Times New Roman"/>
          <w:b/>
          <w:iCs/>
          <w:sz w:val="24"/>
          <w:szCs w:val="24"/>
          <w:lang w:val="fr-FR"/>
        </w:rPr>
        <w:t>Conformité avec la réglementation environnementale</w:t>
      </w:r>
    </w:p>
    <w:p w:rsidR="00764FFF" w:rsidRPr="00D335A7" w:rsidRDefault="00764FFF" w:rsidP="00976673">
      <w:pPr>
        <w:spacing w:after="200" w:line="240" w:lineRule="auto"/>
        <w:ind w:left="-142" w:right="-141"/>
        <w:jc w:val="both"/>
        <w:rPr>
          <w:rFonts w:ascii="Times New Roman" w:hAnsi="Times New Roman"/>
          <w:iCs/>
          <w:sz w:val="24"/>
          <w:szCs w:val="24"/>
        </w:rPr>
      </w:pPr>
      <w:r w:rsidRPr="00D335A7">
        <w:rPr>
          <w:rFonts w:ascii="Times New Roman" w:hAnsi="Times New Roman"/>
          <w:iCs/>
          <w:sz w:val="24"/>
          <w:szCs w:val="24"/>
        </w:rPr>
        <w:t>Durant les différentes phases des travaux e</w:t>
      </w:r>
      <w:r w:rsidR="00243E86">
        <w:rPr>
          <w:rFonts w:ascii="Times New Roman" w:hAnsi="Times New Roman"/>
          <w:iCs/>
          <w:sz w:val="24"/>
          <w:szCs w:val="24"/>
        </w:rPr>
        <w:t>t d’exploitation du projet, l’UC</w:t>
      </w:r>
      <w:r w:rsidRPr="00D335A7">
        <w:rPr>
          <w:rFonts w:ascii="Times New Roman" w:hAnsi="Times New Roman"/>
          <w:iCs/>
          <w:sz w:val="24"/>
          <w:szCs w:val="24"/>
        </w:rPr>
        <w:t xml:space="preserve">P de </w:t>
      </w:r>
      <w:r w:rsidR="00243E86">
        <w:rPr>
          <w:rFonts w:ascii="Times New Roman" w:hAnsi="Times New Roman"/>
          <w:iCs/>
          <w:sz w:val="24"/>
          <w:szCs w:val="24"/>
        </w:rPr>
        <w:t>PUASEE-FA</w:t>
      </w:r>
      <w:r w:rsidRPr="00D335A7">
        <w:rPr>
          <w:rFonts w:ascii="Times New Roman" w:hAnsi="Times New Roman"/>
          <w:iCs/>
          <w:sz w:val="24"/>
          <w:szCs w:val="24"/>
        </w:rPr>
        <w:t>, la MDC et les entreprises adjudicataires sont appelées à veiller sur la conformité par rapport aux dispositions relatives à la réglementation environnementale en vigueur au sens large du terme.</w:t>
      </w:r>
    </w:p>
    <w:p w:rsidR="00764FFF" w:rsidRPr="00976673" w:rsidRDefault="00764FFF" w:rsidP="00FA3FAE">
      <w:pPr>
        <w:pStyle w:val="Listecouleur-Accent11"/>
        <w:numPr>
          <w:ilvl w:val="0"/>
          <w:numId w:val="108"/>
        </w:numPr>
        <w:ind w:right="-141"/>
        <w:rPr>
          <w:rFonts w:ascii="Times New Roman" w:hAnsi="Times New Roman"/>
          <w:b/>
          <w:iCs/>
          <w:sz w:val="24"/>
          <w:szCs w:val="24"/>
          <w:lang w:val="fr-FR"/>
        </w:rPr>
      </w:pPr>
      <w:r w:rsidRPr="00976673">
        <w:rPr>
          <w:rFonts w:ascii="Times New Roman" w:hAnsi="Times New Roman"/>
          <w:b/>
          <w:iCs/>
          <w:sz w:val="24"/>
          <w:szCs w:val="24"/>
          <w:lang w:val="fr-FR"/>
        </w:rPr>
        <w:t>Conformité avec le Code du travail</w:t>
      </w:r>
    </w:p>
    <w:p w:rsidR="00764FFF" w:rsidRPr="00D335A7" w:rsidRDefault="00764FFF" w:rsidP="00976673">
      <w:pPr>
        <w:spacing w:after="200" w:line="240" w:lineRule="auto"/>
        <w:ind w:left="-142" w:right="-141"/>
        <w:jc w:val="both"/>
        <w:rPr>
          <w:rFonts w:ascii="Times New Roman" w:hAnsi="Times New Roman"/>
          <w:iCs/>
          <w:sz w:val="24"/>
          <w:szCs w:val="24"/>
        </w:rPr>
      </w:pPr>
      <w:r w:rsidRPr="00D335A7">
        <w:rPr>
          <w:rFonts w:ascii="Times New Roman" w:hAnsi="Times New Roman"/>
          <w:iCs/>
          <w:sz w:val="24"/>
          <w:szCs w:val="24"/>
        </w:rPr>
        <w:t xml:space="preserve">Les Entreprises de travaux devront respecter les exigences du Code de Travail et de ses textes réglementaires relatifs au personnel, à son recrutement, aux horaires de travail, à leur rémunération, au bruit, etc. </w:t>
      </w:r>
    </w:p>
    <w:p w:rsidR="00764FFF" w:rsidRPr="00976673" w:rsidRDefault="00764FFF" w:rsidP="00FA3FAE">
      <w:pPr>
        <w:pStyle w:val="Listecouleur-Accent11"/>
        <w:numPr>
          <w:ilvl w:val="0"/>
          <w:numId w:val="108"/>
        </w:numPr>
        <w:ind w:right="-141"/>
        <w:rPr>
          <w:rFonts w:ascii="Times New Roman" w:hAnsi="Times New Roman"/>
          <w:b/>
          <w:iCs/>
          <w:sz w:val="24"/>
          <w:szCs w:val="24"/>
          <w:lang w:val="fr-FR"/>
        </w:rPr>
      </w:pPr>
      <w:r w:rsidRPr="00976673">
        <w:rPr>
          <w:rFonts w:ascii="Times New Roman" w:hAnsi="Times New Roman"/>
          <w:b/>
          <w:iCs/>
          <w:sz w:val="24"/>
          <w:szCs w:val="24"/>
          <w:lang w:val="fr-FR"/>
        </w:rPr>
        <w:t xml:space="preserve">Obligations de respect du cahier des charges environnementales et sociales </w:t>
      </w:r>
    </w:p>
    <w:p w:rsidR="00B67C42" w:rsidRDefault="00764FFF" w:rsidP="00976673">
      <w:pPr>
        <w:spacing w:after="200" w:line="240" w:lineRule="auto"/>
        <w:ind w:left="-142" w:right="-141"/>
        <w:jc w:val="both"/>
        <w:rPr>
          <w:rFonts w:ascii="Times New Roman" w:hAnsi="Times New Roman"/>
          <w:iCs/>
          <w:sz w:val="24"/>
          <w:szCs w:val="24"/>
        </w:rPr>
      </w:pPr>
      <w:r w:rsidRPr="00D335A7">
        <w:rPr>
          <w:rFonts w:ascii="Times New Roman" w:hAnsi="Times New Roman"/>
          <w:iCs/>
          <w:sz w:val="24"/>
          <w:szCs w:val="24"/>
        </w:rPr>
        <w:t>Les entreprises de travaux devront aussi se conformer aux exigences du cahier des charges environnementales et sociales, notamment concernant le respect des prescriptions suivantes : la prévention de la pollution ; la prévention du bruit ; la sécurité des personnes (aux abords du chantier, sur le chantier et sur les itinéraires de transport de</w:t>
      </w:r>
      <w:bookmarkStart w:id="472" w:name="_Toc515981155"/>
      <w:bookmarkStart w:id="473" w:name="_Toc531089401"/>
      <w:bookmarkStart w:id="474" w:name="_Toc535408364"/>
      <w:bookmarkStart w:id="475" w:name="_Toc11158376"/>
      <w:r w:rsidR="002407EF">
        <w:rPr>
          <w:rFonts w:ascii="Times New Roman" w:hAnsi="Times New Roman"/>
          <w:iCs/>
          <w:sz w:val="24"/>
          <w:szCs w:val="24"/>
        </w:rPr>
        <w:t>s matériaux), à l’hygiène, etc.</w:t>
      </w:r>
    </w:p>
    <w:p w:rsidR="00976673" w:rsidRPr="00880C0F" w:rsidRDefault="00976673" w:rsidP="00FA3FAE">
      <w:pPr>
        <w:pStyle w:val="Listecouleur-Accent11"/>
        <w:numPr>
          <w:ilvl w:val="0"/>
          <w:numId w:val="108"/>
        </w:numPr>
        <w:spacing w:line="276" w:lineRule="auto"/>
        <w:ind w:right="-141"/>
        <w:rPr>
          <w:rFonts w:ascii="Times New Roman" w:hAnsi="Times New Roman"/>
          <w:b/>
          <w:iCs/>
          <w:szCs w:val="24"/>
          <w:lang w:val="fr-FR"/>
        </w:rPr>
      </w:pPr>
      <w:r w:rsidRPr="00880C0F">
        <w:rPr>
          <w:rFonts w:ascii="Times New Roman" w:hAnsi="Times New Roman"/>
          <w:b/>
          <w:iCs/>
          <w:szCs w:val="24"/>
          <w:lang w:val="fr-FR"/>
        </w:rPr>
        <w:t>Directives environnementales, sanitaires et sécuritaires (EHS) générales et spécifiques de la banque mondiale</w:t>
      </w:r>
    </w:p>
    <w:p w:rsidR="00976673" w:rsidRPr="00BC2A67" w:rsidRDefault="00976673" w:rsidP="00FA3FAE">
      <w:pPr>
        <w:pStyle w:val="SolbaseNormal"/>
        <w:numPr>
          <w:ilvl w:val="0"/>
          <w:numId w:val="227"/>
        </w:numPr>
        <w:spacing w:after="0"/>
        <w:ind w:left="1560"/>
        <w:rPr>
          <w:rFonts w:ascii="Times New Roman" w:hAnsi="Times New Roman"/>
          <w:lang w:val="x-none"/>
        </w:rPr>
      </w:pPr>
      <w:r>
        <w:rPr>
          <w:rFonts w:ascii="Times New Roman" w:hAnsi="Times New Roman"/>
          <w:lang w:val="x-none"/>
        </w:rPr>
        <w:t>Q</w:t>
      </w:r>
      <w:r w:rsidRPr="00BC2A67">
        <w:rPr>
          <w:rFonts w:ascii="Times New Roman" w:hAnsi="Times New Roman"/>
          <w:lang w:val="x-none"/>
        </w:rPr>
        <w:t xml:space="preserve">ualité́ de l’air ambiant </w:t>
      </w:r>
    </w:p>
    <w:p w:rsidR="00976673" w:rsidRPr="00BC2A67" w:rsidRDefault="00976673" w:rsidP="00FA3FAE">
      <w:pPr>
        <w:pStyle w:val="SolbaseNormal"/>
        <w:numPr>
          <w:ilvl w:val="0"/>
          <w:numId w:val="227"/>
        </w:numPr>
        <w:spacing w:after="0"/>
        <w:ind w:left="1560"/>
        <w:rPr>
          <w:rFonts w:ascii="Times New Roman" w:hAnsi="Times New Roman"/>
          <w:lang w:val="x-none"/>
        </w:rPr>
      </w:pPr>
      <w:r w:rsidRPr="00BC2A67">
        <w:rPr>
          <w:rFonts w:ascii="Times New Roman" w:hAnsi="Times New Roman"/>
          <w:lang w:val="x-none"/>
        </w:rPr>
        <w:t xml:space="preserve">Matières particulaires </w:t>
      </w:r>
    </w:p>
    <w:p w:rsidR="00976673" w:rsidRPr="00BC2A67" w:rsidRDefault="00976673" w:rsidP="00FA3FAE">
      <w:pPr>
        <w:pStyle w:val="SolbaseNormal"/>
        <w:numPr>
          <w:ilvl w:val="0"/>
          <w:numId w:val="227"/>
        </w:numPr>
        <w:spacing w:after="0"/>
        <w:ind w:left="1560"/>
        <w:rPr>
          <w:rFonts w:ascii="Times New Roman" w:hAnsi="Times New Roman"/>
          <w:lang w:val="x-none"/>
        </w:rPr>
      </w:pPr>
      <w:r w:rsidRPr="00BC2A67">
        <w:rPr>
          <w:rFonts w:ascii="Times New Roman" w:hAnsi="Times New Roman"/>
          <w:lang w:val="x-none"/>
        </w:rPr>
        <w:t>la gestion des eaux usées</w:t>
      </w:r>
    </w:p>
    <w:p w:rsidR="00976673" w:rsidRPr="00BC2A67" w:rsidRDefault="00976673" w:rsidP="00FA3FAE">
      <w:pPr>
        <w:pStyle w:val="SolbaseNormal"/>
        <w:numPr>
          <w:ilvl w:val="0"/>
          <w:numId w:val="227"/>
        </w:numPr>
        <w:spacing w:after="0"/>
        <w:ind w:left="1560"/>
        <w:rPr>
          <w:rFonts w:ascii="Times New Roman" w:hAnsi="Times New Roman"/>
          <w:lang w:val="x-none"/>
        </w:rPr>
      </w:pPr>
      <w:r w:rsidRPr="00BC2A67">
        <w:rPr>
          <w:rFonts w:ascii="Times New Roman" w:hAnsi="Times New Roman"/>
          <w:lang w:val="x-none"/>
        </w:rPr>
        <w:t xml:space="preserve">Qualité de l’eau </w:t>
      </w:r>
    </w:p>
    <w:p w:rsidR="00976673" w:rsidRPr="00297370" w:rsidRDefault="00976673" w:rsidP="00297370">
      <w:pPr>
        <w:pStyle w:val="SolbaseNormal"/>
        <w:numPr>
          <w:ilvl w:val="0"/>
          <w:numId w:val="227"/>
        </w:numPr>
        <w:spacing w:after="0"/>
        <w:ind w:left="1560"/>
        <w:rPr>
          <w:rFonts w:ascii="Times New Roman" w:hAnsi="Times New Roman"/>
          <w:lang w:val="x-none"/>
        </w:rPr>
      </w:pPr>
      <w:r w:rsidRPr="00BC2A67">
        <w:rPr>
          <w:rFonts w:ascii="Times New Roman" w:hAnsi="Times New Roman"/>
          <w:lang w:val="x-none"/>
        </w:rPr>
        <w:t xml:space="preserve">Hygiène et sécurité au travail </w:t>
      </w:r>
    </w:p>
    <w:p w:rsidR="00976673" w:rsidRPr="00FC5CC3" w:rsidRDefault="00976673" w:rsidP="00FA3FAE">
      <w:pPr>
        <w:pStyle w:val="Listecouleur-Accent11"/>
        <w:numPr>
          <w:ilvl w:val="0"/>
          <w:numId w:val="108"/>
        </w:numPr>
        <w:spacing w:line="276" w:lineRule="auto"/>
        <w:ind w:right="-141"/>
        <w:rPr>
          <w:rFonts w:ascii="Times New Roman" w:hAnsi="Times New Roman"/>
          <w:b/>
          <w:iCs/>
          <w:szCs w:val="24"/>
          <w:lang w:val="fr-FR"/>
        </w:rPr>
      </w:pPr>
      <w:r w:rsidRPr="00FC5CC3">
        <w:rPr>
          <w:rFonts w:ascii="Times New Roman" w:hAnsi="Times New Roman"/>
          <w:b/>
          <w:iCs/>
          <w:szCs w:val="24"/>
          <w:lang w:val="fr-FR"/>
        </w:rPr>
        <w:t>Directives de qualité́ pour l’eau de boisson de l’OMS</w:t>
      </w:r>
    </w:p>
    <w:p w:rsidR="00976673" w:rsidRPr="00FC5CC3" w:rsidRDefault="00976673" w:rsidP="00FA3FAE">
      <w:pPr>
        <w:pStyle w:val="SolbaseNormal"/>
        <w:numPr>
          <w:ilvl w:val="0"/>
          <w:numId w:val="227"/>
        </w:numPr>
        <w:spacing w:after="0"/>
        <w:ind w:left="1560"/>
        <w:rPr>
          <w:rFonts w:ascii="Times New Roman" w:hAnsi="Times New Roman"/>
          <w:lang w:val="x-none"/>
        </w:rPr>
      </w:pPr>
      <w:r w:rsidRPr="00FC5CC3">
        <w:rPr>
          <w:rFonts w:ascii="Times New Roman" w:hAnsi="Times New Roman"/>
          <w:lang w:val="x-none"/>
        </w:rPr>
        <w:t xml:space="preserve">Cadre destiné à garantir la sécurité sanitaire de l’eau de boisson </w:t>
      </w:r>
    </w:p>
    <w:p w:rsidR="00976673" w:rsidRPr="00976673" w:rsidRDefault="00976673" w:rsidP="00FA3FAE">
      <w:pPr>
        <w:pStyle w:val="SolbaseNormal"/>
        <w:numPr>
          <w:ilvl w:val="0"/>
          <w:numId w:val="227"/>
        </w:numPr>
        <w:spacing w:after="0"/>
        <w:ind w:left="1560"/>
        <w:rPr>
          <w:rFonts w:ascii="Times New Roman" w:hAnsi="Times New Roman"/>
          <w:lang w:val="x-none"/>
        </w:rPr>
      </w:pPr>
      <w:r w:rsidRPr="00FC5CC3">
        <w:rPr>
          <w:rFonts w:ascii="Times New Roman" w:hAnsi="Times New Roman"/>
          <w:lang w:val="x-none"/>
        </w:rPr>
        <w:t xml:space="preserve">Services d’approvisionnement en eau de boisson </w:t>
      </w:r>
    </w:p>
    <w:p w:rsidR="000D596B" w:rsidRDefault="000D596B" w:rsidP="00764FFF">
      <w:pPr>
        <w:pStyle w:val="Listecouleur-Accent11"/>
        <w:keepNext/>
        <w:spacing w:before="240" w:after="240"/>
        <w:ind w:left="450" w:hanging="101"/>
        <w:outlineLvl w:val="2"/>
        <w:rPr>
          <w:rFonts w:ascii="Times New Roman" w:hAnsi="Times New Roman"/>
          <w:b/>
          <w:sz w:val="24"/>
          <w:szCs w:val="24"/>
          <w:u w:val="single"/>
          <w:lang w:val="fr-FR" w:eastAsia="fr-FR"/>
        </w:rPr>
        <w:sectPr w:rsidR="000D596B" w:rsidSect="00FD763C">
          <w:pgSz w:w="11906" w:h="16838"/>
          <w:pgMar w:top="851" w:right="566" w:bottom="1134" w:left="1417" w:header="284" w:footer="267" w:gutter="0"/>
          <w:cols w:space="708"/>
          <w:docGrid w:linePitch="360"/>
        </w:sectPr>
      </w:pPr>
      <w:bookmarkStart w:id="476" w:name="_Toc51072598"/>
      <w:r>
        <w:rPr>
          <w:rFonts w:ascii="Times New Roman" w:hAnsi="Times New Roman"/>
          <w:b/>
          <w:sz w:val="24"/>
          <w:szCs w:val="24"/>
          <w:u w:val="single"/>
          <w:lang w:val="fr-FR" w:eastAsia="fr-FR"/>
        </w:rPr>
        <w:t>8</w:t>
      </w:r>
      <w:r w:rsidRPr="00D335A7">
        <w:rPr>
          <w:rFonts w:ascii="Times New Roman" w:hAnsi="Times New Roman"/>
          <w:b/>
          <w:sz w:val="24"/>
          <w:szCs w:val="24"/>
          <w:u w:val="single"/>
          <w:lang w:val="fr-FR" w:eastAsia="fr-FR"/>
        </w:rPr>
        <w:t>.1.2. Mesures d’atténuation des impacts</w:t>
      </w:r>
      <w:bookmarkEnd w:id="476"/>
    </w:p>
    <w:tbl>
      <w:tblPr>
        <w:tblStyle w:val="Tabelacomgrelha"/>
        <w:tblW w:w="15735" w:type="dxa"/>
        <w:tblInd w:w="-147" w:type="dxa"/>
        <w:tblLayout w:type="fixed"/>
        <w:tblLook w:val="04A0" w:firstRow="1" w:lastRow="0" w:firstColumn="1" w:lastColumn="0" w:noHBand="0" w:noVBand="1"/>
      </w:tblPr>
      <w:tblGrid>
        <w:gridCol w:w="1905"/>
        <w:gridCol w:w="2206"/>
        <w:gridCol w:w="2410"/>
        <w:gridCol w:w="9214"/>
      </w:tblGrid>
      <w:tr w:rsidR="00F62F78" w:rsidRPr="00F328B3" w:rsidTr="00C821BE">
        <w:tc>
          <w:tcPr>
            <w:tcW w:w="1905" w:type="dxa"/>
            <w:shd w:val="clear" w:color="auto" w:fill="E2EFD9" w:themeFill="accent6" w:themeFillTint="33"/>
            <w:vAlign w:val="center"/>
          </w:tcPr>
          <w:p w:rsidR="00F62F78" w:rsidRPr="00F328B3" w:rsidRDefault="00F62F78" w:rsidP="00F62F78">
            <w:pPr>
              <w:pStyle w:val="Listecouleur-Accent11"/>
              <w:keepNext/>
              <w:ind w:left="0"/>
              <w:jc w:val="center"/>
              <w:rPr>
                <w:rFonts w:ascii="Times New Roman" w:hAnsi="Times New Roman"/>
                <w:b/>
                <w:sz w:val="20"/>
                <w:szCs w:val="20"/>
                <w:u w:val="single"/>
                <w:lang w:val="fr-FR" w:eastAsia="fr-FR"/>
              </w:rPr>
            </w:pPr>
            <w:bookmarkStart w:id="477" w:name="_Toc32511526"/>
            <w:bookmarkEnd w:id="472"/>
            <w:bookmarkEnd w:id="473"/>
            <w:bookmarkEnd w:id="474"/>
            <w:bookmarkEnd w:id="475"/>
            <w:r w:rsidRPr="00F328B3">
              <w:rPr>
                <w:rFonts w:ascii="Times New Roman" w:hAnsi="Times New Roman"/>
                <w:b/>
                <w:sz w:val="20"/>
                <w:szCs w:val="20"/>
                <w:u w:val="single"/>
                <w:lang w:val="fr-FR" w:eastAsia="fr-FR"/>
              </w:rPr>
              <w:lastRenderedPageBreak/>
              <w:t>COMPOSANTES</w:t>
            </w:r>
            <w:bookmarkEnd w:id="477"/>
          </w:p>
        </w:tc>
        <w:tc>
          <w:tcPr>
            <w:tcW w:w="2206" w:type="dxa"/>
            <w:shd w:val="clear" w:color="auto" w:fill="E2EFD9" w:themeFill="accent6" w:themeFillTint="33"/>
            <w:vAlign w:val="center"/>
          </w:tcPr>
          <w:p w:rsidR="00F62F78" w:rsidRPr="00F328B3" w:rsidRDefault="00F62F78" w:rsidP="00F62F78">
            <w:pPr>
              <w:pStyle w:val="Listecouleur-Accent11"/>
              <w:keepNext/>
              <w:ind w:left="0"/>
              <w:jc w:val="center"/>
              <w:rPr>
                <w:rFonts w:ascii="Times New Roman" w:hAnsi="Times New Roman"/>
                <w:b/>
                <w:sz w:val="20"/>
                <w:szCs w:val="20"/>
                <w:u w:val="single"/>
                <w:lang w:val="fr-FR" w:eastAsia="fr-FR"/>
              </w:rPr>
            </w:pPr>
            <w:bookmarkStart w:id="478" w:name="_Toc32511527"/>
            <w:r w:rsidRPr="00F328B3">
              <w:rPr>
                <w:rFonts w:ascii="Times New Roman" w:hAnsi="Times New Roman"/>
                <w:b/>
                <w:sz w:val="20"/>
                <w:szCs w:val="20"/>
                <w:u w:val="single"/>
                <w:lang w:val="fr-FR" w:eastAsia="fr-FR"/>
              </w:rPr>
              <w:t>SOURCE D’IMPACTS</w:t>
            </w:r>
            <w:bookmarkEnd w:id="478"/>
          </w:p>
        </w:tc>
        <w:tc>
          <w:tcPr>
            <w:tcW w:w="2410" w:type="dxa"/>
            <w:shd w:val="clear" w:color="auto" w:fill="E2EFD9" w:themeFill="accent6" w:themeFillTint="33"/>
            <w:vAlign w:val="center"/>
          </w:tcPr>
          <w:p w:rsidR="00F62F78" w:rsidRPr="00F328B3" w:rsidRDefault="00F62F78" w:rsidP="00F62F78">
            <w:pPr>
              <w:pStyle w:val="Listecouleur-Accent11"/>
              <w:keepNext/>
              <w:ind w:left="0"/>
              <w:jc w:val="center"/>
              <w:rPr>
                <w:rFonts w:ascii="Times New Roman" w:hAnsi="Times New Roman"/>
                <w:b/>
                <w:sz w:val="20"/>
                <w:szCs w:val="20"/>
                <w:u w:val="single"/>
                <w:lang w:val="fr-FR" w:eastAsia="fr-FR"/>
              </w:rPr>
            </w:pPr>
            <w:bookmarkStart w:id="479" w:name="_Toc32511528"/>
            <w:r w:rsidRPr="00F328B3">
              <w:rPr>
                <w:rFonts w:ascii="Times New Roman" w:hAnsi="Times New Roman"/>
                <w:b/>
                <w:sz w:val="20"/>
                <w:szCs w:val="20"/>
                <w:u w:val="single"/>
                <w:lang w:val="fr-FR" w:eastAsia="fr-FR"/>
              </w:rPr>
              <w:t>IMPACTS PONTENTIELS</w:t>
            </w:r>
            <w:bookmarkEnd w:id="479"/>
          </w:p>
        </w:tc>
        <w:tc>
          <w:tcPr>
            <w:tcW w:w="9214" w:type="dxa"/>
            <w:shd w:val="clear" w:color="auto" w:fill="E2EFD9" w:themeFill="accent6" w:themeFillTint="33"/>
            <w:vAlign w:val="center"/>
          </w:tcPr>
          <w:p w:rsidR="00F62F78" w:rsidRPr="00F328B3" w:rsidRDefault="00F62F78" w:rsidP="00F62F78">
            <w:pPr>
              <w:pStyle w:val="Listecouleur-Accent11"/>
              <w:keepNext/>
              <w:ind w:left="0"/>
              <w:jc w:val="center"/>
              <w:rPr>
                <w:rFonts w:ascii="Times New Roman" w:hAnsi="Times New Roman"/>
                <w:b/>
                <w:sz w:val="20"/>
                <w:szCs w:val="20"/>
                <w:u w:val="single"/>
                <w:lang w:val="fr-FR" w:eastAsia="fr-FR"/>
              </w:rPr>
            </w:pPr>
            <w:bookmarkStart w:id="480" w:name="_Toc32511529"/>
            <w:r w:rsidRPr="00F328B3">
              <w:rPr>
                <w:rFonts w:ascii="Times New Roman" w:hAnsi="Times New Roman"/>
                <w:b/>
                <w:sz w:val="20"/>
                <w:szCs w:val="20"/>
                <w:u w:val="single"/>
                <w:lang w:val="fr-FR" w:eastAsia="fr-FR"/>
              </w:rPr>
              <w:t>MESURES D’ATTENUATION</w:t>
            </w:r>
            <w:bookmarkEnd w:id="480"/>
          </w:p>
        </w:tc>
      </w:tr>
      <w:tr w:rsidR="00F62F78" w:rsidRPr="00646B64" w:rsidTr="00C821BE">
        <w:tc>
          <w:tcPr>
            <w:tcW w:w="1905" w:type="dxa"/>
            <w:vMerge w:val="restart"/>
            <w:shd w:val="clear" w:color="auto" w:fill="E2EFD9" w:themeFill="accent6" w:themeFillTint="33"/>
            <w:vAlign w:val="center"/>
          </w:tcPr>
          <w:p w:rsidR="00F62F78" w:rsidRPr="00646B64" w:rsidRDefault="00F62F78" w:rsidP="00F62F78">
            <w:pPr>
              <w:pStyle w:val="Listecouleur-Accent11"/>
              <w:keepNext/>
              <w:ind w:left="0"/>
              <w:jc w:val="center"/>
              <w:rPr>
                <w:rFonts w:ascii="Times New Roman" w:hAnsi="Times New Roman"/>
                <w:b/>
                <w:sz w:val="32"/>
                <w:szCs w:val="32"/>
                <w:u w:val="single"/>
                <w:lang w:val="fr-FR" w:eastAsia="fr-FR"/>
              </w:rPr>
            </w:pPr>
            <w:bookmarkStart w:id="481" w:name="_Toc32511530"/>
            <w:r w:rsidRPr="00646B64">
              <w:rPr>
                <w:rFonts w:ascii="Times New Roman" w:hAnsi="Times New Roman"/>
                <w:b/>
                <w:iCs/>
                <w:sz w:val="32"/>
                <w:szCs w:val="32"/>
                <w:lang w:val="fr-FR"/>
              </w:rPr>
              <w:t>Air</w:t>
            </w:r>
            <w:bookmarkEnd w:id="481"/>
          </w:p>
        </w:tc>
        <w:tc>
          <w:tcPr>
            <w:tcW w:w="2206" w:type="dxa"/>
            <w:vMerge w:val="restart"/>
            <w:vAlign w:val="center"/>
          </w:tcPr>
          <w:p w:rsidR="00F62F78" w:rsidRPr="00646B64" w:rsidRDefault="00F62F78" w:rsidP="00F62F78">
            <w:pPr>
              <w:pStyle w:val="Listecouleur-Accent11"/>
              <w:keepNext/>
              <w:numPr>
                <w:ilvl w:val="0"/>
                <w:numId w:val="103"/>
              </w:numPr>
              <w:ind w:left="89" w:hanging="142"/>
              <w:jc w:val="left"/>
              <w:rPr>
                <w:rFonts w:ascii="Times New Roman" w:hAnsi="Times New Roman"/>
                <w:bCs/>
                <w:sz w:val="20"/>
                <w:szCs w:val="20"/>
              </w:rPr>
            </w:pPr>
            <w:bookmarkStart w:id="482" w:name="_Toc32511531"/>
            <w:r>
              <w:rPr>
                <w:rFonts w:ascii="Times New Roman" w:hAnsi="Times New Roman"/>
                <w:bCs/>
                <w:sz w:val="20"/>
                <w:szCs w:val="20"/>
              </w:rPr>
              <w:t>L</w:t>
            </w:r>
            <w:r w:rsidRPr="00646B64">
              <w:rPr>
                <w:rFonts w:ascii="Times New Roman" w:hAnsi="Times New Roman"/>
                <w:bCs/>
                <w:sz w:val="20"/>
                <w:szCs w:val="20"/>
              </w:rPr>
              <w:t>es rejets de poussières, l’émission de bruits,</w:t>
            </w:r>
            <w:bookmarkEnd w:id="482"/>
          </w:p>
          <w:p w:rsidR="00F62F78" w:rsidRPr="00646B64" w:rsidRDefault="00F328B3" w:rsidP="00F62F78">
            <w:pPr>
              <w:pStyle w:val="Listecouleur-Accent11"/>
              <w:keepNext/>
              <w:numPr>
                <w:ilvl w:val="0"/>
                <w:numId w:val="103"/>
              </w:numPr>
              <w:ind w:left="89" w:hanging="142"/>
              <w:jc w:val="left"/>
              <w:rPr>
                <w:rFonts w:ascii="Times New Roman" w:hAnsi="Times New Roman"/>
                <w:bCs/>
                <w:sz w:val="20"/>
                <w:szCs w:val="20"/>
                <w:lang w:val="fr-FR"/>
              </w:rPr>
            </w:pPr>
            <w:bookmarkStart w:id="483" w:name="_Toc32511532"/>
            <w:r>
              <w:rPr>
                <w:rFonts w:ascii="Times New Roman" w:hAnsi="Times New Roman"/>
                <w:bCs/>
                <w:sz w:val="20"/>
                <w:szCs w:val="20"/>
                <w:lang w:val="fr-FR"/>
              </w:rPr>
              <w:t>L</w:t>
            </w:r>
            <w:r w:rsidRPr="00646B64">
              <w:rPr>
                <w:rFonts w:ascii="Times New Roman" w:hAnsi="Times New Roman"/>
                <w:bCs/>
                <w:sz w:val="20"/>
                <w:szCs w:val="20"/>
              </w:rPr>
              <w:t>e</w:t>
            </w:r>
            <w:r w:rsidR="00F62F78" w:rsidRPr="00646B64">
              <w:rPr>
                <w:rFonts w:ascii="Times New Roman" w:hAnsi="Times New Roman"/>
                <w:bCs/>
                <w:sz w:val="20"/>
                <w:szCs w:val="20"/>
              </w:rPr>
              <w:t xml:space="preserve"> rejet des gaz d’échappement des véhicules</w:t>
            </w:r>
            <w:r w:rsidR="00F62F78" w:rsidRPr="00646B64">
              <w:rPr>
                <w:rFonts w:ascii="Times New Roman" w:hAnsi="Times New Roman"/>
                <w:bCs/>
                <w:sz w:val="20"/>
                <w:szCs w:val="20"/>
                <w:lang w:val="fr-FR"/>
              </w:rPr>
              <w:t>,</w:t>
            </w:r>
            <w:bookmarkEnd w:id="483"/>
          </w:p>
          <w:p w:rsidR="00F62F78" w:rsidRPr="00646B64" w:rsidRDefault="00F62F78" w:rsidP="00F62F78">
            <w:pPr>
              <w:pStyle w:val="Listecouleur-Accent11"/>
              <w:keepNext/>
              <w:numPr>
                <w:ilvl w:val="0"/>
                <w:numId w:val="103"/>
              </w:numPr>
              <w:ind w:left="89" w:hanging="142"/>
              <w:jc w:val="left"/>
              <w:rPr>
                <w:rFonts w:ascii="Times New Roman" w:hAnsi="Times New Roman"/>
                <w:b/>
                <w:sz w:val="20"/>
                <w:szCs w:val="20"/>
                <w:u w:val="single"/>
                <w:lang w:val="fr-FR" w:eastAsia="fr-FR"/>
              </w:rPr>
            </w:pPr>
            <w:bookmarkStart w:id="484" w:name="_Toc32511533"/>
            <w:r>
              <w:rPr>
                <w:rFonts w:ascii="Times New Roman" w:hAnsi="Times New Roman"/>
                <w:bCs/>
                <w:sz w:val="20"/>
                <w:szCs w:val="20"/>
                <w:lang w:val="fr-FR"/>
              </w:rPr>
              <w:t>L</w:t>
            </w:r>
            <w:r w:rsidRPr="00646B64">
              <w:rPr>
                <w:rFonts w:ascii="Times New Roman" w:hAnsi="Times New Roman"/>
                <w:bCs/>
                <w:sz w:val="20"/>
                <w:szCs w:val="20"/>
                <w:lang w:val="fr-FR"/>
              </w:rPr>
              <w:t>es travaux de constructions des réservoirs et l’installation des équipement</w:t>
            </w:r>
            <w:bookmarkEnd w:id="484"/>
            <w:r>
              <w:rPr>
                <w:rFonts w:ascii="Times New Roman" w:hAnsi="Times New Roman"/>
                <w:bCs/>
                <w:sz w:val="20"/>
                <w:szCs w:val="20"/>
                <w:lang w:val="fr-FR"/>
              </w:rPr>
              <w:t>s</w:t>
            </w:r>
          </w:p>
        </w:tc>
        <w:tc>
          <w:tcPr>
            <w:tcW w:w="2410" w:type="dxa"/>
            <w:vMerge w:val="restart"/>
            <w:vAlign w:val="center"/>
          </w:tcPr>
          <w:p w:rsidR="00F62F78" w:rsidRPr="00646B64" w:rsidRDefault="00F62F78" w:rsidP="00F62F78">
            <w:pPr>
              <w:pStyle w:val="Listecouleur-Accent11"/>
              <w:keepNext/>
              <w:numPr>
                <w:ilvl w:val="0"/>
                <w:numId w:val="149"/>
              </w:numPr>
              <w:ind w:left="170" w:hanging="284"/>
              <w:jc w:val="left"/>
              <w:rPr>
                <w:rFonts w:ascii="Times New Roman" w:hAnsi="Times New Roman"/>
                <w:bCs/>
                <w:sz w:val="20"/>
                <w:szCs w:val="20"/>
                <w:lang w:val="fr-FR"/>
              </w:rPr>
            </w:pPr>
            <w:bookmarkStart w:id="485" w:name="_Toc32511534"/>
            <w:r w:rsidRPr="00646B64">
              <w:rPr>
                <w:rFonts w:ascii="Times New Roman" w:hAnsi="Times New Roman"/>
                <w:bCs/>
                <w:sz w:val="20"/>
                <w:szCs w:val="20"/>
                <w:lang w:val="fr-FR"/>
              </w:rPr>
              <w:t xml:space="preserve">Risque de </w:t>
            </w:r>
            <w:r w:rsidRPr="00646B64">
              <w:rPr>
                <w:rFonts w:ascii="Times New Roman" w:hAnsi="Times New Roman"/>
                <w:bCs/>
                <w:sz w:val="20"/>
                <w:szCs w:val="20"/>
              </w:rPr>
              <w:t>pollution de l’air </w:t>
            </w:r>
            <w:r w:rsidRPr="00646B64">
              <w:rPr>
                <w:rFonts w:ascii="Times New Roman" w:hAnsi="Times New Roman"/>
                <w:bCs/>
                <w:sz w:val="20"/>
                <w:szCs w:val="20"/>
                <w:lang w:val="fr-FR"/>
              </w:rPr>
              <w:t>;</w:t>
            </w:r>
            <w:bookmarkEnd w:id="485"/>
          </w:p>
          <w:p w:rsidR="00F62F78" w:rsidRPr="00646B64" w:rsidRDefault="00F62F78" w:rsidP="00F62F78">
            <w:pPr>
              <w:pStyle w:val="Listecouleur-Accent11"/>
              <w:keepNext/>
              <w:numPr>
                <w:ilvl w:val="0"/>
                <w:numId w:val="149"/>
              </w:numPr>
              <w:ind w:left="170" w:hanging="284"/>
              <w:jc w:val="left"/>
              <w:rPr>
                <w:rFonts w:ascii="Times New Roman" w:hAnsi="Times New Roman"/>
                <w:b/>
                <w:sz w:val="20"/>
                <w:szCs w:val="20"/>
                <w:u w:val="single"/>
                <w:lang w:val="fr-FR" w:eastAsia="fr-FR"/>
              </w:rPr>
            </w:pPr>
            <w:bookmarkStart w:id="486" w:name="_Toc32511535"/>
            <w:r w:rsidRPr="00646B64">
              <w:rPr>
                <w:rFonts w:ascii="Times New Roman" w:hAnsi="Times New Roman"/>
                <w:bCs/>
                <w:sz w:val="20"/>
                <w:szCs w:val="20"/>
                <w:lang w:val="fr-FR"/>
              </w:rPr>
              <w:t>Risque de pollution sonore ;</w:t>
            </w:r>
            <w:bookmarkEnd w:id="486"/>
          </w:p>
        </w:tc>
        <w:tc>
          <w:tcPr>
            <w:tcW w:w="9214" w:type="dxa"/>
          </w:tcPr>
          <w:p w:rsidR="00F62F78" w:rsidRPr="00646B64" w:rsidRDefault="00F62F78" w:rsidP="00F62F78">
            <w:pPr>
              <w:pStyle w:val="Listecouleur-Accent11"/>
              <w:keepNext/>
              <w:ind w:left="0"/>
              <w:rPr>
                <w:rFonts w:ascii="Times New Roman" w:hAnsi="Times New Roman"/>
                <w:b/>
                <w:sz w:val="20"/>
                <w:szCs w:val="20"/>
                <w:u w:val="single"/>
                <w:lang w:val="fr-FR" w:eastAsia="fr-FR"/>
              </w:rPr>
            </w:pPr>
            <w:bookmarkStart w:id="487" w:name="_Toc32511536"/>
            <w:r w:rsidRPr="00646B64">
              <w:rPr>
                <w:rFonts w:ascii="Times New Roman" w:hAnsi="Times New Roman"/>
                <w:sz w:val="20"/>
                <w:szCs w:val="20"/>
              </w:rPr>
              <w:t>Il est recommandé de prévoir une clause contractuelle pour que les entreprises puissent prendre en charge si nécessaire les frais de protection de ces puits qui du reste ne sont pas très nombreux. Les puits à protéger doivent être identifiés concomitamment entre l’entreprise, la mission de contrôle et les populations riveraines.</w:t>
            </w:r>
            <w:bookmarkEnd w:id="487"/>
          </w:p>
        </w:tc>
      </w:tr>
      <w:tr w:rsidR="00F62F78" w:rsidRPr="00646B64" w:rsidTr="00C821BE">
        <w:tc>
          <w:tcPr>
            <w:tcW w:w="1905" w:type="dxa"/>
            <w:vMerge/>
            <w:shd w:val="clear" w:color="auto" w:fill="E2EFD9" w:themeFill="accent6" w:themeFillTint="33"/>
          </w:tcPr>
          <w:p w:rsidR="00F62F78" w:rsidRPr="00646B64" w:rsidRDefault="00F62F78" w:rsidP="00F62F78">
            <w:pPr>
              <w:pStyle w:val="Listecouleur-Accent11"/>
              <w:keepNext/>
              <w:ind w:left="0"/>
              <w:rPr>
                <w:rFonts w:ascii="Times New Roman" w:hAnsi="Times New Roman"/>
                <w:b/>
                <w:sz w:val="20"/>
                <w:szCs w:val="20"/>
                <w:u w:val="single"/>
                <w:lang w:val="fr-FR" w:eastAsia="fr-FR"/>
              </w:rPr>
            </w:pPr>
          </w:p>
        </w:tc>
        <w:tc>
          <w:tcPr>
            <w:tcW w:w="2206" w:type="dxa"/>
            <w:vMerge/>
          </w:tcPr>
          <w:p w:rsidR="00F62F78" w:rsidRPr="00646B64" w:rsidRDefault="00F62F78" w:rsidP="00F62F78">
            <w:pPr>
              <w:pStyle w:val="Listecouleur-Accent11"/>
              <w:keepNext/>
              <w:ind w:left="0"/>
              <w:rPr>
                <w:rFonts w:ascii="Times New Roman" w:hAnsi="Times New Roman"/>
                <w:b/>
                <w:sz w:val="20"/>
                <w:szCs w:val="20"/>
                <w:u w:val="single"/>
                <w:lang w:val="fr-FR" w:eastAsia="fr-FR"/>
              </w:rPr>
            </w:pPr>
          </w:p>
        </w:tc>
        <w:tc>
          <w:tcPr>
            <w:tcW w:w="2410" w:type="dxa"/>
            <w:vMerge/>
          </w:tcPr>
          <w:p w:rsidR="00F62F78" w:rsidRPr="00646B64" w:rsidRDefault="00F62F78" w:rsidP="00F62F78">
            <w:pPr>
              <w:pStyle w:val="Listecouleur-Accent11"/>
              <w:keepNext/>
              <w:ind w:left="0"/>
              <w:rPr>
                <w:rFonts w:ascii="Times New Roman" w:hAnsi="Times New Roman"/>
                <w:b/>
                <w:sz w:val="20"/>
                <w:szCs w:val="20"/>
                <w:u w:val="single"/>
                <w:lang w:val="fr-FR" w:eastAsia="fr-FR"/>
              </w:rPr>
            </w:pPr>
          </w:p>
        </w:tc>
        <w:tc>
          <w:tcPr>
            <w:tcW w:w="9214" w:type="dxa"/>
          </w:tcPr>
          <w:p w:rsidR="00F62F78" w:rsidRPr="00646B64" w:rsidRDefault="00F62F78" w:rsidP="00F62F78">
            <w:pPr>
              <w:pStyle w:val="Listecouleur-Accent11"/>
              <w:keepNext/>
              <w:ind w:left="0"/>
              <w:rPr>
                <w:rFonts w:ascii="Times New Roman" w:hAnsi="Times New Roman"/>
                <w:b/>
                <w:sz w:val="20"/>
                <w:szCs w:val="20"/>
                <w:u w:val="single"/>
                <w:lang w:val="fr-FR" w:eastAsia="fr-FR"/>
              </w:rPr>
            </w:pPr>
            <w:bookmarkStart w:id="488" w:name="_Toc32511537"/>
            <w:r w:rsidRPr="00646B64">
              <w:rPr>
                <w:rFonts w:ascii="Times New Roman" w:hAnsi="Times New Roman"/>
                <w:sz w:val="20"/>
                <w:szCs w:val="20"/>
              </w:rPr>
              <w:t>Il est suggéré à la mission de contrôle de veiller à la mise à disposition effective des moyens de protection individuelle contre la poussière pour les ouvriers sur le chantier. A ce propos, il est important de sensibiliser ces ouvriers sur l’importance du port de ces masques, surtout pour certains postes particulièrement exposés, car beaucoup d’ouvriers ont tendance à ne pas les porter car cela les indispose. Il sera bien de mettre en place des dispositifs antipollution et antibruit ou d’abat poussière.</w:t>
            </w:r>
            <w:bookmarkEnd w:id="488"/>
          </w:p>
        </w:tc>
      </w:tr>
      <w:tr w:rsidR="00F62F78" w:rsidRPr="00646B64" w:rsidTr="00C821BE">
        <w:tc>
          <w:tcPr>
            <w:tcW w:w="1905" w:type="dxa"/>
            <w:vMerge/>
            <w:shd w:val="clear" w:color="auto" w:fill="E2EFD9" w:themeFill="accent6" w:themeFillTint="33"/>
          </w:tcPr>
          <w:p w:rsidR="00F62F78" w:rsidRPr="00646B64" w:rsidRDefault="00F62F78" w:rsidP="00F62F78">
            <w:pPr>
              <w:pStyle w:val="Listecouleur-Accent11"/>
              <w:keepNext/>
              <w:ind w:left="0"/>
              <w:rPr>
                <w:rFonts w:ascii="Times New Roman" w:hAnsi="Times New Roman"/>
                <w:b/>
                <w:sz w:val="20"/>
                <w:szCs w:val="20"/>
                <w:u w:val="single"/>
                <w:lang w:val="fr-FR" w:eastAsia="fr-FR"/>
              </w:rPr>
            </w:pPr>
          </w:p>
        </w:tc>
        <w:tc>
          <w:tcPr>
            <w:tcW w:w="2206" w:type="dxa"/>
            <w:vMerge/>
          </w:tcPr>
          <w:p w:rsidR="00F62F78" w:rsidRPr="00646B64" w:rsidRDefault="00F62F78" w:rsidP="00F62F78">
            <w:pPr>
              <w:pStyle w:val="Listecouleur-Accent11"/>
              <w:keepNext/>
              <w:ind w:left="0"/>
              <w:rPr>
                <w:rFonts w:ascii="Times New Roman" w:hAnsi="Times New Roman"/>
                <w:b/>
                <w:sz w:val="20"/>
                <w:szCs w:val="20"/>
                <w:u w:val="single"/>
                <w:lang w:val="fr-FR" w:eastAsia="fr-FR"/>
              </w:rPr>
            </w:pPr>
          </w:p>
        </w:tc>
        <w:tc>
          <w:tcPr>
            <w:tcW w:w="2410" w:type="dxa"/>
            <w:vMerge/>
          </w:tcPr>
          <w:p w:rsidR="00F62F78" w:rsidRPr="00646B64" w:rsidRDefault="00F62F78" w:rsidP="00F62F78">
            <w:pPr>
              <w:pStyle w:val="Listecouleur-Accent11"/>
              <w:keepNext/>
              <w:ind w:left="0"/>
              <w:rPr>
                <w:rFonts w:ascii="Times New Roman" w:hAnsi="Times New Roman"/>
                <w:b/>
                <w:sz w:val="20"/>
                <w:szCs w:val="20"/>
                <w:u w:val="single"/>
                <w:lang w:val="fr-FR" w:eastAsia="fr-FR"/>
              </w:rPr>
            </w:pPr>
          </w:p>
        </w:tc>
        <w:tc>
          <w:tcPr>
            <w:tcW w:w="9214" w:type="dxa"/>
          </w:tcPr>
          <w:p w:rsidR="00F62F78" w:rsidRPr="00646B64" w:rsidRDefault="00F62F78" w:rsidP="00F62F78">
            <w:pPr>
              <w:pStyle w:val="Listecouleur-Accent11"/>
              <w:keepNext/>
              <w:ind w:left="0"/>
              <w:rPr>
                <w:rFonts w:ascii="Times New Roman" w:hAnsi="Times New Roman"/>
                <w:b/>
                <w:sz w:val="20"/>
                <w:szCs w:val="20"/>
                <w:u w:val="single"/>
                <w:lang w:val="fr-FR" w:eastAsia="fr-FR"/>
              </w:rPr>
            </w:pPr>
            <w:bookmarkStart w:id="489" w:name="_Toc32511538"/>
            <w:r w:rsidRPr="00646B64">
              <w:rPr>
                <w:rFonts w:ascii="Times New Roman" w:hAnsi="Times New Roman"/>
                <w:sz w:val="20"/>
                <w:szCs w:val="20"/>
              </w:rPr>
              <w:t>Il est recommandé de vérifier que la machinerie, les véhicules et les engins lourds sont en bonne état pour réduire la production de gaz d’échappement et s’ils sont équipés des systèmes de réduction des émissions de bruit.</w:t>
            </w:r>
            <w:bookmarkEnd w:id="489"/>
          </w:p>
        </w:tc>
      </w:tr>
      <w:tr w:rsidR="00F62F78" w:rsidRPr="00646B64" w:rsidTr="00C821BE">
        <w:tc>
          <w:tcPr>
            <w:tcW w:w="1905" w:type="dxa"/>
            <w:vMerge/>
            <w:shd w:val="clear" w:color="auto" w:fill="E2EFD9" w:themeFill="accent6" w:themeFillTint="33"/>
          </w:tcPr>
          <w:p w:rsidR="00F62F78" w:rsidRPr="00646B64" w:rsidRDefault="00F62F78" w:rsidP="00F62F78">
            <w:pPr>
              <w:pStyle w:val="Listecouleur-Accent11"/>
              <w:keepNext/>
              <w:ind w:left="0"/>
              <w:rPr>
                <w:rFonts w:ascii="Times New Roman" w:hAnsi="Times New Roman"/>
                <w:b/>
                <w:sz w:val="20"/>
                <w:szCs w:val="20"/>
                <w:u w:val="single"/>
                <w:lang w:val="fr-FR" w:eastAsia="fr-FR"/>
              </w:rPr>
            </w:pPr>
          </w:p>
        </w:tc>
        <w:tc>
          <w:tcPr>
            <w:tcW w:w="2206" w:type="dxa"/>
            <w:vMerge/>
          </w:tcPr>
          <w:p w:rsidR="00F62F78" w:rsidRPr="00646B64" w:rsidRDefault="00F62F78" w:rsidP="00F62F78">
            <w:pPr>
              <w:pStyle w:val="Listecouleur-Accent11"/>
              <w:keepNext/>
              <w:ind w:left="0"/>
              <w:rPr>
                <w:rFonts w:ascii="Times New Roman" w:hAnsi="Times New Roman"/>
                <w:b/>
                <w:sz w:val="20"/>
                <w:szCs w:val="20"/>
                <w:u w:val="single"/>
                <w:lang w:val="fr-FR" w:eastAsia="fr-FR"/>
              </w:rPr>
            </w:pPr>
          </w:p>
        </w:tc>
        <w:tc>
          <w:tcPr>
            <w:tcW w:w="2410" w:type="dxa"/>
            <w:vMerge/>
          </w:tcPr>
          <w:p w:rsidR="00F62F78" w:rsidRPr="00646B64" w:rsidRDefault="00F62F78" w:rsidP="00F62F78">
            <w:pPr>
              <w:pStyle w:val="Listecouleur-Accent11"/>
              <w:keepNext/>
              <w:ind w:left="0"/>
              <w:rPr>
                <w:rFonts w:ascii="Times New Roman" w:hAnsi="Times New Roman"/>
                <w:b/>
                <w:sz w:val="20"/>
                <w:szCs w:val="20"/>
                <w:u w:val="single"/>
                <w:lang w:val="fr-FR" w:eastAsia="fr-FR"/>
              </w:rPr>
            </w:pPr>
          </w:p>
        </w:tc>
        <w:tc>
          <w:tcPr>
            <w:tcW w:w="9214" w:type="dxa"/>
          </w:tcPr>
          <w:p w:rsidR="00F62F78" w:rsidRPr="00646B64" w:rsidRDefault="00F62F78" w:rsidP="00F62F78">
            <w:pPr>
              <w:jc w:val="both"/>
              <w:rPr>
                <w:rFonts w:ascii="Times New Roman" w:hAnsi="Times New Roman"/>
                <w:sz w:val="20"/>
                <w:szCs w:val="20"/>
              </w:rPr>
            </w:pPr>
            <w:r w:rsidRPr="00646B64">
              <w:rPr>
                <w:rFonts w:ascii="Times New Roman" w:hAnsi="Times New Roman"/>
                <w:sz w:val="20"/>
                <w:szCs w:val="20"/>
              </w:rPr>
              <w:t xml:space="preserve">Il est recommandé d’étudier préalablement les voies d’accès au chantier pour avoir un choix judicieux et de procéder à des arrosages réguliers des voies d’accès du chantier. </w:t>
            </w:r>
          </w:p>
          <w:p w:rsidR="00F62F78" w:rsidRDefault="00F62F78" w:rsidP="00F62F78">
            <w:pPr>
              <w:pStyle w:val="Listecouleur-Accent11"/>
              <w:keepNext/>
              <w:ind w:left="0"/>
              <w:rPr>
                <w:rFonts w:ascii="Times New Roman" w:hAnsi="Times New Roman"/>
                <w:sz w:val="20"/>
                <w:szCs w:val="20"/>
              </w:rPr>
            </w:pPr>
            <w:bookmarkStart w:id="490" w:name="_Toc32511539"/>
            <w:r w:rsidRPr="00646B64">
              <w:rPr>
                <w:rFonts w:ascii="Times New Roman" w:hAnsi="Times New Roman"/>
                <w:sz w:val="20"/>
                <w:szCs w:val="20"/>
              </w:rPr>
              <w:t>Il est suggéré de bien bâcher les camions transporteurs de sable ou des matériaux poussiéreux pendant le transport.</w:t>
            </w:r>
            <w:bookmarkEnd w:id="490"/>
          </w:p>
          <w:p w:rsidR="00F62F78" w:rsidRPr="00646B64" w:rsidRDefault="00F62F78" w:rsidP="00F62F78">
            <w:pPr>
              <w:pStyle w:val="Listecouleur-Accent11"/>
              <w:keepNext/>
              <w:ind w:left="0"/>
              <w:rPr>
                <w:rFonts w:ascii="Times New Roman" w:hAnsi="Times New Roman"/>
                <w:sz w:val="20"/>
                <w:szCs w:val="20"/>
              </w:rPr>
            </w:pPr>
            <w:r>
              <w:rPr>
                <w:rFonts w:ascii="Times New Roman" w:hAnsi="Times New Roman"/>
                <w:sz w:val="20"/>
                <w:szCs w:val="20"/>
              </w:rPr>
              <w:t>Limiter la vitesse des camions à 20 km/h</w:t>
            </w:r>
          </w:p>
        </w:tc>
      </w:tr>
      <w:tr w:rsidR="00F62F78" w:rsidRPr="00646B64" w:rsidTr="00C821BE">
        <w:tc>
          <w:tcPr>
            <w:tcW w:w="1905" w:type="dxa"/>
            <w:vMerge w:val="restart"/>
            <w:shd w:val="clear" w:color="auto" w:fill="E2EFD9" w:themeFill="accent6" w:themeFillTint="33"/>
            <w:vAlign w:val="center"/>
          </w:tcPr>
          <w:p w:rsidR="00F62F78" w:rsidRPr="00646B64" w:rsidRDefault="00F62F78" w:rsidP="00F62F78">
            <w:pPr>
              <w:pStyle w:val="Listecouleur-Accent11"/>
              <w:keepNext/>
              <w:ind w:left="0"/>
              <w:jc w:val="center"/>
              <w:rPr>
                <w:rFonts w:ascii="Times New Roman" w:hAnsi="Times New Roman"/>
                <w:b/>
                <w:iCs/>
                <w:sz w:val="32"/>
                <w:szCs w:val="32"/>
                <w:lang w:val="fr-FR"/>
              </w:rPr>
            </w:pPr>
            <w:bookmarkStart w:id="491" w:name="_Toc32511540"/>
            <w:r w:rsidRPr="00646B64">
              <w:rPr>
                <w:rFonts w:ascii="Times New Roman" w:hAnsi="Times New Roman"/>
                <w:b/>
                <w:iCs/>
                <w:sz w:val="32"/>
                <w:szCs w:val="32"/>
                <w:lang w:val="fr-FR"/>
              </w:rPr>
              <w:t>Sol et sous-sol</w:t>
            </w:r>
            <w:bookmarkEnd w:id="491"/>
          </w:p>
        </w:tc>
        <w:tc>
          <w:tcPr>
            <w:tcW w:w="2206" w:type="dxa"/>
            <w:vMerge w:val="restart"/>
            <w:vAlign w:val="center"/>
          </w:tcPr>
          <w:p w:rsidR="00F62F78" w:rsidRPr="00646B64" w:rsidRDefault="00F62F78" w:rsidP="00F62F78">
            <w:pPr>
              <w:pStyle w:val="Listecouleur-Accent11"/>
              <w:keepNext/>
              <w:numPr>
                <w:ilvl w:val="0"/>
                <w:numId w:val="103"/>
              </w:numPr>
              <w:ind w:left="89" w:hanging="142"/>
              <w:jc w:val="left"/>
              <w:rPr>
                <w:rFonts w:ascii="Times New Roman" w:hAnsi="Times New Roman"/>
                <w:bCs/>
                <w:sz w:val="20"/>
                <w:szCs w:val="20"/>
              </w:rPr>
            </w:pPr>
            <w:bookmarkStart w:id="492" w:name="_Toc32511541"/>
            <w:r w:rsidRPr="00646B64">
              <w:rPr>
                <w:rFonts w:ascii="Times New Roman" w:hAnsi="Times New Roman"/>
                <w:bCs/>
                <w:sz w:val="20"/>
                <w:szCs w:val="20"/>
              </w:rPr>
              <w:t>La circulation des engins et des camions,</w:t>
            </w:r>
            <w:bookmarkEnd w:id="492"/>
          </w:p>
          <w:p w:rsidR="00F62F78" w:rsidRPr="00646B64" w:rsidRDefault="00F62F78" w:rsidP="00F62F78">
            <w:pPr>
              <w:pStyle w:val="Listecouleur-Accent11"/>
              <w:keepNext/>
              <w:numPr>
                <w:ilvl w:val="0"/>
                <w:numId w:val="103"/>
              </w:numPr>
              <w:ind w:left="89" w:hanging="142"/>
              <w:jc w:val="left"/>
              <w:rPr>
                <w:rFonts w:ascii="Times New Roman" w:hAnsi="Times New Roman"/>
                <w:bCs/>
                <w:sz w:val="20"/>
                <w:szCs w:val="20"/>
              </w:rPr>
            </w:pPr>
            <w:bookmarkStart w:id="493" w:name="_Toc32511542"/>
            <w:r w:rsidRPr="00646B64">
              <w:rPr>
                <w:rFonts w:ascii="Times New Roman" w:hAnsi="Times New Roman"/>
                <w:bCs/>
                <w:sz w:val="20"/>
                <w:szCs w:val="20"/>
              </w:rPr>
              <w:t>L’utilisation d’engins, de terrassement, de remblaiement et d’excavation,</w:t>
            </w:r>
            <w:bookmarkEnd w:id="493"/>
          </w:p>
          <w:p w:rsidR="00F62F78" w:rsidRPr="00646B64" w:rsidRDefault="00F62F78" w:rsidP="00F62F78">
            <w:pPr>
              <w:pStyle w:val="Listecouleur-Accent11"/>
              <w:keepNext/>
              <w:numPr>
                <w:ilvl w:val="0"/>
                <w:numId w:val="103"/>
              </w:numPr>
              <w:ind w:left="89" w:hanging="142"/>
              <w:jc w:val="left"/>
              <w:rPr>
                <w:rFonts w:ascii="Times New Roman" w:hAnsi="Times New Roman"/>
                <w:bCs/>
                <w:sz w:val="20"/>
                <w:szCs w:val="20"/>
              </w:rPr>
            </w:pPr>
            <w:bookmarkStart w:id="494" w:name="_Toc32511543"/>
            <w:r w:rsidRPr="00646B64">
              <w:rPr>
                <w:rFonts w:ascii="Times New Roman" w:hAnsi="Times New Roman"/>
                <w:bCs/>
                <w:sz w:val="20"/>
                <w:szCs w:val="20"/>
              </w:rPr>
              <w:t>Le déversement accidentel de polluants ou hydrocarbures (fioul, huiles)</w:t>
            </w:r>
            <w:bookmarkEnd w:id="494"/>
          </w:p>
        </w:tc>
        <w:tc>
          <w:tcPr>
            <w:tcW w:w="2410" w:type="dxa"/>
            <w:vMerge w:val="restart"/>
            <w:vAlign w:val="center"/>
          </w:tcPr>
          <w:p w:rsidR="00F62F78" w:rsidRPr="00646B64" w:rsidRDefault="00F62F78" w:rsidP="00F62F78">
            <w:pPr>
              <w:pStyle w:val="Listecouleur-Accent11"/>
              <w:keepNext/>
              <w:numPr>
                <w:ilvl w:val="0"/>
                <w:numId w:val="149"/>
              </w:numPr>
              <w:ind w:left="170" w:hanging="284"/>
              <w:jc w:val="left"/>
              <w:rPr>
                <w:rFonts w:ascii="Times New Roman" w:hAnsi="Times New Roman"/>
                <w:bCs/>
                <w:sz w:val="20"/>
                <w:szCs w:val="20"/>
                <w:lang w:val="fr-FR"/>
              </w:rPr>
            </w:pPr>
            <w:bookmarkStart w:id="495" w:name="_Toc32511544"/>
            <w:r w:rsidRPr="00646B64">
              <w:rPr>
                <w:rFonts w:ascii="Times New Roman" w:hAnsi="Times New Roman"/>
                <w:bCs/>
                <w:sz w:val="20"/>
                <w:szCs w:val="20"/>
                <w:lang w:val="fr-FR"/>
              </w:rPr>
              <w:t>Risque de contamination du sol,</w:t>
            </w:r>
            <w:bookmarkEnd w:id="495"/>
          </w:p>
          <w:p w:rsidR="00F62F78" w:rsidRPr="00646B64" w:rsidRDefault="00F62F78" w:rsidP="00F62F78">
            <w:pPr>
              <w:pStyle w:val="Listecouleur-Accent11"/>
              <w:keepNext/>
              <w:numPr>
                <w:ilvl w:val="0"/>
                <w:numId w:val="149"/>
              </w:numPr>
              <w:ind w:left="170" w:hanging="284"/>
              <w:jc w:val="left"/>
              <w:rPr>
                <w:rFonts w:ascii="Times New Roman" w:hAnsi="Times New Roman"/>
                <w:bCs/>
                <w:sz w:val="20"/>
                <w:szCs w:val="20"/>
                <w:lang w:val="fr-FR"/>
              </w:rPr>
            </w:pPr>
            <w:bookmarkStart w:id="496" w:name="_Toc32511545"/>
            <w:r w:rsidRPr="00646B64">
              <w:rPr>
                <w:rFonts w:ascii="Times New Roman" w:hAnsi="Times New Roman"/>
                <w:bCs/>
                <w:sz w:val="20"/>
                <w:szCs w:val="20"/>
                <w:lang w:val="fr-FR"/>
              </w:rPr>
              <w:t>Risque de pollutions du sol et des sous-sols,</w:t>
            </w:r>
            <w:bookmarkEnd w:id="496"/>
          </w:p>
          <w:p w:rsidR="00F62F78" w:rsidRPr="00646B64" w:rsidRDefault="00F62F78" w:rsidP="00F62F78">
            <w:pPr>
              <w:pStyle w:val="Listecouleur-Accent11"/>
              <w:keepNext/>
              <w:numPr>
                <w:ilvl w:val="0"/>
                <w:numId w:val="149"/>
              </w:numPr>
              <w:ind w:left="170" w:hanging="284"/>
              <w:jc w:val="left"/>
              <w:rPr>
                <w:rFonts w:ascii="Times New Roman" w:hAnsi="Times New Roman"/>
                <w:bCs/>
                <w:sz w:val="20"/>
                <w:szCs w:val="20"/>
                <w:lang w:val="fr-FR"/>
              </w:rPr>
            </w:pPr>
            <w:bookmarkStart w:id="497" w:name="_Toc32511546"/>
            <w:r w:rsidRPr="00646B64">
              <w:rPr>
                <w:rFonts w:ascii="Times New Roman" w:hAnsi="Times New Roman"/>
                <w:bCs/>
                <w:sz w:val="20"/>
                <w:szCs w:val="20"/>
                <w:lang w:val="fr-FR"/>
              </w:rPr>
              <w:t>Risque d’une fragilisation et d’un tassement des sols  et  du  sous-sol</w:t>
            </w:r>
            <w:bookmarkEnd w:id="497"/>
          </w:p>
        </w:tc>
        <w:tc>
          <w:tcPr>
            <w:tcW w:w="9214" w:type="dxa"/>
          </w:tcPr>
          <w:p w:rsidR="00F62F78" w:rsidRPr="000D596B" w:rsidRDefault="00F62F78" w:rsidP="00F62F78">
            <w:pPr>
              <w:jc w:val="both"/>
              <w:rPr>
                <w:rFonts w:ascii="Times New Roman" w:hAnsi="Times New Roman"/>
                <w:b/>
                <w:bCs/>
                <w:sz w:val="20"/>
                <w:szCs w:val="20"/>
              </w:rPr>
            </w:pPr>
            <w:r w:rsidRPr="00646B64">
              <w:rPr>
                <w:rFonts w:ascii="Times New Roman" w:hAnsi="Times New Roman"/>
                <w:sz w:val="20"/>
                <w:szCs w:val="20"/>
              </w:rPr>
              <w:t xml:space="preserve">L’entreprise devra limiter ces activités au niveau des zones d’emprises retenues dans les différents sites. </w:t>
            </w:r>
          </w:p>
        </w:tc>
      </w:tr>
      <w:tr w:rsidR="00F62F78" w:rsidRPr="00646B64" w:rsidTr="00C821BE">
        <w:tc>
          <w:tcPr>
            <w:tcW w:w="1905" w:type="dxa"/>
            <w:vMerge/>
            <w:shd w:val="clear" w:color="auto" w:fill="E2EFD9" w:themeFill="accent6" w:themeFillTint="33"/>
          </w:tcPr>
          <w:p w:rsidR="00F62F78" w:rsidRPr="00646B64" w:rsidRDefault="00F62F78" w:rsidP="00F62F78">
            <w:pPr>
              <w:pStyle w:val="Listecouleur-Accent11"/>
              <w:keepNext/>
              <w:ind w:left="0"/>
              <w:rPr>
                <w:rFonts w:ascii="Times New Roman" w:hAnsi="Times New Roman"/>
                <w:b/>
                <w:sz w:val="20"/>
                <w:szCs w:val="20"/>
                <w:u w:val="single"/>
                <w:lang w:val="fr-FR" w:eastAsia="fr-FR"/>
              </w:rPr>
            </w:pPr>
          </w:p>
        </w:tc>
        <w:tc>
          <w:tcPr>
            <w:tcW w:w="2206" w:type="dxa"/>
            <w:vMerge/>
          </w:tcPr>
          <w:p w:rsidR="00F62F78" w:rsidRPr="00646B64" w:rsidRDefault="00F62F78" w:rsidP="00F62F78">
            <w:pPr>
              <w:pStyle w:val="Listecouleur-Accent11"/>
              <w:keepNext/>
              <w:ind w:left="0"/>
              <w:rPr>
                <w:rFonts w:ascii="Times New Roman" w:hAnsi="Times New Roman"/>
                <w:b/>
                <w:sz w:val="20"/>
                <w:szCs w:val="20"/>
                <w:lang w:val="fr-FR" w:eastAsia="fr-FR"/>
              </w:rPr>
            </w:pPr>
          </w:p>
        </w:tc>
        <w:tc>
          <w:tcPr>
            <w:tcW w:w="2410" w:type="dxa"/>
            <w:vMerge/>
          </w:tcPr>
          <w:p w:rsidR="00F62F78" w:rsidRPr="00646B64" w:rsidRDefault="00F62F78" w:rsidP="00F62F78">
            <w:pPr>
              <w:pStyle w:val="Listecouleur-Accent11"/>
              <w:keepNext/>
              <w:ind w:left="0"/>
              <w:rPr>
                <w:rFonts w:ascii="Times New Roman" w:hAnsi="Times New Roman"/>
                <w:color w:val="000000"/>
                <w:sz w:val="20"/>
                <w:szCs w:val="20"/>
                <w:lang w:val="fr-FR"/>
              </w:rPr>
            </w:pPr>
          </w:p>
        </w:tc>
        <w:tc>
          <w:tcPr>
            <w:tcW w:w="9214" w:type="dxa"/>
          </w:tcPr>
          <w:p w:rsidR="00F62F78" w:rsidRPr="00646B64" w:rsidRDefault="00F62F78" w:rsidP="00F62F78">
            <w:pPr>
              <w:jc w:val="both"/>
              <w:rPr>
                <w:rFonts w:ascii="Times New Roman" w:hAnsi="Times New Roman"/>
                <w:sz w:val="20"/>
                <w:szCs w:val="20"/>
              </w:rPr>
            </w:pPr>
            <w:r w:rsidRPr="00646B64">
              <w:rPr>
                <w:rFonts w:ascii="Times New Roman" w:hAnsi="Times New Roman"/>
                <w:sz w:val="20"/>
                <w:szCs w:val="20"/>
              </w:rPr>
              <w:t xml:space="preserve">Veiller empiler les déblais à proximité des sillons et remettre l’état initial des zones </w:t>
            </w:r>
            <w:r>
              <w:rPr>
                <w:rFonts w:ascii="Times New Roman" w:hAnsi="Times New Roman"/>
                <w:sz w:val="20"/>
                <w:szCs w:val="20"/>
              </w:rPr>
              <w:t xml:space="preserve">d’intervention des activités.  </w:t>
            </w:r>
          </w:p>
        </w:tc>
      </w:tr>
      <w:tr w:rsidR="00F62F78" w:rsidRPr="00646B64" w:rsidTr="00C821BE">
        <w:tc>
          <w:tcPr>
            <w:tcW w:w="1905" w:type="dxa"/>
            <w:vMerge/>
            <w:shd w:val="clear" w:color="auto" w:fill="E2EFD9" w:themeFill="accent6" w:themeFillTint="33"/>
          </w:tcPr>
          <w:p w:rsidR="00F62F78" w:rsidRPr="00646B64" w:rsidRDefault="00F62F78" w:rsidP="00F62F78">
            <w:pPr>
              <w:pStyle w:val="Listecouleur-Accent11"/>
              <w:keepNext/>
              <w:ind w:left="0"/>
              <w:rPr>
                <w:rFonts w:ascii="Times New Roman" w:hAnsi="Times New Roman"/>
                <w:b/>
                <w:sz w:val="20"/>
                <w:szCs w:val="20"/>
                <w:u w:val="single"/>
                <w:lang w:val="fr-FR" w:eastAsia="fr-FR"/>
              </w:rPr>
            </w:pPr>
          </w:p>
        </w:tc>
        <w:tc>
          <w:tcPr>
            <w:tcW w:w="2206" w:type="dxa"/>
            <w:vMerge/>
          </w:tcPr>
          <w:p w:rsidR="00F62F78" w:rsidRPr="00646B64" w:rsidRDefault="00F62F78" w:rsidP="00F62F78">
            <w:pPr>
              <w:pStyle w:val="Listecouleur-Accent11"/>
              <w:keepNext/>
              <w:ind w:left="0"/>
              <w:rPr>
                <w:rFonts w:ascii="Times New Roman" w:hAnsi="Times New Roman"/>
                <w:b/>
                <w:sz w:val="20"/>
                <w:szCs w:val="20"/>
                <w:lang w:val="fr-FR" w:eastAsia="fr-FR"/>
              </w:rPr>
            </w:pPr>
          </w:p>
        </w:tc>
        <w:tc>
          <w:tcPr>
            <w:tcW w:w="2410" w:type="dxa"/>
            <w:vMerge/>
          </w:tcPr>
          <w:p w:rsidR="00F62F78" w:rsidRPr="00646B64" w:rsidRDefault="00F62F78" w:rsidP="00F62F78">
            <w:pPr>
              <w:pStyle w:val="Listecouleur-Accent11"/>
              <w:keepNext/>
              <w:ind w:left="0"/>
              <w:rPr>
                <w:rFonts w:ascii="Times New Roman" w:hAnsi="Times New Roman"/>
                <w:color w:val="000000"/>
                <w:sz w:val="20"/>
                <w:szCs w:val="20"/>
                <w:lang w:val="fr-FR"/>
              </w:rPr>
            </w:pPr>
          </w:p>
        </w:tc>
        <w:tc>
          <w:tcPr>
            <w:tcW w:w="9214" w:type="dxa"/>
          </w:tcPr>
          <w:p w:rsidR="00F62F78" w:rsidRPr="00646B64" w:rsidRDefault="00F62F78" w:rsidP="00F62F78">
            <w:pPr>
              <w:jc w:val="both"/>
              <w:rPr>
                <w:rFonts w:ascii="Times New Roman" w:hAnsi="Times New Roman"/>
                <w:sz w:val="20"/>
                <w:szCs w:val="20"/>
              </w:rPr>
            </w:pPr>
            <w:r w:rsidRPr="00646B64">
              <w:rPr>
                <w:rFonts w:ascii="Times New Roman" w:hAnsi="Times New Roman"/>
                <w:sz w:val="20"/>
                <w:szCs w:val="20"/>
              </w:rPr>
              <w:t>Mettre en place une bonne gestion des hydrocarbures et éviter tout déversement d’hydrocarbure sur le sol venant des véhicules ou des engins et des récipients stockages.</w:t>
            </w:r>
          </w:p>
          <w:p w:rsidR="00F62F78" w:rsidRPr="00646B64" w:rsidRDefault="00F62F78" w:rsidP="00F62F78">
            <w:pPr>
              <w:jc w:val="both"/>
              <w:rPr>
                <w:rFonts w:ascii="Times New Roman" w:hAnsi="Times New Roman"/>
                <w:sz w:val="20"/>
                <w:szCs w:val="20"/>
              </w:rPr>
            </w:pPr>
            <w:r w:rsidRPr="00646B64">
              <w:rPr>
                <w:rFonts w:ascii="Times New Roman" w:hAnsi="Times New Roman"/>
                <w:sz w:val="20"/>
                <w:szCs w:val="20"/>
              </w:rPr>
              <w:t>Avoir toujours sur le chantier de la chaux vive pour une intervention rapide en cas de déversement accidentel d’hydrocarbures sur le sol</w:t>
            </w:r>
            <w:r>
              <w:rPr>
                <w:rFonts w:ascii="Times New Roman" w:hAnsi="Times New Roman"/>
                <w:sz w:val="20"/>
                <w:szCs w:val="20"/>
              </w:rPr>
              <w:t>.</w:t>
            </w:r>
          </w:p>
        </w:tc>
      </w:tr>
      <w:tr w:rsidR="00F62F78" w:rsidRPr="00646B64" w:rsidTr="00C821BE">
        <w:tc>
          <w:tcPr>
            <w:tcW w:w="1905" w:type="dxa"/>
            <w:vMerge/>
            <w:shd w:val="clear" w:color="auto" w:fill="E2EFD9" w:themeFill="accent6" w:themeFillTint="33"/>
          </w:tcPr>
          <w:p w:rsidR="00F62F78" w:rsidRPr="00646B64" w:rsidRDefault="00F62F78" w:rsidP="00F62F78">
            <w:pPr>
              <w:pStyle w:val="Listecouleur-Accent11"/>
              <w:keepNext/>
              <w:ind w:left="0"/>
              <w:rPr>
                <w:rFonts w:ascii="Times New Roman" w:hAnsi="Times New Roman"/>
                <w:b/>
                <w:sz w:val="20"/>
                <w:szCs w:val="20"/>
                <w:u w:val="single"/>
                <w:lang w:val="fr-FR" w:eastAsia="fr-FR"/>
              </w:rPr>
            </w:pPr>
          </w:p>
        </w:tc>
        <w:tc>
          <w:tcPr>
            <w:tcW w:w="2206" w:type="dxa"/>
            <w:vMerge/>
          </w:tcPr>
          <w:p w:rsidR="00F62F78" w:rsidRPr="00646B64" w:rsidRDefault="00F62F78" w:rsidP="00F62F78">
            <w:pPr>
              <w:pStyle w:val="Listecouleur-Accent11"/>
              <w:keepNext/>
              <w:ind w:left="0"/>
              <w:rPr>
                <w:rFonts w:ascii="Times New Roman" w:hAnsi="Times New Roman"/>
                <w:b/>
                <w:sz w:val="20"/>
                <w:szCs w:val="20"/>
                <w:lang w:val="fr-FR" w:eastAsia="fr-FR"/>
              </w:rPr>
            </w:pPr>
          </w:p>
        </w:tc>
        <w:tc>
          <w:tcPr>
            <w:tcW w:w="2410" w:type="dxa"/>
            <w:vMerge/>
          </w:tcPr>
          <w:p w:rsidR="00F62F78" w:rsidRPr="00646B64" w:rsidRDefault="00F62F78" w:rsidP="00F62F78">
            <w:pPr>
              <w:pStyle w:val="Listecouleur-Accent11"/>
              <w:keepNext/>
              <w:ind w:left="0"/>
              <w:rPr>
                <w:rFonts w:ascii="Times New Roman" w:hAnsi="Times New Roman"/>
                <w:color w:val="000000"/>
                <w:sz w:val="20"/>
                <w:szCs w:val="20"/>
                <w:lang w:val="fr-FR"/>
              </w:rPr>
            </w:pPr>
          </w:p>
        </w:tc>
        <w:tc>
          <w:tcPr>
            <w:tcW w:w="9214" w:type="dxa"/>
          </w:tcPr>
          <w:p w:rsidR="00F62F78" w:rsidRPr="00646B64" w:rsidRDefault="00F62F78" w:rsidP="00F62F78">
            <w:pPr>
              <w:jc w:val="both"/>
              <w:rPr>
                <w:rFonts w:ascii="Times New Roman" w:hAnsi="Times New Roman"/>
                <w:sz w:val="20"/>
                <w:szCs w:val="20"/>
              </w:rPr>
            </w:pPr>
            <w:r w:rsidRPr="00646B64">
              <w:rPr>
                <w:rFonts w:ascii="Times New Roman" w:hAnsi="Times New Roman"/>
                <w:sz w:val="20"/>
                <w:szCs w:val="20"/>
              </w:rPr>
              <w:t>Il est important de préciser qu’il est fortement recommandé que les sites d’occupation des entreprises soient, à la fin des travaux, mis en valeur en concertation avec les populations et restitués aux collectivités riveraines pour utilité publique. C’est pourquoi le Maitre d’Ouvrage devra exiger des entreprises de bien construire les ouvrages d’installations de chantier afin que les populations riveraines en bénéficient après les travaux.</w:t>
            </w:r>
          </w:p>
        </w:tc>
      </w:tr>
      <w:tr w:rsidR="00F62F78" w:rsidRPr="00646B64" w:rsidTr="00C821BE">
        <w:tc>
          <w:tcPr>
            <w:tcW w:w="1905" w:type="dxa"/>
            <w:vMerge/>
            <w:shd w:val="clear" w:color="auto" w:fill="E2EFD9" w:themeFill="accent6" w:themeFillTint="33"/>
          </w:tcPr>
          <w:p w:rsidR="00F62F78" w:rsidRPr="00646B64" w:rsidRDefault="00F62F78" w:rsidP="00F62F78">
            <w:pPr>
              <w:pStyle w:val="Listecouleur-Accent11"/>
              <w:keepNext/>
              <w:ind w:left="0"/>
              <w:rPr>
                <w:rFonts w:ascii="Times New Roman" w:hAnsi="Times New Roman"/>
                <w:b/>
                <w:sz w:val="20"/>
                <w:szCs w:val="20"/>
                <w:u w:val="single"/>
                <w:lang w:val="fr-FR" w:eastAsia="fr-FR"/>
              </w:rPr>
            </w:pPr>
          </w:p>
        </w:tc>
        <w:tc>
          <w:tcPr>
            <w:tcW w:w="2206" w:type="dxa"/>
            <w:vMerge/>
          </w:tcPr>
          <w:p w:rsidR="00F62F78" w:rsidRPr="00646B64" w:rsidRDefault="00F62F78" w:rsidP="00F62F78">
            <w:pPr>
              <w:pStyle w:val="Listecouleur-Accent11"/>
              <w:keepNext/>
              <w:ind w:left="0"/>
              <w:rPr>
                <w:rFonts w:ascii="Times New Roman" w:hAnsi="Times New Roman"/>
                <w:b/>
                <w:sz w:val="20"/>
                <w:szCs w:val="20"/>
                <w:lang w:val="fr-FR" w:eastAsia="fr-FR"/>
              </w:rPr>
            </w:pPr>
          </w:p>
        </w:tc>
        <w:tc>
          <w:tcPr>
            <w:tcW w:w="2410" w:type="dxa"/>
            <w:vMerge/>
          </w:tcPr>
          <w:p w:rsidR="00F62F78" w:rsidRPr="00646B64" w:rsidRDefault="00F62F78" w:rsidP="00F62F78">
            <w:pPr>
              <w:pStyle w:val="Listecouleur-Accent11"/>
              <w:keepNext/>
              <w:ind w:left="0"/>
              <w:rPr>
                <w:rFonts w:ascii="Times New Roman" w:hAnsi="Times New Roman"/>
                <w:color w:val="000000"/>
                <w:sz w:val="20"/>
                <w:szCs w:val="20"/>
                <w:lang w:val="fr-FR"/>
              </w:rPr>
            </w:pPr>
          </w:p>
        </w:tc>
        <w:tc>
          <w:tcPr>
            <w:tcW w:w="9214" w:type="dxa"/>
          </w:tcPr>
          <w:p w:rsidR="00F62F78" w:rsidRPr="00646B64" w:rsidRDefault="00F62F78" w:rsidP="00F62F78">
            <w:pPr>
              <w:jc w:val="both"/>
              <w:rPr>
                <w:rFonts w:ascii="Times New Roman" w:hAnsi="Times New Roman"/>
                <w:sz w:val="20"/>
                <w:szCs w:val="20"/>
              </w:rPr>
            </w:pPr>
            <w:r w:rsidRPr="00646B64">
              <w:rPr>
                <w:rFonts w:ascii="Times New Roman" w:hAnsi="Times New Roman"/>
                <w:sz w:val="20"/>
                <w:szCs w:val="20"/>
              </w:rPr>
              <w:t>Il est fortement conseillé d’associer les autorités locales dans le choix des sites d’occupation et d’exploitation des carrières et emprunts. Les entreprises devront s’acquitter des droits d’exploitation des carrières auprès des autorités locales avant toute exploitation.</w:t>
            </w:r>
          </w:p>
        </w:tc>
      </w:tr>
      <w:tr w:rsidR="00F62F78" w:rsidRPr="00646B64" w:rsidTr="00C821BE">
        <w:tc>
          <w:tcPr>
            <w:tcW w:w="1905" w:type="dxa"/>
            <w:vMerge/>
            <w:shd w:val="clear" w:color="auto" w:fill="E2EFD9" w:themeFill="accent6" w:themeFillTint="33"/>
          </w:tcPr>
          <w:p w:rsidR="00F62F78" w:rsidRPr="00646B64" w:rsidRDefault="00F62F78" w:rsidP="00F62F78">
            <w:pPr>
              <w:pStyle w:val="Listecouleur-Accent11"/>
              <w:keepNext/>
              <w:ind w:left="0"/>
              <w:rPr>
                <w:rFonts w:ascii="Times New Roman" w:hAnsi="Times New Roman"/>
                <w:b/>
                <w:sz w:val="20"/>
                <w:szCs w:val="20"/>
                <w:u w:val="single"/>
                <w:lang w:val="fr-FR" w:eastAsia="fr-FR"/>
              </w:rPr>
            </w:pPr>
          </w:p>
        </w:tc>
        <w:tc>
          <w:tcPr>
            <w:tcW w:w="2206" w:type="dxa"/>
            <w:vMerge/>
          </w:tcPr>
          <w:p w:rsidR="00F62F78" w:rsidRPr="00646B64" w:rsidRDefault="00F62F78" w:rsidP="00F62F78">
            <w:pPr>
              <w:pStyle w:val="Listecouleur-Accent11"/>
              <w:keepNext/>
              <w:ind w:left="0"/>
              <w:rPr>
                <w:rFonts w:ascii="Times New Roman" w:hAnsi="Times New Roman"/>
                <w:b/>
                <w:sz w:val="20"/>
                <w:szCs w:val="20"/>
                <w:lang w:val="fr-FR" w:eastAsia="fr-FR"/>
              </w:rPr>
            </w:pPr>
          </w:p>
        </w:tc>
        <w:tc>
          <w:tcPr>
            <w:tcW w:w="2410" w:type="dxa"/>
            <w:vMerge/>
          </w:tcPr>
          <w:p w:rsidR="00F62F78" w:rsidRPr="00646B64" w:rsidRDefault="00F62F78" w:rsidP="00F62F78">
            <w:pPr>
              <w:pStyle w:val="Listecouleur-Accent11"/>
              <w:keepNext/>
              <w:ind w:left="0"/>
              <w:rPr>
                <w:rFonts w:ascii="Times New Roman" w:hAnsi="Times New Roman"/>
                <w:color w:val="000000"/>
                <w:sz w:val="20"/>
                <w:szCs w:val="20"/>
                <w:lang w:val="fr-FR"/>
              </w:rPr>
            </w:pPr>
          </w:p>
        </w:tc>
        <w:tc>
          <w:tcPr>
            <w:tcW w:w="9214" w:type="dxa"/>
          </w:tcPr>
          <w:p w:rsidR="00F62F78" w:rsidRPr="00646B64" w:rsidRDefault="00F62F78" w:rsidP="00F62F78">
            <w:pPr>
              <w:jc w:val="both"/>
              <w:rPr>
                <w:rFonts w:ascii="Times New Roman" w:hAnsi="Times New Roman"/>
                <w:sz w:val="20"/>
                <w:szCs w:val="20"/>
              </w:rPr>
            </w:pPr>
            <w:r w:rsidRPr="00646B64">
              <w:rPr>
                <w:rFonts w:ascii="Times New Roman" w:hAnsi="Times New Roman"/>
                <w:sz w:val="20"/>
                <w:szCs w:val="20"/>
              </w:rPr>
              <w:t>Sur les sites occupés, il serait important de protéger le sol. Pour cela, il est conseillé que des zones de moindres risques (loin des points bas inondables et surtout en aval de ceux-ci) soient choisies et que de bonnes pratiques soient privilégiées. Ainsi, certains éléments doivent figurer dans les plans d’occupation</w:t>
            </w:r>
            <w:r>
              <w:rPr>
                <w:rFonts w:ascii="Times New Roman" w:hAnsi="Times New Roman"/>
                <w:sz w:val="20"/>
                <w:szCs w:val="20"/>
              </w:rPr>
              <w:t xml:space="preserve"> des entreprises. Il s’agit de </w:t>
            </w:r>
          </w:p>
          <w:p w:rsidR="00F62F78" w:rsidRPr="00646B64" w:rsidRDefault="00F62F78" w:rsidP="00F62F78">
            <w:pPr>
              <w:pStyle w:val="Listecouleur-Accent11"/>
              <w:numPr>
                <w:ilvl w:val="0"/>
                <w:numId w:val="107"/>
              </w:numPr>
              <w:rPr>
                <w:rFonts w:ascii="Times New Roman" w:hAnsi="Times New Roman"/>
                <w:sz w:val="20"/>
                <w:szCs w:val="20"/>
                <w:lang w:val="fr-FR"/>
              </w:rPr>
            </w:pPr>
            <w:r w:rsidRPr="00646B64">
              <w:rPr>
                <w:rFonts w:ascii="Times New Roman" w:hAnsi="Times New Roman"/>
                <w:sz w:val="20"/>
                <w:szCs w:val="20"/>
                <w:lang w:val="fr-FR"/>
              </w:rPr>
              <w:t>Bien choisir les sites d’occupation et de stockage des déchets (500m des premières habitations ou zone sensible) ;</w:t>
            </w:r>
          </w:p>
          <w:p w:rsidR="00F62F78" w:rsidRPr="00646B64" w:rsidRDefault="00F62F78" w:rsidP="00F62F78">
            <w:pPr>
              <w:pStyle w:val="Listecouleur-Accent11"/>
              <w:numPr>
                <w:ilvl w:val="0"/>
                <w:numId w:val="107"/>
              </w:numPr>
              <w:rPr>
                <w:rFonts w:ascii="Times New Roman" w:hAnsi="Times New Roman"/>
                <w:sz w:val="20"/>
                <w:szCs w:val="20"/>
                <w:lang w:val="fr-FR"/>
              </w:rPr>
            </w:pPr>
            <w:r w:rsidRPr="00646B64">
              <w:rPr>
                <w:rFonts w:ascii="Times New Roman" w:hAnsi="Times New Roman"/>
                <w:sz w:val="20"/>
                <w:szCs w:val="20"/>
                <w:lang w:val="fr-FR"/>
              </w:rPr>
              <w:t>Protéger le sol par une couche de latérite compactée ;</w:t>
            </w:r>
          </w:p>
          <w:p w:rsidR="00F62F78" w:rsidRPr="00646B64" w:rsidRDefault="00F62F78" w:rsidP="00F62F78">
            <w:pPr>
              <w:pStyle w:val="Listecouleur-Accent11"/>
              <w:numPr>
                <w:ilvl w:val="0"/>
                <w:numId w:val="107"/>
              </w:numPr>
              <w:rPr>
                <w:rFonts w:ascii="Times New Roman" w:hAnsi="Times New Roman"/>
                <w:sz w:val="20"/>
                <w:szCs w:val="20"/>
                <w:lang w:val="fr-FR"/>
              </w:rPr>
            </w:pPr>
            <w:r w:rsidRPr="00646B64">
              <w:rPr>
                <w:rFonts w:ascii="Times New Roman" w:hAnsi="Times New Roman"/>
                <w:sz w:val="20"/>
                <w:szCs w:val="20"/>
                <w:lang w:val="fr-FR"/>
              </w:rPr>
              <w:t>Utiliser une couche de béton (5 à 10cm) sur l’espace choisi pour le lavage, la vidange des engins et le stockage des batteries et autres filtres à huiles usagées ;</w:t>
            </w:r>
          </w:p>
          <w:p w:rsidR="00F62F78" w:rsidRPr="00646B64" w:rsidRDefault="00F62F78" w:rsidP="00F62F78">
            <w:pPr>
              <w:pStyle w:val="Listecouleur-Accent11"/>
              <w:numPr>
                <w:ilvl w:val="0"/>
                <w:numId w:val="107"/>
              </w:numPr>
              <w:rPr>
                <w:rFonts w:ascii="Times New Roman" w:hAnsi="Times New Roman"/>
                <w:sz w:val="20"/>
                <w:szCs w:val="20"/>
                <w:lang w:val="fr-FR"/>
              </w:rPr>
            </w:pPr>
            <w:r w:rsidRPr="00646B64">
              <w:rPr>
                <w:rFonts w:ascii="Times New Roman" w:hAnsi="Times New Roman"/>
                <w:sz w:val="20"/>
                <w:szCs w:val="20"/>
                <w:lang w:val="fr-FR"/>
              </w:rPr>
              <w:t xml:space="preserve">Ramasser les déchets et de procéder à leur traitement écologiquement responsable ; </w:t>
            </w:r>
          </w:p>
          <w:p w:rsidR="00F62F78" w:rsidRPr="00646B64" w:rsidRDefault="00F62F78" w:rsidP="00F62F78">
            <w:pPr>
              <w:jc w:val="both"/>
              <w:rPr>
                <w:rFonts w:ascii="Times New Roman" w:hAnsi="Times New Roman"/>
                <w:sz w:val="20"/>
                <w:szCs w:val="20"/>
              </w:rPr>
            </w:pPr>
            <w:r w:rsidRPr="00646B64">
              <w:rPr>
                <w:rFonts w:ascii="Times New Roman" w:hAnsi="Times New Roman"/>
                <w:sz w:val="20"/>
                <w:szCs w:val="20"/>
              </w:rPr>
              <w:t xml:space="preserve">Evider de bruler les déchets afin de ne pas provoquer de départ d’incendie ou de feu de brousse. </w:t>
            </w:r>
          </w:p>
        </w:tc>
      </w:tr>
      <w:tr w:rsidR="00F62F78" w:rsidRPr="00646B64" w:rsidTr="00C821BE">
        <w:tc>
          <w:tcPr>
            <w:tcW w:w="1905" w:type="dxa"/>
            <w:vMerge w:val="restart"/>
            <w:shd w:val="clear" w:color="auto" w:fill="E2EFD9" w:themeFill="accent6" w:themeFillTint="33"/>
            <w:vAlign w:val="center"/>
          </w:tcPr>
          <w:p w:rsidR="00F62F78" w:rsidRDefault="00F62F78" w:rsidP="00F62F78">
            <w:pPr>
              <w:pStyle w:val="Listecouleur-Accent11"/>
              <w:keepNext/>
              <w:ind w:left="0"/>
              <w:jc w:val="center"/>
              <w:rPr>
                <w:rFonts w:ascii="Times New Roman" w:hAnsi="Times New Roman"/>
                <w:b/>
                <w:iCs/>
                <w:sz w:val="32"/>
                <w:szCs w:val="32"/>
                <w:lang w:val="fr-FR"/>
              </w:rPr>
            </w:pPr>
            <w:bookmarkStart w:id="498" w:name="_Toc32511547"/>
            <w:r>
              <w:rPr>
                <w:rFonts w:ascii="Times New Roman" w:hAnsi="Times New Roman"/>
                <w:b/>
                <w:iCs/>
                <w:sz w:val="32"/>
                <w:szCs w:val="32"/>
                <w:lang w:val="fr-FR"/>
              </w:rPr>
              <w:lastRenderedPageBreak/>
              <w:t>E</w:t>
            </w:r>
            <w:r w:rsidRPr="000D596B">
              <w:rPr>
                <w:rFonts w:ascii="Times New Roman" w:hAnsi="Times New Roman"/>
                <w:b/>
                <w:iCs/>
                <w:sz w:val="32"/>
                <w:szCs w:val="32"/>
                <w:lang w:val="fr-FR"/>
              </w:rPr>
              <w:t>aux de surface</w:t>
            </w:r>
            <w:bookmarkEnd w:id="498"/>
          </w:p>
          <w:p w:rsidR="00F62F78" w:rsidRDefault="00F62F78" w:rsidP="00F62F78">
            <w:pPr>
              <w:pStyle w:val="Listecouleur-Accent11"/>
              <w:keepNext/>
              <w:ind w:left="0"/>
              <w:jc w:val="center"/>
              <w:rPr>
                <w:rFonts w:ascii="Times New Roman" w:hAnsi="Times New Roman"/>
                <w:b/>
                <w:iCs/>
                <w:sz w:val="32"/>
                <w:szCs w:val="32"/>
                <w:lang w:val="fr-FR"/>
              </w:rPr>
            </w:pPr>
            <w:bookmarkStart w:id="499" w:name="_Toc32511548"/>
            <w:r>
              <w:rPr>
                <w:rFonts w:ascii="Times New Roman" w:hAnsi="Times New Roman"/>
                <w:b/>
                <w:iCs/>
                <w:sz w:val="32"/>
                <w:szCs w:val="32"/>
                <w:lang w:val="fr-FR"/>
              </w:rPr>
              <w:t>Et</w:t>
            </w:r>
            <w:bookmarkEnd w:id="499"/>
          </w:p>
          <w:p w:rsidR="00F62F78" w:rsidRPr="000D596B" w:rsidRDefault="00F62F78" w:rsidP="00F62F78">
            <w:pPr>
              <w:pStyle w:val="Listecouleur-Accent11"/>
              <w:keepNext/>
              <w:ind w:left="0"/>
              <w:jc w:val="center"/>
              <w:rPr>
                <w:rFonts w:ascii="Times New Roman" w:hAnsi="Times New Roman"/>
                <w:b/>
                <w:iCs/>
                <w:sz w:val="32"/>
                <w:szCs w:val="32"/>
                <w:lang w:val="fr-FR"/>
              </w:rPr>
            </w:pPr>
            <w:bookmarkStart w:id="500" w:name="_Toc32511549"/>
            <w:r>
              <w:rPr>
                <w:rFonts w:ascii="Times New Roman" w:hAnsi="Times New Roman"/>
                <w:b/>
                <w:iCs/>
                <w:sz w:val="32"/>
                <w:szCs w:val="32"/>
                <w:lang w:val="fr-FR"/>
              </w:rPr>
              <w:t>E</w:t>
            </w:r>
            <w:r w:rsidRPr="000D596B">
              <w:rPr>
                <w:rFonts w:ascii="Times New Roman" w:hAnsi="Times New Roman"/>
                <w:b/>
                <w:iCs/>
                <w:sz w:val="32"/>
                <w:szCs w:val="32"/>
                <w:lang w:val="fr-FR"/>
              </w:rPr>
              <w:t>aux souterraines</w:t>
            </w:r>
            <w:bookmarkEnd w:id="500"/>
          </w:p>
        </w:tc>
        <w:tc>
          <w:tcPr>
            <w:tcW w:w="2206" w:type="dxa"/>
            <w:vMerge w:val="restart"/>
            <w:vAlign w:val="center"/>
          </w:tcPr>
          <w:p w:rsidR="00F62F78" w:rsidRPr="000D596B" w:rsidRDefault="00F62F78" w:rsidP="00F62F78">
            <w:pPr>
              <w:pStyle w:val="Listecouleur-Accent11"/>
              <w:keepNext/>
              <w:numPr>
                <w:ilvl w:val="0"/>
                <w:numId w:val="103"/>
              </w:numPr>
              <w:ind w:left="89" w:hanging="142"/>
              <w:jc w:val="left"/>
              <w:rPr>
                <w:rFonts w:ascii="Times New Roman" w:hAnsi="Times New Roman"/>
                <w:bCs/>
                <w:sz w:val="20"/>
                <w:szCs w:val="20"/>
              </w:rPr>
            </w:pPr>
            <w:bookmarkStart w:id="501" w:name="_Toc32511550"/>
            <w:r w:rsidRPr="000D596B">
              <w:rPr>
                <w:rFonts w:ascii="Times New Roman" w:hAnsi="Times New Roman"/>
                <w:bCs/>
                <w:sz w:val="20"/>
                <w:szCs w:val="20"/>
              </w:rPr>
              <w:t>les rejets polluants liquides ou solides provenant des chantiers (peintures, chaux, eaux usées, ciment, etc.) ;</w:t>
            </w:r>
            <w:bookmarkEnd w:id="501"/>
          </w:p>
          <w:p w:rsidR="00F62F78" w:rsidRPr="000D596B" w:rsidRDefault="00F62F78" w:rsidP="00F62F78">
            <w:pPr>
              <w:pStyle w:val="Listecouleur-Accent11"/>
              <w:keepNext/>
              <w:numPr>
                <w:ilvl w:val="0"/>
                <w:numId w:val="103"/>
              </w:numPr>
              <w:ind w:left="89" w:hanging="142"/>
              <w:jc w:val="left"/>
              <w:rPr>
                <w:rFonts w:ascii="Times New Roman" w:hAnsi="Times New Roman"/>
                <w:bCs/>
                <w:sz w:val="20"/>
                <w:szCs w:val="20"/>
              </w:rPr>
            </w:pPr>
            <w:bookmarkStart w:id="502" w:name="_Toc32511551"/>
            <w:r w:rsidRPr="000D596B">
              <w:rPr>
                <w:rFonts w:ascii="Times New Roman" w:hAnsi="Times New Roman"/>
                <w:bCs/>
                <w:sz w:val="20"/>
                <w:szCs w:val="20"/>
              </w:rPr>
              <w:t>les travaux de terrassement et d’excavation ;</w:t>
            </w:r>
            <w:bookmarkEnd w:id="502"/>
          </w:p>
        </w:tc>
        <w:tc>
          <w:tcPr>
            <w:tcW w:w="2410" w:type="dxa"/>
            <w:vMerge w:val="restart"/>
            <w:vAlign w:val="center"/>
          </w:tcPr>
          <w:p w:rsidR="00F62F78" w:rsidRPr="000D596B" w:rsidRDefault="00F62F78" w:rsidP="00F62F78">
            <w:pPr>
              <w:pStyle w:val="Listecouleur-Accent11"/>
              <w:keepNext/>
              <w:numPr>
                <w:ilvl w:val="0"/>
                <w:numId w:val="149"/>
              </w:numPr>
              <w:ind w:left="170" w:hanging="284"/>
              <w:jc w:val="left"/>
              <w:rPr>
                <w:rFonts w:ascii="Times New Roman" w:hAnsi="Times New Roman"/>
                <w:bCs/>
                <w:sz w:val="20"/>
                <w:szCs w:val="20"/>
                <w:lang w:val="fr-FR"/>
              </w:rPr>
            </w:pPr>
            <w:bookmarkStart w:id="503" w:name="_Toc32511552"/>
            <w:r w:rsidRPr="000D596B">
              <w:rPr>
                <w:rFonts w:ascii="Times New Roman" w:hAnsi="Times New Roman"/>
                <w:bCs/>
                <w:sz w:val="20"/>
                <w:szCs w:val="20"/>
                <w:lang w:val="fr-FR"/>
              </w:rPr>
              <w:t>Risque de pollution de la qualité de l’eau de surface et souterraines,</w:t>
            </w:r>
            <w:bookmarkEnd w:id="503"/>
          </w:p>
        </w:tc>
        <w:tc>
          <w:tcPr>
            <w:tcW w:w="9214" w:type="dxa"/>
          </w:tcPr>
          <w:p w:rsidR="00F62F78" w:rsidRPr="00646B64" w:rsidRDefault="00F62F78" w:rsidP="00F62F78">
            <w:pPr>
              <w:jc w:val="both"/>
              <w:rPr>
                <w:rFonts w:ascii="Times New Roman" w:hAnsi="Times New Roman"/>
                <w:sz w:val="20"/>
                <w:szCs w:val="20"/>
              </w:rPr>
            </w:pPr>
            <w:r w:rsidRPr="00646B64">
              <w:rPr>
                <w:rFonts w:ascii="Times New Roman" w:hAnsi="Times New Roman"/>
                <w:sz w:val="20"/>
                <w:szCs w:val="20"/>
              </w:rPr>
              <w:t xml:space="preserve">Le stockage des produits susceptibles de générer de la pollution sur les eaux (carburant, hydrocarbures, batteries mortes, acides, câble, solvants, acides, déchets solides souillés, etc.) devra se faire dans le respect strict des normes de sécurités environnementales. C’est-à-dire, au niveau de la base de chantier terrestre faire en sorte qu’aucun de ces produits ne se propagent en pleine mer ou sur le sol. </w:t>
            </w:r>
          </w:p>
          <w:p w:rsidR="00F62F78" w:rsidRPr="00646B64" w:rsidRDefault="00F62F78" w:rsidP="00F62F78">
            <w:pPr>
              <w:jc w:val="both"/>
              <w:rPr>
                <w:rFonts w:ascii="Times New Roman" w:hAnsi="Times New Roman"/>
                <w:sz w:val="20"/>
                <w:szCs w:val="20"/>
              </w:rPr>
            </w:pPr>
            <w:r w:rsidRPr="00646B64">
              <w:rPr>
                <w:rFonts w:ascii="Times New Roman" w:hAnsi="Times New Roman"/>
                <w:sz w:val="20"/>
                <w:szCs w:val="20"/>
              </w:rPr>
              <w:t>Au niveau terrestre, l’entreprise devra bétonner la surface du sol ou seront entreposés ces produits polluants pour éviter tout contact avec l’eau de pluie ou toute autre source d’eau de ruissellement.</w:t>
            </w:r>
          </w:p>
        </w:tc>
      </w:tr>
      <w:tr w:rsidR="00F62F78" w:rsidRPr="00646B64" w:rsidTr="00C821BE">
        <w:tc>
          <w:tcPr>
            <w:tcW w:w="1905" w:type="dxa"/>
            <w:vMerge/>
            <w:shd w:val="clear" w:color="auto" w:fill="E2EFD9" w:themeFill="accent6" w:themeFillTint="33"/>
          </w:tcPr>
          <w:p w:rsidR="00F62F78" w:rsidRPr="000D596B" w:rsidRDefault="00F62F78" w:rsidP="00F62F78">
            <w:pPr>
              <w:pStyle w:val="Listecouleur-Accent11"/>
              <w:keepNext/>
              <w:ind w:left="0"/>
              <w:jc w:val="center"/>
              <w:rPr>
                <w:rFonts w:ascii="Times New Roman" w:hAnsi="Times New Roman"/>
                <w:b/>
                <w:iCs/>
                <w:sz w:val="32"/>
                <w:szCs w:val="32"/>
                <w:lang w:val="fr-FR"/>
              </w:rPr>
            </w:pPr>
          </w:p>
        </w:tc>
        <w:tc>
          <w:tcPr>
            <w:tcW w:w="2206" w:type="dxa"/>
            <w:vMerge/>
          </w:tcPr>
          <w:p w:rsidR="00F62F78" w:rsidRPr="000D596B" w:rsidRDefault="00F62F78" w:rsidP="00F62F78">
            <w:pPr>
              <w:pStyle w:val="Listecouleur-Accent11"/>
              <w:keepNext/>
              <w:numPr>
                <w:ilvl w:val="0"/>
                <w:numId w:val="103"/>
              </w:numPr>
              <w:ind w:left="89" w:hanging="142"/>
              <w:jc w:val="left"/>
              <w:rPr>
                <w:rFonts w:ascii="Times New Roman" w:hAnsi="Times New Roman"/>
                <w:bCs/>
                <w:sz w:val="20"/>
                <w:szCs w:val="20"/>
              </w:rPr>
            </w:pPr>
            <w:bookmarkStart w:id="504" w:name="_Toc32511553"/>
            <w:bookmarkEnd w:id="504"/>
          </w:p>
        </w:tc>
        <w:tc>
          <w:tcPr>
            <w:tcW w:w="2410" w:type="dxa"/>
            <w:vMerge/>
          </w:tcPr>
          <w:p w:rsidR="00F62F78" w:rsidRPr="000D596B" w:rsidRDefault="00F62F78" w:rsidP="00F62F78">
            <w:pPr>
              <w:pStyle w:val="Listecouleur-Accent11"/>
              <w:keepNext/>
              <w:numPr>
                <w:ilvl w:val="0"/>
                <w:numId w:val="149"/>
              </w:numPr>
              <w:ind w:left="170" w:hanging="284"/>
              <w:jc w:val="left"/>
              <w:rPr>
                <w:rFonts w:ascii="Times New Roman" w:hAnsi="Times New Roman"/>
                <w:bCs/>
                <w:sz w:val="20"/>
                <w:szCs w:val="20"/>
                <w:lang w:val="fr-FR"/>
              </w:rPr>
            </w:pPr>
            <w:bookmarkStart w:id="505" w:name="_Toc32511554"/>
            <w:bookmarkEnd w:id="505"/>
          </w:p>
        </w:tc>
        <w:tc>
          <w:tcPr>
            <w:tcW w:w="9214" w:type="dxa"/>
          </w:tcPr>
          <w:p w:rsidR="00F62F78" w:rsidRPr="00646B64" w:rsidRDefault="00F62F78" w:rsidP="00F62F78">
            <w:pPr>
              <w:ind w:right="-109"/>
              <w:jc w:val="both"/>
              <w:rPr>
                <w:rFonts w:ascii="Times New Roman" w:hAnsi="Times New Roman"/>
                <w:sz w:val="20"/>
                <w:szCs w:val="20"/>
              </w:rPr>
            </w:pPr>
            <w:r w:rsidRPr="00646B64">
              <w:rPr>
                <w:rFonts w:ascii="Times New Roman" w:hAnsi="Times New Roman"/>
                <w:sz w:val="20"/>
                <w:szCs w:val="20"/>
              </w:rPr>
              <w:t>L’entreprise est tenue d’effectuer toutes ses activités de nettoyage, d’entretien et le ravitaillement en carburant sur le chantier, devra respecter les normes de sécurité afin de prévenir l’introduction des substances nocives dans les eaux de surface.</w:t>
            </w:r>
          </w:p>
          <w:p w:rsidR="00F62F78" w:rsidRDefault="00F62F78" w:rsidP="00F62F78">
            <w:pPr>
              <w:jc w:val="both"/>
              <w:rPr>
                <w:rFonts w:ascii="Times New Roman" w:hAnsi="Times New Roman"/>
                <w:sz w:val="20"/>
                <w:szCs w:val="20"/>
              </w:rPr>
            </w:pPr>
            <w:r w:rsidRPr="00646B64">
              <w:rPr>
                <w:rFonts w:ascii="Times New Roman" w:hAnsi="Times New Roman"/>
                <w:sz w:val="20"/>
                <w:szCs w:val="20"/>
              </w:rPr>
              <w:t>Sensibiliser les ouvriers et les ravitailleurs par rapport au dégât que c’est déversement d’hydrocarbure pourront causer sur les ressources en eau, de plus la nap</w:t>
            </w:r>
            <w:r>
              <w:rPr>
                <w:rFonts w:ascii="Times New Roman" w:hAnsi="Times New Roman"/>
                <w:sz w:val="20"/>
                <w:szCs w:val="20"/>
              </w:rPr>
              <w:t>pe affleure à certain endroit.</w:t>
            </w:r>
          </w:p>
          <w:p w:rsidR="00F62F78" w:rsidRDefault="00F62F78" w:rsidP="00F62F78">
            <w:pPr>
              <w:jc w:val="both"/>
              <w:rPr>
                <w:rFonts w:ascii="Times New Roman" w:hAnsi="Times New Roman" w:cs="Times New Roman"/>
                <w:sz w:val="20"/>
                <w:szCs w:val="20"/>
              </w:rPr>
            </w:pPr>
            <w:r>
              <w:rPr>
                <w:rFonts w:ascii="Times New Roman" w:hAnsi="Times New Roman" w:cs="Times New Roman"/>
                <w:sz w:val="20"/>
                <w:szCs w:val="20"/>
              </w:rPr>
              <w:t>L’entreprise est tenue de réaliser un réseau d’assainissement comprenant un dispositif de déshuileur/débourbeur pour la collecte, le traitement et l’évacuation des eaux usées en conformité aux directives EHS de la banque mondiale.</w:t>
            </w:r>
          </w:p>
          <w:p w:rsidR="00F62F78" w:rsidRDefault="00F62F78" w:rsidP="00F62F78">
            <w:pPr>
              <w:jc w:val="both"/>
              <w:rPr>
                <w:rFonts w:ascii="Times New Roman" w:hAnsi="Times New Roman" w:cs="Times New Roman"/>
                <w:sz w:val="20"/>
                <w:szCs w:val="20"/>
              </w:rPr>
            </w:pPr>
            <w:r>
              <w:rPr>
                <w:rFonts w:ascii="Times New Roman" w:hAnsi="Times New Roman" w:cs="Times New Roman"/>
                <w:sz w:val="20"/>
                <w:szCs w:val="20"/>
              </w:rPr>
              <w:t xml:space="preserve">L’entreprise est également tenue de réaliser, au niveau des bases de chantier, des fosses septiques étanches à vidanger régulièrement conformément conformité aux directives EHS de la banque mondiale.  </w:t>
            </w:r>
          </w:p>
          <w:p w:rsidR="00F62F78" w:rsidRPr="00976673" w:rsidRDefault="00F62F78" w:rsidP="00F62F78">
            <w:pPr>
              <w:jc w:val="both"/>
              <w:rPr>
                <w:rFonts w:ascii="Times New Roman" w:hAnsi="Times New Roman" w:cs="Times New Roman"/>
                <w:sz w:val="20"/>
                <w:szCs w:val="20"/>
              </w:rPr>
            </w:pPr>
            <w:r>
              <w:rPr>
                <w:rFonts w:ascii="Times New Roman" w:hAnsi="Times New Roman" w:cs="Times New Roman"/>
                <w:sz w:val="20"/>
                <w:szCs w:val="20"/>
              </w:rPr>
              <w:t>La mission de contrôle doit s’assurer de la présence et fonctionnalité de ces dispositifs d’assainissement.</w:t>
            </w:r>
          </w:p>
        </w:tc>
      </w:tr>
      <w:tr w:rsidR="00F62F78" w:rsidRPr="00646B64" w:rsidTr="00C821BE">
        <w:tc>
          <w:tcPr>
            <w:tcW w:w="1905" w:type="dxa"/>
            <w:vMerge w:val="restart"/>
            <w:shd w:val="clear" w:color="auto" w:fill="E2EFD9" w:themeFill="accent6" w:themeFillTint="33"/>
            <w:vAlign w:val="center"/>
          </w:tcPr>
          <w:p w:rsidR="00F62F78" w:rsidRDefault="00F62F78" w:rsidP="00F62F78">
            <w:pPr>
              <w:pStyle w:val="Listecouleur-Accent11"/>
              <w:keepNext/>
              <w:ind w:left="0"/>
              <w:jc w:val="center"/>
              <w:rPr>
                <w:rFonts w:ascii="Times New Roman" w:hAnsi="Times New Roman"/>
                <w:b/>
                <w:iCs/>
                <w:sz w:val="32"/>
                <w:szCs w:val="32"/>
                <w:lang w:val="fr-FR"/>
              </w:rPr>
            </w:pPr>
            <w:bookmarkStart w:id="506" w:name="_Toc32511555"/>
            <w:r>
              <w:rPr>
                <w:rFonts w:ascii="Times New Roman" w:hAnsi="Times New Roman"/>
                <w:b/>
                <w:iCs/>
                <w:sz w:val="32"/>
                <w:szCs w:val="32"/>
                <w:lang w:val="fr-FR"/>
              </w:rPr>
              <w:t>Faune</w:t>
            </w:r>
            <w:bookmarkEnd w:id="506"/>
            <w:r>
              <w:rPr>
                <w:rFonts w:ascii="Times New Roman" w:hAnsi="Times New Roman"/>
                <w:b/>
                <w:iCs/>
                <w:sz w:val="32"/>
                <w:szCs w:val="32"/>
                <w:lang w:val="fr-FR"/>
              </w:rPr>
              <w:t xml:space="preserve"> </w:t>
            </w:r>
          </w:p>
          <w:p w:rsidR="00F62F78" w:rsidRDefault="00F62F78" w:rsidP="00F62F78">
            <w:pPr>
              <w:pStyle w:val="Listecouleur-Accent11"/>
              <w:keepNext/>
              <w:ind w:left="0"/>
              <w:jc w:val="center"/>
              <w:rPr>
                <w:rFonts w:ascii="Times New Roman" w:hAnsi="Times New Roman"/>
                <w:b/>
                <w:iCs/>
                <w:sz w:val="32"/>
                <w:szCs w:val="32"/>
                <w:lang w:val="fr-FR"/>
              </w:rPr>
            </w:pPr>
            <w:bookmarkStart w:id="507" w:name="_Toc32511556"/>
            <w:r>
              <w:rPr>
                <w:rFonts w:ascii="Times New Roman" w:hAnsi="Times New Roman"/>
                <w:b/>
                <w:iCs/>
                <w:sz w:val="32"/>
                <w:szCs w:val="32"/>
                <w:lang w:val="fr-FR"/>
              </w:rPr>
              <w:t>Et</w:t>
            </w:r>
            <w:bookmarkEnd w:id="507"/>
            <w:r>
              <w:rPr>
                <w:rFonts w:ascii="Times New Roman" w:hAnsi="Times New Roman"/>
                <w:b/>
                <w:iCs/>
                <w:sz w:val="32"/>
                <w:szCs w:val="32"/>
                <w:lang w:val="fr-FR"/>
              </w:rPr>
              <w:t xml:space="preserve"> </w:t>
            </w:r>
          </w:p>
          <w:p w:rsidR="00F62F78" w:rsidRPr="000D596B" w:rsidRDefault="00F62F78" w:rsidP="00F62F78">
            <w:pPr>
              <w:pStyle w:val="Listecouleur-Accent11"/>
              <w:keepNext/>
              <w:ind w:left="0"/>
              <w:jc w:val="center"/>
              <w:rPr>
                <w:rFonts w:ascii="Times New Roman" w:hAnsi="Times New Roman"/>
                <w:b/>
                <w:iCs/>
                <w:sz w:val="32"/>
                <w:szCs w:val="32"/>
                <w:lang w:val="fr-FR"/>
              </w:rPr>
            </w:pPr>
            <w:bookmarkStart w:id="508" w:name="_Toc32511557"/>
            <w:r>
              <w:rPr>
                <w:rFonts w:ascii="Times New Roman" w:hAnsi="Times New Roman"/>
                <w:b/>
                <w:iCs/>
                <w:sz w:val="32"/>
                <w:szCs w:val="32"/>
                <w:lang w:val="fr-FR"/>
              </w:rPr>
              <w:t>F</w:t>
            </w:r>
            <w:r w:rsidRPr="000D596B">
              <w:rPr>
                <w:rFonts w:ascii="Times New Roman" w:hAnsi="Times New Roman"/>
                <w:b/>
                <w:iCs/>
                <w:sz w:val="32"/>
                <w:szCs w:val="32"/>
                <w:lang w:val="fr-FR"/>
              </w:rPr>
              <w:t>lore</w:t>
            </w:r>
            <w:bookmarkEnd w:id="508"/>
          </w:p>
        </w:tc>
        <w:tc>
          <w:tcPr>
            <w:tcW w:w="2206" w:type="dxa"/>
            <w:vMerge w:val="restart"/>
            <w:vAlign w:val="center"/>
          </w:tcPr>
          <w:p w:rsidR="00F62F78" w:rsidRPr="000D596B" w:rsidRDefault="00F62F78" w:rsidP="00F62F78">
            <w:pPr>
              <w:pStyle w:val="Listecouleur-Accent11"/>
              <w:keepNext/>
              <w:numPr>
                <w:ilvl w:val="0"/>
                <w:numId w:val="103"/>
              </w:numPr>
              <w:ind w:left="89" w:hanging="142"/>
              <w:jc w:val="left"/>
              <w:rPr>
                <w:rFonts w:ascii="Times New Roman" w:hAnsi="Times New Roman"/>
                <w:bCs/>
                <w:sz w:val="20"/>
                <w:szCs w:val="20"/>
              </w:rPr>
            </w:pPr>
            <w:bookmarkStart w:id="509" w:name="_Toc32511558"/>
            <w:r w:rsidRPr="000D596B">
              <w:rPr>
                <w:rFonts w:ascii="Times New Roman" w:hAnsi="Times New Roman"/>
                <w:bCs/>
                <w:sz w:val="20"/>
                <w:szCs w:val="20"/>
              </w:rPr>
              <w:t>Les activités de libération des emprises et de construction des réservoirs ;</w:t>
            </w:r>
            <w:bookmarkEnd w:id="509"/>
            <w:r w:rsidRPr="000D596B">
              <w:rPr>
                <w:rFonts w:ascii="Times New Roman" w:hAnsi="Times New Roman"/>
                <w:bCs/>
                <w:sz w:val="20"/>
                <w:szCs w:val="20"/>
              </w:rPr>
              <w:t xml:space="preserve"> </w:t>
            </w:r>
          </w:p>
        </w:tc>
        <w:tc>
          <w:tcPr>
            <w:tcW w:w="2410" w:type="dxa"/>
            <w:vMerge w:val="restart"/>
            <w:vAlign w:val="center"/>
          </w:tcPr>
          <w:p w:rsidR="00F62F78" w:rsidRPr="000D596B" w:rsidRDefault="00F62F78" w:rsidP="00F62F78">
            <w:pPr>
              <w:pStyle w:val="Listecouleur-Accent11"/>
              <w:keepNext/>
              <w:numPr>
                <w:ilvl w:val="0"/>
                <w:numId w:val="149"/>
              </w:numPr>
              <w:ind w:left="170" w:hanging="284"/>
              <w:jc w:val="left"/>
              <w:rPr>
                <w:rFonts w:ascii="Times New Roman" w:hAnsi="Times New Roman"/>
                <w:bCs/>
                <w:sz w:val="20"/>
                <w:szCs w:val="20"/>
                <w:lang w:val="fr-FR"/>
              </w:rPr>
            </w:pPr>
            <w:bookmarkStart w:id="510" w:name="_Toc32511559"/>
            <w:r w:rsidRPr="000D596B">
              <w:rPr>
                <w:rFonts w:ascii="Times New Roman" w:hAnsi="Times New Roman"/>
                <w:bCs/>
                <w:sz w:val="20"/>
                <w:szCs w:val="20"/>
                <w:lang w:val="fr-FR"/>
              </w:rPr>
              <w:t>Risque d’abattage des arbres et de destruction des habitacles ;</w:t>
            </w:r>
            <w:bookmarkEnd w:id="510"/>
          </w:p>
          <w:p w:rsidR="00F62F78" w:rsidRPr="000D596B" w:rsidRDefault="00F62F78" w:rsidP="00F62F78">
            <w:pPr>
              <w:pStyle w:val="Listecouleur-Accent11"/>
              <w:keepNext/>
              <w:numPr>
                <w:ilvl w:val="0"/>
                <w:numId w:val="149"/>
              </w:numPr>
              <w:ind w:left="170" w:hanging="284"/>
              <w:jc w:val="left"/>
              <w:rPr>
                <w:rFonts w:ascii="Times New Roman" w:hAnsi="Times New Roman"/>
                <w:bCs/>
                <w:sz w:val="20"/>
                <w:szCs w:val="20"/>
                <w:lang w:val="fr-FR"/>
              </w:rPr>
            </w:pPr>
            <w:bookmarkStart w:id="511" w:name="_Toc32511560"/>
            <w:r w:rsidRPr="000D596B">
              <w:rPr>
                <w:rFonts w:ascii="Times New Roman" w:hAnsi="Times New Roman"/>
                <w:bCs/>
                <w:sz w:val="20"/>
                <w:szCs w:val="20"/>
                <w:lang w:val="fr-FR"/>
              </w:rPr>
              <w:t>Risque de perturbation des espèces faunique</w:t>
            </w:r>
            <w:r>
              <w:rPr>
                <w:rFonts w:ascii="Times New Roman" w:hAnsi="Times New Roman"/>
                <w:bCs/>
                <w:sz w:val="20"/>
                <w:szCs w:val="20"/>
                <w:lang w:val="fr-FR"/>
              </w:rPr>
              <w:t>s</w:t>
            </w:r>
            <w:r w:rsidRPr="000D596B">
              <w:rPr>
                <w:rFonts w:ascii="Times New Roman" w:hAnsi="Times New Roman"/>
                <w:bCs/>
                <w:sz w:val="20"/>
                <w:szCs w:val="20"/>
                <w:lang w:val="fr-FR"/>
              </w:rPr>
              <w:t xml:space="preserve"> dans la zone</w:t>
            </w:r>
            <w:bookmarkEnd w:id="511"/>
          </w:p>
        </w:tc>
        <w:tc>
          <w:tcPr>
            <w:tcW w:w="9214" w:type="dxa"/>
          </w:tcPr>
          <w:p w:rsidR="00F62F78" w:rsidRPr="00646B64" w:rsidRDefault="00F62F78" w:rsidP="00F62F78">
            <w:pPr>
              <w:jc w:val="both"/>
              <w:rPr>
                <w:rFonts w:ascii="Times New Roman" w:hAnsi="Times New Roman"/>
                <w:bCs/>
                <w:sz w:val="20"/>
                <w:szCs w:val="20"/>
              </w:rPr>
            </w:pPr>
            <w:r w:rsidRPr="00646B64">
              <w:rPr>
                <w:rFonts w:ascii="Times New Roman" w:hAnsi="Times New Roman"/>
                <w:bCs/>
                <w:sz w:val="20"/>
                <w:szCs w:val="20"/>
              </w:rPr>
              <w:t xml:space="preserve">En plus des dispositions pratiques sur le terrain, nous recommandons qu’un plan spécifique de gestion de la faune et de la flore soit élaboré en étroite collaboration avec le service des Eaux et Forêts et dans le cadre d’un protocole qui pourrait le lier au projet. </w:t>
            </w:r>
          </w:p>
          <w:p w:rsidR="00F62F78" w:rsidRPr="00646B64" w:rsidRDefault="00F62F78" w:rsidP="00F62F78">
            <w:pPr>
              <w:ind w:right="-109"/>
              <w:jc w:val="both"/>
              <w:rPr>
                <w:rFonts w:ascii="Times New Roman" w:hAnsi="Times New Roman"/>
                <w:sz w:val="20"/>
                <w:szCs w:val="20"/>
              </w:rPr>
            </w:pPr>
            <w:r w:rsidRPr="00646B64">
              <w:rPr>
                <w:rFonts w:ascii="Times New Roman" w:hAnsi="Times New Roman"/>
                <w:bCs/>
                <w:sz w:val="20"/>
                <w:szCs w:val="20"/>
              </w:rPr>
              <w:t>Ce plan devra revenir sur les dispositions organisationnelles à prendre et surtout déterminer les moyens à mettre en œuvre pour gérer toutes les formes de compensations qui seront retenues. Nous suggérons qu’un programme de reboisement compensatoire soit élaboré et mise en œuvre sous l’égide des Eaux et Forêts.</w:t>
            </w:r>
          </w:p>
        </w:tc>
      </w:tr>
      <w:tr w:rsidR="00F62F78" w:rsidRPr="00646B64" w:rsidTr="00C821BE">
        <w:tc>
          <w:tcPr>
            <w:tcW w:w="1905" w:type="dxa"/>
            <w:vMerge/>
            <w:shd w:val="clear" w:color="auto" w:fill="E2EFD9" w:themeFill="accent6" w:themeFillTint="33"/>
            <w:vAlign w:val="center"/>
          </w:tcPr>
          <w:p w:rsidR="00F62F78" w:rsidRPr="000D596B" w:rsidRDefault="00F62F78" w:rsidP="00F62F78">
            <w:pPr>
              <w:pStyle w:val="Listecouleur-Accent11"/>
              <w:keepNext/>
              <w:ind w:left="0"/>
              <w:jc w:val="left"/>
              <w:rPr>
                <w:rFonts w:ascii="Times New Roman" w:hAnsi="Times New Roman"/>
                <w:b/>
                <w:iCs/>
                <w:sz w:val="32"/>
                <w:szCs w:val="32"/>
                <w:lang w:val="fr-FR"/>
              </w:rPr>
            </w:pPr>
          </w:p>
        </w:tc>
        <w:tc>
          <w:tcPr>
            <w:tcW w:w="2206" w:type="dxa"/>
            <w:vMerge/>
            <w:vAlign w:val="center"/>
          </w:tcPr>
          <w:p w:rsidR="00F62F78" w:rsidRPr="000D596B" w:rsidRDefault="00F62F78" w:rsidP="00F62F78">
            <w:pPr>
              <w:pStyle w:val="Listecouleur-Accent11"/>
              <w:keepNext/>
              <w:numPr>
                <w:ilvl w:val="0"/>
                <w:numId w:val="103"/>
              </w:numPr>
              <w:ind w:left="89" w:hanging="142"/>
              <w:jc w:val="left"/>
              <w:rPr>
                <w:rFonts w:ascii="Times New Roman" w:hAnsi="Times New Roman"/>
                <w:bCs/>
                <w:sz w:val="20"/>
                <w:szCs w:val="20"/>
              </w:rPr>
            </w:pPr>
            <w:bookmarkStart w:id="512" w:name="_Toc32511561"/>
            <w:bookmarkEnd w:id="512"/>
          </w:p>
        </w:tc>
        <w:tc>
          <w:tcPr>
            <w:tcW w:w="2410" w:type="dxa"/>
            <w:vMerge/>
            <w:vAlign w:val="center"/>
          </w:tcPr>
          <w:p w:rsidR="00F62F78" w:rsidRPr="000D596B" w:rsidRDefault="00F62F78" w:rsidP="00F62F78">
            <w:pPr>
              <w:pStyle w:val="Listecouleur-Accent11"/>
              <w:keepNext/>
              <w:numPr>
                <w:ilvl w:val="0"/>
                <w:numId w:val="149"/>
              </w:numPr>
              <w:ind w:left="170" w:hanging="284"/>
              <w:jc w:val="left"/>
              <w:rPr>
                <w:rFonts w:ascii="Times New Roman" w:hAnsi="Times New Roman"/>
                <w:bCs/>
                <w:sz w:val="20"/>
                <w:szCs w:val="20"/>
                <w:lang w:val="fr-FR"/>
              </w:rPr>
            </w:pPr>
            <w:bookmarkStart w:id="513" w:name="_Toc32511562"/>
            <w:bookmarkEnd w:id="513"/>
          </w:p>
        </w:tc>
        <w:tc>
          <w:tcPr>
            <w:tcW w:w="9214" w:type="dxa"/>
          </w:tcPr>
          <w:p w:rsidR="00F62F78" w:rsidRPr="00646B64" w:rsidRDefault="00F62F78" w:rsidP="00F62F78">
            <w:pPr>
              <w:jc w:val="both"/>
              <w:rPr>
                <w:rFonts w:ascii="Times New Roman" w:hAnsi="Times New Roman"/>
                <w:bCs/>
                <w:sz w:val="20"/>
                <w:szCs w:val="20"/>
              </w:rPr>
            </w:pPr>
            <w:r w:rsidRPr="00646B64">
              <w:rPr>
                <w:rFonts w:ascii="Times New Roman" w:hAnsi="Times New Roman"/>
                <w:sz w:val="20"/>
                <w:szCs w:val="20"/>
              </w:rPr>
              <w:t>L’abattage et le remplacement des arbres sont de la prérogative exclusive des services des Eaux et Forêts qui en assurent le contrôle, l’autorisation et le suivi. Il est donc fortement recommandé, que toute initiative allant dans ce sens, soit conçue, exécutée, pilotée, surveillée et suivie par ces mêmes services.</w:t>
            </w:r>
          </w:p>
        </w:tc>
      </w:tr>
      <w:tr w:rsidR="00F62F78" w:rsidRPr="00646B64" w:rsidTr="00C821BE">
        <w:tc>
          <w:tcPr>
            <w:tcW w:w="1905" w:type="dxa"/>
            <w:vMerge/>
            <w:shd w:val="clear" w:color="auto" w:fill="E2EFD9" w:themeFill="accent6" w:themeFillTint="33"/>
            <w:vAlign w:val="center"/>
          </w:tcPr>
          <w:p w:rsidR="00F62F78" w:rsidRPr="000D596B" w:rsidRDefault="00F62F78" w:rsidP="00F62F78">
            <w:pPr>
              <w:pStyle w:val="Listecouleur-Accent11"/>
              <w:keepNext/>
              <w:ind w:left="0"/>
              <w:jc w:val="left"/>
              <w:rPr>
                <w:rFonts w:ascii="Times New Roman" w:hAnsi="Times New Roman"/>
                <w:b/>
                <w:iCs/>
                <w:sz w:val="32"/>
                <w:szCs w:val="32"/>
                <w:lang w:val="fr-FR"/>
              </w:rPr>
            </w:pPr>
          </w:p>
        </w:tc>
        <w:tc>
          <w:tcPr>
            <w:tcW w:w="2206" w:type="dxa"/>
            <w:vMerge/>
            <w:vAlign w:val="center"/>
          </w:tcPr>
          <w:p w:rsidR="00F62F78" w:rsidRPr="000D596B" w:rsidRDefault="00F62F78" w:rsidP="00F62F78">
            <w:pPr>
              <w:pStyle w:val="Listecouleur-Accent11"/>
              <w:keepNext/>
              <w:numPr>
                <w:ilvl w:val="0"/>
                <w:numId w:val="103"/>
              </w:numPr>
              <w:ind w:left="89" w:hanging="142"/>
              <w:jc w:val="left"/>
              <w:rPr>
                <w:rFonts w:ascii="Times New Roman" w:hAnsi="Times New Roman"/>
                <w:bCs/>
                <w:sz w:val="20"/>
                <w:szCs w:val="20"/>
              </w:rPr>
            </w:pPr>
            <w:bookmarkStart w:id="514" w:name="_Toc32511563"/>
            <w:bookmarkEnd w:id="514"/>
          </w:p>
        </w:tc>
        <w:tc>
          <w:tcPr>
            <w:tcW w:w="2410" w:type="dxa"/>
            <w:vMerge/>
            <w:vAlign w:val="center"/>
          </w:tcPr>
          <w:p w:rsidR="00F62F78" w:rsidRPr="000D596B" w:rsidRDefault="00F62F78" w:rsidP="00F62F78">
            <w:pPr>
              <w:pStyle w:val="Listecouleur-Accent11"/>
              <w:keepNext/>
              <w:numPr>
                <w:ilvl w:val="0"/>
                <w:numId w:val="149"/>
              </w:numPr>
              <w:ind w:left="170" w:hanging="284"/>
              <w:jc w:val="left"/>
              <w:rPr>
                <w:rFonts w:ascii="Times New Roman" w:hAnsi="Times New Roman"/>
                <w:bCs/>
                <w:sz w:val="20"/>
                <w:szCs w:val="20"/>
                <w:lang w:val="fr-FR"/>
              </w:rPr>
            </w:pPr>
            <w:bookmarkStart w:id="515" w:name="_Toc32511564"/>
            <w:bookmarkEnd w:id="515"/>
          </w:p>
        </w:tc>
        <w:tc>
          <w:tcPr>
            <w:tcW w:w="9214" w:type="dxa"/>
          </w:tcPr>
          <w:p w:rsidR="00F62F78" w:rsidRPr="00646B64" w:rsidRDefault="00F62F78" w:rsidP="00F62F78">
            <w:pPr>
              <w:jc w:val="both"/>
              <w:rPr>
                <w:rFonts w:ascii="Times New Roman" w:hAnsi="Times New Roman"/>
                <w:sz w:val="20"/>
                <w:szCs w:val="20"/>
              </w:rPr>
            </w:pPr>
            <w:r w:rsidRPr="00646B64">
              <w:rPr>
                <w:rFonts w:ascii="Times New Roman" w:hAnsi="Times New Roman"/>
                <w:bCs/>
                <w:sz w:val="20"/>
                <w:szCs w:val="20"/>
              </w:rPr>
              <w:t>Il faudra absolument éviter, sur le terrain, de faire du braconnage, de couper des arbres ou arbustes plus que nécessaire pour les travaux, de rejeter des déchets, et de stocker des matériaux dans le désordre, d’ouvrir des emprunts et carrières sans autorisation, de faire du feu de bois sans aucune sécurité, de déverser des produits polluants sur le sol ou dans l’eau. Tout ceci devra être consigné clairement dans le plan spécifique proposé.</w:t>
            </w:r>
          </w:p>
        </w:tc>
      </w:tr>
      <w:tr w:rsidR="00F62F78" w:rsidRPr="00646B64" w:rsidTr="00C821BE">
        <w:trPr>
          <w:trHeight w:val="92"/>
        </w:trPr>
        <w:tc>
          <w:tcPr>
            <w:tcW w:w="1905" w:type="dxa"/>
            <w:shd w:val="clear" w:color="auto" w:fill="E2EFD9" w:themeFill="accent6" w:themeFillTint="33"/>
            <w:vAlign w:val="center"/>
          </w:tcPr>
          <w:p w:rsidR="00F62F78" w:rsidRPr="000D596B" w:rsidRDefault="00F62F78" w:rsidP="00F62F78">
            <w:pPr>
              <w:pStyle w:val="Listecouleur-Accent11"/>
              <w:keepNext/>
              <w:ind w:left="0"/>
              <w:jc w:val="center"/>
              <w:rPr>
                <w:rFonts w:ascii="Times New Roman" w:hAnsi="Times New Roman"/>
                <w:b/>
                <w:iCs/>
                <w:sz w:val="32"/>
                <w:szCs w:val="32"/>
                <w:lang w:val="fr-FR"/>
              </w:rPr>
            </w:pPr>
            <w:bookmarkStart w:id="516" w:name="_Toc32511565"/>
            <w:r w:rsidRPr="000D596B">
              <w:rPr>
                <w:rFonts w:ascii="Times New Roman" w:hAnsi="Times New Roman"/>
                <w:b/>
                <w:iCs/>
                <w:sz w:val="32"/>
                <w:szCs w:val="32"/>
                <w:lang w:val="fr-FR"/>
              </w:rPr>
              <w:t>Paysage</w:t>
            </w:r>
            <w:bookmarkEnd w:id="516"/>
          </w:p>
        </w:tc>
        <w:tc>
          <w:tcPr>
            <w:tcW w:w="2206" w:type="dxa"/>
            <w:vAlign w:val="center"/>
          </w:tcPr>
          <w:p w:rsidR="00F62F78" w:rsidRPr="000D596B" w:rsidRDefault="00F62F78" w:rsidP="00F62F78">
            <w:pPr>
              <w:pStyle w:val="Listecouleur-Accent11"/>
              <w:keepNext/>
              <w:numPr>
                <w:ilvl w:val="0"/>
                <w:numId w:val="103"/>
              </w:numPr>
              <w:ind w:left="89" w:hanging="142"/>
              <w:jc w:val="left"/>
              <w:rPr>
                <w:rFonts w:ascii="Times New Roman" w:hAnsi="Times New Roman"/>
                <w:bCs/>
                <w:sz w:val="20"/>
                <w:szCs w:val="20"/>
              </w:rPr>
            </w:pPr>
            <w:bookmarkStart w:id="517" w:name="_Toc32511566"/>
            <w:r w:rsidRPr="000D596B">
              <w:rPr>
                <w:rFonts w:ascii="Times New Roman" w:hAnsi="Times New Roman"/>
                <w:bCs/>
                <w:sz w:val="20"/>
                <w:szCs w:val="20"/>
              </w:rPr>
              <w:t>La présence des bases chantiers et des bases vies ;</w:t>
            </w:r>
            <w:bookmarkEnd w:id="517"/>
          </w:p>
          <w:p w:rsidR="00F62F78" w:rsidRPr="000D596B" w:rsidRDefault="00F62F78" w:rsidP="00F62F78">
            <w:pPr>
              <w:pStyle w:val="Listecouleur-Accent11"/>
              <w:keepNext/>
              <w:numPr>
                <w:ilvl w:val="0"/>
                <w:numId w:val="103"/>
              </w:numPr>
              <w:ind w:left="89" w:hanging="142"/>
              <w:jc w:val="left"/>
              <w:rPr>
                <w:rFonts w:ascii="Times New Roman" w:hAnsi="Times New Roman"/>
                <w:bCs/>
                <w:sz w:val="20"/>
                <w:szCs w:val="20"/>
              </w:rPr>
            </w:pPr>
            <w:bookmarkStart w:id="518" w:name="_Toc32511567"/>
            <w:r w:rsidRPr="000D596B">
              <w:rPr>
                <w:rFonts w:ascii="Times New Roman" w:hAnsi="Times New Roman"/>
                <w:bCs/>
                <w:sz w:val="20"/>
                <w:szCs w:val="20"/>
              </w:rPr>
              <w:t>Les activités de construction des réservoirs ;</w:t>
            </w:r>
            <w:bookmarkEnd w:id="518"/>
          </w:p>
        </w:tc>
        <w:tc>
          <w:tcPr>
            <w:tcW w:w="2410" w:type="dxa"/>
            <w:vAlign w:val="center"/>
          </w:tcPr>
          <w:p w:rsidR="00F62F78" w:rsidRPr="000D596B" w:rsidRDefault="00F62F78" w:rsidP="00F62F78">
            <w:pPr>
              <w:pStyle w:val="Listecouleur-Accent11"/>
              <w:keepNext/>
              <w:numPr>
                <w:ilvl w:val="0"/>
                <w:numId w:val="149"/>
              </w:numPr>
              <w:ind w:left="170" w:hanging="284"/>
              <w:jc w:val="left"/>
              <w:rPr>
                <w:rFonts w:ascii="Times New Roman" w:hAnsi="Times New Roman"/>
                <w:bCs/>
                <w:sz w:val="20"/>
                <w:szCs w:val="20"/>
                <w:lang w:val="fr-FR"/>
              </w:rPr>
            </w:pPr>
            <w:bookmarkStart w:id="519" w:name="_Toc32511568"/>
            <w:r w:rsidRPr="000D596B">
              <w:rPr>
                <w:rFonts w:ascii="Times New Roman" w:hAnsi="Times New Roman"/>
                <w:bCs/>
                <w:sz w:val="20"/>
                <w:szCs w:val="20"/>
                <w:lang w:val="fr-FR"/>
              </w:rPr>
              <w:t>Risque de modifications importantes du paysage</w:t>
            </w:r>
            <w:bookmarkEnd w:id="519"/>
            <w:r w:rsidRPr="000D596B">
              <w:rPr>
                <w:rFonts w:ascii="Times New Roman" w:hAnsi="Times New Roman"/>
                <w:bCs/>
                <w:sz w:val="20"/>
                <w:szCs w:val="20"/>
                <w:lang w:val="fr-FR"/>
              </w:rPr>
              <w:t xml:space="preserve"> </w:t>
            </w:r>
          </w:p>
        </w:tc>
        <w:tc>
          <w:tcPr>
            <w:tcW w:w="9214" w:type="dxa"/>
          </w:tcPr>
          <w:p w:rsidR="00F62F78" w:rsidRPr="00646B64" w:rsidRDefault="00F62F78" w:rsidP="00F62F78">
            <w:pPr>
              <w:jc w:val="both"/>
              <w:rPr>
                <w:rFonts w:ascii="Times New Roman" w:hAnsi="Times New Roman"/>
                <w:sz w:val="20"/>
                <w:szCs w:val="20"/>
              </w:rPr>
            </w:pPr>
            <w:r w:rsidRPr="00646B64">
              <w:rPr>
                <w:rFonts w:ascii="Times New Roman" w:hAnsi="Times New Roman"/>
                <w:sz w:val="20"/>
                <w:szCs w:val="20"/>
              </w:rPr>
              <w:t xml:space="preserve">Il est fortement recommandé à l’entreprise d’informer les autorités locales lors des travaux de construction des réservoirs pour permettre aux usagers de prendre leur disposition. </w:t>
            </w:r>
          </w:p>
          <w:p w:rsidR="00F62F78" w:rsidRPr="00646B64" w:rsidRDefault="00F62F78" w:rsidP="00F62F78">
            <w:pPr>
              <w:jc w:val="both"/>
              <w:rPr>
                <w:rFonts w:ascii="Times New Roman" w:hAnsi="Times New Roman"/>
                <w:sz w:val="20"/>
                <w:szCs w:val="20"/>
              </w:rPr>
            </w:pPr>
            <w:r w:rsidRPr="00646B64">
              <w:rPr>
                <w:rFonts w:ascii="Times New Roman" w:hAnsi="Times New Roman"/>
                <w:sz w:val="20"/>
                <w:szCs w:val="20"/>
              </w:rPr>
              <w:t>L’entreprise est tenue de bien signaler, par des balises, et de suffisamment éclairer la nuit, par des projecteurs, pour éviter des accidents dans les zones de travaux ;</w:t>
            </w:r>
          </w:p>
          <w:p w:rsidR="00F62F78" w:rsidRPr="00646B64" w:rsidRDefault="00F62F78" w:rsidP="00F62F78">
            <w:pPr>
              <w:jc w:val="both"/>
              <w:rPr>
                <w:rFonts w:ascii="Times New Roman" w:hAnsi="Times New Roman"/>
                <w:sz w:val="20"/>
                <w:szCs w:val="20"/>
              </w:rPr>
            </w:pPr>
            <w:r w:rsidRPr="00646B64">
              <w:rPr>
                <w:rFonts w:ascii="Times New Roman" w:hAnsi="Times New Roman"/>
                <w:sz w:val="20"/>
                <w:szCs w:val="20"/>
              </w:rPr>
              <w:t>Il est recommandé de bien choisir les outils de travail à utiliser par rapport à la sensibilité du milieu ;</w:t>
            </w:r>
          </w:p>
          <w:p w:rsidR="00F62F78" w:rsidRPr="00646B64" w:rsidRDefault="00F62F78" w:rsidP="00F62F78">
            <w:pPr>
              <w:jc w:val="both"/>
              <w:rPr>
                <w:rFonts w:ascii="Times New Roman" w:hAnsi="Times New Roman"/>
                <w:sz w:val="20"/>
                <w:szCs w:val="20"/>
              </w:rPr>
            </w:pPr>
            <w:r w:rsidRPr="00646B64">
              <w:rPr>
                <w:rFonts w:ascii="Times New Roman" w:hAnsi="Times New Roman"/>
                <w:sz w:val="20"/>
                <w:szCs w:val="20"/>
              </w:rPr>
              <w:t>L’entreprise devra bien prendre en compte l’aspect du paysage surtout en ville avec les déblais, la présence d’engins et des ouvriers ;</w:t>
            </w:r>
          </w:p>
        </w:tc>
      </w:tr>
      <w:tr w:rsidR="00F62F78" w:rsidRPr="00646B64" w:rsidTr="00C821BE">
        <w:tc>
          <w:tcPr>
            <w:tcW w:w="15735" w:type="dxa"/>
            <w:gridSpan w:val="4"/>
            <w:shd w:val="clear" w:color="auto" w:fill="E2EFD9" w:themeFill="accent6" w:themeFillTint="33"/>
          </w:tcPr>
          <w:p w:rsidR="00F62F78" w:rsidRPr="00EB42DE" w:rsidRDefault="00F62F78" w:rsidP="00F62F78">
            <w:pPr>
              <w:ind w:right="-109"/>
              <w:jc w:val="center"/>
              <w:rPr>
                <w:rFonts w:ascii="Times New Roman" w:hAnsi="Times New Roman"/>
                <w:sz w:val="24"/>
                <w:szCs w:val="24"/>
              </w:rPr>
            </w:pPr>
            <w:r w:rsidRPr="00EB42DE">
              <w:rPr>
                <w:rFonts w:ascii="Times New Roman" w:hAnsi="Times New Roman"/>
                <w:b/>
                <w:sz w:val="24"/>
                <w:szCs w:val="24"/>
                <w:u w:val="single"/>
                <w:lang w:eastAsia="fr-FR"/>
              </w:rPr>
              <w:t>En milieu Socio-économique</w:t>
            </w:r>
          </w:p>
        </w:tc>
      </w:tr>
      <w:tr w:rsidR="00F62F78" w:rsidRPr="00646B64" w:rsidTr="00C821BE">
        <w:tc>
          <w:tcPr>
            <w:tcW w:w="1905" w:type="dxa"/>
            <w:vMerge w:val="restart"/>
            <w:shd w:val="clear" w:color="auto" w:fill="E2EFD9" w:themeFill="accent6" w:themeFillTint="33"/>
            <w:vAlign w:val="center"/>
          </w:tcPr>
          <w:p w:rsidR="00F62F78" w:rsidRPr="00EB42DE" w:rsidRDefault="00F62F78" w:rsidP="00F62F78">
            <w:pPr>
              <w:pStyle w:val="Listecouleur-Accent11"/>
              <w:keepNext/>
              <w:ind w:left="0"/>
              <w:jc w:val="center"/>
              <w:rPr>
                <w:rFonts w:ascii="Times New Roman" w:hAnsi="Times New Roman"/>
                <w:b/>
                <w:iCs/>
                <w:sz w:val="32"/>
                <w:szCs w:val="32"/>
                <w:lang w:val="fr-FR"/>
              </w:rPr>
            </w:pPr>
            <w:bookmarkStart w:id="520" w:name="_Toc32511569"/>
            <w:r w:rsidRPr="00EB42DE">
              <w:rPr>
                <w:rFonts w:ascii="Times New Roman" w:hAnsi="Times New Roman"/>
                <w:b/>
                <w:iCs/>
                <w:sz w:val="32"/>
                <w:szCs w:val="32"/>
                <w:lang w:val="fr-FR"/>
              </w:rPr>
              <w:lastRenderedPageBreak/>
              <w:t>Qualité de vie et le bien-être</w:t>
            </w:r>
            <w:bookmarkEnd w:id="520"/>
          </w:p>
        </w:tc>
        <w:tc>
          <w:tcPr>
            <w:tcW w:w="2206" w:type="dxa"/>
            <w:vMerge w:val="restart"/>
            <w:vAlign w:val="center"/>
          </w:tcPr>
          <w:p w:rsidR="00F62F78" w:rsidRPr="00EB42DE" w:rsidRDefault="00F62F78" w:rsidP="00F62F78">
            <w:pPr>
              <w:pStyle w:val="Listecouleur-Accent11"/>
              <w:keepNext/>
              <w:numPr>
                <w:ilvl w:val="0"/>
                <w:numId w:val="103"/>
              </w:numPr>
              <w:ind w:left="89" w:hanging="142"/>
              <w:jc w:val="left"/>
              <w:rPr>
                <w:rFonts w:ascii="Times New Roman" w:hAnsi="Times New Roman"/>
                <w:bCs/>
                <w:sz w:val="20"/>
                <w:szCs w:val="20"/>
              </w:rPr>
            </w:pPr>
            <w:bookmarkStart w:id="521" w:name="_Toc32511570"/>
            <w:r w:rsidRPr="00EB42DE">
              <w:rPr>
                <w:rFonts w:ascii="Times New Roman" w:hAnsi="Times New Roman"/>
                <w:bCs/>
                <w:sz w:val="20"/>
                <w:szCs w:val="20"/>
              </w:rPr>
              <w:t>Les activités de construction des réservoirs ;</w:t>
            </w:r>
            <w:bookmarkEnd w:id="521"/>
          </w:p>
        </w:tc>
        <w:tc>
          <w:tcPr>
            <w:tcW w:w="2410" w:type="dxa"/>
            <w:vMerge w:val="restart"/>
            <w:vAlign w:val="center"/>
          </w:tcPr>
          <w:p w:rsidR="00F62F78" w:rsidRPr="00EB42DE" w:rsidRDefault="00F62F78" w:rsidP="00F62F78">
            <w:pPr>
              <w:pStyle w:val="Listecouleur-Accent11"/>
              <w:keepNext/>
              <w:numPr>
                <w:ilvl w:val="0"/>
                <w:numId w:val="149"/>
              </w:numPr>
              <w:ind w:left="170" w:hanging="284"/>
              <w:jc w:val="left"/>
              <w:rPr>
                <w:rFonts w:ascii="Times New Roman" w:hAnsi="Times New Roman"/>
                <w:bCs/>
                <w:sz w:val="20"/>
                <w:szCs w:val="20"/>
                <w:lang w:val="fr-FR"/>
              </w:rPr>
            </w:pPr>
            <w:bookmarkStart w:id="522" w:name="_Toc32511571"/>
            <w:r w:rsidRPr="00EB42DE">
              <w:rPr>
                <w:rFonts w:ascii="Times New Roman" w:hAnsi="Times New Roman"/>
                <w:bCs/>
                <w:sz w:val="20"/>
                <w:szCs w:val="20"/>
                <w:lang w:val="fr-FR"/>
              </w:rPr>
              <w:t>Risque de générer des nuisances sonores ou olfactives et des changements de comportement</w:t>
            </w:r>
            <w:bookmarkEnd w:id="522"/>
          </w:p>
        </w:tc>
        <w:tc>
          <w:tcPr>
            <w:tcW w:w="9214" w:type="dxa"/>
          </w:tcPr>
          <w:p w:rsidR="00F62F78" w:rsidRPr="00646B64" w:rsidRDefault="00F62F78" w:rsidP="00F62F78">
            <w:pPr>
              <w:jc w:val="both"/>
              <w:rPr>
                <w:rFonts w:ascii="Times New Roman" w:hAnsi="Times New Roman"/>
                <w:sz w:val="20"/>
                <w:szCs w:val="20"/>
              </w:rPr>
            </w:pPr>
            <w:r w:rsidRPr="00646B64">
              <w:rPr>
                <w:rFonts w:ascii="Times New Roman" w:hAnsi="Times New Roman"/>
                <w:sz w:val="20"/>
                <w:szCs w:val="20"/>
              </w:rPr>
              <w:t>L’entreprise devra mettre en place une bonne organisation des travaux pour éviter ou atténuer ces nuisances. Cette organisation devra être accompagnée par une bonne sensibilisation des riverains. Par obligation contractuelle, l’entreprise devra déposer auprès de la mission de contrôle, un plan d’organisation du chantier et un plan de communication concernant leur intervention à travers les différentes localités afin de permettre aux populations riveraines de mieux adapter leurs habitudes.</w:t>
            </w:r>
          </w:p>
        </w:tc>
      </w:tr>
      <w:tr w:rsidR="00F62F78" w:rsidRPr="00646B64" w:rsidTr="00C821BE">
        <w:tc>
          <w:tcPr>
            <w:tcW w:w="1905" w:type="dxa"/>
            <w:vMerge/>
            <w:shd w:val="clear" w:color="auto" w:fill="E2EFD9" w:themeFill="accent6" w:themeFillTint="33"/>
            <w:vAlign w:val="center"/>
          </w:tcPr>
          <w:p w:rsidR="00F62F78" w:rsidRPr="00646B64" w:rsidRDefault="00F62F78" w:rsidP="00F62F78">
            <w:pPr>
              <w:pStyle w:val="Listecouleur-Accent11"/>
              <w:keepNext/>
              <w:ind w:left="0"/>
              <w:jc w:val="center"/>
              <w:rPr>
                <w:rFonts w:ascii="Times New Roman" w:hAnsi="Times New Roman"/>
                <w:b/>
                <w:bCs/>
                <w:sz w:val="20"/>
                <w:szCs w:val="20"/>
              </w:rPr>
            </w:pPr>
          </w:p>
        </w:tc>
        <w:tc>
          <w:tcPr>
            <w:tcW w:w="2206" w:type="dxa"/>
            <w:vMerge/>
            <w:vAlign w:val="center"/>
          </w:tcPr>
          <w:p w:rsidR="00F62F78" w:rsidRPr="00EB42DE" w:rsidRDefault="00F62F78" w:rsidP="00F62F78">
            <w:pPr>
              <w:pStyle w:val="Listecouleur-Accent11"/>
              <w:keepNext/>
              <w:numPr>
                <w:ilvl w:val="0"/>
                <w:numId w:val="103"/>
              </w:numPr>
              <w:ind w:left="89" w:hanging="142"/>
              <w:jc w:val="left"/>
              <w:rPr>
                <w:rFonts w:ascii="Times New Roman" w:hAnsi="Times New Roman"/>
                <w:bCs/>
                <w:sz w:val="20"/>
                <w:szCs w:val="20"/>
              </w:rPr>
            </w:pPr>
            <w:bookmarkStart w:id="523" w:name="_Toc32511572"/>
            <w:bookmarkEnd w:id="523"/>
          </w:p>
        </w:tc>
        <w:tc>
          <w:tcPr>
            <w:tcW w:w="2410" w:type="dxa"/>
            <w:vMerge/>
            <w:vAlign w:val="center"/>
          </w:tcPr>
          <w:p w:rsidR="00F62F78" w:rsidRPr="00EB42DE" w:rsidRDefault="00F62F78" w:rsidP="00F62F78">
            <w:pPr>
              <w:pStyle w:val="Listecouleur-Accent11"/>
              <w:keepNext/>
              <w:numPr>
                <w:ilvl w:val="0"/>
                <w:numId w:val="149"/>
              </w:numPr>
              <w:ind w:left="170" w:hanging="284"/>
              <w:jc w:val="left"/>
              <w:rPr>
                <w:rFonts w:ascii="Times New Roman" w:hAnsi="Times New Roman"/>
                <w:bCs/>
                <w:sz w:val="20"/>
                <w:szCs w:val="20"/>
                <w:lang w:val="fr-FR"/>
              </w:rPr>
            </w:pPr>
            <w:bookmarkStart w:id="524" w:name="_Toc32511573"/>
            <w:bookmarkEnd w:id="524"/>
          </w:p>
        </w:tc>
        <w:tc>
          <w:tcPr>
            <w:tcW w:w="9214" w:type="dxa"/>
          </w:tcPr>
          <w:p w:rsidR="00F62F78" w:rsidRPr="00646B64" w:rsidRDefault="00F62F78" w:rsidP="00F62F78">
            <w:pPr>
              <w:jc w:val="both"/>
              <w:rPr>
                <w:rFonts w:ascii="Times New Roman" w:hAnsi="Times New Roman"/>
                <w:sz w:val="20"/>
                <w:szCs w:val="20"/>
              </w:rPr>
            </w:pPr>
            <w:r w:rsidRPr="00646B64">
              <w:rPr>
                <w:rFonts w:ascii="Times New Roman" w:hAnsi="Times New Roman"/>
                <w:sz w:val="20"/>
                <w:szCs w:val="20"/>
              </w:rPr>
              <w:t>En coordination avec les services techniques, les autorités des secteurs et l’entreprise, un itinéraire spécifique devra être étudié et retenu et des moments propices définis pour la circulation des camions et des engins.</w:t>
            </w:r>
          </w:p>
        </w:tc>
      </w:tr>
      <w:tr w:rsidR="00F62F78" w:rsidRPr="00646B64" w:rsidTr="00C821BE">
        <w:tc>
          <w:tcPr>
            <w:tcW w:w="1905" w:type="dxa"/>
            <w:shd w:val="clear" w:color="auto" w:fill="E2EFD9" w:themeFill="accent6" w:themeFillTint="33"/>
            <w:vAlign w:val="center"/>
          </w:tcPr>
          <w:p w:rsidR="00F62F78" w:rsidRPr="00EB42DE" w:rsidRDefault="00F62F78" w:rsidP="00F62F78">
            <w:pPr>
              <w:pStyle w:val="Listecouleur-Accent11"/>
              <w:keepNext/>
              <w:ind w:left="0"/>
              <w:jc w:val="center"/>
              <w:rPr>
                <w:rFonts w:ascii="Times New Roman" w:hAnsi="Times New Roman"/>
                <w:b/>
                <w:iCs/>
                <w:sz w:val="32"/>
                <w:szCs w:val="32"/>
                <w:lang w:val="fr-FR"/>
              </w:rPr>
            </w:pPr>
            <w:bookmarkStart w:id="525" w:name="_Toc32511574"/>
            <w:r>
              <w:rPr>
                <w:rFonts w:ascii="Times New Roman" w:hAnsi="Times New Roman"/>
                <w:b/>
                <w:iCs/>
                <w:sz w:val="32"/>
                <w:szCs w:val="32"/>
                <w:lang w:val="fr-FR"/>
              </w:rPr>
              <w:t>D</w:t>
            </w:r>
            <w:r w:rsidRPr="00EB42DE">
              <w:rPr>
                <w:rFonts w:ascii="Times New Roman" w:hAnsi="Times New Roman"/>
                <w:b/>
                <w:iCs/>
                <w:sz w:val="32"/>
                <w:szCs w:val="32"/>
                <w:lang w:val="fr-FR"/>
              </w:rPr>
              <w:t>échets</w:t>
            </w:r>
            <w:bookmarkEnd w:id="525"/>
          </w:p>
        </w:tc>
        <w:tc>
          <w:tcPr>
            <w:tcW w:w="2206" w:type="dxa"/>
            <w:vAlign w:val="center"/>
          </w:tcPr>
          <w:p w:rsidR="00F62F78" w:rsidRPr="00EB42DE" w:rsidRDefault="00F62F78" w:rsidP="00F62F78">
            <w:pPr>
              <w:pStyle w:val="Listecouleur-Accent11"/>
              <w:keepNext/>
              <w:numPr>
                <w:ilvl w:val="0"/>
                <w:numId w:val="103"/>
              </w:numPr>
              <w:ind w:left="89" w:hanging="142"/>
              <w:jc w:val="left"/>
              <w:rPr>
                <w:rFonts w:ascii="Times New Roman" w:hAnsi="Times New Roman"/>
                <w:bCs/>
                <w:sz w:val="20"/>
                <w:szCs w:val="20"/>
              </w:rPr>
            </w:pPr>
            <w:bookmarkStart w:id="526" w:name="_Toc32511575"/>
            <w:r w:rsidRPr="00EB42DE">
              <w:rPr>
                <w:rFonts w:ascii="Times New Roman" w:hAnsi="Times New Roman"/>
                <w:bCs/>
                <w:sz w:val="20"/>
                <w:szCs w:val="20"/>
              </w:rPr>
              <w:t>Les activités de libération des emprises et de construction des réservoirs ;</w:t>
            </w:r>
            <w:bookmarkEnd w:id="526"/>
          </w:p>
        </w:tc>
        <w:tc>
          <w:tcPr>
            <w:tcW w:w="2410" w:type="dxa"/>
            <w:vAlign w:val="center"/>
          </w:tcPr>
          <w:p w:rsidR="00F62F78" w:rsidRPr="00EB42DE" w:rsidRDefault="00F62F78" w:rsidP="00F62F78">
            <w:pPr>
              <w:pStyle w:val="Listecouleur-Accent11"/>
              <w:keepNext/>
              <w:numPr>
                <w:ilvl w:val="0"/>
                <w:numId w:val="149"/>
              </w:numPr>
              <w:ind w:left="170" w:hanging="284"/>
              <w:jc w:val="left"/>
              <w:rPr>
                <w:rFonts w:ascii="Times New Roman" w:hAnsi="Times New Roman"/>
                <w:bCs/>
                <w:sz w:val="20"/>
                <w:szCs w:val="20"/>
                <w:lang w:val="fr-FR"/>
              </w:rPr>
            </w:pPr>
            <w:bookmarkStart w:id="527" w:name="_Toc32511576"/>
            <w:r w:rsidRPr="00B45B23">
              <w:rPr>
                <w:rFonts w:ascii="Times New Roman" w:hAnsi="Times New Roman"/>
                <w:bCs/>
                <w:sz w:val="20"/>
                <w:szCs w:val="20"/>
                <w:lang w:val="fr-FR"/>
              </w:rPr>
              <w:t>Risque de production des déchets de chantier et assimilés à des ordures ménagère</w:t>
            </w:r>
            <w:bookmarkEnd w:id="527"/>
          </w:p>
        </w:tc>
        <w:tc>
          <w:tcPr>
            <w:tcW w:w="9214" w:type="dxa"/>
          </w:tcPr>
          <w:p w:rsidR="00F62F78" w:rsidRPr="00646B64" w:rsidRDefault="00F62F78" w:rsidP="00F62F78">
            <w:pPr>
              <w:jc w:val="both"/>
              <w:rPr>
                <w:rFonts w:ascii="Times New Roman" w:hAnsi="Times New Roman"/>
                <w:sz w:val="20"/>
                <w:szCs w:val="20"/>
              </w:rPr>
            </w:pPr>
            <w:r w:rsidRPr="00646B64">
              <w:rPr>
                <w:rFonts w:ascii="Times New Roman" w:hAnsi="Times New Roman"/>
                <w:sz w:val="20"/>
                <w:szCs w:val="20"/>
              </w:rPr>
              <w:t xml:space="preserve">Le maître d’œuvre et les autorités veilleront chacun en ce qui le concerne à ce que l’entreprise chargée des travaux présente un plan </w:t>
            </w:r>
            <w:r w:rsidRPr="008860D7">
              <w:rPr>
                <w:rFonts w:ascii="Times New Roman" w:hAnsi="Times New Roman" w:cs="Times New Roman"/>
                <w:sz w:val="20"/>
                <w:szCs w:val="20"/>
              </w:rPr>
              <w:t>opérationnel</w:t>
            </w:r>
            <w:r w:rsidRPr="00206F59">
              <w:rPr>
                <w:rFonts w:ascii="Times New Roman" w:hAnsi="Times New Roman" w:cs="Times New Roman"/>
                <w:sz w:val="20"/>
                <w:szCs w:val="20"/>
              </w:rPr>
              <w:t xml:space="preserve"> </w:t>
            </w:r>
            <w:r w:rsidRPr="00646B64">
              <w:rPr>
                <w:rFonts w:ascii="Times New Roman" w:hAnsi="Times New Roman"/>
                <w:sz w:val="20"/>
                <w:szCs w:val="20"/>
              </w:rPr>
              <w:t xml:space="preserve">de gestion des déchets générés par leurs activités lors des travaux </w:t>
            </w:r>
            <w:r>
              <w:rPr>
                <w:rFonts w:ascii="Times New Roman" w:hAnsi="Times New Roman"/>
                <w:sz w:val="20"/>
                <w:szCs w:val="20"/>
              </w:rPr>
              <w:t>de construction des réservoirs.</w:t>
            </w:r>
          </w:p>
          <w:p w:rsidR="00F62F78" w:rsidRPr="00646B64" w:rsidRDefault="00F62F78" w:rsidP="00F62F78">
            <w:pPr>
              <w:jc w:val="both"/>
              <w:rPr>
                <w:rFonts w:ascii="Times New Roman" w:hAnsi="Times New Roman"/>
                <w:sz w:val="20"/>
                <w:szCs w:val="20"/>
              </w:rPr>
            </w:pPr>
            <w:r w:rsidRPr="00646B64">
              <w:rPr>
                <w:rFonts w:ascii="Times New Roman" w:hAnsi="Times New Roman"/>
                <w:sz w:val="20"/>
                <w:szCs w:val="20"/>
              </w:rPr>
              <w:t>Ce plan simplifié devra comporter au moins :</w:t>
            </w:r>
          </w:p>
          <w:p w:rsidR="00F62F78" w:rsidRPr="008476F3" w:rsidRDefault="00F62F78" w:rsidP="00F62F78">
            <w:pPr>
              <w:pStyle w:val="PargrafodaLista"/>
              <w:numPr>
                <w:ilvl w:val="0"/>
                <w:numId w:val="232"/>
              </w:numPr>
              <w:spacing w:after="0" w:line="240" w:lineRule="auto"/>
              <w:rPr>
                <w:rFonts w:ascii="Times New Roman" w:hAnsi="Times New Roman"/>
              </w:rPr>
            </w:pPr>
            <w:r w:rsidRPr="008476F3">
              <w:rPr>
                <w:rFonts w:ascii="Times New Roman" w:hAnsi="Times New Roman"/>
              </w:rPr>
              <w:t xml:space="preserve">Une liste </w:t>
            </w:r>
            <w:r>
              <w:rPr>
                <w:rFonts w:ascii="Times New Roman" w:hAnsi="Times New Roman"/>
                <w:lang w:val="fr-FR"/>
              </w:rPr>
              <w:t xml:space="preserve">et localisation </w:t>
            </w:r>
            <w:r w:rsidRPr="008476F3">
              <w:rPr>
                <w:rFonts w:ascii="Times New Roman" w:hAnsi="Times New Roman"/>
              </w:rPr>
              <w:t>des sites occupés par l’entreprise,</w:t>
            </w:r>
          </w:p>
          <w:p w:rsidR="00F62F78" w:rsidRPr="008476F3" w:rsidRDefault="00F62F78" w:rsidP="00F62F78">
            <w:pPr>
              <w:pStyle w:val="PargrafodaLista"/>
              <w:numPr>
                <w:ilvl w:val="0"/>
                <w:numId w:val="232"/>
              </w:numPr>
              <w:spacing w:after="0" w:line="240" w:lineRule="auto"/>
              <w:rPr>
                <w:rFonts w:ascii="Times New Roman" w:hAnsi="Times New Roman"/>
              </w:rPr>
            </w:pPr>
            <w:r w:rsidRPr="008476F3">
              <w:rPr>
                <w:rFonts w:ascii="Times New Roman" w:hAnsi="Times New Roman"/>
              </w:rPr>
              <w:t xml:space="preserve">Le système de collecte </w:t>
            </w:r>
            <w:r>
              <w:rPr>
                <w:rFonts w:ascii="Times New Roman" w:hAnsi="Times New Roman"/>
                <w:lang w:val="fr-FR"/>
              </w:rPr>
              <w:t xml:space="preserve">et de stockage </w:t>
            </w:r>
            <w:r w:rsidRPr="008476F3">
              <w:rPr>
                <w:rFonts w:ascii="Times New Roman" w:hAnsi="Times New Roman"/>
              </w:rPr>
              <w:t>des déchets produits,</w:t>
            </w:r>
          </w:p>
          <w:p w:rsidR="00F62F78" w:rsidRPr="008476F3" w:rsidRDefault="00F62F78" w:rsidP="00F62F78">
            <w:pPr>
              <w:pStyle w:val="PargrafodaLista"/>
              <w:numPr>
                <w:ilvl w:val="0"/>
                <w:numId w:val="232"/>
              </w:numPr>
              <w:spacing w:after="0" w:line="240" w:lineRule="auto"/>
              <w:rPr>
                <w:rFonts w:ascii="Times New Roman" w:hAnsi="Times New Roman"/>
              </w:rPr>
            </w:pPr>
            <w:r w:rsidRPr="008476F3">
              <w:rPr>
                <w:rFonts w:ascii="Times New Roman" w:hAnsi="Times New Roman"/>
              </w:rPr>
              <w:t>Le système de tri</w:t>
            </w:r>
            <w:r>
              <w:rPr>
                <w:rFonts w:ascii="Times New Roman" w:hAnsi="Times New Roman"/>
                <w:lang w:val="fr-FR"/>
              </w:rPr>
              <w:t>/séparation</w:t>
            </w:r>
            <w:r w:rsidRPr="008476F3">
              <w:rPr>
                <w:rFonts w:ascii="Times New Roman" w:hAnsi="Times New Roman"/>
              </w:rPr>
              <w:t xml:space="preserve"> à la source des </w:t>
            </w:r>
            <w:r>
              <w:rPr>
                <w:rFonts w:ascii="Times New Roman" w:hAnsi="Times New Roman"/>
                <w:lang w:val="fr-FR"/>
              </w:rPr>
              <w:t>déchets susceptibles d’être générés</w:t>
            </w:r>
            <w:r w:rsidRPr="008476F3">
              <w:rPr>
                <w:rFonts w:ascii="Times New Roman" w:hAnsi="Times New Roman"/>
              </w:rPr>
              <w:t xml:space="preserve"> avec au moins trois grandes catégories :</w:t>
            </w:r>
          </w:p>
          <w:p w:rsidR="00F62F78" w:rsidRPr="008476F3" w:rsidRDefault="00F62F78" w:rsidP="00F62F78">
            <w:pPr>
              <w:pStyle w:val="PargrafodaLista"/>
              <w:numPr>
                <w:ilvl w:val="0"/>
                <w:numId w:val="94"/>
              </w:numPr>
              <w:spacing w:after="0" w:line="240" w:lineRule="auto"/>
              <w:ind w:left="1168"/>
              <w:rPr>
                <w:rFonts w:ascii="Times New Roman" w:hAnsi="Times New Roman"/>
              </w:rPr>
            </w:pPr>
            <w:r w:rsidRPr="008476F3">
              <w:rPr>
                <w:rFonts w:ascii="Times New Roman" w:hAnsi="Times New Roman"/>
              </w:rPr>
              <w:t xml:space="preserve">Les déchets </w:t>
            </w:r>
            <w:r>
              <w:rPr>
                <w:rFonts w:ascii="Times New Roman" w:hAnsi="Times New Roman"/>
                <w:lang w:val="fr-FR"/>
              </w:rPr>
              <w:t>dangereux</w:t>
            </w:r>
            <w:r w:rsidRPr="008476F3">
              <w:rPr>
                <w:rFonts w:ascii="Times New Roman" w:hAnsi="Times New Roman"/>
              </w:rPr>
              <w:t xml:space="preserve"> (pièces mécaniques usagées, chiffons souillés, batterie morte, filtre à huile, le pneumatique souillé etc.</w:t>
            </w:r>
          </w:p>
          <w:p w:rsidR="00F62F78" w:rsidRPr="008476F3" w:rsidRDefault="00F62F78" w:rsidP="00F62F78">
            <w:pPr>
              <w:pStyle w:val="PargrafodaLista"/>
              <w:numPr>
                <w:ilvl w:val="0"/>
                <w:numId w:val="94"/>
              </w:numPr>
              <w:spacing w:after="0" w:line="240" w:lineRule="auto"/>
              <w:ind w:left="1168"/>
              <w:rPr>
                <w:rFonts w:ascii="Times New Roman" w:hAnsi="Times New Roman"/>
              </w:rPr>
            </w:pPr>
            <w:r>
              <w:rPr>
                <w:rFonts w:ascii="Times New Roman" w:hAnsi="Times New Roman"/>
                <w:lang w:val="fr-FR"/>
              </w:rPr>
              <w:t>Les déchets banals (</w:t>
            </w:r>
            <w:r w:rsidRPr="008476F3">
              <w:rPr>
                <w:rFonts w:ascii="Times New Roman" w:hAnsi="Times New Roman"/>
              </w:rPr>
              <w:t>Le papier, le carton, le bois,</w:t>
            </w:r>
            <w:r>
              <w:rPr>
                <w:rFonts w:ascii="Times New Roman" w:hAnsi="Times New Roman"/>
                <w:lang w:val="fr-FR"/>
              </w:rPr>
              <w:t xml:space="preserve"> </w:t>
            </w:r>
            <w:r w:rsidRPr="008476F3">
              <w:rPr>
                <w:rFonts w:ascii="Times New Roman" w:hAnsi="Times New Roman"/>
              </w:rPr>
              <w:t>etc.</w:t>
            </w:r>
            <w:r>
              <w:rPr>
                <w:rFonts w:ascii="Times New Roman" w:hAnsi="Times New Roman"/>
                <w:lang w:val="fr-FR"/>
              </w:rPr>
              <w:t>)</w:t>
            </w:r>
          </w:p>
          <w:p w:rsidR="00F62F78" w:rsidRDefault="00F62F78" w:rsidP="00F62F78">
            <w:pPr>
              <w:pStyle w:val="PargrafodaLista"/>
              <w:numPr>
                <w:ilvl w:val="0"/>
                <w:numId w:val="94"/>
              </w:numPr>
              <w:spacing w:after="0" w:line="240" w:lineRule="auto"/>
              <w:ind w:left="1168"/>
              <w:rPr>
                <w:rFonts w:ascii="Times New Roman" w:hAnsi="Times New Roman"/>
              </w:rPr>
            </w:pPr>
            <w:r w:rsidRPr="008476F3">
              <w:rPr>
                <w:rFonts w:ascii="Times New Roman" w:hAnsi="Times New Roman"/>
              </w:rPr>
              <w:t>Le plastique, la pneumatique propre, les bouteilles en plastique, etc.</w:t>
            </w:r>
          </w:p>
          <w:p w:rsidR="00F62F78" w:rsidRPr="008476F3" w:rsidRDefault="00F62F78" w:rsidP="00F62F78">
            <w:pPr>
              <w:pStyle w:val="PargrafodaLista"/>
              <w:numPr>
                <w:ilvl w:val="0"/>
                <w:numId w:val="94"/>
              </w:numPr>
              <w:spacing w:after="0" w:line="240" w:lineRule="auto"/>
              <w:ind w:left="1168"/>
              <w:rPr>
                <w:rFonts w:ascii="Times New Roman" w:hAnsi="Times New Roman"/>
              </w:rPr>
            </w:pPr>
            <w:r>
              <w:rPr>
                <w:rFonts w:ascii="Times New Roman" w:hAnsi="Times New Roman"/>
                <w:lang w:val="fr-FR"/>
              </w:rPr>
              <w:t>Les déchets inertes (déblais, terres non souillées, béton,)</w:t>
            </w:r>
          </w:p>
          <w:p w:rsidR="00F62F78" w:rsidRDefault="00F62F78" w:rsidP="00F62F78">
            <w:pPr>
              <w:pStyle w:val="PargrafodaLista"/>
              <w:numPr>
                <w:ilvl w:val="0"/>
                <w:numId w:val="232"/>
              </w:numPr>
              <w:spacing w:after="0" w:line="240" w:lineRule="auto"/>
              <w:rPr>
                <w:rFonts w:ascii="Times New Roman" w:hAnsi="Times New Roman"/>
              </w:rPr>
            </w:pPr>
            <w:r w:rsidRPr="00206F59">
              <w:rPr>
                <w:rFonts w:ascii="Times New Roman" w:hAnsi="Times New Roman"/>
              </w:rPr>
              <w:t>Le système de traitement de chaque catégorie de déchets,</w:t>
            </w:r>
          </w:p>
          <w:p w:rsidR="00F62F78" w:rsidRPr="00206F59" w:rsidRDefault="00F62F78" w:rsidP="00F62F78">
            <w:pPr>
              <w:pStyle w:val="PargrafodaLista"/>
              <w:numPr>
                <w:ilvl w:val="0"/>
                <w:numId w:val="232"/>
              </w:numPr>
              <w:spacing w:after="0" w:line="240" w:lineRule="auto"/>
              <w:rPr>
                <w:rFonts w:ascii="Times New Roman" w:hAnsi="Times New Roman"/>
              </w:rPr>
            </w:pPr>
            <w:r w:rsidRPr="007303A6">
              <w:rPr>
                <w:rFonts w:ascii="Times New Roman" w:hAnsi="Times New Roman"/>
                <w:lang w:val="fr-FR"/>
              </w:rPr>
              <w:t>La traçabilité des déchets dangereux (bordereaux de suivi des déchets spéciaux)</w:t>
            </w:r>
            <w:r>
              <w:rPr>
                <w:rFonts w:ascii="Times New Roman" w:hAnsi="Times New Roman"/>
                <w:lang w:val="fr-FR"/>
              </w:rPr>
              <w:t> ;</w:t>
            </w:r>
          </w:p>
          <w:p w:rsidR="00F62F78" w:rsidRPr="001F5D83" w:rsidRDefault="00F62F78" w:rsidP="00F62F78">
            <w:pPr>
              <w:pStyle w:val="PargrafodaLista"/>
              <w:numPr>
                <w:ilvl w:val="0"/>
                <w:numId w:val="232"/>
              </w:numPr>
              <w:spacing w:after="0" w:line="240" w:lineRule="auto"/>
              <w:jc w:val="both"/>
              <w:rPr>
                <w:rFonts w:ascii="Times New Roman" w:hAnsi="Times New Roman"/>
              </w:rPr>
            </w:pPr>
            <w:r w:rsidRPr="001F5D83">
              <w:rPr>
                <w:rFonts w:ascii="Times New Roman" w:hAnsi="Times New Roman"/>
              </w:rPr>
              <w:t>Les lieux prévus pour l’enfouissement de ces déchets banals ou mettre en place une solution écologiquement rationnelle pour le traitement de ces déchets en privilégiant le recyclage au niveau local ou l’élimination via une société agrée et établissement de bordereaux de suivi.</w:t>
            </w:r>
          </w:p>
          <w:p w:rsidR="00F62F78" w:rsidRPr="00646B64" w:rsidRDefault="00F62F78" w:rsidP="00F62F78">
            <w:pPr>
              <w:jc w:val="both"/>
              <w:rPr>
                <w:rFonts w:ascii="Times New Roman" w:hAnsi="Times New Roman"/>
                <w:sz w:val="20"/>
                <w:szCs w:val="20"/>
              </w:rPr>
            </w:pPr>
            <w:r w:rsidRPr="00206F59">
              <w:rPr>
                <w:rFonts w:ascii="Times New Roman" w:hAnsi="Times New Roman"/>
              </w:rPr>
              <w:t>Interdiction formelle d’incinération des déchets.</w:t>
            </w:r>
          </w:p>
        </w:tc>
      </w:tr>
      <w:tr w:rsidR="00F62F78" w:rsidRPr="00646B64" w:rsidTr="00C821BE">
        <w:tc>
          <w:tcPr>
            <w:tcW w:w="1905" w:type="dxa"/>
            <w:vMerge w:val="restart"/>
            <w:shd w:val="clear" w:color="auto" w:fill="E2EFD9" w:themeFill="accent6" w:themeFillTint="33"/>
            <w:vAlign w:val="center"/>
          </w:tcPr>
          <w:p w:rsidR="00F62F78" w:rsidRDefault="00F62F78" w:rsidP="00F62F78">
            <w:pPr>
              <w:pStyle w:val="Listecouleur-Accent11"/>
              <w:keepNext/>
              <w:ind w:left="0"/>
              <w:jc w:val="center"/>
              <w:rPr>
                <w:rFonts w:ascii="Times New Roman" w:hAnsi="Times New Roman"/>
                <w:b/>
                <w:iCs/>
                <w:sz w:val="32"/>
                <w:szCs w:val="32"/>
                <w:lang w:val="fr-FR"/>
              </w:rPr>
            </w:pPr>
            <w:bookmarkStart w:id="528" w:name="_Toc32511577"/>
            <w:r w:rsidRPr="00EB42DE">
              <w:rPr>
                <w:rFonts w:ascii="Times New Roman" w:hAnsi="Times New Roman"/>
                <w:b/>
                <w:iCs/>
                <w:sz w:val="32"/>
                <w:szCs w:val="32"/>
                <w:lang w:val="fr-FR"/>
              </w:rPr>
              <w:t>Santé et lutte contre le SIDA</w:t>
            </w:r>
            <w:bookmarkEnd w:id="528"/>
            <w:r>
              <w:rPr>
                <w:rFonts w:ascii="Times New Roman" w:hAnsi="Times New Roman"/>
                <w:b/>
                <w:iCs/>
                <w:sz w:val="32"/>
                <w:szCs w:val="32"/>
                <w:lang w:val="fr-FR"/>
              </w:rPr>
              <w:t xml:space="preserve"> et COVID 19</w:t>
            </w:r>
          </w:p>
          <w:p w:rsidR="00F62F78" w:rsidRPr="00EB42DE" w:rsidRDefault="00F62F78" w:rsidP="00F62F78">
            <w:pPr>
              <w:pStyle w:val="Listecouleur-Accent11"/>
              <w:keepNext/>
              <w:ind w:left="0"/>
              <w:jc w:val="center"/>
              <w:rPr>
                <w:rFonts w:ascii="Times New Roman" w:hAnsi="Times New Roman"/>
                <w:b/>
                <w:iCs/>
                <w:sz w:val="32"/>
                <w:szCs w:val="32"/>
                <w:lang w:val="fr-FR"/>
              </w:rPr>
            </w:pPr>
          </w:p>
        </w:tc>
        <w:tc>
          <w:tcPr>
            <w:tcW w:w="2206" w:type="dxa"/>
            <w:vMerge w:val="restart"/>
            <w:vAlign w:val="center"/>
          </w:tcPr>
          <w:p w:rsidR="00F62F78" w:rsidRPr="008C306C" w:rsidRDefault="00F62F78" w:rsidP="00F62F78">
            <w:pPr>
              <w:pStyle w:val="Listecouleur-Accent11"/>
              <w:keepNext/>
              <w:numPr>
                <w:ilvl w:val="0"/>
                <w:numId w:val="103"/>
              </w:numPr>
              <w:ind w:left="89" w:hanging="142"/>
              <w:jc w:val="left"/>
              <w:rPr>
                <w:rFonts w:ascii="Times New Roman" w:hAnsi="Times New Roman"/>
                <w:bCs/>
                <w:sz w:val="20"/>
                <w:szCs w:val="20"/>
              </w:rPr>
            </w:pPr>
            <w:bookmarkStart w:id="529" w:name="_Toc32511578"/>
            <w:r w:rsidRPr="00EB42DE">
              <w:rPr>
                <w:rFonts w:ascii="Times New Roman" w:hAnsi="Times New Roman"/>
                <w:bCs/>
                <w:sz w:val="20"/>
                <w:szCs w:val="20"/>
              </w:rPr>
              <w:t>Présence des ouvriers et des jeunes femmes dans la zone implantation de la base vie ;</w:t>
            </w:r>
          </w:p>
          <w:p w:rsidR="00F62F78" w:rsidRPr="008C306C" w:rsidRDefault="00F62F78" w:rsidP="00F62F78">
            <w:pPr>
              <w:pStyle w:val="Listecouleur-Accent11"/>
              <w:keepNext/>
              <w:numPr>
                <w:ilvl w:val="0"/>
                <w:numId w:val="103"/>
              </w:numPr>
              <w:ind w:left="89" w:hanging="142"/>
              <w:jc w:val="left"/>
              <w:rPr>
                <w:rFonts w:ascii="Times New Roman" w:hAnsi="Times New Roman"/>
                <w:bCs/>
                <w:sz w:val="20"/>
                <w:szCs w:val="20"/>
              </w:rPr>
            </w:pPr>
            <w:bookmarkStart w:id="530" w:name="_Toc32511585"/>
            <w:bookmarkEnd w:id="529"/>
            <w:r w:rsidRPr="00EB42DE">
              <w:rPr>
                <w:rFonts w:ascii="Times New Roman" w:hAnsi="Times New Roman"/>
                <w:bCs/>
                <w:sz w:val="20"/>
                <w:szCs w:val="20"/>
              </w:rPr>
              <w:t>Les activités de construction et d’équipement des réservoirs</w:t>
            </w:r>
            <w:bookmarkEnd w:id="530"/>
          </w:p>
        </w:tc>
        <w:tc>
          <w:tcPr>
            <w:tcW w:w="2410" w:type="dxa"/>
            <w:vMerge w:val="restart"/>
            <w:vAlign w:val="center"/>
          </w:tcPr>
          <w:p w:rsidR="00F62F78" w:rsidRPr="00EB42DE" w:rsidRDefault="00F62F78" w:rsidP="00F62F78">
            <w:pPr>
              <w:pStyle w:val="Listecouleur-Accent11"/>
              <w:keepNext/>
              <w:numPr>
                <w:ilvl w:val="0"/>
                <w:numId w:val="149"/>
              </w:numPr>
              <w:ind w:left="170" w:hanging="284"/>
              <w:jc w:val="left"/>
              <w:rPr>
                <w:rFonts w:ascii="Times New Roman" w:hAnsi="Times New Roman"/>
                <w:bCs/>
                <w:sz w:val="20"/>
                <w:szCs w:val="20"/>
                <w:lang w:val="fr-FR"/>
              </w:rPr>
            </w:pPr>
            <w:bookmarkStart w:id="531" w:name="_Toc32511579"/>
            <w:r w:rsidRPr="00EB42DE">
              <w:rPr>
                <w:rFonts w:ascii="Times New Roman" w:hAnsi="Times New Roman"/>
                <w:bCs/>
                <w:sz w:val="20"/>
                <w:szCs w:val="20"/>
                <w:lang w:val="fr-FR"/>
              </w:rPr>
              <w:t>Risque de maladies sexuellement transmissibles comme le SIDA.</w:t>
            </w:r>
            <w:bookmarkEnd w:id="531"/>
          </w:p>
          <w:p w:rsidR="00F62F78" w:rsidRDefault="00F62F78" w:rsidP="00F62F78">
            <w:pPr>
              <w:pStyle w:val="Listecouleur-Accent11"/>
              <w:keepNext/>
              <w:numPr>
                <w:ilvl w:val="0"/>
                <w:numId w:val="149"/>
              </w:numPr>
              <w:ind w:left="170" w:hanging="284"/>
              <w:jc w:val="left"/>
              <w:rPr>
                <w:rFonts w:ascii="Times New Roman" w:hAnsi="Times New Roman"/>
                <w:bCs/>
                <w:sz w:val="20"/>
                <w:szCs w:val="20"/>
                <w:lang w:val="fr-FR"/>
              </w:rPr>
            </w:pPr>
            <w:bookmarkStart w:id="532" w:name="_Toc32511580"/>
            <w:bookmarkStart w:id="533" w:name="_Toc32511586"/>
            <w:bookmarkEnd w:id="532"/>
            <w:r w:rsidRPr="00EB42DE">
              <w:rPr>
                <w:rFonts w:ascii="Times New Roman" w:hAnsi="Times New Roman"/>
                <w:bCs/>
                <w:sz w:val="20"/>
                <w:szCs w:val="20"/>
                <w:lang w:val="fr-FR"/>
              </w:rPr>
              <w:t>Risque d’accident de travail</w:t>
            </w:r>
            <w:bookmarkEnd w:id="533"/>
          </w:p>
          <w:p w:rsidR="00F62F78" w:rsidRPr="00F62F78" w:rsidRDefault="00F62F78" w:rsidP="00F62F78">
            <w:pPr>
              <w:pStyle w:val="Listecouleur-Accent11"/>
              <w:keepNext/>
              <w:numPr>
                <w:ilvl w:val="0"/>
                <w:numId w:val="149"/>
              </w:numPr>
              <w:ind w:left="170" w:hanging="284"/>
              <w:jc w:val="left"/>
              <w:rPr>
                <w:rFonts w:ascii="Times New Roman" w:hAnsi="Times New Roman"/>
                <w:bCs/>
                <w:sz w:val="20"/>
                <w:szCs w:val="20"/>
                <w:lang w:val="fr-FR"/>
              </w:rPr>
            </w:pPr>
            <w:r w:rsidRPr="00F62F78">
              <w:rPr>
                <w:rFonts w:ascii="Times New Roman" w:hAnsi="Times New Roman"/>
                <w:bCs/>
                <w:sz w:val="20"/>
                <w:szCs w:val="20"/>
                <w:lang w:val="fr-FR"/>
              </w:rPr>
              <w:t>Risques liés à l’atteinte de maladies contagieuses comme COVID-19</w:t>
            </w:r>
          </w:p>
        </w:tc>
        <w:tc>
          <w:tcPr>
            <w:tcW w:w="9214" w:type="dxa"/>
          </w:tcPr>
          <w:p w:rsidR="00F62F78" w:rsidRPr="00646B64" w:rsidRDefault="00F62F78" w:rsidP="00F62F78">
            <w:pPr>
              <w:jc w:val="both"/>
              <w:rPr>
                <w:rFonts w:ascii="Times New Roman" w:hAnsi="Times New Roman"/>
                <w:sz w:val="20"/>
                <w:szCs w:val="20"/>
              </w:rPr>
            </w:pPr>
            <w:r w:rsidRPr="00646B64">
              <w:rPr>
                <w:rFonts w:ascii="Times New Roman" w:hAnsi="Times New Roman"/>
                <w:sz w:val="20"/>
                <w:szCs w:val="20"/>
              </w:rPr>
              <w:t xml:space="preserve">Il est fortement conseillé de mettre en place un plan de sensibilisation (pour l’abstinence et/ou la protection) des ouvriers, tout en réglementant l’accès des personnes étrangères sur les chantiers. </w:t>
            </w:r>
          </w:p>
          <w:p w:rsidR="00F62F78" w:rsidRPr="00646B64" w:rsidRDefault="00F62F78" w:rsidP="00F62F78">
            <w:pPr>
              <w:jc w:val="both"/>
              <w:rPr>
                <w:rFonts w:ascii="Times New Roman" w:hAnsi="Times New Roman"/>
                <w:sz w:val="20"/>
                <w:szCs w:val="20"/>
              </w:rPr>
            </w:pPr>
            <w:r w:rsidRPr="00646B64">
              <w:rPr>
                <w:rFonts w:ascii="Times New Roman" w:hAnsi="Times New Roman"/>
                <w:sz w:val="20"/>
                <w:szCs w:val="20"/>
              </w:rPr>
              <w:t>La facilitation d’accès des ouvriers à des moyens de protection sexuelle comme le préservatif, avec toute la discrétion qui sied, pourrait d’être aussi d’une grande efficacité dans le plan de lutte contre le sida à défaut de l’abstinence. Ceci doit être accompagné par une campagne d’explication, sur l’utilisation de ces moyens de protection.</w:t>
            </w:r>
          </w:p>
        </w:tc>
      </w:tr>
      <w:tr w:rsidR="00F62F78" w:rsidRPr="00646B64" w:rsidTr="00C821BE">
        <w:tc>
          <w:tcPr>
            <w:tcW w:w="1905" w:type="dxa"/>
            <w:vMerge/>
            <w:shd w:val="clear" w:color="auto" w:fill="E2EFD9" w:themeFill="accent6" w:themeFillTint="33"/>
            <w:vAlign w:val="center"/>
          </w:tcPr>
          <w:p w:rsidR="00F62F78" w:rsidRPr="00EB42DE" w:rsidRDefault="00F62F78" w:rsidP="00F62F78">
            <w:pPr>
              <w:pStyle w:val="Listecouleur-Accent11"/>
              <w:keepNext/>
              <w:ind w:left="0"/>
              <w:jc w:val="center"/>
              <w:rPr>
                <w:rFonts w:ascii="Times New Roman" w:hAnsi="Times New Roman"/>
                <w:b/>
                <w:iCs/>
                <w:sz w:val="32"/>
                <w:szCs w:val="32"/>
                <w:lang w:val="fr-FR"/>
              </w:rPr>
            </w:pPr>
          </w:p>
        </w:tc>
        <w:tc>
          <w:tcPr>
            <w:tcW w:w="2206" w:type="dxa"/>
            <w:vMerge/>
            <w:vAlign w:val="center"/>
          </w:tcPr>
          <w:p w:rsidR="00F62F78" w:rsidRPr="00EB42DE" w:rsidRDefault="00F62F78" w:rsidP="00F62F78">
            <w:pPr>
              <w:pStyle w:val="Listecouleur-Accent11"/>
              <w:keepNext/>
              <w:numPr>
                <w:ilvl w:val="0"/>
                <w:numId w:val="103"/>
              </w:numPr>
              <w:ind w:left="89" w:hanging="142"/>
              <w:jc w:val="left"/>
              <w:rPr>
                <w:rFonts w:ascii="Times New Roman" w:hAnsi="Times New Roman"/>
                <w:bCs/>
                <w:sz w:val="20"/>
                <w:szCs w:val="20"/>
              </w:rPr>
            </w:pPr>
            <w:bookmarkStart w:id="534" w:name="_Toc32511581"/>
            <w:bookmarkEnd w:id="534"/>
          </w:p>
        </w:tc>
        <w:tc>
          <w:tcPr>
            <w:tcW w:w="2410" w:type="dxa"/>
            <w:vMerge/>
            <w:vAlign w:val="center"/>
          </w:tcPr>
          <w:p w:rsidR="00F62F78" w:rsidRPr="00EB42DE" w:rsidRDefault="00F62F78" w:rsidP="00F62F78">
            <w:pPr>
              <w:pStyle w:val="Listecouleur-Accent11"/>
              <w:keepNext/>
              <w:numPr>
                <w:ilvl w:val="0"/>
                <w:numId w:val="149"/>
              </w:numPr>
              <w:ind w:left="170" w:hanging="284"/>
              <w:jc w:val="left"/>
              <w:rPr>
                <w:rFonts w:ascii="Times New Roman" w:hAnsi="Times New Roman"/>
                <w:bCs/>
                <w:sz w:val="20"/>
                <w:szCs w:val="20"/>
                <w:lang w:val="fr-FR"/>
              </w:rPr>
            </w:pPr>
            <w:bookmarkStart w:id="535" w:name="_Toc32511582"/>
            <w:bookmarkEnd w:id="535"/>
          </w:p>
        </w:tc>
        <w:tc>
          <w:tcPr>
            <w:tcW w:w="9214" w:type="dxa"/>
          </w:tcPr>
          <w:p w:rsidR="00F62F78" w:rsidRPr="00646B64" w:rsidRDefault="00F62F78" w:rsidP="00F62F78">
            <w:pPr>
              <w:jc w:val="both"/>
              <w:rPr>
                <w:rFonts w:ascii="Times New Roman" w:hAnsi="Times New Roman"/>
                <w:sz w:val="20"/>
                <w:szCs w:val="20"/>
              </w:rPr>
            </w:pPr>
            <w:r w:rsidRPr="00646B64">
              <w:rPr>
                <w:rFonts w:ascii="Times New Roman" w:hAnsi="Times New Roman"/>
                <w:sz w:val="20"/>
                <w:szCs w:val="20"/>
              </w:rPr>
              <w:t>Il est fortement recommandé de réduire au maximum le déplacement des jeunes ouvriers des grands centres vers les zones rurales et de privilégier le recrutement des ouvriers localement pour réduire le risque des nouveaux contacts entre des jeunes hommes et des jeunes filles qui ne se connaissent pas.</w:t>
            </w:r>
          </w:p>
        </w:tc>
      </w:tr>
      <w:tr w:rsidR="00F62F78" w:rsidRPr="00646B64" w:rsidTr="00C821BE">
        <w:tc>
          <w:tcPr>
            <w:tcW w:w="1905" w:type="dxa"/>
            <w:vMerge/>
            <w:shd w:val="clear" w:color="auto" w:fill="E2EFD9" w:themeFill="accent6" w:themeFillTint="33"/>
            <w:vAlign w:val="center"/>
          </w:tcPr>
          <w:p w:rsidR="00F62F78" w:rsidRPr="00EB42DE" w:rsidRDefault="00F62F78" w:rsidP="00F62F78">
            <w:pPr>
              <w:pStyle w:val="Listecouleur-Accent11"/>
              <w:keepNext/>
              <w:ind w:left="0"/>
              <w:jc w:val="center"/>
              <w:rPr>
                <w:rFonts w:ascii="Times New Roman" w:hAnsi="Times New Roman"/>
                <w:b/>
                <w:iCs/>
                <w:sz w:val="32"/>
                <w:szCs w:val="32"/>
                <w:lang w:val="fr-FR"/>
              </w:rPr>
            </w:pPr>
          </w:p>
        </w:tc>
        <w:tc>
          <w:tcPr>
            <w:tcW w:w="2206" w:type="dxa"/>
            <w:vMerge/>
            <w:vAlign w:val="center"/>
          </w:tcPr>
          <w:p w:rsidR="00F62F78" w:rsidRPr="00EB42DE" w:rsidRDefault="00F62F78" w:rsidP="00F62F78">
            <w:pPr>
              <w:pStyle w:val="Listecouleur-Accent11"/>
              <w:keepNext/>
              <w:numPr>
                <w:ilvl w:val="0"/>
                <w:numId w:val="103"/>
              </w:numPr>
              <w:ind w:left="89" w:hanging="142"/>
              <w:jc w:val="left"/>
              <w:rPr>
                <w:rFonts w:ascii="Times New Roman" w:hAnsi="Times New Roman"/>
                <w:bCs/>
                <w:sz w:val="20"/>
                <w:szCs w:val="20"/>
              </w:rPr>
            </w:pPr>
            <w:bookmarkStart w:id="536" w:name="_Toc32511583"/>
            <w:bookmarkEnd w:id="536"/>
          </w:p>
        </w:tc>
        <w:tc>
          <w:tcPr>
            <w:tcW w:w="2410" w:type="dxa"/>
            <w:vMerge/>
            <w:vAlign w:val="center"/>
          </w:tcPr>
          <w:p w:rsidR="00F62F78" w:rsidRPr="00EB42DE" w:rsidRDefault="00F62F78" w:rsidP="00F62F78">
            <w:pPr>
              <w:pStyle w:val="Listecouleur-Accent11"/>
              <w:keepNext/>
              <w:numPr>
                <w:ilvl w:val="0"/>
                <w:numId w:val="149"/>
              </w:numPr>
              <w:ind w:left="170" w:hanging="284"/>
              <w:jc w:val="left"/>
              <w:rPr>
                <w:rFonts w:ascii="Times New Roman" w:hAnsi="Times New Roman"/>
                <w:bCs/>
                <w:sz w:val="20"/>
                <w:szCs w:val="20"/>
                <w:lang w:val="fr-FR"/>
              </w:rPr>
            </w:pPr>
            <w:bookmarkStart w:id="537" w:name="_Toc32511584"/>
            <w:bookmarkEnd w:id="537"/>
          </w:p>
        </w:tc>
        <w:tc>
          <w:tcPr>
            <w:tcW w:w="9214" w:type="dxa"/>
          </w:tcPr>
          <w:p w:rsidR="00F62F78" w:rsidRPr="00646B64" w:rsidRDefault="00F62F78" w:rsidP="00F62F78">
            <w:pPr>
              <w:jc w:val="both"/>
              <w:rPr>
                <w:rFonts w:ascii="Times New Roman" w:hAnsi="Times New Roman"/>
                <w:sz w:val="20"/>
                <w:szCs w:val="20"/>
              </w:rPr>
            </w:pPr>
            <w:r w:rsidRPr="00646B64">
              <w:rPr>
                <w:rFonts w:ascii="Times New Roman" w:hAnsi="Times New Roman"/>
                <w:sz w:val="20"/>
                <w:szCs w:val="20"/>
              </w:rPr>
              <w:t>L’entreprise aura à produire un rapport chaque mois sur sa campagne de sensibilisation avec la liste de présence émargée des ouvriers illustrée par des photos.</w:t>
            </w:r>
          </w:p>
        </w:tc>
      </w:tr>
      <w:tr w:rsidR="00F62F78" w:rsidRPr="00646B64" w:rsidTr="00C821BE">
        <w:tc>
          <w:tcPr>
            <w:tcW w:w="1905" w:type="dxa"/>
            <w:vMerge/>
            <w:shd w:val="clear" w:color="auto" w:fill="E2EFD9" w:themeFill="accent6" w:themeFillTint="33"/>
            <w:vAlign w:val="center"/>
          </w:tcPr>
          <w:p w:rsidR="00F62F78" w:rsidRPr="00EB42DE" w:rsidRDefault="00F62F78" w:rsidP="00F62F78">
            <w:pPr>
              <w:pStyle w:val="Listecouleur-Accent11"/>
              <w:keepNext/>
              <w:ind w:left="0"/>
              <w:jc w:val="center"/>
              <w:rPr>
                <w:rFonts w:ascii="Times New Roman" w:hAnsi="Times New Roman"/>
                <w:b/>
                <w:iCs/>
                <w:sz w:val="32"/>
                <w:szCs w:val="32"/>
                <w:lang w:val="fr-FR"/>
              </w:rPr>
            </w:pPr>
          </w:p>
        </w:tc>
        <w:tc>
          <w:tcPr>
            <w:tcW w:w="2206" w:type="dxa"/>
            <w:vMerge/>
            <w:vAlign w:val="center"/>
          </w:tcPr>
          <w:p w:rsidR="00F62F78" w:rsidRPr="00EB42DE" w:rsidRDefault="00F62F78" w:rsidP="00F62F78">
            <w:pPr>
              <w:pStyle w:val="Listecouleur-Accent11"/>
              <w:keepNext/>
              <w:numPr>
                <w:ilvl w:val="0"/>
                <w:numId w:val="103"/>
              </w:numPr>
              <w:ind w:left="89" w:hanging="142"/>
              <w:jc w:val="left"/>
              <w:rPr>
                <w:rFonts w:ascii="Times New Roman" w:hAnsi="Times New Roman"/>
                <w:bCs/>
                <w:sz w:val="20"/>
                <w:szCs w:val="20"/>
              </w:rPr>
            </w:pPr>
          </w:p>
        </w:tc>
        <w:tc>
          <w:tcPr>
            <w:tcW w:w="2410" w:type="dxa"/>
            <w:vMerge/>
            <w:vAlign w:val="center"/>
          </w:tcPr>
          <w:p w:rsidR="00F62F78" w:rsidRPr="00EB42DE" w:rsidRDefault="00F62F78" w:rsidP="00F62F78">
            <w:pPr>
              <w:pStyle w:val="Listecouleur-Accent11"/>
              <w:keepNext/>
              <w:numPr>
                <w:ilvl w:val="0"/>
                <w:numId w:val="149"/>
              </w:numPr>
              <w:ind w:left="170" w:hanging="284"/>
              <w:jc w:val="left"/>
              <w:rPr>
                <w:rFonts w:ascii="Times New Roman" w:hAnsi="Times New Roman"/>
                <w:bCs/>
                <w:sz w:val="20"/>
                <w:szCs w:val="20"/>
                <w:lang w:val="fr-FR"/>
              </w:rPr>
            </w:pPr>
          </w:p>
        </w:tc>
        <w:tc>
          <w:tcPr>
            <w:tcW w:w="9214" w:type="dxa"/>
          </w:tcPr>
          <w:p w:rsidR="00F62F78" w:rsidRPr="00646B64" w:rsidRDefault="00F62F78" w:rsidP="00F62F78">
            <w:pPr>
              <w:jc w:val="both"/>
              <w:rPr>
                <w:rFonts w:ascii="Times New Roman" w:hAnsi="Times New Roman"/>
                <w:sz w:val="20"/>
                <w:szCs w:val="20"/>
              </w:rPr>
            </w:pPr>
            <w:r w:rsidRPr="00646B64">
              <w:rPr>
                <w:rFonts w:ascii="Times New Roman" w:hAnsi="Times New Roman"/>
                <w:sz w:val="20"/>
                <w:szCs w:val="20"/>
              </w:rPr>
              <w:t>Il est recommandé d’avoir sur le chantier (base de vie, ou base de travail) un système de prise en charge médicale qui permettrait de gérer correctement toute situation d’urgence.</w:t>
            </w:r>
          </w:p>
        </w:tc>
      </w:tr>
      <w:tr w:rsidR="00F62F78" w:rsidRPr="00646B64" w:rsidTr="00C821BE">
        <w:tc>
          <w:tcPr>
            <w:tcW w:w="1905" w:type="dxa"/>
            <w:vMerge/>
            <w:shd w:val="clear" w:color="auto" w:fill="E2EFD9" w:themeFill="accent6" w:themeFillTint="33"/>
            <w:vAlign w:val="center"/>
          </w:tcPr>
          <w:p w:rsidR="00F62F78" w:rsidRPr="00EB42DE" w:rsidRDefault="00F62F78" w:rsidP="00F62F78">
            <w:pPr>
              <w:pStyle w:val="Listecouleur-Accent11"/>
              <w:keepNext/>
              <w:ind w:left="0"/>
              <w:jc w:val="center"/>
              <w:rPr>
                <w:rFonts w:ascii="Times New Roman" w:hAnsi="Times New Roman"/>
                <w:b/>
                <w:iCs/>
                <w:sz w:val="32"/>
                <w:szCs w:val="32"/>
                <w:lang w:val="fr-FR"/>
              </w:rPr>
            </w:pPr>
          </w:p>
        </w:tc>
        <w:tc>
          <w:tcPr>
            <w:tcW w:w="2206" w:type="dxa"/>
            <w:vMerge/>
            <w:vAlign w:val="center"/>
          </w:tcPr>
          <w:p w:rsidR="00F62F78" w:rsidRPr="00EB42DE" w:rsidRDefault="00F62F78" w:rsidP="00F62F78">
            <w:pPr>
              <w:pStyle w:val="Listecouleur-Accent11"/>
              <w:keepNext/>
              <w:numPr>
                <w:ilvl w:val="0"/>
                <w:numId w:val="103"/>
              </w:numPr>
              <w:ind w:left="89" w:hanging="142"/>
              <w:jc w:val="left"/>
              <w:rPr>
                <w:rFonts w:ascii="Times New Roman" w:hAnsi="Times New Roman"/>
                <w:bCs/>
                <w:sz w:val="20"/>
                <w:szCs w:val="20"/>
              </w:rPr>
            </w:pPr>
          </w:p>
        </w:tc>
        <w:tc>
          <w:tcPr>
            <w:tcW w:w="2410" w:type="dxa"/>
            <w:vMerge/>
            <w:vAlign w:val="center"/>
          </w:tcPr>
          <w:p w:rsidR="00F62F78" w:rsidRPr="00EB42DE" w:rsidRDefault="00F62F78" w:rsidP="00F62F78">
            <w:pPr>
              <w:pStyle w:val="Listecouleur-Accent11"/>
              <w:keepNext/>
              <w:numPr>
                <w:ilvl w:val="0"/>
                <w:numId w:val="149"/>
              </w:numPr>
              <w:ind w:left="170" w:hanging="284"/>
              <w:jc w:val="left"/>
              <w:rPr>
                <w:rFonts w:ascii="Times New Roman" w:hAnsi="Times New Roman"/>
                <w:bCs/>
                <w:sz w:val="20"/>
                <w:szCs w:val="20"/>
                <w:lang w:val="fr-FR"/>
              </w:rPr>
            </w:pPr>
          </w:p>
        </w:tc>
        <w:tc>
          <w:tcPr>
            <w:tcW w:w="9214" w:type="dxa"/>
          </w:tcPr>
          <w:p w:rsidR="00F328B3" w:rsidRDefault="00F62F78" w:rsidP="00F62F78">
            <w:pPr>
              <w:jc w:val="both"/>
              <w:rPr>
                <w:rFonts w:ascii="Times New Roman" w:hAnsi="Times New Roman"/>
                <w:sz w:val="20"/>
                <w:szCs w:val="20"/>
              </w:rPr>
            </w:pPr>
            <w:r w:rsidRPr="00F62F78">
              <w:rPr>
                <w:rFonts w:ascii="Times New Roman" w:hAnsi="Times New Roman"/>
                <w:sz w:val="20"/>
                <w:szCs w:val="20"/>
              </w:rPr>
              <w:t>Mettre en place des panneaux de sen</w:t>
            </w:r>
            <w:r w:rsidR="00F328B3">
              <w:rPr>
                <w:rFonts w:ascii="Times New Roman" w:hAnsi="Times New Roman"/>
                <w:sz w:val="20"/>
                <w:szCs w:val="20"/>
              </w:rPr>
              <w:t xml:space="preserve">sibilisation contre le COVID 19. </w:t>
            </w:r>
          </w:p>
          <w:p w:rsidR="00F62F78" w:rsidRPr="00F62F78" w:rsidRDefault="00F62F78" w:rsidP="00F62F78">
            <w:pPr>
              <w:jc w:val="both"/>
              <w:rPr>
                <w:rFonts w:ascii="Times New Roman" w:hAnsi="Times New Roman"/>
                <w:sz w:val="20"/>
                <w:szCs w:val="20"/>
              </w:rPr>
            </w:pPr>
            <w:r w:rsidRPr="00F62F78">
              <w:rPr>
                <w:rFonts w:ascii="Times New Roman" w:hAnsi="Times New Roman"/>
                <w:sz w:val="20"/>
                <w:szCs w:val="20"/>
              </w:rPr>
              <w:t>Exiger le respect des mesures de lutte contre la propagation</w:t>
            </w:r>
          </w:p>
          <w:p w:rsidR="00F62F78" w:rsidRPr="00F62F78" w:rsidRDefault="00F62F78" w:rsidP="00F62F78">
            <w:pPr>
              <w:jc w:val="both"/>
              <w:rPr>
                <w:rFonts w:ascii="Times New Roman" w:hAnsi="Times New Roman"/>
                <w:sz w:val="20"/>
                <w:szCs w:val="20"/>
              </w:rPr>
            </w:pPr>
            <w:r w:rsidRPr="00F62F78">
              <w:rPr>
                <w:rFonts w:ascii="Times New Roman" w:hAnsi="Times New Roman"/>
                <w:sz w:val="20"/>
                <w:szCs w:val="20"/>
              </w:rPr>
              <w:t>Mettre à la disposition des ouvriers des masques de protection et des gels antiseptiques</w:t>
            </w:r>
          </w:p>
          <w:p w:rsidR="00F62F78" w:rsidRPr="00646B64" w:rsidRDefault="00F62F78" w:rsidP="00F62F78">
            <w:pPr>
              <w:jc w:val="both"/>
              <w:rPr>
                <w:rFonts w:ascii="Times New Roman" w:hAnsi="Times New Roman"/>
                <w:sz w:val="20"/>
                <w:szCs w:val="20"/>
              </w:rPr>
            </w:pPr>
            <w:r w:rsidRPr="00F62F78">
              <w:rPr>
                <w:rFonts w:ascii="Times New Roman" w:hAnsi="Times New Roman"/>
                <w:sz w:val="20"/>
                <w:szCs w:val="20"/>
              </w:rPr>
              <w:t>Organiser des campagnes de sensibilisation ;</w:t>
            </w:r>
          </w:p>
        </w:tc>
      </w:tr>
      <w:tr w:rsidR="00F62F78" w:rsidRPr="00646B64" w:rsidTr="00C821BE">
        <w:tc>
          <w:tcPr>
            <w:tcW w:w="1905" w:type="dxa"/>
            <w:vMerge/>
            <w:shd w:val="clear" w:color="auto" w:fill="E2EFD9" w:themeFill="accent6" w:themeFillTint="33"/>
            <w:vAlign w:val="center"/>
          </w:tcPr>
          <w:p w:rsidR="00F62F78" w:rsidRPr="00EB42DE" w:rsidRDefault="00F62F78" w:rsidP="00F62F78">
            <w:pPr>
              <w:pStyle w:val="Listecouleur-Accent11"/>
              <w:keepNext/>
              <w:ind w:left="0"/>
              <w:jc w:val="center"/>
              <w:rPr>
                <w:rFonts w:ascii="Times New Roman" w:hAnsi="Times New Roman"/>
                <w:b/>
                <w:iCs/>
                <w:sz w:val="32"/>
                <w:szCs w:val="32"/>
                <w:lang w:val="fr-FR"/>
              </w:rPr>
            </w:pPr>
          </w:p>
        </w:tc>
        <w:tc>
          <w:tcPr>
            <w:tcW w:w="2206" w:type="dxa"/>
            <w:vMerge/>
            <w:vAlign w:val="center"/>
          </w:tcPr>
          <w:p w:rsidR="00F62F78" w:rsidRPr="00EB42DE" w:rsidRDefault="00F62F78" w:rsidP="00F62F78">
            <w:pPr>
              <w:pStyle w:val="Listecouleur-Accent11"/>
              <w:keepNext/>
              <w:numPr>
                <w:ilvl w:val="0"/>
                <w:numId w:val="103"/>
              </w:numPr>
              <w:ind w:left="89" w:hanging="142"/>
              <w:jc w:val="left"/>
              <w:rPr>
                <w:rFonts w:ascii="Times New Roman" w:hAnsi="Times New Roman"/>
                <w:bCs/>
                <w:sz w:val="20"/>
                <w:szCs w:val="20"/>
              </w:rPr>
            </w:pPr>
            <w:bookmarkStart w:id="538" w:name="_Toc32511587"/>
            <w:bookmarkEnd w:id="538"/>
          </w:p>
        </w:tc>
        <w:tc>
          <w:tcPr>
            <w:tcW w:w="2410" w:type="dxa"/>
            <w:vMerge/>
            <w:vAlign w:val="center"/>
          </w:tcPr>
          <w:p w:rsidR="00F62F78" w:rsidRPr="00EB42DE" w:rsidRDefault="00F62F78" w:rsidP="00F62F78">
            <w:pPr>
              <w:pStyle w:val="Listecouleur-Accent11"/>
              <w:keepNext/>
              <w:ind w:left="170"/>
              <w:jc w:val="left"/>
              <w:rPr>
                <w:rFonts w:ascii="Times New Roman" w:hAnsi="Times New Roman"/>
                <w:bCs/>
                <w:sz w:val="20"/>
                <w:szCs w:val="20"/>
                <w:lang w:val="fr-FR"/>
              </w:rPr>
            </w:pPr>
          </w:p>
        </w:tc>
        <w:tc>
          <w:tcPr>
            <w:tcW w:w="9214" w:type="dxa"/>
          </w:tcPr>
          <w:p w:rsidR="00F62F78" w:rsidRPr="00646B64" w:rsidRDefault="00F62F78" w:rsidP="00F62F78">
            <w:pPr>
              <w:jc w:val="both"/>
              <w:rPr>
                <w:rFonts w:ascii="Times New Roman" w:hAnsi="Times New Roman"/>
                <w:sz w:val="20"/>
                <w:szCs w:val="20"/>
              </w:rPr>
            </w:pPr>
            <w:r w:rsidRPr="00646B64">
              <w:rPr>
                <w:rFonts w:ascii="Times New Roman" w:hAnsi="Times New Roman"/>
                <w:sz w:val="20"/>
                <w:szCs w:val="20"/>
              </w:rPr>
              <w:t>De manière générale, il est conseillé à la mission de contrôle de s’assurer de la prise en charge effective des malades sur le chantier et de la présence de moyens de premiers secours et des moyens d’évacuation d’urgence.</w:t>
            </w:r>
          </w:p>
        </w:tc>
      </w:tr>
      <w:tr w:rsidR="00F62F78" w:rsidRPr="00646B64" w:rsidTr="00C821BE">
        <w:tc>
          <w:tcPr>
            <w:tcW w:w="1905" w:type="dxa"/>
            <w:vMerge w:val="restart"/>
            <w:shd w:val="clear" w:color="auto" w:fill="E2EFD9" w:themeFill="accent6" w:themeFillTint="33"/>
            <w:vAlign w:val="center"/>
          </w:tcPr>
          <w:p w:rsidR="00F62F78" w:rsidRPr="00EB42DE" w:rsidRDefault="00F62F78" w:rsidP="00F62F78">
            <w:pPr>
              <w:pStyle w:val="Listecouleur-Accent11"/>
              <w:keepNext/>
              <w:ind w:left="0"/>
              <w:jc w:val="center"/>
              <w:rPr>
                <w:rFonts w:ascii="Times New Roman" w:hAnsi="Times New Roman"/>
                <w:b/>
                <w:iCs/>
                <w:sz w:val="32"/>
                <w:szCs w:val="32"/>
                <w:lang w:val="fr-FR"/>
              </w:rPr>
            </w:pPr>
            <w:bookmarkStart w:id="539" w:name="_Toc32511588"/>
            <w:r w:rsidRPr="00EB42DE">
              <w:rPr>
                <w:rFonts w:ascii="Times New Roman" w:hAnsi="Times New Roman"/>
                <w:b/>
                <w:iCs/>
                <w:sz w:val="32"/>
                <w:szCs w:val="32"/>
                <w:lang w:val="fr-FR"/>
              </w:rPr>
              <w:t>Cadre de vie</w:t>
            </w:r>
            <w:bookmarkEnd w:id="539"/>
          </w:p>
        </w:tc>
        <w:tc>
          <w:tcPr>
            <w:tcW w:w="2206" w:type="dxa"/>
            <w:vMerge w:val="restart"/>
            <w:vAlign w:val="center"/>
          </w:tcPr>
          <w:p w:rsidR="00F62F78" w:rsidRPr="00EB42DE" w:rsidRDefault="00F62F78" w:rsidP="00F62F78">
            <w:pPr>
              <w:pStyle w:val="Listecouleur-Accent11"/>
              <w:keepNext/>
              <w:numPr>
                <w:ilvl w:val="0"/>
                <w:numId w:val="103"/>
              </w:numPr>
              <w:ind w:left="89" w:hanging="142"/>
              <w:jc w:val="left"/>
              <w:rPr>
                <w:rFonts w:ascii="Times New Roman" w:hAnsi="Times New Roman"/>
                <w:bCs/>
                <w:sz w:val="20"/>
                <w:szCs w:val="20"/>
              </w:rPr>
            </w:pPr>
            <w:bookmarkStart w:id="540" w:name="_Toc32511589"/>
            <w:r w:rsidRPr="00EB42DE">
              <w:rPr>
                <w:rFonts w:ascii="Times New Roman" w:hAnsi="Times New Roman"/>
                <w:bCs/>
                <w:sz w:val="20"/>
                <w:szCs w:val="20"/>
              </w:rPr>
              <w:t>Les activités de libération des emprises et de construction des réservoirs ;</w:t>
            </w:r>
            <w:bookmarkEnd w:id="540"/>
          </w:p>
        </w:tc>
        <w:tc>
          <w:tcPr>
            <w:tcW w:w="2410" w:type="dxa"/>
            <w:vMerge w:val="restart"/>
            <w:vAlign w:val="center"/>
          </w:tcPr>
          <w:p w:rsidR="00F62F78" w:rsidRPr="00EB42DE" w:rsidRDefault="00F62F78" w:rsidP="00F62F78">
            <w:pPr>
              <w:pStyle w:val="Listecouleur-Accent11"/>
              <w:keepNext/>
              <w:numPr>
                <w:ilvl w:val="0"/>
                <w:numId w:val="149"/>
              </w:numPr>
              <w:ind w:left="170" w:hanging="284"/>
              <w:jc w:val="left"/>
              <w:rPr>
                <w:rFonts w:ascii="Times New Roman" w:hAnsi="Times New Roman"/>
                <w:bCs/>
                <w:sz w:val="20"/>
                <w:szCs w:val="20"/>
                <w:lang w:val="fr-FR"/>
              </w:rPr>
            </w:pPr>
            <w:bookmarkStart w:id="541" w:name="_Toc32511590"/>
            <w:r w:rsidRPr="00EB42DE">
              <w:rPr>
                <w:rFonts w:ascii="Times New Roman" w:hAnsi="Times New Roman"/>
                <w:bCs/>
                <w:sz w:val="20"/>
                <w:szCs w:val="20"/>
                <w:lang w:val="fr-FR"/>
              </w:rPr>
              <w:t>Risques de perte de terres, de dégradation de biens et de perte de ressources</w:t>
            </w:r>
            <w:bookmarkEnd w:id="541"/>
          </w:p>
        </w:tc>
        <w:tc>
          <w:tcPr>
            <w:tcW w:w="9214" w:type="dxa"/>
          </w:tcPr>
          <w:p w:rsidR="00F62F78" w:rsidRPr="00646B64" w:rsidRDefault="00F62F78" w:rsidP="00F62F78">
            <w:pPr>
              <w:jc w:val="both"/>
              <w:rPr>
                <w:rFonts w:ascii="Times New Roman" w:hAnsi="Times New Roman"/>
                <w:sz w:val="20"/>
                <w:szCs w:val="20"/>
              </w:rPr>
            </w:pPr>
            <w:r w:rsidRPr="00646B64">
              <w:rPr>
                <w:rFonts w:ascii="Times New Roman" w:hAnsi="Times New Roman"/>
                <w:sz w:val="20"/>
                <w:szCs w:val="20"/>
              </w:rPr>
              <w:t>L’entreprise devra tenir des séances d’informations et de sensibilisation afin que les populations puissent savoir quand et où planter avant le démarrage des travaux et au cours des travaux de libération des emprises et de construction.</w:t>
            </w:r>
          </w:p>
        </w:tc>
      </w:tr>
      <w:tr w:rsidR="00F62F78" w:rsidRPr="00646B64" w:rsidTr="00C821BE">
        <w:tc>
          <w:tcPr>
            <w:tcW w:w="1905" w:type="dxa"/>
            <w:vMerge/>
            <w:shd w:val="clear" w:color="auto" w:fill="E2EFD9" w:themeFill="accent6" w:themeFillTint="33"/>
            <w:vAlign w:val="center"/>
          </w:tcPr>
          <w:p w:rsidR="00F62F78" w:rsidRPr="00EB42DE" w:rsidRDefault="00F62F78" w:rsidP="00F62F78">
            <w:pPr>
              <w:pStyle w:val="Listecouleur-Accent11"/>
              <w:keepNext/>
              <w:ind w:left="0"/>
              <w:jc w:val="center"/>
              <w:rPr>
                <w:rFonts w:ascii="Times New Roman" w:hAnsi="Times New Roman"/>
                <w:b/>
                <w:iCs/>
                <w:sz w:val="32"/>
                <w:szCs w:val="32"/>
                <w:lang w:val="fr-FR"/>
              </w:rPr>
            </w:pPr>
          </w:p>
        </w:tc>
        <w:tc>
          <w:tcPr>
            <w:tcW w:w="2206" w:type="dxa"/>
            <w:vMerge/>
            <w:vAlign w:val="center"/>
          </w:tcPr>
          <w:p w:rsidR="00F62F78" w:rsidRPr="00EB42DE" w:rsidRDefault="00F62F78" w:rsidP="00F62F78">
            <w:pPr>
              <w:pStyle w:val="Listecouleur-Accent11"/>
              <w:keepNext/>
              <w:numPr>
                <w:ilvl w:val="0"/>
                <w:numId w:val="103"/>
              </w:numPr>
              <w:ind w:left="89" w:hanging="142"/>
              <w:jc w:val="left"/>
              <w:rPr>
                <w:rFonts w:ascii="Times New Roman" w:hAnsi="Times New Roman"/>
                <w:bCs/>
                <w:sz w:val="20"/>
                <w:szCs w:val="20"/>
              </w:rPr>
            </w:pPr>
            <w:bookmarkStart w:id="542" w:name="_Toc32511591"/>
            <w:bookmarkEnd w:id="542"/>
          </w:p>
        </w:tc>
        <w:tc>
          <w:tcPr>
            <w:tcW w:w="2410" w:type="dxa"/>
            <w:vMerge/>
            <w:vAlign w:val="center"/>
          </w:tcPr>
          <w:p w:rsidR="00F62F78" w:rsidRPr="00EB42DE" w:rsidRDefault="00F62F78" w:rsidP="00F62F78">
            <w:pPr>
              <w:pStyle w:val="Listecouleur-Accent11"/>
              <w:keepNext/>
              <w:numPr>
                <w:ilvl w:val="0"/>
                <w:numId w:val="149"/>
              </w:numPr>
              <w:ind w:left="170" w:hanging="284"/>
              <w:jc w:val="left"/>
              <w:rPr>
                <w:rFonts w:ascii="Times New Roman" w:hAnsi="Times New Roman"/>
                <w:bCs/>
                <w:sz w:val="20"/>
                <w:szCs w:val="20"/>
                <w:lang w:val="fr-FR"/>
              </w:rPr>
            </w:pPr>
            <w:bookmarkStart w:id="543" w:name="_Toc32511592"/>
            <w:bookmarkEnd w:id="543"/>
          </w:p>
        </w:tc>
        <w:tc>
          <w:tcPr>
            <w:tcW w:w="9214" w:type="dxa"/>
          </w:tcPr>
          <w:p w:rsidR="00F62F78" w:rsidRPr="00646B64" w:rsidRDefault="00F62F78" w:rsidP="00F62F78">
            <w:pPr>
              <w:jc w:val="both"/>
              <w:rPr>
                <w:rFonts w:ascii="Times New Roman" w:hAnsi="Times New Roman"/>
                <w:sz w:val="20"/>
                <w:szCs w:val="20"/>
              </w:rPr>
            </w:pPr>
            <w:r w:rsidRPr="00646B64">
              <w:rPr>
                <w:rFonts w:ascii="Times New Roman" w:hAnsi="Times New Roman"/>
                <w:sz w:val="20"/>
                <w:szCs w:val="20"/>
              </w:rPr>
              <w:t>Il est suggéré de mettre en œuvre le PAR enfin de compenser les pertes de terre recensées à Bor, Safim et Antula avant le démarrage des travaux.</w:t>
            </w:r>
          </w:p>
        </w:tc>
      </w:tr>
      <w:tr w:rsidR="00F62F78" w:rsidRPr="00646B64" w:rsidTr="00C821BE">
        <w:tc>
          <w:tcPr>
            <w:tcW w:w="1905" w:type="dxa"/>
            <w:vMerge w:val="restart"/>
            <w:shd w:val="clear" w:color="auto" w:fill="E2EFD9" w:themeFill="accent6" w:themeFillTint="33"/>
            <w:vAlign w:val="center"/>
          </w:tcPr>
          <w:p w:rsidR="00F62F78" w:rsidRPr="00EB42DE" w:rsidRDefault="00F62F78" w:rsidP="00F62F78">
            <w:pPr>
              <w:pStyle w:val="Listecouleur-Accent11"/>
              <w:keepNext/>
              <w:ind w:left="0"/>
              <w:jc w:val="center"/>
              <w:rPr>
                <w:rFonts w:ascii="Times New Roman" w:hAnsi="Times New Roman"/>
                <w:b/>
                <w:iCs/>
                <w:sz w:val="32"/>
                <w:szCs w:val="32"/>
                <w:lang w:val="fr-FR"/>
              </w:rPr>
            </w:pPr>
            <w:bookmarkStart w:id="544" w:name="_Toc32511593"/>
            <w:r w:rsidRPr="00EB42DE">
              <w:rPr>
                <w:rFonts w:ascii="Times New Roman" w:hAnsi="Times New Roman"/>
                <w:b/>
                <w:iCs/>
                <w:sz w:val="32"/>
                <w:szCs w:val="32"/>
                <w:lang w:val="fr-FR"/>
              </w:rPr>
              <w:t>Humain</w:t>
            </w:r>
            <w:bookmarkEnd w:id="544"/>
          </w:p>
        </w:tc>
        <w:tc>
          <w:tcPr>
            <w:tcW w:w="2206" w:type="dxa"/>
            <w:vMerge w:val="restart"/>
            <w:vAlign w:val="center"/>
          </w:tcPr>
          <w:p w:rsidR="00F62F78" w:rsidRPr="00EB42DE" w:rsidRDefault="00F62F78" w:rsidP="00F62F78">
            <w:pPr>
              <w:pStyle w:val="Listecouleur-Accent11"/>
              <w:keepNext/>
              <w:numPr>
                <w:ilvl w:val="0"/>
                <w:numId w:val="103"/>
              </w:numPr>
              <w:ind w:left="89" w:hanging="142"/>
              <w:jc w:val="left"/>
              <w:rPr>
                <w:rFonts w:ascii="Times New Roman" w:hAnsi="Times New Roman"/>
                <w:bCs/>
                <w:sz w:val="20"/>
                <w:szCs w:val="20"/>
              </w:rPr>
            </w:pPr>
            <w:bookmarkStart w:id="545" w:name="_Toc32511594"/>
            <w:r w:rsidRPr="00EB42DE">
              <w:rPr>
                <w:rFonts w:ascii="Times New Roman" w:hAnsi="Times New Roman"/>
                <w:bCs/>
                <w:sz w:val="20"/>
                <w:szCs w:val="20"/>
              </w:rPr>
              <w:t>Les activités de construction et d’équipement des réservoirs</w:t>
            </w:r>
            <w:bookmarkEnd w:id="545"/>
          </w:p>
        </w:tc>
        <w:tc>
          <w:tcPr>
            <w:tcW w:w="2410" w:type="dxa"/>
            <w:vMerge w:val="restart"/>
            <w:vAlign w:val="center"/>
          </w:tcPr>
          <w:p w:rsidR="00F62F78" w:rsidRPr="00EB42DE" w:rsidRDefault="00F62F78" w:rsidP="00F62F78">
            <w:pPr>
              <w:pStyle w:val="Listecouleur-Accent11"/>
              <w:keepNext/>
              <w:numPr>
                <w:ilvl w:val="0"/>
                <w:numId w:val="149"/>
              </w:numPr>
              <w:ind w:left="170" w:hanging="284"/>
              <w:jc w:val="left"/>
              <w:rPr>
                <w:rFonts w:ascii="Times New Roman" w:hAnsi="Times New Roman"/>
                <w:bCs/>
                <w:sz w:val="20"/>
                <w:szCs w:val="20"/>
                <w:lang w:val="fr-FR"/>
              </w:rPr>
            </w:pPr>
            <w:bookmarkStart w:id="546" w:name="_Toc32511595"/>
            <w:r w:rsidRPr="00EB42DE">
              <w:rPr>
                <w:rFonts w:ascii="Times New Roman" w:hAnsi="Times New Roman"/>
                <w:bCs/>
                <w:sz w:val="20"/>
                <w:szCs w:val="20"/>
                <w:lang w:val="fr-FR"/>
              </w:rPr>
              <w:t>Création d’emploi (recrutement de la main d’œuvre non qualifiée et des travailleur</w:t>
            </w:r>
            <w:r>
              <w:rPr>
                <w:rFonts w:ascii="Times New Roman" w:hAnsi="Times New Roman"/>
                <w:bCs/>
                <w:sz w:val="20"/>
                <w:szCs w:val="20"/>
                <w:lang w:val="fr-FR"/>
              </w:rPr>
              <w:t>s</w:t>
            </w:r>
            <w:r w:rsidRPr="00EB42DE">
              <w:rPr>
                <w:rFonts w:ascii="Times New Roman" w:hAnsi="Times New Roman"/>
                <w:bCs/>
                <w:sz w:val="20"/>
                <w:szCs w:val="20"/>
                <w:lang w:val="fr-FR"/>
              </w:rPr>
              <w:t xml:space="preserve"> Spécialisés)</w:t>
            </w:r>
            <w:bookmarkEnd w:id="546"/>
          </w:p>
        </w:tc>
        <w:tc>
          <w:tcPr>
            <w:tcW w:w="9214" w:type="dxa"/>
          </w:tcPr>
          <w:p w:rsidR="00F62F78" w:rsidRPr="00646B64" w:rsidRDefault="00F62F78" w:rsidP="00F62F78">
            <w:pPr>
              <w:jc w:val="both"/>
              <w:rPr>
                <w:rFonts w:ascii="Times New Roman" w:hAnsi="Times New Roman"/>
                <w:sz w:val="20"/>
                <w:szCs w:val="20"/>
              </w:rPr>
            </w:pPr>
            <w:r w:rsidRPr="00646B64">
              <w:rPr>
                <w:rFonts w:ascii="Times New Roman" w:hAnsi="Times New Roman"/>
                <w:sz w:val="20"/>
                <w:szCs w:val="20"/>
              </w:rPr>
              <w:t>Il est recommandé à la mission de contrôle de veiller à ce que le recrutement de la main-d’œuvre non qualifiée et des travailleurs spécialisés soient strictement local en tenant compte des possibilités offertes par la qualification existant dans la zone.</w:t>
            </w:r>
          </w:p>
        </w:tc>
      </w:tr>
      <w:tr w:rsidR="00F62F78" w:rsidRPr="00646B64" w:rsidTr="00C821BE">
        <w:tc>
          <w:tcPr>
            <w:tcW w:w="1905" w:type="dxa"/>
            <w:vMerge/>
            <w:shd w:val="clear" w:color="auto" w:fill="E2EFD9" w:themeFill="accent6" w:themeFillTint="33"/>
            <w:vAlign w:val="center"/>
          </w:tcPr>
          <w:p w:rsidR="00F62F78" w:rsidRPr="00EB42DE" w:rsidRDefault="00F62F78" w:rsidP="00F62F78">
            <w:pPr>
              <w:pStyle w:val="Listecouleur-Accent11"/>
              <w:keepNext/>
              <w:ind w:left="0"/>
              <w:jc w:val="center"/>
              <w:rPr>
                <w:rFonts w:ascii="Times New Roman" w:hAnsi="Times New Roman"/>
                <w:b/>
                <w:iCs/>
                <w:sz w:val="32"/>
                <w:szCs w:val="32"/>
                <w:lang w:val="fr-FR"/>
              </w:rPr>
            </w:pPr>
          </w:p>
        </w:tc>
        <w:tc>
          <w:tcPr>
            <w:tcW w:w="2206" w:type="dxa"/>
            <w:vMerge/>
            <w:vAlign w:val="center"/>
          </w:tcPr>
          <w:p w:rsidR="00F62F78" w:rsidRPr="00EB42DE" w:rsidRDefault="00F62F78" w:rsidP="00F62F78">
            <w:pPr>
              <w:pStyle w:val="Listecouleur-Accent11"/>
              <w:keepNext/>
              <w:numPr>
                <w:ilvl w:val="0"/>
                <w:numId w:val="103"/>
              </w:numPr>
              <w:ind w:left="89" w:hanging="142"/>
              <w:jc w:val="left"/>
              <w:rPr>
                <w:rFonts w:ascii="Times New Roman" w:hAnsi="Times New Roman"/>
                <w:bCs/>
                <w:sz w:val="20"/>
                <w:szCs w:val="20"/>
              </w:rPr>
            </w:pPr>
            <w:bookmarkStart w:id="547" w:name="_Toc32511596"/>
            <w:bookmarkEnd w:id="547"/>
          </w:p>
        </w:tc>
        <w:tc>
          <w:tcPr>
            <w:tcW w:w="2410" w:type="dxa"/>
            <w:vMerge/>
            <w:vAlign w:val="center"/>
          </w:tcPr>
          <w:p w:rsidR="00F62F78" w:rsidRPr="00EB42DE" w:rsidRDefault="00F62F78" w:rsidP="00F62F78">
            <w:pPr>
              <w:pStyle w:val="Listecouleur-Accent11"/>
              <w:keepNext/>
              <w:numPr>
                <w:ilvl w:val="0"/>
                <w:numId w:val="149"/>
              </w:numPr>
              <w:ind w:left="170" w:hanging="284"/>
              <w:jc w:val="left"/>
              <w:rPr>
                <w:rFonts w:ascii="Times New Roman" w:hAnsi="Times New Roman"/>
                <w:bCs/>
                <w:sz w:val="20"/>
                <w:szCs w:val="20"/>
                <w:lang w:val="fr-FR"/>
              </w:rPr>
            </w:pPr>
            <w:bookmarkStart w:id="548" w:name="_Toc32511597"/>
            <w:bookmarkEnd w:id="548"/>
          </w:p>
        </w:tc>
        <w:tc>
          <w:tcPr>
            <w:tcW w:w="9214" w:type="dxa"/>
          </w:tcPr>
          <w:p w:rsidR="00F62F78" w:rsidRPr="00646B64" w:rsidRDefault="00F62F78" w:rsidP="00F62F78">
            <w:pPr>
              <w:jc w:val="both"/>
              <w:rPr>
                <w:rFonts w:ascii="Times New Roman" w:hAnsi="Times New Roman"/>
                <w:sz w:val="20"/>
                <w:szCs w:val="20"/>
              </w:rPr>
            </w:pPr>
            <w:r w:rsidRPr="00646B64">
              <w:rPr>
                <w:rFonts w:ascii="Times New Roman" w:hAnsi="Times New Roman"/>
                <w:sz w:val="20"/>
                <w:szCs w:val="20"/>
              </w:rPr>
              <w:t>Il est important que l’entreprise tienne, chaque mois, une comptabilité détaillée des embauches et débauches des personnes habitant dans la localité, ce qui permettrait de pouvoir faire une évaluation correcte des retombées financières et économiques des travaux sur le pouvoir d’achat des populations et ainsi avoir une certaine estimation de la contribution directe des travaux dans la lutte contre la pauvreté.</w:t>
            </w:r>
          </w:p>
        </w:tc>
      </w:tr>
      <w:tr w:rsidR="00F62F78" w:rsidRPr="00646B64" w:rsidTr="00C821BE">
        <w:tc>
          <w:tcPr>
            <w:tcW w:w="1905" w:type="dxa"/>
            <w:vMerge/>
            <w:shd w:val="clear" w:color="auto" w:fill="E2EFD9" w:themeFill="accent6" w:themeFillTint="33"/>
            <w:vAlign w:val="center"/>
          </w:tcPr>
          <w:p w:rsidR="00F62F78" w:rsidRPr="00EB42DE" w:rsidRDefault="00F62F78" w:rsidP="00F62F78">
            <w:pPr>
              <w:pStyle w:val="Listecouleur-Accent11"/>
              <w:keepNext/>
              <w:ind w:left="0"/>
              <w:jc w:val="center"/>
              <w:rPr>
                <w:rFonts w:ascii="Times New Roman" w:hAnsi="Times New Roman"/>
                <w:b/>
                <w:iCs/>
                <w:sz w:val="32"/>
                <w:szCs w:val="32"/>
                <w:lang w:val="fr-FR"/>
              </w:rPr>
            </w:pPr>
          </w:p>
        </w:tc>
        <w:tc>
          <w:tcPr>
            <w:tcW w:w="2206" w:type="dxa"/>
            <w:vAlign w:val="center"/>
          </w:tcPr>
          <w:p w:rsidR="00F62F78" w:rsidRPr="00EB42DE" w:rsidRDefault="00F62F78" w:rsidP="00F62F78">
            <w:pPr>
              <w:pStyle w:val="Listecouleur-Accent11"/>
              <w:keepNext/>
              <w:numPr>
                <w:ilvl w:val="0"/>
                <w:numId w:val="103"/>
              </w:numPr>
              <w:ind w:left="89" w:hanging="142"/>
              <w:jc w:val="left"/>
              <w:rPr>
                <w:rFonts w:ascii="Times New Roman" w:hAnsi="Times New Roman"/>
                <w:bCs/>
                <w:sz w:val="20"/>
                <w:szCs w:val="20"/>
              </w:rPr>
            </w:pPr>
            <w:bookmarkStart w:id="549" w:name="_Toc32511598"/>
            <w:r w:rsidRPr="00EB42DE">
              <w:rPr>
                <w:rFonts w:ascii="Times New Roman" w:hAnsi="Times New Roman"/>
                <w:bCs/>
                <w:sz w:val="20"/>
                <w:szCs w:val="20"/>
              </w:rPr>
              <w:t>La circulation des engins et des camions et des ouvriers</w:t>
            </w:r>
            <w:bookmarkEnd w:id="549"/>
          </w:p>
          <w:p w:rsidR="00F62F78" w:rsidRPr="00EB42DE" w:rsidRDefault="00F62F78" w:rsidP="00F62F78">
            <w:pPr>
              <w:pStyle w:val="Listecouleur-Accent11"/>
              <w:keepNext/>
              <w:ind w:left="89"/>
              <w:jc w:val="left"/>
              <w:rPr>
                <w:rFonts w:ascii="Times New Roman" w:hAnsi="Times New Roman"/>
                <w:bCs/>
                <w:sz w:val="20"/>
                <w:szCs w:val="20"/>
              </w:rPr>
            </w:pPr>
          </w:p>
        </w:tc>
        <w:tc>
          <w:tcPr>
            <w:tcW w:w="2410" w:type="dxa"/>
            <w:vAlign w:val="center"/>
          </w:tcPr>
          <w:p w:rsidR="00F62F78" w:rsidRPr="00EB42DE" w:rsidRDefault="00F62F78" w:rsidP="00F62F78">
            <w:pPr>
              <w:pStyle w:val="Listecouleur-Accent11"/>
              <w:keepNext/>
              <w:numPr>
                <w:ilvl w:val="0"/>
                <w:numId w:val="149"/>
              </w:numPr>
              <w:ind w:left="170" w:hanging="284"/>
              <w:jc w:val="left"/>
              <w:rPr>
                <w:rFonts w:ascii="Times New Roman" w:hAnsi="Times New Roman"/>
                <w:bCs/>
                <w:sz w:val="20"/>
                <w:szCs w:val="20"/>
                <w:lang w:val="fr-FR"/>
              </w:rPr>
            </w:pPr>
            <w:bookmarkStart w:id="550" w:name="_Toc32511599"/>
            <w:r w:rsidRPr="00EB42DE">
              <w:rPr>
                <w:rFonts w:ascii="Times New Roman" w:hAnsi="Times New Roman"/>
                <w:bCs/>
                <w:sz w:val="20"/>
                <w:szCs w:val="20"/>
                <w:lang w:val="fr-FR"/>
              </w:rPr>
              <w:t>Risque de perturbation au niveau de la circulation des automobilistes.</w:t>
            </w:r>
            <w:bookmarkEnd w:id="550"/>
          </w:p>
        </w:tc>
        <w:tc>
          <w:tcPr>
            <w:tcW w:w="9214" w:type="dxa"/>
          </w:tcPr>
          <w:p w:rsidR="00F62F78" w:rsidRPr="00646B64" w:rsidRDefault="00F62F78" w:rsidP="00F62F78">
            <w:pPr>
              <w:jc w:val="both"/>
              <w:rPr>
                <w:rFonts w:ascii="Times New Roman" w:hAnsi="Times New Roman"/>
                <w:bCs/>
                <w:sz w:val="20"/>
                <w:szCs w:val="20"/>
              </w:rPr>
            </w:pPr>
            <w:r w:rsidRPr="00646B64">
              <w:rPr>
                <w:rFonts w:ascii="Times New Roman" w:hAnsi="Times New Roman"/>
                <w:bCs/>
                <w:sz w:val="20"/>
                <w:szCs w:val="20"/>
              </w:rPr>
              <w:t>Il est recommandé de bien baliser les zones d’intervention du projet surtout en ville. Mais aussi de tenir informer des autorités locales de la période de déroulement des activités prévues pour qu’elles puissent informer les riverains et les automobilistes.</w:t>
            </w:r>
          </w:p>
          <w:p w:rsidR="00F62F78" w:rsidRPr="00646B64" w:rsidRDefault="00F62F78" w:rsidP="00F62F78">
            <w:pPr>
              <w:jc w:val="both"/>
              <w:rPr>
                <w:rFonts w:ascii="Times New Roman" w:hAnsi="Times New Roman"/>
                <w:bCs/>
                <w:sz w:val="20"/>
                <w:szCs w:val="20"/>
              </w:rPr>
            </w:pPr>
            <w:r w:rsidRPr="00646B64">
              <w:rPr>
                <w:rFonts w:ascii="Times New Roman" w:hAnsi="Times New Roman"/>
                <w:bCs/>
                <w:sz w:val="20"/>
                <w:szCs w:val="20"/>
              </w:rPr>
              <w:t>Il est suggéré de mettre en place avec les autorités des plans de circulation si les travaux risquent d’interrompe la mobilité.</w:t>
            </w:r>
          </w:p>
          <w:p w:rsidR="00F62F78" w:rsidRPr="00646B64" w:rsidRDefault="00F62F78" w:rsidP="00F62F78">
            <w:pPr>
              <w:jc w:val="both"/>
              <w:rPr>
                <w:rFonts w:ascii="Times New Roman" w:hAnsi="Times New Roman"/>
                <w:sz w:val="20"/>
                <w:szCs w:val="20"/>
              </w:rPr>
            </w:pPr>
            <w:r w:rsidRPr="00646B64">
              <w:rPr>
                <w:rFonts w:ascii="Times New Roman" w:hAnsi="Times New Roman"/>
                <w:sz w:val="20"/>
                <w:szCs w:val="20"/>
              </w:rPr>
              <w:t xml:space="preserve">Les distances entre la route principale et </w:t>
            </w:r>
            <w:r>
              <w:rPr>
                <w:rFonts w:ascii="Times New Roman" w:hAnsi="Times New Roman"/>
                <w:sz w:val="20"/>
                <w:szCs w:val="20"/>
              </w:rPr>
              <w:t>les bases de chantier</w:t>
            </w:r>
            <w:r w:rsidRPr="00646B64">
              <w:rPr>
                <w:rFonts w:ascii="Times New Roman" w:hAnsi="Times New Roman"/>
                <w:sz w:val="20"/>
                <w:szCs w:val="20"/>
              </w:rPr>
              <w:t xml:space="preserve"> soient certifiés par des techniciens compétents pour faire en sorte que nous n'aurons pas de mauvaises surprises.</w:t>
            </w:r>
          </w:p>
        </w:tc>
      </w:tr>
      <w:tr w:rsidR="00F62F78" w:rsidRPr="00646B64" w:rsidTr="00C821BE">
        <w:tc>
          <w:tcPr>
            <w:tcW w:w="1905" w:type="dxa"/>
            <w:shd w:val="clear" w:color="auto" w:fill="E2EFD9" w:themeFill="accent6" w:themeFillTint="33"/>
            <w:vAlign w:val="center"/>
          </w:tcPr>
          <w:p w:rsidR="00F62F78" w:rsidRPr="00EB42DE" w:rsidRDefault="00F62F78" w:rsidP="00F62F78">
            <w:pPr>
              <w:pStyle w:val="Listecouleur-Accent11"/>
              <w:keepNext/>
              <w:ind w:left="0"/>
              <w:jc w:val="center"/>
              <w:rPr>
                <w:rFonts w:ascii="Times New Roman" w:hAnsi="Times New Roman"/>
                <w:b/>
                <w:iCs/>
                <w:sz w:val="32"/>
                <w:szCs w:val="32"/>
                <w:lang w:val="fr-FR"/>
              </w:rPr>
            </w:pPr>
            <w:bookmarkStart w:id="551" w:name="_Toc32511600"/>
            <w:r>
              <w:rPr>
                <w:rFonts w:ascii="Times New Roman" w:hAnsi="Times New Roman"/>
                <w:b/>
                <w:iCs/>
                <w:sz w:val="32"/>
                <w:szCs w:val="32"/>
                <w:lang w:val="fr-FR"/>
              </w:rPr>
              <w:t>Sécurité</w:t>
            </w:r>
            <w:bookmarkEnd w:id="551"/>
          </w:p>
        </w:tc>
        <w:tc>
          <w:tcPr>
            <w:tcW w:w="2206" w:type="dxa"/>
            <w:vAlign w:val="center"/>
          </w:tcPr>
          <w:p w:rsidR="00F62F78" w:rsidRPr="00EB42DE" w:rsidRDefault="00F62F78" w:rsidP="00F62F78">
            <w:pPr>
              <w:pStyle w:val="Listecouleur-Accent11"/>
              <w:keepNext/>
              <w:numPr>
                <w:ilvl w:val="0"/>
                <w:numId w:val="103"/>
              </w:numPr>
              <w:ind w:left="89" w:hanging="142"/>
              <w:jc w:val="left"/>
              <w:rPr>
                <w:rFonts w:ascii="Times New Roman" w:hAnsi="Times New Roman"/>
                <w:bCs/>
                <w:sz w:val="20"/>
                <w:szCs w:val="20"/>
              </w:rPr>
            </w:pPr>
            <w:bookmarkStart w:id="552" w:name="_Toc32511601"/>
            <w:r w:rsidRPr="00EB42DE">
              <w:rPr>
                <w:rFonts w:ascii="Times New Roman" w:hAnsi="Times New Roman"/>
                <w:bCs/>
                <w:sz w:val="20"/>
                <w:szCs w:val="20"/>
              </w:rPr>
              <w:t>La présence des bases chantiers et des bases vies ;</w:t>
            </w:r>
            <w:bookmarkEnd w:id="552"/>
          </w:p>
          <w:p w:rsidR="00F62F78" w:rsidRPr="00EB42DE" w:rsidRDefault="00F62F78" w:rsidP="00F62F78">
            <w:pPr>
              <w:pStyle w:val="Listecouleur-Accent11"/>
              <w:keepNext/>
              <w:ind w:left="89"/>
              <w:jc w:val="left"/>
              <w:rPr>
                <w:rFonts w:ascii="Times New Roman" w:hAnsi="Times New Roman"/>
                <w:bCs/>
                <w:sz w:val="20"/>
                <w:szCs w:val="20"/>
              </w:rPr>
            </w:pPr>
          </w:p>
        </w:tc>
        <w:tc>
          <w:tcPr>
            <w:tcW w:w="2410" w:type="dxa"/>
            <w:vAlign w:val="center"/>
          </w:tcPr>
          <w:p w:rsidR="00F62F78" w:rsidRPr="00EB42DE" w:rsidRDefault="00F62F78" w:rsidP="00F62F78">
            <w:pPr>
              <w:pStyle w:val="Listecouleur-Accent11"/>
              <w:keepNext/>
              <w:numPr>
                <w:ilvl w:val="0"/>
                <w:numId w:val="149"/>
              </w:numPr>
              <w:ind w:left="170" w:hanging="284"/>
              <w:jc w:val="left"/>
              <w:rPr>
                <w:rFonts w:ascii="Times New Roman" w:hAnsi="Times New Roman"/>
                <w:bCs/>
                <w:sz w:val="20"/>
                <w:szCs w:val="20"/>
                <w:lang w:val="fr-FR"/>
              </w:rPr>
            </w:pPr>
            <w:bookmarkStart w:id="553" w:name="_Toc32511602"/>
            <w:r w:rsidRPr="00EB42DE">
              <w:rPr>
                <w:rFonts w:ascii="Times New Roman" w:hAnsi="Times New Roman"/>
                <w:bCs/>
                <w:sz w:val="20"/>
                <w:szCs w:val="20"/>
                <w:lang w:val="fr-FR"/>
              </w:rPr>
              <w:t>Risque de vol, de pillage d’effraction et de sabotage des chantiers</w:t>
            </w:r>
            <w:bookmarkEnd w:id="553"/>
          </w:p>
        </w:tc>
        <w:tc>
          <w:tcPr>
            <w:tcW w:w="9214" w:type="dxa"/>
          </w:tcPr>
          <w:p w:rsidR="00F62F78" w:rsidRPr="00646B64" w:rsidRDefault="00F62F78" w:rsidP="00F62F78">
            <w:pPr>
              <w:jc w:val="both"/>
              <w:rPr>
                <w:rFonts w:ascii="Times New Roman" w:hAnsi="Times New Roman"/>
                <w:sz w:val="20"/>
                <w:szCs w:val="20"/>
              </w:rPr>
            </w:pPr>
            <w:r w:rsidRPr="00646B64">
              <w:rPr>
                <w:rFonts w:ascii="Times New Roman" w:hAnsi="Times New Roman"/>
                <w:sz w:val="20"/>
                <w:szCs w:val="20"/>
              </w:rPr>
              <w:t xml:space="preserve">Il est recommandé de mettre en place des postes de gardiennage et recruter un service de gardiennage expérimenté dans ce domaine.  </w:t>
            </w:r>
          </w:p>
          <w:p w:rsidR="00F62F78" w:rsidRPr="00646B64" w:rsidRDefault="00F62F78" w:rsidP="00F62F78">
            <w:pPr>
              <w:jc w:val="both"/>
              <w:rPr>
                <w:rFonts w:ascii="Times New Roman" w:hAnsi="Times New Roman"/>
                <w:bCs/>
                <w:sz w:val="20"/>
                <w:szCs w:val="20"/>
              </w:rPr>
            </w:pPr>
            <w:r w:rsidRPr="00646B64">
              <w:rPr>
                <w:rFonts w:ascii="Times New Roman" w:hAnsi="Times New Roman"/>
                <w:sz w:val="20"/>
                <w:szCs w:val="20"/>
              </w:rPr>
              <w:t>Il est suggéré de bien sécuriser les alentours de chantiers mais aussi de bien éclairer les bases de chantiers ;</w:t>
            </w:r>
          </w:p>
          <w:p w:rsidR="00F62F78" w:rsidRPr="00646B64" w:rsidRDefault="00F62F78" w:rsidP="00F62F78">
            <w:pPr>
              <w:tabs>
                <w:tab w:val="left" w:pos="2775"/>
              </w:tabs>
              <w:rPr>
                <w:rFonts w:ascii="Times New Roman" w:hAnsi="Times New Roman"/>
                <w:sz w:val="20"/>
                <w:szCs w:val="20"/>
              </w:rPr>
            </w:pPr>
            <w:r w:rsidRPr="00646B64">
              <w:rPr>
                <w:rFonts w:ascii="Times New Roman" w:hAnsi="Times New Roman"/>
                <w:sz w:val="20"/>
                <w:szCs w:val="20"/>
              </w:rPr>
              <w:tab/>
            </w:r>
          </w:p>
        </w:tc>
      </w:tr>
      <w:tr w:rsidR="00F62F78" w:rsidRPr="00646B64" w:rsidTr="00C821BE">
        <w:tc>
          <w:tcPr>
            <w:tcW w:w="1905" w:type="dxa"/>
            <w:shd w:val="clear" w:color="auto" w:fill="E2EFD9" w:themeFill="accent6" w:themeFillTint="33"/>
            <w:vAlign w:val="center"/>
          </w:tcPr>
          <w:p w:rsidR="00F62F78" w:rsidRPr="00EB42DE" w:rsidRDefault="00F62F78" w:rsidP="00F62F78">
            <w:pPr>
              <w:pStyle w:val="Listecouleur-Accent11"/>
              <w:keepNext/>
              <w:ind w:left="0"/>
              <w:jc w:val="center"/>
              <w:rPr>
                <w:rFonts w:ascii="Times New Roman" w:hAnsi="Times New Roman"/>
                <w:b/>
                <w:iCs/>
                <w:sz w:val="32"/>
                <w:szCs w:val="32"/>
                <w:lang w:val="fr-FR"/>
              </w:rPr>
            </w:pPr>
            <w:bookmarkStart w:id="554" w:name="_Toc32511603"/>
            <w:r>
              <w:rPr>
                <w:rFonts w:ascii="Times New Roman" w:hAnsi="Times New Roman"/>
                <w:b/>
                <w:iCs/>
                <w:sz w:val="32"/>
                <w:szCs w:val="32"/>
                <w:lang w:val="fr-FR"/>
              </w:rPr>
              <w:t>E</w:t>
            </w:r>
            <w:r w:rsidRPr="00EB42DE">
              <w:rPr>
                <w:rFonts w:ascii="Times New Roman" w:hAnsi="Times New Roman"/>
                <w:b/>
                <w:iCs/>
                <w:sz w:val="32"/>
                <w:szCs w:val="32"/>
                <w:lang w:val="fr-FR"/>
              </w:rPr>
              <w:t>ducation</w:t>
            </w:r>
            <w:bookmarkEnd w:id="554"/>
          </w:p>
        </w:tc>
        <w:tc>
          <w:tcPr>
            <w:tcW w:w="2206" w:type="dxa"/>
            <w:vAlign w:val="center"/>
          </w:tcPr>
          <w:p w:rsidR="00F62F78" w:rsidRPr="008C306C" w:rsidRDefault="00F62F78" w:rsidP="00F62F78">
            <w:pPr>
              <w:pStyle w:val="Listecouleur-Accent11"/>
              <w:keepNext/>
              <w:numPr>
                <w:ilvl w:val="0"/>
                <w:numId w:val="103"/>
              </w:numPr>
              <w:ind w:left="89" w:hanging="142"/>
              <w:jc w:val="left"/>
              <w:rPr>
                <w:rFonts w:ascii="Times New Roman" w:hAnsi="Times New Roman"/>
                <w:bCs/>
                <w:sz w:val="20"/>
                <w:szCs w:val="20"/>
              </w:rPr>
            </w:pPr>
            <w:bookmarkStart w:id="555" w:name="_Toc32511604"/>
            <w:r w:rsidRPr="00EB42DE">
              <w:rPr>
                <w:rFonts w:ascii="Times New Roman" w:hAnsi="Times New Roman"/>
                <w:bCs/>
                <w:sz w:val="20"/>
                <w:szCs w:val="20"/>
              </w:rPr>
              <w:t>Les activités de construction et d’équipement des réservoirs</w:t>
            </w:r>
            <w:r>
              <w:rPr>
                <w:rFonts w:ascii="Times New Roman" w:hAnsi="Times New Roman"/>
                <w:bCs/>
                <w:sz w:val="20"/>
                <w:szCs w:val="20"/>
              </w:rPr>
              <w:t> </w:t>
            </w:r>
            <w:r>
              <w:rPr>
                <w:rFonts w:ascii="Times New Roman" w:hAnsi="Times New Roman"/>
                <w:bCs/>
                <w:sz w:val="20"/>
                <w:szCs w:val="20"/>
                <w:lang w:val="fr-FR"/>
              </w:rPr>
              <w:t>:</w:t>
            </w:r>
            <w:bookmarkEnd w:id="555"/>
          </w:p>
          <w:p w:rsidR="00F62F78" w:rsidRPr="00EB42DE" w:rsidRDefault="00F62F78" w:rsidP="00F62F78">
            <w:pPr>
              <w:pStyle w:val="Listecouleur-Accent11"/>
              <w:keepNext/>
              <w:numPr>
                <w:ilvl w:val="0"/>
                <w:numId w:val="103"/>
              </w:numPr>
              <w:ind w:left="89" w:hanging="142"/>
              <w:jc w:val="left"/>
              <w:rPr>
                <w:rFonts w:ascii="Times New Roman" w:hAnsi="Times New Roman"/>
                <w:bCs/>
                <w:sz w:val="20"/>
                <w:szCs w:val="20"/>
              </w:rPr>
            </w:pPr>
            <w:bookmarkStart w:id="556" w:name="_Toc32511605"/>
            <w:r>
              <w:rPr>
                <w:rFonts w:ascii="Times New Roman" w:hAnsi="Times New Roman"/>
                <w:bCs/>
                <w:sz w:val="20"/>
                <w:szCs w:val="20"/>
                <w:lang w:val="fr-FR"/>
              </w:rPr>
              <w:t>La circulation des engins ;</w:t>
            </w:r>
            <w:bookmarkEnd w:id="556"/>
          </w:p>
        </w:tc>
        <w:tc>
          <w:tcPr>
            <w:tcW w:w="2410" w:type="dxa"/>
            <w:vAlign w:val="center"/>
          </w:tcPr>
          <w:p w:rsidR="00F62F78" w:rsidRPr="00EB42DE" w:rsidRDefault="00F62F78" w:rsidP="00F62F78">
            <w:pPr>
              <w:pStyle w:val="Listecouleur-Accent11"/>
              <w:keepNext/>
              <w:numPr>
                <w:ilvl w:val="0"/>
                <w:numId w:val="149"/>
              </w:numPr>
              <w:ind w:left="170" w:hanging="284"/>
              <w:jc w:val="left"/>
              <w:rPr>
                <w:rFonts w:ascii="Times New Roman" w:hAnsi="Times New Roman"/>
                <w:bCs/>
                <w:sz w:val="20"/>
                <w:szCs w:val="20"/>
                <w:lang w:val="fr-FR"/>
              </w:rPr>
            </w:pPr>
            <w:bookmarkStart w:id="557" w:name="_Toc32511606"/>
            <w:r w:rsidRPr="00EB42DE">
              <w:rPr>
                <w:rFonts w:ascii="Times New Roman" w:hAnsi="Times New Roman"/>
                <w:bCs/>
                <w:sz w:val="20"/>
                <w:szCs w:val="20"/>
                <w:lang w:val="fr-FR"/>
              </w:rPr>
              <w:t>Risque de perturbation sans des bons déroulement des cours au niveau des établissements scolaires</w:t>
            </w:r>
            <w:bookmarkEnd w:id="557"/>
          </w:p>
        </w:tc>
        <w:tc>
          <w:tcPr>
            <w:tcW w:w="9214" w:type="dxa"/>
          </w:tcPr>
          <w:p w:rsidR="00F62F78" w:rsidRPr="00646B64" w:rsidRDefault="00F62F78" w:rsidP="00F62F78">
            <w:pPr>
              <w:jc w:val="both"/>
              <w:rPr>
                <w:rFonts w:ascii="Times New Roman" w:hAnsi="Times New Roman"/>
                <w:sz w:val="20"/>
                <w:szCs w:val="20"/>
              </w:rPr>
            </w:pPr>
            <w:r w:rsidRPr="00646B64">
              <w:rPr>
                <w:rFonts w:ascii="Times New Roman" w:hAnsi="Times New Roman"/>
                <w:sz w:val="20"/>
                <w:szCs w:val="20"/>
              </w:rPr>
              <w:t>Dans la mesure du possible, nous recommandons à la mission de contrôle de faire de telle sorte que les transports de matériels et matériaux sur certains sites trop proches des établissements scolaires comme à Prabis et à Bor soient programmés dans les périodes de vacances scolaires ou en dehors des heures de cours.</w:t>
            </w:r>
          </w:p>
        </w:tc>
      </w:tr>
      <w:tr w:rsidR="00F62F78" w:rsidRPr="00646B64" w:rsidTr="00C821BE">
        <w:tc>
          <w:tcPr>
            <w:tcW w:w="1905" w:type="dxa"/>
            <w:shd w:val="clear" w:color="auto" w:fill="E2EFD9" w:themeFill="accent6" w:themeFillTint="33"/>
            <w:vAlign w:val="center"/>
          </w:tcPr>
          <w:p w:rsidR="00F62F78" w:rsidRPr="00EB42DE" w:rsidRDefault="00F62F78" w:rsidP="00F62F78">
            <w:pPr>
              <w:pStyle w:val="Listecouleur-Accent11"/>
              <w:keepNext/>
              <w:ind w:left="0"/>
              <w:jc w:val="center"/>
              <w:rPr>
                <w:rFonts w:ascii="Times New Roman" w:hAnsi="Times New Roman"/>
                <w:b/>
                <w:iCs/>
                <w:sz w:val="32"/>
                <w:szCs w:val="32"/>
                <w:lang w:val="fr-FR"/>
              </w:rPr>
            </w:pPr>
            <w:bookmarkStart w:id="558" w:name="_Toc32511607"/>
            <w:r>
              <w:rPr>
                <w:rFonts w:ascii="Times New Roman" w:hAnsi="Times New Roman"/>
                <w:b/>
                <w:iCs/>
                <w:sz w:val="32"/>
                <w:szCs w:val="32"/>
                <w:lang w:val="fr-FR"/>
              </w:rPr>
              <w:t>C</w:t>
            </w:r>
            <w:r w:rsidRPr="00EB42DE">
              <w:rPr>
                <w:rFonts w:ascii="Times New Roman" w:hAnsi="Times New Roman"/>
                <w:b/>
                <w:iCs/>
                <w:sz w:val="32"/>
                <w:szCs w:val="32"/>
                <w:lang w:val="fr-FR"/>
              </w:rPr>
              <w:t>oncessionnaires</w:t>
            </w:r>
            <w:bookmarkEnd w:id="558"/>
          </w:p>
        </w:tc>
        <w:tc>
          <w:tcPr>
            <w:tcW w:w="2206" w:type="dxa"/>
            <w:vAlign w:val="center"/>
          </w:tcPr>
          <w:p w:rsidR="00F62F78" w:rsidRPr="00EB42DE" w:rsidRDefault="00F62F78" w:rsidP="00F62F78">
            <w:pPr>
              <w:pStyle w:val="Listecouleur-Accent11"/>
              <w:keepNext/>
              <w:numPr>
                <w:ilvl w:val="0"/>
                <w:numId w:val="103"/>
              </w:numPr>
              <w:ind w:left="89" w:hanging="142"/>
              <w:jc w:val="left"/>
              <w:rPr>
                <w:rFonts w:ascii="Times New Roman" w:hAnsi="Times New Roman"/>
                <w:bCs/>
                <w:sz w:val="20"/>
                <w:szCs w:val="20"/>
              </w:rPr>
            </w:pPr>
            <w:bookmarkStart w:id="559" w:name="_Toc32511608"/>
            <w:r w:rsidRPr="00EB42DE">
              <w:rPr>
                <w:rFonts w:ascii="Times New Roman" w:hAnsi="Times New Roman"/>
                <w:bCs/>
                <w:sz w:val="20"/>
                <w:szCs w:val="20"/>
              </w:rPr>
              <w:t>Les activités de construction et d’équipement des réservoirs</w:t>
            </w:r>
            <w:bookmarkEnd w:id="559"/>
          </w:p>
        </w:tc>
        <w:tc>
          <w:tcPr>
            <w:tcW w:w="2410" w:type="dxa"/>
            <w:vAlign w:val="center"/>
          </w:tcPr>
          <w:p w:rsidR="00F62F78" w:rsidRPr="00EB42DE" w:rsidRDefault="00F62F78" w:rsidP="00F62F78">
            <w:pPr>
              <w:pStyle w:val="Listecouleur-Accent11"/>
              <w:keepNext/>
              <w:numPr>
                <w:ilvl w:val="0"/>
                <w:numId w:val="149"/>
              </w:numPr>
              <w:ind w:left="170" w:hanging="284"/>
              <w:jc w:val="left"/>
              <w:rPr>
                <w:rFonts w:ascii="Times New Roman" w:hAnsi="Times New Roman"/>
                <w:bCs/>
                <w:sz w:val="20"/>
                <w:szCs w:val="20"/>
                <w:lang w:val="fr-FR"/>
              </w:rPr>
            </w:pPr>
            <w:bookmarkStart w:id="560" w:name="_Toc32511609"/>
            <w:r w:rsidRPr="00EB42DE">
              <w:rPr>
                <w:rFonts w:ascii="Times New Roman" w:hAnsi="Times New Roman"/>
                <w:bCs/>
                <w:sz w:val="20"/>
                <w:szCs w:val="20"/>
                <w:lang w:val="fr-FR"/>
              </w:rPr>
              <w:t>Risques de dégradation des réseaux (électricité, communication, etc…)</w:t>
            </w:r>
            <w:bookmarkEnd w:id="560"/>
          </w:p>
        </w:tc>
        <w:tc>
          <w:tcPr>
            <w:tcW w:w="9214" w:type="dxa"/>
          </w:tcPr>
          <w:p w:rsidR="00F62F78" w:rsidRPr="00646B64" w:rsidRDefault="00F62F78" w:rsidP="00F62F78">
            <w:pPr>
              <w:jc w:val="both"/>
              <w:rPr>
                <w:rFonts w:ascii="Times New Roman" w:hAnsi="Times New Roman"/>
                <w:sz w:val="20"/>
                <w:szCs w:val="20"/>
              </w:rPr>
            </w:pPr>
            <w:r w:rsidRPr="00646B64">
              <w:rPr>
                <w:rFonts w:ascii="Times New Roman" w:hAnsi="Times New Roman"/>
                <w:bCs/>
                <w:sz w:val="20"/>
                <w:szCs w:val="20"/>
              </w:rPr>
              <w:t>Il est recommandé d’associer les concessionnaires aux travaux pour éviter ou limiter la perturbation</w:t>
            </w:r>
            <w:r>
              <w:rPr>
                <w:rFonts w:ascii="Times New Roman" w:hAnsi="Times New Roman"/>
                <w:bCs/>
                <w:sz w:val="20"/>
                <w:szCs w:val="20"/>
              </w:rPr>
              <w:t xml:space="preserve">. </w:t>
            </w:r>
            <w:r w:rsidRPr="00646B64">
              <w:rPr>
                <w:rFonts w:ascii="Times New Roman" w:hAnsi="Times New Roman"/>
                <w:sz w:val="20"/>
                <w:szCs w:val="20"/>
              </w:rPr>
              <w:t>Il faudra disposer de tous les plans des réseaux électriques, eaux potables, télécommunication, etc. Afin d’éviter toutes perturbations de l’alimentation des populations durant ces travaux.</w:t>
            </w:r>
          </w:p>
        </w:tc>
      </w:tr>
      <w:tr w:rsidR="00F62F78" w:rsidRPr="008C306C" w:rsidTr="00C821BE">
        <w:tc>
          <w:tcPr>
            <w:tcW w:w="15735" w:type="dxa"/>
            <w:gridSpan w:val="4"/>
            <w:shd w:val="clear" w:color="auto" w:fill="E2EFD9" w:themeFill="accent6" w:themeFillTint="33"/>
          </w:tcPr>
          <w:p w:rsidR="00F62F78" w:rsidRPr="008C306C" w:rsidRDefault="00F62F78" w:rsidP="00F62F78">
            <w:pPr>
              <w:jc w:val="center"/>
              <w:rPr>
                <w:rFonts w:ascii="Times New Roman" w:hAnsi="Times New Roman"/>
                <w:sz w:val="24"/>
                <w:szCs w:val="24"/>
              </w:rPr>
            </w:pPr>
            <w:r>
              <w:rPr>
                <w:rFonts w:ascii="Times New Roman" w:hAnsi="Times New Roman"/>
                <w:b/>
                <w:sz w:val="24"/>
                <w:szCs w:val="24"/>
                <w:u w:val="single"/>
                <w:lang w:eastAsia="fr-FR"/>
              </w:rPr>
              <w:t>P</w:t>
            </w:r>
            <w:r w:rsidRPr="008C306C">
              <w:rPr>
                <w:rFonts w:ascii="Times New Roman" w:hAnsi="Times New Roman"/>
                <w:b/>
                <w:sz w:val="24"/>
                <w:szCs w:val="24"/>
                <w:u w:val="single"/>
                <w:lang w:eastAsia="fr-FR"/>
              </w:rPr>
              <w:t>hase d’exploitation</w:t>
            </w:r>
          </w:p>
        </w:tc>
      </w:tr>
      <w:tr w:rsidR="00F62F78" w:rsidRPr="00646B64" w:rsidTr="00C821BE">
        <w:tc>
          <w:tcPr>
            <w:tcW w:w="1905" w:type="dxa"/>
            <w:shd w:val="clear" w:color="auto" w:fill="E2EFD9" w:themeFill="accent6" w:themeFillTint="33"/>
            <w:vAlign w:val="center"/>
          </w:tcPr>
          <w:p w:rsidR="00F62F78" w:rsidRPr="008C306C" w:rsidRDefault="00F62F78" w:rsidP="00F62F78">
            <w:pPr>
              <w:pStyle w:val="Listecouleur-Accent11"/>
              <w:keepNext/>
              <w:ind w:left="0"/>
              <w:jc w:val="left"/>
              <w:rPr>
                <w:rFonts w:ascii="Times New Roman" w:hAnsi="Times New Roman"/>
                <w:b/>
                <w:iCs/>
                <w:sz w:val="32"/>
                <w:szCs w:val="32"/>
                <w:lang w:val="fr-FR"/>
              </w:rPr>
            </w:pPr>
            <w:bookmarkStart w:id="561" w:name="_Toc32511610"/>
            <w:r w:rsidRPr="008C306C">
              <w:rPr>
                <w:rFonts w:ascii="Times New Roman" w:hAnsi="Times New Roman"/>
                <w:b/>
                <w:iCs/>
                <w:sz w:val="32"/>
                <w:szCs w:val="32"/>
                <w:lang w:val="fr-FR"/>
              </w:rPr>
              <w:lastRenderedPageBreak/>
              <w:t>P</w:t>
            </w:r>
            <w:r>
              <w:rPr>
                <w:rFonts w:ascii="Times New Roman" w:hAnsi="Times New Roman"/>
                <w:b/>
                <w:iCs/>
                <w:sz w:val="32"/>
                <w:szCs w:val="32"/>
                <w:lang w:val="fr-FR"/>
              </w:rPr>
              <w:t>aysage</w:t>
            </w:r>
            <w:bookmarkEnd w:id="561"/>
          </w:p>
        </w:tc>
        <w:tc>
          <w:tcPr>
            <w:tcW w:w="2206" w:type="dxa"/>
            <w:vAlign w:val="center"/>
          </w:tcPr>
          <w:p w:rsidR="00F62F78" w:rsidRPr="008C306C" w:rsidRDefault="00F62F78" w:rsidP="00F62F78">
            <w:pPr>
              <w:pStyle w:val="Listecouleur-Accent11"/>
              <w:keepNext/>
              <w:numPr>
                <w:ilvl w:val="0"/>
                <w:numId w:val="103"/>
              </w:numPr>
              <w:ind w:left="89" w:hanging="142"/>
              <w:jc w:val="left"/>
              <w:rPr>
                <w:rFonts w:ascii="Times New Roman" w:hAnsi="Times New Roman"/>
                <w:bCs/>
                <w:sz w:val="20"/>
                <w:szCs w:val="20"/>
              </w:rPr>
            </w:pPr>
            <w:bookmarkStart w:id="562" w:name="_Toc32511611"/>
            <w:r w:rsidRPr="008C306C">
              <w:rPr>
                <w:rFonts w:ascii="Times New Roman" w:hAnsi="Times New Roman"/>
                <w:bCs/>
                <w:sz w:val="20"/>
                <w:szCs w:val="20"/>
              </w:rPr>
              <w:t>la présence des réservoirs</w:t>
            </w:r>
            <w:bookmarkEnd w:id="562"/>
          </w:p>
        </w:tc>
        <w:tc>
          <w:tcPr>
            <w:tcW w:w="2410" w:type="dxa"/>
            <w:vAlign w:val="center"/>
          </w:tcPr>
          <w:p w:rsidR="00F62F78" w:rsidRPr="008C306C" w:rsidRDefault="00F62F78" w:rsidP="00F62F78">
            <w:pPr>
              <w:pStyle w:val="Listecouleur-Accent11"/>
              <w:keepNext/>
              <w:numPr>
                <w:ilvl w:val="0"/>
                <w:numId w:val="149"/>
              </w:numPr>
              <w:ind w:left="170" w:hanging="284"/>
              <w:jc w:val="left"/>
              <w:rPr>
                <w:rFonts w:ascii="Times New Roman" w:hAnsi="Times New Roman"/>
                <w:bCs/>
                <w:sz w:val="20"/>
                <w:szCs w:val="20"/>
                <w:lang w:val="fr-FR"/>
              </w:rPr>
            </w:pPr>
            <w:bookmarkStart w:id="563" w:name="_Toc32511612"/>
            <w:r w:rsidRPr="008C306C">
              <w:rPr>
                <w:rFonts w:ascii="Times New Roman" w:hAnsi="Times New Roman"/>
                <w:bCs/>
                <w:sz w:val="20"/>
                <w:szCs w:val="20"/>
                <w:lang w:val="fr-FR"/>
              </w:rPr>
              <w:t>Risque d’altérer l’aspect visuel du paysage</w:t>
            </w:r>
            <w:bookmarkEnd w:id="563"/>
          </w:p>
        </w:tc>
        <w:tc>
          <w:tcPr>
            <w:tcW w:w="9214" w:type="dxa"/>
          </w:tcPr>
          <w:p w:rsidR="00F62F78" w:rsidRPr="00646B64" w:rsidRDefault="00F62F78" w:rsidP="00F62F78">
            <w:pPr>
              <w:jc w:val="both"/>
              <w:rPr>
                <w:rFonts w:ascii="Times New Roman" w:hAnsi="Times New Roman"/>
                <w:sz w:val="20"/>
                <w:szCs w:val="20"/>
              </w:rPr>
            </w:pPr>
            <w:r w:rsidRPr="00646B64">
              <w:rPr>
                <w:rFonts w:ascii="Times New Roman" w:hAnsi="Times New Roman"/>
                <w:bCs/>
                <w:sz w:val="20"/>
                <w:szCs w:val="20"/>
              </w:rPr>
              <w:t xml:space="preserve">Il est recommandé de tenir en compte l’aspect esthétiques des usages au niveau des sites implantations des réservoirs et veiller au respect des emprises autorisées. </w:t>
            </w:r>
          </w:p>
        </w:tc>
      </w:tr>
      <w:tr w:rsidR="00F62F78" w:rsidRPr="00646B64" w:rsidTr="00C821BE">
        <w:tc>
          <w:tcPr>
            <w:tcW w:w="1905" w:type="dxa"/>
            <w:vMerge w:val="restart"/>
            <w:shd w:val="clear" w:color="auto" w:fill="E2EFD9" w:themeFill="accent6" w:themeFillTint="33"/>
            <w:vAlign w:val="center"/>
          </w:tcPr>
          <w:p w:rsidR="00F62F78" w:rsidRPr="008C306C" w:rsidRDefault="00F62F78" w:rsidP="00F62F78">
            <w:pPr>
              <w:pStyle w:val="Listecouleur-Accent11"/>
              <w:keepNext/>
              <w:ind w:left="0"/>
              <w:jc w:val="left"/>
              <w:rPr>
                <w:rFonts w:ascii="Times New Roman" w:hAnsi="Times New Roman"/>
                <w:b/>
                <w:iCs/>
                <w:sz w:val="32"/>
                <w:szCs w:val="32"/>
                <w:lang w:val="fr-FR"/>
              </w:rPr>
            </w:pPr>
            <w:bookmarkStart w:id="564" w:name="_Toc32511613"/>
            <w:r w:rsidRPr="008C306C">
              <w:rPr>
                <w:rFonts w:ascii="Times New Roman" w:hAnsi="Times New Roman"/>
                <w:b/>
                <w:iCs/>
                <w:sz w:val="32"/>
                <w:szCs w:val="32"/>
                <w:lang w:val="fr-FR"/>
              </w:rPr>
              <w:t>H</w:t>
            </w:r>
            <w:r>
              <w:rPr>
                <w:rFonts w:ascii="Times New Roman" w:hAnsi="Times New Roman"/>
                <w:b/>
                <w:iCs/>
                <w:sz w:val="32"/>
                <w:szCs w:val="32"/>
                <w:lang w:val="fr-FR"/>
              </w:rPr>
              <w:t>umain</w:t>
            </w:r>
            <w:bookmarkEnd w:id="564"/>
          </w:p>
        </w:tc>
        <w:tc>
          <w:tcPr>
            <w:tcW w:w="2206" w:type="dxa"/>
            <w:vMerge w:val="restart"/>
            <w:vAlign w:val="center"/>
          </w:tcPr>
          <w:p w:rsidR="00F62F78" w:rsidRPr="008C306C" w:rsidRDefault="00F62F78" w:rsidP="00F62F78">
            <w:pPr>
              <w:pStyle w:val="Listecouleur-Accent11"/>
              <w:keepNext/>
              <w:numPr>
                <w:ilvl w:val="0"/>
                <w:numId w:val="103"/>
              </w:numPr>
              <w:ind w:left="89" w:hanging="142"/>
              <w:jc w:val="left"/>
              <w:rPr>
                <w:rFonts w:ascii="Times New Roman" w:hAnsi="Times New Roman"/>
                <w:bCs/>
                <w:sz w:val="20"/>
                <w:szCs w:val="20"/>
              </w:rPr>
            </w:pPr>
            <w:bookmarkStart w:id="565" w:name="_Toc32511614"/>
            <w:r w:rsidRPr="008C306C">
              <w:rPr>
                <w:rFonts w:ascii="Times New Roman" w:hAnsi="Times New Roman"/>
                <w:bCs/>
                <w:sz w:val="20"/>
                <w:szCs w:val="20"/>
              </w:rPr>
              <w:t>Le fonctionnement des groupes électrogènes</w:t>
            </w:r>
            <w:bookmarkEnd w:id="565"/>
          </w:p>
        </w:tc>
        <w:tc>
          <w:tcPr>
            <w:tcW w:w="2410" w:type="dxa"/>
            <w:vAlign w:val="center"/>
          </w:tcPr>
          <w:p w:rsidR="00F62F78" w:rsidRPr="008C306C" w:rsidRDefault="00F62F78" w:rsidP="00F62F78">
            <w:pPr>
              <w:pStyle w:val="Listecouleur-Accent11"/>
              <w:keepNext/>
              <w:numPr>
                <w:ilvl w:val="0"/>
                <w:numId w:val="149"/>
              </w:numPr>
              <w:ind w:left="170" w:hanging="284"/>
              <w:rPr>
                <w:rFonts w:ascii="Times New Roman" w:hAnsi="Times New Roman"/>
                <w:bCs/>
                <w:sz w:val="20"/>
                <w:szCs w:val="20"/>
                <w:lang w:val="fr-FR"/>
              </w:rPr>
            </w:pPr>
            <w:bookmarkStart w:id="566" w:name="_Toc32511615"/>
            <w:r w:rsidRPr="008C306C">
              <w:rPr>
                <w:rFonts w:ascii="Times New Roman" w:hAnsi="Times New Roman"/>
                <w:bCs/>
                <w:sz w:val="20"/>
                <w:szCs w:val="20"/>
                <w:lang w:val="fr-FR"/>
              </w:rPr>
              <w:t>Risque de générer des nuisances sonores et des productions de GES.</w:t>
            </w:r>
            <w:bookmarkEnd w:id="566"/>
          </w:p>
        </w:tc>
        <w:tc>
          <w:tcPr>
            <w:tcW w:w="9214" w:type="dxa"/>
          </w:tcPr>
          <w:p w:rsidR="00F62F78" w:rsidRPr="00646B64" w:rsidRDefault="00F62F78" w:rsidP="00F62F78">
            <w:pPr>
              <w:jc w:val="both"/>
              <w:rPr>
                <w:rFonts w:ascii="Times New Roman" w:hAnsi="Times New Roman"/>
                <w:bCs/>
                <w:sz w:val="20"/>
                <w:szCs w:val="20"/>
              </w:rPr>
            </w:pPr>
            <w:r w:rsidRPr="00646B64">
              <w:rPr>
                <w:rFonts w:ascii="Times New Roman" w:hAnsi="Times New Roman"/>
                <w:bCs/>
                <w:sz w:val="20"/>
                <w:szCs w:val="20"/>
              </w:rPr>
              <w:t>Il est recommandé au promoteur de mettre en place des dispositions adéquates et d’infrastructures pour l’emplacement des groupes électrogènes comme :</w:t>
            </w:r>
          </w:p>
          <w:p w:rsidR="00F62F78" w:rsidRPr="00646B64" w:rsidRDefault="00F62F78" w:rsidP="00F62F78">
            <w:pPr>
              <w:pStyle w:val="Listecouleur-Accent11"/>
              <w:numPr>
                <w:ilvl w:val="0"/>
                <w:numId w:val="109"/>
              </w:numPr>
              <w:rPr>
                <w:rFonts w:ascii="Times New Roman" w:hAnsi="Times New Roman"/>
                <w:bCs/>
                <w:sz w:val="20"/>
                <w:szCs w:val="20"/>
                <w:lang w:val="fr-FR"/>
              </w:rPr>
            </w:pPr>
            <w:r w:rsidRPr="00646B64">
              <w:rPr>
                <w:rFonts w:ascii="Times New Roman" w:hAnsi="Times New Roman"/>
                <w:bCs/>
                <w:sz w:val="20"/>
                <w:szCs w:val="20"/>
                <w:lang w:val="fr-FR"/>
              </w:rPr>
              <w:t>Des locaux bien dimensionnés pour le confinement des groupes électrogènes,</w:t>
            </w:r>
          </w:p>
          <w:p w:rsidR="00F62F78" w:rsidRPr="00646B64" w:rsidRDefault="00F62F78" w:rsidP="00F62F78">
            <w:pPr>
              <w:pStyle w:val="Listecouleur-Accent11"/>
              <w:numPr>
                <w:ilvl w:val="0"/>
                <w:numId w:val="109"/>
              </w:numPr>
              <w:rPr>
                <w:rFonts w:ascii="Times New Roman" w:hAnsi="Times New Roman"/>
                <w:bCs/>
                <w:sz w:val="20"/>
                <w:szCs w:val="20"/>
                <w:lang w:val="fr-FR"/>
              </w:rPr>
            </w:pPr>
            <w:r w:rsidRPr="00646B64">
              <w:rPr>
                <w:rFonts w:ascii="Times New Roman" w:hAnsi="Times New Roman"/>
                <w:sz w:val="20"/>
                <w:szCs w:val="20"/>
                <w:lang w:val="fr-FR"/>
              </w:rPr>
              <w:t>Mettre en place</w:t>
            </w:r>
            <w:r w:rsidRPr="00646B64">
              <w:rPr>
                <w:sz w:val="20"/>
                <w:szCs w:val="20"/>
                <w:lang w:val="fr-FR"/>
              </w:rPr>
              <w:t xml:space="preserve"> </w:t>
            </w:r>
            <w:r w:rsidRPr="00646B64">
              <w:rPr>
                <w:rFonts w:ascii="Times New Roman" w:hAnsi="Times New Roman"/>
                <w:bCs/>
                <w:sz w:val="20"/>
                <w:szCs w:val="20"/>
                <w:lang w:val="fr-FR"/>
              </w:rPr>
              <w:t>des suspensions anti-vibratiles</w:t>
            </w:r>
          </w:p>
          <w:p w:rsidR="00F62F78" w:rsidRPr="00646B64" w:rsidRDefault="00F62F78" w:rsidP="00F62F78">
            <w:pPr>
              <w:pStyle w:val="Listecouleur-Accent11"/>
              <w:numPr>
                <w:ilvl w:val="0"/>
                <w:numId w:val="109"/>
              </w:numPr>
              <w:rPr>
                <w:rFonts w:ascii="Times New Roman" w:hAnsi="Times New Roman"/>
                <w:bCs/>
                <w:sz w:val="20"/>
                <w:szCs w:val="20"/>
                <w:lang w:val="fr-FR"/>
              </w:rPr>
            </w:pPr>
            <w:r w:rsidRPr="00646B64">
              <w:rPr>
                <w:rFonts w:ascii="Times New Roman" w:hAnsi="Times New Roman"/>
                <w:bCs/>
                <w:sz w:val="20"/>
                <w:szCs w:val="20"/>
                <w:lang w:val="fr-FR"/>
              </w:rPr>
              <w:t>Mettre en place des groupes silencieux</w:t>
            </w:r>
          </w:p>
          <w:p w:rsidR="00F62F78" w:rsidRPr="00646B64" w:rsidRDefault="00F62F78" w:rsidP="00F62F78">
            <w:pPr>
              <w:pStyle w:val="Listecouleur-Accent11"/>
              <w:numPr>
                <w:ilvl w:val="0"/>
                <w:numId w:val="109"/>
              </w:numPr>
              <w:rPr>
                <w:rFonts w:ascii="Times New Roman" w:hAnsi="Times New Roman"/>
                <w:bCs/>
                <w:sz w:val="20"/>
                <w:szCs w:val="20"/>
                <w:lang w:val="fr-FR"/>
              </w:rPr>
            </w:pPr>
            <w:r w:rsidRPr="00646B64">
              <w:rPr>
                <w:rFonts w:ascii="Times New Roman" w:hAnsi="Times New Roman"/>
                <w:bCs/>
                <w:sz w:val="20"/>
                <w:szCs w:val="20"/>
                <w:lang w:val="fr-FR"/>
              </w:rPr>
              <w:t>Mettre en place un ou des groupes puissants pour diminuer le nombre d’équipement</w:t>
            </w:r>
          </w:p>
          <w:p w:rsidR="00F62F78" w:rsidRPr="00646B64" w:rsidRDefault="00F62F78" w:rsidP="00F62F78">
            <w:pPr>
              <w:pStyle w:val="Listecouleur-Accent11"/>
              <w:numPr>
                <w:ilvl w:val="0"/>
                <w:numId w:val="109"/>
              </w:numPr>
              <w:rPr>
                <w:rFonts w:ascii="Times New Roman" w:hAnsi="Times New Roman"/>
                <w:bCs/>
                <w:sz w:val="20"/>
                <w:szCs w:val="20"/>
                <w:lang w:val="fr-FR"/>
              </w:rPr>
            </w:pPr>
            <w:r w:rsidRPr="00646B64">
              <w:rPr>
                <w:rFonts w:ascii="Times New Roman" w:hAnsi="Times New Roman"/>
                <w:bCs/>
                <w:sz w:val="20"/>
                <w:szCs w:val="20"/>
                <w:lang w:val="fr-FR"/>
              </w:rPr>
              <w:t>Entretenir régulièrement les groupes électrogènes</w:t>
            </w:r>
          </w:p>
          <w:p w:rsidR="00F62F78" w:rsidRPr="00646B64" w:rsidRDefault="00F62F78" w:rsidP="00F62F78">
            <w:pPr>
              <w:jc w:val="both"/>
              <w:rPr>
                <w:rFonts w:ascii="Times New Roman" w:hAnsi="Times New Roman"/>
                <w:sz w:val="20"/>
                <w:szCs w:val="20"/>
              </w:rPr>
            </w:pPr>
            <w:r w:rsidRPr="00646B64">
              <w:rPr>
                <w:rFonts w:ascii="Times New Roman" w:hAnsi="Times New Roman"/>
                <w:bCs/>
                <w:sz w:val="20"/>
                <w:szCs w:val="20"/>
              </w:rPr>
              <w:t>Veiller à choisir des groupes moins polluants ou mettre en place des dispositions anti-pollution.</w:t>
            </w:r>
          </w:p>
        </w:tc>
      </w:tr>
      <w:tr w:rsidR="00F62F78" w:rsidRPr="00646B64" w:rsidTr="00C821BE">
        <w:tc>
          <w:tcPr>
            <w:tcW w:w="1905" w:type="dxa"/>
            <w:vMerge/>
            <w:shd w:val="clear" w:color="auto" w:fill="E2EFD9" w:themeFill="accent6" w:themeFillTint="33"/>
            <w:vAlign w:val="center"/>
          </w:tcPr>
          <w:p w:rsidR="00F62F78" w:rsidRPr="008C306C" w:rsidRDefault="00F62F78" w:rsidP="00F62F78">
            <w:pPr>
              <w:pStyle w:val="Listecouleur-Accent11"/>
              <w:keepNext/>
              <w:ind w:left="0"/>
              <w:jc w:val="left"/>
              <w:rPr>
                <w:rFonts w:ascii="Times New Roman" w:hAnsi="Times New Roman"/>
                <w:b/>
                <w:iCs/>
                <w:sz w:val="32"/>
                <w:szCs w:val="32"/>
                <w:lang w:val="fr-FR"/>
              </w:rPr>
            </w:pPr>
          </w:p>
        </w:tc>
        <w:tc>
          <w:tcPr>
            <w:tcW w:w="2206" w:type="dxa"/>
            <w:vMerge/>
            <w:vAlign w:val="center"/>
          </w:tcPr>
          <w:p w:rsidR="00F62F78" w:rsidRPr="008C306C" w:rsidRDefault="00F62F78" w:rsidP="00F62F78">
            <w:pPr>
              <w:pStyle w:val="Listecouleur-Accent11"/>
              <w:keepNext/>
              <w:numPr>
                <w:ilvl w:val="0"/>
                <w:numId w:val="103"/>
              </w:numPr>
              <w:ind w:left="89" w:hanging="142"/>
              <w:jc w:val="left"/>
              <w:rPr>
                <w:rFonts w:ascii="Times New Roman" w:hAnsi="Times New Roman"/>
                <w:bCs/>
                <w:sz w:val="20"/>
                <w:szCs w:val="20"/>
              </w:rPr>
            </w:pPr>
          </w:p>
        </w:tc>
        <w:tc>
          <w:tcPr>
            <w:tcW w:w="2410" w:type="dxa"/>
            <w:vAlign w:val="center"/>
          </w:tcPr>
          <w:p w:rsidR="00F62F78" w:rsidRPr="00206F59" w:rsidRDefault="00F62F78" w:rsidP="00F62F78">
            <w:pPr>
              <w:pStyle w:val="PargrafodaLista"/>
              <w:numPr>
                <w:ilvl w:val="0"/>
                <w:numId w:val="233"/>
              </w:numPr>
              <w:spacing w:after="0" w:line="240" w:lineRule="auto"/>
              <w:ind w:left="179" w:hanging="283"/>
              <w:rPr>
                <w:rFonts w:ascii="Times New Roman" w:hAnsi="Times New Roman"/>
                <w:lang w:val="fr-FR"/>
              </w:rPr>
            </w:pPr>
            <w:r w:rsidRPr="00206F59">
              <w:rPr>
                <w:rFonts w:ascii="Times New Roman" w:hAnsi="Times New Roman"/>
                <w:bCs/>
              </w:rPr>
              <w:t>Risque d’incendie du au fonctionnement des transformateurs ou des groupes électrogènes</w:t>
            </w:r>
          </w:p>
        </w:tc>
        <w:tc>
          <w:tcPr>
            <w:tcW w:w="9214" w:type="dxa"/>
            <w:vAlign w:val="center"/>
          </w:tcPr>
          <w:p w:rsidR="00F62F78" w:rsidRPr="00206F59" w:rsidRDefault="00F62F78" w:rsidP="00F62F78">
            <w:pPr>
              <w:autoSpaceDE w:val="0"/>
              <w:autoSpaceDN w:val="0"/>
              <w:adjustRightInd w:val="0"/>
              <w:jc w:val="both"/>
              <w:rPr>
                <w:rFonts w:ascii="Times New Roman" w:hAnsi="Times New Roman"/>
                <w:sz w:val="20"/>
                <w:szCs w:val="20"/>
              </w:rPr>
            </w:pPr>
            <w:r w:rsidRPr="00206F59">
              <w:rPr>
                <w:rFonts w:ascii="Times New Roman" w:hAnsi="Times New Roman"/>
                <w:sz w:val="20"/>
                <w:szCs w:val="20"/>
              </w:rPr>
              <w:t>-Clôturer l’accès aux groupes électrogènes avec un mur pare feu</w:t>
            </w:r>
          </w:p>
          <w:p w:rsidR="00F62F78" w:rsidRPr="00206F59" w:rsidRDefault="00F62F78" w:rsidP="00F62F78">
            <w:pPr>
              <w:autoSpaceDE w:val="0"/>
              <w:autoSpaceDN w:val="0"/>
              <w:adjustRightInd w:val="0"/>
              <w:jc w:val="both"/>
              <w:rPr>
                <w:rFonts w:ascii="Times New Roman" w:hAnsi="Times New Roman"/>
                <w:sz w:val="20"/>
                <w:szCs w:val="20"/>
              </w:rPr>
            </w:pPr>
            <w:r w:rsidRPr="00206F59">
              <w:rPr>
                <w:rFonts w:ascii="Times New Roman" w:hAnsi="Times New Roman"/>
                <w:sz w:val="20"/>
                <w:szCs w:val="20"/>
              </w:rPr>
              <w:t>-Mettre en place un système de déluge avec détecteurs d’incendie</w:t>
            </w:r>
          </w:p>
          <w:p w:rsidR="00F62F78" w:rsidRPr="00206F59" w:rsidRDefault="00F62F78" w:rsidP="00F62F78">
            <w:pPr>
              <w:autoSpaceDE w:val="0"/>
              <w:autoSpaceDN w:val="0"/>
              <w:adjustRightInd w:val="0"/>
              <w:jc w:val="both"/>
              <w:rPr>
                <w:rFonts w:ascii="Times New Roman" w:hAnsi="Times New Roman"/>
                <w:sz w:val="20"/>
                <w:szCs w:val="20"/>
              </w:rPr>
            </w:pPr>
            <w:r w:rsidRPr="00206F59">
              <w:rPr>
                <w:rFonts w:ascii="Times New Roman" w:hAnsi="Times New Roman"/>
                <w:sz w:val="20"/>
                <w:szCs w:val="20"/>
              </w:rPr>
              <w:t>-Mettre en place des extincteurs ;</w:t>
            </w:r>
          </w:p>
          <w:p w:rsidR="00F62F78" w:rsidRPr="00206F59" w:rsidRDefault="00F62F78" w:rsidP="00F62F78">
            <w:pPr>
              <w:autoSpaceDE w:val="0"/>
              <w:autoSpaceDN w:val="0"/>
              <w:adjustRightInd w:val="0"/>
              <w:jc w:val="both"/>
              <w:rPr>
                <w:rFonts w:ascii="Times New Roman" w:hAnsi="Times New Roman"/>
                <w:sz w:val="20"/>
                <w:szCs w:val="20"/>
              </w:rPr>
            </w:pPr>
            <w:r w:rsidRPr="00206F59">
              <w:rPr>
                <w:rFonts w:ascii="Times New Roman" w:hAnsi="Times New Roman"/>
                <w:sz w:val="20"/>
                <w:szCs w:val="20"/>
              </w:rPr>
              <w:t>-Mettre en place une ligne coupe-feu ;</w:t>
            </w:r>
          </w:p>
          <w:p w:rsidR="00F62F78" w:rsidRPr="00206F59" w:rsidRDefault="00F62F78" w:rsidP="00F62F78">
            <w:pPr>
              <w:autoSpaceDE w:val="0"/>
              <w:autoSpaceDN w:val="0"/>
              <w:adjustRightInd w:val="0"/>
              <w:jc w:val="both"/>
              <w:rPr>
                <w:rFonts w:ascii="Times New Roman" w:hAnsi="Times New Roman"/>
                <w:sz w:val="20"/>
                <w:szCs w:val="20"/>
              </w:rPr>
            </w:pPr>
            <w:r w:rsidRPr="00206F59">
              <w:rPr>
                <w:rFonts w:ascii="Times New Roman" w:hAnsi="Times New Roman"/>
                <w:sz w:val="20"/>
                <w:szCs w:val="20"/>
              </w:rPr>
              <w:t>-Organiser des rondes pour la surveillance des paramètres ;</w:t>
            </w:r>
          </w:p>
          <w:p w:rsidR="00F62F78" w:rsidRPr="00206F59" w:rsidRDefault="00F62F78" w:rsidP="00F62F78">
            <w:pPr>
              <w:autoSpaceDE w:val="0"/>
              <w:autoSpaceDN w:val="0"/>
              <w:adjustRightInd w:val="0"/>
              <w:jc w:val="both"/>
              <w:rPr>
                <w:rFonts w:ascii="Times New Roman" w:hAnsi="Times New Roman"/>
                <w:sz w:val="20"/>
                <w:szCs w:val="20"/>
              </w:rPr>
            </w:pPr>
            <w:r w:rsidRPr="00206F59">
              <w:rPr>
                <w:rFonts w:ascii="Times New Roman" w:hAnsi="Times New Roman"/>
                <w:sz w:val="20"/>
                <w:szCs w:val="20"/>
              </w:rPr>
              <w:t>-Former et habiliter les agents intervenant sur les installations</w:t>
            </w:r>
          </w:p>
          <w:p w:rsidR="00F62F78" w:rsidRPr="00206F59" w:rsidRDefault="00F62F78" w:rsidP="00F62F78">
            <w:pPr>
              <w:rPr>
                <w:rFonts w:ascii="Times New Roman" w:hAnsi="Times New Roman" w:cs="Times New Roman"/>
                <w:sz w:val="20"/>
                <w:szCs w:val="20"/>
              </w:rPr>
            </w:pPr>
            <w:r w:rsidRPr="00206F59">
              <w:rPr>
                <w:rFonts w:ascii="Times New Roman" w:hAnsi="Times New Roman"/>
                <w:sz w:val="20"/>
                <w:szCs w:val="20"/>
              </w:rPr>
              <w:t>-Mettre en place un plan d’inspection rigoureusement respecté ;</w:t>
            </w:r>
          </w:p>
        </w:tc>
      </w:tr>
      <w:tr w:rsidR="00F62F78" w:rsidRPr="00646B64" w:rsidTr="00C821BE">
        <w:tc>
          <w:tcPr>
            <w:tcW w:w="1905" w:type="dxa"/>
            <w:vMerge/>
            <w:shd w:val="clear" w:color="auto" w:fill="E2EFD9" w:themeFill="accent6" w:themeFillTint="33"/>
            <w:vAlign w:val="center"/>
          </w:tcPr>
          <w:p w:rsidR="00F62F78" w:rsidRPr="008C306C" w:rsidRDefault="00F62F78" w:rsidP="00F62F78">
            <w:pPr>
              <w:pStyle w:val="Listecouleur-Accent11"/>
              <w:keepNext/>
              <w:ind w:left="0"/>
              <w:jc w:val="left"/>
              <w:rPr>
                <w:rFonts w:ascii="Times New Roman" w:hAnsi="Times New Roman"/>
                <w:b/>
                <w:iCs/>
                <w:sz w:val="32"/>
                <w:szCs w:val="32"/>
                <w:lang w:val="fr-FR"/>
              </w:rPr>
            </w:pPr>
          </w:p>
        </w:tc>
        <w:tc>
          <w:tcPr>
            <w:tcW w:w="2206" w:type="dxa"/>
            <w:vMerge w:val="restart"/>
            <w:vAlign w:val="center"/>
          </w:tcPr>
          <w:p w:rsidR="00F62F78" w:rsidRPr="008C306C" w:rsidRDefault="00F62F78" w:rsidP="00F62F78">
            <w:pPr>
              <w:pStyle w:val="Listecouleur-Accent11"/>
              <w:keepNext/>
              <w:numPr>
                <w:ilvl w:val="0"/>
                <w:numId w:val="103"/>
              </w:numPr>
              <w:ind w:left="89" w:hanging="142"/>
              <w:jc w:val="left"/>
              <w:rPr>
                <w:rFonts w:ascii="Times New Roman" w:hAnsi="Times New Roman"/>
                <w:bCs/>
                <w:sz w:val="20"/>
                <w:szCs w:val="20"/>
              </w:rPr>
            </w:pPr>
            <w:bookmarkStart w:id="567" w:name="_Toc32511616"/>
            <w:r w:rsidRPr="008C306C">
              <w:rPr>
                <w:rFonts w:ascii="Times New Roman" w:hAnsi="Times New Roman"/>
                <w:bCs/>
                <w:sz w:val="20"/>
                <w:szCs w:val="20"/>
              </w:rPr>
              <w:t>Les missions de contrôle et d’entretien</w:t>
            </w:r>
            <w:bookmarkEnd w:id="567"/>
          </w:p>
        </w:tc>
        <w:tc>
          <w:tcPr>
            <w:tcW w:w="2410" w:type="dxa"/>
            <w:vMerge w:val="restart"/>
            <w:vAlign w:val="center"/>
          </w:tcPr>
          <w:p w:rsidR="00F62F78" w:rsidRPr="008C306C" w:rsidRDefault="00F62F78" w:rsidP="00F62F78">
            <w:pPr>
              <w:pStyle w:val="Listecouleur-Accent11"/>
              <w:keepNext/>
              <w:numPr>
                <w:ilvl w:val="0"/>
                <w:numId w:val="149"/>
              </w:numPr>
              <w:ind w:left="170" w:hanging="284"/>
              <w:rPr>
                <w:rFonts w:ascii="Times New Roman" w:hAnsi="Times New Roman"/>
                <w:bCs/>
                <w:sz w:val="20"/>
                <w:szCs w:val="20"/>
                <w:lang w:val="fr-FR"/>
              </w:rPr>
            </w:pPr>
            <w:bookmarkStart w:id="568" w:name="_Toc32511617"/>
            <w:r w:rsidRPr="008C306C">
              <w:rPr>
                <w:rFonts w:ascii="Times New Roman" w:hAnsi="Times New Roman"/>
                <w:bCs/>
                <w:sz w:val="20"/>
                <w:szCs w:val="20"/>
                <w:lang w:val="fr-FR"/>
              </w:rPr>
              <w:t>Risque d’engendrer des perturbations au niveau des réseaux de distribution d’eau ou des risques d’arrêt de fonctionnement des réservoirs pendant des heures</w:t>
            </w:r>
            <w:bookmarkEnd w:id="568"/>
            <w:r w:rsidRPr="008C306C">
              <w:rPr>
                <w:rFonts w:ascii="Times New Roman" w:hAnsi="Times New Roman"/>
                <w:bCs/>
                <w:sz w:val="20"/>
                <w:szCs w:val="20"/>
                <w:lang w:val="fr-FR"/>
              </w:rPr>
              <w:t xml:space="preserve"> </w:t>
            </w:r>
          </w:p>
        </w:tc>
        <w:tc>
          <w:tcPr>
            <w:tcW w:w="9214" w:type="dxa"/>
          </w:tcPr>
          <w:p w:rsidR="00F62F78" w:rsidRPr="00646B64" w:rsidRDefault="00F62F78" w:rsidP="00F62F78">
            <w:pPr>
              <w:jc w:val="both"/>
              <w:rPr>
                <w:rFonts w:ascii="Times New Roman" w:hAnsi="Times New Roman"/>
                <w:bCs/>
                <w:sz w:val="20"/>
                <w:szCs w:val="20"/>
              </w:rPr>
            </w:pPr>
            <w:r w:rsidRPr="00646B64">
              <w:rPr>
                <w:rFonts w:ascii="Times New Roman" w:hAnsi="Times New Roman"/>
                <w:bCs/>
                <w:sz w:val="20"/>
                <w:szCs w:val="20"/>
              </w:rPr>
              <w:t>Il est recommandé d’informer les usagers lors des travaux de réparation ou d’entretien, de bien baliser les zones d’intervention, et tout en veillant à la distribution de l’eau pour les populations.</w:t>
            </w:r>
          </w:p>
        </w:tc>
      </w:tr>
      <w:tr w:rsidR="00F62F78" w:rsidRPr="00646B64" w:rsidTr="00C821BE">
        <w:tc>
          <w:tcPr>
            <w:tcW w:w="1905" w:type="dxa"/>
            <w:vMerge/>
            <w:shd w:val="clear" w:color="auto" w:fill="E2EFD9" w:themeFill="accent6" w:themeFillTint="33"/>
            <w:vAlign w:val="center"/>
          </w:tcPr>
          <w:p w:rsidR="00F62F78" w:rsidRPr="008C306C" w:rsidRDefault="00F62F78" w:rsidP="00F62F78">
            <w:pPr>
              <w:pStyle w:val="Listecouleur-Accent11"/>
              <w:keepNext/>
              <w:ind w:left="0"/>
              <w:jc w:val="left"/>
              <w:rPr>
                <w:rFonts w:ascii="Times New Roman" w:hAnsi="Times New Roman"/>
                <w:b/>
                <w:iCs/>
                <w:sz w:val="32"/>
                <w:szCs w:val="32"/>
                <w:lang w:val="fr-FR"/>
              </w:rPr>
            </w:pPr>
          </w:p>
        </w:tc>
        <w:tc>
          <w:tcPr>
            <w:tcW w:w="2206" w:type="dxa"/>
            <w:vMerge/>
            <w:vAlign w:val="center"/>
          </w:tcPr>
          <w:p w:rsidR="00F62F78" w:rsidRPr="008C306C" w:rsidRDefault="00F62F78" w:rsidP="00F62F78">
            <w:pPr>
              <w:pStyle w:val="Listecouleur-Accent11"/>
              <w:keepNext/>
              <w:numPr>
                <w:ilvl w:val="0"/>
                <w:numId w:val="103"/>
              </w:numPr>
              <w:ind w:left="89" w:hanging="142"/>
              <w:jc w:val="left"/>
              <w:rPr>
                <w:rFonts w:ascii="Times New Roman" w:hAnsi="Times New Roman"/>
                <w:bCs/>
                <w:sz w:val="20"/>
                <w:szCs w:val="20"/>
              </w:rPr>
            </w:pPr>
            <w:bookmarkStart w:id="569" w:name="_Toc32511618"/>
            <w:bookmarkEnd w:id="569"/>
          </w:p>
        </w:tc>
        <w:tc>
          <w:tcPr>
            <w:tcW w:w="2410" w:type="dxa"/>
            <w:vMerge/>
            <w:vAlign w:val="center"/>
          </w:tcPr>
          <w:p w:rsidR="00F62F78" w:rsidRPr="008C306C" w:rsidRDefault="00F62F78" w:rsidP="00F62F78">
            <w:pPr>
              <w:pStyle w:val="Listecouleur-Accent11"/>
              <w:keepNext/>
              <w:numPr>
                <w:ilvl w:val="0"/>
                <w:numId w:val="149"/>
              </w:numPr>
              <w:ind w:left="170" w:hanging="284"/>
              <w:jc w:val="left"/>
              <w:rPr>
                <w:rFonts w:ascii="Times New Roman" w:hAnsi="Times New Roman"/>
                <w:bCs/>
                <w:sz w:val="20"/>
                <w:szCs w:val="20"/>
                <w:lang w:val="fr-FR"/>
              </w:rPr>
            </w:pPr>
            <w:bookmarkStart w:id="570" w:name="_Toc32511619"/>
            <w:bookmarkEnd w:id="570"/>
          </w:p>
        </w:tc>
        <w:tc>
          <w:tcPr>
            <w:tcW w:w="9214" w:type="dxa"/>
          </w:tcPr>
          <w:p w:rsidR="00F62F78" w:rsidRDefault="00F62F78" w:rsidP="00F62F78">
            <w:pPr>
              <w:jc w:val="both"/>
              <w:rPr>
                <w:rFonts w:ascii="Times New Roman" w:hAnsi="Times New Roman" w:cs="Times New Roman"/>
                <w:color w:val="000000"/>
                <w:sz w:val="20"/>
                <w:szCs w:val="20"/>
              </w:rPr>
            </w:pPr>
            <w:r w:rsidRPr="00646B64">
              <w:rPr>
                <w:rFonts w:ascii="Times New Roman" w:hAnsi="Times New Roman"/>
                <w:bCs/>
                <w:sz w:val="20"/>
                <w:szCs w:val="20"/>
              </w:rPr>
              <w:t>Il est recommandé de bien veiller à la gestion des eaux usées (</w:t>
            </w:r>
            <w:r w:rsidRPr="00646B64">
              <w:rPr>
                <w:rFonts w:ascii="Times New Roman" w:hAnsi="Times New Roman" w:cs="Times New Roman"/>
                <w:color w:val="000000"/>
                <w:sz w:val="20"/>
                <w:szCs w:val="20"/>
              </w:rPr>
              <w:t>eaux de lavage des ouvrages). Veiller à la neutralisation des produits chimiques avant le remplissage à nouveau.</w:t>
            </w:r>
          </w:p>
          <w:p w:rsidR="00F62F78" w:rsidRPr="00646B64" w:rsidRDefault="00F62F78" w:rsidP="00F62F78">
            <w:pPr>
              <w:jc w:val="both"/>
              <w:rPr>
                <w:rFonts w:ascii="Times New Roman" w:hAnsi="Times New Roman"/>
                <w:bCs/>
                <w:sz w:val="20"/>
                <w:szCs w:val="20"/>
              </w:rPr>
            </w:pPr>
          </w:p>
        </w:tc>
      </w:tr>
      <w:tr w:rsidR="00F62F78" w:rsidRPr="00646B64" w:rsidTr="00C821BE">
        <w:trPr>
          <w:trHeight w:val="92"/>
        </w:trPr>
        <w:tc>
          <w:tcPr>
            <w:tcW w:w="1905" w:type="dxa"/>
            <w:vMerge/>
            <w:shd w:val="clear" w:color="auto" w:fill="E2EFD9" w:themeFill="accent6" w:themeFillTint="33"/>
            <w:vAlign w:val="center"/>
          </w:tcPr>
          <w:p w:rsidR="00F62F78" w:rsidRPr="008C306C" w:rsidRDefault="00F62F78" w:rsidP="00F62F78">
            <w:pPr>
              <w:pStyle w:val="Listecouleur-Accent11"/>
              <w:keepNext/>
              <w:ind w:left="0"/>
              <w:jc w:val="left"/>
              <w:rPr>
                <w:rFonts w:ascii="Times New Roman" w:hAnsi="Times New Roman"/>
                <w:b/>
                <w:iCs/>
                <w:sz w:val="32"/>
                <w:szCs w:val="32"/>
                <w:lang w:val="fr-FR"/>
              </w:rPr>
            </w:pPr>
          </w:p>
        </w:tc>
        <w:tc>
          <w:tcPr>
            <w:tcW w:w="2206" w:type="dxa"/>
            <w:vAlign w:val="center"/>
          </w:tcPr>
          <w:p w:rsidR="00F62F78" w:rsidRPr="008C306C" w:rsidRDefault="00F62F78" w:rsidP="00F62F78">
            <w:pPr>
              <w:pStyle w:val="Listecouleur-Accent11"/>
              <w:keepNext/>
              <w:numPr>
                <w:ilvl w:val="0"/>
                <w:numId w:val="103"/>
              </w:numPr>
              <w:ind w:left="89" w:hanging="142"/>
              <w:jc w:val="left"/>
              <w:rPr>
                <w:rFonts w:ascii="Times New Roman" w:hAnsi="Times New Roman"/>
                <w:bCs/>
                <w:sz w:val="20"/>
                <w:szCs w:val="20"/>
              </w:rPr>
            </w:pPr>
            <w:bookmarkStart w:id="571" w:name="_Toc32511620"/>
            <w:r w:rsidRPr="008C306C">
              <w:rPr>
                <w:rFonts w:ascii="Times New Roman" w:hAnsi="Times New Roman"/>
                <w:bCs/>
                <w:sz w:val="20"/>
                <w:szCs w:val="20"/>
              </w:rPr>
              <w:t>L’amélioration de la fournir de l’eau potable à la population</w:t>
            </w:r>
            <w:bookmarkEnd w:id="571"/>
          </w:p>
        </w:tc>
        <w:tc>
          <w:tcPr>
            <w:tcW w:w="2410" w:type="dxa"/>
            <w:vAlign w:val="center"/>
          </w:tcPr>
          <w:p w:rsidR="00F62F78" w:rsidRPr="008C306C" w:rsidRDefault="00F62F78" w:rsidP="00F62F78">
            <w:pPr>
              <w:pStyle w:val="Listecouleur-Accent11"/>
              <w:keepNext/>
              <w:numPr>
                <w:ilvl w:val="0"/>
                <w:numId w:val="149"/>
              </w:numPr>
              <w:ind w:left="170" w:hanging="284"/>
              <w:rPr>
                <w:rFonts w:ascii="Times New Roman" w:hAnsi="Times New Roman"/>
                <w:bCs/>
                <w:sz w:val="20"/>
                <w:szCs w:val="20"/>
                <w:lang w:val="fr-FR"/>
              </w:rPr>
            </w:pPr>
            <w:bookmarkStart w:id="572" w:name="_Toc32511621"/>
            <w:r w:rsidRPr="008C306C">
              <w:rPr>
                <w:rFonts w:ascii="Times New Roman" w:hAnsi="Times New Roman"/>
                <w:bCs/>
                <w:sz w:val="20"/>
                <w:szCs w:val="20"/>
                <w:lang w:val="fr-FR"/>
              </w:rPr>
              <w:t>Risque d’augmentation de l’insalubrité liée à la mauvaise gestion des eaux usées.</w:t>
            </w:r>
            <w:bookmarkEnd w:id="572"/>
          </w:p>
        </w:tc>
        <w:tc>
          <w:tcPr>
            <w:tcW w:w="9214" w:type="dxa"/>
          </w:tcPr>
          <w:p w:rsidR="00F62F78" w:rsidRPr="00646B64" w:rsidRDefault="00F62F78" w:rsidP="00F62F78">
            <w:pPr>
              <w:jc w:val="both"/>
              <w:rPr>
                <w:rFonts w:ascii="Times New Roman" w:hAnsi="Times New Roman"/>
                <w:bCs/>
                <w:sz w:val="20"/>
                <w:szCs w:val="20"/>
              </w:rPr>
            </w:pPr>
            <w:r w:rsidRPr="00646B64">
              <w:rPr>
                <w:rFonts w:ascii="Times New Roman" w:hAnsi="Times New Roman"/>
                <w:bCs/>
                <w:sz w:val="20"/>
                <w:szCs w:val="20"/>
              </w:rPr>
              <w:t>Il est suggéré au promoteur de faire des campagnes de sensibilisation contre les effets négatifs des eaux usées provenant des ménages.</w:t>
            </w:r>
          </w:p>
          <w:p w:rsidR="00F62F78" w:rsidRPr="00646B64" w:rsidRDefault="00F62F78" w:rsidP="00F62F78">
            <w:pPr>
              <w:jc w:val="both"/>
              <w:rPr>
                <w:rFonts w:ascii="Times New Roman" w:hAnsi="Times New Roman"/>
                <w:bCs/>
                <w:sz w:val="20"/>
                <w:szCs w:val="20"/>
              </w:rPr>
            </w:pPr>
            <w:r w:rsidRPr="00646B64">
              <w:rPr>
                <w:rFonts w:ascii="Times New Roman" w:hAnsi="Times New Roman"/>
                <w:bCs/>
                <w:sz w:val="20"/>
                <w:szCs w:val="20"/>
              </w:rPr>
              <w:t>Il est suggéré d’encadrer et de former les services d’assainissement, d’hygiène et de santé sur les risques existants.</w:t>
            </w:r>
          </w:p>
          <w:p w:rsidR="00F62F78" w:rsidRPr="00646B64" w:rsidRDefault="00F62F78" w:rsidP="00F62F78">
            <w:pPr>
              <w:jc w:val="both"/>
              <w:rPr>
                <w:rFonts w:ascii="Times New Roman" w:hAnsi="Times New Roman"/>
                <w:bCs/>
                <w:sz w:val="20"/>
                <w:szCs w:val="20"/>
              </w:rPr>
            </w:pPr>
            <w:r w:rsidRPr="00646B64">
              <w:rPr>
                <w:rFonts w:ascii="Times New Roman" w:hAnsi="Times New Roman"/>
                <w:bCs/>
                <w:sz w:val="20"/>
                <w:szCs w:val="20"/>
              </w:rPr>
              <w:t>Mettre</w:t>
            </w:r>
            <w:r>
              <w:rPr>
                <w:rFonts w:ascii="Times New Roman" w:hAnsi="Times New Roman"/>
                <w:bCs/>
                <w:sz w:val="20"/>
                <w:szCs w:val="20"/>
              </w:rPr>
              <w:t xml:space="preserve"> en place de nouvelle loi et </w:t>
            </w:r>
            <w:r w:rsidRPr="00646B64">
              <w:rPr>
                <w:rFonts w:ascii="Times New Roman" w:hAnsi="Times New Roman"/>
                <w:bCs/>
                <w:sz w:val="20"/>
                <w:szCs w:val="20"/>
              </w:rPr>
              <w:t xml:space="preserve"> règlementation adaptée au niveau de l’assainissement.</w:t>
            </w:r>
          </w:p>
        </w:tc>
      </w:tr>
    </w:tbl>
    <w:p w:rsidR="00B67C42" w:rsidRDefault="00B67C42" w:rsidP="002407EF">
      <w:pPr>
        <w:pStyle w:val="Listecouleur-Accent11"/>
        <w:keepNext/>
        <w:spacing w:before="240" w:after="240"/>
        <w:ind w:left="1158" w:firstLine="258"/>
        <w:rPr>
          <w:rFonts w:ascii="Times New Roman" w:hAnsi="Times New Roman"/>
          <w:b/>
          <w:sz w:val="24"/>
          <w:szCs w:val="24"/>
          <w:u w:val="single"/>
          <w:lang w:val="fr-FR" w:eastAsia="fr-FR"/>
        </w:rPr>
      </w:pPr>
    </w:p>
    <w:p w:rsidR="002407EF" w:rsidRPr="002407EF" w:rsidRDefault="002407EF" w:rsidP="00FA3FAE">
      <w:pPr>
        <w:pStyle w:val="PargrafodaLista"/>
        <w:numPr>
          <w:ilvl w:val="0"/>
          <w:numId w:val="224"/>
        </w:numPr>
        <w:tabs>
          <w:tab w:val="left" w:pos="3825"/>
        </w:tabs>
        <w:jc w:val="center"/>
        <w:rPr>
          <w:rFonts w:ascii="Times New Roman" w:hAnsi="Times New Roman"/>
          <w:sz w:val="36"/>
          <w:szCs w:val="36"/>
          <w:u w:val="single"/>
        </w:rPr>
      </w:pPr>
      <w:r w:rsidRPr="002407EF">
        <w:rPr>
          <w:rFonts w:ascii="Times New Roman" w:eastAsia="Times New Roman" w:hAnsi="Times New Roman"/>
          <w:b/>
          <w:bCs/>
          <w:sz w:val="36"/>
          <w:szCs w:val="36"/>
          <w:u w:val="single"/>
          <w:lang w:eastAsia="fr-FR"/>
        </w:rPr>
        <w:t>Récapitulatif du plan de gestion environnementale et sociale (PGES)</w:t>
      </w:r>
    </w:p>
    <w:p w:rsidR="00B67C42" w:rsidRDefault="00B67C42" w:rsidP="00243E86">
      <w:pPr>
        <w:pStyle w:val="Listecouleur-Accent11"/>
        <w:keepNext/>
        <w:spacing w:before="240" w:after="240"/>
        <w:ind w:left="1158" w:firstLine="258"/>
        <w:outlineLvl w:val="2"/>
        <w:rPr>
          <w:rFonts w:ascii="Times New Roman" w:hAnsi="Times New Roman"/>
          <w:b/>
          <w:sz w:val="24"/>
          <w:szCs w:val="24"/>
          <w:u w:val="single"/>
          <w:lang w:val="fr-FR" w:eastAsia="fr-FR"/>
        </w:rPr>
        <w:sectPr w:rsidR="00B67C42" w:rsidSect="00B67C42">
          <w:pgSz w:w="16838" w:h="11906" w:orient="landscape"/>
          <w:pgMar w:top="567" w:right="1134" w:bottom="1418" w:left="851" w:header="284" w:footer="709" w:gutter="0"/>
          <w:cols w:space="708"/>
          <w:docGrid w:linePitch="360"/>
        </w:sectPr>
      </w:pPr>
    </w:p>
    <w:p w:rsidR="00764FFF" w:rsidRPr="00D335A7" w:rsidRDefault="00764FFF" w:rsidP="00764FFF">
      <w:pPr>
        <w:overflowPunct w:val="0"/>
        <w:autoSpaceDE w:val="0"/>
        <w:autoSpaceDN w:val="0"/>
        <w:adjustRightInd w:val="0"/>
        <w:spacing w:after="0" w:line="240" w:lineRule="auto"/>
        <w:ind w:right="-711"/>
        <w:jc w:val="center"/>
        <w:rPr>
          <w:rFonts w:ascii="Times New Roman" w:eastAsia="Times New Roman" w:hAnsi="Times New Roman"/>
          <w:b/>
          <w:bCs/>
          <w:sz w:val="20"/>
          <w:szCs w:val="20"/>
          <w:lang w:eastAsia="fr-FR"/>
        </w:rPr>
      </w:pPr>
      <w:bookmarkStart w:id="573" w:name="_Toc515975858"/>
      <w:bookmarkStart w:id="574" w:name="_Toc531089450"/>
      <w:bookmarkStart w:id="575" w:name="_Toc535408490"/>
      <w:bookmarkStart w:id="576" w:name="_Toc11158772"/>
      <w:bookmarkStart w:id="577" w:name="_Toc51074022"/>
      <w:r w:rsidRPr="00D335A7">
        <w:rPr>
          <w:rFonts w:ascii="Times New Roman" w:eastAsia="Times New Roman" w:hAnsi="Times New Roman"/>
          <w:b/>
          <w:bCs/>
          <w:sz w:val="20"/>
          <w:szCs w:val="20"/>
          <w:lang w:eastAsia="fr-FR"/>
        </w:rPr>
        <w:lastRenderedPageBreak/>
        <w:t xml:space="preserve">Tableau </w:t>
      </w:r>
      <w:r w:rsidRPr="00D335A7">
        <w:rPr>
          <w:rFonts w:ascii="Times New Roman" w:eastAsia="Times New Roman" w:hAnsi="Times New Roman"/>
          <w:b/>
          <w:bCs/>
          <w:sz w:val="20"/>
          <w:szCs w:val="20"/>
          <w:lang w:eastAsia="fr-FR"/>
        </w:rPr>
        <w:fldChar w:fldCharType="begin"/>
      </w:r>
      <w:r w:rsidRPr="00D335A7">
        <w:rPr>
          <w:rFonts w:ascii="Times New Roman" w:eastAsia="Times New Roman" w:hAnsi="Times New Roman"/>
          <w:b/>
          <w:bCs/>
          <w:sz w:val="20"/>
          <w:szCs w:val="20"/>
          <w:lang w:eastAsia="fr-FR"/>
        </w:rPr>
        <w:instrText xml:space="preserve"> </w:instrText>
      </w:r>
      <w:r>
        <w:rPr>
          <w:rFonts w:ascii="Times New Roman" w:eastAsia="Times New Roman" w:hAnsi="Times New Roman"/>
          <w:b/>
          <w:bCs/>
          <w:sz w:val="20"/>
          <w:szCs w:val="20"/>
          <w:lang w:eastAsia="fr-FR"/>
        </w:rPr>
        <w:instrText>SEQ</w:instrText>
      </w:r>
      <w:r w:rsidRPr="00D335A7">
        <w:rPr>
          <w:rFonts w:ascii="Times New Roman" w:eastAsia="Times New Roman" w:hAnsi="Times New Roman"/>
          <w:b/>
          <w:bCs/>
          <w:sz w:val="20"/>
          <w:szCs w:val="20"/>
          <w:lang w:eastAsia="fr-FR"/>
        </w:rPr>
        <w:instrText xml:space="preserve"> Tableau \* ARABIC </w:instrText>
      </w:r>
      <w:r w:rsidRPr="00D335A7">
        <w:rPr>
          <w:rFonts w:ascii="Times New Roman" w:eastAsia="Times New Roman" w:hAnsi="Times New Roman"/>
          <w:b/>
          <w:bCs/>
          <w:sz w:val="20"/>
          <w:szCs w:val="20"/>
          <w:lang w:eastAsia="fr-FR"/>
        </w:rPr>
        <w:fldChar w:fldCharType="separate"/>
      </w:r>
      <w:r w:rsidR="00820701">
        <w:rPr>
          <w:rFonts w:ascii="Times New Roman" w:eastAsia="Times New Roman" w:hAnsi="Times New Roman"/>
          <w:b/>
          <w:bCs/>
          <w:noProof/>
          <w:sz w:val="20"/>
          <w:szCs w:val="20"/>
          <w:lang w:eastAsia="fr-FR"/>
        </w:rPr>
        <w:t>31</w:t>
      </w:r>
      <w:r w:rsidRPr="00D335A7">
        <w:rPr>
          <w:rFonts w:ascii="Times New Roman" w:eastAsia="Times New Roman" w:hAnsi="Times New Roman"/>
          <w:b/>
          <w:bCs/>
          <w:sz w:val="20"/>
          <w:szCs w:val="20"/>
          <w:lang w:eastAsia="fr-FR"/>
        </w:rPr>
        <w:fldChar w:fldCharType="end"/>
      </w:r>
      <w:r w:rsidRPr="00D335A7">
        <w:rPr>
          <w:rFonts w:ascii="Times New Roman" w:eastAsia="Times New Roman" w:hAnsi="Times New Roman"/>
          <w:b/>
          <w:bCs/>
          <w:sz w:val="20"/>
          <w:szCs w:val="20"/>
          <w:lang w:eastAsia="fr-FR"/>
        </w:rPr>
        <w:t xml:space="preserve">: </w:t>
      </w:r>
      <w:bookmarkEnd w:id="573"/>
      <w:bookmarkEnd w:id="574"/>
      <w:r w:rsidRPr="00D335A7">
        <w:rPr>
          <w:rFonts w:ascii="Times New Roman" w:eastAsia="Times New Roman" w:hAnsi="Times New Roman"/>
          <w:b/>
          <w:bCs/>
          <w:sz w:val="20"/>
          <w:szCs w:val="20"/>
          <w:lang w:eastAsia="fr-FR"/>
        </w:rPr>
        <w:t>les moyens de bonification des impacts positifs potentiels</w:t>
      </w:r>
      <w:bookmarkEnd w:id="575"/>
      <w:bookmarkEnd w:id="576"/>
      <w:bookmarkEnd w:id="577"/>
      <w:r w:rsidRPr="00D335A7">
        <w:rPr>
          <w:rFonts w:ascii="Times New Roman" w:eastAsia="Times New Roman" w:hAnsi="Times New Roman"/>
          <w:b/>
          <w:bCs/>
          <w:sz w:val="20"/>
          <w:szCs w:val="20"/>
          <w:lang w:eastAsia="fr-FR"/>
        </w:rPr>
        <w:t xml:space="preserve"> </w:t>
      </w:r>
    </w:p>
    <w:tbl>
      <w:tblPr>
        <w:tblW w:w="15781" w:type="dxa"/>
        <w:jc w:val="center"/>
        <w:tblBorders>
          <w:top w:val="single" w:sz="4" w:space="0" w:color="7F7F7F"/>
          <w:bottom w:val="single" w:sz="4" w:space="0" w:color="7F7F7F"/>
        </w:tblBorders>
        <w:tblLayout w:type="fixed"/>
        <w:tblLook w:val="04A0" w:firstRow="1" w:lastRow="0" w:firstColumn="1" w:lastColumn="0" w:noHBand="0" w:noVBand="1"/>
      </w:tblPr>
      <w:tblGrid>
        <w:gridCol w:w="1418"/>
        <w:gridCol w:w="1843"/>
        <w:gridCol w:w="3118"/>
        <w:gridCol w:w="2308"/>
        <w:gridCol w:w="1275"/>
        <w:gridCol w:w="1701"/>
        <w:gridCol w:w="1418"/>
        <w:gridCol w:w="1374"/>
        <w:gridCol w:w="1326"/>
      </w:tblGrid>
      <w:tr w:rsidR="00764FFF" w:rsidRPr="00AA45E9" w:rsidTr="00B424EA">
        <w:trPr>
          <w:trHeight w:val="446"/>
          <w:jc w:val="center"/>
        </w:trPr>
        <w:tc>
          <w:tcPr>
            <w:tcW w:w="15781" w:type="dxa"/>
            <w:gridSpan w:val="9"/>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rsidR="00764FFF" w:rsidRPr="00AA45E9" w:rsidRDefault="00764FFF" w:rsidP="000D2243">
            <w:pPr>
              <w:autoSpaceDE w:val="0"/>
              <w:autoSpaceDN w:val="0"/>
              <w:adjustRightInd w:val="0"/>
              <w:spacing w:after="0" w:line="276" w:lineRule="auto"/>
              <w:jc w:val="center"/>
              <w:rPr>
                <w:rFonts w:ascii="Times New Roman" w:hAnsi="Times New Roman"/>
                <w:b/>
                <w:bCs/>
                <w:sz w:val="28"/>
                <w:szCs w:val="28"/>
              </w:rPr>
            </w:pPr>
            <w:r w:rsidRPr="00AA45E9">
              <w:rPr>
                <w:rFonts w:ascii="Times New Roman" w:hAnsi="Times New Roman"/>
                <w:b/>
                <w:bCs/>
                <w:sz w:val="28"/>
                <w:szCs w:val="28"/>
              </w:rPr>
              <w:t>Moyen</w:t>
            </w:r>
            <w:r w:rsidR="00372B94">
              <w:rPr>
                <w:rFonts w:ascii="Times New Roman" w:hAnsi="Times New Roman"/>
                <w:b/>
                <w:bCs/>
                <w:sz w:val="28"/>
                <w:szCs w:val="28"/>
              </w:rPr>
              <w:t>s</w:t>
            </w:r>
            <w:r w:rsidRPr="00AA45E9">
              <w:rPr>
                <w:rFonts w:ascii="Times New Roman" w:hAnsi="Times New Roman"/>
                <w:b/>
                <w:bCs/>
                <w:sz w:val="28"/>
                <w:szCs w:val="28"/>
              </w:rPr>
              <w:t xml:space="preserve"> de bonification des impacts positifs potentiels en phase de pré-construction et construction</w:t>
            </w:r>
          </w:p>
        </w:tc>
      </w:tr>
      <w:tr w:rsidR="00764FFF" w:rsidRPr="00AA45E9" w:rsidTr="000D2243">
        <w:trPr>
          <w:trHeight w:val="390"/>
          <w:jc w:val="center"/>
        </w:trPr>
        <w:tc>
          <w:tcPr>
            <w:tcW w:w="1418"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rsidR="00764FFF" w:rsidRPr="00AA45E9" w:rsidRDefault="00764FFF" w:rsidP="00764FFF">
            <w:pPr>
              <w:autoSpaceDE w:val="0"/>
              <w:autoSpaceDN w:val="0"/>
              <w:adjustRightInd w:val="0"/>
              <w:spacing w:after="0" w:line="276" w:lineRule="auto"/>
              <w:jc w:val="center"/>
              <w:rPr>
                <w:rFonts w:ascii="Times New Roman" w:hAnsi="Times New Roman"/>
                <w:b/>
                <w:bCs/>
                <w:sz w:val="20"/>
                <w:szCs w:val="20"/>
              </w:rPr>
            </w:pPr>
            <w:r w:rsidRPr="00AA45E9">
              <w:rPr>
                <w:rFonts w:ascii="Times New Roman" w:hAnsi="Times New Roman"/>
                <w:b/>
                <w:bCs/>
                <w:sz w:val="20"/>
                <w:szCs w:val="20"/>
              </w:rPr>
              <w:t>Composante du milieu affecté</w:t>
            </w:r>
          </w:p>
        </w:tc>
        <w:tc>
          <w:tcPr>
            <w:tcW w:w="1843"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rsidR="00764FFF" w:rsidRPr="00AA45E9" w:rsidRDefault="00764FFF" w:rsidP="00764FFF">
            <w:pPr>
              <w:autoSpaceDE w:val="0"/>
              <w:autoSpaceDN w:val="0"/>
              <w:adjustRightInd w:val="0"/>
              <w:spacing w:after="0" w:line="276" w:lineRule="auto"/>
              <w:jc w:val="center"/>
              <w:rPr>
                <w:rFonts w:ascii="Times New Roman" w:hAnsi="Times New Roman"/>
                <w:b/>
                <w:sz w:val="20"/>
                <w:szCs w:val="20"/>
              </w:rPr>
            </w:pPr>
            <w:r w:rsidRPr="00AA45E9">
              <w:rPr>
                <w:rFonts w:ascii="Times New Roman" w:hAnsi="Times New Roman"/>
                <w:b/>
                <w:sz w:val="20"/>
                <w:szCs w:val="20"/>
              </w:rPr>
              <w:t>Nature de l’impact potentiel</w:t>
            </w:r>
          </w:p>
        </w:tc>
        <w:tc>
          <w:tcPr>
            <w:tcW w:w="3118"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rsidR="00764FFF" w:rsidRPr="00AA45E9" w:rsidRDefault="00764FFF" w:rsidP="00764FFF">
            <w:pPr>
              <w:autoSpaceDE w:val="0"/>
              <w:autoSpaceDN w:val="0"/>
              <w:adjustRightInd w:val="0"/>
              <w:spacing w:after="0" w:line="276" w:lineRule="auto"/>
              <w:jc w:val="center"/>
              <w:rPr>
                <w:rFonts w:ascii="Times New Roman" w:hAnsi="Times New Roman"/>
                <w:b/>
                <w:sz w:val="20"/>
                <w:szCs w:val="20"/>
              </w:rPr>
            </w:pPr>
            <w:r w:rsidRPr="00AA45E9">
              <w:rPr>
                <w:rFonts w:ascii="Times New Roman" w:hAnsi="Times New Roman"/>
                <w:b/>
                <w:sz w:val="20"/>
                <w:szCs w:val="20"/>
              </w:rPr>
              <w:t>Mesures  préconisées</w:t>
            </w:r>
          </w:p>
        </w:tc>
        <w:tc>
          <w:tcPr>
            <w:tcW w:w="2308"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rsidR="00764FFF" w:rsidRPr="00AA45E9" w:rsidRDefault="00764FFF" w:rsidP="00764FFF">
            <w:pPr>
              <w:autoSpaceDE w:val="0"/>
              <w:autoSpaceDN w:val="0"/>
              <w:adjustRightInd w:val="0"/>
              <w:spacing w:after="0" w:line="276" w:lineRule="auto"/>
              <w:jc w:val="center"/>
              <w:rPr>
                <w:rFonts w:ascii="Times New Roman" w:hAnsi="Times New Roman"/>
                <w:b/>
                <w:sz w:val="20"/>
                <w:szCs w:val="20"/>
              </w:rPr>
            </w:pPr>
            <w:r w:rsidRPr="00AA45E9">
              <w:rPr>
                <w:rFonts w:ascii="Times New Roman" w:hAnsi="Times New Roman"/>
                <w:b/>
                <w:sz w:val="20"/>
                <w:szCs w:val="20"/>
              </w:rPr>
              <w:t>Indicateur de suivi</w:t>
            </w:r>
          </w:p>
        </w:tc>
        <w:tc>
          <w:tcPr>
            <w:tcW w:w="2976" w:type="dxa"/>
            <w:gridSpan w:val="2"/>
            <w:tcBorders>
              <w:top w:val="single" w:sz="4" w:space="0" w:color="auto"/>
              <w:left w:val="single" w:sz="4" w:space="0" w:color="auto"/>
              <w:bottom w:val="single" w:sz="4" w:space="0" w:color="auto"/>
              <w:right w:val="single" w:sz="4" w:space="0" w:color="auto"/>
            </w:tcBorders>
            <w:shd w:val="clear" w:color="auto" w:fill="F2F2F2"/>
            <w:vAlign w:val="center"/>
            <w:hideMark/>
          </w:tcPr>
          <w:p w:rsidR="00764FFF" w:rsidRPr="00AA45E9" w:rsidRDefault="00764FFF" w:rsidP="00764FFF">
            <w:pPr>
              <w:autoSpaceDE w:val="0"/>
              <w:autoSpaceDN w:val="0"/>
              <w:adjustRightInd w:val="0"/>
              <w:spacing w:after="0" w:line="276" w:lineRule="auto"/>
              <w:jc w:val="center"/>
              <w:rPr>
                <w:rFonts w:ascii="Times New Roman" w:hAnsi="Times New Roman"/>
                <w:b/>
                <w:sz w:val="20"/>
                <w:szCs w:val="20"/>
              </w:rPr>
            </w:pPr>
            <w:r w:rsidRPr="00AA45E9">
              <w:rPr>
                <w:rFonts w:ascii="Times New Roman" w:hAnsi="Times New Roman"/>
                <w:b/>
                <w:bCs/>
                <w:sz w:val="20"/>
                <w:szCs w:val="20"/>
              </w:rPr>
              <w:t>Responsable (s)</w:t>
            </w:r>
          </w:p>
        </w:tc>
        <w:tc>
          <w:tcPr>
            <w:tcW w:w="1418"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rsidR="00764FFF" w:rsidRPr="00AA45E9" w:rsidRDefault="00764FFF" w:rsidP="00764FFF">
            <w:pPr>
              <w:autoSpaceDE w:val="0"/>
              <w:autoSpaceDN w:val="0"/>
              <w:adjustRightInd w:val="0"/>
              <w:spacing w:after="0" w:line="276" w:lineRule="auto"/>
              <w:jc w:val="center"/>
              <w:rPr>
                <w:rFonts w:ascii="Times New Roman" w:hAnsi="Times New Roman"/>
                <w:b/>
                <w:bCs/>
                <w:sz w:val="20"/>
                <w:szCs w:val="20"/>
              </w:rPr>
            </w:pPr>
            <w:r w:rsidRPr="00AA45E9">
              <w:rPr>
                <w:rFonts w:ascii="Times New Roman" w:hAnsi="Times New Roman"/>
                <w:b/>
                <w:bCs/>
                <w:sz w:val="20"/>
                <w:szCs w:val="20"/>
              </w:rPr>
              <w:t>Échéances /</w:t>
            </w:r>
          </w:p>
          <w:p w:rsidR="00764FFF" w:rsidRPr="00AA45E9" w:rsidRDefault="00764FFF" w:rsidP="00764FFF">
            <w:pPr>
              <w:autoSpaceDE w:val="0"/>
              <w:autoSpaceDN w:val="0"/>
              <w:adjustRightInd w:val="0"/>
              <w:spacing w:after="0" w:line="276" w:lineRule="auto"/>
              <w:jc w:val="center"/>
              <w:rPr>
                <w:rFonts w:ascii="Times New Roman" w:hAnsi="Times New Roman"/>
                <w:b/>
                <w:sz w:val="20"/>
                <w:szCs w:val="20"/>
              </w:rPr>
            </w:pPr>
            <w:r w:rsidRPr="00AA45E9">
              <w:rPr>
                <w:rFonts w:ascii="Times New Roman" w:hAnsi="Times New Roman"/>
                <w:b/>
                <w:bCs/>
                <w:sz w:val="20"/>
                <w:szCs w:val="20"/>
              </w:rPr>
              <w:t>Période</w:t>
            </w:r>
          </w:p>
        </w:tc>
        <w:tc>
          <w:tcPr>
            <w:tcW w:w="1374"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rsidR="00764FFF" w:rsidRPr="00AA45E9" w:rsidRDefault="00764FFF" w:rsidP="00764FFF">
            <w:pPr>
              <w:autoSpaceDE w:val="0"/>
              <w:autoSpaceDN w:val="0"/>
              <w:adjustRightInd w:val="0"/>
              <w:spacing w:after="0" w:line="276" w:lineRule="auto"/>
              <w:jc w:val="center"/>
              <w:rPr>
                <w:rFonts w:ascii="Times New Roman" w:hAnsi="Times New Roman"/>
                <w:b/>
                <w:bCs/>
                <w:sz w:val="20"/>
                <w:szCs w:val="20"/>
              </w:rPr>
            </w:pPr>
            <w:r w:rsidRPr="00AA45E9">
              <w:rPr>
                <w:rFonts w:ascii="Times New Roman" w:hAnsi="Times New Roman"/>
                <w:b/>
                <w:bCs/>
                <w:sz w:val="20"/>
                <w:szCs w:val="20"/>
              </w:rPr>
              <w:t>Coût (FCFA)</w:t>
            </w:r>
          </w:p>
          <w:p w:rsidR="00764FFF" w:rsidRPr="00AA45E9" w:rsidRDefault="00764FFF" w:rsidP="00764FFF">
            <w:pPr>
              <w:autoSpaceDE w:val="0"/>
              <w:autoSpaceDN w:val="0"/>
              <w:adjustRightInd w:val="0"/>
              <w:spacing w:after="0" w:line="276" w:lineRule="auto"/>
              <w:jc w:val="center"/>
              <w:rPr>
                <w:rFonts w:ascii="Times New Roman" w:hAnsi="Times New Roman"/>
                <w:b/>
                <w:sz w:val="20"/>
                <w:szCs w:val="20"/>
              </w:rPr>
            </w:pPr>
            <w:r w:rsidRPr="00AA45E9">
              <w:rPr>
                <w:rFonts w:ascii="Times New Roman" w:hAnsi="Times New Roman"/>
                <w:b/>
                <w:bCs/>
                <w:sz w:val="20"/>
                <w:szCs w:val="20"/>
              </w:rPr>
              <w:t>De mise en œuvre</w:t>
            </w:r>
          </w:p>
        </w:tc>
        <w:tc>
          <w:tcPr>
            <w:tcW w:w="1326"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rsidR="00764FFF" w:rsidRPr="00AA45E9" w:rsidRDefault="00764FFF" w:rsidP="00764FFF">
            <w:pPr>
              <w:autoSpaceDE w:val="0"/>
              <w:autoSpaceDN w:val="0"/>
              <w:adjustRightInd w:val="0"/>
              <w:spacing w:after="0" w:line="276" w:lineRule="auto"/>
              <w:jc w:val="center"/>
              <w:rPr>
                <w:rFonts w:ascii="Times New Roman" w:hAnsi="Times New Roman"/>
                <w:b/>
                <w:bCs/>
                <w:sz w:val="20"/>
                <w:szCs w:val="20"/>
              </w:rPr>
            </w:pPr>
            <w:r w:rsidRPr="00AA45E9">
              <w:rPr>
                <w:rFonts w:ascii="Times New Roman" w:hAnsi="Times New Roman"/>
                <w:b/>
                <w:bCs/>
                <w:sz w:val="20"/>
                <w:szCs w:val="20"/>
              </w:rPr>
              <w:t>Coût du suivi</w:t>
            </w:r>
          </w:p>
        </w:tc>
      </w:tr>
      <w:tr w:rsidR="00764FFF" w:rsidRPr="00AA45E9" w:rsidTr="002407EF">
        <w:trPr>
          <w:trHeight w:val="184"/>
          <w:jc w:val="center"/>
        </w:trPr>
        <w:tc>
          <w:tcPr>
            <w:tcW w:w="1418" w:type="dxa"/>
            <w:vMerge/>
            <w:tcBorders>
              <w:top w:val="single" w:sz="4" w:space="0" w:color="auto"/>
              <w:left w:val="single" w:sz="4" w:space="0" w:color="auto"/>
              <w:bottom w:val="single" w:sz="4" w:space="0" w:color="auto"/>
              <w:right w:val="single" w:sz="4" w:space="0" w:color="auto"/>
            </w:tcBorders>
            <w:vAlign w:val="center"/>
            <w:hideMark/>
          </w:tcPr>
          <w:p w:rsidR="00764FFF" w:rsidRPr="00AA45E9" w:rsidRDefault="00764FFF" w:rsidP="00764FFF">
            <w:pPr>
              <w:autoSpaceDE w:val="0"/>
              <w:autoSpaceDN w:val="0"/>
              <w:adjustRightInd w:val="0"/>
              <w:spacing w:after="0" w:line="276" w:lineRule="auto"/>
              <w:jc w:val="center"/>
              <w:rPr>
                <w:rFonts w:ascii="Times New Roman" w:hAnsi="Times New Roman"/>
                <w:b/>
                <w:bCs/>
                <w:sz w:val="20"/>
                <w:szCs w:val="20"/>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764FFF" w:rsidRPr="00AA45E9" w:rsidRDefault="00764FFF" w:rsidP="00764FFF">
            <w:pPr>
              <w:autoSpaceDE w:val="0"/>
              <w:autoSpaceDN w:val="0"/>
              <w:adjustRightInd w:val="0"/>
              <w:spacing w:after="0" w:line="276" w:lineRule="auto"/>
              <w:jc w:val="center"/>
              <w:rPr>
                <w:rFonts w:ascii="Times New Roman" w:hAnsi="Times New Roman"/>
                <w:b/>
                <w:sz w:val="20"/>
                <w:szCs w:val="20"/>
              </w:rPr>
            </w:pPr>
          </w:p>
        </w:tc>
        <w:tc>
          <w:tcPr>
            <w:tcW w:w="3118" w:type="dxa"/>
            <w:vMerge/>
            <w:tcBorders>
              <w:top w:val="single" w:sz="4" w:space="0" w:color="auto"/>
              <w:left w:val="single" w:sz="4" w:space="0" w:color="auto"/>
              <w:bottom w:val="single" w:sz="4" w:space="0" w:color="auto"/>
              <w:right w:val="single" w:sz="4" w:space="0" w:color="auto"/>
            </w:tcBorders>
            <w:vAlign w:val="center"/>
            <w:hideMark/>
          </w:tcPr>
          <w:p w:rsidR="00764FFF" w:rsidRPr="00AA45E9" w:rsidRDefault="00764FFF" w:rsidP="00764FFF">
            <w:pPr>
              <w:autoSpaceDE w:val="0"/>
              <w:autoSpaceDN w:val="0"/>
              <w:adjustRightInd w:val="0"/>
              <w:spacing w:after="0" w:line="276" w:lineRule="auto"/>
              <w:jc w:val="center"/>
              <w:rPr>
                <w:rFonts w:ascii="Times New Roman" w:hAnsi="Times New Roman"/>
                <w:b/>
                <w:sz w:val="20"/>
                <w:szCs w:val="20"/>
              </w:rPr>
            </w:pPr>
          </w:p>
        </w:tc>
        <w:tc>
          <w:tcPr>
            <w:tcW w:w="2308" w:type="dxa"/>
            <w:vMerge/>
            <w:tcBorders>
              <w:top w:val="single" w:sz="4" w:space="0" w:color="auto"/>
              <w:left w:val="single" w:sz="4" w:space="0" w:color="auto"/>
              <w:bottom w:val="single" w:sz="4" w:space="0" w:color="auto"/>
              <w:right w:val="single" w:sz="4" w:space="0" w:color="auto"/>
            </w:tcBorders>
            <w:vAlign w:val="center"/>
            <w:hideMark/>
          </w:tcPr>
          <w:p w:rsidR="00764FFF" w:rsidRPr="00AA45E9" w:rsidRDefault="00764FFF" w:rsidP="00764FFF">
            <w:pPr>
              <w:autoSpaceDE w:val="0"/>
              <w:autoSpaceDN w:val="0"/>
              <w:adjustRightInd w:val="0"/>
              <w:spacing w:after="0" w:line="276" w:lineRule="auto"/>
              <w:jc w:val="center"/>
              <w:rPr>
                <w:rFonts w:ascii="Times New Roman" w:hAnsi="Times New Roman"/>
                <w:b/>
                <w:sz w:val="20"/>
                <w:szCs w:val="20"/>
              </w:rPr>
            </w:pPr>
          </w:p>
        </w:tc>
        <w:tc>
          <w:tcPr>
            <w:tcW w:w="1275"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rsidR="00764FFF" w:rsidRPr="002407EF" w:rsidRDefault="00764FFF" w:rsidP="00764FFF">
            <w:pPr>
              <w:autoSpaceDE w:val="0"/>
              <w:autoSpaceDN w:val="0"/>
              <w:adjustRightInd w:val="0"/>
              <w:spacing w:after="0" w:line="276" w:lineRule="auto"/>
              <w:jc w:val="center"/>
              <w:rPr>
                <w:rFonts w:ascii="Times New Roman" w:hAnsi="Times New Roman"/>
                <w:b/>
                <w:bCs/>
                <w:sz w:val="20"/>
                <w:szCs w:val="20"/>
              </w:rPr>
            </w:pPr>
            <w:r w:rsidRPr="002407EF">
              <w:rPr>
                <w:rFonts w:ascii="Times New Roman" w:hAnsi="Times New Roman"/>
                <w:b/>
                <w:bCs/>
                <w:sz w:val="20"/>
                <w:szCs w:val="20"/>
              </w:rPr>
              <w:t>Mise en œuvre</w:t>
            </w:r>
          </w:p>
        </w:tc>
        <w:tc>
          <w:tcPr>
            <w:tcW w:w="1701"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rsidR="00764FFF" w:rsidRPr="002407EF" w:rsidRDefault="00764FFF" w:rsidP="00764FFF">
            <w:pPr>
              <w:autoSpaceDE w:val="0"/>
              <w:autoSpaceDN w:val="0"/>
              <w:adjustRightInd w:val="0"/>
              <w:spacing w:after="0" w:line="276" w:lineRule="auto"/>
              <w:jc w:val="center"/>
              <w:rPr>
                <w:rFonts w:ascii="Times New Roman" w:hAnsi="Times New Roman"/>
                <w:b/>
                <w:bCs/>
                <w:sz w:val="20"/>
                <w:szCs w:val="20"/>
              </w:rPr>
            </w:pPr>
            <w:r w:rsidRPr="002407EF">
              <w:rPr>
                <w:rFonts w:ascii="Times New Roman" w:hAnsi="Times New Roman"/>
                <w:b/>
                <w:bCs/>
                <w:sz w:val="20"/>
                <w:szCs w:val="20"/>
              </w:rPr>
              <w:t>Suivi / Contrôle</w:t>
            </w: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764FFF" w:rsidRPr="00AA45E9" w:rsidRDefault="00764FFF" w:rsidP="00764FFF">
            <w:pPr>
              <w:autoSpaceDE w:val="0"/>
              <w:autoSpaceDN w:val="0"/>
              <w:adjustRightInd w:val="0"/>
              <w:spacing w:after="0" w:line="276" w:lineRule="auto"/>
              <w:jc w:val="center"/>
              <w:rPr>
                <w:rFonts w:ascii="Times New Roman" w:hAnsi="Times New Roman"/>
                <w:b/>
                <w:sz w:val="20"/>
                <w:szCs w:val="20"/>
              </w:rPr>
            </w:pPr>
          </w:p>
        </w:tc>
        <w:tc>
          <w:tcPr>
            <w:tcW w:w="1374" w:type="dxa"/>
            <w:vMerge/>
            <w:tcBorders>
              <w:top w:val="single" w:sz="4" w:space="0" w:color="auto"/>
              <w:left w:val="single" w:sz="4" w:space="0" w:color="auto"/>
              <w:bottom w:val="single" w:sz="4" w:space="0" w:color="auto"/>
              <w:right w:val="single" w:sz="4" w:space="0" w:color="auto"/>
            </w:tcBorders>
            <w:vAlign w:val="center"/>
            <w:hideMark/>
          </w:tcPr>
          <w:p w:rsidR="00764FFF" w:rsidRPr="00AA45E9" w:rsidRDefault="00764FFF" w:rsidP="00764FFF">
            <w:pPr>
              <w:autoSpaceDE w:val="0"/>
              <w:autoSpaceDN w:val="0"/>
              <w:adjustRightInd w:val="0"/>
              <w:spacing w:after="0" w:line="276" w:lineRule="auto"/>
              <w:jc w:val="center"/>
              <w:rPr>
                <w:rFonts w:ascii="Times New Roman" w:hAnsi="Times New Roman"/>
                <w:b/>
                <w:sz w:val="20"/>
                <w:szCs w:val="20"/>
              </w:rPr>
            </w:pPr>
          </w:p>
        </w:tc>
        <w:tc>
          <w:tcPr>
            <w:tcW w:w="1326" w:type="dxa"/>
            <w:vMerge/>
            <w:tcBorders>
              <w:top w:val="single" w:sz="4" w:space="0" w:color="auto"/>
              <w:left w:val="single" w:sz="4" w:space="0" w:color="auto"/>
              <w:bottom w:val="single" w:sz="4" w:space="0" w:color="auto"/>
              <w:right w:val="single" w:sz="4" w:space="0" w:color="auto"/>
            </w:tcBorders>
            <w:vAlign w:val="center"/>
            <w:hideMark/>
          </w:tcPr>
          <w:p w:rsidR="00764FFF" w:rsidRPr="00AA45E9" w:rsidRDefault="00764FFF" w:rsidP="00764FFF">
            <w:pPr>
              <w:autoSpaceDE w:val="0"/>
              <w:autoSpaceDN w:val="0"/>
              <w:adjustRightInd w:val="0"/>
              <w:spacing w:after="0" w:line="276" w:lineRule="auto"/>
              <w:jc w:val="center"/>
              <w:rPr>
                <w:rFonts w:ascii="Times New Roman" w:hAnsi="Times New Roman"/>
                <w:b/>
                <w:bCs/>
                <w:sz w:val="20"/>
                <w:szCs w:val="20"/>
              </w:rPr>
            </w:pPr>
          </w:p>
        </w:tc>
      </w:tr>
      <w:tr w:rsidR="00764FFF" w:rsidRPr="00AA45E9" w:rsidTr="002407EF">
        <w:trPr>
          <w:trHeight w:val="1739"/>
          <w:jc w:val="center"/>
        </w:trPr>
        <w:tc>
          <w:tcPr>
            <w:tcW w:w="1418" w:type="dxa"/>
            <w:vMerge w:val="restart"/>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rsidR="00764FFF" w:rsidRPr="00AA45E9" w:rsidRDefault="00764FFF" w:rsidP="00764FFF">
            <w:pPr>
              <w:autoSpaceDE w:val="0"/>
              <w:autoSpaceDN w:val="0"/>
              <w:adjustRightInd w:val="0"/>
              <w:spacing w:after="0" w:line="276" w:lineRule="auto"/>
              <w:jc w:val="center"/>
              <w:rPr>
                <w:rFonts w:ascii="Times New Roman" w:hAnsi="Times New Roman"/>
                <w:b/>
                <w:bCs/>
              </w:rPr>
            </w:pPr>
            <w:r w:rsidRPr="00AA45E9">
              <w:rPr>
                <w:rFonts w:ascii="Times New Roman" w:hAnsi="Times New Roman"/>
                <w:bCs/>
              </w:rPr>
              <w:t>Socio-Economique</w:t>
            </w:r>
          </w:p>
          <w:p w:rsidR="00764FFF" w:rsidRPr="00AA45E9" w:rsidRDefault="00764FFF" w:rsidP="00764FFF">
            <w:pPr>
              <w:autoSpaceDE w:val="0"/>
              <w:autoSpaceDN w:val="0"/>
              <w:adjustRightInd w:val="0"/>
              <w:spacing w:after="0" w:line="276" w:lineRule="auto"/>
              <w:jc w:val="center"/>
              <w:rPr>
                <w:rFonts w:ascii="Times New Roman" w:hAnsi="Times New Roman"/>
                <w:b/>
                <w:bCs/>
                <w:sz w:val="20"/>
                <w:szCs w:val="20"/>
              </w:rPr>
            </w:pPr>
          </w:p>
        </w:tc>
        <w:tc>
          <w:tcPr>
            <w:tcW w:w="1843" w:type="dxa"/>
            <w:tcBorders>
              <w:top w:val="single" w:sz="4" w:space="0" w:color="auto"/>
              <w:left w:val="single" w:sz="4" w:space="0" w:color="auto"/>
              <w:bottom w:val="single" w:sz="4" w:space="0" w:color="auto"/>
              <w:right w:val="single" w:sz="4" w:space="0" w:color="auto"/>
            </w:tcBorders>
            <w:vAlign w:val="center"/>
          </w:tcPr>
          <w:p w:rsidR="00764FFF" w:rsidRPr="00AA45E9" w:rsidRDefault="00764FFF" w:rsidP="00764FFF">
            <w:pPr>
              <w:autoSpaceDE w:val="0"/>
              <w:autoSpaceDN w:val="0"/>
              <w:adjustRightInd w:val="0"/>
              <w:spacing w:after="0" w:line="276" w:lineRule="auto"/>
              <w:jc w:val="center"/>
              <w:rPr>
                <w:rFonts w:ascii="Times New Roman" w:hAnsi="Times New Roman"/>
                <w:sz w:val="20"/>
                <w:szCs w:val="20"/>
              </w:rPr>
            </w:pPr>
            <w:r w:rsidRPr="00AA45E9">
              <w:rPr>
                <w:rFonts w:ascii="Times New Roman" w:hAnsi="Times New Roman"/>
                <w:sz w:val="20"/>
                <w:szCs w:val="20"/>
              </w:rPr>
              <w:t>Opportunités d’emplois (création d’emploi pour les jeunes et utilisation de la main d'œuvre locale)</w:t>
            </w:r>
          </w:p>
        </w:tc>
        <w:tc>
          <w:tcPr>
            <w:tcW w:w="3118" w:type="dxa"/>
            <w:tcBorders>
              <w:top w:val="single" w:sz="4" w:space="0" w:color="auto"/>
              <w:left w:val="single" w:sz="4" w:space="0" w:color="auto"/>
              <w:bottom w:val="single" w:sz="4" w:space="0" w:color="auto"/>
              <w:right w:val="single" w:sz="4" w:space="0" w:color="auto"/>
            </w:tcBorders>
            <w:vAlign w:val="center"/>
          </w:tcPr>
          <w:p w:rsidR="00764FFF" w:rsidRPr="00AA45E9" w:rsidRDefault="00764FFF" w:rsidP="00764FFF">
            <w:pPr>
              <w:autoSpaceDE w:val="0"/>
              <w:autoSpaceDN w:val="0"/>
              <w:adjustRightInd w:val="0"/>
              <w:spacing w:after="0" w:line="276" w:lineRule="auto"/>
              <w:jc w:val="both"/>
              <w:rPr>
                <w:rFonts w:ascii="Times New Roman" w:hAnsi="Times New Roman"/>
                <w:sz w:val="20"/>
                <w:szCs w:val="20"/>
              </w:rPr>
            </w:pPr>
            <w:r w:rsidRPr="00AA45E9">
              <w:rPr>
                <w:rFonts w:ascii="Times New Roman" w:hAnsi="Times New Roman"/>
                <w:sz w:val="20"/>
                <w:szCs w:val="20"/>
              </w:rPr>
              <w:t>- Faire jouer la transparence dans les procédures de recrutement de la main d’œuvre locale ;</w:t>
            </w:r>
          </w:p>
          <w:p w:rsidR="00764FFF" w:rsidRPr="00AA45E9" w:rsidRDefault="00764FFF" w:rsidP="00764FFF">
            <w:pPr>
              <w:autoSpaceDE w:val="0"/>
              <w:autoSpaceDN w:val="0"/>
              <w:adjustRightInd w:val="0"/>
              <w:spacing w:after="0" w:line="276" w:lineRule="auto"/>
              <w:jc w:val="both"/>
              <w:rPr>
                <w:rFonts w:ascii="Times New Roman" w:hAnsi="Times New Roman"/>
                <w:sz w:val="20"/>
                <w:szCs w:val="20"/>
              </w:rPr>
            </w:pPr>
            <w:r w:rsidRPr="00AA45E9">
              <w:rPr>
                <w:rFonts w:ascii="Times New Roman" w:hAnsi="Times New Roman"/>
                <w:sz w:val="20"/>
                <w:szCs w:val="20"/>
              </w:rPr>
              <w:t>- Favoriser, pour les emplois non qualifiés, le recrutement direct sans intermédiaire des jeunes des quartiers ou villages ;</w:t>
            </w:r>
          </w:p>
          <w:p w:rsidR="00764FFF" w:rsidRPr="00AA45E9" w:rsidRDefault="00764FFF" w:rsidP="00764FFF">
            <w:pPr>
              <w:autoSpaceDE w:val="0"/>
              <w:autoSpaceDN w:val="0"/>
              <w:adjustRightInd w:val="0"/>
              <w:spacing w:after="0" w:line="276" w:lineRule="auto"/>
              <w:jc w:val="both"/>
              <w:rPr>
                <w:rFonts w:ascii="Times New Roman" w:hAnsi="Times New Roman"/>
                <w:sz w:val="20"/>
                <w:szCs w:val="20"/>
              </w:rPr>
            </w:pPr>
            <w:r w:rsidRPr="00AA45E9">
              <w:rPr>
                <w:rFonts w:ascii="Times New Roman" w:hAnsi="Times New Roman"/>
                <w:sz w:val="20"/>
                <w:szCs w:val="20"/>
              </w:rPr>
              <w:t>- Effectuer les paiements des salaires à temps,</w:t>
            </w:r>
          </w:p>
          <w:p w:rsidR="00764FFF" w:rsidRPr="00AA45E9" w:rsidRDefault="00764FFF" w:rsidP="00764FFF">
            <w:pPr>
              <w:autoSpaceDE w:val="0"/>
              <w:autoSpaceDN w:val="0"/>
              <w:adjustRightInd w:val="0"/>
              <w:spacing w:after="0" w:line="276" w:lineRule="auto"/>
              <w:jc w:val="both"/>
              <w:rPr>
                <w:rFonts w:ascii="Times New Roman" w:hAnsi="Times New Roman"/>
                <w:sz w:val="20"/>
                <w:szCs w:val="20"/>
              </w:rPr>
            </w:pPr>
            <w:r w:rsidRPr="00AA45E9">
              <w:rPr>
                <w:rFonts w:ascii="Times New Roman" w:hAnsi="Times New Roman"/>
                <w:sz w:val="20"/>
                <w:szCs w:val="20"/>
              </w:rPr>
              <w:t>- Respecter le salaire minimum en vigueur ;</w:t>
            </w:r>
          </w:p>
          <w:p w:rsidR="00764FFF" w:rsidRPr="00AA45E9" w:rsidRDefault="00764FFF" w:rsidP="00764FFF">
            <w:pPr>
              <w:autoSpaceDE w:val="0"/>
              <w:autoSpaceDN w:val="0"/>
              <w:adjustRightInd w:val="0"/>
              <w:spacing w:after="0" w:line="276" w:lineRule="auto"/>
              <w:jc w:val="both"/>
              <w:rPr>
                <w:rFonts w:ascii="Times New Roman" w:hAnsi="Times New Roman"/>
                <w:sz w:val="20"/>
                <w:szCs w:val="20"/>
              </w:rPr>
            </w:pPr>
            <w:r w:rsidRPr="00AA45E9">
              <w:rPr>
                <w:rFonts w:ascii="Times New Roman" w:hAnsi="Times New Roman"/>
                <w:sz w:val="20"/>
                <w:szCs w:val="20"/>
              </w:rPr>
              <w:t>-A compétence égale privilégier le recrutement des femmes.</w:t>
            </w:r>
          </w:p>
        </w:tc>
        <w:tc>
          <w:tcPr>
            <w:tcW w:w="2308" w:type="dxa"/>
            <w:tcBorders>
              <w:top w:val="single" w:sz="4" w:space="0" w:color="auto"/>
              <w:left w:val="single" w:sz="4" w:space="0" w:color="auto"/>
              <w:bottom w:val="single" w:sz="4" w:space="0" w:color="auto"/>
              <w:right w:val="single" w:sz="4" w:space="0" w:color="auto"/>
            </w:tcBorders>
            <w:vAlign w:val="center"/>
          </w:tcPr>
          <w:p w:rsidR="00764FFF" w:rsidRPr="00AA45E9" w:rsidRDefault="00764FFF" w:rsidP="00764FFF">
            <w:pPr>
              <w:autoSpaceDE w:val="0"/>
              <w:autoSpaceDN w:val="0"/>
              <w:adjustRightInd w:val="0"/>
              <w:spacing w:after="0" w:line="276" w:lineRule="auto"/>
              <w:rPr>
                <w:rFonts w:ascii="Times New Roman" w:hAnsi="Times New Roman"/>
                <w:sz w:val="20"/>
                <w:szCs w:val="20"/>
              </w:rPr>
            </w:pPr>
            <w:r w:rsidRPr="00AA45E9">
              <w:rPr>
                <w:rFonts w:ascii="Times New Roman" w:hAnsi="Times New Roman"/>
                <w:sz w:val="20"/>
                <w:szCs w:val="20"/>
              </w:rPr>
              <w:t>-Nombre de jeunes habitants embauchés</w:t>
            </w:r>
          </w:p>
          <w:p w:rsidR="00764FFF" w:rsidRPr="00AA45E9" w:rsidRDefault="00764FFF" w:rsidP="00764FFF">
            <w:pPr>
              <w:autoSpaceDE w:val="0"/>
              <w:autoSpaceDN w:val="0"/>
              <w:adjustRightInd w:val="0"/>
              <w:spacing w:after="0" w:line="276" w:lineRule="auto"/>
              <w:rPr>
                <w:rFonts w:ascii="Times New Roman" w:hAnsi="Times New Roman"/>
                <w:sz w:val="20"/>
                <w:szCs w:val="20"/>
              </w:rPr>
            </w:pPr>
            <w:r w:rsidRPr="00AA45E9">
              <w:rPr>
                <w:rFonts w:ascii="Times New Roman" w:hAnsi="Times New Roman"/>
                <w:sz w:val="20"/>
                <w:szCs w:val="20"/>
              </w:rPr>
              <w:t>- Présence des bulletins de salaire</w:t>
            </w:r>
          </w:p>
          <w:p w:rsidR="00764FFF" w:rsidRPr="00AA45E9" w:rsidRDefault="00764FFF" w:rsidP="00764FFF">
            <w:pPr>
              <w:autoSpaceDE w:val="0"/>
              <w:autoSpaceDN w:val="0"/>
              <w:adjustRightInd w:val="0"/>
              <w:spacing w:after="0" w:line="276" w:lineRule="auto"/>
              <w:rPr>
                <w:rFonts w:ascii="Times New Roman" w:hAnsi="Times New Roman"/>
                <w:sz w:val="20"/>
                <w:szCs w:val="20"/>
              </w:rPr>
            </w:pPr>
            <w:r w:rsidRPr="00AA45E9">
              <w:rPr>
                <w:rFonts w:ascii="Times New Roman" w:hAnsi="Times New Roman"/>
                <w:sz w:val="20"/>
                <w:szCs w:val="20"/>
              </w:rPr>
              <w:t>-Nombre de femme embauchés</w:t>
            </w:r>
          </w:p>
        </w:tc>
        <w:tc>
          <w:tcPr>
            <w:tcW w:w="1275"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764FFF" w:rsidRPr="002407EF" w:rsidRDefault="00764FFF" w:rsidP="00764FFF">
            <w:pPr>
              <w:autoSpaceDE w:val="0"/>
              <w:autoSpaceDN w:val="0"/>
              <w:adjustRightInd w:val="0"/>
              <w:spacing w:after="0" w:line="276" w:lineRule="auto"/>
              <w:jc w:val="center"/>
              <w:rPr>
                <w:rFonts w:ascii="Times New Roman" w:hAnsi="Times New Roman"/>
                <w:b/>
              </w:rPr>
            </w:pPr>
            <w:r w:rsidRPr="002407EF">
              <w:rPr>
                <w:rFonts w:ascii="Times New Roman" w:hAnsi="Times New Roman"/>
                <w:b/>
              </w:rPr>
              <w:t xml:space="preserve">Entreprise </w:t>
            </w:r>
          </w:p>
          <w:p w:rsidR="00764FFF" w:rsidRPr="002407EF" w:rsidRDefault="00764FFF" w:rsidP="00764FFF">
            <w:pPr>
              <w:autoSpaceDE w:val="0"/>
              <w:autoSpaceDN w:val="0"/>
              <w:adjustRightInd w:val="0"/>
              <w:spacing w:after="0" w:line="276" w:lineRule="auto"/>
              <w:jc w:val="center"/>
              <w:rPr>
                <w:rFonts w:ascii="Times New Roman" w:hAnsi="Times New Roman"/>
                <w:b/>
              </w:rPr>
            </w:pPr>
          </w:p>
          <w:p w:rsidR="00000F84" w:rsidRPr="002407EF" w:rsidRDefault="00000F84" w:rsidP="00764FFF">
            <w:pPr>
              <w:autoSpaceDE w:val="0"/>
              <w:autoSpaceDN w:val="0"/>
              <w:adjustRightInd w:val="0"/>
              <w:spacing w:after="0" w:line="276" w:lineRule="auto"/>
              <w:jc w:val="center"/>
              <w:rPr>
                <w:rFonts w:ascii="Times New Roman" w:hAnsi="Times New Roman"/>
                <w:b/>
              </w:rPr>
            </w:pPr>
            <w:r w:rsidRPr="002407EF">
              <w:rPr>
                <w:rFonts w:ascii="Times New Roman" w:hAnsi="Times New Roman"/>
                <w:b/>
              </w:rPr>
              <w:t xml:space="preserve">Mairie de </w:t>
            </w:r>
          </w:p>
          <w:p w:rsidR="00000F84" w:rsidRPr="002407EF" w:rsidRDefault="00000F84" w:rsidP="00764FFF">
            <w:pPr>
              <w:autoSpaceDE w:val="0"/>
              <w:autoSpaceDN w:val="0"/>
              <w:adjustRightInd w:val="0"/>
              <w:spacing w:after="0" w:line="276" w:lineRule="auto"/>
              <w:jc w:val="center"/>
              <w:rPr>
                <w:rFonts w:ascii="Times New Roman" w:hAnsi="Times New Roman"/>
                <w:b/>
              </w:rPr>
            </w:pPr>
            <w:r w:rsidRPr="002407EF">
              <w:rPr>
                <w:rFonts w:ascii="Times New Roman" w:hAnsi="Times New Roman"/>
                <w:b/>
              </w:rPr>
              <w:t>Prabis,</w:t>
            </w:r>
          </w:p>
          <w:p w:rsidR="00000F84" w:rsidRPr="002407EF" w:rsidRDefault="003240F3" w:rsidP="00764FFF">
            <w:pPr>
              <w:autoSpaceDE w:val="0"/>
              <w:autoSpaceDN w:val="0"/>
              <w:adjustRightInd w:val="0"/>
              <w:spacing w:after="0" w:line="276" w:lineRule="auto"/>
              <w:jc w:val="center"/>
              <w:rPr>
                <w:rFonts w:ascii="Times New Roman" w:hAnsi="Times New Roman"/>
                <w:b/>
              </w:rPr>
            </w:pPr>
            <w:r w:rsidRPr="002407EF">
              <w:rPr>
                <w:rFonts w:ascii="Times New Roman" w:hAnsi="Times New Roman"/>
                <w:b/>
              </w:rPr>
              <w:t>de</w:t>
            </w:r>
            <w:r w:rsidR="00000F84" w:rsidRPr="002407EF">
              <w:rPr>
                <w:rFonts w:ascii="Times New Roman" w:hAnsi="Times New Roman"/>
                <w:b/>
              </w:rPr>
              <w:t xml:space="preserve"> Safim et de </w:t>
            </w:r>
          </w:p>
          <w:p w:rsidR="00764FFF" w:rsidRPr="002407EF" w:rsidRDefault="00764FFF" w:rsidP="00764FFF">
            <w:pPr>
              <w:autoSpaceDE w:val="0"/>
              <w:autoSpaceDN w:val="0"/>
              <w:adjustRightInd w:val="0"/>
              <w:spacing w:after="0" w:line="276" w:lineRule="auto"/>
              <w:jc w:val="center"/>
              <w:rPr>
                <w:rFonts w:ascii="Times New Roman" w:hAnsi="Times New Roman"/>
                <w:b/>
              </w:rPr>
            </w:pPr>
            <w:r w:rsidRPr="002407EF">
              <w:rPr>
                <w:rFonts w:ascii="Times New Roman" w:hAnsi="Times New Roman"/>
                <w:b/>
              </w:rPr>
              <w:t xml:space="preserve"> Bissau</w:t>
            </w:r>
          </w:p>
        </w:tc>
        <w:tc>
          <w:tcPr>
            <w:tcW w:w="1701"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764FFF" w:rsidRPr="002407EF" w:rsidRDefault="00000F84" w:rsidP="00764FFF">
            <w:pPr>
              <w:autoSpaceDE w:val="0"/>
              <w:autoSpaceDN w:val="0"/>
              <w:adjustRightInd w:val="0"/>
              <w:spacing w:after="0" w:line="276" w:lineRule="auto"/>
              <w:jc w:val="center"/>
              <w:rPr>
                <w:rFonts w:ascii="Times New Roman" w:hAnsi="Times New Roman"/>
                <w:b/>
              </w:rPr>
            </w:pPr>
            <w:r w:rsidRPr="002407EF">
              <w:rPr>
                <w:rFonts w:ascii="Times New Roman" w:hAnsi="Times New Roman"/>
                <w:b/>
              </w:rPr>
              <w:t>PUASEE-FA</w:t>
            </w:r>
          </w:p>
          <w:p w:rsidR="00764FFF" w:rsidRPr="002407EF" w:rsidRDefault="00764FFF" w:rsidP="00764FFF">
            <w:pPr>
              <w:autoSpaceDE w:val="0"/>
              <w:autoSpaceDN w:val="0"/>
              <w:adjustRightInd w:val="0"/>
              <w:spacing w:after="0" w:line="276" w:lineRule="auto"/>
              <w:jc w:val="center"/>
              <w:rPr>
                <w:rFonts w:ascii="Times New Roman" w:hAnsi="Times New Roman"/>
                <w:b/>
              </w:rPr>
            </w:pPr>
            <w:r w:rsidRPr="002407EF">
              <w:rPr>
                <w:rFonts w:ascii="Times New Roman" w:hAnsi="Times New Roman"/>
                <w:b/>
              </w:rPr>
              <w:t>Mairie</w:t>
            </w:r>
          </w:p>
          <w:p w:rsidR="00764FFF" w:rsidRPr="002407EF" w:rsidRDefault="00764FFF" w:rsidP="00764FFF">
            <w:pPr>
              <w:autoSpaceDE w:val="0"/>
              <w:autoSpaceDN w:val="0"/>
              <w:adjustRightInd w:val="0"/>
              <w:spacing w:after="0" w:line="276" w:lineRule="auto"/>
              <w:jc w:val="center"/>
              <w:rPr>
                <w:rFonts w:ascii="Times New Roman" w:hAnsi="Times New Roman"/>
                <w:b/>
              </w:rPr>
            </w:pPr>
            <w:r w:rsidRPr="002407EF">
              <w:rPr>
                <w:rFonts w:ascii="Times New Roman" w:hAnsi="Times New Roman"/>
                <w:b/>
              </w:rPr>
              <w:t>MDC</w:t>
            </w:r>
          </w:p>
        </w:tc>
        <w:tc>
          <w:tcPr>
            <w:tcW w:w="1418" w:type="dxa"/>
            <w:tcBorders>
              <w:top w:val="single" w:sz="4" w:space="0" w:color="auto"/>
              <w:left w:val="single" w:sz="4" w:space="0" w:color="auto"/>
              <w:bottom w:val="single" w:sz="4" w:space="0" w:color="auto"/>
              <w:right w:val="single" w:sz="4" w:space="0" w:color="auto"/>
            </w:tcBorders>
            <w:vAlign w:val="center"/>
          </w:tcPr>
          <w:p w:rsidR="00764FFF" w:rsidRPr="00AA45E9" w:rsidRDefault="00764FFF" w:rsidP="00764FFF">
            <w:pPr>
              <w:autoSpaceDE w:val="0"/>
              <w:autoSpaceDN w:val="0"/>
              <w:adjustRightInd w:val="0"/>
              <w:spacing w:after="0" w:line="276" w:lineRule="auto"/>
              <w:jc w:val="center"/>
              <w:rPr>
                <w:rFonts w:ascii="Times New Roman" w:hAnsi="Times New Roman"/>
              </w:rPr>
            </w:pPr>
            <w:r w:rsidRPr="00AA45E9">
              <w:rPr>
                <w:rFonts w:ascii="Times New Roman" w:hAnsi="Times New Roman"/>
              </w:rPr>
              <w:t>Durant les travaux / Mensuelle</w:t>
            </w:r>
          </w:p>
        </w:tc>
        <w:tc>
          <w:tcPr>
            <w:tcW w:w="1374"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rsidR="00764FFF" w:rsidRPr="00AA45E9" w:rsidRDefault="00764FFF" w:rsidP="00764FFF">
            <w:pPr>
              <w:autoSpaceDE w:val="0"/>
              <w:autoSpaceDN w:val="0"/>
              <w:adjustRightInd w:val="0"/>
              <w:spacing w:after="0" w:line="276" w:lineRule="auto"/>
              <w:jc w:val="center"/>
              <w:rPr>
                <w:rFonts w:ascii="Times New Roman" w:hAnsi="Times New Roman"/>
                <w:b/>
              </w:rPr>
            </w:pPr>
            <w:r w:rsidRPr="00AA45E9">
              <w:rPr>
                <w:rFonts w:ascii="Times New Roman" w:hAnsi="Times New Roman"/>
                <w:b/>
              </w:rPr>
              <w:t>Coût associé au projet</w:t>
            </w:r>
          </w:p>
        </w:tc>
        <w:tc>
          <w:tcPr>
            <w:tcW w:w="1326" w:type="dxa"/>
            <w:tcBorders>
              <w:top w:val="single" w:sz="4" w:space="0" w:color="auto"/>
              <w:left w:val="single" w:sz="4" w:space="0" w:color="auto"/>
              <w:bottom w:val="single" w:sz="4" w:space="0" w:color="auto"/>
              <w:right w:val="single" w:sz="4" w:space="0" w:color="auto"/>
            </w:tcBorders>
            <w:vAlign w:val="center"/>
          </w:tcPr>
          <w:p w:rsidR="00764FFF" w:rsidRPr="00AA45E9" w:rsidRDefault="00764FFF" w:rsidP="00764FFF">
            <w:pPr>
              <w:autoSpaceDE w:val="0"/>
              <w:autoSpaceDN w:val="0"/>
              <w:adjustRightInd w:val="0"/>
              <w:spacing w:after="0" w:line="276" w:lineRule="auto"/>
              <w:jc w:val="center"/>
              <w:rPr>
                <w:rFonts w:ascii="Times New Roman" w:hAnsi="Times New Roman"/>
                <w:sz w:val="20"/>
                <w:szCs w:val="20"/>
              </w:rPr>
            </w:pPr>
            <w:r w:rsidRPr="00AA45E9">
              <w:rPr>
                <w:rFonts w:ascii="Times New Roman" w:hAnsi="Times New Roman"/>
                <w:sz w:val="20"/>
                <w:szCs w:val="20"/>
              </w:rPr>
              <w:t>Coût inclus dans le protocole d’accord entre le promoteur et le CRS</w:t>
            </w:r>
          </w:p>
        </w:tc>
      </w:tr>
      <w:tr w:rsidR="00764FFF" w:rsidRPr="00AA45E9" w:rsidTr="002407EF">
        <w:trPr>
          <w:trHeight w:val="1739"/>
          <w:jc w:val="center"/>
        </w:trPr>
        <w:tc>
          <w:tcPr>
            <w:tcW w:w="1418" w:type="dxa"/>
            <w:vMerge/>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rsidR="00764FFF" w:rsidRPr="00AA45E9" w:rsidRDefault="00764FFF" w:rsidP="00764FFF">
            <w:pPr>
              <w:autoSpaceDE w:val="0"/>
              <w:autoSpaceDN w:val="0"/>
              <w:adjustRightInd w:val="0"/>
              <w:spacing w:after="0" w:line="276" w:lineRule="auto"/>
              <w:jc w:val="center"/>
              <w:rPr>
                <w:rFonts w:ascii="Times New Roman" w:hAnsi="Times New Roman"/>
                <w:b/>
                <w:bCs/>
                <w:sz w:val="20"/>
                <w:szCs w:val="20"/>
              </w:rPr>
            </w:pPr>
          </w:p>
        </w:tc>
        <w:tc>
          <w:tcPr>
            <w:tcW w:w="1843" w:type="dxa"/>
            <w:tcBorders>
              <w:top w:val="single" w:sz="4" w:space="0" w:color="auto"/>
              <w:left w:val="single" w:sz="4" w:space="0" w:color="auto"/>
              <w:bottom w:val="single" w:sz="4" w:space="0" w:color="auto"/>
              <w:right w:val="single" w:sz="4" w:space="0" w:color="auto"/>
            </w:tcBorders>
            <w:vAlign w:val="center"/>
          </w:tcPr>
          <w:p w:rsidR="00764FFF" w:rsidRPr="00AA45E9" w:rsidRDefault="00764FFF" w:rsidP="00764FFF">
            <w:pPr>
              <w:autoSpaceDE w:val="0"/>
              <w:autoSpaceDN w:val="0"/>
              <w:adjustRightInd w:val="0"/>
              <w:spacing w:after="0" w:line="276" w:lineRule="auto"/>
              <w:jc w:val="center"/>
              <w:rPr>
                <w:rFonts w:ascii="Times New Roman" w:hAnsi="Times New Roman"/>
                <w:sz w:val="20"/>
                <w:szCs w:val="20"/>
              </w:rPr>
            </w:pPr>
            <w:r w:rsidRPr="00AA45E9">
              <w:rPr>
                <w:rFonts w:ascii="Times New Roman" w:hAnsi="Times New Roman"/>
                <w:sz w:val="20"/>
                <w:szCs w:val="20"/>
              </w:rPr>
              <w:t>Opportunités d’affaires pour des opérateurs économiques privés</w:t>
            </w:r>
          </w:p>
        </w:tc>
        <w:tc>
          <w:tcPr>
            <w:tcW w:w="3118" w:type="dxa"/>
            <w:tcBorders>
              <w:top w:val="single" w:sz="4" w:space="0" w:color="auto"/>
              <w:left w:val="single" w:sz="4" w:space="0" w:color="auto"/>
              <w:bottom w:val="single" w:sz="4" w:space="0" w:color="auto"/>
              <w:right w:val="single" w:sz="4" w:space="0" w:color="auto"/>
            </w:tcBorders>
            <w:vAlign w:val="center"/>
          </w:tcPr>
          <w:p w:rsidR="00764FFF" w:rsidRPr="00AA45E9" w:rsidRDefault="00764FFF" w:rsidP="00764FFF">
            <w:pPr>
              <w:autoSpaceDE w:val="0"/>
              <w:autoSpaceDN w:val="0"/>
              <w:adjustRightInd w:val="0"/>
              <w:spacing w:after="0" w:line="276" w:lineRule="auto"/>
              <w:jc w:val="both"/>
              <w:rPr>
                <w:rFonts w:ascii="Times New Roman" w:hAnsi="Times New Roman"/>
                <w:sz w:val="20"/>
                <w:szCs w:val="20"/>
              </w:rPr>
            </w:pPr>
            <w:r w:rsidRPr="00AA45E9">
              <w:rPr>
                <w:rFonts w:ascii="Times New Roman" w:hAnsi="Times New Roman"/>
                <w:sz w:val="20"/>
                <w:szCs w:val="20"/>
              </w:rPr>
              <w:t>- Mettre l’accent sur la concurrence lors de l’appel d’offre en prenant en compte la qualité des matériaux ;</w:t>
            </w:r>
          </w:p>
          <w:p w:rsidR="00764FFF" w:rsidRPr="00AA45E9" w:rsidRDefault="005B6AE4" w:rsidP="00764FFF">
            <w:pPr>
              <w:autoSpaceDE w:val="0"/>
              <w:autoSpaceDN w:val="0"/>
              <w:adjustRightInd w:val="0"/>
              <w:spacing w:after="0" w:line="276" w:lineRule="auto"/>
              <w:jc w:val="both"/>
              <w:rPr>
                <w:rFonts w:ascii="Times New Roman" w:hAnsi="Times New Roman"/>
                <w:sz w:val="20"/>
                <w:szCs w:val="20"/>
              </w:rPr>
            </w:pPr>
            <w:r>
              <w:rPr>
                <w:rFonts w:ascii="Times New Roman" w:hAnsi="Times New Roman"/>
                <w:sz w:val="20"/>
                <w:szCs w:val="20"/>
              </w:rPr>
              <w:t xml:space="preserve">- </w:t>
            </w:r>
            <w:r w:rsidR="00764FFF" w:rsidRPr="00AA45E9">
              <w:rPr>
                <w:rFonts w:ascii="Times New Roman" w:hAnsi="Times New Roman"/>
                <w:sz w:val="20"/>
                <w:szCs w:val="20"/>
              </w:rPr>
              <w:t>Passer des contrats avec des sociétés légalement constituées</w:t>
            </w:r>
            <w:r w:rsidR="00DA676F">
              <w:rPr>
                <w:rFonts w:ascii="Times New Roman" w:hAnsi="Times New Roman"/>
                <w:sz w:val="20"/>
                <w:szCs w:val="20"/>
              </w:rPr>
              <w:t> ;</w:t>
            </w:r>
          </w:p>
          <w:p w:rsidR="00764FFF" w:rsidRPr="00AA45E9" w:rsidRDefault="00764FFF" w:rsidP="00764FFF">
            <w:pPr>
              <w:autoSpaceDE w:val="0"/>
              <w:autoSpaceDN w:val="0"/>
              <w:adjustRightInd w:val="0"/>
              <w:spacing w:after="0" w:line="276" w:lineRule="auto"/>
              <w:jc w:val="both"/>
              <w:rPr>
                <w:rFonts w:ascii="Times New Roman" w:hAnsi="Times New Roman"/>
                <w:sz w:val="20"/>
                <w:szCs w:val="20"/>
              </w:rPr>
            </w:pPr>
            <w:r w:rsidRPr="00AA45E9">
              <w:rPr>
                <w:rFonts w:ascii="Times New Roman" w:hAnsi="Times New Roman"/>
                <w:sz w:val="20"/>
                <w:szCs w:val="20"/>
              </w:rPr>
              <w:t>- Privilégier les entreprises locales</w:t>
            </w:r>
            <w:r w:rsidR="00DA676F">
              <w:rPr>
                <w:rFonts w:ascii="Times New Roman" w:hAnsi="Times New Roman"/>
                <w:sz w:val="20"/>
                <w:szCs w:val="20"/>
              </w:rPr>
              <w:t> ;</w:t>
            </w:r>
          </w:p>
        </w:tc>
        <w:tc>
          <w:tcPr>
            <w:tcW w:w="2308" w:type="dxa"/>
            <w:tcBorders>
              <w:top w:val="single" w:sz="4" w:space="0" w:color="auto"/>
              <w:left w:val="single" w:sz="4" w:space="0" w:color="auto"/>
              <w:bottom w:val="single" w:sz="4" w:space="0" w:color="auto"/>
              <w:right w:val="single" w:sz="4" w:space="0" w:color="auto"/>
            </w:tcBorders>
            <w:vAlign w:val="center"/>
          </w:tcPr>
          <w:p w:rsidR="00764FFF" w:rsidRPr="00AA45E9" w:rsidRDefault="00764FFF" w:rsidP="00764FFF">
            <w:pPr>
              <w:autoSpaceDE w:val="0"/>
              <w:autoSpaceDN w:val="0"/>
              <w:adjustRightInd w:val="0"/>
              <w:spacing w:after="0" w:line="276" w:lineRule="auto"/>
              <w:rPr>
                <w:rFonts w:ascii="Times New Roman" w:hAnsi="Times New Roman"/>
                <w:sz w:val="20"/>
                <w:szCs w:val="20"/>
              </w:rPr>
            </w:pPr>
            <w:r w:rsidRPr="00AA45E9">
              <w:rPr>
                <w:rFonts w:ascii="Times New Roman" w:hAnsi="Times New Roman"/>
                <w:sz w:val="20"/>
                <w:szCs w:val="20"/>
              </w:rPr>
              <w:t>-Nombre d’entreprises locales recrutées pour les travaux</w:t>
            </w:r>
            <w:r w:rsidR="00DA676F">
              <w:rPr>
                <w:rFonts w:ascii="Times New Roman" w:hAnsi="Times New Roman"/>
                <w:sz w:val="20"/>
                <w:szCs w:val="20"/>
              </w:rPr>
              <w:t> ;</w:t>
            </w:r>
          </w:p>
          <w:p w:rsidR="00764FFF" w:rsidRDefault="00764FFF" w:rsidP="00764FFF">
            <w:pPr>
              <w:autoSpaceDE w:val="0"/>
              <w:autoSpaceDN w:val="0"/>
              <w:adjustRightInd w:val="0"/>
              <w:spacing w:after="0" w:line="240" w:lineRule="auto"/>
              <w:rPr>
                <w:rFonts w:ascii="Times New Roman" w:hAnsi="Times New Roman"/>
                <w:sz w:val="20"/>
                <w:szCs w:val="20"/>
              </w:rPr>
            </w:pPr>
            <w:r w:rsidRPr="00AA45E9">
              <w:rPr>
                <w:rFonts w:ascii="Times New Roman" w:hAnsi="Times New Roman"/>
                <w:sz w:val="20"/>
                <w:szCs w:val="20"/>
              </w:rPr>
              <w:t>-Présence du contrat</w:t>
            </w:r>
            <w:r w:rsidR="00DA676F">
              <w:rPr>
                <w:rFonts w:ascii="Times New Roman" w:hAnsi="Times New Roman"/>
                <w:sz w:val="20"/>
                <w:szCs w:val="20"/>
              </w:rPr>
              <w:t> ;</w:t>
            </w:r>
          </w:p>
          <w:p w:rsidR="00DA676F" w:rsidRPr="00AA45E9" w:rsidRDefault="00DA676F" w:rsidP="00DA676F">
            <w:pPr>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-Présence des facture</w:t>
            </w:r>
            <w:r w:rsidR="008339CF">
              <w:rPr>
                <w:rFonts w:ascii="Times New Roman" w:hAnsi="Times New Roman"/>
                <w:sz w:val="20"/>
                <w:szCs w:val="20"/>
              </w:rPr>
              <w:t>s</w:t>
            </w:r>
            <w:r>
              <w:rPr>
                <w:rFonts w:ascii="Times New Roman" w:hAnsi="Times New Roman"/>
                <w:sz w:val="20"/>
                <w:szCs w:val="20"/>
              </w:rPr>
              <w:t xml:space="preserve"> d’achat des matériaux ;</w:t>
            </w:r>
          </w:p>
        </w:tc>
        <w:tc>
          <w:tcPr>
            <w:tcW w:w="1275"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764FFF" w:rsidRPr="002407EF" w:rsidRDefault="00DA676F" w:rsidP="00764FFF">
            <w:pPr>
              <w:autoSpaceDE w:val="0"/>
              <w:autoSpaceDN w:val="0"/>
              <w:adjustRightInd w:val="0"/>
              <w:spacing w:after="0" w:line="276" w:lineRule="auto"/>
              <w:jc w:val="center"/>
              <w:rPr>
                <w:rFonts w:ascii="Times New Roman" w:hAnsi="Times New Roman"/>
                <w:b/>
              </w:rPr>
            </w:pPr>
            <w:r w:rsidRPr="002407EF">
              <w:rPr>
                <w:rFonts w:ascii="Times New Roman" w:hAnsi="Times New Roman"/>
                <w:b/>
              </w:rPr>
              <w:t>PUASEE-FA</w:t>
            </w:r>
          </w:p>
          <w:p w:rsidR="00DA676F" w:rsidRPr="002407EF" w:rsidRDefault="00DA676F" w:rsidP="00764FFF">
            <w:pPr>
              <w:autoSpaceDE w:val="0"/>
              <w:autoSpaceDN w:val="0"/>
              <w:adjustRightInd w:val="0"/>
              <w:spacing w:after="0" w:line="276" w:lineRule="auto"/>
              <w:jc w:val="center"/>
              <w:rPr>
                <w:rFonts w:ascii="Times New Roman" w:hAnsi="Times New Roman"/>
                <w:b/>
              </w:rPr>
            </w:pPr>
            <w:r w:rsidRPr="002407EF">
              <w:rPr>
                <w:rFonts w:ascii="Times New Roman" w:hAnsi="Times New Roman"/>
                <w:b/>
              </w:rPr>
              <w:t>Entreprise</w:t>
            </w:r>
          </w:p>
        </w:tc>
        <w:tc>
          <w:tcPr>
            <w:tcW w:w="1701"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764FFF" w:rsidRPr="002407EF" w:rsidRDefault="00DA676F" w:rsidP="00764FFF">
            <w:pPr>
              <w:autoSpaceDE w:val="0"/>
              <w:autoSpaceDN w:val="0"/>
              <w:adjustRightInd w:val="0"/>
              <w:spacing w:after="0" w:line="276" w:lineRule="auto"/>
              <w:jc w:val="center"/>
              <w:rPr>
                <w:rFonts w:ascii="Times New Roman" w:hAnsi="Times New Roman"/>
                <w:b/>
              </w:rPr>
            </w:pPr>
            <w:r w:rsidRPr="002407EF">
              <w:rPr>
                <w:rFonts w:ascii="Times New Roman" w:hAnsi="Times New Roman"/>
                <w:b/>
              </w:rPr>
              <w:t>MDC</w:t>
            </w:r>
          </w:p>
          <w:p w:rsidR="00DA676F" w:rsidRPr="002407EF" w:rsidRDefault="00DA676F" w:rsidP="00764FFF">
            <w:pPr>
              <w:autoSpaceDE w:val="0"/>
              <w:autoSpaceDN w:val="0"/>
              <w:adjustRightInd w:val="0"/>
              <w:spacing w:after="0" w:line="276" w:lineRule="auto"/>
              <w:jc w:val="center"/>
              <w:rPr>
                <w:rFonts w:ascii="Times New Roman" w:hAnsi="Times New Roman"/>
                <w:b/>
              </w:rPr>
            </w:pPr>
          </w:p>
          <w:p w:rsidR="00DA676F" w:rsidRPr="002407EF" w:rsidRDefault="00DA676F" w:rsidP="00764FFF">
            <w:pPr>
              <w:autoSpaceDE w:val="0"/>
              <w:autoSpaceDN w:val="0"/>
              <w:adjustRightInd w:val="0"/>
              <w:spacing w:after="0" w:line="276" w:lineRule="auto"/>
              <w:jc w:val="center"/>
              <w:rPr>
                <w:rFonts w:ascii="Times New Roman" w:hAnsi="Times New Roman"/>
                <w:b/>
              </w:rPr>
            </w:pPr>
            <w:r w:rsidRPr="002407EF">
              <w:rPr>
                <w:rFonts w:ascii="Times New Roman" w:hAnsi="Times New Roman"/>
                <w:b/>
              </w:rPr>
              <w:t>PUASEE-FA</w:t>
            </w:r>
          </w:p>
        </w:tc>
        <w:tc>
          <w:tcPr>
            <w:tcW w:w="1418" w:type="dxa"/>
            <w:tcBorders>
              <w:top w:val="single" w:sz="4" w:space="0" w:color="auto"/>
              <w:left w:val="single" w:sz="4" w:space="0" w:color="auto"/>
              <w:bottom w:val="single" w:sz="4" w:space="0" w:color="auto"/>
              <w:right w:val="single" w:sz="4" w:space="0" w:color="auto"/>
            </w:tcBorders>
            <w:vAlign w:val="center"/>
          </w:tcPr>
          <w:p w:rsidR="00764FFF" w:rsidRPr="00AA45E9" w:rsidRDefault="00764FFF" w:rsidP="00764FFF">
            <w:pPr>
              <w:autoSpaceDE w:val="0"/>
              <w:autoSpaceDN w:val="0"/>
              <w:adjustRightInd w:val="0"/>
              <w:spacing w:after="0" w:line="276" w:lineRule="auto"/>
              <w:jc w:val="center"/>
              <w:rPr>
                <w:rFonts w:ascii="Times New Roman" w:hAnsi="Times New Roman"/>
              </w:rPr>
            </w:pPr>
            <w:r w:rsidRPr="00AA45E9">
              <w:rPr>
                <w:rFonts w:ascii="Times New Roman" w:hAnsi="Times New Roman"/>
              </w:rPr>
              <w:t>Avant les travaux / A chaque appel d’offre</w:t>
            </w:r>
          </w:p>
        </w:tc>
        <w:tc>
          <w:tcPr>
            <w:tcW w:w="1374"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rsidR="00764FFF" w:rsidRPr="00AA45E9" w:rsidRDefault="00764FFF" w:rsidP="00764FFF">
            <w:pPr>
              <w:autoSpaceDE w:val="0"/>
              <w:autoSpaceDN w:val="0"/>
              <w:adjustRightInd w:val="0"/>
              <w:spacing w:after="0" w:line="276" w:lineRule="auto"/>
              <w:jc w:val="center"/>
              <w:rPr>
                <w:rFonts w:ascii="Times New Roman" w:hAnsi="Times New Roman"/>
                <w:b/>
              </w:rPr>
            </w:pPr>
            <w:r w:rsidRPr="00AA45E9">
              <w:rPr>
                <w:rFonts w:ascii="Times New Roman" w:hAnsi="Times New Roman"/>
                <w:b/>
              </w:rPr>
              <w:t>Coût associé au projet</w:t>
            </w:r>
          </w:p>
        </w:tc>
        <w:tc>
          <w:tcPr>
            <w:tcW w:w="1326" w:type="dxa"/>
            <w:tcBorders>
              <w:top w:val="single" w:sz="4" w:space="0" w:color="auto"/>
              <w:left w:val="single" w:sz="4" w:space="0" w:color="auto"/>
              <w:bottom w:val="single" w:sz="4" w:space="0" w:color="auto"/>
              <w:right w:val="single" w:sz="4" w:space="0" w:color="auto"/>
            </w:tcBorders>
            <w:vAlign w:val="center"/>
          </w:tcPr>
          <w:p w:rsidR="00764FFF" w:rsidRPr="00AA45E9" w:rsidRDefault="00764FFF" w:rsidP="00764FFF">
            <w:pPr>
              <w:autoSpaceDE w:val="0"/>
              <w:autoSpaceDN w:val="0"/>
              <w:adjustRightInd w:val="0"/>
              <w:spacing w:after="0" w:line="276" w:lineRule="auto"/>
              <w:jc w:val="center"/>
              <w:rPr>
                <w:rFonts w:ascii="Times New Roman" w:hAnsi="Times New Roman"/>
                <w:sz w:val="20"/>
                <w:szCs w:val="20"/>
              </w:rPr>
            </w:pPr>
            <w:r w:rsidRPr="00AA45E9">
              <w:rPr>
                <w:rFonts w:ascii="Times New Roman" w:hAnsi="Times New Roman"/>
                <w:sz w:val="20"/>
                <w:szCs w:val="20"/>
              </w:rPr>
              <w:t>Coût inclus dans le protocole d’accord entre le promoteur et le CRS</w:t>
            </w:r>
          </w:p>
        </w:tc>
      </w:tr>
      <w:tr w:rsidR="00764FFF" w:rsidRPr="00AA45E9" w:rsidTr="002407EF">
        <w:trPr>
          <w:trHeight w:val="699"/>
          <w:jc w:val="center"/>
        </w:trPr>
        <w:tc>
          <w:tcPr>
            <w:tcW w:w="1418" w:type="dxa"/>
            <w:vMerge/>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rsidR="00764FFF" w:rsidRPr="00AA45E9" w:rsidRDefault="00764FFF" w:rsidP="00764FFF">
            <w:pPr>
              <w:autoSpaceDE w:val="0"/>
              <w:autoSpaceDN w:val="0"/>
              <w:adjustRightInd w:val="0"/>
              <w:spacing w:after="0" w:line="276" w:lineRule="auto"/>
              <w:jc w:val="center"/>
              <w:rPr>
                <w:rFonts w:ascii="Times New Roman" w:hAnsi="Times New Roman"/>
                <w:b/>
                <w:bCs/>
                <w:sz w:val="20"/>
                <w:szCs w:val="20"/>
              </w:rPr>
            </w:pPr>
          </w:p>
        </w:tc>
        <w:tc>
          <w:tcPr>
            <w:tcW w:w="1843" w:type="dxa"/>
            <w:tcBorders>
              <w:top w:val="single" w:sz="4" w:space="0" w:color="auto"/>
              <w:left w:val="single" w:sz="4" w:space="0" w:color="auto"/>
              <w:bottom w:val="single" w:sz="4" w:space="0" w:color="auto"/>
              <w:right w:val="single" w:sz="4" w:space="0" w:color="auto"/>
            </w:tcBorders>
            <w:vAlign w:val="center"/>
          </w:tcPr>
          <w:p w:rsidR="00764FFF" w:rsidRPr="00AA45E9" w:rsidRDefault="00764FFF" w:rsidP="00764FFF">
            <w:pPr>
              <w:autoSpaceDE w:val="0"/>
              <w:autoSpaceDN w:val="0"/>
              <w:adjustRightInd w:val="0"/>
              <w:spacing w:after="0" w:line="240" w:lineRule="auto"/>
              <w:jc w:val="center"/>
              <w:rPr>
                <w:rFonts w:ascii="Times New Roman" w:hAnsi="Times New Roman"/>
                <w:sz w:val="20"/>
                <w:szCs w:val="20"/>
              </w:rPr>
            </w:pPr>
            <w:r w:rsidRPr="00AA45E9">
              <w:rPr>
                <w:rFonts w:ascii="Times New Roman" w:hAnsi="Times New Roman"/>
                <w:sz w:val="20"/>
                <w:szCs w:val="20"/>
              </w:rPr>
              <w:t>Augmentation des revenus liés aux emplois directs du projet</w:t>
            </w:r>
            <w:r w:rsidR="00DA676F">
              <w:rPr>
                <w:rFonts w:ascii="Times New Roman" w:hAnsi="Times New Roman"/>
                <w:sz w:val="20"/>
                <w:szCs w:val="20"/>
              </w:rPr>
              <w:t xml:space="preserve"> </w:t>
            </w:r>
          </w:p>
        </w:tc>
        <w:tc>
          <w:tcPr>
            <w:tcW w:w="3118" w:type="dxa"/>
            <w:tcBorders>
              <w:top w:val="single" w:sz="4" w:space="0" w:color="auto"/>
              <w:left w:val="single" w:sz="4" w:space="0" w:color="auto"/>
              <w:bottom w:val="single" w:sz="4" w:space="0" w:color="auto"/>
              <w:right w:val="single" w:sz="4" w:space="0" w:color="auto"/>
            </w:tcBorders>
            <w:vAlign w:val="center"/>
          </w:tcPr>
          <w:p w:rsidR="00764FFF" w:rsidRPr="00AA45E9" w:rsidRDefault="00764FFF" w:rsidP="00764FFF">
            <w:pPr>
              <w:autoSpaceDE w:val="0"/>
              <w:autoSpaceDN w:val="0"/>
              <w:adjustRightInd w:val="0"/>
              <w:spacing w:after="0" w:line="276" w:lineRule="auto"/>
              <w:jc w:val="both"/>
              <w:rPr>
                <w:rFonts w:ascii="Times New Roman" w:hAnsi="Times New Roman"/>
                <w:sz w:val="20"/>
                <w:szCs w:val="20"/>
              </w:rPr>
            </w:pPr>
            <w:r w:rsidRPr="00AA45E9">
              <w:rPr>
                <w:rFonts w:ascii="Times New Roman" w:hAnsi="Times New Roman"/>
                <w:sz w:val="20"/>
                <w:szCs w:val="20"/>
              </w:rPr>
              <w:t>-Mettre en place des zones pour la restauration respectant l’hygiène et la sécurité ;</w:t>
            </w:r>
          </w:p>
          <w:p w:rsidR="00764FFF" w:rsidRDefault="00764FFF" w:rsidP="00764FFF">
            <w:pPr>
              <w:autoSpaceDE w:val="0"/>
              <w:autoSpaceDN w:val="0"/>
              <w:adjustRightInd w:val="0"/>
              <w:spacing w:after="0" w:line="276" w:lineRule="auto"/>
              <w:jc w:val="both"/>
              <w:rPr>
                <w:rFonts w:ascii="Times New Roman" w:hAnsi="Times New Roman"/>
                <w:sz w:val="20"/>
                <w:szCs w:val="20"/>
              </w:rPr>
            </w:pPr>
            <w:r w:rsidRPr="00AA45E9">
              <w:rPr>
                <w:rFonts w:ascii="Times New Roman" w:hAnsi="Times New Roman"/>
                <w:sz w:val="20"/>
                <w:szCs w:val="20"/>
              </w:rPr>
              <w:t>-Respecte</w:t>
            </w:r>
            <w:r w:rsidR="00734810">
              <w:rPr>
                <w:rFonts w:ascii="Times New Roman" w:hAnsi="Times New Roman"/>
                <w:sz w:val="20"/>
                <w:szCs w:val="20"/>
              </w:rPr>
              <w:t>r les cahiers de charge établis ;</w:t>
            </w:r>
          </w:p>
          <w:p w:rsidR="00764FFF" w:rsidRPr="00AA45E9" w:rsidRDefault="00734810" w:rsidP="002F3D79">
            <w:pPr>
              <w:autoSpaceDE w:val="0"/>
              <w:autoSpaceDN w:val="0"/>
              <w:adjustRightInd w:val="0"/>
              <w:spacing w:after="0" w:line="276" w:lineRule="auto"/>
              <w:jc w:val="both"/>
              <w:rPr>
                <w:rFonts w:ascii="Times New Roman" w:hAnsi="Times New Roman"/>
                <w:sz w:val="20"/>
                <w:szCs w:val="20"/>
              </w:rPr>
            </w:pPr>
            <w:r>
              <w:rPr>
                <w:rFonts w:ascii="Times New Roman" w:hAnsi="Times New Roman"/>
                <w:sz w:val="20"/>
                <w:szCs w:val="20"/>
              </w:rPr>
              <w:lastRenderedPageBreak/>
              <w:t>-</w:t>
            </w:r>
            <w:r w:rsidRPr="005B6AE4">
              <w:rPr>
                <w:rFonts w:ascii="Times New Roman" w:hAnsi="Times New Roman"/>
                <w:sz w:val="20"/>
                <w:szCs w:val="20"/>
              </w:rPr>
              <w:t xml:space="preserve">S’approvisionner en </w:t>
            </w:r>
            <w:r w:rsidR="005B6AE4" w:rsidRPr="005B6AE4">
              <w:rPr>
                <w:rFonts w:ascii="Times New Roman" w:hAnsi="Times New Roman"/>
                <w:sz w:val="20"/>
                <w:szCs w:val="20"/>
              </w:rPr>
              <w:t xml:space="preserve">matériaux divers (ciments, fer, béton, etc.) </w:t>
            </w:r>
            <w:r w:rsidR="00F55951" w:rsidRPr="005B6AE4">
              <w:rPr>
                <w:rFonts w:ascii="Times New Roman" w:hAnsi="Times New Roman"/>
                <w:sz w:val="20"/>
                <w:szCs w:val="20"/>
              </w:rPr>
              <w:t>a</w:t>
            </w:r>
            <w:r w:rsidR="00F55951">
              <w:rPr>
                <w:rFonts w:ascii="Times New Roman" w:hAnsi="Times New Roman"/>
                <w:sz w:val="20"/>
                <w:szCs w:val="20"/>
              </w:rPr>
              <w:t>uprès</w:t>
            </w:r>
            <w:r w:rsidR="002F3D79">
              <w:rPr>
                <w:rFonts w:ascii="Times New Roman" w:hAnsi="Times New Roman"/>
                <w:sz w:val="20"/>
                <w:szCs w:val="20"/>
              </w:rPr>
              <w:t xml:space="preserve"> </w:t>
            </w:r>
            <w:r w:rsidR="00764FFF" w:rsidRPr="00AA45E9">
              <w:rPr>
                <w:rFonts w:ascii="Times New Roman" w:hAnsi="Times New Roman"/>
                <w:sz w:val="20"/>
                <w:szCs w:val="20"/>
              </w:rPr>
              <w:t xml:space="preserve"> des opérateurs privés</w:t>
            </w:r>
            <w:r w:rsidR="002F3D79">
              <w:rPr>
                <w:rFonts w:ascii="Times New Roman" w:hAnsi="Times New Roman"/>
                <w:sz w:val="20"/>
                <w:szCs w:val="20"/>
              </w:rPr>
              <w:t> ;</w:t>
            </w:r>
          </w:p>
        </w:tc>
        <w:tc>
          <w:tcPr>
            <w:tcW w:w="2308" w:type="dxa"/>
            <w:tcBorders>
              <w:top w:val="single" w:sz="4" w:space="0" w:color="auto"/>
              <w:left w:val="single" w:sz="4" w:space="0" w:color="auto"/>
              <w:bottom w:val="single" w:sz="4" w:space="0" w:color="auto"/>
              <w:right w:val="single" w:sz="4" w:space="0" w:color="auto"/>
            </w:tcBorders>
            <w:vAlign w:val="center"/>
          </w:tcPr>
          <w:p w:rsidR="00764FFF" w:rsidRPr="00AA45E9" w:rsidRDefault="00764FFF" w:rsidP="00764FFF">
            <w:pPr>
              <w:autoSpaceDE w:val="0"/>
              <w:autoSpaceDN w:val="0"/>
              <w:adjustRightInd w:val="0"/>
              <w:spacing w:after="0" w:line="276" w:lineRule="auto"/>
              <w:rPr>
                <w:rFonts w:ascii="Times New Roman" w:hAnsi="Times New Roman"/>
                <w:sz w:val="20"/>
                <w:szCs w:val="20"/>
              </w:rPr>
            </w:pPr>
            <w:r w:rsidRPr="00AA45E9">
              <w:rPr>
                <w:rFonts w:ascii="Times New Roman" w:hAnsi="Times New Roman"/>
                <w:sz w:val="20"/>
                <w:szCs w:val="20"/>
              </w:rPr>
              <w:lastRenderedPageBreak/>
              <w:t>-Présence de restaurant</w:t>
            </w:r>
          </w:p>
          <w:p w:rsidR="00764FFF" w:rsidRPr="00AA45E9" w:rsidRDefault="00764FFF" w:rsidP="00764FFF">
            <w:pPr>
              <w:autoSpaceDE w:val="0"/>
              <w:autoSpaceDN w:val="0"/>
              <w:adjustRightInd w:val="0"/>
              <w:spacing w:after="0" w:line="276" w:lineRule="auto"/>
              <w:rPr>
                <w:rFonts w:ascii="Times New Roman" w:hAnsi="Times New Roman"/>
                <w:sz w:val="20"/>
                <w:szCs w:val="20"/>
              </w:rPr>
            </w:pPr>
            <w:r w:rsidRPr="00AA45E9">
              <w:rPr>
                <w:rFonts w:ascii="Times New Roman" w:hAnsi="Times New Roman"/>
                <w:sz w:val="20"/>
                <w:szCs w:val="20"/>
              </w:rPr>
              <w:t>-Augmentation des opérateurs privés (vente de matériel de construction)</w:t>
            </w:r>
          </w:p>
          <w:p w:rsidR="00764FFF" w:rsidRPr="00AA45E9" w:rsidRDefault="00764FFF" w:rsidP="00764FFF">
            <w:pPr>
              <w:autoSpaceDE w:val="0"/>
              <w:autoSpaceDN w:val="0"/>
              <w:adjustRightInd w:val="0"/>
              <w:spacing w:after="0" w:line="276" w:lineRule="auto"/>
              <w:rPr>
                <w:rFonts w:ascii="Times New Roman" w:hAnsi="Times New Roman"/>
                <w:sz w:val="20"/>
                <w:szCs w:val="20"/>
              </w:rPr>
            </w:pPr>
            <w:r w:rsidRPr="00AA45E9">
              <w:rPr>
                <w:rFonts w:ascii="Times New Roman" w:hAnsi="Times New Roman"/>
                <w:sz w:val="20"/>
                <w:szCs w:val="20"/>
              </w:rPr>
              <w:t xml:space="preserve">-Augmentation des revenus </w:t>
            </w:r>
          </w:p>
          <w:p w:rsidR="00764FFF" w:rsidRPr="00AA45E9" w:rsidRDefault="00764FFF" w:rsidP="00764FFF">
            <w:pPr>
              <w:autoSpaceDE w:val="0"/>
              <w:autoSpaceDN w:val="0"/>
              <w:adjustRightInd w:val="0"/>
              <w:spacing w:after="0" w:line="276" w:lineRule="auto"/>
              <w:rPr>
                <w:rFonts w:ascii="Times New Roman" w:hAnsi="Times New Roman"/>
                <w:sz w:val="20"/>
                <w:szCs w:val="20"/>
              </w:rPr>
            </w:pPr>
          </w:p>
        </w:tc>
        <w:tc>
          <w:tcPr>
            <w:tcW w:w="1275"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764FFF" w:rsidRPr="002407EF" w:rsidRDefault="00F55951" w:rsidP="00F55951">
            <w:pPr>
              <w:autoSpaceDE w:val="0"/>
              <w:autoSpaceDN w:val="0"/>
              <w:adjustRightInd w:val="0"/>
              <w:spacing w:after="0" w:line="276" w:lineRule="auto"/>
              <w:jc w:val="center"/>
              <w:rPr>
                <w:rFonts w:ascii="Times New Roman" w:hAnsi="Times New Roman"/>
                <w:b/>
              </w:rPr>
            </w:pPr>
            <w:r w:rsidRPr="002407EF">
              <w:rPr>
                <w:rFonts w:ascii="Times New Roman" w:hAnsi="Times New Roman"/>
                <w:b/>
              </w:rPr>
              <w:lastRenderedPageBreak/>
              <w:t xml:space="preserve">Entreprise </w:t>
            </w:r>
          </w:p>
        </w:tc>
        <w:tc>
          <w:tcPr>
            <w:tcW w:w="1701"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764FFF" w:rsidRPr="002407EF" w:rsidRDefault="00764FFF" w:rsidP="00764FFF">
            <w:pPr>
              <w:autoSpaceDE w:val="0"/>
              <w:autoSpaceDN w:val="0"/>
              <w:adjustRightInd w:val="0"/>
              <w:spacing w:after="0" w:line="276" w:lineRule="auto"/>
              <w:jc w:val="center"/>
              <w:rPr>
                <w:rFonts w:ascii="Times New Roman" w:hAnsi="Times New Roman"/>
                <w:b/>
              </w:rPr>
            </w:pPr>
            <w:r w:rsidRPr="002407EF">
              <w:rPr>
                <w:rFonts w:ascii="Times New Roman" w:hAnsi="Times New Roman"/>
                <w:b/>
              </w:rPr>
              <w:t>MDC</w:t>
            </w:r>
          </w:p>
          <w:p w:rsidR="00F55951" w:rsidRPr="002407EF" w:rsidRDefault="00F55951" w:rsidP="00764FFF">
            <w:pPr>
              <w:autoSpaceDE w:val="0"/>
              <w:autoSpaceDN w:val="0"/>
              <w:adjustRightInd w:val="0"/>
              <w:spacing w:after="0" w:line="276" w:lineRule="auto"/>
              <w:jc w:val="center"/>
              <w:rPr>
                <w:rFonts w:ascii="Times New Roman" w:hAnsi="Times New Roman"/>
                <w:b/>
              </w:rPr>
            </w:pPr>
            <w:r w:rsidRPr="002407EF">
              <w:rPr>
                <w:rFonts w:ascii="Times New Roman" w:hAnsi="Times New Roman"/>
                <w:b/>
              </w:rPr>
              <w:t>PUASEE-FA</w:t>
            </w:r>
          </w:p>
        </w:tc>
        <w:tc>
          <w:tcPr>
            <w:tcW w:w="1418" w:type="dxa"/>
            <w:tcBorders>
              <w:top w:val="single" w:sz="4" w:space="0" w:color="auto"/>
              <w:left w:val="single" w:sz="4" w:space="0" w:color="auto"/>
              <w:bottom w:val="single" w:sz="4" w:space="0" w:color="auto"/>
              <w:right w:val="single" w:sz="4" w:space="0" w:color="auto"/>
            </w:tcBorders>
            <w:vAlign w:val="center"/>
          </w:tcPr>
          <w:p w:rsidR="00764FFF" w:rsidRPr="00AA45E9" w:rsidRDefault="00764FFF" w:rsidP="00764FFF">
            <w:pPr>
              <w:autoSpaceDE w:val="0"/>
              <w:autoSpaceDN w:val="0"/>
              <w:adjustRightInd w:val="0"/>
              <w:spacing w:after="0" w:line="276" w:lineRule="auto"/>
              <w:jc w:val="center"/>
              <w:rPr>
                <w:rFonts w:ascii="Times New Roman" w:hAnsi="Times New Roman"/>
              </w:rPr>
            </w:pPr>
            <w:r w:rsidRPr="00AA45E9">
              <w:rPr>
                <w:rFonts w:ascii="Times New Roman" w:hAnsi="Times New Roman"/>
              </w:rPr>
              <w:t>Durant les travaux / Mensuelle</w:t>
            </w:r>
          </w:p>
        </w:tc>
        <w:tc>
          <w:tcPr>
            <w:tcW w:w="1374"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rsidR="00764FFF" w:rsidRPr="00AA45E9" w:rsidRDefault="00764FFF" w:rsidP="00764FFF">
            <w:pPr>
              <w:autoSpaceDE w:val="0"/>
              <w:autoSpaceDN w:val="0"/>
              <w:adjustRightInd w:val="0"/>
              <w:spacing w:after="0" w:line="276" w:lineRule="auto"/>
              <w:jc w:val="center"/>
              <w:rPr>
                <w:rFonts w:ascii="Times New Roman" w:hAnsi="Times New Roman"/>
                <w:b/>
              </w:rPr>
            </w:pPr>
            <w:r w:rsidRPr="00AA45E9">
              <w:rPr>
                <w:rFonts w:ascii="Times New Roman" w:hAnsi="Times New Roman"/>
                <w:b/>
              </w:rPr>
              <w:t>Coût associé au projet</w:t>
            </w:r>
          </w:p>
        </w:tc>
        <w:tc>
          <w:tcPr>
            <w:tcW w:w="1326" w:type="dxa"/>
            <w:tcBorders>
              <w:top w:val="single" w:sz="4" w:space="0" w:color="auto"/>
              <w:left w:val="single" w:sz="4" w:space="0" w:color="auto"/>
              <w:bottom w:val="single" w:sz="4" w:space="0" w:color="auto"/>
              <w:right w:val="single" w:sz="4" w:space="0" w:color="auto"/>
            </w:tcBorders>
            <w:vAlign w:val="center"/>
          </w:tcPr>
          <w:p w:rsidR="00764FFF" w:rsidRPr="00AA45E9" w:rsidRDefault="00764FFF" w:rsidP="00764FFF">
            <w:pPr>
              <w:autoSpaceDE w:val="0"/>
              <w:autoSpaceDN w:val="0"/>
              <w:adjustRightInd w:val="0"/>
              <w:spacing w:after="0" w:line="276" w:lineRule="auto"/>
              <w:jc w:val="center"/>
              <w:rPr>
                <w:rFonts w:ascii="Times New Roman" w:hAnsi="Times New Roman"/>
                <w:sz w:val="20"/>
                <w:szCs w:val="20"/>
              </w:rPr>
            </w:pPr>
            <w:r w:rsidRPr="00AA45E9">
              <w:rPr>
                <w:rFonts w:ascii="Times New Roman" w:hAnsi="Times New Roman"/>
                <w:sz w:val="20"/>
                <w:szCs w:val="20"/>
              </w:rPr>
              <w:t>Coût inclus dans le protocole d’accord entre le promoteur et le CRS</w:t>
            </w:r>
          </w:p>
        </w:tc>
      </w:tr>
      <w:tr w:rsidR="00764FFF" w:rsidRPr="00AA45E9" w:rsidTr="002407EF">
        <w:trPr>
          <w:trHeight w:val="1207"/>
          <w:jc w:val="center"/>
        </w:trPr>
        <w:tc>
          <w:tcPr>
            <w:tcW w:w="1418" w:type="dxa"/>
            <w:vMerge/>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rsidR="00764FFF" w:rsidRPr="00AA45E9" w:rsidRDefault="00764FFF" w:rsidP="00764FFF">
            <w:pPr>
              <w:autoSpaceDE w:val="0"/>
              <w:autoSpaceDN w:val="0"/>
              <w:adjustRightInd w:val="0"/>
              <w:spacing w:after="0" w:line="276" w:lineRule="auto"/>
              <w:jc w:val="center"/>
              <w:rPr>
                <w:rFonts w:ascii="Times New Roman" w:hAnsi="Times New Roman"/>
                <w:b/>
                <w:bCs/>
                <w:sz w:val="20"/>
                <w:szCs w:val="20"/>
              </w:rPr>
            </w:pPr>
          </w:p>
        </w:tc>
        <w:tc>
          <w:tcPr>
            <w:tcW w:w="1843" w:type="dxa"/>
            <w:tcBorders>
              <w:top w:val="single" w:sz="4" w:space="0" w:color="auto"/>
              <w:left w:val="single" w:sz="4" w:space="0" w:color="auto"/>
              <w:bottom w:val="single" w:sz="4" w:space="0" w:color="auto"/>
              <w:right w:val="single" w:sz="4" w:space="0" w:color="auto"/>
            </w:tcBorders>
            <w:vAlign w:val="center"/>
          </w:tcPr>
          <w:p w:rsidR="00764FFF" w:rsidRPr="00AA45E9" w:rsidRDefault="00F55951" w:rsidP="00817BFF">
            <w:pPr>
              <w:autoSpaceDE w:val="0"/>
              <w:autoSpaceDN w:val="0"/>
              <w:adjustRightInd w:val="0"/>
              <w:spacing w:after="0" w:line="276" w:lineRule="auto"/>
              <w:jc w:val="center"/>
              <w:rPr>
                <w:rFonts w:ascii="Times New Roman" w:hAnsi="Times New Roman"/>
                <w:sz w:val="20"/>
                <w:szCs w:val="20"/>
              </w:rPr>
            </w:pPr>
            <w:r w:rsidRPr="00F55951">
              <w:rPr>
                <w:rFonts w:ascii="Times New Roman" w:hAnsi="Times New Roman"/>
                <w:sz w:val="20"/>
                <w:szCs w:val="20"/>
              </w:rPr>
              <w:t>Création de relation sociale</w:t>
            </w:r>
          </w:p>
        </w:tc>
        <w:tc>
          <w:tcPr>
            <w:tcW w:w="3118" w:type="dxa"/>
            <w:tcBorders>
              <w:top w:val="single" w:sz="4" w:space="0" w:color="auto"/>
              <w:left w:val="single" w:sz="4" w:space="0" w:color="auto"/>
              <w:bottom w:val="single" w:sz="4" w:space="0" w:color="auto"/>
              <w:right w:val="single" w:sz="4" w:space="0" w:color="auto"/>
            </w:tcBorders>
            <w:vAlign w:val="center"/>
          </w:tcPr>
          <w:p w:rsidR="00764FFF" w:rsidRDefault="00F55951" w:rsidP="00764FFF">
            <w:pPr>
              <w:autoSpaceDE w:val="0"/>
              <w:autoSpaceDN w:val="0"/>
              <w:adjustRightInd w:val="0"/>
              <w:spacing w:after="0" w:line="276" w:lineRule="auto"/>
              <w:jc w:val="both"/>
              <w:rPr>
                <w:rFonts w:ascii="Times New Roman" w:hAnsi="Times New Roman"/>
                <w:sz w:val="20"/>
                <w:szCs w:val="20"/>
              </w:rPr>
            </w:pPr>
            <w:r>
              <w:rPr>
                <w:rFonts w:ascii="Times New Roman" w:hAnsi="Times New Roman"/>
                <w:sz w:val="20"/>
                <w:szCs w:val="20"/>
              </w:rPr>
              <w:t xml:space="preserve"> </w:t>
            </w:r>
            <w:r w:rsidR="00817BFF">
              <w:rPr>
                <w:rFonts w:ascii="Times New Roman" w:hAnsi="Times New Roman"/>
                <w:sz w:val="20"/>
                <w:szCs w:val="20"/>
              </w:rPr>
              <w:t>- Respecter les cadres de vie des populations ;</w:t>
            </w:r>
          </w:p>
          <w:p w:rsidR="00817BFF" w:rsidRDefault="00817BFF" w:rsidP="00764FFF">
            <w:pPr>
              <w:autoSpaceDE w:val="0"/>
              <w:autoSpaceDN w:val="0"/>
              <w:adjustRightInd w:val="0"/>
              <w:spacing w:after="0" w:line="276" w:lineRule="auto"/>
              <w:jc w:val="both"/>
              <w:rPr>
                <w:rFonts w:ascii="Times New Roman" w:hAnsi="Times New Roman"/>
                <w:sz w:val="20"/>
                <w:szCs w:val="20"/>
              </w:rPr>
            </w:pPr>
            <w:r>
              <w:rPr>
                <w:rFonts w:ascii="Times New Roman" w:hAnsi="Times New Roman"/>
                <w:sz w:val="20"/>
                <w:szCs w:val="20"/>
              </w:rPr>
              <w:t>- respecter les usages et coutumes des localités concernées ;</w:t>
            </w:r>
          </w:p>
          <w:p w:rsidR="00817BFF" w:rsidRDefault="00817BFF" w:rsidP="00764FFF">
            <w:pPr>
              <w:autoSpaceDE w:val="0"/>
              <w:autoSpaceDN w:val="0"/>
              <w:adjustRightInd w:val="0"/>
              <w:spacing w:after="0" w:line="276" w:lineRule="auto"/>
              <w:jc w:val="both"/>
              <w:rPr>
                <w:rFonts w:ascii="Times New Roman" w:hAnsi="Times New Roman"/>
                <w:sz w:val="20"/>
                <w:szCs w:val="20"/>
              </w:rPr>
            </w:pPr>
            <w:r>
              <w:rPr>
                <w:rFonts w:ascii="Times New Roman" w:hAnsi="Times New Roman"/>
                <w:sz w:val="20"/>
                <w:szCs w:val="20"/>
              </w:rPr>
              <w:t>- Entretenir des relations paix avec la population ;</w:t>
            </w:r>
          </w:p>
          <w:p w:rsidR="00817BFF" w:rsidRPr="00AA45E9" w:rsidRDefault="00817BFF" w:rsidP="00ED198B">
            <w:pPr>
              <w:autoSpaceDE w:val="0"/>
              <w:autoSpaceDN w:val="0"/>
              <w:adjustRightInd w:val="0"/>
              <w:spacing w:after="0" w:line="276" w:lineRule="auto"/>
              <w:jc w:val="both"/>
              <w:rPr>
                <w:rFonts w:ascii="Times New Roman" w:hAnsi="Times New Roman"/>
                <w:sz w:val="20"/>
                <w:szCs w:val="20"/>
              </w:rPr>
            </w:pPr>
            <w:r>
              <w:rPr>
                <w:rFonts w:ascii="Times New Roman" w:hAnsi="Times New Roman"/>
                <w:sz w:val="20"/>
                <w:szCs w:val="20"/>
              </w:rPr>
              <w:t>Respecter les engagements pri</w:t>
            </w:r>
            <w:r w:rsidR="00ED198B">
              <w:rPr>
                <w:rFonts w:ascii="Times New Roman" w:hAnsi="Times New Roman"/>
                <w:sz w:val="20"/>
                <w:szCs w:val="20"/>
              </w:rPr>
              <w:t>s ;</w:t>
            </w:r>
          </w:p>
        </w:tc>
        <w:tc>
          <w:tcPr>
            <w:tcW w:w="2308" w:type="dxa"/>
            <w:tcBorders>
              <w:top w:val="single" w:sz="4" w:space="0" w:color="auto"/>
              <w:left w:val="single" w:sz="4" w:space="0" w:color="auto"/>
              <w:bottom w:val="single" w:sz="4" w:space="0" w:color="auto"/>
              <w:right w:val="single" w:sz="4" w:space="0" w:color="auto"/>
            </w:tcBorders>
            <w:vAlign w:val="center"/>
          </w:tcPr>
          <w:p w:rsidR="00ED198B" w:rsidRDefault="00764FFF" w:rsidP="00ED198B">
            <w:pPr>
              <w:autoSpaceDE w:val="0"/>
              <w:autoSpaceDN w:val="0"/>
              <w:adjustRightInd w:val="0"/>
              <w:spacing w:after="0" w:line="276" w:lineRule="auto"/>
              <w:rPr>
                <w:rFonts w:ascii="Times New Roman" w:hAnsi="Times New Roman" w:cs="Times New Roman"/>
                <w:color w:val="000000"/>
                <w:sz w:val="20"/>
                <w:szCs w:val="20"/>
              </w:rPr>
            </w:pPr>
            <w:r w:rsidRPr="00ED198B">
              <w:rPr>
                <w:rFonts w:ascii="Times New Roman" w:hAnsi="Times New Roman"/>
                <w:sz w:val="20"/>
                <w:szCs w:val="20"/>
              </w:rPr>
              <w:t>-</w:t>
            </w:r>
            <w:r w:rsidR="00ED198B" w:rsidRPr="00ED198B">
              <w:rPr>
                <w:rFonts w:ascii="Times New Roman" w:hAnsi="Times New Roman" w:cs="Times New Roman"/>
                <w:color w:val="000000"/>
                <w:sz w:val="20"/>
                <w:szCs w:val="20"/>
              </w:rPr>
              <w:t xml:space="preserve"> Présence de relation allant à des interconnaissances sociales, culturelles, techniques, commerciales</w:t>
            </w:r>
            <w:r w:rsidR="00ED198B">
              <w:rPr>
                <w:rFonts w:ascii="Times New Roman" w:hAnsi="Times New Roman" w:cs="Times New Roman"/>
                <w:color w:val="000000"/>
                <w:sz w:val="20"/>
                <w:szCs w:val="20"/>
              </w:rPr>
              <w:t> ;</w:t>
            </w:r>
          </w:p>
          <w:p w:rsidR="00764FFF" w:rsidRPr="00ED198B" w:rsidRDefault="00ED198B" w:rsidP="00ED198B">
            <w:pPr>
              <w:autoSpaceDE w:val="0"/>
              <w:autoSpaceDN w:val="0"/>
              <w:adjustRightInd w:val="0"/>
              <w:spacing w:after="0" w:line="276" w:lineRule="auto"/>
              <w:rPr>
                <w:rFonts w:ascii="Times New Roman" w:hAnsi="Times New Roman"/>
                <w:sz w:val="20"/>
                <w:szCs w:val="20"/>
              </w:rPr>
            </w:pPr>
            <w:r>
              <w:rPr>
                <w:rFonts w:ascii="Times New Roman" w:hAnsi="Times New Roman" w:cs="Times New Roman"/>
                <w:color w:val="000000"/>
                <w:sz w:val="20"/>
                <w:szCs w:val="20"/>
              </w:rPr>
              <w:t>- Nombre de plainte enregistrée</w:t>
            </w:r>
            <w:r>
              <w:rPr>
                <w:rFonts w:ascii="Times New Roman" w:hAnsi="Times New Roman"/>
                <w:sz w:val="20"/>
                <w:szCs w:val="20"/>
              </w:rPr>
              <w:t> ;</w:t>
            </w:r>
          </w:p>
        </w:tc>
        <w:tc>
          <w:tcPr>
            <w:tcW w:w="1275"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764FFF" w:rsidRPr="002407EF" w:rsidRDefault="00764FFF" w:rsidP="00364D70">
            <w:pPr>
              <w:autoSpaceDE w:val="0"/>
              <w:autoSpaceDN w:val="0"/>
              <w:adjustRightInd w:val="0"/>
              <w:spacing w:after="0" w:line="276" w:lineRule="auto"/>
              <w:jc w:val="center"/>
              <w:rPr>
                <w:rFonts w:ascii="Times New Roman" w:hAnsi="Times New Roman"/>
                <w:b/>
              </w:rPr>
            </w:pPr>
            <w:r w:rsidRPr="002407EF">
              <w:rPr>
                <w:rFonts w:ascii="Times New Roman" w:hAnsi="Times New Roman"/>
                <w:b/>
              </w:rPr>
              <w:t xml:space="preserve">Entreprise </w:t>
            </w:r>
          </w:p>
        </w:tc>
        <w:tc>
          <w:tcPr>
            <w:tcW w:w="1701"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ED198B" w:rsidRPr="002407EF" w:rsidRDefault="00ED198B" w:rsidP="00364D70">
            <w:pPr>
              <w:autoSpaceDE w:val="0"/>
              <w:autoSpaceDN w:val="0"/>
              <w:adjustRightInd w:val="0"/>
              <w:spacing w:after="0" w:line="276" w:lineRule="auto"/>
              <w:jc w:val="center"/>
              <w:rPr>
                <w:rFonts w:ascii="Times New Roman" w:hAnsi="Times New Roman"/>
                <w:b/>
              </w:rPr>
            </w:pPr>
            <w:r w:rsidRPr="002407EF">
              <w:rPr>
                <w:rFonts w:ascii="Times New Roman" w:hAnsi="Times New Roman"/>
                <w:b/>
              </w:rPr>
              <w:t>MDC</w:t>
            </w:r>
          </w:p>
          <w:p w:rsidR="00764FFF" w:rsidRPr="002407EF" w:rsidRDefault="00ED198B" w:rsidP="00364D70">
            <w:pPr>
              <w:autoSpaceDE w:val="0"/>
              <w:autoSpaceDN w:val="0"/>
              <w:adjustRightInd w:val="0"/>
              <w:spacing w:after="0" w:line="276" w:lineRule="auto"/>
              <w:jc w:val="center"/>
              <w:rPr>
                <w:rFonts w:ascii="Times New Roman" w:hAnsi="Times New Roman"/>
                <w:b/>
              </w:rPr>
            </w:pPr>
            <w:r w:rsidRPr="002407EF">
              <w:rPr>
                <w:rFonts w:ascii="Times New Roman" w:hAnsi="Times New Roman"/>
                <w:b/>
              </w:rPr>
              <w:t>PUASEE-FA</w:t>
            </w:r>
          </w:p>
        </w:tc>
        <w:tc>
          <w:tcPr>
            <w:tcW w:w="1418" w:type="dxa"/>
            <w:tcBorders>
              <w:top w:val="single" w:sz="4" w:space="0" w:color="auto"/>
              <w:left w:val="single" w:sz="4" w:space="0" w:color="auto"/>
              <w:bottom w:val="single" w:sz="4" w:space="0" w:color="auto"/>
              <w:right w:val="single" w:sz="4" w:space="0" w:color="auto"/>
            </w:tcBorders>
            <w:vAlign w:val="center"/>
          </w:tcPr>
          <w:p w:rsidR="00764FFF" w:rsidRPr="00AA45E9" w:rsidRDefault="00764FFF" w:rsidP="00764FFF">
            <w:pPr>
              <w:autoSpaceDE w:val="0"/>
              <w:autoSpaceDN w:val="0"/>
              <w:adjustRightInd w:val="0"/>
              <w:spacing w:after="0" w:line="276" w:lineRule="auto"/>
              <w:jc w:val="center"/>
              <w:rPr>
                <w:rFonts w:ascii="Times New Roman" w:hAnsi="Times New Roman"/>
              </w:rPr>
            </w:pPr>
            <w:r w:rsidRPr="00AA45E9">
              <w:rPr>
                <w:rFonts w:ascii="Times New Roman" w:hAnsi="Times New Roman"/>
              </w:rPr>
              <w:t>Durant les travaux / Mensuelle</w:t>
            </w:r>
          </w:p>
        </w:tc>
        <w:tc>
          <w:tcPr>
            <w:tcW w:w="1374"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rsidR="00764FFF" w:rsidRPr="00AA45E9" w:rsidRDefault="00764FFF" w:rsidP="00764FFF">
            <w:pPr>
              <w:autoSpaceDE w:val="0"/>
              <w:autoSpaceDN w:val="0"/>
              <w:adjustRightInd w:val="0"/>
              <w:spacing w:after="0" w:line="276" w:lineRule="auto"/>
              <w:jc w:val="center"/>
              <w:rPr>
                <w:rFonts w:ascii="Times New Roman" w:hAnsi="Times New Roman"/>
                <w:b/>
              </w:rPr>
            </w:pPr>
            <w:r w:rsidRPr="00AA45E9">
              <w:rPr>
                <w:rFonts w:ascii="Times New Roman" w:hAnsi="Times New Roman"/>
                <w:b/>
              </w:rPr>
              <w:t>Coût associé au projet</w:t>
            </w:r>
          </w:p>
        </w:tc>
        <w:tc>
          <w:tcPr>
            <w:tcW w:w="1326" w:type="dxa"/>
            <w:tcBorders>
              <w:top w:val="single" w:sz="4" w:space="0" w:color="auto"/>
              <w:left w:val="single" w:sz="4" w:space="0" w:color="auto"/>
              <w:bottom w:val="single" w:sz="4" w:space="0" w:color="auto"/>
              <w:right w:val="single" w:sz="4" w:space="0" w:color="auto"/>
            </w:tcBorders>
            <w:vAlign w:val="center"/>
          </w:tcPr>
          <w:p w:rsidR="00764FFF" w:rsidRPr="00AA45E9" w:rsidRDefault="00764FFF" w:rsidP="00764FFF">
            <w:pPr>
              <w:autoSpaceDE w:val="0"/>
              <w:autoSpaceDN w:val="0"/>
              <w:adjustRightInd w:val="0"/>
              <w:spacing w:after="0" w:line="276" w:lineRule="auto"/>
              <w:jc w:val="center"/>
              <w:rPr>
                <w:rFonts w:ascii="Times New Roman" w:hAnsi="Times New Roman"/>
                <w:sz w:val="20"/>
                <w:szCs w:val="20"/>
              </w:rPr>
            </w:pPr>
            <w:r w:rsidRPr="00AA45E9">
              <w:rPr>
                <w:rFonts w:ascii="Times New Roman" w:hAnsi="Times New Roman"/>
                <w:sz w:val="20"/>
                <w:szCs w:val="20"/>
              </w:rPr>
              <w:t>Coût inclus dans le protocole d’accord entre le promoteur et le CRS</w:t>
            </w:r>
          </w:p>
        </w:tc>
      </w:tr>
      <w:tr w:rsidR="00764FFF" w:rsidRPr="00AA45E9" w:rsidTr="00B424EA">
        <w:trPr>
          <w:trHeight w:val="425"/>
          <w:jc w:val="center"/>
        </w:trPr>
        <w:tc>
          <w:tcPr>
            <w:tcW w:w="15781" w:type="dxa"/>
            <w:gridSpan w:val="9"/>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rsidR="00764FFF" w:rsidRPr="00AA45E9" w:rsidRDefault="00764FFF" w:rsidP="00B424EA">
            <w:pPr>
              <w:autoSpaceDE w:val="0"/>
              <w:autoSpaceDN w:val="0"/>
              <w:adjustRightInd w:val="0"/>
              <w:spacing w:after="0" w:line="276" w:lineRule="auto"/>
              <w:jc w:val="center"/>
              <w:rPr>
                <w:rFonts w:ascii="Times New Roman" w:hAnsi="Times New Roman"/>
                <w:b/>
                <w:bCs/>
                <w:sz w:val="28"/>
                <w:szCs w:val="28"/>
              </w:rPr>
            </w:pPr>
            <w:r w:rsidRPr="00AA45E9">
              <w:rPr>
                <w:rFonts w:ascii="Times New Roman" w:hAnsi="Times New Roman"/>
                <w:b/>
                <w:bCs/>
                <w:sz w:val="28"/>
                <w:szCs w:val="28"/>
              </w:rPr>
              <w:t>Moyen</w:t>
            </w:r>
            <w:r w:rsidR="00372B94">
              <w:rPr>
                <w:rFonts w:ascii="Times New Roman" w:hAnsi="Times New Roman"/>
                <w:b/>
                <w:bCs/>
                <w:sz w:val="28"/>
                <w:szCs w:val="28"/>
              </w:rPr>
              <w:t>s</w:t>
            </w:r>
            <w:r w:rsidRPr="00AA45E9">
              <w:rPr>
                <w:rFonts w:ascii="Times New Roman" w:hAnsi="Times New Roman"/>
                <w:b/>
                <w:bCs/>
                <w:sz w:val="28"/>
                <w:szCs w:val="28"/>
              </w:rPr>
              <w:t xml:space="preserve"> de bonification des impacts positifs potentiels en phase d’exploitation</w:t>
            </w:r>
          </w:p>
        </w:tc>
      </w:tr>
      <w:tr w:rsidR="00764FFF" w:rsidRPr="00AA45E9" w:rsidTr="000D2243">
        <w:trPr>
          <w:trHeight w:val="390"/>
          <w:jc w:val="center"/>
        </w:trPr>
        <w:tc>
          <w:tcPr>
            <w:tcW w:w="1418"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rsidR="00764FFF" w:rsidRPr="00AA45E9" w:rsidRDefault="00764FFF" w:rsidP="00764FFF">
            <w:pPr>
              <w:autoSpaceDE w:val="0"/>
              <w:autoSpaceDN w:val="0"/>
              <w:adjustRightInd w:val="0"/>
              <w:spacing w:after="0" w:line="276" w:lineRule="auto"/>
              <w:jc w:val="center"/>
              <w:rPr>
                <w:rFonts w:ascii="Times New Roman" w:hAnsi="Times New Roman"/>
                <w:b/>
                <w:bCs/>
                <w:sz w:val="20"/>
                <w:szCs w:val="20"/>
              </w:rPr>
            </w:pPr>
            <w:r w:rsidRPr="00AA45E9">
              <w:rPr>
                <w:rFonts w:ascii="Times New Roman" w:hAnsi="Times New Roman"/>
                <w:b/>
                <w:bCs/>
                <w:sz w:val="20"/>
                <w:szCs w:val="20"/>
              </w:rPr>
              <w:t>Composante du milieu affecté</w:t>
            </w:r>
          </w:p>
        </w:tc>
        <w:tc>
          <w:tcPr>
            <w:tcW w:w="1843"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rsidR="00764FFF" w:rsidRPr="00AA45E9" w:rsidRDefault="00764FFF" w:rsidP="00764FFF">
            <w:pPr>
              <w:autoSpaceDE w:val="0"/>
              <w:autoSpaceDN w:val="0"/>
              <w:adjustRightInd w:val="0"/>
              <w:spacing w:after="0" w:line="276" w:lineRule="auto"/>
              <w:jc w:val="center"/>
              <w:rPr>
                <w:rFonts w:ascii="Times New Roman" w:hAnsi="Times New Roman"/>
                <w:b/>
                <w:sz w:val="20"/>
                <w:szCs w:val="20"/>
              </w:rPr>
            </w:pPr>
            <w:r w:rsidRPr="00AA45E9">
              <w:rPr>
                <w:rFonts w:ascii="Times New Roman" w:hAnsi="Times New Roman"/>
                <w:b/>
                <w:sz w:val="20"/>
                <w:szCs w:val="20"/>
              </w:rPr>
              <w:t>Nature de l’impact potentiel</w:t>
            </w:r>
          </w:p>
        </w:tc>
        <w:tc>
          <w:tcPr>
            <w:tcW w:w="3118"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rsidR="00764FFF" w:rsidRPr="00AA45E9" w:rsidRDefault="00764FFF" w:rsidP="00764FFF">
            <w:pPr>
              <w:autoSpaceDE w:val="0"/>
              <w:autoSpaceDN w:val="0"/>
              <w:adjustRightInd w:val="0"/>
              <w:spacing w:after="0" w:line="276" w:lineRule="auto"/>
              <w:jc w:val="center"/>
              <w:rPr>
                <w:rFonts w:ascii="Times New Roman" w:hAnsi="Times New Roman"/>
                <w:b/>
                <w:sz w:val="20"/>
                <w:szCs w:val="20"/>
              </w:rPr>
            </w:pPr>
            <w:r w:rsidRPr="00AA45E9">
              <w:rPr>
                <w:rFonts w:ascii="Times New Roman" w:hAnsi="Times New Roman"/>
                <w:b/>
                <w:sz w:val="20"/>
                <w:szCs w:val="20"/>
              </w:rPr>
              <w:t>Mesures  préconisées</w:t>
            </w:r>
          </w:p>
        </w:tc>
        <w:tc>
          <w:tcPr>
            <w:tcW w:w="2308"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rsidR="00764FFF" w:rsidRPr="00AA45E9" w:rsidRDefault="00764FFF" w:rsidP="00764FFF">
            <w:pPr>
              <w:autoSpaceDE w:val="0"/>
              <w:autoSpaceDN w:val="0"/>
              <w:adjustRightInd w:val="0"/>
              <w:spacing w:after="0" w:line="276" w:lineRule="auto"/>
              <w:jc w:val="center"/>
              <w:rPr>
                <w:rFonts w:ascii="Times New Roman" w:hAnsi="Times New Roman"/>
                <w:b/>
                <w:sz w:val="20"/>
                <w:szCs w:val="20"/>
              </w:rPr>
            </w:pPr>
            <w:r w:rsidRPr="00AA45E9">
              <w:rPr>
                <w:rFonts w:ascii="Times New Roman" w:hAnsi="Times New Roman"/>
                <w:b/>
                <w:sz w:val="20"/>
                <w:szCs w:val="20"/>
              </w:rPr>
              <w:t>Indicateur de suivi</w:t>
            </w:r>
          </w:p>
        </w:tc>
        <w:tc>
          <w:tcPr>
            <w:tcW w:w="2976" w:type="dxa"/>
            <w:gridSpan w:val="2"/>
            <w:tcBorders>
              <w:top w:val="single" w:sz="4" w:space="0" w:color="auto"/>
              <w:left w:val="single" w:sz="4" w:space="0" w:color="auto"/>
              <w:bottom w:val="single" w:sz="4" w:space="0" w:color="auto"/>
              <w:right w:val="single" w:sz="4" w:space="0" w:color="auto"/>
            </w:tcBorders>
            <w:shd w:val="clear" w:color="auto" w:fill="F2F2F2"/>
            <w:vAlign w:val="center"/>
            <w:hideMark/>
          </w:tcPr>
          <w:p w:rsidR="00764FFF" w:rsidRPr="00AA45E9" w:rsidRDefault="00764FFF" w:rsidP="00764FFF">
            <w:pPr>
              <w:autoSpaceDE w:val="0"/>
              <w:autoSpaceDN w:val="0"/>
              <w:adjustRightInd w:val="0"/>
              <w:spacing w:after="0" w:line="276" w:lineRule="auto"/>
              <w:jc w:val="center"/>
              <w:rPr>
                <w:rFonts w:ascii="Times New Roman" w:hAnsi="Times New Roman"/>
                <w:b/>
                <w:sz w:val="20"/>
                <w:szCs w:val="20"/>
              </w:rPr>
            </w:pPr>
            <w:r w:rsidRPr="00AA45E9">
              <w:rPr>
                <w:rFonts w:ascii="Times New Roman" w:hAnsi="Times New Roman"/>
                <w:b/>
                <w:bCs/>
                <w:sz w:val="20"/>
                <w:szCs w:val="20"/>
              </w:rPr>
              <w:t>Responsable(s)</w:t>
            </w:r>
          </w:p>
        </w:tc>
        <w:tc>
          <w:tcPr>
            <w:tcW w:w="1418"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rsidR="00764FFF" w:rsidRPr="00AA45E9" w:rsidRDefault="00764FFF" w:rsidP="00764FFF">
            <w:pPr>
              <w:autoSpaceDE w:val="0"/>
              <w:autoSpaceDN w:val="0"/>
              <w:adjustRightInd w:val="0"/>
              <w:spacing w:after="0" w:line="276" w:lineRule="auto"/>
              <w:jc w:val="center"/>
              <w:rPr>
                <w:rFonts w:ascii="Times New Roman" w:hAnsi="Times New Roman"/>
                <w:b/>
                <w:sz w:val="20"/>
                <w:szCs w:val="20"/>
              </w:rPr>
            </w:pPr>
            <w:r w:rsidRPr="00AA45E9">
              <w:rPr>
                <w:rFonts w:ascii="Times New Roman" w:hAnsi="Times New Roman"/>
                <w:b/>
                <w:bCs/>
                <w:sz w:val="20"/>
                <w:szCs w:val="20"/>
              </w:rPr>
              <w:t>Échéances/Période</w:t>
            </w:r>
          </w:p>
        </w:tc>
        <w:tc>
          <w:tcPr>
            <w:tcW w:w="1374"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rsidR="00764FFF" w:rsidRPr="00AA45E9" w:rsidRDefault="00764FFF" w:rsidP="00764FFF">
            <w:pPr>
              <w:autoSpaceDE w:val="0"/>
              <w:autoSpaceDN w:val="0"/>
              <w:adjustRightInd w:val="0"/>
              <w:spacing w:after="0" w:line="276" w:lineRule="auto"/>
              <w:jc w:val="center"/>
              <w:rPr>
                <w:rFonts w:ascii="Times New Roman" w:hAnsi="Times New Roman"/>
                <w:b/>
                <w:sz w:val="20"/>
                <w:szCs w:val="20"/>
              </w:rPr>
            </w:pPr>
            <w:r w:rsidRPr="00AA45E9">
              <w:rPr>
                <w:rFonts w:ascii="Times New Roman" w:hAnsi="Times New Roman"/>
                <w:b/>
                <w:bCs/>
                <w:sz w:val="20"/>
                <w:szCs w:val="20"/>
              </w:rPr>
              <w:t>Coût (FCFA)</w:t>
            </w:r>
          </w:p>
        </w:tc>
        <w:tc>
          <w:tcPr>
            <w:tcW w:w="1326"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rsidR="00764FFF" w:rsidRPr="00AA45E9" w:rsidRDefault="00764FFF" w:rsidP="00764FFF">
            <w:pPr>
              <w:autoSpaceDE w:val="0"/>
              <w:autoSpaceDN w:val="0"/>
              <w:adjustRightInd w:val="0"/>
              <w:spacing w:after="0" w:line="276" w:lineRule="auto"/>
              <w:jc w:val="center"/>
              <w:rPr>
                <w:rFonts w:ascii="Times New Roman" w:hAnsi="Times New Roman"/>
                <w:b/>
                <w:bCs/>
                <w:sz w:val="20"/>
                <w:szCs w:val="20"/>
              </w:rPr>
            </w:pPr>
            <w:r w:rsidRPr="00AA45E9">
              <w:rPr>
                <w:rFonts w:ascii="Times New Roman" w:hAnsi="Times New Roman"/>
                <w:b/>
                <w:bCs/>
                <w:sz w:val="20"/>
                <w:szCs w:val="20"/>
              </w:rPr>
              <w:t>Coût du suivi</w:t>
            </w:r>
          </w:p>
        </w:tc>
      </w:tr>
      <w:tr w:rsidR="00764FFF" w:rsidRPr="00AA45E9" w:rsidTr="002407EF">
        <w:trPr>
          <w:trHeight w:val="389"/>
          <w:jc w:val="center"/>
        </w:trPr>
        <w:tc>
          <w:tcPr>
            <w:tcW w:w="1418" w:type="dxa"/>
            <w:vMerge/>
            <w:tcBorders>
              <w:top w:val="single" w:sz="4" w:space="0" w:color="auto"/>
              <w:left w:val="single" w:sz="4" w:space="0" w:color="auto"/>
              <w:bottom w:val="single" w:sz="4" w:space="0" w:color="auto"/>
              <w:right w:val="single" w:sz="4" w:space="0" w:color="auto"/>
            </w:tcBorders>
            <w:vAlign w:val="center"/>
            <w:hideMark/>
          </w:tcPr>
          <w:p w:rsidR="00764FFF" w:rsidRPr="00AA45E9" w:rsidRDefault="00764FFF" w:rsidP="00764FFF">
            <w:pPr>
              <w:autoSpaceDE w:val="0"/>
              <w:autoSpaceDN w:val="0"/>
              <w:adjustRightInd w:val="0"/>
              <w:spacing w:after="0" w:line="276" w:lineRule="auto"/>
              <w:jc w:val="center"/>
              <w:rPr>
                <w:rFonts w:ascii="Times New Roman" w:hAnsi="Times New Roman"/>
                <w:b/>
                <w:bCs/>
                <w:sz w:val="20"/>
                <w:szCs w:val="20"/>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764FFF" w:rsidRPr="00AA45E9" w:rsidRDefault="00764FFF" w:rsidP="00764FFF">
            <w:pPr>
              <w:autoSpaceDE w:val="0"/>
              <w:autoSpaceDN w:val="0"/>
              <w:adjustRightInd w:val="0"/>
              <w:spacing w:after="0" w:line="276" w:lineRule="auto"/>
              <w:jc w:val="center"/>
              <w:rPr>
                <w:rFonts w:ascii="Times New Roman" w:hAnsi="Times New Roman"/>
                <w:b/>
                <w:sz w:val="20"/>
                <w:szCs w:val="20"/>
              </w:rPr>
            </w:pPr>
          </w:p>
        </w:tc>
        <w:tc>
          <w:tcPr>
            <w:tcW w:w="3118" w:type="dxa"/>
            <w:vMerge/>
            <w:tcBorders>
              <w:top w:val="single" w:sz="4" w:space="0" w:color="auto"/>
              <w:left w:val="single" w:sz="4" w:space="0" w:color="auto"/>
              <w:bottom w:val="single" w:sz="4" w:space="0" w:color="auto"/>
              <w:right w:val="single" w:sz="4" w:space="0" w:color="auto"/>
            </w:tcBorders>
            <w:vAlign w:val="center"/>
            <w:hideMark/>
          </w:tcPr>
          <w:p w:rsidR="00764FFF" w:rsidRPr="00AA45E9" w:rsidRDefault="00764FFF" w:rsidP="00764FFF">
            <w:pPr>
              <w:autoSpaceDE w:val="0"/>
              <w:autoSpaceDN w:val="0"/>
              <w:adjustRightInd w:val="0"/>
              <w:spacing w:after="0" w:line="276" w:lineRule="auto"/>
              <w:jc w:val="center"/>
              <w:rPr>
                <w:rFonts w:ascii="Times New Roman" w:hAnsi="Times New Roman"/>
                <w:b/>
                <w:sz w:val="20"/>
                <w:szCs w:val="20"/>
              </w:rPr>
            </w:pPr>
          </w:p>
        </w:tc>
        <w:tc>
          <w:tcPr>
            <w:tcW w:w="2308" w:type="dxa"/>
            <w:vMerge/>
            <w:tcBorders>
              <w:top w:val="single" w:sz="4" w:space="0" w:color="auto"/>
              <w:left w:val="single" w:sz="4" w:space="0" w:color="auto"/>
              <w:bottom w:val="single" w:sz="4" w:space="0" w:color="auto"/>
              <w:right w:val="single" w:sz="4" w:space="0" w:color="auto"/>
            </w:tcBorders>
            <w:vAlign w:val="center"/>
            <w:hideMark/>
          </w:tcPr>
          <w:p w:rsidR="00764FFF" w:rsidRPr="00AA45E9" w:rsidRDefault="00764FFF" w:rsidP="00764FFF">
            <w:pPr>
              <w:autoSpaceDE w:val="0"/>
              <w:autoSpaceDN w:val="0"/>
              <w:adjustRightInd w:val="0"/>
              <w:spacing w:after="0" w:line="276" w:lineRule="auto"/>
              <w:jc w:val="center"/>
              <w:rPr>
                <w:rFonts w:ascii="Times New Roman" w:hAnsi="Times New Roman"/>
                <w:b/>
                <w:sz w:val="20"/>
                <w:szCs w:val="20"/>
              </w:rPr>
            </w:pPr>
          </w:p>
        </w:tc>
        <w:tc>
          <w:tcPr>
            <w:tcW w:w="1275"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rsidR="00764FFF" w:rsidRPr="002407EF" w:rsidRDefault="00764FFF" w:rsidP="00764FFF">
            <w:pPr>
              <w:autoSpaceDE w:val="0"/>
              <w:autoSpaceDN w:val="0"/>
              <w:adjustRightInd w:val="0"/>
              <w:spacing w:after="0" w:line="276" w:lineRule="auto"/>
              <w:jc w:val="center"/>
              <w:rPr>
                <w:rFonts w:ascii="Times New Roman" w:hAnsi="Times New Roman"/>
                <w:b/>
                <w:bCs/>
                <w:sz w:val="20"/>
                <w:szCs w:val="20"/>
              </w:rPr>
            </w:pPr>
            <w:r w:rsidRPr="002407EF">
              <w:rPr>
                <w:rFonts w:ascii="Times New Roman" w:hAnsi="Times New Roman"/>
                <w:b/>
                <w:bCs/>
                <w:sz w:val="20"/>
                <w:szCs w:val="20"/>
              </w:rPr>
              <w:t>Mise en œuvre</w:t>
            </w:r>
          </w:p>
        </w:tc>
        <w:tc>
          <w:tcPr>
            <w:tcW w:w="1701"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rsidR="00764FFF" w:rsidRPr="002407EF" w:rsidRDefault="00764FFF" w:rsidP="00764FFF">
            <w:pPr>
              <w:autoSpaceDE w:val="0"/>
              <w:autoSpaceDN w:val="0"/>
              <w:adjustRightInd w:val="0"/>
              <w:spacing w:after="0" w:line="276" w:lineRule="auto"/>
              <w:jc w:val="center"/>
              <w:rPr>
                <w:rFonts w:ascii="Times New Roman" w:hAnsi="Times New Roman"/>
                <w:b/>
                <w:bCs/>
                <w:sz w:val="20"/>
                <w:szCs w:val="20"/>
              </w:rPr>
            </w:pPr>
            <w:r w:rsidRPr="002407EF">
              <w:rPr>
                <w:rFonts w:ascii="Times New Roman" w:hAnsi="Times New Roman"/>
                <w:b/>
                <w:bCs/>
                <w:sz w:val="20"/>
                <w:szCs w:val="20"/>
              </w:rPr>
              <w:t>Suivi / Contrôle</w:t>
            </w: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764FFF" w:rsidRPr="00AA45E9" w:rsidRDefault="00764FFF" w:rsidP="00764FFF">
            <w:pPr>
              <w:autoSpaceDE w:val="0"/>
              <w:autoSpaceDN w:val="0"/>
              <w:adjustRightInd w:val="0"/>
              <w:spacing w:after="0" w:line="276" w:lineRule="auto"/>
              <w:jc w:val="center"/>
              <w:rPr>
                <w:rFonts w:ascii="Times New Roman" w:hAnsi="Times New Roman"/>
                <w:b/>
                <w:sz w:val="20"/>
                <w:szCs w:val="20"/>
              </w:rPr>
            </w:pPr>
          </w:p>
        </w:tc>
        <w:tc>
          <w:tcPr>
            <w:tcW w:w="1374" w:type="dxa"/>
            <w:vMerge/>
            <w:tcBorders>
              <w:top w:val="single" w:sz="4" w:space="0" w:color="auto"/>
              <w:left w:val="single" w:sz="4" w:space="0" w:color="auto"/>
              <w:bottom w:val="single" w:sz="4" w:space="0" w:color="auto"/>
              <w:right w:val="single" w:sz="4" w:space="0" w:color="auto"/>
            </w:tcBorders>
            <w:vAlign w:val="center"/>
            <w:hideMark/>
          </w:tcPr>
          <w:p w:rsidR="00764FFF" w:rsidRPr="00AA45E9" w:rsidRDefault="00764FFF" w:rsidP="00764FFF">
            <w:pPr>
              <w:autoSpaceDE w:val="0"/>
              <w:autoSpaceDN w:val="0"/>
              <w:adjustRightInd w:val="0"/>
              <w:spacing w:after="0" w:line="276" w:lineRule="auto"/>
              <w:jc w:val="center"/>
              <w:rPr>
                <w:rFonts w:ascii="Times New Roman" w:hAnsi="Times New Roman"/>
                <w:b/>
                <w:sz w:val="20"/>
                <w:szCs w:val="20"/>
              </w:rPr>
            </w:pPr>
          </w:p>
        </w:tc>
        <w:tc>
          <w:tcPr>
            <w:tcW w:w="1326" w:type="dxa"/>
            <w:vMerge/>
            <w:tcBorders>
              <w:top w:val="single" w:sz="4" w:space="0" w:color="auto"/>
              <w:left w:val="single" w:sz="4" w:space="0" w:color="auto"/>
              <w:bottom w:val="single" w:sz="4" w:space="0" w:color="auto"/>
              <w:right w:val="single" w:sz="4" w:space="0" w:color="auto"/>
            </w:tcBorders>
            <w:vAlign w:val="center"/>
            <w:hideMark/>
          </w:tcPr>
          <w:p w:rsidR="00764FFF" w:rsidRPr="00AA45E9" w:rsidRDefault="00764FFF" w:rsidP="00764FFF">
            <w:pPr>
              <w:autoSpaceDE w:val="0"/>
              <w:autoSpaceDN w:val="0"/>
              <w:adjustRightInd w:val="0"/>
              <w:spacing w:after="0" w:line="276" w:lineRule="auto"/>
              <w:jc w:val="center"/>
              <w:rPr>
                <w:rFonts w:ascii="Times New Roman" w:hAnsi="Times New Roman"/>
                <w:b/>
                <w:bCs/>
                <w:sz w:val="20"/>
                <w:szCs w:val="20"/>
              </w:rPr>
            </w:pPr>
          </w:p>
        </w:tc>
      </w:tr>
      <w:tr w:rsidR="00775D3E" w:rsidRPr="00AA45E9" w:rsidTr="002407EF">
        <w:trPr>
          <w:trHeight w:val="389"/>
          <w:jc w:val="center"/>
        </w:trPr>
        <w:tc>
          <w:tcPr>
            <w:tcW w:w="1418"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rsidR="00775D3E" w:rsidRPr="00AA45E9" w:rsidRDefault="00775D3E" w:rsidP="00775D3E">
            <w:pPr>
              <w:autoSpaceDE w:val="0"/>
              <w:autoSpaceDN w:val="0"/>
              <w:adjustRightInd w:val="0"/>
              <w:spacing w:after="0" w:line="276" w:lineRule="auto"/>
              <w:jc w:val="center"/>
              <w:rPr>
                <w:rFonts w:ascii="Times New Roman" w:hAnsi="Times New Roman"/>
                <w:b/>
                <w:bCs/>
                <w:sz w:val="20"/>
                <w:szCs w:val="20"/>
              </w:rPr>
            </w:pPr>
            <w:r>
              <w:rPr>
                <w:rFonts w:ascii="Times New Roman" w:hAnsi="Times New Roman"/>
                <w:b/>
                <w:bCs/>
                <w:sz w:val="20"/>
                <w:szCs w:val="20"/>
              </w:rPr>
              <w:t>Paysages</w:t>
            </w:r>
          </w:p>
        </w:tc>
        <w:tc>
          <w:tcPr>
            <w:tcW w:w="1843" w:type="dxa"/>
            <w:tcBorders>
              <w:top w:val="single" w:sz="4" w:space="0" w:color="auto"/>
              <w:left w:val="single" w:sz="4" w:space="0" w:color="auto"/>
              <w:bottom w:val="single" w:sz="4" w:space="0" w:color="auto"/>
              <w:right w:val="single" w:sz="4" w:space="0" w:color="auto"/>
            </w:tcBorders>
            <w:vAlign w:val="center"/>
          </w:tcPr>
          <w:p w:rsidR="00775D3E" w:rsidRPr="008E3BDC" w:rsidRDefault="00775D3E" w:rsidP="00775D3E">
            <w:pPr>
              <w:spacing w:after="0"/>
              <w:jc w:val="both"/>
              <w:rPr>
                <w:rFonts w:ascii="Times New Roman" w:hAnsi="Times New Roman" w:cs="Times New Roman"/>
                <w:color w:val="000000"/>
                <w:sz w:val="20"/>
                <w:szCs w:val="20"/>
              </w:rPr>
            </w:pPr>
            <w:r w:rsidRPr="008E3BDC">
              <w:rPr>
                <w:rFonts w:ascii="Times New Roman" w:hAnsi="Times New Roman" w:cs="Times New Roman"/>
                <w:color w:val="000000"/>
                <w:sz w:val="20"/>
                <w:szCs w:val="20"/>
              </w:rPr>
              <w:t xml:space="preserve">Création d’une végétation verdoyante et des arbres d’ornement ou d’ombrage au niveau des sites  </w:t>
            </w:r>
          </w:p>
        </w:tc>
        <w:tc>
          <w:tcPr>
            <w:tcW w:w="3118" w:type="dxa"/>
            <w:tcBorders>
              <w:top w:val="single" w:sz="4" w:space="0" w:color="auto"/>
              <w:left w:val="single" w:sz="4" w:space="0" w:color="auto"/>
              <w:bottom w:val="single" w:sz="4" w:space="0" w:color="auto"/>
              <w:right w:val="single" w:sz="4" w:space="0" w:color="auto"/>
            </w:tcBorders>
            <w:vAlign w:val="center"/>
          </w:tcPr>
          <w:p w:rsidR="00775D3E" w:rsidRDefault="00775D3E" w:rsidP="00775D3E">
            <w:pPr>
              <w:autoSpaceDE w:val="0"/>
              <w:autoSpaceDN w:val="0"/>
              <w:adjustRightInd w:val="0"/>
              <w:spacing w:after="0"/>
              <w:jc w:val="both"/>
              <w:rPr>
                <w:rFonts w:ascii="Times New Roman" w:hAnsi="Times New Roman"/>
              </w:rPr>
            </w:pPr>
            <w:r>
              <w:rPr>
                <w:rFonts w:ascii="Times New Roman" w:hAnsi="Times New Roman"/>
              </w:rPr>
              <w:t>-Utiliser les eaux au niveau des déversements du trop-plein pour arrosage des arbres d’ornement ou d’ombrage ;</w:t>
            </w:r>
          </w:p>
          <w:p w:rsidR="00775D3E" w:rsidRPr="008E3BDC" w:rsidRDefault="00775D3E" w:rsidP="00775D3E">
            <w:pPr>
              <w:autoSpaceDE w:val="0"/>
              <w:autoSpaceDN w:val="0"/>
              <w:adjustRightInd w:val="0"/>
              <w:spacing w:after="0"/>
              <w:jc w:val="both"/>
              <w:rPr>
                <w:rFonts w:ascii="Times New Roman" w:hAnsi="Times New Roman"/>
              </w:rPr>
            </w:pPr>
            <w:r>
              <w:rPr>
                <w:rFonts w:ascii="Times New Roman" w:hAnsi="Times New Roman"/>
              </w:rPr>
              <w:t xml:space="preserve">-Recruter des jardiniers pour l’entretien des jardins ; </w:t>
            </w:r>
          </w:p>
        </w:tc>
        <w:tc>
          <w:tcPr>
            <w:tcW w:w="2308" w:type="dxa"/>
            <w:tcBorders>
              <w:top w:val="single" w:sz="4" w:space="0" w:color="auto"/>
              <w:left w:val="single" w:sz="4" w:space="0" w:color="auto"/>
              <w:bottom w:val="single" w:sz="4" w:space="0" w:color="auto"/>
              <w:right w:val="single" w:sz="4" w:space="0" w:color="auto"/>
            </w:tcBorders>
            <w:vAlign w:val="center"/>
          </w:tcPr>
          <w:p w:rsidR="00775D3E" w:rsidRPr="00775D3E" w:rsidRDefault="00775D3E" w:rsidP="00775D3E">
            <w:pPr>
              <w:autoSpaceDE w:val="0"/>
              <w:autoSpaceDN w:val="0"/>
              <w:adjustRightInd w:val="0"/>
              <w:spacing w:after="0" w:line="276" w:lineRule="auto"/>
              <w:jc w:val="both"/>
              <w:rPr>
                <w:rFonts w:ascii="Times New Roman" w:hAnsi="Times New Roman"/>
                <w:sz w:val="20"/>
                <w:szCs w:val="20"/>
              </w:rPr>
            </w:pPr>
            <w:r>
              <w:rPr>
                <w:rFonts w:ascii="Times New Roman" w:hAnsi="Times New Roman"/>
                <w:sz w:val="20"/>
                <w:szCs w:val="20"/>
              </w:rPr>
              <w:t>-</w:t>
            </w:r>
            <w:r w:rsidRPr="00775D3E">
              <w:rPr>
                <w:rFonts w:ascii="Times New Roman" w:hAnsi="Times New Roman"/>
                <w:sz w:val="20"/>
                <w:szCs w:val="20"/>
              </w:rPr>
              <w:t xml:space="preserve">Présence d’arbres d’ornement ou d’ombrage </w:t>
            </w:r>
          </w:p>
          <w:p w:rsidR="00775D3E" w:rsidRDefault="00775D3E" w:rsidP="00775D3E">
            <w:pPr>
              <w:autoSpaceDE w:val="0"/>
              <w:autoSpaceDN w:val="0"/>
              <w:adjustRightInd w:val="0"/>
              <w:spacing w:after="0" w:line="276" w:lineRule="auto"/>
              <w:jc w:val="both"/>
              <w:rPr>
                <w:rFonts w:ascii="Times New Roman" w:hAnsi="Times New Roman"/>
                <w:sz w:val="20"/>
                <w:szCs w:val="20"/>
              </w:rPr>
            </w:pPr>
            <w:r w:rsidRPr="00775D3E">
              <w:rPr>
                <w:rFonts w:ascii="Times New Roman" w:hAnsi="Times New Roman"/>
                <w:sz w:val="20"/>
                <w:szCs w:val="20"/>
              </w:rPr>
              <w:t>-</w:t>
            </w:r>
            <w:r>
              <w:rPr>
                <w:rFonts w:ascii="Times New Roman" w:hAnsi="Times New Roman"/>
                <w:sz w:val="20"/>
                <w:szCs w:val="20"/>
              </w:rPr>
              <w:t>Présence d’un contrat</w:t>
            </w:r>
          </w:p>
          <w:p w:rsidR="00775D3E" w:rsidRPr="00775D3E" w:rsidRDefault="00775D3E" w:rsidP="00775D3E">
            <w:pPr>
              <w:autoSpaceDE w:val="0"/>
              <w:autoSpaceDN w:val="0"/>
              <w:adjustRightInd w:val="0"/>
              <w:spacing w:after="0" w:line="276" w:lineRule="auto"/>
              <w:jc w:val="both"/>
              <w:rPr>
                <w:rFonts w:ascii="Times New Roman" w:hAnsi="Times New Roman"/>
                <w:sz w:val="20"/>
                <w:szCs w:val="20"/>
              </w:rPr>
            </w:pPr>
            <w:r>
              <w:rPr>
                <w:rFonts w:ascii="Times New Roman" w:hAnsi="Times New Roman"/>
                <w:sz w:val="20"/>
                <w:szCs w:val="20"/>
              </w:rPr>
              <w:t xml:space="preserve">-Présence d’un jardin </w:t>
            </w:r>
          </w:p>
        </w:tc>
        <w:tc>
          <w:tcPr>
            <w:tcW w:w="1275"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775D3E" w:rsidRPr="002407EF" w:rsidRDefault="00775D3E" w:rsidP="00775D3E">
            <w:pPr>
              <w:autoSpaceDE w:val="0"/>
              <w:autoSpaceDN w:val="0"/>
              <w:adjustRightInd w:val="0"/>
              <w:spacing w:after="0" w:line="276" w:lineRule="auto"/>
              <w:jc w:val="center"/>
              <w:rPr>
                <w:rFonts w:ascii="Times New Roman" w:hAnsi="Times New Roman"/>
                <w:b/>
                <w:bCs/>
                <w:sz w:val="20"/>
                <w:szCs w:val="20"/>
              </w:rPr>
            </w:pPr>
            <w:r w:rsidRPr="002407EF">
              <w:rPr>
                <w:rFonts w:ascii="Times New Roman" w:hAnsi="Times New Roman"/>
                <w:b/>
                <w:bCs/>
                <w:sz w:val="20"/>
                <w:szCs w:val="20"/>
              </w:rPr>
              <w:t>PUASEE-FA</w:t>
            </w:r>
          </w:p>
          <w:p w:rsidR="00775D3E" w:rsidRPr="002407EF" w:rsidRDefault="00076CED" w:rsidP="00775D3E">
            <w:pPr>
              <w:autoSpaceDE w:val="0"/>
              <w:autoSpaceDN w:val="0"/>
              <w:adjustRightInd w:val="0"/>
              <w:spacing w:after="0" w:line="276" w:lineRule="auto"/>
              <w:jc w:val="center"/>
              <w:rPr>
                <w:rFonts w:ascii="Times New Roman" w:hAnsi="Times New Roman"/>
                <w:b/>
                <w:bCs/>
                <w:sz w:val="20"/>
                <w:szCs w:val="20"/>
              </w:rPr>
            </w:pPr>
            <w:r w:rsidRPr="002407EF">
              <w:rPr>
                <w:rFonts w:ascii="Times New Roman" w:hAnsi="Times New Roman"/>
                <w:b/>
                <w:bCs/>
                <w:sz w:val="20"/>
                <w:szCs w:val="20"/>
              </w:rPr>
              <w:t>EAGB</w:t>
            </w:r>
          </w:p>
        </w:tc>
        <w:tc>
          <w:tcPr>
            <w:tcW w:w="1701"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775D3E" w:rsidRPr="002407EF" w:rsidRDefault="00775D3E" w:rsidP="00775D3E">
            <w:pPr>
              <w:autoSpaceDE w:val="0"/>
              <w:autoSpaceDN w:val="0"/>
              <w:adjustRightInd w:val="0"/>
              <w:spacing w:after="0" w:line="276" w:lineRule="auto"/>
              <w:rPr>
                <w:rFonts w:ascii="Times New Roman" w:hAnsi="Times New Roman"/>
                <w:b/>
              </w:rPr>
            </w:pPr>
            <w:r w:rsidRPr="002407EF">
              <w:rPr>
                <w:rFonts w:ascii="Times New Roman" w:hAnsi="Times New Roman"/>
                <w:b/>
              </w:rPr>
              <w:t xml:space="preserve">        MDC</w:t>
            </w:r>
          </w:p>
          <w:p w:rsidR="00775D3E" w:rsidRPr="002407EF" w:rsidRDefault="00775D3E" w:rsidP="00775D3E">
            <w:pPr>
              <w:autoSpaceDE w:val="0"/>
              <w:autoSpaceDN w:val="0"/>
              <w:adjustRightInd w:val="0"/>
              <w:spacing w:after="0" w:line="276" w:lineRule="auto"/>
              <w:jc w:val="center"/>
              <w:rPr>
                <w:rFonts w:ascii="Times New Roman" w:hAnsi="Times New Roman"/>
                <w:b/>
                <w:bCs/>
                <w:sz w:val="20"/>
                <w:szCs w:val="20"/>
              </w:rPr>
            </w:pPr>
          </w:p>
        </w:tc>
        <w:tc>
          <w:tcPr>
            <w:tcW w:w="1418" w:type="dxa"/>
            <w:tcBorders>
              <w:top w:val="single" w:sz="4" w:space="0" w:color="auto"/>
              <w:left w:val="single" w:sz="4" w:space="0" w:color="auto"/>
              <w:bottom w:val="single" w:sz="4" w:space="0" w:color="auto"/>
              <w:right w:val="single" w:sz="4" w:space="0" w:color="auto"/>
            </w:tcBorders>
            <w:vAlign w:val="center"/>
          </w:tcPr>
          <w:p w:rsidR="00775D3E" w:rsidRPr="00AA45E9" w:rsidRDefault="00775D3E" w:rsidP="00775D3E">
            <w:pPr>
              <w:autoSpaceDE w:val="0"/>
              <w:autoSpaceDN w:val="0"/>
              <w:adjustRightInd w:val="0"/>
              <w:spacing w:after="0" w:line="276" w:lineRule="auto"/>
              <w:jc w:val="center"/>
              <w:rPr>
                <w:rFonts w:ascii="Times New Roman" w:hAnsi="Times New Roman"/>
                <w:b/>
                <w:sz w:val="20"/>
                <w:szCs w:val="20"/>
              </w:rPr>
            </w:pPr>
            <w:r w:rsidRPr="00AA45E9">
              <w:rPr>
                <w:rFonts w:ascii="Times New Roman" w:hAnsi="Times New Roman"/>
              </w:rPr>
              <w:t>Durant l’exploitation / deux fois par an</w:t>
            </w:r>
          </w:p>
        </w:tc>
        <w:tc>
          <w:tcPr>
            <w:tcW w:w="1374"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rsidR="00775D3E" w:rsidRPr="00AA45E9" w:rsidRDefault="00775D3E" w:rsidP="00775D3E">
            <w:pPr>
              <w:autoSpaceDE w:val="0"/>
              <w:autoSpaceDN w:val="0"/>
              <w:adjustRightInd w:val="0"/>
              <w:spacing w:after="0" w:line="276" w:lineRule="auto"/>
              <w:jc w:val="center"/>
              <w:rPr>
                <w:rFonts w:ascii="Times New Roman" w:hAnsi="Times New Roman"/>
                <w:b/>
                <w:sz w:val="20"/>
                <w:szCs w:val="20"/>
              </w:rPr>
            </w:pPr>
            <w:r>
              <w:rPr>
                <w:rFonts w:ascii="Times New Roman" w:hAnsi="Times New Roman"/>
                <w:b/>
                <w:sz w:val="20"/>
                <w:szCs w:val="20"/>
              </w:rPr>
              <w:t>750 000</w:t>
            </w:r>
          </w:p>
        </w:tc>
        <w:tc>
          <w:tcPr>
            <w:tcW w:w="1326" w:type="dxa"/>
            <w:tcBorders>
              <w:top w:val="single" w:sz="4" w:space="0" w:color="auto"/>
              <w:left w:val="single" w:sz="4" w:space="0" w:color="auto"/>
              <w:bottom w:val="single" w:sz="4" w:space="0" w:color="auto"/>
              <w:right w:val="single" w:sz="4" w:space="0" w:color="auto"/>
            </w:tcBorders>
            <w:vAlign w:val="center"/>
          </w:tcPr>
          <w:p w:rsidR="00775D3E" w:rsidRPr="00AA45E9" w:rsidRDefault="00775D3E" w:rsidP="00775D3E">
            <w:pPr>
              <w:autoSpaceDE w:val="0"/>
              <w:autoSpaceDN w:val="0"/>
              <w:adjustRightInd w:val="0"/>
              <w:spacing w:after="0" w:line="276" w:lineRule="auto"/>
              <w:jc w:val="center"/>
              <w:rPr>
                <w:rFonts w:ascii="Times New Roman" w:hAnsi="Times New Roman"/>
                <w:b/>
                <w:bCs/>
                <w:sz w:val="20"/>
                <w:szCs w:val="20"/>
              </w:rPr>
            </w:pPr>
            <w:r w:rsidRPr="00AA45E9">
              <w:rPr>
                <w:rFonts w:ascii="Times New Roman" w:hAnsi="Times New Roman"/>
                <w:sz w:val="20"/>
                <w:szCs w:val="20"/>
              </w:rPr>
              <w:t>Coût inclus dans le protocole d’accord entre le promoteur et le CRS</w:t>
            </w:r>
          </w:p>
        </w:tc>
      </w:tr>
      <w:tr w:rsidR="00B424EA" w:rsidRPr="00AA45E9" w:rsidTr="002407EF">
        <w:trPr>
          <w:trHeight w:val="2198"/>
          <w:jc w:val="center"/>
        </w:trPr>
        <w:tc>
          <w:tcPr>
            <w:tcW w:w="1418" w:type="dxa"/>
            <w:vMerge w:val="restart"/>
            <w:tcBorders>
              <w:top w:val="single" w:sz="4" w:space="0" w:color="auto"/>
              <w:left w:val="single" w:sz="4" w:space="0" w:color="auto"/>
              <w:right w:val="single" w:sz="4" w:space="0" w:color="auto"/>
            </w:tcBorders>
            <w:shd w:val="clear" w:color="auto" w:fill="BDD6EE" w:themeFill="accent1" w:themeFillTint="66"/>
            <w:vAlign w:val="center"/>
            <w:hideMark/>
          </w:tcPr>
          <w:p w:rsidR="00B424EA" w:rsidRPr="00AA45E9" w:rsidRDefault="00B424EA" w:rsidP="00775D3E">
            <w:pPr>
              <w:autoSpaceDE w:val="0"/>
              <w:autoSpaceDN w:val="0"/>
              <w:adjustRightInd w:val="0"/>
              <w:spacing w:after="0" w:line="276" w:lineRule="auto"/>
              <w:jc w:val="center"/>
              <w:rPr>
                <w:rFonts w:ascii="Times New Roman" w:hAnsi="Times New Roman"/>
                <w:b/>
                <w:bCs/>
              </w:rPr>
            </w:pPr>
            <w:r w:rsidRPr="00AA45E9">
              <w:rPr>
                <w:rFonts w:ascii="Times New Roman" w:hAnsi="Times New Roman"/>
                <w:b/>
                <w:bCs/>
              </w:rPr>
              <w:t>Humain</w:t>
            </w:r>
          </w:p>
        </w:tc>
        <w:tc>
          <w:tcPr>
            <w:tcW w:w="1843" w:type="dxa"/>
            <w:tcBorders>
              <w:top w:val="single" w:sz="4" w:space="0" w:color="auto"/>
              <w:left w:val="single" w:sz="4" w:space="0" w:color="auto"/>
              <w:bottom w:val="single" w:sz="4" w:space="0" w:color="auto"/>
              <w:right w:val="single" w:sz="4" w:space="0" w:color="auto"/>
            </w:tcBorders>
            <w:vAlign w:val="center"/>
          </w:tcPr>
          <w:p w:rsidR="00B424EA" w:rsidRPr="0084300B" w:rsidRDefault="00B424EA" w:rsidP="00775D3E">
            <w:pPr>
              <w:autoSpaceDE w:val="0"/>
              <w:autoSpaceDN w:val="0"/>
              <w:adjustRightInd w:val="0"/>
              <w:spacing w:after="0" w:line="276" w:lineRule="auto"/>
              <w:jc w:val="both"/>
              <w:rPr>
                <w:rFonts w:ascii="Times New Roman" w:hAnsi="Times New Roman"/>
                <w:sz w:val="20"/>
                <w:szCs w:val="20"/>
              </w:rPr>
            </w:pPr>
            <w:r w:rsidRPr="0084300B">
              <w:rPr>
                <w:rFonts w:ascii="Times New Roman" w:hAnsi="Times New Roman" w:cs="Times New Roman"/>
                <w:color w:val="000000"/>
                <w:sz w:val="20"/>
                <w:szCs w:val="20"/>
              </w:rPr>
              <w:t>Atténuation significativement les déficits d’approvisionnement en eau potable</w:t>
            </w:r>
          </w:p>
        </w:tc>
        <w:tc>
          <w:tcPr>
            <w:tcW w:w="3118" w:type="dxa"/>
            <w:tcBorders>
              <w:top w:val="single" w:sz="4" w:space="0" w:color="auto"/>
              <w:left w:val="single" w:sz="4" w:space="0" w:color="auto"/>
              <w:bottom w:val="single" w:sz="4" w:space="0" w:color="auto"/>
              <w:right w:val="single" w:sz="4" w:space="0" w:color="auto"/>
            </w:tcBorders>
            <w:vAlign w:val="center"/>
          </w:tcPr>
          <w:p w:rsidR="00B424EA" w:rsidRDefault="00B424EA" w:rsidP="00775D3E">
            <w:pPr>
              <w:autoSpaceDE w:val="0"/>
              <w:autoSpaceDN w:val="0"/>
              <w:adjustRightInd w:val="0"/>
              <w:spacing w:after="0" w:line="276" w:lineRule="auto"/>
              <w:jc w:val="both"/>
              <w:rPr>
                <w:rFonts w:ascii="Times New Roman" w:hAnsi="Times New Roman"/>
                <w:sz w:val="20"/>
                <w:szCs w:val="20"/>
              </w:rPr>
            </w:pPr>
            <w:r>
              <w:rPr>
                <w:rFonts w:ascii="Times New Roman" w:hAnsi="Times New Roman"/>
                <w:sz w:val="20"/>
                <w:szCs w:val="20"/>
              </w:rPr>
              <w:t>-Connecter le maximum de ménage au niveau des nouveaux réservoirs ;</w:t>
            </w:r>
          </w:p>
          <w:p w:rsidR="00B424EA" w:rsidRDefault="00B424EA" w:rsidP="00775D3E">
            <w:pPr>
              <w:autoSpaceDE w:val="0"/>
              <w:autoSpaceDN w:val="0"/>
              <w:adjustRightInd w:val="0"/>
              <w:spacing w:after="0" w:line="276" w:lineRule="auto"/>
              <w:jc w:val="both"/>
              <w:rPr>
                <w:rFonts w:ascii="Times New Roman" w:hAnsi="Times New Roman"/>
                <w:sz w:val="20"/>
                <w:szCs w:val="20"/>
              </w:rPr>
            </w:pPr>
            <w:r>
              <w:rPr>
                <w:rFonts w:ascii="Times New Roman" w:hAnsi="Times New Roman"/>
                <w:sz w:val="20"/>
                <w:szCs w:val="20"/>
              </w:rPr>
              <w:t>-Mettre en place un système d’abonnement facile pour la population ;</w:t>
            </w:r>
          </w:p>
          <w:p w:rsidR="00B424EA" w:rsidRPr="00AA45E9" w:rsidRDefault="00B424EA" w:rsidP="00775D3E">
            <w:pPr>
              <w:autoSpaceDE w:val="0"/>
              <w:autoSpaceDN w:val="0"/>
              <w:adjustRightInd w:val="0"/>
              <w:spacing w:after="0" w:line="276" w:lineRule="auto"/>
              <w:jc w:val="both"/>
              <w:rPr>
                <w:rFonts w:ascii="Times New Roman" w:hAnsi="Times New Roman"/>
                <w:sz w:val="20"/>
                <w:szCs w:val="20"/>
              </w:rPr>
            </w:pPr>
            <w:r>
              <w:rPr>
                <w:rFonts w:ascii="Times New Roman" w:hAnsi="Times New Roman"/>
                <w:sz w:val="20"/>
                <w:szCs w:val="20"/>
              </w:rPr>
              <w:t>-Diminuer les frais d’adhésion au service ;</w:t>
            </w:r>
          </w:p>
        </w:tc>
        <w:tc>
          <w:tcPr>
            <w:tcW w:w="2308" w:type="dxa"/>
            <w:tcBorders>
              <w:top w:val="single" w:sz="4" w:space="0" w:color="auto"/>
              <w:left w:val="single" w:sz="4" w:space="0" w:color="auto"/>
              <w:bottom w:val="single" w:sz="4" w:space="0" w:color="auto"/>
              <w:right w:val="single" w:sz="4" w:space="0" w:color="auto"/>
            </w:tcBorders>
            <w:vAlign w:val="center"/>
          </w:tcPr>
          <w:p w:rsidR="00B424EA" w:rsidRDefault="00B424EA" w:rsidP="00775D3E">
            <w:pPr>
              <w:autoSpaceDE w:val="0"/>
              <w:autoSpaceDN w:val="0"/>
              <w:adjustRightInd w:val="0"/>
              <w:spacing w:after="0" w:line="276" w:lineRule="auto"/>
              <w:jc w:val="both"/>
              <w:rPr>
                <w:rFonts w:ascii="Times New Roman" w:hAnsi="Times New Roman"/>
                <w:sz w:val="20"/>
                <w:szCs w:val="20"/>
              </w:rPr>
            </w:pPr>
            <w:r>
              <w:rPr>
                <w:rFonts w:ascii="Times New Roman" w:hAnsi="Times New Roman"/>
                <w:sz w:val="20"/>
                <w:szCs w:val="20"/>
              </w:rPr>
              <w:t>-Nombre de ménages connectés au réservoir ;</w:t>
            </w:r>
          </w:p>
          <w:p w:rsidR="00B424EA" w:rsidRDefault="00B424EA" w:rsidP="00775D3E">
            <w:pPr>
              <w:autoSpaceDE w:val="0"/>
              <w:autoSpaceDN w:val="0"/>
              <w:adjustRightInd w:val="0"/>
              <w:spacing w:after="0" w:line="276" w:lineRule="auto"/>
              <w:jc w:val="both"/>
              <w:rPr>
                <w:rFonts w:ascii="Times New Roman" w:hAnsi="Times New Roman"/>
                <w:sz w:val="20"/>
                <w:szCs w:val="20"/>
              </w:rPr>
            </w:pPr>
            <w:r>
              <w:rPr>
                <w:rFonts w:ascii="Times New Roman" w:hAnsi="Times New Roman"/>
                <w:sz w:val="20"/>
                <w:szCs w:val="20"/>
              </w:rPr>
              <w:t>-Nombre de plainant par rapport au procédure d’abonnement ;</w:t>
            </w:r>
          </w:p>
          <w:p w:rsidR="00B424EA" w:rsidRDefault="00B424EA" w:rsidP="00775D3E">
            <w:pPr>
              <w:autoSpaceDE w:val="0"/>
              <w:autoSpaceDN w:val="0"/>
              <w:adjustRightInd w:val="0"/>
              <w:spacing w:after="0" w:line="276" w:lineRule="auto"/>
              <w:jc w:val="both"/>
              <w:rPr>
                <w:rFonts w:ascii="Times New Roman" w:hAnsi="Times New Roman"/>
                <w:sz w:val="20"/>
                <w:szCs w:val="20"/>
              </w:rPr>
            </w:pPr>
            <w:r>
              <w:rPr>
                <w:rFonts w:ascii="Times New Roman" w:hAnsi="Times New Roman"/>
                <w:sz w:val="20"/>
                <w:szCs w:val="20"/>
              </w:rPr>
              <w:t>-Présence des factures d’abonnement ;</w:t>
            </w:r>
          </w:p>
          <w:p w:rsidR="00B424EA" w:rsidRPr="00AA45E9" w:rsidRDefault="00B424EA" w:rsidP="00775D3E">
            <w:pPr>
              <w:autoSpaceDE w:val="0"/>
              <w:autoSpaceDN w:val="0"/>
              <w:adjustRightInd w:val="0"/>
              <w:spacing w:after="0" w:line="276" w:lineRule="auto"/>
              <w:jc w:val="both"/>
              <w:rPr>
                <w:rFonts w:ascii="Times New Roman" w:hAnsi="Times New Roman"/>
                <w:sz w:val="20"/>
                <w:szCs w:val="20"/>
              </w:rPr>
            </w:pPr>
          </w:p>
        </w:tc>
        <w:tc>
          <w:tcPr>
            <w:tcW w:w="1275"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rsidR="00B424EA" w:rsidRPr="002407EF" w:rsidRDefault="00B424EA" w:rsidP="00775D3E">
            <w:pPr>
              <w:autoSpaceDE w:val="0"/>
              <w:autoSpaceDN w:val="0"/>
              <w:adjustRightInd w:val="0"/>
              <w:spacing w:after="0" w:line="276" w:lineRule="auto"/>
              <w:jc w:val="center"/>
              <w:rPr>
                <w:rFonts w:ascii="Times New Roman" w:hAnsi="Times New Roman"/>
                <w:b/>
              </w:rPr>
            </w:pPr>
            <w:r w:rsidRPr="002407EF">
              <w:rPr>
                <w:rFonts w:ascii="Times New Roman" w:hAnsi="Times New Roman"/>
                <w:b/>
              </w:rPr>
              <w:t>ETAT</w:t>
            </w:r>
          </w:p>
          <w:p w:rsidR="00B424EA" w:rsidRPr="002407EF" w:rsidRDefault="00076CED" w:rsidP="00775D3E">
            <w:pPr>
              <w:autoSpaceDE w:val="0"/>
              <w:autoSpaceDN w:val="0"/>
              <w:adjustRightInd w:val="0"/>
              <w:spacing w:after="0" w:line="276" w:lineRule="auto"/>
              <w:jc w:val="center"/>
              <w:rPr>
                <w:rFonts w:ascii="Times New Roman" w:hAnsi="Times New Roman"/>
                <w:b/>
              </w:rPr>
            </w:pPr>
            <w:r w:rsidRPr="002407EF">
              <w:rPr>
                <w:rFonts w:ascii="Times New Roman" w:hAnsi="Times New Roman"/>
                <w:b/>
              </w:rPr>
              <w:t>EAGB</w:t>
            </w:r>
          </w:p>
        </w:tc>
        <w:tc>
          <w:tcPr>
            <w:tcW w:w="1701"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rsidR="00B424EA" w:rsidRPr="002407EF" w:rsidRDefault="00B424EA" w:rsidP="00775D3E">
            <w:pPr>
              <w:autoSpaceDE w:val="0"/>
              <w:autoSpaceDN w:val="0"/>
              <w:adjustRightInd w:val="0"/>
              <w:spacing w:after="0" w:line="276" w:lineRule="auto"/>
              <w:jc w:val="center"/>
              <w:rPr>
                <w:rFonts w:ascii="Times New Roman" w:hAnsi="Times New Roman"/>
                <w:b/>
              </w:rPr>
            </w:pPr>
            <w:r w:rsidRPr="002407EF">
              <w:rPr>
                <w:rFonts w:ascii="Times New Roman" w:hAnsi="Times New Roman"/>
                <w:b/>
              </w:rPr>
              <w:t>Comité de suivi</w:t>
            </w:r>
          </w:p>
        </w:tc>
        <w:tc>
          <w:tcPr>
            <w:tcW w:w="1418" w:type="dxa"/>
            <w:tcBorders>
              <w:top w:val="single" w:sz="4" w:space="0" w:color="auto"/>
              <w:left w:val="single" w:sz="4" w:space="0" w:color="auto"/>
              <w:bottom w:val="single" w:sz="4" w:space="0" w:color="auto"/>
              <w:right w:val="single" w:sz="4" w:space="0" w:color="auto"/>
            </w:tcBorders>
            <w:vAlign w:val="center"/>
            <w:hideMark/>
          </w:tcPr>
          <w:p w:rsidR="00B424EA" w:rsidRPr="00AA45E9" w:rsidRDefault="00B424EA" w:rsidP="00775D3E">
            <w:pPr>
              <w:autoSpaceDE w:val="0"/>
              <w:autoSpaceDN w:val="0"/>
              <w:adjustRightInd w:val="0"/>
              <w:spacing w:after="0" w:line="276" w:lineRule="auto"/>
              <w:jc w:val="center"/>
              <w:rPr>
                <w:rFonts w:ascii="Times New Roman" w:hAnsi="Times New Roman"/>
              </w:rPr>
            </w:pPr>
            <w:r w:rsidRPr="00AA45E9">
              <w:rPr>
                <w:rFonts w:ascii="Times New Roman" w:hAnsi="Times New Roman"/>
              </w:rPr>
              <w:t>Durant l’exploitation / deux fois par an</w:t>
            </w:r>
          </w:p>
        </w:tc>
        <w:tc>
          <w:tcPr>
            <w:tcW w:w="1374"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rsidR="00B424EA" w:rsidRPr="00AA45E9" w:rsidRDefault="00B424EA" w:rsidP="00775D3E">
            <w:pPr>
              <w:autoSpaceDE w:val="0"/>
              <w:autoSpaceDN w:val="0"/>
              <w:adjustRightInd w:val="0"/>
              <w:spacing w:after="0" w:line="276" w:lineRule="auto"/>
              <w:jc w:val="center"/>
              <w:rPr>
                <w:rFonts w:ascii="Times New Roman" w:hAnsi="Times New Roman"/>
                <w:b/>
              </w:rPr>
            </w:pPr>
            <w:r>
              <w:rPr>
                <w:rFonts w:ascii="Times New Roman" w:hAnsi="Times New Roman"/>
                <w:b/>
              </w:rPr>
              <w:t>PM</w:t>
            </w:r>
          </w:p>
          <w:p w:rsidR="00B424EA" w:rsidRPr="00AA45E9" w:rsidRDefault="00B424EA" w:rsidP="00775D3E">
            <w:pPr>
              <w:autoSpaceDE w:val="0"/>
              <w:autoSpaceDN w:val="0"/>
              <w:adjustRightInd w:val="0"/>
              <w:spacing w:after="0" w:line="276" w:lineRule="auto"/>
              <w:jc w:val="center"/>
              <w:rPr>
                <w:rFonts w:ascii="Times New Roman" w:hAnsi="Times New Roman"/>
                <w:b/>
              </w:rPr>
            </w:pPr>
          </w:p>
        </w:tc>
        <w:tc>
          <w:tcPr>
            <w:tcW w:w="1326" w:type="dxa"/>
            <w:tcBorders>
              <w:top w:val="single" w:sz="4" w:space="0" w:color="auto"/>
              <w:left w:val="single" w:sz="4" w:space="0" w:color="auto"/>
              <w:bottom w:val="single" w:sz="4" w:space="0" w:color="auto"/>
              <w:right w:val="single" w:sz="4" w:space="0" w:color="auto"/>
            </w:tcBorders>
            <w:vAlign w:val="center"/>
            <w:hideMark/>
          </w:tcPr>
          <w:p w:rsidR="00B424EA" w:rsidRPr="00AA45E9" w:rsidRDefault="00B424EA" w:rsidP="00775D3E">
            <w:pPr>
              <w:autoSpaceDE w:val="0"/>
              <w:autoSpaceDN w:val="0"/>
              <w:adjustRightInd w:val="0"/>
              <w:spacing w:after="0" w:line="276" w:lineRule="auto"/>
              <w:jc w:val="center"/>
              <w:rPr>
                <w:rFonts w:ascii="Times New Roman" w:hAnsi="Times New Roman"/>
                <w:sz w:val="20"/>
                <w:szCs w:val="20"/>
              </w:rPr>
            </w:pPr>
            <w:r w:rsidRPr="00AA45E9">
              <w:rPr>
                <w:rFonts w:ascii="Times New Roman" w:hAnsi="Times New Roman"/>
                <w:sz w:val="20"/>
                <w:szCs w:val="20"/>
              </w:rPr>
              <w:t>Coût inclus dans le protocole d’accord entre le promoteur et le CRS</w:t>
            </w:r>
          </w:p>
        </w:tc>
      </w:tr>
      <w:tr w:rsidR="00B424EA" w:rsidRPr="00AA45E9" w:rsidTr="002407EF">
        <w:trPr>
          <w:trHeight w:val="2198"/>
          <w:jc w:val="center"/>
        </w:trPr>
        <w:tc>
          <w:tcPr>
            <w:tcW w:w="1418" w:type="dxa"/>
            <w:vMerge/>
            <w:tcBorders>
              <w:left w:val="single" w:sz="4" w:space="0" w:color="auto"/>
              <w:right w:val="single" w:sz="4" w:space="0" w:color="auto"/>
            </w:tcBorders>
            <w:shd w:val="clear" w:color="auto" w:fill="BDD6EE" w:themeFill="accent1" w:themeFillTint="66"/>
            <w:vAlign w:val="center"/>
          </w:tcPr>
          <w:p w:rsidR="00B424EA" w:rsidRPr="00AA45E9" w:rsidRDefault="00B424EA" w:rsidP="00003BB4">
            <w:pPr>
              <w:autoSpaceDE w:val="0"/>
              <w:autoSpaceDN w:val="0"/>
              <w:adjustRightInd w:val="0"/>
              <w:spacing w:after="0" w:line="276" w:lineRule="auto"/>
              <w:jc w:val="center"/>
              <w:rPr>
                <w:rFonts w:ascii="Times New Roman" w:hAnsi="Times New Roman"/>
                <w:b/>
                <w:bCs/>
              </w:rPr>
            </w:pPr>
          </w:p>
        </w:tc>
        <w:tc>
          <w:tcPr>
            <w:tcW w:w="1843" w:type="dxa"/>
            <w:tcBorders>
              <w:top w:val="single" w:sz="4" w:space="0" w:color="auto"/>
              <w:left w:val="single" w:sz="4" w:space="0" w:color="auto"/>
              <w:bottom w:val="single" w:sz="4" w:space="0" w:color="auto"/>
              <w:right w:val="single" w:sz="4" w:space="0" w:color="auto"/>
            </w:tcBorders>
            <w:vAlign w:val="center"/>
          </w:tcPr>
          <w:p w:rsidR="00B424EA" w:rsidRPr="002007AE" w:rsidRDefault="00B424EA" w:rsidP="00003BB4">
            <w:pPr>
              <w:autoSpaceDE w:val="0"/>
              <w:autoSpaceDN w:val="0"/>
              <w:adjustRightInd w:val="0"/>
              <w:spacing w:after="0" w:line="276" w:lineRule="auto"/>
              <w:jc w:val="both"/>
              <w:rPr>
                <w:rFonts w:ascii="Times New Roman" w:hAnsi="Times New Roman" w:cs="Times New Roman"/>
                <w:color w:val="000000"/>
                <w:sz w:val="20"/>
                <w:szCs w:val="20"/>
              </w:rPr>
            </w:pPr>
            <w:r w:rsidRPr="002007AE">
              <w:rPr>
                <w:rFonts w:ascii="Times New Roman" w:hAnsi="Times New Roman" w:cs="Times New Roman"/>
                <w:color w:val="000000"/>
                <w:sz w:val="20"/>
                <w:szCs w:val="20"/>
              </w:rPr>
              <w:t>Réduction de la prévalence des maladies d’origine hydrique</w:t>
            </w:r>
          </w:p>
        </w:tc>
        <w:tc>
          <w:tcPr>
            <w:tcW w:w="3118" w:type="dxa"/>
            <w:tcBorders>
              <w:top w:val="single" w:sz="4" w:space="0" w:color="auto"/>
              <w:left w:val="single" w:sz="4" w:space="0" w:color="auto"/>
              <w:bottom w:val="single" w:sz="4" w:space="0" w:color="auto"/>
              <w:right w:val="single" w:sz="4" w:space="0" w:color="auto"/>
            </w:tcBorders>
            <w:vAlign w:val="center"/>
          </w:tcPr>
          <w:p w:rsidR="00B424EA" w:rsidRPr="002007AE" w:rsidRDefault="00B424EA" w:rsidP="00FA3FAE">
            <w:pPr>
              <w:pStyle w:val="PargrafodaLista"/>
              <w:numPr>
                <w:ilvl w:val="0"/>
                <w:numId w:val="103"/>
              </w:numPr>
              <w:autoSpaceDE w:val="0"/>
              <w:autoSpaceDN w:val="0"/>
              <w:adjustRightInd w:val="0"/>
              <w:spacing w:after="0"/>
              <w:jc w:val="both"/>
              <w:rPr>
                <w:rFonts w:ascii="Times New Roman" w:hAnsi="Times New Roman"/>
              </w:rPr>
            </w:pPr>
            <w:r w:rsidRPr="002007AE">
              <w:rPr>
                <w:rFonts w:ascii="Times New Roman" w:hAnsi="Times New Roman"/>
                <w:lang w:val="fr-FR"/>
              </w:rPr>
              <w:t>Organiser des campagnes de sensibilisation</w:t>
            </w:r>
            <w:r>
              <w:rPr>
                <w:rFonts w:ascii="Times New Roman" w:hAnsi="Times New Roman"/>
                <w:lang w:val="fr-FR"/>
              </w:rPr>
              <w:t xml:space="preserve"> avec les services sanitaires pour lutter </w:t>
            </w:r>
            <w:r w:rsidRPr="002007AE">
              <w:rPr>
                <w:rFonts w:ascii="Times New Roman" w:hAnsi="Times New Roman"/>
                <w:lang w:val="fr-FR"/>
              </w:rPr>
              <w:t xml:space="preserve">contre utilisation </w:t>
            </w:r>
            <w:r w:rsidRPr="002007AE">
              <w:rPr>
                <w:rFonts w:ascii="Times New Roman" w:hAnsi="Times New Roman"/>
                <w:color w:val="000000"/>
              </w:rPr>
              <w:t>certaines nappes polluées directement par les ménages</w:t>
            </w:r>
            <w:r>
              <w:rPr>
                <w:rFonts w:ascii="Times New Roman" w:hAnsi="Times New Roman"/>
                <w:color w:val="000000"/>
              </w:rPr>
              <w:t> </w:t>
            </w:r>
            <w:r>
              <w:rPr>
                <w:rFonts w:ascii="Times New Roman" w:hAnsi="Times New Roman"/>
                <w:color w:val="000000"/>
                <w:lang w:val="fr-FR"/>
              </w:rPr>
              <w:t>;</w:t>
            </w:r>
          </w:p>
          <w:p w:rsidR="00B424EA" w:rsidRPr="00003BB4" w:rsidRDefault="00B424EA" w:rsidP="00FA3FAE">
            <w:pPr>
              <w:pStyle w:val="PargrafodaLista"/>
              <w:numPr>
                <w:ilvl w:val="0"/>
                <w:numId w:val="103"/>
              </w:numPr>
              <w:autoSpaceDE w:val="0"/>
              <w:autoSpaceDN w:val="0"/>
              <w:adjustRightInd w:val="0"/>
              <w:spacing w:after="0"/>
              <w:jc w:val="both"/>
              <w:rPr>
                <w:rFonts w:ascii="Times New Roman" w:hAnsi="Times New Roman"/>
              </w:rPr>
            </w:pPr>
            <w:r>
              <w:rPr>
                <w:rFonts w:ascii="Times New Roman" w:hAnsi="Times New Roman"/>
                <w:lang w:val="fr-FR"/>
              </w:rPr>
              <w:t>Installer des bornes fontaines dans les localisés qui ont pas les moyens de s’abonner ;</w:t>
            </w:r>
          </w:p>
        </w:tc>
        <w:tc>
          <w:tcPr>
            <w:tcW w:w="2308" w:type="dxa"/>
            <w:tcBorders>
              <w:top w:val="single" w:sz="4" w:space="0" w:color="auto"/>
              <w:left w:val="single" w:sz="4" w:space="0" w:color="auto"/>
              <w:bottom w:val="single" w:sz="4" w:space="0" w:color="auto"/>
              <w:right w:val="single" w:sz="4" w:space="0" w:color="auto"/>
            </w:tcBorders>
            <w:vAlign w:val="center"/>
          </w:tcPr>
          <w:p w:rsidR="00B424EA" w:rsidRDefault="00B424EA" w:rsidP="00003BB4">
            <w:pPr>
              <w:autoSpaceDE w:val="0"/>
              <w:autoSpaceDN w:val="0"/>
              <w:adjustRightInd w:val="0"/>
              <w:spacing w:after="0" w:line="276" w:lineRule="auto"/>
              <w:jc w:val="both"/>
              <w:rPr>
                <w:rFonts w:ascii="Times New Roman" w:hAnsi="Times New Roman"/>
                <w:sz w:val="20"/>
                <w:szCs w:val="20"/>
              </w:rPr>
            </w:pPr>
            <w:r>
              <w:rPr>
                <w:rFonts w:ascii="Times New Roman" w:hAnsi="Times New Roman"/>
                <w:sz w:val="20"/>
                <w:szCs w:val="20"/>
              </w:rPr>
              <w:t>- Nombre de campagnes organisée ;</w:t>
            </w:r>
          </w:p>
          <w:p w:rsidR="00B424EA" w:rsidRDefault="00B424EA" w:rsidP="00003BB4">
            <w:pPr>
              <w:autoSpaceDE w:val="0"/>
              <w:autoSpaceDN w:val="0"/>
              <w:adjustRightInd w:val="0"/>
              <w:spacing w:after="0" w:line="276" w:lineRule="auto"/>
              <w:jc w:val="both"/>
              <w:rPr>
                <w:rFonts w:ascii="Times New Roman" w:hAnsi="Times New Roman"/>
                <w:sz w:val="20"/>
                <w:szCs w:val="20"/>
              </w:rPr>
            </w:pPr>
            <w:r>
              <w:rPr>
                <w:rFonts w:ascii="Times New Roman" w:hAnsi="Times New Roman"/>
                <w:sz w:val="20"/>
                <w:szCs w:val="20"/>
              </w:rPr>
              <w:t>- Nombre de personnes sensibilisées ;</w:t>
            </w:r>
          </w:p>
          <w:p w:rsidR="00B424EA" w:rsidRDefault="00B424EA" w:rsidP="00003BB4">
            <w:pPr>
              <w:autoSpaceDE w:val="0"/>
              <w:autoSpaceDN w:val="0"/>
              <w:adjustRightInd w:val="0"/>
              <w:spacing w:after="0" w:line="276" w:lineRule="auto"/>
              <w:jc w:val="both"/>
              <w:rPr>
                <w:rFonts w:ascii="Times New Roman" w:hAnsi="Times New Roman"/>
                <w:sz w:val="20"/>
                <w:szCs w:val="20"/>
              </w:rPr>
            </w:pPr>
            <w:r>
              <w:rPr>
                <w:rFonts w:ascii="Times New Roman" w:hAnsi="Times New Roman"/>
                <w:sz w:val="20"/>
                <w:szCs w:val="20"/>
              </w:rPr>
              <w:t>- Nombre de bornes fontaine installés ;</w:t>
            </w:r>
          </w:p>
          <w:p w:rsidR="00B424EA" w:rsidRDefault="00B424EA" w:rsidP="00003BB4">
            <w:pPr>
              <w:autoSpaceDE w:val="0"/>
              <w:autoSpaceDN w:val="0"/>
              <w:adjustRightInd w:val="0"/>
              <w:spacing w:after="0" w:line="276" w:lineRule="auto"/>
              <w:jc w:val="both"/>
              <w:rPr>
                <w:rFonts w:ascii="Times New Roman" w:hAnsi="Times New Roman"/>
                <w:sz w:val="20"/>
                <w:szCs w:val="20"/>
              </w:rPr>
            </w:pPr>
          </w:p>
          <w:p w:rsidR="00B424EA" w:rsidRPr="002007AE" w:rsidRDefault="00B424EA" w:rsidP="00003BB4">
            <w:pPr>
              <w:autoSpaceDE w:val="0"/>
              <w:autoSpaceDN w:val="0"/>
              <w:adjustRightInd w:val="0"/>
              <w:spacing w:after="0" w:line="276" w:lineRule="auto"/>
              <w:jc w:val="both"/>
              <w:rPr>
                <w:rFonts w:ascii="Times New Roman" w:hAnsi="Times New Roman"/>
                <w:sz w:val="20"/>
                <w:szCs w:val="20"/>
              </w:rPr>
            </w:pPr>
          </w:p>
        </w:tc>
        <w:tc>
          <w:tcPr>
            <w:tcW w:w="1275"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B424EA" w:rsidRPr="002407EF" w:rsidRDefault="00B424EA" w:rsidP="00003BB4">
            <w:pPr>
              <w:autoSpaceDE w:val="0"/>
              <w:autoSpaceDN w:val="0"/>
              <w:adjustRightInd w:val="0"/>
              <w:spacing w:after="0" w:line="276" w:lineRule="auto"/>
              <w:jc w:val="center"/>
              <w:rPr>
                <w:rFonts w:ascii="Times New Roman" w:hAnsi="Times New Roman"/>
                <w:b/>
              </w:rPr>
            </w:pPr>
            <w:r w:rsidRPr="002407EF">
              <w:rPr>
                <w:rFonts w:ascii="Times New Roman" w:hAnsi="Times New Roman"/>
                <w:b/>
              </w:rPr>
              <w:t>ETAT</w:t>
            </w:r>
          </w:p>
          <w:p w:rsidR="00B424EA" w:rsidRPr="002407EF" w:rsidRDefault="00B424EA" w:rsidP="00003BB4">
            <w:pPr>
              <w:autoSpaceDE w:val="0"/>
              <w:autoSpaceDN w:val="0"/>
              <w:adjustRightInd w:val="0"/>
              <w:spacing w:after="0" w:line="276" w:lineRule="auto"/>
              <w:jc w:val="center"/>
              <w:rPr>
                <w:rFonts w:ascii="Times New Roman" w:hAnsi="Times New Roman"/>
                <w:b/>
              </w:rPr>
            </w:pPr>
            <w:r w:rsidRPr="002407EF">
              <w:rPr>
                <w:rFonts w:ascii="Times New Roman" w:hAnsi="Times New Roman"/>
                <w:b/>
              </w:rPr>
              <w:t>PUASEE-FA</w:t>
            </w:r>
          </w:p>
          <w:p w:rsidR="00B424EA" w:rsidRPr="002407EF" w:rsidRDefault="00076CED" w:rsidP="00003BB4">
            <w:pPr>
              <w:autoSpaceDE w:val="0"/>
              <w:autoSpaceDN w:val="0"/>
              <w:adjustRightInd w:val="0"/>
              <w:spacing w:after="0" w:line="276" w:lineRule="auto"/>
              <w:jc w:val="center"/>
              <w:rPr>
                <w:rFonts w:ascii="Times New Roman" w:hAnsi="Times New Roman"/>
                <w:b/>
              </w:rPr>
            </w:pPr>
            <w:r w:rsidRPr="002407EF">
              <w:rPr>
                <w:rFonts w:ascii="Times New Roman" w:hAnsi="Times New Roman"/>
                <w:b/>
              </w:rPr>
              <w:t>EAGB</w:t>
            </w:r>
          </w:p>
        </w:tc>
        <w:tc>
          <w:tcPr>
            <w:tcW w:w="1701"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B424EA" w:rsidRPr="002407EF" w:rsidRDefault="00B424EA" w:rsidP="00003BB4">
            <w:pPr>
              <w:autoSpaceDE w:val="0"/>
              <w:autoSpaceDN w:val="0"/>
              <w:adjustRightInd w:val="0"/>
              <w:spacing w:after="0" w:line="276" w:lineRule="auto"/>
              <w:jc w:val="center"/>
              <w:rPr>
                <w:rFonts w:ascii="Times New Roman" w:hAnsi="Times New Roman"/>
                <w:b/>
              </w:rPr>
            </w:pPr>
            <w:r w:rsidRPr="002407EF">
              <w:rPr>
                <w:rFonts w:ascii="Times New Roman" w:hAnsi="Times New Roman"/>
                <w:b/>
              </w:rPr>
              <w:t>Comité de suivi</w:t>
            </w:r>
          </w:p>
        </w:tc>
        <w:tc>
          <w:tcPr>
            <w:tcW w:w="1418" w:type="dxa"/>
            <w:tcBorders>
              <w:top w:val="single" w:sz="4" w:space="0" w:color="auto"/>
              <w:left w:val="single" w:sz="4" w:space="0" w:color="auto"/>
              <w:bottom w:val="single" w:sz="4" w:space="0" w:color="auto"/>
              <w:right w:val="single" w:sz="4" w:space="0" w:color="auto"/>
            </w:tcBorders>
            <w:vAlign w:val="center"/>
          </w:tcPr>
          <w:p w:rsidR="00B424EA" w:rsidRPr="00AA45E9" w:rsidRDefault="00B424EA" w:rsidP="00003BB4">
            <w:pPr>
              <w:autoSpaceDE w:val="0"/>
              <w:autoSpaceDN w:val="0"/>
              <w:adjustRightInd w:val="0"/>
              <w:spacing w:after="0" w:line="276" w:lineRule="auto"/>
              <w:jc w:val="center"/>
              <w:rPr>
                <w:rFonts w:ascii="Times New Roman" w:hAnsi="Times New Roman"/>
              </w:rPr>
            </w:pPr>
            <w:r>
              <w:rPr>
                <w:rFonts w:ascii="Times New Roman" w:hAnsi="Times New Roman"/>
              </w:rPr>
              <w:t>Durant l’exploitation / Trois</w:t>
            </w:r>
            <w:r w:rsidRPr="00AA45E9">
              <w:rPr>
                <w:rFonts w:ascii="Times New Roman" w:hAnsi="Times New Roman"/>
              </w:rPr>
              <w:t xml:space="preserve"> fois par an</w:t>
            </w:r>
          </w:p>
        </w:tc>
        <w:tc>
          <w:tcPr>
            <w:tcW w:w="1374"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rsidR="00B424EA" w:rsidRDefault="00B424EA" w:rsidP="00003BB4">
            <w:pPr>
              <w:autoSpaceDE w:val="0"/>
              <w:autoSpaceDN w:val="0"/>
              <w:adjustRightInd w:val="0"/>
              <w:spacing w:after="0" w:line="276" w:lineRule="auto"/>
              <w:jc w:val="center"/>
              <w:rPr>
                <w:rFonts w:ascii="Times New Roman" w:hAnsi="Times New Roman"/>
                <w:b/>
              </w:rPr>
            </w:pPr>
            <w:r w:rsidRPr="00AA45E9">
              <w:rPr>
                <w:rFonts w:ascii="Times New Roman" w:hAnsi="Times New Roman"/>
                <w:b/>
              </w:rPr>
              <w:t>3 000 000</w:t>
            </w:r>
          </w:p>
        </w:tc>
        <w:tc>
          <w:tcPr>
            <w:tcW w:w="1326" w:type="dxa"/>
            <w:tcBorders>
              <w:top w:val="single" w:sz="4" w:space="0" w:color="auto"/>
              <w:left w:val="single" w:sz="4" w:space="0" w:color="auto"/>
              <w:bottom w:val="single" w:sz="4" w:space="0" w:color="auto"/>
              <w:right w:val="single" w:sz="4" w:space="0" w:color="auto"/>
            </w:tcBorders>
            <w:vAlign w:val="center"/>
          </w:tcPr>
          <w:p w:rsidR="00B424EA" w:rsidRPr="00AA45E9" w:rsidRDefault="00B424EA" w:rsidP="00003BB4">
            <w:pPr>
              <w:autoSpaceDE w:val="0"/>
              <w:autoSpaceDN w:val="0"/>
              <w:adjustRightInd w:val="0"/>
              <w:spacing w:after="0" w:line="276" w:lineRule="auto"/>
              <w:jc w:val="center"/>
              <w:rPr>
                <w:rFonts w:ascii="Times New Roman" w:hAnsi="Times New Roman"/>
                <w:sz w:val="20"/>
                <w:szCs w:val="20"/>
              </w:rPr>
            </w:pPr>
            <w:r w:rsidRPr="00AA45E9">
              <w:rPr>
                <w:rFonts w:ascii="Times New Roman" w:hAnsi="Times New Roman"/>
                <w:sz w:val="20"/>
                <w:szCs w:val="20"/>
              </w:rPr>
              <w:t>Coût inclus dans le protocole d’accord entre le promoteur et le CRS</w:t>
            </w:r>
          </w:p>
        </w:tc>
      </w:tr>
      <w:tr w:rsidR="00B424EA" w:rsidRPr="00AA45E9" w:rsidTr="002407EF">
        <w:trPr>
          <w:trHeight w:val="474"/>
          <w:jc w:val="center"/>
        </w:trPr>
        <w:tc>
          <w:tcPr>
            <w:tcW w:w="1418" w:type="dxa"/>
            <w:vMerge/>
            <w:tcBorders>
              <w:left w:val="single" w:sz="4" w:space="0" w:color="auto"/>
              <w:right w:val="single" w:sz="4" w:space="0" w:color="auto"/>
            </w:tcBorders>
            <w:shd w:val="clear" w:color="auto" w:fill="BDD6EE" w:themeFill="accent1" w:themeFillTint="66"/>
            <w:vAlign w:val="center"/>
          </w:tcPr>
          <w:p w:rsidR="00B424EA" w:rsidRPr="00AA45E9" w:rsidRDefault="00B424EA" w:rsidP="00003BB4">
            <w:pPr>
              <w:autoSpaceDE w:val="0"/>
              <w:autoSpaceDN w:val="0"/>
              <w:adjustRightInd w:val="0"/>
              <w:spacing w:after="0" w:line="276" w:lineRule="auto"/>
              <w:jc w:val="center"/>
              <w:rPr>
                <w:rFonts w:ascii="Times New Roman" w:hAnsi="Times New Roman"/>
                <w:b/>
                <w:bCs/>
              </w:rPr>
            </w:pPr>
          </w:p>
        </w:tc>
        <w:tc>
          <w:tcPr>
            <w:tcW w:w="1843" w:type="dxa"/>
            <w:tcBorders>
              <w:top w:val="single" w:sz="4" w:space="0" w:color="auto"/>
              <w:left w:val="single" w:sz="4" w:space="0" w:color="auto"/>
              <w:bottom w:val="single" w:sz="4" w:space="0" w:color="auto"/>
              <w:right w:val="single" w:sz="4" w:space="0" w:color="auto"/>
            </w:tcBorders>
            <w:vAlign w:val="center"/>
          </w:tcPr>
          <w:p w:rsidR="00B424EA" w:rsidRPr="00AA45E9" w:rsidRDefault="00B424EA" w:rsidP="00003BB4">
            <w:pPr>
              <w:autoSpaceDE w:val="0"/>
              <w:autoSpaceDN w:val="0"/>
              <w:adjustRightInd w:val="0"/>
              <w:spacing w:after="0" w:line="276" w:lineRule="auto"/>
              <w:jc w:val="both"/>
              <w:rPr>
                <w:rFonts w:ascii="Times New Roman" w:hAnsi="Times New Roman"/>
                <w:sz w:val="20"/>
                <w:szCs w:val="20"/>
              </w:rPr>
            </w:pPr>
            <w:r w:rsidRPr="00AA45E9">
              <w:rPr>
                <w:rFonts w:ascii="Times New Roman" w:hAnsi="Times New Roman"/>
                <w:sz w:val="20"/>
                <w:szCs w:val="20"/>
              </w:rPr>
              <w:t xml:space="preserve">Réduction des coûts liés </w:t>
            </w:r>
            <w:r>
              <w:rPr>
                <w:rFonts w:ascii="Times New Roman" w:hAnsi="Times New Roman"/>
                <w:sz w:val="20"/>
                <w:szCs w:val="20"/>
              </w:rPr>
              <w:t xml:space="preserve">à l’utilisation de l’eau </w:t>
            </w:r>
          </w:p>
        </w:tc>
        <w:tc>
          <w:tcPr>
            <w:tcW w:w="3118" w:type="dxa"/>
            <w:tcBorders>
              <w:top w:val="single" w:sz="4" w:space="0" w:color="auto"/>
              <w:left w:val="single" w:sz="4" w:space="0" w:color="auto"/>
              <w:bottom w:val="single" w:sz="4" w:space="0" w:color="auto"/>
              <w:right w:val="single" w:sz="4" w:space="0" w:color="auto"/>
            </w:tcBorders>
            <w:vAlign w:val="center"/>
          </w:tcPr>
          <w:p w:rsidR="00B424EA" w:rsidRPr="00AA45E9" w:rsidRDefault="00B424EA" w:rsidP="00003BB4">
            <w:pPr>
              <w:autoSpaceDE w:val="0"/>
              <w:autoSpaceDN w:val="0"/>
              <w:adjustRightInd w:val="0"/>
              <w:spacing w:after="0" w:line="276" w:lineRule="auto"/>
              <w:jc w:val="both"/>
              <w:rPr>
                <w:rFonts w:ascii="Times New Roman" w:hAnsi="Times New Roman"/>
                <w:sz w:val="20"/>
                <w:szCs w:val="20"/>
              </w:rPr>
            </w:pPr>
            <w:r w:rsidRPr="00AA45E9">
              <w:rPr>
                <w:rFonts w:ascii="Times New Roman" w:hAnsi="Times New Roman"/>
                <w:sz w:val="20"/>
                <w:szCs w:val="20"/>
              </w:rPr>
              <w:t>-Réduire les couts de manière significative</w:t>
            </w:r>
            <w:r>
              <w:rPr>
                <w:rFonts w:ascii="Times New Roman" w:hAnsi="Times New Roman"/>
                <w:sz w:val="20"/>
                <w:szCs w:val="20"/>
              </w:rPr>
              <w:t xml:space="preserve"> au niveau de l’</w:t>
            </w:r>
            <w:r w:rsidR="00076CED">
              <w:rPr>
                <w:rFonts w:ascii="Times New Roman" w:hAnsi="Times New Roman"/>
                <w:sz w:val="20"/>
                <w:szCs w:val="20"/>
              </w:rPr>
              <w:t>EAGB</w:t>
            </w:r>
            <w:r>
              <w:rPr>
                <w:rFonts w:ascii="Times New Roman" w:hAnsi="Times New Roman"/>
                <w:sz w:val="20"/>
                <w:szCs w:val="20"/>
              </w:rPr>
              <w:t> ;</w:t>
            </w:r>
          </w:p>
          <w:p w:rsidR="00B424EA" w:rsidRPr="00AA45E9" w:rsidRDefault="00B424EA" w:rsidP="00003BB4">
            <w:pPr>
              <w:autoSpaceDE w:val="0"/>
              <w:autoSpaceDN w:val="0"/>
              <w:adjustRightInd w:val="0"/>
              <w:spacing w:after="0" w:line="276" w:lineRule="auto"/>
              <w:jc w:val="both"/>
              <w:rPr>
                <w:rFonts w:ascii="Times New Roman" w:hAnsi="Times New Roman"/>
                <w:sz w:val="20"/>
                <w:szCs w:val="20"/>
              </w:rPr>
            </w:pPr>
            <w:r w:rsidRPr="00AA45E9">
              <w:rPr>
                <w:rFonts w:ascii="Times New Roman" w:hAnsi="Times New Roman"/>
                <w:sz w:val="20"/>
                <w:szCs w:val="20"/>
              </w:rPr>
              <w:t>-Mettre en place un service de régulation et de contrôle des prix</w:t>
            </w:r>
            <w:r>
              <w:rPr>
                <w:rFonts w:ascii="Times New Roman" w:hAnsi="Times New Roman"/>
                <w:sz w:val="20"/>
                <w:szCs w:val="20"/>
              </w:rPr>
              <w:t> ;</w:t>
            </w:r>
          </w:p>
        </w:tc>
        <w:tc>
          <w:tcPr>
            <w:tcW w:w="2308" w:type="dxa"/>
            <w:tcBorders>
              <w:top w:val="single" w:sz="4" w:space="0" w:color="auto"/>
              <w:left w:val="single" w:sz="4" w:space="0" w:color="auto"/>
              <w:bottom w:val="single" w:sz="4" w:space="0" w:color="auto"/>
              <w:right w:val="single" w:sz="4" w:space="0" w:color="auto"/>
            </w:tcBorders>
            <w:vAlign w:val="center"/>
          </w:tcPr>
          <w:p w:rsidR="00B424EA" w:rsidRPr="00AA45E9" w:rsidRDefault="00B424EA" w:rsidP="00003BB4">
            <w:pPr>
              <w:autoSpaceDE w:val="0"/>
              <w:autoSpaceDN w:val="0"/>
              <w:adjustRightInd w:val="0"/>
              <w:spacing w:after="0" w:line="276" w:lineRule="auto"/>
              <w:jc w:val="both"/>
              <w:rPr>
                <w:rFonts w:ascii="Times New Roman" w:hAnsi="Times New Roman"/>
                <w:sz w:val="20"/>
                <w:szCs w:val="20"/>
              </w:rPr>
            </w:pPr>
            <w:r w:rsidRPr="00AA45E9">
              <w:rPr>
                <w:rFonts w:ascii="Times New Roman" w:hAnsi="Times New Roman"/>
                <w:sz w:val="20"/>
                <w:szCs w:val="20"/>
              </w:rPr>
              <w:t>-Couts d’accès réduits</w:t>
            </w:r>
          </w:p>
          <w:p w:rsidR="00B424EA" w:rsidRPr="00AA45E9" w:rsidRDefault="00B424EA" w:rsidP="00003BB4">
            <w:pPr>
              <w:autoSpaceDE w:val="0"/>
              <w:autoSpaceDN w:val="0"/>
              <w:adjustRightInd w:val="0"/>
              <w:spacing w:after="0" w:line="276" w:lineRule="auto"/>
              <w:jc w:val="both"/>
              <w:rPr>
                <w:rFonts w:ascii="Times New Roman" w:hAnsi="Times New Roman"/>
                <w:sz w:val="20"/>
                <w:szCs w:val="20"/>
              </w:rPr>
            </w:pPr>
            <w:r w:rsidRPr="00AA45E9">
              <w:rPr>
                <w:rFonts w:ascii="Times New Roman" w:hAnsi="Times New Roman"/>
                <w:sz w:val="20"/>
                <w:szCs w:val="20"/>
              </w:rPr>
              <w:t xml:space="preserve">-Présence d’un service de régulation </w:t>
            </w:r>
          </w:p>
        </w:tc>
        <w:tc>
          <w:tcPr>
            <w:tcW w:w="1275"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B424EA" w:rsidRPr="002407EF" w:rsidRDefault="00B424EA" w:rsidP="00003BB4">
            <w:pPr>
              <w:autoSpaceDE w:val="0"/>
              <w:autoSpaceDN w:val="0"/>
              <w:adjustRightInd w:val="0"/>
              <w:spacing w:after="0" w:line="276" w:lineRule="auto"/>
              <w:jc w:val="center"/>
              <w:rPr>
                <w:rFonts w:ascii="Times New Roman" w:hAnsi="Times New Roman"/>
                <w:b/>
              </w:rPr>
            </w:pPr>
            <w:r w:rsidRPr="002407EF">
              <w:rPr>
                <w:rFonts w:ascii="Times New Roman" w:hAnsi="Times New Roman"/>
                <w:b/>
              </w:rPr>
              <w:t>ETAT</w:t>
            </w:r>
          </w:p>
        </w:tc>
        <w:tc>
          <w:tcPr>
            <w:tcW w:w="1701"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B424EA" w:rsidRPr="002407EF" w:rsidRDefault="00B424EA" w:rsidP="00003BB4">
            <w:pPr>
              <w:autoSpaceDE w:val="0"/>
              <w:autoSpaceDN w:val="0"/>
              <w:adjustRightInd w:val="0"/>
              <w:spacing w:after="0" w:line="276" w:lineRule="auto"/>
              <w:jc w:val="center"/>
              <w:rPr>
                <w:rFonts w:ascii="Times New Roman" w:hAnsi="Times New Roman"/>
                <w:b/>
              </w:rPr>
            </w:pPr>
            <w:r w:rsidRPr="002407EF">
              <w:rPr>
                <w:rFonts w:ascii="Times New Roman" w:hAnsi="Times New Roman"/>
                <w:b/>
              </w:rPr>
              <w:t>Comité de suivi</w:t>
            </w:r>
          </w:p>
        </w:tc>
        <w:tc>
          <w:tcPr>
            <w:tcW w:w="1418" w:type="dxa"/>
            <w:tcBorders>
              <w:top w:val="single" w:sz="4" w:space="0" w:color="auto"/>
              <w:left w:val="single" w:sz="4" w:space="0" w:color="auto"/>
              <w:bottom w:val="single" w:sz="4" w:space="0" w:color="auto"/>
              <w:right w:val="single" w:sz="4" w:space="0" w:color="auto"/>
            </w:tcBorders>
            <w:vAlign w:val="center"/>
          </w:tcPr>
          <w:p w:rsidR="00B424EA" w:rsidRPr="00AA45E9" w:rsidRDefault="00B424EA" w:rsidP="00003BB4">
            <w:pPr>
              <w:autoSpaceDE w:val="0"/>
              <w:autoSpaceDN w:val="0"/>
              <w:adjustRightInd w:val="0"/>
              <w:spacing w:after="0" w:line="276" w:lineRule="auto"/>
              <w:jc w:val="center"/>
              <w:rPr>
                <w:rFonts w:ascii="Times New Roman" w:hAnsi="Times New Roman"/>
              </w:rPr>
            </w:pPr>
            <w:r w:rsidRPr="00AA45E9">
              <w:rPr>
                <w:rFonts w:ascii="Times New Roman" w:hAnsi="Times New Roman"/>
              </w:rPr>
              <w:t>Durant l’exploitation / une  fois par an</w:t>
            </w:r>
          </w:p>
        </w:tc>
        <w:tc>
          <w:tcPr>
            <w:tcW w:w="1374"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rsidR="00B424EA" w:rsidRPr="00AA45E9" w:rsidRDefault="00B424EA" w:rsidP="00003BB4">
            <w:pPr>
              <w:autoSpaceDE w:val="0"/>
              <w:autoSpaceDN w:val="0"/>
              <w:adjustRightInd w:val="0"/>
              <w:spacing w:after="0" w:line="276" w:lineRule="auto"/>
              <w:jc w:val="center"/>
              <w:rPr>
                <w:rFonts w:ascii="Times New Roman" w:hAnsi="Times New Roman"/>
                <w:b/>
              </w:rPr>
            </w:pPr>
            <w:r>
              <w:rPr>
                <w:rFonts w:ascii="Times New Roman" w:hAnsi="Times New Roman"/>
                <w:b/>
              </w:rPr>
              <w:t>2 500</w:t>
            </w:r>
            <w:r w:rsidRPr="00AA45E9">
              <w:rPr>
                <w:rFonts w:ascii="Times New Roman" w:hAnsi="Times New Roman"/>
                <w:b/>
              </w:rPr>
              <w:t xml:space="preserve"> 000</w:t>
            </w:r>
          </w:p>
        </w:tc>
        <w:tc>
          <w:tcPr>
            <w:tcW w:w="1326" w:type="dxa"/>
            <w:tcBorders>
              <w:top w:val="single" w:sz="4" w:space="0" w:color="auto"/>
              <w:left w:val="single" w:sz="4" w:space="0" w:color="auto"/>
              <w:bottom w:val="single" w:sz="4" w:space="0" w:color="auto"/>
              <w:right w:val="single" w:sz="4" w:space="0" w:color="auto"/>
            </w:tcBorders>
            <w:vAlign w:val="center"/>
          </w:tcPr>
          <w:p w:rsidR="00B424EA" w:rsidRPr="00AA45E9" w:rsidRDefault="00B424EA" w:rsidP="00003BB4">
            <w:pPr>
              <w:autoSpaceDE w:val="0"/>
              <w:autoSpaceDN w:val="0"/>
              <w:adjustRightInd w:val="0"/>
              <w:spacing w:after="0" w:line="276" w:lineRule="auto"/>
              <w:jc w:val="center"/>
              <w:rPr>
                <w:rFonts w:ascii="Times New Roman" w:hAnsi="Times New Roman"/>
                <w:sz w:val="20"/>
                <w:szCs w:val="20"/>
              </w:rPr>
            </w:pPr>
            <w:r w:rsidRPr="00AA45E9">
              <w:rPr>
                <w:rFonts w:ascii="Times New Roman" w:hAnsi="Times New Roman"/>
                <w:sz w:val="20"/>
                <w:szCs w:val="20"/>
              </w:rPr>
              <w:t>Coût inclus dans le protocole d’accord entre le promoteur et le CRS</w:t>
            </w:r>
          </w:p>
        </w:tc>
      </w:tr>
      <w:tr w:rsidR="00B424EA" w:rsidRPr="00AA45E9" w:rsidTr="002407EF">
        <w:trPr>
          <w:trHeight w:val="134"/>
          <w:jc w:val="center"/>
        </w:trPr>
        <w:tc>
          <w:tcPr>
            <w:tcW w:w="1418" w:type="dxa"/>
            <w:vMerge/>
            <w:tcBorders>
              <w:left w:val="single" w:sz="4" w:space="0" w:color="auto"/>
              <w:bottom w:val="single" w:sz="4" w:space="0" w:color="auto"/>
              <w:right w:val="single" w:sz="4" w:space="0" w:color="auto"/>
            </w:tcBorders>
            <w:shd w:val="clear" w:color="auto" w:fill="BDD6EE" w:themeFill="accent1" w:themeFillTint="66"/>
            <w:vAlign w:val="center"/>
            <w:hideMark/>
          </w:tcPr>
          <w:p w:rsidR="00B424EA" w:rsidRPr="00AA45E9" w:rsidRDefault="00B424EA" w:rsidP="00003BB4">
            <w:pPr>
              <w:autoSpaceDE w:val="0"/>
              <w:autoSpaceDN w:val="0"/>
              <w:adjustRightInd w:val="0"/>
              <w:spacing w:after="0" w:line="276" w:lineRule="auto"/>
              <w:jc w:val="center"/>
              <w:rPr>
                <w:rFonts w:ascii="Times New Roman" w:hAnsi="Times New Roman"/>
                <w:b/>
                <w:bCs/>
              </w:rPr>
            </w:pPr>
          </w:p>
        </w:tc>
        <w:tc>
          <w:tcPr>
            <w:tcW w:w="1843" w:type="dxa"/>
            <w:tcBorders>
              <w:top w:val="single" w:sz="4" w:space="0" w:color="auto"/>
              <w:left w:val="single" w:sz="4" w:space="0" w:color="auto"/>
              <w:bottom w:val="single" w:sz="4" w:space="0" w:color="auto"/>
              <w:right w:val="single" w:sz="4" w:space="0" w:color="auto"/>
            </w:tcBorders>
            <w:vAlign w:val="center"/>
          </w:tcPr>
          <w:p w:rsidR="00B424EA" w:rsidRPr="00AA45E9" w:rsidRDefault="00B424EA" w:rsidP="00003BB4">
            <w:pPr>
              <w:autoSpaceDE w:val="0"/>
              <w:autoSpaceDN w:val="0"/>
              <w:adjustRightInd w:val="0"/>
              <w:spacing w:after="0" w:line="276" w:lineRule="auto"/>
              <w:jc w:val="both"/>
              <w:rPr>
                <w:rFonts w:ascii="Times New Roman" w:hAnsi="Times New Roman"/>
                <w:sz w:val="20"/>
                <w:szCs w:val="20"/>
              </w:rPr>
            </w:pPr>
            <w:r w:rsidRPr="00AA45E9">
              <w:rPr>
                <w:rFonts w:ascii="Times New Roman" w:hAnsi="Times New Roman"/>
                <w:sz w:val="20"/>
                <w:szCs w:val="20"/>
              </w:rPr>
              <w:t>Opportunités d’emplois</w:t>
            </w:r>
          </w:p>
        </w:tc>
        <w:tc>
          <w:tcPr>
            <w:tcW w:w="3118" w:type="dxa"/>
            <w:tcBorders>
              <w:top w:val="single" w:sz="4" w:space="0" w:color="auto"/>
              <w:left w:val="single" w:sz="4" w:space="0" w:color="auto"/>
              <w:bottom w:val="single" w:sz="4" w:space="0" w:color="auto"/>
              <w:right w:val="single" w:sz="4" w:space="0" w:color="auto"/>
            </w:tcBorders>
            <w:vAlign w:val="center"/>
          </w:tcPr>
          <w:p w:rsidR="00B424EA" w:rsidRPr="00884832" w:rsidRDefault="00B424EA" w:rsidP="00003BB4">
            <w:pPr>
              <w:autoSpaceDE w:val="0"/>
              <w:autoSpaceDN w:val="0"/>
              <w:adjustRightInd w:val="0"/>
              <w:spacing w:after="0" w:line="276" w:lineRule="auto"/>
              <w:jc w:val="both"/>
              <w:rPr>
                <w:rFonts w:ascii="Times New Roman" w:hAnsi="Times New Roman"/>
                <w:sz w:val="20"/>
                <w:szCs w:val="20"/>
              </w:rPr>
            </w:pPr>
            <w:r w:rsidRPr="00884832">
              <w:rPr>
                <w:rFonts w:ascii="Times New Roman" w:hAnsi="Times New Roman"/>
                <w:sz w:val="20"/>
                <w:szCs w:val="20"/>
              </w:rPr>
              <w:t xml:space="preserve">- Faire jouer la transparence dans les procédures de recrutement des </w:t>
            </w:r>
            <w:r w:rsidRPr="00884832">
              <w:rPr>
                <w:rFonts w:ascii="Times New Roman" w:hAnsi="Times New Roman" w:cs="Times New Roman"/>
                <w:color w:val="000000"/>
                <w:sz w:val="20"/>
                <w:szCs w:val="20"/>
              </w:rPr>
              <w:t>main-d’œuvre qualifiées pendant les opérations d’entretien et de maintenance ;</w:t>
            </w:r>
          </w:p>
          <w:p w:rsidR="00B424EA" w:rsidRPr="00AA45E9" w:rsidRDefault="00B424EA" w:rsidP="00003BB4">
            <w:pPr>
              <w:autoSpaceDE w:val="0"/>
              <w:autoSpaceDN w:val="0"/>
              <w:adjustRightInd w:val="0"/>
              <w:spacing w:after="0" w:line="276" w:lineRule="auto"/>
              <w:jc w:val="both"/>
              <w:rPr>
                <w:rFonts w:ascii="Times New Roman" w:hAnsi="Times New Roman"/>
                <w:sz w:val="20"/>
                <w:szCs w:val="20"/>
              </w:rPr>
            </w:pPr>
            <w:r w:rsidRPr="00AA45E9">
              <w:rPr>
                <w:rFonts w:ascii="Times New Roman" w:hAnsi="Times New Roman"/>
                <w:sz w:val="20"/>
                <w:szCs w:val="20"/>
              </w:rPr>
              <w:t>- Favoriser le recrutement direct sans intermédiaire ;</w:t>
            </w:r>
          </w:p>
          <w:p w:rsidR="00B424EA" w:rsidRPr="00AA45E9" w:rsidRDefault="00B424EA" w:rsidP="00003BB4">
            <w:pPr>
              <w:autoSpaceDE w:val="0"/>
              <w:autoSpaceDN w:val="0"/>
              <w:adjustRightInd w:val="0"/>
              <w:spacing w:after="0" w:line="276" w:lineRule="auto"/>
              <w:jc w:val="both"/>
              <w:rPr>
                <w:rFonts w:ascii="Times New Roman" w:hAnsi="Times New Roman"/>
                <w:sz w:val="20"/>
                <w:szCs w:val="20"/>
              </w:rPr>
            </w:pPr>
            <w:r w:rsidRPr="00AA45E9">
              <w:rPr>
                <w:rFonts w:ascii="Times New Roman" w:hAnsi="Times New Roman"/>
                <w:sz w:val="20"/>
                <w:szCs w:val="20"/>
              </w:rPr>
              <w:t>-recruter un serv</w:t>
            </w:r>
            <w:r>
              <w:rPr>
                <w:rFonts w:ascii="Times New Roman" w:hAnsi="Times New Roman"/>
                <w:sz w:val="20"/>
                <w:szCs w:val="20"/>
              </w:rPr>
              <w:t>ice de gardiennage expérimenté ;</w:t>
            </w:r>
          </w:p>
          <w:p w:rsidR="00B424EA" w:rsidRPr="00AA45E9" w:rsidRDefault="00B424EA" w:rsidP="00003BB4">
            <w:pPr>
              <w:autoSpaceDE w:val="0"/>
              <w:autoSpaceDN w:val="0"/>
              <w:adjustRightInd w:val="0"/>
              <w:spacing w:after="0" w:line="276" w:lineRule="auto"/>
              <w:jc w:val="both"/>
              <w:rPr>
                <w:rFonts w:ascii="Times New Roman" w:hAnsi="Times New Roman"/>
                <w:sz w:val="20"/>
                <w:szCs w:val="20"/>
              </w:rPr>
            </w:pPr>
            <w:r w:rsidRPr="00AA45E9">
              <w:rPr>
                <w:rFonts w:ascii="Times New Roman" w:hAnsi="Times New Roman"/>
                <w:sz w:val="20"/>
                <w:szCs w:val="20"/>
              </w:rPr>
              <w:t>- Respecter le salaire minimum en vigueur;</w:t>
            </w:r>
          </w:p>
        </w:tc>
        <w:tc>
          <w:tcPr>
            <w:tcW w:w="2308" w:type="dxa"/>
            <w:tcBorders>
              <w:top w:val="single" w:sz="4" w:space="0" w:color="auto"/>
              <w:left w:val="single" w:sz="4" w:space="0" w:color="auto"/>
              <w:bottom w:val="single" w:sz="4" w:space="0" w:color="auto"/>
              <w:right w:val="single" w:sz="4" w:space="0" w:color="auto"/>
            </w:tcBorders>
            <w:vAlign w:val="center"/>
          </w:tcPr>
          <w:p w:rsidR="00B424EA" w:rsidRPr="00AA45E9" w:rsidRDefault="00B424EA" w:rsidP="00003BB4">
            <w:pPr>
              <w:autoSpaceDE w:val="0"/>
              <w:autoSpaceDN w:val="0"/>
              <w:adjustRightInd w:val="0"/>
              <w:spacing w:after="0" w:line="276" w:lineRule="auto"/>
              <w:rPr>
                <w:rFonts w:ascii="Times New Roman" w:hAnsi="Times New Roman"/>
                <w:sz w:val="20"/>
                <w:szCs w:val="20"/>
              </w:rPr>
            </w:pPr>
            <w:r>
              <w:rPr>
                <w:rFonts w:ascii="Times New Roman" w:hAnsi="Times New Roman"/>
                <w:sz w:val="20"/>
                <w:szCs w:val="20"/>
              </w:rPr>
              <w:t xml:space="preserve">-Nombre de main-d’œuvre </w:t>
            </w:r>
            <w:r w:rsidRPr="00AA45E9">
              <w:rPr>
                <w:rFonts w:ascii="Times New Roman" w:hAnsi="Times New Roman"/>
                <w:sz w:val="20"/>
                <w:szCs w:val="20"/>
              </w:rPr>
              <w:t>embauchés</w:t>
            </w:r>
          </w:p>
          <w:p w:rsidR="00B424EA" w:rsidRPr="00AA45E9" w:rsidRDefault="00B424EA" w:rsidP="00003BB4">
            <w:pPr>
              <w:autoSpaceDE w:val="0"/>
              <w:autoSpaceDN w:val="0"/>
              <w:adjustRightInd w:val="0"/>
              <w:spacing w:after="0" w:line="276" w:lineRule="auto"/>
              <w:rPr>
                <w:rFonts w:ascii="Times New Roman" w:hAnsi="Times New Roman"/>
                <w:sz w:val="20"/>
                <w:szCs w:val="20"/>
              </w:rPr>
            </w:pPr>
            <w:r w:rsidRPr="00AA45E9">
              <w:rPr>
                <w:rFonts w:ascii="Times New Roman" w:hAnsi="Times New Roman"/>
                <w:sz w:val="20"/>
                <w:szCs w:val="20"/>
              </w:rPr>
              <w:t>-Présence d’un service de gardiennage</w:t>
            </w:r>
          </w:p>
          <w:p w:rsidR="00B424EA" w:rsidRPr="00AA45E9" w:rsidRDefault="00B424EA" w:rsidP="00003BB4">
            <w:pPr>
              <w:autoSpaceDE w:val="0"/>
              <w:autoSpaceDN w:val="0"/>
              <w:adjustRightInd w:val="0"/>
              <w:spacing w:after="0" w:line="276" w:lineRule="auto"/>
              <w:rPr>
                <w:rFonts w:ascii="Times New Roman" w:hAnsi="Times New Roman"/>
                <w:sz w:val="20"/>
                <w:szCs w:val="20"/>
              </w:rPr>
            </w:pPr>
            <w:r w:rsidRPr="00AA45E9">
              <w:rPr>
                <w:rFonts w:ascii="Times New Roman" w:hAnsi="Times New Roman"/>
                <w:sz w:val="20"/>
                <w:szCs w:val="20"/>
              </w:rPr>
              <w:t>-Présence des bulletins de salaire</w:t>
            </w:r>
          </w:p>
          <w:p w:rsidR="00B424EA" w:rsidRPr="00AA45E9" w:rsidRDefault="00B424EA" w:rsidP="00003BB4">
            <w:pPr>
              <w:autoSpaceDE w:val="0"/>
              <w:autoSpaceDN w:val="0"/>
              <w:adjustRightInd w:val="0"/>
              <w:spacing w:after="0" w:line="276" w:lineRule="auto"/>
              <w:rPr>
                <w:rFonts w:ascii="Times New Roman" w:hAnsi="Times New Roman"/>
                <w:sz w:val="20"/>
                <w:szCs w:val="20"/>
              </w:rPr>
            </w:pPr>
          </w:p>
        </w:tc>
        <w:tc>
          <w:tcPr>
            <w:tcW w:w="1275"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rsidR="00B424EA" w:rsidRPr="002407EF" w:rsidRDefault="00B424EA" w:rsidP="00003BB4">
            <w:pPr>
              <w:autoSpaceDE w:val="0"/>
              <w:autoSpaceDN w:val="0"/>
              <w:adjustRightInd w:val="0"/>
              <w:spacing w:after="0" w:line="276" w:lineRule="auto"/>
              <w:jc w:val="center"/>
              <w:rPr>
                <w:rFonts w:ascii="Times New Roman" w:hAnsi="Times New Roman"/>
                <w:b/>
              </w:rPr>
            </w:pPr>
          </w:p>
          <w:p w:rsidR="00B424EA" w:rsidRPr="002407EF" w:rsidRDefault="00B424EA" w:rsidP="00003BB4">
            <w:pPr>
              <w:autoSpaceDE w:val="0"/>
              <w:autoSpaceDN w:val="0"/>
              <w:adjustRightInd w:val="0"/>
              <w:spacing w:after="0" w:line="276" w:lineRule="auto"/>
              <w:jc w:val="center"/>
              <w:rPr>
                <w:rFonts w:ascii="Times New Roman" w:hAnsi="Times New Roman"/>
                <w:b/>
              </w:rPr>
            </w:pPr>
            <w:r w:rsidRPr="002407EF">
              <w:rPr>
                <w:rFonts w:ascii="Times New Roman" w:hAnsi="Times New Roman"/>
                <w:b/>
              </w:rPr>
              <w:t>Mairie</w:t>
            </w:r>
          </w:p>
          <w:p w:rsidR="00B424EA" w:rsidRPr="002407EF" w:rsidRDefault="00B424EA" w:rsidP="00003BB4">
            <w:pPr>
              <w:autoSpaceDE w:val="0"/>
              <w:autoSpaceDN w:val="0"/>
              <w:adjustRightInd w:val="0"/>
              <w:spacing w:after="0" w:line="276" w:lineRule="auto"/>
              <w:jc w:val="center"/>
              <w:rPr>
                <w:rFonts w:ascii="Times New Roman" w:hAnsi="Times New Roman"/>
                <w:b/>
              </w:rPr>
            </w:pPr>
            <w:r w:rsidRPr="002407EF">
              <w:rPr>
                <w:rFonts w:ascii="Times New Roman" w:hAnsi="Times New Roman"/>
                <w:b/>
              </w:rPr>
              <w:t>PUASEE-FA</w:t>
            </w:r>
          </w:p>
        </w:tc>
        <w:tc>
          <w:tcPr>
            <w:tcW w:w="1701"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rsidR="00B424EA" w:rsidRPr="002407EF" w:rsidRDefault="00B424EA" w:rsidP="00003BB4">
            <w:pPr>
              <w:autoSpaceDE w:val="0"/>
              <w:autoSpaceDN w:val="0"/>
              <w:adjustRightInd w:val="0"/>
              <w:spacing w:after="0" w:line="276" w:lineRule="auto"/>
              <w:jc w:val="center"/>
              <w:rPr>
                <w:rFonts w:ascii="Times New Roman" w:hAnsi="Times New Roman"/>
                <w:b/>
              </w:rPr>
            </w:pPr>
            <w:r w:rsidRPr="002407EF">
              <w:rPr>
                <w:rFonts w:ascii="Times New Roman" w:hAnsi="Times New Roman"/>
                <w:b/>
              </w:rPr>
              <w:t>Inspection du travail</w:t>
            </w:r>
          </w:p>
          <w:p w:rsidR="00B424EA" w:rsidRPr="002407EF" w:rsidRDefault="00B424EA" w:rsidP="00003BB4">
            <w:pPr>
              <w:autoSpaceDE w:val="0"/>
              <w:autoSpaceDN w:val="0"/>
              <w:adjustRightInd w:val="0"/>
              <w:spacing w:after="0" w:line="276" w:lineRule="auto"/>
              <w:jc w:val="center"/>
              <w:rPr>
                <w:rFonts w:ascii="Times New Roman" w:hAnsi="Times New Roman"/>
                <w:b/>
              </w:rPr>
            </w:pPr>
          </w:p>
          <w:p w:rsidR="00B424EA" w:rsidRPr="002407EF" w:rsidRDefault="00B424EA" w:rsidP="00003BB4">
            <w:pPr>
              <w:autoSpaceDE w:val="0"/>
              <w:autoSpaceDN w:val="0"/>
              <w:adjustRightInd w:val="0"/>
              <w:spacing w:after="0" w:line="276" w:lineRule="auto"/>
              <w:jc w:val="center"/>
              <w:rPr>
                <w:rFonts w:ascii="Times New Roman" w:hAnsi="Times New Roman"/>
                <w:b/>
              </w:rPr>
            </w:pPr>
            <w:r w:rsidRPr="002407EF">
              <w:rPr>
                <w:rFonts w:ascii="Times New Roman" w:hAnsi="Times New Roman"/>
                <w:b/>
              </w:rPr>
              <w:t>Comité de suivi</w:t>
            </w:r>
          </w:p>
        </w:tc>
        <w:tc>
          <w:tcPr>
            <w:tcW w:w="1418" w:type="dxa"/>
            <w:tcBorders>
              <w:top w:val="single" w:sz="4" w:space="0" w:color="auto"/>
              <w:left w:val="single" w:sz="4" w:space="0" w:color="auto"/>
              <w:bottom w:val="single" w:sz="4" w:space="0" w:color="auto"/>
              <w:right w:val="single" w:sz="4" w:space="0" w:color="auto"/>
            </w:tcBorders>
            <w:vAlign w:val="center"/>
            <w:hideMark/>
          </w:tcPr>
          <w:p w:rsidR="00B424EA" w:rsidRPr="00AA45E9" w:rsidRDefault="00B424EA" w:rsidP="00003BB4">
            <w:pPr>
              <w:autoSpaceDE w:val="0"/>
              <w:autoSpaceDN w:val="0"/>
              <w:adjustRightInd w:val="0"/>
              <w:spacing w:after="0" w:line="276" w:lineRule="auto"/>
              <w:jc w:val="center"/>
              <w:rPr>
                <w:rFonts w:ascii="Times New Roman" w:hAnsi="Times New Roman"/>
              </w:rPr>
            </w:pPr>
            <w:r w:rsidRPr="00AA45E9">
              <w:rPr>
                <w:rFonts w:ascii="Times New Roman" w:hAnsi="Times New Roman"/>
              </w:rPr>
              <w:t>Pendant chaque campagne de recrutement / Une fois par an</w:t>
            </w:r>
          </w:p>
        </w:tc>
        <w:tc>
          <w:tcPr>
            <w:tcW w:w="1374"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rsidR="00B424EA" w:rsidRPr="00AA45E9" w:rsidRDefault="00B424EA" w:rsidP="00003BB4">
            <w:pPr>
              <w:autoSpaceDE w:val="0"/>
              <w:autoSpaceDN w:val="0"/>
              <w:adjustRightInd w:val="0"/>
              <w:spacing w:after="0" w:line="276" w:lineRule="auto"/>
              <w:jc w:val="center"/>
              <w:rPr>
                <w:rFonts w:ascii="Times New Roman" w:hAnsi="Times New Roman"/>
                <w:b/>
              </w:rPr>
            </w:pPr>
            <w:r>
              <w:rPr>
                <w:rFonts w:ascii="Times New Roman" w:hAnsi="Times New Roman"/>
                <w:b/>
              </w:rPr>
              <w:t>1 500 000</w:t>
            </w:r>
          </w:p>
        </w:tc>
        <w:tc>
          <w:tcPr>
            <w:tcW w:w="1326" w:type="dxa"/>
            <w:tcBorders>
              <w:top w:val="single" w:sz="4" w:space="0" w:color="auto"/>
              <w:left w:val="single" w:sz="4" w:space="0" w:color="auto"/>
              <w:bottom w:val="single" w:sz="4" w:space="0" w:color="auto"/>
              <w:right w:val="single" w:sz="4" w:space="0" w:color="auto"/>
            </w:tcBorders>
            <w:vAlign w:val="center"/>
            <w:hideMark/>
          </w:tcPr>
          <w:p w:rsidR="00B424EA" w:rsidRPr="00AA45E9" w:rsidRDefault="00B424EA" w:rsidP="00003BB4">
            <w:pPr>
              <w:autoSpaceDE w:val="0"/>
              <w:autoSpaceDN w:val="0"/>
              <w:adjustRightInd w:val="0"/>
              <w:spacing w:after="0" w:line="276" w:lineRule="auto"/>
              <w:jc w:val="center"/>
              <w:rPr>
                <w:rFonts w:ascii="Times New Roman" w:hAnsi="Times New Roman"/>
                <w:sz w:val="20"/>
                <w:szCs w:val="20"/>
              </w:rPr>
            </w:pPr>
            <w:r w:rsidRPr="00AA45E9">
              <w:rPr>
                <w:rFonts w:ascii="Times New Roman" w:hAnsi="Times New Roman"/>
                <w:sz w:val="20"/>
                <w:szCs w:val="20"/>
              </w:rPr>
              <w:t>Coût inclus dans le protocole d’accord entre le promoteur et le CRS</w:t>
            </w:r>
          </w:p>
        </w:tc>
      </w:tr>
      <w:tr w:rsidR="00003BB4" w:rsidRPr="00AA45E9" w:rsidTr="002407EF">
        <w:trPr>
          <w:trHeight w:val="134"/>
          <w:jc w:val="center"/>
        </w:trPr>
        <w:tc>
          <w:tcPr>
            <w:tcW w:w="1418"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rsidR="00003BB4" w:rsidRPr="00AA45E9" w:rsidRDefault="00B424EA" w:rsidP="00003BB4">
            <w:pPr>
              <w:autoSpaceDE w:val="0"/>
              <w:autoSpaceDN w:val="0"/>
              <w:adjustRightInd w:val="0"/>
              <w:spacing w:after="0" w:line="276" w:lineRule="auto"/>
              <w:jc w:val="center"/>
              <w:rPr>
                <w:rFonts w:ascii="Times New Roman" w:hAnsi="Times New Roman"/>
                <w:b/>
                <w:bCs/>
              </w:rPr>
            </w:pPr>
            <w:r>
              <w:rPr>
                <w:rFonts w:ascii="Times New Roman" w:hAnsi="Times New Roman"/>
                <w:b/>
                <w:bCs/>
              </w:rPr>
              <w:t>Economie</w:t>
            </w:r>
          </w:p>
        </w:tc>
        <w:tc>
          <w:tcPr>
            <w:tcW w:w="1843" w:type="dxa"/>
            <w:tcBorders>
              <w:top w:val="single" w:sz="4" w:space="0" w:color="auto"/>
              <w:left w:val="single" w:sz="4" w:space="0" w:color="auto"/>
              <w:bottom w:val="single" w:sz="4" w:space="0" w:color="auto"/>
              <w:right w:val="single" w:sz="4" w:space="0" w:color="auto"/>
            </w:tcBorders>
            <w:vAlign w:val="center"/>
          </w:tcPr>
          <w:p w:rsidR="00003BB4" w:rsidRPr="00AA45E9" w:rsidRDefault="00884832" w:rsidP="00003BB4">
            <w:pPr>
              <w:autoSpaceDE w:val="0"/>
              <w:autoSpaceDN w:val="0"/>
              <w:adjustRightInd w:val="0"/>
              <w:spacing w:after="0" w:line="276" w:lineRule="auto"/>
              <w:jc w:val="both"/>
              <w:rPr>
                <w:rFonts w:ascii="Times New Roman" w:hAnsi="Times New Roman"/>
                <w:sz w:val="20"/>
                <w:szCs w:val="20"/>
              </w:rPr>
            </w:pPr>
            <w:r>
              <w:rPr>
                <w:rFonts w:ascii="Times New Roman" w:hAnsi="Times New Roman"/>
                <w:sz w:val="20"/>
                <w:szCs w:val="20"/>
              </w:rPr>
              <w:t xml:space="preserve">Création d’emplois </w:t>
            </w:r>
          </w:p>
        </w:tc>
        <w:tc>
          <w:tcPr>
            <w:tcW w:w="3118" w:type="dxa"/>
            <w:tcBorders>
              <w:top w:val="single" w:sz="4" w:space="0" w:color="auto"/>
              <w:left w:val="single" w:sz="4" w:space="0" w:color="auto"/>
              <w:bottom w:val="single" w:sz="4" w:space="0" w:color="auto"/>
              <w:right w:val="single" w:sz="4" w:space="0" w:color="auto"/>
            </w:tcBorders>
            <w:vAlign w:val="center"/>
          </w:tcPr>
          <w:p w:rsidR="00003BB4" w:rsidRPr="00AA45E9" w:rsidRDefault="00700336" w:rsidP="00003BB4">
            <w:pPr>
              <w:autoSpaceDE w:val="0"/>
              <w:autoSpaceDN w:val="0"/>
              <w:adjustRightInd w:val="0"/>
              <w:spacing w:after="0" w:line="276" w:lineRule="auto"/>
              <w:jc w:val="both"/>
              <w:rPr>
                <w:rFonts w:ascii="Times New Roman" w:hAnsi="Times New Roman"/>
                <w:sz w:val="20"/>
                <w:szCs w:val="20"/>
              </w:rPr>
            </w:pPr>
            <w:r>
              <w:rPr>
                <w:rFonts w:ascii="Times New Roman" w:hAnsi="Times New Roman"/>
                <w:sz w:val="20"/>
                <w:szCs w:val="20"/>
              </w:rPr>
              <w:t>-Création ou d’appuis au développement des liées à la vente de glace par la femme ;</w:t>
            </w:r>
          </w:p>
          <w:p w:rsidR="00003BB4" w:rsidRPr="00AA45E9" w:rsidRDefault="00003BB4" w:rsidP="00003BB4">
            <w:pPr>
              <w:autoSpaceDE w:val="0"/>
              <w:autoSpaceDN w:val="0"/>
              <w:adjustRightInd w:val="0"/>
              <w:spacing w:after="0" w:line="276" w:lineRule="auto"/>
              <w:jc w:val="both"/>
              <w:rPr>
                <w:rFonts w:ascii="Times New Roman" w:hAnsi="Times New Roman"/>
                <w:sz w:val="20"/>
                <w:szCs w:val="20"/>
              </w:rPr>
            </w:pPr>
            <w:r w:rsidRPr="00AA45E9">
              <w:rPr>
                <w:rFonts w:ascii="Times New Roman" w:hAnsi="Times New Roman"/>
                <w:sz w:val="20"/>
                <w:szCs w:val="20"/>
              </w:rPr>
              <w:t>-</w:t>
            </w:r>
            <w:r w:rsidR="00700336">
              <w:rPr>
                <w:rFonts w:ascii="Times New Roman" w:hAnsi="Times New Roman"/>
                <w:sz w:val="20"/>
                <w:szCs w:val="20"/>
              </w:rPr>
              <w:t>Augmenter le nombre de borne fontaine payant ;</w:t>
            </w:r>
          </w:p>
          <w:p w:rsidR="00003BB4" w:rsidRPr="00AA45E9" w:rsidRDefault="00003BB4" w:rsidP="00700336">
            <w:pPr>
              <w:autoSpaceDE w:val="0"/>
              <w:autoSpaceDN w:val="0"/>
              <w:adjustRightInd w:val="0"/>
              <w:spacing w:after="0" w:line="276" w:lineRule="auto"/>
              <w:jc w:val="both"/>
              <w:rPr>
                <w:rFonts w:ascii="Times New Roman" w:hAnsi="Times New Roman"/>
                <w:sz w:val="20"/>
                <w:szCs w:val="20"/>
              </w:rPr>
            </w:pPr>
            <w:r w:rsidRPr="00AA45E9">
              <w:rPr>
                <w:rFonts w:ascii="Times New Roman" w:hAnsi="Times New Roman"/>
                <w:sz w:val="20"/>
                <w:szCs w:val="20"/>
              </w:rPr>
              <w:lastRenderedPageBreak/>
              <w:t>-Renf</w:t>
            </w:r>
            <w:r w:rsidR="00700336">
              <w:rPr>
                <w:rFonts w:ascii="Times New Roman" w:hAnsi="Times New Roman"/>
                <w:sz w:val="20"/>
                <w:szCs w:val="20"/>
              </w:rPr>
              <w:t xml:space="preserve">orcer </w:t>
            </w:r>
            <w:r w:rsidR="00FB0840">
              <w:rPr>
                <w:rFonts w:ascii="Times New Roman" w:hAnsi="Times New Roman"/>
                <w:sz w:val="20"/>
                <w:szCs w:val="20"/>
              </w:rPr>
              <w:t xml:space="preserve">les groupements de femmes qui interviennent dans </w:t>
            </w:r>
            <w:r w:rsidR="00700336">
              <w:rPr>
                <w:rFonts w:ascii="Times New Roman" w:hAnsi="Times New Roman"/>
                <w:sz w:val="20"/>
                <w:szCs w:val="20"/>
              </w:rPr>
              <w:t>les activités liées à la vente d’</w:t>
            </w:r>
            <w:r w:rsidR="00FB0840">
              <w:rPr>
                <w:rFonts w:ascii="Times New Roman" w:hAnsi="Times New Roman"/>
                <w:sz w:val="20"/>
                <w:szCs w:val="20"/>
              </w:rPr>
              <w:t>eau ;</w:t>
            </w:r>
          </w:p>
        </w:tc>
        <w:tc>
          <w:tcPr>
            <w:tcW w:w="2308" w:type="dxa"/>
            <w:tcBorders>
              <w:top w:val="single" w:sz="4" w:space="0" w:color="auto"/>
              <w:left w:val="single" w:sz="4" w:space="0" w:color="auto"/>
              <w:bottom w:val="single" w:sz="4" w:space="0" w:color="auto"/>
              <w:right w:val="single" w:sz="4" w:space="0" w:color="auto"/>
            </w:tcBorders>
            <w:vAlign w:val="center"/>
          </w:tcPr>
          <w:p w:rsidR="00003BB4" w:rsidRPr="00AA45E9" w:rsidRDefault="00003BB4" w:rsidP="00003BB4">
            <w:pPr>
              <w:autoSpaceDE w:val="0"/>
              <w:autoSpaceDN w:val="0"/>
              <w:adjustRightInd w:val="0"/>
              <w:spacing w:after="0" w:line="276" w:lineRule="auto"/>
              <w:jc w:val="both"/>
              <w:rPr>
                <w:rFonts w:ascii="Times New Roman" w:hAnsi="Times New Roman"/>
                <w:sz w:val="20"/>
                <w:szCs w:val="20"/>
              </w:rPr>
            </w:pPr>
            <w:r w:rsidRPr="00AA45E9">
              <w:rPr>
                <w:rFonts w:ascii="Times New Roman" w:hAnsi="Times New Roman"/>
                <w:sz w:val="20"/>
                <w:szCs w:val="20"/>
              </w:rPr>
              <w:lastRenderedPageBreak/>
              <w:t>-</w:t>
            </w:r>
            <w:r w:rsidR="00700336">
              <w:rPr>
                <w:rFonts w:ascii="Times New Roman" w:hAnsi="Times New Roman"/>
                <w:sz w:val="20"/>
                <w:szCs w:val="20"/>
              </w:rPr>
              <w:t>Nombre de femmes appuyées</w:t>
            </w:r>
            <w:r w:rsidR="00FB0840">
              <w:rPr>
                <w:rFonts w:ascii="Times New Roman" w:hAnsi="Times New Roman"/>
                <w:sz w:val="20"/>
                <w:szCs w:val="20"/>
              </w:rPr>
              <w:t> ;</w:t>
            </w:r>
          </w:p>
          <w:p w:rsidR="00003BB4" w:rsidRPr="00AA45E9" w:rsidRDefault="00003BB4" w:rsidP="00003BB4">
            <w:pPr>
              <w:autoSpaceDE w:val="0"/>
              <w:autoSpaceDN w:val="0"/>
              <w:adjustRightInd w:val="0"/>
              <w:spacing w:after="0" w:line="276" w:lineRule="auto"/>
              <w:jc w:val="both"/>
              <w:rPr>
                <w:rFonts w:ascii="Times New Roman" w:hAnsi="Times New Roman"/>
                <w:sz w:val="20"/>
                <w:szCs w:val="20"/>
              </w:rPr>
            </w:pPr>
            <w:r w:rsidRPr="00AA45E9">
              <w:rPr>
                <w:rFonts w:ascii="Times New Roman" w:hAnsi="Times New Roman"/>
                <w:sz w:val="20"/>
                <w:szCs w:val="20"/>
              </w:rPr>
              <w:t xml:space="preserve">-Nombre </w:t>
            </w:r>
            <w:r w:rsidR="00700336">
              <w:rPr>
                <w:rFonts w:ascii="Times New Roman" w:hAnsi="Times New Roman"/>
                <w:sz w:val="20"/>
                <w:szCs w:val="20"/>
              </w:rPr>
              <w:t xml:space="preserve">de borne fontaine payant </w:t>
            </w:r>
            <w:r w:rsidRPr="00AA45E9">
              <w:rPr>
                <w:rFonts w:ascii="Times New Roman" w:hAnsi="Times New Roman"/>
                <w:sz w:val="20"/>
                <w:szCs w:val="20"/>
              </w:rPr>
              <w:t>mises en place</w:t>
            </w:r>
            <w:r w:rsidR="00FB0840">
              <w:rPr>
                <w:rFonts w:ascii="Times New Roman" w:hAnsi="Times New Roman"/>
                <w:sz w:val="20"/>
                <w:szCs w:val="20"/>
              </w:rPr>
              <w:t> ;</w:t>
            </w:r>
          </w:p>
          <w:p w:rsidR="00003BB4" w:rsidRPr="00AA45E9" w:rsidRDefault="00003BB4" w:rsidP="00003BB4">
            <w:pPr>
              <w:autoSpaceDE w:val="0"/>
              <w:autoSpaceDN w:val="0"/>
              <w:adjustRightInd w:val="0"/>
              <w:spacing w:after="0" w:line="276" w:lineRule="auto"/>
              <w:jc w:val="both"/>
              <w:rPr>
                <w:rFonts w:ascii="Times New Roman" w:hAnsi="Times New Roman"/>
                <w:sz w:val="20"/>
                <w:szCs w:val="20"/>
              </w:rPr>
            </w:pPr>
            <w:r w:rsidRPr="00AA45E9">
              <w:rPr>
                <w:rFonts w:ascii="Times New Roman" w:hAnsi="Times New Roman"/>
                <w:sz w:val="20"/>
                <w:szCs w:val="20"/>
              </w:rPr>
              <w:lastRenderedPageBreak/>
              <w:t xml:space="preserve">- Nombre </w:t>
            </w:r>
            <w:r w:rsidR="00FB0840">
              <w:rPr>
                <w:rFonts w:ascii="Times New Roman" w:hAnsi="Times New Roman"/>
                <w:sz w:val="20"/>
                <w:szCs w:val="20"/>
              </w:rPr>
              <w:t>de groupement renforcés ;</w:t>
            </w:r>
          </w:p>
          <w:p w:rsidR="00003BB4" w:rsidRPr="00AA45E9" w:rsidRDefault="00003BB4" w:rsidP="00003BB4">
            <w:pPr>
              <w:autoSpaceDE w:val="0"/>
              <w:autoSpaceDN w:val="0"/>
              <w:adjustRightInd w:val="0"/>
              <w:spacing w:after="0" w:line="276" w:lineRule="auto"/>
              <w:jc w:val="both"/>
              <w:rPr>
                <w:rFonts w:ascii="Times New Roman" w:hAnsi="Times New Roman"/>
                <w:sz w:val="20"/>
                <w:szCs w:val="20"/>
              </w:rPr>
            </w:pPr>
          </w:p>
        </w:tc>
        <w:tc>
          <w:tcPr>
            <w:tcW w:w="1275"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003BB4" w:rsidRPr="002407EF" w:rsidRDefault="00003BB4" w:rsidP="00003BB4">
            <w:pPr>
              <w:autoSpaceDE w:val="0"/>
              <w:autoSpaceDN w:val="0"/>
              <w:adjustRightInd w:val="0"/>
              <w:spacing w:after="0" w:line="276" w:lineRule="auto"/>
              <w:jc w:val="center"/>
              <w:rPr>
                <w:rFonts w:ascii="Times New Roman" w:hAnsi="Times New Roman"/>
                <w:b/>
              </w:rPr>
            </w:pPr>
            <w:r w:rsidRPr="002407EF">
              <w:rPr>
                <w:rFonts w:ascii="Times New Roman" w:hAnsi="Times New Roman"/>
                <w:b/>
              </w:rPr>
              <w:lastRenderedPageBreak/>
              <w:t>ETAT</w:t>
            </w:r>
          </w:p>
          <w:p w:rsidR="00FB0840" w:rsidRPr="002407EF" w:rsidRDefault="00FB0840" w:rsidP="00003BB4">
            <w:pPr>
              <w:autoSpaceDE w:val="0"/>
              <w:autoSpaceDN w:val="0"/>
              <w:adjustRightInd w:val="0"/>
              <w:spacing w:after="0" w:line="276" w:lineRule="auto"/>
              <w:jc w:val="center"/>
              <w:rPr>
                <w:rFonts w:ascii="Times New Roman" w:hAnsi="Times New Roman"/>
                <w:b/>
              </w:rPr>
            </w:pPr>
            <w:r w:rsidRPr="002407EF">
              <w:rPr>
                <w:rFonts w:ascii="Times New Roman" w:hAnsi="Times New Roman"/>
                <w:b/>
              </w:rPr>
              <w:t>PUASEE-FA</w:t>
            </w:r>
          </w:p>
          <w:p w:rsidR="00FB0840" w:rsidRPr="002407EF" w:rsidRDefault="00076CED" w:rsidP="00003BB4">
            <w:pPr>
              <w:autoSpaceDE w:val="0"/>
              <w:autoSpaceDN w:val="0"/>
              <w:adjustRightInd w:val="0"/>
              <w:spacing w:after="0" w:line="276" w:lineRule="auto"/>
              <w:jc w:val="center"/>
              <w:rPr>
                <w:rFonts w:ascii="Times New Roman" w:hAnsi="Times New Roman"/>
                <w:b/>
              </w:rPr>
            </w:pPr>
            <w:r w:rsidRPr="002407EF">
              <w:rPr>
                <w:rFonts w:ascii="Times New Roman" w:hAnsi="Times New Roman"/>
                <w:b/>
              </w:rPr>
              <w:t>EAGB</w:t>
            </w:r>
          </w:p>
        </w:tc>
        <w:tc>
          <w:tcPr>
            <w:tcW w:w="1701"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rsidR="00003BB4" w:rsidRPr="002407EF" w:rsidRDefault="00003BB4" w:rsidP="00003BB4">
            <w:pPr>
              <w:autoSpaceDE w:val="0"/>
              <w:autoSpaceDN w:val="0"/>
              <w:adjustRightInd w:val="0"/>
              <w:spacing w:after="0" w:line="276" w:lineRule="auto"/>
              <w:jc w:val="center"/>
              <w:rPr>
                <w:rFonts w:ascii="Times New Roman" w:hAnsi="Times New Roman"/>
                <w:b/>
              </w:rPr>
            </w:pPr>
            <w:r w:rsidRPr="002407EF">
              <w:rPr>
                <w:rFonts w:ascii="Times New Roman" w:hAnsi="Times New Roman"/>
                <w:b/>
              </w:rPr>
              <w:t>Comité de suivi</w:t>
            </w:r>
          </w:p>
        </w:tc>
        <w:tc>
          <w:tcPr>
            <w:tcW w:w="1418" w:type="dxa"/>
            <w:tcBorders>
              <w:top w:val="single" w:sz="4" w:space="0" w:color="auto"/>
              <w:left w:val="single" w:sz="4" w:space="0" w:color="auto"/>
              <w:bottom w:val="single" w:sz="4" w:space="0" w:color="auto"/>
              <w:right w:val="single" w:sz="4" w:space="0" w:color="auto"/>
            </w:tcBorders>
            <w:vAlign w:val="center"/>
            <w:hideMark/>
          </w:tcPr>
          <w:p w:rsidR="00003BB4" w:rsidRPr="00AA45E9" w:rsidRDefault="00003BB4" w:rsidP="00003BB4">
            <w:pPr>
              <w:autoSpaceDE w:val="0"/>
              <w:autoSpaceDN w:val="0"/>
              <w:adjustRightInd w:val="0"/>
              <w:spacing w:after="0" w:line="276" w:lineRule="auto"/>
              <w:jc w:val="center"/>
              <w:rPr>
                <w:rFonts w:ascii="Times New Roman" w:hAnsi="Times New Roman"/>
              </w:rPr>
            </w:pPr>
            <w:r w:rsidRPr="00AA45E9">
              <w:rPr>
                <w:rFonts w:ascii="Times New Roman" w:hAnsi="Times New Roman"/>
              </w:rPr>
              <w:t>Durant l’exploitation / Une fois par an</w:t>
            </w:r>
          </w:p>
        </w:tc>
        <w:tc>
          <w:tcPr>
            <w:tcW w:w="1374"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rsidR="00003BB4" w:rsidRPr="00AA45E9" w:rsidRDefault="00570667" w:rsidP="00003BB4">
            <w:pPr>
              <w:autoSpaceDE w:val="0"/>
              <w:autoSpaceDN w:val="0"/>
              <w:adjustRightInd w:val="0"/>
              <w:spacing w:after="0" w:line="276" w:lineRule="auto"/>
              <w:jc w:val="center"/>
              <w:rPr>
                <w:rFonts w:ascii="Times New Roman" w:hAnsi="Times New Roman"/>
                <w:b/>
              </w:rPr>
            </w:pPr>
            <w:r>
              <w:rPr>
                <w:rFonts w:ascii="Times New Roman" w:hAnsi="Times New Roman"/>
                <w:b/>
              </w:rPr>
              <w:t>5</w:t>
            </w:r>
            <w:r w:rsidR="00003BB4" w:rsidRPr="00AA45E9">
              <w:rPr>
                <w:rFonts w:ascii="Times New Roman" w:hAnsi="Times New Roman"/>
                <w:b/>
              </w:rPr>
              <w:t> 000 000</w:t>
            </w:r>
          </w:p>
        </w:tc>
        <w:tc>
          <w:tcPr>
            <w:tcW w:w="1326" w:type="dxa"/>
            <w:tcBorders>
              <w:top w:val="single" w:sz="4" w:space="0" w:color="auto"/>
              <w:left w:val="single" w:sz="4" w:space="0" w:color="auto"/>
              <w:bottom w:val="single" w:sz="4" w:space="0" w:color="auto"/>
              <w:right w:val="single" w:sz="4" w:space="0" w:color="auto"/>
            </w:tcBorders>
            <w:vAlign w:val="center"/>
            <w:hideMark/>
          </w:tcPr>
          <w:p w:rsidR="00003BB4" w:rsidRPr="00AA45E9" w:rsidRDefault="00003BB4" w:rsidP="00003BB4">
            <w:pPr>
              <w:autoSpaceDE w:val="0"/>
              <w:autoSpaceDN w:val="0"/>
              <w:adjustRightInd w:val="0"/>
              <w:spacing w:after="0" w:line="276" w:lineRule="auto"/>
              <w:jc w:val="center"/>
              <w:rPr>
                <w:rFonts w:ascii="Times New Roman" w:hAnsi="Times New Roman"/>
                <w:sz w:val="20"/>
                <w:szCs w:val="20"/>
              </w:rPr>
            </w:pPr>
            <w:r w:rsidRPr="00AA45E9">
              <w:rPr>
                <w:rFonts w:ascii="Times New Roman" w:hAnsi="Times New Roman"/>
                <w:sz w:val="20"/>
                <w:szCs w:val="20"/>
              </w:rPr>
              <w:t xml:space="preserve">Coût inclus dans le protocole d’accord entre le </w:t>
            </w:r>
            <w:r w:rsidRPr="00AA45E9">
              <w:rPr>
                <w:rFonts w:ascii="Times New Roman" w:hAnsi="Times New Roman"/>
                <w:sz w:val="20"/>
                <w:szCs w:val="20"/>
              </w:rPr>
              <w:lastRenderedPageBreak/>
              <w:t>promoteur et le CRS</w:t>
            </w:r>
          </w:p>
        </w:tc>
      </w:tr>
      <w:tr w:rsidR="00003BB4" w:rsidRPr="00AA45E9" w:rsidTr="002407EF">
        <w:trPr>
          <w:trHeight w:val="134"/>
          <w:jc w:val="center"/>
        </w:trPr>
        <w:tc>
          <w:tcPr>
            <w:tcW w:w="1418"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rsidR="00003BB4" w:rsidRPr="00AA45E9" w:rsidRDefault="00B424EA" w:rsidP="00003BB4">
            <w:pPr>
              <w:autoSpaceDE w:val="0"/>
              <w:autoSpaceDN w:val="0"/>
              <w:adjustRightInd w:val="0"/>
              <w:spacing w:after="0" w:line="276" w:lineRule="auto"/>
              <w:jc w:val="center"/>
              <w:rPr>
                <w:rFonts w:ascii="Times New Roman" w:hAnsi="Times New Roman"/>
                <w:b/>
                <w:bCs/>
              </w:rPr>
            </w:pPr>
            <w:r>
              <w:rPr>
                <w:rFonts w:ascii="Times New Roman" w:hAnsi="Times New Roman"/>
                <w:b/>
                <w:bCs/>
              </w:rPr>
              <w:lastRenderedPageBreak/>
              <w:t>Humain</w:t>
            </w:r>
          </w:p>
        </w:tc>
        <w:tc>
          <w:tcPr>
            <w:tcW w:w="1843" w:type="dxa"/>
            <w:tcBorders>
              <w:top w:val="single" w:sz="4" w:space="0" w:color="auto"/>
              <w:left w:val="single" w:sz="4" w:space="0" w:color="auto"/>
              <w:bottom w:val="single" w:sz="4" w:space="0" w:color="auto"/>
              <w:right w:val="single" w:sz="4" w:space="0" w:color="auto"/>
            </w:tcBorders>
            <w:vAlign w:val="center"/>
          </w:tcPr>
          <w:p w:rsidR="00003BB4" w:rsidRPr="00AA45E9" w:rsidRDefault="000177A3" w:rsidP="00003BB4">
            <w:pPr>
              <w:autoSpaceDE w:val="0"/>
              <w:autoSpaceDN w:val="0"/>
              <w:adjustRightInd w:val="0"/>
              <w:spacing w:after="0" w:line="276" w:lineRule="auto"/>
              <w:jc w:val="both"/>
              <w:rPr>
                <w:rFonts w:ascii="Times New Roman" w:hAnsi="Times New Roman"/>
                <w:sz w:val="20"/>
                <w:szCs w:val="20"/>
              </w:rPr>
            </w:pPr>
            <w:r w:rsidRPr="000177A3">
              <w:rPr>
                <w:rFonts w:ascii="Times New Roman" w:hAnsi="Times New Roman"/>
                <w:sz w:val="20"/>
                <w:szCs w:val="20"/>
              </w:rPr>
              <w:t>Meilleure couverture d’accès à l’eau portable dans les zones desservis</w:t>
            </w:r>
          </w:p>
        </w:tc>
        <w:tc>
          <w:tcPr>
            <w:tcW w:w="3118" w:type="dxa"/>
            <w:tcBorders>
              <w:top w:val="single" w:sz="4" w:space="0" w:color="auto"/>
              <w:left w:val="single" w:sz="4" w:space="0" w:color="auto"/>
              <w:bottom w:val="single" w:sz="4" w:space="0" w:color="auto"/>
              <w:right w:val="single" w:sz="4" w:space="0" w:color="auto"/>
            </w:tcBorders>
            <w:vAlign w:val="center"/>
          </w:tcPr>
          <w:p w:rsidR="000177A3" w:rsidRDefault="00DB706A" w:rsidP="00003BB4">
            <w:pPr>
              <w:autoSpaceDE w:val="0"/>
              <w:autoSpaceDN w:val="0"/>
              <w:adjustRightInd w:val="0"/>
              <w:spacing w:after="0" w:line="276" w:lineRule="auto"/>
              <w:jc w:val="both"/>
              <w:rPr>
                <w:rFonts w:ascii="Times New Roman" w:hAnsi="Times New Roman"/>
                <w:sz w:val="20"/>
                <w:szCs w:val="20"/>
              </w:rPr>
            </w:pPr>
            <w:r>
              <w:rPr>
                <w:rFonts w:ascii="Times New Roman" w:hAnsi="Times New Roman"/>
                <w:sz w:val="20"/>
                <w:szCs w:val="20"/>
              </w:rPr>
              <w:t>-D</w:t>
            </w:r>
            <w:r w:rsidR="000177A3" w:rsidRPr="00AA45E9">
              <w:rPr>
                <w:rFonts w:ascii="Times New Roman" w:hAnsi="Times New Roman"/>
                <w:sz w:val="20"/>
                <w:szCs w:val="20"/>
              </w:rPr>
              <w:t xml:space="preserve">iminuer les taxes aux opérateurs privés </w:t>
            </w:r>
            <w:r>
              <w:rPr>
                <w:rFonts w:ascii="Times New Roman" w:hAnsi="Times New Roman"/>
                <w:sz w:val="20"/>
                <w:szCs w:val="20"/>
              </w:rPr>
              <w:t>pour faciliter la couverture des zones desservis en eau potable ;</w:t>
            </w:r>
          </w:p>
          <w:p w:rsidR="00003BB4" w:rsidRPr="00AA45E9" w:rsidRDefault="00DB706A" w:rsidP="00003BB4">
            <w:pPr>
              <w:autoSpaceDE w:val="0"/>
              <w:autoSpaceDN w:val="0"/>
              <w:adjustRightInd w:val="0"/>
              <w:spacing w:after="0" w:line="276" w:lineRule="auto"/>
              <w:jc w:val="both"/>
              <w:rPr>
                <w:rFonts w:ascii="Times New Roman" w:hAnsi="Times New Roman"/>
                <w:sz w:val="20"/>
                <w:szCs w:val="20"/>
              </w:rPr>
            </w:pPr>
            <w:r>
              <w:rPr>
                <w:rFonts w:ascii="Times New Roman" w:hAnsi="Times New Roman"/>
                <w:sz w:val="20"/>
                <w:szCs w:val="20"/>
              </w:rPr>
              <w:t>-</w:t>
            </w:r>
            <w:r w:rsidR="000177A3" w:rsidRPr="00AA45E9">
              <w:rPr>
                <w:rFonts w:ascii="Times New Roman" w:hAnsi="Times New Roman"/>
                <w:sz w:val="20"/>
                <w:szCs w:val="20"/>
              </w:rPr>
              <w:t>Appuyer les opérateurs privés à couvrir le maximum de zones</w:t>
            </w:r>
            <w:r w:rsidR="00B2673F">
              <w:rPr>
                <w:rFonts w:ascii="Times New Roman" w:hAnsi="Times New Roman"/>
                <w:sz w:val="20"/>
                <w:szCs w:val="20"/>
              </w:rPr>
              <w:t> ;</w:t>
            </w:r>
          </w:p>
        </w:tc>
        <w:tc>
          <w:tcPr>
            <w:tcW w:w="2308" w:type="dxa"/>
            <w:tcBorders>
              <w:top w:val="single" w:sz="4" w:space="0" w:color="auto"/>
              <w:left w:val="single" w:sz="4" w:space="0" w:color="auto"/>
              <w:bottom w:val="single" w:sz="4" w:space="0" w:color="auto"/>
              <w:right w:val="single" w:sz="4" w:space="0" w:color="auto"/>
            </w:tcBorders>
            <w:vAlign w:val="center"/>
          </w:tcPr>
          <w:p w:rsidR="00D91058" w:rsidRPr="00AA45E9" w:rsidRDefault="00B2673F" w:rsidP="00D91058">
            <w:pPr>
              <w:autoSpaceDE w:val="0"/>
              <w:autoSpaceDN w:val="0"/>
              <w:adjustRightInd w:val="0"/>
              <w:spacing w:after="0" w:line="276" w:lineRule="auto"/>
              <w:jc w:val="both"/>
              <w:rPr>
                <w:rFonts w:ascii="Times New Roman" w:hAnsi="Times New Roman"/>
                <w:sz w:val="20"/>
                <w:szCs w:val="20"/>
              </w:rPr>
            </w:pPr>
            <w:r>
              <w:rPr>
                <w:rFonts w:ascii="Times New Roman" w:hAnsi="Times New Roman"/>
                <w:sz w:val="20"/>
                <w:szCs w:val="20"/>
              </w:rPr>
              <w:t xml:space="preserve">-Implantation de nouveaux </w:t>
            </w:r>
            <w:r w:rsidR="00D91058" w:rsidRPr="00AA45E9">
              <w:rPr>
                <w:rFonts w:ascii="Times New Roman" w:hAnsi="Times New Roman"/>
                <w:sz w:val="20"/>
                <w:szCs w:val="20"/>
              </w:rPr>
              <w:t>opérateurs privés dans le pays</w:t>
            </w:r>
            <w:r>
              <w:rPr>
                <w:rFonts w:ascii="Times New Roman" w:hAnsi="Times New Roman"/>
                <w:sz w:val="20"/>
                <w:szCs w:val="20"/>
              </w:rPr>
              <w:t xml:space="preserve"> </w:t>
            </w:r>
          </w:p>
          <w:p w:rsidR="00003BB4" w:rsidRPr="00AA45E9" w:rsidRDefault="00D91058" w:rsidP="00B2673F">
            <w:pPr>
              <w:autoSpaceDE w:val="0"/>
              <w:autoSpaceDN w:val="0"/>
              <w:adjustRightInd w:val="0"/>
              <w:spacing w:after="0" w:line="276" w:lineRule="auto"/>
              <w:jc w:val="both"/>
              <w:rPr>
                <w:rFonts w:ascii="Times New Roman" w:hAnsi="Times New Roman"/>
                <w:sz w:val="20"/>
                <w:szCs w:val="20"/>
              </w:rPr>
            </w:pPr>
            <w:r w:rsidRPr="00AA45E9">
              <w:rPr>
                <w:rFonts w:ascii="Times New Roman" w:hAnsi="Times New Roman"/>
                <w:sz w:val="20"/>
                <w:szCs w:val="20"/>
              </w:rPr>
              <w:t xml:space="preserve">-Présence </w:t>
            </w:r>
            <w:r w:rsidR="00B2673F">
              <w:rPr>
                <w:rFonts w:ascii="Times New Roman" w:hAnsi="Times New Roman"/>
                <w:sz w:val="20"/>
                <w:szCs w:val="20"/>
              </w:rPr>
              <w:t xml:space="preserve">de réservoir dans les </w:t>
            </w:r>
            <w:r w:rsidRPr="00AA45E9">
              <w:rPr>
                <w:rFonts w:ascii="Times New Roman" w:hAnsi="Times New Roman"/>
                <w:sz w:val="20"/>
                <w:szCs w:val="20"/>
              </w:rPr>
              <w:t xml:space="preserve">zones isolées </w:t>
            </w:r>
          </w:p>
        </w:tc>
        <w:tc>
          <w:tcPr>
            <w:tcW w:w="1275"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rsidR="00003BB4" w:rsidRPr="002407EF" w:rsidRDefault="00003BB4" w:rsidP="00003BB4">
            <w:pPr>
              <w:autoSpaceDE w:val="0"/>
              <w:autoSpaceDN w:val="0"/>
              <w:adjustRightInd w:val="0"/>
              <w:spacing w:after="0" w:line="276" w:lineRule="auto"/>
              <w:jc w:val="center"/>
              <w:rPr>
                <w:rFonts w:ascii="Times New Roman" w:hAnsi="Times New Roman"/>
                <w:b/>
              </w:rPr>
            </w:pPr>
            <w:r w:rsidRPr="002407EF">
              <w:rPr>
                <w:rFonts w:ascii="Times New Roman" w:hAnsi="Times New Roman"/>
                <w:b/>
              </w:rPr>
              <w:t>ETAT</w:t>
            </w:r>
          </w:p>
          <w:p w:rsidR="00B2673F" w:rsidRPr="002407EF" w:rsidRDefault="00B2673F" w:rsidP="00003BB4">
            <w:pPr>
              <w:autoSpaceDE w:val="0"/>
              <w:autoSpaceDN w:val="0"/>
              <w:adjustRightInd w:val="0"/>
              <w:spacing w:after="0" w:line="276" w:lineRule="auto"/>
              <w:jc w:val="center"/>
              <w:rPr>
                <w:rFonts w:ascii="Times New Roman" w:hAnsi="Times New Roman"/>
                <w:b/>
              </w:rPr>
            </w:pPr>
            <w:r w:rsidRPr="002407EF">
              <w:rPr>
                <w:rFonts w:ascii="Times New Roman" w:hAnsi="Times New Roman"/>
                <w:b/>
              </w:rPr>
              <w:t>PUASEE-FA</w:t>
            </w:r>
          </w:p>
        </w:tc>
        <w:tc>
          <w:tcPr>
            <w:tcW w:w="1701"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rsidR="00003BB4" w:rsidRPr="002407EF" w:rsidRDefault="00003BB4" w:rsidP="00003BB4">
            <w:pPr>
              <w:autoSpaceDE w:val="0"/>
              <w:autoSpaceDN w:val="0"/>
              <w:adjustRightInd w:val="0"/>
              <w:spacing w:after="0" w:line="276" w:lineRule="auto"/>
              <w:jc w:val="center"/>
              <w:rPr>
                <w:rFonts w:ascii="Times New Roman" w:hAnsi="Times New Roman"/>
                <w:b/>
              </w:rPr>
            </w:pPr>
            <w:r w:rsidRPr="002407EF">
              <w:rPr>
                <w:rFonts w:ascii="Times New Roman" w:hAnsi="Times New Roman"/>
                <w:b/>
              </w:rPr>
              <w:t>Comité de suivi</w:t>
            </w:r>
          </w:p>
        </w:tc>
        <w:tc>
          <w:tcPr>
            <w:tcW w:w="1418" w:type="dxa"/>
            <w:tcBorders>
              <w:top w:val="single" w:sz="4" w:space="0" w:color="auto"/>
              <w:left w:val="single" w:sz="4" w:space="0" w:color="auto"/>
              <w:bottom w:val="single" w:sz="4" w:space="0" w:color="auto"/>
              <w:right w:val="single" w:sz="4" w:space="0" w:color="auto"/>
            </w:tcBorders>
            <w:vAlign w:val="center"/>
            <w:hideMark/>
          </w:tcPr>
          <w:p w:rsidR="00003BB4" w:rsidRPr="00AA45E9" w:rsidRDefault="00003BB4" w:rsidP="00003BB4">
            <w:pPr>
              <w:autoSpaceDE w:val="0"/>
              <w:autoSpaceDN w:val="0"/>
              <w:adjustRightInd w:val="0"/>
              <w:spacing w:after="0" w:line="276" w:lineRule="auto"/>
              <w:jc w:val="center"/>
              <w:rPr>
                <w:rFonts w:ascii="Times New Roman" w:hAnsi="Times New Roman"/>
              </w:rPr>
            </w:pPr>
            <w:r w:rsidRPr="00AA45E9">
              <w:rPr>
                <w:rFonts w:ascii="Times New Roman" w:hAnsi="Times New Roman"/>
              </w:rPr>
              <w:t>Durant l’exploitation / Une fois par an</w:t>
            </w:r>
          </w:p>
        </w:tc>
        <w:tc>
          <w:tcPr>
            <w:tcW w:w="1374"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rsidR="00003BB4" w:rsidRPr="00AA45E9" w:rsidRDefault="00B2673F" w:rsidP="00003BB4">
            <w:pPr>
              <w:autoSpaceDE w:val="0"/>
              <w:autoSpaceDN w:val="0"/>
              <w:adjustRightInd w:val="0"/>
              <w:spacing w:after="0" w:line="276" w:lineRule="auto"/>
              <w:jc w:val="center"/>
              <w:rPr>
                <w:rFonts w:ascii="Times New Roman" w:hAnsi="Times New Roman"/>
                <w:b/>
              </w:rPr>
            </w:pPr>
            <w:r>
              <w:rPr>
                <w:rFonts w:ascii="Times New Roman" w:hAnsi="Times New Roman"/>
                <w:b/>
              </w:rPr>
              <w:t>3 0</w:t>
            </w:r>
            <w:r w:rsidR="00003BB4" w:rsidRPr="00AA45E9">
              <w:rPr>
                <w:rFonts w:ascii="Times New Roman" w:hAnsi="Times New Roman"/>
                <w:b/>
              </w:rPr>
              <w:t>00 000</w:t>
            </w:r>
          </w:p>
        </w:tc>
        <w:tc>
          <w:tcPr>
            <w:tcW w:w="1326" w:type="dxa"/>
            <w:tcBorders>
              <w:top w:val="single" w:sz="4" w:space="0" w:color="auto"/>
              <w:left w:val="single" w:sz="4" w:space="0" w:color="auto"/>
              <w:bottom w:val="single" w:sz="4" w:space="0" w:color="auto"/>
              <w:right w:val="single" w:sz="4" w:space="0" w:color="auto"/>
            </w:tcBorders>
            <w:vAlign w:val="center"/>
            <w:hideMark/>
          </w:tcPr>
          <w:p w:rsidR="00003BB4" w:rsidRPr="00AA45E9" w:rsidRDefault="00003BB4" w:rsidP="00003BB4">
            <w:pPr>
              <w:autoSpaceDE w:val="0"/>
              <w:autoSpaceDN w:val="0"/>
              <w:adjustRightInd w:val="0"/>
              <w:spacing w:after="0" w:line="276" w:lineRule="auto"/>
              <w:jc w:val="center"/>
              <w:rPr>
                <w:rFonts w:ascii="Times New Roman" w:hAnsi="Times New Roman"/>
                <w:sz w:val="20"/>
                <w:szCs w:val="20"/>
              </w:rPr>
            </w:pPr>
            <w:r w:rsidRPr="00AA45E9">
              <w:rPr>
                <w:rFonts w:ascii="Times New Roman" w:hAnsi="Times New Roman"/>
                <w:sz w:val="20"/>
                <w:szCs w:val="20"/>
              </w:rPr>
              <w:t>Coût inclus dans le protocole d’accord entre le promoteur et le CRS</w:t>
            </w:r>
          </w:p>
        </w:tc>
      </w:tr>
      <w:tr w:rsidR="00B424EA" w:rsidRPr="00AA45E9" w:rsidTr="002407EF">
        <w:trPr>
          <w:trHeight w:val="1851"/>
          <w:jc w:val="center"/>
        </w:trPr>
        <w:tc>
          <w:tcPr>
            <w:tcW w:w="1418" w:type="dxa"/>
            <w:tcBorders>
              <w:top w:val="single" w:sz="4" w:space="0" w:color="auto"/>
              <w:left w:val="single" w:sz="4" w:space="0" w:color="auto"/>
              <w:right w:val="single" w:sz="4" w:space="0" w:color="auto"/>
            </w:tcBorders>
            <w:shd w:val="clear" w:color="auto" w:fill="BDD6EE" w:themeFill="accent1" w:themeFillTint="66"/>
            <w:vAlign w:val="center"/>
          </w:tcPr>
          <w:p w:rsidR="00B424EA" w:rsidRPr="00AA45E9" w:rsidRDefault="00B424EA" w:rsidP="00003BB4">
            <w:pPr>
              <w:autoSpaceDE w:val="0"/>
              <w:autoSpaceDN w:val="0"/>
              <w:adjustRightInd w:val="0"/>
              <w:spacing w:after="0" w:line="276" w:lineRule="auto"/>
              <w:jc w:val="center"/>
              <w:rPr>
                <w:rFonts w:ascii="Times New Roman" w:hAnsi="Times New Roman"/>
                <w:b/>
                <w:bCs/>
              </w:rPr>
            </w:pPr>
            <w:r>
              <w:rPr>
                <w:rFonts w:ascii="Times New Roman" w:hAnsi="Times New Roman"/>
                <w:b/>
                <w:bCs/>
              </w:rPr>
              <w:t>EAGB</w:t>
            </w:r>
          </w:p>
        </w:tc>
        <w:tc>
          <w:tcPr>
            <w:tcW w:w="1843" w:type="dxa"/>
            <w:tcBorders>
              <w:top w:val="single" w:sz="4" w:space="0" w:color="auto"/>
              <w:left w:val="single" w:sz="4" w:space="0" w:color="auto"/>
              <w:bottom w:val="single" w:sz="4" w:space="0" w:color="auto"/>
              <w:right w:val="single" w:sz="4" w:space="0" w:color="auto"/>
            </w:tcBorders>
            <w:vAlign w:val="center"/>
          </w:tcPr>
          <w:p w:rsidR="00B424EA" w:rsidRPr="003F6D00" w:rsidRDefault="00B424EA" w:rsidP="00003BB4">
            <w:pPr>
              <w:autoSpaceDE w:val="0"/>
              <w:autoSpaceDN w:val="0"/>
              <w:adjustRightInd w:val="0"/>
              <w:spacing w:after="0" w:line="276" w:lineRule="auto"/>
              <w:jc w:val="both"/>
              <w:rPr>
                <w:rFonts w:ascii="Times New Roman" w:hAnsi="Times New Roman"/>
                <w:sz w:val="20"/>
                <w:szCs w:val="20"/>
                <w:lang w:val="x-none"/>
              </w:rPr>
            </w:pPr>
            <w:r w:rsidRPr="003F6D00">
              <w:rPr>
                <w:rFonts w:ascii="Times New Roman" w:hAnsi="Times New Roman"/>
                <w:sz w:val="20"/>
                <w:szCs w:val="20"/>
                <w:lang w:val="x-none"/>
              </w:rPr>
              <w:t>Amélioration de la performance de l’EAGB</w:t>
            </w:r>
          </w:p>
        </w:tc>
        <w:tc>
          <w:tcPr>
            <w:tcW w:w="3118" w:type="dxa"/>
            <w:tcBorders>
              <w:top w:val="single" w:sz="4" w:space="0" w:color="auto"/>
              <w:left w:val="single" w:sz="4" w:space="0" w:color="auto"/>
              <w:bottom w:val="single" w:sz="4" w:space="0" w:color="auto"/>
              <w:right w:val="single" w:sz="4" w:space="0" w:color="auto"/>
            </w:tcBorders>
            <w:vAlign w:val="center"/>
          </w:tcPr>
          <w:p w:rsidR="00B424EA" w:rsidRPr="003E0E38" w:rsidRDefault="00B424EA" w:rsidP="00003BB4">
            <w:pPr>
              <w:autoSpaceDE w:val="0"/>
              <w:autoSpaceDN w:val="0"/>
              <w:adjustRightInd w:val="0"/>
              <w:spacing w:after="0" w:line="276" w:lineRule="auto"/>
              <w:jc w:val="both"/>
              <w:rPr>
                <w:rFonts w:ascii="Times New Roman" w:hAnsi="Times New Roman"/>
                <w:sz w:val="20"/>
                <w:szCs w:val="20"/>
              </w:rPr>
            </w:pPr>
            <w:r w:rsidRPr="003E0E38">
              <w:rPr>
                <w:rFonts w:ascii="Times New Roman" w:hAnsi="Times New Roman"/>
                <w:sz w:val="20"/>
                <w:szCs w:val="20"/>
              </w:rPr>
              <w:t>-Renforcer, encadrer, former l’</w:t>
            </w:r>
            <w:r>
              <w:rPr>
                <w:rFonts w:ascii="Times New Roman" w:hAnsi="Times New Roman"/>
                <w:sz w:val="20"/>
                <w:szCs w:val="20"/>
              </w:rPr>
              <w:t>EA</w:t>
            </w:r>
            <w:r w:rsidRPr="003E0E38">
              <w:rPr>
                <w:rFonts w:ascii="Times New Roman" w:hAnsi="Times New Roman"/>
                <w:sz w:val="20"/>
                <w:szCs w:val="20"/>
              </w:rPr>
              <w:t>GB en terme de performance,</w:t>
            </w:r>
            <w:r w:rsidRPr="003E0E38">
              <w:rPr>
                <w:rFonts w:ascii="Times New Roman" w:hAnsi="Times New Roman" w:cs="Times New Roman"/>
                <w:color w:val="000000"/>
                <w:sz w:val="20"/>
                <w:szCs w:val="20"/>
              </w:rPr>
              <w:t xml:space="preserve"> performance, d’efficacité, d’efficience, de rentabilité, de maîtrise des investissements </w:t>
            </w:r>
            <w:r>
              <w:rPr>
                <w:rFonts w:ascii="Times New Roman" w:hAnsi="Times New Roman" w:cs="Times New Roman"/>
                <w:color w:val="000000"/>
                <w:sz w:val="20"/>
                <w:szCs w:val="20"/>
              </w:rPr>
              <w:t>et de maximisation du rendement ;</w:t>
            </w:r>
          </w:p>
        </w:tc>
        <w:tc>
          <w:tcPr>
            <w:tcW w:w="2308" w:type="dxa"/>
            <w:tcBorders>
              <w:top w:val="single" w:sz="4" w:space="0" w:color="auto"/>
              <w:left w:val="single" w:sz="4" w:space="0" w:color="auto"/>
              <w:bottom w:val="single" w:sz="4" w:space="0" w:color="auto"/>
              <w:right w:val="single" w:sz="4" w:space="0" w:color="auto"/>
            </w:tcBorders>
            <w:vAlign w:val="center"/>
          </w:tcPr>
          <w:p w:rsidR="00B424EA" w:rsidRPr="00AA45E9" w:rsidRDefault="00B424EA" w:rsidP="00D91058">
            <w:pPr>
              <w:autoSpaceDE w:val="0"/>
              <w:autoSpaceDN w:val="0"/>
              <w:adjustRightInd w:val="0"/>
              <w:spacing w:after="0" w:line="276" w:lineRule="auto"/>
              <w:jc w:val="both"/>
              <w:rPr>
                <w:rFonts w:ascii="Times New Roman" w:hAnsi="Times New Roman"/>
                <w:sz w:val="20"/>
                <w:szCs w:val="20"/>
              </w:rPr>
            </w:pPr>
            <w:r>
              <w:rPr>
                <w:rFonts w:ascii="Times New Roman" w:hAnsi="Times New Roman"/>
                <w:sz w:val="20"/>
                <w:szCs w:val="20"/>
              </w:rPr>
              <w:t>- Nombre de personnes formées, encadrées, renforcées au niveau EAGB ;</w:t>
            </w:r>
          </w:p>
        </w:tc>
        <w:tc>
          <w:tcPr>
            <w:tcW w:w="1275"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B424EA" w:rsidRPr="002407EF" w:rsidRDefault="00B424EA" w:rsidP="00003BB4">
            <w:pPr>
              <w:autoSpaceDE w:val="0"/>
              <w:autoSpaceDN w:val="0"/>
              <w:adjustRightInd w:val="0"/>
              <w:spacing w:after="0" w:line="276" w:lineRule="auto"/>
              <w:jc w:val="center"/>
              <w:rPr>
                <w:rFonts w:ascii="Times New Roman" w:hAnsi="Times New Roman"/>
                <w:b/>
              </w:rPr>
            </w:pPr>
            <w:r w:rsidRPr="002407EF">
              <w:rPr>
                <w:rFonts w:ascii="Times New Roman" w:hAnsi="Times New Roman"/>
                <w:b/>
              </w:rPr>
              <w:t xml:space="preserve"> ETAT</w:t>
            </w:r>
          </w:p>
          <w:p w:rsidR="00B424EA" w:rsidRPr="002407EF" w:rsidRDefault="00B424EA" w:rsidP="00003BB4">
            <w:pPr>
              <w:autoSpaceDE w:val="0"/>
              <w:autoSpaceDN w:val="0"/>
              <w:adjustRightInd w:val="0"/>
              <w:spacing w:after="0" w:line="276" w:lineRule="auto"/>
              <w:jc w:val="center"/>
              <w:rPr>
                <w:rFonts w:ascii="Times New Roman" w:hAnsi="Times New Roman"/>
                <w:b/>
              </w:rPr>
            </w:pPr>
            <w:r w:rsidRPr="002407EF">
              <w:rPr>
                <w:rFonts w:ascii="Times New Roman" w:hAnsi="Times New Roman"/>
                <w:b/>
              </w:rPr>
              <w:t>PUASEE-FA</w:t>
            </w:r>
          </w:p>
        </w:tc>
        <w:tc>
          <w:tcPr>
            <w:tcW w:w="1701"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B424EA" w:rsidRPr="002407EF" w:rsidRDefault="00B424EA" w:rsidP="00003BB4">
            <w:pPr>
              <w:autoSpaceDE w:val="0"/>
              <w:autoSpaceDN w:val="0"/>
              <w:adjustRightInd w:val="0"/>
              <w:spacing w:after="0" w:line="276" w:lineRule="auto"/>
              <w:jc w:val="center"/>
              <w:rPr>
                <w:rFonts w:ascii="Times New Roman" w:hAnsi="Times New Roman"/>
                <w:b/>
              </w:rPr>
            </w:pPr>
            <w:r w:rsidRPr="002407EF">
              <w:rPr>
                <w:rFonts w:ascii="Times New Roman" w:hAnsi="Times New Roman"/>
                <w:b/>
              </w:rPr>
              <w:t>Comité de suivi</w:t>
            </w:r>
          </w:p>
        </w:tc>
        <w:tc>
          <w:tcPr>
            <w:tcW w:w="1418" w:type="dxa"/>
            <w:tcBorders>
              <w:top w:val="single" w:sz="4" w:space="0" w:color="auto"/>
              <w:left w:val="single" w:sz="4" w:space="0" w:color="auto"/>
              <w:bottom w:val="single" w:sz="4" w:space="0" w:color="auto"/>
              <w:right w:val="single" w:sz="4" w:space="0" w:color="auto"/>
            </w:tcBorders>
            <w:vAlign w:val="center"/>
          </w:tcPr>
          <w:p w:rsidR="00B424EA" w:rsidRDefault="00B424EA" w:rsidP="00003BB4">
            <w:pPr>
              <w:autoSpaceDE w:val="0"/>
              <w:autoSpaceDN w:val="0"/>
              <w:adjustRightInd w:val="0"/>
              <w:spacing w:after="0" w:line="276" w:lineRule="auto"/>
              <w:jc w:val="center"/>
              <w:rPr>
                <w:rFonts w:ascii="Times New Roman" w:hAnsi="Times New Roman"/>
              </w:rPr>
            </w:pPr>
            <w:r w:rsidRPr="00AA45E9">
              <w:rPr>
                <w:rFonts w:ascii="Times New Roman" w:hAnsi="Times New Roman"/>
              </w:rPr>
              <w:t xml:space="preserve">Durant l’exploitation </w:t>
            </w:r>
          </w:p>
          <w:p w:rsidR="00B424EA" w:rsidRPr="00AA45E9" w:rsidRDefault="00B424EA" w:rsidP="00003BB4">
            <w:pPr>
              <w:autoSpaceDE w:val="0"/>
              <w:autoSpaceDN w:val="0"/>
              <w:adjustRightInd w:val="0"/>
              <w:spacing w:after="0" w:line="276" w:lineRule="auto"/>
              <w:jc w:val="center"/>
              <w:rPr>
                <w:rFonts w:ascii="Times New Roman" w:hAnsi="Times New Roman"/>
              </w:rPr>
            </w:pPr>
            <w:r>
              <w:rPr>
                <w:rFonts w:ascii="Times New Roman" w:hAnsi="Times New Roman"/>
              </w:rPr>
              <w:t>/</w:t>
            </w:r>
            <w:r w:rsidRPr="00AA45E9">
              <w:rPr>
                <w:rFonts w:ascii="Times New Roman" w:hAnsi="Times New Roman"/>
              </w:rPr>
              <w:t>Une fois par an</w:t>
            </w:r>
          </w:p>
        </w:tc>
        <w:tc>
          <w:tcPr>
            <w:tcW w:w="1374"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rsidR="00B424EA" w:rsidRPr="00AA45E9" w:rsidRDefault="00B424EA" w:rsidP="00003BB4">
            <w:pPr>
              <w:autoSpaceDE w:val="0"/>
              <w:autoSpaceDN w:val="0"/>
              <w:adjustRightInd w:val="0"/>
              <w:spacing w:after="0" w:line="276" w:lineRule="auto"/>
              <w:jc w:val="center"/>
              <w:rPr>
                <w:rFonts w:ascii="Times New Roman" w:hAnsi="Times New Roman"/>
                <w:b/>
              </w:rPr>
            </w:pPr>
            <w:r>
              <w:rPr>
                <w:rFonts w:ascii="Times New Roman" w:hAnsi="Times New Roman"/>
                <w:b/>
              </w:rPr>
              <w:t>2 500 000</w:t>
            </w:r>
          </w:p>
        </w:tc>
        <w:tc>
          <w:tcPr>
            <w:tcW w:w="1326" w:type="dxa"/>
            <w:tcBorders>
              <w:top w:val="single" w:sz="4" w:space="0" w:color="auto"/>
              <w:left w:val="single" w:sz="4" w:space="0" w:color="auto"/>
              <w:bottom w:val="single" w:sz="4" w:space="0" w:color="auto"/>
              <w:right w:val="single" w:sz="4" w:space="0" w:color="auto"/>
            </w:tcBorders>
            <w:vAlign w:val="center"/>
          </w:tcPr>
          <w:p w:rsidR="00B424EA" w:rsidRPr="00AA45E9" w:rsidRDefault="00B424EA" w:rsidP="00003BB4">
            <w:pPr>
              <w:autoSpaceDE w:val="0"/>
              <w:autoSpaceDN w:val="0"/>
              <w:adjustRightInd w:val="0"/>
              <w:spacing w:after="0" w:line="276" w:lineRule="auto"/>
              <w:jc w:val="center"/>
              <w:rPr>
                <w:rFonts w:ascii="Times New Roman" w:hAnsi="Times New Roman"/>
                <w:sz w:val="20"/>
                <w:szCs w:val="20"/>
              </w:rPr>
            </w:pPr>
            <w:r w:rsidRPr="00AA45E9">
              <w:rPr>
                <w:rFonts w:ascii="Times New Roman" w:hAnsi="Times New Roman"/>
                <w:sz w:val="20"/>
                <w:szCs w:val="20"/>
              </w:rPr>
              <w:t>Coût inclus dans le protocole d’accord entre le promoteur et le CRS</w:t>
            </w:r>
          </w:p>
        </w:tc>
      </w:tr>
      <w:tr w:rsidR="00003BB4" w:rsidRPr="00AA45E9" w:rsidTr="00B424EA">
        <w:trPr>
          <w:trHeight w:val="134"/>
          <w:jc w:val="center"/>
        </w:trPr>
        <w:tc>
          <w:tcPr>
            <w:tcW w:w="13081" w:type="dxa"/>
            <w:gridSpan w:val="7"/>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rsidR="00003BB4" w:rsidRPr="00AA45E9" w:rsidRDefault="00671CEF" w:rsidP="00003BB4">
            <w:pPr>
              <w:autoSpaceDE w:val="0"/>
              <w:autoSpaceDN w:val="0"/>
              <w:adjustRightInd w:val="0"/>
              <w:spacing w:after="0" w:line="276" w:lineRule="auto"/>
              <w:jc w:val="center"/>
              <w:rPr>
                <w:rFonts w:ascii="Times New Roman" w:hAnsi="Times New Roman"/>
                <w:b/>
                <w:bCs/>
              </w:rPr>
            </w:pPr>
            <w:r>
              <w:rPr>
                <w:rFonts w:ascii="Times New Roman" w:hAnsi="Times New Roman"/>
                <w:b/>
                <w:bCs/>
              </w:rPr>
              <w:t xml:space="preserve">SOUS </w:t>
            </w:r>
            <w:r w:rsidR="00003BB4" w:rsidRPr="00AA45E9">
              <w:rPr>
                <w:rFonts w:ascii="Times New Roman" w:hAnsi="Times New Roman"/>
                <w:b/>
                <w:bCs/>
              </w:rPr>
              <w:t>TOTAL</w:t>
            </w:r>
            <w:r>
              <w:rPr>
                <w:rFonts w:ascii="Times New Roman" w:hAnsi="Times New Roman"/>
                <w:b/>
                <w:bCs/>
              </w:rPr>
              <w:t xml:space="preserve"> 1</w:t>
            </w:r>
          </w:p>
        </w:tc>
        <w:tc>
          <w:tcPr>
            <w:tcW w:w="1374"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rsidR="00003BB4" w:rsidRPr="007D251E" w:rsidRDefault="00ED4086" w:rsidP="00D03CFF">
            <w:pPr>
              <w:autoSpaceDE w:val="0"/>
              <w:autoSpaceDN w:val="0"/>
              <w:adjustRightInd w:val="0"/>
              <w:spacing w:after="0" w:line="276" w:lineRule="auto"/>
              <w:jc w:val="center"/>
              <w:rPr>
                <w:rFonts w:ascii="Times New Roman" w:hAnsi="Times New Roman"/>
                <w:b/>
                <w:sz w:val="24"/>
                <w:szCs w:val="24"/>
              </w:rPr>
            </w:pPr>
            <w:r w:rsidRPr="007D251E">
              <w:rPr>
                <w:rFonts w:ascii="Times New Roman" w:hAnsi="Times New Roman"/>
                <w:b/>
                <w:sz w:val="24"/>
                <w:szCs w:val="24"/>
              </w:rPr>
              <w:t>18 250 000</w:t>
            </w:r>
          </w:p>
        </w:tc>
        <w:tc>
          <w:tcPr>
            <w:tcW w:w="1326"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rsidR="00003BB4" w:rsidRPr="00AA45E9" w:rsidRDefault="00003BB4" w:rsidP="00003BB4">
            <w:pPr>
              <w:autoSpaceDE w:val="0"/>
              <w:autoSpaceDN w:val="0"/>
              <w:adjustRightInd w:val="0"/>
              <w:spacing w:after="0" w:line="276" w:lineRule="auto"/>
              <w:jc w:val="center"/>
              <w:rPr>
                <w:rFonts w:ascii="Times New Roman" w:hAnsi="Times New Roman"/>
                <w:b/>
              </w:rPr>
            </w:pPr>
          </w:p>
        </w:tc>
      </w:tr>
    </w:tbl>
    <w:p w:rsidR="00764FFF" w:rsidRPr="00D335A7" w:rsidRDefault="00764FFF" w:rsidP="00820701">
      <w:pPr>
        <w:jc w:val="center"/>
        <w:rPr>
          <w:rFonts w:ascii="Times New Roman" w:hAnsi="Times New Roman"/>
        </w:rPr>
      </w:pPr>
      <w:bookmarkStart w:id="578" w:name="_Toc535408492"/>
      <w:bookmarkStart w:id="579" w:name="_Toc11158774"/>
      <w:bookmarkStart w:id="580" w:name="_Toc51074023"/>
      <w:r w:rsidRPr="00D335A7">
        <w:rPr>
          <w:rFonts w:ascii="Times New Roman" w:eastAsia="Times New Roman" w:hAnsi="Times New Roman"/>
          <w:b/>
          <w:bCs/>
          <w:sz w:val="20"/>
          <w:szCs w:val="20"/>
          <w:lang w:eastAsia="fr-FR"/>
        </w:rPr>
        <w:t xml:space="preserve">Tableau </w:t>
      </w:r>
      <w:r w:rsidRPr="00D335A7">
        <w:rPr>
          <w:rFonts w:ascii="Times New Roman" w:eastAsia="Times New Roman" w:hAnsi="Times New Roman"/>
          <w:b/>
          <w:bCs/>
          <w:sz w:val="20"/>
          <w:szCs w:val="20"/>
          <w:lang w:eastAsia="fr-FR"/>
        </w:rPr>
        <w:fldChar w:fldCharType="begin"/>
      </w:r>
      <w:r w:rsidRPr="00D335A7">
        <w:rPr>
          <w:rFonts w:ascii="Times New Roman" w:eastAsia="Times New Roman" w:hAnsi="Times New Roman"/>
          <w:b/>
          <w:bCs/>
          <w:sz w:val="20"/>
          <w:szCs w:val="20"/>
          <w:lang w:eastAsia="fr-FR"/>
        </w:rPr>
        <w:instrText xml:space="preserve"> </w:instrText>
      </w:r>
      <w:r>
        <w:rPr>
          <w:rFonts w:ascii="Times New Roman" w:eastAsia="Times New Roman" w:hAnsi="Times New Roman"/>
          <w:b/>
          <w:bCs/>
          <w:sz w:val="20"/>
          <w:szCs w:val="20"/>
          <w:lang w:eastAsia="fr-FR"/>
        </w:rPr>
        <w:instrText>SEQ</w:instrText>
      </w:r>
      <w:r w:rsidRPr="00D335A7">
        <w:rPr>
          <w:rFonts w:ascii="Times New Roman" w:eastAsia="Times New Roman" w:hAnsi="Times New Roman"/>
          <w:b/>
          <w:bCs/>
          <w:sz w:val="20"/>
          <w:szCs w:val="20"/>
          <w:lang w:eastAsia="fr-FR"/>
        </w:rPr>
        <w:instrText xml:space="preserve"> Tableau \* ARABIC </w:instrText>
      </w:r>
      <w:r w:rsidRPr="00D335A7">
        <w:rPr>
          <w:rFonts w:ascii="Times New Roman" w:eastAsia="Times New Roman" w:hAnsi="Times New Roman"/>
          <w:b/>
          <w:bCs/>
          <w:sz w:val="20"/>
          <w:szCs w:val="20"/>
          <w:lang w:eastAsia="fr-FR"/>
        </w:rPr>
        <w:fldChar w:fldCharType="separate"/>
      </w:r>
      <w:r w:rsidR="00820701">
        <w:rPr>
          <w:rFonts w:ascii="Times New Roman" w:eastAsia="Times New Roman" w:hAnsi="Times New Roman"/>
          <w:b/>
          <w:bCs/>
          <w:noProof/>
          <w:sz w:val="20"/>
          <w:szCs w:val="20"/>
          <w:lang w:eastAsia="fr-FR"/>
        </w:rPr>
        <w:t>32</w:t>
      </w:r>
      <w:r w:rsidRPr="00D335A7">
        <w:rPr>
          <w:rFonts w:ascii="Times New Roman" w:eastAsia="Times New Roman" w:hAnsi="Times New Roman"/>
          <w:b/>
          <w:bCs/>
          <w:sz w:val="20"/>
          <w:szCs w:val="20"/>
          <w:lang w:eastAsia="fr-FR"/>
        </w:rPr>
        <w:fldChar w:fldCharType="end"/>
      </w:r>
      <w:r w:rsidRPr="00D335A7">
        <w:rPr>
          <w:rFonts w:ascii="Times New Roman" w:eastAsia="Times New Roman" w:hAnsi="Times New Roman"/>
          <w:b/>
          <w:bCs/>
          <w:sz w:val="20"/>
          <w:szCs w:val="20"/>
          <w:lang w:eastAsia="fr-FR"/>
        </w:rPr>
        <w:t>: Tableau plan de gestion environnementale et sociale (PGES)</w:t>
      </w:r>
      <w:bookmarkEnd w:id="578"/>
      <w:bookmarkEnd w:id="579"/>
      <w:bookmarkEnd w:id="580"/>
    </w:p>
    <w:tbl>
      <w:tblPr>
        <w:tblW w:w="16356" w:type="dxa"/>
        <w:jc w:val="center"/>
        <w:tblBorders>
          <w:top w:val="single" w:sz="4" w:space="0" w:color="7F7F7F"/>
          <w:bottom w:val="single" w:sz="4" w:space="0" w:color="7F7F7F"/>
        </w:tblBorders>
        <w:tblLayout w:type="fixed"/>
        <w:tblLook w:val="04A0" w:firstRow="1" w:lastRow="0" w:firstColumn="1" w:lastColumn="0" w:noHBand="0" w:noVBand="1"/>
      </w:tblPr>
      <w:tblGrid>
        <w:gridCol w:w="1127"/>
        <w:gridCol w:w="1840"/>
        <w:gridCol w:w="464"/>
        <w:gridCol w:w="2943"/>
        <w:gridCol w:w="886"/>
        <w:gridCol w:w="2374"/>
        <w:gridCol w:w="461"/>
        <w:gridCol w:w="670"/>
        <w:gridCol w:w="570"/>
        <w:gridCol w:w="564"/>
        <w:gridCol w:w="712"/>
        <w:gridCol w:w="1134"/>
        <w:gridCol w:w="1374"/>
        <w:gridCol w:w="39"/>
        <w:gridCol w:w="1134"/>
        <w:gridCol w:w="64"/>
      </w:tblGrid>
      <w:tr w:rsidR="00764FFF" w:rsidRPr="00AA45E9" w:rsidTr="00D36AF7">
        <w:trPr>
          <w:trHeight w:val="327"/>
          <w:jc w:val="center"/>
        </w:trPr>
        <w:tc>
          <w:tcPr>
            <w:tcW w:w="16356" w:type="dxa"/>
            <w:gridSpan w:val="16"/>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rsidR="00764FFF" w:rsidRPr="00AA45E9" w:rsidRDefault="00764FFF" w:rsidP="00D36AF7">
            <w:pPr>
              <w:spacing w:after="0" w:line="240" w:lineRule="auto"/>
              <w:jc w:val="center"/>
              <w:rPr>
                <w:rFonts w:ascii="Times New Roman" w:hAnsi="Times New Roman"/>
                <w:b/>
                <w:bCs/>
              </w:rPr>
            </w:pPr>
            <w:r w:rsidRPr="00AA45E9">
              <w:rPr>
                <w:rFonts w:ascii="Times New Roman" w:hAnsi="Times New Roman"/>
                <w:b/>
                <w:bCs/>
              </w:rPr>
              <w:t>PHASE PRE-CONSTRUCTION ET CONSTRUCTION</w:t>
            </w:r>
          </w:p>
        </w:tc>
      </w:tr>
      <w:tr w:rsidR="00764FFF" w:rsidRPr="00AA45E9" w:rsidTr="007D251E">
        <w:trPr>
          <w:trHeight w:val="390"/>
          <w:jc w:val="center"/>
        </w:trPr>
        <w:tc>
          <w:tcPr>
            <w:tcW w:w="1127" w:type="dxa"/>
            <w:vMerge w:val="restart"/>
            <w:tcBorders>
              <w:top w:val="single" w:sz="4" w:space="0" w:color="auto"/>
              <w:left w:val="single" w:sz="4" w:space="0" w:color="auto"/>
              <w:bottom w:val="single" w:sz="4" w:space="0" w:color="auto"/>
              <w:right w:val="single" w:sz="4" w:space="0" w:color="auto"/>
            </w:tcBorders>
            <w:shd w:val="clear" w:color="auto" w:fill="F2F2F2"/>
            <w:vAlign w:val="center"/>
          </w:tcPr>
          <w:p w:rsidR="00764FFF" w:rsidRPr="00AA45E9" w:rsidRDefault="00764FFF" w:rsidP="00764FFF">
            <w:pPr>
              <w:spacing w:after="0" w:line="240" w:lineRule="auto"/>
              <w:jc w:val="center"/>
              <w:rPr>
                <w:rFonts w:ascii="Times New Roman" w:hAnsi="Times New Roman"/>
                <w:b/>
                <w:bCs/>
                <w:sz w:val="20"/>
                <w:szCs w:val="20"/>
              </w:rPr>
            </w:pPr>
            <w:r w:rsidRPr="00AA45E9">
              <w:rPr>
                <w:rFonts w:ascii="Times New Roman" w:hAnsi="Times New Roman"/>
                <w:b/>
                <w:bCs/>
                <w:sz w:val="20"/>
                <w:szCs w:val="20"/>
              </w:rPr>
              <w:t>Composante du milieu affecté</w:t>
            </w:r>
          </w:p>
        </w:tc>
        <w:tc>
          <w:tcPr>
            <w:tcW w:w="2304" w:type="dxa"/>
            <w:gridSpan w:val="2"/>
            <w:vMerge w:val="restart"/>
            <w:tcBorders>
              <w:top w:val="single" w:sz="4" w:space="0" w:color="auto"/>
              <w:left w:val="single" w:sz="4" w:space="0" w:color="auto"/>
              <w:bottom w:val="single" w:sz="4" w:space="0" w:color="auto"/>
              <w:right w:val="single" w:sz="4" w:space="0" w:color="auto"/>
            </w:tcBorders>
            <w:shd w:val="clear" w:color="auto" w:fill="F2F2F2"/>
            <w:vAlign w:val="center"/>
          </w:tcPr>
          <w:p w:rsidR="00764FFF" w:rsidRPr="00AA45E9" w:rsidRDefault="00764FFF" w:rsidP="00764FFF">
            <w:pPr>
              <w:spacing w:after="0" w:line="240" w:lineRule="auto"/>
              <w:jc w:val="center"/>
              <w:rPr>
                <w:rFonts w:ascii="Times New Roman" w:hAnsi="Times New Roman"/>
                <w:b/>
                <w:sz w:val="20"/>
                <w:szCs w:val="20"/>
              </w:rPr>
            </w:pPr>
            <w:r w:rsidRPr="00AA45E9">
              <w:rPr>
                <w:rFonts w:ascii="Times New Roman" w:hAnsi="Times New Roman"/>
                <w:b/>
                <w:sz w:val="20"/>
                <w:szCs w:val="20"/>
              </w:rPr>
              <w:t>Nature de l’impact potentiel</w:t>
            </w:r>
          </w:p>
        </w:tc>
        <w:tc>
          <w:tcPr>
            <w:tcW w:w="3829" w:type="dxa"/>
            <w:gridSpan w:val="2"/>
            <w:vMerge w:val="restart"/>
            <w:tcBorders>
              <w:top w:val="single" w:sz="4" w:space="0" w:color="auto"/>
              <w:left w:val="single" w:sz="4" w:space="0" w:color="auto"/>
              <w:bottom w:val="single" w:sz="4" w:space="0" w:color="auto"/>
              <w:right w:val="single" w:sz="4" w:space="0" w:color="auto"/>
            </w:tcBorders>
            <w:shd w:val="clear" w:color="auto" w:fill="F2F2F2"/>
            <w:vAlign w:val="center"/>
          </w:tcPr>
          <w:p w:rsidR="00764FFF" w:rsidRPr="00AA45E9" w:rsidRDefault="00764FFF" w:rsidP="00764FFF">
            <w:pPr>
              <w:spacing w:after="0" w:line="240" w:lineRule="auto"/>
              <w:jc w:val="center"/>
              <w:rPr>
                <w:rFonts w:ascii="Times New Roman" w:hAnsi="Times New Roman"/>
                <w:b/>
                <w:sz w:val="20"/>
                <w:szCs w:val="20"/>
              </w:rPr>
            </w:pPr>
            <w:r w:rsidRPr="00AA45E9">
              <w:rPr>
                <w:rFonts w:ascii="Times New Roman" w:hAnsi="Times New Roman"/>
                <w:b/>
                <w:sz w:val="20"/>
                <w:szCs w:val="20"/>
              </w:rPr>
              <w:t>Mesures d’atténuation</w:t>
            </w:r>
          </w:p>
        </w:tc>
        <w:tc>
          <w:tcPr>
            <w:tcW w:w="2835" w:type="dxa"/>
            <w:gridSpan w:val="2"/>
            <w:vMerge w:val="restart"/>
            <w:tcBorders>
              <w:top w:val="single" w:sz="4" w:space="0" w:color="auto"/>
              <w:left w:val="single" w:sz="4" w:space="0" w:color="auto"/>
              <w:bottom w:val="single" w:sz="4" w:space="0" w:color="auto"/>
              <w:right w:val="single" w:sz="4" w:space="0" w:color="auto"/>
            </w:tcBorders>
            <w:shd w:val="clear" w:color="auto" w:fill="F2F2F2"/>
            <w:vAlign w:val="center"/>
          </w:tcPr>
          <w:p w:rsidR="00764FFF" w:rsidRPr="00AA45E9" w:rsidRDefault="00764FFF" w:rsidP="00764FFF">
            <w:pPr>
              <w:spacing w:after="0" w:line="240" w:lineRule="auto"/>
              <w:jc w:val="center"/>
              <w:rPr>
                <w:rFonts w:ascii="Times New Roman" w:hAnsi="Times New Roman"/>
                <w:b/>
                <w:sz w:val="20"/>
                <w:szCs w:val="20"/>
              </w:rPr>
            </w:pPr>
            <w:r w:rsidRPr="00AA45E9">
              <w:rPr>
                <w:rFonts w:ascii="Times New Roman" w:hAnsi="Times New Roman"/>
                <w:b/>
                <w:sz w:val="20"/>
                <w:szCs w:val="20"/>
              </w:rPr>
              <w:t>Indicateur de suivi</w:t>
            </w:r>
          </w:p>
        </w:tc>
        <w:tc>
          <w:tcPr>
            <w:tcW w:w="2516" w:type="dxa"/>
            <w:gridSpan w:val="4"/>
            <w:tcBorders>
              <w:top w:val="single" w:sz="4" w:space="0" w:color="auto"/>
              <w:left w:val="single" w:sz="4" w:space="0" w:color="auto"/>
              <w:bottom w:val="single" w:sz="4" w:space="0" w:color="auto"/>
              <w:right w:val="single" w:sz="4" w:space="0" w:color="auto"/>
            </w:tcBorders>
            <w:shd w:val="clear" w:color="auto" w:fill="F2F2F2"/>
            <w:vAlign w:val="center"/>
          </w:tcPr>
          <w:p w:rsidR="00764FFF" w:rsidRPr="00AA45E9" w:rsidRDefault="00764FFF" w:rsidP="00764FFF">
            <w:pPr>
              <w:spacing w:after="0" w:line="240" w:lineRule="auto"/>
              <w:jc w:val="center"/>
              <w:rPr>
                <w:rFonts w:ascii="Times New Roman" w:hAnsi="Times New Roman"/>
                <w:b/>
                <w:sz w:val="20"/>
                <w:szCs w:val="20"/>
              </w:rPr>
            </w:pPr>
            <w:r w:rsidRPr="00AA45E9">
              <w:rPr>
                <w:rFonts w:ascii="Times New Roman" w:hAnsi="Times New Roman"/>
                <w:b/>
                <w:bCs/>
                <w:spacing w:val="-3"/>
                <w:sz w:val="20"/>
                <w:szCs w:val="20"/>
              </w:rPr>
              <w:t>Responsable(s)</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F2F2F2"/>
            <w:vAlign w:val="center"/>
          </w:tcPr>
          <w:p w:rsidR="00764FFF" w:rsidRPr="00AA45E9" w:rsidRDefault="00764FFF" w:rsidP="00764FFF">
            <w:pPr>
              <w:spacing w:after="0" w:line="240" w:lineRule="auto"/>
              <w:jc w:val="center"/>
              <w:rPr>
                <w:rFonts w:ascii="Times New Roman" w:hAnsi="Times New Roman"/>
                <w:b/>
                <w:sz w:val="20"/>
                <w:szCs w:val="20"/>
              </w:rPr>
            </w:pPr>
            <w:r w:rsidRPr="00AA45E9">
              <w:rPr>
                <w:rFonts w:ascii="Times New Roman" w:hAnsi="Times New Roman"/>
                <w:b/>
                <w:bCs/>
                <w:spacing w:val="-3"/>
                <w:sz w:val="20"/>
                <w:szCs w:val="20"/>
              </w:rPr>
              <w:t>Échéances/Période</w:t>
            </w:r>
          </w:p>
        </w:tc>
        <w:tc>
          <w:tcPr>
            <w:tcW w:w="1374" w:type="dxa"/>
            <w:vMerge w:val="restart"/>
            <w:tcBorders>
              <w:top w:val="single" w:sz="4" w:space="0" w:color="auto"/>
              <w:left w:val="single" w:sz="4" w:space="0" w:color="auto"/>
              <w:bottom w:val="single" w:sz="4" w:space="0" w:color="auto"/>
              <w:right w:val="single" w:sz="4" w:space="0" w:color="auto"/>
            </w:tcBorders>
            <w:shd w:val="clear" w:color="auto" w:fill="F2F2F2"/>
            <w:vAlign w:val="center"/>
          </w:tcPr>
          <w:p w:rsidR="00764FFF" w:rsidRPr="00AA45E9" w:rsidRDefault="00764FFF" w:rsidP="00764FFF">
            <w:pPr>
              <w:spacing w:after="0" w:line="240" w:lineRule="auto"/>
              <w:jc w:val="center"/>
              <w:rPr>
                <w:rFonts w:ascii="Times New Roman" w:hAnsi="Times New Roman"/>
                <w:b/>
                <w:sz w:val="20"/>
                <w:szCs w:val="20"/>
              </w:rPr>
            </w:pPr>
            <w:r w:rsidRPr="00AA45E9">
              <w:rPr>
                <w:rFonts w:ascii="Times New Roman" w:hAnsi="Times New Roman"/>
                <w:b/>
                <w:bCs/>
                <w:spacing w:val="-3"/>
                <w:sz w:val="20"/>
                <w:szCs w:val="20"/>
              </w:rPr>
              <w:t>Coût (FCFA)</w:t>
            </w:r>
          </w:p>
        </w:tc>
        <w:tc>
          <w:tcPr>
            <w:tcW w:w="1237" w:type="dxa"/>
            <w:gridSpan w:val="3"/>
            <w:vMerge w:val="restart"/>
            <w:tcBorders>
              <w:top w:val="single" w:sz="4" w:space="0" w:color="auto"/>
              <w:left w:val="single" w:sz="4" w:space="0" w:color="auto"/>
              <w:bottom w:val="single" w:sz="4" w:space="0" w:color="auto"/>
              <w:right w:val="single" w:sz="4" w:space="0" w:color="auto"/>
            </w:tcBorders>
            <w:shd w:val="clear" w:color="auto" w:fill="F2F2F2"/>
            <w:vAlign w:val="center"/>
          </w:tcPr>
          <w:p w:rsidR="00764FFF" w:rsidRPr="00AA45E9" w:rsidRDefault="00764FFF" w:rsidP="00764FFF">
            <w:pPr>
              <w:spacing w:after="0" w:line="240" w:lineRule="auto"/>
              <w:jc w:val="center"/>
              <w:rPr>
                <w:rFonts w:ascii="Times New Roman" w:hAnsi="Times New Roman"/>
                <w:b/>
                <w:bCs/>
                <w:spacing w:val="-3"/>
                <w:sz w:val="20"/>
                <w:szCs w:val="20"/>
              </w:rPr>
            </w:pPr>
            <w:r w:rsidRPr="00AA45E9">
              <w:rPr>
                <w:rFonts w:ascii="Times New Roman" w:hAnsi="Times New Roman"/>
                <w:b/>
                <w:bCs/>
                <w:spacing w:val="-3"/>
                <w:sz w:val="20"/>
                <w:szCs w:val="20"/>
              </w:rPr>
              <w:t>Coût du suivi</w:t>
            </w:r>
          </w:p>
        </w:tc>
      </w:tr>
      <w:tr w:rsidR="00764FFF" w:rsidRPr="00AA45E9" w:rsidTr="007D251E">
        <w:trPr>
          <w:trHeight w:val="389"/>
          <w:jc w:val="center"/>
        </w:trPr>
        <w:tc>
          <w:tcPr>
            <w:tcW w:w="1127" w:type="dxa"/>
            <w:vMerge/>
            <w:tcBorders>
              <w:top w:val="single" w:sz="4" w:space="0" w:color="auto"/>
              <w:left w:val="single" w:sz="4" w:space="0" w:color="auto"/>
              <w:bottom w:val="single" w:sz="4" w:space="0" w:color="auto"/>
              <w:right w:val="single" w:sz="4" w:space="0" w:color="auto"/>
            </w:tcBorders>
          </w:tcPr>
          <w:p w:rsidR="00764FFF" w:rsidRPr="00AA45E9" w:rsidRDefault="00764FFF" w:rsidP="00764FFF">
            <w:pPr>
              <w:spacing w:after="0" w:line="240" w:lineRule="auto"/>
              <w:jc w:val="both"/>
              <w:rPr>
                <w:rFonts w:ascii="Times New Roman" w:hAnsi="Times New Roman"/>
                <w:b/>
                <w:bCs/>
                <w:sz w:val="20"/>
                <w:szCs w:val="20"/>
              </w:rPr>
            </w:pPr>
          </w:p>
        </w:tc>
        <w:tc>
          <w:tcPr>
            <w:tcW w:w="2304" w:type="dxa"/>
            <w:gridSpan w:val="2"/>
            <w:vMerge/>
            <w:tcBorders>
              <w:top w:val="single" w:sz="4" w:space="0" w:color="auto"/>
              <w:left w:val="single" w:sz="4" w:space="0" w:color="auto"/>
              <w:bottom w:val="single" w:sz="4" w:space="0" w:color="auto"/>
              <w:right w:val="single" w:sz="4" w:space="0" w:color="auto"/>
            </w:tcBorders>
          </w:tcPr>
          <w:p w:rsidR="00764FFF" w:rsidRPr="00AA45E9" w:rsidRDefault="00764FFF" w:rsidP="00764FFF">
            <w:pPr>
              <w:spacing w:after="0" w:line="240" w:lineRule="auto"/>
              <w:jc w:val="both"/>
              <w:rPr>
                <w:rFonts w:ascii="Times New Roman" w:hAnsi="Times New Roman"/>
                <w:b/>
                <w:sz w:val="20"/>
                <w:szCs w:val="20"/>
              </w:rPr>
            </w:pPr>
          </w:p>
        </w:tc>
        <w:tc>
          <w:tcPr>
            <w:tcW w:w="3829" w:type="dxa"/>
            <w:gridSpan w:val="2"/>
            <w:vMerge/>
            <w:tcBorders>
              <w:top w:val="single" w:sz="4" w:space="0" w:color="auto"/>
              <w:left w:val="single" w:sz="4" w:space="0" w:color="auto"/>
              <w:bottom w:val="single" w:sz="4" w:space="0" w:color="auto"/>
              <w:right w:val="single" w:sz="4" w:space="0" w:color="auto"/>
            </w:tcBorders>
          </w:tcPr>
          <w:p w:rsidR="00764FFF" w:rsidRPr="00AA45E9" w:rsidRDefault="00764FFF" w:rsidP="00764FFF">
            <w:pPr>
              <w:spacing w:after="0" w:line="240" w:lineRule="auto"/>
              <w:jc w:val="both"/>
              <w:rPr>
                <w:rFonts w:ascii="Times New Roman" w:hAnsi="Times New Roman"/>
                <w:b/>
                <w:sz w:val="20"/>
                <w:szCs w:val="20"/>
              </w:rPr>
            </w:pPr>
          </w:p>
        </w:tc>
        <w:tc>
          <w:tcPr>
            <w:tcW w:w="2835" w:type="dxa"/>
            <w:gridSpan w:val="2"/>
            <w:vMerge/>
            <w:tcBorders>
              <w:top w:val="single" w:sz="4" w:space="0" w:color="auto"/>
              <w:left w:val="single" w:sz="4" w:space="0" w:color="auto"/>
              <w:bottom w:val="single" w:sz="4" w:space="0" w:color="auto"/>
              <w:right w:val="single" w:sz="4" w:space="0" w:color="auto"/>
            </w:tcBorders>
          </w:tcPr>
          <w:p w:rsidR="00764FFF" w:rsidRPr="00AA45E9" w:rsidRDefault="00764FFF" w:rsidP="00764FFF">
            <w:pPr>
              <w:spacing w:after="0" w:line="240" w:lineRule="auto"/>
              <w:jc w:val="both"/>
              <w:rPr>
                <w:rFonts w:ascii="Times New Roman" w:hAnsi="Times New Roman"/>
                <w:b/>
                <w:sz w:val="20"/>
                <w:szCs w:val="20"/>
              </w:rPr>
            </w:pPr>
          </w:p>
        </w:tc>
        <w:tc>
          <w:tcPr>
            <w:tcW w:w="1240" w:type="dxa"/>
            <w:gridSpan w:val="2"/>
            <w:tcBorders>
              <w:top w:val="single" w:sz="4" w:space="0" w:color="auto"/>
              <w:left w:val="single" w:sz="4" w:space="0" w:color="auto"/>
              <w:bottom w:val="single" w:sz="4" w:space="0" w:color="auto"/>
              <w:right w:val="single" w:sz="4" w:space="0" w:color="auto"/>
            </w:tcBorders>
            <w:shd w:val="clear" w:color="auto" w:fill="E2EFD9" w:themeFill="accent6" w:themeFillTint="33"/>
          </w:tcPr>
          <w:p w:rsidR="00764FFF" w:rsidRPr="002407EF" w:rsidRDefault="00764FFF" w:rsidP="00764FFF">
            <w:pPr>
              <w:spacing w:after="0" w:line="240" w:lineRule="auto"/>
              <w:jc w:val="center"/>
              <w:rPr>
                <w:rFonts w:ascii="Times New Roman" w:hAnsi="Times New Roman"/>
                <w:b/>
                <w:bCs/>
                <w:spacing w:val="-3"/>
                <w:sz w:val="20"/>
                <w:szCs w:val="20"/>
              </w:rPr>
            </w:pPr>
            <w:r w:rsidRPr="002407EF">
              <w:rPr>
                <w:rFonts w:ascii="Times New Roman" w:hAnsi="Times New Roman"/>
                <w:b/>
                <w:bCs/>
                <w:spacing w:val="-3"/>
                <w:sz w:val="20"/>
                <w:szCs w:val="20"/>
              </w:rPr>
              <w:t>Mise en œuvre</w:t>
            </w:r>
          </w:p>
        </w:tc>
        <w:tc>
          <w:tcPr>
            <w:tcW w:w="1276" w:type="dxa"/>
            <w:gridSpan w:val="2"/>
            <w:tcBorders>
              <w:top w:val="single" w:sz="4" w:space="0" w:color="auto"/>
              <w:left w:val="single" w:sz="4" w:space="0" w:color="auto"/>
              <w:bottom w:val="single" w:sz="4" w:space="0" w:color="auto"/>
              <w:right w:val="single" w:sz="4" w:space="0" w:color="auto"/>
            </w:tcBorders>
            <w:shd w:val="clear" w:color="auto" w:fill="E2EFD9" w:themeFill="accent6" w:themeFillTint="33"/>
          </w:tcPr>
          <w:p w:rsidR="00764FFF" w:rsidRPr="002407EF" w:rsidRDefault="00764FFF" w:rsidP="00764FFF">
            <w:pPr>
              <w:spacing w:after="0" w:line="240" w:lineRule="auto"/>
              <w:jc w:val="center"/>
              <w:rPr>
                <w:rFonts w:ascii="Times New Roman" w:hAnsi="Times New Roman"/>
                <w:b/>
                <w:bCs/>
                <w:spacing w:val="-3"/>
                <w:sz w:val="20"/>
                <w:szCs w:val="20"/>
              </w:rPr>
            </w:pPr>
            <w:r w:rsidRPr="002407EF">
              <w:rPr>
                <w:rFonts w:ascii="Times New Roman" w:hAnsi="Times New Roman"/>
                <w:b/>
                <w:bCs/>
                <w:spacing w:val="-3"/>
                <w:sz w:val="20"/>
                <w:szCs w:val="20"/>
              </w:rPr>
              <w:t>Suivi / Contrôle</w:t>
            </w:r>
          </w:p>
        </w:tc>
        <w:tc>
          <w:tcPr>
            <w:tcW w:w="1134" w:type="dxa"/>
            <w:vMerge/>
            <w:tcBorders>
              <w:top w:val="single" w:sz="4" w:space="0" w:color="auto"/>
              <w:left w:val="single" w:sz="4" w:space="0" w:color="auto"/>
              <w:bottom w:val="single" w:sz="4" w:space="0" w:color="auto"/>
              <w:right w:val="single" w:sz="4" w:space="0" w:color="auto"/>
            </w:tcBorders>
          </w:tcPr>
          <w:p w:rsidR="00764FFF" w:rsidRPr="00AA45E9" w:rsidRDefault="00764FFF" w:rsidP="00764FFF">
            <w:pPr>
              <w:spacing w:after="0" w:line="240" w:lineRule="auto"/>
              <w:jc w:val="both"/>
              <w:rPr>
                <w:rFonts w:ascii="Times New Roman" w:hAnsi="Times New Roman"/>
                <w:b/>
                <w:bCs/>
                <w:spacing w:val="-3"/>
                <w:sz w:val="20"/>
                <w:szCs w:val="20"/>
              </w:rPr>
            </w:pPr>
          </w:p>
        </w:tc>
        <w:tc>
          <w:tcPr>
            <w:tcW w:w="1374" w:type="dxa"/>
            <w:vMerge/>
            <w:tcBorders>
              <w:top w:val="single" w:sz="4" w:space="0" w:color="auto"/>
              <w:left w:val="single" w:sz="4" w:space="0" w:color="auto"/>
              <w:bottom w:val="single" w:sz="4" w:space="0" w:color="auto"/>
              <w:right w:val="single" w:sz="4" w:space="0" w:color="auto"/>
            </w:tcBorders>
          </w:tcPr>
          <w:p w:rsidR="00764FFF" w:rsidRPr="00AA45E9" w:rsidRDefault="00764FFF" w:rsidP="00764FFF">
            <w:pPr>
              <w:spacing w:after="0" w:line="240" w:lineRule="auto"/>
              <w:jc w:val="both"/>
              <w:rPr>
                <w:rFonts w:ascii="Times New Roman" w:hAnsi="Times New Roman"/>
                <w:b/>
                <w:bCs/>
                <w:spacing w:val="-3"/>
                <w:sz w:val="20"/>
                <w:szCs w:val="20"/>
              </w:rPr>
            </w:pPr>
          </w:p>
        </w:tc>
        <w:tc>
          <w:tcPr>
            <w:tcW w:w="1237" w:type="dxa"/>
            <w:gridSpan w:val="3"/>
            <w:vMerge/>
            <w:tcBorders>
              <w:top w:val="single" w:sz="4" w:space="0" w:color="auto"/>
              <w:left w:val="single" w:sz="4" w:space="0" w:color="auto"/>
              <w:bottom w:val="single" w:sz="4" w:space="0" w:color="auto"/>
              <w:right w:val="single" w:sz="4" w:space="0" w:color="auto"/>
            </w:tcBorders>
          </w:tcPr>
          <w:p w:rsidR="00764FFF" w:rsidRPr="00AA45E9" w:rsidRDefault="00764FFF" w:rsidP="00764FFF">
            <w:pPr>
              <w:spacing w:after="0" w:line="240" w:lineRule="auto"/>
              <w:jc w:val="both"/>
              <w:rPr>
                <w:rFonts w:ascii="Times New Roman" w:hAnsi="Times New Roman"/>
                <w:b/>
                <w:bCs/>
                <w:spacing w:val="-3"/>
                <w:sz w:val="20"/>
                <w:szCs w:val="20"/>
              </w:rPr>
            </w:pPr>
          </w:p>
        </w:tc>
      </w:tr>
      <w:tr w:rsidR="00764FFF" w:rsidRPr="00AA45E9" w:rsidTr="007D251E">
        <w:trPr>
          <w:trHeight w:val="1404"/>
          <w:jc w:val="center"/>
        </w:trPr>
        <w:tc>
          <w:tcPr>
            <w:tcW w:w="1127"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764FFF" w:rsidRPr="00AA45E9" w:rsidRDefault="00764FFF" w:rsidP="00764FFF">
            <w:pPr>
              <w:spacing w:after="0" w:line="240" w:lineRule="auto"/>
              <w:jc w:val="center"/>
              <w:rPr>
                <w:rFonts w:ascii="Times New Roman" w:hAnsi="Times New Roman"/>
                <w:b/>
                <w:bCs/>
              </w:rPr>
            </w:pPr>
            <w:r w:rsidRPr="00AA45E9">
              <w:rPr>
                <w:rFonts w:ascii="Times New Roman" w:hAnsi="Times New Roman"/>
                <w:b/>
                <w:bCs/>
              </w:rPr>
              <w:t>Air</w:t>
            </w:r>
          </w:p>
        </w:tc>
        <w:tc>
          <w:tcPr>
            <w:tcW w:w="2304" w:type="dxa"/>
            <w:gridSpan w:val="2"/>
            <w:tcBorders>
              <w:top w:val="single" w:sz="4" w:space="0" w:color="auto"/>
              <w:left w:val="single" w:sz="4" w:space="0" w:color="auto"/>
              <w:bottom w:val="single" w:sz="4" w:space="0" w:color="auto"/>
              <w:right w:val="single" w:sz="4" w:space="0" w:color="auto"/>
            </w:tcBorders>
            <w:vAlign w:val="center"/>
          </w:tcPr>
          <w:p w:rsidR="00764FFF" w:rsidRPr="00AA45E9" w:rsidRDefault="00764FFF" w:rsidP="00764FFF">
            <w:pPr>
              <w:spacing w:after="0" w:line="240" w:lineRule="auto"/>
              <w:jc w:val="both"/>
              <w:rPr>
                <w:rFonts w:ascii="Times New Roman" w:hAnsi="Times New Roman"/>
                <w:sz w:val="20"/>
                <w:szCs w:val="20"/>
              </w:rPr>
            </w:pPr>
            <w:r w:rsidRPr="00AA45E9">
              <w:rPr>
                <w:rFonts w:ascii="Times New Roman" w:hAnsi="Times New Roman"/>
                <w:sz w:val="20"/>
                <w:szCs w:val="20"/>
              </w:rPr>
              <w:t>Risque d’émissions de poussières de natures diverses</w:t>
            </w:r>
          </w:p>
          <w:p w:rsidR="00764FFF" w:rsidRPr="00AA45E9" w:rsidRDefault="00764FFF" w:rsidP="00764FFF">
            <w:pPr>
              <w:spacing w:after="0" w:line="240" w:lineRule="auto"/>
              <w:jc w:val="both"/>
              <w:rPr>
                <w:rFonts w:ascii="Times New Roman" w:hAnsi="Times New Roman"/>
                <w:sz w:val="20"/>
                <w:szCs w:val="20"/>
              </w:rPr>
            </w:pPr>
          </w:p>
          <w:p w:rsidR="00764FFF" w:rsidRDefault="00764FFF" w:rsidP="00764FFF">
            <w:pPr>
              <w:spacing w:after="0" w:line="240" w:lineRule="auto"/>
              <w:jc w:val="both"/>
              <w:rPr>
                <w:rFonts w:ascii="Times New Roman" w:hAnsi="Times New Roman"/>
                <w:sz w:val="20"/>
                <w:szCs w:val="20"/>
              </w:rPr>
            </w:pPr>
            <w:r w:rsidRPr="00AA45E9">
              <w:rPr>
                <w:rFonts w:ascii="Times New Roman" w:hAnsi="Times New Roman"/>
                <w:sz w:val="20"/>
                <w:szCs w:val="20"/>
              </w:rPr>
              <w:t>Risque d’émission de GES</w:t>
            </w:r>
          </w:p>
          <w:p w:rsidR="00046B64" w:rsidRDefault="00046B64" w:rsidP="00764FFF">
            <w:pPr>
              <w:spacing w:after="0" w:line="240" w:lineRule="auto"/>
              <w:jc w:val="both"/>
              <w:rPr>
                <w:rFonts w:ascii="Times New Roman" w:hAnsi="Times New Roman"/>
                <w:sz w:val="20"/>
                <w:szCs w:val="20"/>
              </w:rPr>
            </w:pPr>
          </w:p>
          <w:p w:rsidR="00046B64" w:rsidRPr="00AA45E9" w:rsidRDefault="00046B64" w:rsidP="00046B64">
            <w:pPr>
              <w:spacing w:after="0" w:line="240" w:lineRule="auto"/>
              <w:jc w:val="both"/>
              <w:rPr>
                <w:rFonts w:ascii="Times New Roman" w:hAnsi="Times New Roman"/>
                <w:sz w:val="20"/>
                <w:szCs w:val="20"/>
              </w:rPr>
            </w:pPr>
            <w:r>
              <w:rPr>
                <w:rFonts w:ascii="Times New Roman" w:hAnsi="Times New Roman"/>
                <w:sz w:val="20"/>
                <w:szCs w:val="20"/>
              </w:rPr>
              <w:t>Risque de dégagement d’un mélange</w:t>
            </w:r>
            <w:r w:rsidRPr="00046B64">
              <w:rPr>
                <w:rFonts w:ascii="Times New Roman" w:hAnsi="Times New Roman"/>
                <w:sz w:val="20"/>
                <w:szCs w:val="20"/>
              </w:rPr>
              <w:t xml:space="preserve"> de </w:t>
            </w:r>
            <w:r w:rsidRPr="00046B64">
              <w:rPr>
                <w:rFonts w:ascii="Times New Roman" w:hAnsi="Times New Roman"/>
                <w:sz w:val="20"/>
                <w:szCs w:val="20"/>
              </w:rPr>
              <w:lastRenderedPageBreak/>
              <w:t>particules et de gaz, appelé fumée de soudure</w:t>
            </w:r>
            <w:r>
              <w:rPr>
                <w:rFonts w:ascii="Times New Roman" w:hAnsi="Times New Roman"/>
                <w:sz w:val="20"/>
                <w:szCs w:val="20"/>
              </w:rPr>
              <w:t> ;</w:t>
            </w:r>
          </w:p>
        </w:tc>
        <w:tc>
          <w:tcPr>
            <w:tcW w:w="3829" w:type="dxa"/>
            <w:gridSpan w:val="2"/>
            <w:tcBorders>
              <w:top w:val="single" w:sz="4" w:space="0" w:color="auto"/>
              <w:left w:val="single" w:sz="4" w:space="0" w:color="auto"/>
              <w:bottom w:val="single" w:sz="4" w:space="0" w:color="auto"/>
              <w:right w:val="single" w:sz="4" w:space="0" w:color="auto"/>
            </w:tcBorders>
            <w:vAlign w:val="center"/>
          </w:tcPr>
          <w:p w:rsidR="00665E3F" w:rsidRDefault="00764FFF" w:rsidP="00764FFF">
            <w:pPr>
              <w:spacing w:after="0" w:line="240" w:lineRule="auto"/>
              <w:jc w:val="both"/>
              <w:rPr>
                <w:rFonts w:ascii="Times New Roman" w:hAnsi="Times New Roman"/>
                <w:sz w:val="20"/>
                <w:szCs w:val="20"/>
              </w:rPr>
            </w:pPr>
            <w:r w:rsidRPr="00AA45E9">
              <w:rPr>
                <w:rFonts w:ascii="Times New Roman" w:hAnsi="Times New Roman"/>
                <w:sz w:val="20"/>
                <w:szCs w:val="20"/>
              </w:rPr>
              <w:lastRenderedPageBreak/>
              <w:t xml:space="preserve">- </w:t>
            </w:r>
            <w:r w:rsidR="00665E3F">
              <w:rPr>
                <w:rFonts w:ascii="Times New Roman" w:hAnsi="Times New Roman"/>
                <w:sz w:val="20"/>
                <w:szCs w:val="20"/>
              </w:rPr>
              <w:t xml:space="preserve">Organiser des </w:t>
            </w:r>
            <w:r w:rsidR="00665E3F" w:rsidRPr="00AA45E9">
              <w:rPr>
                <w:rFonts w:ascii="Times New Roman" w:hAnsi="Times New Roman"/>
                <w:sz w:val="20"/>
                <w:szCs w:val="20"/>
              </w:rPr>
              <w:t>Campagne</w:t>
            </w:r>
            <w:r w:rsidR="00665E3F">
              <w:rPr>
                <w:rFonts w:ascii="Times New Roman" w:hAnsi="Times New Roman"/>
                <w:sz w:val="20"/>
                <w:szCs w:val="20"/>
              </w:rPr>
              <w:t>s</w:t>
            </w:r>
            <w:r w:rsidR="00665E3F" w:rsidRPr="00AA45E9">
              <w:rPr>
                <w:rFonts w:ascii="Times New Roman" w:hAnsi="Times New Roman"/>
                <w:sz w:val="20"/>
                <w:szCs w:val="20"/>
              </w:rPr>
              <w:t xml:space="preserve"> de sensibilisation des ouvriers contre les maladies respiratoires</w:t>
            </w:r>
            <w:r w:rsidR="00665E3F">
              <w:rPr>
                <w:rFonts w:ascii="Times New Roman" w:hAnsi="Times New Roman"/>
                <w:sz w:val="20"/>
                <w:szCs w:val="20"/>
              </w:rPr>
              <w:t> ;</w:t>
            </w:r>
          </w:p>
          <w:p w:rsidR="00665E3F" w:rsidRPr="00AA45E9" w:rsidRDefault="00665E3F" w:rsidP="00665E3F">
            <w:pPr>
              <w:spacing w:after="0" w:line="240" w:lineRule="auto"/>
              <w:jc w:val="both"/>
              <w:rPr>
                <w:rFonts w:ascii="Times New Roman" w:hAnsi="Times New Roman"/>
                <w:sz w:val="20"/>
                <w:szCs w:val="20"/>
              </w:rPr>
            </w:pPr>
            <w:r>
              <w:rPr>
                <w:rFonts w:ascii="Times New Roman" w:hAnsi="Times New Roman"/>
                <w:sz w:val="20"/>
                <w:szCs w:val="20"/>
              </w:rPr>
              <w:t>-</w:t>
            </w:r>
            <w:r w:rsidRPr="00AA45E9">
              <w:rPr>
                <w:rFonts w:ascii="Times New Roman" w:hAnsi="Times New Roman"/>
                <w:sz w:val="20"/>
                <w:szCs w:val="20"/>
              </w:rPr>
              <w:t xml:space="preserve"> Doter les ouvr</w:t>
            </w:r>
            <w:r w:rsidR="000379BB">
              <w:rPr>
                <w:rFonts w:ascii="Times New Roman" w:hAnsi="Times New Roman"/>
                <w:sz w:val="20"/>
                <w:szCs w:val="20"/>
              </w:rPr>
              <w:t>iers de masques anti-poussières ;</w:t>
            </w:r>
          </w:p>
          <w:p w:rsidR="00764FFF" w:rsidRDefault="00665E3F" w:rsidP="00764FFF">
            <w:pPr>
              <w:spacing w:after="0" w:line="240" w:lineRule="auto"/>
              <w:jc w:val="both"/>
              <w:rPr>
                <w:rFonts w:ascii="Times New Roman" w:hAnsi="Times New Roman"/>
                <w:sz w:val="20"/>
                <w:szCs w:val="20"/>
              </w:rPr>
            </w:pPr>
            <w:r>
              <w:rPr>
                <w:rFonts w:ascii="Times New Roman" w:hAnsi="Times New Roman"/>
                <w:sz w:val="20"/>
                <w:szCs w:val="20"/>
              </w:rPr>
              <w:t>-</w:t>
            </w:r>
            <w:r w:rsidR="00764FFF" w:rsidRPr="00AA45E9">
              <w:rPr>
                <w:rFonts w:ascii="Times New Roman" w:hAnsi="Times New Roman"/>
                <w:sz w:val="20"/>
                <w:szCs w:val="20"/>
              </w:rPr>
              <w:t>Bien bâcher les camions transporteurs de sable ou des matériaux poussiéreux pendant le transport</w:t>
            </w:r>
            <w:r w:rsidR="00046B64">
              <w:rPr>
                <w:rFonts w:ascii="Times New Roman" w:hAnsi="Times New Roman"/>
                <w:sz w:val="20"/>
                <w:szCs w:val="20"/>
              </w:rPr>
              <w:t> ;</w:t>
            </w:r>
          </w:p>
          <w:p w:rsidR="00665E3F" w:rsidRPr="00AA45E9" w:rsidRDefault="00665E3F" w:rsidP="00665E3F">
            <w:pPr>
              <w:spacing w:after="0" w:line="240" w:lineRule="auto"/>
              <w:jc w:val="both"/>
              <w:rPr>
                <w:rFonts w:ascii="Times New Roman" w:hAnsi="Times New Roman"/>
                <w:sz w:val="20"/>
                <w:szCs w:val="20"/>
              </w:rPr>
            </w:pPr>
            <w:r w:rsidRPr="00AA45E9">
              <w:rPr>
                <w:rFonts w:ascii="Times New Roman" w:hAnsi="Times New Roman"/>
                <w:sz w:val="20"/>
                <w:szCs w:val="20"/>
              </w:rPr>
              <w:t>- Arroser régulièrement les chantiers, les voies d’accès</w:t>
            </w:r>
            <w:r>
              <w:rPr>
                <w:rFonts w:ascii="Times New Roman" w:hAnsi="Times New Roman"/>
                <w:sz w:val="20"/>
                <w:szCs w:val="20"/>
              </w:rPr>
              <w:t> ;</w:t>
            </w:r>
          </w:p>
          <w:p w:rsidR="00665E3F" w:rsidRPr="00AA45E9" w:rsidRDefault="00665E3F" w:rsidP="00665E3F">
            <w:pPr>
              <w:spacing w:after="0" w:line="240" w:lineRule="auto"/>
              <w:jc w:val="both"/>
              <w:rPr>
                <w:rFonts w:ascii="Times New Roman" w:hAnsi="Times New Roman"/>
                <w:sz w:val="20"/>
                <w:szCs w:val="20"/>
              </w:rPr>
            </w:pPr>
            <w:r w:rsidRPr="00AA45E9">
              <w:rPr>
                <w:rFonts w:ascii="Times New Roman" w:hAnsi="Times New Roman"/>
                <w:sz w:val="20"/>
                <w:szCs w:val="20"/>
              </w:rPr>
              <w:lastRenderedPageBreak/>
              <w:t>- Entretien et stockage approprié des matériaux friables afin de minimiser la dispersion de la poussière</w:t>
            </w:r>
            <w:r>
              <w:rPr>
                <w:rFonts w:ascii="Times New Roman" w:hAnsi="Times New Roman"/>
                <w:sz w:val="20"/>
                <w:szCs w:val="20"/>
              </w:rPr>
              <w:t> ;</w:t>
            </w:r>
          </w:p>
          <w:p w:rsidR="00764FFF" w:rsidRPr="00AA45E9" w:rsidRDefault="00764FFF" w:rsidP="00764FFF">
            <w:pPr>
              <w:spacing w:after="0" w:line="240" w:lineRule="auto"/>
              <w:jc w:val="both"/>
              <w:rPr>
                <w:rFonts w:ascii="Times New Roman" w:hAnsi="Times New Roman"/>
                <w:sz w:val="20"/>
                <w:szCs w:val="20"/>
              </w:rPr>
            </w:pPr>
            <w:r w:rsidRPr="00AA45E9">
              <w:rPr>
                <w:rFonts w:ascii="Times New Roman" w:hAnsi="Times New Roman"/>
                <w:sz w:val="20"/>
                <w:szCs w:val="20"/>
              </w:rPr>
              <w:t>-Bien org</w:t>
            </w:r>
            <w:r w:rsidR="00046B64">
              <w:rPr>
                <w:rFonts w:ascii="Times New Roman" w:hAnsi="Times New Roman"/>
                <w:sz w:val="20"/>
                <w:szCs w:val="20"/>
              </w:rPr>
              <w:t>aniser les déblais provenant des fondation</w:t>
            </w:r>
            <w:r w:rsidR="00665E3F">
              <w:rPr>
                <w:rFonts w:ascii="Times New Roman" w:hAnsi="Times New Roman"/>
                <w:sz w:val="20"/>
                <w:szCs w:val="20"/>
              </w:rPr>
              <w:t>s</w:t>
            </w:r>
            <w:r w:rsidR="00046B64">
              <w:rPr>
                <w:rFonts w:ascii="Times New Roman" w:hAnsi="Times New Roman"/>
                <w:sz w:val="20"/>
                <w:szCs w:val="20"/>
              </w:rPr>
              <w:t xml:space="preserve"> de structure et d’autre</w:t>
            </w:r>
            <w:r w:rsidR="00665E3F">
              <w:rPr>
                <w:rFonts w:ascii="Times New Roman" w:hAnsi="Times New Roman"/>
                <w:sz w:val="20"/>
                <w:szCs w:val="20"/>
              </w:rPr>
              <w:t> ;</w:t>
            </w:r>
          </w:p>
          <w:p w:rsidR="00764FFF" w:rsidRDefault="00764FFF" w:rsidP="00764FFF">
            <w:pPr>
              <w:spacing w:after="0" w:line="240" w:lineRule="auto"/>
              <w:jc w:val="both"/>
              <w:rPr>
                <w:rFonts w:ascii="Times New Roman" w:hAnsi="Times New Roman"/>
                <w:sz w:val="20"/>
                <w:szCs w:val="20"/>
              </w:rPr>
            </w:pPr>
            <w:r w:rsidRPr="00AA45E9">
              <w:rPr>
                <w:rFonts w:ascii="Times New Roman" w:hAnsi="Times New Roman"/>
                <w:sz w:val="20"/>
                <w:szCs w:val="20"/>
              </w:rPr>
              <w:t xml:space="preserve">- Etude préalable des voies d’accès au chantier </w:t>
            </w:r>
            <w:r w:rsidR="00665E3F">
              <w:rPr>
                <w:rFonts w:ascii="Times New Roman" w:hAnsi="Times New Roman"/>
                <w:sz w:val="20"/>
                <w:szCs w:val="20"/>
              </w:rPr>
              <w:t xml:space="preserve">des réservoirs </w:t>
            </w:r>
            <w:r w:rsidRPr="00AA45E9">
              <w:rPr>
                <w:rFonts w:ascii="Times New Roman" w:hAnsi="Times New Roman"/>
                <w:sz w:val="20"/>
                <w:szCs w:val="20"/>
              </w:rPr>
              <w:t xml:space="preserve">par un choix judicieux des </w:t>
            </w:r>
            <w:r w:rsidR="00665E3F">
              <w:rPr>
                <w:rFonts w:ascii="Times New Roman" w:hAnsi="Times New Roman"/>
                <w:sz w:val="20"/>
                <w:szCs w:val="20"/>
              </w:rPr>
              <w:t>routes ;</w:t>
            </w:r>
          </w:p>
          <w:p w:rsidR="00665E3F" w:rsidRPr="00AA45E9" w:rsidRDefault="00665E3F" w:rsidP="00764FFF">
            <w:pPr>
              <w:spacing w:after="0" w:line="240" w:lineRule="auto"/>
              <w:jc w:val="both"/>
              <w:rPr>
                <w:rFonts w:ascii="Times New Roman" w:hAnsi="Times New Roman"/>
                <w:sz w:val="20"/>
                <w:szCs w:val="20"/>
              </w:rPr>
            </w:pPr>
            <w:r>
              <w:rPr>
                <w:rFonts w:ascii="Times New Roman" w:hAnsi="Times New Roman"/>
                <w:sz w:val="20"/>
                <w:szCs w:val="20"/>
              </w:rPr>
              <w:t>-</w:t>
            </w:r>
            <w:r w:rsidRPr="00AA45E9">
              <w:rPr>
                <w:rFonts w:ascii="Times New Roman" w:hAnsi="Times New Roman"/>
                <w:sz w:val="20"/>
                <w:szCs w:val="20"/>
              </w:rPr>
              <w:t>Protéger les puits et les points d’eau trop exposés à la poussière ;</w:t>
            </w:r>
          </w:p>
          <w:p w:rsidR="00764FFF" w:rsidRPr="00AA45E9" w:rsidRDefault="00764FFF" w:rsidP="00764FFF">
            <w:pPr>
              <w:spacing w:after="0" w:line="240" w:lineRule="auto"/>
              <w:jc w:val="both"/>
              <w:rPr>
                <w:rFonts w:ascii="Times New Roman" w:hAnsi="Times New Roman"/>
                <w:sz w:val="20"/>
                <w:szCs w:val="20"/>
              </w:rPr>
            </w:pPr>
            <w:r w:rsidRPr="00AA45E9">
              <w:rPr>
                <w:rFonts w:ascii="Times New Roman" w:hAnsi="Times New Roman"/>
                <w:sz w:val="20"/>
                <w:szCs w:val="20"/>
              </w:rPr>
              <w:t>- Veiller au bon état des véhicules lourds</w:t>
            </w:r>
            <w:r w:rsidR="00665E3F">
              <w:rPr>
                <w:rFonts w:ascii="Times New Roman" w:hAnsi="Times New Roman"/>
                <w:sz w:val="20"/>
                <w:szCs w:val="20"/>
              </w:rPr>
              <w:t> ;</w:t>
            </w:r>
          </w:p>
          <w:p w:rsidR="00764FFF" w:rsidRPr="00AA45E9" w:rsidRDefault="00764FFF" w:rsidP="00665E3F">
            <w:pPr>
              <w:spacing w:after="0" w:line="240" w:lineRule="auto"/>
              <w:jc w:val="both"/>
              <w:rPr>
                <w:rFonts w:ascii="Times New Roman" w:hAnsi="Times New Roman"/>
                <w:sz w:val="20"/>
                <w:szCs w:val="20"/>
              </w:rPr>
            </w:pPr>
            <w:r w:rsidRPr="00AA45E9">
              <w:rPr>
                <w:rFonts w:ascii="Times New Roman" w:hAnsi="Times New Roman"/>
                <w:sz w:val="20"/>
                <w:szCs w:val="20"/>
              </w:rPr>
              <w:t>- Veiller aux visites techniques des véhicules</w:t>
            </w:r>
            <w:r w:rsidR="00665E3F">
              <w:rPr>
                <w:rFonts w:ascii="Times New Roman" w:hAnsi="Times New Roman"/>
                <w:sz w:val="20"/>
                <w:szCs w:val="20"/>
              </w:rPr>
              <w:t> ;</w:t>
            </w:r>
          </w:p>
        </w:tc>
        <w:tc>
          <w:tcPr>
            <w:tcW w:w="2835" w:type="dxa"/>
            <w:gridSpan w:val="2"/>
            <w:tcBorders>
              <w:top w:val="single" w:sz="4" w:space="0" w:color="auto"/>
              <w:left w:val="single" w:sz="4" w:space="0" w:color="auto"/>
              <w:bottom w:val="single" w:sz="4" w:space="0" w:color="auto"/>
              <w:right w:val="single" w:sz="4" w:space="0" w:color="auto"/>
            </w:tcBorders>
            <w:vAlign w:val="center"/>
          </w:tcPr>
          <w:p w:rsidR="000379BB" w:rsidRDefault="00665E3F" w:rsidP="00764FFF">
            <w:pPr>
              <w:spacing w:after="0" w:line="240" w:lineRule="auto"/>
              <w:jc w:val="both"/>
              <w:rPr>
                <w:rFonts w:ascii="Times New Roman" w:hAnsi="Times New Roman"/>
                <w:sz w:val="20"/>
                <w:szCs w:val="20"/>
              </w:rPr>
            </w:pPr>
            <w:r>
              <w:rPr>
                <w:rFonts w:ascii="Times New Roman" w:hAnsi="Times New Roman"/>
                <w:sz w:val="20"/>
                <w:szCs w:val="20"/>
              </w:rPr>
              <w:lastRenderedPageBreak/>
              <w:t>-</w:t>
            </w:r>
            <w:r w:rsidRPr="00AA45E9">
              <w:rPr>
                <w:rFonts w:ascii="Times New Roman" w:hAnsi="Times New Roman"/>
                <w:sz w:val="20"/>
                <w:szCs w:val="20"/>
              </w:rPr>
              <w:t>Nombre de campagnes organisées</w:t>
            </w:r>
            <w:r w:rsidR="00820701">
              <w:rPr>
                <w:rFonts w:ascii="Times New Roman" w:hAnsi="Times New Roman"/>
                <w:sz w:val="20"/>
                <w:szCs w:val="20"/>
              </w:rPr>
              <w:t> ;</w:t>
            </w:r>
          </w:p>
          <w:p w:rsidR="000379BB" w:rsidRDefault="00764FFF" w:rsidP="000379BB">
            <w:pPr>
              <w:spacing w:after="0" w:line="240" w:lineRule="auto"/>
              <w:jc w:val="both"/>
              <w:rPr>
                <w:rFonts w:ascii="Times New Roman" w:hAnsi="Times New Roman"/>
                <w:sz w:val="20"/>
                <w:szCs w:val="20"/>
              </w:rPr>
            </w:pPr>
            <w:r w:rsidRPr="00AA45E9">
              <w:rPr>
                <w:rFonts w:ascii="Times New Roman" w:hAnsi="Times New Roman"/>
                <w:sz w:val="20"/>
                <w:szCs w:val="20"/>
              </w:rPr>
              <w:t>-Plan de circulation validé par le bureau de contrôle</w:t>
            </w:r>
            <w:r w:rsidR="00665E3F">
              <w:rPr>
                <w:rFonts w:ascii="Times New Roman" w:hAnsi="Times New Roman"/>
                <w:sz w:val="20"/>
                <w:szCs w:val="20"/>
              </w:rPr>
              <w:t> ;</w:t>
            </w:r>
          </w:p>
          <w:p w:rsidR="000379BB" w:rsidRPr="00AA45E9" w:rsidRDefault="000379BB" w:rsidP="00764FFF">
            <w:pPr>
              <w:spacing w:after="0" w:line="240" w:lineRule="auto"/>
              <w:jc w:val="both"/>
              <w:rPr>
                <w:rFonts w:ascii="Times New Roman" w:hAnsi="Times New Roman"/>
                <w:sz w:val="20"/>
                <w:szCs w:val="20"/>
              </w:rPr>
            </w:pPr>
            <w:r>
              <w:rPr>
                <w:rFonts w:ascii="Times New Roman" w:hAnsi="Times New Roman"/>
                <w:sz w:val="20"/>
                <w:szCs w:val="20"/>
              </w:rPr>
              <w:t>-</w:t>
            </w:r>
            <w:r w:rsidRPr="00AA45E9">
              <w:rPr>
                <w:rFonts w:ascii="Times New Roman" w:hAnsi="Times New Roman"/>
                <w:sz w:val="20"/>
                <w:szCs w:val="20"/>
              </w:rPr>
              <w:t xml:space="preserve"> Nombre de camions bâchés</w:t>
            </w:r>
            <w:r>
              <w:rPr>
                <w:rFonts w:ascii="Times New Roman" w:hAnsi="Times New Roman"/>
                <w:sz w:val="20"/>
                <w:szCs w:val="20"/>
              </w:rPr>
              <w:t> ;</w:t>
            </w:r>
          </w:p>
          <w:p w:rsidR="00764FFF" w:rsidRPr="00AA45E9" w:rsidRDefault="000379BB" w:rsidP="00764FFF">
            <w:pPr>
              <w:spacing w:after="0" w:line="240" w:lineRule="auto"/>
              <w:jc w:val="both"/>
              <w:rPr>
                <w:rFonts w:ascii="Times New Roman" w:hAnsi="Times New Roman"/>
                <w:sz w:val="20"/>
                <w:szCs w:val="20"/>
              </w:rPr>
            </w:pPr>
            <w:r w:rsidRPr="00AA45E9">
              <w:rPr>
                <w:rFonts w:ascii="Times New Roman" w:hAnsi="Times New Roman"/>
                <w:sz w:val="20"/>
                <w:szCs w:val="20"/>
              </w:rPr>
              <w:t>-Superficie de chantier arrosée</w:t>
            </w:r>
            <w:r>
              <w:rPr>
                <w:rFonts w:ascii="Times New Roman" w:hAnsi="Times New Roman"/>
                <w:sz w:val="20"/>
                <w:szCs w:val="20"/>
              </w:rPr>
              <w:t> ;</w:t>
            </w:r>
          </w:p>
          <w:p w:rsidR="00764FFF" w:rsidRPr="00AA45E9" w:rsidRDefault="00764FFF" w:rsidP="00764FFF">
            <w:pPr>
              <w:spacing w:after="0" w:line="240" w:lineRule="auto"/>
              <w:jc w:val="both"/>
              <w:rPr>
                <w:rFonts w:ascii="Times New Roman" w:hAnsi="Times New Roman"/>
                <w:sz w:val="20"/>
                <w:szCs w:val="20"/>
              </w:rPr>
            </w:pPr>
            <w:r w:rsidRPr="00AA45E9">
              <w:rPr>
                <w:rFonts w:ascii="Times New Roman" w:hAnsi="Times New Roman"/>
                <w:sz w:val="20"/>
                <w:szCs w:val="20"/>
              </w:rPr>
              <w:t>-Présence d’un système entassement des déblais</w:t>
            </w:r>
            <w:r w:rsidR="00665E3F">
              <w:rPr>
                <w:rFonts w:ascii="Times New Roman" w:hAnsi="Times New Roman"/>
                <w:sz w:val="20"/>
                <w:szCs w:val="20"/>
              </w:rPr>
              <w:t> ;</w:t>
            </w:r>
          </w:p>
          <w:p w:rsidR="00764FFF" w:rsidRPr="00AA45E9" w:rsidRDefault="000379BB" w:rsidP="00764FFF">
            <w:pPr>
              <w:spacing w:after="0" w:line="240" w:lineRule="auto"/>
              <w:jc w:val="both"/>
              <w:rPr>
                <w:rFonts w:ascii="Times New Roman" w:hAnsi="Times New Roman"/>
                <w:sz w:val="20"/>
                <w:szCs w:val="20"/>
              </w:rPr>
            </w:pPr>
            <w:r>
              <w:rPr>
                <w:rFonts w:ascii="Times New Roman" w:hAnsi="Times New Roman"/>
                <w:sz w:val="20"/>
                <w:szCs w:val="20"/>
              </w:rPr>
              <w:lastRenderedPageBreak/>
              <w:t>-</w:t>
            </w:r>
            <w:r w:rsidR="00764FFF" w:rsidRPr="00AA45E9">
              <w:rPr>
                <w:rFonts w:ascii="Times New Roman" w:hAnsi="Times New Roman"/>
                <w:sz w:val="20"/>
                <w:szCs w:val="20"/>
              </w:rPr>
              <w:t>Le système de stockage des matériaux de l’Entreprise est validé par le</w:t>
            </w:r>
            <w:r w:rsidR="00820701">
              <w:rPr>
                <w:rFonts w:ascii="Times New Roman" w:hAnsi="Times New Roman"/>
                <w:sz w:val="20"/>
                <w:szCs w:val="20"/>
              </w:rPr>
              <w:t xml:space="preserve"> bureau de contrôle</w:t>
            </w:r>
          </w:p>
          <w:p w:rsidR="00875995" w:rsidRDefault="00764FFF" w:rsidP="00764FFF">
            <w:pPr>
              <w:spacing w:after="0" w:line="240" w:lineRule="auto"/>
              <w:jc w:val="both"/>
              <w:rPr>
                <w:rFonts w:ascii="Times New Roman" w:hAnsi="Times New Roman"/>
                <w:sz w:val="20"/>
                <w:szCs w:val="20"/>
              </w:rPr>
            </w:pPr>
            <w:r w:rsidRPr="00AA45E9">
              <w:rPr>
                <w:rFonts w:ascii="Times New Roman" w:hAnsi="Times New Roman"/>
                <w:sz w:val="20"/>
                <w:szCs w:val="20"/>
              </w:rPr>
              <w:t>-Nombre de plaintes du voisinage enregistrées</w:t>
            </w:r>
            <w:r w:rsidR="00665E3F">
              <w:rPr>
                <w:rFonts w:ascii="Times New Roman" w:hAnsi="Times New Roman"/>
                <w:sz w:val="20"/>
                <w:szCs w:val="20"/>
              </w:rPr>
              <w:t> ;</w:t>
            </w:r>
          </w:p>
          <w:p w:rsidR="00875995" w:rsidRPr="00820701" w:rsidRDefault="00875995" w:rsidP="00764FFF">
            <w:pPr>
              <w:spacing w:after="0" w:line="240" w:lineRule="auto"/>
              <w:jc w:val="both"/>
              <w:rPr>
                <w:rFonts w:ascii="Times New Roman" w:hAnsi="Times New Roman"/>
              </w:rPr>
            </w:pPr>
            <w:r>
              <w:rPr>
                <w:rFonts w:ascii="Times New Roman" w:hAnsi="Times New Roman"/>
              </w:rPr>
              <w:t>-Nombre de puits et de points d’eau protégés ;</w:t>
            </w:r>
          </w:p>
          <w:p w:rsidR="00764FFF" w:rsidRPr="00AA45E9" w:rsidRDefault="00875995" w:rsidP="00764FFF">
            <w:pPr>
              <w:spacing w:after="0" w:line="240" w:lineRule="auto"/>
              <w:jc w:val="both"/>
              <w:rPr>
                <w:rFonts w:ascii="Times New Roman" w:hAnsi="Times New Roman"/>
                <w:sz w:val="20"/>
                <w:szCs w:val="20"/>
              </w:rPr>
            </w:pPr>
            <w:r>
              <w:rPr>
                <w:rFonts w:ascii="Times New Roman" w:hAnsi="Times New Roman"/>
                <w:sz w:val="20"/>
                <w:szCs w:val="20"/>
              </w:rPr>
              <w:t>-Attestation des conformités des véhicules ;</w:t>
            </w:r>
          </w:p>
        </w:tc>
        <w:tc>
          <w:tcPr>
            <w:tcW w:w="1240" w:type="dxa"/>
            <w:gridSpan w:val="2"/>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764FFF" w:rsidRPr="002407EF" w:rsidRDefault="000379BB" w:rsidP="00764FFF">
            <w:pPr>
              <w:spacing w:after="0" w:line="240" w:lineRule="auto"/>
              <w:jc w:val="both"/>
              <w:rPr>
                <w:rFonts w:ascii="Times New Roman" w:hAnsi="Times New Roman"/>
                <w:b/>
                <w:sz w:val="20"/>
                <w:szCs w:val="20"/>
              </w:rPr>
            </w:pPr>
            <w:r w:rsidRPr="002407EF">
              <w:rPr>
                <w:rFonts w:ascii="Times New Roman" w:hAnsi="Times New Roman"/>
                <w:b/>
                <w:sz w:val="20"/>
                <w:szCs w:val="20"/>
              </w:rPr>
              <w:lastRenderedPageBreak/>
              <w:t>Entreprise</w:t>
            </w:r>
          </w:p>
        </w:tc>
        <w:tc>
          <w:tcPr>
            <w:tcW w:w="1276" w:type="dxa"/>
            <w:gridSpan w:val="2"/>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764FFF" w:rsidRPr="002407EF" w:rsidRDefault="00764FFF" w:rsidP="00764FFF">
            <w:pPr>
              <w:spacing w:after="0" w:line="240" w:lineRule="auto"/>
              <w:jc w:val="both"/>
              <w:rPr>
                <w:rFonts w:ascii="Times New Roman" w:hAnsi="Times New Roman"/>
                <w:b/>
                <w:sz w:val="20"/>
                <w:szCs w:val="20"/>
              </w:rPr>
            </w:pPr>
            <w:r w:rsidRPr="002407EF">
              <w:rPr>
                <w:rFonts w:ascii="Times New Roman" w:hAnsi="Times New Roman"/>
                <w:b/>
                <w:sz w:val="20"/>
                <w:szCs w:val="20"/>
              </w:rPr>
              <w:t>Comité de suivi</w:t>
            </w:r>
          </w:p>
          <w:p w:rsidR="00A8569F" w:rsidRPr="002407EF" w:rsidRDefault="00A8569F" w:rsidP="00764FFF">
            <w:pPr>
              <w:spacing w:after="0" w:line="240" w:lineRule="auto"/>
              <w:jc w:val="both"/>
              <w:rPr>
                <w:rFonts w:ascii="Times New Roman" w:hAnsi="Times New Roman"/>
                <w:b/>
                <w:sz w:val="20"/>
                <w:szCs w:val="20"/>
              </w:rPr>
            </w:pPr>
          </w:p>
          <w:p w:rsidR="00875995" w:rsidRPr="002407EF" w:rsidRDefault="00875995" w:rsidP="00764FFF">
            <w:pPr>
              <w:spacing w:after="0" w:line="240" w:lineRule="auto"/>
              <w:jc w:val="both"/>
              <w:rPr>
                <w:rFonts w:ascii="Times New Roman" w:hAnsi="Times New Roman"/>
                <w:b/>
                <w:sz w:val="20"/>
                <w:szCs w:val="20"/>
              </w:rPr>
            </w:pPr>
            <w:r w:rsidRPr="002407EF">
              <w:rPr>
                <w:rFonts w:ascii="Times New Roman" w:hAnsi="Times New Roman"/>
                <w:b/>
                <w:sz w:val="20"/>
                <w:szCs w:val="20"/>
              </w:rPr>
              <w:t>PUASEE-FA</w:t>
            </w:r>
          </w:p>
        </w:tc>
        <w:tc>
          <w:tcPr>
            <w:tcW w:w="1134" w:type="dxa"/>
            <w:tcBorders>
              <w:top w:val="single" w:sz="4" w:space="0" w:color="auto"/>
              <w:left w:val="single" w:sz="4" w:space="0" w:color="auto"/>
              <w:bottom w:val="single" w:sz="4" w:space="0" w:color="auto"/>
              <w:right w:val="single" w:sz="4" w:space="0" w:color="auto"/>
            </w:tcBorders>
            <w:vAlign w:val="center"/>
          </w:tcPr>
          <w:p w:rsidR="00764FFF" w:rsidRPr="00AA45E9" w:rsidRDefault="00764FFF" w:rsidP="00764FFF">
            <w:pPr>
              <w:spacing w:after="0" w:line="240" w:lineRule="auto"/>
              <w:jc w:val="both"/>
              <w:rPr>
                <w:rFonts w:ascii="Times New Roman" w:hAnsi="Times New Roman"/>
                <w:sz w:val="20"/>
                <w:szCs w:val="20"/>
              </w:rPr>
            </w:pPr>
            <w:r w:rsidRPr="00AA45E9">
              <w:rPr>
                <w:rFonts w:ascii="Times New Roman" w:hAnsi="Times New Roman"/>
                <w:sz w:val="20"/>
                <w:szCs w:val="20"/>
              </w:rPr>
              <w:t>Durant les travaux / Trimestrielle</w:t>
            </w:r>
          </w:p>
        </w:tc>
        <w:tc>
          <w:tcPr>
            <w:tcW w:w="1374"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764FFF" w:rsidRPr="00AA45E9" w:rsidRDefault="00875995" w:rsidP="00764FFF">
            <w:pPr>
              <w:spacing w:after="0" w:line="240" w:lineRule="auto"/>
              <w:jc w:val="both"/>
              <w:rPr>
                <w:rFonts w:ascii="Times New Roman" w:hAnsi="Times New Roman"/>
                <w:b/>
                <w:sz w:val="20"/>
                <w:szCs w:val="20"/>
              </w:rPr>
            </w:pPr>
            <w:r>
              <w:rPr>
                <w:rFonts w:ascii="Times New Roman" w:hAnsi="Times New Roman"/>
                <w:b/>
                <w:sz w:val="20"/>
                <w:szCs w:val="20"/>
              </w:rPr>
              <w:t>3 5</w:t>
            </w:r>
            <w:r w:rsidR="00764FFF" w:rsidRPr="00AA45E9">
              <w:rPr>
                <w:rFonts w:ascii="Times New Roman" w:hAnsi="Times New Roman"/>
                <w:b/>
                <w:sz w:val="20"/>
                <w:szCs w:val="20"/>
              </w:rPr>
              <w:t>00 000</w:t>
            </w:r>
          </w:p>
        </w:tc>
        <w:tc>
          <w:tcPr>
            <w:tcW w:w="1237" w:type="dxa"/>
            <w:gridSpan w:val="3"/>
            <w:tcBorders>
              <w:top w:val="single" w:sz="4" w:space="0" w:color="auto"/>
              <w:left w:val="single" w:sz="4" w:space="0" w:color="auto"/>
              <w:bottom w:val="single" w:sz="4" w:space="0" w:color="auto"/>
              <w:right w:val="single" w:sz="4" w:space="0" w:color="auto"/>
            </w:tcBorders>
            <w:vAlign w:val="center"/>
          </w:tcPr>
          <w:p w:rsidR="00764FFF" w:rsidRPr="00AA45E9" w:rsidRDefault="00764FFF" w:rsidP="00764FFF">
            <w:pPr>
              <w:spacing w:after="0" w:line="240" w:lineRule="auto"/>
              <w:jc w:val="center"/>
              <w:rPr>
                <w:rFonts w:ascii="Times New Roman" w:hAnsi="Times New Roman"/>
                <w:sz w:val="20"/>
                <w:szCs w:val="20"/>
              </w:rPr>
            </w:pPr>
            <w:r w:rsidRPr="00AA45E9">
              <w:rPr>
                <w:rFonts w:ascii="Times New Roman" w:hAnsi="Times New Roman"/>
                <w:sz w:val="20"/>
                <w:szCs w:val="20"/>
              </w:rPr>
              <w:t>Coût inclus dans le protocole d’accord entre le promoteur et le CRS</w:t>
            </w:r>
          </w:p>
        </w:tc>
      </w:tr>
      <w:tr w:rsidR="00764FFF" w:rsidRPr="00AA45E9" w:rsidTr="007D251E">
        <w:trPr>
          <w:trHeight w:val="446"/>
          <w:jc w:val="center"/>
        </w:trPr>
        <w:tc>
          <w:tcPr>
            <w:tcW w:w="1127"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764FFF" w:rsidRPr="00AA45E9" w:rsidRDefault="00764FFF" w:rsidP="00875995">
            <w:pPr>
              <w:spacing w:after="0" w:line="240" w:lineRule="auto"/>
              <w:jc w:val="both"/>
              <w:rPr>
                <w:rFonts w:ascii="Times New Roman" w:hAnsi="Times New Roman"/>
                <w:b/>
                <w:bCs/>
                <w:sz w:val="20"/>
                <w:szCs w:val="20"/>
              </w:rPr>
            </w:pPr>
            <w:r w:rsidRPr="00AA45E9">
              <w:rPr>
                <w:rFonts w:ascii="Times New Roman" w:hAnsi="Times New Roman"/>
                <w:b/>
                <w:bCs/>
                <w:sz w:val="20"/>
                <w:szCs w:val="20"/>
              </w:rPr>
              <w:lastRenderedPageBreak/>
              <w:t>Sol et la géologie</w:t>
            </w:r>
            <w:r w:rsidRPr="00AA45E9">
              <w:rPr>
                <w:rFonts w:ascii="Times New Roman" w:hAnsi="Times New Roman"/>
                <w:b/>
                <w:sz w:val="20"/>
                <w:szCs w:val="20"/>
              </w:rPr>
              <w:t xml:space="preserve"> </w:t>
            </w:r>
          </w:p>
        </w:tc>
        <w:tc>
          <w:tcPr>
            <w:tcW w:w="2304" w:type="dxa"/>
            <w:gridSpan w:val="2"/>
            <w:tcBorders>
              <w:top w:val="single" w:sz="4" w:space="0" w:color="auto"/>
              <w:left w:val="single" w:sz="4" w:space="0" w:color="auto"/>
              <w:bottom w:val="single" w:sz="4" w:space="0" w:color="auto"/>
              <w:right w:val="single" w:sz="4" w:space="0" w:color="auto"/>
            </w:tcBorders>
            <w:vAlign w:val="center"/>
          </w:tcPr>
          <w:p w:rsidR="00764FFF" w:rsidRPr="00AA45E9" w:rsidRDefault="00764FFF" w:rsidP="00764FFF">
            <w:pPr>
              <w:spacing w:after="0" w:line="240" w:lineRule="auto"/>
              <w:jc w:val="both"/>
              <w:rPr>
                <w:rFonts w:ascii="Times New Roman" w:hAnsi="Times New Roman"/>
                <w:sz w:val="20"/>
                <w:szCs w:val="20"/>
              </w:rPr>
            </w:pPr>
            <w:r w:rsidRPr="00AA45E9">
              <w:rPr>
                <w:rFonts w:ascii="Times New Roman" w:hAnsi="Times New Roman"/>
                <w:sz w:val="20"/>
                <w:szCs w:val="20"/>
              </w:rPr>
              <w:t>Modification et fragilisation de la structure et de la texture du sol</w:t>
            </w:r>
            <w:r w:rsidR="00875995">
              <w:rPr>
                <w:rFonts w:ascii="Times New Roman" w:hAnsi="Times New Roman"/>
                <w:sz w:val="20"/>
                <w:szCs w:val="20"/>
              </w:rPr>
              <w:t xml:space="preserve"> et des sous-sols</w:t>
            </w:r>
          </w:p>
          <w:p w:rsidR="00764FFF" w:rsidRPr="00AA45E9" w:rsidRDefault="00764FFF" w:rsidP="00764FFF">
            <w:pPr>
              <w:spacing w:after="0" w:line="240" w:lineRule="auto"/>
              <w:jc w:val="both"/>
              <w:rPr>
                <w:rFonts w:ascii="Times New Roman" w:hAnsi="Times New Roman"/>
                <w:sz w:val="20"/>
                <w:szCs w:val="20"/>
              </w:rPr>
            </w:pPr>
          </w:p>
          <w:p w:rsidR="00764FFF" w:rsidRPr="00AA45E9" w:rsidRDefault="00764FFF" w:rsidP="00764FFF">
            <w:pPr>
              <w:spacing w:after="0" w:line="240" w:lineRule="auto"/>
              <w:jc w:val="both"/>
              <w:rPr>
                <w:rFonts w:ascii="Times New Roman" w:hAnsi="Times New Roman"/>
                <w:sz w:val="20"/>
                <w:szCs w:val="20"/>
              </w:rPr>
            </w:pPr>
            <w:r w:rsidRPr="00AA45E9">
              <w:rPr>
                <w:rFonts w:ascii="Times New Roman" w:hAnsi="Times New Roman"/>
                <w:sz w:val="20"/>
                <w:szCs w:val="20"/>
              </w:rPr>
              <w:t>Risque de pollution du sol</w:t>
            </w:r>
            <w:r w:rsidR="001A4BB7">
              <w:rPr>
                <w:rFonts w:ascii="Times New Roman" w:hAnsi="Times New Roman"/>
                <w:sz w:val="20"/>
                <w:szCs w:val="20"/>
              </w:rPr>
              <w:t xml:space="preserve"> du </w:t>
            </w:r>
            <w:r w:rsidR="001A4BB7" w:rsidRPr="001A4BB7">
              <w:rPr>
                <w:rFonts w:ascii="Times New Roman" w:hAnsi="Times New Roman"/>
                <w:sz w:val="20"/>
                <w:szCs w:val="20"/>
              </w:rPr>
              <w:t>déversement accidentel de polluants (solvant, peinture, batterie morte, les sachets de ciment, les morceaux de bois etc.)</w:t>
            </w:r>
          </w:p>
          <w:p w:rsidR="00764FFF" w:rsidRPr="00AA45E9" w:rsidRDefault="00764FFF" w:rsidP="00764FFF">
            <w:pPr>
              <w:spacing w:after="0" w:line="240" w:lineRule="auto"/>
              <w:jc w:val="both"/>
              <w:rPr>
                <w:rFonts w:ascii="Times New Roman" w:hAnsi="Times New Roman"/>
                <w:sz w:val="20"/>
                <w:szCs w:val="20"/>
              </w:rPr>
            </w:pPr>
          </w:p>
          <w:p w:rsidR="00764FFF" w:rsidRPr="00AA45E9" w:rsidRDefault="00764FFF" w:rsidP="007201E5">
            <w:pPr>
              <w:spacing w:after="0" w:line="240" w:lineRule="auto"/>
              <w:jc w:val="both"/>
              <w:rPr>
                <w:rFonts w:ascii="Times New Roman" w:hAnsi="Times New Roman"/>
                <w:sz w:val="20"/>
                <w:szCs w:val="20"/>
              </w:rPr>
            </w:pPr>
            <w:r w:rsidRPr="00AA45E9">
              <w:rPr>
                <w:rFonts w:ascii="Times New Roman" w:hAnsi="Times New Roman"/>
                <w:sz w:val="20"/>
                <w:szCs w:val="20"/>
              </w:rPr>
              <w:t>Risque de pollution accidentelle des sols est à craindre dû à d’éventuelles fuites de carburant ou de lubrifiant.</w:t>
            </w:r>
          </w:p>
        </w:tc>
        <w:tc>
          <w:tcPr>
            <w:tcW w:w="3829" w:type="dxa"/>
            <w:gridSpan w:val="2"/>
            <w:tcBorders>
              <w:top w:val="single" w:sz="4" w:space="0" w:color="auto"/>
              <w:left w:val="single" w:sz="4" w:space="0" w:color="auto"/>
              <w:bottom w:val="single" w:sz="4" w:space="0" w:color="auto"/>
              <w:right w:val="single" w:sz="4" w:space="0" w:color="auto"/>
            </w:tcBorders>
            <w:vAlign w:val="center"/>
          </w:tcPr>
          <w:p w:rsidR="001A4BB7" w:rsidRDefault="001A4BB7" w:rsidP="001A4BB7">
            <w:pPr>
              <w:spacing w:after="0" w:line="240" w:lineRule="auto"/>
              <w:jc w:val="both"/>
              <w:rPr>
                <w:rFonts w:ascii="Times New Roman" w:hAnsi="Times New Roman"/>
                <w:sz w:val="20"/>
                <w:szCs w:val="20"/>
              </w:rPr>
            </w:pPr>
            <w:r w:rsidRPr="00AA45E9">
              <w:rPr>
                <w:rFonts w:ascii="Times New Roman" w:hAnsi="Times New Roman"/>
                <w:sz w:val="20"/>
                <w:szCs w:val="20"/>
              </w:rPr>
              <w:t>-Minimiser le compactage des sols</w:t>
            </w:r>
            <w:r>
              <w:rPr>
                <w:rFonts w:ascii="Times New Roman" w:hAnsi="Times New Roman"/>
                <w:sz w:val="20"/>
                <w:szCs w:val="20"/>
              </w:rPr>
              <w:t> ;</w:t>
            </w:r>
          </w:p>
          <w:p w:rsidR="001A4BB7" w:rsidRDefault="001A4BB7" w:rsidP="001A4BB7">
            <w:pPr>
              <w:spacing w:after="0" w:line="240" w:lineRule="auto"/>
              <w:jc w:val="both"/>
              <w:rPr>
                <w:rFonts w:ascii="Times New Roman" w:hAnsi="Times New Roman"/>
                <w:sz w:val="20"/>
                <w:szCs w:val="20"/>
              </w:rPr>
            </w:pPr>
            <w:r>
              <w:rPr>
                <w:rFonts w:ascii="Times New Roman" w:hAnsi="Times New Roman"/>
                <w:sz w:val="20"/>
                <w:szCs w:val="20"/>
              </w:rPr>
              <w:t xml:space="preserve">-Veiller à bien remblai les bordures des réservoirs pour </w:t>
            </w:r>
            <w:r w:rsidR="00FC0CC7">
              <w:rPr>
                <w:rFonts w:ascii="Times New Roman" w:hAnsi="Times New Roman"/>
                <w:sz w:val="20"/>
                <w:szCs w:val="20"/>
              </w:rPr>
              <w:t>éviter</w:t>
            </w:r>
            <w:r>
              <w:rPr>
                <w:rFonts w:ascii="Times New Roman" w:hAnsi="Times New Roman"/>
                <w:sz w:val="20"/>
                <w:szCs w:val="20"/>
              </w:rPr>
              <w:t xml:space="preserve"> des phénomène</w:t>
            </w:r>
            <w:r w:rsidR="00095BA3">
              <w:rPr>
                <w:rFonts w:ascii="Times New Roman" w:hAnsi="Times New Roman"/>
                <w:sz w:val="20"/>
                <w:szCs w:val="20"/>
              </w:rPr>
              <w:t>s</w:t>
            </w:r>
            <w:r>
              <w:rPr>
                <w:rFonts w:ascii="Times New Roman" w:hAnsi="Times New Roman"/>
                <w:sz w:val="20"/>
                <w:szCs w:val="20"/>
              </w:rPr>
              <w:t xml:space="preserve"> d’affaissement et d’érosion ;</w:t>
            </w:r>
          </w:p>
          <w:p w:rsidR="001A4BB7" w:rsidRPr="00AA45E9" w:rsidRDefault="001A4BB7" w:rsidP="001A4BB7">
            <w:pPr>
              <w:spacing w:after="0" w:line="240" w:lineRule="auto"/>
              <w:jc w:val="both"/>
              <w:rPr>
                <w:rFonts w:ascii="Times New Roman" w:hAnsi="Times New Roman"/>
                <w:sz w:val="20"/>
                <w:szCs w:val="20"/>
              </w:rPr>
            </w:pPr>
            <w:r>
              <w:rPr>
                <w:rFonts w:ascii="Times New Roman" w:hAnsi="Times New Roman"/>
                <w:sz w:val="20"/>
                <w:szCs w:val="20"/>
              </w:rPr>
              <w:t>-</w:t>
            </w:r>
            <w:r w:rsidRPr="00AA45E9">
              <w:rPr>
                <w:rFonts w:ascii="Times New Roman" w:hAnsi="Times New Roman"/>
                <w:sz w:val="20"/>
                <w:szCs w:val="20"/>
              </w:rPr>
              <w:t xml:space="preserve"> Stocker toutes les matières polluantes (</w:t>
            </w:r>
            <w:r w:rsidR="00DE55C3" w:rsidRPr="00DE55C3">
              <w:rPr>
                <w:rFonts w:ascii="Times New Roman" w:hAnsi="Times New Roman"/>
                <w:sz w:val="20"/>
                <w:szCs w:val="20"/>
              </w:rPr>
              <w:t>solvant, peinture, batterie morte</w:t>
            </w:r>
            <w:r w:rsidRPr="00AA45E9">
              <w:rPr>
                <w:rFonts w:ascii="Times New Roman" w:hAnsi="Times New Roman"/>
                <w:sz w:val="20"/>
                <w:szCs w:val="20"/>
              </w:rPr>
              <w:t>, etc.) dans des bacs de rétention dans un local bien étanche</w:t>
            </w:r>
            <w:r w:rsidR="00DE55C3">
              <w:rPr>
                <w:rFonts w:ascii="Times New Roman" w:hAnsi="Times New Roman"/>
                <w:sz w:val="20"/>
                <w:szCs w:val="20"/>
              </w:rPr>
              <w:t> ;</w:t>
            </w:r>
          </w:p>
          <w:p w:rsidR="00764FFF" w:rsidRPr="00AA45E9" w:rsidRDefault="00764FFF" w:rsidP="00764FFF">
            <w:pPr>
              <w:spacing w:after="0" w:line="240" w:lineRule="auto"/>
              <w:jc w:val="both"/>
              <w:rPr>
                <w:rFonts w:ascii="Times New Roman" w:hAnsi="Times New Roman"/>
                <w:sz w:val="20"/>
                <w:szCs w:val="20"/>
              </w:rPr>
            </w:pPr>
            <w:r w:rsidRPr="00AA45E9">
              <w:rPr>
                <w:rFonts w:ascii="Times New Roman" w:hAnsi="Times New Roman"/>
                <w:sz w:val="20"/>
                <w:szCs w:val="20"/>
              </w:rPr>
              <w:t>-Mettre en place un système de gestion des déchets (tri, coll</w:t>
            </w:r>
            <w:r w:rsidR="00DE55C3">
              <w:rPr>
                <w:rFonts w:ascii="Times New Roman" w:hAnsi="Times New Roman"/>
                <w:sz w:val="20"/>
                <w:szCs w:val="20"/>
              </w:rPr>
              <w:t>ecte, transport et élimination)</w:t>
            </w:r>
          </w:p>
          <w:p w:rsidR="00764FFF" w:rsidRPr="00AA45E9" w:rsidRDefault="00764FFF" w:rsidP="00764FFF">
            <w:pPr>
              <w:spacing w:after="0" w:line="240" w:lineRule="auto"/>
              <w:jc w:val="both"/>
              <w:rPr>
                <w:rFonts w:ascii="Times New Roman" w:hAnsi="Times New Roman"/>
                <w:sz w:val="20"/>
                <w:szCs w:val="20"/>
              </w:rPr>
            </w:pPr>
            <w:r w:rsidRPr="00AA45E9">
              <w:rPr>
                <w:rFonts w:ascii="Times New Roman" w:hAnsi="Times New Roman"/>
                <w:sz w:val="20"/>
                <w:szCs w:val="20"/>
              </w:rPr>
              <w:t>-</w:t>
            </w:r>
            <w:r w:rsidR="00DE55C3" w:rsidRPr="00AA45E9">
              <w:rPr>
                <w:rFonts w:ascii="Times New Roman" w:hAnsi="Times New Roman"/>
                <w:sz w:val="20"/>
                <w:szCs w:val="20"/>
              </w:rPr>
              <w:t xml:space="preserve"> Mettre en place un système de gestion des huiles usagées (collecte, transport et élimination)</w:t>
            </w:r>
          </w:p>
          <w:p w:rsidR="00764FFF" w:rsidRDefault="00764FFF" w:rsidP="00764FFF">
            <w:pPr>
              <w:spacing w:after="0" w:line="240" w:lineRule="auto"/>
              <w:jc w:val="both"/>
              <w:rPr>
                <w:rFonts w:ascii="Times New Roman" w:hAnsi="Times New Roman"/>
                <w:sz w:val="20"/>
                <w:szCs w:val="20"/>
              </w:rPr>
            </w:pPr>
            <w:r w:rsidRPr="00AA45E9">
              <w:rPr>
                <w:rFonts w:ascii="Times New Roman" w:hAnsi="Times New Roman"/>
                <w:sz w:val="20"/>
                <w:szCs w:val="20"/>
              </w:rPr>
              <w:t>- Signer un protocole d’accord   avec une entreprise et prestataires chargés de l’évacuation et du traitement</w:t>
            </w:r>
            <w:r w:rsidR="00DE55C3">
              <w:rPr>
                <w:rFonts w:ascii="Times New Roman" w:hAnsi="Times New Roman"/>
                <w:sz w:val="20"/>
                <w:szCs w:val="20"/>
              </w:rPr>
              <w:t> ;</w:t>
            </w:r>
          </w:p>
          <w:p w:rsidR="0067181C" w:rsidRDefault="00DE55C3" w:rsidP="00547523">
            <w:pPr>
              <w:spacing w:after="0" w:line="240" w:lineRule="auto"/>
              <w:jc w:val="both"/>
              <w:rPr>
                <w:rFonts w:ascii="Times New Roman" w:hAnsi="Times New Roman"/>
                <w:sz w:val="20"/>
                <w:szCs w:val="20"/>
              </w:rPr>
            </w:pPr>
            <w:r>
              <w:rPr>
                <w:rFonts w:ascii="Times New Roman" w:hAnsi="Times New Roman"/>
                <w:sz w:val="20"/>
                <w:szCs w:val="20"/>
              </w:rPr>
              <w:t xml:space="preserve">-S’approvisionner en carburant ou lubrifiant au niveau des </w:t>
            </w:r>
            <w:r w:rsidR="00547523">
              <w:rPr>
                <w:rFonts w:ascii="Times New Roman" w:hAnsi="Times New Roman"/>
                <w:sz w:val="20"/>
                <w:szCs w:val="20"/>
              </w:rPr>
              <w:t xml:space="preserve">stations-services comme les bases chantiers (Bor, Safim, Antula) se trouve </w:t>
            </w:r>
            <w:r w:rsidR="00A12E63">
              <w:rPr>
                <w:rFonts w:ascii="Times New Roman" w:hAnsi="Times New Roman"/>
                <w:sz w:val="20"/>
                <w:szCs w:val="20"/>
              </w:rPr>
              <w:t>près</w:t>
            </w:r>
            <w:r w:rsidR="00547523">
              <w:rPr>
                <w:rFonts w:ascii="Times New Roman" w:hAnsi="Times New Roman"/>
                <w:sz w:val="20"/>
                <w:szCs w:val="20"/>
              </w:rPr>
              <w:t xml:space="preserve"> en ville ; </w:t>
            </w:r>
          </w:p>
          <w:p w:rsidR="00764FFF" w:rsidRPr="00AA45E9" w:rsidRDefault="00764FFF" w:rsidP="00547523">
            <w:pPr>
              <w:spacing w:after="0" w:line="240" w:lineRule="auto"/>
              <w:jc w:val="both"/>
              <w:rPr>
                <w:rFonts w:ascii="Times New Roman" w:hAnsi="Times New Roman"/>
                <w:sz w:val="20"/>
                <w:szCs w:val="20"/>
              </w:rPr>
            </w:pPr>
            <w:r w:rsidRPr="00AA45E9">
              <w:rPr>
                <w:rFonts w:ascii="Times New Roman" w:hAnsi="Times New Roman"/>
                <w:sz w:val="20"/>
                <w:szCs w:val="20"/>
              </w:rPr>
              <w:t xml:space="preserve">- </w:t>
            </w:r>
            <w:r w:rsidR="00DE55C3" w:rsidRPr="00AA45E9">
              <w:rPr>
                <w:rFonts w:ascii="Times New Roman" w:hAnsi="Times New Roman"/>
                <w:sz w:val="20"/>
                <w:szCs w:val="20"/>
              </w:rPr>
              <w:t>Aménager un drainage adéquat des eaux de ruissellements.</w:t>
            </w:r>
          </w:p>
        </w:tc>
        <w:tc>
          <w:tcPr>
            <w:tcW w:w="2835" w:type="dxa"/>
            <w:gridSpan w:val="2"/>
            <w:tcBorders>
              <w:top w:val="single" w:sz="4" w:space="0" w:color="auto"/>
              <w:left w:val="single" w:sz="4" w:space="0" w:color="auto"/>
              <w:bottom w:val="single" w:sz="4" w:space="0" w:color="auto"/>
              <w:right w:val="single" w:sz="4" w:space="0" w:color="auto"/>
            </w:tcBorders>
            <w:vAlign w:val="center"/>
          </w:tcPr>
          <w:p w:rsidR="00A12E63" w:rsidRDefault="00764FFF" w:rsidP="00764FFF">
            <w:pPr>
              <w:spacing w:after="0" w:line="240" w:lineRule="auto"/>
              <w:jc w:val="both"/>
              <w:rPr>
                <w:rFonts w:ascii="Times New Roman" w:hAnsi="Times New Roman"/>
                <w:sz w:val="20"/>
                <w:szCs w:val="20"/>
              </w:rPr>
            </w:pPr>
            <w:r w:rsidRPr="00AA45E9">
              <w:rPr>
                <w:rFonts w:ascii="Times New Roman" w:hAnsi="Times New Roman"/>
                <w:sz w:val="20"/>
                <w:szCs w:val="20"/>
              </w:rPr>
              <w:t xml:space="preserve">- </w:t>
            </w:r>
            <w:r w:rsidR="00A12E63">
              <w:rPr>
                <w:rFonts w:ascii="Times New Roman" w:hAnsi="Times New Roman"/>
                <w:sz w:val="20"/>
                <w:szCs w:val="20"/>
              </w:rPr>
              <w:t xml:space="preserve">Pas de présence d’affaissement ou </w:t>
            </w:r>
            <w:r w:rsidR="007201E5">
              <w:rPr>
                <w:rFonts w:ascii="Times New Roman" w:hAnsi="Times New Roman"/>
                <w:sz w:val="20"/>
                <w:szCs w:val="20"/>
              </w:rPr>
              <w:t>d’érosion au niveau des sites ;</w:t>
            </w:r>
          </w:p>
          <w:p w:rsidR="00A12E63" w:rsidRPr="00AA45E9" w:rsidRDefault="00A12E63" w:rsidP="00A12E63">
            <w:pPr>
              <w:spacing w:after="0" w:line="240" w:lineRule="auto"/>
              <w:jc w:val="both"/>
              <w:rPr>
                <w:rFonts w:ascii="Times New Roman" w:hAnsi="Times New Roman"/>
                <w:sz w:val="20"/>
                <w:szCs w:val="20"/>
              </w:rPr>
            </w:pPr>
            <w:r w:rsidRPr="00AA45E9">
              <w:rPr>
                <w:rFonts w:ascii="Times New Roman" w:hAnsi="Times New Roman"/>
                <w:sz w:val="20"/>
                <w:szCs w:val="20"/>
              </w:rPr>
              <w:t>-Taux de surface revêtue</w:t>
            </w:r>
            <w:r>
              <w:rPr>
                <w:rFonts w:ascii="Times New Roman" w:hAnsi="Times New Roman"/>
                <w:sz w:val="20"/>
                <w:szCs w:val="20"/>
              </w:rPr>
              <w:t> ;</w:t>
            </w:r>
          </w:p>
          <w:p w:rsidR="00764FFF" w:rsidRPr="00AA45E9" w:rsidRDefault="007201E5" w:rsidP="00764FFF">
            <w:pPr>
              <w:spacing w:after="0" w:line="240" w:lineRule="auto"/>
              <w:jc w:val="both"/>
              <w:rPr>
                <w:rFonts w:ascii="Times New Roman" w:hAnsi="Times New Roman"/>
                <w:sz w:val="20"/>
                <w:szCs w:val="20"/>
              </w:rPr>
            </w:pPr>
            <w:r>
              <w:rPr>
                <w:rFonts w:ascii="Times New Roman" w:hAnsi="Times New Roman"/>
                <w:sz w:val="20"/>
                <w:szCs w:val="20"/>
              </w:rPr>
              <w:t>-</w:t>
            </w:r>
            <w:r w:rsidR="00764FFF" w:rsidRPr="00AA45E9">
              <w:rPr>
                <w:rFonts w:ascii="Times New Roman" w:hAnsi="Times New Roman"/>
                <w:sz w:val="20"/>
                <w:szCs w:val="20"/>
              </w:rPr>
              <w:t>Présence d’une demi-douzaine de futs pour la collecte des déchets,</w:t>
            </w:r>
          </w:p>
          <w:p w:rsidR="00764FFF" w:rsidRPr="00AA45E9" w:rsidRDefault="00764FFF" w:rsidP="00764FFF">
            <w:pPr>
              <w:spacing w:after="0" w:line="240" w:lineRule="auto"/>
              <w:jc w:val="both"/>
              <w:rPr>
                <w:rFonts w:ascii="Times New Roman" w:hAnsi="Times New Roman"/>
                <w:sz w:val="20"/>
                <w:szCs w:val="20"/>
              </w:rPr>
            </w:pPr>
            <w:r w:rsidRPr="00AA45E9">
              <w:rPr>
                <w:rFonts w:ascii="Times New Roman" w:hAnsi="Times New Roman"/>
                <w:sz w:val="20"/>
                <w:szCs w:val="20"/>
              </w:rPr>
              <w:t>- Protocole d’accord signé avec les mairies et prestataires chargés d’évacuer les ordures</w:t>
            </w:r>
            <w:r w:rsidR="007201E5">
              <w:rPr>
                <w:rFonts w:ascii="Times New Roman" w:hAnsi="Times New Roman"/>
                <w:sz w:val="20"/>
                <w:szCs w:val="20"/>
              </w:rPr>
              <w:t> ;</w:t>
            </w:r>
          </w:p>
          <w:p w:rsidR="00764FFF" w:rsidRPr="00AA45E9" w:rsidRDefault="00A12E63" w:rsidP="00764FFF">
            <w:pPr>
              <w:spacing w:after="0" w:line="240" w:lineRule="auto"/>
              <w:jc w:val="both"/>
              <w:rPr>
                <w:rFonts w:ascii="Times New Roman" w:hAnsi="Times New Roman"/>
                <w:sz w:val="20"/>
                <w:szCs w:val="20"/>
              </w:rPr>
            </w:pPr>
            <w:r>
              <w:rPr>
                <w:rFonts w:ascii="Times New Roman" w:hAnsi="Times New Roman"/>
                <w:sz w:val="20"/>
                <w:szCs w:val="20"/>
              </w:rPr>
              <w:t>-</w:t>
            </w:r>
            <w:r w:rsidR="00764FFF" w:rsidRPr="00AA45E9">
              <w:rPr>
                <w:rFonts w:ascii="Times New Roman" w:hAnsi="Times New Roman"/>
                <w:sz w:val="20"/>
                <w:szCs w:val="20"/>
              </w:rPr>
              <w:t>Quantité de déchets collectés, triés et éliminés</w:t>
            </w:r>
            <w:r w:rsidR="00B47FA0">
              <w:rPr>
                <w:rFonts w:ascii="Times New Roman" w:hAnsi="Times New Roman"/>
                <w:sz w:val="20"/>
                <w:szCs w:val="20"/>
              </w:rPr>
              <w:t> ;</w:t>
            </w:r>
          </w:p>
          <w:p w:rsidR="00764FFF" w:rsidRPr="00AA45E9" w:rsidRDefault="00764FFF" w:rsidP="00764FFF">
            <w:pPr>
              <w:spacing w:after="0" w:line="240" w:lineRule="auto"/>
              <w:jc w:val="both"/>
              <w:rPr>
                <w:rFonts w:ascii="Times New Roman" w:hAnsi="Times New Roman"/>
                <w:sz w:val="20"/>
                <w:szCs w:val="20"/>
              </w:rPr>
            </w:pPr>
            <w:r w:rsidRPr="00AA45E9">
              <w:rPr>
                <w:rFonts w:ascii="Times New Roman" w:hAnsi="Times New Roman"/>
                <w:sz w:val="20"/>
                <w:szCs w:val="20"/>
              </w:rPr>
              <w:t>-Existence d’un réseau de drainage</w:t>
            </w:r>
            <w:r w:rsidR="007201E5">
              <w:rPr>
                <w:rFonts w:ascii="Times New Roman" w:hAnsi="Times New Roman"/>
                <w:sz w:val="20"/>
                <w:szCs w:val="20"/>
              </w:rPr>
              <w:t> ;</w:t>
            </w:r>
          </w:p>
          <w:p w:rsidR="00764FFF" w:rsidRPr="00AA45E9" w:rsidRDefault="00764FFF" w:rsidP="00764FFF">
            <w:pPr>
              <w:spacing w:after="0" w:line="240" w:lineRule="auto"/>
              <w:jc w:val="both"/>
              <w:rPr>
                <w:rFonts w:ascii="Times New Roman" w:hAnsi="Times New Roman"/>
                <w:sz w:val="20"/>
                <w:szCs w:val="20"/>
              </w:rPr>
            </w:pPr>
            <w:r w:rsidRPr="00AA45E9">
              <w:rPr>
                <w:rFonts w:ascii="Times New Roman" w:hAnsi="Times New Roman"/>
                <w:sz w:val="20"/>
                <w:szCs w:val="20"/>
              </w:rPr>
              <w:t>-Quantité d’hydrocarbure stocké</w:t>
            </w:r>
            <w:r w:rsidR="007201E5">
              <w:rPr>
                <w:rFonts w:ascii="Times New Roman" w:hAnsi="Times New Roman"/>
                <w:sz w:val="20"/>
                <w:szCs w:val="20"/>
              </w:rPr>
              <w:t> ;</w:t>
            </w:r>
          </w:p>
          <w:p w:rsidR="00764FFF" w:rsidRDefault="00A12E63" w:rsidP="00764FFF">
            <w:pPr>
              <w:spacing w:after="0" w:line="240" w:lineRule="auto"/>
              <w:jc w:val="both"/>
              <w:rPr>
                <w:rFonts w:ascii="Times New Roman" w:hAnsi="Times New Roman"/>
                <w:sz w:val="20"/>
                <w:szCs w:val="20"/>
              </w:rPr>
            </w:pPr>
            <w:r>
              <w:rPr>
                <w:rFonts w:ascii="Times New Roman" w:hAnsi="Times New Roman"/>
                <w:sz w:val="20"/>
                <w:szCs w:val="20"/>
              </w:rPr>
              <w:t>-</w:t>
            </w:r>
            <w:r w:rsidR="00764FFF" w:rsidRPr="00AA45E9">
              <w:rPr>
                <w:rFonts w:ascii="Times New Roman" w:hAnsi="Times New Roman"/>
                <w:sz w:val="20"/>
                <w:szCs w:val="20"/>
              </w:rPr>
              <w:t>Protocole d’accord signé avec une entreprise et prestataires chargés de l’évacuation et du traitement</w:t>
            </w:r>
            <w:r w:rsidR="007201E5">
              <w:rPr>
                <w:rFonts w:ascii="Times New Roman" w:hAnsi="Times New Roman"/>
                <w:sz w:val="20"/>
                <w:szCs w:val="20"/>
              </w:rPr>
              <w:t> ;</w:t>
            </w:r>
          </w:p>
          <w:p w:rsidR="00764FFF" w:rsidRPr="00AA45E9" w:rsidRDefault="007201E5" w:rsidP="00764FFF">
            <w:pPr>
              <w:spacing w:after="0" w:line="240" w:lineRule="auto"/>
              <w:jc w:val="both"/>
              <w:rPr>
                <w:rFonts w:ascii="Times New Roman" w:hAnsi="Times New Roman"/>
                <w:sz w:val="20"/>
                <w:szCs w:val="20"/>
              </w:rPr>
            </w:pPr>
            <w:r>
              <w:rPr>
                <w:rFonts w:ascii="Times New Roman" w:hAnsi="Times New Roman"/>
                <w:sz w:val="20"/>
                <w:szCs w:val="20"/>
              </w:rPr>
              <w:t>-Présence des factures d’Operations effectués au niveau des stations-services ;</w:t>
            </w:r>
          </w:p>
        </w:tc>
        <w:tc>
          <w:tcPr>
            <w:tcW w:w="1240" w:type="dxa"/>
            <w:gridSpan w:val="2"/>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764FFF" w:rsidRPr="002407EF" w:rsidRDefault="007201E5" w:rsidP="007201E5">
            <w:pPr>
              <w:spacing w:after="0" w:line="240" w:lineRule="auto"/>
              <w:jc w:val="center"/>
              <w:rPr>
                <w:rFonts w:ascii="Times New Roman" w:hAnsi="Times New Roman"/>
                <w:b/>
                <w:sz w:val="20"/>
                <w:szCs w:val="20"/>
              </w:rPr>
            </w:pPr>
            <w:r w:rsidRPr="002407EF">
              <w:rPr>
                <w:rFonts w:ascii="Times New Roman" w:hAnsi="Times New Roman"/>
                <w:b/>
                <w:sz w:val="20"/>
                <w:szCs w:val="20"/>
              </w:rPr>
              <w:t>Entreprise</w:t>
            </w:r>
          </w:p>
        </w:tc>
        <w:tc>
          <w:tcPr>
            <w:tcW w:w="1276" w:type="dxa"/>
            <w:gridSpan w:val="2"/>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764FFF" w:rsidRPr="002407EF" w:rsidRDefault="00764FFF" w:rsidP="00764FFF">
            <w:pPr>
              <w:spacing w:after="0" w:line="240" w:lineRule="auto"/>
              <w:jc w:val="center"/>
              <w:rPr>
                <w:rFonts w:ascii="Times New Roman" w:hAnsi="Times New Roman"/>
                <w:b/>
                <w:sz w:val="20"/>
                <w:szCs w:val="20"/>
              </w:rPr>
            </w:pPr>
            <w:r w:rsidRPr="002407EF">
              <w:rPr>
                <w:rFonts w:ascii="Times New Roman" w:hAnsi="Times New Roman"/>
                <w:b/>
                <w:sz w:val="20"/>
                <w:szCs w:val="20"/>
              </w:rPr>
              <w:t>Comité de suivi</w:t>
            </w:r>
          </w:p>
          <w:p w:rsidR="00A8569F" w:rsidRPr="002407EF" w:rsidRDefault="00A8569F" w:rsidP="00764FFF">
            <w:pPr>
              <w:spacing w:after="0" w:line="240" w:lineRule="auto"/>
              <w:jc w:val="center"/>
              <w:rPr>
                <w:rFonts w:ascii="Times New Roman" w:hAnsi="Times New Roman"/>
                <w:b/>
                <w:sz w:val="20"/>
                <w:szCs w:val="20"/>
              </w:rPr>
            </w:pPr>
          </w:p>
          <w:p w:rsidR="007201E5" w:rsidRPr="002407EF" w:rsidRDefault="007201E5" w:rsidP="00764FFF">
            <w:pPr>
              <w:spacing w:after="0" w:line="240" w:lineRule="auto"/>
              <w:jc w:val="center"/>
              <w:rPr>
                <w:rFonts w:ascii="Times New Roman" w:hAnsi="Times New Roman"/>
                <w:b/>
                <w:sz w:val="20"/>
                <w:szCs w:val="20"/>
              </w:rPr>
            </w:pPr>
            <w:r w:rsidRPr="002407EF">
              <w:rPr>
                <w:rFonts w:ascii="Times New Roman" w:hAnsi="Times New Roman"/>
                <w:b/>
                <w:sz w:val="20"/>
                <w:szCs w:val="20"/>
              </w:rPr>
              <w:t>PUASEE-FA</w:t>
            </w:r>
          </w:p>
        </w:tc>
        <w:tc>
          <w:tcPr>
            <w:tcW w:w="1134" w:type="dxa"/>
            <w:tcBorders>
              <w:top w:val="single" w:sz="4" w:space="0" w:color="auto"/>
              <w:left w:val="single" w:sz="4" w:space="0" w:color="auto"/>
              <w:bottom w:val="single" w:sz="4" w:space="0" w:color="auto"/>
              <w:right w:val="single" w:sz="4" w:space="0" w:color="auto"/>
            </w:tcBorders>
            <w:vAlign w:val="center"/>
          </w:tcPr>
          <w:p w:rsidR="00764FFF" w:rsidRPr="00AA45E9" w:rsidRDefault="00764FFF" w:rsidP="00764FFF">
            <w:pPr>
              <w:spacing w:after="0" w:line="240" w:lineRule="auto"/>
              <w:jc w:val="center"/>
              <w:rPr>
                <w:rFonts w:ascii="Times New Roman" w:hAnsi="Times New Roman"/>
                <w:sz w:val="20"/>
                <w:szCs w:val="20"/>
              </w:rPr>
            </w:pPr>
            <w:r w:rsidRPr="00AA45E9">
              <w:rPr>
                <w:rFonts w:ascii="Times New Roman" w:hAnsi="Times New Roman"/>
                <w:sz w:val="20"/>
                <w:szCs w:val="20"/>
              </w:rPr>
              <w:t>Durant les travaux / Trimestrielle</w:t>
            </w:r>
          </w:p>
        </w:tc>
        <w:tc>
          <w:tcPr>
            <w:tcW w:w="1374"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764FFF" w:rsidRPr="00AA45E9" w:rsidRDefault="007201E5" w:rsidP="00764FFF">
            <w:pPr>
              <w:spacing w:after="0" w:line="240" w:lineRule="auto"/>
              <w:jc w:val="center"/>
              <w:rPr>
                <w:rFonts w:ascii="Times New Roman" w:hAnsi="Times New Roman"/>
                <w:b/>
                <w:sz w:val="20"/>
                <w:szCs w:val="20"/>
              </w:rPr>
            </w:pPr>
            <w:r>
              <w:rPr>
                <w:rFonts w:ascii="Times New Roman" w:hAnsi="Times New Roman"/>
                <w:b/>
                <w:sz w:val="20"/>
                <w:szCs w:val="20"/>
              </w:rPr>
              <w:t>6</w:t>
            </w:r>
            <w:r w:rsidR="00764FFF" w:rsidRPr="00AA45E9">
              <w:rPr>
                <w:rFonts w:ascii="Times New Roman" w:hAnsi="Times New Roman"/>
                <w:b/>
                <w:sz w:val="20"/>
                <w:szCs w:val="20"/>
              </w:rPr>
              <w:t> 000 000</w:t>
            </w:r>
          </w:p>
        </w:tc>
        <w:tc>
          <w:tcPr>
            <w:tcW w:w="1237" w:type="dxa"/>
            <w:gridSpan w:val="3"/>
            <w:tcBorders>
              <w:top w:val="single" w:sz="4" w:space="0" w:color="auto"/>
              <w:left w:val="single" w:sz="4" w:space="0" w:color="auto"/>
              <w:bottom w:val="single" w:sz="4" w:space="0" w:color="auto"/>
              <w:right w:val="single" w:sz="4" w:space="0" w:color="auto"/>
            </w:tcBorders>
            <w:vAlign w:val="center"/>
          </w:tcPr>
          <w:p w:rsidR="00764FFF" w:rsidRPr="00AA45E9" w:rsidRDefault="00764FFF" w:rsidP="00764FFF">
            <w:pPr>
              <w:spacing w:after="0" w:line="240" w:lineRule="auto"/>
              <w:jc w:val="center"/>
              <w:rPr>
                <w:rFonts w:ascii="Times New Roman" w:hAnsi="Times New Roman"/>
                <w:sz w:val="20"/>
                <w:szCs w:val="20"/>
              </w:rPr>
            </w:pPr>
            <w:r w:rsidRPr="00AA45E9">
              <w:rPr>
                <w:rFonts w:ascii="Times New Roman" w:hAnsi="Times New Roman"/>
                <w:sz w:val="20"/>
                <w:szCs w:val="20"/>
              </w:rPr>
              <w:t>Coût inclus dans le protocole d’accord entre le promoteur et le CRS</w:t>
            </w:r>
          </w:p>
        </w:tc>
      </w:tr>
      <w:tr w:rsidR="00764FFF" w:rsidRPr="00AA45E9" w:rsidTr="007D251E">
        <w:trPr>
          <w:trHeight w:val="1404"/>
          <w:jc w:val="center"/>
        </w:trPr>
        <w:tc>
          <w:tcPr>
            <w:tcW w:w="1127"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764FFF" w:rsidRPr="00AA45E9" w:rsidRDefault="00764FFF" w:rsidP="00764FFF">
            <w:pPr>
              <w:spacing w:after="0" w:line="240" w:lineRule="auto"/>
              <w:jc w:val="center"/>
              <w:rPr>
                <w:rFonts w:ascii="Times New Roman" w:hAnsi="Times New Roman"/>
                <w:b/>
                <w:bCs/>
                <w:sz w:val="20"/>
                <w:szCs w:val="20"/>
              </w:rPr>
            </w:pPr>
            <w:r w:rsidRPr="00AA45E9">
              <w:rPr>
                <w:rFonts w:ascii="Times New Roman" w:hAnsi="Times New Roman"/>
                <w:b/>
                <w:bCs/>
                <w:sz w:val="20"/>
                <w:szCs w:val="20"/>
              </w:rPr>
              <w:lastRenderedPageBreak/>
              <w:t>Eaux de surface</w:t>
            </w:r>
          </w:p>
          <w:p w:rsidR="00764FFF" w:rsidRPr="00AA45E9" w:rsidRDefault="00764FFF" w:rsidP="00764FFF">
            <w:pPr>
              <w:spacing w:after="0" w:line="240" w:lineRule="auto"/>
              <w:jc w:val="center"/>
              <w:rPr>
                <w:rFonts w:ascii="Times New Roman" w:hAnsi="Times New Roman"/>
                <w:b/>
                <w:bCs/>
                <w:sz w:val="20"/>
                <w:szCs w:val="20"/>
              </w:rPr>
            </w:pPr>
            <w:r w:rsidRPr="00AA45E9">
              <w:rPr>
                <w:rFonts w:ascii="Times New Roman" w:hAnsi="Times New Roman"/>
                <w:b/>
                <w:bCs/>
                <w:sz w:val="20"/>
                <w:szCs w:val="20"/>
              </w:rPr>
              <w:t>/</w:t>
            </w:r>
          </w:p>
          <w:p w:rsidR="00764FFF" w:rsidRPr="00AA45E9" w:rsidRDefault="00764FFF" w:rsidP="00764FFF">
            <w:pPr>
              <w:spacing w:after="0" w:line="240" w:lineRule="auto"/>
              <w:jc w:val="center"/>
              <w:rPr>
                <w:rFonts w:ascii="Times New Roman" w:hAnsi="Times New Roman"/>
                <w:b/>
                <w:bCs/>
                <w:sz w:val="20"/>
                <w:szCs w:val="20"/>
              </w:rPr>
            </w:pPr>
            <w:r w:rsidRPr="00AA45E9">
              <w:rPr>
                <w:rFonts w:ascii="Times New Roman" w:hAnsi="Times New Roman"/>
                <w:b/>
                <w:bCs/>
                <w:sz w:val="20"/>
                <w:szCs w:val="20"/>
              </w:rPr>
              <w:t>Eaux souterraines</w:t>
            </w:r>
          </w:p>
          <w:p w:rsidR="00764FFF" w:rsidRPr="00AA45E9" w:rsidRDefault="00764FFF" w:rsidP="00764FFF">
            <w:pPr>
              <w:spacing w:after="0" w:line="240" w:lineRule="auto"/>
              <w:jc w:val="center"/>
              <w:rPr>
                <w:rFonts w:ascii="Times New Roman" w:hAnsi="Times New Roman"/>
                <w:b/>
                <w:bCs/>
                <w:sz w:val="20"/>
                <w:szCs w:val="20"/>
              </w:rPr>
            </w:pPr>
          </w:p>
        </w:tc>
        <w:tc>
          <w:tcPr>
            <w:tcW w:w="2304" w:type="dxa"/>
            <w:gridSpan w:val="2"/>
            <w:tcBorders>
              <w:top w:val="single" w:sz="4" w:space="0" w:color="auto"/>
              <w:left w:val="single" w:sz="4" w:space="0" w:color="auto"/>
              <w:bottom w:val="single" w:sz="4" w:space="0" w:color="auto"/>
              <w:right w:val="single" w:sz="4" w:space="0" w:color="auto"/>
            </w:tcBorders>
            <w:vAlign w:val="center"/>
          </w:tcPr>
          <w:p w:rsidR="00764FFF" w:rsidRPr="002E56B3" w:rsidRDefault="00764FFF" w:rsidP="00764FFF">
            <w:pPr>
              <w:spacing w:after="0" w:line="240" w:lineRule="auto"/>
              <w:jc w:val="both"/>
              <w:rPr>
                <w:rFonts w:ascii="Times New Roman" w:hAnsi="Times New Roman"/>
                <w:sz w:val="20"/>
                <w:szCs w:val="20"/>
              </w:rPr>
            </w:pPr>
            <w:r w:rsidRPr="00AA45E9">
              <w:rPr>
                <w:rFonts w:ascii="Times New Roman" w:hAnsi="Times New Roman"/>
                <w:sz w:val="20"/>
                <w:szCs w:val="20"/>
              </w:rPr>
              <w:t xml:space="preserve">- </w:t>
            </w:r>
            <w:r w:rsidRPr="002E56B3">
              <w:rPr>
                <w:rFonts w:ascii="Times New Roman" w:hAnsi="Times New Roman"/>
                <w:sz w:val="20"/>
                <w:szCs w:val="20"/>
              </w:rPr>
              <w:t xml:space="preserve">Risque de dégradation de la qualité des eaux </w:t>
            </w:r>
            <w:r w:rsidR="002E56B3" w:rsidRPr="002E56B3">
              <w:rPr>
                <w:rFonts w:ascii="Times New Roman" w:hAnsi="Times New Roman"/>
                <w:sz w:val="20"/>
                <w:szCs w:val="20"/>
              </w:rPr>
              <w:t>de surface (</w:t>
            </w:r>
            <w:r w:rsidR="002E56B3" w:rsidRPr="002E56B3">
              <w:rPr>
                <w:rFonts w:ascii="Times New Roman" w:hAnsi="Times New Roman" w:cs="Times New Roman"/>
                <w:color w:val="000000"/>
                <w:sz w:val="20"/>
                <w:szCs w:val="20"/>
              </w:rPr>
              <w:t>peintures, chaux, eaux usées, ciment, etc.)</w:t>
            </w:r>
          </w:p>
          <w:p w:rsidR="00764FFF" w:rsidRPr="00AA45E9" w:rsidRDefault="00764FFF" w:rsidP="00764FFF">
            <w:pPr>
              <w:spacing w:after="0" w:line="240" w:lineRule="auto"/>
              <w:jc w:val="both"/>
              <w:rPr>
                <w:rFonts w:ascii="Times New Roman" w:hAnsi="Times New Roman"/>
                <w:sz w:val="20"/>
                <w:szCs w:val="20"/>
              </w:rPr>
            </w:pPr>
          </w:p>
          <w:p w:rsidR="00764FFF" w:rsidRPr="00AA45E9" w:rsidRDefault="00764FFF" w:rsidP="00764FFF">
            <w:pPr>
              <w:spacing w:after="0" w:line="240" w:lineRule="auto"/>
              <w:jc w:val="both"/>
              <w:rPr>
                <w:rFonts w:ascii="Times New Roman" w:hAnsi="Times New Roman"/>
                <w:sz w:val="20"/>
                <w:szCs w:val="20"/>
              </w:rPr>
            </w:pPr>
            <w:r w:rsidRPr="00AA45E9">
              <w:rPr>
                <w:rFonts w:ascii="Times New Roman" w:hAnsi="Times New Roman"/>
                <w:sz w:val="20"/>
                <w:szCs w:val="20"/>
              </w:rPr>
              <w:t>- Risque de pollutions des eaux de ruissellement et souterraines par des huiles, de batter</w:t>
            </w:r>
            <w:r w:rsidR="002E56B3">
              <w:rPr>
                <w:rFonts w:ascii="Times New Roman" w:hAnsi="Times New Roman"/>
                <w:sz w:val="20"/>
                <w:szCs w:val="20"/>
              </w:rPr>
              <w:t>ies mortes, des filtres à huile.</w:t>
            </w:r>
          </w:p>
          <w:p w:rsidR="00764FFF" w:rsidRPr="00AA45E9" w:rsidRDefault="00764FFF" w:rsidP="00764FFF">
            <w:pPr>
              <w:spacing w:after="0" w:line="240" w:lineRule="auto"/>
              <w:jc w:val="both"/>
              <w:rPr>
                <w:rFonts w:ascii="Times New Roman" w:hAnsi="Times New Roman"/>
                <w:sz w:val="20"/>
                <w:szCs w:val="20"/>
              </w:rPr>
            </w:pPr>
          </w:p>
        </w:tc>
        <w:tc>
          <w:tcPr>
            <w:tcW w:w="3829" w:type="dxa"/>
            <w:gridSpan w:val="2"/>
            <w:tcBorders>
              <w:top w:val="single" w:sz="4" w:space="0" w:color="auto"/>
              <w:left w:val="single" w:sz="4" w:space="0" w:color="auto"/>
              <w:bottom w:val="single" w:sz="4" w:space="0" w:color="auto"/>
              <w:right w:val="single" w:sz="4" w:space="0" w:color="auto"/>
            </w:tcBorders>
            <w:vAlign w:val="center"/>
          </w:tcPr>
          <w:p w:rsidR="00523CAF" w:rsidRPr="00AA45E9" w:rsidRDefault="00523CAF" w:rsidP="00523CAF">
            <w:pPr>
              <w:spacing w:after="0" w:line="240" w:lineRule="auto"/>
              <w:jc w:val="both"/>
              <w:rPr>
                <w:rFonts w:ascii="Times New Roman" w:hAnsi="Times New Roman"/>
                <w:sz w:val="20"/>
                <w:szCs w:val="20"/>
              </w:rPr>
            </w:pPr>
            <w:r>
              <w:rPr>
                <w:rFonts w:ascii="Times New Roman" w:hAnsi="Times New Roman"/>
                <w:sz w:val="20"/>
                <w:szCs w:val="20"/>
              </w:rPr>
              <w:t>-</w:t>
            </w:r>
            <w:r w:rsidRPr="00AA45E9">
              <w:rPr>
                <w:rFonts w:ascii="Times New Roman" w:hAnsi="Times New Roman"/>
                <w:sz w:val="20"/>
                <w:szCs w:val="20"/>
              </w:rPr>
              <w:t>Appliquer rigoureusement un Plan de gestion des déchets solides et des eaux usées</w:t>
            </w:r>
            <w:r>
              <w:rPr>
                <w:rFonts w:ascii="Times New Roman" w:hAnsi="Times New Roman"/>
                <w:sz w:val="20"/>
                <w:szCs w:val="20"/>
              </w:rPr>
              <w:t> ;</w:t>
            </w:r>
          </w:p>
          <w:p w:rsidR="00764FFF" w:rsidRPr="00AA45E9" w:rsidRDefault="00A8569F" w:rsidP="00764FFF">
            <w:pPr>
              <w:spacing w:after="0" w:line="240" w:lineRule="auto"/>
              <w:jc w:val="both"/>
              <w:rPr>
                <w:rFonts w:ascii="Times New Roman" w:hAnsi="Times New Roman"/>
                <w:sz w:val="20"/>
                <w:szCs w:val="20"/>
              </w:rPr>
            </w:pPr>
            <w:r>
              <w:rPr>
                <w:rFonts w:ascii="Times New Roman" w:hAnsi="Times New Roman"/>
                <w:sz w:val="20"/>
                <w:szCs w:val="20"/>
              </w:rPr>
              <w:t>-</w:t>
            </w:r>
            <w:r w:rsidR="00764FFF" w:rsidRPr="00AA45E9">
              <w:rPr>
                <w:rFonts w:ascii="Times New Roman" w:hAnsi="Times New Roman"/>
                <w:sz w:val="20"/>
                <w:szCs w:val="20"/>
              </w:rPr>
              <w:t>Assainir les sites de la base chantier</w:t>
            </w:r>
            <w:r w:rsidR="00523CAF">
              <w:rPr>
                <w:rFonts w:ascii="Times New Roman" w:hAnsi="Times New Roman"/>
                <w:sz w:val="20"/>
                <w:szCs w:val="20"/>
              </w:rPr>
              <w:t> ;</w:t>
            </w:r>
          </w:p>
          <w:p w:rsidR="00764FFF" w:rsidRPr="00AA45E9" w:rsidRDefault="00764FFF" w:rsidP="00764FFF">
            <w:pPr>
              <w:spacing w:after="0" w:line="240" w:lineRule="auto"/>
              <w:jc w:val="both"/>
              <w:rPr>
                <w:rFonts w:ascii="Times New Roman" w:hAnsi="Times New Roman"/>
                <w:sz w:val="20"/>
                <w:szCs w:val="20"/>
              </w:rPr>
            </w:pPr>
            <w:r w:rsidRPr="00AA45E9">
              <w:rPr>
                <w:rFonts w:ascii="Times New Roman" w:hAnsi="Times New Roman"/>
                <w:sz w:val="20"/>
                <w:szCs w:val="20"/>
              </w:rPr>
              <w:t>- Suivre de la qualité des eaux</w:t>
            </w:r>
            <w:r w:rsidR="002E56B3">
              <w:rPr>
                <w:rFonts w:ascii="Times New Roman" w:hAnsi="Times New Roman"/>
                <w:sz w:val="20"/>
                <w:szCs w:val="20"/>
              </w:rPr>
              <w:t xml:space="preserve"> de surface le plus proche des sites ;</w:t>
            </w:r>
            <w:r w:rsidR="00523CAF">
              <w:rPr>
                <w:rFonts w:ascii="Times New Roman" w:hAnsi="Times New Roman"/>
                <w:sz w:val="20"/>
                <w:szCs w:val="20"/>
              </w:rPr>
              <w:t xml:space="preserve"> </w:t>
            </w:r>
          </w:p>
          <w:p w:rsidR="00764FFF" w:rsidRPr="00AA45E9" w:rsidRDefault="00764FFF" w:rsidP="00764FFF">
            <w:pPr>
              <w:spacing w:after="0" w:line="240" w:lineRule="auto"/>
              <w:jc w:val="both"/>
              <w:rPr>
                <w:rFonts w:ascii="Times New Roman" w:hAnsi="Times New Roman"/>
                <w:sz w:val="20"/>
                <w:szCs w:val="20"/>
              </w:rPr>
            </w:pPr>
            <w:r w:rsidRPr="00AA45E9">
              <w:rPr>
                <w:rFonts w:ascii="Times New Roman" w:hAnsi="Times New Roman"/>
                <w:sz w:val="20"/>
                <w:szCs w:val="20"/>
              </w:rPr>
              <w:t>-Stocker toutes les matières polluantes (hydrocarbures, etc.) dans des bacs de rétention dans un local bien étanche</w:t>
            </w:r>
            <w:r w:rsidR="00523CAF">
              <w:rPr>
                <w:rFonts w:ascii="Times New Roman" w:hAnsi="Times New Roman"/>
                <w:sz w:val="20"/>
                <w:szCs w:val="20"/>
              </w:rPr>
              <w:t> ;</w:t>
            </w:r>
          </w:p>
          <w:p w:rsidR="00764FFF" w:rsidRPr="00AA45E9" w:rsidRDefault="00523CAF" w:rsidP="00764FFF">
            <w:pPr>
              <w:spacing w:after="0" w:line="240" w:lineRule="auto"/>
              <w:jc w:val="both"/>
              <w:rPr>
                <w:rFonts w:ascii="Times New Roman" w:hAnsi="Times New Roman"/>
                <w:sz w:val="20"/>
                <w:szCs w:val="20"/>
              </w:rPr>
            </w:pPr>
            <w:r>
              <w:rPr>
                <w:rFonts w:ascii="Times New Roman" w:hAnsi="Times New Roman"/>
                <w:sz w:val="20"/>
                <w:szCs w:val="20"/>
              </w:rPr>
              <w:t>-</w:t>
            </w:r>
            <w:r w:rsidR="00764FFF" w:rsidRPr="00AA45E9">
              <w:rPr>
                <w:rFonts w:ascii="Times New Roman" w:hAnsi="Times New Roman"/>
                <w:sz w:val="20"/>
                <w:szCs w:val="20"/>
              </w:rPr>
              <w:t>Signer un protocole d’accord   avec une entreprise et prestataires chargés de l’évacuation et du traitement</w:t>
            </w:r>
            <w:r>
              <w:rPr>
                <w:rFonts w:ascii="Times New Roman" w:hAnsi="Times New Roman"/>
                <w:sz w:val="20"/>
                <w:szCs w:val="20"/>
              </w:rPr>
              <w:t> ;</w:t>
            </w:r>
          </w:p>
          <w:p w:rsidR="00764FFF" w:rsidRPr="00AA45E9" w:rsidRDefault="00764FFF" w:rsidP="00764FFF">
            <w:pPr>
              <w:spacing w:after="0" w:line="240" w:lineRule="auto"/>
              <w:jc w:val="both"/>
              <w:rPr>
                <w:rFonts w:ascii="Times New Roman" w:hAnsi="Times New Roman"/>
                <w:sz w:val="20"/>
                <w:szCs w:val="20"/>
              </w:rPr>
            </w:pPr>
            <w:r w:rsidRPr="00AA45E9">
              <w:rPr>
                <w:rFonts w:ascii="Times New Roman" w:hAnsi="Times New Roman"/>
                <w:sz w:val="20"/>
                <w:szCs w:val="20"/>
              </w:rPr>
              <w:t>-Mettre en place un système de gestion des huiles usagées (collecte, transport et élimination)</w:t>
            </w:r>
            <w:r w:rsidR="00523CAF">
              <w:rPr>
                <w:rFonts w:ascii="Times New Roman" w:hAnsi="Times New Roman"/>
                <w:sz w:val="20"/>
                <w:szCs w:val="20"/>
              </w:rPr>
              <w:t> ;</w:t>
            </w:r>
          </w:p>
          <w:p w:rsidR="00764FFF" w:rsidRPr="00AA45E9" w:rsidRDefault="00764FFF" w:rsidP="00764FFF">
            <w:pPr>
              <w:spacing w:after="0" w:line="240" w:lineRule="auto"/>
              <w:jc w:val="both"/>
              <w:rPr>
                <w:rFonts w:ascii="Times New Roman" w:hAnsi="Times New Roman"/>
                <w:sz w:val="20"/>
                <w:szCs w:val="20"/>
              </w:rPr>
            </w:pPr>
            <w:r w:rsidRPr="00AA45E9">
              <w:rPr>
                <w:rFonts w:ascii="Times New Roman" w:hAnsi="Times New Roman"/>
                <w:sz w:val="20"/>
                <w:szCs w:val="20"/>
              </w:rPr>
              <w:t>- Aménager un drainage adéquat des eaux de ruissellements.</w:t>
            </w:r>
          </w:p>
        </w:tc>
        <w:tc>
          <w:tcPr>
            <w:tcW w:w="2835" w:type="dxa"/>
            <w:gridSpan w:val="2"/>
            <w:tcBorders>
              <w:top w:val="single" w:sz="4" w:space="0" w:color="auto"/>
              <w:left w:val="single" w:sz="4" w:space="0" w:color="auto"/>
              <w:bottom w:val="single" w:sz="4" w:space="0" w:color="auto"/>
              <w:right w:val="single" w:sz="4" w:space="0" w:color="auto"/>
            </w:tcBorders>
            <w:vAlign w:val="center"/>
          </w:tcPr>
          <w:p w:rsidR="00A8569F" w:rsidRDefault="00764FFF" w:rsidP="00764FFF">
            <w:pPr>
              <w:spacing w:after="0" w:line="240" w:lineRule="auto"/>
              <w:jc w:val="both"/>
              <w:rPr>
                <w:rFonts w:ascii="Times New Roman" w:hAnsi="Times New Roman"/>
                <w:sz w:val="20"/>
                <w:szCs w:val="20"/>
              </w:rPr>
            </w:pPr>
            <w:r w:rsidRPr="00AA45E9">
              <w:rPr>
                <w:rFonts w:ascii="Times New Roman" w:hAnsi="Times New Roman"/>
                <w:sz w:val="20"/>
                <w:szCs w:val="20"/>
              </w:rPr>
              <w:t xml:space="preserve">- </w:t>
            </w:r>
            <w:r w:rsidR="00A8569F">
              <w:rPr>
                <w:rFonts w:ascii="Times New Roman" w:hAnsi="Times New Roman"/>
                <w:sz w:val="20"/>
                <w:szCs w:val="20"/>
              </w:rPr>
              <w:t>Plan de gestion des déchets solides et liquides validés ;</w:t>
            </w:r>
          </w:p>
          <w:p w:rsidR="00A8569F" w:rsidRDefault="00A8569F" w:rsidP="00764FFF">
            <w:pPr>
              <w:spacing w:after="0" w:line="240" w:lineRule="auto"/>
              <w:jc w:val="both"/>
              <w:rPr>
                <w:rFonts w:ascii="Times New Roman" w:hAnsi="Times New Roman"/>
                <w:sz w:val="20"/>
                <w:szCs w:val="20"/>
              </w:rPr>
            </w:pPr>
            <w:r w:rsidRPr="00AA45E9">
              <w:rPr>
                <w:rFonts w:ascii="Times New Roman" w:hAnsi="Times New Roman"/>
                <w:sz w:val="20"/>
                <w:szCs w:val="20"/>
              </w:rPr>
              <w:t>-Base de chantier bien assainie ;</w:t>
            </w:r>
          </w:p>
          <w:p w:rsidR="00A8569F" w:rsidRPr="00AA45E9" w:rsidRDefault="00A8569F" w:rsidP="00A8569F">
            <w:pPr>
              <w:spacing w:after="0" w:line="240" w:lineRule="auto"/>
              <w:jc w:val="both"/>
              <w:rPr>
                <w:rFonts w:ascii="Times New Roman" w:hAnsi="Times New Roman"/>
                <w:sz w:val="20"/>
                <w:szCs w:val="20"/>
              </w:rPr>
            </w:pPr>
            <w:r w:rsidRPr="00AA45E9">
              <w:rPr>
                <w:rFonts w:ascii="Times New Roman" w:hAnsi="Times New Roman"/>
                <w:sz w:val="20"/>
                <w:szCs w:val="20"/>
              </w:rPr>
              <w:t>-Fiche d’analyse de la qualité des eaux ;</w:t>
            </w:r>
          </w:p>
          <w:p w:rsidR="00764FFF" w:rsidRPr="00AA45E9" w:rsidRDefault="00A8569F" w:rsidP="00764FFF">
            <w:pPr>
              <w:spacing w:after="0" w:line="240" w:lineRule="auto"/>
              <w:jc w:val="both"/>
              <w:rPr>
                <w:rFonts w:ascii="Times New Roman" w:hAnsi="Times New Roman"/>
                <w:sz w:val="20"/>
                <w:szCs w:val="20"/>
              </w:rPr>
            </w:pPr>
            <w:r>
              <w:rPr>
                <w:rFonts w:ascii="Times New Roman" w:hAnsi="Times New Roman"/>
                <w:sz w:val="20"/>
                <w:szCs w:val="20"/>
              </w:rPr>
              <w:t>-</w:t>
            </w:r>
            <w:r w:rsidR="00764FFF" w:rsidRPr="00AA45E9">
              <w:rPr>
                <w:rFonts w:ascii="Times New Roman" w:hAnsi="Times New Roman"/>
                <w:sz w:val="20"/>
                <w:szCs w:val="20"/>
              </w:rPr>
              <w:t>Quantité d’hydrocarbure correctement stockée</w:t>
            </w:r>
            <w:r>
              <w:rPr>
                <w:rFonts w:ascii="Times New Roman" w:hAnsi="Times New Roman"/>
                <w:sz w:val="20"/>
                <w:szCs w:val="20"/>
              </w:rPr>
              <w:t> ;</w:t>
            </w:r>
          </w:p>
          <w:p w:rsidR="00764FFF" w:rsidRPr="00AA45E9" w:rsidRDefault="00764FFF" w:rsidP="00764FFF">
            <w:pPr>
              <w:spacing w:after="0" w:line="240" w:lineRule="auto"/>
              <w:jc w:val="both"/>
              <w:rPr>
                <w:rFonts w:ascii="Times New Roman" w:hAnsi="Times New Roman"/>
                <w:sz w:val="20"/>
                <w:szCs w:val="20"/>
              </w:rPr>
            </w:pPr>
            <w:r w:rsidRPr="00AA45E9">
              <w:rPr>
                <w:rFonts w:ascii="Times New Roman" w:hAnsi="Times New Roman"/>
                <w:sz w:val="20"/>
                <w:szCs w:val="20"/>
              </w:rPr>
              <w:t>- Protocole d’accord signé avec une entreprise et prestataires chargés de l’évacuation et du traitement</w:t>
            </w:r>
            <w:r w:rsidR="00A8569F">
              <w:rPr>
                <w:rFonts w:ascii="Times New Roman" w:hAnsi="Times New Roman"/>
                <w:sz w:val="20"/>
                <w:szCs w:val="20"/>
              </w:rPr>
              <w:t> ;</w:t>
            </w:r>
          </w:p>
          <w:p w:rsidR="00764FFF" w:rsidRPr="00AA45E9" w:rsidRDefault="00A8569F" w:rsidP="00764FFF">
            <w:pPr>
              <w:spacing w:after="0" w:line="240" w:lineRule="auto"/>
              <w:jc w:val="both"/>
              <w:rPr>
                <w:rFonts w:ascii="Times New Roman" w:hAnsi="Times New Roman"/>
                <w:sz w:val="20"/>
                <w:szCs w:val="20"/>
              </w:rPr>
            </w:pPr>
            <w:r>
              <w:rPr>
                <w:rFonts w:ascii="Times New Roman" w:hAnsi="Times New Roman"/>
                <w:sz w:val="20"/>
                <w:szCs w:val="20"/>
              </w:rPr>
              <w:t>-Présence d’un système de gestion des huile</w:t>
            </w:r>
            <w:r w:rsidR="00095BA3">
              <w:rPr>
                <w:rFonts w:ascii="Times New Roman" w:hAnsi="Times New Roman"/>
                <w:sz w:val="20"/>
                <w:szCs w:val="20"/>
              </w:rPr>
              <w:t>s</w:t>
            </w:r>
            <w:r>
              <w:rPr>
                <w:rFonts w:ascii="Times New Roman" w:hAnsi="Times New Roman"/>
                <w:sz w:val="20"/>
                <w:szCs w:val="20"/>
              </w:rPr>
              <w:t xml:space="preserve"> usages dans les sites ;</w:t>
            </w:r>
          </w:p>
          <w:p w:rsidR="00764FFF" w:rsidRPr="00AA45E9" w:rsidRDefault="00A8569F" w:rsidP="00A8569F">
            <w:pPr>
              <w:spacing w:after="0" w:line="240" w:lineRule="auto"/>
              <w:jc w:val="both"/>
              <w:rPr>
                <w:rFonts w:ascii="Times New Roman" w:hAnsi="Times New Roman"/>
                <w:sz w:val="20"/>
                <w:szCs w:val="20"/>
              </w:rPr>
            </w:pPr>
            <w:r>
              <w:rPr>
                <w:rFonts w:ascii="Times New Roman" w:hAnsi="Times New Roman"/>
                <w:sz w:val="20"/>
                <w:szCs w:val="20"/>
              </w:rPr>
              <w:t>-Présence d’aménagement pour le drainage des eaux de ruissellements dans les sites ;</w:t>
            </w:r>
          </w:p>
        </w:tc>
        <w:tc>
          <w:tcPr>
            <w:tcW w:w="1240" w:type="dxa"/>
            <w:gridSpan w:val="2"/>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764FFF" w:rsidRPr="002407EF" w:rsidRDefault="00764FFF" w:rsidP="00764FFF">
            <w:pPr>
              <w:spacing w:after="0" w:line="240" w:lineRule="auto"/>
              <w:jc w:val="center"/>
              <w:rPr>
                <w:rFonts w:ascii="Times New Roman" w:hAnsi="Times New Roman"/>
                <w:b/>
                <w:sz w:val="20"/>
                <w:szCs w:val="20"/>
              </w:rPr>
            </w:pPr>
            <w:r w:rsidRPr="002407EF">
              <w:rPr>
                <w:rFonts w:ascii="Times New Roman" w:hAnsi="Times New Roman"/>
                <w:b/>
                <w:sz w:val="20"/>
                <w:szCs w:val="20"/>
              </w:rPr>
              <w:t>Entreprise</w:t>
            </w:r>
          </w:p>
          <w:p w:rsidR="00764FFF" w:rsidRPr="002407EF" w:rsidRDefault="00764FFF" w:rsidP="00764FFF">
            <w:pPr>
              <w:spacing w:after="0" w:line="240" w:lineRule="auto"/>
              <w:jc w:val="center"/>
              <w:rPr>
                <w:rFonts w:ascii="Times New Roman" w:hAnsi="Times New Roman"/>
                <w:b/>
                <w:sz w:val="20"/>
                <w:szCs w:val="20"/>
              </w:rPr>
            </w:pPr>
          </w:p>
        </w:tc>
        <w:tc>
          <w:tcPr>
            <w:tcW w:w="1276" w:type="dxa"/>
            <w:gridSpan w:val="2"/>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764FFF" w:rsidRPr="002407EF" w:rsidRDefault="00764FFF" w:rsidP="00764FFF">
            <w:pPr>
              <w:spacing w:after="0" w:line="240" w:lineRule="auto"/>
              <w:jc w:val="center"/>
              <w:rPr>
                <w:rFonts w:ascii="Times New Roman" w:hAnsi="Times New Roman"/>
                <w:b/>
                <w:sz w:val="20"/>
                <w:szCs w:val="20"/>
              </w:rPr>
            </w:pPr>
            <w:r w:rsidRPr="002407EF">
              <w:rPr>
                <w:rFonts w:ascii="Times New Roman" w:hAnsi="Times New Roman"/>
                <w:b/>
                <w:sz w:val="20"/>
                <w:szCs w:val="20"/>
              </w:rPr>
              <w:t>Comité de suivi</w:t>
            </w:r>
          </w:p>
          <w:p w:rsidR="00A8569F" w:rsidRPr="002407EF" w:rsidRDefault="00A8569F" w:rsidP="00764FFF">
            <w:pPr>
              <w:spacing w:after="0" w:line="240" w:lineRule="auto"/>
              <w:jc w:val="center"/>
              <w:rPr>
                <w:rFonts w:ascii="Times New Roman" w:hAnsi="Times New Roman"/>
                <w:b/>
                <w:sz w:val="20"/>
                <w:szCs w:val="20"/>
              </w:rPr>
            </w:pPr>
          </w:p>
          <w:p w:rsidR="00A8569F" w:rsidRPr="002407EF" w:rsidRDefault="00A8569F" w:rsidP="00764FFF">
            <w:pPr>
              <w:spacing w:after="0" w:line="240" w:lineRule="auto"/>
              <w:jc w:val="center"/>
              <w:rPr>
                <w:rFonts w:ascii="Times New Roman" w:hAnsi="Times New Roman"/>
                <w:b/>
                <w:sz w:val="20"/>
                <w:szCs w:val="20"/>
              </w:rPr>
            </w:pPr>
            <w:r w:rsidRPr="002407EF">
              <w:rPr>
                <w:rFonts w:ascii="Times New Roman" w:hAnsi="Times New Roman"/>
                <w:b/>
                <w:sz w:val="20"/>
                <w:szCs w:val="20"/>
              </w:rPr>
              <w:t>PUASEE-FA</w:t>
            </w:r>
          </w:p>
        </w:tc>
        <w:tc>
          <w:tcPr>
            <w:tcW w:w="1134" w:type="dxa"/>
            <w:tcBorders>
              <w:top w:val="single" w:sz="4" w:space="0" w:color="auto"/>
              <w:left w:val="single" w:sz="4" w:space="0" w:color="auto"/>
              <w:bottom w:val="single" w:sz="4" w:space="0" w:color="auto"/>
              <w:right w:val="single" w:sz="4" w:space="0" w:color="auto"/>
            </w:tcBorders>
            <w:vAlign w:val="center"/>
          </w:tcPr>
          <w:p w:rsidR="00764FFF" w:rsidRPr="00AA45E9" w:rsidRDefault="00764FFF" w:rsidP="00764FFF">
            <w:pPr>
              <w:spacing w:after="0" w:line="240" w:lineRule="auto"/>
              <w:jc w:val="center"/>
              <w:rPr>
                <w:rFonts w:ascii="Times New Roman" w:hAnsi="Times New Roman"/>
                <w:sz w:val="20"/>
                <w:szCs w:val="20"/>
              </w:rPr>
            </w:pPr>
            <w:r w:rsidRPr="00AA45E9">
              <w:rPr>
                <w:rFonts w:ascii="Times New Roman" w:hAnsi="Times New Roman"/>
                <w:sz w:val="20"/>
                <w:szCs w:val="20"/>
              </w:rPr>
              <w:t>Durant les travaux / mensuelle</w:t>
            </w:r>
          </w:p>
        </w:tc>
        <w:tc>
          <w:tcPr>
            <w:tcW w:w="1374"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764FFF" w:rsidRPr="00AA45E9" w:rsidRDefault="00A8569F" w:rsidP="00764FFF">
            <w:pPr>
              <w:spacing w:after="0" w:line="240" w:lineRule="auto"/>
              <w:jc w:val="center"/>
              <w:rPr>
                <w:rFonts w:ascii="Times New Roman" w:hAnsi="Times New Roman"/>
                <w:b/>
                <w:sz w:val="20"/>
                <w:szCs w:val="20"/>
              </w:rPr>
            </w:pPr>
            <w:r>
              <w:rPr>
                <w:rFonts w:ascii="Times New Roman" w:hAnsi="Times New Roman"/>
                <w:b/>
                <w:sz w:val="20"/>
                <w:szCs w:val="20"/>
              </w:rPr>
              <w:t>4</w:t>
            </w:r>
            <w:r w:rsidR="00764FFF" w:rsidRPr="00AA45E9">
              <w:rPr>
                <w:rFonts w:ascii="Times New Roman" w:hAnsi="Times New Roman"/>
                <w:b/>
                <w:sz w:val="20"/>
                <w:szCs w:val="20"/>
              </w:rPr>
              <w:t xml:space="preserve"> 000 000 </w:t>
            </w:r>
          </w:p>
        </w:tc>
        <w:tc>
          <w:tcPr>
            <w:tcW w:w="1237" w:type="dxa"/>
            <w:gridSpan w:val="3"/>
            <w:tcBorders>
              <w:top w:val="single" w:sz="4" w:space="0" w:color="auto"/>
              <w:left w:val="single" w:sz="4" w:space="0" w:color="auto"/>
              <w:bottom w:val="single" w:sz="4" w:space="0" w:color="auto"/>
              <w:right w:val="single" w:sz="4" w:space="0" w:color="auto"/>
            </w:tcBorders>
            <w:vAlign w:val="center"/>
          </w:tcPr>
          <w:p w:rsidR="00764FFF" w:rsidRPr="00AA45E9" w:rsidRDefault="00764FFF" w:rsidP="00764FFF">
            <w:pPr>
              <w:spacing w:after="0" w:line="240" w:lineRule="auto"/>
              <w:jc w:val="center"/>
              <w:rPr>
                <w:rFonts w:ascii="Times New Roman" w:hAnsi="Times New Roman"/>
                <w:sz w:val="20"/>
                <w:szCs w:val="20"/>
              </w:rPr>
            </w:pPr>
            <w:r w:rsidRPr="00AA45E9">
              <w:rPr>
                <w:rFonts w:ascii="Times New Roman" w:hAnsi="Times New Roman"/>
                <w:sz w:val="20"/>
                <w:szCs w:val="20"/>
              </w:rPr>
              <w:t>Coût inclus dans le protocole d’accord entre le promoteur et le CRS</w:t>
            </w:r>
          </w:p>
        </w:tc>
      </w:tr>
      <w:tr w:rsidR="000A0134" w:rsidRPr="00AA45E9" w:rsidTr="007D251E">
        <w:trPr>
          <w:trHeight w:val="1404"/>
          <w:jc w:val="center"/>
        </w:trPr>
        <w:tc>
          <w:tcPr>
            <w:tcW w:w="1127"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0A0134" w:rsidRPr="00AA45E9" w:rsidRDefault="001E2303" w:rsidP="001E2303">
            <w:pPr>
              <w:spacing w:after="0" w:line="240" w:lineRule="auto"/>
              <w:jc w:val="center"/>
              <w:rPr>
                <w:rFonts w:ascii="Times New Roman" w:hAnsi="Times New Roman"/>
                <w:b/>
                <w:bCs/>
                <w:sz w:val="20"/>
                <w:szCs w:val="20"/>
              </w:rPr>
            </w:pPr>
            <w:r>
              <w:rPr>
                <w:rFonts w:ascii="Times New Roman" w:hAnsi="Times New Roman"/>
                <w:b/>
                <w:sz w:val="24"/>
                <w:szCs w:val="24"/>
              </w:rPr>
              <w:t>Flore</w:t>
            </w:r>
          </w:p>
        </w:tc>
        <w:tc>
          <w:tcPr>
            <w:tcW w:w="2304" w:type="dxa"/>
            <w:gridSpan w:val="2"/>
            <w:tcBorders>
              <w:top w:val="single" w:sz="4" w:space="0" w:color="auto"/>
              <w:left w:val="single" w:sz="4" w:space="0" w:color="auto"/>
              <w:bottom w:val="single" w:sz="4" w:space="0" w:color="auto"/>
              <w:right w:val="single" w:sz="4" w:space="0" w:color="auto"/>
            </w:tcBorders>
            <w:vAlign w:val="center"/>
          </w:tcPr>
          <w:p w:rsidR="000A0134" w:rsidRDefault="000A0134" w:rsidP="000A0134">
            <w:pPr>
              <w:spacing w:after="0" w:line="240" w:lineRule="auto"/>
              <w:jc w:val="both"/>
              <w:rPr>
                <w:rFonts w:ascii="Times New Roman" w:hAnsi="Times New Roman" w:cs="Times New Roman"/>
                <w:color w:val="000000"/>
                <w:sz w:val="20"/>
                <w:szCs w:val="20"/>
              </w:rPr>
            </w:pPr>
            <w:r w:rsidRPr="00974BAA">
              <w:rPr>
                <w:rFonts w:ascii="Times New Roman" w:hAnsi="Times New Roman" w:cs="Times New Roman"/>
                <w:color w:val="000000"/>
                <w:sz w:val="20"/>
                <w:szCs w:val="20"/>
              </w:rPr>
              <w:t>Risque de destruction de la végétation herbacée au niveau de Antula.</w:t>
            </w:r>
          </w:p>
          <w:p w:rsidR="000A0134" w:rsidRDefault="000A0134" w:rsidP="000A0134">
            <w:pPr>
              <w:spacing w:after="0" w:line="240" w:lineRule="auto"/>
              <w:jc w:val="both"/>
              <w:rPr>
                <w:rFonts w:ascii="Times New Roman" w:hAnsi="Times New Roman" w:cs="Times New Roman"/>
                <w:color w:val="000000"/>
                <w:sz w:val="20"/>
                <w:szCs w:val="20"/>
              </w:rPr>
            </w:pPr>
          </w:p>
          <w:p w:rsidR="000A0134" w:rsidRPr="00974BAA" w:rsidRDefault="000A0134" w:rsidP="000A0134">
            <w:pPr>
              <w:spacing w:after="0" w:line="240" w:lineRule="auto"/>
              <w:jc w:val="both"/>
              <w:rPr>
                <w:rFonts w:ascii="Times New Roman" w:hAnsi="Times New Roman"/>
                <w:sz w:val="20"/>
                <w:szCs w:val="20"/>
              </w:rPr>
            </w:pPr>
            <w:r w:rsidRPr="00974BAA">
              <w:rPr>
                <w:rFonts w:ascii="Times New Roman" w:hAnsi="Times New Roman" w:cs="Times New Roman"/>
                <w:color w:val="000000"/>
                <w:sz w:val="20"/>
                <w:szCs w:val="20"/>
              </w:rPr>
              <w:t>Risque d’abattage de quelques pieds d’anacardiers à BOR</w:t>
            </w:r>
          </w:p>
        </w:tc>
        <w:tc>
          <w:tcPr>
            <w:tcW w:w="3829" w:type="dxa"/>
            <w:gridSpan w:val="2"/>
            <w:tcBorders>
              <w:top w:val="single" w:sz="4" w:space="0" w:color="auto"/>
              <w:left w:val="single" w:sz="4" w:space="0" w:color="auto"/>
              <w:bottom w:val="single" w:sz="4" w:space="0" w:color="auto"/>
              <w:right w:val="single" w:sz="4" w:space="0" w:color="auto"/>
            </w:tcBorders>
            <w:vAlign w:val="center"/>
          </w:tcPr>
          <w:p w:rsidR="000A0134" w:rsidRPr="00AA45E9" w:rsidRDefault="000A0134" w:rsidP="000A0134">
            <w:pPr>
              <w:spacing w:after="0" w:line="240" w:lineRule="auto"/>
              <w:jc w:val="both"/>
              <w:rPr>
                <w:rFonts w:ascii="Times New Roman" w:eastAsia="Times New Roman" w:hAnsi="Times New Roman"/>
                <w:sz w:val="20"/>
                <w:szCs w:val="20"/>
              </w:rPr>
            </w:pPr>
            <w:r w:rsidRPr="00AA45E9">
              <w:rPr>
                <w:rFonts w:ascii="Times New Roman" w:eastAsia="Times New Roman" w:hAnsi="Times New Roman"/>
                <w:sz w:val="20"/>
                <w:szCs w:val="20"/>
              </w:rPr>
              <w:t>-Nécessiter d’une demande d’autorisation spéciale auprès des Services des Eaux et Forêts</w:t>
            </w:r>
          </w:p>
          <w:p w:rsidR="000A0134" w:rsidRPr="00AA45E9" w:rsidRDefault="000A0134" w:rsidP="000A0134">
            <w:pPr>
              <w:spacing w:after="0" w:line="240" w:lineRule="auto"/>
              <w:jc w:val="both"/>
              <w:rPr>
                <w:rFonts w:ascii="Times New Roman" w:hAnsi="Times New Roman"/>
                <w:sz w:val="20"/>
                <w:szCs w:val="20"/>
              </w:rPr>
            </w:pPr>
            <w:r w:rsidRPr="00AA45E9">
              <w:rPr>
                <w:rFonts w:ascii="Times New Roman" w:hAnsi="Times New Roman"/>
                <w:sz w:val="20"/>
                <w:szCs w:val="20"/>
              </w:rPr>
              <w:t>- Etablir un protocole d’accord pour le reboisement compensatoire ;</w:t>
            </w:r>
          </w:p>
          <w:p w:rsidR="000A0134" w:rsidRDefault="000A0134" w:rsidP="000A0134">
            <w:pPr>
              <w:spacing w:after="0" w:line="240" w:lineRule="auto"/>
              <w:jc w:val="both"/>
              <w:rPr>
                <w:rFonts w:ascii="Times New Roman" w:hAnsi="Times New Roman"/>
                <w:sz w:val="20"/>
                <w:szCs w:val="20"/>
              </w:rPr>
            </w:pPr>
            <w:r w:rsidRPr="00AA45E9">
              <w:rPr>
                <w:rFonts w:ascii="Times New Roman" w:hAnsi="Times New Roman"/>
                <w:sz w:val="20"/>
                <w:szCs w:val="20"/>
              </w:rPr>
              <w:t>-</w:t>
            </w:r>
            <w:r w:rsidRPr="00AA45E9">
              <w:rPr>
                <w:rFonts w:ascii="Times New Roman" w:hAnsi="Times New Roman"/>
              </w:rPr>
              <w:t xml:space="preserve"> Mettre en œuvre le PAR</w:t>
            </w:r>
            <w:r>
              <w:rPr>
                <w:rFonts w:ascii="Times New Roman" w:hAnsi="Times New Roman"/>
              </w:rPr>
              <w:t xml:space="preserve"> au niveau de Bor pour l’indemnisation des pieds d’anacardiers.</w:t>
            </w:r>
          </w:p>
        </w:tc>
        <w:tc>
          <w:tcPr>
            <w:tcW w:w="2835" w:type="dxa"/>
            <w:gridSpan w:val="2"/>
            <w:tcBorders>
              <w:top w:val="single" w:sz="4" w:space="0" w:color="auto"/>
              <w:left w:val="single" w:sz="4" w:space="0" w:color="auto"/>
              <w:bottom w:val="single" w:sz="4" w:space="0" w:color="auto"/>
              <w:right w:val="single" w:sz="4" w:space="0" w:color="auto"/>
            </w:tcBorders>
            <w:vAlign w:val="center"/>
          </w:tcPr>
          <w:p w:rsidR="000A0134" w:rsidRDefault="000A0134" w:rsidP="000A0134">
            <w:pPr>
              <w:pStyle w:val="Listecouleur-Accent11"/>
              <w:ind w:left="0"/>
              <w:rPr>
                <w:rFonts w:ascii="Times New Roman" w:hAnsi="Times New Roman"/>
                <w:lang w:val="fr-FR"/>
              </w:rPr>
            </w:pPr>
            <w:r>
              <w:rPr>
                <w:rFonts w:ascii="Times New Roman" w:hAnsi="Times New Roman"/>
                <w:lang w:val="fr-FR"/>
              </w:rPr>
              <w:t>-Présence de l’autorisation signé</w:t>
            </w:r>
            <w:r w:rsidR="00095BA3">
              <w:rPr>
                <w:rFonts w:ascii="Times New Roman" w:hAnsi="Times New Roman"/>
                <w:lang w:val="fr-FR"/>
              </w:rPr>
              <w:t>e</w:t>
            </w:r>
            <w:r>
              <w:rPr>
                <w:rFonts w:ascii="Times New Roman" w:hAnsi="Times New Roman"/>
                <w:lang w:val="fr-FR"/>
              </w:rPr>
              <w:t> ;</w:t>
            </w:r>
          </w:p>
          <w:p w:rsidR="000A0134" w:rsidRDefault="000A0134" w:rsidP="000A0134">
            <w:pPr>
              <w:pStyle w:val="Listecouleur-Accent11"/>
              <w:ind w:left="0"/>
              <w:rPr>
                <w:rFonts w:ascii="Times New Roman" w:hAnsi="Times New Roman"/>
                <w:lang w:val="fr-FR"/>
              </w:rPr>
            </w:pPr>
            <w:r>
              <w:rPr>
                <w:rFonts w:ascii="Times New Roman" w:hAnsi="Times New Roman"/>
                <w:lang w:val="fr-FR"/>
              </w:rPr>
              <w:t>-Présence du protocole signé</w:t>
            </w:r>
            <w:r w:rsidR="005F48E5">
              <w:rPr>
                <w:rFonts w:ascii="Times New Roman" w:hAnsi="Times New Roman"/>
                <w:lang w:val="fr-FR"/>
              </w:rPr>
              <w:t> ;</w:t>
            </w:r>
          </w:p>
          <w:p w:rsidR="005F48E5" w:rsidRDefault="000A0134" w:rsidP="005F48E5">
            <w:pPr>
              <w:pStyle w:val="Listecouleur-Accent11"/>
              <w:ind w:left="0"/>
              <w:rPr>
                <w:rFonts w:ascii="Times New Roman" w:hAnsi="Times New Roman"/>
                <w:lang w:val="fr-FR"/>
              </w:rPr>
            </w:pPr>
            <w:r>
              <w:rPr>
                <w:rFonts w:ascii="Times New Roman" w:hAnsi="Times New Roman"/>
                <w:lang w:val="fr-FR"/>
              </w:rPr>
              <w:t>-</w:t>
            </w:r>
            <w:r w:rsidR="005F48E5">
              <w:rPr>
                <w:rFonts w:ascii="Times New Roman" w:hAnsi="Times New Roman"/>
                <w:lang w:val="fr-FR"/>
              </w:rPr>
              <w:t>Mise en œuvre effectif du PAR ;</w:t>
            </w:r>
          </w:p>
          <w:p w:rsidR="005F48E5" w:rsidRPr="00AA45E9" w:rsidRDefault="005F48E5" w:rsidP="005F48E5">
            <w:pPr>
              <w:pStyle w:val="Listecouleur-Accent11"/>
              <w:ind w:left="0"/>
              <w:rPr>
                <w:rFonts w:ascii="Times New Roman" w:hAnsi="Times New Roman"/>
                <w:sz w:val="20"/>
                <w:szCs w:val="20"/>
              </w:rPr>
            </w:pPr>
            <w:r>
              <w:rPr>
                <w:rFonts w:ascii="Times New Roman" w:hAnsi="Times New Roman"/>
                <w:lang w:val="fr-FR"/>
              </w:rPr>
              <w:t>-Indemnisation des PAPs effectués ;</w:t>
            </w:r>
          </w:p>
          <w:p w:rsidR="000A0134" w:rsidRPr="00AA45E9" w:rsidRDefault="000A0134" w:rsidP="000A0134">
            <w:pPr>
              <w:spacing w:after="0" w:line="240" w:lineRule="auto"/>
              <w:jc w:val="both"/>
              <w:rPr>
                <w:rFonts w:ascii="Times New Roman" w:hAnsi="Times New Roman"/>
                <w:sz w:val="20"/>
                <w:szCs w:val="20"/>
              </w:rPr>
            </w:pPr>
          </w:p>
        </w:tc>
        <w:tc>
          <w:tcPr>
            <w:tcW w:w="1240" w:type="dxa"/>
            <w:gridSpan w:val="2"/>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5F48E5" w:rsidRPr="002407EF" w:rsidRDefault="005F48E5" w:rsidP="000A0134">
            <w:pPr>
              <w:spacing w:after="0" w:line="240" w:lineRule="auto"/>
              <w:jc w:val="center"/>
              <w:rPr>
                <w:rFonts w:ascii="Times New Roman" w:hAnsi="Times New Roman"/>
                <w:b/>
                <w:sz w:val="20"/>
                <w:szCs w:val="20"/>
              </w:rPr>
            </w:pPr>
            <w:r w:rsidRPr="002407EF">
              <w:rPr>
                <w:rFonts w:ascii="Times New Roman" w:hAnsi="Times New Roman"/>
                <w:b/>
                <w:sz w:val="20"/>
                <w:szCs w:val="20"/>
              </w:rPr>
              <w:t>Entreprise</w:t>
            </w:r>
          </w:p>
          <w:p w:rsidR="005F48E5" w:rsidRPr="002407EF" w:rsidRDefault="005F48E5" w:rsidP="000A0134">
            <w:pPr>
              <w:spacing w:after="0" w:line="240" w:lineRule="auto"/>
              <w:jc w:val="center"/>
              <w:rPr>
                <w:rFonts w:ascii="Times New Roman" w:hAnsi="Times New Roman"/>
                <w:b/>
                <w:sz w:val="20"/>
                <w:szCs w:val="20"/>
              </w:rPr>
            </w:pPr>
          </w:p>
          <w:p w:rsidR="000A0134" w:rsidRPr="002407EF" w:rsidRDefault="005F48E5" w:rsidP="000A0134">
            <w:pPr>
              <w:spacing w:after="0" w:line="240" w:lineRule="auto"/>
              <w:jc w:val="center"/>
              <w:rPr>
                <w:rFonts w:ascii="Times New Roman" w:hAnsi="Times New Roman"/>
                <w:b/>
                <w:sz w:val="20"/>
                <w:szCs w:val="20"/>
              </w:rPr>
            </w:pPr>
            <w:r w:rsidRPr="002407EF">
              <w:rPr>
                <w:rFonts w:ascii="Times New Roman" w:hAnsi="Times New Roman"/>
                <w:b/>
                <w:sz w:val="20"/>
                <w:szCs w:val="20"/>
              </w:rPr>
              <w:t>PUASEE-FA</w:t>
            </w:r>
          </w:p>
        </w:tc>
        <w:tc>
          <w:tcPr>
            <w:tcW w:w="1276" w:type="dxa"/>
            <w:gridSpan w:val="2"/>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5F48E5" w:rsidRPr="002407EF" w:rsidRDefault="005F48E5" w:rsidP="005F48E5">
            <w:pPr>
              <w:spacing w:after="0" w:line="240" w:lineRule="auto"/>
              <w:jc w:val="center"/>
              <w:rPr>
                <w:rFonts w:ascii="Times New Roman" w:hAnsi="Times New Roman"/>
                <w:b/>
                <w:sz w:val="20"/>
                <w:szCs w:val="20"/>
              </w:rPr>
            </w:pPr>
            <w:r w:rsidRPr="002407EF">
              <w:rPr>
                <w:rFonts w:ascii="Times New Roman" w:hAnsi="Times New Roman"/>
                <w:b/>
                <w:sz w:val="20"/>
                <w:szCs w:val="20"/>
              </w:rPr>
              <w:t>Comité de suivi</w:t>
            </w:r>
          </w:p>
          <w:p w:rsidR="000A0134" w:rsidRPr="002407EF" w:rsidRDefault="000A0134" w:rsidP="000A0134">
            <w:pPr>
              <w:spacing w:after="0" w:line="240" w:lineRule="auto"/>
              <w:jc w:val="center"/>
              <w:rPr>
                <w:rFonts w:ascii="Times New Roman" w:hAnsi="Times New Roman"/>
                <w:b/>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rsidR="000A0134" w:rsidRPr="00AA45E9" w:rsidRDefault="005F48E5" w:rsidP="000A0134">
            <w:pPr>
              <w:spacing w:after="0" w:line="240" w:lineRule="auto"/>
              <w:jc w:val="center"/>
              <w:rPr>
                <w:rFonts w:ascii="Times New Roman" w:hAnsi="Times New Roman"/>
                <w:sz w:val="20"/>
                <w:szCs w:val="20"/>
              </w:rPr>
            </w:pPr>
            <w:r w:rsidRPr="00AA45E9">
              <w:rPr>
                <w:rFonts w:ascii="Times New Roman" w:hAnsi="Times New Roman"/>
              </w:rPr>
              <w:t>Avant les travaux</w:t>
            </w:r>
          </w:p>
        </w:tc>
        <w:tc>
          <w:tcPr>
            <w:tcW w:w="1374"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0A0134" w:rsidRDefault="001E2303" w:rsidP="0088083B">
            <w:pPr>
              <w:spacing w:after="0" w:line="240" w:lineRule="auto"/>
              <w:jc w:val="center"/>
              <w:rPr>
                <w:rFonts w:ascii="Times New Roman" w:hAnsi="Times New Roman"/>
                <w:b/>
                <w:sz w:val="20"/>
                <w:szCs w:val="20"/>
              </w:rPr>
            </w:pPr>
            <w:r w:rsidRPr="00AA45E9">
              <w:rPr>
                <w:rFonts w:ascii="Times New Roman" w:hAnsi="Times New Roman"/>
                <w:b/>
              </w:rPr>
              <w:t xml:space="preserve">Coût associé au </w:t>
            </w:r>
            <w:r w:rsidR="0088083B">
              <w:rPr>
                <w:rFonts w:ascii="Times New Roman" w:hAnsi="Times New Roman"/>
                <w:b/>
              </w:rPr>
              <w:t>PAR</w:t>
            </w:r>
          </w:p>
        </w:tc>
        <w:tc>
          <w:tcPr>
            <w:tcW w:w="1237" w:type="dxa"/>
            <w:gridSpan w:val="3"/>
            <w:tcBorders>
              <w:top w:val="single" w:sz="4" w:space="0" w:color="auto"/>
              <w:left w:val="single" w:sz="4" w:space="0" w:color="auto"/>
              <w:bottom w:val="single" w:sz="4" w:space="0" w:color="auto"/>
              <w:right w:val="single" w:sz="4" w:space="0" w:color="auto"/>
            </w:tcBorders>
            <w:vAlign w:val="center"/>
          </w:tcPr>
          <w:p w:rsidR="000A0134" w:rsidRPr="00AA45E9" w:rsidRDefault="005F48E5" w:rsidP="000A0134">
            <w:pPr>
              <w:spacing w:after="0" w:line="240" w:lineRule="auto"/>
              <w:jc w:val="center"/>
              <w:rPr>
                <w:rFonts w:ascii="Times New Roman" w:hAnsi="Times New Roman"/>
                <w:sz w:val="20"/>
                <w:szCs w:val="20"/>
              </w:rPr>
            </w:pPr>
            <w:r w:rsidRPr="00AA45E9">
              <w:rPr>
                <w:rFonts w:ascii="Times New Roman" w:hAnsi="Times New Roman"/>
                <w:sz w:val="20"/>
                <w:szCs w:val="20"/>
              </w:rPr>
              <w:t>Coût inclus dans le protocole d’accord entre le promoteur et le CRS</w:t>
            </w:r>
          </w:p>
        </w:tc>
      </w:tr>
      <w:tr w:rsidR="0088083B" w:rsidRPr="00AA45E9" w:rsidTr="007D251E">
        <w:trPr>
          <w:trHeight w:val="596"/>
          <w:jc w:val="center"/>
        </w:trPr>
        <w:tc>
          <w:tcPr>
            <w:tcW w:w="1127"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88083B" w:rsidRPr="00AA45E9" w:rsidRDefault="0088083B" w:rsidP="00E22D9A">
            <w:pPr>
              <w:spacing w:after="0" w:line="240" w:lineRule="auto"/>
              <w:jc w:val="center"/>
              <w:rPr>
                <w:rFonts w:ascii="Times New Roman" w:hAnsi="Times New Roman"/>
                <w:b/>
                <w:bCs/>
                <w:sz w:val="20"/>
                <w:szCs w:val="20"/>
              </w:rPr>
            </w:pPr>
            <w:r w:rsidRPr="00AA45E9">
              <w:rPr>
                <w:rFonts w:ascii="Times New Roman" w:hAnsi="Times New Roman"/>
                <w:b/>
                <w:bCs/>
                <w:sz w:val="20"/>
                <w:szCs w:val="20"/>
              </w:rPr>
              <w:t>Paysage</w:t>
            </w:r>
          </w:p>
        </w:tc>
        <w:tc>
          <w:tcPr>
            <w:tcW w:w="2304" w:type="dxa"/>
            <w:gridSpan w:val="2"/>
            <w:tcBorders>
              <w:top w:val="single" w:sz="4" w:space="0" w:color="auto"/>
              <w:left w:val="single" w:sz="4" w:space="0" w:color="auto"/>
              <w:bottom w:val="single" w:sz="4" w:space="0" w:color="auto"/>
              <w:right w:val="single" w:sz="4" w:space="0" w:color="auto"/>
            </w:tcBorders>
            <w:vAlign w:val="center"/>
          </w:tcPr>
          <w:p w:rsidR="0088083B" w:rsidRPr="00AA45E9" w:rsidRDefault="0088083B" w:rsidP="00E22D9A">
            <w:pPr>
              <w:spacing w:after="0" w:line="240" w:lineRule="auto"/>
              <w:jc w:val="both"/>
              <w:rPr>
                <w:rFonts w:ascii="Times New Roman" w:hAnsi="Times New Roman"/>
                <w:sz w:val="20"/>
                <w:szCs w:val="20"/>
              </w:rPr>
            </w:pPr>
            <w:r w:rsidRPr="00AA45E9">
              <w:rPr>
                <w:rFonts w:ascii="Times New Roman" w:hAnsi="Times New Roman"/>
                <w:sz w:val="20"/>
                <w:szCs w:val="20"/>
              </w:rPr>
              <w:t>Modification de l’aspect du paysage</w:t>
            </w:r>
          </w:p>
        </w:tc>
        <w:tc>
          <w:tcPr>
            <w:tcW w:w="3829" w:type="dxa"/>
            <w:gridSpan w:val="2"/>
            <w:tcBorders>
              <w:top w:val="single" w:sz="4" w:space="0" w:color="auto"/>
              <w:left w:val="single" w:sz="4" w:space="0" w:color="auto"/>
              <w:bottom w:val="single" w:sz="4" w:space="0" w:color="auto"/>
              <w:right w:val="single" w:sz="4" w:space="0" w:color="auto"/>
            </w:tcBorders>
            <w:vAlign w:val="center"/>
          </w:tcPr>
          <w:p w:rsidR="0088083B" w:rsidRPr="00AA45E9" w:rsidRDefault="0088083B" w:rsidP="00E22D9A">
            <w:pPr>
              <w:spacing w:after="0" w:line="240" w:lineRule="auto"/>
              <w:jc w:val="both"/>
              <w:rPr>
                <w:rFonts w:ascii="Times New Roman" w:hAnsi="Times New Roman"/>
                <w:sz w:val="20"/>
                <w:szCs w:val="20"/>
              </w:rPr>
            </w:pPr>
            <w:r w:rsidRPr="00AA45E9">
              <w:rPr>
                <w:rFonts w:ascii="Times New Roman" w:hAnsi="Times New Roman"/>
                <w:sz w:val="20"/>
                <w:szCs w:val="20"/>
              </w:rPr>
              <w:t>- Adopter une configuration intégrant son environnement</w:t>
            </w:r>
          </w:p>
        </w:tc>
        <w:tc>
          <w:tcPr>
            <w:tcW w:w="2835" w:type="dxa"/>
            <w:gridSpan w:val="2"/>
            <w:tcBorders>
              <w:top w:val="single" w:sz="4" w:space="0" w:color="auto"/>
              <w:left w:val="single" w:sz="4" w:space="0" w:color="auto"/>
              <w:bottom w:val="single" w:sz="4" w:space="0" w:color="auto"/>
              <w:right w:val="single" w:sz="4" w:space="0" w:color="auto"/>
            </w:tcBorders>
            <w:vAlign w:val="center"/>
          </w:tcPr>
          <w:p w:rsidR="0088083B" w:rsidRPr="00AA45E9" w:rsidRDefault="0088083B" w:rsidP="00E22D9A">
            <w:pPr>
              <w:spacing w:after="0" w:line="240" w:lineRule="auto"/>
              <w:jc w:val="both"/>
              <w:rPr>
                <w:rFonts w:ascii="Times New Roman" w:hAnsi="Times New Roman"/>
                <w:sz w:val="20"/>
                <w:szCs w:val="20"/>
              </w:rPr>
            </w:pPr>
            <w:r w:rsidRPr="00AA45E9">
              <w:rPr>
                <w:rFonts w:ascii="Times New Roman" w:hAnsi="Times New Roman"/>
                <w:sz w:val="20"/>
                <w:szCs w:val="20"/>
              </w:rPr>
              <w:t>-L’aspect du paysage correspondant au milieu</w:t>
            </w:r>
          </w:p>
        </w:tc>
        <w:tc>
          <w:tcPr>
            <w:tcW w:w="1240" w:type="dxa"/>
            <w:gridSpan w:val="2"/>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88083B" w:rsidRPr="002407EF" w:rsidRDefault="0088083B" w:rsidP="00E22D9A">
            <w:pPr>
              <w:spacing w:after="0" w:line="240" w:lineRule="auto"/>
              <w:jc w:val="center"/>
              <w:rPr>
                <w:rFonts w:ascii="Times New Roman" w:hAnsi="Times New Roman"/>
                <w:b/>
                <w:sz w:val="20"/>
                <w:szCs w:val="20"/>
              </w:rPr>
            </w:pPr>
            <w:r w:rsidRPr="002407EF">
              <w:rPr>
                <w:rFonts w:ascii="Times New Roman" w:hAnsi="Times New Roman"/>
                <w:b/>
                <w:sz w:val="20"/>
                <w:szCs w:val="20"/>
              </w:rPr>
              <w:t>Entreprise</w:t>
            </w:r>
          </w:p>
          <w:p w:rsidR="0088083B" w:rsidRPr="002407EF" w:rsidRDefault="0088083B" w:rsidP="00E22D9A">
            <w:pPr>
              <w:spacing w:after="0" w:line="240" w:lineRule="auto"/>
              <w:jc w:val="center"/>
              <w:rPr>
                <w:rFonts w:ascii="Times New Roman" w:hAnsi="Times New Roman"/>
                <w:b/>
                <w:sz w:val="20"/>
                <w:szCs w:val="20"/>
              </w:rPr>
            </w:pPr>
          </w:p>
        </w:tc>
        <w:tc>
          <w:tcPr>
            <w:tcW w:w="1276" w:type="dxa"/>
            <w:gridSpan w:val="2"/>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88083B" w:rsidRPr="002407EF" w:rsidRDefault="0088083B" w:rsidP="00E22D9A">
            <w:pPr>
              <w:pStyle w:val="Listecouleur-Accent11"/>
              <w:ind w:left="0"/>
              <w:jc w:val="center"/>
              <w:rPr>
                <w:rFonts w:ascii="Times New Roman" w:hAnsi="Times New Roman"/>
                <w:b/>
                <w:lang w:val="fr-FR"/>
              </w:rPr>
            </w:pPr>
            <w:r w:rsidRPr="002407EF">
              <w:rPr>
                <w:rFonts w:ascii="Times New Roman" w:hAnsi="Times New Roman"/>
                <w:b/>
                <w:lang w:val="fr-FR"/>
              </w:rPr>
              <w:t>Comité de suivi</w:t>
            </w:r>
          </w:p>
        </w:tc>
        <w:tc>
          <w:tcPr>
            <w:tcW w:w="1134" w:type="dxa"/>
            <w:tcBorders>
              <w:top w:val="single" w:sz="4" w:space="0" w:color="auto"/>
              <w:left w:val="single" w:sz="4" w:space="0" w:color="auto"/>
              <w:bottom w:val="single" w:sz="4" w:space="0" w:color="auto"/>
              <w:right w:val="single" w:sz="4" w:space="0" w:color="auto"/>
            </w:tcBorders>
            <w:vAlign w:val="center"/>
          </w:tcPr>
          <w:p w:rsidR="0088083B" w:rsidRPr="00AA45E9" w:rsidRDefault="0088083B" w:rsidP="00E22D9A">
            <w:pPr>
              <w:spacing w:after="0" w:line="240" w:lineRule="auto"/>
              <w:jc w:val="center"/>
              <w:rPr>
                <w:rFonts w:ascii="Times New Roman" w:hAnsi="Times New Roman"/>
                <w:sz w:val="20"/>
                <w:szCs w:val="20"/>
              </w:rPr>
            </w:pPr>
            <w:r w:rsidRPr="00AA45E9">
              <w:rPr>
                <w:rFonts w:ascii="Times New Roman" w:hAnsi="Times New Roman"/>
                <w:sz w:val="20"/>
                <w:szCs w:val="20"/>
              </w:rPr>
              <w:t>Durant les travaux / trimestrielle</w:t>
            </w:r>
          </w:p>
        </w:tc>
        <w:tc>
          <w:tcPr>
            <w:tcW w:w="1374"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88083B" w:rsidRPr="00AA45E9" w:rsidRDefault="00E10D5D" w:rsidP="00E22D9A">
            <w:pPr>
              <w:spacing w:after="0" w:line="240" w:lineRule="auto"/>
              <w:jc w:val="center"/>
              <w:rPr>
                <w:rFonts w:ascii="Times New Roman" w:hAnsi="Times New Roman"/>
                <w:b/>
                <w:sz w:val="20"/>
                <w:szCs w:val="20"/>
              </w:rPr>
            </w:pPr>
            <w:r>
              <w:rPr>
                <w:rFonts w:ascii="Times New Roman" w:hAnsi="Times New Roman"/>
                <w:b/>
                <w:sz w:val="20"/>
                <w:szCs w:val="20"/>
              </w:rPr>
              <w:t>2</w:t>
            </w:r>
            <w:r w:rsidR="0088083B">
              <w:rPr>
                <w:rFonts w:ascii="Times New Roman" w:hAnsi="Times New Roman"/>
                <w:b/>
                <w:sz w:val="20"/>
                <w:szCs w:val="20"/>
              </w:rPr>
              <w:t xml:space="preserve"> 000</w:t>
            </w:r>
            <w:r>
              <w:rPr>
                <w:rFonts w:ascii="Times New Roman" w:hAnsi="Times New Roman"/>
                <w:b/>
                <w:sz w:val="20"/>
                <w:szCs w:val="20"/>
              </w:rPr>
              <w:t> </w:t>
            </w:r>
            <w:r w:rsidR="0088083B">
              <w:rPr>
                <w:rFonts w:ascii="Times New Roman" w:hAnsi="Times New Roman"/>
                <w:b/>
                <w:sz w:val="20"/>
                <w:szCs w:val="20"/>
              </w:rPr>
              <w:t>000</w:t>
            </w:r>
            <w:r>
              <w:rPr>
                <w:rFonts w:ascii="Times New Roman" w:hAnsi="Times New Roman"/>
                <w:b/>
                <w:sz w:val="20"/>
                <w:szCs w:val="20"/>
              </w:rPr>
              <w:t>/4 sites</w:t>
            </w:r>
          </w:p>
        </w:tc>
        <w:tc>
          <w:tcPr>
            <w:tcW w:w="1237" w:type="dxa"/>
            <w:gridSpan w:val="3"/>
            <w:tcBorders>
              <w:top w:val="single" w:sz="4" w:space="0" w:color="auto"/>
              <w:left w:val="single" w:sz="4" w:space="0" w:color="auto"/>
              <w:bottom w:val="single" w:sz="4" w:space="0" w:color="auto"/>
              <w:right w:val="single" w:sz="4" w:space="0" w:color="auto"/>
            </w:tcBorders>
            <w:vAlign w:val="center"/>
          </w:tcPr>
          <w:p w:rsidR="0088083B" w:rsidRPr="00AA45E9" w:rsidRDefault="0088083B" w:rsidP="00E22D9A">
            <w:pPr>
              <w:spacing w:after="0" w:line="240" w:lineRule="auto"/>
              <w:jc w:val="center"/>
              <w:rPr>
                <w:rFonts w:ascii="Times New Roman" w:hAnsi="Times New Roman"/>
                <w:sz w:val="20"/>
                <w:szCs w:val="20"/>
              </w:rPr>
            </w:pPr>
            <w:r w:rsidRPr="00AA45E9">
              <w:rPr>
                <w:rFonts w:ascii="Times New Roman" w:hAnsi="Times New Roman"/>
                <w:sz w:val="20"/>
                <w:szCs w:val="20"/>
              </w:rPr>
              <w:t>Coût inclus dans le protocole d’accord entre le promoteur et le CRS</w:t>
            </w:r>
          </w:p>
        </w:tc>
      </w:tr>
      <w:tr w:rsidR="001E2303" w:rsidRPr="00AA45E9" w:rsidTr="007D251E">
        <w:trPr>
          <w:trHeight w:val="1295"/>
          <w:jc w:val="center"/>
        </w:trPr>
        <w:tc>
          <w:tcPr>
            <w:tcW w:w="1127"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1E2303" w:rsidRPr="0088083B" w:rsidRDefault="001E2303" w:rsidP="00E22D9A">
            <w:pPr>
              <w:spacing w:after="0" w:line="240" w:lineRule="auto"/>
              <w:jc w:val="center"/>
              <w:rPr>
                <w:rFonts w:ascii="Times New Roman" w:hAnsi="Times New Roman"/>
                <w:b/>
                <w:bCs/>
                <w:sz w:val="20"/>
                <w:szCs w:val="20"/>
              </w:rPr>
            </w:pPr>
            <w:r w:rsidRPr="0088083B">
              <w:rPr>
                <w:rFonts w:ascii="Times New Roman" w:hAnsi="Times New Roman"/>
                <w:b/>
                <w:color w:val="000000"/>
                <w:sz w:val="24"/>
                <w:szCs w:val="24"/>
              </w:rPr>
              <w:t xml:space="preserve">Personnel de chantier et les </w:t>
            </w:r>
            <w:r w:rsidRPr="0088083B">
              <w:rPr>
                <w:rFonts w:ascii="Times New Roman" w:hAnsi="Times New Roman"/>
                <w:b/>
                <w:color w:val="000000"/>
                <w:sz w:val="24"/>
                <w:szCs w:val="24"/>
              </w:rPr>
              <w:lastRenderedPageBreak/>
              <w:t>habitants</w:t>
            </w:r>
          </w:p>
        </w:tc>
        <w:tc>
          <w:tcPr>
            <w:tcW w:w="2304" w:type="dxa"/>
            <w:gridSpan w:val="2"/>
            <w:tcBorders>
              <w:top w:val="single" w:sz="4" w:space="0" w:color="auto"/>
              <w:left w:val="single" w:sz="4" w:space="0" w:color="auto"/>
              <w:bottom w:val="single" w:sz="4" w:space="0" w:color="auto"/>
              <w:right w:val="single" w:sz="4" w:space="0" w:color="auto"/>
            </w:tcBorders>
            <w:vAlign w:val="center"/>
          </w:tcPr>
          <w:p w:rsidR="001E2303" w:rsidRPr="00AA45E9" w:rsidRDefault="001E2303" w:rsidP="00E22D9A">
            <w:pPr>
              <w:spacing w:after="0" w:line="240" w:lineRule="auto"/>
              <w:jc w:val="both"/>
              <w:rPr>
                <w:rFonts w:ascii="Times New Roman" w:hAnsi="Times New Roman"/>
                <w:sz w:val="20"/>
                <w:szCs w:val="20"/>
              </w:rPr>
            </w:pPr>
            <w:r w:rsidRPr="00AA45E9">
              <w:rPr>
                <w:rFonts w:ascii="Times New Roman" w:hAnsi="Times New Roman"/>
                <w:sz w:val="20"/>
                <w:szCs w:val="20"/>
              </w:rPr>
              <w:lastRenderedPageBreak/>
              <w:t>Nuisances sonores</w:t>
            </w:r>
          </w:p>
        </w:tc>
        <w:tc>
          <w:tcPr>
            <w:tcW w:w="3829" w:type="dxa"/>
            <w:gridSpan w:val="2"/>
            <w:tcBorders>
              <w:top w:val="single" w:sz="4" w:space="0" w:color="auto"/>
              <w:left w:val="single" w:sz="4" w:space="0" w:color="auto"/>
              <w:bottom w:val="single" w:sz="4" w:space="0" w:color="auto"/>
              <w:right w:val="single" w:sz="4" w:space="0" w:color="auto"/>
            </w:tcBorders>
            <w:vAlign w:val="center"/>
          </w:tcPr>
          <w:p w:rsidR="001E2303" w:rsidRPr="003F6A55" w:rsidRDefault="003F6A55" w:rsidP="00E22D9A">
            <w:pPr>
              <w:spacing w:after="0" w:line="240" w:lineRule="auto"/>
              <w:jc w:val="both"/>
              <w:rPr>
                <w:rFonts w:ascii="Times New Roman" w:hAnsi="Times New Roman"/>
                <w:sz w:val="20"/>
                <w:szCs w:val="20"/>
              </w:rPr>
            </w:pPr>
            <w:r w:rsidRPr="003F6A55">
              <w:rPr>
                <w:rFonts w:ascii="Times New Roman" w:hAnsi="Times New Roman"/>
                <w:sz w:val="20"/>
                <w:szCs w:val="20"/>
              </w:rPr>
              <w:t>-</w:t>
            </w:r>
            <w:r w:rsidR="001E2303" w:rsidRPr="003F6A55">
              <w:rPr>
                <w:rFonts w:ascii="Times New Roman" w:hAnsi="Times New Roman"/>
                <w:sz w:val="20"/>
                <w:szCs w:val="20"/>
              </w:rPr>
              <w:t>Respecter les seuils sonores admis par rapport au chantier ;</w:t>
            </w:r>
          </w:p>
          <w:p w:rsidR="001E2303" w:rsidRPr="003F6A55" w:rsidRDefault="001E2303" w:rsidP="00E22D9A">
            <w:pPr>
              <w:spacing w:after="0" w:line="240" w:lineRule="auto"/>
              <w:jc w:val="both"/>
              <w:rPr>
                <w:rFonts w:ascii="Times New Roman" w:hAnsi="Times New Roman"/>
                <w:sz w:val="20"/>
                <w:szCs w:val="20"/>
              </w:rPr>
            </w:pPr>
            <w:r w:rsidRPr="003F6A55">
              <w:rPr>
                <w:rFonts w:ascii="Times New Roman" w:hAnsi="Times New Roman"/>
                <w:sz w:val="20"/>
                <w:szCs w:val="20"/>
              </w:rPr>
              <w:t>-Respecter les heures de travail ;</w:t>
            </w:r>
          </w:p>
          <w:p w:rsidR="001E2303" w:rsidRPr="003F6A55" w:rsidRDefault="001E2303" w:rsidP="00E22D9A">
            <w:pPr>
              <w:spacing w:after="0" w:line="240" w:lineRule="auto"/>
              <w:jc w:val="both"/>
              <w:rPr>
                <w:rFonts w:ascii="Times New Roman" w:hAnsi="Times New Roman"/>
                <w:sz w:val="20"/>
                <w:szCs w:val="20"/>
              </w:rPr>
            </w:pPr>
            <w:r w:rsidRPr="003F6A55">
              <w:rPr>
                <w:rFonts w:ascii="Times New Roman" w:hAnsi="Times New Roman"/>
                <w:sz w:val="20"/>
                <w:szCs w:val="20"/>
              </w:rPr>
              <w:t>-Limiter les émissions de bruit pendant les heures de repos des populations riveraines</w:t>
            </w:r>
            <w:r w:rsidR="003F6A55" w:rsidRPr="003F6A55">
              <w:rPr>
                <w:rFonts w:ascii="Times New Roman" w:hAnsi="Times New Roman"/>
                <w:sz w:val="20"/>
                <w:szCs w:val="20"/>
              </w:rPr>
              <w:t> ;</w:t>
            </w:r>
          </w:p>
          <w:p w:rsidR="003F6A55" w:rsidRPr="003F6A55" w:rsidRDefault="003F6A55" w:rsidP="00E22D9A">
            <w:pPr>
              <w:spacing w:after="0" w:line="240" w:lineRule="auto"/>
              <w:jc w:val="both"/>
              <w:rPr>
                <w:rFonts w:ascii="Times New Roman" w:hAnsi="Times New Roman"/>
                <w:sz w:val="20"/>
                <w:szCs w:val="20"/>
              </w:rPr>
            </w:pPr>
            <w:r w:rsidRPr="003F6A55">
              <w:rPr>
                <w:rFonts w:ascii="Times New Roman" w:hAnsi="Times New Roman"/>
                <w:sz w:val="20"/>
                <w:szCs w:val="20"/>
              </w:rPr>
              <w:lastRenderedPageBreak/>
              <w:t>-Doter aux ouvriers des casques de protection ;</w:t>
            </w:r>
          </w:p>
          <w:p w:rsidR="003F6A55" w:rsidRDefault="003F6A55" w:rsidP="00E22D9A">
            <w:pPr>
              <w:spacing w:after="0" w:line="240" w:lineRule="auto"/>
              <w:jc w:val="both"/>
              <w:rPr>
                <w:rFonts w:ascii="Times New Roman" w:hAnsi="Times New Roman"/>
                <w:sz w:val="20"/>
                <w:szCs w:val="20"/>
              </w:rPr>
            </w:pPr>
            <w:r w:rsidRPr="003F6A55">
              <w:rPr>
                <w:rFonts w:ascii="Times New Roman" w:hAnsi="Times New Roman"/>
                <w:sz w:val="20"/>
                <w:szCs w:val="20"/>
              </w:rPr>
              <w:t>-Mettre en place des panneaux d’indication des niveaux de bruit maximum ;</w:t>
            </w:r>
          </w:p>
          <w:p w:rsidR="003F6A55" w:rsidRPr="00AA45E9" w:rsidRDefault="0088083B" w:rsidP="00E22D9A">
            <w:pPr>
              <w:spacing w:after="0" w:line="240" w:lineRule="auto"/>
              <w:jc w:val="both"/>
              <w:rPr>
                <w:rFonts w:ascii="Times New Roman" w:hAnsi="Times New Roman"/>
                <w:sz w:val="20"/>
                <w:szCs w:val="20"/>
              </w:rPr>
            </w:pPr>
            <w:r>
              <w:rPr>
                <w:rFonts w:ascii="Times New Roman" w:hAnsi="Times New Roman"/>
                <w:sz w:val="20"/>
                <w:szCs w:val="20"/>
              </w:rPr>
              <w:t>-Sensibiliser les ouvriers sur les risques de nuisance sonore ;</w:t>
            </w:r>
          </w:p>
        </w:tc>
        <w:tc>
          <w:tcPr>
            <w:tcW w:w="2835" w:type="dxa"/>
            <w:gridSpan w:val="2"/>
            <w:tcBorders>
              <w:top w:val="single" w:sz="4" w:space="0" w:color="auto"/>
              <w:left w:val="single" w:sz="4" w:space="0" w:color="auto"/>
              <w:bottom w:val="single" w:sz="4" w:space="0" w:color="auto"/>
              <w:right w:val="single" w:sz="4" w:space="0" w:color="auto"/>
            </w:tcBorders>
            <w:vAlign w:val="center"/>
          </w:tcPr>
          <w:p w:rsidR="001E2303" w:rsidRDefault="003F6A55" w:rsidP="00E22D9A">
            <w:pPr>
              <w:spacing w:after="0" w:line="240" w:lineRule="auto"/>
              <w:jc w:val="both"/>
              <w:rPr>
                <w:rFonts w:ascii="Times New Roman" w:hAnsi="Times New Roman"/>
                <w:sz w:val="20"/>
                <w:szCs w:val="20"/>
              </w:rPr>
            </w:pPr>
            <w:r>
              <w:rPr>
                <w:rFonts w:ascii="Times New Roman" w:hAnsi="Times New Roman"/>
                <w:sz w:val="20"/>
                <w:szCs w:val="20"/>
              </w:rPr>
              <w:lastRenderedPageBreak/>
              <w:t>- Nombre de plaintes reçues ;</w:t>
            </w:r>
          </w:p>
          <w:p w:rsidR="003F6A55" w:rsidRDefault="003F6A55" w:rsidP="00E22D9A">
            <w:pPr>
              <w:spacing w:after="0" w:line="240" w:lineRule="auto"/>
              <w:jc w:val="both"/>
              <w:rPr>
                <w:rFonts w:ascii="Times New Roman" w:hAnsi="Times New Roman"/>
                <w:sz w:val="20"/>
                <w:szCs w:val="20"/>
              </w:rPr>
            </w:pPr>
            <w:r>
              <w:rPr>
                <w:rFonts w:ascii="Times New Roman" w:hAnsi="Times New Roman"/>
                <w:sz w:val="20"/>
                <w:szCs w:val="20"/>
              </w:rPr>
              <w:t>-Nombre d’ouvriers équipés en casque ;</w:t>
            </w:r>
          </w:p>
          <w:p w:rsidR="003F6A55" w:rsidRDefault="00095BA3" w:rsidP="00E22D9A">
            <w:pPr>
              <w:spacing w:after="0" w:line="240" w:lineRule="auto"/>
              <w:jc w:val="both"/>
              <w:rPr>
                <w:rFonts w:ascii="Times New Roman" w:hAnsi="Times New Roman"/>
                <w:sz w:val="20"/>
                <w:szCs w:val="20"/>
              </w:rPr>
            </w:pPr>
            <w:r>
              <w:rPr>
                <w:rFonts w:ascii="Times New Roman" w:hAnsi="Times New Roman"/>
                <w:sz w:val="20"/>
                <w:szCs w:val="20"/>
              </w:rPr>
              <w:t>-Présence d’un panneau</w:t>
            </w:r>
            <w:r w:rsidR="003F6A55">
              <w:rPr>
                <w:rFonts w:ascii="Times New Roman" w:hAnsi="Times New Roman"/>
                <w:sz w:val="20"/>
                <w:szCs w:val="20"/>
              </w:rPr>
              <w:t xml:space="preserve"> d’indication sur les chantiers</w:t>
            </w:r>
            <w:r w:rsidR="0088083B">
              <w:rPr>
                <w:rFonts w:ascii="Times New Roman" w:hAnsi="Times New Roman"/>
                <w:sz w:val="20"/>
                <w:szCs w:val="20"/>
              </w:rPr>
              <w:t> ;</w:t>
            </w:r>
          </w:p>
          <w:p w:rsidR="0088083B" w:rsidRDefault="0088083B" w:rsidP="00E22D9A">
            <w:pPr>
              <w:spacing w:after="0" w:line="240" w:lineRule="auto"/>
              <w:jc w:val="both"/>
              <w:rPr>
                <w:rFonts w:ascii="Times New Roman" w:hAnsi="Times New Roman"/>
                <w:sz w:val="20"/>
                <w:szCs w:val="20"/>
              </w:rPr>
            </w:pPr>
            <w:r>
              <w:rPr>
                <w:rFonts w:ascii="Times New Roman" w:hAnsi="Times New Roman"/>
                <w:sz w:val="20"/>
                <w:szCs w:val="20"/>
              </w:rPr>
              <w:lastRenderedPageBreak/>
              <w:t>-PV et le nombre d’ouvriers sensibilisés ;</w:t>
            </w:r>
          </w:p>
          <w:p w:rsidR="0088083B" w:rsidRPr="00AA45E9" w:rsidRDefault="0088083B" w:rsidP="00E22D9A">
            <w:pPr>
              <w:spacing w:after="0" w:line="240" w:lineRule="auto"/>
              <w:jc w:val="both"/>
              <w:rPr>
                <w:rFonts w:ascii="Times New Roman" w:hAnsi="Times New Roman"/>
                <w:sz w:val="20"/>
                <w:szCs w:val="20"/>
              </w:rPr>
            </w:pPr>
          </w:p>
        </w:tc>
        <w:tc>
          <w:tcPr>
            <w:tcW w:w="1240" w:type="dxa"/>
            <w:gridSpan w:val="2"/>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1E2303" w:rsidRPr="002407EF" w:rsidRDefault="001E2303" w:rsidP="00E22D9A">
            <w:pPr>
              <w:spacing w:after="0" w:line="240" w:lineRule="auto"/>
              <w:jc w:val="center"/>
              <w:rPr>
                <w:rFonts w:ascii="Times New Roman" w:hAnsi="Times New Roman"/>
                <w:b/>
                <w:sz w:val="20"/>
                <w:szCs w:val="20"/>
              </w:rPr>
            </w:pPr>
            <w:r w:rsidRPr="002407EF">
              <w:rPr>
                <w:rFonts w:ascii="Times New Roman" w:hAnsi="Times New Roman"/>
                <w:b/>
                <w:sz w:val="20"/>
                <w:szCs w:val="20"/>
              </w:rPr>
              <w:lastRenderedPageBreak/>
              <w:t>Entreprise</w:t>
            </w:r>
          </w:p>
          <w:p w:rsidR="001E2303" w:rsidRPr="002407EF" w:rsidRDefault="001E2303" w:rsidP="00E22D9A">
            <w:pPr>
              <w:spacing w:after="0" w:line="240" w:lineRule="auto"/>
              <w:jc w:val="center"/>
              <w:rPr>
                <w:rFonts w:ascii="Times New Roman" w:hAnsi="Times New Roman"/>
                <w:b/>
                <w:sz w:val="20"/>
                <w:szCs w:val="20"/>
              </w:rPr>
            </w:pPr>
          </w:p>
        </w:tc>
        <w:tc>
          <w:tcPr>
            <w:tcW w:w="1276" w:type="dxa"/>
            <w:gridSpan w:val="2"/>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1E2303" w:rsidRPr="002407EF" w:rsidRDefault="001E2303" w:rsidP="00E22D9A">
            <w:pPr>
              <w:spacing w:after="0" w:line="240" w:lineRule="auto"/>
              <w:jc w:val="center"/>
              <w:rPr>
                <w:rFonts w:ascii="Times New Roman" w:hAnsi="Times New Roman"/>
                <w:b/>
                <w:sz w:val="20"/>
                <w:szCs w:val="20"/>
              </w:rPr>
            </w:pPr>
            <w:r w:rsidRPr="002407EF">
              <w:rPr>
                <w:rFonts w:ascii="Times New Roman" w:hAnsi="Times New Roman"/>
                <w:b/>
                <w:sz w:val="20"/>
                <w:szCs w:val="20"/>
              </w:rPr>
              <w:t>Comité de suivi</w:t>
            </w:r>
          </w:p>
          <w:p w:rsidR="003F6A55" w:rsidRPr="002407EF" w:rsidRDefault="003F6A55" w:rsidP="00E22D9A">
            <w:pPr>
              <w:spacing w:after="0" w:line="240" w:lineRule="auto"/>
              <w:jc w:val="center"/>
              <w:rPr>
                <w:rFonts w:ascii="Times New Roman" w:hAnsi="Times New Roman"/>
                <w:b/>
                <w:sz w:val="20"/>
                <w:szCs w:val="20"/>
              </w:rPr>
            </w:pPr>
          </w:p>
          <w:p w:rsidR="003F6A55" w:rsidRPr="002407EF" w:rsidRDefault="003F6A55" w:rsidP="00E22D9A">
            <w:pPr>
              <w:spacing w:after="0" w:line="240" w:lineRule="auto"/>
              <w:jc w:val="center"/>
              <w:rPr>
                <w:rFonts w:ascii="Times New Roman" w:hAnsi="Times New Roman"/>
                <w:b/>
                <w:sz w:val="20"/>
                <w:szCs w:val="20"/>
              </w:rPr>
            </w:pPr>
            <w:r w:rsidRPr="002407EF">
              <w:rPr>
                <w:rFonts w:ascii="Times New Roman" w:hAnsi="Times New Roman"/>
                <w:b/>
                <w:sz w:val="20"/>
                <w:szCs w:val="20"/>
              </w:rPr>
              <w:t>PUASEE-FA</w:t>
            </w:r>
          </w:p>
        </w:tc>
        <w:tc>
          <w:tcPr>
            <w:tcW w:w="1134" w:type="dxa"/>
            <w:tcBorders>
              <w:top w:val="single" w:sz="4" w:space="0" w:color="auto"/>
              <w:left w:val="single" w:sz="4" w:space="0" w:color="auto"/>
              <w:bottom w:val="single" w:sz="4" w:space="0" w:color="auto"/>
              <w:right w:val="single" w:sz="4" w:space="0" w:color="auto"/>
            </w:tcBorders>
            <w:vAlign w:val="center"/>
          </w:tcPr>
          <w:p w:rsidR="001E2303" w:rsidRPr="00AA45E9" w:rsidRDefault="0088083B" w:rsidP="00E22D9A">
            <w:pPr>
              <w:spacing w:after="0" w:line="240" w:lineRule="auto"/>
              <w:jc w:val="center"/>
              <w:rPr>
                <w:rFonts w:ascii="Times New Roman" w:hAnsi="Times New Roman"/>
                <w:sz w:val="20"/>
                <w:szCs w:val="20"/>
              </w:rPr>
            </w:pPr>
            <w:r w:rsidRPr="00AA45E9">
              <w:rPr>
                <w:rFonts w:ascii="Times New Roman" w:hAnsi="Times New Roman"/>
                <w:sz w:val="20"/>
                <w:szCs w:val="20"/>
              </w:rPr>
              <w:t>Durant les travaux / mensuelle</w:t>
            </w:r>
          </w:p>
        </w:tc>
        <w:tc>
          <w:tcPr>
            <w:tcW w:w="1374"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1E2303" w:rsidRPr="00AA45E9" w:rsidRDefault="0088083B" w:rsidP="0088083B">
            <w:pPr>
              <w:spacing w:after="0" w:line="240" w:lineRule="auto"/>
              <w:jc w:val="center"/>
              <w:rPr>
                <w:rFonts w:ascii="Times New Roman" w:hAnsi="Times New Roman"/>
                <w:b/>
                <w:sz w:val="20"/>
                <w:szCs w:val="20"/>
              </w:rPr>
            </w:pPr>
            <w:r>
              <w:rPr>
                <w:rFonts w:ascii="Times New Roman" w:hAnsi="Times New Roman"/>
                <w:b/>
                <w:sz w:val="20"/>
                <w:szCs w:val="20"/>
              </w:rPr>
              <w:t>500 000</w:t>
            </w:r>
          </w:p>
        </w:tc>
        <w:tc>
          <w:tcPr>
            <w:tcW w:w="1237" w:type="dxa"/>
            <w:gridSpan w:val="3"/>
            <w:tcBorders>
              <w:top w:val="single" w:sz="4" w:space="0" w:color="auto"/>
              <w:left w:val="single" w:sz="4" w:space="0" w:color="auto"/>
              <w:bottom w:val="single" w:sz="4" w:space="0" w:color="auto"/>
              <w:right w:val="single" w:sz="4" w:space="0" w:color="auto"/>
            </w:tcBorders>
            <w:vAlign w:val="center"/>
          </w:tcPr>
          <w:p w:rsidR="001E2303" w:rsidRPr="00AA45E9" w:rsidRDefault="001E2303" w:rsidP="00E22D9A">
            <w:pPr>
              <w:spacing w:after="0" w:line="240" w:lineRule="auto"/>
              <w:jc w:val="center"/>
              <w:rPr>
                <w:rFonts w:ascii="Times New Roman" w:hAnsi="Times New Roman"/>
                <w:sz w:val="20"/>
                <w:szCs w:val="20"/>
              </w:rPr>
            </w:pPr>
            <w:r w:rsidRPr="00AA45E9">
              <w:rPr>
                <w:rFonts w:ascii="Times New Roman" w:hAnsi="Times New Roman"/>
                <w:sz w:val="20"/>
                <w:szCs w:val="20"/>
              </w:rPr>
              <w:t xml:space="preserve">Coût inclus dans le protocole d’accord entre le </w:t>
            </w:r>
            <w:r w:rsidRPr="00AA45E9">
              <w:rPr>
                <w:rFonts w:ascii="Times New Roman" w:hAnsi="Times New Roman"/>
                <w:sz w:val="20"/>
                <w:szCs w:val="20"/>
              </w:rPr>
              <w:lastRenderedPageBreak/>
              <w:t>promoteur et le CRS</w:t>
            </w:r>
          </w:p>
        </w:tc>
      </w:tr>
      <w:tr w:rsidR="00D74550" w:rsidRPr="00AA45E9" w:rsidTr="007D251E">
        <w:trPr>
          <w:trHeight w:val="1404"/>
          <w:jc w:val="center"/>
        </w:trPr>
        <w:tc>
          <w:tcPr>
            <w:tcW w:w="1127"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D74550" w:rsidRDefault="0042094D" w:rsidP="00D74550">
            <w:pPr>
              <w:spacing w:after="0" w:line="240" w:lineRule="auto"/>
              <w:jc w:val="center"/>
              <w:rPr>
                <w:rFonts w:ascii="Times New Roman" w:hAnsi="Times New Roman"/>
                <w:b/>
                <w:sz w:val="24"/>
                <w:szCs w:val="24"/>
              </w:rPr>
            </w:pPr>
            <w:r>
              <w:rPr>
                <w:rFonts w:ascii="Times New Roman" w:hAnsi="Times New Roman"/>
                <w:b/>
                <w:sz w:val="24"/>
                <w:szCs w:val="24"/>
              </w:rPr>
              <w:lastRenderedPageBreak/>
              <w:t xml:space="preserve">Cadre de vie </w:t>
            </w:r>
          </w:p>
        </w:tc>
        <w:tc>
          <w:tcPr>
            <w:tcW w:w="2304" w:type="dxa"/>
            <w:gridSpan w:val="2"/>
            <w:tcBorders>
              <w:top w:val="single" w:sz="4" w:space="0" w:color="auto"/>
              <w:left w:val="single" w:sz="4" w:space="0" w:color="auto"/>
              <w:bottom w:val="single" w:sz="4" w:space="0" w:color="auto"/>
              <w:right w:val="single" w:sz="4" w:space="0" w:color="auto"/>
            </w:tcBorders>
            <w:vAlign w:val="center"/>
          </w:tcPr>
          <w:p w:rsidR="00D74550" w:rsidRDefault="00D74550" w:rsidP="00D74550">
            <w:pPr>
              <w:spacing w:after="0" w:line="240" w:lineRule="auto"/>
              <w:jc w:val="both"/>
              <w:rPr>
                <w:rFonts w:ascii="Times New Roman" w:hAnsi="Times New Roman"/>
                <w:sz w:val="20"/>
                <w:szCs w:val="20"/>
              </w:rPr>
            </w:pPr>
            <w:r w:rsidRPr="00AA45E9">
              <w:rPr>
                <w:rFonts w:ascii="Times New Roman" w:hAnsi="Times New Roman"/>
                <w:sz w:val="20"/>
                <w:szCs w:val="20"/>
              </w:rPr>
              <w:t>Risque de gêner la circulation des personnes et des biens</w:t>
            </w:r>
            <w:r>
              <w:rPr>
                <w:rFonts w:ascii="Times New Roman" w:hAnsi="Times New Roman"/>
                <w:sz w:val="20"/>
                <w:szCs w:val="20"/>
              </w:rPr>
              <w:t> ;</w:t>
            </w:r>
          </w:p>
          <w:p w:rsidR="00D74550" w:rsidRDefault="00D74550" w:rsidP="00D74550">
            <w:pPr>
              <w:spacing w:after="0" w:line="240" w:lineRule="auto"/>
              <w:jc w:val="both"/>
              <w:rPr>
                <w:rFonts w:ascii="Times New Roman" w:hAnsi="Times New Roman"/>
                <w:sz w:val="20"/>
                <w:szCs w:val="20"/>
              </w:rPr>
            </w:pPr>
          </w:p>
          <w:p w:rsidR="00D74550" w:rsidRPr="00974BAA" w:rsidRDefault="00D74550" w:rsidP="00D74550">
            <w:pPr>
              <w:spacing w:after="0" w:line="240" w:lineRule="auto"/>
              <w:jc w:val="both"/>
              <w:rPr>
                <w:rFonts w:ascii="Times New Roman" w:hAnsi="Times New Roman" w:cs="Times New Roman"/>
                <w:color w:val="000000"/>
                <w:sz w:val="20"/>
                <w:szCs w:val="20"/>
              </w:rPr>
            </w:pPr>
            <w:r>
              <w:rPr>
                <w:rFonts w:ascii="Times New Roman" w:hAnsi="Times New Roman" w:cs="Times New Roman"/>
                <w:color w:val="000000"/>
                <w:sz w:val="20"/>
                <w:szCs w:val="20"/>
              </w:rPr>
              <w:t>Risque de p</w:t>
            </w:r>
            <w:r w:rsidRPr="00E10D5D">
              <w:rPr>
                <w:rFonts w:ascii="Times New Roman" w:hAnsi="Times New Roman" w:cs="Times New Roman"/>
                <w:color w:val="000000"/>
                <w:sz w:val="20"/>
                <w:szCs w:val="20"/>
              </w:rPr>
              <w:t>erturbations du trafic routier</w:t>
            </w:r>
            <w:r>
              <w:rPr>
                <w:rFonts w:ascii="Times New Roman" w:hAnsi="Times New Roman" w:cs="Times New Roman"/>
                <w:color w:val="000000"/>
                <w:sz w:val="20"/>
                <w:szCs w:val="20"/>
              </w:rPr>
              <w:t> ;</w:t>
            </w:r>
          </w:p>
        </w:tc>
        <w:tc>
          <w:tcPr>
            <w:tcW w:w="3829" w:type="dxa"/>
            <w:gridSpan w:val="2"/>
            <w:tcBorders>
              <w:top w:val="single" w:sz="4" w:space="0" w:color="auto"/>
              <w:left w:val="single" w:sz="4" w:space="0" w:color="auto"/>
              <w:bottom w:val="single" w:sz="4" w:space="0" w:color="auto"/>
              <w:right w:val="single" w:sz="4" w:space="0" w:color="auto"/>
            </w:tcBorders>
            <w:vAlign w:val="center"/>
          </w:tcPr>
          <w:p w:rsidR="00D74550" w:rsidRPr="00AA45E9" w:rsidRDefault="00D74550" w:rsidP="00D74550">
            <w:pPr>
              <w:spacing w:after="0" w:line="240" w:lineRule="auto"/>
              <w:jc w:val="both"/>
              <w:rPr>
                <w:rFonts w:ascii="Times New Roman" w:hAnsi="Times New Roman"/>
                <w:sz w:val="20"/>
                <w:szCs w:val="20"/>
              </w:rPr>
            </w:pPr>
            <w:r w:rsidRPr="00AA45E9">
              <w:rPr>
                <w:rFonts w:ascii="Times New Roman" w:hAnsi="Times New Roman"/>
                <w:sz w:val="20"/>
                <w:szCs w:val="20"/>
              </w:rPr>
              <w:t>-Bien baliser les zones d’intervention des travaux ;</w:t>
            </w:r>
          </w:p>
          <w:p w:rsidR="00D74550" w:rsidRDefault="00D74550" w:rsidP="00D74550">
            <w:pPr>
              <w:spacing w:after="0" w:line="240" w:lineRule="auto"/>
              <w:jc w:val="both"/>
              <w:rPr>
                <w:rFonts w:ascii="Times New Roman" w:hAnsi="Times New Roman"/>
                <w:sz w:val="20"/>
                <w:szCs w:val="20"/>
              </w:rPr>
            </w:pPr>
            <w:r w:rsidRPr="00AA45E9">
              <w:rPr>
                <w:rFonts w:ascii="Times New Roman" w:hAnsi="Times New Roman"/>
                <w:sz w:val="20"/>
                <w:szCs w:val="20"/>
              </w:rPr>
              <w:t>-Elaborer un plan de circulation dans les milieux denses</w:t>
            </w:r>
            <w:r>
              <w:rPr>
                <w:rFonts w:ascii="Times New Roman" w:hAnsi="Times New Roman"/>
                <w:sz w:val="20"/>
                <w:szCs w:val="20"/>
              </w:rPr>
              <w:t> ;</w:t>
            </w:r>
          </w:p>
          <w:p w:rsidR="00D74550" w:rsidRPr="00AA45E9" w:rsidRDefault="00D74550" w:rsidP="00D74550">
            <w:pPr>
              <w:spacing w:after="0" w:line="240" w:lineRule="auto"/>
              <w:jc w:val="both"/>
              <w:rPr>
                <w:rFonts w:ascii="Times New Roman" w:hAnsi="Times New Roman"/>
                <w:sz w:val="20"/>
                <w:szCs w:val="20"/>
              </w:rPr>
            </w:pPr>
            <w:r w:rsidRPr="00AA45E9">
              <w:rPr>
                <w:rFonts w:ascii="Times New Roman" w:hAnsi="Times New Roman"/>
                <w:sz w:val="20"/>
                <w:szCs w:val="20"/>
              </w:rPr>
              <w:t>-Prendre des positions pour permettre la mobilité des usagers</w:t>
            </w:r>
            <w:r>
              <w:rPr>
                <w:rFonts w:ascii="Times New Roman" w:hAnsi="Times New Roman"/>
                <w:sz w:val="20"/>
                <w:szCs w:val="20"/>
              </w:rPr>
              <w:t> :</w:t>
            </w:r>
          </w:p>
          <w:p w:rsidR="00D74550" w:rsidRDefault="00D74550" w:rsidP="00D74550">
            <w:pPr>
              <w:spacing w:after="0" w:line="240" w:lineRule="auto"/>
              <w:jc w:val="both"/>
              <w:rPr>
                <w:rFonts w:ascii="Times New Roman" w:hAnsi="Times New Roman"/>
                <w:sz w:val="20"/>
                <w:szCs w:val="20"/>
              </w:rPr>
            </w:pPr>
            <w:r>
              <w:rPr>
                <w:rFonts w:ascii="Times New Roman" w:hAnsi="Times New Roman"/>
                <w:sz w:val="20"/>
                <w:szCs w:val="20"/>
              </w:rPr>
              <w:t>-Approvisionner les chantiers en matériaux pendant que la circulation est fluide si possible ;</w:t>
            </w:r>
          </w:p>
          <w:p w:rsidR="00D74550" w:rsidRDefault="00D74550" w:rsidP="00D74550">
            <w:pPr>
              <w:spacing w:after="0" w:line="240" w:lineRule="auto"/>
              <w:jc w:val="both"/>
              <w:rPr>
                <w:rFonts w:ascii="Times New Roman" w:hAnsi="Times New Roman"/>
                <w:sz w:val="20"/>
                <w:szCs w:val="20"/>
              </w:rPr>
            </w:pPr>
            <w:r>
              <w:rPr>
                <w:rFonts w:ascii="Times New Roman" w:hAnsi="Times New Roman"/>
                <w:sz w:val="20"/>
                <w:szCs w:val="20"/>
              </w:rPr>
              <w:t>-</w:t>
            </w:r>
            <w:r w:rsidRPr="00AA45E9">
              <w:rPr>
                <w:rFonts w:ascii="Times New Roman" w:hAnsi="Times New Roman"/>
                <w:sz w:val="20"/>
                <w:szCs w:val="20"/>
              </w:rPr>
              <w:t>Eviter le stationnement prolongé des camions au bord des voies d’accès</w:t>
            </w:r>
            <w:r>
              <w:rPr>
                <w:rFonts w:ascii="Times New Roman" w:hAnsi="Times New Roman"/>
                <w:sz w:val="20"/>
                <w:szCs w:val="20"/>
              </w:rPr>
              <w:t> ;</w:t>
            </w:r>
          </w:p>
          <w:p w:rsidR="00D74550" w:rsidRDefault="00D74550" w:rsidP="00D74550">
            <w:pPr>
              <w:spacing w:after="0" w:line="240" w:lineRule="auto"/>
              <w:jc w:val="both"/>
              <w:rPr>
                <w:rFonts w:ascii="Times New Roman" w:hAnsi="Times New Roman"/>
                <w:sz w:val="20"/>
                <w:szCs w:val="20"/>
              </w:rPr>
            </w:pPr>
            <w:r w:rsidRPr="00AA45E9">
              <w:rPr>
                <w:rFonts w:ascii="Times New Roman" w:hAnsi="Times New Roman"/>
                <w:sz w:val="20"/>
                <w:szCs w:val="20"/>
              </w:rPr>
              <w:t>-Informer et sensibiliser les</w:t>
            </w:r>
            <w:r>
              <w:rPr>
                <w:rFonts w:ascii="Times New Roman" w:hAnsi="Times New Roman"/>
                <w:sz w:val="20"/>
                <w:szCs w:val="20"/>
              </w:rPr>
              <w:t xml:space="preserve"> habitants et les</w:t>
            </w:r>
            <w:r w:rsidRPr="00AA45E9">
              <w:rPr>
                <w:rFonts w:ascii="Times New Roman" w:hAnsi="Times New Roman"/>
                <w:sz w:val="20"/>
                <w:szCs w:val="20"/>
              </w:rPr>
              <w:t xml:space="preserve"> commerçants </w:t>
            </w:r>
            <w:r>
              <w:rPr>
                <w:rFonts w:ascii="Times New Roman" w:hAnsi="Times New Roman"/>
                <w:sz w:val="20"/>
                <w:szCs w:val="20"/>
              </w:rPr>
              <w:t xml:space="preserve">se trouvant à côté des bases de chantier </w:t>
            </w:r>
            <w:r w:rsidRPr="00AA45E9">
              <w:rPr>
                <w:rFonts w:ascii="Times New Roman" w:hAnsi="Times New Roman"/>
                <w:sz w:val="20"/>
                <w:szCs w:val="20"/>
              </w:rPr>
              <w:t>sur la nature et la durée de travaux</w:t>
            </w:r>
            <w:r>
              <w:rPr>
                <w:rFonts w:ascii="Times New Roman" w:hAnsi="Times New Roman"/>
                <w:sz w:val="20"/>
                <w:szCs w:val="20"/>
              </w:rPr>
              <w:t> ;</w:t>
            </w:r>
          </w:p>
          <w:p w:rsidR="00D74550" w:rsidRPr="00E64FA3" w:rsidRDefault="00CB6090" w:rsidP="00D74550">
            <w:pPr>
              <w:spacing w:after="0" w:line="240" w:lineRule="auto"/>
              <w:jc w:val="both"/>
              <w:rPr>
                <w:rFonts w:ascii="Times New Roman" w:hAnsi="Times New Roman"/>
                <w:sz w:val="20"/>
                <w:szCs w:val="20"/>
              </w:rPr>
            </w:pPr>
            <w:r w:rsidRPr="00AA45E9">
              <w:rPr>
                <w:rFonts w:ascii="Times New Roman" w:hAnsi="Times New Roman"/>
                <w:sz w:val="20"/>
                <w:szCs w:val="20"/>
              </w:rPr>
              <w:t xml:space="preserve">- Régulariser la circulation par l’installation des panneaux de circulation dans les </w:t>
            </w:r>
            <w:r w:rsidR="00804F29">
              <w:rPr>
                <w:rFonts w:ascii="Times New Roman" w:hAnsi="Times New Roman"/>
                <w:sz w:val="20"/>
                <w:szCs w:val="20"/>
              </w:rPr>
              <w:t>zones d’intervention du projet ;</w:t>
            </w:r>
          </w:p>
        </w:tc>
        <w:tc>
          <w:tcPr>
            <w:tcW w:w="2835" w:type="dxa"/>
            <w:gridSpan w:val="2"/>
            <w:tcBorders>
              <w:top w:val="single" w:sz="4" w:space="0" w:color="auto"/>
              <w:left w:val="single" w:sz="4" w:space="0" w:color="auto"/>
              <w:bottom w:val="single" w:sz="4" w:space="0" w:color="auto"/>
              <w:right w:val="single" w:sz="4" w:space="0" w:color="auto"/>
            </w:tcBorders>
            <w:vAlign w:val="center"/>
          </w:tcPr>
          <w:p w:rsidR="00D74550" w:rsidRDefault="00D74550" w:rsidP="00D74550">
            <w:pPr>
              <w:pStyle w:val="Listecouleur-Accent11"/>
              <w:ind w:left="0"/>
              <w:rPr>
                <w:rFonts w:ascii="Times New Roman" w:hAnsi="Times New Roman"/>
                <w:sz w:val="20"/>
                <w:szCs w:val="20"/>
                <w:lang w:val="fr-FR"/>
              </w:rPr>
            </w:pPr>
            <w:r w:rsidRPr="00AA45E9">
              <w:rPr>
                <w:rFonts w:ascii="Times New Roman" w:hAnsi="Times New Roman"/>
                <w:sz w:val="20"/>
                <w:szCs w:val="20"/>
              </w:rPr>
              <w:t>-Présence d’un plan de circulation</w:t>
            </w:r>
            <w:r>
              <w:rPr>
                <w:rFonts w:ascii="Times New Roman" w:hAnsi="Times New Roman"/>
                <w:sz w:val="20"/>
                <w:szCs w:val="20"/>
                <w:lang w:val="fr-FR"/>
              </w:rPr>
              <w:t xml:space="preserve"> validé ;</w:t>
            </w:r>
          </w:p>
          <w:p w:rsidR="00D74550" w:rsidRDefault="00D74550" w:rsidP="00D74550">
            <w:pPr>
              <w:pStyle w:val="Listecouleur-Accent11"/>
              <w:ind w:left="0"/>
              <w:rPr>
                <w:rFonts w:ascii="Times New Roman" w:hAnsi="Times New Roman"/>
                <w:sz w:val="20"/>
                <w:szCs w:val="20"/>
                <w:lang w:val="fr-FR"/>
              </w:rPr>
            </w:pPr>
            <w:r>
              <w:rPr>
                <w:rFonts w:ascii="Times New Roman" w:hAnsi="Times New Roman"/>
                <w:sz w:val="20"/>
                <w:szCs w:val="20"/>
                <w:lang w:val="fr-FR"/>
              </w:rPr>
              <w:t>-Zone d’intervention balisée ;</w:t>
            </w:r>
          </w:p>
          <w:p w:rsidR="00D74550" w:rsidRDefault="00D74550" w:rsidP="00D74550">
            <w:pPr>
              <w:pStyle w:val="Listecouleur-Accent11"/>
              <w:ind w:left="0"/>
              <w:rPr>
                <w:rFonts w:ascii="Times New Roman" w:hAnsi="Times New Roman"/>
                <w:sz w:val="20"/>
                <w:szCs w:val="20"/>
                <w:lang w:val="fr-FR"/>
              </w:rPr>
            </w:pPr>
            <w:r>
              <w:rPr>
                <w:rFonts w:ascii="Times New Roman" w:hAnsi="Times New Roman"/>
                <w:sz w:val="20"/>
                <w:szCs w:val="20"/>
                <w:lang w:val="fr-FR"/>
              </w:rPr>
              <w:t>-Nombre d’habitants et de commerçants informés et sensibilisés ;</w:t>
            </w:r>
          </w:p>
          <w:p w:rsidR="00CB6090" w:rsidRPr="00E10D5D" w:rsidRDefault="00CB6090" w:rsidP="00D74550">
            <w:pPr>
              <w:pStyle w:val="Listecouleur-Accent11"/>
              <w:ind w:left="0"/>
              <w:rPr>
                <w:rFonts w:ascii="Times New Roman" w:hAnsi="Times New Roman"/>
                <w:lang w:val="fr-FR"/>
              </w:rPr>
            </w:pPr>
            <w:r>
              <w:rPr>
                <w:rFonts w:ascii="Times New Roman" w:hAnsi="Times New Roman"/>
                <w:sz w:val="20"/>
                <w:szCs w:val="20"/>
                <w:lang w:val="fr-FR"/>
              </w:rPr>
              <w:t>-Présence des panneaux de circulation dans les zones intervention ;</w:t>
            </w:r>
          </w:p>
        </w:tc>
        <w:tc>
          <w:tcPr>
            <w:tcW w:w="1240" w:type="dxa"/>
            <w:gridSpan w:val="2"/>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D74550" w:rsidRPr="002407EF" w:rsidRDefault="00D74550" w:rsidP="00D74550">
            <w:pPr>
              <w:spacing w:after="0" w:line="240" w:lineRule="auto"/>
              <w:jc w:val="center"/>
              <w:rPr>
                <w:rFonts w:ascii="Times New Roman" w:hAnsi="Times New Roman"/>
                <w:b/>
                <w:sz w:val="20"/>
                <w:szCs w:val="20"/>
              </w:rPr>
            </w:pPr>
            <w:r w:rsidRPr="002407EF">
              <w:rPr>
                <w:rFonts w:ascii="Times New Roman" w:hAnsi="Times New Roman"/>
                <w:b/>
                <w:sz w:val="20"/>
                <w:szCs w:val="20"/>
              </w:rPr>
              <w:t>Entreprise</w:t>
            </w:r>
          </w:p>
          <w:p w:rsidR="00D74550" w:rsidRPr="002407EF" w:rsidRDefault="00D74550" w:rsidP="00D74550">
            <w:pPr>
              <w:spacing w:after="0" w:line="240" w:lineRule="auto"/>
              <w:jc w:val="center"/>
              <w:rPr>
                <w:rFonts w:ascii="Times New Roman" w:hAnsi="Times New Roman"/>
                <w:b/>
                <w:sz w:val="20"/>
                <w:szCs w:val="20"/>
              </w:rPr>
            </w:pPr>
          </w:p>
        </w:tc>
        <w:tc>
          <w:tcPr>
            <w:tcW w:w="1276" w:type="dxa"/>
            <w:gridSpan w:val="2"/>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D74550" w:rsidRPr="002407EF" w:rsidRDefault="00D74550" w:rsidP="00D74550">
            <w:pPr>
              <w:spacing w:after="0" w:line="240" w:lineRule="auto"/>
              <w:jc w:val="center"/>
              <w:rPr>
                <w:rFonts w:ascii="Times New Roman" w:hAnsi="Times New Roman"/>
                <w:b/>
                <w:sz w:val="20"/>
                <w:szCs w:val="20"/>
              </w:rPr>
            </w:pPr>
            <w:r w:rsidRPr="002407EF">
              <w:rPr>
                <w:rFonts w:ascii="Times New Roman" w:hAnsi="Times New Roman"/>
                <w:b/>
                <w:sz w:val="20"/>
                <w:szCs w:val="20"/>
              </w:rPr>
              <w:t>Comité de suivi</w:t>
            </w:r>
          </w:p>
          <w:p w:rsidR="00D74550" w:rsidRPr="002407EF" w:rsidRDefault="00D74550" w:rsidP="00D74550">
            <w:pPr>
              <w:spacing w:after="0" w:line="240" w:lineRule="auto"/>
              <w:jc w:val="center"/>
              <w:rPr>
                <w:rFonts w:ascii="Times New Roman" w:hAnsi="Times New Roman"/>
                <w:b/>
                <w:sz w:val="20"/>
                <w:szCs w:val="20"/>
              </w:rPr>
            </w:pPr>
          </w:p>
          <w:p w:rsidR="00D74550" w:rsidRPr="002407EF" w:rsidRDefault="00D74550" w:rsidP="00D74550">
            <w:pPr>
              <w:spacing w:after="0" w:line="240" w:lineRule="auto"/>
              <w:jc w:val="center"/>
              <w:rPr>
                <w:rFonts w:ascii="Times New Roman" w:hAnsi="Times New Roman"/>
                <w:b/>
                <w:sz w:val="20"/>
                <w:szCs w:val="20"/>
              </w:rPr>
            </w:pPr>
            <w:r w:rsidRPr="002407EF">
              <w:rPr>
                <w:rFonts w:ascii="Times New Roman" w:hAnsi="Times New Roman"/>
                <w:b/>
                <w:sz w:val="20"/>
                <w:szCs w:val="20"/>
              </w:rPr>
              <w:t>PUASEE-FA</w:t>
            </w:r>
          </w:p>
        </w:tc>
        <w:tc>
          <w:tcPr>
            <w:tcW w:w="1134" w:type="dxa"/>
            <w:tcBorders>
              <w:top w:val="single" w:sz="4" w:space="0" w:color="auto"/>
              <w:left w:val="single" w:sz="4" w:space="0" w:color="auto"/>
              <w:bottom w:val="single" w:sz="4" w:space="0" w:color="auto"/>
              <w:right w:val="single" w:sz="4" w:space="0" w:color="auto"/>
            </w:tcBorders>
            <w:vAlign w:val="center"/>
          </w:tcPr>
          <w:p w:rsidR="00D74550" w:rsidRPr="00AA45E9" w:rsidRDefault="00D74550" w:rsidP="00D74550">
            <w:pPr>
              <w:spacing w:after="0" w:line="240" w:lineRule="auto"/>
              <w:jc w:val="center"/>
              <w:rPr>
                <w:rFonts w:ascii="Times New Roman" w:hAnsi="Times New Roman"/>
                <w:sz w:val="20"/>
                <w:szCs w:val="20"/>
              </w:rPr>
            </w:pPr>
            <w:r w:rsidRPr="00AA45E9">
              <w:rPr>
                <w:rFonts w:ascii="Times New Roman" w:hAnsi="Times New Roman"/>
                <w:sz w:val="20"/>
                <w:szCs w:val="20"/>
              </w:rPr>
              <w:t>Au début et en continu</w:t>
            </w:r>
          </w:p>
          <w:p w:rsidR="00D74550" w:rsidRPr="00AA45E9" w:rsidRDefault="00D74550" w:rsidP="00D74550">
            <w:pPr>
              <w:spacing w:after="0" w:line="240" w:lineRule="auto"/>
              <w:jc w:val="center"/>
              <w:rPr>
                <w:rFonts w:ascii="Times New Roman" w:hAnsi="Times New Roman"/>
              </w:rPr>
            </w:pPr>
          </w:p>
        </w:tc>
        <w:tc>
          <w:tcPr>
            <w:tcW w:w="1374"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D74550" w:rsidRPr="00AA45E9" w:rsidRDefault="00D74550" w:rsidP="00D74550">
            <w:pPr>
              <w:spacing w:after="0" w:line="240" w:lineRule="auto"/>
              <w:jc w:val="center"/>
              <w:rPr>
                <w:rFonts w:ascii="Times New Roman" w:hAnsi="Times New Roman"/>
                <w:b/>
              </w:rPr>
            </w:pPr>
            <w:r w:rsidRPr="00AA45E9">
              <w:rPr>
                <w:rFonts w:ascii="Times New Roman" w:hAnsi="Times New Roman"/>
                <w:b/>
                <w:sz w:val="20"/>
                <w:szCs w:val="20"/>
              </w:rPr>
              <w:t>2 000 000</w:t>
            </w:r>
          </w:p>
        </w:tc>
        <w:tc>
          <w:tcPr>
            <w:tcW w:w="1237" w:type="dxa"/>
            <w:gridSpan w:val="3"/>
            <w:tcBorders>
              <w:top w:val="single" w:sz="4" w:space="0" w:color="auto"/>
              <w:left w:val="single" w:sz="4" w:space="0" w:color="auto"/>
              <w:bottom w:val="single" w:sz="4" w:space="0" w:color="auto"/>
              <w:right w:val="single" w:sz="4" w:space="0" w:color="auto"/>
            </w:tcBorders>
            <w:vAlign w:val="center"/>
          </w:tcPr>
          <w:p w:rsidR="00D74550" w:rsidRPr="00AA45E9" w:rsidRDefault="00D74550" w:rsidP="00D74550">
            <w:pPr>
              <w:spacing w:after="0" w:line="240" w:lineRule="auto"/>
              <w:jc w:val="center"/>
              <w:rPr>
                <w:rFonts w:ascii="Times New Roman" w:hAnsi="Times New Roman"/>
                <w:sz w:val="20"/>
                <w:szCs w:val="20"/>
              </w:rPr>
            </w:pPr>
            <w:r w:rsidRPr="00AA45E9">
              <w:rPr>
                <w:rFonts w:ascii="Times New Roman" w:hAnsi="Times New Roman"/>
                <w:sz w:val="20"/>
                <w:szCs w:val="20"/>
              </w:rPr>
              <w:t>Coût inclus dans le protocole d’accord entre le promoteur et le CRS</w:t>
            </w:r>
          </w:p>
        </w:tc>
      </w:tr>
      <w:tr w:rsidR="00764FFF" w:rsidRPr="00AA45E9" w:rsidTr="007D251E">
        <w:trPr>
          <w:trHeight w:val="526"/>
          <w:jc w:val="center"/>
        </w:trPr>
        <w:tc>
          <w:tcPr>
            <w:tcW w:w="1127"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764FFF" w:rsidRPr="00AA45E9" w:rsidRDefault="0042094D" w:rsidP="00764FFF">
            <w:pPr>
              <w:spacing w:after="0" w:line="240" w:lineRule="auto"/>
              <w:jc w:val="center"/>
              <w:rPr>
                <w:rFonts w:ascii="Times New Roman" w:hAnsi="Times New Roman"/>
                <w:b/>
                <w:bCs/>
                <w:sz w:val="20"/>
                <w:szCs w:val="20"/>
              </w:rPr>
            </w:pPr>
            <w:r>
              <w:rPr>
                <w:rFonts w:ascii="Times New Roman" w:hAnsi="Times New Roman"/>
                <w:b/>
                <w:bCs/>
                <w:sz w:val="20"/>
                <w:szCs w:val="20"/>
              </w:rPr>
              <w:t>Santé</w:t>
            </w:r>
          </w:p>
        </w:tc>
        <w:tc>
          <w:tcPr>
            <w:tcW w:w="2304" w:type="dxa"/>
            <w:gridSpan w:val="2"/>
            <w:tcBorders>
              <w:top w:val="single" w:sz="4" w:space="0" w:color="auto"/>
              <w:left w:val="single" w:sz="4" w:space="0" w:color="auto"/>
              <w:bottom w:val="single" w:sz="4" w:space="0" w:color="auto"/>
              <w:right w:val="single" w:sz="4" w:space="0" w:color="auto"/>
            </w:tcBorders>
            <w:vAlign w:val="center"/>
          </w:tcPr>
          <w:p w:rsidR="00764FFF" w:rsidRPr="00AA45E9" w:rsidRDefault="00764FFF" w:rsidP="00764FFF">
            <w:pPr>
              <w:spacing w:after="0" w:line="240" w:lineRule="auto"/>
              <w:jc w:val="center"/>
              <w:rPr>
                <w:rFonts w:ascii="Times New Roman" w:hAnsi="Times New Roman"/>
                <w:sz w:val="20"/>
                <w:szCs w:val="20"/>
              </w:rPr>
            </w:pPr>
            <w:r w:rsidRPr="00AA45E9">
              <w:rPr>
                <w:rFonts w:ascii="Times New Roman" w:hAnsi="Times New Roman"/>
                <w:sz w:val="20"/>
                <w:szCs w:val="20"/>
              </w:rPr>
              <w:t>Risque d’accident</w:t>
            </w:r>
          </w:p>
        </w:tc>
        <w:tc>
          <w:tcPr>
            <w:tcW w:w="3829" w:type="dxa"/>
            <w:gridSpan w:val="2"/>
            <w:tcBorders>
              <w:top w:val="single" w:sz="4" w:space="0" w:color="auto"/>
              <w:left w:val="single" w:sz="4" w:space="0" w:color="auto"/>
              <w:bottom w:val="single" w:sz="4" w:space="0" w:color="auto"/>
              <w:right w:val="single" w:sz="4" w:space="0" w:color="auto"/>
            </w:tcBorders>
            <w:vAlign w:val="center"/>
          </w:tcPr>
          <w:p w:rsidR="00764FFF" w:rsidRPr="00AA45E9" w:rsidRDefault="00764FFF" w:rsidP="00764FFF">
            <w:pPr>
              <w:spacing w:after="0" w:line="240" w:lineRule="auto"/>
              <w:jc w:val="both"/>
              <w:rPr>
                <w:rFonts w:ascii="Times New Roman" w:hAnsi="Times New Roman"/>
                <w:sz w:val="20"/>
                <w:szCs w:val="20"/>
              </w:rPr>
            </w:pPr>
            <w:r w:rsidRPr="00AA45E9">
              <w:rPr>
                <w:rFonts w:ascii="Times New Roman" w:hAnsi="Times New Roman"/>
                <w:sz w:val="20"/>
                <w:szCs w:val="20"/>
              </w:rPr>
              <w:t xml:space="preserve">-Etablir un périmètre de sécurité au niveau des différents chantiers (site des réalisations des </w:t>
            </w:r>
            <w:r w:rsidR="0042094D">
              <w:rPr>
                <w:rFonts w:ascii="Times New Roman" w:hAnsi="Times New Roman"/>
                <w:sz w:val="20"/>
                <w:szCs w:val="20"/>
              </w:rPr>
              <w:t>réservoirs</w:t>
            </w:r>
            <w:r w:rsidRPr="00AA45E9">
              <w:rPr>
                <w:rFonts w:ascii="Times New Roman" w:hAnsi="Times New Roman"/>
                <w:sz w:val="20"/>
                <w:szCs w:val="20"/>
              </w:rPr>
              <w:t>)</w:t>
            </w:r>
            <w:r w:rsidR="0042094D">
              <w:rPr>
                <w:rFonts w:ascii="Times New Roman" w:hAnsi="Times New Roman"/>
                <w:sz w:val="20"/>
                <w:szCs w:val="20"/>
              </w:rPr>
              <w:t> ;</w:t>
            </w:r>
          </w:p>
          <w:p w:rsidR="00764FFF" w:rsidRPr="00AA45E9" w:rsidRDefault="00764FFF" w:rsidP="00764FFF">
            <w:pPr>
              <w:spacing w:after="0" w:line="240" w:lineRule="auto"/>
              <w:jc w:val="both"/>
              <w:rPr>
                <w:rFonts w:ascii="Times New Roman" w:hAnsi="Times New Roman"/>
                <w:sz w:val="20"/>
                <w:szCs w:val="20"/>
              </w:rPr>
            </w:pPr>
            <w:r w:rsidRPr="00AA45E9">
              <w:rPr>
                <w:rFonts w:ascii="Times New Roman" w:hAnsi="Times New Roman"/>
                <w:sz w:val="20"/>
                <w:szCs w:val="20"/>
              </w:rPr>
              <w:t>-Installation des panneaux de circulation</w:t>
            </w:r>
            <w:r w:rsidR="0042094D">
              <w:rPr>
                <w:rFonts w:ascii="Times New Roman" w:hAnsi="Times New Roman"/>
                <w:sz w:val="20"/>
                <w:szCs w:val="20"/>
              </w:rPr>
              <w:t> ;</w:t>
            </w:r>
          </w:p>
          <w:p w:rsidR="00764FFF" w:rsidRPr="00AA45E9" w:rsidRDefault="00764FFF" w:rsidP="00764FFF">
            <w:pPr>
              <w:spacing w:after="0" w:line="240" w:lineRule="auto"/>
              <w:jc w:val="both"/>
              <w:rPr>
                <w:rFonts w:ascii="Times New Roman" w:hAnsi="Times New Roman"/>
                <w:sz w:val="20"/>
                <w:szCs w:val="20"/>
              </w:rPr>
            </w:pPr>
            <w:r w:rsidRPr="00AA45E9">
              <w:rPr>
                <w:rFonts w:ascii="Times New Roman" w:hAnsi="Times New Roman"/>
                <w:sz w:val="20"/>
                <w:szCs w:val="20"/>
              </w:rPr>
              <w:t>-Eviter le stationnement prolongé des camions au bord des voies d’accès</w:t>
            </w:r>
            <w:r w:rsidR="0042094D">
              <w:rPr>
                <w:rFonts w:ascii="Times New Roman" w:hAnsi="Times New Roman"/>
                <w:sz w:val="20"/>
                <w:szCs w:val="20"/>
              </w:rPr>
              <w:t> ;</w:t>
            </w:r>
          </w:p>
          <w:p w:rsidR="00764FFF" w:rsidRPr="00AA45E9" w:rsidRDefault="00764FFF" w:rsidP="00764FFF">
            <w:pPr>
              <w:spacing w:after="0" w:line="240" w:lineRule="auto"/>
              <w:jc w:val="both"/>
              <w:rPr>
                <w:rFonts w:ascii="Times New Roman" w:hAnsi="Times New Roman"/>
                <w:sz w:val="20"/>
                <w:szCs w:val="20"/>
              </w:rPr>
            </w:pPr>
            <w:r w:rsidRPr="00AA45E9">
              <w:rPr>
                <w:rFonts w:ascii="Times New Roman" w:hAnsi="Times New Roman"/>
                <w:sz w:val="20"/>
                <w:szCs w:val="20"/>
              </w:rPr>
              <w:t>- Exiger le port obligatoire des EPI, etc. ;</w:t>
            </w:r>
          </w:p>
        </w:tc>
        <w:tc>
          <w:tcPr>
            <w:tcW w:w="2835" w:type="dxa"/>
            <w:gridSpan w:val="2"/>
            <w:tcBorders>
              <w:top w:val="single" w:sz="4" w:space="0" w:color="auto"/>
              <w:left w:val="single" w:sz="4" w:space="0" w:color="auto"/>
              <w:bottom w:val="single" w:sz="4" w:space="0" w:color="auto"/>
              <w:right w:val="single" w:sz="4" w:space="0" w:color="auto"/>
            </w:tcBorders>
            <w:vAlign w:val="center"/>
          </w:tcPr>
          <w:p w:rsidR="00764FFF" w:rsidRPr="00AA45E9" w:rsidRDefault="00764FFF" w:rsidP="00764FFF">
            <w:pPr>
              <w:spacing w:after="0" w:line="240" w:lineRule="auto"/>
              <w:jc w:val="both"/>
              <w:rPr>
                <w:rFonts w:ascii="Times New Roman" w:hAnsi="Times New Roman"/>
                <w:sz w:val="20"/>
                <w:szCs w:val="20"/>
              </w:rPr>
            </w:pPr>
            <w:r w:rsidRPr="00AA45E9">
              <w:rPr>
                <w:rFonts w:ascii="Times New Roman" w:hAnsi="Times New Roman"/>
                <w:sz w:val="20"/>
                <w:szCs w:val="20"/>
              </w:rPr>
              <w:t>-Nombre d’accident ou incident</w:t>
            </w:r>
            <w:r w:rsidR="0042094D">
              <w:rPr>
                <w:rFonts w:ascii="Times New Roman" w:hAnsi="Times New Roman"/>
                <w:sz w:val="20"/>
                <w:szCs w:val="20"/>
              </w:rPr>
              <w:t> ;</w:t>
            </w:r>
          </w:p>
          <w:p w:rsidR="00764FFF" w:rsidRPr="00AA45E9" w:rsidRDefault="00764FFF" w:rsidP="00764FFF">
            <w:pPr>
              <w:spacing w:after="0" w:line="240" w:lineRule="auto"/>
              <w:jc w:val="both"/>
              <w:rPr>
                <w:rFonts w:ascii="Times New Roman" w:hAnsi="Times New Roman"/>
                <w:sz w:val="20"/>
                <w:szCs w:val="20"/>
              </w:rPr>
            </w:pPr>
            <w:r w:rsidRPr="00AA45E9">
              <w:rPr>
                <w:rFonts w:ascii="Times New Roman" w:hAnsi="Times New Roman"/>
                <w:sz w:val="20"/>
                <w:szCs w:val="20"/>
              </w:rPr>
              <w:t>-Nombre de plainte</w:t>
            </w:r>
            <w:r w:rsidR="0042094D">
              <w:rPr>
                <w:rFonts w:ascii="Times New Roman" w:hAnsi="Times New Roman"/>
                <w:sz w:val="20"/>
                <w:szCs w:val="20"/>
              </w:rPr>
              <w:t> ;</w:t>
            </w:r>
          </w:p>
          <w:p w:rsidR="00764FFF" w:rsidRPr="00AA45E9" w:rsidRDefault="00764FFF" w:rsidP="00764FFF">
            <w:pPr>
              <w:spacing w:after="0" w:line="240" w:lineRule="auto"/>
              <w:jc w:val="both"/>
              <w:rPr>
                <w:rFonts w:ascii="Times New Roman" w:hAnsi="Times New Roman"/>
                <w:sz w:val="20"/>
                <w:szCs w:val="20"/>
              </w:rPr>
            </w:pPr>
            <w:r w:rsidRPr="00AA45E9">
              <w:rPr>
                <w:rFonts w:ascii="Times New Roman" w:hAnsi="Times New Roman"/>
                <w:sz w:val="20"/>
                <w:szCs w:val="20"/>
              </w:rPr>
              <w:t>- Port effectif d’EPI</w:t>
            </w:r>
            <w:r w:rsidR="0042094D">
              <w:rPr>
                <w:rFonts w:ascii="Times New Roman" w:hAnsi="Times New Roman"/>
                <w:sz w:val="20"/>
                <w:szCs w:val="20"/>
              </w:rPr>
              <w:t> ;</w:t>
            </w:r>
          </w:p>
        </w:tc>
        <w:tc>
          <w:tcPr>
            <w:tcW w:w="1240" w:type="dxa"/>
            <w:gridSpan w:val="2"/>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764FFF" w:rsidRPr="002407EF" w:rsidRDefault="00764FFF" w:rsidP="00764FFF">
            <w:pPr>
              <w:spacing w:after="0" w:line="240" w:lineRule="auto"/>
              <w:jc w:val="center"/>
              <w:rPr>
                <w:rFonts w:ascii="Times New Roman" w:hAnsi="Times New Roman"/>
                <w:b/>
                <w:sz w:val="20"/>
                <w:szCs w:val="20"/>
              </w:rPr>
            </w:pPr>
            <w:r w:rsidRPr="002407EF">
              <w:rPr>
                <w:rFonts w:ascii="Times New Roman" w:hAnsi="Times New Roman"/>
                <w:b/>
                <w:sz w:val="20"/>
                <w:szCs w:val="20"/>
              </w:rPr>
              <w:t>Entreprise</w:t>
            </w:r>
          </w:p>
          <w:p w:rsidR="00764FFF" w:rsidRPr="002407EF" w:rsidRDefault="00764FFF" w:rsidP="00764FFF">
            <w:pPr>
              <w:spacing w:after="0" w:line="240" w:lineRule="auto"/>
              <w:jc w:val="center"/>
              <w:rPr>
                <w:rFonts w:ascii="Times New Roman" w:hAnsi="Times New Roman"/>
                <w:b/>
                <w:sz w:val="20"/>
                <w:szCs w:val="20"/>
              </w:rPr>
            </w:pPr>
          </w:p>
        </w:tc>
        <w:tc>
          <w:tcPr>
            <w:tcW w:w="1276" w:type="dxa"/>
            <w:gridSpan w:val="2"/>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42094D" w:rsidRPr="002407EF" w:rsidRDefault="0042094D" w:rsidP="0042094D">
            <w:pPr>
              <w:spacing w:after="0" w:line="240" w:lineRule="auto"/>
              <w:jc w:val="center"/>
              <w:rPr>
                <w:rFonts w:ascii="Times New Roman" w:hAnsi="Times New Roman"/>
                <w:b/>
                <w:sz w:val="20"/>
                <w:szCs w:val="20"/>
              </w:rPr>
            </w:pPr>
            <w:r w:rsidRPr="002407EF">
              <w:rPr>
                <w:rFonts w:ascii="Times New Roman" w:hAnsi="Times New Roman"/>
                <w:b/>
                <w:sz w:val="20"/>
                <w:szCs w:val="20"/>
              </w:rPr>
              <w:t>Comité de suivi</w:t>
            </w:r>
          </w:p>
          <w:p w:rsidR="0042094D" w:rsidRPr="002407EF" w:rsidRDefault="0042094D" w:rsidP="0042094D">
            <w:pPr>
              <w:spacing w:after="0" w:line="240" w:lineRule="auto"/>
              <w:jc w:val="center"/>
              <w:rPr>
                <w:rFonts w:ascii="Times New Roman" w:hAnsi="Times New Roman"/>
                <w:b/>
                <w:sz w:val="20"/>
                <w:szCs w:val="20"/>
              </w:rPr>
            </w:pPr>
          </w:p>
          <w:p w:rsidR="00764FFF" w:rsidRPr="002407EF" w:rsidRDefault="0042094D" w:rsidP="0042094D">
            <w:pPr>
              <w:spacing w:after="0" w:line="240" w:lineRule="auto"/>
              <w:jc w:val="center"/>
              <w:rPr>
                <w:rFonts w:ascii="Times New Roman" w:hAnsi="Times New Roman"/>
                <w:b/>
                <w:sz w:val="20"/>
                <w:szCs w:val="20"/>
              </w:rPr>
            </w:pPr>
            <w:r w:rsidRPr="002407EF">
              <w:rPr>
                <w:rFonts w:ascii="Times New Roman" w:hAnsi="Times New Roman"/>
                <w:b/>
                <w:sz w:val="20"/>
                <w:szCs w:val="20"/>
              </w:rPr>
              <w:t>PUASEE-FA</w:t>
            </w:r>
          </w:p>
        </w:tc>
        <w:tc>
          <w:tcPr>
            <w:tcW w:w="1134" w:type="dxa"/>
            <w:tcBorders>
              <w:top w:val="single" w:sz="4" w:space="0" w:color="auto"/>
              <w:left w:val="single" w:sz="4" w:space="0" w:color="auto"/>
              <w:bottom w:val="single" w:sz="4" w:space="0" w:color="auto"/>
              <w:right w:val="single" w:sz="4" w:space="0" w:color="auto"/>
            </w:tcBorders>
            <w:vAlign w:val="center"/>
          </w:tcPr>
          <w:p w:rsidR="00764FFF" w:rsidRPr="00AA45E9" w:rsidRDefault="00764FFF" w:rsidP="00764FFF">
            <w:pPr>
              <w:spacing w:after="0" w:line="240" w:lineRule="auto"/>
              <w:jc w:val="center"/>
              <w:rPr>
                <w:rFonts w:ascii="Times New Roman" w:hAnsi="Times New Roman"/>
                <w:sz w:val="20"/>
                <w:szCs w:val="20"/>
              </w:rPr>
            </w:pPr>
            <w:r w:rsidRPr="00AA45E9">
              <w:rPr>
                <w:rFonts w:ascii="Times New Roman" w:hAnsi="Times New Roman"/>
                <w:sz w:val="20"/>
                <w:szCs w:val="20"/>
              </w:rPr>
              <w:t>Durant les travaux / Trimestrielle</w:t>
            </w:r>
          </w:p>
        </w:tc>
        <w:tc>
          <w:tcPr>
            <w:tcW w:w="1374"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764FFF" w:rsidRPr="00AA45E9" w:rsidRDefault="00764FFF" w:rsidP="00764FFF">
            <w:pPr>
              <w:spacing w:after="0" w:line="240" w:lineRule="auto"/>
              <w:jc w:val="center"/>
              <w:rPr>
                <w:rFonts w:ascii="Times New Roman" w:hAnsi="Times New Roman"/>
                <w:b/>
                <w:sz w:val="20"/>
                <w:szCs w:val="20"/>
              </w:rPr>
            </w:pPr>
            <w:r w:rsidRPr="00AA45E9">
              <w:rPr>
                <w:rFonts w:ascii="Times New Roman" w:hAnsi="Times New Roman"/>
                <w:b/>
                <w:sz w:val="20"/>
                <w:szCs w:val="20"/>
              </w:rPr>
              <w:t>2 500 000</w:t>
            </w:r>
          </w:p>
        </w:tc>
        <w:tc>
          <w:tcPr>
            <w:tcW w:w="1237" w:type="dxa"/>
            <w:gridSpan w:val="3"/>
            <w:tcBorders>
              <w:top w:val="single" w:sz="4" w:space="0" w:color="auto"/>
              <w:left w:val="single" w:sz="4" w:space="0" w:color="auto"/>
              <w:bottom w:val="single" w:sz="4" w:space="0" w:color="auto"/>
              <w:right w:val="single" w:sz="4" w:space="0" w:color="auto"/>
            </w:tcBorders>
            <w:vAlign w:val="center"/>
          </w:tcPr>
          <w:p w:rsidR="00764FFF" w:rsidRPr="00AA45E9" w:rsidRDefault="00764FFF" w:rsidP="00764FFF">
            <w:pPr>
              <w:spacing w:after="0" w:line="240" w:lineRule="auto"/>
              <w:jc w:val="center"/>
              <w:rPr>
                <w:rFonts w:ascii="Times New Roman" w:hAnsi="Times New Roman"/>
                <w:sz w:val="20"/>
                <w:szCs w:val="20"/>
              </w:rPr>
            </w:pPr>
            <w:r w:rsidRPr="00AA45E9">
              <w:rPr>
                <w:rFonts w:ascii="Times New Roman" w:hAnsi="Times New Roman"/>
                <w:sz w:val="20"/>
                <w:szCs w:val="20"/>
              </w:rPr>
              <w:t>Coût inclus dans le protocole d’accord entre le promoteur et le CRS</w:t>
            </w:r>
          </w:p>
        </w:tc>
      </w:tr>
      <w:tr w:rsidR="00764FFF" w:rsidRPr="00AA45E9" w:rsidTr="007D251E">
        <w:trPr>
          <w:trHeight w:val="3251"/>
          <w:jc w:val="center"/>
        </w:trPr>
        <w:tc>
          <w:tcPr>
            <w:tcW w:w="1127"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764FFF" w:rsidRPr="00AA45E9" w:rsidRDefault="0042094D" w:rsidP="00764FFF">
            <w:pPr>
              <w:spacing w:after="0" w:line="240" w:lineRule="auto"/>
              <w:jc w:val="center"/>
              <w:rPr>
                <w:rFonts w:ascii="Times New Roman" w:hAnsi="Times New Roman"/>
                <w:b/>
                <w:bCs/>
                <w:sz w:val="20"/>
                <w:szCs w:val="20"/>
              </w:rPr>
            </w:pPr>
            <w:r>
              <w:rPr>
                <w:rFonts w:ascii="Times New Roman" w:hAnsi="Times New Roman"/>
                <w:b/>
                <w:bCs/>
                <w:sz w:val="20"/>
                <w:szCs w:val="20"/>
              </w:rPr>
              <w:lastRenderedPageBreak/>
              <w:t>Santé</w:t>
            </w:r>
          </w:p>
        </w:tc>
        <w:tc>
          <w:tcPr>
            <w:tcW w:w="2304" w:type="dxa"/>
            <w:gridSpan w:val="2"/>
            <w:tcBorders>
              <w:top w:val="single" w:sz="4" w:space="0" w:color="auto"/>
              <w:left w:val="single" w:sz="4" w:space="0" w:color="auto"/>
              <w:bottom w:val="single" w:sz="4" w:space="0" w:color="auto"/>
              <w:right w:val="single" w:sz="4" w:space="0" w:color="auto"/>
            </w:tcBorders>
            <w:vAlign w:val="center"/>
          </w:tcPr>
          <w:p w:rsidR="00764FFF" w:rsidRPr="00AA45E9" w:rsidRDefault="00764FFF" w:rsidP="00764FFF">
            <w:pPr>
              <w:spacing w:after="0" w:line="240" w:lineRule="auto"/>
              <w:jc w:val="both"/>
              <w:rPr>
                <w:rFonts w:ascii="Times New Roman" w:hAnsi="Times New Roman"/>
                <w:sz w:val="20"/>
                <w:szCs w:val="20"/>
              </w:rPr>
            </w:pPr>
            <w:r w:rsidRPr="00AA45E9">
              <w:rPr>
                <w:rFonts w:ascii="Times New Roman" w:hAnsi="Times New Roman"/>
                <w:sz w:val="20"/>
                <w:szCs w:val="20"/>
              </w:rPr>
              <w:t>- Atteinte à la santé des travailleurs</w:t>
            </w:r>
            <w:r w:rsidR="00417379">
              <w:rPr>
                <w:rFonts w:ascii="Times New Roman" w:hAnsi="Times New Roman"/>
                <w:sz w:val="20"/>
                <w:szCs w:val="20"/>
              </w:rPr>
              <w:t> ;</w:t>
            </w:r>
          </w:p>
          <w:p w:rsidR="00764FFF" w:rsidRPr="00AA45E9" w:rsidRDefault="007958D4" w:rsidP="00764FFF">
            <w:pPr>
              <w:spacing w:after="0" w:line="240" w:lineRule="auto"/>
              <w:jc w:val="both"/>
              <w:rPr>
                <w:rFonts w:ascii="Times New Roman" w:hAnsi="Times New Roman"/>
                <w:sz w:val="20"/>
                <w:szCs w:val="20"/>
              </w:rPr>
            </w:pPr>
            <w:r>
              <w:rPr>
                <w:rFonts w:ascii="Times New Roman" w:hAnsi="Times New Roman"/>
                <w:sz w:val="20"/>
                <w:szCs w:val="20"/>
              </w:rPr>
              <w:t>-</w:t>
            </w:r>
            <w:r w:rsidR="00764FFF" w:rsidRPr="00AA45E9">
              <w:rPr>
                <w:rFonts w:ascii="Times New Roman" w:hAnsi="Times New Roman"/>
                <w:sz w:val="20"/>
                <w:szCs w:val="20"/>
              </w:rPr>
              <w:t>Dommages corporels</w:t>
            </w:r>
            <w:r w:rsidR="00417379">
              <w:rPr>
                <w:rFonts w:ascii="Times New Roman" w:hAnsi="Times New Roman"/>
                <w:sz w:val="20"/>
                <w:szCs w:val="20"/>
              </w:rPr>
              <w:t> ;</w:t>
            </w:r>
          </w:p>
          <w:p w:rsidR="00764FFF" w:rsidRPr="00AA45E9" w:rsidRDefault="007958D4" w:rsidP="00764FFF">
            <w:pPr>
              <w:spacing w:after="0" w:line="240" w:lineRule="auto"/>
              <w:jc w:val="both"/>
              <w:rPr>
                <w:rFonts w:ascii="Times New Roman" w:hAnsi="Times New Roman"/>
                <w:sz w:val="20"/>
                <w:szCs w:val="20"/>
              </w:rPr>
            </w:pPr>
            <w:r>
              <w:rPr>
                <w:rFonts w:ascii="Times New Roman" w:hAnsi="Times New Roman"/>
                <w:sz w:val="20"/>
                <w:szCs w:val="20"/>
              </w:rPr>
              <w:t>-</w:t>
            </w:r>
            <w:r w:rsidR="00764FFF" w:rsidRPr="00AA45E9">
              <w:rPr>
                <w:rFonts w:ascii="Times New Roman" w:hAnsi="Times New Roman"/>
                <w:sz w:val="20"/>
                <w:szCs w:val="20"/>
              </w:rPr>
              <w:t>Risque d’expansion du SIDA et des maladies sexuellement transmissibles</w:t>
            </w:r>
            <w:r w:rsidR="00417379">
              <w:rPr>
                <w:rFonts w:ascii="Times New Roman" w:hAnsi="Times New Roman"/>
                <w:sz w:val="20"/>
                <w:szCs w:val="20"/>
              </w:rPr>
              <w:t> ;</w:t>
            </w:r>
          </w:p>
          <w:p w:rsidR="00764FFF" w:rsidRDefault="00764FFF" w:rsidP="00764FFF">
            <w:pPr>
              <w:spacing w:after="200" w:line="240" w:lineRule="auto"/>
              <w:jc w:val="both"/>
              <w:rPr>
                <w:rFonts w:ascii="Times New Roman" w:hAnsi="Times New Roman"/>
                <w:sz w:val="20"/>
                <w:szCs w:val="20"/>
              </w:rPr>
            </w:pPr>
            <w:r w:rsidRPr="00AA45E9">
              <w:rPr>
                <w:rFonts w:ascii="Times New Roman" w:hAnsi="Times New Roman"/>
                <w:sz w:val="20"/>
                <w:szCs w:val="20"/>
              </w:rPr>
              <w:t>-Risque de maladies professionnelles consécutives à des efforts physiques, des écrasements, des chocs, des gestes répétitifs, des mauvaises postures, blessures, de chute, d’accident de travail etc.</w:t>
            </w:r>
          </w:p>
          <w:p w:rsidR="009D7624" w:rsidRPr="00AA45E9" w:rsidRDefault="009D7624" w:rsidP="00764FFF">
            <w:pPr>
              <w:spacing w:after="200" w:line="240" w:lineRule="auto"/>
              <w:jc w:val="both"/>
              <w:rPr>
                <w:rFonts w:ascii="Times New Roman" w:hAnsi="Times New Roman"/>
                <w:sz w:val="20"/>
                <w:szCs w:val="20"/>
              </w:rPr>
            </w:pPr>
            <w:r w:rsidRPr="00F62F78">
              <w:rPr>
                <w:rFonts w:ascii="Times New Roman" w:hAnsi="Times New Roman"/>
                <w:bCs/>
                <w:sz w:val="20"/>
                <w:szCs w:val="20"/>
              </w:rPr>
              <w:t>Risques liés à l’atteinte de maladies contagieuses comme COVID-19</w:t>
            </w:r>
          </w:p>
        </w:tc>
        <w:tc>
          <w:tcPr>
            <w:tcW w:w="3829" w:type="dxa"/>
            <w:gridSpan w:val="2"/>
            <w:tcBorders>
              <w:top w:val="single" w:sz="4" w:space="0" w:color="auto"/>
              <w:left w:val="single" w:sz="4" w:space="0" w:color="auto"/>
              <w:bottom w:val="single" w:sz="4" w:space="0" w:color="auto"/>
              <w:right w:val="single" w:sz="4" w:space="0" w:color="auto"/>
            </w:tcBorders>
            <w:vAlign w:val="center"/>
          </w:tcPr>
          <w:p w:rsidR="00764FFF" w:rsidRPr="00AA45E9" w:rsidRDefault="00764FFF" w:rsidP="00764FFF">
            <w:pPr>
              <w:spacing w:after="0" w:line="240" w:lineRule="auto"/>
              <w:jc w:val="both"/>
              <w:rPr>
                <w:rFonts w:ascii="Times New Roman" w:hAnsi="Times New Roman"/>
                <w:sz w:val="20"/>
                <w:szCs w:val="20"/>
              </w:rPr>
            </w:pPr>
            <w:r w:rsidRPr="00AA45E9">
              <w:rPr>
                <w:rFonts w:ascii="Times New Roman" w:hAnsi="Times New Roman"/>
                <w:sz w:val="20"/>
                <w:szCs w:val="20"/>
              </w:rPr>
              <w:t xml:space="preserve">- Matérialiser </w:t>
            </w:r>
            <w:r w:rsidR="00CB6090">
              <w:rPr>
                <w:rFonts w:ascii="Times New Roman" w:hAnsi="Times New Roman"/>
                <w:sz w:val="20"/>
                <w:szCs w:val="20"/>
              </w:rPr>
              <w:t xml:space="preserve">les bases de chantiers </w:t>
            </w:r>
            <w:r w:rsidRPr="00AA45E9">
              <w:rPr>
                <w:rFonts w:ascii="Times New Roman" w:hAnsi="Times New Roman"/>
                <w:sz w:val="20"/>
                <w:szCs w:val="20"/>
              </w:rPr>
              <w:t>et interdire l’accès à toute personne autre que le personnel de chantier ;</w:t>
            </w:r>
          </w:p>
          <w:p w:rsidR="00764FFF" w:rsidRPr="00AA45E9" w:rsidRDefault="00764FFF" w:rsidP="00764FFF">
            <w:pPr>
              <w:spacing w:after="0" w:line="240" w:lineRule="auto"/>
              <w:jc w:val="both"/>
              <w:rPr>
                <w:rFonts w:ascii="Times New Roman" w:hAnsi="Times New Roman"/>
                <w:sz w:val="20"/>
                <w:szCs w:val="20"/>
              </w:rPr>
            </w:pPr>
            <w:r w:rsidRPr="00AA45E9">
              <w:rPr>
                <w:rFonts w:ascii="Times New Roman" w:hAnsi="Times New Roman"/>
                <w:sz w:val="20"/>
                <w:szCs w:val="20"/>
              </w:rPr>
              <w:t xml:space="preserve">- Etablir un périmètre de </w:t>
            </w:r>
            <w:r w:rsidR="00804F29">
              <w:rPr>
                <w:rFonts w:ascii="Times New Roman" w:hAnsi="Times New Roman"/>
                <w:sz w:val="20"/>
                <w:szCs w:val="20"/>
              </w:rPr>
              <w:t>sécurité aux abords du chantier ;</w:t>
            </w:r>
          </w:p>
          <w:p w:rsidR="00764FFF" w:rsidRDefault="00764FFF" w:rsidP="00764FFF">
            <w:pPr>
              <w:spacing w:after="0" w:line="240" w:lineRule="auto"/>
              <w:jc w:val="both"/>
              <w:rPr>
                <w:rFonts w:ascii="Times New Roman" w:hAnsi="Times New Roman"/>
                <w:sz w:val="20"/>
                <w:szCs w:val="20"/>
              </w:rPr>
            </w:pPr>
            <w:r w:rsidRPr="00AA45E9">
              <w:rPr>
                <w:rFonts w:ascii="Times New Roman" w:hAnsi="Times New Roman"/>
                <w:sz w:val="20"/>
                <w:szCs w:val="20"/>
              </w:rPr>
              <w:t>- Mettre à la disposition du personnel des EPI requis ;</w:t>
            </w:r>
          </w:p>
          <w:p w:rsidR="00804F29" w:rsidRPr="00AA45E9" w:rsidRDefault="00804F29" w:rsidP="00764FFF">
            <w:pPr>
              <w:spacing w:after="0" w:line="240" w:lineRule="auto"/>
              <w:jc w:val="both"/>
              <w:rPr>
                <w:rFonts w:ascii="Times New Roman" w:hAnsi="Times New Roman"/>
                <w:sz w:val="20"/>
                <w:szCs w:val="20"/>
              </w:rPr>
            </w:pPr>
            <w:r>
              <w:rPr>
                <w:rFonts w:ascii="Times New Roman" w:hAnsi="Times New Roman"/>
                <w:sz w:val="20"/>
                <w:szCs w:val="20"/>
              </w:rPr>
              <w:t>-</w:t>
            </w:r>
            <w:r w:rsidRPr="00AA45E9">
              <w:rPr>
                <w:rFonts w:ascii="Times New Roman" w:hAnsi="Times New Roman"/>
                <w:sz w:val="20"/>
                <w:szCs w:val="20"/>
              </w:rPr>
              <w:t>Exi</w:t>
            </w:r>
            <w:r w:rsidR="00417379">
              <w:rPr>
                <w:rFonts w:ascii="Times New Roman" w:hAnsi="Times New Roman"/>
                <w:sz w:val="20"/>
                <w:szCs w:val="20"/>
              </w:rPr>
              <w:t>ger le port obligatoire des EPI ;</w:t>
            </w:r>
          </w:p>
          <w:p w:rsidR="00764FFF" w:rsidRPr="00AA45E9" w:rsidRDefault="000A139C" w:rsidP="00764FFF">
            <w:pPr>
              <w:spacing w:after="0" w:line="240" w:lineRule="auto"/>
              <w:jc w:val="both"/>
              <w:rPr>
                <w:rFonts w:ascii="Times New Roman" w:hAnsi="Times New Roman"/>
                <w:sz w:val="20"/>
                <w:szCs w:val="20"/>
              </w:rPr>
            </w:pPr>
            <w:r>
              <w:rPr>
                <w:rFonts w:ascii="Times New Roman" w:hAnsi="Times New Roman"/>
                <w:sz w:val="20"/>
                <w:szCs w:val="20"/>
              </w:rPr>
              <w:t>-</w:t>
            </w:r>
            <w:r w:rsidR="00764FFF" w:rsidRPr="00AA45E9">
              <w:rPr>
                <w:rFonts w:ascii="Times New Roman" w:hAnsi="Times New Roman"/>
                <w:sz w:val="20"/>
                <w:szCs w:val="20"/>
              </w:rPr>
              <w:t>Afficher des consignes de sécurité</w:t>
            </w:r>
            <w:r w:rsidR="00804F29">
              <w:rPr>
                <w:rFonts w:ascii="Times New Roman" w:hAnsi="Times New Roman"/>
                <w:sz w:val="20"/>
                <w:szCs w:val="20"/>
              </w:rPr>
              <w:t> ;</w:t>
            </w:r>
          </w:p>
          <w:p w:rsidR="00764FFF" w:rsidRPr="00AA45E9" w:rsidRDefault="00764FFF" w:rsidP="00764FFF">
            <w:pPr>
              <w:spacing w:after="0" w:line="240" w:lineRule="auto"/>
              <w:jc w:val="both"/>
              <w:rPr>
                <w:rFonts w:ascii="Times New Roman" w:hAnsi="Times New Roman"/>
                <w:sz w:val="20"/>
                <w:szCs w:val="20"/>
              </w:rPr>
            </w:pPr>
            <w:r w:rsidRPr="00AA45E9">
              <w:rPr>
                <w:rFonts w:ascii="Times New Roman" w:hAnsi="Times New Roman"/>
                <w:sz w:val="20"/>
                <w:szCs w:val="20"/>
              </w:rPr>
              <w:t>- Isoler les zones à risque ;</w:t>
            </w:r>
          </w:p>
          <w:p w:rsidR="00764FFF" w:rsidRPr="00AA45E9" w:rsidRDefault="000A139C" w:rsidP="00764FFF">
            <w:pPr>
              <w:spacing w:after="0" w:line="240" w:lineRule="auto"/>
              <w:jc w:val="both"/>
              <w:rPr>
                <w:rFonts w:ascii="Times New Roman" w:hAnsi="Times New Roman"/>
                <w:sz w:val="20"/>
                <w:szCs w:val="20"/>
              </w:rPr>
            </w:pPr>
            <w:r>
              <w:rPr>
                <w:rFonts w:ascii="Times New Roman" w:hAnsi="Times New Roman"/>
                <w:sz w:val="20"/>
                <w:szCs w:val="20"/>
              </w:rPr>
              <w:t>-</w:t>
            </w:r>
            <w:r w:rsidR="00764FFF" w:rsidRPr="00AA45E9">
              <w:rPr>
                <w:rFonts w:ascii="Times New Roman" w:hAnsi="Times New Roman"/>
                <w:sz w:val="20"/>
                <w:szCs w:val="20"/>
              </w:rPr>
              <w:t>Suivre périodiquement la santé des travailleurs</w:t>
            </w:r>
            <w:r w:rsidR="00804F29">
              <w:rPr>
                <w:rFonts w:ascii="Times New Roman" w:hAnsi="Times New Roman"/>
                <w:sz w:val="20"/>
                <w:szCs w:val="20"/>
              </w:rPr>
              <w:t> ;</w:t>
            </w:r>
          </w:p>
          <w:p w:rsidR="00764FFF" w:rsidRPr="00AA45E9" w:rsidRDefault="000A139C" w:rsidP="00764FFF">
            <w:pPr>
              <w:spacing w:after="0" w:line="240" w:lineRule="auto"/>
              <w:jc w:val="both"/>
              <w:rPr>
                <w:rFonts w:ascii="Times New Roman" w:hAnsi="Times New Roman"/>
                <w:sz w:val="20"/>
                <w:szCs w:val="20"/>
              </w:rPr>
            </w:pPr>
            <w:r>
              <w:rPr>
                <w:rFonts w:ascii="Times New Roman" w:hAnsi="Times New Roman"/>
                <w:sz w:val="20"/>
                <w:szCs w:val="20"/>
              </w:rPr>
              <w:t>-</w:t>
            </w:r>
            <w:r w:rsidR="00764FFF" w:rsidRPr="00AA45E9">
              <w:rPr>
                <w:rFonts w:ascii="Times New Roman" w:hAnsi="Times New Roman"/>
                <w:sz w:val="20"/>
                <w:szCs w:val="20"/>
              </w:rPr>
              <w:t>Avoir une trousse de premier secours bien fournie</w:t>
            </w:r>
            <w:r w:rsidR="00804F29">
              <w:rPr>
                <w:rFonts w:ascii="Times New Roman" w:hAnsi="Times New Roman"/>
                <w:sz w:val="20"/>
                <w:szCs w:val="20"/>
              </w:rPr>
              <w:t> ;</w:t>
            </w:r>
          </w:p>
          <w:p w:rsidR="00764FFF" w:rsidRPr="00AA45E9" w:rsidRDefault="000A139C" w:rsidP="00764FFF">
            <w:pPr>
              <w:spacing w:after="0" w:line="240" w:lineRule="auto"/>
              <w:jc w:val="both"/>
              <w:rPr>
                <w:rFonts w:ascii="Times New Roman" w:hAnsi="Times New Roman"/>
                <w:sz w:val="20"/>
                <w:szCs w:val="20"/>
              </w:rPr>
            </w:pPr>
            <w:r>
              <w:rPr>
                <w:rFonts w:ascii="Times New Roman" w:hAnsi="Times New Roman"/>
                <w:sz w:val="20"/>
                <w:szCs w:val="20"/>
              </w:rPr>
              <w:t>-</w:t>
            </w:r>
            <w:r w:rsidR="00764FFF" w:rsidRPr="00AA45E9">
              <w:rPr>
                <w:rFonts w:ascii="Times New Roman" w:hAnsi="Times New Roman"/>
                <w:sz w:val="20"/>
                <w:szCs w:val="20"/>
              </w:rPr>
              <w:t>Former le personnel sur l’utilisation du matériel de secours ;</w:t>
            </w:r>
          </w:p>
          <w:p w:rsidR="00764FFF" w:rsidRPr="00AA45E9" w:rsidRDefault="000A139C" w:rsidP="00764FFF">
            <w:pPr>
              <w:spacing w:after="0" w:line="240" w:lineRule="auto"/>
              <w:jc w:val="both"/>
              <w:rPr>
                <w:rFonts w:ascii="Times New Roman" w:hAnsi="Times New Roman"/>
                <w:sz w:val="20"/>
                <w:szCs w:val="20"/>
              </w:rPr>
            </w:pPr>
            <w:r>
              <w:rPr>
                <w:rFonts w:ascii="Times New Roman" w:hAnsi="Times New Roman"/>
                <w:sz w:val="20"/>
                <w:szCs w:val="20"/>
              </w:rPr>
              <w:t>-</w:t>
            </w:r>
            <w:r w:rsidR="00764FFF" w:rsidRPr="00AA45E9">
              <w:rPr>
                <w:rFonts w:ascii="Times New Roman" w:hAnsi="Times New Roman"/>
                <w:sz w:val="20"/>
                <w:szCs w:val="20"/>
              </w:rPr>
              <w:t>Signer une convention avec le centre de santé le plus proche</w:t>
            </w:r>
            <w:r w:rsidR="00804F29">
              <w:rPr>
                <w:rFonts w:ascii="Times New Roman" w:hAnsi="Times New Roman"/>
                <w:sz w:val="20"/>
                <w:szCs w:val="20"/>
              </w:rPr>
              <w:t> ;</w:t>
            </w:r>
          </w:p>
          <w:p w:rsidR="00764FFF" w:rsidRPr="00AA45E9" w:rsidRDefault="000A139C" w:rsidP="00764FFF">
            <w:pPr>
              <w:spacing w:after="0" w:line="240" w:lineRule="auto"/>
              <w:jc w:val="both"/>
              <w:rPr>
                <w:rFonts w:ascii="Times New Roman" w:hAnsi="Times New Roman"/>
                <w:sz w:val="20"/>
                <w:szCs w:val="20"/>
              </w:rPr>
            </w:pPr>
            <w:r>
              <w:rPr>
                <w:rFonts w:ascii="Times New Roman" w:hAnsi="Times New Roman"/>
                <w:sz w:val="20"/>
                <w:szCs w:val="20"/>
              </w:rPr>
              <w:t>-</w:t>
            </w:r>
            <w:r w:rsidR="00764FFF" w:rsidRPr="00AA45E9">
              <w:rPr>
                <w:rFonts w:ascii="Times New Roman" w:hAnsi="Times New Roman"/>
                <w:sz w:val="20"/>
                <w:szCs w:val="20"/>
              </w:rPr>
              <w:t>Organiser des campagnes de sensibilisation contre le SIDA ;</w:t>
            </w:r>
          </w:p>
          <w:p w:rsidR="00764FFF" w:rsidRPr="00AA45E9" w:rsidRDefault="000A139C" w:rsidP="00764FFF">
            <w:pPr>
              <w:spacing w:after="0" w:line="240" w:lineRule="auto"/>
              <w:jc w:val="both"/>
              <w:rPr>
                <w:rFonts w:ascii="Times New Roman" w:hAnsi="Times New Roman"/>
                <w:sz w:val="20"/>
                <w:szCs w:val="20"/>
              </w:rPr>
            </w:pPr>
            <w:r>
              <w:rPr>
                <w:rFonts w:ascii="Times New Roman" w:hAnsi="Times New Roman"/>
                <w:sz w:val="20"/>
                <w:szCs w:val="20"/>
              </w:rPr>
              <w:t>-</w:t>
            </w:r>
            <w:r w:rsidR="00764FFF" w:rsidRPr="00AA45E9">
              <w:rPr>
                <w:rFonts w:ascii="Times New Roman" w:hAnsi="Times New Roman"/>
                <w:sz w:val="20"/>
                <w:szCs w:val="20"/>
              </w:rPr>
              <w:t>Distribuer des préservatifs</w:t>
            </w:r>
            <w:r w:rsidR="00804F29">
              <w:rPr>
                <w:rFonts w:ascii="Times New Roman" w:hAnsi="Times New Roman"/>
                <w:sz w:val="20"/>
                <w:szCs w:val="20"/>
              </w:rPr>
              <w:t> ;</w:t>
            </w:r>
          </w:p>
          <w:p w:rsidR="00764FFF" w:rsidRDefault="00764FFF" w:rsidP="00764FFF">
            <w:pPr>
              <w:spacing w:after="0" w:line="240" w:lineRule="auto"/>
              <w:jc w:val="both"/>
              <w:rPr>
                <w:rFonts w:ascii="Times New Roman" w:hAnsi="Times New Roman"/>
                <w:sz w:val="20"/>
                <w:szCs w:val="20"/>
              </w:rPr>
            </w:pPr>
            <w:r w:rsidRPr="00AA45E9">
              <w:rPr>
                <w:rFonts w:ascii="Times New Roman" w:hAnsi="Times New Roman"/>
                <w:sz w:val="20"/>
                <w:szCs w:val="20"/>
              </w:rPr>
              <w:t>-Lutter contre la pratique du sexe de survie</w:t>
            </w:r>
            <w:r w:rsidR="00804F29">
              <w:rPr>
                <w:rFonts w:ascii="Times New Roman" w:hAnsi="Times New Roman"/>
                <w:sz w:val="20"/>
                <w:szCs w:val="20"/>
              </w:rPr>
              <w:t> ;</w:t>
            </w:r>
          </w:p>
          <w:p w:rsidR="009D7624" w:rsidRPr="009D7624" w:rsidRDefault="009D7624" w:rsidP="009D7624">
            <w:pPr>
              <w:spacing w:after="0" w:line="240" w:lineRule="auto"/>
              <w:jc w:val="both"/>
              <w:rPr>
                <w:rFonts w:ascii="Times New Roman" w:hAnsi="Times New Roman"/>
                <w:sz w:val="20"/>
                <w:szCs w:val="20"/>
              </w:rPr>
            </w:pPr>
            <w:r>
              <w:rPr>
                <w:rFonts w:ascii="Times New Roman" w:hAnsi="Times New Roman"/>
                <w:sz w:val="20"/>
                <w:szCs w:val="20"/>
              </w:rPr>
              <w:t>-</w:t>
            </w:r>
            <w:r w:rsidRPr="009D7624">
              <w:rPr>
                <w:rFonts w:ascii="Times New Roman" w:hAnsi="Times New Roman"/>
                <w:sz w:val="20"/>
                <w:szCs w:val="20"/>
              </w:rPr>
              <w:t xml:space="preserve">Mettre en place des panneaux de sensibilisation contre le COVID 19. </w:t>
            </w:r>
          </w:p>
          <w:p w:rsidR="009D7624" w:rsidRPr="009D7624" w:rsidRDefault="009D7624" w:rsidP="009D7624">
            <w:pPr>
              <w:spacing w:after="0" w:line="240" w:lineRule="auto"/>
              <w:jc w:val="both"/>
              <w:rPr>
                <w:rFonts w:ascii="Times New Roman" w:hAnsi="Times New Roman"/>
                <w:sz w:val="20"/>
                <w:szCs w:val="20"/>
              </w:rPr>
            </w:pPr>
            <w:r>
              <w:rPr>
                <w:rFonts w:ascii="Times New Roman" w:hAnsi="Times New Roman"/>
                <w:sz w:val="20"/>
                <w:szCs w:val="20"/>
              </w:rPr>
              <w:t>-</w:t>
            </w:r>
            <w:r w:rsidRPr="009D7624">
              <w:rPr>
                <w:rFonts w:ascii="Times New Roman" w:hAnsi="Times New Roman"/>
                <w:sz w:val="20"/>
                <w:szCs w:val="20"/>
              </w:rPr>
              <w:t>Exiger le respect des mesures de lutte contre la propagation</w:t>
            </w:r>
          </w:p>
          <w:p w:rsidR="009D7624" w:rsidRPr="009D7624" w:rsidRDefault="009D7624" w:rsidP="009D7624">
            <w:pPr>
              <w:spacing w:after="0" w:line="240" w:lineRule="auto"/>
              <w:jc w:val="both"/>
              <w:rPr>
                <w:rFonts w:ascii="Times New Roman" w:hAnsi="Times New Roman"/>
                <w:sz w:val="20"/>
                <w:szCs w:val="20"/>
              </w:rPr>
            </w:pPr>
            <w:r>
              <w:rPr>
                <w:rFonts w:ascii="Times New Roman" w:hAnsi="Times New Roman"/>
                <w:sz w:val="20"/>
                <w:szCs w:val="20"/>
              </w:rPr>
              <w:t>-</w:t>
            </w:r>
            <w:r w:rsidRPr="009D7624">
              <w:rPr>
                <w:rFonts w:ascii="Times New Roman" w:hAnsi="Times New Roman"/>
                <w:sz w:val="20"/>
                <w:szCs w:val="20"/>
              </w:rPr>
              <w:t>Mettre à la disposition des ouvriers des masques de protection et des gels antiseptiques</w:t>
            </w:r>
          </w:p>
          <w:p w:rsidR="009D7624" w:rsidRPr="00AA45E9" w:rsidRDefault="009D7624" w:rsidP="009D7624">
            <w:pPr>
              <w:spacing w:after="0" w:line="240" w:lineRule="auto"/>
              <w:jc w:val="both"/>
              <w:rPr>
                <w:rFonts w:ascii="Times New Roman" w:hAnsi="Times New Roman"/>
                <w:sz w:val="20"/>
                <w:szCs w:val="20"/>
              </w:rPr>
            </w:pPr>
            <w:r>
              <w:rPr>
                <w:rFonts w:ascii="Times New Roman" w:hAnsi="Times New Roman"/>
                <w:sz w:val="20"/>
                <w:szCs w:val="20"/>
              </w:rPr>
              <w:t>-</w:t>
            </w:r>
            <w:r w:rsidRPr="009D7624">
              <w:rPr>
                <w:rFonts w:ascii="Times New Roman" w:hAnsi="Times New Roman"/>
                <w:sz w:val="20"/>
                <w:szCs w:val="20"/>
              </w:rPr>
              <w:t>Organiser des campagnes de sensibilisation ;</w:t>
            </w:r>
          </w:p>
        </w:tc>
        <w:tc>
          <w:tcPr>
            <w:tcW w:w="2835" w:type="dxa"/>
            <w:gridSpan w:val="2"/>
            <w:tcBorders>
              <w:top w:val="single" w:sz="4" w:space="0" w:color="auto"/>
              <w:left w:val="single" w:sz="4" w:space="0" w:color="auto"/>
              <w:bottom w:val="single" w:sz="4" w:space="0" w:color="auto"/>
              <w:right w:val="single" w:sz="4" w:space="0" w:color="auto"/>
            </w:tcBorders>
            <w:vAlign w:val="center"/>
          </w:tcPr>
          <w:p w:rsidR="00764FFF" w:rsidRPr="00AA45E9" w:rsidRDefault="00417379" w:rsidP="00764FFF">
            <w:pPr>
              <w:spacing w:after="0" w:line="240" w:lineRule="auto"/>
              <w:jc w:val="both"/>
              <w:rPr>
                <w:rFonts w:ascii="Times New Roman" w:hAnsi="Times New Roman"/>
                <w:sz w:val="20"/>
                <w:szCs w:val="20"/>
              </w:rPr>
            </w:pPr>
            <w:r>
              <w:rPr>
                <w:rFonts w:ascii="Times New Roman" w:hAnsi="Times New Roman"/>
                <w:sz w:val="20"/>
                <w:szCs w:val="20"/>
              </w:rPr>
              <w:t>-</w:t>
            </w:r>
            <w:r w:rsidR="00764FFF" w:rsidRPr="00AA45E9">
              <w:rPr>
                <w:rFonts w:ascii="Times New Roman" w:hAnsi="Times New Roman"/>
                <w:sz w:val="20"/>
                <w:szCs w:val="20"/>
              </w:rPr>
              <w:t>Nombre de plainte reçu</w:t>
            </w:r>
            <w:r>
              <w:rPr>
                <w:rFonts w:ascii="Times New Roman" w:hAnsi="Times New Roman"/>
                <w:sz w:val="20"/>
                <w:szCs w:val="20"/>
              </w:rPr>
              <w:t> ;</w:t>
            </w:r>
          </w:p>
          <w:p w:rsidR="00764FFF" w:rsidRPr="00AA45E9" w:rsidRDefault="00417379" w:rsidP="00764FFF">
            <w:pPr>
              <w:spacing w:after="0" w:line="240" w:lineRule="auto"/>
              <w:jc w:val="both"/>
              <w:rPr>
                <w:rFonts w:ascii="Times New Roman" w:hAnsi="Times New Roman"/>
                <w:sz w:val="20"/>
                <w:szCs w:val="20"/>
              </w:rPr>
            </w:pPr>
            <w:r>
              <w:rPr>
                <w:rFonts w:ascii="Times New Roman" w:hAnsi="Times New Roman"/>
                <w:sz w:val="20"/>
                <w:szCs w:val="20"/>
              </w:rPr>
              <w:t xml:space="preserve">- </w:t>
            </w:r>
            <w:r w:rsidR="00764FFF" w:rsidRPr="00AA45E9">
              <w:rPr>
                <w:rFonts w:ascii="Times New Roman" w:hAnsi="Times New Roman"/>
                <w:sz w:val="20"/>
                <w:szCs w:val="20"/>
              </w:rPr>
              <w:t>Nombre d’accident signalé</w:t>
            </w:r>
            <w:r>
              <w:rPr>
                <w:rFonts w:ascii="Times New Roman" w:hAnsi="Times New Roman"/>
                <w:sz w:val="20"/>
                <w:szCs w:val="20"/>
              </w:rPr>
              <w:t> ;</w:t>
            </w:r>
          </w:p>
          <w:p w:rsidR="00764FFF" w:rsidRPr="00AA45E9" w:rsidRDefault="00417379" w:rsidP="00764FFF">
            <w:pPr>
              <w:spacing w:after="0" w:line="240" w:lineRule="auto"/>
              <w:jc w:val="both"/>
              <w:rPr>
                <w:rFonts w:ascii="Times New Roman" w:hAnsi="Times New Roman"/>
                <w:sz w:val="20"/>
                <w:szCs w:val="20"/>
              </w:rPr>
            </w:pPr>
            <w:r>
              <w:rPr>
                <w:rFonts w:ascii="Times New Roman" w:hAnsi="Times New Roman"/>
                <w:sz w:val="20"/>
                <w:szCs w:val="20"/>
              </w:rPr>
              <w:t>-</w:t>
            </w:r>
            <w:r w:rsidR="00764FFF" w:rsidRPr="00AA45E9">
              <w:rPr>
                <w:rFonts w:ascii="Times New Roman" w:hAnsi="Times New Roman"/>
                <w:sz w:val="20"/>
                <w:szCs w:val="20"/>
              </w:rPr>
              <w:t>Prése</w:t>
            </w:r>
            <w:r w:rsidR="000A139C">
              <w:rPr>
                <w:rFonts w:ascii="Times New Roman" w:hAnsi="Times New Roman"/>
                <w:sz w:val="20"/>
                <w:szCs w:val="20"/>
              </w:rPr>
              <w:t>nce des panneaux de circulation</w:t>
            </w:r>
            <w:r>
              <w:rPr>
                <w:rFonts w:ascii="Times New Roman" w:hAnsi="Times New Roman"/>
                <w:sz w:val="20"/>
                <w:szCs w:val="20"/>
              </w:rPr>
              <w:t> ;</w:t>
            </w:r>
          </w:p>
          <w:p w:rsidR="00764FFF" w:rsidRPr="00AA45E9" w:rsidRDefault="00417379" w:rsidP="00764FFF">
            <w:pPr>
              <w:spacing w:after="0" w:line="240" w:lineRule="auto"/>
              <w:jc w:val="both"/>
              <w:rPr>
                <w:rFonts w:ascii="Times New Roman" w:hAnsi="Times New Roman"/>
                <w:sz w:val="20"/>
                <w:szCs w:val="20"/>
              </w:rPr>
            </w:pPr>
            <w:r>
              <w:rPr>
                <w:rFonts w:ascii="Times New Roman" w:hAnsi="Times New Roman"/>
                <w:sz w:val="20"/>
                <w:szCs w:val="20"/>
              </w:rPr>
              <w:t>-</w:t>
            </w:r>
            <w:r w:rsidR="000A139C">
              <w:rPr>
                <w:rFonts w:ascii="Times New Roman" w:hAnsi="Times New Roman"/>
                <w:sz w:val="20"/>
                <w:szCs w:val="20"/>
              </w:rPr>
              <w:t>Port effectif d’EPI</w:t>
            </w:r>
            <w:r>
              <w:rPr>
                <w:rFonts w:ascii="Times New Roman" w:hAnsi="Times New Roman"/>
                <w:sz w:val="20"/>
                <w:szCs w:val="20"/>
              </w:rPr>
              <w:t> ;</w:t>
            </w:r>
          </w:p>
          <w:p w:rsidR="00764FFF" w:rsidRPr="00AA45E9" w:rsidRDefault="00764FFF" w:rsidP="00764FFF">
            <w:pPr>
              <w:spacing w:after="0" w:line="240" w:lineRule="auto"/>
              <w:jc w:val="both"/>
              <w:rPr>
                <w:rFonts w:ascii="Times New Roman" w:hAnsi="Times New Roman"/>
                <w:sz w:val="20"/>
                <w:szCs w:val="20"/>
              </w:rPr>
            </w:pPr>
            <w:r w:rsidRPr="00AA45E9">
              <w:rPr>
                <w:rFonts w:ascii="Times New Roman" w:hAnsi="Times New Roman"/>
                <w:sz w:val="20"/>
                <w:szCs w:val="20"/>
              </w:rPr>
              <w:t>-Nombre de travailleurs portant leur EPI</w:t>
            </w:r>
            <w:r w:rsidR="00417379">
              <w:rPr>
                <w:rFonts w:ascii="Times New Roman" w:hAnsi="Times New Roman"/>
                <w:sz w:val="20"/>
                <w:szCs w:val="20"/>
              </w:rPr>
              <w:t> ;</w:t>
            </w:r>
          </w:p>
          <w:p w:rsidR="00764FFF" w:rsidRPr="00AA45E9" w:rsidRDefault="00764FFF" w:rsidP="00764FFF">
            <w:pPr>
              <w:spacing w:after="0" w:line="240" w:lineRule="auto"/>
              <w:jc w:val="both"/>
              <w:rPr>
                <w:rFonts w:ascii="Times New Roman" w:hAnsi="Times New Roman"/>
                <w:sz w:val="20"/>
                <w:szCs w:val="20"/>
              </w:rPr>
            </w:pPr>
            <w:r w:rsidRPr="00AA45E9">
              <w:rPr>
                <w:rFonts w:ascii="Times New Roman" w:hAnsi="Times New Roman"/>
                <w:sz w:val="20"/>
                <w:szCs w:val="20"/>
              </w:rPr>
              <w:t>-Nombre de personnes formées</w:t>
            </w:r>
            <w:r w:rsidR="00417379">
              <w:rPr>
                <w:rFonts w:ascii="Times New Roman" w:hAnsi="Times New Roman"/>
                <w:sz w:val="20"/>
                <w:szCs w:val="20"/>
              </w:rPr>
              <w:t> ;</w:t>
            </w:r>
          </w:p>
          <w:p w:rsidR="00764FFF" w:rsidRPr="00AA45E9" w:rsidRDefault="00764FFF" w:rsidP="00764FFF">
            <w:pPr>
              <w:spacing w:after="0" w:line="240" w:lineRule="auto"/>
              <w:jc w:val="both"/>
              <w:rPr>
                <w:rFonts w:ascii="Times New Roman" w:hAnsi="Times New Roman"/>
                <w:sz w:val="20"/>
                <w:szCs w:val="20"/>
              </w:rPr>
            </w:pPr>
            <w:r w:rsidRPr="00AA45E9">
              <w:rPr>
                <w:rFonts w:ascii="Times New Roman" w:hAnsi="Times New Roman"/>
                <w:sz w:val="20"/>
                <w:szCs w:val="20"/>
              </w:rPr>
              <w:t>-Nombre de consultation pour maladie</w:t>
            </w:r>
            <w:r w:rsidR="00417379">
              <w:rPr>
                <w:rFonts w:ascii="Times New Roman" w:hAnsi="Times New Roman"/>
                <w:sz w:val="20"/>
                <w:szCs w:val="20"/>
              </w:rPr>
              <w:t> ;</w:t>
            </w:r>
          </w:p>
          <w:p w:rsidR="00764FFF" w:rsidRPr="00AA45E9" w:rsidRDefault="00764FFF" w:rsidP="00764FFF">
            <w:pPr>
              <w:spacing w:after="0" w:line="240" w:lineRule="auto"/>
              <w:jc w:val="both"/>
              <w:rPr>
                <w:rFonts w:ascii="Times New Roman" w:hAnsi="Times New Roman"/>
                <w:sz w:val="20"/>
                <w:szCs w:val="20"/>
              </w:rPr>
            </w:pPr>
            <w:r w:rsidRPr="00AA45E9">
              <w:rPr>
                <w:rFonts w:ascii="Times New Roman" w:hAnsi="Times New Roman"/>
                <w:sz w:val="20"/>
                <w:szCs w:val="20"/>
              </w:rPr>
              <w:t>-Présence de la trousse de secours</w:t>
            </w:r>
            <w:r w:rsidR="00417379">
              <w:rPr>
                <w:rFonts w:ascii="Times New Roman" w:hAnsi="Times New Roman"/>
                <w:sz w:val="20"/>
                <w:szCs w:val="20"/>
              </w:rPr>
              <w:t> ;</w:t>
            </w:r>
          </w:p>
          <w:p w:rsidR="00764FFF" w:rsidRPr="00AA45E9" w:rsidRDefault="000A139C" w:rsidP="00764FFF">
            <w:pPr>
              <w:spacing w:after="0" w:line="240" w:lineRule="auto"/>
              <w:jc w:val="both"/>
              <w:rPr>
                <w:rFonts w:ascii="Times New Roman" w:hAnsi="Times New Roman"/>
                <w:sz w:val="20"/>
                <w:szCs w:val="20"/>
              </w:rPr>
            </w:pPr>
            <w:r>
              <w:rPr>
                <w:rFonts w:ascii="Times New Roman" w:hAnsi="Times New Roman"/>
                <w:sz w:val="20"/>
                <w:szCs w:val="20"/>
              </w:rPr>
              <w:t>-</w:t>
            </w:r>
            <w:r w:rsidR="00764FFF" w:rsidRPr="00AA45E9">
              <w:rPr>
                <w:rFonts w:ascii="Times New Roman" w:hAnsi="Times New Roman"/>
                <w:sz w:val="20"/>
                <w:szCs w:val="20"/>
              </w:rPr>
              <w:t>Copie des conventions signées</w:t>
            </w:r>
            <w:r w:rsidR="00417379">
              <w:rPr>
                <w:rFonts w:ascii="Times New Roman" w:hAnsi="Times New Roman"/>
                <w:sz w:val="20"/>
                <w:szCs w:val="20"/>
              </w:rPr>
              <w:t> ;</w:t>
            </w:r>
          </w:p>
          <w:p w:rsidR="00764FFF" w:rsidRPr="00AA45E9" w:rsidRDefault="000A139C" w:rsidP="00764FFF">
            <w:pPr>
              <w:spacing w:after="0" w:line="240" w:lineRule="auto"/>
              <w:jc w:val="both"/>
              <w:rPr>
                <w:rFonts w:ascii="Times New Roman" w:hAnsi="Times New Roman"/>
                <w:sz w:val="20"/>
                <w:szCs w:val="20"/>
              </w:rPr>
            </w:pPr>
            <w:r>
              <w:rPr>
                <w:rFonts w:ascii="Times New Roman" w:hAnsi="Times New Roman"/>
                <w:sz w:val="20"/>
                <w:szCs w:val="20"/>
              </w:rPr>
              <w:t>-</w:t>
            </w:r>
            <w:r w:rsidR="00764FFF" w:rsidRPr="00AA45E9">
              <w:rPr>
                <w:rFonts w:ascii="Times New Roman" w:hAnsi="Times New Roman"/>
                <w:sz w:val="20"/>
                <w:szCs w:val="20"/>
              </w:rPr>
              <w:t>Nombre de personnes sensibilisées</w:t>
            </w:r>
            <w:r w:rsidR="00417379">
              <w:rPr>
                <w:rFonts w:ascii="Times New Roman" w:hAnsi="Times New Roman"/>
                <w:sz w:val="20"/>
                <w:szCs w:val="20"/>
              </w:rPr>
              <w:t> ;</w:t>
            </w:r>
          </w:p>
          <w:p w:rsidR="00764FFF" w:rsidRDefault="00764FFF" w:rsidP="00764FFF">
            <w:pPr>
              <w:spacing w:after="0" w:line="240" w:lineRule="auto"/>
              <w:jc w:val="both"/>
              <w:rPr>
                <w:rFonts w:ascii="Times New Roman" w:hAnsi="Times New Roman"/>
                <w:sz w:val="20"/>
                <w:szCs w:val="20"/>
              </w:rPr>
            </w:pPr>
            <w:r w:rsidRPr="00AA45E9">
              <w:rPr>
                <w:rFonts w:ascii="Times New Roman" w:hAnsi="Times New Roman"/>
                <w:sz w:val="20"/>
                <w:szCs w:val="20"/>
              </w:rPr>
              <w:t>-Nombre de préservatifs distribués</w:t>
            </w:r>
            <w:r w:rsidR="00417379">
              <w:rPr>
                <w:rFonts w:ascii="Times New Roman" w:hAnsi="Times New Roman"/>
                <w:sz w:val="20"/>
                <w:szCs w:val="20"/>
              </w:rPr>
              <w:t> ;</w:t>
            </w:r>
          </w:p>
          <w:p w:rsidR="009D7624" w:rsidRDefault="009D7624" w:rsidP="00764FFF">
            <w:pPr>
              <w:spacing w:after="0" w:line="240" w:lineRule="auto"/>
              <w:jc w:val="both"/>
              <w:rPr>
                <w:rFonts w:ascii="Times New Roman" w:hAnsi="Times New Roman"/>
                <w:sz w:val="20"/>
                <w:szCs w:val="20"/>
              </w:rPr>
            </w:pPr>
            <w:r>
              <w:rPr>
                <w:rFonts w:ascii="Times New Roman" w:hAnsi="Times New Roman"/>
                <w:sz w:val="20"/>
                <w:szCs w:val="20"/>
              </w:rPr>
              <w:t xml:space="preserve">-Nombre de panneaux </w:t>
            </w:r>
          </w:p>
          <w:p w:rsidR="009D7624" w:rsidRDefault="009D7624" w:rsidP="00764FFF">
            <w:pPr>
              <w:spacing w:after="0" w:line="240" w:lineRule="auto"/>
              <w:jc w:val="both"/>
              <w:rPr>
                <w:rFonts w:ascii="Times New Roman" w:hAnsi="Times New Roman"/>
                <w:sz w:val="20"/>
                <w:szCs w:val="20"/>
              </w:rPr>
            </w:pPr>
            <w:r>
              <w:rPr>
                <w:rFonts w:ascii="Times New Roman" w:hAnsi="Times New Roman"/>
                <w:sz w:val="20"/>
                <w:szCs w:val="20"/>
              </w:rPr>
              <w:t xml:space="preserve">- Nombre de masque et de </w:t>
            </w:r>
            <w:r w:rsidR="004F7F5E">
              <w:rPr>
                <w:rFonts w:ascii="Times New Roman" w:hAnsi="Times New Roman"/>
                <w:sz w:val="20"/>
                <w:szCs w:val="20"/>
              </w:rPr>
              <w:t>gel distribué</w:t>
            </w:r>
          </w:p>
          <w:p w:rsidR="009D7624" w:rsidRPr="00AA45E9" w:rsidRDefault="009D7624" w:rsidP="00764FFF">
            <w:pPr>
              <w:spacing w:after="0" w:line="240" w:lineRule="auto"/>
              <w:jc w:val="both"/>
              <w:rPr>
                <w:rFonts w:ascii="Times New Roman" w:hAnsi="Times New Roman"/>
                <w:sz w:val="20"/>
                <w:szCs w:val="20"/>
              </w:rPr>
            </w:pPr>
            <w:r>
              <w:rPr>
                <w:rFonts w:ascii="Times New Roman" w:hAnsi="Times New Roman"/>
                <w:sz w:val="20"/>
                <w:szCs w:val="20"/>
              </w:rPr>
              <w:t>-</w:t>
            </w:r>
            <w:r w:rsidR="004F7F5E">
              <w:rPr>
                <w:rFonts w:ascii="Times New Roman" w:hAnsi="Times New Roman"/>
                <w:sz w:val="20"/>
                <w:szCs w:val="20"/>
              </w:rPr>
              <w:t>Nombre de campagne organisé</w:t>
            </w:r>
          </w:p>
        </w:tc>
        <w:tc>
          <w:tcPr>
            <w:tcW w:w="1240" w:type="dxa"/>
            <w:gridSpan w:val="2"/>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764FFF" w:rsidRPr="002407EF" w:rsidRDefault="00764FFF" w:rsidP="00764FFF">
            <w:pPr>
              <w:spacing w:after="0" w:line="240" w:lineRule="auto"/>
              <w:jc w:val="center"/>
              <w:rPr>
                <w:rFonts w:ascii="Times New Roman" w:hAnsi="Times New Roman"/>
                <w:b/>
                <w:sz w:val="20"/>
                <w:szCs w:val="20"/>
              </w:rPr>
            </w:pPr>
            <w:r w:rsidRPr="002407EF">
              <w:rPr>
                <w:rFonts w:ascii="Times New Roman" w:hAnsi="Times New Roman"/>
                <w:b/>
                <w:sz w:val="20"/>
                <w:szCs w:val="20"/>
              </w:rPr>
              <w:t>Entreprise</w:t>
            </w:r>
          </w:p>
          <w:p w:rsidR="00764FFF" w:rsidRPr="002407EF" w:rsidRDefault="00764FFF" w:rsidP="00764FFF">
            <w:pPr>
              <w:spacing w:after="0" w:line="240" w:lineRule="auto"/>
              <w:jc w:val="center"/>
              <w:rPr>
                <w:rFonts w:ascii="Times New Roman" w:hAnsi="Times New Roman"/>
                <w:b/>
                <w:sz w:val="20"/>
                <w:szCs w:val="20"/>
              </w:rPr>
            </w:pPr>
          </w:p>
        </w:tc>
        <w:tc>
          <w:tcPr>
            <w:tcW w:w="1276" w:type="dxa"/>
            <w:gridSpan w:val="2"/>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764FFF" w:rsidRPr="002407EF" w:rsidRDefault="00764FFF" w:rsidP="00764FFF">
            <w:pPr>
              <w:spacing w:after="0" w:line="240" w:lineRule="auto"/>
              <w:jc w:val="center"/>
              <w:rPr>
                <w:rFonts w:ascii="Times New Roman" w:hAnsi="Times New Roman"/>
                <w:b/>
                <w:sz w:val="20"/>
                <w:szCs w:val="20"/>
              </w:rPr>
            </w:pPr>
            <w:r w:rsidRPr="002407EF">
              <w:rPr>
                <w:rFonts w:ascii="Times New Roman" w:hAnsi="Times New Roman"/>
                <w:b/>
                <w:sz w:val="20"/>
                <w:szCs w:val="20"/>
              </w:rPr>
              <w:t>Comité de suivi</w:t>
            </w:r>
          </w:p>
          <w:p w:rsidR="000A139C" w:rsidRPr="002407EF" w:rsidRDefault="000A139C" w:rsidP="00764FFF">
            <w:pPr>
              <w:spacing w:after="0" w:line="240" w:lineRule="auto"/>
              <w:jc w:val="center"/>
              <w:rPr>
                <w:rFonts w:ascii="Times New Roman" w:hAnsi="Times New Roman"/>
                <w:b/>
                <w:sz w:val="20"/>
                <w:szCs w:val="20"/>
              </w:rPr>
            </w:pPr>
          </w:p>
          <w:p w:rsidR="000A139C" w:rsidRPr="002407EF" w:rsidRDefault="000A139C" w:rsidP="00764FFF">
            <w:pPr>
              <w:spacing w:after="0" w:line="240" w:lineRule="auto"/>
              <w:jc w:val="center"/>
              <w:rPr>
                <w:rFonts w:ascii="Times New Roman" w:hAnsi="Times New Roman"/>
                <w:b/>
                <w:sz w:val="20"/>
                <w:szCs w:val="20"/>
              </w:rPr>
            </w:pPr>
            <w:r w:rsidRPr="002407EF">
              <w:rPr>
                <w:rFonts w:ascii="Times New Roman" w:hAnsi="Times New Roman"/>
                <w:b/>
                <w:sz w:val="20"/>
                <w:szCs w:val="20"/>
              </w:rPr>
              <w:t>PUASEE-FA</w:t>
            </w:r>
          </w:p>
        </w:tc>
        <w:tc>
          <w:tcPr>
            <w:tcW w:w="1134" w:type="dxa"/>
            <w:tcBorders>
              <w:top w:val="single" w:sz="4" w:space="0" w:color="auto"/>
              <w:left w:val="single" w:sz="4" w:space="0" w:color="auto"/>
              <w:bottom w:val="single" w:sz="4" w:space="0" w:color="auto"/>
              <w:right w:val="single" w:sz="4" w:space="0" w:color="auto"/>
            </w:tcBorders>
            <w:vAlign w:val="center"/>
          </w:tcPr>
          <w:p w:rsidR="00764FFF" w:rsidRPr="00AA45E9" w:rsidRDefault="00764FFF" w:rsidP="00764FFF">
            <w:pPr>
              <w:spacing w:after="0" w:line="240" w:lineRule="auto"/>
              <w:jc w:val="center"/>
              <w:rPr>
                <w:rFonts w:ascii="Times New Roman" w:hAnsi="Times New Roman"/>
                <w:sz w:val="20"/>
                <w:szCs w:val="20"/>
              </w:rPr>
            </w:pPr>
            <w:r w:rsidRPr="00AA45E9">
              <w:rPr>
                <w:rFonts w:ascii="Times New Roman" w:hAnsi="Times New Roman"/>
                <w:sz w:val="20"/>
                <w:szCs w:val="20"/>
              </w:rPr>
              <w:t>Durant les travaux / Trimestrielle</w:t>
            </w:r>
          </w:p>
        </w:tc>
        <w:tc>
          <w:tcPr>
            <w:tcW w:w="1374"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764FFF" w:rsidRPr="00AA45E9" w:rsidRDefault="00764FFF" w:rsidP="00764FFF">
            <w:pPr>
              <w:spacing w:after="0" w:line="240" w:lineRule="auto"/>
              <w:jc w:val="center"/>
              <w:rPr>
                <w:rFonts w:ascii="Times New Roman" w:hAnsi="Times New Roman"/>
                <w:b/>
                <w:sz w:val="20"/>
                <w:szCs w:val="20"/>
              </w:rPr>
            </w:pPr>
            <w:r w:rsidRPr="00AA45E9">
              <w:rPr>
                <w:rFonts w:ascii="Times New Roman" w:hAnsi="Times New Roman"/>
                <w:b/>
                <w:sz w:val="20"/>
                <w:szCs w:val="20"/>
              </w:rPr>
              <w:t>8 000 000</w:t>
            </w:r>
          </w:p>
        </w:tc>
        <w:tc>
          <w:tcPr>
            <w:tcW w:w="1237" w:type="dxa"/>
            <w:gridSpan w:val="3"/>
            <w:tcBorders>
              <w:top w:val="single" w:sz="4" w:space="0" w:color="auto"/>
              <w:left w:val="single" w:sz="4" w:space="0" w:color="auto"/>
              <w:bottom w:val="single" w:sz="4" w:space="0" w:color="auto"/>
              <w:right w:val="single" w:sz="4" w:space="0" w:color="auto"/>
            </w:tcBorders>
            <w:vAlign w:val="center"/>
          </w:tcPr>
          <w:p w:rsidR="00764FFF" w:rsidRPr="00AA45E9" w:rsidRDefault="00764FFF" w:rsidP="00764FFF">
            <w:pPr>
              <w:spacing w:after="0" w:line="240" w:lineRule="auto"/>
              <w:jc w:val="center"/>
              <w:rPr>
                <w:rFonts w:ascii="Times New Roman" w:hAnsi="Times New Roman"/>
                <w:sz w:val="20"/>
                <w:szCs w:val="20"/>
              </w:rPr>
            </w:pPr>
            <w:r w:rsidRPr="00AA45E9">
              <w:rPr>
                <w:rFonts w:ascii="Times New Roman" w:hAnsi="Times New Roman"/>
                <w:sz w:val="20"/>
                <w:szCs w:val="20"/>
              </w:rPr>
              <w:t>Coût inclus dans le protocole d’accord entre le promoteur et le CRS</w:t>
            </w:r>
          </w:p>
        </w:tc>
      </w:tr>
      <w:tr w:rsidR="00E22D9A" w:rsidRPr="00AA45E9" w:rsidTr="007D251E">
        <w:trPr>
          <w:trHeight w:val="1452"/>
          <w:jc w:val="center"/>
        </w:trPr>
        <w:tc>
          <w:tcPr>
            <w:tcW w:w="1127"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E22D9A" w:rsidRDefault="00E22D9A" w:rsidP="00E22D9A">
            <w:pPr>
              <w:spacing w:after="0" w:line="240" w:lineRule="auto"/>
              <w:jc w:val="center"/>
              <w:rPr>
                <w:rFonts w:ascii="Times New Roman" w:hAnsi="Times New Roman"/>
                <w:b/>
                <w:bCs/>
                <w:sz w:val="20"/>
                <w:szCs w:val="20"/>
              </w:rPr>
            </w:pPr>
            <w:r>
              <w:rPr>
                <w:rFonts w:ascii="Times New Roman" w:hAnsi="Times New Roman"/>
                <w:b/>
                <w:bCs/>
                <w:sz w:val="20"/>
                <w:szCs w:val="20"/>
              </w:rPr>
              <w:t>Economie</w:t>
            </w:r>
          </w:p>
        </w:tc>
        <w:tc>
          <w:tcPr>
            <w:tcW w:w="2304" w:type="dxa"/>
            <w:gridSpan w:val="2"/>
            <w:tcBorders>
              <w:top w:val="single" w:sz="4" w:space="0" w:color="auto"/>
              <w:left w:val="single" w:sz="4" w:space="0" w:color="auto"/>
              <w:bottom w:val="single" w:sz="4" w:space="0" w:color="auto"/>
              <w:right w:val="single" w:sz="4" w:space="0" w:color="auto"/>
            </w:tcBorders>
            <w:vAlign w:val="center"/>
          </w:tcPr>
          <w:p w:rsidR="00E22D9A" w:rsidRPr="0074230D" w:rsidRDefault="00E22D9A" w:rsidP="00E22D9A">
            <w:pPr>
              <w:spacing w:after="0" w:line="240" w:lineRule="auto"/>
              <w:jc w:val="both"/>
              <w:rPr>
                <w:rFonts w:ascii="Times New Roman" w:hAnsi="Times New Roman"/>
                <w:sz w:val="20"/>
                <w:szCs w:val="20"/>
              </w:rPr>
            </w:pPr>
            <w:r w:rsidRPr="0074230D">
              <w:rPr>
                <w:rFonts w:ascii="Times New Roman" w:hAnsi="Times New Roman" w:cs="Times New Roman"/>
                <w:color w:val="000000"/>
                <w:sz w:val="20"/>
                <w:szCs w:val="20"/>
              </w:rPr>
              <w:t>Risque de perturbation des activités commerciales</w:t>
            </w:r>
          </w:p>
        </w:tc>
        <w:tc>
          <w:tcPr>
            <w:tcW w:w="3829" w:type="dxa"/>
            <w:gridSpan w:val="2"/>
            <w:tcBorders>
              <w:top w:val="single" w:sz="4" w:space="0" w:color="auto"/>
              <w:left w:val="single" w:sz="4" w:space="0" w:color="auto"/>
              <w:bottom w:val="single" w:sz="4" w:space="0" w:color="auto"/>
              <w:right w:val="single" w:sz="4" w:space="0" w:color="auto"/>
            </w:tcBorders>
            <w:vAlign w:val="center"/>
          </w:tcPr>
          <w:p w:rsidR="00E22D9A" w:rsidRPr="00F56B7E" w:rsidRDefault="00E22D9A" w:rsidP="00E22D9A">
            <w:pPr>
              <w:spacing w:after="0" w:line="240" w:lineRule="auto"/>
              <w:jc w:val="both"/>
              <w:rPr>
                <w:rFonts w:ascii="Times New Roman" w:hAnsi="Times New Roman"/>
                <w:sz w:val="20"/>
                <w:szCs w:val="20"/>
              </w:rPr>
            </w:pPr>
            <w:r w:rsidRPr="00F56B7E">
              <w:rPr>
                <w:rFonts w:ascii="Times New Roman" w:hAnsi="Times New Roman"/>
                <w:sz w:val="20"/>
                <w:szCs w:val="20"/>
              </w:rPr>
              <w:t>-Informer les commerçants qui seront impactés avant le démarrage des travaux ;</w:t>
            </w:r>
          </w:p>
          <w:p w:rsidR="00E22D9A" w:rsidRPr="00F56B7E" w:rsidRDefault="00E22D9A" w:rsidP="00E22D9A">
            <w:pPr>
              <w:spacing w:after="0" w:line="240" w:lineRule="auto"/>
              <w:jc w:val="both"/>
              <w:rPr>
                <w:rFonts w:ascii="Times New Roman" w:hAnsi="Times New Roman"/>
                <w:sz w:val="20"/>
                <w:szCs w:val="20"/>
              </w:rPr>
            </w:pPr>
            <w:r w:rsidRPr="00F56B7E">
              <w:rPr>
                <w:rFonts w:ascii="Times New Roman" w:hAnsi="Times New Roman"/>
                <w:sz w:val="20"/>
                <w:szCs w:val="20"/>
              </w:rPr>
              <w:t>-Eviter de bloquer les accès aux commerces ou une simple entrave à la circulat</w:t>
            </w:r>
            <w:r>
              <w:rPr>
                <w:rFonts w:ascii="Times New Roman" w:hAnsi="Times New Roman"/>
                <w:sz w:val="20"/>
                <w:szCs w:val="20"/>
              </w:rPr>
              <w:t xml:space="preserve">ion des biens et des personnes (surtout à Safim) ; </w:t>
            </w:r>
          </w:p>
          <w:p w:rsidR="00E22D9A" w:rsidRPr="00F56B7E" w:rsidRDefault="00E22D9A" w:rsidP="00E22D9A">
            <w:pPr>
              <w:spacing w:after="0" w:line="240" w:lineRule="auto"/>
              <w:jc w:val="both"/>
              <w:rPr>
                <w:rFonts w:ascii="Times New Roman" w:hAnsi="Times New Roman"/>
                <w:sz w:val="20"/>
                <w:szCs w:val="20"/>
              </w:rPr>
            </w:pPr>
            <w:r w:rsidRPr="00F56B7E">
              <w:rPr>
                <w:rFonts w:ascii="Times New Roman" w:hAnsi="Times New Roman"/>
                <w:sz w:val="20"/>
                <w:szCs w:val="20"/>
              </w:rPr>
              <w:t>-Mettre en œuvre le PAR ;</w:t>
            </w:r>
          </w:p>
        </w:tc>
        <w:tc>
          <w:tcPr>
            <w:tcW w:w="2835" w:type="dxa"/>
            <w:gridSpan w:val="2"/>
            <w:tcBorders>
              <w:top w:val="single" w:sz="4" w:space="0" w:color="auto"/>
              <w:left w:val="single" w:sz="4" w:space="0" w:color="auto"/>
              <w:bottom w:val="single" w:sz="4" w:space="0" w:color="auto"/>
              <w:right w:val="single" w:sz="4" w:space="0" w:color="auto"/>
            </w:tcBorders>
            <w:vAlign w:val="center"/>
          </w:tcPr>
          <w:p w:rsidR="00E22D9A" w:rsidRDefault="00E22D9A" w:rsidP="00E22D9A">
            <w:pPr>
              <w:spacing w:after="0" w:line="240" w:lineRule="auto"/>
              <w:jc w:val="both"/>
              <w:rPr>
                <w:rFonts w:ascii="Times New Roman" w:hAnsi="Times New Roman"/>
                <w:sz w:val="20"/>
                <w:szCs w:val="20"/>
              </w:rPr>
            </w:pPr>
            <w:r>
              <w:rPr>
                <w:rFonts w:ascii="Times New Roman" w:hAnsi="Times New Roman"/>
                <w:sz w:val="20"/>
                <w:szCs w:val="20"/>
              </w:rPr>
              <w:t>-Nombre de commerçants informés ;</w:t>
            </w:r>
          </w:p>
          <w:p w:rsidR="00E22D9A" w:rsidRDefault="00E22D9A" w:rsidP="00E22D9A">
            <w:pPr>
              <w:spacing w:after="0" w:line="240" w:lineRule="auto"/>
              <w:jc w:val="both"/>
              <w:rPr>
                <w:rFonts w:ascii="Times New Roman" w:hAnsi="Times New Roman"/>
                <w:sz w:val="20"/>
                <w:szCs w:val="20"/>
              </w:rPr>
            </w:pPr>
            <w:r>
              <w:rPr>
                <w:rFonts w:ascii="Times New Roman" w:hAnsi="Times New Roman"/>
                <w:sz w:val="20"/>
                <w:szCs w:val="20"/>
              </w:rPr>
              <w:t>-Pas d’accès bloqué ;</w:t>
            </w:r>
          </w:p>
          <w:p w:rsidR="00E22D9A" w:rsidRDefault="00E22D9A" w:rsidP="00E22D9A">
            <w:pPr>
              <w:spacing w:after="0" w:line="240" w:lineRule="auto"/>
              <w:jc w:val="both"/>
              <w:rPr>
                <w:rFonts w:ascii="Times New Roman" w:hAnsi="Times New Roman"/>
                <w:sz w:val="20"/>
                <w:szCs w:val="20"/>
              </w:rPr>
            </w:pPr>
            <w:r>
              <w:rPr>
                <w:rFonts w:ascii="Times New Roman" w:hAnsi="Times New Roman"/>
                <w:sz w:val="20"/>
                <w:szCs w:val="20"/>
              </w:rPr>
              <w:t>-Mise en œuvre du PAR effectif ;</w:t>
            </w:r>
          </w:p>
          <w:p w:rsidR="00E22D9A" w:rsidRPr="00AA45E9" w:rsidRDefault="00E22D9A" w:rsidP="00E22D9A">
            <w:pPr>
              <w:spacing w:after="0" w:line="240" w:lineRule="auto"/>
              <w:jc w:val="both"/>
              <w:rPr>
                <w:rFonts w:ascii="Times New Roman" w:hAnsi="Times New Roman"/>
                <w:sz w:val="20"/>
                <w:szCs w:val="20"/>
              </w:rPr>
            </w:pPr>
            <w:r>
              <w:rPr>
                <w:rFonts w:ascii="Times New Roman" w:hAnsi="Times New Roman"/>
                <w:sz w:val="20"/>
                <w:szCs w:val="20"/>
              </w:rPr>
              <w:t>-PV d’indemnisation des PAPs</w:t>
            </w:r>
          </w:p>
        </w:tc>
        <w:tc>
          <w:tcPr>
            <w:tcW w:w="1240" w:type="dxa"/>
            <w:gridSpan w:val="2"/>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E22D9A" w:rsidRPr="002407EF" w:rsidRDefault="00E22D9A" w:rsidP="00E22D9A">
            <w:pPr>
              <w:spacing w:after="0" w:line="240" w:lineRule="auto"/>
              <w:jc w:val="center"/>
              <w:rPr>
                <w:rFonts w:ascii="Times New Roman" w:hAnsi="Times New Roman"/>
                <w:b/>
                <w:sz w:val="20"/>
                <w:szCs w:val="20"/>
              </w:rPr>
            </w:pPr>
            <w:r w:rsidRPr="002407EF">
              <w:rPr>
                <w:rFonts w:ascii="Times New Roman" w:hAnsi="Times New Roman"/>
                <w:b/>
                <w:sz w:val="20"/>
                <w:szCs w:val="20"/>
              </w:rPr>
              <w:t>Entreprise</w:t>
            </w:r>
          </w:p>
          <w:p w:rsidR="00E22D9A" w:rsidRPr="002407EF" w:rsidRDefault="00E22D9A" w:rsidP="00E22D9A">
            <w:pPr>
              <w:spacing w:after="0" w:line="240" w:lineRule="auto"/>
              <w:jc w:val="center"/>
              <w:rPr>
                <w:rFonts w:ascii="Times New Roman" w:hAnsi="Times New Roman"/>
                <w:b/>
                <w:sz w:val="20"/>
                <w:szCs w:val="20"/>
              </w:rPr>
            </w:pPr>
            <w:r w:rsidRPr="002407EF">
              <w:rPr>
                <w:rFonts w:ascii="Times New Roman" w:hAnsi="Times New Roman"/>
                <w:b/>
                <w:sz w:val="20"/>
                <w:szCs w:val="20"/>
              </w:rPr>
              <w:t>PUASEE-FA</w:t>
            </w:r>
          </w:p>
        </w:tc>
        <w:tc>
          <w:tcPr>
            <w:tcW w:w="1276" w:type="dxa"/>
            <w:gridSpan w:val="2"/>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E22D9A" w:rsidRPr="002407EF" w:rsidRDefault="00E22D9A" w:rsidP="00E22D9A">
            <w:pPr>
              <w:spacing w:after="0" w:line="240" w:lineRule="auto"/>
              <w:jc w:val="center"/>
              <w:rPr>
                <w:rFonts w:ascii="Times New Roman" w:hAnsi="Times New Roman"/>
                <w:b/>
                <w:sz w:val="20"/>
                <w:szCs w:val="20"/>
              </w:rPr>
            </w:pPr>
            <w:r w:rsidRPr="002407EF">
              <w:rPr>
                <w:rFonts w:ascii="Times New Roman" w:hAnsi="Times New Roman"/>
                <w:b/>
                <w:sz w:val="20"/>
                <w:szCs w:val="20"/>
              </w:rPr>
              <w:t>Comité de suivi</w:t>
            </w:r>
          </w:p>
          <w:p w:rsidR="00E22D9A" w:rsidRPr="002407EF" w:rsidRDefault="00E22D9A" w:rsidP="00E22D9A">
            <w:pPr>
              <w:spacing w:after="0" w:line="240" w:lineRule="auto"/>
              <w:jc w:val="center"/>
              <w:rPr>
                <w:rFonts w:ascii="Times New Roman" w:hAnsi="Times New Roman"/>
                <w:b/>
                <w:sz w:val="20"/>
                <w:szCs w:val="20"/>
              </w:rPr>
            </w:pPr>
          </w:p>
          <w:p w:rsidR="00E22D9A" w:rsidRPr="002407EF" w:rsidRDefault="00E22D9A" w:rsidP="00E22D9A">
            <w:pPr>
              <w:autoSpaceDE w:val="0"/>
              <w:autoSpaceDN w:val="0"/>
              <w:adjustRightInd w:val="0"/>
              <w:spacing w:after="0" w:line="240" w:lineRule="auto"/>
              <w:jc w:val="center"/>
              <w:rPr>
                <w:rFonts w:ascii="Times New Roman" w:hAnsi="Times New Roman"/>
                <w:b/>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rsidR="00E22D9A" w:rsidRPr="00AA45E9" w:rsidRDefault="00E22D9A" w:rsidP="00E22D9A">
            <w:pPr>
              <w:spacing w:after="0" w:line="240" w:lineRule="auto"/>
              <w:jc w:val="center"/>
              <w:rPr>
                <w:rFonts w:ascii="Times New Roman" w:hAnsi="Times New Roman"/>
                <w:sz w:val="20"/>
                <w:szCs w:val="20"/>
              </w:rPr>
            </w:pPr>
            <w:r w:rsidRPr="00AA45E9">
              <w:rPr>
                <w:rFonts w:ascii="Times New Roman" w:hAnsi="Times New Roman"/>
                <w:sz w:val="20"/>
                <w:szCs w:val="20"/>
              </w:rPr>
              <w:t>Durant les travaux / Trimestrielle</w:t>
            </w:r>
          </w:p>
        </w:tc>
        <w:tc>
          <w:tcPr>
            <w:tcW w:w="1374"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E22D9A" w:rsidRPr="00AA45E9" w:rsidRDefault="00E22D9A" w:rsidP="00E22D9A">
            <w:pPr>
              <w:spacing w:after="0" w:line="240" w:lineRule="auto"/>
              <w:jc w:val="center"/>
              <w:rPr>
                <w:rFonts w:ascii="Times New Roman" w:hAnsi="Times New Roman"/>
                <w:b/>
                <w:sz w:val="20"/>
                <w:szCs w:val="20"/>
              </w:rPr>
            </w:pPr>
            <w:r>
              <w:rPr>
                <w:rFonts w:ascii="Times New Roman" w:hAnsi="Times New Roman"/>
                <w:b/>
                <w:sz w:val="20"/>
                <w:szCs w:val="20"/>
              </w:rPr>
              <w:t>4 000 000</w:t>
            </w:r>
          </w:p>
        </w:tc>
        <w:tc>
          <w:tcPr>
            <w:tcW w:w="1237" w:type="dxa"/>
            <w:gridSpan w:val="3"/>
            <w:tcBorders>
              <w:top w:val="single" w:sz="4" w:space="0" w:color="auto"/>
              <w:left w:val="single" w:sz="4" w:space="0" w:color="auto"/>
              <w:bottom w:val="single" w:sz="4" w:space="0" w:color="auto"/>
              <w:right w:val="single" w:sz="4" w:space="0" w:color="auto"/>
            </w:tcBorders>
            <w:vAlign w:val="center"/>
          </w:tcPr>
          <w:p w:rsidR="00E22D9A" w:rsidRPr="00AA45E9" w:rsidRDefault="00E22D9A" w:rsidP="00E22D9A">
            <w:pPr>
              <w:spacing w:after="0" w:line="240" w:lineRule="auto"/>
              <w:jc w:val="center"/>
              <w:rPr>
                <w:rFonts w:ascii="Times New Roman" w:hAnsi="Times New Roman"/>
                <w:sz w:val="20"/>
                <w:szCs w:val="20"/>
              </w:rPr>
            </w:pPr>
            <w:r w:rsidRPr="00AA45E9">
              <w:rPr>
                <w:rFonts w:ascii="Times New Roman" w:hAnsi="Times New Roman"/>
                <w:sz w:val="20"/>
                <w:szCs w:val="20"/>
              </w:rPr>
              <w:t>Coût inclus dans le protocole d’accord entre le promoteur et le CRS</w:t>
            </w:r>
          </w:p>
        </w:tc>
      </w:tr>
      <w:tr w:rsidR="0042094D" w:rsidRPr="00AA45E9" w:rsidTr="007D251E">
        <w:trPr>
          <w:trHeight w:val="1726"/>
          <w:jc w:val="center"/>
        </w:trPr>
        <w:tc>
          <w:tcPr>
            <w:tcW w:w="1127"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42094D" w:rsidRPr="00AA45E9" w:rsidRDefault="0042094D" w:rsidP="00EF42EF">
            <w:pPr>
              <w:spacing w:after="0" w:line="240" w:lineRule="auto"/>
              <w:jc w:val="center"/>
              <w:rPr>
                <w:rFonts w:ascii="Times New Roman" w:hAnsi="Times New Roman"/>
                <w:b/>
                <w:bCs/>
                <w:sz w:val="20"/>
                <w:szCs w:val="20"/>
              </w:rPr>
            </w:pPr>
            <w:r w:rsidRPr="00AA45E9">
              <w:rPr>
                <w:rFonts w:ascii="Times New Roman" w:hAnsi="Times New Roman"/>
                <w:b/>
                <w:bCs/>
                <w:sz w:val="20"/>
                <w:szCs w:val="20"/>
              </w:rPr>
              <w:lastRenderedPageBreak/>
              <w:t>Humain</w:t>
            </w:r>
          </w:p>
        </w:tc>
        <w:tc>
          <w:tcPr>
            <w:tcW w:w="2304" w:type="dxa"/>
            <w:gridSpan w:val="2"/>
            <w:tcBorders>
              <w:top w:val="single" w:sz="4" w:space="0" w:color="auto"/>
              <w:left w:val="single" w:sz="4" w:space="0" w:color="auto"/>
              <w:bottom w:val="single" w:sz="4" w:space="0" w:color="auto"/>
              <w:right w:val="single" w:sz="4" w:space="0" w:color="auto"/>
            </w:tcBorders>
            <w:vAlign w:val="center"/>
          </w:tcPr>
          <w:p w:rsidR="0042094D" w:rsidRPr="00AA45E9" w:rsidRDefault="0042094D" w:rsidP="00EF42EF">
            <w:pPr>
              <w:spacing w:after="0" w:line="240" w:lineRule="auto"/>
              <w:jc w:val="center"/>
              <w:rPr>
                <w:rFonts w:ascii="Times New Roman" w:hAnsi="Times New Roman"/>
                <w:sz w:val="20"/>
                <w:szCs w:val="20"/>
              </w:rPr>
            </w:pPr>
            <w:r w:rsidRPr="00AA45E9">
              <w:rPr>
                <w:rFonts w:ascii="Times New Roman" w:hAnsi="Times New Roman"/>
                <w:sz w:val="20"/>
                <w:szCs w:val="20"/>
              </w:rPr>
              <w:t>Risques de perte de terre</w:t>
            </w:r>
          </w:p>
        </w:tc>
        <w:tc>
          <w:tcPr>
            <w:tcW w:w="3829" w:type="dxa"/>
            <w:gridSpan w:val="2"/>
            <w:tcBorders>
              <w:top w:val="single" w:sz="4" w:space="0" w:color="auto"/>
              <w:left w:val="single" w:sz="4" w:space="0" w:color="auto"/>
              <w:bottom w:val="single" w:sz="4" w:space="0" w:color="auto"/>
              <w:right w:val="single" w:sz="4" w:space="0" w:color="auto"/>
            </w:tcBorders>
            <w:vAlign w:val="center"/>
          </w:tcPr>
          <w:p w:rsidR="0042094D" w:rsidRPr="00AA45E9" w:rsidRDefault="0042094D" w:rsidP="00EF42EF">
            <w:pPr>
              <w:spacing w:after="0" w:line="240" w:lineRule="auto"/>
              <w:jc w:val="both"/>
              <w:rPr>
                <w:rFonts w:ascii="Times New Roman" w:hAnsi="Times New Roman"/>
              </w:rPr>
            </w:pPr>
            <w:r w:rsidRPr="00AA45E9">
              <w:rPr>
                <w:rFonts w:ascii="Times New Roman" w:hAnsi="Times New Roman"/>
              </w:rPr>
              <w:t xml:space="preserve">-Recenser et sensibiliser </w:t>
            </w:r>
            <w:r w:rsidRPr="00AA45E9">
              <w:rPr>
                <w:rFonts w:ascii="Times New Roman" w:hAnsi="Times New Roman"/>
                <w:sz w:val="20"/>
                <w:szCs w:val="20"/>
              </w:rPr>
              <w:t>les parties affectées</w:t>
            </w:r>
            <w:r w:rsidR="00E22D9A">
              <w:rPr>
                <w:rFonts w:ascii="Times New Roman" w:hAnsi="Times New Roman"/>
                <w:sz w:val="20"/>
                <w:szCs w:val="20"/>
              </w:rPr>
              <w:t> ;</w:t>
            </w:r>
          </w:p>
          <w:p w:rsidR="0042094D" w:rsidRPr="00AA45E9" w:rsidRDefault="0042094D" w:rsidP="00EF42EF">
            <w:pPr>
              <w:spacing w:after="0" w:line="240" w:lineRule="auto"/>
              <w:jc w:val="both"/>
              <w:rPr>
                <w:rFonts w:ascii="Times New Roman" w:hAnsi="Times New Roman"/>
                <w:sz w:val="20"/>
                <w:szCs w:val="20"/>
              </w:rPr>
            </w:pPr>
            <w:r w:rsidRPr="00AA45E9">
              <w:rPr>
                <w:rFonts w:ascii="Times New Roman" w:hAnsi="Times New Roman"/>
                <w:sz w:val="20"/>
                <w:szCs w:val="20"/>
              </w:rPr>
              <w:t>-Envisager la compensation financière des pertes</w:t>
            </w:r>
            <w:r w:rsidR="00E22D9A">
              <w:rPr>
                <w:rFonts w:ascii="Times New Roman" w:hAnsi="Times New Roman"/>
                <w:sz w:val="20"/>
                <w:szCs w:val="20"/>
              </w:rPr>
              <w:t> ;</w:t>
            </w:r>
          </w:p>
          <w:p w:rsidR="0042094D" w:rsidRPr="00AA45E9" w:rsidRDefault="0042094D" w:rsidP="00EF42EF">
            <w:pPr>
              <w:spacing w:after="0" w:line="240" w:lineRule="auto"/>
              <w:jc w:val="both"/>
              <w:rPr>
                <w:rFonts w:ascii="Times New Roman" w:hAnsi="Times New Roman"/>
                <w:sz w:val="20"/>
                <w:szCs w:val="20"/>
              </w:rPr>
            </w:pPr>
            <w:r w:rsidRPr="00AA45E9">
              <w:rPr>
                <w:rFonts w:ascii="Times New Roman" w:hAnsi="Times New Roman"/>
                <w:sz w:val="20"/>
                <w:szCs w:val="20"/>
              </w:rPr>
              <w:t>-</w:t>
            </w:r>
            <w:r w:rsidRPr="00AA45E9">
              <w:rPr>
                <w:rFonts w:ascii="Times New Roman" w:hAnsi="Times New Roman"/>
              </w:rPr>
              <w:t xml:space="preserve"> Mettre en œuvre le PAR</w:t>
            </w:r>
            <w:r w:rsidR="00E22D9A">
              <w:rPr>
                <w:rFonts w:ascii="Times New Roman" w:hAnsi="Times New Roman"/>
              </w:rPr>
              <w:t> ;</w:t>
            </w:r>
          </w:p>
          <w:p w:rsidR="0042094D" w:rsidRPr="00AA45E9" w:rsidRDefault="0042094D" w:rsidP="00EF42EF">
            <w:pPr>
              <w:spacing w:after="0" w:line="240" w:lineRule="auto"/>
              <w:jc w:val="both"/>
              <w:rPr>
                <w:rFonts w:ascii="Times New Roman" w:hAnsi="Times New Roman"/>
                <w:sz w:val="20"/>
                <w:szCs w:val="20"/>
              </w:rPr>
            </w:pPr>
            <w:r w:rsidRPr="00AA45E9">
              <w:rPr>
                <w:rFonts w:ascii="Times New Roman" w:hAnsi="Times New Roman"/>
                <w:sz w:val="20"/>
                <w:szCs w:val="20"/>
              </w:rPr>
              <w:t>-Impliquer les autorités administratives et locales</w:t>
            </w:r>
            <w:r w:rsidR="00E22D9A">
              <w:rPr>
                <w:rFonts w:ascii="Times New Roman" w:hAnsi="Times New Roman"/>
                <w:sz w:val="20"/>
                <w:szCs w:val="20"/>
              </w:rPr>
              <w:t> ;</w:t>
            </w:r>
          </w:p>
        </w:tc>
        <w:tc>
          <w:tcPr>
            <w:tcW w:w="2835" w:type="dxa"/>
            <w:gridSpan w:val="2"/>
            <w:tcBorders>
              <w:top w:val="single" w:sz="4" w:space="0" w:color="auto"/>
              <w:left w:val="single" w:sz="4" w:space="0" w:color="auto"/>
              <w:bottom w:val="single" w:sz="4" w:space="0" w:color="auto"/>
              <w:right w:val="single" w:sz="4" w:space="0" w:color="auto"/>
            </w:tcBorders>
            <w:vAlign w:val="center"/>
          </w:tcPr>
          <w:p w:rsidR="0042094D" w:rsidRPr="00AA45E9" w:rsidRDefault="0042094D" w:rsidP="00EF42EF">
            <w:pPr>
              <w:spacing w:after="0" w:line="240" w:lineRule="auto"/>
              <w:jc w:val="both"/>
              <w:rPr>
                <w:rFonts w:ascii="Times New Roman" w:hAnsi="Times New Roman"/>
                <w:sz w:val="20"/>
                <w:szCs w:val="20"/>
              </w:rPr>
            </w:pPr>
            <w:r w:rsidRPr="00AA45E9">
              <w:rPr>
                <w:rFonts w:ascii="Times New Roman" w:hAnsi="Times New Roman"/>
                <w:sz w:val="20"/>
                <w:szCs w:val="20"/>
              </w:rPr>
              <w:t>-Nombre d’impactés recensés</w:t>
            </w:r>
            <w:r w:rsidR="00E22D9A">
              <w:rPr>
                <w:rFonts w:ascii="Times New Roman" w:hAnsi="Times New Roman"/>
                <w:sz w:val="20"/>
                <w:szCs w:val="20"/>
              </w:rPr>
              <w:t> ;</w:t>
            </w:r>
          </w:p>
          <w:p w:rsidR="0042094D" w:rsidRPr="00AA45E9" w:rsidRDefault="0042094D" w:rsidP="00EF42EF">
            <w:pPr>
              <w:spacing w:after="0" w:line="240" w:lineRule="auto"/>
              <w:jc w:val="both"/>
              <w:rPr>
                <w:rFonts w:ascii="Times New Roman" w:hAnsi="Times New Roman"/>
                <w:sz w:val="20"/>
                <w:szCs w:val="20"/>
              </w:rPr>
            </w:pPr>
            <w:r w:rsidRPr="00AA45E9">
              <w:rPr>
                <w:rFonts w:ascii="Times New Roman" w:hAnsi="Times New Roman"/>
                <w:sz w:val="20"/>
                <w:szCs w:val="20"/>
              </w:rPr>
              <w:t>-les PV signés par l’ensemble des acteurs</w:t>
            </w:r>
            <w:r w:rsidR="00E22D9A">
              <w:rPr>
                <w:rFonts w:ascii="Times New Roman" w:hAnsi="Times New Roman"/>
                <w:sz w:val="20"/>
                <w:szCs w:val="20"/>
              </w:rPr>
              <w:t> ;</w:t>
            </w:r>
          </w:p>
          <w:p w:rsidR="0042094D" w:rsidRPr="00AA45E9" w:rsidRDefault="0042094D" w:rsidP="00EF42EF">
            <w:pPr>
              <w:spacing w:after="0" w:line="240" w:lineRule="auto"/>
              <w:jc w:val="both"/>
              <w:rPr>
                <w:rFonts w:ascii="Times New Roman" w:hAnsi="Times New Roman"/>
                <w:sz w:val="20"/>
                <w:szCs w:val="20"/>
              </w:rPr>
            </w:pPr>
            <w:r w:rsidRPr="00AA45E9">
              <w:rPr>
                <w:rFonts w:ascii="Times New Roman" w:hAnsi="Times New Roman"/>
                <w:sz w:val="20"/>
                <w:szCs w:val="20"/>
              </w:rPr>
              <w:t>-Nombre de personnes indemnisées</w:t>
            </w:r>
            <w:r w:rsidR="00E22D9A">
              <w:rPr>
                <w:rFonts w:ascii="Times New Roman" w:hAnsi="Times New Roman"/>
                <w:sz w:val="20"/>
                <w:szCs w:val="20"/>
              </w:rPr>
              <w:t> ;</w:t>
            </w:r>
          </w:p>
        </w:tc>
        <w:tc>
          <w:tcPr>
            <w:tcW w:w="1240" w:type="dxa"/>
            <w:gridSpan w:val="2"/>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42094D" w:rsidRPr="002407EF" w:rsidRDefault="00787619" w:rsidP="00EF42EF">
            <w:pPr>
              <w:autoSpaceDE w:val="0"/>
              <w:autoSpaceDN w:val="0"/>
              <w:adjustRightInd w:val="0"/>
              <w:spacing w:after="0" w:line="240" w:lineRule="auto"/>
              <w:jc w:val="center"/>
              <w:rPr>
                <w:rFonts w:ascii="Times New Roman" w:hAnsi="Times New Roman"/>
                <w:b/>
                <w:sz w:val="20"/>
                <w:szCs w:val="20"/>
              </w:rPr>
            </w:pPr>
            <w:r w:rsidRPr="002407EF">
              <w:rPr>
                <w:rFonts w:ascii="Times New Roman" w:hAnsi="Times New Roman"/>
                <w:b/>
                <w:sz w:val="20"/>
                <w:szCs w:val="20"/>
              </w:rPr>
              <w:t>PUASEE-FA</w:t>
            </w:r>
          </w:p>
        </w:tc>
        <w:tc>
          <w:tcPr>
            <w:tcW w:w="1276" w:type="dxa"/>
            <w:gridSpan w:val="2"/>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42094D" w:rsidRPr="002407EF" w:rsidRDefault="0042094D" w:rsidP="00EF42EF">
            <w:pPr>
              <w:autoSpaceDE w:val="0"/>
              <w:autoSpaceDN w:val="0"/>
              <w:adjustRightInd w:val="0"/>
              <w:spacing w:after="0" w:line="240" w:lineRule="auto"/>
              <w:jc w:val="center"/>
              <w:rPr>
                <w:rFonts w:ascii="Times New Roman" w:hAnsi="Times New Roman"/>
                <w:b/>
                <w:sz w:val="20"/>
                <w:szCs w:val="20"/>
              </w:rPr>
            </w:pPr>
            <w:r w:rsidRPr="002407EF">
              <w:rPr>
                <w:rFonts w:ascii="Times New Roman" w:hAnsi="Times New Roman"/>
                <w:b/>
                <w:sz w:val="20"/>
                <w:szCs w:val="20"/>
              </w:rPr>
              <w:t>Comité de suivi</w:t>
            </w:r>
          </w:p>
        </w:tc>
        <w:tc>
          <w:tcPr>
            <w:tcW w:w="1134" w:type="dxa"/>
            <w:tcBorders>
              <w:top w:val="single" w:sz="4" w:space="0" w:color="auto"/>
              <w:left w:val="single" w:sz="4" w:space="0" w:color="auto"/>
              <w:bottom w:val="single" w:sz="4" w:space="0" w:color="auto"/>
              <w:right w:val="single" w:sz="4" w:space="0" w:color="auto"/>
            </w:tcBorders>
            <w:vAlign w:val="center"/>
          </w:tcPr>
          <w:p w:rsidR="0042094D" w:rsidRPr="00AA45E9" w:rsidRDefault="0042094D" w:rsidP="00EF42EF">
            <w:pPr>
              <w:spacing w:after="0" w:line="240" w:lineRule="auto"/>
              <w:jc w:val="center"/>
              <w:rPr>
                <w:rFonts w:ascii="Times New Roman" w:hAnsi="Times New Roman"/>
                <w:sz w:val="20"/>
                <w:szCs w:val="20"/>
              </w:rPr>
            </w:pPr>
            <w:r w:rsidRPr="00AA45E9">
              <w:rPr>
                <w:rFonts w:ascii="Times New Roman" w:hAnsi="Times New Roman"/>
                <w:sz w:val="20"/>
                <w:szCs w:val="20"/>
              </w:rPr>
              <w:t>Avant les travaux</w:t>
            </w:r>
          </w:p>
        </w:tc>
        <w:tc>
          <w:tcPr>
            <w:tcW w:w="1374"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42094D" w:rsidRPr="00AA45E9" w:rsidRDefault="0042094D" w:rsidP="00EF42EF">
            <w:pPr>
              <w:spacing w:after="0" w:line="240" w:lineRule="auto"/>
              <w:jc w:val="center"/>
              <w:rPr>
                <w:rFonts w:ascii="Times New Roman" w:hAnsi="Times New Roman"/>
                <w:b/>
                <w:sz w:val="20"/>
                <w:szCs w:val="20"/>
              </w:rPr>
            </w:pPr>
            <w:r w:rsidRPr="00AA45E9">
              <w:rPr>
                <w:rFonts w:ascii="Times New Roman" w:hAnsi="Times New Roman"/>
                <w:b/>
                <w:sz w:val="20"/>
                <w:szCs w:val="20"/>
              </w:rPr>
              <w:t>Coût associé au projet</w:t>
            </w:r>
          </w:p>
        </w:tc>
        <w:tc>
          <w:tcPr>
            <w:tcW w:w="1237" w:type="dxa"/>
            <w:gridSpan w:val="3"/>
            <w:tcBorders>
              <w:top w:val="single" w:sz="4" w:space="0" w:color="auto"/>
              <w:left w:val="single" w:sz="4" w:space="0" w:color="auto"/>
              <w:bottom w:val="single" w:sz="4" w:space="0" w:color="auto"/>
              <w:right w:val="single" w:sz="4" w:space="0" w:color="auto"/>
            </w:tcBorders>
            <w:vAlign w:val="center"/>
          </w:tcPr>
          <w:p w:rsidR="0042094D" w:rsidRPr="00AA45E9" w:rsidRDefault="0042094D" w:rsidP="00EF42EF">
            <w:pPr>
              <w:spacing w:after="0" w:line="240" w:lineRule="auto"/>
              <w:jc w:val="center"/>
              <w:rPr>
                <w:rFonts w:ascii="Times New Roman" w:hAnsi="Times New Roman"/>
                <w:sz w:val="20"/>
                <w:szCs w:val="20"/>
              </w:rPr>
            </w:pPr>
            <w:r w:rsidRPr="00AA45E9">
              <w:rPr>
                <w:rFonts w:ascii="Times New Roman" w:hAnsi="Times New Roman"/>
                <w:sz w:val="20"/>
                <w:szCs w:val="20"/>
              </w:rPr>
              <w:t>Coût inclus dans le protocole d’accord entre le promoteur et le CRS</w:t>
            </w:r>
          </w:p>
        </w:tc>
      </w:tr>
      <w:tr w:rsidR="00764FFF" w:rsidRPr="00AA45E9" w:rsidTr="007D251E">
        <w:trPr>
          <w:trHeight w:val="1438"/>
          <w:jc w:val="center"/>
        </w:trPr>
        <w:tc>
          <w:tcPr>
            <w:tcW w:w="1127"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764FFF" w:rsidRPr="00AA45E9" w:rsidRDefault="00764FFF" w:rsidP="00764FFF">
            <w:pPr>
              <w:spacing w:after="0" w:line="240" w:lineRule="auto"/>
              <w:jc w:val="center"/>
              <w:rPr>
                <w:rFonts w:ascii="Times New Roman" w:hAnsi="Times New Roman"/>
                <w:b/>
                <w:bCs/>
                <w:sz w:val="20"/>
                <w:szCs w:val="20"/>
              </w:rPr>
            </w:pPr>
            <w:r w:rsidRPr="00AA45E9">
              <w:rPr>
                <w:rFonts w:ascii="Times New Roman" w:hAnsi="Times New Roman"/>
                <w:b/>
                <w:bCs/>
                <w:sz w:val="20"/>
                <w:szCs w:val="20"/>
              </w:rPr>
              <w:t>Humain / économique</w:t>
            </w:r>
          </w:p>
        </w:tc>
        <w:tc>
          <w:tcPr>
            <w:tcW w:w="2304" w:type="dxa"/>
            <w:gridSpan w:val="2"/>
            <w:tcBorders>
              <w:top w:val="single" w:sz="4" w:space="0" w:color="auto"/>
              <w:left w:val="single" w:sz="4" w:space="0" w:color="auto"/>
              <w:bottom w:val="single" w:sz="4" w:space="0" w:color="auto"/>
              <w:right w:val="single" w:sz="4" w:space="0" w:color="auto"/>
            </w:tcBorders>
            <w:vAlign w:val="center"/>
          </w:tcPr>
          <w:p w:rsidR="00764FFF" w:rsidRPr="00AA45E9" w:rsidRDefault="00764FFF" w:rsidP="00764FFF">
            <w:pPr>
              <w:spacing w:after="0" w:line="240" w:lineRule="auto"/>
              <w:jc w:val="both"/>
              <w:rPr>
                <w:rFonts w:ascii="Times New Roman" w:hAnsi="Times New Roman"/>
                <w:sz w:val="20"/>
                <w:szCs w:val="20"/>
              </w:rPr>
            </w:pPr>
            <w:r w:rsidRPr="00AA45E9">
              <w:rPr>
                <w:rFonts w:ascii="Times New Roman" w:hAnsi="Times New Roman"/>
                <w:sz w:val="20"/>
                <w:szCs w:val="20"/>
              </w:rPr>
              <w:t>Risque de perturbation/dégradation des réseaux des concessionnaires</w:t>
            </w:r>
          </w:p>
        </w:tc>
        <w:tc>
          <w:tcPr>
            <w:tcW w:w="3829" w:type="dxa"/>
            <w:gridSpan w:val="2"/>
            <w:tcBorders>
              <w:top w:val="single" w:sz="4" w:space="0" w:color="auto"/>
              <w:left w:val="single" w:sz="4" w:space="0" w:color="auto"/>
              <w:bottom w:val="single" w:sz="4" w:space="0" w:color="auto"/>
              <w:right w:val="single" w:sz="4" w:space="0" w:color="auto"/>
            </w:tcBorders>
            <w:vAlign w:val="center"/>
          </w:tcPr>
          <w:p w:rsidR="00764FFF" w:rsidRPr="00AA45E9" w:rsidRDefault="00764FFF" w:rsidP="00764FFF">
            <w:pPr>
              <w:spacing w:after="0" w:line="240" w:lineRule="auto"/>
              <w:jc w:val="both"/>
              <w:rPr>
                <w:rFonts w:ascii="Times New Roman" w:hAnsi="Times New Roman"/>
                <w:sz w:val="20"/>
                <w:szCs w:val="20"/>
              </w:rPr>
            </w:pPr>
            <w:r w:rsidRPr="00AA45E9">
              <w:rPr>
                <w:rFonts w:ascii="Times New Roman" w:hAnsi="Times New Roman"/>
                <w:sz w:val="20"/>
                <w:szCs w:val="20"/>
              </w:rPr>
              <w:t>-Impliquer tous les concessionnaires lors du déroulement des travaux,</w:t>
            </w:r>
          </w:p>
          <w:p w:rsidR="00764FFF" w:rsidRPr="00AA45E9" w:rsidRDefault="00764FFF" w:rsidP="00764FFF">
            <w:pPr>
              <w:spacing w:after="0" w:line="240" w:lineRule="auto"/>
              <w:jc w:val="both"/>
              <w:rPr>
                <w:rFonts w:ascii="Times New Roman" w:hAnsi="Times New Roman"/>
                <w:sz w:val="20"/>
                <w:szCs w:val="20"/>
              </w:rPr>
            </w:pPr>
            <w:r w:rsidRPr="00AA45E9">
              <w:rPr>
                <w:rFonts w:ascii="Times New Roman" w:hAnsi="Times New Roman"/>
                <w:sz w:val="20"/>
                <w:szCs w:val="20"/>
              </w:rPr>
              <w:t xml:space="preserve">-Eviter autant que possible de toucher les réseaux d’eau, d’électricité, d’assainissement, </w:t>
            </w:r>
            <w:r w:rsidR="00483DC9">
              <w:rPr>
                <w:rFonts w:ascii="Times New Roman" w:hAnsi="Times New Roman"/>
                <w:sz w:val="20"/>
                <w:szCs w:val="20"/>
              </w:rPr>
              <w:t xml:space="preserve">Télécommunication, </w:t>
            </w:r>
            <w:r w:rsidRPr="00AA45E9">
              <w:rPr>
                <w:rFonts w:ascii="Times New Roman" w:hAnsi="Times New Roman"/>
                <w:sz w:val="20"/>
                <w:szCs w:val="20"/>
              </w:rPr>
              <w:t>etc.</w:t>
            </w:r>
          </w:p>
        </w:tc>
        <w:tc>
          <w:tcPr>
            <w:tcW w:w="2835" w:type="dxa"/>
            <w:gridSpan w:val="2"/>
            <w:tcBorders>
              <w:top w:val="single" w:sz="4" w:space="0" w:color="auto"/>
              <w:left w:val="single" w:sz="4" w:space="0" w:color="auto"/>
              <w:bottom w:val="single" w:sz="4" w:space="0" w:color="auto"/>
              <w:right w:val="single" w:sz="4" w:space="0" w:color="auto"/>
            </w:tcBorders>
            <w:vAlign w:val="center"/>
          </w:tcPr>
          <w:p w:rsidR="00764FFF" w:rsidRPr="00AA45E9" w:rsidRDefault="00764FFF" w:rsidP="00764FFF">
            <w:pPr>
              <w:spacing w:after="0" w:line="240" w:lineRule="auto"/>
              <w:jc w:val="both"/>
              <w:rPr>
                <w:rFonts w:ascii="Times New Roman" w:hAnsi="Times New Roman"/>
                <w:sz w:val="20"/>
                <w:szCs w:val="20"/>
              </w:rPr>
            </w:pPr>
            <w:r w:rsidRPr="00AA45E9">
              <w:rPr>
                <w:rFonts w:ascii="Times New Roman" w:hAnsi="Times New Roman"/>
                <w:sz w:val="20"/>
                <w:szCs w:val="20"/>
              </w:rPr>
              <w:t>-Présence d’agent pour chaque concessionnaire</w:t>
            </w:r>
            <w:r w:rsidR="00483DC9">
              <w:rPr>
                <w:rFonts w:ascii="Times New Roman" w:hAnsi="Times New Roman"/>
                <w:sz w:val="20"/>
                <w:szCs w:val="20"/>
              </w:rPr>
              <w:t> ;</w:t>
            </w:r>
          </w:p>
          <w:p w:rsidR="00764FFF" w:rsidRPr="00AA45E9" w:rsidRDefault="00764FFF" w:rsidP="00764FFF">
            <w:pPr>
              <w:spacing w:after="0" w:line="240" w:lineRule="auto"/>
              <w:jc w:val="both"/>
              <w:rPr>
                <w:rFonts w:ascii="Times New Roman" w:hAnsi="Times New Roman"/>
                <w:sz w:val="20"/>
                <w:szCs w:val="20"/>
              </w:rPr>
            </w:pPr>
            <w:r w:rsidRPr="00AA45E9">
              <w:rPr>
                <w:rFonts w:ascii="Times New Roman" w:hAnsi="Times New Roman"/>
                <w:sz w:val="20"/>
                <w:szCs w:val="20"/>
              </w:rPr>
              <w:t>-Nombre incident de coupure ou détérioration de réseau noté</w:t>
            </w:r>
            <w:r w:rsidR="00483DC9">
              <w:rPr>
                <w:rFonts w:ascii="Times New Roman" w:hAnsi="Times New Roman"/>
                <w:sz w:val="20"/>
                <w:szCs w:val="20"/>
              </w:rPr>
              <w:t> ;</w:t>
            </w:r>
          </w:p>
        </w:tc>
        <w:tc>
          <w:tcPr>
            <w:tcW w:w="1240" w:type="dxa"/>
            <w:gridSpan w:val="2"/>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764FFF" w:rsidRPr="002407EF" w:rsidRDefault="00764FFF" w:rsidP="00764FFF">
            <w:pPr>
              <w:spacing w:after="0" w:line="240" w:lineRule="auto"/>
              <w:jc w:val="center"/>
              <w:rPr>
                <w:rFonts w:ascii="Times New Roman" w:hAnsi="Times New Roman"/>
                <w:b/>
                <w:sz w:val="20"/>
                <w:szCs w:val="20"/>
              </w:rPr>
            </w:pPr>
            <w:r w:rsidRPr="002407EF">
              <w:rPr>
                <w:rFonts w:ascii="Times New Roman" w:hAnsi="Times New Roman"/>
                <w:b/>
                <w:sz w:val="20"/>
                <w:szCs w:val="20"/>
              </w:rPr>
              <w:t>Entreprise</w:t>
            </w:r>
          </w:p>
          <w:p w:rsidR="00483DC9" w:rsidRPr="002407EF" w:rsidRDefault="00483DC9" w:rsidP="00764FFF">
            <w:pPr>
              <w:spacing w:after="0" w:line="240" w:lineRule="auto"/>
              <w:jc w:val="center"/>
              <w:rPr>
                <w:rFonts w:ascii="Times New Roman" w:hAnsi="Times New Roman"/>
                <w:b/>
                <w:sz w:val="20"/>
                <w:szCs w:val="20"/>
              </w:rPr>
            </w:pPr>
          </w:p>
          <w:p w:rsidR="00764FFF" w:rsidRPr="002407EF" w:rsidRDefault="00483DC9" w:rsidP="00764FFF">
            <w:pPr>
              <w:spacing w:after="0" w:line="240" w:lineRule="auto"/>
              <w:jc w:val="center"/>
              <w:rPr>
                <w:rFonts w:ascii="Times New Roman" w:hAnsi="Times New Roman"/>
                <w:b/>
                <w:sz w:val="20"/>
                <w:szCs w:val="20"/>
              </w:rPr>
            </w:pPr>
            <w:r w:rsidRPr="002407EF">
              <w:rPr>
                <w:rFonts w:ascii="Times New Roman" w:hAnsi="Times New Roman"/>
                <w:b/>
                <w:sz w:val="20"/>
                <w:szCs w:val="20"/>
              </w:rPr>
              <w:t>PUASEE-FA</w:t>
            </w:r>
          </w:p>
        </w:tc>
        <w:tc>
          <w:tcPr>
            <w:tcW w:w="1276" w:type="dxa"/>
            <w:gridSpan w:val="2"/>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764FFF" w:rsidRPr="002407EF" w:rsidRDefault="00764FFF" w:rsidP="00764FFF">
            <w:pPr>
              <w:spacing w:after="0" w:line="240" w:lineRule="auto"/>
              <w:jc w:val="center"/>
              <w:rPr>
                <w:rFonts w:ascii="Times New Roman" w:hAnsi="Times New Roman"/>
                <w:b/>
                <w:sz w:val="20"/>
                <w:szCs w:val="20"/>
              </w:rPr>
            </w:pPr>
            <w:r w:rsidRPr="002407EF">
              <w:rPr>
                <w:rFonts w:ascii="Times New Roman" w:hAnsi="Times New Roman"/>
                <w:b/>
                <w:sz w:val="20"/>
                <w:szCs w:val="20"/>
              </w:rPr>
              <w:t>Comité de suivi</w:t>
            </w:r>
          </w:p>
          <w:p w:rsidR="00483DC9" w:rsidRPr="002407EF" w:rsidRDefault="00483DC9" w:rsidP="00764FFF">
            <w:pPr>
              <w:spacing w:after="0" w:line="240" w:lineRule="auto"/>
              <w:jc w:val="center"/>
              <w:rPr>
                <w:rFonts w:ascii="Times New Roman" w:hAnsi="Times New Roman"/>
                <w:b/>
                <w:sz w:val="20"/>
                <w:szCs w:val="20"/>
              </w:rPr>
            </w:pPr>
          </w:p>
          <w:p w:rsidR="00483DC9" w:rsidRPr="002407EF" w:rsidRDefault="00483DC9" w:rsidP="00764FFF">
            <w:pPr>
              <w:spacing w:after="0" w:line="240" w:lineRule="auto"/>
              <w:jc w:val="center"/>
              <w:rPr>
                <w:rFonts w:ascii="Times New Roman" w:hAnsi="Times New Roman"/>
                <w:b/>
                <w:sz w:val="20"/>
                <w:szCs w:val="20"/>
              </w:rPr>
            </w:pPr>
            <w:r w:rsidRPr="002407EF">
              <w:rPr>
                <w:rFonts w:ascii="Times New Roman" w:hAnsi="Times New Roman"/>
                <w:b/>
                <w:sz w:val="20"/>
                <w:szCs w:val="20"/>
              </w:rPr>
              <w:t>PUASEE-FA</w:t>
            </w:r>
          </w:p>
        </w:tc>
        <w:tc>
          <w:tcPr>
            <w:tcW w:w="1134" w:type="dxa"/>
            <w:tcBorders>
              <w:top w:val="single" w:sz="4" w:space="0" w:color="auto"/>
              <w:left w:val="single" w:sz="4" w:space="0" w:color="auto"/>
              <w:bottom w:val="single" w:sz="4" w:space="0" w:color="auto"/>
              <w:right w:val="single" w:sz="4" w:space="0" w:color="auto"/>
            </w:tcBorders>
            <w:vAlign w:val="center"/>
          </w:tcPr>
          <w:p w:rsidR="00764FFF" w:rsidRPr="00AA45E9" w:rsidRDefault="00764FFF" w:rsidP="00764FFF">
            <w:pPr>
              <w:spacing w:after="0" w:line="240" w:lineRule="auto"/>
              <w:jc w:val="center"/>
              <w:rPr>
                <w:rFonts w:ascii="Times New Roman" w:hAnsi="Times New Roman"/>
                <w:sz w:val="20"/>
                <w:szCs w:val="20"/>
              </w:rPr>
            </w:pPr>
            <w:r w:rsidRPr="00AA45E9">
              <w:rPr>
                <w:rFonts w:ascii="Times New Roman" w:hAnsi="Times New Roman"/>
                <w:sz w:val="20"/>
                <w:szCs w:val="20"/>
              </w:rPr>
              <w:t>Au début et en continu</w:t>
            </w:r>
          </w:p>
        </w:tc>
        <w:tc>
          <w:tcPr>
            <w:tcW w:w="1374"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764FFF" w:rsidRPr="00AA45E9" w:rsidRDefault="00764FFF" w:rsidP="00764FFF">
            <w:pPr>
              <w:spacing w:after="0" w:line="240" w:lineRule="auto"/>
              <w:jc w:val="center"/>
              <w:rPr>
                <w:rFonts w:ascii="Times New Roman" w:hAnsi="Times New Roman"/>
                <w:b/>
                <w:sz w:val="20"/>
                <w:szCs w:val="20"/>
              </w:rPr>
            </w:pPr>
            <w:r w:rsidRPr="00AA45E9">
              <w:rPr>
                <w:rFonts w:ascii="Times New Roman" w:hAnsi="Times New Roman"/>
                <w:b/>
                <w:sz w:val="20"/>
                <w:szCs w:val="20"/>
              </w:rPr>
              <w:t>2 000 000</w:t>
            </w:r>
          </w:p>
        </w:tc>
        <w:tc>
          <w:tcPr>
            <w:tcW w:w="1237" w:type="dxa"/>
            <w:gridSpan w:val="3"/>
            <w:tcBorders>
              <w:top w:val="single" w:sz="4" w:space="0" w:color="auto"/>
              <w:left w:val="single" w:sz="4" w:space="0" w:color="auto"/>
              <w:bottom w:val="single" w:sz="4" w:space="0" w:color="auto"/>
              <w:right w:val="single" w:sz="4" w:space="0" w:color="auto"/>
            </w:tcBorders>
            <w:vAlign w:val="center"/>
          </w:tcPr>
          <w:p w:rsidR="00764FFF" w:rsidRPr="00AA45E9" w:rsidRDefault="00764FFF" w:rsidP="00764FFF">
            <w:pPr>
              <w:spacing w:after="0" w:line="240" w:lineRule="auto"/>
              <w:jc w:val="center"/>
              <w:rPr>
                <w:rFonts w:ascii="Times New Roman" w:hAnsi="Times New Roman"/>
                <w:sz w:val="20"/>
                <w:szCs w:val="20"/>
              </w:rPr>
            </w:pPr>
            <w:r w:rsidRPr="00AA45E9">
              <w:rPr>
                <w:rFonts w:ascii="Times New Roman" w:hAnsi="Times New Roman"/>
                <w:sz w:val="20"/>
                <w:szCs w:val="20"/>
              </w:rPr>
              <w:t>Coût inclus dans le protocole d’accord entre le promoteur et le CRS</w:t>
            </w:r>
          </w:p>
        </w:tc>
      </w:tr>
      <w:tr w:rsidR="00483DC9" w:rsidRPr="00AA45E9" w:rsidTr="007D251E">
        <w:trPr>
          <w:trHeight w:val="483"/>
          <w:jc w:val="center"/>
        </w:trPr>
        <w:tc>
          <w:tcPr>
            <w:tcW w:w="1127"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483DC9" w:rsidRPr="00AA45E9" w:rsidRDefault="00483DC9" w:rsidP="00483DC9">
            <w:pPr>
              <w:spacing w:after="0" w:line="240" w:lineRule="auto"/>
              <w:jc w:val="center"/>
              <w:rPr>
                <w:rFonts w:ascii="Times New Roman" w:hAnsi="Times New Roman"/>
                <w:b/>
                <w:bCs/>
                <w:sz w:val="20"/>
                <w:szCs w:val="20"/>
              </w:rPr>
            </w:pPr>
            <w:r w:rsidRPr="00AA45E9">
              <w:rPr>
                <w:rFonts w:ascii="Times New Roman" w:hAnsi="Times New Roman"/>
                <w:b/>
                <w:bCs/>
                <w:sz w:val="20"/>
                <w:szCs w:val="20"/>
              </w:rPr>
              <w:t>Humain</w:t>
            </w:r>
          </w:p>
        </w:tc>
        <w:tc>
          <w:tcPr>
            <w:tcW w:w="2304" w:type="dxa"/>
            <w:gridSpan w:val="2"/>
            <w:tcBorders>
              <w:top w:val="single" w:sz="4" w:space="0" w:color="auto"/>
              <w:left w:val="single" w:sz="4" w:space="0" w:color="auto"/>
              <w:bottom w:val="single" w:sz="4" w:space="0" w:color="auto"/>
              <w:right w:val="single" w:sz="4" w:space="0" w:color="auto"/>
            </w:tcBorders>
            <w:vAlign w:val="center"/>
          </w:tcPr>
          <w:p w:rsidR="00483DC9" w:rsidRPr="00AA45E9" w:rsidRDefault="00483DC9" w:rsidP="00483DC9">
            <w:pPr>
              <w:spacing w:after="0" w:line="240" w:lineRule="auto"/>
              <w:jc w:val="both"/>
              <w:rPr>
                <w:rFonts w:ascii="Times New Roman" w:hAnsi="Times New Roman"/>
                <w:sz w:val="20"/>
                <w:szCs w:val="20"/>
              </w:rPr>
            </w:pPr>
            <w:r w:rsidRPr="00AA45E9">
              <w:rPr>
                <w:rFonts w:ascii="Times New Roman" w:hAnsi="Times New Roman"/>
                <w:sz w:val="20"/>
                <w:szCs w:val="20"/>
              </w:rPr>
              <w:t>Risque de conflits sociaux</w:t>
            </w:r>
          </w:p>
        </w:tc>
        <w:tc>
          <w:tcPr>
            <w:tcW w:w="3829" w:type="dxa"/>
            <w:gridSpan w:val="2"/>
            <w:tcBorders>
              <w:top w:val="single" w:sz="4" w:space="0" w:color="auto"/>
              <w:left w:val="single" w:sz="4" w:space="0" w:color="auto"/>
              <w:bottom w:val="single" w:sz="4" w:space="0" w:color="auto"/>
              <w:right w:val="single" w:sz="4" w:space="0" w:color="auto"/>
            </w:tcBorders>
            <w:vAlign w:val="center"/>
          </w:tcPr>
          <w:p w:rsidR="00483DC9" w:rsidRPr="00AA45E9" w:rsidRDefault="00483DC9" w:rsidP="00483DC9">
            <w:pPr>
              <w:spacing w:after="0" w:line="240" w:lineRule="auto"/>
              <w:jc w:val="both"/>
              <w:rPr>
                <w:rFonts w:ascii="Times New Roman" w:hAnsi="Times New Roman"/>
                <w:sz w:val="20"/>
                <w:szCs w:val="20"/>
              </w:rPr>
            </w:pPr>
            <w:r w:rsidRPr="00AA45E9">
              <w:rPr>
                <w:rFonts w:ascii="Times New Roman" w:hAnsi="Times New Roman"/>
                <w:sz w:val="20"/>
                <w:szCs w:val="20"/>
              </w:rPr>
              <w:t xml:space="preserve">-Impliquer et sensibiliser les autorités locales, les chefs de village et la population sur tout le déroulement des activités du </w:t>
            </w:r>
            <w:r>
              <w:rPr>
                <w:rFonts w:ascii="Times New Roman" w:hAnsi="Times New Roman"/>
                <w:sz w:val="20"/>
                <w:szCs w:val="20"/>
              </w:rPr>
              <w:t>sous-</w:t>
            </w:r>
            <w:r w:rsidRPr="00AA45E9">
              <w:rPr>
                <w:rFonts w:ascii="Times New Roman" w:hAnsi="Times New Roman"/>
                <w:sz w:val="20"/>
                <w:szCs w:val="20"/>
              </w:rPr>
              <w:t>projet </w:t>
            </w:r>
            <w:r>
              <w:rPr>
                <w:rFonts w:ascii="Times New Roman" w:hAnsi="Times New Roman"/>
                <w:sz w:val="20"/>
                <w:szCs w:val="20"/>
              </w:rPr>
              <w:t>n°1</w:t>
            </w:r>
            <w:r w:rsidR="008339CF">
              <w:rPr>
                <w:rFonts w:ascii="Times New Roman" w:hAnsi="Times New Roman"/>
                <w:sz w:val="20"/>
                <w:szCs w:val="20"/>
              </w:rPr>
              <w:t> ;</w:t>
            </w:r>
          </w:p>
          <w:p w:rsidR="00483DC9" w:rsidRPr="00AA45E9" w:rsidRDefault="00483DC9" w:rsidP="00483DC9">
            <w:pPr>
              <w:spacing w:after="0" w:line="240" w:lineRule="auto"/>
              <w:jc w:val="both"/>
              <w:rPr>
                <w:rFonts w:ascii="Times New Roman" w:hAnsi="Times New Roman"/>
                <w:sz w:val="20"/>
                <w:szCs w:val="20"/>
              </w:rPr>
            </w:pPr>
            <w:r w:rsidRPr="00AA45E9">
              <w:rPr>
                <w:rFonts w:ascii="Times New Roman" w:hAnsi="Times New Roman"/>
                <w:sz w:val="20"/>
                <w:szCs w:val="20"/>
              </w:rPr>
              <w:t>-Respecter les avis et les recommandations des autorités locales et des populations.</w:t>
            </w:r>
          </w:p>
          <w:p w:rsidR="00483DC9" w:rsidRPr="00AA45E9" w:rsidRDefault="00483DC9" w:rsidP="00483DC9">
            <w:pPr>
              <w:spacing w:after="0" w:line="240" w:lineRule="auto"/>
              <w:jc w:val="both"/>
              <w:rPr>
                <w:rFonts w:ascii="Times New Roman" w:hAnsi="Times New Roman"/>
                <w:sz w:val="20"/>
                <w:szCs w:val="20"/>
              </w:rPr>
            </w:pPr>
            <w:r w:rsidRPr="00AA45E9">
              <w:rPr>
                <w:rFonts w:ascii="Times New Roman" w:hAnsi="Times New Roman"/>
                <w:sz w:val="20"/>
                <w:szCs w:val="20"/>
              </w:rPr>
              <w:t xml:space="preserve">-Respecter les engagements pris par </w:t>
            </w:r>
            <w:r>
              <w:rPr>
                <w:rFonts w:ascii="Times New Roman" w:hAnsi="Times New Roman"/>
                <w:sz w:val="20"/>
                <w:szCs w:val="20"/>
              </w:rPr>
              <w:t>PUASEE-FA</w:t>
            </w:r>
            <w:r w:rsidRPr="00AA45E9">
              <w:rPr>
                <w:rFonts w:ascii="Times New Roman" w:hAnsi="Times New Roman"/>
                <w:sz w:val="20"/>
                <w:szCs w:val="20"/>
              </w:rPr>
              <w:t xml:space="preserve"> et les entreprises lors des rencontres</w:t>
            </w:r>
            <w:r>
              <w:rPr>
                <w:rFonts w:ascii="Times New Roman" w:hAnsi="Times New Roman"/>
                <w:sz w:val="20"/>
                <w:szCs w:val="20"/>
              </w:rPr>
              <w:t> ;</w:t>
            </w:r>
            <w:r w:rsidRPr="00AA45E9">
              <w:rPr>
                <w:rFonts w:ascii="Times New Roman" w:hAnsi="Times New Roman"/>
                <w:sz w:val="20"/>
                <w:szCs w:val="20"/>
              </w:rPr>
              <w:t xml:space="preserve"> </w:t>
            </w:r>
          </w:p>
          <w:p w:rsidR="00483DC9" w:rsidRPr="00AA45E9" w:rsidRDefault="00483DC9" w:rsidP="00483DC9">
            <w:pPr>
              <w:spacing w:after="0" w:line="240" w:lineRule="auto"/>
              <w:jc w:val="both"/>
              <w:rPr>
                <w:rFonts w:ascii="Times New Roman" w:hAnsi="Times New Roman"/>
                <w:sz w:val="24"/>
                <w:szCs w:val="24"/>
              </w:rPr>
            </w:pPr>
            <w:r w:rsidRPr="00AA45E9">
              <w:rPr>
                <w:rFonts w:ascii="Times New Roman" w:hAnsi="Times New Roman"/>
                <w:sz w:val="20"/>
                <w:szCs w:val="20"/>
              </w:rPr>
              <w:t>-Appuyer les programmes intégrant la mobilisation communautaire sur la VBG ;</w:t>
            </w:r>
            <w:r w:rsidRPr="00AA45E9">
              <w:rPr>
                <w:rFonts w:ascii="Times New Roman" w:hAnsi="Times New Roman"/>
                <w:sz w:val="24"/>
                <w:szCs w:val="24"/>
              </w:rPr>
              <w:t> </w:t>
            </w:r>
          </w:p>
          <w:p w:rsidR="00483DC9" w:rsidRPr="00AA45E9" w:rsidRDefault="00483DC9" w:rsidP="00483DC9">
            <w:pPr>
              <w:spacing w:after="0"/>
              <w:jc w:val="both"/>
              <w:rPr>
                <w:rFonts w:ascii="Times New Roman" w:hAnsi="Times New Roman"/>
                <w:sz w:val="20"/>
                <w:szCs w:val="20"/>
              </w:rPr>
            </w:pPr>
            <w:r w:rsidRPr="00AA45E9">
              <w:rPr>
                <w:rFonts w:ascii="Times New Roman" w:hAnsi="Times New Roman"/>
                <w:sz w:val="20"/>
                <w:szCs w:val="20"/>
              </w:rPr>
              <w:t>-Appuyer les activités de réduction de la tolérance de la violence impliquant tout sexe masculin ;</w:t>
            </w:r>
          </w:p>
          <w:p w:rsidR="00483DC9" w:rsidRPr="00AA45E9" w:rsidRDefault="00483DC9" w:rsidP="00483DC9">
            <w:pPr>
              <w:spacing w:after="0"/>
              <w:jc w:val="both"/>
              <w:rPr>
                <w:rFonts w:ascii="Times New Roman" w:hAnsi="Times New Roman"/>
                <w:sz w:val="20"/>
                <w:szCs w:val="20"/>
              </w:rPr>
            </w:pPr>
            <w:r w:rsidRPr="00AA45E9">
              <w:rPr>
                <w:rFonts w:ascii="Times New Roman" w:hAnsi="Times New Roman"/>
                <w:sz w:val="20"/>
                <w:szCs w:val="20"/>
              </w:rPr>
              <w:t>-Appuyer les activités ayant une large représentation de la communauté de base ; </w:t>
            </w:r>
          </w:p>
          <w:p w:rsidR="00483DC9" w:rsidRPr="00AA45E9" w:rsidRDefault="00483DC9" w:rsidP="00483DC9">
            <w:pPr>
              <w:spacing w:after="0"/>
              <w:jc w:val="both"/>
              <w:rPr>
                <w:rFonts w:ascii="Times New Roman" w:hAnsi="Times New Roman"/>
                <w:sz w:val="20"/>
                <w:szCs w:val="20"/>
              </w:rPr>
            </w:pPr>
            <w:r w:rsidRPr="00AA45E9">
              <w:rPr>
                <w:rFonts w:ascii="Times New Roman" w:hAnsi="Times New Roman"/>
                <w:sz w:val="20"/>
                <w:szCs w:val="20"/>
              </w:rPr>
              <w:t>-Lutter contre tous types de discrimination de genre ;</w:t>
            </w:r>
          </w:p>
          <w:p w:rsidR="00483DC9" w:rsidRPr="00AA45E9" w:rsidRDefault="00483DC9" w:rsidP="00483DC9">
            <w:pPr>
              <w:spacing w:after="0" w:line="240" w:lineRule="auto"/>
              <w:jc w:val="both"/>
              <w:rPr>
                <w:rFonts w:ascii="Times New Roman" w:hAnsi="Times New Roman"/>
                <w:sz w:val="20"/>
                <w:szCs w:val="20"/>
              </w:rPr>
            </w:pPr>
          </w:p>
        </w:tc>
        <w:tc>
          <w:tcPr>
            <w:tcW w:w="2835" w:type="dxa"/>
            <w:gridSpan w:val="2"/>
            <w:tcBorders>
              <w:top w:val="single" w:sz="4" w:space="0" w:color="auto"/>
              <w:left w:val="single" w:sz="4" w:space="0" w:color="auto"/>
              <w:bottom w:val="single" w:sz="4" w:space="0" w:color="auto"/>
              <w:right w:val="single" w:sz="4" w:space="0" w:color="auto"/>
            </w:tcBorders>
            <w:vAlign w:val="center"/>
          </w:tcPr>
          <w:p w:rsidR="00483DC9" w:rsidRPr="00AA45E9" w:rsidRDefault="00483DC9" w:rsidP="00483DC9">
            <w:pPr>
              <w:spacing w:after="0" w:line="240" w:lineRule="auto"/>
              <w:jc w:val="both"/>
              <w:rPr>
                <w:rFonts w:ascii="Times New Roman" w:hAnsi="Times New Roman"/>
                <w:sz w:val="20"/>
                <w:szCs w:val="20"/>
              </w:rPr>
            </w:pPr>
            <w:r w:rsidRPr="00AA45E9">
              <w:rPr>
                <w:rFonts w:ascii="Times New Roman" w:hAnsi="Times New Roman"/>
                <w:sz w:val="20"/>
                <w:szCs w:val="20"/>
              </w:rPr>
              <w:t>-Implication de tous les acteurs concernés par le projet</w:t>
            </w:r>
            <w:r>
              <w:rPr>
                <w:rFonts w:ascii="Times New Roman" w:hAnsi="Times New Roman"/>
                <w:sz w:val="20"/>
                <w:szCs w:val="20"/>
              </w:rPr>
              <w:t> ;</w:t>
            </w:r>
          </w:p>
          <w:p w:rsidR="00483DC9" w:rsidRPr="00AA45E9" w:rsidRDefault="00483DC9" w:rsidP="00483DC9">
            <w:pPr>
              <w:spacing w:after="0" w:line="240" w:lineRule="auto"/>
              <w:jc w:val="both"/>
              <w:rPr>
                <w:rFonts w:ascii="Times New Roman" w:hAnsi="Times New Roman"/>
                <w:sz w:val="20"/>
                <w:szCs w:val="20"/>
              </w:rPr>
            </w:pPr>
            <w:r w:rsidRPr="00AA45E9">
              <w:rPr>
                <w:rFonts w:ascii="Times New Roman" w:hAnsi="Times New Roman"/>
                <w:sz w:val="20"/>
                <w:szCs w:val="20"/>
              </w:rPr>
              <w:t>-Réalisation des engagements pris</w:t>
            </w:r>
            <w:r>
              <w:rPr>
                <w:rFonts w:ascii="Times New Roman" w:hAnsi="Times New Roman"/>
                <w:sz w:val="20"/>
                <w:szCs w:val="20"/>
              </w:rPr>
              <w:t> ;</w:t>
            </w:r>
          </w:p>
          <w:p w:rsidR="00483DC9" w:rsidRPr="00AA45E9" w:rsidRDefault="00483DC9" w:rsidP="00483DC9">
            <w:pPr>
              <w:spacing w:after="0" w:line="240" w:lineRule="auto"/>
              <w:jc w:val="both"/>
              <w:rPr>
                <w:rFonts w:ascii="Times New Roman" w:hAnsi="Times New Roman"/>
                <w:sz w:val="20"/>
                <w:szCs w:val="20"/>
              </w:rPr>
            </w:pPr>
            <w:r w:rsidRPr="00AA45E9">
              <w:rPr>
                <w:rFonts w:ascii="Times New Roman" w:hAnsi="Times New Roman"/>
                <w:sz w:val="20"/>
                <w:szCs w:val="20"/>
              </w:rPr>
              <w:t>-Nombre de personnes sensibilisées et impliquées</w:t>
            </w:r>
            <w:r>
              <w:rPr>
                <w:rFonts w:ascii="Times New Roman" w:hAnsi="Times New Roman"/>
                <w:sz w:val="20"/>
                <w:szCs w:val="20"/>
              </w:rPr>
              <w:t> ;</w:t>
            </w:r>
          </w:p>
          <w:p w:rsidR="00483DC9" w:rsidRPr="00AA45E9" w:rsidRDefault="00483DC9" w:rsidP="00483DC9">
            <w:pPr>
              <w:spacing w:after="0" w:line="240" w:lineRule="auto"/>
              <w:jc w:val="both"/>
              <w:rPr>
                <w:rFonts w:ascii="Times New Roman" w:hAnsi="Times New Roman"/>
                <w:sz w:val="20"/>
                <w:szCs w:val="20"/>
              </w:rPr>
            </w:pPr>
            <w:r w:rsidRPr="00AA45E9">
              <w:rPr>
                <w:rFonts w:ascii="Times New Roman" w:hAnsi="Times New Roman"/>
                <w:sz w:val="20"/>
                <w:szCs w:val="20"/>
              </w:rPr>
              <w:t>-Nombre d’activités appuyés</w:t>
            </w:r>
            <w:r>
              <w:rPr>
                <w:rFonts w:ascii="Times New Roman" w:hAnsi="Times New Roman"/>
                <w:sz w:val="20"/>
                <w:szCs w:val="20"/>
              </w:rPr>
              <w:t> ;</w:t>
            </w:r>
          </w:p>
          <w:p w:rsidR="00483DC9" w:rsidRPr="00AA45E9" w:rsidRDefault="00483DC9" w:rsidP="00483DC9">
            <w:pPr>
              <w:spacing w:after="0" w:line="240" w:lineRule="auto"/>
              <w:jc w:val="both"/>
              <w:rPr>
                <w:rFonts w:ascii="Times New Roman" w:hAnsi="Times New Roman"/>
                <w:sz w:val="20"/>
                <w:szCs w:val="20"/>
              </w:rPr>
            </w:pPr>
            <w:r w:rsidRPr="00AA45E9">
              <w:rPr>
                <w:rFonts w:ascii="Times New Roman" w:hAnsi="Times New Roman"/>
                <w:sz w:val="20"/>
                <w:szCs w:val="20"/>
              </w:rPr>
              <w:t>-Nombre de programmes appuyés</w:t>
            </w:r>
            <w:r>
              <w:rPr>
                <w:rFonts w:ascii="Times New Roman" w:hAnsi="Times New Roman"/>
                <w:sz w:val="20"/>
                <w:szCs w:val="20"/>
              </w:rPr>
              <w:t> ;</w:t>
            </w:r>
          </w:p>
          <w:p w:rsidR="00483DC9" w:rsidRPr="00AA45E9" w:rsidRDefault="00483DC9" w:rsidP="00483DC9">
            <w:pPr>
              <w:spacing w:after="0" w:line="240" w:lineRule="auto"/>
              <w:jc w:val="both"/>
              <w:rPr>
                <w:rFonts w:ascii="Times New Roman" w:hAnsi="Times New Roman"/>
                <w:sz w:val="20"/>
                <w:szCs w:val="20"/>
              </w:rPr>
            </w:pPr>
          </w:p>
        </w:tc>
        <w:tc>
          <w:tcPr>
            <w:tcW w:w="1240" w:type="dxa"/>
            <w:gridSpan w:val="2"/>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483DC9" w:rsidRPr="002407EF" w:rsidRDefault="00483DC9" w:rsidP="00483DC9">
            <w:pPr>
              <w:spacing w:after="0" w:line="240" w:lineRule="auto"/>
              <w:jc w:val="center"/>
              <w:rPr>
                <w:rFonts w:ascii="Times New Roman" w:hAnsi="Times New Roman"/>
                <w:b/>
                <w:sz w:val="20"/>
                <w:szCs w:val="20"/>
              </w:rPr>
            </w:pPr>
            <w:r w:rsidRPr="002407EF">
              <w:rPr>
                <w:rFonts w:ascii="Times New Roman" w:hAnsi="Times New Roman"/>
                <w:b/>
                <w:sz w:val="20"/>
                <w:szCs w:val="20"/>
              </w:rPr>
              <w:t>Entreprise</w:t>
            </w:r>
          </w:p>
          <w:p w:rsidR="00483DC9" w:rsidRPr="002407EF" w:rsidRDefault="00483DC9" w:rsidP="00483DC9">
            <w:pPr>
              <w:spacing w:after="0" w:line="240" w:lineRule="auto"/>
              <w:jc w:val="center"/>
              <w:rPr>
                <w:rFonts w:ascii="Times New Roman" w:hAnsi="Times New Roman"/>
                <w:b/>
                <w:sz w:val="20"/>
                <w:szCs w:val="20"/>
              </w:rPr>
            </w:pPr>
          </w:p>
          <w:p w:rsidR="00483DC9" w:rsidRPr="002407EF" w:rsidRDefault="00483DC9" w:rsidP="00483DC9">
            <w:pPr>
              <w:spacing w:after="0" w:line="240" w:lineRule="auto"/>
              <w:jc w:val="center"/>
              <w:rPr>
                <w:rFonts w:ascii="Times New Roman" w:hAnsi="Times New Roman"/>
                <w:b/>
                <w:sz w:val="20"/>
                <w:szCs w:val="20"/>
              </w:rPr>
            </w:pPr>
            <w:r w:rsidRPr="002407EF">
              <w:rPr>
                <w:rFonts w:ascii="Times New Roman" w:hAnsi="Times New Roman"/>
                <w:b/>
                <w:sz w:val="20"/>
                <w:szCs w:val="20"/>
              </w:rPr>
              <w:t>PUASEE-FA</w:t>
            </w:r>
          </w:p>
        </w:tc>
        <w:tc>
          <w:tcPr>
            <w:tcW w:w="1276" w:type="dxa"/>
            <w:gridSpan w:val="2"/>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483DC9" w:rsidRPr="002407EF" w:rsidRDefault="00483DC9" w:rsidP="00483DC9">
            <w:pPr>
              <w:spacing w:after="0" w:line="240" w:lineRule="auto"/>
              <w:jc w:val="center"/>
              <w:rPr>
                <w:rFonts w:ascii="Times New Roman" w:hAnsi="Times New Roman"/>
                <w:b/>
                <w:sz w:val="20"/>
                <w:szCs w:val="20"/>
              </w:rPr>
            </w:pPr>
            <w:r w:rsidRPr="002407EF">
              <w:rPr>
                <w:rFonts w:ascii="Times New Roman" w:hAnsi="Times New Roman"/>
                <w:b/>
                <w:sz w:val="20"/>
                <w:szCs w:val="20"/>
              </w:rPr>
              <w:t>Comité de suivi</w:t>
            </w:r>
          </w:p>
          <w:p w:rsidR="00483DC9" w:rsidRPr="002407EF" w:rsidRDefault="00483DC9" w:rsidP="00483DC9">
            <w:pPr>
              <w:spacing w:after="0" w:line="240" w:lineRule="auto"/>
              <w:jc w:val="center"/>
              <w:rPr>
                <w:rFonts w:ascii="Times New Roman" w:hAnsi="Times New Roman"/>
                <w:b/>
                <w:sz w:val="20"/>
                <w:szCs w:val="20"/>
              </w:rPr>
            </w:pPr>
          </w:p>
          <w:p w:rsidR="00483DC9" w:rsidRPr="002407EF" w:rsidRDefault="00483DC9" w:rsidP="00483DC9">
            <w:pPr>
              <w:spacing w:after="0" w:line="240" w:lineRule="auto"/>
              <w:jc w:val="center"/>
              <w:rPr>
                <w:rFonts w:ascii="Times New Roman" w:hAnsi="Times New Roman"/>
                <w:b/>
                <w:sz w:val="20"/>
                <w:szCs w:val="20"/>
              </w:rPr>
            </w:pPr>
            <w:r w:rsidRPr="002407EF">
              <w:rPr>
                <w:rFonts w:ascii="Times New Roman" w:hAnsi="Times New Roman"/>
                <w:b/>
                <w:sz w:val="20"/>
                <w:szCs w:val="20"/>
              </w:rPr>
              <w:t>PUASEE-FA</w:t>
            </w:r>
          </w:p>
        </w:tc>
        <w:tc>
          <w:tcPr>
            <w:tcW w:w="1134" w:type="dxa"/>
            <w:tcBorders>
              <w:top w:val="single" w:sz="4" w:space="0" w:color="auto"/>
              <w:left w:val="single" w:sz="4" w:space="0" w:color="auto"/>
              <w:bottom w:val="single" w:sz="4" w:space="0" w:color="auto"/>
              <w:right w:val="single" w:sz="4" w:space="0" w:color="auto"/>
            </w:tcBorders>
            <w:vAlign w:val="center"/>
          </w:tcPr>
          <w:p w:rsidR="00483DC9" w:rsidRPr="00AA45E9" w:rsidRDefault="00483DC9" w:rsidP="00483DC9">
            <w:pPr>
              <w:spacing w:after="0" w:line="240" w:lineRule="auto"/>
              <w:jc w:val="center"/>
              <w:rPr>
                <w:rFonts w:ascii="Times New Roman" w:hAnsi="Times New Roman"/>
                <w:sz w:val="20"/>
                <w:szCs w:val="20"/>
              </w:rPr>
            </w:pPr>
            <w:r w:rsidRPr="00AA45E9">
              <w:rPr>
                <w:rFonts w:ascii="Times New Roman" w:hAnsi="Times New Roman"/>
                <w:sz w:val="20"/>
                <w:szCs w:val="20"/>
              </w:rPr>
              <w:t>Au début et en continu</w:t>
            </w:r>
          </w:p>
        </w:tc>
        <w:tc>
          <w:tcPr>
            <w:tcW w:w="1374"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483DC9" w:rsidRPr="00AA45E9" w:rsidRDefault="00483DC9" w:rsidP="00483DC9">
            <w:pPr>
              <w:spacing w:after="0" w:line="240" w:lineRule="auto"/>
              <w:jc w:val="center"/>
              <w:rPr>
                <w:rFonts w:ascii="Times New Roman" w:hAnsi="Times New Roman"/>
                <w:b/>
                <w:sz w:val="20"/>
                <w:szCs w:val="20"/>
              </w:rPr>
            </w:pPr>
            <w:r>
              <w:rPr>
                <w:rFonts w:ascii="Times New Roman" w:hAnsi="Times New Roman"/>
                <w:b/>
                <w:sz w:val="20"/>
                <w:szCs w:val="20"/>
              </w:rPr>
              <w:t>2 0</w:t>
            </w:r>
            <w:r w:rsidRPr="00AA45E9">
              <w:rPr>
                <w:rFonts w:ascii="Times New Roman" w:hAnsi="Times New Roman"/>
                <w:b/>
                <w:sz w:val="20"/>
                <w:szCs w:val="20"/>
              </w:rPr>
              <w:t>00 000</w:t>
            </w:r>
          </w:p>
        </w:tc>
        <w:tc>
          <w:tcPr>
            <w:tcW w:w="1237" w:type="dxa"/>
            <w:gridSpan w:val="3"/>
            <w:tcBorders>
              <w:top w:val="single" w:sz="4" w:space="0" w:color="auto"/>
              <w:left w:val="single" w:sz="4" w:space="0" w:color="auto"/>
              <w:bottom w:val="single" w:sz="4" w:space="0" w:color="auto"/>
              <w:right w:val="single" w:sz="4" w:space="0" w:color="auto"/>
            </w:tcBorders>
            <w:vAlign w:val="center"/>
          </w:tcPr>
          <w:p w:rsidR="00483DC9" w:rsidRPr="00AA45E9" w:rsidRDefault="00483DC9" w:rsidP="00483DC9">
            <w:pPr>
              <w:spacing w:after="0" w:line="240" w:lineRule="auto"/>
              <w:jc w:val="center"/>
              <w:rPr>
                <w:rFonts w:ascii="Times New Roman" w:hAnsi="Times New Roman"/>
                <w:sz w:val="20"/>
                <w:szCs w:val="20"/>
              </w:rPr>
            </w:pPr>
            <w:r w:rsidRPr="00AA45E9">
              <w:rPr>
                <w:rFonts w:ascii="Times New Roman" w:hAnsi="Times New Roman"/>
                <w:sz w:val="20"/>
                <w:szCs w:val="20"/>
              </w:rPr>
              <w:t>Coût inclus dans le protocole d’accord entre le promoteur et le CRS</w:t>
            </w:r>
          </w:p>
        </w:tc>
      </w:tr>
      <w:tr w:rsidR="00483DC9" w:rsidRPr="00AA45E9" w:rsidTr="007D251E">
        <w:trPr>
          <w:trHeight w:val="1438"/>
          <w:jc w:val="center"/>
        </w:trPr>
        <w:tc>
          <w:tcPr>
            <w:tcW w:w="1127"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483DC9" w:rsidRPr="00AA45E9" w:rsidRDefault="00483DC9" w:rsidP="00483DC9">
            <w:pPr>
              <w:spacing w:after="0" w:line="240" w:lineRule="auto"/>
              <w:jc w:val="center"/>
              <w:rPr>
                <w:rFonts w:ascii="Times New Roman" w:hAnsi="Times New Roman"/>
                <w:b/>
                <w:bCs/>
                <w:sz w:val="20"/>
                <w:szCs w:val="20"/>
              </w:rPr>
            </w:pPr>
            <w:r w:rsidRPr="00AA45E9">
              <w:rPr>
                <w:rFonts w:ascii="Times New Roman" w:hAnsi="Times New Roman"/>
                <w:b/>
                <w:bCs/>
                <w:sz w:val="20"/>
                <w:szCs w:val="20"/>
              </w:rPr>
              <w:lastRenderedPageBreak/>
              <w:t>Humain</w:t>
            </w:r>
          </w:p>
        </w:tc>
        <w:tc>
          <w:tcPr>
            <w:tcW w:w="2304" w:type="dxa"/>
            <w:gridSpan w:val="2"/>
            <w:tcBorders>
              <w:top w:val="single" w:sz="4" w:space="0" w:color="auto"/>
              <w:left w:val="single" w:sz="4" w:space="0" w:color="auto"/>
              <w:bottom w:val="single" w:sz="4" w:space="0" w:color="auto"/>
              <w:right w:val="single" w:sz="4" w:space="0" w:color="auto"/>
            </w:tcBorders>
            <w:vAlign w:val="center"/>
          </w:tcPr>
          <w:p w:rsidR="00483DC9" w:rsidRPr="00AA45E9" w:rsidRDefault="00483DC9" w:rsidP="00483DC9">
            <w:pPr>
              <w:spacing w:after="0" w:line="240" w:lineRule="auto"/>
              <w:rPr>
                <w:rFonts w:ascii="Times New Roman" w:hAnsi="Times New Roman"/>
                <w:sz w:val="20"/>
                <w:szCs w:val="20"/>
              </w:rPr>
            </w:pPr>
            <w:r w:rsidRPr="00AA45E9">
              <w:rPr>
                <w:rFonts w:ascii="Times New Roman" w:hAnsi="Times New Roman"/>
                <w:sz w:val="20"/>
                <w:szCs w:val="20"/>
              </w:rPr>
              <w:t>Risque de vol, de pillage d’effraction et de sabotage des chantiers</w:t>
            </w:r>
          </w:p>
        </w:tc>
        <w:tc>
          <w:tcPr>
            <w:tcW w:w="3829" w:type="dxa"/>
            <w:gridSpan w:val="2"/>
            <w:tcBorders>
              <w:top w:val="single" w:sz="4" w:space="0" w:color="auto"/>
              <w:left w:val="single" w:sz="4" w:space="0" w:color="auto"/>
              <w:bottom w:val="single" w:sz="4" w:space="0" w:color="auto"/>
              <w:right w:val="single" w:sz="4" w:space="0" w:color="auto"/>
            </w:tcBorders>
            <w:vAlign w:val="center"/>
          </w:tcPr>
          <w:p w:rsidR="00483DC9" w:rsidRPr="00AA45E9" w:rsidRDefault="00483DC9" w:rsidP="00483DC9">
            <w:pPr>
              <w:spacing w:after="0" w:line="240" w:lineRule="auto"/>
              <w:jc w:val="both"/>
              <w:rPr>
                <w:rFonts w:ascii="Times New Roman" w:hAnsi="Times New Roman"/>
                <w:sz w:val="20"/>
                <w:szCs w:val="20"/>
              </w:rPr>
            </w:pPr>
            <w:r w:rsidRPr="00AA45E9">
              <w:rPr>
                <w:rFonts w:ascii="Times New Roman" w:hAnsi="Times New Roman"/>
                <w:sz w:val="20"/>
                <w:szCs w:val="20"/>
              </w:rPr>
              <w:t>- Recruter un service de gardiennage expérimenté</w:t>
            </w:r>
            <w:r>
              <w:rPr>
                <w:rFonts w:ascii="Times New Roman" w:hAnsi="Times New Roman"/>
                <w:sz w:val="20"/>
                <w:szCs w:val="20"/>
              </w:rPr>
              <w:t> ;</w:t>
            </w:r>
          </w:p>
          <w:p w:rsidR="00483DC9" w:rsidRPr="00AA45E9" w:rsidRDefault="00483DC9" w:rsidP="00483DC9">
            <w:pPr>
              <w:spacing w:after="0" w:line="240" w:lineRule="auto"/>
              <w:jc w:val="both"/>
              <w:rPr>
                <w:rFonts w:ascii="Times New Roman" w:hAnsi="Times New Roman"/>
                <w:sz w:val="20"/>
                <w:szCs w:val="20"/>
              </w:rPr>
            </w:pPr>
            <w:r w:rsidRPr="00AA45E9">
              <w:rPr>
                <w:rFonts w:ascii="Times New Roman" w:hAnsi="Times New Roman"/>
                <w:sz w:val="20"/>
                <w:szCs w:val="20"/>
              </w:rPr>
              <w:t>-Bien sécuriser les alentours des chantiers</w:t>
            </w:r>
            <w:r>
              <w:rPr>
                <w:rFonts w:ascii="Times New Roman" w:hAnsi="Times New Roman"/>
                <w:sz w:val="20"/>
                <w:szCs w:val="20"/>
              </w:rPr>
              <w:t> ;</w:t>
            </w:r>
          </w:p>
          <w:p w:rsidR="00483DC9" w:rsidRPr="00AA45E9" w:rsidRDefault="00483DC9" w:rsidP="00483DC9">
            <w:pPr>
              <w:spacing w:after="0" w:line="240" w:lineRule="auto"/>
              <w:jc w:val="both"/>
              <w:rPr>
                <w:rFonts w:ascii="Times New Roman" w:hAnsi="Times New Roman"/>
                <w:sz w:val="20"/>
                <w:szCs w:val="20"/>
              </w:rPr>
            </w:pPr>
            <w:r w:rsidRPr="00AA45E9">
              <w:rPr>
                <w:rFonts w:ascii="Times New Roman" w:hAnsi="Times New Roman"/>
                <w:sz w:val="20"/>
                <w:szCs w:val="20"/>
              </w:rPr>
              <w:t>-Bien éclairer les chantiers ;</w:t>
            </w:r>
          </w:p>
        </w:tc>
        <w:tc>
          <w:tcPr>
            <w:tcW w:w="2835" w:type="dxa"/>
            <w:gridSpan w:val="2"/>
            <w:tcBorders>
              <w:top w:val="single" w:sz="4" w:space="0" w:color="auto"/>
              <w:left w:val="single" w:sz="4" w:space="0" w:color="auto"/>
              <w:bottom w:val="single" w:sz="4" w:space="0" w:color="auto"/>
              <w:right w:val="single" w:sz="4" w:space="0" w:color="auto"/>
            </w:tcBorders>
            <w:vAlign w:val="center"/>
          </w:tcPr>
          <w:p w:rsidR="00483DC9" w:rsidRPr="00AA45E9" w:rsidRDefault="00483DC9" w:rsidP="00483DC9">
            <w:pPr>
              <w:spacing w:after="0" w:line="240" w:lineRule="auto"/>
              <w:jc w:val="both"/>
              <w:rPr>
                <w:rFonts w:ascii="Times New Roman" w:hAnsi="Times New Roman"/>
                <w:sz w:val="20"/>
                <w:szCs w:val="20"/>
              </w:rPr>
            </w:pPr>
            <w:r w:rsidRPr="00AA45E9">
              <w:rPr>
                <w:rFonts w:ascii="Times New Roman" w:hAnsi="Times New Roman"/>
                <w:sz w:val="20"/>
                <w:szCs w:val="20"/>
              </w:rPr>
              <w:t>-Présence de postes de gardiennage</w:t>
            </w:r>
            <w:r>
              <w:rPr>
                <w:rFonts w:ascii="Times New Roman" w:hAnsi="Times New Roman"/>
                <w:sz w:val="20"/>
                <w:szCs w:val="20"/>
              </w:rPr>
              <w:t> ;</w:t>
            </w:r>
          </w:p>
          <w:p w:rsidR="00483DC9" w:rsidRPr="00AA45E9" w:rsidRDefault="00483DC9" w:rsidP="00483DC9">
            <w:pPr>
              <w:spacing w:after="0" w:line="240" w:lineRule="auto"/>
              <w:rPr>
                <w:rFonts w:ascii="Times New Roman" w:hAnsi="Times New Roman"/>
                <w:sz w:val="20"/>
                <w:szCs w:val="20"/>
              </w:rPr>
            </w:pPr>
            <w:r w:rsidRPr="00AA45E9">
              <w:rPr>
                <w:rFonts w:ascii="Times New Roman" w:hAnsi="Times New Roman"/>
                <w:sz w:val="20"/>
                <w:szCs w:val="20"/>
              </w:rPr>
              <w:t>-Enceinte du chantier bien éclairé</w:t>
            </w:r>
            <w:r>
              <w:rPr>
                <w:rFonts w:ascii="Times New Roman" w:hAnsi="Times New Roman"/>
                <w:sz w:val="20"/>
                <w:szCs w:val="20"/>
              </w:rPr>
              <w:t> ;</w:t>
            </w:r>
          </w:p>
          <w:p w:rsidR="00483DC9" w:rsidRPr="00AA45E9" w:rsidRDefault="00483DC9" w:rsidP="00483DC9">
            <w:pPr>
              <w:spacing w:after="0" w:line="240" w:lineRule="auto"/>
              <w:jc w:val="both"/>
              <w:rPr>
                <w:rFonts w:ascii="Times New Roman" w:hAnsi="Times New Roman"/>
                <w:sz w:val="20"/>
                <w:szCs w:val="20"/>
              </w:rPr>
            </w:pPr>
          </w:p>
        </w:tc>
        <w:tc>
          <w:tcPr>
            <w:tcW w:w="1240" w:type="dxa"/>
            <w:gridSpan w:val="2"/>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483DC9" w:rsidRPr="002407EF" w:rsidRDefault="00483DC9" w:rsidP="00483DC9">
            <w:pPr>
              <w:spacing w:after="0" w:line="240" w:lineRule="auto"/>
              <w:jc w:val="center"/>
              <w:rPr>
                <w:rFonts w:ascii="Times New Roman" w:hAnsi="Times New Roman"/>
                <w:b/>
                <w:sz w:val="20"/>
                <w:szCs w:val="20"/>
              </w:rPr>
            </w:pPr>
            <w:r w:rsidRPr="002407EF">
              <w:rPr>
                <w:rFonts w:ascii="Times New Roman" w:hAnsi="Times New Roman"/>
                <w:b/>
                <w:sz w:val="20"/>
                <w:szCs w:val="20"/>
              </w:rPr>
              <w:t>Entreprise</w:t>
            </w:r>
          </w:p>
          <w:p w:rsidR="00483DC9" w:rsidRPr="002407EF" w:rsidRDefault="00483DC9" w:rsidP="00483DC9">
            <w:pPr>
              <w:spacing w:after="0" w:line="240" w:lineRule="auto"/>
              <w:jc w:val="center"/>
              <w:rPr>
                <w:rFonts w:ascii="Times New Roman" w:hAnsi="Times New Roman"/>
                <w:b/>
                <w:sz w:val="20"/>
                <w:szCs w:val="20"/>
              </w:rPr>
            </w:pPr>
          </w:p>
          <w:p w:rsidR="00483DC9" w:rsidRPr="002407EF" w:rsidRDefault="00483DC9" w:rsidP="00483DC9">
            <w:pPr>
              <w:spacing w:after="0" w:line="240" w:lineRule="auto"/>
              <w:jc w:val="center"/>
              <w:rPr>
                <w:rFonts w:ascii="Times New Roman" w:hAnsi="Times New Roman"/>
                <w:b/>
                <w:sz w:val="20"/>
                <w:szCs w:val="20"/>
              </w:rPr>
            </w:pPr>
            <w:r w:rsidRPr="002407EF">
              <w:rPr>
                <w:rFonts w:ascii="Times New Roman" w:hAnsi="Times New Roman"/>
                <w:b/>
                <w:sz w:val="20"/>
                <w:szCs w:val="20"/>
              </w:rPr>
              <w:t>PUASEE-FA</w:t>
            </w:r>
          </w:p>
        </w:tc>
        <w:tc>
          <w:tcPr>
            <w:tcW w:w="1276" w:type="dxa"/>
            <w:gridSpan w:val="2"/>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483DC9" w:rsidRPr="002407EF" w:rsidRDefault="00483DC9" w:rsidP="00483DC9">
            <w:pPr>
              <w:spacing w:after="0" w:line="240" w:lineRule="auto"/>
              <w:jc w:val="center"/>
              <w:rPr>
                <w:rFonts w:ascii="Times New Roman" w:hAnsi="Times New Roman"/>
                <w:b/>
                <w:sz w:val="20"/>
                <w:szCs w:val="20"/>
              </w:rPr>
            </w:pPr>
            <w:r w:rsidRPr="002407EF">
              <w:rPr>
                <w:rFonts w:ascii="Times New Roman" w:hAnsi="Times New Roman"/>
                <w:b/>
                <w:sz w:val="20"/>
                <w:szCs w:val="20"/>
              </w:rPr>
              <w:t>Comité de suivi</w:t>
            </w:r>
          </w:p>
          <w:p w:rsidR="00483DC9" w:rsidRPr="002407EF" w:rsidRDefault="00483DC9" w:rsidP="00483DC9">
            <w:pPr>
              <w:spacing w:after="0" w:line="240" w:lineRule="auto"/>
              <w:jc w:val="center"/>
              <w:rPr>
                <w:rFonts w:ascii="Times New Roman" w:hAnsi="Times New Roman"/>
                <w:b/>
                <w:sz w:val="20"/>
                <w:szCs w:val="20"/>
              </w:rPr>
            </w:pPr>
          </w:p>
          <w:p w:rsidR="00483DC9" w:rsidRPr="002407EF" w:rsidRDefault="00483DC9" w:rsidP="00483DC9">
            <w:pPr>
              <w:spacing w:after="0" w:line="240" w:lineRule="auto"/>
              <w:jc w:val="center"/>
              <w:rPr>
                <w:rFonts w:ascii="Times New Roman" w:hAnsi="Times New Roman"/>
                <w:b/>
                <w:sz w:val="20"/>
                <w:szCs w:val="20"/>
              </w:rPr>
            </w:pPr>
            <w:r w:rsidRPr="002407EF">
              <w:rPr>
                <w:rFonts w:ascii="Times New Roman" w:hAnsi="Times New Roman"/>
                <w:b/>
                <w:sz w:val="20"/>
                <w:szCs w:val="20"/>
              </w:rPr>
              <w:t>PUASEE-FA</w:t>
            </w:r>
          </w:p>
        </w:tc>
        <w:tc>
          <w:tcPr>
            <w:tcW w:w="1134" w:type="dxa"/>
            <w:tcBorders>
              <w:top w:val="single" w:sz="4" w:space="0" w:color="auto"/>
              <w:left w:val="single" w:sz="4" w:space="0" w:color="auto"/>
              <w:bottom w:val="single" w:sz="4" w:space="0" w:color="auto"/>
              <w:right w:val="single" w:sz="4" w:space="0" w:color="auto"/>
            </w:tcBorders>
            <w:vAlign w:val="center"/>
          </w:tcPr>
          <w:p w:rsidR="00483DC9" w:rsidRPr="00AA45E9" w:rsidRDefault="00483DC9" w:rsidP="00483DC9">
            <w:pPr>
              <w:spacing w:after="0" w:line="240" w:lineRule="auto"/>
              <w:jc w:val="center"/>
              <w:rPr>
                <w:rFonts w:ascii="Times New Roman" w:hAnsi="Times New Roman"/>
                <w:sz w:val="20"/>
                <w:szCs w:val="20"/>
              </w:rPr>
            </w:pPr>
            <w:r w:rsidRPr="00AA45E9">
              <w:rPr>
                <w:rFonts w:ascii="Times New Roman" w:hAnsi="Times New Roman"/>
                <w:sz w:val="20"/>
                <w:szCs w:val="20"/>
              </w:rPr>
              <w:t>Au début et en continu</w:t>
            </w:r>
          </w:p>
        </w:tc>
        <w:tc>
          <w:tcPr>
            <w:tcW w:w="1374"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483DC9" w:rsidRPr="00AA45E9" w:rsidRDefault="00483DC9" w:rsidP="00483DC9">
            <w:pPr>
              <w:spacing w:after="0" w:line="240" w:lineRule="auto"/>
              <w:jc w:val="center"/>
              <w:rPr>
                <w:rFonts w:ascii="Times New Roman" w:hAnsi="Times New Roman"/>
                <w:b/>
                <w:sz w:val="20"/>
                <w:szCs w:val="20"/>
              </w:rPr>
            </w:pPr>
            <w:r w:rsidRPr="00AA45E9">
              <w:rPr>
                <w:rFonts w:ascii="Times New Roman" w:hAnsi="Times New Roman"/>
                <w:b/>
                <w:sz w:val="20"/>
                <w:szCs w:val="20"/>
              </w:rPr>
              <w:t>Coût associé au projet</w:t>
            </w:r>
          </w:p>
        </w:tc>
        <w:tc>
          <w:tcPr>
            <w:tcW w:w="1237" w:type="dxa"/>
            <w:gridSpan w:val="3"/>
            <w:tcBorders>
              <w:top w:val="single" w:sz="4" w:space="0" w:color="auto"/>
              <w:left w:val="single" w:sz="4" w:space="0" w:color="auto"/>
              <w:bottom w:val="single" w:sz="4" w:space="0" w:color="auto"/>
              <w:right w:val="single" w:sz="4" w:space="0" w:color="auto"/>
            </w:tcBorders>
            <w:vAlign w:val="center"/>
          </w:tcPr>
          <w:p w:rsidR="00483DC9" w:rsidRPr="00AA45E9" w:rsidRDefault="00483DC9" w:rsidP="00483DC9">
            <w:pPr>
              <w:spacing w:after="0" w:line="240" w:lineRule="auto"/>
              <w:jc w:val="center"/>
              <w:rPr>
                <w:rFonts w:ascii="Times New Roman" w:hAnsi="Times New Roman"/>
                <w:sz w:val="20"/>
                <w:szCs w:val="20"/>
              </w:rPr>
            </w:pPr>
            <w:r w:rsidRPr="00AA45E9">
              <w:rPr>
                <w:rFonts w:ascii="Times New Roman" w:hAnsi="Times New Roman"/>
                <w:sz w:val="20"/>
                <w:szCs w:val="20"/>
              </w:rPr>
              <w:t>Coût inclus dans le protocole d’accord entre le promoteur et le CRS</w:t>
            </w:r>
          </w:p>
        </w:tc>
      </w:tr>
      <w:tr w:rsidR="00483DC9" w:rsidRPr="00AA45E9" w:rsidTr="007D251E">
        <w:trPr>
          <w:trHeight w:val="596"/>
          <w:jc w:val="center"/>
        </w:trPr>
        <w:tc>
          <w:tcPr>
            <w:tcW w:w="1127"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483DC9" w:rsidRPr="00AA45E9" w:rsidRDefault="00483DC9" w:rsidP="00483DC9">
            <w:pPr>
              <w:spacing w:after="0" w:line="240" w:lineRule="auto"/>
              <w:jc w:val="center"/>
              <w:rPr>
                <w:rFonts w:ascii="Times New Roman" w:eastAsia="Times New Roman" w:hAnsi="Times New Roman"/>
                <w:b/>
                <w:bCs/>
                <w:sz w:val="20"/>
                <w:szCs w:val="20"/>
              </w:rPr>
            </w:pPr>
            <w:r w:rsidRPr="00AA45E9">
              <w:rPr>
                <w:rFonts w:ascii="Times New Roman" w:eastAsia="Times New Roman" w:hAnsi="Times New Roman"/>
                <w:b/>
                <w:sz w:val="20"/>
                <w:szCs w:val="20"/>
              </w:rPr>
              <w:t>Création d’emplois</w:t>
            </w:r>
          </w:p>
          <w:p w:rsidR="00483DC9" w:rsidRPr="00AA45E9" w:rsidRDefault="00483DC9" w:rsidP="00483DC9">
            <w:pPr>
              <w:spacing w:after="0" w:line="240" w:lineRule="auto"/>
              <w:jc w:val="center"/>
              <w:rPr>
                <w:rFonts w:ascii="Times New Roman" w:eastAsia="Times New Roman" w:hAnsi="Times New Roman"/>
                <w:b/>
                <w:bCs/>
                <w:sz w:val="20"/>
                <w:szCs w:val="20"/>
              </w:rPr>
            </w:pPr>
          </w:p>
        </w:tc>
        <w:tc>
          <w:tcPr>
            <w:tcW w:w="2304" w:type="dxa"/>
            <w:gridSpan w:val="2"/>
            <w:tcBorders>
              <w:top w:val="single" w:sz="4" w:space="0" w:color="auto"/>
              <w:left w:val="single" w:sz="4" w:space="0" w:color="auto"/>
              <w:bottom w:val="single" w:sz="4" w:space="0" w:color="auto"/>
              <w:right w:val="single" w:sz="4" w:space="0" w:color="auto"/>
            </w:tcBorders>
            <w:vAlign w:val="center"/>
          </w:tcPr>
          <w:p w:rsidR="00483DC9" w:rsidRPr="00AA45E9" w:rsidRDefault="00483DC9" w:rsidP="00483DC9">
            <w:pPr>
              <w:spacing w:after="200" w:line="240" w:lineRule="auto"/>
              <w:jc w:val="both"/>
              <w:rPr>
                <w:rFonts w:ascii="Times New Roman" w:hAnsi="Times New Roman"/>
                <w:sz w:val="20"/>
                <w:szCs w:val="20"/>
              </w:rPr>
            </w:pPr>
            <w:r w:rsidRPr="00AA45E9">
              <w:rPr>
                <w:rFonts w:ascii="Times New Roman" w:hAnsi="Times New Roman"/>
                <w:sz w:val="20"/>
                <w:szCs w:val="20"/>
              </w:rPr>
              <w:t>Recrutement des jeunes (homme/ femme)</w:t>
            </w:r>
          </w:p>
        </w:tc>
        <w:tc>
          <w:tcPr>
            <w:tcW w:w="3829" w:type="dxa"/>
            <w:gridSpan w:val="2"/>
            <w:tcBorders>
              <w:top w:val="single" w:sz="4" w:space="0" w:color="auto"/>
              <w:left w:val="single" w:sz="4" w:space="0" w:color="auto"/>
              <w:bottom w:val="single" w:sz="4" w:space="0" w:color="auto"/>
              <w:right w:val="single" w:sz="4" w:space="0" w:color="auto"/>
            </w:tcBorders>
            <w:vAlign w:val="center"/>
          </w:tcPr>
          <w:p w:rsidR="00483DC9" w:rsidRPr="00AA45E9" w:rsidRDefault="00483DC9" w:rsidP="00483DC9">
            <w:pPr>
              <w:spacing w:after="200" w:line="240" w:lineRule="auto"/>
              <w:jc w:val="both"/>
              <w:rPr>
                <w:rFonts w:ascii="Times New Roman" w:hAnsi="Times New Roman"/>
                <w:sz w:val="20"/>
                <w:szCs w:val="20"/>
              </w:rPr>
            </w:pPr>
            <w:r w:rsidRPr="00AA45E9">
              <w:rPr>
                <w:rFonts w:ascii="Times New Roman" w:hAnsi="Times New Roman"/>
                <w:sz w:val="20"/>
                <w:szCs w:val="20"/>
              </w:rPr>
              <w:t>Recruter en priorité les populations riveraines pour les postes temporaires.</w:t>
            </w:r>
          </w:p>
        </w:tc>
        <w:tc>
          <w:tcPr>
            <w:tcW w:w="2835" w:type="dxa"/>
            <w:gridSpan w:val="2"/>
            <w:tcBorders>
              <w:top w:val="single" w:sz="4" w:space="0" w:color="auto"/>
              <w:left w:val="single" w:sz="4" w:space="0" w:color="auto"/>
              <w:bottom w:val="single" w:sz="4" w:space="0" w:color="auto"/>
              <w:right w:val="single" w:sz="4" w:space="0" w:color="auto"/>
            </w:tcBorders>
            <w:vAlign w:val="center"/>
          </w:tcPr>
          <w:p w:rsidR="00483DC9" w:rsidRPr="00AA45E9" w:rsidRDefault="00483DC9" w:rsidP="00483DC9">
            <w:pPr>
              <w:spacing w:after="0" w:line="240" w:lineRule="auto"/>
              <w:jc w:val="both"/>
              <w:rPr>
                <w:rFonts w:ascii="Times New Roman" w:hAnsi="Times New Roman"/>
                <w:sz w:val="20"/>
                <w:szCs w:val="20"/>
              </w:rPr>
            </w:pPr>
            <w:r w:rsidRPr="00AA45E9">
              <w:rPr>
                <w:rFonts w:ascii="Times New Roman" w:hAnsi="Times New Roman"/>
                <w:sz w:val="20"/>
                <w:szCs w:val="20"/>
              </w:rPr>
              <w:t>-Combien de jeunes sont recrutés au total</w:t>
            </w:r>
            <w:r>
              <w:rPr>
                <w:rFonts w:ascii="Times New Roman" w:hAnsi="Times New Roman"/>
                <w:sz w:val="20"/>
                <w:szCs w:val="20"/>
              </w:rPr>
              <w:t> ;</w:t>
            </w:r>
          </w:p>
          <w:p w:rsidR="00483DC9" w:rsidRPr="00AA45E9" w:rsidRDefault="00483DC9" w:rsidP="00483DC9">
            <w:pPr>
              <w:spacing w:after="0" w:line="240" w:lineRule="auto"/>
              <w:jc w:val="both"/>
              <w:rPr>
                <w:rFonts w:ascii="Times New Roman" w:hAnsi="Times New Roman"/>
                <w:sz w:val="20"/>
                <w:szCs w:val="20"/>
              </w:rPr>
            </w:pPr>
            <w:r w:rsidRPr="00AA45E9">
              <w:rPr>
                <w:rFonts w:ascii="Times New Roman" w:hAnsi="Times New Roman"/>
                <w:sz w:val="20"/>
                <w:szCs w:val="20"/>
              </w:rPr>
              <w:t>-Combien de jeunes sont recrutés</w:t>
            </w:r>
            <w:r>
              <w:rPr>
                <w:rFonts w:ascii="Times New Roman" w:hAnsi="Times New Roman"/>
                <w:sz w:val="20"/>
                <w:szCs w:val="20"/>
              </w:rPr>
              <w:t> </w:t>
            </w:r>
            <w:r w:rsidRPr="00AA45E9">
              <w:rPr>
                <w:rFonts w:ascii="Times New Roman" w:hAnsi="Times New Roman"/>
                <w:sz w:val="20"/>
                <w:szCs w:val="20"/>
              </w:rPr>
              <w:t xml:space="preserve"> dans chaque secteur concerné</w:t>
            </w:r>
            <w:r>
              <w:rPr>
                <w:rFonts w:ascii="Times New Roman" w:hAnsi="Times New Roman"/>
                <w:sz w:val="20"/>
                <w:szCs w:val="20"/>
              </w:rPr>
              <w:t> ;</w:t>
            </w:r>
          </w:p>
        </w:tc>
        <w:tc>
          <w:tcPr>
            <w:tcW w:w="1240" w:type="dxa"/>
            <w:gridSpan w:val="2"/>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483DC9" w:rsidRPr="002407EF" w:rsidRDefault="00483DC9" w:rsidP="00483DC9">
            <w:pPr>
              <w:spacing w:after="0" w:line="240" w:lineRule="auto"/>
              <w:jc w:val="center"/>
              <w:rPr>
                <w:rFonts w:ascii="Times New Roman" w:hAnsi="Times New Roman"/>
                <w:b/>
                <w:sz w:val="20"/>
                <w:szCs w:val="20"/>
              </w:rPr>
            </w:pPr>
            <w:r w:rsidRPr="002407EF">
              <w:rPr>
                <w:rFonts w:ascii="Times New Roman" w:hAnsi="Times New Roman"/>
                <w:b/>
                <w:sz w:val="20"/>
                <w:szCs w:val="20"/>
              </w:rPr>
              <w:t>Entreprise</w:t>
            </w:r>
          </w:p>
          <w:p w:rsidR="00483DC9" w:rsidRPr="002407EF" w:rsidRDefault="00483DC9" w:rsidP="00483DC9">
            <w:pPr>
              <w:spacing w:after="0" w:line="240" w:lineRule="auto"/>
              <w:jc w:val="center"/>
              <w:rPr>
                <w:rFonts w:ascii="Times New Roman" w:hAnsi="Times New Roman"/>
                <w:b/>
                <w:sz w:val="20"/>
                <w:szCs w:val="20"/>
              </w:rPr>
            </w:pPr>
          </w:p>
          <w:p w:rsidR="00483DC9" w:rsidRPr="002407EF" w:rsidRDefault="00483DC9" w:rsidP="00483DC9">
            <w:pPr>
              <w:spacing w:after="0" w:line="240" w:lineRule="auto"/>
              <w:jc w:val="center"/>
              <w:rPr>
                <w:rFonts w:ascii="Times New Roman" w:hAnsi="Times New Roman"/>
                <w:b/>
                <w:sz w:val="20"/>
                <w:szCs w:val="20"/>
              </w:rPr>
            </w:pPr>
            <w:r w:rsidRPr="002407EF">
              <w:rPr>
                <w:rFonts w:ascii="Times New Roman" w:hAnsi="Times New Roman"/>
                <w:b/>
                <w:sz w:val="20"/>
                <w:szCs w:val="20"/>
              </w:rPr>
              <w:t>PUASEE-FA</w:t>
            </w:r>
          </w:p>
          <w:p w:rsidR="00483DC9" w:rsidRPr="002407EF" w:rsidRDefault="00483DC9" w:rsidP="00483DC9">
            <w:pPr>
              <w:spacing w:after="0" w:line="240" w:lineRule="auto"/>
              <w:jc w:val="center"/>
              <w:rPr>
                <w:rFonts w:ascii="Times New Roman" w:hAnsi="Times New Roman"/>
                <w:b/>
                <w:sz w:val="20"/>
                <w:szCs w:val="20"/>
              </w:rPr>
            </w:pPr>
          </w:p>
          <w:p w:rsidR="00483DC9" w:rsidRPr="002407EF" w:rsidRDefault="00483DC9" w:rsidP="00483DC9">
            <w:pPr>
              <w:spacing w:after="0" w:line="240" w:lineRule="auto"/>
              <w:jc w:val="center"/>
              <w:rPr>
                <w:rFonts w:ascii="Times New Roman" w:hAnsi="Times New Roman"/>
                <w:b/>
                <w:sz w:val="20"/>
                <w:szCs w:val="20"/>
              </w:rPr>
            </w:pPr>
            <w:r w:rsidRPr="002407EF">
              <w:rPr>
                <w:rFonts w:ascii="Times New Roman" w:hAnsi="Times New Roman"/>
                <w:b/>
                <w:sz w:val="20"/>
                <w:szCs w:val="20"/>
              </w:rPr>
              <w:t>Mairie</w:t>
            </w:r>
          </w:p>
        </w:tc>
        <w:tc>
          <w:tcPr>
            <w:tcW w:w="1276" w:type="dxa"/>
            <w:gridSpan w:val="2"/>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483DC9" w:rsidRPr="002407EF" w:rsidRDefault="00483DC9" w:rsidP="00483DC9">
            <w:pPr>
              <w:spacing w:after="0" w:line="240" w:lineRule="auto"/>
              <w:jc w:val="center"/>
              <w:rPr>
                <w:rFonts w:ascii="Times New Roman" w:hAnsi="Times New Roman"/>
                <w:b/>
                <w:sz w:val="20"/>
                <w:szCs w:val="20"/>
              </w:rPr>
            </w:pPr>
            <w:r w:rsidRPr="002407EF">
              <w:rPr>
                <w:rFonts w:ascii="Times New Roman" w:hAnsi="Times New Roman"/>
                <w:b/>
                <w:sz w:val="20"/>
                <w:szCs w:val="20"/>
              </w:rPr>
              <w:t>Comité de suivi</w:t>
            </w:r>
          </w:p>
          <w:p w:rsidR="00483DC9" w:rsidRPr="002407EF" w:rsidRDefault="00483DC9" w:rsidP="00483DC9">
            <w:pPr>
              <w:spacing w:after="0" w:line="240" w:lineRule="auto"/>
              <w:jc w:val="center"/>
              <w:rPr>
                <w:rFonts w:ascii="Times New Roman" w:hAnsi="Times New Roman"/>
                <w:b/>
                <w:sz w:val="20"/>
                <w:szCs w:val="20"/>
              </w:rPr>
            </w:pPr>
          </w:p>
          <w:p w:rsidR="00483DC9" w:rsidRPr="002407EF" w:rsidRDefault="00483DC9" w:rsidP="00483DC9">
            <w:pPr>
              <w:pStyle w:val="Listecouleur-Accent11"/>
              <w:ind w:left="0"/>
              <w:jc w:val="center"/>
              <w:rPr>
                <w:rFonts w:ascii="Times New Roman" w:hAnsi="Times New Roman"/>
                <w:b/>
                <w:lang w:val="fr-FR"/>
              </w:rPr>
            </w:pPr>
            <w:r w:rsidRPr="002407EF">
              <w:rPr>
                <w:rFonts w:ascii="Times New Roman" w:hAnsi="Times New Roman"/>
                <w:b/>
                <w:sz w:val="20"/>
                <w:szCs w:val="20"/>
              </w:rPr>
              <w:t>PUASEE-FA</w:t>
            </w:r>
          </w:p>
        </w:tc>
        <w:tc>
          <w:tcPr>
            <w:tcW w:w="1134" w:type="dxa"/>
            <w:tcBorders>
              <w:top w:val="single" w:sz="4" w:space="0" w:color="auto"/>
              <w:left w:val="single" w:sz="4" w:space="0" w:color="auto"/>
              <w:bottom w:val="single" w:sz="4" w:space="0" w:color="auto"/>
              <w:right w:val="single" w:sz="4" w:space="0" w:color="auto"/>
            </w:tcBorders>
            <w:vAlign w:val="center"/>
          </w:tcPr>
          <w:p w:rsidR="00483DC9" w:rsidRPr="00AA45E9" w:rsidRDefault="00483DC9" w:rsidP="00483DC9">
            <w:pPr>
              <w:spacing w:after="0" w:line="240" w:lineRule="auto"/>
              <w:jc w:val="center"/>
              <w:rPr>
                <w:rFonts w:ascii="Times New Roman" w:hAnsi="Times New Roman"/>
                <w:sz w:val="20"/>
                <w:szCs w:val="20"/>
              </w:rPr>
            </w:pPr>
            <w:r w:rsidRPr="00AA45E9">
              <w:rPr>
                <w:rFonts w:ascii="Times New Roman" w:hAnsi="Times New Roman"/>
                <w:sz w:val="20"/>
                <w:szCs w:val="20"/>
              </w:rPr>
              <w:t>Durant les travaux / trimestrielle</w:t>
            </w:r>
          </w:p>
        </w:tc>
        <w:tc>
          <w:tcPr>
            <w:tcW w:w="1374"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483DC9" w:rsidRPr="00AA45E9" w:rsidRDefault="00483DC9" w:rsidP="00483DC9">
            <w:pPr>
              <w:spacing w:after="0" w:line="240" w:lineRule="auto"/>
              <w:jc w:val="center"/>
              <w:rPr>
                <w:rFonts w:ascii="Times New Roman" w:hAnsi="Times New Roman"/>
                <w:b/>
                <w:sz w:val="20"/>
                <w:szCs w:val="20"/>
              </w:rPr>
            </w:pPr>
            <w:r w:rsidRPr="00AA45E9">
              <w:rPr>
                <w:rFonts w:ascii="Times New Roman" w:hAnsi="Times New Roman"/>
                <w:b/>
                <w:sz w:val="20"/>
                <w:szCs w:val="20"/>
              </w:rPr>
              <w:t>Coût associé au projet</w:t>
            </w:r>
          </w:p>
        </w:tc>
        <w:tc>
          <w:tcPr>
            <w:tcW w:w="1237" w:type="dxa"/>
            <w:gridSpan w:val="3"/>
            <w:tcBorders>
              <w:top w:val="single" w:sz="4" w:space="0" w:color="auto"/>
              <w:left w:val="single" w:sz="4" w:space="0" w:color="auto"/>
              <w:bottom w:val="single" w:sz="4" w:space="0" w:color="auto"/>
              <w:right w:val="single" w:sz="4" w:space="0" w:color="auto"/>
            </w:tcBorders>
            <w:vAlign w:val="center"/>
          </w:tcPr>
          <w:p w:rsidR="00483DC9" w:rsidRPr="00AA45E9" w:rsidRDefault="00483DC9" w:rsidP="00483DC9">
            <w:pPr>
              <w:spacing w:after="0" w:line="240" w:lineRule="auto"/>
              <w:jc w:val="center"/>
              <w:rPr>
                <w:rFonts w:ascii="Times New Roman" w:hAnsi="Times New Roman"/>
                <w:sz w:val="20"/>
                <w:szCs w:val="20"/>
              </w:rPr>
            </w:pPr>
            <w:r w:rsidRPr="00AA45E9">
              <w:rPr>
                <w:rFonts w:ascii="Times New Roman" w:hAnsi="Times New Roman"/>
                <w:sz w:val="20"/>
                <w:szCs w:val="20"/>
              </w:rPr>
              <w:t>Coût inclus dans le protocole d’accord entre le promoteur et le CRS</w:t>
            </w:r>
          </w:p>
        </w:tc>
      </w:tr>
      <w:tr w:rsidR="00483DC9" w:rsidRPr="00AA45E9" w:rsidTr="007D251E">
        <w:trPr>
          <w:trHeight w:val="596"/>
          <w:jc w:val="center"/>
        </w:trPr>
        <w:tc>
          <w:tcPr>
            <w:tcW w:w="1127"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483DC9" w:rsidRPr="00AA45E9" w:rsidRDefault="00483DC9" w:rsidP="00483DC9">
            <w:pPr>
              <w:autoSpaceDE w:val="0"/>
              <w:autoSpaceDN w:val="0"/>
              <w:adjustRightInd w:val="0"/>
              <w:spacing w:after="0" w:line="240" w:lineRule="auto"/>
              <w:jc w:val="center"/>
              <w:rPr>
                <w:rFonts w:ascii="Times New Roman" w:hAnsi="Times New Roman"/>
                <w:b/>
                <w:bCs/>
                <w:sz w:val="20"/>
                <w:szCs w:val="20"/>
              </w:rPr>
            </w:pPr>
            <w:r w:rsidRPr="00AA45E9">
              <w:rPr>
                <w:rFonts w:ascii="Times New Roman" w:hAnsi="Times New Roman"/>
                <w:b/>
                <w:bCs/>
                <w:sz w:val="20"/>
                <w:szCs w:val="20"/>
              </w:rPr>
              <w:t>Responsabilité sociétale</w:t>
            </w:r>
          </w:p>
        </w:tc>
        <w:tc>
          <w:tcPr>
            <w:tcW w:w="2304" w:type="dxa"/>
            <w:gridSpan w:val="2"/>
            <w:tcBorders>
              <w:top w:val="single" w:sz="4" w:space="0" w:color="auto"/>
              <w:left w:val="single" w:sz="4" w:space="0" w:color="auto"/>
              <w:bottom w:val="single" w:sz="4" w:space="0" w:color="auto"/>
              <w:right w:val="single" w:sz="4" w:space="0" w:color="auto"/>
            </w:tcBorders>
            <w:vAlign w:val="center"/>
          </w:tcPr>
          <w:p w:rsidR="00483DC9" w:rsidRPr="00AA45E9" w:rsidRDefault="00483DC9" w:rsidP="00483DC9">
            <w:pPr>
              <w:autoSpaceDE w:val="0"/>
              <w:autoSpaceDN w:val="0"/>
              <w:adjustRightInd w:val="0"/>
              <w:spacing w:after="0" w:line="240" w:lineRule="auto"/>
              <w:jc w:val="both"/>
              <w:rPr>
                <w:rFonts w:ascii="Times New Roman" w:hAnsi="Times New Roman"/>
                <w:sz w:val="20"/>
                <w:szCs w:val="20"/>
              </w:rPr>
            </w:pPr>
            <w:r w:rsidRPr="00AA45E9">
              <w:rPr>
                <w:rFonts w:ascii="Times New Roman" w:hAnsi="Times New Roman"/>
                <w:sz w:val="20"/>
                <w:szCs w:val="20"/>
              </w:rPr>
              <w:t>Accompagnement</w:t>
            </w:r>
          </w:p>
        </w:tc>
        <w:tc>
          <w:tcPr>
            <w:tcW w:w="3829" w:type="dxa"/>
            <w:gridSpan w:val="2"/>
            <w:tcBorders>
              <w:top w:val="single" w:sz="4" w:space="0" w:color="auto"/>
              <w:left w:val="single" w:sz="4" w:space="0" w:color="auto"/>
              <w:bottom w:val="single" w:sz="4" w:space="0" w:color="auto"/>
              <w:right w:val="single" w:sz="4" w:space="0" w:color="auto"/>
            </w:tcBorders>
            <w:vAlign w:val="center"/>
          </w:tcPr>
          <w:p w:rsidR="00483DC9" w:rsidRPr="00AA45E9" w:rsidRDefault="00483DC9" w:rsidP="00483DC9">
            <w:pPr>
              <w:autoSpaceDE w:val="0"/>
              <w:autoSpaceDN w:val="0"/>
              <w:adjustRightInd w:val="0"/>
              <w:spacing w:after="0" w:line="240" w:lineRule="auto"/>
              <w:jc w:val="both"/>
              <w:rPr>
                <w:rFonts w:ascii="Times New Roman" w:hAnsi="Times New Roman"/>
                <w:sz w:val="20"/>
                <w:szCs w:val="20"/>
              </w:rPr>
            </w:pPr>
            <w:r w:rsidRPr="00AA45E9">
              <w:rPr>
                <w:rFonts w:ascii="Times New Roman" w:hAnsi="Times New Roman"/>
                <w:sz w:val="20"/>
                <w:szCs w:val="20"/>
              </w:rPr>
              <w:t xml:space="preserve">- Participer aux activités et aux projets des </w:t>
            </w:r>
            <w:r>
              <w:rPr>
                <w:rFonts w:ascii="Times New Roman" w:hAnsi="Times New Roman"/>
                <w:sz w:val="20"/>
                <w:szCs w:val="20"/>
              </w:rPr>
              <w:t>secteurs de Bissau, de Prabis et de Safim ;</w:t>
            </w:r>
          </w:p>
        </w:tc>
        <w:tc>
          <w:tcPr>
            <w:tcW w:w="2835" w:type="dxa"/>
            <w:gridSpan w:val="2"/>
            <w:tcBorders>
              <w:top w:val="single" w:sz="4" w:space="0" w:color="auto"/>
              <w:left w:val="single" w:sz="4" w:space="0" w:color="auto"/>
              <w:bottom w:val="single" w:sz="4" w:space="0" w:color="auto"/>
              <w:right w:val="single" w:sz="4" w:space="0" w:color="auto"/>
            </w:tcBorders>
            <w:vAlign w:val="center"/>
          </w:tcPr>
          <w:p w:rsidR="00483DC9" w:rsidRPr="00AA45E9" w:rsidRDefault="00483DC9" w:rsidP="00483DC9">
            <w:pPr>
              <w:autoSpaceDE w:val="0"/>
              <w:autoSpaceDN w:val="0"/>
              <w:adjustRightInd w:val="0"/>
              <w:spacing w:after="0" w:line="240" w:lineRule="auto"/>
              <w:jc w:val="both"/>
              <w:rPr>
                <w:rFonts w:ascii="Times New Roman" w:hAnsi="Times New Roman"/>
                <w:sz w:val="20"/>
                <w:szCs w:val="20"/>
              </w:rPr>
            </w:pPr>
            <w:r w:rsidRPr="00AA45E9">
              <w:rPr>
                <w:rFonts w:ascii="Times New Roman" w:hAnsi="Times New Roman"/>
                <w:sz w:val="20"/>
                <w:szCs w:val="20"/>
              </w:rPr>
              <w:t>- Effectivité des mesures d’accompagnement ;</w:t>
            </w:r>
          </w:p>
          <w:p w:rsidR="00483DC9" w:rsidRPr="00AA45E9" w:rsidRDefault="00483DC9" w:rsidP="00483DC9">
            <w:pPr>
              <w:autoSpaceDE w:val="0"/>
              <w:autoSpaceDN w:val="0"/>
              <w:adjustRightInd w:val="0"/>
              <w:spacing w:after="0" w:line="240" w:lineRule="auto"/>
              <w:jc w:val="both"/>
              <w:rPr>
                <w:rFonts w:ascii="Times New Roman" w:hAnsi="Times New Roman"/>
                <w:sz w:val="20"/>
                <w:szCs w:val="20"/>
              </w:rPr>
            </w:pPr>
            <w:r w:rsidRPr="00AA45E9">
              <w:rPr>
                <w:rFonts w:ascii="Times New Roman" w:hAnsi="Times New Roman"/>
                <w:sz w:val="20"/>
                <w:szCs w:val="20"/>
              </w:rPr>
              <w:t>-Participation aux activités des communes ;</w:t>
            </w:r>
          </w:p>
          <w:p w:rsidR="00483DC9" w:rsidRPr="00AA45E9" w:rsidRDefault="00483DC9" w:rsidP="00483DC9">
            <w:pPr>
              <w:autoSpaceDE w:val="0"/>
              <w:autoSpaceDN w:val="0"/>
              <w:adjustRightInd w:val="0"/>
              <w:spacing w:after="0" w:line="240" w:lineRule="auto"/>
              <w:jc w:val="both"/>
              <w:rPr>
                <w:rFonts w:ascii="Times New Roman" w:hAnsi="Times New Roman"/>
                <w:sz w:val="20"/>
                <w:szCs w:val="20"/>
              </w:rPr>
            </w:pPr>
            <w:r w:rsidRPr="00AA45E9">
              <w:rPr>
                <w:rFonts w:ascii="Times New Roman" w:hAnsi="Times New Roman"/>
                <w:sz w:val="20"/>
                <w:szCs w:val="20"/>
              </w:rPr>
              <w:t>- Nombre de projets accompagnés ;</w:t>
            </w:r>
          </w:p>
        </w:tc>
        <w:tc>
          <w:tcPr>
            <w:tcW w:w="1240" w:type="dxa"/>
            <w:gridSpan w:val="2"/>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483DC9" w:rsidRPr="002407EF" w:rsidRDefault="00483DC9" w:rsidP="00483DC9">
            <w:pPr>
              <w:spacing w:after="0" w:line="240" w:lineRule="auto"/>
              <w:jc w:val="center"/>
              <w:rPr>
                <w:rFonts w:ascii="Times New Roman" w:hAnsi="Times New Roman"/>
                <w:b/>
                <w:sz w:val="20"/>
                <w:szCs w:val="20"/>
              </w:rPr>
            </w:pPr>
            <w:r w:rsidRPr="002407EF">
              <w:rPr>
                <w:rFonts w:ascii="Times New Roman" w:hAnsi="Times New Roman"/>
                <w:b/>
                <w:sz w:val="20"/>
                <w:szCs w:val="20"/>
              </w:rPr>
              <w:t>Entreprise</w:t>
            </w:r>
          </w:p>
          <w:p w:rsidR="00483DC9" w:rsidRPr="002407EF" w:rsidRDefault="00483DC9" w:rsidP="00483DC9">
            <w:pPr>
              <w:autoSpaceDE w:val="0"/>
              <w:autoSpaceDN w:val="0"/>
              <w:adjustRightInd w:val="0"/>
              <w:spacing w:after="0" w:line="240" w:lineRule="auto"/>
              <w:jc w:val="center"/>
              <w:rPr>
                <w:rFonts w:ascii="Times New Roman" w:hAnsi="Times New Roman"/>
                <w:b/>
                <w:sz w:val="20"/>
                <w:szCs w:val="20"/>
              </w:rPr>
            </w:pPr>
          </w:p>
        </w:tc>
        <w:tc>
          <w:tcPr>
            <w:tcW w:w="1276" w:type="dxa"/>
            <w:gridSpan w:val="2"/>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483DC9" w:rsidRPr="002407EF" w:rsidRDefault="00483DC9" w:rsidP="00483DC9">
            <w:pPr>
              <w:spacing w:after="0" w:line="240" w:lineRule="auto"/>
              <w:jc w:val="center"/>
              <w:rPr>
                <w:rFonts w:ascii="Times New Roman" w:hAnsi="Times New Roman"/>
                <w:b/>
                <w:sz w:val="20"/>
                <w:szCs w:val="20"/>
              </w:rPr>
            </w:pPr>
            <w:r w:rsidRPr="002407EF">
              <w:rPr>
                <w:rFonts w:ascii="Times New Roman" w:hAnsi="Times New Roman"/>
                <w:b/>
                <w:sz w:val="20"/>
                <w:szCs w:val="20"/>
              </w:rPr>
              <w:t>Comité de suivi</w:t>
            </w:r>
          </w:p>
          <w:p w:rsidR="00483DC9" w:rsidRPr="002407EF" w:rsidRDefault="00483DC9" w:rsidP="00483DC9">
            <w:pPr>
              <w:spacing w:after="0" w:line="240" w:lineRule="auto"/>
              <w:jc w:val="center"/>
              <w:rPr>
                <w:rFonts w:ascii="Times New Roman" w:hAnsi="Times New Roman"/>
                <w:b/>
                <w:sz w:val="20"/>
                <w:szCs w:val="20"/>
              </w:rPr>
            </w:pPr>
          </w:p>
          <w:p w:rsidR="00483DC9" w:rsidRPr="002407EF" w:rsidRDefault="00483DC9" w:rsidP="00483DC9">
            <w:pPr>
              <w:autoSpaceDE w:val="0"/>
              <w:autoSpaceDN w:val="0"/>
              <w:adjustRightInd w:val="0"/>
              <w:spacing w:after="0" w:line="240" w:lineRule="auto"/>
              <w:jc w:val="center"/>
              <w:rPr>
                <w:rFonts w:ascii="Times New Roman" w:hAnsi="Times New Roman"/>
                <w:b/>
                <w:sz w:val="20"/>
                <w:szCs w:val="20"/>
              </w:rPr>
            </w:pPr>
            <w:r w:rsidRPr="002407EF">
              <w:rPr>
                <w:rFonts w:ascii="Times New Roman" w:hAnsi="Times New Roman"/>
                <w:b/>
                <w:sz w:val="20"/>
                <w:szCs w:val="20"/>
              </w:rPr>
              <w:t>PUASEE-FA</w:t>
            </w:r>
          </w:p>
        </w:tc>
        <w:tc>
          <w:tcPr>
            <w:tcW w:w="1134" w:type="dxa"/>
            <w:tcBorders>
              <w:top w:val="single" w:sz="4" w:space="0" w:color="auto"/>
              <w:left w:val="single" w:sz="4" w:space="0" w:color="auto"/>
              <w:bottom w:val="single" w:sz="4" w:space="0" w:color="auto"/>
              <w:right w:val="single" w:sz="4" w:space="0" w:color="auto"/>
            </w:tcBorders>
            <w:vAlign w:val="center"/>
          </w:tcPr>
          <w:p w:rsidR="00483DC9" w:rsidRPr="00AA45E9" w:rsidRDefault="00483DC9" w:rsidP="00483DC9">
            <w:pPr>
              <w:autoSpaceDE w:val="0"/>
              <w:autoSpaceDN w:val="0"/>
              <w:adjustRightInd w:val="0"/>
              <w:spacing w:after="0" w:line="240" w:lineRule="auto"/>
              <w:jc w:val="center"/>
              <w:rPr>
                <w:rFonts w:ascii="Times New Roman" w:hAnsi="Times New Roman"/>
                <w:sz w:val="20"/>
                <w:szCs w:val="20"/>
              </w:rPr>
            </w:pPr>
            <w:r w:rsidRPr="00AA45E9">
              <w:rPr>
                <w:rFonts w:ascii="Times New Roman" w:hAnsi="Times New Roman"/>
                <w:sz w:val="20"/>
                <w:szCs w:val="20"/>
              </w:rPr>
              <w:t>Au début et en continu</w:t>
            </w:r>
          </w:p>
        </w:tc>
        <w:tc>
          <w:tcPr>
            <w:tcW w:w="1374"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483DC9" w:rsidRPr="00AA45E9" w:rsidRDefault="00483DC9" w:rsidP="00483DC9">
            <w:pPr>
              <w:autoSpaceDE w:val="0"/>
              <w:autoSpaceDN w:val="0"/>
              <w:adjustRightInd w:val="0"/>
              <w:spacing w:after="0" w:line="240" w:lineRule="auto"/>
              <w:jc w:val="center"/>
              <w:rPr>
                <w:rFonts w:ascii="Times New Roman" w:hAnsi="Times New Roman"/>
                <w:b/>
                <w:sz w:val="20"/>
                <w:szCs w:val="20"/>
              </w:rPr>
            </w:pPr>
            <w:r>
              <w:rPr>
                <w:rFonts w:ascii="Times New Roman" w:hAnsi="Times New Roman"/>
                <w:b/>
                <w:sz w:val="20"/>
                <w:szCs w:val="20"/>
              </w:rPr>
              <w:t>15</w:t>
            </w:r>
            <w:r w:rsidRPr="00AA45E9">
              <w:rPr>
                <w:rFonts w:ascii="Times New Roman" w:hAnsi="Times New Roman"/>
                <w:b/>
                <w:sz w:val="20"/>
                <w:szCs w:val="20"/>
              </w:rPr>
              <w:t xml:space="preserve"> 000</w:t>
            </w:r>
            <w:r>
              <w:rPr>
                <w:rFonts w:ascii="Times New Roman" w:hAnsi="Times New Roman"/>
                <w:b/>
                <w:sz w:val="20"/>
                <w:szCs w:val="20"/>
              </w:rPr>
              <w:t> </w:t>
            </w:r>
            <w:r w:rsidRPr="00AA45E9">
              <w:rPr>
                <w:rFonts w:ascii="Times New Roman" w:hAnsi="Times New Roman"/>
                <w:b/>
                <w:sz w:val="20"/>
                <w:szCs w:val="20"/>
              </w:rPr>
              <w:t>000</w:t>
            </w:r>
          </w:p>
        </w:tc>
        <w:tc>
          <w:tcPr>
            <w:tcW w:w="1237" w:type="dxa"/>
            <w:gridSpan w:val="3"/>
            <w:tcBorders>
              <w:top w:val="single" w:sz="4" w:space="0" w:color="auto"/>
              <w:left w:val="single" w:sz="4" w:space="0" w:color="auto"/>
              <w:bottom w:val="single" w:sz="4" w:space="0" w:color="auto"/>
              <w:right w:val="single" w:sz="4" w:space="0" w:color="auto"/>
            </w:tcBorders>
            <w:vAlign w:val="center"/>
          </w:tcPr>
          <w:p w:rsidR="00483DC9" w:rsidRPr="00AA45E9" w:rsidRDefault="00483DC9" w:rsidP="00483DC9">
            <w:pPr>
              <w:spacing w:after="0" w:line="240" w:lineRule="auto"/>
              <w:jc w:val="center"/>
              <w:rPr>
                <w:rFonts w:ascii="Times New Roman" w:hAnsi="Times New Roman"/>
                <w:sz w:val="20"/>
                <w:szCs w:val="20"/>
              </w:rPr>
            </w:pPr>
            <w:r w:rsidRPr="00AA45E9">
              <w:rPr>
                <w:rFonts w:ascii="Times New Roman" w:hAnsi="Times New Roman"/>
                <w:sz w:val="20"/>
                <w:szCs w:val="20"/>
              </w:rPr>
              <w:t>Coût inclus dans le protocole d’accord entre le promoteur et le CRS</w:t>
            </w:r>
          </w:p>
        </w:tc>
      </w:tr>
      <w:tr w:rsidR="00764FFF" w:rsidRPr="00AA45E9" w:rsidTr="007D251E">
        <w:trPr>
          <w:trHeight w:val="596"/>
          <w:jc w:val="center"/>
        </w:trPr>
        <w:tc>
          <w:tcPr>
            <w:tcW w:w="13745" w:type="dxa"/>
            <w:gridSpan w:val="12"/>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764FFF" w:rsidRPr="00AA45E9" w:rsidRDefault="00671CEF" w:rsidP="00764FFF">
            <w:pPr>
              <w:spacing w:after="0" w:line="240" w:lineRule="auto"/>
              <w:jc w:val="center"/>
              <w:rPr>
                <w:rFonts w:ascii="Times New Roman" w:hAnsi="Times New Roman"/>
                <w:b/>
                <w:bCs/>
                <w:sz w:val="28"/>
                <w:szCs w:val="28"/>
              </w:rPr>
            </w:pPr>
            <w:r>
              <w:rPr>
                <w:rFonts w:ascii="Times New Roman" w:hAnsi="Times New Roman"/>
                <w:b/>
                <w:bCs/>
                <w:sz w:val="28"/>
                <w:szCs w:val="28"/>
              </w:rPr>
              <w:t xml:space="preserve">SOUS </w:t>
            </w:r>
            <w:r w:rsidR="00764FFF" w:rsidRPr="00AA45E9">
              <w:rPr>
                <w:rFonts w:ascii="Times New Roman" w:hAnsi="Times New Roman"/>
                <w:b/>
                <w:bCs/>
                <w:sz w:val="28"/>
                <w:szCs w:val="28"/>
              </w:rPr>
              <w:t>TOTAL</w:t>
            </w:r>
            <w:r>
              <w:rPr>
                <w:rFonts w:ascii="Times New Roman" w:hAnsi="Times New Roman"/>
                <w:b/>
                <w:bCs/>
                <w:sz w:val="28"/>
                <w:szCs w:val="28"/>
              </w:rPr>
              <w:t xml:space="preserve"> 2</w:t>
            </w:r>
          </w:p>
        </w:tc>
        <w:tc>
          <w:tcPr>
            <w:tcW w:w="1374"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764FFF" w:rsidRPr="00AA45E9" w:rsidRDefault="007D251E" w:rsidP="00764FFF">
            <w:pPr>
              <w:spacing w:after="0" w:line="240" w:lineRule="auto"/>
              <w:jc w:val="center"/>
              <w:rPr>
                <w:rFonts w:ascii="Times New Roman" w:hAnsi="Times New Roman"/>
                <w:b/>
                <w:sz w:val="24"/>
                <w:szCs w:val="24"/>
              </w:rPr>
            </w:pPr>
            <w:r>
              <w:rPr>
                <w:rFonts w:ascii="Times New Roman" w:hAnsi="Times New Roman"/>
                <w:b/>
                <w:sz w:val="24"/>
                <w:szCs w:val="24"/>
              </w:rPr>
              <w:t>51 500 000</w:t>
            </w:r>
          </w:p>
        </w:tc>
        <w:tc>
          <w:tcPr>
            <w:tcW w:w="1237" w:type="dxa"/>
            <w:gridSpan w:val="3"/>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764FFF" w:rsidRPr="00AA45E9" w:rsidRDefault="00764FFF" w:rsidP="00764FFF">
            <w:pPr>
              <w:spacing w:after="0" w:line="240" w:lineRule="auto"/>
              <w:jc w:val="center"/>
              <w:rPr>
                <w:rFonts w:ascii="Times New Roman" w:hAnsi="Times New Roman"/>
                <w:sz w:val="24"/>
                <w:szCs w:val="24"/>
              </w:rPr>
            </w:pPr>
          </w:p>
        </w:tc>
      </w:tr>
      <w:tr w:rsidR="00671CEF" w:rsidRPr="00AA45E9" w:rsidTr="007D251E">
        <w:trPr>
          <w:trHeight w:val="596"/>
          <w:jc w:val="center"/>
        </w:trPr>
        <w:tc>
          <w:tcPr>
            <w:tcW w:w="13745" w:type="dxa"/>
            <w:gridSpan w:val="12"/>
            <w:tcBorders>
              <w:top w:val="single" w:sz="4" w:space="0" w:color="auto"/>
              <w:left w:val="nil"/>
              <w:bottom w:val="nil"/>
              <w:right w:val="nil"/>
            </w:tcBorders>
            <w:shd w:val="clear" w:color="auto" w:fill="FFFFFF" w:themeFill="background1"/>
            <w:vAlign w:val="center"/>
          </w:tcPr>
          <w:p w:rsidR="00671CEF" w:rsidRDefault="00671CEF" w:rsidP="00764FFF">
            <w:pPr>
              <w:spacing w:after="0" w:line="240" w:lineRule="auto"/>
              <w:jc w:val="center"/>
              <w:rPr>
                <w:rFonts w:ascii="Times New Roman" w:hAnsi="Times New Roman"/>
                <w:b/>
                <w:bCs/>
                <w:sz w:val="28"/>
                <w:szCs w:val="28"/>
              </w:rPr>
            </w:pPr>
          </w:p>
        </w:tc>
        <w:tc>
          <w:tcPr>
            <w:tcW w:w="1374" w:type="dxa"/>
            <w:tcBorders>
              <w:top w:val="nil"/>
              <w:left w:val="nil"/>
              <w:bottom w:val="nil"/>
              <w:right w:val="nil"/>
            </w:tcBorders>
            <w:shd w:val="clear" w:color="auto" w:fill="FFFFFF" w:themeFill="background1"/>
            <w:vAlign w:val="center"/>
          </w:tcPr>
          <w:p w:rsidR="00671CEF" w:rsidRPr="00AA45E9" w:rsidRDefault="00671CEF" w:rsidP="00764FFF">
            <w:pPr>
              <w:spacing w:after="0" w:line="240" w:lineRule="auto"/>
              <w:jc w:val="center"/>
              <w:rPr>
                <w:rFonts w:ascii="Times New Roman" w:hAnsi="Times New Roman"/>
                <w:b/>
                <w:sz w:val="24"/>
                <w:szCs w:val="24"/>
              </w:rPr>
            </w:pPr>
          </w:p>
        </w:tc>
        <w:tc>
          <w:tcPr>
            <w:tcW w:w="1237" w:type="dxa"/>
            <w:gridSpan w:val="3"/>
            <w:tcBorders>
              <w:top w:val="nil"/>
              <w:left w:val="nil"/>
              <w:bottom w:val="nil"/>
              <w:right w:val="nil"/>
            </w:tcBorders>
            <w:shd w:val="clear" w:color="auto" w:fill="FFFFFF" w:themeFill="background1"/>
            <w:vAlign w:val="center"/>
          </w:tcPr>
          <w:p w:rsidR="00671CEF" w:rsidRPr="00AA45E9" w:rsidRDefault="00671CEF" w:rsidP="00764FFF">
            <w:pPr>
              <w:spacing w:after="0" w:line="240" w:lineRule="auto"/>
              <w:jc w:val="center"/>
              <w:rPr>
                <w:rFonts w:ascii="Times New Roman" w:hAnsi="Times New Roman"/>
                <w:sz w:val="24"/>
                <w:szCs w:val="24"/>
              </w:rPr>
            </w:pPr>
          </w:p>
        </w:tc>
      </w:tr>
      <w:tr w:rsidR="00764FFF" w:rsidRPr="00AA45E9" w:rsidTr="002407EF">
        <w:trPr>
          <w:gridAfter w:val="1"/>
          <w:wAfter w:w="64" w:type="dxa"/>
          <w:trHeight w:val="366"/>
          <w:jc w:val="center"/>
        </w:trPr>
        <w:tc>
          <w:tcPr>
            <w:tcW w:w="16292" w:type="dxa"/>
            <w:gridSpan w:val="15"/>
            <w:tcBorders>
              <w:top w:val="single" w:sz="4" w:space="0" w:color="auto"/>
              <w:left w:val="single" w:sz="4" w:space="0" w:color="auto"/>
              <w:bottom w:val="single" w:sz="4" w:space="0" w:color="auto"/>
              <w:right w:val="single" w:sz="4" w:space="0" w:color="auto"/>
            </w:tcBorders>
            <w:shd w:val="clear" w:color="auto" w:fill="DEEAF6" w:themeFill="accent1" w:themeFillTint="33"/>
            <w:hideMark/>
          </w:tcPr>
          <w:p w:rsidR="00764FFF" w:rsidRPr="00AA45E9" w:rsidRDefault="00764FFF" w:rsidP="00671CEF">
            <w:pPr>
              <w:spacing w:after="0" w:line="240" w:lineRule="auto"/>
              <w:jc w:val="center"/>
              <w:rPr>
                <w:rFonts w:ascii="Times New Roman" w:hAnsi="Times New Roman"/>
                <w:b/>
                <w:bCs/>
                <w:sz w:val="28"/>
                <w:szCs w:val="28"/>
              </w:rPr>
            </w:pPr>
            <w:r w:rsidRPr="00AA45E9">
              <w:rPr>
                <w:rFonts w:ascii="Times New Roman" w:hAnsi="Times New Roman"/>
                <w:b/>
                <w:bCs/>
                <w:sz w:val="28"/>
                <w:szCs w:val="28"/>
              </w:rPr>
              <w:t>PHASE EXPLOITATION</w:t>
            </w:r>
          </w:p>
        </w:tc>
      </w:tr>
      <w:tr w:rsidR="002B4C34" w:rsidRPr="00AA45E9" w:rsidTr="007D251E">
        <w:trPr>
          <w:gridAfter w:val="1"/>
          <w:wAfter w:w="64" w:type="dxa"/>
          <w:trHeight w:val="390"/>
          <w:jc w:val="center"/>
        </w:trPr>
        <w:tc>
          <w:tcPr>
            <w:tcW w:w="1127"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rsidR="00764FFF" w:rsidRPr="002407EF" w:rsidRDefault="00764FFF" w:rsidP="00764FFF">
            <w:pPr>
              <w:autoSpaceDE w:val="0"/>
              <w:autoSpaceDN w:val="0"/>
              <w:adjustRightInd w:val="0"/>
              <w:spacing w:after="0" w:line="276" w:lineRule="auto"/>
              <w:jc w:val="center"/>
              <w:rPr>
                <w:rFonts w:ascii="Times New Roman" w:hAnsi="Times New Roman"/>
                <w:b/>
                <w:bCs/>
                <w:sz w:val="20"/>
                <w:szCs w:val="20"/>
              </w:rPr>
            </w:pPr>
            <w:r w:rsidRPr="002407EF">
              <w:rPr>
                <w:rFonts w:ascii="Times New Roman" w:hAnsi="Times New Roman"/>
                <w:b/>
                <w:bCs/>
                <w:sz w:val="20"/>
                <w:szCs w:val="20"/>
              </w:rPr>
              <w:t>Milieu affectée</w:t>
            </w:r>
          </w:p>
        </w:tc>
        <w:tc>
          <w:tcPr>
            <w:tcW w:w="1840"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rsidR="00764FFF" w:rsidRPr="00AA45E9" w:rsidRDefault="00764FFF" w:rsidP="00764FFF">
            <w:pPr>
              <w:autoSpaceDE w:val="0"/>
              <w:autoSpaceDN w:val="0"/>
              <w:adjustRightInd w:val="0"/>
              <w:spacing w:after="0" w:line="276" w:lineRule="auto"/>
              <w:jc w:val="center"/>
              <w:rPr>
                <w:rFonts w:ascii="Times New Roman" w:hAnsi="Times New Roman"/>
                <w:b/>
                <w:sz w:val="20"/>
                <w:szCs w:val="20"/>
              </w:rPr>
            </w:pPr>
            <w:r w:rsidRPr="00AA45E9">
              <w:rPr>
                <w:rFonts w:ascii="Times New Roman" w:hAnsi="Times New Roman"/>
                <w:b/>
                <w:sz w:val="20"/>
                <w:szCs w:val="20"/>
              </w:rPr>
              <w:t>Nature de l’impact potentiel</w:t>
            </w:r>
          </w:p>
        </w:tc>
        <w:tc>
          <w:tcPr>
            <w:tcW w:w="3407" w:type="dxa"/>
            <w:gridSpan w:val="2"/>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rsidR="00764FFF" w:rsidRPr="00AA45E9" w:rsidRDefault="00764FFF" w:rsidP="00764FFF">
            <w:pPr>
              <w:autoSpaceDE w:val="0"/>
              <w:autoSpaceDN w:val="0"/>
              <w:adjustRightInd w:val="0"/>
              <w:spacing w:after="0" w:line="276" w:lineRule="auto"/>
              <w:jc w:val="center"/>
              <w:rPr>
                <w:rFonts w:ascii="Times New Roman" w:hAnsi="Times New Roman"/>
                <w:b/>
                <w:sz w:val="20"/>
                <w:szCs w:val="20"/>
              </w:rPr>
            </w:pPr>
            <w:r w:rsidRPr="00AA45E9">
              <w:rPr>
                <w:rFonts w:ascii="Times New Roman" w:hAnsi="Times New Roman"/>
                <w:b/>
                <w:sz w:val="20"/>
                <w:szCs w:val="20"/>
              </w:rPr>
              <w:t>Mesure d’atténuation</w:t>
            </w:r>
          </w:p>
        </w:tc>
        <w:tc>
          <w:tcPr>
            <w:tcW w:w="3260" w:type="dxa"/>
            <w:gridSpan w:val="2"/>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rsidR="00764FFF" w:rsidRPr="00AA45E9" w:rsidRDefault="00764FFF" w:rsidP="00764FFF">
            <w:pPr>
              <w:autoSpaceDE w:val="0"/>
              <w:autoSpaceDN w:val="0"/>
              <w:adjustRightInd w:val="0"/>
              <w:spacing w:after="0" w:line="276" w:lineRule="auto"/>
              <w:jc w:val="center"/>
              <w:rPr>
                <w:rFonts w:ascii="Times New Roman" w:hAnsi="Times New Roman"/>
                <w:b/>
                <w:sz w:val="20"/>
                <w:szCs w:val="20"/>
              </w:rPr>
            </w:pPr>
            <w:r w:rsidRPr="00AA45E9">
              <w:rPr>
                <w:rFonts w:ascii="Times New Roman" w:hAnsi="Times New Roman"/>
                <w:b/>
                <w:sz w:val="20"/>
                <w:szCs w:val="20"/>
              </w:rPr>
              <w:t>Indicateur de suivi</w:t>
            </w:r>
          </w:p>
        </w:tc>
        <w:tc>
          <w:tcPr>
            <w:tcW w:w="2265" w:type="dxa"/>
            <w:gridSpan w:val="4"/>
            <w:tcBorders>
              <w:top w:val="single" w:sz="4" w:space="0" w:color="auto"/>
              <w:left w:val="single" w:sz="4" w:space="0" w:color="auto"/>
              <w:bottom w:val="single" w:sz="4" w:space="0" w:color="auto"/>
              <w:right w:val="single" w:sz="4" w:space="0" w:color="auto"/>
            </w:tcBorders>
            <w:shd w:val="clear" w:color="auto" w:fill="F2F2F2"/>
            <w:vAlign w:val="center"/>
            <w:hideMark/>
          </w:tcPr>
          <w:p w:rsidR="00764FFF" w:rsidRPr="00AA45E9" w:rsidRDefault="00764FFF" w:rsidP="00764FFF">
            <w:pPr>
              <w:autoSpaceDE w:val="0"/>
              <w:autoSpaceDN w:val="0"/>
              <w:adjustRightInd w:val="0"/>
              <w:spacing w:after="0" w:line="276" w:lineRule="auto"/>
              <w:jc w:val="center"/>
              <w:rPr>
                <w:rFonts w:ascii="Times New Roman" w:hAnsi="Times New Roman"/>
                <w:b/>
                <w:sz w:val="20"/>
                <w:szCs w:val="20"/>
              </w:rPr>
            </w:pPr>
            <w:r w:rsidRPr="00AA45E9">
              <w:rPr>
                <w:rFonts w:ascii="Times New Roman" w:hAnsi="Times New Roman"/>
                <w:b/>
                <w:bCs/>
                <w:sz w:val="20"/>
                <w:szCs w:val="20"/>
              </w:rPr>
              <w:t>Responsable(s)</w:t>
            </w:r>
          </w:p>
        </w:tc>
        <w:tc>
          <w:tcPr>
            <w:tcW w:w="1846" w:type="dxa"/>
            <w:gridSpan w:val="2"/>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rsidR="00764FFF" w:rsidRPr="00AA45E9" w:rsidRDefault="00764FFF" w:rsidP="00764FFF">
            <w:pPr>
              <w:autoSpaceDE w:val="0"/>
              <w:autoSpaceDN w:val="0"/>
              <w:adjustRightInd w:val="0"/>
              <w:spacing w:after="0" w:line="276" w:lineRule="auto"/>
              <w:jc w:val="center"/>
              <w:rPr>
                <w:rFonts w:ascii="Times New Roman" w:hAnsi="Times New Roman"/>
                <w:b/>
                <w:sz w:val="20"/>
                <w:szCs w:val="20"/>
              </w:rPr>
            </w:pPr>
            <w:r w:rsidRPr="00AA45E9">
              <w:rPr>
                <w:rFonts w:ascii="Times New Roman" w:hAnsi="Times New Roman"/>
                <w:b/>
                <w:bCs/>
                <w:sz w:val="20"/>
                <w:szCs w:val="20"/>
              </w:rPr>
              <w:t>Échéances/Période</w:t>
            </w:r>
          </w:p>
        </w:tc>
        <w:tc>
          <w:tcPr>
            <w:tcW w:w="1413" w:type="dxa"/>
            <w:gridSpan w:val="2"/>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rsidR="00764FFF" w:rsidRPr="00AA45E9" w:rsidRDefault="00764FFF" w:rsidP="00764FFF">
            <w:pPr>
              <w:autoSpaceDE w:val="0"/>
              <w:autoSpaceDN w:val="0"/>
              <w:adjustRightInd w:val="0"/>
              <w:spacing w:after="0" w:line="276" w:lineRule="auto"/>
              <w:jc w:val="center"/>
              <w:rPr>
                <w:rFonts w:ascii="Times New Roman" w:hAnsi="Times New Roman"/>
                <w:b/>
                <w:sz w:val="20"/>
                <w:szCs w:val="20"/>
              </w:rPr>
            </w:pPr>
            <w:r w:rsidRPr="00AA45E9">
              <w:rPr>
                <w:rFonts w:ascii="Times New Roman" w:hAnsi="Times New Roman"/>
                <w:b/>
                <w:bCs/>
                <w:sz w:val="20"/>
                <w:szCs w:val="20"/>
              </w:rPr>
              <w:t>Coût (FCFA)</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rsidR="00764FFF" w:rsidRPr="00AA45E9" w:rsidRDefault="00764FFF" w:rsidP="00764FFF">
            <w:pPr>
              <w:autoSpaceDE w:val="0"/>
              <w:autoSpaceDN w:val="0"/>
              <w:adjustRightInd w:val="0"/>
              <w:spacing w:after="0" w:line="276" w:lineRule="auto"/>
              <w:jc w:val="center"/>
              <w:rPr>
                <w:rFonts w:ascii="Times New Roman" w:hAnsi="Times New Roman"/>
                <w:b/>
                <w:bCs/>
                <w:sz w:val="20"/>
                <w:szCs w:val="20"/>
              </w:rPr>
            </w:pPr>
            <w:r w:rsidRPr="00AA45E9">
              <w:rPr>
                <w:rFonts w:ascii="Times New Roman" w:hAnsi="Times New Roman"/>
                <w:b/>
                <w:bCs/>
                <w:sz w:val="20"/>
                <w:szCs w:val="20"/>
              </w:rPr>
              <w:t>Coût du suivi</w:t>
            </w:r>
          </w:p>
        </w:tc>
      </w:tr>
      <w:tr w:rsidR="007D340F" w:rsidRPr="00AA45E9" w:rsidTr="007D251E">
        <w:trPr>
          <w:gridAfter w:val="1"/>
          <w:wAfter w:w="64" w:type="dxa"/>
          <w:trHeight w:val="389"/>
          <w:jc w:val="center"/>
        </w:trPr>
        <w:tc>
          <w:tcPr>
            <w:tcW w:w="1127" w:type="dxa"/>
            <w:vMerge/>
            <w:tcBorders>
              <w:top w:val="single" w:sz="4" w:space="0" w:color="auto"/>
              <w:left w:val="single" w:sz="4" w:space="0" w:color="auto"/>
              <w:bottom w:val="single" w:sz="4" w:space="0" w:color="auto"/>
              <w:right w:val="single" w:sz="4" w:space="0" w:color="auto"/>
            </w:tcBorders>
            <w:hideMark/>
          </w:tcPr>
          <w:p w:rsidR="00764FFF" w:rsidRPr="00AA45E9" w:rsidRDefault="00764FFF" w:rsidP="00764FFF">
            <w:pPr>
              <w:autoSpaceDE w:val="0"/>
              <w:autoSpaceDN w:val="0"/>
              <w:adjustRightInd w:val="0"/>
              <w:spacing w:after="0" w:line="276" w:lineRule="auto"/>
              <w:jc w:val="both"/>
              <w:rPr>
                <w:rFonts w:ascii="Times New Roman" w:hAnsi="Times New Roman"/>
                <w:b/>
                <w:bCs/>
                <w:sz w:val="20"/>
                <w:szCs w:val="20"/>
              </w:rPr>
            </w:pPr>
          </w:p>
        </w:tc>
        <w:tc>
          <w:tcPr>
            <w:tcW w:w="1840" w:type="dxa"/>
            <w:vMerge/>
            <w:tcBorders>
              <w:top w:val="single" w:sz="4" w:space="0" w:color="auto"/>
              <w:left w:val="single" w:sz="4" w:space="0" w:color="auto"/>
              <w:bottom w:val="single" w:sz="4" w:space="0" w:color="auto"/>
              <w:right w:val="single" w:sz="4" w:space="0" w:color="auto"/>
            </w:tcBorders>
            <w:hideMark/>
          </w:tcPr>
          <w:p w:rsidR="00764FFF" w:rsidRPr="00AA45E9" w:rsidRDefault="00764FFF" w:rsidP="00764FFF">
            <w:pPr>
              <w:autoSpaceDE w:val="0"/>
              <w:autoSpaceDN w:val="0"/>
              <w:adjustRightInd w:val="0"/>
              <w:spacing w:after="0" w:line="276" w:lineRule="auto"/>
              <w:jc w:val="both"/>
              <w:rPr>
                <w:rFonts w:ascii="Times New Roman" w:hAnsi="Times New Roman"/>
                <w:b/>
                <w:sz w:val="20"/>
                <w:szCs w:val="20"/>
              </w:rPr>
            </w:pPr>
          </w:p>
        </w:tc>
        <w:tc>
          <w:tcPr>
            <w:tcW w:w="3407" w:type="dxa"/>
            <w:gridSpan w:val="2"/>
            <w:vMerge/>
            <w:tcBorders>
              <w:top w:val="single" w:sz="4" w:space="0" w:color="auto"/>
              <w:left w:val="single" w:sz="4" w:space="0" w:color="auto"/>
              <w:bottom w:val="single" w:sz="4" w:space="0" w:color="auto"/>
              <w:right w:val="single" w:sz="4" w:space="0" w:color="auto"/>
            </w:tcBorders>
            <w:hideMark/>
          </w:tcPr>
          <w:p w:rsidR="00764FFF" w:rsidRPr="00AA45E9" w:rsidRDefault="00764FFF" w:rsidP="00764FFF">
            <w:pPr>
              <w:autoSpaceDE w:val="0"/>
              <w:autoSpaceDN w:val="0"/>
              <w:adjustRightInd w:val="0"/>
              <w:spacing w:after="0" w:line="276" w:lineRule="auto"/>
              <w:jc w:val="both"/>
              <w:rPr>
                <w:rFonts w:ascii="Times New Roman" w:hAnsi="Times New Roman"/>
                <w:b/>
                <w:sz w:val="20"/>
                <w:szCs w:val="20"/>
              </w:rPr>
            </w:pPr>
          </w:p>
        </w:tc>
        <w:tc>
          <w:tcPr>
            <w:tcW w:w="3260" w:type="dxa"/>
            <w:gridSpan w:val="2"/>
            <w:vMerge/>
            <w:tcBorders>
              <w:top w:val="single" w:sz="4" w:space="0" w:color="auto"/>
              <w:left w:val="single" w:sz="4" w:space="0" w:color="auto"/>
              <w:bottom w:val="single" w:sz="4" w:space="0" w:color="auto"/>
              <w:right w:val="single" w:sz="4" w:space="0" w:color="auto"/>
            </w:tcBorders>
            <w:hideMark/>
          </w:tcPr>
          <w:p w:rsidR="00764FFF" w:rsidRPr="00AA45E9" w:rsidRDefault="00764FFF" w:rsidP="00764FFF">
            <w:pPr>
              <w:autoSpaceDE w:val="0"/>
              <w:autoSpaceDN w:val="0"/>
              <w:adjustRightInd w:val="0"/>
              <w:spacing w:after="0" w:line="276" w:lineRule="auto"/>
              <w:jc w:val="both"/>
              <w:rPr>
                <w:rFonts w:ascii="Times New Roman" w:hAnsi="Times New Roman"/>
                <w:b/>
                <w:sz w:val="20"/>
                <w:szCs w:val="20"/>
              </w:rPr>
            </w:pPr>
          </w:p>
        </w:tc>
        <w:tc>
          <w:tcPr>
            <w:tcW w:w="1131" w:type="dxa"/>
            <w:gridSpan w:val="2"/>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rsidR="00764FFF" w:rsidRPr="00AA45E9" w:rsidRDefault="00764FFF" w:rsidP="00764FFF">
            <w:pPr>
              <w:autoSpaceDE w:val="0"/>
              <w:autoSpaceDN w:val="0"/>
              <w:adjustRightInd w:val="0"/>
              <w:spacing w:after="0" w:line="276" w:lineRule="auto"/>
              <w:jc w:val="center"/>
              <w:rPr>
                <w:rFonts w:ascii="Times New Roman" w:hAnsi="Times New Roman"/>
                <w:b/>
                <w:bCs/>
                <w:sz w:val="20"/>
                <w:szCs w:val="20"/>
              </w:rPr>
            </w:pPr>
            <w:r w:rsidRPr="00AA45E9">
              <w:rPr>
                <w:rFonts w:ascii="Times New Roman" w:hAnsi="Times New Roman"/>
                <w:b/>
                <w:bCs/>
                <w:sz w:val="20"/>
                <w:szCs w:val="20"/>
              </w:rPr>
              <w:t>Mise en œuvre</w:t>
            </w:r>
          </w:p>
        </w:tc>
        <w:tc>
          <w:tcPr>
            <w:tcW w:w="1134" w:type="dxa"/>
            <w:gridSpan w:val="2"/>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rsidR="00764FFF" w:rsidRPr="00AA45E9" w:rsidRDefault="00764FFF" w:rsidP="00764FFF">
            <w:pPr>
              <w:autoSpaceDE w:val="0"/>
              <w:autoSpaceDN w:val="0"/>
              <w:adjustRightInd w:val="0"/>
              <w:spacing w:after="0" w:line="276" w:lineRule="auto"/>
              <w:jc w:val="center"/>
              <w:rPr>
                <w:rFonts w:ascii="Times New Roman" w:hAnsi="Times New Roman"/>
                <w:b/>
                <w:bCs/>
                <w:sz w:val="20"/>
                <w:szCs w:val="20"/>
              </w:rPr>
            </w:pPr>
            <w:r w:rsidRPr="00AA45E9">
              <w:rPr>
                <w:rFonts w:ascii="Times New Roman" w:hAnsi="Times New Roman"/>
                <w:b/>
                <w:bCs/>
                <w:sz w:val="20"/>
                <w:szCs w:val="20"/>
              </w:rPr>
              <w:t>Suivi / Contrôle</w:t>
            </w:r>
          </w:p>
        </w:tc>
        <w:tc>
          <w:tcPr>
            <w:tcW w:w="1846" w:type="dxa"/>
            <w:gridSpan w:val="2"/>
            <w:vMerge/>
            <w:tcBorders>
              <w:top w:val="single" w:sz="4" w:space="0" w:color="auto"/>
              <w:left w:val="single" w:sz="4" w:space="0" w:color="auto"/>
              <w:bottom w:val="single" w:sz="4" w:space="0" w:color="auto"/>
              <w:right w:val="single" w:sz="4" w:space="0" w:color="auto"/>
            </w:tcBorders>
            <w:hideMark/>
          </w:tcPr>
          <w:p w:rsidR="00764FFF" w:rsidRPr="00AA45E9" w:rsidRDefault="00764FFF" w:rsidP="00764FFF">
            <w:pPr>
              <w:autoSpaceDE w:val="0"/>
              <w:autoSpaceDN w:val="0"/>
              <w:adjustRightInd w:val="0"/>
              <w:spacing w:after="0" w:line="276" w:lineRule="auto"/>
              <w:jc w:val="both"/>
              <w:rPr>
                <w:rFonts w:ascii="Times New Roman" w:hAnsi="Times New Roman"/>
                <w:b/>
                <w:sz w:val="20"/>
                <w:szCs w:val="20"/>
              </w:rPr>
            </w:pPr>
          </w:p>
        </w:tc>
        <w:tc>
          <w:tcPr>
            <w:tcW w:w="1413" w:type="dxa"/>
            <w:gridSpan w:val="2"/>
            <w:vMerge/>
            <w:tcBorders>
              <w:top w:val="single" w:sz="4" w:space="0" w:color="auto"/>
              <w:left w:val="single" w:sz="4" w:space="0" w:color="auto"/>
              <w:bottom w:val="single" w:sz="4" w:space="0" w:color="auto"/>
              <w:right w:val="single" w:sz="4" w:space="0" w:color="auto"/>
            </w:tcBorders>
            <w:hideMark/>
          </w:tcPr>
          <w:p w:rsidR="00764FFF" w:rsidRPr="00AA45E9" w:rsidRDefault="00764FFF" w:rsidP="00764FFF">
            <w:pPr>
              <w:autoSpaceDE w:val="0"/>
              <w:autoSpaceDN w:val="0"/>
              <w:adjustRightInd w:val="0"/>
              <w:spacing w:after="0" w:line="276" w:lineRule="auto"/>
              <w:jc w:val="both"/>
              <w:rPr>
                <w:rFonts w:ascii="Times New Roman" w:hAnsi="Times New Roman"/>
                <w:b/>
                <w:sz w:val="20"/>
                <w:szCs w:val="20"/>
              </w:rPr>
            </w:pPr>
          </w:p>
        </w:tc>
        <w:tc>
          <w:tcPr>
            <w:tcW w:w="1134" w:type="dxa"/>
            <w:vMerge/>
            <w:tcBorders>
              <w:top w:val="single" w:sz="4" w:space="0" w:color="auto"/>
              <w:left w:val="single" w:sz="4" w:space="0" w:color="auto"/>
              <w:bottom w:val="single" w:sz="4" w:space="0" w:color="auto"/>
              <w:right w:val="single" w:sz="4" w:space="0" w:color="auto"/>
            </w:tcBorders>
            <w:hideMark/>
          </w:tcPr>
          <w:p w:rsidR="00764FFF" w:rsidRPr="00AA45E9" w:rsidRDefault="00764FFF" w:rsidP="00764FFF">
            <w:pPr>
              <w:autoSpaceDE w:val="0"/>
              <w:autoSpaceDN w:val="0"/>
              <w:adjustRightInd w:val="0"/>
              <w:spacing w:after="0" w:line="276" w:lineRule="auto"/>
              <w:jc w:val="both"/>
              <w:rPr>
                <w:rFonts w:ascii="Times New Roman" w:hAnsi="Times New Roman"/>
                <w:b/>
                <w:bCs/>
                <w:sz w:val="20"/>
                <w:szCs w:val="20"/>
              </w:rPr>
            </w:pPr>
          </w:p>
        </w:tc>
      </w:tr>
      <w:tr w:rsidR="00C52C71" w:rsidRPr="00AA45E9" w:rsidTr="007D251E">
        <w:trPr>
          <w:gridAfter w:val="1"/>
          <w:wAfter w:w="64" w:type="dxa"/>
          <w:trHeight w:val="389"/>
          <w:jc w:val="center"/>
        </w:trPr>
        <w:tc>
          <w:tcPr>
            <w:tcW w:w="1127"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C52C71" w:rsidRPr="00AA45E9" w:rsidRDefault="002B4C34" w:rsidP="002B4C34">
            <w:pPr>
              <w:autoSpaceDE w:val="0"/>
              <w:autoSpaceDN w:val="0"/>
              <w:adjustRightInd w:val="0"/>
              <w:spacing w:after="0" w:line="276" w:lineRule="auto"/>
              <w:jc w:val="center"/>
              <w:rPr>
                <w:rFonts w:ascii="Times New Roman" w:hAnsi="Times New Roman"/>
                <w:b/>
                <w:bCs/>
                <w:sz w:val="20"/>
                <w:szCs w:val="20"/>
              </w:rPr>
            </w:pPr>
            <w:r>
              <w:rPr>
                <w:rFonts w:ascii="Times New Roman" w:hAnsi="Times New Roman"/>
                <w:b/>
                <w:sz w:val="24"/>
                <w:szCs w:val="24"/>
              </w:rPr>
              <w:t>P</w:t>
            </w:r>
            <w:r w:rsidR="00C52C71" w:rsidRPr="00B10C82">
              <w:rPr>
                <w:rFonts w:ascii="Times New Roman" w:hAnsi="Times New Roman"/>
                <w:b/>
                <w:sz w:val="24"/>
                <w:szCs w:val="24"/>
              </w:rPr>
              <w:t>aysage</w:t>
            </w:r>
          </w:p>
        </w:tc>
        <w:tc>
          <w:tcPr>
            <w:tcW w:w="1840" w:type="dxa"/>
            <w:tcBorders>
              <w:top w:val="single" w:sz="4" w:space="0" w:color="auto"/>
              <w:left w:val="single" w:sz="4" w:space="0" w:color="auto"/>
              <w:bottom w:val="single" w:sz="4" w:space="0" w:color="auto"/>
              <w:right w:val="single" w:sz="4" w:space="0" w:color="auto"/>
            </w:tcBorders>
            <w:vAlign w:val="center"/>
          </w:tcPr>
          <w:p w:rsidR="00C52C71" w:rsidRPr="00671CEF" w:rsidRDefault="00C52C71" w:rsidP="002B4C34">
            <w:pPr>
              <w:autoSpaceDE w:val="0"/>
              <w:autoSpaceDN w:val="0"/>
              <w:adjustRightInd w:val="0"/>
              <w:spacing w:after="0" w:line="276" w:lineRule="auto"/>
              <w:rPr>
                <w:rFonts w:ascii="Times New Roman" w:hAnsi="Times New Roman"/>
                <w:sz w:val="20"/>
                <w:szCs w:val="20"/>
              </w:rPr>
            </w:pPr>
            <w:r w:rsidRPr="00671CEF">
              <w:rPr>
                <w:rFonts w:ascii="Times New Roman" w:hAnsi="Times New Roman"/>
                <w:sz w:val="20"/>
                <w:szCs w:val="20"/>
              </w:rPr>
              <w:t>Risque de dégradation et d’altérer l’aspect visuel du paysage</w:t>
            </w:r>
          </w:p>
        </w:tc>
        <w:tc>
          <w:tcPr>
            <w:tcW w:w="3407" w:type="dxa"/>
            <w:gridSpan w:val="2"/>
            <w:tcBorders>
              <w:top w:val="single" w:sz="4" w:space="0" w:color="auto"/>
              <w:left w:val="single" w:sz="4" w:space="0" w:color="auto"/>
              <w:bottom w:val="single" w:sz="4" w:space="0" w:color="auto"/>
              <w:right w:val="single" w:sz="4" w:space="0" w:color="auto"/>
            </w:tcBorders>
            <w:vAlign w:val="center"/>
          </w:tcPr>
          <w:p w:rsidR="00B626FB" w:rsidRDefault="00C52C71" w:rsidP="002B4C34">
            <w:pPr>
              <w:autoSpaceDE w:val="0"/>
              <w:autoSpaceDN w:val="0"/>
              <w:adjustRightInd w:val="0"/>
              <w:spacing w:after="0" w:line="276" w:lineRule="auto"/>
              <w:rPr>
                <w:rFonts w:ascii="Times New Roman" w:hAnsi="Times New Roman"/>
                <w:sz w:val="20"/>
                <w:szCs w:val="20"/>
              </w:rPr>
            </w:pPr>
            <w:r w:rsidRPr="00C52C71">
              <w:rPr>
                <w:rFonts w:ascii="Times New Roman" w:hAnsi="Times New Roman"/>
                <w:sz w:val="20"/>
                <w:szCs w:val="20"/>
              </w:rPr>
              <w:t>-</w:t>
            </w:r>
            <w:r w:rsidR="00B626FB" w:rsidRPr="00AA45E9">
              <w:rPr>
                <w:rFonts w:ascii="Times New Roman" w:hAnsi="Times New Roman"/>
                <w:bCs/>
                <w:sz w:val="20"/>
                <w:szCs w:val="20"/>
              </w:rPr>
              <w:t xml:space="preserve"> Veiller sur l’aspect esthétique des</w:t>
            </w:r>
            <w:r w:rsidR="00B626FB">
              <w:rPr>
                <w:rFonts w:ascii="Times New Roman" w:hAnsi="Times New Roman"/>
                <w:bCs/>
                <w:sz w:val="20"/>
                <w:szCs w:val="20"/>
              </w:rPr>
              <w:t xml:space="preserve"> zones implantation des réservoirs ;</w:t>
            </w:r>
          </w:p>
          <w:p w:rsidR="00C52C71" w:rsidRDefault="00B626FB" w:rsidP="002B4C34">
            <w:pPr>
              <w:autoSpaceDE w:val="0"/>
              <w:autoSpaceDN w:val="0"/>
              <w:adjustRightInd w:val="0"/>
              <w:spacing w:after="0" w:line="276" w:lineRule="auto"/>
              <w:rPr>
                <w:rFonts w:ascii="Times New Roman" w:hAnsi="Times New Roman"/>
                <w:sz w:val="20"/>
                <w:szCs w:val="20"/>
              </w:rPr>
            </w:pPr>
            <w:r>
              <w:rPr>
                <w:rFonts w:ascii="Times New Roman" w:hAnsi="Times New Roman"/>
                <w:sz w:val="20"/>
                <w:szCs w:val="20"/>
              </w:rPr>
              <w:t>-</w:t>
            </w:r>
            <w:r w:rsidR="00C52C71" w:rsidRPr="00C52C71">
              <w:rPr>
                <w:rFonts w:ascii="Times New Roman" w:hAnsi="Times New Roman"/>
                <w:sz w:val="20"/>
                <w:szCs w:val="20"/>
              </w:rPr>
              <w:t>R</w:t>
            </w:r>
            <w:r w:rsidR="00C52C71">
              <w:rPr>
                <w:rFonts w:ascii="Times New Roman" w:hAnsi="Times New Roman"/>
                <w:sz w:val="20"/>
                <w:szCs w:val="20"/>
              </w:rPr>
              <w:t>éadapter les alentours des réservoirs pour avoir une bonne appréciation visuelle ;</w:t>
            </w:r>
          </w:p>
          <w:p w:rsidR="00C52C71" w:rsidRPr="00C52C71" w:rsidRDefault="002B4C34" w:rsidP="002B4C34">
            <w:pPr>
              <w:autoSpaceDE w:val="0"/>
              <w:autoSpaceDN w:val="0"/>
              <w:adjustRightInd w:val="0"/>
              <w:spacing w:after="0" w:line="276" w:lineRule="auto"/>
              <w:rPr>
                <w:rFonts w:ascii="Times New Roman" w:hAnsi="Times New Roman"/>
                <w:sz w:val="20"/>
                <w:szCs w:val="20"/>
              </w:rPr>
            </w:pPr>
            <w:r>
              <w:rPr>
                <w:rFonts w:ascii="Times New Roman" w:hAnsi="Times New Roman"/>
                <w:sz w:val="20"/>
                <w:szCs w:val="20"/>
              </w:rPr>
              <w:lastRenderedPageBreak/>
              <w:t>-E</w:t>
            </w:r>
            <w:r w:rsidR="00C52C71">
              <w:rPr>
                <w:rFonts w:ascii="Times New Roman" w:hAnsi="Times New Roman"/>
                <w:sz w:val="20"/>
                <w:szCs w:val="20"/>
              </w:rPr>
              <w:t>ffectuer une remise en état des zones intervention du sous-projet ;</w:t>
            </w:r>
          </w:p>
        </w:tc>
        <w:tc>
          <w:tcPr>
            <w:tcW w:w="3260" w:type="dxa"/>
            <w:gridSpan w:val="2"/>
            <w:tcBorders>
              <w:top w:val="single" w:sz="4" w:space="0" w:color="auto"/>
              <w:left w:val="single" w:sz="4" w:space="0" w:color="auto"/>
              <w:bottom w:val="single" w:sz="4" w:space="0" w:color="auto"/>
              <w:right w:val="single" w:sz="4" w:space="0" w:color="auto"/>
            </w:tcBorders>
            <w:vAlign w:val="center"/>
          </w:tcPr>
          <w:p w:rsidR="00B626FB" w:rsidRDefault="00C52C71" w:rsidP="002B4C34">
            <w:pPr>
              <w:autoSpaceDE w:val="0"/>
              <w:autoSpaceDN w:val="0"/>
              <w:adjustRightInd w:val="0"/>
              <w:spacing w:after="0" w:line="276" w:lineRule="auto"/>
              <w:rPr>
                <w:rFonts w:ascii="Times New Roman" w:hAnsi="Times New Roman"/>
                <w:sz w:val="20"/>
                <w:szCs w:val="20"/>
              </w:rPr>
            </w:pPr>
            <w:r w:rsidRPr="00C52C71">
              <w:rPr>
                <w:rFonts w:ascii="Times New Roman" w:hAnsi="Times New Roman"/>
                <w:sz w:val="20"/>
                <w:szCs w:val="20"/>
              </w:rPr>
              <w:lastRenderedPageBreak/>
              <w:t>-</w:t>
            </w:r>
            <w:r w:rsidR="00B626FB" w:rsidRPr="00AA45E9">
              <w:rPr>
                <w:rFonts w:ascii="Times New Roman" w:hAnsi="Times New Roman"/>
                <w:sz w:val="20"/>
                <w:szCs w:val="20"/>
              </w:rPr>
              <w:t>Aspect esthétique des usagers non changé</w:t>
            </w:r>
            <w:r w:rsidR="00B626FB">
              <w:rPr>
                <w:rFonts w:ascii="Times New Roman" w:hAnsi="Times New Roman"/>
                <w:sz w:val="20"/>
                <w:szCs w:val="20"/>
              </w:rPr>
              <w:t> ;</w:t>
            </w:r>
          </w:p>
          <w:p w:rsidR="00C52C71" w:rsidRDefault="00B626FB" w:rsidP="002B4C34">
            <w:pPr>
              <w:autoSpaceDE w:val="0"/>
              <w:autoSpaceDN w:val="0"/>
              <w:adjustRightInd w:val="0"/>
              <w:spacing w:after="0" w:line="276" w:lineRule="auto"/>
              <w:rPr>
                <w:rFonts w:ascii="Times New Roman" w:hAnsi="Times New Roman"/>
                <w:sz w:val="20"/>
                <w:szCs w:val="20"/>
              </w:rPr>
            </w:pPr>
            <w:r>
              <w:rPr>
                <w:rFonts w:ascii="Times New Roman" w:hAnsi="Times New Roman"/>
                <w:sz w:val="20"/>
                <w:szCs w:val="20"/>
              </w:rPr>
              <w:t>-</w:t>
            </w:r>
            <w:r w:rsidR="00C52C71" w:rsidRPr="00C52C71">
              <w:rPr>
                <w:rFonts w:ascii="Times New Roman" w:hAnsi="Times New Roman"/>
                <w:sz w:val="20"/>
                <w:szCs w:val="20"/>
              </w:rPr>
              <w:t>Re</w:t>
            </w:r>
            <w:r w:rsidR="00C52C71">
              <w:rPr>
                <w:rFonts w:ascii="Times New Roman" w:hAnsi="Times New Roman"/>
                <w:sz w:val="20"/>
                <w:szCs w:val="20"/>
              </w:rPr>
              <w:t>mise en état des sites interventions après les travaux ;</w:t>
            </w:r>
          </w:p>
          <w:p w:rsidR="00C52C71" w:rsidRPr="00C52C71" w:rsidRDefault="00C52C71" w:rsidP="002B4C34">
            <w:pPr>
              <w:autoSpaceDE w:val="0"/>
              <w:autoSpaceDN w:val="0"/>
              <w:adjustRightInd w:val="0"/>
              <w:spacing w:after="0" w:line="276" w:lineRule="auto"/>
              <w:rPr>
                <w:rFonts w:ascii="Times New Roman" w:hAnsi="Times New Roman"/>
                <w:sz w:val="20"/>
                <w:szCs w:val="20"/>
              </w:rPr>
            </w:pPr>
            <w:r>
              <w:rPr>
                <w:rFonts w:ascii="Times New Roman" w:hAnsi="Times New Roman"/>
                <w:sz w:val="20"/>
                <w:szCs w:val="20"/>
              </w:rPr>
              <w:t>-Présence d’un bonne appréciation visuelle ;</w:t>
            </w:r>
          </w:p>
        </w:tc>
        <w:tc>
          <w:tcPr>
            <w:tcW w:w="1131" w:type="dxa"/>
            <w:gridSpan w:val="2"/>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C52C71" w:rsidRPr="002407EF" w:rsidRDefault="00C52C71" w:rsidP="002B4C34">
            <w:pPr>
              <w:spacing w:after="0" w:line="240" w:lineRule="auto"/>
              <w:jc w:val="center"/>
              <w:rPr>
                <w:rFonts w:ascii="Times New Roman" w:hAnsi="Times New Roman"/>
                <w:b/>
                <w:sz w:val="20"/>
                <w:szCs w:val="20"/>
              </w:rPr>
            </w:pPr>
            <w:r w:rsidRPr="002407EF">
              <w:rPr>
                <w:rFonts w:ascii="Times New Roman" w:hAnsi="Times New Roman"/>
                <w:b/>
                <w:sz w:val="20"/>
                <w:szCs w:val="20"/>
              </w:rPr>
              <w:t>Entreprise</w:t>
            </w:r>
          </w:p>
          <w:p w:rsidR="00C52C71" w:rsidRPr="002407EF" w:rsidRDefault="00C52C71" w:rsidP="002B4C34">
            <w:pPr>
              <w:autoSpaceDE w:val="0"/>
              <w:autoSpaceDN w:val="0"/>
              <w:adjustRightInd w:val="0"/>
              <w:spacing w:after="0" w:line="276" w:lineRule="auto"/>
              <w:jc w:val="center"/>
              <w:rPr>
                <w:rFonts w:ascii="Times New Roman" w:hAnsi="Times New Roman"/>
                <w:b/>
                <w:bCs/>
                <w:sz w:val="20"/>
                <w:szCs w:val="20"/>
              </w:rPr>
            </w:pPr>
          </w:p>
        </w:tc>
        <w:tc>
          <w:tcPr>
            <w:tcW w:w="1134" w:type="dxa"/>
            <w:gridSpan w:val="2"/>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C52C71" w:rsidRPr="002407EF" w:rsidRDefault="00C52C71" w:rsidP="002B4C34">
            <w:pPr>
              <w:spacing w:after="0" w:line="240" w:lineRule="auto"/>
              <w:jc w:val="center"/>
              <w:rPr>
                <w:rFonts w:ascii="Times New Roman" w:hAnsi="Times New Roman"/>
                <w:b/>
                <w:sz w:val="20"/>
                <w:szCs w:val="20"/>
              </w:rPr>
            </w:pPr>
            <w:r w:rsidRPr="002407EF">
              <w:rPr>
                <w:rFonts w:ascii="Times New Roman" w:hAnsi="Times New Roman"/>
                <w:b/>
                <w:sz w:val="20"/>
                <w:szCs w:val="20"/>
              </w:rPr>
              <w:t>Comité de suivi</w:t>
            </w:r>
          </w:p>
          <w:p w:rsidR="00C52C71" w:rsidRPr="002407EF" w:rsidRDefault="00C52C71" w:rsidP="002B4C34">
            <w:pPr>
              <w:spacing w:after="0" w:line="240" w:lineRule="auto"/>
              <w:jc w:val="center"/>
              <w:rPr>
                <w:rFonts w:ascii="Times New Roman" w:hAnsi="Times New Roman"/>
                <w:b/>
                <w:sz w:val="20"/>
                <w:szCs w:val="20"/>
              </w:rPr>
            </w:pPr>
          </w:p>
          <w:p w:rsidR="00C52C71" w:rsidRPr="002407EF" w:rsidRDefault="00C52C71" w:rsidP="002B4C34">
            <w:pPr>
              <w:autoSpaceDE w:val="0"/>
              <w:autoSpaceDN w:val="0"/>
              <w:adjustRightInd w:val="0"/>
              <w:spacing w:after="0" w:line="276" w:lineRule="auto"/>
              <w:jc w:val="center"/>
              <w:rPr>
                <w:rFonts w:ascii="Times New Roman" w:hAnsi="Times New Roman"/>
                <w:b/>
                <w:bCs/>
                <w:sz w:val="20"/>
                <w:szCs w:val="20"/>
              </w:rPr>
            </w:pPr>
            <w:r w:rsidRPr="002407EF">
              <w:rPr>
                <w:rFonts w:ascii="Times New Roman" w:hAnsi="Times New Roman"/>
                <w:b/>
                <w:sz w:val="20"/>
                <w:szCs w:val="20"/>
              </w:rPr>
              <w:t>PUASEE-FA</w:t>
            </w:r>
          </w:p>
        </w:tc>
        <w:tc>
          <w:tcPr>
            <w:tcW w:w="712" w:type="dxa"/>
            <w:tcBorders>
              <w:top w:val="single" w:sz="4" w:space="0" w:color="auto"/>
              <w:left w:val="single" w:sz="4" w:space="0" w:color="auto"/>
              <w:bottom w:val="single" w:sz="4" w:space="0" w:color="auto"/>
              <w:right w:val="single" w:sz="4" w:space="0" w:color="auto"/>
            </w:tcBorders>
            <w:vAlign w:val="center"/>
          </w:tcPr>
          <w:p w:rsidR="00C52C71" w:rsidRPr="00AA45E9" w:rsidRDefault="00B626FB" w:rsidP="00BC1D20">
            <w:pPr>
              <w:autoSpaceDE w:val="0"/>
              <w:autoSpaceDN w:val="0"/>
              <w:adjustRightInd w:val="0"/>
              <w:spacing w:after="0" w:line="276" w:lineRule="auto"/>
              <w:jc w:val="center"/>
              <w:rPr>
                <w:rFonts w:ascii="Times New Roman" w:hAnsi="Times New Roman"/>
                <w:b/>
                <w:sz w:val="20"/>
                <w:szCs w:val="20"/>
              </w:rPr>
            </w:pPr>
            <w:r w:rsidRPr="00AA45E9">
              <w:rPr>
                <w:rFonts w:ascii="Times New Roman" w:hAnsi="Times New Roman"/>
                <w:sz w:val="20"/>
                <w:szCs w:val="20"/>
              </w:rPr>
              <w:t>Au début et en continu</w:t>
            </w:r>
          </w:p>
        </w:tc>
        <w:tc>
          <w:tcPr>
            <w:tcW w:w="1134" w:type="dxa"/>
            <w:tcBorders>
              <w:top w:val="single" w:sz="4" w:space="0" w:color="auto"/>
              <w:left w:val="single" w:sz="4" w:space="0" w:color="auto"/>
              <w:bottom w:val="single" w:sz="4" w:space="0" w:color="auto"/>
              <w:right w:val="single" w:sz="4" w:space="0" w:color="auto"/>
            </w:tcBorders>
            <w:vAlign w:val="center"/>
          </w:tcPr>
          <w:p w:rsidR="00C52C71" w:rsidRPr="00AA45E9" w:rsidRDefault="00B626FB" w:rsidP="00BC1D20">
            <w:pPr>
              <w:autoSpaceDE w:val="0"/>
              <w:autoSpaceDN w:val="0"/>
              <w:adjustRightInd w:val="0"/>
              <w:spacing w:after="0" w:line="276" w:lineRule="auto"/>
              <w:jc w:val="center"/>
              <w:rPr>
                <w:rFonts w:ascii="Times New Roman" w:hAnsi="Times New Roman"/>
                <w:b/>
                <w:sz w:val="20"/>
                <w:szCs w:val="20"/>
              </w:rPr>
            </w:pPr>
            <w:r w:rsidRPr="00AA45E9">
              <w:rPr>
                <w:rFonts w:ascii="Times New Roman" w:hAnsi="Times New Roman"/>
                <w:sz w:val="20"/>
                <w:szCs w:val="20"/>
              </w:rPr>
              <w:t>Trois fois  par an</w:t>
            </w:r>
          </w:p>
        </w:tc>
        <w:tc>
          <w:tcPr>
            <w:tcW w:w="1413" w:type="dxa"/>
            <w:gridSpan w:val="2"/>
            <w:tcBorders>
              <w:top w:val="single" w:sz="4" w:space="0" w:color="auto"/>
              <w:left w:val="single" w:sz="4" w:space="0" w:color="auto"/>
              <w:bottom w:val="single" w:sz="4" w:space="0" w:color="auto"/>
              <w:right w:val="single" w:sz="4" w:space="0" w:color="auto"/>
            </w:tcBorders>
            <w:vAlign w:val="center"/>
          </w:tcPr>
          <w:p w:rsidR="00C52C71" w:rsidRPr="00AA45E9" w:rsidRDefault="002B4C34" w:rsidP="00BC1D20">
            <w:pPr>
              <w:autoSpaceDE w:val="0"/>
              <w:autoSpaceDN w:val="0"/>
              <w:adjustRightInd w:val="0"/>
              <w:spacing w:after="0" w:line="276" w:lineRule="auto"/>
              <w:jc w:val="center"/>
              <w:rPr>
                <w:rFonts w:ascii="Times New Roman" w:hAnsi="Times New Roman"/>
                <w:b/>
                <w:sz w:val="20"/>
                <w:szCs w:val="20"/>
              </w:rPr>
            </w:pPr>
            <w:r w:rsidRPr="00AA45E9">
              <w:rPr>
                <w:rFonts w:ascii="Times New Roman" w:hAnsi="Times New Roman"/>
                <w:b/>
                <w:sz w:val="20"/>
                <w:szCs w:val="20"/>
              </w:rPr>
              <w:t>Coût associé au projet</w:t>
            </w:r>
          </w:p>
        </w:tc>
        <w:tc>
          <w:tcPr>
            <w:tcW w:w="1134" w:type="dxa"/>
            <w:tcBorders>
              <w:top w:val="single" w:sz="4" w:space="0" w:color="auto"/>
              <w:left w:val="single" w:sz="4" w:space="0" w:color="auto"/>
              <w:bottom w:val="single" w:sz="4" w:space="0" w:color="auto"/>
              <w:right w:val="single" w:sz="4" w:space="0" w:color="auto"/>
            </w:tcBorders>
          </w:tcPr>
          <w:p w:rsidR="00C52C71" w:rsidRPr="00AA45E9" w:rsidRDefault="00B626FB" w:rsidP="002B4C34">
            <w:pPr>
              <w:autoSpaceDE w:val="0"/>
              <w:autoSpaceDN w:val="0"/>
              <w:adjustRightInd w:val="0"/>
              <w:spacing w:after="0" w:line="276" w:lineRule="auto"/>
              <w:jc w:val="center"/>
              <w:rPr>
                <w:rFonts w:ascii="Times New Roman" w:hAnsi="Times New Roman"/>
                <w:b/>
                <w:bCs/>
                <w:sz w:val="20"/>
                <w:szCs w:val="20"/>
              </w:rPr>
            </w:pPr>
            <w:r w:rsidRPr="00AA45E9">
              <w:rPr>
                <w:rFonts w:ascii="Times New Roman" w:hAnsi="Times New Roman"/>
                <w:sz w:val="20"/>
                <w:szCs w:val="20"/>
              </w:rPr>
              <w:t xml:space="preserve">Coût inclus dans le protocole d’accord entre le </w:t>
            </w:r>
            <w:r w:rsidRPr="00AA45E9">
              <w:rPr>
                <w:rFonts w:ascii="Times New Roman" w:hAnsi="Times New Roman"/>
                <w:sz w:val="20"/>
                <w:szCs w:val="20"/>
              </w:rPr>
              <w:lastRenderedPageBreak/>
              <w:t>promoteur et le CRS</w:t>
            </w:r>
          </w:p>
        </w:tc>
      </w:tr>
      <w:tr w:rsidR="00BC1D20" w:rsidRPr="00AA45E9" w:rsidTr="007D251E">
        <w:trPr>
          <w:gridAfter w:val="1"/>
          <w:wAfter w:w="64" w:type="dxa"/>
          <w:trHeight w:val="389"/>
          <w:jc w:val="center"/>
        </w:trPr>
        <w:tc>
          <w:tcPr>
            <w:tcW w:w="1127"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BC1D20" w:rsidRDefault="00BC1D20" w:rsidP="00BC1D20">
            <w:pPr>
              <w:autoSpaceDE w:val="0"/>
              <w:autoSpaceDN w:val="0"/>
              <w:adjustRightInd w:val="0"/>
              <w:spacing w:after="0" w:line="276" w:lineRule="auto"/>
              <w:jc w:val="center"/>
              <w:rPr>
                <w:rFonts w:ascii="Times New Roman" w:hAnsi="Times New Roman"/>
                <w:b/>
                <w:sz w:val="24"/>
                <w:szCs w:val="24"/>
              </w:rPr>
            </w:pPr>
            <w:r>
              <w:rPr>
                <w:rFonts w:ascii="Times New Roman" w:hAnsi="Times New Roman"/>
                <w:b/>
                <w:sz w:val="24"/>
                <w:szCs w:val="24"/>
              </w:rPr>
              <w:lastRenderedPageBreak/>
              <w:t>Eaux</w:t>
            </w:r>
          </w:p>
        </w:tc>
        <w:tc>
          <w:tcPr>
            <w:tcW w:w="1840" w:type="dxa"/>
            <w:tcBorders>
              <w:top w:val="single" w:sz="4" w:space="0" w:color="auto"/>
              <w:left w:val="single" w:sz="4" w:space="0" w:color="auto"/>
              <w:bottom w:val="single" w:sz="4" w:space="0" w:color="auto"/>
              <w:right w:val="single" w:sz="4" w:space="0" w:color="auto"/>
            </w:tcBorders>
            <w:vAlign w:val="center"/>
          </w:tcPr>
          <w:p w:rsidR="00BC1D20" w:rsidRPr="00671CEF" w:rsidRDefault="00BC1D20" w:rsidP="00BC1D20">
            <w:pPr>
              <w:autoSpaceDE w:val="0"/>
              <w:autoSpaceDN w:val="0"/>
              <w:adjustRightInd w:val="0"/>
              <w:spacing w:after="0" w:line="276" w:lineRule="auto"/>
              <w:rPr>
                <w:rFonts w:ascii="Times New Roman" w:hAnsi="Times New Roman"/>
                <w:sz w:val="20"/>
                <w:szCs w:val="20"/>
              </w:rPr>
            </w:pPr>
            <w:r w:rsidRPr="001D788A">
              <w:rPr>
                <w:rFonts w:ascii="Times New Roman" w:hAnsi="Times New Roman"/>
                <w:sz w:val="20"/>
                <w:szCs w:val="20"/>
              </w:rPr>
              <w:t>Risque de pollution des Eaux</w:t>
            </w:r>
            <w:r>
              <w:rPr>
                <w:rFonts w:ascii="Times New Roman" w:hAnsi="Times New Roman"/>
                <w:sz w:val="20"/>
                <w:szCs w:val="20"/>
              </w:rPr>
              <w:t xml:space="preserve"> de ruissellement et des eaux pluviales ; </w:t>
            </w:r>
          </w:p>
        </w:tc>
        <w:tc>
          <w:tcPr>
            <w:tcW w:w="3407" w:type="dxa"/>
            <w:gridSpan w:val="2"/>
            <w:tcBorders>
              <w:top w:val="single" w:sz="4" w:space="0" w:color="auto"/>
              <w:left w:val="single" w:sz="4" w:space="0" w:color="auto"/>
              <w:bottom w:val="single" w:sz="4" w:space="0" w:color="auto"/>
              <w:right w:val="single" w:sz="4" w:space="0" w:color="auto"/>
            </w:tcBorders>
            <w:vAlign w:val="center"/>
          </w:tcPr>
          <w:p w:rsidR="00BC1D20" w:rsidRPr="001D788A" w:rsidRDefault="00BC1D20" w:rsidP="00BC1D20">
            <w:pPr>
              <w:autoSpaceDE w:val="0"/>
              <w:autoSpaceDN w:val="0"/>
              <w:adjustRightInd w:val="0"/>
              <w:spacing w:after="0" w:line="276" w:lineRule="auto"/>
              <w:rPr>
                <w:rFonts w:ascii="Times New Roman" w:hAnsi="Times New Roman" w:cs="Times New Roman"/>
                <w:color w:val="000000"/>
                <w:sz w:val="20"/>
                <w:szCs w:val="20"/>
              </w:rPr>
            </w:pPr>
            <w:r>
              <w:rPr>
                <w:rFonts w:ascii="Times New Roman" w:hAnsi="Times New Roman"/>
                <w:sz w:val="20"/>
                <w:szCs w:val="20"/>
              </w:rPr>
              <w:t>-</w:t>
            </w:r>
            <w:r>
              <w:rPr>
                <w:rFonts w:ascii="Times New Roman" w:hAnsi="Times New Roman" w:cs="Times New Roman"/>
                <w:color w:val="000000"/>
                <w:sz w:val="24"/>
                <w:szCs w:val="24"/>
              </w:rPr>
              <w:t xml:space="preserve"> </w:t>
            </w:r>
            <w:r w:rsidRPr="001D788A">
              <w:rPr>
                <w:rFonts w:ascii="Times New Roman" w:hAnsi="Times New Roman" w:cs="Times New Roman"/>
                <w:color w:val="000000"/>
                <w:sz w:val="20"/>
                <w:szCs w:val="20"/>
              </w:rPr>
              <w:t>Mettre en place un système de gestion des eaux de lavage des ouvrages ;</w:t>
            </w:r>
          </w:p>
          <w:p w:rsidR="00BC1D20" w:rsidRPr="00C52C71" w:rsidRDefault="00BC1D20" w:rsidP="00BC1D20">
            <w:pPr>
              <w:autoSpaceDE w:val="0"/>
              <w:autoSpaceDN w:val="0"/>
              <w:adjustRightInd w:val="0"/>
              <w:spacing w:after="0" w:line="276" w:lineRule="auto"/>
              <w:rPr>
                <w:rFonts w:ascii="Times New Roman" w:hAnsi="Times New Roman"/>
                <w:sz w:val="20"/>
                <w:szCs w:val="20"/>
              </w:rPr>
            </w:pPr>
            <w:r>
              <w:rPr>
                <w:rFonts w:ascii="Times New Roman" w:hAnsi="Times New Roman"/>
                <w:sz w:val="20"/>
                <w:szCs w:val="20"/>
              </w:rPr>
              <w:t>-Séparer les eaux de drainage des eaux pluviales et ceux des eaux de lavages ;</w:t>
            </w:r>
          </w:p>
        </w:tc>
        <w:tc>
          <w:tcPr>
            <w:tcW w:w="3260" w:type="dxa"/>
            <w:gridSpan w:val="2"/>
            <w:tcBorders>
              <w:top w:val="single" w:sz="4" w:space="0" w:color="auto"/>
              <w:left w:val="single" w:sz="4" w:space="0" w:color="auto"/>
              <w:bottom w:val="single" w:sz="4" w:space="0" w:color="auto"/>
              <w:right w:val="single" w:sz="4" w:space="0" w:color="auto"/>
            </w:tcBorders>
            <w:vAlign w:val="center"/>
          </w:tcPr>
          <w:p w:rsidR="00BC1D20" w:rsidRDefault="00BC1D20" w:rsidP="00BC1D20">
            <w:pPr>
              <w:autoSpaceDE w:val="0"/>
              <w:autoSpaceDN w:val="0"/>
              <w:adjustRightInd w:val="0"/>
              <w:spacing w:after="0" w:line="276" w:lineRule="auto"/>
              <w:rPr>
                <w:rFonts w:ascii="Times New Roman" w:hAnsi="Times New Roman"/>
                <w:sz w:val="20"/>
                <w:szCs w:val="20"/>
              </w:rPr>
            </w:pPr>
            <w:r>
              <w:rPr>
                <w:rFonts w:ascii="Times New Roman" w:hAnsi="Times New Roman"/>
                <w:sz w:val="20"/>
                <w:szCs w:val="20"/>
              </w:rPr>
              <w:t>-Présence d’un système de gestion des eaux de lavages dans tous les sites des réservoirs ;</w:t>
            </w:r>
          </w:p>
          <w:p w:rsidR="00BC1D20" w:rsidRPr="00C52C71" w:rsidRDefault="00BC1D20" w:rsidP="00BC1D20">
            <w:pPr>
              <w:autoSpaceDE w:val="0"/>
              <w:autoSpaceDN w:val="0"/>
              <w:adjustRightInd w:val="0"/>
              <w:spacing w:after="0" w:line="276" w:lineRule="auto"/>
              <w:rPr>
                <w:rFonts w:ascii="Times New Roman" w:hAnsi="Times New Roman"/>
                <w:sz w:val="20"/>
                <w:szCs w:val="20"/>
              </w:rPr>
            </w:pPr>
            <w:r>
              <w:rPr>
                <w:rFonts w:ascii="Times New Roman" w:hAnsi="Times New Roman"/>
                <w:sz w:val="20"/>
                <w:szCs w:val="20"/>
              </w:rPr>
              <w:t>-Drainage des eaux de pluviales et lavages séparés ;</w:t>
            </w:r>
          </w:p>
        </w:tc>
        <w:tc>
          <w:tcPr>
            <w:tcW w:w="1131" w:type="dxa"/>
            <w:gridSpan w:val="2"/>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BC1D20" w:rsidRPr="002407EF" w:rsidRDefault="00BC1D20" w:rsidP="00BC1D20">
            <w:pPr>
              <w:spacing w:after="0" w:line="240" w:lineRule="auto"/>
              <w:jc w:val="center"/>
              <w:rPr>
                <w:rFonts w:ascii="Times New Roman" w:hAnsi="Times New Roman"/>
                <w:b/>
                <w:sz w:val="20"/>
                <w:szCs w:val="20"/>
              </w:rPr>
            </w:pPr>
            <w:r w:rsidRPr="002407EF">
              <w:rPr>
                <w:rFonts w:ascii="Times New Roman" w:hAnsi="Times New Roman"/>
                <w:b/>
                <w:sz w:val="20"/>
                <w:szCs w:val="20"/>
              </w:rPr>
              <w:t>Entreprise</w:t>
            </w:r>
          </w:p>
          <w:p w:rsidR="00BC1D20" w:rsidRPr="002407EF" w:rsidRDefault="00BC1D20" w:rsidP="00BC1D20">
            <w:pPr>
              <w:spacing w:after="0" w:line="240" w:lineRule="auto"/>
              <w:jc w:val="center"/>
              <w:rPr>
                <w:rFonts w:ascii="Times New Roman" w:hAnsi="Times New Roman"/>
                <w:b/>
                <w:sz w:val="20"/>
                <w:szCs w:val="20"/>
              </w:rPr>
            </w:pPr>
          </w:p>
          <w:p w:rsidR="00BC1D20" w:rsidRPr="002407EF" w:rsidRDefault="00BC1D20" w:rsidP="00BC1D20">
            <w:pPr>
              <w:spacing w:after="0" w:line="240" w:lineRule="auto"/>
              <w:jc w:val="center"/>
              <w:rPr>
                <w:rFonts w:ascii="Times New Roman" w:hAnsi="Times New Roman"/>
                <w:b/>
                <w:sz w:val="20"/>
                <w:szCs w:val="20"/>
              </w:rPr>
            </w:pPr>
            <w:r w:rsidRPr="002407EF">
              <w:rPr>
                <w:rFonts w:ascii="Times New Roman" w:hAnsi="Times New Roman"/>
                <w:b/>
                <w:sz w:val="20"/>
                <w:szCs w:val="20"/>
              </w:rPr>
              <w:t>PUASEE-FA</w:t>
            </w:r>
          </w:p>
        </w:tc>
        <w:tc>
          <w:tcPr>
            <w:tcW w:w="1134" w:type="dxa"/>
            <w:gridSpan w:val="2"/>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BC1D20" w:rsidRPr="002407EF" w:rsidRDefault="00BC1D20" w:rsidP="00BC1D20">
            <w:pPr>
              <w:spacing w:after="0" w:line="240" w:lineRule="auto"/>
              <w:jc w:val="center"/>
              <w:rPr>
                <w:rFonts w:ascii="Times New Roman" w:hAnsi="Times New Roman"/>
                <w:b/>
                <w:sz w:val="20"/>
                <w:szCs w:val="20"/>
              </w:rPr>
            </w:pPr>
            <w:r w:rsidRPr="002407EF">
              <w:rPr>
                <w:rFonts w:ascii="Times New Roman" w:hAnsi="Times New Roman"/>
                <w:b/>
                <w:sz w:val="20"/>
                <w:szCs w:val="20"/>
              </w:rPr>
              <w:t>Comité de suivi</w:t>
            </w:r>
          </w:p>
          <w:p w:rsidR="00BC1D20" w:rsidRPr="002407EF" w:rsidRDefault="00BC1D20" w:rsidP="00BC1D20">
            <w:pPr>
              <w:spacing w:after="0" w:line="240" w:lineRule="auto"/>
              <w:jc w:val="center"/>
              <w:rPr>
                <w:rFonts w:ascii="Times New Roman" w:hAnsi="Times New Roman"/>
                <w:b/>
                <w:sz w:val="20"/>
                <w:szCs w:val="20"/>
              </w:rPr>
            </w:pPr>
          </w:p>
        </w:tc>
        <w:tc>
          <w:tcPr>
            <w:tcW w:w="712" w:type="dxa"/>
            <w:tcBorders>
              <w:top w:val="single" w:sz="4" w:space="0" w:color="auto"/>
              <w:left w:val="single" w:sz="4" w:space="0" w:color="auto"/>
              <w:bottom w:val="single" w:sz="4" w:space="0" w:color="auto"/>
              <w:right w:val="single" w:sz="4" w:space="0" w:color="auto"/>
            </w:tcBorders>
            <w:vAlign w:val="center"/>
          </w:tcPr>
          <w:p w:rsidR="00BC1D20" w:rsidRPr="00AA45E9" w:rsidRDefault="00BC1D20" w:rsidP="00BC1D20">
            <w:pPr>
              <w:autoSpaceDE w:val="0"/>
              <w:autoSpaceDN w:val="0"/>
              <w:adjustRightInd w:val="0"/>
              <w:spacing w:after="0" w:line="276" w:lineRule="auto"/>
              <w:jc w:val="center"/>
              <w:rPr>
                <w:rFonts w:ascii="Times New Roman" w:hAnsi="Times New Roman"/>
                <w:sz w:val="20"/>
                <w:szCs w:val="20"/>
              </w:rPr>
            </w:pPr>
            <w:r w:rsidRPr="00AA45E9">
              <w:rPr>
                <w:rFonts w:ascii="Times New Roman" w:hAnsi="Times New Roman"/>
                <w:sz w:val="20"/>
                <w:szCs w:val="20"/>
              </w:rPr>
              <w:t>Au début et en continu</w:t>
            </w:r>
          </w:p>
        </w:tc>
        <w:tc>
          <w:tcPr>
            <w:tcW w:w="1134" w:type="dxa"/>
            <w:tcBorders>
              <w:top w:val="single" w:sz="4" w:space="0" w:color="auto"/>
              <w:left w:val="single" w:sz="4" w:space="0" w:color="auto"/>
              <w:bottom w:val="single" w:sz="4" w:space="0" w:color="auto"/>
              <w:right w:val="single" w:sz="4" w:space="0" w:color="auto"/>
            </w:tcBorders>
            <w:vAlign w:val="center"/>
          </w:tcPr>
          <w:p w:rsidR="00BC1D20" w:rsidRPr="00AA45E9" w:rsidRDefault="00BC1D20" w:rsidP="00BC1D20">
            <w:pPr>
              <w:autoSpaceDE w:val="0"/>
              <w:autoSpaceDN w:val="0"/>
              <w:adjustRightInd w:val="0"/>
              <w:spacing w:after="0" w:line="276" w:lineRule="auto"/>
              <w:jc w:val="center"/>
              <w:rPr>
                <w:rFonts w:ascii="Times New Roman" w:hAnsi="Times New Roman"/>
                <w:sz w:val="20"/>
                <w:szCs w:val="20"/>
              </w:rPr>
            </w:pPr>
            <w:r>
              <w:rPr>
                <w:rFonts w:ascii="Times New Roman" w:hAnsi="Times New Roman"/>
                <w:sz w:val="20"/>
                <w:szCs w:val="20"/>
              </w:rPr>
              <w:t>Pendant chaque saison des pluies</w:t>
            </w:r>
          </w:p>
        </w:tc>
        <w:tc>
          <w:tcPr>
            <w:tcW w:w="1413" w:type="dxa"/>
            <w:gridSpan w:val="2"/>
            <w:tcBorders>
              <w:top w:val="single" w:sz="4" w:space="0" w:color="auto"/>
              <w:left w:val="single" w:sz="4" w:space="0" w:color="auto"/>
              <w:bottom w:val="single" w:sz="4" w:space="0" w:color="auto"/>
              <w:right w:val="single" w:sz="4" w:space="0" w:color="auto"/>
            </w:tcBorders>
            <w:vAlign w:val="center"/>
          </w:tcPr>
          <w:p w:rsidR="00BC1D20" w:rsidRPr="00AA45E9" w:rsidRDefault="00BC1D20" w:rsidP="00BC1D20">
            <w:pPr>
              <w:autoSpaceDE w:val="0"/>
              <w:autoSpaceDN w:val="0"/>
              <w:adjustRightInd w:val="0"/>
              <w:spacing w:after="0" w:line="276" w:lineRule="auto"/>
              <w:jc w:val="center"/>
              <w:rPr>
                <w:rFonts w:ascii="Times New Roman" w:hAnsi="Times New Roman"/>
                <w:b/>
                <w:sz w:val="20"/>
                <w:szCs w:val="20"/>
              </w:rPr>
            </w:pPr>
            <w:r w:rsidRPr="00AA45E9">
              <w:rPr>
                <w:rFonts w:ascii="Times New Roman" w:hAnsi="Times New Roman"/>
                <w:b/>
                <w:sz w:val="20"/>
                <w:szCs w:val="20"/>
              </w:rPr>
              <w:t>Coût associé au projet</w:t>
            </w:r>
          </w:p>
        </w:tc>
        <w:tc>
          <w:tcPr>
            <w:tcW w:w="1134" w:type="dxa"/>
            <w:tcBorders>
              <w:top w:val="single" w:sz="4" w:space="0" w:color="auto"/>
              <w:left w:val="single" w:sz="4" w:space="0" w:color="auto"/>
              <w:bottom w:val="single" w:sz="4" w:space="0" w:color="auto"/>
              <w:right w:val="single" w:sz="4" w:space="0" w:color="auto"/>
            </w:tcBorders>
          </w:tcPr>
          <w:p w:rsidR="00BC1D20" w:rsidRPr="00AA45E9" w:rsidRDefault="00BC1D20" w:rsidP="00BC1D20">
            <w:pPr>
              <w:autoSpaceDE w:val="0"/>
              <w:autoSpaceDN w:val="0"/>
              <w:adjustRightInd w:val="0"/>
              <w:spacing w:after="0" w:line="276" w:lineRule="auto"/>
              <w:jc w:val="center"/>
              <w:rPr>
                <w:rFonts w:ascii="Times New Roman" w:hAnsi="Times New Roman"/>
                <w:sz w:val="20"/>
                <w:szCs w:val="20"/>
              </w:rPr>
            </w:pPr>
            <w:r w:rsidRPr="00AA45E9">
              <w:rPr>
                <w:rFonts w:ascii="Times New Roman" w:hAnsi="Times New Roman"/>
                <w:sz w:val="20"/>
                <w:szCs w:val="20"/>
              </w:rPr>
              <w:t>Coût inclus dans le protocole d’accord entre le promoteur et le CRS</w:t>
            </w:r>
          </w:p>
        </w:tc>
      </w:tr>
      <w:tr w:rsidR="00BC1D20" w:rsidRPr="00AA45E9" w:rsidTr="007D251E">
        <w:trPr>
          <w:gridAfter w:val="1"/>
          <w:wAfter w:w="64" w:type="dxa"/>
          <w:trHeight w:val="412"/>
          <w:jc w:val="center"/>
        </w:trPr>
        <w:tc>
          <w:tcPr>
            <w:tcW w:w="1127" w:type="dxa"/>
            <w:vMerge w:val="restar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rsidR="00BC1D20" w:rsidRPr="00AA45E9" w:rsidRDefault="00BC1D20" w:rsidP="00BC1D20">
            <w:pPr>
              <w:autoSpaceDE w:val="0"/>
              <w:autoSpaceDN w:val="0"/>
              <w:adjustRightInd w:val="0"/>
              <w:spacing w:after="0" w:line="276" w:lineRule="auto"/>
              <w:jc w:val="center"/>
              <w:rPr>
                <w:rFonts w:ascii="Times New Roman" w:hAnsi="Times New Roman"/>
                <w:b/>
                <w:bCs/>
                <w:sz w:val="20"/>
                <w:szCs w:val="20"/>
              </w:rPr>
            </w:pPr>
            <w:r>
              <w:rPr>
                <w:rFonts w:ascii="Times New Roman" w:hAnsi="Times New Roman"/>
                <w:b/>
                <w:bCs/>
                <w:sz w:val="20"/>
                <w:szCs w:val="20"/>
              </w:rPr>
              <w:t>Humain</w:t>
            </w:r>
          </w:p>
        </w:tc>
        <w:tc>
          <w:tcPr>
            <w:tcW w:w="1840" w:type="dxa"/>
            <w:tcBorders>
              <w:top w:val="single" w:sz="4" w:space="0" w:color="auto"/>
              <w:left w:val="single" w:sz="4" w:space="0" w:color="auto"/>
              <w:bottom w:val="single" w:sz="4" w:space="0" w:color="auto"/>
              <w:right w:val="single" w:sz="4" w:space="0" w:color="auto"/>
            </w:tcBorders>
            <w:vAlign w:val="center"/>
          </w:tcPr>
          <w:p w:rsidR="00BC1D20" w:rsidRPr="00AA45E9" w:rsidRDefault="00BC1D20" w:rsidP="00BC1D20">
            <w:pPr>
              <w:autoSpaceDE w:val="0"/>
              <w:autoSpaceDN w:val="0"/>
              <w:adjustRightInd w:val="0"/>
              <w:spacing w:after="0" w:line="276" w:lineRule="auto"/>
              <w:jc w:val="both"/>
              <w:rPr>
                <w:rFonts w:ascii="Times New Roman" w:hAnsi="Times New Roman"/>
                <w:sz w:val="20"/>
                <w:szCs w:val="20"/>
              </w:rPr>
            </w:pPr>
            <w:r w:rsidRPr="008C306C">
              <w:rPr>
                <w:rFonts w:ascii="Times New Roman" w:hAnsi="Times New Roman"/>
                <w:bCs/>
                <w:sz w:val="20"/>
                <w:szCs w:val="20"/>
              </w:rPr>
              <w:t>Risque de générer des nuisances sonores et des productions de GES.</w:t>
            </w:r>
          </w:p>
        </w:tc>
        <w:tc>
          <w:tcPr>
            <w:tcW w:w="3407" w:type="dxa"/>
            <w:gridSpan w:val="2"/>
            <w:tcBorders>
              <w:top w:val="single" w:sz="4" w:space="0" w:color="auto"/>
              <w:left w:val="single" w:sz="4" w:space="0" w:color="auto"/>
              <w:bottom w:val="single" w:sz="4" w:space="0" w:color="auto"/>
              <w:right w:val="single" w:sz="4" w:space="0" w:color="auto"/>
            </w:tcBorders>
            <w:vAlign w:val="center"/>
          </w:tcPr>
          <w:p w:rsidR="00BC1D20" w:rsidRPr="00AA45E9" w:rsidRDefault="00BC1D20" w:rsidP="00BC1D20">
            <w:pPr>
              <w:spacing w:after="0" w:line="240" w:lineRule="auto"/>
              <w:jc w:val="both"/>
              <w:rPr>
                <w:rFonts w:ascii="Times New Roman" w:hAnsi="Times New Roman"/>
                <w:bCs/>
                <w:sz w:val="20"/>
                <w:szCs w:val="20"/>
              </w:rPr>
            </w:pPr>
            <w:r w:rsidRPr="00AA45E9">
              <w:rPr>
                <w:rFonts w:ascii="Times New Roman" w:hAnsi="Times New Roman"/>
                <w:bCs/>
                <w:sz w:val="20"/>
                <w:szCs w:val="20"/>
              </w:rPr>
              <w:t>-Mettre des locaux bien dimensionnés pour le confinement des groupes électrogènes,</w:t>
            </w:r>
          </w:p>
          <w:p w:rsidR="00BC1D20" w:rsidRPr="00AA45E9" w:rsidRDefault="00BC1D20" w:rsidP="00BC1D20">
            <w:pPr>
              <w:spacing w:after="0" w:line="240" w:lineRule="auto"/>
              <w:jc w:val="both"/>
              <w:rPr>
                <w:rFonts w:ascii="Times New Roman" w:hAnsi="Times New Roman"/>
                <w:bCs/>
                <w:sz w:val="20"/>
                <w:szCs w:val="20"/>
              </w:rPr>
            </w:pPr>
            <w:r w:rsidRPr="00AA45E9">
              <w:rPr>
                <w:rFonts w:ascii="Times New Roman" w:hAnsi="Times New Roman"/>
                <w:sz w:val="20"/>
                <w:szCs w:val="20"/>
              </w:rPr>
              <w:t>-Mettre en place</w:t>
            </w:r>
            <w:r w:rsidRPr="00AA45E9">
              <w:rPr>
                <w:sz w:val="20"/>
                <w:szCs w:val="20"/>
              </w:rPr>
              <w:t xml:space="preserve"> </w:t>
            </w:r>
            <w:r w:rsidRPr="00AA45E9">
              <w:rPr>
                <w:rFonts w:ascii="Times New Roman" w:hAnsi="Times New Roman"/>
                <w:bCs/>
                <w:sz w:val="20"/>
                <w:szCs w:val="20"/>
              </w:rPr>
              <w:t>des suspensions anti-vibratiles</w:t>
            </w:r>
          </w:p>
          <w:p w:rsidR="00BC1D20" w:rsidRPr="00AA45E9" w:rsidRDefault="00BC1D20" w:rsidP="00BC1D20">
            <w:pPr>
              <w:spacing w:after="0" w:line="240" w:lineRule="auto"/>
              <w:jc w:val="both"/>
              <w:rPr>
                <w:rFonts w:ascii="Times New Roman" w:hAnsi="Times New Roman"/>
                <w:bCs/>
                <w:sz w:val="20"/>
                <w:szCs w:val="20"/>
              </w:rPr>
            </w:pPr>
            <w:r w:rsidRPr="00AA45E9">
              <w:rPr>
                <w:rFonts w:ascii="Times New Roman" w:hAnsi="Times New Roman"/>
                <w:bCs/>
                <w:sz w:val="20"/>
                <w:szCs w:val="20"/>
              </w:rPr>
              <w:t>-Mettre en place des groupes silencieux</w:t>
            </w:r>
          </w:p>
          <w:p w:rsidR="00BC1D20" w:rsidRPr="00AA45E9" w:rsidRDefault="00BC1D20" w:rsidP="00BC1D20">
            <w:pPr>
              <w:spacing w:after="0" w:line="240" w:lineRule="auto"/>
              <w:jc w:val="both"/>
              <w:rPr>
                <w:rFonts w:ascii="Times New Roman" w:hAnsi="Times New Roman"/>
                <w:bCs/>
                <w:sz w:val="20"/>
                <w:szCs w:val="20"/>
              </w:rPr>
            </w:pPr>
            <w:r w:rsidRPr="00AA45E9">
              <w:rPr>
                <w:rFonts w:ascii="Times New Roman" w:hAnsi="Times New Roman"/>
                <w:bCs/>
                <w:sz w:val="20"/>
                <w:szCs w:val="20"/>
              </w:rPr>
              <w:t>-Mettre en place un ou des groupes puissants pour diminuer le nombre de groupe</w:t>
            </w:r>
          </w:p>
          <w:p w:rsidR="00BC1D20" w:rsidRPr="00AA45E9" w:rsidRDefault="00BC1D20" w:rsidP="00BC1D20">
            <w:pPr>
              <w:spacing w:after="0" w:line="240" w:lineRule="auto"/>
              <w:jc w:val="both"/>
              <w:rPr>
                <w:rFonts w:ascii="Times New Roman" w:hAnsi="Times New Roman"/>
                <w:bCs/>
                <w:sz w:val="20"/>
                <w:szCs w:val="20"/>
              </w:rPr>
            </w:pPr>
            <w:r w:rsidRPr="00AA45E9">
              <w:rPr>
                <w:rFonts w:ascii="Times New Roman" w:hAnsi="Times New Roman"/>
                <w:bCs/>
                <w:sz w:val="20"/>
                <w:szCs w:val="20"/>
              </w:rPr>
              <w:t>-Entretenir régulièrement les groupes électrogènes</w:t>
            </w:r>
          </w:p>
          <w:p w:rsidR="00BC1D20" w:rsidRPr="00AA45E9" w:rsidRDefault="00BC1D20" w:rsidP="00BC1D20">
            <w:pPr>
              <w:autoSpaceDE w:val="0"/>
              <w:autoSpaceDN w:val="0"/>
              <w:adjustRightInd w:val="0"/>
              <w:spacing w:after="0" w:line="276" w:lineRule="auto"/>
              <w:jc w:val="both"/>
              <w:rPr>
                <w:rFonts w:ascii="Times New Roman" w:hAnsi="Times New Roman"/>
                <w:sz w:val="20"/>
                <w:szCs w:val="20"/>
              </w:rPr>
            </w:pPr>
            <w:r w:rsidRPr="00AA45E9">
              <w:rPr>
                <w:rFonts w:ascii="Times New Roman" w:hAnsi="Times New Roman"/>
                <w:bCs/>
                <w:sz w:val="20"/>
                <w:szCs w:val="20"/>
              </w:rPr>
              <w:t>-Choisir des groupes moins polluants ou mettre en place des dispositions anti-pollution</w:t>
            </w:r>
          </w:p>
        </w:tc>
        <w:tc>
          <w:tcPr>
            <w:tcW w:w="3260" w:type="dxa"/>
            <w:gridSpan w:val="2"/>
            <w:tcBorders>
              <w:top w:val="single" w:sz="4" w:space="0" w:color="auto"/>
              <w:left w:val="single" w:sz="4" w:space="0" w:color="auto"/>
              <w:bottom w:val="single" w:sz="4" w:space="0" w:color="auto"/>
              <w:right w:val="single" w:sz="4" w:space="0" w:color="auto"/>
            </w:tcBorders>
            <w:vAlign w:val="center"/>
          </w:tcPr>
          <w:p w:rsidR="00BC1D20" w:rsidRPr="00AA45E9" w:rsidRDefault="00BC1D20" w:rsidP="00BC1D20">
            <w:pPr>
              <w:autoSpaceDE w:val="0"/>
              <w:autoSpaceDN w:val="0"/>
              <w:adjustRightInd w:val="0"/>
              <w:spacing w:after="0" w:line="276" w:lineRule="auto"/>
              <w:jc w:val="both"/>
              <w:rPr>
                <w:rFonts w:ascii="Times New Roman" w:hAnsi="Times New Roman"/>
                <w:sz w:val="20"/>
                <w:szCs w:val="20"/>
              </w:rPr>
            </w:pPr>
            <w:r w:rsidRPr="00AA45E9">
              <w:rPr>
                <w:rFonts w:ascii="Times New Roman" w:hAnsi="Times New Roman"/>
                <w:sz w:val="20"/>
                <w:szCs w:val="20"/>
              </w:rPr>
              <w:t xml:space="preserve">-Présence des locaux </w:t>
            </w:r>
          </w:p>
          <w:p w:rsidR="00BC1D20" w:rsidRPr="00AA45E9" w:rsidRDefault="00BC1D20" w:rsidP="00BC1D20">
            <w:pPr>
              <w:autoSpaceDE w:val="0"/>
              <w:autoSpaceDN w:val="0"/>
              <w:adjustRightInd w:val="0"/>
              <w:spacing w:after="0" w:line="276" w:lineRule="auto"/>
              <w:jc w:val="both"/>
              <w:rPr>
                <w:rFonts w:ascii="Times New Roman" w:hAnsi="Times New Roman"/>
                <w:sz w:val="20"/>
                <w:szCs w:val="20"/>
              </w:rPr>
            </w:pPr>
            <w:r w:rsidRPr="00AA45E9">
              <w:rPr>
                <w:rFonts w:ascii="Times New Roman" w:hAnsi="Times New Roman"/>
                <w:sz w:val="20"/>
                <w:szCs w:val="20"/>
              </w:rPr>
              <w:t>-Présence des suspensions anti-vibratiles</w:t>
            </w:r>
          </w:p>
          <w:p w:rsidR="00BC1D20" w:rsidRPr="00AA45E9" w:rsidRDefault="00BC1D20" w:rsidP="00BC1D20">
            <w:pPr>
              <w:autoSpaceDE w:val="0"/>
              <w:autoSpaceDN w:val="0"/>
              <w:adjustRightInd w:val="0"/>
              <w:spacing w:after="0" w:line="276" w:lineRule="auto"/>
              <w:jc w:val="both"/>
              <w:rPr>
                <w:rFonts w:ascii="Times New Roman" w:hAnsi="Times New Roman"/>
                <w:sz w:val="20"/>
                <w:szCs w:val="20"/>
              </w:rPr>
            </w:pPr>
            <w:r w:rsidRPr="00AA45E9">
              <w:rPr>
                <w:rFonts w:ascii="Times New Roman" w:hAnsi="Times New Roman"/>
                <w:sz w:val="20"/>
                <w:szCs w:val="20"/>
              </w:rPr>
              <w:t>-Présence de groupe électrogène silencieux</w:t>
            </w:r>
          </w:p>
          <w:p w:rsidR="00BC1D20" w:rsidRPr="00AA45E9" w:rsidRDefault="00BC1D20" w:rsidP="00BC1D20">
            <w:pPr>
              <w:autoSpaceDE w:val="0"/>
              <w:autoSpaceDN w:val="0"/>
              <w:adjustRightInd w:val="0"/>
              <w:spacing w:after="0" w:line="276" w:lineRule="auto"/>
              <w:jc w:val="both"/>
              <w:rPr>
                <w:rFonts w:ascii="Times New Roman" w:hAnsi="Times New Roman"/>
                <w:sz w:val="20"/>
                <w:szCs w:val="20"/>
              </w:rPr>
            </w:pPr>
            <w:r w:rsidRPr="00AA45E9">
              <w:rPr>
                <w:rFonts w:ascii="Times New Roman" w:hAnsi="Times New Roman"/>
                <w:sz w:val="20"/>
                <w:szCs w:val="20"/>
              </w:rPr>
              <w:t>-</w:t>
            </w:r>
            <w:r w:rsidRPr="00AA45E9">
              <w:rPr>
                <w:rFonts w:ascii="Times New Roman" w:hAnsi="Times New Roman"/>
                <w:bCs/>
                <w:sz w:val="20"/>
                <w:szCs w:val="20"/>
              </w:rPr>
              <w:t xml:space="preserve"> Présence d’anti-pollution et n’affectant pas la qualité de l’air</w:t>
            </w:r>
          </w:p>
          <w:p w:rsidR="00BC1D20" w:rsidRPr="00AA45E9" w:rsidRDefault="00BC1D20" w:rsidP="00BC1D20">
            <w:pPr>
              <w:autoSpaceDE w:val="0"/>
              <w:autoSpaceDN w:val="0"/>
              <w:adjustRightInd w:val="0"/>
              <w:spacing w:after="0" w:line="276" w:lineRule="auto"/>
              <w:jc w:val="both"/>
              <w:rPr>
                <w:rFonts w:ascii="Times New Roman" w:hAnsi="Times New Roman"/>
                <w:bCs/>
                <w:sz w:val="20"/>
                <w:szCs w:val="20"/>
              </w:rPr>
            </w:pPr>
            <w:r w:rsidRPr="00AA45E9">
              <w:rPr>
                <w:rFonts w:ascii="Times New Roman" w:hAnsi="Times New Roman"/>
                <w:sz w:val="20"/>
                <w:szCs w:val="20"/>
              </w:rPr>
              <w:t>- Présence des PV d’e</w:t>
            </w:r>
            <w:r w:rsidRPr="00AA45E9">
              <w:rPr>
                <w:rFonts w:ascii="Times New Roman" w:hAnsi="Times New Roman"/>
                <w:bCs/>
                <w:sz w:val="20"/>
                <w:szCs w:val="20"/>
              </w:rPr>
              <w:t>ntretien</w:t>
            </w:r>
          </w:p>
          <w:p w:rsidR="00BC1D20" w:rsidRPr="00AA45E9" w:rsidRDefault="00BC1D20" w:rsidP="00BC1D20">
            <w:pPr>
              <w:autoSpaceDE w:val="0"/>
              <w:autoSpaceDN w:val="0"/>
              <w:adjustRightInd w:val="0"/>
              <w:spacing w:after="0" w:line="276" w:lineRule="auto"/>
              <w:jc w:val="both"/>
              <w:rPr>
                <w:rFonts w:ascii="Times New Roman" w:hAnsi="Times New Roman"/>
                <w:sz w:val="20"/>
                <w:szCs w:val="20"/>
              </w:rPr>
            </w:pPr>
            <w:r w:rsidRPr="00AA45E9">
              <w:rPr>
                <w:rFonts w:ascii="Times New Roman" w:hAnsi="Times New Roman"/>
                <w:sz w:val="20"/>
                <w:szCs w:val="20"/>
              </w:rPr>
              <w:t xml:space="preserve"> </w:t>
            </w:r>
          </w:p>
        </w:tc>
        <w:tc>
          <w:tcPr>
            <w:tcW w:w="1131" w:type="dxa"/>
            <w:gridSpan w:val="2"/>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rsidR="00BC1D20" w:rsidRPr="002407EF" w:rsidRDefault="00BC1D20" w:rsidP="00BC1D20">
            <w:pPr>
              <w:autoSpaceDE w:val="0"/>
              <w:autoSpaceDN w:val="0"/>
              <w:adjustRightInd w:val="0"/>
              <w:spacing w:after="0" w:line="276" w:lineRule="auto"/>
              <w:jc w:val="center"/>
              <w:rPr>
                <w:rFonts w:ascii="Times New Roman" w:hAnsi="Times New Roman"/>
                <w:b/>
                <w:sz w:val="20"/>
                <w:szCs w:val="20"/>
              </w:rPr>
            </w:pPr>
            <w:r w:rsidRPr="002407EF">
              <w:rPr>
                <w:rFonts w:ascii="Times New Roman" w:hAnsi="Times New Roman"/>
                <w:b/>
                <w:sz w:val="20"/>
                <w:szCs w:val="20"/>
              </w:rPr>
              <w:t>EAGB</w:t>
            </w:r>
          </w:p>
          <w:p w:rsidR="00BC1D20" w:rsidRPr="002407EF" w:rsidRDefault="00BC1D20" w:rsidP="00BC1D20">
            <w:pPr>
              <w:autoSpaceDE w:val="0"/>
              <w:autoSpaceDN w:val="0"/>
              <w:adjustRightInd w:val="0"/>
              <w:spacing w:after="0" w:line="276" w:lineRule="auto"/>
              <w:jc w:val="center"/>
              <w:rPr>
                <w:rFonts w:ascii="Times New Roman" w:hAnsi="Times New Roman"/>
                <w:b/>
                <w:sz w:val="20"/>
                <w:szCs w:val="20"/>
              </w:rPr>
            </w:pPr>
            <w:r w:rsidRPr="002407EF">
              <w:rPr>
                <w:rFonts w:ascii="Times New Roman" w:hAnsi="Times New Roman"/>
                <w:b/>
                <w:sz w:val="20"/>
                <w:szCs w:val="20"/>
              </w:rPr>
              <w:t>PUASEE-FA</w:t>
            </w:r>
          </w:p>
        </w:tc>
        <w:tc>
          <w:tcPr>
            <w:tcW w:w="1134" w:type="dxa"/>
            <w:gridSpan w:val="2"/>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rsidR="00BC1D20" w:rsidRPr="002407EF" w:rsidRDefault="00BC1D20" w:rsidP="00BC1D20">
            <w:pPr>
              <w:autoSpaceDE w:val="0"/>
              <w:autoSpaceDN w:val="0"/>
              <w:adjustRightInd w:val="0"/>
              <w:spacing w:after="0" w:line="276" w:lineRule="auto"/>
              <w:jc w:val="center"/>
              <w:rPr>
                <w:rFonts w:ascii="Times New Roman" w:hAnsi="Times New Roman"/>
                <w:b/>
                <w:sz w:val="20"/>
                <w:szCs w:val="20"/>
              </w:rPr>
            </w:pPr>
          </w:p>
          <w:p w:rsidR="00BC1D20" w:rsidRPr="002407EF" w:rsidRDefault="00BC1D20" w:rsidP="00BC1D20">
            <w:pPr>
              <w:autoSpaceDE w:val="0"/>
              <w:autoSpaceDN w:val="0"/>
              <w:adjustRightInd w:val="0"/>
              <w:spacing w:after="0" w:line="276" w:lineRule="auto"/>
              <w:jc w:val="center"/>
              <w:rPr>
                <w:rFonts w:ascii="Times New Roman" w:hAnsi="Times New Roman"/>
                <w:b/>
                <w:sz w:val="20"/>
                <w:szCs w:val="20"/>
              </w:rPr>
            </w:pPr>
            <w:r w:rsidRPr="002407EF">
              <w:rPr>
                <w:rFonts w:ascii="Times New Roman" w:hAnsi="Times New Roman"/>
                <w:b/>
                <w:sz w:val="20"/>
                <w:szCs w:val="20"/>
              </w:rPr>
              <w:t>Comité de suivi</w:t>
            </w:r>
          </w:p>
        </w:tc>
        <w:tc>
          <w:tcPr>
            <w:tcW w:w="712" w:type="dxa"/>
            <w:tcBorders>
              <w:top w:val="single" w:sz="4" w:space="0" w:color="auto"/>
              <w:left w:val="single" w:sz="4" w:space="0" w:color="auto"/>
              <w:bottom w:val="single" w:sz="4" w:space="0" w:color="auto"/>
              <w:right w:val="single" w:sz="4" w:space="0" w:color="auto"/>
            </w:tcBorders>
            <w:vAlign w:val="center"/>
            <w:hideMark/>
          </w:tcPr>
          <w:p w:rsidR="00BC1D20" w:rsidRPr="00AA45E9" w:rsidRDefault="00BC1D20" w:rsidP="00BC1D20">
            <w:pPr>
              <w:autoSpaceDE w:val="0"/>
              <w:autoSpaceDN w:val="0"/>
              <w:adjustRightInd w:val="0"/>
              <w:spacing w:after="0" w:line="276" w:lineRule="auto"/>
              <w:jc w:val="center"/>
              <w:rPr>
                <w:rFonts w:ascii="Times New Roman" w:hAnsi="Times New Roman"/>
                <w:sz w:val="20"/>
                <w:szCs w:val="20"/>
              </w:rPr>
            </w:pPr>
            <w:r w:rsidRPr="00AA45E9">
              <w:rPr>
                <w:rFonts w:ascii="Times New Roman" w:hAnsi="Times New Roman"/>
                <w:sz w:val="20"/>
                <w:szCs w:val="20"/>
              </w:rPr>
              <w:t>Au début et en continu</w:t>
            </w:r>
          </w:p>
        </w:tc>
        <w:tc>
          <w:tcPr>
            <w:tcW w:w="1134" w:type="dxa"/>
            <w:tcBorders>
              <w:top w:val="single" w:sz="4" w:space="0" w:color="auto"/>
              <w:left w:val="single" w:sz="4" w:space="0" w:color="auto"/>
              <w:bottom w:val="single" w:sz="4" w:space="0" w:color="auto"/>
              <w:right w:val="single" w:sz="4" w:space="0" w:color="auto"/>
            </w:tcBorders>
            <w:vAlign w:val="center"/>
          </w:tcPr>
          <w:p w:rsidR="00BC1D20" w:rsidRPr="00AA45E9" w:rsidRDefault="00BC1D20" w:rsidP="00BC1D20">
            <w:pPr>
              <w:autoSpaceDE w:val="0"/>
              <w:autoSpaceDN w:val="0"/>
              <w:adjustRightInd w:val="0"/>
              <w:spacing w:after="0" w:line="276" w:lineRule="auto"/>
              <w:jc w:val="center"/>
              <w:rPr>
                <w:rFonts w:ascii="Times New Roman" w:hAnsi="Times New Roman"/>
                <w:sz w:val="20"/>
                <w:szCs w:val="20"/>
              </w:rPr>
            </w:pPr>
            <w:r w:rsidRPr="00AA45E9">
              <w:rPr>
                <w:rFonts w:ascii="Times New Roman" w:hAnsi="Times New Roman"/>
                <w:sz w:val="20"/>
                <w:szCs w:val="20"/>
              </w:rPr>
              <w:t>Trois fois par an</w:t>
            </w:r>
          </w:p>
        </w:tc>
        <w:tc>
          <w:tcPr>
            <w:tcW w:w="1413" w:type="dxa"/>
            <w:gridSpan w:val="2"/>
            <w:tcBorders>
              <w:top w:val="single" w:sz="4" w:space="0" w:color="auto"/>
              <w:left w:val="single" w:sz="4" w:space="0" w:color="auto"/>
              <w:bottom w:val="single" w:sz="4" w:space="0" w:color="auto"/>
              <w:right w:val="single" w:sz="4" w:space="0" w:color="auto"/>
            </w:tcBorders>
            <w:vAlign w:val="center"/>
            <w:hideMark/>
          </w:tcPr>
          <w:p w:rsidR="00BC1D20" w:rsidRPr="00AA45E9" w:rsidRDefault="00BC1D20" w:rsidP="00BC1D20">
            <w:pPr>
              <w:autoSpaceDE w:val="0"/>
              <w:autoSpaceDN w:val="0"/>
              <w:adjustRightInd w:val="0"/>
              <w:spacing w:after="0" w:line="276" w:lineRule="auto"/>
              <w:jc w:val="center"/>
              <w:rPr>
                <w:rFonts w:ascii="Times New Roman" w:hAnsi="Times New Roman"/>
                <w:b/>
                <w:sz w:val="20"/>
                <w:szCs w:val="20"/>
              </w:rPr>
            </w:pPr>
            <w:r>
              <w:rPr>
                <w:rFonts w:ascii="Times New Roman" w:hAnsi="Times New Roman"/>
                <w:b/>
                <w:sz w:val="20"/>
                <w:szCs w:val="20"/>
              </w:rPr>
              <w:t>4</w:t>
            </w:r>
            <w:r w:rsidRPr="00AA45E9">
              <w:rPr>
                <w:rFonts w:ascii="Times New Roman" w:hAnsi="Times New Roman"/>
                <w:b/>
                <w:sz w:val="20"/>
                <w:szCs w:val="20"/>
              </w:rPr>
              <w:t> 000 000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BC1D20" w:rsidRPr="00AA45E9" w:rsidRDefault="00BC1D20" w:rsidP="00BC1D20">
            <w:pPr>
              <w:spacing w:after="0" w:line="240" w:lineRule="auto"/>
              <w:jc w:val="center"/>
              <w:rPr>
                <w:rFonts w:ascii="Times New Roman" w:hAnsi="Times New Roman"/>
                <w:sz w:val="20"/>
                <w:szCs w:val="20"/>
              </w:rPr>
            </w:pPr>
            <w:r w:rsidRPr="00AA45E9">
              <w:rPr>
                <w:rFonts w:ascii="Times New Roman" w:hAnsi="Times New Roman"/>
                <w:sz w:val="20"/>
                <w:szCs w:val="20"/>
              </w:rPr>
              <w:t>Coût inclus dans le protocole d’accord entre le promoteur et le CRS</w:t>
            </w:r>
          </w:p>
        </w:tc>
      </w:tr>
      <w:tr w:rsidR="00BC1D20" w:rsidRPr="00AA45E9" w:rsidTr="007D251E">
        <w:trPr>
          <w:gridAfter w:val="1"/>
          <w:wAfter w:w="64" w:type="dxa"/>
          <w:trHeight w:val="3134"/>
          <w:jc w:val="center"/>
        </w:trPr>
        <w:tc>
          <w:tcPr>
            <w:tcW w:w="1127" w:type="dxa"/>
            <w:vMerge/>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BC1D20" w:rsidRPr="00AA45E9" w:rsidRDefault="00BC1D20" w:rsidP="00BC1D20">
            <w:pPr>
              <w:autoSpaceDE w:val="0"/>
              <w:autoSpaceDN w:val="0"/>
              <w:adjustRightInd w:val="0"/>
              <w:spacing w:after="0" w:line="276" w:lineRule="auto"/>
              <w:jc w:val="center"/>
              <w:rPr>
                <w:rFonts w:ascii="Times New Roman" w:hAnsi="Times New Roman"/>
                <w:b/>
                <w:bCs/>
                <w:sz w:val="20"/>
                <w:szCs w:val="20"/>
              </w:rPr>
            </w:pPr>
          </w:p>
        </w:tc>
        <w:tc>
          <w:tcPr>
            <w:tcW w:w="1840" w:type="dxa"/>
            <w:tcBorders>
              <w:top w:val="single" w:sz="4" w:space="0" w:color="auto"/>
              <w:left w:val="single" w:sz="4" w:space="0" w:color="auto"/>
              <w:bottom w:val="single" w:sz="4" w:space="0" w:color="auto"/>
              <w:right w:val="single" w:sz="4" w:space="0" w:color="auto"/>
            </w:tcBorders>
            <w:vAlign w:val="center"/>
          </w:tcPr>
          <w:p w:rsidR="00BC1D20" w:rsidRPr="00AA45E9" w:rsidRDefault="00BC1D20" w:rsidP="00BC1D20">
            <w:pPr>
              <w:autoSpaceDE w:val="0"/>
              <w:autoSpaceDN w:val="0"/>
              <w:adjustRightInd w:val="0"/>
              <w:spacing w:after="0" w:line="276" w:lineRule="auto"/>
              <w:jc w:val="both"/>
              <w:rPr>
                <w:rFonts w:ascii="Times New Roman" w:hAnsi="Times New Roman"/>
                <w:sz w:val="20"/>
                <w:szCs w:val="20"/>
              </w:rPr>
            </w:pPr>
            <w:r w:rsidRPr="008C306C">
              <w:rPr>
                <w:rFonts w:ascii="Times New Roman" w:hAnsi="Times New Roman"/>
                <w:bCs/>
                <w:sz w:val="20"/>
                <w:szCs w:val="20"/>
              </w:rPr>
              <w:t>Risque d’engendrer des perturbations au niveau des réseaux de distribution d’eau ou des risques d’arrêt de fonctionnement des réservoirs pendant des heures</w:t>
            </w:r>
            <w:r>
              <w:rPr>
                <w:rFonts w:ascii="Times New Roman" w:hAnsi="Times New Roman"/>
                <w:bCs/>
                <w:sz w:val="20"/>
                <w:szCs w:val="20"/>
              </w:rPr>
              <w:t>.</w:t>
            </w:r>
          </w:p>
        </w:tc>
        <w:tc>
          <w:tcPr>
            <w:tcW w:w="3407" w:type="dxa"/>
            <w:gridSpan w:val="2"/>
            <w:tcBorders>
              <w:top w:val="single" w:sz="4" w:space="0" w:color="auto"/>
              <w:left w:val="single" w:sz="4" w:space="0" w:color="auto"/>
              <w:bottom w:val="single" w:sz="4" w:space="0" w:color="auto"/>
              <w:right w:val="single" w:sz="4" w:space="0" w:color="auto"/>
            </w:tcBorders>
            <w:vAlign w:val="center"/>
          </w:tcPr>
          <w:p w:rsidR="00BC1D20" w:rsidRDefault="00BC1D20" w:rsidP="00BC1D20">
            <w:pPr>
              <w:spacing w:after="0" w:line="276" w:lineRule="auto"/>
              <w:jc w:val="both"/>
              <w:rPr>
                <w:rFonts w:ascii="Times New Roman" w:hAnsi="Times New Roman"/>
                <w:bCs/>
                <w:sz w:val="20"/>
                <w:szCs w:val="20"/>
              </w:rPr>
            </w:pPr>
            <w:r w:rsidRPr="00AA45E9">
              <w:rPr>
                <w:rFonts w:ascii="Times New Roman" w:hAnsi="Times New Roman"/>
                <w:bCs/>
                <w:sz w:val="20"/>
                <w:szCs w:val="20"/>
              </w:rPr>
              <w:t>-Informer les utilisateurs lors des travaux d’entretien et de réparation</w:t>
            </w:r>
            <w:r>
              <w:rPr>
                <w:rFonts w:ascii="Times New Roman" w:hAnsi="Times New Roman"/>
                <w:bCs/>
                <w:sz w:val="20"/>
                <w:szCs w:val="20"/>
              </w:rPr>
              <w:t> ;</w:t>
            </w:r>
          </w:p>
          <w:p w:rsidR="00BC1D20" w:rsidRPr="00AA45E9" w:rsidRDefault="00BC1D20" w:rsidP="00BC1D20">
            <w:pPr>
              <w:spacing w:after="0" w:line="276" w:lineRule="auto"/>
              <w:jc w:val="both"/>
              <w:rPr>
                <w:rFonts w:ascii="Times New Roman" w:hAnsi="Times New Roman"/>
                <w:bCs/>
                <w:sz w:val="20"/>
                <w:szCs w:val="20"/>
              </w:rPr>
            </w:pPr>
            <w:r w:rsidRPr="00AA45E9">
              <w:rPr>
                <w:rFonts w:ascii="Times New Roman" w:hAnsi="Times New Roman"/>
                <w:bCs/>
                <w:sz w:val="20"/>
                <w:szCs w:val="20"/>
              </w:rPr>
              <w:t>-Faire des spots à la télévision</w:t>
            </w:r>
            <w:r>
              <w:rPr>
                <w:rFonts w:ascii="Times New Roman" w:hAnsi="Times New Roman"/>
                <w:bCs/>
                <w:sz w:val="20"/>
                <w:szCs w:val="20"/>
              </w:rPr>
              <w:t xml:space="preserve"> en indiquant les zones concernées ;</w:t>
            </w:r>
          </w:p>
          <w:p w:rsidR="00BC1D20" w:rsidRPr="00AA45E9" w:rsidRDefault="00BC1D20" w:rsidP="00BC1D20">
            <w:pPr>
              <w:spacing w:after="0" w:line="276" w:lineRule="auto"/>
              <w:jc w:val="both"/>
              <w:rPr>
                <w:rFonts w:ascii="Times New Roman" w:hAnsi="Times New Roman"/>
                <w:bCs/>
                <w:sz w:val="20"/>
                <w:szCs w:val="20"/>
              </w:rPr>
            </w:pPr>
            <w:r w:rsidRPr="00AA45E9">
              <w:rPr>
                <w:rFonts w:ascii="Times New Roman" w:hAnsi="Times New Roman"/>
                <w:bCs/>
                <w:sz w:val="20"/>
                <w:szCs w:val="20"/>
              </w:rPr>
              <w:t>-Elaborer un plan de communication</w:t>
            </w:r>
            <w:r>
              <w:rPr>
                <w:rFonts w:ascii="Times New Roman" w:hAnsi="Times New Roman"/>
                <w:bCs/>
                <w:sz w:val="20"/>
                <w:szCs w:val="20"/>
              </w:rPr>
              <w:t> ;</w:t>
            </w:r>
          </w:p>
          <w:p w:rsidR="00BC1D20" w:rsidRPr="002B4C34" w:rsidRDefault="00BC1D20" w:rsidP="00BC1D20">
            <w:pPr>
              <w:spacing w:after="0" w:line="276" w:lineRule="auto"/>
              <w:jc w:val="both"/>
              <w:rPr>
                <w:rFonts w:ascii="Times New Roman" w:hAnsi="Times New Roman"/>
                <w:bCs/>
                <w:sz w:val="20"/>
                <w:szCs w:val="20"/>
              </w:rPr>
            </w:pPr>
            <w:r w:rsidRPr="00AA45E9">
              <w:rPr>
                <w:rFonts w:ascii="Times New Roman" w:hAnsi="Times New Roman"/>
                <w:bCs/>
                <w:sz w:val="20"/>
                <w:szCs w:val="20"/>
              </w:rPr>
              <w:t>- Mettre en place des plannings bien adaptés par rapport au fonctionnement des activités du milieu.</w:t>
            </w:r>
          </w:p>
        </w:tc>
        <w:tc>
          <w:tcPr>
            <w:tcW w:w="3260" w:type="dxa"/>
            <w:gridSpan w:val="2"/>
            <w:tcBorders>
              <w:top w:val="single" w:sz="4" w:space="0" w:color="auto"/>
              <w:left w:val="single" w:sz="4" w:space="0" w:color="auto"/>
              <w:bottom w:val="single" w:sz="4" w:space="0" w:color="auto"/>
              <w:right w:val="single" w:sz="4" w:space="0" w:color="auto"/>
            </w:tcBorders>
            <w:vAlign w:val="center"/>
          </w:tcPr>
          <w:p w:rsidR="00BC1D20" w:rsidRPr="00AA45E9" w:rsidRDefault="00BC1D20" w:rsidP="00BC1D20">
            <w:pPr>
              <w:autoSpaceDE w:val="0"/>
              <w:autoSpaceDN w:val="0"/>
              <w:adjustRightInd w:val="0"/>
              <w:spacing w:after="0" w:line="276" w:lineRule="auto"/>
              <w:jc w:val="both"/>
              <w:rPr>
                <w:rFonts w:ascii="Times New Roman" w:hAnsi="Times New Roman"/>
                <w:sz w:val="20"/>
                <w:szCs w:val="20"/>
              </w:rPr>
            </w:pPr>
            <w:r w:rsidRPr="00AA45E9">
              <w:rPr>
                <w:rFonts w:ascii="Times New Roman" w:hAnsi="Times New Roman"/>
                <w:sz w:val="20"/>
                <w:szCs w:val="20"/>
              </w:rPr>
              <w:t>-Nombre de personnes ou utilisateurs informés</w:t>
            </w:r>
            <w:r>
              <w:rPr>
                <w:rFonts w:ascii="Times New Roman" w:hAnsi="Times New Roman"/>
                <w:sz w:val="20"/>
                <w:szCs w:val="20"/>
              </w:rPr>
              <w:t> ;</w:t>
            </w:r>
          </w:p>
          <w:p w:rsidR="00BC1D20" w:rsidRPr="00AA45E9" w:rsidRDefault="00BC1D20" w:rsidP="00BC1D20">
            <w:pPr>
              <w:autoSpaceDE w:val="0"/>
              <w:autoSpaceDN w:val="0"/>
              <w:adjustRightInd w:val="0"/>
              <w:spacing w:after="0" w:line="276" w:lineRule="auto"/>
              <w:jc w:val="both"/>
              <w:rPr>
                <w:rFonts w:ascii="Times New Roman" w:hAnsi="Times New Roman"/>
                <w:sz w:val="20"/>
                <w:szCs w:val="20"/>
              </w:rPr>
            </w:pPr>
            <w:r w:rsidRPr="00AA45E9">
              <w:rPr>
                <w:rFonts w:ascii="Times New Roman" w:hAnsi="Times New Roman"/>
                <w:sz w:val="20"/>
                <w:szCs w:val="20"/>
              </w:rPr>
              <w:t>-Présence d’un planning p</w:t>
            </w:r>
            <w:r>
              <w:rPr>
                <w:rFonts w:ascii="Times New Roman" w:hAnsi="Times New Roman"/>
                <w:sz w:val="20"/>
                <w:szCs w:val="20"/>
              </w:rPr>
              <w:t>our les activités de contrôle des réservoirs ;</w:t>
            </w:r>
          </w:p>
          <w:p w:rsidR="00BC1D20" w:rsidRPr="00AA45E9" w:rsidRDefault="00BC1D20" w:rsidP="00BC1D20">
            <w:pPr>
              <w:autoSpaceDE w:val="0"/>
              <w:autoSpaceDN w:val="0"/>
              <w:adjustRightInd w:val="0"/>
              <w:spacing w:after="0" w:line="276" w:lineRule="auto"/>
              <w:jc w:val="both"/>
              <w:rPr>
                <w:rFonts w:ascii="Times New Roman" w:hAnsi="Times New Roman"/>
                <w:sz w:val="20"/>
                <w:szCs w:val="20"/>
              </w:rPr>
            </w:pPr>
            <w:r w:rsidRPr="00AA45E9">
              <w:rPr>
                <w:rFonts w:ascii="Times New Roman" w:hAnsi="Times New Roman"/>
                <w:sz w:val="20"/>
                <w:szCs w:val="20"/>
              </w:rPr>
              <w:t>-Présence d’un plan de circulation en cas de forte réparation sur les voies d’accès</w:t>
            </w:r>
            <w:r>
              <w:rPr>
                <w:rFonts w:ascii="Times New Roman" w:hAnsi="Times New Roman"/>
                <w:sz w:val="20"/>
                <w:szCs w:val="20"/>
              </w:rPr>
              <w:t> ;</w:t>
            </w:r>
          </w:p>
          <w:p w:rsidR="00BC1D20" w:rsidRPr="00AA45E9" w:rsidRDefault="00BC1D20" w:rsidP="00BC1D20">
            <w:pPr>
              <w:autoSpaceDE w:val="0"/>
              <w:autoSpaceDN w:val="0"/>
              <w:adjustRightInd w:val="0"/>
              <w:spacing w:after="0" w:line="276" w:lineRule="auto"/>
              <w:jc w:val="both"/>
              <w:rPr>
                <w:rFonts w:ascii="Times New Roman" w:hAnsi="Times New Roman"/>
                <w:sz w:val="20"/>
                <w:szCs w:val="20"/>
              </w:rPr>
            </w:pPr>
            <w:r w:rsidRPr="00AA45E9">
              <w:rPr>
                <w:rFonts w:ascii="Times New Roman" w:hAnsi="Times New Roman"/>
                <w:sz w:val="20"/>
                <w:szCs w:val="20"/>
              </w:rPr>
              <w:t>-Présence d’un plan de communication</w:t>
            </w:r>
            <w:r>
              <w:rPr>
                <w:rFonts w:ascii="Times New Roman" w:hAnsi="Times New Roman"/>
                <w:sz w:val="20"/>
                <w:szCs w:val="20"/>
              </w:rPr>
              <w:t> ;</w:t>
            </w:r>
          </w:p>
        </w:tc>
        <w:tc>
          <w:tcPr>
            <w:tcW w:w="1131" w:type="dxa"/>
            <w:gridSpan w:val="2"/>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BC1D20" w:rsidRPr="002407EF" w:rsidRDefault="00BC1D20" w:rsidP="00BC1D20">
            <w:pPr>
              <w:autoSpaceDE w:val="0"/>
              <w:autoSpaceDN w:val="0"/>
              <w:adjustRightInd w:val="0"/>
              <w:spacing w:after="0" w:line="276" w:lineRule="auto"/>
              <w:jc w:val="center"/>
              <w:rPr>
                <w:rFonts w:ascii="Times New Roman" w:hAnsi="Times New Roman"/>
                <w:b/>
                <w:sz w:val="20"/>
                <w:szCs w:val="20"/>
              </w:rPr>
            </w:pPr>
            <w:r w:rsidRPr="002407EF">
              <w:rPr>
                <w:rFonts w:ascii="Times New Roman" w:hAnsi="Times New Roman"/>
                <w:b/>
                <w:sz w:val="20"/>
                <w:szCs w:val="20"/>
              </w:rPr>
              <w:t>EAGB</w:t>
            </w:r>
          </w:p>
          <w:p w:rsidR="00BC1D20" w:rsidRPr="002407EF" w:rsidRDefault="00BC1D20" w:rsidP="00BC1D20">
            <w:pPr>
              <w:autoSpaceDE w:val="0"/>
              <w:autoSpaceDN w:val="0"/>
              <w:adjustRightInd w:val="0"/>
              <w:spacing w:after="0" w:line="276" w:lineRule="auto"/>
              <w:jc w:val="center"/>
              <w:rPr>
                <w:rFonts w:ascii="Times New Roman" w:hAnsi="Times New Roman"/>
                <w:b/>
                <w:sz w:val="20"/>
                <w:szCs w:val="20"/>
              </w:rPr>
            </w:pPr>
          </w:p>
        </w:tc>
        <w:tc>
          <w:tcPr>
            <w:tcW w:w="1134" w:type="dxa"/>
            <w:gridSpan w:val="2"/>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BC1D20" w:rsidRPr="002407EF" w:rsidRDefault="00BC1D20" w:rsidP="00BC1D20">
            <w:pPr>
              <w:autoSpaceDE w:val="0"/>
              <w:autoSpaceDN w:val="0"/>
              <w:adjustRightInd w:val="0"/>
              <w:spacing w:after="0" w:line="276" w:lineRule="auto"/>
              <w:jc w:val="center"/>
              <w:rPr>
                <w:rFonts w:ascii="Times New Roman" w:hAnsi="Times New Roman"/>
                <w:b/>
                <w:sz w:val="20"/>
                <w:szCs w:val="20"/>
              </w:rPr>
            </w:pPr>
            <w:r w:rsidRPr="002407EF">
              <w:rPr>
                <w:rFonts w:ascii="Times New Roman" w:hAnsi="Times New Roman"/>
                <w:b/>
                <w:sz w:val="20"/>
                <w:szCs w:val="20"/>
              </w:rPr>
              <w:t>Comité de suivi</w:t>
            </w:r>
          </w:p>
          <w:p w:rsidR="00BC1D20" w:rsidRPr="002407EF" w:rsidRDefault="00BC1D20" w:rsidP="00BC1D20">
            <w:pPr>
              <w:autoSpaceDE w:val="0"/>
              <w:autoSpaceDN w:val="0"/>
              <w:adjustRightInd w:val="0"/>
              <w:spacing w:after="0" w:line="276" w:lineRule="auto"/>
              <w:jc w:val="center"/>
              <w:rPr>
                <w:rFonts w:ascii="Times New Roman" w:hAnsi="Times New Roman"/>
                <w:b/>
                <w:sz w:val="20"/>
                <w:szCs w:val="20"/>
              </w:rPr>
            </w:pPr>
          </w:p>
          <w:p w:rsidR="00BC1D20" w:rsidRPr="002407EF" w:rsidRDefault="00BC1D20" w:rsidP="00BC1D20">
            <w:pPr>
              <w:autoSpaceDE w:val="0"/>
              <w:autoSpaceDN w:val="0"/>
              <w:adjustRightInd w:val="0"/>
              <w:spacing w:after="0" w:line="276" w:lineRule="auto"/>
              <w:jc w:val="center"/>
              <w:rPr>
                <w:rFonts w:ascii="Times New Roman" w:hAnsi="Times New Roman"/>
                <w:b/>
                <w:sz w:val="20"/>
                <w:szCs w:val="20"/>
              </w:rPr>
            </w:pPr>
            <w:r w:rsidRPr="002407EF">
              <w:rPr>
                <w:rFonts w:ascii="Times New Roman" w:hAnsi="Times New Roman"/>
                <w:b/>
                <w:sz w:val="20"/>
                <w:szCs w:val="20"/>
              </w:rPr>
              <w:t>PUASEE-FA</w:t>
            </w:r>
          </w:p>
        </w:tc>
        <w:tc>
          <w:tcPr>
            <w:tcW w:w="712" w:type="dxa"/>
            <w:tcBorders>
              <w:top w:val="single" w:sz="4" w:space="0" w:color="auto"/>
              <w:left w:val="single" w:sz="4" w:space="0" w:color="auto"/>
              <w:bottom w:val="single" w:sz="4" w:space="0" w:color="auto"/>
              <w:right w:val="single" w:sz="4" w:space="0" w:color="auto"/>
            </w:tcBorders>
            <w:vAlign w:val="center"/>
          </w:tcPr>
          <w:p w:rsidR="00BC1D20" w:rsidRPr="00AA45E9" w:rsidRDefault="00BC1D20" w:rsidP="00BC1D20">
            <w:pPr>
              <w:autoSpaceDE w:val="0"/>
              <w:autoSpaceDN w:val="0"/>
              <w:adjustRightInd w:val="0"/>
              <w:spacing w:after="0" w:line="276" w:lineRule="auto"/>
              <w:jc w:val="center"/>
              <w:rPr>
                <w:rFonts w:ascii="Times New Roman" w:hAnsi="Times New Roman"/>
                <w:sz w:val="20"/>
                <w:szCs w:val="20"/>
              </w:rPr>
            </w:pPr>
            <w:r w:rsidRPr="00AA45E9">
              <w:rPr>
                <w:rFonts w:ascii="Times New Roman" w:hAnsi="Times New Roman"/>
                <w:sz w:val="20"/>
                <w:szCs w:val="20"/>
              </w:rPr>
              <w:t>Au début et en continu</w:t>
            </w:r>
          </w:p>
        </w:tc>
        <w:tc>
          <w:tcPr>
            <w:tcW w:w="1134" w:type="dxa"/>
            <w:tcBorders>
              <w:top w:val="single" w:sz="4" w:space="0" w:color="auto"/>
              <w:left w:val="single" w:sz="4" w:space="0" w:color="auto"/>
              <w:bottom w:val="single" w:sz="4" w:space="0" w:color="auto"/>
              <w:right w:val="single" w:sz="4" w:space="0" w:color="auto"/>
            </w:tcBorders>
            <w:vAlign w:val="center"/>
          </w:tcPr>
          <w:p w:rsidR="00BC1D20" w:rsidRPr="00AA45E9" w:rsidRDefault="00BC1D20" w:rsidP="00BC1D20">
            <w:pPr>
              <w:autoSpaceDE w:val="0"/>
              <w:autoSpaceDN w:val="0"/>
              <w:adjustRightInd w:val="0"/>
              <w:spacing w:after="0" w:line="276" w:lineRule="auto"/>
              <w:jc w:val="center"/>
              <w:rPr>
                <w:rFonts w:ascii="Times New Roman" w:hAnsi="Times New Roman"/>
                <w:sz w:val="20"/>
                <w:szCs w:val="20"/>
              </w:rPr>
            </w:pPr>
            <w:r w:rsidRPr="00AA45E9">
              <w:rPr>
                <w:rFonts w:ascii="Times New Roman" w:hAnsi="Times New Roman"/>
                <w:sz w:val="20"/>
                <w:szCs w:val="20"/>
              </w:rPr>
              <w:t>Avant chaque réparation du réseau</w:t>
            </w:r>
          </w:p>
        </w:tc>
        <w:tc>
          <w:tcPr>
            <w:tcW w:w="1413" w:type="dxa"/>
            <w:gridSpan w:val="2"/>
            <w:tcBorders>
              <w:top w:val="single" w:sz="4" w:space="0" w:color="auto"/>
              <w:left w:val="single" w:sz="4" w:space="0" w:color="auto"/>
              <w:bottom w:val="single" w:sz="4" w:space="0" w:color="auto"/>
              <w:right w:val="single" w:sz="4" w:space="0" w:color="auto"/>
            </w:tcBorders>
            <w:vAlign w:val="center"/>
          </w:tcPr>
          <w:p w:rsidR="00BC1D20" w:rsidRPr="00AA45E9" w:rsidRDefault="00BC1D20" w:rsidP="00BC1D20">
            <w:pPr>
              <w:autoSpaceDE w:val="0"/>
              <w:autoSpaceDN w:val="0"/>
              <w:adjustRightInd w:val="0"/>
              <w:spacing w:after="0" w:line="276" w:lineRule="auto"/>
              <w:jc w:val="center"/>
              <w:rPr>
                <w:rFonts w:ascii="Times New Roman" w:hAnsi="Times New Roman"/>
                <w:b/>
                <w:sz w:val="20"/>
                <w:szCs w:val="20"/>
              </w:rPr>
            </w:pPr>
            <w:r w:rsidRPr="00AA45E9">
              <w:rPr>
                <w:rFonts w:ascii="Times New Roman" w:hAnsi="Times New Roman"/>
                <w:b/>
                <w:sz w:val="20"/>
                <w:szCs w:val="20"/>
              </w:rPr>
              <w:t> </w:t>
            </w:r>
            <w:r>
              <w:rPr>
                <w:rFonts w:ascii="Times New Roman" w:hAnsi="Times New Roman"/>
                <w:b/>
                <w:sz w:val="20"/>
                <w:szCs w:val="20"/>
              </w:rPr>
              <w:t xml:space="preserve">4 </w:t>
            </w:r>
            <w:r w:rsidRPr="00AA45E9">
              <w:rPr>
                <w:rFonts w:ascii="Times New Roman" w:hAnsi="Times New Roman"/>
                <w:b/>
                <w:sz w:val="20"/>
                <w:szCs w:val="20"/>
              </w:rPr>
              <w:t>000 000</w:t>
            </w:r>
          </w:p>
        </w:tc>
        <w:tc>
          <w:tcPr>
            <w:tcW w:w="1134" w:type="dxa"/>
            <w:tcBorders>
              <w:top w:val="single" w:sz="4" w:space="0" w:color="auto"/>
              <w:left w:val="single" w:sz="4" w:space="0" w:color="auto"/>
              <w:bottom w:val="single" w:sz="4" w:space="0" w:color="auto"/>
              <w:right w:val="single" w:sz="4" w:space="0" w:color="auto"/>
            </w:tcBorders>
            <w:vAlign w:val="center"/>
          </w:tcPr>
          <w:p w:rsidR="00BC1D20" w:rsidRPr="00AA45E9" w:rsidRDefault="00BC1D20" w:rsidP="00BC1D20">
            <w:pPr>
              <w:spacing w:after="0" w:line="240" w:lineRule="auto"/>
              <w:jc w:val="center"/>
              <w:rPr>
                <w:rFonts w:ascii="Times New Roman" w:hAnsi="Times New Roman"/>
                <w:sz w:val="20"/>
                <w:szCs w:val="20"/>
              </w:rPr>
            </w:pPr>
            <w:r w:rsidRPr="00AA45E9">
              <w:rPr>
                <w:rFonts w:ascii="Times New Roman" w:hAnsi="Times New Roman"/>
                <w:sz w:val="20"/>
                <w:szCs w:val="20"/>
              </w:rPr>
              <w:t>Coût inclus dans le protocole d’accord entre le promoteur et le CRS</w:t>
            </w:r>
          </w:p>
        </w:tc>
      </w:tr>
      <w:tr w:rsidR="00BC1D20" w:rsidRPr="00AA45E9" w:rsidTr="007D251E">
        <w:trPr>
          <w:gridAfter w:val="1"/>
          <w:wAfter w:w="64" w:type="dxa"/>
          <w:trHeight w:val="2782"/>
          <w:jc w:val="center"/>
        </w:trPr>
        <w:tc>
          <w:tcPr>
            <w:tcW w:w="1127" w:type="dxa"/>
            <w:vMerge/>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BC1D20" w:rsidRPr="00AA45E9" w:rsidRDefault="00BC1D20" w:rsidP="00BC1D20">
            <w:pPr>
              <w:autoSpaceDE w:val="0"/>
              <w:autoSpaceDN w:val="0"/>
              <w:adjustRightInd w:val="0"/>
              <w:spacing w:after="0" w:line="276" w:lineRule="auto"/>
              <w:jc w:val="center"/>
              <w:rPr>
                <w:rFonts w:ascii="Times New Roman" w:hAnsi="Times New Roman"/>
                <w:b/>
                <w:bCs/>
                <w:sz w:val="20"/>
                <w:szCs w:val="20"/>
              </w:rPr>
            </w:pPr>
          </w:p>
        </w:tc>
        <w:tc>
          <w:tcPr>
            <w:tcW w:w="1840" w:type="dxa"/>
            <w:tcBorders>
              <w:top w:val="single" w:sz="4" w:space="0" w:color="auto"/>
              <w:left w:val="single" w:sz="4" w:space="0" w:color="auto"/>
              <w:bottom w:val="single" w:sz="4" w:space="0" w:color="auto"/>
              <w:right w:val="single" w:sz="4" w:space="0" w:color="auto"/>
            </w:tcBorders>
            <w:vAlign w:val="center"/>
          </w:tcPr>
          <w:p w:rsidR="00BC1D20" w:rsidRPr="00AA45E9" w:rsidRDefault="00BC1D20" w:rsidP="00BC1D20">
            <w:pPr>
              <w:autoSpaceDE w:val="0"/>
              <w:autoSpaceDN w:val="0"/>
              <w:adjustRightInd w:val="0"/>
              <w:spacing w:after="0" w:line="276" w:lineRule="auto"/>
              <w:jc w:val="both"/>
              <w:rPr>
                <w:rFonts w:ascii="Times New Roman" w:hAnsi="Times New Roman"/>
                <w:sz w:val="20"/>
                <w:szCs w:val="20"/>
              </w:rPr>
            </w:pPr>
            <w:r w:rsidRPr="008C306C">
              <w:rPr>
                <w:rFonts w:ascii="Times New Roman" w:hAnsi="Times New Roman"/>
                <w:bCs/>
                <w:sz w:val="20"/>
                <w:szCs w:val="20"/>
              </w:rPr>
              <w:t>Risque d’augmentation de l’insalubrité liée à la mauvaise gestion des eaux usées.</w:t>
            </w:r>
          </w:p>
        </w:tc>
        <w:tc>
          <w:tcPr>
            <w:tcW w:w="3407" w:type="dxa"/>
            <w:gridSpan w:val="2"/>
            <w:tcBorders>
              <w:top w:val="single" w:sz="4" w:space="0" w:color="auto"/>
              <w:left w:val="single" w:sz="4" w:space="0" w:color="auto"/>
              <w:bottom w:val="single" w:sz="4" w:space="0" w:color="auto"/>
              <w:right w:val="single" w:sz="4" w:space="0" w:color="auto"/>
            </w:tcBorders>
            <w:vAlign w:val="center"/>
          </w:tcPr>
          <w:p w:rsidR="00BC1D20" w:rsidRPr="0036198D" w:rsidRDefault="00BC1D20" w:rsidP="00BC1D20">
            <w:pPr>
              <w:spacing w:after="0" w:line="276" w:lineRule="auto"/>
              <w:jc w:val="both"/>
              <w:rPr>
                <w:rFonts w:ascii="Times New Roman" w:hAnsi="Times New Roman"/>
                <w:bCs/>
                <w:sz w:val="20"/>
                <w:szCs w:val="20"/>
              </w:rPr>
            </w:pPr>
            <w:r w:rsidRPr="00AA45E9">
              <w:rPr>
                <w:rFonts w:ascii="Times New Roman" w:hAnsi="Times New Roman"/>
                <w:bCs/>
                <w:sz w:val="20"/>
                <w:szCs w:val="20"/>
              </w:rPr>
              <w:t>-</w:t>
            </w:r>
            <w:r w:rsidRPr="0036198D">
              <w:rPr>
                <w:rFonts w:ascii="Times New Roman" w:hAnsi="Times New Roman"/>
                <w:bCs/>
                <w:sz w:val="20"/>
                <w:szCs w:val="20"/>
              </w:rPr>
              <w:t>Faire des campagnes de sensibilisation contre les effets négatifs des eaux usées ménagères déversées dans la rue ;</w:t>
            </w:r>
          </w:p>
          <w:p w:rsidR="00BC1D20" w:rsidRPr="0036198D" w:rsidRDefault="00BC1D20" w:rsidP="00BC1D20">
            <w:pPr>
              <w:spacing w:after="0" w:line="276" w:lineRule="auto"/>
              <w:jc w:val="both"/>
              <w:rPr>
                <w:rFonts w:ascii="Times New Roman" w:hAnsi="Times New Roman"/>
                <w:bCs/>
                <w:sz w:val="20"/>
                <w:szCs w:val="20"/>
              </w:rPr>
            </w:pPr>
            <w:r w:rsidRPr="0036198D">
              <w:rPr>
                <w:rFonts w:ascii="Times New Roman" w:hAnsi="Times New Roman"/>
                <w:bCs/>
                <w:sz w:val="20"/>
                <w:szCs w:val="20"/>
              </w:rPr>
              <w:t>-Mettre en place des système d’assainissement des eaux usées dans le pays ;</w:t>
            </w:r>
          </w:p>
          <w:p w:rsidR="00BC1D20" w:rsidRPr="0036198D" w:rsidRDefault="00BC1D20" w:rsidP="00BC1D20">
            <w:pPr>
              <w:spacing w:after="0" w:line="276" w:lineRule="auto"/>
              <w:jc w:val="both"/>
              <w:rPr>
                <w:rFonts w:ascii="Times New Roman" w:hAnsi="Times New Roman"/>
                <w:bCs/>
                <w:sz w:val="20"/>
                <w:szCs w:val="20"/>
              </w:rPr>
            </w:pPr>
            <w:r w:rsidRPr="0036198D">
              <w:rPr>
                <w:rFonts w:ascii="Times New Roman" w:hAnsi="Times New Roman"/>
                <w:bCs/>
                <w:sz w:val="20"/>
                <w:szCs w:val="20"/>
              </w:rPr>
              <w:t>-Encadrer et former les services d’assainissement, d’hygiène et de santé sur les risques existants ;</w:t>
            </w:r>
          </w:p>
          <w:p w:rsidR="00BC1D20" w:rsidRPr="00AA45E9" w:rsidRDefault="00BC1D20" w:rsidP="00BC1D20">
            <w:pPr>
              <w:spacing w:after="0" w:line="276" w:lineRule="auto"/>
              <w:jc w:val="both"/>
              <w:rPr>
                <w:rFonts w:ascii="Times New Roman" w:hAnsi="Times New Roman"/>
                <w:bCs/>
                <w:sz w:val="20"/>
                <w:szCs w:val="20"/>
              </w:rPr>
            </w:pPr>
            <w:r>
              <w:rPr>
                <w:rFonts w:ascii="Times New Roman" w:hAnsi="Times New Roman"/>
                <w:bCs/>
                <w:sz w:val="20"/>
                <w:szCs w:val="20"/>
              </w:rPr>
              <w:t>-</w:t>
            </w:r>
            <w:r w:rsidRPr="0036198D">
              <w:rPr>
                <w:rFonts w:ascii="Times New Roman" w:hAnsi="Times New Roman"/>
                <w:bCs/>
                <w:sz w:val="20"/>
                <w:szCs w:val="20"/>
              </w:rPr>
              <w:t>Mettre en place de nouvelle loi et règlementation adaptée au niveau de l’assainissement.</w:t>
            </w:r>
          </w:p>
        </w:tc>
        <w:tc>
          <w:tcPr>
            <w:tcW w:w="3260" w:type="dxa"/>
            <w:gridSpan w:val="2"/>
            <w:tcBorders>
              <w:top w:val="single" w:sz="4" w:space="0" w:color="auto"/>
              <w:left w:val="single" w:sz="4" w:space="0" w:color="auto"/>
              <w:bottom w:val="single" w:sz="4" w:space="0" w:color="auto"/>
              <w:right w:val="single" w:sz="4" w:space="0" w:color="auto"/>
            </w:tcBorders>
            <w:vAlign w:val="center"/>
          </w:tcPr>
          <w:p w:rsidR="00BC1D20" w:rsidRPr="00AA45E9" w:rsidRDefault="00BC1D20" w:rsidP="00BC1D20">
            <w:pPr>
              <w:autoSpaceDE w:val="0"/>
              <w:autoSpaceDN w:val="0"/>
              <w:adjustRightInd w:val="0"/>
              <w:spacing w:after="0" w:line="276" w:lineRule="auto"/>
              <w:jc w:val="both"/>
              <w:rPr>
                <w:rFonts w:ascii="Times New Roman" w:hAnsi="Times New Roman"/>
                <w:sz w:val="20"/>
                <w:szCs w:val="20"/>
              </w:rPr>
            </w:pPr>
            <w:r w:rsidRPr="00AA45E9">
              <w:rPr>
                <w:rFonts w:ascii="Times New Roman" w:hAnsi="Times New Roman"/>
                <w:sz w:val="20"/>
                <w:szCs w:val="20"/>
              </w:rPr>
              <w:t>-Nombre de campagne de sensibilisation effectué</w:t>
            </w:r>
            <w:r>
              <w:rPr>
                <w:rFonts w:ascii="Times New Roman" w:hAnsi="Times New Roman"/>
                <w:sz w:val="20"/>
                <w:szCs w:val="20"/>
              </w:rPr>
              <w:t> ;</w:t>
            </w:r>
          </w:p>
          <w:p w:rsidR="00BC1D20" w:rsidRPr="00AA45E9" w:rsidRDefault="00BC1D20" w:rsidP="00BC1D20">
            <w:pPr>
              <w:autoSpaceDE w:val="0"/>
              <w:autoSpaceDN w:val="0"/>
              <w:adjustRightInd w:val="0"/>
              <w:spacing w:after="0" w:line="276" w:lineRule="auto"/>
              <w:jc w:val="both"/>
              <w:rPr>
                <w:rFonts w:ascii="Times New Roman" w:hAnsi="Times New Roman"/>
                <w:sz w:val="20"/>
                <w:szCs w:val="20"/>
              </w:rPr>
            </w:pPr>
            <w:r w:rsidRPr="00AA45E9">
              <w:rPr>
                <w:rFonts w:ascii="Times New Roman" w:hAnsi="Times New Roman"/>
                <w:sz w:val="20"/>
                <w:szCs w:val="20"/>
              </w:rPr>
              <w:t>-Présence d’un service spécialisé</w:t>
            </w:r>
            <w:r>
              <w:rPr>
                <w:rFonts w:ascii="Times New Roman" w:hAnsi="Times New Roman"/>
                <w:sz w:val="20"/>
                <w:szCs w:val="20"/>
              </w:rPr>
              <w:t> ;</w:t>
            </w:r>
          </w:p>
          <w:p w:rsidR="00BC1D20" w:rsidRPr="00AA45E9" w:rsidRDefault="00BC1D20" w:rsidP="00BC1D20">
            <w:pPr>
              <w:autoSpaceDE w:val="0"/>
              <w:autoSpaceDN w:val="0"/>
              <w:adjustRightInd w:val="0"/>
              <w:spacing w:after="0" w:line="276" w:lineRule="auto"/>
              <w:jc w:val="both"/>
              <w:rPr>
                <w:rFonts w:ascii="Times New Roman" w:hAnsi="Times New Roman"/>
                <w:sz w:val="20"/>
                <w:szCs w:val="20"/>
              </w:rPr>
            </w:pPr>
            <w:r w:rsidRPr="00AA45E9">
              <w:rPr>
                <w:rFonts w:ascii="Times New Roman" w:hAnsi="Times New Roman"/>
                <w:sz w:val="20"/>
                <w:szCs w:val="20"/>
              </w:rPr>
              <w:t>-Nombre de personne encadré et formé</w:t>
            </w:r>
            <w:r>
              <w:rPr>
                <w:rFonts w:ascii="Times New Roman" w:hAnsi="Times New Roman"/>
                <w:sz w:val="20"/>
                <w:szCs w:val="20"/>
              </w:rPr>
              <w:t> ;</w:t>
            </w:r>
          </w:p>
          <w:p w:rsidR="00BC1D20" w:rsidRPr="00AA45E9" w:rsidRDefault="00BC1D20" w:rsidP="00BC1D20">
            <w:pPr>
              <w:autoSpaceDE w:val="0"/>
              <w:autoSpaceDN w:val="0"/>
              <w:adjustRightInd w:val="0"/>
              <w:spacing w:after="0" w:line="276" w:lineRule="auto"/>
              <w:jc w:val="both"/>
              <w:rPr>
                <w:rFonts w:ascii="Times New Roman" w:hAnsi="Times New Roman"/>
                <w:sz w:val="20"/>
                <w:szCs w:val="20"/>
              </w:rPr>
            </w:pPr>
            <w:r w:rsidRPr="00AA45E9">
              <w:rPr>
                <w:rFonts w:ascii="Times New Roman" w:hAnsi="Times New Roman"/>
                <w:sz w:val="20"/>
                <w:szCs w:val="20"/>
              </w:rPr>
              <w:t>-Existence d’une loi ou règlementation</w:t>
            </w:r>
            <w:r>
              <w:rPr>
                <w:rFonts w:ascii="Times New Roman" w:hAnsi="Times New Roman"/>
                <w:sz w:val="20"/>
                <w:szCs w:val="20"/>
              </w:rPr>
              <w:t> ;</w:t>
            </w:r>
          </w:p>
        </w:tc>
        <w:tc>
          <w:tcPr>
            <w:tcW w:w="1131" w:type="dxa"/>
            <w:gridSpan w:val="2"/>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BC1D20" w:rsidRPr="002407EF" w:rsidRDefault="00BC1D20" w:rsidP="00BC1D20">
            <w:pPr>
              <w:autoSpaceDE w:val="0"/>
              <w:autoSpaceDN w:val="0"/>
              <w:adjustRightInd w:val="0"/>
              <w:spacing w:after="0" w:line="276" w:lineRule="auto"/>
              <w:jc w:val="center"/>
              <w:rPr>
                <w:rFonts w:ascii="Times New Roman" w:hAnsi="Times New Roman"/>
                <w:b/>
                <w:sz w:val="20"/>
                <w:szCs w:val="20"/>
              </w:rPr>
            </w:pPr>
            <w:r w:rsidRPr="002407EF">
              <w:rPr>
                <w:rFonts w:ascii="Times New Roman" w:hAnsi="Times New Roman"/>
                <w:b/>
                <w:sz w:val="20"/>
                <w:szCs w:val="20"/>
              </w:rPr>
              <w:t>ETAT</w:t>
            </w:r>
          </w:p>
        </w:tc>
        <w:tc>
          <w:tcPr>
            <w:tcW w:w="1134" w:type="dxa"/>
            <w:gridSpan w:val="2"/>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BC1D20" w:rsidRPr="002407EF" w:rsidRDefault="00BC1D20" w:rsidP="00BC1D20">
            <w:pPr>
              <w:autoSpaceDE w:val="0"/>
              <w:autoSpaceDN w:val="0"/>
              <w:adjustRightInd w:val="0"/>
              <w:spacing w:after="0" w:line="276" w:lineRule="auto"/>
              <w:jc w:val="center"/>
              <w:rPr>
                <w:rFonts w:ascii="Times New Roman" w:hAnsi="Times New Roman"/>
                <w:b/>
                <w:sz w:val="20"/>
                <w:szCs w:val="20"/>
              </w:rPr>
            </w:pPr>
            <w:r w:rsidRPr="002407EF">
              <w:rPr>
                <w:rFonts w:ascii="Times New Roman" w:hAnsi="Times New Roman"/>
                <w:b/>
                <w:sz w:val="20"/>
                <w:szCs w:val="20"/>
              </w:rPr>
              <w:t>Comité de suivi</w:t>
            </w:r>
          </w:p>
        </w:tc>
        <w:tc>
          <w:tcPr>
            <w:tcW w:w="712" w:type="dxa"/>
            <w:tcBorders>
              <w:top w:val="single" w:sz="4" w:space="0" w:color="auto"/>
              <w:left w:val="single" w:sz="4" w:space="0" w:color="auto"/>
              <w:bottom w:val="single" w:sz="4" w:space="0" w:color="auto"/>
              <w:right w:val="single" w:sz="4" w:space="0" w:color="auto"/>
            </w:tcBorders>
            <w:vAlign w:val="center"/>
          </w:tcPr>
          <w:p w:rsidR="00BC1D20" w:rsidRPr="00AA45E9" w:rsidRDefault="00BC1D20" w:rsidP="00BC1D20">
            <w:pPr>
              <w:autoSpaceDE w:val="0"/>
              <w:autoSpaceDN w:val="0"/>
              <w:adjustRightInd w:val="0"/>
              <w:spacing w:after="0" w:line="276" w:lineRule="auto"/>
              <w:jc w:val="center"/>
              <w:rPr>
                <w:rFonts w:ascii="Times New Roman" w:hAnsi="Times New Roman"/>
                <w:sz w:val="20"/>
                <w:szCs w:val="20"/>
              </w:rPr>
            </w:pPr>
            <w:r w:rsidRPr="00AA45E9">
              <w:rPr>
                <w:rFonts w:ascii="Times New Roman" w:hAnsi="Times New Roman"/>
                <w:sz w:val="20"/>
                <w:szCs w:val="20"/>
              </w:rPr>
              <w:t>Au début et en continu</w:t>
            </w:r>
          </w:p>
        </w:tc>
        <w:tc>
          <w:tcPr>
            <w:tcW w:w="1134" w:type="dxa"/>
            <w:tcBorders>
              <w:top w:val="single" w:sz="4" w:space="0" w:color="auto"/>
              <w:left w:val="single" w:sz="4" w:space="0" w:color="auto"/>
              <w:bottom w:val="single" w:sz="4" w:space="0" w:color="auto"/>
              <w:right w:val="single" w:sz="4" w:space="0" w:color="auto"/>
            </w:tcBorders>
            <w:vAlign w:val="center"/>
          </w:tcPr>
          <w:p w:rsidR="00BC1D20" w:rsidRPr="00AA45E9" w:rsidRDefault="00BC1D20" w:rsidP="00BC1D20">
            <w:pPr>
              <w:autoSpaceDE w:val="0"/>
              <w:autoSpaceDN w:val="0"/>
              <w:adjustRightInd w:val="0"/>
              <w:spacing w:after="0" w:line="276" w:lineRule="auto"/>
              <w:jc w:val="center"/>
              <w:rPr>
                <w:rFonts w:ascii="Times New Roman" w:hAnsi="Times New Roman"/>
                <w:sz w:val="20"/>
                <w:szCs w:val="20"/>
              </w:rPr>
            </w:pPr>
            <w:r w:rsidRPr="00AA45E9">
              <w:rPr>
                <w:rFonts w:ascii="Times New Roman" w:hAnsi="Times New Roman"/>
                <w:sz w:val="20"/>
                <w:szCs w:val="20"/>
              </w:rPr>
              <w:t>Trois fois par an</w:t>
            </w:r>
          </w:p>
        </w:tc>
        <w:tc>
          <w:tcPr>
            <w:tcW w:w="1413" w:type="dxa"/>
            <w:gridSpan w:val="2"/>
            <w:tcBorders>
              <w:top w:val="single" w:sz="4" w:space="0" w:color="auto"/>
              <w:left w:val="single" w:sz="4" w:space="0" w:color="auto"/>
              <w:bottom w:val="single" w:sz="4" w:space="0" w:color="auto"/>
              <w:right w:val="single" w:sz="4" w:space="0" w:color="auto"/>
            </w:tcBorders>
            <w:vAlign w:val="center"/>
          </w:tcPr>
          <w:p w:rsidR="00BC1D20" w:rsidRPr="00AA45E9" w:rsidRDefault="00852D58" w:rsidP="00BC1D20">
            <w:pPr>
              <w:autoSpaceDE w:val="0"/>
              <w:autoSpaceDN w:val="0"/>
              <w:adjustRightInd w:val="0"/>
              <w:spacing w:after="0" w:line="276" w:lineRule="auto"/>
              <w:jc w:val="center"/>
              <w:rPr>
                <w:rFonts w:ascii="Times New Roman" w:hAnsi="Times New Roman"/>
                <w:b/>
                <w:sz w:val="20"/>
                <w:szCs w:val="20"/>
              </w:rPr>
            </w:pPr>
            <w:r>
              <w:rPr>
                <w:rFonts w:ascii="Times New Roman" w:hAnsi="Times New Roman"/>
                <w:b/>
                <w:sz w:val="20"/>
                <w:szCs w:val="20"/>
              </w:rPr>
              <w:t>PM</w:t>
            </w:r>
          </w:p>
        </w:tc>
        <w:tc>
          <w:tcPr>
            <w:tcW w:w="1134" w:type="dxa"/>
            <w:tcBorders>
              <w:top w:val="single" w:sz="4" w:space="0" w:color="auto"/>
              <w:left w:val="single" w:sz="4" w:space="0" w:color="auto"/>
              <w:bottom w:val="single" w:sz="4" w:space="0" w:color="auto"/>
              <w:right w:val="single" w:sz="4" w:space="0" w:color="auto"/>
            </w:tcBorders>
            <w:vAlign w:val="center"/>
          </w:tcPr>
          <w:p w:rsidR="00BC1D20" w:rsidRPr="00AA45E9" w:rsidRDefault="00BC1D20" w:rsidP="00BC1D20">
            <w:pPr>
              <w:spacing w:after="0" w:line="240" w:lineRule="auto"/>
              <w:jc w:val="center"/>
              <w:rPr>
                <w:rFonts w:ascii="Times New Roman" w:hAnsi="Times New Roman"/>
                <w:sz w:val="20"/>
                <w:szCs w:val="20"/>
              </w:rPr>
            </w:pPr>
            <w:r w:rsidRPr="00AA45E9">
              <w:rPr>
                <w:rFonts w:ascii="Times New Roman" w:hAnsi="Times New Roman"/>
                <w:sz w:val="20"/>
                <w:szCs w:val="20"/>
              </w:rPr>
              <w:t>Coût inclus dans le protocole d’accord entre le promoteur et le CRS</w:t>
            </w:r>
          </w:p>
        </w:tc>
      </w:tr>
      <w:tr w:rsidR="00BC1D20" w:rsidRPr="00AA45E9" w:rsidTr="007D251E">
        <w:trPr>
          <w:gridAfter w:val="1"/>
          <w:wAfter w:w="64" w:type="dxa"/>
          <w:trHeight w:val="379"/>
          <w:jc w:val="center"/>
        </w:trPr>
        <w:tc>
          <w:tcPr>
            <w:tcW w:w="13745" w:type="dxa"/>
            <w:gridSpan w:val="12"/>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rsidR="00BC1D20" w:rsidRPr="00AA45E9" w:rsidRDefault="00BC1D20" w:rsidP="00BC1D20">
            <w:pPr>
              <w:autoSpaceDE w:val="0"/>
              <w:autoSpaceDN w:val="0"/>
              <w:adjustRightInd w:val="0"/>
              <w:spacing w:after="0" w:line="276" w:lineRule="auto"/>
              <w:jc w:val="center"/>
              <w:rPr>
                <w:rFonts w:ascii="Times New Roman" w:hAnsi="Times New Roman"/>
                <w:b/>
                <w:bCs/>
              </w:rPr>
            </w:pPr>
            <w:r>
              <w:rPr>
                <w:rFonts w:ascii="Times New Roman" w:hAnsi="Times New Roman"/>
                <w:b/>
                <w:bCs/>
              </w:rPr>
              <w:lastRenderedPageBreak/>
              <w:t xml:space="preserve"> </w:t>
            </w:r>
            <w:r w:rsidRPr="00AA45E9">
              <w:rPr>
                <w:rFonts w:ascii="Times New Roman" w:hAnsi="Times New Roman"/>
                <w:b/>
                <w:bCs/>
              </w:rPr>
              <w:t>TOTAL</w:t>
            </w:r>
          </w:p>
        </w:tc>
        <w:tc>
          <w:tcPr>
            <w:tcW w:w="1413" w:type="dxa"/>
            <w:gridSpan w:val="2"/>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rsidR="00BC1D20" w:rsidRPr="00AA45E9" w:rsidRDefault="00852D58" w:rsidP="00BC1D20">
            <w:pPr>
              <w:autoSpaceDE w:val="0"/>
              <w:autoSpaceDN w:val="0"/>
              <w:adjustRightInd w:val="0"/>
              <w:spacing w:after="0" w:line="276" w:lineRule="auto"/>
              <w:jc w:val="center"/>
              <w:rPr>
                <w:rFonts w:ascii="Times New Roman" w:hAnsi="Times New Roman"/>
                <w:b/>
              </w:rPr>
            </w:pPr>
            <w:r>
              <w:rPr>
                <w:rFonts w:ascii="Times New Roman" w:hAnsi="Times New Roman"/>
                <w:b/>
              </w:rPr>
              <w:t>8</w:t>
            </w:r>
            <w:r w:rsidR="00BC1D20" w:rsidRPr="00AA45E9">
              <w:rPr>
                <w:rFonts w:ascii="Times New Roman" w:hAnsi="Times New Roman"/>
                <w:b/>
              </w:rPr>
              <w:t xml:space="preserve"> 000 000</w:t>
            </w:r>
          </w:p>
        </w:tc>
        <w:tc>
          <w:tcPr>
            <w:tcW w:w="1134"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BC1D20" w:rsidRPr="00AA45E9" w:rsidRDefault="00BC1D20" w:rsidP="00BC1D20">
            <w:pPr>
              <w:autoSpaceDE w:val="0"/>
              <w:autoSpaceDN w:val="0"/>
              <w:adjustRightInd w:val="0"/>
              <w:spacing w:after="0" w:line="276" w:lineRule="auto"/>
              <w:jc w:val="center"/>
              <w:rPr>
                <w:rFonts w:ascii="Times New Roman" w:hAnsi="Times New Roman"/>
                <w:b/>
              </w:rPr>
            </w:pPr>
          </w:p>
        </w:tc>
      </w:tr>
    </w:tbl>
    <w:p w:rsidR="00764FFF" w:rsidRPr="00D335A7" w:rsidRDefault="00764FFF" w:rsidP="00764FFF">
      <w:pPr>
        <w:rPr>
          <w:rFonts w:ascii="Times New Roman" w:hAnsi="Times New Roman"/>
        </w:rPr>
      </w:pPr>
    </w:p>
    <w:p w:rsidR="007D251E" w:rsidRDefault="00764FFF" w:rsidP="002407EF">
      <w:pPr>
        <w:pBdr>
          <w:top w:val="single" w:sz="4" w:space="1" w:color="auto"/>
          <w:left w:val="single" w:sz="4" w:space="4" w:color="auto"/>
          <w:bottom w:val="single" w:sz="4" w:space="1" w:color="auto"/>
          <w:right w:val="single" w:sz="4" w:space="4" w:color="auto"/>
        </w:pBdr>
        <w:shd w:val="clear" w:color="auto" w:fill="FFFFFF" w:themeFill="background1"/>
        <w:autoSpaceDE w:val="0"/>
        <w:autoSpaceDN w:val="0"/>
        <w:adjustRightInd w:val="0"/>
        <w:spacing w:after="0" w:line="276" w:lineRule="auto"/>
        <w:jc w:val="center"/>
        <w:rPr>
          <w:rFonts w:ascii="Times New Roman" w:hAnsi="Times New Roman"/>
          <w:b/>
          <w:bCs/>
          <w:color w:val="FF0000"/>
          <w:sz w:val="48"/>
          <w:szCs w:val="48"/>
        </w:rPr>
      </w:pPr>
      <w:r w:rsidRPr="00BC1D20">
        <w:rPr>
          <w:rFonts w:ascii="Times New Roman" w:hAnsi="Times New Roman"/>
          <w:b/>
          <w:bCs/>
          <w:color w:val="FF0000"/>
          <w:sz w:val="48"/>
          <w:szCs w:val="48"/>
        </w:rPr>
        <w:t>COUT GLOBAL D</w:t>
      </w:r>
      <w:r w:rsidR="00247507">
        <w:rPr>
          <w:rFonts w:ascii="Times New Roman" w:hAnsi="Times New Roman"/>
          <w:b/>
          <w:bCs/>
          <w:color w:val="FF0000"/>
          <w:sz w:val="48"/>
          <w:szCs w:val="48"/>
        </w:rPr>
        <w:t>E LA</w:t>
      </w:r>
      <w:r w:rsidRPr="00BC1D20">
        <w:rPr>
          <w:rFonts w:ascii="Times New Roman" w:hAnsi="Times New Roman"/>
          <w:b/>
          <w:bCs/>
          <w:color w:val="FF0000"/>
          <w:sz w:val="48"/>
          <w:szCs w:val="48"/>
        </w:rPr>
        <w:t xml:space="preserve"> MISE EN ŒUVRE DU PGES EST DE </w:t>
      </w:r>
    </w:p>
    <w:p w:rsidR="00764FFF" w:rsidRPr="007D251E" w:rsidRDefault="007D251E" w:rsidP="002407EF">
      <w:pPr>
        <w:pBdr>
          <w:top w:val="single" w:sz="4" w:space="1" w:color="auto"/>
          <w:left w:val="single" w:sz="4" w:space="4" w:color="auto"/>
          <w:bottom w:val="single" w:sz="4" w:space="1" w:color="auto"/>
          <w:right w:val="single" w:sz="4" w:space="4" w:color="auto"/>
        </w:pBdr>
        <w:shd w:val="clear" w:color="auto" w:fill="FFFFFF" w:themeFill="background1"/>
        <w:autoSpaceDE w:val="0"/>
        <w:autoSpaceDN w:val="0"/>
        <w:adjustRightInd w:val="0"/>
        <w:spacing w:after="0" w:line="276" w:lineRule="auto"/>
        <w:jc w:val="center"/>
        <w:rPr>
          <w:rFonts w:ascii="Times New Roman" w:hAnsi="Times New Roman"/>
          <w:b/>
          <w:bCs/>
          <w:color w:val="FF0000"/>
          <w:sz w:val="52"/>
          <w:szCs w:val="52"/>
        </w:rPr>
      </w:pPr>
      <w:r w:rsidRPr="007D251E">
        <w:rPr>
          <w:rFonts w:ascii="Times New Roman" w:hAnsi="Times New Roman"/>
          <w:b/>
          <w:bCs/>
          <w:color w:val="FF0000"/>
          <w:sz w:val="52"/>
          <w:szCs w:val="52"/>
        </w:rPr>
        <w:t>83 750 000</w:t>
      </w:r>
      <w:r w:rsidR="00764FFF" w:rsidRPr="007D251E">
        <w:rPr>
          <w:rFonts w:ascii="Times New Roman" w:hAnsi="Times New Roman"/>
          <w:b/>
          <w:bCs/>
          <w:color w:val="FF0000"/>
          <w:sz w:val="52"/>
          <w:szCs w:val="52"/>
        </w:rPr>
        <w:t xml:space="preserve"> FCFA</w:t>
      </w:r>
    </w:p>
    <w:p w:rsidR="002407EF" w:rsidRPr="006155B1" w:rsidRDefault="002407EF" w:rsidP="002407EF">
      <w:pPr>
        <w:pBdr>
          <w:top w:val="single" w:sz="4" w:space="1" w:color="auto"/>
          <w:left w:val="single" w:sz="4" w:space="4" w:color="auto"/>
          <w:bottom w:val="single" w:sz="4" w:space="1" w:color="auto"/>
          <w:right w:val="single" w:sz="4" w:space="4" w:color="auto"/>
        </w:pBdr>
        <w:jc w:val="center"/>
        <w:rPr>
          <w:rFonts w:ascii="Times New Roman" w:hAnsi="Times New Roman"/>
          <w:b/>
          <w:sz w:val="20"/>
          <w:szCs w:val="20"/>
        </w:rPr>
      </w:pPr>
    </w:p>
    <w:p w:rsidR="002407EF" w:rsidRPr="00523A9F" w:rsidRDefault="002407EF" w:rsidP="002407EF">
      <w:pPr>
        <w:pBdr>
          <w:top w:val="single" w:sz="4" w:space="1" w:color="auto"/>
          <w:left w:val="single" w:sz="4" w:space="4" w:color="auto"/>
          <w:bottom w:val="single" w:sz="4" w:space="1" w:color="auto"/>
          <w:right w:val="single" w:sz="4" w:space="4" w:color="auto"/>
        </w:pBdr>
        <w:jc w:val="center"/>
        <w:rPr>
          <w:rFonts w:ascii="Times New Roman" w:hAnsi="Times New Roman"/>
          <w:b/>
          <w:sz w:val="52"/>
          <w:szCs w:val="52"/>
        </w:rPr>
      </w:pPr>
      <w:r w:rsidRPr="000A7B93">
        <w:rPr>
          <w:rFonts w:ascii="Times New Roman" w:hAnsi="Times New Roman"/>
          <w:b/>
          <w:sz w:val="52"/>
          <w:szCs w:val="52"/>
          <w:u w:val="single"/>
        </w:rPr>
        <w:t>Remarques</w:t>
      </w:r>
      <w:r w:rsidRPr="00523A9F">
        <w:rPr>
          <w:rFonts w:ascii="Times New Roman" w:hAnsi="Times New Roman"/>
          <w:b/>
          <w:sz w:val="52"/>
          <w:szCs w:val="52"/>
        </w:rPr>
        <w:t xml:space="preserve"> :</w:t>
      </w:r>
    </w:p>
    <w:p w:rsidR="002407EF" w:rsidRPr="00523A9F" w:rsidRDefault="002407EF" w:rsidP="002407EF">
      <w:pPr>
        <w:pBdr>
          <w:top w:val="single" w:sz="4" w:space="1" w:color="auto"/>
          <w:left w:val="single" w:sz="4" w:space="4" w:color="auto"/>
          <w:bottom w:val="single" w:sz="4" w:space="1" w:color="auto"/>
          <w:right w:val="single" w:sz="4" w:space="4" w:color="auto"/>
        </w:pBdr>
        <w:jc w:val="both"/>
        <w:rPr>
          <w:rFonts w:ascii="Times New Roman" w:hAnsi="Times New Roman"/>
          <w:sz w:val="28"/>
          <w:szCs w:val="28"/>
        </w:rPr>
      </w:pPr>
      <w:r w:rsidRPr="00523A9F">
        <w:rPr>
          <w:rFonts w:ascii="Times New Roman" w:hAnsi="Times New Roman"/>
          <w:sz w:val="28"/>
          <w:szCs w:val="28"/>
        </w:rPr>
        <w:t>Les co</w:t>
      </w:r>
      <w:r>
        <w:rPr>
          <w:rFonts w:ascii="Times New Roman" w:hAnsi="Times New Roman"/>
          <w:sz w:val="28"/>
          <w:szCs w:val="28"/>
        </w:rPr>
        <w:t>û</w:t>
      </w:r>
      <w:r w:rsidRPr="00523A9F">
        <w:rPr>
          <w:rFonts w:ascii="Times New Roman" w:hAnsi="Times New Roman"/>
          <w:sz w:val="28"/>
          <w:szCs w:val="28"/>
        </w:rPr>
        <w:t>ts proposés dans le cadre de la mise en œuvre du PGES, ont été estimé</w:t>
      </w:r>
      <w:r w:rsidR="00372B94">
        <w:rPr>
          <w:rFonts w:ascii="Times New Roman" w:hAnsi="Times New Roman"/>
          <w:sz w:val="28"/>
          <w:szCs w:val="28"/>
        </w:rPr>
        <w:t>s</w:t>
      </w:r>
      <w:r w:rsidRPr="00523A9F">
        <w:rPr>
          <w:rFonts w:ascii="Times New Roman" w:hAnsi="Times New Roman"/>
          <w:sz w:val="28"/>
          <w:szCs w:val="28"/>
        </w:rPr>
        <w:t xml:space="preserve"> sur la base de notre propre expérience, des échanges que nous avons eus avec les services techniques lors de la consultation publique, des prix appliqués dans la zone du projet et des réalités socio-économiques rencontrées sur le terrain.  </w:t>
      </w:r>
    </w:p>
    <w:p w:rsidR="002407EF" w:rsidRDefault="002407EF" w:rsidP="002407EF">
      <w:pPr>
        <w:pBdr>
          <w:top w:val="single" w:sz="4" w:space="1" w:color="auto"/>
          <w:left w:val="single" w:sz="4" w:space="4" w:color="auto"/>
          <w:bottom w:val="single" w:sz="4" w:space="1" w:color="auto"/>
          <w:right w:val="single" w:sz="4" w:space="4" w:color="auto"/>
        </w:pBdr>
        <w:jc w:val="both"/>
        <w:rPr>
          <w:rFonts w:ascii="Times New Roman" w:hAnsi="Times New Roman"/>
          <w:sz w:val="28"/>
          <w:szCs w:val="28"/>
        </w:rPr>
      </w:pPr>
      <w:r w:rsidRPr="00523A9F">
        <w:rPr>
          <w:rFonts w:ascii="Times New Roman" w:hAnsi="Times New Roman"/>
          <w:sz w:val="28"/>
          <w:szCs w:val="28"/>
        </w:rPr>
        <w:t>Ces co</w:t>
      </w:r>
      <w:r>
        <w:rPr>
          <w:rFonts w:ascii="Times New Roman" w:hAnsi="Times New Roman"/>
          <w:sz w:val="28"/>
          <w:szCs w:val="28"/>
        </w:rPr>
        <w:t>û</w:t>
      </w:r>
      <w:r w:rsidRPr="00523A9F">
        <w:rPr>
          <w:rFonts w:ascii="Times New Roman" w:hAnsi="Times New Roman"/>
          <w:sz w:val="28"/>
          <w:szCs w:val="28"/>
        </w:rPr>
        <w:t>ts ne sont pas issus d’un calcul à partir de prix unitaires car ils y’a des mesures qui ne sont pas quantifiable</w:t>
      </w:r>
      <w:r>
        <w:rPr>
          <w:rFonts w:ascii="Times New Roman" w:hAnsi="Times New Roman"/>
          <w:sz w:val="28"/>
          <w:szCs w:val="28"/>
        </w:rPr>
        <w:t>s</w:t>
      </w:r>
      <w:r w:rsidRPr="00523A9F">
        <w:rPr>
          <w:rFonts w:ascii="Times New Roman" w:hAnsi="Times New Roman"/>
          <w:sz w:val="28"/>
          <w:szCs w:val="28"/>
        </w:rPr>
        <w:t xml:space="preserve">, elles dépendent uniquement des paramètres socio-économiques de la zone du projet. </w:t>
      </w:r>
    </w:p>
    <w:p w:rsidR="002407EF" w:rsidRPr="00523A9F" w:rsidRDefault="002407EF" w:rsidP="002407EF">
      <w:pPr>
        <w:pBdr>
          <w:top w:val="single" w:sz="4" w:space="1" w:color="auto"/>
          <w:left w:val="single" w:sz="4" w:space="4" w:color="auto"/>
          <w:bottom w:val="single" w:sz="4" w:space="1" w:color="auto"/>
          <w:right w:val="single" w:sz="4" w:space="4" w:color="auto"/>
        </w:pBdr>
        <w:jc w:val="both"/>
        <w:rPr>
          <w:rFonts w:ascii="Times New Roman" w:hAnsi="Times New Roman"/>
          <w:sz w:val="28"/>
          <w:szCs w:val="28"/>
        </w:rPr>
      </w:pPr>
      <w:r w:rsidRPr="00523A9F">
        <w:rPr>
          <w:rFonts w:ascii="Times New Roman" w:hAnsi="Times New Roman"/>
          <w:sz w:val="28"/>
          <w:szCs w:val="28"/>
        </w:rPr>
        <w:t>Il appartient au maitre d’ouvrage de faire une revue de ces co</w:t>
      </w:r>
      <w:r>
        <w:rPr>
          <w:rFonts w:ascii="Times New Roman" w:hAnsi="Times New Roman"/>
          <w:sz w:val="28"/>
          <w:szCs w:val="28"/>
        </w:rPr>
        <w:t>û</w:t>
      </w:r>
      <w:r w:rsidRPr="00523A9F">
        <w:rPr>
          <w:rFonts w:ascii="Times New Roman" w:hAnsi="Times New Roman"/>
          <w:sz w:val="28"/>
          <w:szCs w:val="28"/>
        </w:rPr>
        <w:t>ts pour mieux les adapter au cour</w:t>
      </w:r>
      <w:r>
        <w:rPr>
          <w:rFonts w:ascii="Times New Roman" w:hAnsi="Times New Roman"/>
          <w:sz w:val="28"/>
          <w:szCs w:val="28"/>
        </w:rPr>
        <w:t>s</w:t>
      </w:r>
      <w:r w:rsidRPr="00523A9F">
        <w:rPr>
          <w:rFonts w:ascii="Times New Roman" w:hAnsi="Times New Roman"/>
          <w:sz w:val="28"/>
          <w:szCs w:val="28"/>
        </w:rPr>
        <w:t xml:space="preserve"> des travaux.</w:t>
      </w:r>
    </w:p>
    <w:p w:rsidR="002407EF" w:rsidRPr="00BC1D20" w:rsidRDefault="002407EF" w:rsidP="00BC1D20">
      <w:pPr>
        <w:pBdr>
          <w:top w:val="single" w:sz="4" w:space="1" w:color="auto"/>
          <w:left w:val="single" w:sz="4" w:space="4" w:color="auto"/>
          <w:bottom w:val="single" w:sz="4" w:space="1" w:color="auto"/>
          <w:right w:val="single" w:sz="4" w:space="4" w:color="auto"/>
        </w:pBdr>
        <w:shd w:val="clear" w:color="auto" w:fill="FFFFFF" w:themeFill="background1"/>
        <w:autoSpaceDE w:val="0"/>
        <w:autoSpaceDN w:val="0"/>
        <w:adjustRightInd w:val="0"/>
        <w:spacing w:after="0" w:line="276" w:lineRule="auto"/>
        <w:jc w:val="center"/>
        <w:rPr>
          <w:rFonts w:ascii="Times New Roman" w:hAnsi="Times New Roman"/>
          <w:color w:val="FF0000"/>
          <w:sz w:val="48"/>
          <w:szCs w:val="48"/>
        </w:rPr>
        <w:sectPr w:rsidR="002407EF" w:rsidRPr="00BC1D20" w:rsidSect="00764FFF">
          <w:pgSz w:w="16838" w:h="11906" w:orient="landscape"/>
          <w:pgMar w:top="1418" w:right="1418" w:bottom="1418" w:left="1418" w:header="709" w:footer="709" w:gutter="0"/>
          <w:cols w:space="708"/>
          <w:docGrid w:linePitch="360"/>
        </w:sectPr>
      </w:pPr>
    </w:p>
    <w:p w:rsidR="00764FFF" w:rsidRPr="0034305A" w:rsidRDefault="00764FFF" w:rsidP="00303D2B">
      <w:pPr>
        <w:pStyle w:val="Listecouleur-Accent11"/>
        <w:keepNext/>
        <w:spacing w:before="240" w:after="240"/>
        <w:ind w:left="450" w:hanging="450"/>
        <w:jc w:val="center"/>
        <w:outlineLvl w:val="1"/>
        <w:rPr>
          <w:rFonts w:ascii="Times New Roman" w:hAnsi="Times New Roman"/>
          <w:b/>
          <w:sz w:val="24"/>
          <w:szCs w:val="24"/>
          <w:u w:val="single"/>
          <w:lang w:val="fr-FR" w:eastAsia="fr-FR"/>
        </w:rPr>
      </w:pPr>
      <w:bookmarkStart w:id="581" w:name="_Toc515981158"/>
      <w:bookmarkStart w:id="582" w:name="_Toc531089404"/>
      <w:bookmarkStart w:id="583" w:name="_Toc535408368"/>
      <w:bookmarkStart w:id="584" w:name="_Toc11158385"/>
      <w:bookmarkStart w:id="585" w:name="_Toc51072599"/>
      <w:r>
        <w:rPr>
          <w:rFonts w:ascii="Times New Roman" w:hAnsi="Times New Roman"/>
          <w:b/>
          <w:sz w:val="24"/>
          <w:szCs w:val="24"/>
          <w:u w:val="single"/>
          <w:lang w:val="fr-FR" w:eastAsia="fr-FR"/>
        </w:rPr>
        <w:lastRenderedPageBreak/>
        <w:t>8</w:t>
      </w:r>
      <w:r w:rsidRPr="0034305A">
        <w:rPr>
          <w:rFonts w:ascii="Times New Roman" w:hAnsi="Times New Roman"/>
          <w:b/>
          <w:sz w:val="24"/>
          <w:szCs w:val="24"/>
          <w:u w:val="single"/>
          <w:lang w:val="fr-FR" w:eastAsia="fr-FR"/>
        </w:rPr>
        <w:t>.2. ROLES ET RESPONSABILITES INSTITUTIONNELLES DANS LA MISE EN ŒUVRE DU PGES ET LA GESTION DU PROJET</w:t>
      </w:r>
      <w:bookmarkEnd w:id="581"/>
      <w:bookmarkEnd w:id="582"/>
      <w:bookmarkEnd w:id="583"/>
      <w:bookmarkEnd w:id="584"/>
      <w:bookmarkEnd w:id="585"/>
    </w:p>
    <w:p w:rsidR="00764FFF" w:rsidRPr="00D335A7" w:rsidRDefault="00303D2B" w:rsidP="00303D2B">
      <w:pPr>
        <w:overflowPunct w:val="0"/>
        <w:autoSpaceDE w:val="0"/>
        <w:autoSpaceDN w:val="0"/>
        <w:adjustRightInd w:val="0"/>
        <w:spacing w:after="0" w:line="240" w:lineRule="auto"/>
        <w:ind w:right="-711"/>
        <w:rPr>
          <w:rFonts w:ascii="Times New Roman" w:eastAsia="Times New Roman" w:hAnsi="Times New Roman"/>
          <w:b/>
          <w:bCs/>
          <w:sz w:val="20"/>
          <w:szCs w:val="20"/>
          <w:lang w:eastAsia="fr-FR"/>
        </w:rPr>
      </w:pPr>
      <w:bookmarkStart w:id="586" w:name="_Toc515975857"/>
      <w:bookmarkStart w:id="587" w:name="_Toc531089449"/>
      <w:bookmarkStart w:id="588" w:name="_Toc535408493"/>
      <w:bookmarkStart w:id="589" w:name="_Toc11158775"/>
      <w:r>
        <w:rPr>
          <w:rFonts w:ascii="Times New Roman" w:eastAsia="Times New Roman" w:hAnsi="Times New Roman"/>
          <w:b/>
          <w:bCs/>
          <w:sz w:val="20"/>
          <w:szCs w:val="20"/>
          <w:lang w:eastAsia="fr-FR"/>
        </w:rPr>
        <w:t xml:space="preserve">                                    </w:t>
      </w:r>
      <w:bookmarkStart w:id="590" w:name="_Toc51074024"/>
      <w:r w:rsidR="00764FFF" w:rsidRPr="00D335A7">
        <w:rPr>
          <w:rFonts w:ascii="Times New Roman" w:eastAsia="Times New Roman" w:hAnsi="Times New Roman"/>
          <w:b/>
          <w:bCs/>
          <w:sz w:val="20"/>
          <w:szCs w:val="20"/>
          <w:lang w:eastAsia="fr-FR"/>
        </w:rPr>
        <w:t xml:space="preserve">Tableau </w:t>
      </w:r>
      <w:r w:rsidR="00764FFF" w:rsidRPr="00D335A7">
        <w:rPr>
          <w:rFonts w:ascii="Times New Roman" w:eastAsia="Times New Roman" w:hAnsi="Times New Roman"/>
          <w:b/>
          <w:bCs/>
          <w:sz w:val="20"/>
          <w:szCs w:val="20"/>
          <w:lang w:eastAsia="fr-FR"/>
        </w:rPr>
        <w:fldChar w:fldCharType="begin"/>
      </w:r>
      <w:r w:rsidR="00764FFF" w:rsidRPr="00D335A7">
        <w:rPr>
          <w:rFonts w:ascii="Times New Roman" w:eastAsia="Times New Roman" w:hAnsi="Times New Roman"/>
          <w:b/>
          <w:bCs/>
          <w:sz w:val="20"/>
          <w:szCs w:val="20"/>
          <w:lang w:eastAsia="fr-FR"/>
        </w:rPr>
        <w:instrText xml:space="preserve"> </w:instrText>
      </w:r>
      <w:r w:rsidR="00764FFF">
        <w:rPr>
          <w:rFonts w:ascii="Times New Roman" w:eastAsia="Times New Roman" w:hAnsi="Times New Roman"/>
          <w:b/>
          <w:bCs/>
          <w:sz w:val="20"/>
          <w:szCs w:val="20"/>
          <w:lang w:eastAsia="fr-FR"/>
        </w:rPr>
        <w:instrText>SEQ</w:instrText>
      </w:r>
      <w:r w:rsidR="00764FFF" w:rsidRPr="00D335A7">
        <w:rPr>
          <w:rFonts w:ascii="Times New Roman" w:eastAsia="Times New Roman" w:hAnsi="Times New Roman"/>
          <w:b/>
          <w:bCs/>
          <w:sz w:val="20"/>
          <w:szCs w:val="20"/>
          <w:lang w:eastAsia="fr-FR"/>
        </w:rPr>
        <w:instrText xml:space="preserve"> Tableau \* ARABIC </w:instrText>
      </w:r>
      <w:r w:rsidR="00764FFF" w:rsidRPr="00D335A7">
        <w:rPr>
          <w:rFonts w:ascii="Times New Roman" w:eastAsia="Times New Roman" w:hAnsi="Times New Roman"/>
          <w:b/>
          <w:bCs/>
          <w:sz w:val="20"/>
          <w:szCs w:val="20"/>
          <w:lang w:eastAsia="fr-FR"/>
        </w:rPr>
        <w:fldChar w:fldCharType="separate"/>
      </w:r>
      <w:r w:rsidR="002C6E60">
        <w:rPr>
          <w:rFonts w:ascii="Times New Roman" w:eastAsia="Times New Roman" w:hAnsi="Times New Roman"/>
          <w:b/>
          <w:bCs/>
          <w:noProof/>
          <w:sz w:val="20"/>
          <w:szCs w:val="20"/>
          <w:lang w:eastAsia="fr-FR"/>
        </w:rPr>
        <w:t>33</w:t>
      </w:r>
      <w:r w:rsidR="00764FFF" w:rsidRPr="00D335A7">
        <w:rPr>
          <w:rFonts w:ascii="Times New Roman" w:eastAsia="Times New Roman" w:hAnsi="Times New Roman"/>
          <w:b/>
          <w:bCs/>
          <w:sz w:val="20"/>
          <w:szCs w:val="20"/>
          <w:lang w:eastAsia="fr-FR"/>
        </w:rPr>
        <w:fldChar w:fldCharType="end"/>
      </w:r>
      <w:r w:rsidR="00764FFF" w:rsidRPr="00D335A7">
        <w:rPr>
          <w:rFonts w:ascii="Times New Roman" w:eastAsia="Times New Roman" w:hAnsi="Times New Roman"/>
          <w:b/>
          <w:bCs/>
          <w:sz w:val="20"/>
          <w:szCs w:val="20"/>
          <w:lang w:eastAsia="fr-FR"/>
        </w:rPr>
        <w:t>: Rôles et responsabilités institutionnelles</w:t>
      </w:r>
      <w:bookmarkEnd w:id="586"/>
      <w:bookmarkEnd w:id="587"/>
      <w:bookmarkEnd w:id="588"/>
      <w:bookmarkEnd w:id="589"/>
      <w:bookmarkEnd w:id="590"/>
    </w:p>
    <w:tbl>
      <w:tblPr>
        <w:tblStyle w:val="TabeladeGrelha5Escura-Destaque6"/>
        <w:tblW w:w="10779" w:type="dxa"/>
        <w:tblInd w:w="-714" w:type="dxa"/>
        <w:tblLook w:val="04A0" w:firstRow="1" w:lastRow="0" w:firstColumn="1" w:lastColumn="0" w:noHBand="0" w:noVBand="1"/>
      </w:tblPr>
      <w:tblGrid>
        <w:gridCol w:w="451"/>
        <w:gridCol w:w="1292"/>
        <w:gridCol w:w="9036"/>
      </w:tblGrid>
      <w:tr w:rsidR="00764FFF" w:rsidRPr="00AA45E9" w:rsidTr="00303D2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1" w:type="dxa"/>
            <w:hideMark/>
          </w:tcPr>
          <w:p w:rsidR="00764FFF" w:rsidRPr="00AA45E9" w:rsidRDefault="00764FFF" w:rsidP="00764FFF">
            <w:pPr>
              <w:spacing w:line="276" w:lineRule="auto"/>
              <w:jc w:val="center"/>
              <w:rPr>
                <w:rFonts w:ascii="Times New Roman" w:hAnsi="Times New Roman"/>
                <w:b w:val="0"/>
                <w:bCs w:val="0"/>
                <w:i/>
                <w:iCs/>
              </w:rPr>
            </w:pPr>
            <w:r w:rsidRPr="00AA45E9">
              <w:rPr>
                <w:rFonts w:ascii="Times New Roman" w:hAnsi="Times New Roman"/>
                <w:b w:val="0"/>
                <w:bCs w:val="0"/>
                <w:i/>
                <w:iCs/>
              </w:rPr>
              <w:t>N°</w:t>
            </w:r>
          </w:p>
        </w:tc>
        <w:tc>
          <w:tcPr>
            <w:tcW w:w="825" w:type="dxa"/>
            <w:hideMark/>
          </w:tcPr>
          <w:p w:rsidR="00764FFF" w:rsidRPr="00AA45E9" w:rsidRDefault="00764FFF" w:rsidP="00764FFF">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rPr>
            </w:pPr>
            <w:r w:rsidRPr="00AA45E9">
              <w:rPr>
                <w:rFonts w:ascii="Times New Roman" w:hAnsi="Times New Roman"/>
                <w:b w:val="0"/>
                <w:bCs w:val="0"/>
              </w:rPr>
              <w:t>Structures</w:t>
            </w:r>
          </w:p>
        </w:tc>
        <w:tc>
          <w:tcPr>
            <w:tcW w:w="9503" w:type="dxa"/>
            <w:tcBorders>
              <w:bottom w:val="single" w:sz="4" w:space="0" w:color="FFFFFF" w:themeColor="background1"/>
            </w:tcBorders>
            <w:hideMark/>
          </w:tcPr>
          <w:p w:rsidR="00764FFF" w:rsidRPr="00AA45E9" w:rsidRDefault="00764FFF" w:rsidP="00764FFF">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rPr>
            </w:pPr>
            <w:r w:rsidRPr="00AA45E9">
              <w:rPr>
                <w:rFonts w:ascii="Times New Roman" w:hAnsi="Times New Roman"/>
                <w:b w:val="0"/>
                <w:bCs w:val="0"/>
              </w:rPr>
              <w:t>Rôles et Responsabilités</w:t>
            </w:r>
          </w:p>
        </w:tc>
      </w:tr>
      <w:tr w:rsidR="00764FFF" w:rsidRPr="00AA45E9" w:rsidTr="00A37FF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1" w:type="dxa"/>
            <w:hideMark/>
          </w:tcPr>
          <w:p w:rsidR="00764FFF" w:rsidRPr="00AA45E9" w:rsidRDefault="00764FFF" w:rsidP="00764FFF">
            <w:pPr>
              <w:spacing w:line="276" w:lineRule="auto"/>
              <w:jc w:val="center"/>
              <w:rPr>
                <w:rFonts w:ascii="Times New Roman" w:hAnsi="Times New Roman"/>
                <w:b w:val="0"/>
                <w:i/>
                <w:iCs/>
              </w:rPr>
            </w:pPr>
            <w:r w:rsidRPr="00AA45E9">
              <w:rPr>
                <w:rFonts w:ascii="Times New Roman" w:hAnsi="Times New Roman"/>
                <w:b w:val="0"/>
                <w:i/>
                <w:iCs/>
              </w:rPr>
              <w:t>01</w:t>
            </w:r>
          </w:p>
        </w:tc>
        <w:tc>
          <w:tcPr>
            <w:tcW w:w="825" w:type="dxa"/>
            <w:hideMark/>
          </w:tcPr>
          <w:p w:rsidR="00764FFF" w:rsidRPr="00AA45E9" w:rsidRDefault="00764FFF" w:rsidP="00764FFF">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rPr>
            </w:pPr>
            <w:r w:rsidRPr="00AA45E9">
              <w:rPr>
                <w:rFonts w:ascii="Times New Roman" w:hAnsi="Times New Roman"/>
                <w:b/>
              </w:rPr>
              <w:t>Comité de gestion</w:t>
            </w:r>
          </w:p>
        </w:tc>
        <w:tc>
          <w:tcPr>
            <w:tcW w:w="9503" w:type="dxa"/>
            <w:tcBorders>
              <w:bottom w:val="single" w:sz="4" w:space="0" w:color="auto"/>
            </w:tcBorders>
            <w:shd w:val="clear" w:color="auto" w:fill="FFFFFF" w:themeFill="background1"/>
            <w:hideMark/>
          </w:tcPr>
          <w:p w:rsidR="00764FFF" w:rsidRPr="00303D2B" w:rsidRDefault="00764FFF" w:rsidP="00303D2B">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u w:val="single"/>
              </w:rPr>
            </w:pPr>
            <w:r w:rsidRPr="00303D2B">
              <w:rPr>
                <w:rFonts w:ascii="Times New Roman" w:hAnsi="Times New Roman"/>
                <w:b/>
                <w:sz w:val="24"/>
                <w:szCs w:val="24"/>
                <w:u w:val="single"/>
              </w:rPr>
              <w:t>Phase préparatoire et construction</w:t>
            </w:r>
          </w:p>
          <w:p w:rsidR="00764FFF" w:rsidRPr="00AA45E9" w:rsidRDefault="00764FFF" w:rsidP="00303D2B">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AA45E9">
              <w:rPr>
                <w:rFonts w:ascii="Times New Roman" w:hAnsi="Times New Roman"/>
              </w:rPr>
              <w:t xml:space="preserve">Un comité de gestion sera mis en place pour assurer la coordination et la cohérence d’ensemble du projet </w:t>
            </w:r>
            <w:r w:rsidR="00303D2B">
              <w:rPr>
                <w:rFonts w:ascii="Times New Roman" w:hAnsi="Times New Roman"/>
              </w:rPr>
              <w:t>PUASEE-FA</w:t>
            </w:r>
            <w:r w:rsidRPr="00AA45E9">
              <w:rPr>
                <w:rFonts w:ascii="Times New Roman" w:hAnsi="Times New Roman"/>
              </w:rPr>
              <w:t xml:space="preserve"> et centraliser les flux d’information. Ce comité regroupera l’ensemble des bénéficiaires autour du conseil municipal et établira un partenariat avec les différents intervenants (Administration décentralisée, groupement d’intérêt commun, d’associations et d’organisations structurées et autres personnes ressources) permettant des rapports faciles et clairs et une aptitude de souplesse. Le comité de gestion sera cependant placé sous la tutelle des autorités locales représentée. Les activités de mise en valeur seront sous la responsabilité d’un partenaire de mise en œuvre en étroite concertation avec les bénéficiaires.</w:t>
            </w:r>
          </w:p>
          <w:p w:rsidR="00764FFF" w:rsidRPr="00303D2B" w:rsidRDefault="00764FFF" w:rsidP="00303D2B">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u w:val="single"/>
              </w:rPr>
            </w:pPr>
            <w:r w:rsidRPr="00303D2B">
              <w:rPr>
                <w:rFonts w:ascii="Times New Roman" w:hAnsi="Times New Roman"/>
                <w:b/>
                <w:sz w:val="24"/>
                <w:szCs w:val="24"/>
                <w:u w:val="single"/>
              </w:rPr>
              <w:t>Phase exploitation</w:t>
            </w:r>
          </w:p>
          <w:p w:rsidR="00764FFF" w:rsidRPr="00AA45E9" w:rsidRDefault="00764FFF" w:rsidP="00764FFF">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AA45E9">
              <w:rPr>
                <w:rFonts w:ascii="Times New Roman" w:hAnsi="Times New Roman"/>
              </w:rPr>
              <w:t xml:space="preserve">Après le posage du câble au niveau sous-marine et terrestre mais aussi la construction des infrastructures (chambre et station), un contrat de gérance sera établi entre les mairies et les Comités de Gestion et qui définit les responsabilités des deux partenaires. Ainsi, ces comités seront responsables pour le fonctionnement de station d’atterrissage et les activités de maintenance de réparations du réseau. </w:t>
            </w:r>
          </w:p>
        </w:tc>
      </w:tr>
      <w:tr w:rsidR="00764FFF" w:rsidRPr="00AA45E9" w:rsidTr="00A37FF7">
        <w:tc>
          <w:tcPr>
            <w:cnfStyle w:val="001000000000" w:firstRow="0" w:lastRow="0" w:firstColumn="1" w:lastColumn="0" w:oddVBand="0" w:evenVBand="0" w:oddHBand="0" w:evenHBand="0" w:firstRowFirstColumn="0" w:firstRowLastColumn="0" w:lastRowFirstColumn="0" w:lastRowLastColumn="0"/>
            <w:tcW w:w="451" w:type="dxa"/>
            <w:hideMark/>
          </w:tcPr>
          <w:p w:rsidR="00764FFF" w:rsidRPr="00AA45E9" w:rsidRDefault="00764FFF" w:rsidP="00764FFF">
            <w:pPr>
              <w:spacing w:line="276" w:lineRule="auto"/>
              <w:jc w:val="center"/>
              <w:rPr>
                <w:rFonts w:ascii="Times New Roman" w:hAnsi="Times New Roman"/>
                <w:b w:val="0"/>
                <w:i/>
                <w:iCs/>
              </w:rPr>
            </w:pPr>
            <w:r w:rsidRPr="00AA45E9">
              <w:rPr>
                <w:rFonts w:ascii="Times New Roman" w:hAnsi="Times New Roman"/>
                <w:b w:val="0"/>
                <w:i/>
                <w:iCs/>
              </w:rPr>
              <w:t>02</w:t>
            </w:r>
          </w:p>
        </w:tc>
        <w:tc>
          <w:tcPr>
            <w:tcW w:w="825" w:type="dxa"/>
            <w:hideMark/>
          </w:tcPr>
          <w:p w:rsidR="00372B94" w:rsidRDefault="00372B94" w:rsidP="00764FFF">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rPr>
            </w:pPr>
          </w:p>
          <w:p w:rsidR="00372B94" w:rsidRDefault="00372B94" w:rsidP="00764FFF">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rPr>
            </w:pPr>
          </w:p>
          <w:p w:rsidR="00372B94" w:rsidRDefault="00372B94" w:rsidP="00764FFF">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rPr>
            </w:pPr>
          </w:p>
          <w:p w:rsidR="00372B94" w:rsidRDefault="00372B94" w:rsidP="00764FFF">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rPr>
            </w:pPr>
          </w:p>
          <w:p w:rsidR="00372B94" w:rsidRDefault="00372B94" w:rsidP="00764FFF">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rPr>
            </w:pPr>
          </w:p>
          <w:p w:rsidR="00372B94" w:rsidRDefault="00372B94" w:rsidP="00764FFF">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rPr>
            </w:pPr>
          </w:p>
          <w:p w:rsidR="00372B94" w:rsidRDefault="00372B94" w:rsidP="00764FFF">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rPr>
            </w:pPr>
          </w:p>
          <w:p w:rsidR="00372B94" w:rsidRDefault="00372B94" w:rsidP="00764FFF">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rPr>
            </w:pPr>
          </w:p>
          <w:p w:rsidR="00372B94" w:rsidRDefault="00372B94" w:rsidP="00764FFF">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rPr>
            </w:pPr>
          </w:p>
          <w:p w:rsidR="00764FFF" w:rsidRPr="00AA45E9" w:rsidRDefault="00303D2B" w:rsidP="00764FFF">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rPr>
            </w:pPr>
            <w:r>
              <w:rPr>
                <w:rFonts w:ascii="Times New Roman" w:hAnsi="Times New Roman"/>
                <w:b/>
              </w:rPr>
              <w:t>PUASEE-FA</w:t>
            </w:r>
          </w:p>
        </w:tc>
        <w:tc>
          <w:tcPr>
            <w:tcW w:w="9503" w:type="dxa"/>
            <w:tcBorders>
              <w:top w:val="single" w:sz="4" w:space="0" w:color="auto"/>
              <w:bottom w:val="single" w:sz="4" w:space="0" w:color="auto"/>
            </w:tcBorders>
            <w:shd w:val="clear" w:color="auto" w:fill="FFFFFF" w:themeFill="background1"/>
            <w:hideMark/>
          </w:tcPr>
          <w:p w:rsidR="00764FFF" w:rsidRPr="00303D2B" w:rsidRDefault="00764FFF" w:rsidP="00303D2B">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sz w:val="24"/>
                <w:szCs w:val="24"/>
                <w:u w:val="single"/>
              </w:rPr>
            </w:pPr>
            <w:r w:rsidRPr="00303D2B">
              <w:rPr>
                <w:rFonts w:ascii="Times New Roman" w:hAnsi="Times New Roman"/>
                <w:b/>
                <w:sz w:val="24"/>
                <w:szCs w:val="24"/>
                <w:u w:val="single"/>
              </w:rPr>
              <w:t>En Phase conception</w:t>
            </w:r>
          </w:p>
          <w:p w:rsidR="00764FFF" w:rsidRPr="00AA45E9" w:rsidRDefault="00764FFF" w:rsidP="00764FFF">
            <w:pPr>
              <w:autoSpaceDE w:val="0"/>
              <w:autoSpaceDN w:val="0"/>
              <w:adjustRightInd w:val="0"/>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AA45E9">
              <w:rPr>
                <w:rFonts w:ascii="Times New Roman" w:hAnsi="Times New Roman"/>
              </w:rPr>
              <w:t>L’Unité d</w:t>
            </w:r>
            <w:r w:rsidR="00303D2B">
              <w:rPr>
                <w:rFonts w:ascii="Times New Roman" w:hAnsi="Times New Roman"/>
              </w:rPr>
              <w:t>’implantation du projet (UIP) PUASEE-FA</w:t>
            </w:r>
            <w:r w:rsidRPr="00AA45E9">
              <w:rPr>
                <w:rFonts w:ascii="Times New Roman" w:hAnsi="Times New Roman"/>
              </w:rPr>
              <w:t xml:space="preserve"> est chargée de recruter le Maitre d’œuvre, l’entreprise, les spécialistes pour la bonne mise en œuvre du </w:t>
            </w:r>
            <w:r w:rsidR="00A37FF7">
              <w:rPr>
                <w:rFonts w:ascii="Times New Roman" w:hAnsi="Times New Roman"/>
              </w:rPr>
              <w:t>sous-</w:t>
            </w:r>
            <w:r w:rsidRPr="00AA45E9">
              <w:rPr>
                <w:rFonts w:ascii="Times New Roman" w:hAnsi="Times New Roman"/>
              </w:rPr>
              <w:t>projet</w:t>
            </w:r>
            <w:r w:rsidR="00A37FF7">
              <w:rPr>
                <w:rFonts w:ascii="Times New Roman" w:hAnsi="Times New Roman"/>
              </w:rPr>
              <w:t xml:space="preserve"> n°1 </w:t>
            </w:r>
            <w:r w:rsidRPr="00AA45E9">
              <w:rPr>
                <w:rFonts w:ascii="Times New Roman" w:hAnsi="Times New Roman"/>
              </w:rPr>
              <w:t>et du PGES.</w:t>
            </w:r>
          </w:p>
          <w:p w:rsidR="00764FFF" w:rsidRPr="00AA45E9" w:rsidRDefault="00764FFF" w:rsidP="00764FFF">
            <w:pPr>
              <w:autoSpaceDE w:val="0"/>
              <w:autoSpaceDN w:val="0"/>
              <w:adjustRightInd w:val="0"/>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AA45E9">
              <w:rPr>
                <w:rFonts w:ascii="Times New Roman" w:hAnsi="Times New Roman"/>
              </w:rPr>
              <w:t>Elle assure le suivi et l’évaluation de la mise en œuvre du PGES. Elle vérifie et valide tous les documents produits par les bureaux et consultants. Elle veille à ce que les clauses environnementales et sociales de santé, de sécurité et d’hygiène soient incluses dans les DAO et cahiers de charges des entreprises.</w:t>
            </w:r>
          </w:p>
          <w:p w:rsidR="00764FFF" w:rsidRPr="00AA45E9" w:rsidRDefault="00764FFF" w:rsidP="00764FFF">
            <w:pPr>
              <w:autoSpaceDE w:val="0"/>
              <w:autoSpaceDN w:val="0"/>
              <w:adjustRightInd w:val="0"/>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AA45E9">
              <w:rPr>
                <w:rFonts w:ascii="Times New Roman" w:hAnsi="Times New Roman"/>
              </w:rPr>
              <w:t>Elle doit mettre en place tous les arrangements institutionnels et structurels de l’ensemble des intervenants.</w:t>
            </w:r>
          </w:p>
          <w:p w:rsidR="00764FFF" w:rsidRPr="00AA45E9" w:rsidRDefault="00764FFF" w:rsidP="00764FFF">
            <w:pPr>
              <w:autoSpaceDE w:val="0"/>
              <w:autoSpaceDN w:val="0"/>
              <w:adjustRightInd w:val="0"/>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AA45E9">
              <w:rPr>
                <w:rFonts w:ascii="Times New Roman" w:hAnsi="Times New Roman"/>
              </w:rPr>
              <w:t xml:space="preserve">L’obtention de toutes les autorisations nécessaires au démarrage des travaux et surtout l’obtention du certificat de conformité environnementale auprès de AAAC </w:t>
            </w:r>
            <w:r w:rsidR="00A37FF7">
              <w:rPr>
                <w:rFonts w:ascii="Times New Roman" w:hAnsi="Times New Roman"/>
              </w:rPr>
              <w:t>est de la responsabilité de l’UI</w:t>
            </w:r>
            <w:r w:rsidRPr="00AA45E9">
              <w:rPr>
                <w:rFonts w:ascii="Times New Roman" w:hAnsi="Times New Roman"/>
              </w:rPr>
              <w:t xml:space="preserve">P de </w:t>
            </w:r>
            <w:r w:rsidR="00A37FF7">
              <w:rPr>
                <w:rFonts w:ascii="Times New Roman" w:hAnsi="Times New Roman"/>
              </w:rPr>
              <w:t>PUASEE-FA</w:t>
            </w:r>
            <w:r w:rsidRPr="00AA45E9">
              <w:rPr>
                <w:rFonts w:ascii="Times New Roman" w:hAnsi="Times New Roman"/>
              </w:rPr>
              <w:t>.</w:t>
            </w:r>
          </w:p>
          <w:p w:rsidR="00764FFF" w:rsidRPr="00A37FF7" w:rsidRDefault="00764FFF" w:rsidP="00A37FF7">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sz w:val="24"/>
                <w:szCs w:val="24"/>
                <w:u w:val="single"/>
              </w:rPr>
            </w:pPr>
            <w:r w:rsidRPr="00A37FF7">
              <w:rPr>
                <w:rFonts w:ascii="Times New Roman" w:hAnsi="Times New Roman"/>
                <w:b/>
                <w:sz w:val="24"/>
                <w:szCs w:val="24"/>
                <w:u w:val="single"/>
              </w:rPr>
              <w:t>En phase travaux</w:t>
            </w:r>
          </w:p>
          <w:p w:rsidR="00764FFF" w:rsidRPr="00AA45E9" w:rsidRDefault="00764FFF" w:rsidP="00764FFF">
            <w:pPr>
              <w:autoSpaceDE w:val="0"/>
              <w:autoSpaceDN w:val="0"/>
              <w:adjustRightInd w:val="0"/>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AA45E9">
              <w:rPr>
                <w:rFonts w:ascii="Times New Roman" w:hAnsi="Times New Roman"/>
              </w:rPr>
              <w:t>Lors des travaux, l’U</w:t>
            </w:r>
            <w:r w:rsidR="00A37FF7">
              <w:rPr>
                <w:rFonts w:ascii="Times New Roman" w:hAnsi="Times New Roman"/>
              </w:rPr>
              <w:t xml:space="preserve">IP de </w:t>
            </w:r>
            <w:r w:rsidRPr="00AA45E9">
              <w:rPr>
                <w:rFonts w:ascii="Times New Roman" w:hAnsi="Times New Roman"/>
              </w:rPr>
              <w:t>P</w:t>
            </w:r>
            <w:r w:rsidR="00A37FF7">
              <w:rPr>
                <w:rFonts w:ascii="Times New Roman" w:hAnsi="Times New Roman"/>
              </w:rPr>
              <w:t>UASEE-FA</w:t>
            </w:r>
            <w:r w:rsidRPr="00AA45E9">
              <w:rPr>
                <w:rFonts w:ascii="Times New Roman" w:hAnsi="Times New Roman"/>
              </w:rPr>
              <w:t xml:space="preserve"> devra procéder à l’analyse des rapports soumis par l’Ingénieur et à l’entrepreneur.</w:t>
            </w:r>
          </w:p>
          <w:p w:rsidR="00764FFF" w:rsidRPr="00AA45E9" w:rsidRDefault="00764FFF" w:rsidP="00764FFF">
            <w:pPr>
              <w:autoSpaceDE w:val="0"/>
              <w:autoSpaceDN w:val="0"/>
              <w:adjustRightInd w:val="0"/>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AA45E9">
              <w:rPr>
                <w:rFonts w:ascii="Times New Roman" w:hAnsi="Times New Roman"/>
              </w:rPr>
              <w:t>Elle effectuera des inspections sur la base des rapports reçus ou de toute autre source d’information suffisamment objective ou de façon inopinée.</w:t>
            </w:r>
          </w:p>
          <w:p w:rsidR="00764FFF" w:rsidRPr="00AA45E9" w:rsidRDefault="00764FFF" w:rsidP="00764FFF">
            <w:pPr>
              <w:autoSpaceDE w:val="0"/>
              <w:autoSpaceDN w:val="0"/>
              <w:adjustRightInd w:val="0"/>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AA45E9">
              <w:rPr>
                <w:rFonts w:ascii="Times New Roman" w:hAnsi="Times New Roman"/>
              </w:rPr>
              <w:t xml:space="preserve">Il est de la responsabilité de </w:t>
            </w:r>
            <w:r w:rsidR="00A37FF7" w:rsidRPr="00AA45E9">
              <w:rPr>
                <w:rFonts w:ascii="Times New Roman" w:hAnsi="Times New Roman"/>
              </w:rPr>
              <w:t>l’U</w:t>
            </w:r>
            <w:r w:rsidR="00A37FF7">
              <w:rPr>
                <w:rFonts w:ascii="Times New Roman" w:hAnsi="Times New Roman"/>
              </w:rPr>
              <w:t xml:space="preserve">IP de </w:t>
            </w:r>
            <w:r w:rsidR="00A37FF7" w:rsidRPr="00AA45E9">
              <w:rPr>
                <w:rFonts w:ascii="Times New Roman" w:hAnsi="Times New Roman"/>
              </w:rPr>
              <w:t>P</w:t>
            </w:r>
            <w:r w:rsidR="00A37FF7">
              <w:rPr>
                <w:rFonts w:ascii="Times New Roman" w:hAnsi="Times New Roman"/>
              </w:rPr>
              <w:t>UASEE-FA</w:t>
            </w:r>
            <w:r w:rsidR="00A37FF7" w:rsidRPr="00AA45E9">
              <w:rPr>
                <w:rFonts w:ascii="Times New Roman" w:hAnsi="Times New Roman"/>
              </w:rPr>
              <w:t xml:space="preserve"> </w:t>
            </w:r>
            <w:r w:rsidRPr="00AA45E9">
              <w:rPr>
                <w:rFonts w:ascii="Times New Roman" w:hAnsi="Times New Roman"/>
              </w:rPr>
              <w:t>d’élaborer des outils de suivi de la gestion environnementale et sociale lors des travaux afin de disposer d’un moyen d’information fiable.</w:t>
            </w:r>
          </w:p>
          <w:p w:rsidR="00764FFF" w:rsidRPr="00A37FF7" w:rsidRDefault="00764FFF" w:rsidP="00A37FF7">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A37FF7">
              <w:rPr>
                <w:rFonts w:ascii="Times New Roman" w:hAnsi="Times New Roman"/>
                <w:b/>
                <w:sz w:val="24"/>
                <w:szCs w:val="24"/>
                <w:u w:val="single"/>
              </w:rPr>
              <w:t>En phase d’exploitation</w:t>
            </w:r>
          </w:p>
          <w:p w:rsidR="00764FFF" w:rsidRPr="00AA45E9" w:rsidRDefault="0084695F" w:rsidP="00764FFF">
            <w:pPr>
              <w:autoSpaceDE w:val="0"/>
              <w:autoSpaceDN w:val="0"/>
              <w:adjustRightInd w:val="0"/>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AA45E9">
              <w:rPr>
                <w:rFonts w:ascii="Times New Roman" w:hAnsi="Times New Roman"/>
              </w:rPr>
              <w:t>L’UIP</w:t>
            </w:r>
            <w:r w:rsidR="00A37FF7">
              <w:rPr>
                <w:rFonts w:ascii="Times New Roman" w:hAnsi="Times New Roman"/>
              </w:rPr>
              <w:t xml:space="preserve"> de </w:t>
            </w:r>
            <w:r w:rsidR="00A37FF7" w:rsidRPr="00AA45E9">
              <w:rPr>
                <w:rFonts w:ascii="Times New Roman" w:hAnsi="Times New Roman"/>
              </w:rPr>
              <w:t>P</w:t>
            </w:r>
            <w:r w:rsidR="00A37FF7">
              <w:rPr>
                <w:rFonts w:ascii="Times New Roman" w:hAnsi="Times New Roman"/>
              </w:rPr>
              <w:t>UASEE-FA</w:t>
            </w:r>
            <w:r w:rsidR="00A37FF7" w:rsidRPr="00AA45E9">
              <w:rPr>
                <w:rFonts w:ascii="Times New Roman" w:hAnsi="Times New Roman"/>
              </w:rPr>
              <w:t xml:space="preserve"> </w:t>
            </w:r>
            <w:r w:rsidR="00764FFF" w:rsidRPr="00AA45E9">
              <w:rPr>
                <w:rFonts w:ascii="Times New Roman" w:hAnsi="Times New Roman"/>
              </w:rPr>
              <w:t xml:space="preserve">devra vulgariser et susciter le bon comportement et le réflexe de protection environnementale et de gestion durable. </w:t>
            </w:r>
          </w:p>
          <w:p w:rsidR="00764FFF" w:rsidRPr="00AA45E9" w:rsidRDefault="00764FFF" w:rsidP="00764FFF">
            <w:pPr>
              <w:autoSpaceDE w:val="0"/>
              <w:autoSpaceDN w:val="0"/>
              <w:adjustRightInd w:val="0"/>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AA45E9">
              <w:rPr>
                <w:rFonts w:ascii="Times New Roman" w:hAnsi="Times New Roman"/>
              </w:rPr>
              <w:t xml:space="preserve">Une appropriation par les populations est plus que nécessaire pour la pérennité du projet. L’appropriation sera effective à travers des séances de sensibilisation et en mettant à contribution les populations organisées et en s’appuyant sur des structures responsables suffisamment informées et sensibilisées. </w:t>
            </w:r>
          </w:p>
          <w:p w:rsidR="00764FFF" w:rsidRPr="00AA45E9" w:rsidRDefault="00764FFF" w:rsidP="00764FFF">
            <w:pPr>
              <w:autoSpaceDE w:val="0"/>
              <w:autoSpaceDN w:val="0"/>
              <w:adjustRightInd w:val="0"/>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AA45E9">
              <w:rPr>
                <w:rFonts w:ascii="Times New Roman" w:hAnsi="Times New Roman"/>
              </w:rPr>
              <w:lastRenderedPageBreak/>
              <w:t xml:space="preserve">Il est de la responsabilité de </w:t>
            </w:r>
            <w:r w:rsidR="00A37FF7" w:rsidRPr="00AA45E9">
              <w:rPr>
                <w:rFonts w:ascii="Times New Roman" w:hAnsi="Times New Roman"/>
              </w:rPr>
              <w:t>l’U</w:t>
            </w:r>
            <w:r w:rsidR="00A37FF7">
              <w:rPr>
                <w:rFonts w:ascii="Times New Roman" w:hAnsi="Times New Roman"/>
              </w:rPr>
              <w:t xml:space="preserve">IP de </w:t>
            </w:r>
            <w:r w:rsidR="00A37FF7" w:rsidRPr="00AA45E9">
              <w:rPr>
                <w:rFonts w:ascii="Times New Roman" w:hAnsi="Times New Roman"/>
              </w:rPr>
              <w:t>P</w:t>
            </w:r>
            <w:r w:rsidR="00A37FF7">
              <w:rPr>
                <w:rFonts w:ascii="Times New Roman" w:hAnsi="Times New Roman"/>
              </w:rPr>
              <w:t>UASEE-FA</w:t>
            </w:r>
            <w:r w:rsidR="00A37FF7" w:rsidRPr="00AA45E9">
              <w:rPr>
                <w:rFonts w:ascii="Times New Roman" w:hAnsi="Times New Roman"/>
              </w:rPr>
              <w:t xml:space="preserve"> </w:t>
            </w:r>
            <w:r w:rsidRPr="00AA45E9">
              <w:rPr>
                <w:rFonts w:ascii="Times New Roman" w:hAnsi="Times New Roman"/>
              </w:rPr>
              <w:t>de mettre en place une bonne organisation institutionnelle pour la gestion durable du réseau et des infrastructures pour s’assurer de leur bon fonctionnement.</w:t>
            </w:r>
          </w:p>
        </w:tc>
      </w:tr>
      <w:tr w:rsidR="00764FFF" w:rsidRPr="00AA45E9" w:rsidTr="00A37FF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1" w:type="dxa"/>
            <w:hideMark/>
          </w:tcPr>
          <w:p w:rsidR="00764FFF" w:rsidRPr="00AA45E9" w:rsidRDefault="00764FFF" w:rsidP="00764FFF">
            <w:pPr>
              <w:spacing w:line="276" w:lineRule="auto"/>
              <w:jc w:val="center"/>
              <w:rPr>
                <w:rFonts w:ascii="Times New Roman" w:hAnsi="Times New Roman"/>
                <w:b w:val="0"/>
                <w:i/>
                <w:iCs/>
              </w:rPr>
            </w:pPr>
            <w:r w:rsidRPr="00AA45E9">
              <w:rPr>
                <w:rFonts w:ascii="Times New Roman" w:hAnsi="Times New Roman"/>
                <w:b w:val="0"/>
                <w:i/>
                <w:iCs/>
              </w:rPr>
              <w:lastRenderedPageBreak/>
              <w:t>03</w:t>
            </w:r>
          </w:p>
        </w:tc>
        <w:tc>
          <w:tcPr>
            <w:tcW w:w="825" w:type="dxa"/>
            <w:hideMark/>
          </w:tcPr>
          <w:p w:rsidR="00372B94" w:rsidRDefault="00372B94" w:rsidP="00764FFF">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rPr>
            </w:pPr>
          </w:p>
          <w:p w:rsidR="00372B94" w:rsidRDefault="00372B94" w:rsidP="00764FFF">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rPr>
            </w:pPr>
          </w:p>
          <w:p w:rsidR="00372B94" w:rsidRDefault="00372B94" w:rsidP="00764FFF">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rPr>
            </w:pPr>
          </w:p>
          <w:p w:rsidR="00372B94" w:rsidRDefault="00372B94" w:rsidP="00764FFF">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rPr>
            </w:pPr>
          </w:p>
          <w:p w:rsidR="00372B94" w:rsidRDefault="00372B94" w:rsidP="00764FFF">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rPr>
            </w:pPr>
          </w:p>
          <w:p w:rsidR="00372B94" w:rsidRDefault="00372B94" w:rsidP="00764FFF">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rPr>
            </w:pPr>
          </w:p>
          <w:p w:rsidR="00764FFF" w:rsidRPr="00AA45E9" w:rsidRDefault="00764FFF" w:rsidP="00764FFF">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rPr>
            </w:pPr>
            <w:r w:rsidRPr="00AA45E9">
              <w:rPr>
                <w:rFonts w:ascii="Times New Roman" w:hAnsi="Times New Roman"/>
                <w:b/>
              </w:rPr>
              <w:t>Maitre d’œuvre ou Mission de Contrôle</w:t>
            </w:r>
          </w:p>
        </w:tc>
        <w:tc>
          <w:tcPr>
            <w:tcW w:w="9503" w:type="dxa"/>
            <w:tcBorders>
              <w:top w:val="single" w:sz="4" w:space="0" w:color="auto"/>
              <w:bottom w:val="single" w:sz="4" w:space="0" w:color="auto"/>
            </w:tcBorders>
            <w:shd w:val="clear" w:color="auto" w:fill="FFFFFF" w:themeFill="background1"/>
            <w:hideMark/>
          </w:tcPr>
          <w:p w:rsidR="00764FFF" w:rsidRPr="00A37FF7" w:rsidRDefault="00764FFF" w:rsidP="00A37FF7">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u w:val="single"/>
              </w:rPr>
            </w:pPr>
            <w:r w:rsidRPr="00A37FF7">
              <w:rPr>
                <w:rFonts w:ascii="Times New Roman" w:hAnsi="Times New Roman"/>
                <w:b/>
                <w:sz w:val="24"/>
                <w:szCs w:val="24"/>
                <w:u w:val="single"/>
              </w:rPr>
              <w:t>Responsable supervision environnementale (RSE)</w:t>
            </w:r>
          </w:p>
          <w:p w:rsidR="00764FFF" w:rsidRPr="00AA45E9" w:rsidRDefault="00764FFF" w:rsidP="00764FFF">
            <w:pPr>
              <w:autoSpaceDE w:val="0"/>
              <w:autoSpaceDN w:val="0"/>
              <w:adjustRightInd w:val="0"/>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AA45E9">
              <w:rPr>
                <w:rFonts w:ascii="Times New Roman" w:hAnsi="Times New Roman"/>
              </w:rPr>
              <w:t xml:space="preserve">La responsabilité de cet acteur commence avec le démarrage de la phase de construction, lorsque l’entreprise est notifiée. Il contrôle les phases d’installation, de travaux, de repli et de remise en état. </w:t>
            </w:r>
          </w:p>
          <w:p w:rsidR="00764FFF" w:rsidRPr="00AA45E9" w:rsidRDefault="00764FFF" w:rsidP="00764FFF">
            <w:pPr>
              <w:autoSpaceDE w:val="0"/>
              <w:autoSpaceDN w:val="0"/>
              <w:adjustRightInd w:val="0"/>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AA45E9">
              <w:rPr>
                <w:rFonts w:ascii="Times New Roman" w:hAnsi="Times New Roman"/>
              </w:rPr>
              <w:t>A ce titre, il est directement responsable du contrôle et de la supervision de l’effectivité de la mise en œuvre intégrale de l’ensemble des mesures de mitigations (atténuation, évitement, de compensation, de réduction et de bonification) exigées dans le PGES.  Pour cela, le RSE devra veiller à ce que l’entreprise puisse produire un PGES de chantier sur la base du PGES de projet qui lui sera remis.</w:t>
            </w:r>
          </w:p>
          <w:p w:rsidR="00764FFF" w:rsidRPr="00AA45E9" w:rsidRDefault="00764FFF" w:rsidP="00764FFF">
            <w:pPr>
              <w:autoSpaceDE w:val="0"/>
              <w:autoSpaceDN w:val="0"/>
              <w:adjustRightInd w:val="0"/>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AA45E9">
              <w:rPr>
                <w:rFonts w:ascii="Times New Roman" w:hAnsi="Times New Roman"/>
              </w:rPr>
              <w:t xml:space="preserve">Le RSE devra par ailleurs s’assurer du respect des engagements contractuels pris par l’entreprise et qui sont dans les clauses environnementales et sociales inscrites dans le cahier des clauses générales et particulières contractuelles. </w:t>
            </w:r>
          </w:p>
          <w:p w:rsidR="00764FFF" w:rsidRPr="00AA45E9" w:rsidRDefault="00764FFF" w:rsidP="00764FFF">
            <w:pPr>
              <w:autoSpaceDE w:val="0"/>
              <w:autoSpaceDN w:val="0"/>
              <w:adjustRightInd w:val="0"/>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AA45E9">
              <w:rPr>
                <w:rFonts w:ascii="Times New Roman" w:hAnsi="Times New Roman"/>
              </w:rPr>
              <w:t xml:space="preserve">Pour se faire il effectuera des visites de chantier, il organisera des réunions d’évaluation du niveau de mise en œuvre du PGES, il élaborera des outils de supervision et il élaborera </w:t>
            </w:r>
            <w:r w:rsidR="0084695F">
              <w:rPr>
                <w:rFonts w:ascii="Times New Roman" w:hAnsi="Times New Roman"/>
              </w:rPr>
              <w:t xml:space="preserve">des rapports mensuels et </w:t>
            </w:r>
            <w:r w:rsidRPr="00AA45E9">
              <w:rPr>
                <w:rFonts w:ascii="Times New Roman" w:hAnsi="Times New Roman"/>
              </w:rPr>
              <w:t>le rapport final de supervision à la fin des travaux dans la phase de repli et de remise en état.</w:t>
            </w:r>
          </w:p>
          <w:p w:rsidR="00764FFF" w:rsidRPr="00AA45E9" w:rsidRDefault="00764FFF" w:rsidP="00764FFF">
            <w:pPr>
              <w:autoSpaceDE w:val="0"/>
              <w:autoSpaceDN w:val="0"/>
              <w:adjustRightInd w:val="0"/>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AA45E9">
              <w:rPr>
                <w:rFonts w:ascii="Times New Roman" w:hAnsi="Times New Roman"/>
              </w:rPr>
              <w:t>Il aura la tâche de superviser et contrôler le travail du responsable environnement de l’entreprise pour la réalisation de tous les préalables exigés par le PGES et pouvant conditionner le démarrage effectif des travaux.</w:t>
            </w:r>
          </w:p>
          <w:p w:rsidR="00764FFF" w:rsidRPr="00AA45E9" w:rsidRDefault="00764FFF" w:rsidP="00764FFF">
            <w:pPr>
              <w:autoSpaceDE w:val="0"/>
              <w:autoSpaceDN w:val="0"/>
              <w:adjustRightInd w:val="0"/>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AA45E9">
              <w:rPr>
                <w:rFonts w:ascii="Times New Roman" w:hAnsi="Times New Roman"/>
              </w:rPr>
              <w:t xml:space="preserve">Le RSE a la responsabilité de valider l’ensemble des livrables environnementaux et sociaux produits par l’entreprise et exigés par le PGES. </w:t>
            </w:r>
          </w:p>
          <w:p w:rsidR="00764FFF" w:rsidRPr="00AA45E9" w:rsidRDefault="00764FFF" w:rsidP="00764FFF">
            <w:pPr>
              <w:autoSpaceDE w:val="0"/>
              <w:autoSpaceDN w:val="0"/>
              <w:adjustRightInd w:val="0"/>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AA45E9">
              <w:rPr>
                <w:rFonts w:ascii="Times New Roman" w:hAnsi="Times New Roman"/>
              </w:rPr>
              <w:t xml:space="preserve">Il veillera particulièrement au respect des lois et règlements </w:t>
            </w:r>
            <w:r w:rsidR="00A37FF7">
              <w:rPr>
                <w:rFonts w:ascii="Times New Roman" w:hAnsi="Times New Roman"/>
              </w:rPr>
              <w:t>du Guinée Bissau</w:t>
            </w:r>
            <w:r w:rsidRPr="00AA45E9">
              <w:rPr>
                <w:rFonts w:ascii="Times New Roman" w:hAnsi="Times New Roman"/>
              </w:rPr>
              <w:t xml:space="preserve"> en matière de gest</w:t>
            </w:r>
            <w:r w:rsidR="0084695F">
              <w:rPr>
                <w:rFonts w:ascii="Times New Roman" w:hAnsi="Times New Roman"/>
              </w:rPr>
              <w:t>ion environnementale et sociale et des directives EHS de la Banque Mondiale</w:t>
            </w:r>
            <w:r w:rsidR="0084695F" w:rsidRPr="00206F59">
              <w:rPr>
                <w:rFonts w:ascii="Times New Roman" w:hAnsi="Times New Roman"/>
              </w:rPr>
              <w:t>.</w:t>
            </w:r>
          </w:p>
          <w:p w:rsidR="00764FFF" w:rsidRPr="00AA45E9" w:rsidRDefault="00764FFF" w:rsidP="00764FFF">
            <w:pPr>
              <w:autoSpaceDE w:val="0"/>
              <w:autoSpaceDN w:val="0"/>
              <w:adjustRightInd w:val="0"/>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AA45E9">
              <w:rPr>
                <w:rFonts w:ascii="Times New Roman" w:hAnsi="Times New Roman"/>
              </w:rPr>
              <w:t>Le Maître d’œuvre devra assister le Maitre d’Ouvrage pour la prise de décision dans des situations d’imprévue en matière de gestion environnementale et sociale ou d’apparition de nouveaux impacts.</w:t>
            </w:r>
          </w:p>
          <w:p w:rsidR="00764FFF" w:rsidRPr="00AA45E9" w:rsidRDefault="00764FFF" w:rsidP="00764FFF">
            <w:pPr>
              <w:autoSpaceDE w:val="0"/>
              <w:autoSpaceDN w:val="0"/>
              <w:adjustRightInd w:val="0"/>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b/>
              </w:rPr>
            </w:pPr>
            <w:r w:rsidRPr="00AA45E9">
              <w:rPr>
                <w:rFonts w:ascii="Times New Roman" w:hAnsi="Times New Roman"/>
                <w:b/>
              </w:rPr>
              <w:t>Rapport mensuel de supervision du PGES</w:t>
            </w:r>
          </w:p>
          <w:p w:rsidR="00764FFF" w:rsidRPr="00AA45E9" w:rsidRDefault="00764FFF" w:rsidP="00764FFF">
            <w:pPr>
              <w:autoSpaceDE w:val="0"/>
              <w:autoSpaceDN w:val="0"/>
              <w:adjustRightInd w:val="0"/>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AA45E9">
              <w:rPr>
                <w:rFonts w:ascii="Times New Roman" w:hAnsi="Times New Roman"/>
              </w:rPr>
              <w:t>Le rapport mensuel de supervision du PGES devra comprendre entres autres :</w:t>
            </w:r>
          </w:p>
          <w:p w:rsidR="00764FFF" w:rsidRPr="00AA45E9" w:rsidRDefault="00764FFF" w:rsidP="00FA3FAE">
            <w:pPr>
              <w:numPr>
                <w:ilvl w:val="0"/>
                <w:numId w:val="28"/>
              </w:numPr>
              <w:tabs>
                <w:tab w:val="clear" w:pos="360"/>
                <w:tab w:val="num" w:pos="720"/>
              </w:tabs>
              <w:autoSpaceDE w:val="0"/>
              <w:autoSpaceDN w:val="0"/>
              <w:adjustRightInd w:val="0"/>
              <w:spacing w:line="276" w:lineRule="auto"/>
              <w:ind w:left="720"/>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0"/>
              </w:rPr>
            </w:pPr>
            <w:r w:rsidRPr="00AA45E9">
              <w:rPr>
                <w:rFonts w:ascii="Times New Roman" w:hAnsi="Times New Roman"/>
              </w:rPr>
              <w:t>Les actions de supervision quotidienne menées au cours du mois</w:t>
            </w:r>
          </w:p>
          <w:p w:rsidR="00764FFF" w:rsidRPr="00AA45E9" w:rsidRDefault="00764FFF" w:rsidP="00FA3FAE">
            <w:pPr>
              <w:numPr>
                <w:ilvl w:val="0"/>
                <w:numId w:val="28"/>
              </w:numPr>
              <w:tabs>
                <w:tab w:val="clear" w:pos="360"/>
                <w:tab w:val="num" w:pos="720"/>
              </w:tabs>
              <w:autoSpaceDE w:val="0"/>
              <w:autoSpaceDN w:val="0"/>
              <w:adjustRightInd w:val="0"/>
              <w:spacing w:line="276" w:lineRule="auto"/>
              <w:ind w:left="720"/>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0"/>
              </w:rPr>
            </w:pPr>
            <w:r w:rsidRPr="00AA45E9">
              <w:rPr>
                <w:rFonts w:ascii="Times New Roman" w:hAnsi="Times New Roman"/>
              </w:rPr>
              <w:t xml:space="preserve">Le récapitulatif de écarts observés, des accidents, incidents et manquements </w:t>
            </w:r>
          </w:p>
          <w:p w:rsidR="00764FFF" w:rsidRPr="00AA45E9" w:rsidRDefault="00764FFF" w:rsidP="00FA3FAE">
            <w:pPr>
              <w:numPr>
                <w:ilvl w:val="0"/>
                <w:numId w:val="28"/>
              </w:numPr>
              <w:tabs>
                <w:tab w:val="clear" w:pos="360"/>
                <w:tab w:val="num" w:pos="720"/>
              </w:tabs>
              <w:autoSpaceDE w:val="0"/>
              <w:autoSpaceDN w:val="0"/>
              <w:adjustRightInd w:val="0"/>
              <w:spacing w:line="276" w:lineRule="auto"/>
              <w:ind w:left="720"/>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0"/>
              </w:rPr>
            </w:pPr>
            <w:r w:rsidRPr="00AA45E9">
              <w:rPr>
                <w:rFonts w:ascii="Times New Roman" w:hAnsi="Times New Roman"/>
              </w:rPr>
              <w:t>L’ensemble des correspondances adressées à l’entreprises et actions correctives exigées.</w:t>
            </w:r>
          </w:p>
          <w:p w:rsidR="00764FFF" w:rsidRPr="00AA45E9" w:rsidRDefault="00764FFF" w:rsidP="00FA3FAE">
            <w:pPr>
              <w:numPr>
                <w:ilvl w:val="0"/>
                <w:numId w:val="28"/>
              </w:numPr>
              <w:tabs>
                <w:tab w:val="clear" w:pos="360"/>
                <w:tab w:val="num" w:pos="720"/>
              </w:tabs>
              <w:autoSpaceDE w:val="0"/>
              <w:autoSpaceDN w:val="0"/>
              <w:adjustRightInd w:val="0"/>
              <w:spacing w:line="276" w:lineRule="auto"/>
              <w:ind w:left="720"/>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0"/>
              </w:rPr>
            </w:pPr>
            <w:r w:rsidRPr="00AA45E9">
              <w:rPr>
                <w:rFonts w:ascii="Times New Roman" w:hAnsi="Times New Roman"/>
              </w:rPr>
              <w:t>L’ensemble des résultats illustrés obtenus</w:t>
            </w:r>
          </w:p>
          <w:p w:rsidR="00764FFF" w:rsidRPr="00AA45E9" w:rsidRDefault="00764FFF" w:rsidP="00FA3FAE">
            <w:pPr>
              <w:numPr>
                <w:ilvl w:val="0"/>
                <w:numId w:val="28"/>
              </w:numPr>
              <w:tabs>
                <w:tab w:val="clear" w:pos="360"/>
                <w:tab w:val="num" w:pos="720"/>
              </w:tabs>
              <w:autoSpaceDE w:val="0"/>
              <w:autoSpaceDN w:val="0"/>
              <w:adjustRightInd w:val="0"/>
              <w:spacing w:line="276" w:lineRule="auto"/>
              <w:ind w:left="720"/>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0"/>
              </w:rPr>
            </w:pPr>
            <w:r w:rsidRPr="00AA45E9">
              <w:rPr>
                <w:rFonts w:ascii="Times New Roman" w:hAnsi="Times New Roman"/>
              </w:rPr>
              <w:t>Les actions à contrôler et à superviser le prochain mois</w:t>
            </w:r>
          </w:p>
        </w:tc>
      </w:tr>
      <w:tr w:rsidR="00764FFF" w:rsidRPr="00AA45E9" w:rsidTr="00A37FF7">
        <w:tc>
          <w:tcPr>
            <w:cnfStyle w:val="001000000000" w:firstRow="0" w:lastRow="0" w:firstColumn="1" w:lastColumn="0" w:oddVBand="0" w:evenVBand="0" w:oddHBand="0" w:evenHBand="0" w:firstRowFirstColumn="0" w:firstRowLastColumn="0" w:lastRowFirstColumn="0" w:lastRowLastColumn="0"/>
            <w:tcW w:w="451" w:type="dxa"/>
            <w:hideMark/>
          </w:tcPr>
          <w:p w:rsidR="00764FFF" w:rsidRPr="00AA45E9" w:rsidRDefault="00764FFF" w:rsidP="00764FFF">
            <w:pPr>
              <w:spacing w:line="276" w:lineRule="auto"/>
              <w:jc w:val="center"/>
              <w:rPr>
                <w:rFonts w:ascii="Times New Roman" w:hAnsi="Times New Roman"/>
                <w:b w:val="0"/>
                <w:i/>
                <w:iCs/>
              </w:rPr>
            </w:pPr>
            <w:r w:rsidRPr="00AA45E9">
              <w:rPr>
                <w:rFonts w:ascii="Times New Roman" w:hAnsi="Times New Roman"/>
                <w:b w:val="0"/>
                <w:i/>
                <w:iCs/>
              </w:rPr>
              <w:t>04</w:t>
            </w:r>
          </w:p>
        </w:tc>
        <w:tc>
          <w:tcPr>
            <w:tcW w:w="825" w:type="dxa"/>
            <w:hideMark/>
          </w:tcPr>
          <w:p w:rsidR="00764FFF" w:rsidRPr="00AA45E9" w:rsidRDefault="00764FFF" w:rsidP="00764FFF">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rPr>
            </w:pPr>
            <w:r w:rsidRPr="00AA45E9">
              <w:rPr>
                <w:rFonts w:ascii="Times New Roman" w:hAnsi="Times New Roman"/>
                <w:b/>
              </w:rPr>
              <w:t>Communes et partenaires</w:t>
            </w:r>
          </w:p>
        </w:tc>
        <w:tc>
          <w:tcPr>
            <w:tcW w:w="9503" w:type="dxa"/>
            <w:tcBorders>
              <w:top w:val="single" w:sz="4" w:space="0" w:color="auto"/>
              <w:bottom w:val="single" w:sz="4" w:space="0" w:color="auto"/>
            </w:tcBorders>
            <w:shd w:val="clear" w:color="auto" w:fill="FFFFFF" w:themeFill="background1"/>
            <w:hideMark/>
          </w:tcPr>
          <w:p w:rsidR="00764FFF" w:rsidRPr="00AA45E9" w:rsidRDefault="00764FFF" w:rsidP="00FA3FAE">
            <w:pPr>
              <w:numPr>
                <w:ilvl w:val="0"/>
                <w:numId w:val="105"/>
              </w:numPr>
              <w:spacing w:line="276" w:lineRule="auto"/>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b/>
                <w:sz w:val="24"/>
                <w:szCs w:val="20"/>
              </w:rPr>
            </w:pPr>
            <w:r w:rsidRPr="00AA45E9">
              <w:rPr>
                <w:rFonts w:ascii="Times New Roman" w:eastAsia="Times New Roman" w:hAnsi="Times New Roman"/>
                <w:b/>
              </w:rPr>
              <w:t>Le Maire</w:t>
            </w:r>
          </w:p>
          <w:p w:rsidR="00764FFF" w:rsidRPr="00AA45E9" w:rsidRDefault="00764FFF" w:rsidP="00FA3FAE">
            <w:pPr>
              <w:numPr>
                <w:ilvl w:val="0"/>
                <w:numId w:val="105"/>
              </w:numPr>
              <w:spacing w:line="276" w:lineRule="auto"/>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b/>
                <w:sz w:val="24"/>
                <w:szCs w:val="20"/>
              </w:rPr>
            </w:pPr>
            <w:r w:rsidRPr="00AA45E9">
              <w:rPr>
                <w:rFonts w:ascii="Times New Roman" w:eastAsia="Times New Roman" w:hAnsi="Times New Roman"/>
                <w:b/>
              </w:rPr>
              <w:t>Le Secrétaire Communal</w:t>
            </w:r>
          </w:p>
          <w:p w:rsidR="00764FFF" w:rsidRPr="00AA45E9" w:rsidRDefault="00764FFF" w:rsidP="00764FFF">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AA45E9">
              <w:rPr>
                <w:rFonts w:ascii="Times New Roman" w:hAnsi="Times New Roman"/>
              </w:rPr>
              <w:t xml:space="preserve">Il semble approprié de faire jouer aux Communes un rôle de facilitation, d’accompagnement, d’appui et d’intermédiation pour toutes les activités de sensibilisation, d’information, d’éducation qui seront mise en œuvre par l’entreprise dans le cadre du PGES.  </w:t>
            </w:r>
          </w:p>
          <w:p w:rsidR="00764FFF" w:rsidRPr="00AA45E9" w:rsidRDefault="00764FFF" w:rsidP="00764FFF">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AA45E9">
              <w:rPr>
                <w:rFonts w:ascii="Times New Roman" w:hAnsi="Times New Roman"/>
              </w:rPr>
              <w:t xml:space="preserve">L’objectif étant de mettre en place un cadre de concertation pour bonifier les impacts positifs et atténuer les impacts négatifs. Il s’agit de création d’emploi, de lutte contre le VIH-SIDA, </w:t>
            </w:r>
            <w:r w:rsidR="0084695F">
              <w:rPr>
                <w:rFonts w:ascii="Times New Roman" w:hAnsi="Times New Roman"/>
              </w:rPr>
              <w:t>de lutte contre les Violences basées sur le genre, de</w:t>
            </w:r>
            <w:r w:rsidR="0084695F" w:rsidRPr="00206F59">
              <w:rPr>
                <w:rFonts w:ascii="Times New Roman" w:hAnsi="Times New Roman"/>
              </w:rPr>
              <w:t xml:space="preserve"> </w:t>
            </w:r>
            <w:r w:rsidRPr="00AA45E9">
              <w:rPr>
                <w:rFonts w:ascii="Times New Roman" w:hAnsi="Times New Roman"/>
              </w:rPr>
              <w:t>de lutte contre l’incivisme, de pérennisation du réseau et des infrastructures, des réclamations des populations lors des travaux, etc.</w:t>
            </w:r>
          </w:p>
          <w:p w:rsidR="00764FFF" w:rsidRPr="00AA45E9" w:rsidRDefault="00764FFF" w:rsidP="00764FFF">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smallCaps/>
              </w:rPr>
            </w:pPr>
            <w:r w:rsidRPr="00AA45E9">
              <w:rPr>
                <w:rFonts w:ascii="Times New Roman" w:hAnsi="Times New Roman"/>
              </w:rPr>
              <w:t xml:space="preserve">Les collectivités locales mettront en place des fonds d’investissement (ce qu’on appelle généralement le Fonds de Développement Local) permettant les grandes réparations. </w:t>
            </w:r>
          </w:p>
        </w:tc>
      </w:tr>
      <w:tr w:rsidR="00764FFF" w:rsidRPr="00AA45E9" w:rsidTr="004B4B3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1" w:type="dxa"/>
            <w:hideMark/>
          </w:tcPr>
          <w:p w:rsidR="00764FFF" w:rsidRPr="00AA45E9" w:rsidRDefault="00764FFF" w:rsidP="00764FFF">
            <w:pPr>
              <w:spacing w:line="276" w:lineRule="auto"/>
              <w:jc w:val="center"/>
              <w:rPr>
                <w:rFonts w:ascii="Times New Roman" w:hAnsi="Times New Roman"/>
                <w:b w:val="0"/>
                <w:i/>
                <w:iCs/>
              </w:rPr>
            </w:pPr>
            <w:r w:rsidRPr="00AA45E9">
              <w:rPr>
                <w:rFonts w:ascii="Times New Roman" w:hAnsi="Times New Roman"/>
                <w:b w:val="0"/>
                <w:i/>
                <w:iCs/>
              </w:rPr>
              <w:t>05</w:t>
            </w:r>
          </w:p>
        </w:tc>
        <w:tc>
          <w:tcPr>
            <w:tcW w:w="825" w:type="dxa"/>
            <w:hideMark/>
          </w:tcPr>
          <w:p w:rsidR="00764FFF" w:rsidRPr="00AA45E9" w:rsidRDefault="00764FFF" w:rsidP="00764FFF">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rPr>
            </w:pPr>
            <w:r w:rsidRPr="00AA45E9">
              <w:rPr>
                <w:rFonts w:ascii="Times New Roman" w:hAnsi="Times New Roman"/>
                <w:b/>
              </w:rPr>
              <w:t>AAAC</w:t>
            </w:r>
          </w:p>
        </w:tc>
        <w:tc>
          <w:tcPr>
            <w:tcW w:w="9503" w:type="dxa"/>
            <w:tcBorders>
              <w:top w:val="single" w:sz="4" w:space="0" w:color="auto"/>
              <w:bottom w:val="single" w:sz="4" w:space="0" w:color="auto"/>
            </w:tcBorders>
            <w:shd w:val="clear" w:color="auto" w:fill="FFFFFF" w:themeFill="background1"/>
            <w:hideMark/>
          </w:tcPr>
          <w:p w:rsidR="00764FFF" w:rsidRPr="00AA45E9" w:rsidRDefault="00764FFF" w:rsidP="00764FFF">
            <w:pPr>
              <w:autoSpaceDE w:val="0"/>
              <w:autoSpaceDN w:val="0"/>
              <w:adjustRightInd w:val="0"/>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AA45E9">
              <w:rPr>
                <w:rFonts w:ascii="Times New Roman" w:hAnsi="Times New Roman"/>
              </w:rPr>
              <w:t xml:space="preserve">La mission de la AAAC est fondamentalement orientée vers le contrôle de conformité des programmes publics régionaux et activités privées régionales par rapport à la politique environnementale adoptée par les pouvoirs publics, ainsi qu’aux lois et normes environnementales. Dans le domaine des EIE, cette direction, à travers la Division régionale prévention et contrôle des </w:t>
            </w:r>
            <w:r w:rsidRPr="00AA45E9">
              <w:rPr>
                <w:rFonts w:ascii="Times New Roman" w:hAnsi="Times New Roman"/>
              </w:rPr>
              <w:lastRenderedPageBreak/>
              <w:t xml:space="preserve">pollutions et nuisances et études d’impact sur l’environnement, a pour mission de veiller à l’application des dispositions relatives aux EIE. Elle prépare, pour le compte du Ministre chargé de l’Environnement, les avis et décisions relatifs aux EIE. </w:t>
            </w:r>
          </w:p>
          <w:p w:rsidR="00764FFF" w:rsidRPr="00AA45E9" w:rsidRDefault="00764FFF" w:rsidP="00764FFF">
            <w:pPr>
              <w:autoSpaceDE w:val="0"/>
              <w:autoSpaceDN w:val="0"/>
              <w:adjustRightInd w:val="0"/>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AA45E9">
              <w:rPr>
                <w:rFonts w:ascii="Times New Roman" w:hAnsi="Times New Roman"/>
              </w:rPr>
              <w:t>En termes de capacités, AAAC dispose de compétences techniques pour assurer la supervision, ainsi que le contrôle de conformité et de légalité, des projets de développement au niveau régional.</w:t>
            </w:r>
          </w:p>
          <w:p w:rsidR="00764FFF" w:rsidRPr="00AA45E9" w:rsidRDefault="00764FFF" w:rsidP="00764FFF">
            <w:pPr>
              <w:autoSpaceDE w:val="0"/>
              <w:autoSpaceDN w:val="0"/>
              <w:adjustRightInd w:val="0"/>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AA45E9">
              <w:rPr>
                <w:rFonts w:ascii="Times New Roman" w:hAnsi="Times New Roman"/>
              </w:rPr>
              <w:t xml:space="preserve">La AAAC devra être fortement associée dans la supervision la validation de l’EIES, l’audience publique, le suivi de la mise en œuvre du PGES au cours des travaux et dans la mise en œuvre du plan de suivi en phase d’exploitation. </w:t>
            </w:r>
          </w:p>
        </w:tc>
      </w:tr>
      <w:tr w:rsidR="00764FFF" w:rsidRPr="00AA45E9" w:rsidTr="004B4B35">
        <w:tc>
          <w:tcPr>
            <w:cnfStyle w:val="001000000000" w:firstRow="0" w:lastRow="0" w:firstColumn="1" w:lastColumn="0" w:oddVBand="0" w:evenVBand="0" w:oddHBand="0" w:evenHBand="0" w:firstRowFirstColumn="0" w:firstRowLastColumn="0" w:lastRowFirstColumn="0" w:lastRowLastColumn="0"/>
            <w:tcW w:w="451" w:type="dxa"/>
            <w:hideMark/>
          </w:tcPr>
          <w:p w:rsidR="00764FFF" w:rsidRPr="00AA45E9" w:rsidRDefault="00764FFF" w:rsidP="00764FFF">
            <w:pPr>
              <w:spacing w:line="276" w:lineRule="auto"/>
              <w:jc w:val="center"/>
              <w:rPr>
                <w:rFonts w:ascii="Times New Roman" w:hAnsi="Times New Roman"/>
                <w:b w:val="0"/>
                <w:i/>
                <w:iCs/>
              </w:rPr>
            </w:pPr>
            <w:r w:rsidRPr="00AA45E9">
              <w:rPr>
                <w:rFonts w:ascii="Times New Roman" w:hAnsi="Times New Roman"/>
                <w:b w:val="0"/>
                <w:i/>
                <w:iCs/>
              </w:rPr>
              <w:lastRenderedPageBreak/>
              <w:t>06</w:t>
            </w:r>
          </w:p>
        </w:tc>
        <w:tc>
          <w:tcPr>
            <w:tcW w:w="825" w:type="dxa"/>
            <w:hideMark/>
          </w:tcPr>
          <w:p w:rsidR="00764FFF" w:rsidRPr="00AA45E9" w:rsidRDefault="00764FFF" w:rsidP="00764FFF">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rPr>
            </w:pPr>
            <w:r w:rsidRPr="00AA45E9">
              <w:rPr>
                <w:rFonts w:ascii="Times New Roman" w:hAnsi="Times New Roman"/>
                <w:b/>
              </w:rPr>
              <w:t>Eaux et For</w:t>
            </w:r>
            <w:r>
              <w:rPr>
                <w:rFonts w:ascii="Times New Roman" w:hAnsi="Times New Roman"/>
                <w:b/>
              </w:rPr>
              <w:t>ê</w:t>
            </w:r>
            <w:r w:rsidRPr="00AA45E9">
              <w:rPr>
                <w:rFonts w:ascii="Times New Roman" w:hAnsi="Times New Roman"/>
                <w:b/>
              </w:rPr>
              <w:t>ts</w:t>
            </w:r>
          </w:p>
        </w:tc>
        <w:tc>
          <w:tcPr>
            <w:tcW w:w="9503" w:type="dxa"/>
            <w:tcBorders>
              <w:top w:val="single" w:sz="4" w:space="0" w:color="auto"/>
              <w:bottom w:val="single" w:sz="4" w:space="0" w:color="auto"/>
            </w:tcBorders>
            <w:shd w:val="clear" w:color="auto" w:fill="FFFFFF" w:themeFill="background1"/>
            <w:hideMark/>
          </w:tcPr>
          <w:p w:rsidR="00764FFF" w:rsidRPr="00AA45E9" w:rsidRDefault="00764FFF" w:rsidP="00764FFF">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AA45E9">
              <w:rPr>
                <w:rFonts w:ascii="Times New Roman" w:hAnsi="Times New Roman"/>
              </w:rPr>
              <w:t xml:space="preserve">Dans le cadre de ce projet, des eaux et forêts est responsable de l’abattage et du remplacement des arbres sont de la prérogative exclusive des services des Eaux et Forêts qui en assurent le contrôle, l’autorisation et le suivi. Ainsi, toute initiative allant dans ce sens, devra être conçue, exécutée, pilotée, surveillée et suivie avec la participation active de ces mêmes services. </w:t>
            </w:r>
          </w:p>
        </w:tc>
      </w:tr>
    </w:tbl>
    <w:p w:rsidR="00764FFF" w:rsidRPr="00D335A7" w:rsidRDefault="00764FFF" w:rsidP="00764FFF">
      <w:pPr>
        <w:spacing w:after="200" w:line="276" w:lineRule="auto"/>
        <w:jc w:val="both"/>
        <w:rPr>
          <w:rFonts w:ascii="Times New Roman" w:hAnsi="Times New Roman"/>
          <w:sz w:val="24"/>
          <w:szCs w:val="24"/>
        </w:rPr>
      </w:pPr>
    </w:p>
    <w:p w:rsidR="00764FFF" w:rsidRPr="0034305A" w:rsidRDefault="00764FFF" w:rsidP="00764FFF">
      <w:pPr>
        <w:pStyle w:val="Cabealho2"/>
        <w:rPr>
          <w:u w:val="single"/>
        </w:rPr>
      </w:pPr>
      <w:bookmarkStart w:id="591" w:name="_Toc11158386"/>
      <w:bookmarkStart w:id="592" w:name="_Toc51072600"/>
      <w:bookmarkStart w:id="593" w:name="_Toc515981159"/>
      <w:bookmarkStart w:id="594" w:name="_Toc535408369"/>
      <w:r>
        <w:rPr>
          <w:u w:val="single"/>
        </w:rPr>
        <w:t>8</w:t>
      </w:r>
      <w:r w:rsidRPr="0034305A">
        <w:rPr>
          <w:u w:val="single"/>
        </w:rPr>
        <w:t>.3. PLAN DE SURVEILLANCE ET DE SUIVI ENVIRONNEMENTAL</w:t>
      </w:r>
      <w:bookmarkEnd w:id="591"/>
      <w:bookmarkEnd w:id="592"/>
      <w:r w:rsidRPr="0034305A">
        <w:rPr>
          <w:u w:val="single"/>
        </w:rPr>
        <w:t xml:space="preserve"> </w:t>
      </w:r>
      <w:bookmarkEnd w:id="593"/>
      <w:bookmarkEnd w:id="594"/>
    </w:p>
    <w:p w:rsidR="00764FFF" w:rsidRPr="00D335A7" w:rsidRDefault="00764FFF" w:rsidP="00764FFF">
      <w:pPr>
        <w:spacing w:after="200" w:line="276" w:lineRule="auto"/>
        <w:jc w:val="both"/>
        <w:rPr>
          <w:rFonts w:ascii="Times New Roman" w:hAnsi="Times New Roman"/>
          <w:sz w:val="24"/>
          <w:szCs w:val="24"/>
        </w:rPr>
      </w:pPr>
      <w:r w:rsidRPr="00D335A7">
        <w:rPr>
          <w:rFonts w:ascii="Times New Roman" w:hAnsi="Times New Roman"/>
          <w:sz w:val="24"/>
          <w:szCs w:val="24"/>
        </w:rPr>
        <w:t>La surveillance et le suivi environnemental sont des activités d’inspection, de contrôle et d'intervention visant à vérifier que toutes les exigences et conditions en matière de protection de l’environnement sont effectivement respectées avant, pendant et après les travaux.</w:t>
      </w:r>
    </w:p>
    <w:p w:rsidR="00764FFF" w:rsidRPr="00D335A7" w:rsidRDefault="00764FFF" w:rsidP="004B4B35">
      <w:pPr>
        <w:spacing w:after="0" w:line="276" w:lineRule="auto"/>
        <w:jc w:val="both"/>
        <w:rPr>
          <w:rFonts w:ascii="Times New Roman" w:hAnsi="Times New Roman"/>
          <w:sz w:val="24"/>
          <w:szCs w:val="24"/>
        </w:rPr>
      </w:pPr>
      <w:r w:rsidRPr="00D335A7">
        <w:rPr>
          <w:rFonts w:ascii="Times New Roman" w:hAnsi="Times New Roman"/>
          <w:sz w:val="24"/>
          <w:szCs w:val="24"/>
        </w:rPr>
        <w:t xml:space="preserve">Dans le cadre de la mise en œuvre du projet </w:t>
      </w:r>
      <w:r w:rsidR="004B4B35">
        <w:rPr>
          <w:rFonts w:ascii="Times New Roman" w:hAnsi="Times New Roman"/>
          <w:sz w:val="24"/>
          <w:szCs w:val="24"/>
        </w:rPr>
        <w:t>PUASEE-FA</w:t>
      </w:r>
      <w:r w:rsidRPr="00D335A7">
        <w:rPr>
          <w:rFonts w:ascii="Times New Roman" w:hAnsi="Times New Roman"/>
          <w:sz w:val="24"/>
          <w:szCs w:val="24"/>
        </w:rPr>
        <w:t>, elle portera essentiellement sur les aspects suivants :</w:t>
      </w:r>
    </w:p>
    <w:p w:rsidR="00764FFF" w:rsidRPr="00D335A7" w:rsidRDefault="00764FFF" w:rsidP="00FA3FAE">
      <w:pPr>
        <w:pStyle w:val="Listecouleur-Accent11"/>
        <w:numPr>
          <w:ilvl w:val="1"/>
          <w:numId w:val="110"/>
        </w:numPr>
        <w:spacing w:after="200" w:line="276" w:lineRule="auto"/>
        <w:rPr>
          <w:rFonts w:ascii="Times New Roman" w:hAnsi="Times New Roman"/>
          <w:sz w:val="24"/>
          <w:szCs w:val="24"/>
          <w:lang w:val="fr-FR"/>
        </w:rPr>
      </w:pPr>
      <w:r w:rsidRPr="00D335A7">
        <w:rPr>
          <w:rFonts w:ascii="Times New Roman" w:hAnsi="Times New Roman"/>
          <w:sz w:val="24"/>
          <w:szCs w:val="24"/>
          <w:lang w:val="fr-FR"/>
        </w:rPr>
        <w:t>vérifier si les mesures environnementales et sociales identifiées lors des différentes phases du projet sont appliquées ;</w:t>
      </w:r>
    </w:p>
    <w:p w:rsidR="00764FFF" w:rsidRPr="00D335A7" w:rsidRDefault="00764FFF" w:rsidP="00FA3FAE">
      <w:pPr>
        <w:pStyle w:val="Listecouleur-Accent11"/>
        <w:numPr>
          <w:ilvl w:val="1"/>
          <w:numId w:val="110"/>
        </w:numPr>
        <w:spacing w:after="200" w:line="276" w:lineRule="auto"/>
        <w:rPr>
          <w:rFonts w:ascii="Times New Roman" w:hAnsi="Times New Roman"/>
          <w:sz w:val="24"/>
          <w:szCs w:val="24"/>
          <w:lang w:val="fr-FR"/>
        </w:rPr>
      </w:pPr>
      <w:r w:rsidRPr="00D335A7">
        <w:rPr>
          <w:rFonts w:ascii="Times New Roman" w:hAnsi="Times New Roman"/>
          <w:sz w:val="24"/>
          <w:szCs w:val="24"/>
          <w:lang w:val="fr-FR"/>
        </w:rPr>
        <w:t>le respect des engagements du promoteur et des entreprises sous-traitantes, basé sur la vérification des clauses environnementales du marché des travaux ;</w:t>
      </w:r>
    </w:p>
    <w:p w:rsidR="00764FFF" w:rsidRPr="00D335A7" w:rsidRDefault="00764FFF" w:rsidP="00FA3FAE">
      <w:pPr>
        <w:pStyle w:val="Listecouleur-Accent11"/>
        <w:numPr>
          <w:ilvl w:val="1"/>
          <w:numId w:val="110"/>
        </w:numPr>
        <w:spacing w:after="200" w:line="276" w:lineRule="auto"/>
        <w:rPr>
          <w:rFonts w:ascii="Times New Roman" w:hAnsi="Times New Roman"/>
          <w:sz w:val="24"/>
          <w:szCs w:val="24"/>
          <w:lang w:val="fr-FR"/>
        </w:rPr>
      </w:pPr>
      <w:r w:rsidRPr="00D335A7">
        <w:rPr>
          <w:rFonts w:ascii="Times New Roman" w:hAnsi="Times New Roman"/>
          <w:sz w:val="24"/>
          <w:szCs w:val="24"/>
          <w:lang w:val="fr-FR"/>
        </w:rPr>
        <w:t xml:space="preserve">le respect des législations et réglementations en vigueur : vérifier que toutes les dispositions juridiques relatives aux éléments de l’environnement (air, sol, eau, faune, flore, déchets…) sont mises en œuvre comme prévu. </w:t>
      </w:r>
    </w:p>
    <w:p w:rsidR="00764FFF" w:rsidRPr="00D335A7" w:rsidRDefault="00764FFF" w:rsidP="00FA3FAE">
      <w:pPr>
        <w:pStyle w:val="Listecouleur-Accent11"/>
        <w:numPr>
          <w:ilvl w:val="1"/>
          <w:numId w:val="110"/>
        </w:numPr>
        <w:spacing w:after="200" w:line="276" w:lineRule="auto"/>
        <w:rPr>
          <w:rFonts w:ascii="Times New Roman" w:hAnsi="Times New Roman"/>
          <w:sz w:val="24"/>
          <w:szCs w:val="24"/>
          <w:lang w:val="fr-FR"/>
        </w:rPr>
      </w:pPr>
      <w:r w:rsidRPr="00D335A7">
        <w:rPr>
          <w:rFonts w:ascii="Times New Roman" w:hAnsi="Times New Roman"/>
          <w:sz w:val="24"/>
          <w:szCs w:val="24"/>
          <w:lang w:val="fr-FR"/>
        </w:rPr>
        <w:t>la réalisation de toute étude d’impact additionnelle qui serait requise pour le développement de projets spécifiques.</w:t>
      </w:r>
    </w:p>
    <w:p w:rsidR="00764FFF" w:rsidRPr="00D335A7" w:rsidRDefault="00764FFF" w:rsidP="00764FFF">
      <w:pPr>
        <w:spacing w:after="200" w:line="276" w:lineRule="auto"/>
        <w:jc w:val="both"/>
        <w:rPr>
          <w:rFonts w:ascii="Times New Roman" w:hAnsi="Times New Roman"/>
          <w:sz w:val="24"/>
          <w:szCs w:val="24"/>
        </w:rPr>
      </w:pPr>
      <w:r w:rsidRPr="00D335A7">
        <w:rPr>
          <w:rFonts w:ascii="Times New Roman" w:hAnsi="Times New Roman"/>
          <w:sz w:val="24"/>
          <w:szCs w:val="24"/>
        </w:rPr>
        <w:t>Le contrôle environnemental ou surveillance a pour but de s’assurer du respect :</w:t>
      </w:r>
    </w:p>
    <w:p w:rsidR="00764FFF" w:rsidRPr="00D335A7" w:rsidRDefault="00764FFF" w:rsidP="00FA3FAE">
      <w:pPr>
        <w:numPr>
          <w:ilvl w:val="0"/>
          <w:numId w:val="106"/>
        </w:numPr>
        <w:pBdr>
          <w:top w:val="single" w:sz="4" w:space="1" w:color="auto"/>
          <w:left w:val="single" w:sz="4" w:space="4" w:color="auto"/>
          <w:bottom w:val="single" w:sz="4" w:space="1" w:color="auto"/>
          <w:right w:val="single" w:sz="4" w:space="4" w:color="auto"/>
        </w:pBdr>
        <w:spacing w:before="120" w:after="120" w:line="276" w:lineRule="auto"/>
        <w:contextualSpacing/>
        <w:jc w:val="both"/>
        <w:rPr>
          <w:rFonts w:ascii="Times New Roman" w:eastAsia="Times New Roman" w:hAnsi="Times New Roman"/>
          <w:sz w:val="24"/>
          <w:szCs w:val="24"/>
        </w:rPr>
      </w:pPr>
      <w:r w:rsidRPr="00D335A7">
        <w:rPr>
          <w:rFonts w:ascii="Times New Roman" w:eastAsia="Times New Roman" w:hAnsi="Times New Roman"/>
          <w:sz w:val="24"/>
          <w:szCs w:val="24"/>
        </w:rPr>
        <w:t>Des mesures proposées dans l’étude d’impact, incluant les mesures   d’atténuation, de compensation et/ou de bonification ;</w:t>
      </w:r>
    </w:p>
    <w:p w:rsidR="00764FFF" w:rsidRPr="00D335A7" w:rsidRDefault="00764FFF" w:rsidP="00FA3FAE">
      <w:pPr>
        <w:numPr>
          <w:ilvl w:val="0"/>
          <w:numId w:val="106"/>
        </w:numPr>
        <w:pBdr>
          <w:top w:val="single" w:sz="4" w:space="1" w:color="auto"/>
          <w:left w:val="single" w:sz="4" w:space="4" w:color="auto"/>
          <w:bottom w:val="single" w:sz="4" w:space="1" w:color="auto"/>
          <w:right w:val="single" w:sz="4" w:space="4" w:color="auto"/>
        </w:pBdr>
        <w:spacing w:before="120" w:after="120" w:line="276" w:lineRule="auto"/>
        <w:contextualSpacing/>
        <w:jc w:val="both"/>
        <w:rPr>
          <w:rFonts w:ascii="Times New Roman" w:eastAsia="Times New Roman" w:hAnsi="Times New Roman"/>
          <w:sz w:val="24"/>
          <w:szCs w:val="24"/>
        </w:rPr>
      </w:pPr>
      <w:r w:rsidRPr="00D335A7">
        <w:rPr>
          <w:rFonts w:ascii="Times New Roman" w:eastAsia="Times New Roman" w:hAnsi="Times New Roman"/>
          <w:sz w:val="24"/>
          <w:szCs w:val="24"/>
        </w:rPr>
        <w:t>Des conditions fixées dans le code de l’environnement et son décret d’application des exigences relatives aux lois et règlements pertinents.</w:t>
      </w:r>
    </w:p>
    <w:p w:rsidR="00764FFF" w:rsidRPr="00D335A7" w:rsidRDefault="00764FFF" w:rsidP="00FA3FAE">
      <w:pPr>
        <w:numPr>
          <w:ilvl w:val="0"/>
          <w:numId w:val="106"/>
        </w:numPr>
        <w:pBdr>
          <w:top w:val="single" w:sz="4" w:space="1" w:color="auto"/>
          <w:left w:val="single" w:sz="4" w:space="4" w:color="auto"/>
          <w:bottom w:val="single" w:sz="4" w:space="1" w:color="auto"/>
          <w:right w:val="single" w:sz="4" w:space="4" w:color="auto"/>
        </w:pBdr>
        <w:spacing w:before="120" w:after="120" w:line="276" w:lineRule="auto"/>
        <w:contextualSpacing/>
        <w:jc w:val="both"/>
        <w:rPr>
          <w:rFonts w:ascii="Times New Roman" w:eastAsia="Times New Roman" w:hAnsi="Times New Roman"/>
          <w:sz w:val="24"/>
          <w:szCs w:val="24"/>
        </w:rPr>
      </w:pPr>
      <w:r w:rsidRPr="00D335A7">
        <w:rPr>
          <w:rFonts w:ascii="Times New Roman" w:eastAsia="Times New Roman" w:hAnsi="Times New Roman"/>
          <w:sz w:val="24"/>
          <w:szCs w:val="24"/>
        </w:rPr>
        <w:t>L’objectif est de s’assurer que ces mesures sont exécutées et appliquées selon le planning prévu et la période s’étale durant le projet. L’évaluation de l’effet de certains impacts peut dépasser néanmoins la durée de vie du projet.</w:t>
      </w:r>
    </w:p>
    <w:p w:rsidR="00764FFF" w:rsidRPr="00D335A7" w:rsidRDefault="00764FFF" w:rsidP="00764FFF">
      <w:pPr>
        <w:spacing w:before="120" w:after="120" w:line="276" w:lineRule="auto"/>
        <w:ind w:left="1065"/>
        <w:contextualSpacing/>
        <w:jc w:val="both"/>
        <w:rPr>
          <w:rFonts w:ascii="Times New Roman" w:eastAsia="Times New Roman" w:hAnsi="Times New Roman"/>
          <w:sz w:val="24"/>
          <w:szCs w:val="24"/>
        </w:rPr>
      </w:pPr>
    </w:p>
    <w:p w:rsidR="00764FFF" w:rsidRPr="00D335A7" w:rsidRDefault="00764FFF" w:rsidP="00FD763C">
      <w:pPr>
        <w:spacing w:after="0" w:line="276" w:lineRule="auto"/>
        <w:jc w:val="both"/>
        <w:rPr>
          <w:rFonts w:ascii="Times New Roman" w:hAnsi="Times New Roman"/>
          <w:sz w:val="24"/>
          <w:szCs w:val="24"/>
        </w:rPr>
      </w:pPr>
      <w:r w:rsidRPr="00D335A7">
        <w:rPr>
          <w:rFonts w:ascii="Times New Roman" w:hAnsi="Times New Roman"/>
          <w:sz w:val="24"/>
          <w:szCs w:val="24"/>
        </w:rPr>
        <w:t>La surveillance et le suivi environnemental concernent les phases d’implantation, de construction et d’exploitation. Le programme de surveillance peut permettre, si nécessaire, de réorienter les travaux et éventuellement d’améliorer le déroulement de la construction et de la mise en place des différents éléments du projet.</w:t>
      </w:r>
    </w:p>
    <w:p w:rsidR="00764FFF" w:rsidRPr="00D335A7" w:rsidRDefault="00764FFF" w:rsidP="00764FFF">
      <w:pPr>
        <w:spacing w:before="100" w:beforeAutospacing="1" w:after="100" w:afterAutospacing="1" w:line="276" w:lineRule="auto"/>
        <w:jc w:val="both"/>
        <w:rPr>
          <w:rFonts w:ascii="Times New Roman" w:eastAsia="Times New Roman" w:hAnsi="Times New Roman"/>
          <w:sz w:val="24"/>
          <w:szCs w:val="24"/>
          <w:lang w:eastAsia="fr-FR"/>
        </w:rPr>
      </w:pPr>
      <w:r w:rsidRPr="00D335A7">
        <w:rPr>
          <w:rFonts w:ascii="Times New Roman" w:eastAsia="Times New Roman" w:hAnsi="Times New Roman"/>
          <w:sz w:val="24"/>
          <w:szCs w:val="24"/>
          <w:lang w:eastAsia="fr-FR"/>
        </w:rPr>
        <w:lastRenderedPageBreak/>
        <w:t>Le programme de surveillance et suivi environnemental contient notamment :</w:t>
      </w:r>
    </w:p>
    <w:p w:rsidR="00764FFF" w:rsidRPr="00D335A7" w:rsidRDefault="00764FFF" w:rsidP="00FA3FAE">
      <w:pPr>
        <w:numPr>
          <w:ilvl w:val="0"/>
          <w:numId w:val="106"/>
        </w:numPr>
        <w:pBdr>
          <w:top w:val="single" w:sz="4" w:space="1" w:color="auto"/>
          <w:left w:val="single" w:sz="4" w:space="4" w:color="auto"/>
          <w:bottom w:val="single" w:sz="4" w:space="1" w:color="auto"/>
          <w:right w:val="single" w:sz="4" w:space="4" w:color="auto"/>
        </w:pBdr>
        <w:spacing w:before="100" w:beforeAutospacing="1" w:after="100" w:afterAutospacing="1" w:line="240" w:lineRule="auto"/>
        <w:jc w:val="both"/>
        <w:rPr>
          <w:rFonts w:ascii="Times New Roman" w:eastAsia="Times New Roman" w:hAnsi="Times New Roman"/>
          <w:sz w:val="24"/>
          <w:szCs w:val="24"/>
          <w:lang w:eastAsia="fr-FR"/>
        </w:rPr>
      </w:pPr>
      <w:r w:rsidRPr="00D335A7">
        <w:rPr>
          <w:rFonts w:ascii="Times New Roman" w:eastAsia="Times New Roman" w:hAnsi="Times New Roman"/>
          <w:sz w:val="24"/>
          <w:szCs w:val="24"/>
          <w:lang w:eastAsia="fr-FR"/>
        </w:rPr>
        <w:t>La liste des éléments ou paramètres nécessitant une surveillance environnementale ;</w:t>
      </w:r>
    </w:p>
    <w:p w:rsidR="00764FFF" w:rsidRPr="00D335A7" w:rsidRDefault="00764FFF" w:rsidP="00FA3FAE">
      <w:pPr>
        <w:numPr>
          <w:ilvl w:val="0"/>
          <w:numId w:val="106"/>
        </w:numPr>
        <w:pBdr>
          <w:top w:val="single" w:sz="4" w:space="1" w:color="auto"/>
          <w:left w:val="single" w:sz="4" w:space="4" w:color="auto"/>
          <w:bottom w:val="single" w:sz="4" w:space="1" w:color="auto"/>
          <w:right w:val="single" w:sz="4" w:space="4" w:color="auto"/>
        </w:pBdr>
        <w:spacing w:before="100" w:beforeAutospacing="1" w:after="100" w:afterAutospacing="1" w:line="240" w:lineRule="auto"/>
        <w:jc w:val="both"/>
        <w:rPr>
          <w:rFonts w:ascii="Times New Roman" w:eastAsia="Times New Roman" w:hAnsi="Times New Roman"/>
          <w:sz w:val="24"/>
          <w:szCs w:val="24"/>
          <w:lang w:eastAsia="fr-FR"/>
        </w:rPr>
      </w:pPr>
      <w:r w:rsidRPr="00D335A7">
        <w:rPr>
          <w:rFonts w:ascii="Times New Roman" w:eastAsia="Times New Roman" w:hAnsi="Times New Roman"/>
          <w:sz w:val="24"/>
          <w:szCs w:val="24"/>
          <w:lang w:eastAsia="fr-FR"/>
        </w:rPr>
        <w:t>L’ensemble des mesures et des moyens envisagés pour protéger l’environnement ;</w:t>
      </w:r>
    </w:p>
    <w:p w:rsidR="00764FFF" w:rsidRPr="00D335A7" w:rsidRDefault="00764FFF" w:rsidP="00FA3FAE">
      <w:pPr>
        <w:numPr>
          <w:ilvl w:val="0"/>
          <w:numId w:val="106"/>
        </w:numPr>
        <w:pBdr>
          <w:top w:val="single" w:sz="4" w:space="1" w:color="auto"/>
          <w:left w:val="single" w:sz="4" w:space="4" w:color="auto"/>
          <w:bottom w:val="single" w:sz="4" w:space="1" w:color="auto"/>
          <w:right w:val="single" w:sz="4" w:space="4" w:color="auto"/>
        </w:pBdr>
        <w:spacing w:before="100" w:beforeAutospacing="1" w:after="100" w:afterAutospacing="1" w:line="240" w:lineRule="auto"/>
        <w:jc w:val="both"/>
        <w:rPr>
          <w:rFonts w:ascii="Times New Roman" w:eastAsia="Times New Roman" w:hAnsi="Times New Roman"/>
          <w:sz w:val="24"/>
          <w:szCs w:val="24"/>
          <w:lang w:eastAsia="fr-FR"/>
        </w:rPr>
      </w:pPr>
      <w:r w:rsidRPr="00D335A7">
        <w:rPr>
          <w:rFonts w:ascii="Times New Roman" w:eastAsia="Times New Roman" w:hAnsi="Times New Roman"/>
          <w:sz w:val="24"/>
          <w:szCs w:val="24"/>
          <w:lang w:eastAsia="fr-FR"/>
        </w:rPr>
        <w:t>Les caractéristiques du programme de surveillance, lorsque celles-ci sont prévisibles (ex : localisation des interventions, méthode d’intervention, indicateurs qualitatifs et quantitatifs à mesurer, période de réalisation, ressources humaines et financières affectées au programme) ;</w:t>
      </w:r>
    </w:p>
    <w:p w:rsidR="00764FFF" w:rsidRPr="00D335A7" w:rsidRDefault="00764FFF" w:rsidP="00FA3FAE">
      <w:pPr>
        <w:numPr>
          <w:ilvl w:val="0"/>
          <w:numId w:val="106"/>
        </w:numPr>
        <w:pBdr>
          <w:top w:val="single" w:sz="4" w:space="1" w:color="auto"/>
          <w:left w:val="single" w:sz="4" w:space="4" w:color="auto"/>
          <w:bottom w:val="single" w:sz="4" w:space="1" w:color="auto"/>
          <w:right w:val="single" w:sz="4" w:space="4" w:color="auto"/>
        </w:pBdr>
        <w:spacing w:before="100" w:beforeAutospacing="1" w:after="100" w:afterAutospacing="1" w:line="240" w:lineRule="auto"/>
        <w:jc w:val="both"/>
        <w:rPr>
          <w:rFonts w:ascii="Times New Roman" w:eastAsia="Times New Roman" w:hAnsi="Times New Roman"/>
          <w:sz w:val="24"/>
          <w:szCs w:val="24"/>
          <w:lang w:eastAsia="fr-FR"/>
        </w:rPr>
      </w:pPr>
      <w:r w:rsidRPr="00D335A7">
        <w:rPr>
          <w:rFonts w:ascii="Times New Roman" w:eastAsia="Times New Roman" w:hAnsi="Times New Roman"/>
          <w:sz w:val="24"/>
          <w:szCs w:val="24"/>
          <w:lang w:eastAsia="fr-FR"/>
        </w:rPr>
        <w:t>Les engagements de l’entreprise quant au dépôt des rapports environnementaux.</w:t>
      </w:r>
    </w:p>
    <w:p w:rsidR="00764FFF" w:rsidRPr="002F304D" w:rsidRDefault="00764FFF" w:rsidP="00764FFF">
      <w:pPr>
        <w:pStyle w:val="Listecouleur-Accent11"/>
        <w:keepNext/>
        <w:spacing w:before="240" w:after="240"/>
        <w:ind w:left="807" w:firstLine="258"/>
        <w:outlineLvl w:val="2"/>
        <w:rPr>
          <w:rFonts w:ascii="Times New Roman" w:hAnsi="Times New Roman"/>
          <w:b/>
          <w:sz w:val="24"/>
          <w:szCs w:val="24"/>
          <w:u w:val="single"/>
          <w:lang w:val="fr-FR" w:eastAsia="fr-FR"/>
        </w:rPr>
      </w:pPr>
      <w:bookmarkStart w:id="595" w:name="_Toc535408370"/>
      <w:bookmarkStart w:id="596" w:name="_Toc11158387"/>
      <w:bookmarkStart w:id="597" w:name="_Toc51072601"/>
      <w:r>
        <w:rPr>
          <w:rFonts w:ascii="Times New Roman" w:hAnsi="Times New Roman"/>
          <w:b/>
          <w:sz w:val="24"/>
          <w:szCs w:val="24"/>
          <w:u w:val="single"/>
          <w:lang w:val="fr-FR" w:eastAsia="fr-FR"/>
        </w:rPr>
        <w:t>8</w:t>
      </w:r>
      <w:r w:rsidRPr="002F304D">
        <w:rPr>
          <w:rFonts w:ascii="Times New Roman" w:hAnsi="Times New Roman"/>
          <w:b/>
          <w:sz w:val="24"/>
          <w:szCs w:val="24"/>
          <w:u w:val="single"/>
          <w:lang w:val="fr-FR" w:eastAsia="fr-FR"/>
        </w:rPr>
        <w:t>.</w:t>
      </w:r>
      <w:r>
        <w:rPr>
          <w:rFonts w:ascii="Times New Roman" w:hAnsi="Times New Roman"/>
          <w:b/>
          <w:sz w:val="24"/>
          <w:szCs w:val="24"/>
          <w:u w:val="single"/>
          <w:lang w:val="fr-FR" w:eastAsia="fr-FR"/>
        </w:rPr>
        <w:t>3.</w:t>
      </w:r>
      <w:r w:rsidRPr="002F304D">
        <w:rPr>
          <w:rFonts w:ascii="Times New Roman" w:hAnsi="Times New Roman"/>
          <w:b/>
          <w:sz w:val="24"/>
          <w:szCs w:val="24"/>
          <w:u w:val="single"/>
          <w:lang w:val="fr-FR" w:eastAsia="fr-FR"/>
        </w:rPr>
        <w:t>1. SURVEILLANCE ENVIRONNEMENTALE ET SOCIALE</w:t>
      </w:r>
      <w:bookmarkEnd w:id="595"/>
      <w:bookmarkEnd w:id="596"/>
      <w:bookmarkEnd w:id="597"/>
    </w:p>
    <w:p w:rsidR="004B4B35" w:rsidRDefault="00764FFF" w:rsidP="00764FFF">
      <w:pPr>
        <w:jc w:val="both"/>
        <w:rPr>
          <w:rFonts w:ascii="Times New Roman" w:hAnsi="Times New Roman"/>
          <w:sz w:val="24"/>
          <w:szCs w:val="24"/>
        </w:rPr>
      </w:pPr>
      <w:r w:rsidRPr="00D335A7">
        <w:rPr>
          <w:rFonts w:ascii="Times New Roman" w:hAnsi="Times New Roman"/>
          <w:sz w:val="24"/>
          <w:szCs w:val="24"/>
        </w:rPr>
        <w:t xml:space="preserve">Elle vise à s’assurer que l’entreprise respecte ses engagements et obligations en matière de protection de l’environnement tout au long du </w:t>
      </w:r>
      <w:r w:rsidR="004B4B35">
        <w:rPr>
          <w:rFonts w:ascii="Times New Roman" w:hAnsi="Times New Roman"/>
          <w:sz w:val="24"/>
          <w:szCs w:val="24"/>
        </w:rPr>
        <w:t>sous-</w:t>
      </w:r>
      <w:r w:rsidRPr="00D335A7">
        <w:rPr>
          <w:rFonts w:ascii="Times New Roman" w:hAnsi="Times New Roman"/>
          <w:sz w:val="24"/>
          <w:szCs w:val="24"/>
        </w:rPr>
        <w:t>projet</w:t>
      </w:r>
      <w:r w:rsidR="004B4B35">
        <w:rPr>
          <w:rFonts w:ascii="Times New Roman" w:hAnsi="Times New Roman"/>
          <w:sz w:val="24"/>
          <w:szCs w:val="24"/>
        </w:rPr>
        <w:t xml:space="preserve"> n°2</w:t>
      </w:r>
      <w:r w:rsidRPr="00D335A7">
        <w:rPr>
          <w:rFonts w:ascii="Times New Roman" w:hAnsi="Times New Roman"/>
          <w:sz w:val="24"/>
          <w:szCs w:val="24"/>
        </w:rPr>
        <w:t xml:space="preserve">, que les mesures d’atténuation et de bonification sont effectivement mises en œuvre pendant les travaux.  Aussi, la surveillance environnementale a pour objectif de réduire les désagréments sur les milieux naturels et socio-économiques. </w:t>
      </w:r>
    </w:p>
    <w:p w:rsidR="00764FFF" w:rsidRPr="00D335A7" w:rsidRDefault="00764FFF" w:rsidP="00764FFF">
      <w:pPr>
        <w:jc w:val="both"/>
        <w:rPr>
          <w:rFonts w:ascii="Times New Roman" w:hAnsi="Times New Roman"/>
          <w:sz w:val="24"/>
          <w:szCs w:val="24"/>
        </w:rPr>
      </w:pPr>
      <w:r w:rsidRPr="00D335A7">
        <w:rPr>
          <w:rFonts w:ascii="Times New Roman" w:hAnsi="Times New Roman"/>
          <w:sz w:val="24"/>
          <w:szCs w:val="24"/>
        </w:rPr>
        <w:t xml:space="preserve"> La surveillance environnementale et sociale devra être effectuée par la Mission de Contrôle (MdC) « PROSPECTIVA ». De plus, la MdC pourra jouer le rôle d’interface entre les occupants du site et l’entreprise de travaux en cas de plaintes.</w:t>
      </w:r>
    </w:p>
    <w:p w:rsidR="00764FFF" w:rsidRPr="002F304D" w:rsidRDefault="00764FFF" w:rsidP="00764FFF">
      <w:pPr>
        <w:pStyle w:val="Listecouleur-Accent11"/>
        <w:keepNext/>
        <w:spacing w:before="240" w:after="240"/>
        <w:ind w:left="807" w:firstLine="258"/>
        <w:outlineLvl w:val="2"/>
        <w:rPr>
          <w:rFonts w:ascii="Times New Roman" w:hAnsi="Times New Roman"/>
          <w:b/>
          <w:sz w:val="24"/>
          <w:szCs w:val="24"/>
          <w:u w:val="single"/>
          <w:lang w:val="fr-FR" w:eastAsia="fr-FR"/>
        </w:rPr>
      </w:pPr>
      <w:bookmarkStart w:id="598" w:name="_Toc535408371"/>
      <w:bookmarkStart w:id="599" w:name="_Toc11158388"/>
      <w:bookmarkStart w:id="600" w:name="_Toc51072602"/>
      <w:r>
        <w:rPr>
          <w:rFonts w:ascii="Times New Roman" w:hAnsi="Times New Roman"/>
          <w:b/>
          <w:sz w:val="24"/>
          <w:szCs w:val="24"/>
          <w:u w:val="single"/>
          <w:lang w:val="fr-FR" w:eastAsia="fr-FR"/>
        </w:rPr>
        <w:t>8</w:t>
      </w:r>
      <w:r w:rsidRPr="002F304D">
        <w:rPr>
          <w:rFonts w:ascii="Times New Roman" w:hAnsi="Times New Roman"/>
          <w:b/>
          <w:sz w:val="24"/>
          <w:szCs w:val="24"/>
          <w:u w:val="single"/>
          <w:lang w:val="fr-FR" w:eastAsia="fr-FR"/>
        </w:rPr>
        <w:t>.</w:t>
      </w:r>
      <w:r>
        <w:rPr>
          <w:rFonts w:ascii="Times New Roman" w:hAnsi="Times New Roman"/>
          <w:b/>
          <w:sz w:val="24"/>
          <w:szCs w:val="24"/>
          <w:u w:val="single"/>
          <w:lang w:val="fr-FR" w:eastAsia="fr-FR"/>
        </w:rPr>
        <w:t>3.</w:t>
      </w:r>
      <w:r w:rsidRPr="002F304D">
        <w:rPr>
          <w:rFonts w:ascii="Times New Roman" w:hAnsi="Times New Roman"/>
          <w:b/>
          <w:sz w:val="24"/>
          <w:szCs w:val="24"/>
          <w:u w:val="single"/>
          <w:lang w:val="fr-FR" w:eastAsia="fr-FR"/>
        </w:rPr>
        <w:t>2. SUIVI ENVIRONNEMENTAL ET SOCIAL</w:t>
      </w:r>
      <w:bookmarkEnd w:id="598"/>
      <w:bookmarkEnd w:id="599"/>
      <w:bookmarkEnd w:id="600"/>
      <w:r w:rsidRPr="002F304D">
        <w:rPr>
          <w:rFonts w:ascii="Times New Roman" w:hAnsi="Times New Roman"/>
          <w:b/>
          <w:sz w:val="24"/>
          <w:szCs w:val="24"/>
          <w:u w:val="single"/>
          <w:lang w:val="fr-FR" w:eastAsia="fr-FR"/>
        </w:rPr>
        <w:t xml:space="preserve"> </w:t>
      </w:r>
    </w:p>
    <w:p w:rsidR="00764FFF" w:rsidRPr="00D335A7" w:rsidRDefault="00764FFF" w:rsidP="00764FFF">
      <w:pPr>
        <w:jc w:val="both"/>
        <w:rPr>
          <w:rFonts w:ascii="Times New Roman" w:hAnsi="Times New Roman"/>
          <w:sz w:val="24"/>
          <w:szCs w:val="24"/>
        </w:rPr>
      </w:pPr>
      <w:r w:rsidRPr="00D335A7">
        <w:rPr>
          <w:rFonts w:ascii="Times New Roman" w:hAnsi="Times New Roman"/>
          <w:sz w:val="24"/>
          <w:szCs w:val="24"/>
        </w:rPr>
        <w:t xml:space="preserve">Il sera assuré par AAAC qui va contrôler le respect de la réglementation nationale en matière d’environnement en collaboration avec l’ensemble des services concernés dans le cadre de la mise en œuvre du </w:t>
      </w:r>
      <w:r w:rsidR="004B4B35">
        <w:rPr>
          <w:rFonts w:ascii="Times New Roman" w:hAnsi="Times New Roman"/>
          <w:sz w:val="24"/>
          <w:szCs w:val="24"/>
        </w:rPr>
        <w:t>sous –</w:t>
      </w:r>
      <w:r w:rsidRPr="00D335A7">
        <w:rPr>
          <w:rFonts w:ascii="Times New Roman" w:hAnsi="Times New Roman"/>
          <w:sz w:val="24"/>
          <w:szCs w:val="24"/>
        </w:rPr>
        <w:t>projet</w:t>
      </w:r>
      <w:r w:rsidR="004B4B35">
        <w:rPr>
          <w:rFonts w:ascii="Times New Roman" w:hAnsi="Times New Roman"/>
          <w:sz w:val="24"/>
          <w:szCs w:val="24"/>
        </w:rPr>
        <w:t xml:space="preserve"> n°2</w:t>
      </w:r>
      <w:r w:rsidRPr="00D335A7">
        <w:rPr>
          <w:rFonts w:ascii="Times New Roman" w:hAnsi="Times New Roman"/>
          <w:sz w:val="24"/>
          <w:szCs w:val="24"/>
        </w:rPr>
        <w:t xml:space="preserve"> </w:t>
      </w:r>
      <w:r w:rsidR="004B4B35">
        <w:rPr>
          <w:rFonts w:ascii="Times New Roman" w:hAnsi="Times New Roman"/>
          <w:sz w:val="24"/>
          <w:szCs w:val="24"/>
        </w:rPr>
        <w:t>du projet PUASEE-FA</w:t>
      </w:r>
      <w:r w:rsidRPr="00D335A7">
        <w:rPr>
          <w:rFonts w:ascii="Times New Roman" w:hAnsi="Times New Roman"/>
          <w:sz w:val="24"/>
          <w:szCs w:val="24"/>
        </w:rPr>
        <w:t>.</w:t>
      </w:r>
    </w:p>
    <w:p w:rsidR="00764FFF" w:rsidRPr="00D335A7" w:rsidRDefault="00764FFF" w:rsidP="00FA3FAE">
      <w:pPr>
        <w:pStyle w:val="Listecouleur-Accent11"/>
        <w:numPr>
          <w:ilvl w:val="0"/>
          <w:numId w:val="113"/>
        </w:numPr>
        <w:spacing w:line="276" w:lineRule="auto"/>
        <w:jc w:val="left"/>
        <w:rPr>
          <w:rFonts w:ascii="Times New Roman" w:hAnsi="Times New Roman"/>
          <w:sz w:val="24"/>
          <w:szCs w:val="24"/>
          <w:lang w:val="fr-FR"/>
        </w:rPr>
      </w:pPr>
      <w:r w:rsidRPr="00D335A7">
        <w:rPr>
          <w:rFonts w:ascii="Times New Roman" w:hAnsi="Times New Roman"/>
          <w:sz w:val="24"/>
          <w:szCs w:val="24"/>
          <w:lang w:val="fr-FR"/>
        </w:rPr>
        <w:t>Supervision</w:t>
      </w:r>
    </w:p>
    <w:p w:rsidR="00764FFF" w:rsidRPr="00D335A7" w:rsidRDefault="004B4B35" w:rsidP="004B4B35">
      <w:pPr>
        <w:spacing w:after="0"/>
        <w:rPr>
          <w:rFonts w:ascii="Times New Roman" w:hAnsi="Times New Roman"/>
          <w:sz w:val="24"/>
          <w:szCs w:val="24"/>
        </w:rPr>
      </w:pPr>
      <w:r>
        <w:rPr>
          <w:rFonts w:ascii="Times New Roman" w:hAnsi="Times New Roman"/>
          <w:sz w:val="24"/>
          <w:szCs w:val="24"/>
        </w:rPr>
        <w:t xml:space="preserve">                           </w:t>
      </w:r>
      <w:r w:rsidR="00764FFF" w:rsidRPr="00D335A7">
        <w:rPr>
          <w:rFonts w:ascii="Times New Roman" w:hAnsi="Times New Roman"/>
          <w:sz w:val="24"/>
          <w:szCs w:val="24"/>
        </w:rPr>
        <w:t xml:space="preserve">La supervision sera effectuée par l’Unité de Coordination du Projet.  </w:t>
      </w:r>
    </w:p>
    <w:p w:rsidR="00764FFF" w:rsidRPr="00D335A7" w:rsidRDefault="00764FFF" w:rsidP="00FA3FAE">
      <w:pPr>
        <w:pStyle w:val="Listecouleur-Accent11"/>
        <w:numPr>
          <w:ilvl w:val="0"/>
          <w:numId w:val="112"/>
        </w:numPr>
        <w:spacing w:line="276" w:lineRule="auto"/>
        <w:jc w:val="left"/>
        <w:rPr>
          <w:rFonts w:ascii="Times New Roman" w:hAnsi="Times New Roman"/>
          <w:sz w:val="24"/>
          <w:szCs w:val="24"/>
          <w:lang w:val="fr-FR"/>
        </w:rPr>
      </w:pPr>
      <w:r w:rsidRPr="00D335A7">
        <w:rPr>
          <w:rFonts w:ascii="Times New Roman" w:hAnsi="Times New Roman"/>
          <w:sz w:val="24"/>
          <w:szCs w:val="24"/>
          <w:lang w:val="fr-FR"/>
        </w:rPr>
        <w:t>Évaluation</w:t>
      </w:r>
    </w:p>
    <w:p w:rsidR="00764FFF" w:rsidRPr="00D335A7" w:rsidRDefault="004B4B35" w:rsidP="004B4B35">
      <w:pPr>
        <w:spacing w:after="0"/>
        <w:rPr>
          <w:rFonts w:ascii="Times New Roman" w:hAnsi="Times New Roman"/>
          <w:sz w:val="24"/>
          <w:szCs w:val="24"/>
        </w:rPr>
      </w:pPr>
      <w:r>
        <w:rPr>
          <w:rFonts w:ascii="Times New Roman" w:hAnsi="Times New Roman"/>
          <w:sz w:val="24"/>
          <w:szCs w:val="24"/>
        </w:rPr>
        <w:t xml:space="preserve">                            </w:t>
      </w:r>
      <w:r w:rsidR="00764FFF" w:rsidRPr="00D335A7">
        <w:rPr>
          <w:rFonts w:ascii="Times New Roman" w:hAnsi="Times New Roman"/>
          <w:sz w:val="24"/>
          <w:szCs w:val="24"/>
        </w:rPr>
        <w:t>L’Évaluation est faite par un Consultant indépendant à la fin des travaux.</w:t>
      </w:r>
    </w:p>
    <w:p w:rsidR="00764FFF" w:rsidRPr="00D335A7" w:rsidRDefault="00764FFF" w:rsidP="00FA3FAE">
      <w:pPr>
        <w:pStyle w:val="Listecouleur-Accent11"/>
        <w:numPr>
          <w:ilvl w:val="0"/>
          <w:numId w:val="111"/>
        </w:numPr>
        <w:spacing w:line="276" w:lineRule="auto"/>
        <w:jc w:val="left"/>
        <w:rPr>
          <w:rFonts w:ascii="Times New Roman" w:hAnsi="Times New Roman"/>
          <w:sz w:val="24"/>
          <w:szCs w:val="24"/>
          <w:lang w:val="fr-FR"/>
        </w:rPr>
      </w:pPr>
      <w:r w:rsidRPr="00D335A7">
        <w:rPr>
          <w:rFonts w:ascii="Times New Roman" w:hAnsi="Times New Roman"/>
          <w:sz w:val="24"/>
          <w:szCs w:val="24"/>
          <w:lang w:val="fr-FR"/>
        </w:rPr>
        <w:t>Dispositif de rapportage</w:t>
      </w:r>
    </w:p>
    <w:p w:rsidR="00764FFF" w:rsidRPr="00D335A7" w:rsidRDefault="004B4B35" w:rsidP="004B4B35">
      <w:pPr>
        <w:spacing w:after="0"/>
        <w:rPr>
          <w:rFonts w:ascii="Times New Roman" w:hAnsi="Times New Roman"/>
          <w:sz w:val="24"/>
          <w:szCs w:val="24"/>
        </w:rPr>
      </w:pPr>
      <w:r>
        <w:rPr>
          <w:rFonts w:ascii="Times New Roman" w:hAnsi="Times New Roman"/>
          <w:sz w:val="24"/>
          <w:szCs w:val="24"/>
        </w:rPr>
        <w:t xml:space="preserve">                            </w:t>
      </w:r>
      <w:r w:rsidR="00764FFF" w:rsidRPr="00D335A7">
        <w:rPr>
          <w:rFonts w:ascii="Times New Roman" w:hAnsi="Times New Roman"/>
          <w:sz w:val="24"/>
          <w:szCs w:val="24"/>
        </w:rPr>
        <w:t xml:space="preserve">Pour un meilleur suivi de la mise en œuvre du PGES, le dispositif de rapportage </w:t>
      </w:r>
      <w:r>
        <w:rPr>
          <w:rFonts w:ascii="Times New Roman" w:hAnsi="Times New Roman"/>
          <w:sz w:val="24"/>
          <w:szCs w:val="24"/>
        </w:rPr>
        <w:t xml:space="preserve">      </w:t>
      </w:r>
      <w:r w:rsidR="00764FFF" w:rsidRPr="00D335A7">
        <w:rPr>
          <w:rFonts w:ascii="Times New Roman" w:hAnsi="Times New Roman"/>
          <w:sz w:val="24"/>
          <w:szCs w:val="24"/>
        </w:rPr>
        <w:t xml:space="preserve">suivant est proposé : </w:t>
      </w:r>
    </w:p>
    <w:p w:rsidR="00764FFF" w:rsidRPr="00D335A7" w:rsidRDefault="00764FFF" w:rsidP="00FA3FAE">
      <w:pPr>
        <w:pStyle w:val="Listecouleur-Accent11"/>
        <w:numPr>
          <w:ilvl w:val="0"/>
          <w:numId w:val="114"/>
        </w:numPr>
        <w:spacing w:after="200" w:line="276" w:lineRule="auto"/>
        <w:jc w:val="left"/>
        <w:rPr>
          <w:rFonts w:ascii="Times New Roman" w:hAnsi="Times New Roman"/>
          <w:sz w:val="24"/>
          <w:szCs w:val="24"/>
          <w:lang w:val="fr-FR"/>
        </w:rPr>
      </w:pPr>
      <w:r w:rsidRPr="00D335A7">
        <w:rPr>
          <w:rFonts w:ascii="Times New Roman" w:hAnsi="Times New Roman"/>
          <w:sz w:val="24"/>
          <w:szCs w:val="24"/>
          <w:lang w:val="fr-FR"/>
        </w:rPr>
        <w:t xml:space="preserve">Des rapports périodiques mensuels ou circonstanciés de mise en œuvre du PGES produits par les environnementalistes de l’entreprise adjudicataire des travaux ; </w:t>
      </w:r>
    </w:p>
    <w:p w:rsidR="00764FFF" w:rsidRPr="00D335A7" w:rsidRDefault="00764FFF" w:rsidP="00FA3FAE">
      <w:pPr>
        <w:pStyle w:val="Listecouleur-Accent11"/>
        <w:numPr>
          <w:ilvl w:val="0"/>
          <w:numId w:val="114"/>
        </w:numPr>
        <w:spacing w:after="200" w:line="276" w:lineRule="auto"/>
        <w:jc w:val="left"/>
        <w:rPr>
          <w:rFonts w:ascii="Times New Roman" w:hAnsi="Times New Roman"/>
          <w:sz w:val="24"/>
          <w:szCs w:val="24"/>
          <w:lang w:val="fr-FR"/>
        </w:rPr>
      </w:pPr>
      <w:r w:rsidRPr="00D335A7">
        <w:rPr>
          <w:rFonts w:ascii="Times New Roman" w:hAnsi="Times New Roman"/>
          <w:sz w:val="24"/>
          <w:szCs w:val="24"/>
          <w:lang w:val="fr-FR"/>
        </w:rPr>
        <w:t xml:space="preserve">Des rapports périodiques (mensuel, trimestriel, semestriel ou annuel) de surveillance de la mise en œuvre du PGES à être produits par la MdC « PROSPECTIVA » ; </w:t>
      </w:r>
    </w:p>
    <w:p w:rsidR="00764FFF" w:rsidRPr="00D335A7" w:rsidRDefault="00764FFF" w:rsidP="00FA3FAE">
      <w:pPr>
        <w:pStyle w:val="Listecouleur-Accent11"/>
        <w:numPr>
          <w:ilvl w:val="0"/>
          <w:numId w:val="114"/>
        </w:numPr>
        <w:spacing w:after="200" w:line="276" w:lineRule="auto"/>
        <w:jc w:val="left"/>
        <w:rPr>
          <w:rFonts w:ascii="Times New Roman" w:hAnsi="Times New Roman"/>
          <w:sz w:val="24"/>
          <w:szCs w:val="24"/>
          <w:lang w:val="fr-FR"/>
        </w:rPr>
      </w:pPr>
      <w:r w:rsidRPr="00D335A7">
        <w:rPr>
          <w:rFonts w:ascii="Times New Roman" w:hAnsi="Times New Roman"/>
          <w:sz w:val="24"/>
          <w:szCs w:val="24"/>
          <w:lang w:val="fr-FR"/>
        </w:rPr>
        <w:t xml:space="preserve">Des rapports trimestriels de l’AAAC sur les paramètres environnementaux et les infractions </w:t>
      </w:r>
    </w:p>
    <w:p w:rsidR="00764FFF" w:rsidRDefault="00764FFF" w:rsidP="00FA3FAE">
      <w:pPr>
        <w:pStyle w:val="Listecouleur-Accent11"/>
        <w:numPr>
          <w:ilvl w:val="0"/>
          <w:numId w:val="114"/>
        </w:numPr>
        <w:spacing w:after="200" w:line="276" w:lineRule="auto"/>
        <w:jc w:val="left"/>
        <w:rPr>
          <w:rFonts w:ascii="Times New Roman" w:hAnsi="Times New Roman"/>
          <w:sz w:val="24"/>
          <w:szCs w:val="24"/>
          <w:lang w:val="fr-FR"/>
        </w:rPr>
      </w:pPr>
      <w:r w:rsidRPr="00D335A7">
        <w:rPr>
          <w:rFonts w:ascii="Times New Roman" w:hAnsi="Times New Roman"/>
          <w:sz w:val="24"/>
          <w:szCs w:val="24"/>
          <w:lang w:val="fr-FR"/>
        </w:rPr>
        <w:t xml:space="preserve">Des rapports semestriels (ou circonstanciés) de supervision de la mise en œuvre du PGES produit par l’UCP et transmis à la Banque Mondiale. </w:t>
      </w:r>
    </w:p>
    <w:p w:rsidR="00820701" w:rsidRPr="00D335A7" w:rsidRDefault="00820701" w:rsidP="00820701">
      <w:pPr>
        <w:pStyle w:val="Listecouleur-Accent11"/>
        <w:spacing w:after="200" w:line="276" w:lineRule="auto"/>
        <w:jc w:val="left"/>
        <w:rPr>
          <w:rFonts w:ascii="Times New Roman" w:hAnsi="Times New Roman"/>
          <w:sz w:val="24"/>
          <w:szCs w:val="24"/>
          <w:lang w:val="fr-FR"/>
        </w:rPr>
      </w:pPr>
    </w:p>
    <w:p w:rsidR="00764FFF" w:rsidRPr="002F304D" w:rsidRDefault="00764FFF" w:rsidP="00764FFF">
      <w:pPr>
        <w:pStyle w:val="Listecouleur-Accent11"/>
        <w:keepNext/>
        <w:spacing w:before="240" w:after="240"/>
        <w:ind w:left="807" w:firstLine="258"/>
        <w:outlineLvl w:val="2"/>
        <w:rPr>
          <w:rFonts w:ascii="Times New Roman" w:hAnsi="Times New Roman"/>
          <w:b/>
          <w:sz w:val="24"/>
          <w:szCs w:val="24"/>
          <w:u w:val="single"/>
          <w:lang w:val="fr-FR" w:eastAsia="fr-FR"/>
        </w:rPr>
      </w:pPr>
      <w:bookmarkStart w:id="601" w:name="_Toc535408372"/>
      <w:bookmarkStart w:id="602" w:name="_Toc11158389"/>
      <w:bookmarkStart w:id="603" w:name="_Toc51072603"/>
      <w:r>
        <w:rPr>
          <w:rFonts w:ascii="Times New Roman" w:hAnsi="Times New Roman"/>
          <w:b/>
          <w:sz w:val="24"/>
          <w:szCs w:val="24"/>
          <w:u w:val="single"/>
          <w:lang w:val="fr-FR" w:eastAsia="fr-FR"/>
        </w:rPr>
        <w:t>8</w:t>
      </w:r>
      <w:r w:rsidRPr="002F304D">
        <w:rPr>
          <w:rFonts w:ascii="Times New Roman" w:hAnsi="Times New Roman"/>
          <w:b/>
          <w:sz w:val="24"/>
          <w:szCs w:val="24"/>
          <w:u w:val="single"/>
          <w:lang w:val="fr-FR" w:eastAsia="fr-FR"/>
        </w:rPr>
        <w:t>.</w:t>
      </w:r>
      <w:r>
        <w:rPr>
          <w:rFonts w:ascii="Times New Roman" w:hAnsi="Times New Roman"/>
          <w:b/>
          <w:sz w:val="24"/>
          <w:szCs w:val="24"/>
          <w:u w:val="single"/>
          <w:lang w:val="fr-FR" w:eastAsia="fr-FR"/>
        </w:rPr>
        <w:t>3.</w:t>
      </w:r>
      <w:r w:rsidRPr="002F304D">
        <w:rPr>
          <w:rFonts w:ascii="Times New Roman" w:hAnsi="Times New Roman"/>
          <w:b/>
          <w:sz w:val="24"/>
          <w:szCs w:val="24"/>
          <w:u w:val="single"/>
          <w:lang w:val="fr-FR" w:eastAsia="fr-FR"/>
        </w:rPr>
        <w:t>3. INDICATEURS DE SUIVI ENVIRONNEMENTAL ET SOCIAL</w:t>
      </w:r>
      <w:bookmarkEnd w:id="601"/>
      <w:bookmarkEnd w:id="602"/>
      <w:bookmarkEnd w:id="603"/>
    </w:p>
    <w:p w:rsidR="00764FFF" w:rsidRPr="00D335A7" w:rsidRDefault="00764FFF" w:rsidP="00764FFF">
      <w:pPr>
        <w:rPr>
          <w:rFonts w:ascii="Times New Roman" w:hAnsi="Times New Roman"/>
          <w:sz w:val="24"/>
          <w:szCs w:val="24"/>
        </w:rPr>
        <w:sectPr w:rsidR="00764FFF" w:rsidRPr="00D335A7" w:rsidSect="00764FFF">
          <w:pgSz w:w="11906" w:h="16838"/>
          <w:pgMar w:top="1418" w:right="849" w:bottom="1418" w:left="1418" w:header="709" w:footer="709" w:gutter="0"/>
          <w:cols w:space="708"/>
          <w:docGrid w:linePitch="360"/>
        </w:sectPr>
      </w:pPr>
      <w:r w:rsidRPr="00D335A7">
        <w:rPr>
          <w:rFonts w:ascii="Times New Roman" w:hAnsi="Times New Roman"/>
          <w:sz w:val="24"/>
          <w:szCs w:val="24"/>
        </w:rPr>
        <w:t>Le suivi de l’ensemble des paramètres biophysiques et socioéconomiques est essentiel. Toutefois, pour ne pas alourdir le dispositif, il est suggéré de suivre les principaux éléments suivants :</w:t>
      </w:r>
    </w:p>
    <w:p w:rsidR="00764FFF" w:rsidRPr="00D335A7" w:rsidRDefault="00764FFF" w:rsidP="00764FFF">
      <w:pPr>
        <w:overflowPunct w:val="0"/>
        <w:autoSpaceDE w:val="0"/>
        <w:autoSpaceDN w:val="0"/>
        <w:adjustRightInd w:val="0"/>
        <w:spacing w:after="0" w:line="240" w:lineRule="auto"/>
        <w:ind w:right="-711"/>
        <w:jc w:val="center"/>
        <w:rPr>
          <w:rFonts w:ascii="Times New Roman" w:eastAsia="Times New Roman" w:hAnsi="Times New Roman"/>
          <w:b/>
          <w:bCs/>
          <w:sz w:val="20"/>
          <w:szCs w:val="20"/>
          <w:lang w:eastAsia="fr-FR"/>
        </w:rPr>
      </w:pPr>
      <w:bookmarkStart w:id="604" w:name="_Toc515975860"/>
      <w:bookmarkStart w:id="605" w:name="_Toc535408494"/>
      <w:bookmarkStart w:id="606" w:name="_Toc11158776"/>
      <w:bookmarkStart w:id="607" w:name="_Toc51074025"/>
      <w:r w:rsidRPr="00D335A7">
        <w:rPr>
          <w:rFonts w:ascii="Times New Roman" w:eastAsia="Times New Roman" w:hAnsi="Times New Roman"/>
          <w:b/>
          <w:bCs/>
          <w:sz w:val="20"/>
          <w:szCs w:val="20"/>
          <w:lang w:eastAsia="fr-FR"/>
        </w:rPr>
        <w:lastRenderedPageBreak/>
        <w:t xml:space="preserve">Tableau </w:t>
      </w:r>
      <w:r w:rsidRPr="00D335A7">
        <w:rPr>
          <w:rFonts w:ascii="Times New Roman" w:eastAsia="Times New Roman" w:hAnsi="Times New Roman"/>
          <w:b/>
          <w:bCs/>
          <w:sz w:val="20"/>
          <w:szCs w:val="20"/>
          <w:lang w:eastAsia="fr-FR"/>
        </w:rPr>
        <w:fldChar w:fldCharType="begin"/>
      </w:r>
      <w:r w:rsidRPr="00D335A7">
        <w:rPr>
          <w:rFonts w:ascii="Times New Roman" w:eastAsia="Times New Roman" w:hAnsi="Times New Roman"/>
          <w:b/>
          <w:bCs/>
          <w:sz w:val="20"/>
          <w:szCs w:val="20"/>
          <w:lang w:eastAsia="fr-FR"/>
        </w:rPr>
        <w:instrText xml:space="preserve"> </w:instrText>
      </w:r>
      <w:r>
        <w:rPr>
          <w:rFonts w:ascii="Times New Roman" w:eastAsia="Times New Roman" w:hAnsi="Times New Roman"/>
          <w:b/>
          <w:bCs/>
          <w:sz w:val="20"/>
          <w:szCs w:val="20"/>
          <w:lang w:eastAsia="fr-FR"/>
        </w:rPr>
        <w:instrText>SEQ</w:instrText>
      </w:r>
      <w:r w:rsidRPr="00D335A7">
        <w:rPr>
          <w:rFonts w:ascii="Times New Roman" w:eastAsia="Times New Roman" w:hAnsi="Times New Roman"/>
          <w:b/>
          <w:bCs/>
          <w:sz w:val="20"/>
          <w:szCs w:val="20"/>
          <w:lang w:eastAsia="fr-FR"/>
        </w:rPr>
        <w:instrText xml:space="preserve"> Tableau \* ARABIC </w:instrText>
      </w:r>
      <w:r w:rsidRPr="00D335A7">
        <w:rPr>
          <w:rFonts w:ascii="Times New Roman" w:eastAsia="Times New Roman" w:hAnsi="Times New Roman"/>
          <w:b/>
          <w:bCs/>
          <w:sz w:val="20"/>
          <w:szCs w:val="20"/>
          <w:lang w:eastAsia="fr-FR"/>
        </w:rPr>
        <w:fldChar w:fldCharType="separate"/>
      </w:r>
      <w:r w:rsidR="00272706">
        <w:rPr>
          <w:rFonts w:ascii="Times New Roman" w:eastAsia="Times New Roman" w:hAnsi="Times New Roman"/>
          <w:b/>
          <w:bCs/>
          <w:noProof/>
          <w:sz w:val="20"/>
          <w:szCs w:val="20"/>
          <w:lang w:eastAsia="fr-FR"/>
        </w:rPr>
        <w:t>34</w:t>
      </w:r>
      <w:r w:rsidRPr="00D335A7">
        <w:rPr>
          <w:rFonts w:ascii="Times New Roman" w:eastAsia="Times New Roman" w:hAnsi="Times New Roman"/>
          <w:b/>
          <w:bCs/>
          <w:sz w:val="20"/>
          <w:szCs w:val="20"/>
          <w:lang w:eastAsia="fr-FR"/>
        </w:rPr>
        <w:fldChar w:fldCharType="end"/>
      </w:r>
      <w:r w:rsidRPr="00D335A7">
        <w:rPr>
          <w:rFonts w:ascii="Times New Roman" w:eastAsia="Times New Roman" w:hAnsi="Times New Roman"/>
          <w:b/>
          <w:bCs/>
          <w:sz w:val="20"/>
          <w:szCs w:val="20"/>
          <w:lang w:eastAsia="fr-FR"/>
        </w:rPr>
        <w:t>: Indicateur</w:t>
      </w:r>
      <w:r>
        <w:rPr>
          <w:rFonts w:ascii="Times New Roman" w:eastAsia="Times New Roman" w:hAnsi="Times New Roman"/>
          <w:b/>
          <w:bCs/>
          <w:sz w:val="20"/>
          <w:szCs w:val="20"/>
          <w:lang w:eastAsia="fr-FR"/>
        </w:rPr>
        <w:t>s</w:t>
      </w:r>
      <w:r w:rsidRPr="00D335A7">
        <w:rPr>
          <w:rFonts w:ascii="Times New Roman" w:eastAsia="Times New Roman" w:hAnsi="Times New Roman"/>
          <w:b/>
          <w:bCs/>
          <w:sz w:val="20"/>
          <w:szCs w:val="20"/>
          <w:lang w:eastAsia="fr-FR"/>
        </w:rPr>
        <w:t xml:space="preserve"> de suivi de la mise en œuvre des recommandations</w:t>
      </w:r>
      <w:bookmarkEnd w:id="604"/>
      <w:bookmarkEnd w:id="605"/>
      <w:bookmarkEnd w:id="606"/>
      <w:bookmarkEnd w:id="607"/>
    </w:p>
    <w:tbl>
      <w:tblPr>
        <w:tblW w:w="14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05"/>
        <w:gridCol w:w="1446"/>
        <w:gridCol w:w="3097"/>
        <w:gridCol w:w="2135"/>
        <w:gridCol w:w="2037"/>
        <w:gridCol w:w="1538"/>
        <w:gridCol w:w="1579"/>
        <w:gridCol w:w="1330"/>
      </w:tblGrid>
      <w:tr w:rsidR="0084695F" w:rsidRPr="00206F59" w:rsidTr="002F0DE8">
        <w:trPr>
          <w:tblHeader/>
        </w:trPr>
        <w:tc>
          <w:tcPr>
            <w:tcW w:w="1405" w:type="dxa"/>
            <w:shd w:val="clear" w:color="auto" w:fill="FFF2CC" w:themeFill="accent4" w:themeFillTint="33"/>
            <w:vAlign w:val="center"/>
          </w:tcPr>
          <w:p w:rsidR="0084695F" w:rsidRPr="00206F59" w:rsidRDefault="0084695F" w:rsidP="002F0DE8">
            <w:pPr>
              <w:spacing w:after="0" w:line="240" w:lineRule="auto"/>
              <w:ind w:left="-142"/>
              <w:jc w:val="center"/>
              <w:rPr>
                <w:rFonts w:ascii="Times New Roman" w:hAnsi="Times New Roman"/>
                <w:b/>
              </w:rPr>
            </w:pPr>
            <w:r w:rsidRPr="00206F59">
              <w:rPr>
                <w:rFonts w:ascii="Times New Roman" w:hAnsi="Times New Roman"/>
                <w:b/>
              </w:rPr>
              <w:t>Composantes</w:t>
            </w:r>
          </w:p>
        </w:tc>
        <w:tc>
          <w:tcPr>
            <w:tcW w:w="1446" w:type="dxa"/>
            <w:shd w:val="clear" w:color="auto" w:fill="FFF2CC" w:themeFill="accent4" w:themeFillTint="33"/>
            <w:vAlign w:val="center"/>
          </w:tcPr>
          <w:p w:rsidR="0084695F" w:rsidRPr="00206F59" w:rsidRDefault="0084695F" w:rsidP="002F0DE8">
            <w:pPr>
              <w:spacing w:after="0" w:line="240" w:lineRule="auto"/>
              <w:jc w:val="center"/>
              <w:rPr>
                <w:rFonts w:ascii="Times New Roman" w:hAnsi="Times New Roman"/>
                <w:b/>
              </w:rPr>
            </w:pPr>
            <w:r w:rsidRPr="00206F59">
              <w:rPr>
                <w:rFonts w:ascii="Times New Roman" w:hAnsi="Times New Roman"/>
                <w:b/>
              </w:rPr>
              <w:t>Aspects</w:t>
            </w:r>
          </w:p>
        </w:tc>
        <w:tc>
          <w:tcPr>
            <w:tcW w:w="3098" w:type="dxa"/>
            <w:shd w:val="clear" w:color="auto" w:fill="FFF2CC" w:themeFill="accent4" w:themeFillTint="33"/>
            <w:vAlign w:val="center"/>
          </w:tcPr>
          <w:p w:rsidR="0084695F" w:rsidRPr="00206F59" w:rsidRDefault="0084695F" w:rsidP="002F0DE8">
            <w:pPr>
              <w:spacing w:after="0" w:line="240" w:lineRule="auto"/>
              <w:jc w:val="center"/>
              <w:rPr>
                <w:rFonts w:ascii="Times New Roman" w:hAnsi="Times New Roman"/>
                <w:b/>
              </w:rPr>
            </w:pPr>
            <w:r w:rsidRPr="00206F59">
              <w:rPr>
                <w:rFonts w:ascii="Times New Roman" w:hAnsi="Times New Roman"/>
                <w:b/>
              </w:rPr>
              <w:t>Méthodes de suivi</w:t>
            </w:r>
          </w:p>
        </w:tc>
        <w:tc>
          <w:tcPr>
            <w:tcW w:w="2135" w:type="dxa"/>
            <w:shd w:val="clear" w:color="auto" w:fill="FFF2CC" w:themeFill="accent4" w:themeFillTint="33"/>
            <w:vAlign w:val="center"/>
          </w:tcPr>
          <w:p w:rsidR="0084695F" w:rsidRPr="00206F59" w:rsidRDefault="0084695F" w:rsidP="002F0DE8">
            <w:pPr>
              <w:spacing w:after="0" w:line="240" w:lineRule="auto"/>
              <w:jc w:val="center"/>
              <w:rPr>
                <w:rFonts w:ascii="Times New Roman" w:hAnsi="Times New Roman"/>
                <w:b/>
              </w:rPr>
            </w:pPr>
            <w:r w:rsidRPr="00206F59">
              <w:rPr>
                <w:rFonts w:ascii="Times New Roman" w:hAnsi="Times New Roman"/>
                <w:b/>
              </w:rPr>
              <w:t>Moyens de contrôle</w:t>
            </w:r>
          </w:p>
        </w:tc>
        <w:tc>
          <w:tcPr>
            <w:tcW w:w="2037" w:type="dxa"/>
            <w:shd w:val="clear" w:color="auto" w:fill="FFF2CC" w:themeFill="accent4" w:themeFillTint="33"/>
            <w:vAlign w:val="center"/>
          </w:tcPr>
          <w:p w:rsidR="0084695F" w:rsidRPr="00206F59" w:rsidRDefault="0084695F" w:rsidP="002F0DE8">
            <w:pPr>
              <w:spacing w:after="0" w:line="240" w:lineRule="auto"/>
              <w:jc w:val="center"/>
              <w:rPr>
                <w:rFonts w:ascii="Times New Roman" w:hAnsi="Times New Roman"/>
                <w:b/>
              </w:rPr>
            </w:pPr>
            <w:r w:rsidRPr="00206F59">
              <w:rPr>
                <w:rFonts w:ascii="Times New Roman" w:hAnsi="Times New Roman"/>
                <w:b/>
              </w:rPr>
              <w:t>Responsable de suivi</w:t>
            </w:r>
          </w:p>
        </w:tc>
        <w:tc>
          <w:tcPr>
            <w:tcW w:w="1538" w:type="dxa"/>
            <w:shd w:val="clear" w:color="auto" w:fill="FFF2CC" w:themeFill="accent4" w:themeFillTint="33"/>
            <w:vAlign w:val="center"/>
          </w:tcPr>
          <w:p w:rsidR="0084695F" w:rsidRPr="00206F59" w:rsidRDefault="0084695F" w:rsidP="002F0DE8">
            <w:pPr>
              <w:spacing w:after="0" w:line="240" w:lineRule="auto"/>
              <w:jc w:val="center"/>
              <w:rPr>
                <w:rFonts w:ascii="Times New Roman" w:hAnsi="Times New Roman"/>
                <w:b/>
              </w:rPr>
            </w:pPr>
            <w:r w:rsidRPr="00206F59">
              <w:rPr>
                <w:rFonts w:ascii="Times New Roman" w:hAnsi="Times New Roman"/>
                <w:b/>
              </w:rPr>
              <w:t>Périodicité</w:t>
            </w:r>
          </w:p>
        </w:tc>
        <w:tc>
          <w:tcPr>
            <w:tcW w:w="1577" w:type="dxa"/>
            <w:shd w:val="clear" w:color="auto" w:fill="FFF2CC" w:themeFill="accent4" w:themeFillTint="33"/>
            <w:vAlign w:val="center"/>
          </w:tcPr>
          <w:p w:rsidR="0084695F" w:rsidRPr="00206F59" w:rsidRDefault="0084695F" w:rsidP="002F0DE8">
            <w:pPr>
              <w:spacing w:after="0" w:line="240" w:lineRule="auto"/>
              <w:jc w:val="center"/>
              <w:rPr>
                <w:rFonts w:ascii="Times New Roman" w:hAnsi="Times New Roman"/>
                <w:b/>
              </w:rPr>
            </w:pPr>
            <w:r w:rsidRPr="00206F59">
              <w:rPr>
                <w:rFonts w:ascii="Times New Roman" w:hAnsi="Times New Roman"/>
                <w:b/>
              </w:rPr>
              <w:t>Objectif visé</w:t>
            </w:r>
          </w:p>
        </w:tc>
        <w:tc>
          <w:tcPr>
            <w:tcW w:w="1331" w:type="dxa"/>
            <w:shd w:val="clear" w:color="auto" w:fill="FFF2CC" w:themeFill="accent4" w:themeFillTint="33"/>
            <w:vAlign w:val="center"/>
          </w:tcPr>
          <w:p w:rsidR="0084695F" w:rsidRPr="00206F59" w:rsidRDefault="0084695F" w:rsidP="002F0DE8">
            <w:pPr>
              <w:spacing w:after="0" w:line="240" w:lineRule="auto"/>
              <w:jc w:val="center"/>
              <w:rPr>
                <w:rFonts w:ascii="Times New Roman" w:hAnsi="Times New Roman"/>
                <w:b/>
              </w:rPr>
            </w:pPr>
            <w:r w:rsidRPr="00206F59">
              <w:rPr>
                <w:rFonts w:ascii="Times New Roman" w:hAnsi="Times New Roman"/>
                <w:b/>
              </w:rPr>
              <w:t>Cout du suivi</w:t>
            </w:r>
          </w:p>
        </w:tc>
      </w:tr>
      <w:tr w:rsidR="0084695F" w:rsidRPr="00206F59" w:rsidTr="002F0DE8">
        <w:tc>
          <w:tcPr>
            <w:tcW w:w="1405" w:type="dxa"/>
            <w:shd w:val="clear" w:color="auto" w:fill="FFF2CC" w:themeFill="accent4" w:themeFillTint="33"/>
            <w:vAlign w:val="center"/>
          </w:tcPr>
          <w:p w:rsidR="0084695F" w:rsidRPr="00206F59" w:rsidRDefault="0084695F" w:rsidP="002F0DE8">
            <w:pPr>
              <w:spacing w:after="0" w:line="240" w:lineRule="auto"/>
              <w:jc w:val="center"/>
              <w:rPr>
                <w:rFonts w:ascii="Times New Roman" w:hAnsi="Times New Roman"/>
                <w:b/>
              </w:rPr>
            </w:pPr>
            <w:r w:rsidRPr="00206F59">
              <w:rPr>
                <w:rFonts w:ascii="Times New Roman" w:hAnsi="Times New Roman"/>
                <w:b/>
              </w:rPr>
              <w:t>Air</w:t>
            </w:r>
          </w:p>
        </w:tc>
        <w:tc>
          <w:tcPr>
            <w:tcW w:w="1446" w:type="dxa"/>
            <w:vAlign w:val="center"/>
          </w:tcPr>
          <w:p w:rsidR="0084695F" w:rsidRPr="00206F59" w:rsidRDefault="0084695F" w:rsidP="002F0DE8">
            <w:pPr>
              <w:spacing w:after="0" w:line="240" w:lineRule="auto"/>
              <w:jc w:val="center"/>
              <w:rPr>
                <w:rFonts w:ascii="Times New Roman" w:hAnsi="Times New Roman"/>
                <w:b/>
              </w:rPr>
            </w:pPr>
            <w:r w:rsidRPr="00206F59">
              <w:rPr>
                <w:rFonts w:ascii="Times New Roman" w:hAnsi="Times New Roman"/>
                <w:b/>
              </w:rPr>
              <w:t>Qualité de l’air</w:t>
            </w:r>
          </w:p>
        </w:tc>
        <w:tc>
          <w:tcPr>
            <w:tcW w:w="3098" w:type="dxa"/>
            <w:vAlign w:val="center"/>
          </w:tcPr>
          <w:p w:rsidR="0084695F" w:rsidRDefault="0084695F" w:rsidP="00FA3FAE">
            <w:pPr>
              <w:numPr>
                <w:ilvl w:val="0"/>
                <w:numId w:val="235"/>
              </w:numPr>
              <w:spacing w:after="0" w:line="240" w:lineRule="auto"/>
              <w:rPr>
                <w:rFonts w:ascii="Times New Roman" w:hAnsi="Times New Roman"/>
              </w:rPr>
            </w:pPr>
            <w:r w:rsidRPr="00206F59">
              <w:rPr>
                <w:rFonts w:ascii="Times New Roman" w:hAnsi="Times New Roman"/>
              </w:rPr>
              <w:t>Campagne de mesure des particules en suspension (poussières) et d’autres polluants atmosphériques (CO</w:t>
            </w:r>
            <w:r w:rsidRPr="00206F59">
              <w:rPr>
                <w:rFonts w:ascii="Times New Roman" w:hAnsi="Times New Roman"/>
                <w:vertAlign w:val="subscript"/>
              </w:rPr>
              <w:t>,</w:t>
            </w:r>
            <w:r w:rsidRPr="00206F59">
              <w:rPr>
                <w:rFonts w:ascii="Times New Roman" w:hAnsi="Times New Roman"/>
              </w:rPr>
              <w:t xml:space="preserve"> NO</w:t>
            </w:r>
            <w:r w:rsidRPr="00206F59">
              <w:rPr>
                <w:rFonts w:ascii="Times New Roman" w:hAnsi="Times New Roman"/>
                <w:vertAlign w:val="subscript"/>
              </w:rPr>
              <w:t>X</w:t>
            </w:r>
            <w:r w:rsidRPr="00206F59">
              <w:rPr>
                <w:rFonts w:ascii="Times New Roman" w:hAnsi="Times New Roman"/>
              </w:rPr>
              <w:t>, O</w:t>
            </w:r>
            <w:r w:rsidRPr="00206F59">
              <w:rPr>
                <w:rFonts w:ascii="Times New Roman" w:hAnsi="Times New Roman"/>
                <w:vertAlign w:val="subscript"/>
              </w:rPr>
              <w:t>3</w:t>
            </w:r>
            <w:r w:rsidRPr="00206F59">
              <w:rPr>
                <w:rFonts w:ascii="Times New Roman" w:hAnsi="Times New Roman"/>
              </w:rPr>
              <w:t xml:space="preserve"> …etc.)</w:t>
            </w:r>
          </w:p>
          <w:p w:rsidR="0084695F" w:rsidRPr="00206F59" w:rsidRDefault="0084695F" w:rsidP="00FA3FAE">
            <w:pPr>
              <w:numPr>
                <w:ilvl w:val="0"/>
                <w:numId w:val="235"/>
              </w:numPr>
              <w:spacing w:after="0" w:line="240" w:lineRule="auto"/>
              <w:rPr>
                <w:rFonts w:ascii="Times New Roman" w:hAnsi="Times New Roman"/>
              </w:rPr>
            </w:pPr>
            <w:r>
              <w:rPr>
                <w:rFonts w:ascii="Times New Roman" w:hAnsi="Times New Roman"/>
              </w:rPr>
              <w:t xml:space="preserve">Mettre en place </w:t>
            </w:r>
            <w:r w:rsidRPr="006A3493">
              <w:rPr>
                <w:rFonts w:ascii="Times New Roman" w:hAnsi="Times New Roman"/>
              </w:rPr>
              <w:t>une procédure d’estimation des gaz à effet de serre générés</w:t>
            </w:r>
          </w:p>
          <w:p w:rsidR="0084695F" w:rsidRDefault="0084695F" w:rsidP="00FA3FAE">
            <w:pPr>
              <w:numPr>
                <w:ilvl w:val="0"/>
                <w:numId w:val="235"/>
              </w:numPr>
              <w:spacing w:after="0" w:line="240" w:lineRule="auto"/>
              <w:rPr>
                <w:rFonts w:ascii="Times New Roman" w:hAnsi="Times New Roman"/>
              </w:rPr>
            </w:pPr>
            <w:r w:rsidRPr="00206F59">
              <w:rPr>
                <w:rFonts w:ascii="Times New Roman" w:hAnsi="Times New Roman"/>
              </w:rPr>
              <w:t>Renseigner les fiches d’entretien des engins de chantier et de maintenance</w:t>
            </w:r>
          </w:p>
          <w:p w:rsidR="0084695F" w:rsidRPr="00206F59" w:rsidRDefault="0084695F" w:rsidP="00FA3FAE">
            <w:pPr>
              <w:numPr>
                <w:ilvl w:val="0"/>
                <w:numId w:val="235"/>
              </w:numPr>
              <w:spacing w:after="0" w:line="240" w:lineRule="auto"/>
              <w:rPr>
                <w:rFonts w:ascii="Times New Roman" w:hAnsi="Times New Roman"/>
              </w:rPr>
            </w:pPr>
            <w:r>
              <w:rPr>
                <w:rFonts w:ascii="Times New Roman" w:hAnsi="Times New Roman"/>
              </w:rPr>
              <w:t xml:space="preserve">Estimation des </w:t>
            </w:r>
            <w:r w:rsidRPr="00206F59">
              <w:rPr>
                <w:rFonts w:ascii="Times New Roman" w:hAnsi="Times New Roman"/>
              </w:rPr>
              <w:t>gaz à effet de serre (CO</w:t>
            </w:r>
            <w:r w:rsidRPr="00206F59">
              <w:rPr>
                <w:rFonts w:ascii="Times New Roman" w:hAnsi="Times New Roman"/>
                <w:vertAlign w:val="subscript"/>
              </w:rPr>
              <w:t>2</w:t>
            </w:r>
            <w:r>
              <w:rPr>
                <w:rFonts w:ascii="Times New Roman" w:hAnsi="Times New Roman"/>
                <w:vertAlign w:val="subscript"/>
              </w:rPr>
              <w:t xml:space="preserve"> </w:t>
            </w:r>
            <w:r>
              <w:rPr>
                <w:rFonts w:ascii="Times New Roman" w:hAnsi="Times New Roman"/>
              </w:rPr>
              <w:t>-eq</w:t>
            </w:r>
            <w:r w:rsidRPr="00206F59">
              <w:rPr>
                <w:rFonts w:ascii="Times New Roman" w:hAnsi="Times New Roman"/>
              </w:rPr>
              <w:t>)</w:t>
            </w:r>
            <w:r>
              <w:rPr>
                <w:rFonts w:ascii="Times New Roman" w:hAnsi="Times New Roman"/>
              </w:rPr>
              <w:t xml:space="preserve"> durant les travaux et en phase exploitation des ouvrages </w:t>
            </w:r>
          </w:p>
        </w:tc>
        <w:tc>
          <w:tcPr>
            <w:tcW w:w="2135" w:type="dxa"/>
            <w:vAlign w:val="center"/>
          </w:tcPr>
          <w:p w:rsidR="0084695F" w:rsidRPr="00206F59" w:rsidRDefault="0084695F" w:rsidP="00FA3FAE">
            <w:pPr>
              <w:pStyle w:val="PargrafodaLista"/>
              <w:numPr>
                <w:ilvl w:val="0"/>
                <w:numId w:val="238"/>
              </w:numPr>
              <w:spacing w:after="0" w:line="240" w:lineRule="auto"/>
              <w:ind w:left="331"/>
              <w:rPr>
                <w:rFonts w:ascii="Times New Roman" w:hAnsi="Times New Roman"/>
                <w:lang w:val="fr-FR"/>
              </w:rPr>
            </w:pPr>
            <w:r w:rsidRPr="00206F59">
              <w:rPr>
                <w:rFonts w:ascii="Times New Roman" w:hAnsi="Times New Roman"/>
                <w:lang w:val="fr-FR"/>
              </w:rPr>
              <w:t>Observations et consultation ;</w:t>
            </w:r>
          </w:p>
          <w:p w:rsidR="0084695F" w:rsidRPr="00206F59" w:rsidRDefault="0084695F" w:rsidP="00FA3FAE">
            <w:pPr>
              <w:pStyle w:val="PargrafodaLista"/>
              <w:numPr>
                <w:ilvl w:val="0"/>
                <w:numId w:val="238"/>
              </w:numPr>
              <w:spacing w:after="0" w:line="240" w:lineRule="auto"/>
              <w:ind w:left="331"/>
              <w:rPr>
                <w:rFonts w:ascii="Times New Roman" w:hAnsi="Times New Roman"/>
                <w:lang w:val="fr-FR"/>
              </w:rPr>
            </w:pPr>
            <w:r w:rsidRPr="00206F59">
              <w:rPr>
                <w:rFonts w:ascii="Times New Roman" w:hAnsi="Times New Roman"/>
                <w:lang w:val="fr-FR"/>
              </w:rPr>
              <w:t>Rapports de mesurage ;</w:t>
            </w:r>
          </w:p>
          <w:p w:rsidR="0084695F" w:rsidRPr="00206F59" w:rsidRDefault="0084695F" w:rsidP="00FA3FAE">
            <w:pPr>
              <w:pStyle w:val="PargrafodaLista"/>
              <w:numPr>
                <w:ilvl w:val="0"/>
                <w:numId w:val="238"/>
              </w:numPr>
              <w:spacing w:after="0" w:line="240" w:lineRule="auto"/>
              <w:ind w:left="331"/>
              <w:rPr>
                <w:rFonts w:ascii="Times New Roman" w:hAnsi="Times New Roman"/>
                <w:lang w:val="fr-FR"/>
              </w:rPr>
            </w:pPr>
            <w:r w:rsidRPr="00206F59">
              <w:rPr>
                <w:rFonts w:ascii="Times New Roman" w:hAnsi="Times New Roman"/>
                <w:lang w:val="fr-FR"/>
              </w:rPr>
              <w:t>Fiche d’entretien véhicules</w:t>
            </w:r>
          </w:p>
        </w:tc>
        <w:tc>
          <w:tcPr>
            <w:tcW w:w="2037" w:type="dxa"/>
            <w:vAlign w:val="center"/>
          </w:tcPr>
          <w:p w:rsidR="0084695F" w:rsidRPr="00206F59" w:rsidRDefault="0084695F" w:rsidP="002F0DE8">
            <w:pPr>
              <w:spacing w:after="0" w:line="240" w:lineRule="auto"/>
              <w:jc w:val="center"/>
              <w:rPr>
                <w:rFonts w:ascii="Times New Roman" w:hAnsi="Times New Roman"/>
              </w:rPr>
            </w:pPr>
            <w:r w:rsidRPr="00206F59">
              <w:rPr>
                <w:rFonts w:ascii="Times New Roman" w:hAnsi="Times New Roman"/>
              </w:rPr>
              <w:t>Spécialiste environnement de la MC</w:t>
            </w:r>
          </w:p>
          <w:p w:rsidR="0084695F" w:rsidRPr="00206F59" w:rsidRDefault="0084695F" w:rsidP="002F0DE8">
            <w:pPr>
              <w:spacing w:after="0" w:line="240" w:lineRule="auto"/>
              <w:jc w:val="center"/>
              <w:rPr>
                <w:rFonts w:ascii="Times New Roman" w:hAnsi="Times New Roman"/>
              </w:rPr>
            </w:pPr>
          </w:p>
          <w:p w:rsidR="0084695F" w:rsidRPr="00206F59" w:rsidRDefault="0084695F" w:rsidP="002F0DE8">
            <w:pPr>
              <w:spacing w:after="0" w:line="240" w:lineRule="auto"/>
              <w:jc w:val="center"/>
              <w:rPr>
                <w:rFonts w:ascii="Times New Roman" w:hAnsi="Times New Roman"/>
              </w:rPr>
            </w:pPr>
            <w:r w:rsidRPr="00206F59">
              <w:rPr>
                <w:rFonts w:ascii="Times New Roman" w:hAnsi="Times New Roman"/>
              </w:rPr>
              <w:t>PUASEE-FA</w:t>
            </w:r>
          </w:p>
          <w:p w:rsidR="0084695F" w:rsidRPr="00206F59" w:rsidRDefault="0084695F" w:rsidP="002F0DE8">
            <w:pPr>
              <w:spacing w:after="0" w:line="240" w:lineRule="auto"/>
              <w:jc w:val="center"/>
              <w:rPr>
                <w:rFonts w:ascii="Times New Roman" w:hAnsi="Times New Roman"/>
              </w:rPr>
            </w:pPr>
          </w:p>
          <w:p w:rsidR="0084695F" w:rsidRPr="00206F59" w:rsidRDefault="0084695F" w:rsidP="002F0DE8">
            <w:pPr>
              <w:spacing w:after="0" w:line="240" w:lineRule="auto"/>
              <w:jc w:val="center"/>
              <w:rPr>
                <w:rFonts w:ascii="Times New Roman" w:hAnsi="Times New Roman"/>
              </w:rPr>
            </w:pPr>
          </w:p>
        </w:tc>
        <w:tc>
          <w:tcPr>
            <w:tcW w:w="1538" w:type="dxa"/>
            <w:vAlign w:val="center"/>
          </w:tcPr>
          <w:p w:rsidR="0084695F" w:rsidRPr="00206F59" w:rsidRDefault="0084695F" w:rsidP="002F0DE8">
            <w:pPr>
              <w:spacing w:after="0" w:line="240" w:lineRule="auto"/>
              <w:rPr>
                <w:rFonts w:ascii="Times New Roman" w:hAnsi="Times New Roman"/>
              </w:rPr>
            </w:pPr>
            <w:r w:rsidRPr="00206F59">
              <w:rPr>
                <w:rFonts w:ascii="Times New Roman" w:hAnsi="Times New Roman"/>
              </w:rPr>
              <w:t>Trimestrielle</w:t>
            </w:r>
          </w:p>
        </w:tc>
        <w:tc>
          <w:tcPr>
            <w:tcW w:w="1577" w:type="dxa"/>
            <w:vAlign w:val="center"/>
          </w:tcPr>
          <w:p w:rsidR="0084695F" w:rsidRPr="00206F59" w:rsidRDefault="0084695F" w:rsidP="002F0DE8">
            <w:pPr>
              <w:spacing w:after="0" w:line="240" w:lineRule="auto"/>
              <w:rPr>
                <w:rFonts w:ascii="Times New Roman" w:hAnsi="Times New Roman"/>
              </w:rPr>
            </w:pPr>
            <w:r w:rsidRPr="00206F59">
              <w:rPr>
                <w:rFonts w:ascii="Times New Roman" w:hAnsi="Times New Roman"/>
              </w:rPr>
              <w:t>Respect de la réglementation</w:t>
            </w:r>
            <w:r>
              <w:rPr>
                <w:rFonts w:ascii="Times New Roman" w:hAnsi="Times New Roman"/>
              </w:rPr>
              <w:t xml:space="preserve"> et des directives EHS de la Banque Mondiale</w:t>
            </w:r>
          </w:p>
        </w:tc>
        <w:tc>
          <w:tcPr>
            <w:tcW w:w="1331" w:type="dxa"/>
            <w:shd w:val="clear" w:color="auto" w:fill="F7CAAC"/>
            <w:vAlign w:val="center"/>
          </w:tcPr>
          <w:p w:rsidR="0084695F" w:rsidRPr="00206F59" w:rsidRDefault="0084695F" w:rsidP="002F0DE8">
            <w:pPr>
              <w:spacing w:after="0" w:line="240" w:lineRule="auto"/>
              <w:jc w:val="center"/>
              <w:rPr>
                <w:rFonts w:ascii="Times New Roman" w:hAnsi="Times New Roman"/>
                <w:b/>
              </w:rPr>
            </w:pPr>
            <w:r w:rsidRPr="00206F59">
              <w:rPr>
                <w:rFonts w:ascii="Times New Roman" w:hAnsi="Times New Roman"/>
                <w:b/>
              </w:rPr>
              <w:t>3 000 000</w:t>
            </w:r>
          </w:p>
        </w:tc>
      </w:tr>
      <w:tr w:rsidR="0084695F" w:rsidRPr="00206F59" w:rsidTr="002F0DE8">
        <w:tc>
          <w:tcPr>
            <w:tcW w:w="1405" w:type="dxa"/>
            <w:shd w:val="clear" w:color="auto" w:fill="FFF2CC" w:themeFill="accent4" w:themeFillTint="33"/>
            <w:vAlign w:val="center"/>
          </w:tcPr>
          <w:p w:rsidR="0084695F" w:rsidRPr="00206F59" w:rsidRDefault="0084695F" w:rsidP="002F0DE8">
            <w:pPr>
              <w:spacing w:after="0" w:line="240" w:lineRule="auto"/>
              <w:jc w:val="center"/>
              <w:rPr>
                <w:rFonts w:ascii="Times New Roman" w:hAnsi="Times New Roman"/>
                <w:b/>
              </w:rPr>
            </w:pPr>
            <w:r w:rsidRPr="00206F59">
              <w:rPr>
                <w:rFonts w:ascii="Times New Roman" w:hAnsi="Times New Roman"/>
                <w:b/>
              </w:rPr>
              <w:t>Sols</w:t>
            </w:r>
          </w:p>
        </w:tc>
        <w:tc>
          <w:tcPr>
            <w:tcW w:w="1446" w:type="dxa"/>
            <w:vAlign w:val="center"/>
          </w:tcPr>
          <w:p w:rsidR="0084695F" w:rsidRPr="00206F59" w:rsidRDefault="0084695F" w:rsidP="002F0DE8">
            <w:pPr>
              <w:spacing w:after="0" w:line="240" w:lineRule="auto"/>
              <w:jc w:val="center"/>
              <w:rPr>
                <w:rFonts w:ascii="Times New Roman" w:hAnsi="Times New Roman"/>
                <w:b/>
              </w:rPr>
            </w:pPr>
            <w:r w:rsidRPr="00206F59">
              <w:rPr>
                <w:rFonts w:ascii="Times New Roman" w:hAnsi="Times New Roman"/>
                <w:b/>
              </w:rPr>
              <w:t>Qualité des sols</w:t>
            </w:r>
          </w:p>
        </w:tc>
        <w:tc>
          <w:tcPr>
            <w:tcW w:w="3098" w:type="dxa"/>
            <w:vAlign w:val="center"/>
          </w:tcPr>
          <w:p w:rsidR="0084695F" w:rsidRPr="00206F59" w:rsidRDefault="0084695F" w:rsidP="00FA3FAE">
            <w:pPr>
              <w:numPr>
                <w:ilvl w:val="0"/>
                <w:numId w:val="234"/>
              </w:numPr>
              <w:spacing w:after="0" w:line="240" w:lineRule="auto"/>
              <w:rPr>
                <w:rFonts w:ascii="Times New Roman" w:hAnsi="Times New Roman"/>
              </w:rPr>
            </w:pPr>
            <w:r w:rsidRPr="00206F59">
              <w:rPr>
                <w:rFonts w:ascii="Times New Roman" w:hAnsi="Times New Roman"/>
              </w:rPr>
              <w:t>Analyse de la composition des sols pour en ressortir les teneurs en hydrocarbures, huiles et produits dangereux</w:t>
            </w:r>
          </w:p>
          <w:p w:rsidR="0084695F" w:rsidRPr="00206F59" w:rsidRDefault="0084695F" w:rsidP="00FA3FAE">
            <w:pPr>
              <w:numPr>
                <w:ilvl w:val="0"/>
                <w:numId w:val="234"/>
              </w:numPr>
              <w:spacing w:after="0" w:line="240" w:lineRule="auto"/>
              <w:rPr>
                <w:rFonts w:ascii="Times New Roman" w:hAnsi="Times New Roman"/>
              </w:rPr>
            </w:pPr>
            <w:r w:rsidRPr="00206F59">
              <w:rPr>
                <w:rFonts w:ascii="Times New Roman" w:hAnsi="Times New Roman"/>
              </w:rPr>
              <w:t>Mesure de la superficie contaminée ;</w:t>
            </w:r>
          </w:p>
          <w:p w:rsidR="0084695F" w:rsidRPr="00206F59" w:rsidRDefault="0084695F" w:rsidP="00FA3FAE">
            <w:pPr>
              <w:numPr>
                <w:ilvl w:val="0"/>
                <w:numId w:val="234"/>
              </w:numPr>
              <w:spacing w:after="0" w:line="240" w:lineRule="auto"/>
              <w:rPr>
                <w:rFonts w:ascii="Times New Roman" w:hAnsi="Times New Roman"/>
              </w:rPr>
            </w:pPr>
            <w:r w:rsidRPr="00206F59">
              <w:rPr>
                <w:rFonts w:ascii="Times New Roman" w:hAnsi="Times New Roman"/>
              </w:rPr>
              <w:t>Mesure de la superficie du linéaire ré-végétalisée ;</w:t>
            </w:r>
          </w:p>
        </w:tc>
        <w:tc>
          <w:tcPr>
            <w:tcW w:w="2135" w:type="dxa"/>
            <w:vAlign w:val="center"/>
          </w:tcPr>
          <w:p w:rsidR="0084695F" w:rsidRPr="00206F59" w:rsidRDefault="0084695F" w:rsidP="00FA3FAE">
            <w:pPr>
              <w:pStyle w:val="PargrafodaLista"/>
              <w:numPr>
                <w:ilvl w:val="0"/>
                <w:numId w:val="238"/>
              </w:numPr>
              <w:spacing w:after="0" w:line="240" w:lineRule="auto"/>
              <w:ind w:left="331"/>
              <w:rPr>
                <w:rFonts w:ascii="Times New Roman" w:hAnsi="Times New Roman"/>
                <w:lang w:val="fr-FR"/>
              </w:rPr>
            </w:pPr>
            <w:r w:rsidRPr="00206F59">
              <w:rPr>
                <w:rFonts w:ascii="Times New Roman" w:hAnsi="Times New Roman"/>
                <w:lang w:val="fr-FR"/>
              </w:rPr>
              <w:t>Fiches d’analyse</w:t>
            </w:r>
          </w:p>
          <w:p w:rsidR="0084695F" w:rsidRPr="00206F59" w:rsidRDefault="0084695F" w:rsidP="00FA3FAE">
            <w:pPr>
              <w:pStyle w:val="PargrafodaLista"/>
              <w:numPr>
                <w:ilvl w:val="0"/>
                <w:numId w:val="238"/>
              </w:numPr>
              <w:spacing w:after="0" w:line="240" w:lineRule="auto"/>
              <w:ind w:left="331"/>
              <w:rPr>
                <w:rFonts w:ascii="Times New Roman" w:hAnsi="Times New Roman"/>
                <w:lang w:val="fr-FR"/>
              </w:rPr>
            </w:pPr>
            <w:r w:rsidRPr="00206F59">
              <w:rPr>
                <w:rFonts w:ascii="Times New Roman" w:hAnsi="Times New Roman"/>
                <w:lang w:val="fr-FR"/>
              </w:rPr>
              <w:t>Rapports de mesures</w:t>
            </w:r>
          </w:p>
          <w:p w:rsidR="0084695F" w:rsidRPr="00206F59" w:rsidRDefault="0084695F" w:rsidP="00FA3FAE">
            <w:pPr>
              <w:pStyle w:val="PargrafodaLista"/>
              <w:numPr>
                <w:ilvl w:val="0"/>
                <w:numId w:val="238"/>
              </w:numPr>
              <w:spacing w:after="0" w:line="240" w:lineRule="auto"/>
              <w:ind w:left="331"/>
              <w:rPr>
                <w:rFonts w:ascii="Times New Roman" w:hAnsi="Times New Roman"/>
                <w:lang w:val="fr-FR"/>
              </w:rPr>
            </w:pPr>
            <w:r w:rsidRPr="00206F59">
              <w:rPr>
                <w:rFonts w:ascii="Times New Roman" w:hAnsi="Times New Roman"/>
                <w:lang w:val="fr-FR"/>
              </w:rPr>
              <w:t>Observation :</w:t>
            </w:r>
          </w:p>
          <w:p w:rsidR="0084695F" w:rsidRPr="00206F59" w:rsidRDefault="0084695F" w:rsidP="002F0DE8">
            <w:pPr>
              <w:pStyle w:val="PargrafodaLista"/>
              <w:spacing w:after="0" w:line="240" w:lineRule="auto"/>
              <w:ind w:left="331"/>
              <w:rPr>
                <w:rFonts w:ascii="Times New Roman" w:hAnsi="Times New Roman"/>
                <w:lang w:val="fr-FR"/>
              </w:rPr>
            </w:pPr>
            <w:r w:rsidRPr="00206F59">
              <w:rPr>
                <w:rFonts w:ascii="Times New Roman" w:hAnsi="Times New Roman"/>
                <w:lang w:val="fr-FR"/>
              </w:rPr>
              <w:t>Pas de présence d’affaissement ou d’érosion au niveau des sites ;</w:t>
            </w:r>
          </w:p>
          <w:p w:rsidR="0084695F" w:rsidRPr="00206F59" w:rsidRDefault="0084695F" w:rsidP="002F0DE8">
            <w:pPr>
              <w:pStyle w:val="PargrafodaLista"/>
              <w:spacing w:after="0" w:line="240" w:lineRule="auto"/>
              <w:ind w:left="331"/>
              <w:rPr>
                <w:rFonts w:ascii="Times New Roman" w:hAnsi="Times New Roman"/>
                <w:lang w:val="fr-FR"/>
              </w:rPr>
            </w:pPr>
            <w:r w:rsidRPr="00206F59">
              <w:rPr>
                <w:rFonts w:ascii="Times New Roman" w:hAnsi="Times New Roman"/>
                <w:lang w:val="fr-FR"/>
              </w:rPr>
              <w:t>Présence d’une demi-douzaine de futs pour la collecte des déchets, Quantité d’hydrocarbure stocké, etc…)</w:t>
            </w:r>
          </w:p>
        </w:tc>
        <w:tc>
          <w:tcPr>
            <w:tcW w:w="2037" w:type="dxa"/>
            <w:vAlign w:val="center"/>
          </w:tcPr>
          <w:p w:rsidR="0084695F" w:rsidRPr="00206F59" w:rsidRDefault="0084695F" w:rsidP="002F0DE8">
            <w:pPr>
              <w:spacing w:after="0" w:line="240" w:lineRule="auto"/>
              <w:jc w:val="center"/>
              <w:rPr>
                <w:rFonts w:ascii="Times New Roman" w:hAnsi="Times New Roman"/>
              </w:rPr>
            </w:pPr>
            <w:r w:rsidRPr="00206F59">
              <w:rPr>
                <w:rFonts w:ascii="Times New Roman" w:hAnsi="Times New Roman"/>
              </w:rPr>
              <w:t>Spécialiste environnement de la MC</w:t>
            </w:r>
          </w:p>
          <w:p w:rsidR="0084695F" w:rsidRPr="00206F59" w:rsidRDefault="0084695F" w:rsidP="002F0DE8">
            <w:pPr>
              <w:spacing w:after="0" w:line="240" w:lineRule="auto"/>
              <w:jc w:val="center"/>
              <w:rPr>
                <w:rFonts w:ascii="Times New Roman" w:hAnsi="Times New Roman"/>
              </w:rPr>
            </w:pPr>
          </w:p>
          <w:p w:rsidR="0084695F" w:rsidRPr="00206F59" w:rsidRDefault="0084695F" w:rsidP="002F0DE8">
            <w:pPr>
              <w:spacing w:after="0" w:line="240" w:lineRule="auto"/>
              <w:jc w:val="center"/>
              <w:rPr>
                <w:rFonts w:ascii="Times New Roman" w:hAnsi="Times New Roman"/>
              </w:rPr>
            </w:pPr>
            <w:r w:rsidRPr="00206F59">
              <w:rPr>
                <w:rFonts w:ascii="Times New Roman" w:hAnsi="Times New Roman"/>
              </w:rPr>
              <w:t>PUASEE-FA</w:t>
            </w:r>
          </w:p>
          <w:p w:rsidR="0084695F" w:rsidRPr="00206F59" w:rsidRDefault="0084695F" w:rsidP="002F0DE8">
            <w:pPr>
              <w:spacing w:after="0" w:line="240" w:lineRule="auto"/>
              <w:jc w:val="center"/>
              <w:rPr>
                <w:rFonts w:ascii="Times New Roman" w:hAnsi="Times New Roman"/>
              </w:rPr>
            </w:pPr>
          </w:p>
        </w:tc>
        <w:tc>
          <w:tcPr>
            <w:tcW w:w="1538" w:type="dxa"/>
            <w:vAlign w:val="center"/>
          </w:tcPr>
          <w:p w:rsidR="0084695F" w:rsidRPr="00206F59" w:rsidRDefault="0084695F" w:rsidP="002F0DE8">
            <w:pPr>
              <w:spacing w:after="0" w:line="240" w:lineRule="auto"/>
              <w:rPr>
                <w:rFonts w:ascii="Times New Roman" w:hAnsi="Times New Roman"/>
              </w:rPr>
            </w:pPr>
            <w:r w:rsidRPr="00206F59">
              <w:rPr>
                <w:rFonts w:ascii="Times New Roman" w:hAnsi="Times New Roman"/>
              </w:rPr>
              <w:t>Annuelle</w:t>
            </w:r>
          </w:p>
        </w:tc>
        <w:tc>
          <w:tcPr>
            <w:tcW w:w="1577" w:type="dxa"/>
            <w:vAlign w:val="center"/>
          </w:tcPr>
          <w:p w:rsidR="0084695F" w:rsidRPr="00206F59" w:rsidRDefault="0084695F" w:rsidP="002F0DE8">
            <w:pPr>
              <w:spacing w:after="0" w:line="240" w:lineRule="auto"/>
              <w:rPr>
                <w:rFonts w:ascii="Times New Roman" w:hAnsi="Times New Roman"/>
              </w:rPr>
            </w:pPr>
            <w:r w:rsidRPr="00206F59">
              <w:rPr>
                <w:rFonts w:ascii="Times New Roman" w:hAnsi="Times New Roman"/>
              </w:rPr>
              <w:t>Conservation des sols</w:t>
            </w:r>
            <w:r>
              <w:rPr>
                <w:rFonts w:ascii="Times New Roman" w:hAnsi="Times New Roman"/>
              </w:rPr>
              <w:t xml:space="preserve"> et </w:t>
            </w:r>
            <w:r w:rsidRPr="00206F59">
              <w:rPr>
                <w:rFonts w:ascii="Times New Roman" w:hAnsi="Times New Roman"/>
              </w:rPr>
              <w:t>Respect</w:t>
            </w:r>
            <w:r>
              <w:rPr>
                <w:rFonts w:ascii="Times New Roman" w:hAnsi="Times New Roman"/>
              </w:rPr>
              <w:t xml:space="preserve"> des directives EHS de la Banque Mondiale</w:t>
            </w:r>
          </w:p>
        </w:tc>
        <w:tc>
          <w:tcPr>
            <w:tcW w:w="1331" w:type="dxa"/>
            <w:shd w:val="clear" w:color="auto" w:fill="F7CAAC"/>
            <w:vAlign w:val="center"/>
          </w:tcPr>
          <w:p w:rsidR="0084695F" w:rsidRPr="00206F59" w:rsidRDefault="0084695F" w:rsidP="002F0DE8">
            <w:pPr>
              <w:spacing w:after="0" w:line="240" w:lineRule="auto"/>
              <w:jc w:val="center"/>
              <w:rPr>
                <w:rFonts w:ascii="Times New Roman" w:hAnsi="Times New Roman"/>
                <w:b/>
              </w:rPr>
            </w:pPr>
            <w:r w:rsidRPr="00206F59">
              <w:rPr>
                <w:rFonts w:ascii="Times New Roman" w:hAnsi="Times New Roman"/>
                <w:b/>
              </w:rPr>
              <w:t>4 000 000</w:t>
            </w:r>
          </w:p>
        </w:tc>
      </w:tr>
      <w:tr w:rsidR="0084695F" w:rsidRPr="00206F59" w:rsidTr="002F0DE8">
        <w:tc>
          <w:tcPr>
            <w:tcW w:w="1405" w:type="dxa"/>
            <w:vMerge w:val="restart"/>
            <w:shd w:val="clear" w:color="auto" w:fill="FFF2CC" w:themeFill="accent4" w:themeFillTint="33"/>
            <w:vAlign w:val="center"/>
          </w:tcPr>
          <w:p w:rsidR="0084695F" w:rsidRPr="00206F59" w:rsidRDefault="0084695F" w:rsidP="002F0DE8">
            <w:pPr>
              <w:spacing w:after="0" w:line="240" w:lineRule="auto"/>
              <w:jc w:val="center"/>
              <w:rPr>
                <w:rFonts w:ascii="Times New Roman" w:hAnsi="Times New Roman"/>
                <w:b/>
              </w:rPr>
            </w:pPr>
            <w:r w:rsidRPr="00206F59">
              <w:rPr>
                <w:rFonts w:ascii="Times New Roman" w:hAnsi="Times New Roman"/>
                <w:b/>
              </w:rPr>
              <w:t>Eaux</w:t>
            </w:r>
          </w:p>
        </w:tc>
        <w:tc>
          <w:tcPr>
            <w:tcW w:w="1446" w:type="dxa"/>
            <w:vAlign w:val="center"/>
          </w:tcPr>
          <w:p w:rsidR="0084695F" w:rsidRPr="00206F59" w:rsidRDefault="0084695F" w:rsidP="002F0DE8">
            <w:pPr>
              <w:spacing w:after="0" w:line="240" w:lineRule="auto"/>
              <w:jc w:val="center"/>
              <w:rPr>
                <w:rFonts w:ascii="Times New Roman" w:hAnsi="Times New Roman"/>
                <w:b/>
              </w:rPr>
            </w:pPr>
            <w:r w:rsidRPr="00206F59">
              <w:rPr>
                <w:rFonts w:ascii="Times New Roman" w:hAnsi="Times New Roman"/>
                <w:b/>
              </w:rPr>
              <w:t>Qualité de l’eau</w:t>
            </w:r>
          </w:p>
        </w:tc>
        <w:tc>
          <w:tcPr>
            <w:tcW w:w="3098" w:type="dxa"/>
          </w:tcPr>
          <w:p w:rsidR="0084695F" w:rsidRPr="00206F59" w:rsidRDefault="0084695F" w:rsidP="00FA3FAE">
            <w:pPr>
              <w:numPr>
                <w:ilvl w:val="0"/>
                <w:numId w:val="237"/>
              </w:numPr>
              <w:spacing w:after="0" w:line="240" w:lineRule="auto"/>
              <w:jc w:val="both"/>
              <w:rPr>
                <w:rFonts w:ascii="Times New Roman" w:hAnsi="Times New Roman"/>
              </w:rPr>
            </w:pPr>
            <w:r w:rsidRPr="00206F59">
              <w:rPr>
                <w:rFonts w:ascii="Times New Roman" w:hAnsi="Times New Roman"/>
              </w:rPr>
              <w:t>Analyse des eaux (DBO, DCO, MES, pH, turbidité) ;</w:t>
            </w:r>
          </w:p>
          <w:p w:rsidR="0084695F" w:rsidRDefault="0084695F" w:rsidP="00FA3FAE">
            <w:pPr>
              <w:numPr>
                <w:ilvl w:val="0"/>
                <w:numId w:val="237"/>
              </w:numPr>
              <w:spacing w:after="0" w:line="240" w:lineRule="auto"/>
              <w:jc w:val="both"/>
              <w:rPr>
                <w:rFonts w:ascii="Times New Roman" w:hAnsi="Times New Roman"/>
              </w:rPr>
            </w:pPr>
            <w:r w:rsidRPr="00206F59">
              <w:rPr>
                <w:rFonts w:ascii="Times New Roman" w:hAnsi="Times New Roman"/>
              </w:rPr>
              <w:lastRenderedPageBreak/>
              <w:t>Analyse des concentrations de polluants dans l’eau souterraine ;</w:t>
            </w:r>
          </w:p>
          <w:p w:rsidR="0084695F" w:rsidRPr="00206F59" w:rsidRDefault="0084695F" w:rsidP="00FA3FAE">
            <w:pPr>
              <w:numPr>
                <w:ilvl w:val="0"/>
                <w:numId w:val="237"/>
              </w:numPr>
              <w:spacing w:after="0" w:line="240" w:lineRule="auto"/>
              <w:jc w:val="both"/>
              <w:rPr>
                <w:rFonts w:ascii="Times New Roman" w:hAnsi="Times New Roman"/>
              </w:rPr>
            </w:pPr>
            <w:r w:rsidRPr="00206F59">
              <w:rPr>
                <w:rFonts w:ascii="Times New Roman" w:hAnsi="Times New Roman"/>
              </w:rPr>
              <w:t>Dénombrement des sites d’érosion et/ou de sédimentation induits par le projet</w:t>
            </w:r>
          </w:p>
          <w:p w:rsidR="0084695F" w:rsidRPr="00206F59" w:rsidRDefault="0084695F" w:rsidP="00FA3FAE">
            <w:pPr>
              <w:numPr>
                <w:ilvl w:val="0"/>
                <w:numId w:val="237"/>
              </w:numPr>
              <w:spacing w:after="0" w:line="240" w:lineRule="auto"/>
              <w:jc w:val="both"/>
              <w:rPr>
                <w:rFonts w:ascii="Times New Roman" w:hAnsi="Times New Roman"/>
              </w:rPr>
            </w:pPr>
            <w:r w:rsidRPr="00206F59">
              <w:rPr>
                <w:rFonts w:ascii="Times New Roman" w:hAnsi="Times New Roman"/>
              </w:rPr>
              <w:t>Mesure de la superficie de berges stabilisées</w:t>
            </w:r>
          </w:p>
          <w:p w:rsidR="0084695F" w:rsidRPr="00206F59" w:rsidRDefault="0084695F" w:rsidP="00FA3FAE">
            <w:pPr>
              <w:numPr>
                <w:ilvl w:val="0"/>
                <w:numId w:val="237"/>
              </w:numPr>
              <w:spacing w:after="0" w:line="240" w:lineRule="auto"/>
              <w:jc w:val="both"/>
              <w:rPr>
                <w:rFonts w:ascii="Times New Roman" w:hAnsi="Times New Roman"/>
              </w:rPr>
            </w:pPr>
            <w:r w:rsidRPr="00206F59">
              <w:rPr>
                <w:rFonts w:ascii="Times New Roman" w:hAnsi="Times New Roman"/>
              </w:rPr>
              <w:t>Mesure des débits en amont et en aval des cours d’eau</w:t>
            </w:r>
          </w:p>
        </w:tc>
        <w:tc>
          <w:tcPr>
            <w:tcW w:w="2135" w:type="dxa"/>
            <w:vAlign w:val="center"/>
          </w:tcPr>
          <w:p w:rsidR="0084695F" w:rsidRPr="00206F59" w:rsidRDefault="0084695F" w:rsidP="00FA3FAE">
            <w:pPr>
              <w:pStyle w:val="PargrafodaLista"/>
              <w:numPr>
                <w:ilvl w:val="0"/>
                <w:numId w:val="238"/>
              </w:numPr>
              <w:spacing w:after="0" w:line="240" w:lineRule="auto"/>
              <w:ind w:left="331"/>
              <w:rPr>
                <w:rFonts w:ascii="Times New Roman" w:hAnsi="Times New Roman"/>
                <w:lang w:val="fr-FR"/>
              </w:rPr>
            </w:pPr>
            <w:r w:rsidRPr="00206F59">
              <w:rPr>
                <w:rFonts w:ascii="Times New Roman" w:hAnsi="Times New Roman"/>
                <w:lang w:val="fr-FR"/>
              </w:rPr>
              <w:lastRenderedPageBreak/>
              <w:t>Observations</w:t>
            </w:r>
          </w:p>
          <w:p w:rsidR="0084695F" w:rsidRPr="00206F59" w:rsidRDefault="0084695F" w:rsidP="00FA3FAE">
            <w:pPr>
              <w:pStyle w:val="PargrafodaLista"/>
              <w:numPr>
                <w:ilvl w:val="0"/>
                <w:numId w:val="238"/>
              </w:numPr>
              <w:spacing w:after="0" w:line="240" w:lineRule="auto"/>
              <w:ind w:left="331"/>
              <w:rPr>
                <w:rFonts w:ascii="Times New Roman" w:hAnsi="Times New Roman"/>
                <w:lang w:val="fr-FR"/>
              </w:rPr>
            </w:pPr>
          </w:p>
          <w:p w:rsidR="0084695F" w:rsidRPr="00206F59" w:rsidRDefault="0084695F" w:rsidP="00FA3FAE">
            <w:pPr>
              <w:pStyle w:val="PargrafodaLista"/>
              <w:numPr>
                <w:ilvl w:val="0"/>
                <w:numId w:val="238"/>
              </w:numPr>
              <w:spacing w:after="0" w:line="240" w:lineRule="auto"/>
              <w:ind w:left="331"/>
              <w:rPr>
                <w:rFonts w:ascii="Times New Roman" w:hAnsi="Times New Roman"/>
                <w:lang w:val="fr-FR"/>
              </w:rPr>
            </w:pPr>
            <w:r w:rsidRPr="00206F59">
              <w:rPr>
                <w:rFonts w:ascii="Times New Roman" w:hAnsi="Times New Roman"/>
                <w:lang w:val="fr-FR"/>
              </w:rPr>
              <w:lastRenderedPageBreak/>
              <w:t>Fiches d’analyse de la qualité des eaux souterraines ;</w:t>
            </w:r>
          </w:p>
          <w:p w:rsidR="0084695F" w:rsidRPr="00206F59" w:rsidRDefault="0084695F" w:rsidP="00FA3FAE">
            <w:pPr>
              <w:pStyle w:val="PargrafodaLista"/>
              <w:numPr>
                <w:ilvl w:val="0"/>
                <w:numId w:val="238"/>
              </w:numPr>
              <w:spacing w:after="0" w:line="240" w:lineRule="auto"/>
              <w:ind w:left="331"/>
              <w:rPr>
                <w:rFonts w:ascii="Times New Roman" w:hAnsi="Times New Roman"/>
                <w:lang w:val="fr-FR"/>
              </w:rPr>
            </w:pPr>
            <w:r w:rsidRPr="00206F59">
              <w:rPr>
                <w:rFonts w:ascii="Times New Roman" w:hAnsi="Times New Roman"/>
                <w:lang w:val="fr-FR"/>
              </w:rPr>
              <w:t>Fiches de dénombrements ;</w:t>
            </w:r>
          </w:p>
          <w:p w:rsidR="0084695F" w:rsidRPr="00206F59" w:rsidRDefault="0084695F" w:rsidP="00FA3FAE">
            <w:pPr>
              <w:pStyle w:val="PargrafodaLista"/>
              <w:numPr>
                <w:ilvl w:val="0"/>
                <w:numId w:val="238"/>
              </w:numPr>
              <w:spacing w:after="0" w:line="240" w:lineRule="auto"/>
              <w:ind w:left="331"/>
              <w:rPr>
                <w:rFonts w:ascii="Times New Roman" w:hAnsi="Times New Roman"/>
                <w:lang w:val="fr-FR"/>
              </w:rPr>
            </w:pPr>
            <w:r w:rsidRPr="00206F59">
              <w:rPr>
                <w:rFonts w:ascii="Times New Roman" w:hAnsi="Times New Roman"/>
                <w:lang w:val="fr-FR"/>
              </w:rPr>
              <w:t>Rapports de mesurage</w:t>
            </w:r>
          </w:p>
        </w:tc>
        <w:tc>
          <w:tcPr>
            <w:tcW w:w="2037" w:type="dxa"/>
            <w:vMerge w:val="restart"/>
            <w:vAlign w:val="center"/>
          </w:tcPr>
          <w:p w:rsidR="0084695F" w:rsidRPr="00206F59" w:rsidRDefault="0084695F" w:rsidP="002F0DE8">
            <w:pPr>
              <w:spacing w:after="0" w:line="240" w:lineRule="auto"/>
              <w:jc w:val="center"/>
              <w:rPr>
                <w:rFonts w:ascii="Times New Roman" w:hAnsi="Times New Roman"/>
              </w:rPr>
            </w:pPr>
            <w:r w:rsidRPr="00206F59">
              <w:rPr>
                <w:rFonts w:ascii="Times New Roman" w:hAnsi="Times New Roman"/>
              </w:rPr>
              <w:lastRenderedPageBreak/>
              <w:t xml:space="preserve">Entreprise avec la validation du </w:t>
            </w:r>
            <w:r w:rsidRPr="00206F59">
              <w:rPr>
                <w:rFonts w:ascii="Times New Roman" w:hAnsi="Times New Roman"/>
              </w:rPr>
              <w:lastRenderedPageBreak/>
              <w:t>spécialiste environnement de la MC</w:t>
            </w:r>
          </w:p>
          <w:p w:rsidR="0084695F" w:rsidRPr="00206F59" w:rsidRDefault="0084695F" w:rsidP="002F0DE8">
            <w:pPr>
              <w:spacing w:after="0" w:line="240" w:lineRule="auto"/>
              <w:jc w:val="center"/>
              <w:rPr>
                <w:rFonts w:ascii="Times New Roman" w:hAnsi="Times New Roman"/>
              </w:rPr>
            </w:pPr>
          </w:p>
          <w:p w:rsidR="0084695F" w:rsidRPr="00206F59" w:rsidRDefault="0084695F" w:rsidP="002F0DE8">
            <w:pPr>
              <w:spacing w:after="0" w:line="240" w:lineRule="auto"/>
              <w:jc w:val="center"/>
              <w:rPr>
                <w:rFonts w:ascii="Times New Roman" w:hAnsi="Times New Roman"/>
              </w:rPr>
            </w:pPr>
            <w:r w:rsidRPr="00206F59">
              <w:rPr>
                <w:rFonts w:ascii="Times New Roman" w:hAnsi="Times New Roman"/>
              </w:rPr>
              <w:t xml:space="preserve">Mission de contrôle  </w:t>
            </w:r>
          </w:p>
          <w:p w:rsidR="0084695F" w:rsidRPr="00206F59" w:rsidRDefault="0084695F" w:rsidP="002F0DE8">
            <w:pPr>
              <w:spacing w:after="0" w:line="240" w:lineRule="auto"/>
              <w:jc w:val="center"/>
              <w:rPr>
                <w:rFonts w:ascii="Times New Roman" w:hAnsi="Times New Roman"/>
              </w:rPr>
            </w:pPr>
          </w:p>
          <w:p w:rsidR="0084695F" w:rsidRPr="00206F59" w:rsidRDefault="0084695F" w:rsidP="002F0DE8">
            <w:pPr>
              <w:spacing w:after="0" w:line="240" w:lineRule="auto"/>
              <w:jc w:val="center"/>
              <w:rPr>
                <w:rFonts w:ascii="Times New Roman" w:hAnsi="Times New Roman"/>
              </w:rPr>
            </w:pPr>
            <w:r w:rsidRPr="00206F59">
              <w:rPr>
                <w:rFonts w:ascii="Times New Roman" w:hAnsi="Times New Roman"/>
              </w:rPr>
              <w:t>PUASEE-FA</w:t>
            </w:r>
          </w:p>
          <w:p w:rsidR="0084695F" w:rsidRPr="00206F59" w:rsidRDefault="0084695F" w:rsidP="002F0DE8">
            <w:pPr>
              <w:spacing w:after="0" w:line="240" w:lineRule="auto"/>
              <w:jc w:val="center"/>
              <w:rPr>
                <w:rFonts w:ascii="Times New Roman" w:hAnsi="Times New Roman"/>
              </w:rPr>
            </w:pPr>
          </w:p>
        </w:tc>
        <w:tc>
          <w:tcPr>
            <w:tcW w:w="1538" w:type="dxa"/>
            <w:vAlign w:val="center"/>
          </w:tcPr>
          <w:p w:rsidR="0084695F" w:rsidRPr="00206F59" w:rsidRDefault="0084695F" w:rsidP="002F0DE8">
            <w:pPr>
              <w:spacing w:after="0" w:line="240" w:lineRule="auto"/>
              <w:jc w:val="center"/>
              <w:rPr>
                <w:rFonts w:ascii="Times New Roman" w:hAnsi="Times New Roman"/>
              </w:rPr>
            </w:pPr>
            <w:r w:rsidRPr="00206F59">
              <w:rPr>
                <w:rFonts w:ascii="Times New Roman" w:hAnsi="Times New Roman"/>
              </w:rPr>
              <w:lastRenderedPageBreak/>
              <w:t>semestrielle</w:t>
            </w:r>
          </w:p>
        </w:tc>
        <w:tc>
          <w:tcPr>
            <w:tcW w:w="1577" w:type="dxa"/>
            <w:vAlign w:val="center"/>
          </w:tcPr>
          <w:p w:rsidR="0084695F" w:rsidRPr="00206F59" w:rsidRDefault="0084695F" w:rsidP="002F0DE8">
            <w:pPr>
              <w:spacing w:after="0" w:line="240" w:lineRule="auto"/>
              <w:jc w:val="center"/>
              <w:rPr>
                <w:rFonts w:ascii="Times New Roman" w:hAnsi="Times New Roman"/>
              </w:rPr>
            </w:pPr>
            <w:r w:rsidRPr="00206F59">
              <w:rPr>
                <w:rFonts w:ascii="Times New Roman" w:hAnsi="Times New Roman"/>
              </w:rPr>
              <w:t>Respect de la réglementation</w:t>
            </w:r>
          </w:p>
        </w:tc>
        <w:tc>
          <w:tcPr>
            <w:tcW w:w="1331" w:type="dxa"/>
            <w:vMerge w:val="restart"/>
            <w:shd w:val="clear" w:color="auto" w:fill="F7CAAC"/>
            <w:vAlign w:val="center"/>
          </w:tcPr>
          <w:p w:rsidR="0084695F" w:rsidRPr="00206F59" w:rsidRDefault="0084695F" w:rsidP="002F0DE8">
            <w:pPr>
              <w:spacing w:after="0" w:line="240" w:lineRule="auto"/>
              <w:jc w:val="center"/>
              <w:rPr>
                <w:rFonts w:ascii="Times New Roman" w:hAnsi="Times New Roman"/>
                <w:b/>
              </w:rPr>
            </w:pPr>
            <w:r w:rsidRPr="00206F59">
              <w:rPr>
                <w:rFonts w:ascii="Times New Roman" w:hAnsi="Times New Roman"/>
                <w:b/>
              </w:rPr>
              <w:t>6 000 000</w:t>
            </w:r>
          </w:p>
        </w:tc>
      </w:tr>
      <w:tr w:rsidR="0084695F" w:rsidRPr="00206F59" w:rsidTr="002F0DE8">
        <w:tc>
          <w:tcPr>
            <w:tcW w:w="1405" w:type="dxa"/>
            <w:vMerge/>
            <w:shd w:val="clear" w:color="auto" w:fill="FFF2CC" w:themeFill="accent4" w:themeFillTint="33"/>
          </w:tcPr>
          <w:p w:rsidR="0084695F" w:rsidRPr="00206F59" w:rsidRDefault="0084695F" w:rsidP="002F0DE8">
            <w:pPr>
              <w:spacing w:after="0" w:line="240" w:lineRule="auto"/>
              <w:jc w:val="center"/>
              <w:rPr>
                <w:rFonts w:ascii="Times New Roman" w:hAnsi="Times New Roman"/>
                <w:b/>
              </w:rPr>
            </w:pPr>
          </w:p>
        </w:tc>
        <w:tc>
          <w:tcPr>
            <w:tcW w:w="1446" w:type="dxa"/>
            <w:vAlign w:val="center"/>
          </w:tcPr>
          <w:p w:rsidR="0084695F" w:rsidRPr="00206F59" w:rsidRDefault="0084695F" w:rsidP="002F0DE8">
            <w:pPr>
              <w:spacing w:after="0" w:line="240" w:lineRule="auto"/>
              <w:jc w:val="center"/>
              <w:rPr>
                <w:rFonts w:ascii="Times New Roman" w:hAnsi="Times New Roman"/>
                <w:b/>
              </w:rPr>
            </w:pPr>
            <w:r w:rsidRPr="00206F59">
              <w:rPr>
                <w:rFonts w:ascii="Times New Roman" w:hAnsi="Times New Roman"/>
                <w:b/>
              </w:rPr>
              <w:t xml:space="preserve">Disponibilité  </w:t>
            </w:r>
            <w:r>
              <w:rPr>
                <w:rFonts w:ascii="Times New Roman" w:hAnsi="Times New Roman"/>
                <w:b/>
              </w:rPr>
              <w:t xml:space="preserve">et qualité </w:t>
            </w:r>
            <w:r w:rsidRPr="00206F59">
              <w:rPr>
                <w:rFonts w:ascii="Times New Roman" w:hAnsi="Times New Roman"/>
                <w:b/>
              </w:rPr>
              <w:t>de l’eau</w:t>
            </w:r>
          </w:p>
        </w:tc>
        <w:tc>
          <w:tcPr>
            <w:tcW w:w="3098" w:type="dxa"/>
          </w:tcPr>
          <w:p w:rsidR="0084695F" w:rsidRDefault="0084695F" w:rsidP="00FA3FAE">
            <w:pPr>
              <w:numPr>
                <w:ilvl w:val="0"/>
                <w:numId w:val="237"/>
              </w:numPr>
              <w:spacing w:after="0" w:line="240" w:lineRule="auto"/>
              <w:jc w:val="both"/>
              <w:rPr>
                <w:rFonts w:ascii="Times New Roman" w:hAnsi="Times New Roman"/>
              </w:rPr>
            </w:pPr>
            <w:r w:rsidRPr="00206F59">
              <w:rPr>
                <w:rFonts w:ascii="Times New Roman" w:hAnsi="Times New Roman"/>
              </w:rPr>
              <w:t>Mesure de la quantité d’eau  prélevée</w:t>
            </w:r>
          </w:p>
          <w:p w:rsidR="0084695F" w:rsidRPr="00A27CE6" w:rsidRDefault="0084695F" w:rsidP="00FA3FAE">
            <w:pPr>
              <w:numPr>
                <w:ilvl w:val="0"/>
                <w:numId w:val="237"/>
              </w:numPr>
              <w:spacing w:after="0" w:line="240" w:lineRule="auto"/>
              <w:jc w:val="both"/>
              <w:rPr>
                <w:rFonts w:ascii="Times New Roman" w:hAnsi="Times New Roman"/>
              </w:rPr>
            </w:pPr>
            <w:r>
              <w:rPr>
                <w:rFonts w:ascii="Times New Roman" w:hAnsi="Times New Roman"/>
              </w:rPr>
              <w:t xml:space="preserve">Analyse </w:t>
            </w:r>
            <w:r w:rsidRPr="00A27CE6">
              <w:rPr>
                <w:rFonts w:ascii="Times New Roman" w:hAnsi="Times New Roman"/>
              </w:rPr>
              <w:t>de l’eau de boisson (comme le pH, la conductivité, le carbone organique total (COT), salinité et toxicité)</w:t>
            </w:r>
          </w:p>
        </w:tc>
        <w:tc>
          <w:tcPr>
            <w:tcW w:w="2135" w:type="dxa"/>
          </w:tcPr>
          <w:p w:rsidR="0084695F" w:rsidRDefault="0084695F" w:rsidP="00FA3FAE">
            <w:pPr>
              <w:pStyle w:val="PargrafodaLista"/>
              <w:numPr>
                <w:ilvl w:val="0"/>
                <w:numId w:val="238"/>
              </w:numPr>
              <w:spacing w:after="0" w:line="240" w:lineRule="auto"/>
              <w:ind w:left="331"/>
              <w:rPr>
                <w:rFonts w:ascii="Times New Roman" w:hAnsi="Times New Roman"/>
              </w:rPr>
            </w:pPr>
            <w:r w:rsidRPr="00206F59">
              <w:rPr>
                <w:rFonts w:ascii="Times New Roman" w:hAnsi="Times New Roman"/>
              </w:rPr>
              <w:t>Rapports de mesurage</w:t>
            </w:r>
          </w:p>
          <w:p w:rsidR="0084695F" w:rsidRPr="00206F59" w:rsidRDefault="0084695F" w:rsidP="00FA3FAE">
            <w:pPr>
              <w:pStyle w:val="PargrafodaLista"/>
              <w:numPr>
                <w:ilvl w:val="0"/>
                <w:numId w:val="238"/>
              </w:numPr>
              <w:spacing w:after="0" w:line="240" w:lineRule="auto"/>
              <w:ind w:left="331"/>
              <w:rPr>
                <w:rFonts w:ascii="Times New Roman" w:hAnsi="Times New Roman"/>
              </w:rPr>
            </w:pPr>
            <w:r>
              <w:rPr>
                <w:rFonts w:ascii="Times New Roman" w:hAnsi="Times New Roman"/>
                <w:lang w:val="fr-FR"/>
              </w:rPr>
              <w:t>Fiches d’analyse</w:t>
            </w:r>
          </w:p>
        </w:tc>
        <w:tc>
          <w:tcPr>
            <w:tcW w:w="2037" w:type="dxa"/>
            <w:vMerge/>
          </w:tcPr>
          <w:p w:rsidR="0084695F" w:rsidRPr="00206F59" w:rsidRDefault="0084695F" w:rsidP="002F0DE8">
            <w:pPr>
              <w:spacing w:after="0" w:line="240" w:lineRule="auto"/>
              <w:jc w:val="center"/>
              <w:rPr>
                <w:rFonts w:ascii="Times New Roman" w:hAnsi="Times New Roman"/>
              </w:rPr>
            </w:pPr>
          </w:p>
        </w:tc>
        <w:tc>
          <w:tcPr>
            <w:tcW w:w="1538" w:type="dxa"/>
          </w:tcPr>
          <w:p w:rsidR="0084695F" w:rsidRPr="00206F59" w:rsidRDefault="0084695F" w:rsidP="002F0DE8">
            <w:pPr>
              <w:spacing w:after="0" w:line="240" w:lineRule="auto"/>
              <w:jc w:val="center"/>
              <w:rPr>
                <w:rFonts w:ascii="Times New Roman" w:hAnsi="Times New Roman"/>
              </w:rPr>
            </w:pPr>
            <w:r w:rsidRPr="00206F59">
              <w:rPr>
                <w:rFonts w:ascii="Times New Roman" w:hAnsi="Times New Roman"/>
              </w:rPr>
              <w:t>Annuelle</w:t>
            </w:r>
          </w:p>
        </w:tc>
        <w:tc>
          <w:tcPr>
            <w:tcW w:w="1577" w:type="dxa"/>
          </w:tcPr>
          <w:p w:rsidR="0084695F" w:rsidRPr="00206F59" w:rsidRDefault="0084695F" w:rsidP="002F0DE8">
            <w:pPr>
              <w:spacing w:after="0" w:line="240" w:lineRule="auto"/>
              <w:jc w:val="center"/>
              <w:rPr>
                <w:rFonts w:ascii="Times New Roman" w:hAnsi="Times New Roman"/>
              </w:rPr>
            </w:pPr>
            <w:r w:rsidRPr="00206F59">
              <w:rPr>
                <w:rFonts w:ascii="Times New Roman" w:hAnsi="Times New Roman"/>
              </w:rPr>
              <w:t>Cadre de vie de la population</w:t>
            </w:r>
            <w:r>
              <w:rPr>
                <w:rFonts w:ascii="Times New Roman" w:hAnsi="Times New Roman"/>
              </w:rPr>
              <w:t xml:space="preserve"> et </w:t>
            </w:r>
            <w:r w:rsidRPr="00206F59">
              <w:rPr>
                <w:rFonts w:ascii="Times New Roman" w:hAnsi="Times New Roman"/>
              </w:rPr>
              <w:t>Respect</w:t>
            </w:r>
            <w:r>
              <w:rPr>
                <w:rFonts w:ascii="Times New Roman" w:hAnsi="Times New Roman"/>
              </w:rPr>
              <w:t xml:space="preserve"> des directives EHS de la Banque Mondiale</w:t>
            </w:r>
          </w:p>
        </w:tc>
        <w:tc>
          <w:tcPr>
            <w:tcW w:w="1331" w:type="dxa"/>
            <w:vMerge/>
            <w:shd w:val="clear" w:color="auto" w:fill="F7CAAC"/>
            <w:vAlign w:val="center"/>
          </w:tcPr>
          <w:p w:rsidR="0084695F" w:rsidRPr="00206F59" w:rsidRDefault="0084695F" w:rsidP="002F0DE8">
            <w:pPr>
              <w:spacing w:after="0" w:line="240" w:lineRule="auto"/>
              <w:jc w:val="center"/>
              <w:rPr>
                <w:rFonts w:ascii="Times New Roman" w:hAnsi="Times New Roman"/>
                <w:b/>
              </w:rPr>
            </w:pPr>
          </w:p>
        </w:tc>
      </w:tr>
      <w:tr w:rsidR="0084695F" w:rsidRPr="00206F59" w:rsidTr="002F0DE8">
        <w:tc>
          <w:tcPr>
            <w:tcW w:w="1405" w:type="dxa"/>
            <w:shd w:val="clear" w:color="auto" w:fill="FFF2CC" w:themeFill="accent4" w:themeFillTint="33"/>
            <w:vAlign w:val="center"/>
          </w:tcPr>
          <w:p w:rsidR="0084695F" w:rsidRPr="00206F59" w:rsidRDefault="0084695F" w:rsidP="002F0DE8">
            <w:pPr>
              <w:spacing w:after="0" w:line="240" w:lineRule="auto"/>
              <w:jc w:val="center"/>
              <w:rPr>
                <w:rFonts w:ascii="Times New Roman" w:hAnsi="Times New Roman"/>
                <w:b/>
              </w:rPr>
            </w:pPr>
            <w:r w:rsidRPr="00206F59">
              <w:rPr>
                <w:rFonts w:ascii="Times New Roman" w:hAnsi="Times New Roman"/>
                <w:b/>
              </w:rPr>
              <w:t>Flore</w:t>
            </w:r>
          </w:p>
        </w:tc>
        <w:tc>
          <w:tcPr>
            <w:tcW w:w="1446" w:type="dxa"/>
            <w:vAlign w:val="center"/>
          </w:tcPr>
          <w:p w:rsidR="0084695F" w:rsidRPr="00206F59" w:rsidRDefault="0084695F" w:rsidP="002F0DE8">
            <w:pPr>
              <w:spacing w:after="0" w:line="240" w:lineRule="auto"/>
              <w:jc w:val="center"/>
              <w:rPr>
                <w:rFonts w:ascii="Times New Roman" w:hAnsi="Times New Roman"/>
                <w:b/>
              </w:rPr>
            </w:pPr>
            <w:r w:rsidRPr="00206F59">
              <w:rPr>
                <w:rFonts w:ascii="Times New Roman" w:hAnsi="Times New Roman"/>
                <w:b/>
              </w:rPr>
              <w:t>Etat de la flore et</w:t>
            </w:r>
          </w:p>
          <w:p w:rsidR="0084695F" w:rsidRPr="00206F59" w:rsidRDefault="0084695F" w:rsidP="002F0DE8">
            <w:pPr>
              <w:spacing w:after="0" w:line="240" w:lineRule="auto"/>
              <w:jc w:val="center"/>
              <w:rPr>
                <w:rFonts w:ascii="Times New Roman" w:hAnsi="Times New Roman"/>
                <w:b/>
              </w:rPr>
            </w:pPr>
            <w:r w:rsidRPr="00206F59">
              <w:rPr>
                <w:rFonts w:ascii="Times New Roman" w:hAnsi="Times New Roman"/>
                <w:b/>
              </w:rPr>
              <w:t>Diversité floristique</w:t>
            </w:r>
          </w:p>
        </w:tc>
        <w:tc>
          <w:tcPr>
            <w:tcW w:w="3098" w:type="dxa"/>
          </w:tcPr>
          <w:p w:rsidR="0084695F" w:rsidRPr="00206F59" w:rsidRDefault="0084695F" w:rsidP="00FA3FAE">
            <w:pPr>
              <w:numPr>
                <w:ilvl w:val="0"/>
                <w:numId w:val="237"/>
              </w:numPr>
              <w:spacing w:after="0" w:line="240" w:lineRule="auto"/>
              <w:jc w:val="both"/>
              <w:rPr>
                <w:rFonts w:ascii="Times New Roman" w:hAnsi="Times New Roman"/>
              </w:rPr>
            </w:pPr>
            <w:r w:rsidRPr="00206F59">
              <w:rPr>
                <w:rFonts w:ascii="Times New Roman" w:hAnsi="Times New Roman"/>
              </w:rPr>
              <w:t>Faire le rapport du nombre d’arbres abattus sur le nombre d’arbres plantés</w:t>
            </w:r>
          </w:p>
          <w:p w:rsidR="0084695F" w:rsidRPr="00206F59" w:rsidRDefault="0084695F" w:rsidP="00FA3FAE">
            <w:pPr>
              <w:numPr>
                <w:ilvl w:val="0"/>
                <w:numId w:val="237"/>
              </w:numPr>
              <w:spacing w:after="0" w:line="240" w:lineRule="auto"/>
              <w:jc w:val="both"/>
              <w:rPr>
                <w:rFonts w:ascii="Times New Roman" w:hAnsi="Times New Roman"/>
              </w:rPr>
            </w:pPr>
            <w:r w:rsidRPr="00206F59">
              <w:rPr>
                <w:rFonts w:ascii="Times New Roman" w:hAnsi="Times New Roman"/>
              </w:rPr>
              <w:t>Renseigner la composition spécifique végétale et les différentes espèces protégées</w:t>
            </w:r>
          </w:p>
          <w:p w:rsidR="0084695F" w:rsidRPr="00206F59" w:rsidRDefault="0084695F" w:rsidP="00FA3FAE">
            <w:pPr>
              <w:numPr>
                <w:ilvl w:val="0"/>
                <w:numId w:val="237"/>
              </w:numPr>
              <w:spacing w:after="0" w:line="240" w:lineRule="auto"/>
              <w:jc w:val="both"/>
              <w:rPr>
                <w:rFonts w:ascii="Times New Roman" w:hAnsi="Times New Roman"/>
              </w:rPr>
            </w:pPr>
            <w:r w:rsidRPr="00206F59">
              <w:rPr>
                <w:rFonts w:ascii="Times New Roman" w:hAnsi="Times New Roman"/>
              </w:rPr>
              <w:t>Mesure du taux de réussite du reboisement ;</w:t>
            </w:r>
          </w:p>
        </w:tc>
        <w:tc>
          <w:tcPr>
            <w:tcW w:w="2135" w:type="dxa"/>
          </w:tcPr>
          <w:p w:rsidR="0084695F" w:rsidRPr="00206F59" w:rsidRDefault="0084695F" w:rsidP="002F0DE8">
            <w:pPr>
              <w:keepNext/>
              <w:keepLines/>
              <w:spacing w:before="200" w:after="0" w:line="240" w:lineRule="auto"/>
              <w:jc w:val="center"/>
              <w:outlineLvl w:val="2"/>
              <w:rPr>
                <w:rFonts w:ascii="Times New Roman" w:hAnsi="Times New Roman"/>
              </w:rPr>
            </w:pPr>
          </w:p>
          <w:p w:rsidR="0084695F" w:rsidRPr="00206F59" w:rsidRDefault="0084695F" w:rsidP="002F0DE8">
            <w:pPr>
              <w:spacing w:after="0" w:line="240" w:lineRule="auto"/>
              <w:jc w:val="center"/>
              <w:rPr>
                <w:rFonts w:ascii="Times New Roman" w:hAnsi="Times New Roman"/>
              </w:rPr>
            </w:pPr>
            <w:r w:rsidRPr="00206F59">
              <w:rPr>
                <w:rFonts w:ascii="Times New Roman" w:hAnsi="Times New Roman"/>
              </w:rPr>
              <w:t>Fiches d’observation ;</w:t>
            </w:r>
          </w:p>
          <w:p w:rsidR="0084695F" w:rsidRPr="00206F59" w:rsidRDefault="0084695F" w:rsidP="002F0DE8">
            <w:pPr>
              <w:spacing w:after="0" w:line="240" w:lineRule="auto"/>
              <w:jc w:val="center"/>
              <w:rPr>
                <w:rFonts w:ascii="Times New Roman" w:hAnsi="Times New Roman"/>
              </w:rPr>
            </w:pPr>
            <w:r w:rsidRPr="00206F59">
              <w:rPr>
                <w:rFonts w:ascii="Times New Roman" w:hAnsi="Times New Roman"/>
              </w:rPr>
              <w:t>Fiches d’inventaire des espèces</w:t>
            </w:r>
          </w:p>
        </w:tc>
        <w:tc>
          <w:tcPr>
            <w:tcW w:w="2037" w:type="dxa"/>
            <w:vAlign w:val="center"/>
          </w:tcPr>
          <w:p w:rsidR="0084695F" w:rsidRPr="00206F59" w:rsidRDefault="0084695F" w:rsidP="002F0DE8">
            <w:pPr>
              <w:spacing w:after="0" w:line="240" w:lineRule="auto"/>
              <w:jc w:val="center"/>
              <w:rPr>
                <w:rFonts w:ascii="Times New Roman" w:hAnsi="Times New Roman"/>
              </w:rPr>
            </w:pPr>
            <w:r w:rsidRPr="00206F59">
              <w:rPr>
                <w:rFonts w:ascii="Times New Roman" w:hAnsi="Times New Roman"/>
              </w:rPr>
              <w:t>Responsable environnement de PAUSEE-FA et de l’entreprise, mission de contrôle, DGEF, les mairies</w:t>
            </w:r>
          </w:p>
        </w:tc>
        <w:tc>
          <w:tcPr>
            <w:tcW w:w="1538" w:type="dxa"/>
            <w:vAlign w:val="center"/>
          </w:tcPr>
          <w:p w:rsidR="0084695F" w:rsidRPr="00206F59" w:rsidRDefault="0084695F" w:rsidP="002F0DE8">
            <w:pPr>
              <w:spacing w:after="0" w:line="240" w:lineRule="auto"/>
              <w:jc w:val="center"/>
              <w:rPr>
                <w:rFonts w:ascii="Times New Roman" w:hAnsi="Times New Roman"/>
              </w:rPr>
            </w:pPr>
            <w:r w:rsidRPr="00206F59">
              <w:rPr>
                <w:rFonts w:ascii="Times New Roman" w:hAnsi="Times New Roman"/>
              </w:rPr>
              <w:t>Trimestrielle</w:t>
            </w:r>
          </w:p>
        </w:tc>
        <w:tc>
          <w:tcPr>
            <w:tcW w:w="1577" w:type="dxa"/>
            <w:vAlign w:val="center"/>
          </w:tcPr>
          <w:p w:rsidR="0084695F" w:rsidRPr="00206F59" w:rsidRDefault="0084695F" w:rsidP="002F0DE8">
            <w:pPr>
              <w:spacing w:after="0" w:line="240" w:lineRule="auto"/>
              <w:jc w:val="center"/>
              <w:rPr>
                <w:rFonts w:ascii="Times New Roman" w:hAnsi="Times New Roman"/>
              </w:rPr>
            </w:pPr>
            <w:r w:rsidRPr="00206F59">
              <w:rPr>
                <w:rFonts w:ascii="Times New Roman" w:hAnsi="Times New Roman"/>
              </w:rPr>
              <w:t>Conservation de la flore</w:t>
            </w:r>
          </w:p>
        </w:tc>
        <w:tc>
          <w:tcPr>
            <w:tcW w:w="1331" w:type="dxa"/>
            <w:shd w:val="clear" w:color="auto" w:fill="F7CAAC"/>
            <w:vAlign w:val="center"/>
          </w:tcPr>
          <w:p w:rsidR="0084695F" w:rsidRPr="00206F59" w:rsidRDefault="0084695F" w:rsidP="002F0DE8">
            <w:pPr>
              <w:spacing w:after="0" w:line="240" w:lineRule="auto"/>
              <w:jc w:val="center"/>
              <w:rPr>
                <w:rFonts w:ascii="Times New Roman" w:hAnsi="Times New Roman"/>
                <w:b/>
              </w:rPr>
            </w:pPr>
            <w:r w:rsidRPr="00206F59">
              <w:rPr>
                <w:rFonts w:ascii="Times New Roman" w:hAnsi="Times New Roman"/>
                <w:b/>
              </w:rPr>
              <w:t>2 500 000</w:t>
            </w:r>
          </w:p>
        </w:tc>
      </w:tr>
      <w:tr w:rsidR="0084695F" w:rsidRPr="00206F59" w:rsidTr="002F0DE8">
        <w:tc>
          <w:tcPr>
            <w:tcW w:w="1405" w:type="dxa"/>
            <w:shd w:val="clear" w:color="auto" w:fill="FFF2CC" w:themeFill="accent4" w:themeFillTint="33"/>
            <w:vAlign w:val="center"/>
          </w:tcPr>
          <w:p w:rsidR="0084695F" w:rsidRPr="00206F59" w:rsidRDefault="0084695F" w:rsidP="002F0DE8">
            <w:pPr>
              <w:spacing w:after="0" w:line="240" w:lineRule="auto"/>
              <w:jc w:val="center"/>
              <w:rPr>
                <w:rFonts w:ascii="Times New Roman" w:hAnsi="Times New Roman"/>
                <w:b/>
              </w:rPr>
            </w:pPr>
            <w:r w:rsidRPr="00206F59">
              <w:rPr>
                <w:rFonts w:ascii="Times New Roman" w:hAnsi="Times New Roman"/>
                <w:b/>
              </w:rPr>
              <w:t>Bruit</w:t>
            </w:r>
          </w:p>
        </w:tc>
        <w:tc>
          <w:tcPr>
            <w:tcW w:w="1446" w:type="dxa"/>
            <w:vAlign w:val="center"/>
          </w:tcPr>
          <w:p w:rsidR="0084695F" w:rsidRPr="00206F59" w:rsidRDefault="0084695F" w:rsidP="002F0DE8">
            <w:pPr>
              <w:spacing w:after="0" w:line="240" w:lineRule="auto"/>
              <w:jc w:val="center"/>
              <w:rPr>
                <w:rFonts w:ascii="Times New Roman" w:hAnsi="Times New Roman"/>
                <w:b/>
              </w:rPr>
            </w:pPr>
            <w:r w:rsidRPr="00206F59">
              <w:rPr>
                <w:rFonts w:ascii="Times New Roman" w:hAnsi="Times New Roman"/>
                <w:b/>
              </w:rPr>
              <w:t>Ambiance sonore</w:t>
            </w:r>
          </w:p>
        </w:tc>
        <w:tc>
          <w:tcPr>
            <w:tcW w:w="3098" w:type="dxa"/>
            <w:vAlign w:val="center"/>
          </w:tcPr>
          <w:p w:rsidR="0084695F" w:rsidRPr="00206F59" w:rsidRDefault="0084695F" w:rsidP="00FA3FAE">
            <w:pPr>
              <w:numPr>
                <w:ilvl w:val="0"/>
                <w:numId w:val="235"/>
              </w:numPr>
              <w:spacing w:after="0" w:line="240" w:lineRule="auto"/>
              <w:rPr>
                <w:rFonts w:ascii="Times New Roman" w:hAnsi="Times New Roman"/>
              </w:rPr>
            </w:pPr>
            <w:r w:rsidRPr="00206F59">
              <w:rPr>
                <w:rFonts w:ascii="Times New Roman" w:hAnsi="Times New Roman"/>
              </w:rPr>
              <w:t>Mesure des niveaux sonores dans les chantiers ;</w:t>
            </w:r>
          </w:p>
          <w:p w:rsidR="0084695F" w:rsidRPr="00206F59" w:rsidRDefault="0084695F" w:rsidP="00FA3FAE">
            <w:pPr>
              <w:numPr>
                <w:ilvl w:val="0"/>
                <w:numId w:val="235"/>
              </w:numPr>
              <w:spacing w:after="0" w:line="240" w:lineRule="auto"/>
              <w:rPr>
                <w:rFonts w:ascii="Times New Roman" w:hAnsi="Times New Roman"/>
              </w:rPr>
            </w:pPr>
            <w:r w:rsidRPr="00206F59">
              <w:rPr>
                <w:rFonts w:ascii="Times New Roman" w:hAnsi="Times New Roman"/>
              </w:rPr>
              <w:t xml:space="preserve">Mesure des niveaux sonores au niveau des transformateurs et des </w:t>
            </w:r>
            <w:r w:rsidRPr="00206F59">
              <w:rPr>
                <w:rFonts w:ascii="Times New Roman" w:hAnsi="Times New Roman"/>
              </w:rPr>
              <w:lastRenderedPageBreak/>
              <w:t>groupes électrogène en phase d’exploitation</w:t>
            </w:r>
          </w:p>
        </w:tc>
        <w:tc>
          <w:tcPr>
            <w:tcW w:w="2135" w:type="dxa"/>
            <w:vAlign w:val="center"/>
          </w:tcPr>
          <w:p w:rsidR="0084695F" w:rsidRPr="00206F59" w:rsidRDefault="0084695F" w:rsidP="002F0DE8">
            <w:pPr>
              <w:spacing w:after="0" w:line="240" w:lineRule="auto"/>
              <w:jc w:val="center"/>
              <w:rPr>
                <w:rFonts w:ascii="Times New Roman" w:hAnsi="Times New Roman"/>
              </w:rPr>
            </w:pPr>
            <w:r w:rsidRPr="00206F59">
              <w:rPr>
                <w:rFonts w:ascii="Times New Roman" w:hAnsi="Times New Roman"/>
              </w:rPr>
              <w:lastRenderedPageBreak/>
              <w:t>Rapport de mesure du bruit</w:t>
            </w:r>
          </w:p>
        </w:tc>
        <w:tc>
          <w:tcPr>
            <w:tcW w:w="2037" w:type="dxa"/>
            <w:vAlign w:val="center"/>
          </w:tcPr>
          <w:p w:rsidR="0084695F" w:rsidRPr="00206F59" w:rsidRDefault="0084695F" w:rsidP="002F0DE8">
            <w:pPr>
              <w:spacing w:after="0" w:line="240" w:lineRule="auto"/>
              <w:jc w:val="center"/>
              <w:rPr>
                <w:rFonts w:ascii="Times New Roman" w:hAnsi="Times New Roman"/>
              </w:rPr>
            </w:pPr>
            <w:r w:rsidRPr="00206F59">
              <w:rPr>
                <w:rFonts w:ascii="Times New Roman" w:hAnsi="Times New Roman"/>
              </w:rPr>
              <w:t>Environnementaliste de l’Entreprise et du PAUSEE-FA</w:t>
            </w:r>
          </w:p>
          <w:p w:rsidR="0084695F" w:rsidRPr="00206F59" w:rsidRDefault="0084695F" w:rsidP="002F0DE8">
            <w:pPr>
              <w:spacing w:after="0" w:line="240" w:lineRule="auto"/>
              <w:jc w:val="center"/>
              <w:rPr>
                <w:rFonts w:ascii="Times New Roman" w:hAnsi="Times New Roman"/>
              </w:rPr>
            </w:pPr>
            <w:r w:rsidRPr="00206F59">
              <w:rPr>
                <w:rFonts w:ascii="Times New Roman" w:hAnsi="Times New Roman"/>
              </w:rPr>
              <w:t>Mission de contrôle des travaux</w:t>
            </w:r>
          </w:p>
        </w:tc>
        <w:tc>
          <w:tcPr>
            <w:tcW w:w="1538" w:type="dxa"/>
            <w:vAlign w:val="center"/>
          </w:tcPr>
          <w:p w:rsidR="0084695F" w:rsidRPr="00206F59" w:rsidRDefault="0084695F" w:rsidP="002F0DE8">
            <w:pPr>
              <w:spacing w:after="0" w:line="240" w:lineRule="auto"/>
              <w:jc w:val="center"/>
              <w:rPr>
                <w:rFonts w:ascii="Times New Roman" w:hAnsi="Times New Roman"/>
              </w:rPr>
            </w:pPr>
            <w:r w:rsidRPr="00206F59">
              <w:rPr>
                <w:rFonts w:ascii="Times New Roman" w:hAnsi="Times New Roman"/>
              </w:rPr>
              <w:t>Trimestrielle</w:t>
            </w:r>
          </w:p>
        </w:tc>
        <w:tc>
          <w:tcPr>
            <w:tcW w:w="1577" w:type="dxa"/>
            <w:vAlign w:val="center"/>
          </w:tcPr>
          <w:p w:rsidR="0084695F" w:rsidRPr="00206F59" w:rsidRDefault="0084695F" w:rsidP="002F0DE8">
            <w:pPr>
              <w:spacing w:after="0" w:line="240" w:lineRule="auto"/>
              <w:jc w:val="center"/>
              <w:rPr>
                <w:rFonts w:ascii="Times New Roman" w:hAnsi="Times New Roman"/>
              </w:rPr>
            </w:pPr>
            <w:r w:rsidRPr="00206F59">
              <w:rPr>
                <w:rFonts w:ascii="Times New Roman" w:hAnsi="Times New Roman"/>
              </w:rPr>
              <w:t>Respect de la réglementation</w:t>
            </w:r>
            <w:r>
              <w:rPr>
                <w:rFonts w:ascii="Times New Roman" w:hAnsi="Times New Roman"/>
              </w:rPr>
              <w:t xml:space="preserve"> et des directives EHS de la Banque Mondiale </w:t>
            </w:r>
            <w:r>
              <w:rPr>
                <w:rFonts w:ascii="Times New Roman" w:hAnsi="Times New Roman"/>
              </w:rPr>
              <w:lastRenderedPageBreak/>
              <w:t>(L’impact du bruit ne doit pas se traduire par une augmentation maximale des niveaux ambiants de 3 dB(A) au lieu de réception le plus proche hors des sites d’exploitation).</w:t>
            </w:r>
          </w:p>
        </w:tc>
        <w:tc>
          <w:tcPr>
            <w:tcW w:w="1331" w:type="dxa"/>
            <w:shd w:val="clear" w:color="auto" w:fill="F7CAAC"/>
            <w:vAlign w:val="center"/>
          </w:tcPr>
          <w:p w:rsidR="0084695F" w:rsidRPr="00206F59" w:rsidRDefault="0084695F" w:rsidP="002F0DE8">
            <w:pPr>
              <w:spacing w:after="0" w:line="240" w:lineRule="auto"/>
              <w:jc w:val="center"/>
              <w:rPr>
                <w:rFonts w:ascii="Times New Roman" w:hAnsi="Times New Roman"/>
                <w:b/>
              </w:rPr>
            </w:pPr>
            <w:r w:rsidRPr="00206F59">
              <w:rPr>
                <w:rFonts w:ascii="Times New Roman" w:hAnsi="Times New Roman"/>
                <w:b/>
              </w:rPr>
              <w:lastRenderedPageBreak/>
              <w:t>1 000 000</w:t>
            </w:r>
          </w:p>
        </w:tc>
      </w:tr>
      <w:tr w:rsidR="0084695F" w:rsidRPr="00206F59" w:rsidTr="002F0DE8">
        <w:tc>
          <w:tcPr>
            <w:tcW w:w="1405" w:type="dxa"/>
            <w:shd w:val="clear" w:color="auto" w:fill="FFF2CC" w:themeFill="accent4" w:themeFillTint="33"/>
            <w:vAlign w:val="center"/>
          </w:tcPr>
          <w:p w:rsidR="0084695F" w:rsidRPr="00206F59" w:rsidRDefault="0084695F" w:rsidP="002F0DE8">
            <w:pPr>
              <w:spacing w:after="0" w:line="240" w:lineRule="auto"/>
              <w:jc w:val="center"/>
              <w:rPr>
                <w:rFonts w:ascii="Times New Roman" w:hAnsi="Times New Roman"/>
                <w:b/>
              </w:rPr>
            </w:pPr>
            <w:r w:rsidRPr="00206F59">
              <w:rPr>
                <w:rFonts w:ascii="Times New Roman" w:hAnsi="Times New Roman"/>
                <w:b/>
                <w:bCs/>
              </w:rPr>
              <w:lastRenderedPageBreak/>
              <w:t>Humain</w:t>
            </w:r>
          </w:p>
        </w:tc>
        <w:tc>
          <w:tcPr>
            <w:tcW w:w="1446" w:type="dxa"/>
            <w:vAlign w:val="center"/>
          </w:tcPr>
          <w:p w:rsidR="0084695F" w:rsidRPr="00206F59" w:rsidRDefault="0084695F" w:rsidP="002F0DE8">
            <w:pPr>
              <w:spacing w:after="0" w:line="240" w:lineRule="auto"/>
              <w:jc w:val="center"/>
              <w:rPr>
                <w:rFonts w:ascii="Times New Roman" w:hAnsi="Times New Roman"/>
                <w:b/>
              </w:rPr>
            </w:pPr>
            <w:r w:rsidRPr="00206F59">
              <w:rPr>
                <w:rFonts w:ascii="Times New Roman" w:hAnsi="Times New Roman"/>
                <w:b/>
                <w:bCs/>
              </w:rPr>
              <w:t>Paysage</w:t>
            </w:r>
          </w:p>
        </w:tc>
        <w:tc>
          <w:tcPr>
            <w:tcW w:w="3098" w:type="dxa"/>
            <w:vAlign w:val="center"/>
          </w:tcPr>
          <w:p w:rsidR="0084695F" w:rsidRPr="00206F59" w:rsidRDefault="0084695F" w:rsidP="00FA3FAE">
            <w:pPr>
              <w:numPr>
                <w:ilvl w:val="0"/>
                <w:numId w:val="235"/>
              </w:numPr>
              <w:spacing w:after="0" w:line="240" w:lineRule="auto"/>
              <w:rPr>
                <w:rFonts w:ascii="Times New Roman" w:hAnsi="Times New Roman"/>
              </w:rPr>
            </w:pPr>
            <w:r w:rsidRPr="00206F59">
              <w:rPr>
                <w:rFonts w:ascii="Times New Roman" w:hAnsi="Times New Roman"/>
              </w:rPr>
              <w:t>Adopter une configuration intégrant son environnement</w:t>
            </w:r>
          </w:p>
        </w:tc>
        <w:tc>
          <w:tcPr>
            <w:tcW w:w="2135" w:type="dxa"/>
            <w:vAlign w:val="center"/>
          </w:tcPr>
          <w:p w:rsidR="0084695F" w:rsidRPr="00206F59" w:rsidRDefault="0084695F" w:rsidP="002F0DE8">
            <w:pPr>
              <w:spacing w:after="0" w:line="240" w:lineRule="auto"/>
              <w:jc w:val="center"/>
              <w:rPr>
                <w:rFonts w:ascii="Times New Roman" w:hAnsi="Times New Roman"/>
              </w:rPr>
            </w:pPr>
            <w:r w:rsidRPr="00206F59">
              <w:rPr>
                <w:rFonts w:ascii="Times New Roman" w:hAnsi="Times New Roman"/>
              </w:rPr>
              <w:t>L’aspect du paysage correspondant au milieu</w:t>
            </w:r>
          </w:p>
        </w:tc>
        <w:tc>
          <w:tcPr>
            <w:tcW w:w="2037" w:type="dxa"/>
            <w:vAlign w:val="center"/>
          </w:tcPr>
          <w:p w:rsidR="0084695F" w:rsidRPr="00206F59" w:rsidRDefault="0084695F" w:rsidP="002F0DE8">
            <w:pPr>
              <w:spacing w:after="0" w:line="240" w:lineRule="auto"/>
              <w:jc w:val="center"/>
              <w:rPr>
                <w:rFonts w:ascii="Times New Roman" w:hAnsi="Times New Roman"/>
              </w:rPr>
            </w:pPr>
            <w:r w:rsidRPr="00206F59">
              <w:rPr>
                <w:rFonts w:ascii="Times New Roman" w:hAnsi="Times New Roman"/>
              </w:rPr>
              <w:t>Environnementaliste de l’Entreprise et du PAUSEE-FA</w:t>
            </w:r>
          </w:p>
          <w:p w:rsidR="0084695F" w:rsidRPr="00206F59" w:rsidRDefault="0084695F" w:rsidP="002F0DE8">
            <w:pPr>
              <w:spacing w:after="0" w:line="240" w:lineRule="auto"/>
              <w:jc w:val="center"/>
              <w:rPr>
                <w:rFonts w:ascii="Times New Roman" w:hAnsi="Times New Roman"/>
              </w:rPr>
            </w:pPr>
            <w:r w:rsidRPr="00206F59">
              <w:rPr>
                <w:rFonts w:ascii="Times New Roman" w:hAnsi="Times New Roman"/>
              </w:rPr>
              <w:t>Mission de contrôle des travaux</w:t>
            </w:r>
          </w:p>
        </w:tc>
        <w:tc>
          <w:tcPr>
            <w:tcW w:w="1538" w:type="dxa"/>
            <w:vAlign w:val="center"/>
          </w:tcPr>
          <w:p w:rsidR="0084695F" w:rsidRPr="00206F59" w:rsidRDefault="0084695F" w:rsidP="002F0DE8">
            <w:pPr>
              <w:spacing w:after="0" w:line="240" w:lineRule="auto"/>
              <w:jc w:val="center"/>
              <w:rPr>
                <w:rFonts w:ascii="Times New Roman" w:hAnsi="Times New Roman"/>
              </w:rPr>
            </w:pPr>
            <w:r w:rsidRPr="00206F59">
              <w:rPr>
                <w:rFonts w:ascii="Times New Roman" w:hAnsi="Times New Roman"/>
              </w:rPr>
              <w:t>Avant le début des travaux</w:t>
            </w:r>
          </w:p>
        </w:tc>
        <w:tc>
          <w:tcPr>
            <w:tcW w:w="1577" w:type="dxa"/>
            <w:vAlign w:val="center"/>
          </w:tcPr>
          <w:p w:rsidR="0084695F" w:rsidRPr="00206F59" w:rsidRDefault="0084695F" w:rsidP="002F0DE8">
            <w:pPr>
              <w:spacing w:after="0" w:line="240" w:lineRule="auto"/>
              <w:jc w:val="center"/>
              <w:rPr>
                <w:rFonts w:ascii="Times New Roman" w:hAnsi="Times New Roman"/>
              </w:rPr>
            </w:pPr>
            <w:r w:rsidRPr="00206F59">
              <w:rPr>
                <w:rFonts w:ascii="Times New Roman" w:hAnsi="Times New Roman"/>
              </w:rPr>
              <w:t>Cadre de vie de la population</w:t>
            </w:r>
          </w:p>
        </w:tc>
        <w:tc>
          <w:tcPr>
            <w:tcW w:w="1331" w:type="dxa"/>
            <w:shd w:val="clear" w:color="auto" w:fill="F7CAAC"/>
            <w:vAlign w:val="center"/>
          </w:tcPr>
          <w:p w:rsidR="0084695F" w:rsidRPr="00206F59" w:rsidRDefault="0084695F" w:rsidP="002F0DE8">
            <w:pPr>
              <w:spacing w:after="0" w:line="240" w:lineRule="auto"/>
              <w:jc w:val="center"/>
              <w:rPr>
                <w:rFonts w:ascii="Times New Roman" w:hAnsi="Times New Roman"/>
                <w:b/>
              </w:rPr>
            </w:pPr>
            <w:r w:rsidRPr="00206F59">
              <w:rPr>
                <w:rFonts w:ascii="Times New Roman" w:hAnsi="Times New Roman"/>
                <w:b/>
              </w:rPr>
              <w:t>750 000</w:t>
            </w:r>
          </w:p>
        </w:tc>
      </w:tr>
      <w:tr w:rsidR="0084695F" w:rsidRPr="00206F59" w:rsidTr="002F0DE8">
        <w:tc>
          <w:tcPr>
            <w:tcW w:w="1405" w:type="dxa"/>
            <w:shd w:val="clear" w:color="auto" w:fill="FFF2CC" w:themeFill="accent4" w:themeFillTint="33"/>
          </w:tcPr>
          <w:p w:rsidR="0084695F" w:rsidRPr="00206F59" w:rsidRDefault="0084695F" w:rsidP="002F0DE8">
            <w:pPr>
              <w:spacing w:after="0" w:line="240" w:lineRule="auto"/>
              <w:jc w:val="center"/>
              <w:rPr>
                <w:rFonts w:ascii="Times New Roman" w:hAnsi="Times New Roman"/>
                <w:b/>
              </w:rPr>
            </w:pPr>
          </w:p>
          <w:p w:rsidR="0084695F" w:rsidRPr="00206F59" w:rsidRDefault="0084695F" w:rsidP="002F0DE8">
            <w:pPr>
              <w:spacing w:after="0" w:line="240" w:lineRule="auto"/>
              <w:jc w:val="center"/>
              <w:rPr>
                <w:rFonts w:ascii="Times New Roman" w:hAnsi="Times New Roman"/>
                <w:b/>
              </w:rPr>
            </w:pPr>
          </w:p>
          <w:p w:rsidR="0084695F" w:rsidRPr="00206F59" w:rsidRDefault="0084695F" w:rsidP="002F0DE8">
            <w:pPr>
              <w:keepNext/>
              <w:keepLines/>
              <w:spacing w:before="480" w:after="0" w:line="240" w:lineRule="auto"/>
              <w:jc w:val="center"/>
              <w:outlineLvl w:val="0"/>
              <w:rPr>
                <w:rFonts w:ascii="Times New Roman" w:hAnsi="Times New Roman"/>
                <w:b/>
              </w:rPr>
            </w:pPr>
          </w:p>
          <w:p w:rsidR="0084695F" w:rsidRPr="00206F59" w:rsidRDefault="0084695F" w:rsidP="002F0DE8">
            <w:pPr>
              <w:keepNext/>
              <w:keepLines/>
              <w:spacing w:before="480" w:after="0" w:line="240" w:lineRule="auto"/>
              <w:jc w:val="center"/>
              <w:outlineLvl w:val="0"/>
              <w:rPr>
                <w:rFonts w:ascii="Times New Roman" w:hAnsi="Times New Roman"/>
                <w:b/>
              </w:rPr>
            </w:pPr>
          </w:p>
          <w:p w:rsidR="0084695F" w:rsidRPr="00206F59" w:rsidRDefault="0084695F" w:rsidP="002F0DE8">
            <w:pPr>
              <w:spacing w:after="0" w:line="240" w:lineRule="auto"/>
              <w:jc w:val="center"/>
              <w:rPr>
                <w:rFonts w:ascii="Times New Roman" w:hAnsi="Times New Roman"/>
                <w:b/>
              </w:rPr>
            </w:pPr>
            <w:r w:rsidRPr="00206F59">
              <w:rPr>
                <w:rFonts w:ascii="Times New Roman" w:hAnsi="Times New Roman"/>
                <w:b/>
              </w:rPr>
              <w:t>Hygiène et sécurité</w:t>
            </w:r>
          </w:p>
        </w:tc>
        <w:tc>
          <w:tcPr>
            <w:tcW w:w="1446" w:type="dxa"/>
            <w:vAlign w:val="center"/>
          </w:tcPr>
          <w:p w:rsidR="0084695F" w:rsidRPr="00206F59" w:rsidRDefault="0084695F" w:rsidP="002F0DE8">
            <w:pPr>
              <w:spacing w:after="0" w:line="240" w:lineRule="auto"/>
              <w:jc w:val="center"/>
              <w:rPr>
                <w:rFonts w:ascii="Times New Roman" w:hAnsi="Times New Roman"/>
                <w:b/>
              </w:rPr>
            </w:pPr>
            <w:r w:rsidRPr="00206F59">
              <w:rPr>
                <w:rFonts w:ascii="Times New Roman" w:hAnsi="Times New Roman"/>
                <w:b/>
              </w:rPr>
              <w:t>Cadre de vie et conditions sécuritaires</w:t>
            </w:r>
          </w:p>
        </w:tc>
        <w:tc>
          <w:tcPr>
            <w:tcW w:w="3098" w:type="dxa"/>
            <w:vAlign w:val="center"/>
          </w:tcPr>
          <w:p w:rsidR="0084695F" w:rsidRPr="00206F59" w:rsidRDefault="0084695F" w:rsidP="00FA3FAE">
            <w:pPr>
              <w:numPr>
                <w:ilvl w:val="0"/>
                <w:numId w:val="236"/>
              </w:numPr>
              <w:spacing w:after="0" w:line="240" w:lineRule="auto"/>
              <w:rPr>
                <w:rFonts w:ascii="Times New Roman" w:hAnsi="Times New Roman"/>
              </w:rPr>
            </w:pPr>
            <w:r w:rsidRPr="00206F59">
              <w:rPr>
                <w:rFonts w:ascii="Times New Roman" w:hAnsi="Times New Roman"/>
              </w:rPr>
              <w:t>Comptage d’EPI disponibles ;</w:t>
            </w:r>
          </w:p>
          <w:p w:rsidR="0084695F" w:rsidRPr="00206F59" w:rsidRDefault="0084695F" w:rsidP="00FA3FAE">
            <w:pPr>
              <w:numPr>
                <w:ilvl w:val="0"/>
                <w:numId w:val="236"/>
              </w:numPr>
              <w:spacing w:after="0" w:line="240" w:lineRule="auto"/>
              <w:rPr>
                <w:rFonts w:ascii="Times New Roman" w:hAnsi="Times New Roman"/>
              </w:rPr>
            </w:pPr>
            <w:r w:rsidRPr="00206F59">
              <w:rPr>
                <w:rFonts w:ascii="Times New Roman" w:hAnsi="Times New Roman"/>
              </w:rPr>
              <w:t>Nombre d’affichage des consignes de sécurité ;</w:t>
            </w:r>
          </w:p>
          <w:p w:rsidR="0084695F" w:rsidRPr="00206F59" w:rsidRDefault="0084695F" w:rsidP="00FA3FAE">
            <w:pPr>
              <w:numPr>
                <w:ilvl w:val="0"/>
                <w:numId w:val="236"/>
              </w:numPr>
              <w:spacing w:after="0" w:line="240" w:lineRule="auto"/>
              <w:rPr>
                <w:rFonts w:ascii="Times New Roman" w:hAnsi="Times New Roman"/>
              </w:rPr>
            </w:pPr>
            <w:r w:rsidRPr="00206F59">
              <w:rPr>
                <w:rFonts w:ascii="Times New Roman" w:hAnsi="Times New Roman"/>
              </w:rPr>
              <w:t>Dénombrer les extincteurs</w:t>
            </w:r>
            <w:r>
              <w:rPr>
                <w:rFonts w:ascii="Times New Roman" w:hAnsi="Times New Roman"/>
              </w:rPr>
              <w:t xml:space="preserve"> vérifiés et conformes</w:t>
            </w:r>
            <w:r w:rsidRPr="00206F59">
              <w:rPr>
                <w:rFonts w:ascii="Times New Roman" w:hAnsi="Times New Roman"/>
              </w:rPr>
              <w:t> ;</w:t>
            </w:r>
          </w:p>
          <w:p w:rsidR="0084695F" w:rsidRPr="00206F59" w:rsidRDefault="0084695F" w:rsidP="00FA3FAE">
            <w:pPr>
              <w:numPr>
                <w:ilvl w:val="0"/>
                <w:numId w:val="236"/>
              </w:numPr>
              <w:spacing w:after="0" w:line="240" w:lineRule="auto"/>
              <w:rPr>
                <w:rFonts w:ascii="Times New Roman" w:hAnsi="Times New Roman"/>
              </w:rPr>
            </w:pPr>
            <w:r w:rsidRPr="00206F59">
              <w:rPr>
                <w:rFonts w:ascii="Times New Roman" w:hAnsi="Times New Roman"/>
              </w:rPr>
              <w:t>Dénombrer les campagnes de formation et de sensibilisation</w:t>
            </w:r>
          </w:p>
          <w:p w:rsidR="0084695F" w:rsidRPr="00206F59" w:rsidRDefault="0084695F" w:rsidP="00FA3FAE">
            <w:pPr>
              <w:numPr>
                <w:ilvl w:val="0"/>
                <w:numId w:val="236"/>
              </w:numPr>
              <w:spacing w:after="0" w:line="240" w:lineRule="auto"/>
              <w:rPr>
                <w:rFonts w:ascii="Times New Roman" w:hAnsi="Times New Roman"/>
              </w:rPr>
            </w:pPr>
            <w:r w:rsidRPr="00206F59">
              <w:rPr>
                <w:rFonts w:ascii="Times New Roman" w:hAnsi="Times New Roman"/>
              </w:rPr>
              <w:t>Dénombrer les cas d’incidents (incendie, accident avec impact sur l’homme ou l’environnement)</w:t>
            </w:r>
          </w:p>
          <w:p w:rsidR="0084695F" w:rsidRPr="00206F59" w:rsidRDefault="0084695F" w:rsidP="00FA3FAE">
            <w:pPr>
              <w:numPr>
                <w:ilvl w:val="0"/>
                <w:numId w:val="236"/>
              </w:numPr>
              <w:spacing w:after="0" w:line="240" w:lineRule="auto"/>
              <w:rPr>
                <w:rFonts w:ascii="Times New Roman" w:hAnsi="Times New Roman"/>
              </w:rPr>
            </w:pPr>
            <w:r w:rsidRPr="00206F59">
              <w:rPr>
                <w:rFonts w:ascii="Times New Roman" w:hAnsi="Times New Roman"/>
              </w:rPr>
              <w:lastRenderedPageBreak/>
              <w:t>Fréquence de ramassage des déchets ;</w:t>
            </w:r>
          </w:p>
          <w:p w:rsidR="0084695F" w:rsidRPr="00206F59" w:rsidRDefault="0084695F" w:rsidP="00FA3FAE">
            <w:pPr>
              <w:numPr>
                <w:ilvl w:val="0"/>
                <w:numId w:val="236"/>
              </w:numPr>
              <w:spacing w:after="0" w:line="240" w:lineRule="auto"/>
              <w:rPr>
                <w:rFonts w:ascii="Times New Roman" w:hAnsi="Times New Roman"/>
              </w:rPr>
            </w:pPr>
            <w:r w:rsidRPr="00206F59">
              <w:rPr>
                <w:rFonts w:ascii="Times New Roman" w:hAnsi="Times New Roman"/>
              </w:rPr>
              <w:t>Fréquence de nettoyage des sanitaires</w:t>
            </w:r>
          </w:p>
          <w:p w:rsidR="0084695F" w:rsidRPr="00206F59" w:rsidRDefault="0084695F" w:rsidP="00FA3FAE">
            <w:pPr>
              <w:numPr>
                <w:ilvl w:val="0"/>
                <w:numId w:val="236"/>
              </w:numPr>
              <w:spacing w:after="0" w:line="240" w:lineRule="auto"/>
              <w:rPr>
                <w:rFonts w:ascii="Times New Roman" w:hAnsi="Times New Roman"/>
              </w:rPr>
            </w:pPr>
            <w:r w:rsidRPr="00206F59">
              <w:rPr>
                <w:rFonts w:ascii="Times New Roman" w:hAnsi="Times New Roman"/>
              </w:rPr>
              <w:t>Dénombrer les personnes formées aux gestes de premier secours.</w:t>
            </w:r>
          </w:p>
        </w:tc>
        <w:tc>
          <w:tcPr>
            <w:tcW w:w="2135" w:type="dxa"/>
            <w:vAlign w:val="center"/>
          </w:tcPr>
          <w:p w:rsidR="0084695F" w:rsidRPr="00206F59" w:rsidRDefault="0084695F" w:rsidP="002F0DE8">
            <w:pPr>
              <w:keepNext/>
              <w:keepLines/>
              <w:spacing w:before="200" w:after="0" w:line="240" w:lineRule="auto"/>
              <w:outlineLvl w:val="2"/>
              <w:rPr>
                <w:rFonts w:ascii="Times New Roman" w:hAnsi="Times New Roman"/>
              </w:rPr>
            </w:pPr>
          </w:p>
          <w:p w:rsidR="0084695F" w:rsidRPr="00206F59" w:rsidRDefault="0084695F" w:rsidP="002F0DE8">
            <w:pPr>
              <w:keepNext/>
              <w:keepLines/>
              <w:spacing w:before="200" w:after="0" w:line="240" w:lineRule="auto"/>
              <w:outlineLvl w:val="2"/>
              <w:rPr>
                <w:rFonts w:ascii="Times New Roman" w:hAnsi="Times New Roman"/>
              </w:rPr>
            </w:pPr>
          </w:p>
          <w:p w:rsidR="0084695F" w:rsidRPr="00206F59" w:rsidRDefault="0084695F" w:rsidP="002F0DE8">
            <w:pPr>
              <w:spacing w:after="0" w:line="240" w:lineRule="auto"/>
              <w:rPr>
                <w:rFonts w:ascii="Times New Roman" w:hAnsi="Times New Roman"/>
              </w:rPr>
            </w:pPr>
          </w:p>
          <w:p w:rsidR="0084695F" w:rsidRPr="00206F59" w:rsidRDefault="0084695F" w:rsidP="002F0DE8">
            <w:pPr>
              <w:spacing w:after="0" w:line="240" w:lineRule="auto"/>
              <w:rPr>
                <w:rFonts w:ascii="Times New Roman" w:hAnsi="Times New Roman"/>
              </w:rPr>
            </w:pPr>
            <w:r w:rsidRPr="00206F59">
              <w:rPr>
                <w:rFonts w:ascii="Times New Roman" w:hAnsi="Times New Roman"/>
              </w:rPr>
              <w:t>Observation</w:t>
            </w:r>
          </w:p>
          <w:p w:rsidR="0084695F" w:rsidRPr="00206F59" w:rsidRDefault="0084695F" w:rsidP="002F0DE8">
            <w:pPr>
              <w:spacing w:after="0" w:line="240" w:lineRule="auto"/>
              <w:rPr>
                <w:rFonts w:ascii="Times New Roman" w:hAnsi="Times New Roman"/>
              </w:rPr>
            </w:pPr>
            <w:r w:rsidRPr="00206F59">
              <w:rPr>
                <w:rFonts w:ascii="Times New Roman" w:hAnsi="Times New Roman"/>
              </w:rPr>
              <w:t>Fiches d’inventaire ;</w:t>
            </w:r>
          </w:p>
          <w:p w:rsidR="0084695F" w:rsidRPr="00206F59" w:rsidRDefault="0084695F" w:rsidP="002F0DE8">
            <w:pPr>
              <w:spacing w:after="0" w:line="240" w:lineRule="auto"/>
              <w:rPr>
                <w:rFonts w:ascii="Times New Roman" w:hAnsi="Times New Roman"/>
              </w:rPr>
            </w:pPr>
            <w:r w:rsidRPr="00206F59">
              <w:rPr>
                <w:rFonts w:ascii="Times New Roman" w:hAnsi="Times New Roman"/>
              </w:rPr>
              <w:t>PV de formation ;</w:t>
            </w:r>
          </w:p>
          <w:p w:rsidR="0084695F" w:rsidRPr="00206F59" w:rsidRDefault="0084695F" w:rsidP="002F0DE8">
            <w:pPr>
              <w:spacing w:after="0" w:line="240" w:lineRule="auto"/>
              <w:rPr>
                <w:rFonts w:ascii="Times New Roman" w:hAnsi="Times New Roman"/>
              </w:rPr>
            </w:pPr>
            <w:r w:rsidRPr="00206F59">
              <w:rPr>
                <w:rFonts w:ascii="Times New Roman" w:hAnsi="Times New Roman"/>
              </w:rPr>
              <w:t>Rapports d’incidents</w:t>
            </w:r>
          </w:p>
        </w:tc>
        <w:tc>
          <w:tcPr>
            <w:tcW w:w="2037" w:type="dxa"/>
            <w:vAlign w:val="center"/>
          </w:tcPr>
          <w:p w:rsidR="0084695F" w:rsidRPr="00206F59" w:rsidRDefault="0084695F" w:rsidP="002F0DE8">
            <w:pPr>
              <w:spacing w:after="0" w:line="240" w:lineRule="auto"/>
              <w:rPr>
                <w:rFonts w:ascii="Times New Roman" w:hAnsi="Times New Roman"/>
              </w:rPr>
            </w:pPr>
            <w:r w:rsidRPr="00206F59">
              <w:rPr>
                <w:rFonts w:ascii="Times New Roman" w:hAnsi="Times New Roman"/>
              </w:rPr>
              <w:t>PAUSEE-FA- FA</w:t>
            </w:r>
            <w:r w:rsidRPr="00206F59">
              <w:t xml:space="preserve"> </w:t>
            </w:r>
            <w:r w:rsidRPr="00206F59">
              <w:rPr>
                <w:rFonts w:ascii="Times New Roman" w:hAnsi="Times New Roman"/>
              </w:rPr>
              <w:t>Environnementaliste de l’Entreprise et du PAUSEE-FA</w:t>
            </w:r>
          </w:p>
          <w:p w:rsidR="0084695F" w:rsidRPr="00206F59" w:rsidRDefault="0084695F" w:rsidP="002F0DE8">
            <w:pPr>
              <w:spacing w:after="0" w:line="240" w:lineRule="auto"/>
              <w:rPr>
                <w:rFonts w:ascii="Times New Roman" w:hAnsi="Times New Roman"/>
              </w:rPr>
            </w:pPr>
          </w:p>
          <w:p w:rsidR="0084695F" w:rsidRPr="00206F59" w:rsidRDefault="0084695F" w:rsidP="002F0DE8">
            <w:pPr>
              <w:spacing w:after="0" w:line="240" w:lineRule="auto"/>
              <w:rPr>
                <w:rFonts w:ascii="Times New Roman" w:hAnsi="Times New Roman"/>
              </w:rPr>
            </w:pPr>
            <w:r w:rsidRPr="00206F59">
              <w:rPr>
                <w:rFonts w:ascii="Times New Roman" w:hAnsi="Times New Roman"/>
              </w:rPr>
              <w:t>Mission de contrôle (CAIA, hygiène,)</w:t>
            </w:r>
          </w:p>
        </w:tc>
        <w:tc>
          <w:tcPr>
            <w:tcW w:w="1538" w:type="dxa"/>
            <w:vAlign w:val="center"/>
          </w:tcPr>
          <w:p w:rsidR="0084695F" w:rsidRPr="00206F59" w:rsidRDefault="0084695F" w:rsidP="002F0DE8">
            <w:pPr>
              <w:keepNext/>
              <w:keepLines/>
              <w:spacing w:before="480" w:after="0" w:line="240" w:lineRule="auto"/>
              <w:outlineLvl w:val="0"/>
              <w:rPr>
                <w:rFonts w:ascii="Times New Roman" w:hAnsi="Times New Roman"/>
              </w:rPr>
            </w:pPr>
          </w:p>
          <w:p w:rsidR="0084695F" w:rsidRPr="00206F59" w:rsidRDefault="0084695F" w:rsidP="002F0DE8">
            <w:pPr>
              <w:spacing w:after="0" w:line="240" w:lineRule="auto"/>
              <w:rPr>
                <w:rFonts w:ascii="Times New Roman" w:hAnsi="Times New Roman"/>
              </w:rPr>
            </w:pPr>
            <w:r w:rsidRPr="00206F59">
              <w:rPr>
                <w:rFonts w:ascii="Times New Roman" w:hAnsi="Times New Roman"/>
              </w:rPr>
              <w:t>Hebdomadaire</w:t>
            </w:r>
          </w:p>
        </w:tc>
        <w:tc>
          <w:tcPr>
            <w:tcW w:w="1577" w:type="dxa"/>
            <w:vAlign w:val="center"/>
          </w:tcPr>
          <w:p w:rsidR="0084695F" w:rsidRPr="00206F59" w:rsidRDefault="0084695F" w:rsidP="002F0DE8">
            <w:pPr>
              <w:keepNext/>
              <w:keepLines/>
              <w:spacing w:before="480" w:after="0" w:line="240" w:lineRule="auto"/>
              <w:outlineLvl w:val="0"/>
              <w:rPr>
                <w:rFonts w:ascii="Times New Roman" w:hAnsi="Times New Roman"/>
              </w:rPr>
            </w:pPr>
          </w:p>
          <w:p w:rsidR="0084695F" w:rsidRPr="00206F59" w:rsidRDefault="0084695F" w:rsidP="002F0DE8">
            <w:pPr>
              <w:spacing w:after="0" w:line="240" w:lineRule="auto"/>
              <w:rPr>
                <w:rFonts w:ascii="Times New Roman" w:hAnsi="Times New Roman"/>
              </w:rPr>
            </w:pPr>
            <w:r w:rsidRPr="00206F59">
              <w:rPr>
                <w:rFonts w:ascii="Times New Roman" w:hAnsi="Times New Roman"/>
              </w:rPr>
              <w:t>Préservation de la salubrité et des conditions sécuritaires</w:t>
            </w:r>
          </w:p>
        </w:tc>
        <w:tc>
          <w:tcPr>
            <w:tcW w:w="1331" w:type="dxa"/>
            <w:shd w:val="clear" w:color="auto" w:fill="F7CAAC"/>
            <w:vAlign w:val="center"/>
          </w:tcPr>
          <w:p w:rsidR="0084695F" w:rsidRPr="00206F59" w:rsidRDefault="0084695F" w:rsidP="002F0DE8">
            <w:pPr>
              <w:keepNext/>
              <w:keepLines/>
              <w:spacing w:before="480" w:after="0" w:line="240" w:lineRule="auto"/>
              <w:jc w:val="center"/>
              <w:outlineLvl w:val="0"/>
              <w:rPr>
                <w:rFonts w:ascii="Times New Roman" w:hAnsi="Times New Roman"/>
                <w:b/>
              </w:rPr>
            </w:pPr>
            <w:bookmarkStart w:id="608" w:name="_Toc34007076"/>
            <w:bookmarkStart w:id="609" w:name="_Toc34007278"/>
            <w:bookmarkStart w:id="610" w:name="_Toc34741543"/>
            <w:bookmarkStart w:id="611" w:name="_Toc51072604"/>
            <w:r w:rsidRPr="00206F59">
              <w:rPr>
                <w:rFonts w:ascii="Times New Roman" w:hAnsi="Times New Roman"/>
                <w:b/>
              </w:rPr>
              <w:t>2 500 000</w:t>
            </w:r>
            <w:bookmarkEnd w:id="608"/>
            <w:bookmarkEnd w:id="609"/>
            <w:bookmarkEnd w:id="610"/>
            <w:bookmarkEnd w:id="611"/>
          </w:p>
        </w:tc>
      </w:tr>
      <w:tr w:rsidR="0084695F" w:rsidRPr="00206F59" w:rsidTr="002F0DE8">
        <w:tc>
          <w:tcPr>
            <w:tcW w:w="1405" w:type="dxa"/>
            <w:vMerge w:val="restart"/>
            <w:shd w:val="clear" w:color="auto" w:fill="FFF2CC" w:themeFill="accent4" w:themeFillTint="33"/>
            <w:vAlign w:val="center"/>
          </w:tcPr>
          <w:p w:rsidR="0084695F" w:rsidRPr="00206F59" w:rsidRDefault="0084695F" w:rsidP="002F0DE8">
            <w:pPr>
              <w:spacing w:after="0" w:line="240" w:lineRule="auto"/>
              <w:jc w:val="center"/>
              <w:rPr>
                <w:rFonts w:ascii="Times New Roman" w:hAnsi="Times New Roman"/>
                <w:b/>
              </w:rPr>
            </w:pPr>
            <w:r w:rsidRPr="00206F59">
              <w:rPr>
                <w:rFonts w:ascii="Times New Roman" w:hAnsi="Times New Roman"/>
                <w:b/>
              </w:rPr>
              <w:lastRenderedPageBreak/>
              <w:t>Milieu humain</w:t>
            </w:r>
          </w:p>
        </w:tc>
        <w:tc>
          <w:tcPr>
            <w:tcW w:w="1446" w:type="dxa"/>
            <w:vAlign w:val="center"/>
          </w:tcPr>
          <w:p w:rsidR="0084695F" w:rsidRPr="00206F59" w:rsidRDefault="0084695F" w:rsidP="002F0DE8">
            <w:pPr>
              <w:spacing w:after="0" w:line="240" w:lineRule="auto"/>
              <w:jc w:val="center"/>
              <w:rPr>
                <w:rFonts w:ascii="Times New Roman" w:hAnsi="Times New Roman"/>
                <w:b/>
              </w:rPr>
            </w:pPr>
            <w:r w:rsidRPr="00206F59">
              <w:rPr>
                <w:rFonts w:ascii="Times New Roman" w:hAnsi="Times New Roman"/>
                <w:b/>
              </w:rPr>
              <w:t>Paiement des impenses</w:t>
            </w:r>
          </w:p>
        </w:tc>
        <w:tc>
          <w:tcPr>
            <w:tcW w:w="3098" w:type="dxa"/>
            <w:vAlign w:val="center"/>
          </w:tcPr>
          <w:p w:rsidR="0084695F" w:rsidRPr="00206F59" w:rsidRDefault="0084695F" w:rsidP="00FA3FAE">
            <w:pPr>
              <w:numPr>
                <w:ilvl w:val="0"/>
                <w:numId w:val="236"/>
              </w:numPr>
              <w:spacing w:after="0" w:line="240" w:lineRule="auto"/>
              <w:rPr>
                <w:rFonts w:ascii="Times New Roman" w:hAnsi="Times New Roman"/>
              </w:rPr>
            </w:pPr>
            <w:r w:rsidRPr="00206F59">
              <w:rPr>
                <w:rFonts w:ascii="Times New Roman" w:hAnsi="Times New Roman"/>
              </w:rPr>
              <w:t>Inventaire des PAPs identifiés et payés</w:t>
            </w:r>
          </w:p>
          <w:p w:rsidR="0084695F" w:rsidRPr="00206F59" w:rsidRDefault="0084695F" w:rsidP="00FA3FAE">
            <w:pPr>
              <w:numPr>
                <w:ilvl w:val="0"/>
                <w:numId w:val="236"/>
              </w:numPr>
              <w:spacing w:after="0" w:line="240" w:lineRule="auto"/>
              <w:rPr>
                <w:rFonts w:ascii="Times New Roman" w:hAnsi="Times New Roman"/>
              </w:rPr>
            </w:pPr>
            <w:r w:rsidRPr="00206F59">
              <w:rPr>
                <w:rFonts w:ascii="Times New Roman" w:hAnsi="Times New Roman"/>
              </w:rPr>
              <w:t>Inventaire des contentieux</w:t>
            </w:r>
          </w:p>
        </w:tc>
        <w:tc>
          <w:tcPr>
            <w:tcW w:w="2135" w:type="dxa"/>
            <w:vAlign w:val="center"/>
          </w:tcPr>
          <w:p w:rsidR="0084695F" w:rsidRPr="00206F59" w:rsidRDefault="0084695F" w:rsidP="002F0DE8">
            <w:pPr>
              <w:spacing w:after="0" w:line="240" w:lineRule="auto"/>
              <w:jc w:val="center"/>
              <w:rPr>
                <w:rFonts w:ascii="Times New Roman" w:hAnsi="Times New Roman"/>
              </w:rPr>
            </w:pPr>
            <w:r w:rsidRPr="00206F59">
              <w:rPr>
                <w:rFonts w:ascii="Times New Roman" w:hAnsi="Times New Roman"/>
              </w:rPr>
              <w:t>Rapport d’activités</w:t>
            </w:r>
          </w:p>
          <w:p w:rsidR="0084695F" w:rsidRPr="00206F59" w:rsidRDefault="0084695F" w:rsidP="002F0DE8">
            <w:pPr>
              <w:spacing w:after="0" w:line="240" w:lineRule="auto"/>
              <w:jc w:val="center"/>
              <w:rPr>
                <w:rFonts w:ascii="Times New Roman" w:hAnsi="Times New Roman"/>
              </w:rPr>
            </w:pPr>
            <w:r w:rsidRPr="00206F59">
              <w:rPr>
                <w:rFonts w:ascii="Times New Roman" w:hAnsi="Times New Roman"/>
              </w:rPr>
              <w:t>Par observation direct des PV signés par les différentes parties</w:t>
            </w:r>
          </w:p>
        </w:tc>
        <w:tc>
          <w:tcPr>
            <w:tcW w:w="2037" w:type="dxa"/>
            <w:vAlign w:val="center"/>
          </w:tcPr>
          <w:p w:rsidR="0084695F" w:rsidRPr="00206F59" w:rsidRDefault="0084695F" w:rsidP="002F0DE8">
            <w:pPr>
              <w:spacing w:after="0" w:line="240" w:lineRule="auto"/>
              <w:jc w:val="center"/>
              <w:rPr>
                <w:rFonts w:ascii="Times New Roman" w:hAnsi="Times New Roman"/>
              </w:rPr>
            </w:pPr>
            <w:r w:rsidRPr="00206F59">
              <w:rPr>
                <w:rFonts w:ascii="Times New Roman" w:hAnsi="Times New Roman"/>
              </w:rPr>
              <w:t>PAUSEE-FA</w:t>
            </w:r>
          </w:p>
        </w:tc>
        <w:tc>
          <w:tcPr>
            <w:tcW w:w="1538" w:type="dxa"/>
            <w:vAlign w:val="center"/>
          </w:tcPr>
          <w:p w:rsidR="0084695F" w:rsidRPr="00206F59" w:rsidRDefault="0084695F" w:rsidP="002F0DE8">
            <w:pPr>
              <w:keepNext/>
              <w:keepLines/>
              <w:spacing w:after="0" w:line="240" w:lineRule="auto"/>
              <w:jc w:val="center"/>
              <w:outlineLvl w:val="0"/>
              <w:rPr>
                <w:rFonts w:ascii="Times New Roman" w:hAnsi="Times New Roman"/>
              </w:rPr>
            </w:pPr>
            <w:bookmarkStart w:id="612" w:name="_Toc34007077"/>
            <w:bookmarkStart w:id="613" w:name="_Toc34007279"/>
            <w:bookmarkStart w:id="614" w:name="_Toc34741544"/>
            <w:bookmarkStart w:id="615" w:name="_Toc51072605"/>
            <w:r w:rsidRPr="00206F59">
              <w:rPr>
                <w:rFonts w:ascii="Times New Roman" w:hAnsi="Times New Roman"/>
              </w:rPr>
              <w:t>Avant le début des travaux</w:t>
            </w:r>
            <w:bookmarkEnd w:id="612"/>
            <w:bookmarkEnd w:id="613"/>
            <w:bookmarkEnd w:id="614"/>
            <w:bookmarkEnd w:id="615"/>
          </w:p>
        </w:tc>
        <w:tc>
          <w:tcPr>
            <w:tcW w:w="1577" w:type="dxa"/>
            <w:vAlign w:val="center"/>
          </w:tcPr>
          <w:p w:rsidR="0084695F" w:rsidRPr="00206F59" w:rsidRDefault="0084695F" w:rsidP="002F0DE8">
            <w:pPr>
              <w:spacing w:after="0" w:line="240" w:lineRule="auto"/>
              <w:jc w:val="center"/>
              <w:rPr>
                <w:rFonts w:ascii="Times New Roman" w:hAnsi="Times New Roman"/>
              </w:rPr>
            </w:pPr>
            <w:r w:rsidRPr="00206F59">
              <w:rPr>
                <w:rFonts w:ascii="Times New Roman" w:hAnsi="Times New Roman"/>
              </w:rPr>
              <w:t>Respect de la législation</w:t>
            </w:r>
          </w:p>
        </w:tc>
        <w:tc>
          <w:tcPr>
            <w:tcW w:w="1331" w:type="dxa"/>
            <w:shd w:val="clear" w:color="auto" w:fill="F7CAAC"/>
            <w:vAlign w:val="center"/>
          </w:tcPr>
          <w:p w:rsidR="0084695F" w:rsidRPr="00206F59" w:rsidRDefault="0084695F" w:rsidP="002F0DE8">
            <w:pPr>
              <w:spacing w:after="0" w:line="240" w:lineRule="auto"/>
              <w:jc w:val="center"/>
              <w:rPr>
                <w:rFonts w:ascii="Times New Roman" w:hAnsi="Times New Roman"/>
                <w:b/>
              </w:rPr>
            </w:pPr>
            <w:r w:rsidRPr="00206F59">
              <w:rPr>
                <w:rFonts w:ascii="Times New Roman" w:hAnsi="Times New Roman"/>
                <w:b/>
              </w:rPr>
              <w:t>Cout associé au projet</w:t>
            </w:r>
          </w:p>
        </w:tc>
      </w:tr>
      <w:tr w:rsidR="0084695F" w:rsidRPr="00206F59" w:rsidTr="002F0DE8">
        <w:tc>
          <w:tcPr>
            <w:tcW w:w="1405" w:type="dxa"/>
            <w:vMerge/>
            <w:shd w:val="clear" w:color="auto" w:fill="FFF2CC" w:themeFill="accent4" w:themeFillTint="33"/>
          </w:tcPr>
          <w:p w:rsidR="0084695F" w:rsidRPr="00206F59" w:rsidRDefault="0084695F" w:rsidP="002F0DE8">
            <w:pPr>
              <w:keepNext/>
              <w:keepLines/>
              <w:spacing w:before="480" w:after="0" w:line="240" w:lineRule="auto"/>
              <w:jc w:val="center"/>
              <w:outlineLvl w:val="0"/>
              <w:rPr>
                <w:rFonts w:ascii="Times New Roman" w:hAnsi="Times New Roman"/>
                <w:b/>
              </w:rPr>
            </w:pPr>
          </w:p>
        </w:tc>
        <w:tc>
          <w:tcPr>
            <w:tcW w:w="1446" w:type="dxa"/>
            <w:vAlign w:val="center"/>
          </w:tcPr>
          <w:p w:rsidR="0084695F" w:rsidRPr="00206F59" w:rsidRDefault="0084695F" w:rsidP="002F0DE8">
            <w:pPr>
              <w:spacing w:after="0" w:line="240" w:lineRule="auto"/>
              <w:jc w:val="center"/>
              <w:rPr>
                <w:rFonts w:ascii="Times New Roman" w:hAnsi="Times New Roman"/>
                <w:b/>
              </w:rPr>
            </w:pPr>
            <w:r w:rsidRPr="00206F59">
              <w:rPr>
                <w:rFonts w:ascii="Times New Roman" w:hAnsi="Times New Roman"/>
                <w:b/>
              </w:rPr>
              <w:t>Santé</w:t>
            </w:r>
          </w:p>
        </w:tc>
        <w:tc>
          <w:tcPr>
            <w:tcW w:w="3098" w:type="dxa"/>
          </w:tcPr>
          <w:p w:rsidR="0084695F" w:rsidRPr="00206F59" w:rsidRDefault="0084695F" w:rsidP="00FA3FAE">
            <w:pPr>
              <w:numPr>
                <w:ilvl w:val="0"/>
                <w:numId w:val="236"/>
              </w:numPr>
              <w:spacing w:after="0" w:line="240" w:lineRule="auto"/>
              <w:jc w:val="both"/>
              <w:rPr>
                <w:rFonts w:ascii="Times New Roman" w:hAnsi="Times New Roman"/>
              </w:rPr>
            </w:pPr>
            <w:r w:rsidRPr="00206F59">
              <w:rPr>
                <w:rFonts w:ascii="Times New Roman" w:hAnsi="Times New Roman"/>
              </w:rPr>
              <w:t>Dénombrer les maladies imputables au projet et leur taux de prévalence chez le personnel et les populations riveraines ;</w:t>
            </w:r>
          </w:p>
          <w:p w:rsidR="0084695F" w:rsidRPr="00206F59" w:rsidRDefault="0084695F" w:rsidP="00FA3FAE">
            <w:pPr>
              <w:numPr>
                <w:ilvl w:val="0"/>
                <w:numId w:val="236"/>
              </w:numPr>
              <w:spacing w:after="0" w:line="240" w:lineRule="auto"/>
              <w:jc w:val="both"/>
              <w:rPr>
                <w:rFonts w:ascii="Times New Roman" w:hAnsi="Times New Roman"/>
              </w:rPr>
            </w:pPr>
            <w:r w:rsidRPr="00206F59">
              <w:rPr>
                <w:rFonts w:ascii="Times New Roman" w:hAnsi="Times New Roman"/>
              </w:rPr>
              <w:t>Dénombrer les campagnes de sensibilisation sur les IST/VIH-SIDA</w:t>
            </w:r>
          </w:p>
        </w:tc>
        <w:tc>
          <w:tcPr>
            <w:tcW w:w="2135" w:type="dxa"/>
          </w:tcPr>
          <w:p w:rsidR="0084695F" w:rsidRPr="00206F59" w:rsidRDefault="0084695F" w:rsidP="002F0DE8">
            <w:pPr>
              <w:spacing w:after="0" w:line="240" w:lineRule="auto"/>
              <w:jc w:val="center"/>
              <w:rPr>
                <w:rFonts w:ascii="Times New Roman" w:hAnsi="Times New Roman"/>
              </w:rPr>
            </w:pPr>
            <w:r w:rsidRPr="00206F59">
              <w:rPr>
                <w:rFonts w:ascii="Times New Roman" w:hAnsi="Times New Roman"/>
              </w:rPr>
              <w:t>Registres de santé ;</w:t>
            </w:r>
          </w:p>
          <w:p w:rsidR="0084695F" w:rsidRPr="00206F59" w:rsidRDefault="0084695F" w:rsidP="002F0DE8">
            <w:pPr>
              <w:spacing w:after="0" w:line="240" w:lineRule="auto"/>
              <w:ind w:left="195"/>
              <w:contextualSpacing/>
              <w:jc w:val="both"/>
              <w:rPr>
                <w:rFonts w:ascii="Times New Roman" w:hAnsi="Times New Roman"/>
              </w:rPr>
            </w:pPr>
            <w:r w:rsidRPr="00206F59">
              <w:rPr>
                <w:rFonts w:ascii="Times New Roman" w:hAnsi="Times New Roman"/>
              </w:rPr>
              <w:t>Nombre d’accident ou d’incident signalé ;</w:t>
            </w:r>
          </w:p>
          <w:p w:rsidR="0084695F" w:rsidRPr="00206F59" w:rsidRDefault="0084695F" w:rsidP="002F0DE8">
            <w:pPr>
              <w:spacing w:after="0" w:line="240" w:lineRule="auto"/>
              <w:ind w:left="195"/>
              <w:contextualSpacing/>
              <w:jc w:val="both"/>
              <w:rPr>
                <w:rFonts w:ascii="Times New Roman" w:hAnsi="Times New Roman"/>
              </w:rPr>
            </w:pPr>
            <w:r w:rsidRPr="00206F59">
              <w:rPr>
                <w:rFonts w:ascii="Times New Roman" w:hAnsi="Times New Roman"/>
              </w:rPr>
              <w:t>Nombre de consultation pour maladie</w:t>
            </w:r>
          </w:p>
          <w:p w:rsidR="0084695F" w:rsidRPr="00206F59" w:rsidRDefault="0084695F" w:rsidP="002F0DE8">
            <w:pPr>
              <w:spacing w:after="0" w:line="240" w:lineRule="auto"/>
              <w:ind w:left="195"/>
              <w:contextualSpacing/>
              <w:jc w:val="both"/>
              <w:rPr>
                <w:rFonts w:ascii="Times New Roman" w:hAnsi="Times New Roman"/>
              </w:rPr>
            </w:pPr>
            <w:r w:rsidRPr="00206F59">
              <w:rPr>
                <w:rFonts w:ascii="Times New Roman" w:hAnsi="Times New Roman"/>
              </w:rPr>
              <w:t>Nombre de sensibilisation effectuée</w:t>
            </w:r>
          </w:p>
        </w:tc>
        <w:tc>
          <w:tcPr>
            <w:tcW w:w="2037" w:type="dxa"/>
          </w:tcPr>
          <w:p w:rsidR="0084695F" w:rsidRPr="00206F59" w:rsidRDefault="0084695F" w:rsidP="002F0DE8">
            <w:pPr>
              <w:spacing w:after="0" w:line="240" w:lineRule="auto"/>
              <w:jc w:val="center"/>
              <w:rPr>
                <w:rFonts w:ascii="Times New Roman" w:hAnsi="Times New Roman"/>
              </w:rPr>
            </w:pPr>
            <w:r w:rsidRPr="00206F59">
              <w:rPr>
                <w:rFonts w:ascii="Times New Roman" w:hAnsi="Times New Roman"/>
              </w:rPr>
              <w:t>Environnementaliste de l’Entreprise et du PAUSEE-FA</w:t>
            </w:r>
          </w:p>
          <w:p w:rsidR="0084695F" w:rsidRPr="00206F59" w:rsidRDefault="0084695F" w:rsidP="002F0DE8">
            <w:pPr>
              <w:spacing w:after="0" w:line="240" w:lineRule="auto"/>
              <w:jc w:val="center"/>
              <w:rPr>
                <w:rFonts w:ascii="Times New Roman" w:hAnsi="Times New Roman"/>
              </w:rPr>
            </w:pPr>
          </w:p>
          <w:p w:rsidR="0084695F" w:rsidRPr="00206F59" w:rsidRDefault="0084695F" w:rsidP="002F0DE8">
            <w:pPr>
              <w:tabs>
                <w:tab w:val="left" w:pos="708"/>
                <w:tab w:val="center" w:pos="4536"/>
                <w:tab w:val="right" w:pos="9072"/>
              </w:tabs>
              <w:spacing w:after="0" w:line="240" w:lineRule="auto"/>
              <w:jc w:val="center"/>
              <w:rPr>
                <w:rFonts w:ascii="Times New Roman" w:hAnsi="Times New Roman"/>
              </w:rPr>
            </w:pPr>
            <w:r w:rsidRPr="00206F59">
              <w:rPr>
                <w:rFonts w:ascii="Times New Roman" w:hAnsi="Times New Roman"/>
              </w:rPr>
              <w:t>Mission de contrôle (CAIA, santé,)</w:t>
            </w:r>
          </w:p>
          <w:p w:rsidR="0084695F" w:rsidRPr="00206F59" w:rsidRDefault="0084695F" w:rsidP="002F0DE8">
            <w:pPr>
              <w:spacing w:after="0" w:line="240" w:lineRule="auto"/>
              <w:jc w:val="center"/>
              <w:rPr>
                <w:rFonts w:ascii="Times New Roman" w:hAnsi="Times New Roman"/>
              </w:rPr>
            </w:pPr>
          </w:p>
        </w:tc>
        <w:tc>
          <w:tcPr>
            <w:tcW w:w="1538" w:type="dxa"/>
          </w:tcPr>
          <w:p w:rsidR="0084695F" w:rsidRPr="00206F59" w:rsidRDefault="0084695F" w:rsidP="002F0DE8">
            <w:pPr>
              <w:keepNext/>
              <w:keepLines/>
              <w:spacing w:before="480" w:after="0" w:line="240" w:lineRule="auto"/>
              <w:outlineLvl w:val="0"/>
              <w:rPr>
                <w:rFonts w:ascii="Times New Roman" w:hAnsi="Times New Roman"/>
              </w:rPr>
            </w:pPr>
          </w:p>
          <w:p w:rsidR="0084695F" w:rsidRPr="00206F59" w:rsidRDefault="0084695F" w:rsidP="002F0DE8">
            <w:pPr>
              <w:keepNext/>
              <w:keepLines/>
              <w:spacing w:before="480" w:after="0" w:line="240" w:lineRule="auto"/>
              <w:jc w:val="center"/>
              <w:outlineLvl w:val="0"/>
              <w:rPr>
                <w:rFonts w:ascii="Times New Roman" w:hAnsi="Times New Roman"/>
              </w:rPr>
            </w:pPr>
          </w:p>
          <w:p w:rsidR="0084695F" w:rsidRPr="00206F59" w:rsidRDefault="0084695F" w:rsidP="002F0DE8">
            <w:pPr>
              <w:spacing w:after="0" w:line="240" w:lineRule="auto"/>
              <w:jc w:val="center"/>
              <w:rPr>
                <w:rFonts w:ascii="Times New Roman" w:hAnsi="Times New Roman"/>
              </w:rPr>
            </w:pPr>
            <w:r w:rsidRPr="00206F59">
              <w:rPr>
                <w:rFonts w:ascii="Times New Roman" w:hAnsi="Times New Roman"/>
              </w:rPr>
              <w:t>Semestrielle</w:t>
            </w:r>
          </w:p>
        </w:tc>
        <w:tc>
          <w:tcPr>
            <w:tcW w:w="1577" w:type="dxa"/>
          </w:tcPr>
          <w:p w:rsidR="0084695F" w:rsidRPr="00206F59" w:rsidRDefault="0084695F" w:rsidP="002F0DE8">
            <w:pPr>
              <w:keepNext/>
              <w:keepLines/>
              <w:spacing w:before="480" w:after="0" w:line="240" w:lineRule="auto"/>
              <w:outlineLvl w:val="0"/>
              <w:rPr>
                <w:rFonts w:ascii="Times New Roman" w:hAnsi="Times New Roman"/>
              </w:rPr>
            </w:pPr>
          </w:p>
          <w:p w:rsidR="0084695F" w:rsidRPr="00206F59" w:rsidRDefault="0084695F" w:rsidP="002F0DE8">
            <w:pPr>
              <w:keepNext/>
              <w:keepLines/>
              <w:spacing w:before="480" w:after="0" w:line="240" w:lineRule="auto"/>
              <w:jc w:val="center"/>
              <w:outlineLvl w:val="0"/>
              <w:rPr>
                <w:rFonts w:ascii="Times New Roman" w:hAnsi="Times New Roman"/>
              </w:rPr>
            </w:pPr>
          </w:p>
          <w:p w:rsidR="0084695F" w:rsidRPr="00206F59" w:rsidRDefault="0084695F" w:rsidP="002F0DE8">
            <w:pPr>
              <w:spacing w:after="0" w:line="240" w:lineRule="auto"/>
              <w:jc w:val="center"/>
              <w:rPr>
                <w:rFonts w:ascii="Times New Roman" w:hAnsi="Times New Roman"/>
              </w:rPr>
            </w:pPr>
            <w:r w:rsidRPr="00206F59">
              <w:rPr>
                <w:rFonts w:ascii="Times New Roman" w:hAnsi="Times New Roman"/>
              </w:rPr>
              <w:t>Préservation de la santé</w:t>
            </w:r>
          </w:p>
        </w:tc>
        <w:tc>
          <w:tcPr>
            <w:tcW w:w="1331" w:type="dxa"/>
            <w:shd w:val="clear" w:color="auto" w:fill="F7CAAC"/>
            <w:vAlign w:val="center"/>
          </w:tcPr>
          <w:p w:rsidR="0084695F" w:rsidRPr="00206F59" w:rsidRDefault="0084695F" w:rsidP="002F0DE8">
            <w:pPr>
              <w:keepNext/>
              <w:keepLines/>
              <w:spacing w:before="480" w:after="0" w:line="240" w:lineRule="auto"/>
              <w:jc w:val="center"/>
              <w:outlineLvl w:val="0"/>
              <w:rPr>
                <w:rFonts w:ascii="Times New Roman" w:hAnsi="Times New Roman"/>
                <w:b/>
              </w:rPr>
            </w:pPr>
            <w:bookmarkStart w:id="616" w:name="_Toc34007078"/>
            <w:bookmarkStart w:id="617" w:name="_Toc34007280"/>
            <w:bookmarkStart w:id="618" w:name="_Toc34741545"/>
            <w:bookmarkStart w:id="619" w:name="_Toc51072606"/>
            <w:r w:rsidRPr="00206F59">
              <w:rPr>
                <w:rFonts w:ascii="Times New Roman" w:hAnsi="Times New Roman"/>
                <w:b/>
              </w:rPr>
              <w:t>4 000 000</w:t>
            </w:r>
            <w:bookmarkEnd w:id="616"/>
            <w:bookmarkEnd w:id="617"/>
            <w:bookmarkEnd w:id="618"/>
            <w:bookmarkEnd w:id="619"/>
          </w:p>
        </w:tc>
      </w:tr>
      <w:tr w:rsidR="0084695F" w:rsidRPr="00206F59" w:rsidTr="002F0DE8">
        <w:tc>
          <w:tcPr>
            <w:tcW w:w="1405" w:type="dxa"/>
            <w:vMerge/>
            <w:shd w:val="clear" w:color="auto" w:fill="FFF2CC" w:themeFill="accent4" w:themeFillTint="33"/>
          </w:tcPr>
          <w:p w:rsidR="0084695F" w:rsidRPr="00206F59" w:rsidRDefault="0084695F" w:rsidP="002F0DE8">
            <w:pPr>
              <w:keepNext/>
              <w:keepLines/>
              <w:spacing w:before="480" w:after="0" w:line="240" w:lineRule="auto"/>
              <w:jc w:val="center"/>
              <w:outlineLvl w:val="0"/>
              <w:rPr>
                <w:rFonts w:ascii="Times New Roman" w:hAnsi="Times New Roman"/>
                <w:b/>
              </w:rPr>
            </w:pPr>
          </w:p>
        </w:tc>
        <w:tc>
          <w:tcPr>
            <w:tcW w:w="1446" w:type="dxa"/>
            <w:vAlign w:val="center"/>
          </w:tcPr>
          <w:p w:rsidR="0084695F" w:rsidRPr="00206F59" w:rsidRDefault="0084695F" w:rsidP="002F0DE8">
            <w:pPr>
              <w:keepNext/>
              <w:keepLines/>
              <w:spacing w:before="480" w:after="0" w:line="240" w:lineRule="auto"/>
              <w:jc w:val="center"/>
              <w:outlineLvl w:val="0"/>
              <w:rPr>
                <w:rFonts w:ascii="Times New Roman" w:hAnsi="Times New Roman"/>
                <w:b/>
              </w:rPr>
            </w:pPr>
          </w:p>
          <w:p w:rsidR="0084695F" w:rsidRPr="00206F59" w:rsidRDefault="0084695F" w:rsidP="002F0DE8">
            <w:pPr>
              <w:spacing w:after="0" w:line="240" w:lineRule="auto"/>
              <w:jc w:val="center"/>
              <w:rPr>
                <w:rFonts w:ascii="Times New Roman" w:hAnsi="Times New Roman"/>
                <w:b/>
              </w:rPr>
            </w:pPr>
            <w:r w:rsidRPr="00206F59">
              <w:rPr>
                <w:rFonts w:ascii="Times New Roman" w:hAnsi="Times New Roman"/>
                <w:b/>
              </w:rPr>
              <w:t>Activités socio-économiques</w:t>
            </w:r>
          </w:p>
        </w:tc>
        <w:tc>
          <w:tcPr>
            <w:tcW w:w="3098" w:type="dxa"/>
          </w:tcPr>
          <w:p w:rsidR="0084695F" w:rsidRPr="00206F59" w:rsidRDefault="0084695F" w:rsidP="00FA3FAE">
            <w:pPr>
              <w:numPr>
                <w:ilvl w:val="0"/>
                <w:numId w:val="236"/>
              </w:numPr>
              <w:spacing w:after="0" w:line="240" w:lineRule="auto"/>
              <w:jc w:val="both"/>
              <w:rPr>
                <w:rFonts w:ascii="Times New Roman" w:hAnsi="Times New Roman"/>
              </w:rPr>
            </w:pPr>
            <w:r w:rsidRPr="00206F59">
              <w:rPr>
                <w:rFonts w:ascii="Times New Roman" w:hAnsi="Times New Roman"/>
              </w:rPr>
              <w:t>Dénombrer les activités socioéconomiques induites par la présence du projet ;</w:t>
            </w:r>
          </w:p>
          <w:p w:rsidR="0084695F" w:rsidRPr="00206F59" w:rsidRDefault="0084695F" w:rsidP="00FA3FAE">
            <w:pPr>
              <w:numPr>
                <w:ilvl w:val="0"/>
                <w:numId w:val="236"/>
              </w:numPr>
              <w:spacing w:after="0" w:line="240" w:lineRule="auto"/>
              <w:jc w:val="both"/>
              <w:rPr>
                <w:rFonts w:ascii="Times New Roman" w:hAnsi="Times New Roman"/>
              </w:rPr>
            </w:pPr>
            <w:r w:rsidRPr="00206F59">
              <w:rPr>
                <w:rFonts w:ascii="Times New Roman" w:hAnsi="Times New Roman"/>
              </w:rPr>
              <w:t>Dénombrer les personnes formées à des activités génératrices de revenues</w:t>
            </w:r>
          </w:p>
          <w:p w:rsidR="0084695F" w:rsidRPr="00206F59" w:rsidRDefault="0084695F" w:rsidP="00FA3FAE">
            <w:pPr>
              <w:numPr>
                <w:ilvl w:val="0"/>
                <w:numId w:val="236"/>
              </w:numPr>
              <w:spacing w:after="0" w:line="240" w:lineRule="auto"/>
              <w:jc w:val="both"/>
              <w:rPr>
                <w:rFonts w:ascii="Times New Roman" w:hAnsi="Times New Roman"/>
              </w:rPr>
            </w:pPr>
            <w:r w:rsidRPr="00206F59">
              <w:rPr>
                <w:rFonts w:ascii="Times New Roman" w:hAnsi="Times New Roman"/>
              </w:rPr>
              <w:t>Dénombrer les mesures d’accompagnement</w:t>
            </w:r>
          </w:p>
          <w:p w:rsidR="0084695F" w:rsidRPr="00206F59" w:rsidRDefault="0084695F" w:rsidP="00FA3FAE">
            <w:pPr>
              <w:numPr>
                <w:ilvl w:val="0"/>
                <w:numId w:val="236"/>
              </w:numPr>
              <w:spacing w:after="0" w:line="240" w:lineRule="auto"/>
              <w:jc w:val="both"/>
              <w:rPr>
                <w:rFonts w:ascii="Times New Roman" w:hAnsi="Times New Roman"/>
              </w:rPr>
            </w:pPr>
            <w:r w:rsidRPr="00206F59">
              <w:rPr>
                <w:rFonts w:ascii="Times New Roman" w:hAnsi="Times New Roman"/>
              </w:rPr>
              <w:t xml:space="preserve">Combien de jeunes sont recrutés dans chaque secteur concerné par le projet </w:t>
            </w:r>
          </w:p>
        </w:tc>
        <w:tc>
          <w:tcPr>
            <w:tcW w:w="2135" w:type="dxa"/>
          </w:tcPr>
          <w:p w:rsidR="0084695F" w:rsidRPr="00206F59" w:rsidRDefault="0084695F" w:rsidP="002F0DE8">
            <w:pPr>
              <w:keepNext/>
              <w:keepLines/>
              <w:spacing w:before="200" w:after="0" w:line="240" w:lineRule="auto"/>
              <w:jc w:val="center"/>
              <w:outlineLvl w:val="2"/>
              <w:rPr>
                <w:rFonts w:ascii="Times New Roman" w:hAnsi="Times New Roman"/>
              </w:rPr>
            </w:pPr>
          </w:p>
          <w:p w:rsidR="0084695F" w:rsidRPr="00206F59" w:rsidRDefault="0084695F" w:rsidP="002F0DE8">
            <w:pPr>
              <w:spacing w:after="0" w:line="240" w:lineRule="auto"/>
              <w:jc w:val="center"/>
              <w:rPr>
                <w:rFonts w:ascii="Times New Roman" w:hAnsi="Times New Roman"/>
              </w:rPr>
            </w:pPr>
            <w:r w:rsidRPr="00206F59">
              <w:rPr>
                <w:rFonts w:ascii="Times New Roman" w:hAnsi="Times New Roman"/>
              </w:rPr>
              <w:t xml:space="preserve">Enquêtes auprès des populations, </w:t>
            </w:r>
          </w:p>
          <w:p w:rsidR="0084695F" w:rsidRPr="00206F59" w:rsidRDefault="0084695F" w:rsidP="002F0DE8">
            <w:pPr>
              <w:spacing w:after="0" w:line="240" w:lineRule="auto"/>
              <w:jc w:val="center"/>
              <w:rPr>
                <w:rFonts w:ascii="Times New Roman" w:hAnsi="Times New Roman"/>
              </w:rPr>
            </w:pPr>
            <w:r w:rsidRPr="00206F59">
              <w:rPr>
                <w:rFonts w:ascii="Times New Roman" w:hAnsi="Times New Roman"/>
              </w:rPr>
              <w:t>Par identification des fiches de recrutement ;</w:t>
            </w:r>
          </w:p>
          <w:p w:rsidR="0084695F" w:rsidRPr="00206F59" w:rsidRDefault="0084695F" w:rsidP="002F0DE8">
            <w:pPr>
              <w:spacing w:after="0" w:line="240" w:lineRule="auto"/>
              <w:jc w:val="center"/>
              <w:rPr>
                <w:rFonts w:ascii="Times New Roman" w:hAnsi="Times New Roman"/>
              </w:rPr>
            </w:pPr>
            <w:r w:rsidRPr="00206F59">
              <w:rPr>
                <w:rFonts w:ascii="Times New Roman" w:hAnsi="Times New Roman"/>
              </w:rPr>
              <w:t>Fiche de paie</w:t>
            </w:r>
          </w:p>
          <w:p w:rsidR="0084695F" w:rsidRPr="00206F59" w:rsidRDefault="0084695F" w:rsidP="002F0DE8">
            <w:pPr>
              <w:spacing w:after="0" w:line="240" w:lineRule="auto"/>
              <w:jc w:val="center"/>
              <w:rPr>
                <w:rFonts w:ascii="Times New Roman" w:hAnsi="Times New Roman"/>
              </w:rPr>
            </w:pPr>
          </w:p>
        </w:tc>
        <w:tc>
          <w:tcPr>
            <w:tcW w:w="2037" w:type="dxa"/>
            <w:vAlign w:val="center"/>
          </w:tcPr>
          <w:p w:rsidR="0084695F" w:rsidRPr="00206F59" w:rsidRDefault="0084695F" w:rsidP="002F0DE8">
            <w:pPr>
              <w:spacing w:after="0" w:line="240" w:lineRule="auto"/>
              <w:jc w:val="center"/>
              <w:rPr>
                <w:rFonts w:ascii="Times New Roman" w:hAnsi="Times New Roman"/>
              </w:rPr>
            </w:pPr>
            <w:r w:rsidRPr="00206F59">
              <w:rPr>
                <w:rFonts w:ascii="Times New Roman" w:hAnsi="Times New Roman"/>
              </w:rPr>
              <w:t>Mission de contrôle (inspection du travail, CAIA), les Maries,</w:t>
            </w:r>
          </w:p>
          <w:p w:rsidR="0084695F" w:rsidRPr="00206F59" w:rsidRDefault="0084695F" w:rsidP="002F0DE8">
            <w:pPr>
              <w:spacing w:after="0" w:line="240" w:lineRule="auto"/>
              <w:jc w:val="center"/>
              <w:rPr>
                <w:rFonts w:ascii="Times New Roman" w:hAnsi="Times New Roman"/>
              </w:rPr>
            </w:pPr>
            <w:r w:rsidRPr="00206F59">
              <w:rPr>
                <w:rFonts w:ascii="Times New Roman" w:hAnsi="Times New Roman"/>
              </w:rPr>
              <w:t>PAUSEE-FA</w:t>
            </w:r>
          </w:p>
        </w:tc>
        <w:tc>
          <w:tcPr>
            <w:tcW w:w="1538" w:type="dxa"/>
            <w:vAlign w:val="center"/>
          </w:tcPr>
          <w:p w:rsidR="0084695F" w:rsidRPr="00206F59" w:rsidRDefault="0084695F" w:rsidP="002F0DE8">
            <w:pPr>
              <w:spacing w:after="0" w:line="240" w:lineRule="auto"/>
              <w:jc w:val="center"/>
              <w:rPr>
                <w:rFonts w:ascii="Times New Roman" w:hAnsi="Times New Roman"/>
              </w:rPr>
            </w:pPr>
            <w:r w:rsidRPr="00206F59">
              <w:rPr>
                <w:rFonts w:ascii="Times New Roman" w:hAnsi="Times New Roman"/>
              </w:rPr>
              <w:t>Trimestrielle</w:t>
            </w:r>
          </w:p>
        </w:tc>
        <w:tc>
          <w:tcPr>
            <w:tcW w:w="1577" w:type="dxa"/>
            <w:vAlign w:val="center"/>
          </w:tcPr>
          <w:p w:rsidR="0084695F" w:rsidRPr="00206F59" w:rsidRDefault="0084695F" w:rsidP="002F0DE8">
            <w:pPr>
              <w:spacing w:after="0" w:line="240" w:lineRule="auto"/>
              <w:jc w:val="center"/>
              <w:rPr>
                <w:rFonts w:ascii="Times New Roman" w:hAnsi="Times New Roman"/>
              </w:rPr>
            </w:pPr>
            <w:r w:rsidRPr="00206F59">
              <w:rPr>
                <w:rFonts w:ascii="Times New Roman" w:hAnsi="Times New Roman"/>
              </w:rPr>
              <w:t>Réduction de la pauvreté</w:t>
            </w:r>
          </w:p>
        </w:tc>
        <w:tc>
          <w:tcPr>
            <w:tcW w:w="1331" w:type="dxa"/>
            <w:shd w:val="clear" w:color="auto" w:fill="F7CAAC"/>
            <w:vAlign w:val="center"/>
          </w:tcPr>
          <w:p w:rsidR="0084695F" w:rsidRPr="00206F59" w:rsidRDefault="0084695F" w:rsidP="002F0DE8">
            <w:pPr>
              <w:keepNext/>
              <w:keepLines/>
              <w:spacing w:before="480" w:after="0" w:line="240" w:lineRule="auto"/>
              <w:jc w:val="center"/>
              <w:outlineLvl w:val="0"/>
              <w:rPr>
                <w:rFonts w:ascii="Times New Roman" w:hAnsi="Times New Roman"/>
                <w:b/>
              </w:rPr>
            </w:pPr>
            <w:bookmarkStart w:id="620" w:name="_Toc34007079"/>
            <w:bookmarkStart w:id="621" w:name="_Toc34007281"/>
            <w:bookmarkStart w:id="622" w:name="_Toc34741546"/>
            <w:bookmarkStart w:id="623" w:name="_Toc51072607"/>
            <w:r w:rsidRPr="00206F59">
              <w:rPr>
                <w:rFonts w:ascii="Times New Roman" w:hAnsi="Times New Roman"/>
                <w:b/>
              </w:rPr>
              <w:t>1 500 000</w:t>
            </w:r>
            <w:bookmarkEnd w:id="620"/>
            <w:bookmarkEnd w:id="621"/>
            <w:bookmarkEnd w:id="622"/>
            <w:bookmarkEnd w:id="623"/>
          </w:p>
        </w:tc>
      </w:tr>
      <w:tr w:rsidR="0084695F" w:rsidRPr="00206F59" w:rsidTr="002F0DE8">
        <w:tc>
          <w:tcPr>
            <w:tcW w:w="13236" w:type="dxa"/>
            <w:gridSpan w:val="7"/>
            <w:shd w:val="clear" w:color="auto" w:fill="F7CAAC" w:themeFill="accent2" w:themeFillTint="66"/>
            <w:vAlign w:val="center"/>
          </w:tcPr>
          <w:p w:rsidR="0084695F" w:rsidRPr="00206F59" w:rsidRDefault="0084695F" w:rsidP="002F0DE8">
            <w:pPr>
              <w:spacing w:after="0" w:line="240" w:lineRule="auto"/>
              <w:jc w:val="center"/>
              <w:rPr>
                <w:rFonts w:ascii="Times New Roman" w:hAnsi="Times New Roman"/>
                <w:b/>
                <w:bCs/>
              </w:rPr>
            </w:pPr>
            <w:r w:rsidRPr="00206F59">
              <w:rPr>
                <w:rFonts w:ascii="Times New Roman" w:hAnsi="Times New Roman"/>
                <w:b/>
                <w:bCs/>
              </w:rPr>
              <w:t>TOTAL</w:t>
            </w:r>
          </w:p>
        </w:tc>
        <w:tc>
          <w:tcPr>
            <w:tcW w:w="1331" w:type="dxa"/>
            <w:shd w:val="clear" w:color="auto" w:fill="F7CAAC" w:themeFill="accent2" w:themeFillTint="66"/>
            <w:vAlign w:val="center"/>
          </w:tcPr>
          <w:p w:rsidR="0084695F" w:rsidRPr="00206F59" w:rsidRDefault="0084695F" w:rsidP="002F0DE8">
            <w:pPr>
              <w:spacing w:after="0" w:line="240" w:lineRule="auto"/>
              <w:jc w:val="center"/>
              <w:rPr>
                <w:rFonts w:ascii="Times New Roman" w:hAnsi="Times New Roman"/>
                <w:b/>
              </w:rPr>
            </w:pPr>
            <w:r w:rsidRPr="00206F59">
              <w:rPr>
                <w:rFonts w:ascii="Times New Roman" w:hAnsi="Times New Roman"/>
                <w:b/>
              </w:rPr>
              <w:t>25 250 000</w:t>
            </w:r>
          </w:p>
        </w:tc>
      </w:tr>
      <w:tr w:rsidR="0084695F" w:rsidRPr="00206F59" w:rsidTr="002F0DE8">
        <w:tc>
          <w:tcPr>
            <w:tcW w:w="14567" w:type="dxa"/>
            <w:gridSpan w:val="8"/>
            <w:shd w:val="clear" w:color="auto" w:fill="FFFFFF" w:themeFill="background1"/>
            <w:vAlign w:val="center"/>
          </w:tcPr>
          <w:p w:rsidR="0084695F" w:rsidRPr="00206F59" w:rsidRDefault="0084695F" w:rsidP="002F0DE8">
            <w:pPr>
              <w:spacing w:after="0" w:line="240" w:lineRule="auto"/>
              <w:jc w:val="center"/>
              <w:rPr>
                <w:rFonts w:ascii="Times New Roman" w:hAnsi="Times New Roman"/>
                <w:b/>
                <w:bCs/>
                <w:sz w:val="10"/>
                <w:szCs w:val="10"/>
              </w:rPr>
            </w:pPr>
          </w:p>
        </w:tc>
      </w:tr>
      <w:tr w:rsidR="0084695F" w:rsidRPr="00206F59" w:rsidTr="002F0DE8">
        <w:tc>
          <w:tcPr>
            <w:tcW w:w="13236" w:type="dxa"/>
            <w:gridSpan w:val="7"/>
            <w:shd w:val="clear" w:color="auto" w:fill="D9E2F3"/>
            <w:vAlign w:val="center"/>
          </w:tcPr>
          <w:p w:rsidR="0084695F" w:rsidRPr="00206F59" w:rsidRDefault="0084695F" w:rsidP="002F0DE8">
            <w:pPr>
              <w:spacing w:after="0" w:line="240" w:lineRule="auto"/>
              <w:jc w:val="center"/>
              <w:rPr>
                <w:rFonts w:ascii="Times New Roman" w:hAnsi="Times New Roman"/>
                <w:b/>
                <w:bCs/>
              </w:rPr>
            </w:pPr>
            <w:r w:rsidRPr="00206F59">
              <w:rPr>
                <w:rFonts w:ascii="Times New Roman" w:hAnsi="Times New Roman"/>
                <w:b/>
                <w:bCs/>
              </w:rPr>
              <w:t>APPUI INSTITUTIONNEL ET RENFOCEMENT DES CAPACITES</w:t>
            </w:r>
          </w:p>
        </w:tc>
        <w:tc>
          <w:tcPr>
            <w:tcW w:w="1331" w:type="dxa"/>
            <w:shd w:val="clear" w:color="auto" w:fill="FF0000"/>
            <w:vAlign w:val="center"/>
          </w:tcPr>
          <w:p w:rsidR="0084695F" w:rsidRPr="00206F59" w:rsidRDefault="0084695F" w:rsidP="002F0DE8">
            <w:pPr>
              <w:spacing w:after="0" w:line="240" w:lineRule="auto"/>
              <w:jc w:val="center"/>
              <w:rPr>
                <w:rFonts w:ascii="Times New Roman" w:hAnsi="Times New Roman"/>
                <w:b/>
              </w:rPr>
            </w:pPr>
            <w:r w:rsidRPr="00206F59">
              <w:rPr>
                <w:rFonts w:ascii="Times New Roman" w:hAnsi="Times New Roman"/>
                <w:b/>
              </w:rPr>
              <w:t>10 000 000</w:t>
            </w:r>
          </w:p>
        </w:tc>
      </w:tr>
    </w:tbl>
    <w:p w:rsidR="00764FFF" w:rsidRPr="00D335A7" w:rsidRDefault="00764FFF" w:rsidP="00764FFF">
      <w:pPr>
        <w:spacing w:after="0" w:line="276" w:lineRule="auto"/>
        <w:jc w:val="center"/>
        <w:rPr>
          <w:rFonts w:ascii="Times New Roman" w:hAnsi="Times New Roman"/>
          <w:b/>
          <w:u w:val="single"/>
        </w:rPr>
      </w:pPr>
    </w:p>
    <w:p w:rsidR="00764FFF" w:rsidRPr="00D335A7" w:rsidRDefault="00764FFF" w:rsidP="00764FFF">
      <w:pPr>
        <w:spacing w:after="0" w:line="276" w:lineRule="auto"/>
        <w:jc w:val="center"/>
        <w:rPr>
          <w:rFonts w:ascii="Times New Roman" w:hAnsi="Times New Roman"/>
          <w:b/>
          <w:u w:val="single"/>
        </w:rPr>
      </w:pPr>
    </w:p>
    <w:p w:rsidR="00764FFF" w:rsidRPr="00AB6BD8" w:rsidRDefault="00764FFF" w:rsidP="00AB6BD8">
      <w:pPr>
        <w:pBdr>
          <w:top w:val="single" w:sz="4" w:space="1" w:color="auto"/>
          <w:left w:val="single" w:sz="4" w:space="4" w:color="auto"/>
          <w:bottom w:val="single" w:sz="4" w:space="1" w:color="auto"/>
          <w:right w:val="single" w:sz="4" w:space="4" w:color="auto"/>
        </w:pBdr>
        <w:shd w:val="clear" w:color="auto" w:fill="E2EFD9" w:themeFill="accent6" w:themeFillTint="33"/>
        <w:spacing w:after="0" w:line="276" w:lineRule="auto"/>
        <w:jc w:val="center"/>
        <w:rPr>
          <w:rFonts w:ascii="Times New Roman" w:hAnsi="Times New Roman"/>
          <w:b/>
          <w:sz w:val="32"/>
          <w:szCs w:val="32"/>
          <w:u w:val="single"/>
        </w:rPr>
      </w:pPr>
      <w:r w:rsidRPr="00AB6BD8">
        <w:rPr>
          <w:rFonts w:ascii="Times New Roman" w:hAnsi="Times New Roman"/>
          <w:b/>
          <w:sz w:val="32"/>
          <w:szCs w:val="32"/>
          <w:u w:val="single"/>
        </w:rPr>
        <w:t>COUT ESTIMATIF DU SUIVI DE LA MISE EN ŒUVRE DU PGES PAR LE COMITE DE SUIVI A TRAVERS LE PROTOCOLE D’ACCORD AVEC LE PROMOTEUR EST DE :</w:t>
      </w:r>
    </w:p>
    <w:p w:rsidR="00764FFF" w:rsidRPr="00AB6BD8" w:rsidRDefault="00AB6BD8" w:rsidP="00AB6BD8">
      <w:pPr>
        <w:pBdr>
          <w:top w:val="single" w:sz="4" w:space="1" w:color="auto"/>
          <w:left w:val="single" w:sz="4" w:space="4" w:color="auto"/>
          <w:bottom w:val="single" w:sz="4" w:space="1" w:color="auto"/>
          <w:right w:val="single" w:sz="4" w:space="4" w:color="auto"/>
        </w:pBdr>
        <w:shd w:val="clear" w:color="auto" w:fill="E2EFD9" w:themeFill="accent6" w:themeFillTint="33"/>
        <w:spacing w:after="0" w:line="276" w:lineRule="auto"/>
        <w:jc w:val="center"/>
        <w:rPr>
          <w:rFonts w:ascii="Times New Roman" w:hAnsi="Times New Roman"/>
          <w:b/>
          <w:sz w:val="32"/>
          <w:szCs w:val="32"/>
          <w:u w:val="single"/>
        </w:rPr>
      </w:pPr>
      <w:r w:rsidRPr="00AB6BD8">
        <w:rPr>
          <w:rFonts w:ascii="Times New Roman" w:hAnsi="Times New Roman"/>
          <w:b/>
          <w:sz w:val="32"/>
          <w:szCs w:val="32"/>
          <w:u w:val="single"/>
        </w:rPr>
        <w:t>27</w:t>
      </w:r>
      <w:r w:rsidR="00764FFF" w:rsidRPr="00AB6BD8">
        <w:rPr>
          <w:rFonts w:ascii="Times New Roman" w:hAnsi="Times New Roman"/>
          <w:b/>
          <w:sz w:val="32"/>
          <w:szCs w:val="32"/>
          <w:u w:val="single"/>
        </w:rPr>
        <w:t> 000 000 F CFA</w:t>
      </w:r>
    </w:p>
    <w:p w:rsidR="00764FFF" w:rsidRPr="00D335A7" w:rsidRDefault="00764FFF" w:rsidP="00764FFF">
      <w:pPr>
        <w:overflowPunct w:val="0"/>
        <w:autoSpaceDE w:val="0"/>
        <w:autoSpaceDN w:val="0"/>
        <w:adjustRightInd w:val="0"/>
        <w:spacing w:after="0" w:line="276" w:lineRule="auto"/>
        <w:rPr>
          <w:rFonts w:ascii="Times New Roman" w:eastAsia="Times New Roman" w:hAnsi="Times New Roman"/>
          <w:b/>
          <w:bCs/>
          <w:sz w:val="20"/>
          <w:szCs w:val="20"/>
          <w:lang w:eastAsia="fr-FR"/>
        </w:rPr>
        <w:sectPr w:rsidR="00764FFF" w:rsidRPr="00D335A7" w:rsidSect="00764FFF">
          <w:pgSz w:w="16838" w:h="11906" w:orient="landscape"/>
          <w:pgMar w:top="1418" w:right="1418" w:bottom="1418" w:left="1418" w:header="709" w:footer="709" w:gutter="0"/>
          <w:cols w:space="708"/>
          <w:docGrid w:linePitch="360"/>
        </w:sectPr>
      </w:pPr>
    </w:p>
    <w:p w:rsidR="00764FFF" w:rsidRPr="00D335A7" w:rsidRDefault="00764FFF" w:rsidP="00764FFF">
      <w:pPr>
        <w:overflowPunct w:val="0"/>
        <w:autoSpaceDE w:val="0"/>
        <w:autoSpaceDN w:val="0"/>
        <w:adjustRightInd w:val="0"/>
        <w:spacing w:after="0" w:line="276" w:lineRule="auto"/>
        <w:jc w:val="center"/>
        <w:rPr>
          <w:rFonts w:ascii="Times New Roman" w:eastAsia="Times New Roman" w:hAnsi="Times New Roman"/>
          <w:b/>
          <w:bCs/>
          <w:sz w:val="20"/>
          <w:szCs w:val="20"/>
          <w:lang w:eastAsia="fr-FR"/>
        </w:rPr>
      </w:pPr>
      <w:bookmarkStart w:id="624" w:name="_Toc535408495"/>
      <w:bookmarkStart w:id="625" w:name="_Toc11158777"/>
      <w:bookmarkStart w:id="626" w:name="_Toc51074026"/>
      <w:r w:rsidRPr="00D335A7">
        <w:rPr>
          <w:rFonts w:ascii="Times New Roman" w:hAnsi="Times New Roman"/>
          <w:b/>
          <w:bCs/>
          <w:sz w:val="20"/>
          <w:szCs w:val="20"/>
          <w:lang w:eastAsia="fr-FR"/>
        </w:rPr>
        <w:lastRenderedPageBreak/>
        <w:t xml:space="preserve">Tableau </w:t>
      </w:r>
      <w:r w:rsidRPr="00D335A7">
        <w:rPr>
          <w:rFonts w:ascii="Times New Roman" w:hAnsi="Times New Roman"/>
          <w:b/>
          <w:bCs/>
          <w:sz w:val="20"/>
          <w:szCs w:val="20"/>
          <w:lang w:eastAsia="fr-FR"/>
        </w:rPr>
        <w:fldChar w:fldCharType="begin"/>
      </w:r>
      <w:r w:rsidRPr="00D335A7">
        <w:rPr>
          <w:rFonts w:ascii="Times New Roman" w:hAnsi="Times New Roman"/>
          <w:b/>
          <w:bCs/>
          <w:sz w:val="20"/>
          <w:szCs w:val="20"/>
          <w:lang w:eastAsia="fr-FR"/>
        </w:rPr>
        <w:instrText xml:space="preserve"> </w:instrText>
      </w:r>
      <w:r>
        <w:rPr>
          <w:rFonts w:ascii="Times New Roman" w:hAnsi="Times New Roman"/>
          <w:b/>
          <w:bCs/>
          <w:sz w:val="20"/>
          <w:szCs w:val="20"/>
          <w:lang w:eastAsia="fr-FR"/>
        </w:rPr>
        <w:instrText>SEQ</w:instrText>
      </w:r>
      <w:r w:rsidRPr="00D335A7">
        <w:rPr>
          <w:rFonts w:ascii="Times New Roman" w:hAnsi="Times New Roman"/>
          <w:b/>
          <w:bCs/>
          <w:sz w:val="20"/>
          <w:szCs w:val="20"/>
          <w:lang w:eastAsia="fr-FR"/>
        </w:rPr>
        <w:instrText xml:space="preserve"> Tableau \* ARABIC </w:instrText>
      </w:r>
      <w:r w:rsidRPr="00D335A7">
        <w:rPr>
          <w:rFonts w:ascii="Times New Roman" w:hAnsi="Times New Roman"/>
          <w:b/>
          <w:bCs/>
          <w:sz w:val="20"/>
          <w:szCs w:val="20"/>
          <w:lang w:eastAsia="fr-FR"/>
        </w:rPr>
        <w:fldChar w:fldCharType="separate"/>
      </w:r>
      <w:r w:rsidR="00820701">
        <w:rPr>
          <w:rFonts w:ascii="Times New Roman" w:hAnsi="Times New Roman"/>
          <w:b/>
          <w:bCs/>
          <w:noProof/>
          <w:sz w:val="20"/>
          <w:szCs w:val="20"/>
          <w:lang w:eastAsia="fr-FR"/>
        </w:rPr>
        <w:t>35</w:t>
      </w:r>
      <w:r w:rsidRPr="00D335A7">
        <w:rPr>
          <w:rFonts w:ascii="Times New Roman" w:hAnsi="Times New Roman"/>
          <w:b/>
          <w:bCs/>
          <w:sz w:val="20"/>
          <w:szCs w:val="20"/>
          <w:lang w:eastAsia="fr-FR"/>
        </w:rPr>
        <w:fldChar w:fldCharType="end"/>
      </w:r>
      <w:r w:rsidRPr="00D335A7">
        <w:rPr>
          <w:rFonts w:ascii="Times New Roman" w:hAnsi="Times New Roman"/>
          <w:b/>
          <w:bCs/>
          <w:sz w:val="20"/>
          <w:szCs w:val="20"/>
          <w:lang w:eastAsia="fr-FR"/>
        </w:rPr>
        <w:t xml:space="preserve"> </w:t>
      </w:r>
      <w:r w:rsidRPr="00D335A7">
        <w:rPr>
          <w:rFonts w:ascii="Times New Roman" w:eastAsia="Times New Roman" w:hAnsi="Times New Roman"/>
          <w:b/>
          <w:bCs/>
          <w:sz w:val="20"/>
          <w:szCs w:val="20"/>
          <w:lang w:eastAsia="fr-FR"/>
        </w:rPr>
        <w:t>: Fiche de surveillance et de suivi de la mise en œuvre du PGES</w:t>
      </w:r>
      <w:bookmarkEnd w:id="624"/>
      <w:bookmarkEnd w:id="625"/>
      <w:bookmarkEnd w:id="626"/>
    </w:p>
    <w:tbl>
      <w:tblPr>
        <w:tblW w:w="161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12616"/>
        <w:gridCol w:w="2977"/>
      </w:tblGrid>
      <w:tr w:rsidR="00764FFF" w:rsidRPr="004F7F5E" w:rsidTr="00BF40D2">
        <w:trPr>
          <w:jc w:val="center"/>
        </w:trPr>
        <w:tc>
          <w:tcPr>
            <w:tcW w:w="562" w:type="dxa"/>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hideMark/>
          </w:tcPr>
          <w:p w:rsidR="00764FFF" w:rsidRPr="004F7F5E" w:rsidRDefault="00764FFF" w:rsidP="00764FFF">
            <w:pPr>
              <w:spacing w:after="0" w:line="240" w:lineRule="auto"/>
              <w:jc w:val="center"/>
              <w:rPr>
                <w:rFonts w:ascii="Times New Roman" w:hAnsi="Times New Roman"/>
                <w:b/>
                <w:sz w:val="18"/>
                <w:szCs w:val="18"/>
              </w:rPr>
            </w:pPr>
            <w:r w:rsidRPr="004F7F5E">
              <w:rPr>
                <w:rFonts w:ascii="Times New Roman" w:hAnsi="Times New Roman"/>
                <w:b/>
                <w:sz w:val="18"/>
                <w:szCs w:val="18"/>
              </w:rPr>
              <w:t>N°</w:t>
            </w:r>
          </w:p>
        </w:tc>
        <w:tc>
          <w:tcPr>
            <w:tcW w:w="12616" w:type="dxa"/>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hideMark/>
          </w:tcPr>
          <w:p w:rsidR="00764FFF" w:rsidRPr="004F7F5E" w:rsidRDefault="00764FFF" w:rsidP="00764FFF">
            <w:pPr>
              <w:spacing w:after="0" w:line="240" w:lineRule="auto"/>
              <w:jc w:val="center"/>
              <w:rPr>
                <w:rFonts w:ascii="Times New Roman" w:hAnsi="Times New Roman"/>
                <w:b/>
                <w:sz w:val="18"/>
                <w:szCs w:val="18"/>
              </w:rPr>
            </w:pPr>
            <w:r w:rsidRPr="004F7F5E">
              <w:rPr>
                <w:rFonts w:ascii="Times New Roman" w:hAnsi="Times New Roman"/>
                <w:b/>
                <w:sz w:val="18"/>
                <w:szCs w:val="18"/>
              </w:rPr>
              <w:t>Eléments à suivre</w:t>
            </w:r>
          </w:p>
        </w:tc>
        <w:tc>
          <w:tcPr>
            <w:tcW w:w="2977" w:type="dxa"/>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hideMark/>
          </w:tcPr>
          <w:p w:rsidR="00764FFF" w:rsidRPr="004F7F5E" w:rsidRDefault="00764FFF" w:rsidP="00764FFF">
            <w:pPr>
              <w:spacing w:after="0" w:line="240" w:lineRule="auto"/>
              <w:jc w:val="center"/>
              <w:rPr>
                <w:rFonts w:ascii="Times New Roman" w:hAnsi="Times New Roman"/>
                <w:b/>
                <w:sz w:val="18"/>
                <w:szCs w:val="18"/>
              </w:rPr>
            </w:pPr>
            <w:r w:rsidRPr="004F7F5E">
              <w:rPr>
                <w:rFonts w:ascii="Times New Roman" w:hAnsi="Times New Roman"/>
                <w:b/>
                <w:sz w:val="18"/>
                <w:szCs w:val="18"/>
              </w:rPr>
              <w:t>Conformité avec le PGES</w:t>
            </w:r>
          </w:p>
        </w:tc>
      </w:tr>
      <w:tr w:rsidR="00BF40D2" w:rsidRPr="004F7F5E" w:rsidTr="00BF40D2">
        <w:trPr>
          <w:trHeight w:val="136"/>
          <w:jc w:val="center"/>
        </w:trPr>
        <w:tc>
          <w:tcPr>
            <w:tcW w:w="562" w:type="dxa"/>
            <w:vMerge w:val="restart"/>
            <w:tcBorders>
              <w:top w:val="single" w:sz="4" w:space="0" w:color="auto"/>
              <w:left w:val="single" w:sz="4" w:space="0" w:color="auto"/>
              <w:right w:val="single" w:sz="4" w:space="0" w:color="auto"/>
            </w:tcBorders>
            <w:shd w:val="clear" w:color="auto" w:fill="E2EFD9" w:themeFill="accent6" w:themeFillTint="33"/>
            <w:vAlign w:val="center"/>
            <w:hideMark/>
          </w:tcPr>
          <w:p w:rsidR="00BF40D2" w:rsidRPr="004F7F5E" w:rsidRDefault="00BF40D2" w:rsidP="00BF40D2">
            <w:pPr>
              <w:spacing w:after="0" w:line="240" w:lineRule="auto"/>
              <w:jc w:val="center"/>
              <w:rPr>
                <w:rFonts w:ascii="Times New Roman" w:hAnsi="Times New Roman"/>
                <w:b/>
                <w:sz w:val="18"/>
                <w:szCs w:val="18"/>
              </w:rPr>
            </w:pPr>
            <w:r w:rsidRPr="004F7F5E">
              <w:rPr>
                <w:rFonts w:ascii="Times New Roman" w:hAnsi="Times New Roman"/>
                <w:b/>
                <w:sz w:val="18"/>
                <w:szCs w:val="18"/>
              </w:rPr>
              <w:t>01</w:t>
            </w:r>
          </w:p>
        </w:tc>
        <w:tc>
          <w:tcPr>
            <w:tcW w:w="15593" w:type="dxa"/>
            <w:gridSpan w:val="2"/>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rsidR="00BF40D2" w:rsidRPr="004F7F5E" w:rsidRDefault="00BF40D2" w:rsidP="00764FFF">
            <w:pPr>
              <w:spacing w:after="0" w:line="240" w:lineRule="auto"/>
              <w:jc w:val="center"/>
              <w:rPr>
                <w:rFonts w:ascii="Times New Roman" w:hAnsi="Times New Roman"/>
                <w:b/>
                <w:sz w:val="18"/>
                <w:szCs w:val="18"/>
              </w:rPr>
            </w:pPr>
            <w:r w:rsidRPr="004F7F5E">
              <w:rPr>
                <w:rFonts w:ascii="Times New Roman" w:hAnsi="Times New Roman"/>
                <w:b/>
                <w:sz w:val="18"/>
                <w:szCs w:val="18"/>
              </w:rPr>
              <w:t>Phase d’installation</w:t>
            </w:r>
          </w:p>
        </w:tc>
      </w:tr>
      <w:tr w:rsidR="00BF40D2" w:rsidRPr="004F7F5E" w:rsidTr="00BF40D2">
        <w:trPr>
          <w:jc w:val="center"/>
        </w:trPr>
        <w:tc>
          <w:tcPr>
            <w:tcW w:w="562" w:type="dxa"/>
            <w:vMerge/>
            <w:tcBorders>
              <w:left w:val="single" w:sz="4" w:space="0" w:color="auto"/>
              <w:right w:val="single" w:sz="4" w:space="0" w:color="auto"/>
            </w:tcBorders>
            <w:shd w:val="clear" w:color="auto" w:fill="D9E2F3" w:themeFill="accent5" w:themeFillTint="33"/>
            <w:vAlign w:val="center"/>
            <w:hideMark/>
          </w:tcPr>
          <w:p w:rsidR="00BF40D2" w:rsidRPr="004F7F5E" w:rsidRDefault="00BF40D2" w:rsidP="00BF40D2">
            <w:pPr>
              <w:spacing w:after="0" w:line="276" w:lineRule="auto"/>
              <w:jc w:val="center"/>
              <w:rPr>
                <w:sz w:val="18"/>
                <w:szCs w:val="18"/>
              </w:rPr>
            </w:pPr>
          </w:p>
        </w:tc>
        <w:tc>
          <w:tcPr>
            <w:tcW w:w="12616" w:type="dxa"/>
            <w:tcBorders>
              <w:top w:val="single" w:sz="4" w:space="0" w:color="auto"/>
              <w:left w:val="single" w:sz="4" w:space="0" w:color="auto"/>
              <w:bottom w:val="single" w:sz="4" w:space="0" w:color="auto"/>
              <w:right w:val="single" w:sz="4" w:space="0" w:color="auto"/>
            </w:tcBorders>
            <w:hideMark/>
          </w:tcPr>
          <w:p w:rsidR="00BF40D2" w:rsidRPr="004F7F5E" w:rsidRDefault="00BF40D2" w:rsidP="00764FFF">
            <w:pPr>
              <w:spacing w:after="0" w:line="240" w:lineRule="auto"/>
              <w:jc w:val="both"/>
              <w:rPr>
                <w:rFonts w:ascii="Times New Roman" w:hAnsi="Times New Roman"/>
                <w:sz w:val="18"/>
                <w:szCs w:val="18"/>
              </w:rPr>
            </w:pPr>
            <w:r w:rsidRPr="004F7F5E">
              <w:rPr>
                <w:rFonts w:ascii="Times New Roman" w:hAnsi="Times New Roman"/>
                <w:sz w:val="18"/>
                <w:szCs w:val="18"/>
              </w:rPr>
              <w:t>La position du site d’installation des chantiers par rapport à la circulation générale des eaux de ruissellement</w:t>
            </w:r>
          </w:p>
        </w:tc>
        <w:tc>
          <w:tcPr>
            <w:tcW w:w="2977" w:type="dxa"/>
            <w:tcBorders>
              <w:top w:val="single" w:sz="4" w:space="0" w:color="auto"/>
              <w:left w:val="single" w:sz="4" w:space="0" w:color="auto"/>
              <w:bottom w:val="single" w:sz="4" w:space="0" w:color="auto"/>
              <w:right w:val="single" w:sz="4" w:space="0" w:color="auto"/>
            </w:tcBorders>
          </w:tcPr>
          <w:p w:rsidR="00BF40D2" w:rsidRPr="004F7F5E" w:rsidRDefault="00BF40D2" w:rsidP="00764FFF">
            <w:pPr>
              <w:spacing w:after="0" w:line="240" w:lineRule="auto"/>
              <w:rPr>
                <w:rFonts w:ascii="Times New Roman" w:hAnsi="Times New Roman"/>
                <w:sz w:val="18"/>
                <w:szCs w:val="18"/>
              </w:rPr>
            </w:pPr>
          </w:p>
        </w:tc>
      </w:tr>
      <w:tr w:rsidR="00BF40D2" w:rsidRPr="004F7F5E" w:rsidTr="00BF40D2">
        <w:trPr>
          <w:jc w:val="center"/>
        </w:trPr>
        <w:tc>
          <w:tcPr>
            <w:tcW w:w="562" w:type="dxa"/>
            <w:vMerge/>
            <w:tcBorders>
              <w:left w:val="single" w:sz="4" w:space="0" w:color="auto"/>
              <w:right w:val="single" w:sz="4" w:space="0" w:color="auto"/>
            </w:tcBorders>
            <w:shd w:val="clear" w:color="auto" w:fill="D9E2F3" w:themeFill="accent5" w:themeFillTint="33"/>
            <w:vAlign w:val="center"/>
            <w:hideMark/>
          </w:tcPr>
          <w:p w:rsidR="00BF40D2" w:rsidRPr="004F7F5E" w:rsidRDefault="00BF40D2" w:rsidP="00BF40D2">
            <w:pPr>
              <w:spacing w:after="0" w:line="240" w:lineRule="auto"/>
              <w:jc w:val="center"/>
              <w:rPr>
                <w:sz w:val="18"/>
                <w:szCs w:val="18"/>
              </w:rPr>
            </w:pPr>
          </w:p>
        </w:tc>
        <w:tc>
          <w:tcPr>
            <w:tcW w:w="12616" w:type="dxa"/>
            <w:tcBorders>
              <w:top w:val="single" w:sz="4" w:space="0" w:color="auto"/>
              <w:left w:val="single" w:sz="4" w:space="0" w:color="auto"/>
              <w:bottom w:val="single" w:sz="4" w:space="0" w:color="auto"/>
              <w:right w:val="single" w:sz="4" w:space="0" w:color="auto"/>
            </w:tcBorders>
            <w:hideMark/>
          </w:tcPr>
          <w:p w:rsidR="00BF40D2" w:rsidRPr="004F7F5E" w:rsidRDefault="00BF40D2" w:rsidP="00764FFF">
            <w:pPr>
              <w:spacing w:after="0" w:line="240" w:lineRule="auto"/>
              <w:jc w:val="both"/>
              <w:rPr>
                <w:rFonts w:ascii="Times New Roman" w:hAnsi="Times New Roman"/>
                <w:sz w:val="18"/>
                <w:szCs w:val="18"/>
              </w:rPr>
            </w:pPr>
            <w:r w:rsidRPr="004F7F5E">
              <w:rPr>
                <w:rFonts w:ascii="Times New Roman" w:hAnsi="Times New Roman"/>
                <w:sz w:val="18"/>
                <w:szCs w:val="18"/>
              </w:rPr>
              <w:t>Le régime foncier du site d’installation et les accords signés par l’entreprise pour l’utilisation de ce site d’installation</w:t>
            </w:r>
          </w:p>
        </w:tc>
        <w:tc>
          <w:tcPr>
            <w:tcW w:w="2977" w:type="dxa"/>
            <w:tcBorders>
              <w:top w:val="single" w:sz="4" w:space="0" w:color="auto"/>
              <w:left w:val="single" w:sz="4" w:space="0" w:color="auto"/>
              <w:bottom w:val="single" w:sz="4" w:space="0" w:color="auto"/>
              <w:right w:val="single" w:sz="4" w:space="0" w:color="auto"/>
            </w:tcBorders>
          </w:tcPr>
          <w:p w:rsidR="00BF40D2" w:rsidRPr="004F7F5E" w:rsidRDefault="00BF40D2" w:rsidP="00764FFF">
            <w:pPr>
              <w:spacing w:after="0" w:line="240" w:lineRule="auto"/>
              <w:rPr>
                <w:rFonts w:ascii="Times New Roman" w:hAnsi="Times New Roman"/>
                <w:sz w:val="18"/>
                <w:szCs w:val="18"/>
              </w:rPr>
            </w:pPr>
          </w:p>
        </w:tc>
      </w:tr>
      <w:tr w:rsidR="00BF40D2" w:rsidRPr="004F7F5E" w:rsidTr="00BF40D2">
        <w:trPr>
          <w:jc w:val="center"/>
        </w:trPr>
        <w:tc>
          <w:tcPr>
            <w:tcW w:w="562" w:type="dxa"/>
            <w:vMerge/>
            <w:tcBorders>
              <w:left w:val="single" w:sz="4" w:space="0" w:color="auto"/>
              <w:right w:val="single" w:sz="4" w:space="0" w:color="auto"/>
            </w:tcBorders>
            <w:shd w:val="clear" w:color="auto" w:fill="D9E2F3" w:themeFill="accent5" w:themeFillTint="33"/>
            <w:vAlign w:val="center"/>
            <w:hideMark/>
          </w:tcPr>
          <w:p w:rsidR="00BF40D2" w:rsidRPr="004F7F5E" w:rsidRDefault="00BF40D2" w:rsidP="00BF40D2">
            <w:pPr>
              <w:spacing w:after="0" w:line="240" w:lineRule="auto"/>
              <w:jc w:val="center"/>
              <w:rPr>
                <w:sz w:val="18"/>
                <w:szCs w:val="18"/>
              </w:rPr>
            </w:pPr>
          </w:p>
        </w:tc>
        <w:tc>
          <w:tcPr>
            <w:tcW w:w="12616" w:type="dxa"/>
            <w:tcBorders>
              <w:top w:val="single" w:sz="4" w:space="0" w:color="auto"/>
              <w:left w:val="single" w:sz="4" w:space="0" w:color="auto"/>
              <w:bottom w:val="single" w:sz="4" w:space="0" w:color="auto"/>
              <w:right w:val="single" w:sz="4" w:space="0" w:color="auto"/>
            </w:tcBorders>
            <w:hideMark/>
          </w:tcPr>
          <w:p w:rsidR="00BF40D2" w:rsidRPr="004F7F5E" w:rsidRDefault="00BF40D2" w:rsidP="00764FFF">
            <w:pPr>
              <w:spacing w:after="0" w:line="240" w:lineRule="auto"/>
              <w:jc w:val="both"/>
              <w:rPr>
                <w:rFonts w:ascii="Times New Roman" w:hAnsi="Times New Roman"/>
                <w:sz w:val="18"/>
                <w:szCs w:val="18"/>
              </w:rPr>
            </w:pPr>
            <w:r w:rsidRPr="004F7F5E">
              <w:rPr>
                <w:rFonts w:ascii="Times New Roman" w:hAnsi="Times New Roman"/>
                <w:sz w:val="18"/>
                <w:szCs w:val="18"/>
              </w:rPr>
              <w:t xml:space="preserve">Approbation du plan d’installation </w:t>
            </w:r>
          </w:p>
        </w:tc>
        <w:tc>
          <w:tcPr>
            <w:tcW w:w="2977" w:type="dxa"/>
            <w:tcBorders>
              <w:top w:val="single" w:sz="4" w:space="0" w:color="auto"/>
              <w:left w:val="single" w:sz="4" w:space="0" w:color="auto"/>
              <w:bottom w:val="single" w:sz="4" w:space="0" w:color="auto"/>
              <w:right w:val="single" w:sz="4" w:space="0" w:color="auto"/>
            </w:tcBorders>
          </w:tcPr>
          <w:p w:rsidR="00BF40D2" w:rsidRPr="004F7F5E" w:rsidRDefault="00BF40D2" w:rsidP="00764FFF">
            <w:pPr>
              <w:spacing w:after="0" w:line="240" w:lineRule="auto"/>
              <w:rPr>
                <w:rFonts w:ascii="Times New Roman" w:hAnsi="Times New Roman"/>
                <w:sz w:val="18"/>
                <w:szCs w:val="18"/>
              </w:rPr>
            </w:pPr>
          </w:p>
        </w:tc>
      </w:tr>
      <w:tr w:rsidR="00BF40D2" w:rsidRPr="004F7F5E" w:rsidTr="00BF40D2">
        <w:trPr>
          <w:jc w:val="center"/>
        </w:trPr>
        <w:tc>
          <w:tcPr>
            <w:tcW w:w="562" w:type="dxa"/>
            <w:vMerge/>
            <w:tcBorders>
              <w:left w:val="single" w:sz="4" w:space="0" w:color="auto"/>
              <w:right w:val="single" w:sz="4" w:space="0" w:color="auto"/>
            </w:tcBorders>
            <w:shd w:val="clear" w:color="auto" w:fill="D9E2F3" w:themeFill="accent5" w:themeFillTint="33"/>
            <w:vAlign w:val="center"/>
            <w:hideMark/>
          </w:tcPr>
          <w:p w:rsidR="00BF40D2" w:rsidRPr="004F7F5E" w:rsidRDefault="00BF40D2" w:rsidP="00BF40D2">
            <w:pPr>
              <w:spacing w:after="0" w:line="240" w:lineRule="auto"/>
              <w:jc w:val="center"/>
              <w:rPr>
                <w:sz w:val="18"/>
                <w:szCs w:val="18"/>
              </w:rPr>
            </w:pPr>
          </w:p>
        </w:tc>
        <w:tc>
          <w:tcPr>
            <w:tcW w:w="12616" w:type="dxa"/>
            <w:tcBorders>
              <w:top w:val="single" w:sz="4" w:space="0" w:color="auto"/>
              <w:left w:val="single" w:sz="4" w:space="0" w:color="auto"/>
              <w:bottom w:val="single" w:sz="4" w:space="0" w:color="auto"/>
              <w:right w:val="single" w:sz="4" w:space="0" w:color="auto"/>
            </w:tcBorders>
            <w:hideMark/>
          </w:tcPr>
          <w:p w:rsidR="00BF40D2" w:rsidRPr="004F7F5E" w:rsidRDefault="00BF40D2" w:rsidP="00764FFF">
            <w:pPr>
              <w:spacing w:after="0" w:line="240" w:lineRule="auto"/>
              <w:jc w:val="both"/>
              <w:rPr>
                <w:rFonts w:ascii="Times New Roman" w:hAnsi="Times New Roman"/>
                <w:sz w:val="18"/>
                <w:szCs w:val="18"/>
              </w:rPr>
            </w:pPr>
            <w:r w:rsidRPr="004F7F5E">
              <w:rPr>
                <w:rFonts w:ascii="Times New Roman" w:hAnsi="Times New Roman"/>
                <w:sz w:val="18"/>
                <w:szCs w:val="18"/>
              </w:rPr>
              <w:t>Prise de contact de l’entreprise avec les autorités locales, les riverains et les représentants des populations</w:t>
            </w:r>
          </w:p>
        </w:tc>
        <w:tc>
          <w:tcPr>
            <w:tcW w:w="2977" w:type="dxa"/>
            <w:tcBorders>
              <w:top w:val="single" w:sz="4" w:space="0" w:color="auto"/>
              <w:left w:val="single" w:sz="4" w:space="0" w:color="auto"/>
              <w:bottom w:val="single" w:sz="4" w:space="0" w:color="auto"/>
              <w:right w:val="single" w:sz="4" w:space="0" w:color="auto"/>
            </w:tcBorders>
          </w:tcPr>
          <w:p w:rsidR="00BF40D2" w:rsidRPr="004F7F5E" w:rsidRDefault="00BF40D2" w:rsidP="00764FFF">
            <w:pPr>
              <w:spacing w:after="0" w:line="240" w:lineRule="auto"/>
              <w:rPr>
                <w:rFonts w:ascii="Times New Roman" w:hAnsi="Times New Roman"/>
                <w:sz w:val="18"/>
                <w:szCs w:val="18"/>
              </w:rPr>
            </w:pPr>
          </w:p>
        </w:tc>
      </w:tr>
      <w:tr w:rsidR="00BF40D2" w:rsidRPr="004F7F5E" w:rsidTr="00BF40D2">
        <w:trPr>
          <w:jc w:val="center"/>
        </w:trPr>
        <w:tc>
          <w:tcPr>
            <w:tcW w:w="562" w:type="dxa"/>
            <w:vMerge/>
            <w:tcBorders>
              <w:left w:val="single" w:sz="4" w:space="0" w:color="auto"/>
              <w:right w:val="single" w:sz="4" w:space="0" w:color="auto"/>
            </w:tcBorders>
            <w:shd w:val="clear" w:color="auto" w:fill="D9E2F3" w:themeFill="accent5" w:themeFillTint="33"/>
            <w:vAlign w:val="center"/>
            <w:hideMark/>
          </w:tcPr>
          <w:p w:rsidR="00BF40D2" w:rsidRPr="004F7F5E" w:rsidRDefault="00BF40D2" w:rsidP="00BF40D2">
            <w:pPr>
              <w:spacing w:after="0" w:line="240" w:lineRule="auto"/>
              <w:jc w:val="center"/>
              <w:rPr>
                <w:sz w:val="18"/>
                <w:szCs w:val="18"/>
              </w:rPr>
            </w:pPr>
          </w:p>
        </w:tc>
        <w:tc>
          <w:tcPr>
            <w:tcW w:w="12616" w:type="dxa"/>
            <w:tcBorders>
              <w:top w:val="single" w:sz="4" w:space="0" w:color="auto"/>
              <w:left w:val="single" w:sz="4" w:space="0" w:color="auto"/>
              <w:bottom w:val="single" w:sz="4" w:space="0" w:color="auto"/>
              <w:right w:val="single" w:sz="4" w:space="0" w:color="auto"/>
            </w:tcBorders>
            <w:hideMark/>
          </w:tcPr>
          <w:p w:rsidR="00BF40D2" w:rsidRPr="004F7F5E" w:rsidRDefault="00BF40D2" w:rsidP="00764FFF">
            <w:pPr>
              <w:spacing w:after="0" w:line="240" w:lineRule="auto"/>
              <w:jc w:val="both"/>
              <w:rPr>
                <w:rFonts w:ascii="Times New Roman" w:hAnsi="Times New Roman"/>
                <w:sz w:val="18"/>
                <w:szCs w:val="18"/>
              </w:rPr>
            </w:pPr>
            <w:r w:rsidRPr="004F7F5E">
              <w:rPr>
                <w:rFonts w:ascii="Times New Roman" w:hAnsi="Times New Roman"/>
                <w:sz w:val="18"/>
                <w:szCs w:val="18"/>
              </w:rPr>
              <w:t>Certificat de conformité environnementale</w:t>
            </w:r>
          </w:p>
        </w:tc>
        <w:tc>
          <w:tcPr>
            <w:tcW w:w="2977" w:type="dxa"/>
            <w:tcBorders>
              <w:top w:val="single" w:sz="4" w:space="0" w:color="auto"/>
              <w:left w:val="single" w:sz="4" w:space="0" w:color="auto"/>
              <w:bottom w:val="single" w:sz="4" w:space="0" w:color="auto"/>
              <w:right w:val="single" w:sz="4" w:space="0" w:color="auto"/>
            </w:tcBorders>
          </w:tcPr>
          <w:p w:rsidR="00BF40D2" w:rsidRPr="004F7F5E" w:rsidRDefault="00BF40D2" w:rsidP="00764FFF">
            <w:pPr>
              <w:spacing w:after="0" w:line="240" w:lineRule="auto"/>
              <w:rPr>
                <w:rFonts w:ascii="Times New Roman" w:hAnsi="Times New Roman"/>
                <w:sz w:val="18"/>
                <w:szCs w:val="18"/>
              </w:rPr>
            </w:pPr>
          </w:p>
        </w:tc>
      </w:tr>
      <w:tr w:rsidR="00BF40D2" w:rsidRPr="004F7F5E" w:rsidTr="00BF40D2">
        <w:trPr>
          <w:jc w:val="center"/>
        </w:trPr>
        <w:tc>
          <w:tcPr>
            <w:tcW w:w="562" w:type="dxa"/>
            <w:vMerge/>
            <w:tcBorders>
              <w:left w:val="single" w:sz="4" w:space="0" w:color="auto"/>
              <w:right w:val="single" w:sz="4" w:space="0" w:color="auto"/>
            </w:tcBorders>
            <w:shd w:val="clear" w:color="auto" w:fill="D9E2F3" w:themeFill="accent5" w:themeFillTint="33"/>
            <w:vAlign w:val="center"/>
            <w:hideMark/>
          </w:tcPr>
          <w:p w:rsidR="00BF40D2" w:rsidRPr="004F7F5E" w:rsidRDefault="00BF40D2" w:rsidP="00BF40D2">
            <w:pPr>
              <w:spacing w:after="0" w:line="240" w:lineRule="auto"/>
              <w:jc w:val="center"/>
              <w:rPr>
                <w:sz w:val="18"/>
                <w:szCs w:val="18"/>
              </w:rPr>
            </w:pPr>
          </w:p>
        </w:tc>
        <w:tc>
          <w:tcPr>
            <w:tcW w:w="12616" w:type="dxa"/>
            <w:tcBorders>
              <w:top w:val="single" w:sz="4" w:space="0" w:color="auto"/>
              <w:left w:val="single" w:sz="4" w:space="0" w:color="auto"/>
              <w:bottom w:val="single" w:sz="4" w:space="0" w:color="auto"/>
              <w:right w:val="single" w:sz="4" w:space="0" w:color="auto"/>
            </w:tcBorders>
            <w:hideMark/>
          </w:tcPr>
          <w:p w:rsidR="00BF40D2" w:rsidRPr="004F7F5E" w:rsidRDefault="00BF40D2" w:rsidP="00764FFF">
            <w:pPr>
              <w:spacing w:after="0" w:line="240" w:lineRule="auto"/>
              <w:jc w:val="both"/>
              <w:rPr>
                <w:rFonts w:ascii="Times New Roman" w:hAnsi="Times New Roman"/>
                <w:sz w:val="18"/>
                <w:szCs w:val="18"/>
              </w:rPr>
            </w:pPr>
            <w:r w:rsidRPr="004F7F5E">
              <w:rPr>
                <w:rFonts w:ascii="Times New Roman" w:hAnsi="Times New Roman"/>
                <w:sz w:val="18"/>
                <w:szCs w:val="18"/>
              </w:rPr>
              <w:t xml:space="preserve">Obtention des autorisations nécessaires </w:t>
            </w:r>
          </w:p>
        </w:tc>
        <w:tc>
          <w:tcPr>
            <w:tcW w:w="2977" w:type="dxa"/>
            <w:tcBorders>
              <w:top w:val="single" w:sz="4" w:space="0" w:color="auto"/>
              <w:left w:val="single" w:sz="4" w:space="0" w:color="auto"/>
              <w:bottom w:val="single" w:sz="4" w:space="0" w:color="auto"/>
              <w:right w:val="single" w:sz="4" w:space="0" w:color="auto"/>
            </w:tcBorders>
          </w:tcPr>
          <w:p w:rsidR="00BF40D2" w:rsidRPr="004F7F5E" w:rsidRDefault="00BF40D2" w:rsidP="00764FFF">
            <w:pPr>
              <w:spacing w:after="0" w:line="240" w:lineRule="auto"/>
              <w:rPr>
                <w:rFonts w:ascii="Times New Roman" w:hAnsi="Times New Roman"/>
                <w:sz w:val="18"/>
                <w:szCs w:val="18"/>
              </w:rPr>
            </w:pPr>
          </w:p>
        </w:tc>
      </w:tr>
      <w:tr w:rsidR="00BF40D2" w:rsidRPr="004F7F5E" w:rsidTr="00BF40D2">
        <w:trPr>
          <w:jc w:val="center"/>
        </w:trPr>
        <w:tc>
          <w:tcPr>
            <w:tcW w:w="562" w:type="dxa"/>
            <w:vMerge/>
            <w:tcBorders>
              <w:left w:val="single" w:sz="4" w:space="0" w:color="auto"/>
              <w:bottom w:val="single" w:sz="4" w:space="0" w:color="auto"/>
              <w:right w:val="single" w:sz="4" w:space="0" w:color="auto"/>
            </w:tcBorders>
            <w:shd w:val="clear" w:color="auto" w:fill="D9E2F3" w:themeFill="accent5" w:themeFillTint="33"/>
            <w:vAlign w:val="center"/>
            <w:hideMark/>
          </w:tcPr>
          <w:p w:rsidR="00BF40D2" w:rsidRPr="004F7F5E" w:rsidRDefault="00BF40D2" w:rsidP="00BF40D2">
            <w:pPr>
              <w:spacing w:after="0" w:line="240" w:lineRule="auto"/>
              <w:jc w:val="center"/>
              <w:rPr>
                <w:sz w:val="18"/>
                <w:szCs w:val="18"/>
              </w:rPr>
            </w:pPr>
          </w:p>
        </w:tc>
        <w:tc>
          <w:tcPr>
            <w:tcW w:w="12616" w:type="dxa"/>
            <w:tcBorders>
              <w:top w:val="single" w:sz="4" w:space="0" w:color="auto"/>
              <w:left w:val="single" w:sz="4" w:space="0" w:color="auto"/>
              <w:bottom w:val="single" w:sz="4" w:space="0" w:color="auto"/>
              <w:right w:val="single" w:sz="4" w:space="0" w:color="auto"/>
            </w:tcBorders>
            <w:hideMark/>
          </w:tcPr>
          <w:p w:rsidR="00BF40D2" w:rsidRPr="004F7F5E" w:rsidRDefault="00BF40D2" w:rsidP="00764FFF">
            <w:pPr>
              <w:tabs>
                <w:tab w:val="left" w:pos="708"/>
                <w:tab w:val="center" w:pos="4536"/>
                <w:tab w:val="right" w:pos="9072"/>
              </w:tabs>
              <w:spacing w:after="0" w:line="276" w:lineRule="auto"/>
              <w:jc w:val="both"/>
              <w:rPr>
                <w:rFonts w:ascii="Times New Roman" w:hAnsi="Times New Roman"/>
                <w:sz w:val="18"/>
                <w:szCs w:val="18"/>
              </w:rPr>
            </w:pPr>
            <w:r w:rsidRPr="004F7F5E">
              <w:rPr>
                <w:rFonts w:ascii="Times New Roman" w:hAnsi="Times New Roman"/>
                <w:sz w:val="18"/>
                <w:szCs w:val="18"/>
              </w:rPr>
              <w:t>Effectivité des indemnisations et satisfaction des populations affectées.</w:t>
            </w:r>
          </w:p>
        </w:tc>
        <w:tc>
          <w:tcPr>
            <w:tcW w:w="2977" w:type="dxa"/>
            <w:tcBorders>
              <w:top w:val="single" w:sz="4" w:space="0" w:color="auto"/>
              <w:left w:val="single" w:sz="4" w:space="0" w:color="auto"/>
              <w:bottom w:val="single" w:sz="4" w:space="0" w:color="auto"/>
              <w:right w:val="single" w:sz="4" w:space="0" w:color="auto"/>
            </w:tcBorders>
          </w:tcPr>
          <w:p w:rsidR="00BF40D2" w:rsidRPr="004F7F5E" w:rsidRDefault="00BF40D2" w:rsidP="00764FFF">
            <w:pPr>
              <w:spacing w:after="0" w:line="240" w:lineRule="auto"/>
              <w:rPr>
                <w:rFonts w:ascii="Times New Roman" w:hAnsi="Times New Roman"/>
                <w:sz w:val="18"/>
                <w:szCs w:val="18"/>
              </w:rPr>
            </w:pPr>
          </w:p>
        </w:tc>
      </w:tr>
      <w:tr w:rsidR="00BF40D2" w:rsidRPr="004F7F5E" w:rsidTr="004F7F5E">
        <w:trPr>
          <w:trHeight w:val="92"/>
          <w:jc w:val="center"/>
        </w:trPr>
        <w:tc>
          <w:tcPr>
            <w:tcW w:w="562" w:type="dxa"/>
            <w:vMerge w:val="restart"/>
            <w:tcBorders>
              <w:top w:val="single" w:sz="4" w:space="0" w:color="auto"/>
              <w:left w:val="single" w:sz="4" w:space="0" w:color="auto"/>
              <w:right w:val="single" w:sz="4" w:space="0" w:color="auto"/>
            </w:tcBorders>
            <w:shd w:val="clear" w:color="auto" w:fill="C5E0B3" w:themeFill="accent6" w:themeFillTint="66"/>
            <w:vAlign w:val="center"/>
            <w:hideMark/>
          </w:tcPr>
          <w:p w:rsidR="00BF40D2" w:rsidRPr="004F7F5E" w:rsidRDefault="00BF40D2" w:rsidP="00BF40D2">
            <w:pPr>
              <w:spacing w:after="0" w:line="240" w:lineRule="auto"/>
              <w:jc w:val="center"/>
              <w:rPr>
                <w:rFonts w:ascii="Times New Roman" w:hAnsi="Times New Roman"/>
                <w:b/>
                <w:sz w:val="18"/>
                <w:szCs w:val="18"/>
              </w:rPr>
            </w:pPr>
            <w:r w:rsidRPr="004F7F5E">
              <w:rPr>
                <w:rFonts w:ascii="Times New Roman" w:hAnsi="Times New Roman"/>
                <w:b/>
                <w:sz w:val="18"/>
                <w:szCs w:val="18"/>
              </w:rPr>
              <w:t>02</w:t>
            </w:r>
          </w:p>
        </w:tc>
        <w:tc>
          <w:tcPr>
            <w:tcW w:w="15593" w:type="dxa"/>
            <w:gridSpan w:val="2"/>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hideMark/>
          </w:tcPr>
          <w:p w:rsidR="00BF40D2" w:rsidRPr="004F7F5E" w:rsidRDefault="00BF40D2" w:rsidP="00BF40D2">
            <w:pPr>
              <w:spacing w:after="0" w:line="240" w:lineRule="auto"/>
              <w:jc w:val="center"/>
              <w:rPr>
                <w:rFonts w:ascii="Times New Roman" w:hAnsi="Times New Roman"/>
                <w:sz w:val="18"/>
                <w:szCs w:val="18"/>
              </w:rPr>
            </w:pPr>
            <w:r w:rsidRPr="004F7F5E">
              <w:rPr>
                <w:rFonts w:ascii="Times New Roman" w:hAnsi="Times New Roman"/>
                <w:b/>
                <w:sz w:val="18"/>
                <w:szCs w:val="18"/>
              </w:rPr>
              <w:t>Phase travaux surveillance</w:t>
            </w:r>
          </w:p>
        </w:tc>
      </w:tr>
      <w:tr w:rsidR="00BF40D2" w:rsidRPr="004F7F5E" w:rsidTr="00BF40D2">
        <w:trPr>
          <w:jc w:val="center"/>
        </w:trPr>
        <w:tc>
          <w:tcPr>
            <w:tcW w:w="562" w:type="dxa"/>
            <w:vMerge/>
            <w:tcBorders>
              <w:left w:val="single" w:sz="4" w:space="0" w:color="auto"/>
              <w:right w:val="single" w:sz="4" w:space="0" w:color="auto"/>
            </w:tcBorders>
            <w:shd w:val="clear" w:color="auto" w:fill="D9E2F3" w:themeFill="accent5" w:themeFillTint="33"/>
            <w:vAlign w:val="center"/>
            <w:hideMark/>
          </w:tcPr>
          <w:p w:rsidR="00BF40D2" w:rsidRPr="004F7F5E" w:rsidRDefault="00BF40D2" w:rsidP="00BF40D2">
            <w:pPr>
              <w:spacing w:after="0" w:line="276" w:lineRule="auto"/>
              <w:jc w:val="center"/>
              <w:rPr>
                <w:sz w:val="18"/>
                <w:szCs w:val="18"/>
              </w:rPr>
            </w:pPr>
          </w:p>
        </w:tc>
        <w:tc>
          <w:tcPr>
            <w:tcW w:w="12616" w:type="dxa"/>
            <w:tcBorders>
              <w:top w:val="single" w:sz="4" w:space="0" w:color="auto"/>
              <w:left w:val="single" w:sz="4" w:space="0" w:color="auto"/>
              <w:bottom w:val="single" w:sz="4" w:space="0" w:color="auto"/>
              <w:right w:val="single" w:sz="4" w:space="0" w:color="auto"/>
            </w:tcBorders>
            <w:hideMark/>
          </w:tcPr>
          <w:p w:rsidR="00BF40D2" w:rsidRPr="004F7F5E" w:rsidRDefault="00BF40D2" w:rsidP="00764FFF">
            <w:pPr>
              <w:spacing w:after="0" w:line="240" w:lineRule="auto"/>
              <w:jc w:val="both"/>
              <w:rPr>
                <w:rFonts w:ascii="Times New Roman" w:hAnsi="Times New Roman"/>
                <w:sz w:val="18"/>
                <w:szCs w:val="18"/>
              </w:rPr>
            </w:pPr>
            <w:r w:rsidRPr="004F7F5E">
              <w:rPr>
                <w:rFonts w:ascii="Times New Roman" w:hAnsi="Times New Roman"/>
                <w:sz w:val="18"/>
                <w:szCs w:val="18"/>
              </w:rPr>
              <w:t>Nombre de masques anti-poussière (de qualité) effectivement utilisés sur le chantier par les ouvriers.</w:t>
            </w:r>
          </w:p>
        </w:tc>
        <w:tc>
          <w:tcPr>
            <w:tcW w:w="2977" w:type="dxa"/>
            <w:tcBorders>
              <w:top w:val="single" w:sz="4" w:space="0" w:color="auto"/>
              <w:left w:val="single" w:sz="4" w:space="0" w:color="auto"/>
              <w:bottom w:val="single" w:sz="4" w:space="0" w:color="auto"/>
              <w:right w:val="single" w:sz="4" w:space="0" w:color="auto"/>
            </w:tcBorders>
          </w:tcPr>
          <w:p w:rsidR="00BF40D2" w:rsidRPr="004F7F5E" w:rsidRDefault="00BF40D2" w:rsidP="00764FFF">
            <w:pPr>
              <w:spacing w:after="0" w:line="240" w:lineRule="auto"/>
              <w:rPr>
                <w:rFonts w:ascii="Times New Roman" w:hAnsi="Times New Roman"/>
                <w:sz w:val="18"/>
                <w:szCs w:val="18"/>
              </w:rPr>
            </w:pPr>
          </w:p>
        </w:tc>
      </w:tr>
      <w:tr w:rsidR="00BF40D2" w:rsidRPr="004F7F5E" w:rsidTr="00BF40D2">
        <w:trPr>
          <w:jc w:val="center"/>
        </w:trPr>
        <w:tc>
          <w:tcPr>
            <w:tcW w:w="562" w:type="dxa"/>
            <w:vMerge/>
            <w:tcBorders>
              <w:left w:val="single" w:sz="4" w:space="0" w:color="auto"/>
              <w:right w:val="single" w:sz="4" w:space="0" w:color="auto"/>
            </w:tcBorders>
            <w:shd w:val="clear" w:color="auto" w:fill="D9E2F3" w:themeFill="accent5" w:themeFillTint="33"/>
            <w:vAlign w:val="center"/>
            <w:hideMark/>
          </w:tcPr>
          <w:p w:rsidR="00BF40D2" w:rsidRPr="004F7F5E" w:rsidRDefault="00BF40D2" w:rsidP="00BF40D2">
            <w:pPr>
              <w:spacing w:after="0" w:line="240" w:lineRule="auto"/>
              <w:jc w:val="center"/>
              <w:rPr>
                <w:sz w:val="18"/>
                <w:szCs w:val="18"/>
              </w:rPr>
            </w:pPr>
          </w:p>
        </w:tc>
        <w:tc>
          <w:tcPr>
            <w:tcW w:w="12616" w:type="dxa"/>
            <w:tcBorders>
              <w:top w:val="single" w:sz="4" w:space="0" w:color="auto"/>
              <w:left w:val="single" w:sz="4" w:space="0" w:color="auto"/>
              <w:bottom w:val="single" w:sz="4" w:space="0" w:color="auto"/>
              <w:right w:val="single" w:sz="4" w:space="0" w:color="auto"/>
            </w:tcBorders>
            <w:hideMark/>
          </w:tcPr>
          <w:p w:rsidR="00BF40D2" w:rsidRPr="004F7F5E" w:rsidRDefault="00BF40D2" w:rsidP="00764FFF">
            <w:pPr>
              <w:spacing w:after="0" w:line="240" w:lineRule="auto"/>
              <w:jc w:val="both"/>
              <w:rPr>
                <w:rFonts w:ascii="Times New Roman" w:hAnsi="Times New Roman"/>
                <w:sz w:val="18"/>
                <w:szCs w:val="18"/>
              </w:rPr>
            </w:pPr>
            <w:r w:rsidRPr="004F7F5E">
              <w:rPr>
                <w:rFonts w:ascii="Times New Roman" w:hAnsi="Times New Roman"/>
                <w:sz w:val="18"/>
                <w:szCs w:val="18"/>
              </w:rPr>
              <w:t>Nombre de camions de transport de matériaux (latérite et sable) effectivement bâchés.</w:t>
            </w:r>
          </w:p>
        </w:tc>
        <w:tc>
          <w:tcPr>
            <w:tcW w:w="2977" w:type="dxa"/>
            <w:tcBorders>
              <w:top w:val="single" w:sz="4" w:space="0" w:color="auto"/>
              <w:left w:val="single" w:sz="4" w:space="0" w:color="auto"/>
              <w:bottom w:val="single" w:sz="4" w:space="0" w:color="auto"/>
              <w:right w:val="single" w:sz="4" w:space="0" w:color="auto"/>
            </w:tcBorders>
          </w:tcPr>
          <w:p w:rsidR="00BF40D2" w:rsidRPr="004F7F5E" w:rsidRDefault="00BF40D2" w:rsidP="00764FFF">
            <w:pPr>
              <w:spacing w:after="0" w:line="240" w:lineRule="auto"/>
              <w:rPr>
                <w:rFonts w:ascii="Times New Roman" w:hAnsi="Times New Roman"/>
                <w:sz w:val="18"/>
                <w:szCs w:val="18"/>
              </w:rPr>
            </w:pPr>
          </w:p>
        </w:tc>
      </w:tr>
      <w:tr w:rsidR="00BF40D2" w:rsidRPr="004F7F5E" w:rsidTr="00BF40D2">
        <w:trPr>
          <w:jc w:val="center"/>
        </w:trPr>
        <w:tc>
          <w:tcPr>
            <w:tcW w:w="562" w:type="dxa"/>
            <w:vMerge/>
            <w:tcBorders>
              <w:left w:val="single" w:sz="4" w:space="0" w:color="auto"/>
              <w:right w:val="single" w:sz="4" w:space="0" w:color="auto"/>
            </w:tcBorders>
            <w:shd w:val="clear" w:color="auto" w:fill="D9E2F3" w:themeFill="accent5" w:themeFillTint="33"/>
            <w:vAlign w:val="center"/>
            <w:hideMark/>
          </w:tcPr>
          <w:p w:rsidR="00BF40D2" w:rsidRPr="004F7F5E" w:rsidRDefault="00BF40D2" w:rsidP="00BF40D2">
            <w:pPr>
              <w:spacing w:after="0" w:line="240" w:lineRule="auto"/>
              <w:jc w:val="center"/>
              <w:rPr>
                <w:sz w:val="18"/>
                <w:szCs w:val="18"/>
              </w:rPr>
            </w:pPr>
          </w:p>
        </w:tc>
        <w:tc>
          <w:tcPr>
            <w:tcW w:w="12616" w:type="dxa"/>
            <w:tcBorders>
              <w:top w:val="single" w:sz="4" w:space="0" w:color="auto"/>
              <w:left w:val="single" w:sz="4" w:space="0" w:color="auto"/>
              <w:bottom w:val="single" w:sz="4" w:space="0" w:color="auto"/>
              <w:right w:val="single" w:sz="4" w:space="0" w:color="auto"/>
            </w:tcBorders>
            <w:hideMark/>
          </w:tcPr>
          <w:p w:rsidR="00BF40D2" w:rsidRPr="004F7F5E" w:rsidRDefault="00BF40D2" w:rsidP="00764FFF">
            <w:pPr>
              <w:spacing w:after="0" w:line="240" w:lineRule="auto"/>
              <w:jc w:val="both"/>
              <w:rPr>
                <w:rFonts w:ascii="Times New Roman" w:hAnsi="Times New Roman"/>
                <w:sz w:val="18"/>
                <w:szCs w:val="18"/>
              </w:rPr>
            </w:pPr>
            <w:r w:rsidRPr="004F7F5E">
              <w:rPr>
                <w:rFonts w:ascii="Times New Roman" w:hAnsi="Times New Roman"/>
                <w:sz w:val="18"/>
                <w:szCs w:val="18"/>
              </w:rPr>
              <w:t>Combien de récipients étanches pour le stockage des huiles usagées et autres produits liquides (solvants, bitume) susceptibles de cont</w:t>
            </w:r>
            <w:r w:rsidR="004F7F5E" w:rsidRPr="004F7F5E">
              <w:rPr>
                <w:rFonts w:ascii="Times New Roman" w:hAnsi="Times New Roman"/>
                <w:sz w:val="18"/>
                <w:szCs w:val="18"/>
              </w:rPr>
              <w:t xml:space="preserve">aminer le sol sont mis </w:t>
            </w:r>
          </w:p>
        </w:tc>
        <w:tc>
          <w:tcPr>
            <w:tcW w:w="2977" w:type="dxa"/>
            <w:tcBorders>
              <w:top w:val="single" w:sz="4" w:space="0" w:color="auto"/>
              <w:left w:val="single" w:sz="4" w:space="0" w:color="auto"/>
              <w:bottom w:val="single" w:sz="4" w:space="0" w:color="auto"/>
              <w:right w:val="single" w:sz="4" w:space="0" w:color="auto"/>
            </w:tcBorders>
          </w:tcPr>
          <w:p w:rsidR="00BF40D2" w:rsidRPr="004F7F5E" w:rsidRDefault="00BF40D2" w:rsidP="00764FFF">
            <w:pPr>
              <w:spacing w:after="0" w:line="240" w:lineRule="auto"/>
              <w:rPr>
                <w:rFonts w:ascii="Times New Roman" w:hAnsi="Times New Roman"/>
                <w:sz w:val="18"/>
                <w:szCs w:val="18"/>
              </w:rPr>
            </w:pPr>
          </w:p>
        </w:tc>
      </w:tr>
      <w:tr w:rsidR="00BF40D2" w:rsidRPr="004F7F5E" w:rsidTr="00BF40D2">
        <w:trPr>
          <w:jc w:val="center"/>
        </w:trPr>
        <w:tc>
          <w:tcPr>
            <w:tcW w:w="562" w:type="dxa"/>
            <w:vMerge/>
            <w:tcBorders>
              <w:left w:val="single" w:sz="4" w:space="0" w:color="auto"/>
              <w:right w:val="single" w:sz="4" w:space="0" w:color="auto"/>
            </w:tcBorders>
            <w:shd w:val="clear" w:color="auto" w:fill="D9E2F3" w:themeFill="accent5" w:themeFillTint="33"/>
            <w:vAlign w:val="center"/>
            <w:hideMark/>
          </w:tcPr>
          <w:p w:rsidR="00BF40D2" w:rsidRPr="004F7F5E" w:rsidRDefault="00BF40D2" w:rsidP="00BF40D2">
            <w:pPr>
              <w:spacing w:after="0" w:line="240" w:lineRule="auto"/>
              <w:jc w:val="center"/>
              <w:rPr>
                <w:sz w:val="18"/>
                <w:szCs w:val="18"/>
              </w:rPr>
            </w:pPr>
          </w:p>
        </w:tc>
        <w:tc>
          <w:tcPr>
            <w:tcW w:w="12616" w:type="dxa"/>
            <w:tcBorders>
              <w:top w:val="single" w:sz="4" w:space="0" w:color="auto"/>
              <w:left w:val="single" w:sz="4" w:space="0" w:color="auto"/>
              <w:bottom w:val="single" w:sz="4" w:space="0" w:color="auto"/>
              <w:right w:val="single" w:sz="4" w:space="0" w:color="auto"/>
            </w:tcBorders>
            <w:hideMark/>
          </w:tcPr>
          <w:p w:rsidR="00BF40D2" w:rsidRPr="004F7F5E" w:rsidRDefault="00BF40D2" w:rsidP="00764FFF">
            <w:pPr>
              <w:spacing w:after="0" w:line="240" w:lineRule="auto"/>
              <w:jc w:val="both"/>
              <w:rPr>
                <w:rFonts w:ascii="Times New Roman" w:hAnsi="Times New Roman"/>
                <w:sz w:val="18"/>
                <w:szCs w:val="18"/>
              </w:rPr>
            </w:pPr>
            <w:r w:rsidRPr="004F7F5E">
              <w:rPr>
                <w:rFonts w:ascii="Times New Roman" w:hAnsi="Times New Roman"/>
                <w:sz w:val="18"/>
                <w:szCs w:val="18"/>
              </w:rPr>
              <w:t>Existence d’une aire bétonnée pour stocker provisoirement les fûts d’huiles usées.</w:t>
            </w:r>
          </w:p>
        </w:tc>
        <w:tc>
          <w:tcPr>
            <w:tcW w:w="2977" w:type="dxa"/>
            <w:tcBorders>
              <w:top w:val="single" w:sz="4" w:space="0" w:color="auto"/>
              <w:left w:val="single" w:sz="4" w:space="0" w:color="auto"/>
              <w:bottom w:val="single" w:sz="4" w:space="0" w:color="auto"/>
              <w:right w:val="single" w:sz="4" w:space="0" w:color="auto"/>
            </w:tcBorders>
          </w:tcPr>
          <w:p w:rsidR="00BF40D2" w:rsidRPr="004F7F5E" w:rsidRDefault="00BF40D2" w:rsidP="00764FFF">
            <w:pPr>
              <w:spacing w:after="0" w:line="240" w:lineRule="auto"/>
              <w:rPr>
                <w:rFonts w:ascii="Times New Roman" w:hAnsi="Times New Roman"/>
                <w:sz w:val="18"/>
                <w:szCs w:val="18"/>
              </w:rPr>
            </w:pPr>
          </w:p>
        </w:tc>
      </w:tr>
      <w:tr w:rsidR="00BF40D2" w:rsidRPr="004F7F5E" w:rsidTr="00BF40D2">
        <w:trPr>
          <w:jc w:val="center"/>
        </w:trPr>
        <w:tc>
          <w:tcPr>
            <w:tcW w:w="562" w:type="dxa"/>
            <w:vMerge/>
            <w:tcBorders>
              <w:left w:val="single" w:sz="4" w:space="0" w:color="auto"/>
              <w:right w:val="single" w:sz="4" w:space="0" w:color="auto"/>
            </w:tcBorders>
            <w:shd w:val="clear" w:color="auto" w:fill="D9E2F3" w:themeFill="accent5" w:themeFillTint="33"/>
            <w:vAlign w:val="center"/>
            <w:hideMark/>
          </w:tcPr>
          <w:p w:rsidR="00BF40D2" w:rsidRPr="004F7F5E" w:rsidRDefault="00BF40D2" w:rsidP="00BF40D2">
            <w:pPr>
              <w:spacing w:after="0" w:line="240" w:lineRule="auto"/>
              <w:jc w:val="center"/>
              <w:rPr>
                <w:sz w:val="18"/>
                <w:szCs w:val="18"/>
              </w:rPr>
            </w:pPr>
          </w:p>
        </w:tc>
        <w:tc>
          <w:tcPr>
            <w:tcW w:w="12616" w:type="dxa"/>
            <w:tcBorders>
              <w:top w:val="single" w:sz="4" w:space="0" w:color="auto"/>
              <w:left w:val="single" w:sz="4" w:space="0" w:color="auto"/>
              <w:bottom w:val="single" w:sz="4" w:space="0" w:color="auto"/>
              <w:right w:val="single" w:sz="4" w:space="0" w:color="auto"/>
            </w:tcBorders>
            <w:hideMark/>
          </w:tcPr>
          <w:p w:rsidR="00BF40D2" w:rsidRPr="004F7F5E" w:rsidRDefault="00BF40D2" w:rsidP="00764FFF">
            <w:pPr>
              <w:spacing w:after="0" w:line="240" w:lineRule="auto"/>
              <w:jc w:val="both"/>
              <w:rPr>
                <w:rFonts w:ascii="Times New Roman" w:hAnsi="Times New Roman"/>
                <w:sz w:val="18"/>
                <w:szCs w:val="18"/>
              </w:rPr>
            </w:pPr>
            <w:r w:rsidRPr="004F7F5E">
              <w:rPr>
                <w:rFonts w:ascii="Times New Roman" w:hAnsi="Times New Roman"/>
                <w:sz w:val="18"/>
                <w:szCs w:val="18"/>
              </w:rPr>
              <w:t>Quantité d’huiles effectivement reprises par les fournisseurs ou des sous-traitants.</w:t>
            </w:r>
          </w:p>
        </w:tc>
        <w:tc>
          <w:tcPr>
            <w:tcW w:w="2977" w:type="dxa"/>
            <w:tcBorders>
              <w:top w:val="single" w:sz="4" w:space="0" w:color="auto"/>
              <w:left w:val="single" w:sz="4" w:space="0" w:color="auto"/>
              <w:bottom w:val="single" w:sz="4" w:space="0" w:color="auto"/>
              <w:right w:val="single" w:sz="4" w:space="0" w:color="auto"/>
            </w:tcBorders>
          </w:tcPr>
          <w:p w:rsidR="00BF40D2" w:rsidRPr="004F7F5E" w:rsidRDefault="00BF40D2" w:rsidP="00764FFF">
            <w:pPr>
              <w:spacing w:after="0" w:line="240" w:lineRule="auto"/>
              <w:rPr>
                <w:rFonts w:ascii="Times New Roman" w:hAnsi="Times New Roman"/>
                <w:sz w:val="18"/>
                <w:szCs w:val="18"/>
              </w:rPr>
            </w:pPr>
          </w:p>
        </w:tc>
      </w:tr>
      <w:tr w:rsidR="00BF40D2" w:rsidRPr="004F7F5E" w:rsidTr="00BF40D2">
        <w:trPr>
          <w:jc w:val="center"/>
        </w:trPr>
        <w:tc>
          <w:tcPr>
            <w:tcW w:w="562" w:type="dxa"/>
            <w:vMerge/>
            <w:tcBorders>
              <w:left w:val="single" w:sz="4" w:space="0" w:color="auto"/>
              <w:right w:val="single" w:sz="4" w:space="0" w:color="auto"/>
            </w:tcBorders>
            <w:shd w:val="clear" w:color="auto" w:fill="D9E2F3" w:themeFill="accent5" w:themeFillTint="33"/>
            <w:vAlign w:val="center"/>
            <w:hideMark/>
          </w:tcPr>
          <w:p w:rsidR="00BF40D2" w:rsidRPr="004F7F5E" w:rsidRDefault="00BF40D2" w:rsidP="00BF40D2">
            <w:pPr>
              <w:spacing w:after="0" w:line="240" w:lineRule="auto"/>
              <w:jc w:val="center"/>
              <w:rPr>
                <w:sz w:val="18"/>
                <w:szCs w:val="18"/>
              </w:rPr>
            </w:pPr>
          </w:p>
        </w:tc>
        <w:tc>
          <w:tcPr>
            <w:tcW w:w="12616" w:type="dxa"/>
            <w:tcBorders>
              <w:top w:val="single" w:sz="4" w:space="0" w:color="auto"/>
              <w:left w:val="single" w:sz="4" w:space="0" w:color="auto"/>
              <w:bottom w:val="single" w:sz="4" w:space="0" w:color="auto"/>
              <w:right w:val="single" w:sz="4" w:space="0" w:color="auto"/>
            </w:tcBorders>
            <w:hideMark/>
          </w:tcPr>
          <w:p w:rsidR="00BF40D2" w:rsidRPr="004F7F5E" w:rsidRDefault="00BF40D2" w:rsidP="00764FFF">
            <w:pPr>
              <w:spacing w:after="0" w:line="240" w:lineRule="auto"/>
              <w:jc w:val="both"/>
              <w:rPr>
                <w:rFonts w:ascii="Times New Roman" w:hAnsi="Times New Roman"/>
                <w:sz w:val="18"/>
                <w:szCs w:val="18"/>
              </w:rPr>
            </w:pPr>
            <w:r w:rsidRPr="004F7F5E">
              <w:rPr>
                <w:rFonts w:ascii="Times New Roman" w:hAnsi="Times New Roman"/>
                <w:sz w:val="18"/>
                <w:szCs w:val="18"/>
              </w:rPr>
              <w:t xml:space="preserve">Existence d’aire bétonnées et équipées pour récupérer les eaux de lavage des véhicules ou des engins pouvant contenir des produits polluants sont construites.  </w:t>
            </w:r>
          </w:p>
        </w:tc>
        <w:tc>
          <w:tcPr>
            <w:tcW w:w="2977" w:type="dxa"/>
            <w:tcBorders>
              <w:top w:val="single" w:sz="4" w:space="0" w:color="auto"/>
              <w:left w:val="single" w:sz="4" w:space="0" w:color="auto"/>
              <w:bottom w:val="single" w:sz="4" w:space="0" w:color="auto"/>
              <w:right w:val="single" w:sz="4" w:space="0" w:color="auto"/>
            </w:tcBorders>
          </w:tcPr>
          <w:p w:rsidR="00BF40D2" w:rsidRPr="004F7F5E" w:rsidRDefault="00BF40D2" w:rsidP="00764FFF">
            <w:pPr>
              <w:spacing w:after="0" w:line="240" w:lineRule="auto"/>
              <w:rPr>
                <w:rFonts w:ascii="Times New Roman" w:hAnsi="Times New Roman"/>
                <w:sz w:val="18"/>
                <w:szCs w:val="18"/>
              </w:rPr>
            </w:pPr>
          </w:p>
        </w:tc>
      </w:tr>
      <w:tr w:rsidR="00BF40D2" w:rsidRPr="004F7F5E" w:rsidTr="00BF40D2">
        <w:trPr>
          <w:jc w:val="center"/>
        </w:trPr>
        <w:tc>
          <w:tcPr>
            <w:tcW w:w="562" w:type="dxa"/>
            <w:vMerge/>
            <w:tcBorders>
              <w:left w:val="single" w:sz="4" w:space="0" w:color="auto"/>
              <w:right w:val="single" w:sz="4" w:space="0" w:color="auto"/>
            </w:tcBorders>
            <w:shd w:val="clear" w:color="auto" w:fill="D9E2F3" w:themeFill="accent5" w:themeFillTint="33"/>
            <w:vAlign w:val="center"/>
            <w:hideMark/>
          </w:tcPr>
          <w:p w:rsidR="00BF40D2" w:rsidRPr="004F7F5E" w:rsidRDefault="00BF40D2" w:rsidP="00BF40D2">
            <w:pPr>
              <w:spacing w:after="0" w:line="240" w:lineRule="auto"/>
              <w:jc w:val="center"/>
              <w:rPr>
                <w:sz w:val="18"/>
                <w:szCs w:val="18"/>
              </w:rPr>
            </w:pPr>
          </w:p>
        </w:tc>
        <w:tc>
          <w:tcPr>
            <w:tcW w:w="12616" w:type="dxa"/>
            <w:tcBorders>
              <w:top w:val="single" w:sz="4" w:space="0" w:color="auto"/>
              <w:left w:val="single" w:sz="4" w:space="0" w:color="auto"/>
              <w:bottom w:val="single" w:sz="4" w:space="0" w:color="auto"/>
              <w:right w:val="single" w:sz="4" w:space="0" w:color="auto"/>
            </w:tcBorders>
            <w:hideMark/>
          </w:tcPr>
          <w:p w:rsidR="00BF40D2" w:rsidRPr="004F7F5E" w:rsidRDefault="00BF40D2" w:rsidP="00764FFF">
            <w:pPr>
              <w:spacing w:after="0" w:line="240" w:lineRule="auto"/>
              <w:jc w:val="both"/>
              <w:rPr>
                <w:rFonts w:ascii="Times New Roman" w:hAnsi="Times New Roman"/>
                <w:sz w:val="18"/>
                <w:szCs w:val="18"/>
              </w:rPr>
            </w:pPr>
            <w:r w:rsidRPr="004F7F5E">
              <w:rPr>
                <w:rFonts w:ascii="Times New Roman" w:hAnsi="Times New Roman"/>
                <w:sz w:val="18"/>
                <w:szCs w:val="18"/>
              </w:rPr>
              <w:t>Existence d’une fosse de déshuilage des eaux avant leur rejet dans la nature.</w:t>
            </w:r>
          </w:p>
        </w:tc>
        <w:tc>
          <w:tcPr>
            <w:tcW w:w="2977" w:type="dxa"/>
            <w:tcBorders>
              <w:top w:val="single" w:sz="4" w:space="0" w:color="auto"/>
              <w:left w:val="single" w:sz="4" w:space="0" w:color="auto"/>
              <w:bottom w:val="single" w:sz="4" w:space="0" w:color="auto"/>
              <w:right w:val="single" w:sz="4" w:space="0" w:color="auto"/>
            </w:tcBorders>
          </w:tcPr>
          <w:p w:rsidR="00BF40D2" w:rsidRPr="004F7F5E" w:rsidRDefault="00BF40D2" w:rsidP="00764FFF">
            <w:pPr>
              <w:spacing w:after="0" w:line="240" w:lineRule="auto"/>
              <w:rPr>
                <w:rFonts w:ascii="Times New Roman" w:hAnsi="Times New Roman"/>
                <w:sz w:val="18"/>
                <w:szCs w:val="18"/>
              </w:rPr>
            </w:pPr>
          </w:p>
        </w:tc>
      </w:tr>
      <w:tr w:rsidR="00BF40D2" w:rsidRPr="004F7F5E" w:rsidTr="00BF40D2">
        <w:trPr>
          <w:jc w:val="center"/>
        </w:trPr>
        <w:tc>
          <w:tcPr>
            <w:tcW w:w="562" w:type="dxa"/>
            <w:vMerge/>
            <w:tcBorders>
              <w:left w:val="single" w:sz="4" w:space="0" w:color="auto"/>
              <w:right w:val="single" w:sz="4" w:space="0" w:color="auto"/>
            </w:tcBorders>
            <w:shd w:val="clear" w:color="auto" w:fill="D9E2F3" w:themeFill="accent5" w:themeFillTint="33"/>
            <w:vAlign w:val="center"/>
            <w:hideMark/>
          </w:tcPr>
          <w:p w:rsidR="00BF40D2" w:rsidRPr="004F7F5E" w:rsidRDefault="00BF40D2" w:rsidP="00BF40D2">
            <w:pPr>
              <w:spacing w:after="0" w:line="240" w:lineRule="auto"/>
              <w:jc w:val="center"/>
              <w:rPr>
                <w:sz w:val="18"/>
                <w:szCs w:val="18"/>
              </w:rPr>
            </w:pPr>
          </w:p>
        </w:tc>
        <w:tc>
          <w:tcPr>
            <w:tcW w:w="12616" w:type="dxa"/>
            <w:tcBorders>
              <w:top w:val="single" w:sz="4" w:space="0" w:color="auto"/>
              <w:left w:val="single" w:sz="4" w:space="0" w:color="auto"/>
              <w:bottom w:val="single" w:sz="4" w:space="0" w:color="auto"/>
              <w:right w:val="single" w:sz="4" w:space="0" w:color="auto"/>
            </w:tcBorders>
            <w:hideMark/>
          </w:tcPr>
          <w:p w:rsidR="00BF40D2" w:rsidRPr="004F7F5E" w:rsidRDefault="00BF40D2" w:rsidP="00764FFF">
            <w:pPr>
              <w:spacing w:after="0" w:line="240" w:lineRule="auto"/>
              <w:jc w:val="both"/>
              <w:rPr>
                <w:rFonts w:ascii="Times New Roman" w:hAnsi="Times New Roman"/>
                <w:sz w:val="18"/>
                <w:szCs w:val="18"/>
              </w:rPr>
            </w:pPr>
            <w:r w:rsidRPr="004F7F5E">
              <w:rPr>
                <w:rFonts w:ascii="Times New Roman" w:hAnsi="Times New Roman"/>
                <w:sz w:val="18"/>
                <w:szCs w:val="18"/>
              </w:rPr>
              <w:t>Effectivité du port de protections auditives par les travailleurs à des postes bruyants</w:t>
            </w:r>
          </w:p>
        </w:tc>
        <w:tc>
          <w:tcPr>
            <w:tcW w:w="2977" w:type="dxa"/>
            <w:tcBorders>
              <w:top w:val="single" w:sz="4" w:space="0" w:color="auto"/>
              <w:left w:val="single" w:sz="4" w:space="0" w:color="auto"/>
              <w:bottom w:val="single" w:sz="4" w:space="0" w:color="auto"/>
              <w:right w:val="single" w:sz="4" w:space="0" w:color="auto"/>
            </w:tcBorders>
          </w:tcPr>
          <w:p w:rsidR="00BF40D2" w:rsidRPr="004F7F5E" w:rsidRDefault="00BF40D2" w:rsidP="00764FFF">
            <w:pPr>
              <w:spacing w:after="0" w:line="240" w:lineRule="auto"/>
              <w:rPr>
                <w:rFonts w:ascii="Times New Roman" w:hAnsi="Times New Roman"/>
                <w:sz w:val="18"/>
                <w:szCs w:val="18"/>
              </w:rPr>
            </w:pPr>
          </w:p>
        </w:tc>
      </w:tr>
      <w:tr w:rsidR="00BF40D2" w:rsidRPr="004F7F5E" w:rsidTr="00BF40D2">
        <w:trPr>
          <w:jc w:val="center"/>
        </w:trPr>
        <w:tc>
          <w:tcPr>
            <w:tcW w:w="562" w:type="dxa"/>
            <w:vMerge/>
            <w:tcBorders>
              <w:left w:val="single" w:sz="4" w:space="0" w:color="auto"/>
              <w:right w:val="single" w:sz="4" w:space="0" w:color="auto"/>
            </w:tcBorders>
            <w:shd w:val="clear" w:color="auto" w:fill="D9E2F3" w:themeFill="accent5" w:themeFillTint="33"/>
            <w:vAlign w:val="center"/>
            <w:hideMark/>
          </w:tcPr>
          <w:p w:rsidR="00BF40D2" w:rsidRPr="004F7F5E" w:rsidRDefault="00BF40D2" w:rsidP="00BF40D2">
            <w:pPr>
              <w:spacing w:after="0" w:line="240" w:lineRule="auto"/>
              <w:jc w:val="center"/>
              <w:rPr>
                <w:sz w:val="18"/>
                <w:szCs w:val="18"/>
              </w:rPr>
            </w:pPr>
          </w:p>
        </w:tc>
        <w:tc>
          <w:tcPr>
            <w:tcW w:w="12616" w:type="dxa"/>
            <w:tcBorders>
              <w:top w:val="single" w:sz="4" w:space="0" w:color="auto"/>
              <w:left w:val="single" w:sz="4" w:space="0" w:color="auto"/>
              <w:bottom w:val="single" w:sz="4" w:space="0" w:color="auto"/>
              <w:right w:val="single" w:sz="4" w:space="0" w:color="auto"/>
            </w:tcBorders>
            <w:hideMark/>
          </w:tcPr>
          <w:p w:rsidR="00BF40D2" w:rsidRPr="004F7F5E" w:rsidRDefault="00BF40D2" w:rsidP="00764FFF">
            <w:pPr>
              <w:spacing w:after="0" w:line="240" w:lineRule="auto"/>
              <w:jc w:val="both"/>
              <w:rPr>
                <w:rFonts w:ascii="Times New Roman" w:hAnsi="Times New Roman"/>
                <w:sz w:val="18"/>
                <w:szCs w:val="18"/>
              </w:rPr>
            </w:pPr>
            <w:r w:rsidRPr="004F7F5E">
              <w:rPr>
                <w:rFonts w:ascii="Times New Roman" w:hAnsi="Times New Roman"/>
                <w:sz w:val="18"/>
                <w:szCs w:val="18"/>
              </w:rPr>
              <w:t>Nombre de campagnes de sensibilisation envers les riverains des travaux.</w:t>
            </w:r>
          </w:p>
        </w:tc>
        <w:tc>
          <w:tcPr>
            <w:tcW w:w="2977" w:type="dxa"/>
            <w:tcBorders>
              <w:top w:val="single" w:sz="4" w:space="0" w:color="auto"/>
              <w:left w:val="single" w:sz="4" w:space="0" w:color="auto"/>
              <w:bottom w:val="single" w:sz="4" w:space="0" w:color="auto"/>
              <w:right w:val="single" w:sz="4" w:space="0" w:color="auto"/>
            </w:tcBorders>
          </w:tcPr>
          <w:p w:rsidR="00BF40D2" w:rsidRPr="004F7F5E" w:rsidRDefault="00BF40D2" w:rsidP="00764FFF">
            <w:pPr>
              <w:spacing w:after="0" w:line="240" w:lineRule="auto"/>
              <w:rPr>
                <w:rFonts w:ascii="Times New Roman" w:hAnsi="Times New Roman"/>
                <w:sz w:val="18"/>
                <w:szCs w:val="18"/>
              </w:rPr>
            </w:pPr>
          </w:p>
        </w:tc>
      </w:tr>
      <w:tr w:rsidR="00BF40D2" w:rsidRPr="004F7F5E" w:rsidTr="00BF40D2">
        <w:trPr>
          <w:jc w:val="center"/>
        </w:trPr>
        <w:tc>
          <w:tcPr>
            <w:tcW w:w="562" w:type="dxa"/>
            <w:vMerge/>
            <w:tcBorders>
              <w:left w:val="single" w:sz="4" w:space="0" w:color="auto"/>
              <w:right w:val="single" w:sz="4" w:space="0" w:color="auto"/>
            </w:tcBorders>
            <w:shd w:val="clear" w:color="auto" w:fill="D9E2F3" w:themeFill="accent5" w:themeFillTint="33"/>
            <w:vAlign w:val="center"/>
            <w:hideMark/>
          </w:tcPr>
          <w:p w:rsidR="00BF40D2" w:rsidRPr="004F7F5E" w:rsidRDefault="00BF40D2" w:rsidP="00BF40D2">
            <w:pPr>
              <w:spacing w:after="0" w:line="240" w:lineRule="auto"/>
              <w:jc w:val="center"/>
              <w:rPr>
                <w:sz w:val="18"/>
                <w:szCs w:val="18"/>
              </w:rPr>
            </w:pPr>
          </w:p>
        </w:tc>
        <w:tc>
          <w:tcPr>
            <w:tcW w:w="12616" w:type="dxa"/>
            <w:tcBorders>
              <w:top w:val="single" w:sz="4" w:space="0" w:color="auto"/>
              <w:left w:val="single" w:sz="4" w:space="0" w:color="auto"/>
              <w:bottom w:val="single" w:sz="4" w:space="0" w:color="auto"/>
              <w:right w:val="single" w:sz="4" w:space="0" w:color="auto"/>
            </w:tcBorders>
            <w:hideMark/>
          </w:tcPr>
          <w:p w:rsidR="00BF40D2" w:rsidRPr="004F7F5E" w:rsidRDefault="00BF40D2" w:rsidP="00764FFF">
            <w:pPr>
              <w:spacing w:after="0" w:line="240" w:lineRule="auto"/>
              <w:jc w:val="both"/>
              <w:rPr>
                <w:rFonts w:ascii="Times New Roman" w:hAnsi="Times New Roman"/>
                <w:sz w:val="18"/>
                <w:szCs w:val="18"/>
              </w:rPr>
            </w:pPr>
            <w:r w:rsidRPr="004F7F5E">
              <w:rPr>
                <w:rFonts w:ascii="Times New Roman" w:hAnsi="Times New Roman"/>
                <w:sz w:val="18"/>
                <w:szCs w:val="18"/>
              </w:rPr>
              <w:t>Combien de jeunes personnes sont recrutées (temporaires ou permanents) parmi les jeunes et moins jeunes des circonscriptions concernées par le projet</w:t>
            </w:r>
          </w:p>
        </w:tc>
        <w:tc>
          <w:tcPr>
            <w:tcW w:w="2977" w:type="dxa"/>
            <w:tcBorders>
              <w:top w:val="single" w:sz="4" w:space="0" w:color="auto"/>
              <w:left w:val="single" w:sz="4" w:space="0" w:color="auto"/>
              <w:bottom w:val="single" w:sz="4" w:space="0" w:color="auto"/>
              <w:right w:val="single" w:sz="4" w:space="0" w:color="auto"/>
            </w:tcBorders>
          </w:tcPr>
          <w:p w:rsidR="00BF40D2" w:rsidRPr="004F7F5E" w:rsidRDefault="00BF40D2" w:rsidP="00764FFF">
            <w:pPr>
              <w:spacing w:after="0" w:line="240" w:lineRule="auto"/>
              <w:rPr>
                <w:rFonts w:ascii="Times New Roman" w:hAnsi="Times New Roman"/>
                <w:sz w:val="18"/>
                <w:szCs w:val="18"/>
              </w:rPr>
            </w:pPr>
          </w:p>
        </w:tc>
      </w:tr>
      <w:tr w:rsidR="00BF40D2" w:rsidRPr="004F7F5E" w:rsidTr="00BF40D2">
        <w:trPr>
          <w:jc w:val="center"/>
        </w:trPr>
        <w:tc>
          <w:tcPr>
            <w:tcW w:w="562" w:type="dxa"/>
            <w:vMerge/>
            <w:tcBorders>
              <w:left w:val="single" w:sz="4" w:space="0" w:color="auto"/>
              <w:right w:val="single" w:sz="4" w:space="0" w:color="auto"/>
            </w:tcBorders>
            <w:shd w:val="clear" w:color="auto" w:fill="D9E2F3" w:themeFill="accent5" w:themeFillTint="33"/>
            <w:vAlign w:val="center"/>
            <w:hideMark/>
          </w:tcPr>
          <w:p w:rsidR="00BF40D2" w:rsidRPr="004F7F5E" w:rsidRDefault="00BF40D2" w:rsidP="00BF40D2">
            <w:pPr>
              <w:spacing w:after="0" w:line="240" w:lineRule="auto"/>
              <w:jc w:val="center"/>
              <w:rPr>
                <w:sz w:val="18"/>
                <w:szCs w:val="18"/>
              </w:rPr>
            </w:pPr>
          </w:p>
        </w:tc>
        <w:tc>
          <w:tcPr>
            <w:tcW w:w="12616" w:type="dxa"/>
            <w:tcBorders>
              <w:top w:val="single" w:sz="4" w:space="0" w:color="auto"/>
              <w:left w:val="single" w:sz="4" w:space="0" w:color="auto"/>
              <w:bottom w:val="single" w:sz="4" w:space="0" w:color="auto"/>
              <w:right w:val="single" w:sz="4" w:space="0" w:color="auto"/>
            </w:tcBorders>
            <w:hideMark/>
          </w:tcPr>
          <w:p w:rsidR="00BF40D2" w:rsidRPr="004F7F5E" w:rsidRDefault="00BF40D2" w:rsidP="00764FFF">
            <w:pPr>
              <w:spacing w:after="0" w:line="240" w:lineRule="auto"/>
              <w:jc w:val="both"/>
              <w:rPr>
                <w:rFonts w:ascii="Times New Roman" w:hAnsi="Times New Roman"/>
                <w:sz w:val="18"/>
                <w:szCs w:val="18"/>
              </w:rPr>
            </w:pPr>
            <w:r w:rsidRPr="004F7F5E">
              <w:rPr>
                <w:rFonts w:ascii="Times New Roman" w:hAnsi="Times New Roman"/>
                <w:sz w:val="18"/>
                <w:szCs w:val="18"/>
              </w:rPr>
              <w:t>Effectivité du port des EPI sur le chantier</w:t>
            </w:r>
          </w:p>
        </w:tc>
        <w:tc>
          <w:tcPr>
            <w:tcW w:w="2977" w:type="dxa"/>
            <w:tcBorders>
              <w:top w:val="single" w:sz="4" w:space="0" w:color="auto"/>
              <w:left w:val="single" w:sz="4" w:space="0" w:color="auto"/>
              <w:bottom w:val="single" w:sz="4" w:space="0" w:color="auto"/>
              <w:right w:val="single" w:sz="4" w:space="0" w:color="auto"/>
            </w:tcBorders>
          </w:tcPr>
          <w:p w:rsidR="00BF40D2" w:rsidRPr="004F7F5E" w:rsidRDefault="00BF40D2" w:rsidP="00764FFF">
            <w:pPr>
              <w:spacing w:after="0" w:line="240" w:lineRule="auto"/>
              <w:rPr>
                <w:rFonts w:ascii="Times New Roman" w:hAnsi="Times New Roman"/>
                <w:sz w:val="18"/>
                <w:szCs w:val="18"/>
              </w:rPr>
            </w:pPr>
          </w:p>
        </w:tc>
      </w:tr>
      <w:tr w:rsidR="00BF40D2" w:rsidRPr="004F7F5E" w:rsidTr="00BF40D2">
        <w:trPr>
          <w:jc w:val="center"/>
        </w:trPr>
        <w:tc>
          <w:tcPr>
            <w:tcW w:w="562" w:type="dxa"/>
            <w:vMerge/>
            <w:tcBorders>
              <w:left w:val="single" w:sz="4" w:space="0" w:color="auto"/>
              <w:right w:val="single" w:sz="4" w:space="0" w:color="auto"/>
            </w:tcBorders>
            <w:shd w:val="clear" w:color="auto" w:fill="D9E2F3" w:themeFill="accent5" w:themeFillTint="33"/>
            <w:vAlign w:val="center"/>
            <w:hideMark/>
          </w:tcPr>
          <w:p w:rsidR="00BF40D2" w:rsidRPr="004F7F5E" w:rsidRDefault="00BF40D2" w:rsidP="00BF40D2">
            <w:pPr>
              <w:spacing w:after="0" w:line="240" w:lineRule="auto"/>
              <w:jc w:val="center"/>
              <w:rPr>
                <w:sz w:val="18"/>
                <w:szCs w:val="18"/>
              </w:rPr>
            </w:pPr>
          </w:p>
        </w:tc>
        <w:tc>
          <w:tcPr>
            <w:tcW w:w="12616" w:type="dxa"/>
            <w:tcBorders>
              <w:top w:val="single" w:sz="4" w:space="0" w:color="auto"/>
              <w:left w:val="single" w:sz="4" w:space="0" w:color="auto"/>
              <w:bottom w:val="single" w:sz="4" w:space="0" w:color="auto"/>
              <w:right w:val="single" w:sz="4" w:space="0" w:color="auto"/>
            </w:tcBorders>
            <w:hideMark/>
          </w:tcPr>
          <w:p w:rsidR="00BF40D2" w:rsidRPr="004F7F5E" w:rsidRDefault="00BF40D2" w:rsidP="00764FFF">
            <w:pPr>
              <w:spacing w:after="0" w:line="240" w:lineRule="auto"/>
              <w:jc w:val="both"/>
              <w:rPr>
                <w:rFonts w:ascii="Times New Roman" w:hAnsi="Times New Roman"/>
                <w:sz w:val="18"/>
                <w:szCs w:val="18"/>
              </w:rPr>
            </w:pPr>
            <w:r w:rsidRPr="004F7F5E">
              <w:rPr>
                <w:rFonts w:ascii="Times New Roman" w:hAnsi="Times New Roman"/>
                <w:sz w:val="18"/>
                <w:szCs w:val="18"/>
              </w:rPr>
              <w:t xml:space="preserve">Combien de déviations correctes et respectueuses de l’environnement immédiat des usagers et des riverains ont été aménagés. </w:t>
            </w:r>
          </w:p>
        </w:tc>
        <w:tc>
          <w:tcPr>
            <w:tcW w:w="2977" w:type="dxa"/>
            <w:tcBorders>
              <w:top w:val="single" w:sz="4" w:space="0" w:color="auto"/>
              <w:left w:val="single" w:sz="4" w:space="0" w:color="auto"/>
              <w:bottom w:val="single" w:sz="4" w:space="0" w:color="auto"/>
              <w:right w:val="single" w:sz="4" w:space="0" w:color="auto"/>
            </w:tcBorders>
          </w:tcPr>
          <w:p w:rsidR="00BF40D2" w:rsidRPr="004F7F5E" w:rsidRDefault="00BF40D2" w:rsidP="00764FFF">
            <w:pPr>
              <w:spacing w:after="0" w:line="240" w:lineRule="auto"/>
              <w:rPr>
                <w:rFonts w:ascii="Times New Roman" w:hAnsi="Times New Roman"/>
                <w:sz w:val="18"/>
                <w:szCs w:val="18"/>
              </w:rPr>
            </w:pPr>
          </w:p>
        </w:tc>
      </w:tr>
      <w:tr w:rsidR="00BF40D2" w:rsidRPr="004F7F5E" w:rsidTr="00BF40D2">
        <w:trPr>
          <w:jc w:val="center"/>
        </w:trPr>
        <w:tc>
          <w:tcPr>
            <w:tcW w:w="562" w:type="dxa"/>
            <w:vMerge/>
            <w:tcBorders>
              <w:left w:val="single" w:sz="4" w:space="0" w:color="auto"/>
              <w:right w:val="single" w:sz="4" w:space="0" w:color="auto"/>
            </w:tcBorders>
            <w:shd w:val="clear" w:color="auto" w:fill="D9E2F3" w:themeFill="accent5" w:themeFillTint="33"/>
            <w:vAlign w:val="center"/>
            <w:hideMark/>
          </w:tcPr>
          <w:p w:rsidR="00BF40D2" w:rsidRPr="004F7F5E" w:rsidRDefault="00BF40D2" w:rsidP="00BF40D2">
            <w:pPr>
              <w:spacing w:after="0" w:line="240" w:lineRule="auto"/>
              <w:jc w:val="center"/>
              <w:rPr>
                <w:sz w:val="18"/>
                <w:szCs w:val="18"/>
              </w:rPr>
            </w:pPr>
          </w:p>
        </w:tc>
        <w:tc>
          <w:tcPr>
            <w:tcW w:w="12616" w:type="dxa"/>
            <w:tcBorders>
              <w:top w:val="single" w:sz="4" w:space="0" w:color="auto"/>
              <w:left w:val="single" w:sz="4" w:space="0" w:color="auto"/>
              <w:bottom w:val="single" w:sz="4" w:space="0" w:color="auto"/>
              <w:right w:val="single" w:sz="4" w:space="0" w:color="auto"/>
            </w:tcBorders>
            <w:hideMark/>
          </w:tcPr>
          <w:p w:rsidR="00BF40D2" w:rsidRPr="004F7F5E" w:rsidRDefault="00BF40D2" w:rsidP="00764FFF">
            <w:pPr>
              <w:spacing w:after="0" w:line="240" w:lineRule="auto"/>
              <w:jc w:val="both"/>
              <w:rPr>
                <w:rFonts w:ascii="Times New Roman" w:hAnsi="Times New Roman"/>
                <w:sz w:val="18"/>
                <w:szCs w:val="18"/>
              </w:rPr>
            </w:pPr>
            <w:r w:rsidRPr="004F7F5E">
              <w:rPr>
                <w:rFonts w:ascii="Times New Roman" w:hAnsi="Times New Roman"/>
                <w:sz w:val="18"/>
                <w:szCs w:val="18"/>
              </w:rPr>
              <w:t>Quelles quantités d’eau potables sont mises à la disposition des ouvriers par jour pour les besoins d’eau de boissons et d’hygiène</w:t>
            </w:r>
          </w:p>
        </w:tc>
        <w:tc>
          <w:tcPr>
            <w:tcW w:w="2977" w:type="dxa"/>
            <w:tcBorders>
              <w:top w:val="single" w:sz="4" w:space="0" w:color="auto"/>
              <w:left w:val="single" w:sz="4" w:space="0" w:color="auto"/>
              <w:bottom w:val="single" w:sz="4" w:space="0" w:color="auto"/>
              <w:right w:val="single" w:sz="4" w:space="0" w:color="auto"/>
            </w:tcBorders>
          </w:tcPr>
          <w:p w:rsidR="00BF40D2" w:rsidRPr="004F7F5E" w:rsidRDefault="00BF40D2" w:rsidP="00764FFF">
            <w:pPr>
              <w:spacing w:after="0" w:line="240" w:lineRule="auto"/>
              <w:rPr>
                <w:rFonts w:ascii="Times New Roman" w:hAnsi="Times New Roman"/>
                <w:sz w:val="18"/>
                <w:szCs w:val="18"/>
              </w:rPr>
            </w:pPr>
          </w:p>
        </w:tc>
      </w:tr>
      <w:tr w:rsidR="00BF40D2" w:rsidRPr="004F7F5E" w:rsidTr="00BF40D2">
        <w:trPr>
          <w:jc w:val="center"/>
        </w:trPr>
        <w:tc>
          <w:tcPr>
            <w:tcW w:w="562" w:type="dxa"/>
            <w:vMerge/>
            <w:tcBorders>
              <w:left w:val="single" w:sz="4" w:space="0" w:color="auto"/>
              <w:right w:val="single" w:sz="4" w:space="0" w:color="auto"/>
            </w:tcBorders>
            <w:shd w:val="clear" w:color="auto" w:fill="D9E2F3" w:themeFill="accent5" w:themeFillTint="33"/>
            <w:vAlign w:val="center"/>
            <w:hideMark/>
          </w:tcPr>
          <w:p w:rsidR="00BF40D2" w:rsidRPr="004F7F5E" w:rsidRDefault="00BF40D2" w:rsidP="00BF40D2">
            <w:pPr>
              <w:spacing w:after="0" w:line="240" w:lineRule="auto"/>
              <w:jc w:val="center"/>
              <w:rPr>
                <w:sz w:val="18"/>
                <w:szCs w:val="18"/>
              </w:rPr>
            </w:pPr>
          </w:p>
        </w:tc>
        <w:tc>
          <w:tcPr>
            <w:tcW w:w="12616" w:type="dxa"/>
            <w:tcBorders>
              <w:top w:val="single" w:sz="4" w:space="0" w:color="auto"/>
              <w:left w:val="single" w:sz="4" w:space="0" w:color="auto"/>
              <w:bottom w:val="single" w:sz="4" w:space="0" w:color="auto"/>
              <w:right w:val="single" w:sz="4" w:space="0" w:color="auto"/>
            </w:tcBorders>
            <w:hideMark/>
          </w:tcPr>
          <w:p w:rsidR="00BF40D2" w:rsidRPr="004F7F5E" w:rsidRDefault="00BF40D2" w:rsidP="00764FFF">
            <w:pPr>
              <w:spacing w:after="0" w:line="240" w:lineRule="auto"/>
              <w:jc w:val="both"/>
              <w:rPr>
                <w:rFonts w:ascii="Times New Roman" w:hAnsi="Times New Roman"/>
                <w:sz w:val="18"/>
                <w:szCs w:val="18"/>
              </w:rPr>
            </w:pPr>
            <w:r w:rsidRPr="004F7F5E">
              <w:rPr>
                <w:rFonts w:ascii="Times New Roman" w:hAnsi="Times New Roman"/>
                <w:sz w:val="18"/>
                <w:szCs w:val="18"/>
              </w:rPr>
              <w:t>Combien de WC mobiles (modèles APROSEN) ou Toilettes construites ont été aménagés en utilisant un système de collecte et de stockage étanche pour éviter toute pollution de la nappe.</w:t>
            </w:r>
          </w:p>
        </w:tc>
        <w:tc>
          <w:tcPr>
            <w:tcW w:w="2977" w:type="dxa"/>
            <w:tcBorders>
              <w:top w:val="single" w:sz="4" w:space="0" w:color="auto"/>
              <w:left w:val="single" w:sz="4" w:space="0" w:color="auto"/>
              <w:bottom w:val="single" w:sz="4" w:space="0" w:color="auto"/>
              <w:right w:val="single" w:sz="4" w:space="0" w:color="auto"/>
            </w:tcBorders>
          </w:tcPr>
          <w:p w:rsidR="00BF40D2" w:rsidRPr="004F7F5E" w:rsidRDefault="00BF40D2" w:rsidP="00764FFF">
            <w:pPr>
              <w:spacing w:after="0" w:line="240" w:lineRule="auto"/>
              <w:rPr>
                <w:rFonts w:ascii="Times New Roman" w:hAnsi="Times New Roman"/>
                <w:sz w:val="18"/>
                <w:szCs w:val="18"/>
              </w:rPr>
            </w:pPr>
          </w:p>
        </w:tc>
      </w:tr>
      <w:tr w:rsidR="00BF40D2" w:rsidRPr="004F7F5E" w:rsidTr="00BF40D2">
        <w:trPr>
          <w:jc w:val="center"/>
        </w:trPr>
        <w:tc>
          <w:tcPr>
            <w:tcW w:w="562" w:type="dxa"/>
            <w:vMerge/>
            <w:tcBorders>
              <w:left w:val="single" w:sz="4" w:space="0" w:color="auto"/>
              <w:right w:val="single" w:sz="4" w:space="0" w:color="auto"/>
            </w:tcBorders>
            <w:shd w:val="clear" w:color="auto" w:fill="D9E2F3" w:themeFill="accent5" w:themeFillTint="33"/>
            <w:vAlign w:val="center"/>
            <w:hideMark/>
          </w:tcPr>
          <w:p w:rsidR="00BF40D2" w:rsidRPr="004F7F5E" w:rsidRDefault="00BF40D2" w:rsidP="00BF40D2">
            <w:pPr>
              <w:spacing w:after="0" w:line="240" w:lineRule="auto"/>
              <w:jc w:val="center"/>
              <w:rPr>
                <w:sz w:val="18"/>
                <w:szCs w:val="18"/>
              </w:rPr>
            </w:pPr>
          </w:p>
        </w:tc>
        <w:tc>
          <w:tcPr>
            <w:tcW w:w="12616" w:type="dxa"/>
            <w:tcBorders>
              <w:top w:val="single" w:sz="4" w:space="0" w:color="auto"/>
              <w:left w:val="single" w:sz="4" w:space="0" w:color="auto"/>
              <w:bottom w:val="single" w:sz="4" w:space="0" w:color="auto"/>
              <w:right w:val="single" w:sz="4" w:space="0" w:color="auto"/>
            </w:tcBorders>
            <w:hideMark/>
          </w:tcPr>
          <w:p w:rsidR="00BF40D2" w:rsidRPr="004F7F5E" w:rsidRDefault="00BF40D2" w:rsidP="00BF40D2">
            <w:pPr>
              <w:spacing w:after="0" w:line="240" w:lineRule="auto"/>
              <w:jc w:val="both"/>
              <w:rPr>
                <w:rFonts w:ascii="Times New Roman" w:hAnsi="Times New Roman"/>
                <w:sz w:val="18"/>
                <w:szCs w:val="18"/>
              </w:rPr>
            </w:pPr>
            <w:r w:rsidRPr="004F7F5E">
              <w:rPr>
                <w:rFonts w:ascii="Times New Roman" w:hAnsi="Times New Roman"/>
                <w:sz w:val="18"/>
                <w:szCs w:val="18"/>
              </w:rPr>
              <w:t xml:space="preserve">La mise en œuvre du plan de sensibilisation des jeunes ouvriers sur les maladies sexuellement transmissibles et le sida a été mise en exécution </w:t>
            </w:r>
          </w:p>
        </w:tc>
        <w:tc>
          <w:tcPr>
            <w:tcW w:w="2977" w:type="dxa"/>
            <w:tcBorders>
              <w:top w:val="single" w:sz="4" w:space="0" w:color="auto"/>
              <w:left w:val="single" w:sz="4" w:space="0" w:color="auto"/>
              <w:bottom w:val="single" w:sz="4" w:space="0" w:color="auto"/>
              <w:right w:val="single" w:sz="4" w:space="0" w:color="auto"/>
            </w:tcBorders>
          </w:tcPr>
          <w:p w:rsidR="00BF40D2" w:rsidRPr="004F7F5E" w:rsidRDefault="00BF40D2" w:rsidP="00764FFF">
            <w:pPr>
              <w:spacing w:after="0" w:line="240" w:lineRule="auto"/>
              <w:rPr>
                <w:rFonts w:ascii="Times New Roman" w:hAnsi="Times New Roman"/>
                <w:sz w:val="18"/>
                <w:szCs w:val="18"/>
              </w:rPr>
            </w:pPr>
          </w:p>
        </w:tc>
      </w:tr>
      <w:tr w:rsidR="00BF40D2" w:rsidRPr="004F7F5E" w:rsidTr="00BF40D2">
        <w:trPr>
          <w:jc w:val="center"/>
        </w:trPr>
        <w:tc>
          <w:tcPr>
            <w:tcW w:w="562" w:type="dxa"/>
            <w:vMerge/>
            <w:tcBorders>
              <w:left w:val="single" w:sz="4" w:space="0" w:color="auto"/>
              <w:right w:val="single" w:sz="4" w:space="0" w:color="auto"/>
            </w:tcBorders>
            <w:shd w:val="clear" w:color="auto" w:fill="D9E2F3" w:themeFill="accent5" w:themeFillTint="33"/>
            <w:vAlign w:val="center"/>
            <w:hideMark/>
          </w:tcPr>
          <w:p w:rsidR="00BF40D2" w:rsidRPr="004F7F5E" w:rsidRDefault="00BF40D2" w:rsidP="00BF40D2">
            <w:pPr>
              <w:spacing w:after="0" w:line="240" w:lineRule="auto"/>
              <w:jc w:val="center"/>
              <w:rPr>
                <w:sz w:val="18"/>
                <w:szCs w:val="18"/>
              </w:rPr>
            </w:pPr>
          </w:p>
        </w:tc>
        <w:tc>
          <w:tcPr>
            <w:tcW w:w="12616" w:type="dxa"/>
            <w:tcBorders>
              <w:top w:val="single" w:sz="4" w:space="0" w:color="auto"/>
              <w:left w:val="single" w:sz="4" w:space="0" w:color="auto"/>
              <w:bottom w:val="single" w:sz="4" w:space="0" w:color="auto"/>
              <w:right w:val="single" w:sz="4" w:space="0" w:color="auto"/>
            </w:tcBorders>
            <w:hideMark/>
          </w:tcPr>
          <w:p w:rsidR="00BF40D2" w:rsidRPr="004F7F5E" w:rsidRDefault="00BF40D2" w:rsidP="00764FFF">
            <w:pPr>
              <w:spacing w:after="0" w:line="240" w:lineRule="auto"/>
              <w:jc w:val="both"/>
              <w:rPr>
                <w:rFonts w:ascii="Times New Roman" w:hAnsi="Times New Roman"/>
                <w:sz w:val="18"/>
                <w:szCs w:val="18"/>
              </w:rPr>
            </w:pPr>
            <w:r w:rsidRPr="004F7F5E">
              <w:rPr>
                <w:rFonts w:ascii="Times New Roman" w:hAnsi="Times New Roman"/>
                <w:sz w:val="18"/>
                <w:szCs w:val="18"/>
              </w:rPr>
              <w:t>Combien de jeunes ont effectivement effectué le test de dépistage à la suite de la sensibilisation</w:t>
            </w:r>
          </w:p>
        </w:tc>
        <w:tc>
          <w:tcPr>
            <w:tcW w:w="2977" w:type="dxa"/>
            <w:tcBorders>
              <w:top w:val="single" w:sz="4" w:space="0" w:color="auto"/>
              <w:left w:val="single" w:sz="4" w:space="0" w:color="auto"/>
              <w:bottom w:val="single" w:sz="4" w:space="0" w:color="auto"/>
              <w:right w:val="single" w:sz="4" w:space="0" w:color="auto"/>
            </w:tcBorders>
          </w:tcPr>
          <w:p w:rsidR="00BF40D2" w:rsidRPr="004F7F5E" w:rsidRDefault="00BF40D2" w:rsidP="00764FFF">
            <w:pPr>
              <w:spacing w:after="0" w:line="240" w:lineRule="auto"/>
              <w:rPr>
                <w:rFonts w:ascii="Times New Roman" w:hAnsi="Times New Roman"/>
                <w:sz w:val="18"/>
                <w:szCs w:val="18"/>
              </w:rPr>
            </w:pPr>
          </w:p>
        </w:tc>
      </w:tr>
      <w:tr w:rsidR="00BF40D2" w:rsidRPr="004F7F5E" w:rsidTr="00BF40D2">
        <w:trPr>
          <w:jc w:val="center"/>
        </w:trPr>
        <w:tc>
          <w:tcPr>
            <w:tcW w:w="562" w:type="dxa"/>
            <w:vMerge/>
            <w:tcBorders>
              <w:left w:val="single" w:sz="4" w:space="0" w:color="auto"/>
              <w:bottom w:val="single" w:sz="4" w:space="0" w:color="auto"/>
              <w:right w:val="single" w:sz="4" w:space="0" w:color="auto"/>
            </w:tcBorders>
            <w:shd w:val="clear" w:color="auto" w:fill="D9E2F3" w:themeFill="accent5" w:themeFillTint="33"/>
            <w:vAlign w:val="center"/>
            <w:hideMark/>
          </w:tcPr>
          <w:p w:rsidR="00BF40D2" w:rsidRPr="004F7F5E" w:rsidRDefault="00BF40D2" w:rsidP="00BF40D2">
            <w:pPr>
              <w:spacing w:after="0" w:line="240" w:lineRule="auto"/>
              <w:jc w:val="center"/>
              <w:rPr>
                <w:sz w:val="18"/>
                <w:szCs w:val="18"/>
              </w:rPr>
            </w:pPr>
          </w:p>
        </w:tc>
        <w:tc>
          <w:tcPr>
            <w:tcW w:w="12616" w:type="dxa"/>
            <w:tcBorders>
              <w:top w:val="single" w:sz="4" w:space="0" w:color="auto"/>
              <w:left w:val="single" w:sz="4" w:space="0" w:color="auto"/>
              <w:bottom w:val="single" w:sz="4" w:space="0" w:color="auto"/>
              <w:right w:val="single" w:sz="4" w:space="0" w:color="auto"/>
            </w:tcBorders>
            <w:hideMark/>
          </w:tcPr>
          <w:p w:rsidR="00BF40D2" w:rsidRPr="004F7F5E" w:rsidRDefault="00BF40D2" w:rsidP="00764FFF">
            <w:pPr>
              <w:spacing w:after="0" w:line="240" w:lineRule="auto"/>
              <w:jc w:val="both"/>
              <w:rPr>
                <w:rFonts w:ascii="Times New Roman" w:hAnsi="Times New Roman"/>
                <w:sz w:val="18"/>
                <w:szCs w:val="18"/>
              </w:rPr>
            </w:pPr>
            <w:r w:rsidRPr="004F7F5E">
              <w:rPr>
                <w:rFonts w:ascii="Times New Roman" w:hAnsi="Times New Roman"/>
                <w:sz w:val="18"/>
                <w:szCs w:val="18"/>
              </w:rPr>
              <w:t>Combien d’affiches de slogan anti-sida et pour un dépistage volontaire et confidentiel ont été apposés sur le chantier</w:t>
            </w:r>
          </w:p>
        </w:tc>
        <w:tc>
          <w:tcPr>
            <w:tcW w:w="2977" w:type="dxa"/>
            <w:tcBorders>
              <w:top w:val="single" w:sz="4" w:space="0" w:color="auto"/>
              <w:left w:val="single" w:sz="4" w:space="0" w:color="auto"/>
              <w:bottom w:val="single" w:sz="4" w:space="0" w:color="auto"/>
              <w:right w:val="single" w:sz="4" w:space="0" w:color="auto"/>
            </w:tcBorders>
          </w:tcPr>
          <w:p w:rsidR="00BF40D2" w:rsidRPr="004F7F5E" w:rsidRDefault="00BF40D2" w:rsidP="00764FFF">
            <w:pPr>
              <w:spacing w:after="0" w:line="240" w:lineRule="auto"/>
              <w:rPr>
                <w:rFonts w:ascii="Times New Roman" w:hAnsi="Times New Roman"/>
                <w:sz w:val="18"/>
                <w:szCs w:val="18"/>
              </w:rPr>
            </w:pPr>
          </w:p>
        </w:tc>
      </w:tr>
      <w:tr w:rsidR="00BF40D2" w:rsidRPr="004F7F5E" w:rsidTr="00BF40D2">
        <w:trPr>
          <w:jc w:val="center"/>
        </w:trPr>
        <w:tc>
          <w:tcPr>
            <w:tcW w:w="562" w:type="dxa"/>
            <w:vMerge w:val="restart"/>
            <w:tcBorders>
              <w:top w:val="single" w:sz="4" w:space="0" w:color="auto"/>
              <w:left w:val="single" w:sz="4" w:space="0" w:color="auto"/>
              <w:right w:val="single" w:sz="4" w:space="0" w:color="auto"/>
            </w:tcBorders>
            <w:shd w:val="clear" w:color="auto" w:fill="A8D08D" w:themeFill="accent6" w:themeFillTint="99"/>
            <w:vAlign w:val="center"/>
            <w:hideMark/>
          </w:tcPr>
          <w:p w:rsidR="00BF40D2" w:rsidRPr="004F7F5E" w:rsidRDefault="00BF40D2" w:rsidP="00BF40D2">
            <w:pPr>
              <w:spacing w:after="0" w:line="240" w:lineRule="auto"/>
              <w:jc w:val="center"/>
              <w:rPr>
                <w:rFonts w:ascii="Times New Roman" w:hAnsi="Times New Roman"/>
                <w:b/>
                <w:sz w:val="18"/>
                <w:szCs w:val="18"/>
              </w:rPr>
            </w:pPr>
            <w:r w:rsidRPr="004F7F5E">
              <w:rPr>
                <w:rFonts w:ascii="Times New Roman" w:hAnsi="Times New Roman"/>
                <w:b/>
                <w:sz w:val="18"/>
                <w:szCs w:val="18"/>
              </w:rPr>
              <w:t>03</w:t>
            </w:r>
          </w:p>
        </w:tc>
        <w:tc>
          <w:tcPr>
            <w:tcW w:w="15593" w:type="dxa"/>
            <w:gridSpan w:val="2"/>
            <w:tcBorders>
              <w:top w:val="single" w:sz="4" w:space="0" w:color="auto"/>
              <w:left w:val="single" w:sz="4" w:space="0" w:color="auto"/>
              <w:bottom w:val="single" w:sz="4" w:space="0" w:color="auto"/>
              <w:right w:val="single" w:sz="4" w:space="0" w:color="auto"/>
            </w:tcBorders>
            <w:shd w:val="clear" w:color="auto" w:fill="A8D08D" w:themeFill="accent6" w:themeFillTint="99"/>
            <w:vAlign w:val="center"/>
            <w:hideMark/>
          </w:tcPr>
          <w:p w:rsidR="00BF40D2" w:rsidRPr="004F7F5E" w:rsidRDefault="00BF40D2" w:rsidP="00BF40D2">
            <w:pPr>
              <w:spacing w:after="0" w:line="240" w:lineRule="auto"/>
              <w:jc w:val="center"/>
              <w:rPr>
                <w:rFonts w:ascii="Times New Roman" w:hAnsi="Times New Roman"/>
                <w:sz w:val="18"/>
                <w:szCs w:val="18"/>
              </w:rPr>
            </w:pPr>
            <w:r w:rsidRPr="004F7F5E">
              <w:rPr>
                <w:rFonts w:ascii="Times New Roman" w:hAnsi="Times New Roman"/>
                <w:b/>
                <w:sz w:val="18"/>
                <w:szCs w:val="18"/>
              </w:rPr>
              <w:t>Phase d’exploitation suivie</w:t>
            </w:r>
          </w:p>
        </w:tc>
      </w:tr>
      <w:tr w:rsidR="00BF40D2" w:rsidRPr="004F7F5E" w:rsidTr="00074867">
        <w:trPr>
          <w:jc w:val="center"/>
        </w:trPr>
        <w:tc>
          <w:tcPr>
            <w:tcW w:w="562" w:type="dxa"/>
            <w:vMerge/>
            <w:tcBorders>
              <w:left w:val="single" w:sz="4" w:space="0" w:color="auto"/>
              <w:right w:val="single" w:sz="4" w:space="0" w:color="auto"/>
            </w:tcBorders>
            <w:shd w:val="clear" w:color="auto" w:fill="D9E2F3" w:themeFill="accent5" w:themeFillTint="33"/>
            <w:hideMark/>
          </w:tcPr>
          <w:p w:rsidR="00BF40D2" w:rsidRPr="004F7F5E" w:rsidRDefault="00BF40D2" w:rsidP="00764FFF">
            <w:pPr>
              <w:spacing w:after="0" w:line="276" w:lineRule="auto"/>
              <w:rPr>
                <w:sz w:val="18"/>
                <w:szCs w:val="18"/>
              </w:rPr>
            </w:pPr>
          </w:p>
        </w:tc>
        <w:tc>
          <w:tcPr>
            <w:tcW w:w="12616" w:type="dxa"/>
            <w:tcBorders>
              <w:top w:val="single" w:sz="4" w:space="0" w:color="auto"/>
              <w:left w:val="single" w:sz="4" w:space="0" w:color="auto"/>
              <w:bottom w:val="single" w:sz="4" w:space="0" w:color="auto"/>
              <w:right w:val="single" w:sz="4" w:space="0" w:color="auto"/>
            </w:tcBorders>
            <w:hideMark/>
          </w:tcPr>
          <w:p w:rsidR="00BF40D2" w:rsidRPr="004F7F5E" w:rsidRDefault="00BF40D2" w:rsidP="00764FFF">
            <w:pPr>
              <w:spacing w:after="0" w:line="240" w:lineRule="auto"/>
              <w:jc w:val="both"/>
              <w:rPr>
                <w:rFonts w:ascii="Times New Roman" w:hAnsi="Times New Roman"/>
                <w:sz w:val="18"/>
                <w:szCs w:val="18"/>
              </w:rPr>
            </w:pPr>
            <w:r w:rsidRPr="004F7F5E">
              <w:rPr>
                <w:rFonts w:ascii="Times New Roman" w:hAnsi="Times New Roman"/>
                <w:sz w:val="18"/>
                <w:szCs w:val="18"/>
              </w:rPr>
              <w:t xml:space="preserve">Le nombre de campagnes de sensibilisation des populations, commerçants et riverains des ouvrages  </w:t>
            </w:r>
          </w:p>
        </w:tc>
        <w:tc>
          <w:tcPr>
            <w:tcW w:w="2977" w:type="dxa"/>
            <w:tcBorders>
              <w:top w:val="single" w:sz="4" w:space="0" w:color="auto"/>
              <w:left w:val="single" w:sz="4" w:space="0" w:color="auto"/>
              <w:bottom w:val="single" w:sz="4" w:space="0" w:color="auto"/>
              <w:right w:val="single" w:sz="4" w:space="0" w:color="auto"/>
            </w:tcBorders>
          </w:tcPr>
          <w:p w:rsidR="00BF40D2" w:rsidRPr="004F7F5E" w:rsidRDefault="00BF40D2" w:rsidP="00764FFF">
            <w:pPr>
              <w:spacing w:after="0" w:line="240" w:lineRule="auto"/>
              <w:rPr>
                <w:rFonts w:ascii="Times New Roman" w:hAnsi="Times New Roman"/>
                <w:sz w:val="18"/>
                <w:szCs w:val="18"/>
              </w:rPr>
            </w:pPr>
          </w:p>
        </w:tc>
      </w:tr>
      <w:tr w:rsidR="00BF40D2" w:rsidRPr="004F7F5E" w:rsidTr="00074867">
        <w:trPr>
          <w:jc w:val="center"/>
        </w:trPr>
        <w:tc>
          <w:tcPr>
            <w:tcW w:w="562" w:type="dxa"/>
            <w:vMerge/>
            <w:tcBorders>
              <w:left w:val="single" w:sz="4" w:space="0" w:color="auto"/>
              <w:right w:val="single" w:sz="4" w:space="0" w:color="auto"/>
            </w:tcBorders>
            <w:shd w:val="clear" w:color="auto" w:fill="D9E2F3" w:themeFill="accent5" w:themeFillTint="33"/>
            <w:vAlign w:val="center"/>
            <w:hideMark/>
          </w:tcPr>
          <w:p w:rsidR="00BF40D2" w:rsidRPr="004F7F5E" w:rsidRDefault="00BF40D2" w:rsidP="00764FFF">
            <w:pPr>
              <w:spacing w:after="0" w:line="240" w:lineRule="auto"/>
              <w:rPr>
                <w:sz w:val="18"/>
                <w:szCs w:val="18"/>
              </w:rPr>
            </w:pPr>
          </w:p>
        </w:tc>
        <w:tc>
          <w:tcPr>
            <w:tcW w:w="12616" w:type="dxa"/>
            <w:tcBorders>
              <w:top w:val="single" w:sz="4" w:space="0" w:color="auto"/>
              <w:left w:val="single" w:sz="4" w:space="0" w:color="auto"/>
              <w:bottom w:val="single" w:sz="4" w:space="0" w:color="auto"/>
              <w:right w:val="single" w:sz="4" w:space="0" w:color="auto"/>
            </w:tcBorders>
            <w:hideMark/>
          </w:tcPr>
          <w:p w:rsidR="00BF40D2" w:rsidRPr="004F7F5E" w:rsidRDefault="00BF40D2" w:rsidP="00764FFF">
            <w:pPr>
              <w:spacing w:after="0" w:line="240" w:lineRule="auto"/>
              <w:jc w:val="both"/>
              <w:rPr>
                <w:rFonts w:ascii="Times New Roman" w:hAnsi="Times New Roman"/>
                <w:sz w:val="18"/>
                <w:szCs w:val="18"/>
              </w:rPr>
            </w:pPr>
            <w:r w:rsidRPr="004F7F5E">
              <w:rPr>
                <w:rFonts w:ascii="Times New Roman" w:hAnsi="Times New Roman"/>
                <w:sz w:val="18"/>
                <w:szCs w:val="18"/>
              </w:rPr>
              <w:t>Propreté des sites occupés après les travaux (enlèvement en fin de travaux du matériel inutilisé, des carcasses d’engins, des déchets et rebuts et de tout autre matériel ou objet pouvant faire tâche sur le paysage naturel).</w:t>
            </w:r>
          </w:p>
        </w:tc>
        <w:tc>
          <w:tcPr>
            <w:tcW w:w="2977" w:type="dxa"/>
            <w:tcBorders>
              <w:top w:val="single" w:sz="4" w:space="0" w:color="auto"/>
              <w:left w:val="single" w:sz="4" w:space="0" w:color="auto"/>
              <w:bottom w:val="single" w:sz="4" w:space="0" w:color="auto"/>
              <w:right w:val="single" w:sz="4" w:space="0" w:color="auto"/>
            </w:tcBorders>
          </w:tcPr>
          <w:p w:rsidR="00BF40D2" w:rsidRPr="004F7F5E" w:rsidRDefault="00BF40D2" w:rsidP="00764FFF">
            <w:pPr>
              <w:spacing w:after="0" w:line="240" w:lineRule="auto"/>
              <w:rPr>
                <w:rFonts w:ascii="Times New Roman" w:hAnsi="Times New Roman"/>
                <w:sz w:val="18"/>
                <w:szCs w:val="18"/>
              </w:rPr>
            </w:pPr>
          </w:p>
        </w:tc>
      </w:tr>
      <w:tr w:rsidR="00BF40D2" w:rsidRPr="004F7F5E" w:rsidTr="00074867">
        <w:trPr>
          <w:jc w:val="center"/>
        </w:trPr>
        <w:tc>
          <w:tcPr>
            <w:tcW w:w="562" w:type="dxa"/>
            <w:vMerge/>
            <w:tcBorders>
              <w:left w:val="single" w:sz="4" w:space="0" w:color="auto"/>
              <w:right w:val="single" w:sz="4" w:space="0" w:color="auto"/>
            </w:tcBorders>
            <w:shd w:val="clear" w:color="auto" w:fill="D9E2F3" w:themeFill="accent5" w:themeFillTint="33"/>
            <w:vAlign w:val="center"/>
            <w:hideMark/>
          </w:tcPr>
          <w:p w:rsidR="00BF40D2" w:rsidRPr="004F7F5E" w:rsidRDefault="00BF40D2" w:rsidP="00764FFF">
            <w:pPr>
              <w:spacing w:after="0" w:line="240" w:lineRule="auto"/>
              <w:rPr>
                <w:sz w:val="18"/>
                <w:szCs w:val="18"/>
              </w:rPr>
            </w:pPr>
          </w:p>
        </w:tc>
        <w:tc>
          <w:tcPr>
            <w:tcW w:w="12616" w:type="dxa"/>
            <w:tcBorders>
              <w:top w:val="single" w:sz="4" w:space="0" w:color="auto"/>
              <w:left w:val="single" w:sz="4" w:space="0" w:color="auto"/>
              <w:bottom w:val="single" w:sz="4" w:space="0" w:color="auto"/>
              <w:right w:val="single" w:sz="4" w:space="0" w:color="auto"/>
            </w:tcBorders>
            <w:hideMark/>
          </w:tcPr>
          <w:p w:rsidR="00BF40D2" w:rsidRPr="004F7F5E" w:rsidRDefault="00BF40D2" w:rsidP="00764FFF">
            <w:pPr>
              <w:spacing w:after="0" w:line="240" w:lineRule="auto"/>
              <w:jc w:val="both"/>
              <w:rPr>
                <w:rFonts w:ascii="Times New Roman" w:hAnsi="Times New Roman"/>
                <w:sz w:val="18"/>
                <w:szCs w:val="18"/>
              </w:rPr>
            </w:pPr>
            <w:r w:rsidRPr="004F7F5E">
              <w:rPr>
                <w:rFonts w:ascii="Times New Roman" w:hAnsi="Times New Roman"/>
                <w:sz w:val="18"/>
                <w:szCs w:val="18"/>
              </w:rPr>
              <w:t>Nettoyage et remise en état des fossés et du couvert végétal au niveau des zones d’emprunt.</w:t>
            </w:r>
          </w:p>
        </w:tc>
        <w:tc>
          <w:tcPr>
            <w:tcW w:w="2977" w:type="dxa"/>
            <w:tcBorders>
              <w:top w:val="single" w:sz="4" w:space="0" w:color="auto"/>
              <w:left w:val="single" w:sz="4" w:space="0" w:color="auto"/>
              <w:bottom w:val="single" w:sz="4" w:space="0" w:color="auto"/>
              <w:right w:val="single" w:sz="4" w:space="0" w:color="auto"/>
            </w:tcBorders>
          </w:tcPr>
          <w:p w:rsidR="00BF40D2" w:rsidRPr="004F7F5E" w:rsidRDefault="00BF40D2" w:rsidP="00764FFF">
            <w:pPr>
              <w:spacing w:after="0" w:line="240" w:lineRule="auto"/>
              <w:rPr>
                <w:rFonts w:ascii="Times New Roman" w:hAnsi="Times New Roman"/>
                <w:sz w:val="18"/>
                <w:szCs w:val="18"/>
              </w:rPr>
            </w:pPr>
          </w:p>
        </w:tc>
      </w:tr>
      <w:tr w:rsidR="00BF40D2" w:rsidRPr="004F7F5E" w:rsidTr="00074867">
        <w:trPr>
          <w:jc w:val="center"/>
        </w:trPr>
        <w:tc>
          <w:tcPr>
            <w:tcW w:w="562" w:type="dxa"/>
            <w:vMerge/>
            <w:tcBorders>
              <w:left w:val="single" w:sz="4" w:space="0" w:color="auto"/>
              <w:right w:val="single" w:sz="4" w:space="0" w:color="auto"/>
            </w:tcBorders>
            <w:shd w:val="clear" w:color="auto" w:fill="D9E2F3" w:themeFill="accent5" w:themeFillTint="33"/>
            <w:vAlign w:val="center"/>
            <w:hideMark/>
          </w:tcPr>
          <w:p w:rsidR="00BF40D2" w:rsidRPr="004F7F5E" w:rsidRDefault="00BF40D2" w:rsidP="00764FFF">
            <w:pPr>
              <w:spacing w:after="0" w:line="240" w:lineRule="auto"/>
              <w:rPr>
                <w:sz w:val="18"/>
                <w:szCs w:val="18"/>
              </w:rPr>
            </w:pPr>
          </w:p>
        </w:tc>
        <w:tc>
          <w:tcPr>
            <w:tcW w:w="12616" w:type="dxa"/>
            <w:tcBorders>
              <w:top w:val="single" w:sz="4" w:space="0" w:color="auto"/>
              <w:left w:val="single" w:sz="4" w:space="0" w:color="auto"/>
              <w:bottom w:val="single" w:sz="4" w:space="0" w:color="auto"/>
              <w:right w:val="single" w:sz="4" w:space="0" w:color="auto"/>
            </w:tcBorders>
            <w:hideMark/>
          </w:tcPr>
          <w:p w:rsidR="00BF40D2" w:rsidRPr="004F7F5E" w:rsidRDefault="00BF40D2" w:rsidP="00764FFF">
            <w:pPr>
              <w:spacing w:after="0" w:line="240" w:lineRule="auto"/>
              <w:jc w:val="both"/>
              <w:rPr>
                <w:rFonts w:ascii="Times New Roman" w:hAnsi="Times New Roman"/>
                <w:sz w:val="18"/>
                <w:szCs w:val="18"/>
              </w:rPr>
            </w:pPr>
            <w:r w:rsidRPr="004F7F5E">
              <w:rPr>
                <w:rFonts w:ascii="Times New Roman" w:hAnsi="Times New Roman"/>
                <w:sz w:val="18"/>
                <w:szCs w:val="18"/>
              </w:rPr>
              <w:t>Nombre d’aménagements paysagers (site récréatifs, parcours sportifs, aires de jeu, etc.).</w:t>
            </w:r>
          </w:p>
        </w:tc>
        <w:tc>
          <w:tcPr>
            <w:tcW w:w="2977" w:type="dxa"/>
            <w:tcBorders>
              <w:top w:val="single" w:sz="4" w:space="0" w:color="auto"/>
              <w:left w:val="single" w:sz="4" w:space="0" w:color="auto"/>
              <w:bottom w:val="single" w:sz="4" w:space="0" w:color="auto"/>
              <w:right w:val="single" w:sz="4" w:space="0" w:color="auto"/>
            </w:tcBorders>
          </w:tcPr>
          <w:p w:rsidR="00BF40D2" w:rsidRPr="004F7F5E" w:rsidRDefault="00BF40D2" w:rsidP="00764FFF">
            <w:pPr>
              <w:spacing w:after="0" w:line="240" w:lineRule="auto"/>
              <w:rPr>
                <w:rFonts w:ascii="Times New Roman" w:hAnsi="Times New Roman"/>
                <w:sz w:val="18"/>
                <w:szCs w:val="18"/>
              </w:rPr>
            </w:pPr>
          </w:p>
        </w:tc>
      </w:tr>
      <w:tr w:rsidR="00BF40D2" w:rsidRPr="004F7F5E" w:rsidTr="00074867">
        <w:trPr>
          <w:jc w:val="center"/>
        </w:trPr>
        <w:tc>
          <w:tcPr>
            <w:tcW w:w="562" w:type="dxa"/>
            <w:vMerge/>
            <w:tcBorders>
              <w:left w:val="single" w:sz="4" w:space="0" w:color="auto"/>
              <w:right w:val="single" w:sz="4" w:space="0" w:color="auto"/>
            </w:tcBorders>
            <w:shd w:val="clear" w:color="auto" w:fill="D9E2F3" w:themeFill="accent5" w:themeFillTint="33"/>
            <w:vAlign w:val="center"/>
            <w:hideMark/>
          </w:tcPr>
          <w:p w:rsidR="00BF40D2" w:rsidRPr="004F7F5E" w:rsidRDefault="00BF40D2" w:rsidP="00764FFF">
            <w:pPr>
              <w:spacing w:after="0" w:line="240" w:lineRule="auto"/>
              <w:rPr>
                <w:sz w:val="18"/>
                <w:szCs w:val="18"/>
              </w:rPr>
            </w:pPr>
          </w:p>
        </w:tc>
        <w:tc>
          <w:tcPr>
            <w:tcW w:w="12616" w:type="dxa"/>
            <w:tcBorders>
              <w:top w:val="single" w:sz="4" w:space="0" w:color="auto"/>
              <w:left w:val="single" w:sz="4" w:space="0" w:color="auto"/>
              <w:bottom w:val="single" w:sz="4" w:space="0" w:color="auto"/>
              <w:right w:val="single" w:sz="4" w:space="0" w:color="auto"/>
            </w:tcBorders>
            <w:hideMark/>
          </w:tcPr>
          <w:p w:rsidR="00BF40D2" w:rsidRPr="004F7F5E" w:rsidRDefault="00BF40D2" w:rsidP="00764FFF">
            <w:pPr>
              <w:spacing w:after="0" w:line="240" w:lineRule="auto"/>
              <w:jc w:val="both"/>
              <w:rPr>
                <w:rFonts w:ascii="Times New Roman" w:hAnsi="Times New Roman"/>
                <w:sz w:val="18"/>
                <w:szCs w:val="18"/>
              </w:rPr>
            </w:pPr>
            <w:r w:rsidRPr="004F7F5E">
              <w:rPr>
                <w:rFonts w:ascii="Times New Roman" w:hAnsi="Times New Roman"/>
                <w:sz w:val="18"/>
                <w:szCs w:val="18"/>
              </w:rPr>
              <w:t>Niveau de reboisement de sites (nombre d’arbres replantés, niveau de protection de ces arbres, qualité des espèces par rapport à l’environnement local, etc.)</w:t>
            </w:r>
          </w:p>
        </w:tc>
        <w:tc>
          <w:tcPr>
            <w:tcW w:w="2977" w:type="dxa"/>
            <w:tcBorders>
              <w:top w:val="single" w:sz="4" w:space="0" w:color="auto"/>
              <w:left w:val="single" w:sz="4" w:space="0" w:color="auto"/>
              <w:bottom w:val="single" w:sz="4" w:space="0" w:color="auto"/>
              <w:right w:val="single" w:sz="4" w:space="0" w:color="auto"/>
            </w:tcBorders>
          </w:tcPr>
          <w:p w:rsidR="00BF40D2" w:rsidRPr="004F7F5E" w:rsidRDefault="00BF40D2" w:rsidP="00764FFF">
            <w:pPr>
              <w:spacing w:after="0" w:line="240" w:lineRule="auto"/>
              <w:rPr>
                <w:rFonts w:ascii="Times New Roman" w:hAnsi="Times New Roman"/>
                <w:sz w:val="18"/>
                <w:szCs w:val="18"/>
              </w:rPr>
            </w:pPr>
          </w:p>
        </w:tc>
      </w:tr>
      <w:tr w:rsidR="00BF40D2" w:rsidRPr="004F7F5E" w:rsidTr="00074867">
        <w:trPr>
          <w:jc w:val="center"/>
        </w:trPr>
        <w:tc>
          <w:tcPr>
            <w:tcW w:w="562" w:type="dxa"/>
            <w:vMerge/>
            <w:tcBorders>
              <w:left w:val="single" w:sz="4" w:space="0" w:color="auto"/>
              <w:right w:val="single" w:sz="4" w:space="0" w:color="auto"/>
            </w:tcBorders>
            <w:shd w:val="clear" w:color="auto" w:fill="D9E2F3" w:themeFill="accent5" w:themeFillTint="33"/>
            <w:vAlign w:val="center"/>
            <w:hideMark/>
          </w:tcPr>
          <w:p w:rsidR="00BF40D2" w:rsidRPr="004F7F5E" w:rsidRDefault="00BF40D2" w:rsidP="00764FFF">
            <w:pPr>
              <w:spacing w:after="0" w:line="240" w:lineRule="auto"/>
              <w:rPr>
                <w:sz w:val="18"/>
                <w:szCs w:val="18"/>
              </w:rPr>
            </w:pPr>
          </w:p>
        </w:tc>
        <w:tc>
          <w:tcPr>
            <w:tcW w:w="12616" w:type="dxa"/>
            <w:tcBorders>
              <w:top w:val="single" w:sz="4" w:space="0" w:color="auto"/>
              <w:left w:val="single" w:sz="4" w:space="0" w:color="auto"/>
              <w:bottom w:val="single" w:sz="4" w:space="0" w:color="auto"/>
              <w:right w:val="single" w:sz="4" w:space="0" w:color="auto"/>
            </w:tcBorders>
            <w:hideMark/>
          </w:tcPr>
          <w:p w:rsidR="00BF40D2" w:rsidRPr="004F7F5E" w:rsidRDefault="00BF40D2" w:rsidP="00764FFF">
            <w:pPr>
              <w:spacing w:after="0" w:line="240" w:lineRule="auto"/>
              <w:jc w:val="both"/>
              <w:rPr>
                <w:rFonts w:ascii="Times New Roman" w:hAnsi="Times New Roman"/>
                <w:sz w:val="18"/>
                <w:szCs w:val="18"/>
              </w:rPr>
            </w:pPr>
            <w:r w:rsidRPr="004F7F5E">
              <w:rPr>
                <w:rFonts w:ascii="Times New Roman" w:hAnsi="Times New Roman"/>
                <w:sz w:val="18"/>
                <w:szCs w:val="18"/>
              </w:rPr>
              <w:t>Niveau de remise en état ou d’aménagement des sites d’emprunt pour un usage utile et sécurisé.</w:t>
            </w:r>
          </w:p>
        </w:tc>
        <w:tc>
          <w:tcPr>
            <w:tcW w:w="2977" w:type="dxa"/>
            <w:tcBorders>
              <w:top w:val="single" w:sz="4" w:space="0" w:color="auto"/>
              <w:left w:val="single" w:sz="4" w:space="0" w:color="auto"/>
              <w:bottom w:val="single" w:sz="4" w:space="0" w:color="auto"/>
              <w:right w:val="single" w:sz="4" w:space="0" w:color="auto"/>
            </w:tcBorders>
          </w:tcPr>
          <w:p w:rsidR="00BF40D2" w:rsidRPr="004F7F5E" w:rsidRDefault="00BF40D2" w:rsidP="00764FFF">
            <w:pPr>
              <w:spacing w:after="0" w:line="240" w:lineRule="auto"/>
              <w:rPr>
                <w:rFonts w:ascii="Times New Roman" w:hAnsi="Times New Roman"/>
                <w:sz w:val="18"/>
                <w:szCs w:val="18"/>
              </w:rPr>
            </w:pPr>
          </w:p>
        </w:tc>
      </w:tr>
      <w:tr w:rsidR="00BF40D2" w:rsidRPr="004F7F5E" w:rsidTr="00074867">
        <w:trPr>
          <w:jc w:val="center"/>
        </w:trPr>
        <w:tc>
          <w:tcPr>
            <w:tcW w:w="562" w:type="dxa"/>
            <w:vMerge/>
            <w:tcBorders>
              <w:left w:val="single" w:sz="4" w:space="0" w:color="auto"/>
              <w:right w:val="single" w:sz="4" w:space="0" w:color="auto"/>
            </w:tcBorders>
            <w:shd w:val="clear" w:color="auto" w:fill="D9E2F3" w:themeFill="accent5" w:themeFillTint="33"/>
            <w:vAlign w:val="center"/>
            <w:hideMark/>
          </w:tcPr>
          <w:p w:rsidR="00BF40D2" w:rsidRPr="004F7F5E" w:rsidRDefault="00BF40D2" w:rsidP="00764FFF">
            <w:pPr>
              <w:spacing w:after="0" w:line="240" w:lineRule="auto"/>
              <w:rPr>
                <w:sz w:val="18"/>
                <w:szCs w:val="18"/>
              </w:rPr>
            </w:pPr>
          </w:p>
        </w:tc>
        <w:tc>
          <w:tcPr>
            <w:tcW w:w="12616" w:type="dxa"/>
            <w:tcBorders>
              <w:top w:val="single" w:sz="4" w:space="0" w:color="auto"/>
              <w:left w:val="single" w:sz="4" w:space="0" w:color="auto"/>
              <w:bottom w:val="single" w:sz="4" w:space="0" w:color="auto"/>
              <w:right w:val="single" w:sz="4" w:space="0" w:color="auto"/>
            </w:tcBorders>
            <w:hideMark/>
          </w:tcPr>
          <w:p w:rsidR="00BF40D2" w:rsidRPr="004F7F5E" w:rsidRDefault="00BF40D2" w:rsidP="00764FFF">
            <w:pPr>
              <w:spacing w:after="0" w:line="240" w:lineRule="auto"/>
              <w:jc w:val="both"/>
              <w:rPr>
                <w:rFonts w:ascii="Times New Roman" w:hAnsi="Times New Roman"/>
                <w:sz w:val="18"/>
                <w:szCs w:val="18"/>
              </w:rPr>
            </w:pPr>
            <w:r w:rsidRPr="004F7F5E">
              <w:rPr>
                <w:rFonts w:ascii="Times New Roman" w:hAnsi="Times New Roman"/>
                <w:sz w:val="18"/>
                <w:szCs w:val="18"/>
              </w:rPr>
              <w:t>Niveau de satisfaction des personnes bénéficiaires du projet ‘PBP)</w:t>
            </w:r>
          </w:p>
        </w:tc>
        <w:tc>
          <w:tcPr>
            <w:tcW w:w="2977" w:type="dxa"/>
            <w:tcBorders>
              <w:top w:val="single" w:sz="4" w:space="0" w:color="auto"/>
              <w:left w:val="single" w:sz="4" w:space="0" w:color="auto"/>
              <w:bottom w:val="single" w:sz="4" w:space="0" w:color="auto"/>
              <w:right w:val="single" w:sz="4" w:space="0" w:color="auto"/>
            </w:tcBorders>
          </w:tcPr>
          <w:p w:rsidR="00BF40D2" w:rsidRPr="004F7F5E" w:rsidRDefault="00BF40D2" w:rsidP="00764FFF">
            <w:pPr>
              <w:spacing w:after="0" w:line="240" w:lineRule="auto"/>
              <w:rPr>
                <w:rFonts w:ascii="Times New Roman" w:hAnsi="Times New Roman"/>
                <w:sz w:val="18"/>
                <w:szCs w:val="18"/>
              </w:rPr>
            </w:pPr>
          </w:p>
        </w:tc>
      </w:tr>
      <w:tr w:rsidR="00BF40D2" w:rsidRPr="004F7F5E" w:rsidTr="00074867">
        <w:trPr>
          <w:jc w:val="center"/>
        </w:trPr>
        <w:tc>
          <w:tcPr>
            <w:tcW w:w="562" w:type="dxa"/>
            <w:vMerge/>
            <w:tcBorders>
              <w:left w:val="single" w:sz="4" w:space="0" w:color="auto"/>
              <w:bottom w:val="single" w:sz="4" w:space="0" w:color="auto"/>
              <w:right w:val="single" w:sz="4" w:space="0" w:color="auto"/>
            </w:tcBorders>
            <w:shd w:val="clear" w:color="auto" w:fill="D9E2F3" w:themeFill="accent5" w:themeFillTint="33"/>
            <w:vAlign w:val="center"/>
            <w:hideMark/>
          </w:tcPr>
          <w:p w:rsidR="00BF40D2" w:rsidRPr="004F7F5E" w:rsidRDefault="00BF40D2" w:rsidP="00764FFF">
            <w:pPr>
              <w:spacing w:after="0" w:line="240" w:lineRule="auto"/>
              <w:rPr>
                <w:sz w:val="18"/>
                <w:szCs w:val="18"/>
              </w:rPr>
            </w:pPr>
          </w:p>
        </w:tc>
        <w:tc>
          <w:tcPr>
            <w:tcW w:w="12616" w:type="dxa"/>
            <w:tcBorders>
              <w:top w:val="single" w:sz="4" w:space="0" w:color="auto"/>
              <w:left w:val="single" w:sz="4" w:space="0" w:color="auto"/>
              <w:bottom w:val="single" w:sz="4" w:space="0" w:color="auto"/>
              <w:right w:val="single" w:sz="4" w:space="0" w:color="auto"/>
            </w:tcBorders>
            <w:hideMark/>
          </w:tcPr>
          <w:p w:rsidR="00BF40D2" w:rsidRPr="004F7F5E" w:rsidRDefault="00BF40D2" w:rsidP="00764FFF">
            <w:pPr>
              <w:spacing w:after="0" w:line="240" w:lineRule="auto"/>
              <w:jc w:val="both"/>
              <w:rPr>
                <w:rFonts w:ascii="Times New Roman" w:hAnsi="Times New Roman"/>
                <w:sz w:val="18"/>
                <w:szCs w:val="18"/>
              </w:rPr>
            </w:pPr>
            <w:r w:rsidRPr="004F7F5E">
              <w:rPr>
                <w:rFonts w:ascii="Times New Roman" w:hAnsi="Times New Roman"/>
                <w:sz w:val="18"/>
                <w:szCs w:val="18"/>
              </w:rPr>
              <w:t xml:space="preserve">Mise en place d’un système de prélèvement et de mesure pour contrôler la qualité des eaux </w:t>
            </w:r>
          </w:p>
        </w:tc>
        <w:tc>
          <w:tcPr>
            <w:tcW w:w="2977" w:type="dxa"/>
            <w:tcBorders>
              <w:top w:val="single" w:sz="4" w:space="0" w:color="auto"/>
              <w:left w:val="single" w:sz="4" w:space="0" w:color="auto"/>
              <w:bottom w:val="single" w:sz="4" w:space="0" w:color="auto"/>
              <w:right w:val="single" w:sz="4" w:space="0" w:color="auto"/>
            </w:tcBorders>
          </w:tcPr>
          <w:p w:rsidR="00BF40D2" w:rsidRPr="004F7F5E" w:rsidRDefault="00BF40D2" w:rsidP="00764FFF">
            <w:pPr>
              <w:spacing w:after="0" w:line="240" w:lineRule="auto"/>
              <w:rPr>
                <w:rFonts w:ascii="Times New Roman" w:hAnsi="Times New Roman"/>
                <w:sz w:val="18"/>
                <w:szCs w:val="18"/>
              </w:rPr>
            </w:pPr>
          </w:p>
        </w:tc>
      </w:tr>
    </w:tbl>
    <w:p w:rsidR="00BF40D2" w:rsidRDefault="004F7F5E" w:rsidP="00764FFF">
      <w:pPr>
        <w:tabs>
          <w:tab w:val="left" w:pos="2250"/>
        </w:tabs>
        <w:rPr>
          <w:rFonts w:ascii="Times New Roman" w:hAnsi="Times New Roman"/>
        </w:rPr>
        <w:sectPr w:rsidR="00BF40D2" w:rsidSect="00BF40D2">
          <w:pgSz w:w="16838" w:h="11906" w:orient="landscape"/>
          <w:pgMar w:top="567" w:right="1134" w:bottom="1418" w:left="851" w:header="284" w:footer="709" w:gutter="0"/>
          <w:cols w:space="708"/>
          <w:docGrid w:linePitch="360"/>
        </w:sectPr>
      </w:pPr>
      <w:r w:rsidRPr="00BF40D2">
        <w:rPr>
          <w:noProof/>
          <w:sz w:val="28"/>
          <w:szCs w:val="28"/>
          <w:u w:val="single"/>
          <w:lang w:val="pt-PT" w:eastAsia="pt-PT"/>
        </w:rPr>
        <mc:AlternateContent>
          <mc:Choice Requires="wps">
            <w:drawing>
              <wp:anchor distT="45720" distB="45720" distL="114300" distR="114300" simplePos="0" relativeHeight="252272128" behindDoc="0" locked="0" layoutInCell="1" allowOverlap="1" wp14:anchorId="61755B8B" wp14:editId="6E45DAEE">
                <wp:simplePos x="0" y="0"/>
                <wp:positionH relativeFrom="page">
                  <wp:align>center</wp:align>
                </wp:positionH>
                <wp:positionV relativeFrom="margin">
                  <wp:align>bottom</wp:align>
                </wp:positionV>
                <wp:extent cx="9728200" cy="937895"/>
                <wp:effectExtent l="0" t="0" r="25400" b="10160"/>
                <wp:wrapSquare wrapText="bothSides"/>
                <wp:docPr id="47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28200" cy="937895"/>
                        </a:xfrm>
                        <a:prstGeom prst="rect">
                          <a:avLst/>
                        </a:prstGeom>
                        <a:solidFill>
                          <a:srgbClr val="FFFFFF"/>
                        </a:solidFill>
                        <a:ln w="9525">
                          <a:solidFill>
                            <a:srgbClr val="000000"/>
                          </a:solidFill>
                          <a:miter lim="800000"/>
                          <a:headEnd/>
                          <a:tailEnd/>
                        </a:ln>
                      </wps:spPr>
                      <wps:txbx>
                        <w:txbxContent>
                          <w:p w:rsidR="003C548E" w:rsidRPr="00BF40D2" w:rsidRDefault="003C548E" w:rsidP="00BF40D2">
                            <w:pPr>
                              <w:shd w:val="clear" w:color="auto" w:fill="F7CAAC" w:themeFill="accent2" w:themeFillTint="66"/>
                              <w:spacing w:after="0"/>
                              <w:jc w:val="center"/>
                              <w:rPr>
                                <w:rFonts w:ascii="Times New Roman" w:hAnsi="Times New Roman" w:cs="Times New Roman"/>
                              </w:rPr>
                            </w:pPr>
                            <w:r w:rsidRPr="00BF40D2">
                              <w:rPr>
                                <w:rFonts w:ascii="Times New Roman" w:hAnsi="Times New Roman" w:cs="Times New Roman"/>
                                <w:b/>
                              </w:rPr>
                              <w:t xml:space="preserve">Remarque </w:t>
                            </w:r>
                            <w:r w:rsidRPr="00BF40D2">
                              <w:rPr>
                                <w:rFonts w:ascii="Times New Roman" w:hAnsi="Times New Roman" w:cs="Times New Roman"/>
                              </w:rPr>
                              <w:t>: cette liste n’est pas exhaustive et il appartient au Responsable environnement de la Mission de Contrôle de l’agrémenter, de l’adapter et de l’orienter vers les spécificités du projet et les réalités du terrain.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cx1="http://schemas.microsoft.com/office/drawing/2015/9/8/chartex">
            <w:pict>
              <v:shape w14:anchorId="61755B8B" id="_x0000_s1066" type="#_x0000_t202" style="position:absolute;margin-left:0;margin-top:0;width:766pt;height:73.85pt;z-index:252272128;visibility:visible;mso-wrap-style:square;mso-width-percent:0;mso-height-percent:200;mso-wrap-distance-left:9pt;mso-wrap-distance-top:3.6pt;mso-wrap-distance-right:9pt;mso-wrap-distance-bottom:3.6pt;mso-position-horizontal:center;mso-position-horizontal-relative:page;mso-position-vertical:bottom;mso-position-vertical-relative:margin;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">
                <v:textbox style="mso-fit-shape-to-text:t">
                  <w:txbxContent>
                    <w:p w:rsidR="003C548E" w:rsidRPr="00BF40D2" w:rsidRDefault="003C548E" w:rsidP="00BF40D2">
                      <w:pPr>
                        <w:shd w:val="clear" w:color="auto" w:fill="F7CAAC" w:themeFill="accent2" w:themeFillTint="66"/>
                        <w:spacing w:after="0"/>
                        <w:jc w:val="center"/>
                        <w:rPr>
                          <w:rFonts w:ascii="Times New Roman" w:hAnsi="Times New Roman" w:cs="Times New Roman"/>
                        </w:rPr>
                      </w:pPr>
                      <w:r w:rsidRPr="00BF40D2">
                        <w:rPr>
                          <w:rFonts w:ascii="Times New Roman" w:hAnsi="Times New Roman" w:cs="Times New Roman"/>
                          <w:b/>
                        </w:rPr>
                        <w:t xml:space="preserve">Remarque </w:t>
                      </w:r>
                      <w:r w:rsidRPr="00BF40D2">
                        <w:rPr>
                          <w:rFonts w:ascii="Times New Roman" w:hAnsi="Times New Roman" w:cs="Times New Roman"/>
                        </w:rPr>
                        <w:t>: cette liste n’est pas exhaustive et il appartient au Responsable environnement de la Mission de Contrôle de l’agrémenter, de l’adapter et de l’orienter vers les spécificités du projet et les réalités du terrain.</w:t>
                      </w:r>
                    </w:p>
                  </w:txbxContent>
                </v:textbox>
                <w10:wrap type="square" anchorx="page" anchory="margin"/>
              </v:shape>
            </w:pict>
          </mc:Fallback>
        </mc:AlternateContent>
      </w:r>
    </w:p>
    <w:p w:rsidR="00764FFF" w:rsidRPr="0034305A" w:rsidRDefault="00764FFF" w:rsidP="00EE3027">
      <w:pPr>
        <w:pStyle w:val="Cabealho2"/>
        <w:rPr>
          <w:sz w:val="28"/>
          <w:szCs w:val="28"/>
          <w:u w:val="single"/>
        </w:rPr>
      </w:pPr>
      <w:bookmarkStart w:id="627" w:name="_Toc535408373"/>
      <w:bookmarkStart w:id="628" w:name="_Toc11158390"/>
      <w:bookmarkStart w:id="629" w:name="_Toc51072608"/>
      <w:r>
        <w:rPr>
          <w:sz w:val="28"/>
          <w:szCs w:val="28"/>
          <w:u w:val="single"/>
        </w:rPr>
        <w:lastRenderedPageBreak/>
        <w:t>8</w:t>
      </w:r>
      <w:r w:rsidRPr="0034305A">
        <w:rPr>
          <w:sz w:val="28"/>
          <w:szCs w:val="28"/>
          <w:u w:val="single"/>
        </w:rPr>
        <w:t>.4. PROGRAMME DE RENFORCEMENT DES CAPACITES</w:t>
      </w:r>
      <w:bookmarkEnd w:id="627"/>
      <w:bookmarkEnd w:id="628"/>
      <w:bookmarkEnd w:id="629"/>
      <w:r w:rsidRPr="0034305A">
        <w:rPr>
          <w:sz w:val="28"/>
          <w:szCs w:val="28"/>
          <w:u w:val="single"/>
        </w:rPr>
        <w:t xml:space="preserve"> </w:t>
      </w:r>
    </w:p>
    <w:p w:rsidR="00764FFF" w:rsidRPr="00D335A7" w:rsidRDefault="00764FFF" w:rsidP="00764FFF">
      <w:pPr>
        <w:overflowPunct w:val="0"/>
        <w:autoSpaceDE w:val="0"/>
        <w:autoSpaceDN w:val="0"/>
        <w:adjustRightInd w:val="0"/>
        <w:spacing w:after="0" w:line="276" w:lineRule="auto"/>
        <w:jc w:val="both"/>
        <w:rPr>
          <w:rFonts w:ascii="Times New Roman" w:hAnsi="Times New Roman"/>
          <w:bCs/>
          <w:sz w:val="24"/>
          <w:szCs w:val="24"/>
          <w:lang w:eastAsia="fr-FR"/>
        </w:rPr>
      </w:pPr>
      <w:r w:rsidRPr="00D335A7">
        <w:rPr>
          <w:rFonts w:ascii="Times New Roman" w:hAnsi="Times New Roman"/>
          <w:bCs/>
          <w:sz w:val="24"/>
          <w:szCs w:val="24"/>
          <w:lang w:eastAsia="fr-FR"/>
        </w:rPr>
        <w:t xml:space="preserve">Il est ressorti des entretiens avec les différents acteurs impliqués dans la mise en œuvre du PGES, que pour leur permettre de remplir correctement leur mission, il est indispensable de mettre en place un programme de renforcement des capacités, d'information et de sensibilisation de ces différents acteurs. </w:t>
      </w:r>
    </w:p>
    <w:p w:rsidR="00764FFF" w:rsidRPr="00D335A7" w:rsidRDefault="00764FFF" w:rsidP="00764FFF">
      <w:pPr>
        <w:overflowPunct w:val="0"/>
        <w:autoSpaceDE w:val="0"/>
        <w:autoSpaceDN w:val="0"/>
        <w:adjustRightInd w:val="0"/>
        <w:spacing w:after="0" w:line="276" w:lineRule="auto"/>
        <w:jc w:val="both"/>
        <w:rPr>
          <w:rFonts w:ascii="Times New Roman" w:hAnsi="Times New Roman"/>
          <w:bCs/>
          <w:sz w:val="24"/>
          <w:szCs w:val="24"/>
          <w:lang w:eastAsia="fr-FR"/>
        </w:rPr>
      </w:pPr>
      <w:r w:rsidRPr="00D335A7">
        <w:rPr>
          <w:rFonts w:ascii="Times New Roman" w:hAnsi="Times New Roman"/>
          <w:bCs/>
          <w:sz w:val="24"/>
          <w:szCs w:val="24"/>
          <w:lang w:eastAsia="fr-FR"/>
        </w:rPr>
        <w:t>Ces mesures visent les acteurs impliqués dans les travaux (AAAC), Entreprise</w:t>
      </w:r>
      <w:r>
        <w:rPr>
          <w:rFonts w:ascii="Times New Roman" w:hAnsi="Times New Roman"/>
          <w:bCs/>
          <w:sz w:val="24"/>
          <w:szCs w:val="24"/>
          <w:lang w:eastAsia="fr-FR"/>
        </w:rPr>
        <w:t>s</w:t>
      </w:r>
      <w:r w:rsidRPr="00D335A7">
        <w:rPr>
          <w:rFonts w:ascii="Times New Roman" w:hAnsi="Times New Roman"/>
          <w:bCs/>
          <w:sz w:val="24"/>
          <w:szCs w:val="24"/>
          <w:lang w:eastAsia="fr-FR"/>
        </w:rPr>
        <w:t xml:space="preserve"> de travaux et Bureau</w:t>
      </w:r>
      <w:r>
        <w:rPr>
          <w:rFonts w:ascii="Times New Roman" w:hAnsi="Times New Roman"/>
          <w:bCs/>
          <w:sz w:val="24"/>
          <w:szCs w:val="24"/>
          <w:lang w:eastAsia="fr-FR"/>
        </w:rPr>
        <w:t>x</w:t>
      </w:r>
      <w:r w:rsidRPr="00D335A7">
        <w:rPr>
          <w:rFonts w:ascii="Times New Roman" w:hAnsi="Times New Roman"/>
          <w:bCs/>
          <w:sz w:val="24"/>
          <w:szCs w:val="24"/>
          <w:lang w:eastAsia="fr-FR"/>
        </w:rPr>
        <w:t xml:space="preserve"> de contrôle…).  Les sujets seront centrés autour :</w:t>
      </w:r>
    </w:p>
    <w:p w:rsidR="00764FFF" w:rsidRPr="00D335A7" w:rsidRDefault="00764FFF" w:rsidP="00FA3FAE">
      <w:pPr>
        <w:pStyle w:val="Listecouleur-Accent11"/>
        <w:numPr>
          <w:ilvl w:val="0"/>
          <w:numId w:val="115"/>
        </w:numPr>
        <w:overflowPunct w:val="0"/>
        <w:autoSpaceDE w:val="0"/>
        <w:autoSpaceDN w:val="0"/>
        <w:adjustRightInd w:val="0"/>
        <w:spacing w:line="276" w:lineRule="auto"/>
        <w:rPr>
          <w:rFonts w:ascii="Times New Roman" w:hAnsi="Times New Roman"/>
          <w:bCs/>
          <w:sz w:val="24"/>
          <w:szCs w:val="24"/>
          <w:lang w:val="fr-FR" w:eastAsia="fr-FR"/>
        </w:rPr>
      </w:pPr>
      <w:r>
        <w:rPr>
          <w:rFonts w:ascii="Times New Roman" w:hAnsi="Times New Roman"/>
          <w:bCs/>
          <w:sz w:val="24"/>
          <w:szCs w:val="24"/>
          <w:lang w:val="fr-FR" w:eastAsia="fr-FR"/>
        </w:rPr>
        <w:t>Des</w:t>
      </w:r>
      <w:r w:rsidRPr="00D335A7">
        <w:rPr>
          <w:rFonts w:ascii="Times New Roman" w:hAnsi="Times New Roman"/>
          <w:bCs/>
          <w:sz w:val="24"/>
          <w:szCs w:val="24"/>
          <w:lang w:val="fr-FR" w:eastAsia="fr-FR"/>
        </w:rPr>
        <w:t xml:space="preserve"> enjeux des environnementaux et sociaux des travaux ;</w:t>
      </w:r>
    </w:p>
    <w:p w:rsidR="00764FFF" w:rsidRPr="00D335A7" w:rsidRDefault="00764FFF" w:rsidP="00FA3FAE">
      <w:pPr>
        <w:pStyle w:val="Listecouleur-Accent11"/>
        <w:numPr>
          <w:ilvl w:val="0"/>
          <w:numId w:val="115"/>
        </w:numPr>
        <w:overflowPunct w:val="0"/>
        <w:autoSpaceDE w:val="0"/>
        <w:autoSpaceDN w:val="0"/>
        <w:adjustRightInd w:val="0"/>
        <w:spacing w:line="276" w:lineRule="auto"/>
        <w:rPr>
          <w:rFonts w:ascii="Times New Roman" w:hAnsi="Times New Roman"/>
          <w:bCs/>
          <w:sz w:val="24"/>
          <w:szCs w:val="24"/>
          <w:lang w:val="fr-FR" w:eastAsia="fr-FR"/>
        </w:rPr>
      </w:pPr>
      <w:r>
        <w:rPr>
          <w:rFonts w:ascii="Times New Roman" w:hAnsi="Times New Roman"/>
          <w:bCs/>
          <w:sz w:val="24"/>
          <w:szCs w:val="24"/>
          <w:lang w:val="fr-FR" w:eastAsia="fr-FR"/>
        </w:rPr>
        <w:t>De</w:t>
      </w:r>
      <w:r w:rsidRPr="00D335A7">
        <w:rPr>
          <w:rFonts w:ascii="Times New Roman" w:hAnsi="Times New Roman"/>
          <w:bCs/>
          <w:sz w:val="24"/>
          <w:szCs w:val="24"/>
          <w:lang w:val="fr-FR" w:eastAsia="fr-FR"/>
        </w:rPr>
        <w:t xml:space="preserve"> l’hygiène, de la santé et la sécurité ; et des réglementations environnementales appropriées ; </w:t>
      </w:r>
    </w:p>
    <w:p w:rsidR="00764FFF" w:rsidRPr="00D335A7" w:rsidRDefault="00764FFF" w:rsidP="00FA3FAE">
      <w:pPr>
        <w:pStyle w:val="Listecouleur-Accent11"/>
        <w:numPr>
          <w:ilvl w:val="0"/>
          <w:numId w:val="115"/>
        </w:numPr>
        <w:overflowPunct w:val="0"/>
        <w:autoSpaceDE w:val="0"/>
        <w:autoSpaceDN w:val="0"/>
        <w:adjustRightInd w:val="0"/>
        <w:spacing w:line="276" w:lineRule="auto"/>
        <w:rPr>
          <w:rFonts w:ascii="Times New Roman" w:hAnsi="Times New Roman"/>
          <w:bCs/>
          <w:sz w:val="24"/>
          <w:szCs w:val="24"/>
          <w:lang w:val="fr-FR" w:eastAsia="fr-FR"/>
        </w:rPr>
      </w:pPr>
      <w:r>
        <w:rPr>
          <w:rFonts w:ascii="Times New Roman" w:hAnsi="Times New Roman"/>
          <w:bCs/>
          <w:sz w:val="24"/>
          <w:szCs w:val="24"/>
          <w:lang w:val="fr-FR" w:eastAsia="fr-FR"/>
        </w:rPr>
        <w:t>Des</w:t>
      </w:r>
      <w:r w:rsidRPr="00D335A7">
        <w:rPr>
          <w:rFonts w:ascii="Times New Roman" w:hAnsi="Times New Roman"/>
          <w:bCs/>
          <w:sz w:val="24"/>
          <w:szCs w:val="24"/>
          <w:lang w:val="fr-FR" w:eastAsia="fr-FR"/>
        </w:rPr>
        <w:t xml:space="preserve"> bonnes pratiques environnementales et sociales ; </w:t>
      </w:r>
    </w:p>
    <w:p w:rsidR="00764FFF" w:rsidRPr="00D335A7" w:rsidRDefault="00764FFF" w:rsidP="00FA3FAE">
      <w:pPr>
        <w:pStyle w:val="Listecouleur-Accent11"/>
        <w:numPr>
          <w:ilvl w:val="0"/>
          <w:numId w:val="115"/>
        </w:numPr>
        <w:overflowPunct w:val="0"/>
        <w:autoSpaceDE w:val="0"/>
        <w:autoSpaceDN w:val="0"/>
        <w:adjustRightInd w:val="0"/>
        <w:spacing w:line="276" w:lineRule="auto"/>
        <w:rPr>
          <w:rFonts w:ascii="Times New Roman" w:hAnsi="Times New Roman"/>
          <w:bCs/>
          <w:sz w:val="24"/>
          <w:szCs w:val="24"/>
          <w:lang w:val="fr-FR" w:eastAsia="fr-FR"/>
        </w:rPr>
      </w:pPr>
      <w:r>
        <w:rPr>
          <w:rFonts w:ascii="Times New Roman" w:hAnsi="Times New Roman"/>
          <w:bCs/>
          <w:sz w:val="24"/>
          <w:szCs w:val="24"/>
          <w:lang w:val="fr-FR" w:eastAsia="fr-FR"/>
        </w:rPr>
        <w:t>Du</w:t>
      </w:r>
      <w:r w:rsidRPr="00D335A7">
        <w:rPr>
          <w:rFonts w:ascii="Times New Roman" w:hAnsi="Times New Roman"/>
          <w:bCs/>
          <w:sz w:val="24"/>
          <w:szCs w:val="24"/>
          <w:lang w:val="fr-FR" w:eastAsia="fr-FR"/>
        </w:rPr>
        <w:t xml:space="preserve"> contrôle environnemental des chantiers et du suivi environnemental. </w:t>
      </w:r>
    </w:p>
    <w:p w:rsidR="00764FFF" w:rsidRPr="00D335A7" w:rsidRDefault="00764FFF" w:rsidP="00764FFF">
      <w:pPr>
        <w:overflowPunct w:val="0"/>
        <w:autoSpaceDE w:val="0"/>
        <w:autoSpaceDN w:val="0"/>
        <w:adjustRightInd w:val="0"/>
        <w:spacing w:after="0" w:line="276" w:lineRule="auto"/>
        <w:jc w:val="both"/>
        <w:rPr>
          <w:rFonts w:ascii="Times New Roman" w:hAnsi="Times New Roman"/>
          <w:bCs/>
          <w:sz w:val="24"/>
          <w:szCs w:val="24"/>
          <w:lang w:eastAsia="fr-FR"/>
        </w:rPr>
      </w:pPr>
    </w:p>
    <w:p w:rsidR="00764FFF" w:rsidRPr="00D335A7" w:rsidRDefault="00764FFF" w:rsidP="00764FFF">
      <w:pPr>
        <w:overflowPunct w:val="0"/>
        <w:autoSpaceDE w:val="0"/>
        <w:autoSpaceDN w:val="0"/>
        <w:adjustRightInd w:val="0"/>
        <w:spacing w:after="0" w:line="276" w:lineRule="auto"/>
        <w:jc w:val="both"/>
        <w:rPr>
          <w:rFonts w:ascii="Times New Roman" w:hAnsi="Times New Roman"/>
          <w:bCs/>
          <w:sz w:val="24"/>
          <w:szCs w:val="24"/>
          <w:lang w:eastAsia="fr-FR"/>
        </w:rPr>
      </w:pPr>
      <w:r w:rsidRPr="00D335A7">
        <w:rPr>
          <w:rFonts w:ascii="Times New Roman" w:hAnsi="Times New Roman"/>
          <w:bCs/>
          <w:sz w:val="24"/>
          <w:szCs w:val="24"/>
          <w:lang w:eastAsia="fr-FR"/>
        </w:rPr>
        <w:t>Le tableau ci-dessous aborde les éléments qui pourraient faciliter la mise en œuvre du PGES.</w:t>
      </w:r>
    </w:p>
    <w:p w:rsidR="00764FFF" w:rsidRPr="00D335A7" w:rsidRDefault="00764FFF" w:rsidP="00764FFF">
      <w:pPr>
        <w:overflowPunct w:val="0"/>
        <w:autoSpaceDE w:val="0"/>
        <w:autoSpaceDN w:val="0"/>
        <w:adjustRightInd w:val="0"/>
        <w:spacing w:after="0" w:line="276" w:lineRule="auto"/>
        <w:jc w:val="both"/>
        <w:rPr>
          <w:rFonts w:ascii="Times New Roman" w:hAnsi="Times New Roman"/>
          <w:bCs/>
          <w:sz w:val="20"/>
          <w:szCs w:val="20"/>
          <w:lang w:eastAsia="fr-FR"/>
        </w:rPr>
      </w:pPr>
    </w:p>
    <w:p w:rsidR="00764FFF" w:rsidRPr="00D335A7" w:rsidRDefault="00764FFF" w:rsidP="00764FFF">
      <w:pPr>
        <w:pStyle w:val="Legenda"/>
        <w:spacing w:before="0" w:after="0"/>
        <w:rPr>
          <w:rFonts w:ascii="Times New Roman" w:eastAsia="Times New Roman" w:hAnsi="Times New Roman"/>
          <w:bCs/>
          <w:color w:val="auto"/>
          <w:sz w:val="20"/>
          <w:szCs w:val="20"/>
          <w:lang w:val="fr-FR"/>
        </w:rPr>
      </w:pPr>
      <w:bookmarkStart w:id="630" w:name="_Toc535408496"/>
      <w:bookmarkStart w:id="631" w:name="_Toc11158778"/>
      <w:bookmarkStart w:id="632" w:name="_Toc51074027"/>
      <w:r w:rsidRPr="00D335A7">
        <w:rPr>
          <w:rFonts w:ascii="Times New Roman" w:hAnsi="Times New Roman"/>
          <w:color w:val="auto"/>
          <w:sz w:val="20"/>
          <w:szCs w:val="20"/>
          <w:lang w:val="fr-FR"/>
        </w:rPr>
        <w:t xml:space="preserve">Tableau </w:t>
      </w:r>
      <w:r w:rsidRPr="00D335A7">
        <w:rPr>
          <w:rFonts w:ascii="Times New Roman" w:hAnsi="Times New Roman"/>
          <w:color w:val="auto"/>
          <w:sz w:val="20"/>
          <w:szCs w:val="20"/>
          <w:lang w:val="fr-FR"/>
        </w:rPr>
        <w:fldChar w:fldCharType="begin"/>
      </w:r>
      <w:r w:rsidRPr="00D335A7">
        <w:rPr>
          <w:rFonts w:ascii="Times New Roman" w:hAnsi="Times New Roman"/>
          <w:color w:val="auto"/>
          <w:sz w:val="20"/>
          <w:szCs w:val="20"/>
          <w:lang w:val="fr-FR"/>
        </w:rPr>
        <w:instrText xml:space="preserve"> </w:instrText>
      </w:r>
      <w:r>
        <w:rPr>
          <w:rFonts w:ascii="Times New Roman" w:hAnsi="Times New Roman"/>
          <w:color w:val="auto"/>
          <w:sz w:val="20"/>
          <w:szCs w:val="20"/>
          <w:lang w:val="fr-FR"/>
        </w:rPr>
        <w:instrText>SEQ</w:instrText>
      </w:r>
      <w:r w:rsidRPr="00D335A7">
        <w:rPr>
          <w:rFonts w:ascii="Times New Roman" w:hAnsi="Times New Roman"/>
          <w:color w:val="auto"/>
          <w:sz w:val="20"/>
          <w:szCs w:val="20"/>
          <w:lang w:val="fr-FR"/>
        </w:rPr>
        <w:instrText xml:space="preserve"> Tableau \* ARABIC </w:instrText>
      </w:r>
      <w:r w:rsidRPr="00D335A7">
        <w:rPr>
          <w:rFonts w:ascii="Times New Roman" w:hAnsi="Times New Roman"/>
          <w:color w:val="auto"/>
          <w:sz w:val="20"/>
          <w:szCs w:val="20"/>
          <w:lang w:val="fr-FR"/>
        </w:rPr>
        <w:fldChar w:fldCharType="separate"/>
      </w:r>
      <w:r w:rsidR="00820701">
        <w:rPr>
          <w:rFonts w:ascii="Times New Roman" w:hAnsi="Times New Roman"/>
          <w:noProof/>
          <w:color w:val="auto"/>
          <w:sz w:val="20"/>
          <w:szCs w:val="20"/>
          <w:lang w:val="fr-FR"/>
        </w:rPr>
        <w:t>36</w:t>
      </w:r>
      <w:r w:rsidRPr="00D335A7">
        <w:rPr>
          <w:rFonts w:ascii="Times New Roman" w:hAnsi="Times New Roman"/>
          <w:color w:val="auto"/>
          <w:sz w:val="20"/>
          <w:szCs w:val="20"/>
          <w:lang w:val="fr-FR"/>
        </w:rPr>
        <w:fldChar w:fldCharType="end"/>
      </w:r>
      <w:r w:rsidRPr="00D335A7">
        <w:rPr>
          <w:rFonts w:ascii="Times New Roman" w:eastAsia="Times New Roman" w:hAnsi="Times New Roman"/>
          <w:bCs/>
          <w:color w:val="auto"/>
          <w:sz w:val="20"/>
          <w:szCs w:val="20"/>
          <w:lang w:val="fr-FR"/>
        </w:rPr>
        <w:t xml:space="preserve">: Action </w:t>
      </w:r>
      <w:r>
        <w:rPr>
          <w:rFonts w:ascii="Times New Roman" w:eastAsia="Times New Roman" w:hAnsi="Times New Roman"/>
          <w:bCs/>
          <w:color w:val="auto"/>
          <w:sz w:val="20"/>
          <w:szCs w:val="20"/>
          <w:lang w:val="fr-FR"/>
        </w:rPr>
        <w:t>d’</w:t>
      </w:r>
      <w:r w:rsidRPr="00D335A7">
        <w:rPr>
          <w:rFonts w:ascii="Times New Roman" w:eastAsia="Times New Roman" w:hAnsi="Times New Roman"/>
          <w:bCs/>
          <w:color w:val="auto"/>
          <w:sz w:val="20"/>
          <w:szCs w:val="20"/>
          <w:lang w:val="fr-FR"/>
        </w:rPr>
        <w:t>information et de sensibilisation et d’appui</w:t>
      </w:r>
      <w:bookmarkEnd w:id="630"/>
      <w:bookmarkEnd w:id="631"/>
      <w:bookmarkEnd w:id="632"/>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4536"/>
        <w:gridCol w:w="1985"/>
        <w:gridCol w:w="1696"/>
      </w:tblGrid>
      <w:tr w:rsidR="00764FFF" w:rsidRPr="00AA45E9" w:rsidTr="00764FFF">
        <w:tc>
          <w:tcPr>
            <w:tcW w:w="1696" w:type="dxa"/>
            <w:tcBorders>
              <w:bottom w:val="single" w:sz="4" w:space="0" w:color="auto"/>
            </w:tcBorders>
            <w:shd w:val="clear" w:color="auto" w:fill="002060"/>
            <w:vAlign w:val="center"/>
          </w:tcPr>
          <w:p w:rsidR="00764FFF" w:rsidRPr="00AA45E9" w:rsidRDefault="00764FFF" w:rsidP="00764FFF">
            <w:pPr>
              <w:spacing w:after="0" w:line="240" w:lineRule="auto"/>
              <w:jc w:val="center"/>
              <w:rPr>
                <w:rFonts w:ascii="Times New Roman" w:hAnsi="Times New Roman"/>
                <w:b/>
                <w:sz w:val="18"/>
                <w:szCs w:val="18"/>
              </w:rPr>
            </w:pPr>
            <w:r w:rsidRPr="00AA45E9">
              <w:rPr>
                <w:rFonts w:ascii="Times New Roman" w:hAnsi="Times New Roman"/>
                <w:b/>
                <w:sz w:val="18"/>
                <w:szCs w:val="18"/>
              </w:rPr>
              <w:t>Acteurs</w:t>
            </w:r>
          </w:p>
        </w:tc>
        <w:tc>
          <w:tcPr>
            <w:tcW w:w="4536" w:type="dxa"/>
            <w:tcBorders>
              <w:bottom w:val="single" w:sz="4" w:space="0" w:color="auto"/>
            </w:tcBorders>
            <w:shd w:val="clear" w:color="auto" w:fill="002060"/>
            <w:vAlign w:val="center"/>
          </w:tcPr>
          <w:p w:rsidR="00764FFF" w:rsidRPr="00AA45E9" w:rsidRDefault="00764FFF" w:rsidP="00764FFF">
            <w:pPr>
              <w:spacing w:after="0" w:line="240" w:lineRule="auto"/>
              <w:jc w:val="center"/>
              <w:rPr>
                <w:rFonts w:ascii="Times New Roman" w:hAnsi="Times New Roman"/>
                <w:b/>
                <w:sz w:val="18"/>
                <w:szCs w:val="18"/>
              </w:rPr>
            </w:pPr>
            <w:r w:rsidRPr="00AA45E9">
              <w:rPr>
                <w:rFonts w:ascii="Times New Roman" w:hAnsi="Times New Roman"/>
                <w:b/>
                <w:sz w:val="18"/>
                <w:szCs w:val="18"/>
              </w:rPr>
              <w:t>Actions</w:t>
            </w:r>
          </w:p>
        </w:tc>
        <w:tc>
          <w:tcPr>
            <w:tcW w:w="1985" w:type="dxa"/>
            <w:tcBorders>
              <w:bottom w:val="single" w:sz="4" w:space="0" w:color="auto"/>
            </w:tcBorders>
            <w:shd w:val="clear" w:color="auto" w:fill="002060"/>
            <w:vAlign w:val="center"/>
          </w:tcPr>
          <w:p w:rsidR="00764FFF" w:rsidRPr="00AA45E9" w:rsidRDefault="00764FFF" w:rsidP="00764FFF">
            <w:pPr>
              <w:spacing w:after="0" w:line="240" w:lineRule="auto"/>
              <w:jc w:val="center"/>
              <w:rPr>
                <w:rFonts w:ascii="Times New Roman" w:hAnsi="Times New Roman"/>
                <w:b/>
                <w:sz w:val="18"/>
                <w:szCs w:val="18"/>
              </w:rPr>
            </w:pPr>
            <w:r w:rsidRPr="00AA45E9">
              <w:rPr>
                <w:rFonts w:ascii="Times New Roman" w:hAnsi="Times New Roman"/>
                <w:b/>
                <w:sz w:val="18"/>
                <w:szCs w:val="18"/>
              </w:rPr>
              <w:t>Responsable de la mise en œuvre</w:t>
            </w:r>
          </w:p>
        </w:tc>
        <w:tc>
          <w:tcPr>
            <w:tcW w:w="1696" w:type="dxa"/>
            <w:tcBorders>
              <w:bottom w:val="single" w:sz="4" w:space="0" w:color="auto"/>
            </w:tcBorders>
            <w:shd w:val="clear" w:color="auto" w:fill="002060"/>
            <w:vAlign w:val="center"/>
          </w:tcPr>
          <w:p w:rsidR="00764FFF" w:rsidRPr="00AA45E9" w:rsidRDefault="00764FFF" w:rsidP="00764FFF">
            <w:pPr>
              <w:spacing w:after="0" w:line="240" w:lineRule="auto"/>
              <w:jc w:val="center"/>
              <w:rPr>
                <w:rFonts w:ascii="Times New Roman" w:hAnsi="Times New Roman"/>
                <w:b/>
                <w:sz w:val="18"/>
                <w:szCs w:val="18"/>
              </w:rPr>
            </w:pPr>
            <w:r w:rsidRPr="00AA45E9">
              <w:rPr>
                <w:rFonts w:ascii="Times New Roman" w:hAnsi="Times New Roman"/>
                <w:b/>
                <w:sz w:val="18"/>
                <w:szCs w:val="18"/>
              </w:rPr>
              <w:t>Coût de la mise en œuvre</w:t>
            </w:r>
          </w:p>
        </w:tc>
      </w:tr>
      <w:tr w:rsidR="00764FFF" w:rsidRPr="00AA45E9" w:rsidTr="00764FFF">
        <w:tc>
          <w:tcPr>
            <w:tcW w:w="1696" w:type="dxa"/>
            <w:tcBorders>
              <w:top w:val="single" w:sz="4" w:space="0" w:color="auto"/>
            </w:tcBorders>
            <w:vAlign w:val="center"/>
          </w:tcPr>
          <w:p w:rsidR="00764FFF" w:rsidRPr="00AA45E9" w:rsidRDefault="00764FFF" w:rsidP="00764FFF">
            <w:pPr>
              <w:overflowPunct w:val="0"/>
              <w:autoSpaceDE w:val="0"/>
              <w:autoSpaceDN w:val="0"/>
              <w:adjustRightInd w:val="0"/>
              <w:spacing w:after="0" w:line="276" w:lineRule="auto"/>
              <w:jc w:val="center"/>
              <w:rPr>
                <w:rFonts w:ascii="Times New Roman" w:hAnsi="Times New Roman"/>
                <w:b/>
                <w:bCs/>
                <w:sz w:val="18"/>
                <w:szCs w:val="18"/>
                <w:lang w:eastAsia="fr-FR"/>
              </w:rPr>
            </w:pPr>
            <w:r w:rsidRPr="00AA45E9">
              <w:rPr>
                <w:rFonts w:ascii="Times New Roman" w:hAnsi="Times New Roman"/>
                <w:b/>
                <w:bCs/>
                <w:sz w:val="18"/>
                <w:szCs w:val="18"/>
                <w:lang w:eastAsia="fr-FR"/>
              </w:rPr>
              <w:t>AAAC</w:t>
            </w:r>
          </w:p>
        </w:tc>
        <w:tc>
          <w:tcPr>
            <w:tcW w:w="4536" w:type="dxa"/>
            <w:tcBorders>
              <w:top w:val="single" w:sz="4" w:space="0" w:color="auto"/>
            </w:tcBorders>
            <w:vAlign w:val="center"/>
          </w:tcPr>
          <w:p w:rsidR="00764FFF" w:rsidRPr="00AA45E9" w:rsidRDefault="00764FFF" w:rsidP="00764FFF">
            <w:pPr>
              <w:overflowPunct w:val="0"/>
              <w:autoSpaceDE w:val="0"/>
              <w:autoSpaceDN w:val="0"/>
              <w:adjustRightInd w:val="0"/>
              <w:spacing w:after="0" w:line="276" w:lineRule="auto"/>
              <w:jc w:val="both"/>
              <w:rPr>
                <w:rFonts w:ascii="Times New Roman" w:hAnsi="Times New Roman"/>
                <w:bCs/>
                <w:sz w:val="18"/>
                <w:szCs w:val="18"/>
                <w:lang w:eastAsia="fr-FR"/>
              </w:rPr>
            </w:pPr>
            <w:r w:rsidRPr="00AA45E9">
              <w:rPr>
                <w:rFonts w:ascii="Times New Roman" w:hAnsi="Times New Roman"/>
                <w:bCs/>
                <w:sz w:val="18"/>
                <w:szCs w:val="18"/>
                <w:lang w:eastAsia="fr-FR"/>
              </w:rPr>
              <w:t>Appui sur le suivi environnemental et social</w:t>
            </w:r>
          </w:p>
          <w:p w:rsidR="00764FFF" w:rsidRPr="00AA45E9" w:rsidRDefault="00764FFF" w:rsidP="00764FFF">
            <w:pPr>
              <w:overflowPunct w:val="0"/>
              <w:autoSpaceDE w:val="0"/>
              <w:autoSpaceDN w:val="0"/>
              <w:adjustRightInd w:val="0"/>
              <w:spacing w:after="0" w:line="276" w:lineRule="auto"/>
              <w:jc w:val="both"/>
              <w:rPr>
                <w:rFonts w:ascii="Times New Roman" w:hAnsi="Times New Roman"/>
                <w:bCs/>
                <w:sz w:val="18"/>
                <w:szCs w:val="18"/>
                <w:lang w:eastAsia="fr-FR"/>
              </w:rPr>
            </w:pPr>
            <w:r w:rsidRPr="00AA45E9">
              <w:rPr>
                <w:rFonts w:ascii="Times New Roman" w:hAnsi="Times New Roman"/>
                <w:bCs/>
                <w:sz w:val="18"/>
                <w:szCs w:val="18"/>
                <w:lang w:eastAsia="fr-FR"/>
              </w:rPr>
              <w:t>•  Processus de suivi de la mise en œuvre du PGES</w:t>
            </w:r>
          </w:p>
          <w:p w:rsidR="00764FFF" w:rsidRPr="00AA45E9" w:rsidRDefault="00764FFF" w:rsidP="00764FFF">
            <w:pPr>
              <w:overflowPunct w:val="0"/>
              <w:autoSpaceDE w:val="0"/>
              <w:autoSpaceDN w:val="0"/>
              <w:adjustRightInd w:val="0"/>
              <w:spacing w:after="0" w:line="276" w:lineRule="auto"/>
              <w:jc w:val="both"/>
              <w:rPr>
                <w:rFonts w:ascii="Times New Roman" w:hAnsi="Times New Roman"/>
                <w:bCs/>
                <w:sz w:val="18"/>
                <w:szCs w:val="18"/>
                <w:lang w:eastAsia="fr-FR"/>
              </w:rPr>
            </w:pPr>
            <w:r w:rsidRPr="00AA45E9">
              <w:rPr>
                <w:rFonts w:ascii="Times New Roman" w:hAnsi="Times New Roman"/>
                <w:bCs/>
                <w:sz w:val="18"/>
                <w:szCs w:val="18"/>
                <w:lang w:eastAsia="fr-FR"/>
              </w:rPr>
              <w:t>•  Suivi des normes d’hygiène, santé et  sécurité</w:t>
            </w:r>
          </w:p>
        </w:tc>
        <w:tc>
          <w:tcPr>
            <w:tcW w:w="1985" w:type="dxa"/>
            <w:tcBorders>
              <w:top w:val="single" w:sz="4" w:space="0" w:color="auto"/>
            </w:tcBorders>
            <w:vAlign w:val="center"/>
          </w:tcPr>
          <w:p w:rsidR="00764FFF" w:rsidRPr="00AA45E9" w:rsidRDefault="00764FFF" w:rsidP="00764FFF">
            <w:pPr>
              <w:overflowPunct w:val="0"/>
              <w:autoSpaceDE w:val="0"/>
              <w:autoSpaceDN w:val="0"/>
              <w:adjustRightInd w:val="0"/>
              <w:spacing w:after="0" w:line="276" w:lineRule="auto"/>
              <w:jc w:val="center"/>
              <w:rPr>
                <w:rFonts w:ascii="Times New Roman" w:hAnsi="Times New Roman"/>
                <w:bCs/>
                <w:sz w:val="18"/>
                <w:szCs w:val="18"/>
                <w:lang w:eastAsia="fr-FR"/>
              </w:rPr>
            </w:pPr>
            <w:r w:rsidRPr="00AA45E9">
              <w:rPr>
                <w:rFonts w:ascii="Times New Roman" w:hAnsi="Times New Roman"/>
                <w:bCs/>
                <w:sz w:val="18"/>
                <w:szCs w:val="18"/>
                <w:lang w:eastAsia="fr-FR"/>
              </w:rPr>
              <w:t>UGP</w:t>
            </w:r>
          </w:p>
        </w:tc>
        <w:tc>
          <w:tcPr>
            <w:tcW w:w="1696" w:type="dxa"/>
            <w:tcBorders>
              <w:top w:val="single" w:sz="4" w:space="0" w:color="auto"/>
            </w:tcBorders>
            <w:vAlign w:val="center"/>
          </w:tcPr>
          <w:p w:rsidR="00764FFF" w:rsidRPr="00AA45E9" w:rsidRDefault="00764FFF" w:rsidP="00764FFF">
            <w:pPr>
              <w:overflowPunct w:val="0"/>
              <w:autoSpaceDE w:val="0"/>
              <w:autoSpaceDN w:val="0"/>
              <w:adjustRightInd w:val="0"/>
              <w:spacing w:after="0" w:line="276" w:lineRule="auto"/>
              <w:jc w:val="center"/>
              <w:rPr>
                <w:rFonts w:ascii="Times New Roman" w:hAnsi="Times New Roman"/>
                <w:bCs/>
                <w:sz w:val="18"/>
                <w:szCs w:val="18"/>
                <w:lang w:eastAsia="fr-FR"/>
              </w:rPr>
            </w:pPr>
            <w:r w:rsidRPr="00AA45E9">
              <w:rPr>
                <w:rFonts w:ascii="Times New Roman" w:hAnsi="Times New Roman"/>
                <w:sz w:val="20"/>
                <w:szCs w:val="20"/>
              </w:rPr>
              <w:t>Coût inclus dans le protocole d’accord entre le promoteur et le CRS</w:t>
            </w:r>
          </w:p>
        </w:tc>
      </w:tr>
      <w:tr w:rsidR="00764FFF" w:rsidRPr="00AA45E9" w:rsidTr="00764FFF">
        <w:tc>
          <w:tcPr>
            <w:tcW w:w="1696" w:type="dxa"/>
            <w:vAlign w:val="center"/>
          </w:tcPr>
          <w:p w:rsidR="00764FFF" w:rsidRPr="00AA45E9" w:rsidRDefault="00764FFF" w:rsidP="00764FFF">
            <w:pPr>
              <w:tabs>
                <w:tab w:val="left" w:pos="617"/>
              </w:tabs>
              <w:overflowPunct w:val="0"/>
              <w:autoSpaceDE w:val="0"/>
              <w:autoSpaceDN w:val="0"/>
              <w:adjustRightInd w:val="0"/>
              <w:spacing w:after="0" w:line="276" w:lineRule="auto"/>
              <w:jc w:val="center"/>
              <w:rPr>
                <w:rFonts w:ascii="Times New Roman" w:hAnsi="Times New Roman"/>
                <w:b/>
                <w:bCs/>
                <w:sz w:val="18"/>
                <w:szCs w:val="18"/>
                <w:lang w:eastAsia="fr-FR"/>
              </w:rPr>
            </w:pPr>
            <w:r w:rsidRPr="00AA45E9">
              <w:rPr>
                <w:rFonts w:ascii="Times New Roman" w:hAnsi="Times New Roman"/>
                <w:b/>
                <w:bCs/>
                <w:sz w:val="18"/>
                <w:szCs w:val="18"/>
                <w:lang w:eastAsia="fr-FR"/>
              </w:rPr>
              <w:t>Chefs de la</w:t>
            </w:r>
          </w:p>
          <w:p w:rsidR="00764FFF" w:rsidRPr="00AA45E9" w:rsidRDefault="00764FFF" w:rsidP="00764FFF">
            <w:pPr>
              <w:tabs>
                <w:tab w:val="left" w:pos="617"/>
              </w:tabs>
              <w:overflowPunct w:val="0"/>
              <w:autoSpaceDE w:val="0"/>
              <w:autoSpaceDN w:val="0"/>
              <w:adjustRightInd w:val="0"/>
              <w:spacing w:after="0" w:line="276" w:lineRule="auto"/>
              <w:jc w:val="center"/>
              <w:rPr>
                <w:rFonts w:ascii="Times New Roman" w:hAnsi="Times New Roman"/>
                <w:b/>
                <w:bCs/>
                <w:sz w:val="18"/>
                <w:szCs w:val="18"/>
                <w:lang w:eastAsia="fr-FR"/>
              </w:rPr>
            </w:pPr>
            <w:r w:rsidRPr="00AA45E9">
              <w:rPr>
                <w:rFonts w:ascii="Times New Roman" w:hAnsi="Times New Roman"/>
                <w:b/>
                <w:bCs/>
                <w:sz w:val="18"/>
                <w:szCs w:val="18"/>
                <w:lang w:eastAsia="fr-FR"/>
              </w:rPr>
              <w:t>Mission de</w:t>
            </w:r>
          </w:p>
          <w:p w:rsidR="00764FFF" w:rsidRPr="00AA45E9" w:rsidRDefault="00764FFF" w:rsidP="00764FFF">
            <w:pPr>
              <w:tabs>
                <w:tab w:val="left" w:pos="617"/>
              </w:tabs>
              <w:overflowPunct w:val="0"/>
              <w:autoSpaceDE w:val="0"/>
              <w:autoSpaceDN w:val="0"/>
              <w:adjustRightInd w:val="0"/>
              <w:spacing w:after="0" w:line="276" w:lineRule="auto"/>
              <w:jc w:val="center"/>
              <w:rPr>
                <w:rFonts w:ascii="Times New Roman" w:hAnsi="Times New Roman"/>
                <w:b/>
                <w:bCs/>
                <w:sz w:val="18"/>
                <w:szCs w:val="18"/>
                <w:lang w:eastAsia="fr-FR"/>
              </w:rPr>
            </w:pPr>
            <w:r w:rsidRPr="00AA45E9">
              <w:rPr>
                <w:rFonts w:ascii="Times New Roman" w:hAnsi="Times New Roman"/>
                <w:b/>
                <w:bCs/>
                <w:sz w:val="18"/>
                <w:szCs w:val="18"/>
                <w:lang w:eastAsia="fr-FR"/>
              </w:rPr>
              <w:t>Contrôle et de l’Entreprise de</w:t>
            </w:r>
          </w:p>
          <w:p w:rsidR="00764FFF" w:rsidRPr="00AA45E9" w:rsidRDefault="00764FFF" w:rsidP="00764FFF">
            <w:pPr>
              <w:tabs>
                <w:tab w:val="left" w:pos="617"/>
              </w:tabs>
              <w:overflowPunct w:val="0"/>
              <w:autoSpaceDE w:val="0"/>
              <w:autoSpaceDN w:val="0"/>
              <w:adjustRightInd w:val="0"/>
              <w:spacing w:after="0" w:line="276" w:lineRule="auto"/>
              <w:jc w:val="center"/>
              <w:rPr>
                <w:rFonts w:ascii="Times New Roman" w:hAnsi="Times New Roman"/>
                <w:b/>
                <w:bCs/>
                <w:sz w:val="18"/>
                <w:szCs w:val="18"/>
                <w:lang w:eastAsia="fr-FR"/>
              </w:rPr>
            </w:pPr>
            <w:r w:rsidRPr="00AA45E9">
              <w:rPr>
                <w:rFonts w:ascii="Times New Roman" w:hAnsi="Times New Roman"/>
                <w:b/>
                <w:bCs/>
                <w:sz w:val="18"/>
                <w:szCs w:val="18"/>
                <w:lang w:eastAsia="fr-FR"/>
              </w:rPr>
              <w:t>travaux</w:t>
            </w:r>
          </w:p>
        </w:tc>
        <w:tc>
          <w:tcPr>
            <w:tcW w:w="4536" w:type="dxa"/>
            <w:vAlign w:val="center"/>
          </w:tcPr>
          <w:p w:rsidR="00764FFF" w:rsidRPr="00AA45E9" w:rsidRDefault="00764FFF" w:rsidP="00764FFF">
            <w:pPr>
              <w:overflowPunct w:val="0"/>
              <w:autoSpaceDE w:val="0"/>
              <w:autoSpaceDN w:val="0"/>
              <w:adjustRightInd w:val="0"/>
              <w:spacing w:after="0" w:line="276" w:lineRule="auto"/>
              <w:jc w:val="both"/>
              <w:rPr>
                <w:rFonts w:ascii="Times New Roman" w:hAnsi="Times New Roman"/>
                <w:bCs/>
                <w:sz w:val="18"/>
                <w:szCs w:val="18"/>
                <w:lang w:eastAsia="fr-FR"/>
              </w:rPr>
            </w:pPr>
            <w:r w:rsidRPr="00AA45E9">
              <w:rPr>
                <w:rFonts w:ascii="Times New Roman" w:hAnsi="Times New Roman"/>
                <w:bCs/>
                <w:sz w:val="18"/>
                <w:szCs w:val="18"/>
                <w:lang w:eastAsia="fr-FR"/>
              </w:rPr>
              <w:t>Information/sensibilisation sur l’EIES</w:t>
            </w:r>
          </w:p>
          <w:p w:rsidR="00764FFF" w:rsidRPr="00AA45E9" w:rsidRDefault="00764FFF" w:rsidP="00764FFF">
            <w:pPr>
              <w:overflowPunct w:val="0"/>
              <w:autoSpaceDE w:val="0"/>
              <w:autoSpaceDN w:val="0"/>
              <w:adjustRightInd w:val="0"/>
              <w:spacing w:after="0" w:line="276" w:lineRule="auto"/>
              <w:jc w:val="both"/>
              <w:rPr>
                <w:rFonts w:ascii="Times New Roman" w:hAnsi="Times New Roman"/>
                <w:bCs/>
                <w:sz w:val="18"/>
                <w:szCs w:val="18"/>
                <w:lang w:eastAsia="fr-FR"/>
              </w:rPr>
            </w:pPr>
            <w:r w:rsidRPr="00AA45E9">
              <w:rPr>
                <w:rFonts w:ascii="Times New Roman" w:hAnsi="Times New Roman"/>
                <w:bCs/>
                <w:sz w:val="18"/>
                <w:szCs w:val="18"/>
                <w:lang w:eastAsia="fr-FR"/>
              </w:rPr>
              <w:t>•  Opérationnalisation de la mise en œuvre et du suivi du PGES</w:t>
            </w:r>
          </w:p>
          <w:p w:rsidR="00764FFF" w:rsidRPr="00AA45E9" w:rsidRDefault="00764FFF" w:rsidP="00764FFF">
            <w:pPr>
              <w:overflowPunct w:val="0"/>
              <w:autoSpaceDE w:val="0"/>
              <w:autoSpaceDN w:val="0"/>
              <w:adjustRightInd w:val="0"/>
              <w:spacing w:after="0" w:line="276" w:lineRule="auto"/>
              <w:jc w:val="both"/>
              <w:rPr>
                <w:rFonts w:ascii="Times New Roman" w:hAnsi="Times New Roman"/>
                <w:bCs/>
                <w:sz w:val="18"/>
                <w:szCs w:val="18"/>
                <w:lang w:eastAsia="fr-FR"/>
              </w:rPr>
            </w:pPr>
            <w:r w:rsidRPr="00AA45E9">
              <w:rPr>
                <w:rFonts w:ascii="Times New Roman" w:hAnsi="Times New Roman"/>
                <w:bCs/>
                <w:sz w:val="18"/>
                <w:szCs w:val="18"/>
                <w:lang w:eastAsia="fr-FR"/>
              </w:rPr>
              <w:t>•  PGES de chantier et Plan de surveillance</w:t>
            </w:r>
          </w:p>
        </w:tc>
        <w:tc>
          <w:tcPr>
            <w:tcW w:w="1985" w:type="dxa"/>
            <w:vAlign w:val="center"/>
          </w:tcPr>
          <w:p w:rsidR="00764FFF" w:rsidRPr="00AA45E9" w:rsidRDefault="00764FFF" w:rsidP="00764FFF">
            <w:pPr>
              <w:overflowPunct w:val="0"/>
              <w:autoSpaceDE w:val="0"/>
              <w:autoSpaceDN w:val="0"/>
              <w:adjustRightInd w:val="0"/>
              <w:spacing w:after="0" w:line="276" w:lineRule="auto"/>
              <w:jc w:val="center"/>
              <w:rPr>
                <w:rFonts w:ascii="Times New Roman" w:hAnsi="Times New Roman"/>
                <w:bCs/>
                <w:sz w:val="18"/>
                <w:szCs w:val="18"/>
                <w:lang w:eastAsia="fr-FR"/>
              </w:rPr>
            </w:pPr>
            <w:r w:rsidRPr="00AA45E9">
              <w:rPr>
                <w:rFonts w:ascii="Times New Roman" w:hAnsi="Times New Roman"/>
                <w:bCs/>
                <w:sz w:val="18"/>
                <w:szCs w:val="18"/>
                <w:lang w:eastAsia="fr-FR"/>
              </w:rPr>
              <w:t>UGP / AAAC</w:t>
            </w:r>
          </w:p>
        </w:tc>
        <w:tc>
          <w:tcPr>
            <w:tcW w:w="1696" w:type="dxa"/>
            <w:vAlign w:val="center"/>
          </w:tcPr>
          <w:p w:rsidR="00764FFF" w:rsidRPr="00AA45E9" w:rsidRDefault="00764FFF" w:rsidP="00764FFF">
            <w:pPr>
              <w:overflowPunct w:val="0"/>
              <w:autoSpaceDE w:val="0"/>
              <w:autoSpaceDN w:val="0"/>
              <w:adjustRightInd w:val="0"/>
              <w:spacing w:after="0" w:line="276" w:lineRule="auto"/>
              <w:jc w:val="center"/>
              <w:rPr>
                <w:rFonts w:ascii="Times New Roman" w:hAnsi="Times New Roman"/>
                <w:bCs/>
                <w:sz w:val="18"/>
                <w:szCs w:val="18"/>
                <w:lang w:eastAsia="fr-FR"/>
              </w:rPr>
            </w:pPr>
            <w:r w:rsidRPr="00AA45E9">
              <w:rPr>
                <w:rFonts w:ascii="Times New Roman" w:hAnsi="Times New Roman"/>
                <w:sz w:val="20"/>
                <w:szCs w:val="20"/>
              </w:rPr>
              <w:t>Coût inclus dans le protocole d’accord entre le promoteur et le CRS</w:t>
            </w:r>
          </w:p>
        </w:tc>
      </w:tr>
      <w:tr w:rsidR="00764FFF" w:rsidRPr="00AA45E9" w:rsidTr="00764FFF">
        <w:tc>
          <w:tcPr>
            <w:tcW w:w="1696" w:type="dxa"/>
            <w:vAlign w:val="center"/>
          </w:tcPr>
          <w:p w:rsidR="00764FFF" w:rsidRPr="00AA45E9" w:rsidRDefault="00764FFF" w:rsidP="00764FFF">
            <w:pPr>
              <w:overflowPunct w:val="0"/>
              <w:autoSpaceDE w:val="0"/>
              <w:autoSpaceDN w:val="0"/>
              <w:adjustRightInd w:val="0"/>
              <w:spacing w:after="0" w:line="276" w:lineRule="auto"/>
              <w:jc w:val="center"/>
              <w:rPr>
                <w:rFonts w:ascii="Times New Roman" w:hAnsi="Times New Roman"/>
                <w:b/>
                <w:bCs/>
                <w:sz w:val="18"/>
                <w:szCs w:val="18"/>
                <w:lang w:eastAsia="fr-FR"/>
              </w:rPr>
            </w:pPr>
            <w:r w:rsidRPr="00AA45E9">
              <w:rPr>
                <w:rFonts w:ascii="Times New Roman" w:hAnsi="Times New Roman"/>
                <w:b/>
                <w:bCs/>
                <w:sz w:val="18"/>
                <w:szCs w:val="18"/>
                <w:lang w:eastAsia="fr-FR"/>
              </w:rPr>
              <w:t>Personnel de</w:t>
            </w:r>
          </w:p>
          <w:p w:rsidR="00764FFF" w:rsidRPr="00AA45E9" w:rsidRDefault="00764FFF" w:rsidP="00764FFF">
            <w:pPr>
              <w:overflowPunct w:val="0"/>
              <w:autoSpaceDE w:val="0"/>
              <w:autoSpaceDN w:val="0"/>
              <w:adjustRightInd w:val="0"/>
              <w:spacing w:after="0" w:line="276" w:lineRule="auto"/>
              <w:jc w:val="center"/>
              <w:rPr>
                <w:rFonts w:ascii="Times New Roman" w:hAnsi="Times New Roman"/>
                <w:b/>
                <w:bCs/>
                <w:sz w:val="18"/>
                <w:szCs w:val="18"/>
                <w:lang w:eastAsia="fr-FR"/>
              </w:rPr>
            </w:pPr>
            <w:r w:rsidRPr="00AA45E9">
              <w:rPr>
                <w:rFonts w:ascii="Times New Roman" w:hAnsi="Times New Roman"/>
                <w:b/>
                <w:bCs/>
                <w:sz w:val="18"/>
                <w:szCs w:val="18"/>
                <w:lang w:eastAsia="fr-FR"/>
              </w:rPr>
              <w:t>travaux</w:t>
            </w:r>
          </w:p>
        </w:tc>
        <w:tc>
          <w:tcPr>
            <w:tcW w:w="4536" w:type="dxa"/>
            <w:vAlign w:val="center"/>
          </w:tcPr>
          <w:p w:rsidR="00764FFF" w:rsidRPr="00AA45E9" w:rsidRDefault="00764FFF" w:rsidP="00764FFF">
            <w:pPr>
              <w:overflowPunct w:val="0"/>
              <w:autoSpaceDE w:val="0"/>
              <w:autoSpaceDN w:val="0"/>
              <w:adjustRightInd w:val="0"/>
              <w:spacing w:after="0" w:line="276" w:lineRule="auto"/>
              <w:jc w:val="both"/>
              <w:rPr>
                <w:rFonts w:ascii="Times New Roman" w:hAnsi="Times New Roman"/>
                <w:bCs/>
                <w:sz w:val="18"/>
                <w:szCs w:val="18"/>
                <w:lang w:eastAsia="fr-FR"/>
              </w:rPr>
            </w:pPr>
            <w:r w:rsidRPr="00AA45E9">
              <w:rPr>
                <w:rFonts w:ascii="Times New Roman" w:hAnsi="Times New Roman"/>
                <w:bCs/>
                <w:sz w:val="18"/>
                <w:szCs w:val="18"/>
                <w:lang w:eastAsia="fr-FR"/>
              </w:rPr>
              <w:t>Information/sensibilisation sur l’hygiène, la Santé et la sécurité au travail</w:t>
            </w:r>
          </w:p>
          <w:p w:rsidR="00764FFF" w:rsidRPr="00AA45E9" w:rsidRDefault="00764FFF" w:rsidP="00764FFF">
            <w:pPr>
              <w:overflowPunct w:val="0"/>
              <w:autoSpaceDE w:val="0"/>
              <w:autoSpaceDN w:val="0"/>
              <w:adjustRightInd w:val="0"/>
              <w:spacing w:after="0" w:line="276" w:lineRule="auto"/>
              <w:jc w:val="both"/>
              <w:rPr>
                <w:rFonts w:ascii="Times New Roman" w:hAnsi="Times New Roman"/>
                <w:bCs/>
                <w:sz w:val="18"/>
                <w:szCs w:val="18"/>
                <w:lang w:eastAsia="fr-FR"/>
              </w:rPr>
            </w:pPr>
            <w:r w:rsidRPr="00AA45E9">
              <w:rPr>
                <w:rFonts w:ascii="Times New Roman" w:hAnsi="Times New Roman"/>
                <w:bCs/>
                <w:sz w:val="18"/>
                <w:szCs w:val="18"/>
                <w:lang w:eastAsia="fr-FR"/>
              </w:rPr>
              <w:t>•  Sensibilisation sur les risques en matière de l’hygiène, de la santé et de la sécurité liés à certaines tâches et les premiers soins.</w:t>
            </w:r>
          </w:p>
          <w:p w:rsidR="00764FFF" w:rsidRPr="00AA45E9" w:rsidRDefault="00764FFF" w:rsidP="00764FFF">
            <w:pPr>
              <w:overflowPunct w:val="0"/>
              <w:autoSpaceDE w:val="0"/>
              <w:autoSpaceDN w:val="0"/>
              <w:adjustRightInd w:val="0"/>
              <w:spacing w:after="0" w:line="276" w:lineRule="auto"/>
              <w:jc w:val="both"/>
              <w:rPr>
                <w:rFonts w:ascii="Times New Roman" w:hAnsi="Times New Roman"/>
                <w:bCs/>
                <w:sz w:val="18"/>
                <w:szCs w:val="18"/>
                <w:lang w:eastAsia="fr-FR"/>
              </w:rPr>
            </w:pPr>
            <w:r w:rsidRPr="00AA45E9">
              <w:rPr>
                <w:rFonts w:ascii="Times New Roman" w:hAnsi="Times New Roman"/>
                <w:bCs/>
                <w:sz w:val="18"/>
                <w:szCs w:val="18"/>
                <w:lang w:eastAsia="fr-FR"/>
              </w:rPr>
              <w:t>•  Procédures de lutte anti-incendie interventions d’urgence ; comportements à risque ;</w:t>
            </w:r>
          </w:p>
          <w:p w:rsidR="00764FFF" w:rsidRPr="00AA45E9" w:rsidRDefault="00764FFF" w:rsidP="00764FFF">
            <w:pPr>
              <w:overflowPunct w:val="0"/>
              <w:autoSpaceDE w:val="0"/>
              <w:autoSpaceDN w:val="0"/>
              <w:adjustRightInd w:val="0"/>
              <w:spacing w:after="0" w:line="276" w:lineRule="auto"/>
              <w:jc w:val="both"/>
              <w:rPr>
                <w:rFonts w:ascii="Times New Roman" w:hAnsi="Times New Roman"/>
                <w:bCs/>
                <w:sz w:val="18"/>
                <w:szCs w:val="18"/>
                <w:lang w:eastAsia="fr-FR"/>
              </w:rPr>
            </w:pPr>
            <w:r w:rsidRPr="00AA45E9">
              <w:rPr>
                <w:rFonts w:ascii="Times New Roman" w:hAnsi="Times New Roman"/>
                <w:bCs/>
                <w:sz w:val="18"/>
                <w:szCs w:val="18"/>
                <w:lang w:eastAsia="fr-FR"/>
              </w:rPr>
              <w:t>•  Sensibilisation au port des EPI</w:t>
            </w:r>
          </w:p>
          <w:p w:rsidR="00764FFF" w:rsidRPr="00AA45E9" w:rsidRDefault="00764FFF" w:rsidP="00764FFF">
            <w:pPr>
              <w:overflowPunct w:val="0"/>
              <w:autoSpaceDE w:val="0"/>
              <w:autoSpaceDN w:val="0"/>
              <w:adjustRightInd w:val="0"/>
              <w:spacing w:after="0" w:line="276" w:lineRule="auto"/>
              <w:jc w:val="both"/>
              <w:rPr>
                <w:rFonts w:ascii="Times New Roman" w:hAnsi="Times New Roman"/>
                <w:bCs/>
                <w:sz w:val="18"/>
                <w:szCs w:val="18"/>
                <w:lang w:eastAsia="fr-FR"/>
              </w:rPr>
            </w:pPr>
            <w:r w:rsidRPr="00AA45E9">
              <w:rPr>
                <w:rFonts w:ascii="Times New Roman" w:hAnsi="Times New Roman"/>
                <w:bCs/>
                <w:sz w:val="18"/>
                <w:szCs w:val="18"/>
                <w:lang w:eastAsia="fr-FR"/>
              </w:rPr>
              <w:t>Information/sensibilisation sur le PGES</w:t>
            </w:r>
          </w:p>
          <w:p w:rsidR="00764FFF" w:rsidRPr="00AA45E9" w:rsidRDefault="00764FFF" w:rsidP="00764FFF">
            <w:pPr>
              <w:overflowPunct w:val="0"/>
              <w:autoSpaceDE w:val="0"/>
              <w:autoSpaceDN w:val="0"/>
              <w:adjustRightInd w:val="0"/>
              <w:spacing w:after="0" w:line="276" w:lineRule="auto"/>
              <w:jc w:val="both"/>
              <w:rPr>
                <w:rFonts w:ascii="Times New Roman" w:hAnsi="Times New Roman"/>
                <w:bCs/>
                <w:sz w:val="18"/>
                <w:szCs w:val="18"/>
                <w:lang w:eastAsia="fr-FR"/>
              </w:rPr>
            </w:pPr>
            <w:r w:rsidRPr="00AA45E9">
              <w:rPr>
                <w:rFonts w:ascii="Times New Roman" w:hAnsi="Times New Roman"/>
                <w:bCs/>
                <w:sz w:val="18"/>
                <w:szCs w:val="18"/>
                <w:lang w:eastAsia="fr-FR"/>
              </w:rPr>
              <w:t>•  Application des  mesures  du  PGES  et  autres bonnes pratiques pendant  les  travaux  (gestion  des  déchets, limitation des nuisances, etc.) et l’entretien</w:t>
            </w:r>
          </w:p>
        </w:tc>
        <w:tc>
          <w:tcPr>
            <w:tcW w:w="1985" w:type="dxa"/>
            <w:vAlign w:val="center"/>
          </w:tcPr>
          <w:p w:rsidR="00764FFF" w:rsidRPr="00AA45E9" w:rsidRDefault="00764FFF" w:rsidP="00764FFF">
            <w:pPr>
              <w:overflowPunct w:val="0"/>
              <w:autoSpaceDE w:val="0"/>
              <w:autoSpaceDN w:val="0"/>
              <w:adjustRightInd w:val="0"/>
              <w:spacing w:after="0" w:line="276" w:lineRule="auto"/>
              <w:jc w:val="center"/>
              <w:rPr>
                <w:rFonts w:ascii="Times New Roman" w:hAnsi="Times New Roman"/>
                <w:bCs/>
                <w:sz w:val="18"/>
                <w:szCs w:val="18"/>
                <w:lang w:eastAsia="fr-FR"/>
              </w:rPr>
            </w:pPr>
            <w:r w:rsidRPr="00AA45E9">
              <w:rPr>
                <w:rFonts w:ascii="Times New Roman" w:hAnsi="Times New Roman"/>
                <w:bCs/>
                <w:sz w:val="18"/>
                <w:szCs w:val="18"/>
                <w:lang w:eastAsia="fr-FR"/>
              </w:rPr>
              <w:t>Entreprise</w:t>
            </w:r>
          </w:p>
          <w:p w:rsidR="00764FFF" w:rsidRPr="00AA45E9" w:rsidRDefault="00764FFF" w:rsidP="00764FFF">
            <w:pPr>
              <w:overflowPunct w:val="0"/>
              <w:autoSpaceDE w:val="0"/>
              <w:autoSpaceDN w:val="0"/>
              <w:adjustRightInd w:val="0"/>
              <w:spacing w:after="0" w:line="276" w:lineRule="auto"/>
              <w:jc w:val="center"/>
              <w:rPr>
                <w:rFonts w:ascii="Times New Roman" w:hAnsi="Times New Roman"/>
                <w:bCs/>
                <w:sz w:val="18"/>
                <w:szCs w:val="18"/>
                <w:lang w:eastAsia="fr-FR"/>
              </w:rPr>
            </w:pPr>
            <w:r w:rsidRPr="00AA45E9">
              <w:rPr>
                <w:rFonts w:ascii="Times New Roman" w:hAnsi="Times New Roman"/>
                <w:bCs/>
                <w:sz w:val="18"/>
                <w:szCs w:val="18"/>
                <w:lang w:eastAsia="fr-FR"/>
              </w:rPr>
              <w:t>de travaux</w:t>
            </w:r>
          </w:p>
        </w:tc>
        <w:tc>
          <w:tcPr>
            <w:tcW w:w="1696" w:type="dxa"/>
            <w:vAlign w:val="center"/>
          </w:tcPr>
          <w:p w:rsidR="00764FFF" w:rsidRPr="00AA45E9" w:rsidRDefault="00764FFF" w:rsidP="00764FFF">
            <w:pPr>
              <w:overflowPunct w:val="0"/>
              <w:autoSpaceDE w:val="0"/>
              <w:autoSpaceDN w:val="0"/>
              <w:adjustRightInd w:val="0"/>
              <w:spacing w:after="0" w:line="276" w:lineRule="auto"/>
              <w:jc w:val="center"/>
              <w:rPr>
                <w:rFonts w:ascii="Times New Roman" w:hAnsi="Times New Roman"/>
                <w:bCs/>
                <w:sz w:val="18"/>
                <w:szCs w:val="18"/>
                <w:lang w:eastAsia="fr-FR"/>
              </w:rPr>
            </w:pPr>
            <w:r w:rsidRPr="00AA45E9">
              <w:rPr>
                <w:rFonts w:ascii="Times New Roman" w:hAnsi="Times New Roman"/>
                <w:bCs/>
                <w:sz w:val="18"/>
                <w:szCs w:val="18"/>
                <w:lang w:eastAsia="fr-FR"/>
              </w:rPr>
              <w:t>Inclus dans le</w:t>
            </w:r>
          </w:p>
          <w:p w:rsidR="00764FFF" w:rsidRPr="00AA45E9" w:rsidRDefault="00764FFF" w:rsidP="00764FFF">
            <w:pPr>
              <w:overflowPunct w:val="0"/>
              <w:autoSpaceDE w:val="0"/>
              <w:autoSpaceDN w:val="0"/>
              <w:adjustRightInd w:val="0"/>
              <w:spacing w:after="0" w:line="276" w:lineRule="auto"/>
              <w:jc w:val="center"/>
              <w:rPr>
                <w:rFonts w:ascii="Times New Roman" w:hAnsi="Times New Roman"/>
                <w:bCs/>
                <w:sz w:val="18"/>
                <w:szCs w:val="18"/>
                <w:lang w:eastAsia="fr-FR"/>
              </w:rPr>
            </w:pPr>
            <w:r w:rsidRPr="00AA45E9">
              <w:rPr>
                <w:rFonts w:ascii="Times New Roman" w:hAnsi="Times New Roman"/>
                <w:bCs/>
                <w:sz w:val="18"/>
                <w:szCs w:val="18"/>
                <w:lang w:eastAsia="fr-FR"/>
              </w:rPr>
              <w:t>Marché des travaux</w:t>
            </w:r>
          </w:p>
          <w:p w:rsidR="00764FFF" w:rsidRPr="00AA45E9" w:rsidRDefault="00764FFF" w:rsidP="00764FFF">
            <w:pPr>
              <w:overflowPunct w:val="0"/>
              <w:autoSpaceDE w:val="0"/>
              <w:autoSpaceDN w:val="0"/>
              <w:adjustRightInd w:val="0"/>
              <w:spacing w:after="0" w:line="276" w:lineRule="auto"/>
              <w:jc w:val="center"/>
              <w:rPr>
                <w:rFonts w:ascii="Times New Roman" w:hAnsi="Times New Roman"/>
                <w:bCs/>
                <w:sz w:val="18"/>
                <w:szCs w:val="18"/>
                <w:lang w:eastAsia="fr-FR"/>
              </w:rPr>
            </w:pPr>
            <w:r w:rsidRPr="00AA45E9">
              <w:rPr>
                <w:rFonts w:ascii="Times New Roman" w:hAnsi="Times New Roman"/>
                <w:bCs/>
                <w:sz w:val="18"/>
                <w:szCs w:val="18"/>
                <w:lang w:eastAsia="fr-FR"/>
              </w:rPr>
              <w:t>de l’entreprise</w:t>
            </w:r>
          </w:p>
        </w:tc>
      </w:tr>
    </w:tbl>
    <w:p w:rsidR="00764FFF" w:rsidRPr="00D335A7" w:rsidRDefault="00764FFF" w:rsidP="00764FFF">
      <w:pPr>
        <w:overflowPunct w:val="0"/>
        <w:autoSpaceDE w:val="0"/>
        <w:autoSpaceDN w:val="0"/>
        <w:adjustRightInd w:val="0"/>
        <w:spacing w:after="0" w:line="276" w:lineRule="auto"/>
        <w:jc w:val="center"/>
        <w:rPr>
          <w:rFonts w:ascii="Times New Roman" w:hAnsi="Times New Roman"/>
          <w:b/>
          <w:bCs/>
          <w:sz w:val="20"/>
          <w:szCs w:val="20"/>
          <w:lang w:eastAsia="fr-FR"/>
        </w:rPr>
      </w:pPr>
    </w:p>
    <w:p w:rsidR="00764FFF" w:rsidRPr="00BE3ADA" w:rsidRDefault="00764FFF" w:rsidP="00764FFF">
      <w:pPr>
        <w:pStyle w:val="Cabealho2"/>
        <w:jc w:val="center"/>
        <w:rPr>
          <w:sz w:val="28"/>
          <w:szCs w:val="28"/>
          <w:u w:val="single"/>
        </w:rPr>
      </w:pPr>
      <w:bookmarkStart w:id="633" w:name="_Toc535408374"/>
      <w:bookmarkStart w:id="634" w:name="_Toc11158391"/>
      <w:bookmarkStart w:id="635" w:name="_Toc51072609"/>
      <w:r>
        <w:rPr>
          <w:sz w:val="28"/>
          <w:szCs w:val="28"/>
          <w:u w:val="single"/>
        </w:rPr>
        <w:t>8</w:t>
      </w:r>
      <w:r w:rsidRPr="00BE3ADA">
        <w:rPr>
          <w:sz w:val="28"/>
          <w:szCs w:val="28"/>
          <w:u w:val="single"/>
        </w:rPr>
        <w:t>.5. ARRANGEMENTS ET RESPONSABILITES INSTITUTIONNELS DE MISE EN ŒUVRE DU PGES</w:t>
      </w:r>
      <w:bookmarkEnd w:id="633"/>
      <w:bookmarkEnd w:id="634"/>
      <w:bookmarkEnd w:id="635"/>
    </w:p>
    <w:p w:rsidR="00764FFF" w:rsidRPr="00D335A7" w:rsidRDefault="00764FFF" w:rsidP="00764FFF">
      <w:pPr>
        <w:overflowPunct w:val="0"/>
        <w:autoSpaceDE w:val="0"/>
        <w:autoSpaceDN w:val="0"/>
        <w:adjustRightInd w:val="0"/>
        <w:spacing w:after="0" w:line="276" w:lineRule="auto"/>
        <w:jc w:val="center"/>
        <w:rPr>
          <w:rFonts w:ascii="Times New Roman" w:hAnsi="Times New Roman"/>
          <w:bCs/>
          <w:sz w:val="24"/>
          <w:szCs w:val="24"/>
          <w:lang w:eastAsia="fr-FR"/>
        </w:rPr>
      </w:pPr>
      <w:r w:rsidRPr="00D335A7">
        <w:rPr>
          <w:rFonts w:ascii="Times New Roman" w:hAnsi="Times New Roman"/>
          <w:bCs/>
          <w:sz w:val="24"/>
          <w:szCs w:val="24"/>
          <w:lang w:eastAsia="fr-FR"/>
        </w:rPr>
        <w:t>Dans le cadre de la mise en œuvre du PGES, les arrangements et responsabilités institutionnels suivant sont proposés :</w:t>
      </w:r>
    </w:p>
    <w:p w:rsidR="00764FFF" w:rsidRPr="00D335A7" w:rsidRDefault="00764FFF" w:rsidP="00764FFF">
      <w:pPr>
        <w:overflowPunct w:val="0"/>
        <w:autoSpaceDE w:val="0"/>
        <w:autoSpaceDN w:val="0"/>
        <w:adjustRightInd w:val="0"/>
        <w:spacing w:after="0" w:line="276" w:lineRule="auto"/>
        <w:jc w:val="center"/>
        <w:rPr>
          <w:rFonts w:ascii="Times New Roman" w:hAnsi="Times New Roman"/>
          <w:bCs/>
          <w:sz w:val="24"/>
          <w:szCs w:val="24"/>
          <w:lang w:eastAsia="fr-FR"/>
        </w:rPr>
      </w:pPr>
    </w:p>
    <w:p w:rsidR="00764FFF" w:rsidRPr="00D335A7" w:rsidRDefault="00BF40D2" w:rsidP="00FA3FAE">
      <w:pPr>
        <w:pStyle w:val="Listecouleur-Accent11"/>
        <w:numPr>
          <w:ilvl w:val="0"/>
          <w:numId w:val="116"/>
        </w:numPr>
        <w:overflowPunct w:val="0"/>
        <w:autoSpaceDE w:val="0"/>
        <w:autoSpaceDN w:val="0"/>
        <w:adjustRightInd w:val="0"/>
        <w:spacing w:line="276" w:lineRule="auto"/>
        <w:rPr>
          <w:rFonts w:ascii="Times New Roman" w:hAnsi="Times New Roman"/>
          <w:bCs/>
          <w:sz w:val="24"/>
          <w:szCs w:val="24"/>
          <w:lang w:val="fr-FR" w:eastAsia="fr-FR"/>
        </w:rPr>
      </w:pPr>
      <w:r>
        <w:rPr>
          <w:rFonts w:ascii="Times New Roman" w:hAnsi="Times New Roman"/>
          <w:bCs/>
          <w:sz w:val="24"/>
          <w:szCs w:val="24"/>
          <w:lang w:val="fr-FR" w:eastAsia="fr-FR"/>
        </w:rPr>
        <w:t>UI</w:t>
      </w:r>
      <w:r w:rsidR="00764FFF" w:rsidRPr="00D335A7">
        <w:rPr>
          <w:rFonts w:ascii="Times New Roman" w:hAnsi="Times New Roman"/>
          <w:bCs/>
          <w:sz w:val="24"/>
          <w:szCs w:val="24"/>
          <w:lang w:val="fr-FR" w:eastAsia="fr-FR"/>
        </w:rPr>
        <w:t xml:space="preserve">P de </w:t>
      </w:r>
      <w:r>
        <w:rPr>
          <w:rFonts w:ascii="Times New Roman" w:hAnsi="Times New Roman"/>
          <w:bCs/>
          <w:sz w:val="24"/>
          <w:szCs w:val="24"/>
          <w:lang w:val="fr-FR" w:eastAsia="fr-FR"/>
        </w:rPr>
        <w:t>PUASEE-FA</w:t>
      </w:r>
      <w:r w:rsidR="00764FFF" w:rsidRPr="00D335A7">
        <w:rPr>
          <w:rFonts w:ascii="Times New Roman" w:hAnsi="Times New Roman"/>
          <w:bCs/>
          <w:sz w:val="24"/>
          <w:szCs w:val="24"/>
          <w:lang w:val="fr-FR" w:eastAsia="fr-FR"/>
        </w:rPr>
        <w:t xml:space="preserve"> : va instruire les bureaux de contrôle (Mission de Contrôle) pour assurer le suivi environnemental et social de proximité et servir d’interface entre le projet et les autres acteurs concernés par le projet.  Elle va appuyer les activités de renforcement des capacités des </w:t>
      </w:r>
      <w:r w:rsidR="00764FFF" w:rsidRPr="00D335A7">
        <w:rPr>
          <w:rFonts w:ascii="Times New Roman" w:hAnsi="Times New Roman"/>
          <w:bCs/>
          <w:sz w:val="24"/>
          <w:szCs w:val="24"/>
          <w:lang w:val="fr-FR" w:eastAsia="fr-FR"/>
        </w:rPr>
        <w:lastRenderedPageBreak/>
        <w:t>autres structures impliquées dans la mise en œuvre du projet, et est responsable de l’application des mesures de sauvegarde du projet.</w:t>
      </w:r>
    </w:p>
    <w:p w:rsidR="00764FFF" w:rsidRPr="00D335A7" w:rsidRDefault="0084695F" w:rsidP="00FA3FAE">
      <w:pPr>
        <w:pStyle w:val="Listecouleur-Accent11"/>
        <w:numPr>
          <w:ilvl w:val="0"/>
          <w:numId w:val="116"/>
        </w:numPr>
        <w:overflowPunct w:val="0"/>
        <w:autoSpaceDE w:val="0"/>
        <w:autoSpaceDN w:val="0"/>
        <w:adjustRightInd w:val="0"/>
        <w:spacing w:line="276" w:lineRule="auto"/>
        <w:rPr>
          <w:rFonts w:ascii="Times New Roman" w:hAnsi="Times New Roman"/>
          <w:bCs/>
          <w:sz w:val="24"/>
          <w:szCs w:val="24"/>
          <w:lang w:val="fr-FR" w:eastAsia="fr-FR"/>
        </w:rPr>
      </w:pPr>
      <w:r>
        <w:rPr>
          <w:rFonts w:ascii="Times New Roman" w:hAnsi="Times New Roman"/>
          <w:bCs/>
          <w:sz w:val="24"/>
          <w:szCs w:val="24"/>
          <w:lang w:val="fr-FR" w:eastAsia="fr-FR"/>
        </w:rPr>
        <w:t>AAAC :  E</w:t>
      </w:r>
      <w:r w:rsidR="00764FFF" w:rsidRPr="00D335A7">
        <w:rPr>
          <w:rFonts w:ascii="Times New Roman" w:hAnsi="Times New Roman"/>
          <w:bCs/>
          <w:sz w:val="24"/>
          <w:szCs w:val="24"/>
          <w:lang w:val="fr-FR" w:eastAsia="fr-FR"/>
        </w:rPr>
        <w:t>lle apportera une assistance technique à la coordination du projet et assurera le suivi externe au niveau national de la mise en œuvre des mesures environnementales du projet. La présente EIES devra être validée par l’AAAC. Dans le cadre d’un Protocole d’Assistance au Projet, AAAC va assurer le suivi externe de la mise en œuvre des mesures environnementales et sociales du PGES au niveau national.  Au niveau régional et local, AAAC va impliquer les services concernés par le projet.</w:t>
      </w:r>
    </w:p>
    <w:p w:rsidR="00764FFF" w:rsidRPr="00D335A7" w:rsidRDefault="00764FFF" w:rsidP="00FA3FAE">
      <w:pPr>
        <w:pStyle w:val="Listecouleur-Accent11"/>
        <w:numPr>
          <w:ilvl w:val="0"/>
          <w:numId w:val="116"/>
        </w:numPr>
        <w:overflowPunct w:val="0"/>
        <w:autoSpaceDE w:val="0"/>
        <w:autoSpaceDN w:val="0"/>
        <w:adjustRightInd w:val="0"/>
        <w:spacing w:line="276" w:lineRule="auto"/>
        <w:rPr>
          <w:rFonts w:ascii="Times New Roman" w:hAnsi="Times New Roman"/>
          <w:bCs/>
          <w:sz w:val="24"/>
          <w:szCs w:val="24"/>
          <w:lang w:val="fr-FR" w:eastAsia="fr-FR"/>
        </w:rPr>
      </w:pPr>
      <w:r w:rsidRPr="00D335A7">
        <w:rPr>
          <w:rFonts w:ascii="Times New Roman" w:hAnsi="Times New Roman"/>
          <w:bCs/>
          <w:sz w:val="24"/>
          <w:szCs w:val="24"/>
          <w:lang w:val="fr-FR" w:eastAsia="fr-FR"/>
        </w:rPr>
        <w:t>La Mission de Contrôle (Mdc), en l’occurrence PROSPECTIVA, va assurer la surveillance de proximité de la mise en œuvre des mesures environnementales et sociales du PGES en phase de travaux.  Elle assure la maitrise d’ouvrage déléguée et le contrôle de l’effectivité et de l’efficience de l’exécution des mesures environnementales et sociales, et du respect des directives et autres prescriptions environnementales contenues dans les marchés de travaux du projet. La MdC est responsable du suivi de la mise en œuvre des PGES-E, en ayant dans leur équipe un superviseur spécialisé en Hygiène Sécurité Environnement.</w:t>
      </w:r>
    </w:p>
    <w:p w:rsidR="00764FFF" w:rsidRPr="00D335A7" w:rsidRDefault="00764FFF" w:rsidP="00FA3FAE">
      <w:pPr>
        <w:pStyle w:val="Listecouleur-Accent11"/>
        <w:numPr>
          <w:ilvl w:val="0"/>
          <w:numId w:val="116"/>
        </w:numPr>
        <w:overflowPunct w:val="0"/>
        <w:autoSpaceDE w:val="0"/>
        <w:autoSpaceDN w:val="0"/>
        <w:adjustRightInd w:val="0"/>
        <w:spacing w:line="276" w:lineRule="auto"/>
        <w:rPr>
          <w:rFonts w:ascii="Times New Roman" w:hAnsi="Times New Roman"/>
          <w:bCs/>
          <w:sz w:val="24"/>
          <w:szCs w:val="24"/>
          <w:lang w:val="fr-FR" w:eastAsia="fr-FR"/>
        </w:rPr>
      </w:pPr>
      <w:r w:rsidRPr="00D335A7">
        <w:rPr>
          <w:rFonts w:ascii="Times New Roman" w:hAnsi="Times New Roman"/>
          <w:bCs/>
          <w:sz w:val="24"/>
          <w:szCs w:val="24"/>
          <w:lang w:val="fr-FR" w:eastAsia="fr-FR"/>
        </w:rPr>
        <w:t xml:space="preserve">L’Entreprise de Travaux :  Elle doit exécuter les mesures environnementales et sociales et respecter les directives et autres prescriptions environnementales contenues dans les marchés de travaux, à travers un PGES-Entreprise (PGES-E) qu’elle soumettra à l’approbation de la MdC. </w:t>
      </w:r>
    </w:p>
    <w:p w:rsidR="00764FFF" w:rsidRPr="00D335A7" w:rsidRDefault="00764FFF" w:rsidP="00FA3FAE">
      <w:pPr>
        <w:pStyle w:val="Listecouleur-Accent11"/>
        <w:numPr>
          <w:ilvl w:val="0"/>
          <w:numId w:val="116"/>
        </w:numPr>
        <w:overflowPunct w:val="0"/>
        <w:autoSpaceDE w:val="0"/>
        <w:autoSpaceDN w:val="0"/>
        <w:adjustRightInd w:val="0"/>
        <w:spacing w:line="276" w:lineRule="auto"/>
        <w:rPr>
          <w:rFonts w:ascii="Times New Roman" w:hAnsi="Times New Roman"/>
          <w:bCs/>
          <w:sz w:val="24"/>
          <w:szCs w:val="24"/>
          <w:lang w:val="fr-FR" w:eastAsia="fr-FR"/>
        </w:rPr>
      </w:pPr>
      <w:r w:rsidRPr="00D335A7">
        <w:rPr>
          <w:rFonts w:ascii="Times New Roman" w:hAnsi="Times New Roman"/>
          <w:bCs/>
          <w:sz w:val="24"/>
          <w:szCs w:val="24"/>
          <w:lang w:val="fr-FR" w:eastAsia="fr-FR"/>
        </w:rPr>
        <w:t xml:space="preserve">La Direction de la Construction :  </w:t>
      </w:r>
      <w:r w:rsidR="0084695F">
        <w:rPr>
          <w:rFonts w:ascii="Times New Roman" w:hAnsi="Times New Roman"/>
          <w:bCs/>
          <w:sz w:val="24"/>
          <w:szCs w:val="24"/>
          <w:lang w:val="fr-FR" w:eastAsia="fr-FR"/>
        </w:rPr>
        <w:t xml:space="preserve">Elle </w:t>
      </w:r>
      <w:r w:rsidRPr="00D335A7">
        <w:rPr>
          <w:rFonts w:ascii="Times New Roman" w:hAnsi="Times New Roman"/>
          <w:bCs/>
          <w:sz w:val="24"/>
          <w:szCs w:val="24"/>
          <w:lang w:val="fr-FR" w:eastAsia="fr-FR"/>
        </w:rPr>
        <w:t>veillera aux aspects relatifs aux autorisations de construction et aux respects des normes de construction.</w:t>
      </w:r>
    </w:p>
    <w:p w:rsidR="00764FFF" w:rsidRPr="00D335A7" w:rsidRDefault="00764FFF" w:rsidP="00FA3FAE">
      <w:pPr>
        <w:pStyle w:val="Listecouleur-Accent11"/>
        <w:numPr>
          <w:ilvl w:val="0"/>
          <w:numId w:val="116"/>
        </w:numPr>
        <w:overflowPunct w:val="0"/>
        <w:autoSpaceDE w:val="0"/>
        <w:autoSpaceDN w:val="0"/>
        <w:adjustRightInd w:val="0"/>
        <w:spacing w:line="276" w:lineRule="auto"/>
        <w:rPr>
          <w:rFonts w:ascii="Times New Roman" w:hAnsi="Times New Roman"/>
          <w:bCs/>
          <w:sz w:val="24"/>
          <w:szCs w:val="24"/>
          <w:lang w:val="fr-FR" w:eastAsia="fr-FR"/>
        </w:rPr>
      </w:pPr>
      <w:r w:rsidRPr="00D335A7">
        <w:rPr>
          <w:rFonts w:ascii="Times New Roman" w:hAnsi="Times New Roman"/>
          <w:bCs/>
          <w:sz w:val="24"/>
          <w:szCs w:val="24"/>
          <w:lang w:val="fr-FR" w:eastAsia="fr-FR"/>
        </w:rPr>
        <w:t>Les Associations et ONG nationales et internationales : ces organisations environnementales de la société civile pourront aussi participer au suivi de la mise en œuvre et à la surveillance des ressources marines et côtières dans la zone du projet.</w:t>
      </w:r>
    </w:p>
    <w:p w:rsidR="001612CA" w:rsidRPr="00BF40D2" w:rsidRDefault="00BF40D2" w:rsidP="00BF40D2">
      <w:pPr>
        <w:pStyle w:val="Cabealho2"/>
        <w:jc w:val="left"/>
        <w:rPr>
          <w:sz w:val="28"/>
          <w:szCs w:val="28"/>
          <w:u w:val="single"/>
        </w:rPr>
      </w:pPr>
      <w:bookmarkStart w:id="636" w:name="_Toc51072610"/>
      <w:bookmarkStart w:id="637" w:name="_Toc527882044"/>
      <w:r>
        <w:rPr>
          <w:sz w:val="28"/>
          <w:szCs w:val="28"/>
          <w:u w:val="single"/>
        </w:rPr>
        <w:t xml:space="preserve">8.6. </w:t>
      </w:r>
      <w:r w:rsidR="001612CA" w:rsidRPr="00BF40D2">
        <w:rPr>
          <w:sz w:val="28"/>
          <w:szCs w:val="28"/>
          <w:u w:val="single"/>
        </w:rPr>
        <w:t>CONSULTATIONS PUBLIQUES</w:t>
      </w:r>
      <w:bookmarkEnd w:id="636"/>
      <w:r w:rsidR="001612CA" w:rsidRPr="00BF40D2">
        <w:rPr>
          <w:sz w:val="28"/>
          <w:szCs w:val="28"/>
          <w:u w:val="single"/>
        </w:rPr>
        <w:t xml:space="preserve"> </w:t>
      </w:r>
      <w:bookmarkEnd w:id="637"/>
      <w:r w:rsidR="001612CA" w:rsidRPr="00BF40D2">
        <w:rPr>
          <w:sz w:val="28"/>
          <w:szCs w:val="28"/>
          <w:u w:val="single"/>
        </w:rPr>
        <w:t xml:space="preserve"> </w:t>
      </w:r>
    </w:p>
    <w:p w:rsidR="00E81805" w:rsidRPr="006C0C34" w:rsidRDefault="00E81805" w:rsidP="00E81805">
      <w:pPr>
        <w:jc w:val="both"/>
        <w:rPr>
          <w:rFonts w:ascii="Times New Roman" w:hAnsi="Times New Roman" w:cs="Times New Roman"/>
          <w:sz w:val="24"/>
          <w:szCs w:val="24"/>
        </w:rPr>
      </w:pPr>
      <w:r w:rsidRPr="006C0C34">
        <w:rPr>
          <w:rFonts w:ascii="Times New Roman" w:hAnsi="Times New Roman" w:cs="Times New Roman"/>
          <w:sz w:val="24"/>
          <w:szCs w:val="24"/>
        </w:rPr>
        <w:t xml:space="preserve">Une étude d’impact environnemental et social est toujours sensée se </w:t>
      </w:r>
      <w:r>
        <w:rPr>
          <w:rFonts w:ascii="Times New Roman" w:hAnsi="Times New Roman" w:cs="Times New Roman"/>
          <w:sz w:val="24"/>
          <w:szCs w:val="24"/>
        </w:rPr>
        <w:t>réaliser</w:t>
      </w:r>
      <w:r w:rsidRPr="006C0C34">
        <w:rPr>
          <w:rFonts w:ascii="Times New Roman" w:hAnsi="Times New Roman" w:cs="Times New Roman"/>
          <w:sz w:val="24"/>
          <w:szCs w:val="24"/>
        </w:rPr>
        <w:t xml:space="preserve"> avec l’appui des acteurs à la base (services techniques, collectivités locales, populations (voir listes en annexe). </w:t>
      </w:r>
    </w:p>
    <w:p w:rsidR="00E81805" w:rsidRPr="006C0C34" w:rsidRDefault="008B6ABD" w:rsidP="00EE3027">
      <w:pPr>
        <w:pStyle w:val="PargrafodaLista"/>
        <w:keepNext/>
        <w:spacing w:before="240" w:after="240"/>
        <w:ind w:left="450" w:firstLine="258"/>
        <w:jc w:val="both"/>
        <w:outlineLvl w:val="2"/>
        <w:rPr>
          <w:rFonts w:ascii="Times New Roman" w:hAnsi="Times New Roman"/>
          <w:b/>
          <w:sz w:val="24"/>
          <w:szCs w:val="24"/>
          <w:lang w:val="fr-FR" w:eastAsia="fr-FR"/>
        </w:rPr>
      </w:pPr>
      <w:bookmarkStart w:id="638" w:name="_Toc527882045"/>
      <w:bookmarkStart w:id="639" w:name="_Toc51072611"/>
      <w:r>
        <w:rPr>
          <w:rFonts w:ascii="Times New Roman" w:hAnsi="Times New Roman"/>
          <w:b/>
          <w:sz w:val="24"/>
          <w:szCs w:val="24"/>
          <w:lang w:val="fr-FR" w:eastAsia="fr-FR"/>
        </w:rPr>
        <w:t>8.6.1. P</w:t>
      </w:r>
      <w:r w:rsidRPr="006C0C34">
        <w:rPr>
          <w:rFonts w:ascii="Times New Roman" w:hAnsi="Times New Roman"/>
          <w:b/>
          <w:sz w:val="24"/>
          <w:szCs w:val="24"/>
          <w:lang w:val="fr-FR" w:eastAsia="fr-FR"/>
        </w:rPr>
        <w:t>rincipe de la consultation publique</w:t>
      </w:r>
      <w:bookmarkEnd w:id="638"/>
      <w:bookmarkEnd w:id="639"/>
      <w:r w:rsidRPr="006C0C34">
        <w:rPr>
          <w:rFonts w:ascii="Times New Roman" w:hAnsi="Times New Roman"/>
          <w:b/>
          <w:sz w:val="24"/>
          <w:szCs w:val="24"/>
          <w:lang w:val="fr-FR" w:eastAsia="fr-FR"/>
        </w:rPr>
        <w:t xml:space="preserve"> </w:t>
      </w:r>
    </w:p>
    <w:p w:rsidR="00E81805" w:rsidRPr="006C0C34" w:rsidRDefault="00E81805" w:rsidP="00E81805">
      <w:pPr>
        <w:jc w:val="both"/>
        <w:rPr>
          <w:rFonts w:ascii="Times New Roman" w:hAnsi="Times New Roman" w:cs="Times New Roman"/>
          <w:sz w:val="24"/>
          <w:szCs w:val="24"/>
        </w:rPr>
      </w:pPr>
      <w:r w:rsidRPr="006C0C34">
        <w:rPr>
          <w:rFonts w:ascii="Times New Roman" w:hAnsi="Times New Roman" w:cs="Times New Roman"/>
          <w:sz w:val="24"/>
          <w:szCs w:val="24"/>
        </w:rPr>
        <w:t>La consultation vise à rapprocher le public dans le processus de l’étude d’impact environnemental et social (EIES), notamment :</w:t>
      </w:r>
    </w:p>
    <w:p w:rsidR="00E81805" w:rsidRPr="006C0C34" w:rsidRDefault="00E81805" w:rsidP="00FA3FAE">
      <w:pPr>
        <w:pStyle w:val="PargrafodaLista"/>
        <w:numPr>
          <w:ilvl w:val="0"/>
          <w:numId w:val="19"/>
        </w:numPr>
        <w:jc w:val="both"/>
        <w:rPr>
          <w:rFonts w:ascii="Times New Roman" w:hAnsi="Times New Roman"/>
          <w:sz w:val="24"/>
          <w:szCs w:val="24"/>
        </w:rPr>
      </w:pPr>
      <w:r w:rsidRPr="006C0C34">
        <w:rPr>
          <w:rFonts w:ascii="Times New Roman" w:hAnsi="Times New Roman"/>
          <w:sz w:val="24"/>
          <w:szCs w:val="24"/>
          <w:lang w:val="fr-FR"/>
        </w:rPr>
        <w:t xml:space="preserve">Des acteurs institutionnels comme </w:t>
      </w:r>
      <w:r w:rsidRPr="006C0C34">
        <w:rPr>
          <w:rFonts w:ascii="Times New Roman" w:hAnsi="Times New Roman"/>
          <w:sz w:val="24"/>
          <w:szCs w:val="24"/>
        </w:rPr>
        <w:t>les services techniques et les élus locaux,</w:t>
      </w:r>
    </w:p>
    <w:p w:rsidR="00E81805" w:rsidRPr="006C0C34" w:rsidRDefault="00E81805" w:rsidP="00FA3FAE">
      <w:pPr>
        <w:pStyle w:val="PargrafodaLista"/>
        <w:numPr>
          <w:ilvl w:val="0"/>
          <w:numId w:val="19"/>
        </w:numPr>
        <w:jc w:val="both"/>
        <w:rPr>
          <w:rFonts w:ascii="Times New Roman" w:hAnsi="Times New Roman"/>
          <w:sz w:val="24"/>
          <w:szCs w:val="24"/>
        </w:rPr>
      </w:pPr>
      <w:r w:rsidRPr="006C0C34">
        <w:rPr>
          <w:rFonts w:ascii="Times New Roman" w:hAnsi="Times New Roman"/>
          <w:sz w:val="24"/>
          <w:szCs w:val="24"/>
        </w:rPr>
        <w:t xml:space="preserve">Et des acteurs </w:t>
      </w:r>
      <w:r w:rsidRPr="006C0C34">
        <w:rPr>
          <w:rFonts w:ascii="Times New Roman" w:hAnsi="Times New Roman"/>
          <w:sz w:val="24"/>
          <w:szCs w:val="24"/>
          <w:lang w:val="fr-FR"/>
        </w:rPr>
        <w:t xml:space="preserve">non institutionnels et groupes socio-professionnels c’est-à-dire </w:t>
      </w:r>
      <w:r w:rsidRPr="006C0C34">
        <w:rPr>
          <w:rFonts w:ascii="Times New Roman" w:hAnsi="Times New Roman"/>
          <w:sz w:val="24"/>
          <w:szCs w:val="24"/>
        </w:rPr>
        <w:t xml:space="preserve">les </w:t>
      </w:r>
      <w:r w:rsidRPr="006C0C34">
        <w:rPr>
          <w:rFonts w:ascii="Times New Roman" w:hAnsi="Times New Roman"/>
          <w:sz w:val="24"/>
          <w:szCs w:val="24"/>
          <w:lang w:val="fr-FR"/>
        </w:rPr>
        <w:t xml:space="preserve">acteurs des </w:t>
      </w:r>
      <w:r w:rsidRPr="006C0C34">
        <w:rPr>
          <w:rFonts w:ascii="Times New Roman" w:hAnsi="Times New Roman"/>
          <w:sz w:val="24"/>
          <w:szCs w:val="24"/>
        </w:rPr>
        <w:t>communautés de bases, individuels et collectifs,</w:t>
      </w:r>
    </w:p>
    <w:p w:rsidR="00E81805" w:rsidRPr="006C0C34" w:rsidRDefault="00E81805" w:rsidP="00E81805">
      <w:pPr>
        <w:autoSpaceDE w:val="0"/>
        <w:autoSpaceDN w:val="0"/>
        <w:adjustRightInd w:val="0"/>
        <w:spacing w:before="120" w:after="0" w:line="240" w:lineRule="auto"/>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L’objectif principal de la consultation est d’intégrer leurs points de vue, préoccupations et recommandations dans la prise de décision et dans les modalités de mise en œuvre du projet. Cette démarche vise à faire participer des acteurs situés à des niveaux et à des positions moins conventionnelles par rapport aux centres de décisions. Elle cherche à créer une dynamique d’échanges avec l’ensemble des acteurs intéressés pour permettre d’inscrire le projet dans la durabilité en tenant compte de leurs expériences</w:t>
      </w:r>
      <w:r>
        <w:rPr>
          <w:rFonts w:ascii="Times New Roman" w:hAnsi="Times New Roman" w:cs="Times New Roman"/>
          <w:sz w:val="24"/>
          <w:szCs w:val="24"/>
          <w:lang w:eastAsia="fr-FR"/>
        </w:rPr>
        <w:t>.</w:t>
      </w:r>
      <w:r w:rsidRPr="006C0C34">
        <w:rPr>
          <w:rFonts w:ascii="Times New Roman" w:hAnsi="Times New Roman" w:cs="Times New Roman"/>
          <w:sz w:val="24"/>
          <w:szCs w:val="24"/>
          <w:lang w:eastAsia="fr-FR"/>
        </w:rPr>
        <w:t xml:space="preserve"> Elle contribue à l’acceptabilité sociale et à la viabilité du </w:t>
      </w:r>
      <w:r w:rsidR="00BF40D2">
        <w:rPr>
          <w:rFonts w:ascii="Times New Roman" w:hAnsi="Times New Roman" w:cs="Times New Roman"/>
          <w:sz w:val="24"/>
          <w:szCs w:val="24"/>
          <w:lang w:eastAsia="fr-FR"/>
        </w:rPr>
        <w:t>sous-</w:t>
      </w:r>
      <w:r w:rsidRPr="006C0C34">
        <w:rPr>
          <w:rFonts w:ascii="Times New Roman" w:hAnsi="Times New Roman" w:cs="Times New Roman"/>
          <w:sz w:val="24"/>
          <w:szCs w:val="24"/>
          <w:lang w:eastAsia="fr-FR"/>
        </w:rPr>
        <w:t>projet</w:t>
      </w:r>
      <w:r w:rsidR="00BF40D2">
        <w:rPr>
          <w:rFonts w:ascii="Times New Roman" w:hAnsi="Times New Roman" w:cs="Times New Roman"/>
          <w:sz w:val="24"/>
          <w:szCs w:val="24"/>
          <w:lang w:eastAsia="fr-FR"/>
        </w:rPr>
        <w:t xml:space="preserve"> n°2</w:t>
      </w:r>
      <w:r w:rsidRPr="006C0C34">
        <w:rPr>
          <w:rFonts w:ascii="Times New Roman" w:hAnsi="Times New Roman" w:cs="Times New Roman"/>
          <w:sz w:val="24"/>
          <w:szCs w:val="24"/>
          <w:lang w:eastAsia="fr-FR"/>
        </w:rPr>
        <w:t>.</w:t>
      </w:r>
    </w:p>
    <w:p w:rsidR="00E81805" w:rsidRPr="006C0C34" w:rsidRDefault="00BF40D2" w:rsidP="00EE3027">
      <w:pPr>
        <w:pStyle w:val="PargrafodaLista"/>
        <w:keepNext/>
        <w:spacing w:before="240" w:after="240"/>
        <w:ind w:left="450" w:firstLine="258"/>
        <w:jc w:val="both"/>
        <w:outlineLvl w:val="2"/>
        <w:rPr>
          <w:rFonts w:ascii="Times New Roman" w:hAnsi="Times New Roman"/>
          <w:b/>
          <w:sz w:val="24"/>
          <w:szCs w:val="24"/>
          <w:lang w:val="fr-FR" w:eastAsia="fr-FR"/>
        </w:rPr>
      </w:pPr>
      <w:bookmarkStart w:id="640" w:name="_Toc527882046"/>
      <w:bookmarkStart w:id="641" w:name="_Toc51072612"/>
      <w:r>
        <w:rPr>
          <w:rFonts w:ascii="Times New Roman" w:hAnsi="Times New Roman"/>
          <w:b/>
          <w:sz w:val="24"/>
          <w:szCs w:val="24"/>
          <w:lang w:val="fr-FR" w:eastAsia="fr-FR"/>
        </w:rPr>
        <w:lastRenderedPageBreak/>
        <w:t>8.6</w:t>
      </w:r>
      <w:r w:rsidR="00E81805" w:rsidRPr="006C0C34">
        <w:rPr>
          <w:rFonts w:ascii="Times New Roman" w:hAnsi="Times New Roman"/>
          <w:b/>
          <w:sz w:val="24"/>
          <w:szCs w:val="24"/>
          <w:lang w:val="fr-FR" w:eastAsia="fr-FR"/>
        </w:rPr>
        <w:t>.2. Méthodologie et Mise en Œuvre de la Consultation</w:t>
      </w:r>
      <w:bookmarkEnd w:id="640"/>
      <w:bookmarkEnd w:id="641"/>
    </w:p>
    <w:p w:rsidR="00E81805" w:rsidRPr="006C0C34" w:rsidRDefault="00E81805" w:rsidP="00E81805">
      <w:pPr>
        <w:jc w:val="both"/>
        <w:rPr>
          <w:rFonts w:ascii="Times New Roman" w:hAnsi="Times New Roman" w:cs="Times New Roman"/>
          <w:sz w:val="24"/>
          <w:szCs w:val="24"/>
        </w:rPr>
      </w:pPr>
      <w:bookmarkStart w:id="642" w:name="_Toc527882047"/>
      <w:r w:rsidRPr="006C0C34">
        <w:rPr>
          <w:rFonts w:ascii="Times New Roman" w:hAnsi="Times New Roman" w:cs="Times New Roman"/>
          <w:sz w:val="24"/>
          <w:szCs w:val="24"/>
        </w:rPr>
        <w:t xml:space="preserve">L’approche méthodologique utilisée a permis de mieux comprendre les ressentis et les perceptions des acteurs sur les travaux </w:t>
      </w:r>
      <w:r w:rsidR="00EE3027">
        <w:rPr>
          <w:rFonts w:ascii="Times New Roman" w:hAnsi="Times New Roman" w:cs="Times New Roman"/>
          <w:sz w:val="24"/>
          <w:szCs w:val="24"/>
        </w:rPr>
        <w:t>de construction de quatre</w:t>
      </w:r>
      <w:r w:rsidR="00EE3027" w:rsidRPr="000F254A">
        <w:rPr>
          <w:rFonts w:ascii="Times New Roman" w:hAnsi="Times New Roman" w:cs="Times New Roman"/>
          <w:sz w:val="24"/>
          <w:szCs w:val="24"/>
        </w:rPr>
        <w:t xml:space="preserve"> nouveaux châteaux d’eau (Prabis, Safim</w:t>
      </w:r>
      <w:r w:rsidR="00EE3027">
        <w:rPr>
          <w:rFonts w:ascii="Times New Roman" w:hAnsi="Times New Roman" w:cs="Times New Roman"/>
          <w:sz w:val="24"/>
          <w:szCs w:val="24"/>
        </w:rPr>
        <w:t>,</w:t>
      </w:r>
      <w:r w:rsidR="00EE3027" w:rsidRPr="000F254A">
        <w:rPr>
          <w:rFonts w:ascii="Times New Roman" w:hAnsi="Times New Roman" w:cs="Times New Roman"/>
          <w:sz w:val="24"/>
          <w:szCs w:val="24"/>
        </w:rPr>
        <w:t xml:space="preserve"> Bor</w:t>
      </w:r>
      <w:r w:rsidR="00EE3027">
        <w:rPr>
          <w:rFonts w:ascii="Times New Roman" w:hAnsi="Times New Roman" w:cs="Times New Roman"/>
          <w:sz w:val="24"/>
          <w:szCs w:val="24"/>
        </w:rPr>
        <w:t xml:space="preserve"> et Antula</w:t>
      </w:r>
      <w:r w:rsidR="00EE3027" w:rsidRPr="000F254A">
        <w:rPr>
          <w:rFonts w:ascii="Times New Roman" w:hAnsi="Times New Roman" w:cs="Times New Roman"/>
          <w:sz w:val="24"/>
          <w:szCs w:val="24"/>
        </w:rPr>
        <w:t>) et la réhabilitation des autres châteaux d’eau existants.</w:t>
      </w:r>
    </w:p>
    <w:p w:rsidR="00E81805" w:rsidRPr="006C0C34" w:rsidRDefault="00E81805" w:rsidP="00EE3027">
      <w:pPr>
        <w:spacing w:line="240" w:lineRule="auto"/>
        <w:jc w:val="both"/>
        <w:rPr>
          <w:rFonts w:ascii="Times New Roman" w:hAnsi="Times New Roman" w:cs="Times New Roman"/>
          <w:sz w:val="24"/>
          <w:szCs w:val="24"/>
        </w:rPr>
      </w:pPr>
      <w:r w:rsidRPr="006C0C34">
        <w:rPr>
          <w:rFonts w:ascii="Times New Roman" w:hAnsi="Times New Roman" w:cs="Times New Roman"/>
          <w:sz w:val="24"/>
          <w:szCs w:val="24"/>
        </w:rPr>
        <w:t xml:space="preserve">Les outils utilisés pour le recueil de données sont </w:t>
      </w:r>
      <w:r w:rsidRPr="006C0C34">
        <w:rPr>
          <w:rFonts w:ascii="Times New Roman" w:hAnsi="Times New Roman" w:cs="Times New Roman"/>
          <w:sz w:val="24"/>
          <w:szCs w:val="24"/>
          <w:lang w:eastAsia="fr-FR"/>
        </w:rPr>
        <w:t xml:space="preserve">le </w:t>
      </w:r>
      <w:r w:rsidRPr="006C0C34">
        <w:rPr>
          <w:rFonts w:ascii="Times New Roman" w:hAnsi="Times New Roman" w:cs="Times New Roman"/>
          <w:iCs/>
          <w:sz w:val="24"/>
          <w:szCs w:val="24"/>
          <w:lang w:eastAsia="fr-FR"/>
        </w:rPr>
        <w:t>focus</w:t>
      </w:r>
      <w:r w:rsidRPr="006C0C34">
        <w:rPr>
          <w:rFonts w:ascii="Times New Roman" w:hAnsi="Times New Roman" w:cs="Times New Roman"/>
          <w:i/>
          <w:iCs/>
          <w:sz w:val="24"/>
          <w:szCs w:val="24"/>
          <w:lang w:eastAsia="fr-FR"/>
        </w:rPr>
        <w:t xml:space="preserve"> </w:t>
      </w:r>
      <w:r w:rsidRPr="006C0C34">
        <w:rPr>
          <w:rFonts w:ascii="Times New Roman" w:hAnsi="Times New Roman" w:cs="Times New Roman"/>
          <w:iCs/>
          <w:sz w:val="24"/>
          <w:szCs w:val="24"/>
          <w:lang w:eastAsia="fr-FR"/>
        </w:rPr>
        <w:t>group</w:t>
      </w:r>
      <w:r w:rsidRPr="006C0C34">
        <w:rPr>
          <w:rFonts w:ascii="Times New Roman" w:hAnsi="Times New Roman" w:cs="Times New Roman"/>
          <w:i/>
          <w:iCs/>
          <w:sz w:val="24"/>
          <w:szCs w:val="24"/>
          <w:lang w:eastAsia="fr-FR"/>
        </w:rPr>
        <w:t xml:space="preserve"> </w:t>
      </w:r>
      <w:r w:rsidRPr="006C0C34">
        <w:rPr>
          <w:rFonts w:ascii="Times New Roman" w:hAnsi="Times New Roman" w:cs="Times New Roman"/>
          <w:sz w:val="24"/>
          <w:szCs w:val="24"/>
          <w:lang w:eastAsia="fr-FR"/>
        </w:rPr>
        <w:t xml:space="preserve">et les observations </w:t>
      </w:r>
      <w:r w:rsidRPr="006C0C34">
        <w:rPr>
          <w:rFonts w:ascii="Times New Roman" w:hAnsi="Times New Roman" w:cs="Times New Roman"/>
          <w:iCs/>
          <w:sz w:val="24"/>
          <w:szCs w:val="24"/>
          <w:lang w:eastAsia="fr-FR"/>
        </w:rPr>
        <w:t>directes. Des</w:t>
      </w:r>
      <w:r w:rsidRPr="006C0C34">
        <w:rPr>
          <w:rFonts w:ascii="Times New Roman" w:hAnsi="Times New Roman" w:cs="Times New Roman"/>
          <w:sz w:val="24"/>
          <w:szCs w:val="24"/>
          <w:lang w:eastAsia="fr-FR"/>
        </w:rPr>
        <w:t xml:space="preserve"> thèmes pertinents liés au projet et aux activités envisagées ont été aussi abordés lors des rencontres. Les résultats obtenus ont été analysés.</w:t>
      </w:r>
      <w:r w:rsidRPr="006C0C34">
        <w:rPr>
          <w:rFonts w:ascii="Times New Roman" w:hAnsi="Times New Roman" w:cs="Times New Roman"/>
          <w:sz w:val="24"/>
          <w:szCs w:val="24"/>
        </w:rPr>
        <w:t xml:space="preserve"> </w:t>
      </w:r>
    </w:p>
    <w:p w:rsidR="00E81805" w:rsidRPr="006C0C34" w:rsidRDefault="00E81805" w:rsidP="00EE3027">
      <w:pPr>
        <w:spacing w:line="240" w:lineRule="auto"/>
        <w:jc w:val="both"/>
        <w:rPr>
          <w:rFonts w:ascii="Times New Roman" w:hAnsi="Times New Roman" w:cs="Times New Roman"/>
          <w:sz w:val="24"/>
          <w:szCs w:val="24"/>
        </w:rPr>
      </w:pPr>
      <w:r w:rsidRPr="006C0C34">
        <w:rPr>
          <w:rFonts w:ascii="Times New Roman" w:hAnsi="Times New Roman" w:cs="Times New Roman"/>
          <w:sz w:val="24"/>
          <w:szCs w:val="24"/>
        </w:rPr>
        <w:t xml:space="preserve">Les acteurs (les populations) dans leurs diversités ont réagi aux différentes questions soulevées lors des rencontres. Les sujets suivants ont été souscrits : (l’avis et la perception du projet ; Les préoccupations et Les craintes par rapport au projet ; Les contraintes potentielles à sa mise en œuvre ; Les impacts négatifs potentiels ; Les impacts positifs potentiels) ;  </w:t>
      </w:r>
    </w:p>
    <w:p w:rsidR="00E81805" w:rsidRPr="006C0C34" w:rsidRDefault="00E81805" w:rsidP="00EE3027">
      <w:pPr>
        <w:spacing w:line="240" w:lineRule="auto"/>
        <w:jc w:val="both"/>
        <w:rPr>
          <w:rFonts w:ascii="Times New Roman" w:hAnsi="Times New Roman" w:cs="Times New Roman"/>
          <w:sz w:val="24"/>
          <w:szCs w:val="24"/>
        </w:rPr>
      </w:pPr>
      <w:r w:rsidRPr="006C0C34">
        <w:rPr>
          <w:rFonts w:ascii="Times New Roman" w:hAnsi="Times New Roman" w:cs="Times New Roman"/>
          <w:sz w:val="24"/>
          <w:szCs w:val="24"/>
        </w:rPr>
        <w:t>Ces rencontres ont permis de collecter des informations sur les caractéristiques et profils sociaux des zones concernées. Elles ont permis également de noter les points de vue, les avis, préoccupations, recommandations, suggestions affirmé</w:t>
      </w:r>
      <w:r>
        <w:rPr>
          <w:rFonts w:ascii="Times New Roman" w:hAnsi="Times New Roman" w:cs="Times New Roman"/>
          <w:sz w:val="24"/>
          <w:szCs w:val="24"/>
        </w:rPr>
        <w:t>e</w:t>
      </w:r>
      <w:r w:rsidRPr="006C0C34">
        <w:rPr>
          <w:rFonts w:ascii="Times New Roman" w:hAnsi="Times New Roman" w:cs="Times New Roman"/>
          <w:sz w:val="24"/>
          <w:szCs w:val="24"/>
        </w:rPr>
        <w:t xml:space="preserve">s par les acteurs riverains au projet. </w:t>
      </w:r>
    </w:p>
    <w:p w:rsidR="00E81805" w:rsidRPr="006C0C34" w:rsidRDefault="00E81805" w:rsidP="00EE3027">
      <w:pPr>
        <w:spacing w:line="240" w:lineRule="auto"/>
        <w:jc w:val="both"/>
        <w:rPr>
          <w:rFonts w:ascii="Times New Roman" w:hAnsi="Times New Roman" w:cs="Times New Roman"/>
          <w:sz w:val="24"/>
          <w:szCs w:val="24"/>
        </w:rPr>
      </w:pPr>
      <w:r w:rsidRPr="006C0C34">
        <w:rPr>
          <w:rFonts w:ascii="Times New Roman" w:hAnsi="Times New Roman" w:cs="Times New Roman"/>
          <w:sz w:val="24"/>
          <w:szCs w:val="24"/>
        </w:rPr>
        <w:t>Durant toute la mise en œuvre du projet, le promoteur devra pourvoir le soubassement d’un accord, d’une transparence et d’un entretien permanent entre les acteurs. Et augmenter davantage la sensibilisation sur les avantages pour une meilleure adaptation du projet et de sa réussite sociale et demeurer fidèle aux engagements du projet.</w:t>
      </w:r>
    </w:p>
    <w:p w:rsidR="00E81805" w:rsidRPr="006C0C34" w:rsidRDefault="00EE3027" w:rsidP="00EE3027">
      <w:pPr>
        <w:pStyle w:val="PargrafodaLista"/>
        <w:keepNext/>
        <w:spacing w:before="240" w:after="240"/>
        <w:ind w:left="450" w:firstLine="258"/>
        <w:jc w:val="both"/>
        <w:outlineLvl w:val="2"/>
        <w:rPr>
          <w:rFonts w:ascii="Times New Roman" w:hAnsi="Times New Roman"/>
          <w:b/>
          <w:sz w:val="24"/>
          <w:szCs w:val="24"/>
          <w:lang w:val="fr-FR" w:eastAsia="fr-FR"/>
        </w:rPr>
      </w:pPr>
      <w:bookmarkStart w:id="643" w:name="_Toc51072613"/>
      <w:r>
        <w:rPr>
          <w:rFonts w:ascii="Times New Roman" w:hAnsi="Times New Roman"/>
          <w:b/>
          <w:sz w:val="24"/>
          <w:szCs w:val="24"/>
          <w:lang w:val="fr-FR" w:eastAsia="fr-FR"/>
        </w:rPr>
        <w:t>8.6.3</w:t>
      </w:r>
      <w:r w:rsidRPr="006C0C34">
        <w:rPr>
          <w:rFonts w:ascii="Times New Roman" w:hAnsi="Times New Roman"/>
          <w:b/>
          <w:sz w:val="24"/>
          <w:szCs w:val="24"/>
          <w:lang w:val="fr-FR" w:eastAsia="fr-FR"/>
        </w:rPr>
        <w:t>. Déroulement de la consultation</w:t>
      </w:r>
      <w:bookmarkEnd w:id="642"/>
      <w:bookmarkEnd w:id="643"/>
    </w:p>
    <w:p w:rsidR="00E81805" w:rsidRPr="006C0C34" w:rsidRDefault="00E81805" w:rsidP="00EE3027">
      <w:pPr>
        <w:pStyle w:val="SemEspaamento"/>
        <w:jc w:val="both"/>
        <w:rPr>
          <w:rFonts w:ascii="Times New Roman" w:hAnsi="Times New Roman"/>
          <w:sz w:val="24"/>
          <w:szCs w:val="24"/>
        </w:rPr>
      </w:pPr>
      <w:bookmarkStart w:id="644" w:name="_Toc527882048"/>
      <w:r w:rsidRPr="006C0C34">
        <w:rPr>
          <w:rFonts w:ascii="Times New Roman" w:hAnsi="Times New Roman"/>
          <w:sz w:val="24"/>
          <w:szCs w:val="24"/>
        </w:rPr>
        <w:t xml:space="preserve">Un large processus de consultation et rencontres institutionnelles a été réalisé </w:t>
      </w:r>
      <w:r w:rsidRPr="006C0C34">
        <w:rPr>
          <w:rFonts w:ascii="Times New Roman" w:hAnsi="Times New Roman"/>
          <w:b/>
          <w:sz w:val="24"/>
          <w:szCs w:val="24"/>
        </w:rPr>
        <w:t>du 06 au 24 Mai 2019</w:t>
      </w:r>
      <w:r w:rsidRPr="006C0C34">
        <w:rPr>
          <w:rFonts w:ascii="Times New Roman" w:hAnsi="Times New Roman"/>
          <w:sz w:val="24"/>
          <w:szCs w:val="24"/>
        </w:rPr>
        <w:t xml:space="preserve"> en Guinée Bissau particulièrement dans les régions de Biombo et </w:t>
      </w:r>
      <w:r w:rsidR="008B6ABD">
        <w:rPr>
          <w:rFonts w:ascii="Times New Roman" w:hAnsi="Times New Roman"/>
          <w:sz w:val="24"/>
          <w:szCs w:val="24"/>
        </w:rPr>
        <w:t>de Bissau, (Prabis, Bor, Safim</w:t>
      </w:r>
      <w:r w:rsidRPr="006C0C34">
        <w:rPr>
          <w:rFonts w:ascii="Times New Roman" w:hAnsi="Times New Roman"/>
          <w:sz w:val="24"/>
          <w:szCs w:val="24"/>
        </w:rPr>
        <w:t xml:space="preserve">, Quartier Aéroport). Les secteurs bénéficiaires ont fait l’objet de nombreuses consultations. </w:t>
      </w:r>
    </w:p>
    <w:p w:rsidR="00E81805" w:rsidRPr="006C0C34" w:rsidRDefault="00E81805" w:rsidP="00EE3027">
      <w:pPr>
        <w:pStyle w:val="SemEspaamento"/>
        <w:jc w:val="both"/>
        <w:rPr>
          <w:rFonts w:ascii="Times New Roman" w:hAnsi="Times New Roman"/>
          <w:sz w:val="24"/>
          <w:szCs w:val="24"/>
        </w:rPr>
      </w:pPr>
      <w:r w:rsidRPr="006C0C34">
        <w:rPr>
          <w:rFonts w:ascii="Times New Roman" w:hAnsi="Times New Roman"/>
          <w:sz w:val="24"/>
          <w:szCs w:val="24"/>
        </w:rPr>
        <w:t>Les discussions ont été articulées autour des principaux thèmes suivants :</w:t>
      </w:r>
    </w:p>
    <w:p w:rsidR="00E81805" w:rsidRPr="006C0C34" w:rsidRDefault="00E81805" w:rsidP="00EE3027">
      <w:pPr>
        <w:pStyle w:val="SemEspaamento"/>
        <w:jc w:val="both"/>
        <w:rPr>
          <w:rFonts w:ascii="Times New Roman" w:hAnsi="Times New Roman"/>
          <w:b/>
          <w:sz w:val="24"/>
          <w:szCs w:val="24"/>
          <w:u w:val="single"/>
          <w:lang w:eastAsia="fr-FR"/>
        </w:rPr>
      </w:pPr>
      <w:r w:rsidRPr="006C0C34">
        <w:rPr>
          <w:rFonts w:ascii="Times New Roman" w:hAnsi="Times New Roman"/>
          <w:sz w:val="24"/>
          <w:szCs w:val="24"/>
        </w:rPr>
        <w:t xml:space="preserve"> </w:t>
      </w:r>
      <w:r w:rsidRPr="006C0C34">
        <w:rPr>
          <w:rFonts w:ascii="Times New Roman" w:hAnsi="Times New Roman"/>
          <w:b/>
          <w:sz w:val="24"/>
          <w:szCs w:val="24"/>
          <w:u w:val="single"/>
          <w:lang w:eastAsia="fr-FR"/>
        </w:rPr>
        <w:t xml:space="preserve">Pour les services techniques </w:t>
      </w:r>
    </w:p>
    <w:p w:rsidR="00E81805" w:rsidRPr="006C0C34" w:rsidRDefault="00E81805" w:rsidP="00EE3027">
      <w:pPr>
        <w:pStyle w:val="SemEspaamento"/>
        <w:jc w:val="both"/>
        <w:rPr>
          <w:rFonts w:ascii="Times New Roman" w:hAnsi="Times New Roman"/>
          <w:b/>
          <w:sz w:val="24"/>
          <w:szCs w:val="24"/>
          <w:u w:val="single"/>
          <w:lang w:eastAsia="fr-FR"/>
        </w:rPr>
      </w:pPr>
    </w:p>
    <w:p w:rsidR="00E81805" w:rsidRPr="006C0C34" w:rsidRDefault="00E81805" w:rsidP="00FA3FAE">
      <w:pPr>
        <w:numPr>
          <w:ilvl w:val="0"/>
          <w:numId w:val="28"/>
        </w:numPr>
        <w:tabs>
          <w:tab w:val="clear" w:pos="360"/>
          <w:tab w:val="num" w:pos="1134"/>
        </w:tabs>
        <w:spacing w:after="0" w:line="240" w:lineRule="auto"/>
        <w:ind w:left="1276"/>
        <w:jc w:val="both"/>
        <w:rPr>
          <w:rFonts w:ascii="Times New Roman" w:hAnsi="Times New Roman" w:cs="Times New Roman"/>
          <w:sz w:val="24"/>
          <w:szCs w:val="24"/>
        </w:rPr>
      </w:pPr>
      <w:r w:rsidRPr="006C0C34">
        <w:rPr>
          <w:rFonts w:ascii="Times New Roman" w:hAnsi="Times New Roman" w:cs="Times New Roman"/>
          <w:sz w:val="24"/>
          <w:szCs w:val="24"/>
        </w:rPr>
        <w:t xml:space="preserve">Enjeux socio-économiques et environnementaux du </w:t>
      </w:r>
      <w:r w:rsidR="008B6ABD">
        <w:rPr>
          <w:rFonts w:ascii="Times New Roman" w:hAnsi="Times New Roman" w:cs="Times New Roman"/>
          <w:sz w:val="24"/>
          <w:szCs w:val="24"/>
        </w:rPr>
        <w:t>sous-</w:t>
      </w:r>
      <w:r w:rsidRPr="006C0C34">
        <w:rPr>
          <w:rFonts w:ascii="Times New Roman" w:hAnsi="Times New Roman" w:cs="Times New Roman"/>
          <w:sz w:val="24"/>
          <w:szCs w:val="24"/>
        </w:rPr>
        <w:t>projet</w:t>
      </w:r>
      <w:r w:rsidR="008B6ABD">
        <w:rPr>
          <w:rFonts w:ascii="Times New Roman" w:hAnsi="Times New Roman" w:cs="Times New Roman"/>
          <w:sz w:val="24"/>
          <w:szCs w:val="24"/>
        </w:rPr>
        <w:t xml:space="preserve"> n°2</w:t>
      </w:r>
      <w:r>
        <w:rPr>
          <w:rFonts w:ascii="Times New Roman" w:hAnsi="Times New Roman" w:cs="Times New Roman"/>
          <w:sz w:val="24"/>
          <w:szCs w:val="24"/>
        </w:rPr>
        <w:t> ;</w:t>
      </w:r>
    </w:p>
    <w:p w:rsidR="00E81805" w:rsidRPr="006C0C34" w:rsidRDefault="008B6ABD" w:rsidP="00FA3FAE">
      <w:pPr>
        <w:numPr>
          <w:ilvl w:val="0"/>
          <w:numId w:val="28"/>
        </w:numPr>
        <w:tabs>
          <w:tab w:val="clear" w:pos="360"/>
          <w:tab w:val="num" w:pos="1134"/>
        </w:tabs>
        <w:spacing w:after="0" w:line="240" w:lineRule="auto"/>
        <w:ind w:left="1276"/>
        <w:jc w:val="both"/>
        <w:rPr>
          <w:rFonts w:ascii="Times New Roman" w:hAnsi="Times New Roman" w:cs="Times New Roman"/>
          <w:sz w:val="24"/>
          <w:szCs w:val="24"/>
        </w:rPr>
      </w:pPr>
      <w:r>
        <w:rPr>
          <w:rFonts w:ascii="Times New Roman" w:hAnsi="Times New Roman" w:cs="Times New Roman"/>
          <w:sz w:val="24"/>
          <w:szCs w:val="24"/>
        </w:rPr>
        <w:t xml:space="preserve">Avis </w:t>
      </w:r>
      <w:r w:rsidR="00E81805">
        <w:rPr>
          <w:rFonts w:ascii="Times New Roman" w:hAnsi="Times New Roman" w:cs="Times New Roman"/>
          <w:sz w:val="24"/>
          <w:szCs w:val="24"/>
        </w:rPr>
        <w:t>;</w:t>
      </w:r>
    </w:p>
    <w:p w:rsidR="00E81805" w:rsidRPr="006C0C34" w:rsidRDefault="00E81805" w:rsidP="00FA3FAE">
      <w:pPr>
        <w:numPr>
          <w:ilvl w:val="0"/>
          <w:numId w:val="28"/>
        </w:numPr>
        <w:tabs>
          <w:tab w:val="clear" w:pos="360"/>
          <w:tab w:val="num" w:pos="1134"/>
        </w:tabs>
        <w:spacing w:after="0" w:line="240" w:lineRule="auto"/>
        <w:ind w:left="1276"/>
        <w:jc w:val="both"/>
        <w:rPr>
          <w:rFonts w:ascii="Times New Roman" w:hAnsi="Times New Roman" w:cs="Times New Roman"/>
          <w:sz w:val="24"/>
          <w:szCs w:val="24"/>
        </w:rPr>
      </w:pPr>
      <w:r w:rsidRPr="006C0C34">
        <w:rPr>
          <w:rFonts w:ascii="Times New Roman" w:hAnsi="Times New Roman" w:cs="Times New Roman"/>
          <w:sz w:val="24"/>
          <w:szCs w:val="24"/>
        </w:rPr>
        <w:t>Préoccupations et craintes</w:t>
      </w:r>
      <w:r>
        <w:rPr>
          <w:rFonts w:ascii="Times New Roman" w:hAnsi="Times New Roman" w:cs="Times New Roman"/>
          <w:sz w:val="24"/>
          <w:szCs w:val="24"/>
        </w:rPr>
        <w:t> ;</w:t>
      </w:r>
    </w:p>
    <w:p w:rsidR="00E81805" w:rsidRPr="006C0C34" w:rsidRDefault="00E81805" w:rsidP="00FA3FAE">
      <w:pPr>
        <w:numPr>
          <w:ilvl w:val="0"/>
          <w:numId w:val="28"/>
        </w:numPr>
        <w:tabs>
          <w:tab w:val="clear" w:pos="360"/>
          <w:tab w:val="num" w:pos="1134"/>
        </w:tabs>
        <w:spacing w:after="0" w:line="240" w:lineRule="auto"/>
        <w:ind w:left="1276"/>
        <w:jc w:val="both"/>
        <w:rPr>
          <w:rFonts w:ascii="Times New Roman" w:hAnsi="Times New Roman" w:cs="Times New Roman"/>
          <w:sz w:val="24"/>
          <w:szCs w:val="24"/>
        </w:rPr>
      </w:pPr>
      <w:r w:rsidRPr="006C0C34">
        <w:rPr>
          <w:rFonts w:ascii="Times New Roman" w:hAnsi="Times New Roman" w:cs="Times New Roman"/>
          <w:sz w:val="24"/>
          <w:szCs w:val="24"/>
        </w:rPr>
        <w:t>Attentes et recommandations pour une bonne mise en œuvre du</w:t>
      </w:r>
      <w:r w:rsidR="008B6ABD">
        <w:rPr>
          <w:rFonts w:ascii="Times New Roman" w:hAnsi="Times New Roman" w:cs="Times New Roman"/>
          <w:sz w:val="24"/>
          <w:szCs w:val="24"/>
        </w:rPr>
        <w:t xml:space="preserve"> sous-</w:t>
      </w:r>
      <w:r w:rsidRPr="006C0C34">
        <w:rPr>
          <w:rFonts w:ascii="Times New Roman" w:hAnsi="Times New Roman" w:cs="Times New Roman"/>
          <w:sz w:val="24"/>
          <w:szCs w:val="24"/>
        </w:rPr>
        <w:t>projet</w:t>
      </w:r>
      <w:r w:rsidR="008B6ABD">
        <w:rPr>
          <w:rFonts w:ascii="Times New Roman" w:hAnsi="Times New Roman" w:cs="Times New Roman"/>
          <w:sz w:val="24"/>
          <w:szCs w:val="24"/>
        </w:rPr>
        <w:t xml:space="preserve"> n°2</w:t>
      </w:r>
    </w:p>
    <w:p w:rsidR="00E81805" w:rsidRPr="006C0C34" w:rsidRDefault="00E81805" w:rsidP="004F7F5E">
      <w:pPr>
        <w:spacing w:after="0" w:line="240" w:lineRule="auto"/>
        <w:jc w:val="both"/>
        <w:rPr>
          <w:rFonts w:ascii="Times New Roman" w:hAnsi="Times New Roman" w:cs="Times New Roman"/>
          <w:b/>
          <w:sz w:val="24"/>
          <w:szCs w:val="24"/>
          <w:u w:val="single"/>
          <w:lang w:eastAsia="fr-FR"/>
        </w:rPr>
      </w:pPr>
      <w:r w:rsidRPr="006C0C34">
        <w:rPr>
          <w:rFonts w:ascii="Times New Roman" w:hAnsi="Times New Roman" w:cs="Times New Roman"/>
          <w:b/>
          <w:sz w:val="24"/>
          <w:szCs w:val="24"/>
          <w:u w:val="single"/>
          <w:lang w:eastAsia="fr-FR"/>
        </w:rPr>
        <w:t xml:space="preserve">Pour les élus locaux et les riverains </w:t>
      </w:r>
    </w:p>
    <w:p w:rsidR="008B6ABD" w:rsidRDefault="00E81805" w:rsidP="00EE3027">
      <w:pPr>
        <w:spacing w:after="0" w:line="240" w:lineRule="auto"/>
        <w:jc w:val="both"/>
        <w:rPr>
          <w:rFonts w:ascii="Times New Roman" w:hAnsi="Times New Roman" w:cs="Times New Roman"/>
          <w:sz w:val="24"/>
          <w:szCs w:val="24"/>
        </w:rPr>
      </w:pPr>
      <w:r w:rsidRPr="006C0C34">
        <w:rPr>
          <w:rFonts w:ascii="Times New Roman" w:hAnsi="Times New Roman" w:cs="Times New Roman"/>
          <w:sz w:val="24"/>
          <w:szCs w:val="24"/>
        </w:rPr>
        <w:t xml:space="preserve">- </w:t>
      </w:r>
      <w:r w:rsidR="008B6ABD">
        <w:rPr>
          <w:rFonts w:ascii="Times New Roman" w:hAnsi="Times New Roman" w:cs="Times New Roman"/>
          <w:sz w:val="24"/>
          <w:szCs w:val="24"/>
        </w:rPr>
        <w:t>Avis ;</w:t>
      </w:r>
    </w:p>
    <w:p w:rsidR="00E81805" w:rsidRPr="006C0C34" w:rsidRDefault="008B6ABD" w:rsidP="00EE302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E81805" w:rsidRPr="006C0C34">
        <w:rPr>
          <w:rFonts w:ascii="Times New Roman" w:hAnsi="Times New Roman" w:cs="Times New Roman"/>
          <w:sz w:val="24"/>
          <w:szCs w:val="24"/>
        </w:rPr>
        <w:t>Enjeux socio-économiques et environnementaux du projet</w:t>
      </w:r>
      <w:r w:rsidR="00E81805">
        <w:rPr>
          <w:rFonts w:ascii="Times New Roman" w:hAnsi="Times New Roman" w:cs="Times New Roman"/>
          <w:sz w:val="24"/>
          <w:szCs w:val="24"/>
        </w:rPr>
        <w:t> ;</w:t>
      </w:r>
    </w:p>
    <w:p w:rsidR="00E81805" w:rsidRPr="006C0C34" w:rsidRDefault="00E81805" w:rsidP="00EE3027">
      <w:pPr>
        <w:spacing w:after="0" w:line="240" w:lineRule="auto"/>
        <w:jc w:val="both"/>
        <w:rPr>
          <w:rFonts w:ascii="Times New Roman" w:hAnsi="Times New Roman" w:cs="Times New Roman"/>
          <w:sz w:val="24"/>
          <w:szCs w:val="24"/>
        </w:rPr>
      </w:pPr>
      <w:r w:rsidRPr="006C0C34">
        <w:rPr>
          <w:rFonts w:ascii="Times New Roman" w:hAnsi="Times New Roman" w:cs="Times New Roman"/>
          <w:sz w:val="24"/>
          <w:szCs w:val="24"/>
        </w:rPr>
        <w:t>- Préoccupations et craintes</w:t>
      </w:r>
      <w:r>
        <w:rPr>
          <w:rFonts w:ascii="Times New Roman" w:hAnsi="Times New Roman" w:cs="Times New Roman"/>
          <w:sz w:val="24"/>
          <w:szCs w:val="24"/>
        </w:rPr>
        <w:t> ;</w:t>
      </w:r>
    </w:p>
    <w:p w:rsidR="00E81805" w:rsidRDefault="00E81805" w:rsidP="00EE3027">
      <w:pPr>
        <w:spacing w:after="0" w:line="240" w:lineRule="auto"/>
        <w:jc w:val="both"/>
        <w:rPr>
          <w:rFonts w:ascii="Times New Roman" w:hAnsi="Times New Roman" w:cs="Times New Roman"/>
          <w:sz w:val="24"/>
          <w:szCs w:val="24"/>
        </w:rPr>
      </w:pPr>
      <w:r w:rsidRPr="006C0C34">
        <w:rPr>
          <w:rFonts w:ascii="Times New Roman" w:hAnsi="Times New Roman" w:cs="Times New Roman"/>
          <w:sz w:val="24"/>
          <w:szCs w:val="24"/>
        </w:rPr>
        <w:t xml:space="preserve">- Attentes et recommandations pour une bonne mise en œuvre du </w:t>
      </w:r>
      <w:r w:rsidR="008B6ABD">
        <w:rPr>
          <w:rFonts w:ascii="Times New Roman" w:hAnsi="Times New Roman" w:cs="Times New Roman"/>
          <w:sz w:val="24"/>
          <w:szCs w:val="24"/>
        </w:rPr>
        <w:t>sous-</w:t>
      </w:r>
      <w:r w:rsidR="008B6ABD" w:rsidRPr="006C0C34">
        <w:rPr>
          <w:rFonts w:ascii="Times New Roman" w:hAnsi="Times New Roman" w:cs="Times New Roman"/>
          <w:sz w:val="24"/>
          <w:szCs w:val="24"/>
        </w:rPr>
        <w:t>projet</w:t>
      </w:r>
      <w:r w:rsidR="008B6ABD">
        <w:rPr>
          <w:rFonts w:ascii="Times New Roman" w:hAnsi="Times New Roman" w:cs="Times New Roman"/>
          <w:sz w:val="24"/>
          <w:szCs w:val="24"/>
        </w:rPr>
        <w:t xml:space="preserve"> n°2</w:t>
      </w:r>
      <w:r>
        <w:rPr>
          <w:rFonts w:ascii="Times New Roman" w:hAnsi="Times New Roman" w:cs="Times New Roman"/>
          <w:sz w:val="24"/>
          <w:szCs w:val="24"/>
        </w:rPr>
        <w:t>.</w:t>
      </w:r>
    </w:p>
    <w:p w:rsidR="008B6ABD" w:rsidRPr="004F7F5E" w:rsidRDefault="00EE3027" w:rsidP="004F7F5E">
      <w:pPr>
        <w:pStyle w:val="PargrafodaLista"/>
        <w:keepNext/>
        <w:spacing w:before="240" w:after="0"/>
        <w:ind w:left="450" w:firstLine="258"/>
        <w:jc w:val="both"/>
        <w:outlineLvl w:val="2"/>
        <w:rPr>
          <w:rFonts w:ascii="Times New Roman" w:hAnsi="Times New Roman"/>
          <w:b/>
          <w:sz w:val="24"/>
          <w:szCs w:val="24"/>
          <w:lang w:val="fr-FR" w:eastAsia="fr-FR"/>
        </w:rPr>
      </w:pPr>
      <w:bookmarkStart w:id="645" w:name="_Toc51072614"/>
      <w:r>
        <w:rPr>
          <w:rFonts w:ascii="Times New Roman" w:hAnsi="Times New Roman"/>
          <w:b/>
          <w:sz w:val="24"/>
          <w:szCs w:val="24"/>
          <w:lang w:val="fr-FR" w:eastAsia="fr-FR"/>
        </w:rPr>
        <w:t>8.6.4</w:t>
      </w:r>
      <w:r w:rsidR="00E81805" w:rsidRPr="006C0C34">
        <w:rPr>
          <w:rFonts w:ascii="Times New Roman" w:hAnsi="Times New Roman"/>
          <w:b/>
          <w:sz w:val="24"/>
          <w:szCs w:val="24"/>
          <w:lang w:val="fr-FR" w:eastAsia="fr-FR"/>
        </w:rPr>
        <w:t>.  Acteurs consult</w:t>
      </w:r>
      <w:r w:rsidR="00E81805">
        <w:rPr>
          <w:rFonts w:ascii="Times New Roman" w:hAnsi="Times New Roman"/>
          <w:b/>
          <w:sz w:val="24"/>
          <w:szCs w:val="24"/>
          <w:lang w:val="fr-FR" w:eastAsia="fr-FR"/>
        </w:rPr>
        <w:t>és</w:t>
      </w:r>
      <w:bookmarkEnd w:id="644"/>
      <w:bookmarkEnd w:id="645"/>
    </w:p>
    <w:p w:rsidR="008B6ABD" w:rsidRDefault="00E81805" w:rsidP="00EE3027">
      <w:pPr>
        <w:spacing w:line="240" w:lineRule="auto"/>
        <w:jc w:val="both"/>
        <w:rPr>
          <w:rFonts w:ascii="Times New Roman" w:hAnsi="Times New Roman"/>
          <w:sz w:val="24"/>
          <w:szCs w:val="24"/>
        </w:rPr>
      </w:pPr>
      <w:bookmarkStart w:id="646" w:name="_Toc527882049"/>
      <w:r w:rsidRPr="008B6ABD">
        <w:rPr>
          <w:rFonts w:ascii="Times New Roman" w:hAnsi="Times New Roman"/>
          <w:sz w:val="24"/>
          <w:szCs w:val="24"/>
        </w:rPr>
        <w:t xml:space="preserve">Dans le cadre des concertations publiques, les services techniques, les collectivités locales et les populations riveraines constituent en général, les principales cibles. </w:t>
      </w:r>
    </w:p>
    <w:p w:rsidR="008B6ABD" w:rsidRDefault="00E81805" w:rsidP="00EE3027">
      <w:pPr>
        <w:spacing w:line="240" w:lineRule="auto"/>
        <w:jc w:val="both"/>
        <w:rPr>
          <w:rFonts w:ascii="Times New Roman" w:hAnsi="Times New Roman"/>
          <w:b/>
          <w:sz w:val="24"/>
          <w:szCs w:val="24"/>
        </w:rPr>
      </w:pPr>
      <w:r w:rsidRPr="008B6ABD">
        <w:rPr>
          <w:rFonts w:ascii="Times New Roman" w:hAnsi="Times New Roman"/>
          <w:sz w:val="24"/>
          <w:szCs w:val="24"/>
        </w:rPr>
        <w:t>Dans le cadre de cette EIES, plusieurs acteurs ont été consultés tels que</w:t>
      </w:r>
      <w:r w:rsidRPr="008B6ABD">
        <w:rPr>
          <w:rFonts w:ascii="Times New Roman" w:hAnsi="Times New Roman"/>
          <w:b/>
          <w:sz w:val="24"/>
          <w:szCs w:val="24"/>
        </w:rPr>
        <w:t xml:space="preserve"> :</w:t>
      </w:r>
    </w:p>
    <w:p w:rsidR="00E81805" w:rsidRDefault="00E81805" w:rsidP="00FA3FAE">
      <w:pPr>
        <w:pStyle w:val="PargrafodaLista"/>
        <w:numPr>
          <w:ilvl w:val="0"/>
          <w:numId w:val="21"/>
        </w:numPr>
        <w:spacing w:line="240" w:lineRule="auto"/>
        <w:jc w:val="both"/>
        <w:rPr>
          <w:rFonts w:ascii="Times New Roman" w:hAnsi="Times New Roman"/>
          <w:b/>
          <w:sz w:val="24"/>
          <w:szCs w:val="24"/>
        </w:rPr>
      </w:pPr>
      <w:r w:rsidRPr="006C0C34">
        <w:rPr>
          <w:rFonts w:ascii="Times New Roman" w:hAnsi="Times New Roman"/>
          <w:b/>
          <w:sz w:val="24"/>
          <w:szCs w:val="24"/>
        </w:rPr>
        <w:t>Bureau PAUSEE / Guinée Bissau</w:t>
      </w:r>
    </w:p>
    <w:p w:rsidR="008B6ABD" w:rsidRPr="008B6ABD" w:rsidRDefault="008B6ABD" w:rsidP="00FA3FAE">
      <w:pPr>
        <w:pStyle w:val="PargrafodaLista"/>
        <w:numPr>
          <w:ilvl w:val="0"/>
          <w:numId w:val="21"/>
        </w:numPr>
        <w:spacing w:line="240" w:lineRule="auto"/>
        <w:jc w:val="both"/>
        <w:rPr>
          <w:rFonts w:ascii="Times New Roman" w:hAnsi="Times New Roman"/>
          <w:b/>
          <w:sz w:val="24"/>
          <w:szCs w:val="24"/>
        </w:rPr>
      </w:pPr>
      <w:r w:rsidRPr="008B6ABD">
        <w:rPr>
          <w:rFonts w:ascii="Times New Roman" w:hAnsi="Times New Roman"/>
          <w:b/>
          <w:sz w:val="24"/>
          <w:szCs w:val="24"/>
        </w:rPr>
        <w:t>Direction de l’Environnement AAAC (Autorité d’Evaluation Environnementale Compétente) de Bissau</w:t>
      </w:r>
    </w:p>
    <w:p w:rsidR="00E81805" w:rsidRPr="006C0C34" w:rsidRDefault="00E81805" w:rsidP="00FA3FAE">
      <w:pPr>
        <w:pStyle w:val="PargrafodaLista"/>
        <w:numPr>
          <w:ilvl w:val="0"/>
          <w:numId w:val="21"/>
        </w:numPr>
        <w:spacing w:line="240" w:lineRule="auto"/>
        <w:jc w:val="both"/>
        <w:rPr>
          <w:rFonts w:ascii="Times New Roman" w:hAnsi="Times New Roman"/>
          <w:b/>
          <w:sz w:val="24"/>
          <w:szCs w:val="24"/>
        </w:rPr>
      </w:pPr>
      <w:r w:rsidRPr="006C0C34">
        <w:rPr>
          <w:rFonts w:ascii="Times New Roman" w:hAnsi="Times New Roman"/>
          <w:b/>
          <w:sz w:val="24"/>
          <w:szCs w:val="24"/>
        </w:rPr>
        <w:t>Direction des Eaux et Electricités de Guinée Bissau (EAGB)</w:t>
      </w:r>
    </w:p>
    <w:p w:rsidR="00E81805" w:rsidRPr="006C0C34" w:rsidRDefault="00E81805" w:rsidP="00FA3FAE">
      <w:pPr>
        <w:pStyle w:val="PargrafodaLista"/>
        <w:numPr>
          <w:ilvl w:val="0"/>
          <w:numId w:val="21"/>
        </w:numPr>
        <w:spacing w:line="240" w:lineRule="auto"/>
        <w:jc w:val="both"/>
        <w:rPr>
          <w:rFonts w:ascii="Times New Roman" w:hAnsi="Times New Roman"/>
          <w:b/>
          <w:sz w:val="24"/>
          <w:szCs w:val="24"/>
        </w:rPr>
      </w:pPr>
      <w:r w:rsidRPr="006C0C34">
        <w:rPr>
          <w:rFonts w:ascii="Times New Roman" w:hAnsi="Times New Roman"/>
          <w:b/>
          <w:sz w:val="24"/>
          <w:szCs w:val="24"/>
        </w:rPr>
        <w:t>Direction Générale de l’Energie</w:t>
      </w:r>
    </w:p>
    <w:p w:rsidR="00E81805" w:rsidRPr="006C0C34" w:rsidRDefault="00E81805" w:rsidP="00FA3FAE">
      <w:pPr>
        <w:pStyle w:val="PargrafodaLista"/>
        <w:numPr>
          <w:ilvl w:val="0"/>
          <w:numId w:val="21"/>
        </w:numPr>
        <w:spacing w:line="240" w:lineRule="auto"/>
        <w:jc w:val="both"/>
        <w:rPr>
          <w:rFonts w:ascii="Times New Roman" w:hAnsi="Times New Roman"/>
          <w:b/>
          <w:sz w:val="24"/>
          <w:szCs w:val="24"/>
        </w:rPr>
      </w:pPr>
      <w:r w:rsidRPr="006C0C34">
        <w:rPr>
          <w:rFonts w:ascii="Times New Roman" w:hAnsi="Times New Roman"/>
          <w:b/>
          <w:sz w:val="24"/>
          <w:szCs w:val="24"/>
        </w:rPr>
        <w:t xml:space="preserve"> Institut National de la Métrologie de Bissau</w:t>
      </w:r>
    </w:p>
    <w:p w:rsidR="00E81805" w:rsidRPr="006C0C34" w:rsidRDefault="00E81805" w:rsidP="00FA3FAE">
      <w:pPr>
        <w:pStyle w:val="PargrafodaLista"/>
        <w:numPr>
          <w:ilvl w:val="0"/>
          <w:numId w:val="21"/>
        </w:numPr>
        <w:spacing w:line="240" w:lineRule="auto"/>
        <w:jc w:val="both"/>
        <w:rPr>
          <w:rFonts w:ascii="Times New Roman" w:hAnsi="Times New Roman"/>
          <w:b/>
          <w:sz w:val="24"/>
          <w:szCs w:val="24"/>
        </w:rPr>
      </w:pPr>
      <w:r w:rsidRPr="006C0C34">
        <w:rPr>
          <w:rFonts w:ascii="Times New Roman" w:hAnsi="Times New Roman"/>
          <w:b/>
          <w:sz w:val="24"/>
          <w:szCs w:val="24"/>
        </w:rPr>
        <w:t>Institut National de la Statistique de Bissau</w:t>
      </w:r>
    </w:p>
    <w:p w:rsidR="00E81805" w:rsidRPr="006C0C34" w:rsidRDefault="00E81805" w:rsidP="00FA3FAE">
      <w:pPr>
        <w:pStyle w:val="PargrafodaLista"/>
        <w:numPr>
          <w:ilvl w:val="0"/>
          <w:numId w:val="21"/>
        </w:numPr>
        <w:spacing w:line="240" w:lineRule="auto"/>
        <w:jc w:val="both"/>
        <w:rPr>
          <w:rFonts w:ascii="Times New Roman" w:hAnsi="Times New Roman"/>
          <w:b/>
          <w:sz w:val="24"/>
          <w:szCs w:val="24"/>
        </w:rPr>
      </w:pPr>
      <w:r w:rsidRPr="006C0C34">
        <w:rPr>
          <w:rFonts w:ascii="Times New Roman" w:hAnsi="Times New Roman"/>
          <w:b/>
          <w:sz w:val="24"/>
          <w:szCs w:val="24"/>
        </w:rPr>
        <w:lastRenderedPageBreak/>
        <w:t>Direction nationale des mouvements Société Civile</w:t>
      </w:r>
    </w:p>
    <w:p w:rsidR="00E81805" w:rsidRPr="006C0C34" w:rsidRDefault="00E81805" w:rsidP="00FA3FAE">
      <w:pPr>
        <w:pStyle w:val="PargrafodaLista"/>
        <w:numPr>
          <w:ilvl w:val="0"/>
          <w:numId w:val="21"/>
        </w:numPr>
        <w:spacing w:line="240" w:lineRule="auto"/>
        <w:jc w:val="both"/>
        <w:rPr>
          <w:rFonts w:ascii="Times New Roman" w:hAnsi="Times New Roman"/>
          <w:b/>
          <w:sz w:val="24"/>
          <w:szCs w:val="24"/>
        </w:rPr>
      </w:pPr>
      <w:r w:rsidRPr="006C0C34">
        <w:rPr>
          <w:rFonts w:ascii="Times New Roman" w:hAnsi="Times New Roman"/>
          <w:b/>
          <w:sz w:val="24"/>
          <w:szCs w:val="24"/>
        </w:rPr>
        <w:t xml:space="preserve"> Service National de la Protection Civile de Bissau</w:t>
      </w:r>
    </w:p>
    <w:p w:rsidR="00E81805" w:rsidRPr="006C0C34" w:rsidRDefault="00E81805" w:rsidP="00FA3FAE">
      <w:pPr>
        <w:pStyle w:val="PargrafodaLista"/>
        <w:numPr>
          <w:ilvl w:val="0"/>
          <w:numId w:val="21"/>
        </w:numPr>
        <w:spacing w:line="240" w:lineRule="auto"/>
        <w:jc w:val="both"/>
        <w:rPr>
          <w:rFonts w:ascii="Times New Roman" w:hAnsi="Times New Roman"/>
          <w:b/>
          <w:sz w:val="24"/>
          <w:szCs w:val="24"/>
        </w:rPr>
      </w:pPr>
      <w:r w:rsidRPr="006C0C34">
        <w:rPr>
          <w:rFonts w:ascii="Times New Roman" w:hAnsi="Times New Roman"/>
          <w:b/>
          <w:sz w:val="24"/>
          <w:szCs w:val="24"/>
        </w:rPr>
        <w:t xml:space="preserve"> Direction Générale de l’Aménagement du Territoire Bissau</w:t>
      </w:r>
    </w:p>
    <w:p w:rsidR="00E81805" w:rsidRPr="006C0C34" w:rsidRDefault="00E81805" w:rsidP="00FA3FAE">
      <w:pPr>
        <w:pStyle w:val="PargrafodaLista"/>
        <w:numPr>
          <w:ilvl w:val="0"/>
          <w:numId w:val="21"/>
        </w:numPr>
        <w:spacing w:line="240" w:lineRule="auto"/>
        <w:jc w:val="both"/>
        <w:rPr>
          <w:rFonts w:ascii="Times New Roman" w:hAnsi="Times New Roman"/>
          <w:b/>
          <w:sz w:val="24"/>
          <w:szCs w:val="24"/>
        </w:rPr>
      </w:pPr>
      <w:r w:rsidRPr="006C0C34">
        <w:rPr>
          <w:rFonts w:ascii="Times New Roman" w:hAnsi="Times New Roman"/>
          <w:b/>
          <w:sz w:val="24"/>
          <w:szCs w:val="24"/>
        </w:rPr>
        <w:t xml:space="preserve"> Direction Générale de la Faune et Flore</w:t>
      </w:r>
    </w:p>
    <w:p w:rsidR="00E81805" w:rsidRPr="006C0C34" w:rsidRDefault="00E81805" w:rsidP="00FA3FAE">
      <w:pPr>
        <w:pStyle w:val="PargrafodaLista"/>
        <w:numPr>
          <w:ilvl w:val="0"/>
          <w:numId w:val="21"/>
        </w:numPr>
        <w:spacing w:line="240" w:lineRule="auto"/>
        <w:jc w:val="both"/>
        <w:rPr>
          <w:rFonts w:ascii="Times New Roman" w:hAnsi="Times New Roman"/>
          <w:b/>
          <w:sz w:val="24"/>
          <w:szCs w:val="24"/>
        </w:rPr>
      </w:pPr>
      <w:r w:rsidRPr="006C0C34">
        <w:rPr>
          <w:rFonts w:ascii="Times New Roman" w:hAnsi="Times New Roman"/>
          <w:b/>
          <w:sz w:val="24"/>
          <w:szCs w:val="24"/>
        </w:rPr>
        <w:t xml:space="preserve"> Bureau de la Planification Côtière de Bissau</w:t>
      </w:r>
    </w:p>
    <w:p w:rsidR="00E81805" w:rsidRPr="006C0C34" w:rsidRDefault="00E81805" w:rsidP="00FA3FAE">
      <w:pPr>
        <w:pStyle w:val="PargrafodaLista"/>
        <w:numPr>
          <w:ilvl w:val="0"/>
          <w:numId w:val="21"/>
        </w:numPr>
        <w:spacing w:line="240" w:lineRule="auto"/>
        <w:jc w:val="both"/>
        <w:rPr>
          <w:rFonts w:ascii="Times New Roman" w:hAnsi="Times New Roman"/>
          <w:b/>
          <w:sz w:val="24"/>
          <w:szCs w:val="24"/>
        </w:rPr>
      </w:pPr>
      <w:r w:rsidRPr="006C0C34">
        <w:rPr>
          <w:rFonts w:ascii="Times New Roman" w:hAnsi="Times New Roman"/>
          <w:b/>
          <w:sz w:val="24"/>
          <w:szCs w:val="24"/>
        </w:rPr>
        <w:t xml:space="preserve"> Ministère de la Santé Publique Service des Installations et Equipements</w:t>
      </w:r>
    </w:p>
    <w:p w:rsidR="00E81805" w:rsidRPr="006C0C34" w:rsidRDefault="00E81805" w:rsidP="00FA3FAE">
      <w:pPr>
        <w:pStyle w:val="PargrafodaLista"/>
        <w:numPr>
          <w:ilvl w:val="0"/>
          <w:numId w:val="21"/>
        </w:numPr>
        <w:spacing w:line="240" w:lineRule="auto"/>
        <w:jc w:val="both"/>
        <w:rPr>
          <w:rFonts w:ascii="Times New Roman" w:hAnsi="Times New Roman"/>
          <w:b/>
          <w:sz w:val="24"/>
          <w:szCs w:val="24"/>
        </w:rPr>
      </w:pPr>
      <w:r w:rsidRPr="006C0C34">
        <w:rPr>
          <w:rFonts w:ascii="Times New Roman" w:hAnsi="Times New Roman"/>
          <w:b/>
          <w:sz w:val="24"/>
          <w:szCs w:val="24"/>
        </w:rPr>
        <w:t>Laboratoire National de Santé Publique</w:t>
      </w:r>
    </w:p>
    <w:p w:rsidR="00E81805" w:rsidRPr="006C0C34" w:rsidRDefault="00E81805" w:rsidP="00FA3FAE">
      <w:pPr>
        <w:pStyle w:val="PargrafodaLista"/>
        <w:numPr>
          <w:ilvl w:val="0"/>
          <w:numId w:val="21"/>
        </w:numPr>
        <w:spacing w:line="240" w:lineRule="auto"/>
        <w:jc w:val="both"/>
        <w:rPr>
          <w:rFonts w:ascii="Times New Roman" w:hAnsi="Times New Roman"/>
          <w:b/>
          <w:sz w:val="24"/>
          <w:szCs w:val="24"/>
        </w:rPr>
      </w:pPr>
      <w:r w:rsidRPr="006C0C34">
        <w:rPr>
          <w:rFonts w:ascii="Times New Roman" w:hAnsi="Times New Roman"/>
          <w:b/>
          <w:sz w:val="24"/>
          <w:szCs w:val="24"/>
        </w:rPr>
        <w:t>Ministère de la Fonction Publique Direction générale du travail</w:t>
      </w:r>
    </w:p>
    <w:p w:rsidR="00E81805" w:rsidRPr="006C0C34" w:rsidRDefault="00E81805" w:rsidP="00FA3FAE">
      <w:pPr>
        <w:pStyle w:val="PargrafodaLista"/>
        <w:numPr>
          <w:ilvl w:val="0"/>
          <w:numId w:val="21"/>
        </w:numPr>
        <w:spacing w:line="240" w:lineRule="auto"/>
        <w:jc w:val="both"/>
        <w:rPr>
          <w:rFonts w:ascii="Times New Roman" w:hAnsi="Times New Roman"/>
          <w:b/>
          <w:sz w:val="24"/>
          <w:szCs w:val="24"/>
        </w:rPr>
      </w:pPr>
      <w:r w:rsidRPr="006C0C34">
        <w:rPr>
          <w:rFonts w:ascii="Times New Roman" w:hAnsi="Times New Roman"/>
          <w:b/>
          <w:sz w:val="24"/>
          <w:szCs w:val="24"/>
        </w:rPr>
        <w:t>Direction Générale des Ressources Hydriques de Guinée Bissau</w:t>
      </w:r>
    </w:p>
    <w:p w:rsidR="00E81805" w:rsidRPr="006C0C34" w:rsidRDefault="00E81805" w:rsidP="00FA3FAE">
      <w:pPr>
        <w:pStyle w:val="PargrafodaLista"/>
        <w:numPr>
          <w:ilvl w:val="0"/>
          <w:numId w:val="21"/>
        </w:numPr>
        <w:spacing w:line="240" w:lineRule="auto"/>
        <w:jc w:val="both"/>
        <w:rPr>
          <w:rFonts w:ascii="Times New Roman" w:hAnsi="Times New Roman"/>
          <w:b/>
          <w:sz w:val="24"/>
          <w:szCs w:val="24"/>
        </w:rPr>
      </w:pPr>
      <w:r w:rsidRPr="006C0C34">
        <w:rPr>
          <w:rFonts w:ascii="Times New Roman" w:hAnsi="Times New Roman"/>
          <w:b/>
          <w:sz w:val="24"/>
          <w:szCs w:val="24"/>
        </w:rPr>
        <w:t>Direction</w:t>
      </w:r>
      <w:r w:rsidRPr="006C0C34">
        <w:rPr>
          <w:rFonts w:ascii="Times New Roman" w:hAnsi="Times New Roman"/>
          <w:b/>
          <w:sz w:val="24"/>
          <w:szCs w:val="24"/>
          <w:lang w:val="fr-FR"/>
        </w:rPr>
        <w:t xml:space="preserve"> Général</w:t>
      </w:r>
      <w:r w:rsidRPr="006C0C34">
        <w:rPr>
          <w:rFonts w:ascii="Times New Roman" w:hAnsi="Times New Roman"/>
          <w:b/>
          <w:sz w:val="24"/>
          <w:szCs w:val="24"/>
        </w:rPr>
        <w:t xml:space="preserve"> des Plans</w:t>
      </w:r>
    </w:p>
    <w:p w:rsidR="00E81805" w:rsidRPr="006C0C34" w:rsidRDefault="00E81805" w:rsidP="00FA3FAE">
      <w:pPr>
        <w:pStyle w:val="PargrafodaLista"/>
        <w:numPr>
          <w:ilvl w:val="0"/>
          <w:numId w:val="21"/>
        </w:numPr>
        <w:spacing w:line="240" w:lineRule="auto"/>
        <w:jc w:val="both"/>
        <w:rPr>
          <w:rFonts w:ascii="Times New Roman" w:hAnsi="Times New Roman"/>
          <w:b/>
          <w:sz w:val="24"/>
          <w:szCs w:val="24"/>
        </w:rPr>
      </w:pPr>
      <w:r w:rsidRPr="006C0C34">
        <w:rPr>
          <w:rFonts w:ascii="Times New Roman" w:hAnsi="Times New Roman"/>
          <w:b/>
          <w:sz w:val="24"/>
          <w:szCs w:val="24"/>
        </w:rPr>
        <w:t>Direction Générale des Mines et de la Géologie</w:t>
      </w:r>
    </w:p>
    <w:p w:rsidR="00E81805" w:rsidRPr="006C0C34" w:rsidRDefault="00E81805" w:rsidP="00FA3FAE">
      <w:pPr>
        <w:pStyle w:val="PargrafodaLista"/>
        <w:numPr>
          <w:ilvl w:val="0"/>
          <w:numId w:val="21"/>
        </w:numPr>
        <w:spacing w:line="240" w:lineRule="auto"/>
        <w:jc w:val="both"/>
        <w:rPr>
          <w:rFonts w:ascii="Times New Roman" w:hAnsi="Times New Roman"/>
          <w:b/>
          <w:sz w:val="24"/>
          <w:szCs w:val="24"/>
        </w:rPr>
      </w:pPr>
      <w:r w:rsidRPr="006C0C34">
        <w:rPr>
          <w:rFonts w:ascii="Times New Roman" w:hAnsi="Times New Roman"/>
          <w:b/>
          <w:sz w:val="24"/>
          <w:szCs w:val="24"/>
        </w:rPr>
        <w:t xml:space="preserve">Institut Portuaire Maritime </w:t>
      </w:r>
    </w:p>
    <w:p w:rsidR="00E81805" w:rsidRPr="006C0C34" w:rsidRDefault="00E81805" w:rsidP="00FA3FAE">
      <w:pPr>
        <w:pStyle w:val="PargrafodaLista"/>
        <w:numPr>
          <w:ilvl w:val="0"/>
          <w:numId w:val="21"/>
        </w:numPr>
        <w:spacing w:line="240" w:lineRule="auto"/>
        <w:jc w:val="both"/>
        <w:rPr>
          <w:rFonts w:ascii="Times New Roman" w:hAnsi="Times New Roman"/>
          <w:b/>
          <w:sz w:val="24"/>
          <w:szCs w:val="24"/>
        </w:rPr>
      </w:pPr>
      <w:r w:rsidRPr="006C0C34">
        <w:rPr>
          <w:rFonts w:ascii="Times New Roman" w:hAnsi="Times New Roman"/>
          <w:b/>
          <w:sz w:val="24"/>
          <w:szCs w:val="24"/>
        </w:rPr>
        <w:t>Service de l’Urbanisme, de la Planification et des Equipements</w:t>
      </w:r>
    </w:p>
    <w:p w:rsidR="00E81805" w:rsidRPr="006C0C34" w:rsidRDefault="00E81805" w:rsidP="00FA3FAE">
      <w:pPr>
        <w:pStyle w:val="PargrafodaLista"/>
        <w:numPr>
          <w:ilvl w:val="0"/>
          <w:numId w:val="21"/>
        </w:numPr>
        <w:spacing w:line="240" w:lineRule="auto"/>
        <w:jc w:val="both"/>
        <w:rPr>
          <w:rFonts w:ascii="Times New Roman" w:hAnsi="Times New Roman"/>
          <w:b/>
          <w:sz w:val="24"/>
          <w:szCs w:val="24"/>
        </w:rPr>
      </w:pPr>
      <w:r w:rsidRPr="006C0C34">
        <w:rPr>
          <w:rFonts w:ascii="Times New Roman" w:hAnsi="Times New Roman"/>
          <w:b/>
          <w:sz w:val="24"/>
          <w:szCs w:val="24"/>
        </w:rPr>
        <w:t>Institution de la Biodiversité et des Aires Protégées</w:t>
      </w:r>
    </w:p>
    <w:p w:rsidR="00E81805" w:rsidRPr="006C0C34" w:rsidRDefault="00E81805" w:rsidP="00FA3FAE">
      <w:pPr>
        <w:pStyle w:val="PargrafodaLista"/>
        <w:numPr>
          <w:ilvl w:val="0"/>
          <w:numId w:val="21"/>
        </w:numPr>
        <w:spacing w:line="240" w:lineRule="auto"/>
        <w:jc w:val="both"/>
        <w:rPr>
          <w:rFonts w:ascii="Times New Roman" w:hAnsi="Times New Roman"/>
          <w:b/>
          <w:sz w:val="24"/>
          <w:szCs w:val="24"/>
        </w:rPr>
      </w:pPr>
      <w:r w:rsidRPr="006C0C34">
        <w:rPr>
          <w:rFonts w:ascii="Times New Roman" w:hAnsi="Times New Roman"/>
          <w:b/>
          <w:sz w:val="24"/>
          <w:szCs w:val="24"/>
        </w:rPr>
        <w:t>UICN</w:t>
      </w:r>
    </w:p>
    <w:p w:rsidR="00E81805" w:rsidRPr="006C0C34" w:rsidRDefault="00E81805" w:rsidP="00FA3FAE">
      <w:pPr>
        <w:pStyle w:val="PargrafodaLista"/>
        <w:numPr>
          <w:ilvl w:val="0"/>
          <w:numId w:val="21"/>
        </w:numPr>
        <w:spacing w:line="240" w:lineRule="auto"/>
        <w:jc w:val="both"/>
        <w:rPr>
          <w:rFonts w:ascii="Times New Roman" w:hAnsi="Times New Roman"/>
          <w:b/>
          <w:sz w:val="24"/>
          <w:szCs w:val="24"/>
        </w:rPr>
      </w:pPr>
      <w:r w:rsidRPr="006C0C34">
        <w:rPr>
          <w:rFonts w:ascii="Times New Roman" w:hAnsi="Times New Roman"/>
          <w:b/>
          <w:sz w:val="24"/>
          <w:szCs w:val="24"/>
        </w:rPr>
        <w:t>Direction Générale de la Géographie et Cadastre</w:t>
      </w:r>
    </w:p>
    <w:p w:rsidR="00E81805" w:rsidRPr="006C0C34" w:rsidRDefault="00E81805" w:rsidP="00FA3FAE">
      <w:pPr>
        <w:pStyle w:val="PargrafodaLista"/>
        <w:numPr>
          <w:ilvl w:val="0"/>
          <w:numId w:val="21"/>
        </w:numPr>
        <w:spacing w:line="240" w:lineRule="auto"/>
        <w:jc w:val="both"/>
        <w:rPr>
          <w:rFonts w:ascii="Times New Roman" w:hAnsi="Times New Roman"/>
          <w:b/>
          <w:sz w:val="24"/>
          <w:szCs w:val="24"/>
        </w:rPr>
      </w:pPr>
      <w:r w:rsidRPr="006C0C34">
        <w:rPr>
          <w:rFonts w:ascii="Times New Roman" w:hAnsi="Times New Roman"/>
          <w:b/>
          <w:sz w:val="24"/>
          <w:szCs w:val="24"/>
        </w:rPr>
        <w:t>Direction Général de la Planification Agricole</w:t>
      </w:r>
    </w:p>
    <w:p w:rsidR="00E81805" w:rsidRPr="006C0C34" w:rsidRDefault="00E81805" w:rsidP="00FA3FAE">
      <w:pPr>
        <w:pStyle w:val="PargrafodaLista"/>
        <w:numPr>
          <w:ilvl w:val="0"/>
          <w:numId w:val="21"/>
        </w:numPr>
        <w:spacing w:line="240" w:lineRule="auto"/>
        <w:jc w:val="both"/>
        <w:rPr>
          <w:rFonts w:ascii="Times New Roman" w:hAnsi="Times New Roman"/>
          <w:b/>
          <w:sz w:val="24"/>
          <w:szCs w:val="24"/>
        </w:rPr>
      </w:pPr>
      <w:r w:rsidRPr="006C0C34">
        <w:rPr>
          <w:rFonts w:ascii="Times New Roman" w:hAnsi="Times New Roman"/>
          <w:b/>
          <w:sz w:val="24"/>
          <w:szCs w:val="24"/>
        </w:rPr>
        <w:t>ONG Tiniguena</w:t>
      </w:r>
    </w:p>
    <w:p w:rsidR="00E81805" w:rsidRPr="006C0C34" w:rsidRDefault="00E81805" w:rsidP="00FA3FAE">
      <w:pPr>
        <w:pStyle w:val="PargrafodaLista"/>
        <w:numPr>
          <w:ilvl w:val="0"/>
          <w:numId w:val="21"/>
        </w:numPr>
        <w:spacing w:line="240" w:lineRule="auto"/>
        <w:jc w:val="both"/>
        <w:rPr>
          <w:rFonts w:ascii="Times New Roman" w:hAnsi="Times New Roman"/>
          <w:b/>
          <w:sz w:val="24"/>
          <w:szCs w:val="24"/>
        </w:rPr>
      </w:pPr>
      <w:r w:rsidRPr="006C0C34">
        <w:rPr>
          <w:rFonts w:ascii="Times New Roman" w:hAnsi="Times New Roman"/>
          <w:b/>
          <w:sz w:val="24"/>
          <w:szCs w:val="24"/>
        </w:rPr>
        <w:t>Camara Municipal de Bissau</w:t>
      </w:r>
    </w:p>
    <w:p w:rsidR="00E81805" w:rsidRPr="006C0C34" w:rsidRDefault="00E81805" w:rsidP="00FA3FAE">
      <w:pPr>
        <w:pStyle w:val="PargrafodaLista"/>
        <w:numPr>
          <w:ilvl w:val="0"/>
          <w:numId w:val="21"/>
        </w:numPr>
        <w:spacing w:line="240" w:lineRule="auto"/>
        <w:jc w:val="both"/>
        <w:rPr>
          <w:rFonts w:ascii="Times New Roman" w:hAnsi="Times New Roman"/>
          <w:b/>
          <w:sz w:val="24"/>
          <w:szCs w:val="24"/>
        </w:rPr>
      </w:pPr>
      <w:r w:rsidRPr="006C0C34">
        <w:rPr>
          <w:rFonts w:ascii="Times New Roman" w:hAnsi="Times New Roman"/>
          <w:b/>
          <w:sz w:val="24"/>
          <w:szCs w:val="24"/>
        </w:rPr>
        <w:t>Camara Municipal de Prabis</w:t>
      </w:r>
    </w:p>
    <w:p w:rsidR="00E81805" w:rsidRPr="006C0C34" w:rsidRDefault="00E81805" w:rsidP="00FA3FAE">
      <w:pPr>
        <w:pStyle w:val="PargrafodaLista"/>
        <w:numPr>
          <w:ilvl w:val="0"/>
          <w:numId w:val="21"/>
        </w:numPr>
        <w:spacing w:line="240" w:lineRule="auto"/>
        <w:jc w:val="both"/>
        <w:rPr>
          <w:rFonts w:ascii="Times New Roman" w:hAnsi="Times New Roman"/>
          <w:b/>
          <w:sz w:val="24"/>
          <w:szCs w:val="24"/>
        </w:rPr>
      </w:pPr>
      <w:r w:rsidRPr="006C0C34">
        <w:rPr>
          <w:rFonts w:ascii="Times New Roman" w:hAnsi="Times New Roman"/>
          <w:b/>
          <w:sz w:val="24"/>
          <w:szCs w:val="24"/>
        </w:rPr>
        <w:t>Camara Municipal de Safim</w:t>
      </w:r>
    </w:p>
    <w:p w:rsidR="00E81805" w:rsidRPr="006C0C34" w:rsidRDefault="00E81805" w:rsidP="00E81805">
      <w:pPr>
        <w:pStyle w:val="PargrafodaLista"/>
        <w:jc w:val="both"/>
        <w:rPr>
          <w:rFonts w:ascii="Times New Roman" w:hAnsi="Times New Roman"/>
          <w:sz w:val="24"/>
          <w:szCs w:val="24"/>
        </w:rPr>
      </w:pPr>
    </w:p>
    <w:p w:rsidR="00E81805" w:rsidRPr="006C0C34" w:rsidRDefault="00EE3027" w:rsidP="004F7F5E">
      <w:pPr>
        <w:pStyle w:val="PargrafodaLista"/>
        <w:keepNext/>
        <w:spacing w:before="240" w:after="0"/>
        <w:ind w:left="450" w:firstLine="258"/>
        <w:jc w:val="both"/>
        <w:outlineLvl w:val="2"/>
        <w:rPr>
          <w:rFonts w:ascii="Times New Roman" w:hAnsi="Times New Roman"/>
          <w:b/>
          <w:sz w:val="24"/>
          <w:szCs w:val="24"/>
          <w:lang w:val="fr-FR" w:eastAsia="fr-FR"/>
        </w:rPr>
      </w:pPr>
      <w:bookmarkStart w:id="647" w:name="_Toc51072615"/>
      <w:r>
        <w:rPr>
          <w:rFonts w:ascii="Times New Roman" w:hAnsi="Times New Roman"/>
          <w:b/>
          <w:sz w:val="24"/>
          <w:szCs w:val="24"/>
          <w:lang w:val="fr-FR" w:eastAsia="fr-FR"/>
        </w:rPr>
        <w:t>8.6.5.</w:t>
      </w:r>
      <w:r w:rsidR="00E81805" w:rsidRPr="006C0C34">
        <w:rPr>
          <w:rFonts w:ascii="Times New Roman" w:hAnsi="Times New Roman"/>
          <w:b/>
          <w:sz w:val="24"/>
          <w:szCs w:val="24"/>
          <w:lang w:val="fr-FR" w:eastAsia="fr-FR"/>
        </w:rPr>
        <w:t xml:space="preserve"> </w:t>
      </w:r>
      <w:r w:rsidRPr="006C0C34">
        <w:rPr>
          <w:rFonts w:ascii="Times New Roman" w:hAnsi="Times New Roman"/>
          <w:b/>
          <w:sz w:val="24"/>
          <w:szCs w:val="24"/>
          <w:lang w:val="fr-FR" w:eastAsia="fr-FR"/>
        </w:rPr>
        <w:t xml:space="preserve">Réunion de </w:t>
      </w:r>
      <w:bookmarkEnd w:id="646"/>
      <w:r w:rsidRPr="006C0C34">
        <w:rPr>
          <w:rFonts w:ascii="Times New Roman" w:hAnsi="Times New Roman"/>
          <w:b/>
          <w:sz w:val="24"/>
          <w:szCs w:val="24"/>
          <w:lang w:val="fr-FR" w:eastAsia="fr-FR"/>
        </w:rPr>
        <w:t>cadrage</w:t>
      </w:r>
      <w:bookmarkEnd w:id="647"/>
    </w:p>
    <w:tbl>
      <w:tblPr>
        <w:tblW w:w="5286" w:type="pct"/>
        <w:tblLook w:val="04A0" w:firstRow="1" w:lastRow="0" w:firstColumn="1" w:lastColumn="0" w:noHBand="0" w:noVBand="1"/>
      </w:tblPr>
      <w:tblGrid>
        <w:gridCol w:w="283"/>
        <w:gridCol w:w="10208"/>
      </w:tblGrid>
      <w:tr w:rsidR="00E81805" w:rsidRPr="006C0C34" w:rsidTr="00320F4C">
        <w:trPr>
          <w:trHeight w:val="594"/>
        </w:trPr>
        <w:tc>
          <w:tcPr>
            <w:tcW w:w="5000" w:type="pct"/>
            <w:gridSpan w:val="2"/>
            <w:shd w:val="clear" w:color="auto" w:fill="auto"/>
            <w:vAlign w:val="center"/>
          </w:tcPr>
          <w:p w:rsidR="00E81805" w:rsidRPr="006C0C34" w:rsidRDefault="00E81805" w:rsidP="00EE3027">
            <w:pPr>
              <w:spacing w:line="240" w:lineRule="auto"/>
              <w:ind w:right="434"/>
              <w:jc w:val="both"/>
              <w:rPr>
                <w:rFonts w:ascii="Times New Roman" w:hAnsi="Times New Roman" w:cs="Times New Roman"/>
                <w:sz w:val="24"/>
                <w:szCs w:val="24"/>
              </w:rPr>
            </w:pPr>
            <w:r w:rsidRPr="006C0C34">
              <w:rPr>
                <w:rFonts w:ascii="Times New Roman" w:hAnsi="Times New Roman" w:cs="Times New Roman"/>
                <w:sz w:val="24"/>
                <w:szCs w:val="24"/>
              </w:rPr>
              <w:t xml:space="preserve">Le lundi </w:t>
            </w:r>
            <w:r w:rsidRPr="006C0C34">
              <w:rPr>
                <w:rFonts w:ascii="Times New Roman" w:hAnsi="Times New Roman" w:cs="Times New Roman"/>
                <w:b/>
                <w:sz w:val="24"/>
                <w:szCs w:val="24"/>
              </w:rPr>
              <w:t>08 mai 2019</w:t>
            </w:r>
            <w:r w:rsidRPr="006C0C34">
              <w:rPr>
                <w:rFonts w:ascii="Times New Roman" w:hAnsi="Times New Roman" w:cs="Times New Roman"/>
                <w:sz w:val="24"/>
                <w:szCs w:val="24"/>
              </w:rPr>
              <w:t xml:space="preserve"> au </w:t>
            </w:r>
            <w:r>
              <w:rPr>
                <w:rFonts w:ascii="Times New Roman" w:hAnsi="Times New Roman" w:cs="Times New Roman"/>
                <w:sz w:val="24"/>
                <w:szCs w:val="24"/>
              </w:rPr>
              <w:t xml:space="preserve">siège </w:t>
            </w:r>
            <w:r w:rsidRPr="006C0C34">
              <w:rPr>
                <w:rFonts w:ascii="Times New Roman" w:hAnsi="Times New Roman" w:cs="Times New Roman"/>
                <w:sz w:val="24"/>
                <w:szCs w:val="24"/>
              </w:rPr>
              <w:t xml:space="preserve">de l’UCP du PUASEE, </w:t>
            </w:r>
            <w:r>
              <w:rPr>
                <w:rFonts w:ascii="Times New Roman" w:hAnsi="Times New Roman" w:cs="Times New Roman"/>
                <w:sz w:val="24"/>
                <w:szCs w:val="24"/>
              </w:rPr>
              <w:t>u</w:t>
            </w:r>
            <w:r w:rsidRPr="006C0C34">
              <w:rPr>
                <w:rFonts w:ascii="Times New Roman" w:hAnsi="Times New Roman" w:cs="Times New Roman"/>
                <w:sz w:val="24"/>
                <w:szCs w:val="24"/>
              </w:rPr>
              <w:t>ne réunion de cadrage a été organisée. Cette rencontre a permis à l’équipe de Consultant</w:t>
            </w:r>
            <w:r>
              <w:rPr>
                <w:rFonts w:ascii="Times New Roman" w:hAnsi="Times New Roman" w:cs="Times New Roman"/>
                <w:sz w:val="24"/>
                <w:szCs w:val="24"/>
              </w:rPr>
              <w:t>s</w:t>
            </w:r>
            <w:r w:rsidRPr="006C0C34">
              <w:rPr>
                <w:rFonts w:ascii="Times New Roman" w:hAnsi="Times New Roman" w:cs="Times New Roman"/>
                <w:sz w:val="24"/>
                <w:szCs w:val="24"/>
              </w:rPr>
              <w:t xml:space="preserve"> et aux responsables du Projet (le promoteur) de procéder à une mise à niveau et des échanges de précision sur le cadrage, les attentes, les enjeux de la mission, l’importance des différentes activités à conduire.</w:t>
            </w:r>
          </w:p>
          <w:p w:rsidR="00E81805" w:rsidRPr="006C0C34" w:rsidRDefault="00E81805" w:rsidP="00EE3027">
            <w:pPr>
              <w:spacing w:line="240" w:lineRule="auto"/>
              <w:ind w:right="434"/>
              <w:jc w:val="both"/>
              <w:rPr>
                <w:rFonts w:ascii="Times New Roman" w:hAnsi="Times New Roman" w:cs="Times New Roman"/>
                <w:sz w:val="24"/>
                <w:szCs w:val="24"/>
              </w:rPr>
            </w:pPr>
            <w:r w:rsidRPr="006C0C34">
              <w:rPr>
                <w:rFonts w:ascii="Times New Roman" w:hAnsi="Times New Roman" w:cs="Times New Roman"/>
                <w:sz w:val="24"/>
                <w:szCs w:val="24"/>
              </w:rPr>
              <w:t>De ce fait certains points ont fait l’objet d’une discussion :</w:t>
            </w:r>
          </w:p>
        </w:tc>
      </w:tr>
      <w:tr w:rsidR="00E81805" w:rsidRPr="006C0C34" w:rsidTr="00320F4C">
        <w:tc>
          <w:tcPr>
            <w:tcW w:w="135" w:type="pct"/>
            <w:shd w:val="clear" w:color="auto" w:fill="auto"/>
          </w:tcPr>
          <w:p w:rsidR="00E81805" w:rsidRPr="006C0C34" w:rsidRDefault="00E81805" w:rsidP="00EE3027">
            <w:pPr>
              <w:spacing w:after="0" w:line="240" w:lineRule="auto"/>
              <w:ind w:right="434"/>
              <w:jc w:val="both"/>
              <w:rPr>
                <w:rFonts w:ascii="Times New Roman" w:hAnsi="Times New Roman" w:cs="Times New Roman"/>
                <w:b/>
                <w:sz w:val="24"/>
                <w:szCs w:val="24"/>
              </w:rPr>
            </w:pPr>
          </w:p>
        </w:tc>
        <w:tc>
          <w:tcPr>
            <w:tcW w:w="4865" w:type="pct"/>
            <w:shd w:val="clear" w:color="auto" w:fill="auto"/>
          </w:tcPr>
          <w:p w:rsidR="00E81805" w:rsidRPr="006C0C34" w:rsidRDefault="00E81805" w:rsidP="00FA3FAE">
            <w:pPr>
              <w:pStyle w:val="PargrafodaLista"/>
              <w:numPr>
                <w:ilvl w:val="0"/>
                <w:numId w:val="20"/>
              </w:numPr>
              <w:spacing w:after="0" w:line="240" w:lineRule="auto"/>
              <w:ind w:right="434"/>
              <w:jc w:val="both"/>
              <w:rPr>
                <w:rFonts w:ascii="Times New Roman" w:hAnsi="Times New Roman"/>
                <w:sz w:val="24"/>
                <w:szCs w:val="24"/>
              </w:rPr>
            </w:pPr>
            <w:r w:rsidRPr="006C0C34">
              <w:rPr>
                <w:rFonts w:ascii="Times New Roman" w:hAnsi="Times New Roman"/>
                <w:sz w:val="24"/>
                <w:szCs w:val="24"/>
              </w:rPr>
              <w:t xml:space="preserve">Présentation du projet par le consultant sous forme de </w:t>
            </w:r>
            <w:r>
              <w:rPr>
                <w:rFonts w:ascii="Times New Roman" w:hAnsi="Times New Roman"/>
                <w:sz w:val="24"/>
                <w:szCs w:val="24"/>
                <w:lang w:val="fr-FR"/>
              </w:rPr>
              <w:t xml:space="preserve">power point </w:t>
            </w:r>
            <w:r w:rsidRPr="006C0C34">
              <w:rPr>
                <w:rFonts w:ascii="Times New Roman" w:hAnsi="Times New Roman"/>
                <w:sz w:val="24"/>
                <w:szCs w:val="24"/>
              </w:rPr>
              <w:t xml:space="preserve">,  </w:t>
            </w:r>
          </w:p>
          <w:p w:rsidR="00E81805" w:rsidRPr="006C0C34" w:rsidRDefault="00E81805" w:rsidP="00FA3FAE">
            <w:pPr>
              <w:pStyle w:val="PargrafodaLista"/>
              <w:numPr>
                <w:ilvl w:val="0"/>
                <w:numId w:val="20"/>
              </w:numPr>
              <w:spacing w:after="0" w:line="240" w:lineRule="auto"/>
              <w:ind w:right="434"/>
              <w:jc w:val="both"/>
              <w:rPr>
                <w:rFonts w:ascii="Times New Roman" w:hAnsi="Times New Roman"/>
                <w:sz w:val="24"/>
                <w:szCs w:val="24"/>
              </w:rPr>
            </w:pPr>
            <w:r w:rsidRPr="006C0C34">
              <w:rPr>
                <w:rFonts w:ascii="Times New Roman" w:hAnsi="Times New Roman"/>
                <w:sz w:val="24"/>
                <w:szCs w:val="24"/>
              </w:rPr>
              <w:t>Compréhension des sous projets suivant les TDR,</w:t>
            </w:r>
          </w:p>
          <w:p w:rsidR="00E81805" w:rsidRPr="006C0C34" w:rsidRDefault="00E81805" w:rsidP="00FA3FAE">
            <w:pPr>
              <w:pStyle w:val="PargrafodaLista"/>
              <w:numPr>
                <w:ilvl w:val="0"/>
                <w:numId w:val="20"/>
              </w:numPr>
              <w:spacing w:after="0" w:line="240" w:lineRule="auto"/>
              <w:ind w:right="434"/>
              <w:jc w:val="both"/>
              <w:rPr>
                <w:rFonts w:ascii="Times New Roman" w:hAnsi="Times New Roman"/>
                <w:sz w:val="24"/>
                <w:szCs w:val="24"/>
              </w:rPr>
            </w:pPr>
            <w:r w:rsidRPr="006C0C34">
              <w:rPr>
                <w:rFonts w:ascii="Times New Roman" w:hAnsi="Times New Roman"/>
                <w:sz w:val="24"/>
                <w:szCs w:val="24"/>
              </w:rPr>
              <w:t>Précision sur les changements qui auront lieu sur le programme de construction et sur le réseau d’extension,</w:t>
            </w:r>
          </w:p>
          <w:p w:rsidR="00E81805" w:rsidRPr="006C0C34" w:rsidRDefault="00E81805" w:rsidP="00FA3FAE">
            <w:pPr>
              <w:pStyle w:val="PargrafodaLista"/>
              <w:numPr>
                <w:ilvl w:val="0"/>
                <w:numId w:val="20"/>
              </w:numPr>
              <w:spacing w:after="0" w:line="240" w:lineRule="auto"/>
              <w:ind w:right="434"/>
              <w:jc w:val="both"/>
              <w:rPr>
                <w:rFonts w:ascii="Times New Roman" w:hAnsi="Times New Roman"/>
                <w:sz w:val="24"/>
                <w:szCs w:val="24"/>
              </w:rPr>
            </w:pPr>
            <w:r w:rsidRPr="006C0C34">
              <w:rPr>
                <w:rFonts w:ascii="Times New Roman" w:hAnsi="Times New Roman"/>
                <w:sz w:val="24"/>
                <w:szCs w:val="24"/>
              </w:rPr>
              <w:t>Remplacement de l’amiante ciment et détermination du tracé existant,</w:t>
            </w:r>
          </w:p>
          <w:p w:rsidR="00E81805" w:rsidRPr="006C0C34" w:rsidRDefault="00E81805" w:rsidP="00FA3FAE">
            <w:pPr>
              <w:pStyle w:val="PargrafodaLista"/>
              <w:numPr>
                <w:ilvl w:val="0"/>
                <w:numId w:val="20"/>
              </w:numPr>
              <w:spacing w:after="0" w:line="240" w:lineRule="auto"/>
              <w:ind w:right="434"/>
              <w:jc w:val="both"/>
              <w:rPr>
                <w:rFonts w:ascii="Times New Roman" w:hAnsi="Times New Roman"/>
                <w:sz w:val="24"/>
                <w:szCs w:val="24"/>
              </w:rPr>
            </w:pPr>
            <w:r w:rsidRPr="006C0C34">
              <w:rPr>
                <w:rFonts w:ascii="Times New Roman" w:hAnsi="Times New Roman"/>
                <w:sz w:val="24"/>
                <w:szCs w:val="24"/>
              </w:rPr>
              <w:t>Visite de terrain afin de mieux préciser les études de PAR qui seront nécessaires,</w:t>
            </w:r>
          </w:p>
          <w:p w:rsidR="00E81805" w:rsidRPr="006C0C34" w:rsidRDefault="00E81805" w:rsidP="00FA3FAE">
            <w:pPr>
              <w:pStyle w:val="PargrafodaLista"/>
              <w:numPr>
                <w:ilvl w:val="0"/>
                <w:numId w:val="20"/>
              </w:numPr>
              <w:spacing w:after="0" w:line="240" w:lineRule="auto"/>
              <w:ind w:right="434"/>
              <w:jc w:val="both"/>
              <w:rPr>
                <w:rFonts w:ascii="Times New Roman" w:hAnsi="Times New Roman"/>
                <w:sz w:val="24"/>
                <w:szCs w:val="24"/>
              </w:rPr>
            </w:pPr>
            <w:r w:rsidRPr="006C0C34">
              <w:rPr>
                <w:rFonts w:ascii="Times New Roman" w:hAnsi="Times New Roman"/>
                <w:sz w:val="24"/>
                <w:szCs w:val="24"/>
              </w:rPr>
              <w:t>Elaboration de rapport de démarrage,</w:t>
            </w:r>
          </w:p>
          <w:p w:rsidR="00E81805" w:rsidRPr="006C0C34" w:rsidRDefault="00E81805" w:rsidP="00FA3FAE">
            <w:pPr>
              <w:pStyle w:val="PargrafodaLista"/>
              <w:numPr>
                <w:ilvl w:val="0"/>
                <w:numId w:val="20"/>
              </w:numPr>
              <w:spacing w:after="0" w:line="240" w:lineRule="auto"/>
              <w:ind w:right="434"/>
              <w:jc w:val="both"/>
              <w:rPr>
                <w:rFonts w:ascii="Times New Roman" w:hAnsi="Times New Roman"/>
                <w:sz w:val="24"/>
                <w:szCs w:val="24"/>
              </w:rPr>
            </w:pPr>
            <w:r w:rsidRPr="006C0C34">
              <w:rPr>
                <w:rFonts w:ascii="Times New Roman" w:hAnsi="Times New Roman"/>
                <w:sz w:val="24"/>
                <w:szCs w:val="24"/>
              </w:rPr>
              <w:t>Nécessit</w:t>
            </w:r>
            <w:r>
              <w:rPr>
                <w:rFonts w:ascii="Times New Roman" w:hAnsi="Times New Roman"/>
                <w:sz w:val="24"/>
                <w:szCs w:val="24"/>
                <w:lang w:val="fr-FR"/>
              </w:rPr>
              <w:t>é</w:t>
            </w:r>
            <w:r w:rsidRPr="006C0C34">
              <w:rPr>
                <w:rFonts w:ascii="Times New Roman" w:hAnsi="Times New Roman"/>
                <w:sz w:val="24"/>
                <w:szCs w:val="24"/>
              </w:rPr>
              <w:t xml:space="preserve"> de reprendre les TDR par sous projet pour leur validation à AAAC</w:t>
            </w:r>
            <w:r>
              <w:rPr>
                <w:rFonts w:ascii="Times New Roman" w:hAnsi="Times New Roman"/>
                <w:sz w:val="24"/>
                <w:szCs w:val="24"/>
                <w:lang w:val="fr-FR"/>
              </w:rPr>
              <w:t>.</w:t>
            </w:r>
          </w:p>
          <w:p w:rsidR="00E81805" w:rsidRPr="006C0C34" w:rsidRDefault="00E81805" w:rsidP="00EE3027">
            <w:pPr>
              <w:spacing w:after="0" w:line="240" w:lineRule="auto"/>
              <w:ind w:right="434"/>
              <w:jc w:val="both"/>
              <w:rPr>
                <w:rFonts w:ascii="Times New Roman" w:hAnsi="Times New Roman" w:cs="Times New Roman"/>
                <w:sz w:val="24"/>
                <w:szCs w:val="24"/>
              </w:rPr>
            </w:pPr>
            <w:r w:rsidRPr="006C0C34">
              <w:rPr>
                <w:rFonts w:ascii="Times New Roman" w:hAnsi="Times New Roman" w:cs="Times New Roman"/>
                <w:sz w:val="24"/>
                <w:szCs w:val="24"/>
              </w:rPr>
              <w:t>Et aussi des décisions ont été prises :</w:t>
            </w:r>
          </w:p>
          <w:p w:rsidR="00E81805" w:rsidRPr="006C0C34" w:rsidRDefault="00E81805" w:rsidP="00EE3027">
            <w:pPr>
              <w:spacing w:after="0" w:line="240" w:lineRule="auto"/>
              <w:ind w:right="434"/>
              <w:jc w:val="both"/>
              <w:rPr>
                <w:rFonts w:ascii="Times New Roman" w:hAnsi="Times New Roman" w:cs="Times New Roman"/>
                <w:sz w:val="24"/>
                <w:szCs w:val="24"/>
              </w:rPr>
            </w:pPr>
            <w:r w:rsidRPr="006C0C34">
              <w:rPr>
                <w:rFonts w:ascii="Times New Roman" w:hAnsi="Times New Roman" w:cs="Times New Roman"/>
                <w:sz w:val="24"/>
                <w:szCs w:val="24"/>
              </w:rPr>
              <w:t>Plusieurs points ont été discutés et arrêtés pendant ces séances de travail, à savoir :</w:t>
            </w:r>
          </w:p>
        </w:tc>
      </w:tr>
      <w:tr w:rsidR="00E81805" w:rsidRPr="006C0C34" w:rsidTr="00320F4C">
        <w:tc>
          <w:tcPr>
            <w:tcW w:w="135" w:type="pct"/>
            <w:shd w:val="clear" w:color="auto" w:fill="auto"/>
          </w:tcPr>
          <w:p w:rsidR="00E81805" w:rsidRPr="006C0C34" w:rsidRDefault="00E81805" w:rsidP="00EE3027">
            <w:pPr>
              <w:spacing w:after="0" w:line="240" w:lineRule="auto"/>
              <w:jc w:val="both"/>
              <w:rPr>
                <w:rFonts w:ascii="Times New Roman" w:hAnsi="Times New Roman" w:cs="Times New Roman"/>
                <w:b/>
                <w:sz w:val="24"/>
                <w:szCs w:val="24"/>
              </w:rPr>
            </w:pPr>
          </w:p>
        </w:tc>
        <w:tc>
          <w:tcPr>
            <w:tcW w:w="4865" w:type="pct"/>
            <w:shd w:val="clear" w:color="auto" w:fill="auto"/>
          </w:tcPr>
          <w:p w:rsidR="00E81805" w:rsidRPr="006C0C34" w:rsidRDefault="00E81805" w:rsidP="00FA3FAE">
            <w:pPr>
              <w:pStyle w:val="PargrafodaLista"/>
              <w:numPr>
                <w:ilvl w:val="0"/>
                <w:numId w:val="23"/>
              </w:numPr>
              <w:spacing w:after="0" w:line="240" w:lineRule="auto"/>
              <w:ind w:right="576"/>
              <w:jc w:val="both"/>
              <w:rPr>
                <w:rFonts w:ascii="Times New Roman" w:hAnsi="Times New Roman"/>
                <w:sz w:val="24"/>
                <w:szCs w:val="24"/>
              </w:rPr>
            </w:pPr>
            <w:r w:rsidRPr="006C0C34">
              <w:rPr>
                <w:rFonts w:ascii="Times New Roman" w:hAnsi="Times New Roman"/>
                <w:sz w:val="24"/>
                <w:szCs w:val="24"/>
              </w:rPr>
              <w:t>L’attention du Consultant a été attiré sur le fait que, contrairement à ce qui a été écrit dans les TDR, il y aura des changements qui seront précis</w:t>
            </w:r>
            <w:r>
              <w:rPr>
                <w:rFonts w:ascii="Times New Roman" w:hAnsi="Times New Roman"/>
                <w:sz w:val="24"/>
                <w:szCs w:val="24"/>
                <w:lang w:val="fr-FR"/>
              </w:rPr>
              <w:t>és</w:t>
            </w:r>
            <w:r w:rsidRPr="006C0C34">
              <w:rPr>
                <w:rFonts w:ascii="Times New Roman" w:hAnsi="Times New Roman"/>
                <w:sz w:val="24"/>
                <w:szCs w:val="24"/>
              </w:rPr>
              <w:t xml:space="preserve"> sur les rapports APS en finalisation ;</w:t>
            </w:r>
          </w:p>
          <w:p w:rsidR="00E81805" w:rsidRPr="006C0C34" w:rsidRDefault="00E81805" w:rsidP="00FA3FAE">
            <w:pPr>
              <w:numPr>
                <w:ilvl w:val="0"/>
                <w:numId w:val="22"/>
              </w:numPr>
              <w:spacing w:after="0" w:line="240" w:lineRule="auto"/>
              <w:ind w:right="576"/>
              <w:jc w:val="both"/>
              <w:rPr>
                <w:rFonts w:ascii="Times New Roman" w:hAnsi="Times New Roman" w:cs="Times New Roman"/>
                <w:sz w:val="24"/>
                <w:szCs w:val="24"/>
              </w:rPr>
            </w:pPr>
            <w:r w:rsidRPr="006C0C34">
              <w:rPr>
                <w:rFonts w:ascii="Times New Roman" w:hAnsi="Times New Roman" w:cs="Times New Roman"/>
                <w:sz w:val="24"/>
                <w:szCs w:val="24"/>
              </w:rPr>
              <w:t>Il a été demand</w:t>
            </w:r>
            <w:r>
              <w:rPr>
                <w:rFonts w:ascii="Times New Roman" w:hAnsi="Times New Roman" w:cs="Times New Roman"/>
                <w:sz w:val="24"/>
                <w:szCs w:val="24"/>
              </w:rPr>
              <w:t>é</w:t>
            </w:r>
            <w:r w:rsidRPr="006C0C34">
              <w:rPr>
                <w:rFonts w:ascii="Times New Roman" w:hAnsi="Times New Roman" w:cs="Times New Roman"/>
                <w:sz w:val="24"/>
                <w:szCs w:val="24"/>
              </w:rPr>
              <w:t xml:space="preserve"> au Consultant de se conformer à la page de garde qui lui a été transmis</w:t>
            </w:r>
            <w:r>
              <w:rPr>
                <w:rFonts w:ascii="Times New Roman" w:hAnsi="Times New Roman" w:cs="Times New Roman"/>
                <w:sz w:val="24"/>
                <w:szCs w:val="24"/>
              </w:rPr>
              <w:t>e</w:t>
            </w:r>
            <w:r w:rsidRPr="006C0C34">
              <w:rPr>
                <w:rFonts w:ascii="Times New Roman" w:hAnsi="Times New Roman" w:cs="Times New Roman"/>
                <w:sz w:val="24"/>
                <w:szCs w:val="24"/>
              </w:rPr>
              <w:t xml:space="preserve"> par email</w:t>
            </w:r>
            <w:r>
              <w:rPr>
                <w:rFonts w:ascii="Times New Roman" w:hAnsi="Times New Roman" w:cs="Times New Roman"/>
                <w:sz w:val="24"/>
                <w:szCs w:val="24"/>
              </w:rPr>
              <w:t> ;</w:t>
            </w:r>
          </w:p>
          <w:p w:rsidR="00E81805" w:rsidRPr="006C0C34" w:rsidRDefault="00E81805" w:rsidP="00FA3FAE">
            <w:pPr>
              <w:numPr>
                <w:ilvl w:val="0"/>
                <w:numId w:val="22"/>
              </w:numPr>
              <w:spacing w:after="0" w:line="240" w:lineRule="auto"/>
              <w:ind w:right="576"/>
              <w:jc w:val="both"/>
              <w:rPr>
                <w:rFonts w:ascii="Times New Roman" w:hAnsi="Times New Roman" w:cs="Times New Roman"/>
                <w:sz w:val="24"/>
                <w:szCs w:val="24"/>
              </w:rPr>
            </w:pPr>
            <w:r w:rsidRPr="006C0C34">
              <w:rPr>
                <w:rFonts w:ascii="Times New Roman" w:hAnsi="Times New Roman" w:cs="Times New Roman"/>
                <w:sz w:val="24"/>
                <w:szCs w:val="24"/>
              </w:rPr>
              <w:t xml:space="preserve">Il a été retenu que le nombre de PAR </w:t>
            </w:r>
            <w:r>
              <w:rPr>
                <w:rFonts w:ascii="Times New Roman" w:hAnsi="Times New Roman" w:cs="Times New Roman"/>
                <w:sz w:val="24"/>
                <w:szCs w:val="24"/>
              </w:rPr>
              <w:t>à</w:t>
            </w:r>
            <w:r w:rsidRPr="006C0C34">
              <w:rPr>
                <w:rFonts w:ascii="Times New Roman" w:hAnsi="Times New Roman" w:cs="Times New Roman"/>
                <w:sz w:val="24"/>
                <w:szCs w:val="24"/>
              </w:rPr>
              <w:t xml:space="preserve"> effectu</w:t>
            </w:r>
            <w:r>
              <w:rPr>
                <w:rFonts w:ascii="Times New Roman" w:hAnsi="Times New Roman" w:cs="Times New Roman"/>
                <w:sz w:val="24"/>
                <w:szCs w:val="24"/>
              </w:rPr>
              <w:t>er</w:t>
            </w:r>
            <w:r w:rsidRPr="006C0C34">
              <w:rPr>
                <w:rFonts w:ascii="Times New Roman" w:hAnsi="Times New Roman" w:cs="Times New Roman"/>
                <w:sz w:val="24"/>
                <w:szCs w:val="24"/>
              </w:rPr>
              <w:t xml:space="preserve"> par le Consultant dépendra des résultats issus du travail de terrain et sera précis</w:t>
            </w:r>
            <w:r>
              <w:rPr>
                <w:rFonts w:ascii="Times New Roman" w:hAnsi="Times New Roman" w:cs="Times New Roman"/>
                <w:sz w:val="24"/>
                <w:szCs w:val="24"/>
              </w:rPr>
              <w:t>é</w:t>
            </w:r>
            <w:r w:rsidRPr="006C0C34">
              <w:rPr>
                <w:rFonts w:ascii="Times New Roman" w:hAnsi="Times New Roman" w:cs="Times New Roman"/>
                <w:sz w:val="24"/>
                <w:szCs w:val="24"/>
              </w:rPr>
              <w:t xml:space="preserve"> dans le rapport de démarrage</w:t>
            </w:r>
            <w:r>
              <w:rPr>
                <w:rFonts w:ascii="Times New Roman" w:hAnsi="Times New Roman" w:cs="Times New Roman"/>
                <w:sz w:val="24"/>
                <w:szCs w:val="24"/>
              </w:rPr>
              <w:t> ;</w:t>
            </w:r>
          </w:p>
          <w:p w:rsidR="00E81805" w:rsidRPr="006C0C34" w:rsidRDefault="00E81805" w:rsidP="00FA3FAE">
            <w:pPr>
              <w:numPr>
                <w:ilvl w:val="0"/>
                <w:numId w:val="22"/>
              </w:numPr>
              <w:spacing w:after="0" w:line="240" w:lineRule="auto"/>
              <w:ind w:right="576"/>
              <w:jc w:val="both"/>
              <w:rPr>
                <w:rFonts w:ascii="Times New Roman" w:hAnsi="Times New Roman" w:cs="Times New Roman"/>
                <w:sz w:val="24"/>
                <w:szCs w:val="24"/>
              </w:rPr>
            </w:pPr>
            <w:r w:rsidRPr="006C0C34">
              <w:rPr>
                <w:rFonts w:ascii="Times New Roman" w:hAnsi="Times New Roman" w:cs="Times New Roman"/>
                <w:sz w:val="24"/>
                <w:szCs w:val="24"/>
              </w:rPr>
              <w:t>Le Consultant pourra se baser sur le PV du 20 mars qui lui a été envoyé pour avoir une idée de ces changements</w:t>
            </w:r>
            <w:r>
              <w:rPr>
                <w:rFonts w:ascii="Times New Roman" w:hAnsi="Times New Roman" w:cs="Times New Roman"/>
                <w:sz w:val="24"/>
                <w:szCs w:val="24"/>
              </w:rPr>
              <w:t> ;</w:t>
            </w:r>
          </w:p>
          <w:p w:rsidR="00E81805" w:rsidRPr="006C0C34" w:rsidRDefault="00E81805" w:rsidP="00FA3FAE">
            <w:pPr>
              <w:numPr>
                <w:ilvl w:val="0"/>
                <w:numId w:val="22"/>
              </w:numPr>
              <w:spacing w:after="0" w:line="240" w:lineRule="auto"/>
              <w:ind w:right="576"/>
              <w:jc w:val="both"/>
              <w:rPr>
                <w:rFonts w:ascii="Times New Roman" w:hAnsi="Times New Roman" w:cs="Times New Roman"/>
                <w:sz w:val="24"/>
                <w:szCs w:val="24"/>
              </w:rPr>
            </w:pPr>
            <w:r w:rsidRPr="006C0C34">
              <w:rPr>
                <w:rFonts w:ascii="Times New Roman" w:hAnsi="Times New Roman" w:cs="Times New Roman"/>
                <w:sz w:val="24"/>
                <w:szCs w:val="24"/>
              </w:rPr>
              <w:t>Le Consultant devra transmettre ce 08 Mai au PUASEE une lettre destinée à informer les parties prenantes et les points focaux du démarrage des études environnementales et solliciter leur collaboration</w:t>
            </w:r>
            <w:r>
              <w:rPr>
                <w:rFonts w:ascii="Times New Roman" w:hAnsi="Times New Roman" w:cs="Times New Roman"/>
                <w:sz w:val="24"/>
                <w:szCs w:val="24"/>
              </w:rPr>
              <w:t> ;</w:t>
            </w:r>
          </w:p>
          <w:p w:rsidR="00E81805" w:rsidRPr="006C0C34" w:rsidRDefault="00E81805" w:rsidP="00FA3FAE">
            <w:pPr>
              <w:numPr>
                <w:ilvl w:val="0"/>
                <w:numId w:val="22"/>
              </w:numPr>
              <w:spacing w:after="0" w:line="240" w:lineRule="auto"/>
              <w:ind w:right="576"/>
              <w:jc w:val="both"/>
              <w:rPr>
                <w:rFonts w:ascii="Times New Roman" w:hAnsi="Times New Roman" w:cs="Times New Roman"/>
                <w:sz w:val="24"/>
                <w:szCs w:val="24"/>
              </w:rPr>
            </w:pPr>
            <w:r w:rsidRPr="006C0C34">
              <w:rPr>
                <w:rFonts w:ascii="Times New Roman" w:hAnsi="Times New Roman" w:cs="Times New Roman"/>
                <w:sz w:val="24"/>
                <w:szCs w:val="24"/>
              </w:rPr>
              <w:t xml:space="preserve">Le Consultant devra transmettre ce </w:t>
            </w:r>
            <w:r>
              <w:rPr>
                <w:rFonts w:ascii="Times New Roman" w:hAnsi="Times New Roman" w:cs="Times New Roman"/>
                <w:sz w:val="24"/>
                <w:szCs w:val="24"/>
              </w:rPr>
              <w:t>0</w:t>
            </w:r>
            <w:r w:rsidRPr="006C0C34">
              <w:rPr>
                <w:rFonts w:ascii="Times New Roman" w:hAnsi="Times New Roman" w:cs="Times New Roman"/>
                <w:sz w:val="24"/>
                <w:szCs w:val="24"/>
              </w:rPr>
              <w:t>8 Mai un programme d’intervention sur le terrain pour être accompagn</w:t>
            </w:r>
            <w:r>
              <w:rPr>
                <w:rFonts w:ascii="Times New Roman" w:hAnsi="Times New Roman" w:cs="Times New Roman"/>
                <w:sz w:val="24"/>
                <w:szCs w:val="24"/>
              </w:rPr>
              <w:t>é</w:t>
            </w:r>
            <w:r w:rsidRPr="006C0C34">
              <w:rPr>
                <w:rFonts w:ascii="Times New Roman" w:hAnsi="Times New Roman" w:cs="Times New Roman"/>
                <w:sz w:val="24"/>
                <w:szCs w:val="24"/>
              </w:rPr>
              <w:t xml:space="preserve"> par le PUASE</w:t>
            </w:r>
            <w:r>
              <w:rPr>
                <w:rFonts w:ascii="Times New Roman" w:hAnsi="Times New Roman" w:cs="Times New Roman"/>
                <w:sz w:val="24"/>
                <w:szCs w:val="24"/>
              </w:rPr>
              <w:t>E</w:t>
            </w:r>
            <w:r w:rsidRPr="006C0C34">
              <w:rPr>
                <w:rFonts w:ascii="Times New Roman" w:hAnsi="Times New Roman" w:cs="Times New Roman"/>
                <w:sz w:val="24"/>
                <w:szCs w:val="24"/>
              </w:rPr>
              <w:t xml:space="preserve"> ou les parties prenantes</w:t>
            </w:r>
            <w:r>
              <w:rPr>
                <w:rFonts w:ascii="Times New Roman" w:hAnsi="Times New Roman" w:cs="Times New Roman"/>
                <w:sz w:val="24"/>
                <w:szCs w:val="24"/>
              </w:rPr>
              <w:t> ;</w:t>
            </w:r>
          </w:p>
          <w:p w:rsidR="00E81805" w:rsidRPr="006C0C34" w:rsidRDefault="00E81805" w:rsidP="00FA3FAE">
            <w:pPr>
              <w:numPr>
                <w:ilvl w:val="0"/>
                <w:numId w:val="22"/>
              </w:numPr>
              <w:spacing w:after="0" w:line="240" w:lineRule="auto"/>
              <w:ind w:right="576"/>
              <w:jc w:val="both"/>
              <w:rPr>
                <w:rFonts w:ascii="Times New Roman" w:hAnsi="Times New Roman" w:cs="Times New Roman"/>
                <w:sz w:val="24"/>
                <w:szCs w:val="24"/>
              </w:rPr>
            </w:pPr>
            <w:r w:rsidRPr="006C0C34">
              <w:rPr>
                <w:rFonts w:ascii="Times New Roman" w:hAnsi="Times New Roman" w:cs="Times New Roman"/>
                <w:sz w:val="24"/>
                <w:szCs w:val="24"/>
              </w:rPr>
              <w:lastRenderedPageBreak/>
              <w:t>Le Consultant devra aussi transmettre au PUASEE un tableau actualis</w:t>
            </w:r>
            <w:r>
              <w:rPr>
                <w:rFonts w:ascii="Times New Roman" w:hAnsi="Times New Roman" w:cs="Times New Roman"/>
                <w:sz w:val="24"/>
                <w:szCs w:val="24"/>
              </w:rPr>
              <w:t>é</w:t>
            </w:r>
            <w:r w:rsidRPr="006C0C34">
              <w:rPr>
                <w:rFonts w:ascii="Times New Roman" w:hAnsi="Times New Roman" w:cs="Times New Roman"/>
                <w:sz w:val="24"/>
                <w:szCs w:val="24"/>
              </w:rPr>
              <w:t xml:space="preserve"> d’intervention de ses experts en fonction des livrables</w:t>
            </w:r>
            <w:r>
              <w:rPr>
                <w:rFonts w:ascii="Times New Roman" w:hAnsi="Times New Roman" w:cs="Times New Roman"/>
                <w:sz w:val="24"/>
                <w:szCs w:val="24"/>
              </w:rPr>
              <w:t> ;</w:t>
            </w:r>
          </w:p>
          <w:p w:rsidR="00E81805" w:rsidRPr="004F7F5E" w:rsidRDefault="00E81805" w:rsidP="00EE3027">
            <w:pPr>
              <w:numPr>
                <w:ilvl w:val="0"/>
                <w:numId w:val="22"/>
              </w:numPr>
              <w:spacing w:after="0" w:line="240" w:lineRule="auto"/>
              <w:ind w:right="576"/>
              <w:jc w:val="both"/>
              <w:rPr>
                <w:rFonts w:ascii="Times New Roman" w:hAnsi="Times New Roman" w:cs="Times New Roman"/>
                <w:sz w:val="24"/>
                <w:szCs w:val="24"/>
              </w:rPr>
            </w:pPr>
            <w:r w:rsidRPr="006C0C34">
              <w:rPr>
                <w:rFonts w:ascii="Times New Roman" w:hAnsi="Times New Roman" w:cs="Times New Roman"/>
                <w:sz w:val="24"/>
                <w:szCs w:val="24"/>
              </w:rPr>
              <w:t>IL a été précis</w:t>
            </w:r>
            <w:r>
              <w:rPr>
                <w:rFonts w:ascii="Times New Roman" w:hAnsi="Times New Roman" w:cs="Times New Roman"/>
                <w:sz w:val="24"/>
                <w:szCs w:val="24"/>
              </w:rPr>
              <w:t>é</w:t>
            </w:r>
            <w:r w:rsidRPr="006C0C34">
              <w:rPr>
                <w:rFonts w:ascii="Times New Roman" w:hAnsi="Times New Roman" w:cs="Times New Roman"/>
                <w:sz w:val="24"/>
                <w:szCs w:val="24"/>
              </w:rPr>
              <w:t xml:space="preserve"> que les études de PAR seront adossées à l’APD en cours de réalisation :</w:t>
            </w:r>
          </w:p>
        </w:tc>
      </w:tr>
    </w:tbl>
    <w:p w:rsidR="00E81805" w:rsidRPr="006C0C34" w:rsidRDefault="00E81805" w:rsidP="00EE3027">
      <w:pPr>
        <w:spacing w:line="240" w:lineRule="auto"/>
        <w:jc w:val="both"/>
        <w:rPr>
          <w:rFonts w:ascii="Times New Roman" w:hAnsi="Times New Roman" w:cs="Times New Roman"/>
          <w:sz w:val="24"/>
          <w:szCs w:val="24"/>
        </w:rPr>
      </w:pPr>
      <w:r w:rsidRPr="006C0C34">
        <w:rPr>
          <w:rFonts w:ascii="Times New Roman" w:hAnsi="Times New Roman" w:cs="Times New Roman"/>
          <w:sz w:val="24"/>
          <w:szCs w:val="24"/>
        </w:rPr>
        <w:lastRenderedPageBreak/>
        <w:t>Il s’est agi de relire les TDR qui ont été proposés par le client et de procéder à une harmonisation de la proposition du consultant sur les différents points à aborder.</w:t>
      </w:r>
    </w:p>
    <w:p w:rsidR="00E81805" w:rsidRPr="006C0C34" w:rsidRDefault="00E81805" w:rsidP="00EE3027">
      <w:pPr>
        <w:spacing w:line="240" w:lineRule="auto"/>
        <w:jc w:val="both"/>
        <w:rPr>
          <w:rFonts w:ascii="Times New Roman" w:hAnsi="Times New Roman" w:cs="Times New Roman"/>
          <w:sz w:val="24"/>
          <w:szCs w:val="24"/>
        </w:rPr>
      </w:pPr>
      <w:r w:rsidRPr="006C0C34">
        <w:rPr>
          <w:rFonts w:ascii="Times New Roman" w:hAnsi="Times New Roman" w:cs="Times New Roman"/>
          <w:sz w:val="24"/>
          <w:szCs w:val="24"/>
        </w:rPr>
        <w:t xml:space="preserve">Sur la base des résultats de cette rencontre, le consultant a ajusté, son plan de travail et a apporté des éclaircissements sur la démarche et mis à jour </w:t>
      </w:r>
      <w:r>
        <w:rPr>
          <w:rFonts w:ascii="Times New Roman" w:hAnsi="Times New Roman" w:cs="Times New Roman"/>
          <w:sz w:val="24"/>
          <w:szCs w:val="24"/>
        </w:rPr>
        <w:t>le</w:t>
      </w:r>
      <w:r w:rsidRPr="006C0C34">
        <w:rPr>
          <w:rFonts w:ascii="Times New Roman" w:hAnsi="Times New Roman" w:cs="Times New Roman"/>
          <w:sz w:val="24"/>
          <w:szCs w:val="24"/>
        </w:rPr>
        <w:t xml:space="preserve"> planning d’exécution de la mission.</w:t>
      </w:r>
    </w:p>
    <w:p w:rsidR="00E81805" w:rsidRPr="006C0C34" w:rsidRDefault="00E81805" w:rsidP="00EE3027">
      <w:pPr>
        <w:spacing w:line="240" w:lineRule="auto"/>
        <w:jc w:val="both"/>
        <w:rPr>
          <w:rFonts w:ascii="Times New Roman" w:hAnsi="Times New Roman" w:cs="Times New Roman"/>
          <w:sz w:val="24"/>
          <w:szCs w:val="24"/>
        </w:rPr>
      </w:pPr>
      <w:r w:rsidRPr="006C0C34">
        <w:rPr>
          <w:rFonts w:ascii="Times New Roman" w:hAnsi="Times New Roman" w:cs="Times New Roman"/>
          <w:sz w:val="24"/>
          <w:szCs w:val="24"/>
        </w:rPr>
        <w:t>C’est durant cette rencontre que les questions organisationnelles liées à la mission du consultant ont été abordées, notamment :</w:t>
      </w:r>
    </w:p>
    <w:p w:rsidR="00E81805" w:rsidRPr="006C0C34" w:rsidRDefault="00E81805" w:rsidP="00FA3FAE">
      <w:pPr>
        <w:pStyle w:val="PargrafodaLista"/>
        <w:numPr>
          <w:ilvl w:val="0"/>
          <w:numId w:val="24"/>
        </w:numPr>
        <w:spacing w:line="240" w:lineRule="auto"/>
        <w:jc w:val="both"/>
        <w:rPr>
          <w:rFonts w:ascii="Times New Roman" w:hAnsi="Times New Roman"/>
          <w:sz w:val="24"/>
          <w:szCs w:val="24"/>
        </w:rPr>
      </w:pPr>
      <w:r w:rsidRPr="006C0C34">
        <w:rPr>
          <w:rFonts w:ascii="Times New Roman" w:hAnsi="Times New Roman"/>
          <w:sz w:val="24"/>
          <w:szCs w:val="24"/>
        </w:rPr>
        <w:t>La prise en possession des lettres d’introduction délivrées par l’UCP pour faciliter les investigations du consultant,</w:t>
      </w:r>
    </w:p>
    <w:p w:rsidR="00E81805" w:rsidRPr="006C0C34" w:rsidRDefault="00E81805" w:rsidP="00FA3FAE">
      <w:pPr>
        <w:pStyle w:val="PargrafodaLista"/>
        <w:numPr>
          <w:ilvl w:val="0"/>
          <w:numId w:val="24"/>
        </w:numPr>
        <w:spacing w:line="240" w:lineRule="auto"/>
        <w:jc w:val="both"/>
        <w:rPr>
          <w:rFonts w:ascii="Times New Roman" w:hAnsi="Times New Roman"/>
          <w:sz w:val="24"/>
          <w:szCs w:val="24"/>
        </w:rPr>
      </w:pPr>
      <w:r w:rsidRPr="006C0C34">
        <w:rPr>
          <w:rFonts w:ascii="Times New Roman" w:hAnsi="Times New Roman"/>
          <w:sz w:val="24"/>
          <w:szCs w:val="24"/>
        </w:rPr>
        <w:t>La collecte des informations utiles sur les différents acteurs et partenaires utiles à la réalisation de</w:t>
      </w:r>
      <w:r w:rsidRPr="006C0C34">
        <w:rPr>
          <w:rFonts w:ascii="Times New Roman" w:hAnsi="Times New Roman"/>
          <w:sz w:val="24"/>
          <w:szCs w:val="24"/>
          <w:lang w:val="fr-FR"/>
        </w:rPr>
        <w:t xml:space="preserve"> </w:t>
      </w:r>
      <w:r w:rsidRPr="006C0C34">
        <w:rPr>
          <w:rFonts w:ascii="Times New Roman" w:hAnsi="Times New Roman"/>
          <w:sz w:val="24"/>
          <w:szCs w:val="24"/>
        </w:rPr>
        <w:t xml:space="preserve">l’EIES et du PAR, </w:t>
      </w:r>
    </w:p>
    <w:p w:rsidR="00E81805" w:rsidRPr="006C0C34" w:rsidRDefault="00E81805" w:rsidP="00FA3FAE">
      <w:pPr>
        <w:pStyle w:val="PargrafodaLista"/>
        <w:numPr>
          <w:ilvl w:val="0"/>
          <w:numId w:val="24"/>
        </w:numPr>
        <w:spacing w:line="240" w:lineRule="auto"/>
        <w:jc w:val="both"/>
        <w:rPr>
          <w:rFonts w:ascii="Times New Roman" w:hAnsi="Times New Roman"/>
          <w:sz w:val="24"/>
          <w:szCs w:val="24"/>
        </w:rPr>
      </w:pPr>
      <w:r w:rsidRPr="006C0C34">
        <w:rPr>
          <w:rFonts w:ascii="Times New Roman" w:hAnsi="Times New Roman"/>
          <w:sz w:val="24"/>
          <w:szCs w:val="24"/>
        </w:rPr>
        <w:t xml:space="preserve">la prise de contacts avec les autorités administratives, </w:t>
      </w:r>
      <w:r w:rsidRPr="006C0C34">
        <w:rPr>
          <w:rFonts w:ascii="Times New Roman" w:hAnsi="Times New Roman"/>
          <w:sz w:val="24"/>
          <w:szCs w:val="24"/>
          <w:lang w:val="fr-FR"/>
        </w:rPr>
        <w:t xml:space="preserve">notamment </w:t>
      </w:r>
      <w:r w:rsidRPr="006C0C34">
        <w:rPr>
          <w:rFonts w:ascii="Times New Roman" w:hAnsi="Times New Roman"/>
          <w:sz w:val="24"/>
          <w:szCs w:val="24"/>
        </w:rPr>
        <w:t>les Mairies</w:t>
      </w:r>
      <w:r>
        <w:rPr>
          <w:rFonts w:ascii="Times New Roman" w:hAnsi="Times New Roman"/>
          <w:sz w:val="24"/>
          <w:szCs w:val="24"/>
          <w:lang w:val="fr-FR"/>
        </w:rPr>
        <w:t>.</w:t>
      </w:r>
    </w:p>
    <w:p w:rsidR="00E81805" w:rsidRPr="006C0C34" w:rsidRDefault="00745F48" w:rsidP="00EE3027">
      <w:pPr>
        <w:pStyle w:val="PargrafodaLista"/>
        <w:keepNext/>
        <w:spacing w:before="240" w:after="240"/>
        <w:ind w:left="450" w:hanging="450"/>
        <w:jc w:val="both"/>
        <w:rPr>
          <w:rFonts w:ascii="Times New Roman" w:hAnsi="Times New Roman"/>
          <w:b/>
          <w:sz w:val="24"/>
          <w:szCs w:val="24"/>
          <w:lang w:val="fr-FR" w:eastAsia="fr-FR"/>
        </w:rPr>
      </w:pPr>
      <w:r>
        <w:rPr>
          <w:rFonts w:ascii="Times New Roman" w:hAnsi="Times New Roman"/>
          <w:noProof/>
          <w:sz w:val="24"/>
          <w:szCs w:val="24"/>
          <w:lang w:val="pt-PT" w:eastAsia="pt-PT"/>
        </w:rPr>
        <w:drawing>
          <wp:anchor distT="0" distB="0" distL="114300" distR="114300" simplePos="0" relativeHeight="252073472" behindDoc="0" locked="0" layoutInCell="1" allowOverlap="1" wp14:anchorId="08ECCAD6" wp14:editId="7F2E1648">
            <wp:simplePos x="0" y="0"/>
            <wp:positionH relativeFrom="column">
              <wp:posOffset>-373188</wp:posOffset>
            </wp:positionH>
            <wp:positionV relativeFrom="paragraph">
              <wp:posOffset>221556</wp:posOffset>
            </wp:positionV>
            <wp:extent cx="6180455" cy="4124325"/>
            <wp:effectExtent l="0" t="0" r="0" b="9525"/>
            <wp:wrapTight wrapText="bothSides">
              <wp:wrapPolygon edited="0">
                <wp:start x="266" y="0"/>
                <wp:lineTo x="0" y="200"/>
                <wp:lineTo x="0" y="21450"/>
                <wp:lineTo x="266" y="21550"/>
                <wp:lineTo x="21238" y="21550"/>
                <wp:lineTo x="21505" y="21450"/>
                <wp:lineTo x="21505" y="200"/>
                <wp:lineTo x="21238" y="0"/>
                <wp:lineTo x="266" y="0"/>
              </wp:wrapPolygon>
            </wp:wrapTight>
            <wp:docPr id="6" name="Image 4" descr="C:\Users\ECI GUINÉE-BISSAU\Desktop\IMG_20190508_102316.jpg"/>
            <wp:cNvGraphicFramePr/>
            <a:graphic xmlns:a="http://schemas.openxmlformats.org/drawingml/2006/main">
              <a:graphicData uri="http://schemas.openxmlformats.org/drawingml/2006/picture">
                <pic:pic xmlns:pic="http://schemas.openxmlformats.org/drawingml/2006/picture">
                  <pic:nvPicPr>
                    <pic:cNvPr id="6" name="Image 4" descr="C:\Users\ECI GUINÉE-BISSAU\Desktop\IMG_20190508_102316.jpg"/>
                    <pic:cNvPicPr/>
                  </pic:nvPicPr>
                  <pic:blipFill>
                    <a:blip r:embed="rId112" cstate="print">
                      <a:extLst>
                        <a:ext uri="{28A0092B-C50C-407E-A947-70E740481C1C}">
                          <a14:useLocalDpi xmlns:a14="http://schemas.microsoft.com/office/drawing/2010/main"/>
                        </a:ext>
                      </a:extLst>
                    </a:blip>
                    <a:srcRect/>
                    <a:stretch>
                      <a:fillRect/>
                    </a:stretch>
                  </pic:blipFill>
                  <pic:spPr bwMode="auto">
                    <a:xfrm>
                      <a:off x="0" y="0"/>
                      <a:ext cx="6180455" cy="4124325"/>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p>
    <w:p w:rsidR="00745F48" w:rsidRDefault="00745F48" w:rsidP="00EE3027">
      <w:pPr>
        <w:rPr>
          <w:rFonts w:ascii="Times New Roman" w:hAnsi="Times New Roman" w:cs="Times New Roman"/>
          <w:b/>
          <w:sz w:val="24"/>
          <w:szCs w:val="24"/>
          <w:lang w:eastAsia="fr-FR"/>
        </w:rPr>
      </w:pPr>
      <w:bookmarkStart w:id="648" w:name="_Toc527882050"/>
    </w:p>
    <w:p w:rsidR="00745F48" w:rsidRDefault="00745F48" w:rsidP="00EE3027">
      <w:pPr>
        <w:rPr>
          <w:rFonts w:ascii="Times New Roman" w:hAnsi="Times New Roman" w:cs="Times New Roman"/>
          <w:b/>
          <w:sz w:val="24"/>
          <w:szCs w:val="24"/>
          <w:lang w:eastAsia="fr-FR"/>
        </w:rPr>
      </w:pPr>
    </w:p>
    <w:p w:rsidR="00745F48" w:rsidRDefault="00745F48" w:rsidP="00EE3027">
      <w:pPr>
        <w:rPr>
          <w:rFonts w:ascii="Times New Roman" w:hAnsi="Times New Roman" w:cs="Times New Roman"/>
          <w:b/>
          <w:sz w:val="24"/>
          <w:szCs w:val="24"/>
          <w:lang w:eastAsia="fr-FR"/>
        </w:rPr>
      </w:pPr>
    </w:p>
    <w:p w:rsidR="00745F48" w:rsidRDefault="00745F48" w:rsidP="00EE3027">
      <w:pPr>
        <w:rPr>
          <w:rFonts w:ascii="Times New Roman" w:hAnsi="Times New Roman" w:cs="Times New Roman"/>
          <w:b/>
          <w:sz w:val="24"/>
          <w:szCs w:val="24"/>
          <w:lang w:eastAsia="fr-FR"/>
        </w:rPr>
      </w:pPr>
    </w:p>
    <w:p w:rsidR="00745F48" w:rsidRDefault="00745F48" w:rsidP="00EE3027">
      <w:pPr>
        <w:rPr>
          <w:rFonts w:ascii="Times New Roman" w:hAnsi="Times New Roman" w:cs="Times New Roman"/>
          <w:b/>
          <w:sz w:val="24"/>
          <w:szCs w:val="24"/>
          <w:lang w:eastAsia="fr-FR"/>
        </w:rPr>
      </w:pPr>
    </w:p>
    <w:p w:rsidR="00745F48" w:rsidRDefault="00745F48" w:rsidP="00EE3027">
      <w:pPr>
        <w:rPr>
          <w:rFonts w:ascii="Times New Roman" w:hAnsi="Times New Roman" w:cs="Times New Roman"/>
          <w:b/>
          <w:sz w:val="24"/>
          <w:szCs w:val="24"/>
          <w:lang w:eastAsia="fr-FR"/>
        </w:rPr>
      </w:pPr>
    </w:p>
    <w:p w:rsidR="00745F48" w:rsidRDefault="00745F48" w:rsidP="00EE3027">
      <w:pPr>
        <w:rPr>
          <w:rFonts w:ascii="Times New Roman" w:hAnsi="Times New Roman" w:cs="Times New Roman"/>
          <w:b/>
          <w:sz w:val="24"/>
          <w:szCs w:val="24"/>
          <w:lang w:eastAsia="fr-FR"/>
        </w:rPr>
      </w:pPr>
    </w:p>
    <w:p w:rsidR="00745F48" w:rsidRDefault="00745F48" w:rsidP="00EE3027">
      <w:pPr>
        <w:rPr>
          <w:rFonts w:ascii="Times New Roman" w:hAnsi="Times New Roman" w:cs="Times New Roman"/>
          <w:b/>
          <w:sz w:val="24"/>
          <w:szCs w:val="24"/>
          <w:lang w:eastAsia="fr-FR"/>
        </w:rPr>
      </w:pPr>
    </w:p>
    <w:p w:rsidR="00745F48" w:rsidRDefault="00745F48" w:rsidP="00EE3027">
      <w:pPr>
        <w:rPr>
          <w:rFonts w:ascii="Times New Roman" w:hAnsi="Times New Roman" w:cs="Times New Roman"/>
          <w:b/>
          <w:sz w:val="24"/>
          <w:szCs w:val="24"/>
          <w:lang w:eastAsia="fr-FR"/>
        </w:rPr>
      </w:pPr>
    </w:p>
    <w:p w:rsidR="00745F48" w:rsidRDefault="00745F48" w:rsidP="00EE3027">
      <w:pPr>
        <w:rPr>
          <w:rFonts w:ascii="Times New Roman" w:hAnsi="Times New Roman" w:cs="Times New Roman"/>
          <w:b/>
          <w:sz w:val="24"/>
          <w:szCs w:val="24"/>
          <w:lang w:eastAsia="fr-FR"/>
        </w:rPr>
      </w:pPr>
    </w:p>
    <w:p w:rsidR="00745F48" w:rsidRDefault="00745F48" w:rsidP="00EE3027">
      <w:pPr>
        <w:rPr>
          <w:rFonts w:ascii="Times New Roman" w:hAnsi="Times New Roman" w:cs="Times New Roman"/>
          <w:b/>
          <w:sz w:val="24"/>
          <w:szCs w:val="24"/>
          <w:lang w:eastAsia="fr-FR"/>
        </w:rPr>
      </w:pPr>
    </w:p>
    <w:p w:rsidR="00745F48" w:rsidRDefault="00745F48" w:rsidP="00EE3027">
      <w:pPr>
        <w:rPr>
          <w:rFonts w:ascii="Times New Roman" w:hAnsi="Times New Roman" w:cs="Times New Roman"/>
          <w:b/>
          <w:sz w:val="24"/>
          <w:szCs w:val="24"/>
          <w:lang w:eastAsia="fr-FR"/>
        </w:rPr>
      </w:pPr>
    </w:p>
    <w:p w:rsidR="00EE3027" w:rsidRDefault="00EE3027" w:rsidP="00745F48">
      <w:pPr>
        <w:pStyle w:val="Legenda"/>
        <w:spacing w:after="0"/>
        <w:rPr>
          <w:rFonts w:ascii="Times New Roman" w:hAnsi="Times New Roman" w:cs="Times New Roman"/>
          <w:color w:val="auto"/>
          <w:sz w:val="24"/>
          <w:szCs w:val="24"/>
          <w:lang w:val="fr-FR"/>
        </w:rPr>
      </w:pPr>
    </w:p>
    <w:p w:rsidR="00EE3027" w:rsidRDefault="00EE3027" w:rsidP="00745F48">
      <w:pPr>
        <w:pStyle w:val="Legenda"/>
        <w:spacing w:after="0"/>
        <w:rPr>
          <w:rFonts w:ascii="Times New Roman" w:hAnsi="Times New Roman" w:cs="Times New Roman"/>
          <w:color w:val="auto"/>
          <w:sz w:val="24"/>
          <w:szCs w:val="24"/>
          <w:lang w:val="fr-FR"/>
        </w:rPr>
      </w:pPr>
    </w:p>
    <w:p w:rsidR="00EE3027" w:rsidRDefault="00EE3027" w:rsidP="00745F48">
      <w:pPr>
        <w:pStyle w:val="Legenda"/>
        <w:spacing w:after="0"/>
        <w:rPr>
          <w:rFonts w:ascii="Times New Roman" w:hAnsi="Times New Roman" w:cs="Times New Roman"/>
          <w:color w:val="auto"/>
          <w:sz w:val="24"/>
          <w:szCs w:val="24"/>
          <w:lang w:val="fr-FR"/>
        </w:rPr>
      </w:pPr>
    </w:p>
    <w:p w:rsidR="00745F48" w:rsidRPr="00770F4C" w:rsidRDefault="00745F48" w:rsidP="00745F48">
      <w:pPr>
        <w:pStyle w:val="Legenda"/>
        <w:spacing w:after="0"/>
        <w:rPr>
          <w:rFonts w:ascii="Times New Roman" w:hAnsi="Times New Roman" w:cs="Times New Roman"/>
          <w:color w:val="auto"/>
          <w:sz w:val="24"/>
          <w:szCs w:val="24"/>
          <w:u w:val="single"/>
          <w:lang w:val="fr-FR"/>
        </w:rPr>
      </w:pPr>
      <w:bookmarkStart w:id="649" w:name="_Toc32512059"/>
      <w:r w:rsidRPr="00770F4C">
        <w:rPr>
          <w:rFonts w:ascii="Times New Roman" w:hAnsi="Times New Roman" w:cs="Times New Roman"/>
          <w:color w:val="auto"/>
          <w:sz w:val="24"/>
          <w:szCs w:val="24"/>
          <w:lang w:val="fr-FR"/>
        </w:rPr>
        <w:t xml:space="preserve">Photo </w:t>
      </w:r>
      <w:r w:rsidRPr="00770F4C">
        <w:rPr>
          <w:rFonts w:ascii="Times New Roman" w:hAnsi="Times New Roman" w:cs="Times New Roman"/>
          <w:color w:val="auto"/>
          <w:sz w:val="24"/>
          <w:szCs w:val="24"/>
        </w:rPr>
        <w:fldChar w:fldCharType="begin"/>
      </w:r>
      <w:r w:rsidRPr="00770F4C">
        <w:rPr>
          <w:rFonts w:ascii="Times New Roman" w:hAnsi="Times New Roman" w:cs="Times New Roman"/>
          <w:color w:val="auto"/>
          <w:sz w:val="24"/>
          <w:szCs w:val="24"/>
          <w:lang w:val="fr-FR"/>
        </w:rPr>
        <w:instrText xml:space="preserve"> SEQ PHOTO \* ARABIC </w:instrText>
      </w:r>
      <w:r w:rsidRPr="00770F4C">
        <w:rPr>
          <w:rFonts w:ascii="Times New Roman" w:hAnsi="Times New Roman" w:cs="Times New Roman"/>
          <w:color w:val="auto"/>
          <w:sz w:val="24"/>
          <w:szCs w:val="24"/>
        </w:rPr>
        <w:fldChar w:fldCharType="separate"/>
      </w:r>
      <w:r w:rsidR="002C6E60">
        <w:rPr>
          <w:rFonts w:ascii="Times New Roman" w:hAnsi="Times New Roman" w:cs="Times New Roman"/>
          <w:noProof/>
          <w:color w:val="auto"/>
          <w:sz w:val="24"/>
          <w:szCs w:val="24"/>
          <w:lang w:val="fr-FR"/>
        </w:rPr>
        <w:t>8</w:t>
      </w:r>
      <w:r w:rsidRPr="00770F4C">
        <w:rPr>
          <w:rFonts w:ascii="Times New Roman" w:hAnsi="Times New Roman" w:cs="Times New Roman"/>
          <w:color w:val="auto"/>
          <w:sz w:val="24"/>
          <w:szCs w:val="24"/>
        </w:rPr>
        <w:fldChar w:fldCharType="end"/>
      </w:r>
      <w:r w:rsidRPr="00770F4C">
        <w:rPr>
          <w:rFonts w:ascii="Times New Roman" w:hAnsi="Times New Roman" w:cs="Times New Roman"/>
          <w:color w:val="auto"/>
          <w:sz w:val="24"/>
          <w:szCs w:val="24"/>
          <w:lang w:val="fr-FR"/>
        </w:rPr>
        <w:t xml:space="preserve"> : </w:t>
      </w:r>
      <w:r w:rsidRPr="00770F4C">
        <w:rPr>
          <w:rFonts w:ascii="Times New Roman" w:hAnsi="Times New Roman" w:cs="Times New Roman"/>
          <w:color w:val="auto"/>
          <w:sz w:val="24"/>
          <w:szCs w:val="24"/>
          <w:u w:val="single"/>
          <w:lang w:val="fr-FR"/>
        </w:rPr>
        <w:t>Photos d’illustration de la réunion de cadrage du 08 Mai 2019</w:t>
      </w:r>
      <w:bookmarkEnd w:id="649"/>
    </w:p>
    <w:p w:rsidR="00E81805" w:rsidRPr="00EE3027" w:rsidRDefault="00EE3027" w:rsidP="00EE3027">
      <w:pPr>
        <w:pStyle w:val="PargrafodaLista"/>
        <w:keepNext/>
        <w:spacing w:before="240" w:after="240"/>
        <w:ind w:left="450" w:firstLine="258"/>
        <w:jc w:val="both"/>
        <w:rPr>
          <w:rFonts w:ascii="Times New Roman" w:hAnsi="Times New Roman"/>
          <w:b/>
          <w:sz w:val="24"/>
          <w:szCs w:val="24"/>
          <w:lang w:val="fr-FR" w:eastAsia="fr-FR"/>
        </w:rPr>
      </w:pPr>
      <w:r>
        <w:rPr>
          <w:rFonts w:ascii="Times New Roman" w:hAnsi="Times New Roman"/>
          <w:b/>
          <w:sz w:val="24"/>
          <w:szCs w:val="24"/>
          <w:lang w:val="fr-FR" w:eastAsia="fr-FR"/>
        </w:rPr>
        <w:t>8.6.6</w:t>
      </w:r>
      <w:r w:rsidR="00E81805" w:rsidRPr="00EE3027">
        <w:rPr>
          <w:rFonts w:ascii="Times New Roman" w:hAnsi="Times New Roman"/>
          <w:b/>
          <w:sz w:val="24"/>
          <w:szCs w:val="24"/>
          <w:lang w:val="fr-FR" w:eastAsia="fr-FR"/>
        </w:rPr>
        <w:t>. Contenu de la Consultation</w:t>
      </w:r>
      <w:bookmarkEnd w:id="648"/>
    </w:p>
    <w:p w:rsidR="00E81805" w:rsidRPr="006C0C34" w:rsidRDefault="00E81805" w:rsidP="00E81805">
      <w:pPr>
        <w:jc w:val="both"/>
        <w:rPr>
          <w:rFonts w:ascii="Times New Roman" w:hAnsi="Times New Roman" w:cs="Times New Roman"/>
          <w:sz w:val="24"/>
          <w:szCs w:val="24"/>
        </w:rPr>
      </w:pPr>
      <w:r w:rsidRPr="006C0C34">
        <w:rPr>
          <w:rFonts w:ascii="Times New Roman" w:hAnsi="Times New Roman" w:cs="Times New Roman"/>
          <w:sz w:val="24"/>
          <w:szCs w:val="24"/>
        </w:rPr>
        <w:t>Cette partie donne la synthèse des perceptions, des préoccupations, des attentes et des recommandations des services techniques et des élus locaux. Les analyses, issues des consultations avec les différentes catégories d’acteurs, révèlent une bonne compréhension des enjeux du PUASEE</w:t>
      </w:r>
      <w:r w:rsidR="00745F48">
        <w:rPr>
          <w:rFonts w:ascii="Times New Roman" w:hAnsi="Times New Roman" w:cs="Times New Roman"/>
          <w:sz w:val="24"/>
          <w:szCs w:val="24"/>
        </w:rPr>
        <w:t>-FA</w:t>
      </w:r>
      <w:r w:rsidRPr="006C0C34">
        <w:rPr>
          <w:rFonts w:ascii="Times New Roman" w:hAnsi="Times New Roman" w:cs="Times New Roman"/>
          <w:sz w:val="24"/>
          <w:szCs w:val="24"/>
        </w:rPr>
        <w:t>. De cette analyse</w:t>
      </w:r>
      <w:r>
        <w:rPr>
          <w:rFonts w:ascii="Times New Roman" w:hAnsi="Times New Roman" w:cs="Times New Roman"/>
          <w:sz w:val="24"/>
          <w:szCs w:val="24"/>
        </w:rPr>
        <w:t>,</w:t>
      </w:r>
      <w:r w:rsidRPr="006C0C34">
        <w:rPr>
          <w:rFonts w:ascii="Times New Roman" w:hAnsi="Times New Roman" w:cs="Times New Roman"/>
          <w:sz w:val="24"/>
          <w:szCs w:val="24"/>
        </w:rPr>
        <w:t xml:space="preserve"> on peut noter u</w:t>
      </w:r>
      <w:r w:rsidR="00745F48">
        <w:rPr>
          <w:rFonts w:ascii="Times New Roman" w:hAnsi="Times New Roman" w:cs="Times New Roman"/>
          <w:sz w:val="24"/>
          <w:szCs w:val="24"/>
        </w:rPr>
        <w:t>n bon niveau d’acceptabilité du sous-</w:t>
      </w:r>
      <w:r w:rsidRPr="006C0C34">
        <w:rPr>
          <w:rFonts w:ascii="Times New Roman" w:hAnsi="Times New Roman" w:cs="Times New Roman"/>
          <w:sz w:val="24"/>
          <w:szCs w:val="24"/>
        </w:rPr>
        <w:t>projet.</w:t>
      </w:r>
    </w:p>
    <w:p w:rsidR="00E81805" w:rsidRPr="000D0E23" w:rsidRDefault="00AE0EFD" w:rsidP="000D0E23">
      <w:pPr>
        <w:jc w:val="center"/>
        <w:rPr>
          <w:rFonts w:ascii="Times New Roman" w:hAnsi="Times New Roman" w:cs="Times New Roman"/>
          <w:b/>
          <w:sz w:val="20"/>
          <w:szCs w:val="20"/>
        </w:rPr>
      </w:pPr>
      <w:bookmarkStart w:id="650" w:name="_Toc527882065"/>
      <w:bookmarkStart w:id="651" w:name="_Toc51074028"/>
      <w:r w:rsidRPr="000D0E23">
        <w:rPr>
          <w:rFonts w:ascii="Times New Roman" w:hAnsi="Times New Roman" w:cs="Times New Roman"/>
          <w:b/>
          <w:sz w:val="20"/>
          <w:szCs w:val="20"/>
        </w:rPr>
        <w:t xml:space="preserve">Tableau </w:t>
      </w:r>
      <w:r w:rsidRPr="000D0E23">
        <w:rPr>
          <w:rFonts w:ascii="Times New Roman" w:hAnsi="Times New Roman" w:cs="Times New Roman"/>
          <w:b/>
          <w:sz w:val="20"/>
          <w:szCs w:val="20"/>
        </w:rPr>
        <w:fldChar w:fldCharType="begin"/>
      </w:r>
      <w:r w:rsidRPr="000D0E23">
        <w:rPr>
          <w:rFonts w:ascii="Times New Roman" w:hAnsi="Times New Roman" w:cs="Times New Roman"/>
          <w:b/>
          <w:sz w:val="20"/>
          <w:szCs w:val="20"/>
        </w:rPr>
        <w:instrText xml:space="preserve"> SEQ Tableau \* ARABIC </w:instrText>
      </w:r>
      <w:r w:rsidRPr="000D0E23">
        <w:rPr>
          <w:rFonts w:ascii="Times New Roman" w:hAnsi="Times New Roman" w:cs="Times New Roman"/>
          <w:b/>
          <w:sz w:val="20"/>
          <w:szCs w:val="20"/>
        </w:rPr>
        <w:fldChar w:fldCharType="separate"/>
      </w:r>
      <w:r w:rsidR="00820701">
        <w:rPr>
          <w:rFonts w:ascii="Times New Roman" w:hAnsi="Times New Roman" w:cs="Times New Roman"/>
          <w:b/>
          <w:noProof/>
          <w:sz w:val="20"/>
          <w:szCs w:val="20"/>
        </w:rPr>
        <w:t>37</w:t>
      </w:r>
      <w:r w:rsidRPr="000D0E23">
        <w:rPr>
          <w:rFonts w:ascii="Times New Roman" w:hAnsi="Times New Roman" w:cs="Times New Roman"/>
          <w:b/>
          <w:sz w:val="20"/>
          <w:szCs w:val="20"/>
        </w:rPr>
        <w:fldChar w:fldCharType="end"/>
      </w:r>
      <w:r w:rsidRPr="000D0E23">
        <w:rPr>
          <w:rFonts w:ascii="Times New Roman" w:hAnsi="Times New Roman" w:cs="Times New Roman"/>
          <w:b/>
          <w:sz w:val="20"/>
          <w:szCs w:val="20"/>
        </w:rPr>
        <w:t xml:space="preserve">  </w:t>
      </w:r>
      <w:r w:rsidR="00E81805" w:rsidRPr="000D0E23">
        <w:rPr>
          <w:rFonts w:ascii="Times New Roman" w:hAnsi="Times New Roman" w:cs="Times New Roman"/>
          <w:b/>
          <w:sz w:val="20"/>
          <w:szCs w:val="20"/>
        </w:rPr>
        <w:t>: Synthèse des résultats de la consultation du public</w:t>
      </w:r>
      <w:bookmarkEnd w:id="650"/>
      <w:bookmarkEnd w:id="651"/>
    </w:p>
    <w:p w:rsidR="00E81805" w:rsidRPr="000D0E23" w:rsidRDefault="00E81805" w:rsidP="000D0E23">
      <w:pPr>
        <w:jc w:val="center"/>
        <w:rPr>
          <w:rFonts w:ascii="Times New Roman" w:hAnsi="Times New Roman" w:cs="Times New Roman"/>
          <w:b/>
          <w:sz w:val="20"/>
          <w:szCs w:val="20"/>
        </w:rPr>
        <w:sectPr w:rsidR="00E81805" w:rsidRPr="000D0E23" w:rsidSect="00FD763C">
          <w:pgSz w:w="11906" w:h="16838"/>
          <w:pgMar w:top="851" w:right="566" w:bottom="1134" w:left="1417" w:header="284" w:footer="226" w:gutter="0"/>
          <w:cols w:space="708"/>
          <w:docGrid w:linePitch="360"/>
        </w:sectPr>
      </w:pPr>
    </w:p>
    <w:tbl>
      <w:tblPr>
        <w:tblW w:w="1530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88"/>
        <w:gridCol w:w="5592"/>
        <w:gridCol w:w="7229"/>
      </w:tblGrid>
      <w:tr w:rsidR="00E81805" w:rsidRPr="006C0C34" w:rsidTr="00320F4C">
        <w:trPr>
          <w:trHeight w:val="292"/>
          <w:tblHeader/>
          <w:jc w:val="center"/>
        </w:trPr>
        <w:tc>
          <w:tcPr>
            <w:tcW w:w="15309" w:type="dxa"/>
            <w:gridSpan w:val="3"/>
            <w:tcBorders>
              <w:top w:val="nil"/>
              <w:left w:val="nil"/>
              <w:bottom w:val="single" w:sz="4" w:space="0" w:color="000000"/>
              <w:right w:val="nil"/>
              <w:tl2br w:val="nil"/>
            </w:tcBorders>
            <w:shd w:val="clear" w:color="auto" w:fill="auto"/>
            <w:vAlign w:val="center"/>
          </w:tcPr>
          <w:p w:rsidR="00E81805" w:rsidRPr="006C0C34" w:rsidRDefault="00E81805" w:rsidP="00320F4C">
            <w:pPr>
              <w:autoSpaceDE w:val="0"/>
              <w:autoSpaceDN w:val="0"/>
              <w:adjustRightInd w:val="0"/>
              <w:spacing w:after="0" w:line="240" w:lineRule="auto"/>
              <w:jc w:val="both"/>
              <w:rPr>
                <w:rFonts w:ascii="Times New Roman" w:hAnsi="Times New Roman" w:cs="Times New Roman"/>
                <w:b/>
                <w:sz w:val="24"/>
                <w:szCs w:val="24"/>
                <w:lang w:eastAsia="fr-FR"/>
              </w:rPr>
            </w:pPr>
          </w:p>
        </w:tc>
      </w:tr>
      <w:tr w:rsidR="00E81805" w:rsidRPr="006C0C34" w:rsidTr="00320F4C">
        <w:trPr>
          <w:trHeight w:val="555"/>
          <w:tblHeader/>
          <w:jc w:val="center"/>
        </w:trPr>
        <w:tc>
          <w:tcPr>
            <w:tcW w:w="2488" w:type="dxa"/>
            <w:tcBorders>
              <w:top w:val="single" w:sz="4" w:space="0" w:color="000000"/>
              <w:tl2br w:val="single" w:sz="4" w:space="0" w:color="000000"/>
            </w:tcBorders>
            <w:shd w:val="clear" w:color="auto" w:fill="E2EFD9" w:themeFill="accent6" w:themeFillTint="33"/>
            <w:vAlign w:val="center"/>
          </w:tcPr>
          <w:p w:rsidR="00E81805" w:rsidRPr="006C0C34" w:rsidRDefault="00EE3027" w:rsidP="00320F4C">
            <w:pPr>
              <w:autoSpaceDE w:val="0"/>
              <w:autoSpaceDN w:val="0"/>
              <w:adjustRightInd w:val="0"/>
              <w:spacing w:after="0" w:line="240" w:lineRule="auto"/>
              <w:jc w:val="both"/>
              <w:rPr>
                <w:rFonts w:ascii="Times New Roman" w:hAnsi="Times New Roman" w:cs="Times New Roman"/>
                <w:b/>
                <w:sz w:val="24"/>
                <w:szCs w:val="24"/>
                <w:lang w:eastAsia="fr-FR"/>
              </w:rPr>
            </w:pPr>
            <w:r>
              <w:rPr>
                <w:rFonts w:ascii="Times New Roman" w:hAnsi="Times New Roman" w:cs="Times New Roman"/>
                <w:b/>
                <w:sz w:val="24"/>
                <w:szCs w:val="24"/>
                <w:lang w:eastAsia="fr-FR"/>
              </w:rPr>
              <w:t xml:space="preserve">                  </w:t>
            </w:r>
            <w:r w:rsidR="00E81805" w:rsidRPr="006C0C34">
              <w:rPr>
                <w:rFonts w:ascii="Times New Roman" w:hAnsi="Times New Roman" w:cs="Times New Roman"/>
                <w:b/>
                <w:sz w:val="24"/>
                <w:szCs w:val="24"/>
                <w:lang w:eastAsia="fr-FR"/>
              </w:rPr>
              <w:t>Réactions</w:t>
            </w:r>
          </w:p>
          <w:p w:rsidR="00E81805" w:rsidRPr="006C0C34" w:rsidRDefault="00E81805" w:rsidP="00320F4C">
            <w:pPr>
              <w:autoSpaceDE w:val="0"/>
              <w:autoSpaceDN w:val="0"/>
              <w:adjustRightInd w:val="0"/>
              <w:spacing w:after="0" w:line="240" w:lineRule="auto"/>
              <w:jc w:val="both"/>
              <w:rPr>
                <w:rFonts w:ascii="Times New Roman" w:hAnsi="Times New Roman" w:cs="Times New Roman"/>
                <w:b/>
                <w:sz w:val="24"/>
                <w:szCs w:val="24"/>
                <w:lang w:eastAsia="fr-FR"/>
              </w:rPr>
            </w:pPr>
            <w:r w:rsidRPr="006C0C34">
              <w:rPr>
                <w:rFonts w:ascii="Times New Roman" w:hAnsi="Times New Roman" w:cs="Times New Roman"/>
                <w:b/>
                <w:sz w:val="24"/>
                <w:szCs w:val="24"/>
                <w:lang w:eastAsia="fr-FR"/>
              </w:rPr>
              <w:t>Acteurs</w:t>
            </w:r>
          </w:p>
        </w:tc>
        <w:tc>
          <w:tcPr>
            <w:tcW w:w="5592" w:type="dxa"/>
            <w:tcBorders>
              <w:top w:val="single" w:sz="4" w:space="0" w:color="000000"/>
            </w:tcBorders>
            <w:shd w:val="clear" w:color="auto" w:fill="E2EFD9" w:themeFill="accent6" w:themeFillTint="33"/>
            <w:vAlign w:val="center"/>
          </w:tcPr>
          <w:p w:rsidR="00E81805" w:rsidRPr="006C0C34" w:rsidRDefault="00E81805" w:rsidP="00320F4C">
            <w:pPr>
              <w:autoSpaceDE w:val="0"/>
              <w:autoSpaceDN w:val="0"/>
              <w:adjustRightInd w:val="0"/>
              <w:spacing w:after="0" w:line="240" w:lineRule="auto"/>
              <w:jc w:val="both"/>
              <w:rPr>
                <w:rFonts w:ascii="Times New Roman" w:hAnsi="Times New Roman" w:cs="Times New Roman"/>
                <w:b/>
                <w:sz w:val="24"/>
                <w:szCs w:val="24"/>
                <w:lang w:eastAsia="fr-FR"/>
              </w:rPr>
            </w:pPr>
            <w:r w:rsidRPr="006C0C34">
              <w:rPr>
                <w:rFonts w:ascii="Times New Roman" w:hAnsi="Times New Roman" w:cs="Times New Roman"/>
                <w:b/>
                <w:sz w:val="24"/>
                <w:szCs w:val="24"/>
                <w:lang w:eastAsia="fr-FR"/>
              </w:rPr>
              <w:t>Perceptions et Préoccupations</w:t>
            </w:r>
          </w:p>
        </w:tc>
        <w:tc>
          <w:tcPr>
            <w:tcW w:w="7229" w:type="dxa"/>
            <w:tcBorders>
              <w:top w:val="single" w:sz="4" w:space="0" w:color="000000"/>
            </w:tcBorders>
            <w:shd w:val="clear" w:color="auto" w:fill="E2EFD9" w:themeFill="accent6" w:themeFillTint="33"/>
            <w:vAlign w:val="center"/>
          </w:tcPr>
          <w:p w:rsidR="00E81805" w:rsidRPr="006C0C34" w:rsidRDefault="00E81805" w:rsidP="00320F4C">
            <w:pPr>
              <w:autoSpaceDE w:val="0"/>
              <w:autoSpaceDN w:val="0"/>
              <w:adjustRightInd w:val="0"/>
              <w:spacing w:after="0" w:line="240" w:lineRule="auto"/>
              <w:jc w:val="both"/>
              <w:rPr>
                <w:rFonts w:ascii="Times New Roman" w:hAnsi="Times New Roman" w:cs="Times New Roman"/>
                <w:b/>
                <w:sz w:val="24"/>
                <w:szCs w:val="24"/>
                <w:lang w:eastAsia="fr-FR"/>
              </w:rPr>
            </w:pPr>
            <w:r w:rsidRPr="006C0C34">
              <w:rPr>
                <w:rFonts w:ascii="Times New Roman" w:hAnsi="Times New Roman" w:cs="Times New Roman"/>
                <w:b/>
                <w:sz w:val="24"/>
                <w:szCs w:val="24"/>
                <w:lang w:eastAsia="fr-FR"/>
              </w:rPr>
              <w:t>Attentes et Recommandations</w:t>
            </w:r>
          </w:p>
        </w:tc>
      </w:tr>
      <w:tr w:rsidR="00E81805" w:rsidRPr="006C0C34" w:rsidTr="00320F4C">
        <w:trPr>
          <w:trHeight w:val="1485"/>
          <w:jc w:val="center"/>
        </w:trPr>
        <w:tc>
          <w:tcPr>
            <w:tcW w:w="2488" w:type="dxa"/>
          </w:tcPr>
          <w:p w:rsidR="00E81805" w:rsidRPr="006C0C34" w:rsidRDefault="00E81805" w:rsidP="00320F4C">
            <w:pPr>
              <w:jc w:val="both"/>
              <w:rPr>
                <w:rFonts w:ascii="Times New Roman" w:hAnsi="Times New Roman" w:cs="Times New Roman"/>
                <w:b/>
                <w:sz w:val="24"/>
                <w:szCs w:val="24"/>
              </w:rPr>
            </w:pPr>
            <w:r w:rsidRPr="006C0C34">
              <w:rPr>
                <w:rFonts w:ascii="Times New Roman" w:hAnsi="Times New Roman" w:cs="Times New Roman"/>
                <w:b/>
                <w:sz w:val="24"/>
                <w:szCs w:val="24"/>
              </w:rPr>
              <w:t>Direction de l’Environnement AAAC (Autorité d’Evaluation Environnementale Compétente) de  Bissau</w:t>
            </w:r>
          </w:p>
        </w:tc>
        <w:tc>
          <w:tcPr>
            <w:tcW w:w="5592" w:type="dxa"/>
          </w:tcPr>
          <w:p w:rsidR="00E81805" w:rsidRPr="006C0C34" w:rsidRDefault="00E81805" w:rsidP="00FA3FAE">
            <w:pPr>
              <w:numPr>
                <w:ilvl w:val="0"/>
                <w:numId w:val="29"/>
              </w:numPr>
              <w:autoSpaceDE w:val="0"/>
              <w:autoSpaceDN w:val="0"/>
              <w:adjustRightInd w:val="0"/>
              <w:spacing w:after="0" w:line="240" w:lineRule="auto"/>
              <w:ind w:left="57" w:right="-79" w:hanging="108"/>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Projet d’une importance capitale pour la Guinée Bissau</w:t>
            </w:r>
          </w:p>
          <w:p w:rsidR="00E81805" w:rsidRPr="006C0C34" w:rsidRDefault="00E81805" w:rsidP="00FA3FAE">
            <w:pPr>
              <w:numPr>
                <w:ilvl w:val="0"/>
                <w:numId w:val="29"/>
              </w:numPr>
              <w:autoSpaceDE w:val="0"/>
              <w:autoSpaceDN w:val="0"/>
              <w:adjustRightInd w:val="0"/>
              <w:spacing w:after="0" w:line="240" w:lineRule="auto"/>
              <w:ind w:left="57" w:right="-79" w:hanging="108"/>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La Guinée Bissau a un problème lié à l’eau potable</w:t>
            </w:r>
          </w:p>
        </w:tc>
        <w:tc>
          <w:tcPr>
            <w:tcW w:w="7229" w:type="dxa"/>
          </w:tcPr>
          <w:p w:rsidR="00E81805" w:rsidRPr="006C0C34" w:rsidRDefault="00E81805" w:rsidP="00FA3FAE">
            <w:pPr>
              <w:numPr>
                <w:ilvl w:val="0"/>
                <w:numId w:val="29"/>
              </w:numPr>
              <w:autoSpaceDE w:val="0"/>
              <w:autoSpaceDN w:val="0"/>
              <w:adjustRightInd w:val="0"/>
              <w:spacing w:after="0" w:line="240" w:lineRule="auto"/>
              <w:ind w:left="57" w:hanging="108"/>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Achever les TDR avant l’EIES.</w:t>
            </w:r>
          </w:p>
          <w:p w:rsidR="00E81805" w:rsidRPr="006C0C34" w:rsidRDefault="00E81805" w:rsidP="00FA3FAE">
            <w:pPr>
              <w:numPr>
                <w:ilvl w:val="0"/>
                <w:numId w:val="29"/>
              </w:numPr>
              <w:autoSpaceDE w:val="0"/>
              <w:autoSpaceDN w:val="0"/>
              <w:adjustRightInd w:val="0"/>
              <w:spacing w:after="0" w:line="240" w:lineRule="auto"/>
              <w:ind w:left="57" w:hanging="108"/>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Veiller à ce que le plan d’action de réinstallation prend en charge les critère</w:t>
            </w:r>
            <w:r>
              <w:rPr>
                <w:rFonts w:ascii="Times New Roman" w:hAnsi="Times New Roman" w:cs="Times New Roman"/>
                <w:sz w:val="24"/>
                <w:szCs w:val="24"/>
                <w:lang w:eastAsia="fr-FR"/>
              </w:rPr>
              <w:t>s</w:t>
            </w:r>
            <w:r w:rsidRPr="006C0C34">
              <w:rPr>
                <w:rFonts w:ascii="Times New Roman" w:hAnsi="Times New Roman" w:cs="Times New Roman"/>
                <w:sz w:val="24"/>
                <w:szCs w:val="24"/>
                <w:lang w:eastAsia="fr-FR"/>
              </w:rPr>
              <w:t xml:space="preserve"> d’indemnisation</w:t>
            </w:r>
          </w:p>
          <w:p w:rsidR="00E81805" w:rsidRPr="006C0C34" w:rsidRDefault="00E81805" w:rsidP="00FA3FAE">
            <w:pPr>
              <w:numPr>
                <w:ilvl w:val="0"/>
                <w:numId w:val="29"/>
              </w:numPr>
              <w:autoSpaceDE w:val="0"/>
              <w:autoSpaceDN w:val="0"/>
              <w:adjustRightInd w:val="0"/>
              <w:spacing w:after="0" w:line="240" w:lineRule="auto"/>
              <w:ind w:left="57" w:hanging="108"/>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Veiller à ce que la budgétisation soit précis</w:t>
            </w:r>
            <w:r>
              <w:rPr>
                <w:rFonts w:ascii="Times New Roman" w:hAnsi="Times New Roman" w:cs="Times New Roman"/>
                <w:sz w:val="24"/>
                <w:szCs w:val="24"/>
                <w:lang w:eastAsia="fr-FR"/>
              </w:rPr>
              <w:t>ée</w:t>
            </w:r>
          </w:p>
        </w:tc>
      </w:tr>
      <w:tr w:rsidR="00E81805" w:rsidRPr="006C0C34" w:rsidTr="00320F4C">
        <w:trPr>
          <w:trHeight w:val="389"/>
          <w:jc w:val="center"/>
        </w:trPr>
        <w:tc>
          <w:tcPr>
            <w:tcW w:w="2488" w:type="dxa"/>
          </w:tcPr>
          <w:p w:rsidR="00E81805" w:rsidRPr="006C0C34" w:rsidRDefault="00E81805" w:rsidP="00320F4C">
            <w:pPr>
              <w:jc w:val="both"/>
              <w:rPr>
                <w:rFonts w:ascii="Times New Roman" w:hAnsi="Times New Roman" w:cs="Times New Roman"/>
                <w:b/>
                <w:sz w:val="24"/>
                <w:szCs w:val="24"/>
              </w:rPr>
            </w:pPr>
            <w:r w:rsidRPr="006C0C34">
              <w:rPr>
                <w:rFonts w:ascii="Times New Roman" w:hAnsi="Times New Roman" w:cs="Times New Roman"/>
                <w:b/>
                <w:sz w:val="24"/>
                <w:szCs w:val="24"/>
              </w:rPr>
              <w:t>Bureau PUASEE-FA/ Guinée Bissau</w:t>
            </w:r>
          </w:p>
        </w:tc>
        <w:tc>
          <w:tcPr>
            <w:tcW w:w="5592" w:type="dxa"/>
          </w:tcPr>
          <w:p w:rsidR="00E81805" w:rsidRPr="00401AD9" w:rsidRDefault="00E81805" w:rsidP="00320F4C">
            <w:pPr>
              <w:autoSpaceDE w:val="0"/>
              <w:autoSpaceDN w:val="0"/>
              <w:adjustRightInd w:val="0"/>
              <w:spacing w:after="0" w:line="240" w:lineRule="auto"/>
              <w:ind w:right="-79"/>
              <w:jc w:val="both"/>
              <w:rPr>
                <w:rFonts w:ascii="Times New Roman" w:hAnsi="Times New Roman"/>
                <w:sz w:val="24"/>
                <w:szCs w:val="24"/>
                <w:lang w:eastAsia="fr-FR"/>
              </w:rPr>
            </w:pPr>
            <w:r w:rsidRPr="00401AD9">
              <w:rPr>
                <w:rFonts w:ascii="Times New Roman" w:hAnsi="Times New Roman"/>
                <w:sz w:val="24"/>
                <w:szCs w:val="24"/>
                <w:lang w:eastAsia="fr-FR"/>
              </w:rPr>
              <w:t>Que la mission se passe dans les meilleures conditions possibles</w:t>
            </w:r>
          </w:p>
        </w:tc>
        <w:tc>
          <w:tcPr>
            <w:tcW w:w="7229" w:type="dxa"/>
          </w:tcPr>
          <w:p w:rsidR="00E81805" w:rsidRPr="006C0C34" w:rsidRDefault="00E81805" w:rsidP="00320F4C">
            <w:pPr>
              <w:autoSpaceDE w:val="0"/>
              <w:autoSpaceDN w:val="0"/>
              <w:adjustRightInd w:val="0"/>
              <w:spacing w:after="0" w:line="240" w:lineRule="auto"/>
              <w:ind w:left="57" w:right="-79"/>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Que le consultant respect</w:t>
            </w:r>
            <w:r>
              <w:rPr>
                <w:rFonts w:ascii="Times New Roman" w:hAnsi="Times New Roman" w:cs="Times New Roman"/>
                <w:sz w:val="24"/>
                <w:szCs w:val="24"/>
                <w:lang w:eastAsia="fr-FR"/>
              </w:rPr>
              <w:t>e</w:t>
            </w:r>
            <w:r w:rsidRPr="006C0C34">
              <w:rPr>
                <w:rFonts w:ascii="Times New Roman" w:hAnsi="Times New Roman" w:cs="Times New Roman"/>
                <w:sz w:val="24"/>
                <w:szCs w:val="24"/>
                <w:lang w:eastAsia="fr-FR"/>
              </w:rPr>
              <w:t xml:space="preserve"> les délais de dépôt des rapports comme convenu dans le contrat</w:t>
            </w:r>
          </w:p>
        </w:tc>
      </w:tr>
      <w:tr w:rsidR="00E81805" w:rsidRPr="006C0C34" w:rsidTr="00320F4C">
        <w:trPr>
          <w:trHeight w:val="389"/>
          <w:jc w:val="center"/>
        </w:trPr>
        <w:tc>
          <w:tcPr>
            <w:tcW w:w="2488" w:type="dxa"/>
          </w:tcPr>
          <w:p w:rsidR="00E81805" w:rsidRPr="006C0C34" w:rsidRDefault="00E81805" w:rsidP="00320F4C">
            <w:pPr>
              <w:jc w:val="both"/>
              <w:rPr>
                <w:rFonts w:ascii="Times New Roman" w:hAnsi="Times New Roman" w:cs="Times New Roman"/>
                <w:b/>
                <w:sz w:val="24"/>
                <w:szCs w:val="24"/>
              </w:rPr>
            </w:pPr>
            <w:r w:rsidRPr="006C0C34">
              <w:rPr>
                <w:rFonts w:ascii="Times New Roman" w:hAnsi="Times New Roman" w:cs="Times New Roman"/>
                <w:b/>
                <w:sz w:val="24"/>
                <w:szCs w:val="24"/>
              </w:rPr>
              <w:t>Direction des Eaux et Electricités de Guinée Bissau (EAGB)</w:t>
            </w:r>
          </w:p>
        </w:tc>
        <w:tc>
          <w:tcPr>
            <w:tcW w:w="5592" w:type="dxa"/>
          </w:tcPr>
          <w:p w:rsidR="00E81805" w:rsidRPr="006C0C34" w:rsidRDefault="00E81805" w:rsidP="00FA3FAE">
            <w:pPr>
              <w:pStyle w:val="PargrafodaLista"/>
              <w:numPr>
                <w:ilvl w:val="0"/>
                <w:numId w:val="29"/>
              </w:numPr>
              <w:autoSpaceDE w:val="0"/>
              <w:autoSpaceDN w:val="0"/>
              <w:adjustRightInd w:val="0"/>
              <w:spacing w:after="0" w:line="240" w:lineRule="auto"/>
              <w:ind w:right="-79"/>
              <w:jc w:val="both"/>
              <w:rPr>
                <w:rFonts w:ascii="Times New Roman" w:hAnsi="Times New Roman"/>
                <w:sz w:val="24"/>
                <w:szCs w:val="24"/>
                <w:lang w:eastAsia="fr-FR"/>
              </w:rPr>
            </w:pPr>
            <w:r w:rsidRPr="006C0C34">
              <w:rPr>
                <w:rFonts w:ascii="Times New Roman" w:hAnsi="Times New Roman"/>
                <w:sz w:val="24"/>
                <w:szCs w:val="24"/>
                <w:lang w:eastAsia="fr-FR"/>
              </w:rPr>
              <w:t>Projet très important pour la zone de Bissau</w:t>
            </w:r>
          </w:p>
          <w:p w:rsidR="00E81805" w:rsidRPr="006C0C34" w:rsidRDefault="00E81805" w:rsidP="00FA3FAE">
            <w:pPr>
              <w:pStyle w:val="PargrafodaLista"/>
              <w:numPr>
                <w:ilvl w:val="0"/>
                <w:numId w:val="29"/>
              </w:numPr>
              <w:autoSpaceDE w:val="0"/>
              <w:autoSpaceDN w:val="0"/>
              <w:adjustRightInd w:val="0"/>
              <w:spacing w:after="0" w:line="240" w:lineRule="auto"/>
              <w:ind w:right="-79"/>
              <w:jc w:val="both"/>
              <w:rPr>
                <w:rFonts w:ascii="Times New Roman" w:hAnsi="Times New Roman"/>
                <w:sz w:val="24"/>
                <w:szCs w:val="24"/>
                <w:lang w:eastAsia="fr-FR"/>
              </w:rPr>
            </w:pPr>
            <w:r w:rsidRPr="006C0C34">
              <w:rPr>
                <w:rFonts w:ascii="Times New Roman" w:hAnsi="Times New Roman"/>
                <w:sz w:val="24"/>
                <w:szCs w:val="24"/>
                <w:lang w:val="fr-FR" w:eastAsia="fr-FR"/>
              </w:rPr>
              <w:t>Le EAGB est prêt pour accompagner le projet</w:t>
            </w:r>
          </w:p>
        </w:tc>
        <w:tc>
          <w:tcPr>
            <w:tcW w:w="7229" w:type="dxa"/>
          </w:tcPr>
          <w:p w:rsidR="00E81805" w:rsidRPr="006C0C34" w:rsidRDefault="00E81805" w:rsidP="00FA3FAE">
            <w:pPr>
              <w:numPr>
                <w:ilvl w:val="0"/>
                <w:numId w:val="29"/>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Tenir en compte les impacts cumulatifs</w:t>
            </w:r>
          </w:p>
          <w:p w:rsidR="00E81805" w:rsidRPr="006C0C34" w:rsidRDefault="00E81805" w:rsidP="00FA3FAE">
            <w:pPr>
              <w:numPr>
                <w:ilvl w:val="0"/>
                <w:numId w:val="29"/>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Bien faire le tracé et bien identifier les sites</w:t>
            </w:r>
          </w:p>
          <w:p w:rsidR="00E81805" w:rsidRPr="006C0C34" w:rsidRDefault="00E81805" w:rsidP="00FA3FAE">
            <w:pPr>
              <w:numPr>
                <w:ilvl w:val="0"/>
                <w:numId w:val="29"/>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Toujours être accompagné des techniciens de EAGB pour faire le tracé et l’identification des sites</w:t>
            </w:r>
          </w:p>
          <w:p w:rsidR="00E81805" w:rsidRPr="006C0C34" w:rsidRDefault="00E81805" w:rsidP="00320F4C">
            <w:pPr>
              <w:autoSpaceDE w:val="0"/>
              <w:autoSpaceDN w:val="0"/>
              <w:adjustRightInd w:val="0"/>
              <w:spacing w:after="0" w:line="240" w:lineRule="auto"/>
              <w:ind w:left="57" w:right="-79"/>
              <w:jc w:val="both"/>
              <w:rPr>
                <w:rFonts w:ascii="Times New Roman" w:hAnsi="Times New Roman" w:cs="Times New Roman"/>
                <w:sz w:val="24"/>
                <w:szCs w:val="24"/>
                <w:lang w:eastAsia="fr-FR"/>
              </w:rPr>
            </w:pPr>
          </w:p>
        </w:tc>
      </w:tr>
      <w:tr w:rsidR="00E81805" w:rsidRPr="006C0C34" w:rsidTr="00320F4C">
        <w:trPr>
          <w:trHeight w:val="389"/>
          <w:jc w:val="center"/>
        </w:trPr>
        <w:tc>
          <w:tcPr>
            <w:tcW w:w="2488" w:type="dxa"/>
          </w:tcPr>
          <w:p w:rsidR="00E81805" w:rsidRPr="006C0C34" w:rsidRDefault="00E81805" w:rsidP="00320F4C">
            <w:pPr>
              <w:jc w:val="both"/>
              <w:rPr>
                <w:rFonts w:ascii="Times New Roman" w:hAnsi="Times New Roman" w:cs="Times New Roman"/>
                <w:b/>
                <w:sz w:val="24"/>
                <w:szCs w:val="24"/>
              </w:rPr>
            </w:pPr>
            <w:r w:rsidRPr="006C0C34">
              <w:rPr>
                <w:rFonts w:ascii="Times New Roman" w:hAnsi="Times New Roman" w:cs="Times New Roman"/>
                <w:b/>
                <w:sz w:val="24"/>
                <w:szCs w:val="24"/>
              </w:rPr>
              <w:t>Direction Générale de l’Energie</w:t>
            </w:r>
          </w:p>
        </w:tc>
        <w:tc>
          <w:tcPr>
            <w:tcW w:w="5592" w:type="dxa"/>
          </w:tcPr>
          <w:p w:rsidR="00E81805" w:rsidRPr="00401AD9" w:rsidRDefault="00E81805" w:rsidP="00FA3FAE">
            <w:pPr>
              <w:pStyle w:val="PargrafodaLista"/>
              <w:numPr>
                <w:ilvl w:val="0"/>
                <w:numId w:val="29"/>
              </w:numPr>
              <w:autoSpaceDE w:val="0"/>
              <w:autoSpaceDN w:val="0"/>
              <w:adjustRightInd w:val="0"/>
              <w:spacing w:after="0" w:line="240" w:lineRule="auto"/>
              <w:ind w:right="-79"/>
              <w:jc w:val="both"/>
              <w:rPr>
                <w:rFonts w:ascii="Times New Roman" w:hAnsi="Times New Roman"/>
                <w:sz w:val="24"/>
                <w:szCs w:val="24"/>
                <w:lang w:eastAsia="fr-FR"/>
              </w:rPr>
            </w:pPr>
            <w:r w:rsidRPr="00401AD9">
              <w:rPr>
                <w:rFonts w:ascii="Times New Roman" w:hAnsi="Times New Roman"/>
                <w:sz w:val="24"/>
                <w:szCs w:val="24"/>
                <w:lang w:eastAsia="fr-FR"/>
              </w:rPr>
              <w:t xml:space="preserve">Le projet vient à son heure </w:t>
            </w:r>
          </w:p>
          <w:p w:rsidR="00E81805" w:rsidRPr="00401AD9" w:rsidRDefault="00E81805" w:rsidP="00FA3FAE">
            <w:pPr>
              <w:pStyle w:val="PargrafodaLista"/>
              <w:numPr>
                <w:ilvl w:val="0"/>
                <w:numId w:val="29"/>
              </w:numPr>
              <w:autoSpaceDE w:val="0"/>
              <w:autoSpaceDN w:val="0"/>
              <w:adjustRightInd w:val="0"/>
              <w:spacing w:after="0" w:line="240" w:lineRule="auto"/>
              <w:ind w:right="-79"/>
              <w:jc w:val="both"/>
              <w:rPr>
                <w:rFonts w:ascii="Times New Roman" w:hAnsi="Times New Roman"/>
                <w:sz w:val="24"/>
                <w:szCs w:val="24"/>
                <w:lang w:eastAsia="fr-FR"/>
              </w:rPr>
            </w:pPr>
            <w:r w:rsidRPr="00401AD9">
              <w:rPr>
                <w:rFonts w:ascii="Times New Roman" w:hAnsi="Times New Roman"/>
                <w:sz w:val="24"/>
                <w:szCs w:val="24"/>
                <w:lang w:eastAsia="fr-FR"/>
              </w:rPr>
              <w:t>La Guinée devait depuis longtemps dépasser les problèmes d’accessibilité à l’eau potable</w:t>
            </w:r>
          </w:p>
        </w:tc>
        <w:tc>
          <w:tcPr>
            <w:tcW w:w="7229" w:type="dxa"/>
          </w:tcPr>
          <w:p w:rsidR="00E81805" w:rsidRPr="006C0C34" w:rsidRDefault="00E81805" w:rsidP="00320F4C">
            <w:pPr>
              <w:autoSpaceDE w:val="0"/>
              <w:autoSpaceDN w:val="0"/>
              <w:adjustRightInd w:val="0"/>
              <w:spacing w:after="0" w:line="240" w:lineRule="auto"/>
              <w:ind w:left="57" w:right="-79"/>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Le projet doit se référer sur :</w:t>
            </w:r>
          </w:p>
          <w:p w:rsidR="00E81805" w:rsidRPr="006C0C34" w:rsidRDefault="00E81805" w:rsidP="00FA3FAE">
            <w:pPr>
              <w:pStyle w:val="PargrafodaLista"/>
              <w:numPr>
                <w:ilvl w:val="0"/>
                <w:numId w:val="30"/>
              </w:numPr>
              <w:autoSpaceDE w:val="0"/>
              <w:autoSpaceDN w:val="0"/>
              <w:adjustRightInd w:val="0"/>
              <w:spacing w:after="0" w:line="240" w:lineRule="auto"/>
              <w:ind w:right="-79"/>
              <w:jc w:val="both"/>
              <w:rPr>
                <w:rFonts w:ascii="Times New Roman" w:hAnsi="Times New Roman"/>
                <w:sz w:val="24"/>
                <w:szCs w:val="24"/>
                <w:lang w:eastAsia="fr-FR"/>
              </w:rPr>
            </w:pPr>
            <w:r w:rsidRPr="006C0C34">
              <w:rPr>
                <w:rFonts w:ascii="Times New Roman" w:hAnsi="Times New Roman"/>
                <w:sz w:val="24"/>
                <w:szCs w:val="24"/>
                <w:lang w:val="fr-FR" w:eastAsia="fr-FR"/>
              </w:rPr>
              <w:t>L</w:t>
            </w:r>
            <w:r w:rsidRPr="006C0C34">
              <w:rPr>
                <w:rFonts w:ascii="Times New Roman" w:hAnsi="Times New Roman"/>
                <w:sz w:val="24"/>
                <w:szCs w:val="24"/>
                <w:lang w:eastAsia="fr-FR"/>
              </w:rPr>
              <w:t xml:space="preserve">a loi n°02 29 juin 2007 portant </w:t>
            </w:r>
            <w:r>
              <w:rPr>
                <w:rFonts w:ascii="Times New Roman" w:hAnsi="Times New Roman"/>
                <w:sz w:val="24"/>
                <w:szCs w:val="24"/>
                <w:lang w:val="fr-FR" w:eastAsia="fr-FR"/>
              </w:rPr>
              <w:t xml:space="preserve">sur </w:t>
            </w:r>
            <w:r w:rsidRPr="006C0C34">
              <w:rPr>
                <w:rFonts w:ascii="Times New Roman" w:hAnsi="Times New Roman"/>
                <w:sz w:val="24"/>
                <w:szCs w:val="24"/>
                <w:lang w:eastAsia="fr-FR"/>
              </w:rPr>
              <w:t>règlementation</w:t>
            </w:r>
            <w:r>
              <w:rPr>
                <w:rFonts w:ascii="Times New Roman" w:hAnsi="Times New Roman"/>
                <w:sz w:val="24"/>
                <w:szCs w:val="24"/>
                <w:lang w:val="fr-FR" w:eastAsia="fr-FR"/>
              </w:rPr>
              <w:t xml:space="preserve"> du</w:t>
            </w:r>
            <w:r w:rsidRPr="006C0C34">
              <w:rPr>
                <w:rFonts w:ascii="Times New Roman" w:hAnsi="Times New Roman"/>
                <w:sz w:val="24"/>
                <w:szCs w:val="24"/>
                <w:lang w:eastAsia="fr-FR"/>
              </w:rPr>
              <w:t xml:space="preserve"> transport de l’eau et de l’électricité dans le secteur Bissau</w:t>
            </w:r>
          </w:p>
          <w:p w:rsidR="00E81805" w:rsidRPr="006C0C34" w:rsidRDefault="00E81805" w:rsidP="00FA3FAE">
            <w:pPr>
              <w:pStyle w:val="PargrafodaLista"/>
              <w:numPr>
                <w:ilvl w:val="0"/>
                <w:numId w:val="30"/>
              </w:numPr>
              <w:autoSpaceDE w:val="0"/>
              <w:autoSpaceDN w:val="0"/>
              <w:adjustRightInd w:val="0"/>
              <w:spacing w:after="0" w:line="240" w:lineRule="auto"/>
              <w:ind w:right="-79"/>
              <w:jc w:val="both"/>
              <w:rPr>
                <w:rFonts w:ascii="Times New Roman" w:hAnsi="Times New Roman"/>
                <w:sz w:val="24"/>
                <w:szCs w:val="24"/>
                <w:lang w:eastAsia="fr-FR"/>
              </w:rPr>
            </w:pPr>
            <w:r w:rsidRPr="006C0C34">
              <w:rPr>
                <w:rFonts w:ascii="Times New Roman" w:hAnsi="Times New Roman"/>
                <w:sz w:val="24"/>
                <w:szCs w:val="24"/>
                <w:lang w:val="fr-FR" w:eastAsia="fr-FR"/>
              </w:rPr>
              <w:t>Décret n°03 29 juin 2007 condition d’obtention de licence pour l’électricité et sa production</w:t>
            </w:r>
          </w:p>
          <w:p w:rsidR="00E81805" w:rsidRPr="006C0C34" w:rsidRDefault="00E81805" w:rsidP="00FA3FAE">
            <w:pPr>
              <w:pStyle w:val="PargrafodaLista"/>
              <w:numPr>
                <w:ilvl w:val="0"/>
                <w:numId w:val="30"/>
              </w:numPr>
              <w:autoSpaceDE w:val="0"/>
              <w:autoSpaceDN w:val="0"/>
              <w:adjustRightInd w:val="0"/>
              <w:spacing w:after="0" w:line="240" w:lineRule="auto"/>
              <w:ind w:right="-79"/>
              <w:jc w:val="both"/>
              <w:rPr>
                <w:rFonts w:ascii="Times New Roman" w:hAnsi="Times New Roman"/>
                <w:sz w:val="24"/>
                <w:szCs w:val="24"/>
                <w:lang w:eastAsia="fr-FR"/>
              </w:rPr>
            </w:pPr>
            <w:r w:rsidRPr="006C0C34">
              <w:rPr>
                <w:rFonts w:ascii="Times New Roman" w:hAnsi="Times New Roman"/>
                <w:sz w:val="24"/>
                <w:szCs w:val="24"/>
                <w:lang w:val="fr-FR" w:eastAsia="fr-FR"/>
              </w:rPr>
              <w:t>Se référer à l’autorité de régulation régional</w:t>
            </w:r>
            <w:r>
              <w:rPr>
                <w:rFonts w:ascii="Times New Roman" w:hAnsi="Times New Roman"/>
                <w:sz w:val="24"/>
                <w:szCs w:val="24"/>
                <w:lang w:val="fr-FR" w:eastAsia="fr-FR"/>
              </w:rPr>
              <w:t>e</w:t>
            </w:r>
            <w:r w:rsidRPr="006C0C34">
              <w:rPr>
                <w:rFonts w:ascii="Times New Roman" w:hAnsi="Times New Roman"/>
                <w:sz w:val="24"/>
                <w:szCs w:val="24"/>
                <w:lang w:val="fr-FR" w:eastAsia="fr-FR"/>
              </w:rPr>
              <w:t xml:space="preserve"> c’est-à-dire l’organe qui régule la vente transfrontalière cré</w:t>
            </w:r>
            <w:r>
              <w:rPr>
                <w:rFonts w:ascii="Times New Roman" w:hAnsi="Times New Roman"/>
                <w:sz w:val="24"/>
                <w:szCs w:val="24"/>
                <w:lang w:val="fr-FR" w:eastAsia="fr-FR"/>
              </w:rPr>
              <w:t>é</w:t>
            </w:r>
            <w:r w:rsidRPr="006C0C34">
              <w:rPr>
                <w:rFonts w:ascii="Times New Roman" w:hAnsi="Times New Roman"/>
                <w:sz w:val="24"/>
                <w:szCs w:val="24"/>
                <w:lang w:val="fr-FR" w:eastAsia="fr-FR"/>
              </w:rPr>
              <w:t xml:space="preserve"> en 2007 </w:t>
            </w:r>
          </w:p>
          <w:p w:rsidR="00E81805" w:rsidRPr="006C0C34" w:rsidRDefault="00E81805" w:rsidP="00320F4C">
            <w:pPr>
              <w:autoSpaceDE w:val="0"/>
              <w:autoSpaceDN w:val="0"/>
              <w:adjustRightInd w:val="0"/>
              <w:spacing w:after="0" w:line="240" w:lineRule="auto"/>
              <w:ind w:left="57" w:right="-79"/>
              <w:jc w:val="both"/>
              <w:rPr>
                <w:rFonts w:ascii="Times New Roman" w:hAnsi="Times New Roman" w:cs="Times New Roman"/>
                <w:sz w:val="24"/>
                <w:szCs w:val="24"/>
                <w:lang w:val="x-none" w:eastAsia="fr-FR"/>
              </w:rPr>
            </w:pPr>
          </w:p>
        </w:tc>
      </w:tr>
      <w:tr w:rsidR="00E81805" w:rsidRPr="006C0C34" w:rsidTr="00320F4C">
        <w:trPr>
          <w:trHeight w:val="409"/>
          <w:jc w:val="center"/>
        </w:trPr>
        <w:tc>
          <w:tcPr>
            <w:tcW w:w="2488" w:type="dxa"/>
          </w:tcPr>
          <w:p w:rsidR="00E81805" w:rsidRPr="006C0C34" w:rsidRDefault="00E81805" w:rsidP="00320F4C">
            <w:pPr>
              <w:jc w:val="both"/>
              <w:rPr>
                <w:rFonts w:ascii="Times New Roman" w:hAnsi="Times New Roman" w:cs="Times New Roman"/>
                <w:b/>
                <w:sz w:val="24"/>
                <w:szCs w:val="24"/>
              </w:rPr>
            </w:pPr>
            <w:r w:rsidRPr="006C0C34">
              <w:rPr>
                <w:rFonts w:ascii="Times New Roman" w:hAnsi="Times New Roman" w:cs="Times New Roman"/>
                <w:b/>
                <w:sz w:val="24"/>
                <w:szCs w:val="24"/>
              </w:rPr>
              <w:t>Institut National de la Métrologie de Bissau</w:t>
            </w:r>
          </w:p>
        </w:tc>
        <w:tc>
          <w:tcPr>
            <w:tcW w:w="5592" w:type="dxa"/>
          </w:tcPr>
          <w:p w:rsidR="00E81805" w:rsidRPr="006C0C34" w:rsidRDefault="00E81805" w:rsidP="00FA3FAE">
            <w:pPr>
              <w:numPr>
                <w:ilvl w:val="0"/>
                <w:numId w:val="29"/>
              </w:numPr>
              <w:autoSpaceDE w:val="0"/>
              <w:autoSpaceDN w:val="0"/>
              <w:adjustRightInd w:val="0"/>
              <w:spacing w:after="0" w:line="240" w:lineRule="auto"/>
              <w:ind w:left="57" w:right="-79" w:hanging="108"/>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 xml:space="preserve"> Le projet est très attendu dans la zone car l’eau potable est une nécessité pour la population</w:t>
            </w:r>
          </w:p>
          <w:p w:rsidR="00E81805" w:rsidRPr="006C0C34" w:rsidRDefault="00E81805" w:rsidP="00FA3FAE">
            <w:pPr>
              <w:numPr>
                <w:ilvl w:val="0"/>
                <w:numId w:val="29"/>
              </w:numPr>
              <w:autoSpaceDE w:val="0"/>
              <w:autoSpaceDN w:val="0"/>
              <w:adjustRightInd w:val="0"/>
              <w:spacing w:after="0" w:line="240" w:lineRule="auto"/>
              <w:ind w:left="57" w:right="-79" w:hanging="108"/>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 xml:space="preserve"> Problème avec l’appareil qui aide à faire la ros</w:t>
            </w:r>
            <w:r>
              <w:rPr>
                <w:rFonts w:ascii="Times New Roman" w:hAnsi="Times New Roman" w:cs="Times New Roman"/>
                <w:sz w:val="24"/>
                <w:szCs w:val="24"/>
                <w:lang w:eastAsia="fr-FR"/>
              </w:rPr>
              <w:t>e</w:t>
            </w:r>
            <w:r w:rsidRPr="006C0C34">
              <w:rPr>
                <w:rFonts w:ascii="Times New Roman" w:hAnsi="Times New Roman" w:cs="Times New Roman"/>
                <w:sz w:val="24"/>
                <w:szCs w:val="24"/>
                <w:lang w:eastAsia="fr-FR"/>
              </w:rPr>
              <w:t xml:space="preserve"> des vents.</w:t>
            </w:r>
          </w:p>
        </w:tc>
        <w:tc>
          <w:tcPr>
            <w:tcW w:w="7229" w:type="dxa"/>
          </w:tcPr>
          <w:p w:rsidR="00E81805" w:rsidRPr="006C0C34" w:rsidRDefault="00E81805" w:rsidP="00320F4C">
            <w:pPr>
              <w:autoSpaceDE w:val="0"/>
              <w:autoSpaceDN w:val="0"/>
              <w:adjustRightInd w:val="0"/>
              <w:spacing w:after="0" w:line="240" w:lineRule="auto"/>
              <w:ind w:right="-79"/>
              <w:jc w:val="both"/>
              <w:rPr>
                <w:rFonts w:ascii="Times New Roman" w:hAnsi="Times New Roman" w:cs="Times New Roman"/>
                <w:sz w:val="24"/>
                <w:szCs w:val="24"/>
                <w:lang w:eastAsia="fr-FR"/>
              </w:rPr>
            </w:pPr>
          </w:p>
          <w:p w:rsidR="00E81805" w:rsidRPr="006C0C34" w:rsidRDefault="00E81805" w:rsidP="00FA3FAE">
            <w:pPr>
              <w:numPr>
                <w:ilvl w:val="0"/>
                <w:numId w:val="29"/>
              </w:numPr>
              <w:autoSpaceDE w:val="0"/>
              <w:autoSpaceDN w:val="0"/>
              <w:adjustRightInd w:val="0"/>
              <w:spacing w:after="0" w:line="240" w:lineRule="auto"/>
              <w:ind w:left="57" w:right="-79" w:hanging="108"/>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Se baser sur les données climatiques de la zone lors des travaux</w:t>
            </w:r>
          </w:p>
        </w:tc>
      </w:tr>
      <w:tr w:rsidR="00E81805" w:rsidRPr="006C0C34" w:rsidTr="00320F4C">
        <w:trPr>
          <w:trHeight w:val="409"/>
          <w:jc w:val="center"/>
        </w:trPr>
        <w:tc>
          <w:tcPr>
            <w:tcW w:w="2488" w:type="dxa"/>
          </w:tcPr>
          <w:p w:rsidR="00E81805" w:rsidRPr="006C0C34" w:rsidRDefault="00E81805" w:rsidP="00320F4C">
            <w:pPr>
              <w:jc w:val="both"/>
              <w:rPr>
                <w:rFonts w:ascii="Times New Roman" w:hAnsi="Times New Roman" w:cs="Times New Roman"/>
                <w:b/>
                <w:sz w:val="24"/>
                <w:szCs w:val="24"/>
              </w:rPr>
            </w:pPr>
            <w:r w:rsidRPr="006C0C34">
              <w:rPr>
                <w:rFonts w:ascii="Times New Roman" w:hAnsi="Times New Roman" w:cs="Times New Roman"/>
                <w:b/>
                <w:sz w:val="24"/>
                <w:szCs w:val="24"/>
              </w:rPr>
              <w:t xml:space="preserve">Direction des mines et de la géologie </w:t>
            </w:r>
          </w:p>
        </w:tc>
        <w:tc>
          <w:tcPr>
            <w:tcW w:w="5592" w:type="dxa"/>
          </w:tcPr>
          <w:p w:rsidR="00E81805" w:rsidRPr="006C0C34" w:rsidRDefault="00E81805" w:rsidP="00FA3FAE">
            <w:pPr>
              <w:numPr>
                <w:ilvl w:val="0"/>
                <w:numId w:val="29"/>
              </w:numPr>
              <w:autoSpaceDE w:val="0"/>
              <w:autoSpaceDN w:val="0"/>
              <w:adjustRightInd w:val="0"/>
              <w:spacing w:after="0" w:line="240" w:lineRule="auto"/>
              <w:ind w:left="57" w:right="-79" w:hanging="108"/>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Prêt à accompagner le projet</w:t>
            </w:r>
          </w:p>
        </w:tc>
        <w:tc>
          <w:tcPr>
            <w:tcW w:w="7229" w:type="dxa"/>
          </w:tcPr>
          <w:p w:rsidR="00E81805" w:rsidRPr="00401AD9" w:rsidRDefault="00E81805" w:rsidP="00FA3FAE">
            <w:pPr>
              <w:pStyle w:val="PargrafodaLista"/>
              <w:numPr>
                <w:ilvl w:val="0"/>
                <w:numId w:val="29"/>
              </w:numPr>
              <w:autoSpaceDE w:val="0"/>
              <w:autoSpaceDN w:val="0"/>
              <w:adjustRightInd w:val="0"/>
              <w:spacing w:after="0" w:line="240" w:lineRule="auto"/>
              <w:ind w:right="-79"/>
              <w:jc w:val="both"/>
              <w:rPr>
                <w:rFonts w:ascii="Times New Roman" w:hAnsi="Times New Roman"/>
                <w:sz w:val="24"/>
                <w:szCs w:val="24"/>
                <w:lang w:eastAsia="fr-FR"/>
              </w:rPr>
            </w:pPr>
            <w:r w:rsidRPr="00401AD9">
              <w:rPr>
                <w:rFonts w:ascii="Times New Roman" w:hAnsi="Times New Roman"/>
                <w:sz w:val="24"/>
                <w:szCs w:val="24"/>
                <w:lang w:eastAsia="fr-FR"/>
              </w:rPr>
              <w:t>Veiller à la fermeture des tranché</w:t>
            </w:r>
            <w:r>
              <w:rPr>
                <w:rFonts w:ascii="Times New Roman" w:hAnsi="Times New Roman"/>
                <w:sz w:val="24"/>
                <w:szCs w:val="24"/>
                <w:lang w:val="fr-FR" w:eastAsia="fr-FR"/>
              </w:rPr>
              <w:t>e</w:t>
            </w:r>
            <w:r w:rsidRPr="00401AD9">
              <w:rPr>
                <w:rFonts w:ascii="Times New Roman" w:hAnsi="Times New Roman"/>
                <w:sz w:val="24"/>
                <w:szCs w:val="24"/>
                <w:lang w:eastAsia="fr-FR"/>
              </w:rPr>
              <w:t xml:space="preserve">s après les travaux </w:t>
            </w:r>
          </w:p>
          <w:p w:rsidR="00E81805" w:rsidRPr="00401AD9" w:rsidRDefault="00E81805" w:rsidP="00FA3FAE">
            <w:pPr>
              <w:pStyle w:val="PargrafodaLista"/>
              <w:numPr>
                <w:ilvl w:val="0"/>
                <w:numId w:val="29"/>
              </w:numPr>
              <w:autoSpaceDE w:val="0"/>
              <w:autoSpaceDN w:val="0"/>
              <w:adjustRightInd w:val="0"/>
              <w:spacing w:after="0" w:line="240" w:lineRule="auto"/>
              <w:ind w:right="-79"/>
              <w:jc w:val="both"/>
              <w:rPr>
                <w:rFonts w:ascii="Times New Roman" w:hAnsi="Times New Roman"/>
                <w:sz w:val="24"/>
                <w:szCs w:val="24"/>
                <w:lang w:eastAsia="fr-FR"/>
              </w:rPr>
            </w:pPr>
            <w:r w:rsidRPr="00401AD9">
              <w:rPr>
                <w:rFonts w:ascii="Times New Roman" w:hAnsi="Times New Roman"/>
                <w:sz w:val="24"/>
                <w:szCs w:val="24"/>
                <w:lang w:eastAsia="fr-FR"/>
              </w:rPr>
              <w:t>Respecter les études préalable</w:t>
            </w:r>
            <w:r>
              <w:rPr>
                <w:rFonts w:ascii="Times New Roman" w:hAnsi="Times New Roman"/>
                <w:sz w:val="24"/>
                <w:szCs w:val="24"/>
                <w:lang w:val="fr-FR" w:eastAsia="fr-FR"/>
              </w:rPr>
              <w:t>s</w:t>
            </w:r>
            <w:r w:rsidRPr="00401AD9">
              <w:rPr>
                <w:rFonts w:ascii="Times New Roman" w:hAnsi="Times New Roman"/>
                <w:sz w:val="24"/>
                <w:szCs w:val="24"/>
                <w:lang w:eastAsia="fr-FR"/>
              </w:rPr>
              <w:t xml:space="preserve"> pour les mines et l’exploitation des carrières</w:t>
            </w:r>
          </w:p>
        </w:tc>
      </w:tr>
      <w:tr w:rsidR="00E81805" w:rsidRPr="006C0C34" w:rsidTr="00320F4C">
        <w:trPr>
          <w:trHeight w:val="979"/>
          <w:jc w:val="center"/>
        </w:trPr>
        <w:tc>
          <w:tcPr>
            <w:tcW w:w="2488" w:type="dxa"/>
            <w:tcBorders>
              <w:bottom w:val="single" w:sz="4" w:space="0" w:color="000000"/>
            </w:tcBorders>
          </w:tcPr>
          <w:p w:rsidR="00E81805" w:rsidRPr="006C0C34" w:rsidRDefault="00E81805" w:rsidP="00320F4C">
            <w:pPr>
              <w:jc w:val="both"/>
              <w:rPr>
                <w:rFonts w:ascii="Times New Roman" w:hAnsi="Times New Roman" w:cs="Times New Roman"/>
                <w:b/>
                <w:sz w:val="24"/>
                <w:szCs w:val="24"/>
              </w:rPr>
            </w:pPr>
            <w:r w:rsidRPr="006C0C34">
              <w:rPr>
                <w:rFonts w:ascii="Times New Roman" w:hAnsi="Times New Roman" w:cs="Times New Roman"/>
                <w:b/>
                <w:sz w:val="24"/>
                <w:szCs w:val="24"/>
              </w:rPr>
              <w:lastRenderedPageBreak/>
              <w:t xml:space="preserve">Institut Portuaire Maritime </w:t>
            </w:r>
          </w:p>
          <w:p w:rsidR="00E81805" w:rsidRPr="006C0C34" w:rsidRDefault="00E81805" w:rsidP="00320F4C">
            <w:pPr>
              <w:jc w:val="both"/>
              <w:rPr>
                <w:rFonts w:ascii="Times New Roman" w:hAnsi="Times New Roman" w:cs="Times New Roman"/>
                <w:b/>
                <w:sz w:val="24"/>
                <w:szCs w:val="24"/>
              </w:rPr>
            </w:pPr>
          </w:p>
        </w:tc>
        <w:tc>
          <w:tcPr>
            <w:tcW w:w="5592" w:type="dxa"/>
            <w:tcBorders>
              <w:bottom w:val="single" w:sz="4" w:space="0" w:color="000000"/>
            </w:tcBorders>
          </w:tcPr>
          <w:p w:rsidR="00E81805" w:rsidRPr="006C0C34" w:rsidRDefault="00E81805" w:rsidP="00FA3FAE">
            <w:pPr>
              <w:numPr>
                <w:ilvl w:val="0"/>
                <w:numId w:val="29"/>
              </w:numPr>
              <w:spacing w:after="0" w:line="240" w:lineRule="auto"/>
              <w:ind w:left="57" w:right="-79" w:hanging="108"/>
              <w:jc w:val="both"/>
              <w:rPr>
                <w:rFonts w:ascii="Times New Roman" w:hAnsi="Times New Roman" w:cs="Times New Roman"/>
                <w:sz w:val="24"/>
                <w:szCs w:val="24"/>
              </w:rPr>
            </w:pPr>
            <w:r w:rsidRPr="006C0C34">
              <w:rPr>
                <w:rFonts w:ascii="Times New Roman" w:hAnsi="Times New Roman" w:cs="Times New Roman"/>
                <w:sz w:val="24"/>
                <w:szCs w:val="24"/>
              </w:rPr>
              <w:t>Projet très important</w:t>
            </w:r>
          </w:p>
        </w:tc>
        <w:tc>
          <w:tcPr>
            <w:tcW w:w="7229" w:type="dxa"/>
            <w:tcBorders>
              <w:bottom w:val="single" w:sz="4" w:space="0" w:color="000000"/>
            </w:tcBorders>
          </w:tcPr>
          <w:p w:rsidR="00E81805" w:rsidRPr="006C0C34" w:rsidRDefault="00E81805" w:rsidP="00FA3FAE">
            <w:pPr>
              <w:numPr>
                <w:ilvl w:val="0"/>
                <w:numId w:val="29"/>
              </w:numPr>
              <w:spacing w:after="0" w:line="240" w:lineRule="auto"/>
              <w:ind w:left="57" w:right="-79" w:hanging="108"/>
              <w:jc w:val="both"/>
              <w:rPr>
                <w:rFonts w:ascii="Times New Roman" w:hAnsi="Times New Roman" w:cs="Times New Roman"/>
                <w:sz w:val="24"/>
                <w:szCs w:val="24"/>
              </w:rPr>
            </w:pPr>
            <w:r w:rsidRPr="006C0C34">
              <w:rPr>
                <w:rFonts w:ascii="Times New Roman" w:hAnsi="Times New Roman" w:cs="Times New Roman"/>
                <w:sz w:val="24"/>
                <w:szCs w:val="24"/>
              </w:rPr>
              <w:t>Respecter le domaine maritime publi</w:t>
            </w:r>
            <w:r>
              <w:rPr>
                <w:rFonts w:ascii="Times New Roman" w:hAnsi="Times New Roman" w:cs="Times New Roman"/>
                <w:sz w:val="24"/>
                <w:szCs w:val="24"/>
              </w:rPr>
              <w:t>c</w:t>
            </w:r>
          </w:p>
          <w:p w:rsidR="00E81805" w:rsidRPr="006C0C34" w:rsidRDefault="00E81805" w:rsidP="00FA3FAE">
            <w:pPr>
              <w:numPr>
                <w:ilvl w:val="0"/>
                <w:numId w:val="29"/>
              </w:numPr>
              <w:spacing w:after="0" w:line="240" w:lineRule="auto"/>
              <w:ind w:left="57" w:right="-79" w:hanging="108"/>
              <w:jc w:val="both"/>
              <w:rPr>
                <w:rFonts w:ascii="Times New Roman" w:hAnsi="Times New Roman" w:cs="Times New Roman"/>
                <w:sz w:val="24"/>
                <w:szCs w:val="24"/>
              </w:rPr>
            </w:pPr>
            <w:r w:rsidRPr="006C0C34">
              <w:rPr>
                <w:rFonts w:ascii="Times New Roman" w:hAnsi="Times New Roman" w:cs="Times New Roman"/>
                <w:sz w:val="24"/>
                <w:szCs w:val="24"/>
              </w:rPr>
              <w:t>Impliquer les services sur le projet</w:t>
            </w:r>
          </w:p>
          <w:p w:rsidR="00E81805" w:rsidRPr="006C0C34" w:rsidRDefault="00E81805" w:rsidP="00FA3FAE">
            <w:pPr>
              <w:numPr>
                <w:ilvl w:val="0"/>
                <w:numId w:val="29"/>
              </w:numPr>
              <w:spacing w:after="0" w:line="240" w:lineRule="auto"/>
              <w:ind w:left="57" w:right="-79" w:hanging="108"/>
              <w:jc w:val="both"/>
              <w:rPr>
                <w:rFonts w:ascii="Times New Roman" w:hAnsi="Times New Roman" w:cs="Times New Roman"/>
                <w:sz w:val="24"/>
                <w:szCs w:val="24"/>
              </w:rPr>
            </w:pPr>
            <w:r w:rsidRPr="006C0C34">
              <w:rPr>
                <w:rFonts w:ascii="Times New Roman" w:hAnsi="Times New Roman" w:cs="Times New Roman"/>
                <w:sz w:val="24"/>
                <w:szCs w:val="24"/>
              </w:rPr>
              <w:t>Impliquer aussi la population concernée</w:t>
            </w:r>
          </w:p>
        </w:tc>
      </w:tr>
      <w:tr w:rsidR="00E81805" w:rsidRPr="006C0C34" w:rsidTr="00320F4C">
        <w:trPr>
          <w:trHeight w:val="405"/>
          <w:jc w:val="center"/>
        </w:trPr>
        <w:tc>
          <w:tcPr>
            <w:tcW w:w="2488" w:type="dxa"/>
            <w:tcBorders>
              <w:bottom w:val="single" w:sz="4" w:space="0" w:color="000000"/>
            </w:tcBorders>
          </w:tcPr>
          <w:p w:rsidR="00E81805" w:rsidRPr="006C0C34" w:rsidRDefault="00E81805" w:rsidP="00320F4C">
            <w:pPr>
              <w:jc w:val="both"/>
              <w:rPr>
                <w:rFonts w:ascii="Times New Roman" w:hAnsi="Times New Roman" w:cs="Times New Roman"/>
                <w:b/>
                <w:sz w:val="24"/>
                <w:szCs w:val="24"/>
              </w:rPr>
            </w:pPr>
            <w:r w:rsidRPr="006C0C34">
              <w:rPr>
                <w:rFonts w:ascii="Times New Roman" w:hAnsi="Times New Roman" w:cs="Times New Roman"/>
                <w:b/>
                <w:sz w:val="24"/>
                <w:szCs w:val="24"/>
              </w:rPr>
              <w:t>UICN</w:t>
            </w:r>
          </w:p>
        </w:tc>
        <w:tc>
          <w:tcPr>
            <w:tcW w:w="5592" w:type="dxa"/>
            <w:tcBorders>
              <w:bottom w:val="single" w:sz="4" w:space="0" w:color="000000"/>
            </w:tcBorders>
          </w:tcPr>
          <w:p w:rsidR="00E81805" w:rsidRPr="006C0C34" w:rsidRDefault="00E81805" w:rsidP="00FA3FAE">
            <w:pPr>
              <w:numPr>
                <w:ilvl w:val="0"/>
                <w:numId w:val="29"/>
              </w:numPr>
              <w:spacing w:after="0" w:line="240" w:lineRule="auto"/>
              <w:ind w:left="57" w:right="-79" w:hanging="108"/>
              <w:jc w:val="both"/>
              <w:rPr>
                <w:rFonts w:ascii="Times New Roman" w:hAnsi="Times New Roman" w:cs="Times New Roman"/>
                <w:sz w:val="24"/>
                <w:szCs w:val="24"/>
              </w:rPr>
            </w:pPr>
            <w:r w:rsidRPr="006C0C34">
              <w:rPr>
                <w:rFonts w:ascii="Times New Roman" w:hAnsi="Times New Roman" w:cs="Times New Roman"/>
                <w:sz w:val="24"/>
                <w:szCs w:val="24"/>
              </w:rPr>
              <w:t>Projet très intéressant pour la zone et les population</w:t>
            </w:r>
            <w:r>
              <w:rPr>
                <w:rFonts w:ascii="Times New Roman" w:hAnsi="Times New Roman" w:cs="Times New Roman"/>
                <w:sz w:val="24"/>
                <w:szCs w:val="24"/>
              </w:rPr>
              <w:t>s</w:t>
            </w:r>
          </w:p>
        </w:tc>
        <w:tc>
          <w:tcPr>
            <w:tcW w:w="7229" w:type="dxa"/>
            <w:tcBorders>
              <w:bottom w:val="single" w:sz="4" w:space="0" w:color="000000"/>
            </w:tcBorders>
          </w:tcPr>
          <w:p w:rsidR="00E81805" w:rsidRPr="006C0C34" w:rsidRDefault="00E81805" w:rsidP="00FA3FAE">
            <w:pPr>
              <w:numPr>
                <w:ilvl w:val="0"/>
                <w:numId w:val="29"/>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Evaluer et déterminer les espèces de la biodiversité pour minimiser les impacts</w:t>
            </w:r>
          </w:p>
          <w:p w:rsidR="00E81805" w:rsidRPr="006C0C34" w:rsidRDefault="00E81805" w:rsidP="00FA3FAE">
            <w:pPr>
              <w:numPr>
                <w:ilvl w:val="0"/>
                <w:numId w:val="29"/>
              </w:numPr>
              <w:spacing w:after="0" w:line="240" w:lineRule="auto"/>
              <w:ind w:left="57" w:right="-79" w:hanging="108"/>
              <w:jc w:val="both"/>
              <w:rPr>
                <w:rFonts w:ascii="Times New Roman" w:hAnsi="Times New Roman" w:cs="Times New Roman"/>
                <w:sz w:val="24"/>
                <w:szCs w:val="24"/>
              </w:rPr>
            </w:pPr>
            <w:r w:rsidRPr="006C0C34">
              <w:rPr>
                <w:rFonts w:ascii="Times New Roman" w:hAnsi="Times New Roman" w:cs="Times New Roman"/>
                <w:sz w:val="24"/>
                <w:szCs w:val="24"/>
              </w:rPr>
              <w:t xml:space="preserve"> Penser à la compensation des pertes végétales</w:t>
            </w:r>
          </w:p>
        </w:tc>
      </w:tr>
      <w:tr w:rsidR="00E81805" w:rsidRPr="006C0C34" w:rsidTr="00320F4C">
        <w:trPr>
          <w:trHeight w:val="411"/>
          <w:jc w:val="center"/>
        </w:trPr>
        <w:tc>
          <w:tcPr>
            <w:tcW w:w="2488" w:type="dxa"/>
            <w:tcBorders>
              <w:top w:val="nil"/>
            </w:tcBorders>
          </w:tcPr>
          <w:p w:rsidR="00E81805" w:rsidRPr="006C0C34" w:rsidRDefault="00E81805" w:rsidP="00320F4C">
            <w:pPr>
              <w:jc w:val="both"/>
              <w:rPr>
                <w:rFonts w:ascii="Times New Roman" w:hAnsi="Times New Roman" w:cs="Times New Roman"/>
                <w:b/>
                <w:sz w:val="24"/>
                <w:szCs w:val="24"/>
              </w:rPr>
            </w:pPr>
            <w:r w:rsidRPr="006C0C34">
              <w:rPr>
                <w:rFonts w:ascii="Times New Roman" w:hAnsi="Times New Roman" w:cs="Times New Roman"/>
                <w:b/>
                <w:sz w:val="24"/>
                <w:szCs w:val="24"/>
              </w:rPr>
              <w:t>Institut National de la Statistique de Bissau</w:t>
            </w:r>
          </w:p>
        </w:tc>
        <w:tc>
          <w:tcPr>
            <w:tcW w:w="5592" w:type="dxa"/>
            <w:tcBorders>
              <w:top w:val="nil"/>
            </w:tcBorders>
          </w:tcPr>
          <w:p w:rsidR="00E81805" w:rsidRPr="006C0C34" w:rsidRDefault="00E81805" w:rsidP="00320F4C">
            <w:pPr>
              <w:autoSpaceDE w:val="0"/>
              <w:autoSpaceDN w:val="0"/>
              <w:adjustRightInd w:val="0"/>
              <w:spacing w:after="0" w:line="240" w:lineRule="auto"/>
              <w:ind w:left="56" w:right="-82"/>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 xml:space="preserve">Projet d’une importance capitale </w:t>
            </w:r>
          </w:p>
        </w:tc>
        <w:tc>
          <w:tcPr>
            <w:tcW w:w="7229" w:type="dxa"/>
            <w:tcBorders>
              <w:top w:val="nil"/>
            </w:tcBorders>
          </w:tcPr>
          <w:p w:rsidR="00E81805" w:rsidRPr="006C0C34" w:rsidRDefault="00E81805" w:rsidP="00FA3FAE">
            <w:pPr>
              <w:numPr>
                <w:ilvl w:val="0"/>
                <w:numId w:val="29"/>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 xml:space="preserve">Respecter les délais d’exécution </w:t>
            </w:r>
          </w:p>
          <w:p w:rsidR="00E81805" w:rsidRPr="006C0C34" w:rsidRDefault="00E81805" w:rsidP="00FA3FAE">
            <w:pPr>
              <w:numPr>
                <w:ilvl w:val="0"/>
                <w:numId w:val="29"/>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Et indemniser les populations affectées</w:t>
            </w:r>
          </w:p>
        </w:tc>
      </w:tr>
      <w:tr w:rsidR="00E81805" w:rsidRPr="006C0C34" w:rsidTr="00320F4C">
        <w:trPr>
          <w:trHeight w:val="416"/>
          <w:jc w:val="center"/>
        </w:trPr>
        <w:tc>
          <w:tcPr>
            <w:tcW w:w="2488" w:type="dxa"/>
            <w:tcBorders>
              <w:bottom w:val="single" w:sz="4" w:space="0" w:color="000000"/>
            </w:tcBorders>
          </w:tcPr>
          <w:p w:rsidR="00E81805" w:rsidRPr="006C0C34" w:rsidRDefault="00E81805" w:rsidP="00320F4C">
            <w:pPr>
              <w:jc w:val="both"/>
              <w:rPr>
                <w:rFonts w:ascii="Times New Roman" w:hAnsi="Times New Roman" w:cs="Times New Roman"/>
                <w:b/>
                <w:sz w:val="24"/>
                <w:szCs w:val="24"/>
              </w:rPr>
            </w:pPr>
            <w:r w:rsidRPr="006C0C34">
              <w:rPr>
                <w:rFonts w:ascii="Times New Roman" w:hAnsi="Times New Roman" w:cs="Times New Roman"/>
                <w:b/>
                <w:sz w:val="24"/>
                <w:szCs w:val="24"/>
              </w:rPr>
              <w:t>Service National de la Protection Civile de Bissau</w:t>
            </w:r>
          </w:p>
        </w:tc>
        <w:tc>
          <w:tcPr>
            <w:tcW w:w="5592" w:type="dxa"/>
            <w:tcBorders>
              <w:bottom w:val="single" w:sz="4" w:space="0" w:color="000000"/>
            </w:tcBorders>
          </w:tcPr>
          <w:p w:rsidR="00E81805" w:rsidRPr="006C0C34" w:rsidRDefault="00E81805" w:rsidP="00FA3FAE">
            <w:pPr>
              <w:numPr>
                <w:ilvl w:val="0"/>
                <w:numId w:val="29"/>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 xml:space="preserve">Fréquence des interventions dans les projets de ce genre très faible. </w:t>
            </w:r>
          </w:p>
          <w:p w:rsidR="00E81805" w:rsidRPr="006C0C34" w:rsidRDefault="00E81805" w:rsidP="00FA3FAE">
            <w:pPr>
              <w:numPr>
                <w:ilvl w:val="0"/>
                <w:numId w:val="29"/>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Manque d’équipement EPI et matériaux</w:t>
            </w:r>
          </w:p>
        </w:tc>
        <w:tc>
          <w:tcPr>
            <w:tcW w:w="7229" w:type="dxa"/>
            <w:tcBorders>
              <w:bottom w:val="single" w:sz="4" w:space="0" w:color="000000"/>
            </w:tcBorders>
          </w:tcPr>
          <w:p w:rsidR="00E81805" w:rsidRPr="006C0C34" w:rsidRDefault="00E81805" w:rsidP="00FA3FAE">
            <w:pPr>
              <w:numPr>
                <w:ilvl w:val="0"/>
                <w:numId w:val="29"/>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Veiller à l’utilisation des EPI lors des travaux</w:t>
            </w:r>
          </w:p>
          <w:p w:rsidR="00E81805" w:rsidRPr="006C0C34" w:rsidRDefault="00E81805" w:rsidP="00FA3FAE">
            <w:pPr>
              <w:numPr>
                <w:ilvl w:val="0"/>
                <w:numId w:val="29"/>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 xml:space="preserve">Tenir en </w:t>
            </w:r>
            <w:r w:rsidR="009B3AB5" w:rsidRPr="006C0C34">
              <w:rPr>
                <w:rFonts w:ascii="Times New Roman" w:hAnsi="Times New Roman" w:cs="Times New Roman"/>
                <w:sz w:val="24"/>
                <w:szCs w:val="24"/>
                <w:lang w:eastAsia="fr-FR"/>
              </w:rPr>
              <w:t>compte l’aspect</w:t>
            </w:r>
            <w:r w:rsidRPr="006C0C34">
              <w:rPr>
                <w:rFonts w:ascii="Times New Roman" w:hAnsi="Times New Roman" w:cs="Times New Roman"/>
                <w:sz w:val="24"/>
                <w:szCs w:val="24"/>
                <w:lang w:eastAsia="fr-FR"/>
              </w:rPr>
              <w:t xml:space="preserve"> sécurité tout le long du tracé</w:t>
            </w:r>
          </w:p>
          <w:p w:rsidR="00E81805" w:rsidRPr="006C0C34" w:rsidRDefault="00E81805" w:rsidP="00FA3FAE">
            <w:pPr>
              <w:numPr>
                <w:ilvl w:val="0"/>
                <w:numId w:val="29"/>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Bien configurer les conduites d’eau pour certaines zones d’implantations (zones humides).</w:t>
            </w:r>
          </w:p>
          <w:p w:rsidR="00E81805" w:rsidRPr="006C0C34" w:rsidRDefault="00E81805" w:rsidP="00FA3FAE">
            <w:pPr>
              <w:numPr>
                <w:ilvl w:val="0"/>
                <w:numId w:val="29"/>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Collaborer avec le service de la protection civile pour les travaux de démarrage</w:t>
            </w:r>
          </w:p>
          <w:p w:rsidR="00E81805" w:rsidRPr="006C0C34" w:rsidRDefault="00E81805" w:rsidP="00FA3FAE">
            <w:pPr>
              <w:numPr>
                <w:ilvl w:val="0"/>
                <w:numId w:val="29"/>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Aider au désenclavement de la zone d’étude du projet</w:t>
            </w:r>
          </w:p>
          <w:p w:rsidR="00E81805" w:rsidRPr="006C0C34" w:rsidRDefault="00E81805" w:rsidP="00320F4C">
            <w:pPr>
              <w:autoSpaceDE w:val="0"/>
              <w:autoSpaceDN w:val="0"/>
              <w:adjustRightInd w:val="0"/>
              <w:spacing w:after="0" w:line="240" w:lineRule="auto"/>
              <w:ind w:left="56" w:right="-82"/>
              <w:jc w:val="both"/>
              <w:rPr>
                <w:rFonts w:ascii="Times New Roman" w:hAnsi="Times New Roman" w:cs="Times New Roman"/>
                <w:sz w:val="24"/>
                <w:szCs w:val="24"/>
                <w:lang w:eastAsia="fr-FR"/>
              </w:rPr>
            </w:pPr>
          </w:p>
        </w:tc>
      </w:tr>
      <w:tr w:rsidR="00E81805" w:rsidRPr="006C0C34" w:rsidTr="00320F4C">
        <w:trPr>
          <w:trHeight w:val="432"/>
          <w:jc w:val="center"/>
        </w:trPr>
        <w:tc>
          <w:tcPr>
            <w:tcW w:w="2488" w:type="dxa"/>
            <w:tcBorders>
              <w:bottom w:val="single" w:sz="4" w:space="0" w:color="000000"/>
            </w:tcBorders>
          </w:tcPr>
          <w:p w:rsidR="00E81805" w:rsidRPr="006C0C34" w:rsidRDefault="00E81805" w:rsidP="00320F4C">
            <w:pPr>
              <w:jc w:val="both"/>
              <w:rPr>
                <w:rFonts w:ascii="Times New Roman" w:hAnsi="Times New Roman" w:cs="Times New Roman"/>
                <w:b/>
                <w:sz w:val="24"/>
                <w:szCs w:val="24"/>
              </w:rPr>
            </w:pPr>
            <w:r w:rsidRPr="006C0C34">
              <w:rPr>
                <w:rFonts w:ascii="Times New Roman" w:hAnsi="Times New Roman" w:cs="Times New Roman"/>
                <w:b/>
                <w:sz w:val="24"/>
                <w:szCs w:val="24"/>
              </w:rPr>
              <w:t>Direction Générale de l’Aménagement du Territoire Bissau</w:t>
            </w:r>
          </w:p>
        </w:tc>
        <w:tc>
          <w:tcPr>
            <w:tcW w:w="5592" w:type="dxa"/>
            <w:tcBorders>
              <w:bottom w:val="single" w:sz="4" w:space="0" w:color="000000"/>
            </w:tcBorders>
          </w:tcPr>
          <w:p w:rsidR="00E81805" w:rsidRPr="006C0C34" w:rsidRDefault="00E81805" w:rsidP="00FA3FAE">
            <w:pPr>
              <w:numPr>
                <w:ilvl w:val="0"/>
                <w:numId w:val="29"/>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 xml:space="preserve">Acceptabilité du projet pour l’accessibilité </w:t>
            </w:r>
            <w:r>
              <w:rPr>
                <w:rFonts w:ascii="Times New Roman" w:hAnsi="Times New Roman" w:cs="Times New Roman"/>
                <w:sz w:val="24"/>
                <w:szCs w:val="24"/>
                <w:lang w:eastAsia="fr-FR"/>
              </w:rPr>
              <w:t>à</w:t>
            </w:r>
            <w:r w:rsidRPr="006C0C34">
              <w:rPr>
                <w:rFonts w:ascii="Times New Roman" w:hAnsi="Times New Roman" w:cs="Times New Roman"/>
                <w:sz w:val="24"/>
                <w:szCs w:val="24"/>
                <w:lang w:eastAsia="fr-FR"/>
              </w:rPr>
              <w:t xml:space="preserve"> l’eau potable dans les zone</w:t>
            </w:r>
            <w:r>
              <w:rPr>
                <w:rFonts w:ascii="Times New Roman" w:hAnsi="Times New Roman" w:cs="Times New Roman"/>
                <w:sz w:val="24"/>
                <w:szCs w:val="24"/>
                <w:lang w:eastAsia="fr-FR"/>
              </w:rPr>
              <w:t>s</w:t>
            </w:r>
            <w:r w:rsidRPr="006C0C34">
              <w:rPr>
                <w:rFonts w:ascii="Times New Roman" w:hAnsi="Times New Roman" w:cs="Times New Roman"/>
                <w:sz w:val="24"/>
                <w:szCs w:val="24"/>
                <w:lang w:eastAsia="fr-FR"/>
              </w:rPr>
              <w:t xml:space="preserve"> les plus reculée</w:t>
            </w:r>
            <w:r>
              <w:rPr>
                <w:rFonts w:ascii="Times New Roman" w:hAnsi="Times New Roman" w:cs="Times New Roman"/>
                <w:sz w:val="24"/>
                <w:szCs w:val="24"/>
                <w:lang w:eastAsia="fr-FR"/>
              </w:rPr>
              <w:t>s</w:t>
            </w:r>
            <w:r w:rsidRPr="006C0C34">
              <w:rPr>
                <w:rFonts w:ascii="Times New Roman" w:hAnsi="Times New Roman" w:cs="Times New Roman"/>
                <w:sz w:val="24"/>
                <w:szCs w:val="24"/>
                <w:lang w:eastAsia="fr-FR"/>
              </w:rPr>
              <w:t>.</w:t>
            </w:r>
          </w:p>
          <w:p w:rsidR="00E81805" w:rsidRPr="006C0C34" w:rsidRDefault="00E81805" w:rsidP="00FA3FAE">
            <w:pPr>
              <w:numPr>
                <w:ilvl w:val="0"/>
                <w:numId w:val="29"/>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Très en retard sur la conception de document</w:t>
            </w:r>
            <w:r>
              <w:rPr>
                <w:rFonts w:ascii="Times New Roman" w:hAnsi="Times New Roman" w:cs="Times New Roman"/>
                <w:sz w:val="24"/>
                <w:szCs w:val="24"/>
                <w:lang w:eastAsia="fr-FR"/>
              </w:rPr>
              <w:t>s</w:t>
            </w:r>
            <w:r w:rsidRPr="006C0C34">
              <w:rPr>
                <w:rFonts w:ascii="Times New Roman" w:hAnsi="Times New Roman" w:cs="Times New Roman"/>
                <w:sz w:val="24"/>
                <w:szCs w:val="24"/>
                <w:lang w:eastAsia="fr-FR"/>
              </w:rPr>
              <w:t xml:space="preserve"> sur l’aménagement territorial</w:t>
            </w:r>
          </w:p>
        </w:tc>
        <w:tc>
          <w:tcPr>
            <w:tcW w:w="7229" w:type="dxa"/>
            <w:tcBorders>
              <w:bottom w:val="single" w:sz="4" w:space="0" w:color="000000"/>
            </w:tcBorders>
          </w:tcPr>
          <w:p w:rsidR="00E81805" w:rsidRPr="006C0C34" w:rsidRDefault="00E81805" w:rsidP="00FA3FAE">
            <w:pPr>
              <w:numPr>
                <w:ilvl w:val="0"/>
                <w:numId w:val="29"/>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Faire un bon travail</w:t>
            </w:r>
          </w:p>
          <w:p w:rsidR="00E81805" w:rsidRPr="006C0C34" w:rsidRDefault="00E81805" w:rsidP="00FA3FAE">
            <w:pPr>
              <w:numPr>
                <w:ilvl w:val="0"/>
                <w:numId w:val="29"/>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 xml:space="preserve">Régler les problèmes fonciers dans la zone d’étude </w:t>
            </w:r>
          </w:p>
          <w:p w:rsidR="00E81805" w:rsidRPr="006C0C34" w:rsidRDefault="00E81805" w:rsidP="00320F4C">
            <w:pPr>
              <w:autoSpaceDE w:val="0"/>
              <w:autoSpaceDN w:val="0"/>
              <w:adjustRightInd w:val="0"/>
              <w:spacing w:after="0" w:line="240" w:lineRule="auto"/>
              <w:ind w:left="56" w:right="-82"/>
              <w:jc w:val="both"/>
              <w:rPr>
                <w:rFonts w:ascii="Times New Roman" w:hAnsi="Times New Roman" w:cs="Times New Roman"/>
                <w:sz w:val="24"/>
                <w:szCs w:val="24"/>
                <w:lang w:eastAsia="fr-FR"/>
              </w:rPr>
            </w:pPr>
          </w:p>
        </w:tc>
      </w:tr>
      <w:tr w:rsidR="00E81805" w:rsidRPr="006C0C34" w:rsidTr="00320F4C">
        <w:trPr>
          <w:trHeight w:val="411"/>
          <w:jc w:val="center"/>
        </w:trPr>
        <w:tc>
          <w:tcPr>
            <w:tcW w:w="2488" w:type="dxa"/>
          </w:tcPr>
          <w:p w:rsidR="00E81805" w:rsidRPr="006C0C34" w:rsidRDefault="00E81805" w:rsidP="00320F4C">
            <w:pPr>
              <w:jc w:val="both"/>
              <w:rPr>
                <w:rFonts w:ascii="Times New Roman" w:hAnsi="Times New Roman" w:cs="Times New Roman"/>
                <w:b/>
                <w:sz w:val="24"/>
                <w:szCs w:val="24"/>
              </w:rPr>
            </w:pPr>
            <w:r w:rsidRPr="006C0C34">
              <w:rPr>
                <w:rFonts w:ascii="Times New Roman" w:hAnsi="Times New Roman" w:cs="Times New Roman"/>
                <w:b/>
                <w:sz w:val="24"/>
                <w:szCs w:val="24"/>
              </w:rPr>
              <w:t>Direction Générale de la Faune et Flore</w:t>
            </w:r>
          </w:p>
        </w:tc>
        <w:tc>
          <w:tcPr>
            <w:tcW w:w="5592" w:type="dxa"/>
          </w:tcPr>
          <w:p w:rsidR="00E81805" w:rsidRPr="006C0C34" w:rsidRDefault="00E81805" w:rsidP="00FA3FAE">
            <w:pPr>
              <w:numPr>
                <w:ilvl w:val="0"/>
                <w:numId w:val="29"/>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Pas de for</w:t>
            </w:r>
            <w:r>
              <w:rPr>
                <w:rFonts w:ascii="Times New Roman" w:hAnsi="Times New Roman" w:cs="Times New Roman"/>
                <w:sz w:val="24"/>
                <w:szCs w:val="24"/>
                <w:lang w:eastAsia="fr-FR"/>
              </w:rPr>
              <w:t>ê</w:t>
            </w:r>
            <w:r w:rsidRPr="006C0C34">
              <w:rPr>
                <w:rFonts w:ascii="Times New Roman" w:hAnsi="Times New Roman" w:cs="Times New Roman"/>
                <w:sz w:val="24"/>
                <w:szCs w:val="24"/>
                <w:lang w:eastAsia="fr-FR"/>
              </w:rPr>
              <w:t>t</w:t>
            </w:r>
            <w:r>
              <w:rPr>
                <w:rFonts w:ascii="Times New Roman" w:hAnsi="Times New Roman" w:cs="Times New Roman"/>
                <w:sz w:val="24"/>
                <w:szCs w:val="24"/>
                <w:lang w:eastAsia="fr-FR"/>
              </w:rPr>
              <w:t>s</w:t>
            </w:r>
            <w:r w:rsidRPr="006C0C34">
              <w:rPr>
                <w:rFonts w:ascii="Times New Roman" w:hAnsi="Times New Roman" w:cs="Times New Roman"/>
                <w:sz w:val="24"/>
                <w:szCs w:val="24"/>
                <w:lang w:eastAsia="fr-FR"/>
              </w:rPr>
              <w:t xml:space="preserve"> classé</w:t>
            </w:r>
            <w:r>
              <w:rPr>
                <w:rFonts w:ascii="Times New Roman" w:hAnsi="Times New Roman" w:cs="Times New Roman"/>
                <w:sz w:val="24"/>
                <w:szCs w:val="24"/>
                <w:lang w:eastAsia="fr-FR"/>
              </w:rPr>
              <w:t>es</w:t>
            </w:r>
            <w:r w:rsidRPr="006C0C34">
              <w:rPr>
                <w:rFonts w:ascii="Times New Roman" w:hAnsi="Times New Roman" w:cs="Times New Roman"/>
                <w:sz w:val="24"/>
                <w:szCs w:val="24"/>
                <w:lang w:eastAsia="fr-FR"/>
              </w:rPr>
              <w:t>, ni d’aires protégées dans la zone du projet</w:t>
            </w:r>
          </w:p>
        </w:tc>
        <w:tc>
          <w:tcPr>
            <w:tcW w:w="7229" w:type="dxa"/>
          </w:tcPr>
          <w:p w:rsidR="00E81805" w:rsidRPr="006C0C34" w:rsidRDefault="00E81805" w:rsidP="00320F4C">
            <w:pPr>
              <w:autoSpaceDE w:val="0"/>
              <w:autoSpaceDN w:val="0"/>
              <w:adjustRightInd w:val="0"/>
              <w:spacing w:after="0" w:line="240" w:lineRule="auto"/>
              <w:ind w:right="-82"/>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 xml:space="preserve">-Prendre en compte </w:t>
            </w:r>
            <w:r>
              <w:rPr>
                <w:rFonts w:ascii="Times New Roman" w:hAnsi="Times New Roman" w:cs="Times New Roman"/>
                <w:sz w:val="24"/>
                <w:szCs w:val="24"/>
                <w:lang w:eastAsia="fr-FR"/>
              </w:rPr>
              <w:t>le couvert</w:t>
            </w:r>
            <w:r w:rsidRPr="006C0C34">
              <w:rPr>
                <w:rFonts w:ascii="Times New Roman" w:hAnsi="Times New Roman" w:cs="Times New Roman"/>
                <w:sz w:val="24"/>
                <w:szCs w:val="24"/>
                <w:lang w:eastAsia="fr-FR"/>
              </w:rPr>
              <w:t xml:space="preserve"> végétal et les espèces dans la zone</w:t>
            </w:r>
          </w:p>
          <w:p w:rsidR="00E81805" w:rsidRPr="006C0C34" w:rsidRDefault="00E81805" w:rsidP="00320F4C">
            <w:pPr>
              <w:autoSpaceDE w:val="0"/>
              <w:autoSpaceDN w:val="0"/>
              <w:adjustRightInd w:val="0"/>
              <w:spacing w:after="0" w:line="240" w:lineRule="auto"/>
              <w:ind w:right="-82"/>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 xml:space="preserve">- Tenir compte de l’aspect de </w:t>
            </w:r>
            <w:r>
              <w:rPr>
                <w:rFonts w:ascii="Times New Roman" w:hAnsi="Times New Roman" w:cs="Times New Roman"/>
                <w:sz w:val="24"/>
                <w:szCs w:val="24"/>
                <w:lang w:eastAsia="fr-FR"/>
              </w:rPr>
              <w:t xml:space="preserve">la </w:t>
            </w:r>
            <w:r w:rsidRPr="006C0C34">
              <w:rPr>
                <w:rFonts w:ascii="Times New Roman" w:hAnsi="Times New Roman" w:cs="Times New Roman"/>
                <w:sz w:val="24"/>
                <w:szCs w:val="24"/>
                <w:lang w:eastAsia="fr-FR"/>
              </w:rPr>
              <w:t>compensation par le reboisement</w:t>
            </w:r>
          </w:p>
        </w:tc>
      </w:tr>
      <w:tr w:rsidR="00E81805" w:rsidRPr="006C0C34" w:rsidTr="00320F4C">
        <w:trPr>
          <w:trHeight w:val="417"/>
          <w:jc w:val="center"/>
        </w:trPr>
        <w:tc>
          <w:tcPr>
            <w:tcW w:w="2488" w:type="dxa"/>
          </w:tcPr>
          <w:p w:rsidR="00E81805" w:rsidRPr="006C0C34" w:rsidRDefault="00E81805" w:rsidP="00320F4C">
            <w:pPr>
              <w:jc w:val="both"/>
              <w:rPr>
                <w:rFonts w:ascii="Times New Roman" w:hAnsi="Times New Roman" w:cs="Times New Roman"/>
                <w:b/>
                <w:sz w:val="24"/>
                <w:szCs w:val="24"/>
              </w:rPr>
            </w:pPr>
            <w:r w:rsidRPr="006C0C34">
              <w:rPr>
                <w:rFonts w:ascii="Times New Roman" w:hAnsi="Times New Roman" w:cs="Times New Roman"/>
                <w:b/>
                <w:sz w:val="24"/>
                <w:szCs w:val="24"/>
              </w:rPr>
              <w:t>Bureau de la Planification Côtière de Bissau</w:t>
            </w:r>
          </w:p>
        </w:tc>
        <w:tc>
          <w:tcPr>
            <w:tcW w:w="5592" w:type="dxa"/>
          </w:tcPr>
          <w:p w:rsidR="00E81805" w:rsidRPr="00401AD9" w:rsidRDefault="00E81805" w:rsidP="00FA3FAE">
            <w:pPr>
              <w:pStyle w:val="PargrafodaLista"/>
              <w:numPr>
                <w:ilvl w:val="0"/>
                <w:numId w:val="29"/>
              </w:numPr>
              <w:autoSpaceDE w:val="0"/>
              <w:autoSpaceDN w:val="0"/>
              <w:adjustRightInd w:val="0"/>
              <w:spacing w:after="0" w:line="240" w:lineRule="auto"/>
              <w:ind w:right="-82"/>
              <w:jc w:val="both"/>
              <w:rPr>
                <w:rFonts w:ascii="Times New Roman" w:hAnsi="Times New Roman"/>
                <w:sz w:val="24"/>
                <w:szCs w:val="24"/>
                <w:lang w:eastAsia="fr-FR"/>
              </w:rPr>
            </w:pPr>
            <w:r w:rsidRPr="00401AD9">
              <w:rPr>
                <w:rFonts w:ascii="Times New Roman" w:hAnsi="Times New Roman"/>
                <w:sz w:val="24"/>
                <w:szCs w:val="24"/>
                <w:lang w:eastAsia="fr-FR"/>
              </w:rPr>
              <w:t>Projet bien accueilli</w:t>
            </w:r>
          </w:p>
          <w:p w:rsidR="00E81805" w:rsidRPr="00401AD9" w:rsidRDefault="00E81805" w:rsidP="00FA3FAE">
            <w:pPr>
              <w:pStyle w:val="PargrafodaLista"/>
              <w:numPr>
                <w:ilvl w:val="0"/>
                <w:numId w:val="29"/>
              </w:numPr>
              <w:autoSpaceDE w:val="0"/>
              <w:autoSpaceDN w:val="0"/>
              <w:adjustRightInd w:val="0"/>
              <w:spacing w:after="0" w:line="240" w:lineRule="auto"/>
              <w:ind w:right="-82"/>
              <w:jc w:val="both"/>
              <w:rPr>
                <w:rFonts w:ascii="Times New Roman" w:hAnsi="Times New Roman"/>
                <w:sz w:val="24"/>
                <w:szCs w:val="24"/>
                <w:lang w:eastAsia="fr-FR"/>
              </w:rPr>
            </w:pPr>
            <w:r w:rsidRPr="00401AD9">
              <w:rPr>
                <w:rFonts w:ascii="Times New Roman" w:hAnsi="Times New Roman"/>
                <w:sz w:val="24"/>
                <w:szCs w:val="24"/>
                <w:lang w:eastAsia="fr-FR"/>
              </w:rPr>
              <w:t xml:space="preserve">Guinée Bissau a toujours eu un problème d’accessibilité à l’eau </w:t>
            </w:r>
          </w:p>
          <w:p w:rsidR="00E81805" w:rsidRPr="00401AD9" w:rsidRDefault="00E81805" w:rsidP="00FA3FAE">
            <w:pPr>
              <w:pStyle w:val="PargrafodaLista"/>
              <w:numPr>
                <w:ilvl w:val="0"/>
                <w:numId w:val="29"/>
              </w:numPr>
              <w:autoSpaceDE w:val="0"/>
              <w:autoSpaceDN w:val="0"/>
              <w:adjustRightInd w:val="0"/>
              <w:spacing w:after="0" w:line="240" w:lineRule="auto"/>
              <w:ind w:right="-82"/>
              <w:jc w:val="both"/>
              <w:rPr>
                <w:rFonts w:ascii="Times New Roman" w:hAnsi="Times New Roman"/>
                <w:sz w:val="24"/>
                <w:szCs w:val="24"/>
                <w:lang w:eastAsia="fr-FR"/>
              </w:rPr>
            </w:pPr>
            <w:r w:rsidRPr="00401AD9">
              <w:rPr>
                <w:rFonts w:ascii="Times New Roman" w:hAnsi="Times New Roman"/>
                <w:sz w:val="24"/>
                <w:szCs w:val="24"/>
                <w:lang w:eastAsia="fr-FR"/>
              </w:rPr>
              <w:t xml:space="preserve">L’EIES est une très bonne démarche </w:t>
            </w:r>
          </w:p>
        </w:tc>
        <w:tc>
          <w:tcPr>
            <w:tcW w:w="7229" w:type="dxa"/>
          </w:tcPr>
          <w:p w:rsidR="00E81805" w:rsidRPr="006C0C34" w:rsidRDefault="00E81805" w:rsidP="00FA3FAE">
            <w:pPr>
              <w:numPr>
                <w:ilvl w:val="0"/>
                <w:numId w:val="29"/>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 xml:space="preserve"> Prendre en compte les aspects environnementaux surtout si le projet traverse des zones humides</w:t>
            </w:r>
          </w:p>
          <w:p w:rsidR="00E81805" w:rsidRPr="006C0C34" w:rsidRDefault="00E81805" w:rsidP="00FA3FAE">
            <w:pPr>
              <w:numPr>
                <w:ilvl w:val="0"/>
                <w:numId w:val="29"/>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Signer un pacte environnemental, respecter et protéger les zones humides et les espèces qui s’y trouvent</w:t>
            </w:r>
          </w:p>
          <w:p w:rsidR="00E81805" w:rsidRPr="006C0C34" w:rsidRDefault="00E81805" w:rsidP="00FA3FAE">
            <w:pPr>
              <w:numPr>
                <w:ilvl w:val="0"/>
                <w:numId w:val="29"/>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Protéger le micro-organisme</w:t>
            </w:r>
          </w:p>
        </w:tc>
      </w:tr>
      <w:tr w:rsidR="00E81805" w:rsidRPr="006C0C34" w:rsidTr="00320F4C">
        <w:trPr>
          <w:trHeight w:val="423"/>
          <w:jc w:val="center"/>
        </w:trPr>
        <w:tc>
          <w:tcPr>
            <w:tcW w:w="2488" w:type="dxa"/>
          </w:tcPr>
          <w:p w:rsidR="00E81805" w:rsidRPr="006C0C34" w:rsidRDefault="00E81805" w:rsidP="00320F4C">
            <w:pPr>
              <w:jc w:val="both"/>
              <w:rPr>
                <w:rFonts w:ascii="Times New Roman" w:hAnsi="Times New Roman" w:cs="Times New Roman"/>
                <w:b/>
                <w:sz w:val="24"/>
                <w:szCs w:val="24"/>
              </w:rPr>
            </w:pPr>
            <w:r w:rsidRPr="006C0C34">
              <w:rPr>
                <w:rFonts w:ascii="Times New Roman" w:hAnsi="Times New Roman" w:cs="Times New Roman"/>
                <w:b/>
                <w:sz w:val="24"/>
                <w:szCs w:val="24"/>
              </w:rPr>
              <w:lastRenderedPageBreak/>
              <w:t>Ministère de la Santé Publique Service des Installations et Equipements</w:t>
            </w:r>
          </w:p>
        </w:tc>
        <w:tc>
          <w:tcPr>
            <w:tcW w:w="5592" w:type="dxa"/>
          </w:tcPr>
          <w:p w:rsidR="00E81805" w:rsidRPr="006C0C34" w:rsidRDefault="00E81805" w:rsidP="00FA3FAE">
            <w:pPr>
              <w:numPr>
                <w:ilvl w:val="0"/>
                <w:numId w:val="29"/>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L’eau est un aspect sanitaire irrévocable</w:t>
            </w:r>
          </w:p>
        </w:tc>
        <w:tc>
          <w:tcPr>
            <w:tcW w:w="7229" w:type="dxa"/>
          </w:tcPr>
          <w:p w:rsidR="00E81805" w:rsidRPr="006C0C34" w:rsidRDefault="00E81805" w:rsidP="00FA3FAE">
            <w:pPr>
              <w:numPr>
                <w:ilvl w:val="0"/>
                <w:numId w:val="29"/>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Veiller à la santé des travailleurs</w:t>
            </w:r>
          </w:p>
          <w:p w:rsidR="00E81805" w:rsidRPr="006C0C34" w:rsidRDefault="00E81805" w:rsidP="00FA3FAE">
            <w:pPr>
              <w:numPr>
                <w:ilvl w:val="0"/>
                <w:numId w:val="29"/>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Assurer la sécurité des travailleurs en phase de chantier</w:t>
            </w:r>
          </w:p>
        </w:tc>
      </w:tr>
      <w:tr w:rsidR="00E81805" w:rsidRPr="006C0C34" w:rsidTr="00320F4C">
        <w:trPr>
          <w:trHeight w:val="423"/>
          <w:jc w:val="center"/>
        </w:trPr>
        <w:tc>
          <w:tcPr>
            <w:tcW w:w="2488" w:type="dxa"/>
          </w:tcPr>
          <w:p w:rsidR="00E81805" w:rsidRPr="006C0C34" w:rsidRDefault="00E81805" w:rsidP="00320F4C">
            <w:pPr>
              <w:jc w:val="both"/>
              <w:rPr>
                <w:rFonts w:ascii="Times New Roman" w:hAnsi="Times New Roman" w:cs="Times New Roman"/>
                <w:b/>
                <w:sz w:val="24"/>
                <w:szCs w:val="24"/>
              </w:rPr>
            </w:pPr>
            <w:r w:rsidRPr="006C0C34">
              <w:rPr>
                <w:rFonts w:ascii="Times New Roman" w:hAnsi="Times New Roman" w:cs="Times New Roman"/>
                <w:b/>
                <w:sz w:val="24"/>
                <w:szCs w:val="24"/>
              </w:rPr>
              <w:t>Laboratoire Nationale de Santé Publique</w:t>
            </w:r>
          </w:p>
        </w:tc>
        <w:tc>
          <w:tcPr>
            <w:tcW w:w="5592" w:type="dxa"/>
          </w:tcPr>
          <w:p w:rsidR="00E81805" w:rsidRPr="006C0C34" w:rsidRDefault="00E81805" w:rsidP="00FA3FAE">
            <w:pPr>
              <w:numPr>
                <w:ilvl w:val="0"/>
                <w:numId w:val="29"/>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Projet qui vient à temps</w:t>
            </w:r>
          </w:p>
          <w:p w:rsidR="00E81805" w:rsidRPr="006C0C34" w:rsidRDefault="00E81805" w:rsidP="00FA3FAE">
            <w:pPr>
              <w:numPr>
                <w:ilvl w:val="0"/>
                <w:numId w:val="29"/>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Le département de contrôle de qualité de l’eau est prêt pour collaborer lors des travaux</w:t>
            </w:r>
          </w:p>
          <w:p w:rsidR="00E81805" w:rsidRPr="006C0C34" w:rsidRDefault="00E81805" w:rsidP="00FA3FAE">
            <w:pPr>
              <w:numPr>
                <w:ilvl w:val="0"/>
                <w:numId w:val="29"/>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Manque de matérielles de laboratoires</w:t>
            </w:r>
          </w:p>
          <w:p w:rsidR="00E81805" w:rsidRPr="006C0C34" w:rsidRDefault="00E81805" w:rsidP="00FA3FAE">
            <w:pPr>
              <w:numPr>
                <w:ilvl w:val="0"/>
                <w:numId w:val="29"/>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 xml:space="preserve">La nappe est </w:t>
            </w:r>
            <w:r>
              <w:rPr>
                <w:rFonts w:ascii="Times New Roman" w:hAnsi="Times New Roman" w:cs="Times New Roman"/>
                <w:sz w:val="24"/>
                <w:szCs w:val="24"/>
                <w:lang w:eastAsia="fr-FR"/>
              </w:rPr>
              <w:t xml:space="preserve">de qualité </w:t>
            </w:r>
            <w:r w:rsidRPr="006C0C34">
              <w:rPr>
                <w:rFonts w:ascii="Times New Roman" w:hAnsi="Times New Roman" w:cs="Times New Roman"/>
                <w:sz w:val="24"/>
                <w:szCs w:val="24"/>
                <w:lang w:eastAsia="fr-FR"/>
              </w:rPr>
              <w:t>mais les infrastructure</w:t>
            </w:r>
            <w:r>
              <w:rPr>
                <w:rFonts w:ascii="Times New Roman" w:hAnsi="Times New Roman" w:cs="Times New Roman"/>
                <w:sz w:val="24"/>
                <w:szCs w:val="24"/>
                <w:lang w:eastAsia="fr-FR"/>
              </w:rPr>
              <w:t>s</w:t>
            </w:r>
            <w:r w:rsidRPr="006C0C34">
              <w:rPr>
                <w:rFonts w:ascii="Times New Roman" w:hAnsi="Times New Roman" w:cs="Times New Roman"/>
                <w:sz w:val="24"/>
                <w:szCs w:val="24"/>
                <w:lang w:eastAsia="fr-FR"/>
              </w:rPr>
              <w:t xml:space="preserve"> pour </w:t>
            </w:r>
            <w:r>
              <w:rPr>
                <w:rFonts w:ascii="Times New Roman" w:hAnsi="Times New Roman" w:cs="Times New Roman"/>
                <w:sz w:val="24"/>
                <w:szCs w:val="24"/>
                <w:lang w:eastAsia="fr-FR"/>
              </w:rPr>
              <w:t xml:space="preserve">l’exploitation sont insuffisantes </w:t>
            </w:r>
          </w:p>
        </w:tc>
        <w:tc>
          <w:tcPr>
            <w:tcW w:w="7229" w:type="dxa"/>
          </w:tcPr>
          <w:p w:rsidR="00E81805" w:rsidRPr="006C0C34" w:rsidRDefault="00E81805" w:rsidP="00FA3FAE">
            <w:pPr>
              <w:numPr>
                <w:ilvl w:val="0"/>
                <w:numId w:val="29"/>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Collaborer avec le service pour la meilleure qualité de l’eau</w:t>
            </w:r>
          </w:p>
          <w:p w:rsidR="00E81805" w:rsidRPr="006C0C34" w:rsidRDefault="00E81805" w:rsidP="00FA3FAE">
            <w:pPr>
              <w:numPr>
                <w:ilvl w:val="0"/>
                <w:numId w:val="29"/>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 xml:space="preserve"> Changer les conduites qui sont souvent source de maladie</w:t>
            </w:r>
            <w:r>
              <w:rPr>
                <w:rFonts w:ascii="Times New Roman" w:hAnsi="Times New Roman" w:cs="Times New Roman"/>
                <w:sz w:val="24"/>
                <w:szCs w:val="24"/>
                <w:lang w:eastAsia="fr-FR"/>
              </w:rPr>
              <w:t>s</w:t>
            </w:r>
          </w:p>
        </w:tc>
      </w:tr>
      <w:tr w:rsidR="00E81805" w:rsidRPr="006C0C34" w:rsidTr="00320F4C">
        <w:trPr>
          <w:trHeight w:val="399"/>
          <w:jc w:val="center"/>
        </w:trPr>
        <w:tc>
          <w:tcPr>
            <w:tcW w:w="2488" w:type="dxa"/>
          </w:tcPr>
          <w:p w:rsidR="00E81805" w:rsidRPr="006C0C34" w:rsidRDefault="00E81805" w:rsidP="00320F4C">
            <w:pPr>
              <w:jc w:val="both"/>
              <w:rPr>
                <w:rFonts w:ascii="Times New Roman" w:hAnsi="Times New Roman" w:cs="Times New Roman"/>
                <w:b/>
                <w:sz w:val="24"/>
                <w:szCs w:val="24"/>
              </w:rPr>
            </w:pPr>
            <w:r w:rsidRPr="006C0C34">
              <w:rPr>
                <w:rFonts w:ascii="Times New Roman" w:hAnsi="Times New Roman" w:cs="Times New Roman"/>
                <w:b/>
                <w:sz w:val="24"/>
                <w:szCs w:val="24"/>
              </w:rPr>
              <w:t>Ministère de la Fonction Publique Direction générale du travail</w:t>
            </w:r>
          </w:p>
        </w:tc>
        <w:tc>
          <w:tcPr>
            <w:tcW w:w="5592" w:type="dxa"/>
          </w:tcPr>
          <w:p w:rsidR="00E81805" w:rsidRPr="006C0C34" w:rsidRDefault="00E81805" w:rsidP="00FA3FAE">
            <w:pPr>
              <w:numPr>
                <w:ilvl w:val="0"/>
                <w:numId w:val="29"/>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Projet vient à son heure pour résoudre le problème lié à l’accessibilité à l’eau potable</w:t>
            </w:r>
          </w:p>
        </w:tc>
        <w:tc>
          <w:tcPr>
            <w:tcW w:w="7229" w:type="dxa"/>
          </w:tcPr>
          <w:p w:rsidR="00E81805" w:rsidRPr="006C0C34" w:rsidRDefault="00E81805" w:rsidP="00FA3FAE">
            <w:pPr>
              <w:numPr>
                <w:ilvl w:val="0"/>
                <w:numId w:val="29"/>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 xml:space="preserve"> Veiller à ce que les entreprises recruteurs signent des contrats avec </w:t>
            </w:r>
            <w:r>
              <w:rPr>
                <w:rFonts w:ascii="Times New Roman" w:hAnsi="Times New Roman" w:cs="Times New Roman"/>
                <w:sz w:val="24"/>
                <w:szCs w:val="24"/>
                <w:lang w:eastAsia="fr-FR"/>
              </w:rPr>
              <w:t>la main d’œuvre</w:t>
            </w:r>
            <w:r w:rsidRPr="006C0C34">
              <w:rPr>
                <w:rFonts w:ascii="Times New Roman" w:hAnsi="Times New Roman" w:cs="Times New Roman"/>
                <w:sz w:val="24"/>
                <w:szCs w:val="24"/>
                <w:lang w:eastAsia="fr-FR"/>
              </w:rPr>
              <w:t xml:space="preserve"> locale et assurer le respect des conditions</w:t>
            </w:r>
            <w:r>
              <w:rPr>
                <w:rFonts w:ascii="Times New Roman" w:hAnsi="Times New Roman" w:cs="Times New Roman"/>
                <w:sz w:val="24"/>
                <w:szCs w:val="24"/>
                <w:lang w:eastAsia="fr-FR"/>
              </w:rPr>
              <w:t xml:space="preserve"> de travail</w:t>
            </w:r>
          </w:p>
          <w:p w:rsidR="00E81805" w:rsidRPr="006C0C34" w:rsidRDefault="00E81805" w:rsidP="00FA3FAE">
            <w:pPr>
              <w:numPr>
                <w:ilvl w:val="0"/>
                <w:numId w:val="29"/>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Veiller à la disponibilité des EPI pour les travailleurs</w:t>
            </w:r>
          </w:p>
          <w:p w:rsidR="00E81805" w:rsidRPr="006C0C34" w:rsidRDefault="00E81805" w:rsidP="00FA3FAE">
            <w:pPr>
              <w:numPr>
                <w:ilvl w:val="0"/>
                <w:numId w:val="29"/>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Mettre l’inspection générale du travail comme intermédiaire entre les travailleurs et l’entreprise</w:t>
            </w:r>
          </w:p>
          <w:p w:rsidR="00E81805" w:rsidRPr="006C0C34" w:rsidRDefault="00E81805" w:rsidP="00FA3FAE">
            <w:pPr>
              <w:numPr>
                <w:ilvl w:val="0"/>
                <w:numId w:val="29"/>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Que le projet suit la bonne démarche</w:t>
            </w:r>
          </w:p>
          <w:p w:rsidR="00E81805" w:rsidRPr="006C0C34" w:rsidRDefault="00E81805" w:rsidP="00FA3FAE">
            <w:pPr>
              <w:numPr>
                <w:ilvl w:val="0"/>
                <w:numId w:val="29"/>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Prioriser le recrutement local</w:t>
            </w:r>
          </w:p>
        </w:tc>
      </w:tr>
      <w:tr w:rsidR="00E81805" w:rsidRPr="006C0C34" w:rsidTr="00320F4C">
        <w:trPr>
          <w:trHeight w:val="419"/>
          <w:jc w:val="center"/>
        </w:trPr>
        <w:tc>
          <w:tcPr>
            <w:tcW w:w="2488" w:type="dxa"/>
          </w:tcPr>
          <w:p w:rsidR="00E81805" w:rsidRPr="006C0C34" w:rsidRDefault="00E81805" w:rsidP="00320F4C">
            <w:pPr>
              <w:jc w:val="both"/>
              <w:rPr>
                <w:rFonts w:ascii="Times New Roman" w:hAnsi="Times New Roman" w:cs="Times New Roman"/>
                <w:b/>
                <w:sz w:val="24"/>
                <w:szCs w:val="24"/>
              </w:rPr>
            </w:pPr>
            <w:r w:rsidRPr="006C0C34">
              <w:rPr>
                <w:rFonts w:ascii="Times New Roman" w:hAnsi="Times New Roman" w:cs="Times New Roman"/>
                <w:b/>
                <w:sz w:val="24"/>
                <w:szCs w:val="24"/>
              </w:rPr>
              <w:t>Direction Générale des ressources Hydrique de Guinée Bissau</w:t>
            </w:r>
          </w:p>
        </w:tc>
        <w:tc>
          <w:tcPr>
            <w:tcW w:w="5592" w:type="dxa"/>
          </w:tcPr>
          <w:p w:rsidR="00E81805" w:rsidRPr="006C0C34" w:rsidRDefault="00E81805" w:rsidP="00FA3FAE">
            <w:pPr>
              <w:numPr>
                <w:ilvl w:val="0"/>
                <w:numId w:val="29"/>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 xml:space="preserve"> Projet qui est d’une importance capitale dans la zone</w:t>
            </w:r>
          </w:p>
        </w:tc>
        <w:tc>
          <w:tcPr>
            <w:tcW w:w="7229" w:type="dxa"/>
          </w:tcPr>
          <w:p w:rsidR="00E81805" w:rsidRPr="006C0C34" w:rsidRDefault="00E81805" w:rsidP="00FA3FAE">
            <w:pPr>
              <w:numPr>
                <w:ilvl w:val="0"/>
                <w:numId w:val="29"/>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Prendre en compte l’aspect social du projet</w:t>
            </w:r>
          </w:p>
          <w:p w:rsidR="00E81805" w:rsidRPr="006C0C34" w:rsidRDefault="00E81805" w:rsidP="00FA3FAE">
            <w:pPr>
              <w:numPr>
                <w:ilvl w:val="0"/>
                <w:numId w:val="29"/>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Tenir compte de l’indemnisation des populations</w:t>
            </w:r>
          </w:p>
          <w:p w:rsidR="00E81805" w:rsidRPr="006C0C34" w:rsidRDefault="00E81805" w:rsidP="00FA3FAE">
            <w:pPr>
              <w:numPr>
                <w:ilvl w:val="0"/>
                <w:numId w:val="29"/>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Sauvegarder les cours d’eau tout le long du trajet</w:t>
            </w:r>
          </w:p>
          <w:p w:rsidR="00E81805" w:rsidRPr="006C0C34" w:rsidRDefault="00E81805" w:rsidP="00FA3FAE">
            <w:pPr>
              <w:numPr>
                <w:ilvl w:val="0"/>
                <w:numId w:val="29"/>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Tenir compte des ressources en eau et des autres ressources</w:t>
            </w:r>
          </w:p>
          <w:p w:rsidR="00E81805" w:rsidRPr="006C0C34" w:rsidRDefault="00E81805" w:rsidP="00FA3FAE">
            <w:pPr>
              <w:numPr>
                <w:ilvl w:val="0"/>
                <w:numId w:val="29"/>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Augmenter les impacts positifs et diminuer les impacts négatifs</w:t>
            </w:r>
          </w:p>
          <w:p w:rsidR="00E81805" w:rsidRPr="006C0C34" w:rsidRDefault="00E81805" w:rsidP="00FA3FAE">
            <w:pPr>
              <w:numPr>
                <w:ilvl w:val="0"/>
                <w:numId w:val="29"/>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Faire un forage dans les zones favorables et éviter l’accumulation des forages</w:t>
            </w:r>
          </w:p>
          <w:p w:rsidR="00E81805" w:rsidRPr="006C0C34" w:rsidRDefault="00E81805" w:rsidP="00FA3FAE">
            <w:pPr>
              <w:numPr>
                <w:ilvl w:val="0"/>
                <w:numId w:val="29"/>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Veiller à ce que EAGB pren</w:t>
            </w:r>
            <w:r>
              <w:rPr>
                <w:rFonts w:ascii="Times New Roman" w:hAnsi="Times New Roman" w:cs="Times New Roman"/>
                <w:sz w:val="24"/>
                <w:szCs w:val="24"/>
                <w:lang w:eastAsia="fr-FR"/>
              </w:rPr>
              <w:t>ne</w:t>
            </w:r>
            <w:r w:rsidRPr="006C0C34">
              <w:rPr>
                <w:rFonts w:ascii="Times New Roman" w:hAnsi="Times New Roman" w:cs="Times New Roman"/>
                <w:sz w:val="24"/>
                <w:szCs w:val="24"/>
                <w:lang w:eastAsia="fr-FR"/>
              </w:rPr>
              <w:t xml:space="preserve"> des dispositions pour éviter la construction à tort et à travers des forages </w:t>
            </w:r>
          </w:p>
          <w:p w:rsidR="00E81805" w:rsidRPr="006C0C34" w:rsidRDefault="00E81805" w:rsidP="00FA3FAE">
            <w:pPr>
              <w:numPr>
                <w:ilvl w:val="0"/>
                <w:numId w:val="29"/>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Eviter de construire des forage</w:t>
            </w:r>
            <w:r>
              <w:rPr>
                <w:rFonts w:ascii="Times New Roman" w:hAnsi="Times New Roman" w:cs="Times New Roman"/>
                <w:sz w:val="24"/>
                <w:szCs w:val="24"/>
                <w:lang w:eastAsia="fr-FR"/>
              </w:rPr>
              <w:t>s</w:t>
            </w:r>
            <w:r w:rsidRPr="006C0C34">
              <w:rPr>
                <w:rFonts w:ascii="Times New Roman" w:hAnsi="Times New Roman" w:cs="Times New Roman"/>
                <w:sz w:val="24"/>
                <w:szCs w:val="24"/>
                <w:lang w:eastAsia="fr-FR"/>
              </w:rPr>
              <w:t xml:space="preserve"> dans les zones industrielles pour préserver la nappe.</w:t>
            </w:r>
          </w:p>
        </w:tc>
      </w:tr>
      <w:tr w:rsidR="00E81805" w:rsidRPr="006C0C34" w:rsidTr="00320F4C">
        <w:trPr>
          <w:trHeight w:val="89"/>
          <w:jc w:val="center"/>
        </w:trPr>
        <w:tc>
          <w:tcPr>
            <w:tcW w:w="2488" w:type="dxa"/>
          </w:tcPr>
          <w:p w:rsidR="00E81805" w:rsidRPr="006C0C34" w:rsidRDefault="00E81805" w:rsidP="00320F4C">
            <w:pPr>
              <w:jc w:val="both"/>
              <w:rPr>
                <w:rFonts w:ascii="Times New Roman" w:hAnsi="Times New Roman" w:cs="Times New Roman"/>
                <w:b/>
                <w:sz w:val="24"/>
                <w:szCs w:val="24"/>
              </w:rPr>
            </w:pPr>
            <w:r w:rsidRPr="006C0C34">
              <w:rPr>
                <w:rFonts w:ascii="Times New Roman" w:hAnsi="Times New Roman" w:cs="Times New Roman"/>
                <w:b/>
                <w:sz w:val="24"/>
                <w:szCs w:val="24"/>
              </w:rPr>
              <w:lastRenderedPageBreak/>
              <w:t>Institution de la Biodiversité et des Aires Protégées</w:t>
            </w:r>
          </w:p>
        </w:tc>
        <w:tc>
          <w:tcPr>
            <w:tcW w:w="5592" w:type="dxa"/>
          </w:tcPr>
          <w:p w:rsidR="00E81805" w:rsidRPr="006C0C34" w:rsidRDefault="00E81805" w:rsidP="00FA3FAE">
            <w:pPr>
              <w:numPr>
                <w:ilvl w:val="0"/>
                <w:numId w:val="29"/>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 xml:space="preserve">La </w:t>
            </w:r>
            <w:r>
              <w:rPr>
                <w:rFonts w:ascii="Times New Roman" w:hAnsi="Times New Roman" w:cs="Times New Roman"/>
                <w:sz w:val="24"/>
                <w:szCs w:val="24"/>
                <w:lang w:eastAsia="fr-FR"/>
              </w:rPr>
              <w:t>forêt</w:t>
            </w:r>
            <w:r w:rsidRPr="006C0C34">
              <w:rPr>
                <w:rFonts w:ascii="Times New Roman" w:hAnsi="Times New Roman" w:cs="Times New Roman"/>
                <w:sz w:val="24"/>
                <w:szCs w:val="24"/>
                <w:lang w:eastAsia="fr-FR"/>
              </w:rPr>
              <w:t xml:space="preserve"> de Guinée joue un rôle important de maintien dans l’écosystème</w:t>
            </w:r>
          </w:p>
        </w:tc>
        <w:tc>
          <w:tcPr>
            <w:tcW w:w="7229" w:type="dxa"/>
          </w:tcPr>
          <w:p w:rsidR="00E81805" w:rsidRPr="006C0C34" w:rsidRDefault="00E81805" w:rsidP="00FA3FAE">
            <w:pPr>
              <w:numPr>
                <w:ilvl w:val="0"/>
                <w:numId w:val="29"/>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Tenir compte des espèces du milieu</w:t>
            </w:r>
          </w:p>
          <w:p w:rsidR="00E81805" w:rsidRPr="006C0C34" w:rsidRDefault="00E81805" w:rsidP="00FA3FAE">
            <w:pPr>
              <w:numPr>
                <w:ilvl w:val="0"/>
                <w:numId w:val="29"/>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Tenir compte des exigences de la nature si le projet traverse des zones humides</w:t>
            </w:r>
          </w:p>
          <w:p w:rsidR="00E81805" w:rsidRPr="006C0C34" w:rsidRDefault="00E81805" w:rsidP="00320F4C">
            <w:pPr>
              <w:autoSpaceDE w:val="0"/>
              <w:autoSpaceDN w:val="0"/>
              <w:adjustRightInd w:val="0"/>
              <w:spacing w:after="0" w:line="240" w:lineRule="auto"/>
              <w:ind w:left="56" w:right="-82"/>
              <w:jc w:val="both"/>
              <w:rPr>
                <w:rFonts w:ascii="Times New Roman" w:hAnsi="Times New Roman" w:cs="Times New Roman"/>
                <w:sz w:val="24"/>
                <w:szCs w:val="24"/>
                <w:lang w:eastAsia="fr-FR"/>
              </w:rPr>
            </w:pPr>
          </w:p>
        </w:tc>
      </w:tr>
      <w:tr w:rsidR="00E81805" w:rsidRPr="006C0C34" w:rsidTr="00320F4C">
        <w:trPr>
          <w:trHeight w:val="684"/>
          <w:jc w:val="center"/>
        </w:trPr>
        <w:tc>
          <w:tcPr>
            <w:tcW w:w="2488" w:type="dxa"/>
          </w:tcPr>
          <w:p w:rsidR="00E81805" w:rsidRPr="006C0C34" w:rsidRDefault="00E81805" w:rsidP="00320F4C">
            <w:pPr>
              <w:jc w:val="both"/>
              <w:rPr>
                <w:rFonts w:ascii="Times New Roman" w:hAnsi="Times New Roman" w:cs="Times New Roman"/>
                <w:b/>
                <w:sz w:val="24"/>
                <w:szCs w:val="24"/>
              </w:rPr>
            </w:pPr>
            <w:r w:rsidRPr="006C0C34">
              <w:rPr>
                <w:rFonts w:ascii="Times New Roman" w:hAnsi="Times New Roman" w:cs="Times New Roman"/>
                <w:b/>
                <w:sz w:val="24"/>
                <w:szCs w:val="24"/>
              </w:rPr>
              <w:t>Direction Générale des Routes</w:t>
            </w:r>
          </w:p>
        </w:tc>
        <w:tc>
          <w:tcPr>
            <w:tcW w:w="5592" w:type="dxa"/>
          </w:tcPr>
          <w:p w:rsidR="00E81805" w:rsidRPr="006C0C34" w:rsidRDefault="00E81805" w:rsidP="00FA3FAE">
            <w:pPr>
              <w:numPr>
                <w:ilvl w:val="0"/>
                <w:numId w:val="29"/>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Projet qui est d’une importance capitale dans la zone</w:t>
            </w:r>
          </w:p>
        </w:tc>
        <w:tc>
          <w:tcPr>
            <w:tcW w:w="7229" w:type="dxa"/>
          </w:tcPr>
          <w:p w:rsidR="00E81805" w:rsidRPr="006C0C34" w:rsidRDefault="00E81805" w:rsidP="00FA3FAE">
            <w:pPr>
              <w:numPr>
                <w:ilvl w:val="0"/>
                <w:numId w:val="29"/>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Prendre en considération la largeur des routes et sa distance avec les tranchées</w:t>
            </w:r>
          </w:p>
          <w:p w:rsidR="00E81805" w:rsidRPr="006C0C34" w:rsidRDefault="00E81805" w:rsidP="00FA3FAE">
            <w:pPr>
              <w:numPr>
                <w:ilvl w:val="0"/>
                <w:numId w:val="29"/>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Prendre en considération la production</w:t>
            </w:r>
          </w:p>
        </w:tc>
      </w:tr>
      <w:tr w:rsidR="00E81805" w:rsidRPr="006C0C34" w:rsidTr="00320F4C">
        <w:trPr>
          <w:trHeight w:val="282"/>
          <w:jc w:val="center"/>
        </w:trPr>
        <w:tc>
          <w:tcPr>
            <w:tcW w:w="2488" w:type="dxa"/>
          </w:tcPr>
          <w:p w:rsidR="00E81805" w:rsidRPr="006C0C34" w:rsidRDefault="00E81805" w:rsidP="00320F4C">
            <w:pPr>
              <w:jc w:val="both"/>
              <w:rPr>
                <w:rFonts w:ascii="Times New Roman" w:hAnsi="Times New Roman" w:cs="Times New Roman"/>
                <w:b/>
                <w:sz w:val="24"/>
                <w:szCs w:val="24"/>
              </w:rPr>
            </w:pPr>
            <w:r w:rsidRPr="006C0C34">
              <w:rPr>
                <w:rFonts w:ascii="Times New Roman" w:hAnsi="Times New Roman" w:cs="Times New Roman"/>
                <w:b/>
                <w:sz w:val="24"/>
                <w:szCs w:val="24"/>
              </w:rPr>
              <w:t>Direction Général des plans</w:t>
            </w:r>
          </w:p>
        </w:tc>
        <w:tc>
          <w:tcPr>
            <w:tcW w:w="5592" w:type="dxa"/>
          </w:tcPr>
          <w:p w:rsidR="00E81805" w:rsidRPr="006C0C34" w:rsidRDefault="00E81805" w:rsidP="00FA3FAE">
            <w:pPr>
              <w:numPr>
                <w:ilvl w:val="0"/>
                <w:numId w:val="29"/>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Projet très attendu dans la zone</w:t>
            </w:r>
          </w:p>
          <w:p w:rsidR="00E81805" w:rsidRPr="006C0C34" w:rsidRDefault="00E81805" w:rsidP="00FA3FAE">
            <w:pPr>
              <w:numPr>
                <w:ilvl w:val="0"/>
                <w:numId w:val="29"/>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Préoccupation liée à l’indemnisation des population</w:t>
            </w:r>
            <w:r>
              <w:rPr>
                <w:rFonts w:ascii="Times New Roman" w:hAnsi="Times New Roman" w:cs="Times New Roman"/>
                <w:sz w:val="24"/>
                <w:szCs w:val="24"/>
                <w:lang w:eastAsia="fr-FR"/>
              </w:rPr>
              <w:t>s</w:t>
            </w:r>
            <w:r w:rsidRPr="006C0C34">
              <w:rPr>
                <w:rFonts w:ascii="Times New Roman" w:hAnsi="Times New Roman" w:cs="Times New Roman"/>
                <w:sz w:val="24"/>
                <w:szCs w:val="24"/>
                <w:lang w:eastAsia="fr-FR"/>
              </w:rPr>
              <w:t xml:space="preserve"> impacté</w:t>
            </w:r>
            <w:r>
              <w:rPr>
                <w:rFonts w:ascii="Times New Roman" w:hAnsi="Times New Roman" w:cs="Times New Roman"/>
                <w:sz w:val="24"/>
                <w:szCs w:val="24"/>
                <w:lang w:eastAsia="fr-FR"/>
              </w:rPr>
              <w:t>e</w:t>
            </w:r>
            <w:r w:rsidRPr="006C0C34">
              <w:rPr>
                <w:rFonts w:ascii="Times New Roman" w:hAnsi="Times New Roman" w:cs="Times New Roman"/>
                <w:sz w:val="24"/>
                <w:szCs w:val="24"/>
                <w:lang w:eastAsia="fr-FR"/>
              </w:rPr>
              <w:t>s</w:t>
            </w:r>
          </w:p>
        </w:tc>
        <w:tc>
          <w:tcPr>
            <w:tcW w:w="7229" w:type="dxa"/>
          </w:tcPr>
          <w:p w:rsidR="00E81805" w:rsidRPr="006C0C34" w:rsidRDefault="00E81805" w:rsidP="00FA3FAE">
            <w:pPr>
              <w:numPr>
                <w:ilvl w:val="0"/>
                <w:numId w:val="29"/>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Se référer à la loi N°5 98 sur les critères d’évaluation des indemnisations</w:t>
            </w:r>
          </w:p>
          <w:p w:rsidR="00E81805" w:rsidRPr="006C0C34" w:rsidRDefault="00E81805" w:rsidP="00FA3FAE">
            <w:pPr>
              <w:numPr>
                <w:ilvl w:val="0"/>
                <w:numId w:val="29"/>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Collaborer avec les services techniques pour la bonne exécution des travaux</w:t>
            </w:r>
          </w:p>
          <w:p w:rsidR="00E81805" w:rsidRPr="006C0C34" w:rsidRDefault="00E81805" w:rsidP="00FA3FAE">
            <w:pPr>
              <w:numPr>
                <w:ilvl w:val="0"/>
                <w:numId w:val="29"/>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Faire un</w:t>
            </w:r>
            <w:r>
              <w:rPr>
                <w:rFonts w:ascii="Times New Roman" w:hAnsi="Times New Roman" w:cs="Times New Roman"/>
                <w:sz w:val="24"/>
                <w:szCs w:val="24"/>
                <w:lang w:eastAsia="fr-FR"/>
              </w:rPr>
              <w:t>e</w:t>
            </w:r>
            <w:r w:rsidRPr="006C0C34">
              <w:rPr>
                <w:rFonts w:ascii="Times New Roman" w:hAnsi="Times New Roman" w:cs="Times New Roman"/>
                <w:sz w:val="24"/>
                <w:szCs w:val="24"/>
                <w:lang w:eastAsia="fr-FR"/>
              </w:rPr>
              <w:t xml:space="preserve"> campagne de sensibilisation </w:t>
            </w:r>
            <w:r>
              <w:rPr>
                <w:rFonts w:ascii="Times New Roman" w:hAnsi="Times New Roman" w:cs="Times New Roman"/>
                <w:sz w:val="24"/>
                <w:szCs w:val="24"/>
                <w:lang w:eastAsia="fr-FR"/>
              </w:rPr>
              <w:t>auprès</w:t>
            </w:r>
            <w:r w:rsidRPr="006C0C34">
              <w:rPr>
                <w:rFonts w:ascii="Times New Roman" w:hAnsi="Times New Roman" w:cs="Times New Roman"/>
                <w:sz w:val="24"/>
                <w:szCs w:val="24"/>
                <w:lang w:eastAsia="fr-FR"/>
              </w:rPr>
              <w:t xml:space="preserve"> des populations</w:t>
            </w:r>
          </w:p>
        </w:tc>
      </w:tr>
      <w:tr w:rsidR="00E81805" w:rsidRPr="006C0C34" w:rsidTr="00320F4C">
        <w:trPr>
          <w:trHeight w:val="282"/>
          <w:jc w:val="center"/>
        </w:trPr>
        <w:tc>
          <w:tcPr>
            <w:tcW w:w="2488" w:type="dxa"/>
          </w:tcPr>
          <w:p w:rsidR="00E81805" w:rsidRPr="006C0C34" w:rsidRDefault="00E81805" w:rsidP="00320F4C">
            <w:pPr>
              <w:jc w:val="both"/>
              <w:rPr>
                <w:rFonts w:ascii="Times New Roman" w:hAnsi="Times New Roman" w:cs="Times New Roman"/>
                <w:b/>
                <w:sz w:val="24"/>
                <w:szCs w:val="24"/>
              </w:rPr>
            </w:pPr>
            <w:r w:rsidRPr="006C0C34">
              <w:rPr>
                <w:rFonts w:ascii="Times New Roman" w:hAnsi="Times New Roman" w:cs="Times New Roman"/>
                <w:b/>
                <w:sz w:val="24"/>
                <w:szCs w:val="24"/>
              </w:rPr>
              <w:t>Direction nationale des mouvements Société Civile</w:t>
            </w:r>
          </w:p>
        </w:tc>
        <w:tc>
          <w:tcPr>
            <w:tcW w:w="5592" w:type="dxa"/>
          </w:tcPr>
          <w:p w:rsidR="00E81805" w:rsidRPr="006C0C34" w:rsidRDefault="00E81805" w:rsidP="00FA3FAE">
            <w:pPr>
              <w:numPr>
                <w:ilvl w:val="0"/>
                <w:numId w:val="29"/>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Le projet vient à son heure</w:t>
            </w:r>
          </w:p>
        </w:tc>
        <w:tc>
          <w:tcPr>
            <w:tcW w:w="7229" w:type="dxa"/>
          </w:tcPr>
          <w:p w:rsidR="00E81805" w:rsidRPr="006C0C34" w:rsidRDefault="00E81805" w:rsidP="00FA3FAE">
            <w:pPr>
              <w:numPr>
                <w:ilvl w:val="0"/>
                <w:numId w:val="29"/>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Impliquer les services concernés par le projet</w:t>
            </w:r>
          </w:p>
          <w:p w:rsidR="00E81805" w:rsidRPr="006C0C34" w:rsidRDefault="00E81805" w:rsidP="00FA3FAE">
            <w:pPr>
              <w:numPr>
                <w:ilvl w:val="0"/>
                <w:numId w:val="29"/>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Travailler en partenariat avec notre service</w:t>
            </w:r>
          </w:p>
          <w:p w:rsidR="00E81805" w:rsidRPr="006C0C34" w:rsidRDefault="00E81805" w:rsidP="00FA3FAE">
            <w:pPr>
              <w:numPr>
                <w:ilvl w:val="0"/>
                <w:numId w:val="29"/>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 xml:space="preserve">Assurer l’indemnisation des populations affectées </w:t>
            </w:r>
            <w:r>
              <w:rPr>
                <w:rFonts w:ascii="Times New Roman" w:hAnsi="Times New Roman" w:cs="Times New Roman"/>
                <w:sz w:val="24"/>
                <w:szCs w:val="24"/>
                <w:lang w:eastAsia="fr-FR"/>
              </w:rPr>
              <w:t xml:space="preserve">et </w:t>
            </w:r>
            <w:r w:rsidRPr="006C0C34">
              <w:rPr>
                <w:rFonts w:ascii="Times New Roman" w:hAnsi="Times New Roman" w:cs="Times New Roman"/>
                <w:sz w:val="24"/>
                <w:szCs w:val="24"/>
                <w:lang w:eastAsia="fr-FR"/>
              </w:rPr>
              <w:t>surtout régler le problème foncier.</w:t>
            </w:r>
          </w:p>
        </w:tc>
      </w:tr>
      <w:tr w:rsidR="00E81805" w:rsidRPr="006C0C34" w:rsidTr="00320F4C">
        <w:trPr>
          <w:trHeight w:val="282"/>
          <w:jc w:val="center"/>
        </w:trPr>
        <w:tc>
          <w:tcPr>
            <w:tcW w:w="2488" w:type="dxa"/>
          </w:tcPr>
          <w:p w:rsidR="00E81805" w:rsidRPr="006C0C34" w:rsidRDefault="00E81805" w:rsidP="00320F4C">
            <w:pPr>
              <w:jc w:val="both"/>
              <w:rPr>
                <w:rFonts w:ascii="Times New Roman" w:hAnsi="Times New Roman" w:cs="Times New Roman"/>
                <w:b/>
                <w:sz w:val="24"/>
                <w:szCs w:val="24"/>
              </w:rPr>
            </w:pPr>
            <w:r w:rsidRPr="006C0C34">
              <w:rPr>
                <w:rFonts w:ascii="Times New Roman" w:hAnsi="Times New Roman" w:cs="Times New Roman"/>
                <w:b/>
                <w:sz w:val="24"/>
                <w:szCs w:val="24"/>
              </w:rPr>
              <w:t>ONG Tiniguéna</w:t>
            </w:r>
          </w:p>
        </w:tc>
        <w:tc>
          <w:tcPr>
            <w:tcW w:w="5592" w:type="dxa"/>
          </w:tcPr>
          <w:p w:rsidR="00E81805" w:rsidRPr="006C0C34" w:rsidRDefault="00E81805" w:rsidP="00FA3FAE">
            <w:pPr>
              <w:numPr>
                <w:ilvl w:val="0"/>
                <w:numId w:val="29"/>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Problème d’eau et d’électricité rencontré</w:t>
            </w:r>
          </w:p>
          <w:p w:rsidR="00E81805" w:rsidRPr="006C0C34" w:rsidRDefault="00E81805" w:rsidP="00FA3FAE">
            <w:pPr>
              <w:numPr>
                <w:ilvl w:val="0"/>
                <w:numId w:val="29"/>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80% de l’eau de Guinée Bissau est impure à cause de la contamination des nappes</w:t>
            </w:r>
          </w:p>
          <w:p w:rsidR="00E81805" w:rsidRPr="006C0C34" w:rsidRDefault="00E81805" w:rsidP="00FA3FAE">
            <w:pPr>
              <w:numPr>
                <w:ilvl w:val="0"/>
                <w:numId w:val="29"/>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Les réseaux existant</w:t>
            </w:r>
            <w:r>
              <w:rPr>
                <w:rFonts w:ascii="Times New Roman" w:hAnsi="Times New Roman" w:cs="Times New Roman"/>
                <w:sz w:val="24"/>
                <w:szCs w:val="24"/>
                <w:lang w:eastAsia="fr-FR"/>
              </w:rPr>
              <w:t>s</w:t>
            </w:r>
            <w:r w:rsidRPr="006C0C34">
              <w:rPr>
                <w:rFonts w:ascii="Times New Roman" w:hAnsi="Times New Roman" w:cs="Times New Roman"/>
                <w:sz w:val="24"/>
                <w:szCs w:val="24"/>
                <w:lang w:eastAsia="fr-FR"/>
              </w:rPr>
              <w:t xml:space="preserve"> datent de la colonisation</w:t>
            </w:r>
          </w:p>
          <w:p w:rsidR="00E81805" w:rsidRPr="006C0C34" w:rsidRDefault="00E81805" w:rsidP="00FA3FAE">
            <w:pPr>
              <w:numPr>
                <w:ilvl w:val="0"/>
                <w:numId w:val="29"/>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Les ONG participe</w:t>
            </w:r>
            <w:r>
              <w:rPr>
                <w:rFonts w:ascii="Times New Roman" w:hAnsi="Times New Roman" w:cs="Times New Roman"/>
                <w:sz w:val="24"/>
                <w:szCs w:val="24"/>
                <w:lang w:eastAsia="fr-FR"/>
              </w:rPr>
              <w:t>nt</w:t>
            </w:r>
            <w:r w:rsidRPr="006C0C34">
              <w:rPr>
                <w:rFonts w:ascii="Times New Roman" w:hAnsi="Times New Roman" w:cs="Times New Roman"/>
                <w:sz w:val="24"/>
                <w:szCs w:val="24"/>
                <w:lang w:eastAsia="fr-FR"/>
              </w:rPr>
              <w:t xml:space="preserve"> à la distribution de l’eau potable</w:t>
            </w:r>
          </w:p>
        </w:tc>
        <w:tc>
          <w:tcPr>
            <w:tcW w:w="7229" w:type="dxa"/>
          </w:tcPr>
          <w:p w:rsidR="00E81805" w:rsidRPr="006C0C34" w:rsidRDefault="00E81805" w:rsidP="00FA3FAE">
            <w:pPr>
              <w:numPr>
                <w:ilvl w:val="0"/>
                <w:numId w:val="29"/>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Que le projet soit bien exécut</w:t>
            </w:r>
            <w:r>
              <w:rPr>
                <w:rFonts w:ascii="Times New Roman" w:hAnsi="Times New Roman" w:cs="Times New Roman"/>
                <w:sz w:val="24"/>
                <w:szCs w:val="24"/>
                <w:lang w:eastAsia="fr-FR"/>
              </w:rPr>
              <w:t>é</w:t>
            </w:r>
          </w:p>
        </w:tc>
      </w:tr>
      <w:tr w:rsidR="00E81805" w:rsidRPr="006C0C34" w:rsidTr="00320F4C">
        <w:trPr>
          <w:trHeight w:val="684"/>
          <w:jc w:val="center"/>
        </w:trPr>
        <w:tc>
          <w:tcPr>
            <w:tcW w:w="2488" w:type="dxa"/>
          </w:tcPr>
          <w:p w:rsidR="00E81805" w:rsidRPr="006C0C34" w:rsidRDefault="00E81805" w:rsidP="00320F4C">
            <w:pPr>
              <w:jc w:val="both"/>
              <w:rPr>
                <w:rFonts w:ascii="Times New Roman" w:hAnsi="Times New Roman" w:cs="Times New Roman"/>
                <w:b/>
                <w:sz w:val="24"/>
                <w:szCs w:val="24"/>
              </w:rPr>
            </w:pPr>
            <w:r w:rsidRPr="006C0C34">
              <w:rPr>
                <w:rFonts w:ascii="Times New Roman" w:hAnsi="Times New Roman" w:cs="Times New Roman"/>
                <w:b/>
                <w:sz w:val="24"/>
                <w:szCs w:val="24"/>
              </w:rPr>
              <w:t xml:space="preserve">Mairie (Camara Municipal) de Bissau </w:t>
            </w:r>
          </w:p>
        </w:tc>
        <w:tc>
          <w:tcPr>
            <w:tcW w:w="5592" w:type="dxa"/>
          </w:tcPr>
          <w:p w:rsidR="00E81805" w:rsidRPr="006C0C34" w:rsidRDefault="00E81805" w:rsidP="00FA3FAE">
            <w:pPr>
              <w:numPr>
                <w:ilvl w:val="0"/>
                <w:numId w:val="29"/>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Projet très attendu dans la zone de Bissau</w:t>
            </w:r>
          </w:p>
          <w:p w:rsidR="00E81805" w:rsidRPr="006C0C34" w:rsidRDefault="00E81805" w:rsidP="00FA3FAE">
            <w:pPr>
              <w:numPr>
                <w:ilvl w:val="0"/>
                <w:numId w:val="29"/>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Information reçue à temps</w:t>
            </w:r>
          </w:p>
        </w:tc>
        <w:tc>
          <w:tcPr>
            <w:tcW w:w="7229" w:type="dxa"/>
          </w:tcPr>
          <w:p w:rsidR="00E81805" w:rsidRPr="006C0C34" w:rsidRDefault="00E81805" w:rsidP="00FA3FAE">
            <w:pPr>
              <w:numPr>
                <w:ilvl w:val="0"/>
                <w:numId w:val="29"/>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Disposer d’une carte de la ville de Bissau pour avoir plus de détail sur les informations du tracé</w:t>
            </w:r>
          </w:p>
          <w:p w:rsidR="00E81805" w:rsidRPr="006C0C34" w:rsidRDefault="00E81805" w:rsidP="00FA3FAE">
            <w:pPr>
              <w:numPr>
                <w:ilvl w:val="0"/>
                <w:numId w:val="29"/>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Assurer le suivi et la surveillance des travaux</w:t>
            </w:r>
          </w:p>
          <w:p w:rsidR="00E81805" w:rsidRPr="006C0C34" w:rsidRDefault="00E81805" w:rsidP="00FA3FAE">
            <w:pPr>
              <w:numPr>
                <w:ilvl w:val="0"/>
                <w:numId w:val="29"/>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Veiller à ce que le projet soit bien réalis</w:t>
            </w:r>
            <w:r>
              <w:rPr>
                <w:rFonts w:ascii="Times New Roman" w:hAnsi="Times New Roman" w:cs="Times New Roman"/>
                <w:sz w:val="24"/>
                <w:szCs w:val="24"/>
                <w:lang w:eastAsia="fr-FR"/>
              </w:rPr>
              <w:t>é</w:t>
            </w:r>
          </w:p>
          <w:p w:rsidR="00E81805" w:rsidRPr="006C0C34" w:rsidRDefault="00E81805" w:rsidP="00FA3FAE">
            <w:pPr>
              <w:numPr>
                <w:ilvl w:val="0"/>
                <w:numId w:val="29"/>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Prise en compte des impacts positifs et négatifs</w:t>
            </w:r>
          </w:p>
          <w:p w:rsidR="00E81805" w:rsidRPr="006C0C34" w:rsidRDefault="00E81805" w:rsidP="00FA3FAE">
            <w:pPr>
              <w:numPr>
                <w:ilvl w:val="0"/>
                <w:numId w:val="29"/>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Assurer le recrutement de la main d’œuvre locale</w:t>
            </w:r>
          </w:p>
          <w:p w:rsidR="00E81805" w:rsidRPr="006C0C34" w:rsidRDefault="00E81805" w:rsidP="00FA3FAE">
            <w:pPr>
              <w:numPr>
                <w:ilvl w:val="0"/>
                <w:numId w:val="29"/>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Associer les jeunes, les femmes disponibles</w:t>
            </w:r>
          </w:p>
        </w:tc>
      </w:tr>
      <w:tr w:rsidR="00E81805" w:rsidRPr="006C0C34" w:rsidTr="00320F4C">
        <w:trPr>
          <w:trHeight w:val="684"/>
          <w:jc w:val="center"/>
        </w:trPr>
        <w:tc>
          <w:tcPr>
            <w:tcW w:w="2488" w:type="dxa"/>
          </w:tcPr>
          <w:p w:rsidR="00E81805" w:rsidRPr="006C0C34" w:rsidRDefault="00E81805" w:rsidP="00320F4C">
            <w:pPr>
              <w:jc w:val="both"/>
              <w:rPr>
                <w:rFonts w:ascii="Times New Roman" w:hAnsi="Times New Roman" w:cs="Times New Roman"/>
                <w:b/>
                <w:sz w:val="24"/>
                <w:szCs w:val="24"/>
              </w:rPr>
            </w:pPr>
            <w:r w:rsidRPr="006C0C34">
              <w:rPr>
                <w:rFonts w:ascii="Times New Roman" w:hAnsi="Times New Roman" w:cs="Times New Roman"/>
                <w:b/>
                <w:sz w:val="24"/>
                <w:szCs w:val="24"/>
              </w:rPr>
              <w:t xml:space="preserve"> Mairie de Prabis (Secteur)</w:t>
            </w:r>
          </w:p>
        </w:tc>
        <w:tc>
          <w:tcPr>
            <w:tcW w:w="5592" w:type="dxa"/>
          </w:tcPr>
          <w:p w:rsidR="00E81805" w:rsidRPr="006C0C34" w:rsidRDefault="00E81805" w:rsidP="00FA3FAE">
            <w:pPr>
              <w:numPr>
                <w:ilvl w:val="0"/>
                <w:numId w:val="29"/>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Existence de champs agricole</w:t>
            </w:r>
            <w:r>
              <w:rPr>
                <w:rFonts w:ascii="Times New Roman" w:hAnsi="Times New Roman" w:cs="Times New Roman"/>
                <w:sz w:val="24"/>
                <w:szCs w:val="24"/>
                <w:lang w:eastAsia="fr-FR"/>
              </w:rPr>
              <w:t>s</w:t>
            </w:r>
            <w:r w:rsidRPr="006C0C34">
              <w:rPr>
                <w:rFonts w:ascii="Times New Roman" w:hAnsi="Times New Roman" w:cs="Times New Roman"/>
                <w:sz w:val="24"/>
                <w:szCs w:val="24"/>
                <w:lang w:eastAsia="fr-FR"/>
              </w:rPr>
              <w:t xml:space="preserve"> dans certaines zones du tracé.</w:t>
            </w:r>
          </w:p>
          <w:p w:rsidR="00E81805" w:rsidRPr="006C0C34" w:rsidRDefault="00E81805" w:rsidP="00FA3FAE">
            <w:pPr>
              <w:numPr>
                <w:ilvl w:val="0"/>
                <w:numId w:val="29"/>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Information du projet reçu</w:t>
            </w:r>
            <w:r>
              <w:rPr>
                <w:rFonts w:ascii="Times New Roman" w:hAnsi="Times New Roman" w:cs="Times New Roman"/>
                <w:sz w:val="24"/>
                <w:szCs w:val="24"/>
                <w:lang w:eastAsia="fr-FR"/>
              </w:rPr>
              <w:t>e</w:t>
            </w:r>
            <w:r w:rsidRPr="006C0C34">
              <w:rPr>
                <w:rFonts w:ascii="Times New Roman" w:hAnsi="Times New Roman" w:cs="Times New Roman"/>
                <w:sz w:val="24"/>
                <w:szCs w:val="24"/>
                <w:lang w:eastAsia="fr-FR"/>
              </w:rPr>
              <w:t xml:space="preserve"> par les populations traversées</w:t>
            </w:r>
          </w:p>
        </w:tc>
        <w:tc>
          <w:tcPr>
            <w:tcW w:w="7229" w:type="dxa"/>
          </w:tcPr>
          <w:p w:rsidR="00E81805" w:rsidRPr="006C0C34" w:rsidRDefault="00E81805" w:rsidP="00FA3FAE">
            <w:pPr>
              <w:numPr>
                <w:ilvl w:val="0"/>
                <w:numId w:val="29"/>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Assurer l’indemnisation des populations affectées</w:t>
            </w:r>
          </w:p>
          <w:p w:rsidR="00E81805" w:rsidRPr="006C0C34" w:rsidRDefault="00E81805" w:rsidP="00FA3FAE">
            <w:pPr>
              <w:numPr>
                <w:ilvl w:val="0"/>
                <w:numId w:val="29"/>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6C0C34">
              <w:rPr>
                <w:rFonts w:ascii="Times New Roman" w:hAnsi="Times New Roman" w:cs="Times New Roman"/>
                <w:sz w:val="24"/>
                <w:szCs w:val="24"/>
                <w:lang w:eastAsia="fr-FR"/>
              </w:rPr>
              <w:t>Veiller à la compensation des pertes végétale</w:t>
            </w:r>
            <w:r>
              <w:rPr>
                <w:rFonts w:ascii="Times New Roman" w:hAnsi="Times New Roman" w:cs="Times New Roman"/>
                <w:sz w:val="24"/>
                <w:szCs w:val="24"/>
                <w:lang w:eastAsia="fr-FR"/>
              </w:rPr>
              <w:t>s</w:t>
            </w:r>
            <w:r w:rsidRPr="006C0C34">
              <w:rPr>
                <w:rFonts w:ascii="Times New Roman" w:hAnsi="Times New Roman" w:cs="Times New Roman"/>
                <w:sz w:val="24"/>
                <w:szCs w:val="24"/>
                <w:lang w:eastAsia="fr-FR"/>
              </w:rPr>
              <w:t xml:space="preserve"> tout le long de la route</w:t>
            </w:r>
          </w:p>
        </w:tc>
      </w:tr>
    </w:tbl>
    <w:p w:rsidR="00E81805" w:rsidRPr="006C0C34" w:rsidRDefault="00E81805" w:rsidP="00E81805">
      <w:pPr>
        <w:jc w:val="both"/>
        <w:rPr>
          <w:rFonts w:ascii="Times New Roman" w:hAnsi="Times New Roman" w:cs="Times New Roman"/>
          <w:sz w:val="24"/>
          <w:szCs w:val="24"/>
        </w:rPr>
        <w:sectPr w:rsidR="00E81805" w:rsidRPr="006C0C34" w:rsidSect="00DC6693">
          <w:pgSz w:w="16838" w:h="11906" w:orient="landscape"/>
          <w:pgMar w:top="567" w:right="1134" w:bottom="1418" w:left="851" w:header="284" w:footer="709" w:gutter="0"/>
          <w:cols w:space="708"/>
          <w:docGrid w:linePitch="360"/>
        </w:sectPr>
      </w:pPr>
    </w:p>
    <w:p w:rsidR="00E81805" w:rsidRPr="006C0C34" w:rsidRDefault="00E81805" w:rsidP="00E81805">
      <w:pPr>
        <w:jc w:val="both"/>
        <w:rPr>
          <w:rFonts w:ascii="Times New Roman" w:hAnsi="Times New Roman" w:cs="Times New Roman"/>
          <w:sz w:val="24"/>
          <w:szCs w:val="24"/>
        </w:rPr>
      </w:pPr>
    </w:p>
    <w:p w:rsidR="00E81805" w:rsidRPr="006C0C34" w:rsidRDefault="00EE3027" w:rsidP="00EE3027">
      <w:pPr>
        <w:pStyle w:val="PargrafodaLista"/>
        <w:keepNext/>
        <w:spacing w:before="240" w:after="240"/>
        <w:ind w:left="450" w:firstLine="258"/>
        <w:jc w:val="both"/>
        <w:outlineLvl w:val="2"/>
        <w:rPr>
          <w:rFonts w:ascii="Times New Roman" w:hAnsi="Times New Roman"/>
          <w:b/>
          <w:sz w:val="24"/>
          <w:szCs w:val="24"/>
          <w:lang w:val="fr-FR" w:eastAsia="fr-FR"/>
        </w:rPr>
      </w:pPr>
      <w:bookmarkStart w:id="652" w:name="_Toc51072616"/>
      <w:r>
        <w:rPr>
          <w:rFonts w:ascii="Times New Roman" w:hAnsi="Times New Roman"/>
          <w:b/>
          <w:sz w:val="24"/>
          <w:szCs w:val="24"/>
          <w:lang w:val="fr-FR" w:eastAsia="fr-FR"/>
        </w:rPr>
        <w:t>8.6.7.</w:t>
      </w:r>
      <w:r w:rsidR="00E81805" w:rsidRPr="006C0C34">
        <w:rPr>
          <w:rFonts w:ascii="Times New Roman" w:hAnsi="Times New Roman"/>
          <w:b/>
          <w:sz w:val="24"/>
          <w:szCs w:val="24"/>
          <w:lang w:val="fr-FR" w:eastAsia="fr-FR"/>
        </w:rPr>
        <w:t xml:space="preserve"> Préoccupation et perception sur le projet</w:t>
      </w:r>
      <w:bookmarkEnd w:id="652"/>
    </w:p>
    <w:p w:rsidR="00E81805" w:rsidRPr="006C0C34" w:rsidRDefault="00E81805" w:rsidP="00E81805">
      <w:pPr>
        <w:jc w:val="both"/>
        <w:rPr>
          <w:rFonts w:ascii="Times New Roman" w:hAnsi="Times New Roman" w:cs="Times New Roman"/>
          <w:sz w:val="24"/>
          <w:szCs w:val="24"/>
        </w:rPr>
      </w:pPr>
      <w:r w:rsidRPr="006C0C34">
        <w:rPr>
          <w:rFonts w:ascii="Times New Roman" w:hAnsi="Times New Roman" w:cs="Times New Roman"/>
          <w:sz w:val="24"/>
          <w:szCs w:val="24"/>
        </w:rPr>
        <w:t>Il est ici question de la dimension socio-économique et environnementale du projet.</w:t>
      </w:r>
    </w:p>
    <w:p w:rsidR="00E81805" w:rsidRPr="006279B6" w:rsidRDefault="00E81805" w:rsidP="00FA3FAE">
      <w:pPr>
        <w:pStyle w:val="PargrafodaLista"/>
        <w:numPr>
          <w:ilvl w:val="0"/>
          <w:numId w:val="38"/>
        </w:numPr>
        <w:jc w:val="both"/>
        <w:rPr>
          <w:rFonts w:ascii="Times New Roman" w:hAnsi="Times New Roman"/>
          <w:b/>
          <w:sz w:val="24"/>
          <w:szCs w:val="24"/>
        </w:rPr>
      </w:pPr>
      <w:r w:rsidRPr="006279B6">
        <w:rPr>
          <w:rFonts w:ascii="Times New Roman" w:hAnsi="Times New Roman"/>
          <w:b/>
          <w:sz w:val="24"/>
          <w:szCs w:val="24"/>
        </w:rPr>
        <w:t>Environnemental</w:t>
      </w:r>
      <w:r w:rsidR="00AB38EF">
        <w:rPr>
          <w:rFonts w:ascii="Times New Roman" w:hAnsi="Times New Roman"/>
          <w:b/>
          <w:sz w:val="24"/>
          <w:szCs w:val="24"/>
          <w:lang w:val="fr-FR"/>
        </w:rPr>
        <w:t>e</w:t>
      </w:r>
      <w:r w:rsidRPr="006279B6">
        <w:rPr>
          <w:rFonts w:ascii="Times New Roman" w:hAnsi="Times New Roman"/>
          <w:b/>
          <w:sz w:val="24"/>
          <w:szCs w:val="24"/>
        </w:rPr>
        <w:t> :</w:t>
      </w:r>
    </w:p>
    <w:p w:rsidR="00E81805" w:rsidRPr="006C0C34" w:rsidRDefault="00E81805" w:rsidP="00FA3FAE">
      <w:pPr>
        <w:pStyle w:val="PargrafodaLista"/>
        <w:numPr>
          <w:ilvl w:val="0"/>
          <w:numId w:val="31"/>
        </w:numPr>
        <w:autoSpaceDE w:val="0"/>
        <w:autoSpaceDN w:val="0"/>
        <w:adjustRightInd w:val="0"/>
        <w:spacing w:before="120" w:after="0" w:line="240" w:lineRule="auto"/>
        <w:jc w:val="both"/>
        <w:rPr>
          <w:rFonts w:ascii="Times New Roman" w:hAnsi="Times New Roman"/>
          <w:sz w:val="24"/>
          <w:szCs w:val="24"/>
          <w:lang w:val="fr-FR"/>
        </w:rPr>
      </w:pPr>
      <w:r w:rsidRPr="006C0C34">
        <w:rPr>
          <w:rFonts w:ascii="Times New Roman" w:hAnsi="Times New Roman"/>
          <w:sz w:val="24"/>
          <w:szCs w:val="24"/>
          <w:lang w:val="fr-FR"/>
        </w:rPr>
        <w:t>Pollution de l’air et des sols ;</w:t>
      </w:r>
    </w:p>
    <w:p w:rsidR="00E81805" w:rsidRPr="006C0C34" w:rsidRDefault="00E81805" w:rsidP="00FA3FAE">
      <w:pPr>
        <w:pStyle w:val="PargrafodaLista"/>
        <w:numPr>
          <w:ilvl w:val="0"/>
          <w:numId w:val="31"/>
        </w:numPr>
        <w:autoSpaceDE w:val="0"/>
        <w:autoSpaceDN w:val="0"/>
        <w:adjustRightInd w:val="0"/>
        <w:spacing w:before="120" w:after="0" w:line="240" w:lineRule="auto"/>
        <w:jc w:val="both"/>
        <w:rPr>
          <w:rFonts w:ascii="Times New Roman" w:hAnsi="Times New Roman"/>
          <w:sz w:val="24"/>
          <w:szCs w:val="24"/>
          <w:lang w:val="fr-FR"/>
        </w:rPr>
      </w:pPr>
      <w:r w:rsidRPr="006C0C34">
        <w:rPr>
          <w:rFonts w:ascii="Times New Roman" w:hAnsi="Times New Roman"/>
          <w:sz w:val="24"/>
          <w:szCs w:val="24"/>
          <w:lang w:val="fr-FR"/>
        </w:rPr>
        <w:t>Déboisement du capital végétal ;</w:t>
      </w:r>
    </w:p>
    <w:p w:rsidR="00E81805" w:rsidRPr="006C0C34" w:rsidRDefault="00E81805" w:rsidP="00FA3FAE">
      <w:pPr>
        <w:numPr>
          <w:ilvl w:val="0"/>
          <w:numId w:val="31"/>
        </w:numPr>
        <w:spacing w:after="0" w:line="276" w:lineRule="auto"/>
        <w:jc w:val="both"/>
        <w:rPr>
          <w:rFonts w:ascii="Times New Roman" w:hAnsi="Times New Roman" w:cs="Times New Roman"/>
          <w:sz w:val="24"/>
          <w:szCs w:val="24"/>
        </w:rPr>
      </w:pPr>
      <w:r w:rsidRPr="006C0C34">
        <w:rPr>
          <w:rFonts w:ascii="Times New Roman" w:hAnsi="Times New Roman" w:cs="Times New Roman"/>
          <w:sz w:val="24"/>
          <w:szCs w:val="24"/>
        </w:rPr>
        <w:t>Perturbation de la tranquillité des populations par le bruit des engins (pollution sonore) ;</w:t>
      </w:r>
    </w:p>
    <w:p w:rsidR="00E81805" w:rsidRPr="006C0C34" w:rsidRDefault="00E81805" w:rsidP="00FA3FAE">
      <w:pPr>
        <w:numPr>
          <w:ilvl w:val="0"/>
          <w:numId w:val="31"/>
        </w:numPr>
        <w:spacing w:after="0" w:line="276" w:lineRule="auto"/>
        <w:jc w:val="both"/>
        <w:rPr>
          <w:rFonts w:ascii="Times New Roman" w:hAnsi="Times New Roman" w:cs="Times New Roman"/>
          <w:sz w:val="24"/>
          <w:szCs w:val="24"/>
        </w:rPr>
      </w:pPr>
      <w:r w:rsidRPr="006C0C34">
        <w:rPr>
          <w:rFonts w:ascii="Times New Roman" w:hAnsi="Times New Roman" w:cs="Times New Roman"/>
          <w:sz w:val="24"/>
          <w:szCs w:val="24"/>
        </w:rPr>
        <w:t>Emprises sur les terres et champs</w:t>
      </w:r>
      <w:r>
        <w:rPr>
          <w:rFonts w:ascii="Times New Roman" w:hAnsi="Times New Roman" w:cs="Times New Roman"/>
          <w:sz w:val="24"/>
          <w:szCs w:val="24"/>
        </w:rPr>
        <w:t>.</w:t>
      </w:r>
    </w:p>
    <w:p w:rsidR="00E81805" w:rsidRPr="006279B6" w:rsidRDefault="00E81805" w:rsidP="00FA3FAE">
      <w:pPr>
        <w:pStyle w:val="PargrafodaLista"/>
        <w:numPr>
          <w:ilvl w:val="0"/>
          <w:numId w:val="37"/>
        </w:numPr>
        <w:jc w:val="both"/>
        <w:rPr>
          <w:rFonts w:ascii="Times New Roman" w:hAnsi="Times New Roman"/>
          <w:b/>
          <w:sz w:val="24"/>
          <w:szCs w:val="24"/>
        </w:rPr>
      </w:pPr>
      <w:r w:rsidRPr="006279B6">
        <w:rPr>
          <w:rFonts w:ascii="Times New Roman" w:hAnsi="Times New Roman"/>
          <w:b/>
          <w:sz w:val="24"/>
          <w:szCs w:val="24"/>
        </w:rPr>
        <w:t>Socio-économique :</w:t>
      </w:r>
    </w:p>
    <w:p w:rsidR="00E81805" w:rsidRPr="006C0C34" w:rsidRDefault="00E81805" w:rsidP="00FA3FAE">
      <w:pPr>
        <w:pStyle w:val="PargrafodaLista"/>
        <w:numPr>
          <w:ilvl w:val="0"/>
          <w:numId w:val="32"/>
        </w:numPr>
        <w:spacing w:after="0"/>
        <w:jc w:val="both"/>
        <w:rPr>
          <w:rFonts w:ascii="Times New Roman" w:hAnsi="Times New Roman"/>
          <w:sz w:val="24"/>
          <w:szCs w:val="24"/>
          <w:lang w:val="fr-FR"/>
        </w:rPr>
      </w:pPr>
      <w:r w:rsidRPr="006C0C34">
        <w:rPr>
          <w:rFonts w:ascii="Times New Roman" w:hAnsi="Times New Roman"/>
          <w:sz w:val="24"/>
          <w:szCs w:val="24"/>
          <w:lang w:val="fr-FR"/>
        </w:rPr>
        <w:t>Absence de retombées en matière d’emplois pour les autochtones ;</w:t>
      </w:r>
    </w:p>
    <w:p w:rsidR="00E81805" w:rsidRPr="006C0C34" w:rsidRDefault="00E81805" w:rsidP="00FA3FAE">
      <w:pPr>
        <w:pStyle w:val="PargrafodaLista"/>
        <w:numPr>
          <w:ilvl w:val="0"/>
          <w:numId w:val="32"/>
        </w:numPr>
        <w:spacing w:after="0"/>
        <w:jc w:val="both"/>
        <w:rPr>
          <w:rFonts w:ascii="Times New Roman" w:hAnsi="Times New Roman"/>
          <w:sz w:val="24"/>
          <w:szCs w:val="24"/>
          <w:lang w:val="fr-FR"/>
        </w:rPr>
      </w:pPr>
      <w:r w:rsidRPr="006C0C34">
        <w:rPr>
          <w:rFonts w:ascii="Times New Roman" w:hAnsi="Times New Roman"/>
          <w:sz w:val="24"/>
          <w:szCs w:val="24"/>
          <w:lang w:val="fr-FR"/>
        </w:rPr>
        <w:t>Paiement des taxes d’abattage des arbres au service des eaux et forêt</w:t>
      </w:r>
      <w:r>
        <w:rPr>
          <w:rFonts w:ascii="Times New Roman" w:hAnsi="Times New Roman"/>
          <w:sz w:val="24"/>
          <w:szCs w:val="24"/>
          <w:lang w:val="fr-FR"/>
        </w:rPr>
        <w:t>s</w:t>
      </w:r>
      <w:r w:rsidRPr="006C0C34">
        <w:rPr>
          <w:rFonts w:ascii="Times New Roman" w:hAnsi="Times New Roman"/>
          <w:sz w:val="24"/>
          <w:szCs w:val="24"/>
          <w:lang w:val="fr-FR"/>
        </w:rPr>
        <w:t> ;</w:t>
      </w:r>
    </w:p>
    <w:p w:rsidR="00E81805" w:rsidRPr="006C0C34" w:rsidRDefault="00E81805" w:rsidP="00FA3FAE">
      <w:pPr>
        <w:pStyle w:val="PargrafodaLista"/>
        <w:numPr>
          <w:ilvl w:val="0"/>
          <w:numId w:val="32"/>
        </w:numPr>
        <w:spacing w:after="0"/>
        <w:jc w:val="both"/>
        <w:rPr>
          <w:rFonts w:ascii="Times New Roman" w:hAnsi="Times New Roman"/>
          <w:sz w:val="24"/>
          <w:szCs w:val="24"/>
          <w:lang w:val="fr-FR"/>
        </w:rPr>
      </w:pPr>
      <w:r w:rsidRPr="006C0C34">
        <w:rPr>
          <w:rFonts w:ascii="Times New Roman" w:hAnsi="Times New Roman"/>
          <w:sz w:val="24"/>
          <w:szCs w:val="24"/>
          <w:lang w:val="fr-FR"/>
        </w:rPr>
        <w:t>Risques d’accidents</w:t>
      </w:r>
      <w:r>
        <w:rPr>
          <w:rFonts w:ascii="Times New Roman" w:hAnsi="Times New Roman"/>
          <w:sz w:val="24"/>
          <w:szCs w:val="24"/>
          <w:lang w:val="fr-FR"/>
        </w:rPr>
        <w:t>.</w:t>
      </w:r>
    </w:p>
    <w:p w:rsidR="00E81805" w:rsidRPr="006279B6" w:rsidRDefault="00E81805" w:rsidP="00FA3FAE">
      <w:pPr>
        <w:pStyle w:val="PargrafodaLista"/>
        <w:numPr>
          <w:ilvl w:val="0"/>
          <w:numId w:val="36"/>
        </w:numPr>
        <w:jc w:val="both"/>
        <w:rPr>
          <w:rFonts w:ascii="Times New Roman" w:hAnsi="Times New Roman"/>
          <w:b/>
          <w:sz w:val="24"/>
          <w:szCs w:val="24"/>
          <w:lang w:eastAsia="fr-FR"/>
        </w:rPr>
      </w:pPr>
      <w:r w:rsidRPr="006279B6">
        <w:rPr>
          <w:rFonts w:ascii="Times New Roman" w:hAnsi="Times New Roman"/>
          <w:b/>
          <w:sz w:val="24"/>
          <w:szCs w:val="24"/>
          <w:lang w:eastAsia="fr-FR"/>
        </w:rPr>
        <w:t>Résultats de la consultation des populations</w:t>
      </w:r>
    </w:p>
    <w:p w:rsidR="00E81805" w:rsidRPr="006C0C34" w:rsidRDefault="00E81805" w:rsidP="00E81805">
      <w:pPr>
        <w:jc w:val="both"/>
        <w:rPr>
          <w:rFonts w:ascii="Times New Roman" w:hAnsi="Times New Roman" w:cs="Times New Roman"/>
          <w:b/>
          <w:sz w:val="24"/>
          <w:szCs w:val="24"/>
          <w:u w:val="single"/>
        </w:rPr>
      </w:pPr>
      <w:r w:rsidRPr="006C0C34">
        <w:rPr>
          <w:rFonts w:ascii="Times New Roman" w:hAnsi="Times New Roman" w:cs="Times New Roman"/>
          <w:sz w:val="24"/>
          <w:szCs w:val="24"/>
        </w:rPr>
        <w:t xml:space="preserve"> Les consultations publiques avec les populations des communes bénéficiaires et leurs représentants ont concerné : </w:t>
      </w:r>
      <w:r w:rsidRPr="006C0C34">
        <w:rPr>
          <w:rFonts w:ascii="Times New Roman" w:hAnsi="Times New Roman" w:cs="Times New Roman"/>
          <w:b/>
          <w:sz w:val="24"/>
          <w:szCs w:val="24"/>
        </w:rPr>
        <w:t>les quartiers de Prabis, de Bor, de Hafia, de l’Aéroport, et d’Antula</w:t>
      </w:r>
      <w:r w:rsidRPr="006C0C34">
        <w:rPr>
          <w:rFonts w:ascii="Times New Roman" w:hAnsi="Times New Roman" w:cs="Times New Roman"/>
          <w:sz w:val="24"/>
          <w:szCs w:val="24"/>
        </w:rPr>
        <w:t>.</w:t>
      </w:r>
    </w:p>
    <w:p w:rsidR="00E81805" w:rsidRPr="006C0C34" w:rsidRDefault="00E81805" w:rsidP="00E81805">
      <w:pPr>
        <w:jc w:val="both"/>
        <w:rPr>
          <w:rFonts w:ascii="Times New Roman" w:hAnsi="Times New Roman" w:cs="Times New Roman"/>
          <w:b/>
          <w:sz w:val="24"/>
          <w:szCs w:val="24"/>
          <w:u w:val="single"/>
        </w:rPr>
      </w:pPr>
      <w:r w:rsidRPr="006C0C34">
        <w:rPr>
          <w:rFonts w:ascii="Times New Roman" w:hAnsi="Times New Roman" w:cs="Times New Roman"/>
          <w:sz w:val="24"/>
          <w:szCs w:val="24"/>
        </w:rPr>
        <w:t xml:space="preserve"> Il est apparu très largement et de façon générale aux cours des consultations publiques, une forte acceptabilité sociale du projet par les populations consultées.  </w:t>
      </w:r>
      <w:r>
        <w:rPr>
          <w:rFonts w:ascii="Times New Roman" w:hAnsi="Times New Roman" w:cs="Times New Roman"/>
          <w:sz w:val="24"/>
          <w:szCs w:val="24"/>
        </w:rPr>
        <w:t>D</w:t>
      </w:r>
      <w:r w:rsidRPr="006C0C34">
        <w:rPr>
          <w:rFonts w:ascii="Times New Roman" w:hAnsi="Times New Roman" w:cs="Times New Roman"/>
          <w:sz w:val="24"/>
          <w:szCs w:val="24"/>
        </w:rPr>
        <w:t>’après elles, le PUASEE vient répondre à une demande sociale, environnementale et d’urbanisation exprimée depuis des années par des populations qui subissent les manquements d’eau potable et d’éclairage public. Les populations et leurs chefs de quartiers rencontrés, lors des assemblées de consultation, ont montré une claire compréhension des enjeux environnementaux et sociaux du projet et sont prêtes à y prêter main forte pour l’atteinte des objectifs visés. Les populations fondent un immense espoir de voir les activités et les composantes prévues dans le cadre du projet se matérialiser rapidement, afin de bénéficier d’un cadre de vie amélioré avec de nouvelles constructions, des réhabilitations et d’extension de réseaux d’eau et d’électricité. Pour l’essentiel</w:t>
      </w:r>
      <w:r>
        <w:rPr>
          <w:rFonts w:ascii="Times New Roman" w:hAnsi="Times New Roman" w:cs="Times New Roman"/>
          <w:sz w:val="24"/>
          <w:szCs w:val="24"/>
        </w:rPr>
        <w:t>,</w:t>
      </w:r>
      <w:r w:rsidRPr="006C0C34">
        <w:rPr>
          <w:rFonts w:ascii="Times New Roman" w:hAnsi="Times New Roman" w:cs="Times New Roman"/>
          <w:sz w:val="24"/>
          <w:szCs w:val="24"/>
        </w:rPr>
        <w:t xml:space="preserve"> les populations et les élus locaux estiment que la prise en charge des problèmes de l’eau et de l’électricité est une question urgente pour assurer la durabilité des quartiers.</w:t>
      </w:r>
    </w:p>
    <w:p w:rsidR="00E81805" w:rsidRPr="006C0C34" w:rsidRDefault="00EE3027" w:rsidP="00EE3027">
      <w:pPr>
        <w:pStyle w:val="PargrafodaLista"/>
        <w:keepNext/>
        <w:spacing w:before="240" w:after="240"/>
        <w:ind w:left="450" w:firstLine="258"/>
        <w:jc w:val="both"/>
        <w:outlineLvl w:val="2"/>
        <w:rPr>
          <w:rFonts w:ascii="Times New Roman" w:hAnsi="Times New Roman"/>
          <w:b/>
          <w:sz w:val="24"/>
          <w:szCs w:val="24"/>
          <w:lang w:val="fr-FR" w:eastAsia="fr-FR"/>
        </w:rPr>
      </w:pPr>
      <w:bookmarkStart w:id="653" w:name="_Toc51072617"/>
      <w:r>
        <w:rPr>
          <w:rFonts w:ascii="Times New Roman" w:hAnsi="Times New Roman"/>
          <w:b/>
          <w:sz w:val="24"/>
          <w:szCs w:val="24"/>
          <w:lang w:val="fr-FR" w:eastAsia="fr-FR"/>
        </w:rPr>
        <w:t>8</w:t>
      </w:r>
      <w:r w:rsidRPr="006C0C34">
        <w:rPr>
          <w:rFonts w:ascii="Times New Roman" w:hAnsi="Times New Roman"/>
          <w:b/>
          <w:sz w:val="24"/>
          <w:szCs w:val="24"/>
          <w:lang w:val="fr-FR" w:eastAsia="fr-FR"/>
        </w:rPr>
        <w:t>.</w:t>
      </w:r>
      <w:r>
        <w:rPr>
          <w:rFonts w:ascii="Times New Roman" w:hAnsi="Times New Roman"/>
          <w:b/>
          <w:sz w:val="24"/>
          <w:szCs w:val="24"/>
          <w:lang w:val="fr-FR" w:eastAsia="fr-FR"/>
        </w:rPr>
        <w:t>6.8.</w:t>
      </w:r>
      <w:r w:rsidRPr="006C0C34">
        <w:rPr>
          <w:rFonts w:ascii="Times New Roman" w:hAnsi="Times New Roman"/>
          <w:b/>
          <w:sz w:val="24"/>
          <w:szCs w:val="24"/>
          <w:lang w:val="fr-FR" w:eastAsia="fr-FR"/>
        </w:rPr>
        <w:t xml:space="preserve"> Analyse de la consultation</w:t>
      </w:r>
      <w:bookmarkEnd w:id="653"/>
    </w:p>
    <w:p w:rsidR="00E81805" w:rsidRPr="006C0C34" w:rsidRDefault="00E81805" w:rsidP="00E81805">
      <w:pPr>
        <w:jc w:val="both"/>
        <w:rPr>
          <w:rFonts w:ascii="Times New Roman" w:hAnsi="Times New Roman" w:cs="Times New Roman"/>
          <w:sz w:val="24"/>
          <w:szCs w:val="24"/>
        </w:rPr>
      </w:pPr>
      <w:r w:rsidRPr="006C0C34">
        <w:rPr>
          <w:rFonts w:ascii="Times New Roman" w:hAnsi="Times New Roman" w:cs="Times New Roman"/>
          <w:sz w:val="24"/>
          <w:szCs w:val="24"/>
        </w:rPr>
        <w:t xml:space="preserve">L’analyse de contenu des avis et des perceptions issues des consultations avec les différentes catégories d’acteurs </w:t>
      </w:r>
      <w:r>
        <w:rPr>
          <w:rFonts w:ascii="Times New Roman" w:hAnsi="Times New Roman" w:cs="Times New Roman"/>
          <w:sz w:val="24"/>
          <w:szCs w:val="24"/>
        </w:rPr>
        <w:t xml:space="preserve">relèvent </w:t>
      </w:r>
      <w:r w:rsidRPr="006C0C34">
        <w:rPr>
          <w:rFonts w:ascii="Times New Roman" w:hAnsi="Times New Roman" w:cs="Times New Roman"/>
          <w:sz w:val="24"/>
          <w:szCs w:val="24"/>
        </w:rPr>
        <w:t>d’une bonne compréhension des enjeux du PUASEE. Au total</w:t>
      </w:r>
      <w:r>
        <w:rPr>
          <w:rFonts w:ascii="Times New Roman" w:hAnsi="Times New Roman" w:cs="Times New Roman"/>
          <w:sz w:val="24"/>
          <w:szCs w:val="24"/>
        </w:rPr>
        <w:t>,</w:t>
      </w:r>
      <w:r w:rsidRPr="006C0C34">
        <w:rPr>
          <w:rFonts w:ascii="Times New Roman" w:hAnsi="Times New Roman" w:cs="Times New Roman"/>
          <w:sz w:val="24"/>
          <w:szCs w:val="24"/>
        </w:rPr>
        <w:t xml:space="preserve"> l’ensemble des catégories d’acteurs consultés ont montré une totale adhésion au projet, il est constaté une acceptabilité sociale et institutionnelle vis-à-vis du projet et de ses composantes. Ce niveau reflète, cependant, des préoccupations et des attentes. Il est évident que les Projets qui auront les meilleurs résultats à long terme seront celles qui arrivent à conjuguer simultanément l’environnement, l’économie et une responsabilité vis-à-vis des communautés locales. Cette responsabilité n’a de raison d’être et de pérennité que si elle s’inscrit dans une approche participative et inclusive.</w:t>
      </w:r>
    </w:p>
    <w:p w:rsidR="00E81805" w:rsidRPr="006279B6" w:rsidRDefault="00E81805" w:rsidP="00FA3FAE">
      <w:pPr>
        <w:pStyle w:val="PargrafodaLista"/>
        <w:numPr>
          <w:ilvl w:val="0"/>
          <w:numId w:val="39"/>
        </w:numPr>
        <w:jc w:val="both"/>
        <w:rPr>
          <w:rFonts w:ascii="Times New Roman" w:hAnsi="Times New Roman"/>
          <w:b/>
          <w:sz w:val="24"/>
          <w:szCs w:val="24"/>
        </w:rPr>
      </w:pPr>
      <w:r w:rsidRPr="006279B6">
        <w:rPr>
          <w:rFonts w:ascii="Times New Roman" w:hAnsi="Times New Roman"/>
          <w:b/>
          <w:sz w:val="24"/>
          <w:szCs w:val="24"/>
        </w:rPr>
        <w:t xml:space="preserve">Les préoccupations des populations et </w:t>
      </w:r>
      <w:r>
        <w:rPr>
          <w:rFonts w:ascii="Times New Roman" w:hAnsi="Times New Roman"/>
          <w:b/>
          <w:sz w:val="24"/>
          <w:szCs w:val="24"/>
          <w:lang w:val="fr-FR"/>
        </w:rPr>
        <w:t xml:space="preserve">de </w:t>
      </w:r>
      <w:r w:rsidRPr="006279B6">
        <w:rPr>
          <w:rFonts w:ascii="Times New Roman" w:hAnsi="Times New Roman"/>
          <w:b/>
          <w:sz w:val="24"/>
          <w:szCs w:val="24"/>
        </w:rPr>
        <w:t>leurs représentants :</w:t>
      </w:r>
    </w:p>
    <w:p w:rsidR="00E81805" w:rsidRPr="006C0C34" w:rsidRDefault="00E81805" w:rsidP="00E81805">
      <w:pPr>
        <w:jc w:val="both"/>
        <w:rPr>
          <w:rFonts w:ascii="Times New Roman" w:hAnsi="Times New Roman" w:cs="Times New Roman"/>
          <w:sz w:val="24"/>
          <w:szCs w:val="24"/>
        </w:rPr>
      </w:pPr>
      <w:r w:rsidRPr="006C0C34">
        <w:rPr>
          <w:rFonts w:ascii="Times New Roman" w:hAnsi="Times New Roman" w:cs="Times New Roman"/>
          <w:sz w:val="24"/>
          <w:szCs w:val="24"/>
        </w:rPr>
        <w:t>Leurs réserves et préoccup</w:t>
      </w:r>
      <w:r>
        <w:rPr>
          <w:rFonts w:ascii="Times New Roman" w:hAnsi="Times New Roman" w:cs="Times New Roman"/>
          <w:sz w:val="24"/>
          <w:szCs w:val="24"/>
        </w:rPr>
        <w:t>at</w:t>
      </w:r>
      <w:r w:rsidRPr="006C0C34">
        <w:rPr>
          <w:rFonts w:ascii="Times New Roman" w:hAnsi="Times New Roman" w:cs="Times New Roman"/>
          <w:sz w:val="24"/>
          <w:szCs w:val="24"/>
        </w:rPr>
        <w:t>ions majeurs s’expriment en terme</w:t>
      </w:r>
      <w:r>
        <w:rPr>
          <w:rFonts w:ascii="Times New Roman" w:hAnsi="Times New Roman" w:cs="Times New Roman"/>
          <w:sz w:val="24"/>
          <w:szCs w:val="24"/>
        </w:rPr>
        <w:t>s</w:t>
      </w:r>
      <w:r w:rsidRPr="006C0C34">
        <w:rPr>
          <w:rFonts w:ascii="Times New Roman" w:hAnsi="Times New Roman" w:cs="Times New Roman"/>
          <w:sz w:val="24"/>
          <w:szCs w:val="24"/>
        </w:rPr>
        <w:t xml:space="preserve"> de :</w:t>
      </w:r>
    </w:p>
    <w:p w:rsidR="00E81805" w:rsidRPr="006C0C34" w:rsidRDefault="00E81805" w:rsidP="00FA3FAE">
      <w:pPr>
        <w:pStyle w:val="PargrafodaLista"/>
        <w:numPr>
          <w:ilvl w:val="0"/>
          <w:numId w:val="22"/>
        </w:numPr>
        <w:jc w:val="both"/>
        <w:rPr>
          <w:rFonts w:ascii="Times New Roman" w:hAnsi="Times New Roman"/>
          <w:sz w:val="24"/>
          <w:szCs w:val="24"/>
        </w:rPr>
      </w:pPr>
      <w:r>
        <w:rPr>
          <w:rFonts w:ascii="Times New Roman" w:hAnsi="Times New Roman"/>
          <w:sz w:val="24"/>
          <w:szCs w:val="24"/>
          <w:lang w:val="fr-FR"/>
        </w:rPr>
        <w:t xml:space="preserve">Le </w:t>
      </w:r>
      <w:r w:rsidRPr="006C0C34">
        <w:rPr>
          <w:rFonts w:ascii="Times New Roman" w:hAnsi="Times New Roman"/>
          <w:sz w:val="24"/>
          <w:szCs w:val="24"/>
        </w:rPr>
        <w:t>risque de déplacement des propriétés d’habitation lors de la mise en œuvre du projet inquiète certaines populations</w:t>
      </w:r>
      <w:r>
        <w:rPr>
          <w:rFonts w:ascii="Times New Roman" w:hAnsi="Times New Roman"/>
          <w:sz w:val="24"/>
          <w:szCs w:val="24"/>
        </w:rPr>
        <w:t> </w:t>
      </w:r>
      <w:r>
        <w:rPr>
          <w:rFonts w:ascii="Times New Roman" w:hAnsi="Times New Roman"/>
          <w:sz w:val="24"/>
          <w:szCs w:val="24"/>
          <w:lang w:val="fr-FR"/>
        </w:rPr>
        <w:t>;</w:t>
      </w:r>
    </w:p>
    <w:p w:rsidR="00E81805" w:rsidRPr="006C0C34" w:rsidRDefault="00E81805" w:rsidP="00FA3FAE">
      <w:pPr>
        <w:pStyle w:val="PargrafodaLista"/>
        <w:numPr>
          <w:ilvl w:val="0"/>
          <w:numId w:val="22"/>
        </w:numPr>
        <w:jc w:val="both"/>
        <w:rPr>
          <w:rFonts w:ascii="Times New Roman" w:hAnsi="Times New Roman"/>
          <w:sz w:val="24"/>
          <w:szCs w:val="24"/>
        </w:rPr>
      </w:pPr>
      <w:r w:rsidRPr="006C0C34">
        <w:rPr>
          <w:rFonts w:ascii="Times New Roman" w:hAnsi="Times New Roman"/>
          <w:sz w:val="24"/>
          <w:szCs w:val="24"/>
        </w:rPr>
        <w:t>L’habitat spontané et anarchique constaté dans certain</w:t>
      </w:r>
      <w:r>
        <w:rPr>
          <w:rFonts w:ascii="Times New Roman" w:hAnsi="Times New Roman"/>
          <w:sz w:val="24"/>
          <w:szCs w:val="24"/>
          <w:lang w:val="fr-FR"/>
        </w:rPr>
        <w:t>s</w:t>
      </w:r>
      <w:r w:rsidRPr="006C0C34">
        <w:rPr>
          <w:rFonts w:ascii="Times New Roman" w:hAnsi="Times New Roman"/>
          <w:sz w:val="24"/>
          <w:szCs w:val="24"/>
        </w:rPr>
        <w:t xml:space="preserve"> quartier</w:t>
      </w:r>
      <w:r>
        <w:rPr>
          <w:rFonts w:ascii="Times New Roman" w:hAnsi="Times New Roman"/>
          <w:sz w:val="24"/>
          <w:szCs w:val="24"/>
          <w:lang w:val="fr-FR"/>
        </w:rPr>
        <w:t>s</w:t>
      </w:r>
      <w:r w:rsidRPr="006C0C34">
        <w:rPr>
          <w:rFonts w:ascii="Times New Roman" w:hAnsi="Times New Roman"/>
          <w:sz w:val="24"/>
          <w:szCs w:val="24"/>
        </w:rPr>
        <w:t xml:space="preserve"> risque de ralentir le processus de mise en œuvre du projet ;</w:t>
      </w:r>
    </w:p>
    <w:p w:rsidR="00E81805" w:rsidRPr="006C0C34" w:rsidRDefault="00E81805" w:rsidP="00FA3FAE">
      <w:pPr>
        <w:pStyle w:val="PargrafodaLista"/>
        <w:numPr>
          <w:ilvl w:val="0"/>
          <w:numId w:val="22"/>
        </w:numPr>
        <w:jc w:val="both"/>
        <w:rPr>
          <w:rFonts w:ascii="Times New Roman" w:hAnsi="Times New Roman"/>
          <w:sz w:val="24"/>
          <w:szCs w:val="24"/>
        </w:rPr>
      </w:pPr>
      <w:r w:rsidRPr="006C0C34">
        <w:rPr>
          <w:rFonts w:ascii="Times New Roman" w:hAnsi="Times New Roman"/>
          <w:sz w:val="24"/>
          <w:szCs w:val="24"/>
        </w:rPr>
        <w:lastRenderedPageBreak/>
        <w:t>La non priorisation des infrastructures d’eau, principal problème des quartiers, dont la phase prioritaire inquiète les populations ;</w:t>
      </w:r>
    </w:p>
    <w:p w:rsidR="00E81805" w:rsidRPr="006C0C34" w:rsidRDefault="00E81805" w:rsidP="00FA3FAE">
      <w:pPr>
        <w:pStyle w:val="PargrafodaLista"/>
        <w:numPr>
          <w:ilvl w:val="0"/>
          <w:numId w:val="22"/>
        </w:numPr>
        <w:jc w:val="both"/>
        <w:rPr>
          <w:rFonts w:ascii="Times New Roman" w:hAnsi="Times New Roman"/>
          <w:sz w:val="24"/>
          <w:szCs w:val="24"/>
        </w:rPr>
      </w:pPr>
      <w:r w:rsidRPr="006C0C34">
        <w:rPr>
          <w:rFonts w:ascii="Times New Roman" w:hAnsi="Times New Roman"/>
          <w:sz w:val="24"/>
          <w:szCs w:val="24"/>
        </w:rPr>
        <w:t>Dans la projection des châteaux d’eau</w:t>
      </w:r>
      <w:r>
        <w:rPr>
          <w:rFonts w:ascii="Times New Roman" w:hAnsi="Times New Roman"/>
          <w:sz w:val="24"/>
          <w:szCs w:val="24"/>
          <w:lang w:val="fr-FR"/>
        </w:rPr>
        <w:t>,</w:t>
      </w:r>
      <w:r w:rsidRPr="006C0C34">
        <w:rPr>
          <w:rFonts w:ascii="Times New Roman" w:hAnsi="Times New Roman"/>
          <w:sz w:val="24"/>
          <w:szCs w:val="24"/>
        </w:rPr>
        <w:t xml:space="preserve"> on ne dit pas comment on va les approvisionner car la nappe actuelle ne permet pas de sortir de tels débits d’eau</w:t>
      </w:r>
      <w:r>
        <w:rPr>
          <w:rFonts w:ascii="Times New Roman" w:hAnsi="Times New Roman"/>
          <w:sz w:val="24"/>
          <w:szCs w:val="24"/>
        </w:rPr>
        <w:t> </w:t>
      </w:r>
      <w:r>
        <w:rPr>
          <w:rFonts w:ascii="Times New Roman" w:hAnsi="Times New Roman"/>
          <w:sz w:val="24"/>
          <w:szCs w:val="24"/>
          <w:lang w:val="fr-FR"/>
        </w:rPr>
        <w:t>;</w:t>
      </w:r>
    </w:p>
    <w:p w:rsidR="00E81805" w:rsidRPr="006C0C34" w:rsidRDefault="00E81805" w:rsidP="00FA3FAE">
      <w:pPr>
        <w:pStyle w:val="PargrafodaLista"/>
        <w:numPr>
          <w:ilvl w:val="0"/>
          <w:numId w:val="27"/>
        </w:numPr>
        <w:jc w:val="both"/>
        <w:rPr>
          <w:rFonts w:ascii="Times New Roman" w:hAnsi="Times New Roman"/>
          <w:sz w:val="24"/>
          <w:szCs w:val="24"/>
        </w:rPr>
      </w:pPr>
      <w:r>
        <w:rPr>
          <w:rFonts w:ascii="Times New Roman" w:hAnsi="Times New Roman"/>
          <w:sz w:val="24"/>
          <w:szCs w:val="24"/>
          <w:lang w:val="fr-FR"/>
        </w:rPr>
        <w:t>Et</w:t>
      </w:r>
      <w:r w:rsidRPr="006C0C34">
        <w:rPr>
          <w:rFonts w:ascii="Times New Roman" w:hAnsi="Times New Roman"/>
          <w:sz w:val="24"/>
          <w:szCs w:val="24"/>
        </w:rPr>
        <w:t xml:space="preserve"> dans le cadre du sous projet 5</w:t>
      </w:r>
      <w:r>
        <w:rPr>
          <w:rFonts w:ascii="Times New Roman" w:hAnsi="Times New Roman"/>
          <w:sz w:val="24"/>
          <w:szCs w:val="24"/>
          <w:lang w:val="fr-FR"/>
        </w:rPr>
        <w:t>,</w:t>
      </w:r>
      <w:r w:rsidRPr="006C0C34">
        <w:rPr>
          <w:rFonts w:ascii="Times New Roman" w:hAnsi="Times New Roman"/>
          <w:sz w:val="24"/>
          <w:szCs w:val="24"/>
        </w:rPr>
        <w:t xml:space="preserve"> </w:t>
      </w:r>
      <w:r>
        <w:rPr>
          <w:rFonts w:ascii="Times New Roman" w:hAnsi="Times New Roman"/>
          <w:sz w:val="24"/>
          <w:szCs w:val="24"/>
          <w:lang w:val="fr-FR"/>
        </w:rPr>
        <w:t xml:space="preserve">il est demandé que </w:t>
      </w:r>
      <w:r w:rsidRPr="006C0C34">
        <w:rPr>
          <w:rFonts w:ascii="Times New Roman" w:hAnsi="Times New Roman"/>
          <w:sz w:val="24"/>
          <w:szCs w:val="24"/>
        </w:rPr>
        <w:t>l’extension et la réfection des anciennes cabines et branchements soient sécurisé</w:t>
      </w:r>
      <w:r>
        <w:rPr>
          <w:rFonts w:ascii="Times New Roman" w:hAnsi="Times New Roman"/>
          <w:sz w:val="24"/>
          <w:szCs w:val="24"/>
          <w:lang w:val="fr-FR"/>
        </w:rPr>
        <w:t>e</w:t>
      </w:r>
      <w:r w:rsidRPr="006C0C34">
        <w:rPr>
          <w:rFonts w:ascii="Times New Roman" w:hAnsi="Times New Roman"/>
          <w:sz w:val="24"/>
          <w:szCs w:val="24"/>
        </w:rPr>
        <w:t>s</w:t>
      </w:r>
      <w:r>
        <w:rPr>
          <w:rFonts w:ascii="Times New Roman" w:hAnsi="Times New Roman"/>
          <w:sz w:val="24"/>
          <w:szCs w:val="24"/>
          <w:lang w:val="fr-FR"/>
        </w:rPr>
        <w:t>.</w:t>
      </w:r>
      <w:r w:rsidRPr="006C0C34">
        <w:rPr>
          <w:rFonts w:ascii="Times New Roman" w:hAnsi="Times New Roman"/>
          <w:sz w:val="24"/>
          <w:szCs w:val="24"/>
        </w:rPr>
        <w:t xml:space="preserve"> </w:t>
      </w:r>
    </w:p>
    <w:p w:rsidR="00E81805" w:rsidRPr="00932696" w:rsidRDefault="00E81805" w:rsidP="00932696">
      <w:pPr>
        <w:ind w:left="360"/>
        <w:jc w:val="both"/>
        <w:rPr>
          <w:rFonts w:ascii="Times New Roman" w:hAnsi="Times New Roman"/>
          <w:b/>
          <w:sz w:val="24"/>
          <w:szCs w:val="24"/>
        </w:rPr>
      </w:pPr>
      <w:r w:rsidRPr="00932696">
        <w:rPr>
          <w:rFonts w:ascii="Times New Roman" w:hAnsi="Times New Roman"/>
          <w:b/>
          <w:sz w:val="24"/>
          <w:szCs w:val="24"/>
        </w:rPr>
        <w:t>Les recommandations des populations et de leurs représentants</w:t>
      </w:r>
    </w:p>
    <w:p w:rsidR="00E81805" w:rsidRPr="006C0C34" w:rsidRDefault="00E81805" w:rsidP="00E81805">
      <w:pPr>
        <w:jc w:val="both"/>
        <w:rPr>
          <w:rFonts w:ascii="Times New Roman" w:hAnsi="Times New Roman" w:cs="Times New Roman"/>
          <w:sz w:val="24"/>
          <w:szCs w:val="24"/>
        </w:rPr>
      </w:pPr>
      <w:r w:rsidRPr="006C0C34">
        <w:rPr>
          <w:rFonts w:ascii="Times New Roman" w:hAnsi="Times New Roman" w:cs="Times New Roman"/>
          <w:sz w:val="24"/>
          <w:szCs w:val="24"/>
        </w:rPr>
        <w:t xml:space="preserve">Elles portent sur la nécessité de : </w:t>
      </w:r>
    </w:p>
    <w:p w:rsidR="00E81805" w:rsidRPr="006C0C34" w:rsidRDefault="00E81805" w:rsidP="00FA3FAE">
      <w:pPr>
        <w:pStyle w:val="PargrafodaLista"/>
        <w:numPr>
          <w:ilvl w:val="0"/>
          <w:numId w:val="26"/>
        </w:numPr>
        <w:jc w:val="both"/>
        <w:rPr>
          <w:rFonts w:ascii="Times New Roman" w:hAnsi="Times New Roman"/>
          <w:sz w:val="24"/>
          <w:szCs w:val="24"/>
        </w:rPr>
      </w:pPr>
      <w:r w:rsidRPr="006C0C34">
        <w:rPr>
          <w:rFonts w:ascii="Times New Roman" w:hAnsi="Times New Roman"/>
          <w:sz w:val="24"/>
          <w:szCs w:val="24"/>
        </w:rPr>
        <w:t>Continuer dans la démarche participative et inclusive lors des étapes suivantes ;</w:t>
      </w:r>
    </w:p>
    <w:p w:rsidR="00E81805" w:rsidRPr="006C0C34" w:rsidRDefault="00E81805" w:rsidP="00FA3FAE">
      <w:pPr>
        <w:pStyle w:val="PargrafodaLista"/>
        <w:numPr>
          <w:ilvl w:val="0"/>
          <w:numId w:val="26"/>
        </w:numPr>
        <w:jc w:val="both"/>
        <w:rPr>
          <w:rFonts w:ascii="Times New Roman" w:hAnsi="Times New Roman"/>
          <w:sz w:val="24"/>
          <w:szCs w:val="24"/>
        </w:rPr>
      </w:pPr>
      <w:r w:rsidRPr="006C0C34">
        <w:rPr>
          <w:rFonts w:ascii="Times New Roman" w:hAnsi="Times New Roman"/>
          <w:sz w:val="24"/>
          <w:szCs w:val="24"/>
        </w:rPr>
        <w:t>Prendre en compte l’aspect genre dans les infrastructures et équipements projetés ;</w:t>
      </w:r>
    </w:p>
    <w:p w:rsidR="00E81805" w:rsidRPr="006C0C34" w:rsidRDefault="00E81805" w:rsidP="00FA3FAE">
      <w:pPr>
        <w:pStyle w:val="PargrafodaLista"/>
        <w:numPr>
          <w:ilvl w:val="0"/>
          <w:numId w:val="26"/>
        </w:numPr>
        <w:jc w:val="both"/>
        <w:rPr>
          <w:rFonts w:ascii="Times New Roman" w:hAnsi="Times New Roman"/>
          <w:sz w:val="24"/>
          <w:szCs w:val="24"/>
        </w:rPr>
      </w:pPr>
      <w:r w:rsidRPr="006C0C34">
        <w:rPr>
          <w:rFonts w:ascii="Times New Roman" w:hAnsi="Times New Roman"/>
          <w:sz w:val="24"/>
          <w:szCs w:val="24"/>
        </w:rPr>
        <w:t xml:space="preserve">Veiller à ne pas politiser la mise en œuvre des activités ; </w:t>
      </w:r>
    </w:p>
    <w:p w:rsidR="00E81805" w:rsidRPr="006C0C34" w:rsidRDefault="00E81805" w:rsidP="00FA3FAE">
      <w:pPr>
        <w:pStyle w:val="PargrafodaLista"/>
        <w:numPr>
          <w:ilvl w:val="0"/>
          <w:numId w:val="26"/>
        </w:numPr>
        <w:jc w:val="both"/>
        <w:rPr>
          <w:rFonts w:ascii="Times New Roman" w:hAnsi="Times New Roman"/>
          <w:sz w:val="24"/>
          <w:szCs w:val="24"/>
        </w:rPr>
      </w:pPr>
      <w:r w:rsidRPr="006C0C34">
        <w:rPr>
          <w:rFonts w:ascii="Times New Roman" w:hAnsi="Times New Roman"/>
          <w:sz w:val="24"/>
          <w:szCs w:val="24"/>
        </w:rPr>
        <w:t>Faire de l’éclairage public des voies principales et secondaires un aspect prioritaire ;</w:t>
      </w:r>
    </w:p>
    <w:p w:rsidR="00E81805" w:rsidRPr="006C0C34" w:rsidRDefault="00E81805" w:rsidP="00FA3FAE">
      <w:pPr>
        <w:pStyle w:val="PargrafodaLista"/>
        <w:numPr>
          <w:ilvl w:val="0"/>
          <w:numId w:val="26"/>
        </w:numPr>
        <w:jc w:val="both"/>
        <w:rPr>
          <w:rFonts w:ascii="Times New Roman" w:hAnsi="Times New Roman"/>
          <w:sz w:val="24"/>
          <w:szCs w:val="24"/>
        </w:rPr>
      </w:pPr>
      <w:r w:rsidRPr="006C0C34">
        <w:rPr>
          <w:rFonts w:ascii="Times New Roman" w:hAnsi="Times New Roman"/>
          <w:sz w:val="24"/>
          <w:szCs w:val="24"/>
        </w:rPr>
        <w:t>Mener une campagne de sensibilisation dans tous les quartiers pour présenter le projet ;</w:t>
      </w:r>
    </w:p>
    <w:p w:rsidR="00E81805" w:rsidRPr="006C0C34" w:rsidRDefault="00E81805" w:rsidP="00FA3FAE">
      <w:pPr>
        <w:pStyle w:val="PargrafodaLista"/>
        <w:numPr>
          <w:ilvl w:val="0"/>
          <w:numId w:val="26"/>
        </w:numPr>
        <w:jc w:val="both"/>
        <w:rPr>
          <w:rFonts w:ascii="Times New Roman" w:hAnsi="Times New Roman"/>
          <w:sz w:val="24"/>
          <w:szCs w:val="24"/>
        </w:rPr>
      </w:pPr>
      <w:r w:rsidRPr="006C0C34">
        <w:rPr>
          <w:rFonts w:ascii="Times New Roman" w:hAnsi="Times New Roman"/>
          <w:sz w:val="24"/>
          <w:szCs w:val="24"/>
        </w:rPr>
        <w:t>Respecter et faire respecter le projet tel qu’il sera présenté dans son décret d’application ;</w:t>
      </w:r>
    </w:p>
    <w:p w:rsidR="00E81805" w:rsidRPr="006C0C34" w:rsidRDefault="00E81805" w:rsidP="00FA3FAE">
      <w:pPr>
        <w:pStyle w:val="PargrafodaLista"/>
        <w:numPr>
          <w:ilvl w:val="0"/>
          <w:numId w:val="26"/>
        </w:numPr>
        <w:jc w:val="both"/>
        <w:rPr>
          <w:rFonts w:ascii="Times New Roman" w:hAnsi="Times New Roman"/>
          <w:sz w:val="24"/>
          <w:szCs w:val="24"/>
        </w:rPr>
      </w:pPr>
      <w:r w:rsidRPr="006C0C34">
        <w:rPr>
          <w:rFonts w:ascii="Times New Roman" w:hAnsi="Times New Roman"/>
          <w:sz w:val="24"/>
          <w:szCs w:val="24"/>
        </w:rPr>
        <w:t>Aménager et restructurer les zones de ravinements ;</w:t>
      </w:r>
    </w:p>
    <w:p w:rsidR="00E81805" w:rsidRPr="006C0C34" w:rsidRDefault="00E81805" w:rsidP="00FA3FAE">
      <w:pPr>
        <w:pStyle w:val="PargrafodaLista"/>
        <w:numPr>
          <w:ilvl w:val="0"/>
          <w:numId w:val="26"/>
        </w:numPr>
        <w:jc w:val="both"/>
        <w:rPr>
          <w:rFonts w:ascii="Times New Roman" w:hAnsi="Times New Roman"/>
          <w:sz w:val="24"/>
          <w:szCs w:val="24"/>
        </w:rPr>
      </w:pPr>
      <w:r w:rsidRPr="006C0C34">
        <w:rPr>
          <w:rFonts w:ascii="Times New Roman" w:hAnsi="Times New Roman"/>
          <w:sz w:val="24"/>
          <w:szCs w:val="24"/>
        </w:rPr>
        <w:t>D’avoir une volonté politique au plus haut niveau pour réaliser le projet ;</w:t>
      </w:r>
    </w:p>
    <w:p w:rsidR="00E81805" w:rsidRPr="006C0C34" w:rsidRDefault="00E81805" w:rsidP="00FA3FAE">
      <w:pPr>
        <w:pStyle w:val="PargrafodaLista"/>
        <w:numPr>
          <w:ilvl w:val="0"/>
          <w:numId w:val="26"/>
        </w:numPr>
        <w:jc w:val="both"/>
        <w:rPr>
          <w:rFonts w:ascii="Times New Roman" w:hAnsi="Times New Roman"/>
          <w:sz w:val="24"/>
          <w:szCs w:val="24"/>
        </w:rPr>
      </w:pPr>
      <w:r w:rsidRPr="006C0C34">
        <w:rPr>
          <w:rFonts w:ascii="Times New Roman" w:hAnsi="Times New Roman"/>
          <w:sz w:val="24"/>
          <w:szCs w:val="24"/>
        </w:rPr>
        <w:t>Mettre</w:t>
      </w:r>
      <w:r>
        <w:rPr>
          <w:rFonts w:ascii="Times New Roman" w:hAnsi="Times New Roman"/>
          <w:sz w:val="24"/>
          <w:szCs w:val="24"/>
          <w:lang w:val="fr-FR"/>
        </w:rPr>
        <w:t xml:space="preserve"> en place</w:t>
      </w:r>
      <w:r w:rsidRPr="006C0C34">
        <w:rPr>
          <w:rFonts w:ascii="Times New Roman" w:hAnsi="Times New Roman"/>
          <w:sz w:val="24"/>
          <w:szCs w:val="24"/>
        </w:rPr>
        <w:t xml:space="preserve"> un bon système d’assainissement collectif </w:t>
      </w:r>
      <w:r>
        <w:rPr>
          <w:rFonts w:ascii="Times New Roman" w:hAnsi="Times New Roman"/>
          <w:sz w:val="24"/>
          <w:szCs w:val="24"/>
          <w:lang w:val="fr-FR"/>
        </w:rPr>
        <w:t xml:space="preserve">qui </w:t>
      </w:r>
      <w:r w:rsidRPr="006C0C34">
        <w:rPr>
          <w:rFonts w:ascii="Times New Roman" w:hAnsi="Times New Roman"/>
          <w:sz w:val="24"/>
          <w:szCs w:val="24"/>
        </w:rPr>
        <w:t>doit être précédé et accompagné par un important programme de construction d’ouvrages d’assainissement de la saison</w:t>
      </w:r>
      <w:r>
        <w:rPr>
          <w:rFonts w:ascii="Times New Roman" w:hAnsi="Times New Roman"/>
          <w:sz w:val="24"/>
          <w:szCs w:val="24"/>
          <w:lang w:val="fr-FR"/>
        </w:rPr>
        <w:t>,</w:t>
      </w:r>
      <w:r w:rsidRPr="006C0C34">
        <w:rPr>
          <w:rFonts w:ascii="Times New Roman" w:hAnsi="Times New Roman"/>
          <w:sz w:val="24"/>
          <w:szCs w:val="24"/>
        </w:rPr>
        <w:t xml:space="preserve"> en vue de prévenir la pollution des ressources </w:t>
      </w:r>
      <w:r>
        <w:rPr>
          <w:rFonts w:ascii="Times New Roman" w:hAnsi="Times New Roman"/>
          <w:sz w:val="24"/>
          <w:szCs w:val="24"/>
          <w:lang w:val="fr-FR"/>
        </w:rPr>
        <w:t xml:space="preserve">en </w:t>
      </w:r>
      <w:r w:rsidRPr="006C0C34">
        <w:rPr>
          <w:rFonts w:ascii="Times New Roman" w:hAnsi="Times New Roman"/>
          <w:sz w:val="24"/>
          <w:szCs w:val="24"/>
        </w:rPr>
        <w:t>eau</w:t>
      </w:r>
      <w:r>
        <w:rPr>
          <w:rFonts w:ascii="Times New Roman" w:hAnsi="Times New Roman"/>
          <w:sz w:val="24"/>
          <w:szCs w:val="24"/>
        </w:rPr>
        <w:t> </w:t>
      </w:r>
      <w:r>
        <w:rPr>
          <w:rFonts w:ascii="Times New Roman" w:hAnsi="Times New Roman"/>
          <w:sz w:val="24"/>
          <w:szCs w:val="24"/>
          <w:lang w:val="fr-FR"/>
        </w:rPr>
        <w:t>;</w:t>
      </w:r>
    </w:p>
    <w:p w:rsidR="00E81805" w:rsidRPr="006C0C34" w:rsidRDefault="00E81805" w:rsidP="00FA3FAE">
      <w:pPr>
        <w:pStyle w:val="PargrafodaLista"/>
        <w:numPr>
          <w:ilvl w:val="0"/>
          <w:numId w:val="26"/>
        </w:numPr>
        <w:jc w:val="both"/>
        <w:rPr>
          <w:rFonts w:ascii="Times New Roman" w:hAnsi="Times New Roman"/>
          <w:sz w:val="24"/>
          <w:szCs w:val="24"/>
        </w:rPr>
      </w:pPr>
      <w:r>
        <w:rPr>
          <w:rFonts w:ascii="Times New Roman" w:hAnsi="Times New Roman"/>
          <w:sz w:val="24"/>
          <w:szCs w:val="24"/>
          <w:lang w:val="fr-FR"/>
        </w:rPr>
        <w:t>Bien</w:t>
      </w:r>
      <w:r w:rsidRPr="006C0C34">
        <w:rPr>
          <w:rFonts w:ascii="Times New Roman" w:hAnsi="Times New Roman"/>
          <w:sz w:val="24"/>
          <w:szCs w:val="24"/>
        </w:rPr>
        <w:t xml:space="preserve"> tenir compte de la main d’œuvre locale (le recrutement et aussi les barèmes de pa</w:t>
      </w:r>
      <w:r w:rsidRPr="006C0C34">
        <w:rPr>
          <w:rFonts w:ascii="Times New Roman" w:hAnsi="Times New Roman"/>
          <w:sz w:val="24"/>
          <w:szCs w:val="24"/>
          <w:lang w:val="fr-FR"/>
        </w:rPr>
        <w:t>i</w:t>
      </w:r>
      <w:r w:rsidRPr="006C0C34">
        <w:rPr>
          <w:rFonts w:ascii="Times New Roman" w:hAnsi="Times New Roman"/>
          <w:sz w:val="24"/>
          <w:szCs w:val="24"/>
        </w:rPr>
        <w:t>ement)</w:t>
      </w:r>
      <w:r>
        <w:rPr>
          <w:rFonts w:ascii="Times New Roman" w:hAnsi="Times New Roman"/>
          <w:sz w:val="24"/>
          <w:szCs w:val="24"/>
          <w:lang w:val="fr-FR"/>
        </w:rPr>
        <w:t>.</w:t>
      </w:r>
      <w:r w:rsidRPr="006C0C34">
        <w:rPr>
          <w:rFonts w:ascii="Times New Roman" w:hAnsi="Times New Roman"/>
          <w:sz w:val="24"/>
          <w:szCs w:val="24"/>
        </w:rPr>
        <w:t xml:space="preserve"> </w:t>
      </w:r>
    </w:p>
    <w:p w:rsidR="00E81805" w:rsidRPr="006C0C34" w:rsidRDefault="00E81805" w:rsidP="00E81805">
      <w:pPr>
        <w:jc w:val="both"/>
        <w:rPr>
          <w:rFonts w:ascii="Times New Roman" w:hAnsi="Times New Roman" w:cs="Times New Roman"/>
          <w:sz w:val="24"/>
          <w:szCs w:val="24"/>
          <w:highlight w:val="yellow"/>
        </w:rPr>
      </w:pPr>
      <w:r w:rsidRPr="006C0C34">
        <w:rPr>
          <w:rFonts w:ascii="Times New Roman" w:hAnsi="Times New Roman" w:cs="Times New Roman"/>
          <w:sz w:val="24"/>
          <w:szCs w:val="24"/>
        </w:rPr>
        <w:t xml:space="preserve">Sous ce rapport un certain nombre de recommandations majeures ont été formulées. </w:t>
      </w:r>
    </w:p>
    <w:p w:rsidR="00E81805" w:rsidRPr="006C0C34" w:rsidRDefault="00E81805" w:rsidP="00E81805">
      <w:pPr>
        <w:jc w:val="both"/>
        <w:rPr>
          <w:rFonts w:ascii="Times New Roman" w:hAnsi="Times New Roman" w:cs="Times New Roman"/>
          <w:sz w:val="24"/>
          <w:szCs w:val="24"/>
        </w:rPr>
      </w:pPr>
      <w:r w:rsidRPr="006C0C34">
        <w:rPr>
          <w:rFonts w:ascii="Times New Roman" w:hAnsi="Times New Roman" w:cs="Times New Roman"/>
          <w:sz w:val="24"/>
          <w:szCs w:val="24"/>
        </w:rPr>
        <w:t>Il s'agit notamment :</w:t>
      </w:r>
    </w:p>
    <w:p w:rsidR="00E81805" w:rsidRPr="006C0C34" w:rsidRDefault="00E81805" w:rsidP="00FA3FAE">
      <w:pPr>
        <w:pStyle w:val="PargrafodaLista"/>
        <w:numPr>
          <w:ilvl w:val="0"/>
          <w:numId w:val="25"/>
        </w:numPr>
        <w:jc w:val="both"/>
        <w:rPr>
          <w:rFonts w:ascii="Times New Roman" w:hAnsi="Times New Roman"/>
          <w:sz w:val="24"/>
          <w:szCs w:val="24"/>
        </w:rPr>
      </w:pPr>
      <w:r w:rsidRPr="006C0C34">
        <w:rPr>
          <w:rFonts w:ascii="Times New Roman" w:hAnsi="Times New Roman"/>
          <w:sz w:val="24"/>
          <w:szCs w:val="24"/>
        </w:rPr>
        <w:t xml:space="preserve">Du respect des différentes procédures en vigueur portant sur la réalisation des infrastructures ; </w:t>
      </w:r>
    </w:p>
    <w:p w:rsidR="00E81805" w:rsidRPr="006C0C34" w:rsidRDefault="00E81805" w:rsidP="00FA3FAE">
      <w:pPr>
        <w:pStyle w:val="PargrafodaLista"/>
        <w:numPr>
          <w:ilvl w:val="0"/>
          <w:numId w:val="25"/>
        </w:numPr>
        <w:jc w:val="both"/>
        <w:rPr>
          <w:rFonts w:ascii="Times New Roman" w:hAnsi="Times New Roman"/>
          <w:sz w:val="24"/>
          <w:szCs w:val="24"/>
        </w:rPr>
      </w:pPr>
      <w:r w:rsidRPr="006C0C34">
        <w:rPr>
          <w:rFonts w:ascii="Times New Roman" w:hAnsi="Times New Roman"/>
          <w:sz w:val="24"/>
          <w:szCs w:val="24"/>
        </w:rPr>
        <w:t xml:space="preserve">D'observer et de faire observer toutes les consignes de sécurité liées à la conduite des travaux ; </w:t>
      </w:r>
    </w:p>
    <w:p w:rsidR="00E81805" w:rsidRPr="006C0C34" w:rsidRDefault="00E81805" w:rsidP="00FA3FAE">
      <w:pPr>
        <w:pStyle w:val="PargrafodaLista"/>
        <w:numPr>
          <w:ilvl w:val="0"/>
          <w:numId w:val="25"/>
        </w:numPr>
        <w:jc w:val="both"/>
        <w:rPr>
          <w:rFonts w:ascii="Times New Roman" w:hAnsi="Times New Roman"/>
          <w:sz w:val="24"/>
          <w:szCs w:val="24"/>
        </w:rPr>
      </w:pPr>
      <w:r w:rsidRPr="006C0C34">
        <w:rPr>
          <w:rFonts w:ascii="Times New Roman" w:hAnsi="Times New Roman"/>
          <w:sz w:val="24"/>
          <w:szCs w:val="24"/>
        </w:rPr>
        <w:t xml:space="preserve">D'informer et de sensibiliser toutes les personnes concernées directement ou indirectement par le projet (autorités administratives et locales, populations riveraines) ; </w:t>
      </w:r>
    </w:p>
    <w:p w:rsidR="00E81805" w:rsidRPr="006C0C34" w:rsidRDefault="00745F48" w:rsidP="00FA3FAE">
      <w:pPr>
        <w:pStyle w:val="PargrafodaLista"/>
        <w:numPr>
          <w:ilvl w:val="0"/>
          <w:numId w:val="25"/>
        </w:numPr>
        <w:jc w:val="both"/>
        <w:rPr>
          <w:rFonts w:ascii="Times New Roman" w:hAnsi="Times New Roman"/>
          <w:sz w:val="24"/>
          <w:szCs w:val="24"/>
        </w:rPr>
      </w:pPr>
      <w:r w:rsidRPr="006C0C34">
        <w:rPr>
          <w:rFonts w:ascii="Times New Roman" w:hAnsi="Times New Roman"/>
          <w:noProof/>
          <w:sz w:val="24"/>
          <w:szCs w:val="24"/>
          <w:lang w:val="pt-PT" w:eastAsia="pt-PT"/>
        </w:rPr>
        <mc:AlternateContent>
          <mc:Choice Requires="wpg">
            <w:drawing>
              <wp:anchor distT="0" distB="0" distL="114300" distR="114300" simplePos="0" relativeHeight="252178944" behindDoc="0" locked="0" layoutInCell="1" allowOverlap="1" wp14:anchorId="2619BE3F" wp14:editId="44A4348E">
                <wp:simplePos x="0" y="0"/>
                <wp:positionH relativeFrom="column">
                  <wp:posOffset>-275132</wp:posOffset>
                </wp:positionH>
                <wp:positionV relativeFrom="paragraph">
                  <wp:posOffset>398854</wp:posOffset>
                </wp:positionV>
                <wp:extent cx="6490970" cy="1666875"/>
                <wp:effectExtent l="190500" t="190500" r="195580" b="200025"/>
                <wp:wrapTight wrapText="bothSides">
                  <wp:wrapPolygon edited="0">
                    <wp:start x="127" y="-2469"/>
                    <wp:lineTo x="-634" y="-1975"/>
                    <wp:lineTo x="-634" y="20736"/>
                    <wp:lineTo x="-507" y="21723"/>
                    <wp:lineTo x="6846" y="23451"/>
                    <wp:lineTo x="6910" y="23945"/>
                    <wp:lineTo x="14327" y="23945"/>
                    <wp:lineTo x="14390" y="23451"/>
                    <wp:lineTo x="21997" y="21723"/>
                    <wp:lineTo x="22187" y="18021"/>
                    <wp:lineTo x="22187" y="-1728"/>
                    <wp:lineTo x="7544" y="-2469"/>
                    <wp:lineTo x="127" y="-2469"/>
                  </wp:wrapPolygon>
                </wp:wrapTight>
                <wp:docPr id="8" name="Groupe 8"/>
                <wp:cNvGraphicFramePr/>
                <a:graphic xmlns:a="http://schemas.openxmlformats.org/drawingml/2006/main">
                  <a:graphicData uri="http://schemas.microsoft.com/office/word/2010/wordprocessingGroup">
                    <wpg:wgp>
                      <wpg:cNvGrpSpPr/>
                      <wpg:grpSpPr>
                        <a:xfrm>
                          <a:off x="0" y="0"/>
                          <a:ext cx="6490970" cy="1666875"/>
                          <a:chOff x="0" y="0"/>
                          <a:chExt cx="6490970" cy="1666875"/>
                        </a:xfrm>
                      </wpg:grpSpPr>
                      <pic:pic xmlns:pic="http://schemas.openxmlformats.org/drawingml/2006/picture">
                        <pic:nvPicPr>
                          <pic:cNvPr id="7" name="Image 1" descr="C:\Users\ECI GUINÉE-BISSAU\Desktop\Photos des Site\Photo Site Prabis\reunion avec pop de Prabis\IMG_20190521_170341_4.jpg"/>
                          <pic:cNvPicPr>
                            <a:picLocks noChangeAspect="1"/>
                          </pic:cNvPicPr>
                        </pic:nvPicPr>
                        <pic:blipFill>
                          <a:blip r:embed="rId113" cstate="email">
                            <a:extLst>
                              <a:ext uri="{28A0092B-C50C-407E-A947-70E740481C1C}">
                                <a14:useLocalDpi xmlns:a14="http://schemas.microsoft.com/office/drawing/2010/main"/>
                              </a:ext>
                            </a:extLst>
                          </a:blip>
                          <a:srcRect/>
                          <a:stretch>
                            <a:fillRect/>
                          </a:stretch>
                        </pic:blipFill>
                        <pic:spPr bwMode="auto">
                          <a:xfrm>
                            <a:off x="0" y="0"/>
                            <a:ext cx="2197100" cy="1647825"/>
                          </a:xfrm>
                          <a:prstGeom prst="rect">
                            <a:avLst/>
                          </a:prstGeom>
                          <a:ln>
                            <a:noFill/>
                          </a:ln>
                          <a:effectLst>
                            <a:outerShdw blurRad="190500" algn="tl" rotWithShape="0">
                              <a:srgbClr val="000000">
                                <a:alpha val="70000"/>
                              </a:srgbClr>
                            </a:outerShdw>
                          </a:effectLst>
                        </pic:spPr>
                      </pic:pic>
                      <pic:pic xmlns:pic="http://schemas.openxmlformats.org/drawingml/2006/picture">
                        <pic:nvPicPr>
                          <pic:cNvPr id="9" name="Image 6" descr="C:\Users\ECI GUINÉE-BISSAU\Desktop\Photos des Site\Photo Site Prabis\reunion avec pop de Prabis\IMG_20190521_170344_7.jpg"/>
                          <pic:cNvPicPr>
                            <a:picLocks noChangeAspect="1"/>
                          </pic:cNvPicPr>
                        </pic:nvPicPr>
                        <pic:blipFill>
                          <a:blip r:embed="rId114" cstate="email">
                            <a:extLst>
                              <a:ext uri="{28A0092B-C50C-407E-A947-70E740481C1C}">
                                <a14:useLocalDpi xmlns:a14="http://schemas.microsoft.com/office/drawing/2010/main"/>
                              </a:ext>
                            </a:extLst>
                          </a:blip>
                          <a:srcRect/>
                          <a:stretch>
                            <a:fillRect/>
                          </a:stretch>
                        </pic:blipFill>
                        <pic:spPr bwMode="auto">
                          <a:xfrm>
                            <a:off x="2171700" y="19050"/>
                            <a:ext cx="2197100" cy="1647825"/>
                          </a:xfrm>
                          <a:prstGeom prst="rect">
                            <a:avLst/>
                          </a:prstGeom>
                          <a:ln>
                            <a:noFill/>
                          </a:ln>
                          <a:effectLst>
                            <a:outerShdw blurRad="190500" algn="tl" rotWithShape="0">
                              <a:srgbClr val="000000">
                                <a:alpha val="70000"/>
                              </a:srgbClr>
                            </a:outerShdw>
                          </a:effectLst>
                        </pic:spPr>
                      </pic:pic>
                      <pic:pic xmlns:pic="http://schemas.openxmlformats.org/drawingml/2006/picture">
                        <pic:nvPicPr>
                          <pic:cNvPr id="11" name="Image 7" descr="C:\Users\ECI GUINÉE-BISSAU\Desktop\Photos des Site\Photo Site Prabis\reunion avec pop de Prabis\IMG-20190521-WA0031.jpg"/>
                          <pic:cNvPicPr>
                            <a:picLocks noChangeAspect="1"/>
                          </pic:cNvPicPr>
                        </pic:nvPicPr>
                        <pic:blipFill>
                          <a:blip r:embed="rId115" cstate="email">
                            <a:extLst>
                              <a:ext uri="{28A0092B-C50C-407E-A947-70E740481C1C}">
                                <a14:useLocalDpi xmlns:a14="http://schemas.microsoft.com/office/drawing/2010/main"/>
                              </a:ext>
                            </a:extLst>
                          </a:blip>
                          <a:srcRect/>
                          <a:stretch>
                            <a:fillRect/>
                          </a:stretch>
                        </pic:blipFill>
                        <pic:spPr bwMode="auto">
                          <a:xfrm>
                            <a:off x="4391025" y="38100"/>
                            <a:ext cx="2099945" cy="1574800"/>
                          </a:xfrm>
                          <a:prstGeom prst="rect">
                            <a:avLst/>
                          </a:prstGeom>
                          <a:ln>
                            <a:noFill/>
                          </a:ln>
                          <a:effectLst>
                            <a:outerShdw blurRad="190500" algn="tl" rotWithShape="0">
                              <a:srgbClr val="000000">
                                <a:alpha val="70000"/>
                              </a:srgbClr>
                            </a:outerShdw>
                          </a:effectLst>
                        </pic:spPr>
                      </pic:pic>
                    </wpg:wgp>
                  </a:graphicData>
                </a:graphic>
              </wp:anchor>
            </w:drawing>
          </mc:Choice>
          <mc:Fallback xmlns:cx1="http://schemas.microsoft.com/office/drawing/2015/9/8/chartex">
            <w:pict>
              <v:group w14:anchorId="373D49C2" id="Groupe 8" o:spid="_x0000_s1026" style="position:absolute;margin-left:-21.65pt;margin-top:31.4pt;width:511.1pt;height:131.25pt;z-index:252178944" coordsize="64909,1666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">
                <v:shape id="Image 1" o:spid="_x0000_s1027" type="#_x0000_t75" style="position:absolute;width:21971;height:164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">
                  <v:imagedata r:id="rId116" o:title="IMG_20190521_170341_4"/>
                  <v:shadow on="t" color="black" opacity="45875f" origin="-.5,-.5" offset="0,0"/>
                  <v:path arrowok="t"/>
                </v:shape>
                <v:shape id="Image 6" o:spid="_x0000_s1028" type="#_x0000_t75" style="position:absolute;left:21717;top:190;width:21971;height:164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">
                  <v:imagedata r:id="rId117" o:title="IMG_20190521_170344_7"/>
                  <v:shadow on="t" color="black" opacity="45875f" origin="-.5,-.5" offset="0,0"/>
                  <v:path arrowok="t"/>
                </v:shape>
                <v:shape id="Image 7" o:spid="_x0000_s1029" type="#_x0000_t75" style="position:absolute;left:43910;top:381;width:20999;height:157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">
                  <v:imagedata r:id="rId118" o:title="IMG-20190521-WA0031"/>
                  <v:shadow on="t" color="black" opacity="45875f" origin="-.5,-.5" offset="0,0"/>
                  <v:path arrowok="t"/>
                </v:shape>
                <w10:wrap type="tight"/>
              </v:group>
            </w:pict>
          </mc:Fallback>
        </mc:AlternateContent>
      </w:r>
      <w:r w:rsidR="00E81805" w:rsidRPr="006C0C34">
        <w:rPr>
          <w:rFonts w:ascii="Times New Roman" w:hAnsi="Times New Roman"/>
          <w:sz w:val="24"/>
          <w:szCs w:val="24"/>
        </w:rPr>
        <w:t>D'indemniser justement et préalablement toutes les personnes affectées par le projet.</w:t>
      </w:r>
    </w:p>
    <w:p w:rsidR="00E81805" w:rsidRPr="00EE0400" w:rsidRDefault="00E81805" w:rsidP="00E81805">
      <w:pPr>
        <w:jc w:val="both"/>
        <w:rPr>
          <w:rFonts w:ascii="Times New Roman" w:hAnsi="Times New Roman" w:cs="Times New Roman"/>
          <w:b/>
          <w:highlight w:val="yellow"/>
        </w:rPr>
      </w:pPr>
      <w:bookmarkStart w:id="654" w:name="_Toc32512060"/>
      <w:r w:rsidRPr="00EE0400">
        <w:rPr>
          <w:rFonts w:ascii="Times New Roman" w:hAnsi="Times New Roman" w:cs="Times New Roman"/>
          <w:b/>
        </w:rPr>
        <w:t xml:space="preserve">Photo </w:t>
      </w:r>
      <w:r w:rsidRPr="00EE0400">
        <w:rPr>
          <w:rFonts w:ascii="Times New Roman" w:hAnsi="Times New Roman" w:cs="Times New Roman"/>
          <w:b/>
        </w:rPr>
        <w:fldChar w:fldCharType="begin"/>
      </w:r>
      <w:r w:rsidRPr="00EE0400">
        <w:rPr>
          <w:rFonts w:ascii="Times New Roman" w:hAnsi="Times New Roman" w:cs="Times New Roman"/>
          <w:b/>
        </w:rPr>
        <w:instrText xml:space="preserve"> SEQ PHOTO \* ARABIC </w:instrText>
      </w:r>
      <w:r w:rsidRPr="00EE0400">
        <w:rPr>
          <w:rFonts w:ascii="Times New Roman" w:hAnsi="Times New Roman" w:cs="Times New Roman"/>
          <w:b/>
        </w:rPr>
        <w:fldChar w:fldCharType="separate"/>
      </w:r>
      <w:r w:rsidR="002C6E60">
        <w:rPr>
          <w:rFonts w:ascii="Times New Roman" w:hAnsi="Times New Roman" w:cs="Times New Roman"/>
          <w:b/>
          <w:noProof/>
        </w:rPr>
        <w:t>9</w:t>
      </w:r>
      <w:r w:rsidRPr="00EE0400">
        <w:rPr>
          <w:rFonts w:ascii="Times New Roman" w:hAnsi="Times New Roman" w:cs="Times New Roman"/>
          <w:b/>
        </w:rPr>
        <w:fldChar w:fldCharType="end"/>
      </w:r>
      <w:r w:rsidRPr="00EE0400">
        <w:rPr>
          <w:rFonts w:ascii="Times New Roman" w:hAnsi="Times New Roman" w:cs="Times New Roman"/>
          <w:b/>
        </w:rPr>
        <w:t xml:space="preserve"> : Au niveau de PRABIS, ces photos ont été prises pendant les focus groupes organisés</w:t>
      </w:r>
      <w:bookmarkEnd w:id="654"/>
      <w:r w:rsidRPr="00EE0400">
        <w:rPr>
          <w:rFonts w:ascii="Times New Roman" w:hAnsi="Times New Roman" w:cs="Times New Roman"/>
          <w:b/>
        </w:rPr>
        <w:t> </w:t>
      </w:r>
    </w:p>
    <w:p w:rsidR="00921C92" w:rsidRDefault="00921C92" w:rsidP="00E81805">
      <w:pPr>
        <w:jc w:val="both"/>
        <w:rPr>
          <w:rFonts w:ascii="Times New Roman" w:hAnsi="Times New Roman" w:cs="Times New Roman"/>
          <w:b/>
          <w:sz w:val="24"/>
          <w:szCs w:val="24"/>
        </w:rPr>
      </w:pPr>
    </w:p>
    <w:p w:rsidR="00745F48" w:rsidRDefault="00745F48" w:rsidP="00E81805">
      <w:pPr>
        <w:jc w:val="both"/>
        <w:rPr>
          <w:rFonts w:ascii="Times New Roman" w:hAnsi="Times New Roman" w:cs="Times New Roman"/>
          <w:b/>
          <w:sz w:val="24"/>
          <w:szCs w:val="24"/>
        </w:rPr>
      </w:pPr>
    </w:p>
    <w:p w:rsidR="00745F48" w:rsidRDefault="00745F48" w:rsidP="00E81805">
      <w:pPr>
        <w:jc w:val="both"/>
        <w:rPr>
          <w:rFonts w:ascii="Times New Roman" w:hAnsi="Times New Roman" w:cs="Times New Roman"/>
          <w:b/>
          <w:sz w:val="24"/>
          <w:szCs w:val="24"/>
        </w:rPr>
      </w:pPr>
    </w:p>
    <w:p w:rsidR="00745F48" w:rsidRDefault="00745F48" w:rsidP="00E81805">
      <w:pPr>
        <w:jc w:val="both"/>
        <w:rPr>
          <w:rFonts w:ascii="Times New Roman" w:hAnsi="Times New Roman" w:cs="Times New Roman"/>
          <w:b/>
          <w:sz w:val="24"/>
          <w:szCs w:val="24"/>
        </w:rPr>
      </w:pPr>
      <w:r w:rsidRPr="006C0C34">
        <w:rPr>
          <w:rFonts w:ascii="Times New Roman" w:hAnsi="Times New Roman" w:cs="Times New Roman"/>
          <w:noProof/>
          <w:sz w:val="24"/>
          <w:szCs w:val="24"/>
          <w:lang w:val="pt-PT" w:eastAsia="pt-PT"/>
        </w:rPr>
        <w:lastRenderedPageBreak/>
        <mc:AlternateContent>
          <mc:Choice Requires="wpg">
            <w:drawing>
              <wp:anchor distT="0" distB="0" distL="114300" distR="114300" simplePos="0" relativeHeight="252185088" behindDoc="0" locked="0" layoutInCell="1" allowOverlap="1" wp14:anchorId="6A80F1DE" wp14:editId="6FCBBA05">
                <wp:simplePos x="0" y="0"/>
                <wp:positionH relativeFrom="margin">
                  <wp:align>right</wp:align>
                </wp:positionH>
                <wp:positionV relativeFrom="paragraph">
                  <wp:posOffset>3675454</wp:posOffset>
                </wp:positionV>
                <wp:extent cx="6492875" cy="1697990"/>
                <wp:effectExtent l="190500" t="190500" r="193675" b="187960"/>
                <wp:wrapTight wrapText="bothSides">
                  <wp:wrapPolygon edited="0">
                    <wp:start x="7225" y="-2423"/>
                    <wp:lineTo x="-634" y="-2181"/>
                    <wp:lineTo x="-570" y="21325"/>
                    <wp:lineTo x="63" y="23264"/>
                    <wp:lineTo x="127" y="23749"/>
                    <wp:lineTo x="7351" y="23749"/>
                    <wp:lineTo x="7415" y="23264"/>
                    <wp:lineTo x="21991" y="21083"/>
                    <wp:lineTo x="22181" y="17448"/>
                    <wp:lineTo x="22181" y="-1696"/>
                    <wp:lineTo x="21420" y="-2181"/>
                    <wp:lineTo x="14830" y="-2423"/>
                    <wp:lineTo x="7225" y="-2423"/>
                  </wp:wrapPolygon>
                </wp:wrapTight>
                <wp:docPr id="18" name="Groupe 18"/>
                <wp:cNvGraphicFramePr/>
                <a:graphic xmlns:a="http://schemas.openxmlformats.org/drawingml/2006/main">
                  <a:graphicData uri="http://schemas.microsoft.com/office/word/2010/wordprocessingGroup">
                    <wpg:wgp>
                      <wpg:cNvGrpSpPr/>
                      <wpg:grpSpPr>
                        <a:xfrm>
                          <a:off x="0" y="0"/>
                          <a:ext cx="6492875" cy="1697990"/>
                          <a:chOff x="0" y="0"/>
                          <a:chExt cx="6492875" cy="1697990"/>
                        </a:xfrm>
                      </wpg:grpSpPr>
                      <pic:pic xmlns:pic="http://schemas.openxmlformats.org/drawingml/2006/picture">
                        <pic:nvPicPr>
                          <pic:cNvPr id="17" name="Image 14" descr="C:\Users\ECI GUINÉE-BISSAU\Desktop\Photos des Site\Photo Site Aéroport Bor\Photo de réunion avec la Pop de Bor 02\IMG_20190512_164615_3.jpg"/>
                          <pic:cNvPicPr>
                            <a:picLocks noChangeAspect="1"/>
                          </pic:cNvPicPr>
                        </pic:nvPicPr>
                        <pic:blipFill>
                          <a:blip r:embed="rId119" cstate="email">
                            <a:extLst>
                              <a:ext uri="{28A0092B-C50C-407E-A947-70E740481C1C}">
                                <a14:useLocalDpi xmlns:a14="http://schemas.microsoft.com/office/drawing/2010/main"/>
                              </a:ext>
                            </a:extLst>
                          </a:blip>
                          <a:srcRect/>
                          <a:stretch>
                            <a:fillRect/>
                          </a:stretch>
                        </pic:blipFill>
                        <pic:spPr bwMode="auto">
                          <a:xfrm>
                            <a:off x="0" y="0"/>
                            <a:ext cx="2265045" cy="1697990"/>
                          </a:xfrm>
                          <a:prstGeom prst="rect">
                            <a:avLst/>
                          </a:prstGeom>
                          <a:ln>
                            <a:noFill/>
                          </a:ln>
                          <a:effectLst>
                            <a:outerShdw blurRad="190500" algn="tl" rotWithShape="0">
                              <a:srgbClr val="000000">
                                <a:alpha val="70000"/>
                              </a:srgbClr>
                            </a:outerShdw>
                          </a:effectLst>
                        </pic:spPr>
                      </pic:pic>
                      <pic:pic xmlns:pic="http://schemas.openxmlformats.org/drawingml/2006/picture">
                        <pic:nvPicPr>
                          <pic:cNvPr id="22" name="Image 16" descr="C:\Users\ECI GUINÉE-BISSAU\Desktop\Photos des Site\Photo Site Aéroport Bor\Photo de réunion avec la Pop de Bor 02\IMG_20190512_164602_1.jpg"/>
                          <pic:cNvPicPr>
                            <a:picLocks noChangeAspect="1"/>
                          </pic:cNvPicPr>
                        </pic:nvPicPr>
                        <pic:blipFill>
                          <a:blip r:embed="rId120" cstate="email">
                            <a:extLst>
                              <a:ext uri="{28A0092B-C50C-407E-A947-70E740481C1C}">
                                <a14:useLocalDpi xmlns:a14="http://schemas.microsoft.com/office/drawing/2010/main"/>
                              </a:ext>
                            </a:extLst>
                          </a:blip>
                          <a:srcRect/>
                          <a:stretch>
                            <a:fillRect/>
                          </a:stretch>
                        </pic:blipFill>
                        <pic:spPr bwMode="auto">
                          <a:xfrm>
                            <a:off x="2219325" y="0"/>
                            <a:ext cx="2200910" cy="1651000"/>
                          </a:xfrm>
                          <a:prstGeom prst="rect">
                            <a:avLst/>
                          </a:prstGeom>
                          <a:ln>
                            <a:noFill/>
                          </a:ln>
                          <a:effectLst>
                            <a:outerShdw blurRad="190500" algn="tl" rotWithShape="0">
                              <a:srgbClr val="000000">
                                <a:alpha val="70000"/>
                              </a:srgbClr>
                            </a:outerShdw>
                          </a:effectLst>
                        </pic:spPr>
                      </pic:pic>
                      <pic:pic xmlns:pic="http://schemas.openxmlformats.org/drawingml/2006/picture">
                        <pic:nvPicPr>
                          <pic:cNvPr id="23" name="Image 17" descr="C:\Users\ECI GUINÉE-BISSAU\Desktop\Photos des Site\Photo Site Aéroport Bor\Photo de réunion avec la Pop de Bor 02\IMG_20190512_164541_3.jpg"/>
                          <pic:cNvPicPr>
                            <a:picLocks noChangeAspect="1"/>
                          </pic:cNvPicPr>
                        </pic:nvPicPr>
                        <pic:blipFill>
                          <a:blip r:embed="rId121" cstate="email">
                            <a:extLst>
                              <a:ext uri="{28A0092B-C50C-407E-A947-70E740481C1C}">
                                <a14:useLocalDpi xmlns:a14="http://schemas.microsoft.com/office/drawing/2010/main"/>
                              </a:ext>
                            </a:extLst>
                          </a:blip>
                          <a:srcRect/>
                          <a:stretch>
                            <a:fillRect/>
                          </a:stretch>
                        </pic:blipFill>
                        <pic:spPr bwMode="auto">
                          <a:xfrm>
                            <a:off x="4371975" y="0"/>
                            <a:ext cx="2120900" cy="1590675"/>
                          </a:xfrm>
                          <a:prstGeom prst="rect">
                            <a:avLst/>
                          </a:prstGeom>
                          <a:ln>
                            <a:noFill/>
                          </a:ln>
                          <a:effectLst>
                            <a:outerShdw blurRad="190500" algn="tl" rotWithShape="0">
                              <a:srgbClr val="000000">
                                <a:alpha val="70000"/>
                              </a:srgbClr>
                            </a:outerShdw>
                          </a:effectLst>
                        </pic:spPr>
                      </pic:pic>
                    </wpg:wgp>
                  </a:graphicData>
                </a:graphic>
              </wp:anchor>
            </w:drawing>
          </mc:Choice>
          <mc:Fallback xmlns:cx1="http://schemas.microsoft.com/office/drawing/2015/9/8/chartex">
            <w:pict>
              <v:group w14:anchorId="1A7076C0" id="Groupe 18" o:spid="_x0000_s1026" style="position:absolute;margin-left:460.05pt;margin-top:289.4pt;width:511.25pt;height:133.7pt;z-index:252185088;mso-position-horizontal:right;mso-position-horizontal-relative:margin" coordsize="64928,1697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">
                <v:shape id="Image 14" o:spid="_x0000_s1027" type="#_x0000_t75" style="position:absolute;width:22650;height:169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">
                  <v:imagedata r:id="rId122" o:title="IMG_20190512_164615_3"/>
                  <v:shadow on="t" color="black" opacity="45875f" origin="-.5,-.5" offset="0,0"/>
                  <v:path arrowok="t"/>
                </v:shape>
                <v:shape id="Image 16" o:spid="_x0000_s1028" type="#_x0000_t75" style="position:absolute;left:22193;width:22009;height:165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">
                  <v:imagedata r:id="rId123" o:title="IMG_20190512_164602_1"/>
                  <v:shadow on="t" color="black" opacity="45875f" origin="-.5,-.5" offset="0,0"/>
                  <v:path arrowok="t"/>
                </v:shape>
                <v:shape id="Image 17" o:spid="_x0000_s1029" type="#_x0000_t75" style="position:absolute;left:43719;width:21209;height:159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">
                  <v:imagedata r:id="rId124" o:title="IMG_20190512_164541_3"/>
                  <v:shadow on="t" color="black" opacity="45875f" origin="-.5,-.5" offset="0,0"/>
                  <v:path arrowok="t"/>
                </v:shape>
                <w10:wrap type="tight" anchorx="margin"/>
              </v:group>
            </w:pict>
          </mc:Fallback>
        </mc:AlternateContent>
      </w:r>
      <w:r w:rsidRPr="006C0C34">
        <w:rPr>
          <w:rFonts w:ascii="Times New Roman" w:hAnsi="Times New Roman" w:cs="Times New Roman"/>
          <w:noProof/>
          <w:sz w:val="24"/>
          <w:szCs w:val="24"/>
          <w:lang w:val="pt-PT" w:eastAsia="pt-PT"/>
        </w:rPr>
        <mc:AlternateContent>
          <mc:Choice Requires="wpg">
            <w:drawing>
              <wp:anchor distT="0" distB="0" distL="114300" distR="114300" simplePos="0" relativeHeight="252188160" behindDoc="0" locked="0" layoutInCell="1" allowOverlap="1" wp14:anchorId="75AC52FD" wp14:editId="6EF8B9CE">
                <wp:simplePos x="0" y="0"/>
                <wp:positionH relativeFrom="page">
                  <wp:align>center</wp:align>
                </wp:positionH>
                <wp:positionV relativeFrom="paragraph">
                  <wp:posOffset>1891665</wp:posOffset>
                </wp:positionV>
                <wp:extent cx="6581775" cy="1669905"/>
                <wp:effectExtent l="190500" t="190500" r="200025" b="197485"/>
                <wp:wrapTight wrapText="bothSides">
                  <wp:wrapPolygon edited="0">
                    <wp:start x="125" y="-2465"/>
                    <wp:lineTo x="-625" y="-1972"/>
                    <wp:lineTo x="-563" y="21937"/>
                    <wp:lineTo x="63" y="23416"/>
                    <wp:lineTo x="125" y="23909"/>
                    <wp:lineTo x="15004" y="23909"/>
                    <wp:lineTo x="15067" y="23416"/>
                    <wp:lineTo x="22069" y="21690"/>
                    <wp:lineTo x="22194" y="17747"/>
                    <wp:lineTo x="22194" y="-1479"/>
                    <wp:lineTo x="21444" y="-1972"/>
                    <wp:lineTo x="14692" y="-2465"/>
                    <wp:lineTo x="125" y="-2465"/>
                  </wp:wrapPolygon>
                </wp:wrapTight>
                <wp:docPr id="21" name="Groupe 21"/>
                <wp:cNvGraphicFramePr/>
                <a:graphic xmlns:a="http://schemas.openxmlformats.org/drawingml/2006/main">
                  <a:graphicData uri="http://schemas.microsoft.com/office/word/2010/wordprocessingGroup">
                    <wpg:wgp>
                      <wpg:cNvGrpSpPr/>
                      <wpg:grpSpPr>
                        <a:xfrm>
                          <a:off x="0" y="0"/>
                          <a:ext cx="6581775" cy="1669905"/>
                          <a:chOff x="0" y="0"/>
                          <a:chExt cx="6581775" cy="1669905"/>
                        </a:xfrm>
                      </wpg:grpSpPr>
                      <pic:pic xmlns:pic="http://schemas.openxmlformats.org/drawingml/2006/picture">
                        <pic:nvPicPr>
                          <pic:cNvPr id="19" name="Image 19" descr="C:\Users\ECI GUINÉE-BISSAU\Desktop\Photos des Site\Photo Site Aéroport Bor\Photo de rencontre avec la Pop Bor 03\IMG_20190513_164425_4.jpg"/>
                          <pic:cNvPicPr>
                            <a:picLocks noChangeAspect="1"/>
                          </pic:cNvPicPr>
                        </pic:nvPicPr>
                        <pic:blipFill>
                          <a:blip r:embed="rId125" cstate="email">
                            <a:extLst>
                              <a:ext uri="{28A0092B-C50C-407E-A947-70E740481C1C}">
                                <a14:useLocalDpi xmlns:a14="http://schemas.microsoft.com/office/drawing/2010/main"/>
                              </a:ext>
                            </a:extLst>
                          </a:blip>
                          <a:srcRect/>
                          <a:stretch>
                            <a:fillRect/>
                          </a:stretch>
                        </pic:blipFill>
                        <pic:spPr bwMode="auto">
                          <a:xfrm>
                            <a:off x="0" y="1"/>
                            <a:ext cx="2226945" cy="1669904"/>
                          </a:xfrm>
                          <a:prstGeom prst="rect">
                            <a:avLst/>
                          </a:prstGeom>
                          <a:ln>
                            <a:noFill/>
                          </a:ln>
                          <a:effectLst>
                            <a:outerShdw blurRad="190500" algn="tl" rotWithShape="0">
                              <a:srgbClr val="000000">
                                <a:alpha val="70000"/>
                              </a:srgbClr>
                            </a:outerShdw>
                          </a:effectLst>
                        </pic:spPr>
                      </pic:pic>
                      <pic:pic xmlns:pic="http://schemas.openxmlformats.org/drawingml/2006/picture">
                        <pic:nvPicPr>
                          <pic:cNvPr id="20" name="Image 20" descr="C:\Users\ECI GUINÉE-BISSAU\Desktop\Photos des Site\Photo Site Aéroport Bor\Photo de rencontre avec la Pop Bor 03\IMG_20190513_164416_5.jpg"/>
                          <pic:cNvPicPr>
                            <a:picLocks noChangeAspect="1"/>
                          </pic:cNvPicPr>
                        </pic:nvPicPr>
                        <pic:blipFill>
                          <a:blip r:embed="rId126" cstate="email">
                            <a:extLst>
                              <a:ext uri="{28A0092B-C50C-407E-A947-70E740481C1C}">
                                <a14:useLocalDpi xmlns:a14="http://schemas.microsoft.com/office/drawing/2010/main"/>
                              </a:ext>
                            </a:extLst>
                          </a:blip>
                          <a:srcRect/>
                          <a:stretch>
                            <a:fillRect/>
                          </a:stretch>
                        </pic:blipFill>
                        <pic:spPr bwMode="auto">
                          <a:xfrm>
                            <a:off x="2314575" y="0"/>
                            <a:ext cx="2209800" cy="1656715"/>
                          </a:xfrm>
                          <a:prstGeom prst="rect">
                            <a:avLst/>
                          </a:prstGeom>
                          <a:ln>
                            <a:noFill/>
                          </a:ln>
                          <a:effectLst>
                            <a:outerShdw blurRad="190500" algn="tl" rotWithShape="0">
                              <a:srgbClr val="000000">
                                <a:alpha val="70000"/>
                              </a:srgbClr>
                            </a:outerShdw>
                          </a:effectLst>
                        </pic:spPr>
                      </pic:pic>
                      <pic:pic xmlns:pic="http://schemas.openxmlformats.org/drawingml/2006/picture">
                        <pic:nvPicPr>
                          <pic:cNvPr id="16" name="Image 11" descr="C:\Users\ECI GUINÉE-BISSAU\Desktop\Photos des Site\Photo Site Aéroport Bor\Photo de rencontre avec la Pop Bor 03\IMG_20190513_164539_5.jpg"/>
                          <pic:cNvPicPr>
                            <a:picLocks noChangeAspect="1"/>
                          </pic:cNvPicPr>
                        </pic:nvPicPr>
                        <pic:blipFill>
                          <a:blip r:embed="rId127" cstate="email">
                            <a:extLst>
                              <a:ext uri="{28A0092B-C50C-407E-A947-70E740481C1C}">
                                <a14:useLocalDpi xmlns:a14="http://schemas.microsoft.com/office/drawing/2010/main"/>
                              </a:ext>
                            </a:extLst>
                          </a:blip>
                          <a:srcRect/>
                          <a:stretch>
                            <a:fillRect/>
                          </a:stretch>
                        </pic:blipFill>
                        <pic:spPr bwMode="auto">
                          <a:xfrm>
                            <a:off x="4429125" y="38100"/>
                            <a:ext cx="2152650" cy="1614170"/>
                          </a:xfrm>
                          <a:prstGeom prst="rect">
                            <a:avLst/>
                          </a:prstGeom>
                          <a:ln>
                            <a:noFill/>
                          </a:ln>
                          <a:effectLst>
                            <a:outerShdw blurRad="190500" algn="tl" rotWithShape="0">
                              <a:srgbClr val="000000">
                                <a:alpha val="70000"/>
                              </a:srgbClr>
                            </a:outerShdw>
                          </a:effectLst>
                        </pic:spPr>
                      </pic:pic>
                    </wpg:wgp>
                  </a:graphicData>
                </a:graphic>
                <wp14:sizeRelV relativeFrom="margin">
                  <wp14:pctHeight>0</wp14:pctHeight>
                </wp14:sizeRelV>
              </wp:anchor>
            </w:drawing>
          </mc:Choice>
          <mc:Fallback xmlns:cx1="http://schemas.microsoft.com/office/drawing/2015/9/8/chartex">
            <w:pict>
              <v:group w14:anchorId="281859A1" id="Groupe 21" o:spid="_x0000_s1026" style="position:absolute;margin-left:0;margin-top:148.95pt;width:518.25pt;height:131.5pt;z-index:252188160;mso-position-horizontal:center;mso-position-horizontal-relative:page;mso-height-relative:margin" coordsize="65817,1669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">
                <v:shape id="Image 19" o:spid="_x0000_s1027" type="#_x0000_t75" style="position:absolute;width:22269;height:166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">
                  <v:imagedata r:id="rId128" o:title="IMG_20190513_164425_4"/>
                  <v:shadow on="t" color="black" opacity="45875f" origin="-.5,-.5" offset="0,0"/>
                  <v:path arrowok="t"/>
                </v:shape>
                <v:shape id="Image 20" o:spid="_x0000_s1028" type="#_x0000_t75" style="position:absolute;left:23145;width:22098;height:165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">
                  <v:imagedata r:id="rId129" o:title="IMG_20190513_164416_5"/>
                  <v:shadow on="t" color="black" opacity="45875f" origin="-.5,-.5" offset="0,0"/>
                  <v:path arrowok="t"/>
                </v:shape>
                <v:shape id="Image 11" o:spid="_x0000_s1029" type="#_x0000_t75" style="position:absolute;left:44291;top:381;width:21526;height:161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">
                  <v:imagedata r:id="rId130" o:title="IMG_20190513_164539_5"/>
                  <v:shadow on="t" color="black" opacity="45875f" origin="-.5,-.5" offset="0,0"/>
                  <v:path arrowok="t"/>
                </v:shape>
                <w10:wrap type="tight" anchorx="page"/>
              </v:group>
            </w:pict>
          </mc:Fallback>
        </mc:AlternateContent>
      </w:r>
      <w:r w:rsidRPr="006C0C34">
        <w:rPr>
          <w:rFonts w:ascii="Times New Roman" w:hAnsi="Times New Roman" w:cs="Times New Roman"/>
          <w:noProof/>
          <w:sz w:val="24"/>
          <w:szCs w:val="24"/>
          <w:lang w:val="pt-PT" w:eastAsia="pt-PT"/>
        </w:rPr>
        <mc:AlternateContent>
          <mc:Choice Requires="wpg">
            <w:drawing>
              <wp:anchor distT="0" distB="0" distL="114300" distR="114300" simplePos="0" relativeHeight="252182016" behindDoc="0" locked="0" layoutInCell="1" allowOverlap="1" wp14:anchorId="56FD0474" wp14:editId="43A0B048">
                <wp:simplePos x="0" y="0"/>
                <wp:positionH relativeFrom="page">
                  <wp:align>center</wp:align>
                </wp:positionH>
                <wp:positionV relativeFrom="paragraph">
                  <wp:posOffset>190633</wp:posOffset>
                </wp:positionV>
                <wp:extent cx="6612890" cy="1613535"/>
                <wp:effectExtent l="190500" t="190500" r="187960" b="196215"/>
                <wp:wrapTight wrapText="bothSides">
                  <wp:wrapPolygon edited="0">
                    <wp:start x="6845" y="-2550"/>
                    <wp:lineTo x="-622" y="-2040"/>
                    <wp:lineTo x="-622" y="20656"/>
                    <wp:lineTo x="-373" y="22442"/>
                    <wp:lineTo x="6782" y="23462"/>
                    <wp:lineTo x="6845" y="23972"/>
                    <wp:lineTo x="14498" y="23972"/>
                    <wp:lineTo x="14560" y="23462"/>
                    <wp:lineTo x="21716" y="22442"/>
                    <wp:lineTo x="22152" y="18616"/>
                    <wp:lineTo x="22152" y="-1530"/>
                    <wp:lineTo x="21405" y="-2040"/>
                    <wp:lineTo x="14934" y="-2550"/>
                    <wp:lineTo x="6845" y="-2550"/>
                  </wp:wrapPolygon>
                </wp:wrapTight>
                <wp:docPr id="15" name="Groupe 15"/>
                <wp:cNvGraphicFramePr/>
                <a:graphic xmlns:a="http://schemas.openxmlformats.org/drawingml/2006/main">
                  <a:graphicData uri="http://schemas.microsoft.com/office/word/2010/wordprocessingGroup">
                    <wpg:wgp>
                      <wpg:cNvGrpSpPr/>
                      <wpg:grpSpPr>
                        <a:xfrm>
                          <a:off x="0" y="0"/>
                          <a:ext cx="6612890" cy="1613535"/>
                          <a:chOff x="0" y="0"/>
                          <a:chExt cx="6214745" cy="1613535"/>
                        </a:xfrm>
                      </wpg:grpSpPr>
                      <pic:pic xmlns:pic="http://schemas.openxmlformats.org/drawingml/2006/picture">
                        <pic:nvPicPr>
                          <pic:cNvPr id="12" name="Image 12" descr="C:\Users\ECI GUINÉE-BISSAU\Desktop\Photos des Site\Photo Site Aéroport Bor\Photo de reunion avec la Pop de Bor 01\IMG_20190511_103720_9.jpg"/>
                          <pic:cNvPicPr>
                            <a:picLocks noChangeAspect="1"/>
                          </pic:cNvPicPr>
                        </pic:nvPicPr>
                        <pic:blipFill>
                          <a:blip r:embed="rId131" cstate="email">
                            <a:extLst>
                              <a:ext uri="{28A0092B-C50C-407E-A947-70E740481C1C}">
                                <a14:useLocalDpi xmlns:a14="http://schemas.microsoft.com/office/drawing/2010/main"/>
                              </a:ext>
                            </a:extLst>
                          </a:blip>
                          <a:srcRect/>
                          <a:stretch>
                            <a:fillRect/>
                          </a:stretch>
                        </pic:blipFill>
                        <pic:spPr bwMode="auto">
                          <a:xfrm>
                            <a:off x="0" y="9525"/>
                            <a:ext cx="2120900" cy="1590675"/>
                          </a:xfrm>
                          <a:prstGeom prst="rect">
                            <a:avLst/>
                          </a:prstGeom>
                          <a:ln>
                            <a:noFill/>
                          </a:ln>
                          <a:effectLst>
                            <a:outerShdw blurRad="190500" algn="tl" rotWithShape="0">
                              <a:srgbClr val="000000">
                                <a:alpha val="70000"/>
                              </a:srgbClr>
                            </a:outerShdw>
                          </a:effectLst>
                        </pic:spPr>
                      </pic:pic>
                      <pic:pic xmlns:pic="http://schemas.openxmlformats.org/drawingml/2006/picture">
                        <pic:nvPicPr>
                          <pic:cNvPr id="13" name="Image 9" descr="C:\Users\ECI GUINÉE-BISSAU\Desktop\Photos des Site\Photo Site Aéroport Bor\Photo de reunion avec la Pop de Bor 01\IMG_20190511_103554_7.jpg"/>
                          <pic:cNvPicPr>
                            <a:picLocks noChangeAspect="1"/>
                          </pic:cNvPicPr>
                        </pic:nvPicPr>
                        <pic:blipFill>
                          <a:blip r:embed="rId132" cstate="email">
                            <a:extLst>
                              <a:ext uri="{28A0092B-C50C-407E-A947-70E740481C1C}">
                                <a14:useLocalDpi xmlns:a14="http://schemas.microsoft.com/office/drawing/2010/main"/>
                              </a:ext>
                            </a:extLst>
                          </a:blip>
                          <a:srcRect/>
                          <a:stretch>
                            <a:fillRect/>
                          </a:stretch>
                        </pic:blipFill>
                        <pic:spPr bwMode="auto">
                          <a:xfrm>
                            <a:off x="2066925" y="0"/>
                            <a:ext cx="2152650" cy="1613535"/>
                          </a:xfrm>
                          <a:prstGeom prst="rect">
                            <a:avLst/>
                          </a:prstGeom>
                          <a:ln>
                            <a:noFill/>
                          </a:ln>
                          <a:effectLst>
                            <a:outerShdw blurRad="190500" algn="tl" rotWithShape="0">
                              <a:srgbClr val="000000">
                                <a:alpha val="70000"/>
                              </a:srgbClr>
                            </a:outerShdw>
                          </a:effectLst>
                        </pic:spPr>
                      </pic:pic>
                      <pic:pic xmlns:pic="http://schemas.openxmlformats.org/drawingml/2006/picture">
                        <pic:nvPicPr>
                          <pic:cNvPr id="14" name="Image 13" descr="C:\Users\ECI GUINÉE-BISSAU\Desktop\Photos des Site\Photo Site Aéroport Bor\Photo de reunion avec la Pop de Bor 01\IMG_20190511_103503_9.jpg"/>
                          <pic:cNvPicPr>
                            <a:picLocks noChangeAspect="1"/>
                          </pic:cNvPicPr>
                        </pic:nvPicPr>
                        <pic:blipFill>
                          <a:blip r:embed="rId133" cstate="email">
                            <a:extLst>
                              <a:ext uri="{28A0092B-C50C-407E-A947-70E740481C1C}">
                                <a14:useLocalDpi xmlns:a14="http://schemas.microsoft.com/office/drawing/2010/main"/>
                              </a:ext>
                            </a:extLst>
                          </a:blip>
                          <a:srcRect/>
                          <a:stretch>
                            <a:fillRect/>
                          </a:stretch>
                        </pic:blipFill>
                        <pic:spPr bwMode="auto">
                          <a:xfrm>
                            <a:off x="4152900" y="19050"/>
                            <a:ext cx="2061845" cy="1545590"/>
                          </a:xfrm>
                          <a:prstGeom prst="rect">
                            <a:avLst/>
                          </a:prstGeom>
                          <a:ln>
                            <a:noFill/>
                          </a:ln>
                          <a:effectLst>
                            <a:outerShdw blurRad="190500" algn="tl" rotWithShape="0">
                              <a:srgbClr val="000000">
                                <a:alpha val="70000"/>
                              </a:srgbClr>
                            </a:outerShdw>
                          </a:effectLst>
                        </pic:spPr>
                      </pic:pic>
                    </wpg:wgp>
                  </a:graphicData>
                </a:graphic>
                <wp14:sizeRelH relativeFrom="margin">
                  <wp14:pctWidth>0</wp14:pctWidth>
                </wp14:sizeRelH>
              </wp:anchor>
            </w:drawing>
          </mc:Choice>
          <mc:Fallback xmlns:cx1="http://schemas.microsoft.com/office/drawing/2015/9/8/chartex">
            <w:pict>
              <v:group w14:anchorId="19BD869E" id="Groupe 15" o:spid="_x0000_s1026" style="position:absolute;margin-left:0;margin-top:15pt;width:520.7pt;height:127.05pt;z-index:252182016;mso-position-horizontal:center;mso-position-horizontal-relative:page;mso-width-relative:margin" coordsize="62147,1613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">
                <v:shape id="Image 12" o:spid="_x0000_s1027" type="#_x0000_t75" style="position:absolute;top:95;width:21209;height:159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">
                  <v:imagedata r:id="rId134" o:title="IMG_20190511_103720_9"/>
                  <v:shadow on="t" color="black" opacity="45875f" origin="-.5,-.5" offset="0,0"/>
                  <v:path arrowok="t"/>
                </v:shape>
                <v:shape id="Image 9" o:spid="_x0000_s1028" type="#_x0000_t75" style="position:absolute;left:20669;width:21526;height:161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">
                  <v:imagedata r:id="rId135" o:title="IMG_20190511_103554_7"/>
                  <v:shadow on="t" color="black" opacity="45875f" origin="-.5,-.5" offset="0,0"/>
                  <v:path arrowok="t"/>
                </v:shape>
                <v:shape id="Image 13" o:spid="_x0000_s1029" type="#_x0000_t75" style="position:absolute;left:41529;top:190;width:20618;height:154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">
                  <v:imagedata r:id="rId136" o:title="IMG_20190511_103503_9"/>
                  <v:shadow on="t" color="black" opacity="45875f" origin="-.5,-.5" offset="0,0"/>
                  <v:path arrowok="t"/>
                </v:shape>
                <w10:wrap type="tight" anchorx="page"/>
              </v:group>
            </w:pict>
          </mc:Fallback>
        </mc:AlternateContent>
      </w:r>
    </w:p>
    <w:bookmarkStart w:id="655" w:name="_Toc32512061"/>
    <w:p w:rsidR="00E81805" w:rsidRPr="00EE0400" w:rsidRDefault="00745F48" w:rsidP="00E81805">
      <w:pPr>
        <w:jc w:val="both"/>
        <w:rPr>
          <w:rFonts w:ascii="Times New Roman" w:hAnsi="Times New Roman" w:cs="Times New Roman"/>
          <w:b/>
          <w:sz w:val="24"/>
          <w:szCs w:val="24"/>
          <w:highlight w:val="yellow"/>
        </w:rPr>
      </w:pPr>
      <w:r w:rsidRPr="00EE0400">
        <w:rPr>
          <w:rFonts w:ascii="Times New Roman" w:hAnsi="Times New Roman" w:cs="Times New Roman"/>
          <w:noProof/>
          <w:lang w:val="pt-PT" w:eastAsia="pt-PT"/>
        </w:rPr>
        <mc:AlternateContent>
          <mc:Choice Requires="wpg">
            <w:drawing>
              <wp:anchor distT="0" distB="0" distL="114300" distR="114300" simplePos="0" relativeHeight="252191232" behindDoc="0" locked="0" layoutInCell="1" allowOverlap="1" wp14:anchorId="06978158" wp14:editId="7D49AF82">
                <wp:simplePos x="0" y="0"/>
                <wp:positionH relativeFrom="margin">
                  <wp:align>right</wp:align>
                </wp:positionH>
                <wp:positionV relativeFrom="paragraph">
                  <wp:posOffset>457865</wp:posOffset>
                </wp:positionV>
                <wp:extent cx="6423025" cy="1647825"/>
                <wp:effectExtent l="190500" t="190500" r="187325" b="200025"/>
                <wp:wrapTight wrapText="bothSides">
                  <wp:wrapPolygon edited="0">
                    <wp:start x="128" y="-2497"/>
                    <wp:lineTo x="-641" y="-1998"/>
                    <wp:lineTo x="-641" y="20476"/>
                    <wp:lineTo x="-448" y="21975"/>
                    <wp:lineTo x="7688" y="23473"/>
                    <wp:lineTo x="7752" y="23972"/>
                    <wp:lineTo x="15119" y="23972"/>
                    <wp:lineTo x="15183" y="23473"/>
                    <wp:lineTo x="22038" y="21975"/>
                    <wp:lineTo x="22166" y="17979"/>
                    <wp:lineTo x="22166" y="-1748"/>
                    <wp:lineTo x="7047" y="-2497"/>
                    <wp:lineTo x="128" y="-2497"/>
                  </wp:wrapPolygon>
                </wp:wrapTight>
                <wp:docPr id="25" name="Groupe 25"/>
                <wp:cNvGraphicFramePr/>
                <a:graphic xmlns:a="http://schemas.openxmlformats.org/drawingml/2006/main">
                  <a:graphicData uri="http://schemas.microsoft.com/office/word/2010/wordprocessingGroup">
                    <wpg:wgp>
                      <wpg:cNvGrpSpPr/>
                      <wpg:grpSpPr>
                        <a:xfrm>
                          <a:off x="0" y="0"/>
                          <a:ext cx="6423025" cy="1647825"/>
                          <a:chOff x="0" y="0"/>
                          <a:chExt cx="6423025" cy="1647825"/>
                        </a:xfrm>
                      </wpg:grpSpPr>
                      <pic:pic xmlns:pic="http://schemas.openxmlformats.org/drawingml/2006/picture">
                        <pic:nvPicPr>
                          <pic:cNvPr id="24" name="Image 22" descr="C:\Users\ECI GUINÉE-BISSAU\Desktop\Photos des Site\Photo site Hafia\Rencontre avec la Pop de Hafia\IMG_20190516_163328_7.jpg"/>
                          <pic:cNvPicPr>
                            <a:picLocks noChangeAspect="1"/>
                          </pic:cNvPicPr>
                        </pic:nvPicPr>
                        <pic:blipFill>
                          <a:blip r:embed="rId137" cstate="email">
                            <a:extLst>
                              <a:ext uri="{28A0092B-C50C-407E-A947-70E740481C1C}">
                                <a14:useLocalDpi xmlns:a14="http://schemas.microsoft.com/office/drawing/2010/main"/>
                              </a:ext>
                            </a:extLst>
                          </a:blip>
                          <a:srcRect/>
                          <a:stretch>
                            <a:fillRect/>
                          </a:stretch>
                        </pic:blipFill>
                        <pic:spPr bwMode="auto">
                          <a:xfrm>
                            <a:off x="0" y="0"/>
                            <a:ext cx="2152650" cy="1613535"/>
                          </a:xfrm>
                          <a:prstGeom prst="rect">
                            <a:avLst/>
                          </a:prstGeom>
                          <a:ln>
                            <a:noFill/>
                          </a:ln>
                          <a:effectLst>
                            <a:outerShdw blurRad="190500" algn="tl" rotWithShape="0">
                              <a:srgbClr val="000000">
                                <a:alpha val="70000"/>
                              </a:srgbClr>
                            </a:outerShdw>
                          </a:effectLst>
                        </pic:spPr>
                      </pic:pic>
                      <pic:pic xmlns:pic="http://schemas.openxmlformats.org/drawingml/2006/picture">
                        <pic:nvPicPr>
                          <pic:cNvPr id="26" name="Image 23" descr="C:\Users\ECI GUINÉE-BISSAU\Desktop\Photos des Site\Photo site Hafia\Rencontre avec la Pop de Hafia\IMG_20190516_163401_2.jpg"/>
                          <pic:cNvPicPr>
                            <a:picLocks noChangeAspect="1"/>
                          </pic:cNvPicPr>
                        </pic:nvPicPr>
                        <pic:blipFill>
                          <a:blip r:embed="rId138" cstate="email">
                            <a:extLst>
                              <a:ext uri="{28A0092B-C50C-407E-A947-70E740481C1C}">
                                <a14:useLocalDpi xmlns:a14="http://schemas.microsoft.com/office/drawing/2010/main"/>
                              </a:ext>
                            </a:extLst>
                          </a:blip>
                          <a:srcRect/>
                          <a:stretch>
                            <a:fillRect/>
                          </a:stretch>
                        </pic:blipFill>
                        <pic:spPr bwMode="auto">
                          <a:xfrm>
                            <a:off x="2266950" y="38100"/>
                            <a:ext cx="2146935" cy="1609725"/>
                          </a:xfrm>
                          <a:prstGeom prst="rect">
                            <a:avLst/>
                          </a:prstGeom>
                          <a:ln>
                            <a:noFill/>
                          </a:ln>
                          <a:effectLst>
                            <a:outerShdw blurRad="190500" algn="tl" rotWithShape="0">
                              <a:srgbClr val="000000">
                                <a:alpha val="70000"/>
                              </a:srgbClr>
                            </a:outerShdw>
                          </a:effectLst>
                        </pic:spPr>
                      </pic:pic>
                      <pic:pic xmlns:pic="http://schemas.openxmlformats.org/drawingml/2006/picture">
                        <pic:nvPicPr>
                          <pic:cNvPr id="27" name="Image 24" descr="C:\Users\ECI GUINÉE-BISSAU\Desktop\Photos des Site\Photo site Hafia\Rencontre avec la Pop de Hafia\IMG_20190516_163425_2.jpg"/>
                          <pic:cNvPicPr>
                            <a:picLocks noChangeAspect="1"/>
                          </pic:cNvPicPr>
                        </pic:nvPicPr>
                        <pic:blipFill>
                          <a:blip r:embed="rId139" cstate="email">
                            <a:extLst>
                              <a:ext uri="{28A0092B-C50C-407E-A947-70E740481C1C}">
                                <a14:useLocalDpi xmlns:a14="http://schemas.microsoft.com/office/drawing/2010/main"/>
                              </a:ext>
                            </a:extLst>
                          </a:blip>
                          <a:srcRect/>
                          <a:stretch>
                            <a:fillRect/>
                          </a:stretch>
                        </pic:blipFill>
                        <pic:spPr bwMode="auto">
                          <a:xfrm>
                            <a:off x="4352925" y="76200"/>
                            <a:ext cx="2070100" cy="1552575"/>
                          </a:xfrm>
                          <a:prstGeom prst="rect">
                            <a:avLst/>
                          </a:prstGeom>
                          <a:ln>
                            <a:noFill/>
                          </a:ln>
                          <a:effectLst>
                            <a:outerShdw blurRad="190500" algn="tl" rotWithShape="0">
                              <a:srgbClr val="000000">
                                <a:alpha val="70000"/>
                              </a:srgbClr>
                            </a:outerShdw>
                          </a:effectLst>
                        </pic:spPr>
                      </pic:pic>
                    </wpg:wgp>
                  </a:graphicData>
                </a:graphic>
              </wp:anchor>
            </w:drawing>
          </mc:Choice>
          <mc:Fallback xmlns:cx1="http://schemas.microsoft.com/office/drawing/2015/9/8/chartex">
            <w:pict>
              <v:group w14:anchorId="754BBD7E" id="Groupe 25" o:spid="_x0000_s1026" style="position:absolute;margin-left:454.55pt;margin-top:36.05pt;width:505.75pt;height:129.75pt;z-index:252191232;mso-position-horizontal:right;mso-position-horizontal-relative:margin" coordsize="64230,1647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&#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">
                <v:shape id="Image 22" o:spid="_x0000_s1027" type="#_x0000_t75" style="position:absolute;width:21526;height:161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">
                  <v:imagedata r:id="rId140" o:title="IMG_20190516_163328_7"/>
                  <v:shadow on="t" color="black" opacity="45875f" origin="-.5,-.5" offset="0,0"/>
                  <v:path arrowok="t"/>
                </v:shape>
                <v:shape id="Image 23" o:spid="_x0000_s1028" type="#_x0000_t75" style="position:absolute;left:22669;top:381;width:21469;height:160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">
                  <v:imagedata r:id="rId141" o:title="IMG_20190516_163401_2"/>
                  <v:shadow on="t" color="black" opacity="45875f" origin="-.5,-.5" offset="0,0"/>
                  <v:path arrowok="t"/>
                </v:shape>
                <v:shape id="Image 24" o:spid="_x0000_s1029" type="#_x0000_t75" style="position:absolute;left:43529;top:762;width:20701;height:155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">
                  <v:imagedata r:id="rId142" o:title="IMG_20190516_163425_2"/>
                  <v:shadow on="t" color="black" opacity="45875f" origin="-.5,-.5" offset="0,0"/>
                  <v:path arrowok="t"/>
                </v:shape>
                <w10:wrap type="tight" anchorx="margin"/>
              </v:group>
            </w:pict>
          </mc:Fallback>
        </mc:AlternateContent>
      </w:r>
      <w:r w:rsidR="00E81805" w:rsidRPr="00EE0400">
        <w:rPr>
          <w:rFonts w:ascii="Times New Roman" w:hAnsi="Times New Roman" w:cs="Times New Roman"/>
          <w:b/>
        </w:rPr>
        <w:t xml:space="preserve">Photo </w:t>
      </w:r>
      <w:r w:rsidR="00E81805" w:rsidRPr="00EE0400">
        <w:rPr>
          <w:rFonts w:ascii="Times New Roman" w:hAnsi="Times New Roman" w:cs="Times New Roman"/>
          <w:b/>
        </w:rPr>
        <w:fldChar w:fldCharType="begin"/>
      </w:r>
      <w:r w:rsidR="00E81805" w:rsidRPr="00EE0400">
        <w:rPr>
          <w:rFonts w:ascii="Times New Roman" w:hAnsi="Times New Roman" w:cs="Times New Roman"/>
          <w:b/>
        </w:rPr>
        <w:instrText xml:space="preserve"> SEQ PHOTO \* ARABIC </w:instrText>
      </w:r>
      <w:r w:rsidR="00E81805" w:rsidRPr="00EE0400">
        <w:rPr>
          <w:rFonts w:ascii="Times New Roman" w:hAnsi="Times New Roman" w:cs="Times New Roman"/>
          <w:b/>
        </w:rPr>
        <w:fldChar w:fldCharType="separate"/>
      </w:r>
      <w:r w:rsidR="002C6E60">
        <w:rPr>
          <w:rFonts w:ascii="Times New Roman" w:hAnsi="Times New Roman" w:cs="Times New Roman"/>
          <w:b/>
          <w:noProof/>
        </w:rPr>
        <w:t>10</w:t>
      </w:r>
      <w:r w:rsidR="00E81805" w:rsidRPr="00EE0400">
        <w:rPr>
          <w:rFonts w:ascii="Times New Roman" w:hAnsi="Times New Roman" w:cs="Times New Roman"/>
          <w:b/>
        </w:rPr>
        <w:fldChar w:fldCharType="end"/>
      </w:r>
      <w:r w:rsidR="00E81805" w:rsidRPr="00EE0400">
        <w:rPr>
          <w:rFonts w:ascii="Times New Roman" w:hAnsi="Times New Roman" w:cs="Times New Roman"/>
          <w:b/>
        </w:rPr>
        <w:t xml:space="preserve"> : Au niveau de BOR, ces photos ont été prises pendant les focus groupes organisés</w:t>
      </w:r>
      <w:bookmarkEnd w:id="655"/>
      <w:r w:rsidR="00E81805" w:rsidRPr="00EE0400">
        <w:rPr>
          <w:rFonts w:ascii="Times New Roman" w:hAnsi="Times New Roman" w:cs="Times New Roman"/>
          <w:b/>
          <w:sz w:val="24"/>
          <w:szCs w:val="24"/>
        </w:rPr>
        <w:t> </w:t>
      </w:r>
    </w:p>
    <w:p w:rsidR="00745F48" w:rsidRDefault="00745F48" w:rsidP="00E81805">
      <w:pPr>
        <w:jc w:val="both"/>
        <w:rPr>
          <w:rFonts w:ascii="Times New Roman" w:hAnsi="Times New Roman" w:cs="Times New Roman"/>
          <w:b/>
          <w:sz w:val="24"/>
          <w:szCs w:val="24"/>
        </w:rPr>
      </w:pPr>
    </w:p>
    <w:p w:rsidR="00E81805" w:rsidRPr="00EE0400" w:rsidRDefault="00E81805" w:rsidP="00E81805">
      <w:pPr>
        <w:jc w:val="both"/>
        <w:rPr>
          <w:rFonts w:ascii="Times New Roman" w:hAnsi="Times New Roman" w:cs="Times New Roman"/>
          <w:b/>
          <w:highlight w:val="yellow"/>
        </w:rPr>
      </w:pPr>
      <w:bookmarkStart w:id="656" w:name="_Toc32512062"/>
      <w:r w:rsidRPr="00EE0400">
        <w:rPr>
          <w:rFonts w:ascii="Times New Roman" w:hAnsi="Times New Roman" w:cs="Times New Roman"/>
          <w:b/>
        </w:rPr>
        <w:t xml:space="preserve">Photo </w:t>
      </w:r>
      <w:r w:rsidRPr="00EE0400">
        <w:rPr>
          <w:rFonts w:ascii="Times New Roman" w:hAnsi="Times New Roman" w:cs="Times New Roman"/>
          <w:b/>
        </w:rPr>
        <w:fldChar w:fldCharType="begin"/>
      </w:r>
      <w:r w:rsidRPr="00EE0400">
        <w:rPr>
          <w:rFonts w:ascii="Times New Roman" w:hAnsi="Times New Roman" w:cs="Times New Roman"/>
          <w:b/>
        </w:rPr>
        <w:instrText xml:space="preserve"> SEQ PHOTO \* ARABIC </w:instrText>
      </w:r>
      <w:r w:rsidRPr="00EE0400">
        <w:rPr>
          <w:rFonts w:ascii="Times New Roman" w:hAnsi="Times New Roman" w:cs="Times New Roman"/>
          <w:b/>
        </w:rPr>
        <w:fldChar w:fldCharType="separate"/>
      </w:r>
      <w:r w:rsidR="002C6E60">
        <w:rPr>
          <w:rFonts w:ascii="Times New Roman" w:hAnsi="Times New Roman" w:cs="Times New Roman"/>
          <w:b/>
          <w:noProof/>
        </w:rPr>
        <w:t>11</w:t>
      </w:r>
      <w:r w:rsidRPr="00EE0400">
        <w:rPr>
          <w:rFonts w:ascii="Times New Roman" w:hAnsi="Times New Roman" w:cs="Times New Roman"/>
          <w:b/>
        </w:rPr>
        <w:fldChar w:fldCharType="end"/>
      </w:r>
      <w:r w:rsidRPr="00EE0400">
        <w:rPr>
          <w:rFonts w:ascii="Times New Roman" w:hAnsi="Times New Roman" w:cs="Times New Roman"/>
          <w:b/>
        </w:rPr>
        <w:t xml:space="preserve"> :</w:t>
      </w:r>
      <w:r w:rsidRPr="00EE0400">
        <w:rPr>
          <w:rFonts w:ascii="Times New Roman" w:hAnsi="Times New Roman" w:cs="Times New Roman"/>
        </w:rPr>
        <w:t xml:space="preserve"> </w:t>
      </w:r>
      <w:r w:rsidRPr="00EE0400">
        <w:rPr>
          <w:rFonts w:ascii="Times New Roman" w:hAnsi="Times New Roman" w:cs="Times New Roman"/>
          <w:b/>
        </w:rPr>
        <w:t>Au niveau de HAFIA, ces photos ont été prises pendant les focus groupes organisés</w:t>
      </w:r>
      <w:bookmarkEnd w:id="656"/>
      <w:r w:rsidRPr="00EE0400">
        <w:rPr>
          <w:rFonts w:ascii="Times New Roman" w:hAnsi="Times New Roman" w:cs="Times New Roman"/>
          <w:b/>
        </w:rPr>
        <w:t> </w:t>
      </w:r>
    </w:p>
    <w:p w:rsidR="00E81805" w:rsidRDefault="00E81805" w:rsidP="00E81805">
      <w:pPr>
        <w:jc w:val="both"/>
        <w:rPr>
          <w:rFonts w:ascii="Times New Roman" w:hAnsi="Times New Roman" w:cs="Times New Roman"/>
          <w:sz w:val="24"/>
          <w:szCs w:val="24"/>
          <w:highlight w:val="yellow"/>
        </w:rPr>
      </w:pPr>
    </w:p>
    <w:p w:rsidR="00745F48" w:rsidRDefault="00745F48" w:rsidP="00E81805">
      <w:pPr>
        <w:jc w:val="both"/>
        <w:rPr>
          <w:rFonts w:ascii="Times New Roman" w:hAnsi="Times New Roman" w:cs="Times New Roman"/>
          <w:sz w:val="24"/>
          <w:szCs w:val="24"/>
          <w:highlight w:val="yellow"/>
        </w:rPr>
      </w:pPr>
    </w:p>
    <w:p w:rsidR="00E81805" w:rsidRPr="00EE0400" w:rsidRDefault="00745F48" w:rsidP="00E81805">
      <w:pPr>
        <w:jc w:val="both"/>
        <w:rPr>
          <w:rFonts w:ascii="Times New Roman" w:hAnsi="Times New Roman" w:cs="Times New Roman"/>
          <w:b/>
          <w:highlight w:val="yellow"/>
        </w:rPr>
      </w:pPr>
      <w:r w:rsidRPr="006C0C34">
        <w:rPr>
          <w:rFonts w:ascii="Times New Roman" w:hAnsi="Times New Roman" w:cs="Times New Roman"/>
          <w:noProof/>
          <w:sz w:val="24"/>
          <w:szCs w:val="24"/>
          <w:lang w:val="pt-PT" w:eastAsia="pt-PT"/>
        </w:rPr>
        <w:lastRenderedPageBreak/>
        <mc:AlternateContent>
          <mc:Choice Requires="wpg">
            <w:drawing>
              <wp:anchor distT="0" distB="0" distL="114300" distR="114300" simplePos="0" relativeHeight="252194304" behindDoc="0" locked="0" layoutInCell="1" allowOverlap="1" wp14:anchorId="0EDF0451" wp14:editId="1CB55518">
                <wp:simplePos x="0" y="0"/>
                <wp:positionH relativeFrom="page">
                  <wp:posOffset>667311</wp:posOffset>
                </wp:positionH>
                <wp:positionV relativeFrom="paragraph">
                  <wp:posOffset>191062</wp:posOffset>
                </wp:positionV>
                <wp:extent cx="6448425" cy="1624965"/>
                <wp:effectExtent l="190500" t="190500" r="200025" b="184785"/>
                <wp:wrapTight wrapText="bothSides">
                  <wp:wrapPolygon edited="0">
                    <wp:start x="128" y="-2532"/>
                    <wp:lineTo x="-638" y="-2026"/>
                    <wp:lineTo x="-638" y="20511"/>
                    <wp:lineTo x="-383" y="22284"/>
                    <wp:lineTo x="7530" y="23297"/>
                    <wp:lineTo x="7594" y="23803"/>
                    <wp:lineTo x="14549" y="23803"/>
                    <wp:lineTo x="14613" y="23297"/>
                    <wp:lineTo x="21887" y="22284"/>
                    <wp:lineTo x="22206" y="18485"/>
                    <wp:lineTo x="22206" y="-1519"/>
                    <wp:lineTo x="21440" y="-2026"/>
                    <wp:lineTo x="14996" y="-2532"/>
                    <wp:lineTo x="128" y="-2532"/>
                  </wp:wrapPolygon>
                </wp:wrapTight>
                <wp:docPr id="29" name="Groupe 29"/>
                <wp:cNvGraphicFramePr/>
                <a:graphic xmlns:a="http://schemas.openxmlformats.org/drawingml/2006/main">
                  <a:graphicData uri="http://schemas.microsoft.com/office/word/2010/wordprocessingGroup">
                    <wpg:wgp>
                      <wpg:cNvGrpSpPr/>
                      <wpg:grpSpPr>
                        <a:xfrm>
                          <a:off x="0" y="0"/>
                          <a:ext cx="6448425" cy="1624965"/>
                          <a:chOff x="0" y="0"/>
                          <a:chExt cx="6448425" cy="1624965"/>
                        </a:xfrm>
                      </wpg:grpSpPr>
                      <pic:pic xmlns:pic="http://schemas.openxmlformats.org/drawingml/2006/picture">
                        <pic:nvPicPr>
                          <pic:cNvPr id="28" name="Image 26" descr="C:\Users\ECI GUINÉE-BISSAU\Desktop\Photos des Site\Photo Site Aéroport Bor\Photo de rencontre avec la Pop de Brème Quartier Aéroport\IMG_20190510_105431_2.jpg"/>
                          <pic:cNvPicPr>
                            <a:picLocks noChangeAspect="1"/>
                          </pic:cNvPicPr>
                        </pic:nvPicPr>
                        <pic:blipFill>
                          <a:blip r:embed="rId143" cstate="email">
                            <a:extLst>
                              <a:ext uri="{28A0092B-C50C-407E-A947-70E740481C1C}">
                                <a14:useLocalDpi xmlns:a14="http://schemas.microsoft.com/office/drawing/2010/main"/>
                              </a:ext>
                            </a:extLst>
                          </a:blip>
                          <a:srcRect/>
                          <a:stretch>
                            <a:fillRect/>
                          </a:stretch>
                        </pic:blipFill>
                        <pic:spPr bwMode="auto">
                          <a:xfrm>
                            <a:off x="0" y="0"/>
                            <a:ext cx="2143125" cy="1605915"/>
                          </a:xfrm>
                          <a:prstGeom prst="rect">
                            <a:avLst/>
                          </a:prstGeom>
                          <a:ln>
                            <a:noFill/>
                          </a:ln>
                          <a:effectLst>
                            <a:outerShdw blurRad="190500" algn="tl" rotWithShape="0">
                              <a:srgbClr val="000000">
                                <a:alpha val="70000"/>
                              </a:srgbClr>
                            </a:outerShdw>
                          </a:effectLst>
                        </pic:spPr>
                      </pic:pic>
                      <pic:pic xmlns:pic="http://schemas.openxmlformats.org/drawingml/2006/picture">
                        <pic:nvPicPr>
                          <pic:cNvPr id="1920" name="Image 27" descr="C:\Users\ECI GUINÉE-BISSAU\Desktop\Photos des Site\Photo Site Aéroport Bor\Photo de rencontre avec la Pop de Brème Quartier Aéroport\IMG_20190510_105346_2.jpg"/>
                          <pic:cNvPicPr>
                            <a:picLocks noChangeAspect="1"/>
                          </pic:cNvPicPr>
                        </pic:nvPicPr>
                        <pic:blipFill>
                          <a:blip r:embed="rId144" cstate="email">
                            <a:extLst>
                              <a:ext uri="{28A0092B-C50C-407E-A947-70E740481C1C}">
                                <a14:useLocalDpi xmlns:a14="http://schemas.microsoft.com/office/drawing/2010/main"/>
                              </a:ext>
                            </a:extLst>
                          </a:blip>
                          <a:srcRect/>
                          <a:stretch>
                            <a:fillRect/>
                          </a:stretch>
                        </pic:blipFill>
                        <pic:spPr bwMode="auto">
                          <a:xfrm>
                            <a:off x="2228850" y="0"/>
                            <a:ext cx="2166620" cy="1624965"/>
                          </a:xfrm>
                          <a:prstGeom prst="rect">
                            <a:avLst/>
                          </a:prstGeom>
                          <a:ln>
                            <a:noFill/>
                          </a:ln>
                          <a:effectLst>
                            <a:outerShdw blurRad="190500" algn="tl" rotWithShape="0">
                              <a:srgbClr val="000000">
                                <a:alpha val="70000"/>
                              </a:srgbClr>
                            </a:outerShdw>
                          </a:effectLst>
                        </pic:spPr>
                      </pic:pic>
                      <pic:pic xmlns:pic="http://schemas.openxmlformats.org/drawingml/2006/picture">
                        <pic:nvPicPr>
                          <pic:cNvPr id="1921" name="Image 28" descr="C:\Users\ECI GUINÉE-BISSAU\Desktop\Photos des Site\Photo Site Aéroport Bor\Photo de rencontre avec la Pop de Brème Quartier Aéroport\IMG-20190511-WA0112.jpg"/>
                          <pic:cNvPicPr>
                            <a:picLocks noChangeAspect="1"/>
                          </pic:cNvPicPr>
                        </pic:nvPicPr>
                        <pic:blipFill>
                          <a:blip r:embed="rId145" cstate="email">
                            <a:extLst>
                              <a:ext uri="{28A0092B-C50C-407E-A947-70E740481C1C}">
                                <a14:useLocalDpi xmlns:a14="http://schemas.microsoft.com/office/drawing/2010/main"/>
                              </a:ext>
                            </a:extLst>
                          </a:blip>
                          <a:srcRect/>
                          <a:stretch>
                            <a:fillRect/>
                          </a:stretch>
                        </pic:blipFill>
                        <pic:spPr bwMode="auto">
                          <a:xfrm>
                            <a:off x="4352925" y="9525"/>
                            <a:ext cx="2095500" cy="1571625"/>
                          </a:xfrm>
                          <a:prstGeom prst="rect">
                            <a:avLst/>
                          </a:prstGeom>
                          <a:ln>
                            <a:noFill/>
                          </a:ln>
                          <a:effectLst>
                            <a:outerShdw blurRad="190500" algn="tl" rotWithShape="0">
                              <a:srgbClr val="000000">
                                <a:alpha val="70000"/>
                              </a:srgbClr>
                            </a:outerShdw>
                          </a:effectLst>
                        </pic:spPr>
                      </pic:pic>
                    </wpg:wgp>
                  </a:graphicData>
                </a:graphic>
              </wp:anchor>
            </w:drawing>
          </mc:Choice>
          <mc:Fallback xmlns:cx1="http://schemas.microsoft.com/office/drawing/2015/9/8/chartex">
            <w:pict>
              <v:group w14:anchorId="18301E2C" id="Groupe 29" o:spid="_x0000_s1026" style="position:absolute;margin-left:52.55pt;margin-top:15.05pt;width:507.75pt;height:127.95pt;z-index:252194304;mso-position-horizontal-relative:page" coordsize="64484,1624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">
                <v:shape id="Image 26" o:spid="_x0000_s1027" type="#_x0000_t75" style="position:absolute;width:21431;height:160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">
                  <v:imagedata r:id="rId146" o:title="IMG_20190510_105431_2"/>
                  <v:shadow on="t" color="black" opacity="45875f" origin="-.5,-.5" offset="0,0"/>
                  <v:path arrowok="t"/>
                </v:shape>
                <v:shape id="Image 27" o:spid="_x0000_s1028" type="#_x0000_t75" style="position:absolute;left:22288;width:21666;height:162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">
                  <v:imagedata r:id="rId147" o:title="IMG_20190510_105346_2"/>
                  <v:shadow on="t" color="black" opacity="45875f" origin="-.5,-.5" offset="0,0"/>
                  <v:path arrowok="t"/>
                </v:shape>
                <v:shape id="Image 28" o:spid="_x0000_s1029" type="#_x0000_t75" style="position:absolute;left:43529;top:95;width:20955;height:157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">
                  <v:imagedata r:id="rId148" o:title="IMG-20190511-WA0112"/>
                  <v:shadow on="t" color="black" opacity="45875f" origin="-.5,-.5" offset="0,0"/>
                  <v:path arrowok="t"/>
                </v:shape>
                <w10:wrap type="tight" anchorx="page"/>
              </v:group>
            </w:pict>
          </mc:Fallback>
        </mc:AlternateContent>
      </w:r>
      <w:bookmarkStart w:id="657" w:name="_Toc32512063"/>
      <w:r w:rsidR="00E81805" w:rsidRPr="00EE0400">
        <w:rPr>
          <w:rFonts w:ascii="Times New Roman" w:hAnsi="Times New Roman" w:cs="Times New Roman"/>
          <w:b/>
        </w:rPr>
        <w:t xml:space="preserve">Photo </w:t>
      </w:r>
      <w:r w:rsidR="00E81805" w:rsidRPr="00EE0400">
        <w:rPr>
          <w:rFonts w:ascii="Times New Roman" w:hAnsi="Times New Roman" w:cs="Times New Roman"/>
          <w:b/>
        </w:rPr>
        <w:fldChar w:fldCharType="begin"/>
      </w:r>
      <w:r w:rsidR="00E81805" w:rsidRPr="00EE0400">
        <w:rPr>
          <w:rFonts w:ascii="Times New Roman" w:hAnsi="Times New Roman" w:cs="Times New Roman"/>
          <w:b/>
        </w:rPr>
        <w:instrText xml:space="preserve"> SEQ PHOTO \* ARABIC </w:instrText>
      </w:r>
      <w:r w:rsidR="00E81805" w:rsidRPr="00EE0400">
        <w:rPr>
          <w:rFonts w:ascii="Times New Roman" w:hAnsi="Times New Roman" w:cs="Times New Roman"/>
          <w:b/>
        </w:rPr>
        <w:fldChar w:fldCharType="separate"/>
      </w:r>
      <w:r w:rsidR="002C6E60">
        <w:rPr>
          <w:rFonts w:ascii="Times New Roman" w:hAnsi="Times New Roman" w:cs="Times New Roman"/>
          <w:b/>
          <w:noProof/>
        </w:rPr>
        <w:t>12</w:t>
      </w:r>
      <w:r w:rsidR="00E81805" w:rsidRPr="00EE0400">
        <w:rPr>
          <w:rFonts w:ascii="Times New Roman" w:hAnsi="Times New Roman" w:cs="Times New Roman"/>
          <w:b/>
        </w:rPr>
        <w:fldChar w:fldCharType="end"/>
      </w:r>
      <w:r w:rsidR="00E81805" w:rsidRPr="00EE0400">
        <w:rPr>
          <w:rFonts w:ascii="Times New Roman" w:hAnsi="Times New Roman" w:cs="Times New Roman"/>
          <w:b/>
        </w:rPr>
        <w:t xml:space="preserve"> :</w:t>
      </w:r>
      <w:r w:rsidR="00E81805" w:rsidRPr="00EE0400">
        <w:rPr>
          <w:rFonts w:ascii="Times New Roman" w:hAnsi="Times New Roman" w:cs="Times New Roman"/>
        </w:rPr>
        <w:t xml:space="preserve"> </w:t>
      </w:r>
      <w:r w:rsidR="00E81805" w:rsidRPr="00EE0400">
        <w:rPr>
          <w:rFonts w:ascii="Times New Roman" w:hAnsi="Times New Roman" w:cs="Times New Roman"/>
          <w:b/>
        </w:rPr>
        <w:t>Au niveau Quartier AEROPORT (Brème), ces photos ont été prises pendant les focus groupes organisés</w:t>
      </w:r>
      <w:bookmarkEnd w:id="657"/>
    </w:p>
    <w:p w:rsidR="00E81805" w:rsidRPr="006C0C34" w:rsidRDefault="00E81805" w:rsidP="00745F48">
      <w:pPr>
        <w:pStyle w:val="PargrafodaLista"/>
        <w:keepNext/>
        <w:spacing w:before="240" w:after="240"/>
        <w:ind w:left="1418" w:hanging="450"/>
        <w:jc w:val="both"/>
        <w:rPr>
          <w:rFonts w:ascii="Times New Roman" w:hAnsi="Times New Roman"/>
          <w:b/>
          <w:sz w:val="24"/>
          <w:szCs w:val="24"/>
          <w:lang w:val="fr-FR" w:eastAsia="fr-FR"/>
        </w:rPr>
      </w:pPr>
    </w:p>
    <w:p w:rsidR="00E81805" w:rsidRPr="006C0C34" w:rsidRDefault="00EE3027" w:rsidP="00EE3027">
      <w:pPr>
        <w:pStyle w:val="PargrafodaLista"/>
        <w:keepNext/>
        <w:spacing w:before="240" w:after="240"/>
        <w:ind w:left="450" w:firstLine="258"/>
        <w:jc w:val="both"/>
        <w:outlineLvl w:val="2"/>
        <w:rPr>
          <w:rFonts w:ascii="Times New Roman" w:hAnsi="Times New Roman"/>
          <w:b/>
          <w:sz w:val="24"/>
          <w:szCs w:val="24"/>
          <w:lang w:val="fr-FR" w:eastAsia="fr-FR"/>
        </w:rPr>
      </w:pPr>
      <w:bookmarkStart w:id="658" w:name="_Toc51072618"/>
      <w:bookmarkStart w:id="659" w:name="_Toc527882052"/>
      <w:r>
        <w:rPr>
          <w:rFonts w:ascii="Times New Roman" w:hAnsi="Times New Roman"/>
          <w:b/>
          <w:sz w:val="24"/>
          <w:szCs w:val="24"/>
          <w:lang w:val="fr-FR" w:eastAsia="fr-FR"/>
        </w:rPr>
        <w:t>8.6.9.</w:t>
      </w:r>
      <w:r w:rsidR="00E81805" w:rsidRPr="006C0C34">
        <w:rPr>
          <w:rFonts w:ascii="Times New Roman" w:hAnsi="Times New Roman"/>
          <w:b/>
          <w:sz w:val="24"/>
          <w:szCs w:val="24"/>
          <w:lang w:val="fr-FR" w:eastAsia="fr-FR"/>
        </w:rPr>
        <w:t xml:space="preserve"> Conclusion</w:t>
      </w:r>
      <w:bookmarkEnd w:id="658"/>
      <w:r w:rsidR="00E81805" w:rsidRPr="006C0C34">
        <w:rPr>
          <w:rFonts w:ascii="Times New Roman" w:hAnsi="Times New Roman"/>
          <w:b/>
          <w:sz w:val="24"/>
          <w:szCs w:val="24"/>
          <w:lang w:val="fr-FR" w:eastAsia="fr-FR"/>
        </w:rPr>
        <w:t xml:space="preserve">  </w:t>
      </w:r>
      <w:bookmarkEnd w:id="659"/>
    </w:p>
    <w:p w:rsidR="00E81805" w:rsidRPr="006C0C34" w:rsidRDefault="00E81805" w:rsidP="004F7F5E">
      <w:pPr>
        <w:pStyle w:val="PargrafodaLista"/>
        <w:keepNext/>
        <w:spacing w:before="240" w:after="0"/>
        <w:ind w:left="0"/>
        <w:jc w:val="both"/>
        <w:rPr>
          <w:rFonts w:ascii="Times New Roman" w:hAnsi="Times New Roman"/>
          <w:b/>
          <w:sz w:val="24"/>
          <w:szCs w:val="24"/>
          <w:lang w:val="fr-FR" w:eastAsia="fr-FR"/>
        </w:rPr>
      </w:pPr>
      <w:bookmarkStart w:id="660" w:name="_Toc9813111"/>
      <w:r w:rsidRPr="006C0C34">
        <w:rPr>
          <w:rFonts w:ascii="Times New Roman" w:hAnsi="Times New Roman"/>
          <w:sz w:val="24"/>
          <w:szCs w:val="24"/>
        </w:rPr>
        <w:t>Les populations concernées ont une perception favorable du projet dont l’importance pour le pays ne leur élude pas. En effet, la perception générale des acteurs qui ont pris part à ces consultations, ressort des appréciations globalement positives sur le projet. En effet</w:t>
      </w:r>
      <w:r>
        <w:rPr>
          <w:rFonts w:ascii="Times New Roman" w:hAnsi="Times New Roman"/>
          <w:sz w:val="24"/>
          <w:szCs w:val="24"/>
          <w:lang w:val="fr-FR"/>
        </w:rPr>
        <w:t>,</w:t>
      </w:r>
      <w:r w:rsidRPr="006C0C34">
        <w:rPr>
          <w:rFonts w:ascii="Times New Roman" w:hAnsi="Times New Roman"/>
          <w:sz w:val="24"/>
          <w:szCs w:val="24"/>
        </w:rPr>
        <w:t xml:space="preserve"> tous les acteurs se concèdent sur le fait que le projet  constitue une opportunité pour la Guinée Bissau pour améliorer son réseau d’eau et d’électricité. La situation actuelle est caractérisée d’après les divers intervenants par plusieurs contraintes qui sont :</w:t>
      </w:r>
      <w:bookmarkEnd w:id="660"/>
      <w:r w:rsidRPr="006C0C34">
        <w:rPr>
          <w:rFonts w:ascii="Times New Roman" w:hAnsi="Times New Roman"/>
          <w:sz w:val="24"/>
          <w:szCs w:val="24"/>
        </w:rPr>
        <w:t xml:space="preserve"> </w:t>
      </w:r>
    </w:p>
    <w:p w:rsidR="00E81805" w:rsidRPr="006C0C34" w:rsidRDefault="00E81805" w:rsidP="004F7F5E">
      <w:pPr>
        <w:spacing w:after="0"/>
        <w:jc w:val="both"/>
        <w:rPr>
          <w:rFonts w:ascii="Times New Roman" w:hAnsi="Times New Roman" w:cs="Times New Roman"/>
          <w:sz w:val="24"/>
          <w:szCs w:val="24"/>
        </w:rPr>
      </w:pPr>
      <w:r w:rsidRPr="006C0C34">
        <w:rPr>
          <w:rFonts w:ascii="Times New Roman" w:hAnsi="Times New Roman" w:cs="Times New Roman"/>
          <w:sz w:val="24"/>
          <w:szCs w:val="24"/>
        </w:rPr>
        <w:sym w:font="Symbol" w:char="F0B7"/>
      </w:r>
      <w:r w:rsidRPr="006C0C34">
        <w:rPr>
          <w:rFonts w:ascii="Times New Roman" w:hAnsi="Times New Roman" w:cs="Times New Roman"/>
          <w:sz w:val="24"/>
          <w:szCs w:val="24"/>
        </w:rPr>
        <w:t xml:space="preserve"> </w:t>
      </w:r>
      <w:r w:rsidRPr="006C0C34">
        <w:rPr>
          <w:rFonts w:ascii="Times New Roman" w:eastAsia="Calibri" w:hAnsi="Times New Roman" w:cs="Times New Roman"/>
          <w:sz w:val="24"/>
          <w:szCs w:val="24"/>
          <w:lang w:val="x-none" w:eastAsia="x-none"/>
        </w:rPr>
        <w:t>Des points de recherches d’eau très éloigné</w:t>
      </w:r>
      <w:r>
        <w:rPr>
          <w:rFonts w:ascii="Times New Roman" w:eastAsia="Calibri" w:hAnsi="Times New Roman" w:cs="Times New Roman"/>
          <w:sz w:val="24"/>
          <w:szCs w:val="24"/>
          <w:lang w:eastAsia="x-none"/>
        </w:rPr>
        <w:t>s</w:t>
      </w:r>
      <w:r w:rsidRPr="006C0C34">
        <w:rPr>
          <w:rFonts w:ascii="Times New Roman" w:eastAsia="Calibri" w:hAnsi="Times New Roman" w:cs="Times New Roman"/>
          <w:sz w:val="24"/>
          <w:szCs w:val="24"/>
          <w:lang w:val="x-none" w:eastAsia="x-none"/>
        </w:rPr>
        <w:t xml:space="preserve"> ;</w:t>
      </w:r>
      <w:r w:rsidRPr="006C0C34">
        <w:rPr>
          <w:rFonts w:ascii="Times New Roman" w:hAnsi="Times New Roman" w:cs="Times New Roman"/>
          <w:sz w:val="24"/>
          <w:szCs w:val="24"/>
        </w:rPr>
        <w:t xml:space="preserve"> </w:t>
      </w:r>
    </w:p>
    <w:p w:rsidR="00E81805" w:rsidRPr="006B692E" w:rsidRDefault="00E81805" w:rsidP="004F7F5E">
      <w:pPr>
        <w:spacing w:after="0"/>
        <w:jc w:val="both"/>
        <w:rPr>
          <w:rFonts w:ascii="Times New Roman" w:hAnsi="Times New Roman" w:cs="Times New Roman"/>
          <w:sz w:val="24"/>
          <w:szCs w:val="24"/>
        </w:rPr>
      </w:pPr>
      <w:r w:rsidRPr="006C0C34">
        <w:rPr>
          <w:rFonts w:ascii="Times New Roman" w:hAnsi="Times New Roman" w:cs="Times New Roman"/>
          <w:sz w:val="24"/>
          <w:szCs w:val="24"/>
        </w:rPr>
        <w:sym w:font="Symbol" w:char="F0B7"/>
      </w:r>
      <w:r w:rsidRPr="006C0C34">
        <w:rPr>
          <w:rFonts w:ascii="Times New Roman" w:hAnsi="Times New Roman" w:cs="Times New Roman"/>
          <w:sz w:val="24"/>
          <w:szCs w:val="24"/>
        </w:rPr>
        <w:t xml:space="preserve"> </w:t>
      </w:r>
      <w:r w:rsidRPr="006C0C34">
        <w:rPr>
          <w:rFonts w:ascii="Times New Roman" w:eastAsia="Calibri" w:hAnsi="Times New Roman" w:cs="Times New Roman"/>
          <w:sz w:val="24"/>
          <w:szCs w:val="24"/>
          <w:lang w:val="x-none" w:eastAsia="x-none"/>
        </w:rPr>
        <w:t>Des puits presque secs</w:t>
      </w:r>
      <w:r>
        <w:rPr>
          <w:rFonts w:ascii="Times New Roman" w:eastAsia="Calibri" w:hAnsi="Times New Roman" w:cs="Times New Roman"/>
          <w:sz w:val="24"/>
          <w:szCs w:val="24"/>
          <w:lang w:val="x-none" w:eastAsia="x-none"/>
        </w:rPr>
        <w:t> </w:t>
      </w:r>
      <w:r>
        <w:rPr>
          <w:rFonts w:ascii="Times New Roman" w:eastAsia="Calibri" w:hAnsi="Times New Roman" w:cs="Times New Roman"/>
          <w:sz w:val="24"/>
          <w:szCs w:val="24"/>
          <w:lang w:eastAsia="x-none"/>
        </w:rPr>
        <w:t>;</w:t>
      </w:r>
    </w:p>
    <w:p w:rsidR="00E81805" w:rsidRDefault="00E81805" w:rsidP="004F7F5E">
      <w:pPr>
        <w:spacing w:after="0"/>
        <w:jc w:val="both"/>
        <w:rPr>
          <w:rFonts w:ascii="Times New Roman" w:eastAsia="Calibri" w:hAnsi="Times New Roman" w:cs="Times New Roman"/>
          <w:sz w:val="24"/>
          <w:szCs w:val="24"/>
          <w:lang w:eastAsia="x-none"/>
        </w:rPr>
      </w:pPr>
      <w:r w:rsidRPr="006C0C34">
        <w:rPr>
          <w:rFonts w:ascii="Times New Roman" w:hAnsi="Times New Roman" w:cs="Times New Roman"/>
          <w:sz w:val="24"/>
          <w:szCs w:val="24"/>
        </w:rPr>
        <w:sym w:font="Symbol" w:char="F0B7"/>
      </w:r>
      <w:r w:rsidRPr="006C0C34">
        <w:rPr>
          <w:rFonts w:ascii="Times New Roman" w:hAnsi="Times New Roman" w:cs="Times New Roman"/>
          <w:sz w:val="24"/>
          <w:szCs w:val="24"/>
        </w:rPr>
        <w:t xml:space="preserve"> </w:t>
      </w:r>
      <w:r w:rsidRPr="006C0C34">
        <w:rPr>
          <w:rFonts w:ascii="Times New Roman" w:eastAsia="Calibri" w:hAnsi="Times New Roman" w:cs="Times New Roman"/>
          <w:sz w:val="24"/>
          <w:szCs w:val="24"/>
          <w:lang w:val="x-none" w:eastAsia="x-none"/>
        </w:rPr>
        <w:t>Une faible couverture du réseau d’eau et d’électricité</w:t>
      </w:r>
      <w:r>
        <w:rPr>
          <w:rFonts w:ascii="Times New Roman" w:eastAsia="Calibri" w:hAnsi="Times New Roman" w:cs="Times New Roman"/>
          <w:sz w:val="24"/>
          <w:szCs w:val="24"/>
          <w:lang w:eastAsia="x-none"/>
        </w:rPr>
        <w:t>.</w:t>
      </w:r>
    </w:p>
    <w:p w:rsidR="004F7F5E" w:rsidRPr="006B692E" w:rsidRDefault="004F7F5E" w:rsidP="004F7F5E">
      <w:pPr>
        <w:spacing w:after="0"/>
        <w:jc w:val="both"/>
        <w:rPr>
          <w:rFonts w:ascii="Times New Roman" w:hAnsi="Times New Roman" w:cs="Times New Roman"/>
          <w:sz w:val="24"/>
          <w:szCs w:val="24"/>
          <w:highlight w:val="yellow"/>
        </w:rPr>
      </w:pPr>
    </w:p>
    <w:p w:rsidR="00764FFF" w:rsidRPr="00F362CC" w:rsidRDefault="00F362CC" w:rsidP="00764FFF">
      <w:pPr>
        <w:keepNext/>
        <w:spacing w:before="240" w:after="240"/>
        <w:jc w:val="both"/>
        <w:outlineLvl w:val="1"/>
        <w:rPr>
          <w:rFonts w:ascii="Times New Roman" w:hAnsi="Times New Roman"/>
          <w:b/>
          <w:sz w:val="32"/>
          <w:szCs w:val="32"/>
          <w:lang w:eastAsia="fr-FR"/>
        </w:rPr>
      </w:pPr>
      <w:bookmarkStart w:id="661" w:name="_Toc11158399"/>
      <w:bookmarkStart w:id="662" w:name="_Toc51072619"/>
      <w:r w:rsidRPr="00F362CC">
        <w:rPr>
          <w:rFonts w:ascii="Times New Roman" w:hAnsi="Times New Roman"/>
          <w:b/>
          <w:sz w:val="32"/>
          <w:szCs w:val="32"/>
          <w:lang w:eastAsia="fr-FR"/>
        </w:rPr>
        <w:t>8.7. GESTION DES VIOLENCES BASEES SUR LE GENRE (GBV)</w:t>
      </w:r>
      <w:bookmarkEnd w:id="661"/>
      <w:bookmarkEnd w:id="662"/>
      <w:r w:rsidRPr="00F362CC">
        <w:rPr>
          <w:rFonts w:ascii="Times New Roman" w:hAnsi="Times New Roman"/>
          <w:b/>
          <w:sz w:val="32"/>
          <w:szCs w:val="32"/>
          <w:lang w:eastAsia="fr-FR"/>
        </w:rPr>
        <w:t xml:space="preserve">  </w:t>
      </w:r>
    </w:p>
    <w:p w:rsidR="00764FFF" w:rsidRPr="00886D17" w:rsidRDefault="00764FFF" w:rsidP="00764FFF">
      <w:pPr>
        <w:spacing w:after="0"/>
        <w:jc w:val="both"/>
        <w:rPr>
          <w:rFonts w:ascii="Times New Roman" w:hAnsi="Times New Roman"/>
          <w:sz w:val="24"/>
          <w:szCs w:val="24"/>
        </w:rPr>
      </w:pPr>
      <w:r w:rsidRPr="00886D17">
        <w:rPr>
          <w:rFonts w:ascii="Times New Roman" w:hAnsi="Times New Roman"/>
          <w:sz w:val="24"/>
          <w:szCs w:val="24"/>
        </w:rPr>
        <w:t>La sacralisation de la dignité humaine requiert une grande importance. De ce fait, aucun traitement inhumain et cruel ne peut être toléré et certains actes de barbarie sont sévèrement réprimés :</w:t>
      </w:r>
    </w:p>
    <w:p w:rsidR="00764FFF" w:rsidRPr="00EE3027" w:rsidRDefault="00764FFF" w:rsidP="00820701">
      <w:pPr>
        <w:pStyle w:val="Cabealho3"/>
      </w:pPr>
      <w:bookmarkStart w:id="663" w:name="_Toc11158400"/>
      <w:bookmarkStart w:id="664" w:name="_Toc51072620"/>
      <w:r w:rsidRPr="00EE3027">
        <w:t>8.7.1 Du Harcèlement moral</w:t>
      </w:r>
      <w:bookmarkEnd w:id="663"/>
      <w:bookmarkEnd w:id="664"/>
    </w:p>
    <w:p w:rsidR="00764FFF" w:rsidRPr="00886D17" w:rsidRDefault="00764FFF" w:rsidP="00764FFF">
      <w:pPr>
        <w:spacing w:after="0"/>
        <w:jc w:val="both"/>
        <w:rPr>
          <w:rFonts w:ascii="Times New Roman" w:hAnsi="Times New Roman"/>
          <w:sz w:val="24"/>
          <w:szCs w:val="24"/>
        </w:rPr>
      </w:pPr>
      <w:r w:rsidRPr="00886D17">
        <w:rPr>
          <w:rFonts w:ascii="Times New Roman" w:hAnsi="Times New Roman"/>
          <w:sz w:val="24"/>
          <w:szCs w:val="24"/>
        </w:rPr>
        <w:t xml:space="preserve">Le respect des mœurs demeure primordial. Les employés et partenaires de l’entreprise ne doivent subir ou infliger des harcèlements moraux qui ont comme conséquence une dégradation des conditions de travail, une altération de la santé physique et de l’avenir professionnel. </w:t>
      </w:r>
    </w:p>
    <w:p w:rsidR="00764FFF" w:rsidRPr="00886D17" w:rsidRDefault="00764FFF" w:rsidP="00764FFF">
      <w:pPr>
        <w:spacing w:after="0"/>
        <w:jc w:val="both"/>
        <w:rPr>
          <w:rFonts w:ascii="Times New Roman" w:hAnsi="Times New Roman"/>
          <w:sz w:val="24"/>
          <w:szCs w:val="24"/>
        </w:rPr>
      </w:pPr>
      <w:r w:rsidRPr="00886D17">
        <w:rPr>
          <w:rFonts w:ascii="Times New Roman" w:hAnsi="Times New Roman"/>
          <w:sz w:val="24"/>
          <w:szCs w:val="24"/>
        </w:rPr>
        <w:t xml:space="preserve">Aucune sanction ne sera infligée pour avoir subi ou refus de subir ces agissements précités. Par contre, toute personne ayant commis de tels actes va être punie sévèrement. </w:t>
      </w:r>
    </w:p>
    <w:p w:rsidR="00764FFF" w:rsidRPr="00F362CC" w:rsidRDefault="00764FFF" w:rsidP="00820701">
      <w:pPr>
        <w:pStyle w:val="Cabealho3"/>
      </w:pPr>
      <w:bookmarkStart w:id="665" w:name="_Toc11158401"/>
      <w:bookmarkStart w:id="666" w:name="_Toc51072621"/>
      <w:r w:rsidRPr="00F362CC">
        <w:t>8.7.2 Des violences physiques</w:t>
      </w:r>
      <w:bookmarkEnd w:id="665"/>
      <w:bookmarkEnd w:id="666"/>
    </w:p>
    <w:p w:rsidR="00764FFF" w:rsidRPr="00886D17" w:rsidRDefault="00764FFF" w:rsidP="00764FFF">
      <w:pPr>
        <w:spacing w:after="0"/>
        <w:jc w:val="both"/>
        <w:rPr>
          <w:rFonts w:ascii="Times New Roman" w:hAnsi="Times New Roman"/>
          <w:sz w:val="24"/>
          <w:szCs w:val="24"/>
        </w:rPr>
      </w:pPr>
      <w:r w:rsidRPr="00886D17">
        <w:rPr>
          <w:rFonts w:ascii="Times New Roman" w:hAnsi="Times New Roman"/>
          <w:sz w:val="24"/>
          <w:szCs w:val="24"/>
        </w:rPr>
        <w:t xml:space="preserve">La violence physique sous toutes ses formes ne doit être subi ou infligé par (à) des employés et partenaires de l’entreprise. </w:t>
      </w:r>
    </w:p>
    <w:p w:rsidR="00764FFF" w:rsidRPr="00F362CC" w:rsidRDefault="00764FFF" w:rsidP="00820701">
      <w:pPr>
        <w:pStyle w:val="Cabealho3"/>
      </w:pPr>
      <w:bookmarkStart w:id="667" w:name="_Toc11158402"/>
      <w:bookmarkStart w:id="668" w:name="_Toc51072622"/>
      <w:r w:rsidRPr="00F362CC">
        <w:t>8.7.3 De proxénétisme, harcèlement et violences sexuels et pédophilie</w:t>
      </w:r>
      <w:bookmarkEnd w:id="667"/>
      <w:bookmarkEnd w:id="668"/>
    </w:p>
    <w:p w:rsidR="00764FFF" w:rsidRPr="00886D17" w:rsidRDefault="00764FFF" w:rsidP="00764FFF">
      <w:pPr>
        <w:spacing w:after="0"/>
        <w:jc w:val="both"/>
        <w:rPr>
          <w:rFonts w:ascii="Times New Roman" w:hAnsi="Times New Roman"/>
          <w:sz w:val="24"/>
          <w:szCs w:val="24"/>
        </w:rPr>
      </w:pPr>
      <w:r w:rsidRPr="00886D17">
        <w:rPr>
          <w:rFonts w:ascii="Times New Roman" w:hAnsi="Times New Roman"/>
          <w:sz w:val="24"/>
          <w:szCs w:val="24"/>
        </w:rPr>
        <w:t>Dès la constatation d’une infraction, le coupable sera immédiatement sanctionné et cette sanction peut aller jusqu’au licenciement et voire une poursuite judiciaire par l’autorité publique, par application aux textes nationaux, régionaux et internationaux sur le proxénétisme, le harcèlement et les violences sexuelles contre les femmes, la pédophilie et le respect des us et coutumes des populations.</w:t>
      </w:r>
    </w:p>
    <w:p w:rsidR="00764FFF" w:rsidRPr="00F362CC" w:rsidRDefault="00764FFF" w:rsidP="00820701">
      <w:pPr>
        <w:pStyle w:val="Cabealho3"/>
      </w:pPr>
      <w:bookmarkStart w:id="669" w:name="_Toc11158403"/>
      <w:bookmarkStart w:id="670" w:name="_Toc51072623"/>
      <w:r w:rsidRPr="00F362CC">
        <w:lastRenderedPageBreak/>
        <w:t>8.7.4 De l’exploitation des enfants</w:t>
      </w:r>
      <w:bookmarkEnd w:id="669"/>
      <w:bookmarkEnd w:id="670"/>
    </w:p>
    <w:p w:rsidR="00764FFF" w:rsidRPr="00886D17" w:rsidRDefault="00764FFF" w:rsidP="00764FFF">
      <w:pPr>
        <w:spacing w:after="0"/>
        <w:jc w:val="both"/>
        <w:rPr>
          <w:rFonts w:ascii="Times New Roman" w:hAnsi="Times New Roman"/>
          <w:sz w:val="24"/>
          <w:szCs w:val="24"/>
        </w:rPr>
      </w:pPr>
      <w:r w:rsidRPr="00886D17">
        <w:rPr>
          <w:rFonts w:ascii="Times New Roman" w:hAnsi="Times New Roman"/>
          <w:sz w:val="24"/>
          <w:szCs w:val="24"/>
        </w:rPr>
        <w:t>L’emploi et l’exploitation des enfants sont formellement interdits dans l’entreprise conformément aux textes nationaux, régionaux et internationaux.</w:t>
      </w:r>
    </w:p>
    <w:p w:rsidR="00764FFF" w:rsidRPr="00886D17" w:rsidRDefault="00764FFF" w:rsidP="00764FFF">
      <w:pPr>
        <w:spacing w:after="0"/>
        <w:jc w:val="both"/>
        <w:rPr>
          <w:rFonts w:ascii="Times New Roman" w:hAnsi="Times New Roman"/>
          <w:sz w:val="24"/>
          <w:szCs w:val="24"/>
        </w:rPr>
      </w:pPr>
    </w:p>
    <w:p w:rsidR="00764FFF" w:rsidRPr="00886D17" w:rsidRDefault="00764FFF" w:rsidP="00764FFF">
      <w:pPr>
        <w:spacing w:after="0"/>
        <w:jc w:val="both"/>
        <w:rPr>
          <w:rFonts w:ascii="Times New Roman" w:hAnsi="Times New Roman"/>
          <w:sz w:val="24"/>
          <w:szCs w:val="24"/>
        </w:rPr>
      </w:pPr>
      <w:r w:rsidRPr="00886D17">
        <w:rPr>
          <w:rFonts w:ascii="Times New Roman" w:hAnsi="Times New Roman"/>
          <w:sz w:val="24"/>
          <w:szCs w:val="24"/>
        </w:rPr>
        <w:t>Dans la lutte contre la violence basée sur le genre, l’entreprise peut privilégier les actions suivantes :</w:t>
      </w:r>
    </w:p>
    <w:p w:rsidR="00764FFF" w:rsidRPr="00886D17" w:rsidRDefault="00764FFF" w:rsidP="00764FFF">
      <w:pPr>
        <w:spacing w:after="0"/>
        <w:jc w:val="both"/>
        <w:rPr>
          <w:rFonts w:ascii="Times New Roman" w:hAnsi="Times New Roman"/>
          <w:sz w:val="24"/>
          <w:szCs w:val="24"/>
        </w:rPr>
      </w:pPr>
    </w:p>
    <w:p w:rsidR="00764FFF" w:rsidRPr="00886D17" w:rsidRDefault="00764FFF" w:rsidP="00FA3FAE">
      <w:pPr>
        <w:numPr>
          <w:ilvl w:val="0"/>
          <w:numId w:val="90"/>
        </w:numPr>
        <w:spacing w:after="0"/>
        <w:contextualSpacing/>
        <w:jc w:val="both"/>
        <w:rPr>
          <w:rFonts w:ascii="Times New Roman" w:hAnsi="Times New Roman"/>
          <w:sz w:val="24"/>
          <w:szCs w:val="24"/>
        </w:rPr>
      </w:pPr>
      <w:r w:rsidRPr="00886D17">
        <w:rPr>
          <w:rFonts w:ascii="Times New Roman" w:hAnsi="Times New Roman"/>
          <w:sz w:val="24"/>
          <w:szCs w:val="24"/>
        </w:rPr>
        <w:t>Appuyer les programmes intégrant la mobilisation communautaire sur la VBG ;</w:t>
      </w:r>
    </w:p>
    <w:p w:rsidR="00764FFF" w:rsidRPr="00886D17" w:rsidRDefault="00764FFF" w:rsidP="00FA3FAE">
      <w:pPr>
        <w:numPr>
          <w:ilvl w:val="0"/>
          <w:numId w:val="90"/>
        </w:numPr>
        <w:spacing w:after="0"/>
        <w:contextualSpacing/>
        <w:jc w:val="both"/>
        <w:rPr>
          <w:rFonts w:ascii="Times New Roman" w:hAnsi="Times New Roman"/>
          <w:sz w:val="24"/>
          <w:szCs w:val="24"/>
        </w:rPr>
      </w:pPr>
      <w:r w:rsidRPr="00886D17">
        <w:rPr>
          <w:rFonts w:ascii="Times New Roman" w:hAnsi="Times New Roman"/>
          <w:sz w:val="24"/>
          <w:szCs w:val="24"/>
        </w:rPr>
        <w:t>Au niveau communautaire, appuyer les activités de réduction de la tolérance de la violence impliquant tout sexe masculin ;</w:t>
      </w:r>
    </w:p>
    <w:p w:rsidR="00764FFF" w:rsidRPr="00886D17" w:rsidRDefault="00764FFF" w:rsidP="00FA3FAE">
      <w:pPr>
        <w:numPr>
          <w:ilvl w:val="0"/>
          <w:numId w:val="90"/>
        </w:numPr>
        <w:spacing w:after="0"/>
        <w:contextualSpacing/>
        <w:jc w:val="both"/>
        <w:rPr>
          <w:rFonts w:ascii="Times New Roman" w:hAnsi="Times New Roman"/>
          <w:sz w:val="24"/>
          <w:szCs w:val="24"/>
        </w:rPr>
      </w:pPr>
      <w:r w:rsidRPr="00886D17">
        <w:rPr>
          <w:rFonts w:ascii="Times New Roman" w:hAnsi="Times New Roman"/>
          <w:sz w:val="24"/>
          <w:szCs w:val="24"/>
        </w:rPr>
        <w:t>Appuyer les activités ayant une large représentation de la communauté de base ;</w:t>
      </w:r>
    </w:p>
    <w:p w:rsidR="00764FFF" w:rsidRPr="00886D17" w:rsidRDefault="00764FFF" w:rsidP="00FA3FAE">
      <w:pPr>
        <w:numPr>
          <w:ilvl w:val="0"/>
          <w:numId w:val="90"/>
        </w:numPr>
        <w:spacing w:after="0"/>
        <w:contextualSpacing/>
        <w:jc w:val="both"/>
        <w:rPr>
          <w:rFonts w:ascii="Times New Roman" w:hAnsi="Times New Roman"/>
          <w:sz w:val="24"/>
          <w:szCs w:val="24"/>
        </w:rPr>
      </w:pPr>
      <w:r w:rsidRPr="00886D17">
        <w:rPr>
          <w:rFonts w:ascii="Times New Roman" w:hAnsi="Times New Roman"/>
          <w:sz w:val="24"/>
          <w:szCs w:val="24"/>
        </w:rPr>
        <w:t>Appuyer les élus locaux et régionaux dans la création de partenariats avec les ONG dans la lutte au niveau communautaire ;</w:t>
      </w:r>
    </w:p>
    <w:p w:rsidR="00764FFF" w:rsidRPr="00886D17" w:rsidRDefault="00764FFF" w:rsidP="00FA3FAE">
      <w:pPr>
        <w:numPr>
          <w:ilvl w:val="0"/>
          <w:numId w:val="90"/>
        </w:numPr>
        <w:spacing w:after="0"/>
        <w:contextualSpacing/>
        <w:jc w:val="both"/>
        <w:rPr>
          <w:rFonts w:ascii="Times New Roman" w:hAnsi="Times New Roman"/>
          <w:sz w:val="24"/>
          <w:szCs w:val="24"/>
        </w:rPr>
      </w:pPr>
      <w:r w:rsidRPr="00886D17">
        <w:rPr>
          <w:rFonts w:ascii="Times New Roman" w:hAnsi="Times New Roman"/>
          <w:sz w:val="24"/>
          <w:szCs w:val="24"/>
        </w:rPr>
        <w:t>Appuyer la mobilisation communautaire concernant l’amélioration de l’accès aux survivantes à des services ;</w:t>
      </w:r>
    </w:p>
    <w:p w:rsidR="00764FFF" w:rsidRDefault="00764FFF" w:rsidP="00FA3FAE">
      <w:pPr>
        <w:numPr>
          <w:ilvl w:val="0"/>
          <w:numId w:val="90"/>
        </w:numPr>
        <w:spacing w:after="0"/>
        <w:contextualSpacing/>
        <w:jc w:val="both"/>
        <w:rPr>
          <w:rFonts w:ascii="Times New Roman" w:hAnsi="Times New Roman"/>
          <w:sz w:val="24"/>
          <w:szCs w:val="24"/>
        </w:rPr>
      </w:pPr>
      <w:r w:rsidRPr="00886D17">
        <w:rPr>
          <w:rFonts w:ascii="Times New Roman" w:hAnsi="Times New Roman"/>
          <w:sz w:val="24"/>
          <w:szCs w:val="24"/>
        </w:rPr>
        <w:t>Soutenir financièrement et dans le long terme les activités de mobilisation communautaire pour la réalisation de résultats considérablement positifs.</w:t>
      </w:r>
    </w:p>
    <w:p w:rsidR="00764FFF" w:rsidRDefault="00764FFF" w:rsidP="00764FFF">
      <w:pPr>
        <w:spacing w:after="0"/>
        <w:jc w:val="both"/>
        <w:rPr>
          <w:rFonts w:ascii="Times New Roman" w:hAnsi="Times New Roman"/>
          <w:sz w:val="24"/>
          <w:szCs w:val="24"/>
        </w:rPr>
      </w:pPr>
    </w:p>
    <w:p w:rsidR="00764FFF" w:rsidRPr="00F362CC" w:rsidRDefault="00764FFF" w:rsidP="00820701">
      <w:pPr>
        <w:pStyle w:val="Cabealho3"/>
      </w:pPr>
      <w:bookmarkStart w:id="671" w:name="_Toc11158404"/>
      <w:bookmarkStart w:id="672" w:name="_Toc51072624"/>
      <w:r w:rsidRPr="00F362CC">
        <w:t>8.7.5 La violence à l'égard des femmes</w:t>
      </w:r>
      <w:bookmarkEnd w:id="671"/>
      <w:bookmarkEnd w:id="672"/>
    </w:p>
    <w:p w:rsidR="00764FFF" w:rsidRPr="004F77A9" w:rsidRDefault="00764FFF" w:rsidP="00764FFF">
      <w:pPr>
        <w:shd w:val="clear" w:color="auto" w:fill="FFFFFF"/>
        <w:spacing w:before="100" w:beforeAutospacing="1" w:after="100" w:afterAutospacing="1" w:line="240" w:lineRule="auto"/>
        <w:jc w:val="both"/>
        <w:rPr>
          <w:rFonts w:ascii="Times New Roman" w:eastAsia="Times New Roman" w:hAnsi="Times New Roman"/>
          <w:color w:val="000000"/>
          <w:sz w:val="24"/>
          <w:szCs w:val="24"/>
          <w:lang w:eastAsia="fr-FR"/>
        </w:rPr>
      </w:pPr>
      <w:r w:rsidRPr="004F77A9">
        <w:rPr>
          <w:rFonts w:ascii="Times New Roman" w:eastAsia="Times New Roman" w:hAnsi="Times New Roman"/>
          <w:color w:val="000000"/>
          <w:sz w:val="24"/>
          <w:szCs w:val="24"/>
          <w:lang w:eastAsia="fr-FR"/>
        </w:rPr>
        <w:t>La violence à l'égard des femmes revêt différentes formes, dont : la violence domestique; le viol; le trafic de femmes et de filles; la prostitution forcée; la violence dans les conflits armés, dont le viol systématique, l'esclavage sexuel et la grossesse forcée; les meurtres d'honneur; la violence liée à la dot; l'infanticide des petites filles, la sélection prénatale en fonction du sexe favorable aux garçons; les mutilations génitales féminines et autres pratiques et traditions néfastes pour les femmes.</w:t>
      </w:r>
    </w:p>
    <w:p w:rsidR="00764FFF" w:rsidRPr="004F77A9" w:rsidRDefault="00764FFF" w:rsidP="00764FFF">
      <w:pPr>
        <w:shd w:val="clear" w:color="auto" w:fill="FFFFFF"/>
        <w:spacing w:before="100" w:beforeAutospacing="1" w:after="100" w:afterAutospacing="1" w:line="240" w:lineRule="auto"/>
        <w:jc w:val="both"/>
        <w:rPr>
          <w:rFonts w:ascii="Times New Roman" w:eastAsia="Times New Roman" w:hAnsi="Times New Roman"/>
          <w:color w:val="000000"/>
          <w:sz w:val="24"/>
          <w:szCs w:val="24"/>
          <w:lang w:eastAsia="fr-FR"/>
        </w:rPr>
      </w:pPr>
      <w:r w:rsidRPr="004F77A9">
        <w:rPr>
          <w:rFonts w:ascii="Times New Roman" w:eastAsia="Times New Roman" w:hAnsi="Times New Roman"/>
          <w:color w:val="000000"/>
          <w:sz w:val="24"/>
          <w:szCs w:val="24"/>
          <w:lang w:eastAsia="fr-FR"/>
        </w:rPr>
        <w:t>La Déclaration sur l'élimination de la violence à l'égard des femmes, adoptée en 1993 par l'Assemblée générale des Nations Unies, atteste d'une reconnaissance internationale du fait que la violence à l'égard des femmes constitue une violation des droits de l'homme et une forme de discrimination à l'égard des femmes.</w:t>
      </w:r>
    </w:p>
    <w:p w:rsidR="00764FFF" w:rsidRDefault="00764FFF" w:rsidP="00764FFF">
      <w:pPr>
        <w:shd w:val="clear" w:color="auto" w:fill="FFFFFF"/>
        <w:spacing w:before="100" w:beforeAutospacing="1" w:after="100" w:afterAutospacing="1" w:line="240" w:lineRule="auto"/>
        <w:jc w:val="both"/>
        <w:rPr>
          <w:rFonts w:ascii="Times New Roman" w:eastAsia="Times New Roman" w:hAnsi="Times New Roman"/>
          <w:color w:val="000000"/>
          <w:sz w:val="24"/>
          <w:szCs w:val="24"/>
          <w:lang w:eastAsia="fr-FR"/>
        </w:rPr>
      </w:pPr>
      <w:r w:rsidRPr="004F77A9">
        <w:rPr>
          <w:rFonts w:ascii="Times New Roman" w:eastAsia="Times New Roman" w:hAnsi="Times New Roman"/>
          <w:color w:val="000000"/>
          <w:sz w:val="24"/>
          <w:szCs w:val="24"/>
          <w:lang w:eastAsia="fr-FR"/>
        </w:rPr>
        <w:t>Le Programme d'action adopté à Beijing en 1995, lors de la quatrième Conférence mondiale sur les femmes a identifié la violence à l'égard des femmes, comme un des 12 domaines critiques requérant une attention particulière de la part des gouvernements, de la communauté internationale et de la société civile.</w:t>
      </w:r>
    </w:p>
    <w:p w:rsidR="00764FFF" w:rsidRPr="00FD12B8" w:rsidRDefault="00764FFF" w:rsidP="00764FFF">
      <w:pPr>
        <w:shd w:val="clear" w:color="auto" w:fill="FFFFFF"/>
        <w:spacing w:before="100" w:beforeAutospacing="1" w:after="100" w:afterAutospacing="1" w:line="240" w:lineRule="auto"/>
        <w:jc w:val="both"/>
        <w:rPr>
          <w:rFonts w:ascii="Times New Roman" w:eastAsia="Times New Roman" w:hAnsi="Times New Roman"/>
          <w:color w:val="000000"/>
          <w:sz w:val="24"/>
          <w:szCs w:val="24"/>
          <w:lang w:eastAsia="fr-FR"/>
        </w:rPr>
      </w:pPr>
      <w:r w:rsidRPr="00FD12B8">
        <w:rPr>
          <w:rFonts w:ascii="Times New Roman" w:eastAsia="Times New Roman" w:hAnsi="Times New Roman"/>
          <w:color w:val="000000"/>
          <w:sz w:val="24"/>
          <w:szCs w:val="24"/>
          <w:lang w:eastAsia="fr-FR"/>
        </w:rPr>
        <w:t>Depuis la Conférence de Beijing, qui a eu lieu il y a cinq ans, des mesures importantes ont été adoptées par la communauté internationale en vue d'éliminer la violence à l'égard des femmes :</w:t>
      </w:r>
    </w:p>
    <w:p w:rsidR="00764FFF" w:rsidRPr="00FD12B8" w:rsidRDefault="00764FFF" w:rsidP="00FA3FAE">
      <w:pPr>
        <w:numPr>
          <w:ilvl w:val="0"/>
          <w:numId w:val="144"/>
        </w:numPr>
        <w:shd w:val="clear" w:color="auto" w:fill="FFFFFF"/>
        <w:spacing w:before="100" w:beforeAutospacing="1" w:after="100" w:afterAutospacing="1" w:line="240" w:lineRule="auto"/>
        <w:contextualSpacing/>
        <w:jc w:val="both"/>
        <w:rPr>
          <w:rFonts w:ascii="Times New Roman" w:eastAsia="Times New Roman" w:hAnsi="Times New Roman"/>
          <w:color w:val="000000"/>
          <w:sz w:val="24"/>
          <w:szCs w:val="24"/>
          <w:lang w:eastAsia="fr-FR"/>
        </w:rPr>
      </w:pPr>
      <w:r w:rsidRPr="00FD12B8">
        <w:rPr>
          <w:rFonts w:ascii="Times New Roman" w:eastAsia="Times New Roman" w:hAnsi="Times New Roman"/>
          <w:color w:val="000000"/>
          <w:sz w:val="24"/>
          <w:szCs w:val="24"/>
          <w:lang w:eastAsia="fr-FR"/>
        </w:rPr>
        <w:t>Un protocole additionnel à la Convention sur l'élimination de toutes les formes de discrimination à l'égard des femmes, adopté par l'Assemblée générale de l'ONU, confère aux femmes qui ont été victimes de violations de leurs droits fondamentaux, y compris de violence fondée sur le sexe, le droit de demander réparation.</w:t>
      </w:r>
    </w:p>
    <w:p w:rsidR="00764FFF" w:rsidRPr="00FD12B8" w:rsidRDefault="00764FFF" w:rsidP="00FA3FAE">
      <w:pPr>
        <w:numPr>
          <w:ilvl w:val="0"/>
          <w:numId w:val="144"/>
        </w:numPr>
        <w:shd w:val="clear" w:color="auto" w:fill="FFFFFF"/>
        <w:spacing w:before="100" w:beforeAutospacing="1" w:after="100" w:afterAutospacing="1" w:line="240" w:lineRule="auto"/>
        <w:contextualSpacing/>
        <w:jc w:val="both"/>
        <w:rPr>
          <w:rFonts w:ascii="Times New Roman" w:eastAsia="Times New Roman" w:hAnsi="Times New Roman"/>
          <w:color w:val="000000"/>
          <w:sz w:val="24"/>
          <w:szCs w:val="24"/>
          <w:lang w:eastAsia="fr-FR"/>
        </w:rPr>
      </w:pPr>
      <w:r w:rsidRPr="00FD12B8">
        <w:rPr>
          <w:rFonts w:ascii="Times New Roman" w:eastAsia="Times New Roman" w:hAnsi="Times New Roman"/>
          <w:color w:val="000000"/>
          <w:sz w:val="24"/>
          <w:szCs w:val="24"/>
          <w:lang w:eastAsia="fr-FR"/>
        </w:rPr>
        <w:t>L'Assemblée générale a adopté en 1997 des Stratégies et mesures concrètes types relatives à l'élimination de la violence contre les femmes dans le domaine de la prévention du crime et de la justice pénale.</w:t>
      </w:r>
    </w:p>
    <w:p w:rsidR="00764FFF" w:rsidRPr="00FD12B8" w:rsidRDefault="00764FFF" w:rsidP="00FA3FAE">
      <w:pPr>
        <w:numPr>
          <w:ilvl w:val="0"/>
          <w:numId w:val="144"/>
        </w:numPr>
        <w:shd w:val="clear" w:color="auto" w:fill="FFFFFF"/>
        <w:spacing w:before="100" w:beforeAutospacing="1" w:after="100" w:afterAutospacing="1" w:line="240" w:lineRule="auto"/>
        <w:contextualSpacing/>
        <w:jc w:val="both"/>
        <w:rPr>
          <w:rFonts w:ascii="Times New Roman" w:eastAsia="Times New Roman" w:hAnsi="Times New Roman"/>
          <w:color w:val="000000"/>
          <w:sz w:val="24"/>
          <w:szCs w:val="24"/>
          <w:lang w:eastAsia="fr-FR"/>
        </w:rPr>
      </w:pPr>
      <w:r w:rsidRPr="00FD12B8">
        <w:rPr>
          <w:rFonts w:ascii="Times New Roman" w:eastAsia="Times New Roman" w:hAnsi="Times New Roman"/>
          <w:color w:val="000000"/>
          <w:sz w:val="24"/>
          <w:szCs w:val="24"/>
          <w:lang w:eastAsia="fr-FR"/>
        </w:rPr>
        <w:t>Le Statut de la Cour pénale internationale, adopté en juin 1998, comprend des dispositions qui traitent tout particulièrement des crimes fondés sur le sexe, de même que les Tribunaux pour l'ex-Yougoslavie et le Rwanda.</w:t>
      </w:r>
    </w:p>
    <w:p w:rsidR="00764FFF" w:rsidRDefault="00764FFF" w:rsidP="00FA3FAE">
      <w:pPr>
        <w:numPr>
          <w:ilvl w:val="0"/>
          <w:numId w:val="144"/>
        </w:numPr>
        <w:shd w:val="clear" w:color="auto" w:fill="FFFFFF"/>
        <w:spacing w:before="100" w:beforeAutospacing="1" w:after="100" w:afterAutospacing="1" w:line="240" w:lineRule="auto"/>
        <w:contextualSpacing/>
        <w:jc w:val="both"/>
        <w:rPr>
          <w:rFonts w:ascii="Times New Roman" w:eastAsia="Times New Roman" w:hAnsi="Times New Roman"/>
          <w:color w:val="000000"/>
          <w:sz w:val="24"/>
          <w:szCs w:val="24"/>
          <w:lang w:eastAsia="fr-FR"/>
        </w:rPr>
      </w:pPr>
      <w:r w:rsidRPr="00FD12B8">
        <w:rPr>
          <w:rFonts w:ascii="Times New Roman" w:eastAsia="Times New Roman" w:hAnsi="Times New Roman"/>
          <w:color w:val="000000"/>
          <w:sz w:val="24"/>
          <w:szCs w:val="24"/>
          <w:lang w:eastAsia="fr-FR"/>
        </w:rPr>
        <w:lastRenderedPageBreak/>
        <w:t>Un projet de protocole additionnel à un nouveau traité - la future convention des Nations Unies contre la criminalité transnationale organisée - se concentre sur le trafic d'êtres humains, en particulier de femmes et d'enfants.</w:t>
      </w:r>
    </w:p>
    <w:p w:rsidR="00764FFF" w:rsidRPr="00FD12B8" w:rsidRDefault="00764FFF" w:rsidP="00764FFF">
      <w:pPr>
        <w:shd w:val="clear" w:color="auto" w:fill="FFFFFF"/>
        <w:spacing w:before="100" w:beforeAutospacing="1" w:after="100" w:afterAutospacing="1" w:line="240" w:lineRule="auto"/>
        <w:ind w:left="720"/>
        <w:contextualSpacing/>
        <w:jc w:val="both"/>
        <w:rPr>
          <w:rFonts w:ascii="Times New Roman" w:eastAsia="Times New Roman" w:hAnsi="Times New Roman"/>
          <w:color w:val="000000"/>
          <w:sz w:val="24"/>
          <w:szCs w:val="24"/>
          <w:lang w:eastAsia="fr-FR"/>
        </w:rPr>
      </w:pPr>
    </w:p>
    <w:p w:rsidR="00764FFF" w:rsidRPr="00F362CC" w:rsidRDefault="00764FFF" w:rsidP="00820701">
      <w:pPr>
        <w:pStyle w:val="Cabealho3"/>
      </w:pPr>
      <w:bookmarkStart w:id="673" w:name="_Toc11158405"/>
      <w:bookmarkStart w:id="674" w:name="_Toc51072625"/>
      <w:r w:rsidRPr="00F362CC">
        <w:t>8.7.6 Normes Minimales pour la Prévention et la Réponse à la Violence basée sur le Genre dans les situations d’urgence.</w:t>
      </w:r>
      <w:bookmarkEnd w:id="673"/>
      <w:bookmarkEnd w:id="674"/>
    </w:p>
    <w:p w:rsidR="00764FFF" w:rsidRPr="00A63F7C" w:rsidRDefault="00764FFF" w:rsidP="00FA3FAE">
      <w:pPr>
        <w:numPr>
          <w:ilvl w:val="0"/>
          <w:numId w:val="125"/>
        </w:numPr>
        <w:spacing w:after="0"/>
        <w:contextualSpacing/>
        <w:jc w:val="both"/>
        <w:rPr>
          <w:rFonts w:ascii="Times New Roman" w:hAnsi="Times New Roman"/>
          <w:b/>
          <w:sz w:val="24"/>
          <w:szCs w:val="24"/>
        </w:rPr>
      </w:pPr>
      <w:r w:rsidRPr="00A63F7C">
        <w:rPr>
          <w:rFonts w:ascii="Times New Roman" w:hAnsi="Times New Roman"/>
          <w:b/>
          <w:sz w:val="24"/>
          <w:szCs w:val="24"/>
        </w:rPr>
        <w:t>PARTICIPATION</w:t>
      </w:r>
    </w:p>
    <w:p w:rsidR="00764FFF" w:rsidRDefault="00764FFF" w:rsidP="00764FFF">
      <w:pPr>
        <w:spacing w:after="0"/>
        <w:jc w:val="both"/>
        <w:rPr>
          <w:rFonts w:ascii="Times New Roman" w:hAnsi="Times New Roman"/>
          <w:sz w:val="24"/>
          <w:szCs w:val="24"/>
        </w:rPr>
      </w:pPr>
      <w:r w:rsidRPr="00886D17">
        <w:rPr>
          <w:rFonts w:ascii="Times New Roman" w:hAnsi="Times New Roman"/>
          <w:sz w:val="24"/>
          <w:szCs w:val="24"/>
        </w:rPr>
        <w:t>Les communautés, notamment les femmes et les filles, sont engagées comme partenaires actifs pour mettre fin à la VBG et promouvoir l’accès aux survivantes des services.</w:t>
      </w:r>
    </w:p>
    <w:p w:rsidR="00764FFF" w:rsidRPr="00886D17" w:rsidRDefault="00764FFF" w:rsidP="00764FFF">
      <w:pPr>
        <w:spacing w:after="0"/>
        <w:jc w:val="both"/>
        <w:rPr>
          <w:rFonts w:ascii="Times New Roman" w:hAnsi="Times New Roman"/>
          <w:sz w:val="24"/>
          <w:szCs w:val="24"/>
        </w:rPr>
      </w:pPr>
    </w:p>
    <w:p w:rsidR="00764FFF" w:rsidRPr="00A63F7C" w:rsidRDefault="00764FFF" w:rsidP="00FA3FAE">
      <w:pPr>
        <w:numPr>
          <w:ilvl w:val="0"/>
          <w:numId w:val="125"/>
        </w:numPr>
        <w:spacing w:after="0"/>
        <w:contextualSpacing/>
        <w:jc w:val="both"/>
        <w:rPr>
          <w:rFonts w:ascii="Times New Roman" w:hAnsi="Times New Roman"/>
          <w:b/>
          <w:sz w:val="24"/>
          <w:szCs w:val="24"/>
        </w:rPr>
      </w:pPr>
      <w:r w:rsidRPr="00A63F7C">
        <w:rPr>
          <w:rFonts w:ascii="Times New Roman" w:hAnsi="Times New Roman"/>
          <w:b/>
          <w:sz w:val="24"/>
          <w:szCs w:val="24"/>
        </w:rPr>
        <w:t>SYSTÈMES NATIONAUX</w:t>
      </w:r>
    </w:p>
    <w:p w:rsidR="00764FFF" w:rsidRDefault="00764FFF" w:rsidP="00764FFF">
      <w:pPr>
        <w:spacing w:after="0"/>
        <w:jc w:val="both"/>
        <w:rPr>
          <w:rFonts w:ascii="Times New Roman" w:hAnsi="Times New Roman"/>
          <w:sz w:val="24"/>
          <w:szCs w:val="24"/>
        </w:rPr>
      </w:pPr>
      <w:r w:rsidRPr="00886D17">
        <w:rPr>
          <w:rFonts w:ascii="Times New Roman" w:hAnsi="Times New Roman"/>
          <w:sz w:val="24"/>
          <w:szCs w:val="24"/>
        </w:rPr>
        <w:t>Les actions de prévention, d’atténuation et de réponse à la VBG dans les situations d’urgence permettent de renforcer les systèmes nationaux et les capacités locales.</w:t>
      </w:r>
    </w:p>
    <w:p w:rsidR="00764FFF" w:rsidRPr="00886D17" w:rsidRDefault="00764FFF" w:rsidP="00764FFF">
      <w:pPr>
        <w:spacing w:after="0"/>
        <w:jc w:val="both"/>
        <w:rPr>
          <w:rFonts w:ascii="Times New Roman" w:hAnsi="Times New Roman"/>
          <w:sz w:val="24"/>
          <w:szCs w:val="24"/>
        </w:rPr>
      </w:pPr>
    </w:p>
    <w:p w:rsidR="00764FFF" w:rsidRPr="00A63F7C" w:rsidRDefault="00764FFF" w:rsidP="00FA3FAE">
      <w:pPr>
        <w:numPr>
          <w:ilvl w:val="0"/>
          <w:numId w:val="125"/>
        </w:numPr>
        <w:spacing w:after="0"/>
        <w:contextualSpacing/>
        <w:jc w:val="both"/>
        <w:rPr>
          <w:rFonts w:ascii="Times New Roman" w:hAnsi="Times New Roman"/>
          <w:b/>
          <w:sz w:val="24"/>
          <w:szCs w:val="24"/>
        </w:rPr>
      </w:pPr>
      <w:r w:rsidRPr="00A63F7C">
        <w:rPr>
          <w:rFonts w:ascii="Times New Roman" w:hAnsi="Times New Roman"/>
          <w:b/>
          <w:sz w:val="24"/>
          <w:szCs w:val="24"/>
        </w:rPr>
        <w:t>GENRE ET NORMES SOCIALES</w:t>
      </w:r>
    </w:p>
    <w:p w:rsidR="00764FFF" w:rsidRDefault="00764FFF" w:rsidP="00764FFF">
      <w:pPr>
        <w:spacing w:after="0"/>
        <w:jc w:val="both"/>
        <w:rPr>
          <w:rFonts w:ascii="Times New Roman" w:hAnsi="Times New Roman"/>
          <w:sz w:val="24"/>
          <w:szCs w:val="24"/>
        </w:rPr>
      </w:pPr>
      <w:r w:rsidRPr="00886D17">
        <w:rPr>
          <w:rFonts w:ascii="Times New Roman" w:hAnsi="Times New Roman"/>
          <w:sz w:val="24"/>
          <w:szCs w:val="24"/>
        </w:rPr>
        <w:t>Le programme de préparation en situation d’urgence, de prévention et de réponse favorise la promotion du genre et des normes sociales pour traiter la VBG.</w:t>
      </w:r>
    </w:p>
    <w:p w:rsidR="00764FFF" w:rsidRPr="00886D17" w:rsidRDefault="00764FFF" w:rsidP="00764FFF">
      <w:pPr>
        <w:spacing w:after="0"/>
        <w:jc w:val="both"/>
        <w:rPr>
          <w:rFonts w:ascii="Times New Roman" w:hAnsi="Times New Roman"/>
          <w:sz w:val="24"/>
          <w:szCs w:val="24"/>
        </w:rPr>
      </w:pPr>
    </w:p>
    <w:p w:rsidR="00764FFF" w:rsidRPr="00A63F7C" w:rsidRDefault="00764FFF" w:rsidP="00FA3FAE">
      <w:pPr>
        <w:numPr>
          <w:ilvl w:val="0"/>
          <w:numId w:val="125"/>
        </w:numPr>
        <w:spacing w:after="0"/>
        <w:contextualSpacing/>
        <w:jc w:val="both"/>
        <w:rPr>
          <w:rFonts w:ascii="Times New Roman" w:hAnsi="Times New Roman"/>
          <w:b/>
          <w:sz w:val="24"/>
          <w:szCs w:val="24"/>
        </w:rPr>
      </w:pPr>
      <w:r w:rsidRPr="00A63F7C">
        <w:rPr>
          <w:rFonts w:ascii="Times New Roman" w:hAnsi="Times New Roman"/>
          <w:b/>
          <w:sz w:val="24"/>
          <w:szCs w:val="24"/>
        </w:rPr>
        <w:t>AUTONOMISATION SOCIO-ÉCONOMIQUE</w:t>
      </w:r>
    </w:p>
    <w:p w:rsidR="00764FFF" w:rsidRDefault="00764FFF" w:rsidP="00764FFF">
      <w:pPr>
        <w:spacing w:after="0"/>
        <w:jc w:val="both"/>
        <w:rPr>
          <w:rFonts w:ascii="Times New Roman" w:hAnsi="Times New Roman"/>
          <w:sz w:val="24"/>
          <w:szCs w:val="24"/>
        </w:rPr>
      </w:pPr>
      <w:r w:rsidRPr="00886D17">
        <w:rPr>
          <w:rFonts w:ascii="Times New Roman" w:hAnsi="Times New Roman"/>
          <w:sz w:val="24"/>
          <w:szCs w:val="24"/>
        </w:rPr>
        <w:t>Les femmes et les adolescentes ont accès à des moyens de subsistance pour atténuer le risque de VBG ainsi que l’accès à l’assistance socio-économique dans le cadre d’une réponse multisectorielle</w:t>
      </w:r>
      <w:r>
        <w:rPr>
          <w:rFonts w:ascii="Times New Roman" w:hAnsi="Times New Roman"/>
          <w:sz w:val="24"/>
          <w:szCs w:val="24"/>
        </w:rPr>
        <w:t>.</w:t>
      </w:r>
    </w:p>
    <w:p w:rsidR="00764FFF" w:rsidRPr="00886D17" w:rsidRDefault="00764FFF" w:rsidP="00764FFF">
      <w:pPr>
        <w:spacing w:after="0"/>
        <w:jc w:val="both"/>
        <w:rPr>
          <w:rFonts w:ascii="Times New Roman" w:hAnsi="Times New Roman"/>
          <w:sz w:val="24"/>
          <w:szCs w:val="24"/>
        </w:rPr>
      </w:pPr>
    </w:p>
    <w:p w:rsidR="00764FFF" w:rsidRPr="00A63F7C" w:rsidRDefault="00764FFF" w:rsidP="00FA3FAE">
      <w:pPr>
        <w:numPr>
          <w:ilvl w:val="0"/>
          <w:numId w:val="125"/>
        </w:numPr>
        <w:spacing w:after="0"/>
        <w:contextualSpacing/>
        <w:jc w:val="both"/>
        <w:rPr>
          <w:rFonts w:ascii="Times New Roman" w:hAnsi="Times New Roman"/>
          <w:b/>
          <w:sz w:val="24"/>
          <w:szCs w:val="24"/>
        </w:rPr>
      </w:pPr>
      <w:r w:rsidRPr="00A63F7C">
        <w:rPr>
          <w:rFonts w:ascii="Times New Roman" w:hAnsi="Times New Roman"/>
          <w:b/>
          <w:sz w:val="24"/>
          <w:szCs w:val="24"/>
        </w:rPr>
        <w:t>SYSTÈMES D’ORIENTATION</w:t>
      </w:r>
    </w:p>
    <w:p w:rsidR="00764FFF" w:rsidRDefault="00764FFF" w:rsidP="00764FFF">
      <w:pPr>
        <w:spacing w:after="0"/>
        <w:jc w:val="both"/>
        <w:rPr>
          <w:rFonts w:ascii="Times New Roman" w:hAnsi="Times New Roman"/>
          <w:sz w:val="24"/>
          <w:szCs w:val="24"/>
        </w:rPr>
      </w:pPr>
      <w:r w:rsidRPr="00886D17">
        <w:rPr>
          <w:rFonts w:ascii="Times New Roman" w:hAnsi="Times New Roman"/>
          <w:sz w:val="24"/>
          <w:szCs w:val="24"/>
        </w:rPr>
        <w:t>Les systèmes d’orientation sont développés pour relier les femmes, les filles et les autres groupes à risque vers les services appropriés multisectoriels de prévention et d’intervention VBG en temps opportun et en toute sécurité.</w:t>
      </w:r>
    </w:p>
    <w:p w:rsidR="00764FFF" w:rsidRPr="00886D17" w:rsidRDefault="00764FFF" w:rsidP="00764FFF">
      <w:pPr>
        <w:spacing w:after="0"/>
        <w:jc w:val="both"/>
        <w:rPr>
          <w:rFonts w:ascii="Times New Roman" w:hAnsi="Times New Roman"/>
          <w:sz w:val="24"/>
          <w:szCs w:val="24"/>
        </w:rPr>
      </w:pPr>
    </w:p>
    <w:p w:rsidR="00764FFF" w:rsidRPr="00A63F7C" w:rsidRDefault="00764FFF" w:rsidP="00FA3FAE">
      <w:pPr>
        <w:numPr>
          <w:ilvl w:val="0"/>
          <w:numId w:val="125"/>
        </w:numPr>
        <w:spacing w:after="0"/>
        <w:contextualSpacing/>
        <w:jc w:val="both"/>
        <w:rPr>
          <w:rFonts w:ascii="Times New Roman" w:hAnsi="Times New Roman"/>
          <w:b/>
          <w:sz w:val="24"/>
          <w:szCs w:val="24"/>
        </w:rPr>
      </w:pPr>
      <w:r w:rsidRPr="00A63F7C">
        <w:rPr>
          <w:rFonts w:ascii="Times New Roman" w:hAnsi="Times New Roman"/>
          <w:b/>
          <w:sz w:val="24"/>
          <w:szCs w:val="24"/>
        </w:rPr>
        <w:t>INTÉGRATION</w:t>
      </w:r>
    </w:p>
    <w:p w:rsidR="00764FFF" w:rsidRDefault="00764FFF" w:rsidP="00764FFF">
      <w:pPr>
        <w:spacing w:after="0"/>
        <w:jc w:val="both"/>
        <w:rPr>
          <w:rFonts w:ascii="Times New Roman" w:hAnsi="Times New Roman"/>
          <w:sz w:val="24"/>
          <w:szCs w:val="24"/>
        </w:rPr>
      </w:pPr>
      <w:r w:rsidRPr="00886D17">
        <w:rPr>
          <w:rFonts w:ascii="Times New Roman" w:hAnsi="Times New Roman"/>
          <w:sz w:val="24"/>
          <w:szCs w:val="24"/>
        </w:rPr>
        <w:t>L’atténuation des risques VBG et le soutien apporté au survivant sont intégrés dans tous les secteurs humanitaires à toutes les étapes du cycle du programme et tout au long de l’intervention d’urgence.</w:t>
      </w:r>
    </w:p>
    <w:p w:rsidR="00764FFF" w:rsidRPr="00886D17" w:rsidRDefault="00764FFF" w:rsidP="00764FFF">
      <w:pPr>
        <w:spacing w:after="0"/>
        <w:jc w:val="both"/>
        <w:rPr>
          <w:rFonts w:ascii="Times New Roman" w:hAnsi="Times New Roman"/>
          <w:sz w:val="24"/>
          <w:szCs w:val="24"/>
        </w:rPr>
      </w:pPr>
    </w:p>
    <w:p w:rsidR="00764FFF" w:rsidRPr="00886D17" w:rsidRDefault="00764FFF" w:rsidP="00764FFF">
      <w:pPr>
        <w:spacing w:after="0"/>
        <w:jc w:val="both"/>
        <w:rPr>
          <w:rFonts w:ascii="Times New Roman" w:hAnsi="Times New Roman"/>
          <w:sz w:val="24"/>
          <w:szCs w:val="24"/>
        </w:rPr>
      </w:pPr>
      <w:r>
        <w:rPr>
          <w:rFonts w:ascii="Times New Roman" w:hAnsi="Times New Roman"/>
          <w:sz w:val="24"/>
          <w:szCs w:val="24"/>
        </w:rPr>
        <w:t xml:space="preserve">Ainsi, quelques </w:t>
      </w:r>
      <w:r w:rsidRPr="00886D17">
        <w:rPr>
          <w:rFonts w:ascii="Times New Roman" w:hAnsi="Times New Roman"/>
          <w:sz w:val="24"/>
          <w:szCs w:val="24"/>
        </w:rPr>
        <w:t>domaines d’action</w:t>
      </w:r>
      <w:r>
        <w:rPr>
          <w:rFonts w:ascii="Times New Roman" w:hAnsi="Times New Roman"/>
          <w:sz w:val="24"/>
          <w:szCs w:val="24"/>
        </w:rPr>
        <w:t xml:space="preserve"> sont s ci-dessous :</w:t>
      </w:r>
    </w:p>
    <w:p w:rsidR="00764FFF" w:rsidRPr="00886D17" w:rsidRDefault="00764FFF" w:rsidP="00FA3FAE">
      <w:pPr>
        <w:numPr>
          <w:ilvl w:val="0"/>
          <w:numId w:val="126"/>
        </w:numPr>
        <w:spacing w:after="0"/>
        <w:contextualSpacing/>
        <w:jc w:val="both"/>
        <w:rPr>
          <w:rFonts w:ascii="Times New Roman" w:hAnsi="Times New Roman"/>
          <w:sz w:val="24"/>
          <w:szCs w:val="24"/>
        </w:rPr>
      </w:pPr>
      <w:r w:rsidRPr="00886D17">
        <w:rPr>
          <w:rFonts w:ascii="Times New Roman" w:hAnsi="Times New Roman"/>
          <w:sz w:val="24"/>
          <w:szCs w:val="24"/>
        </w:rPr>
        <w:t>Protection des enfants contre la Violence sexuelle et sexiste</w:t>
      </w:r>
    </w:p>
    <w:p w:rsidR="00764FFF" w:rsidRPr="00886D17" w:rsidRDefault="00764FFF" w:rsidP="00FA3FAE">
      <w:pPr>
        <w:numPr>
          <w:ilvl w:val="0"/>
          <w:numId w:val="127"/>
        </w:numPr>
        <w:spacing w:after="0"/>
        <w:contextualSpacing/>
        <w:jc w:val="both"/>
        <w:rPr>
          <w:rFonts w:ascii="Times New Roman" w:hAnsi="Times New Roman"/>
          <w:sz w:val="24"/>
          <w:szCs w:val="24"/>
        </w:rPr>
      </w:pPr>
      <w:r w:rsidRPr="00886D17">
        <w:rPr>
          <w:rFonts w:ascii="Times New Roman" w:hAnsi="Times New Roman"/>
          <w:sz w:val="24"/>
          <w:szCs w:val="24"/>
        </w:rPr>
        <w:t>Lutte contre la pratique du sexe de survie comme mécanisme d'adaptation dans les situations de déplacement</w:t>
      </w:r>
    </w:p>
    <w:p w:rsidR="00764FFF" w:rsidRPr="00886D17" w:rsidRDefault="00764FFF" w:rsidP="00FA3FAE">
      <w:pPr>
        <w:numPr>
          <w:ilvl w:val="0"/>
          <w:numId w:val="128"/>
        </w:numPr>
        <w:spacing w:after="0"/>
        <w:contextualSpacing/>
        <w:jc w:val="both"/>
        <w:rPr>
          <w:rFonts w:ascii="Times New Roman" w:hAnsi="Times New Roman"/>
          <w:sz w:val="24"/>
          <w:szCs w:val="24"/>
        </w:rPr>
      </w:pPr>
      <w:r w:rsidRPr="00886D17">
        <w:rPr>
          <w:rFonts w:ascii="Times New Roman" w:hAnsi="Times New Roman"/>
          <w:sz w:val="24"/>
          <w:szCs w:val="24"/>
        </w:rPr>
        <w:t>Implication des hommes et des garçons</w:t>
      </w:r>
    </w:p>
    <w:p w:rsidR="00764FFF" w:rsidRDefault="00764FFF" w:rsidP="00FA3FAE">
      <w:pPr>
        <w:numPr>
          <w:ilvl w:val="0"/>
          <w:numId w:val="128"/>
        </w:numPr>
        <w:spacing w:after="0"/>
        <w:contextualSpacing/>
        <w:jc w:val="both"/>
        <w:rPr>
          <w:rFonts w:ascii="Times New Roman" w:hAnsi="Times New Roman"/>
          <w:sz w:val="24"/>
          <w:szCs w:val="24"/>
        </w:rPr>
      </w:pPr>
      <w:r w:rsidRPr="00886D17">
        <w:rPr>
          <w:rFonts w:ascii="Times New Roman" w:hAnsi="Times New Roman"/>
          <w:sz w:val="24"/>
          <w:szCs w:val="24"/>
        </w:rPr>
        <w:t>Fourniture d’un environnement sécurisé et d’un accès sûr à l'énergie domestique et aux ressources naturelles</w:t>
      </w:r>
    </w:p>
    <w:p w:rsidR="00764FFF" w:rsidRPr="00886D17" w:rsidRDefault="00764FFF" w:rsidP="00FA3FAE">
      <w:pPr>
        <w:numPr>
          <w:ilvl w:val="0"/>
          <w:numId w:val="128"/>
        </w:numPr>
        <w:spacing w:after="0"/>
        <w:contextualSpacing/>
        <w:jc w:val="both"/>
        <w:rPr>
          <w:rFonts w:ascii="Times New Roman" w:hAnsi="Times New Roman"/>
          <w:sz w:val="24"/>
          <w:szCs w:val="24"/>
        </w:rPr>
      </w:pPr>
      <w:r>
        <w:rPr>
          <w:rFonts w:ascii="Times New Roman" w:hAnsi="Times New Roman"/>
          <w:sz w:val="24"/>
          <w:szCs w:val="24"/>
        </w:rPr>
        <w:t>Etc.</w:t>
      </w:r>
    </w:p>
    <w:p w:rsidR="00764FFF" w:rsidRPr="00433D35" w:rsidRDefault="00764FFF" w:rsidP="00764FFF">
      <w:pPr>
        <w:keepNext/>
        <w:spacing w:before="240" w:after="240"/>
        <w:jc w:val="both"/>
        <w:outlineLvl w:val="1"/>
        <w:rPr>
          <w:rFonts w:ascii="Times New Roman" w:hAnsi="Times New Roman"/>
          <w:b/>
          <w:sz w:val="32"/>
          <w:szCs w:val="32"/>
          <w:u w:val="single"/>
          <w:lang w:eastAsia="fr-FR"/>
        </w:rPr>
      </w:pPr>
      <w:bookmarkStart w:id="675" w:name="_Toc11158406"/>
      <w:bookmarkStart w:id="676" w:name="_Toc51072626"/>
      <w:r>
        <w:rPr>
          <w:rFonts w:ascii="Times New Roman" w:hAnsi="Times New Roman"/>
          <w:b/>
          <w:sz w:val="32"/>
          <w:szCs w:val="32"/>
          <w:u w:val="single"/>
          <w:lang w:eastAsia="fr-FR"/>
        </w:rPr>
        <w:t>8.8.</w:t>
      </w:r>
      <w:r w:rsidRPr="00433D35">
        <w:rPr>
          <w:rFonts w:ascii="Times New Roman" w:hAnsi="Times New Roman"/>
          <w:b/>
          <w:sz w:val="32"/>
          <w:szCs w:val="32"/>
          <w:u w:val="single"/>
          <w:lang w:eastAsia="fr-FR"/>
        </w:rPr>
        <w:t xml:space="preserve"> FLUX DES TRAVAILLEURS, TRAVAIL DES ENFANTS ET LES CONDITIONS DE TRAVAIL</w:t>
      </w:r>
      <w:bookmarkEnd w:id="675"/>
      <w:bookmarkEnd w:id="676"/>
    </w:p>
    <w:p w:rsidR="00764FFF" w:rsidRDefault="00764FFF" w:rsidP="00764FFF">
      <w:pPr>
        <w:overflowPunct w:val="0"/>
        <w:autoSpaceDE w:val="0"/>
        <w:autoSpaceDN w:val="0"/>
        <w:adjustRightInd w:val="0"/>
        <w:spacing w:after="0" w:line="276" w:lineRule="auto"/>
        <w:rPr>
          <w:rFonts w:ascii="Times New Roman" w:hAnsi="Times New Roman"/>
          <w:b/>
          <w:bCs/>
          <w:sz w:val="24"/>
          <w:szCs w:val="24"/>
          <w:lang w:eastAsia="fr-FR"/>
        </w:rPr>
      </w:pPr>
    </w:p>
    <w:p w:rsidR="00764FFF" w:rsidRPr="00B856C0" w:rsidRDefault="00764FFF" w:rsidP="00FA3FAE">
      <w:pPr>
        <w:numPr>
          <w:ilvl w:val="0"/>
          <w:numId w:val="138"/>
        </w:numPr>
        <w:shd w:val="clear" w:color="auto" w:fill="FFFFFF"/>
        <w:spacing w:after="150" w:line="240" w:lineRule="auto"/>
        <w:contextualSpacing/>
        <w:jc w:val="both"/>
        <w:rPr>
          <w:rFonts w:ascii="Times New Roman" w:eastAsia="Times New Roman" w:hAnsi="Times New Roman"/>
          <w:b/>
          <w:bCs/>
          <w:color w:val="000000"/>
          <w:sz w:val="24"/>
          <w:szCs w:val="24"/>
          <w:lang w:eastAsia="fr-FR"/>
        </w:rPr>
      </w:pPr>
      <w:r w:rsidRPr="00B856C0">
        <w:rPr>
          <w:rFonts w:ascii="Times New Roman" w:eastAsia="Times New Roman" w:hAnsi="Times New Roman"/>
          <w:b/>
          <w:bCs/>
          <w:color w:val="000000"/>
          <w:sz w:val="24"/>
          <w:szCs w:val="24"/>
          <w:lang w:eastAsia="fr-FR"/>
        </w:rPr>
        <w:t>TRAVAIL DES ENFANTS</w:t>
      </w:r>
    </w:p>
    <w:p w:rsidR="00764FFF" w:rsidRPr="00F909D5" w:rsidRDefault="00764FFF" w:rsidP="00764FFF">
      <w:pPr>
        <w:shd w:val="clear" w:color="auto" w:fill="FFFFFF"/>
        <w:spacing w:after="150" w:line="240" w:lineRule="auto"/>
        <w:jc w:val="both"/>
        <w:rPr>
          <w:rFonts w:ascii="Times New Roman" w:eastAsia="Times New Roman" w:hAnsi="Times New Roman"/>
          <w:color w:val="000000"/>
          <w:sz w:val="24"/>
          <w:szCs w:val="24"/>
          <w:lang w:eastAsia="fr-FR"/>
        </w:rPr>
      </w:pPr>
      <w:r w:rsidRPr="00F909D5">
        <w:rPr>
          <w:rFonts w:ascii="Times New Roman" w:eastAsia="Times New Roman" w:hAnsi="Times New Roman"/>
          <w:color w:val="000000"/>
          <w:sz w:val="24"/>
          <w:szCs w:val="24"/>
          <w:lang w:eastAsia="fr-FR"/>
        </w:rPr>
        <w:t>Selon l'Article 1 de la Convention des Nations unies relative aux droits de l'enfant, celui-ci s'entend de tout être humain âgé de moins de dix-huit ans.</w:t>
      </w:r>
    </w:p>
    <w:p w:rsidR="00764FFF" w:rsidRPr="00205DA8" w:rsidRDefault="00764FFF" w:rsidP="00FA3FAE">
      <w:pPr>
        <w:numPr>
          <w:ilvl w:val="0"/>
          <w:numId w:val="134"/>
        </w:numPr>
        <w:shd w:val="clear" w:color="auto" w:fill="FFFFFF"/>
        <w:spacing w:after="0" w:line="240" w:lineRule="auto"/>
        <w:contextualSpacing/>
        <w:jc w:val="both"/>
        <w:rPr>
          <w:rFonts w:ascii="Times New Roman" w:eastAsia="Times New Roman" w:hAnsi="Times New Roman"/>
          <w:color w:val="000000"/>
          <w:sz w:val="24"/>
          <w:szCs w:val="24"/>
          <w:lang w:eastAsia="fr-FR"/>
        </w:rPr>
      </w:pPr>
      <w:r w:rsidRPr="00205DA8">
        <w:rPr>
          <w:rFonts w:ascii="Times New Roman" w:eastAsia="Times New Roman" w:hAnsi="Times New Roman"/>
          <w:b/>
          <w:bCs/>
          <w:color w:val="000000"/>
          <w:sz w:val="24"/>
          <w:szCs w:val="24"/>
          <w:lang w:eastAsia="fr-FR"/>
        </w:rPr>
        <w:lastRenderedPageBreak/>
        <w:t>Travail non conforme aux normes de l'OIT</w:t>
      </w:r>
      <w:r w:rsidRPr="00205DA8">
        <w:rPr>
          <w:rFonts w:ascii="Times New Roman" w:eastAsia="Times New Roman" w:hAnsi="Times New Roman"/>
          <w:color w:val="000000"/>
          <w:sz w:val="24"/>
          <w:szCs w:val="24"/>
          <w:lang w:eastAsia="fr-FR"/>
        </w:rPr>
        <w:t> (Organisation Internationale du Travail) : </w:t>
      </w:r>
    </w:p>
    <w:p w:rsidR="00764FFF" w:rsidRPr="00F909D5" w:rsidRDefault="00764FFF" w:rsidP="00FA3FAE">
      <w:pPr>
        <w:numPr>
          <w:ilvl w:val="0"/>
          <w:numId w:val="129"/>
        </w:numPr>
        <w:shd w:val="clear" w:color="auto" w:fill="FFFFFF"/>
        <w:spacing w:before="100" w:beforeAutospacing="1" w:after="100" w:afterAutospacing="1" w:line="240" w:lineRule="auto"/>
        <w:jc w:val="both"/>
        <w:rPr>
          <w:rFonts w:ascii="Times New Roman" w:eastAsia="Times New Roman" w:hAnsi="Times New Roman"/>
          <w:color w:val="000000"/>
          <w:sz w:val="24"/>
          <w:szCs w:val="24"/>
          <w:lang w:eastAsia="fr-FR"/>
        </w:rPr>
      </w:pPr>
      <w:r w:rsidRPr="00F909D5">
        <w:rPr>
          <w:rFonts w:ascii="Times New Roman" w:eastAsia="Times New Roman" w:hAnsi="Times New Roman"/>
          <w:color w:val="000000"/>
          <w:sz w:val="24"/>
          <w:szCs w:val="24"/>
          <w:lang w:eastAsia="fr-FR"/>
        </w:rPr>
        <w:t>Tous les enfants de moins de 12 ans travaillant dans l'une des branches de l'économie,</w:t>
      </w:r>
    </w:p>
    <w:p w:rsidR="00764FFF" w:rsidRPr="00F909D5" w:rsidRDefault="00764FFF" w:rsidP="00FA3FAE">
      <w:pPr>
        <w:numPr>
          <w:ilvl w:val="0"/>
          <w:numId w:val="129"/>
        </w:numPr>
        <w:shd w:val="clear" w:color="auto" w:fill="FFFFFF"/>
        <w:spacing w:before="100" w:beforeAutospacing="1" w:after="100" w:afterAutospacing="1" w:line="240" w:lineRule="auto"/>
        <w:jc w:val="both"/>
        <w:rPr>
          <w:rFonts w:ascii="Times New Roman" w:eastAsia="Times New Roman" w:hAnsi="Times New Roman"/>
          <w:color w:val="000000"/>
          <w:sz w:val="24"/>
          <w:szCs w:val="24"/>
          <w:lang w:eastAsia="fr-FR"/>
        </w:rPr>
      </w:pPr>
      <w:r w:rsidRPr="00F909D5">
        <w:rPr>
          <w:rFonts w:ascii="Times New Roman" w:eastAsia="Times New Roman" w:hAnsi="Times New Roman"/>
          <w:color w:val="000000"/>
          <w:sz w:val="24"/>
          <w:szCs w:val="24"/>
          <w:lang w:eastAsia="fr-FR"/>
        </w:rPr>
        <w:t>Des enfants âgés de 12 à 14 se livrant à des activités préjudiciables pour leur santé et de tous les enfants se livrant aux pires formes de travail des enfants.</w:t>
      </w:r>
    </w:p>
    <w:p w:rsidR="00764FFF" w:rsidRPr="00205DA8" w:rsidRDefault="00764FFF" w:rsidP="00FA3FAE">
      <w:pPr>
        <w:numPr>
          <w:ilvl w:val="0"/>
          <w:numId w:val="135"/>
        </w:numPr>
        <w:shd w:val="clear" w:color="auto" w:fill="FFFFFF"/>
        <w:spacing w:after="0" w:line="240" w:lineRule="auto"/>
        <w:contextualSpacing/>
        <w:jc w:val="both"/>
        <w:rPr>
          <w:rFonts w:ascii="Times New Roman" w:eastAsia="Times New Roman" w:hAnsi="Times New Roman"/>
          <w:color w:val="000000"/>
          <w:sz w:val="24"/>
          <w:szCs w:val="24"/>
          <w:lang w:eastAsia="fr-FR"/>
        </w:rPr>
      </w:pPr>
      <w:r w:rsidRPr="00205DA8">
        <w:rPr>
          <w:rFonts w:ascii="Times New Roman" w:eastAsia="Times New Roman" w:hAnsi="Times New Roman"/>
          <w:b/>
          <w:bCs/>
          <w:color w:val="000000"/>
          <w:sz w:val="24"/>
          <w:szCs w:val="24"/>
          <w:lang w:eastAsia="fr-FR"/>
        </w:rPr>
        <w:t>Les pires formes de travail des enfants selon l’OIT (</w:t>
      </w:r>
      <w:r w:rsidRPr="00205DA8">
        <w:rPr>
          <w:rFonts w:ascii="Times New Roman" w:eastAsia="Times New Roman" w:hAnsi="Times New Roman"/>
          <w:color w:val="000000"/>
          <w:sz w:val="24"/>
          <w:szCs w:val="24"/>
          <w:lang w:eastAsia="fr-FR"/>
        </w:rPr>
        <w:t>Convention 182) :</w:t>
      </w:r>
    </w:p>
    <w:p w:rsidR="00764FFF" w:rsidRPr="00F909D5" w:rsidRDefault="00764FFF" w:rsidP="00764FFF">
      <w:pPr>
        <w:shd w:val="clear" w:color="auto" w:fill="FFFFFF"/>
        <w:spacing w:after="0" w:line="240" w:lineRule="auto"/>
        <w:jc w:val="both"/>
        <w:rPr>
          <w:rFonts w:ascii="Times New Roman" w:eastAsia="Times New Roman" w:hAnsi="Times New Roman"/>
          <w:color w:val="000000"/>
          <w:sz w:val="24"/>
          <w:szCs w:val="24"/>
          <w:lang w:eastAsia="fr-FR"/>
        </w:rPr>
      </w:pPr>
      <w:r w:rsidRPr="00F909D5">
        <w:rPr>
          <w:rFonts w:ascii="Times New Roman" w:eastAsia="Times New Roman" w:hAnsi="Times New Roman"/>
          <w:color w:val="000000"/>
          <w:sz w:val="24"/>
          <w:szCs w:val="24"/>
          <w:lang w:eastAsia="fr-FR"/>
        </w:rPr>
        <w:t xml:space="preserve">Les enfants réduits en esclavage, recrutés de force, assujettis à la prostitution, victimes de la traite, contraints de se livrer à des activités illicites ou devant accomplir un travail dangereux susceptible </w:t>
      </w:r>
      <w:r w:rsidRPr="00205DA8">
        <w:rPr>
          <w:rFonts w:ascii="Times New Roman" w:eastAsia="Times New Roman" w:hAnsi="Times New Roman"/>
          <w:color w:val="000000"/>
          <w:sz w:val="24"/>
          <w:szCs w:val="24"/>
          <w:lang w:eastAsia="fr-FR"/>
        </w:rPr>
        <w:t>de :</w:t>
      </w:r>
    </w:p>
    <w:p w:rsidR="00764FFF" w:rsidRPr="00F909D5" w:rsidRDefault="00764FFF" w:rsidP="00FA3FAE">
      <w:pPr>
        <w:numPr>
          <w:ilvl w:val="0"/>
          <w:numId w:val="130"/>
        </w:numPr>
        <w:shd w:val="clear" w:color="auto" w:fill="FFFFFF"/>
        <w:spacing w:before="100" w:beforeAutospacing="1" w:after="100" w:afterAutospacing="1" w:line="240" w:lineRule="auto"/>
        <w:jc w:val="both"/>
        <w:rPr>
          <w:rFonts w:ascii="Times New Roman" w:eastAsia="Times New Roman" w:hAnsi="Times New Roman"/>
          <w:color w:val="000000"/>
          <w:sz w:val="24"/>
          <w:szCs w:val="24"/>
          <w:lang w:eastAsia="fr-FR"/>
        </w:rPr>
      </w:pPr>
      <w:r w:rsidRPr="00F909D5">
        <w:rPr>
          <w:rFonts w:ascii="Times New Roman" w:eastAsia="Times New Roman" w:hAnsi="Times New Roman"/>
          <w:color w:val="000000"/>
          <w:sz w:val="24"/>
          <w:szCs w:val="24"/>
          <w:lang w:eastAsia="fr-FR"/>
        </w:rPr>
        <w:t>Nuire à la santé et au développement physique, mental, moral ou so</w:t>
      </w:r>
      <w:r w:rsidRPr="00205DA8">
        <w:rPr>
          <w:rFonts w:ascii="Times New Roman" w:eastAsia="Times New Roman" w:hAnsi="Times New Roman"/>
          <w:color w:val="000000"/>
          <w:sz w:val="24"/>
          <w:szCs w:val="24"/>
          <w:lang w:eastAsia="fr-FR"/>
        </w:rPr>
        <w:t xml:space="preserve">cial des enfants ; et de </w:t>
      </w:r>
      <w:r w:rsidRPr="00F909D5">
        <w:rPr>
          <w:rFonts w:ascii="Times New Roman" w:eastAsia="Times New Roman" w:hAnsi="Times New Roman"/>
          <w:color w:val="000000"/>
          <w:sz w:val="24"/>
          <w:szCs w:val="24"/>
          <w:lang w:eastAsia="fr-FR"/>
        </w:rPr>
        <w:t xml:space="preserve">compromettre leur </w:t>
      </w:r>
      <w:r w:rsidRPr="00205DA8">
        <w:rPr>
          <w:rFonts w:ascii="Times New Roman" w:eastAsia="Times New Roman" w:hAnsi="Times New Roman"/>
          <w:color w:val="000000"/>
          <w:sz w:val="24"/>
          <w:szCs w:val="24"/>
          <w:lang w:eastAsia="fr-FR"/>
        </w:rPr>
        <w:t>éducation :</w:t>
      </w:r>
    </w:p>
    <w:p w:rsidR="00764FFF" w:rsidRPr="00F909D5" w:rsidRDefault="00764FFF" w:rsidP="00FA3FAE">
      <w:pPr>
        <w:numPr>
          <w:ilvl w:val="0"/>
          <w:numId w:val="130"/>
        </w:numPr>
        <w:shd w:val="clear" w:color="auto" w:fill="FFFFFF"/>
        <w:spacing w:before="100" w:beforeAutospacing="1" w:after="100" w:afterAutospacing="1" w:line="240" w:lineRule="auto"/>
        <w:jc w:val="both"/>
        <w:rPr>
          <w:rFonts w:ascii="Times New Roman" w:eastAsia="Times New Roman" w:hAnsi="Times New Roman"/>
          <w:color w:val="000000"/>
          <w:sz w:val="24"/>
          <w:szCs w:val="24"/>
          <w:lang w:eastAsia="fr-FR"/>
        </w:rPr>
      </w:pPr>
      <w:r w:rsidRPr="00F909D5">
        <w:rPr>
          <w:rFonts w:ascii="Times New Roman" w:eastAsia="Times New Roman" w:hAnsi="Times New Roman"/>
          <w:color w:val="000000"/>
          <w:sz w:val="24"/>
          <w:szCs w:val="24"/>
          <w:lang w:eastAsia="fr-FR"/>
        </w:rPr>
        <w:t xml:space="preserve">En les privant de toute </w:t>
      </w:r>
      <w:r w:rsidRPr="00205DA8">
        <w:rPr>
          <w:rFonts w:ascii="Times New Roman" w:eastAsia="Times New Roman" w:hAnsi="Times New Roman"/>
          <w:color w:val="000000"/>
          <w:sz w:val="24"/>
          <w:szCs w:val="24"/>
          <w:lang w:eastAsia="fr-FR"/>
        </w:rPr>
        <w:t>scolarisation ;</w:t>
      </w:r>
    </w:p>
    <w:p w:rsidR="00764FFF" w:rsidRPr="00F909D5" w:rsidRDefault="00764FFF" w:rsidP="00FA3FAE">
      <w:pPr>
        <w:numPr>
          <w:ilvl w:val="0"/>
          <w:numId w:val="130"/>
        </w:numPr>
        <w:shd w:val="clear" w:color="auto" w:fill="FFFFFF"/>
        <w:spacing w:before="100" w:beforeAutospacing="1" w:after="100" w:afterAutospacing="1" w:line="240" w:lineRule="auto"/>
        <w:jc w:val="both"/>
        <w:rPr>
          <w:rFonts w:ascii="Times New Roman" w:eastAsia="Times New Roman" w:hAnsi="Times New Roman"/>
          <w:color w:val="000000"/>
          <w:sz w:val="24"/>
          <w:szCs w:val="24"/>
          <w:lang w:eastAsia="fr-FR"/>
        </w:rPr>
      </w:pPr>
      <w:r w:rsidRPr="00F909D5">
        <w:rPr>
          <w:rFonts w:ascii="Times New Roman" w:eastAsia="Times New Roman" w:hAnsi="Times New Roman"/>
          <w:color w:val="000000"/>
          <w:sz w:val="24"/>
          <w:szCs w:val="24"/>
          <w:lang w:eastAsia="fr-FR"/>
        </w:rPr>
        <w:t xml:space="preserve">En les contraignant à abandonner prématurément </w:t>
      </w:r>
      <w:r w:rsidRPr="00205DA8">
        <w:rPr>
          <w:rFonts w:ascii="Times New Roman" w:eastAsia="Times New Roman" w:hAnsi="Times New Roman"/>
          <w:color w:val="000000"/>
          <w:sz w:val="24"/>
          <w:szCs w:val="24"/>
          <w:lang w:eastAsia="fr-FR"/>
        </w:rPr>
        <w:t>l’école ;</w:t>
      </w:r>
    </w:p>
    <w:p w:rsidR="00764FFF" w:rsidRPr="00F909D5" w:rsidRDefault="00764FFF" w:rsidP="00FA3FAE">
      <w:pPr>
        <w:numPr>
          <w:ilvl w:val="0"/>
          <w:numId w:val="130"/>
        </w:numPr>
        <w:shd w:val="clear" w:color="auto" w:fill="FFFFFF"/>
        <w:spacing w:before="100" w:beforeAutospacing="1" w:after="100" w:afterAutospacing="1" w:line="240" w:lineRule="auto"/>
        <w:jc w:val="both"/>
        <w:rPr>
          <w:rFonts w:ascii="Times New Roman" w:eastAsia="Times New Roman" w:hAnsi="Times New Roman"/>
          <w:color w:val="000000"/>
          <w:sz w:val="24"/>
          <w:szCs w:val="24"/>
          <w:lang w:eastAsia="fr-FR"/>
        </w:rPr>
      </w:pPr>
      <w:r w:rsidRPr="00F909D5">
        <w:rPr>
          <w:rFonts w:ascii="Times New Roman" w:eastAsia="Times New Roman" w:hAnsi="Times New Roman"/>
          <w:color w:val="000000"/>
          <w:sz w:val="24"/>
          <w:szCs w:val="24"/>
          <w:lang w:eastAsia="fr-FR"/>
        </w:rPr>
        <w:t>Ou en les obligeant à cumuler des activités scolaire et professionnelle, cette dernière étant trop longue et lourde pour eux.</w:t>
      </w:r>
    </w:p>
    <w:p w:rsidR="00764FFF" w:rsidRPr="00205DA8" w:rsidRDefault="00764FFF" w:rsidP="00FA3FAE">
      <w:pPr>
        <w:numPr>
          <w:ilvl w:val="0"/>
          <w:numId w:val="136"/>
        </w:numPr>
        <w:shd w:val="clear" w:color="auto" w:fill="FFFFFF"/>
        <w:spacing w:after="0" w:line="240" w:lineRule="auto"/>
        <w:contextualSpacing/>
        <w:jc w:val="both"/>
        <w:rPr>
          <w:rFonts w:ascii="Times New Roman" w:eastAsia="Times New Roman" w:hAnsi="Times New Roman"/>
          <w:b/>
          <w:bCs/>
          <w:color w:val="000000"/>
          <w:sz w:val="24"/>
          <w:szCs w:val="24"/>
          <w:lang w:eastAsia="fr-FR"/>
        </w:rPr>
      </w:pPr>
      <w:r w:rsidRPr="00205DA8">
        <w:rPr>
          <w:rFonts w:ascii="Times New Roman" w:eastAsia="Times New Roman" w:hAnsi="Times New Roman"/>
          <w:b/>
          <w:bCs/>
          <w:color w:val="000000"/>
          <w:sz w:val="24"/>
          <w:szCs w:val="24"/>
          <w:lang w:eastAsia="fr-FR"/>
        </w:rPr>
        <w:t>Travail conforme aux normes de l'OIT :</w:t>
      </w:r>
    </w:p>
    <w:p w:rsidR="00764FFF" w:rsidRPr="00205DA8" w:rsidRDefault="00764FFF" w:rsidP="00764FFF">
      <w:pPr>
        <w:shd w:val="clear" w:color="auto" w:fill="FFFFFF"/>
        <w:spacing w:after="150" w:line="240" w:lineRule="auto"/>
        <w:jc w:val="both"/>
        <w:rPr>
          <w:rFonts w:ascii="Times New Roman" w:eastAsia="Times New Roman" w:hAnsi="Times New Roman"/>
          <w:color w:val="000000"/>
          <w:sz w:val="24"/>
          <w:szCs w:val="24"/>
          <w:lang w:eastAsia="fr-FR"/>
        </w:rPr>
      </w:pPr>
      <w:r w:rsidRPr="00205DA8">
        <w:rPr>
          <w:rFonts w:ascii="Times New Roman" w:eastAsia="Times New Roman" w:hAnsi="Times New Roman"/>
          <w:color w:val="000000"/>
          <w:sz w:val="24"/>
          <w:szCs w:val="24"/>
          <w:lang w:eastAsia="fr-FR"/>
        </w:rPr>
        <w:t> L</w:t>
      </w:r>
      <w:r w:rsidRPr="00F909D5">
        <w:rPr>
          <w:rFonts w:ascii="Times New Roman" w:eastAsia="Times New Roman" w:hAnsi="Times New Roman"/>
          <w:color w:val="000000"/>
          <w:sz w:val="24"/>
          <w:szCs w:val="24"/>
          <w:lang w:eastAsia="fr-FR"/>
        </w:rPr>
        <w:t>a participation des enfants à l'activité économique est autorisée à condition de ne pas nuire à leur santé, à leur développement ou à leurs études. Le travail qui ne nuit pas aux études (travail léger) est autorisé à partir de l'âge de 12 ans en vertu de la Convention 138 de l'Organisation internationale du Travail (OIT).</w:t>
      </w:r>
    </w:p>
    <w:p w:rsidR="00764FFF" w:rsidRPr="00F362CC" w:rsidRDefault="00764FFF" w:rsidP="00820701">
      <w:pPr>
        <w:pStyle w:val="Cabealho3"/>
      </w:pPr>
      <w:bookmarkStart w:id="677" w:name="_Toc11158407"/>
      <w:bookmarkStart w:id="678" w:name="_Toc51072627"/>
      <w:r w:rsidRPr="00F362CC">
        <w:t>8.8.1 Règles internationales</w:t>
      </w:r>
      <w:bookmarkEnd w:id="677"/>
      <w:bookmarkEnd w:id="678"/>
    </w:p>
    <w:p w:rsidR="00764FFF" w:rsidRPr="00F45144" w:rsidRDefault="00764FFF" w:rsidP="00FA3FAE">
      <w:pPr>
        <w:numPr>
          <w:ilvl w:val="0"/>
          <w:numId w:val="131"/>
        </w:numPr>
        <w:shd w:val="clear" w:color="auto" w:fill="FFFFFF"/>
        <w:spacing w:before="100" w:beforeAutospacing="1" w:after="0" w:line="240" w:lineRule="auto"/>
        <w:jc w:val="both"/>
        <w:rPr>
          <w:rFonts w:ascii="Times New Roman" w:eastAsia="Times New Roman" w:hAnsi="Times New Roman"/>
          <w:color w:val="000000"/>
          <w:sz w:val="24"/>
          <w:szCs w:val="24"/>
          <w:lang w:eastAsia="fr-FR"/>
        </w:rPr>
      </w:pPr>
      <w:r w:rsidRPr="00205DA8">
        <w:rPr>
          <w:rFonts w:ascii="Times New Roman" w:eastAsia="Times New Roman" w:hAnsi="Times New Roman"/>
          <w:b/>
          <w:bCs/>
          <w:color w:val="000000"/>
          <w:sz w:val="24"/>
          <w:szCs w:val="24"/>
          <w:lang w:eastAsia="fr-FR"/>
        </w:rPr>
        <w:t>Convention (n° 138) sur l'âge minimum, 1973 - [ratifications]</w:t>
      </w:r>
    </w:p>
    <w:p w:rsidR="00764FFF" w:rsidRPr="00F45144" w:rsidRDefault="00764FFF" w:rsidP="00764FFF">
      <w:pPr>
        <w:shd w:val="clear" w:color="auto" w:fill="FFFFFF"/>
        <w:spacing w:after="150" w:line="240" w:lineRule="auto"/>
        <w:jc w:val="both"/>
        <w:rPr>
          <w:rFonts w:ascii="Times New Roman" w:eastAsia="Times New Roman" w:hAnsi="Times New Roman"/>
          <w:color w:val="000000"/>
          <w:sz w:val="24"/>
          <w:szCs w:val="24"/>
          <w:lang w:eastAsia="fr-FR"/>
        </w:rPr>
      </w:pPr>
      <w:r w:rsidRPr="00F45144">
        <w:rPr>
          <w:rFonts w:ascii="Times New Roman" w:eastAsia="Times New Roman" w:hAnsi="Times New Roman"/>
          <w:color w:val="000000"/>
          <w:sz w:val="24"/>
          <w:szCs w:val="24"/>
          <w:lang w:eastAsia="fr-FR"/>
        </w:rPr>
        <w:t>Cette convention fondamentale fixe à 15 ans (13 ans pour les travaux légers) l'âge minimum d'admission à l'emploi ou au travail et à 18 ans (16 ans dans certaines conditions strictement définies) l'âge minimum pour les travaux dangereux. Elle prévoit la possibilité de fixer, dans un premier temps, l'âge minimum à 14 ans (12 ans pour des travaux légers) dans les cas où l'économie et les institutions scolaires du pays ne sont pas suffisamment développées</w:t>
      </w:r>
    </w:p>
    <w:p w:rsidR="00764FFF" w:rsidRPr="00F45144" w:rsidRDefault="00764FFF" w:rsidP="00FA3FAE">
      <w:pPr>
        <w:numPr>
          <w:ilvl w:val="0"/>
          <w:numId w:val="132"/>
        </w:numPr>
        <w:shd w:val="clear" w:color="auto" w:fill="FFFFFF"/>
        <w:spacing w:before="100" w:beforeAutospacing="1" w:after="0" w:line="240" w:lineRule="auto"/>
        <w:jc w:val="both"/>
        <w:rPr>
          <w:rFonts w:ascii="Times New Roman" w:eastAsia="Times New Roman" w:hAnsi="Times New Roman"/>
          <w:color w:val="000000"/>
          <w:sz w:val="24"/>
          <w:szCs w:val="24"/>
          <w:lang w:eastAsia="fr-FR"/>
        </w:rPr>
      </w:pPr>
      <w:r w:rsidRPr="00205DA8">
        <w:rPr>
          <w:rFonts w:ascii="Times New Roman" w:eastAsia="Times New Roman" w:hAnsi="Times New Roman"/>
          <w:b/>
          <w:bCs/>
          <w:color w:val="000000"/>
          <w:sz w:val="24"/>
          <w:szCs w:val="24"/>
          <w:lang w:eastAsia="fr-FR"/>
        </w:rPr>
        <w:t>Convention (n° 182) sur les pires formes de travail des enfants, 1999 - [ratifications]</w:t>
      </w:r>
    </w:p>
    <w:p w:rsidR="00764FFF" w:rsidRPr="00F45144" w:rsidRDefault="00764FFF" w:rsidP="00764FFF">
      <w:pPr>
        <w:shd w:val="clear" w:color="auto" w:fill="FFFFFF"/>
        <w:spacing w:after="150" w:line="240" w:lineRule="auto"/>
        <w:jc w:val="both"/>
        <w:rPr>
          <w:rFonts w:ascii="Times New Roman" w:eastAsia="Times New Roman" w:hAnsi="Times New Roman"/>
          <w:color w:val="000000"/>
          <w:sz w:val="24"/>
          <w:szCs w:val="24"/>
          <w:lang w:eastAsia="fr-FR"/>
        </w:rPr>
      </w:pPr>
      <w:r w:rsidRPr="00F45144">
        <w:rPr>
          <w:rFonts w:ascii="Times New Roman" w:eastAsia="Times New Roman" w:hAnsi="Times New Roman"/>
          <w:color w:val="000000"/>
          <w:sz w:val="24"/>
          <w:szCs w:val="24"/>
          <w:lang w:eastAsia="fr-FR"/>
        </w:rPr>
        <w:t>Selon cette convention fondamentale, le terme "enfant" s'applique à l'ensemble des personnes de moins de 18 ans. Les États qui l'ont ratifiée doivent éliminer les pires formes de travail des enfants, notamment toutes les formes d'esclavage ou pratiques analogues, telles que la vente et la traite des enfants, la servitude pour dettes et le servage ainsi que le travail forcé ou obligatoire, y compris le recrutement forcé ou obligatoire des enfants en vue de leur utilisation dans des conflits armés; la prostitution et la pornographie faisant intervenir des enfants; l'utilisation d'enfants aux fins d'activités illicites, notamment pour la production et le trafic de stupéfiants; et les travaux qui sont susceptibles de nuire à la santé, à la sécurité ou à la moralité de l'enfant. La convention demande aux États qui l'ont ratifiée de prévoir l'aide directe nécessaire et appropriée pour soustraire les enfants aux pires formes de travail et garantir leur réadaptation et leur intégration sociale. Ces États doivent également assurer l'accès à l'éducation de base gratuite et, lorsque cela est possible et approprié, à la formation professionnelle pour les enfants qui auront été soustraits aux pires formes de travail.</w:t>
      </w:r>
    </w:p>
    <w:p w:rsidR="00764FFF" w:rsidRPr="00F45144" w:rsidRDefault="00764FFF" w:rsidP="00FA3FAE">
      <w:pPr>
        <w:numPr>
          <w:ilvl w:val="0"/>
          <w:numId w:val="133"/>
        </w:numPr>
        <w:shd w:val="clear" w:color="auto" w:fill="FFFFFF"/>
        <w:spacing w:before="100" w:beforeAutospacing="1" w:after="0" w:line="240" w:lineRule="auto"/>
        <w:jc w:val="both"/>
        <w:rPr>
          <w:rFonts w:ascii="Times New Roman" w:eastAsia="Times New Roman" w:hAnsi="Times New Roman"/>
          <w:color w:val="000000"/>
          <w:sz w:val="24"/>
          <w:szCs w:val="24"/>
          <w:lang w:eastAsia="fr-FR"/>
        </w:rPr>
      </w:pPr>
      <w:r w:rsidRPr="00205DA8">
        <w:rPr>
          <w:rFonts w:ascii="Times New Roman" w:eastAsia="Times New Roman" w:hAnsi="Times New Roman"/>
          <w:b/>
          <w:bCs/>
          <w:color w:val="000000"/>
          <w:sz w:val="24"/>
          <w:szCs w:val="24"/>
          <w:lang w:eastAsia="fr-FR"/>
        </w:rPr>
        <w:t>Convention relative aux Droits de l'Enfant, 1989</w:t>
      </w:r>
    </w:p>
    <w:p w:rsidR="00764FFF" w:rsidRPr="00F45144" w:rsidRDefault="00764FFF" w:rsidP="00764FFF">
      <w:pPr>
        <w:shd w:val="clear" w:color="auto" w:fill="FFFFFF"/>
        <w:spacing w:after="150" w:line="240" w:lineRule="auto"/>
        <w:jc w:val="both"/>
        <w:rPr>
          <w:rFonts w:ascii="Times New Roman" w:eastAsia="Times New Roman" w:hAnsi="Times New Roman"/>
          <w:color w:val="000000"/>
          <w:sz w:val="24"/>
          <w:szCs w:val="24"/>
          <w:lang w:eastAsia="fr-FR"/>
        </w:rPr>
      </w:pPr>
      <w:r w:rsidRPr="00F45144">
        <w:rPr>
          <w:rFonts w:ascii="Times New Roman" w:eastAsia="Times New Roman" w:hAnsi="Times New Roman"/>
          <w:color w:val="000000"/>
          <w:sz w:val="24"/>
          <w:szCs w:val="24"/>
          <w:lang w:eastAsia="fr-FR"/>
        </w:rPr>
        <w:t xml:space="preserve">La convention relative aux droits de l'enfant, est le traité le plus complet sur les droits civils, politiques, économiques, sociaux et culturels des enfants, oblige les états parties à "prendre toutes les mesures appropriées sur les plans national, bilatéral et multilatéral pour empêcher l'enlèvement, la vente ou la traite d'enfants à quelque fin que ce soit et sous quelque forme que ce soit ». La convention relative aux droits de l'enfant oblige encore les états à s'assurer que les enfants ne sont pas séparés de leurs parents </w:t>
      </w:r>
      <w:r w:rsidRPr="00F45144">
        <w:rPr>
          <w:rFonts w:ascii="Times New Roman" w:eastAsia="Times New Roman" w:hAnsi="Times New Roman"/>
          <w:color w:val="000000"/>
          <w:sz w:val="24"/>
          <w:szCs w:val="24"/>
          <w:lang w:eastAsia="fr-FR"/>
        </w:rPr>
        <w:lastRenderedPageBreak/>
        <w:t>contre leur gré ; à prendre l'enfant contre l'exploitation économique, contre un travail comportant des risques, contre l'implication dans le trafic de stupéfiants, l'exploitation sexuelle et les abus et toute autre forme d'exploitation.</w:t>
      </w:r>
    </w:p>
    <w:p w:rsidR="00764FFF" w:rsidRPr="00F362CC" w:rsidRDefault="00764FFF" w:rsidP="00820701">
      <w:pPr>
        <w:pStyle w:val="Cabealho3"/>
      </w:pPr>
      <w:r w:rsidRPr="00F362CC">
        <w:t> </w:t>
      </w:r>
      <w:bookmarkStart w:id="679" w:name="_Toc11158408"/>
      <w:bookmarkStart w:id="680" w:name="_Toc51072628"/>
      <w:r w:rsidRPr="00F362CC">
        <w:t>8.8.2 Moyen de lutte et de prévention du travail des enfants</w:t>
      </w:r>
      <w:bookmarkEnd w:id="679"/>
      <w:bookmarkEnd w:id="680"/>
    </w:p>
    <w:p w:rsidR="00764FFF" w:rsidRPr="00205DA8" w:rsidRDefault="00764FFF" w:rsidP="00764FFF">
      <w:pPr>
        <w:shd w:val="clear" w:color="auto" w:fill="FFFFFF"/>
        <w:spacing w:after="0" w:line="240" w:lineRule="auto"/>
        <w:jc w:val="both"/>
        <w:rPr>
          <w:rFonts w:ascii="Times New Roman" w:eastAsia="Times New Roman" w:hAnsi="Times New Roman"/>
          <w:color w:val="000000"/>
          <w:sz w:val="24"/>
          <w:szCs w:val="24"/>
          <w:lang w:eastAsia="fr-FR"/>
        </w:rPr>
      </w:pPr>
      <w:r w:rsidRPr="00205DA8">
        <w:rPr>
          <w:rFonts w:ascii="Times New Roman" w:eastAsia="Times New Roman" w:hAnsi="Times New Roman"/>
          <w:color w:val="000000"/>
          <w:sz w:val="24"/>
          <w:szCs w:val="24"/>
          <w:lang w:eastAsia="fr-FR"/>
        </w:rPr>
        <w:t>Cependant de façon générale pour lutter contre le travail des enfants, il sera nécessaire de scolariser</w:t>
      </w:r>
      <w:r w:rsidRPr="00AA072C">
        <w:rPr>
          <w:rFonts w:ascii="Times New Roman" w:eastAsia="Times New Roman" w:hAnsi="Times New Roman"/>
          <w:color w:val="000000"/>
          <w:sz w:val="24"/>
          <w:szCs w:val="24"/>
          <w:lang w:eastAsia="fr-FR"/>
        </w:rPr>
        <w:t xml:space="preserve"> et </w:t>
      </w:r>
      <w:r w:rsidRPr="00205DA8">
        <w:rPr>
          <w:rFonts w:ascii="Times New Roman" w:eastAsia="Times New Roman" w:hAnsi="Times New Roman"/>
          <w:color w:val="000000"/>
          <w:sz w:val="24"/>
          <w:szCs w:val="24"/>
          <w:lang w:eastAsia="fr-FR"/>
        </w:rPr>
        <w:t xml:space="preserve">de </w:t>
      </w:r>
      <w:r w:rsidRPr="00AA072C">
        <w:rPr>
          <w:rFonts w:ascii="Times New Roman" w:eastAsia="Times New Roman" w:hAnsi="Times New Roman"/>
          <w:color w:val="000000"/>
          <w:sz w:val="24"/>
          <w:szCs w:val="24"/>
          <w:lang w:eastAsia="fr-FR"/>
        </w:rPr>
        <w:t>maintenir les enfants pendant au moins quatre années pour qu’ils acquièrent les compétences de base en lecture, en calcul et en écriture</w:t>
      </w:r>
      <w:r w:rsidRPr="00205DA8">
        <w:rPr>
          <w:rFonts w:ascii="Times New Roman" w:eastAsia="Times New Roman" w:hAnsi="Times New Roman"/>
          <w:color w:val="000000"/>
          <w:sz w:val="24"/>
          <w:szCs w:val="24"/>
          <w:lang w:eastAsia="fr-FR"/>
        </w:rPr>
        <w:t>.</w:t>
      </w:r>
    </w:p>
    <w:p w:rsidR="00764FFF" w:rsidRDefault="00764FFF" w:rsidP="00764FFF">
      <w:pPr>
        <w:shd w:val="clear" w:color="auto" w:fill="FFFFFF"/>
        <w:spacing w:after="0" w:line="240" w:lineRule="auto"/>
        <w:jc w:val="both"/>
        <w:rPr>
          <w:rFonts w:ascii="Times New Roman" w:eastAsia="Times New Roman" w:hAnsi="Times New Roman"/>
          <w:color w:val="000000"/>
          <w:sz w:val="24"/>
          <w:szCs w:val="24"/>
          <w:lang w:eastAsia="fr-FR"/>
        </w:rPr>
      </w:pPr>
      <w:r w:rsidRPr="00205DA8">
        <w:rPr>
          <w:rFonts w:ascii="Times New Roman" w:eastAsia="Times New Roman" w:hAnsi="Times New Roman"/>
          <w:color w:val="000000"/>
          <w:sz w:val="24"/>
          <w:szCs w:val="24"/>
          <w:lang w:eastAsia="fr-FR"/>
        </w:rPr>
        <w:t>I</w:t>
      </w:r>
      <w:r w:rsidRPr="00AA072C">
        <w:rPr>
          <w:rFonts w:ascii="Times New Roman" w:eastAsia="Times New Roman" w:hAnsi="Times New Roman"/>
          <w:color w:val="000000"/>
          <w:sz w:val="24"/>
          <w:szCs w:val="24"/>
          <w:lang w:eastAsia="fr-FR"/>
        </w:rPr>
        <w:t>l faudrait prendre un ensemble de mesures relatives aux conditions économiques, sociales et aux politiques et pratiques éducatives</w:t>
      </w:r>
      <w:r w:rsidRPr="00205DA8">
        <w:rPr>
          <w:rFonts w:ascii="Times New Roman" w:eastAsia="Times New Roman" w:hAnsi="Times New Roman"/>
          <w:color w:val="000000"/>
          <w:sz w:val="24"/>
          <w:szCs w:val="24"/>
          <w:lang w:eastAsia="fr-FR"/>
        </w:rPr>
        <w:t>.</w:t>
      </w:r>
    </w:p>
    <w:p w:rsidR="00764FFF" w:rsidRPr="00205DA8" w:rsidRDefault="00764FFF" w:rsidP="00764FFF">
      <w:pPr>
        <w:shd w:val="clear" w:color="auto" w:fill="FFFFFF"/>
        <w:spacing w:after="0" w:line="240" w:lineRule="auto"/>
        <w:jc w:val="both"/>
        <w:rPr>
          <w:rFonts w:ascii="Times New Roman" w:eastAsia="Times New Roman" w:hAnsi="Times New Roman"/>
          <w:color w:val="000000"/>
          <w:sz w:val="24"/>
          <w:szCs w:val="24"/>
          <w:vertAlign w:val="superscript"/>
          <w:lang w:eastAsia="fr-FR"/>
        </w:rPr>
      </w:pPr>
    </w:p>
    <w:p w:rsidR="00764FFF" w:rsidRPr="00205DA8" w:rsidRDefault="00764FFF" w:rsidP="00FA3FAE">
      <w:pPr>
        <w:numPr>
          <w:ilvl w:val="0"/>
          <w:numId w:val="136"/>
        </w:numPr>
        <w:shd w:val="clear" w:color="auto" w:fill="FFFFFF"/>
        <w:spacing w:after="0" w:line="240" w:lineRule="auto"/>
        <w:contextualSpacing/>
        <w:jc w:val="both"/>
        <w:rPr>
          <w:rFonts w:ascii="Times New Roman" w:eastAsia="Times New Roman" w:hAnsi="Times New Roman"/>
          <w:color w:val="000000"/>
          <w:sz w:val="24"/>
          <w:szCs w:val="24"/>
          <w:lang w:eastAsia="fr-FR"/>
        </w:rPr>
      </w:pPr>
      <w:r w:rsidRPr="00205DA8">
        <w:rPr>
          <w:rFonts w:ascii="Times New Roman" w:eastAsia="Times New Roman" w:hAnsi="Times New Roman"/>
          <w:b/>
          <w:bCs/>
          <w:color w:val="000000"/>
          <w:sz w:val="24"/>
          <w:szCs w:val="24"/>
          <w:lang w:eastAsia="fr-FR"/>
        </w:rPr>
        <w:t>Politiques liées aux conditions économiques et sociales :</w:t>
      </w:r>
    </w:p>
    <w:p w:rsidR="00764FFF" w:rsidRPr="00205DA8" w:rsidRDefault="00764FFF" w:rsidP="00FA3FAE">
      <w:pPr>
        <w:numPr>
          <w:ilvl w:val="0"/>
          <w:numId w:val="137"/>
        </w:numPr>
        <w:shd w:val="clear" w:color="auto" w:fill="FFFFFF"/>
        <w:spacing w:after="0" w:line="240" w:lineRule="auto"/>
        <w:contextualSpacing/>
        <w:jc w:val="both"/>
        <w:rPr>
          <w:rFonts w:ascii="Times New Roman" w:eastAsia="Times New Roman" w:hAnsi="Times New Roman"/>
          <w:color w:val="000000"/>
          <w:sz w:val="24"/>
          <w:szCs w:val="24"/>
          <w:lang w:eastAsia="fr-FR"/>
        </w:rPr>
      </w:pPr>
      <w:r w:rsidRPr="00205DA8">
        <w:rPr>
          <w:rFonts w:ascii="Times New Roman" w:eastAsia="Times New Roman" w:hAnsi="Times New Roman"/>
          <w:color w:val="000000"/>
          <w:sz w:val="24"/>
          <w:szCs w:val="24"/>
          <w:lang w:eastAsia="fr-FR"/>
        </w:rPr>
        <w:t>Améliorer les conditions de vie car il y’a un lien entre le taux d’abandon scolaire et le pourcentage de personnes vivant en du seuil de pauvreté (1 dollar US/jour)</w:t>
      </w:r>
    </w:p>
    <w:p w:rsidR="00764FFF" w:rsidRPr="00205DA8" w:rsidRDefault="00764FFF" w:rsidP="00FA3FAE">
      <w:pPr>
        <w:numPr>
          <w:ilvl w:val="0"/>
          <w:numId w:val="137"/>
        </w:numPr>
        <w:shd w:val="clear" w:color="auto" w:fill="FFFFFF"/>
        <w:spacing w:after="0" w:line="240" w:lineRule="auto"/>
        <w:contextualSpacing/>
        <w:jc w:val="both"/>
        <w:rPr>
          <w:rFonts w:ascii="Times New Roman" w:eastAsia="Times New Roman" w:hAnsi="Times New Roman"/>
          <w:color w:val="000000"/>
          <w:sz w:val="24"/>
          <w:szCs w:val="24"/>
          <w:lang w:eastAsia="fr-FR"/>
        </w:rPr>
      </w:pPr>
      <w:r w:rsidRPr="00205DA8">
        <w:rPr>
          <w:rFonts w:ascii="Times New Roman" w:eastAsia="Times New Roman" w:hAnsi="Times New Roman"/>
          <w:color w:val="000000"/>
          <w:sz w:val="24"/>
          <w:szCs w:val="24"/>
          <w:lang w:eastAsia="fr-FR"/>
        </w:rPr>
        <w:t>Réduire les frais de scolarité</w:t>
      </w:r>
    </w:p>
    <w:p w:rsidR="00764FFF" w:rsidRPr="00205DA8" w:rsidRDefault="00764FFF" w:rsidP="00FA3FAE">
      <w:pPr>
        <w:numPr>
          <w:ilvl w:val="0"/>
          <w:numId w:val="137"/>
        </w:numPr>
        <w:shd w:val="clear" w:color="auto" w:fill="FFFFFF"/>
        <w:spacing w:after="0" w:line="240" w:lineRule="auto"/>
        <w:contextualSpacing/>
        <w:jc w:val="both"/>
        <w:rPr>
          <w:rFonts w:ascii="Times New Roman" w:eastAsia="Times New Roman" w:hAnsi="Times New Roman"/>
          <w:color w:val="000000"/>
          <w:sz w:val="24"/>
          <w:szCs w:val="24"/>
          <w:lang w:eastAsia="fr-FR"/>
        </w:rPr>
      </w:pPr>
      <w:r w:rsidRPr="00205DA8">
        <w:rPr>
          <w:rFonts w:ascii="Times New Roman" w:eastAsia="Times New Roman" w:hAnsi="Times New Roman"/>
          <w:color w:val="000000"/>
          <w:sz w:val="24"/>
          <w:szCs w:val="24"/>
          <w:lang w:eastAsia="fr-FR"/>
        </w:rPr>
        <w:t>Améliorer l’accès à l’école, car le manque de proximité de des écoles est une cause importante de déperdition scolaire pour les jeunes enfants des zones rurales.</w:t>
      </w:r>
    </w:p>
    <w:p w:rsidR="00764FFF" w:rsidRPr="00AA072C" w:rsidRDefault="00764FFF" w:rsidP="00764FFF">
      <w:pPr>
        <w:shd w:val="clear" w:color="auto" w:fill="FFFFFF"/>
        <w:spacing w:after="0" w:line="240" w:lineRule="auto"/>
        <w:jc w:val="both"/>
        <w:rPr>
          <w:rFonts w:ascii="Times New Roman" w:eastAsia="Times New Roman" w:hAnsi="Times New Roman"/>
          <w:color w:val="000000"/>
          <w:sz w:val="24"/>
          <w:szCs w:val="24"/>
          <w:lang w:eastAsia="fr-FR"/>
        </w:rPr>
      </w:pPr>
    </w:p>
    <w:p w:rsidR="00764FFF" w:rsidRPr="00205DA8" w:rsidRDefault="00764FFF" w:rsidP="00FA3FAE">
      <w:pPr>
        <w:numPr>
          <w:ilvl w:val="0"/>
          <w:numId w:val="136"/>
        </w:numPr>
        <w:shd w:val="clear" w:color="auto" w:fill="FFFFFF"/>
        <w:spacing w:after="0" w:line="240" w:lineRule="auto"/>
        <w:contextualSpacing/>
        <w:jc w:val="both"/>
        <w:rPr>
          <w:rFonts w:ascii="Times New Roman" w:eastAsia="Times New Roman" w:hAnsi="Times New Roman"/>
          <w:b/>
          <w:bCs/>
          <w:color w:val="000000"/>
          <w:sz w:val="24"/>
          <w:szCs w:val="24"/>
          <w:lang w:eastAsia="fr-FR"/>
        </w:rPr>
      </w:pPr>
      <w:r w:rsidRPr="00AA072C">
        <w:rPr>
          <w:rFonts w:ascii="Times New Roman" w:eastAsia="Times New Roman" w:hAnsi="Times New Roman"/>
          <w:b/>
          <w:bCs/>
          <w:color w:val="000000"/>
          <w:sz w:val="24"/>
          <w:szCs w:val="24"/>
          <w:lang w:eastAsia="fr-FR"/>
        </w:rPr>
        <w:t xml:space="preserve">Mesures liées aux politiques et pratiques </w:t>
      </w:r>
      <w:r w:rsidRPr="00205DA8">
        <w:rPr>
          <w:rFonts w:ascii="Times New Roman" w:eastAsia="Times New Roman" w:hAnsi="Times New Roman"/>
          <w:b/>
          <w:bCs/>
          <w:color w:val="000000"/>
          <w:sz w:val="24"/>
          <w:szCs w:val="24"/>
          <w:lang w:eastAsia="fr-FR"/>
        </w:rPr>
        <w:t>éducatives :</w:t>
      </w:r>
    </w:p>
    <w:p w:rsidR="00764FFF" w:rsidRDefault="00764FFF" w:rsidP="00FA3FAE">
      <w:pPr>
        <w:numPr>
          <w:ilvl w:val="0"/>
          <w:numId w:val="137"/>
        </w:numPr>
        <w:shd w:val="clear" w:color="auto" w:fill="FFFFFF"/>
        <w:spacing w:after="0" w:line="240" w:lineRule="auto"/>
        <w:contextualSpacing/>
        <w:jc w:val="both"/>
        <w:rPr>
          <w:rFonts w:ascii="Times New Roman" w:eastAsia="Times New Roman" w:hAnsi="Times New Roman"/>
          <w:color w:val="000000"/>
          <w:sz w:val="24"/>
          <w:szCs w:val="24"/>
          <w:lang w:eastAsia="fr-FR"/>
        </w:rPr>
      </w:pPr>
      <w:r w:rsidRPr="00205DA8">
        <w:rPr>
          <w:rFonts w:ascii="Times New Roman" w:eastAsia="Times New Roman" w:hAnsi="Times New Roman"/>
          <w:color w:val="000000"/>
          <w:sz w:val="24"/>
          <w:szCs w:val="24"/>
          <w:lang w:eastAsia="fr-FR"/>
        </w:rPr>
        <w:t>Améliorer</w:t>
      </w:r>
      <w:r w:rsidRPr="00AA072C">
        <w:rPr>
          <w:rFonts w:ascii="Times New Roman" w:eastAsia="Times New Roman" w:hAnsi="Times New Roman"/>
          <w:color w:val="000000"/>
          <w:sz w:val="24"/>
          <w:szCs w:val="24"/>
          <w:lang w:eastAsia="fr-FR"/>
        </w:rPr>
        <w:t xml:space="preserve"> les méthodes d’enseignement</w:t>
      </w:r>
    </w:p>
    <w:p w:rsidR="00764FFF" w:rsidRPr="00AA072C" w:rsidRDefault="00764FFF" w:rsidP="00FA3FAE">
      <w:pPr>
        <w:numPr>
          <w:ilvl w:val="0"/>
          <w:numId w:val="137"/>
        </w:numPr>
        <w:shd w:val="clear" w:color="auto" w:fill="FFFFFF"/>
        <w:spacing w:after="0" w:line="240" w:lineRule="auto"/>
        <w:contextualSpacing/>
        <w:jc w:val="both"/>
        <w:rPr>
          <w:rFonts w:ascii="Times New Roman" w:eastAsia="Times New Roman" w:hAnsi="Times New Roman"/>
          <w:color w:val="000000"/>
          <w:sz w:val="24"/>
          <w:szCs w:val="24"/>
          <w:lang w:eastAsia="fr-FR"/>
        </w:rPr>
      </w:pPr>
      <w:r w:rsidRPr="00205DA8">
        <w:rPr>
          <w:rFonts w:ascii="Times New Roman" w:eastAsia="Times New Roman" w:hAnsi="Times New Roman"/>
          <w:color w:val="000000"/>
          <w:sz w:val="24"/>
          <w:szCs w:val="24"/>
          <w:lang w:eastAsia="fr-FR"/>
        </w:rPr>
        <w:t>Promouvoir</w:t>
      </w:r>
      <w:r w:rsidRPr="00AA072C">
        <w:rPr>
          <w:rFonts w:ascii="Times New Roman" w:eastAsia="Times New Roman" w:hAnsi="Times New Roman"/>
          <w:color w:val="000000"/>
          <w:sz w:val="24"/>
          <w:szCs w:val="24"/>
          <w:lang w:eastAsia="fr-FR"/>
        </w:rPr>
        <w:t xml:space="preserve"> l’éducation précoce c</w:t>
      </w:r>
      <w:r w:rsidRPr="00205DA8">
        <w:rPr>
          <w:rFonts w:ascii="Times New Roman" w:eastAsia="Times New Roman" w:hAnsi="Times New Roman"/>
          <w:color w:val="000000"/>
          <w:sz w:val="24"/>
          <w:szCs w:val="24"/>
          <w:lang w:eastAsia="fr-FR"/>
        </w:rPr>
        <w:t>’est</w:t>
      </w:r>
      <w:r w:rsidRPr="00AA072C">
        <w:rPr>
          <w:rFonts w:ascii="Times New Roman" w:eastAsia="Times New Roman" w:hAnsi="Times New Roman"/>
          <w:color w:val="000000"/>
          <w:sz w:val="24"/>
          <w:szCs w:val="24"/>
          <w:lang w:eastAsia="fr-FR"/>
        </w:rPr>
        <w:t xml:space="preserve"> à dire systématiser l’éducation préscolaire pour que les élèves prennent un bon départ et poursuivent les études sur des bases solides.</w:t>
      </w:r>
    </w:p>
    <w:p w:rsidR="00764FFF" w:rsidRPr="00AA072C" w:rsidRDefault="00764FFF" w:rsidP="00FA3FAE">
      <w:pPr>
        <w:numPr>
          <w:ilvl w:val="0"/>
          <w:numId w:val="137"/>
        </w:numPr>
        <w:shd w:val="clear" w:color="auto" w:fill="FFFFFF"/>
        <w:spacing w:after="0" w:line="240" w:lineRule="auto"/>
        <w:contextualSpacing/>
        <w:jc w:val="both"/>
        <w:rPr>
          <w:rFonts w:ascii="Times New Roman" w:eastAsia="Times New Roman" w:hAnsi="Times New Roman"/>
          <w:color w:val="000000"/>
          <w:sz w:val="24"/>
          <w:szCs w:val="24"/>
          <w:lang w:eastAsia="fr-FR"/>
        </w:rPr>
      </w:pPr>
      <w:r w:rsidRPr="00205DA8">
        <w:rPr>
          <w:rFonts w:ascii="Times New Roman" w:eastAsia="Times New Roman" w:hAnsi="Times New Roman"/>
          <w:color w:val="000000"/>
          <w:sz w:val="24"/>
          <w:szCs w:val="24"/>
          <w:lang w:eastAsia="fr-FR"/>
        </w:rPr>
        <w:t>Accroître</w:t>
      </w:r>
      <w:r w:rsidRPr="00AA072C">
        <w:rPr>
          <w:rFonts w:ascii="Times New Roman" w:eastAsia="Times New Roman" w:hAnsi="Times New Roman"/>
          <w:color w:val="000000"/>
          <w:sz w:val="24"/>
          <w:szCs w:val="24"/>
          <w:lang w:eastAsia="fr-FR"/>
        </w:rPr>
        <w:t xml:space="preserve"> </w:t>
      </w:r>
      <w:r w:rsidRPr="00205DA8">
        <w:rPr>
          <w:rFonts w:ascii="Times New Roman" w:eastAsia="Times New Roman" w:hAnsi="Times New Roman"/>
          <w:color w:val="000000"/>
          <w:sz w:val="24"/>
          <w:szCs w:val="24"/>
          <w:lang w:eastAsia="fr-FR"/>
        </w:rPr>
        <w:t>le matériel éducatif</w:t>
      </w:r>
    </w:p>
    <w:p w:rsidR="00764FFF" w:rsidRPr="00AA072C" w:rsidRDefault="00764FFF" w:rsidP="00FA3FAE">
      <w:pPr>
        <w:numPr>
          <w:ilvl w:val="0"/>
          <w:numId w:val="137"/>
        </w:numPr>
        <w:shd w:val="clear" w:color="auto" w:fill="FFFFFF"/>
        <w:spacing w:after="0" w:line="240" w:lineRule="auto"/>
        <w:contextualSpacing/>
        <w:jc w:val="both"/>
        <w:rPr>
          <w:rFonts w:ascii="Times New Roman" w:eastAsia="Times New Roman" w:hAnsi="Times New Roman"/>
          <w:color w:val="000000"/>
          <w:sz w:val="24"/>
          <w:szCs w:val="24"/>
          <w:lang w:eastAsia="fr-FR"/>
        </w:rPr>
      </w:pPr>
      <w:r w:rsidRPr="00205DA8">
        <w:rPr>
          <w:rFonts w:ascii="Times New Roman" w:eastAsia="Times New Roman" w:hAnsi="Times New Roman"/>
          <w:color w:val="000000"/>
          <w:sz w:val="24"/>
          <w:szCs w:val="24"/>
          <w:lang w:eastAsia="fr-FR"/>
        </w:rPr>
        <w:t>Supprimer</w:t>
      </w:r>
      <w:r w:rsidRPr="00AA072C">
        <w:rPr>
          <w:rFonts w:ascii="Times New Roman" w:eastAsia="Times New Roman" w:hAnsi="Times New Roman"/>
          <w:color w:val="000000"/>
          <w:sz w:val="24"/>
          <w:szCs w:val="24"/>
          <w:lang w:eastAsia="fr-FR"/>
        </w:rPr>
        <w:t xml:space="preserve"> les barrières entre </w:t>
      </w:r>
      <w:r w:rsidRPr="00205DA8">
        <w:rPr>
          <w:rFonts w:ascii="Times New Roman" w:eastAsia="Times New Roman" w:hAnsi="Times New Roman"/>
          <w:color w:val="000000"/>
          <w:sz w:val="24"/>
          <w:szCs w:val="24"/>
          <w:lang w:eastAsia="fr-FR"/>
        </w:rPr>
        <w:t xml:space="preserve">sexe </w:t>
      </w:r>
    </w:p>
    <w:p w:rsidR="00764FFF" w:rsidRPr="00AA072C" w:rsidRDefault="00764FFF" w:rsidP="00FA3FAE">
      <w:pPr>
        <w:numPr>
          <w:ilvl w:val="0"/>
          <w:numId w:val="137"/>
        </w:numPr>
        <w:shd w:val="clear" w:color="auto" w:fill="FFFFFF"/>
        <w:spacing w:after="0" w:line="240" w:lineRule="auto"/>
        <w:contextualSpacing/>
        <w:jc w:val="both"/>
        <w:rPr>
          <w:rFonts w:ascii="Times New Roman" w:eastAsia="Times New Roman" w:hAnsi="Times New Roman"/>
          <w:color w:val="000000"/>
          <w:sz w:val="24"/>
          <w:szCs w:val="24"/>
          <w:lang w:eastAsia="fr-FR"/>
        </w:rPr>
      </w:pPr>
      <w:r w:rsidRPr="00205DA8">
        <w:rPr>
          <w:rFonts w:ascii="Times New Roman" w:eastAsia="Times New Roman" w:hAnsi="Times New Roman"/>
          <w:color w:val="000000"/>
          <w:sz w:val="24"/>
          <w:szCs w:val="24"/>
          <w:lang w:eastAsia="fr-FR"/>
        </w:rPr>
        <w:t>Rendre</w:t>
      </w:r>
      <w:r w:rsidRPr="00AA072C">
        <w:rPr>
          <w:rFonts w:ascii="Times New Roman" w:eastAsia="Times New Roman" w:hAnsi="Times New Roman"/>
          <w:color w:val="000000"/>
          <w:sz w:val="24"/>
          <w:szCs w:val="24"/>
          <w:lang w:eastAsia="fr-FR"/>
        </w:rPr>
        <w:t xml:space="preserve"> l’école plus </w:t>
      </w:r>
      <w:r w:rsidRPr="00205DA8">
        <w:rPr>
          <w:rFonts w:ascii="Times New Roman" w:eastAsia="Times New Roman" w:hAnsi="Times New Roman"/>
          <w:color w:val="000000"/>
          <w:sz w:val="24"/>
          <w:szCs w:val="24"/>
          <w:lang w:eastAsia="fr-FR"/>
        </w:rPr>
        <w:t>souple (</w:t>
      </w:r>
      <w:r w:rsidRPr="00AA072C">
        <w:rPr>
          <w:rFonts w:ascii="Times New Roman" w:eastAsia="Times New Roman" w:hAnsi="Times New Roman"/>
          <w:color w:val="000000"/>
          <w:sz w:val="24"/>
          <w:szCs w:val="24"/>
          <w:lang w:eastAsia="fr-FR"/>
        </w:rPr>
        <w:t>réorganiser le calendrier scolaire, moduler les horaires)</w:t>
      </w:r>
    </w:p>
    <w:p w:rsidR="00764FFF" w:rsidRDefault="00764FFF" w:rsidP="00FA3FAE">
      <w:pPr>
        <w:numPr>
          <w:ilvl w:val="0"/>
          <w:numId w:val="137"/>
        </w:numPr>
        <w:shd w:val="clear" w:color="auto" w:fill="FFFFFF"/>
        <w:spacing w:after="0" w:line="240" w:lineRule="auto"/>
        <w:contextualSpacing/>
        <w:jc w:val="both"/>
        <w:rPr>
          <w:rFonts w:ascii="Times New Roman" w:eastAsia="Times New Roman" w:hAnsi="Times New Roman"/>
          <w:color w:val="000000"/>
          <w:sz w:val="24"/>
          <w:szCs w:val="24"/>
          <w:lang w:eastAsia="fr-FR"/>
        </w:rPr>
      </w:pPr>
      <w:r w:rsidRPr="00205DA8">
        <w:rPr>
          <w:rFonts w:ascii="Times New Roman" w:eastAsia="Times New Roman" w:hAnsi="Times New Roman"/>
          <w:color w:val="000000"/>
          <w:sz w:val="24"/>
          <w:szCs w:val="24"/>
          <w:lang w:eastAsia="fr-FR"/>
        </w:rPr>
        <w:t>P</w:t>
      </w:r>
      <w:r w:rsidRPr="00AA072C">
        <w:rPr>
          <w:rFonts w:ascii="Times New Roman" w:eastAsia="Times New Roman" w:hAnsi="Times New Roman"/>
          <w:color w:val="000000"/>
          <w:sz w:val="24"/>
          <w:szCs w:val="24"/>
          <w:lang w:eastAsia="fr-FR"/>
        </w:rPr>
        <w:t>romouvoir une éducation intégratrice (une seule école pour tous)</w:t>
      </w:r>
    </w:p>
    <w:p w:rsidR="00764FFF" w:rsidRDefault="00764FFF" w:rsidP="00764FFF">
      <w:pPr>
        <w:shd w:val="clear" w:color="auto" w:fill="FFFFFF"/>
        <w:spacing w:after="0" w:line="240" w:lineRule="auto"/>
        <w:ind w:left="1068"/>
        <w:jc w:val="both"/>
        <w:rPr>
          <w:rFonts w:ascii="Times New Roman" w:eastAsia="Times New Roman" w:hAnsi="Times New Roman"/>
          <w:color w:val="000000"/>
          <w:sz w:val="24"/>
          <w:szCs w:val="24"/>
          <w:lang w:eastAsia="fr-FR"/>
        </w:rPr>
      </w:pPr>
    </w:p>
    <w:p w:rsidR="00764FFF" w:rsidRPr="009C6FF3" w:rsidRDefault="00764FFF" w:rsidP="00FA3FAE">
      <w:pPr>
        <w:numPr>
          <w:ilvl w:val="0"/>
          <w:numId w:val="138"/>
        </w:numPr>
        <w:shd w:val="clear" w:color="auto" w:fill="FFFFFF"/>
        <w:spacing w:after="150" w:line="240" w:lineRule="auto"/>
        <w:contextualSpacing/>
        <w:jc w:val="both"/>
        <w:rPr>
          <w:rFonts w:ascii="Times New Roman" w:eastAsia="Times New Roman" w:hAnsi="Times New Roman"/>
          <w:b/>
          <w:bCs/>
          <w:color w:val="000000"/>
          <w:sz w:val="24"/>
          <w:szCs w:val="24"/>
          <w:lang w:eastAsia="fr-FR"/>
        </w:rPr>
      </w:pPr>
      <w:r w:rsidRPr="009C6FF3">
        <w:rPr>
          <w:rFonts w:ascii="Times New Roman" w:eastAsia="Times New Roman" w:hAnsi="Times New Roman"/>
          <w:b/>
          <w:bCs/>
          <w:color w:val="000000"/>
          <w:sz w:val="24"/>
          <w:szCs w:val="24"/>
          <w:lang w:eastAsia="fr-FR"/>
        </w:rPr>
        <w:t xml:space="preserve">CONDITIONS DE TRAVAIL </w:t>
      </w:r>
      <w:r>
        <w:rPr>
          <w:rFonts w:ascii="Times New Roman" w:eastAsia="Times New Roman" w:hAnsi="Times New Roman"/>
          <w:b/>
          <w:bCs/>
          <w:color w:val="000000"/>
          <w:sz w:val="24"/>
          <w:szCs w:val="24"/>
          <w:lang w:eastAsia="fr-FR"/>
        </w:rPr>
        <w:t xml:space="preserve">ET FLUX DES TRAVAILLEURS </w:t>
      </w:r>
      <w:r w:rsidRPr="009C6FF3">
        <w:rPr>
          <w:rFonts w:ascii="Times New Roman" w:eastAsia="Times New Roman" w:hAnsi="Times New Roman"/>
          <w:b/>
          <w:bCs/>
          <w:color w:val="000000"/>
          <w:sz w:val="24"/>
          <w:szCs w:val="24"/>
          <w:lang w:eastAsia="fr-FR"/>
        </w:rPr>
        <w:t xml:space="preserve"> </w:t>
      </w:r>
    </w:p>
    <w:p w:rsidR="00764FFF" w:rsidRDefault="00764FFF" w:rsidP="00764FFF">
      <w:pPr>
        <w:shd w:val="clear" w:color="auto" w:fill="FFFFFF"/>
        <w:spacing w:after="150" w:line="240" w:lineRule="auto"/>
        <w:jc w:val="both"/>
        <w:rPr>
          <w:rFonts w:ascii="Times New Roman" w:eastAsia="Times New Roman" w:hAnsi="Times New Roman"/>
          <w:bCs/>
          <w:color w:val="000000"/>
          <w:sz w:val="24"/>
          <w:szCs w:val="24"/>
          <w:lang w:eastAsia="fr-FR"/>
        </w:rPr>
      </w:pPr>
      <w:r>
        <w:rPr>
          <w:rFonts w:ascii="Times New Roman" w:eastAsia="Times New Roman" w:hAnsi="Times New Roman"/>
          <w:bCs/>
          <w:color w:val="000000"/>
          <w:sz w:val="24"/>
          <w:szCs w:val="24"/>
          <w:lang w:eastAsia="fr-FR"/>
        </w:rPr>
        <w:t xml:space="preserve">La </w:t>
      </w:r>
      <w:r w:rsidRPr="0018441D">
        <w:rPr>
          <w:rFonts w:ascii="Times New Roman" w:eastAsia="Times New Roman" w:hAnsi="Times New Roman"/>
          <w:bCs/>
          <w:color w:val="000000"/>
          <w:sz w:val="24"/>
          <w:szCs w:val="24"/>
          <w:lang w:eastAsia="fr-FR"/>
        </w:rPr>
        <w:t>No</w:t>
      </w:r>
      <w:r>
        <w:rPr>
          <w:rFonts w:ascii="Times New Roman" w:eastAsia="Times New Roman" w:hAnsi="Times New Roman"/>
          <w:bCs/>
          <w:color w:val="000000"/>
          <w:sz w:val="24"/>
          <w:szCs w:val="24"/>
          <w:lang w:eastAsia="fr-FR"/>
        </w:rPr>
        <w:t xml:space="preserve">rme environnementale et sociale </w:t>
      </w:r>
      <w:r w:rsidRPr="0018441D">
        <w:rPr>
          <w:rFonts w:ascii="Times New Roman" w:eastAsia="Times New Roman" w:hAnsi="Times New Roman"/>
          <w:bCs/>
          <w:color w:val="000000"/>
          <w:sz w:val="24"/>
          <w:szCs w:val="24"/>
          <w:lang w:eastAsia="fr-FR"/>
        </w:rPr>
        <w:t>(NES)</w:t>
      </w:r>
      <w:r>
        <w:rPr>
          <w:rFonts w:ascii="Times New Roman" w:eastAsia="Times New Roman" w:hAnsi="Times New Roman"/>
          <w:bCs/>
          <w:color w:val="000000"/>
          <w:sz w:val="24"/>
          <w:szCs w:val="24"/>
          <w:lang w:eastAsia="fr-FR"/>
        </w:rPr>
        <w:t xml:space="preserve"> de la banque mondiale </w:t>
      </w:r>
      <w:r w:rsidRPr="0018441D">
        <w:rPr>
          <w:rFonts w:ascii="Times New Roman" w:eastAsia="Times New Roman" w:hAnsi="Times New Roman"/>
          <w:bCs/>
          <w:color w:val="000000"/>
          <w:sz w:val="24"/>
          <w:szCs w:val="24"/>
          <w:lang w:eastAsia="fr-FR"/>
        </w:rPr>
        <w:t>r</w:t>
      </w:r>
      <w:r>
        <w:rPr>
          <w:rFonts w:ascii="Times New Roman" w:eastAsia="Times New Roman" w:hAnsi="Times New Roman"/>
          <w:bCs/>
          <w:color w:val="000000"/>
          <w:sz w:val="24"/>
          <w:szCs w:val="24"/>
          <w:lang w:eastAsia="fr-FR"/>
        </w:rPr>
        <w:t xml:space="preserve">econnaît l’importance de la </w:t>
      </w:r>
      <w:r w:rsidRPr="0062539E">
        <w:rPr>
          <w:rFonts w:ascii="Times New Roman" w:eastAsia="Times New Roman" w:hAnsi="Times New Roman"/>
          <w:bCs/>
          <w:color w:val="000000"/>
          <w:sz w:val="24"/>
          <w:szCs w:val="24"/>
          <w:lang w:eastAsia="fr-FR"/>
        </w:rPr>
        <w:t>création d’emplo</w:t>
      </w:r>
      <w:r>
        <w:rPr>
          <w:rFonts w:ascii="Times New Roman" w:eastAsia="Times New Roman" w:hAnsi="Times New Roman"/>
          <w:bCs/>
          <w:color w:val="000000"/>
          <w:sz w:val="24"/>
          <w:szCs w:val="24"/>
          <w:lang w:eastAsia="fr-FR"/>
        </w:rPr>
        <w:t xml:space="preserve">is et d’activités génératrices </w:t>
      </w:r>
      <w:r w:rsidRPr="0062539E">
        <w:rPr>
          <w:rFonts w:ascii="Times New Roman" w:eastAsia="Times New Roman" w:hAnsi="Times New Roman"/>
          <w:bCs/>
          <w:color w:val="000000"/>
          <w:sz w:val="24"/>
          <w:szCs w:val="24"/>
          <w:lang w:eastAsia="fr-FR"/>
        </w:rPr>
        <w:t>de revenus à des fins de réduction de la pauvreté et de promotion d’une croissance économique soli</w:t>
      </w:r>
      <w:r>
        <w:rPr>
          <w:rFonts w:ascii="Times New Roman" w:eastAsia="Times New Roman" w:hAnsi="Times New Roman"/>
          <w:bCs/>
          <w:color w:val="000000"/>
          <w:sz w:val="24"/>
          <w:szCs w:val="24"/>
          <w:lang w:eastAsia="fr-FR"/>
        </w:rPr>
        <w:t xml:space="preserve">daire. Les Emprunteurs peuvent </w:t>
      </w:r>
      <w:r w:rsidRPr="0062539E">
        <w:rPr>
          <w:rFonts w:ascii="Times New Roman" w:eastAsia="Times New Roman" w:hAnsi="Times New Roman"/>
          <w:bCs/>
          <w:color w:val="000000"/>
          <w:sz w:val="24"/>
          <w:szCs w:val="24"/>
          <w:lang w:eastAsia="fr-FR"/>
        </w:rPr>
        <w:t xml:space="preserve">promouvoir de bonnes relations entre travailleurs </w:t>
      </w:r>
      <w:r>
        <w:rPr>
          <w:rFonts w:ascii="Times New Roman" w:eastAsia="Times New Roman" w:hAnsi="Times New Roman"/>
          <w:bCs/>
          <w:color w:val="000000"/>
          <w:sz w:val="24"/>
          <w:szCs w:val="24"/>
          <w:lang w:eastAsia="fr-FR"/>
        </w:rPr>
        <w:t xml:space="preserve">et employeurs et améliorer les </w:t>
      </w:r>
      <w:r w:rsidRPr="0062539E">
        <w:rPr>
          <w:rFonts w:ascii="Times New Roman" w:eastAsia="Times New Roman" w:hAnsi="Times New Roman"/>
          <w:bCs/>
          <w:color w:val="000000"/>
          <w:sz w:val="24"/>
          <w:szCs w:val="24"/>
          <w:lang w:eastAsia="fr-FR"/>
        </w:rPr>
        <w:t>retombées d’</w:t>
      </w:r>
      <w:r>
        <w:rPr>
          <w:rFonts w:ascii="Times New Roman" w:eastAsia="Times New Roman" w:hAnsi="Times New Roman"/>
          <w:bCs/>
          <w:color w:val="000000"/>
          <w:sz w:val="24"/>
          <w:szCs w:val="24"/>
          <w:lang w:eastAsia="fr-FR"/>
        </w:rPr>
        <w:t xml:space="preserve">un projet sur le développement </w:t>
      </w:r>
      <w:r w:rsidRPr="0062539E">
        <w:rPr>
          <w:rFonts w:ascii="Times New Roman" w:eastAsia="Times New Roman" w:hAnsi="Times New Roman"/>
          <w:bCs/>
          <w:color w:val="000000"/>
          <w:sz w:val="24"/>
          <w:szCs w:val="24"/>
          <w:lang w:eastAsia="fr-FR"/>
        </w:rPr>
        <w:t>en traitant les t</w:t>
      </w:r>
      <w:r>
        <w:rPr>
          <w:rFonts w:ascii="Times New Roman" w:eastAsia="Times New Roman" w:hAnsi="Times New Roman"/>
          <w:bCs/>
          <w:color w:val="000000"/>
          <w:sz w:val="24"/>
          <w:szCs w:val="24"/>
          <w:lang w:eastAsia="fr-FR"/>
        </w:rPr>
        <w:t xml:space="preserve">ravailleurs du projet de façon </w:t>
      </w:r>
      <w:r w:rsidRPr="0062539E">
        <w:rPr>
          <w:rFonts w:ascii="Times New Roman" w:eastAsia="Times New Roman" w:hAnsi="Times New Roman"/>
          <w:bCs/>
          <w:color w:val="000000"/>
          <w:sz w:val="24"/>
          <w:szCs w:val="24"/>
          <w:lang w:eastAsia="fr-FR"/>
        </w:rPr>
        <w:t xml:space="preserve">équitable et en </w:t>
      </w:r>
      <w:r>
        <w:rPr>
          <w:rFonts w:ascii="Times New Roman" w:eastAsia="Times New Roman" w:hAnsi="Times New Roman"/>
          <w:bCs/>
          <w:color w:val="000000"/>
          <w:sz w:val="24"/>
          <w:szCs w:val="24"/>
          <w:lang w:eastAsia="fr-FR"/>
        </w:rPr>
        <w:t xml:space="preserve">leur offrant des conditions de </w:t>
      </w:r>
      <w:r w:rsidRPr="0062539E">
        <w:rPr>
          <w:rFonts w:ascii="Times New Roman" w:eastAsia="Times New Roman" w:hAnsi="Times New Roman"/>
          <w:bCs/>
          <w:color w:val="000000"/>
          <w:sz w:val="24"/>
          <w:szCs w:val="24"/>
          <w:lang w:eastAsia="fr-FR"/>
        </w:rPr>
        <w:t>travail saines et sûres.</w:t>
      </w:r>
    </w:p>
    <w:p w:rsidR="00764FFF" w:rsidRPr="009C6FF3" w:rsidRDefault="00764FFF" w:rsidP="00764FFF">
      <w:pPr>
        <w:shd w:val="clear" w:color="auto" w:fill="FFFFFF"/>
        <w:spacing w:after="150" w:line="240" w:lineRule="auto"/>
        <w:jc w:val="both"/>
        <w:rPr>
          <w:rFonts w:ascii="Times New Roman" w:eastAsia="Times New Roman" w:hAnsi="Times New Roman"/>
          <w:bCs/>
          <w:color w:val="000000"/>
          <w:sz w:val="24"/>
          <w:szCs w:val="24"/>
          <w:lang w:eastAsia="fr-FR"/>
        </w:rPr>
      </w:pPr>
      <w:r>
        <w:rPr>
          <w:rFonts w:ascii="Times New Roman" w:eastAsia="Times New Roman" w:hAnsi="Times New Roman"/>
          <w:bCs/>
          <w:color w:val="000000"/>
          <w:sz w:val="24"/>
          <w:szCs w:val="24"/>
          <w:lang w:eastAsia="fr-FR"/>
        </w:rPr>
        <w:t>La NES N°</w:t>
      </w:r>
      <w:r w:rsidRPr="009C6FF3">
        <w:rPr>
          <w:rFonts w:ascii="Times New Roman" w:eastAsia="Times New Roman" w:hAnsi="Times New Roman"/>
          <w:bCs/>
          <w:color w:val="000000"/>
          <w:sz w:val="24"/>
          <w:szCs w:val="24"/>
          <w:lang w:eastAsia="fr-FR"/>
        </w:rPr>
        <w:t xml:space="preserve">2 s’applique </w:t>
      </w:r>
      <w:r>
        <w:rPr>
          <w:rFonts w:ascii="Times New Roman" w:eastAsia="Times New Roman" w:hAnsi="Times New Roman"/>
          <w:bCs/>
          <w:color w:val="000000"/>
          <w:sz w:val="24"/>
          <w:szCs w:val="24"/>
          <w:lang w:eastAsia="fr-FR"/>
        </w:rPr>
        <w:t xml:space="preserve">aux travailleurs du projet qui </w:t>
      </w:r>
      <w:r w:rsidRPr="009C6FF3">
        <w:rPr>
          <w:rFonts w:ascii="Times New Roman" w:eastAsia="Times New Roman" w:hAnsi="Times New Roman"/>
          <w:bCs/>
          <w:color w:val="000000"/>
          <w:sz w:val="24"/>
          <w:szCs w:val="24"/>
          <w:lang w:eastAsia="fr-FR"/>
        </w:rPr>
        <w:t>sont des travailleurs à</w:t>
      </w:r>
      <w:r>
        <w:rPr>
          <w:rFonts w:ascii="Times New Roman" w:eastAsia="Times New Roman" w:hAnsi="Times New Roman"/>
          <w:bCs/>
          <w:color w:val="000000"/>
          <w:sz w:val="24"/>
          <w:szCs w:val="24"/>
          <w:lang w:eastAsia="fr-FR"/>
        </w:rPr>
        <w:t xml:space="preserve"> temps plein, à temps partiel, </w:t>
      </w:r>
      <w:r w:rsidRPr="009C6FF3">
        <w:rPr>
          <w:rFonts w:ascii="Times New Roman" w:eastAsia="Times New Roman" w:hAnsi="Times New Roman"/>
          <w:bCs/>
          <w:color w:val="000000"/>
          <w:sz w:val="24"/>
          <w:szCs w:val="24"/>
          <w:lang w:eastAsia="fr-FR"/>
        </w:rPr>
        <w:t>temporaires, saisonniers et migrants</w:t>
      </w:r>
    </w:p>
    <w:p w:rsidR="00764FFF" w:rsidRPr="00EA0E20" w:rsidRDefault="00764FFF" w:rsidP="00FA3FAE">
      <w:pPr>
        <w:numPr>
          <w:ilvl w:val="0"/>
          <w:numId w:val="139"/>
        </w:numPr>
        <w:shd w:val="clear" w:color="auto" w:fill="FFFFFF"/>
        <w:spacing w:after="150" w:line="240" w:lineRule="auto"/>
        <w:contextualSpacing/>
        <w:jc w:val="both"/>
        <w:rPr>
          <w:rFonts w:ascii="Times New Roman" w:eastAsia="Times New Roman" w:hAnsi="Times New Roman"/>
          <w:b/>
          <w:bCs/>
          <w:color w:val="000000"/>
          <w:sz w:val="24"/>
          <w:szCs w:val="24"/>
          <w:lang w:eastAsia="fr-FR"/>
        </w:rPr>
      </w:pPr>
      <w:r w:rsidRPr="00EA0E20">
        <w:rPr>
          <w:rFonts w:ascii="Times New Roman" w:eastAsia="Times New Roman" w:hAnsi="Times New Roman"/>
          <w:b/>
          <w:bCs/>
          <w:color w:val="000000"/>
          <w:sz w:val="24"/>
          <w:szCs w:val="24"/>
          <w:lang w:eastAsia="fr-FR"/>
        </w:rPr>
        <w:t xml:space="preserve">Conditions de travail et d’emploi </w:t>
      </w:r>
    </w:p>
    <w:p w:rsidR="00764FFF" w:rsidRPr="0018441D" w:rsidRDefault="00764FFF" w:rsidP="00764FFF">
      <w:pPr>
        <w:shd w:val="clear" w:color="auto" w:fill="FFFFFF"/>
        <w:spacing w:after="150" w:line="240" w:lineRule="auto"/>
        <w:jc w:val="both"/>
        <w:rPr>
          <w:rFonts w:ascii="Times New Roman" w:eastAsia="Times New Roman" w:hAnsi="Times New Roman"/>
          <w:bCs/>
          <w:color w:val="000000"/>
          <w:sz w:val="24"/>
          <w:szCs w:val="24"/>
          <w:lang w:eastAsia="fr-FR"/>
        </w:rPr>
      </w:pPr>
      <w:r w:rsidRPr="0018441D">
        <w:rPr>
          <w:rFonts w:ascii="Times New Roman" w:eastAsia="Times New Roman" w:hAnsi="Times New Roman"/>
          <w:bCs/>
          <w:color w:val="000000"/>
          <w:sz w:val="24"/>
          <w:szCs w:val="24"/>
          <w:lang w:eastAsia="fr-FR"/>
        </w:rPr>
        <w:t xml:space="preserve">Une documentation </w:t>
      </w:r>
      <w:r>
        <w:rPr>
          <w:rFonts w:ascii="Times New Roman" w:eastAsia="Times New Roman" w:hAnsi="Times New Roman"/>
          <w:bCs/>
          <w:color w:val="000000"/>
          <w:sz w:val="24"/>
          <w:szCs w:val="24"/>
          <w:lang w:eastAsia="fr-FR"/>
        </w:rPr>
        <w:t xml:space="preserve">et des informations claires et </w:t>
      </w:r>
      <w:r w:rsidRPr="0018441D">
        <w:rPr>
          <w:rFonts w:ascii="Times New Roman" w:eastAsia="Times New Roman" w:hAnsi="Times New Roman"/>
          <w:bCs/>
          <w:color w:val="000000"/>
          <w:sz w:val="24"/>
          <w:szCs w:val="24"/>
          <w:lang w:eastAsia="fr-FR"/>
        </w:rPr>
        <w:t xml:space="preserve">faciles à comprendre seront communiquées aux travailleurs du projet sur </w:t>
      </w:r>
      <w:r>
        <w:rPr>
          <w:rFonts w:ascii="Times New Roman" w:eastAsia="Times New Roman" w:hAnsi="Times New Roman"/>
          <w:bCs/>
          <w:color w:val="000000"/>
          <w:sz w:val="24"/>
          <w:szCs w:val="24"/>
          <w:lang w:eastAsia="fr-FR"/>
        </w:rPr>
        <w:t xml:space="preserve">leurs conditions d’emploi. Ces </w:t>
      </w:r>
      <w:r w:rsidRPr="0018441D">
        <w:rPr>
          <w:rFonts w:ascii="Times New Roman" w:eastAsia="Times New Roman" w:hAnsi="Times New Roman"/>
          <w:bCs/>
          <w:color w:val="000000"/>
          <w:sz w:val="24"/>
          <w:szCs w:val="24"/>
          <w:lang w:eastAsia="fr-FR"/>
        </w:rPr>
        <w:t xml:space="preserve">informations et documents décriront les droits des travailleurs au regard de la législation </w:t>
      </w:r>
      <w:r>
        <w:rPr>
          <w:rFonts w:ascii="Times New Roman" w:eastAsia="Times New Roman" w:hAnsi="Times New Roman"/>
          <w:bCs/>
          <w:color w:val="000000"/>
          <w:sz w:val="24"/>
          <w:szCs w:val="24"/>
          <w:lang w:eastAsia="fr-FR"/>
        </w:rPr>
        <w:t xml:space="preserve">nationale du travail </w:t>
      </w:r>
      <w:r w:rsidRPr="0018441D">
        <w:rPr>
          <w:rFonts w:ascii="Times New Roman" w:eastAsia="Times New Roman" w:hAnsi="Times New Roman"/>
          <w:bCs/>
          <w:color w:val="000000"/>
          <w:sz w:val="24"/>
          <w:szCs w:val="24"/>
          <w:lang w:eastAsia="fr-FR"/>
        </w:rPr>
        <w:t>(y compris des convent</w:t>
      </w:r>
      <w:r>
        <w:rPr>
          <w:rFonts w:ascii="Times New Roman" w:eastAsia="Times New Roman" w:hAnsi="Times New Roman"/>
          <w:bCs/>
          <w:color w:val="000000"/>
          <w:sz w:val="24"/>
          <w:szCs w:val="24"/>
          <w:lang w:eastAsia="fr-FR"/>
        </w:rPr>
        <w:t xml:space="preserve">ions collectives applicables), </w:t>
      </w:r>
      <w:r w:rsidRPr="0018441D">
        <w:rPr>
          <w:rFonts w:ascii="Times New Roman" w:eastAsia="Times New Roman" w:hAnsi="Times New Roman"/>
          <w:bCs/>
          <w:color w:val="000000"/>
          <w:sz w:val="24"/>
          <w:szCs w:val="24"/>
          <w:lang w:eastAsia="fr-FR"/>
        </w:rPr>
        <w:t>notamment leurs droits en matière de temps de travail, de salaire, d’heures supplémentaires, de rémunération et d’avantages soci</w:t>
      </w:r>
      <w:r>
        <w:rPr>
          <w:rFonts w:ascii="Times New Roman" w:eastAsia="Times New Roman" w:hAnsi="Times New Roman"/>
          <w:bCs/>
          <w:color w:val="000000"/>
          <w:sz w:val="24"/>
          <w:szCs w:val="24"/>
          <w:lang w:eastAsia="fr-FR"/>
        </w:rPr>
        <w:t xml:space="preserve">aux ainsi que tout autre droit </w:t>
      </w:r>
      <w:r w:rsidRPr="0018441D">
        <w:rPr>
          <w:rFonts w:ascii="Times New Roman" w:eastAsia="Times New Roman" w:hAnsi="Times New Roman"/>
          <w:bCs/>
          <w:color w:val="000000"/>
          <w:sz w:val="24"/>
          <w:szCs w:val="24"/>
          <w:lang w:eastAsia="fr-FR"/>
        </w:rPr>
        <w:t>mentionné dans la présente NES .Cette documentation et ces informations</w:t>
      </w:r>
      <w:r>
        <w:rPr>
          <w:rFonts w:ascii="Times New Roman" w:eastAsia="Times New Roman" w:hAnsi="Times New Roman"/>
          <w:bCs/>
          <w:color w:val="000000"/>
          <w:sz w:val="24"/>
          <w:szCs w:val="24"/>
          <w:lang w:eastAsia="fr-FR"/>
        </w:rPr>
        <w:t xml:space="preserve"> seront mises à disposition au </w:t>
      </w:r>
      <w:r w:rsidRPr="0018441D">
        <w:rPr>
          <w:rFonts w:ascii="Times New Roman" w:eastAsia="Times New Roman" w:hAnsi="Times New Roman"/>
          <w:bCs/>
          <w:color w:val="000000"/>
          <w:sz w:val="24"/>
          <w:szCs w:val="24"/>
          <w:lang w:eastAsia="fr-FR"/>
        </w:rPr>
        <w:t>début de la relation de travail et en cas de modification importante des conditions d’emploi .</w:t>
      </w:r>
    </w:p>
    <w:p w:rsidR="00764FFF" w:rsidRPr="0018441D" w:rsidRDefault="00764FFF" w:rsidP="00764FFF">
      <w:pPr>
        <w:shd w:val="clear" w:color="auto" w:fill="FFFFFF"/>
        <w:spacing w:after="150" w:line="240" w:lineRule="auto"/>
        <w:jc w:val="both"/>
        <w:rPr>
          <w:rFonts w:ascii="Times New Roman" w:eastAsia="Times New Roman" w:hAnsi="Times New Roman"/>
          <w:bCs/>
          <w:color w:val="000000"/>
          <w:sz w:val="24"/>
          <w:szCs w:val="24"/>
          <w:lang w:eastAsia="fr-FR"/>
        </w:rPr>
      </w:pPr>
      <w:r w:rsidRPr="0018441D">
        <w:rPr>
          <w:rFonts w:ascii="Times New Roman" w:eastAsia="Times New Roman" w:hAnsi="Times New Roman"/>
          <w:bCs/>
          <w:color w:val="000000"/>
          <w:sz w:val="24"/>
          <w:szCs w:val="24"/>
          <w:lang w:eastAsia="fr-FR"/>
        </w:rPr>
        <w:t>Les travailleurs du projet seront rémunérés sur une base régulière, conformém</w:t>
      </w:r>
      <w:r>
        <w:rPr>
          <w:rFonts w:ascii="Times New Roman" w:eastAsia="Times New Roman" w:hAnsi="Times New Roman"/>
          <w:bCs/>
          <w:color w:val="000000"/>
          <w:sz w:val="24"/>
          <w:szCs w:val="24"/>
          <w:lang w:eastAsia="fr-FR"/>
        </w:rPr>
        <w:t xml:space="preserve">ent à la législation nationale </w:t>
      </w:r>
      <w:r w:rsidRPr="0018441D">
        <w:rPr>
          <w:rFonts w:ascii="Times New Roman" w:eastAsia="Times New Roman" w:hAnsi="Times New Roman"/>
          <w:bCs/>
          <w:color w:val="000000"/>
          <w:sz w:val="24"/>
          <w:szCs w:val="24"/>
          <w:lang w:eastAsia="fr-FR"/>
        </w:rPr>
        <w:t>et aux procédures de g</w:t>
      </w:r>
      <w:r>
        <w:rPr>
          <w:rFonts w:ascii="Times New Roman" w:eastAsia="Times New Roman" w:hAnsi="Times New Roman"/>
          <w:bCs/>
          <w:color w:val="000000"/>
          <w:sz w:val="24"/>
          <w:szCs w:val="24"/>
          <w:lang w:eastAsia="fr-FR"/>
        </w:rPr>
        <w:t xml:space="preserve">estion de la main-d’œuvre .Les </w:t>
      </w:r>
      <w:r w:rsidRPr="0018441D">
        <w:rPr>
          <w:rFonts w:ascii="Times New Roman" w:eastAsia="Times New Roman" w:hAnsi="Times New Roman"/>
          <w:bCs/>
          <w:color w:val="000000"/>
          <w:sz w:val="24"/>
          <w:szCs w:val="24"/>
          <w:lang w:eastAsia="fr-FR"/>
        </w:rPr>
        <w:t>retenues sur salaires s</w:t>
      </w:r>
      <w:r>
        <w:rPr>
          <w:rFonts w:ascii="Times New Roman" w:eastAsia="Times New Roman" w:hAnsi="Times New Roman"/>
          <w:bCs/>
          <w:color w:val="000000"/>
          <w:sz w:val="24"/>
          <w:szCs w:val="24"/>
          <w:lang w:eastAsia="fr-FR"/>
        </w:rPr>
        <w:t xml:space="preserve">eront effectuées uniquement en </w:t>
      </w:r>
      <w:r w:rsidRPr="0018441D">
        <w:rPr>
          <w:rFonts w:ascii="Times New Roman" w:eastAsia="Times New Roman" w:hAnsi="Times New Roman"/>
          <w:bCs/>
          <w:color w:val="000000"/>
          <w:sz w:val="24"/>
          <w:szCs w:val="24"/>
          <w:lang w:eastAsia="fr-FR"/>
        </w:rPr>
        <w:t>vertu du droit nationa</w:t>
      </w:r>
      <w:r>
        <w:rPr>
          <w:rFonts w:ascii="Times New Roman" w:eastAsia="Times New Roman" w:hAnsi="Times New Roman"/>
          <w:bCs/>
          <w:color w:val="000000"/>
          <w:sz w:val="24"/>
          <w:szCs w:val="24"/>
          <w:lang w:eastAsia="fr-FR"/>
        </w:rPr>
        <w:t xml:space="preserve">l ou des procédures de gestion </w:t>
      </w:r>
      <w:r w:rsidRPr="0018441D">
        <w:rPr>
          <w:rFonts w:ascii="Times New Roman" w:eastAsia="Times New Roman" w:hAnsi="Times New Roman"/>
          <w:bCs/>
          <w:color w:val="000000"/>
          <w:sz w:val="24"/>
          <w:szCs w:val="24"/>
          <w:lang w:eastAsia="fr-FR"/>
        </w:rPr>
        <w:t>de la main-d’œuvre, et les travaill</w:t>
      </w:r>
      <w:r>
        <w:rPr>
          <w:rFonts w:ascii="Times New Roman" w:eastAsia="Times New Roman" w:hAnsi="Times New Roman"/>
          <w:bCs/>
          <w:color w:val="000000"/>
          <w:sz w:val="24"/>
          <w:szCs w:val="24"/>
          <w:lang w:eastAsia="fr-FR"/>
        </w:rPr>
        <w:t xml:space="preserve">eurs du projet seront </w:t>
      </w:r>
      <w:r w:rsidRPr="0018441D">
        <w:rPr>
          <w:rFonts w:ascii="Times New Roman" w:eastAsia="Times New Roman" w:hAnsi="Times New Roman"/>
          <w:bCs/>
          <w:color w:val="000000"/>
          <w:sz w:val="24"/>
          <w:szCs w:val="24"/>
          <w:lang w:eastAsia="fr-FR"/>
        </w:rPr>
        <w:t>informés des condition</w:t>
      </w:r>
      <w:r>
        <w:rPr>
          <w:rFonts w:ascii="Times New Roman" w:eastAsia="Times New Roman" w:hAnsi="Times New Roman"/>
          <w:bCs/>
          <w:color w:val="000000"/>
          <w:sz w:val="24"/>
          <w:szCs w:val="24"/>
          <w:lang w:eastAsia="fr-FR"/>
        </w:rPr>
        <w:t xml:space="preserve">s dans lesquelles ces retenues </w:t>
      </w:r>
      <w:r w:rsidRPr="0018441D">
        <w:rPr>
          <w:rFonts w:ascii="Times New Roman" w:eastAsia="Times New Roman" w:hAnsi="Times New Roman"/>
          <w:bCs/>
          <w:color w:val="000000"/>
          <w:sz w:val="24"/>
          <w:szCs w:val="24"/>
          <w:lang w:eastAsia="fr-FR"/>
        </w:rPr>
        <w:t>sont faites .Les travailleur</w:t>
      </w:r>
      <w:r>
        <w:rPr>
          <w:rFonts w:ascii="Times New Roman" w:eastAsia="Times New Roman" w:hAnsi="Times New Roman"/>
          <w:bCs/>
          <w:color w:val="000000"/>
          <w:sz w:val="24"/>
          <w:szCs w:val="24"/>
          <w:lang w:eastAsia="fr-FR"/>
        </w:rPr>
        <w:t xml:space="preserve">s du projet auront droit à des </w:t>
      </w:r>
      <w:r w:rsidRPr="0018441D">
        <w:rPr>
          <w:rFonts w:ascii="Times New Roman" w:eastAsia="Times New Roman" w:hAnsi="Times New Roman"/>
          <w:bCs/>
          <w:color w:val="000000"/>
          <w:sz w:val="24"/>
          <w:szCs w:val="24"/>
          <w:lang w:eastAsia="fr-FR"/>
        </w:rPr>
        <w:t>périodes suffisantes d</w:t>
      </w:r>
      <w:r>
        <w:rPr>
          <w:rFonts w:ascii="Times New Roman" w:eastAsia="Times New Roman" w:hAnsi="Times New Roman"/>
          <w:bCs/>
          <w:color w:val="000000"/>
          <w:sz w:val="24"/>
          <w:szCs w:val="24"/>
          <w:lang w:eastAsia="fr-FR"/>
        </w:rPr>
        <w:t xml:space="preserve">e repos hebdomadaire, de congé </w:t>
      </w:r>
      <w:r w:rsidRPr="0018441D">
        <w:rPr>
          <w:rFonts w:ascii="Times New Roman" w:eastAsia="Times New Roman" w:hAnsi="Times New Roman"/>
          <w:bCs/>
          <w:color w:val="000000"/>
          <w:sz w:val="24"/>
          <w:szCs w:val="24"/>
          <w:lang w:eastAsia="fr-FR"/>
        </w:rPr>
        <w:t xml:space="preserve">annuel et de congé </w:t>
      </w:r>
      <w:r w:rsidRPr="0018441D">
        <w:rPr>
          <w:rFonts w:ascii="Times New Roman" w:eastAsia="Times New Roman" w:hAnsi="Times New Roman"/>
          <w:bCs/>
          <w:color w:val="000000"/>
          <w:sz w:val="24"/>
          <w:szCs w:val="24"/>
          <w:lang w:eastAsia="fr-FR"/>
        </w:rPr>
        <w:lastRenderedPageBreak/>
        <w:t>mal</w:t>
      </w:r>
      <w:r>
        <w:rPr>
          <w:rFonts w:ascii="Times New Roman" w:eastAsia="Times New Roman" w:hAnsi="Times New Roman"/>
          <w:bCs/>
          <w:color w:val="000000"/>
          <w:sz w:val="24"/>
          <w:szCs w:val="24"/>
          <w:lang w:eastAsia="fr-FR"/>
        </w:rPr>
        <w:t xml:space="preserve">adie, de congé maternité et de </w:t>
      </w:r>
      <w:r w:rsidRPr="0018441D">
        <w:rPr>
          <w:rFonts w:ascii="Times New Roman" w:eastAsia="Times New Roman" w:hAnsi="Times New Roman"/>
          <w:bCs/>
          <w:color w:val="000000"/>
          <w:sz w:val="24"/>
          <w:szCs w:val="24"/>
          <w:lang w:eastAsia="fr-FR"/>
        </w:rPr>
        <w:t>congé pour raison familia</w:t>
      </w:r>
      <w:r>
        <w:rPr>
          <w:rFonts w:ascii="Times New Roman" w:eastAsia="Times New Roman" w:hAnsi="Times New Roman"/>
          <w:bCs/>
          <w:color w:val="000000"/>
          <w:sz w:val="24"/>
          <w:szCs w:val="24"/>
          <w:lang w:eastAsia="fr-FR"/>
        </w:rPr>
        <w:t xml:space="preserve">le, en vertu du droit national </w:t>
      </w:r>
      <w:r w:rsidRPr="0018441D">
        <w:rPr>
          <w:rFonts w:ascii="Times New Roman" w:eastAsia="Times New Roman" w:hAnsi="Times New Roman"/>
          <w:bCs/>
          <w:color w:val="000000"/>
          <w:sz w:val="24"/>
          <w:szCs w:val="24"/>
          <w:lang w:eastAsia="fr-FR"/>
        </w:rPr>
        <w:t>et des procédures de gestion de la main-d’œuvre .</w:t>
      </w:r>
    </w:p>
    <w:p w:rsidR="00764FFF" w:rsidRDefault="00764FFF" w:rsidP="00764FFF">
      <w:pPr>
        <w:shd w:val="clear" w:color="auto" w:fill="FFFFFF"/>
        <w:spacing w:after="150" w:line="240" w:lineRule="auto"/>
        <w:jc w:val="both"/>
        <w:rPr>
          <w:rFonts w:ascii="Times New Roman" w:eastAsia="Times New Roman" w:hAnsi="Times New Roman"/>
          <w:bCs/>
          <w:color w:val="000000"/>
          <w:sz w:val="24"/>
          <w:szCs w:val="24"/>
          <w:lang w:eastAsia="fr-FR"/>
        </w:rPr>
      </w:pPr>
      <w:r w:rsidRPr="0018441D">
        <w:rPr>
          <w:rFonts w:ascii="Times New Roman" w:eastAsia="Times New Roman" w:hAnsi="Times New Roman"/>
          <w:bCs/>
          <w:color w:val="000000"/>
          <w:sz w:val="24"/>
          <w:szCs w:val="24"/>
          <w:lang w:eastAsia="fr-FR"/>
        </w:rPr>
        <w:t xml:space="preserve">Lorsque le droit national ou les procédures de gestion de la main-d’œuvre </w:t>
      </w:r>
      <w:r>
        <w:rPr>
          <w:rFonts w:ascii="Times New Roman" w:eastAsia="Times New Roman" w:hAnsi="Times New Roman"/>
          <w:bCs/>
          <w:color w:val="000000"/>
          <w:sz w:val="24"/>
          <w:szCs w:val="24"/>
          <w:lang w:eastAsia="fr-FR"/>
        </w:rPr>
        <w:t xml:space="preserve">l’exigent, les travailleurs du </w:t>
      </w:r>
      <w:r w:rsidRPr="0018441D">
        <w:rPr>
          <w:rFonts w:ascii="Times New Roman" w:eastAsia="Times New Roman" w:hAnsi="Times New Roman"/>
          <w:bCs/>
          <w:color w:val="000000"/>
          <w:sz w:val="24"/>
          <w:szCs w:val="24"/>
          <w:lang w:eastAsia="fr-FR"/>
        </w:rPr>
        <w:t>projet recevront par écrit un préavis de licenci</w:t>
      </w:r>
      <w:r>
        <w:rPr>
          <w:rFonts w:ascii="Times New Roman" w:eastAsia="Times New Roman" w:hAnsi="Times New Roman"/>
          <w:bCs/>
          <w:color w:val="000000"/>
          <w:sz w:val="24"/>
          <w:szCs w:val="24"/>
          <w:lang w:eastAsia="fr-FR"/>
        </w:rPr>
        <w:t xml:space="preserve">ement </w:t>
      </w:r>
      <w:r w:rsidRPr="0018441D">
        <w:rPr>
          <w:rFonts w:ascii="Times New Roman" w:eastAsia="Times New Roman" w:hAnsi="Times New Roman"/>
          <w:bCs/>
          <w:color w:val="000000"/>
          <w:sz w:val="24"/>
          <w:szCs w:val="24"/>
          <w:lang w:eastAsia="fr-FR"/>
        </w:rPr>
        <w:t xml:space="preserve">et des informations </w:t>
      </w:r>
      <w:r>
        <w:rPr>
          <w:rFonts w:ascii="Times New Roman" w:eastAsia="Times New Roman" w:hAnsi="Times New Roman"/>
          <w:bCs/>
          <w:color w:val="000000"/>
          <w:sz w:val="24"/>
          <w:szCs w:val="24"/>
          <w:lang w:eastAsia="fr-FR"/>
        </w:rPr>
        <w:t xml:space="preserve">sur leurs indemnités de départ dans les délais prescrits. Tous les salaires gagnés, les </w:t>
      </w:r>
      <w:r w:rsidRPr="0018441D">
        <w:rPr>
          <w:rFonts w:ascii="Times New Roman" w:eastAsia="Times New Roman" w:hAnsi="Times New Roman"/>
          <w:bCs/>
          <w:color w:val="000000"/>
          <w:sz w:val="24"/>
          <w:szCs w:val="24"/>
          <w:lang w:eastAsia="fr-FR"/>
        </w:rPr>
        <w:t>prestations de sécurité so</w:t>
      </w:r>
      <w:r>
        <w:rPr>
          <w:rFonts w:ascii="Times New Roman" w:eastAsia="Times New Roman" w:hAnsi="Times New Roman"/>
          <w:bCs/>
          <w:color w:val="000000"/>
          <w:sz w:val="24"/>
          <w:szCs w:val="24"/>
          <w:lang w:eastAsia="fr-FR"/>
        </w:rPr>
        <w:t xml:space="preserve">ciale, les contributions à une </w:t>
      </w:r>
      <w:r w:rsidRPr="0018441D">
        <w:rPr>
          <w:rFonts w:ascii="Times New Roman" w:eastAsia="Times New Roman" w:hAnsi="Times New Roman"/>
          <w:bCs/>
          <w:color w:val="000000"/>
          <w:sz w:val="24"/>
          <w:szCs w:val="24"/>
          <w:lang w:eastAsia="fr-FR"/>
        </w:rPr>
        <w:t>caisse de retraite et tou</w:t>
      </w:r>
      <w:r>
        <w:rPr>
          <w:rFonts w:ascii="Times New Roman" w:eastAsia="Times New Roman" w:hAnsi="Times New Roman"/>
          <w:bCs/>
          <w:color w:val="000000"/>
          <w:sz w:val="24"/>
          <w:szCs w:val="24"/>
          <w:lang w:eastAsia="fr-FR"/>
        </w:rPr>
        <w:t xml:space="preserve">t autre avantage social seront </w:t>
      </w:r>
      <w:r w:rsidRPr="0018441D">
        <w:rPr>
          <w:rFonts w:ascii="Times New Roman" w:eastAsia="Times New Roman" w:hAnsi="Times New Roman"/>
          <w:bCs/>
          <w:color w:val="000000"/>
          <w:sz w:val="24"/>
          <w:szCs w:val="24"/>
          <w:lang w:eastAsia="fr-FR"/>
        </w:rPr>
        <w:t xml:space="preserve">versés avant ou à la date </w:t>
      </w:r>
      <w:r>
        <w:rPr>
          <w:rFonts w:ascii="Times New Roman" w:eastAsia="Times New Roman" w:hAnsi="Times New Roman"/>
          <w:bCs/>
          <w:color w:val="000000"/>
          <w:sz w:val="24"/>
          <w:szCs w:val="24"/>
          <w:lang w:eastAsia="fr-FR"/>
        </w:rPr>
        <w:t xml:space="preserve">de cessation de la relation de </w:t>
      </w:r>
      <w:r w:rsidRPr="0018441D">
        <w:rPr>
          <w:rFonts w:ascii="Times New Roman" w:eastAsia="Times New Roman" w:hAnsi="Times New Roman"/>
          <w:bCs/>
          <w:color w:val="000000"/>
          <w:sz w:val="24"/>
          <w:szCs w:val="24"/>
          <w:lang w:eastAsia="fr-FR"/>
        </w:rPr>
        <w:t>travail, soit directement aux travailleurs du projet soit,</w:t>
      </w:r>
      <w:r w:rsidRPr="00460702">
        <w:t xml:space="preserve"> </w:t>
      </w:r>
      <w:r w:rsidRPr="00460702">
        <w:rPr>
          <w:rFonts w:ascii="Times New Roman" w:eastAsia="Times New Roman" w:hAnsi="Times New Roman"/>
          <w:bCs/>
          <w:color w:val="000000"/>
          <w:sz w:val="24"/>
          <w:szCs w:val="24"/>
          <w:lang w:eastAsia="fr-FR"/>
        </w:rPr>
        <w:t xml:space="preserve">le cas échéant, pour le </w:t>
      </w:r>
      <w:r>
        <w:rPr>
          <w:rFonts w:ascii="Times New Roman" w:eastAsia="Times New Roman" w:hAnsi="Times New Roman"/>
          <w:bCs/>
          <w:color w:val="000000"/>
          <w:sz w:val="24"/>
          <w:szCs w:val="24"/>
          <w:lang w:eastAsia="fr-FR"/>
        </w:rPr>
        <w:t xml:space="preserve">compte de ceux-ci. Lorsque les </w:t>
      </w:r>
      <w:r w:rsidRPr="00460702">
        <w:rPr>
          <w:rFonts w:ascii="Times New Roman" w:eastAsia="Times New Roman" w:hAnsi="Times New Roman"/>
          <w:bCs/>
          <w:color w:val="000000"/>
          <w:sz w:val="24"/>
          <w:szCs w:val="24"/>
          <w:lang w:eastAsia="fr-FR"/>
        </w:rPr>
        <w:t>paiements sont versés p</w:t>
      </w:r>
      <w:r>
        <w:rPr>
          <w:rFonts w:ascii="Times New Roman" w:eastAsia="Times New Roman" w:hAnsi="Times New Roman"/>
          <w:bCs/>
          <w:color w:val="000000"/>
          <w:sz w:val="24"/>
          <w:szCs w:val="24"/>
          <w:lang w:eastAsia="fr-FR"/>
        </w:rPr>
        <w:t xml:space="preserve">our le compte des travailleurs </w:t>
      </w:r>
      <w:r w:rsidRPr="00460702">
        <w:rPr>
          <w:rFonts w:ascii="Times New Roman" w:eastAsia="Times New Roman" w:hAnsi="Times New Roman"/>
          <w:bCs/>
          <w:color w:val="000000"/>
          <w:sz w:val="24"/>
          <w:szCs w:val="24"/>
          <w:lang w:eastAsia="fr-FR"/>
        </w:rPr>
        <w:t>du projet, les justificatifs de ces paiements leu</w:t>
      </w:r>
      <w:r>
        <w:rPr>
          <w:rFonts w:ascii="Times New Roman" w:eastAsia="Times New Roman" w:hAnsi="Times New Roman"/>
          <w:bCs/>
          <w:color w:val="000000"/>
          <w:sz w:val="24"/>
          <w:szCs w:val="24"/>
          <w:lang w:eastAsia="fr-FR"/>
        </w:rPr>
        <w:t xml:space="preserve">r seront </w:t>
      </w:r>
      <w:r w:rsidRPr="00460702">
        <w:rPr>
          <w:rFonts w:ascii="Times New Roman" w:eastAsia="Times New Roman" w:hAnsi="Times New Roman"/>
          <w:bCs/>
          <w:color w:val="000000"/>
          <w:sz w:val="24"/>
          <w:szCs w:val="24"/>
          <w:lang w:eastAsia="fr-FR"/>
        </w:rPr>
        <w:t>fournis</w:t>
      </w:r>
      <w:r>
        <w:rPr>
          <w:rFonts w:ascii="Times New Roman" w:eastAsia="Times New Roman" w:hAnsi="Times New Roman"/>
          <w:bCs/>
          <w:color w:val="000000"/>
          <w:sz w:val="24"/>
          <w:szCs w:val="24"/>
          <w:lang w:eastAsia="fr-FR"/>
        </w:rPr>
        <w:t>.</w:t>
      </w:r>
    </w:p>
    <w:p w:rsidR="00764FFF" w:rsidRPr="00EA0E20" w:rsidRDefault="00764FFF" w:rsidP="00FA3FAE">
      <w:pPr>
        <w:numPr>
          <w:ilvl w:val="0"/>
          <w:numId w:val="139"/>
        </w:numPr>
        <w:shd w:val="clear" w:color="auto" w:fill="FFFFFF"/>
        <w:spacing w:after="150" w:line="240" w:lineRule="auto"/>
        <w:contextualSpacing/>
        <w:jc w:val="both"/>
        <w:rPr>
          <w:rFonts w:ascii="Times New Roman" w:eastAsia="Times New Roman" w:hAnsi="Times New Roman"/>
          <w:b/>
          <w:bCs/>
          <w:color w:val="000000"/>
          <w:sz w:val="24"/>
          <w:szCs w:val="24"/>
          <w:lang w:eastAsia="fr-FR"/>
        </w:rPr>
      </w:pPr>
      <w:r w:rsidRPr="00EA0E20">
        <w:rPr>
          <w:rFonts w:ascii="Times New Roman" w:eastAsia="Times New Roman" w:hAnsi="Times New Roman"/>
          <w:b/>
          <w:bCs/>
          <w:color w:val="000000"/>
          <w:sz w:val="24"/>
          <w:szCs w:val="24"/>
          <w:lang w:eastAsia="fr-FR"/>
        </w:rPr>
        <w:t xml:space="preserve">Organisations de travailleurs </w:t>
      </w:r>
    </w:p>
    <w:p w:rsidR="00764FFF" w:rsidRDefault="00764FFF" w:rsidP="00764FFF">
      <w:pPr>
        <w:shd w:val="clear" w:color="auto" w:fill="FFFFFF"/>
        <w:spacing w:after="150" w:line="240" w:lineRule="auto"/>
        <w:jc w:val="both"/>
        <w:rPr>
          <w:rFonts w:ascii="Times New Roman" w:eastAsia="Times New Roman" w:hAnsi="Times New Roman"/>
          <w:bCs/>
          <w:color w:val="000000"/>
          <w:sz w:val="24"/>
          <w:szCs w:val="24"/>
          <w:lang w:eastAsia="fr-FR"/>
        </w:rPr>
      </w:pPr>
      <w:r w:rsidRPr="0028235B">
        <w:rPr>
          <w:rFonts w:ascii="Times New Roman" w:eastAsia="Times New Roman" w:hAnsi="Times New Roman"/>
          <w:bCs/>
          <w:color w:val="000000"/>
          <w:sz w:val="24"/>
          <w:szCs w:val="24"/>
          <w:lang w:eastAsia="fr-FR"/>
        </w:rPr>
        <w:t xml:space="preserve">Dans les pays où </w:t>
      </w:r>
      <w:r>
        <w:rPr>
          <w:rFonts w:ascii="Times New Roman" w:eastAsia="Times New Roman" w:hAnsi="Times New Roman"/>
          <w:bCs/>
          <w:color w:val="000000"/>
          <w:sz w:val="24"/>
          <w:szCs w:val="24"/>
          <w:lang w:eastAsia="fr-FR"/>
        </w:rPr>
        <w:t xml:space="preserve">le droit national reconnaît le </w:t>
      </w:r>
      <w:r w:rsidRPr="0028235B">
        <w:rPr>
          <w:rFonts w:ascii="Times New Roman" w:eastAsia="Times New Roman" w:hAnsi="Times New Roman"/>
          <w:bCs/>
          <w:color w:val="000000"/>
          <w:sz w:val="24"/>
          <w:szCs w:val="24"/>
          <w:lang w:eastAsia="fr-FR"/>
        </w:rPr>
        <w:t>droit des travailleurs à s</w:t>
      </w:r>
      <w:r>
        <w:rPr>
          <w:rFonts w:ascii="Times New Roman" w:eastAsia="Times New Roman" w:hAnsi="Times New Roman"/>
          <w:bCs/>
          <w:color w:val="000000"/>
          <w:sz w:val="24"/>
          <w:szCs w:val="24"/>
          <w:lang w:eastAsia="fr-FR"/>
        </w:rPr>
        <w:t xml:space="preserve">e constituer en association, à </w:t>
      </w:r>
      <w:r w:rsidRPr="0028235B">
        <w:rPr>
          <w:rFonts w:ascii="Times New Roman" w:eastAsia="Times New Roman" w:hAnsi="Times New Roman"/>
          <w:bCs/>
          <w:color w:val="000000"/>
          <w:sz w:val="24"/>
          <w:szCs w:val="24"/>
          <w:lang w:eastAsia="fr-FR"/>
        </w:rPr>
        <w:t>adhérer à une organisati</w:t>
      </w:r>
      <w:r>
        <w:rPr>
          <w:rFonts w:ascii="Times New Roman" w:eastAsia="Times New Roman" w:hAnsi="Times New Roman"/>
          <w:bCs/>
          <w:color w:val="000000"/>
          <w:sz w:val="24"/>
          <w:szCs w:val="24"/>
          <w:lang w:eastAsia="fr-FR"/>
        </w:rPr>
        <w:t xml:space="preserve">on de leur choix et à négocier </w:t>
      </w:r>
      <w:r w:rsidRPr="0028235B">
        <w:rPr>
          <w:rFonts w:ascii="Times New Roman" w:eastAsia="Times New Roman" w:hAnsi="Times New Roman"/>
          <w:bCs/>
          <w:color w:val="000000"/>
          <w:sz w:val="24"/>
          <w:szCs w:val="24"/>
          <w:lang w:eastAsia="fr-FR"/>
        </w:rPr>
        <w:t>collectivement sans in</w:t>
      </w:r>
      <w:r>
        <w:rPr>
          <w:rFonts w:ascii="Times New Roman" w:eastAsia="Times New Roman" w:hAnsi="Times New Roman"/>
          <w:bCs/>
          <w:color w:val="000000"/>
          <w:sz w:val="24"/>
          <w:szCs w:val="24"/>
          <w:lang w:eastAsia="fr-FR"/>
        </w:rPr>
        <w:t xml:space="preserve">gérence aucune, le projet sera </w:t>
      </w:r>
      <w:r w:rsidRPr="0028235B">
        <w:rPr>
          <w:rFonts w:ascii="Times New Roman" w:eastAsia="Times New Roman" w:hAnsi="Times New Roman"/>
          <w:bCs/>
          <w:color w:val="000000"/>
          <w:sz w:val="24"/>
          <w:szCs w:val="24"/>
          <w:lang w:eastAsia="fr-FR"/>
        </w:rPr>
        <w:t>mis en œuvre conformément au droit national.</w:t>
      </w:r>
      <w:r>
        <w:rPr>
          <w:rFonts w:ascii="Times New Roman" w:eastAsia="Times New Roman" w:hAnsi="Times New Roman"/>
          <w:bCs/>
          <w:color w:val="000000"/>
          <w:sz w:val="24"/>
          <w:szCs w:val="24"/>
          <w:lang w:eastAsia="fr-FR"/>
        </w:rPr>
        <w:t xml:space="preserve"> </w:t>
      </w:r>
      <w:r w:rsidRPr="0028235B">
        <w:rPr>
          <w:rFonts w:ascii="Times New Roman" w:eastAsia="Times New Roman" w:hAnsi="Times New Roman"/>
          <w:bCs/>
          <w:color w:val="000000"/>
          <w:sz w:val="24"/>
          <w:szCs w:val="24"/>
          <w:lang w:eastAsia="fr-FR"/>
        </w:rPr>
        <w:t>Dans</w:t>
      </w:r>
      <w:r>
        <w:rPr>
          <w:rFonts w:ascii="Times New Roman" w:eastAsia="Times New Roman" w:hAnsi="Times New Roman"/>
          <w:bCs/>
          <w:color w:val="000000"/>
          <w:sz w:val="24"/>
          <w:szCs w:val="24"/>
          <w:lang w:eastAsia="fr-FR"/>
        </w:rPr>
        <w:t xml:space="preserve"> </w:t>
      </w:r>
      <w:r w:rsidRPr="0028235B">
        <w:rPr>
          <w:rFonts w:ascii="Times New Roman" w:eastAsia="Times New Roman" w:hAnsi="Times New Roman"/>
          <w:bCs/>
          <w:color w:val="000000"/>
          <w:sz w:val="24"/>
          <w:szCs w:val="24"/>
          <w:lang w:eastAsia="fr-FR"/>
        </w:rPr>
        <w:t>de telles circonstances</w:t>
      </w:r>
      <w:r>
        <w:rPr>
          <w:rFonts w:ascii="Times New Roman" w:eastAsia="Times New Roman" w:hAnsi="Times New Roman"/>
          <w:bCs/>
          <w:color w:val="000000"/>
          <w:sz w:val="24"/>
          <w:szCs w:val="24"/>
          <w:lang w:eastAsia="fr-FR"/>
        </w:rPr>
        <w:t xml:space="preserve">, le rôle des organisations de </w:t>
      </w:r>
      <w:r w:rsidRPr="0028235B">
        <w:rPr>
          <w:rFonts w:ascii="Times New Roman" w:eastAsia="Times New Roman" w:hAnsi="Times New Roman"/>
          <w:bCs/>
          <w:color w:val="000000"/>
          <w:sz w:val="24"/>
          <w:szCs w:val="24"/>
          <w:lang w:eastAsia="fr-FR"/>
        </w:rPr>
        <w:t>travailleurs constituées légalement et des représentants légitimes des travailleurs sera respecté, et des informations nécessaires à des négociations constructives leur seront fournies en temps opportun .Lorsque le droit national restreint le champ d’action des organisations de travailleurs, le projet n’empêchera pas les travailleurs du projet de mettre au point des mécanismes parallèles pour exprimer leurs griefs et protéger leurs droits en matiè</w:t>
      </w:r>
      <w:r>
        <w:rPr>
          <w:rFonts w:ascii="Times New Roman" w:eastAsia="Times New Roman" w:hAnsi="Times New Roman"/>
          <w:bCs/>
          <w:color w:val="000000"/>
          <w:sz w:val="24"/>
          <w:szCs w:val="24"/>
          <w:lang w:eastAsia="fr-FR"/>
        </w:rPr>
        <w:t xml:space="preserve">re de conditions de travail et </w:t>
      </w:r>
      <w:r w:rsidRPr="0028235B">
        <w:rPr>
          <w:rFonts w:ascii="Times New Roman" w:eastAsia="Times New Roman" w:hAnsi="Times New Roman"/>
          <w:bCs/>
          <w:color w:val="000000"/>
          <w:sz w:val="24"/>
          <w:szCs w:val="24"/>
          <w:lang w:eastAsia="fr-FR"/>
        </w:rPr>
        <w:t xml:space="preserve">d’emploi .L’Emprunteur ne doit pas chercher à influencer ou contrôler ces autres mécanismes .L’Emprunteur n’exercera aucune </w:t>
      </w:r>
      <w:r>
        <w:rPr>
          <w:rFonts w:ascii="Times New Roman" w:eastAsia="Times New Roman" w:hAnsi="Times New Roman"/>
          <w:bCs/>
          <w:color w:val="000000"/>
          <w:sz w:val="24"/>
          <w:szCs w:val="24"/>
          <w:lang w:eastAsia="fr-FR"/>
        </w:rPr>
        <w:t xml:space="preserve">discrimination et ne prendra </w:t>
      </w:r>
      <w:r w:rsidRPr="0028235B">
        <w:rPr>
          <w:rFonts w:ascii="Times New Roman" w:eastAsia="Times New Roman" w:hAnsi="Times New Roman"/>
          <w:bCs/>
          <w:color w:val="000000"/>
          <w:sz w:val="24"/>
          <w:szCs w:val="24"/>
          <w:lang w:eastAsia="fr-FR"/>
        </w:rPr>
        <w:t>aucune mesure en représ</w:t>
      </w:r>
      <w:r>
        <w:rPr>
          <w:rFonts w:ascii="Times New Roman" w:eastAsia="Times New Roman" w:hAnsi="Times New Roman"/>
          <w:bCs/>
          <w:color w:val="000000"/>
          <w:sz w:val="24"/>
          <w:szCs w:val="24"/>
          <w:lang w:eastAsia="fr-FR"/>
        </w:rPr>
        <w:t xml:space="preserve">ailles contre les travailleurs </w:t>
      </w:r>
      <w:r w:rsidRPr="0028235B">
        <w:rPr>
          <w:rFonts w:ascii="Times New Roman" w:eastAsia="Times New Roman" w:hAnsi="Times New Roman"/>
          <w:bCs/>
          <w:color w:val="000000"/>
          <w:sz w:val="24"/>
          <w:szCs w:val="24"/>
          <w:lang w:eastAsia="fr-FR"/>
        </w:rPr>
        <w:t>du projet qui particip</w:t>
      </w:r>
      <w:r>
        <w:rPr>
          <w:rFonts w:ascii="Times New Roman" w:eastAsia="Times New Roman" w:hAnsi="Times New Roman"/>
          <w:bCs/>
          <w:color w:val="000000"/>
          <w:sz w:val="24"/>
          <w:szCs w:val="24"/>
          <w:lang w:eastAsia="fr-FR"/>
        </w:rPr>
        <w:t xml:space="preserve">ent ou souhaitent participer à </w:t>
      </w:r>
      <w:r w:rsidRPr="0028235B">
        <w:rPr>
          <w:rFonts w:ascii="Times New Roman" w:eastAsia="Times New Roman" w:hAnsi="Times New Roman"/>
          <w:bCs/>
          <w:color w:val="000000"/>
          <w:sz w:val="24"/>
          <w:szCs w:val="24"/>
          <w:lang w:eastAsia="fr-FR"/>
        </w:rPr>
        <w:t>ces organisations et aux</w:t>
      </w:r>
      <w:r>
        <w:rPr>
          <w:rFonts w:ascii="Times New Roman" w:eastAsia="Times New Roman" w:hAnsi="Times New Roman"/>
          <w:bCs/>
          <w:color w:val="000000"/>
          <w:sz w:val="24"/>
          <w:szCs w:val="24"/>
          <w:lang w:eastAsia="fr-FR"/>
        </w:rPr>
        <w:t xml:space="preserve"> négociations collectives ou à </w:t>
      </w:r>
      <w:r w:rsidRPr="0028235B">
        <w:rPr>
          <w:rFonts w:ascii="Times New Roman" w:eastAsia="Times New Roman" w:hAnsi="Times New Roman"/>
          <w:bCs/>
          <w:color w:val="000000"/>
          <w:sz w:val="24"/>
          <w:szCs w:val="24"/>
          <w:lang w:eastAsia="fr-FR"/>
        </w:rPr>
        <w:t>d’autres mécanismes</w:t>
      </w:r>
      <w:r>
        <w:rPr>
          <w:rFonts w:ascii="Times New Roman" w:eastAsia="Times New Roman" w:hAnsi="Times New Roman"/>
          <w:bCs/>
          <w:color w:val="000000"/>
          <w:sz w:val="24"/>
          <w:szCs w:val="24"/>
          <w:lang w:eastAsia="fr-FR"/>
        </w:rPr>
        <w:t>.</w:t>
      </w:r>
    </w:p>
    <w:p w:rsidR="00764FFF" w:rsidRPr="0024237A" w:rsidRDefault="00764FFF" w:rsidP="00FA3FAE">
      <w:pPr>
        <w:numPr>
          <w:ilvl w:val="0"/>
          <w:numId w:val="139"/>
        </w:numPr>
        <w:shd w:val="clear" w:color="auto" w:fill="FFFFFF"/>
        <w:spacing w:after="150" w:line="240" w:lineRule="auto"/>
        <w:contextualSpacing/>
        <w:jc w:val="both"/>
        <w:rPr>
          <w:rFonts w:ascii="Times New Roman" w:eastAsia="Times New Roman" w:hAnsi="Times New Roman"/>
          <w:b/>
          <w:bCs/>
          <w:color w:val="000000"/>
          <w:sz w:val="24"/>
          <w:szCs w:val="24"/>
          <w:lang w:eastAsia="fr-FR"/>
        </w:rPr>
      </w:pPr>
      <w:r w:rsidRPr="0024237A">
        <w:rPr>
          <w:rFonts w:ascii="Times New Roman" w:eastAsia="Times New Roman" w:hAnsi="Times New Roman"/>
          <w:b/>
          <w:bCs/>
          <w:color w:val="000000"/>
          <w:sz w:val="24"/>
          <w:szCs w:val="24"/>
          <w:lang w:eastAsia="fr-FR"/>
        </w:rPr>
        <w:t xml:space="preserve">Code de conduite </w:t>
      </w:r>
    </w:p>
    <w:p w:rsidR="00764FFF" w:rsidRPr="006E0335" w:rsidRDefault="00764FFF" w:rsidP="00764FFF">
      <w:pPr>
        <w:pStyle w:val="Alinea"/>
        <w:spacing w:before="0"/>
        <w:rPr>
          <w:rFonts w:ascii="Times New Roman" w:hAnsi="Times New Roman" w:cs="Times New Roman"/>
          <w:sz w:val="24"/>
          <w:szCs w:val="24"/>
        </w:rPr>
      </w:pPr>
      <w:r w:rsidRPr="006E0335">
        <w:rPr>
          <w:rFonts w:ascii="Times New Roman" w:hAnsi="Times New Roman" w:cs="Times New Roman"/>
          <w:sz w:val="24"/>
          <w:szCs w:val="24"/>
        </w:rPr>
        <w:t>Le code de conduite s'impose à chacun des salariés dans l'ensemble de l'entreprise, en quelque endroit qu'il se trouve (lieu de travail, cantine, cours, parking, etc.).</w:t>
      </w:r>
    </w:p>
    <w:p w:rsidR="00764FFF" w:rsidRPr="006E0335" w:rsidRDefault="00764FFF" w:rsidP="00764FFF">
      <w:pPr>
        <w:pStyle w:val="Alinea"/>
        <w:spacing w:before="0"/>
        <w:rPr>
          <w:rFonts w:ascii="Times New Roman" w:hAnsi="Times New Roman" w:cs="Times New Roman"/>
          <w:sz w:val="24"/>
          <w:szCs w:val="24"/>
        </w:rPr>
      </w:pPr>
      <w:r w:rsidRPr="006E0335">
        <w:rPr>
          <w:rFonts w:ascii="Times New Roman" w:hAnsi="Times New Roman" w:cs="Times New Roman"/>
          <w:sz w:val="24"/>
          <w:szCs w:val="24"/>
        </w:rPr>
        <w:t>Les dispositions relatives à la discipline s'appliquent à l'ensemble des personnels présents dans l'entreprise y compris les intérimaires et stagiaires, ainsi qu'à toute personne qui exécute un travail dans l'entreprise, peu importe qu'elle soit liée ou non par un contrat de travail avec celle-ci. Il en est de même pour les règles d'hygiène et de sécurité.</w:t>
      </w:r>
    </w:p>
    <w:p w:rsidR="00764FFF" w:rsidRPr="006E0335" w:rsidRDefault="00764FFF" w:rsidP="00764FFF">
      <w:pPr>
        <w:pStyle w:val="Alinea"/>
        <w:spacing w:before="0"/>
        <w:rPr>
          <w:rFonts w:ascii="Times New Roman" w:hAnsi="Times New Roman" w:cs="Times New Roman"/>
          <w:sz w:val="24"/>
          <w:szCs w:val="24"/>
        </w:rPr>
      </w:pPr>
    </w:p>
    <w:p w:rsidR="00764FFF" w:rsidRPr="006E0335" w:rsidRDefault="00764FFF" w:rsidP="00764FFF">
      <w:pPr>
        <w:pStyle w:val="Alinea"/>
        <w:spacing w:before="0"/>
        <w:rPr>
          <w:rFonts w:ascii="Times New Roman" w:hAnsi="Times New Roman" w:cs="Times New Roman"/>
          <w:sz w:val="24"/>
          <w:szCs w:val="24"/>
        </w:rPr>
      </w:pPr>
      <w:r w:rsidRPr="006E0335">
        <w:rPr>
          <w:rFonts w:ascii="Times New Roman" w:hAnsi="Times New Roman" w:cs="Times New Roman"/>
          <w:sz w:val="24"/>
          <w:szCs w:val="24"/>
        </w:rPr>
        <w:t>Les règles relatives à la nature et à l'échelle des sanctions ne peuvent s'appliquer qu'aux salariés de l'entreprise. Il en est de même de la procédure disciplinaire.</w:t>
      </w:r>
    </w:p>
    <w:p w:rsidR="00764FFF" w:rsidRPr="006E0335" w:rsidRDefault="00764FFF" w:rsidP="00764FFF">
      <w:pPr>
        <w:pStyle w:val="Alinea"/>
        <w:spacing w:before="0"/>
        <w:rPr>
          <w:rFonts w:ascii="Times New Roman" w:hAnsi="Times New Roman" w:cs="Times New Roman"/>
          <w:sz w:val="24"/>
          <w:szCs w:val="24"/>
        </w:rPr>
      </w:pPr>
    </w:p>
    <w:p w:rsidR="00764FFF" w:rsidRPr="006E0335" w:rsidRDefault="00764FFF" w:rsidP="00764FFF">
      <w:pPr>
        <w:pStyle w:val="Alinea"/>
        <w:spacing w:before="0"/>
        <w:rPr>
          <w:rFonts w:ascii="Times New Roman" w:hAnsi="Times New Roman" w:cs="Times New Roman"/>
          <w:sz w:val="24"/>
          <w:szCs w:val="24"/>
        </w:rPr>
      </w:pPr>
      <w:r w:rsidRPr="006E0335">
        <w:rPr>
          <w:rFonts w:ascii="Times New Roman" w:hAnsi="Times New Roman" w:cs="Times New Roman"/>
          <w:sz w:val="24"/>
          <w:szCs w:val="24"/>
        </w:rPr>
        <w:t>Ainsi, ces règles suivront la liste ci-dessous :</w:t>
      </w:r>
    </w:p>
    <w:p w:rsidR="00764FFF" w:rsidRPr="006E0335" w:rsidRDefault="00764FFF" w:rsidP="00764FFF">
      <w:pPr>
        <w:pStyle w:val="Alinea"/>
        <w:spacing w:before="0"/>
        <w:rPr>
          <w:rFonts w:ascii="Times New Roman" w:hAnsi="Times New Roman" w:cs="Times New Roman"/>
          <w:sz w:val="24"/>
          <w:szCs w:val="24"/>
        </w:rPr>
      </w:pPr>
    </w:p>
    <w:p w:rsidR="00764FFF" w:rsidRPr="006E0335" w:rsidRDefault="00764FFF" w:rsidP="00FA3FAE">
      <w:pPr>
        <w:numPr>
          <w:ilvl w:val="0"/>
          <w:numId w:val="140"/>
        </w:numPr>
        <w:spacing w:after="0" w:line="240" w:lineRule="auto"/>
        <w:contextualSpacing/>
        <w:jc w:val="both"/>
        <w:rPr>
          <w:rFonts w:ascii="Times New Roman" w:hAnsi="Times New Roman"/>
          <w:sz w:val="24"/>
          <w:szCs w:val="24"/>
        </w:rPr>
      </w:pPr>
      <w:r w:rsidRPr="006E0335">
        <w:rPr>
          <w:rFonts w:ascii="Times New Roman" w:hAnsi="Times New Roman"/>
          <w:sz w:val="24"/>
          <w:szCs w:val="24"/>
        </w:rPr>
        <w:t>DISPOSITIONS GÉNÉRALES</w:t>
      </w:r>
    </w:p>
    <w:p w:rsidR="00764FFF" w:rsidRPr="00820701" w:rsidRDefault="00764FFF" w:rsidP="00764FFF">
      <w:pPr>
        <w:numPr>
          <w:ilvl w:val="0"/>
          <w:numId w:val="141"/>
        </w:numPr>
        <w:spacing w:after="0" w:line="240" w:lineRule="auto"/>
        <w:contextualSpacing/>
        <w:jc w:val="both"/>
        <w:rPr>
          <w:rFonts w:ascii="Times New Roman" w:hAnsi="Times New Roman"/>
          <w:sz w:val="24"/>
          <w:szCs w:val="24"/>
        </w:rPr>
      </w:pPr>
      <w:r w:rsidRPr="006E0335">
        <w:rPr>
          <w:rFonts w:ascii="Times New Roman" w:hAnsi="Times New Roman"/>
          <w:sz w:val="24"/>
          <w:szCs w:val="24"/>
        </w:rPr>
        <w:t>Objet et champ d’application</w:t>
      </w:r>
    </w:p>
    <w:p w:rsidR="00764FFF" w:rsidRPr="00F95B5B" w:rsidRDefault="00764FFF" w:rsidP="00FA3FAE">
      <w:pPr>
        <w:numPr>
          <w:ilvl w:val="0"/>
          <w:numId w:val="142"/>
        </w:numPr>
        <w:spacing w:after="0" w:line="240" w:lineRule="auto"/>
        <w:contextualSpacing/>
        <w:jc w:val="both"/>
        <w:rPr>
          <w:rFonts w:ascii="Times New Roman" w:hAnsi="Times New Roman"/>
        </w:rPr>
      </w:pPr>
      <w:r w:rsidRPr="00F95B5B">
        <w:rPr>
          <w:rFonts w:ascii="Times New Roman" w:hAnsi="Times New Roman"/>
        </w:rPr>
        <w:t>HYGIÈNE ET SÉCURITÉ</w:t>
      </w:r>
    </w:p>
    <w:p w:rsidR="00764FFF" w:rsidRPr="00F95B5B" w:rsidRDefault="00764FFF" w:rsidP="00FA3FAE">
      <w:pPr>
        <w:numPr>
          <w:ilvl w:val="0"/>
          <w:numId w:val="142"/>
        </w:numPr>
        <w:spacing w:after="0" w:line="240" w:lineRule="auto"/>
        <w:contextualSpacing/>
        <w:jc w:val="both"/>
        <w:rPr>
          <w:rFonts w:ascii="Times New Roman" w:hAnsi="Times New Roman"/>
        </w:rPr>
      </w:pPr>
      <w:r w:rsidRPr="00F95B5B">
        <w:rPr>
          <w:rFonts w:ascii="Times New Roman" w:hAnsi="Times New Roman"/>
        </w:rPr>
        <w:t>DISCIPLINE</w:t>
      </w:r>
    </w:p>
    <w:p w:rsidR="00764FFF" w:rsidRPr="00F95B5B" w:rsidRDefault="00764FFF" w:rsidP="00FA3FAE">
      <w:pPr>
        <w:numPr>
          <w:ilvl w:val="0"/>
          <w:numId w:val="143"/>
        </w:numPr>
        <w:spacing w:after="0" w:line="240" w:lineRule="auto"/>
        <w:contextualSpacing/>
        <w:jc w:val="both"/>
        <w:rPr>
          <w:rFonts w:ascii="Times New Roman" w:hAnsi="Times New Roman"/>
        </w:rPr>
      </w:pPr>
      <w:r w:rsidRPr="00F95B5B">
        <w:rPr>
          <w:rFonts w:ascii="Times New Roman" w:hAnsi="Times New Roman"/>
        </w:rPr>
        <w:t>Respect des instructions</w:t>
      </w:r>
    </w:p>
    <w:p w:rsidR="00764FFF" w:rsidRPr="00F95B5B" w:rsidRDefault="00764FFF" w:rsidP="00FA3FAE">
      <w:pPr>
        <w:numPr>
          <w:ilvl w:val="0"/>
          <w:numId w:val="143"/>
        </w:numPr>
        <w:spacing w:after="0" w:line="240" w:lineRule="auto"/>
        <w:contextualSpacing/>
        <w:jc w:val="both"/>
        <w:rPr>
          <w:rFonts w:ascii="Times New Roman" w:hAnsi="Times New Roman"/>
        </w:rPr>
      </w:pPr>
      <w:r w:rsidRPr="00F95B5B">
        <w:rPr>
          <w:rFonts w:ascii="Times New Roman" w:hAnsi="Times New Roman"/>
        </w:rPr>
        <w:t>Horaires de travail</w:t>
      </w:r>
    </w:p>
    <w:p w:rsidR="00764FFF" w:rsidRPr="00F95B5B" w:rsidRDefault="00764FFF" w:rsidP="00FA3FAE">
      <w:pPr>
        <w:numPr>
          <w:ilvl w:val="0"/>
          <w:numId w:val="143"/>
        </w:numPr>
        <w:spacing w:after="0" w:line="240" w:lineRule="auto"/>
        <w:contextualSpacing/>
        <w:jc w:val="both"/>
        <w:rPr>
          <w:rFonts w:ascii="Times New Roman" w:hAnsi="Times New Roman"/>
        </w:rPr>
      </w:pPr>
      <w:r w:rsidRPr="00F95B5B">
        <w:rPr>
          <w:rFonts w:ascii="Times New Roman" w:hAnsi="Times New Roman"/>
        </w:rPr>
        <w:t>Accès aux locaux de travail</w:t>
      </w:r>
    </w:p>
    <w:p w:rsidR="00764FFF" w:rsidRPr="00F95B5B" w:rsidRDefault="00764FFF" w:rsidP="00FA3FAE">
      <w:pPr>
        <w:numPr>
          <w:ilvl w:val="0"/>
          <w:numId w:val="143"/>
        </w:numPr>
        <w:spacing w:after="0" w:line="240" w:lineRule="auto"/>
        <w:contextualSpacing/>
        <w:jc w:val="both"/>
        <w:rPr>
          <w:rFonts w:ascii="Times New Roman" w:hAnsi="Times New Roman"/>
        </w:rPr>
      </w:pPr>
      <w:r w:rsidRPr="00F95B5B">
        <w:rPr>
          <w:rFonts w:ascii="Times New Roman" w:hAnsi="Times New Roman"/>
        </w:rPr>
        <w:t>Absences et retards</w:t>
      </w:r>
    </w:p>
    <w:p w:rsidR="00764FFF" w:rsidRPr="00F95B5B" w:rsidRDefault="00764FFF" w:rsidP="00FA3FAE">
      <w:pPr>
        <w:numPr>
          <w:ilvl w:val="0"/>
          <w:numId w:val="143"/>
        </w:numPr>
        <w:spacing w:after="0" w:line="240" w:lineRule="auto"/>
        <w:contextualSpacing/>
        <w:jc w:val="both"/>
        <w:rPr>
          <w:rFonts w:ascii="Times New Roman" w:hAnsi="Times New Roman"/>
        </w:rPr>
      </w:pPr>
      <w:r w:rsidRPr="00F95B5B">
        <w:rPr>
          <w:rFonts w:ascii="Times New Roman" w:hAnsi="Times New Roman"/>
        </w:rPr>
        <w:t>Représentants du personnel</w:t>
      </w:r>
    </w:p>
    <w:p w:rsidR="00764FFF" w:rsidRPr="00F95B5B" w:rsidRDefault="00764FFF" w:rsidP="00FA3FAE">
      <w:pPr>
        <w:numPr>
          <w:ilvl w:val="0"/>
          <w:numId w:val="143"/>
        </w:numPr>
        <w:spacing w:after="0" w:line="240" w:lineRule="auto"/>
        <w:contextualSpacing/>
        <w:jc w:val="both"/>
        <w:rPr>
          <w:rFonts w:ascii="Times New Roman" w:hAnsi="Times New Roman"/>
        </w:rPr>
      </w:pPr>
      <w:r w:rsidRPr="00F95B5B">
        <w:rPr>
          <w:rFonts w:ascii="Times New Roman" w:hAnsi="Times New Roman"/>
        </w:rPr>
        <w:t>Usage du matériel et du téléphone de l’entreprise</w:t>
      </w:r>
    </w:p>
    <w:p w:rsidR="00764FFF" w:rsidRPr="00F95B5B" w:rsidRDefault="00764FFF" w:rsidP="00FA3FAE">
      <w:pPr>
        <w:numPr>
          <w:ilvl w:val="0"/>
          <w:numId w:val="143"/>
        </w:numPr>
        <w:spacing w:after="0" w:line="240" w:lineRule="auto"/>
        <w:contextualSpacing/>
        <w:jc w:val="both"/>
        <w:rPr>
          <w:rFonts w:ascii="Times New Roman" w:hAnsi="Times New Roman"/>
        </w:rPr>
      </w:pPr>
      <w:r w:rsidRPr="00F95B5B">
        <w:rPr>
          <w:rFonts w:ascii="Times New Roman" w:hAnsi="Times New Roman"/>
        </w:rPr>
        <w:t>Usage des locaux de l’entreprise</w:t>
      </w:r>
    </w:p>
    <w:p w:rsidR="00764FFF" w:rsidRPr="00F95B5B" w:rsidRDefault="00764FFF" w:rsidP="00FA3FAE">
      <w:pPr>
        <w:numPr>
          <w:ilvl w:val="0"/>
          <w:numId w:val="143"/>
        </w:numPr>
        <w:spacing w:after="0" w:line="240" w:lineRule="auto"/>
        <w:contextualSpacing/>
        <w:jc w:val="both"/>
        <w:rPr>
          <w:rFonts w:ascii="Times New Roman" w:hAnsi="Times New Roman"/>
        </w:rPr>
      </w:pPr>
      <w:r w:rsidRPr="00F95B5B">
        <w:rPr>
          <w:rFonts w:ascii="Times New Roman" w:hAnsi="Times New Roman"/>
        </w:rPr>
        <w:t>Utilisation des véhicules d’entreprise et véhicules personnels</w:t>
      </w:r>
    </w:p>
    <w:p w:rsidR="00764FFF" w:rsidRPr="00F95B5B" w:rsidRDefault="00764FFF" w:rsidP="00FA3FAE">
      <w:pPr>
        <w:numPr>
          <w:ilvl w:val="0"/>
          <w:numId w:val="142"/>
        </w:numPr>
        <w:spacing w:after="0" w:line="240" w:lineRule="auto"/>
        <w:contextualSpacing/>
        <w:jc w:val="both"/>
        <w:rPr>
          <w:rFonts w:ascii="Times New Roman" w:hAnsi="Times New Roman"/>
        </w:rPr>
      </w:pPr>
      <w:r w:rsidRPr="00F95B5B">
        <w:rPr>
          <w:rFonts w:ascii="Times New Roman" w:hAnsi="Times New Roman"/>
        </w:rPr>
        <w:t>SANCTIONS ET PROCÉDURE DISCIPLINAIRE</w:t>
      </w:r>
    </w:p>
    <w:p w:rsidR="00764FFF" w:rsidRPr="00F95B5B" w:rsidRDefault="00764FFF" w:rsidP="00FA3FAE">
      <w:pPr>
        <w:numPr>
          <w:ilvl w:val="0"/>
          <w:numId w:val="142"/>
        </w:numPr>
        <w:spacing w:after="0" w:line="240" w:lineRule="auto"/>
        <w:contextualSpacing/>
        <w:jc w:val="both"/>
        <w:rPr>
          <w:rFonts w:ascii="Times New Roman" w:hAnsi="Times New Roman"/>
        </w:rPr>
      </w:pPr>
      <w:r w:rsidRPr="00F95B5B">
        <w:rPr>
          <w:rFonts w:ascii="Times New Roman" w:hAnsi="Times New Roman"/>
        </w:rPr>
        <w:t>INTERDICTION ET SANCTIONS DU HARCÈLEMENT SEXUEL ET MORAL</w:t>
      </w:r>
    </w:p>
    <w:p w:rsidR="00764FFF" w:rsidRPr="00F95B5B" w:rsidRDefault="00764FFF" w:rsidP="00FA3FAE">
      <w:pPr>
        <w:numPr>
          <w:ilvl w:val="0"/>
          <w:numId w:val="142"/>
        </w:numPr>
        <w:spacing w:after="0" w:line="240" w:lineRule="auto"/>
        <w:contextualSpacing/>
        <w:jc w:val="both"/>
        <w:rPr>
          <w:b/>
        </w:rPr>
      </w:pPr>
      <w:r w:rsidRPr="00F95B5B">
        <w:rPr>
          <w:rFonts w:ascii="Times New Roman" w:hAnsi="Times New Roman"/>
        </w:rPr>
        <w:t>ENTRÉE EN VIGUEUR</w:t>
      </w:r>
    </w:p>
    <w:p w:rsidR="00764FFF" w:rsidRDefault="00764FFF" w:rsidP="00764FFF">
      <w:pPr>
        <w:shd w:val="clear" w:color="auto" w:fill="FFFFFF"/>
        <w:spacing w:after="150" w:line="240" w:lineRule="auto"/>
        <w:jc w:val="both"/>
        <w:rPr>
          <w:rFonts w:ascii="Times New Roman" w:eastAsia="Times New Roman" w:hAnsi="Times New Roman"/>
          <w:bCs/>
          <w:color w:val="000000"/>
          <w:sz w:val="24"/>
          <w:szCs w:val="24"/>
          <w:lang w:eastAsia="fr-FR"/>
        </w:rPr>
      </w:pPr>
    </w:p>
    <w:p w:rsidR="00764FFF" w:rsidRPr="004670AE" w:rsidRDefault="00764FFF" w:rsidP="00FA3FAE">
      <w:pPr>
        <w:numPr>
          <w:ilvl w:val="0"/>
          <w:numId w:val="138"/>
        </w:numPr>
        <w:shd w:val="clear" w:color="auto" w:fill="FFFFFF"/>
        <w:spacing w:after="150" w:line="240" w:lineRule="auto"/>
        <w:contextualSpacing/>
        <w:jc w:val="both"/>
        <w:rPr>
          <w:rFonts w:ascii="Times New Roman" w:eastAsia="Times New Roman" w:hAnsi="Times New Roman"/>
          <w:b/>
          <w:bCs/>
          <w:color w:val="000000"/>
          <w:sz w:val="24"/>
          <w:szCs w:val="24"/>
          <w:lang w:eastAsia="fr-FR"/>
        </w:rPr>
      </w:pPr>
      <w:r>
        <w:rPr>
          <w:rFonts w:ascii="Times New Roman" w:eastAsia="Times New Roman" w:hAnsi="Times New Roman"/>
          <w:b/>
          <w:bCs/>
          <w:color w:val="000000"/>
          <w:sz w:val="24"/>
          <w:szCs w:val="24"/>
          <w:lang w:eastAsia="fr-FR"/>
        </w:rPr>
        <w:t xml:space="preserve">FLUX DES TRAVAILLEURS </w:t>
      </w:r>
      <w:r w:rsidRPr="009C6FF3">
        <w:rPr>
          <w:rFonts w:ascii="Times New Roman" w:eastAsia="Times New Roman" w:hAnsi="Times New Roman"/>
          <w:b/>
          <w:bCs/>
          <w:color w:val="000000"/>
          <w:sz w:val="24"/>
          <w:szCs w:val="24"/>
          <w:lang w:eastAsia="fr-FR"/>
        </w:rPr>
        <w:t xml:space="preserve"> </w:t>
      </w:r>
    </w:p>
    <w:p w:rsidR="00764FFF" w:rsidRDefault="00764FFF" w:rsidP="00764FFF">
      <w:pPr>
        <w:shd w:val="clear" w:color="auto" w:fill="FFFFFF"/>
        <w:spacing w:after="150" w:line="240" w:lineRule="auto"/>
        <w:jc w:val="both"/>
        <w:rPr>
          <w:rFonts w:ascii="Times New Roman" w:eastAsia="Times New Roman" w:hAnsi="Times New Roman"/>
          <w:bCs/>
          <w:color w:val="000000"/>
          <w:sz w:val="24"/>
          <w:szCs w:val="24"/>
          <w:lang w:eastAsia="fr-FR"/>
        </w:rPr>
      </w:pPr>
      <w:r>
        <w:rPr>
          <w:rFonts w:ascii="Times New Roman" w:eastAsia="Times New Roman" w:hAnsi="Times New Roman"/>
          <w:bCs/>
          <w:color w:val="000000"/>
          <w:sz w:val="24"/>
          <w:szCs w:val="24"/>
          <w:lang w:eastAsia="fr-FR"/>
        </w:rPr>
        <w:lastRenderedPageBreak/>
        <w:t xml:space="preserve">Le rapport du Bureau International du Travail (BIT) sur la gestion des </w:t>
      </w:r>
      <w:r w:rsidRPr="00917121">
        <w:rPr>
          <w:rFonts w:ascii="Times New Roman" w:eastAsia="Times New Roman" w:hAnsi="Times New Roman"/>
          <w:bCs/>
          <w:color w:val="000000"/>
          <w:sz w:val="24"/>
          <w:szCs w:val="24"/>
          <w:lang w:eastAsia="fr-FR"/>
        </w:rPr>
        <w:t>migrations de main d’œuvre en tant qu’instrument de</w:t>
      </w:r>
      <w:r>
        <w:rPr>
          <w:rFonts w:ascii="Times New Roman" w:eastAsia="Times New Roman" w:hAnsi="Times New Roman"/>
          <w:bCs/>
          <w:color w:val="000000"/>
          <w:sz w:val="24"/>
          <w:szCs w:val="24"/>
          <w:lang w:eastAsia="fr-FR"/>
        </w:rPr>
        <w:t xml:space="preserve"> </w:t>
      </w:r>
      <w:r w:rsidRPr="00917121">
        <w:rPr>
          <w:rFonts w:ascii="Times New Roman" w:eastAsia="Times New Roman" w:hAnsi="Times New Roman"/>
          <w:bCs/>
          <w:color w:val="000000"/>
          <w:sz w:val="24"/>
          <w:szCs w:val="24"/>
          <w:lang w:eastAsia="fr-FR"/>
        </w:rPr>
        <w:t>développement</w:t>
      </w:r>
      <w:r>
        <w:rPr>
          <w:rFonts w:ascii="Times New Roman" w:eastAsia="Times New Roman" w:hAnsi="Times New Roman"/>
          <w:bCs/>
          <w:color w:val="000000"/>
          <w:sz w:val="24"/>
          <w:szCs w:val="24"/>
          <w:lang w:eastAsia="fr-FR"/>
        </w:rPr>
        <w:t xml:space="preserve"> publié en 2006, rappelle que le</w:t>
      </w:r>
      <w:r w:rsidRPr="00C06F42">
        <w:rPr>
          <w:rFonts w:ascii="Times New Roman" w:eastAsia="Times New Roman" w:hAnsi="Times New Roman"/>
          <w:bCs/>
          <w:color w:val="000000"/>
          <w:sz w:val="24"/>
          <w:szCs w:val="24"/>
          <w:lang w:eastAsia="fr-FR"/>
        </w:rPr>
        <w:t xml:space="preserve"> Sommet des chefs d’État a approuvé le passeport </w:t>
      </w:r>
      <w:r>
        <w:rPr>
          <w:rFonts w:ascii="Times New Roman" w:eastAsia="Times New Roman" w:hAnsi="Times New Roman"/>
          <w:bCs/>
          <w:color w:val="000000"/>
          <w:sz w:val="24"/>
          <w:szCs w:val="24"/>
          <w:lang w:eastAsia="fr-FR"/>
        </w:rPr>
        <w:t xml:space="preserve">de la CEDEAO en tant que </w:t>
      </w:r>
      <w:r w:rsidRPr="00C06F42">
        <w:rPr>
          <w:rFonts w:ascii="Times New Roman" w:eastAsia="Times New Roman" w:hAnsi="Times New Roman"/>
          <w:bCs/>
          <w:color w:val="000000"/>
          <w:sz w:val="24"/>
          <w:szCs w:val="24"/>
          <w:lang w:eastAsia="fr-FR"/>
        </w:rPr>
        <w:t>symbole d’unité appelé à remplacer progressivement les pas</w:t>
      </w:r>
      <w:r>
        <w:rPr>
          <w:rFonts w:ascii="Times New Roman" w:eastAsia="Times New Roman" w:hAnsi="Times New Roman"/>
          <w:bCs/>
          <w:color w:val="000000"/>
          <w:sz w:val="24"/>
          <w:szCs w:val="24"/>
          <w:lang w:eastAsia="fr-FR"/>
        </w:rPr>
        <w:t xml:space="preserve">seports nationaux sur une </w:t>
      </w:r>
      <w:r w:rsidRPr="00C06F42">
        <w:rPr>
          <w:rFonts w:ascii="Times New Roman" w:eastAsia="Times New Roman" w:hAnsi="Times New Roman"/>
          <w:bCs/>
          <w:color w:val="000000"/>
          <w:sz w:val="24"/>
          <w:szCs w:val="24"/>
          <w:lang w:eastAsia="fr-FR"/>
        </w:rPr>
        <w:t xml:space="preserve">période de transition de dix ans (CEDEAO, 2000). </w:t>
      </w:r>
    </w:p>
    <w:p w:rsidR="00764FFF" w:rsidRPr="00C06F42" w:rsidRDefault="00764FFF" w:rsidP="00764FFF">
      <w:pPr>
        <w:shd w:val="clear" w:color="auto" w:fill="FFFFFF"/>
        <w:spacing w:after="150" w:line="240" w:lineRule="auto"/>
        <w:jc w:val="both"/>
        <w:rPr>
          <w:rFonts w:ascii="Times New Roman" w:eastAsia="Times New Roman" w:hAnsi="Times New Roman"/>
          <w:bCs/>
          <w:color w:val="000000"/>
          <w:sz w:val="24"/>
          <w:szCs w:val="24"/>
          <w:lang w:eastAsia="fr-FR"/>
        </w:rPr>
      </w:pPr>
      <w:r w:rsidRPr="00C06F42">
        <w:rPr>
          <w:rFonts w:ascii="Times New Roman" w:eastAsia="Times New Roman" w:hAnsi="Times New Roman"/>
          <w:bCs/>
          <w:color w:val="000000"/>
          <w:sz w:val="24"/>
          <w:szCs w:val="24"/>
          <w:lang w:eastAsia="fr-FR"/>
        </w:rPr>
        <w:t>L</w:t>
      </w:r>
      <w:r>
        <w:rPr>
          <w:rFonts w:ascii="Times New Roman" w:eastAsia="Times New Roman" w:hAnsi="Times New Roman"/>
          <w:bCs/>
          <w:color w:val="000000"/>
          <w:sz w:val="24"/>
          <w:szCs w:val="24"/>
          <w:lang w:eastAsia="fr-FR"/>
        </w:rPr>
        <w:t xml:space="preserve">a suppression des formalités strictes </w:t>
      </w:r>
      <w:r w:rsidRPr="00C06F42">
        <w:rPr>
          <w:rFonts w:ascii="Times New Roman" w:eastAsia="Times New Roman" w:hAnsi="Times New Roman"/>
          <w:bCs/>
          <w:color w:val="000000"/>
          <w:sz w:val="24"/>
          <w:szCs w:val="24"/>
          <w:lang w:eastAsia="fr-FR"/>
        </w:rPr>
        <w:t>aux frontières et la modernisation des procédures</w:t>
      </w:r>
      <w:r>
        <w:rPr>
          <w:rFonts w:ascii="Times New Roman" w:eastAsia="Times New Roman" w:hAnsi="Times New Roman"/>
          <w:bCs/>
          <w:color w:val="000000"/>
          <w:sz w:val="24"/>
          <w:szCs w:val="24"/>
          <w:lang w:eastAsia="fr-FR"/>
        </w:rPr>
        <w:t xml:space="preserve"> frontalières grâce à </w:t>
      </w:r>
      <w:r w:rsidRPr="00C06F42">
        <w:rPr>
          <w:rFonts w:ascii="Times New Roman" w:eastAsia="Times New Roman" w:hAnsi="Times New Roman"/>
          <w:bCs/>
          <w:color w:val="000000"/>
          <w:sz w:val="24"/>
          <w:szCs w:val="24"/>
          <w:lang w:eastAsia="fr-FR"/>
        </w:rPr>
        <w:t xml:space="preserve">l’utilisation de lecteurs optiques des passeports ont été </w:t>
      </w:r>
      <w:r>
        <w:rPr>
          <w:rFonts w:ascii="Times New Roman" w:eastAsia="Times New Roman" w:hAnsi="Times New Roman"/>
          <w:bCs/>
          <w:color w:val="000000"/>
          <w:sz w:val="24"/>
          <w:szCs w:val="24"/>
          <w:lang w:eastAsia="fr-FR"/>
        </w:rPr>
        <w:t xml:space="preserve">conçues pour faciliter une </w:t>
      </w:r>
      <w:r w:rsidRPr="00C06F42">
        <w:rPr>
          <w:rFonts w:ascii="Times New Roman" w:eastAsia="Times New Roman" w:hAnsi="Times New Roman"/>
          <w:bCs/>
          <w:color w:val="000000"/>
          <w:sz w:val="24"/>
          <w:szCs w:val="24"/>
          <w:lang w:eastAsia="fr-FR"/>
        </w:rPr>
        <w:t xml:space="preserve">circulation transfrontalière des personnes libre et plus aisée, </w:t>
      </w:r>
      <w:r>
        <w:rPr>
          <w:rFonts w:ascii="Times New Roman" w:eastAsia="Times New Roman" w:hAnsi="Times New Roman"/>
          <w:bCs/>
          <w:color w:val="000000"/>
          <w:sz w:val="24"/>
          <w:szCs w:val="24"/>
          <w:lang w:eastAsia="fr-FR"/>
        </w:rPr>
        <w:t xml:space="preserve">l’objectif ultime étant la </w:t>
      </w:r>
      <w:r w:rsidRPr="00C06F42">
        <w:rPr>
          <w:rFonts w:ascii="Times New Roman" w:eastAsia="Times New Roman" w:hAnsi="Times New Roman"/>
          <w:bCs/>
          <w:color w:val="000000"/>
          <w:sz w:val="24"/>
          <w:szCs w:val="24"/>
          <w:lang w:eastAsia="fr-FR"/>
        </w:rPr>
        <w:t xml:space="preserve">création d’une Afrique de </w:t>
      </w:r>
      <w:r>
        <w:rPr>
          <w:rFonts w:ascii="Times New Roman" w:eastAsia="Times New Roman" w:hAnsi="Times New Roman"/>
          <w:bCs/>
          <w:color w:val="000000"/>
          <w:sz w:val="24"/>
          <w:szCs w:val="24"/>
          <w:lang w:eastAsia="fr-FR"/>
        </w:rPr>
        <w:t>l’Ouest sans frontières.  En</w:t>
      </w:r>
      <w:r w:rsidRPr="00C06F42">
        <w:rPr>
          <w:rFonts w:ascii="Times New Roman" w:eastAsia="Times New Roman" w:hAnsi="Times New Roman"/>
          <w:bCs/>
          <w:color w:val="000000"/>
          <w:sz w:val="24"/>
          <w:szCs w:val="24"/>
          <w:lang w:eastAsia="fr-FR"/>
        </w:rPr>
        <w:t xml:space="preserve"> fa</w:t>
      </w:r>
      <w:r>
        <w:rPr>
          <w:rFonts w:ascii="Times New Roman" w:eastAsia="Times New Roman" w:hAnsi="Times New Roman"/>
          <w:bCs/>
          <w:color w:val="000000"/>
          <w:sz w:val="24"/>
          <w:szCs w:val="24"/>
          <w:lang w:eastAsia="fr-FR"/>
        </w:rPr>
        <w:t xml:space="preserve">it, les pays de la CEDEAO </w:t>
      </w:r>
      <w:r w:rsidRPr="00C06F42">
        <w:rPr>
          <w:rFonts w:ascii="Times New Roman" w:eastAsia="Times New Roman" w:hAnsi="Times New Roman"/>
          <w:bCs/>
          <w:color w:val="000000"/>
          <w:sz w:val="24"/>
          <w:szCs w:val="24"/>
          <w:lang w:eastAsia="fr-FR"/>
        </w:rPr>
        <w:t>n’ont qu’une frontière extérieure commune, ce qui facilit</w:t>
      </w:r>
      <w:r>
        <w:rPr>
          <w:rFonts w:ascii="Times New Roman" w:eastAsia="Times New Roman" w:hAnsi="Times New Roman"/>
          <w:bCs/>
          <w:color w:val="000000"/>
          <w:sz w:val="24"/>
          <w:szCs w:val="24"/>
          <w:lang w:eastAsia="fr-FR"/>
        </w:rPr>
        <w:t xml:space="preserve">e les mouvements intérieurs de </w:t>
      </w:r>
      <w:r w:rsidRPr="00C06F42">
        <w:rPr>
          <w:rFonts w:ascii="Times New Roman" w:eastAsia="Times New Roman" w:hAnsi="Times New Roman"/>
          <w:bCs/>
          <w:color w:val="000000"/>
          <w:sz w:val="24"/>
          <w:szCs w:val="24"/>
          <w:lang w:eastAsia="fr-FR"/>
        </w:rPr>
        <w:t xml:space="preserve">personnes, de biens et de services. </w:t>
      </w:r>
    </w:p>
    <w:p w:rsidR="00764FFF" w:rsidRPr="00C06F42" w:rsidRDefault="00764FFF" w:rsidP="00764FFF">
      <w:pPr>
        <w:shd w:val="clear" w:color="auto" w:fill="FFFFFF"/>
        <w:spacing w:after="150" w:line="240" w:lineRule="auto"/>
        <w:jc w:val="both"/>
        <w:rPr>
          <w:rFonts w:ascii="Times New Roman" w:eastAsia="Times New Roman" w:hAnsi="Times New Roman"/>
          <w:bCs/>
          <w:color w:val="000000"/>
          <w:sz w:val="24"/>
          <w:szCs w:val="24"/>
          <w:lang w:eastAsia="fr-FR"/>
        </w:rPr>
      </w:pPr>
      <w:r w:rsidRPr="00C06F42">
        <w:rPr>
          <w:rFonts w:ascii="Times New Roman" w:eastAsia="Times New Roman" w:hAnsi="Times New Roman"/>
          <w:bCs/>
          <w:color w:val="000000"/>
          <w:sz w:val="24"/>
          <w:szCs w:val="24"/>
          <w:lang w:eastAsia="fr-FR"/>
        </w:rPr>
        <w:t>En dépit de cette évolution des politiques générales, la pl</w:t>
      </w:r>
      <w:r>
        <w:rPr>
          <w:rFonts w:ascii="Times New Roman" w:eastAsia="Times New Roman" w:hAnsi="Times New Roman"/>
          <w:bCs/>
          <w:color w:val="000000"/>
          <w:sz w:val="24"/>
          <w:szCs w:val="24"/>
          <w:lang w:eastAsia="fr-FR"/>
        </w:rPr>
        <w:t xml:space="preserve">eine adhésion aux dispositions </w:t>
      </w:r>
      <w:r w:rsidRPr="00C06F42">
        <w:rPr>
          <w:rFonts w:ascii="Times New Roman" w:eastAsia="Times New Roman" w:hAnsi="Times New Roman"/>
          <w:bCs/>
          <w:color w:val="000000"/>
          <w:sz w:val="24"/>
          <w:szCs w:val="24"/>
          <w:lang w:eastAsia="fr-FR"/>
        </w:rPr>
        <w:t>des deuxièmes et troisièmes phases du protocole da</w:t>
      </w:r>
      <w:r>
        <w:rPr>
          <w:rFonts w:ascii="Times New Roman" w:eastAsia="Times New Roman" w:hAnsi="Times New Roman"/>
          <w:bCs/>
          <w:color w:val="000000"/>
          <w:sz w:val="24"/>
          <w:szCs w:val="24"/>
          <w:lang w:eastAsia="fr-FR"/>
        </w:rPr>
        <w:t xml:space="preserve">ns </w:t>
      </w:r>
      <w:r w:rsidRPr="00C06F42">
        <w:rPr>
          <w:rFonts w:ascii="Times New Roman" w:eastAsia="Times New Roman" w:hAnsi="Times New Roman"/>
          <w:bCs/>
          <w:color w:val="000000"/>
          <w:sz w:val="24"/>
          <w:szCs w:val="24"/>
          <w:lang w:eastAsia="fr-FR"/>
        </w:rPr>
        <w:t>la p</w:t>
      </w:r>
      <w:r>
        <w:rPr>
          <w:rFonts w:ascii="Times New Roman" w:eastAsia="Times New Roman" w:hAnsi="Times New Roman"/>
          <w:bCs/>
          <w:color w:val="000000"/>
          <w:sz w:val="24"/>
          <w:szCs w:val="24"/>
          <w:lang w:eastAsia="fr-FR"/>
        </w:rPr>
        <w:t xml:space="preserve">ratique a été entravée par les différents niveaux </w:t>
      </w:r>
      <w:r w:rsidRPr="00C06F42">
        <w:rPr>
          <w:rFonts w:ascii="Times New Roman" w:eastAsia="Times New Roman" w:hAnsi="Times New Roman"/>
          <w:bCs/>
          <w:color w:val="000000"/>
          <w:sz w:val="24"/>
          <w:szCs w:val="24"/>
          <w:lang w:eastAsia="fr-FR"/>
        </w:rPr>
        <w:t>de mise en œuvre du projet au niveau national</w:t>
      </w:r>
      <w:r>
        <w:rPr>
          <w:rFonts w:ascii="Times New Roman" w:eastAsia="Times New Roman" w:hAnsi="Times New Roman"/>
          <w:bCs/>
          <w:color w:val="000000"/>
          <w:sz w:val="24"/>
          <w:szCs w:val="24"/>
          <w:lang w:eastAsia="fr-FR"/>
        </w:rPr>
        <w:t xml:space="preserve"> et par le caractère </w:t>
      </w:r>
      <w:r w:rsidRPr="00C06F42">
        <w:rPr>
          <w:rFonts w:ascii="Times New Roman" w:eastAsia="Times New Roman" w:hAnsi="Times New Roman"/>
          <w:bCs/>
          <w:color w:val="000000"/>
          <w:sz w:val="24"/>
          <w:szCs w:val="24"/>
          <w:lang w:eastAsia="fr-FR"/>
        </w:rPr>
        <w:t>limité des mécanismes de suivi au niveau communautair</w:t>
      </w:r>
      <w:r>
        <w:rPr>
          <w:rFonts w:ascii="Times New Roman" w:eastAsia="Times New Roman" w:hAnsi="Times New Roman"/>
          <w:bCs/>
          <w:color w:val="000000"/>
          <w:sz w:val="24"/>
          <w:szCs w:val="24"/>
          <w:lang w:eastAsia="fr-FR"/>
        </w:rPr>
        <w:t xml:space="preserve">e (Ady, 2005). En dépit de la </w:t>
      </w:r>
      <w:r w:rsidRPr="00C06F42">
        <w:rPr>
          <w:rFonts w:ascii="Times New Roman" w:eastAsia="Times New Roman" w:hAnsi="Times New Roman"/>
          <w:bCs/>
          <w:color w:val="000000"/>
          <w:sz w:val="24"/>
          <w:szCs w:val="24"/>
          <w:lang w:eastAsia="fr-FR"/>
        </w:rPr>
        <w:t>révision  du  traité  sur  la  CEDEAO  en  1993,  l’insuffisan</w:t>
      </w:r>
      <w:r>
        <w:rPr>
          <w:rFonts w:ascii="Times New Roman" w:eastAsia="Times New Roman" w:hAnsi="Times New Roman"/>
          <w:bCs/>
          <w:color w:val="000000"/>
          <w:sz w:val="24"/>
          <w:szCs w:val="24"/>
          <w:lang w:eastAsia="fr-FR"/>
        </w:rPr>
        <w:t xml:space="preserve">ce  de  la  liaison  entre  la </w:t>
      </w:r>
      <w:r w:rsidRPr="00C06F42">
        <w:rPr>
          <w:rFonts w:ascii="Times New Roman" w:eastAsia="Times New Roman" w:hAnsi="Times New Roman"/>
          <w:bCs/>
          <w:color w:val="000000"/>
          <w:sz w:val="24"/>
          <w:szCs w:val="24"/>
          <w:lang w:eastAsia="fr-FR"/>
        </w:rPr>
        <w:t>migration  et  les  processus  de  développement,  l’</w:t>
      </w:r>
      <w:r>
        <w:rPr>
          <w:rFonts w:ascii="Times New Roman" w:eastAsia="Times New Roman" w:hAnsi="Times New Roman"/>
          <w:bCs/>
          <w:color w:val="000000"/>
          <w:sz w:val="24"/>
          <w:szCs w:val="24"/>
          <w:lang w:eastAsia="fr-FR"/>
        </w:rPr>
        <w:t xml:space="preserve">inadéquation  de  la  capacité </w:t>
      </w:r>
      <w:r w:rsidRPr="00C06F42">
        <w:rPr>
          <w:rFonts w:ascii="Times New Roman" w:eastAsia="Times New Roman" w:hAnsi="Times New Roman"/>
          <w:bCs/>
          <w:color w:val="000000"/>
          <w:sz w:val="24"/>
          <w:szCs w:val="24"/>
          <w:lang w:eastAsia="fr-FR"/>
        </w:rPr>
        <w:t xml:space="preserve">administrative et institutionnelle de mener des politiques et une gestion de </w:t>
      </w:r>
      <w:r>
        <w:rPr>
          <w:rFonts w:ascii="Times New Roman" w:eastAsia="Times New Roman" w:hAnsi="Times New Roman"/>
          <w:bCs/>
          <w:color w:val="000000"/>
          <w:sz w:val="24"/>
          <w:szCs w:val="24"/>
          <w:lang w:eastAsia="fr-FR"/>
        </w:rPr>
        <w:t xml:space="preserve">la migration </w:t>
      </w:r>
      <w:r w:rsidRPr="00C06F42">
        <w:rPr>
          <w:rFonts w:ascii="Times New Roman" w:eastAsia="Times New Roman" w:hAnsi="Times New Roman"/>
          <w:bCs/>
          <w:color w:val="000000"/>
          <w:sz w:val="24"/>
          <w:szCs w:val="24"/>
          <w:lang w:eastAsia="fr-FR"/>
        </w:rPr>
        <w:t>efficaces,  le  manque  de  protection  des  travailleurs migrant</w:t>
      </w:r>
      <w:r>
        <w:rPr>
          <w:rFonts w:ascii="Times New Roman" w:eastAsia="Times New Roman" w:hAnsi="Times New Roman"/>
          <w:bCs/>
          <w:color w:val="000000"/>
          <w:sz w:val="24"/>
          <w:szCs w:val="24"/>
          <w:lang w:eastAsia="fr-FR"/>
        </w:rPr>
        <w:t xml:space="preserve">s,  la  mauvaise  qualité  des </w:t>
      </w:r>
      <w:r w:rsidRPr="00C06F42">
        <w:rPr>
          <w:rFonts w:ascii="Times New Roman" w:eastAsia="Times New Roman" w:hAnsi="Times New Roman"/>
          <w:bCs/>
          <w:color w:val="000000"/>
          <w:sz w:val="24"/>
          <w:szCs w:val="24"/>
          <w:lang w:eastAsia="fr-FR"/>
        </w:rPr>
        <w:t xml:space="preserve">statistiques sur la migration et les hésitations des soutiens </w:t>
      </w:r>
      <w:r>
        <w:rPr>
          <w:rFonts w:ascii="Times New Roman" w:eastAsia="Times New Roman" w:hAnsi="Times New Roman"/>
          <w:bCs/>
          <w:color w:val="000000"/>
          <w:sz w:val="24"/>
          <w:szCs w:val="24"/>
          <w:lang w:eastAsia="fr-FR"/>
        </w:rPr>
        <w:t xml:space="preserve">politiques ont fait obstacle à </w:t>
      </w:r>
      <w:r w:rsidRPr="00C06F42">
        <w:rPr>
          <w:rFonts w:ascii="Times New Roman" w:eastAsia="Times New Roman" w:hAnsi="Times New Roman"/>
          <w:bCs/>
          <w:color w:val="000000"/>
          <w:sz w:val="24"/>
          <w:szCs w:val="24"/>
          <w:lang w:eastAsia="fr-FR"/>
        </w:rPr>
        <w:t>une mobilité intra</w:t>
      </w:r>
      <w:r>
        <w:rPr>
          <w:rFonts w:ascii="Times New Roman" w:eastAsia="Times New Roman" w:hAnsi="Times New Roman"/>
          <w:bCs/>
          <w:color w:val="000000"/>
          <w:sz w:val="24"/>
          <w:szCs w:val="24"/>
          <w:lang w:eastAsia="fr-FR"/>
        </w:rPr>
        <w:t xml:space="preserve"> </w:t>
      </w:r>
      <w:r w:rsidRPr="00C06F42">
        <w:rPr>
          <w:rFonts w:ascii="Times New Roman" w:eastAsia="Times New Roman" w:hAnsi="Times New Roman"/>
          <w:bCs/>
          <w:color w:val="000000"/>
          <w:sz w:val="24"/>
          <w:szCs w:val="24"/>
          <w:lang w:eastAsia="fr-FR"/>
        </w:rPr>
        <w:t xml:space="preserve">régionale du travail effective (Robert, 2004). </w:t>
      </w:r>
    </w:p>
    <w:p w:rsidR="00764FFF" w:rsidRDefault="00764FFF" w:rsidP="00764FFF">
      <w:pPr>
        <w:shd w:val="clear" w:color="auto" w:fill="FFFFFF"/>
        <w:spacing w:after="150" w:line="240" w:lineRule="auto"/>
        <w:jc w:val="both"/>
        <w:rPr>
          <w:rFonts w:ascii="Times New Roman" w:eastAsia="Times New Roman" w:hAnsi="Times New Roman"/>
          <w:bCs/>
          <w:color w:val="000000"/>
          <w:sz w:val="24"/>
          <w:szCs w:val="24"/>
          <w:lang w:eastAsia="fr-FR"/>
        </w:rPr>
      </w:pPr>
      <w:r w:rsidRPr="00C06F42">
        <w:rPr>
          <w:rFonts w:ascii="Times New Roman" w:eastAsia="Times New Roman" w:hAnsi="Times New Roman"/>
          <w:bCs/>
          <w:color w:val="000000"/>
          <w:sz w:val="24"/>
          <w:szCs w:val="24"/>
          <w:lang w:eastAsia="fr-FR"/>
        </w:rPr>
        <w:t>Dans la mesure où la sécurité sociale demeure une</w:t>
      </w:r>
      <w:r>
        <w:rPr>
          <w:rFonts w:ascii="Times New Roman" w:eastAsia="Times New Roman" w:hAnsi="Times New Roman"/>
          <w:bCs/>
          <w:color w:val="000000"/>
          <w:sz w:val="24"/>
          <w:szCs w:val="24"/>
          <w:lang w:eastAsia="fr-FR"/>
        </w:rPr>
        <w:t xml:space="preserve"> compétence nationale, les </w:t>
      </w:r>
      <w:r w:rsidRPr="00C06F42">
        <w:rPr>
          <w:rFonts w:ascii="Times New Roman" w:eastAsia="Times New Roman" w:hAnsi="Times New Roman"/>
          <w:bCs/>
          <w:color w:val="000000"/>
          <w:sz w:val="24"/>
          <w:szCs w:val="24"/>
          <w:lang w:eastAsia="fr-FR"/>
        </w:rPr>
        <w:t>travailleurs migrants risque de se trouver exclus des avantages associés au travail. C’est en partie pour y remédier que la Commission des affaires soci</w:t>
      </w:r>
      <w:r>
        <w:rPr>
          <w:rFonts w:ascii="Times New Roman" w:eastAsia="Times New Roman" w:hAnsi="Times New Roman"/>
          <w:bCs/>
          <w:color w:val="000000"/>
          <w:sz w:val="24"/>
          <w:szCs w:val="24"/>
          <w:lang w:eastAsia="fr-FR"/>
        </w:rPr>
        <w:t xml:space="preserve">ales et culturelles de la CEDEAO </w:t>
      </w:r>
      <w:r w:rsidRPr="00C06F42">
        <w:rPr>
          <w:rFonts w:ascii="Times New Roman" w:eastAsia="Times New Roman" w:hAnsi="Times New Roman"/>
          <w:bCs/>
          <w:color w:val="000000"/>
          <w:sz w:val="24"/>
          <w:szCs w:val="24"/>
          <w:lang w:eastAsia="fr-FR"/>
        </w:rPr>
        <w:t>a adopté la Convention générale sur la sécurité</w:t>
      </w:r>
      <w:r>
        <w:rPr>
          <w:rFonts w:ascii="Times New Roman" w:eastAsia="Times New Roman" w:hAnsi="Times New Roman"/>
          <w:bCs/>
          <w:color w:val="000000"/>
          <w:sz w:val="24"/>
          <w:szCs w:val="24"/>
          <w:lang w:eastAsia="fr-FR"/>
        </w:rPr>
        <w:t xml:space="preserve"> sociale en 1993 « afin </w:t>
      </w:r>
      <w:r w:rsidRPr="00C06F42">
        <w:rPr>
          <w:rFonts w:ascii="Times New Roman" w:eastAsia="Times New Roman" w:hAnsi="Times New Roman"/>
          <w:bCs/>
          <w:color w:val="000000"/>
          <w:sz w:val="24"/>
          <w:szCs w:val="24"/>
          <w:lang w:eastAsia="fr-FR"/>
        </w:rPr>
        <w:t>d’assurer l’égalité de traitement des travailleurs transfrontaliers</w:t>
      </w:r>
      <w:r>
        <w:rPr>
          <w:rFonts w:ascii="Times New Roman" w:eastAsia="Times New Roman" w:hAnsi="Times New Roman"/>
          <w:bCs/>
          <w:color w:val="000000"/>
          <w:sz w:val="24"/>
          <w:szCs w:val="24"/>
          <w:lang w:eastAsia="fr-FR"/>
        </w:rPr>
        <w:t xml:space="preserve"> et la préservation de </w:t>
      </w:r>
      <w:r w:rsidRPr="00C06F42">
        <w:rPr>
          <w:rFonts w:ascii="Times New Roman" w:eastAsia="Times New Roman" w:hAnsi="Times New Roman"/>
          <w:bCs/>
          <w:color w:val="000000"/>
          <w:sz w:val="24"/>
          <w:szCs w:val="24"/>
          <w:lang w:eastAsia="fr-FR"/>
        </w:rPr>
        <w:t xml:space="preserve">leur droit quand ils vivent à l’étranger ».  Cet accord </w:t>
      </w:r>
      <w:r>
        <w:rPr>
          <w:rFonts w:ascii="Times New Roman" w:eastAsia="Times New Roman" w:hAnsi="Times New Roman"/>
          <w:bCs/>
          <w:color w:val="000000"/>
          <w:sz w:val="24"/>
          <w:szCs w:val="24"/>
          <w:lang w:eastAsia="fr-FR"/>
        </w:rPr>
        <w:t xml:space="preserve">assure aux citoyens de la </w:t>
      </w:r>
      <w:r w:rsidRPr="00C06F42">
        <w:rPr>
          <w:rFonts w:ascii="Times New Roman" w:eastAsia="Times New Roman" w:hAnsi="Times New Roman"/>
          <w:bCs/>
          <w:color w:val="000000"/>
          <w:sz w:val="24"/>
          <w:szCs w:val="24"/>
          <w:lang w:eastAsia="fr-FR"/>
        </w:rPr>
        <w:t>Communauté résidant dans un pays quelconque de la CEDEAO</w:t>
      </w:r>
      <w:r>
        <w:rPr>
          <w:rFonts w:ascii="Times New Roman" w:eastAsia="Times New Roman" w:hAnsi="Times New Roman"/>
          <w:bCs/>
          <w:color w:val="000000"/>
          <w:sz w:val="24"/>
          <w:szCs w:val="24"/>
          <w:lang w:eastAsia="fr-FR"/>
        </w:rPr>
        <w:t xml:space="preserve"> les mêmes droits et </w:t>
      </w:r>
      <w:r w:rsidRPr="00C06F42">
        <w:rPr>
          <w:rFonts w:ascii="Times New Roman" w:eastAsia="Times New Roman" w:hAnsi="Times New Roman"/>
          <w:bCs/>
          <w:color w:val="000000"/>
          <w:sz w:val="24"/>
          <w:szCs w:val="24"/>
          <w:lang w:eastAsia="fr-FR"/>
        </w:rPr>
        <w:t>obligations au regard des lois de la sécurité sociale qu’aux</w:t>
      </w:r>
      <w:r>
        <w:rPr>
          <w:rFonts w:ascii="Times New Roman" w:eastAsia="Times New Roman" w:hAnsi="Times New Roman"/>
          <w:bCs/>
          <w:color w:val="000000"/>
          <w:sz w:val="24"/>
          <w:szCs w:val="24"/>
          <w:lang w:eastAsia="fr-FR"/>
        </w:rPr>
        <w:t xml:space="preserve"> nationaux de ce pays </w:t>
      </w:r>
      <w:r w:rsidRPr="00C06F42">
        <w:rPr>
          <w:rFonts w:ascii="Times New Roman" w:eastAsia="Times New Roman" w:hAnsi="Times New Roman"/>
          <w:bCs/>
          <w:color w:val="000000"/>
          <w:sz w:val="24"/>
          <w:szCs w:val="24"/>
          <w:lang w:eastAsia="fr-FR"/>
        </w:rPr>
        <w:t>(Robert, 2004).</w:t>
      </w:r>
    </w:p>
    <w:p w:rsidR="00764FFF" w:rsidRPr="00433D35" w:rsidRDefault="00764FFF" w:rsidP="00764FFF">
      <w:pPr>
        <w:keepNext/>
        <w:spacing w:before="240" w:after="240"/>
        <w:jc w:val="both"/>
        <w:outlineLvl w:val="1"/>
        <w:rPr>
          <w:rFonts w:ascii="Times New Roman" w:hAnsi="Times New Roman"/>
          <w:b/>
          <w:sz w:val="32"/>
          <w:szCs w:val="32"/>
          <w:u w:val="single"/>
          <w:lang w:eastAsia="fr-FR"/>
        </w:rPr>
      </w:pPr>
      <w:bookmarkStart w:id="681" w:name="_Toc535408384"/>
      <w:bookmarkStart w:id="682" w:name="_Toc11158409"/>
      <w:bookmarkStart w:id="683" w:name="_Toc51072629"/>
      <w:r>
        <w:rPr>
          <w:rFonts w:ascii="Times New Roman" w:hAnsi="Times New Roman"/>
          <w:b/>
          <w:sz w:val="32"/>
          <w:szCs w:val="32"/>
          <w:u w:val="single"/>
          <w:lang w:eastAsia="fr-FR"/>
        </w:rPr>
        <w:t xml:space="preserve">8.9 </w:t>
      </w:r>
      <w:r w:rsidRPr="00433D35">
        <w:rPr>
          <w:rFonts w:ascii="Times New Roman" w:hAnsi="Times New Roman"/>
          <w:b/>
          <w:sz w:val="32"/>
          <w:szCs w:val="32"/>
          <w:u w:val="single"/>
          <w:lang w:eastAsia="fr-FR"/>
        </w:rPr>
        <w:t>Plan de Gestion des Déchets</w:t>
      </w:r>
      <w:bookmarkEnd w:id="681"/>
      <w:bookmarkEnd w:id="682"/>
      <w:bookmarkEnd w:id="683"/>
    </w:p>
    <w:p w:rsidR="00764FFF" w:rsidRPr="00D335A7" w:rsidRDefault="00764FFF" w:rsidP="00764FFF">
      <w:pPr>
        <w:tabs>
          <w:tab w:val="left" w:pos="4395"/>
        </w:tabs>
        <w:spacing w:after="240"/>
        <w:ind w:left="-284"/>
        <w:jc w:val="both"/>
        <w:rPr>
          <w:rFonts w:ascii="Times New Roman" w:hAnsi="Times New Roman"/>
          <w:sz w:val="24"/>
          <w:szCs w:val="24"/>
        </w:rPr>
      </w:pPr>
      <w:r>
        <w:rPr>
          <w:rFonts w:ascii="Times New Roman" w:hAnsi="Times New Roman"/>
          <w:noProof/>
          <w:sz w:val="24"/>
          <w:szCs w:val="24"/>
          <w:lang w:val="pt-PT" w:eastAsia="pt-PT"/>
        </w:rPr>
        <w:drawing>
          <wp:anchor distT="0" distB="0" distL="114300" distR="114300" simplePos="0" relativeHeight="252244480" behindDoc="1" locked="0" layoutInCell="1" allowOverlap="1" wp14:anchorId="738E4000" wp14:editId="333A2860">
            <wp:simplePos x="0" y="0"/>
            <wp:positionH relativeFrom="column">
              <wp:posOffset>4723765</wp:posOffset>
            </wp:positionH>
            <wp:positionV relativeFrom="paragraph">
              <wp:posOffset>208915</wp:posOffset>
            </wp:positionV>
            <wp:extent cx="1541780" cy="1581785"/>
            <wp:effectExtent l="0" t="0" r="0" b="0"/>
            <wp:wrapTight wrapText="bothSides">
              <wp:wrapPolygon edited="0">
                <wp:start x="0" y="0"/>
                <wp:lineTo x="0" y="21331"/>
                <wp:lineTo x="21351" y="21331"/>
                <wp:lineTo x="21351" y="0"/>
                <wp:lineTo x="0" y="0"/>
              </wp:wrapPolygon>
            </wp:wrapTight>
            <wp:docPr id="98" name="Image 16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680"/>
                    <pic:cNvPicPr>
                      <a:picLocks noChangeAspect="1" noChangeArrowheads="1"/>
                    </pic:cNvPicPr>
                  </pic:nvPicPr>
                  <pic:blipFill>
                    <a:blip r:embed="rId149">
                      <a:extLst>
                        <a:ext uri="{28A0092B-C50C-407E-A947-70E740481C1C}">
                          <a14:useLocalDpi xmlns:a14="http://schemas.microsoft.com/office/drawing/2010/main"/>
                        </a:ext>
                      </a:extLst>
                    </a:blip>
                    <a:srcRect/>
                    <a:stretch>
                      <a:fillRect/>
                    </a:stretch>
                  </pic:blipFill>
                  <pic:spPr bwMode="auto">
                    <a:xfrm>
                      <a:off x="0" y="0"/>
                      <a:ext cx="1541780" cy="15817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D335A7">
        <w:rPr>
          <w:rFonts w:ascii="Times New Roman" w:hAnsi="Times New Roman"/>
          <w:sz w:val="24"/>
          <w:szCs w:val="24"/>
        </w:rPr>
        <w:t>Divers types de déchets sont rencontrés notamment des déchets ménagers et des déchets de chantier.</w:t>
      </w:r>
    </w:p>
    <w:p w:rsidR="00764FFF" w:rsidRPr="00D335A7" w:rsidRDefault="00764FFF" w:rsidP="00764FFF">
      <w:pPr>
        <w:spacing w:after="0"/>
        <w:ind w:left="-284"/>
        <w:jc w:val="both"/>
        <w:rPr>
          <w:rFonts w:ascii="Times New Roman" w:hAnsi="Times New Roman"/>
          <w:sz w:val="24"/>
          <w:szCs w:val="24"/>
        </w:rPr>
      </w:pPr>
      <w:r w:rsidRPr="00D335A7">
        <w:rPr>
          <w:rFonts w:ascii="Times New Roman" w:hAnsi="Times New Roman"/>
          <w:sz w:val="24"/>
          <w:szCs w:val="24"/>
        </w:rPr>
        <w:t xml:space="preserve">Les déchets ménagers proviennent souvent de restes de repas, les sachets plastiques, les emballages, les gobelets, les bouteilles, etc. </w:t>
      </w:r>
    </w:p>
    <w:p w:rsidR="00764FFF" w:rsidRDefault="00764FFF" w:rsidP="00764FFF">
      <w:pPr>
        <w:spacing w:after="0"/>
        <w:ind w:left="-284"/>
        <w:jc w:val="both"/>
        <w:rPr>
          <w:rFonts w:ascii="Times New Roman" w:hAnsi="Times New Roman"/>
          <w:sz w:val="24"/>
          <w:szCs w:val="24"/>
        </w:rPr>
      </w:pPr>
      <w:r w:rsidRPr="00D335A7">
        <w:rPr>
          <w:rFonts w:ascii="Times New Roman" w:hAnsi="Times New Roman"/>
          <w:sz w:val="24"/>
          <w:szCs w:val="24"/>
        </w:rPr>
        <w:t xml:space="preserve">Des espaces de stockage des déchets de chantier seront aussi aménagés, à proximité des divers lieux d’activités, pour contenir les déchets selon leur type bois, fer, cartons, sachets plastiques, papiers, huiles usagées, etc. </w:t>
      </w:r>
    </w:p>
    <w:p w:rsidR="00764FFF" w:rsidRPr="00D335A7" w:rsidRDefault="00764FFF" w:rsidP="00764FFF">
      <w:pPr>
        <w:spacing w:after="0"/>
        <w:ind w:left="-284"/>
        <w:jc w:val="both"/>
        <w:rPr>
          <w:rFonts w:ascii="Times New Roman" w:hAnsi="Times New Roman"/>
          <w:sz w:val="24"/>
          <w:szCs w:val="24"/>
        </w:rPr>
      </w:pPr>
    </w:p>
    <w:p w:rsidR="00764FFF" w:rsidRPr="00D335A7" w:rsidRDefault="00764FFF" w:rsidP="00764FFF">
      <w:pPr>
        <w:spacing w:after="240"/>
        <w:ind w:left="-284"/>
        <w:jc w:val="both"/>
        <w:rPr>
          <w:rFonts w:ascii="Times New Roman" w:hAnsi="Times New Roman"/>
          <w:sz w:val="24"/>
          <w:szCs w:val="24"/>
        </w:rPr>
      </w:pPr>
      <w:r>
        <w:rPr>
          <w:rFonts w:ascii="Times New Roman" w:hAnsi="Times New Roman"/>
          <w:noProof/>
          <w:sz w:val="24"/>
          <w:szCs w:val="24"/>
          <w:lang w:val="pt-PT" w:eastAsia="pt-PT"/>
        </w:rPr>
        <mc:AlternateContent>
          <mc:Choice Requires="wps">
            <w:drawing>
              <wp:anchor distT="45720" distB="45720" distL="114300" distR="114300" simplePos="0" relativeHeight="252268032" behindDoc="0" locked="0" layoutInCell="1" allowOverlap="1" wp14:anchorId="592BC5C3" wp14:editId="7F4EB057">
                <wp:simplePos x="0" y="0"/>
                <wp:positionH relativeFrom="column">
                  <wp:posOffset>4291965</wp:posOffset>
                </wp:positionH>
                <wp:positionV relativeFrom="paragraph">
                  <wp:posOffset>362585</wp:posOffset>
                </wp:positionV>
                <wp:extent cx="2218055" cy="238125"/>
                <wp:effectExtent l="0" t="0" r="0" b="9525"/>
                <wp:wrapSquare wrapText="bothSides"/>
                <wp:docPr id="54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18055" cy="238125"/>
                        </a:xfrm>
                        <a:prstGeom prst="rect">
                          <a:avLst/>
                        </a:prstGeom>
                        <a:solidFill>
                          <a:srgbClr val="FFFFFF"/>
                        </a:solidFill>
                        <a:ln w="9525">
                          <a:solidFill>
                            <a:srgbClr val="000000"/>
                          </a:solidFill>
                          <a:miter lim="800000"/>
                          <a:headEnd/>
                          <a:tailEnd/>
                        </a:ln>
                      </wps:spPr>
                      <wps:txbx>
                        <w:txbxContent>
                          <w:p w:rsidR="003C548E" w:rsidRDefault="003C548E" w:rsidP="00764FFF">
                            <w:bookmarkStart w:id="684" w:name="_Toc534972191"/>
                            <w:bookmarkStart w:id="685" w:name="_Toc11159007"/>
                            <w:bookmarkStart w:id="686" w:name="_Toc32512064"/>
                            <w:r w:rsidRPr="00A36F06">
                              <w:rPr>
                                <w:rFonts w:ascii="Times New Roman" w:hAnsi="Times New Roman"/>
                                <w:b/>
                                <w:sz w:val="20"/>
                              </w:rPr>
                              <w:t xml:space="preserve">Photo </w:t>
                            </w:r>
                            <w:r w:rsidRPr="00A36F06">
                              <w:rPr>
                                <w:rFonts w:ascii="Times New Roman" w:hAnsi="Times New Roman"/>
                                <w:b/>
                                <w:sz w:val="20"/>
                              </w:rPr>
                              <w:fldChar w:fldCharType="begin"/>
                            </w:r>
                            <w:r w:rsidRPr="00A36F06">
                              <w:rPr>
                                <w:rFonts w:ascii="Times New Roman" w:hAnsi="Times New Roman"/>
                                <w:b/>
                                <w:sz w:val="20"/>
                              </w:rPr>
                              <w:instrText xml:space="preserve"> </w:instrText>
                            </w:r>
                            <w:r>
                              <w:rPr>
                                <w:rFonts w:ascii="Times New Roman" w:hAnsi="Times New Roman"/>
                                <w:b/>
                                <w:sz w:val="20"/>
                              </w:rPr>
                              <w:instrText>SEQ</w:instrText>
                            </w:r>
                            <w:r w:rsidRPr="00A36F06">
                              <w:rPr>
                                <w:rFonts w:ascii="Times New Roman" w:hAnsi="Times New Roman"/>
                                <w:b/>
                                <w:sz w:val="20"/>
                              </w:rPr>
                              <w:instrText xml:space="preserve"> Photo \* ARABIC </w:instrText>
                            </w:r>
                            <w:r w:rsidRPr="00A36F06">
                              <w:rPr>
                                <w:rFonts w:ascii="Times New Roman" w:hAnsi="Times New Roman"/>
                                <w:b/>
                                <w:sz w:val="20"/>
                              </w:rPr>
                              <w:fldChar w:fldCharType="separate"/>
                            </w:r>
                            <w:r>
                              <w:rPr>
                                <w:rFonts w:ascii="Times New Roman" w:hAnsi="Times New Roman"/>
                                <w:b/>
                                <w:noProof/>
                                <w:sz w:val="20"/>
                              </w:rPr>
                              <w:t>13</w:t>
                            </w:r>
                            <w:r w:rsidRPr="00A36F06">
                              <w:rPr>
                                <w:rFonts w:ascii="Times New Roman" w:hAnsi="Times New Roman"/>
                                <w:b/>
                                <w:sz w:val="20"/>
                              </w:rPr>
                              <w:fldChar w:fldCharType="end"/>
                            </w:r>
                            <w:r w:rsidRPr="00A36F06">
                              <w:rPr>
                                <w:rFonts w:ascii="Times New Roman" w:hAnsi="Times New Roman"/>
                                <w:b/>
                                <w:sz w:val="20"/>
                              </w:rPr>
                              <w:t>: Fut  incinérateur de déchets</w:t>
                            </w:r>
                            <w:bookmarkEnd w:id="684"/>
                            <w:bookmarkEnd w:id="685"/>
                            <w:bookmarkEnd w:id="686"/>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592BC5C3" id="_x0000_s1067" type="#_x0000_t202" style="position:absolute;left:0;text-align:left;margin-left:337.95pt;margin-top:28.55pt;width:174.65pt;height:18.75pt;z-index:2522680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">
                <v:textbox>
                  <w:txbxContent>
                    <w:p w:rsidR="003C548E" w:rsidRDefault="003C548E" w:rsidP="00764FFF">
                      <w:bookmarkStart w:id="687" w:name="_Toc534972191"/>
                      <w:bookmarkStart w:id="688" w:name="_Toc11159007"/>
                      <w:bookmarkStart w:id="689" w:name="_Toc32512064"/>
                      <w:r w:rsidRPr="00A36F06">
                        <w:rPr>
                          <w:rFonts w:ascii="Times New Roman" w:hAnsi="Times New Roman"/>
                          <w:b/>
                          <w:sz w:val="20"/>
                        </w:rPr>
                        <w:t xml:space="preserve">Photo </w:t>
                      </w:r>
                      <w:r w:rsidRPr="00A36F06">
                        <w:rPr>
                          <w:rFonts w:ascii="Times New Roman" w:hAnsi="Times New Roman"/>
                          <w:b/>
                          <w:sz w:val="20"/>
                        </w:rPr>
                        <w:fldChar w:fldCharType="begin"/>
                      </w:r>
                      <w:r w:rsidRPr="00A36F06">
                        <w:rPr>
                          <w:rFonts w:ascii="Times New Roman" w:hAnsi="Times New Roman"/>
                          <w:b/>
                          <w:sz w:val="20"/>
                        </w:rPr>
                        <w:instrText xml:space="preserve"> </w:instrText>
                      </w:r>
                      <w:r>
                        <w:rPr>
                          <w:rFonts w:ascii="Times New Roman" w:hAnsi="Times New Roman"/>
                          <w:b/>
                          <w:sz w:val="20"/>
                        </w:rPr>
                        <w:instrText>SEQ</w:instrText>
                      </w:r>
                      <w:r w:rsidRPr="00A36F06">
                        <w:rPr>
                          <w:rFonts w:ascii="Times New Roman" w:hAnsi="Times New Roman"/>
                          <w:b/>
                          <w:sz w:val="20"/>
                        </w:rPr>
                        <w:instrText xml:space="preserve"> Photo \* ARABIC </w:instrText>
                      </w:r>
                      <w:r w:rsidRPr="00A36F06">
                        <w:rPr>
                          <w:rFonts w:ascii="Times New Roman" w:hAnsi="Times New Roman"/>
                          <w:b/>
                          <w:sz w:val="20"/>
                        </w:rPr>
                        <w:fldChar w:fldCharType="separate"/>
                      </w:r>
                      <w:r>
                        <w:rPr>
                          <w:rFonts w:ascii="Times New Roman" w:hAnsi="Times New Roman"/>
                          <w:b/>
                          <w:noProof/>
                          <w:sz w:val="20"/>
                        </w:rPr>
                        <w:t>13</w:t>
                      </w:r>
                      <w:r w:rsidRPr="00A36F06">
                        <w:rPr>
                          <w:rFonts w:ascii="Times New Roman" w:hAnsi="Times New Roman"/>
                          <w:b/>
                          <w:sz w:val="20"/>
                        </w:rPr>
                        <w:fldChar w:fldCharType="end"/>
                      </w:r>
                      <w:r w:rsidRPr="00A36F06">
                        <w:rPr>
                          <w:rFonts w:ascii="Times New Roman" w:hAnsi="Times New Roman"/>
                          <w:b/>
                          <w:sz w:val="20"/>
                        </w:rPr>
                        <w:t>: Fut  incinérateur de déchets</w:t>
                      </w:r>
                      <w:bookmarkEnd w:id="687"/>
                      <w:bookmarkEnd w:id="688"/>
                      <w:bookmarkEnd w:id="689"/>
                    </w:p>
                  </w:txbxContent>
                </v:textbox>
                <w10:wrap type="square"/>
              </v:shape>
            </w:pict>
          </mc:Fallback>
        </mc:AlternateContent>
      </w:r>
      <w:r>
        <w:rPr>
          <w:rFonts w:ascii="Times New Roman" w:hAnsi="Times New Roman"/>
          <w:noProof/>
          <w:sz w:val="24"/>
          <w:szCs w:val="24"/>
          <w:lang w:val="pt-PT" w:eastAsia="pt-PT"/>
        </w:rPr>
        <w:drawing>
          <wp:anchor distT="0" distB="0" distL="114300" distR="114300" simplePos="0" relativeHeight="252245504" behindDoc="1" locked="0" layoutInCell="1" allowOverlap="1" wp14:anchorId="08CFE608" wp14:editId="2AB86E17">
            <wp:simplePos x="0" y="0"/>
            <wp:positionH relativeFrom="column">
              <wp:posOffset>-176530</wp:posOffset>
            </wp:positionH>
            <wp:positionV relativeFrom="paragraph">
              <wp:posOffset>712470</wp:posOffset>
            </wp:positionV>
            <wp:extent cx="2703195" cy="1609725"/>
            <wp:effectExtent l="0" t="0" r="0" b="0"/>
            <wp:wrapTight wrapText="bothSides">
              <wp:wrapPolygon edited="0">
                <wp:start x="0" y="0"/>
                <wp:lineTo x="0" y="21472"/>
                <wp:lineTo x="21463" y="21472"/>
                <wp:lineTo x="21463" y="0"/>
                <wp:lineTo x="0" y="0"/>
              </wp:wrapPolygon>
            </wp:wrapTight>
            <wp:docPr id="485" name="Image 1681" descr="http://www.mt-environnement.com/sites/default/files/imagefield/produit/l09balca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681" descr="http://www.mt-environnement.com/sites/default/files/imagefield/produit/l09balcab.jpg"/>
                    <pic:cNvPicPr>
                      <a:picLocks noChangeAspect="1" noChangeArrowheads="1"/>
                    </pic:cNvPicPr>
                  </pic:nvPicPr>
                  <pic:blipFill>
                    <a:blip r:embed="rId150">
                      <a:extLst>
                        <a:ext uri="{28A0092B-C50C-407E-A947-70E740481C1C}">
                          <a14:useLocalDpi xmlns:a14="http://schemas.microsoft.com/office/drawing/2010/main"/>
                        </a:ext>
                      </a:extLst>
                    </a:blip>
                    <a:srcRect/>
                    <a:stretch>
                      <a:fillRect/>
                    </a:stretch>
                  </pic:blipFill>
                  <pic:spPr bwMode="auto">
                    <a:xfrm>
                      <a:off x="0" y="0"/>
                      <a:ext cx="2703195" cy="16097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D335A7">
        <w:rPr>
          <w:rFonts w:ascii="Times New Roman" w:hAnsi="Times New Roman"/>
          <w:sz w:val="24"/>
          <w:szCs w:val="24"/>
        </w:rPr>
        <w:t>Les papiers, les cartons, le bois seront déposés au niveau des poubelles et seront régulièrement ramassées et brulés dans un fût amélioré afin d’éviter la production de monoxyde de Carbone.</w:t>
      </w:r>
      <w:r w:rsidR="00FD76D7">
        <w:rPr>
          <w:rFonts w:ascii="Times New Roman" w:hAnsi="Times New Roman"/>
          <w:sz w:val="24"/>
          <w:szCs w:val="24"/>
        </w:rPr>
        <w:t xml:space="preserve"> (Ce procède </w:t>
      </w:r>
      <w:r w:rsidR="00FD76D7" w:rsidRPr="00ED448B">
        <w:rPr>
          <w:rFonts w:ascii="Times New Roman" w:hAnsi="Times New Roman"/>
          <w:sz w:val="24"/>
          <w:szCs w:val="24"/>
        </w:rPr>
        <w:t>doit faire l’objet d’une autorisation délivrée par l’Autorité en charge de l’environnement. La mission de contrôle devra vérifier l’existence du permis avant le démarrage des travaux)</w:t>
      </w:r>
    </w:p>
    <w:p w:rsidR="00764FFF" w:rsidRPr="00D335A7" w:rsidRDefault="004F7F5E" w:rsidP="00764FFF">
      <w:pPr>
        <w:spacing w:after="240"/>
        <w:ind w:left="-284"/>
        <w:jc w:val="both"/>
        <w:rPr>
          <w:rFonts w:ascii="Times New Roman" w:hAnsi="Times New Roman"/>
          <w:sz w:val="24"/>
          <w:szCs w:val="24"/>
        </w:rPr>
      </w:pPr>
      <w:r>
        <w:rPr>
          <w:rFonts w:ascii="Times New Roman" w:hAnsi="Times New Roman"/>
          <w:noProof/>
          <w:sz w:val="24"/>
          <w:szCs w:val="24"/>
          <w:lang w:val="pt-PT" w:eastAsia="pt-PT"/>
        </w:rPr>
        <mc:AlternateContent>
          <mc:Choice Requires="wps">
            <w:drawing>
              <wp:anchor distT="45720" distB="45720" distL="114300" distR="114300" simplePos="0" relativeHeight="252270080" behindDoc="0" locked="0" layoutInCell="1" allowOverlap="1" wp14:anchorId="00643024" wp14:editId="1E978901">
                <wp:simplePos x="0" y="0"/>
                <wp:positionH relativeFrom="column">
                  <wp:posOffset>-240030</wp:posOffset>
                </wp:positionH>
                <wp:positionV relativeFrom="paragraph">
                  <wp:posOffset>612594</wp:posOffset>
                </wp:positionV>
                <wp:extent cx="2679065" cy="269875"/>
                <wp:effectExtent l="0" t="0" r="6985" b="0"/>
                <wp:wrapSquare wrapText="bothSides"/>
                <wp:docPr id="548"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9065" cy="269875"/>
                        </a:xfrm>
                        <a:prstGeom prst="rect">
                          <a:avLst/>
                        </a:prstGeom>
                        <a:solidFill>
                          <a:srgbClr val="FFFFFF"/>
                        </a:solidFill>
                        <a:ln w="9525">
                          <a:solidFill>
                            <a:srgbClr val="000000"/>
                          </a:solidFill>
                          <a:miter lim="800000"/>
                          <a:headEnd/>
                          <a:tailEnd/>
                        </a:ln>
                      </wps:spPr>
                      <wps:txbx>
                        <w:txbxContent>
                          <w:p w:rsidR="003C548E" w:rsidRDefault="003C548E" w:rsidP="00764FFF">
                            <w:bookmarkStart w:id="687" w:name="_Toc534972192"/>
                            <w:bookmarkStart w:id="688" w:name="_Toc11159008"/>
                            <w:bookmarkStart w:id="689" w:name="_Toc32512065"/>
                            <w:r w:rsidRPr="00A36F06">
                              <w:rPr>
                                <w:rFonts w:ascii="Times New Roman" w:hAnsi="Times New Roman"/>
                                <w:b/>
                                <w:sz w:val="20"/>
                              </w:rPr>
                              <w:t xml:space="preserve">Photo </w:t>
                            </w:r>
                            <w:r w:rsidRPr="00A36F06">
                              <w:rPr>
                                <w:rFonts w:ascii="Times New Roman" w:hAnsi="Times New Roman"/>
                                <w:b/>
                                <w:sz w:val="20"/>
                              </w:rPr>
                              <w:fldChar w:fldCharType="begin"/>
                            </w:r>
                            <w:r w:rsidRPr="00A36F06">
                              <w:rPr>
                                <w:rFonts w:ascii="Times New Roman" w:hAnsi="Times New Roman"/>
                                <w:b/>
                                <w:sz w:val="20"/>
                              </w:rPr>
                              <w:instrText xml:space="preserve"> </w:instrText>
                            </w:r>
                            <w:r>
                              <w:rPr>
                                <w:rFonts w:ascii="Times New Roman" w:hAnsi="Times New Roman"/>
                                <w:b/>
                                <w:sz w:val="20"/>
                              </w:rPr>
                              <w:instrText>SEQ</w:instrText>
                            </w:r>
                            <w:r w:rsidRPr="00A36F06">
                              <w:rPr>
                                <w:rFonts w:ascii="Times New Roman" w:hAnsi="Times New Roman"/>
                                <w:b/>
                                <w:sz w:val="20"/>
                              </w:rPr>
                              <w:instrText xml:space="preserve"> Photo \* ARABIC </w:instrText>
                            </w:r>
                            <w:r w:rsidRPr="00A36F06">
                              <w:rPr>
                                <w:rFonts w:ascii="Times New Roman" w:hAnsi="Times New Roman"/>
                                <w:b/>
                                <w:sz w:val="20"/>
                              </w:rPr>
                              <w:fldChar w:fldCharType="separate"/>
                            </w:r>
                            <w:r>
                              <w:rPr>
                                <w:rFonts w:ascii="Times New Roman" w:hAnsi="Times New Roman"/>
                                <w:b/>
                                <w:noProof/>
                                <w:sz w:val="20"/>
                              </w:rPr>
                              <w:t>14</w:t>
                            </w:r>
                            <w:r w:rsidRPr="00A36F06">
                              <w:rPr>
                                <w:rFonts w:ascii="Times New Roman" w:hAnsi="Times New Roman"/>
                                <w:b/>
                                <w:sz w:val="20"/>
                              </w:rPr>
                              <w:fldChar w:fldCharType="end"/>
                            </w:r>
                            <w:r w:rsidRPr="00A36F06">
                              <w:rPr>
                                <w:rFonts w:ascii="Times New Roman" w:hAnsi="Times New Roman"/>
                                <w:b/>
                                <w:sz w:val="20"/>
                              </w:rPr>
                              <w:t>: Aire de stockage des huiles usager</w:t>
                            </w:r>
                            <w:bookmarkEnd w:id="687"/>
                            <w:bookmarkEnd w:id="688"/>
                            <w:bookmarkEnd w:id="689"/>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00643024" id="_x0000_s1068" type="#_x0000_t202" style="position:absolute;left:0;text-align:left;margin-left:-18.9pt;margin-top:48.25pt;width:210.95pt;height:21.25pt;z-index:2522700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">
                <v:textbox>
                  <w:txbxContent>
                    <w:p w:rsidR="003C548E" w:rsidRDefault="003C548E" w:rsidP="00764FFF">
                      <w:bookmarkStart w:id="693" w:name="_Toc534972192"/>
                      <w:bookmarkStart w:id="694" w:name="_Toc11159008"/>
                      <w:bookmarkStart w:id="695" w:name="_Toc32512065"/>
                      <w:r w:rsidRPr="00A36F06">
                        <w:rPr>
                          <w:rFonts w:ascii="Times New Roman" w:hAnsi="Times New Roman"/>
                          <w:b/>
                          <w:sz w:val="20"/>
                        </w:rPr>
                        <w:t xml:space="preserve">Photo </w:t>
                      </w:r>
                      <w:r w:rsidRPr="00A36F06">
                        <w:rPr>
                          <w:rFonts w:ascii="Times New Roman" w:hAnsi="Times New Roman"/>
                          <w:b/>
                          <w:sz w:val="20"/>
                        </w:rPr>
                        <w:fldChar w:fldCharType="begin"/>
                      </w:r>
                      <w:r w:rsidRPr="00A36F06">
                        <w:rPr>
                          <w:rFonts w:ascii="Times New Roman" w:hAnsi="Times New Roman"/>
                          <w:b/>
                          <w:sz w:val="20"/>
                        </w:rPr>
                        <w:instrText xml:space="preserve"> </w:instrText>
                      </w:r>
                      <w:r>
                        <w:rPr>
                          <w:rFonts w:ascii="Times New Roman" w:hAnsi="Times New Roman"/>
                          <w:b/>
                          <w:sz w:val="20"/>
                        </w:rPr>
                        <w:instrText>SEQ</w:instrText>
                      </w:r>
                      <w:r w:rsidRPr="00A36F06">
                        <w:rPr>
                          <w:rFonts w:ascii="Times New Roman" w:hAnsi="Times New Roman"/>
                          <w:b/>
                          <w:sz w:val="20"/>
                        </w:rPr>
                        <w:instrText xml:space="preserve"> Photo \* ARABIC </w:instrText>
                      </w:r>
                      <w:r w:rsidRPr="00A36F06">
                        <w:rPr>
                          <w:rFonts w:ascii="Times New Roman" w:hAnsi="Times New Roman"/>
                          <w:b/>
                          <w:sz w:val="20"/>
                        </w:rPr>
                        <w:fldChar w:fldCharType="separate"/>
                      </w:r>
                      <w:r>
                        <w:rPr>
                          <w:rFonts w:ascii="Times New Roman" w:hAnsi="Times New Roman"/>
                          <w:b/>
                          <w:noProof/>
                          <w:sz w:val="20"/>
                        </w:rPr>
                        <w:t>14</w:t>
                      </w:r>
                      <w:r w:rsidRPr="00A36F06">
                        <w:rPr>
                          <w:rFonts w:ascii="Times New Roman" w:hAnsi="Times New Roman"/>
                          <w:b/>
                          <w:sz w:val="20"/>
                        </w:rPr>
                        <w:fldChar w:fldCharType="end"/>
                      </w:r>
                      <w:r w:rsidRPr="00A36F06">
                        <w:rPr>
                          <w:rFonts w:ascii="Times New Roman" w:hAnsi="Times New Roman"/>
                          <w:b/>
                          <w:sz w:val="20"/>
                        </w:rPr>
                        <w:t>: Aire de stockage des huiles usager</w:t>
                      </w:r>
                      <w:bookmarkEnd w:id="693"/>
                      <w:bookmarkEnd w:id="694"/>
                      <w:bookmarkEnd w:id="695"/>
                    </w:p>
                  </w:txbxContent>
                </v:textbox>
                <w10:wrap type="square"/>
              </v:shape>
            </w:pict>
          </mc:Fallback>
        </mc:AlternateContent>
      </w:r>
      <w:r w:rsidR="00764FFF" w:rsidRPr="00D335A7">
        <w:rPr>
          <w:rFonts w:ascii="Times New Roman" w:hAnsi="Times New Roman"/>
          <w:sz w:val="24"/>
          <w:szCs w:val="24"/>
        </w:rPr>
        <w:t>De faibles quantités d’huiles usées seront générées sur le site. Elles seront conditionnées dans des futs hermétiques et entreposées sur un sol protégé, à l’abri des eaux de pluie dans un lieu sécurisé en attendant leur récupération pour autres utilisations écologiquement acceptable.</w:t>
      </w:r>
    </w:p>
    <w:p w:rsidR="00764FFF" w:rsidRDefault="00764FFF" w:rsidP="00764FFF">
      <w:pPr>
        <w:spacing w:after="240"/>
        <w:jc w:val="both"/>
        <w:rPr>
          <w:rFonts w:ascii="Times New Roman" w:hAnsi="Times New Roman"/>
          <w:sz w:val="24"/>
          <w:szCs w:val="24"/>
        </w:rPr>
      </w:pPr>
      <w:r w:rsidRPr="00D335A7">
        <w:rPr>
          <w:rFonts w:ascii="Times New Roman" w:hAnsi="Times New Roman"/>
          <w:sz w:val="24"/>
          <w:szCs w:val="24"/>
        </w:rPr>
        <w:lastRenderedPageBreak/>
        <w:t>Pour les grandes quantités d’huiles (vidange de camions et engins), nous privilégierons le recours aux stations de service les plus proches pour vidanger de manière sécurisée.</w:t>
      </w:r>
    </w:p>
    <w:p w:rsidR="00764FFF" w:rsidRPr="00BF6A43" w:rsidRDefault="00764FFF" w:rsidP="00764FFF">
      <w:pPr>
        <w:spacing w:after="0"/>
        <w:jc w:val="center"/>
        <w:rPr>
          <w:rFonts w:ascii="Times New Roman" w:hAnsi="Times New Roman"/>
          <w:b/>
          <w:sz w:val="24"/>
          <w:szCs w:val="24"/>
        </w:rPr>
      </w:pPr>
      <w:bookmarkStart w:id="690" w:name="_Toc535408499"/>
      <w:bookmarkStart w:id="691" w:name="_Toc11158781"/>
      <w:bookmarkStart w:id="692" w:name="_Toc51074029"/>
      <w:r>
        <w:rPr>
          <w:rFonts w:ascii="Times New Roman" w:hAnsi="Times New Roman"/>
          <w:b/>
          <w:noProof/>
          <w:sz w:val="24"/>
          <w:szCs w:val="24"/>
          <w:lang w:val="pt-PT" w:eastAsia="pt-PT"/>
        </w:rPr>
        <w:drawing>
          <wp:anchor distT="0" distB="0" distL="114300" distR="114300" simplePos="0" relativeHeight="252243456" behindDoc="1" locked="0" layoutInCell="1" allowOverlap="1" wp14:anchorId="366FC07C" wp14:editId="78382418">
            <wp:simplePos x="0" y="0"/>
            <wp:positionH relativeFrom="margin">
              <wp:posOffset>4210050</wp:posOffset>
            </wp:positionH>
            <wp:positionV relativeFrom="margin">
              <wp:posOffset>-76418440</wp:posOffset>
            </wp:positionV>
            <wp:extent cx="3600450" cy="2427605"/>
            <wp:effectExtent l="0" t="0" r="0" b="0"/>
            <wp:wrapTight wrapText="bothSides">
              <wp:wrapPolygon edited="0">
                <wp:start x="0" y="0"/>
                <wp:lineTo x="0" y="21357"/>
                <wp:lineTo x="21486" y="21357"/>
                <wp:lineTo x="21486" y="0"/>
                <wp:lineTo x="0" y="0"/>
              </wp:wrapPolygon>
            </wp:wrapTight>
            <wp:docPr id="96" name="Imag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1"/>
                    <pic:cNvPicPr>
                      <a:picLocks noChangeAspect="1" noChangeArrowheads="1"/>
                    </pic:cNvPicPr>
                  </pic:nvPicPr>
                  <pic:blipFill>
                    <a:blip r:embed="rId151">
                      <a:extLst>
                        <a:ext uri="{28A0092B-C50C-407E-A947-70E740481C1C}">
                          <a14:useLocalDpi xmlns:a14="http://schemas.microsoft.com/office/drawing/2010/main"/>
                        </a:ext>
                      </a:extLst>
                    </a:blip>
                    <a:srcRect/>
                    <a:stretch>
                      <a:fillRect/>
                    </a:stretch>
                  </pic:blipFill>
                  <pic:spPr bwMode="auto">
                    <a:xfrm>
                      <a:off x="0" y="0"/>
                      <a:ext cx="3600450" cy="24276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F6A43">
        <w:rPr>
          <w:rFonts w:ascii="Times New Roman" w:hAnsi="Times New Roman"/>
          <w:b/>
          <w:sz w:val="20"/>
          <w:szCs w:val="20"/>
        </w:rPr>
        <w:t xml:space="preserve">Tableau </w:t>
      </w:r>
      <w:r w:rsidRPr="00BF6A43">
        <w:rPr>
          <w:rFonts w:ascii="Times New Roman" w:hAnsi="Times New Roman"/>
          <w:b/>
          <w:sz w:val="20"/>
          <w:szCs w:val="20"/>
        </w:rPr>
        <w:fldChar w:fldCharType="begin"/>
      </w:r>
      <w:r w:rsidRPr="00BF6A43">
        <w:rPr>
          <w:rFonts w:ascii="Times New Roman" w:hAnsi="Times New Roman"/>
          <w:b/>
          <w:sz w:val="20"/>
          <w:szCs w:val="20"/>
        </w:rPr>
        <w:instrText xml:space="preserve"> </w:instrText>
      </w:r>
      <w:r>
        <w:rPr>
          <w:rFonts w:ascii="Times New Roman" w:hAnsi="Times New Roman"/>
          <w:b/>
          <w:sz w:val="20"/>
          <w:szCs w:val="20"/>
        </w:rPr>
        <w:instrText>SEQ</w:instrText>
      </w:r>
      <w:r w:rsidRPr="00BF6A43">
        <w:rPr>
          <w:rFonts w:ascii="Times New Roman" w:hAnsi="Times New Roman"/>
          <w:b/>
          <w:sz w:val="20"/>
          <w:szCs w:val="20"/>
        </w:rPr>
        <w:instrText xml:space="preserve"> Tableau \* ARABIC </w:instrText>
      </w:r>
      <w:r w:rsidRPr="00BF6A43">
        <w:rPr>
          <w:rFonts w:ascii="Times New Roman" w:hAnsi="Times New Roman"/>
          <w:b/>
          <w:sz w:val="20"/>
          <w:szCs w:val="20"/>
        </w:rPr>
        <w:fldChar w:fldCharType="separate"/>
      </w:r>
      <w:r w:rsidR="00820701">
        <w:rPr>
          <w:rFonts w:ascii="Times New Roman" w:hAnsi="Times New Roman"/>
          <w:b/>
          <w:noProof/>
          <w:sz w:val="20"/>
          <w:szCs w:val="20"/>
        </w:rPr>
        <w:t>38</w:t>
      </w:r>
      <w:r w:rsidRPr="00BF6A43">
        <w:rPr>
          <w:rFonts w:ascii="Times New Roman" w:hAnsi="Times New Roman"/>
          <w:b/>
          <w:sz w:val="20"/>
          <w:szCs w:val="20"/>
        </w:rPr>
        <w:fldChar w:fldCharType="end"/>
      </w:r>
      <w:r w:rsidRPr="00BF6A43">
        <w:rPr>
          <w:rFonts w:ascii="Times New Roman" w:hAnsi="Times New Roman"/>
          <w:b/>
          <w:sz w:val="20"/>
          <w:szCs w:val="20"/>
        </w:rPr>
        <w:t xml:space="preserve"> : Plan indicatif de gestion des déchets de chantier</w:t>
      </w:r>
      <w:bookmarkEnd w:id="690"/>
      <w:bookmarkEnd w:id="691"/>
      <w:bookmarkEnd w:id="692"/>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3"/>
        <w:gridCol w:w="1598"/>
        <w:gridCol w:w="2146"/>
        <w:gridCol w:w="2486"/>
        <w:gridCol w:w="1504"/>
      </w:tblGrid>
      <w:tr w:rsidR="00764FFF" w:rsidRPr="00AA45E9" w:rsidTr="00764FFF">
        <w:tc>
          <w:tcPr>
            <w:tcW w:w="2023" w:type="dxa"/>
            <w:shd w:val="clear" w:color="auto" w:fill="1F3864"/>
            <w:vAlign w:val="center"/>
          </w:tcPr>
          <w:p w:rsidR="00764FFF" w:rsidRPr="00AA45E9" w:rsidRDefault="00764FFF" w:rsidP="00764FFF">
            <w:pPr>
              <w:spacing w:after="0"/>
              <w:jc w:val="center"/>
              <w:rPr>
                <w:rFonts w:ascii="Times New Roman" w:hAnsi="Times New Roman"/>
                <w:b/>
              </w:rPr>
            </w:pPr>
            <w:r w:rsidRPr="00AA45E9">
              <w:rPr>
                <w:rFonts w:ascii="Times New Roman" w:hAnsi="Times New Roman"/>
                <w:b/>
              </w:rPr>
              <w:t>NATURE DES DECHETS</w:t>
            </w:r>
          </w:p>
        </w:tc>
        <w:tc>
          <w:tcPr>
            <w:tcW w:w="1573" w:type="dxa"/>
            <w:shd w:val="clear" w:color="auto" w:fill="1F3864"/>
            <w:vAlign w:val="center"/>
          </w:tcPr>
          <w:p w:rsidR="00764FFF" w:rsidRPr="00AA45E9" w:rsidRDefault="00764FFF" w:rsidP="00764FFF">
            <w:pPr>
              <w:spacing w:after="0"/>
              <w:jc w:val="center"/>
              <w:rPr>
                <w:rFonts w:ascii="Times New Roman" w:hAnsi="Times New Roman"/>
                <w:b/>
              </w:rPr>
            </w:pPr>
            <w:r w:rsidRPr="00AA45E9">
              <w:rPr>
                <w:rFonts w:ascii="Times New Roman" w:hAnsi="Times New Roman"/>
                <w:b/>
              </w:rPr>
              <w:t>QUANTITE MENSUELLE</w:t>
            </w:r>
          </w:p>
        </w:tc>
        <w:tc>
          <w:tcPr>
            <w:tcW w:w="2155" w:type="dxa"/>
            <w:shd w:val="clear" w:color="auto" w:fill="1F3864"/>
            <w:vAlign w:val="center"/>
          </w:tcPr>
          <w:p w:rsidR="00764FFF" w:rsidRPr="00AA45E9" w:rsidRDefault="00764FFF" w:rsidP="00764FFF">
            <w:pPr>
              <w:spacing w:after="0"/>
              <w:jc w:val="center"/>
              <w:rPr>
                <w:rFonts w:ascii="Times New Roman" w:hAnsi="Times New Roman"/>
                <w:b/>
              </w:rPr>
            </w:pPr>
            <w:r w:rsidRPr="00AA45E9">
              <w:rPr>
                <w:rFonts w:ascii="Times New Roman" w:hAnsi="Times New Roman"/>
                <w:b/>
              </w:rPr>
              <w:t>MODE ET LIEU DE STOCKAGE</w:t>
            </w:r>
          </w:p>
        </w:tc>
        <w:tc>
          <w:tcPr>
            <w:tcW w:w="2492" w:type="dxa"/>
            <w:shd w:val="clear" w:color="auto" w:fill="1F3864"/>
            <w:vAlign w:val="center"/>
          </w:tcPr>
          <w:p w:rsidR="00764FFF" w:rsidRPr="00AA45E9" w:rsidRDefault="00764FFF" w:rsidP="00764FFF">
            <w:pPr>
              <w:spacing w:after="0"/>
              <w:jc w:val="center"/>
              <w:rPr>
                <w:rFonts w:ascii="Times New Roman" w:hAnsi="Times New Roman"/>
                <w:b/>
              </w:rPr>
            </w:pPr>
            <w:r w:rsidRPr="00AA45E9">
              <w:rPr>
                <w:rFonts w:ascii="Times New Roman" w:hAnsi="Times New Roman"/>
                <w:b/>
              </w:rPr>
              <w:t>MODE D’ELIMINATION</w:t>
            </w:r>
          </w:p>
        </w:tc>
        <w:tc>
          <w:tcPr>
            <w:tcW w:w="1504" w:type="dxa"/>
            <w:shd w:val="clear" w:color="auto" w:fill="1F3864"/>
            <w:vAlign w:val="center"/>
          </w:tcPr>
          <w:p w:rsidR="00764FFF" w:rsidRPr="00AA45E9" w:rsidRDefault="00764FFF" w:rsidP="00764FFF">
            <w:pPr>
              <w:spacing w:after="0"/>
              <w:jc w:val="center"/>
              <w:rPr>
                <w:rFonts w:ascii="Times New Roman" w:hAnsi="Times New Roman"/>
                <w:b/>
              </w:rPr>
            </w:pPr>
            <w:r w:rsidRPr="00AA45E9">
              <w:rPr>
                <w:rFonts w:ascii="Times New Roman" w:hAnsi="Times New Roman"/>
                <w:b/>
              </w:rPr>
              <w:t>MODE DE CONTRÔLE</w:t>
            </w:r>
          </w:p>
        </w:tc>
      </w:tr>
      <w:tr w:rsidR="00764FFF" w:rsidRPr="00AA45E9" w:rsidTr="00764FFF">
        <w:trPr>
          <w:trHeight w:val="1988"/>
        </w:trPr>
        <w:tc>
          <w:tcPr>
            <w:tcW w:w="2023" w:type="dxa"/>
            <w:vAlign w:val="center"/>
          </w:tcPr>
          <w:p w:rsidR="00764FFF" w:rsidRPr="00AA45E9" w:rsidRDefault="00764FFF" w:rsidP="00764FFF">
            <w:pPr>
              <w:spacing w:after="240"/>
              <w:jc w:val="center"/>
              <w:rPr>
                <w:rFonts w:ascii="Times New Roman" w:hAnsi="Times New Roman"/>
              </w:rPr>
            </w:pPr>
            <w:r w:rsidRPr="00AA45E9">
              <w:rPr>
                <w:rFonts w:ascii="Times New Roman" w:hAnsi="Times New Roman"/>
              </w:rPr>
              <w:t>Huiles, lubrifiants, carburants, graisses</w:t>
            </w:r>
          </w:p>
        </w:tc>
        <w:tc>
          <w:tcPr>
            <w:tcW w:w="1573" w:type="dxa"/>
            <w:vAlign w:val="center"/>
          </w:tcPr>
          <w:p w:rsidR="00764FFF" w:rsidRPr="00AA45E9" w:rsidRDefault="00764FFF" w:rsidP="00764FFF">
            <w:pPr>
              <w:spacing w:after="240"/>
              <w:jc w:val="center"/>
              <w:rPr>
                <w:rFonts w:ascii="Times New Roman" w:hAnsi="Times New Roman"/>
              </w:rPr>
            </w:pPr>
          </w:p>
        </w:tc>
        <w:tc>
          <w:tcPr>
            <w:tcW w:w="2155" w:type="dxa"/>
            <w:vAlign w:val="center"/>
          </w:tcPr>
          <w:p w:rsidR="00764FFF" w:rsidRPr="00AA45E9" w:rsidRDefault="00764FFF" w:rsidP="004F7F5E">
            <w:pPr>
              <w:spacing w:after="0"/>
              <w:jc w:val="center"/>
              <w:rPr>
                <w:rFonts w:ascii="Times New Roman" w:hAnsi="Times New Roman"/>
              </w:rPr>
            </w:pPr>
            <w:r w:rsidRPr="00AA45E9">
              <w:rPr>
                <w:rFonts w:ascii="Times New Roman" w:hAnsi="Times New Roman"/>
              </w:rPr>
              <w:t>Récupération dans des futs étanches</w:t>
            </w:r>
          </w:p>
          <w:p w:rsidR="00764FFF" w:rsidRPr="00AA45E9" w:rsidRDefault="00764FFF" w:rsidP="004F7F5E">
            <w:pPr>
              <w:spacing w:after="0"/>
              <w:jc w:val="center"/>
              <w:rPr>
                <w:rFonts w:ascii="Times New Roman" w:hAnsi="Times New Roman"/>
              </w:rPr>
            </w:pPr>
            <w:r w:rsidRPr="00AA45E9">
              <w:rPr>
                <w:rFonts w:ascii="Times New Roman" w:hAnsi="Times New Roman"/>
              </w:rPr>
              <w:t>Stockage sur un sol bétonné à l’abri de l’eau et du feu</w:t>
            </w:r>
          </w:p>
          <w:p w:rsidR="00764FFF" w:rsidRPr="00AA45E9" w:rsidRDefault="00764FFF" w:rsidP="004F7F5E">
            <w:pPr>
              <w:spacing w:after="0"/>
              <w:jc w:val="center"/>
              <w:rPr>
                <w:rFonts w:ascii="Times New Roman" w:hAnsi="Times New Roman"/>
              </w:rPr>
            </w:pPr>
            <w:r w:rsidRPr="00AA45E9">
              <w:rPr>
                <w:rFonts w:ascii="Times New Roman" w:hAnsi="Times New Roman"/>
              </w:rPr>
              <w:t>Stockage</w:t>
            </w:r>
          </w:p>
        </w:tc>
        <w:tc>
          <w:tcPr>
            <w:tcW w:w="2492" w:type="dxa"/>
            <w:vAlign w:val="center"/>
          </w:tcPr>
          <w:p w:rsidR="00764FFF" w:rsidRPr="00AA45E9" w:rsidRDefault="00764FFF" w:rsidP="00764FFF">
            <w:pPr>
              <w:spacing w:after="240"/>
              <w:jc w:val="center"/>
              <w:rPr>
                <w:rFonts w:ascii="Times New Roman" w:hAnsi="Times New Roman"/>
              </w:rPr>
            </w:pPr>
            <w:r w:rsidRPr="00AA45E9">
              <w:rPr>
                <w:rFonts w:ascii="Times New Roman" w:hAnsi="Times New Roman"/>
              </w:rPr>
              <w:t>Recyclage par réutilisation.</w:t>
            </w:r>
            <w:r w:rsidR="00FD76D7">
              <w:rPr>
                <w:rFonts w:ascii="Times New Roman" w:hAnsi="Times New Roman"/>
              </w:rPr>
              <w:t xml:space="preserve"> </w:t>
            </w:r>
            <w:r w:rsidR="00FD76D7" w:rsidRPr="00FD76D7">
              <w:rPr>
                <w:rFonts w:ascii="Times New Roman" w:hAnsi="Times New Roman" w:cs="Times New Roman"/>
              </w:rPr>
              <w:t>(conforme aux directives HSE de la Banque Mondiale voir point 3.5.)</w:t>
            </w:r>
          </w:p>
        </w:tc>
        <w:tc>
          <w:tcPr>
            <w:tcW w:w="1504" w:type="dxa"/>
            <w:vAlign w:val="center"/>
          </w:tcPr>
          <w:p w:rsidR="00764FFF" w:rsidRPr="00AA45E9" w:rsidRDefault="00764FFF" w:rsidP="00764FFF">
            <w:pPr>
              <w:spacing w:after="240"/>
              <w:jc w:val="center"/>
              <w:rPr>
                <w:rFonts w:ascii="Times New Roman" w:hAnsi="Times New Roman"/>
              </w:rPr>
            </w:pPr>
            <w:r w:rsidRPr="00AA45E9">
              <w:rPr>
                <w:rFonts w:ascii="Times New Roman" w:hAnsi="Times New Roman"/>
              </w:rPr>
              <w:t>Photos</w:t>
            </w:r>
          </w:p>
          <w:p w:rsidR="00764FFF" w:rsidRPr="00AA45E9" w:rsidRDefault="00764FFF" w:rsidP="00764FFF">
            <w:pPr>
              <w:spacing w:after="240"/>
              <w:jc w:val="center"/>
              <w:rPr>
                <w:rFonts w:ascii="Times New Roman" w:hAnsi="Times New Roman"/>
              </w:rPr>
            </w:pPr>
          </w:p>
        </w:tc>
      </w:tr>
      <w:tr w:rsidR="00764FFF" w:rsidRPr="00AA45E9" w:rsidTr="00764FFF">
        <w:tc>
          <w:tcPr>
            <w:tcW w:w="2023" w:type="dxa"/>
            <w:vAlign w:val="center"/>
          </w:tcPr>
          <w:p w:rsidR="00764FFF" w:rsidRPr="00AA45E9" w:rsidRDefault="00764FFF" w:rsidP="00764FFF">
            <w:pPr>
              <w:spacing w:after="240"/>
              <w:jc w:val="center"/>
              <w:rPr>
                <w:rFonts w:ascii="Times New Roman" w:hAnsi="Times New Roman"/>
              </w:rPr>
            </w:pPr>
            <w:r w:rsidRPr="00AA45E9">
              <w:rPr>
                <w:rFonts w:ascii="Times New Roman" w:hAnsi="Times New Roman"/>
              </w:rPr>
              <w:t>Papier- bois- carton</w:t>
            </w:r>
          </w:p>
        </w:tc>
        <w:tc>
          <w:tcPr>
            <w:tcW w:w="1573" w:type="dxa"/>
            <w:vAlign w:val="center"/>
          </w:tcPr>
          <w:p w:rsidR="00764FFF" w:rsidRPr="00AA45E9" w:rsidRDefault="00764FFF" w:rsidP="00764FFF">
            <w:pPr>
              <w:spacing w:after="240"/>
              <w:jc w:val="center"/>
              <w:rPr>
                <w:rFonts w:ascii="Times New Roman" w:hAnsi="Times New Roman"/>
              </w:rPr>
            </w:pPr>
          </w:p>
        </w:tc>
        <w:tc>
          <w:tcPr>
            <w:tcW w:w="2155" w:type="dxa"/>
            <w:vAlign w:val="center"/>
          </w:tcPr>
          <w:p w:rsidR="00764FFF" w:rsidRPr="00AA45E9" w:rsidRDefault="00764FFF" w:rsidP="00764FFF">
            <w:pPr>
              <w:spacing w:after="240"/>
              <w:jc w:val="center"/>
              <w:rPr>
                <w:rFonts w:ascii="Times New Roman" w:hAnsi="Times New Roman"/>
              </w:rPr>
            </w:pPr>
            <w:r w:rsidRPr="00AA45E9">
              <w:rPr>
                <w:rFonts w:ascii="Times New Roman" w:hAnsi="Times New Roman"/>
              </w:rPr>
              <w:t>Stockage dans des poubelles</w:t>
            </w:r>
          </w:p>
          <w:p w:rsidR="00764FFF" w:rsidRPr="00AA45E9" w:rsidRDefault="00764FFF" w:rsidP="00764FFF">
            <w:pPr>
              <w:spacing w:after="0"/>
              <w:jc w:val="center"/>
              <w:rPr>
                <w:rFonts w:ascii="Times New Roman" w:hAnsi="Times New Roman"/>
              </w:rPr>
            </w:pPr>
            <w:r w:rsidRPr="00AA45E9">
              <w:rPr>
                <w:rFonts w:ascii="Times New Roman" w:hAnsi="Times New Roman"/>
              </w:rPr>
              <w:t>Brulage dans incinérateur de jardin</w:t>
            </w:r>
          </w:p>
        </w:tc>
        <w:tc>
          <w:tcPr>
            <w:tcW w:w="2492" w:type="dxa"/>
            <w:vAlign w:val="center"/>
          </w:tcPr>
          <w:p w:rsidR="00764FFF" w:rsidRPr="00AA45E9" w:rsidRDefault="00764FFF" w:rsidP="00764FFF">
            <w:pPr>
              <w:spacing w:after="240"/>
              <w:jc w:val="center"/>
              <w:rPr>
                <w:rFonts w:ascii="Times New Roman" w:hAnsi="Times New Roman"/>
              </w:rPr>
            </w:pPr>
            <w:r w:rsidRPr="00AA45E9">
              <w:rPr>
                <w:rFonts w:ascii="Times New Roman" w:hAnsi="Times New Roman"/>
              </w:rPr>
              <w:t>Brulage journalier par combustion complète</w:t>
            </w:r>
            <w:r w:rsidR="00FD76D7">
              <w:rPr>
                <w:rFonts w:ascii="Times New Roman" w:hAnsi="Times New Roman"/>
              </w:rPr>
              <w:t xml:space="preserve">. (NB : </w:t>
            </w:r>
            <w:r w:rsidR="00FD76D7" w:rsidRPr="0075081D">
              <w:rPr>
                <w:rFonts w:ascii="Times New Roman" w:hAnsi="Times New Roman" w:cs="Times New Roman"/>
                <w:sz w:val="20"/>
                <w:szCs w:val="20"/>
              </w:rPr>
              <w:t>Ce brûlage doit faire l’objet d’une autorisation délivrée par l’Autorité en charge de l’environnement. La mission de contrôle devra vérifier l’existence du permis avant le démarrage des travaux</w:t>
            </w:r>
            <w:r w:rsidR="00FD76D7">
              <w:rPr>
                <w:rFonts w:ascii="Times New Roman" w:hAnsi="Times New Roman" w:cs="Times New Roman"/>
                <w:sz w:val="20"/>
                <w:szCs w:val="20"/>
              </w:rPr>
              <w:t>)</w:t>
            </w:r>
          </w:p>
        </w:tc>
        <w:tc>
          <w:tcPr>
            <w:tcW w:w="1504" w:type="dxa"/>
            <w:vAlign w:val="center"/>
          </w:tcPr>
          <w:p w:rsidR="00764FFF" w:rsidRPr="00AA45E9" w:rsidRDefault="00764FFF" w:rsidP="00764FFF">
            <w:pPr>
              <w:spacing w:after="240"/>
              <w:jc w:val="center"/>
              <w:rPr>
                <w:rFonts w:ascii="Times New Roman" w:hAnsi="Times New Roman"/>
              </w:rPr>
            </w:pPr>
            <w:r w:rsidRPr="00AA45E9">
              <w:rPr>
                <w:rFonts w:ascii="Times New Roman" w:hAnsi="Times New Roman"/>
              </w:rPr>
              <w:t>Photos</w:t>
            </w:r>
          </w:p>
        </w:tc>
      </w:tr>
    </w:tbl>
    <w:p w:rsidR="00764FFF" w:rsidRDefault="00764FFF" w:rsidP="00764FFF">
      <w:pPr>
        <w:overflowPunct w:val="0"/>
        <w:autoSpaceDE w:val="0"/>
        <w:autoSpaceDN w:val="0"/>
        <w:adjustRightInd w:val="0"/>
        <w:spacing w:after="0" w:line="276" w:lineRule="auto"/>
        <w:rPr>
          <w:rFonts w:ascii="Times New Roman" w:hAnsi="Times New Roman"/>
          <w:b/>
          <w:bCs/>
          <w:sz w:val="24"/>
          <w:szCs w:val="24"/>
          <w:lang w:eastAsia="fr-FR"/>
        </w:rPr>
      </w:pPr>
    </w:p>
    <w:p w:rsidR="00764FFF" w:rsidRPr="00D335A7" w:rsidRDefault="00764FFF" w:rsidP="00764FFF">
      <w:pPr>
        <w:ind w:left="-284"/>
        <w:jc w:val="both"/>
        <w:rPr>
          <w:rFonts w:ascii="Times New Roman" w:hAnsi="Times New Roman"/>
          <w:sz w:val="24"/>
          <w:szCs w:val="24"/>
        </w:rPr>
      </w:pPr>
      <w:r w:rsidRPr="00D335A7">
        <w:rPr>
          <w:rFonts w:ascii="Times New Roman" w:hAnsi="Times New Roman"/>
          <w:sz w:val="24"/>
          <w:szCs w:val="24"/>
        </w:rPr>
        <w:t>Souvent, au cours des travaux, les activités des entreprises sont à l’origine de la production de grandes quantités de déchets solides et liquides (destruction de constructions, abattage d’arbres, production de déchets plastiques, de bois, de cartons, de batteries usagées, d’huile de vidange, de pièces de rechange mécaniques, déversement de bitume et de toutes sortes de déchets dangereux ou spéciaux) et qu’il faudra gérer rigoureusement. Ces déchets viennent s’ajouter aux déchets déjà produits par les populations riveraines</w:t>
      </w:r>
    </w:p>
    <w:p w:rsidR="00764FFF" w:rsidRPr="00D335A7" w:rsidRDefault="00764FFF" w:rsidP="00764FFF">
      <w:pPr>
        <w:ind w:left="-284"/>
        <w:jc w:val="both"/>
        <w:rPr>
          <w:rFonts w:ascii="Times New Roman" w:hAnsi="Times New Roman"/>
          <w:sz w:val="24"/>
          <w:szCs w:val="24"/>
        </w:rPr>
      </w:pPr>
      <w:r w:rsidRPr="00D335A7">
        <w:rPr>
          <w:rFonts w:ascii="Times New Roman" w:hAnsi="Times New Roman"/>
          <w:sz w:val="24"/>
          <w:szCs w:val="24"/>
        </w:rPr>
        <w:t xml:space="preserve">Les travaux de construction des chambres de visite et station sont en général une source de grande production de déchets solides au niveau des bases vie ou technique. </w:t>
      </w:r>
    </w:p>
    <w:p w:rsidR="00764FFF" w:rsidRPr="00D335A7" w:rsidRDefault="00764FFF" w:rsidP="00764FFF">
      <w:pPr>
        <w:ind w:left="-284"/>
        <w:jc w:val="both"/>
        <w:rPr>
          <w:rFonts w:ascii="Times New Roman" w:hAnsi="Times New Roman"/>
          <w:sz w:val="24"/>
          <w:szCs w:val="24"/>
        </w:rPr>
      </w:pPr>
      <w:r w:rsidRPr="00D335A7">
        <w:rPr>
          <w:rFonts w:ascii="Times New Roman" w:hAnsi="Times New Roman"/>
          <w:sz w:val="24"/>
          <w:szCs w:val="24"/>
        </w:rPr>
        <w:t>Ainsi, pour une gestion écologiquement rationnelle de ces déchets, lors des travaux, plusieurs recommandations et suggestions sont formulées :</w:t>
      </w:r>
    </w:p>
    <w:p w:rsidR="00764FFF" w:rsidRPr="00D335A7" w:rsidRDefault="00764FFF" w:rsidP="00764FFF">
      <w:pPr>
        <w:ind w:left="-284"/>
        <w:jc w:val="both"/>
        <w:rPr>
          <w:rFonts w:ascii="Times New Roman" w:hAnsi="Times New Roman"/>
          <w:sz w:val="24"/>
          <w:szCs w:val="24"/>
        </w:rPr>
      </w:pPr>
      <w:r w:rsidRPr="00D335A7">
        <w:rPr>
          <w:rFonts w:ascii="Times New Roman" w:hAnsi="Times New Roman"/>
          <w:b/>
          <w:bCs/>
          <w:sz w:val="24"/>
          <w:szCs w:val="24"/>
        </w:rPr>
        <w:t>R 1</w:t>
      </w:r>
      <w:r w:rsidRPr="00D335A7">
        <w:rPr>
          <w:rFonts w:ascii="Times New Roman" w:hAnsi="Times New Roman"/>
          <w:sz w:val="24"/>
          <w:szCs w:val="24"/>
        </w:rPr>
        <w:t xml:space="preserve"> – Il est suggéré à ce que le maître d’ouvrage veille à ce que l’entreprise présente un </w:t>
      </w:r>
      <w:r w:rsidRPr="00FD76D7">
        <w:rPr>
          <w:rFonts w:ascii="Times New Roman" w:hAnsi="Times New Roman"/>
          <w:b/>
          <w:sz w:val="24"/>
          <w:szCs w:val="24"/>
        </w:rPr>
        <w:t>plan de gestion écologiquement rationnel (PGERD) des déchets</w:t>
      </w:r>
      <w:r w:rsidRPr="00D335A7">
        <w:rPr>
          <w:rFonts w:ascii="Times New Roman" w:hAnsi="Times New Roman"/>
          <w:sz w:val="24"/>
          <w:szCs w:val="24"/>
        </w:rPr>
        <w:t xml:space="preserve"> </w:t>
      </w:r>
      <w:r w:rsidR="00FD76D7" w:rsidRPr="00D649B6">
        <w:rPr>
          <w:rFonts w:ascii="Times New Roman" w:hAnsi="Times New Roman"/>
          <w:sz w:val="24"/>
          <w:szCs w:val="24"/>
        </w:rPr>
        <w:t>(Ce plan est un élément essentiel du PGES Chantier et il devra être validé par la mission de contrôle et la Banque Mondiale avant le démarrage des travaux.)</w:t>
      </w:r>
      <w:r w:rsidR="00FD76D7" w:rsidRPr="00606254">
        <w:rPr>
          <w:rFonts w:ascii="Times New Roman" w:hAnsi="Times New Roman"/>
          <w:sz w:val="24"/>
          <w:szCs w:val="24"/>
        </w:rPr>
        <w:t xml:space="preserve"> </w:t>
      </w:r>
      <w:r w:rsidRPr="00D335A7">
        <w:rPr>
          <w:rFonts w:ascii="Times New Roman" w:hAnsi="Times New Roman"/>
          <w:sz w:val="24"/>
          <w:szCs w:val="24"/>
        </w:rPr>
        <w:t xml:space="preserve">générés par leurs activités. </w:t>
      </w:r>
    </w:p>
    <w:p w:rsidR="00764FFF" w:rsidRDefault="00764FFF" w:rsidP="00764FFF">
      <w:pPr>
        <w:ind w:left="-284"/>
        <w:jc w:val="both"/>
        <w:rPr>
          <w:rFonts w:ascii="Times New Roman" w:hAnsi="Times New Roman"/>
          <w:sz w:val="24"/>
          <w:szCs w:val="24"/>
        </w:rPr>
      </w:pPr>
      <w:r w:rsidRPr="00D335A7">
        <w:rPr>
          <w:rFonts w:ascii="Times New Roman" w:hAnsi="Times New Roman"/>
          <w:sz w:val="24"/>
          <w:szCs w:val="24"/>
        </w:rPr>
        <w:t>Ce plan devra comporter au moins :</w:t>
      </w:r>
    </w:p>
    <w:p w:rsidR="00764FFF" w:rsidRPr="00D335A7" w:rsidRDefault="00764FFF" w:rsidP="00FA3FAE">
      <w:pPr>
        <w:numPr>
          <w:ilvl w:val="0"/>
          <w:numId w:val="118"/>
        </w:numPr>
        <w:spacing w:after="0" w:line="240" w:lineRule="auto"/>
        <w:jc w:val="both"/>
        <w:rPr>
          <w:rFonts w:ascii="Times New Roman" w:hAnsi="Times New Roman"/>
          <w:sz w:val="24"/>
          <w:szCs w:val="24"/>
        </w:rPr>
      </w:pPr>
      <w:r w:rsidRPr="00D335A7">
        <w:rPr>
          <w:rFonts w:ascii="Times New Roman" w:hAnsi="Times New Roman"/>
          <w:sz w:val="24"/>
          <w:szCs w:val="24"/>
        </w:rPr>
        <w:t>mise en place d’un système collectif de ramassage et de stockage des déchets solides sur l’ensemble du chantier sur la base-vie. La mission de contrôle devra veiller à son effectivité et à son bon fonctionnement ;</w:t>
      </w:r>
    </w:p>
    <w:p w:rsidR="00764FFF" w:rsidRPr="00BF6A43" w:rsidRDefault="00764FFF" w:rsidP="00FA3FAE">
      <w:pPr>
        <w:numPr>
          <w:ilvl w:val="0"/>
          <w:numId w:val="118"/>
        </w:numPr>
        <w:tabs>
          <w:tab w:val="num" w:pos="2140"/>
        </w:tabs>
        <w:spacing w:after="0" w:line="240" w:lineRule="auto"/>
        <w:jc w:val="both"/>
        <w:rPr>
          <w:rFonts w:ascii="Times New Roman" w:hAnsi="Times New Roman"/>
          <w:sz w:val="24"/>
          <w:szCs w:val="24"/>
        </w:rPr>
      </w:pPr>
      <w:r w:rsidRPr="00D335A7">
        <w:rPr>
          <w:rFonts w:ascii="Times New Roman" w:hAnsi="Times New Roman"/>
          <w:sz w:val="24"/>
          <w:szCs w:val="24"/>
        </w:rPr>
        <w:t>utilisation d’une sous-soleuse afin de remuer la terre aux endroits les plus sensibles, particulièrement au niveau des zones cultivées ;</w:t>
      </w:r>
    </w:p>
    <w:p w:rsidR="00764FFF" w:rsidRPr="00D335A7" w:rsidRDefault="00764FFF" w:rsidP="00FA3FAE">
      <w:pPr>
        <w:numPr>
          <w:ilvl w:val="0"/>
          <w:numId w:val="118"/>
        </w:numPr>
        <w:spacing w:after="0" w:line="240" w:lineRule="auto"/>
        <w:jc w:val="both"/>
        <w:rPr>
          <w:rFonts w:ascii="Times New Roman" w:hAnsi="Times New Roman"/>
          <w:sz w:val="24"/>
          <w:szCs w:val="24"/>
        </w:rPr>
      </w:pPr>
      <w:r w:rsidRPr="00D335A7">
        <w:rPr>
          <w:rFonts w:ascii="Times New Roman" w:hAnsi="Times New Roman"/>
          <w:sz w:val="24"/>
          <w:szCs w:val="24"/>
        </w:rPr>
        <w:t>une liste des sites occupés par l’entreprise ;</w:t>
      </w:r>
    </w:p>
    <w:p w:rsidR="00764FFF" w:rsidRPr="00D335A7" w:rsidRDefault="00764FFF" w:rsidP="00FA3FAE">
      <w:pPr>
        <w:numPr>
          <w:ilvl w:val="0"/>
          <w:numId w:val="118"/>
        </w:numPr>
        <w:spacing w:after="0" w:line="240" w:lineRule="auto"/>
        <w:jc w:val="both"/>
        <w:rPr>
          <w:rFonts w:ascii="Times New Roman" w:hAnsi="Times New Roman"/>
          <w:sz w:val="24"/>
          <w:szCs w:val="24"/>
        </w:rPr>
      </w:pPr>
      <w:r w:rsidRPr="00D335A7">
        <w:rPr>
          <w:rFonts w:ascii="Times New Roman" w:hAnsi="Times New Roman"/>
          <w:sz w:val="24"/>
          <w:szCs w:val="24"/>
        </w:rPr>
        <w:t>le nombre de conteneurs prévus pour la collecte des déchets générés ;</w:t>
      </w:r>
    </w:p>
    <w:p w:rsidR="00764FFF" w:rsidRPr="00D335A7" w:rsidRDefault="00764FFF" w:rsidP="00FA3FAE">
      <w:pPr>
        <w:numPr>
          <w:ilvl w:val="0"/>
          <w:numId w:val="118"/>
        </w:numPr>
        <w:spacing w:after="0" w:line="240" w:lineRule="auto"/>
        <w:jc w:val="both"/>
        <w:rPr>
          <w:rFonts w:ascii="Times New Roman" w:hAnsi="Times New Roman"/>
          <w:sz w:val="24"/>
          <w:szCs w:val="24"/>
        </w:rPr>
      </w:pPr>
      <w:r w:rsidRPr="00D335A7">
        <w:rPr>
          <w:rFonts w:ascii="Times New Roman" w:hAnsi="Times New Roman"/>
          <w:sz w:val="24"/>
          <w:szCs w:val="24"/>
        </w:rPr>
        <w:t>le nombre de bacs ou demi-fûts prévus pour recevoir la collecte intermédiaire et journalière des ordures ;</w:t>
      </w:r>
    </w:p>
    <w:p w:rsidR="00764FFF" w:rsidRPr="00D335A7" w:rsidRDefault="00764FFF" w:rsidP="00FA3FAE">
      <w:pPr>
        <w:numPr>
          <w:ilvl w:val="0"/>
          <w:numId w:val="118"/>
        </w:numPr>
        <w:spacing w:after="0" w:line="240" w:lineRule="auto"/>
        <w:jc w:val="both"/>
        <w:rPr>
          <w:rFonts w:ascii="Times New Roman" w:hAnsi="Times New Roman"/>
          <w:sz w:val="24"/>
          <w:szCs w:val="24"/>
        </w:rPr>
      </w:pPr>
      <w:r w:rsidRPr="00D335A7">
        <w:rPr>
          <w:rFonts w:ascii="Times New Roman" w:hAnsi="Times New Roman"/>
          <w:sz w:val="24"/>
          <w:szCs w:val="24"/>
        </w:rPr>
        <w:lastRenderedPageBreak/>
        <w:t>le nombre de seaux prévus pour les bureaux s’il en existe ;</w:t>
      </w:r>
    </w:p>
    <w:p w:rsidR="00764FFF" w:rsidRPr="00D335A7" w:rsidRDefault="00764FFF" w:rsidP="00FA3FAE">
      <w:pPr>
        <w:numPr>
          <w:ilvl w:val="0"/>
          <w:numId w:val="118"/>
        </w:numPr>
        <w:spacing w:after="0" w:line="240" w:lineRule="auto"/>
        <w:jc w:val="both"/>
        <w:rPr>
          <w:rFonts w:ascii="Times New Roman" w:hAnsi="Times New Roman"/>
          <w:sz w:val="24"/>
          <w:szCs w:val="24"/>
        </w:rPr>
      </w:pPr>
      <w:r w:rsidRPr="00D335A7">
        <w:rPr>
          <w:rFonts w:ascii="Times New Roman" w:hAnsi="Times New Roman"/>
          <w:sz w:val="24"/>
          <w:szCs w:val="24"/>
        </w:rPr>
        <w:t xml:space="preserve">le système de </w:t>
      </w:r>
      <w:r w:rsidR="00FD76D7" w:rsidRPr="00206F59">
        <w:rPr>
          <w:rFonts w:ascii="Times New Roman" w:hAnsi="Times New Roman"/>
          <w:sz w:val="24"/>
          <w:szCs w:val="24"/>
        </w:rPr>
        <w:t>tri</w:t>
      </w:r>
      <w:r w:rsidR="00FD76D7">
        <w:rPr>
          <w:rFonts w:ascii="Times New Roman" w:hAnsi="Times New Roman"/>
          <w:sz w:val="24"/>
          <w:szCs w:val="24"/>
        </w:rPr>
        <w:t>/séparation</w:t>
      </w:r>
      <w:r w:rsidRPr="00D335A7">
        <w:rPr>
          <w:rFonts w:ascii="Times New Roman" w:hAnsi="Times New Roman"/>
          <w:sz w:val="24"/>
          <w:szCs w:val="24"/>
        </w:rPr>
        <w:t xml:space="preserve"> à la source des ordures prévu avec au moins trois grandes catégories :</w:t>
      </w:r>
    </w:p>
    <w:p w:rsidR="00764FFF" w:rsidRPr="00D335A7" w:rsidRDefault="00764FFF" w:rsidP="00FA3FAE">
      <w:pPr>
        <w:numPr>
          <w:ilvl w:val="1"/>
          <w:numId w:val="118"/>
        </w:numPr>
        <w:spacing w:after="0" w:line="240" w:lineRule="auto"/>
        <w:jc w:val="both"/>
        <w:rPr>
          <w:rFonts w:ascii="Times New Roman" w:hAnsi="Times New Roman"/>
          <w:sz w:val="24"/>
          <w:szCs w:val="24"/>
        </w:rPr>
      </w:pPr>
      <w:r w:rsidRPr="00D335A7">
        <w:rPr>
          <w:rFonts w:ascii="Times New Roman" w:hAnsi="Times New Roman"/>
          <w:sz w:val="24"/>
          <w:szCs w:val="24"/>
        </w:rPr>
        <w:t>les déchets souillés (pièces mécaniques usagées, chiffons souillés, batterie morte, filtre à huile, la pneumatique souillée etc.</w:t>
      </w:r>
    </w:p>
    <w:p w:rsidR="00764FFF" w:rsidRPr="00D335A7" w:rsidRDefault="00764FFF" w:rsidP="00FA3FAE">
      <w:pPr>
        <w:numPr>
          <w:ilvl w:val="1"/>
          <w:numId w:val="118"/>
        </w:numPr>
        <w:spacing w:after="0" w:line="240" w:lineRule="auto"/>
        <w:jc w:val="both"/>
        <w:rPr>
          <w:rFonts w:ascii="Times New Roman" w:hAnsi="Times New Roman"/>
          <w:sz w:val="24"/>
          <w:szCs w:val="24"/>
        </w:rPr>
      </w:pPr>
      <w:r w:rsidRPr="00D335A7">
        <w:rPr>
          <w:rFonts w:ascii="Times New Roman" w:hAnsi="Times New Roman"/>
          <w:sz w:val="24"/>
          <w:szCs w:val="24"/>
        </w:rPr>
        <w:t>le papier, le carton, le bois, etc.</w:t>
      </w:r>
    </w:p>
    <w:p w:rsidR="00764FFF" w:rsidRPr="00D335A7" w:rsidRDefault="00764FFF" w:rsidP="00FA3FAE">
      <w:pPr>
        <w:numPr>
          <w:ilvl w:val="1"/>
          <w:numId w:val="118"/>
        </w:numPr>
        <w:spacing w:after="0" w:line="240" w:lineRule="auto"/>
        <w:jc w:val="both"/>
        <w:rPr>
          <w:rFonts w:ascii="Times New Roman" w:hAnsi="Times New Roman"/>
          <w:sz w:val="24"/>
          <w:szCs w:val="24"/>
        </w:rPr>
      </w:pPr>
      <w:r w:rsidRPr="00D335A7">
        <w:rPr>
          <w:rFonts w:ascii="Times New Roman" w:hAnsi="Times New Roman"/>
          <w:sz w:val="24"/>
          <w:szCs w:val="24"/>
        </w:rPr>
        <w:t>le plastique, la pneumatique propre, les bouteilles en plastique, etc.</w:t>
      </w:r>
    </w:p>
    <w:p w:rsidR="00764FFF" w:rsidRPr="00D335A7" w:rsidRDefault="00764FFF" w:rsidP="00FA3FAE">
      <w:pPr>
        <w:numPr>
          <w:ilvl w:val="0"/>
          <w:numId w:val="118"/>
        </w:numPr>
        <w:spacing w:after="0" w:line="240" w:lineRule="auto"/>
        <w:jc w:val="both"/>
        <w:rPr>
          <w:rFonts w:ascii="Times New Roman" w:hAnsi="Times New Roman"/>
          <w:sz w:val="24"/>
          <w:szCs w:val="24"/>
        </w:rPr>
      </w:pPr>
      <w:r w:rsidRPr="00D335A7">
        <w:rPr>
          <w:rFonts w:ascii="Times New Roman" w:hAnsi="Times New Roman"/>
          <w:sz w:val="24"/>
          <w:szCs w:val="24"/>
        </w:rPr>
        <w:t>le nombre de fûts prévus pour la collecte des huiles usagées ;</w:t>
      </w:r>
    </w:p>
    <w:p w:rsidR="00764FFF" w:rsidRPr="00D335A7" w:rsidRDefault="00764FFF" w:rsidP="00FA3FAE">
      <w:pPr>
        <w:numPr>
          <w:ilvl w:val="0"/>
          <w:numId w:val="118"/>
        </w:numPr>
        <w:spacing w:after="0" w:line="240" w:lineRule="auto"/>
        <w:jc w:val="both"/>
        <w:rPr>
          <w:rFonts w:ascii="Times New Roman" w:hAnsi="Times New Roman"/>
          <w:sz w:val="24"/>
          <w:szCs w:val="24"/>
        </w:rPr>
      </w:pPr>
      <w:r w:rsidRPr="00D335A7">
        <w:rPr>
          <w:rFonts w:ascii="Times New Roman" w:hAnsi="Times New Roman"/>
          <w:sz w:val="24"/>
          <w:szCs w:val="24"/>
        </w:rPr>
        <w:t>le nombre de séances de nettoyage des sites occupés par mois (au moins 4 fois par mois) ;</w:t>
      </w:r>
    </w:p>
    <w:p w:rsidR="00764FFF" w:rsidRPr="00D335A7" w:rsidRDefault="00764FFF" w:rsidP="00FA3FAE">
      <w:pPr>
        <w:numPr>
          <w:ilvl w:val="0"/>
          <w:numId w:val="118"/>
        </w:numPr>
        <w:spacing w:after="0" w:line="240" w:lineRule="auto"/>
        <w:jc w:val="both"/>
        <w:rPr>
          <w:rFonts w:ascii="Times New Roman" w:hAnsi="Times New Roman"/>
          <w:sz w:val="24"/>
          <w:szCs w:val="24"/>
        </w:rPr>
      </w:pPr>
      <w:r w:rsidRPr="00D335A7">
        <w:rPr>
          <w:rFonts w:ascii="Times New Roman" w:hAnsi="Times New Roman"/>
          <w:sz w:val="24"/>
          <w:szCs w:val="24"/>
        </w:rPr>
        <w:t>le système d’évacuation de ces déchets vers une décharge contrôlée ou vers un dépotoir prévu à cet effet ou par incinération dans des fûts améliorés (trous d’aération) pour une combustion complète ;</w:t>
      </w:r>
    </w:p>
    <w:p w:rsidR="00764FFF" w:rsidRPr="00D335A7" w:rsidRDefault="00764FFF" w:rsidP="00764FFF">
      <w:pPr>
        <w:spacing w:after="0"/>
        <w:ind w:left="-284"/>
        <w:jc w:val="both"/>
        <w:rPr>
          <w:rFonts w:ascii="Times New Roman" w:hAnsi="Times New Roman"/>
          <w:sz w:val="24"/>
          <w:szCs w:val="24"/>
        </w:rPr>
      </w:pPr>
    </w:p>
    <w:p w:rsidR="00764FFF" w:rsidRPr="00D335A7" w:rsidRDefault="00764FFF" w:rsidP="00764FFF">
      <w:pPr>
        <w:ind w:left="-284"/>
        <w:jc w:val="both"/>
        <w:rPr>
          <w:rFonts w:ascii="Times New Roman" w:hAnsi="Times New Roman"/>
          <w:sz w:val="24"/>
          <w:szCs w:val="24"/>
        </w:rPr>
      </w:pPr>
      <w:r w:rsidRPr="00D335A7">
        <w:rPr>
          <w:rFonts w:ascii="Times New Roman" w:hAnsi="Times New Roman"/>
          <w:sz w:val="24"/>
          <w:szCs w:val="24"/>
        </w:rPr>
        <w:t xml:space="preserve">La restructuration à ceci de bien que, lorsque les routes secondaires seront construites, les camions de ramassage des ordures ménagères pourront se rapprocher des populations plus fréquemment et ainsi collecter plus de déchets et plus rapidement. </w:t>
      </w:r>
    </w:p>
    <w:p w:rsidR="00764FFF" w:rsidRPr="00D335A7" w:rsidRDefault="00764FFF" w:rsidP="00764FFF">
      <w:pPr>
        <w:ind w:left="-284"/>
        <w:jc w:val="both"/>
        <w:rPr>
          <w:rFonts w:ascii="Times New Roman" w:hAnsi="Times New Roman"/>
          <w:sz w:val="24"/>
          <w:szCs w:val="24"/>
        </w:rPr>
      </w:pPr>
      <w:r w:rsidRPr="00D335A7">
        <w:rPr>
          <w:rFonts w:ascii="Times New Roman" w:hAnsi="Times New Roman"/>
          <w:sz w:val="24"/>
          <w:szCs w:val="24"/>
        </w:rPr>
        <w:t xml:space="preserve">Il restera toujours quelques poches plus éloignées des routes secondaires mais dont les déchets pourront être collectés suivant un plan de ramassage bien établi. </w:t>
      </w:r>
    </w:p>
    <w:bookmarkStart w:id="693" w:name="_Toc534972193"/>
    <w:bookmarkStart w:id="694" w:name="_Toc11159009"/>
    <w:bookmarkStart w:id="695" w:name="_Toc32512066"/>
    <w:p w:rsidR="00764FFF" w:rsidRPr="00372C0A" w:rsidRDefault="00764FFF" w:rsidP="00764FFF">
      <w:pPr>
        <w:ind w:left="-284" w:right="-851"/>
        <w:jc w:val="center"/>
        <w:rPr>
          <w:rFonts w:ascii="Times New Roman" w:hAnsi="Times New Roman"/>
        </w:rPr>
      </w:pPr>
      <w:r w:rsidRPr="00DF4EEB">
        <w:rPr>
          <w:rFonts w:ascii="Times New Roman" w:hAnsi="Times New Roman"/>
          <w:b/>
          <w:noProof/>
          <w:sz w:val="24"/>
          <w:szCs w:val="24"/>
          <w:lang w:val="pt-PT" w:eastAsia="pt-PT"/>
        </w:rPr>
        <mc:AlternateContent>
          <mc:Choice Requires="wpg">
            <w:drawing>
              <wp:anchor distT="0" distB="0" distL="114300" distR="114300" simplePos="0" relativeHeight="252259840" behindDoc="0" locked="0" layoutInCell="1" allowOverlap="1" wp14:anchorId="1CCD9EC3" wp14:editId="17506400">
                <wp:simplePos x="0" y="0"/>
                <wp:positionH relativeFrom="column">
                  <wp:posOffset>121285</wp:posOffset>
                </wp:positionH>
                <wp:positionV relativeFrom="paragraph">
                  <wp:posOffset>78105</wp:posOffset>
                </wp:positionV>
                <wp:extent cx="6103620" cy="2119630"/>
                <wp:effectExtent l="0" t="0" r="0" b="0"/>
                <wp:wrapTight wrapText="bothSides">
                  <wp:wrapPolygon edited="0">
                    <wp:start x="0" y="0"/>
                    <wp:lineTo x="0" y="21354"/>
                    <wp:lineTo x="21506" y="21354"/>
                    <wp:lineTo x="21506" y="0"/>
                    <wp:lineTo x="0" y="0"/>
                  </wp:wrapPolygon>
                </wp:wrapTight>
                <wp:docPr id="549" name="Groupe 5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03620" cy="2119630"/>
                          <a:chOff x="0" y="0"/>
                          <a:chExt cx="5791440" cy="2119630"/>
                        </a:xfrm>
                      </wpg:grpSpPr>
                      <pic:pic xmlns:pic="http://schemas.openxmlformats.org/drawingml/2006/picture">
                        <pic:nvPicPr>
                          <pic:cNvPr id="565" name="Image 565" descr="Photos missions Bandundu sept 2008 020"/>
                          <pic:cNvPicPr>
                            <a:picLocks noChangeAspect="1"/>
                          </pic:cNvPicPr>
                        </pic:nvPicPr>
                        <pic:blipFill>
                          <a:blip r:embed="rId152" cstate="email">
                            <a:extLst>
                              <a:ext uri="{28A0092B-C50C-407E-A947-70E740481C1C}">
                                <a14:useLocalDpi xmlns:a14="http://schemas.microsoft.com/office/drawing/2010/main"/>
                              </a:ext>
                            </a:extLst>
                          </a:blip>
                          <a:srcRect/>
                          <a:stretch>
                            <a:fillRect/>
                          </a:stretch>
                        </pic:blipFill>
                        <pic:spPr bwMode="auto">
                          <a:xfrm>
                            <a:off x="0" y="0"/>
                            <a:ext cx="2810510" cy="2119630"/>
                          </a:xfrm>
                          <a:prstGeom prst="rect">
                            <a:avLst/>
                          </a:prstGeom>
                          <a:noFill/>
                          <a:ln>
                            <a:noFill/>
                          </a:ln>
                        </pic:spPr>
                      </pic:pic>
                      <pic:pic xmlns:pic="http://schemas.openxmlformats.org/drawingml/2006/picture">
                        <pic:nvPicPr>
                          <pic:cNvPr id="567" name="Image 567" descr="Photos missions Bandundu sept 2008 028"/>
                          <pic:cNvPicPr>
                            <a:picLocks noChangeAspect="1"/>
                          </pic:cNvPicPr>
                        </pic:nvPicPr>
                        <pic:blipFill>
                          <a:blip r:embed="rId153" cstate="email">
                            <a:extLst>
                              <a:ext uri="{28A0092B-C50C-407E-A947-70E740481C1C}">
                                <a14:useLocalDpi xmlns:a14="http://schemas.microsoft.com/office/drawing/2010/main"/>
                              </a:ext>
                            </a:extLst>
                          </a:blip>
                          <a:srcRect/>
                          <a:stretch>
                            <a:fillRect/>
                          </a:stretch>
                        </pic:blipFill>
                        <pic:spPr bwMode="auto">
                          <a:xfrm>
                            <a:off x="2984740" y="0"/>
                            <a:ext cx="2806700" cy="2119630"/>
                          </a:xfrm>
                          <a:prstGeom prst="rect">
                            <a:avLst/>
                          </a:prstGeom>
                          <a:noFill/>
                          <a:ln>
                            <a:noFill/>
                          </a:ln>
                        </pic:spPr>
                      </pic:pic>
                    </wpg:wgp>
                  </a:graphicData>
                </a:graphic>
                <wp14:sizeRelH relativeFrom="margin">
                  <wp14:pctWidth>0</wp14:pctWidth>
                </wp14:sizeRelH>
                <wp14:sizeRelV relativeFrom="page">
                  <wp14:pctHeight>0</wp14:pctHeight>
                </wp14:sizeRelV>
              </wp:anchor>
            </w:drawing>
          </mc:Choice>
          <mc:Fallback xmlns:cx1="http://schemas.microsoft.com/office/drawing/2015/9/8/chartex">
            <w:pict>
              <v:group w14:anchorId="6AE3B42C" id="Groupe 549" o:spid="_x0000_s1026" style="position:absolute;margin-left:9.55pt;margin-top:6.15pt;width:480.6pt;height:166.9pt;z-index:252259840;mso-width-relative:margin" coordsize="57914,2119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">
                <v:shape id="Image 565" o:spid="_x0000_s1027" type="#_x0000_t75" alt="Photos missions Bandundu sept 2008 020" style="position:absolute;width:28105;height:211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">
                  <v:imagedata r:id="rId154" o:title="Photos missions Bandundu sept 2008 020"/>
                  <v:path arrowok="t"/>
                </v:shape>
                <v:shape id="Image 567" o:spid="_x0000_s1028" type="#_x0000_t75" alt="Photos missions Bandundu sept 2008 028" style="position:absolute;left:29847;width:28067;height:211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">
                  <v:imagedata r:id="rId155" o:title="Photos missions Bandundu sept 2008 028"/>
                  <v:path arrowok="t"/>
                </v:shape>
                <w10:wrap type="tight"/>
              </v:group>
            </w:pict>
          </mc:Fallback>
        </mc:AlternateContent>
      </w:r>
      <w:r w:rsidRPr="00372C0A">
        <w:rPr>
          <w:rFonts w:ascii="Times New Roman" w:hAnsi="Times New Roman"/>
          <w:b/>
        </w:rPr>
        <w:t xml:space="preserve">Photo </w:t>
      </w:r>
      <w:r w:rsidRPr="00372C0A">
        <w:rPr>
          <w:rFonts w:ascii="Times New Roman" w:hAnsi="Times New Roman"/>
          <w:b/>
        </w:rPr>
        <w:fldChar w:fldCharType="begin"/>
      </w:r>
      <w:r w:rsidRPr="00372C0A">
        <w:rPr>
          <w:rFonts w:ascii="Times New Roman" w:hAnsi="Times New Roman"/>
          <w:b/>
        </w:rPr>
        <w:instrText xml:space="preserve"> </w:instrText>
      </w:r>
      <w:r>
        <w:rPr>
          <w:rFonts w:ascii="Times New Roman" w:hAnsi="Times New Roman"/>
          <w:b/>
        </w:rPr>
        <w:instrText>SEQ</w:instrText>
      </w:r>
      <w:r w:rsidRPr="00372C0A">
        <w:rPr>
          <w:rFonts w:ascii="Times New Roman" w:hAnsi="Times New Roman"/>
          <w:b/>
        </w:rPr>
        <w:instrText xml:space="preserve"> Photo \* ARABIC </w:instrText>
      </w:r>
      <w:r w:rsidRPr="00372C0A">
        <w:rPr>
          <w:rFonts w:ascii="Times New Roman" w:hAnsi="Times New Roman"/>
          <w:b/>
        </w:rPr>
        <w:fldChar w:fldCharType="separate"/>
      </w:r>
      <w:r w:rsidR="002C6E60">
        <w:rPr>
          <w:rFonts w:ascii="Times New Roman" w:hAnsi="Times New Roman"/>
          <w:b/>
          <w:noProof/>
        </w:rPr>
        <w:t>15</w:t>
      </w:r>
      <w:r w:rsidRPr="00372C0A">
        <w:rPr>
          <w:rFonts w:ascii="Times New Roman" w:hAnsi="Times New Roman"/>
          <w:b/>
        </w:rPr>
        <w:fldChar w:fldCharType="end"/>
      </w:r>
      <w:r w:rsidRPr="00372C0A">
        <w:rPr>
          <w:rFonts w:ascii="Times New Roman" w:hAnsi="Times New Roman"/>
          <w:b/>
        </w:rPr>
        <w:t>:</w:t>
      </w:r>
      <w:r w:rsidRPr="00372C0A">
        <w:rPr>
          <w:rFonts w:ascii="Times New Roman" w:hAnsi="Times New Roman"/>
        </w:rPr>
        <w:t xml:space="preserve"> Exemple conditionnement correct d’huile usagée et de filtres à huiles mortes</w:t>
      </w:r>
      <w:bookmarkEnd w:id="693"/>
      <w:bookmarkEnd w:id="694"/>
      <w:bookmarkEnd w:id="695"/>
    </w:p>
    <w:p w:rsidR="00764FFF" w:rsidRPr="00D335A7" w:rsidRDefault="00764FFF" w:rsidP="00764FFF">
      <w:pPr>
        <w:ind w:left="-284"/>
        <w:jc w:val="both"/>
        <w:rPr>
          <w:rFonts w:ascii="Times New Roman" w:hAnsi="Times New Roman"/>
          <w:sz w:val="24"/>
          <w:szCs w:val="24"/>
        </w:rPr>
      </w:pPr>
      <w:r w:rsidRPr="00D335A7">
        <w:rPr>
          <w:rFonts w:ascii="Times New Roman" w:hAnsi="Times New Roman"/>
          <w:b/>
          <w:bCs/>
          <w:sz w:val="24"/>
          <w:szCs w:val="24"/>
        </w:rPr>
        <w:t>R 2</w:t>
      </w:r>
      <w:r w:rsidRPr="00D335A7">
        <w:rPr>
          <w:rFonts w:ascii="Times New Roman" w:hAnsi="Times New Roman"/>
          <w:sz w:val="24"/>
          <w:szCs w:val="24"/>
        </w:rPr>
        <w:t xml:space="preserve"> – Il est fortement conseillé à l’entreprise de contracter une prestation de service avec un spécialiste du nettoyage et du balayage ou avec des personnes individuelles ou ONGs pour effectuer régulièrement le nettoyage et l’entretien du sol des sites occupés par l’entreprise.</w:t>
      </w:r>
    </w:p>
    <w:p w:rsidR="00764FFF" w:rsidRPr="00D335A7" w:rsidRDefault="00764FFF" w:rsidP="00764FFF">
      <w:pPr>
        <w:ind w:left="-284"/>
        <w:jc w:val="both"/>
        <w:rPr>
          <w:rFonts w:ascii="Times New Roman" w:hAnsi="Times New Roman"/>
          <w:sz w:val="24"/>
          <w:szCs w:val="24"/>
        </w:rPr>
      </w:pPr>
      <w:r w:rsidRPr="00D335A7">
        <w:rPr>
          <w:rFonts w:ascii="Times New Roman" w:hAnsi="Times New Roman"/>
          <w:b/>
          <w:sz w:val="24"/>
          <w:szCs w:val="24"/>
        </w:rPr>
        <w:t>R 3</w:t>
      </w:r>
      <w:r w:rsidRPr="00D335A7">
        <w:rPr>
          <w:rFonts w:ascii="Times New Roman" w:hAnsi="Times New Roman"/>
          <w:sz w:val="24"/>
          <w:szCs w:val="24"/>
        </w:rPr>
        <w:t xml:space="preserve">– Pour la gestion des huiles usées, il est fortement recommandé à l’entreprise de construire un réceptacle en béton capable de stocker provisoirement ces huiles usées dans des fûts hermétiques </w:t>
      </w:r>
      <w:r w:rsidRPr="00D335A7">
        <w:rPr>
          <w:rFonts w:ascii="Times New Roman" w:hAnsi="Times New Roman"/>
          <w:b/>
          <w:sz w:val="24"/>
          <w:szCs w:val="24"/>
        </w:rPr>
        <w:t>(Voir Photo</w:t>
      </w:r>
      <w:r w:rsidR="00FD76D7">
        <w:rPr>
          <w:rFonts w:ascii="Times New Roman" w:hAnsi="Times New Roman"/>
          <w:b/>
          <w:sz w:val="24"/>
          <w:szCs w:val="24"/>
        </w:rPr>
        <w:t xml:space="preserve"> 15</w:t>
      </w:r>
      <w:r w:rsidRPr="00D335A7">
        <w:rPr>
          <w:rFonts w:ascii="Times New Roman" w:hAnsi="Times New Roman"/>
          <w:b/>
          <w:sz w:val="24"/>
          <w:szCs w:val="24"/>
        </w:rPr>
        <w:t>).</w:t>
      </w:r>
      <w:r w:rsidR="00FD76D7" w:rsidRPr="00FD76D7">
        <w:rPr>
          <w:rFonts w:ascii="Times New Roman" w:hAnsi="Times New Roman"/>
          <w:sz w:val="24"/>
          <w:szCs w:val="24"/>
        </w:rPr>
        <w:t xml:space="preserve"> </w:t>
      </w:r>
      <w:r w:rsidR="00FD76D7" w:rsidRPr="007B2712">
        <w:rPr>
          <w:rFonts w:ascii="Times New Roman" w:hAnsi="Times New Roman"/>
          <w:sz w:val="24"/>
          <w:szCs w:val="24"/>
        </w:rPr>
        <w:t>Mais aussi, Penser également à couvrir la zone de stockage des huiles usagées si elle ne dispose pas d’un système de drainage et de collecte des eaux pluviales</w:t>
      </w:r>
      <w:r w:rsidR="00FD76D7">
        <w:rPr>
          <w:rFonts w:ascii="Times New Roman" w:hAnsi="Times New Roman"/>
          <w:sz w:val="24"/>
          <w:szCs w:val="24"/>
        </w:rPr>
        <w:t>.</w:t>
      </w:r>
    </w:p>
    <w:p w:rsidR="00FD76D7" w:rsidRDefault="00764FFF" w:rsidP="00FD76D7">
      <w:pPr>
        <w:ind w:left="-284"/>
        <w:jc w:val="both"/>
        <w:rPr>
          <w:rFonts w:ascii="Times New Roman" w:hAnsi="Times New Roman"/>
          <w:sz w:val="24"/>
          <w:szCs w:val="24"/>
        </w:rPr>
      </w:pPr>
      <w:r w:rsidRPr="00D335A7">
        <w:rPr>
          <w:rFonts w:ascii="Times New Roman" w:hAnsi="Times New Roman"/>
          <w:b/>
          <w:sz w:val="24"/>
          <w:szCs w:val="24"/>
        </w:rPr>
        <w:t>R 4</w:t>
      </w:r>
      <w:r w:rsidRPr="00D335A7">
        <w:rPr>
          <w:rFonts w:ascii="Times New Roman" w:hAnsi="Times New Roman"/>
          <w:sz w:val="24"/>
          <w:szCs w:val="24"/>
        </w:rPr>
        <w:t xml:space="preserve"> – Il est aussi fortement recommandé à l’entreprise de veiller à la construction d’un bassin en béton pour y collecter tous les déchets solides souillés comme les filtres à huile, les batteries mortes, etc. Si le fond du bassin est bétonné, le risque de contamination de la nappe est très réduit. Ce bassin permettra à la fin des travaux, de pouvoir verser du béton sur ces déchets afin de les stabiliser au maximum </w:t>
      </w:r>
      <w:r w:rsidR="00FD76D7">
        <w:rPr>
          <w:rFonts w:ascii="Times New Roman" w:hAnsi="Times New Roman"/>
          <w:sz w:val="24"/>
          <w:szCs w:val="24"/>
        </w:rPr>
        <w:t xml:space="preserve">(cette procédure </w:t>
      </w:r>
      <w:r w:rsidR="00FD76D7" w:rsidRPr="00214C27">
        <w:rPr>
          <w:rFonts w:ascii="Times New Roman" w:hAnsi="Times New Roman"/>
          <w:sz w:val="24"/>
          <w:szCs w:val="24"/>
        </w:rPr>
        <w:t>doit faire l’objet d’une concertation avec l’Autorité en charge de l’environnement et la délivrance d’une autorisation</w:t>
      </w:r>
      <w:r w:rsidR="00FD76D7">
        <w:rPr>
          <w:rFonts w:ascii="Times New Roman" w:hAnsi="Times New Roman"/>
          <w:sz w:val="24"/>
          <w:szCs w:val="24"/>
        </w:rPr>
        <w:t>)</w:t>
      </w:r>
      <w:r w:rsidR="00FD76D7" w:rsidRPr="00206F59">
        <w:rPr>
          <w:rFonts w:ascii="Times New Roman" w:hAnsi="Times New Roman"/>
          <w:sz w:val="24"/>
          <w:szCs w:val="24"/>
        </w:rPr>
        <w:t xml:space="preserve"> </w:t>
      </w:r>
      <w:r w:rsidRPr="00D335A7">
        <w:rPr>
          <w:rFonts w:ascii="Times New Roman" w:hAnsi="Times New Roman"/>
          <w:b/>
          <w:sz w:val="24"/>
          <w:szCs w:val="24"/>
        </w:rPr>
        <w:t>(voir photos</w:t>
      </w:r>
      <w:r w:rsidR="00FD76D7">
        <w:rPr>
          <w:rFonts w:ascii="Times New Roman" w:hAnsi="Times New Roman"/>
          <w:b/>
          <w:sz w:val="24"/>
          <w:szCs w:val="24"/>
        </w:rPr>
        <w:t xml:space="preserve"> 15</w:t>
      </w:r>
      <w:r w:rsidRPr="00D335A7">
        <w:rPr>
          <w:rFonts w:ascii="Times New Roman" w:hAnsi="Times New Roman"/>
          <w:b/>
          <w:sz w:val="24"/>
          <w:szCs w:val="24"/>
        </w:rPr>
        <w:t>)</w:t>
      </w:r>
      <w:r w:rsidRPr="00D335A7">
        <w:rPr>
          <w:rFonts w:ascii="Times New Roman" w:hAnsi="Times New Roman"/>
          <w:sz w:val="24"/>
          <w:szCs w:val="24"/>
        </w:rPr>
        <w:t xml:space="preserve">. </w:t>
      </w:r>
    </w:p>
    <w:p w:rsidR="00764FFF" w:rsidRPr="00D335A7" w:rsidRDefault="00764FFF" w:rsidP="00764FFF">
      <w:pPr>
        <w:ind w:left="-284"/>
        <w:jc w:val="both"/>
        <w:rPr>
          <w:rFonts w:ascii="Times New Roman" w:hAnsi="Times New Roman"/>
          <w:sz w:val="24"/>
          <w:szCs w:val="24"/>
        </w:rPr>
      </w:pPr>
      <w:r w:rsidRPr="00D335A7">
        <w:rPr>
          <w:rFonts w:ascii="Times New Roman" w:hAnsi="Times New Roman"/>
          <w:sz w:val="24"/>
          <w:szCs w:val="24"/>
        </w:rPr>
        <w:t xml:space="preserve">Il est important de penser à couvrir le bassin avec des tôles pour empêcher que l’eau de pluie ne rentre en contact avec l’huile usagée et ainsi ruisseler en dehors du réceptacle bétonné. </w:t>
      </w:r>
    </w:p>
    <w:p w:rsidR="00764FFF" w:rsidRDefault="00764FFF" w:rsidP="00764FFF">
      <w:pPr>
        <w:ind w:left="-284"/>
        <w:jc w:val="both"/>
        <w:rPr>
          <w:rFonts w:ascii="Times New Roman" w:hAnsi="Times New Roman"/>
          <w:sz w:val="24"/>
          <w:szCs w:val="24"/>
        </w:rPr>
      </w:pPr>
      <w:r w:rsidRPr="00D335A7">
        <w:rPr>
          <w:rFonts w:ascii="Times New Roman" w:hAnsi="Times New Roman"/>
          <w:b/>
          <w:sz w:val="24"/>
          <w:szCs w:val="24"/>
        </w:rPr>
        <w:lastRenderedPageBreak/>
        <w:t>R 5</w:t>
      </w:r>
      <w:r w:rsidRPr="00D335A7">
        <w:rPr>
          <w:rFonts w:ascii="Times New Roman" w:hAnsi="Times New Roman"/>
          <w:sz w:val="24"/>
          <w:szCs w:val="24"/>
        </w:rPr>
        <w:t xml:space="preserve"> – Par anticipation, l’entreprise pourra choisir son fournisseur en huile en fonction de sa capacité à reprendre gratuitement ou à moindre coûts les fûts d’huiles usées déjà pré-conditionnés. Elle pourra aussi dans certains cas contracter avec un repreneur qui pourra récupérer les huiles usagées suivant une fréquence bien </w:t>
      </w:r>
      <w:r w:rsidR="00F362CC" w:rsidRPr="00D335A7">
        <w:rPr>
          <w:rFonts w:ascii="Times New Roman" w:hAnsi="Times New Roman"/>
          <w:sz w:val="24"/>
          <w:szCs w:val="24"/>
        </w:rPr>
        <w:t>définies.</w:t>
      </w:r>
    </w:p>
    <w:p w:rsidR="00FD76D7" w:rsidRPr="00E81F27" w:rsidRDefault="00FD76D7" w:rsidP="00FA3FAE">
      <w:pPr>
        <w:pStyle w:val="PargrafodaLista"/>
        <w:numPr>
          <w:ilvl w:val="0"/>
          <w:numId w:val="240"/>
        </w:numPr>
        <w:jc w:val="both"/>
        <w:rPr>
          <w:rFonts w:ascii="Times New Roman" w:hAnsi="Times New Roman"/>
          <w:b/>
          <w:sz w:val="24"/>
          <w:szCs w:val="24"/>
        </w:rPr>
      </w:pPr>
      <w:r w:rsidRPr="00E81F27">
        <w:rPr>
          <w:rFonts w:ascii="Times New Roman" w:hAnsi="Times New Roman"/>
          <w:b/>
          <w:sz w:val="24"/>
          <w:szCs w:val="24"/>
        </w:rPr>
        <w:t>En phase d’exploitation</w:t>
      </w:r>
    </w:p>
    <w:p w:rsidR="00FD76D7" w:rsidRPr="00F32699" w:rsidRDefault="00FD76D7" w:rsidP="00FD76D7">
      <w:pPr>
        <w:ind w:left="-284"/>
        <w:jc w:val="both"/>
        <w:rPr>
          <w:rFonts w:ascii="Times New Roman" w:hAnsi="Times New Roman"/>
          <w:sz w:val="24"/>
          <w:szCs w:val="24"/>
        </w:rPr>
      </w:pPr>
      <w:r>
        <w:rPr>
          <w:rFonts w:ascii="Times New Roman" w:hAnsi="Times New Roman"/>
          <w:sz w:val="24"/>
          <w:szCs w:val="24"/>
        </w:rPr>
        <w:t>Les déchets</w:t>
      </w:r>
      <w:r w:rsidRPr="00F32699">
        <w:rPr>
          <w:rFonts w:ascii="Times New Roman" w:hAnsi="Times New Roman"/>
          <w:sz w:val="24"/>
          <w:szCs w:val="24"/>
        </w:rPr>
        <w:t xml:space="preserve"> étant de plus en plus nombreux car la société de consommation produit de plus en plus d’objets qui ne sont pas réutilisés, alors ils sont jetés dans nos poubelles. Et quand tout est mélangé, on ne récupère rien donc les déchets sont soit brulés ou mis en décharge.</w:t>
      </w:r>
    </w:p>
    <w:p w:rsidR="00FD76D7" w:rsidRPr="00F32699" w:rsidRDefault="00FD76D7" w:rsidP="00FD76D7">
      <w:pPr>
        <w:ind w:left="-284"/>
        <w:jc w:val="both"/>
        <w:rPr>
          <w:rFonts w:ascii="Times New Roman" w:hAnsi="Times New Roman"/>
          <w:sz w:val="24"/>
          <w:szCs w:val="24"/>
        </w:rPr>
      </w:pPr>
      <w:r w:rsidRPr="00F32699">
        <w:rPr>
          <w:rFonts w:ascii="Times New Roman" w:hAnsi="Times New Roman"/>
          <w:sz w:val="24"/>
          <w:szCs w:val="24"/>
        </w:rPr>
        <w:t>Ainsi pour une bo</w:t>
      </w:r>
      <w:r>
        <w:rPr>
          <w:rFonts w:ascii="Times New Roman" w:hAnsi="Times New Roman"/>
          <w:sz w:val="24"/>
          <w:szCs w:val="24"/>
        </w:rPr>
        <w:t>nne gestion des déchets</w:t>
      </w:r>
      <w:r w:rsidRPr="00F32699">
        <w:rPr>
          <w:rFonts w:ascii="Times New Roman" w:hAnsi="Times New Roman"/>
          <w:sz w:val="24"/>
          <w:szCs w:val="24"/>
        </w:rPr>
        <w:t xml:space="preserve"> et la protection de la nature nous recommandons fortement de mettre en place un système de tri sélectif.</w:t>
      </w:r>
    </w:p>
    <w:p w:rsidR="00FD76D7" w:rsidRPr="00224205" w:rsidRDefault="00FD76D7" w:rsidP="00FD76D7">
      <w:pPr>
        <w:ind w:left="-284"/>
        <w:jc w:val="both"/>
        <w:rPr>
          <w:rFonts w:ascii="Times New Roman" w:hAnsi="Times New Roman"/>
          <w:sz w:val="24"/>
          <w:szCs w:val="24"/>
        </w:rPr>
      </w:pPr>
      <w:r w:rsidRPr="00224205">
        <w:rPr>
          <w:rFonts w:ascii="Times New Roman" w:hAnsi="Times New Roman"/>
          <w:sz w:val="24"/>
          <w:szCs w:val="24"/>
        </w:rPr>
        <w:t>Cela demande juste une organisation au niveau des différents immeubles, il faudra installer :</w:t>
      </w:r>
    </w:p>
    <w:p w:rsidR="00FD76D7" w:rsidRPr="00966AF6" w:rsidRDefault="00FD76D7" w:rsidP="00FA3FAE">
      <w:pPr>
        <w:pStyle w:val="PargrafodaLista"/>
        <w:numPr>
          <w:ilvl w:val="0"/>
          <w:numId w:val="239"/>
        </w:numPr>
        <w:spacing w:after="0" w:line="240" w:lineRule="auto"/>
        <w:ind w:right="-428"/>
        <w:contextualSpacing w:val="0"/>
        <w:jc w:val="both"/>
        <w:rPr>
          <w:rFonts w:ascii="Times New Roman" w:hAnsi="Times New Roman"/>
          <w:sz w:val="24"/>
          <w:szCs w:val="24"/>
        </w:rPr>
      </w:pPr>
      <w:r w:rsidRPr="00966AF6">
        <w:rPr>
          <w:rFonts w:ascii="Times New Roman" w:hAnsi="Times New Roman"/>
          <w:sz w:val="24"/>
          <w:szCs w:val="24"/>
        </w:rPr>
        <w:t>au moins 3 bacs de couleurs différentes pour chaque immeuble dans des endroits bien spécifiques avec des panneaux d’indication ou de consigne pour chaque bac ;</w:t>
      </w:r>
    </w:p>
    <w:p w:rsidR="00FD76D7" w:rsidRPr="00966AF6" w:rsidRDefault="00FD76D7" w:rsidP="00FA3FAE">
      <w:pPr>
        <w:pStyle w:val="PargrafodaLista"/>
        <w:numPr>
          <w:ilvl w:val="0"/>
          <w:numId w:val="239"/>
        </w:numPr>
        <w:spacing w:after="0" w:line="240" w:lineRule="auto"/>
        <w:ind w:right="-428"/>
        <w:contextualSpacing w:val="0"/>
        <w:jc w:val="both"/>
        <w:rPr>
          <w:rFonts w:ascii="Times New Roman" w:hAnsi="Times New Roman"/>
          <w:sz w:val="24"/>
          <w:szCs w:val="24"/>
        </w:rPr>
      </w:pPr>
      <w:r w:rsidRPr="00966AF6">
        <w:rPr>
          <w:rFonts w:ascii="Times New Roman" w:hAnsi="Times New Roman"/>
          <w:sz w:val="24"/>
          <w:szCs w:val="24"/>
        </w:rPr>
        <w:t>et 2 poubelles, des sacs poubelles  au niveau de chaque appartement ;</w:t>
      </w:r>
    </w:p>
    <w:p w:rsidR="00FD76D7" w:rsidRPr="00224205" w:rsidRDefault="00FD76D7" w:rsidP="00FD76D7">
      <w:pPr>
        <w:pStyle w:val="Corpodetexto"/>
        <w:ind w:right="-428"/>
      </w:pPr>
      <w:r w:rsidRPr="00224205">
        <w:rPr>
          <w:rFonts w:ascii="Times New Roman" w:hAnsi="Times New Roman"/>
          <w:szCs w:val="24"/>
        </w:rPr>
        <w:t>Ainsi on peut avoir </w:t>
      </w:r>
      <w:r w:rsidRPr="00966AF6">
        <w:rPr>
          <w:rFonts w:ascii="Times New Roman" w:hAnsi="Times New Roman"/>
          <w:szCs w:val="24"/>
        </w:rPr>
        <w:t>un bac et une poubelle habituelle pour :</w:t>
      </w:r>
    </w:p>
    <w:p w:rsidR="00FD76D7" w:rsidRPr="00966AF6" w:rsidRDefault="00FD76D7" w:rsidP="00FA3FAE">
      <w:pPr>
        <w:pStyle w:val="PargrafodaLista"/>
        <w:numPr>
          <w:ilvl w:val="0"/>
          <w:numId w:val="239"/>
        </w:numPr>
        <w:spacing w:after="0" w:line="240" w:lineRule="auto"/>
        <w:ind w:right="-428"/>
        <w:contextualSpacing w:val="0"/>
        <w:jc w:val="both"/>
        <w:rPr>
          <w:rFonts w:ascii="Times New Roman" w:hAnsi="Times New Roman"/>
          <w:sz w:val="24"/>
          <w:szCs w:val="24"/>
        </w:rPr>
      </w:pPr>
      <w:r w:rsidRPr="00966AF6">
        <w:rPr>
          <w:rFonts w:ascii="Times New Roman" w:hAnsi="Times New Roman"/>
          <w:sz w:val="24"/>
          <w:szCs w:val="24"/>
        </w:rPr>
        <w:t>les déchets ordinaires, comme les restes des repas, les épluchures, les emballages sales, les couches culottes, coton-tige, tubes de crème, de dentifrice, stylos, etc...</w:t>
      </w:r>
    </w:p>
    <w:p w:rsidR="00FD76D7" w:rsidRPr="00966AF6" w:rsidRDefault="00FD76D7" w:rsidP="00FD76D7">
      <w:pPr>
        <w:pStyle w:val="Listecouleur-Accent11"/>
        <w:ind w:right="-428"/>
        <w:rPr>
          <w:rFonts w:ascii="Times New Roman" w:hAnsi="Times New Roman"/>
          <w:sz w:val="24"/>
          <w:szCs w:val="24"/>
        </w:rPr>
      </w:pPr>
      <w:r w:rsidRPr="00966AF6">
        <w:rPr>
          <w:rFonts w:ascii="Times New Roman" w:hAnsi="Times New Roman"/>
          <w:sz w:val="24"/>
          <w:szCs w:val="24"/>
        </w:rPr>
        <w:t>Bref, tous les déchets qui sont non-recyclables Un bac et une poubelle pour :</w:t>
      </w:r>
    </w:p>
    <w:p w:rsidR="00FD76D7" w:rsidRPr="00966AF6" w:rsidRDefault="00FD76D7" w:rsidP="00FA3FAE">
      <w:pPr>
        <w:pStyle w:val="PargrafodaLista"/>
        <w:numPr>
          <w:ilvl w:val="0"/>
          <w:numId w:val="239"/>
        </w:numPr>
        <w:spacing w:after="0" w:line="240" w:lineRule="auto"/>
        <w:ind w:right="-428"/>
        <w:contextualSpacing w:val="0"/>
        <w:jc w:val="both"/>
        <w:rPr>
          <w:rFonts w:ascii="Times New Roman" w:hAnsi="Times New Roman"/>
          <w:sz w:val="24"/>
          <w:szCs w:val="24"/>
        </w:rPr>
      </w:pPr>
      <w:r w:rsidRPr="00966AF6">
        <w:rPr>
          <w:rFonts w:ascii="Times New Roman" w:hAnsi="Times New Roman"/>
          <w:sz w:val="24"/>
          <w:szCs w:val="24"/>
        </w:rPr>
        <w:t>Les papiers, journaux, magazines, imprimés.</w:t>
      </w:r>
    </w:p>
    <w:p w:rsidR="00FD76D7" w:rsidRPr="00966AF6" w:rsidRDefault="00FD76D7" w:rsidP="00FA3FAE">
      <w:pPr>
        <w:pStyle w:val="PargrafodaLista"/>
        <w:numPr>
          <w:ilvl w:val="0"/>
          <w:numId w:val="239"/>
        </w:numPr>
        <w:spacing w:after="0" w:line="240" w:lineRule="auto"/>
        <w:ind w:right="-428"/>
        <w:contextualSpacing w:val="0"/>
        <w:jc w:val="both"/>
        <w:rPr>
          <w:rFonts w:ascii="Times New Roman" w:hAnsi="Times New Roman"/>
          <w:sz w:val="24"/>
          <w:szCs w:val="24"/>
        </w:rPr>
      </w:pPr>
      <w:r w:rsidRPr="00966AF6">
        <w:rPr>
          <w:rFonts w:ascii="Times New Roman" w:hAnsi="Times New Roman"/>
          <w:sz w:val="24"/>
          <w:szCs w:val="24"/>
        </w:rPr>
        <w:t>Les emballages en plastique : bouteilles et flacons en plastique.</w:t>
      </w:r>
    </w:p>
    <w:p w:rsidR="00FD76D7" w:rsidRPr="00966AF6" w:rsidRDefault="00FD76D7" w:rsidP="00FA3FAE">
      <w:pPr>
        <w:pStyle w:val="PargrafodaLista"/>
        <w:numPr>
          <w:ilvl w:val="0"/>
          <w:numId w:val="239"/>
        </w:numPr>
        <w:spacing w:after="0" w:line="240" w:lineRule="auto"/>
        <w:ind w:right="-428"/>
        <w:contextualSpacing w:val="0"/>
        <w:jc w:val="both"/>
        <w:rPr>
          <w:rFonts w:ascii="Times New Roman" w:hAnsi="Times New Roman"/>
          <w:sz w:val="24"/>
          <w:szCs w:val="24"/>
        </w:rPr>
      </w:pPr>
      <w:r w:rsidRPr="00966AF6">
        <w:rPr>
          <w:rFonts w:ascii="Times New Roman" w:hAnsi="Times New Roman"/>
          <w:sz w:val="24"/>
          <w:szCs w:val="24"/>
        </w:rPr>
        <w:t>Les emballages en carton : cartons, briques alimentaires, boîtes en carton, gros cartons pliés.</w:t>
      </w:r>
    </w:p>
    <w:p w:rsidR="00FD76D7" w:rsidRPr="00966AF6" w:rsidRDefault="00FD76D7" w:rsidP="00FA3FAE">
      <w:pPr>
        <w:pStyle w:val="PargrafodaLista"/>
        <w:numPr>
          <w:ilvl w:val="0"/>
          <w:numId w:val="239"/>
        </w:numPr>
        <w:spacing w:after="0" w:line="240" w:lineRule="auto"/>
        <w:ind w:right="-428"/>
        <w:contextualSpacing w:val="0"/>
        <w:jc w:val="both"/>
        <w:rPr>
          <w:rFonts w:ascii="Times New Roman" w:hAnsi="Times New Roman"/>
          <w:sz w:val="24"/>
          <w:szCs w:val="24"/>
        </w:rPr>
      </w:pPr>
      <w:r w:rsidRPr="00966AF6">
        <w:rPr>
          <w:rFonts w:ascii="Times New Roman" w:hAnsi="Times New Roman"/>
          <w:sz w:val="24"/>
          <w:szCs w:val="24"/>
        </w:rPr>
        <w:t>Les emballages métalliques : boîtes de conserve, barquette aluminium, canettes, aérosols.</w:t>
      </w:r>
    </w:p>
    <w:p w:rsidR="00FD76D7" w:rsidRPr="00966AF6" w:rsidRDefault="00FD76D7" w:rsidP="00FA3FAE">
      <w:pPr>
        <w:pStyle w:val="PargrafodaLista"/>
        <w:numPr>
          <w:ilvl w:val="0"/>
          <w:numId w:val="239"/>
        </w:numPr>
        <w:spacing w:after="0" w:line="240" w:lineRule="auto"/>
        <w:ind w:right="-428"/>
        <w:contextualSpacing w:val="0"/>
        <w:jc w:val="both"/>
        <w:rPr>
          <w:rFonts w:ascii="Times New Roman" w:hAnsi="Times New Roman"/>
          <w:sz w:val="24"/>
          <w:szCs w:val="24"/>
        </w:rPr>
      </w:pPr>
      <w:r w:rsidRPr="00966AF6">
        <w:rPr>
          <w:rFonts w:ascii="Times New Roman" w:hAnsi="Times New Roman"/>
          <w:sz w:val="24"/>
          <w:szCs w:val="24"/>
        </w:rPr>
        <w:t>Pour tout ce qui peut être recyclé.</w:t>
      </w:r>
    </w:p>
    <w:p w:rsidR="00FD76D7" w:rsidRPr="00966AF6" w:rsidRDefault="00FD76D7" w:rsidP="00FD76D7">
      <w:pPr>
        <w:pStyle w:val="Listecouleur-Accent11"/>
        <w:ind w:right="-428"/>
        <w:rPr>
          <w:rFonts w:ascii="Times New Roman" w:hAnsi="Times New Roman"/>
          <w:sz w:val="24"/>
          <w:szCs w:val="24"/>
        </w:rPr>
      </w:pPr>
      <w:r w:rsidRPr="00966AF6">
        <w:rPr>
          <w:rFonts w:ascii="Times New Roman" w:hAnsi="Times New Roman"/>
          <w:sz w:val="24"/>
          <w:szCs w:val="24"/>
        </w:rPr>
        <w:t>Un bac et une poubelle pour :</w:t>
      </w:r>
    </w:p>
    <w:p w:rsidR="00FD76D7" w:rsidRPr="00966AF6" w:rsidRDefault="00FD76D7" w:rsidP="00FA3FAE">
      <w:pPr>
        <w:pStyle w:val="PargrafodaLista"/>
        <w:numPr>
          <w:ilvl w:val="0"/>
          <w:numId w:val="239"/>
        </w:numPr>
        <w:spacing w:after="0" w:line="240" w:lineRule="auto"/>
        <w:ind w:right="-428"/>
        <w:contextualSpacing w:val="0"/>
        <w:jc w:val="both"/>
        <w:rPr>
          <w:rFonts w:ascii="Times New Roman" w:hAnsi="Times New Roman"/>
          <w:sz w:val="24"/>
          <w:szCs w:val="24"/>
        </w:rPr>
      </w:pPr>
      <w:r w:rsidRPr="00966AF6">
        <w:rPr>
          <w:rFonts w:ascii="Times New Roman" w:hAnsi="Times New Roman"/>
          <w:sz w:val="24"/>
          <w:szCs w:val="24"/>
        </w:rPr>
        <w:t>Le verre. Il faut trier à part les emballages en verre : les bouteilles, pots, bocaux. Le verre est recyclable à l’infini et a le droit à un ramassage spécial, conçu rien que pour lui !</w:t>
      </w:r>
    </w:p>
    <w:p w:rsidR="00FD76D7" w:rsidRPr="00224205" w:rsidRDefault="00FD76D7" w:rsidP="00FD76D7">
      <w:pPr>
        <w:pStyle w:val="Corpodetexto"/>
        <w:ind w:right="-428"/>
        <w:rPr>
          <w:rFonts w:ascii="Times New Roman" w:hAnsi="Times New Roman"/>
          <w:szCs w:val="24"/>
        </w:rPr>
      </w:pPr>
      <w:r w:rsidRPr="00224205">
        <w:rPr>
          <w:rFonts w:ascii="Times New Roman" w:hAnsi="Times New Roman"/>
          <w:szCs w:val="24"/>
        </w:rPr>
        <w:t>NB : Les bacs doivent être munis de couvercles fermés avec une ouverture adaptée à chaque type de déchets.</w:t>
      </w:r>
    </w:p>
    <w:tbl>
      <w:tblPr>
        <w:tblW w:w="101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E2EFD9" w:themeFill="accent6" w:themeFillTint="33"/>
        <w:tblLook w:val="04A0" w:firstRow="1" w:lastRow="0" w:firstColumn="1" w:lastColumn="0" w:noHBand="0" w:noVBand="1"/>
      </w:tblPr>
      <w:tblGrid>
        <w:gridCol w:w="10102"/>
      </w:tblGrid>
      <w:tr w:rsidR="00FD76D7" w:rsidRPr="00F32699" w:rsidTr="002F0DE8">
        <w:tc>
          <w:tcPr>
            <w:tcW w:w="10102" w:type="dxa"/>
            <w:shd w:val="clear" w:color="auto" w:fill="E2EFD9" w:themeFill="accent6" w:themeFillTint="33"/>
          </w:tcPr>
          <w:p w:rsidR="00FD76D7" w:rsidRPr="00F32699" w:rsidRDefault="00FD76D7" w:rsidP="002F0DE8">
            <w:pPr>
              <w:spacing w:after="0"/>
              <w:rPr>
                <w:rFonts w:ascii="Times New Roman" w:hAnsi="Times New Roman"/>
                <w:sz w:val="24"/>
                <w:szCs w:val="24"/>
              </w:rPr>
            </w:pPr>
            <w:r w:rsidRPr="00F32699">
              <w:rPr>
                <w:rFonts w:ascii="Times New Roman" w:hAnsi="Times New Roman"/>
                <w:sz w:val="24"/>
                <w:szCs w:val="24"/>
              </w:rPr>
              <w:t xml:space="preserve">Si ces déchets sont triés (ou sélectionnés) par catégorie dans des bacs, alors la collecte sera facile pour les camions </w:t>
            </w:r>
            <w:r>
              <w:rPr>
                <w:rFonts w:ascii="Times New Roman" w:hAnsi="Times New Roman"/>
                <w:sz w:val="24"/>
                <w:szCs w:val="24"/>
              </w:rPr>
              <w:t>de ramassage</w:t>
            </w:r>
            <w:r w:rsidRPr="00F32699">
              <w:rPr>
                <w:rFonts w:ascii="Times New Roman" w:hAnsi="Times New Roman"/>
                <w:sz w:val="24"/>
                <w:szCs w:val="24"/>
              </w:rPr>
              <w:t xml:space="preserve"> mais aussi pour ouvrir des opportunités pour les recycleurs privés d’acheter les déchets en verres, le carton, les papiers et pour ceux qui pratiquent le compostage etc. Ceci peut constituer une source de revenu pour l’association des colocataires ou copropriétaires.</w:t>
            </w:r>
          </w:p>
        </w:tc>
      </w:tr>
    </w:tbl>
    <w:p w:rsidR="00764FFF" w:rsidRPr="00433D35" w:rsidRDefault="00764FFF" w:rsidP="00764FFF">
      <w:pPr>
        <w:keepNext/>
        <w:spacing w:before="240" w:after="240"/>
        <w:jc w:val="both"/>
        <w:outlineLvl w:val="1"/>
        <w:rPr>
          <w:rFonts w:ascii="Times New Roman" w:hAnsi="Times New Roman"/>
          <w:b/>
          <w:sz w:val="32"/>
          <w:szCs w:val="32"/>
          <w:u w:val="single"/>
          <w:lang w:eastAsia="fr-FR"/>
        </w:rPr>
      </w:pPr>
      <w:bookmarkStart w:id="696" w:name="_Toc535408386"/>
      <w:bookmarkStart w:id="697" w:name="_Toc11158410"/>
      <w:bookmarkStart w:id="698" w:name="_Toc51072630"/>
      <w:r>
        <w:rPr>
          <w:rFonts w:ascii="Times New Roman" w:hAnsi="Times New Roman"/>
          <w:b/>
          <w:sz w:val="32"/>
          <w:szCs w:val="32"/>
          <w:u w:val="single"/>
          <w:lang w:eastAsia="fr-FR"/>
        </w:rPr>
        <w:t>8.10.</w:t>
      </w:r>
      <w:r w:rsidRPr="00433D35">
        <w:rPr>
          <w:rFonts w:ascii="Times New Roman" w:hAnsi="Times New Roman"/>
          <w:b/>
          <w:sz w:val="32"/>
          <w:szCs w:val="32"/>
          <w:u w:val="single"/>
          <w:lang w:eastAsia="fr-FR"/>
        </w:rPr>
        <w:t xml:space="preserve"> Mécanisme de Gestion des Plaintes</w:t>
      </w:r>
      <w:bookmarkEnd w:id="696"/>
      <w:bookmarkEnd w:id="697"/>
      <w:bookmarkEnd w:id="698"/>
    </w:p>
    <w:p w:rsidR="00764FFF" w:rsidRPr="00D335A7" w:rsidRDefault="00764FFF" w:rsidP="00764FFF">
      <w:pPr>
        <w:ind w:left="-284"/>
        <w:jc w:val="both"/>
        <w:rPr>
          <w:rFonts w:ascii="Times New Roman" w:hAnsi="Times New Roman"/>
          <w:sz w:val="24"/>
          <w:szCs w:val="24"/>
        </w:rPr>
      </w:pPr>
      <w:r w:rsidRPr="00D335A7">
        <w:rPr>
          <w:rFonts w:ascii="Times New Roman" w:hAnsi="Times New Roman"/>
          <w:sz w:val="24"/>
          <w:szCs w:val="24"/>
        </w:rPr>
        <w:t xml:space="preserve">Ce mécanisme se justifie par le fait que dans la mise en œuvre des travaux et des mesures compensatoires y relatives, plusieurs conflits peuvent surgir. Ces conflits peuvent être liés aux problèmes suivants : </w:t>
      </w:r>
    </w:p>
    <w:p w:rsidR="00764FFF" w:rsidRPr="00D335A7" w:rsidRDefault="00764FFF" w:rsidP="00FA3FAE">
      <w:pPr>
        <w:pStyle w:val="Listecouleur-Accent12"/>
        <w:numPr>
          <w:ilvl w:val="0"/>
          <w:numId w:val="89"/>
        </w:numPr>
        <w:jc w:val="both"/>
        <w:rPr>
          <w:rFonts w:ascii="Times New Roman" w:hAnsi="Times New Roman"/>
          <w:sz w:val="24"/>
          <w:szCs w:val="24"/>
          <w:lang w:val="fr-FR"/>
        </w:rPr>
      </w:pPr>
      <w:r w:rsidRPr="00D335A7">
        <w:rPr>
          <w:rFonts w:ascii="Times New Roman" w:hAnsi="Times New Roman"/>
          <w:sz w:val="24"/>
          <w:szCs w:val="24"/>
          <w:lang w:val="fr-FR"/>
        </w:rPr>
        <w:t xml:space="preserve">erreur dans l’identification des PAP ; </w:t>
      </w:r>
    </w:p>
    <w:p w:rsidR="00764FFF" w:rsidRPr="00D335A7" w:rsidRDefault="00764FFF" w:rsidP="00FA3FAE">
      <w:pPr>
        <w:pStyle w:val="Listecouleur-Accent12"/>
        <w:numPr>
          <w:ilvl w:val="0"/>
          <w:numId w:val="89"/>
        </w:numPr>
        <w:jc w:val="both"/>
        <w:rPr>
          <w:rFonts w:ascii="Times New Roman" w:hAnsi="Times New Roman"/>
          <w:sz w:val="24"/>
          <w:szCs w:val="24"/>
          <w:lang w:val="fr-FR"/>
        </w:rPr>
      </w:pPr>
      <w:r w:rsidRPr="00D335A7">
        <w:rPr>
          <w:rFonts w:ascii="Times New Roman" w:hAnsi="Times New Roman"/>
          <w:sz w:val="24"/>
          <w:szCs w:val="24"/>
          <w:lang w:val="fr-FR"/>
        </w:rPr>
        <w:t xml:space="preserve">erreur dans l’évaluation des biens des PAP ; </w:t>
      </w:r>
    </w:p>
    <w:p w:rsidR="00764FFF" w:rsidRPr="00D335A7" w:rsidRDefault="00764FFF" w:rsidP="00FA3FAE">
      <w:pPr>
        <w:pStyle w:val="Listecouleur-Accent12"/>
        <w:numPr>
          <w:ilvl w:val="0"/>
          <w:numId w:val="89"/>
        </w:numPr>
        <w:jc w:val="both"/>
        <w:rPr>
          <w:rFonts w:ascii="Times New Roman" w:hAnsi="Times New Roman"/>
          <w:sz w:val="24"/>
          <w:szCs w:val="24"/>
          <w:lang w:val="fr-FR"/>
        </w:rPr>
      </w:pPr>
      <w:r w:rsidRPr="00D335A7">
        <w:rPr>
          <w:rFonts w:ascii="Times New Roman" w:hAnsi="Times New Roman"/>
          <w:sz w:val="24"/>
          <w:szCs w:val="24"/>
          <w:lang w:val="fr-FR"/>
        </w:rPr>
        <w:t xml:space="preserve">conflit sur la propriété d’un bien  ou sur le titre de succession, à l’issue d’un divorce, conflits entre héritiers ; </w:t>
      </w:r>
    </w:p>
    <w:p w:rsidR="00764FFF" w:rsidRPr="00D335A7" w:rsidRDefault="00764FFF" w:rsidP="00FA3FAE">
      <w:pPr>
        <w:pStyle w:val="Listecouleur-Accent12"/>
        <w:numPr>
          <w:ilvl w:val="0"/>
          <w:numId w:val="89"/>
        </w:numPr>
        <w:jc w:val="both"/>
        <w:rPr>
          <w:rFonts w:ascii="Times New Roman" w:hAnsi="Times New Roman"/>
          <w:sz w:val="24"/>
          <w:szCs w:val="24"/>
          <w:lang w:val="fr-FR"/>
        </w:rPr>
      </w:pPr>
      <w:r w:rsidRPr="00D335A7">
        <w:rPr>
          <w:rFonts w:ascii="Times New Roman" w:hAnsi="Times New Roman"/>
          <w:sz w:val="24"/>
          <w:szCs w:val="24"/>
          <w:lang w:val="fr-FR"/>
        </w:rPr>
        <w:t xml:space="preserve">divergences dans l’acquisition et l’occupation des terres ; </w:t>
      </w:r>
    </w:p>
    <w:p w:rsidR="00764FFF" w:rsidRPr="00D335A7" w:rsidRDefault="00764FFF" w:rsidP="00FA3FAE">
      <w:pPr>
        <w:pStyle w:val="Listecouleur-Accent12"/>
        <w:numPr>
          <w:ilvl w:val="0"/>
          <w:numId w:val="89"/>
        </w:numPr>
        <w:jc w:val="both"/>
        <w:rPr>
          <w:rFonts w:ascii="Times New Roman" w:hAnsi="Times New Roman"/>
          <w:sz w:val="24"/>
          <w:szCs w:val="24"/>
          <w:lang w:val="fr-FR"/>
        </w:rPr>
      </w:pPr>
      <w:r w:rsidRPr="00D335A7">
        <w:rPr>
          <w:rFonts w:ascii="Times New Roman" w:hAnsi="Times New Roman"/>
          <w:sz w:val="24"/>
          <w:szCs w:val="24"/>
          <w:lang w:val="fr-FR"/>
        </w:rPr>
        <w:t xml:space="preserve">atteinte à une activité commerciale d’un riverain ; </w:t>
      </w:r>
    </w:p>
    <w:p w:rsidR="00764FFF" w:rsidRPr="00D335A7" w:rsidRDefault="00764FFF" w:rsidP="00FA3FAE">
      <w:pPr>
        <w:pStyle w:val="Listecouleur-Accent12"/>
        <w:numPr>
          <w:ilvl w:val="0"/>
          <w:numId w:val="89"/>
        </w:numPr>
        <w:jc w:val="both"/>
        <w:rPr>
          <w:rFonts w:ascii="Times New Roman" w:hAnsi="Times New Roman"/>
          <w:sz w:val="24"/>
          <w:szCs w:val="24"/>
          <w:lang w:val="fr-FR"/>
        </w:rPr>
      </w:pPr>
      <w:r w:rsidRPr="00D335A7">
        <w:rPr>
          <w:rFonts w:ascii="Times New Roman" w:hAnsi="Times New Roman"/>
          <w:sz w:val="24"/>
          <w:szCs w:val="24"/>
          <w:lang w:val="fr-FR"/>
        </w:rPr>
        <w:t>dégradation des biens au de la de l’emprise du projet ;</w:t>
      </w:r>
    </w:p>
    <w:p w:rsidR="00764FFF" w:rsidRDefault="00764FFF" w:rsidP="00FA3FAE">
      <w:pPr>
        <w:pStyle w:val="Listecouleur-Accent12"/>
        <w:numPr>
          <w:ilvl w:val="0"/>
          <w:numId w:val="89"/>
        </w:numPr>
        <w:jc w:val="both"/>
        <w:rPr>
          <w:rFonts w:ascii="Times New Roman" w:hAnsi="Times New Roman"/>
          <w:sz w:val="24"/>
          <w:szCs w:val="24"/>
          <w:lang w:val="fr-FR"/>
        </w:rPr>
      </w:pPr>
      <w:r w:rsidRPr="00D335A7">
        <w:rPr>
          <w:rFonts w:ascii="Times New Roman" w:hAnsi="Times New Roman"/>
          <w:sz w:val="24"/>
          <w:szCs w:val="24"/>
          <w:lang w:val="fr-FR"/>
        </w:rPr>
        <w:t xml:space="preserve">nuisances et perturbations permanentes des riverains par les travaux… </w:t>
      </w:r>
    </w:p>
    <w:p w:rsidR="00764FFF" w:rsidRDefault="00764FFF" w:rsidP="00FA3FAE">
      <w:pPr>
        <w:pStyle w:val="Listecouleur-Accent12"/>
        <w:numPr>
          <w:ilvl w:val="0"/>
          <w:numId w:val="89"/>
        </w:numPr>
        <w:jc w:val="both"/>
        <w:rPr>
          <w:rFonts w:ascii="Times New Roman" w:hAnsi="Times New Roman"/>
          <w:sz w:val="24"/>
          <w:szCs w:val="24"/>
          <w:lang w:val="fr-FR"/>
        </w:rPr>
      </w:pPr>
      <w:r>
        <w:rPr>
          <w:rFonts w:ascii="Times New Roman" w:hAnsi="Times New Roman"/>
          <w:sz w:val="24"/>
          <w:szCs w:val="24"/>
          <w:lang w:val="fr-FR"/>
        </w:rPr>
        <w:t>harcèlement sexuel, pédophilie, etc. ;</w:t>
      </w:r>
    </w:p>
    <w:p w:rsidR="00764FFF" w:rsidRPr="00D335A7" w:rsidRDefault="00820701" w:rsidP="00FA3FAE">
      <w:pPr>
        <w:pStyle w:val="Listecouleur-Accent12"/>
        <w:numPr>
          <w:ilvl w:val="0"/>
          <w:numId w:val="89"/>
        </w:numPr>
        <w:jc w:val="both"/>
        <w:rPr>
          <w:rFonts w:ascii="Times New Roman" w:hAnsi="Times New Roman"/>
          <w:sz w:val="24"/>
          <w:szCs w:val="24"/>
          <w:lang w:val="fr-FR"/>
        </w:rPr>
      </w:pPr>
      <w:r>
        <w:rPr>
          <w:rFonts w:ascii="Times New Roman" w:hAnsi="Times New Roman"/>
          <w:sz w:val="24"/>
          <w:szCs w:val="24"/>
          <w:lang w:val="fr-FR"/>
        </w:rPr>
        <w:lastRenderedPageBreak/>
        <w:t>Discrimination</w:t>
      </w:r>
      <w:r w:rsidR="00764FFF">
        <w:rPr>
          <w:rFonts w:ascii="Times New Roman" w:hAnsi="Times New Roman"/>
          <w:sz w:val="24"/>
          <w:szCs w:val="24"/>
          <w:lang w:val="fr-FR"/>
        </w:rPr>
        <w:t xml:space="preserve"> basée sur le genre ou la vulnérabilité ;</w:t>
      </w:r>
    </w:p>
    <w:p w:rsidR="00764FFF" w:rsidRPr="00D335A7" w:rsidRDefault="00764FFF" w:rsidP="00764FFF">
      <w:pPr>
        <w:ind w:left="-284"/>
        <w:jc w:val="both"/>
        <w:rPr>
          <w:rFonts w:ascii="Times New Roman" w:hAnsi="Times New Roman"/>
          <w:sz w:val="24"/>
          <w:szCs w:val="24"/>
        </w:rPr>
      </w:pPr>
      <w:r w:rsidRPr="00D335A7">
        <w:rPr>
          <w:rFonts w:ascii="Times New Roman" w:hAnsi="Times New Roman"/>
          <w:sz w:val="24"/>
          <w:szCs w:val="24"/>
        </w:rPr>
        <w:t xml:space="preserve">Ces conflits qui peuvent largement compromettre la réussite des travaux, doivent être gérés et maitrisés dans la plus grande transparence de sorte que personne ne puisse se sentir lésés surtout au niveau des PAP. Ainsi un mécanisme doit être mis en place pour résoudre tous les conflits qui peuvent naitre </w:t>
      </w:r>
      <w:r>
        <w:rPr>
          <w:rFonts w:ascii="Times New Roman" w:hAnsi="Times New Roman"/>
          <w:sz w:val="24"/>
          <w:szCs w:val="24"/>
        </w:rPr>
        <w:t xml:space="preserve">avant, pendant et après </w:t>
      </w:r>
      <w:r w:rsidRPr="00D335A7">
        <w:rPr>
          <w:rFonts w:ascii="Times New Roman" w:hAnsi="Times New Roman"/>
          <w:sz w:val="24"/>
          <w:szCs w:val="24"/>
        </w:rPr>
        <w:t>la réalisation des travaux.</w:t>
      </w:r>
    </w:p>
    <w:p w:rsidR="00764FFF" w:rsidRPr="00D335A7" w:rsidRDefault="00764FFF" w:rsidP="00764FFF">
      <w:pPr>
        <w:ind w:left="-284"/>
        <w:jc w:val="both"/>
        <w:rPr>
          <w:rFonts w:ascii="Times New Roman" w:hAnsi="Times New Roman"/>
          <w:sz w:val="24"/>
          <w:szCs w:val="24"/>
        </w:rPr>
      </w:pPr>
      <w:r w:rsidRPr="00D335A7">
        <w:rPr>
          <w:rFonts w:ascii="Times New Roman" w:hAnsi="Times New Roman"/>
          <w:sz w:val="24"/>
          <w:szCs w:val="24"/>
        </w:rPr>
        <w:t>La mise en place de ce mécanisme vise donc à doter le projet d’un système souple, afin de faciliter la prise de décision dans la résolution des conflits, en vue de répondre aux urgences des plaintes qui</w:t>
      </w:r>
      <w:r>
        <w:rPr>
          <w:rFonts w:ascii="Times New Roman" w:hAnsi="Times New Roman"/>
          <w:sz w:val="24"/>
          <w:szCs w:val="24"/>
        </w:rPr>
        <w:t xml:space="preserve"> sont liés </w:t>
      </w:r>
      <w:r w:rsidRPr="00D335A7">
        <w:rPr>
          <w:rFonts w:ascii="Times New Roman" w:hAnsi="Times New Roman"/>
          <w:sz w:val="24"/>
          <w:szCs w:val="24"/>
        </w:rPr>
        <w:t>à la réalisation des travaux.</w:t>
      </w:r>
    </w:p>
    <w:p w:rsidR="00764FFF" w:rsidRPr="00D335A7" w:rsidRDefault="00764FFF" w:rsidP="00764FFF">
      <w:pPr>
        <w:ind w:left="-284"/>
        <w:jc w:val="both"/>
        <w:rPr>
          <w:rFonts w:ascii="Times New Roman" w:hAnsi="Times New Roman"/>
          <w:sz w:val="24"/>
          <w:szCs w:val="24"/>
        </w:rPr>
      </w:pPr>
      <w:r w:rsidRPr="00D335A7">
        <w:rPr>
          <w:rFonts w:ascii="Times New Roman" w:hAnsi="Times New Roman"/>
          <w:sz w:val="24"/>
          <w:szCs w:val="24"/>
        </w:rPr>
        <w:t>En tout état de cause, les conflits et/ou les plaintes doivent être analysés en tenant compte :</w:t>
      </w:r>
    </w:p>
    <w:p w:rsidR="00764FFF" w:rsidRPr="00D335A7" w:rsidRDefault="00764FFF" w:rsidP="00FA3FAE">
      <w:pPr>
        <w:pStyle w:val="Listecouleur-Accent12"/>
        <w:numPr>
          <w:ilvl w:val="0"/>
          <w:numId w:val="119"/>
        </w:numPr>
        <w:jc w:val="both"/>
        <w:rPr>
          <w:rFonts w:ascii="Times New Roman" w:hAnsi="Times New Roman"/>
          <w:sz w:val="24"/>
          <w:szCs w:val="24"/>
          <w:lang w:val="fr-FR"/>
        </w:rPr>
      </w:pPr>
      <w:r w:rsidRPr="00D335A7">
        <w:rPr>
          <w:rFonts w:ascii="Times New Roman" w:hAnsi="Times New Roman"/>
          <w:sz w:val="24"/>
          <w:szCs w:val="24"/>
          <w:lang w:val="fr-FR"/>
        </w:rPr>
        <w:t xml:space="preserve">de leurs natures ; </w:t>
      </w:r>
    </w:p>
    <w:p w:rsidR="00764FFF" w:rsidRPr="00D335A7" w:rsidRDefault="00764FFF" w:rsidP="00FA3FAE">
      <w:pPr>
        <w:pStyle w:val="Listecouleur-Accent12"/>
        <w:numPr>
          <w:ilvl w:val="0"/>
          <w:numId w:val="119"/>
        </w:numPr>
        <w:jc w:val="both"/>
        <w:rPr>
          <w:rFonts w:ascii="Times New Roman" w:hAnsi="Times New Roman"/>
          <w:sz w:val="24"/>
          <w:szCs w:val="24"/>
          <w:lang w:val="fr-FR"/>
        </w:rPr>
      </w:pPr>
      <w:r w:rsidRPr="00D335A7">
        <w:rPr>
          <w:rFonts w:ascii="Times New Roman" w:hAnsi="Times New Roman"/>
          <w:sz w:val="24"/>
          <w:szCs w:val="24"/>
          <w:lang w:val="fr-FR"/>
        </w:rPr>
        <w:t xml:space="preserve">de leurs causes ; </w:t>
      </w:r>
    </w:p>
    <w:p w:rsidR="00764FFF" w:rsidRPr="00D335A7" w:rsidRDefault="00764FFF" w:rsidP="00FA3FAE">
      <w:pPr>
        <w:pStyle w:val="Listecouleur-Accent12"/>
        <w:numPr>
          <w:ilvl w:val="0"/>
          <w:numId w:val="119"/>
        </w:numPr>
        <w:jc w:val="both"/>
        <w:rPr>
          <w:rFonts w:ascii="Times New Roman" w:hAnsi="Times New Roman"/>
          <w:sz w:val="24"/>
          <w:szCs w:val="24"/>
          <w:lang w:val="fr-FR"/>
        </w:rPr>
      </w:pPr>
      <w:r w:rsidRPr="00D335A7">
        <w:rPr>
          <w:rFonts w:ascii="Times New Roman" w:hAnsi="Times New Roman"/>
          <w:sz w:val="24"/>
          <w:szCs w:val="24"/>
          <w:lang w:val="fr-FR"/>
        </w:rPr>
        <w:t xml:space="preserve">des personnes affectées qui vivent la situation ; </w:t>
      </w:r>
    </w:p>
    <w:p w:rsidR="00764FFF" w:rsidRPr="00D335A7" w:rsidRDefault="00764FFF" w:rsidP="00FA3FAE">
      <w:pPr>
        <w:pStyle w:val="Listecouleur-Accent12"/>
        <w:numPr>
          <w:ilvl w:val="0"/>
          <w:numId w:val="119"/>
        </w:numPr>
        <w:jc w:val="both"/>
        <w:rPr>
          <w:rFonts w:ascii="Times New Roman" w:hAnsi="Times New Roman"/>
          <w:sz w:val="24"/>
          <w:szCs w:val="24"/>
          <w:lang w:val="fr-FR"/>
        </w:rPr>
      </w:pPr>
      <w:r w:rsidRPr="00D335A7">
        <w:rPr>
          <w:rFonts w:ascii="Times New Roman" w:hAnsi="Times New Roman"/>
          <w:sz w:val="24"/>
          <w:szCs w:val="24"/>
          <w:lang w:val="fr-FR"/>
        </w:rPr>
        <w:t>du contexte dans lequel le conflit est né.</w:t>
      </w:r>
    </w:p>
    <w:p w:rsidR="00764FFF" w:rsidRPr="00D335A7" w:rsidRDefault="00764FFF" w:rsidP="00764FFF">
      <w:pPr>
        <w:ind w:left="-284"/>
        <w:jc w:val="both"/>
        <w:rPr>
          <w:rFonts w:ascii="Times New Roman" w:hAnsi="Times New Roman"/>
          <w:sz w:val="24"/>
          <w:szCs w:val="24"/>
        </w:rPr>
      </w:pPr>
      <w:r w:rsidRPr="00D335A7">
        <w:rPr>
          <w:rFonts w:ascii="Times New Roman" w:hAnsi="Times New Roman"/>
          <w:sz w:val="24"/>
          <w:szCs w:val="24"/>
        </w:rPr>
        <w:t>Ainsi, toute forme de résolution qui ne prend pas en compte ces spécificités peut être vouée à l’é</w:t>
      </w:r>
      <w:r>
        <w:rPr>
          <w:rFonts w:ascii="Times New Roman" w:hAnsi="Times New Roman"/>
          <w:sz w:val="24"/>
          <w:szCs w:val="24"/>
        </w:rPr>
        <w:t xml:space="preserve">chec. C’est dans ce sens que l’UGP de </w:t>
      </w:r>
      <w:r w:rsidR="00DF3078">
        <w:rPr>
          <w:rFonts w:ascii="Times New Roman" w:hAnsi="Times New Roman"/>
          <w:sz w:val="24"/>
          <w:szCs w:val="24"/>
        </w:rPr>
        <w:t>PUASEE-FA</w:t>
      </w:r>
      <w:r w:rsidRPr="00D335A7">
        <w:rPr>
          <w:rFonts w:ascii="Times New Roman" w:hAnsi="Times New Roman"/>
          <w:sz w:val="24"/>
          <w:szCs w:val="24"/>
        </w:rPr>
        <w:t xml:space="preserve"> mettra en place un mécanisme largement participatif pour mettre en confiance toutes les parties prenantes dans la résolution des conflits.</w:t>
      </w:r>
    </w:p>
    <w:p w:rsidR="00764FFF" w:rsidRPr="00F362CC" w:rsidRDefault="00764FFF" w:rsidP="00820701">
      <w:pPr>
        <w:pStyle w:val="Cabealho3"/>
      </w:pPr>
      <w:bookmarkStart w:id="699" w:name="_Toc375311835"/>
      <w:bookmarkStart w:id="700" w:name="_Toc529964826"/>
      <w:bookmarkStart w:id="701" w:name="_Toc535408387"/>
      <w:bookmarkStart w:id="702" w:name="_Toc11158411"/>
      <w:bookmarkStart w:id="703" w:name="_Toc51072631"/>
      <w:r w:rsidRPr="00F362CC">
        <w:t>8.10.1 Organisation du Mécanisme de Gestion des Plaintes</w:t>
      </w:r>
      <w:bookmarkEnd w:id="699"/>
      <w:bookmarkEnd w:id="700"/>
      <w:bookmarkEnd w:id="701"/>
      <w:bookmarkEnd w:id="702"/>
      <w:bookmarkEnd w:id="703"/>
    </w:p>
    <w:p w:rsidR="00764FFF" w:rsidRDefault="00764FFF" w:rsidP="00764FFF">
      <w:pPr>
        <w:ind w:left="-284"/>
        <w:rPr>
          <w:rFonts w:ascii="Times New Roman" w:hAnsi="Times New Roman"/>
          <w:sz w:val="24"/>
          <w:szCs w:val="24"/>
        </w:rPr>
      </w:pPr>
      <w:bookmarkStart w:id="704" w:name="_Toc110792322"/>
      <w:r w:rsidRPr="00D335A7">
        <w:rPr>
          <w:rFonts w:ascii="Times New Roman" w:hAnsi="Times New Roman"/>
          <w:sz w:val="24"/>
          <w:szCs w:val="24"/>
        </w:rPr>
        <w:t xml:space="preserve">Le Mécanisme de Gestion des Plaintes du </w:t>
      </w:r>
      <w:r w:rsidR="00FC7093">
        <w:rPr>
          <w:rFonts w:ascii="Times New Roman" w:hAnsi="Times New Roman"/>
          <w:sz w:val="24"/>
          <w:szCs w:val="24"/>
        </w:rPr>
        <w:t>PUASEE-FA</w:t>
      </w:r>
      <w:r w:rsidRPr="00D335A7">
        <w:rPr>
          <w:rFonts w:ascii="Times New Roman" w:hAnsi="Times New Roman"/>
          <w:sz w:val="24"/>
          <w:szCs w:val="24"/>
        </w:rPr>
        <w:t xml:space="preserve"> s’organise en deux niveaux, ce qui permet aussi de définir les organes de gestion à chaque niveau.</w:t>
      </w:r>
    </w:p>
    <w:p w:rsidR="00FC7093" w:rsidRPr="00D335A7" w:rsidRDefault="00FC7093" w:rsidP="00FA3FAE">
      <w:pPr>
        <w:pStyle w:val="Listecouleur-Accent12"/>
        <w:numPr>
          <w:ilvl w:val="0"/>
          <w:numId w:val="120"/>
        </w:numPr>
        <w:rPr>
          <w:rFonts w:ascii="Times New Roman" w:hAnsi="Times New Roman"/>
          <w:b/>
          <w:sz w:val="24"/>
          <w:szCs w:val="24"/>
          <w:lang w:val="fr-FR"/>
        </w:rPr>
      </w:pPr>
      <w:r w:rsidRPr="00D335A7">
        <w:rPr>
          <w:rFonts w:ascii="Times New Roman" w:hAnsi="Times New Roman"/>
          <w:b/>
          <w:sz w:val="24"/>
          <w:szCs w:val="24"/>
          <w:lang w:val="fr-FR"/>
        </w:rPr>
        <w:t xml:space="preserve">Niveau </w:t>
      </w:r>
      <w:r>
        <w:rPr>
          <w:rFonts w:ascii="Times New Roman" w:hAnsi="Times New Roman"/>
          <w:b/>
          <w:sz w:val="24"/>
          <w:szCs w:val="24"/>
          <w:lang w:val="fr-FR"/>
        </w:rPr>
        <w:t xml:space="preserve">du </w:t>
      </w:r>
      <w:r w:rsidRPr="00D335A7">
        <w:rPr>
          <w:rFonts w:ascii="Times New Roman" w:hAnsi="Times New Roman"/>
          <w:b/>
          <w:sz w:val="24"/>
          <w:szCs w:val="24"/>
          <w:lang w:val="fr-FR"/>
        </w:rPr>
        <w:t>projet</w:t>
      </w:r>
      <w:r>
        <w:rPr>
          <w:rFonts w:ascii="Times New Roman" w:hAnsi="Times New Roman"/>
          <w:b/>
          <w:sz w:val="24"/>
          <w:szCs w:val="24"/>
          <w:lang w:val="fr-FR"/>
        </w:rPr>
        <w:t xml:space="preserve"> (PUASEE-FA)</w:t>
      </w:r>
    </w:p>
    <w:p w:rsidR="00FC7093" w:rsidRPr="00D335A7" w:rsidRDefault="00FC7093" w:rsidP="00FC7093">
      <w:pPr>
        <w:ind w:left="-284"/>
        <w:jc w:val="both"/>
        <w:rPr>
          <w:rFonts w:ascii="Times New Roman" w:hAnsi="Times New Roman"/>
          <w:sz w:val="24"/>
          <w:szCs w:val="24"/>
        </w:rPr>
      </w:pPr>
      <w:r w:rsidRPr="00D335A7">
        <w:rPr>
          <w:rFonts w:ascii="Times New Roman" w:hAnsi="Times New Roman"/>
          <w:sz w:val="24"/>
          <w:szCs w:val="24"/>
        </w:rPr>
        <w:t xml:space="preserve">Le </w:t>
      </w:r>
      <w:r>
        <w:rPr>
          <w:rFonts w:ascii="Times New Roman" w:hAnsi="Times New Roman"/>
          <w:sz w:val="24"/>
          <w:szCs w:val="24"/>
        </w:rPr>
        <w:t>PUASEE-FA</w:t>
      </w:r>
      <w:r w:rsidRPr="00D335A7">
        <w:rPr>
          <w:rFonts w:ascii="Times New Roman" w:hAnsi="Times New Roman"/>
          <w:sz w:val="24"/>
          <w:szCs w:val="24"/>
        </w:rPr>
        <w:t xml:space="preserve"> assure la supervision de la mise en œuvre du MGP</w:t>
      </w:r>
      <w:r>
        <w:rPr>
          <w:rFonts w:ascii="Times New Roman" w:hAnsi="Times New Roman"/>
          <w:sz w:val="24"/>
          <w:szCs w:val="24"/>
        </w:rPr>
        <w:t xml:space="preserve"> (Voir PAR plus détaillé)</w:t>
      </w:r>
      <w:r w:rsidRPr="00D335A7">
        <w:rPr>
          <w:rFonts w:ascii="Times New Roman" w:hAnsi="Times New Roman"/>
          <w:sz w:val="24"/>
          <w:szCs w:val="24"/>
        </w:rPr>
        <w:t>. Il travaille en étroite collaboration avec les autorités locales et communales, y compris le</w:t>
      </w:r>
      <w:r>
        <w:rPr>
          <w:rFonts w:ascii="Times New Roman" w:hAnsi="Times New Roman"/>
          <w:sz w:val="24"/>
          <w:szCs w:val="24"/>
        </w:rPr>
        <w:t>s acteurs institutionnels, l’ONG</w:t>
      </w:r>
      <w:r w:rsidRPr="00D335A7">
        <w:rPr>
          <w:rFonts w:ascii="Times New Roman" w:hAnsi="Times New Roman"/>
          <w:sz w:val="24"/>
          <w:szCs w:val="24"/>
        </w:rPr>
        <w:t xml:space="preserve"> et les PAP pour le suivi, le traitement et le reporting de l’ensemble des plaintes liées directement ou indirectement aux activités du projet.</w:t>
      </w:r>
    </w:p>
    <w:p w:rsidR="00764FFF" w:rsidRPr="00D335A7" w:rsidRDefault="00764FFF" w:rsidP="00FA3FAE">
      <w:pPr>
        <w:pStyle w:val="Listecouleur-Accent12"/>
        <w:numPr>
          <w:ilvl w:val="0"/>
          <w:numId w:val="120"/>
        </w:numPr>
        <w:rPr>
          <w:rFonts w:ascii="Times New Roman" w:hAnsi="Times New Roman"/>
          <w:sz w:val="24"/>
          <w:szCs w:val="24"/>
          <w:lang w:val="fr-FR"/>
        </w:rPr>
      </w:pPr>
      <w:r w:rsidRPr="00D335A7">
        <w:rPr>
          <w:rFonts w:ascii="Times New Roman" w:hAnsi="Times New Roman"/>
          <w:b/>
          <w:sz w:val="24"/>
          <w:szCs w:val="24"/>
          <w:lang w:val="fr-FR"/>
        </w:rPr>
        <w:t>Niveau local</w:t>
      </w:r>
      <w:r w:rsidRPr="00D335A7">
        <w:rPr>
          <w:rFonts w:ascii="Times New Roman" w:hAnsi="Times New Roman"/>
          <w:sz w:val="24"/>
          <w:szCs w:val="24"/>
          <w:lang w:val="fr-FR"/>
        </w:rPr>
        <w:t> :</w:t>
      </w:r>
    </w:p>
    <w:p w:rsidR="00764FFF" w:rsidRPr="00D335A7" w:rsidRDefault="00764FFF" w:rsidP="00FA3FAE">
      <w:pPr>
        <w:pStyle w:val="Listecouleur-Accent12"/>
        <w:numPr>
          <w:ilvl w:val="0"/>
          <w:numId w:val="121"/>
        </w:numPr>
        <w:rPr>
          <w:rFonts w:ascii="Times New Roman" w:hAnsi="Times New Roman"/>
          <w:sz w:val="24"/>
          <w:szCs w:val="24"/>
          <w:lang w:val="fr-FR"/>
        </w:rPr>
      </w:pPr>
      <w:r w:rsidRPr="00D335A7">
        <w:rPr>
          <w:rFonts w:ascii="Times New Roman" w:hAnsi="Times New Roman"/>
          <w:sz w:val="24"/>
          <w:szCs w:val="24"/>
          <w:lang w:val="fr-FR"/>
        </w:rPr>
        <w:t xml:space="preserve">les responsables des quartiers (communautés locales, notabilités); </w:t>
      </w:r>
    </w:p>
    <w:p w:rsidR="00764FFF" w:rsidRPr="00D335A7" w:rsidRDefault="00764FFF" w:rsidP="00FA3FAE">
      <w:pPr>
        <w:pStyle w:val="Listecouleur-Accent12"/>
        <w:numPr>
          <w:ilvl w:val="0"/>
          <w:numId w:val="121"/>
        </w:numPr>
        <w:rPr>
          <w:rFonts w:ascii="Times New Roman" w:hAnsi="Times New Roman"/>
          <w:sz w:val="24"/>
          <w:szCs w:val="24"/>
          <w:lang w:val="fr-FR"/>
        </w:rPr>
      </w:pPr>
      <w:r w:rsidRPr="00D335A7">
        <w:rPr>
          <w:rFonts w:ascii="Times New Roman" w:hAnsi="Times New Roman"/>
          <w:sz w:val="24"/>
          <w:szCs w:val="24"/>
          <w:lang w:val="fr-FR"/>
        </w:rPr>
        <w:t>les autorité</w:t>
      </w:r>
      <w:r w:rsidR="00FC7093">
        <w:rPr>
          <w:rFonts w:ascii="Times New Roman" w:hAnsi="Times New Roman"/>
          <w:sz w:val="24"/>
          <w:szCs w:val="24"/>
          <w:lang w:val="fr-FR"/>
        </w:rPr>
        <w:t xml:space="preserve">s municipales (mairie Bissau, Safim et Prabis </w:t>
      </w:r>
      <w:r w:rsidRPr="00D335A7">
        <w:rPr>
          <w:rFonts w:ascii="Times New Roman" w:hAnsi="Times New Roman"/>
          <w:sz w:val="24"/>
          <w:szCs w:val="24"/>
          <w:lang w:val="fr-FR"/>
        </w:rPr>
        <w:t>) ;</w:t>
      </w:r>
    </w:p>
    <w:p w:rsidR="00764FFF" w:rsidRPr="00D335A7" w:rsidRDefault="00764FFF" w:rsidP="00FA3FAE">
      <w:pPr>
        <w:pStyle w:val="Listecouleur-Accent12"/>
        <w:numPr>
          <w:ilvl w:val="0"/>
          <w:numId w:val="121"/>
        </w:numPr>
        <w:rPr>
          <w:rFonts w:ascii="Times New Roman" w:hAnsi="Times New Roman"/>
          <w:sz w:val="24"/>
          <w:szCs w:val="24"/>
          <w:lang w:val="fr-FR"/>
        </w:rPr>
      </w:pPr>
      <w:r w:rsidRPr="00D335A7">
        <w:rPr>
          <w:rFonts w:ascii="Times New Roman" w:hAnsi="Times New Roman"/>
          <w:sz w:val="24"/>
          <w:szCs w:val="24"/>
          <w:lang w:val="fr-FR"/>
        </w:rPr>
        <w:t>les acteurs institutionnels (services techniques</w:t>
      </w:r>
      <w:r w:rsidR="00FC7093">
        <w:rPr>
          <w:rFonts w:ascii="Times New Roman" w:hAnsi="Times New Roman"/>
          <w:sz w:val="24"/>
          <w:szCs w:val="24"/>
          <w:lang w:val="fr-FR"/>
        </w:rPr>
        <w:t>)</w:t>
      </w:r>
      <w:r w:rsidRPr="00D335A7">
        <w:rPr>
          <w:rFonts w:ascii="Times New Roman" w:hAnsi="Times New Roman"/>
          <w:sz w:val="24"/>
          <w:szCs w:val="24"/>
          <w:lang w:val="fr-FR"/>
        </w:rPr>
        <w:t> ;</w:t>
      </w:r>
    </w:p>
    <w:p w:rsidR="00764FFF" w:rsidRPr="00D335A7" w:rsidRDefault="00764FFF" w:rsidP="00FA3FAE">
      <w:pPr>
        <w:pStyle w:val="Listecouleur-Accent12"/>
        <w:numPr>
          <w:ilvl w:val="0"/>
          <w:numId w:val="121"/>
        </w:numPr>
        <w:rPr>
          <w:rFonts w:ascii="Times New Roman" w:hAnsi="Times New Roman"/>
          <w:sz w:val="24"/>
          <w:szCs w:val="24"/>
          <w:lang w:val="fr-FR"/>
        </w:rPr>
      </w:pPr>
      <w:r w:rsidRPr="00D335A7">
        <w:rPr>
          <w:rFonts w:ascii="Times New Roman" w:hAnsi="Times New Roman"/>
          <w:sz w:val="24"/>
          <w:szCs w:val="24"/>
          <w:lang w:val="fr-FR"/>
        </w:rPr>
        <w:t>une ONG locale comme tierce partie</w:t>
      </w:r>
    </w:p>
    <w:p w:rsidR="00764FFF" w:rsidRPr="00D335A7" w:rsidRDefault="00764FFF" w:rsidP="00FA3FAE">
      <w:pPr>
        <w:pStyle w:val="Listecouleur-Accent12"/>
        <w:numPr>
          <w:ilvl w:val="0"/>
          <w:numId w:val="121"/>
        </w:numPr>
        <w:rPr>
          <w:rFonts w:ascii="Times New Roman" w:hAnsi="Times New Roman"/>
          <w:sz w:val="24"/>
          <w:szCs w:val="24"/>
          <w:lang w:val="fr-FR"/>
        </w:rPr>
      </w:pPr>
      <w:r w:rsidRPr="00D335A7">
        <w:rPr>
          <w:rFonts w:ascii="Times New Roman" w:hAnsi="Times New Roman"/>
          <w:sz w:val="24"/>
          <w:szCs w:val="24"/>
          <w:lang w:val="fr-FR"/>
        </w:rPr>
        <w:t xml:space="preserve">les Personnes Affectées par Projet (PAP). </w:t>
      </w:r>
    </w:p>
    <w:p w:rsidR="00764FFF" w:rsidRDefault="00764FFF" w:rsidP="00764FFF">
      <w:pPr>
        <w:pStyle w:val="Listecouleur-Accent12"/>
        <w:ind w:left="-284"/>
        <w:rPr>
          <w:rFonts w:ascii="Times New Roman" w:hAnsi="Times New Roman"/>
          <w:sz w:val="24"/>
          <w:szCs w:val="24"/>
          <w:lang w:val="fr-FR"/>
        </w:rPr>
      </w:pPr>
    </w:p>
    <w:p w:rsidR="00764FFF" w:rsidRPr="00F362CC" w:rsidRDefault="00764FFF" w:rsidP="00820701">
      <w:pPr>
        <w:pStyle w:val="Cabealho3"/>
      </w:pPr>
      <w:bookmarkStart w:id="705" w:name="_Toc529964827"/>
      <w:bookmarkStart w:id="706" w:name="_Toc535408388"/>
      <w:bookmarkStart w:id="707" w:name="_Toc11158412"/>
      <w:bookmarkStart w:id="708" w:name="_Toc51072632"/>
      <w:r w:rsidRPr="00F362CC">
        <w:t>8.10.2 Fonctionnement du mécanisme de gestion des plaintes</w:t>
      </w:r>
      <w:bookmarkEnd w:id="705"/>
      <w:bookmarkEnd w:id="706"/>
      <w:bookmarkEnd w:id="707"/>
      <w:bookmarkEnd w:id="708"/>
    </w:p>
    <w:p w:rsidR="00764FFF" w:rsidRPr="00D335A7" w:rsidRDefault="00764FFF" w:rsidP="00764FFF">
      <w:pPr>
        <w:ind w:left="-284"/>
        <w:jc w:val="both"/>
        <w:rPr>
          <w:rFonts w:ascii="Times New Roman" w:hAnsi="Times New Roman"/>
          <w:sz w:val="24"/>
          <w:szCs w:val="24"/>
        </w:rPr>
      </w:pPr>
      <w:r w:rsidRPr="00D335A7">
        <w:rPr>
          <w:rFonts w:ascii="Times New Roman" w:hAnsi="Times New Roman"/>
          <w:sz w:val="24"/>
          <w:szCs w:val="24"/>
        </w:rPr>
        <w:t>Le mécanisme de gestion des plaintes se structure en trois niveaux, à savoir :</w:t>
      </w:r>
    </w:p>
    <w:p w:rsidR="00764FFF" w:rsidRPr="00D335A7" w:rsidRDefault="00764FFF" w:rsidP="00FA3FAE">
      <w:pPr>
        <w:pStyle w:val="Listecouleur-Accent12"/>
        <w:numPr>
          <w:ilvl w:val="1"/>
          <w:numId w:val="122"/>
        </w:numPr>
        <w:tabs>
          <w:tab w:val="clear" w:pos="1440"/>
          <w:tab w:val="num" w:pos="1134"/>
          <w:tab w:val="left" w:pos="1560"/>
        </w:tabs>
        <w:ind w:left="1560" w:hanging="873"/>
        <w:jc w:val="both"/>
        <w:rPr>
          <w:rFonts w:ascii="Times New Roman" w:hAnsi="Times New Roman"/>
          <w:sz w:val="24"/>
          <w:szCs w:val="24"/>
          <w:lang w:val="fr-FR"/>
        </w:rPr>
      </w:pPr>
      <w:r w:rsidRPr="00D335A7">
        <w:rPr>
          <w:rFonts w:ascii="Times New Roman" w:hAnsi="Times New Roman"/>
          <w:sz w:val="24"/>
          <w:szCs w:val="24"/>
          <w:lang w:val="fr-FR"/>
        </w:rPr>
        <w:t xml:space="preserve">Niveau I : Le chef de village ou les responsables de quartiers et les notables ; </w:t>
      </w:r>
    </w:p>
    <w:p w:rsidR="00764FFF" w:rsidRPr="00D335A7" w:rsidRDefault="00764FFF" w:rsidP="00FA3FAE">
      <w:pPr>
        <w:pStyle w:val="Listecouleur-Accent12"/>
        <w:numPr>
          <w:ilvl w:val="1"/>
          <w:numId w:val="122"/>
        </w:numPr>
        <w:tabs>
          <w:tab w:val="clear" w:pos="1440"/>
          <w:tab w:val="num" w:pos="1134"/>
          <w:tab w:val="left" w:pos="1560"/>
        </w:tabs>
        <w:ind w:left="1560" w:hanging="873"/>
        <w:jc w:val="both"/>
        <w:rPr>
          <w:rFonts w:ascii="Times New Roman" w:hAnsi="Times New Roman"/>
          <w:sz w:val="24"/>
          <w:szCs w:val="24"/>
          <w:lang w:val="fr-FR"/>
        </w:rPr>
      </w:pPr>
      <w:r w:rsidRPr="00D335A7">
        <w:rPr>
          <w:rFonts w:ascii="Times New Roman" w:hAnsi="Times New Roman"/>
          <w:sz w:val="24"/>
          <w:szCs w:val="24"/>
          <w:lang w:val="fr-FR"/>
        </w:rPr>
        <w:t>Niveau II : Le comi</w:t>
      </w:r>
      <w:r>
        <w:rPr>
          <w:rFonts w:ascii="Times New Roman" w:hAnsi="Times New Roman"/>
          <w:sz w:val="24"/>
          <w:szCs w:val="24"/>
          <w:lang w:val="fr-FR"/>
        </w:rPr>
        <w:t>té local de gestion de plaintes ;</w:t>
      </w:r>
    </w:p>
    <w:p w:rsidR="00764FFF" w:rsidRPr="00D335A7" w:rsidRDefault="00764FFF" w:rsidP="00FA3FAE">
      <w:pPr>
        <w:pStyle w:val="Listecouleur-Accent12"/>
        <w:numPr>
          <w:ilvl w:val="1"/>
          <w:numId w:val="122"/>
        </w:numPr>
        <w:tabs>
          <w:tab w:val="clear" w:pos="1440"/>
          <w:tab w:val="num" w:pos="1134"/>
          <w:tab w:val="left" w:pos="1560"/>
        </w:tabs>
        <w:ind w:left="1560" w:hanging="873"/>
        <w:jc w:val="both"/>
        <w:rPr>
          <w:rFonts w:ascii="Times New Roman" w:hAnsi="Times New Roman"/>
          <w:sz w:val="24"/>
          <w:szCs w:val="24"/>
          <w:lang w:val="fr-FR"/>
        </w:rPr>
      </w:pPr>
      <w:r w:rsidRPr="00D335A7">
        <w:rPr>
          <w:rFonts w:ascii="Times New Roman" w:hAnsi="Times New Roman"/>
          <w:sz w:val="24"/>
          <w:szCs w:val="24"/>
          <w:lang w:val="fr-FR"/>
        </w:rPr>
        <w:t>Niveau III : Le</w:t>
      </w:r>
      <w:r w:rsidR="00FC7093">
        <w:rPr>
          <w:rFonts w:ascii="Times New Roman" w:hAnsi="Times New Roman"/>
          <w:sz w:val="24"/>
          <w:szCs w:val="24"/>
          <w:lang w:val="fr-FR"/>
        </w:rPr>
        <w:t xml:space="preserve"> PUASEE-FA</w:t>
      </w:r>
      <w:r>
        <w:rPr>
          <w:rFonts w:ascii="Times New Roman" w:hAnsi="Times New Roman"/>
          <w:sz w:val="24"/>
          <w:szCs w:val="24"/>
          <w:lang w:val="fr-FR"/>
        </w:rPr>
        <w:t>.</w:t>
      </w:r>
    </w:p>
    <w:p w:rsidR="00764FFF" w:rsidRPr="00F148E1" w:rsidRDefault="00764FFF" w:rsidP="00FA3FAE">
      <w:pPr>
        <w:pStyle w:val="Listecouleur-Accent11"/>
        <w:numPr>
          <w:ilvl w:val="0"/>
          <w:numId w:val="123"/>
        </w:numPr>
        <w:spacing w:after="200" w:line="276" w:lineRule="auto"/>
        <w:rPr>
          <w:rFonts w:ascii="Times New Roman" w:hAnsi="Times New Roman"/>
          <w:b/>
          <w:sz w:val="24"/>
          <w:szCs w:val="24"/>
        </w:rPr>
      </w:pPr>
      <w:r w:rsidRPr="00F148E1">
        <w:rPr>
          <w:rFonts w:ascii="Times New Roman" w:hAnsi="Times New Roman"/>
          <w:b/>
          <w:sz w:val="24"/>
          <w:szCs w:val="24"/>
        </w:rPr>
        <w:t>Niveau I:</w:t>
      </w:r>
    </w:p>
    <w:p w:rsidR="00764FFF" w:rsidRPr="00D335A7" w:rsidRDefault="00764FFF" w:rsidP="00764FFF">
      <w:pPr>
        <w:ind w:left="-284"/>
        <w:jc w:val="both"/>
        <w:rPr>
          <w:rFonts w:ascii="Times New Roman" w:hAnsi="Times New Roman"/>
          <w:sz w:val="24"/>
          <w:szCs w:val="24"/>
        </w:rPr>
      </w:pPr>
      <w:r w:rsidRPr="00D335A7">
        <w:rPr>
          <w:rFonts w:ascii="Times New Roman" w:hAnsi="Times New Roman"/>
          <w:sz w:val="24"/>
          <w:szCs w:val="24"/>
        </w:rPr>
        <w:t xml:space="preserve">Toute personne affectée par le projet et qui s’estime être lésée, est invitée à saisir par écrit ou oralement et à rencontrer les autorités de son quartier ou de son village chez qui </w:t>
      </w:r>
      <w:r>
        <w:rPr>
          <w:rFonts w:ascii="Times New Roman" w:hAnsi="Times New Roman"/>
          <w:sz w:val="24"/>
          <w:szCs w:val="24"/>
        </w:rPr>
        <w:t xml:space="preserve">le </w:t>
      </w:r>
      <w:r w:rsidRPr="00D335A7">
        <w:rPr>
          <w:rFonts w:ascii="Times New Roman" w:hAnsi="Times New Roman"/>
          <w:sz w:val="24"/>
          <w:szCs w:val="24"/>
        </w:rPr>
        <w:t xml:space="preserve">registre de plainte sera déposé. Les </w:t>
      </w:r>
      <w:r w:rsidRPr="00D335A7">
        <w:rPr>
          <w:rFonts w:ascii="Times New Roman" w:hAnsi="Times New Roman"/>
          <w:sz w:val="24"/>
          <w:szCs w:val="24"/>
        </w:rPr>
        <w:lastRenderedPageBreak/>
        <w:t xml:space="preserve">autorités du quartier ou de la ville seront chargées d’édifier le plaignant sur le bienfondé ou non de sa requête et d’apporter dans la mesure du possible, la réponse adéquate dans un délai ne dépassant </w:t>
      </w:r>
      <w:r>
        <w:rPr>
          <w:rFonts w:ascii="Times New Roman" w:hAnsi="Times New Roman"/>
          <w:sz w:val="24"/>
          <w:szCs w:val="24"/>
        </w:rPr>
        <w:t xml:space="preserve">pas </w:t>
      </w:r>
      <w:r w:rsidRPr="00D335A7">
        <w:rPr>
          <w:rFonts w:ascii="Times New Roman" w:hAnsi="Times New Roman"/>
          <w:sz w:val="24"/>
          <w:szCs w:val="24"/>
        </w:rPr>
        <w:t>2 jours. Un registre de plainte sera déposé au niveau de chaque chef de village ou quartier et des explications seront fournies aux PAP</w:t>
      </w:r>
      <w:r>
        <w:rPr>
          <w:rFonts w:ascii="Times New Roman" w:hAnsi="Times New Roman"/>
          <w:sz w:val="24"/>
          <w:szCs w:val="24"/>
        </w:rPr>
        <w:t xml:space="preserve"> et plaignants</w:t>
      </w:r>
      <w:r w:rsidRPr="00D335A7">
        <w:rPr>
          <w:rFonts w:ascii="Times New Roman" w:hAnsi="Times New Roman"/>
          <w:sz w:val="24"/>
          <w:szCs w:val="24"/>
        </w:rPr>
        <w:t xml:space="preserve"> sur l’ouverture et la tenue du registre lors des activités de consultation et de sensibilisation menées </w:t>
      </w:r>
      <w:r>
        <w:rPr>
          <w:rFonts w:ascii="Times New Roman" w:hAnsi="Times New Roman"/>
          <w:sz w:val="24"/>
          <w:szCs w:val="24"/>
        </w:rPr>
        <w:t>au cours du déroulement du projet (lors de l’audience publique, de la mise en œuvre du PAR et pendant la mise en œuvre des différents programmes de sensibilisation prévus dans le PGES.</w:t>
      </w:r>
    </w:p>
    <w:p w:rsidR="00764FFF" w:rsidRPr="00F148E1" w:rsidRDefault="00764FFF" w:rsidP="00FA3FAE">
      <w:pPr>
        <w:pStyle w:val="Listecouleur-Accent11"/>
        <w:numPr>
          <w:ilvl w:val="0"/>
          <w:numId w:val="123"/>
        </w:numPr>
        <w:spacing w:after="200" w:line="276" w:lineRule="auto"/>
        <w:rPr>
          <w:rFonts w:ascii="Times New Roman" w:hAnsi="Times New Roman"/>
          <w:b/>
          <w:sz w:val="24"/>
          <w:szCs w:val="24"/>
        </w:rPr>
      </w:pPr>
      <w:r w:rsidRPr="00F148E1">
        <w:rPr>
          <w:rFonts w:ascii="Times New Roman" w:hAnsi="Times New Roman"/>
          <w:b/>
          <w:sz w:val="24"/>
          <w:szCs w:val="24"/>
        </w:rPr>
        <w:t>Niveau II :</w:t>
      </w:r>
    </w:p>
    <w:p w:rsidR="00764FFF" w:rsidRPr="00D335A7" w:rsidRDefault="00764FFF" w:rsidP="00764FFF">
      <w:pPr>
        <w:ind w:left="-284"/>
        <w:jc w:val="both"/>
        <w:rPr>
          <w:rFonts w:ascii="Times New Roman" w:hAnsi="Times New Roman"/>
          <w:sz w:val="24"/>
          <w:szCs w:val="24"/>
        </w:rPr>
      </w:pPr>
      <w:r w:rsidRPr="00D335A7">
        <w:rPr>
          <w:rFonts w:ascii="Times New Roman" w:hAnsi="Times New Roman"/>
          <w:sz w:val="24"/>
          <w:szCs w:val="24"/>
        </w:rPr>
        <w:t xml:space="preserve">Dans l’hypothèse où la PAP </w:t>
      </w:r>
      <w:r>
        <w:rPr>
          <w:rFonts w:ascii="Times New Roman" w:hAnsi="Times New Roman"/>
          <w:sz w:val="24"/>
          <w:szCs w:val="24"/>
        </w:rPr>
        <w:t xml:space="preserve">ou le plaignant </w:t>
      </w:r>
      <w:r w:rsidRPr="00D335A7">
        <w:rPr>
          <w:rFonts w:ascii="Times New Roman" w:hAnsi="Times New Roman"/>
          <w:sz w:val="24"/>
          <w:szCs w:val="24"/>
        </w:rPr>
        <w:t>ne trouve</w:t>
      </w:r>
      <w:r>
        <w:rPr>
          <w:rFonts w:ascii="Times New Roman" w:hAnsi="Times New Roman"/>
          <w:sz w:val="24"/>
          <w:szCs w:val="24"/>
        </w:rPr>
        <w:t>nt</w:t>
      </w:r>
      <w:r w:rsidRPr="00D335A7">
        <w:rPr>
          <w:rFonts w:ascii="Times New Roman" w:hAnsi="Times New Roman"/>
          <w:sz w:val="24"/>
          <w:szCs w:val="24"/>
        </w:rPr>
        <w:t xml:space="preserve"> pas satisfaction, il est en droit de porter sa plainte au niveau du </w:t>
      </w:r>
      <w:r w:rsidRPr="00D335A7">
        <w:rPr>
          <w:rFonts w:ascii="Times New Roman" w:hAnsi="Times New Roman"/>
          <w:b/>
          <w:sz w:val="24"/>
          <w:szCs w:val="24"/>
        </w:rPr>
        <w:t>Comité Local de Gestion des Plaintes (CLGP).</w:t>
      </w:r>
      <w:r w:rsidRPr="00D335A7">
        <w:rPr>
          <w:rFonts w:ascii="Times New Roman" w:hAnsi="Times New Roman"/>
          <w:sz w:val="24"/>
          <w:szCs w:val="24"/>
        </w:rPr>
        <w:t xml:space="preserve"> Ce comité sera mis en place par le </w:t>
      </w:r>
      <w:r w:rsidR="00FC7093">
        <w:rPr>
          <w:rFonts w:ascii="Times New Roman" w:hAnsi="Times New Roman"/>
          <w:sz w:val="24"/>
          <w:szCs w:val="24"/>
        </w:rPr>
        <w:t>PUASEE-FA</w:t>
      </w:r>
      <w:r w:rsidRPr="00D335A7">
        <w:rPr>
          <w:rFonts w:ascii="Times New Roman" w:hAnsi="Times New Roman"/>
          <w:sz w:val="24"/>
          <w:szCs w:val="24"/>
        </w:rPr>
        <w:t xml:space="preserve"> avec le concours des mairies, des services techniques, une ONG locale et les représentants des PAP</w:t>
      </w:r>
      <w:r>
        <w:rPr>
          <w:rFonts w:ascii="Times New Roman" w:hAnsi="Times New Roman"/>
          <w:sz w:val="24"/>
          <w:szCs w:val="24"/>
        </w:rPr>
        <w:t xml:space="preserve"> ou plaignants</w:t>
      </w:r>
      <w:r w:rsidRPr="00D335A7">
        <w:rPr>
          <w:rFonts w:ascii="Times New Roman" w:hAnsi="Times New Roman"/>
          <w:sz w:val="24"/>
          <w:szCs w:val="24"/>
        </w:rPr>
        <w:t xml:space="preserve">. Le </w:t>
      </w:r>
      <w:r w:rsidR="00FC7093">
        <w:rPr>
          <w:rFonts w:ascii="Times New Roman" w:hAnsi="Times New Roman"/>
          <w:sz w:val="24"/>
          <w:szCs w:val="24"/>
        </w:rPr>
        <w:t>PUASEE-FA</w:t>
      </w:r>
      <w:r w:rsidRPr="00D335A7">
        <w:rPr>
          <w:rFonts w:ascii="Times New Roman" w:hAnsi="Times New Roman"/>
          <w:sz w:val="24"/>
          <w:szCs w:val="24"/>
        </w:rPr>
        <w:t xml:space="preserve"> aura un représentant au sein de ce comité. Ce comité est présidé par le maire. A ce deuxième niveau, si une solution satisfaisante n’est pas trouvée, le dossier de la plainte est transmis au </w:t>
      </w:r>
      <w:r w:rsidR="00FC7093">
        <w:rPr>
          <w:rFonts w:ascii="Times New Roman" w:hAnsi="Times New Roman"/>
          <w:sz w:val="24"/>
          <w:szCs w:val="24"/>
        </w:rPr>
        <w:t>PUASEE-FA</w:t>
      </w:r>
      <w:r w:rsidRPr="00D335A7">
        <w:rPr>
          <w:rFonts w:ascii="Times New Roman" w:hAnsi="Times New Roman"/>
          <w:sz w:val="24"/>
          <w:szCs w:val="24"/>
        </w:rPr>
        <w:t>, par le Comité Local de Gestion des Plaintes avec la signature du plaignant.</w:t>
      </w:r>
    </w:p>
    <w:p w:rsidR="00764FFF" w:rsidRPr="00D335A7" w:rsidRDefault="00764FFF" w:rsidP="00764FFF">
      <w:pPr>
        <w:ind w:left="-284"/>
        <w:jc w:val="both"/>
        <w:rPr>
          <w:rFonts w:ascii="Times New Roman" w:hAnsi="Times New Roman"/>
          <w:sz w:val="24"/>
          <w:szCs w:val="24"/>
        </w:rPr>
      </w:pPr>
      <w:r w:rsidRPr="00D335A7">
        <w:rPr>
          <w:rFonts w:ascii="Times New Roman" w:hAnsi="Times New Roman"/>
          <w:sz w:val="24"/>
          <w:szCs w:val="24"/>
        </w:rPr>
        <w:t>Le Comité Local de Gestion des Plaintes devra accorder aux requêtes qui leur sont soumises un caractère de traitement prioritaire et diligent. Toutes les plaintes e</w:t>
      </w:r>
      <w:r w:rsidR="00DF3078">
        <w:rPr>
          <w:rFonts w:ascii="Times New Roman" w:hAnsi="Times New Roman"/>
          <w:sz w:val="24"/>
          <w:szCs w:val="24"/>
        </w:rPr>
        <w:t>t réponses seront copiées à l’UI</w:t>
      </w:r>
      <w:r w:rsidRPr="00D335A7">
        <w:rPr>
          <w:rFonts w:ascii="Times New Roman" w:hAnsi="Times New Roman"/>
          <w:sz w:val="24"/>
          <w:szCs w:val="24"/>
        </w:rPr>
        <w:t xml:space="preserve">P du </w:t>
      </w:r>
      <w:r w:rsidR="00DF3078">
        <w:rPr>
          <w:rFonts w:ascii="Times New Roman" w:hAnsi="Times New Roman"/>
          <w:sz w:val="24"/>
          <w:szCs w:val="24"/>
        </w:rPr>
        <w:t>PUASEE-FA</w:t>
      </w:r>
      <w:r w:rsidRPr="00D335A7">
        <w:rPr>
          <w:rFonts w:ascii="Times New Roman" w:hAnsi="Times New Roman"/>
          <w:sz w:val="24"/>
          <w:szCs w:val="24"/>
        </w:rPr>
        <w:t xml:space="preserve"> et archivées. Au regard de la nature des travaux à réaliser et des différentes plaintes susceptibles d’être reçues, un délai </w:t>
      </w:r>
      <w:r w:rsidRPr="00D335A7">
        <w:rPr>
          <w:rFonts w:ascii="Times New Roman" w:hAnsi="Times New Roman"/>
          <w:b/>
          <w:sz w:val="24"/>
          <w:szCs w:val="24"/>
        </w:rPr>
        <w:t>maximum de trois (03) jours</w:t>
      </w:r>
      <w:r w:rsidRPr="00D335A7">
        <w:rPr>
          <w:rFonts w:ascii="Times New Roman" w:hAnsi="Times New Roman"/>
          <w:sz w:val="24"/>
          <w:szCs w:val="24"/>
        </w:rPr>
        <w:t xml:space="preserve"> est acceptable pour le traitement d’une plainte au niveau local.</w:t>
      </w:r>
    </w:p>
    <w:p w:rsidR="00764FFF" w:rsidRPr="00F148E1" w:rsidRDefault="00764FFF" w:rsidP="00FA3FAE">
      <w:pPr>
        <w:pStyle w:val="Listecouleur-Accent11"/>
        <w:numPr>
          <w:ilvl w:val="0"/>
          <w:numId w:val="123"/>
        </w:numPr>
        <w:spacing w:after="200" w:line="276" w:lineRule="auto"/>
        <w:rPr>
          <w:rFonts w:ascii="Times New Roman" w:hAnsi="Times New Roman"/>
          <w:b/>
          <w:sz w:val="24"/>
          <w:szCs w:val="24"/>
        </w:rPr>
      </w:pPr>
      <w:r w:rsidRPr="00F148E1">
        <w:rPr>
          <w:rFonts w:ascii="Times New Roman" w:hAnsi="Times New Roman"/>
          <w:b/>
          <w:sz w:val="24"/>
          <w:szCs w:val="24"/>
        </w:rPr>
        <w:t>Niveau III :</w:t>
      </w:r>
    </w:p>
    <w:p w:rsidR="00764FFF" w:rsidRPr="00D335A7" w:rsidRDefault="00764FFF" w:rsidP="00764FFF">
      <w:pPr>
        <w:ind w:left="-284"/>
        <w:jc w:val="both"/>
        <w:rPr>
          <w:rFonts w:ascii="Times New Roman" w:hAnsi="Times New Roman"/>
          <w:sz w:val="24"/>
          <w:szCs w:val="24"/>
        </w:rPr>
      </w:pPr>
      <w:r w:rsidRPr="00D335A7">
        <w:rPr>
          <w:rFonts w:ascii="Times New Roman" w:hAnsi="Times New Roman"/>
          <w:sz w:val="24"/>
          <w:szCs w:val="24"/>
        </w:rPr>
        <w:t xml:space="preserve">Toutes les plaintes non résolues transmises à </w:t>
      </w:r>
      <w:r w:rsidR="00DF3078">
        <w:rPr>
          <w:rFonts w:ascii="Times New Roman" w:hAnsi="Times New Roman"/>
          <w:sz w:val="24"/>
          <w:szCs w:val="24"/>
        </w:rPr>
        <w:t>l’UI</w:t>
      </w:r>
      <w:r w:rsidR="00DF3078" w:rsidRPr="00D335A7">
        <w:rPr>
          <w:rFonts w:ascii="Times New Roman" w:hAnsi="Times New Roman"/>
          <w:sz w:val="24"/>
          <w:szCs w:val="24"/>
        </w:rPr>
        <w:t xml:space="preserve">P du </w:t>
      </w:r>
      <w:r w:rsidR="00DF3078">
        <w:rPr>
          <w:rFonts w:ascii="Times New Roman" w:hAnsi="Times New Roman"/>
          <w:sz w:val="24"/>
          <w:szCs w:val="24"/>
        </w:rPr>
        <w:t>PUASEE-FA</w:t>
      </w:r>
      <w:r w:rsidR="00DF3078" w:rsidRPr="00D335A7">
        <w:rPr>
          <w:rFonts w:ascii="Times New Roman" w:hAnsi="Times New Roman"/>
          <w:sz w:val="24"/>
          <w:szCs w:val="24"/>
        </w:rPr>
        <w:t xml:space="preserve"> </w:t>
      </w:r>
      <w:r w:rsidRPr="00D335A7">
        <w:rPr>
          <w:rFonts w:ascii="Times New Roman" w:hAnsi="Times New Roman"/>
          <w:sz w:val="24"/>
          <w:szCs w:val="24"/>
        </w:rPr>
        <w:t>seront traitées par une commission dont la composition des membres est présentée au tab</w:t>
      </w:r>
      <w:r>
        <w:rPr>
          <w:rFonts w:ascii="Times New Roman" w:hAnsi="Times New Roman"/>
          <w:sz w:val="24"/>
          <w:szCs w:val="24"/>
        </w:rPr>
        <w:t>leau 52</w:t>
      </w:r>
      <w:r w:rsidRPr="00D335A7">
        <w:rPr>
          <w:rFonts w:ascii="Times New Roman" w:hAnsi="Times New Roman"/>
          <w:sz w:val="24"/>
          <w:szCs w:val="24"/>
        </w:rPr>
        <w:t xml:space="preserve"> ci-dessous. La commi</w:t>
      </w:r>
      <w:r w:rsidR="00DF3078">
        <w:rPr>
          <w:rFonts w:ascii="Times New Roman" w:hAnsi="Times New Roman"/>
          <w:sz w:val="24"/>
          <w:szCs w:val="24"/>
        </w:rPr>
        <w:t>ssion de l’UI</w:t>
      </w:r>
      <w:r w:rsidRPr="00D335A7">
        <w:rPr>
          <w:rFonts w:ascii="Times New Roman" w:hAnsi="Times New Roman"/>
          <w:sz w:val="24"/>
          <w:szCs w:val="24"/>
        </w:rPr>
        <w:t xml:space="preserve">P a le mandat d’organiser des rencontres avec le </w:t>
      </w:r>
      <w:r>
        <w:rPr>
          <w:rFonts w:ascii="Times New Roman" w:hAnsi="Times New Roman"/>
          <w:sz w:val="24"/>
          <w:szCs w:val="24"/>
        </w:rPr>
        <w:t>plaignant</w:t>
      </w:r>
      <w:r w:rsidRPr="00D335A7">
        <w:rPr>
          <w:rFonts w:ascii="Times New Roman" w:hAnsi="Times New Roman"/>
          <w:sz w:val="24"/>
          <w:szCs w:val="24"/>
        </w:rPr>
        <w:t xml:space="preserve"> concerné, les autorités locales et la commission local</w:t>
      </w:r>
      <w:r>
        <w:rPr>
          <w:rFonts w:ascii="Times New Roman" w:hAnsi="Times New Roman"/>
          <w:sz w:val="24"/>
          <w:szCs w:val="24"/>
        </w:rPr>
        <w:t>e</w:t>
      </w:r>
      <w:r w:rsidRPr="00D335A7">
        <w:rPr>
          <w:rFonts w:ascii="Times New Roman" w:hAnsi="Times New Roman"/>
          <w:sz w:val="24"/>
          <w:szCs w:val="24"/>
        </w:rPr>
        <w:t xml:space="preserve"> de traitement de plaintes. Au niveau du </w:t>
      </w:r>
      <w:r w:rsidR="00DF3078">
        <w:rPr>
          <w:rFonts w:ascii="Times New Roman" w:hAnsi="Times New Roman"/>
          <w:sz w:val="24"/>
          <w:szCs w:val="24"/>
        </w:rPr>
        <w:t>PUASEE-FA</w:t>
      </w:r>
      <w:r w:rsidRPr="00D335A7">
        <w:rPr>
          <w:rFonts w:ascii="Times New Roman" w:hAnsi="Times New Roman"/>
          <w:sz w:val="24"/>
          <w:szCs w:val="24"/>
        </w:rPr>
        <w:t xml:space="preserve">, la plainte qui arrive est enregistrée et un accusé de réception doit être fourni au mandataire qui l’a déposé. Le </w:t>
      </w:r>
      <w:r w:rsidR="00DF3078">
        <w:rPr>
          <w:rFonts w:ascii="Times New Roman" w:hAnsi="Times New Roman"/>
          <w:sz w:val="24"/>
          <w:szCs w:val="24"/>
        </w:rPr>
        <w:t>PUASEE-FA</w:t>
      </w:r>
      <w:r w:rsidRPr="00D335A7">
        <w:rPr>
          <w:rFonts w:ascii="Times New Roman" w:hAnsi="Times New Roman"/>
          <w:sz w:val="24"/>
          <w:szCs w:val="24"/>
        </w:rPr>
        <w:t xml:space="preserve"> après traitement du dossier va descendre sur le terrain en compagnie des membres de la commission pour une vérification des faits. Une réunion de concertation est organisée entre le </w:t>
      </w:r>
      <w:r w:rsidR="00DF3078">
        <w:rPr>
          <w:rFonts w:ascii="Times New Roman" w:hAnsi="Times New Roman"/>
          <w:sz w:val="24"/>
          <w:szCs w:val="24"/>
        </w:rPr>
        <w:t>PUASEE-FA</w:t>
      </w:r>
      <w:r w:rsidRPr="00D335A7">
        <w:rPr>
          <w:rFonts w:ascii="Times New Roman" w:hAnsi="Times New Roman"/>
          <w:sz w:val="24"/>
          <w:szCs w:val="24"/>
        </w:rPr>
        <w:t xml:space="preserve">, la commission et les responsables de quartiers concernés. Ensuite, après avoir adopté la stratégie de règlement du conflit, une réunion de conciliation sera organisée entre le </w:t>
      </w:r>
      <w:r w:rsidR="00DF3078">
        <w:rPr>
          <w:rFonts w:ascii="Times New Roman" w:hAnsi="Times New Roman"/>
          <w:sz w:val="24"/>
          <w:szCs w:val="24"/>
        </w:rPr>
        <w:t>PUASEE-FA</w:t>
      </w:r>
      <w:r w:rsidRPr="00D335A7">
        <w:rPr>
          <w:rFonts w:ascii="Times New Roman" w:hAnsi="Times New Roman"/>
          <w:sz w:val="24"/>
          <w:szCs w:val="24"/>
        </w:rPr>
        <w:t>, la commission et l</w:t>
      </w:r>
      <w:r>
        <w:rPr>
          <w:rFonts w:ascii="Times New Roman" w:hAnsi="Times New Roman"/>
          <w:sz w:val="24"/>
          <w:szCs w:val="24"/>
        </w:rPr>
        <w:t>e plaignant</w:t>
      </w:r>
      <w:r w:rsidRPr="00D335A7">
        <w:rPr>
          <w:rFonts w:ascii="Times New Roman" w:hAnsi="Times New Roman"/>
          <w:sz w:val="24"/>
          <w:szCs w:val="24"/>
        </w:rPr>
        <w:t>.  Si des solutions à l’amiable ne sont pas trouvées au niveau de la</w:t>
      </w:r>
      <w:r w:rsidR="00DF3078">
        <w:rPr>
          <w:rFonts w:ascii="Times New Roman" w:hAnsi="Times New Roman"/>
          <w:sz w:val="24"/>
          <w:szCs w:val="24"/>
        </w:rPr>
        <w:t xml:space="preserve"> commission de l’UI</w:t>
      </w:r>
      <w:r w:rsidRPr="00D335A7">
        <w:rPr>
          <w:rFonts w:ascii="Times New Roman" w:hAnsi="Times New Roman"/>
          <w:sz w:val="24"/>
          <w:szCs w:val="24"/>
        </w:rPr>
        <w:t>P, la PAP affecté</w:t>
      </w:r>
      <w:r>
        <w:rPr>
          <w:rFonts w:ascii="Times New Roman" w:hAnsi="Times New Roman"/>
          <w:sz w:val="24"/>
          <w:szCs w:val="24"/>
        </w:rPr>
        <w:t>e</w:t>
      </w:r>
      <w:r w:rsidRPr="00D335A7">
        <w:rPr>
          <w:rFonts w:ascii="Times New Roman" w:hAnsi="Times New Roman"/>
          <w:sz w:val="24"/>
          <w:szCs w:val="24"/>
        </w:rPr>
        <w:t xml:space="preserve"> et lésée est en droit de saisir une instance juridique compétente pour la suite de la procédure. </w:t>
      </w:r>
    </w:p>
    <w:p w:rsidR="00764FFF" w:rsidRPr="00D335A7" w:rsidRDefault="00764FFF" w:rsidP="00764FFF">
      <w:pPr>
        <w:ind w:left="-284"/>
        <w:jc w:val="both"/>
        <w:rPr>
          <w:rFonts w:ascii="Times New Roman" w:hAnsi="Times New Roman"/>
          <w:sz w:val="24"/>
          <w:szCs w:val="24"/>
        </w:rPr>
      </w:pPr>
      <w:r w:rsidRPr="00D335A7">
        <w:rPr>
          <w:rFonts w:ascii="Times New Roman" w:hAnsi="Times New Roman"/>
          <w:sz w:val="24"/>
          <w:szCs w:val="24"/>
        </w:rPr>
        <w:t xml:space="preserve">Pendant la descente sur le terrain pour vérification, le </w:t>
      </w:r>
      <w:r w:rsidR="00DF3078">
        <w:rPr>
          <w:rFonts w:ascii="Times New Roman" w:hAnsi="Times New Roman"/>
          <w:sz w:val="24"/>
          <w:szCs w:val="24"/>
        </w:rPr>
        <w:t>PUASEE-FA</w:t>
      </w:r>
      <w:r w:rsidRPr="00D335A7">
        <w:rPr>
          <w:rFonts w:ascii="Times New Roman" w:hAnsi="Times New Roman"/>
          <w:sz w:val="24"/>
          <w:szCs w:val="24"/>
        </w:rPr>
        <w:t xml:space="preserve"> peut de commun accord avec les comités de quartiers, mettre des enquêteurs pour mieux cerner les différents contours du problème.  Ces enquêteurs sont des personnes qui doivent avoir les aptitudes suivantes : la compétence, la transparence, la confidentialité, l’impartialité.</w:t>
      </w:r>
    </w:p>
    <w:p w:rsidR="00764FFF" w:rsidRPr="00D335A7" w:rsidRDefault="00764FFF" w:rsidP="00764FFF">
      <w:pPr>
        <w:ind w:left="-284"/>
        <w:jc w:val="both"/>
        <w:rPr>
          <w:rFonts w:ascii="Times New Roman" w:hAnsi="Times New Roman"/>
          <w:sz w:val="24"/>
          <w:szCs w:val="24"/>
        </w:rPr>
      </w:pPr>
      <w:r w:rsidRPr="00D335A7">
        <w:rPr>
          <w:rFonts w:ascii="Times New Roman" w:hAnsi="Times New Roman"/>
          <w:sz w:val="24"/>
          <w:szCs w:val="24"/>
        </w:rPr>
        <w:t>Pour toute cette procédure et pour des questions de transparence</w:t>
      </w:r>
      <w:r>
        <w:rPr>
          <w:rFonts w:ascii="Times New Roman" w:hAnsi="Times New Roman"/>
          <w:sz w:val="24"/>
          <w:szCs w:val="24"/>
        </w:rPr>
        <w:t xml:space="preserve"> et de discrétion </w:t>
      </w:r>
      <w:r w:rsidRPr="00D335A7">
        <w:rPr>
          <w:rFonts w:ascii="Times New Roman" w:hAnsi="Times New Roman"/>
          <w:sz w:val="24"/>
          <w:szCs w:val="24"/>
        </w:rPr>
        <w:t>les</w:t>
      </w:r>
      <w:r>
        <w:rPr>
          <w:rFonts w:ascii="Times New Roman" w:hAnsi="Times New Roman"/>
          <w:sz w:val="24"/>
          <w:szCs w:val="24"/>
        </w:rPr>
        <w:t xml:space="preserve"> plaignants</w:t>
      </w:r>
      <w:r w:rsidRPr="00D335A7">
        <w:rPr>
          <w:rFonts w:ascii="Times New Roman" w:hAnsi="Times New Roman"/>
          <w:sz w:val="24"/>
          <w:szCs w:val="24"/>
        </w:rPr>
        <w:t xml:space="preserve"> peuvent utiliser la communication téléphonique pour joindre le </w:t>
      </w:r>
      <w:r w:rsidR="00DF3078">
        <w:rPr>
          <w:rFonts w:ascii="Times New Roman" w:hAnsi="Times New Roman"/>
          <w:sz w:val="24"/>
          <w:szCs w:val="24"/>
        </w:rPr>
        <w:t>PUASEE-FA</w:t>
      </w:r>
      <w:r w:rsidRPr="00D335A7">
        <w:rPr>
          <w:rFonts w:ascii="Times New Roman" w:hAnsi="Times New Roman"/>
          <w:sz w:val="24"/>
          <w:szCs w:val="24"/>
        </w:rPr>
        <w:t xml:space="preserve"> et se rassurer si la plainte est bien transmise.</w:t>
      </w:r>
    </w:p>
    <w:p w:rsidR="00764FFF" w:rsidRDefault="00764FFF" w:rsidP="00764FFF">
      <w:pPr>
        <w:ind w:left="-284"/>
        <w:jc w:val="both"/>
        <w:rPr>
          <w:rFonts w:ascii="Times New Roman" w:hAnsi="Times New Roman"/>
          <w:sz w:val="24"/>
          <w:szCs w:val="24"/>
        </w:rPr>
      </w:pPr>
      <w:r w:rsidRPr="00D335A7">
        <w:rPr>
          <w:rFonts w:ascii="Times New Roman" w:hAnsi="Times New Roman"/>
          <w:sz w:val="24"/>
          <w:szCs w:val="24"/>
        </w:rPr>
        <w:t xml:space="preserve">Le mécanisme de gestion des plaintes du </w:t>
      </w:r>
      <w:r w:rsidR="00DF3078">
        <w:rPr>
          <w:rFonts w:ascii="Times New Roman" w:hAnsi="Times New Roman"/>
          <w:sz w:val="24"/>
          <w:szCs w:val="24"/>
        </w:rPr>
        <w:t>PUASEE-FA</w:t>
      </w:r>
      <w:r w:rsidRPr="00D335A7">
        <w:rPr>
          <w:rFonts w:ascii="Times New Roman" w:hAnsi="Times New Roman"/>
          <w:sz w:val="24"/>
          <w:szCs w:val="24"/>
        </w:rPr>
        <w:t xml:space="preserve">, dans sa démarche fonctionnelle, se conduit selon six étapes qui permettent de répondre avec cohérence aux questions. Il s’agit de : (i) l’accès, (ii) l’accusé de réception, (iii) le tri et traitement, (iv) la descente sur le terrain pour vérification, (v) le suivi et l’évaluation, (iv) le retour de l’information. </w:t>
      </w:r>
    </w:p>
    <w:p w:rsidR="00820701" w:rsidRDefault="00820701" w:rsidP="00764FFF">
      <w:pPr>
        <w:ind w:left="-284"/>
        <w:jc w:val="both"/>
        <w:rPr>
          <w:rFonts w:ascii="Times New Roman" w:hAnsi="Times New Roman"/>
          <w:sz w:val="24"/>
          <w:szCs w:val="24"/>
        </w:rPr>
      </w:pPr>
    </w:p>
    <w:p w:rsidR="00820701" w:rsidRDefault="00820701" w:rsidP="00764FFF">
      <w:pPr>
        <w:ind w:left="-284"/>
        <w:jc w:val="both"/>
        <w:rPr>
          <w:rFonts w:ascii="Times New Roman" w:hAnsi="Times New Roman"/>
          <w:sz w:val="24"/>
          <w:szCs w:val="24"/>
        </w:rPr>
      </w:pPr>
    </w:p>
    <w:p w:rsidR="00764FFF" w:rsidRPr="00F148E1" w:rsidRDefault="00764FFF" w:rsidP="00764FFF">
      <w:pPr>
        <w:pStyle w:val="Legenda"/>
        <w:spacing w:after="0"/>
        <w:rPr>
          <w:rFonts w:ascii="Times New Roman" w:hAnsi="Times New Roman"/>
          <w:color w:val="auto"/>
          <w:sz w:val="20"/>
          <w:szCs w:val="20"/>
          <w:lang w:val="fr-FR"/>
        </w:rPr>
      </w:pPr>
      <w:bookmarkStart w:id="709" w:name="_Toc51074030"/>
      <w:bookmarkStart w:id="710" w:name="_Toc529727621"/>
      <w:bookmarkStart w:id="711" w:name="_Toc535408500"/>
      <w:bookmarkStart w:id="712" w:name="_Toc11158782"/>
      <w:r w:rsidRPr="00F148E1">
        <w:rPr>
          <w:rFonts w:ascii="Times New Roman" w:hAnsi="Times New Roman"/>
          <w:color w:val="auto"/>
          <w:sz w:val="20"/>
          <w:szCs w:val="20"/>
          <w:lang w:val="fr-FR"/>
        </w:rPr>
        <w:lastRenderedPageBreak/>
        <w:t xml:space="preserve">Tableau </w:t>
      </w:r>
      <w:r w:rsidRPr="00F148E1">
        <w:rPr>
          <w:rFonts w:ascii="Times New Roman" w:hAnsi="Times New Roman"/>
          <w:color w:val="auto"/>
          <w:sz w:val="20"/>
          <w:szCs w:val="20"/>
          <w:lang w:val="fr-FR"/>
        </w:rPr>
        <w:fldChar w:fldCharType="begin"/>
      </w:r>
      <w:r w:rsidRPr="00F148E1">
        <w:rPr>
          <w:rFonts w:ascii="Times New Roman" w:hAnsi="Times New Roman"/>
          <w:color w:val="auto"/>
          <w:sz w:val="20"/>
          <w:szCs w:val="20"/>
          <w:lang w:val="fr-FR"/>
        </w:rPr>
        <w:instrText xml:space="preserve"> </w:instrText>
      </w:r>
      <w:r>
        <w:rPr>
          <w:rFonts w:ascii="Times New Roman" w:hAnsi="Times New Roman"/>
          <w:color w:val="auto"/>
          <w:sz w:val="20"/>
          <w:szCs w:val="20"/>
          <w:lang w:val="fr-FR"/>
        </w:rPr>
        <w:instrText>SEQ</w:instrText>
      </w:r>
      <w:r w:rsidRPr="00F148E1">
        <w:rPr>
          <w:rFonts w:ascii="Times New Roman" w:hAnsi="Times New Roman"/>
          <w:color w:val="auto"/>
          <w:sz w:val="20"/>
          <w:szCs w:val="20"/>
          <w:lang w:val="fr-FR"/>
        </w:rPr>
        <w:instrText xml:space="preserve"> Tableau \* ARABIC </w:instrText>
      </w:r>
      <w:r w:rsidRPr="00F148E1">
        <w:rPr>
          <w:rFonts w:ascii="Times New Roman" w:hAnsi="Times New Roman"/>
          <w:color w:val="auto"/>
          <w:sz w:val="20"/>
          <w:szCs w:val="20"/>
          <w:lang w:val="fr-FR"/>
        </w:rPr>
        <w:fldChar w:fldCharType="separate"/>
      </w:r>
      <w:r w:rsidR="00820701">
        <w:rPr>
          <w:rFonts w:ascii="Times New Roman" w:hAnsi="Times New Roman"/>
          <w:noProof/>
          <w:color w:val="auto"/>
          <w:sz w:val="20"/>
          <w:szCs w:val="20"/>
          <w:lang w:val="fr-FR"/>
        </w:rPr>
        <w:t>39</w:t>
      </w:r>
      <w:r w:rsidRPr="00F148E1">
        <w:rPr>
          <w:rFonts w:ascii="Times New Roman" w:hAnsi="Times New Roman"/>
          <w:color w:val="auto"/>
          <w:sz w:val="20"/>
          <w:szCs w:val="20"/>
          <w:lang w:val="fr-FR"/>
        </w:rPr>
        <w:fldChar w:fldCharType="end"/>
      </w:r>
      <w:r w:rsidRPr="00F148E1">
        <w:rPr>
          <w:rFonts w:ascii="Times New Roman" w:hAnsi="Times New Roman"/>
          <w:color w:val="auto"/>
          <w:sz w:val="20"/>
          <w:szCs w:val="20"/>
          <w:lang w:val="fr-FR"/>
        </w:rPr>
        <w:t> : Composition du MGP</w:t>
      </w:r>
      <w:bookmarkEnd w:id="709"/>
      <w:r w:rsidRPr="00F148E1">
        <w:rPr>
          <w:rFonts w:ascii="Times New Roman" w:hAnsi="Times New Roman"/>
          <w:color w:val="auto"/>
          <w:sz w:val="20"/>
          <w:szCs w:val="20"/>
          <w:lang w:val="fr-FR"/>
        </w:rPr>
        <w:t xml:space="preserve"> </w:t>
      </w:r>
      <w:bookmarkEnd w:id="710"/>
      <w:bookmarkEnd w:id="711"/>
      <w:bookmarkEnd w:id="712"/>
    </w:p>
    <w:tbl>
      <w:tblPr>
        <w:tblW w:w="1020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1588"/>
        <w:gridCol w:w="2240"/>
        <w:gridCol w:w="2693"/>
        <w:gridCol w:w="1417"/>
        <w:gridCol w:w="1418"/>
      </w:tblGrid>
      <w:tr w:rsidR="00764FFF" w:rsidRPr="00AA45E9" w:rsidTr="00764FFF">
        <w:trPr>
          <w:trHeight w:val="372"/>
        </w:trPr>
        <w:tc>
          <w:tcPr>
            <w:tcW w:w="851" w:type="dxa"/>
            <w:shd w:val="clear" w:color="auto" w:fill="002060"/>
            <w:vAlign w:val="center"/>
          </w:tcPr>
          <w:p w:rsidR="00764FFF" w:rsidRPr="00AA45E9" w:rsidRDefault="00764FFF" w:rsidP="00764FFF">
            <w:pPr>
              <w:spacing w:after="0"/>
              <w:jc w:val="center"/>
              <w:rPr>
                <w:rFonts w:ascii="Times New Roman" w:hAnsi="Times New Roman"/>
                <w:b/>
              </w:rPr>
            </w:pPr>
            <w:r w:rsidRPr="00AA45E9">
              <w:rPr>
                <w:rFonts w:ascii="Times New Roman" w:hAnsi="Times New Roman"/>
                <w:b/>
              </w:rPr>
              <w:t>Ordre</w:t>
            </w:r>
          </w:p>
        </w:tc>
        <w:tc>
          <w:tcPr>
            <w:tcW w:w="9356" w:type="dxa"/>
            <w:gridSpan w:val="5"/>
            <w:shd w:val="clear" w:color="auto" w:fill="002060"/>
            <w:vAlign w:val="center"/>
          </w:tcPr>
          <w:p w:rsidR="00764FFF" w:rsidRPr="00AA45E9" w:rsidRDefault="00764FFF" w:rsidP="00764FFF">
            <w:pPr>
              <w:spacing w:after="0"/>
              <w:jc w:val="center"/>
              <w:rPr>
                <w:rFonts w:ascii="Times New Roman" w:hAnsi="Times New Roman"/>
                <w:b/>
              </w:rPr>
            </w:pPr>
            <w:r w:rsidRPr="00AA45E9">
              <w:rPr>
                <w:rFonts w:ascii="Times New Roman" w:hAnsi="Times New Roman"/>
                <w:b/>
              </w:rPr>
              <w:t xml:space="preserve">Membres du MGP du </w:t>
            </w:r>
            <w:r w:rsidR="00DF3078">
              <w:rPr>
                <w:rFonts w:ascii="Times New Roman" w:hAnsi="Times New Roman"/>
                <w:b/>
              </w:rPr>
              <w:t>PUASEE-FA</w:t>
            </w:r>
          </w:p>
        </w:tc>
      </w:tr>
      <w:tr w:rsidR="00764FFF" w:rsidRPr="00AA45E9" w:rsidTr="00820701">
        <w:tc>
          <w:tcPr>
            <w:tcW w:w="851" w:type="dxa"/>
            <w:shd w:val="clear" w:color="auto" w:fill="C5E0B3"/>
            <w:vAlign w:val="center"/>
          </w:tcPr>
          <w:p w:rsidR="00764FFF" w:rsidRPr="00AA45E9" w:rsidRDefault="00764FFF" w:rsidP="00764FFF">
            <w:pPr>
              <w:spacing w:after="0"/>
              <w:jc w:val="center"/>
              <w:rPr>
                <w:rFonts w:ascii="Times New Roman" w:hAnsi="Times New Roman"/>
              </w:rPr>
            </w:pPr>
            <w:r w:rsidRPr="00AA45E9">
              <w:rPr>
                <w:rFonts w:ascii="Times New Roman" w:hAnsi="Times New Roman"/>
              </w:rPr>
              <w:t>N°</w:t>
            </w:r>
          </w:p>
        </w:tc>
        <w:tc>
          <w:tcPr>
            <w:tcW w:w="1588" w:type="dxa"/>
            <w:shd w:val="clear" w:color="auto" w:fill="C5E0B3"/>
            <w:vAlign w:val="center"/>
          </w:tcPr>
          <w:p w:rsidR="00764FFF" w:rsidRPr="00AA45E9" w:rsidRDefault="00764FFF" w:rsidP="00764FFF">
            <w:pPr>
              <w:spacing w:after="0"/>
              <w:jc w:val="center"/>
              <w:rPr>
                <w:rFonts w:ascii="Times New Roman" w:hAnsi="Times New Roman"/>
              </w:rPr>
            </w:pPr>
            <w:r w:rsidRPr="00AA45E9">
              <w:rPr>
                <w:rFonts w:ascii="Times New Roman" w:hAnsi="Times New Roman"/>
              </w:rPr>
              <w:t>Noms et Prénoms</w:t>
            </w:r>
          </w:p>
        </w:tc>
        <w:tc>
          <w:tcPr>
            <w:tcW w:w="2240" w:type="dxa"/>
            <w:shd w:val="clear" w:color="auto" w:fill="C5E0B3"/>
            <w:vAlign w:val="center"/>
          </w:tcPr>
          <w:p w:rsidR="00764FFF" w:rsidRPr="00AA45E9" w:rsidRDefault="00764FFF" w:rsidP="00764FFF">
            <w:pPr>
              <w:spacing w:after="0"/>
              <w:jc w:val="center"/>
              <w:rPr>
                <w:rFonts w:ascii="Times New Roman" w:hAnsi="Times New Roman"/>
              </w:rPr>
            </w:pPr>
            <w:r w:rsidRPr="00AA45E9">
              <w:rPr>
                <w:rFonts w:ascii="Times New Roman" w:hAnsi="Times New Roman"/>
              </w:rPr>
              <w:t>Structures</w:t>
            </w:r>
          </w:p>
        </w:tc>
        <w:tc>
          <w:tcPr>
            <w:tcW w:w="2693" w:type="dxa"/>
            <w:shd w:val="clear" w:color="auto" w:fill="C5E0B3"/>
            <w:vAlign w:val="center"/>
          </w:tcPr>
          <w:p w:rsidR="00764FFF" w:rsidRPr="00AA45E9" w:rsidRDefault="00764FFF" w:rsidP="00764FFF">
            <w:pPr>
              <w:spacing w:after="0"/>
              <w:jc w:val="center"/>
              <w:rPr>
                <w:rFonts w:ascii="Times New Roman" w:hAnsi="Times New Roman"/>
              </w:rPr>
            </w:pPr>
            <w:r w:rsidRPr="00AA45E9">
              <w:rPr>
                <w:rFonts w:ascii="Times New Roman" w:hAnsi="Times New Roman"/>
              </w:rPr>
              <w:t>Fonction</w:t>
            </w:r>
          </w:p>
        </w:tc>
        <w:tc>
          <w:tcPr>
            <w:tcW w:w="1417" w:type="dxa"/>
            <w:shd w:val="clear" w:color="auto" w:fill="C5E0B3"/>
            <w:vAlign w:val="center"/>
          </w:tcPr>
          <w:p w:rsidR="00764FFF" w:rsidRPr="00AA45E9" w:rsidRDefault="00764FFF" w:rsidP="00764FFF">
            <w:pPr>
              <w:spacing w:after="0"/>
              <w:jc w:val="center"/>
              <w:rPr>
                <w:rFonts w:ascii="Times New Roman" w:hAnsi="Times New Roman"/>
              </w:rPr>
            </w:pPr>
            <w:r w:rsidRPr="00AA45E9">
              <w:rPr>
                <w:rFonts w:ascii="Times New Roman" w:hAnsi="Times New Roman"/>
              </w:rPr>
              <w:t>Téléphone</w:t>
            </w:r>
          </w:p>
        </w:tc>
        <w:tc>
          <w:tcPr>
            <w:tcW w:w="1418" w:type="dxa"/>
            <w:shd w:val="clear" w:color="auto" w:fill="C5E0B3"/>
            <w:vAlign w:val="center"/>
          </w:tcPr>
          <w:p w:rsidR="00764FFF" w:rsidRPr="00AA45E9" w:rsidRDefault="00764FFF" w:rsidP="00764FFF">
            <w:pPr>
              <w:spacing w:after="0"/>
              <w:jc w:val="center"/>
              <w:rPr>
                <w:rFonts w:ascii="Times New Roman" w:hAnsi="Times New Roman"/>
              </w:rPr>
            </w:pPr>
            <w:r w:rsidRPr="00AA45E9">
              <w:rPr>
                <w:rFonts w:ascii="Times New Roman" w:hAnsi="Times New Roman"/>
              </w:rPr>
              <w:t>E.mail</w:t>
            </w:r>
          </w:p>
        </w:tc>
      </w:tr>
      <w:tr w:rsidR="00764FFF" w:rsidRPr="00AA45E9" w:rsidTr="00820701">
        <w:tc>
          <w:tcPr>
            <w:tcW w:w="851" w:type="dxa"/>
            <w:shd w:val="clear" w:color="auto" w:fill="auto"/>
            <w:vAlign w:val="center"/>
          </w:tcPr>
          <w:p w:rsidR="00764FFF" w:rsidRPr="00AA45E9" w:rsidRDefault="00764FFF" w:rsidP="00764FFF">
            <w:pPr>
              <w:spacing w:after="0"/>
              <w:jc w:val="center"/>
              <w:rPr>
                <w:rFonts w:ascii="Times New Roman" w:hAnsi="Times New Roman"/>
              </w:rPr>
            </w:pPr>
            <w:r w:rsidRPr="00AA45E9">
              <w:rPr>
                <w:rFonts w:ascii="Times New Roman" w:hAnsi="Times New Roman"/>
              </w:rPr>
              <w:t>1</w:t>
            </w:r>
          </w:p>
        </w:tc>
        <w:tc>
          <w:tcPr>
            <w:tcW w:w="1588" w:type="dxa"/>
            <w:shd w:val="clear" w:color="auto" w:fill="auto"/>
            <w:vAlign w:val="center"/>
          </w:tcPr>
          <w:p w:rsidR="00764FFF" w:rsidRPr="00AA45E9" w:rsidRDefault="00764FFF" w:rsidP="00764FFF">
            <w:pPr>
              <w:spacing w:after="0"/>
              <w:jc w:val="center"/>
              <w:rPr>
                <w:rFonts w:ascii="Times New Roman" w:hAnsi="Times New Roman"/>
              </w:rPr>
            </w:pPr>
          </w:p>
        </w:tc>
        <w:tc>
          <w:tcPr>
            <w:tcW w:w="2240" w:type="dxa"/>
            <w:shd w:val="clear" w:color="auto" w:fill="auto"/>
            <w:vAlign w:val="center"/>
          </w:tcPr>
          <w:p w:rsidR="00764FFF" w:rsidRPr="00AA45E9" w:rsidRDefault="00DF3078" w:rsidP="00764FFF">
            <w:pPr>
              <w:spacing w:after="0"/>
              <w:jc w:val="center"/>
              <w:rPr>
                <w:rFonts w:ascii="Times New Roman" w:hAnsi="Times New Roman"/>
              </w:rPr>
            </w:pPr>
            <w:r>
              <w:rPr>
                <w:rFonts w:ascii="Times New Roman" w:hAnsi="Times New Roman"/>
              </w:rPr>
              <w:t>UIP PUASEE-FA</w:t>
            </w:r>
          </w:p>
        </w:tc>
        <w:tc>
          <w:tcPr>
            <w:tcW w:w="2693" w:type="dxa"/>
            <w:shd w:val="clear" w:color="auto" w:fill="auto"/>
            <w:vAlign w:val="center"/>
          </w:tcPr>
          <w:p w:rsidR="00764FFF" w:rsidRPr="00AA45E9" w:rsidRDefault="00764FFF" w:rsidP="00764FFF">
            <w:pPr>
              <w:spacing w:after="0"/>
              <w:jc w:val="center"/>
              <w:rPr>
                <w:rFonts w:ascii="Times New Roman" w:hAnsi="Times New Roman"/>
              </w:rPr>
            </w:pPr>
            <w:r w:rsidRPr="00AA45E9">
              <w:rPr>
                <w:rFonts w:ascii="Times New Roman" w:hAnsi="Times New Roman"/>
              </w:rPr>
              <w:t>Responsable sauvegarde environnemental et social</w:t>
            </w:r>
          </w:p>
        </w:tc>
        <w:tc>
          <w:tcPr>
            <w:tcW w:w="1417" w:type="dxa"/>
            <w:shd w:val="clear" w:color="auto" w:fill="auto"/>
            <w:vAlign w:val="center"/>
          </w:tcPr>
          <w:p w:rsidR="00764FFF" w:rsidRPr="00AA45E9" w:rsidRDefault="00764FFF" w:rsidP="00764FFF">
            <w:pPr>
              <w:spacing w:after="0"/>
              <w:jc w:val="center"/>
              <w:rPr>
                <w:rFonts w:ascii="Times New Roman" w:hAnsi="Times New Roman"/>
              </w:rPr>
            </w:pPr>
          </w:p>
        </w:tc>
        <w:tc>
          <w:tcPr>
            <w:tcW w:w="1418" w:type="dxa"/>
            <w:shd w:val="clear" w:color="auto" w:fill="auto"/>
            <w:vAlign w:val="center"/>
          </w:tcPr>
          <w:p w:rsidR="00764FFF" w:rsidRPr="00AA45E9" w:rsidRDefault="00764FFF" w:rsidP="00764FFF">
            <w:pPr>
              <w:spacing w:after="0"/>
              <w:jc w:val="center"/>
              <w:rPr>
                <w:rFonts w:ascii="Times New Roman" w:hAnsi="Times New Roman"/>
              </w:rPr>
            </w:pPr>
          </w:p>
        </w:tc>
      </w:tr>
      <w:tr w:rsidR="00764FFF" w:rsidRPr="00AA45E9" w:rsidTr="00820701">
        <w:tc>
          <w:tcPr>
            <w:tcW w:w="851" w:type="dxa"/>
            <w:shd w:val="clear" w:color="auto" w:fill="auto"/>
            <w:vAlign w:val="center"/>
          </w:tcPr>
          <w:p w:rsidR="00764FFF" w:rsidRPr="00AA45E9" w:rsidRDefault="00764FFF" w:rsidP="00764FFF">
            <w:pPr>
              <w:spacing w:after="0"/>
              <w:jc w:val="center"/>
              <w:rPr>
                <w:rFonts w:ascii="Times New Roman" w:hAnsi="Times New Roman"/>
              </w:rPr>
            </w:pPr>
            <w:r w:rsidRPr="00AA45E9">
              <w:rPr>
                <w:rFonts w:ascii="Times New Roman" w:hAnsi="Times New Roman"/>
              </w:rPr>
              <w:t>2</w:t>
            </w:r>
          </w:p>
        </w:tc>
        <w:tc>
          <w:tcPr>
            <w:tcW w:w="1588" w:type="dxa"/>
            <w:shd w:val="clear" w:color="auto" w:fill="auto"/>
            <w:vAlign w:val="center"/>
          </w:tcPr>
          <w:p w:rsidR="00764FFF" w:rsidRPr="00AA45E9" w:rsidRDefault="00764FFF" w:rsidP="00764FFF">
            <w:pPr>
              <w:spacing w:after="0"/>
              <w:jc w:val="center"/>
              <w:rPr>
                <w:rFonts w:ascii="Times New Roman" w:hAnsi="Times New Roman"/>
              </w:rPr>
            </w:pPr>
          </w:p>
        </w:tc>
        <w:tc>
          <w:tcPr>
            <w:tcW w:w="2240" w:type="dxa"/>
            <w:shd w:val="clear" w:color="auto" w:fill="auto"/>
            <w:vAlign w:val="center"/>
          </w:tcPr>
          <w:p w:rsidR="00764FFF" w:rsidRPr="00AA45E9" w:rsidRDefault="00764FFF" w:rsidP="00764FFF">
            <w:pPr>
              <w:spacing w:after="0"/>
              <w:jc w:val="center"/>
              <w:rPr>
                <w:rFonts w:ascii="Times New Roman" w:hAnsi="Times New Roman"/>
              </w:rPr>
            </w:pPr>
            <w:r w:rsidRPr="00AA45E9">
              <w:rPr>
                <w:rFonts w:ascii="Times New Roman" w:hAnsi="Times New Roman"/>
              </w:rPr>
              <w:t>Mairie Biombo</w:t>
            </w:r>
          </w:p>
        </w:tc>
        <w:tc>
          <w:tcPr>
            <w:tcW w:w="2693" w:type="dxa"/>
            <w:shd w:val="clear" w:color="auto" w:fill="auto"/>
            <w:vAlign w:val="center"/>
          </w:tcPr>
          <w:p w:rsidR="00764FFF" w:rsidRPr="00AA45E9" w:rsidRDefault="00764FFF" w:rsidP="00764FFF">
            <w:pPr>
              <w:spacing w:after="0"/>
              <w:jc w:val="center"/>
              <w:rPr>
                <w:rFonts w:ascii="Times New Roman" w:hAnsi="Times New Roman"/>
              </w:rPr>
            </w:pPr>
            <w:r w:rsidRPr="00AA45E9">
              <w:rPr>
                <w:rFonts w:ascii="Times New Roman" w:hAnsi="Times New Roman"/>
              </w:rPr>
              <w:t>Président CLGP Biombo</w:t>
            </w:r>
          </w:p>
        </w:tc>
        <w:tc>
          <w:tcPr>
            <w:tcW w:w="1417" w:type="dxa"/>
            <w:shd w:val="clear" w:color="auto" w:fill="auto"/>
            <w:vAlign w:val="center"/>
          </w:tcPr>
          <w:p w:rsidR="00764FFF" w:rsidRPr="00AA45E9" w:rsidRDefault="00764FFF" w:rsidP="00764FFF">
            <w:pPr>
              <w:spacing w:after="0"/>
              <w:jc w:val="center"/>
              <w:rPr>
                <w:rFonts w:ascii="Times New Roman" w:hAnsi="Times New Roman"/>
              </w:rPr>
            </w:pPr>
          </w:p>
        </w:tc>
        <w:tc>
          <w:tcPr>
            <w:tcW w:w="1418" w:type="dxa"/>
            <w:shd w:val="clear" w:color="auto" w:fill="auto"/>
            <w:vAlign w:val="center"/>
          </w:tcPr>
          <w:p w:rsidR="00764FFF" w:rsidRPr="00AA45E9" w:rsidRDefault="00764FFF" w:rsidP="00764FFF">
            <w:pPr>
              <w:spacing w:after="0"/>
              <w:jc w:val="center"/>
              <w:rPr>
                <w:rFonts w:ascii="Times New Roman" w:hAnsi="Times New Roman"/>
              </w:rPr>
            </w:pPr>
          </w:p>
        </w:tc>
      </w:tr>
      <w:tr w:rsidR="00764FFF" w:rsidRPr="00AA45E9" w:rsidTr="00820701">
        <w:tc>
          <w:tcPr>
            <w:tcW w:w="851" w:type="dxa"/>
            <w:shd w:val="clear" w:color="auto" w:fill="auto"/>
            <w:vAlign w:val="center"/>
          </w:tcPr>
          <w:p w:rsidR="00764FFF" w:rsidRPr="00AA45E9" w:rsidRDefault="00764FFF" w:rsidP="00764FFF">
            <w:pPr>
              <w:spacing w:after="0"/>
              <w:jc w:val="center"/>
              <w:rPr>
                <w:rFonts w:ascii="Times New Roman" w:hAnsi="Times New Roman"/>
              </w:rPr>
            </w:pPr>
            <w:r w:rsidRPr="00AA45E9">
              <w:rPr>
                <w:rFonts w:ascii="Times New Roman" w:hAnsi="Times New Roman"/>
              </w:rPr>
              <w:t>3</w:t>
            </w:r>
          </w:p>
        </w:tc>
        <w:tc>
          <w:tcPr>
            <w:tcW w:w="1588" w:type="dxa"/>
            <w:shd w:val="clear" w:color="auto" w:fill="auto"/>
            <w:vAlign w:val="center"/>
          </w:tcPr>
          <w:p w:rsidR="00764FFF" w:rsidRPr="00AA45E9" w:rsidRDefault="00764FFF" w:rsidP="00764FFF">
            <w:pPr>
              <w:spacing w:after="0"/>
              <w:jc w:val="center"/>
              <w:rPr>
                <w:rFonts w:ascii="Times New Roman" w:hAnsi="Times New Roman"/>
              </w:rPr>
            </w:pPr>
          </w:p>
        </w:tc>
        <w:tc>
          <w:tcPr>
            <w:tcW w:w="2240" w:type="dxa"/>
            <w:shd w:val="clear" w:color="auto" w:fill="auto"/>
            <w:vAlign w:val="center"/>
          </w:tcPr>
          <w:p w:rsidR="00764FFF" w:rsidRPr="00AA45E9" w:rsidRDefault="00764FFF" w:rsidP="00764FFF">
            <w:pPr>
              <w:spacing w:after="0"/>
              <w:jc w:val="center"/>
              <w:rPr>
                <w:rFonts w:ascii="Times New Roman" w:hAnsi="Times New Roman"/>
              </w:rPr>
            </w:pPr>
            <w:r w:rsidRPr="00AA45E9">
              <w:rPr>
                <w:rFonts w:ascii="Times New Roman" w:hAnsi="Times New Roman"/>
              </w:rPr>
              <w:t>Mairie Bissau</w:t>
            </w:r>
          </w:p>
        </w:tc>
        <w:tc>
          <w:tcPr>
            <w:tcW w:w="2693" w:type="dxa"/>
            <w:shd w:val="clear" w:color="auto" w:fill="auto"/>
            <w:vAlign w:val="center"/>
          </w:tcPr>
          <w:p w:rsidR="00764FFF" w:rsidRPr="00AA45E9" w:rsidRDefault="00764FFF" w:rsidP="00764FFF">
            <w:pPr>
              <w:spacing w:after="0"/>
              <w:jc w:val="center"/>
              <w:rPr>
                <w:rFonts w:ascii="Times New Roman" w:hAnsi="Times New Roman"/>
              </w:rPr>
            </w:pPr>
            <w:r w:rsidRPr="00AA45E9">
              <w:rPr>
                <w:rFonts w:ascii="Times New Roman" w:hAnsi="Times New Roman"/>
              </w:rPr>
              <w:t>Président CLGP Bissau</w:t>
            </w:r>
          </w:p>
        </w:tc>
        <w:tc>
          <w:tcPr>
            <w:tcW w:w="1417" w:type="dxa"/>
            <w:shd w:val="clear" w:color="auto" w:fill="auto"/>
            <w:vAlign w:val="center"/>
          </w:tcPr>
          <w:p w:rsidR="00764FFF" w:rsidRPr="00AA45E9" w:rsidRDefault="00764FFF" w:rsidP="00764FFF">
            <w:pPr>
              <w:spacing w:after="0"/>
              <w:jc w:val="center"/>
              <w:rPr>
                <w:rFonts w:ascii="Times New Roman" w:hAnsi="Times New Roman"/>
              </w:rPr>
            </w:pPr>
          </w:p>
        </w:tc>
        <w:tc>
          <w:tcPr>
            <w:tcW w:w="1418" w:type="dxa"/>
            <w:shd w:val="clear" w:color="auto" w:fill="auto"/>
            <w:vAlign w:val="center"/>
          </w:tcPr>
          <w:p w:rsidR="00764FFF" w:rsidRPr="00AA45E9" w:rsidRDefault="00764FFF" w:rsidP="00764FFF">
            <w:pPr>
              <w:spacing w:after="0"/>
              <w:jc w:val="center"/>
              <w:rPr>
                <w:rFonts w:ascii="Times New Roman" w:hAnsi="Times New Roman"/>
              </w:rPr>
            </w:pPr>
          </w:p>
        </w:tc>
      </w:tr>
      <w:tr w:rsidR="00DF3078" w:rsidRPr="00AA45E9" w:rsidTr="00820701">
        <w:tc>
          <w:tcPr>
            <w:tcW w:w="851" w:type="dxa"/>
            <w:shd w:val="clear" w:color="auto" w:fill="auto"/>
            <w:vAlign w:val="center"/>
          </w:tcPr>
          <w:p w:rsidR="00DF3078" w:rsidRPr="00AA45E9" w:rsidRDefault="00DF3078" w:rsidP="00DF3078">
            <w:pPr>
              <w:spacing w:after="0"/>
              <w:jc w:val="center"/>
              <w:rPr>
                <w:rFonts w:ascii="Times New Roman" w:hAnsi="Times New Roman"/>
              </w:rPr>
            </w:pPr>
            <w:r>
              <w:rPr>
                <w:rFonts w:ascii="Times New Roman" w:hAnsi="Times New Roman"/>
              </w:rPr>
              <w:t>4</w:t>
            </w:r>
          </w:p>
        </w:tc>
        <w:tc>
          <w:tcPr>
            <w:tcW w:w="1588" w:type="dxa"/>
            <w:shd w:val="clear" w:color="auto" w:fill="auto"/>
            <w:vAlign w:val="center"/>
          </w:tcPr>
          <w:p w:rsidR="00DF3078" w:rsidRPr="00AA45E9" w:rsidRDefault="00DF3078" w:rsidP="00DF3078">
            <w:pPr>
              <w:spacing w:after="0"/>
              <w:jc w:val="center"/>
              <w:rPr>
                <w:rFonts w:ascii="Times New Roman" w:hAnsi="Times New Roman"/>
              </w:rPr>
            </w:pPr>
          </w:p>
        </w:tc>
        <w:tc>
          <w:tcPr>
            <w:tcW w:w="2240" w:type="dxa"/>
            <w:shd w:val="clear" w:color="auto" w:fill="auto"/>
            <w:vAlign w:val="center"/>
          </w:tcPr>
          <w:p w:rsidR="00DF3078" w:rsidRPr="00AA45E9" w:rsidRDefault="00DF3078" w:rsidP="00DF3078">
            <w:pPr>
              <w:spacing w:after="0"/>
              <w:jc w:val="center"/>
              <w:rPr>
                <w:rFonts w:ascii="Times New Roman" w:hAnsi="Times New Roman"/>
              </w:rPr>
            </w:pPr>
            <w:r>
              <w:rPr>
                <w:rFonts w:ascii="Times New Roman" w:hAnsi="Times New Roman"/>
              </w:rPr>
              <w:t>Mairie Safim</w:t>
            </w:r>
          </w:p>
        </w:tc>
        <w:tc>
          <w:tcPr>
            <w:tcW w:w="2693" w:type="dxa"/>
            <w:shd w:val="clear" w:color="auto" w:fill="auto"/>
            <w:vAlign w:val="center"/>
          </w:tcPr>
          <w:p w:rsidR="00DF3078" w:rsidRPr="00AA45E9" w:rsidRDefault="00DF3078" w:rsidP="00DF3078">
            <w:pPr>
              <w:spacing w:after="0"/>
              <w:jc w:val="center"/>
              <w:rPr>
                <w:rFonts w:ascii="Times New Roman" w:hAnsi="Times New Roman"/>
              </w:rPr>
            </w:pPr>
            <w:r>
              <w:rPr>
                <w:rFonts w:ascii="Times New Roman" w:hAnsi="Times New Roman"/>
              </w:rPr>
              <w:t>Président CLGP Safim</w:t>
            </w:r>
          </w:p>
        </w:tc>
        <w:tc>
          <w:tcPr>
            <w:tcW w:w="1417" w:type="dxa"/>
            <w:shd w:val="clear" w:color="auto" w:fill="auto"/>
            <w:vAlign w:val="center"/>
          </w:tcPr>
          <w:p w:rsidR="00DF3078" w:rsidRPr="00AA45E9" w:rsidRDefault="00DF3078" w:rsidP="00DF3078">
            <w:pPr>
              <w:spacing w:after="0"/>
              <w:jc w:val="center"/>
              <w:rPr>
                <w:rFonts w:ascii="Times New Roman" w:hAnsi="Times New Roman"/>
              </w:rPr>
            </w:pPr>
          </w:p>
        </w:tc>
        <w:tc>
          <w:tcPr>
            <w:tcW w:w="1418" w:type="dxa"/>
            <w:shd w:val="clear" w:color="auto" w:fill="auto"/>
            <w:vAlign w:val="center"/>
          </w:tcPr>
          <w:p w:rsidR="00DF3078" w:rsidRPr="00AA45E9" w:rsidRDefault="00DF3078" w:rsidP="00DF3078">
            <w:pPr>
              <w:spacing w:after="0"/>
              <w:jc w:val="center"/>
              <w:rPr>
                <w:rFonts w:ascii="Times New Roman" w:hAnsi="Times New Roman"/>
              </w:rPr>
            </w:pPr>
          </w:p>
        </w:tc>
      </w:tr>
      <w:tr w:rsidR="00764FFF" w:rsidRPr="00AA45E9" w:rsidTr="00820701">
        <w:tc>
          <w:tcPr>
            <w:tcW w:w="851" w:type="dxa"/>
            <w:shd w:val="clear" w:color="auto" w:fill="auto"/>
            <w:vAlign w:val="center"/>
          </w:tcPr>
          <w:p w:rsidR="00764FFF" w:rsidRPr="00AA45E9" w:rsidRDefault="00DF3078" w:rsidP="00764FFF">
            <w:pPr>
              <w:spacing w:after="0"/>
              <w:jc w:val="center"/>
              <w:rPr>
                <w:rFonts w:ascii="Times New Roman" w:hAnsi="Times New Roman"/>
              </w:rPr>
            </w:pPr>
            <w:r>
              <w:rPr>
                <w:rFonts w:ascii="Times New Roman" w:hAnsi="Times New Roman"/>
              </w:rPr>
              <w:t>5</w:t>
            </w:r>
          </w:p>
        </w:tc>
        <w:tc>
          <w:tcPr>
            <w:tcW w:w="1588" w:type="dxa"/>
            <w:shd w:val="clear" w:color="auto" w:fill="auto"/>
            <w:vAlign w:val="center"/>
          </w:tcPr>
          <w:p w:rsidR="00764FFF" w:rsidRPr="00AA45E9" w:rsidRDefault="00764FFF" w:rsidP="00764FFF">
            <w:pPr>
              <w:spacing w:after="0"/>
              <w:jc w:val="center"/>
              <w:rPr>
                <w:rFonts w:ascii="Times New Roman" w:hAnsi="Times New Roman"/>
              </w:rPr>
            </w:pPr>
          </w:p>
        </w:tc>
        <w:tc>
          <w:tcPr>
            <w:tcW w:w="2240" w:type="dxa"/>
            <w:shd w:val="clear" w:color="auto" w:fill="auto"/>
            <w:vAlign w:val="center"/>
          </w:tcPr>
          <w:p w:rsidR="00764FFF" w:rsidRPr="00AA45E9" w:rsidRDefault="00764FFF" w:rsidP="00764FFF">
            <w:pPr>
              <w:spacing w:after="0"/>
              <w:jc w:val="center"/>
              <w:rPr>
                <w:rFonts w:ascii="Times New Roman" w:hAnsi="Times New Roman"/>
              </w:rPr>
            </w:pPr>
            <w:r w:rsidRPr="00AA45E9">
              <w:rPr>
                <w:rFonts w:ascii="Times New Roman" w:hAnsi="Times New Roman"/>
              </w:rPr>
              <w:t>Services techniques</w:t>
            </w:r>
          </w:p>
        </w:tc>
        <w:tc>
          <w:tcPr>
            <w:tcW w:w="2693" w:type="dxa"/>
            <w:shd w:val="clear" w:color="auto" w:fill="auto"/>
            <w:vAlign w:val="center"/>
          </w:tcPr>
          <w:p w:rsidR="00764FFF" w:rsidRPr="00AA45E9" w:rsidRDefault="00764FFF" w:rsidP="00764FFF">
            <w:pPr>
              <w:spacing w:after="0"/>
              <w:jc w:val="center"/>
              <w:rPr>
                <w:rFonts w:ascii="Times New Roman" w:hAnsi="Times New Roman"/>
              </w:rPr>
            </w:pPr>
            <w:r w:rsidRPr="00AA45E9">
              <w:rPr>
                <w:rFonts w:ascii="Times New Roman" w:hAnsi="Times New Roman"/>
              </w:rPr>
              <w:t>Comité Ad hoc</w:t>
            </w:r>
          </w:p>
        </w:tc>
        <w:tc>
          <w:tcPr>
            <w:tcW w:w="1417" w:type="dxa"/>
            <w:shd w:val="clear" w:color="auto" w:fill="auto"/>
            <w:vAlign w:val="center"/>
          </w:tcPr>
          <w:p w:rsidR="00764FFF" w:rsidRPr="00AA45E9" w:rsidRDefault="00764FFF" w:rsidP="00764FFF">
            <w:pPr>
              <w:spacing w:after="0"/>
              <w:jc w:val="center"/>
              <w:rPr>
                <w:rFonts w:ascii="Times New Roman" w:hAnsi="Times New Roman"/>
              </w:rPr>
            </w:pPr>
          </w:p>
        </w:tc>
        <w:tc>
          <w:tcPr>
            <w:tcW w:w="1418" w:type="dxa"/>
            <w:shd w:val="clear" w:color="auto" w:fill="auto"/>
            <w:vAlign w:val="center"/>
          </w:tcPr>
          <w:p w:rsidR="00764FFF" w:rsidRPr="00AA45E9" w:rsidRDefault="00764FFF" w:rsidP="00764FFF">
            <w:pPr>
              <w:spacing w:after="0"/>
              <w:jc w:val="center"/>
              <w:rPr>
                <w:rFonts w:ascii="Times New Roman" w:hAnsi="Times New Roman"/>
              </w:rPr>
            </w:pPr>
          </w:p>
        </w:tc>
      </w:tr>
      <w:tr w:rsidR="00764FFF" w:rsidRPr="00AA45E9" w:rsidTr="00820701">
        <w:tc>
          <w:tcPr>
            <w:tcW w:w="851" w:type="dxa"/>
            <w:shd w:val="clear" w:color="auto" w:fill="auto"/>
            <w:vAlign w:val="center"/>
          </w:tcPr>
          <w:p w:rsidR="00764FFF" w:rsidRPr="00AA45E9" w:rsidRDefault="00764FFF" w:rsidP="00764FFF">
            <w:pPr>
              <w:spacing w:after="0"/>
              <w:jc w:val="center"/>
              <w:rPr>
                <w:rFonts w:ascii="Times New Roman" w:hAnsi="Times New Roman"/>
              </w:rPr>
            </w:pPr>
          </w:p>
          <w:p w:rsidR="00764FFF" w:rsidRPr="00AA45E9" w:rsidRDefault="00DF3078" w:rsidP="00764FFF">
            <w:pPr>
              <w:spacing w:after="0"/>
              <w:jc w:val="center"/>
              <w:rPr>
                <w:rFonts w:ascii="Times New Roman" w:hAnsi="Times New Roman"/>
              </w:rPr>
            </w:pPr>
            <w:r>
              <w:rPr>
                <w:rFonts w:ascii="Times New Roman" w:hAnsi="Times New Roman"/>
              </w:rPr>
              <w:t>6</w:t>
            </w:r>
          </w:p>
        </w:tc>
        <w:tc>
          <w:tcPr>
            <w:tcW w:w="1588" w:type="dxa"/>
            <w:shd w:val="clear" w:color="auto" w:fill="auto"/>
            <w:vAlign w:val="center"/>
          </w:tcPr>
          <w:p w:rsidR="00764FFF" w:rsidRPr="00AA45E9" w:rsidRDefault="00764FFF" w:rsidP="00764FFF">
            <w:pPr>
              <w:spacing w:after="0"/>
              <w:jc w:val="center"/>
              <w:rPr>
                <w:rFonts w:ascii="Times New Roman" w:hAnsi="Times New Roman"/>
              </w:rPr>
            </w:pPr>
          </w:p>
        </w:tc>
        <w:tc>
          <w:tcPr>
            <w:tcW w:w="2240" w:type="dxa"/>
            <w:shd w:val="clear" w:color="auto" w:fill="auto"/>
            <w:vAlign w:val="center"/>
          </w:tcPr>
          <w:p w:rsidR="00764FFF" w:rsidRPr="00AA45E9" w:rsidRDefault="00764FFF" w:rsidP="00764FFF">
            <w:pPr>
              <w:spacing w:after="0"/>
              <w:jc w:val="center"/>
              <w:rPr>
                <w:rFonts w:ascii="Times New Roman" w:hAnsi="Times New Roman"/>
              </w:rPr>
            </w:pPr>
            <w:r w:rsidRPr="00AA45E9">
              <w:rPr>
                <w:rFonts w:ascii="Times New Roman" w:hAnsi="Times New Roman"/>
              </w:rPr>
              <w:t>ONG</w:t>
            </w:r>
          </w:p>
        </w:tc>
        <w:tc>
          <w:tcPr>
            <w:tcW w:w="2693" w:type="dxa"/>
            <w:shd w:val="clear" w:color="auto" w:fill="auto"/>
            <w:vAlign w:val="center"/>
          </w:tcPr>
          <w:p w:rsidR="00764FFF" w:rsidRPr="00AA45E9" w:rsidRDefault="00764FFF" w:rsidP="00764FFF">
            <w:pPr>
              <w:spacing w:after="0"/>
              <w:jc w:val="center"/>
              <w:rPr>
                <w:rFonts w:ascii="Times New Roman" w:hAnsi="Times New Roman"/>
              </w:rPr>
            </w:pPr>
            <w:r w:rsidRPr="00AA45E9">
              <w:rPr>
                <w:rFonts w:ascii="Times New Roman" w:hAnsi="Times New Roman"/>
              </w:rPr>
              <w:t>Tierce partie</w:t>
            </w:r>
          </w:p>
        </w:tc>
        <w:tc>
          <w:tcPr>
            <w:tcW w:w="1417" w:type="dxa"/>
            <w:shd w:val="clear" w:color="auto" w:fill="auto"/>
            <w:vAlign w:val="center"/>
          </w:tcPr>
          <w:p w:rsidR="00764FFF" w:rsidRPr="00AA45E9" w:rsidRDefault="00764FFF" w:rsidP="00764FFF">
            <w:pPr>
              <w:spacing w:after="0"/>
              <w:jc w:val="center"/>
              <w:rPr>
                <w:rFonts w:ascii="Times New Roman" w:hAnsi="Times New Roman"/>
              </w:rPr>
            </w:pPr>
          </w:p>
        </w:tc>
        <w:tc>
          <w:tcPr>
            <w:tcW w:w="1418" w:type="dxa"/>
            <w:shd w:val="clear" w:color="auto" w:fill="auto"/>
            <w:vAlign w:val="center"/>
          </w:tcPr>
          <w:p w:rsidR="00764FFF" w:rsidRPr="00AA45E9" w:rsidRDefault="00764FFF" w:rsidP="00764FFF">
            <w:pPr>
              <w:spacing w:after="0"/>
              <w:jc w:val="center"/>
              <w:rPr>
                <w:rFonts w:ascii="Times New Roman" w:hAnsi="Times New Roman"/>
              </w:rPr>
            </w:pPr>
          </w:p>
        </w:tc>
      </w:tr>
      <w:tr w:rsidR="00764FFF" w:rsidRPr="00AA45E9" w:rsidTr="00820701">
        <w:tc>
          <w:tcPr>
            <w:tcW w:w="851" w:type="dxa"/>
            <w:shd w:val="clear" w:color="auto" w:fill="auto"/>
            <w:vAlign w:val="center"/>
          </w:tcPr>
          <w:p w:rsidR="00764FFF" w:rsidRPr="00AA45E9" w:rsidRDefault="00DF3078" w:rsidP="00764FFF">
            <w:pPr>
              <w:spacing w:after="0"/>
              <w:jc w:val="center"/>
              <w:rPr>
                <w:rFonts w:ascii="Times New Roman" w:hAnsi="Times New Roman"/>
              </w:rPr>
            </w:pPr>
            <w:r>
              <w:rPr>
                <w:rFonts w:ascii="Times New Roman" w:hAnsi="Times New Roman"/>
              </w:rPr>
              <w:t>7</w:t>
            </w:r>
          </w:p>
        </w:tc>
        <w:tc>
          <w:tcPr>
            <w:tcW w:w="1588" w:type="dxa"/>
            <w:shd w:val="clear" w:color="auto" w:fill="auto"/>
            <w:vAlign w:val="center"/>
          </w:tcPr>
          <w:p w:rsidR="00764FFF" w:rsidRPr="00AA45E9" w:rsidRDefault="00764FFF" w:rsidP="00764FFF">
            <w:pPr>
              <w:spacing w:after="0"/>
              <w:jc w:val="center"/>
              <w:rPr>
                <w:rFonts w:ascii="Times New Roman" w:hAnsi="Times New Roman"/>
              </w:rPr>
            </w:pPr>
          </w:p>
        </w:tc>
        <w:tc>
          <w:tcPr>
            <w:tcW w:w="2240" w:type="dxa"/>
            <w:shd w:val="clear" w:color="auto" w:fill="auto"/>
            <w:vAlign w:val="center"/>
          </w:tcPr>
          <w:p w:rsidR="00764FFF" w:rsidRPr="00AA45E9" w:rsidRDefault="00764FFF" w:rsidP="00764FFF">
            <w:pPr>
              <w:spacing w:after="0"/>
              <w:jc w:val="center"/>
              <w:rPr>
                <w:rFonts w:ascii="Times New Roman" w:hAnsi="Times New Roman"/>
              </w:rPr>
            </w:pPr>
            <w:r w:rsidRPr="00AA45E9">
              <w:rPr>
                <w:rFonts w:ascii="Times New Roman" w:hAnsi="Times New Roman"/>
              </w:rPr>
              <w:t>PLAIGNANT</w:t>
            </w:r>
          </w:p>
        </w:tc>
        <w:tc>
          <w:tcPr>
            <w:tcW w:w="2693" w:type="dxa"/>
            <w:shd w:val="clear" w:color="auto" w:fill="auto"/>
            <w:vAlign w:val="center"/>
          </w:tcPr>
          <w:p w:rsidR="00764FFF" w:rsidRPr="00AA45E9" w:rsidRDefault="00764FFF" w:rsidP="00764FFF">
            <w:pPr>
              <w:spacing w:after="0"/>
              <w:jc w:val="center"/>
              <w:rPr>
                <w:rFonts w:ascii="Times New Roman" w:hAnsi="Times New Roman"/>
              </w:rPr>
            </w:pPr>
            <w:r w:rsidRPr="00AA45E9">
              <w:rPr>
                <w:rFonts w:ascii="Times New Roman" w:hAnsi="Times New Roman"/>
              </w:rPr>
              <w:t>Représentant PLAIGNANT</w:t>
            </w:r>
          </w:p>
        </w:tc>
        <w:tc>
          <w:tcPr>
            <w:tcW w:w="1417" w:type="dxa"/>
            <w:shd w:val="clear" w:color="auto" w:fill="auto"/>
            <w:vAlign w:val="center"/>
          </w:tcPr>
          <w:p w:rsidR="00764FFF" w:rsidRPr="00AA45E9" w:rsidRDefault="00764FFF" w:rsidP="00764FFF">
            <w:pPr>
              <w:spacing w:after="0"/>
              <w:jc w:val="center"/>
              <w:rPr>
                <w:rFonts w:ascii="Times New Roman" w:hAnsi="Times New Roman"/>
              </w:rPr>
            </w:pPr>
          </w:p>
        </w:tc>
        <w:tc>
          <w:tcPr>
            <w:tcW w:w="1418" w:type="dxa"/>
            <w:shd w:val="clear" w:color="auto" w:fill="auto"/>
            <w:vAlign w:val="center"/>
          </w:tcPr>
          <w:p w:rsidR="00764FFF" w:rsidRPr="00AA45E9" w:rsidRDefault="00764FFF" w:rsidP="00764FFF">
            <w:pPr>
              <w:spacing w:after="0"/>
              <w:jc w:val="center"/>
              <w:rPr>
                <w:rFonts w:ascii="Times New Roman" w:hAnsi="Times New Roman"/>
              </w:rPr>
            </w:pPr>
          </w:p>
        </w:tc>
      </w:tr>
    </w:tbl>
    <w:p w:rsidR="00764FFF" w:rsidRPr="00F362CC" w:rsidRDefault="00764FFF" w:rsidP="00820701">
      <w:pPr>
        <w:pStyle w:val="Cabealho3"/>
      </w:pPr>
      <w:bookmarkStart w:id="713" w:name="_Toc529964828"/>
      <w:bookmarkStart w:id="714" w:name="_Toc535408389"/>
      <w:bookmarkStart w:id="715" w:name="_Toc11158413"/>
      <w:bookmarkStart w:id="716" w:name="_Toc51072633"/>
      <w:r w:rsidRPr="00F362CC">
        <w:t>8.10.3 Enregistrement des plaintes</w:t>
      </w:r>
      <w:bookmarkEnd w:id="713"/>
      <w:bookmarkEnd w:id="714"/>
      <w:bookmarkEnd w:id="715"/>
      <w:bookmarkEnd w:id="716"/>
    </w:p>
    <w:p w:rsidR="00764FFF" w:rsidRPr="00D335A7" w:rsidRDefault="00764FFF" w:rsidP="00764FFF">
      <w:pPr>
        <w:pStyle w:val="Default"/>
        <w:jc w:val="both"/>
        <w:rPr>
          <w:rFonts w:ascii="Times New Roman" w:hAnsi="Times New Roman"/>
        </w:rPr>
      </w:pPr>
      <w:r w:rsidRPr="00433D35">
        <w:rPr>
          <w:rFonts w:ascii="Times New Roman" w:hAnsi="Times New Roman"/>
        </w:rPr>
        <w:t>Les plaignants seront informés pa</w:t>
      </w:r>
      <w:r w:rsidR="00DF3078">
        <w:rPr>
          <w:rFonts w:ascii="Times New Roman" w:hAnsi="Times New Roman"/>
        </w:rPr>
        <w:t>r le l’UI</w:t>
      </w:r>
      <w:r w:rsidRPr="00433D35">
        <w:rPr>
          <w:rFonts w:ascii="Times New Roman" w:hAnsi="Times New Roman"/>
        </w:rPr>
        <w:t xml:space="preserve">P du </w:t>
      </w:r>
      <w:r w:rsidR="00DF3078">
        <w:rPr>
          <w:rFonts w:ascii="Times New Roman" w:hAnsi="Times New Roman"/>
        </w:rPr>
        <w:t>PUASEE-FA</w:t>
      </w:r>
      <w:r w:rsidRPr="00433D35">
        <w:rPr>
          <w:rFonts w:ascii="Times New Roman" w:hAnsi="Times New Roman"/>
        </w:rPr>
        <w:t xml:space="preserve">, sur le mécanisme de gestion de plaintes se fera à travers la mise en place d’un registre de doléances auprès du chef de quartier et d’un numéro de téléphone. Ensuite, le responsable des sauvegardes sociales du </w:t>
      </w:r>
      <w:r w:rsidR="00DF3078">
        <w:rPr>
          <w:rFonts w:ascii="Times New Roman" w:hAnsi="Times New Roman"/>
        </w:rPr>
        <w:t>PUASEE-FA</w:t>
      </w:r>
      <w:r w:rsidRPr="00433D35">
        <w:rPr>
          <w:rFonts w:ascii="Times New Roman" w:hAnsi="Times New Roman"/>
        </w:rPr>
        <w:t xml:space="preserve"> à travers des séances de consultation du public informera les plaignants sur la procédure à suivre pour pouvoir se plaindre. </w:t>
      </w:r>
      <w:r>
        <w:rPr>
          <w:rFonts w:ascii="Times New Roman" w:hAnsi="Times New Roman"/>
        </w:rPr>
        <w:t xml:space="preserve">La procédure est </w:t>
      </w:r>
      <w:r w:rsidRPr="00D335A7">
        <w:rPr>
          <w:rFonts w:ascii="Times New Roman" w:hAnsi="Times New Roman"/>
        </w:rPr>
        <w:t xml:space="preserve">la suivante : </w:t>
      </w:r>
    </w:p>
    <w:p w:rsidR="00764FFF" w:rsidRPr="00D335A7" w:rsidRDefault="00764FFF" w:rsidP="00764FFF">
      <w:pPr>
        <w:pStyle w:val="Default"/>
        <w:jc w:val="both"/>
        <w:rPr>
          <w:rFonts w:ascii="Times New Roman" w:hAnsi="Times New Roman"/>
        </w:rPr>
      </w:pPr>
    </w:p>
    <w:p w:rsidR="00764FFF" w:rsidRDefault="00764FFF" w:rsidP="00FA3FAE">
      <w:pPr>
        <w:pStyle w:val="Grillemoyenne1-Accent21"/>
        <w:numPr>
          <w:ilvl w:val="0"/>
          <w:numId w:val="117"/>
        </w:numPr>
        <w:contextualSpacing w:val="0"/>
        <w:rPr>
          <w:rFonts w:ascii="Times New Roman" w:hAnsi="Times New Roman"/>
          <w:sz w:val="24"/>
          <w:szCs w:val="24"/>
        </w:rPr>
      </w:pPr>
      <w:r w:rsidRPr="00D335A7">
        <w:rPr>
          <w:rFonts w:ascii="Times New Roman" w:hAnsi="Times New Roman"/>
          <w:sz w:val="24"/>
          <w:szCs w:val="24"/>
        </w:rPr>
        <w:t xml:space="preserve">Le chef de quartier assurera la tenue du registre et va aider les </w:t>
      </w:r>
      <w:r>
        <w:rPr>
          <w:rFonts w:ascii="Times New Roman" w:hAnsi="Times New Roman"/>
          <w:sz w:val="24"/>
          <w:szCs w:val="24"/>
        </w:rPr>
        <w:t>plaignants</w:t>
      </w:r>
      <w:r w:rsidRPr="00D335A7">
        <w:rPr>
          <w:rFonts w:ascii="Times New Roman" w:hAnsi="Times New Roman"/>
          <w:sz w:val="24"/>
          <w:szCs w:val="24"/>
        </w:rPr>
        <w:t xml:space="preserve"> à remplir et déposer leur plainte ; l</w:t>
      </w:r>
      <w:r>
        <w:rPr>
          <w:rFonts w:ascii="Times New Roman" w:hAnsi="Times New Roman"/>
          <w:sz w:val="24"/>
          <w:szCs w:val="24"/>
        </w:rPr>
        <w:t>e plaignant</w:t>
      </w:r>
      <w:r w:rsidRPr="00D335A7">
        <w:rPr>
          <w:rFonts w:ascii="Times New Roman" w:hAnsi="Times New Roman"/>
          <w:sz w:val="24"/>
          <w:szCs w:val="24"/>
        </w:rPr>
        <w:t xml:space="preserve"> peut aussi rédiger sa propre plainte, ou s’appuyer sur des personnes ressources ou une ONG ; un modèle d’enregistrement des plaintes est joint en </w:t>
      </w:r>
      <w:r w:rsidRPr="00D71754">
        <w:rPr>
          <w:rFonts w:ascii="Times New Roman" w:hAnsi="Times New Roman"/>
          <w:sz w:val="24"/>
          <w:szCs w:val="24"/>
        </w:rPr>
        <w:t xml:space="preserve">Annexe </w:t>
      </w:r>
      <w:r>
        <w:rPr>
          <w:rFonts w:ascii="Times New Roman" w:hAnsi="Times New Roman"/>
          <w:sz w:val="24"/>
          <w:szCs w:val="24"/>
        </w:rPr>
        <w:t>9. Par souci de discrétion le plaignant peut aussi appeler au téléphone pour déposer sa plainte.</w:t>
      </w:r>
    </w:p>
    <w:p w:rsidR="00764FFF" w:rsidRPr="00F362CC" w:rsidRDefault="00764FFF" w:rsidP="00820701">
      <w:pPr>
        <w:pStyle w:val="Cabealho3"/>
      </w:pPr>
      <w:bookmarkStart w:id="717" w:name="_Toc153567905"/>
      <w:bookmarkStart w:id="718" w:name="_Toc375311836"/>
      <w:bookmarkStart w:id="719" w:name="_Toc529964829"/>
      <w:bookmarkStart w:id="720" w:name="_Toc535408390"/>
      <w:bookmarkStart w:id="721" w:name="_Toc11158414"/>
      <w:bookmarkStart w:id="722" w:name="_Toc51072634"/>
      <w:bookmarkEnd w:id="704"/>
      <w:r w:rsidRPr="00F362CC">
        <w:t>8.10.4 Dispositions administratives et recours à la justice</w:t>
      </w:r>
      <w:bookmarkEnd w:id="717"/>
      <w:bookmarkEnd w:id="718"/>
      <w:bookmarkEnd w:id="719"/>
      <w:bookmarkEnd w:id="720"/>
      <w:bookmarkEnd w:id="721"/>
      <w:bookmarkEnd w:id="722"/>
    </w:p>
    <w:p w:rsidR="00764FFF" w:rsidRDefault="00764FFF" w:rsidP="00764FFF">
      <w:pPr>
        <w:jc w:val="both"/>
        <w:rPr>
          <w:rFonts w:ascii="Times New Roman" w:hAnsi="Times New Roman"/>
          <w:sz w:val="24"/>
          <w:szCs w:val="24"/>
        </w:rPr>
      </w:pPr>
      <w:r w:rsidRPr="00D335A7">
        <w:rPr>
          <w:rFonts w:ascii="Times New Roman" w:hAnsi="Times New Roman"/>
          <w:sz w:val="24"/>
          <w:szCs w:val="24"/>
        </w:rPr>
        <w:t xml:space="preserve">Le recours à la justice est aussi possible indépendamment de la voie amiable. Le </w:t>
      </w:r>
      <w:r>
        <w:rPr>
          <w:rFonts w:ascii="Times New Roman" w:hAnsi="Times New Roman"/>
          <w:sz w:val="24"/>
          <w:szCs w:val="24"/>
        </w:rPr>
        <w:t>plaignant</w:t>
      </w:r>
      <w:r w:rsidRPr="00D335A7">
        <w:rPr>
          <w:rFonts w:ascii="Times New Roman" w:hAnsi="Times New Roman"/>
          <w:sz w:val="24"/>
          <w:szCs w:val="24"/>
        </w:rPr>
        <w:t xml:space="preserve"> peut à</w:t>
      </w:r>
      <w:r>
        <w:rPr>
          <w:rFonts w:ascii="Times New Roman" w:hAnsi="Times New Roman"/>
          <w:sz w:val="24"/>
          <w:szCs w:val="24"/>
        </w:rPr>
        <w:t xml:space="preserve"> tout moment </w:t>
      </w:r>
      <w:r w:rsidRPr="00D335A7">
        <w:rPr>
          <w:rFonts w:ascii="Times New Roman" w:hAnsi="Times New Roman"/>
          <w:sz w:val="24"/>
          <w:szCs w:val="24"/>
        </w:rPr>
        <w:t>saisir la justice à travers le tribunal Départemental. Pour cela, la démarche à suivre est la suivante : (i) l</w:t>
      </w:r>
      <w:r>
        <w:rPr>
          <w:rFonts w:ascii="Times New Roman" w:hAnsi="Times New Roman"/>
          <w:sz w:val="24"/>
          <w:szCs w:val="24"/>
        </w:rPr>
        <w:t>e plaignant</w:t>
      </w:r>
      <w:r w:rsidRPr="00D335A7">
        <w:rPr>
          <w:rFonts w:ascii="Times New Roman" w:hAnsi="Times New Roman"/>
          <w:sz w:val="24"/>
          <w:szCs w:val="24"/>
        </w:rPr>
        <w:t xml:space="preserve"> rédige une plainte adressée au Juge du Tribunal départemental concernée ; (ii) l</w:t>
      </w:r>
      <w:r>
        <w:rPr>
          <w:rFonts w:ascii="Times New Roman" w:hAnsi="Times New Roman"/>
          <w:sz w:val="24"/>
          <w:szCs w:val="24"/>
        </w:rPr>
        <w:t>e plaignant</w:t>
      </w:r>
      <w:r w:rsidRPr="00D335A7">
        <w:rPr>
          <w:rFonts w:ascii="Times New Roman" w:hAnsi="Times New Roman"/>
          <w:sz w:val="24"/>
          <w:szCs w:val="24"/>
        </w:rPr>
        <w:t xml:space="preserve"> dépose la plainte au Tribunal départemental ; (iii) le Juge convoque l</w:t>
      </w:r>
      <w:r>
        <w:rPr>
          <w:rFonts w:ascii="Times New Roman" w:hAnsi="Times New Roman"/>
          <w:sz w:val="24"/>
          <w:szCs w:val="24"/>
        </w:rPr>
        <w:t>e plaignant</w:t>
      </w:r>
      <w:r w:rsidRPr="00D335A7">
        <w:rPr>
          <w:rFonts w:ascii="Times New Roman" w:hAnsi="Times New Roman"/>
          <w:sz w:val="24"/>
          <w:szCs w:val="24"/>
        </w:rPr>
        <w:t xml:space="preserve"> et le représentant du projet </w:t>
      </w:r>
      <w:r w:rsidR="00FC7093">
        <w:rPr>
          <w:rFonts w:ascii="Times New Roman" w:hAnsi="Times New Roman"/>
          <w:sz w:val="24"/>
          <w:szCs w:val="24"/>
        </w:rPr>
        <w:t>PUASEE-FA</w:t>
      </w:r>
      <w:r>
        <w:rPr>
          <w:rFonts w:ascii="Times New Roman" w:hAnsi="Times New Roman"/>
          <w:sz w:val="24"/>
          <w:szCs w:val="24"/>
        </w:rPr>
        <w:t xml:space="preserve"> </w:t>
      </w:r>
      <w:r w:rsidRPr="00D335A7">
        <w:rPr>
          <w:rFonts w:ascii="Times New Roman" w:hAnsi="Times New Roman"/>
          <w:sz w:val="24"/>
          <w:szCs w:val="24"/>
        </w:rPr>
        <w:t>pour les entendre ; (iv) le Juge commet au besoin une commission d’évaluation</w:t>
      </w:r>
      <w:r>
        <w:rPr>
          <w:rFonts w:ascii="Times New Roman" w:hAnsi="Times New Roman"/>
          <w:sz w:val="24"/>
          <w:szCs w:val="24"/>
        </w:rPr>
        <w:t xml:space="preserve"> de la plainte</w:t>
      </w:r>
      <w:r w:rsidRPr="00D335A7">
        <w:rPr>
          <w:rFonts w:ascii="Times New Roman" w:hAnsi="Times New Roman"/>
          <w:sz w:val="24"/>
          <w:szCs w:val="24"/>
        </w:rPr>
        <w:t xml:space="preserve"> ; (iv) le Juge rend son verdict. </w:t>
      </w:r>
    </w:p>
    <w:p w:rsidR="00FC7093" w:rsidRPr="00F10552" w:rsidRDefault="00FC7093" w:rsidP="00FA3FAE">
      <w:pPr>
        <w:pStyle w:val="PargrafodaLista"/>
        <w:numPr>
          <w:ilvl w:val="0"/>
          <w:numId w:val="151"/>
        </w:numPr>
        <w:autoSpaceDE w:val="0"/>
        <w:autoSpaceDN w:val="0"/>
        <w:adjustRightInd w:val="0"/>
        <w:spacing w:after="0" w:line="240" w:lineRule="auto"/>
        <w:jc w:val="both"/>
        <w:rPr>
          <w:rFonts w:ascii="Times New Roman" w:hAnsi="Times New Roman"/>
          <w:b/>
          <w:bCs/>
          <w:sz w:val="24"/>
          <w:szCs w:val="28"/>
        </w:rPr>
      </w:pPr>
      <w:bookmarkStart w:id="723" w:name="_Toc501105932"/>
      <w:bookmarkStart w:id="724" w:name="_Toc511207474"/>
      <w:r w:rsidRPr="00F10552">
        <w:rPr>
          <w:rFonts w:ascii="Times New Roman" w:hAnsi="Times New Roman"/>
          <w:b/>
          <w:bCs/>
          <w:sz w:val="24"/>
          <w:szCs w:val="28"/>
        </w:rPr>
        <w:t>Procédure de la Gestion des Plaintes du P</w:t>
      </w:r>
      <w:bookmarkEnd w:id="723"/>
      <w:r w:rsidRPr="00F10552">
        <w:rPr>
          <w:rFonts w:ascii="Times New Roman" w:hAnsi="Times New Roman"/>
          <w:b/>
          <w:bCs/>
          <w:sz w:val="24"/>
          <w:szCs w:val="28"/>
        </w:rPr>
        <w:t>UASEE</w:t>
      </w:r>
      <w:bookmarkEnd w:id="724"/>
      <w:r w:rsidRPr="00F10552">
        <w:rPr>
          <w:rFonts w:ascii="Times New Roman" w:hAnsi="Times New Roman"/>
          <w:b/>
          <w:bCs/>
          <w:sz w:val="24"/>
          <w:szCs w:val="28"/>
        </w:rPr>
        <w:t>-FA</w:t>
      </w:r>
    </w:p>
    <w:p w:rsidR="00FC7093" w:rsidRPr="0016542D" w:rsidRDefault="00FC7093" w:rsidP="00FC7093">
      <w:pPr>
        <w:autoSpaceDE w:val="0"/>
        <w:autoSpaceDN w:val="0"/>
        <w:adjustRightInd w:val="0"/>
        <w:spacing w:after="0" w:line="276" w:lineRule="auto"/>
        <w:jc w:val="both"/>
        <w:rPr>
          <w:rFonts w:ascii="Times New Roman" w:hAnsi="Times New Roman"/>
          <w:sz w:val="24"/>
          <w:szCs w:val="24"/>
        </w:rPr>
      </w:pPr>
    </w:p>
    <w:p w:rsidR="00FC7093" w:rsidRPr="0016542D" w:rsidRDefault="00FC7093" w:rsidP="00FA3FAE">
      <w:pPr>
        <w:pStyle w:val="PargrafodaLista"/>
        <w:numPr>
          <w:ilvl w:val="0"/>
          <w:numId w:val="150"/>
        </w:numPr>
        <w:autoSpaceDE w:val="0"/>
        <w:autoSpaceDN w:val="0"/>
        <w:adjustRightInd w:val="0"/>
        <w:spacing w:after="0"/>
        <w:ind w:left="1134" w:hanging="425"/>
        <w:jc w:val="both"/>
        <w:rPr>
          <w:rFonts w:ascii="Times New Roman" w:hAnsi="Times New Roman"/>
          <w:b/>
          <w:sz w:val="24"/>
          <w:szCs w:val="24"/>
        </w:rPr>
      </w:pPr>
      <w:r w:rsidRPr="0016542D">
        <w:rPr>
          <w:rFonts w:ascii="Times New Roman" w:hAnsi="Times New Roman"/>
          <w:b/>
          <w:sz w:val="24"/>
          <w:szCs w:val="24"/>
        </w:rPr>
        <w:t xml:space="preserve">Enregistrement des Plaintes </w:t>
      </w:r>
      <w:r w:rsidRPr="0016542D">
        <w:rPr>
          <w:rFonts w:ascii="Times New Roman" w:hAnsi="Times New Roman"/>
          <w:sz w:val="24"/>
          <w:szCs w:val="24"/>
        </w:rPr>
        <w:t>(l’accès à l’information concernant le fonctionnement du système de dépôt et de gestion des plaintes);</w:t>
      </w:r>
    </w:p>
    <w:p w:rsidR="00FC7093" w:rsidRPr="0016542D" w:rsidRDefault="00FC7093" w:rsidP="00FA3FAE">
      <w:pPr>
        <w:pStyle w:val="PargrafodaLista"/>
        <w:numPr>
          <w:ilvl w:val="0"/>
          <w:numId w:val="150"/>
        </w:numPr>
        <w:autoSpaceDE w:val="0"/>
        <w:autoSpaceDN w:val="0"/>
        <w:adjustRightInd w:val="0"/>
        <w:spacing w:after="0"/>
        <w:ind w:left="1134" w:hanging="425"/>
        <w:jc w:val="both"/>
        <w:rPr>
          <w:rFonts w:ascii="Times New Roman" w:hAnsi="Times New Roman"/>
          <w:b/>
          <w:sz w:val="24"/>
          <w:szCs w:val="24"/>
        </w:rPr>
      </w:pPr>
      <w:r>
        <w:rPr>
          <w:rFonts w:ascii="Times New Roman" w:hAnsi="Times New Roman"/>
          <w:b/>
          <w:sz w:val="24"/>
          <w:szCs w:val="24"/>
        </w:rPr>
        <w:t>T</w:t>
      </w:r>
      <w:r w:rsidRPr="0016542D">
        <w:rPr>
          <w:rFonts w:ascii="Times New Roman" w:hAnsi="Times New Roman"/>
          <w:b/>
          <w:sz w:val="24"/>
          <w:szCs w:val="24"/>
        </w:rPr>
        <w:t>ri et le traitement</w:t>
      </w:r>
      <w:r w:rsidRPr="0016542D">
        <w:rPr>
          <w:rFonts w:ascii="Times New Roman" w:hAnsi="Times New Roman"/>
          <w:sz w:val="24"/>
          <w:szCs w:val="24"/>
        </w:rPr>
        <w:t xml:space="preserve"> des plaintes;</w:t>
      </w:r>
    </w:p>
    <w:p w:rsidR="00FC7093" w:rsidRPr="0016542D" w:rsidRDefault="00FC7093" w:rsidP="00FA3FAE">
      <w:pPr>
        <w:pStyle w:val="PargrafodaLista"/>
        <w:numPr>
          <w:ilvl w:val="0"/>
          <w:numId w:val="150"/>
        </w:numPr>
        <w:autoSpaceDE w:val="0"/>
        <w:autoSpaceDN w:val="0"/>
        <w:adjustRightInd w:val="0"/>
        <w:spacing w:after="0"/>
        <w:ind w:left="1134" w:hanging="425"/>
        <w:jc w:val="both"/>
        <w:rPr>
          <w:rFonts w:ascii="Times New Roman" w:hAnsi="Times New Roman"/>
          <w:b/>
          <w:sz w:val="24"/>
          <w:szCs w:val="24"/>
        </w:rPr>
      </w:pPr>
      <w:r w:rsidRPr="0016542D">
        <w:rPr>
          <w:rFonts w:ascii="Times New Roman" w:hAnsi="Times New Roman"/>
          <w:b/>
          <w:sz w:val="24"/>
          <w:szCs w:val="24"/>
        </w:rPr>
        <w:t>Examen et enquête</w:t>
      </w:r>
    </w:p>
    <w:p w:rsidR="00FC7093" w:rsidRPr="0016542D" w:rsidRDefault="00FC7093" w:rsidP="00FA3FAE">
      <w:pPr>
        <w:pStyle w:val="PargrafodaLista"/>
        <w:numPr>
          <w:ilvl w:val="0"/>
          <w:numId w:val="150"/>
        </w:numPr>
        <w:autoSpaceDE w:val="0"/>
        <w:autoSpaceDN w:val="0"/>
        <w:adjustRightInd w:val="0"/>
        <w:spacing w:after="0"/>
        <w:ind w:left="1134" w:hanging="425"/>
        <w:jc w:val="both"/>
        <w:rPr>
          <w:rFonts w:ascii="Times New Roman" w:hAnsi="Times New Roman"/>
          <w:b/>
          <w:sz w:val="24"/>
          <w:szCs w:val="24"/>
        </w:rPr>
      </w:pPr>
      <w:r w:rsidRPr="0016542D">
        <w:rPr>
          <w:rFonts w:ascii="Times New Roman" w:hAnsi="Times New Roman"/>
          <w:b/>
          <w:sz w:val="24"/>
          <w:szCs w:val="24"/>
        </w:rPr>
        <w:t>Réponse et prise de mesures</w:t>
      </w:r>
    </w:p>
    <w:p w:rsidR="00FC7093" w:rsidRPr="0016542D" w:rsidRDefault="00FC7093" w:rsidP="00FA3FAE">
      <w:pPr>
        <w:pStyle w:val="PargrafodaLista"/>
        <w:numPr>
          <w:ilvl w:val="0"/>
          <w:numId w:val="150"/>
        </w:numPr>
        <w:autoSpaceDE w:val="0"/>
        <w:autoSpaceDN w:val="0"/>
        <w:adjustRightInd w:val="0"/>
        <w:spacing w:after="0"/>
        <w:ind w:left="1134" w:hanging="425"/>
        <w:jc w:val="both"/>
        <w:rPr>
          <w:rFonts w:ascii="Times New Roman" w:hAnsi="Times New Roman"/>
          <w:b/>
          <w:sz w:val="24"/>
          <w:szCs w:val="24"/>
        </w:rPr>
      </w:pPr>
      <w:r w:rsidRPr="0016542D">
        <w:rPr>
          <w:rFonts w:ascii="Times New Roman" w:hAnsi="Times New Roman"/>
          <w:b/>
          <w:sz w:val="24"/>
          <w:szCs w:val="24"/>
        </w:rPr>
        <w:t>Procédure d’appel</w:t>
      </w:r>
    </w:p>
    <w:p w:rsidR="00FC7093" w:rsidRPr="0016542D" w:rsidRDefault="00FC7093" w:rsidP="00FA3FAE">
      <w:pPr>
        <w:pStyle w:val="PargrafodaLista"/>
        <w:numPr>
          <w:ilvl w:val="0"/>
          <w:numId w:val="150"/>
        </w:numPr>
        <w:autoSpaceDE w:val="0"/>
        <w:autoSpaceDN w:val="0"/>
        <w:adjustRightInd w:val="0"/>
        <w:spacing w:after="0"/>
        <w:ind w:left="1134" w:hanging="425"/>
        <w:jc w:val="both"/>
        <w:rPr>
          <w:rFonts w:ascii="Times New Roman" w:hAnsi="Times New Roman"/>
          <w:b/>
          <w:sz w:val="24"/>
          <w:szCs w:val="24"/>
        </w:rPr>
      </w:pPr>
      <w:r w:rsidRPr="0016542D">
        <w:rPr>
          <w:rFonts w:ascii="Times New Roman" w:hAnsi="Times New Roman"/>
          <w:b/>
          <w:sz w:val="24"/>
          <w:szCs w:val="24"/>
        </w:rPr>
        <w:t>Résolution</w:t>
      </w:r>
    </w:p>
    <w:p w:rsidR="00FC7093" w:rsidRPr="0016542D" w:rsidRDefault="00FC7093" w:rsidP="00FA3FAE">
      <w:pPr>
        <w:pStyle w:val="PargrafodaLista"/>
        <w:numPr>
          <w:ilvl w:val="0"/>
          <w:numId w:val="150"/>
        </w:numPr>
        <w:autoSpaceDE w:val="0"/>
        <w:autoSpaceDN w:val="0"/>
        <w:adjustRightInd w:val="0"/>
        <w:spacing w:after="0"/>
        <w:ind w:left="1134" w:hanging="425"/>
        <w:jc w:val="both"/>
        <w:rPr>
          <w:rFonts w:ascii="Times New Roman" w:hAnsi="Times New Roman"/>
          <w:b/>
          <w:sz w:val="24"/>
          <w:szCs w:val="24"/>
        </w:rPr>
      </w:pPr>
      <w:r w:rsidRPr="0016542D">
        <w:rPr>
          <w:rFonts w:ascii="Times New Roman" w:hAnsi="Times New Roman"/>
          <w:b/>
          <w:sz w:val="24"/>
          <w:szCs w:val="24"/>
        </w:rPr>
        <w:t>Recours au Tribunal</w:t>
      </w:r>
    </w:p>
    <w:p w:rsidR="00FC7093" w:rsidRPr="0016542D" w:rsidRDefault="00FC7093" w:rsidP="00FA3FAE">
      <w:pPr>
        <w:pStyle w:val="PargrafodaLista"/>
        <w:numPr>
          <w:ilvl w:val="0"/>
          <w:numId w:val="150"/>
        </w:numPr>
        <w:autoSpaceDE w:val="0"/>
        <w:autoSpaceDN w:val="0"/>
        <w:adjustRightInd w:val="0"/>
        <w:spacing w:after="0"/>
        <w:ind w:left="1134" w:hanging="425"/>
        <w:jc w:val="both"/>
        <w:rPr>
          <w:rFonts w:ascii="Times New Roman" w:hAnsi="Times New Roman"/>
          <w:b/>
          <w:sz w:val="24"/>
          <w:szCs w:val="24"/>
        </w:rPr>
      </w:pPr>
      <w:r w:rsidRPr="0016542D">
        <w:rPr>
          <w:rFonts w:ascii="Times New Roman" w:hAnsi="Times New Roman"/>
          <w:b/>
          <w:sz w:val="24"/>
          <w:szCs w:val="24"/>
        </w:rPr>
        <w:t>Suivi et enregistrement des plaintes</w:t>
      </w:r>
    </w:p>
    <w:p w:rsidR="00FC7093" w:rsidRDefault="00FC7093" w:rsidP="00FC7093">
      <w:pPr>
        <w:autoSpaceDE w:val="0"/>
        <w:autoSpaceDN w:val="0"/>
        <w:adjustRightInd w:val="0"/>
        <w:spacing w:after="0" w:line="276" w:lineRule="auto"/>
        <w:jc w:val="both"/>
        <w:rPr>
          <w:rFonts w:ascii="Times New Roman" w:hAnsi="Times New Roman"/>
          <w:b/>
          <w:bCs/>
          <w:sz w:val="24"/>
          <w:szCs w:val="24"/>
        </w:rPr>
      </w:pPr>
    </w:p>
    <w:p w:rsidR="00FC7093" w:rsidRDefault="00FC7093" w:rsidP="00FC7093">
      <w:pPr>
        <w:rPr>
          <w:rFonts w:ascii="Times New Roman" w:hAnsi="Times New Roman"/>
          <w:sz w:val="24"/>
          <w:szCs w:val="24"/>
        </w:rPr>
      </w:pPr>
      <w:r>
        <w:rPr>
          <w:rFonts w:ascii="Times New Roman" w:hAnsi="Times New Roman"/>
          <w:sz w:val="24"/>
          <w:szCs w:val="24"/>
        </w:rPr>
        <w:t xml:space="preserve">La </w:t>
      </w:r>
      <w:r w:rsidR="00F10552">
        <w:rPr>
          <w:rFonts w:ascii="Times New Roman" w:hAnsi="Times New Roman"/>
          <w:sz w:val="24"/>
          <w:szCs w:val="24"/>
        </w:rPr>
        <w:t xml:space="preserve">figure </w:t>
      </w:r>
      <w:r w:rsidR="00E15410">
        <w:rPr>
          <w:rFonts w:ascii="Times New Roman" w:hAnsi="Times New Roman"/>
          <w:sz w:val="24"/>
          <w:szCs w:val="24"/>
        </w:rPr>
        <w:t xml:space="preserve">9 </w:t>
      </w:r>
      <w:r w:rsidR="00F10552">
        <w:rPr>
          <w:rFonts w:ascii="Times New Roman" w:hAnsi="Times New Roman"/>
          <w:sz w:val="24"/>
          <w:szCs w:val="24"/>
        </w:rPr>
        <w:t>suivante</w:t>
      </w:r>
      <w:r w:rsidRPr="00D335A7">
        <w:rPr>
          <w:rFonts w:ascii="Times New Roman" w:hAnsi="Times New Roman"/>
          <w:sz w:val="24"/>
          <w:szCs w:val="24"/>
        </w:rPr>
        <w:t xml:space="preserve"> résume le circuit du MGP du </w:t>
      </w:r>
      <w:r>
        <w:rPr>
          <w:rFonts w:ascii="Times New Roman" w:hAnsi="Times New Roman"/>
          <w:sz w:val="24"/>
          <w:szCs w:val="24"/>
        </w:rPr>
        <w:t>PUASEE-</w:t>
      </w:r>
      <w:r w:rsidR="00F10552">
        <w:rPr>
          <w:rFonts w:ascii="Times New Roman" w:hAnsi="Times New Roman"/>
          <w:sz w:val="24"/>
          <w:szCs w:val="24"/>
        </w:rPr>
        <w:t>FA</w:t>
      </w:r>
      <w:r w:rsidR="00F10552" w:rsidRPr="00D335A7">
        <w:rPr>
          <w:rFonts w:ascii="Times New Roman" w:hAnsi="Times New Roman"/>
          <w:sz w:val="24"/>
          <w:szCs w:val="24"/>
        </w:rPr>
        <w:t xml:space="preserve"> :</w:t>
      </w:r>
      <w:r>
        <w:rPr>
          <w:rFonts w:ascii="Times New Roman" w:hAnsi="Times New Roman"/>
          <w:sz w:val="24"/>
          <w:szCs w:val="24"/>
        </w:rPr>
        <w:t xml:space="preserve"> </w:t>
      </w:r>
    </w:p>
    <w:p w:rsidR="00FC7093" w:rsidRDefault="004F7F5E" w:rsidP="00FC7093">
      <w:pPr>
        <w:autoSpaceDE w:val="0"/>
        <w:autoSpaceDN w:val="0"/>
        <w:adjustRightInd w:val="0"/>
        <w:spacing w:after="0" w:line="276" w:lineRule="auto"/>
        <w:jc w:val="both"/>
        <w:rPr>
          <w:rFonts w:ascii="Times New Roman" w:hAnsi="Times New Roman"/>
          <w:b/>
          <w:bCs/>
          <w:sz w:val="24"/>
          <w:szCs w:val="24"/>
        </w:rPr>
      </w:pPr>
      <w:r>
        <w:rPr>
          <w:rFonts w:ascii="Times New Roman" w:hAnsi="Times New Roman"/>
          <w:b/>
          <w:bCs/>
          <w:noProof/>
          <w:sz w:val="24"/>
          <w:szCs w:val="24"/>
          <w:lang w:val="pt-PT" w:eastAsia="pt-PT"/>
        </w:rPr>
        <w:lastRenderedPageBreak/>
        <w:drawing>
          <wp:anchor distT="0" distB="0" distL="114300" distR="114300" simplePos="0" relativeHeight="252273152" behindDoc="1" locked="0" layoutInCell="1" allowOverlap="1" wp14:anchorId="5963409E" wp14:editId="4FB2CD62">
            <wp:simplePos x="0" y="0"/>
            <wp:positionH relativeFrom="margin">
              <wp:align>center</wp:align>
            </wp:positionH>
            <wp:positionV relativeFrom="margin">
              <wp:posOffset>18052</wp:posOffset>
            </wp:positionV>
            <wp:extent cx="5337175" cy="3402965"/>
            <wp:effectExtent l="0" t="0" r="0" b="6985"/>
            <wp:wrapTight wrapText="bothSides">
              <wp:wrapPolygon edited="0">
                <wp:start x="0" y="0"/>
                <wp:lineTo x="0" y="21523"/>
                <wp:lineTo x="21510" y="21523"/>
                <wp:lineTo x="21510" y="0"/>
                <wp:lineTo x="0" y="0"/>
              </wp:wrapPolygon>
            </wp:wrapTight>
            <wp:docPr id="475" name="Image 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6" cstate="email">
                      <a:extLst>
                        <a:ext uri="{28A0092B-C50C-407E-A947-70E740481C1C}">
                          <a14:useLocalDpi xmlns:a14="http://schemas.microsoft.com/office/drawing/2010/main"/>
                        </a:ext>
                      </a:extLst>
                    </a:blip>
                    <a:srcRect/>
                    <a:stretch>
                      <a:fillRect/>
                    </a:stretch>
                  </pic:blipFill>
                  <pic:spPr bwMode="auto">
                    <a:xfrm>
                      <a:off x="0" y="0"/>
                      <a:ext cx="5337175" cy="340296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FC7093" w:rsidRDefault="00FC7093" w:rsidP="00FC7093">
      <w:pPr>
        <w:autoSpaceDE w:val="0"/>
        <w:autoSpaceDN w:val="0"/>
        <w:adjustRightInd w:val="0"/>
        <w:spacing w:after="0" w:line="276" w:lineRule="auto"/>
        <w:jc w:val="both"/>
        <w:rPr>
          <w:rFonts w:ascii="Times New Roman" w:hAnsi="Times New Roman"/>
          <w:b/>
          <w:bCs/>
          <w:sz w:val="24"/>
          <w:szCs w:val="24"/>
        </w:rPr>
      </w:pPr>
    </w:p>
    <w:p w:rsidR="00FC7093" w:rsidRDefault="00FC7093" w:rsidP="00FC7093">
      <w:pPr>
        <w:autoSpaceDE w:val="0"/>
        <w:autoSpaceDN w:val="0"/>
        <w:adjustRightInd w:val="0"/>
        <w:spacing w:after="0" w:line="276" w:lineRule="auto"/>
        <w:jc w:val="both"/>
        <w:rPr>
          <w:rFonts w:ascii="Times New Roman" w:hAnsi="Times New Roman"/>
          <w:b/>
          <w:bCs/>
          <w:sz w:val="24"/>
          <w:szCs w:val="24"/>
        </w:rPr>
      </w:pPr>
    </w:p>
    <w:p w:rsidR="00764FFF" w:rsidRDefault="00764FFF" w:rsidP="00764FFF">
      <w:pPr>
        <w:rPr>
          <w:rFonts w:ascii="Times New Roman" w:hAnsi="Times New Roman"/>
          <w:sz w:val="24"/>
          <w:szCs w:val="24"/>
        </w:rPr>
      </w:pPr>
    </w:p>
    <w:p w:rsidR="00764FFF" w:rsidRDefault="00764FFF" w:rsidP="00764FFF">
      <w:pPr>
        <w:rPr>
          <w:rFonts w:ascii="Times New Roman" w:hAnsi="Times New Roman"/>
          <w:sz w:val="24"/>
          <w:szCs w:val="24"/>
        </w:rPr>
      </w:pPr>
    </w:p>
    <w:p w:rsidR="00764FFF" w:rsidRDefault="00764FFF" w:rsidP="00764FFF">
      <w:pPr>
        <w:rPr>
          <w:rFonts w:ascii="Times New Roman" w:hAnsi="Times New Roman"/>
          <w:sz w:val="24"/>
          <w:szCs w:val="24"/>
        </w:rPr>
      </w:pPr>
    </w:p>
    <w:p w:rsidR="00764FFF" w:rsidRDefault="00764FFF" w:rsidP="00764FFF">
      <w:pPr>
        <w:rPr>
          <w:rFonts w:ascii="Times New Roman" w:hAnsi="Times New Roman"/>
          <w:sz w:val="24"/>
          <w:szCs w:val="24"/>
        </w:rPr>
      </w:pPr>
    </w:p>
    <w:p w:rsidR="00764FFF" w:rsidRDefault="00764FFF" w:rsidP="00764FFF">
      <w:pPr>
        <w:rPr>
          <w:rFonts w:ascii="Times New Roman" w:hAnsi="Times New Roman"/>
          <w:sz w:val="24"/>
          <w:szCs w:val="24"/>
        </w:rPr>
      </w:pPr>
    </w:p>
    <w:p w:rsidR="00764FFF" w:rsidRDefault="00764FFF" w:rsidP="00764FFF">
      <w:pPr>
        <w:rPr>
          <w:rFonts w:ascii="Times New Roman" w:hAnsi="Times New Roman"/>
          <w:sz w:val="24"/>
          <w:szCs w:val="24"/>
        </w:rPr>
      </w:pPr>
    </w:p>
    <w:p w:rsidR="00764FFF" w:rsidRPr="00D335A7" w:rsidRDefault="00764FFF" w:rsidP="00F10552">
      <w:pPr>
        <w:rPr>
          <w:rFonts w:ascii="Times New Roman" w:hAnsi="Times New Roman"/>
          <w:sz w:val="24"/>
          <w:szCs w:val="24"/>
        </w:rPr>
      </w:pPr>
      <w:r w:rsidRPr="00D335A7">
        <w:rPr>
          <w:rFonts w:ascii="Times New Roman" w:hAnsi="Times New Roman"/>
          <w:sz w:val="24"/>
          <w:szCs w:val="24"/>
          <w:highlight w:val="yellow"/>
        </w:rPr>
        <w:t xml:space="preserve"> </w:t>
      </w:r>
    </w:p>
    <w:p w:rsidR="00764FFF" w:rsidRPr="00D335A7" w:rsidRDefault="00764FFF" w:rsidP="00764FFF">
      <w:pPr>
        <w:jc w:val="both"/>
        <w:rPr>
          <w:rFonts w:ascii="Times New Roman" w:hAnsi="Times New Roman"/>
          <w:sz w:val="24"/>
          <w:szCs w:val="24"/>
        </w:rPr>
      </w:pPr>
    </w:p>
    <w:p w:rsidR="00F10552" w:rsidRDefault="00F10552" w:rsidP="00764FFF">
      <w:pPr>
        <w:pStyle w:val="Legenda"/>
        <w:rPr>
          <w:rFonts w:ascii="Times New Roman" w:hAnsi="Times New Roman"/>
          <w:color w:val="auto"/>
          <w:sz w:val="20"/>
          <w:szCs w:val="20"/>
          <w:lang w:val="fr-FR"/>
        </w:rPr>
      </w:pPr>
      <w:bookmarkStart w:id="725" w:name="_Toc534971791"/>
      <w:bookmarkStart w:id="726" w:name="_Toc11158998"/>
    </w:p>
    <w:p w:rsidR="00F10552" w:rsidRDefault="00F10552" w:rsidP="00764FFF">
      <w:pPr>
        <w:pStyle w:val="Legenda"/>
        <w:rPr>
          <w:rFonts w:ascii="Times New Roman" w:hAnsi="Times New Roman"/>
          <w:color w:val="auto"/>
          <w:sz w:val="20"/>
          <w:szCs w:val="20"/>
          <w:lang w:val="fr-FR"/>
        </w:rPr>
      </w:pPr>
    </w:p>
    <w:p w:rsidR="00764FFF" w:rsidRDefault="00764FFF" w:rsidP="00764FFF">
      <w:pPr>
        <w:pStyle w:val="Legenda"/>
        <w:rPr>
          <w:rFonts w:ascii="Times New Roman" w:hAnsi="Times New Roman"/>
          <w:color w:val="auto"/>
          <w:sz w:val="20"/>
          <w:szCs w:val="20"/>
          <w:lang w:val="fr-FR"/>
        </w:rPr>
      </w:pPr>
      <w:bookmarkStart w:id="727" w:name="_Toc32512031"/>
      <w:r w:rsidRPr="00972170">
        <w:rPr>
          <w:rFonts w:ascii="Times New Roman" w:hAnsi="Times New Roman"/>
          <w:color w:val="auto"/>
          <w:sz w:val="20"/>
          <w:szCs w:val="20"/>
          <w:lang w:val="fr-FR"/>
        </w:rPr>
        <w:t xml:space="preserve">Figure </w:t>
      </w:r>
      <w:r w:rsidRPr="00972170">
        <w:rPr>
          <w:rFonts w:ascii="Times New Roman" w:hAnsi="Times New Roman"/>
          <w:color w:val="auto"/>
          <w:sz w:val="20"/>
          <w:szCs w:val="20"/>
          <w:lang w:val="fr-FR"/>
        </w:rPr>
        <w:fldChar w:fldCharType="begin"/>
      </w:r>
      <w:r w:rsidRPr="00972170">
        <w:rPr>
          <w:rFonts w:ascii="Times New Roman" w:hAnsi="Times New Roman"/>
          <w:color w:val="auto"/>
          <w:sz w:val="20"/>
          <w:szCs w:val="20"/>
          <w:lang w:val="fr-FR"/>
        </w:rPr>
        <w:instrText xml:space="preserve"> </w:instrText>
      </w:r>
      <w:r>
        <w:rPr>
          <w:rFonts w:ascii="Times New Roman" w:hAnsi="Times New Roman"/>
          <w:color w:val="auto"/>
          <w:sz w:val="20"/>
          <w:szCs w:val="20"/>
          <w:lang w:val="fr-FR"/>
        </w:rPr>
        <w:instrText>SEQ</w:instrText>
      </w:r>
      <w:r w:rsidRPr="00972170">
        <w:rPr>
          <w:rFonts w:ascii="Times New Roman" w:hAnsi="Times New Roman"/>
          <w:color w:val="auto"/>
          <w:sz w:val="20"/>
          <w:szCs w:val="20"/>
          <w:lang w:val="fr-FR"/>
        </w:rPr>
        <w:instrText xml:space="preserve"> Figure \* ARABIC </w:instrText>
      </w:r>
      <w:r w:rsidRPr="00972170">
        <w:rPr>
          <w:rFonts w:ascii="Times New Roman" w:hAnsi="Times New Roman"/>
          <w:color w:val="auto"/>
          <w:sz w:val="20"/>
          <w:szCs w:val="20"/>
          <w:lang w:val="fr-FR"/>
        </w:rPr>
        <w:fldChar w:fldCharType="separate"/>
      </w:r>
      <w:r w:rsidR="002C6E60">
        <w:rPr>
          <w:rFonts w:ascii="Times New Roman" w:hAnsi="Times New Roman"/>
          <w:noProof/>
          <w:color w:val="auto"/>
          <w:sz w:val="20"/>
          <w:szCs w:val="20"/>
          <w:lang w:val="fr-FR"/>
        </w:rPr>
        <w:t>9</w:t>
      </w:r>
      <w:r w:rsidRPr="00972170">
        <w:rPr>
          <w:rFonts w:ascii="Times New Roman" w:hAnsi="Times New Roman"/>
          <w:color w:val="auto"/>
          <w:sz w:val="20"/>
          <w:szCs w:val="20"/>
          <w:lang w:val="fr-FR"/>
        </w:rPr>
        <w:fldChar w:fldCharType="end"/>
      </w:r>
      <w:r w:rsidRPr="00972170">
        <w:rPr>
          <w:rFonts w:ascii="Times New Roman" w:hAnsi="Times New Roman"/>
          <w:color w:val="auto"/>
          <w:sz w:val="20"/>
          <w:szCs w:val="20"/>
          <w:lang w:val="fr-FR"/>
        </w:rPr>
        <w:t> : Diagramme de fonctionnement du MGP du</w:t>
      </w:r>
      <w:bookmarkEnd w:id="727"/>
      <w:r w:rsidRPr="00972170">
        <w:rPr>
          <w:rFonts w:ascii="Times New Roman" w:hAnsi="Times New Roman"/>
          <w:color w:val="auto"/>
          <w:sz w:val="20"/>
          <w:szCs w:val="20"/>
          <w:lang w:val="fr-FR"/>
        </w:rPr>
        <w:t xml:space="preserve"> </w:t>
      </w:r>
      <w:bookmarkEnd w:id="725"/>
      <w:bookmarkEnd w:id="726"/>
    </w:p>
    <w:p w:rsidR="00764FFF" w:rsidRPr="00F362CC" w:rsidRDefault="00F362CC" w:rsidP="00F362CC">
      <w:pPr>
        <w:keepNext/>
        <w:keepLines/>
        <w:pBdr>
          <w:top w:val="outset" w:sz="12" w:space="1" w:color="auto"/>
          <w:left w:val="outset" w:sz="12" w:space="4" w:color="auto"/>
          <w:bottom w:val="outset" w:sz="12" w:space="1" w:color="auto"/>
          <w:right w:val="outset" w:sz="12" w:space="4" w:color="auto"/>
        </w:pBdr>
        <w:shd w:val="clear" w:color="auto" w:fill="F2F2F2" w:themeFill="background1" w:themeFillShade="F2"/>
        <w:spacing w:after="0" w:line="240" w:lineRule="auto"/>
        <w:ind w:left="-1417" w:right="567" w:firstLine="283"/>
        <w:jc w:val="center"/>
        <w:outlineLvl w:val="0"/>
        <w:rPr>
          <w:rFonts w:ascii="Times New Roman" w:eastAsia="Calibri" w:hAnsi="Times New Roman" w:cs="Times New Roman"/>
          <w:b/>
          <w:sz w:val="32"/>
          <w:szCs w:val="32"/>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id="728" w:name="_Toc535408397"/>
      <w:bookmarkStart w:id="729" w:name="_Toc11158415"/>
      <w:bookmarkStart w:id="730" w:name="_Toc51072635"/>
      <w:r w:rsidRPr="00F362CC">
        <w:rPr>
          <w:rFonts w:ascii="Times New Roman" w:eastAsia="Calibri" w:hAnsi="Times New Roman" w:cs="Times New Roman"/>
          <w:b/>
          <w:sz w:val="32"/>
          <w:szCs w:val="32"/>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9* </w:t>
      </w:r>
      <w:bookmarkStart w:id="731" w:name="_Hlk3361735"/>
      <w:r w:rsidRPr="00F362CC">
        <w:rPr>
          <w:rFonts w:ascii="Times New Roman" w:eastAsia="Calibri" w:hAnsi="Times New Roman" w:cs="Times New Roman"/>
          <w:b/>
          <w:sz w:val="32"/>
          <w:szCs w:val="32"/>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DIFFUSION DE L’INFORMATION</w:t>
      </w:r>
      <w:bookmarkEnd w:id="728"/>
      <w:bookmarkEnd w:id="729"/>
      <w:bookmarkEnd w:id="730"/>
    </w:p>
    <w:p w:rsidR="00764FFF" w:rsidRPr="00D335A7" w:rsidRDefault="00764FFF" w:rsidP="00764FFF">
      <w:pPr>
        <w:overflowPunct w:val="0"/>
        <w:autoSpaceDE w:val="0"/>
        <w:autoSpaceDN w:val="0"/>
        <w:adjustRightInd w:val="0"/>
        <w:spacing w:after="0" w:line="276" w:lineRule="auto"/>
        <w:rPr>
          <w:rFonts w:ascii="Times New Roman" w:hAnsi="Times New Roman"/>
          <w:bCs/>
          <w:sz w:val="24"/>
          <w:szCs w:val="24"/>
          <w:lang w:eastAsia="fr-FR"/>
        </w:rPr>
      </w:pPr>
    </w:p>
    <w:p w:rsidR="00764FFF" w:rsidRDefault="00764FFF" w:rsidP="00764FFF">
      <w:pPr>
        <w:autoSpaceDE w:val="0"/>
        <w:autoSpaceDN w:val="0"/>
        <w:adjustRightInd w:val="0"/>
        <w:jc w:val="both"/>
        <w:rPr>
          <w:rFonts w:ascii="Times New Roman" w:hAnsi="Times New Roman"/>
          <w:sz w:val="24"/>
          <w:szCs w:val="24"/>
        </w:rPr>
      </w:pPr>
      <w:r w:rsidRPr="00D335A7">
        <w:rPr>
          <w:rFonts w:ascii="Times New Roman" w:hAnsi="Times New Roman"/>
          <w:sz w:val="24"/>
          <w:szCs w:val="24"/>
        </w:rPr>
        <w:t xml:space="preserve">Après approbation par le Gouvernement de la République de Guinée Bissau et par la Banque </w:t>
      </w:r>
      <w:r>
        <w:rPr>
          <w:rFonts w:ascii="Times New Roman" w:hAnsi="Times New Roman"/>
          <w:sz w:val="24"/>
          <w:szCs w:val="24"/>
        </w:rPr>
        <w:t>m</w:t>
      </w:r>
      <w:r w:rsidRPr="00D335A7">
        <w:rPr>
          <w:rFonts w:ascii="Times New Roman" w:hAnsi="Times New Roman"/>
          <w:sz w:val="24"/>
          <w:szCs w:val="24"/>
        </w:rPr>
        <w:t>ondiale, l</w:t>
      </w:r>
      <w:r>
        <w:rPr>
          <w:rFonts w:ascii="Times New Roman" w:hAnsi="Times New Roman"/>
          <w:sz w:val="24"/>
          <w:szCs w:val="24"/>
        </w:rPr>
        <w:t>a</w:t>
      </w:r>
      <w:r w:rsidRPr="00D335A7">
        <w:rPr>
          <w:rFonts w:ascii="Times New Roman" w:hAnsi="Times New Roman"/>
          <w:sz w:val="24"/>
          <w:szCs w:val="24"/>
        </w:rPr>
        <w:t xml:space="preserve"> présent</w:t>
      </w:r>
      <w:r>
        <w:rPr>
          <w:rFonts w:ascii="Times New Roman" w:hAnsi="Times New Roman"/>
          <w:sz w:val="24"/>
          <w:szCs w:val="24"/>
        </w:rPr>
        <w:t>e</w:t>
      </w:r>
      <w:r w:rsidRPr="00D335A7">
        <w:rPr>
          <w:rFonts w:ascii="Times New Roman" w:hAnsi="Times New Roman"/>
          <w:sz w:val="24"/>
          <w:szCs w:val="24"/>
        </w:rPr>
        <w:t xml:space="preserve"> </w:t>
      </w:r>
      <w:r>
        <w:rPr>
          <w:rFonts w:ascii="Times New Roman" w:hAnsi="Times New Roman"/>
          <w:sz w:val="24"/>
          <w:szCs w:val="24"/>
        </w:rPr>
        <w:t>EIES</w:t>
      </w:r>
      <w:r w:rsidRPr="00D335A7">
        <w:rPr>
          <w:rFonts w:ascii="Times New Roman" w:hAnsi="Times New Roman"/>
          <w:sz w:val="24"/>
          <w:szCs w:val="24"/>
        </w:rPr>
        <w:t xml:space="preserve"> </w:t>
      </w:r>
      <w:r w:rsidR="00B21917">
        <w:rPr>
          <w:rFonts w:ascii="Times New Roman" w:hAnsi="Times New Roman"/>
          <w:sz w:val="24"/>
          <w:szCs w:val="24"/>
        </w:rPr>
        <w:t>concernant le sous-projet n°2 (</w:t>
      </w:r>
      <w:r w:rsidR="00B21917">
        <w:rPr>
          <w:rFonts w:ascii="Times New Roman" w:hAnsi="Times New Roman" w:cs="Times New Roman"/>
          <w:sz w:val="24"/>
          <w:szCs w:val="24"/>
        </w:rPr>
        <w:t>l</w:t>
      </w:r>
      <w:r w:rsidR="00B21917" w:rsidRPr="000F254A">
        <w:rPr>
          <w:rFonts w:ascii="Times New Roman" w:hAnsi="Times New Roman" w:cs="Times New Roman"/>
          <w:sz w:val="24"/>
          <w:szCs w:val="24"/>
        </w:rPr>
        <w:t>a Construction de trois nouveaux châteaux d’eau (Prabis, Safim</w:t>
      </w:r>
      <w:r w:rsidR="00B21917">
        <w:rPr>
          <w:rFonts w:ascii="Times New Roman" w:hAnsi="Times New Roman" w:cs="Times New Roman"/>
          <w:sz w:val="24"/>
          <w:szCs w:val="24"/>
        </w:rPr>
        <w:t xml:space="preserve">, </w:t>
      </w:r>
      <w:r w:rsidR="00B21917" w:rsidRPr="000F254A">
        <w:rPr>
          <w:rFonts w:ascii="Times New Roman" w:hAnsi="Times New Roman" w:cs="Times New Roman"/>
          <w:sz w:val="24"/>
          <w:szCs w:val="24"/>
        </w:rPr>
        <w:t>Bor</w:t>
      </w:r>
      <w:r w:rsidR="00B21917">
        <w:rPr>
          <w:rFonts w:ascii="Times New Roman" w:hAnsi="Times New Roman" w:cs="Times New Roman"/>
          <w:sz w:val="24"/>
          <w:szCs w:val="24"/>
        </w:rPr>
        <w:t xml:space="preserve"> et Antula</w:t>
      </w:r>
      <w:r w:rsidR="00B21917" w:rsidRPr="000F254A">
        <w:rPr>
          <w:rFonts w:ascii="Times New Roman" w:hAnsi="Times New Roman" w:cs="Times New Roman"/>
          <w:sz w:val="24"/>
          <w:szCs w:val="24"/>
        </w:rPr>
        <w:t>) et la réhabilitation des autres châteaux d’eau existants</w:t>
      </w:r>
      <w:r w:rsidR="00B21917" w:rsidRPr="00D335A7">
        <w:rPr>
          <w:rFonts w:ascii="Times New Roman" w:hAnsi="Times New Roman"/>
          <w:sz w:val="24"/>
          <w:szCs w:val="24"/>
        </w:rPr>
        <w:t xml:space="preserve"> </w:t>
      </w:r>
      <w:r w:rsidRPr="00D335A7">
        <w:rPr>
          <w:rFonts w:ascii="Times New Roman" w:hAnsi="Times New Roman"/>
          <w:sz w:val="24"/>
          <w:szCs w:val="24"/>
        </w:rPr>
        <w:t>sera publié</w:t>
      </w:r>
      <w:r>
        <w:rPr>
          <w:rFonts w:ascii="Times New Roman" w:hAnsi="Times New Roman"/>
          <w:sz w:val="24"/>
          <w:szCs w:val="24"/>
        </w:rPr>
        <w:t>e</w:t>
      </w:r>
      <w:r w:rsidRPr="00D335A7">
        <w:rPr>
          <w:rFonts w:ascii="Times New Roman" w:hAnsi="Times New Roman"/>
          <w:sz w:val="24"/>
          <w:szCs w:val="24"/>
        </w:rPr>
        <w:t xml:space="preserve"> sur le site internet du </w:t>
      </w:r>
      <w:r w:rsidR="00B21917">
        <w:rPr>
          <w:rFonts w:ascii="Times New Roman" w:hAnsi="Times New Roman"/>
          <w:sz w:val="24"/>
          <w:szCs w:val="24"/>
        </w:rPr>
        <w:t>PUASEE</w:t>
      </w:r>
      <w:r w:rsidRPr="00D335A7">
        <w:rPr>
          <w:rFonts w:ascii="Times New Roman" w:hAnsi="Times New Roman"/>
          <w:sz w:val="24"/>
          <w:szCs w:val="24"/>
        </w:rPr>
        <w:t>,</w:t>
      </w:r>
      <w:r>
        <w:rPr>
          <w:rFonts w:ascii="Times New Roman" w:hAnsi="Times New Roman"/>
          <w:sz w:val="24"/>
          <w:szCs w:val="24"/>
        </w:rPr>
        <w:t xml:space="preserve"> </w:t>
      </w:r>
      <w:r w:rsidRPr="00D335A7">
        <w:rPr>
          <w:rFonts w:ascii="Times New Roman" w:hAnsi="Times New Roman"/>
          <w:sz w:val="24"/>
          <w:szCs w:val="24"/>
        </w:rPr>
        <w:t>sur le site internet</w:t>
      </w:r>
      <w:r>
        <w:rPr>
          <w:rFonts w:ascii="Times New Roman" w:hAnsi="Times New Roman"/>
          <w:sz w:val="24"/>
          <w:szCs w:val="24"/>
        </w:rPr>
        <w:t xml:space="preserve"> de la Banque Mondiale,</w:t>
      </w:r>
      <w:r w:rsidRPr="00D335A7">
        <w:rPr>
          <w:rFonts w:ascii="Times New Roman" w:hAnsi="Times New Roman"/>
          <w:sz w:val="24"/>
          <w:szCs w:val="24"/>
        </w:rPr>
        <w:t xml:space="preserve"> au ministère des </w:t>
      </w:r>
      <w:r w:rsidR="00B21917">
        <w:rPr>
          <w:rFonts w:ascii="Times New Roman" w:hAnsi="Times New Roman"/>
          <w:sz w:val="24"/>
          <w:szCs w:val="24"/>
        </w:rPr>
        <w:t xml:space="preserve">finances </w:t>
      </w:r>
      <w:r w:rsidRPr="00D335A7">
        <w:rPr>
          <w:rFonts w:ascii="Times New Roman" w:hAnsi="Times New Roman"/>
          <w:sz w:val="24"/>
          <w:szCs w:val="24"/>
        </w:rPr>
        <w:t xml:space="preserve">et dans les </w:t>
      </w:r>
      <w:r w:rsidR="00B21917">
        <w:rPr>
          <w:rFonts w:ascii="Times New Roman" w:hAnsi="Times New Roman"/>
          <w:sz w:val="24"/>
          <w:szCs w:val="24"/>
        </w:rPr>
        <w:t>secteurs</w:t>
      </w:r>
      <w:r w:rsidRPr="00D335A7">
        <w:rPr>
          <w:rFonts w:ascii="Times New Roman" w:hAnsi="Times New Roman"/>
          <w:sz w:val="24"/>
          <w:szCs w:val="24"/>
        </w:rPr>
        <w:t xml:space="preserve"> de </w:t>
      </w:r>
      <w:r w:rsidR="00B21917">
        <w:rPr>
          <w:rFonts w:ascii="Times New Roman" w:hAnsi="Times New Roman"/>
          <w:sz w:val="24"/>
          <w:szCs w:val="24"/>
        </w:rPr>
        <w:t>Prabis, de Safim</w:t>
      </w:r>
      <w:r w:rsidRPr="00D335A7">
        <w:rPr>
          <w:rFonts w:ascii="Times New Roman" w:hAnsi="Times New Roman"/>
          <w:sz w:val="24"/>
          <w:szCs w:val="24"/>
        </w:rPr>
        <w:t xml:space="preserve"> et de Bissau.  </w:t>
      </w:r>
    </w:p>
    <w:p w:rsidR="00764FFF" w:rsidRDefault="00764FFF" w:rsidP="00764FFF">
      <w:pPr>
        <w:autoSpaceDE w:val="0"/>
        <w:autoSpaceDN w:val="0"/>
        <w:adjustRightInd w:val="0"/>
        <w:jc w:val="both"/>
        <w:rPr>
          <w:rFonts w:ascii="Times New Roman" w:hAnsi="Times New Roman"/>
          <w:sz w:val="24"/>
          <w:szCs w:val="24"/>
        </w:rPr>
      </w:pPr>
      <w:r w:rsidRPr="00D335A7">
        <w:rPr>
          <w:rFonts w:ascii="Times New Roman" w:hAnsi="Times New Roman"/>
          <w:sz w:val="24"/>
          <w:szCs w:val="24"/>
        </w:rPr>
        <w:t>Le résumé exécutif sera publié dans un journal à couverture Communale</w:t>
      </w:r>
      <w:r>
        <w:rPr>
          <w:rFonts w:ascii="Times New Roman" w:hAnsi="Times New Roman"/>
          <w:sz w:val="24"/>
          <w:szCs w:val="24"/>
        </w:rPr>
        <w:t xml:space="preserve"> et sera </w:t>
      </w:r>
      <w:r w:rsidRPr="00D335A7">
        <w:rPr>
          <w:rFonts w:ascii="Times New Roman" w:hAnsi="Times New Roman"/>
          <w:sz w:val="24"/>
          <w:szCs w:val="24"/>
        </w:rPr>
        <w:t>diffusé au niveau national dans un journal officiel</w:t>
      </w:r>
      <w:r>
        <w:rPr>
          <w:rFonts w:ascii="Times New Roman" w:hAnsi="Times New Roman"/>
          <w:sz w:val="24"/>
          <w:szCs w:val="24"/>
        </w:rPr>
        <w:t>.</w:t>
      </w:r>
      <w:r w:rsidRPr="00832AE1">
        <w:rPr>
          <w:rFonts w:ascii="Times New Roman" w:hAnsi="Times New Roman"/>
          <w:sz w:val="24"/>
          <w:szCs w:val="24"/>
        </w:rPr>
        <w:t xml:space="preserve"> </w:t>
      </w:r>
      <w:r w:rsidRPr="00D335A7">
        <w:rPr>
          <w:rFonts w:ascii="Times New Roman" w:hAnsi="Times New Roman"/>
          <w:sz w:val="24"/>
          <w:szCs w:val="24"/>
        </w:rPr>
        <w:t>Cette pub</w:t>
      </w:r>
      <w:r w:rsidR="00B21917">
        <w:rPr>
          <w:rFonts w:ascii="Times New Roman" w:hAnsi="Times New Roman"/>
          <w:sz w:val="24"/>
          <w:szCs w:val="24"/>
        </w:rPr>
        <w:t>lication sera effectuée par l’UI</w:t>
      </w:r>
      <w:r w:rsidRPr="00D335A7">
        <w:rPr>
          <w:rFonts w:ascii="Times New Roman" w:hAnsi="Times New Roman"/>
          <w:sz w:val="24"/>
          <w:szCs w:val="24"/>
        </w:rPr>
        <w:t>P du</w:t>
      </w:r>
      <w:r w:rsidR="00B21917">
        <w:rPr>
          <w:rFonts w:ascii="Times New Roman" w:hAnsi="Times New Roman"/>
          <w:sz w:val="24"/>
          <w:szCs w:val="24"/>
        </w:rPr>
        <w:t xml:space="preserve"> PUASEE</w:t>
      </w:r>
      <w:r w:rsidRPr="00D335A7">
        <w:rPr>
          <w:rFonts w:ascii="Times New Roman" w:hAnsi="Times New Roman"/>
          <w:sz w:val="24"/>
          <w:szCs w:val="24"/>
        </w:rPr>
        <w:t>.</w:t>
      </w:r>
    </w:p>
    <w:p w:rsidR="00764FFF" w:rsidRDefault="00764FFF" w:rsidP="00764FFF">
      <w:pPr>
        <w:autoSpaceDE w:val="0"/>
        <w:autoSpaceDN w:val="0"/>
        <w:adjustRightInd w:val="0"/>
        <w:jc w:val="both"/>
        <w:rPr>
          <w:rFonts w:ascii="Times New Roman" w:hAnsi="Times New Roman"/>
          <w:sz w:val="24"/>
          <w:szCs w:val="24"/>
        </w:rPr>
      </w:pPr>
      <w:r w:rsidRPr="00D335A7">
        <w:rPr>
          <w:rFonts w:ascii="Times New Roman" w:hAnsi="Times New Roman"/>
          <w:sz w:val="24"/>
          <w:szCs w:val="24"/>
        </w:rPr>
        <w:t xml:space="preserve">Les dispositions en matière de diffusion/publication visent à rendre disponible aux </w:t>
      </w:r>
      <w:r>
        <w:rPr>
          <w:rFonts w:ascii="Times New Roman" w:hAnsi="Times New Roman"/>
          <w:sz w:val="24"/>
          <w:szCs w:val="24"/>
        </w:rPr>
        <w:t xml:space="preserve">autorités, aux services, aux </w:t>
      </w:r>
      <w:r w:rsidRPr="00D335A7">
        <w:rPr>
          <w:rFonts w:ascii="Times New Roman" w:hAnsi="Times New Roman"/>
          <w:sz w:val="24"/>
          <w:szCs w:val="24"/>
        </w:rPr>
        <w:t xml:space="preserve">populations affectées et aux tiers une information pertinente et dans des délais appropriés. Elles relèvent des mécanismes suivants : </w:t>
      </w:r>
    </w:p>
    <w:p w:rsidR="00764FFF" w:rsidRPr="0004090F" w:rsidRDefault="00764FFF" w:rsidP="00FA3FAE">
      <w:pPr>
        <w:pStyle w:val="Listecouleur-Accent11"/>
        <w:numPr>
          <w:ilvl w:val="0"/>
          <w:numId w:val="124"/>
        </w:numPr>
        <w:autoSpaceDE w:val="0"/>
        <w:autoSpaceDN w:val="0"/>
        <w:adjustRightInd w:val="0"/>
        <w:spacing w:after="200" w:line="276" w:lineRule="auto"/>
        <w:rPr>
          <w:rFonts w:ascii="Times New Roman" w:hAnsi="Times New Roman"/>
          <w:sz w:val="24"/>
          <w:szCs w:val="24"/>
        </w:rPr>
      </w:pPr>
      <w:r w:rsidRPr="0004090F">
        <w:rPr>
          <w:rFonts w:ascii="Times New Roman" w:hAnsi="Times New Roman"/>
          <w:sz w:val="24"/>
          <w:szCs w:val="24"/>
        </w:rPr>
        <w:t xml:space="preserve">l’information provenant du </w:t>
      </w:r>
      <w:r w:rsidR="00B21917">
        <w:rPr>
          <w:rFonts w:ascii="Times New Roman" w:hAnsi="Times New Roman"/>
          <w:sz w:val="24"/>
          <w:szCs w:val="24"/>
          <w:lang w:val="fr-FR"/>
        </w:rPr>
        <w:t>PUASEE</w:t>
      </w:r>
      <w:r w:rsidRPr="0004090F">
        <w:rPr>
          <w:rFonts w:ascii="Times New Roman" w:hAnsi="Times New Roman"/>
          <w:sz w:val="24"/>
          <w:szCs w:val="24"/>
        </w:rPr>
        <w:t xml:space="preserve"> en direction des acteurs concernés par le </w:t>
      </w:r>
      <w:r w:rsidR="00B21917">
        <w:rPr>
          <w:rFonts w:ascii="Times New Roman" w:hAnsi="Times New Roman"/>
          <w:sz w:val="24"/>
          <w:szCs w:val="24"/>
          <w:lang w:val="fr-FR"/>
        </w:rPr>
        <w:t>sous-</w:t>
      </w:r>
      <w:r w:rsidRPr="0004090F">
        <w:rPr>
          <w:rFonts w:ascii="Times New Roman" w:hAnsi="Times New Roman"/>
          <w:sz w:val="24"/>
          <w:szCs w:val="24"/>
        </w:rPr>
        <w:t>projet</w:t>
      </w:r>
      <w:r w:rsidR="00B21917">
        <w:rPr>
          <w:rFonts w:ascii="Times New Roman" w:hAnsi="Times New Roman"/>
          <w:sz w:val="24"/>
          <w:szCs w:val="24"/>
          <w:lang w:val="fr-FR"/>
        </w:rPr>
        <w:t xml:space="preserve"> n°2</w:t>
      </w:r>
      <w:r w:rsidRPr="0004090F">
        <w:rPr>
          <w:rFonts w:ascii="Times New Roman" w:hAnsi="Times New Roman"/>
          <w:sz w:val="24"/>
          <w:szCs w:val="24"/>
        </w:rPr>
        <w:t>, sa procédure d’élaboration, son contenu, l’état de sa mise e</w:t>
      </w:r>
      <w:r>
        <w:rPr>
          <w:rFonts w:ascii="Times New Roman" w:hAnsi="Times New Roman"/>
          <w:sz w:val="24"/>
          <w:szCs w:val="24"/>
        </w:rPr>
        <w:t>n œuvre et</w:t>
      </w:r>
      <w:r w:rsidRPr="0004090F">
        <w:rPr>
          <w:rFonts w:ascii="Times New Roman" w:hAnsi="Times New Roman"/>
          <w:sz w:val="24"/>
          <w:szCs w:val="24"/>
        </w:rPr>
        <w:t xml:space="preserve"> en contrepartie, la remontée vers le Pr</w:t>
      </w:r>
      <w:r>
        <w:rPr>
          <w:rFonts w:ascii="Times New Roman" w:hAnsi="Times New Roman"/>
          <w:sz w:val="24"/>
          <w:szCs w:val="24"/>
        </w:rPr>
        <w:t>ojet de toute information utile</w:t>
      </w:r>
      <w:r>
        <w:rPr>
          <w:rFonts w:ascii="Times New Roman" w:hAnsi="Times New Roman"/>
          <w:sz w:val="24"/>
          <w:szCs w:val="24"/>
          <w:lang w:val="fr-FR"/>
        </w:rPr>
        <w:t xml:space="preserve"> </w:t>
      </w:r>
      <w:r>
        <w:rPr>
          <w:rFonts w:ascii="Times New Roman" w:hAnsi="Times New Roman"/>
          <w:sz w:val="24"/>
          <w:szCs w:val="24"/>
        </w:rPr>
        <w:t>;</w:t>
      </w:r>
    </w:p>
    <w:p w:rsidR="00764FFF" w:rsidRPr="0004090F" w:rsidRDefault="00764FFF" w:rsidP="00FA3FAE">
      <w:pPr>
        <w:pStyle w:val="Listecouleur-Accent11"/>
        <w:numPr>
          <w:ilvl w:val="0"/>
          <w:numId w:val="124"/>
        </w:numPr>
        <w:autoSpaceDE w:val="0"/>
        <w:autoSpaceDN w:val="0"/>
        <w:adjustRightInd w:val="0"/>
        <w:spacing w:after="200" w:line="276" w:lineRule="auto"/>
        <w:rPr>
          <w:rFonts w:ascii="Times New Roman" w:hAnsi="Times New Roman"/>
          <w:sz w:val="24"/>
          <w:szCs w:val="24"/>
        </w:rPr>
      </w:pPr>
      <w:r>
        <w:rPr>
          <w:rFonts w:ascii="Times New Roman" w:hAnsi="Times New Roman"/>
          <w:sz w:val="24"/>
          <w:szCs w:val="24"/>
        </w:rPr>
        <w:t>la publication d</w:t>
      </w:r>
      <w:r w:rsidRPr="00A475E8">
        <w:rPr>
          <w:rFonts w:ascii="Times New Roman" w:hAnsi="Times New Roman"/>
          <w:sz w:val="24"/>
          <w:szCs w:val="24"/>
          <w:lang w:val="fr-FR"/>
        </w:rPr>
        <w:t xml:space="preserve">e </w:t>
      </w:r>
      <w:r>
        <w:rPr>
          <w:rFonts w:ascii="Times New Roman" w:hAnsi="Times New Roman"/>
          <w:sz w:val="24"/>
          <w:szCs w:val="24"/>
          <w:lang w:val="fr-FR"/>
        </w:rPr>
        <w:t>la</w:t>
      </w:r>
      <w:r>
        <w:rPr>
          <w:rFonts w:ascii="Times New Roman" w:hAnsi="Times New Roman"/>
          <w:sz w:val="24"/>
          <w:szCs w:val="24"/>
        </w:rPr>
        <w:t xml:space="preserve"> présent</w:t>
      </w:r>
      <w:r w:rsidRPr="00A475E8">
        <w:rPr>
          <w:rFonts w:ascii="Times New Roman" w:hAnsi="Times New Roman"/>
          <w:sz w:val="24"/>
          <w:szCs w:val="24"/>
          <w:lang w:val="fr-FR"/>
        </w:rPr>
        <w:t>e</w:t>
      </w:r>
      <w:r>
        <w:rPr>
          <w:rFonts w:ascii="Times New Roman" w:hAnsi="Times New Roman"/>
          <w:sz w:val="24"/>
          <w:szCs w:val="24"/>
        </w:rPr>
        <w:t xml:space="preserve"> </w:t>
      </w:r>
      <w:r>
        <w:rPr>
          <w:rFonts w:ascii="Times New Roman" w:hAnsi="Times New Roman"/>
          <w:sz w:val="24"/>
          <w:szCs w:val="24"/>
          <w:lang w:val="fr-FR"/>
        </w:rPr>
        <w:t>EIES</w:t>
      </w:r>
      <w:r w:rsidRPr="0004090F">
        <w:rPr>
          <w:rFonts w:ascii="Times New Roman" w:hAnsi="Times New Roman"/>
          <w:sz w:val="24"/>
          <w:szCs w:val="24"/>
        </w:rPr>
        <w:t xml:space="preserve">, et de toute nouvelle disposition s’y rattachant, dans des conditions garantissant que les </w:t>
      </w:r>
      <w:r>
        <w:rPr>
          <w:rFonts w:ascii="Times New Roman" w:hAnsi="Times New Roman"/>
          <w:sz w:val="24"/>
          <w:szCs w:val="24"/>
          <w:lang w:val="fr-FR"/>
        </w:rPr>
        <w:t xml:space="preserve">tous les acteurs concernés </w:t>
      </w:r>
      <w:r w:rsidRPr="0004090F">
        <w:rPr>
          <w:rFonts w:ascii="Times New Roman" w:hAnsi="Times New Roman"/>
          <w:sz w:val="24"/>
          <w:szCs w:val="24"/>
        </w:rPr>
        <w:t>y auront accès</w:t>
      </w:r>
      <w:r>
        <w:rPr>
          <w:rFonts w:ascii="Times New Roman" w:hAnsi="Times New Roman"/>
          <w:sz w:val="24"/>
          <w:szCs w:val="24"/>
        </w:rPr>
        <w:t> </w:t>
      </w:r>
      <w:r>
        <w:rPr>
          <w:rFonts w:ascii="Times New Roman" w:hAnsi="Times New Roman"/>
          <w:sz w:val="24"/>
          <w:szCs w:val="24"/>
          <w:lang w:val="fr-FR"/>
        </w:rPr>
        <w:t>;</w:t>
      </w:r>
    </w:p>
    <w:p w:rsidR="00764FFF" w:rsidRPr="00D335A7" w:rsidRDefault="00764FFF" w:rsidP="00764FFF">
      <w:pPr>
        <w:autoSpaceDE w:val="0"/>
        <w:autoSpaceDN w:val="0"/>
        <w:adjustRightInd w:val="0"/>
        <w:jc w:val="both"/>
        <w:rPr>
          <w:rFonts w:ascii="Times New Roman" w:hAnsi="Times New Roman"/>
          <w:sz w:val="24"/>
          <w:szCs w:val="24"/>
        </w:rPr>
      </w:pPr>
      <w:r w:rsidRPr="00D335A7">
        <w:rPr>
          <w:rFonts w:ascii="Times New Roman" w:hAnsi="Times New Roman"/>
          <w:sz w:val="24"/>
          <w:szCs w:val="24"/>
        </w:rPr>
        <w:t>L</w:t>
      </w:r>
      <w:r w:rsidR="00791B28">
        <w:rPr>
          <w:rFonts w:ascii="Times New Roman" w:hAnsi="Times New Roman"/>
          <w:sz w:val="24"/>
          <w:szCs w:val="24"/>
        </w:rPr>
        <w:t>e rapport EIES provisoire concernant le sous-projet n°2 (</w:t>
      </w:r>
      <w:r w:rsidR="00791B28">
        <w:rPr>
          <w:rFonts w:ascii="Times New Roman" w:hAnsi="Times New Roman" w:cs="Times New Roman"/>
          <w:sz w:val="24"/>
          <w:szCs w:val="24"/>
        </w:rPr>
        <w:t>l</w:t>
      </w:r>
      <w:r w:rsidR="00791B28" w:rsidRPr="000F254A">
        <w:rPr>
          <w:rFonts w:ascii="Times New Roman" w:hAnsi="Times New Roman" w:cs="Times New Roman"/>
          <w:sz w:val="24"/>
          <w:szCs w:val="24"/>
        </w:rPr>
        <w:t>a Construction de trois nouveaux châteaux d’eau (Prabis, Safim</w:t>
      </w:r>
      <w:r w:rsidR="00791B28">
        <w:rPr>
          <w:rFonts w:ascii="Times New Roman" w:hAnsi="Times New Roman" w:cs="Times New Roman"/>
          <w:sz w:val="24"/>
          <w:szCs w:val="24"/>
        </w:rPr>
        <w:t xml:space="preserve">, </w:t>
      </w:r>
      <w:r w:rsidR="00791B28" w:rsidRPr="000F254A">
        <w:rPr>
          <w:rFonts w:ascii="Times New Roman" w:hAnsi="Times New Roman" w:cs="Times New Roman"/>
          <w:sz w:val="24"/>
          <w:szCs w:val="24"/>
        </w:rPr>
        <w:t>Bor</w:t>
      </w:r>
      <w:r w:rsidR="00791B28">
        <w:rPr>
          <w:rFonts w:ascii="Times New Roman" w:hAnsi="Times New Roman" w:cs="Times New Roman"/>
          <w:sz w:val="24"/>
          <w:szCs w:val="24"/>
        </w:rPr>
        <w:t xml:space="preserve"> et Antula</w:t>
      </w:r>
      <w:r w:rsidR="00791B28" w:rsidRPr="000F254A">
        <w:rPr>
          <w:rFonts w:ascii="Times New Roman" w:hAnsi="Times New Roman" w:cs="Times New Roman"/>
          <w:sz w:val="24"/>
          <w:szCs w:val="24"/>
        </w:rPr>
        <w:t>) et la réhabilitation des autres châteaux d’eau existants</w:t>
      </w:r>
      <w:r w:rsidR="00791B28">
        <w:rPr>
          <w:rFonts w:ascii="Times New Roman" w:hAnsi="Times New Roman"/>
          <w:sz w:val="24"/>
          <w:szCs w:val="24"/>
        </w:rPr>
        <w:t xml:space="preserve"> </w:t>
      </w:r>
      <w:r w:rsidRPr="00D335A7">
        <w:rPr>
          <w:rFonts w:ascii="Times New Roman" w:hAnsi="Times New Roman"/>
          <w:sz w:val="24"/>
          <w:szCs w:val="24"/>
        </w:rPr>
        <w:t>fera l’objet d’un atelier de restitution et de validation qui impliquera toutes parties prenantes</w:t>
      </w:r>
      <w:r>
        <w:rPr>
          <w:rFonts w:ascii="Times New Roman" w:hAnsi="Times New Roman"/>
          <w:sz w:val="24"/>
          <w:szCs w:val="24"/>
        </w:rPr>
        <w:t>.</w:t>
      </w:r>
      <w:r w:rsidRPr="00D335A7">
        <w:rPr>
          <w:rFonts w:ascii="Times New Roman" w:hAnsi="Times New Roman"/>
          <w:sz w:val="24"/>
          <w:szCs w:val="24"/>
        </w:rPr>
        <w:t xml:space="preserve">  </w:t>
      </w:r>
    </w:p>
    <w:bookmarkEnd w:id="731"/>
    <w:p w:rsidR="00764FFF" w:rsidRDefault="00764FFF" w:rsidP="00764FFF">
      <w:pPr>
        <w:pStyle w:val="Listecouleur-Accent11"/>
        <w:overflowPunct w:val="0"/>
        <w:autoSpaceDE w:val="0"/>
        <w:autoSpaceDN w:val="0"/>
        <w:adjustRightInd w:val="0"/>
        <w:ind w:right="-851"/>
        <w:rPr>
          <w:rFonts w:ascii="Times New Roman" w:hAnsi="Times New Roman"/>
          <w:bCs/>
          <w:sz w:val="24"/>
          <w:szCs w:val="24"/>
          <w:lang w:val="fr-FR" w:eastAsia="fr-FR"/>
        </w:rPr>
      </w:pPr>
    </w:p>
    <w:p w:rsidR="0036175E" w:rsidRDefault="0036175E" w:rsidP="00764FFF">
      <w:pPr>
        <w:pStyle w:val="Listecouleur-Accent11"/>
        <w:overflowPunct w:val="0"/>
        <w:autoSpaceDE w:val="0"/>
        <w:autoSpaceDN w:val="0"/>
        <w:adjustRightInd w:val="0"/>
        <w:ind w:right="-851"/>
        <w:rPr>
          <w:rFonts w:ascii="Times New Roman" w:hAnsi="Times New Roman"/>
          <w:bCs/>
          <w:sz w:val="24"/>
          <w:szCs w:val="24"/>
          <w:lang w:val="fr-FR" w:eastAsia="fr-FR"/>
        </w:rPr>
      </w:pPr>
    </w:p>
    <w:p w:rsidR="0036175E" w:rsidRDefault="0036175E" w:rsidP="00764FFF">
      <w:pPr>
        <w:pStyle w:val="Listecouleur-Accent11"/>
        <w:overflowPunct w:val="0"/>
        <w:autoSpaceDE w:val="0"/>
        <w:autoSpaceDN w:val="0"/>
        <w:adjustRightInd w:val="0"/>
        <w:ind w:right="-851"/>
        <w:rPr>
          <w:rFonts w:ascii="Times New Roman" w:hAnsi="Times New Roman"/>
          <w:bCs/>
          <w:sz w:val="24"/>
          <w:szCs w:val="24"/>
          <w:lang w:val="fr-FR" w:eastAsia="fr-FR"/>
        </w:rPr>
      </w:pPr>
    </w:p>
    <w:p w:rsidR="0036175E" w:rsidRDefault="0036175E" w:rsidP="00764FFF">
      <w:pPr>
        <w:pStyle w:val="Listecouleur-Accent11"/>
        <w:overflowPunct w:val="0"/>
        <w:autoSpaceDE w:val="0"/>
        <w:autoSpaceDN w:val="0"/>
        <w:adjustRightInd w:val="0"/>
        <w:ind w:right="-851"/>
        <w:rPr>
          <w:rFonts w:ascii="Times New Roman" w:hAnsi="Times New Roman"/>
          <w:bCs/>
          <w:sz w:val="24"/>
          <w:szCs w:val="24"/>
          <w:lang w:val="fr-FR" w:eastAsia="fr-FR"/>
        </w:rPr>
      </w:pPr>
    </w:p>
    <w:p w:rsidR="0036175E" w:rsidRDefault="0036175E" w:rsidP="00764FFF">
      <w:pPr>
        <w:pStyle w:val="Listecouleur-Accent11"/>
        <w:overflowPunct w:val="0"/>
        <w:autoSpaceDE w:val="0"/>
        <w:autoSpaceDN w:val="0"/>
        <w:adjustRightInd w:val="0"/>
        <w:ind w:right="-851"/>
        <w:rPr>
          <w:rFonts w:ascii="Times New Roman" w:hAnsi="Times New Roman"/>
          <w:bCs/>
          <w:sz w:val="24"/>
          <w:szCs w:val="24"/>
          <w:lang w:val="fr-FR" w:eastAsia="fr-FR"/>
        </w:rPr>
      </w:pPr>
    </w:p>
    <w:p w:rsidR="00764FFF" w:rsidRPr="00F362CC" w:rsidRDefault="00764FFF" w:rsidP="00F362CC">
      <w:pPr>
        <w:keepNext/>
        <w:keepLines/>
        <w:pBdr>
          <w:top w:val="outset" w:sz="12" w:space="1" w:color="auto"/>
          <w:left w:val="outset" w:sz="12" w:space="4" w:color="auto"/>
          <w:bottom w:val="outset" w:sz="12" w:space="1" w:color="auto"/>
          <w:right w:val="outset" w:sz="12" w:space="4" w:color="auto"/>
        </w:pBdr>
        <w:shd w:val="clear" w:color="auto" w:fill="F2F2F2" w:themeFill="background1" w:themeFillShade="F2"/>
        <w:spacing w:after="0" w:line="240" w:lineRule="auto"/>
        <w:ind w:left="-1417" w:right="567" w:firstLine="283"/>
        <w:jc w:val="center"/>
        <w:outlineLvl w:val="0"/>
        <w:rPr>
          <w:rFonts w:ascii="Times New Roman" w:eastAsia="Calibri" w:hAnsi="Times New Roman" w:cs="Times New Roman"/>
          <w:b/>
          <w:sz w:val="32"/>
          <w:szCs w:val="32"/>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id="732" w:name="_Toc515981164"/>
      <w:bookmarkStart w:id="733" w:name="_Toc535396973"/>
      <w:r w:rsidRPr="00F362CC">
        <w:rPr>
          <w:rFonts w:ascii="Times New Roman" w:eastAsia="Calibri" w:hAnsi="Times New Roman" w:cs="Times New Roman"/>
          <w:b/>
          <w:sz w:val="32"/>
          <w:szCs w:val="32"/>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 xml:space="preserve"> </w:t>
      </w:r>
      <w:bookmarkStart w:id="734" w:name="_Toc477774533"/>
      <w:bookmarkStart w:id="735" w:name="_Toc468116770"/>
      <w:bookmarkStart w:id="736" w:name="_Toc491267616"/>
      <w:bookmarkStart w:id="737" w:name="_Toc493752720"/>
      <w:bookmarkStart w:id="738" w:name="_Toc505616572"/>
      <w:bookmarkStart w:id="739" w:name="_Toc11158416"/>
      <w:bookmarkStart w:id="740" w:name="_Toc51072636"/>
      <w:r w:rsidR="00791B28" w:rsidRPr="00F362CC">
        <w:rPr>
          <w:rFonts w:ascii="Times New Roman" w:eastAsia="Calibri" w:hAnsi="Times New Roman" w:cs="Times New Roman"/>
          <w:b/>
          <w:sz w:val="32"/>
          <w:szCs w:val="32"/>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F362CC">
        <w:rPr>
          <w:rFonts w:ascii="Times New Roman" w:eastAsia="Calibri" w:hAnsi="Times New Roman" w:cs="Times New Roman"/>
          <w:b/>
          <w:sz w:val="32"/>
          <w:szCs w:val="32"/>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CONCLUSION</w:t>
      </w:r>
      <w:bookmarkEnd w:id="734"/>
      <w:bookmarkEnd w:id="735"/>
      <w:bookmarkEnd w:id="736"/>
      <w:bookmarkEnd w:id="737"/>
      <w:bookmarkEnd w:id="738"/>
      <w:r w:rsidRPr="00F362CC">
        <w:rPr>
          <w:rFonts w:ascii="Times New Roman" w:eastAsia="Calibri" w:hAnsi="Times New Roman" w:cs="Times New Roman"/>
          <w:b/>
          <w:sz w:val="32"/>
          <w:szCs w:val="32"/>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bookmarkEnd w:id="732"/>
      <w:bookmarkEnd w:id="733"/>
      <w:bookmarkEnd w:id="739"/>
      <w:bookmarkEnd w:id="740"/>
    </w:p>
    <w:p w:rsidR="00764FFF" w:rsidRPr="003E743A" w:rsidRDefault="00764FFF" w:rsidP="00764FFF">
      <w:pPr>
        <w:autoSpaceDE w:val="0"/>
        <w:autoSpaceDN w:val="0"/>
        <w:adjustRightInd w:val="0"/>
        <w:spacing w:after="0" w:line="276" w:lineRule="auto"/>
        <w:jc w:val="both"/>
        <w:rPr>
          <w:rFonts w:ascii="Times New Roman" w:hAnsi="Times New Roman"/>
          <w:sz w:val="24"/>
          <w:szCs w:val="24"/>
        </w:rPr>
      </w:pPr>
    </w:p>
    <w:p w:rsidR="0094567F" w:rsidRPr="00A02AF3" w:rsidRDefault="0094567F" w:rsidP="0094567F">
      <w:pPr>
        <w:autoSpaceDE w:val="0"/>
        <w:autoSpaceDN w:val="0"/>
        <w:adjustRightInd w:val="0"/>
        <w:spacing w:after="0" w:line="276" w:lineRule="auto"/>
        <w:jc w:val="both"/>
        <w:rPr>
          <w:rFonts w:ascii="Times New Roman" w:hAnsi="Times New Roman"/>
          <w:sz w:val="24"/>
          <w:szCs w:val="24"/>
        </w:rPr>
      </w:pPr>
      <w:r w:rsidRPr="00A02AF3">
        <w:rPr>
          <w:rFonts w:ascii="Times New Roman" w:hAnsi="Times New Roman"/>
          <w:sz w:val="24"/>
          <w:szCs w:val="24"/>
        </w:rPr>
        <w:t xml:space="preserve">Le </w:t>
      </w:r>
      <w:r w:rsidRPr="00A02AF3">
        <w:rPr>
          <w:rFonts w:ascii="Times New Roman" w:hAnsi="Times New Roman"/>
          <w:i/>
          <w:sz w:val="24"/>
          <w:szCs w:val="24"/>
        </w:rPr>
        <w:t>Projet d’Urgence d’Amélioration des Services d’Eau et d’Électricité</w:t>
      </w:r>
      <w:r>
        <w:rPr>
          <w:rFonts w:ascii="Times New Roman" w:hAnsi="Times New Roman"/>
          <w:sz w:val="24"/>
          <w:szCs w:val="24"/>
        </w:rPr>
        <w:t xml:space="preserve"> </w:t>
      </w:r>
      <w:r w:rsidRPr="00A02AF3">
        <w:rPr>
          <w:rFonts w:ascii="Times New Roman" w:hAnsi="Times New Roman"/>
          <w:sz w:val="24"/>
          <w:szCs w:val="24"/>
        </w:rPr>
        <w:t>« PUASEE</w:t>
      </w:r>
      <w:r>
        <w:rPr>
          <w:rFonts w:ascii="Times New Roman" w:hAnsi="Times New Roman"/>
          <w:sz w:val="24"/>
          <w:szCs w:val="24"/>
        </w:rPr>
        <w:t>-FA</w:t>
      </w:r>
      <w:r w:rsidRPr="00A02AF3">
        <w:rPr>
          <w:rFonts w:ascii="Times New Roman" w:hAnsi="Times New Roman"/>
          <w:sz w:val="24"/>
          <w:szCs w:val="24"/>
        </w:rPr>
        <w:t xml:space="preserve"> », a été mis en place par la République de la Guinée-Bissau dans le cadre de son vaste programme pluriannuel de reconstruction des infrastructures et vise à augmenter substantiellement la production, stockage et distribution d’eau potable ainsi que l’électricité, qui sont largement inféri</w:t>
      </w:r>
      <w:r>
        <w:rPr>
          <w:rFonts w:ascii="Times New Roman" w:hAnsi="Times New Roman"/>
          <w:sz w:val="24"/>
          <w:szCs w:val="24"/>
        </w:rPr>
        <w:t xml:space="preserve">eures à la demande potentielle et à réduire les pertes </w:t>
      </w:r>
      <w:r w:rsidRPr="00A02AF3">
        <w:rPr>
          <w:rFonts w:ascii="Times New Roman" w:hAnsi="Times New Roman"/>
          <w:sz w:val="24"/>
          <w:szCs w:val="24"/>
        </w:rPr>
        <w:t>dans les réseaux de distribution.</w:t>
      </w:r>
    </w:p>
    <w:p w:rsidR="00764FFF" w:rsidRPr="003E743A" w:rsidRDefault="00764FFF" w:rsidP="00F52757">
      <w:pPr>
        <w:tabs>
          <w:tab w:val="left" w:pos="9639"/>
        </w:tabs>
        <w:autoSpaceDE w:val="0"/>
        <w:autoSpaceDN w:val="0"/>
        <w:adjustRightInd w:val="0"/>
        <w:spacing w:after="0" w:line="240" w:lineRule="auto"/>
        <w:ind w:right="284"/>
        <w:jc w:val="both"/>
        <w:rPr>
          <w:rFonts w:ascii="Times New Roman" w:hAnsi="Times New Roman"/>
          <w:sz w:val="24"/>
          <w:szCs w:val="24"/>
        </w:rPr>
      </w:pPr>
    </w:p>
    <w:p w:rsidR="00764FFF" w:rsidRPr="003E743A" w:rsidRDefault="00B17DF2" w:rsidP="00F52757">
      <w:pPr>
        <w:tabs>
          <w:tab w:val="left" w:pos="9639"/>
        </w:tabs>
        <w:autoSpaceDE w:val="0"/>
        <w:autoSpaceDN w:val="0"/>
        <w:adjustRightInd w:val="0"/>
        <w:spacing w:before="120" w:after="0" w:line="276" w:lineRule="auto"/>
        <w:jc w:val="both"/>
        <w:rPr>
          <w:rFonts w:ascii="Times New Roman" w:hAnsi="Times New Roman"/>
          <w:sz w:val="24"/>
          <w:szCs w:val="24"/>
        </w:rPr>
      </w:pPr>
      <w:r>
        <w:rPr>
          <w:rFonts w:ascii="Times New Roman" w:hAnsi="Times New Roman"/>
          <w:sz w:val="24"/>
          <w:szCs w:val="24"/>
        </w:rPr>
        <w:t>S</w:t>
      </w:r>
      <w:r w:rsidR="00764FFF" w:rsidRPr="003E743A">
        <w:rPr>
          <w:rFonts w:ascii="Times New Roman" w:hAnsi="Times New Roman"/>
          <w:sz w:val="24"/>
          <w:szCs w:val="24"/>
        </w:rPr>
        <w:t xml:space="preserve">ur la base des résultats de l’Étude d’Impact Environnemental et Social (EIES) du </w:t>
      </w:r>
      <w:r>
        <w:rPr>
          <w:rFonts w:ascii="Times New Roman" w:hAnsi="Times New Roman"/>
          <w:sz w:val="24"/>
          <w:szCs w:val="24"/>
        </w:rPr>
        <w:t>sous-</w:t>
      </w:r>
      <w:r w:rsidR="00764FFF" w:rsidRPr="003E743A">
        <w:rPr>
          <w:rFonts w:ascii="Times New Roman" w:hAnsi="Times New Roman"/>
          <w:sz w:val="24"/>
          <w:szCs w:val="24"/>
        </w:rPr>
        <w:t>projet</w:t>
      </w:r>
      <w:r>
        <w:rPr>
          <w:rFonts w:ascii="Times New Roman" w:hAnsi="Times New Roman"/>
          <w:sz w:val="24"/>
          <w:szCs w:val="24"/>
        </w:rPr>
        <w:t xml:space="preserve"> n°2 (</w:t>
      </w:r>
      <w:r>
        <w:rPr>
          <w:rFonts w:ascii="Times New Roman" w:hAnsi="Times New Roman" w:cs="Times New Roman"/>
          <w:sz w:val="24"/>
          <w:szCs w:val="24"/>
        </w:rPr>
        <w:t>l</w:t>
      </w:r>
      <w:r w:rsidRPr="000F254A">
        <w:rPr>
          <w:rFonts w:ascii="Times New Roman" w:hAnsi="Times New Roman" w:cs="Times New Roman"/>
          <w:sz w:val="24"/>
          <w:szCs w:val="24"/>
        </w:rPr>
        <w:t>a Construction de trois nouveaux châteaux d’eau (Prabis, Safim</w:t>
      </w:r>
      <w:r>
        <w:rPr>
          <w:rFonts w:ascii="Times New Roman" w:hAnsi="Times New Roman" w:cs="Times New Roman"/>
          <w:sz w:val="24"/>
          <w:szCs w:val="24"/>
        </w:rPr>
        <w:t xml:space="preserve">, </w:t>
      </w:r>
      <w:r w:rsidRPr="000F254A">
        <w:rPr>
          <w:rFonts w:ascii="Times New Roman" w:hAnsi="Times New Roman" w:cs="Times New Roman"/>
          <w:sz w:val="24"/>
          <w:szCs w:val="24"/>
        </w:rPr>
        <w:t>Bor</w:t>
      </w:r>
      <w:r>
        <w:rPr>
          <w:rFonts w:ascii="Times New Roman" w:hAnsi="Times New Roman" w:cs="Times New Roman"/>
          <w:sz w:val="24"/>
          <w:szCs w:val="24"/>
        </w:rPr>
        <w:t xml:space="preserve"> et Antula</w:t>
      </w:r>
      <w:r w:rsidRPr="000F254A">
        <w:rPr>
          <w:rFonts w:ascii="Times New Roman" w:hAnsi="Times New Roman" w:cs="Times New Roman"/>
          <w:sz w:val="24"/>
          <w:szCs w:val="24"/>
        </w:rPr>
        <w:t>) et la réhabilitation des autres châteaux d’eau existants</w:t>
      </w:r>
      <w:r w:rsidR="00764FFF" w:rsidRPr="003E743A">
        <w:rPr>
          <w:rFonts w:ascii="Times New Roman" w:hAnsi="Times New Roman"/>
          <w:sz w:val="24"/>
          <w:szCs w:val="24"/>
        </w:rPr>
        <w:t xml:space="preserve">, ce </w:t>
      </w:r>
      <w:r>
        <w:rPr>
          <w:rFonts w:ascii="Times New Roman" w:hAnsi="Times New Roman"/>
          <w:sz w:val="24"/>
          <w:szCs w:val="24"/>
        </w:rPr>
        <w:t>sous-</w:t>
      </w:r>
      <w:r w:rsidR="00764FFF" w:rsidRPr="003E743A">
        <w:rPr>
          <w:rFonts w:ascii="Times New Roman" w:hAnsi="Times New Roman"/>
          <w:sz w:val="24"/>
          <w:szCs w:val="24"/>
        </w:rPr>
        <w:t>projet aura des impacts positifs potentiels sur le plan social</w:t>
      </w:r>
      <w:r>
        <w:rPr>
          <w:rFonts w:ascii="Times New Roman" w:hAnsi="Times New Roman"/>
          <w:sz w:val="24"/>
          <w:szCs w:val="24"/>
        </w:rPr>
        <w:t xml:space="preserve">, économique et environnemental dans les différents secteurs (Prabis, Safim et Bissau). Car l’accès à l’eau potable est l’une des difficultés majeures de la population dans ces localités. </w:t>
      </w:r>
      <w:r w:rsidR="009A6B08">
        <w:rPr>
          <w:rFonts w:ascii="Times New Roman" w:hAnsi="Times New Roman"/>
          <w:sz w:val="24"/>
          <w:szCs w:val="24"/>
        </w:rPr>
        <w:t>De plus, ces réalisations des réservoirs contribueront à l’amélioration des conditions sanitaires</w:t>
      </w:r>
      <w:r w:rsidR="005A4046">
        <w:rPr>
          <w:rFonts w:ascii="Times New Roman" w:hAnsi="Times New Roman"/>
          <w:sz w:val="24"/>
          <w:szCs w:val="24"/>
        </w:rPr>
        <w:t>.</w:t>
      </w:r>
    </w:p>
    <w:p w:rsidR="00764FFF" w:rsidRPr="003E743A" w:rsidRDefault="00764FFF" w:rsidP="00F52757">
      <w:pPr>
        <w:tabs>
          <w:tab w:val="left" w:pos="9639"/>
        </w:tabs>
        <w:autoSpaceDE w:val="0"/>
        <w:autoSpaceDN w:val="0"/>
        <w:adjustRightInd w:val="0"/>
        <w:spacing w:before="120" w:after="0" w:line="276" w:lineRule="auto"/>
        <w:jc w:val="both"/>
        <w:rPr>
          <w:rFonts w:ascii="Times New Roman" w:hAnsi="Times New Roman"/>
          <w:sz w:val="24"/>
          <w:szCs w:val="24"/>
        </w:rPr>
      </w:pPr>
      <w:r w:rsidRPr="003E743A">
        <w:rPr>
          <w:rFonts w:ascii="Times New Roman" w:hAnsi="Times New Roman"/>
          <w:sz w:val="24"/>
          <w:szCs w:val="24"/>
        </w:rPr>
        <w:t>Le processus d’information et de consultation du public a permis d’informer et de recueillir les préoccupations des différents acteurs (les élus locaux, les jeunes, les femmes</w:t>
      </w:r>
      <w:r>
        <w:rPr>
          <w:rFonts w:ascii="Times New Roman" w:hAnsi="Times New Roman"/>
          <w:sz w:val="24"/>
          <w:szCs w:val="24"/>
        </w:rPr>
        <w:t>,</w:t>
      </w:r>
      <w:r w:rsidRPr="003E743A">
        <w:rPr>
          <w:rFonts w:ascii="Times New Roman" w:hAnsi="Times New Roman"/>
          <w:sz w:val="24"/>
          <w:szCs w:val="24"/>
        </w:rPr>
        <w:t xml:space="preserve"> etc.) des différentes localités de la zone d’influence du projet. </w:t>
      </w:r>
    </w:p>
    <w:p w:rsidR="00764FFF" w:rsidRPr="003E743A" w:rsidRDefault="00764FFF" w:rsidP="00F52757">
      <w:pPr>
        <w:tabs>
          <w:tab w:val="left" w:pos="9639"/>
        </w:tabs>
        <w:autoSpaceDE w:val="0"/>
        <w:autoSpaceDN w:val="0"/>
        <w:adjustRightInd w:val="0"/>
        <w:spacing w:before="120" w:after="0" w:line="276" w:lineRule="auto"/>
        <w:jc w:val="both"/>
        <w:rPr>
          <w:rFonts w:ascii="Times New Roman" w:hAnsi="Times New Roman"/>
          <w:sz w:val="24"/>
          <w:szCs w:val="24"/>
        </w:rPr>
      </w:pPr>
      <w:r w:rsidRPr="003E743A">
        <w:rPr>
          <w:rFonts w:ascii="Times New Roman" w:hAnsi="Times New Roman"/>
          <w:sz w:val="24"/>
          <w:szCs w:val="24"/>
        </w:rPr>
        <w:t xml:space="preserve">L’étude d’impact sur l’environnement a permis de mettre en relief les préoccupations ainsi que les aspects environnementaux, sociaux et techniques lors des travaux de </w:t>
      </w:r>
      <w:r w:rsidR="005A4046">
        <w:rPr>
          <w:rFonts w:ascii="Times New Roman" w:hAnsi="Times New Roman"/>
          <w:sz w:val="24"/>
          <w:szCs w:val="24"/>
        </w:rPr>
        <w:t xml:space="preserve">construction et de réhabilitation des réservoirs. </w:t>
      </w:r>
      <w:r w:rsidRPr="003E743A">
        <w:rPr>
          <w:rFonts w:ascii="Times New Roman" w:hAnsi="Times New Roman"/>
          <w:sz w:val="24"/>
          <w:szCs w:val="24"/>
        </w:rPr>
        <w:t>Les impacts environnementaux négatifs potentiels ont été identifiés et des mesures de suppression ou d’atténuation ont été à chaque fois proposées ; ces mesures sont confinées dans le plan de gestion environnemental et social (PGES).</w:t>
      </w:r>
    </w:p>
    <w:p w:rsidR="00764FFF" w:rsidRDefault="00764FFF" w:rsidP="00F52757">
      <w:pPr>
        <w:tabs>
          <w:tab w:val="left" w:pos="9639"/>
        </w:tabs>
        <w:spacing w:before="120" w:after="0" w:line="276" w:lineRule="auto"/>
        <w:jc w:val="both"/>
        <w:rPr>
          <w:rFonts w:ascii="Times New Roman" w:hAnsi="Times New Roman"/>
          <w:sz w:val="24"/>
          <w:szCs w:val="24"/>
        </w:rPr>
      </w:pPr>
      <w:r w:rsidRPr="003E743A">
        <w:rPr>
          <w:rFonts w:ascii="Times New Roman" w:hAnsi="Times New Roman"/>
          <w:sz w:val="24"/>
          <w:szCs w:val="24"/>
        </w:rPr>
        <w:t xml:space="preserve">Sur la base des appréciations ci-dessus, on peut conclure que le </w:t>
      </w:r>
      <w:r w:rsidR="005A4046">
        <w:rPr>
          <w:rFonts w:ascii="Times New Roman" w:hAnsi="Times New Roman"/>
          <w:sz w:val="24"/>
          <w:szCs w:val="24"/>
        </w:rPr>
        <w:t>sous-</w:t>
      </w:r>
      <w:r w:rsidRPr="003E743A">
        <w:rPr>
          <w:rFonts w:ascii="Times New Roman" w:hAnsi="Times New Roman"/>
          <w:sz w:val="24"/>
          <w:szCs w:val="24"/>
        </w:rPr>
        <w:t>projet</w:t>
      </w:r>
      <w:r w:rsidR="005A4046">
        <w:rPr>
          <w:rFonts w:ascii="Times New Roman" w:hAnsi="Times New Roman"/>
          <w:sz w:val="24"/>
          <w:szCs w:val="24"/>
        </w:rPr>
        <w:t xml:space="preserve"> n</w:t>
      </w:r>
      <w:r w:rsidR="00074867">
        <w:rPr>
          <w:rFonts w:ascii="Times New Roman" w:hAnsi="Times New Roman"/>
          <w:sz w:val="24"/>
          <w:szCs w:val="24"/>
        </w:rPr>
        <w:t>°2 du projet PUASEE-FA</w:t>
      </w:r>
      <w:r w:rsidRPr="003E743A">
        <w:rPr>
          <w:rFonts w:ascii="Times New Roman" w:hAnsi="Times New Roman"/>
          <w:sz w:val="24"/>
          <w:szCs w:val="24"/>
        </w:rPr>
        <w:t xml:space="preserve">, tel que proposé, constitue un compromis viable aux plan environnemental et social, à condition que l’ensemble des mesures définies dans le Plan de gestion environnementale </w:t>
      </w:r>
      <w:r>
        <w:rPr>
          <w:rFonts w:ascii="Times New Roman" w:hAnsi="Times New Roman"/>
          <w:sz w:val="24"/>
          <w:szCs w:val="24"/>
        </w:rPr>
        <w:t xml:space="preserve">et sociale </w:t>
      </w:r>
      <w:r w:rsidRPr="003E743A">
        <w:rPr>
          <w:rFonts w:ascii="Times New Roman" w:hAnsi="Times New Roman"/>
          <w:sz w:val="24"/>
          <w:szCs w:val="24"/>
        </w:rPr>
        <w:t>soient totalement et rigoureusement mises en œuvre.</w:t>
      </w:r>
    </w:p>
    <w:p w:rsidR="00764FFF" w:rsidRDefault="00764FFF" w:rsidP="00764FFF">
      <w:pPr>
        <w:spacing w:before="120" w:after="0" w:line="276" w:lineRule="auto"/>
        <w:jc w:val="both"/>
        <w:rPr>
          <w:rFonts w:ascii="Times New Roman" w:hAnsi="Times New Roman"/>
          <w:sz w:val="24"/>
          <w:szCs w:val="24"/>
        </w:rPr>
      </w:pPr>
    </w:p>
    <w:p w:rsidR="00764FFF" w:rsidRDefault="00764FFF" w:rsidP="00764FFF">
      <w:pPr>
        <w:spacing w:before="120" w:after="0" w:line="276" w:lineRule="auto"/>
        <w:jc w:val="both"/>
        <w:rPr>
          <w:rFonts w:ascii="Times New Roman" w:hAnsi="Times New Roman"/>
          <w:sz w:val="24"/>
          <w:szCs w:val="24"/>
        </w:rPr>
      </w:pPr>
    </w:p>
    <w:p w:rsidR="00764FFF" w:rsidRDefault="00764FFF" w:rsidP="00764FFF">
      <w:pPr>
        <w:spacing w:before="120" w:after="0" w:line="276" w:lineRule="auto"/>
        <w:jc w:val="both"/>
        <w:rPr>
          <w:rFonts w:ascii="Times New Roman" w:hAnsi="Times New Roman"/>
          <w:sz w:val="24"/>
          <w:szCs w:val="24"/>
        </w:rPr>
      </w:pPr>
    </w:p>
    <w:p w:rsidR="00764FFF" w:rsidRDefault="00764FFF" w:rsidP="00764FFF">
      <w:pPr>
        <w:spacing w:before="120" w:after="0" w:line="276" w:lineRule="auto"/>
        <w:jc w:val="both"/>
        <w:rPr>
          <w:rFonts w:ascii="Times New Roman" w:hAnsi="Times New Roman"/>
          <w:sz w:val="24"/>
          <w:szCs w:val="24"/>
        </w:rPr>
      </w:pPr>
    </w:p>
    <w:p w:rsidR="00764FFF" w:rsidRDefault="00764FFF" w:rsidP="00764FFF">
      <w:pPr>
        <w:spacing w:before="120" w:after="0" w:line="276" w:lineRule="auto"/>
        <w:jc w:val="both"/>
        <w:rPr>
          <w:rFonts w:ascii="Times New Roman" w:hAnsi="Times New Roman"/>
          <w:sz w:val="24"/>
          <w:szCs w:val="24"/>
        </w:rPr>
      </w:pPr>
    </w:p>
    <w:p w:rsidR="00074867" w:rsidRDefault="00074867" w:rsidP="00764FFF">
      <w:pPr>
        <w:spacing w:before="120" w:after="0" w:line="276" w:lineRule="auto"/>
        <w:jc w:val="both"/>
        <w:rPr>
          <w:rFonts w:ascii="Times New Roman" w:hAnsi="Times New Roman"/>
          <w:sz w:val="24"/>
          <w:szCs w:val="24"/>
        </w:rPr>
      </w:pPr>
    </w:p>
    <w:p w:rsidR="00074867" w:rsidRDefault="00074867" w:rsidP="00764FFF">
      <w:pPr>
        <w:spacing w:before="120" w:after="0" w:line="276" w:lineRule="auto"/>
        <w:jc w:val="both"/>
        <w:rPr>
          <w:rFonts w:ascii="Times New Roman" w:hAnsi="Times New Roman"/>
          <w:sz w:val="24"/>
          <w:szCs w:val="24"/>
        </w:rPr>
      </w:pPr>
    </w:p>
    <w:p w:rsidR="00074867" w:rsidRDefault="00074867" w:rsidP="00764FFF">
      <w:pPr>
        <w:spacing w:before="120" w:after="0" w:line="276" w:lineRule="auto"/>
        <w:jc w:val="both"/>
        <w:rPr>
          <w:rFonts w:ascii="Times New Roman" w:hAnsi="Times New Roman"/>
          <w:sz w:val="24"/>
          <w:szCs w:val="24"/>
        </w:rPr>
      </w:pPr>
    </w:p>
    <w:p w:rsidR="00764FFF" w:rsidRDefault="00764FFF" w:rsidP="00764FFF">
      <w:pPr>
        <w:spacing w:before="120" w:after="0" w:line="276" w:lineRule="auto"/>
        <w:jc w:val="both"/>
        <w:rPr>
          <w:rFonts w:ascii="Times New Roman" w:hAnsi="Times New Roman"/>
          <w:sz w:val="24"/>
          <w:szCs w:val="24"/>
        </w:rPr>
      </w:pPr>
    </w:p>
    <w:p w:rsidR="00764FFF" w:rsidRDefault="00764FFF" w:rsidP="00764FFF">
      <w:pPr>
        <w:spacing w:before="120" w:after="0" w:line="276" w:lineRule="auto"/>
        <w:jc w:val="both"/>
        <w:rPr>
          <w:rFonts w:ascii="Times New Roman" w:hAnsi="Times New Roman"/>
          <w:sz w:val="24"/>
          <w:szCs w:val="24"/>
        </w:rPr>
      </w:pPr>
    </w:p>
    <w:p w:rsidR="00764FFF" w:rsidRDefault="00764FFF" w:rsidP="00764FFF">
      <w:pPr>
        <w:spacing w:before="120" w:after="0" w:line="276" w:lineRule="auto"/>
        <w:jc w:val="both"/>
        <w:rPr>
          <w:rFonts w:ascii="Times New Roman" w:hAnsi="Times New Roman"/>
          <w:sz w:val="24"/>
          <w:szCs w:val="24"/>
        </w:rPr>
      </w:pPr>
    </w:p>
    <w:p w:rsidR="00764FFF" w:rsidRPr="003E743A" w:rsidRDefault="00764FFF" w:rsidP="00764FFF">
      <w:pPr>
        <w:spacing w:before="120" w:after="0" w:line="276" w:lineRule="auto"/>
        <w:jc w:val="both"/>
        <w:rPr>
          <w:rFonts w:ascii="Times New Roman" w:hAnsi="Times New Roman"/>
          <w:sz w:val="24"/>
          <w:szCs w:val="24"/>
        </w:rPr>
      </w:pPr>
    </w:p>
    <w:p w:rsidR="00764FFF" w:rsidRPr="00284A4E" w:rsidRDefault="00764FFF" w:rsidP="000D0E23">
      <w:pPr>
        <w:pStyle w:val="Cabealho2"/>
        <w:shd w:val="clear" w:color="auto" w:fill="5B9BD5" w:themeFill="accent1"/>
        <w:jc w:val="center"/>
        <w:rPr>
          <w:color w:val="000000"/>
          <w:sz w:val="28"/>
          <w:szCs w:val="28"/>
        </w:rPr>
      </w:pPr>
      <w:bookmarkStart w:id="741" w:name="_Toc535396975"/>
      <w:bookmarkStart w:id="742" w:name="_Toc2761905"/>
      <w:bookmarkStart w:id="743" w:name="_Toc2772161"/>
      <w:bookmarkStart w:id="744" w:name="_Toc2772610"/>
      <w:bookmarkStart w:id="745" w:name="_Toc2772797"/>
      <w:bookmarkStart w:id="746" w:name="_Toc11158417"/>
      <w:bookmarkStart w:id="747" w:name="_Toc51072637"/>
      <w:r w:rsidRPr="00284A4E">
        <w:rPr>
          <w:color w:val="000000"/>
          <w:sz w:val="28"/>
          <w:szCs w:val="28"/>
        </w:rPr>
        <w:lastRenderedPageBreak/>
        <w:t>REFERENCES BIBLIOGRAPHIQUES</w:t>
      </w:r>
      <w:bookmarkEnd w:id="741"/>
      <w:bookmarkEnd w:id="742"/>
      <w:bookmarkEnd w:id="743"/>
      <w:bookmarkEnd w:id="744"/>
      <w:bookmarkEnd w:id="745"/>
      <w:bookmarkEnd w:id="746"/>
      <w:bookmarkEnd w:id="747"/>
    </w:p>
    <w:p w:rsidR="00074867" w:rsidRPr="00074867" w:rsidRDefault="00074867" w:rsidP="00FA3FAE">
      <w:pPr>
        <w:pStyle w:val="PargrafodaLista"/>
        <w:numPr>
          <w:ilvl w:val="0"/>
          <w:numId w:val="33"/>
        </w:numPr>
        <w:spacing w:after="0" w:line="240" w:lineRule="auto"/>
        <w:jc w:val="both"/>
        <w:rPr>
          <w:rFonts w:ascii="Times New Roman" w:hAnsi="Times New Roman"/>
          <w:i/>
          <w:sz w:val="24"/>
          <w:szCs w:val="24"/>
          <w:lang w:val="fr-FR"/>
        </w:rPr>
      </w:pPr>
      <w:r w:rsidRPr="00074867">
        <w:rPr>
          <w:rFonts w:ascii="Times New Roman" w:hAnsi="Times New Roman"/>
          <w:i/>
          <w:sz w:val="24"/>
          <w:szCs w:val="24"/>
          <w:lang w:val="fr-FR"/>
        </w:rPr>
        <w:t>RAPPORT D’AVANT PROJET SOMMAIRE DU PUASEE-FA ,2019</w:t>
      </w:r>
    </w:p>
    <w:p w:rsidR="00074867" w:rsidRPr="00074867" w:rsidRDefault="00074867" w:rsidP="00FA3FAE">
      <w:pPr>
        <w:pStyle w:val="PargrafodaLista"/>
        <w:numPr>
          <w:ilvl w:val="0"/>
          <w:numId w:val="33"/>
        </w:numPr>
        <w:spacing w:after="0" w:line="240" w:lineRule="auto"/>
        <w:jc w:val="both"/>
        <w:rPr>
          <w:rFonts w:ascii="Times New Roman" w:hAnsi="Times New Roman"/>
          <w:i/>
          <w:sz w:val="24"/>
          <w:szCs w:val="24"/>
          <w:lang w:val="fr-FR"/>
        </w:rPr>
      </w:pPr>
      <w:r w:rsidRPr="00074867">
        <w:rPr>
          <w:rFonts w:ascii="Times New Roman" w:hAnsi="Times New Roman"/>
          <w:i/>
          <w:sz w:val="24"/>
          <w:szCs w:val="24"/>
          <w:lang w:val="fr-FR"/>
        </w:rPr>
        <w:t>ACTUALISATION DU CADRE DE GESTION ENVIRONNEMENTALE ET SOCIALE DU PROJET D’URGENCE D’AMELIORATION DES SERVICES DE L’EAU ET DE L’ELECTRICITE.2016</w:t>
      </w:r>
    </w:p>
    <w:p w:rsidR="00074867" w:rsidRPr="00074867" w:rsidRDefault="00074867" w:rsidP="00FA3FAE">
      <w:pPr>
        <w:pStyle w:val="PargrafodaLista"/>
        <w:numPr>
          <w:ilvl w:val="0"/>
          <w:numId w:val="33"/>
        </w:numPr>
        <w:spacing w:after="0" w:line="240" w:lineRule="auto"/>
        <w:jc w:val="both"/>
        <w:rPr>
          <w:rFonts w:ascii="Times New Roman" w:hAnsi="Times New Roman"/>
          <w:i/>
          <w:sz w:val="24"/>
          <w:szCs w:val="24"/>
          <w:lang w:val="fr-FR"/>
        </w:rPr>
      </w:pPr>
      <w:r w:rsidRPr="00074867">
        <w:rPr>
          <w:rFonts w:ascii="Times New Roman" w:hAnsi="Times New Roman"/>
          <w:i/>
          <w:color w:val="000000"/>
          <w:sz w:val="24"/>
          <w:szCs w:val="24"/>
          <w:lang w:val="fr-FR"/>
        </w:rPr>
        <w:t>Loi de base n°1/2011</w:t>
      </w:r>
      <w:r w:rsidRPr="00074867">
        <w:rPr>
          <w:rFonts w:ascii="Times New Roman" w:hAnsi="Times New Roman"/>
          <w:i/>
          <w:sz w:val="24"/>
          <w:szCs w:val="24"/>
          <w:lang w:val="fr-FR"/>
        </w:rPr>
        <w:t xml:space="preserve"> en Guinée Bissau</w:t>
      </w:r>
      <w:r w:rsidRPr="00074867">
        <w:rPr>
          <w:rFonts w:ascii="Times New Roman" w:hAnsi="Times New Roman"/>
          <w:bCs/>
          <w:i/>
          <w:color w:val="000000"/>
          <w:sz w:val="24"/>
          <w:szCs w:val="24"/>
          <w:lang w:val="fr-FR"/>
        </w:rPr>
        <w:t xml:space="preserve"> </w:t>
      </w:r>
    </w:p>
    <w:p w:rsidR="00764FFF" w:rsidRPr="00074867" w:rsidRDefault="00764FFF" w:rsidP="00FA3FAE">
      <w:pPr>
        <w:pStyle w:val="PargrafodaLista"/>
        <w:numPr>
          <w:ilvl w:val="0"/>
          <w:numId w:val="33"/>
        </w:numPr>
        <w:spacing w:after="0" w:line="240" w:lineRule="auto"/>
        <w:jc w:val="both"/>
        <w:rPr>
          <w:rFonts w:ascii="Times New Roman" w:hAnsi="Times New Roman"/>
          <w:i/>
          <w:sz w:val="24"/>
          <w:szCs w:val="24"/>
          <w:lang w:val="fr-FR"/>
        </w:rPr>
      </w:pPr>
      <w:r w:rsidRPr="00074867">
        <w:rPr>
          <w:rFonts w:ascii="Times New Roman" w:hAnsi="Times New Roman"/>
          <w:bCs/>
          <w:i/>
          <w:color w:val="000000"/>
          <w:sz w:val="24"/>
          <w:szCs w:val="24"/>
          <w:lang w:val="fr-FR"/>
        </w:rPr>
        <w:t xml:space="preserve">Le Décret 14/2011 du 22 février sur les forêts </w:t>
      </w:r>
      <w:r w:rsidRPr="00074867">
        <w:rPr>
          <w:rFonts w:ascii="Times New Roman" w:hAnsi="Times New Roman"/>
          <w:i/>
          <w:sz w:val="24"/>
          <w:szCs w:val="24"/>
          <w:lang w:val="fr-FR"/>
        </w:rPr>
        <w:t>en Guinée Bissau</w:t>
      </w:r>
    </w:p>
    <w:p w:rsidR="00764FFF" w:rsidRPr="00074867" w:rsidRDefault="00764FFF" w:rsidP="00FA3FAE">
      <w:pPr>
        <w:pStyle w:val="PargrafodaLista"/>
        <w:numPr>
          <w:ilvl w:val="0"/>
          <w:numId w:val="33"/>
        </w:numPr>
        <w:spacing w:after="0" w:line="240" w:lineRule="auto"/>
        <w:jc w:val="both"/>
        <w:rPr>
          <w:rFonts w:ascii="Times New Roman" w:hAnsi="Times New Roman"/>
          <w:i/>
          <w:color w:val="000000"/>
          <w:sz w:val="24"/>
          <w:szCs w:val="24"/>
          <w:lang w:val="fr-FR"/>
        </w:rPr>
      </w:pPr>
      <w:r w:rsidRPr="00074867">
        <w:rPr>
          <w:rFonts w:ascii="Times New Roman" w:hAnsi="Times New Roman"/>
          <w:bCs/>
          <w:i/>
          <w:color w:val="000000"/>
          <w:sz w:val="24"/>
          <w:szCs w:val="24"/>
          <w:lang w:val="fr-FR"/>
        </w:rPr>
        <w:t>Loi n° 2/98 portant sur le foncier</w:t>
      </w:r>
      <w:r w:rsidRPr="00074867">
        <w:rPr>
          <w:rFonts w:ascii="Times New Roman" w:hAnsi="Times New Roman"/>
          <w:i/>
          <w:sz w:val="24"/>
          <w:szCs w:val="24"/>
          <w:lang w:val="fr-FR"/>
        </w:rPr>
        <w:t xml:space="preserve"> en Guinée Bissau</w:t>
      </w:r>
    </w:p>
    <w:p w:rsidR="00764FFF" w:rsidRPr="00074867" w:rsidRDefault="00764FFF" w:rsidP="00FA3FAE">
      <w:pPr>
        <w:pStyle w:val="PargrafodaLista"/>
        <w:numPr>
          <w:ilvl w:val="0"/>
          <w:numId w:val="33"/>
        </w:numPr>
        <w:spacing w:after="0" w:line="240" w:lineRule="auto"/>
        <w:jc w:val="both"/>
        <w:rPr>
          <w:rFonts w:ascii="Times New Roman" w:hAnsi="Times New Roman"/>
          <w:i/>
          <w:color w:val="000000"/>
          <w:sz w:val="24"/>
          <w:szCs w:val="24"/>
          <w:lang w:val="fr-FR"/>
        </w:rPr>
      </w:pPr>
      <w:r w:rsidRPr="00074867">
        <w:rPr>
          <w:rFonts w:ascii="Times New Roman" w:hAnsi="Times New Roman"/>
          <w:bCs/>
          <w:i/>
          <w:color w:val="000000"/>
          <w:sz w:val="24"/>
          <w:szCs w:val="24"/>
          <w:lang w:val="fr-FR"/>
        </w:rPr>
        <w:t>La Loi n°10/2010 du 24 septembre 2010 sur l’évaluation environnementale</w:t>
      </w:r>
    </w:p>
    <w:p w:rsidR="00764FFF" w:rsidRPr="00074867" w:rsidRDefault="00764FFF" w:rsidP="00FA3FAE">
      <w:pPr>
        <w:pStyle w:val="PargrafodaLista"/>
        <w:numPr>
          <w:ilvl w:val="0"/>
          <w:numId w:val="33"/>
        </w:numPr>
        <w:spacing w:after="0" w:line="240" w:lineRule="auto"/>
        <w:jc w:val="both"/>
        <w:rPr>
          <w:rFonts w:ascii="Times New Roman" w:hAnsi="Times New Roman"/>
          <w:i/>
          <w:sz w:val="24"/>
          <w:szCs w:val="24"/>
        </w:rPr>
      </w:pPr>
      <w:r w:rsidRPr="00074867">
        <w:rPr>
          <w:rFonts w:ascii="Times New Roman" w:hAnsi="Times New Roman"/>
          <w:i/>
          <w:color w:val="000000"/>
          <w:sz w:val="24"/>
          <w:szCs w:val="24"/>
        </w:rPr>
        <w:t xml:space="preserve"> </w:t>
      </w:r>
      <w:r w:rsidRPr="00074867">
        <w:rPr>
          <w:rFonts w:ascii="Times New Roman" w:hAnsi="Times New Roman"/>
          <w:i/>
          <w:sz w:val="24"/>
          <w:szCs w:val="24"/>
        </w:rPr>
        <w:t>Loi de base sur l’environnement en Guinée Bissau</w:t>
      </w:r>
    </w:p>
    <w:p w:rsidR="00764FFF" w:rsidRPr="00074867" w:rsidRDefault="00764FFF" w:rsidP="00764FFF">
      <w:pPr>
        <w:spacing w:after="0" w:line="240" w:lineRule="auto"/>
        <w:ind w:left="360"/>
        <w:jc w:val="both"/>
        <w:rPr>
          <w:rFonts w:ascii="Times New Roman" w:hAnsi="Times New Roman"/>
          <w:bCs/>
          <w:i/>
          <w:color w:val="000000"/>
        </w:rPr>
      </w:pPr>
      <w:r w:rsidRPr="00074867">
        <w:rPr>
          <w:rFonts w:ascii="Times New Roman" w:hAnsi="Times New Roman"/>
          <w:bCs/>
          <w:i/>
          <w:color w:val="000000"/>
        </w:rPr>
        <w:t xml:space="preserve">       Politique de sauvegarde de la banque mondiale  </w:t>
      </w:r>
    </w:p>
    <w:p w:rsidR="00764FFF" w:rsidRPr="00074867" w:rsidRDefault="00764FFF" w:rsidP="00764FFF">
      <w:pPr>
        <w:spacing w:after="0" w:line="240" w:lineRule="auto"/>
        <w:jc w:val="both"/>
        <w:rPr>
          <w:rFonts w:ascii="Times New Roman" w:hAnsi="Times New Roman"/>
          <w:i/>
          <w:color w:val="000000"/>
        </w:rPr>
      </w:pPr>
      <w:r w:rsidRPr="00074867">
        <w:rPr>
          <w:rFonts w:ascii="Times New Roman" w:hAnsi="Times New Roman"/>
          <w:bCs/>
          <w:i/>
          <w:color w:val="000000"/>
        </w:rPr>
        <w:t xml:space="preserve">             Politique de Sauvegarde 4.01 : Évaluation environnementale</w:t>
      </w:r>
    </w:p>
    <w:p w:rsidR="00764FFF" w:rsidRPr="00074867" w:rsidRDefault="00764FFF" w:rsidP="00764FFF">
      <w:pPr>
        <w:autoSpaceDE w:val="0"/>
        <w:autoSpaceDN w:val="0"/>
        <w:adjustRightInd w:val="0"/>
        <w:spacing w:after="0" w:line="240" w:lineRule="auto"/>
        <w:jc w:val="both"/>
        <w:rPr>
          <w:rFonts w:ascii="Times New Roman" w:hAnsi="Times New Roman"/>
          <w:i/>
          <w:color w:val="000000"/>
        </w:rPr>
      </w:pPr>
      <w:r w:rsidRPr="00074867">
        <w:rPr>
          <w:rFonts w:ascii="Times New Roman" w:hAnsi="Times New Roman"/>
          <w:bCs/>
          <w:i/>
          <w:color w:val="000000"/>
        </w:rPr>
        <w:t xml:space="preserve">             Politique de Sauvegarde 4.04 : Habitats Naturels</w:t>
      </w:r>
    </w:p>
    <w:p w:rsidR="00764FFF" w:rsidRPr="00074867" w:rsidRDefault="00764FFF" w:rsidP="00764FFF">
      <w:pPr>
        <w:autoSpaceDE w:val="0"/>
        <w:autoSpaceDN w:val="0"/>
        <w:adjustRightInd w:val="0"/>
        <w:spacing w:after="0" w:line="240" w:lineRule="auto"/>
        <w:jc w:val="both"/>
        <w:rPr>
          <w:rFonts w:ascii="Times New Roman" w:hAnsi="Times New Roman"/>
          <w:i/>
          <w:color w:val="000000"/>
        </w:rPr>
      </w:pPr>
      <w:r w:rsidRPr="00074867">
        <w:rPr>
          <w:rFonts w:ascii="Times New Roman" w:hAnsi="Times New Roman"/>
          <w:bCs/>
          <w:i/>
          <w:color w:val="000000"/>
        </w:rPr>
        <w:t xml:space="preserve">             Politique de Sauvegarde 4.11 : Ressources culturelles physiques</w:t>
      </w:r>
    </w:p>
    <w:p w:rsidR="00764FFF" w:rsidRPr="00074867" w:rsidRDefault="00764FFF" w:rsidP="00764FFF">
      <w:pPr>
        <w:autoSpaceDE w:val="0"/>
        <w:autoSpaceDN w:val="0"/>
        <w:adjustRightInd w:val="0"/>
        <w:spacing w:after="0" w:line="240" w:lineRule="auto"/>
        <w:jc w:val="both"/>
        <w:rPr>
          <w:rFonts w:ascii="Times New Roman" w:hAnsi="Times New Roman"/>
          <w:bCs/>
          <w:i/>
          <w:color w:val="000000"/>
        </w:rPr>
      </w:pPr>
      <w:r w:rsidRPr="00074867">
        <w:rPr>
          <w:rFonts w:ascii="Times New Roman" w:hAnsi="Times New Roman"/>
          <w:bCs/>
          <w:i/>
          <w:color w:val="000000"/>
        </w:rPr>
        <w:t xml:space="preserve">             Politique de Sauvegarde 4.12 : Déplacement et réinstallation de populations </w:t>
      </w:r>
    </w:p>
    <w:p w:rsidR="00764FFF" w:rsidRPr="00074867" w:rsidRDefault="00764FFF" w:rsidP="00FA3FAE">
      <w:pPr>
        <w:pStyle w:val="PargrafodaLista"/>
        <w:numPr>
          <w:ilvl w:val="0"/>
          <w:numId w:val="35"/>
        </w:numPr>
        <w:spacing w:line="240" w:lineRule="auto"/>
        <w:jc w:val="both"/>
        <w:rPr>
          <w:rFonts w:ascii="Times New Roman" w:hAnsi="Times New Roman"/>
          <w:i/>
          <w:sz w:val="24"/>
          <w:szCs w:val="24"/>
          <w:lang w:val="fr-FR"/>
        </w:rPr>
      </w:pPr>
      <w:r w:rsidRPr="00074867">
        <w:rPr>
          <w:rFonts w:ascii="Times New Roman" w:hAnsi="Times New Roman"/>
          <w:i/>
          <w:color w:val="000000"/>
          <w:sz w:val="24"/>
          <w:szCs w:val="24"/>
          <w:lang w:val="fr-FR"/>
        </w:rPr>
        <w:t>Le décret n°15/2010 en</w:t>
      </w:r>
      <w:r w:rsidRPr="00074867">
        <w:rPr>
          <w:rFonts w:ascii="Times New Roman" w:hAnsi="Times New Roman"/>
          <w:i/>
          <w:sz w:val="24"/>
          <w:szCs w:val="24"/>
          <w:lang w:val="fr-FR"/>
        </w:rPr>
        <w:t xml:space="preserve"> Guinée Bissau</w:t>
      </w:r>
    </w:p>
    <w:p w:rsidR="00764FFF" w:rsidRPr="00074867" w:rsidRDefault="00764FFF" w:rsidP="00FA3FAE">
      <w:pPr>
        <w:pStyle w:val="PargrafodaLista"/>
        <w:numPr>
          <w:ilvl w:val="0"/>
          <w:numId w:val="34"/>
        </w:numPr>
        <w:spacing w:line="240" w:lineRule="auto"/>
        <w:jc w:val="both"/>
        <w:rPr>
          <w:rFonts w:ascii="Times New Roman" w:hAnsi="Times New Roman"/>
          <w:i/>
          <w:sz w:val="24"/>
          <w:szCs w:val="24"/>
          <w:lang w:val="fr-FR"/>
        </w:rPr>
      </w:pPr>
      <w:r w:rsidRPr="00074867">
        <w:rPr>
          <w:rFonts w:ascii="Times New Roman" w:hAnsi="Times New Roman"/>
          <w:i/>
          <w:color w:val="000000"/>
          <w:sz w:val="24"/>
          <w:szCs w:val="24"/>
          <w:lang w:val="fr-FR"/>
        </w:rPr>
        <w:t>Le décret d’application n° 7/2012 en</w:t>
      </w:r>
      <w:r w:rsidRPr="00074867">
        <w:rPr>
          <w:rFonts w:ascii="Times New Roman" w:hAnsi="Times New Roman"/>
          <w:i/>
          <w:sz w:val="24"/>
          <w:szCs w:val="24"/>
          <w:lang w:val="fr-FR"/>
        </w:rPr>
        <w:t xml:space="preserve"> Guinée Bissau</w:t>
      </w:r>
    </w:p>
    <w:p w:rsidR="00764FFF" w:rsidRPr="00074867" w:rsidRDefault="00764FFF" w:rsidP="00FA3FAE">
      <w:pPr>
        <w:pStyle w:val="PargrafodaLista"/>
        <w:numPr>
          <w:ilvl w:val="0"/>
          <w:numId w:val="34"/>
        </w:numPr>
        <w:spacing w:after="0" w:line="240" w:lineRule="auto"/>
        <w:jc w:val="both"/>
        <w:rPr>
          <w:rFonts w:ascii="Times New Roman" w:hAnsi="Times New Roman"/>
          <w:i/>
          <w:sz w:val="24"/>
          <w:szCs w:val="24"/>
          <w:lang w:val="fr-FR"/>
        </w:rPr>
      </w:pPr>
      <w:r w:rsidRPr="00074867">
        <w:rPr>
          <w:rFonts w:ascii="Times New Roman" w:hAnsi="Times New Roman"/>
          <w:i/>
          <w:color w:val="000000"/>
          <w:sz w:val="24"/>
          <w:szCs w:val="24"/>
          <w:lang w:val="fr-FR"/>
        </w:rPr>
        <w:t>Le décret n°13/2010 en</w:t>
      </w:r>
      <w:r w:rsidRPr="00074867">
        <w:rPr>
          <w:rFonts w:ascii="Times New Roman" w:hAnsi="Times New Roman"/>
          <w:i/>
          <w:sz w:val="24"/>
          <w:szCs w:val="24"/>
          <w:lang w:val="fr-FR"/>
        </w:rPr>
        <w:t xml:space="preserve"> Guinée Bissau</w:t>
      </w:r>
    </w:p>
    <w:p w:rsidR="00764FFF" w:rsidRPr="00074867" w:rsidRDefault="00764FFF" w:rsidP="00FA3FAE">
      <w:pPr>
        <w:pStyle w:val="PargrafodaLista"/>
        <w:numPr>
          <w:ilvl w:val="0"/>
          <w:numId w:val="34"/>
        </w:numPr>
        <w:spacing w:after="0" w:line="240" w:lineRule="auto"/>
        <w:jc w:val="both"/>
        <w:rPr>
          <w:rFonts w:ascii="Times New Roman" w:hAnsi="Times New Roman"/>
          <w:i/>
          <w:sz w:val="24"/>
          <w:szCs w:val="24"/>
          <w:lang w:val="fr-FR"/>
        </w:rPr>
      </w:pPr>
      <w:r w:rsidRPr="00074867">
        <w:rPr>
          <w:rFonts w:ascii="Times New Roman" w:hAnsi="Times New Roman"/>
          <w:i/>
          <w:color w:val="000000"/>
          <w:sz w:val="24"/>
          <w:szCs w:val="24"/>
          <w:lang w:val="fr-FR"/>
        </w:rPr>
        <w:t>Le décret n°14/2010 en</w:t>
      </w:r>
      <w:r w:rsidRPr="00074867">
        <w:rPr>
          <w:rFonts w:ascii="Times New Roman" w:hAnsi="Times New Roman"/>
          <w:i/>
          <w:sz w:val="24"/>
          <w:szCs w:val="24"/>
          <w:lang w:val="fr-FR"/>
        </w:rPr>
        <w:t xml:space="preserve"> Guinée Bissau</w:t>
      </w:r>
    </w:p>
    <w:p w:rsidR="00764FFF" w:rsidRPr="00074867" w:rsidRDefault="00764FFF" w:rsidP="00FA3FAE">
      <w:pPr>
        <w:pStyle w:val="PargrafodaLista"/>
        <w:numPr>
          <w:ilvl w:val="0"/>
          <w:numId w:val="34"/>
        </w:numPr>
        <w:spacing w:after="0"/>
        <w:jc w:val="both"/>
        <w:rPr>
          <w:rFonts w:ascii="Times New Roman" w:hAnsi="Times New Roman"/>
          <w:i/>
          <w:sz w:val="24"/>
          <w:szCs w:val="24"/>
          <w:lang w:val="fr-FR"/>
        </w:rPr>
      </w:pPr>
      <w:r w:rsidRPr="00074867">
        <w:rPr>
          <w:rFonts w:ascii="Times New Roman" w:hAnsi="Times New Roman"/>
          <w:i/>
          <w:sz w:val="24"/>
          <w:szCs w:val="24"/>
          <w:lang w:val="fr-FR"/>
        </w:rPr>
        <w:t>Rapport sur la mise en œuvre de la stratégie nationale et le plan d’action sur la diversité biologique en guinée Bissau, 2016</w:t>
      </w:r>
    </w:p>
    <w:p w:rsidR="00764FFF" w:rsidRPr="00074867" w:rsidRDefault="00764FFF" w:rsidP="00FA3FAE">
      <w:pPr>
        <w:pStyle w:val="PargrafodaLista"/>
        <w:numPr>
          <w:ilvl w:val="0"/>
          <w:numId w:val="34"/>
        </w:numPr>
        <w:jc w:val="both"/>
        <w:rPr>
          <w:rFonts w:ascii="Times New Roman" w:hAnsi="Times New Roman"/>
          <w:i/>
          <w:sz w:val="24"/>
          <w:szCs w:val="24"/>
          <w:lang w:val="fr-FR"/>
        </w:rPr>
      </w:pPr>
      <w:r w:rsidRPr="00074867">
        <w:rPr>
          <w:rFonts w:ascii="Times New Roman" w:hAnsi="Times New Roman"/>
          <w:i/>
          <w:sz w:val="24"/>
          <w:szCs w:val="24"/>
          <w:lang w:val="fr-FR"/>
        </w:rPr>
        <w:t xml:space="preserve">Programme d’action nationale d’adaptation aux changements climatiques en Guinée Bissau, 2010, </w:t>
      </w:r>
      <w:r w:rsidRPr="00074867">
        <w:rPr>
          <w:rFonts w:ascii="Times New Roman" w:hAnsi="Times New Roman"/>
          <w:b/>
          <w:i/>
          <w:sz w:val="16"/>
          <w:szCs w:val="16"/>
          <w:lang w:val="fr-FR"/>
        </w:rPr>
        <w:t>MINISTERE DES RESSOURCES NATURELLES ET DE L</w:t>
      </w:r>
      <w:r w:rsidRPr="00074867">
        <w:rPr>
          <w:rFonts w:ascii="Times New Roman" w:eastAsia="SimHei" w:hAnsi="Times New Roman"/>
          <w:b/>
          <w:i/>
          <w:sz w:val="16"/>
          <w:szCs w:val="16"/>
          <w:lang w:val="fr-FR"/>
        </w:rPr>
        <w:t>'</w:t>
      </w:r>
      <w:r w:rsidRPr="00074867">
        <w:rPr>
          <w:rFonts w:ascii="Times New Roman" w:hAnsi="Times New Roman"/>
          <w:b/>
          <w:i/>
          <w:sz w:val="16"/>
          <w:szCs w:val="16"/>
          <w:lang w:val="fr-FR"/>
        </w:rPr>
        <w:t>ENVIRONNEMENTGOUVERNEMENT DE LA GUINEE-BISSAU</w:t>
      </w:r>
    </w:p>
    <w:p w:rsidR="00764FFF" w:rsidRPr="00074867" w:rsidRDefault="00764FFF" w:rsidP="00FA3FAE">
      <w:pPr>
        <w:pStyle w:val="PargrafodaLista"/>
        <w:numPr>
          <w:ilvl w:val="0"/>
          <w:numId w:val="34"/>
        </w:numPr>
        <w:jc w:val="both"/>
        <w:rPr>
          <w:rFonts w:ascii="Times New Roman" w:hAnsi="Times New Roman"/>
          <w:i/>
          <w:sz w:val="24"/>
          <w:szCs w:val="24"/>
          <w:lang w:val="fr-FR"/>
        </w:rPr>
      </w:pPr>
      <w:r w:rsidRPr="00074867">
        <w:rPr>
          <w:rFonts w:ascii="Times New Roman" w:hAnsi="Times New Roman"/>
          <w:i/>
          <w:sz w:val="24"/>
          <w:szCs w:val="24"/>
          <w:lang w:val="fr-FR"/>
        </w:rPr>
        <w:t xml:space="preserve">Cadre de gestion environnementale et sociale de la Guinée Bissau </w:t>
      </w:r>
      <w:r w:rsidRPr="00074867">
        <w:rPr>
          <w:rFonts w:ascii="Times New Roman" w:hAnsi="Times New Roman"/>
          <w:i/>
          <w:color w:val="000000"/>
          <w:sz w:val="24"/>
          <w:szCs w:val="24"/>
          <w:lang w:val="fr-FR"/>
        </w:rPr>
        <w:t>2016 - 2017</w:t>
      </w:r>
    </w:p>
    <w:p w:rsidR="00764FFF" w:rsidRPr="00074867" w:rsidRDefault="00764FFF" w:rsidP="00FA3FAE">
      <w:pPr>
        <w:pStyle w:val="PargrafodaLista"/>
        <w:numPr>
          <w:ilvl w:val="0"/>
          <w:numId w:val="34"/>
        </w:numPr>
        <w:spacing w:after="0" w:line="240" w:lineRule="auto"/>
        <w:jc w:val="both"/>
        <w:rPr>
          <w:rFonts w:ascii="Times New Roman" w:hAnsi="Times New Roman"/>
          <w:i/>
          <w:color w:val="000000"/>
          <w:sz w:val="24"/>
          <w:szCs w:val="24"/>
          <w:lang w:val="fr-FR"/>
        </w:rPr>
      </w:pPr>
      <w:r w:rsidRPr="00074867">
        <w:rPr>
          <w:rFonts w:ascii="Times New Roman" w:hAnsi="Times New Roman"/>
          <w:i/>
          <w:sz w:val="24"/>
          <w:szCs w:val="24"/>
          <w:lang w:val="fr-FR"/>
        </w:rPr>
        <w:t xml:space="preserve">Procédure de gestion administrative des évaluations environnementales en Guinée </w:t>
      </w:r>
      <w:r w:rsidRPr="00074867">
        <w:rPr>
          <w:rFonts w:ascii="Times New Roman" w:hAnsi="Times New Roman"/>
          <w:i/>
          <w:color w:val="000000"/>
          <w:sz w:val="24"/>
          <w:szCs w:val="24"/>
          <w:lang w:val="fr-FR"/>
        </w:rPr>
        <w:t>Bissau 06 Aout 2009</w:t>
      </w:r>
    </w:p>
    <w:p w:rsidR="00764FFF" w:rsidRPr="00074867" w:rsidRDefault="00764FFF" w:rsidP="00FA3FAE">
      <w:pPr>
        <w:pStyle w:val="PargrafodaLista"/>
        <w:numPr>
          <w:ilvl w:val="0"/>
          <w:numId w:val="34"/>
        </w:numPr>
        <w:spacing w:after="0" w:line="240" w:lineRule="auto"/>
        <w:jc w:val="both"/>
        <w:rPr>
          <w:rFonts w:ascii="Times New Roman" w:hAnsi="Times New Roman"/>
          <w:i/>
          <w:sz w:val="24"/>
          <w:szCs w:val="24"/>
          <w:lang w:val="fr-FR"/>
        </w:rPr>
      </w:pPr>
      <w:r w:rsidRPr="00074867">
        <w:rPr>
          <w:rFonts w:ascii="Times New Roman" w:hAnsi="Times New Roman"/>
          <w:i/>
          <w:sz w:val="24"/>
          <w:szCs w:val="24"/>
          <w:lang w:val="fr-FR"/>
        </w:rPr>
        <w:t xml:space="preserve">Document de politique de développement forestière </w:t>
      </w:r>
      <w:r w:rsidRPr="00074867">
        <w:rPr>
          <w:rFonts w:ascii="Times New Roman" w:hAnsi="Times New Roman"/>
          <w:i/>
          <w:color w:val="000000"/>
          <w:sz w:val="24"/>
          <w:szCs w:val="24"/>
          <w:lang w:val="fr-FR"/>
        </w:rPr>
        <w:t>Aout 2012</w:t>
      </w:r>
    </w:p>
    <w:p w:rsidR="00764FFF" w:rsidRPr="00074867" w:rsidRDefault="00764FFF" w:rsidP="00FA3FAE">
      <w:pPr>
        <w:pStyle w:val="PargrafodaLista"/>
        <w:numPr>
          <w:ilvl w:val="0"/>
          <w:numId w:val="34"/>
        </w:numPr>
        <w:spacing w:after="0"/>
        <w:jc w:val="both"/>
        <w:rPr>
          <w:rFonts w:ascii="Times New Roman" w:hAnsi="Times New Roman"/>
          <w:color w:val="000000"/>
          <w:sz w:val="24"/>
          <w:szCs w:val="24"/>
          <w:lang w:val="fr-FR"/>
        </w:rPr>
      </w:pPr>
      <w:r w:rsidRPr="00074867">
        <w:rPr>
          <w:rFonts w:ascii="Times New Roman" w:hAnsi="Times New Roman"/>
          <w:i/>
          <w:color w:val="000000"/>
          <w:sz w:val="24"/>
          <w:szCs w:val="24"/>
          <w:lang w:val="fr-FR"/>
        </w:rPr>
        <w:t>Elaboration du profil environnemental de pays – Guinée Bissau</w:t>
      </w:r>
      <w:r w:rsidRPr="00074867">
        <w:rPr>
          <w:rFonts w:ascii="Times New Roman" w:hAnsi="Times New Roman"/>
          <w:color w:val="000000"/>
          <w:sz w:val="24"/>
          <w:szCs w:val="24"/>
          <w:lang w:val="fr-FR"/>
        </w:rPr>
        <w:t xml:space="preserve"> </w:t>
      </w:r>
      <w:r w:rsidRPr="00074867">
        <w:rPr>
          <w:rFonts w:ascii="Times New Roman" w:hAnsi="Times New Roman"/>
          <w:i/>
          <w:color w:val="000000"/>
          <w:sz w:val="24"/>
          <w:szCs w:val="24"/>
          <w:lang w:val="fr-FR"/>
        </w:rPr>
        <w:t>Rapport final 2007</w:t>
      </w:r>
    </w:p>
    <w:p w:rsidR="00764FFF" w:rsidRPr="00074867" w:rsidRDefault="00FD76D7" w:rsidP="00FA3FAE">
      <w:pPr>
        <w:pStyle w:val="PargrafodaLista"/>
        <w:numPr>
          <w:ilvl w:val="0"/>
          <w:numId w:val="34"/>
        </w:numPr>
        <w:spacing w:after="0"/>
        <w:jc w:val="both"/>
        <w:rPr>
          <w:rFonts w:ascii="Times New Roman" w:hAnsi="Times New Roman"/>
          <w:color w:val="000000"/>
          <w:sz w:val="24"/>
          <w:szCs w:val="24"/>
          <w:lang w:val="fr-FR"/>
        </w:rPr>
      </w:pPr>
      <w:r w:rsidRPr="00074867">
        <w:rPr>
          <w:rFonts w:ascii="Times New Roman" w:hAnsi="Times New Roman"/>
          <w:color w:val="000000"/>
          <w:sz w:val="24"/>
          <w:szCs w:val="24"/>
          <w:lang w:val="fr-FR"/>
        </w:rPr>
        <w:t>R</w:t>
      </w:r>
      <w:r w:rsidRPr="00074867">
        <w:rPr>
          <w:rFonts w:ascii="Times New Roman" w:hAnsi="Times New Roman"/>
          <w:color w:val="000000"/>
          <w:sz w:val="24"/>
          <w:szCs w:val="24"/>
        </w:rPr>
        <w:t>apport</w:t>
      </w:r>
      <w:r w:rsidR="00764FFF" w:rsidRPr="00074867">
        <w:rPr>
          <w:rFonts w:ascii="Times New Roman" w:hAnsi="Times New Roman"/>
          <w:color w:val="000000"/>
          <w:sz w:val="24"/>
          <w:szCs w:val="24"/>
        </w:rPr>
        <w:t xml:space="preserve"> sur la  mise  en  œuvre  de  la  strat</w:t>
      </w:r>
      <w:r w:rsidR="00764FFF" w:rsidRPr="00074867">
        <w:rPr>
          <w:rFonts w:ascii="Times New Roman" w:hAnsi="Times New Roman"/>
          <w:color w:val="000000"/>
          <w:sz w:val="24"/>
          <w:szCs w:val="24"/>
          <w:lang w:val="fr-FR"/>
        </w:rPr>
        <w:t>é</w:t>
      </w:r>
      <w:r w:rsidR="00764FFF" w:rsidRPr="00074867">
        <w:rPr>
          <w:rFonts w:ascii="Times New Roman" w:hAnsi="Times New Roman"/>
          <w:color w:val="000000"/>
          <w:sz w:val="24"/>
          <w:szCs w:val="24"/>
        </w:rPr>
        <w:t>gie nationale  et  le  plan  d’action  sur  la  diversit</w:t>
      </w:r>
      <w:r w:rsidR="00764FFF" w:rsidRPr="00074867">
        <w:rPr>
          <w:rFonts w:ascii="Times New Roman" w:hAnsi="Times New Roman"/>
          <w:color w:val="000000"/>
          <w:sz w:val="24"/>
          <w:szCs w:val="24"/>
          <w:lang w:val="fr-FR"/>
        </w:rPr>
        <w:t>é</w:t>
      </w:r>
      <w:r w:rsidR="00764FFF" w:rsidRPr="00074867">
        <w:rPr>
          <w:rFonts w:ascii="Times New Roman" w:hAnsi="Times New Roman"/>
          <w:color w:val="000000"/>
          <w:sz w:val="24"/>
          <w:szCs w:val="24"/>
        </w:rPr>
        <w:t xml:space="preserve"> biologique en guin</w:t>
      </w:r>
      <w:r w:rsidR="00764FFF" w:rsidRPr="00074867">
        <w:rPr>
          <w:rFonts w:ascii="Times New Roman" w:hAnsi="Times New Roman"/>
          <w:color w:val="000000"/>
          <w:sz w:val="24"/>
          <w:szCs w:val="24"/>
          <w:lang w:val="fr-FR"/>
        </w:rPr>
        <w:t>é</w:t>
      </w:r>
      <w:r w:rsidR="00764FFF" w:rsidRPr="00074867">
        <w:rPr>
          <w:rFonts w:ascii="Times New Roman" w:hAnsi="Times New Roman"/>
          <w:color w:val="000000"/>
          <w:sz w:val="24"/>
          <w:szCs w:val="24"/>
        </w:rPr>
        <w:t>e-bissau</w:t>
      </w:r>
      <w:r w:rsidR="00764FFF" w:rsidRPr="00074867">
        <w:rPr>
          <w:rFonts w:ascii="Times New Roman" w:hAnsi="Times New Roman"/>
          <w:color w:val="000000"/>
          <w:sz w:val="24"/>
          <w:szCs w:val="24"/>
          <w:lang w:val="fr-FR"/>
        </w:rPr>
        <w:t xml:space="preserve"> </w:t>
      </w:r>
      <w:r w:rsidR="00764FFF" w:rsidRPr="00074867">
        <w:rPr>
          <w:rFonts w:ascii="Times New Roman" w:hAnsi="Times New Roman"/>
          <w:i/>
          <w:color w:val="000000"/>
          <w:sz w:val="24"/>
          <w:szCs w:val="24"/>
          <w:lang w:val="fr-FR"/>
        </w:rPr>
        <w:t>20 Septembre 2008</w:t>
      </w:r>
    </w:p>
    <w:p w:rsidR="00764FFF" w:rsidRPr="00074867" w:rsidRDefault="00764FFF" w:rsidP="00FA3FAE">
      <w:pPr>
        <w:pStyle w:val="PargrafodaLista"/>
        <w:numPr>
          <w:ilvl w:val="0"/>
          <w:numId w:val="34"/>
        </w:numPr>
        <w:spacing w:after="0"/>
        <w:jc w:val="both"/>
        <w:rPr>
          <w:rFonts w:ascii="Times New Roman" w:hAnsi="Times New Roman"/>
          <w:color w:val="000000"/>
          <w:sz w:val="24"/>
          <w:szCs w:val="24"/>
          <w:lang w:val="pt-PT"/>
        </w:rPr>
      </w:pPr>
      <w:r w:rsidRPr="00074867">
        <w:rPr>
          <w:rFonts w:ascii="Times New Roman" w:hAnsi="Times New Roman"/>
          <w:color w:val="000000"/>
          <w:sz w:val="24"/>
          <w:szCs w:val="24"/>
        </w:rPr>
        <w:t xml:space="preserve">Estratégia nacional para as áreas protegidas e a conservação da biodiversidade na </w:t>
      </w:r>
      <w:r w:rsidRPr="00074867">
        <w:rPr>
          <w:rFonts w:ascii="Times New Roman" w:hAnsi="Times New Roman"/>
          <w:color w:val="000000"/>
          <w:sz w:val="24"/>
          <w:szCs w:val="24"/>
          <w:lang w:val="pt-PT"/>
        </w:rPr>
        <w:t>G</w:t>
      </w:r>
      <w:r w:rsidRPr="00074867">
        <w:rPr>
          <w:rFonts w:ascii="Times New Roman" w:hAnsi="Times New Roman"/>
          <w:color w:val="000000"/>
          <w:sz w:val="24"/>
          <w:szCs w:val="24"/>
        </w:rPr>
        <w:t>uiné-</w:t>
      </w:r>
      <w:r w:rsidRPr="00074867">
        <w:rPr>
          <w:rFonts w:ascii="Times New Roman" w:hAnsi="Times New Roman"/>
          <w:color w:val="000000"/>
          <w:sz w:val="24"/>
          <w:szCs w:val="24"/>
          <w:lang w:val="pt-PT"/>
        </w:rPr>
        <w:t>B</w:t>
      </w:r>
      <w:r w:rsidRPr="00074867">
        <w:rPr>
          <w:rFonts w:ascii="Times New Roman" w:hAnsi="Times New Roman"/>
          <w:color w:val="000000"/>
          <w:sz w:val="24"/>
          <w:szCs w:val="24"/>
        </w:rPr>
        <w:t>issau</w:t>
      </w:r>
      <w:r w:rsidRPr="00074867">
        <w:rPr>
          <w:rFonts w:ascii="Times New Roman" w:hAnsi="Times New Roman"/>
          <w:color w:val="000000"/>
          <w:sz w:val="24"/>
          <w:szCs w:val="24"/>
          <w:lang w:val="pt-PT"/>
        </w:rPr>
        <w:t xml:space="preserve"> </w:t>
      </w:r>
      <w:r w:rsidRPr="00074867">
        <w:rPr>
          <w:rFonts w:ascii="Times New Roman" w:hAnsi="Times New Roman"/>
          <w:color w:val="000000"/>
          <w:sz w:val="24"/>
          <w:szCs w:val="24"/>
        </w:rPr>
        <w:t>2014 – 2020</w:t>
      </w:r>
    </w:p>
    <w:p w:rsidR="00764FFF" w:rsidRPr="00074867" w:rsidRDefault="00764FFF" w:rsidP="00FA3FAE">
      <w:pPr>
        <w:pStyle w:val="PargrafodaLista"/>
        <w:numPr>
          <w:ilvl w:val="0"/>
          <w:numId w:val="34"/>
        </w:numPr>
        <w:spacing w:after="0"/>
        <w:jc w:val="both"/>
        <w:rPr>
          <w:rFonts w:ascii="Times New Roman" w:hAnsi="Times New Roman"/>
          <w:color w:val="000000"/>
          <w:sz w:val="24"/>
          <w:szCs w:val="24"/>
          <w:lang w:val="fr-FR"/>
        </w:rPr>
      </w:pPr>
      <w:r w:rsidRPr="00074867">
        <w:rPr>
          <w:rFonts w:ascii="Times New Roman" w:hAnsi="Times New Roman"/>
          <w:color w:val="000000"/>
          <w:sz w:val="24"/>
          <w:szCs w:val="24"/>
        </w:rPr>
        <w:t>G</w:t>
      </w:r>
      <w:r w:rsidRPr="00074867">
        <w:rPr>
          <w:rFonts w:ascii="Times New Roman" w:hAnsi="Times New Roman"/>
          <w:color w:val="000000"/>
          <w:sz w:val="24"/>
          <w:szCs w:val="24"/>
          <w:lang w:val="fr-FR"/>
        </w:rPr>
        <w:t>é</w:t>
      </w:r>
      <w:r w:rsidRPr="00074867">
        <w:rPr>
          <w:rFonts w:ascii="Times New Roman" w:hAnsi="Times New Roman"/>
          <w:color w:val="000000"/>
          <w:sz w:val="24"/>
          <w:szCs w:val="24"/>
        </w:rPr>
        <w:t>n</w:t>
      </w:r>
      <w:r w:rsidRPr="00074867">
        <w:rPr>
          <w:rFonts w:ascii="Times New Roman" w:hAnsi="Times New Roman"/>
          <w:color w:val="000000"/>
          <w:sz w:val="24"/>
          <w:szCs w:val="24"/>
          <w:lang w:val="fr-FR"/>
        </w:rPr>
        <w:t>è</w:t>
      </w:r>
      <w:r w:rsidRPr="00074867">
        <w:rPr>
          <w:rFonts w:ascii="Times New Roman" w:hAnsi="Times New Roman"/>
          <w:color w:val="000000"/>
          <w:sz w:val="24"/>
          <w:szCs w:val="24"/>
        </w:rPr>
        <w:t>se des plans nationaux de conservation</w:t>
      </w:r>
    </w:p>
    <w:p w:rsidR="00764FFF" w:rsidRPr="00074867" w:rsidRDefault="00764FFF" w:rsidP="00FA3FAE">
      <w:pPr>
        <w:pStyle w:val="PargrafodaLista"/>
        <w:numPr>
          <w:ilvl w:val="0"/>
          <w:numId w:val="34"/>
        </w:numPr>
        <w:spacing w:after="0"/>
        <w:jc w:val="both"/>
        <w:rPr>
          <w:rFonts w:ascii="Times New Roman" w:hAnsi="Times New Roman"/>
          <w:color w:val="000000"/>
          <w:sz w:val="24"/>
          <w:szCs w:val="24"/>
          <w:lang w:val="fr-FR"/>
        </w:rPr>
      </w:pPr>
      <w:r w:rsidRPr="00074867">
        <w:rPr>
          <w:rFonts w:ascii="Times New Roman" w:hAnsi="Times New Roman"/>
          <w:color w:val="000000"/>
          <w:sz w:val="24"/>
          <w:szCs w:val="24"/>
        </w:rPr>
        <w:t>L’Etude prospective du secteur forestier</w:t>
      </w:r>
      <w:r w:rsidRPr="00074867">
        <w:rPr>
          <w:rFonts w:ascii="Times New Roman" w:hAnsi="Times New Roman"/>
          <w:color w:val="000000"/>
          <w:sz w:val="24"/>
          <w:szCs w:val="24"/>
          <w:lang w:val="fr-FR"/>
        </w:rPr>
        <w:t xml:space="preserve"> </w:t>
      </w:r>
      <w:r w:rsidRPr="00074867">
        <w:rPr>
          <w:rFonts w:ascii="Times New Roman" w:hAnsi="Times New Roman"/>
          <w:color w:val="000000"/>
          <w:sz w:val="24"/>
          <w:szCs w:val="24"/>
        </w:rPr>
        <w:t>en Afrique (FOSA)</w:t>
      </w:r>
      <w:r w:rsidRPr="00074867">
        <w:rPr>
          <w:rFonts w:ascii="Times New Roman" w:hAnsi="Times New Roman"/>
          <w:color w:val="000000"/>
          <w:sz w:val="24"/>
          <w:szCs w:val="24"/>
          <w:lang w:val="fr-FR"/>
        </w:rPr>
        <w:t>, 2018</w:t>
      </w:r>
    </w:p>
    <w:p w:rsidR="00764FFF" w:rsidRPr="003E743A" w:rsidRDefault="00764FFF" w:rsidP="00764FFF">
      <w:pPr>
        <w:autoSpaceDE w:val="0"/>
        <w:autoSpaceDN w:val="0"/>
        <w:adjustRightInd w:val="0"/>
        <w:spacing w:after="0" w:line="276" w:lineRule="auto"/>
        <w:jc w:val="both"/>
        <w:rPr>
          <w:rFonts w:ascii="Times New Roman" w:hAnsi="Times New Roman"/>
          <w:sz w:val="24"/>
          <w:szCs w:val="24"/>
        </w:rPr>
      </w:pPr>
    </w:p>
    <w:p w:rsidR="00764FFF" w:rsidRPr="003E743A" w:rsidRDefault="00764FFF" w:rsidP="00764FFF">
      <w:pPr>
        <w:ind w:firstLine="708"/>
        <w:rPr>
          <w:rFonts w:ascii="Times New Roman" w:hAnsi="Times New Roman"/>
          <w:sz w:val="24"/>
          <w:szCs w:val="24"/>
        </w:rPr>
      </w:pPr>
    </w:p>
    <w:p w:rsidR="00764FFF" w:rsidRPr="003E743A" w:rsidRDefault="00764FFF" w:rsidP="00764FFF">
      <w:pPr>
        <w:spacing w:after="0"/>
        <w:ind w:left="-284" w:right="-141"/>
        <w:rPr>
          <w:rFonts w:ascii="Times New Roman" w:hAnsi="Times New Roman"/>
          <w:b/>
          <w:iCs/>
        </w:rPr>
      </w:pPr>
    </w:p>
    <w:p w:rsidR="00764FFF" w:rsidRPr="003E743A" w:rsidRDefault="00764FFF" w:rsidP="00764FFF">
      <w:pPr>
        <w:spacing w:after="200" w:line="276" w:lineRule="auto"/>
        <w:ind w:left="360"/>
        <w:jc w:val="both"/>
        <w:rPr>
          <w:rFonts w:ascii="Times New Roman" w:hAnsi="Times New Roman"/>
        </w:rPr>
      </w:pPr>
    </w:p>
    <w:p w:rsidR="00764FFF" w:rsidRPr="003E743A" w:rsidRDefault="00764FFF" w:rsidP="00764FFF">
      <w:pPr>
        <w:spacing w:after="200" w:line="276" w:lineRule="auto"/>
        <w:ind w:left="360"/>
        <w:jc w:val="both"/>
        <w:rPr>
          <w:rFonts w:ascii="Times New Roman" w:hAnsi="Times New Roman"/>
        </w:rPr>
      </w:pPr>
    </w:p>
    <w:p w:rsidR="00764FFF" w:rsidRPr="003E743A" w:rsidRDefault="00764FFF" w:rsidP="00764FFF">
      <w:pPr>
        <w:spacing w:after="200" w:line="276" w:lineRule="auto"/>
        <w:ind w:left="360"/>
        <w:jc w:val="both"/>
        <w:rPr>
          <w:rFonts w:ascii="Times New Roman" w:hAnsi="Times New Roman"/>
        </w:rPr>
      </w:pPr>
    </w:p>
    <w:p w:rsidR="00764FFF" w:rsidRDefault="00764FFF" w:rsidP="00764FFF">
      <w:pPr>
        <w:jc w:val="both"/>
        <w:rPr>
          <w:rFonts w:ascii="Times New Roman" w:hAnsi="Times New Roman"/>
        </w:rPr>
      </w:pPr>
    </w:p>
    <w:p w:rsidR="00764FFF" w:rsidRDefault="00764FFF" w:rsidP="00764FFF">
      <w:pPr>
        <w:jc w:val="both"/>
        <w:rPr>
          <w:rFonts w:ascii="Times New Roman" w:hAnsi="Times New Roman"/>
        </w:rPr>
      </w:pPr>
    </w:p>
    <w:p w:rsidR="00764FFF" w:rsidRDefault="00764FFF" w:rsidP="00764FFF">
      <w:pPr>
        <w:jc w:val="both"/>
        <w:rPr>
          <w:rFonts w:ascii="Times New Roman" w:hAnsi="Times New Roman"/>
        </w:rPr>
      </w:pPr>
    </w:p>
    <w:p w:rsidR="00764FFF" w:rsidRDefault="00764FFF" w:rsidP="00764FFF">
      <w:pPr>
        <w:jc w:val="both"/>
        <w:rPr>
          <w:rFonts w:ascii="Times New Roman" w:hAnsi="Times New Roman"/>
        </w:rPr>
      </w:pPr>
    </w:p>
    <w:p w:rsidR="00764FFF" w:rsidRDefault="00764FFF" w:rsidP="00764FFF">
      <w:pPr>
        <w:jc w:val="both"/>
        <w:rPr>
          <w:rFonts w:ascii="Arial" w:hAnsi="Arial" w:cs="Arial"/>
          <w:color w:val="222222"/>
          <w:shd w:val="clear" w:color="auto" w:fill="FFFFFF"/>
        </w:rPr>
      </w:pPr>
    </w:p>
    <w:p w:rsidR="000D0E23" w:rsidRDefault="000D0E23" w:rsidP="00764FFF">
      <w:pPr>
        <w:jc w:val="both"/>
        <w:rPr>
          <w:rFonts w:ascii="Arial" w:hAnsi="Arial" w:cs="Arial"/>
          <w:color w:val="222222"/>
          <w:shd w:val="clear" w:color="auto" w:fill="FFFFFF"/>
        </w:rPr>
      </w:pPr>
    </w:p>
    <w:p w:rsidR="000D0E23" w:rsidRDefault="000D0E23" w:rsidP="00764FFF">
      <w:pPr>
        <w:jc w:val="both"/>
        <w:rPr>
          <w:rFonts w:ascii="Arial" w:hAnsi="Arial" w:cs="Arial"/>
          <w:color w:val="222222"/>
          <w:shd w:val="clear" w:color="auto" w:fill="FFFFFF"/>
        </w:rPr>
      </w:pPr>
    </w:p>
    <w:p w:rsidR="000D0E23" w:rsidRDefault="000D0E23" w:rsidP="00764FFF">
      <w:pPr>
        <w:jc w:val="both"/>
        <w:rPr>
          <w:rFonts w:ascii="Arial" w:hAnsi="Arial" w:cs="Arial"/>
          <w:color w:val="222222"/>
          <w:shd w:val="clear" w:color="auto" w:fill="FFFFFF"/>
        </w:rPr>
      </w:pPr>
    </w:p>
    <w:p w:rsidR="000D0E23" w:rsidRDefault="000D0E23" w:rsidP="00764FFF">
      <w:pPr>
        <w:jc w:val="both"/>
        <w:rPr>
          <w:rFonts w:ascii="Arial" w:hAnsi="Arial" w:cs="Arial"/>
          <w:color w:val="222222"/>
          <w:shd w:val="clear" w:color="auto" w:fill="FFFFFF"/>
        </w:rPr>
      </w:pPr>
    </w:p>
    <w:p w:rsidR="000D0E23" w:rsidRDefault="000D0E23" w:rsidP="00764FFF">
      <w:pPr>
        <w:jc w:val="both"/>
        <w:rPr>
          <w:rFonts w:ascii="Arial" w:hAnsi="Arial" w:cs="Arial"/>
          <w:color w:val="222222"/>
          <w:shd w:val="clear" w:color="auto" w:fill="FFFFFF"/>
        </w:rPr>
      </w:pPr>
    </w:p>
    <w:p w:rsidR="000D0E23" w:rsidRDefault="000D0E23" w:rsidP="00764FFF">
      <w:pPr>
        <w:jc w:val="both"/>
        <w:rPr>
          <w:rFonts w:ascii="Arial" w:hAnsi="Arial" w:cs="Arial"/>
          <w:color w:val="222222"/>
          <w:shd w:val="clear" w:color="auto" w:fill="FFFFFF"/>
        </w:rPr>
      </w:pPr>
    </w:p>
    <w:p w:rsidR="000D0E23" w:rsidRDefault="000D0E23" w:rsidP="00764FFF">
      <w:pPr>
        <w:jc w:val="both"/>
        <w:rPr>
          <w:rFonts w:ascii="Arial" w:hAnsi="Arial" w:cs="Arial"/>
          <w:color w:val="222222"/>
          <w:shd w:val="clear" w:color="auto" w:fill="FFFFFF"/>
        </w:rPr>
      </w:pPr>
    </w:p>
    <w:p w:rsidR="000D0E23" w:rsidRDefault="000D0E23" w:rsidP="00764FFF">
      <w:pPr>
        <w:jc w:val="both"/>
        <w:rPr>
          <w:rFonts w:ascii="Arial" w:hAnsi="Arial" w:cs="Arial"/>
          <w:color w:val="222222"/>
          <w:shd w:val="clear" w:color="auto" w:fill="FFFFFF"/>
        </w:rPr>
      </w:pPr>
    </w:p>
    <w:p w:rsidR="000D0E23" w:rsidRDefault="000D0E23" w:rsidP="00764FFF">
      <w:pPr>
        <w:jc w:val="both"/>
        <w:rPr>
          <w:rFonts w:ascii="Arial" w:hAnsi="Arial" w:cs="Arial"/>
          <w:color w:val="222222"/>
          <w:shd w:val="clear" w:color="auto" w:fill="FFFFFF"/>
        </w:rPr>
      </w:pPr>
    </w:p>
    <w:p w:rsidR="000D0E23" w:rsidRDefault="000D0E23" w:rsidP="00764FFF">
      <w:pPr>
        <w:jc w:val="both"/>
        <w:rPr>
          <w:rFonts w:ascii="Arial" w:hAnsi="Arial" w:cs="Arial"/>
          <w:color w:val="222222"/>
          <w:shd w:val="clear" w:color="auto" w:fill="FFFFFF"/>
        </w:rPr>
      </w:pPr>
    </w:p>
    <w:p w:rsidR="00764FFF" w:rsidRDefault="00764FFF" w:rsidP="00764FFF">
      <w:pPr>
        <w:jc w:val="both"/>
        <w:rPr>
          <w:rFonts w:ascii="Arial" w:hAnsi="Arial" w:cs="Arial"/>
          <w:color w:val="222222"/>
          <w:shd w:val="clear" w:color="auto" w:fill="FFFFFF"/>
        </w:rPr>
      </w:pPr>
    </w:p>
    <w:p w:rsidR="00764FFF" w:rsidRPr="000D0E23" w:rsidRDefault="00764FFF" w:rsidP="000D0E23">
      <w:pPr>
        <w:ind w:left="-709"/>
        <w:jc w:val="center"/>
        <w:rPr>
          <w:rFonts w:ascii="Times New Roman" w:hAnsi="Times New Roman"/>
          <w:color w:val="222222"/>
          <w:sz w:val="160"/>
          <w:szCs w:val="160"/>
          <w:shd w:val="clear" w:color="auto" w:fill="FFFFFF"/>
        </w:rPr>
      </w:pPr>
      <w:r w:rsidRPr="000D0E23">
        <w:rPr>
          <w:rFonts w:ascii="Times New Roman" w:hAnsi="Times New Roman"/>
          <w:color w:val="222222"/>
          <w:sz w:val="160"/>
          <w:szCs w:val="160"/>
          <w:shd w:val="clear" w:color="auto" w:fill="FFFFFF"/>
        </w:rPr>
        <w:t>ANNEXE</w:t>
      </w:r>
      <w:r w:rsidR="000D0E23" w:rsidRPr="000D0E23">
        <w:rPr>
          <w:rFonts w:ascii="Times New Roman" w:hAnsi="Times New Roman"/>
          <w:color w:val="222222"/>
          <w:sz w:val="160"/>
          <w:szCs w:val="160"/>
          <w:shd w:val="clear" w:color="auto" w:fill="FFFFFF"/>
        </w:rPr>
        <w:t>S</w:t>
      </w:r>
    </w:p>
    <w:p w:rsidR="00764FFF" w:rsidRDefault="00764FFF" w:rsidP="00764FFF">
      <w:pPr>
        <w:jc w:val="both"/>
        <w:rPr>
          <w:rFonts w:ascii="Arial" w:hAnsi="Arial" w:cs="Arial"/>
          <w:color w:val="222222"/>
          <w:shd w:val="clear" w:color="auto" w:fill="FFFFFF"/>
        </w:rPr>
      </w:pPr>
    </w:p>
    <w:p w:rsidR="00074867" w:rsidRDefault="00074867" w:rsidP="00764FFF">
      <w:pPr>
        <w:jc w:val="both"/>
        <w:rPr>
          <w:rFonts w:ascii="Arial" w:hAnsi="Arial" w:cs="Arial"/>
          <w:color w:val="222222"/>
          <w:shd w:val="clear" w:color="auto" w:fill="FFFFFF"/>
        </w:rPr>
      </w:pPr>
    </w:p>
    <w:p w:rsidR="00E81805" w:rsidRDefault="00E81805" w:rsidP="00E81805">
      <w:pPr>
        <w:jc w:val="both"/>
      </w:pPr>
    </w:p>
    <w:p w:rsidR="000D0E23" w:rsidRDefault="000D0E23" w:rsidP="00E81805">
      <w:pPr>
        <w:jc w:val="both"/>
      </w:pPr>
    </w:p>
    <w:p w:rsidR="000D0E23" w:rsidRDefault="000D0E23" w:rsidP="00E81805">
      <w:pPr>
        <w:jc w:val="both"/>
      </w:pPr>
    </w:p>
    <w:p w:rsidR="000D0E23" w:rsidRDefault="000D0E23" w:rsidP="00E81805">
      <w:pPr>
        <w:jc w:val="both"/>
      </w:pPr>
    </w:p>
    <w:p w:rsidR="000D0E23" w:rsidRDefault="000D0E23" w:rsidP="00E81805">
      <w:pPr>
        <w:jc w:val="both"/>
      </w:pPr>
    </w:p>
    <w:p w:rsidR="000D0E23" w:rsidRDefault="000D0E23" w:rsidP="00E81805">
      <w:pPr>
        <w:jc w:val="both"/>
      </w:pPr>
    </w:p>
    <w:p w:rsidR="000D0E23" w:rsidRDefault="000D0E23" w:rsidP="00E81805">
      <w:pPr>
        <w:jc w:val="both"/>
      </w:pPr>
    </w:p>
    <w:p w:rsidR="000D0E23" w:rsidRDefault="000D0E23" w:rsidP="00E81805">
      <w:pPr>
        <w:jc w:val="both"/>
      </w:pPr>
    </w:p>
    <w:p w:rsidR="000D0E23" w:rsidRDefault="000D0E23" w:rsidP="00E81805">
      <w:pPr>
        <w:jc w:val="both"/>
      </w:pPr>
    </w:p>
    <w:p w:rsidR="000D0E23" w:rsidRDefault="000D0E23" w:rsidP="00E81805">
      <w:pPr>
        <w:jc w:val="both"/>
      </w:pPr>
    </w:p>
    <w:p w:rsidR="000D0E23" w:rsidRDefault="000D0E23" w:rsidP="00E81805">
      <w:pPr>
        <w:jc w:val="both"/>
      </w:pPr>
    </w:p>
    <w:p w:rsidR="000D0E23" w:rsidRDefault="000D0E23" w:rsidP="00E81805">
      <w:pPr>
        <w:jc w:val="both"/>
      </w:pPr>
    </w:p>
    <w:p w:rsidR="00484E29" w:rsidRPr="00895AC4" w:rsidRDefault="00484E29" w:rsidP="00895AC4"/>
    <w:p w:rsidR="00484E29" w:rsidRPr="00895AC4" w:rsidRDefault="00484E29" w:rsidP="00895AC4"/>
    <w:p w:rsidR="00484E29" w:rsidRPr="00895AC4" w:rsidRDefault="00484E29" w:rsidP="00895AC4"/>
    <w:p w:rsidR="00074867" w:rsidRPr="000D0E23" w:rsidRDefault="00074867" w:rsidP="00D10B3E">
      <w:pPr>
        <w:pStyle w:val="ndice2"/>
        <w:rPr>
          <w:rFonts w:ascii="Calibri" w:eastAsia="Yu Mincho" w:hAnsi="Calibri"/>
        </w:rPr>
      </w:pPr>
      <w:bookmarkStart w:id="748" w:name="_Toc51072638"/>
      <w:r w:rsidRPr="000D0E23">
        <w:t>ANNEXE 1 : TDR VALIDE</w:t>
      </w:r>
      <w:bookmarkEnd w:id="748"/>
    </w:p>
    <w:p w:rsidR="00181BAB" w:rsidRPr="00693805" w:rsidRDefault="007055AF" w:rsidP="008734B0">
      <w:pPr>
        <w:rPr>
          <w:rFonts w:ascii="Calibri" w:eastAsia="Calibri" w:hAnsi="Calibri"/>
        </w:rPr>
      </w:pPr>
      <w:r>
        <w:rPr>
          <w:noProof/>
          <w:lang w:eastAsia="fr-FR"/>
        </w:rPr>
        <w:pict w14:anchorId="0F43854D">
          <v:group id="Grupo 5" o:spid="_x0000_s1029" style="position:absolute;margin-left:24pt;margin-top:21pt;width:190.45pt;height:799.2pt;z-index:-251041280;mso-position-horizontal-relative:page;mso-position-vertical-relative:page" coordsize="21336,912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">
            <v:rect id="Retângulo 3" o:spid="_x0000_s1030" style="position:absolute;width:1945;height:91257;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" fillcolor="#44546a" stroked="f" strokeweight="1pt"/>
            <v:group id="_x0000_s1031" style="position:absolute;left:762;top:42100;width:20574;height:49103" coordorigin="806,42118" coordsize="13062,3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">
              <v:group id="Grupo 6" o:spid="_x0000_s1032" style="position:absolute;left:1410;top:42118;width:10478;height:31210" coordorigin="1410,42118" coordsize="10477,3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">
                <o:lock v:ext="edit" aspectratio="t"/>
                <v:shape id="Forma Livre 20" o:spid="_x0000_s1033" style="position:absolute;left:3696;top:62168;width:1937;height:6985;visibility:visible;mso-wrap-style:square;v-text-anchor:top" coordsize="122,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" path="m,l39,152,84,304r38,113l122,440,76,306,39,180,6,53,,xe" fillcolor="#44546a" strokecolor="#44546a" strokeweight="0">
                  <v:path arrowok="t" o:connecttype="custom" o:connectlocs="0,0;61913,241300;133350,482600;193675,661988;193675,698500;120650,485775;61913,285750;9525,84138;0,0" o:connectangles="0,0,0,0,0,0,0,0,0"/>
                </v:shape>
                <v:shape id="Forma Livre 21" o:spid="_x0000_s1034" style="position:absolute;left:5728;top:69058;width:1842;height:4270;visibility:visible;mso-wrap-style:square;v-text-anchor:top" coordsize="116,2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" path="m,l8,19,37,93r30,74l116,269r-8,l60,169,30,98,1,25,,xe" fillcolor="#44546a" strokecolor="#44546a" strokeweight="0">
                  <v:path arrowok="t" o:connecttype="custom" o:connectlocs="0,0;12700,30163;58738,147638;106363,265113;184150,427038;171450,427038;95250,268288;47625,155575;1588,39688;0,0" o:connectangles="0,0,0,0,0,0,0,0,0,0"/>
                </v:shape>
                <v:shape id="Forma Livre 22" o:spid="_x0000_s1035" style="position:absolute;left:1410;top:42118;width:2223;height:20193;visibility:visible;mso-wrap-style:square;v-text-anchor:top" coordsize="140,1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" path="m,l,,1,79r2,80l12,317,23,476,39,634,58,792,83,948r24,138l135,1223r5,49l138,1262,105,1106,77,949,53,792,35,634,20,476,9,317,2,159,,79,,xe" fillcolor="#44546a" strokecolor="#44546a" strokeweight="0">
                  <v:path arrowok="t" o:connecttype="custom" o:connectlocs="0,0;0,0;1588,125413;4763,252413;19050,503238;36513,755650;61913,1006475;92075,1257300;131763,1504950;169863,1724025;214313,1941513;222250,2019300;219075,2003425;166688,1755775;122238,1506538;84138,1257300;55563,1006475;31750,755650;14288,503238;3175,252413;0,125413;0,0" o:connectangles="0,0,0,0,0,0,0,0,0,0,0,0,0,0,0,0,0,0,0,0,0,0"/>
                </v:shape>
                <v:shape id="Forma Livre 23" o:spid="_x0000_s1036" style="position:absolute;left:3410;top:48611;width:715;height:13557;visibility:visible;mso-wrap-style:square;v-text-anchor:top" coordsize="45,8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" path="m45,r,l35,66r-9,67l14,267,6,401,3,534,6,669r8,134l18,854r,-3l9,814,8,803,1,669,,534,3,401,12,267,25,132,34,66,45,xe" fillcolor="#44546a" strokecolor="#44546a" strokeweight="0">
                  <v:path arrowok="t" o:connecttype="custom" o:connectlocs="71438,0;71438,0;55563,104775;41275,211138;22225,423863;9525,636588;4763,847725;9525,1062038;22225,1274763;28575,1355725;28575,1350963;14288,1292225;12700,1274763;1588,1062038;0,847725;4763,636588;19050,423863;39688,209550;53975,104775;71438,0" o:connectangles="0,0,0,0,0,0,0,0,0,0,0,0,0,0,0,0,0,0,0,0"/>
                </v:shape>
                <v:shape id="Forma Livre 24" o:spid="_x0000_s1037" style="position:absolute;left:3633;top:62311;width:2444;height:9985;visibility:visible;mso-wrap-style:square;v-text-anchor:top" coordsize="154,6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" path="m,l10,44r11,82l34,207r19,86l75,380r25,86l120,521r21,55l152,618r2,11l140,595,115,532,93,468,67,383,47,295,28,207,12,104,,xe" fillcolor="#44546a" strokecolor="#44546a" strokeweight="0">
                  <v:path arrowok="t" o:connecttype="custom" o:connectlocs="0,0;15875,69850;33338,200025;53975,328613;84138,465138;119063,603250;158750,739775;190500,827088;223838,914400;241300,981075;244475,998538;222250,944563;182563,844550;147638,742950;106363,608013;74613,468313;44450,328613;19050,165100;0,0" o:connectangles="0,0,0,0,0,0,0,0,0,0,0,0,0,0,0,0,0,0,0"/>
                </v:shape>
                <v:shape id="Forma Livre 25" o:spid="_x0000_s1038" style="position:absolute;left:6204;top:72233;width:524;height:1095;visibility:visible;mso-wrap-style:square;v-text-anchor:top" coordsize="33,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" path="m,l33,69r-9,l12,35,,xe" fillcolor="#44546a" strokecolor="#44546a" strokeweight="0">
                  <v:path arrowok="t" o:connecttype="custom" o:connectlocs="0,0;52388,109538;38100,109538;19050,55563;0,0" o:connectangles="0,0,0,0,0"/>
                </v:shape>
                <v:shape id="Forma Livre 26" o:spid="_x0000_s1039" style="position:absolute;left:3553;top:61533;width:238;height:1476;visibility:visible;mso-wrap-style:square;v-text-anchor:top" coordsize="15,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" path="m,l9,37r,3l15,93,5,49,,xe" fillcolor="#44546a" strokecolor="#44546a" strokeweight="0">
                  <v:path arrowok="t" o:connecttype="custom" o:connectlocs="0,0;14288,58738;14288,63500;23813,147638;7938,77788;0,0" o:connectangles="0,0,0,0,0,0"/>
                </v:shape>
                <v:shape id="Forma Livre 27" o:spid="_x0000_s1040" style="position:absolute;left:5633;top:56897;width:6255;height:12161;visibility:visible;mso-wrap-style:square;v-text-anchor:top" coordsize="394,7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" path="m394,r,l356,38,319,77r-35,40l249,160r-42,58l168,276r-37,63l98,402,69,467,45,535,26,604,14,673,7,746,6,766,,749r1,-5l7,673,21,603,40,533,65,466,94,400r33,-64l164,275r40,-60l248,158r34,-42l318,76,354,37,394,xe" fillcolor="#44546a" strokecolor="#44546a" strokeweight="0">
                  <v:path arrowok="t" o:connecttype="custom" o:connectlocs="625475,0;625475,0;565150,60325;506413,122238;450850,185738;395288,254000;328613,346075;266700,438150;207963,538163;155575,638175;109538,741363;71438,849313;41275,958850;22225,1068388;11113,1184275;9525,1216025;0,1189038;1588,1181100;11113,1068388;33338,957263;63500,846138;103188,739775;149225,635000;201613,533400;260350,436563;323850,341313;393700,250825;447675,184150;504825,120650;561975,58738;625475,0" o:connectangles="0,0,0,0,0,0,0,0,0,0,0,0,0,0,0,0,0,0,0,0,0,0,0,0,0,0,0,0,0,0,0"/>
                </v:shape>
                <v:shape id="Forma Livre 28" o:spid="_x0000_s1041" style="position:absolute;left:5633;top:69153;width:571;height:3080;visibility:visible;mso-wrap-style:square;v-text-anchor:top" coordsize="36,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" path="m,l6,16r1,3l11,80r9,52l33,185r3,9l21,161,15,145,5,81,1,41,,xe" fillcolor="#44546a" strokecolor="#44546a" strokeweight="0">
                  <v:path arrowok="t" o:connecttype="custom" o:connectlocs="0,0;9525,25400;11113,30163;17463,127000;31750,209550;52388,293688;57150,307975;33338,255588;23813,230188;7938,128588;1588,65088;0,0" o:connectangles="0,0,0,0,0,0,0,0,0,0,0,0"/>
                </v:shape>
                <v:shape id="Forma Livre 29" o:spid="_x0000_s1042" style="position:absolute;left:6077;top:72296;width:493;height:1032;visibility:visible;mso-wrap-style:square;v-text-anchor:top" coordsize="3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" path="m,l31,65r-8,l,xe" fillcolor="#44546a" strokecolor="#44546a" strokeweight="0">
                  <v:path arrowok="t" o:connecttype="custom" o:connectlocs="0,0;49213,103188;36513,103188;0,0" o:connectangles="0,0,0,0"/>
                </v:shape>
                <v:shape id="Forma Livre 30" o:spid="_x0000_s1043" style="position:absolute;left:5633;top:68788;width:111;height:666;visibility:visible;mso-wrap-style:square;v-text-anchor:top" coordsize="7,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" path="m,l6,17,7,42,6,39,,23,,xe" fillcolor="#44546a" strokecolor="#44546a" strokeweight="0">
                  <v:path arrowok="t" o:connecttype="custom" o:connectlocs="0,0;9525,26988;11113,66675;9525,61913;0,36513;0,0" o:connectangles="0,0,0,0,0,0"/>
                </v:shape>
                <v:shape id="Forma Livre 31" o:spid="_x0000_s1044" style="position:absolute;left:5871;top:71455;width:714;height:1873;visibility:visible;mso-wrap-style:square;v-text-anchor:top" coordsize="45,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" path="m,l6,16,21,49,33,84r12,34l44,118,13,53,11,42,,xe" fillcolor="#44546a" strokecolor="#44546a" strokeweight="0">
                  <v:path arrowok="t" o:connecttype="custom" o:connectlocs="0,0;9525,25400;33338,77788;52388,133350;71438,187325;69850,187325;20638,84138;17463,66675;0,0" o:connectangles="0,0,0,0,0,0,0,0,0"/>
                </v:shape>
              </v:group>
              <v:group id="Grupo 7" o:spid="_x0000_s1045" style="position:absolute;left:806;top:48269;width:13063;height:25059" coordorigin="806,46499" coordsize="8747,167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o:lock v:ext="edit" aspectratio="t"/>
                <v:shape id="Forma Livre 8" o:spid="_x0000_s1046" style="position:absolute;left:1187;top:51897;width:1984;height:7143;visibility:visible;mso-wrap-style:square;v-text-anchor:top" coordsize="125,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" path="m,l41,155,86,309r39,116l125,450,79,311,41,183,7,54,,xe" fillcolor="#44546a" strokecolor="#44546a" strokeweight="0">
                  <v:fill opacity="13107f"/>
                  <v:stroke opacity="13107f"/>
                  <v:path arrowok="t" o:connecttype="custom" o:connectlocs="0,0;65088,246063;136525,490538;198438,674688;198438,714375;125413,493713;65088,290513;11113,85725;0,0" o:connectangles="0,0,0,0,0,0,0,0,0"/>
                </v:shape>
                <v:shape id="Forma Livre 9" o:spid="_x0000_s1047" style="position:absolute;left:3282;top:58913;width:1874;height:4366;visibility:visible;mso-wrap-style:square;v-text-anchor:top" coordsize="11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" path="m,l8,20,37,96r32,74l118,275r-9,l61,174,30,100,,26,,xe" fillcolor="#44546a" strokecolor="#44546a" strokeweight="0">
                  <v:fill opacity="13107f"/>
                  <v:stroke opacity="13107f"/>
                  <v:path arrowok="t" o:connecttype="custom" o:connectlocs="0,0;12700,31750;58738,152400;109538,269875;187325,436563;173038,436563;96838,276225;47625,158750;0,41275;0,0" o:connectangles="0,0,0,0,0,0,0,0,0,0"/>
                </v:shape>
                <v:shape id="Forma Livre 10" o:spid="_x0000_s1048" style="position:absolute;left:806;top:50103;width:317;height:1921;visibility:visible;mso-wrap-style:square;v-text-anchor:top" coordsize="20,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" path="m,l16,72r4,49l18,112,,31,,xe" fillcolor="#44546a" strokecolor="#44546a" strokeweight="0">
                  <v:fill opacity="13107f"/>
                  <v:stroke opacity="13107f"/>
                  <v:path arrowok="t" o:connecttype="custom" o:connectlocs="0,0;25400,114300;31750,192088;28575,177800;0,49213;0,0" o:connectangles="0,0,0,0,0,0"/>
                </v:shape>
                <v:shape id="Forma Livre 12" o:spid="_x0000_s1049" style="position:absolute;left:1123;top:52024;width:2509;height:10207;visibility:visible;mso-wrap-style:square;v-text-anchor:top" coordsize="158,6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" path="m,l11,46r11,83l36,211r19,90l76,389r27,87l123,533r21,55l155,632r3,11l142,608,118,544,95,478,69,391,47,302,29,212,13,107,,xe" fillcolor="#44546a" strokecolor="#44546a" strokeweight="0">
                  <v:fill opacity="13107f"/>
                  <v:stroke opacity="13107f"/>
                  <v:path arrowok="t" o:connecttype="custom" o:connectlocs="0,0;17463,73025;34925,204788;57150,334963;87313,477838;120650,617538;163513,755650;195263,846138;228600,933450;246063,1003300;250825,1020763;225425,965200;187325,863600;150813,758825;109538,620713;74613,479425;46038,336550;20638,169863;0,0" o:connectangles="0,0,0,0,0,0,0,0,0,0,0,0,0,0,0,0,0,0,0"/>
                </v:shape>
                <v:shape id="Forma Livre 13" o:spid="_x0000_s1050" style="position:absolute;left:3759;top:62152;width:524;height:1127;visibility:visible;mso-wrap-style:square;v-text-anchor:top" coordsize="33,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" path="m,l33,71r-9,l11,36,,xe" fillcolor="#44546a" strokecolor="#44546a" strokeweight="0">
                  <v:fill opacity="13107f"/>
                  <v:stroke opacity="13107f"/>
                  <v:path arrowok="t" o:connecttype="custom" o:connectlocs="0,0;52388,112713;38100,112713;17463,57150;0,0" o:connectangles="0,0,0,0,0"/>
                </v:shape>
                <v:shape id="Forma Livre 14" o:spid="_x0000_s1051" style="position:absolute;left:1060;top:51246;width:238;height:1508;visibility:visible;mso-wrap-style:square;v-text-anchor:top" coordsize="15,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" path="m,l8,37r,4l15,95,4,49,,xe" fillcolor="#44546a" strokecolor="#44546a" strokeweight="0">
                  <v:fill opacity="13107f"/>
                  <v:stroke opacity="13107f"/>
                  <v:path arrowok="t" o:connecttype="custom" o:connectlocs="0,0;12700,58738;12700,65088;23813,150813;6350,77788;0,0" o:connectangles="0,0,0,0,0,0"/>
                </v:shape>
                <v:shape id="Forma Livre 15" o:spid="_x0000_s1052" style="position:absolute;left:3171;top:46499;width:6382;height:12414;visibility:visible;mso-wrap-style:square;v-text-anchor:top" coordsize="402,7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" path="m402,r,1l363,39,325,79r-35,42l255,164r-44,58l171,284r-38,62l100,411,71,478,45,546,27,617,13,689,7,761r,21l,765r1,-4l7,688,21,616,40,545,66,475,95,409r35,-66l167,281r42,-61l253,163r34,-43l324,78,362,38,402,xe" fillcolor="#44546a" strokecolor="#44546a" strokeweight="0">
                  <v:fill opacity="13107f"/>
                  <v:stroke opacity="13107f"/>
                  <v:path arrowok="t" o:connecttype="custom" o:connectlocs="638175,0;638175,1588;576263,61913;515938,125413;460375,192088;404813,260350;334963,352425;271463,450850;211138,549275;158750,652463;112713,758825;71438,866775;42863,979488;20638,1093788;11113,1208088;11113,1241425;0,1214438;1588,1208088;11113,1092200;33338,977900;63500,865188;104775,754063;150813,649288;206375,544513;265113,446088;331788,349250;401638,258763;455613,190500;514350,123825;574675,60325;638175,0" o:connectangles="0,0,0,0,0,0,0,0,0,0,0,0,0,0,0,0,0,0,0,0,0,0,0,0,0,0,0,0,0,0,0"/>
                </v:shape>
                <v:shape id="Forma Livre 16" o:spid="_x0000_s1053" style="position:absolute;left:3171;top:59040;width:588;height:3112;visibility:visible;mso-wrap-style:square;v-text-anchor:top" coordsize="37,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" path="m,l6,15r1,3l12,80r9,54l33,188r4,8l22,162,15,146,5,81,1,40,,xe" fillcolor="#44546a" strokecolor="#44546a" strokeweight="0">
                  <v:fill opacity="13107f"/>
                  <v:stroke opacity="13107f"/>
                  <v:path arrowok="t" o:connecttype="custom" o:connectlocs="0,0;9525,23813;11113,28575;19050,127000;33338,212725;52388,298450;58738,311150;34925,257175;23813,231775;7938,128588;1588,63500;0,0" o:connectangles="0,0,0,0,0,0,0,0,0,0,0,0"/>
                </v:shape>
                <v:shape id="Forma Livre 17" o:spid="_x0000_s1054" style="position:absolute;left:3632;top:62231;width:492;height:1048;visibility:visible;mso-wrap-style:square;v-text-anchor:top" coordsize="31,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" path="m,l31,66r-7,l,xe" fillcolor="#44546a" strokecolor="#44546a" strokeweight="0">
                  <v:fill opacity="13107f"/>
                  <v:stroke opacity="13107f"/>
                  <v:path arrowok="t" o:connecttype="custom" o:connectlocs="0,0;49213,104775;38100,104775;0,0" o:connectangles="0,0,0,0"/>
                </v:shape>
                <v:shape id="Forma Livre 18" o:spid="_x0000_s1055" style="position:absolute;left:3171;top:58644;width:111;height:682;visibility:visible;mso-wrap-style:square;v-text-anchor:top" coordsize="7,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" path="m,l7,17r,26l6,40,,25,,xe" fillcolor="#44546a" strokecolor="#44546a" strokeweight="0">
                  <v:fill opacity="13107f"/>
                  <v:stroke opacity="13107f"/>
                  <v:path arrowok="t" o:connecttype="custom" o:connectlocs="0,0;11113,26988;11113,68263;9525,63500;0,39688;0,0" o:connectangles="0,0,0,0,0,0"/>
                </v:shape>
                <v:shape id="Forma Livre 19" o:spid="_x0000_s1056" style="position:absolute;left:3409;top:61358;width:731;height:1921;visibility:visible;mso-wrap-style:square;v-text-anchor:top" coordsize="46,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" path="m,l7,16,22,50,33,86r13,35l45,121,14,55,11,44,,xe" fillcolor="#44546a" strokecolor="#44546a" strokeweight="0">
                  <v:fill opacity="13107f"/>
                  <v:stroke opacity="13107f"/>
                  <v:path arrowok="t" o:connecttype="custom" o:connectlocs="0,0;11113,25400;34925,79375;52388,136525;73025,192088;71438,192088;22225,87313;17463,69850;0,0" o:connectangles="0,0,0,0,0,0,0,0,0"/>
                </v:shape>
              </v:group>
            </v:group>
            <w10:wrap anchorx="page" anchory="page"/>
          </v:group>
        </w:pict>
      </w:r>
    </w:p>
    <w:p w:rsidR="00181BAB" w:rsidRPr="00693805" w:rsidRDefault="00181BAB" w:rsidP="008734B0">
      <w:pPr>
        <w:pStyle w:val="Style9"/>
        <w:numPr>
          <w:ilvl w:val="0"/>
          <w:numId w:val="0"/>
        </w:numPr>
        <w:ind w:left="720"/>
        <w:jc w:val="left"/>
        <w:outlineLvl w:val="9"/>
        <w:rPr>
          <w:lang w:val="fr-FR"/>
        </w:rPr>
      </w:pPr>
      <w:bookmarkStart w:id="749" w:name="_Toc528322429"/>
      <w:r w:rsidRPr="00693805">
        <w:rPr>
          <w:lang w:val="fr-FR"/>
        </w:rPr>
        <w:t xml:space="preserve">               ANNEXE A :    TERMES DE REFERENCE</w:t>
      </w:r>
      <w:bookmarkEnd w:id="749"/>
    </w:p>
    <w:p w:rsidR="00181BAB" w:rsidRPr="00693805" w:rsidRDefault="00181BAB" w:rsidP="008734B0">
      <w:pPr>
        <w:spacing w:before="120" w:after="120"/>
        <w:jc w:val="both"/>
      </w:pPr>
    </w:p>
    <w:p w:rsidR="00181BAB" w:rsidRPr="00693805" w:rsidRDefault="00181BAB" w:rsidP="008734B0">
      <w:pPr>
        <w:numPr>
          <w:ilvl w:val="12"/>
          <w:numId w:val="0"/>
        </w:numPr>
        <w:jc w:val="both"/>
        <w:rPr>
          <w:color w:val="1F497D"/>
        </w:rPr>
      </w:pPr>
    </w:p>
    <w:p w:rsidR="00181BAB" w:rsidRPr="00693805" w:rsidRDefault="00181BAB" w:rsidP="008734B0">
      <w:pPr>
        <w:numPr>
          <w:ilvl w:val="12"/>
          <w:numId w:val="0"/>
        </w:numPr>
        <w:jc w:val="both"/>
        <w:rPr>
          <w:color w:val="1F497D"/>
        </w:rPr>
      </w:pPr>
    </w:p>
    <w:p w:rsidR="00181BAB" w:rsidRPr="00693805" w:rsidRDefault="00181BAB" w:rsidP="008734B0">
      <w:pPr>
        <w:numPr>
          <w:ilvl w:val="12"/>
          <w:numId w:val="0"/>
        </w:numPr>
      </w:pPr>
      <w:r w:rsidRPr="00693805">
        <w:t>………………………………………………………………………………………………</w:t>
      </w:r>
    </w:p>
    <w:p w:rsidR="00181BAB" w:rsidRPr="00693805" w:rsidRDefault="00181BAB" w:rsidP="008734B0">
      <w:pPr>
        <w:numPr>
          <w:ilvl w:val="12"/>
          <w:numId w:val="0"/>
        </w:numPr>
      </w:pPr>
    </w:p>
    <w:p w:rsidR="00181BAB" w:rsidRPr="00693805" w:rsidRDefault="00181BAB" w:rsidP="008734B0">
      <w:pPr>
        <w:numPr>
          <w:ilvl w:val="12"/>
          <w:numId w:val="0"/>
        </w:numPr>
      </w:pPr>
    </w:p>
    <w:p w:rsidR="00181BAB" w:rsidRPr="00693805" w:rsidRDefault="00181BAB" w:rsidP="008734B0">
      <w:pPr>
        <w:jc w:val="center"/>
        <w:rPr>
          <w:b/>
        </w:rPr>
      </w:pPr>
      <w:r w:rsidRPr="00693805">
        <w:rPr>
          <w:b/>
          <w:sz w:val="16"/>
        </w:rPr>
        <w:t>REPÚBLIQUE DE LA</w:t>
      </w:r>
      <w:r w:rsidR="00332A41">
        <w:rPr>
          <w:b/>
          <w:noProof/>
          <w:sz w:val="14"/>
          <w:lang w:eastAsia="fr-FR"/>
        </w:rPr>
        <w:pict w14:anchorId="33BCD2AC">
          <v:shape id="Imagem 4" o:spid="_x0000_i1026" type="#_x0000_t75" alt="logo-Guinee-Bissau" style="width:22.5pt;height:19.5pt;visibility:visible">
            <v:imagedata r:id="rId157" o:title="logo-Guinee-Bissau"/>
          </v:shape>
        </w:pict>
      </w:r>
      <w:r w:rsidRPr="00693805">
        <w:rPr>
          <w:b/>
          <w:sz w:val="16"/>
        </w:rPr>
        <w:t>GUINÉE-BISSAU</w:t>
      </w:r>
    </w:p>
    <w:p w:rsidR="00181BAB" w:rsidRPr="00693805" w:rsidRDefault="00181BAB" w:rsidP="008734B0">
      <w:pPr>
        <w:pStyle w:val="SemEspaamento"/>
        <w:jc w:val="center"/>
        <w:rPr>
          <w:rFonts w:ascii="Times New Roman" w:hAnsi="Times New Roman"/>
          <w:sz w:val="24"/>
          <w:szCs w:val="24"/>
        </w:rPr>
      </w:pPr>
    </w:p>
    <w:p w:rsidR="00181BAB" w:rsidRPr="00693805" w:rsidRDefault="00181BAB" w:rsidP="008734B0">
      <w:pPr>
        <w:pStyle w:val="SemEspaamento"/>
        <w:jc w:val="center"/>
        <w:rPr>
          <w:rFonts w:ascii="Times New Roman" w:hAnsi="Times New Roman"/>
          <w:sz w:val="24"/>
          <w:szCs w:val="24"/>
        </w:rPr>
      </w:pPr>
      <w:r w:rsidRPr="00693805">
        <w:rPr>
          <w:rFonts w:ascii="Times New Roman" w:hAnsi="Times New Roman"/>
          <w:sz w:val="24"/>
          <w:szCs w:val="24"/>
        </w:rPr>
        <w:t>MINISTERE DE L’ECONOMIE ET FINANCE</w:t>
      </w:r>
    </w:p>
    <w:p w:rsidR="00181BAB" w:rsidRPr="00693805" w:rsidRDefault="00181BAB" w:rsidP="008734B0">
      <w:pPr>
        <w:pStyle w:val="SemEspaamento"/>
        <w:jc w:val="center"/>
        <w:rPr>
          <w:rFonts w:ascii="Times New Roman" w:hAnsi="Times New Roman"/>
          <w:b/>
          <w:sz w:val="24"/>
          <w:szCs w:val="24"/>
        </w:rPr>
      </w:pPr>
    </w:p>
    <w:p w:rsidR="00181BAB" w:rsidRPr="00693805" w:rsidRDefault="00181BAB" w:rsidP="008734B0">
      <w:pPr>
        <w:pStyle w:val="SemEspaamento"/>
        <w:jc w:val="center"/>
        <w:rPr>
          <w:rFonts w:ascii="Times New Roman" w:hAnsi="Times New Roman"/>
          <w:b/>
          <w:sz w:val="24"/>
          <w:szCs w:val="24"/>
        </w:rPr>
      </w:pPr>
      <w:r w:rsidRPr="00693805">
        <w:rPr>
          <w:rFonts w:ascii="Times New Roman" w:hAnsi="Times New Roman"/>
          <w:b/>
          <w:sz w:val="24"/>
          <w:szCs w:val="24"/>
        </w:rPr>
        <w:t>PROJET D’URGENCE POUR L’AMELIORATION DES SERVICES D’EAU POTABLE ET D’ELECTRICITÉ POUR LA VILLE DE BISSAU – FOND ADDITIONNEL (PUASEE- FA)</w:t>
      </w:r>
    </w:p>
    <w:p w:rsidR="00181BAB" w:rsidRPr="00693805" w:rsidRDefault="00181BAB" w:rsidP="008734B0">
      <w:pPr>
        <w:pStyle w:val="SemEspaamento"/>
        <w:jc w:val="center"/>
        <w:rPr>
          <w:rFonts w:ascii="Times New Roman" w:hAnsi="Times New Roman"/>
          <w:b/>
        </w:rPr>
      </w:pPr>
    </w:p>
    <w:p w:rsidR="00181BAB" w:rsidRPr="00693805" w:rsidRDefault="00181BAB" w:rsidP="008734B0">
      <w:pPr>
        <w:pStyle w:val="SemEspaamento"/>
        <w:jc w:val="center"/>
        <w:rPr>
          <w:rFonts w:ascii="Times New Roman" w:hAnsi="Times New Roman"/>
          <w:sz w:val="24"/>
        </w:rPr>
      </w:pPr>
      <w:r w:rsidRPr="00693805">
        <w:rPr>
          <w:rFonts w:ascii="Times New Roman" w:hAnsi="Times New Roman"/>
          <w:b/>
          <w:sz w:val="28"/>
        </w:rPr>
        <w:t>TRAVAUX DE CONSTRUCTION, REHABILITATION DES FORAGES ET RESERVOIRS ET L’EXTENSION DES RESEAUX D’EAU ET ELECTRICITÉ</w:t>
      </w:r>
    </w:p>
    <w:p w:rsidR="00181BAB" w:rsidRPr="00693805" w:rsidRDefault="00181BAB" w:rsidP="008734B0"/>
    <w:p w:rsidR="00181BAB" w:rsidRPr="00693805" w:rsidRDefault="00181BAB" w:rsidP="008734B0"/>
    <w:p w:rsidR="00181BAB" w:rsidRPr="00693805" w:rsidRDefault="00181BAB" w:rsidP="008734B0">
      <w:pPr>
        <w:jc w:val="center"/>
        <w:rPr>
          <w:b/>
          <w:sz w:val="40"/>
          <w:szCs w:val="72"/>
          <w:u w:val="single"/>
        </w:rPr>
      </w:pPr>
      <w:r w:rsidRPr="00693805">
        <w:rPr>
          <w:b/>
          <w:sz w:val="40"/>
          <w:szCs w:val="72"/>
          <w:u w:val="single"/>
        </w:rPr>
        <w:t>Termes de Référence</w:t>
      </w:r>
    </w:p>
    <w:p w:rsidR="00181BAB" w:rsidRPr="00693805" w:rsidRDefault="00181BAB" w:rsidP="008734B0">
      <w:pPr>
        <w:jc w:val="center"/>
        <w:rPr>
          <w:sz w:val="40"/>
          <w:szCs w:val="72"/>
        </w:rPr>
      </w:pPr>
    </w:p>
    <w:p w:rsidR="00181BAB" w:rsidRPr="00693805" w:rsidRDefault="00181BAB" w:rsidP="008734B0">
      <w:pPr>
        <w:jc w:val="center"/>
        <w:rPr>
          <w:sz w:val="40"/>
          <w:szCs w:val="72"/>
        </w:rPr>
      </w:pPr>
      <w:r w:rsidRPr="00693805">
        <w:rPr>
          <w:sz w:val="40"/>
          <w:szCs w:val="72"/>
        </w:rPr>
        <w:t>Pour la réalisation de l’Etude d’Impact Environnemental et Social – (EIES) et du Plan d’Action de Réinstallation – (PAR) du Sous-projet nº1 relatif à la construction, à la réhabilitation, au renforcement, aux fournitures et aux installations des équipements et électrification des forages d’approvisionnement d’eau potable</w:t>
      </w:r>
    </w:p>
    <w:p w:rsidR="00181BAB" w:rsidRPr="00693805" w:rsidRDefault="00181BAB" w:rsidP="008734B0">
      <w:pPr>
        <w:jc w:val="right"/>
        <w:rPr>
          <w:sz w:val="28"/>
        </w:rPr>
      </w:pPr>
    </w:p>
    <w:p w:rsidR="00181BAB" w:rsidRPr="00693805" w:rsidRDefault="00181BAB" w:rsidP="008734B0">
      <w:pPr>
        <w:jc w:val="right"/>
        <w:rPr>
          <w:sz w:val="28"/>
        </w:rPr>
      </w:pPr>
    </w:p>
    <w:p w:rsidR="00181BAB" w:rsidRPr="00693805" w:rsidRDefault="00181BAB" w:rsidP="008734B0">
      <w:pPr>
        <w:jc w:val="right"/>
        <w:rPr>
          <w:sz w:val="28"/>
        </w:rPr>
      </w:pPr>
      <w:r w:rsidRPr="00693805">
        <w:rPr>
          <w:sz w:val="28"/>
        </w:rPr>
        <w:t>Octobre/2019</w:t>
      </w:r>
    </w:p>
    <w:p w:rsidR="00181BAB" w:rsidRPr="00693805" w:rsidRDefault="00181BAB" w:rsidP="000B53EE">
      <w:pPr>
        <w:spacing w:after="0"/>
        <w:rPr>
          <w:b/>
        </w:rPr>
      </w:pPr>
      <w:r w:rsidRPr="00693805">
        <w:rPr>
          <w:sz w:val="28"/>
        </w:rPr>
        <w:br w:type="column"/>
      </w:r>
      <w:bookmarkStart w:id="750" w:name="_Toc504992025"/>
      <w:bookmarkStart w:id="751" w:name="_Toc504995690"/>
      <w:bookmarkStart w:id="752" w:name="_Toc504997390"/>
      <w:bookmarkStart w:id="753" w:name="_Toc504998484"/>
      <w:bookmarkStart w:id="754" w:name="_Toc504998552"/>
      <w:bookmarkStart w:id="755" w:name="_Toc504999509"/>
      <w:bookmarkStart w:id="756" w:name="_Toc504999541"/>
      <w:bookmarkStart w:id="757" w:name="_Toc505000573"/>
      <w:bookmarkStart w:id="758" w:name="_Toc505004220"/>
      <w:bookmarkStart w:id="759" w:name="_Toc20820250"/>
      <w:bookmarkEnd w:id="750"/>
      <w:bookmarkEnd w:id="751"/>
      <w:bookmarkEnd w:id="752"/>
      <w:bookmarkEnd w:id="753"/>
      <w:bookmarkEnd w:id="754"/>
      <w:bookmarkEnd w:id="755"/>
      <w:bookmarkEnd w:id="756"/>
      <w:bookmarkEnd w:id="757"/>
      <w:bookmarkEnd w:id="758"/>
      <w:r w:rsidRPr="00693805">
        <w:rPr>
          <w:b/>
        </w:rPr>
        <w:lastRenderedPageBreak/>
        <w:t>INTRODUCTION</w:t>
      </w:r>
      <w:bookmarkEnd w:id="759"/>
    </w:p>
    <w:p w:rsidR="00181BAB" w:rsidRPr="00693805" w:rsidRDefault="00181BAB" w:rsidP="000B53EE">
      <w:pPr>
        <w:autoSpaceDE w:val="0"/>
        <w:autoSpaceDN w:val="0"/>
        <w:adjustRightInd w:val="0"/>
        <w:spacing w:after="0"/>
        <w:ind w:right="284"/>
        <w:jc w:val="both"/>
      </w:pPr>
      <w:r w:rsidRPr="00693805">
        <w:t xml:space="preserve">Dans les pays en voie de développement, l’accès à l’eau potable et à l’énergie électrique reste l’une des grandes difficultés auxquelles les gouvernements doivent faire face pour l’amélioration des conditions de vie des populations. En effet, la relation entre l’accès à l’eau potable et la disponibilité d’énergie est intrinsèque. La mise en place de systèmes d’alimentation en eau nécessite, dans la plupart des cas, le recours à une source d’énergie : il faut capter l’eau par pompage ou par gravité, la traiter et la transporter tout en veillant à sa protection contre les bactéries. </w:t>
      </w:r>
    </w:p>
    <w:p w:rsidR="00181BAB" w:rsidRPr="00693805" w:rsidRDefault="00181BAB" w:rsidP="000B53EE">
      <w:pPr>
        <w:autoSpaceDE w:val="0"/>
        <w:autoSpaceDN w:val="0"/>
        <w:adjustRightInd w:val="0"/>
        <w:spacing w:after="0"/>
        <w:ind w:right="284"/>
        <w:jc w:val="both"/>
      </w:pPr>
      <w:r w:rsidRPr="00693805">
        <w:t>Eu égard à ce qui précède le Gouvernement Bissau-guinéen en partenariat avec la Banque Mondiale, a mis en œuvre le Projet d’Urgence pour l’amélioration des Services d’Eau et d'Électricité (PUASEE) pour un financement de 22,5 MUSD, projet en cours d'exécution. L'objectif de développement du PUASEE est d'améliorer les conditions d’hygiènes de la population de la ville de Bissau à travers l’accès à l’eau potable en (i) rétablissant et en élargissant l’accès de la population de Bissau à l’eau potable tout en améliorant la qualité des services d’alimentation en eau ; et (ii) en améliorant la fiabilité de la fourniture d’électricité à la population de Bissau.</w:t>
      </w:r>
    </w:p>
    <w:p w:rsidR="00181BAB" w:rsidRPr="00693805" w:rsidRDefault="00181BAB" w:rsidP="000B53EE">
      <w:pPr>
        <w:autoSpaceDE w:val="0"/>
        <w:autoSpaceDN w:val="0"/>
        <w:adjustRightInd w:val="0"/>
        <w:spacing w:after="0"/>
        <w:ind w:right="284"/>
        <w:jc w:val="both"/>
      </w:pPr>
      <w:r w:rsidRPr="00693805">
        <w:t>En effet, plusieurs quartiers de Bissau non couverts par les précédents projets connaissent un problème crucial d’eau potable à tel point que la majorité des communautés s’approvisionnent dans les puits traditionnels, avec des eaux insalubres, cause des nombreuses maladies.</w:t>
      </w:r>
    </w:p>
    <w:p w:rsidR="00181BAB" w:rsidRPr="00693805" w:rsidRDefault="00181BAB" w:rsidP="000B53EE">
      <w:pPr>
        <w:autoSpaceDE w:val="0"/>
        <w:autoSpaceDN w:val="0"/>
        <w:adjustRightInd w:val="0"/>
        <w:spacing w:after="0"/>
        <w:ind w:right="284"/>
        <w:jc w:val="both"/>
      </w:pPr>
      <w:r w:rsidRPr="00693805">
        <w:t>En vue de réduire ces effets négatifs et d`améliorer les conditions d’hygiènes de la population à travers l’accès à l’eau potable, le Gouvernement et son Partenaire (Banque Mondiale), dans le cadre du projet d’Eau et Electricité, veulent renforcer le service d’alimentation en eau potable et électricité de la ville de Bissau et des quartiers périphériques.</w:t>
      </w:r>
    </w:p>
    <w:p w:rsidR="00181BAB" w:rsidRPr="00693805" w:rsidRDefault="00181BAB" w:rsidP="000B53EE">
      <w:pPr>
        <w:autoSpaceDE w:val="0"/>
        <w:autoSpaceDN w:val="0"/>
        <w:adjustRightInd w:val="0"/>
        <w:spacing w:after="0"/>
        <w:ind w:right="284"/>
        <w:jc w:val="both"/>
      </w:pPr>
      <w:r w:rsidRPr="00693805">
        <w:t>Ainsi, ce qui exige l’application des directives opérationnelles de protection environnementale et sociale conformément à la réglementation en vigueur en Guinée-Bissau et celles des politiques/directives environnementales et sociales du bailleur de la Banque Mondiale. Il a été décidé de réaliser des Etudes d’Impact Environnemental et Social (EIES) et des Plans d’Actions de Réinstallation.</w:t>
      </w:r>
    </w:p>
    <w:p w:rsidR="00181BAB" w:rsidRPr="00693805" w:rsidRDefault="00181BAB" w:rsidP="000B53EE">
      <w:pPr>
        <w:autoSpaceDE w:val="0"/>
        <w:autoSpaceDN w:val="0"/>
        <w:adjustRightInd w:val="0"/>
        <w:spacing w:after="0"/>
        <w:ind w:right="284"/>
        <w:jc w:val="both"/>
      </w:pPr>
      <w:r w:rsidRPr="00693805">
        <w:t xml:space="preserve">Ce présent TDR concerne le </w:t>
      </w:r>
      <w:r>
        <w:t>sous-projet n°1</w:t>
      </w:r>
      <w:r w:rsidRPr="00693805">
        <w:t xml:space="preserve"> élaboré à la suite du travail effectué par le Consultant et son équipe durant les trois premières semaines de la mission de terrain et au sortir de la réunion de cadrage tenue à Bissau le 08 Mai 2019 dans les locaux du PUASEE. Ces activ</w:t>
      </w:r>
      <w:r>
        <w:t>ités ont permis de réadapter le</w:t>
      </w:r>
      <w:r w:rsidRPr="00693805">
        <w:t xml:space="preserve"> TDR avec les réalités du terrain. </w:t>
      </w:r>
    </w:p>
    <w:p w:rsidR="00181BAB" w:rsidRPr="00693805" w:rsidRDefault="00181BAB" w:rsidP="00FA3FAE">
      <w:pPr>
        <w:pStyle w:val="PargrafodaLista"/>
        <w:numPr>
          <w:ilvl w:val="0"/>
          <w:numId w:val="170"/>
        </w:numPr>
        <w:spacing w:before="360" w:after="0" w:line="240" w:lineRule="auto"/>
        <w:contextualSpacing w:val="0"/>
        <w:jc w:val="both"/>
        <w:outlineLvl w:val="0"/>
        <w:rPr>
          <w:b/>
          <w:lang w:val="fr-FR"/>
        </w:rPr>
      </w:pPr>
      <w:bookmarkStart w:id="760" w:name="_Toc504998486"/>
      <w:bookmarkStart w:id="761" w:name="_Toc504998554"/>
      <w:bookmarkStart w:id="762" w:name="_Toc504999511"/>
      <w:bookmarkStart w:id="763" w:name="_Toc504999543"/>
      <w:bookmarkStart w:id="764" w:name="_Toc505000575"/>
      <w:bookmarkStart w:id="765" w:name="_Toc505004222"/>
      <w:bookmarkStart w:id="766" w:name="_Toc20820251"/>
      <w:bookmarkStart w:id="767" w:name="_Toc32511658"/>
      <w:bookmarkStart w:id="768" w:name="_Toc51072639"/>
      <w:bookmarkEnd w:id="760"/>
      <w:bookmarkEnd w:id="761"/>
      <w:bookmarkEnd w:id="762"/>
      <w:bookmarkEnd w:id="763"/>
      <w:bookmarkEnd w:id="764"/>
      <w:bookmarkEnd w:id="765"/>
      <w:r w:rsidRPr="00693805">
        <w:rPr>
          <w:b/>
          <w:lang w:val="fr-FR"/>
        </w:rPr>
        <w:t>CONTEXTE ET OBJECTIFS DU SOUS-PROJET</w:t>
      </w:r>
      <w:bookmarkEnd w:id="766"/>
      <w:bookmarkEnd w:id="767"/>
      <w:bookmarkEnd w:id="768"/>
    </w:p>
    <w:p w:rsidR="00181BAB" w:rsidRPr="00693805" w:rsidRDefault="00181BAB" w:rsidP="00FA3FAE">
      <w:pPr>
        <w:pStyle w:val="PargrafodaLista"/>
        <w:numPr>
          <w:ilvl w:val="1"/>
          <w:numId w:val="171"/>
        </w:numPr>
        <w:autoSpaceDE w:val="0"/>
        <w:autoSpaceDN w:val="0"/>
        <w:adjustRightInd w:val="0"/>
        <w:spacing w:before="240" w:after="0" w:line="240" w:lineRule="auto"/>
        <w:ind w:left="1987" w:hanging="547"/>
        <w:contextualSpacing w:val="0"/>
        <w:jc w:val="both"/>
        <w:outlineLvl w:val="1"/>
        <w:rPr>
          <w:lang w:val="fr-FR"/>
        </w:rPr>
      </w:pPr>
      <w:bookmarkStart w:id="769" w:name="_Toc504998488"/>
      <w:bookmarkStart w:id="770" w:name="_Toc504998556"/>
      <w:bookmarkStart w:id="771" w:name="_Toc504999513"/>
      <w:bookmarkStart w:id="772" w:name="_Toc504999545"/>
      <w:bookmarkStart w:id="773" w:name="_Toc505000577"/>
      <w:bookmarkStart w:id="774" w:name="_Toc505004224"/>
      <w:bookmarkStart w:id="775" w:name="_Toc20820252"/>
      <w:bookmarkStart w:id="776" w:name="_Toc32511659"/>
      <w:bookmarkStart w:id="777" w:name="_Toc51072640"/>
      <w:bookmarkEnd w:id="769"/>
      <w:bookmarkEnd w:id="770"/>
      <w:bookmarkEnd w:id="771"/>
      <w:bookmarkEnd w:id="772"/>
      <w:bookmarkEnd w:id="773"/>
      <w:bookmarkEnd w:id="774"/>
      <w:r w:rsidRPr="00693805">
        <w:rPr>
          <w:b/>
          <w:lang w:val="fr-FR"/>
        </w:rPr>
        <w:t>Contexte</w:t>
      </w:r>
      <w:bookmarkEnd w:id="775"/>
      <w:bookmarkEnd w:id="776"/>
      <w:bookmarkEnd w:id="777"/>
    </w:p>
    <w:p w:rsidR="00181BAB" w:rsidRPr="00693805" w:rsidRDefault="00181BAB" w:rsidP="000B53EE">
      <w:pPr>
        <w:spacing w:after="0"/>
        <w:jc w:val="both"/>
      </w:pPr>
      <w:r w:rsidRPr="00693805">
        <w:t>La présente étude est encadrée soit par la législation nationale, en particulier la loi de base nº 1/2011 du 2 mars sur l’environnement et la loi n° 10/2010 sur l’évaluation environnementale et politique de sauvegarde environnementale et sociale de la Banque Mondiale.</w:t>
      </w:r>
    </w:p>
    <w:p w:rsidR="00181BAB" w:rsidRPr="00693805" w:rsidRDefault="00181BAB" w:rsidP="000B53EE">
      <w:pPr>
        <w:spacing w:after="0"/>
        <w:jc w:val="both"/>
      </w:pPr>
      <w:r w:rsidRPr="00693805">
        <w:t>La loi de base sur l’environnement est un instrument législatif qui dispose comme principe général en son article-2 que « Toute personne a droit à un environnement humain écologiquement équilibré et a le devoir de le défendre, et il est de la responsabilité de l’État, par le biais d’organismes qualifiés et en faisant appel à l’initiative populaire et communautaire, d’œuvrer pour l’amélioration de la qualité de la vie, soit au niveau individuel, soit au niveau collectif ».</w:t>
      </w:r>
    </w:p>
    <w:p w:rsidR="00181BAB" w:rsidRPr="00693805" w:rsidRDefault="00181BAB" w:rsidP="000B53EE">
      <w:pPr>
        <w:spacing w:after="0"/>
        <w:jc w:val="both"/>
      </w:pPr>
      <w:r w:rsidRPr="00693805">
        <w:t>La politique de l’environnement cherche à optimiser et à garantir la continuité dans l’utilisation des ressources naturelles, qualitativement et quantitativement, comme principe fondamental pour un développement durable.</w:t>
      </w:r>
    </w:p>
    <w:p w:rsidR="00181BAB" w:rsidRPr="00693805" w:rsidRDefault="00181BAB" w:rsidP="000B53EE">
      <w:pPr>
        <w:spacing w:after="0"/>
        <w:jc w:val="both"/>
      </w:pPr>
      <w:r w:rsidRPr="00693805">
        <w:t>Ces principes sont établis à partir d’un éventail de mesures (article-4) dont l’objectif est de fournir un cadre qui favorise la santé et le bien-être des personnes, le développement social et culturel des communautés, ainsi que l’amélioration de la qualité de vie.</w:t>
      </w:r>
    </w:p>
    <w:p w:rsidR="00181BAB" w:rsidRPr="00693805" w:rsidRDefault="00181BAB" w:rsidP="000B53EE">
      <w:pPr>
        <w:spacing w:after="0"/>
        <w:jc w:val="both"/>
      </w:pPr>
      <w:r w:rsidRPr="00693805">
        <w:t xml:space="preserve">La loi sur l’évaluation environnementale en son article-6 « intitulé instrument de classification des projets » définit en sa section1- les outils d’évaluation environnementale et prévoit comme outils d’évaluation environnementale dans le cadre de la réalisation d’un projet, les outils suivants : l’étude d’impact sur l’environnement, évaluation environnementale stratégique, l’analyse des risques et études de danger ; la </w:t>
      </w:r>
      <w:r w:rsidRPr="00693805">
        <w:lastRenderedPageBreak/>
        <w:t xml:space="preserve">consultation publique, l’audit environnemental, l’information sur l’environnement, l’évaluation économique de l’environnement, le suivi environnemental, la plan de gestion environnemental et social, le cadre de gestion environnemental et social, le plan d’action de réinstallation et le plan d’occupation interne. Cette étude sera également régie par un certain nombre de textes juridiques ayant trait à l’environnement parmi lesquels </w:t>
      </w:r>
    </w:p>
    <w:p w:rsidR="00181BAB" w:rsidRPr="00693805" w:rsidRDefault="00181BAB" w:rsidP="00FA3FAE">
      <w:pPr>
        <w:numPr>
          <w:ilvl w:val="0"/>
          <w:numId w:val="182"/>
        </w:numPr>
        <w:spacing w:after="0" w:line="240" w:lineRule="auto"/>
        <w:jc w:val="both"/>
      </w:pPr>
      <w:r w:rsidRPr="00693805">
        <w:t>Loi nº 2/98 portant sur le foncier ;</w:t>
      </w:r>
    </w:p>
    <w:p w:rsidR="00181BAB" w:rsidRPr="00693805" w:rsidRDefault="00181BAB" w:rsidP="00FA3FAE">
      <w:pPr>
        <w:numPr>
          <w:ilvl w:val="0"/>
          <w:numId w:val="182"/>
        </w:numPr>
        <w:spacing w:after="0" w:line="240" w:lineRule="auto"/>
        <w:jc w:val="both"/>
      </w:pPr>
      <w:r w:rsidRPr="00693805">
        <w:t>Décret-loi-nº 5/2011 portant sur la forêt </w:t>
      </w:r>
    </w:p>
    <w:p w:rsidR="00181BAB" w:rsidRPr="00693805" w:rsidRDefault="00181BAB" w:rsidP="000B53EE">
      <w:pPr>
        <w:spacing w:after="0"/>
        <w:jc w:val="both"/>
      </w:pPr>
    </w:p>
    <w:p w:rsidR="00181BAB" w:rsidRPr="00693805" w:rsidRDefault="00181BAB" w:rsidP="000B53EE">
      <w:pPr>
        <w:spacing w:after="0"/>
        <w:jc w:val="both"/>
      </w:pPr>
      <w:r w:rsidRPr="00693805">
        <w:t>Sur le plan institutionnel, les départements ministériels concernés au premier chef par cette étude sont le Ministère des Transports et Communications, le Ministère de l’Environnement, le Ministère des Travaux Publics et de l’Urbanisme, le Ministère de l’Economie et Finance et les différentes collectivités territoriales décentralisées traversées par le projet.</w:t>
      </w:r>
    </w:p>
    <w:p w:rsidR="00181BAB" w:rsidRPr="00693805" w:rsidRDefault="00181BAB" w:rsidP="00FA3FAE">
      <w:pPr>
        <w:pStyle w:val="PargrafodaLista"/>
        <w:numPr>
          <w:ilvl w:val="1"/>
          <w:numId w:val="171"/>
        </w:numPr>
        <w:autoSpaceDE w:val="0"/>
        <w:autoSpaceDN w:val="0"/>
        <w:adjustRightInd w:val="0"/>
        <w:spacing w:before="240" w:after="0" w:line="240" w:lineRule="auto"/>
        <w:ind w:left="1987" w:hanging="547"/>
        <w:contextualSpacing w:val="0"/>
        <w:jc w:val="both"/>
        <w:outlineLvl w:val="1"/>
        <w:rPr>
          <w:b/>
          <w:lang w:val="fr-FR"/>
        </w:rPr>
      </w:pPr>
      <w:bookmarkStart w:id="778" w:name="_Toc32511660"/>
      <w:bookmarkStart w:id="779" w:name="_Toc51072641"/>
      <w:r w:rsidRPr="00693805">
        <w:rPr>
          <w:b/>
          <w:lang w:val="fr-FR"/>
        </w:rPr>
        <w:t>Objectif PUASEE-FA</w:t>
      </w:r>
      <w:bookmarkEnd w:id="778"/>
      <w:bookmarkEnd w:id="779"/>
    </w:p>
    <w:p w:rsidR="00181BAB" w:rsidRPr="00693805" w:rsidRDefault="00181BAB" w:rsidP="000B53EE">
      <w:pPr>
        <w:spacing w:after="0"/>
        <w:jc w:val="both"/>
        <w:rPr>
          <w:rFonts w:cs="Arial"/>
        </w:rPr>
      </w:pPr>
      <w:r w:rsidRPr="00693805">
        <w:rPr>
          <w:rFonts w:cs="Arial"/>
        </w:rPr>
        <w:t xml:space="preserve">L’objectif de développement du projet </w:t>
      </w:r>
      <w:r w:rsidRPr="00693805">
        <w:rPr>
          <w:rFonts w:eastAsia="Arial Unicode MS" w:cs="Arial"/>
        </w:rPr>
        <w:t>PUASEE</w:t>
      </w:r>
      <w:r>
        <w:rPr>
          <w:rFonts w:eastAsia="Arial Unicode MS" w:cs="Arial"/>
        </w:rPr>
        <w:t>-FA</w:t>
      </w:r>
      <w:r w:rsidRPr="00693805">
        <w:rPr>
          <w:rFonts w:cs="Arial"/>
        </w:rPr>
        <w:t xml:space="preserve"> est le suivant :</w:t>
      </w:r>
    </w:p>
    <w:p w:rsidR="00181BAB" w:rsidRPr="00693805" w:rsidRDefault="00181BAB" w:rsidP="00FA3FAE">
      <w:pPr>
        <w:pStyle w:val="PargrafodaLista"/>
        <w:numPr>
          <w:ilvl w:val="0"/>
          <w:numId w:val="47"/>
        </w:numPr>
        <w:spacing w:before="120" w:after="0" w:line="360" w:lineRule="auto"/>
        <w:contextualSpacing w:val="0"/>
        <w:jc w:val="both"/>
        <w:rPr>
          <w:rFonts w:cs="Arial"/>
          <w:szCs w:val="22"/>
          <w:lang w:val="fr-FR"/>
        </w:rPr>
      </w:pPr>
      <w:r w:rsidRPr="00693805">
        <w:rPr>
          <w:rFonts w:cs="Arial"/>
          <w:szCs w:val="22"/>
          <w:lang w:val="fr-FR"/>
        </w:rPr>
        <w:t xml:space="preserve">Rétablir et élargir l’accès de la population de Bissau à l’eau potable et améliorer la qualité des services d’alimentation en eau ; et </w:t>
      </w:r>
    </w:p>
    <w:p w:rsidR="00181BAB" w:rsidRPr="00693805" w:rsidRDefault="00181BAB" w:rsidP="00FA3FAE">
      <w:pPr>
        <w:pStyle w:val="PargrafodaLista"/>
        <w:numPr>
          <w:ilvl w:val="0"/>
          <w:numId w:val="47"/>
        </w:numPr>
        <w:spacing w:before="120" w:after="0" w:line="360" w:lineRule="auto"/>
        <w:contextualSpacing w:val="0"/>
        <w:jc w:val="both"/>
        <w:rPr>
          <w:rFonts w:cs="Arial"/>
          <w:szCs w:val="22"/>
          <w:lang w:val="fr-FR"/>
        </w:rPr>
      </w:pPr>
      <w:r w:rsidRPr="00693805">
        <w:rPr>
          <w:rFonts w:cs="Arial"/>
          <w:szCs w:val="22"/>
          <w:lang w:val="fr-FR"/>
        </w:rPr>
        <w:t>Améliorer la fiabilité de la fourniture d’électricité à la population de Bissau.</w:t>
      </w:r>
    </w:p>
    <w:p w:rsidR="00181BAB" w:rsidRPr="00693805" w:rsidRDefault="00181BAB" w:rsidP="000B53EE">
      <w:pPr>
        <w:spacing w:after="0"/>
        <w:jc w:val="both"/>
        <w:rPr>
          <w:rFonts w:cs="Arial"/>
        </w:rPr>
      </w:pPr>
      <w:r w:rsidRPr="00693805">
        <w:rPr>
          <w:rFonts w:cs="Arial"/>
        </w:rPr>
        <w:t xml:space="preserve">Le Projet a été mis en vigueur en juillet 2014 et sa date de clôture était initialement </w:t>
      </w:r>
      <w:r w:rsidRPr="00693805">
        <w:rPr>
          <w:rFonts w:cs="Arial"/>
          <w:strike/>
        </w:rPr>
        <w:t xml:space="preserve">était </w:t>
      </w:r>
      <w:r w:rsidRPr="00693805">
        <w:rPr>
          <w:rFonts w:cs="Arial"/>
        </w:rPr>
        <w:t>prévue au 30 juin 2018. La Banque Mondiale et les autorités bissau-guinéennes ont cependant convenu de la préparation d’un Financement Additionnel (FA) au projet pour appui à de nouvelles actions, dans les domaines suivants :</w:t>
      </w:r>
    </w:p>
    <w:p w:rsidR="00181BAB" w:rsidRPr="00693805" w:rsidRDefault="00181BAB" w:rsidP="00FA3FAE">
      <w:pPr>
        <w:pStyle w:val="PargrafodaLista"/>
        <w:numPr>
          <w:ilvl w:val="0"/>
          <w:numId w:val="61"/>
        </w:numPr>
        <w:spacing w:before="120" w:after="0" w:line="360" w:lineRule="auto"/>
        <w:jc w:val="both"/>
        <w:rPr>
          <w:szCs w:val="22"/>
          <w:lang w:val="fr-FR"/>
        </w:rPr>
      </w:pPr>
      <w:r w:rsidRPr="00693805">
        <w:rPr>
          <w:szCs w:val="22"/>
          <w:lang w:val="fr-FR"/>
        </w:rPr>
        <w:t>Renforcement de la capacité de production d`eau ;</w:t>
      </w:r>
    </w:p>
    <w:p w:rsidR="00181BAB" w:rsidRPr="00693805" w:rsidRDefault="00181BAB" w:rsidP="00FA3FAE">
      <w:pPr>
        <w:pStyle w:val="PargrafodaLista"/>
        <w:numPr>
          <w:ilvl w:val="0"/>
          <w:numId w:val="61"/>
        </w:numPr>
        <w:spacing w:before="120" w:after="0" w:line="360" w:lineRule="auto"/>
        <w:jc w:val="both"/>
        <w:rPr>
          <w:szCs w:val="22"/>
          <w:lang w:val="fr-FR"/>
        </w:rPr>
      </w:pPr>
      <w:r w:rsidRPr="00693805">
        <w:rPr>
          <w:szCs w:val="22"/>
          <w:lang w:val="fr-FR"/>
        </w:rPr>
        <w:t>Augmentation de capacité de stockage ;</w:t>
      </w:r>
    </w:p>
    <w:p w:rsidR="00181BAB" w:rsidRPr="00693805" w:rsidRDefault="00181BAB" w:rsidP="00FA3FAE">
      <w:pPr>
        <w:pStyle w:val="PargrafodaLista"/>
        <w:numPr>
          <w:ilvl w:val="0"/>
          <w:numId w:val="61"/>
        </w:numPr>
        <w:spacing w:before="120" w:after="0" w:line="360" w:lineRule="auto"/>
        <w:jc w:val="both"/>
        <w:rPr>
          <w:szCs w:val="22"/>
          <w:lang w:val="fr-FR"/>
        </w:rPr>
      </w:pPr>
      <w:r w:rsidRPr="00693805">
        <w:rPr>
          <w:szCs w:val="22"/>
          <w:lang w:val="fr-FR"/>
        </w:rPr>
        <w:t>Réhabilitation de réseaux existants ;</w:t>
      </w:r>
    </w:p>
    <w:p w:rsidR="00181BAB" w:rsidRPr="00693805" w:rsidRDefault="00181BAB" w:rsidP="00FA3FAE">
      <w:pPr>
        <w:pStyle w:val="PargrafodaLista"/>
        <w:numPr>
          <w:ilvl w:val="0"/>
          <w:numId w:val="61"/>
        </w:numPr>
        <w:spacing w:before="120" w:after="0" w:line="360" w:lineRule="auto"/>
        <w:jc w:val="both"/>
        <w:rPr>
          <w:szCs w:val="22"/>
          <w:lang w:val="fr-FR"/>
        </w:rPr>
      </w:pPr>
      <w:r w:rsidRPr="00693805">
        <w:rPr>
          <w:szCs w:val="22"/>
          <w:lang w:val="fr-FR"/>
        </w:rPr>
        <w:t>Extension des réseaux secondaires et tertiaires et réalisation de branchements sociaux et de bornes fontaines dans les quartiers périphériques.</w:t>
      </w:r>
    </w:p>
    <w:p w:rsidR="00181BAB" w:rsidRPr="00693805" w:rsidRDefault="00181BAB" w:rsidP="00FA3FAE">
      <w:pPr>
        <w:pStyle w:val="PargrafodaLista"/>
        <w:numPr>
          <w:ilvl w:val="1"/>
          <w:numId w:val="171"/>
        </w:numPr>
        <w:autoSpaceDE w:val="0"/>
        <w:autoSpaceDN w:val="0"/>
        <w:adjustRightInd w:val="0"/>
        <w:spacing w:before="240" w:after="0" w:line="240" w:lineRule="auto"/>
        <w:ind w:left="1987" w:hanging="547"/>
        <w:contextualSpacing w:val="0"/>
        <w:jc w:val="both"/>
        <w:outlineLvl w:val="1"/>
        <w:rPr>
          <w:b/>
          <w:lang w:val="fr-FR"/>
        </w:rPr>
      </w:pPr>
      <w:bookmarkStart w:id="780" w:name="_Toc32511661"/>
      <w:bookmarkStart w:id="781" w:name="_Toc51072642"/>
      <w:r>
        <w:rPr>
          <w:b/>
          <w:lang w:val="fr-FR"/>
        </w:rPr>
        <w:t>Situation actuel du</w:t>
      </w:r>
      <w:r w:rsidRPr="00693805">
        <w:rPr>
          <w:b/>
          <w:lang w:val="fr-FR"/>
        </w:rPr>
        <w:t xml:space="preserve"> système de production de l’eau dans la zone d’intervention du PUASEE-FA (ville de Bissau et périphérie)</w:t>
      </w:r>
      <w:bookmarkEnd w:id="780"/>
      <w:bookmarkEnd w:id="781"/>
      <w:r w:rsidRPr="00693805">
        <w:rPr>
          <w:b/>
          <w:lang w:val="fr-FR"/>
        </w:rPr>
        <w:t xml:space="preserve"> </w:t>
      </w:r>
    </w:p>
    <w:p w:rsidR="00181BAB" w:rsidRPr="00693805" w:rsidRDefault="00181BAB" w:rsidP="000B53EE">
      <w:pPr>
        <w:pStyle w:val="PargrafodaLista"/>
        <w:autoSpaceDE w:val="0"/>
        <w:autoSpaceDN w:val="0"/>
        <w:adjustRightInd w:val="0"/>
        <w:spacing w:before="240" w:after="0"/>
        <w:ind w:left="0"/>
        <w:jc w:val="both"/>
        <w:rPr>
          <w:lang w:val="fr-FR"/>
        </w:rPr>
      </w:pPr>
      <w:r w:rsidRPr="00693805">
        <w:rPr>
          <w:lang w:val="fr-FR"/>
        </w:rPr>
        <w:t>L'approvisionnement en eau dans la plupart des quartiers de la ville de Bissau s'effectue le plus souvent par l’utilisation de puits de faible profondeur où l'eau est extraite à l'aide de seaux ou de bidons sans subir aucun traitement ni filtration. Beaucoup de gens, soucieux de la présence éventuelle de débris ou de contamination, filtrent l’eau à travers un chiffon. A partir de ce moment, l'eau est prête à être consommée. Ce problème concerne la majorité des nouvelles zones d’expansion urbaine. De plus, le nombre de puits n'est pas élevé et il y a donc beaucoup moins qu’un puits par habitation. Ainsi, il est normal de voir des déplacements d’enfants et de femmes munis de seaux d’une maison à l’autre, pour utiliser des puits privés, avec l’autorisation de leurs propriétaires, qui se transforment ainsi en puits semi-publics.</w:t>
      </w:r>
    </w:p>
    <w:tbl>
      <w:tblPr>
        <w:tblW w:w="0" w:type="auto"/>
        <w:jc w:val="center"/>
        <w:tblLook w:val="04A0" w:firstRow="1" w:lastRow="0" w:firstColumn="1" w:lastColumn="0" w:noHBand="0" w:noVBand="1"/>
      </w:tblPr>
      <w:tblGrid>
        <w:gridCol w:w="4247"/>
        <w:gridCol w:w="4598"/>
      </w:tblGrid>
      <w:tr w:rsidR="00181BAB" w:rsidRPr="00693805" w:rsidTr="008734B0">
        <w:trPr>
          <w:jc w:val="center"/>
        </w:trPr>
        <w:tc>
          <w:tcPr>
            <w:tcW w:w="4247" w:type="dxa"/>
          </w:tcPr>
          <w:p w:rsidR="00181BAB" w:rsidRPr="00693805" w:rsidRDefault="00332A41" w:rsidP="000B53EE">
            <w:pPr>
              <w:spacing w:after="0"/>
            </w:pPr>
            <w:r>
              <w:rPr>
                <w:noProof/>
                <w:lang w:eastAsia="pt-PT"/>
              </w:rPr>
              <w:pict w14:anchorId="6DEAF051">
                <v:shape id="Imagem 1366" o:spid="_x0000_i1027" type="#_x0000_t75" style="width:198.5pt;height:131.5pt;visibility:visible">
                  <v:imagedata r:id="rId158" o:title="" croptop="29676f" cropbottom="15277f" cropleft="16571f" cropright="28369f"/>
                </v:shape>
              </w:pict>
            </w:r>
          </w:p>
        </w:tc>
        <w:tc>
          <w:tcPr>
            <w:tcW w:w="4589" w:type="dxa"/>
          </w:tcPr>
          <w:p w:rsidR="00181BAB" w:rsidRPr="00693805" w:rsidRDefault="00332A41" w:rsidP="000B53EE">
            <w:pPr>
              <w:spacing w:after="0"/>
            </w:pPr>
            <w:r>
              <w:rPr>
                <w:noProof/>
                <w:lang w:eastAsia="pt-PT"/>
              </w:rPr>
              <w:pict w14:anchorId="6912397A">
                <v:shape id="Imagem 1367" o:spid="_x0000_i1028" type="#_x0000_t75" style="width:219pt;height:136pt;visibility:visible">
                  <v:imagedata r:id="rId159" o:title=""/>
                </v:shape>
              </w:pict>
            </w:r>
          </w:p>
        </w:tc>
      </w:tr>
      <w:tr w:rsidR="00181BAB" w:rsidRPr="00693805" w:rsidTr="008734B0">
        <w:trPr>
          <w:jc w:val="center"/>
        </w:trPr>
        <w:tc>
          <w:tcPr>
            <w:tcW w:w="4247" w:type="dxa"/>
          </w:tcPr>
          <w:p w:rsidR="00181BAB" w:rsidRPr="00693805" w:rsidRDefault="00181BAB" w:rsidP="000B53EE">
            <w:pPr>
              <w:spacing w:after="0"/>
              <w:rPr>
                <w:noProof/>
                <w:lang w:eastAsia="pt-PT"/>
              </w:rPr>
            </w:pPr>
            <w:r w:rsidRPr="00693805">
              <w:rPr>
                <w:noProof/>
                <w:sz w:val="20"/>
                <w:lang w:eastAsia="pt-PT"/>
              </w:rPr>
              <w:t xml:space="preserve">Sources: Prospectiva - </w:t>
            </w:r>
            <w:r w:rsidRPr="00693805">
              <w:rPr>
                <w:sz w:val="20"/>
              </w:rPr>
              <w:t>Puits  (Prabis), 2019</w:t>
            </w:r>
          </w:p>
        </w:tc>
        <w:tc>
          <w:tcPr>
            <w:tcW w:w="4589" w:type="dxa"/>
          </w:tcPr>
          <w:p w:rsidR="00181BAB" w:rsidRPr="00693805" w:rsidRDefault="00181BAB" w:rsidP="000B53EE">
            <w:pPr>
              <w:spacing w:after="0"/>
              <w:rPr>
                <w:noProof/>
                <w:lang w:eastAsia="pt-PT"/>
              </w:rPr>
            </w:pPr>
            <w:r w:rsidRPr="00693805">
              <w:rPr>
                <w:noProof/>
                <w:sz w:val="20"/>
                <w:lang w:eastAsia="pt-PT"/>
              </w:rPr>
              <w:t xml:space="preserve">Source: Prospectiva - </w:t>
            </w:r>
            <w:r w:rsidRPr="00693805">
              <w:rPr>
                <w:sz w:val="20"/>
              </w:rPr>
              <w:t>Pompe manuelle</w:t>
            </w:r>
            <w:r w:rsidRPr="00693805">
              <w:rPr>
                <w:sz w:val="18"/>
              </w:rPr>
              <w:t xml:space="preserve">  (Prabis), 2019</w:t>
            </w:r>
          </w:p>
        </w:tc>
      </w:tr>
    </w:tbl>
    <w:p w:rsidR="00181BAB" w:rsidRPr="00693805" w:rsidRDefault="00181BAB" w:rsidP="000B53EE">
      <w:pPr>
        <w:pStyle w:val="PargrafodaLista"/>
        <w:autoSpaceDE w:val="0"/>
        <w:autoSpaceDN w:val="0"/>
        <w:adjustRightInd w:val="0"/>
        <w:spacing w:before="240" w:after="0"/>
        <w:ind w:left="0"/>
        <w:jc w:val="both"/>
        <w:rPr>
          <w:lang w:val="fr-FR"/>
        </w:rPr>
      </w:pPr>
      <w:r w:rsidRPr="00693805">
        <w:rPr>
          <w:lang w:val="fr-FR"/>
        </w:rPr>
        <w:t xml:space="preserve">Le remplacement de ces points d’eau par des Bornes Fontaines (dans une 1ére phase, et par les branchements domiciliaires dans une 2éme phase) connectées au réseau d’AEP, qui est alimenté par captage d’eau profonde, de bonne qualité, </w:t>
      </w:r>
      <w:r w:rsidRPr="00693805">
        <w:rPr>
          <w:lang w:val="fr-FR"/>
        </w:rPr>
        <w:lastRenderedPageBreak/>
        <w:t>augmentera significativement les conditions de salubrité et de santé publique des usagers et réduisant de façon draconienne les risques de contamination, atteignant ainsi un des objectifs principaux fixés pour le PUASEE/FA.</w:t>
      </w:r>
    </w:p>
    <w:p w:rsidR="00181BAB" w:rsidRPr="00693805" w:rsidRDefault="00181BAB" w:rsidP="00FA3FAE">
      <w:pPr>
        <w:pStyle w:val="PargrafodaLista"/>
        <w:numPr>
          <w:ilvl w:val="1"/>
          <w:numId w:val="171"/>
        </w:numPr>
        <w:autoSpaceDE w:val="0"/>
        <w:autoSpaceDN w:val="0"/>
        <w:adjustRightInd w:val="0"/>
        <w:spacing w:before="240" w:after="0" w:line="240" w:lineRule="auto"/>
        <w:ind w:left="1987" w:hanging="547"/>
        <w:contextualSpacing w:val="0"/>
        <w:jc w:val="both"/>
        <w:outlineLvl w:val="1"/>
        <w:rPr>
          <w:b/>
          <w:lang w:val="fr-FR"/>
        </w:rPr>
      </w:pPr>
      <w:bookmarkStart w:id="782" w:name="_Toc16669480"/>
      <w:bookmarkStart w:id="783" w:name="_Toc20820255"/>
      <w:bookmarkStart w:id="784" w:name="_Toc32511662"/>
      <w:bookmarkStart w:id="785" w:name="_Toc51072643"/>
      <w:r w:rsidRPr="00693805">
        <w:rPr>
          <w:b/>
          <w:lang w:val="fr-FR"/>
        </w:rPr>
        <w:t>Les forages existants et projetés</w:t>
      </w:r>
      <w:bookmarkEnd w:id="782"/>
      <w:bookmarkEnd w:id="783"/>
      <w:bookmarkEnd w:id="784"/>
      <w:bookmarkEnd w:id="785"/>
    </w:p>
    <w:p w:rsidR="00181BAB" w:rsidRPr="00693805" w:rsidRDefault="00181BAB" w:rsidP="000B53EE">
      <w:pPr>
        <w:spacing w:after="0"/>
        <w:jc w:val="both"/>
      </w:pPr>
      <w:r w:rsidRPr="00693805">
        <w:t>La ville de Bissau est alimentée par 16 forages profonds captant la nappe du maestrichtien sur une profondeur pouvant atteindre 270 m. Cette nappe présente globalement une eau de bonne qualité, ne nécessitant pas de traitement préalable. Les plus anciens forages remontent à l’année 1970. Les plus anciens forages (exécutés en 1970) font actuellement l’objet d’un programme de rénovation en raison de leur vieillissement et de la chute de leurs caractéristiques hydrodynamiques.</w:t>
      </w:r>
    </w:p>
    <w:p w:rsidR="00181BAB" w:rsidRPr="00693805" w:rsidRDefault="00181BAB" w:rsidP="000B53EE">
      <w:pPr>
        <w:spacing w:after="0"/>
        <w:jc w:val="both"/>
      </w:pPr>
      <w:r w:rsidRPr="00693805">
        <w:t>Trois nouveaux forages ont aussi été construits en 2015 :</w:t>
      </w:r>
      <w:r>
        <w:t xml:space="preserve"> F</w:t>
      </w:r>
      <w:r w:rsidRPr="00693805">
        <w:t>orage d’Alto Crim (250m</w:t>
      </w:r>
      <w:r w:rsidRPr="00693805">
        <w:rPr>
          <w:vertAlign w:val="superscript"/>
        </w:rPr>
        <w:t>3</w:t>
      </w:r>
      <w:r w:rsidRPr="00693805">
        <w:t>/h), forage de Bra-Escola Técnica (250m</w:t>
      </w:r>
      <w:r w:rsidRPr="00693805">
        <w:rPr>
          <w:vertAlign w:val="superscript"/>
        </w:rPr>
        <w:t>3</w:t>
      </w:r>
      <w:r w:rsidRPr="00693805">
        <w:t>/h) et forage de Guinée-Télécom (250m</w:t>
      </w:r>
      <w:r w:rsidRPr="00693805">
        <w:rPr>
          <w:vertAlign w:val="superscript"/>
        </w:rPr>
        <w:t>3</w:t>
      </w:r>
      <w:r w:rsidRPr="00693805">
        <w:t>/h).</w:t>
      </w:r>
    </w:p>
    <w:p w:rsidR="00181BAB" w:rsidRPr="00693805" w:rsidRDefault="00181BAB" w:rsidP="000B53EE">
      <w:pPr>
        <w:spacing w:after="0"/>
        <w:jc w:val="both"/>
      </w:pPr>
      <w:r w:rsidRPr="00693805">
        <w:t xml:space="preserve">La capacité maximale de production journalière actuelle, considérant une moyenne de 15,5 heures de fonctionnement par jour, est donc de </w:t>
      </w:r>
      <w:r w:rsidRPr="00693805">
        <w:rPr>
          <w:rFonts w:cs="Arial"/>
        </w:rPr>
        <w:t>±</w:t>
      </w:r>
      <w:r w:rsidRPr="00693805">
        <w:t>34 000 m</w:t>
      </w:r>
      <w:r w:rsidRPr="00693805">
        <w:rPr>
          <w:vertAlign w:val="superscript"/>
        </w:rPr>
        <w:t>3</w:t>
      </w:r>
      <w:r w:rsidRPr="00693805">
        <w:t>.</w:t>
      </w:r>
    </w:p>
    <w:p w:rsidR="00181BAB" w:rsidRPr="00693805" w:rsidRDefault="00181BAB" w:rsidP="000B53EE">
      <w:pPr>
        <w:spacing w:after="0"/>
        <w:jc w:val="both"/>
      </w:pPr>
      <w:r w:rsidRPr="00693805">
        <w:t xml:space="preserve">La demande estimée en jour moyen est de 32.519 </w:t>
      </w:r>
      <w:r w:rsidRPr="00693805">
        <w:rPr>
          <w:rFonts w:ascii="Calibri" w:hAnsi="Calibri"/>
          <w:color w:val="000000"/>
        </w:rPr>
        <w:t>m</w:t>
      </w:r>
      <w:r w:rsidRPr="00693805">
        <w:rPr>
          <w:rFonts w:ascii="Calibri" w:hAnsi="Calibri"/>
          <w:color w:val="000000"/>
          <w:vertAlign w:val="superscript"/>
        </w:rPr>
        <w:t xml:space="preserve">3 </w:t>
      </w:r>
      <w:r w:rsidRPr="00693805">
        <w:rPr>
          <w:rFonts w:ascii="Calibri" w:hAnsi="Calibri"/>
          <w:color w:val="000000"/>
        </w:rPr>
        <w:t>(</w:t>
      </w:r>
      <w:r w:rsidRPr="00693805">
        <w:t>14 h 45 min de pompage</w:t>
      </w:r>
      <w:r w:rsidRPr="00693805">
        <w:rPr>
          <w:rFonts w:ascii="Calibri" w:hAnsi="Calibri"/>
          <w:color w:val="000000"/>
        </w:rPr>
        <w:t xml:space="preserve">) </w:t>
      </w:r>
      <w:r w:rsidRPr="00693805">
        <w:t>et en jour de pointe elle est de 35.771</w:t>
      </w:r>
      <w:r w:rsidRPr="00693805">
        <w:rPr>
          <w:rFonts w:ascii="Calibri" w:hAnsi="Calibri"/>
          <w:color w:val="000000"/>
        </w:rPr>
        <w:t xml:space="preserve"> m</w:t>
      </w:r>
      <w:r w:rsidRPr="00693805">
        <w:rPr>
          <w:rFonts w:ascii="Calibri" w:hAnsi="Calibri"/>
          <w:color w:val="000000"/>
          <w:vertAlign w:val="superscript"/>
        </w:rPr>
        <w:t>3</w:t>
      </w:r>
      <w:r w:rsidRPr="00693805">
        <w:t>(16 h 15 min de pompage</w:t>
      </w:r>
      <w:r w:rsidRPr="00693805">
        <w:rPr>
          <w:rFonts w:ascii="Calibri" w:hAnsi="Calibri"/>
          <w:color w:val="000000"/>
        </w:rPr>
        <w:t>)</w:t>
      </w:r>
      <w:r w:rsidRPr="00693805">
        <w:t>.</w:t>
      </w:r>
    </w:p>
    <w:p w:rsidR="00181BAB" w:rsidRPr="00693805" w:rsidRDefault="00181BAB" w:rsidP="000B53EE">
      <w:pPr>
        <w:spacing w:after="0"/>
        <w:jc w:val="both"/>
      </w:pPr>
      <w:r w:rsidRPr="00693805">
        <w:t>Le temps de fonctionnement des GEP est estimée en 15 heures par jour pour tenir compte des périodes de coupure d’énergie électrique et surtout de la faible capacité de réservation intra-journalière (qui oblige à ce que le temps de fonctionnement des forages soit pratiquement le même que celui de consommation des ménages). À l’horizon du projet (2040) cette capacite devra être de 76.280 m3/jour (pointe). Il faudra donc mettre en œuvre entre 2020 et 2040 environ 10 nouveaux forages de capacité 250 m</w:t>
      </w:r>
      <w:r w:rsidRPr="00693805">
        <w:rPr>
          <w:vertAlign w:val="superscript"/>
        </w:rPr>
        <w:t>3</w:t>
      </w:r>
      <w:r w:rsidRPr="00693805">
        <w:t>/h. Ce chiffre pourra être réduit si la capacité de réservation est augmentée de façon à permettre une période de fonctionnement des GEP supérieure à 15 heures par jour.</w:t>
      </w:r>
    </w:p>
    <w:p w:rsidR="00181BAB" w:rsidRPr="00693805" w:rsidRDefault="00181BAB" w:rsidP="000B53EE">
      <w:pPr>
        <w:spacing w:after="0"/>
        <w:jc w:val="both"/>
        <w:rPr>
          <w:b/>
        </w:rPr>
      </w:pPr>
      <w:r w:rsidRPr="00693805">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1"/>
        <w:gridCol w:w="5100"/>
      </w:tblGrid>
      <w:tr w:rsidR="00181BAB" w:rsidRPr="00693805" w:rsidTr="008734B0">
        <w:tc>
          <w:tcPr>
            <w:tcW w:w="4531" w:type="dxa"/>
            <w:tcBorders>
              <w:bottom w:val="nil"/>
            </w:tcBorders>
          </w:tcPr>
          <w:p w:rsidR="00181BAB" w:rsidRPr="00693805" w:rsidRDefault="00181BAB" w:rsidP="000B53EE">
            <w:pPr>
              <w:spacing w:after="0"/>
              <w:rPr>
                <w:rFonts w:ascii="Calibri" w:hAnsi="Calibri" w:cs="Calibri"/>
                <w:noProof/>
              </w:rPr>
            </w:pPr>
            <w:r w:rsidRPr="00693805">
              <w:rPr>
                <w:rFonts w:ascii="Calibri" w:hAnsi="Calibri" w:cs="Calibri"/>
                <w:noProof/>
              </w:rPr>
              <w:t>FORAGES DE L’ETAGE 1</w:t>
            </w:r>
          </w:p>
        </w:tc>
        <w:tc>
          <w:tcPr>
            <w:tcW w:w="5100" w:type="dxa"/>
            <w:tcBorders>
              <w:bottom w:val="nil"/>
            </w:tcBorders>
          </w:tcPr>
          <w:p w:rsidR="00181BAB" w:rsidRPr="00693805" w:rsidRDefault="00181BAB" w:rsidP="000B53EE">
            <w:pPr>
              <w:spacing w:after="0"/>
              <w:rPr>
                <w:rFonts w:ascii="Calibri" w:hAnsi="Calibri" w:cs="Calibri"/>
                <w:noProof/>
              </w:rPr>
            </w:pPr>
            <w:r w:rsidRPr="00693805">
              <w:rPr>
                <w:rFonts w:ascii="Calibri" w:hAnsi="Calibri" w:cs="Calibri"/>
                <w:noProof/>
              </w:rPr>
              <w:t>FORAGES DE L’ETAGE 2</w:t>
            </w:r>
          </w:p>
        </w:tc>
      </w:tr>
      <w:tr w:rsidR="00181BAB" w:rsidRPr="003C548E" w:rsidTr="008734B0">
        <w:trPr>
          <w:trHeight w:val="593"/>
        </w:trPr>
        <w:tc>
          <w:tcPr>
            <w:tcW w:w="4531" w:type="dxa"/>
            <w:tcBorders>
              <w:top w:val="nil"/>
              <w:bottom w:val="nil"/>
            </w:tcBorders>
          </w:tcPr>
          <w:p w:rsidR="00181BAB" w:rsidRPr="00693805" w:rsidRDefault="00181BAB" w:rsidP="00FA3FAE">
            <w:pPr>
              <w:pStyle w:val="PargrafodaLista"/>
              <w:numPr>
                <w:ilvl w:val="0"/>
                <w:numId w:val="186"/>
              </w:numPr>
              <w:spacing w:after="0" w:line="240" w:lineRule="auto"/>
              <w:contextualSpacing w:val="0"/>
              <w:rPr>
                <w:rFonts w:cs="Calibri"/>
                <w:color w:val="7030A0"/>
                <w:lang w:val="fr-FR"/>
              </w:rPr>
            </w:pPr>
            <w:r w:rsidRPr="00693805">
              <w:rPr>
                <w:rFonts w:cs="Calibri"/>
                <w:color w:val="7030A0"/>
                <w:lang w:val="fr-FR"/>
              </w:rPr>
              <w:t>Forage Aéroport (nouveau)</w:t>
            </w:r>
            <w:r w:rsidRPr="00693805">
              <w:rPr>
                <w:rFonts w:cs="Calibri"/>
                <w:color w:val="70AD47"/>
                <w:lang w:val="fr-FR"/>
              </w:rPr>
              <w:t xml:space="preserve"> </w:t>
            </w:r>
            <w:r w:rsidRPr="00693805">
              <w:rPr>
                <w:rFonts w:cs="Calibri"/>
                <w:color w:val="7030A0"/>
                <w:lang w:val="fr-FR"/>
              </w:rPr>
              <w:t>150 m</w:t>
            </w:r>
            <w:r w:rsidRPr="00693805">
              <w:rPr>
                <w:rFonts w:cs="Calibri"/>
                <w:color w:val="7030A0"/>
                <w:vertAlign w:val="superscript"/>
                <w:lang w:val="fr-FR"/>
              </w:rPr>
              <w:t>3</w:t>
            </w:r>
            <w:r w:rsidRPr="00693805">
              <w:rPr>
                <w:rFonts w:cs="Calibri"/>
                <w:color w:val="7030A0"/>
                <w:lang w:val="fr-FR"/>
              </w:rPr>
              <w:t>/h</w:t>
            </w:r>
          </w:p>
          <w:p w:rsidR="00181BAB" w:rsidRPr="000369CE" w:rsidRDefault="00181BAB" w:rsidP="00FA3FAE">
            <w:pPr>
              <w:pStyle w:val="PargrafodaLista"/>
              <w:numPr>
                <w:ilvl w:val="0"/>
                <w:numId w:val="186"/>
              </w:numPr>
              <w:spacing w:after="0" w:line="240" w:lineRule="auto"/>
              <w:contextualSpacing w:val="0"/>
              <w:rPr>
                <w:rFonts w:cs="Calibri"/>
                <w:color w:val="70AD47"/>
                <w:lang w:val="pt-PT"/>
              </w:rPr>
            </w:pPr>
            <w:r w:rsidRPr="000369CE">
              <w:rPr>
                <w:rFonts w:cs="Calibri"/>
                <w:color w:val="70AD47"/>
                <w:lang w:val="pt-PT"/>
              </w:rPr>
              <w:t>Forage Djolo (existant) (125 m</w:t>
            </w:r>
            <w:r w:rsidRPr="000369CE">
              <w:rPr>
                <w:rFonts w:cs="Calibri"/>
                <w:color w:val="70AD47"/>
                <w:vertAlign w:val="superscript"/>
                <w:lang w:val="pt-PT"/>
              </w:rPr>
              <w:t>3</w:t>
            </w:r>
            <w:r w:rsidRPr="000369CE">
              <w:rPr>
                <w:rFonts w:cs="Calibri"/>
                <w:color w:val="70AD47"/>
                <w:lang w:val="pt-PT"/>
              </w:rPr>
              <w:t xml:space="preserve">/h </w:t>
            </w:r>
            <w:r w:rsidRPr="000369CE">
              <w:rPr>
                <w:rFonts w:cs="Calibri"/>
                <w:b/>
                <w:bCs/>
                <w:color w:val="70AD47"/>
                <w:lang w:val="pt-PT"/>
              </w:rPr>
              <w:t>?</w:t>
            </w:r>
            <w:r w:rsidRPr="000369CE">
              <w:rPr>
                <w:rFonts w:cs="Calibri"/>
                <w:color w:val="70AD47"/>
                <w:lang w:val="pt-PT"/>
              </w:rPr>
              <w:t>)</w:t>
            </w:r>
          </w:p>
          <w:p w:rsidR="00181BAB" w:rsidRPr="000369CE" w:rsidRDefault="00181BAB" w:rsidP="00FA3FAE">
            <w:pPr>
              <w:pStyle w:val="PargrafodaLista"/>
              <w:numPr>
                <w:ilvl w:val="0"/>
                <w:numId w:val="186"/>
              </w:numPr>
              <w:spacing w:after="0" w:line="240" w:lineRule="auto"/>
              <w:contextualSpacing w:val="0"/>
              <w:rPr>
                <w:rFonts w:cs="Calibri"/>
                <w:color w:val="70AD47"/>
                <w:lang w:val="pt-PT"/>
              </w:rPr>
            </w:pPr>
            <w:r w:rsidRPr="000369CE">
              <w:rPr>
                <w:rFonts w:cs="Calibri"/>
                <w:color w:val="70AD47"/>
                <w:lang w:val="pt-PT"/>
              </w:rPr>
              <w:t>Forage Bra Escola Técnica (existant) 300 m</w:t>
            </w:r>
            <w:r w:rsidRPr="000369CE">
              <w:rPr>
                <w:rFonts w:cs="Calibri"/>
                <w:color w:val="70AD47"/>
                <w:vertAlign w:val="superscript"/>
                <w:lang w:val="pt-PT"/>
              </w:rPr>
              <w:t>3</w:t>
            </w:r>
            <w:r w:rsidRPr="000369CE">
              <w:rPr>
                <w:rFonts w:cs="Calibri"/>
                <w:color w:val="70AD47"/>
                <w:lang w:val="pt-PT"/>
              </w:rPr>
              <w:t>/h</w:t>
            </w:r>
          </w:p>
          <w:p w:rsidR="00181BAB" w:rsidRPr="000369CE" w:rsidRDefault="00181BAB" w:rsidP="00FA3FAE">
            <w:pPr>
              <w:pStyle w:val="PargrafodaLista"/>
              <w:numPr>
                <w:ilvl w:val="0"/>
                <w:numId w:val="186"/>
              </w:numPr>
              <w:spacing w:after="0" w:line="240" w:lineRule="auto"/>
              <w:contextualSpacing w:val="0"/>
              <w:rPr>
                <w:rFonts w:cs="Calibri"/>
                <w:color w:val="70AD47"/>
                <w:lang w:val="pt-PT"/>
              </w:rPr>
            </w:pPr>
            <w:r w:rsidRPr="000369CE">
              <w:rPr>
                <w:rFonts w:cs="Calibri"/>
                <w:color w:val="70AD47"/>
                <w:lang w:val="pt-PT"/>
              </w:rPr>
              <w:t>Forage Guiné Telecom (existant) 300 m</w:t>
            </w:r>
            <w:r w:rsidRPr="000369CE">
              <w:rPr>
                <w:rFonts w:cs="Calibri"/>
                <w:color w:val="70AD47"/>
                <w:vertAlign w:val="superscript"/>
                <w:lang w:val="pt-PT"/>
              </w:rPr>
              <w:t>3</w:t>
            </w:r>
            <w:r w:rsidRPr="000369CE">
              <w:rPr>
                <w:rFonts w:cs="Calibri"/>
                <w:color w:val="70AD47"/>
                <w:lang w:val="pt-PT"/>
              </w:rPr>
              <w:t>/h</w:t>
            </w:r>
          </w:p>
          <w:p w:rsidR="00181BAB" w:rsidRPr="000369CE" w:rsidRDefault="00181BAB" w:rsidP="00FA3FAE">
            <w:pPr>
              <w:pStyle w:val="PargrafodaLista"/>
              <w:numPr>
                <w:ilvl w:val="0"/>
                <w:numId w:val="186"/>
              </w:numPr>
              <w:spacing w:after="0" w:line="240" w:lineRule="auto"/>
              <w:contextualSpacing w:val="0"/>
              <w:rPr>
                <w:rFonts w:cs="Calibri"/>
                <w:color w:val="70AD47"/>
                <w:lang w:val="pt-PT"/>
              </w:rPr>
            </w:pPr>
            <w:r w:rsidRPr="000369CE">
              <w:rPr>
                <w:rFonts w:cs="Calibri"/>
                <w:color w:val="70AD47"/>
                <w:lang w:val="pt-PT"/>
              </w:rPr>
              <w:t>Forage Mãe d’Água (existant) 125 m</w:t>
            </w:r>
            <w:r w:rsidRPr="000369CE">
              <w:rPr>
                <w:rFonts w:cs="Calibri"/>
                <w:color w:val="70AD47"/>
                <w:vertAlign w:val="superscript"/>
                <w:lang w:val="pt-PT"/>
              </w:rPr>
              <w:t>3</w:t>
            </w:r>
            <w:r w:rsidRPr="000369CE">
              <w:rPr>
                <w:rFonts w:cs="Calibri"/>
                <w:color w:val="70AD47"/>
                <w:lang w:val="pt-PT"/>
              </w:rPr>
              <w:t>/h</w:t>
            </w:r>
          </w:p>
          <w:p w:rsidR="00181BAB" w:rsidRPr="000369CE" w:rsidRDefault="00181BAB" w:rsidP="00FA3FAE">
            <w:pPr>
              <w:pStyle w:val="PargrafodaLista"/>
              <w:numPr>
                <w:ilvl w:val="0"/>
                <w:numId w:val="186"/>
              </w:numPr>
              <w:spacing w:after="0" w:line="240" w:lineRule="auto"/>
              <w:contextualSpacing w:val="0"/>
              <w:rPr>
                <w:rFonts w:cs="Calibri"/>
                <w:color w:val="7030A0"/>
                <w:lang w:val="pt-PT"/>
              </w:rPr>
            </w:pPr>
            <w:r w:rsidRPr="000369CE">
              <w:rPr>
                <w:rFonts w:cs="Calibri"/>
                <w:color w:val="70AD47"/>
                <w:lang w:val="pt-PT"/>
              </w:rPr>
              <w:t>Forage Pequeno Moscovo (existant) 125 m</w:t>
            </w:r>
            <w:r w:rsidRPr="000369CE">
              <w:rPr>
                <w:rFonts w:cs="Calibri"/>
                <w:color w:val="70AD47"/>
                <w:vertAlign w:val="superscript"/>
                <w:lang w:val="pt-PT"/>
              </w:rPr>
              <w:t>3</w:t>
            </w:r>
            <w:r w:rsidRPr="000369CE">
              <w:rPr>
                <w:rFonts w:cs="Calibri"/>
                <w:color w:val="70AD47"/>
                <w:lang w:val="pt-PT"/>
              </w:rPr>
              <w:t>/h</w:t>
            </w:r>
          </w:p>
          <w:p w:rsidR="00181BAB" w:rsidRPr="00693805" w:rsidRDefault="00181BAB" w:rsidP="00FA3FAE">
            <w:pPr>
              <w:pStyle w:val="PargrafodaLista"/>
              <w:numPr>
                <w:ilvl w:val="0"/>
                <w:numId w:val="186"/>
              </w:numPr>
              <w:spacing w:after="0" w:line="240" w:lineRule="auto"/>
              <w:contextualSpacing w:val="0"/>
              <w:rPr>
                <w:rFonts w:cs="Calibri"/>
                <w:color w:val="538135"/>
                <w:lang w:val="fr-FR"/>
              </w:rPr>
            </w:pPr>
            <w:r w:rsidRPr="00693805">
              <w:rPr>
                <w:rFonts w:cs="Calibri"/>
                <w:color w:val="7030A0"/>
                <w:lang w:val="fr-FR"/>
              </w:rPr>
              <w:t>Forage Bôr (nouveau)</w:t>
            </w:r>
            <w:r w:rsidRPr="00693805">
              <w:rPr>
                <w:rFonts w:cs="Calibri"/>
                <w:color w:val="70AD47"/>
                <w:lang w:val="fr-FR"/>
              </w:rPr>
              <w:t xml:space="preserve"> </w:t>
            </w:r>
            <w:r w:rsidRPr="00693805">
              <w:rPr>
                <w:rFonts w:cs="Calibri"/>
                <w:color w:val="7030A0"/>
                <w:lang w:val="fr-FR"/>
              </w:rPr>
              <w:t>250 m</w:t>
            </w:r>
            <w:r w:rsidRPr="00693805">
              <w:rPr>
                <w:rFonts w:cs="Calibri"/>
                <w:color w:val="7030A0"/>
                <w:vertAlign w:val="superscript"/>
                <w:lang w:val="fr-FR"/>
              </w:rPr>
              <w:t>3</w:t>
            </w:r>
            <w:r w:rsidRPr="00693805">
              <w:rPr>
                <w:rFonts w:cs="Calibri"/>
                <w:color w:val="7030A0"/>
                <w:lang w:val="fr-FR"/>
              </w:rPr>
              <w:t>/h</w:t>
            </w:r>
          </w:p>
          <w:p w:rsidR="00181BAB" w:rsidRPr="000369CE" w:rsidRDefault="00181BAB" w:rsidP="00FA3FAE">
            <w:pPr>
              <w:pStyle w:val="PargrafodaLista"/>
              <w:numPr>
                <w:ilvl w:val="0"/>
                <w:numId w:val="186"/>
              </w:numPr>
              <w:spacing w:after="0" w:line="240" w:lineRule="auto"/>
              <w:contextualSpacing w:val="0"/>
              <w:rPr>
                <w:rFonts w:cs="Calibri"/>
                <w:color w:val="70AD47"/>
                <w:lang w:val="pt-PT"/>
              </w:rPr>
            </w:pPr>
            <w:r w:rsidRPr="000369CE">
              <w:rPr>
                <w:rFonts w:cs="Calibri"/>
                <w:color w:val="70AD47"/>
                <w:lang w:val="pt-PT"/>
              </w:rPr>
              <w:t>Forage 3 de Agosto (existant) 250 m</w:t>
            </w:r>
            <w:r w:rsidRPr="000369CE">
              <w:rPr>
                <w:rFonts w:cs="Calibri"/>
                <w:color w:val="70AD47"/>
                <w:vertAlign w:val="superscript"/>
                <w:lang w:val="pt-PT"/>
              </w:rPr>
              <w:t>3</w:t>
            </w:r>
            <w:r w:rsidRPr="000369CE">
              <w:rPr>
                <w:rFonts w:cs="Calibri"/>
                <w:color w:val="70AD47"/>
                <w:lang w:val="pt-PT"/>
              </w:rPr>
              <w:t>/h</w:t>
            </w:r>
          </w:p>
        </w:tc>
        <w:tc>
          <w:tcPr>
            <w:tcW w:w="5100" w:type="dxa"/>
            <w:tcBorders>
              <w:top w:val="nil"/>
              <w:bottom w:val="nil"/>
            </w:tcBorders>
          </w:tcPr>
          <w:p w:rsidR="00181BAB" w:rsidRPr="000369CE" w:rsidRDefault="00181BAB" w:rsidP="00FA3FAE">
            <w:pPr>
              <w:pStyle w:val="PargrafodaLista"/>
              <w:numPr>
                <w:ilvl w:val="0"/>
                <w:numId w:val="186"/>
              </w:numPr>
              <w:spacing w:after="0" w:line="240" w:lineRule="auto"/>
              <w:contextualSpacing w:val="0"/>
              <w:rPr>
                <w:rFonts w:cs="Calibri"/>
                <w:color w:val="70AD47"/>
                <w:lang w:val="pt-PT"/>
              </w:rPr>
            </w:pPr>
            <w:r w:rsidRPr="000369CE">
              <w:rPr>
                <w:rFonts w:cs="Calibri"/>
                <w:color w:val="70AD47"/>
                <w:lang w:val="pt-PT"/>
              </w:rPr>
              <w:t>Forage Nova Central (existant) 50 m</w:t>
            </w:r>
            <w:r w:rsidRPr="000369CE">
              <w:rPr>
                <w:rFonts w:cs="Calibri"/>
                <w:color w:val="70AD47"/>
                <w:vertAlign w:val="superscript"/>
                <w:lang w:val="pt-PT"/>
              </w:rPr>
              <w:t>3</w:t>
            </w:r>
            <w:r w:rsidRPr="000369CE">
              <w:rPr>
                <w:rFonts w:cs="Calibri"/>
                <w:color w:val="70AD47"/>
                <w:lang w:val="pt-PT"/>
              </w:rPr>
              <w:t>/h</w:t>
            </w:r>
          </w:p>
          <w:p w:rsidR="00181BAB" w:rsidRPr="000369CE" w:rsidRDefault="00181BAB" w:rsidP="00FA3FAE">
            <w:pPr>
              <w:pStyle w:val="PargrafodaLista"/>
              <w:numPr>
                <w:ilvl w:val="0"/>
                <w:numId w:val="186"/>
              </w:numPr>
              <w:spacing w:after="0" w:line="240" w:lineRule="auto"/>
              <w:contextualSpacing w:val="0"/>
              <w:rPr>
                <w:rFonts w:cs="Calibri"/>
                <w:color w:val="70AD47"/>
                <w:lang w:val="pt-PT"/>
              </w:rPr>
            </w:pPr>
            <w:r w:rsidRPr="000369CE">
              <w:rPr>
                <w:rFonts w:cs="Calibri"/>
                <w:color w:val="70AD47"/>
                <w:lang w:val="pt-PT"/>
              </w:rPr>
              <w:t>Forage Bairro dos Ministros (existant) 18 m</w:t>
            </w:r>
            <w:r w:rsidRPr="000369CE">
              <w:rPr>
                <w:rFonts w:cs="Calibri"/>
                <w:color w:val="70AD47"/>
                <w:vertAlign w:val="superscript"/>
                <w:lang w:val="pt-PT"/>
              </w:rPr>
              <w:t>3</w:t>
            </w:r>
            <w:r w:rsidRPr="000369CE">
              <w:rPr>
                <w:rFonts w:cs="Calibri"/>
                <w:color w:val="70AD47"/>
                <w:lang w:val="pt-PT"/>
              </w:rPr>
              <w:t>/h</w:t>
            </w:r>
          </w:p>
          <w:p w:rsidR="00181BAB" w:rsidRPr="000369CE" w:rsidRDefault="00181BAB" w:rsidP="00FA3FAE">
            <w:pPr>
              <w:pStyle w:val="PargrafodaLista"/>
              <w:numPr>
                <w:ilvl w:val="0"/>
                <w:numId w:val="186"/>
              </w:numPr>
              <w:spacing w:after="0" w:line="240" w:lineRule="auto"/>
              <w:contextualSpacing w:val="0"/>
              <w:rPr>
                <w:rFonts w:cs="Calibri"/>
                <w:color w:val="70AD47"/>
                <w:lang w:val="pt-PT"/>
              </w:rPr>
            </w:pPr>
            <w:r w:rsidRPr="000369CE">
              <w:rPr>
                <w:rFonts w:cs="Calibri"/>
                <w:color w:val="70AD47"/>
                <w:lang w:val="pt-PT"/>
              </w:rPr>
              <w:t>Forage Central Electrica (existant) 125 m</w:t>
            </w:r>
            <w:r w:rsidRPr="000369CE">
              <w:rPr>
                <w:rFonts w:cs="Calibri"/>
                <w:color w:val="70AD47"/>
                <w:vertAlign w:val="superscript"/>
                <w:lang w:val="pt-PT"/>
              </w:rPr>
              <w:t>3</w:t>
            </w:r>
            <w:r w:rsidRPr="000369CE">
              <w:rPr>
                <w:rFonts w:cs="Calibri"/>
                <w:color w:val="70AD47"/>
                <w:lang w:val="pt-PT"/>
              </w:rPr>
              <w:t>/h</w:t>
            </w:r>
          </w:p>
          <w:p w:rsidR="00181BAB" w:rsidRPr="000369CE" w:rsidRDefault="00181BAB" w:rsidP="00FA3FAE">
            <w:pPr>
              <w:pStyle w:val="PargrafodaLista"/>
              <w:numPr>
                <w:ilvl w:val="0"/>
                <w:numId w:val="186"/>
              </w:numPr>
              <w:spacing w:after="0" w:line="240" w:lineRule="auto"/>
              <w:contextualSpacing w:val="0"/>
              <w:rPr>
                <w:rFonts w:cs="Calibri"/>
                <w:color w:val="70AD47"/>
                <w:lang w:val="pt-PT"/>
              </w:rPr>
            </w:pPr>
            <w:r w:rsidRPr="000369CE">
              <w:rPr>
                <w:rFonts w:cs="Calibri"/>
                <w:color w:val="70AD47"/>
                <w:lang w:val="pt-PT"/>
              </w:rPr>
              <w:t>Forage Alto Crim (existant) 300 m</w:t>
            </w:r>
            <w:r w:rsidRPr="000369CE">
              <w:rPr>
                <w:rFonts w:cs="Calibri"/>
                <w:color w:val="70AD47"/>
                <w:vertAlign w:val="superscript"/>
                <w:lang w:val="pt-PT"/>
              </w:rPr>
              <w:t>3</w:t>
            </w:r>
            <w:r w:rsidRPr="000369CE">
              <w:rPr>
                <w:rFonts w:cs="Calibri"/>
                <w:color w:val="70AD47"/>
                <w:lang w:val="pt-PT"/>
              </w:rPr>
              <w:t>/h</w:t>
            </w:r>
          </w:p>
          <w:p w:rsidR="00181BAB" w:rsidRPr="000369CE" w:rsidRDefault="00181BAB" w:rsidP="00FA3FAE">
            <w:pPr>
              <w:pStyle w:val="PargrafodaLista"/>
              <w:numPr>
                <w:ilvl w:val="0"/>
                <w:numId w:val="186"/>
              </w:numPr>
              <w:spacing w:after="0" w:line="240" w:lineRule="auto"/>
              <w:contextualSpacing w:val="0"/>
              <w:rPr>
                <w:rFonts w:cs="Calibri"/>
                <w:color w:val="70AD47"/>
                <w:lang w:val="pt-PT"/>
              </w:rPr>
            </w:pPr>
            <w:r w:rsidRPr="000369CE">
              <w:rPr>
                <w:rFonts w:cs="Calibri"/>
                <w:color w:val="70AD47"/>
                <w:lang w:val="pt-PT"/>
              </w:rPr>
              <w:t>Forage Liceu Nacional (existant) 90 m</w:t>
            </w:r>
            <w:r w:rsidRPr="000369CE">
              <w:rPr>
                <w:rFonts w:cs="Calibri"/>
                <w:color w:val="70AD47"/>
                <w:vertAlign w:val="superscript"/>
                <w:lang w:val="pt-PT"/>
              </w:rPr>
              <w:t>3</w:t>
            </w:r>
            <w:r w:rsidRPr="000369CE">
              <w:rPr>
                <w:rFonts w:cs="Calibri"/>
                <w:color w:val="70AD47"/>
                <w:lang w:val="pt-PT"/>
              </w:rPr>
              <w:t>/h</w:t>
            </w:r>
          </w:p>
          <w:p w:rsidR="00181BAB" w:rsidRPr="000369CE" w:rsidRDefault="00181BAB" w:rsidP="00FA3FAE">
            <w:pPr>
              <w:pStyle w:val="PargrafodaLista"/>
              <w:numPr>
                <w:ilvl w:val="0"/>
                <w:numId w:val="186"/>
              </w:numPr>
              <w:spacing w:after="0" w:line="240" w:lineRule="auto"/>
              <w:contextualSpacing w:val="0"/>
              <w:rPr>
                <w:rFonts w:cs="Calibri"/>
                <w:color w:val="70AD47"/>
                <w:lang w:val="pt-PT"/>
              </w:rPr>
            </w:pPr>
            <w:r w:rsidRPr="000369CE">
              <w:rPr>
                <w:rFonts w:cs="Calibri"/>
                <w:color w:val="70AD47"/>
                <w:lang w:val="pt-PT"/>
              </w:rPr>
              <w:t>Forage H Simão Mendes (existant) 250 m</w:t>
            </w:r>
            <w:r w:rsidRPr="000369CE">
              <w:rPr>
                <w:rFonts w:cs="Calibri"/>
                <w:color w:val="70AD47"/>
                <w:vertAlign w:val="superscript"/>
                <w:lang w:val="pt-PT"/>
              </w:rPr>
              <w:t>3</w:t>
            </w:r>
            <w:r w:rsidRPr="000369CE">
              <w:rPr>
                <w:rFonts w:cs="Calibri"/>
                <w:color w:val="70AD47"/>
                <w:lang w:val="pt-PT"/>
              </w:rPr>
              <w:t>/h</w:t>
            </w:r>
          </w:p>
          <w:p w:rsidR="00181BAB" w:rsidRPr="000369CE" w:rsidRDefault="00181BAB" w:rsidP="00FA3FAE">
            <w:pPr>
              <w:pStyle w:val="PargrafodaLista"/>
              <w:numPr>
                <w:ilvl w:val="0"/>
                <w:numId w:val="186"/>
              </w:numPr>
              <w:spacing w:after="0" w:line="240" w:lineRule="auto"/>
              <w:contextualSpacing w:val="0"/>
              <w:rPr>
                <w:rFonts w:cs="Calibri"/>
                <w:color w:val="70AD47"/>
                <w:lang w:val="pt-PT"/>
              </w:rPr>
            </w:pPr>
            <w:r w:rsidRPr="000369CE">
              <w:rPr>
                <w:rFonts w:cs="Calibri"/>
                <w:color w:val="70AD47"/>
                <w:lang w:val="pt-PT"/>
              </w:rPr>
              <w:t>Forage Granja Péssubé (existant) 50 m</w:t>
            </w:r>
            <w:r w:rsidRPr="000369CE">
              <w:rPr>
                <w:rFonts w:cs="Calibri"/>
                <w:color w:val="70AD47"/>
                <w:vertAlign w:val="superscript"/>
                <w:lang w:val="pt-PT"/>
              </w:rPr>
              <w:t>3</w:t>
            </w:r>
            <w:r w:rsidRPr="000369CE">
              <w:rPr>
                <w:rFonts w:cs="Calibri"/>
                <w:color w:val="70AD47"/>
                <w:lang w:val="pt-PT"/>
              </w:rPr>
              <w:t>/h</w:t>
            </w:r>
          </w:p>
          <w:p w:rsidR="00181BAB" w:rsidRPr="00693805" w:rsidRDefault="00181BAB" w:rsidP="00FA3FAE">
            <w:pPr>
              <w:pStyle w:val="PargrafodaLista"/>
              <w:numPr>
                <w:ilvl w:val="0"/>
                <w:numId w:val="186"/>
              </w:numPr>
              <w:spacing w:after="0" w:line="240" w:lineRule="auto"/>
              <w:contextualSpacing w:val="0"/>
              <w:rPr>
                <w:rFonts w:cs="Calibri"/>
                <w:color w:val="70AD47"/>
                <w:lang w:val="fr-FR"/>
              </w:rPr>
            </w:pPr>
            <w:r w:rsidRPr="00693805">
              <w:rPr>
                <w:rFonts w:cs="Calibri"/>
                <w:color w:val="70AD47"/>
                <w:lang w:val="fr-FR"/>
              </w:rPr>
              <w:t>Forage QG (existant) 75 m</w:t>
            </w:r>
            <w:r w:rsidRPr="00693805">
              <w:rPr>
                <w:rFonts w:cs="Calibri"/>
                <w:color w:val="70AD47"/>
                <w:vertAlign w:val="superscript"/>
                <w:lang w:val="fr-FR"/>
              </w:rPr>
              <w:t>3</w:t>
            </w:r>
            <w:r w:rsidRPr="00693805">
              <w:rPr>
                <w:rFonts w:cs="Calibri"/>
                <w:color w:val="70AD47"/>
                <w:lang w:val="fr-FR"/>
              </w:rPr>
              <w:t>/h</w:t>
            </w:r>
          </w:p>
          <w:p w:rsidR="00181BAB" w:rsidRPr="000369CE" w:rsidRDefault="00181BAB" w:rsidP="00FA3FAE">
            <w:pPr>
              <w:pStyle w:val="PargrafodaLista"/>
              <w:numPr>
                <w:ilvl w:val="0"/>
                <w:numId w:val="186"/>
              </w:numPr>
              <w:spacing w:after="0" w:line="240" w:lineRule="auto"/>
              <w:contextualSpacing w:val="0"/>
              <w:rPr>
                <w:rFonts w:cs="Calibri"/>
                <w:color w:val="70AD47"/>
                <w:lang w:val="pt-PT"/>
              </w:rPr>
            </w:pPr>
            <w:r w:rsidRPr="000369CE">
              <w:rPr>
                <w:rFonts w:cs="Calibri"/>
                <w:color w:val="70AD47"/>
                <w:lang w:val="pt-PT"/>
              </w:rPr>
              <w:t>Forage 24 de Setembro (existant) 50 m</w:t>
            </w:r>
            <w:r w:rsidRPr="000369CE">
              <w:rPr>
                <w:rFonts w:cs="Calibri"/>
                <w:color w:val="70AD47"/>
                <w:vertAlign w:val="superscript"/>
                <w:lang w:val="pt-PT"/>
              </w:rPr>
              <w:t>3</w:t>
            </w:r>
            <w:r w:rsidRPr="000369CE">
              <w:rPr>
                <w:rFonts w:cs="Calibri"/>
                <w:color w:val="70AD47"/>
                <w:lang w:val="pt-PT"/>
              </w:rPr>
              <w:t>/h</w:t>
            </w:r>
          </w:p>
          <w:p w:rsidR="00181BAB" w:rsidRPr="000369CE" w:rsidRDefault="00181BAB" w:rsidP="00FA3FAE">
            <w:pPr>
              <w:pStyle w:val="PargrafodaLista"/>
              <w:numPr>
                <w:ilvl w:val="0"/>
                <w:numId w:val="186"/>
              </w:numPr>
              <w:spacing w:after="0" w:line="240" w:lineRule="auto"/>
              <w:contextualSpacing w:val="0"/>
              <w:rPr>
                <w:rFonts w:cs="Calibri"/>
                <w:color w:val="70AD47"/>
                <w:lang w:val="pt-PT"/>
              </w:rPr>
            </w:pPr>
            <w:r w:rsidRPr="000369CE">
              <w:rPr>
                <w:rFonts w:cs="Calibri"/>
                <w:color w:val="2F5496"/>
                <w:lang w:val="pt-PT"/>
              </w:rPr>
              <w:t>Forage Antula Bono (à rénover)</w:t>
            </w:r>
            <w:r w:rsidRPr="000369CE">
              <w:rPr>
                <w:rFonts w:cs="Calibri"/>
                <w:color w:val="70AD47"/>
                <w:lang w:val="pt-PT"/>
              </w:rPr>
              <w:t xml:space="preserve"> </w:t>
            </w:r>
            <w:r w:rsidRPr="000369CE">
              <w:rPr>
                <w:rFonts w:cs="Calibri"/>
                <w:color w:val="0070C0"/>
                <w:lang w:val="pt-PT"/>
              </w:rPr>
              <w:t>250 m</w:t>
            </w:r>
            <w:r w:rsidRPr="000369CE">
              <w:rPr>
                <w:rFonts w:cs="Calibri"/>
                <w:color w:val="0070C0"/>
                <w:vertAlign w:val="superscript"/>
                <w:lang w:val="pt-PT"/>
              </w:rPr>
              <w:t>3</w:t>
            </w:r>
            <w:r w:rsidRPr="000369CE">
              <w:rPr>
                <w:rFonts w:cs="Calibri"/>
                <w:color w:val="0070C0"/>
                <w:lang w:val="pt-PT"/>
              </w:rPr>
              <w:t>/h</w:t>
            </w:r>
          </w:p>
        </w:tc>
      </w:tr>
      <w:tr w:rsidR="00181BAB" w:rsidRPr="00693805" w:rsidTr="008734B0">
        <w:trPr>
          <w:trHeight w:val="340"/>
        </w:trPr>
        <w:tc>
          <w:tcPr>
            <w:tcW w:w="4531" w:type="dxa"/>
            <w:tcBorders>
              <w:top w:val="nil"/>
            </w:tcBorders>
          </w:tcPr>
          <w:p w:rsidR="00181BAB" w:rsidRPr="00693805" w:rsidRDefault="00181BAB" w:rsidP="000B53EE">
            <w:pPr>
              <w:spacing w:after="0"/>
              <w:contextualSpacing/>
              <w:rPr>
                <w:rFonts w:ascii="Calibri" w:hAnsi="Calibri" w:cs="Calibri"/>
                <w:i/>
                <w:iCs/>
                <w:color w:val="7030A0"/>
                <w:sz w:val="20"/>
                <w:szCs w:val="20"/>
              </w:rPr>
            </w:pPr>
            <w:r w:rsidRPr="00693805">
              <w:rPr>
                <w:rFonts w:ascii="Calibri" w:hAnsi="Calibri" w:cs="Calibri"/>
                <w:i/>
                <w:iCs/>
                <w:sz w:val="20"/>
                <w:szCs w:val="20"/>
              </w:rPr>
              <w:t>Total (situation projetée): 1.625 m</w:t>
            </w:r>
            <w:r w:rsidRPr="00693805">
              <w:rPr>
                <w:rFonts w:ascii="Calibri" w:hAnsi="Calibri" w:cs="Calibri"/>
                <w:i/>
                <w:iCs/>
                <w:sz w:val="20"/>
                <w:szCs w:val="20"/>
                <w:vertAlign w:val="superscript"/>
              </w:rPr>
              <w:t>3</w:t>
            </w:r>
            <w:r w:rsidRPr="00693805">
              <w:rPr>
                <w:rFonts w:ascii="Calibri" w:hAnsi="Calibri" w:cs="Calibri"/>
                <w:i/>
                <w:iCs/>
                <w:sz w:val="20"/>
                <w:szCs w:val="20"/>
              </w:rPr>
              <w:t>/h</w:t>
            </w:r>
          </w:p>
        </w:tc>
        <w:tc>
          <w:tcPr>
            <w:tcW w:w="5100" w:type="dxa"/>
            <w:tcBorders>
              <w:top w:val="nil"/>
            </w:tcBorders>
          </w:tcPr>
          <w:p w:rsidR="00181BAB" w:rsidRPr="00693805" w:rsidRDefault="00181BAB" w:rsidP="000B53EE">
            <w:pPr>
              <w:spacing w:after="0"/>
              <w:contextualSpacing/>
              <w:rPr>
                <w:rFonts w:ascii="Calibri" w:hAnsi="Calibri" w:cs="Calibri"/>
                <w:i/>
                <w:iCs/>
                <w:sz w:val="20"/>
                <w:szCs w:val="20"/>
              </w:rPr>
            </w:pPr>
            <w:r w:rsidRPr="00693805">
              <w:rPr>
                <w:rFonts w:ascii="Calibri" w:hAnsi="Calibri" w:cs="Calibri"/>
                <w:i/>
                <w:iCs/>
                <w:sz w:val="20"/>
                <w:szCs w:val="20"/>
              </w:rPr>
              <w:t>Total (situation projetée): 1 258 m</w:t>
            </w:r>
            <w:r w:rsidRPr="00693805">
              <w:rPr>
                <w:rFonts w:ascii="Calibri" w:hAnsi="Calibri" w:cs="Calibri"/>
                <w:i/>
                <w:iCs/>
                <w:sz w:val="20"/>
                <w:szCs w:val="20"/>
                <w:vertAlign w:val="superscript"/>
              </w:rPr>
              <w:t>3</w:t>
            </w:r>
            <w:r w:rsidRPr="00693805">
              <w:rPr>
                <w:rFonts w:ascii="Calibri" w:hAnsi="Calibri" w:cs="Calibri"/>
                <w:i/>
                <w:iCs/>
                <w:sz w:val="20"/>
                <w:szCs w:val="20"/>
              </w:rPr>
              <w:t>/h</w:t>
            </w:r>
          </w:p>
        </w:tc>
      </w:tr>
    </w:tbl>
    <w:p w:rsidR="00181BAB" w:rsidRPr="00693805" w:rsidRDefault="00181BAB" w:rsidP="00FA3FAE">
      <w:pPr>
        <w:pStyle w:val="PargrafodaLista"/>
        <w:numPr>
          <w:ilvl w:val="1"/>
          <w:numId w:val="171"/>
        </w:numPr>
        <w:autoSpaceDE w:val="0"/>
        <w:autoSpaceDN w:val="0"/>
        <w:adjustRightInd w:val="0"/>
        <w:spacing w:before="240" w:after="0" w:line="240" w:lineRule="auto"/>
        <w:ind w:left="1987" w:hanging="547"/>
        <w:contextualSpacing w:val="0"/>
        <w:jc w:val="both"/>
        <w:outlineLvl w:val="1"/>
        <w:rPr>
          <w:b/>
          <w:lang w:val="fr-FR"/>
        </w:rPr>
      </w:pPr>
      <w:bookmarkStart w:id="786" w:name="_Toc20820256"/>
      <w:bookmarkStart w:id="787" w:name="_Toc32511663"/>
      <w:bookmarkStart w:id="788" w:name="_Toc51072644"/>
      <w:r w:rsidRPr="00693805">
        <w:rPr>
          <w:b/>
          <w:lang w:val="fr-FR"/>
        </w:rPr>
        <w:t>Objectifs du sous-projet n°1</w:t>
      </w:r>
      <w:bookmarkEnd w:id="786"/>
      <w:bookmarkEnd w:id="787"/>
      <w:bookmarkEnd w:id="788"/>
    </w:p>
    <w:p w:rsidR="00181BAB" w:rsidRPr="00693805" w:rsidRDefault="00181BAB" w:rsidP="000B53EE">
      <w:pPr>
        <w:spacing w:after="0"/>
        <w:jc w:val="both"/>
      </w:pPr>
      <w:r w:rsidRPr="00693805">
        <w:t>Plusieurs quartiers de Bissau qui n’étaient pas couverts par les précédents projets, connaissent un problème crucial d’eau potable à tel point que la majorité des communautés s’approvisionnent dans les puits traditionnels, avec des eaux insalubres, cause des nombreuses maladies liés à l’eau.</w:t>
      </w:r>
    </w:p>
    <w:p w:rsidR="00181BAB" w:rsidRPr="00693805" w:rsidRDefault="00181BAB" w:rsidP="000B53EE">
      <w:pPr>
        <w:spacing w:after="0"/>
        <w:jc w:val="both"/>
      </w:pPr>
      <w:r w:rsidRPr="00693805">
        <w:t>En vue d`améliorer les conditions d’hygiènes de la population à travers l’accès à l’eau potable, le Gouvernement et son Partenaire (Banque Mondiale), dans le cadre du projet d’Eau et Electricité, veulent renforcer le service d’alimentation en eau potable et électricité de la ville de Bissau et des quartiers périphériques.</w:t>
      </w:r>
    </w:p>
    <w:p w:rsidR="00181BAB" w:rsidRPr="00693805" w:rsidRDefault="00181BAB" w:rsidP="000B53EE">
      <w:pPr>
        <w:spacing w:after="0"/>
        <w:jc w:val="both"/>
      </w:pPr>
      <w:r w:rsidRPr="00693805">
        <w:t>Ainsi, l</w:t>
      </w:r>
      <w:r w:rsidRPr="00693805">
        <w:rPr>
          <w:color w:val="333333"/>
          <w:shd w:val="clear" w:color="auto" w:fill="FFFFFF"/>
        </w:rPr>
        <w:t>e sous-projet N°1 a pour objectif d’améliorer la situation de l’approvisionnement en eau potable au niveau de la ville de Bissau à travers la construction, la réhabilitation et l’équipement des forages (Safim, Bor, Prabis, Aéroport)</w:t>
      </w:r>
    </w:p>
    <w:p w:rsidR="00181BAB" w:rsidRPr="00693805" w:rsidRDefault="00181BAB" w:rsidP="00FA3FAE">
      <w:pPr>
        <w:pStyle w:val="PargrafodaLista"/>
        <w:numPr>
          <w:ilvl w:val="0"/>
          <w:numId w:val="170"/>
        </w:numPr>
        <w:spacing w:before="360" w:after="0" w:line="240" w:lineRule="auto"/>
        <w:contextualSpacing w:val="0"/>
        <w:jc w:val="both"/>
        <w:outlineLvl w:val="0"/>
        <w:rPr>
          <w:b/>
          <w:lang w:val="fr-FR"/>
        </w:rPr>
      </w:pPr>
      <w:bookmarkStart w:id="789" w:name="_Toc504992030"/>
      <w:bookmarkStart w:id="790" w:name="_Toc504995695"/>
      <w:bookmarkStart w:id="791" w:name="_Toc504997395"/>
      <w:bookmarkStart w:id="792" w:name="_Toc504998491"/>
      <w:bookmarkStart w:id="793" w:name="_Toc504998559"/>
      <w:bookmarkStart w:id="794" w:name="_Toc504999516"/>
      <w:bookmarkStart w:id="795" w:name="_Toc504999548"/>
      <w:bookmarkStart w:id="796" w:name="_Toc505000580"/>
      <w:bookmarkStart w:id="797" w:name="_Toc505004227"/>
      <w:bookmarkStart w:id="798" w:name="_Toc20820257"/>
      <w:bookmarkStart w:id="799" w:name="_Toc32511664"/>
      <w:bookmarkStart w:id="800" w:name="_Toc51072645"/>
      <w:bookmarkEnd w:id="789"/>
      <w:bookmarkEnd w:id="790"/>
      <w:bookmarkEnd w:id="791"/>
      <w:bookmarkEnd w:id="792"/>
      <w:bookmarkEnd w:id="793"/>
      <w:bookmarkEnd w:id="794"/>
      <w:bookmarkEnd w:id="795"/>
      <w:bookmarkEnd w:id="796"/>
      <w:bookmarkEnd w:id="797"/>
      <w:r w:rsidRPr="00693805">
        <w:rPr>
          <w:b/>
          <w:lang w:val="fr-FR"/>
        </w:rPr>
        <w:t>LES JUSTIFICATION ET OBJECTIF D’EIES</w:t>
      </w:r>
      <w:bookmarkEnd w:id="798"/>
      <w:bookmarkEnd w:id="799"/>
      <w:bookmarkEnd w:id="800"/>
      <w:r w:rsidRPr="00693805">
        <w:rPr>
          <w:b/>
          <w:lang w:val="fr-FR"/>
        </w:rPr>
        <w:t xml:space="preserve"> </w:t>
      </w:r>
    </w:p>
    <w:p w:rsidR="00181BAB" w:rsidRPr="00693805" w:rsidRDefault="00181BAB" w:rsidP="00FA3FAE">
      <w:pPr>
        <w:pStyle w:val="PargrafodaLista"/>
        <w:numPr>
          <w:ilvl w:val="1"/>
          <w:numId w:val="172"/>
        </w:numPr>
        <w:autoSpaceDE w:val="0"/>
        <w:autoSpaceDN w:val="0"/>
        <w:adjustRightInd w:val="0"/>
        <w:spacing w:before="240" w:after="0" w:line="240" w:lineRule="auto"/>
        <w:ind w:left="1987" w:hanging="547"/>
        <w:contextualSpacing w:val="0"/>
        <w:jc w:val="both"/>
        <w:outlineLvl w:val="1"/>
        <w:rPr>
          <w:b/>
          <w:lang w:val="fr-FR"/>
        </w:rPr>
      </w:pPr>
      <w:bookmarkStart w:id="801" w:name="_Toc504995697"/>
      <w:bookmarkStart w:id="802" w:name="_Toc504997397"/>
      <w:bookmarkStart w:id="803" w:name="_Toc504998493"/>
      <w:bookmarkStart w:id="804" w:name="_Toc504998561"/>
      <w:bookmarkStart w:id="805" w:name="_Toc504999518"/>
      <w:bookmarkStart w:id="806" w:name="_Toc504999550"/>
      <w:bookmarkStart w:id="807" w:name="_Toc505000582"/>
      <w:bookmarkStart w:id="808" w:name="_Toc505004229"/>
      <w:bookmarkStart w:id="809" w:name="_Toc504995699"/>
      <w:bookmarkStart w:id="810" w:name="_Toc504997399"/>
      <w:bookmarkStart w:id="811" w:name="_Toc504998495"/>
      <w:bookmarkStart w:id="812" w:name="_Toc504998563"/>
      <w:bookmarkStart w:id="813" w:name="_Toc504999520"/>
      <w:bookmarkStart w:id="814" w:name="_Toc504999552"/>
      <w:bookmarkStart w:id="815" w:name="_Toc505000584"/>
      <w:bookmarkStart w:id="816" w:name="_Toc505004231"/>
      <w:bookmarkStart w:id="817" w:name="_Toc20820258"/>
      <w:bookmarkStart w:id="818" w:name="_Toc32511665"/>
      <w:bookmarkStart w:id="819" w:name="_Toc51072646"/>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r w:rsidRPr="00693805">
        <w:rPr>
          <w:b/>
          <w:lang w:val="fr-FR"/>
        </w:rPr>
        <w:t>Justification d’EIES</w:t>
      </w:r>
      <w:bookmarkEnd w:id="817"/>
      <w:bookmarkEnd w:id="818"/>
      <w:bookmarkEnd w:id="819"/>
    </w:p>
    <w:p w:rsidR="00181BAB" w:rsidRPr="00693805" w:rsidRDefault="00181BAB" w:rsidP="000B53EE">
      <w:pPr>
        <w:spacing w:after="0"/>
        <w:jc w:val="both"/>
      </w:pPr>
      <w:r w:rsidRPr="00693805">
        <w:lastRenderedPageBreak/>
        <w:t>L’approvisionnement en eau potable et l’assainissement représentent des enjeux considérables pour la Guinée-Bissau puisque conditionnant l’amélioration de l’hygiène et de la santé des populations, en particulier, la santé maternelle et infantile avec une forte prévalence des maladies d’origine hydrique.</w:t>
      </w:r>
    </w:p>
    <w:p w:rsidR="00181BAB" w:rsidRPr="00693805" w:rsidRDefault="00181BAB" w:rsidP="000B53EE">
      <w:pPr>
        <w:spacing w:after="0"/>
        <w:jc w:val="both"/>
      </w:pPr>
      <w:r w:rsidRPr="00693805">
        <w:t>Nonobstant la dotation en ressources en eau relativement importante, la Guinée-Bissau présente cependant des indicateurs faibles en termes d’accès à l’eau potable. La faiblesse des investissements des infrastructures et le système d’exploitation et de maintenance défaillant ont ruiné les efforts réalisés à Bissau à travers des différents projets. Le service public demeure insuffisant et discontinu et en même temps, il n’est pas rentable du fait d’une gestion catastrophique et de tarifs encore inappropriés.</w:t>
      </w:r>
    </w:p>
    <w:p w:rsidR="00181BAB" w:rsidRPr="00693805" w:rsidRDefault="00181BAB" w:rsidP="000B53EE">
      <w:pPr>
        <w:spacing w:after="0"/>
        <w:jc w:val="both"/>
      </w:pPr>
      <w:r w:rsidRPr="00693805">
        <w:t>Le Gouvernement a fixé les objectifs du secteur dans le cadre de Schéma Directeur pour l`Eau et Assainissement et dans l’Objectif du Millénaire de Développement (OMD), axées sur l’éradication de la pauvreté, l’amélioration de la santé des populations à travers l’accès élargi à l’eau potable.</w:t>
      </w:r>
    </w:p>
    <w:p w:rsidR="00181BAB" w:rsidRPr="00693805" w:rsidRDefault="00181BAB" w:rsidP="000B53EE">
      <w:pPr>
        <w:spacing w:after="0"/>
        <w:jc w:val="both"/>
      </w:pPr>
      <w:r w:rsidRPr="00693805">
        <w:t>Pour réaliser le renforcement de cette capacité d’alimentation de la ville en eau potable ainsi qu’en l’électricité, le PUASEE-FA, après le screening, mettra en œuvre cinq (5) sous-projets, qui pourraient causer des impacts négatifs significatifs sur l’environnement naturel et humain.</w:t>
      </w:r>
    </w:p>
    <w:p w:rsidR="00181BAB" w:rsidRPr="00693805" w:rsidRDefault="00181BAB" w:rsidP="00FA3FAE">
      <w:pPr>
        <w:pStyle w:val="PargrafodaLista"/>
        <w:numPr>
          <w:ilvl w:val="1"/>
          <w:numId w:val="172"/>
        </w:numPr>
        <w:autoSpaceDE w:val="0"/>
        <w:autoSpaceDN w:val="0"/>
        <w:adjustRightInd w:val="0"/>
        <w:spacing w:before="240" w:after="0" w:line="240" w:lineRule="auto"/>
        <w:ind w:left="1987" w:hanging="547"/>
        <w:contextualSpacing w:val="0"/>
        <w:jc w:val="both"/>
        <w:outlineLvl w:val="1"/>
        <w:rPr>
          <w:b/>
          <w:lang w:val="fr-FR"/>
        </w:rPr>
      </w:pPr>
      <w:bookmarkStart w:id="820" w:name="_Toc20820259"/>
      <w:bookmarkStart w:id="821" w:name="_Toc32511666"/>
      <w:bookmarkStart w:id="822" w:name="_Toc51072647"/>
      <w:r w:rsidRPr="00693805">
        <w:rPr>
          <w:b/>
          <w:lang w:val="fr-FR"/>
        </w:rPr>
        <w:t>Objectif d’EIES</w:t>
      </w:r>
      <w:bookmarkEnd w:id="820"/>
      <w:bookmarkEnd w:id="821"/>
      <w:bookmarkEnd w:id="822"/>
    </w:p>
    <w:p w:rsidR="00181BAB" w:rsidRPr="00693805" w:rsidRDefault="00181BAB" w:rsidP="000B53EE">
      <w:pPr>
        <w:spacing w:after="0"/>
        <w:jc w:val="both"/>
      </w:pPr>
      <w:r w:rsidRPr="00693805">
        <w:t>L’objectif de l’étude d’impact environnemental et social consiste à mettre à la disposition du client et de l’entreprise de travaux un outil de gestion environnementale et sociale. Pour ce faire, les objectifs secondaires sont les suivants :</w:t>
      </w:r>
    </w:p>
    <w:p w:rsidR="00181BAB" w:rsidRPr="00693805" w:rsidRDefault="00181BAB" w:rsidP="00095CF9">
      <w:pPr>
        <w:pStyle w:val="PargrafodaLista"/>
        <w:numPr>
          <w:ilvl w:val="0"/>
          <w:numId w:val="11"/>
        </w:numPr>
        <w:spacing w:after="0" w:line="240" w:lineRule="auto"/>
        <w:jc w:val="both"/>
        <w:rPr>
          <w:lang w:val="fr-FR"/>
        </w:rPr>
      </w:pPr>
      <w:r w:rsidRPr="00693805">
        <w:rPr>
          <w:lang w:val="fr-FR"/>
        </w:rPr>
        <w:t>Identifier et évaluer les impacts environnementaux et sociaux prévisibles (positifs et négatifs) du projet proposé ;</w:t>
      </w:r>
    </w:p>
    <w:p w:rsidR="00181BAB" w:rsidRPr="00693805" w:rsidRDefault="00181BAB" w:rsidP="00095CF9">
      <w:pPr>
        <w:pStyle w:val="PargrafodaLista"/>
        <w:numPr>
          <w:ilvl w:val="0"/>
          <w:numId w:val="11"/>
        </w:numPr>
        <w:spacing w:after="0" w:line="240" w:lineRule="auto"/>
        <w:jc w:val="both"/>
        <w:rPr>
          <w:lang w:val="fr-FR"/>
        </w:rPr>
      </w:pPr>
      <w:r w:rsidRPr="00693805">
        <w:rPr>
          <w:lang w:val="fr-FR"/>
        </w:rPr>
        <w:t>Identifier et analyser des alternatives possibles (technologies, tracés, sites, etc.) incluant l’option sans projet ;</w:t>
      </w:r>
    </w:p>
    <w:p w:rsidR="00181BAB" w:rsidRPr="00693805" w:rsidRDefault="00181BAB" w:rsidP="00095CF9">
      <w:pPr>
        <w:pStyle w:val="PargrafodaLista"/>
        <w:numPr>
          <w:ilvl w:val="0"/>
          <w:numId w:val="11"/>
        </w:numPr>
        <w:spacing w:after="0" w:line="240" w:lineRule="auto"/>
        <w:jc w:val="both"/>
        <w:rPr>
          <w:lang w:val="fr-FR"/>
        </w:rPr>
      </w:pPr>
      <w:r w:rsidRPr="00693805">
        <w:rPr>
          <w:lang w:val="fr-FR"/>
        </w:rPr>
        <w:t>Proposer des mesures d'atténuation aux impacts négatifs (incluant la réinstallation des ménages affectés) efficaces et à des coûts acceptables et des mesures de bonification des impacts positifs à mettre en œuvre pendant et après la mise en œuvre du projet proposé ;</w:t>
      </w:r>
    </w:p>
    <w:p w:rsidR="00181BAB" w:rsidRPr="00693805" w:rsidRDefault="00181BAB" w:rsidP="00095CF9">
      <w:pPr>
        <w:pStyle w:val="PargrafodaLista"/>
        <w:numPr>
          <w:ilvl w:val="0"/>
          <w:numId w:val="11"/>
        </w:numPr>
        <w:spacing w:after="0" w:line="240" w:lineRule="auto"/>
        <w:jc w:val="both"/>
        <w:rPr>
          <w:lang w:val="fr-FR"/>
        </w:rPr>
      </w:pPr>
      <w:r w:rsidRPr="00693805">
        <w:rPr>
          <w:lang w:val="fr-FR"/>
        </w:rPr>
        <w:t>Vérifier la conformité avec la législation nationale et les politiques de sauvegarde de la banque mondiale (selon le Cadre de gestion environnementale et sociale et le Cadre de politique de réinstallation) ;</w:t>
      </w:r>
    </w:p>
    <w:p w:rsidR="00181BAB" w:rsidRPr="00693805" w:rsidRDefault="00181BAB" w:rsidP="00095CF9">
      <w:pPr>
        <w:pStyle w:val="PargrafodaLista"/>
        <w:numPr>
          <w:ilvl w:val="0"/>
          <w:numId w:val="11"/>
        </w:numPr>
        <w:spacing w:after="0" w:line="240" w:lineRule="auto"/>
        <w:jc w:val="both"/>
        <w:rPr>
          <w:lang w:val="fr-FR"/>
        </w:rPr>
      </w:pPr>
      <w:r w:rsidRPr="00693805">
        <w:rPr>
          <w:lang w:val="fr-FR"/>
        </w:rPr>
        <w:t xml:space="preserve">Préparer des données de référence pour le suivi et l'évaluation. </w:t>
      </w:r>
    </w:p>
    <w:p w:rsidR="00181BAB" w:rsidRPr="00693805" w:rsidRDefault="00181BAB" w:rsidP="00FA3FAE">
      <w:pPr>
        <w:pStyle w:val="PargrafodaLista"/>
        <w:numPr>
          <w:ilvl w:val="1"/>
          <w:numId w:val="172"/>
        </w:numPr>
        <w:autoSpaceDE w:val="0"/>
        <w:autoSpaceDN w:val="0"/>
        <w:adjustRightInd w:val="0"/>
        <w:spacing w:before="240" w:after="0" w:line="240" w:lineRule="auto"/>
        <w:ind w:left="1987" w:hanging="547"/>
        <w:contextualSpacing w:val="0"/>
        <w:jc w:val="both"/>
        <w:outlineLvl w:val="1"/>
        <w:rPr>
          <w:b/>
          <w:lang w:val="fr-FR"/>
        </w:rPr>
      </w:pPr>
      <w:bookmarkStart w:id="823" w:name="_Toc20820260"/>
      <w:bookmarkStart w:id="824" w:name="_Toc32511667"/>
      <w:bookmarkStart w:id="825" w:name="_Toc51072648"/>
      <w:r w:rsidRPr="00693805">
        <w:rPr>
          <w:b/>
          <w:lang w:val="fr-FR"/>
        </w:rPr>
        <w:t>Objectif du PAR</w:t>
      </w:r>
      <w:bookmarkEnd w:id="823"/>
      <w:bookmarkEnd w:id="824"/>
      <w:bookmarkEnd w:id="825"/>
    </w:p>
    <w:p w:rsidR="00181BAB" w:rsidRPr="00693805" w:rsidRDefault="00181BAB" w:rsidP="000B53EE">
      <w:pPr>
        <w:spacing w:after="0"/>
        <w:jc w:val="both"/>
      </w:pPr>
      <w:r w:rsidRPr="00693805">
        <w:t>Les objectifs du plan de réinstallation sont de mettre en place les mécanismes d’atténuation des impacts sociaux afin de prendre en compte les impacts du déplacement involontaire des populations affectées par le Projet, en leur permettant de reconstituer leurs moyens d’existence et leur niveau de vie. Il s’agit également de restaurer les moyens de production et les revenus au niveau individuel et collectif supérieur ou égal à la condition initiale.</w:t>
      </w:r>
    </w:p>
    <w:p w:rsidR="00181BAB" w:rsidRPr="00693805" w:rsidRDefault="00181BAB" w:rsidP="000B53EE">
      <w:pPr>
        <w:spacing w:after="0"/>
        <w:jc w:val="both"/>
      </w:pPr>
      <w:r w:rsidRPr="00693805">
        <w:t>Etude vise à :</w:t>
      </w:r>
    </w:p>
    <w:p w:rsidR="00181BAB" w:rsidRPr="00693805" w:rsidRDefault="00181BAB" w:rsidP="00FA3FAE">
      <w:pPr>
        <w:pStyle w:val="Listecouleur-Accent11"/>
        <w:numPr>
          <w:ilvl w:val="0"/>
          <w:numId w:val="200"/>
        </w:numPr>
        <w:spacing w:before="240"/>
        <w:ind w:left="714" w:hanging="357"/>
        <w:rPr>
          <w:sz w:val="24"/>
          <w:szCs w:val="24"/>
          <w:lang w:val="fr-FR"/>
        </w:rPr>
      </w:pPr>
      <w:r w:rsidRPr="00693805">
        <w:rPr>
          <w:sz w:val="24"/>
          <w:szCs w:val="24"/>
          <w:lang w:val="fr-FR"/>
        </w:rPr>
        <w:t xml:space="preserve">Élaborer un Plan d’Action de Réinstallation (PAR) conforme aux textes et procédures de la Guinée Bissau sur la réinstallation et à la politique opérationnelle 4.12 de la Banque Mondiale sur réinstallation involontaire, la restriction à l’utilisation des terres. En assurant la protection des personnes susceptibles d’être déplacées ou de subir des pertes de biens ou de sources de revenus dans le cadre de la réalisation du projet PUASEE-FA pour la Guinée Bissau ; </w:t>
      </w:r>
    </w:p>
    <w:p w:rsidR="00181BAB" w:rsidRPr="00693805" w:rsidRDefault="00181BAB" w:rsidP="00FA3FAE">
      <w:pPr>
        <w:numPr>
          <w:ilvl w:val="0"/>
          <w:numId w:val="200"/>
        </w:numPr>
        <w:spacing w:after="0" w:line="240" w:lineRule="auto"/>
        <w:ind w:left="714" w:hanging="357"/>
        <w:jc w:val="both"/>
      </w:pPr>
      <w:r w:rsidRPr="00693805">
        <w:t xml:space="preserve">Montrer de façon détaillée comment identifier et gérer l’ensemble des personnes affectées par le projet qui vont perdre une partie ou la totalité de leurs biens avec la mise en œuvre des travaux de réalisation des réseaux d’eau et d’électricité ; </w:t>
      </w:r>
    </w:p>
    <w:p w:rsidR="00181BAB" w:rsidRPr="00693805" w:rsidRDefault="00181BAB" w:rsidP="00FA3FAE">
      <w:pPr>
        <w:numPr>
          <w:ilvl w:val="0"/>
          <w:numId w:val="200"/>
        </w:numPr>
        <w:spacing w:after="0" w:line="240" w:lineRule="auto"/>
        <w:ind w:left="714" w:hanging="357"/>
        <w:jc w:val="both"/>
      </w:pPr>
      <w:r w:rsidRPr="00693805">
        <w:t>Assurer une mise en œuvre participative et concertée avec tous les acteurs en l’occurrence les femmes, jeunes et groupes sociaux vulnérables compte tenu de l’importance de l’appropriation des activités de réinstallation par les autorités locales et les Personnes Affectées par le Projet (PAP) ;</w:t>
      </w:r>
    </w:p>
    <w:p w:rsidR="00181BAB" w:rsidRPr="00693805" w:rsidRDefault="00181BAB" w:rsidP="00FA3FAE">
      <w:pPr>
        <w:numPr>
          <w:ilvl w:val="0"/>
          <w:numId w:val="200"/>
        </w:numPr>
        <w:spacing w:after="0" w:line="240" w:lineRule="auto"/>
        <w:ind w:left="714" w:hanging="357"/>
        <w:jc w:val="both"/>
      </w:pPr>
      <w:r w:rsidRPr="00693805">
        <w:t>Veiller à ce que les indemnisations s’il y a lieu, soient déterminées de manière participative en rapport avec les impacts subis, afin de s’assurer qu’aucune personne affectée par le projet ne soit pénalisée de façon disproportionnée.</w:t>
      </w:r>
    </w:p>
    <w:p w:rsidR="00181BAB" w:rsidRPr="00693805" w:rsidRDefault="00181BAB" w:rsidP="00FA3FAE">
      <w:pPr>
        <w:pStyle w:val="PargrafodaLista"/>
        <w:numPr>
          <w:ilvl w:val="0"/>
          <w:numId w:val="170"/>
        </w:numPr>
        <w:spacing w:before="360" w:after="0" w:line="240" w:lineRule="auto"/>
        <w:contextualSpacing w:val="0"/>
        <w:jc w:val="both"/>
        <w:outlineLvl w:val="0"/>
        <w:rPr>
          <w:b/>
          <w:lang w:val="fr-FR"/>
        </w:rPr>
      </w:pPr>
      <w:bookmarkStart w:id="826" w:name="_Toc504995702"/>
      <w:bookmarkStart w:id="827" w:name="_Toc504997402"/>
      <w:bookmarkStart w:id="828" w:name="_Toc504998498"/>
      <w:bookmarkStart w:id="829" w:name="_Toc504998566"/>
      <w:bookmarkStart w:id="830" w:name="_Toc504999523"/>
      <w:bookmarkStart w:id="831" w:name="_Toc504999555"/>
      <w:bookmarkStart w:id="832" w:name="_Toc505000587"/>
      <w:bookmarkStart w:id="833" w:name="_Toc505004234"/>
      <w:bookmarkStart w:id="834" w:name="_Toc20820261"/>
      <w:bookmarkStart w:id="835" w:name="_Toc32511668"/>
      <w:bookmarkStart w:id="836" w:name="_Toc51072649"/>
      <w:bookmarkEnd w:id="826"/>
      <w:bookmarkEnd w:id="827"/>
      <w:bookmarkEnd w:id="828"/>
      <w:bookmarkEnd w:id="829"/>
      <w:bookmarkEnd w:id="830"/>
      <w:bookmarkEnd w:id="831"/>
      <w:bookmarkEnd w:id="832"/>
      <w:bookmarkEnd w:id="833"/>
      <w:r w:rsidRPr="00693805">
        <w:rPr>
          <w:b/>
          <w:lang w:val="fr-FR"/>
        </w:rPr>
        <w:t>DESCRIPTION DU PROJET</w:t>
      </w:r>
      <w:bookmarkEnd w:id="834"/>
      <w:bookmarkEnd w:id="835"/>
      <w:bookmarkEnd w:id="836"/>
    </w:p>
    <w:p w:rsidR="00181BAB" w:rsidRPr="00693805" w:rsidRDefault="00181BAB" w:rsidP="000B53EE">
      <w:pPr>
        <w:pStyle w:val="PargrafodaLista"/>
        <w:spacing w:after="0"/>
        <w:ind w:left="0"/>
        <w:jc w:val="both"/>
        <w:rPr>
          <w:lang w:val="fr-FR"/>
        </w:rPr>
      </w:pPr>
      <w:r w:rsidRPr="00693805">
        <w:rPr>
          <w:lang w:val="fr-FR"/>
        </w:rPr>
        <w:lastRenderedPageBreak/>
        <w:t>La construction, réhabilitation, renforcement, fournitures, installations des équipements et électrification des forages d’approvisionnement d’eau potable à Bor, Safim, Prabis et Aéroport ;</w:t>
      </w:r>
    </w:p>
    <w:p w:rsidR="00181BAB" w:rsidRPr="00693805" w:rsidRDefault="00181BAB" w:rsidP="000B53EE">
      <w:pPr>
        <w:spacing w:after="0"/>
        <w:jc w:val="both"/>
      </w:pPr>
      <w:r w:rsidRPr="00693805">
        <w:t>Les investissements prévus concernent sous-projet nº 01 se décrit sur ce tableau ci-dessous :</w:t>
      </w:r>
    </w:p>
    <w:tbl>
      <w:tblPr>
        <w:tblW w:w="488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1"/>
        <w:gridCol w:w="7280"/>
        <w:gridCol w:w="630"/>
        <w:gridCol w:w="828"/>
      </w:tblGrid>
      <w:tr w:rsidR="00181BAB" w:rsidRPr="00693805" w:rsidTr="00181BAB">
        <w:trPr>
          <w:trHeight w:val="280"/>
          <w:jc w:val="center"/>
        </w:trPr>
        <w:tc>
          <w:tcPr>
            <w:tcW w:w="941" w:type="dxa"/>
            <w:shd w:val="clear" w:color="auto" w:fill="E7E6E6"/>
            <w:noWrap/>
            <w:vAlign w:val="center"/>
          </w:tcPr>
          <w:p w:rsidR="00181BAB" w:rsidRPr="00693805" w:rsidRDefault="00181BAB" w:rsidP="000B53EE">
            <w:pPr>
              <w:spacing w:after="0" w:line="240" w:lineRule="auto"/>
              <w:jc w:val="center"/>
              <w:rPr>
                <w:b/>
                <w:bCs/>
                <w:color w:val="000000"/>
              </w:rPr>
            </w:pPr>
            <w:r w:rsidRPr="00693805">
              <w:rPr>
                <w:b/>
                <w:bCs/>
                <w:color w:val="000000"/>
              </w:rPr>
              <w:t>N°</w:t>
            </w:r>
          </w:p>
        </w:tc>
        <w:tc>
          <w:tcPr>
            <w:tcW w:w="7280" w:type="dxa"/>
            <w:shd w:val="clear" w:color="auto" w:fill="E7E6E6"/>
            <w:vAlign w:val="center"/>
          </w:tcPr>
          <w:p w:rsidR="00181BAB" w:rsidRPr="00693805" w:rsidRDefault="00181BAB" w:rsidP="000B53EE">
            <w:pPr>
              <w:spacing w:after="0" w:line="240" w:lineRule="auto"/>
              <w:jc w:val="center"/>
              <w:rPr>
                <w:b/>
                <w:bCs/>
                <w:color w:val="000000"/>
              </w:rPr>
            </w:pPr>
            <w:r w:rsidRPr="00693805">
              <w:rPr>
                <w:b/>
                <w:bCs/>
                <w:color w:val="000000"/>
              </w:rPr>
              <w:t>Détail des activités du projet</w:t>
            </w:r>
          </w:p>
        </w:tc>
        <w:tc>
          <w:tcPr>
            <w:tcW w:w="630" w:type="dxa"/>
            <w:shd w:val="clear" w:color="auto" w:fill="E7E6E6"/>
            <w:vAlign w:val="center"/>
          </w:tcPr>
          <w:p w:rsidR="00181BAB" w:rsidRPr="00693805" w:rsidRDefault="00181BAB" w:rsidP="000B53EE">
            <w:pPr>
              <w:spacing w:after="0" w:line="240" w:lineRule="auto"/>
              <w:jc w:val="center"/>
              <w:rPr>
                <w:b/>
                <w:bCs/>
                <w:color w:val="000000"/>
              </w:rPr>
            </w:pPr>
            <w:r w:rsidRPr="00693805">
              <w:rPr>
                <w:b/>
                <w:bCs/>
                <w:color w:val="000000"/>
              </w:rPr>
              <w:t>Qté</w:t>
            </w:r>
          </w:p>
        </w:tc>
        <w:tc>
          <w:tcPr>
            <w:tcW w:w="828" w:type="dxa"/>
            <w:shd w:val="clear" w:color="auto" w:fill="E7E6E6"/>
            <w:vAlign w:val="center"/>
          </w:tcPr>
          <w:p w:rsidR="00181BAB" w:rsidRPr="00693805" w:rsidRDefault="00181BAB" w:rsidP="000B53EE">
            <w:pPr>
              <w:spacing w:after="0" w:line="240" w:lineRule="auto"/>
              <w:jc w:val="center"/>
              <w:rPr>
                <w:b/>
                <w:bCs/>
                <w:color w:val="000000"/>
              </w:rPr>
            </w:pPr>
            <w:r w:rsidRPr="00693805">
              <w:rPr>
                <w:b/>
                <w:bCs/>
                <w:color w:val="000000"/>
              </w:rPr>
              <w:t>Unité</w:t>
            </w:r>
          </w:p>
        </w:tc>
      </w:tr>
      <w:tr w:rsidR="00181BAB" w:rsidRPr="00693805" w:rsidDel="001A6624" w:rsidTr="00181BAB">
        <w:trPr>
          <w:trHeight w:val="280"/>
          <w:jc w:val="center"/>
        </w:trPr>
        <w:tc>
          <w:tcPr>
            <w:tcW w:w="941" w:type="dxa"/>
            <w:shd w:val="clear" w:color="auto" w:fill="auto"/>
            <w:noWrap/>
            <w:vAlign w:val="center"/>
          </w:tcPr>
          <w:p w:rsidR="00181BAB" w:rsidRPr="00693805" w:rsidRDefault="00181BAB" w:rsidP="000B53EE">
            <w:pPr>
              <w:spacing w:after="0" w:line="240" w:lineRule="auto"/>
              <w:jc w:val="center"/>
              <w:rPr>
                <w:color w:val="000000"/>
              </w:rPr>
            </w:pPr>
            <w:r w:rsidRPr="00693805">
              <w:rPr>
                <w:color w:val="000000"/>
              </w:rPr>
              <w:t>01</w:t>
            </w:r>
          </w:p>
        </w:tc>
        <w:tc>
          <w:tcPr>
            <w:tcW w:w="7280" w:type="dxa"/>
            <w:shd w:val="clear" w:color="auto" w:fill="auto"/>
            <w:vAlign w:val="center"/>
          </w:tcPr>
          <w:p w:rsidR="00181BAB" w:rsidRPr="00693805" w:rsidRDefault="00181BAB" w:rsidP="000B53EE">
            <w:pPr>
              <w:spacing w:after="0" w:line="240" w:lineRule="auto"/>
              <w:jc w:val="both"/>
            </w:pPr>
            <w:r w:rsidRPr="00693805">
              <w:t>Construction ou réhabilitation et équipement du forage existant avec électropompe de 120 m</w:t>
            </w:r>
            <w:r w:rsidRPr="00693805">
              <w:rPr>
                <w:vertAlign w:val="superscript"/>
              </w:rPr>
              <w:t>3</w:t>
            </w:r>
            <w:r w:rsidRPr="00693805">
              <w:t xml:space="preserve">/h, ou nouveau forage équipé à </w:t>
            </w:r>
            <w:r w:rsidRPr="00693805">
              <w:rPr>
                <w:b/>
                <w:bCs/>
              </w:rPr>
              <w:t>Safim</w:t>
            </w:r>
          </w:p>
        </w:tc>
        <w:tc>
          <w:tcPr>
            <w:tcW w:w="630" w:type="dxa"/>
            <w:shd w:val="clear" w:color="auto" w:fill="auto"/>
            <w:vAlign w:val="center"/>
          </w:tcPr>
          <w:p w:rsidR="00181BAB" w:rsidRPr="00693805" w:rsidRDefault="00181BAB" w:rsidP="000B53EE">
            <w:pPr>
              <w:spacing w:after="0" w:line="240" w:lineRule="auto"/>
              <w:jc w:val="right"/>
            </w:pPr>
            <w:r w:rsidRPr="00693805">
              <w:t xml:space="preserve">1 </w:t>
            </w:r>
          </w:p>
        </w:tc>
        <w:tc>
          <w:tcPr>
            <w:tcW w:w="828" w:type="dxa"/>
            <w:shd w:val="clear" w:color="auto" w:fill="auto"/>
            <w:vAlign w:val="center"/>
          </w:tcPr>
          <w:p w:rsidR="00181BAB" w:rsidRPr="00693805" w:rsidDel="001A6624" w:rsidRDefault="00181BAB" w:rsidP="000B53EE">
            <w:pPr>
              <w:spacing w:after="0" w:line="240" w:lineRule="auto"/>
              <w:jc w:val="center"/>
            </w:pPr>
            <w:r w:rsidRPr="00693805">
              <w:t>U</w:t>
            </w:r>
          </w:p>
        </w:tc>
      </w:tr>
      <w:tr w:rsidR="00181BAB" w:rsidRPr="00693805" w:rsidDel="001A6624" w:rsidTr="00181BAB">
        <w:trPr>
          <w:trHeight w:val="280"/>
          <w:jc w:val="center"/>
        </w:trPr>
        <w:tc>
          <w:tcPr>
            <w:tcW w:w="941" w:type="dxa"/>
            <w:shd w:val="clear" w:color="auto" w:fill="auto"/>
            <w:noWrap/>
            <w:vAlign w:val="center"/>
          </w:tcPr>
          <w:p w:rsidR="00181BAB" w:rsidRPr="00693805" w:rsidRDefault="00181BAB" w:rsidP="000B53EE">
            <w:pPr>
              <w:spacing w:after="0" w:line="240" w:lineRule="auto"/>
              <w:jc w:val="center"/>
              <w:rPr>
                <w:color w:val="000000"/>
              </w:rPr>
            </w:pPr>
            <w:r w:rsidRPr="00693805">
              <w:rPr>
                <w:color w:val="000000"/>
              </w:rPr>
              <w:t>02</w:t>
            </w:r>
          </w:p>
        </w:tc>
        <w:tc>
          <w:tcPr>
            <w:tcW w:w="7280" w:type="dxa"/>
            <w:shd w:val="clear" w:color="auto" w:fill="auto"/>
            <w:vAlign w:val="center"/>
          </w:tcPr>
          <w:p w:rsidR="00181BAB" w:rsidRPr="00693805" w:rsidRDefault="00181BAB" w:rsidP="000B53EE">
            <w:pPr>
              <w:spacing w:after="0" w:line="240" w:lineRule="auto"/>
              <w:jc w:val="both"/>
            </w:pPr>
            <w:r w:rsidRPr="00693805">
              <w:t xml:space="preserve">Exécution de forage 250 m3/h, et équipements à </w:t>
            </w:r>
            <w:r w:rsidRPr="00693805">
              <w:rPr>
                <w:b/>
                <w:bCs/>
              </w:rPr>
              <w:t>Bor</w:t>
            </w:r>
          </w:p>
        </w:tc>
        <w:tc>
          <w:tcPr>
            <w:tcW w:w="630" w:type="dxa"/>
            <w:shd w:val="clear" w:color="auto" w:fill="auto"/>
            <w:vAlign w:val="center"/>
          </w:tcPr>
          <w:p w:rsidR="00181BAB" w:rsidRPr="00693805" w:rsidRDefault="00181BAB" w:rsidP="000B53EE">
            <w:pPr>
              <w:spacing w:after="0" w:line="240" w:lineRule="auto"/>
              <w:jc w:val="right"/>
            </w:pPr>
            <w:r w:rsidRPr="00693805">
              <w:t>1</w:t>
            </w:r>
          </w:p>
        </w:tc>
        <w:tc>
          <w:tcPr>
            <w:tcW w:w="828" w:type="dxa"/>
            <w:shd w:val="clear" w:color="auto" w:fill="auto"/>
            <w:vAlign w:val="center"/>
          </w:tcPr>
          <w:p w:rsidR="00181BAB" w:rsidRPr="00693805" w:rsidRDefault="00181BAB" w:rsidP="000B53EE">
            <w:pPr>
              <w:spacing w:after="0" w:line="240" w:lineRule="auto"/>
              <w:jc w:val="center"/>
            </w:pPr>
            <w:r w:rsidRPr="00693805">
              <w:t>U</w:t>
            </w:r>
          </w:p>
        </w:tc>
      </w:tr>
      <w:tr w:rsidR="00181BAB" w:rsidRPr="00693805" w:rsidDel="001A6624" w:rsidTr="00181BAB">
        <w:trPr>
          <w:trHeight w:val="280"/>
          <w:jc w:val="center"/>
        </w:trPr>
        <w:tc>
          <w:tcPr>
            <w:tcW w:w="941" w:type="dxa"/>
            <w:shd w:val="clear" w:color="auto" w:fill="auto"/>
            <w:noWrap/>
            <w:vAlign w:val="center"/>
          </w:tcPr>
          <w:p w:rsidR="00181BAB" w:rsidRPr="00693805" w:rsidRDefault="00181BAB" w:rsidP="000B53EE">
            <w:pPr>
              <w:spacing w:after="0" w:line="240" w:lineRule="auto"/>
              <w:jc w:val="center"/>
              <w:rPr>
                <w:color w:val="000000"/>
              </w:rPr>
            </w:pPr>
            <w:r w:rsidRPr="00693805">
              <w:rPr>
                <w:color w:val="000000"/>
              </w:rPr>
              <w:t>03</w:t>
            </w:r>
          </w:p>
        </w:tc>
        <w:tc>
          <w:tcPr>
            <w:tcW w:w="7280" w:type="dxa"/>
            <w:shd w:val="clear" w:color="auto" w:fill="auto"/>
            <w:vAlign w:val="center"/>
          </w:tcPr>
          <w:p w:rsidR="00181BAB" w:rsidRPr="00693805" w:rsidRDefault="00181BAB" w:rsidP="000B53EE">
            <w:pPr>
              <w:spacing w:after="0" w:line="240" w:lineRule="auto"/>
              <w:jc w:val="both"/>
            </w:pPr>
            <w:r w:rsidRPr="00693805">
              <w:t>Exécution de forage 120 m</w:t>
            </w:r>
            <w:r w:rsidRPr="00693805">
              <w:rPr>
                <w:vertAlign w:val="superscript"/>
              </w:rPr>
              <w:t>3</w:t>
            </w:r>
            <w:r w:rsidRPr="00693805">
              <w:t>/h et équipements à Prabis</w:t>
            </w:r>
          </w:p>
        </w:tc>
        <w:tc>
          <w:tcPr>
            <w:tcW w:w="630" w:type="dxa"/>
            <w:shd w:val="clear" w:color="auto" w:fill="auto"/>
            <w:vAlign w:val="center"/>
          </w:tcPr>
          <w:p w:rsidR="00181BAB" w:rsidRPr="00693805" w:rsidRDefault="00181BAB" w:rsidP="000B53EE">
            <w:pPr>
              <w:spacing w:after="0" w:line="240" w:lineRule="auto"/>
              <w:jc w:val="right"/>
            </w:pPr>
            <w:r w:rsidRPr="00693805">
              <w:t xml:space="preserve">1 </w:t>
            </w:r>
          </w:p>
        </w:tc>
        <w:tc>
          <w:tcPr>
            <w:tcW w:w="828" w:type="dxa"/>
            <w:shd w:val="clear" w:color="auto" w:fill="auto"/>
            <w:vAlign w:val="center"/>
          </w:tcPr>
          <w:p w:rsidR="00181BAB" w:rsidRPr="00693805" w:rsidDel="001A6624" w:rsidRDefault="00181BAB" w:rsidP="000B53EE">
            <w:pPr>
              <w:spacing w:after="0" w:line="240" w:lineRule="auto"/>
              <w:jc w:val="center"/>
            </w:pPr>
            <w:r w:rsidRPr="00693805">
              <w:t>U</w:t>
            </w:r>
          </w:p>
        </w:tc>
      </w:tr>
      <w:tr w:rsidR="00181BAB" w:rsidRPr="00693805" w:rsidDel="001A6624" w:rsidTr="00181BAB">
        <w:trPr>
          <w:trHeight w:val="280"/>
          <w:jc w:val="center"/>
        </w:trPr>
        <w:tc>
          <w:tcPr>
            <w:tcW w:w="941" w:type="dxa"/>
            <w:shd w:val="clear" w:color="auto" w:fill="auto"/>
            <w:noWrap/>
            <w:vAlign w:val="center"/>
          </w:tcPr>
          <w:p w:rsidR="00181BAB" w:rsidRPr="00693805" w:rsidRDefault="00181BAB" w:rsidP="000B53EE">
            <w:pPr>
              <w:spacing w:after="0" w:line="240" w:lineRule="auto"/>
              <w:jc w:val="center"/>
              <w:rPr>
                <w:color w:val="000000"/>
              </w:rPr>
            </w:pPr>
            <w:r w:rsidRPr="00693805">
              <w:rPr>
                <w:color w:val="000000"/>
              </w:rPr>
              <w:t>04</w:t>
            </w:r>
          </w:p>
        </w:tc>
        <w:tc>
          <w:tcPr>
            <w:tcW w:w="7280" w:type="dxa"/>
            <w:shd w:val="clear" w:color="auto" w:fill="auto"/>
            <w:vAlign w:val="center"/>
          </w:tcPr>
          <w:p w:rsidR="00181BAB" w:rsidRPr="00693805" w:rsidRDefault="00181BAB" w:rsidP="000B53EE">
            <w:pPr>
              <w:spacing w:after="0" w:line="240" w:lineRule="auto"/>
              <w:jc w:val="both"/>
            </w:pPr>
            <w:r w:rsidRPr="00693805">
              <w:t>Exécution de forage 150 m</w:t>
            </w:r>
            <w:r w:rsidRPr="00693805">
              <w:rPr>
                <w:vertAlign w:val="superscript"/>
              </w:rPr>
              <w:t>3</w:t>
            </w:r>
            <w:r w:rsidRPr="00693805">
              <w:t xml:space="preserve">/h et équipements, </w:t>
            </w:r>
            <w:r w:rsidRPr="00693805">
              <w:rPr>
                <w:b/>
                <w:bCs/>
              </w:rPr>
              <w:t>quartier aéroport</w:t>
            </w:r>
          </w:p>
        </w:tc>
        <w:tc>
          <w:tcPr>
            <w:tcW w:w="630" w:type="dxa"/>
            <w:shd w:val="clear" w:color="auto" w:fill="auto"/>
            <w:vAlign w:val="center"/>
          </w:tcPr>
          <w:p w:rsidR="00181BAB" w:rsidRPr="00693805" w:rsidRDefault="00181BAB" w:rsidP="000B53EE">
            <w:pPr>
              <w:spacing w:after="0" w:line="240" w:lineRule="auto"/>
              <w:jc w:val="right"/>
            </w:pPr>
            <w:r w:rsidRPr="00693805">
              <w:t xml:space="preserve">2 </w:t>
            </w:r>
          </w:p>
        </w:tc>
        <w:tc>
          <w:tcPr>
            <w:tcW w:w="828" w:type="dxa"/>
            <w:shd w:val="clear" w:color="auto" w:fill="auto"/>
            <w:vAlign w:val="center"/>
          </w:tcPr>
          <w:p w:rsidR="00181BAB" w:rsidRPr="00693805" w:rsidDel="001A6624" w:rsidRDefault="00181BAB" w:rsidP="000B53EE">
            <w:pPr>
              <w:spacing w:after="0" w:line="240" w:lineRule="auto"/>
              <w:jc w:val="center"/>
            </w:pPr>
            <w:r w:rsidRPr="00693805">
              <w:t>U</w:t>
            </w:r>
          </w:p>
        </w:tc>
      </w:tr>
    </w:tbl>
    <w:p w:rsidR="00181BAB" w:rsidRPr="00693805" w:rsidRDefault="00181BAB" w:rsidP="000B53EE">
      <w:pPr>
        <w:spacing w:after="0"/>
        <w:jc w:val="both"/>
      </w:pPr>
    </w:p>
    <w:p w:rsidR="00181BAB" w:rsidRPr="00693805" w:rsidRDefault="00181BAB" w:rsidP="00FA3FAE">
      <w:pPr>
        <w:pStyle w:val="Textodecomentrio"/>
        <w:keepLines w:val="0"/>
        <w:numPr>
          <w:ilvl w:val="1"/>
          <w:numId w:val="64"/>
        </w:numPr>
        <w:spacing w:after="0" w:line="240" w:lineRule="auto"/>
        <w:jc w:val="left"/>
        <w:outlineLvl w:val="1"/>
        <w:rPr>
          <w:b/>
          <w:sz w:val="24"/>
        </w:rPr>
      </w:pPr>
      <w:bookmarkStart w:id="837" w:name="_Toc32511669"/>
      <w:bookmarkStart w:id="838" w:name="_Toc51072650"/>
      <w:r w:rsidRPr="00693805">
        <w:rPr>
          <w:b/>
          <w:sz w:val="24"/>
        </w:rPr>
        <w:t xml:space="preserve">Construction de nouveau Forage 1 de </w:t>
      </w:r>
      <w:r w:rsidRPr="00693805">
        <w:rPr>
          <w:b/>
          <w:bCs/>
          <w:sz w:val="24"/>
        </w:rPr>
        <w:t>Quartier de l'Aéroport</w:t>
      </w:r>
      <w:bookmarkEnd w:id="837"/>
      <w:bookmarkEnd w:id="838"/>
      <w:r w:rsidRPr="00693805">
        <w:rPr>
          <w:b/>
          <w:bCs/>
          <w:sz w:val="24"/>
        </w:rPr>
        <w:t xml:space="preserve"> </w:t>
      </w:r>
    </w:p>
    <w:p w:rsidR="00181BAB" w:rsidRPr="00693805" w:rsidRDefault="00181BAB" w:rsidP="000B53EE">
      <w:pPr>
        <w:pStyle w:val="Textodecomentrio"/>
        <w:spacing w:after="0"/>
        <w:ind w:left="1068"/>
        <w:outlineLvl w:val="1"/>
        <w:rPr>
          <w:b/>
          <w:sz w:val="24"/>
        </w:rPr>
      </w:pPr>
    </w:p>
    <w:tbl>
      <w:tblPr>
        <w:tblW w:w="10599"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7"/>
        <w:gridCol w:w="1808"/>
        <w:gridCol w:w="1601"/>
        <w:gridCol w:w="1719"/>
        <w:gridCol w:w="2244"/>
      </w:tblGrid>
      <w:tr w:rsidR="00181BAB" w:rsidRPr="00693805" w:rsidTr="008734B0">
        <w:tc>
          <w:tcPr>
            <w:tcW w:w="3227" w:type="dxa"/>
            <w:shd w:val="clear" w:color="auto" w:fill="auto"/>
          </w:tcPr>
          <w:p w:rsidR="00181BAB" w:rsidRPr="00693805" w:rsidRDefault="00181BAB" w:rsidP="000B53EE">
            <w:pPr>
              <w:spacing w:after="0"/>
              <w:ind w:right="60"/>
              <w:jc w:val="both"/>
            </w:pPr>
            <w:r w:rsidRPr="00693805">
              <w:rPr>
                <w:b/>
                <w:color w:val="000000"/>
              </w:rPr>
              <w:t>Composante du projet</w:t>
            </w:r>
          </w:p>
        </w:tc>
        <w:tc>
          <w:tcPr>
            <w:tcW w:w="7372" w:type="dxa"/>
            <w:gridSpan w:val="4"/>
            <w:shd w:val="clear" w:color="auto" w:fill="auto"/>
          </w:tcPr>
          <w:p w:rsidR="00181BAB" w:rsidRPr="00693805" w:rsidRDefault="00181BAB" w:rsidP="000B53EE">
            <w:pPr>
              <w:spacing w:after="0"/>
              <w:ind w:right="60"/>
              <w:jc w:val="both"/>
            </w:pPr>
            <w:r w:rsidRPr="00693805">
              <w:t>Exécution de forage 150 m</w:t>
            </w:r>
            <w:r w:rsidRPr="00693805">
              <w:rPr>
                <w:vertAlign w:val="superscript"/>
              </w:rPr>
              <w:t>3</w:t>
            </w:r>
            <w:r w:rsidRPr="00693805">
              <w:t>/h et équipements</w:t>
            </w:r>
          </w:p>
        </w:tc>
      </w:tr>
      <w:tr w:rsidR="00181BAB" w:rsidRPr="00693805" w:rsidTr="008734B0">
        <w:tc>
          <w:tcPr>
            <w:tcW w:w="3227" w:type="dxa"/>
            <w:shd w:val="clear" w:color="auto" w:fill="auto"/>
          </w:tcPr>
          <w:p w:rsidR="00181BAB" w:rsidRPr="00693805" w:rsidRDefault="00181BAB" w:rsidP="000B53EE">
            <w:pPr>
              <w:spacing w:after="0"/>
              <w:ind w:right="60"/>
              <w:jc w:val="both"/>
              <w:rPr>
                <w:b/>
                <w:color w:val="000000"/>
              </w:rPr>
            </w:pPr>
            <w:r w:rsidRPr="00693805">
              <w:rPr>
                <w:b/>
                <w:color w:val="000000"/>
              </w:rPr>
              <w:t>Localités associées</w:t>
            </w:r>
          </w:p>
        </w:tc>
        <w:tc>
          <w:tcPr>
            <w:tcW w:w="7372" w:type="dxa"/>
            <w:gridSpan w:val="4"/>
            <w:shd w:val="clear" w:color="auto" w:fill="auto"/>
          </w:tcPr>
          <w:p w:rsidR="00181BAB" w:rsidRPr="00693805" w:rsidRDefault="00181BAB" w:rsidP="000B53EE">
            <w:pPr>
              <w:spacing w:after="0"/>
              <w:ind w:right="60"/>
              <w:jc w:val="both"/>
            </w:pPr>
            <w:r w:rsidRPr="00693805">
              <w:rPr>
                <w:color w:val="000000"/>
              </w:rPr>
              <w:t>Quartier Aéroport : à l’intérieur du Camp Militaire altérite</w:t>
            </w:r>
          </w:p>
        </w:tc>
      </w:tr>
      <w:tr w:rsidR="00181BAB" w:rsidRPr="00693805" w:rsidTr="008734B0">
        <w:tc>
          <w:tcPr>
            <w:tcW w:w="5035" w:type="dxa"/>
            <w:gridSpan w:val="2"/>
            <w:vMerge w:val="restart"/>
            <w:shd w:val="clear" w:color="auto" w:fill="auto"/>
          </w:tcPr>
          <w:p w:rsidR="00181BAB" w:rsidRPr="00693805" w:rsidRDefault="00181BAB" w:rsidP="000B53EE">
            <w:pPr>
              <w:spacing w:after="0"/>
              <w:ind w:right="60"/>
              <w:jc w:val="both"/>
            </w:pPr>
          </w:p>
        </w:tc>
        <w:tc>
          <w:tcPr>
            <w:tcW w:w="1601" w:type="dxa"/>
            <w:shd w:val="clear" w:color="auto" w:fill="auto"/>
          </w:tcPr>
          <w:p w:rsidR="00181BAB" w:rsidRPr="00693805" w:rsidRDefault="00181BAB" w:rsidP="000B53EE">
            <w:pPr>
              <w:spacing w:after="0"/>
              <w:ind w:right="60"/>
              <w:jc w:val="both"/>
            </w:pPr>
            <w:r w:rsidRPr="00693805">
              <w:rPr>
                <w:b/>
              </w:rPr>
              <w:t>Code GPS</w:t>
            </w:r>
          </w:p>
        </w:tc>
        <w:tc>
          <w:tcPr>
            <w:tcW w:w="1719" w:type="dxa"/>
            <w:shd w:val="clear" w:color="auto" w:fill="auto"/>
            <w:vAlign w:val="center"/>
          </w:tcPr>
          <w:p w:rsidR="00181BAB" w:rsidRPr="00693805" w:rsidRDefault="00181BAB" w:rsidP="000B53EE">
            <w:pPr>
              <w:spacing w:after="0"/>
              <w:ind w:right="60"/>
              <w:jc w:val="both"/>
            </w:pPr>
            <w:r w:rsidRPr="00693805">
              <w:rPr>
                <w:b/>
              </w:rPr>
              <w:t>X</w:t>
            </w:r>
          </w:p>
        </w:tc>
        <w:tc>
          <w:tcPr>
            <w:tcW w:w="2244" w:type="dxa"/>
            <w:shd w:val="clear" w:color="auto" w:fill="auto"/>
            <w:vAlign w:val="center"/>
          </w:tcPr>
          <w:p w:rsidR="00181BAB" w:rsidRPr="00693805" w:rsidRDefault="00181BAB" w:rsidP="000B53EE">
            <w:pPr>
              <w:spacing w:after="0"/>
              <w:ind w:right="60"/>
              <w:jc w:val="both"/>
            </w:pPr>
            <w:r w:rsidRPr="00693805">
              <w:rPr>
                <w:b/>
              </w:rPr>
              <w:t>Y</w:t>
            </w:r>
          </w:p>
        </w:tc>
      </w:tr>
      <w:tr w:rsidR="00181BAB" w:rsidRPr="00693805" w:rsidTr="008734B0">
        <w:tc>
          <w:tcPr>
            <w:tcW w:w="5035" w:type="dxa"/>
            <w:gridSpan w:val="2"/>
            <w:vMerge/>
            <w:shd w:val="clear" w:color="auto" w:fill="auto"/>
          </w:tcPr>
          <w:p w:rsidR="00181BAB" w:rsidRPr="00693805" w:rsidRDefault="00181BAB" w:rsidP="000B53EE">
            <w:pPr>
              <w:spacing w:after="0"/>
              <w:ind w:right="60"/>
              <w:jc w:val="both"/>
            </w:pPr>
          </w:p>
        </w:tc>
        <w:tc>
          <w:tcPr>
            <w:tcW w:w="1601" w:type="dxa"/>
            <w:shd w:val="clear" w:color="auto" w:fill="auto"/>
            <w:vAlign w:val="center"/>
          </w:tcPr>
          <w:p w:rsidR="00181BAB" w:rsidRPr="00693805" w:rsidRDefault="00181BAB" w:rsidP="000B53EE">
            <w:pPr>
              <w:spacing w:after="0"/>
              <w:ind w:right="60"/>
              <w:jc w:val="both"/>
            </w:pPr>
            <w:r w:rsidRPr="00693805">
              <w:rPr>
                <w:color w:val="000000"/>
              </w:rPr>
              <w:t>RE-1</w:t>
            </w:r>
          </w:p>
        </w:tc>
        <w:tc>
          <w:tcPr>
            <w:tcW w:w="1719" w:type="dxa"/>
            <w:shd w:val="clear" w:color="auto" w:fill="auto"/>
            <w:vAlign w:val="center"/>
          </w:tcPr>
          <w:p w:rsidR="00181BAB" w:rsidRPr="00693805" w:rsidRDefault="00181BAB" w:rsidP="000B53EE">
            <w:pPr>
              <w:spacing w:after="0"/>
              <w:ind w:right="60"/>
              <w:jc w:val="both"/>
            </w:pPr>
            <w:r w:rsidRPr="00693805">
              <w:rPr>
                <w:color w:val="000000"/>
              </w:rPr>
              <w:t>428775</w:t>
            </w:r>
          </w:p>
        </w:tc>
        <w:tc>
          <w:tcPr>
            <w:tcW w:w="2244" w:type="dxa"/>
            <w:shd w:val="clear" w:color="auto" w:fill="auto"/>
            <w:vAlign w:val="center"/>
          </w:tcPr>
          <w:p w:rsidR="00181BAB" w:rsidRPr="00693805" w:rsidRDefault="00181BAB" w:rsidP="000B53EE">
            <w:pPr>
              <w:spacing w:after="0"/>
              <w:ind w:right="60"/>
              <w:jc w:val="both"/>
            </w:pPr>
            <w:r w:rsidRPr="00693805">
              <w:rPr>
                <w:color w:val="000000"/>
              </w:rPr>
              <w:t>1313407</w:t>
            </w:r>
          </w:p>
        </w:tc>
      </w:tr>
      <w:tr w:rsidR="00181BAB" w:rsidRPr="00693805" w:rsidTr="008734B0">
        <w:tc>
          <w:tcPr>
            <w:tcW w:w="3227" w:type="dxa"/>
            <w:shd w:val="clear" w:color="auto" w:fill="auto"/>
          </w:tcPr>
          <w:p w:rsidR="00181BAB" w:rsidRPr="00693805" w:rsidRDefault="00181BAB" w:rsidP="000B53EE">
            <w:pPr>
              <w:spacing w:after="0"/>
              <w:ind w:right="60"/>
              <w:jc w:val="both"/>
            </w:pPr>
            <w:r w:rsidRPr="00693805">
              <w:rPr>
                <w:b/>
                <w:color w:val="000000"/>
              </w:rPr>
              <w:t>Caractéristiques du site</w:t>
            </w:r>
          </w:p>
        </w:tc>
        <w:tc>
          <w:tcPr>
            <w:tcW w:w="7372" w:type="dxa"/>
            <w:gridSpan w:val="4"/>
            <w:shd w:val="clear" w:color="auto" w:fill="auto"/>
          </w:tcPr>
          <w:p w:rsidR="00181BAB" w:rsidRPr="00693805" w:rsidRDefault="00181BAB" w:rsidP="000B53EE">
            <w:pPr>
              <w:spacing w:after="0"/>
              <w:ind w:left="80" w:right="60"/>
              <w:jc w:val="both"/>
            </w:pPr>
            <w:r w:rsidRPr="00693805">
              <w:t>La cote du terrain naturel est 36 m, le niveau des PHE est environ 57 m.</w:t>
            </w:r>
          </w:p>
        </w:tc>
      </w:tr>
      <w:tr w:rsidR="00181BAB" w:rsidRPr="00693805" w:rsidTr="008734B0">
        <w:tc>
          <w:tcPr>
            <w:tcW w:w="3227" w:type="dxa"/>
            <w:shd w:val="clear" w:color="auto" w:fill="auto"/>
          </w:tcPr>
          <w:p w:rsidR="00181BAB" w:rsidRPr="00693805" w:rsidRDefault="00181BAB" w:rsidP="000B53EE">
            <w:pPr>
              <w:spacing w:after="0"/>
              <w:ind w:right="60"/>
              <w:jc w:val="both"/>
              <w:rPr>
                <w:b/>
                <w:color w:val="000000"/>
              </w:rPr>
            </w:pPr>
            <w:r w:rsidRPr="00693805">
              <w:rPr>
                <w:b/>
                <w:color w:val="000000"/>
              </w:rPr>
              <w:t>Description du milieu d’influence direct</w:t>
            </w:r>
          </w:p>
        </w:tc>
        <w:tc>
          <w:tcPr>
            <w:tcW w:w="7372" w:type="dxa"/>
            <w:gridSpan w:val="4"/>
            <w:shd w:val="clear" w:color="auto" w:fill="auto"/>
          </w:tcPr>
          <w:p w:rsidR="00181BAB" w:rsidRPr="00693805" w:rsidRDefault="00181BAB" w:rsidP="000B53EE">
            <w:pPr>
              <w:spacing w:after="0"/>
              <w:jc w:val="both"/>
              <w:rPr>
                <w:color w:val="000000"/>
              </w:rPr>
            </w:pPr>
            <w:r w:rsidRPr="00693805">
              <w:rPr>
                <w:color w:val="000000"/>
              </w:rPr>
              <w:t>- Présence d’un recevoir d’où on note des dégradations partielles de la structure surtout en hauteur et des conduites défectueuses (réservoir non fonctionnel).</w:t>
            </w:r>
          </w:p>
          <w:p w:rsidR="00181BAB" w:rsidRPr="00693805" w:rsidRDefault="00181BAB" w:rsidP="000B53EE">
            <w:pPr>
              <w:spacing w:after="0"/>
              <w:ind w:right="60"/>
              <w:jc w:val="both"/>
              <w:rPr>
                <w:color w:val="000000"/>
              </w:rPr>
            </w:pPr>
            <w:r w:rsidRPr="00693805">
              <w:rPr>
                <w:color w:val="000000"/>
              </w:rPr>
              <w:t>- Présence de route goudronnée avec des canalisations à ciel ouvert et présence de quelque pied de bananiers.</w:t>
            </w:r>
          </w:p>
          <w:p w:rsidR="00181BAB" w:rsidRPr="00693805" w:rsidRDefault="00181BAB" w:rsidP="000B53EE">
            <w:pPr>
              <w:spacing w:after="0"/>
              <w:ind w:right="60"/>
              <w:jc w:val="both"/>
            </w:pPr>
            <w:r w:rsidRPr="00693805">
              <w:rPr>
                <w:color w:val="000000"/>
              </w:rPr>
              <w:t xml:space="preserve">- Existence d’un bâtiment à quelque mètre et d’un ancien groupe électrogène non fonctionnel qui permettait l’alimentation du forage. </w:t>
            </w:r>
          </w:p>
        </w:tc>
      </w:tr>
      <w:tr w:rsidR="00181BAB" w:rsidRPr="00693805" w:rsidTr="008734B0">
        <w:tc>
          <w:tcPr>
            <w:tcW w:w="10599" w:type="dxa"/>
            <w:gridSpan w:val="5"/>
            <w:shd w:val="clear" w:color="auto" w:fill="auto"/>
          </w:tcPr>
          <w:p w:rsidR="00181BAB" w:rsidRPr="00693805" w:rsidRDefault="00181BAB" w:rsidP="000B53EE">
            <w:pPr>
              <w:spacing w:after="0"/>
              <w:jc w:val="both"/>
              <w:rPr>
                <w:color w:val="000000"/>
              </w:rPr>
            </w:pPr>
            <w:r w:rsidRPr="00693805">
              <w:rPr>
                <w:b/>
                <w:color w:val="000000"/>
              </w:rPr>
              <w:t>Photos Illustrations</w:t>
            </w:r>
          </w:p>
        </w:tc>
      </w:tr>
      <w:tr w:rsidR="00181BAB" w:rsidRPr="00693805" w:rsidTr="008734B0">
        <w:tc>
          <w:tcPr>
            <w:tcW w:w="10599" w:type="dxa"/>
            <w:gridSpan w:val="5"/>
            <w:shd w:val="clear" w:color="auto" w:fill="auto"/>
          </w:tcPr>
          <w:p w:rsidR="00181BAB" w:rsidRPr="00693805" w:rsidRDefault="00332A41" w:rsidP="000B53EE">
            <w:pPr>
              <w:spacing w:after="0"/>
              <w:ind w:right="60"/>
              <w:jc w:val="both"/>
              <w:rPr>
                <w:color w:val="000000"/>
              </w:rPr>
            </w:pPr>
            <w:r>
              <w:rPr>
                <w:noProof/>
                <w:color w:val="000000"/>
                <w:lang w:eastAsia="fr-FR"/>
              </w:rPr>
              <w:pict w14:anchorId="7B33E671">
                <v:shape id="Image 401" o:spid="_x0000_i1029" type="#_x0000_t75" style="width:118.5pt;height:141pt;rotation:90;visibility:visible">
                  <v:imagedata r:id="rId160" o:title=""/>
                </v:shape>
              </w:pict>
            </w:r>
            <w:r w:rsidR="00181BAB" w:rsidRPr="00693805">
              <w:rPr>
                <w:noProof/>
                <w:color w:val="000000"/>
                <w:lang w:eastAsia="fr-FR"/>
              </w:rPr>
              <w:t xml:space="preserve"> </w:t>
            </w:r>
            <w:r>
              <w:rPr>
                <w:noProof/>
                <w:color w:val="000000"/>
                <w:lang w:eastAsia="fr-FR"/>
              </w:rPr>
              <w:pict w14:anchorId="111C7730">
                <v:shape id="_x0000_i1030" type="#_x0000_t75" style="width:181pt;height:118.5pt">
                  <v:imagedata r:id="rId161" o:title="IMG_1579"/>
                </v:shape>
              </w:pict>
            </w:r>
            <w:r>
              <w:rPr>
                <w:noProof/>
                <w:color w:val="000000"/>
                <w:lang w:eastAsia="fr-FR"/>
              </w:rPr>
              <w:pict w14:anchorId="0C1522EA">
                <v:shape id="_x0000_i1031" type="#_x0000_t75" style="width:173pt;height:118.5pt">
                  <v:imagedata r:id="rId162" o:title="IMG_1580"/>
                </v:shape>
              </w:pict>
            </w:r>
          </w:p>
        </w:tc>
      </w:tr>
    </w:tbl>
    <w:p w:rsidR="00181BAB" w:rsidRPr="00693805" w:rsidRDefault="00181BAB" w:rsidP="000B53EE">
      <w:pPr>
        <w:pStyle w:val="Textodecomentrio"/>
        <w:spacing w:after="0"/>
        <w:ind w:left="1068"/>
      </w:pPr>
    </w:p>
    <w:p w:rsidR="00181BAB" w:rsidRPr="00693805" w:rsidRDefault="00181BAB" w:rsidP="00FA3FAE">
      <w:pPr>
        <w:pStyle w:val="Textodecomentrio"/>
        <w:keepLines w:val="0"/>
        <w:numPr>
          <w:ilvl w:val="1"/>
          <w:numId w:val="65"/>
        </w:numPr>
        <w:spacing w:after="0" w:line="240" w:lineRule="auto"/>
        <w:jc w:val="left"/>
        <w:outlineLvl w:val="1"/>
        <w:rPr>
          <w:b/>
          <w:sz w:val="24"/>
        </w:rPr>
      </w:pPr>
      <w:bookmarkStart w:id="839" w:name="_Toc32511670"/>
      <w:bookmarkStart w:id="840" w:name="_Toc51072651"/>
      <w:r w:rsidRPr="00693805">
        <w:rPr>
          <w:b/>
          <w:sz w:val="24"/>
        </w:rPr>
        <w:t xml:space="preserve">Construction de nouveau Forage 2 de </w:t>
      </w:r>
      <w:r w:rsidRPr="00693805">
        <w:rPr>
          <w:b/>
          <w:bCs/>
          <w:sz w:val="24"/>
        </w:rPr>
        <w:t>Quartier de l'Aéroport</w:t>
      </w:r>
      <w:bookmarkEnd w:id="839"/>
      <w:bookmarkEnd w:id="840"/>
      <w:r w:rsidRPr="00693805">
        <w:rPr>
          <w:b/>
          <w:bCs/>
          <w:sz w:val="24"/>
        </w:rPr>
        <w:t xml:space="preserve"> </w:t>
      </w:r>
    </w:p>
    <w:p w:rsidR="00181BAB" w:rsidRPr="00693805" w:rsidRDefault="00181BAB" w:rsidP="000B53EE">
      <w:pPr>
        <w:pStyle w:val="Textodecomentrio"/>
        <w:spacing w:after="0"/>
        <w:ind w:left="1068"/>
      </w:pPr>
    </w:p>
    <w:tbl>
      <w:tblPr>
        <w:tblW w:w="10563"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2"/>
        <w:gridCol w:w="864"/>
        <w:gridCol w:w="1545"/>
        <w:gridCol w:w="1892"/>
        <w:gridCol w:w="2580"/>
      </w:tblGrid>
      <w:tr w:rsidR="00181BAB" w:rsidRPr="00693805" w:rsidTr="00181BAB">
        <w:tc>
          <w:tcPr>
            <w:tcW w:w="3682" w:type="dxa"/>
            <w:shd w:val="clear" w:color="auto" w:fill="auto"/>
          </w:tcPr>
          <w:p w:rsidR="00181BAB" w:rsidRPr="00693805" w:rsidRDefault="00181BAB" w:rsidP="000B53EE">
            <w:pPr>
              <w:spacing w:after="0"/>
              <w:ind w:right="60"/>
              <w:jc w:val="both"/>
            </w:pPr>
            <w:r w:rsidRPr="00693805">
              <w:br w:type="page"/>
            </w:r>
            <w:r w:rsidRPr="00693805">
              <w:rPr>
                <w:b/>
                <w:color w:val="000000"/>
              </w:rPr>
              <w:t>Composante du projet</w:t>
            </w:r>
          </w:p>
        </w:tc>
        <w:tc>
          <w:tcPr>
            <w:tcW w:w="6881" w:type="dxa"/>
            <w:gridSpan w:val="4"/>
            <w:shd w:val="clear" w:color="auto" w:fill="auto"/>
          </w:tcPr>
          <w:p w:rsidR="00181BAB" w:rsidRPr="00693805" w:rsidRDefault="00181BAB" w:rsidP="000B53EE">
            <w:pPr>
              <w:spacing w:after="0"/>
              <w:ind w:right="60"/>
              <w:jc w:val="both"/>
            </w:pPr>
            <w:r w:rsidRPr="00693805">
              <w:t>Exécution de forage 150 m</w:t>
            </w:r>
            <w:r w:rsidRPr="00693805">
              <w:rPr>
                <w:vertAlign w:val="superscript"/>
              </w:rPr>
              <w:t>3</w:t>
            </w:r>
            <w:r w:rsidRPr="00693805">
              <w:t>/h et équipements</w:t>
            </w:r>
          </w:p>
        </w:tc>
      </w:tr>
      <w:tr w:rsidR="00181BAB" w:rsidRPr="00693805" w:rsidTr="00181BAB">
        <w:tc>
          <w:tcPr>
            <w:tcW w:w="3682" w:type="dxa"/>
            <w:shd w:val="clear" w:color="auto" w:fill="auto"/>
          </w:tcPr>
          <w:p w:rsidR="00181BAB" w:rsidRPr="00693805" w:rsidRDefault="00181BAB" w:rsidP="000B53EE">
            <w:pPr>
              <w:spacing w:after="0"/>
              <w:ind w:right="60"/>
              <w:jc w:val="both"/>
              <w:rPr>
                <w:b/>
                <w:color w:val="000000"/>
              </w:rPr>
            </w:pPr>
            <w:r w:rsidRPr="00693805">
              <w:rPr>
                <w:b/>
                <w:color w:val="000000"/>
              </w:rPr>
              <w:t>Localités associées</w:t>
            </w:r>
          </w:p>
        </w:tc>
        <w:tc>
          <w:tcPr>
            <w:tcW w:w="6881" w:type="dxa"/>
            <w:gridSpan w:val="4"/>
            <w:shd w:val="clear" w:color="auto" w:fill="auto"/>
          </w:tcPr>
          <w:p w:rsidR="00181BAB" w:rsidRPr="00693805" w:rsidRDefault="00181BAB" w:rsidP="000B53EE">
            <w:pPr>
              <w:spacing w:after="0"/>
              <w:ind w:right="60"/>
              <w:jc w:val="both"/>
            </w:pPr>
            <w:r w:rsidRPr="00693805">
              <w:rPr>
                <w:color w:val="000000"/>
              </w:rPr>
              <w:t>Quartier Aéroport : à l’intérieur du Camp Militaire altérite</w:t>
            </w:r>
          </w:p>
        </w:tc>
      </w:tr>
      <w:tr w:rsidR="00181BAB" w:rsidRPr="00693805" w:rsidTr="00181BAB">
        <w:tc>
          <w:tcPr>
            <w:tcW w:w="4546" w:type="dxa"/>
            <w:gridSpan w:val="2"/>
            <w:vMerge w:val="restart"/>
            <w:shd w:val="clear" w:color="auto" w:fill="auto"/>
          </w:tcPr>
          <w:p w:rsidR="00181BAB" w:rsidRPr="00693805" w:rsidRDefault="00181BAB" w:rsidP="000B53EE">
            <w:pPr>
              <w:spacing w:after="0"/>
              <w:ind w:right="60"/>
              <w:jc w:val="both"/>
            </w:pPr>
          </w:p>
        </w:tc>
        <w:tc>
          <w:tcPr>
            <w:tcW w:w="1545" w:type="dxa"/>
            <w:shd w:val="clear" w:color="auto" w:fill="auto"/>
          </w:tcPr>
          <w:p w:rsidR="00181BAB" w:rsidRPr="00693805" w:rsidRDefault="00181BAB" w:rsidP="000B53EE">
            <w:pPr>
              <w:spacing w:after="0"/>
              <w:ind w:right="60"/>
              <w:jc w:val="both"/>
            </w:pPr>
            <w:r w:rsidRPr="00693805">
              <w:rPr>
                <w:b/>
              </w:rPr>
              <w:t>Code GPS</w:t>
            </w:r>
          </w:p>
        </w:tc>
        <w:tc>
          <w:tcPr>
            <w:tcW w:w="1892" w:type="dxa"/>
            <w:shd w:val="clear" w:color="auto" w:fill="auto"/>
            <w:vAlign w:val="center"/>
          </w:tcPr>
          <w:p w:rsidR="00181BAB" w:rsidRPr="00693805" w:rsidRDefault="00181BAB" w:rsidP="000B53EE">
            <w:pPr>
              <w:spacing w:after="0"/>
              <w:ind w:right="60"/>
              <w:jc w:val="both"/>
            </w:pPr>
            <w:r w:rsidRPr="00693805">
              <w:rPr>
                <w:b/>
              </w:rPr>
              <w:t>X</w:t>
            </w:r>
          </w:p>
        </w:tc>
        <w:tc>
          <w:tcPr>
            <w:tcW w:w="2580" w:type="dxa"/>
            <w:shd w:val="clear" w:color="auto" w:fill="auto"/>
            <w:vAlign w:val="center"/>
          </w:tcPr>
          <w:p w:rsidR="00181BAB" w:rsidRPr="00693805" w:rsidRDefault="00181BAB" w:rsidP="000B53EE">
            <w:pPr>
              <w:spacing w:after="0"/>
              <w:ind w:right="60"/>
              <w:jc w:val="both"/>
            </w:pPr>
            <w:r w:rsidRPr="00693805">
              <w:rPr>
                <w:b/>
              </w:rPr>
              <w:t>Y</w:t>
            </w:r>
          </w:p>
        </w:tc>
      </w:tr>
      <w:tr w:rsidR="00181BAB" w:rsidRPr="00693805" w:rsidTr="00181BAB">
        <w:tc>
          <w:tcPr>
            <w:tcW w:w="4546" w:type="dxa"/>
            <w:gridSpan w:val="2"/>
            <w:vMerge/>
            <w:shd w:val="clear" w:color="auto" w:fill="auto"/>
          </w:tcPr>
          <w:p w:rsidR="00181BAB" w:rsidRPr="00693805" w:rsidRDefault="00181BAB" w:rsidP="000B53EE">
            <w:pPr>
              <w:spacing w:after="0"/>
              <w:ind w:right="60"/>
              <w:jc w:val="both"/>
            </w:pPr>
          </w:p>
        </w:tc>
        <w:tc>
          <w:tcPr>
            <w:tcW w:w="1545" w:type="dxa"/>
            <w:shd w:val="clear" w:color="auto" w:fill="auto"/>
            <w:vAlign w:val="center"/>
          </w:tcPr>
          <w:p w:rsidR="00181BAB" w:rsidRPr="00693805" w:rsidRDefault="00181BAB" w:rsidP="000B53EE">
            <w:pPr>
              <w:spacing w:after="0"/>
              <w:ind w:right="60"/>
              <w:jc w:val="both"/>
            </w:pPr>
            <w:r w:rsidRPr="00693805">
              <w:rPr>
                <w:color w:val="000000"/>
              </w:rPr>
              <w:t>RE-2</w:t>
            </w:r>
          </w:p>
        </w:tc>
        <w:tc>
          <w:tcPr>
            <w:tcW w:w="1892" w:type="dxa"/>
            <w:shd w:val="clear" w:color="auto" w:fill="auto"/>
            <w:vAlign w:val="center"/>
          </w:tcPr>
          <w:p w:rsidR="00181BAB" w:rsidRPr="00693805" w:rsidRDefault="00181BAB" w:rsidP="000B53EE">
            <w:pPr>
              <w:spacing w:after="0"/>
              <w:ind w:right="60"/>
              <w:jc w:val="both"/>
            </w:pPr>
            <w:r w:rsidRPr="00693805">
              <w:rPr>
                <w:color w:val="000000"/>
              </w:rPr>
              <w:t>428891</w:t>
            </w:r>
          </w:p>
        </w:tc>
        <w:tc>
          <w:tcPr>
            <w:tcW w:w="2580" w:type="dxa"/>
            <w:shd w:val="clear" w:color="auto" w:fill="auto"/>
            <w:vAlign w:val="center"/>
          </w:tcPr>
          <w:p w:rsidR="00181BAB" w:rsidRPr="00693805" w:rsidRDefault="00181BAB" w:rsidP="000B53EE">
            <w:pPr>
              <w:spacing w:after="0"/>
              <w:ind w:right="60"/>
              <w:jc w:val="both"/>
            </w:pPr>
            <w:r w:rsidRPr="00693805">
              <w:rPr>
                <w:color w:val="000000"/>
              </w:rPr>
              <w:t>1313765</w:t>
            </w:r>
          </w:p>
        </w:tc>
      </w:tr>
      <w:tr w:rsidR="00181BAB" w:rsidRPr="00693805" w:rsidTr="00181BAB">
        <w:tc>
          <w:tcPr>
            <w:tcW w:w="3682" w:type="dxa"/>
            <w:shd w:val="clear" w:color="auto" w:fill="auto"/>
          </w:tcPr>
          <w:p w:rsidR="00181BAB" w:rsidRPr="00693805" w:rsidRDefault="00181BAB" w:rsidP="000B53EE">
            <w:pPr>
              <w:spacing w:after="0"/>
              <w:ind w:right="60"/>
              <w:jc w:val="both"/>
            </w:pPr>
            <w:r w:rsidRPr="00693805">
              <w:rPr>
                <w:b/>
                <w:color w:val="000000"/>
              </w:rPr>
              <w:t>Caractéristiques du site</w:t>
            </w:r>
          </w:p>
        </w:tc>
        <w:tc>
          <w:tcPr>
            <w:tcW w:w="6881" w:type="dxa"/>
            <w:gridSpan w:val="4"/>
            <w:shd w:val="clear" w:color="auto" w:fill="auto"/>
          </w:tcPr>
          <w:p w:rsidR="00181BAB" w:rsidRPr="00693805" w:rsidRDefault="00181BAB" w:rsidP="000B53EE">
            <w:pPr>
              <w:spacing w:after="0"/>
              <w:ind w:left="80" w:right="60"/>
              <w:jc w:val="both"/>
            </w:pPr>
            <w:r w:rsidRPr="00693805">
              <w:t>La cote du terrain naturel est 35 m, le niveau des PHE sera environ 55,5 m.</w:t>
            </w:r>
          </w:p>
        </w:tc>
      </w:tr>
      <w:tr w:rsidR="00181BAB" w:rsidRPr="00693805" w:rsidTr="00181BAB">
        <w:tc>
          <w:tcPr>
            <w:tcW w:w="3682" w:type="dxa"/>
            <w:shd w:val="clear" w:color="auto" w:fill="auto"/>
          </w:tcPr>
          <w:p w:rsidR="00181BAB" w:rsidRPr="00693805" w:rsidRDefault="00181BAB" w:rsidP="000B53EE">
            <w:pPr>
              <w:spacing w:after="0"/>
              <w:ind w:right="60"/>
              <w:jc w:val="both"/>
              <w:rPr>
                <w:b/>
                <w:color w:val="000000"/>
              </w:rPr>
            </w:pPr>
            <w:r w:rsidRPr="00693805">
              <w:rPr>
                <w:b/>
                <w:color w:val="000000"/>
              </w:rPr>
              <w:t>Description du milieu d’influence direct</w:t>
            </w:r>
          </w:p>
        </w:tc>
        <w:tc>
          <w:tcPr>
            <w:tcW w:w="6881" w:type="dxa"/>
            <w:gridSpan w:val="4"/>
            <w:shd w:val="clear" w:color="auto" w:fill="auto"/>
          </w:tcPr>
          <w:p w:rsidR="00181BAB" w:rsidRPr="00693805" w:rsidRDefault="00181BAB" w:rsidP="000B53EE">
            <w:pPr>
              <w:spacing w:after="0"/>
              <w:ind w:right="60"/>
              <w:jc w:val="both"/>
              <w:rPr>
                <w:color w:val="000000"/>
              </w:rPr>
            </w:pPr>
            <w:r w:rsidRPr="00693805">
              <w:rPr>
                <w:color w:val="000000"/>
              </w:rPr>
              <w:t>- Présence d’un recevoir qui ne présente pas de détérioration au niveau de la structure.</w:t>
            </w:r>
          </w:p>
          <w:p w:rsidR="00181BAB" w:rsidRPr="00693805" w:rsidRDefault="00181BAB" w:rsidP="000B53EE">
            <w:pPr>
              <w:spacing w:after="0"/>
              <w:ind w:right="60"/>
              <w:jc w:val="both"/>
            </w:pPr>
            <w:r w:rsidRPr="00693805">
              <w:rPr>
                <w:color w:val="000000"/>
              </w:rPr>
              <w:t>- Aux alentours du site, on note la présence de quelques pieds de manguiers adultes et le bâtiment qui abritait les équipements du réservoir suivi de locaux d’habitation.</w:t>
            </w:r>
          </w:p>
        </w:tc>
      </w:tr>
      <w:tr w:rsidR="00181BAB" w:rsidRPr="00693805" w:rsidTr="00181BAB">
        <w:tc>
          <w:tcPr>
            <w:tcW w:w="10563" w:type="dxa"/>
            <w:gridSpan w:val="5"/>
            <w:shd w:val="clear" w:color="auto" w:fill="auto"/>
          </w:tcPr>
          <w:p w:rsidR="00181BAB" w:rsidRPr="00693805" w:rsidRDefault="00181BAB" w:rsidP="000B53EE">
            <w:pPr>
              <w:spacing w:after="0"/>
              <w:jc w:val="both"/>
              <w:rPr>
                <w:color w:val="000000"/>
              </w:rPr>
            </w:pPr>
            <w:r w:rsidRPr="00693805">
              <w:rPr>
                <w:b/>
                <w:color w:val="000000"/>
              </w:rPr>
              <w:t xml:space="preserve">Photos Illustrations </w:t>
            </w:r>
          </w:p>
        </w:tc>
      </w:tr>
      <w:tr w:rsidR="00181BAB" w:rsidRPr="00693805" w:rsidTr="00181BAB">
        <w:tc>
          <w:tcPr>
            <w:tcW w:w="10563" w:type="dxa"/>
            <w:gridSpan w:val="5"/>
            <w:shd w:val="clear" w:color="auto" w:fill="auto"/>
          </w:tcPr>
          <w:p w:rsidR="00181BAB" w:rsidRPr="00693805" w:rsidRDefault="00181BAB" w:rsidP="000B53EE">
            <w:pPr>
              <w:spacing w:after="0"/>
              <w:ind w:right="60"/>
              <w:jc w:val="both"/>
              <w:rPr>
                <w:color w:val="000000"/>
              </w:rPr>
            </w:pPr>
            <w:r w:rsidRPr="00693805">
              <w:rPr>
                <w:noProof/>
                <w:color w:val="000000"/>
                <w:lang w:eastAsia="fr-FR"/>
              </w:rPr>
              <w:lastRenderedPageBreak/>
              <w:t xml:space="preserve"> </w:t>
            </w:r>
            <w:r w:rsidR="00332A41">
              <w:rPr>
                <w:noProof/>
                <w:color w:val="000000"/>
                <w:lang w:eastAsia="fr-FR"/>
              </w:rPr>
              <w:pict w14:anchorId="70A71A14">
                <v:shape id="_x0000_i1032" type="#_x0000_t75" style="width:132pt;height:124pt;mso-position-horizontal-relative:char;mso-position-vertical-relative:line">
                  <v:imagedata r:id="rId163" o:title="IMG_1596"/>
                </v:shape>
              </w:pict>
            </w:r>
            <w:r w:rsidR="00332A41">
              <w:rPr>
                <w:noProof/>
                <w:color w:val="000000"/>
                <w:lang w:eastAsia="fr-FR"/>
              </w:rPr>
              <w:pict w14:anchorId="21E92082">
                <v:shape id="_x0000_i1033" type="#_x0000_t75" style="width:197.5pt;height:122.5pt">
                  <v:imagedata r:id="rId164" o:title="IMG_1604"/>
                </v:shape>
              </w:pict>
            </w:r>
            <w:r w:rsidR="00332A41">
              <w:rPr>
                <w:noProof/>
                <w:color w:val="000000"/>
                <w:lang w:eastAsia="fr-FR"/>
              </w:rPr>
              <w:pict w14:anchorId="55A0663A">
                <v:shape id="_x0000_i1034" type="#_x0000_t75" style="width:126pt;height:124pt;mso-position-horizontal-relative:char;mso-position-vertical-relative:line">
                  <v:imagedata r:id="rId165" o:title="IMG_1595"/>
                </v:shape>
              </w:pict>
            </w:r>
          </w:p>
        </w:tc>
      </w:tr>
    </w:tbl>
    <w:p w:rsidR="00181BAB" w:rsidRPr="00693805" w:rsidRDefault="00181BAB" w:rsidP="000B53EE">
      <w:pPr>
        <w:pStyle w:val="Textodecomentrio"/>
        <w:spacing w:after="0"/>
        <w:ind w:left="1068"/>
      </w:pPr>
    </w:p>
    <w:p w:rsidR="00181BAB" w:rsidRPr="00693805" w:rsidRDefault="00181BAB" w:rsidP="00FA3FAE">
      <w:pPr>
        <w:pStyle w:val="Textodecomentrio"/>
        <w:keepLines w:val="0"/>
        <w:numPr>
          <w:ilvl w:val="1"/>
          <w:numId w:val="65"/>
        </w:numPr>
        <w:spacing w:after="0" w:line="240" w:lineRule="auto"/>
        <w:jc w:val="left"/>
        <w:outlineLvl w:val="1"/>
        <w:rPr>
          <w:b/>
          <w:sz w:val="24"/>
        </w:rPr>
      </w:pPr>
      <w:bookmarkStart w:id="841" w:name="_Toc32511671"/>
      <w:bookmarkStart w:id="842" w:name="_Toc51072652"/>
      <w:r w:rsidRPr="00693805">
        <w:rPr>
          <w:b/>
          <w:sz w:val="24"/>
        </w:rPr>
        <w:t>Construction de nouveau Forage de Bôr</w:t>
      </w:r>
      <w:bookmarkEnd w:id="841"/>
      <w:bookmarkEnd w:id="842"/>
    </w:p>
    <w:p w:rsidR="00181BAB" w:rsidRPr="00693805" w:rsidRDefault="00181BAB" w:rsidP="000B53EE">
      <w:pPr>
        <w:pStyle w:val="PargrafodaLista"/>
        <w:spacing w:after="0"/>
        <w:rPr>
          <w:lang w:val="fr-FR"/>
        </w:rPr>
      </w:pPr>
    </w:p>
    <w:tbl>
      <w:tblPr>
        <w:tblW w:w="10593"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0"/>
        <w:gridCol w:w="1522"/>
        <w:gridCol w:w="1570"/>
        <w:gridCol w:w="1632"/>
        <w:gridCol w:w="2339"/>
      </w:tblGrid>
      <w:tr w:rsidR="00181BAB" w:rsidRPr="00693805" w:rsidTr="008734B0">
        <w:tc>
          <w:tcPr>
            <w:tcW w:w="3530" w:type="dxa"/>
            <w:shd w:val="clear" w:color="auto" w:fill="auto"/>
          </w:tcPr>
          <w:p w:rsidR="00181BAB" w:rsidRPr="00693805" w:rsidRDefault="00181BAB" w:rsidP="000B53EE">
            <w:pPr>
              <w:spacing w:after="0"/>
              <w:ind w:right="60"/>
              <w:jc w:val="both"/>
            </w:pPr>
            <w:r w:rsidRPr="00693805">
              <w:br w:type="page"/>
            </w:r>
            <w:r w:rsidRPr="00693805">
              <w:rPr>
                <w:b/>
                <w:color w:val="000000"/>
              </w:rPr>
              <w:t>Composante du projet</w:t>
            </w:r>
          </w:p>
        </w:tc>
        <w:tc>
          <w:tcPr>
            <w:tcW w:w="7063" w:type="dxa"/>
            <w:gridSpan w:val="4"/>
            <w:shd w:val="clear" w:color="auto" w:fill="auto"/>
          </w:tcPr>
          <w:p w:rsidR="00181BAB" w:rsidRPr="00693805" w:rsidRDefault="00181BAB" w:rsidP="000B53EE">
            <w:pPr>
              <w:spacing w:after="0"/>
              <w:ind w:right="60"/>
              <w:jc w:val="both"/>
            </w:pPr>
            <w:r w:rsidRPr="00693805">
              <w:t xml:space="preserve">Exécution de forage 250 m3/h, et équipements à </w:t>
            </w:r>
            <w:r w:rsidRPr="00693805">
              <w:rPr>
                <w:b/>
                <w:bCs/>
              </w:rPr>
              <w:t>Bor</w:t>
            </w:r>
          </w:p>
        </w:tc>
      </w:tr>
      <w:tr w:rsidR="00181BAB" w:rsidRPr="00693805" w:rsidTr="008734B0">
        <w:tc>
          <w:tcPr>
            <w:tcW w:w="3530" w:type="dxa"/>
            <w:shd w:val="clear" w:color="auto" w:fill="auto"/>
          </w:tcPr>
          <w:p w:rsidR="00181BAB" w:rsidRPr="00693805" w:rsidRDefault="00181BAB" w:rsidP="000B53EE">
            <w:pPr>
              <w:spacing w:after="0"/>
              <w:ind w:right="60"/>
              <w:jc w:val="both"/>
              <w:rPr>
                <w:b/>
                <w:color w:val="000000"/>
              </w:rPr>
            </w:pPr>
            <w:r w:rsidRPr="00693805">
              <w:rPr>
                <w:b/>
                <w:color w:val="000000"/>
              </w:rPr>
              <w:t>Localités associées</w:t>
            </w:r>
          </w:p>
        </w:tc>
        <w:tc>
          <w:tcPr>
            <w:tcW w:w="7063" w:type="dxa"/>
            <w:gridSpan w:val="4"/>
            <w:shd w:val="clear" w:color="auto" w:fill="auto"/>
          </w:tcPr>
          <w:p w:rsidR="00181BAB" w:rsidRPr="00693805" w:rsidRDefault="00181BAB" w:rsidP="000B53EE">
            <w:pPr>
              <w:spacing w:after="0"/>
              <w:ind w:right="60"/>
              <w:jc w:val="both"/>
            </w:pPr>
            <w:r w:rsidRPr="00693805">
              <w:rPr>
                <w:color w:val="000000"/>
              </w:rPr>
              <w:t>BOR</w:t>
            </w:r>
          </w:p>
        </w:tc>
      </w:tr>
      <w:tr w:rsidR="00181BAB" w:rsidRPr="00693805" w:rsidTr="008734B0">
        <w:tc>
          <w:tcPr>
            <w:tcW w:w="5052" w:type="dxa"/>
            <w:gridSpan w:val="2"/>
            <w:vMerge w:val="restart"/>
            <w:shd w:val="clear" w:color="auto" w:fill="auto"/>
          </w:tcPr>
          <w:p w:rsidR="00181BAB" w:rsidRPr="00693805" w:rsidRDefault="00181BAB" w:rsidP="000B53EE">
            <w:pPr>
              <w:spacing w:after="0"/>
              <w:ind w:right="60"/>
              <w:jc w:val="both"/>
            </w:pPr>
          </w:p>
        </w:tc>
        <w:tc>
          <w:tcPr>
            <w:tcW w:w="1570" w:type="dxa"/>
            <w:shd w:val="clear" w:color="auto" w:fill="auto"/>
          </w:tcPr>
          <w:p w:rsidR="00181BAB" w:rsidRPr="00693805" w:rsidRDefault="00181BAB" w:rsidP="000B53EE">
            <w:pPr>
              <w:spacing w:after="0"/>
              <w:ind w:right="60"/>
              <w:jc w:val="both"/>
            </w:pPr>
            <w:r w:rsidRPr="00693805">
              <w:rPr>
                <w:b/>
              </w:rPr>
              <w:t>Code GPS</w:t>
            </w:r>
          </w:p>
        </w:tc>
        <w:tc>
          <w:tcPr>
            <w:tcW w:w="1632" w:type="dxa"/>
            <w:shd w:val="clear" w:color="auto" w:fill="auto"/>
            <w:vAlign w:val="center"/>
          </w:tcPr>
          <w:p w:rsidR="00181BAB" w:rsidRPr="00693805" w:rsidRDefault="00181BAB" w:rsidP="000B53EE">
            <w:pPr>
              <w:spacing w:after="0"/>
              <w:ind w:right="60"/>
              <w:jc w:val="both"/>
            </w:pPr>
            <w:r w:rsidRPr="00693805">
              <w:rPr>
                <w:b/>
              </w:rPr>
              <w:t>X</w:t>
            </w:r>
          </w:p>
        </w:tc>
        <w:tc>
          <w:tcPr>
            <w:tcW w:w="2339" w:type="dxa"/>
            <w:shd w:val="clear" w:color="auto" w:fill="auto"/>
            <w:vAlign w:val="center"/>
          </w:tcPr>
          <w:p w:rsidR="00181BAB" w:rsidRPr="00693805" w:rsidRDefault="00181BAB" w:rsidP="000B53EE">
            <w:pPr>
              <w:spacing w:after="0"/>
              <w:ind w:right="60"/>
              <w:jc w:val="both"/>
            </w:pPr>
            <w:r w:rsidRPr="00693805">
              <w:rPr>
                <w:b/>
              </w:rPr>
              <w:t>Y</w:t>
            </w:r>
          </w:p>
        </w:tc>
      </w:tr>
      <w:tr w:rsidR="00181BAB" w:rsidRPr="00693805" w:rsidTr="008734B0">
        <w:tc>
          <w:tcPr>
            <w:tcW w:w="5052" w:type="dxa"/>
            <w:gridSpan w:val="2"/>
            <w:vMerge/>
            <w:shd w:val="clear" w:color="auto" w:fill="auto"/>
          </w:tcPr>
          <w:p w:rsidR="00181BAB" w:rsidRPr="00693805" w:rsidRDefault="00181BAB" w:rsidP="000B53EE">
            <w:pPr>
              <w:spacing w:after="0"/>
              <w:ind w:right="60"/>
              <w:jc w:val="both"/>
            </w:pPr>
          </w:p>
        </w:tc>
        <w:tc>
          <w:tcPr>
            <w:tcW w:w="1570" w:type="dxa"/>
            <w:shd w:val="clear" w:color="auto" w:fill="auto"/>
            <w:vAlign w:val="center"/>
          </w:tcPr>
          <w:p w:rsidR="00181BAB" w:rsidRPr="00693805" w:rsidRDefault="00181BAB" w:rsidP="000B53EE">
            <w:pPr>
              <w:spacing w:after="0"/>
              <w:ind w:right="60"/>
              <w:jc w:val="both"/>
            </w:pPr>
            <w:r w:rsidRPr="00693805">
              <w:rPr>
                <w:color w:val="000000"/>
              </w:rPr>
              <w:t>RE-3</w:t>
            </w:r>
          </w:p>
        </w:tc>
        <w:tc>
          <w:tcPr>
            <w:tcW w:w="1632" w:type="dxa"/>
            <w:shd w:val="clear" w:color="auto" w:fill="auto"/>
            <w:vAlign w:val="center"/>
          </w:tcPr>
          <w:p w:rsidR="00181BAB" w:rsidRPr="00693805" w:rsidRDefault="00181BAB" w:rsidP="000B53EE">
            <w:pPr>
              <w:spacing w:after="0"/>
              <w:ind w:right="60"/>
              <w:jc w:val="both"/>
            </w:pPr>
            <w:r w:rsidRPr="00693805">
              <w:rPr>
                <w:color w:val="000000"/>
              </w:rPr>
              <w:t>429643</w:t>
            </w:r>
          </w:p>
        </w:tc>
        <w:tc>
          <w:tcPr>
            <w:tcW w:w="2339" w:type="dxa"/>
            <w:shd w:val="clear" w:color="auto" w:fill="auto"/>
            <w:vAlign w:val="center"/>
          </w:tcPr>
          <w:p w:rsidR="00181BAB" w:rsidRPr="00693805" w:rsidRDefault="00181BAB" w:rsidP="000B53EE">
            <w:pPr>
              <w:spacing w:after="0"/>
              <w:ind w:right="60"/>
              <w:jc w:val="both"/>
            </w:pPr>
            <w:r w:rsidRPr="00693805">
              <w:rPr>
                <w:color w:val="000000"/>
              </w:rPr>
              <w:t>1310125</w:t>
            </w:r>
          </w:p>
        </w:tc>
      </w:tr>
      <w:tr w:rsidR="00181BAB" w:rsidRPr="00693805" w:rsidTr="008734B0">
        <w:tc>
          <w:tcPr>
            <w:tcW w:w="3530" w:type="dxa"/>
            <w:shd w:val="clear" w:color="auto" w:fill="auto"/>
          </w:tcPr>
          <w:p w:rsidR="00181BAB" w:rsidRPr="00693805" w:rsidRDefault="00181BAB" w:rsidP="000B53EE">
            <w:pPr>
              <w:spacing w:after="0"/>
              <w:ind w:right="60"/>
              <w:jc w:val="both"/>
            </w:pPr>
            <w:r w:rsidRPr="00693805">
              <w:rPr>
                <w:b/>
                <w:color w:val="000000"/>
              </w:rPr>
              <w:t>Caractéristiques du site</w:t>
            </w:r>
          </w:p>
        </w:tc>
        <w:tc>
          <w:tcPr>
            <w:tcW w:w="7063" w:type="dxa"/>
            <w:gridSpan w:val="4"/>
            <w:shd w:val="clear" w:color="auto" w:fill="auto"/>
          </w:tcPr>
          <w:p w:rsidR="00181BAB" w:rsidRPr="00693805" w:rsidRDefault="00181BAB" w:rsidP="00FA3FAE">
            <w:pPr>
              <w:pStyle w:val="PargrafodaLista"/>
              <w:numPr>
                <w:ilvl w:val="0"/>
                <w:numId w:val="46"/>
              </w:numPr>
              <w:spacing w:after="0" w:line="480" w:lineRule="auto"/>
              <w:ind w:right="60"/>
              <w:jc w:val="both"/>
              <w:rPr>
                <w:lang w:val="fr-FR"/>
              </w:rPr>
            </w:pPr>
            <w:r w:rsidRPr="00693805">
              <w:rPr>
                <w:lang w:val="fr-FR"/>
              </w:rPr>
              <w:t>Cote du terrain naturel : 34 m</w:t>
            </w:r>
          </w:p>
        </w:tc>
      </w:tr>
      <w:tr w:rsidR="00181BAB" w:rsidRPr="00693805" w:rsidTr="008734B0">
        <w:tc>
          <w:tcPr>
            <w:tcW w:w="3530" w:type="dxa"/>
            <w:shd w:val="clear" w:color="auto" w:fill="auto"/>
          </w:tcPr>
          <w:p w:rsidR="00181BAB" w:rsidRPr="00693805" w:rsidRDefault="00181BAB" w:rsidP="000B53EE">
            <w:pPr>
              <w:spacing w:after="0"/>
              <w:ind w:right="60"/>
              <w:jc w:val="both"/>
              <w:rPr>
                <w:b/>
                <w:color w:val="000000"/>
              </w:rPr>
            </w:pPr>
            <w:r w:rsidRPr="00693805">
              <w:rPr>
                <w:b/>
                <w:color w:val="000000"/>
              </w:rPr>
              <w:t>Description du milieu d’influence direct</w:t>
            </w:r>
          </w:p>
        </w:tc>
        <w:tc>
          <w:tcPr>
            <w:tcW w:w="7063" w:type="dxa"/>
            <w:gridSpan w:val="4"/>
            <w:shd w:val="clear" w:color="auto" w:fill="auto"/>
          </w:tcPr>
          <w:p w:rsidR="00181BAB" w:rsidRPr="00693805" w:rsidRDefault="00181BAB" w:rsidP="000B53EE">
            <w:pPr>
              <w:spacing w:after="0"/>
              <w:ind w:right="60"/>
              <w:jc w:val="both"/>
              <w:rPr>
                <w:color w:val="000000"/>
              </w:rPr>
            </w:pPr>
            <w:r w:rsidRPr="00693805">
              <w:rPr>
                <w:color w:val="000000"/>
              </w:rPr>
              <w:t>L’emplacement pour exécution du forage se trouvera à l’intérieur d’un périmètre recouvert presque dans sa totalité de plantations d’anacardier appartenant à la mission catholique. Ainsi, l’emprise a été attribuée au projet par la mairie de Prabis et en collaboration avec la mission catholique.</w:t>
            </w:r>
          </w:p>
          <w:p w:rsidR="00181BAB" w:rsidRPr="00693805" w:rsidRDefault="00181BAB" w:rsidP="000B53EE">
            <w:pPr>
              <w:spacing w:after="0"/>
              <w:ind w:right="60"/>
              <w:jc w:val="both"/>
            </w:pPr>
            <w:r w:rsidRPr="00693805">
              <w:t>D’autre part, l’accès au local (pour installation des équipements, gestion courante, maintenance, etc…) est facile car l’emplacement est à côté d’une route existante.</w:t>
            </w:r>
          </w:p>
          <w:p w:rsidR="00181BAB" w:rsidRPr="00693805" w:rsidRDefault="00181BAB" w:rsidP="000B53EE">
            <w:pPr>
              <w:spacing w:after="0"/>
              <w:ind w:right="60"/>
              <w:jc w:val="both"/>
            </w:pPr>
          </w:p>
        </w:tc>
      </w:tr>
      <w:tr w:rsidR="00181BAB" w:rsidRPr="00693805" w:rsidTr="008734B0">
        <w:tc>
          <w:tcPr>
            <w:tcW w:w="10593" w:type="dxa"/>
            <w:gridSpan w:val="5"/>
            <w:shd w:val="clear" w:color="auto" w:fill="auto"/>
          </w:tcPr>
          <w:p w:rsidR="00181BAB" w:rsidRPr="00693805" w:rsidRDefault="00181BAB" w:rsidP="000B53EE">
            <w:pPr>
              <w:spacing w:after="0"/>
              <w:jc w:val="both"/>
              <w:rPr>
                <w:color w:val="000000"/>
              </w:rPr>
            </w:pPr>
            <w:r w:rsidRPr="00693805">
              <w:rPr>
                <w:b/>
                <w:color w:val="000000"/>
              </w:rPr>
              <w:t xml:space="preserve">Photos Illustrations </w:t>
            </w:r>
          </w:p>
        </w:tc>
      </w:tr>
      <w:tr w:rsidR="00181BAB" w:rsidRPr="00693805" w:rsidTr="008734B0">
        <w:tc>
          <w:tcPr>
            <w:tcW w:w="10593" w:type="dxa"/>
            <w:gridSpan w:val="5"/>
            <w:shd w:val="clear" w:color="auto" w:fill="auto"/>
          </w:tcPr>
          <w:p w:rsidR="00181BAB" w:rsidRPr="00693805" w:rsidRDefault="00181BAB" w:rsidP="000B53EE">
            <w:pPr>
              <w:spacing w:after="0"/>
              <w:ind w:right="60"/>
              <w:jc w:val="both"/>
              <w:rPr>
                <w:color w:val="000000"/>
              </w:rPr>
            </w:pPr>
            <w:r w:rsidRPr="00693805">
              <w:rPr>
                <w:noProof/>
                <w:color w:val="000000"/>
                <w:lang w:eastAsia="fr-FR"/>
              </w:rPr>
              <w:t xml:space="preserve"> </w:t>
            </w:r>
            <w:r w:rsidR="00332A41">
              <w:rPr>
                <w:noProof/>
                <w:color w:val="000000"/>
                <w:lang w:eastAsia="fr-FR"/>
              </w:rPr>
              <w:pict w14:anchorId="5D503348">
                <v:shape id="_x0000_i1035" type="#_x0000_t75" style="width:150pt;height:112.5pt">
                  <v:imagedata r:id="rId166" o:title="IMG_1671"/>
                </v:shape>
              </w:pict>
            </w:r>
            <w:r w:rsidR="00332A41">
              <w:rPr>
                <w:noProof/>
                <w:color w:val="000000"/>
                <w:lang w:eastAsia="fr-FR"/>
              </w:rPr>
              <w:pict w14:anchorId="68CC297F">
                <v:shape id="_x0000_i1036" type="#_x0000_t75" style="width:148.5pt;height:112.5pt">
                  <v:imagedata r:id="rId167" o:title="IMG_1668"/>
                </v:shape>
              </w:pict>
            </w:r>
            <w:r w:rsidR="00332A41">
              <w:rPr>
                <w:noProof/>
                <w:color w:val="000000"/>
                <w:lang w:eastAsia="fr-FR"/>
              </w:rPr>
              <w:pict w14:anchorId="7B60CCE4">
                <v:shape id="_x0000_i1037" type="#_x0000_t75" style="width:145pt;height:111.5pt">
                  <v:imagedata r:id="rId168" o:title="IMG_1672"/>
                </v:shape>
              </w:pict>
            </w:r>
          </w:p>
        </w:tc>
      </w:tr>
    </w:tbl>
    <w:p w:rsidR="00181BAB" w:rsidRPr="00693805" w:rsidRDefault="00181BAB" w:rsidP="00FA3FAE">
      <w:pPr>
        <w:pStyle w:val="Textodecomentrio"/>
        <w:keepLines w:val="0"/>
        <w:numPr>
          <w:ilvl w:val="1"/>
          <w:numId w:val="65"/>
        </w:numPr>
        <w:spacing w:after="0" w:line="240" w:lineRule="auto"/>
        <w:jc w:val="left"/>
        <w:outlineLvl w:val="1"/>
        <w:rPr>
          <w:b/>
          <w:sz w:val="24"/>
        </w:rPr>
      </w:pPr>
      <w:bookmarkStart w:id="843" w:name="_Toc20820265"/>
      <w:bookmarkStart w:id="844" w:name="_Toc32511672"/>
      <w:bookmarkStart w:id="845" w:name="_Toc51072653"/>
      <w:r w:rsidRPr="00693805">
        <w:rPr>
          <w:b/>
          <w:sz w:val="24"/>
        </w:rPr>
        <w:t>Equipement de Forage de Prabis</w:t>
      </w:r>
      <w:bookmarkEnd w:id="843"/>
      <w:bookmarkEnd w:id="844"/>
      <w:bookmarkEnd w:id="845"/>
    </w:p>
    <w:tbl>
      <w:tblPr>
        <w:tblW w:w="10743"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6"/>
        <w:gridCol w:w="680"/>
        <w:gridCol w:w="1593"/>
        <w:gridCol w:w="2051"/>
        <w:gridCol w:w="2763"/>
      </w:tblGrid>
      <w:tr w:rsidR="00181BAB" w:rsidRPr="00693805" w:rsidTr="008734B0">
        <w:tc>
          <w:tcPr>
            <w:tcW w:w="3656" w:type="dxa"/>
            <w:shd w:val="clear" w:color="auto" w:fill="auto"/>
          </w:tcPr>
          <w:p w:rsidR="00181BAB" w:rsidRPr="00693805" w:rsidRDefault="00181BAB" w:rsidP="000B53EE">
            <w:pPr>
              <w:spacing w:after="0"/>
              <w:ind w:right="60"/>
              <w:jc w:val="both"/>
            </w:pPr>
            <w:r w:rsidRPr="00693805">
              <w:br w:type="page"/>
            </w:r>
            <w:r w:rsidRPr="00693805">
              <w:rPr>
                <w:b/>
                <w:color w:val="000000"/>
              </w:rPr>
              <w:t>Composante du projet</w:t>
            </w:r>
          </w:p>
        </w:tc>
        <w:tc>
          <w:tcPr>
            <w:tcW w:w="7087" w:type="dxa"/>
            <w:gridSpan w:val="4"/>
            <w:shd w:val="clear" w:color="auto" w:fill="auto"/>
          </w:tcPr>
          <w:p w:rsidR="00181BAB" w:rsidRPr="00693805" w:rsidRDefault="00181BAB" w:rsidP="000B53EE">
            <w:pPr>
              <w:spacing w:after="0"/>
              <w:ind w:right="60"/>
              <w:jc w:val="both"/>
            </w:pPr>
            <w:r w:rsidRPr="00693805">
              <w:t>Exécution de forage 120 m</w:t>
            </w:r>
            <w:r w:rsidRPr="00693805">
              <w:rPr>
                <w:vertAlign w:val="superscript"/>
              </w:rPr>
              <w:t>3</w:t>
            </w:r>
            <w:r w:rsidRPr="00693805">
              <w:t>/h et équipements</w:t>
            </w:r>
          </w:p>
        </w:tc>
      </w:tr>
      <w:tr w:rsidR="00181BAB" w:rsidRPr="00693805" w:rsidTr="008734B0">
        <w:tc>
          <w:tcPr>
            <w:tcW w:w="3656" w:type="dxa"/>
            <w:shd w:val="clear" w:color="auto" w:fill="auto"/>
          </w:tcPr>
          <w:p w:rsidR="00181BAB" w:rsidRPr="00693805" w:rsidRDefault="00181BAB" w:rsidP="000B53EE">
            <w:pPr>
              <w:spacing w:after="0"/>
              <w:ind w:right="60"/>
              <w:jc w:val="both"/>
              <w:rPr>
                <w:b/>
                <w:color w:val="000000"/>
              </w:rPr>
            </w:pPr>
            <w:r w:rsidRPr="00693805">
              <w:rPr>
                <w:b/>
                <w:color w:val="000000"/>
              </w:rPr>
              <w:t>Localités associées</w:t>
            </w:r>
          </w:p>
        </w:tc>
        <w:tc>
          <w:tcPr>
            <w:tcW w:w="7087" w:type="dxa"/>
            <w:gridSpan w:val="4"/>
            <w:shd w:val="clear" w:color="auto" w:fill="auto"/>
          </w:tcPr>
          <w:p w:rsidR="00181BAB" w:rsidRPr="00693805" w:rsidRDefault="00181BAB" w:rsidP="000B53EE">
            <w:pPr>
              <w:spacing w:after="0"/>
              <w:ind w:right="60"/>
              <w:jc w:val="both"/>
            </w:pPr>
            <w:r w:rsidRPr="00693805">
              <w:t>PRÁBIS</w:t>
            </w:r>
          </w:p>
        </w:tc>
      </w:tr>
      <w:tr w:rsidR="00181BAB" w:rsidRPr="00693805" w:rsidTr="008734B0">
        <w:tc>
          <w:tcPr>
            <w:tcW w:w="4336" w:type="dxa"/>
            <w:gridSpan w:val="2"/>
            <w:vMerge w:val="restart"/>
            <w:shd w:val="clear" w:color="auto" w:fill="auto"/>
          </w:tcPr>
          <w:p w:rsidR="00181BAB" w:rsidRPr="00693805" w:rsidRDefault="00181BAB" w:rsidP="000B53EE">
            <w:pPr>
              <w:spacing w:after="0"/>
              <w:ind w:right="60"/>
              <w:jc w:val="both"/>
            </w:pPr>
          </w:p>
        </w:tc>
        <w:tc>
          <w:tcPr>
            <w:tcW w:w="1593" w:type="dxa"/>
            <w:shd w:val="clear" w:color="auto" w:fill="auto"/>
          </w:tcPr>
          <w:p w:rsidR="00181BAB" w:rsidRPr="00693805" w:rsidRDefault="00181BAB" w:rsidP="000B53EE">
            <w:pPr>
              <w:spacing w:after="0"/>
              <w:ind w:right="60"/>
              <w:jc w:val="center"/>
            </w:pPr>
            <w:r w:rsidRPr="00693805">
              <w:rPr>
                <w:b/>
              </w:rPr>
              <w:t>Code GPS</w:t>
            </w:r>
          </w:p>
        </w:tc>
        <w:tc>
          <w:tcPr>
            <w:tcW w:w="2051" w:type="dxa"/>
            <w:shd w:val="clear" w:color="auto" w:fill="auto"/>
            <w:vAlign w:val="center"/>
          </w:tcPr>
          <w:p w:rsidR="00181BAB" w:rsidRPr="00693805" w:rsidRDefault="00181BAB" w:rsidP="000B53EE">
            <w:pPr>
              <w:spacing w:after="0"/>
              <w:ind w:right="60"/>
              <w:jc w:val="center"/>
            </w:pPr>
            <w:r w:rsidRPr="00693805">
              <w:rPr>
                <w:b/>
              </w:rPr>
              <w:t>X</w:t>
            </w:r>
          </w:p>
        </w:tc>
        <w:tc>
          <w:tcPr>
            <w:tcW w:w="2763" w:type="dxa"/>
            <w:shd w:val="clear" w:color="auto" w:fill="auto"/>
            <w:vAlign w:val="center"/>
          </w:tcPr>
          <w:p w:rsidR="00181BAB" w:rsidRPr="00693805" w:rsidRDefault="00181BAB" w:rsidP="000B53EE">
            <w:pPr>
              <w:spacing w:after="0"/>
              <w:ind w:right="60"/>
              <w:jc w:val="center"/>
            </w:pPr>
            <w:r w:rsidRPr="00693805">
              <w:rPr>
                <w:b/>
              </w:rPr>
              <w:t>Y</w:t>
            </w:r>
          </w:p>
        </w:tc>
      </w:tr>
      <w:tr w:rsidR="00181BAB" w:rsidRPr="00693805" w:rsidTr="008734B0">
        <w:tc>
          <w:tcPr>
            <w:tcW w:w="4336" w:type="dxa"/>
            <w:gridSpan w:val="2"/>
            <w:vMerge/>
            <w:shd w:val="clear" w:color="auto" w:fill="auto"/>
          </w:tcPr>
          <w:p w:rsidR="00181BAB" w:rsidRPr="00693805" w:rsidRDefault="00181BAB" w:rsidP="000B53EE">
            <w:pPr>
              <w:spacing w:after="0"/>
              <w:ind w:right="60"/>
              <w:jc w:val="both"/>
            </w:pPr>
          </w:p>
        </w:tc>
        <w:tc>
          <w:tcPr>
            <w:tcW w:w="1593" w:type="dxa"/>
            <w:shd w:val="clear" w:color="auto" w:fill="auto"/>
            <w:vAlign w:val="center"/>
          </w:tcPr>
          <w:p w:rsidR="00181BAB" w:rsidRPr="00693805" w:rsidRDefault="00181BAB" w:rsidP="000B53EE">
            <w:pPr>
              <w:spacing w:after="0"/>
              <w:ind w:right="60"/>
              <w:jc w:val="center"/>
            </w:pPr>
            <w:r w:rsidRPr="00693805">
              <w:t>RE-4</w:t>
            </w:r>
          </w:p>
        </w:tc>
        <w:tc>
          <w:tcPr>
            <w:tcW w:w="2051" w:type="dxa"/>
            <w:shd w:val="clear" w:color="auto" w:fill="auto"/>
            <w:vAlign w:val="center"/>
          </w:tcPr>
          <w:p w:rsidR="00181BAB" w:rsidRPr="00693805" w:rsidRDefault="00181BAB" w:rsidP="000B53EE">
            <w:pPr>
              <w:spacing w:after="0"/>
              <w:ind w:right="60"/>
              <w:jc w:val="center"/>
            </w:pPr>
            <w:r w:rsidRPr="00693805">
              <w:rPr>
                <w:color w:val="000000"/>
              </w:rPr>
              <w:t>419382</w:t>
            </w:r>
          </w:p>
        </w:tc>
        <w:tc>
          <w:tcPr>
            <w:tcW w:w="2763" w:type="dxa"/>
            <w:shd w:val="clear" w:color="auto" w:fill="auto"/>
            <w:vAlign w:val="center"/>
          </w:tcPr>
          <w:p w:rsidR="00181BAB" w:rsidRPr="00693805" w:rsidRDefault="00181BAB" w:rsidP="000B53EE">
            <w:pPr>
              <w:spacing w:after="0"/>
              <w:ind w:right="60"/>
              <w:jc w:val="center"/>
            </w:pPr>
            <w:r w:rsidRPr="00693805">
              <w:rPr>
                <w:color w:val="000000"/>
              </w:rPr>
              <w:t>1304703</w:t>
            </w:r>
          </w:p>
        </w:tc>
      </w:tr>
      <w:tr w:rsidR="00181BAB" w:rsidRPr="00693805" w:rsidTr="008734B0">
        <w:tc>
          <w:tcPr>
            <w:tcW w:w="3656" w:type="dxa"/>
            <w:shd w:val="clear" w:color="auto" w:fill="auto"/>
          </w:tcPr>
          <w:p w:rsidR="00181BAB" w:rsidRPr="00693805" w:rsidRDefault="00181BAB" w:rsidP="000B53EE">
            <w:pPr>
              <w:spacing w:after="0"/>
              <w:ind w:right="60"/>
              <w:jc w:val="both"/>
            </w:pPr>
            <w:r w:rsidRPr="00693805">
              <w:rPr>
                <w:b/>
                <w:color w:val="000000"/>
              </w:rPr>
              <w:t>Caractéristiques du site</w:t>
            </w:r>
          </w:p>
        </w:tc>
        <w:tc>
          <w:tcPr>
            <w:tcW w:w="7087" w:type="dxa"/>
            <w:gridSpan w:val="4"/>
            <w:shd w:val="clear" w:color="auto" w:fill="auto"/>
          </w:tcPr>
          <w:p w:rsidR="00181BAB" w:rsidRPr="00693805" w:rsidRDefault="00181BAB" w:rsidP="00FA3FAE">
            <w:pPr>
              <w:numPr>
                <w:ilvl w:val="0"/>
                <w:numId w:val="201"/>
              </w:numPr>
              <w:spacing w:after="0" w:line="240" w:lineRule="auto"/>
              <w:ind w:right="60"/>
              <w:jc w:val="both"/>
            </w:pPr>
            <w:r w:rsidRPr="00693805">
              <w:t xml:space="preserve">Cote du terrain naturel : 13,5 </w:t>
            </w:r>
          </w:p>
          <w:p w:rsidR="00181BAB" w:rsidRPr="00693805" w:rsidRDefault="00181BAB" w:rsidP="00FA3FAE">
            <w:pPr>
              <w:numPr>
                <w:ilvl w:val="0"/>
                <w:numId w:val="201"/>
              </w:numPr>
              <w:spacing w:after="0" w:line="240" w:lineRule="auto"/>
              <w:ind w:right="60"/>
              <w:jc w:val="both"/>
            </w:pPr>
            <w:r w:rsidRPr="00693805">
              <w:t>Le site proposé pour l’implantation du forage de Prabis se trouve dans une zone élevée.</w:t>
            </w:r>
          </w:p>
        </w:tc>
      </w:tr>
      <w:tr w:rsidR="00181BAB" w:rsidRPr="00693805" w:rsidTr="008734B0">
        <w:tc>
          <w:tcPr>
            <w:tcW w:w="3656" w:type="dxa"/>
            <w:shd w:val="clear" w:color="auto" w:fill="auto"/>
          </w:tcPr>
          <w:p w:rsidR="00181BAB" w:rsidRPr="00693805" w:rsidRDefault="00181BAB" w:rsidP="000B53EE">
            <w:pPr>
              <w:spacing w:after="0"/>
              <w:ind w:right="60"/>
              <w:jc w:val="both"/>
              <w:rPr>
                <w:b/>
                <w:color w:val="000000"/>
              </w:rPr>
            </w:pPr>
            <w:r w:rsidRPr="00693805">
              <w:rPr>
                <w:b/>
                <w:color w:val="000000"/>
              </w:rPr>
              <w:t>Description du milieu d’influence direct</w:t>
            </w:r>
          </w:p>
        </w:tc>
        <w:tc>
          <w:tcPr>
            <w:tcW w:w="7087" w:type="dxa"/>
            <w:gridSpan w:val="4"/>
            <w:shd w:val="clear" w:color="auto" w:fill="auto"/>
          </w:tcPr>
          <w:p w:rsidR="00181BAB" w:rsidRPr="00693805" w:rsidRDefault="00181BAB" w:rsidP="000B53EE">
            <w:pPr>
              <w:spacing w:after="0"/>
              <w:ind w:left="80" w:right="60"/>
              <w:jc w:val="both"/>
            </w:pPr>
            <w:r w:rsidRPr="00693805">
              <w:rPr>
                <w:color w:val="000000"/>
              </w:rPr>
              <w:t>Le site du forage se trouve derrière la mairie de Prabis près du poste d’alimentation d’électricité et un ancien bâtiment de EAGB, de l’entourage du site on peut citer des habitations, une borne fontaine et une école non loin.</w:t>
            </w:r>
          </w:p>
          <w:p w:rsidR="00181BAB" w:rsidRPr="00693805" w:rsidRDefault="00181BAB" w:rsidP="000B53EE">
            <w:pPr>
              <w:spacing w:after="0"/>
              <w:ind w:left="80" w:right="60"/>
              <w:jc w:val="both"/>
            </w:pPr>
            <w:r w:rsidRPr="00693805">
              <w:t>D’autre part, l’accès au local (pour installation des équipements, gestion courante, maintenance, etc…) est facile car l’emplacement est à côté d’une route existante.</w:t>
            </w:r>
          </w:p>
        </w:tc>
      </w:tr>
      <w:tr w:rsidR="00181BAB" w:rsidRPr="00693805" w:rsidTr="008734B0">
        <w:tc>
          <w:tcPr>
            <w:tcW w:w="10743" w:type="dxa"/>
            <w:gridSpan w:val="5"/>
            <w:shd w:val="clear" w:color="auto" w:fill="auto"/>
          </w:tcPr>
          <w:p w:rsidR="00181BAB" w:rsidRPr="00693805" w:rsidRDefault="00181BAB" w:rsidP="000B53EE">
            <w:pPr>
              <w:spacing w:after="0"/>
              <w:jc w:val="both"/>
              <w:rPr>
                <w:color w:val="000000"/>
              </w:rPr>
            </w:pPr>
            <w:r w:rsidRPr="00693805">
              <w:rPr>
                <w:b/>
                <w:color w:val="000000"/>
              </w:rPr>
              <w:t xml:space="preserve">Photos Illustrations </w:t>
            </w:r>
          </w:p>
        </w:tc>
      </w:tr>
      <w:tr w:rsidR="00181BAB" w:rsidRPr="00693805" w:rsidTr="008734B0">
        <w:tc>
          <w:tcPr>
            <w:tcW w:w="10743" w:type="dxa"/>
            <w:gridSpan w:val="5"/>
            <w:shd w:val="clear" w:color="auto" w:fill="auto"/>
          </w:tcPr>
          <w:p w:rsidR="00181BAB" w:rsidRPr="00693805" w:rsidRDefault="00181BAB" w:rsidP="000B53EE">
            <w:pPr>
              <w:spacing w:after="0"/>
              <w:ind w:right="60"/>
              <w:jc w:val="both"/>
              <w:rPr>
                <w:color w:val="000000"/>
              </w:rPr>
            </w:pPr>
            <w:r w:rsidRPr="00693805">
              <w:rPr>
                <w:noProof/>
                <w:color w:val="000000"/>
                <w:lang w:eastAsia="fr-FR"/>
              </w:rPr>
              <w:lastRenderedPageBreak/>
              <w:t xml:space="preserve"> </w:t>
            </w:r>
            <w:r w:rsidR="00332A41">
              <w:rPr>
                <w:noProof/>
                <w:color w:val="000000"/>
                <w:lang w:eastAsia="fr-FR"/>
              </w:rPr>
              <w:pict w14:anchorId="05F8069B">
                <v:shape id="_x0000_i1038" type="#_x0000_t75" style="width:163pt;height:121pt">
                  <v:imagedata r:id="rId169" o:title="IMG_2126"/>
                </v:shape>
              </w:pict>
            </w:r>
            <w:r w:rsidR="00332A41">
              <w:rPr>
                <w:noProof/>
                <w:color w:val="000000"/>
                <w:lang w:eastAsia="fr-FR"/>
              </w:rPr>
              <w:pict w14:anchorId="17220E60">
                <v:shape id="_x0000_i1039" type="#_x0000_t75" style="width:163pt;height:121pt">
                  <v:imagedata r:id="rId170" o:title="IMG_2122"/>
                </v:shape>
              </w:pict>
            </w:r>
            <w:r w:rsidR="00332A41">
              <w:rPr>
                <w:noProof/>
                <w:color w:val="000000"/>
                <w:lang w:eastAsia="fr-FR"/>
              </w:rPr>
              <w:pict w14:anchorId="108E36D8">
                <v:shape id="_x0000_i1040" type="#_x0000_t75" style="width:165pt;height:122.5pt">
                  <v:imagedata r:id="rId171" o:title="IMG_2125"/>
                </v:shape>
              </w:pict>
            </w:r>
          </w:p>
        </w:tc>
      </w:tr>
    </w:tbl>
    <w:p w:rsidR="00181BAB" w:rsidRPr="00693805" w:rsidRDefault="00181BAB" w:rsidP="000B53EE">
      <w:pPr>
        <w:pStyle w:val="PargrafodaLista"/>
        <w:spacing w:after="0"/>
        <w:rPr>
          <w:lang w:val="fr-FR"/>
        </w:rPr>
      </w:pPr>
    </w:p>
    <w:p w:rsidR="00181BAB" w:rsidRPr="00693805" w:rsidRDefault="00181BAB" w:rsidP="00FA3FAE">
      <w:pPr>
        <w:pStyle w:val="Textodecomentrio"/>
        <w:keepLines w:val="0"/>
        <w:numPr>
          <w:ilvl w:val="1"/>
          <w:numId w:val="65"/>
        </w:numPr>
        <w:spacing w:after="0" w:line="240" w:lineRule="auto"/>
        <w:jc w:val="left"/>
        <w:outlineLvl w:val="1"/>
        <w:rPr>
          <w:b/>
          <w:sz w:val="24"/>
        </w:rPr>
      </w:pPr>
      <w:bookmarkStart w:id="846" w:name="_Toc20820266"/>
      <w:bookmarkStart w:id="847" w:name="_Toc32511673"/>
      <w:bookmarkStart w:id="848" w:name="_Toc51072654"/>
      <w:r w:rsidRPr="00693805">
        <w:rPr>
          <w:b/>
          <w:sz w:val="24"/>
        </w:rPr>
        <w:t>Equipement de Forage de Safim</w:t>
      </w:r>
      <w:bookmarkEnd w:id="846"/>
      <w:bookmarkEnd w:id="847"/>
      <w:bookmarkEnd w:id="848"/>
    </w:p>
    <w:p w:rsidR="00181BAB" w:rsidRPr="00693805" w:rsidRDefault="00181BAB" w:rsidP="000B53EE">
      <w:pPr>
        <w:pStyle w:val="Textodecomentrio"/>
        <w:spacing w:after="0"/>
        <w:ind w:left="1068"/>
      </w:pPr>
    </w:p>
    <w:tbl>
      <w:tblPr>
        <w:tblW w:w="104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70"/>
        <w:gridCol w:w="1581"/>
        <w:gridCol w:w="1669"/>
        <w:gridCol w:w="1825"/>
        <w:gridCol w:w="1940"/>
      </w:tblGrid>
      <w:tr w:rsidR="00181BAB" w:rsidRPr="00693805" w:rsidTr="00820701">
        <w:trPr>
          <w:jc w:val="center"/>
        </w:trPr>
        <w:tc>
          <w:tcPr>
            <w:tcW w:w="3470" w:type="dxa"/>
            <w:shd w:val="clear" w:color="auto" w:fill="auto"/>
          </w:tcPr>
          <w:p w:rsidR="00181BAB" w:rsidRPr="00693805" w:rsidRDefault="00181BAB" w:rsidP="000B53EE">
            <w:pPr>
              <w:spacing w:after="0"/>
              <w:ind w:right="60"/>
              <w:jc w:val="both"/>
            </w:pPr>
            <w:r w:rsidRPr="00693805">
              <w:br w:type="page"/>
            </w:r>
            <w:r w:rsidRPr="00693805">
              <w:rPr>
                <w:b/>
                <w:color w:val="000000"/>
              </w:rPr>
              <w:t>Composante du projet</w:t>
            </w:r>
          </w:p>
        </w:tc>
        <w:tc>
          <w:tcPr>
            <w:tcW w:w="7015" w:type="dxa"/>
            <w:gridSpan w:val="4"/>
            <w:shd w:val="clear" w:color="auto" w:fill="auto"/>
          </w:tcPr>
          <w:p w:rsidR="00181BAB" w:rsidRPr="00693805" w:rsidRDefault="00181BAB" w:rsidP="000B53EE">
            <w:pPr>
              <w:spacing w:after="0"/>
              <w:ind w:right="60"/>
              <w:jc w:val="both"/>
            </w:pPr>
            <w:r w:rsidRPr="00693805">
              <w:t>Equipement du forage existant avec électropompe de 120 m</w:t>
            </w:r>
            <w:r w:rsidRPr="00693805">
              <w:rPr>
                <w:vertAlign w:val="superscript"/>
              </w:rPr>
              <w:t>3</w:t>
            </w:r>
            <w:r w:rsidRPr="00693805">
              <w:t>/h, ou nouveau forage équipé</w:t>
            </w:r>
          </w:p>
        </w:tc>
      </w:tr>
      <w:tr w:rsidR="00181BAB" w:rsidRPr="00693805" w:rsidTr="00820701">
        <w:trPr>
          <w:jc w:val="center"/>
        </w:trPr>
        <w:tc>
          <w:tcPr>
            <w:tcW w:w="3470" w:type="dxa"/>
            <w:shd w:val="clear" w:color="auto" w:fill="auto"/>
          </w:tcPr>
          <w:p w:rsidR="00181BAB" w:rsidRPr="00693805" w:rsidRDefault="00181BAB" w:rsidP="000B53EE">
            <w:pPr>
              <w:spacing w:after="0"/>
              <w:ind w:right="60"/>
              <w:jc w:val="both"/>
              <w:rPr>
                <w:b/>
                <w:color w:val="000000"/>
              </w:rPr>
            </w:pPr>
            <w:r w:rsidRPr="00693805">
              <w:rPr>
                <w:b/>
                <w:color w:val="000000"/>
              </w:rPr>
              <w:t>Localités associées</w:t>
            </w:r>
          </w:p>
        </w:tc>
        <w:tc>
          <w:tcPr>
            <w:tcW w:w="7015" w:type="dxa"/>
            <w:gridSpan w:val="4"/>
            <w:shd w:val="clear" w:color="auto" w:fill="auto"/>
          </w:tcPr>
          <w:p w:rsidR="00181BAB" w:rsidRPr="00693805" w:rsidRDefault="00181BAB" w:rsidP="000B53EE">
            <w:pPr>
              <w:spacing w:after="0"/>
              <w:ind w:right="60"/>
              <w:jc w:val="both"/>
            </w:pPr>
            <w:r w:rsidRPr="00693805">
              <w:t>Safim</w:t>
            </w:r>
          </w:p>
        </w:tc>
      </w:tr>
      <w:tr w:rsidR="00181BAB" w:rsidRPr="00693805" w:rsidTr="00820701">
        <w:trPr>
          <w:jc w:val="center"/>
        </w:trPr>
        <w:tc>
          <w:tcPr>
            <w:tcW w:w="5051" w:type="dxa"/>
            <w:gridSpan w:val="2"/>
            <w:vMerge w:val="restart"/>
            <w:shd w:val="clear" w:color="auto" w:fill="auto"/>
          </w:tcPr>
          <w:p w:rsidR="00181BAB" w:rsidRPr="00693805" w:rsidRDefault="00181BAB" w:rsidP="000B53EE">
            <w:pPr>
              <w:spacing w:after="0"/>
              <w:ind w:right="60"/>
              <w:jc w:val="both"/>
            </w:pPr>
          </w:p>
        </w:tc>
        <w:tc>
          <w:tcPr>
            <w:tcW w:w="1669" w:type="dxa"/>
            <w:shd w:val="clear" w:color="auto" w:fill="auto"/>
          </w:tcPr>
          <w:p w:rsidR="00181BAB" w:rsidRPr="00693805" w:rsidRDefault="00181BAB" w:rsidP="000B53EE">
            <w:pPr>
              <w:spacing w:after="0"/>
              <w:ind w:right="60"/>
              <w:jc w:val="center"/>
            </w:pPr>
            <w:r w:rsidRPr="00693805">
              <w:rPr>
                <w:b/>
              </w:rPr>
              <w:t>Code GPS</w:t>
            </w:r>
          </w:p>
        </w:tc>
        <w:tc>
          <w:tcPr>
            <w:tcW w:w="1825" w:type="dxa"/>
            <w:shd w:val="clear" w:color="auto" w:fill="auto"/>
            <w:vAlign w:val="center"/>
          </w:tcPr>
          <w:p w:rsidR="00181BAB" w:rsidRPr="00693805" w:rsidRDefault="00181BAB" w:rsidP="000B53EE">
            <w:pPr>
              <w:spacing w:after="0"/>
              <w:ind w:right="60"/>
              <w:jc w:val="center"/>
            </w:pPr>
            <w:r w:rsidRPr="00693805">
              <w:rPr>
                <w:b/>
              </w:rPr>
              <w:t>X</w:t>
            </w:r>
          </w:p>
        </w:tc>
        <w:tc>
          <w:tcPr>
            <w:tcW w:w="1940" w:type="dxa"/>
            <w:shd w:val="clear" w:color="auto" w:fill="auto"/>
            <w:vAlign w:val="center"/>
          </w:tcPr>
          <w:p w:rsidR="00181BAB" w:rsidRPr="00693805" w:rsidRDefault="00181BAB" w:rsidP="000B53EE">
            <w:pPr>
              <w:spacing w:after="0"/>
              <w:ind w:right="60"/>
              <w:jc w:val="center"/>
            </w:pPr>
            <w:r w:rsidRPr="00693805">
              <w:rPr>
                <w:b/>
              </w:rPr>
              <w:t>Y</w:t>
            </w:r>
          </w:p>
        </w:tc>
      </w:tr>
      <w:tr w:rsidR="00181BAB" w:rsidRPr="00693805" w:rsidTr="00820701">
        <w:trPr>
          <w:jc w:val="center"/>
        </w:trPr>
        <w:tc>
          <w:tcPr>
            <w:tcW w:w="5051" w:type="dxa"/>
            <w:gridSpan w:val="2"/>
            <w:vMerge/>
            <w:shd w:val="clear" w:color="auto" w:fill="auto"/>
          </w:tcPr>
          <w:p w:rsidR="00181BAB" w:rsidRPr="00693805" w:rsidRDefault="00181BAB" w:rsidP="000B53EE">
            <w:pPr>
              <w:spacing w:after="0"/>
              <w:ind w:right="60"/>
              <w:jc w:val="both"/>
            </w:pPr>
          </w:p>
        </w:tc>
        <w:tc>
          <w:tcPr>
            <w:tcW w:w="1669" w:type="dxa"/>
            <w:shd w:val="clear" w:color="auto" w:fill="auto"/>
            <w:vAlign w:val="center"/>
          </w:tcPr>
          <w:p w:rsidR="00181BAB" w:rsidRPr="00693805" w:rsidRDefault="00181BAB" w:rsidP="000B53EE">
            <w:pPr>
              <w:spacing w:after="0"/>
              <w:ind w:right="60"/>
              <w:jc w:val="center"/>
            </w:pPr>
            <w:r w:rsidRPr="00693805">
              <w:t>RE-5</w:t>
            </w:r>
          </w:p>
        </w:tc>
        <w:tc>
          <w:tcPr>
            <w:tcW w:w="1825" w:type="dxa"/>
            <w:shd w:val="clear" w:color="auto" w:fill="auto"/>
            <w:vAlign w:val="center"/>
          </w:tcPr>
          <w:p w:rsidR="00181BAB" w:rsidRPr="00693805" w:rsidRDefault="00181BAB" w:rsidP="000B53EE">
            <w:pPr>
              <w:spacing w:after="0"/>
              <w:ind w:right="60"/>
              <w:jc w:val="center"/>
            </w:pPr>
            <w:r w:rsidRPr="00693805">
              <w:rPr>
                <w:color w:val="000000"/>
              </w:rPr>
              <w:t>429258</w:t>
            </w:r>
          </w:p>
        </w:tc>
        <w:tc>
          <w:tcPr>
            <w:tcW w:w="1940" w:type="dxa"/>
            <w:shd w:val="clear" w:color="auto" w:fill="auto"/>
            <w:vAlign w:val="center"/>
          </w:tcPr>
          <w:p w:rsidR="00181BAB" w:rsidRPr="00693805" w:rsidRDefault="00181BAB" w:rsidP="000B53EE">
            <w:pPr>
              <w:spacing w:after="0"/>
              <w:ind w:right="60"/>
              <w:jc w:val="center"/>
            </w:pPr>
            <w:r w:rsidRPr="00693805">
              <w:rPr>
                <w:color w:val="000000"/>
              </w:rPr>
              <w:t>1321747</w:t>
            </w:r>
          </w:p>
        </w:tc>
      </w:tr>
      <w:tr w:rsidR="00181BAB" w:rsidRPr="00693805" w:rsidTr="00820701">
        <w:trPr>
          <w:trHeight w:val="333"/>
          <w:jc w:val="center"/>
        </w:trPr>
        <w:tc>
          <w:tcPr>
            <w:tcW w:w="3470" w:type="dxa"/>
            <w:shd w:val="clear" w:color="auto" w:fill="auto"/>
          </w:tcPr>
          <w:p w:rsidR="00181BAB" w:rsidRPr="00693805" w:rsidRDefault="00181BAB" w:rsidP="000B53EE">
            <w:pPr>
              <w:spacing w:after="0"/>
              <w:ind w:right="60"/>
              <w:jc w:val="both"/>
              <w:rPr>
                <w:b/>
                <w:color w:val="000000"/>
              </w:rPr>
            </w:pPr>
            <w:r w:rsidRPr="00693805">
              <w:rPr>
                <w:b/>
                <w:color w:val="000000"/>
              </w:rPr>
              <w:t>Caractéristiques du site</w:t>
            </w:r>
          </w:p>
        </w:tc>
        <w:tc>
          <w:tcPr>
            <w:tcW w:w="7015" w:type="dxa"/>
            <w:gridSpan w:val="4"/>
            <w:shd w:val="clear" w:color="auto" w:fill="auto"/>
          </w:tcPr>
          <w:p w:rsidR="00181BAB" w:rsidRPr="00693805" w:rsidRDefault="00181BAB" w:rsidP="000B53EE">
            <w:pPr>
              <w:spacing w:after="0"/>
              <w:ind w:right="60"/>
              <w:jc w:val="both"/>
              <w:rPr>
                <w:b/>
                <w:color w:val="000000"/>
              </w:rPr>
            </w:pPr>
            <w:r w:rsidRPr="00693805">
              <w:rPr>
                <w:b/>
                <w:color w:val="000000"/>
              </w:rPr>
              <w:t>-</w:t>
            </w:r>
            <w:r>
              <w:rPr>
                <w:b/>
                <w:color w:val="000000"/>
              </w:rPr>
              <w:t>La cote de TN est de 23,5 m</w:t>
            </w:r>
          </w:p>
        </w:tc>
      </w:tr>
      <w:tr w:rsidR="00181BAB" w:rsidRPr="00693805" w:rsidTr="00820701">
        <w:trPr>
          <w:jc w:val="center"/>
        </w:trPr>
        <w:tc>
          <w:tcPr>
            <w:tcW w:w="3470" w:type="dxa"/>
            <w:shd w:val="clear" w:color="auto" w:fill="auto"/>
          </w:tcPr>
          <w:p w:rsidR="00181BAB" w:rsidRPr="00693805" w:rsidRDefault="00181BAB" w:rsidP="000B53EE">
            <w:pPr>
              <w:spacing w:after="0"/>
              <w:ind w:right="60"/>
              <w:jc w:val="both"/>
              <w:rPr>
                <w:b/>
                <w:color w:val="000000"/>
              </w:rPr>
            </w:pPr>
            <w:r w:rsidRPr="00693805">
              <w:rPr>
                <w:b/>
                <w:color w:val="000000"/>
              </w:rPr>
              <w:t>Description du milieu d’influence direct</w:t>
            </w:r>
          </w:p>
        </w:tc>
        <w:tc>
          <w:tcPr>
            <w:tcW w:w="7015" w:type="dxa"/>
            <w:gridSpan w:val="4"/>
            <w:shd w:val="clear" w:color="auto" w:fill="auto"/>
          </w:tcPr>
          <w:p w:rsidR="00181BAB" w:rsidRPr="00693805" w:rsidRDefault="00181BAB" w:rsidP="000B53EE">
            <w:pPr>
              <w:spacing w:after="0"/>
              <w:ind w:left="80" w:right="60"/>
              <w:jc w:val="both"/>
            </w:pPr>
            <w:r w:rsidRPr="00693805">
              <w:rPr>
                <w:color w:val="000000"/>
              </w:rPr>
              <w:t>L’environnement du site est caractérisé par la présence d’une habitation ancienne abandonnée, ancien forage et réservoir, derrière lequel on trouve un poste d’alimentation en électricité à côté d’un restaurant, le tout clôturé à moitié par du fil de fer barbelé et le mur d’un terrain.</w:t>
            </w:r>
          </w:p>
        </w:tc>
      </w:tr>
      <w:tr w:rsidR="00181BAB" w:rsidRPr="00693805" w:rsidTr="00820701">
        <w:trPr>
          <w:jc w:val="center"/>
        </w:trPr>
        <w:tc>
          <w:tcPr>
            <w:tcW w:w="10485" w:type="dxa"/>
            <w:gridSpan w:val="5"/>
            <w:shd w:val="clear" w:color="auto" w:fill="auto"/>
          </w:tcPr>
          <w:p w:rsidR="00181BAB" w:rsidRPr="00693805" w:rsidRDefault="00181BAB" w:rsidP="000B53EE">
            <w:pPr>
              <w:spacing w:after="0"/>
              <w:jc w:val="both"/>
              <w:rPr>
                <w:color w:val="000000"/>
              </w:rPr>
            </w:pPr>
            <w:r w:rsidRPr="00693805">
              <w:rPr>
                <w:b/>
                <w:color w:val="000000"/>
              </w:rPr>
              <w:t xml:space="preserve">Photos Illustrations </w:t>
            </w:r>
          </w:p>
        </w:tc>
      </w:tr>
      <w:tr w:rsidR="00181BAB" w:rsidRPr="00693805" w:rsidTr="00820701">
        <w:trPr>
          <w:jc w:val="center"/>
        </w:trPr>
        <w:tc>
          <w:tcPr>
            <w:tcW w:w="10485" w:type="dxa"/>
            <w:gridSpan w:val="5"/>
            <w:shd w:val="clear" w:color="auto" w:fill="auto"/>
          </w:tcPr>
          <w:p w:rsidR="00181BAB" w:rsidRPr="00693805" w:rsidRDefault="00181BAB" w:rsidP="000B53EE">
            <w:pPr>
              <w:spacing w:after="0"/>
              <w:ind w:right="60"/>
              <w:jc w:val="both"/>
              <w:rPr>
                <w:color w:val="000000"/>
              </w:rPr>
            </w:pPr>
            <w:r w:rsidRPr="00693805">
              <w:rPr>
                <w:noProof/>
                <w:color w:val="000000"/>
                <w:lang w:eastAsia="fr-FR"/>
              </w:rPr>
              <w:t xml:space="preserve"> </w:t>
            </w:r>
            <w:r w:rsidR="00332A41">
              <w:rPr>
                <w:noProof/>
                <w:color w:val="000000"/>
                <w:lang w:eastAsia="fr-FR"/>
              </w:rPr>
              <w:pict w14:anchorId="73DBBA3A">
                <v:shape id="_x0000_i1041" type="#_x0000_t75" style="width:169.5pt;height:127.5pt">
                  <v:imagedata r:id="rId172" o:title="IMG_2212"/>
                </v:shape>
              </w:pict>
            </w:r>
            <w:r w:rsidR="00332A41">
              <w:rPr>
                <w:noProof/>
                <w:color w:val="000000"/>
                <w:lang w:eastAsia="fr-FR"/>
              </w:rPr>
              <w:pict w14:anchorId="4F8445BF">
                <v:shape id="_x0000_i1042" type="#_x0000_t75" style="width:168pt;height:126pt">
                  <v:imagedata r:id="rId173" o:title="IMG_2214"/>
                </v:shape>
              </w:pict>
            </w:r>
            <w:r w:rsidR="00332A41">
              <w:rPr>
                <w:noProof/>
                <w:color w:val="000000"/>
                <w:lang w:eastAsia="fr-FR"/>
              </w:rPr>
              <w:pict w14:anchorId="207481D6">
                <v:shape id="_x0000_i1043" type="#_x0000_t75" style="width:168pt;height:126pt">
                  <v:imagedata r:id="rId174" o:title="IMG_2215"/>
                </v:shape>
              </w:pict>
            </w:r>
          </w:p>
        </w:tc>
      </w:tr>
    </w:tbl>
    <w:p w:rsidR="00181BAB" w:rsidRPr="00693805" w:rsidRDefault="00181BAB" w:rsidP="00FA3FAE">
      <w:pPr>
        <w:pStyle w:val="PargrafodaLista"/>
        <w:numPr>
          <w:ilvl w:val="0"/>
          <w:numId w:val="170"/>
        </w:numPr>
        <w:spacing w:before="360" w:after="0" w:line="240" w:lineRule="auto"/>
        <w:contextualSpacing w:val="0"/>
        <w:jc w:val="both"/>
        <w:outlineLvl w:val="0"/>
        <w:rPr>
          <w:b/>
          <w:lang w:val="fr-FR"/>
        </w:rPr>
      </w:pPr>
      <w:bookmarkStart w:id="849" w:name="_Toc504998500"/>
      <w:bookmarkStart w:id="850" w:name="_Toc504998568"/>
      <w:bookmarkStart w:id="851" w:name="_Toc504999525"/>
      <w:bookmarkStart w:id="852" w:name="_Toc504999557"/>
      <w:bookmarkStart w:id="853" w:name="_Toc505000589"/>
      <w:bookmarkStart w:id="854" w:name="_Toc505004236"/>
      <w:bookmarkStart w:id="855" w:name="_Toc20820267"/>
      <w:bookmarkStart w:id="856" w:name="_Toc32511674"/>
      <w:bookmarkStart w:id="857" w:name="_Toc51072655"/>
      <w:bookmarkEnd w:id="849"/>
      <w:bookmarkEnd w:id="850"/>
      <w:bookmarkEnd w:id="851"/>
      <w:bookmarkEnd w:id="852"/>
      <w:bookmarkEnd w:id="853"/>
      <w:bookmarkEnd w:id="854"/>
      <w:r w:rsidRPr="00693805">
        <w:rPr>
          <w:b/>
          <w:lang w:val="fr-FR"/>
        </w:rPr>
        <w:t>DESCRIPTION DU MILIEU RÉCEPTEUR</w:t>
      </w:r>
      <w:bookmarkEnd w:id="855"/>
      <w:bookmarkEnd w:id="856"/>
      <w:bookmarkEnd w:id="857"/>
    </w:p>
    <w:p w:rsidR="00181BAB" w:rsidRPr="00693805" w:rsidRDefault="00181BAB" w:rsidP="000B53EE">
      <w:pPr>
        <w:spacing w:after="0"/>
        <w:jc w:val="both"/>
        <w:rPr>
          <w:lang w:bidi="fr-FR"/>
        </w:rPr>
      </w:pPr>
      <w:r w:rsidRPr="00693805">
        <w:t>Les travaux de construction, réhabilitation des forages du projet PUASEE-FA vont exécuter principalement dans 3 quartiers (Aéroport, Antule-Pime et Bôr) dans la région de Bissau qui est la capitale politique et économique de la République de Guinée-Bissau et dans la région de Biombo précisément dans deux villes (Safim et Prabis).</w:t>
      </w:r>
    </w:p>
    <w:p w:rsidR="00181BAB" w:rsidRPr="00693805" w:rsidRDefault="00181BAB" w:rsidP="00FA3FAE">
      <w:pPr>
        <w:pStyle w:val="PargrafodaLista"/>
        <w:numPr>
          <w:ilvl w:val="1"/>
          <w:numId w:val="67"/>
        </w:numPr>
        <w:spacing w:before="360" w:after="0" w:line="240" w:lineRule="auto"/>
        <w:contextualSpacing w:val="0"/>
        <w:jc w:val="both"/>
        <w:outlineLvl w:val="1"/>
        <w:rPr>
          <w:b/>
          <w:lang w:val="fr-FR"/>
        </w:rPr>
      </w:pPr>
      <w:bookmarkStart w:id="858" w:name="_Toc32511675"/>
      <w:bookmarkStart w:id="859" w:name="_Toc51072656"/>
      <w:r w:rsidRPr="00693805">
        <w:rPr>
          <w:b/>
          <w:lang w:val="fr-FR"/>
        </w:rPr>
        <w:t>Situation géographique de la région de Bissau</w:t>
      </w:r>
      <w:bookmarkEnd w:id="858"/>
      <w:bookmarkEnd w:id="859"/>
    </w:p>
    <w:p w:rsidR="00181BAB" w:rsidRPr="00693805" w:rsidRDefault="00181BAB" w:rsidP="000B53EE">
      <w:pPr>
        <w:spacing w:after="0"/>
        <w:jc w:val="both"/>
      </w:pPr>
      <w:r w:rsidRPr="00693805">
        <w:t>La ville de Bissau</w:t>
      </w:r>
      <w:r w:rsidRPr="00693805">
        <w:rPr>
          <w:lang w:bidi="fr-FR"/>
        </w:rPr>
        <w:t xml:space="preserve"> se situe sur la côte Ouest de la Guinée-Bissau, la ville a une superficie de 77 km2 et s’étend entre les 11° 49’ Latitude Nord et 15°34’ longitude Ouest puis 11°55’ latitude Nord et 15°39’longitude Ouest. Elle est limitée au Nord par la ville de Safim et Prabis tous de la région de Biombo, à l’Est par la ville de Nhacra secteur de Mansoa, région de Oio, au Sud par la ville de Tite, Sector de Tite Região de Quinara par l’océan Atlantique et l’archipel des Bijagos. </w:t>
      </w:r>
      <w:r w:rsidRPr="00693805">
        <w:t>Elle a une population environ 480 000 habitants en 2018.</w:t>
      </w:r>
    </w:p>
    <w:p w:rsidR="00181BAB" w:rsidRPr="00693805" w:rsidRDefault="00181BAB" w:rsidP="000B53EE">
      <w:pPr>
        <w:spacing w:after="0"/>
        <w:jc w:val="both"/>
      </w:pPr>
    </w:p>
    <w:p w:rsidR="00181BAB" w:rsidRPr="00693805" w:rsidRDefault="00181BAB" w:rsidP="000B53EE">
      <w:pPr>
        <w:spacing w:after="0"/>
        <w:jc w:val="both"/>
      </w:pPr>
      <w:r w:rsidRPr="00693805">
        <w:t>La ville de Bissau s'est développée sur un site estuarien. Son relief est très bas avec une petite élévation vers le nord-ouest donnant sur le plateau de Bissalanca. Les sols sont argileux et de type ferralitique de couleur rouge. Au niveau de la zone de contact avec le Rio Géba, le sol est halo-hydromorphe (Texeira, 1962). Ses sols sont relativement perméables permettant une infiltration facile des eaux de pluie.</w:t>
      </w:r>
    </w:p>
    <w:p w:rsidR="00181BAB" w:rsidRPr="00693805" w:rsidRDefault="00181BAB" w:rsidP="000B53EE">
      <w:pPr>
        <w:spacing w:after="0"/>
        <w:jc w:val="both"/>
        <w:rPr>
          <w:lang w:bidi="fr-FR"/>
        </w:rPr>
      </w:pPr>
    </w:p>
    <w:p w:rsidR="00181BAB" w:rsidRPr="00693805" w:rsidRDefault="00181BAB" w:rsidP="000B53EE">
      <w:pPr>
        <w:spacing w:after="0" w:line="276" w:lineRule="auto"/>
        <w:jc w:val="both"/>
        <w:rPr>
          <w:noProof/>
          <w:lang w:eastAsia="fr-FR"/>
        </w:rPr>
        <w:sectPr w:rsidR="00181BAB" w:rsidRPr="00693805" w:rsidSect="00FD763C">
          <w:footerReference w:type="default" r:id="rId175"/>
          <w:pgSz w:w="11906" w:h="16838"/>
          <w:pgMar w:top="851" w:right="566" w:bottom="1134" w:left="1417" w:header="284" w:footer="380" w:gutter="0"/>
          <w:cols w:space="708"/>
          <w:docGrid w:linePitch="360"/>
        </w:sectPr>
      </w:pPr>
    </w:p>
    <w:p w:rsidR="00181BAB" w:rsidRPr="00693805" w:rsidRDefault="007055AF" w:rsidP="000B53EE">
      <w:pPr>
        <w:spacing w:after="0" w:line="276" w:lineRule="auto"/>
        <w:jc w:val="both"/>
        <w:rPr>
          <w:b/>
          <w:u w:val="single"/>
        </w:rPr>
      </w:pPr>
      <w:r>
        <w:rPr>
          <w:noProof/>
          <w:lang w:eastAsia="fr-FR"/>
        </w:rPr>
        <w:lastRenderedPageBreak/>
        <w:pict w14:anchorId="2E89D55C">
          <v:shape id="Image 467" o:spid="_x0000_s1058" type="#_x0000_t75" style="position:absolute;left:0;text-align:left;margin-left:0;margin-top:42pt;width:670.2pt;height:448.15pt;z-index:-251039232;visibility:visible;mso-position-horizontal:center;mso-position-horizontal-relative:margin;mso-position-vertical-relative:page" stroked="t" strokecolor="#00b0f0">
            <v:imagedata r:id="rId176" o:title=""/>
            <w10:wrap anchorx="margin" anchory="page"/>
          </v:shape>
        </w:pict>
      </w:r>
    </w:p>
    <w:p w:rsidR="00181BAB" w:rsidRPr="00693805" w:rsidRDefault="00181BAB" w:rsidP="000B53EE">
      <w:pPr>
        <w:spacing w:after="0"/>
        <w:jc w:val="center"/>
        <w:rPr>
          <w:b/>
          <w:u w:val="single"/>
        </w:rPr>
      </w:pPr>
    </w:p>
    <w:p w:rsidR="00181BAB" w:rsidRPr="00693805" w:rsidRDefault="00181BAB" w:rsidP="000B53EE">
      <w:pPr>
        <w:spacing w:after="0"/>
        <w:jc w:val="center"/>
        <w:rPr>
          <w:b/>
          <w:u w:val="single"/>
        </w:rPr>
      </w:pPr>
    </w:p>
    <w:p w:rsidR="00181BAB" w:rsidRPr="00693805" w:rsidRDefault="00181BAB" w:rsidP="000B53EE">
      <w:pPr>
        <w:spacing w:after="0"/>
        <w:jc w:val="center"/>
        <w:rPr>
          <w:b/>
          <w:u w:val="single"/>
        </w:rPr>
      </w:pPr>
    </w:p>
    <w:p w:rsidR="00181BAB" w:rsidRPr="00693805" w:rsidRDefault="00181BAB" w:rsidP="000B53EE">
      <w:pPr>
        <w:spacing w:after="0"/>
        <w:jc w:val="center"/>
        <w:rPr>
          <w:b/>
          <w:u w:val="single"/>
        </w:rPr>
      </w:pPr>
    </w:p>
    <w:p w:rsidR="00181BAB" w:rsidRPr="00693805" w:rsidRDefault="00181BAB" w:rsidP="000B53EE">
      <w:pPr>
        <w:spacing w:after="0"/>
        <w:jc w:val="center"/>
        <w:rPr>
          <w:b/>
          <w:u w:val="single"/>
        </w:rPr>
      </w:pPr>
    </w:p>
    <w:p w:rsidR="00181BAB" w:rsidRPr="00693805" w:rsidRDefault="00181BAB" w:rsidP="000B53EE">
      <w:pPr>
        <w:spacing w:after="0"/>
        <w:jc w:val="center"/>
        <w:rPr>
          <w:lang w:bidi="fr-FR"/>
        </w:rPr>
      </w:pPr>
      <w:bookmarkStart w:id="860" w:name="_Toc32507984"/>
      <w:bookmarkStart w:id="861" w:name="_Toc32512032"/>
      <w:r w:rsidRPr="00693805">
        <w:rPr>
          <w:b/>
          <w:u w:val="single"/>
        </w:rPr>
        <w:t xml:space="preserve">Figure </w:t>
      </w:r>
      <w:r w:rsidRPr="00693805">
        <w:rPr>
          <w:b/>
          <w:u w:val="single"/>
        </w:rPr>
        <w:fldChar w:fldCharType="begin"/>
      </w:r>
      <w:r w:rsidRPr="00693805">
        <w:rPr>
          <w:b/>
          <w:u w:val="single"/>
        </w:rPr>
        <w:instrText xml:space="preserve"> SEQ Figure \* ARABIC </w:instrText>
      </w:r>
      <w:r w:rsidRPr="00693805">
        <w:rPr>
          <w:b/>
          <w:u w:val="single"/>
        </w:rPr>
        <w:fldChar w:fldCharType="separate"/>
      </w:r>
      <w:r w:rsidR="002C6E60">
        <w:rPr>
          <w:b/>
          <w:noProof/>
          <w:u w:val="single"/>
        </w:rPr>
        <w:t>10</w:t>
      </w:r>
      <w:r w:rsidRPr="00693805">
        <w:rPr>
          <w:b/>
          <w:u w:val="single"/>
        </w:rPr>
        <w:fldChar w:fldCharType="end"/>
      </w:r>
      <w:r w:rsidRPr="00693805">
        <w:t> </w:t>
      </w:r>
      <w:r w:rsidRPr="00693805">
        <w:rPr>
          <w:b/>
          <w:lang w:bidi="fr-FR"/>
        </w:rPr>
        <w:t xml:space="preserve">: </w:t>
      </w:r>
      <w:r w:rsidRPr="00693805">
        <w:rPr>
          <w:lang w:bidi="fr-FR"/>
        </w:rPr>
        <w:t>Carte de situation de la ville de Bissau</w:t>
      </w:r>
      <w:bookmarkEnd w:id="860"/>
      <w:bookmarkEnd w:id="861"/>
    </w:p>
    <w:p w:rsidR="00181BAB" w:rsidRPr="00693805" w:rsidRDefault="00181BAB" w:rsidP="000B53EE">
      <w:pPr>
        <w:pStyle w:val="PargrafodaLista"/>
        <w:spacing w:before="360" w:after="0"/>
        <w:jc w:val="both"/>
        <w:outlineLvl w:val="1"/>
        <w:rPr>
          <w:b/>
          <w:lang w:val="fr-FR"/>
        </w:rPr>
        <w:sectPr w:rsidR="00181BAB" w:rsidRPr="00693805" w:rsidSect="008734B0">
          <w:pgSz w:w="16838" w:h="11906" w:orient="landscape"/>
          <w:pgMar w:top="1418" w:right="992" w:bottom="1418" w:left="1418" w:header="709" w:footer="709" w:gutter="0"/>
          <w:cols w:space="708"/>
          <w:docGrid w:linePitch="360"/>
        </w:sectPr>
      </w:pPr>
    </w:p>
    <w:p w:rsidR="00181BAB" w:rsidRPr="00693805" w:rsidRDefault="00181BAB" w:rsidP="00FA3FAE">
      <w:pPr>
        <w:pStyle w:val="PargrafodaLista"/>
        <w:numPr>
          <w:ilvl w:val="1"/>
          <w:numId w:val="223"/>
        </w:numPr>
        <w:spacing w:before="360" w:after="0" w:line="240" w:lineRule="auto"/>
        <w:contextualSpacing w:val="0"/>
        <w:jc w:val="both"/>
        <w:outlineLvl w:val="1"/>
        <w:rPr>
          <w:b/>
          <w:lang w:val="fr-FR"/>
        </w:rPr>
      </w:pPr>
      <w:bookmarkStart w:id="862" w:name="_Toc20820269"/>
      <w:bookmarkStart w:id="863" w:name="_Toc32511676"/>
      <w:bookmarkStart w:id="864" w:name="_Toc51072657"/>
      <w:r w:rsidRPr="00693805">
        <w:rPr>
          <w:b/>
          <w:lang w:val="fr-FR"/>
        </w:rPr>
        <w:lastRenderedPageBreak/>
        <w:t>Situation géographique de la région de Biombo</w:t>
      </w:r>
      <w:bookmarkEnd w:id="862"/>
      <w:bookmarkEnd w:id="863"/>
      <w:bookmarkEnd w:id="864"/>
    </w:p>
    <w:p w:rsidR="00181BAB" w:rsidRPr="008E2AF6" w:rsidRDefault="00181BAB" w:rsidP="000B53EE">
      <w:pPr>
        <w:autoSpaceDE w:val="0"/>
        <w:autoSpaceDN w:val="0"/>
        <w:adjustRightInd w:val="0"/>
        <w:spacing w:after="0"/>
        <w:jc w:val="both"/>
        <w:rPr>
          <w:color w:val="222222"/>
        </w:rPr>
      </w:pPr>
      <w:r w:rsidRPr="008E2AF6">
        <w:rPr>
          <w:rStyle w:val="fontstyle01"/>
          <w:rFonts w:ascii="Times New Roman" w:hAnsi="Times New Roman"/>
          <w:b w:val="0"/>
          <w:sz w:val="24"/>
          <w:szCs w:val="24"/>
        </w:rPr>
        <w:t>La région de Biombo (</w:t>
      </w:r>
      <w:r w:rsidRPr="008E2AF6">
        <w:t>11° 50′ nord, 15° 45′ ouest)</w:t>
      </w:r>
      <w:r w:rsidRPr="008E2AF6">
        <w:rPr>
          <w:rStyle w:val="fontstyle01"/>
          <w:rFonts w:ascii="Times New Roman" w:hAnsi="Times New Roman"/>
          <w:b w:val="0"/>
          <w:sz w:val="24"/>
          <w:szCs w:val="24"/>
        </w:rPr>
        <w:t xml:space="preserve">, voisin de la capitale Bissau, au Nord, avec un peu plus de </w:t>
      </w:r>
      <w:r w:rsidRPr="008E2AF6">
        <w:rPr>
          <w:color w:val="000000"/>
          <w:shd w:val="clear" w:color="auto" w:fill="F9F9F9"/>
        </w:rPr>
        <w:t>97 120 </w:t>
      </w:r>
      <w:r w:rsidRPr="008E2AF6">
        <w:t>hab.</w:t>
      </w:r>
      <w:r w:rsidRPr="008E2AF6">
        <w:rPr>
          <w:color w:val="000000"/>
          <w:shd w:val="clear" w:color="auto" w:fill="F9F9F9"/>
        </w:rPr>
        <w:t xml:space="preserve"> (2009) </w:t>
      </w:r>
      <w:r w:rsidRPr="008E2AF6">
        <w:rPr>
          <w:rStyle w:val="fontstyle01"/>
          <w:rFonts w:ascii="Times New Roman" w:hAnsi="Times New Roman"/>
          <w:b w:val="0"/>
          <w:sz w:val="24"/>
          <w:szCs w:val="24"/>
        </w:rPr>
        <w:t xml:space="preserve">et une surface 836,37km2. </w:t>
      </w:r>
      <w:r w:rsidRPr="008E2AF6">
        <w:rPr>
          <w:color w:val="222222"/>
        </w:rPr>
        <w:t>La région de Biombo est divisée en 3 secteurs :</w:t>
      </w:r>
      <w:r w:rsidRPr="008E2AF6">
        <w:rPr>
          <w:color w:val="000000"/>
        </w:rPr>
        <w:t xml:space="preserve"> </w:t>
      </w:r>
      <w:r w:rsidRPr="008E2AF6">
        <w:rPr>
          <w:color w:val="222222"/>
        </w:rPr>
        <w:t>Prábis, Quinhámel</w:t>
      </w:r>
      <w:r w:rsidRPr="008E2AF6">
        <w:rPr>
          <w:color w:val="000000"/>
        </w:rPr>
        <w:t xml:space="preserve">, </w:t>
      </w:r>
      <w:r w:rsidRPr="008E2AF6">
        <w:rPr>
          <w:color w:val="222222"/>
        </w:rPr>
        <w:t xml:space="preserve">Safim. </w:t>
      </w:r>
    </w:p>
    <w:p w:rsidR="00181BAB" w:rsidRPr="008E2AF6" w:rsidRDefault="00181BAB" w:rsidP="000B53EE">
      <w:pPr>
        <w:autoSpaceDE w:val="0"/>
        <w:autoSpaceDN w:val="0"/>
        <w:adjustRightInd w:val="0"/>
        <w:spacing w:after="0"/>
        <w:jc w:val="both"/>
        <w:rPr>
          <w:color w:val="000000"/>
        </w:rPr>
      </w:pPr>
      <w:r w:rsidRPr="008E2AF6">
        <w:rPr>
          <w:rStyle w:val="fontstyle01"/>
          <w:rFonts w:ascii="Times New Roman" w:hAnsi="Times New Roman"/>
          <w:b w:val="0"/>
          <w:sz w:val="24"/>
          <w:szCs w:val="24"/>
        </w:rPr>
        <w:t>La Région de Biombo, situé dans la partie centrale nord de Bissau, se trouve précisément dans la région</w:t>
      </w:r>
      <w:r w:rsidRPr="008E2AF6">
        <w:rPr>
          <w:color w:val="000000"/>
        </w:rPr>
        <w:t xml:space="preserve"> </w:t>
      </w:r>
      <w:r w:rsidRPr="008E2AF6">
        <w:rPr>
          <w:rStyle w:val="fontstyle01"/>
          <w:rFonts w:ascii="Times New Roman" w:hAnsi="Times New Roman"/>
          <w:b w:val="0"/>
          <w:sz w:val="24"/>
          <w:szCs w:val="24"/>
        </w:rPr>
        <w:t>de l'Ouest-Nord de la Guinée-Bissau. Elle est limitée à l'ouest par les principales branches de la rivière de la</w:t>
      </w:r>
      <w:r w:rsidRPr="008E2AF6">
        <w:rPr>
          <w:color w:val="000000"/>
        </w:rPr>
        <w:t xml:space="preserve"> </w:t>
      </w:r>
      <w:r w:rsidRPr="008E2AF6">
        <w:rPr>
          <w:rStyle w:val="fontstyle01"/>
          <w:rFonts w:ascii="Times New Roman" w:hAnsi="Times New Roman"/>
          <w:b w:val="0"/>
          <w:sz w:val="24"/>
          <w:szCs w:val="24"/>
        </w:rPr>
        <w:t>Guinée (Rio Canal Geba et le Rio Mansoa), qui divisait en plusieurs canaux petites et moyennes avec ses</w:t>
      </w:r>
      <w:r w:rsidRPr="008E2AF6">
        <w:rPr>
          <w:color w:val="000000"/>
        </w:rPr>
        <w:t xml:space="preserve"> </w:t>
      </w:r>
      <w:r w:rsidRPr="008E2AF6">
        <w:rPr>
          <w:rStyle w:val="fontstyle01"/>
          <w:rFonts w:ascii="Times New Roman" w:hAnsi="Times New Roman"/>
          <w:b w:val="0"/>
          <w:sz w:val="24"/>
          <w:szCs w:val="24"/>
        </w:rPr>
        <w:t>belles plages intégrées dans une entrée de la mer sans vagues et étendues dans tous les coins intérieurs de</w:t>
      </w:r>
      <w:r w:rsidRPr="008E2AF6">
        <w:rPr>
          <w:color w:val="000000"/>
        </w:rPr>
        <w:t xml:space="preserve"> </w:t>
      </w:r>
      <w:r w:rsidRPr="008E2AF6">
        <w:rPr>
          <w:rStyle w:val="fontstyle01"/>
          <w:rFonts w:ascii="Times New Roman" w:hAnsi="Times New Roman"/>
          <w:b w:val="0"/>
          <w:sz w:val="24"/>
          <w:szCs w:val="24"/>
        </w:rPr>
        <w:t>la région, permettant ainsi l'accès facile par voie maritime.</w:t>
      </w:r>
      <w:r w:rsidRPr="008E2AF6">
        <w:rPr>
          <w:color w:val="000000"/>
        </w:rPr>
        <w:t xml:space="preserve"> </w:t>
      </w:r>
    </w:p>
    <w:p w:rsidR="00181BAB" w:rsidRPr="008E2AF6" w:rsidRDefault="00181BAB" w:rsidP="000B53EE">
      <w:pPr>
        <w:autoSpaceDE w:val="0"/>
        <w:autoSpaceDN w:val="0"/>
        <w:adjustRightInd w:val="0"/>
        <w:spacing w:after="0"/>
        <w:jc w:val="both"/>
        <w:rPr>
          <w:rStyle w:val="fontstyle01"/>
          <w:rFonts w:ascii="Times New Roman" w:hAnsi="Times New Roman"/>
          <w:b w:val="0"/>
          <w:sz w:val="24"/>
          <w:szCs w:val="24"/>
        </w:rPr>
      </w:pPr>
      <w:r w:rsidRPr="008E2AF6">
        <w:rPr>
          <w:rStyle w:val="fontstyle01"/>
          <w:rFonts w:ascii="Times New Roman" w:hAnsi="Times New Roman"/>
          <w:b w:val="0"/>
          <w:sz w:val="24"/>
          <w:szCs w:val="24"/>
        </w:rPr>
        <w:t>La région de Biombo présente une végétation forestière dense, avec ses arbres feuillus, pluies abondantes,</w:t>
      </w:r>
      <w:r w:rsidRPr="008E2AF6">
        <w:rPr>
          <w:color w:val="000000"/>
        </w:rPr>
        <w:t xml:space="preserve"> </w:t>
      </w:r>
      <w:r w:rsidRPr="008E2AF6">
        <w:rPr>
          <w:rStyle w:val="fontstyle01"/>
          <w:rFonts w:ascii="Times New Roman" w:hAnsi="Times New Roman"/>
          <w:b w:val="0"/>
          <w:sz w:val="24"/>
          <w:szCs w:val="24"/>
        </w:rPr>
        <w:t>le climat tropical avec des températures douces et petites plages gracieuses de mer calme et les eaux douces, en</w:t>
      </w:r>
      <w:r w:rsidRPr="008E2AF6">
        <w:rPr>
          <w:color w:val="000000"/>
        </w:rPr>
        <w:t xml:space="preserve"> </w:t>
      </w:r>
      <w:r w:rsidRPr="008E2AF6">
        <w:rPr>
          <w:rStyle w:val="fontstyle01"/>
          <w:rFonts w:ascii="Times New Roman" w:hAnsi="Times New Roman"/>
          <w:b w:val="0"/>
          <w:sz w:val="24"/>
          <w:szCs w:val="24"/>
        </w:rPr>
        <w:t xml:space="preserve">faveur d'une bonne pratique de l'agriculture et le tourisme. </w:t>
      </w:r>
    </w:p>
    <w:p w:rsidR="00181BAB" w:rsidRPr="008E2AF6" w:rsidRDefault="00181BAB" w:rsidP="000B53EE">
      <w:pPr>
        <w:autoSpaceDE w:val="0"/>
        <w:autoSpaceDN w:val="0"/>
        <w:adjustRightInd w:val="0"/>
        <w:spacing w:after="0"/>
        <w:jc w:val="both"/>
        <w:rPr>
          <w:rStyle w:val="fontstyle01"/>
          <w:rFonts w:ascii="Times New Roman" w:hAnsi="Times New Roman"/>
          <w:b w:val="0"/>
          <w:sz w:val="24"/>
          <w:szCs w:val="24"/>
        </w:rPr>
      </w:pPr>
      <w:r w:rsidRPr="008E2AF6">
        <w:rPr>
          <w:rStyle w:val="fontstyle01"/>
          <w:rFonts w:ascii="Times New Roman" w:hAnsi="Times New Roman"/>
          <w:b w:val="0"/>
          <w:sz w:val="24"/>
          <w:szCs w:val="24"/>
        </w:rPr>
        <w:t>Elle est une</w:t>
      </w:r>
      <w:r w:rsidRPr="008E2AF6">
        <w:rPr>
          <w:color w:val="000000"/>
        </w:rPr>
        <w:t xml:space="preserve"> </w:t>
      </w:r>
      <w:r w:rsidRPr="008E2AF6">
        <w:rPr>
          <w:rStyle w:val="fontstyle01"/>
          <w:rFonts w:ascii="Times New Roman" w:hAnsi="Times New Roman"/>
          <w:b w:val="0"/>
          <w:sz w:val="24"/>
          <w:szCs w:val="24"/>
        </w:rPr>
        <w:t>région plate et présente des caractéristiques naturelles favorisent la</w:t>
      </w:r>
      <w:r w:rsidRPr="008E2AF6">
        <w:rPr>
          <w:color w:val="000000"/>
        </w:rPr>
        <w:t xml:space="preserve"> </w:t>
      </w:r>
      <w:r w:rsidRPr="008E2AF6">
        <w:rPr>
          <w:rStyle w:val="fontstyle01"/>
          <w:rFonts w:ascii="Times New Roman" w:hAnsi="Times New Roman"/>
          <w:b w:val="0"/>
          <w:sz w:val="24"/>
          <w:szCs w:val="24"/>
        </w:rPr>
        <w:t>mise en œuvre de tout développement célèbre du projet au profit de la communauté locale.</w:t>
      </w:r>
      <w:r w:rsidRPr="008E2AF6">
        <w:rPr>
          <w:color w:val="000000"/>
        </w:rPr>
        <w:t xml:space="preserve"> </w:t>
      </w:r>
      <w:r w:rsidRPr="008E2AF6">
        <w:rPr>
          <w:rStyle w:val="fontstyle01"/>
          <w:rFonts w:ascii="Times New Roman" w:hAnsi="Times New Roman"/>
          <w:b w:val="0"/>
          <w:sz w:val="24"/>
          <w:szCs w:val="24"/>
        </w:rPr>
        <w:t>Les habitants de la région sont pour la plupart origine ethnique pépère. La religion prédominante est animiste.</w:t>
      </w:r>
    </w:p>
    <w:p w:rsidR="00181BAB" w:rsidRPr="00693805" w:rsidRDefault="00181BAB" w:rsidP="000B53EE">
      <w:pPr>
        <w:autoSpaceDE w:val="0"/>
        <w:autoSpaceDN w:val="0"/>
        <w:adjustRightInd w:val="0"/>
        <w:spacing w:after="0"/>
        <w:jc w:val="both"/>
        <w:rPr>
          <w:rStyle w:val="fontstyle01"/>
          <w:rFonts w:ascii="Times New Roman" w:hAnsi="Times New Roman"/>
          <w:sz w:val="24"/>
          <w:szCs w:val="24"/>
        </w:rPr>
      </w:pPr>
    </w:p>
    <w:p w:rsidR="00181BAB" w:rsidRPr="00693805" w:rsidRDefault="007055AF" w:rsidP="000B53EE">
      <w:pPr>
        <w:autoSpaceDE w:val="0"/>
        <w:autoSpaceDN w:val="0"/>
        <w:adjustRightInd w:val="0"/>
        <w:spacing w:after="0"/>
        <w:jc w:val="both"/>
        <w:rPr>
          <w:rStyle w:val="fontstyle01"/>
          <w:rFonts w:ascii="Times New Roman" w:hAnsi="Times New Roman"/>
          <w:sz w:val="24"/>
          <w:szCs w:val="24"/>
        </w:rPr>
      </w:pPr>
      <w:r>
        <w:rPr>
          <w:noProof/>
        </w:rPr>
        <w:pict w14:anchorId="1CF6EC77">
          <v:shape id="_x0000_s1059" type="#_x0000_t75" style="position:absolute;left:0;text-align:left;margin-left:1.6pt;margin-top:6.95pt;width:468.9pt;height:368.15pt;z-index:-251038208" stroked="t" strokeweight="1.5pt">
            <v:imagedata r:id="rId177" o:title="Biombo_sectors"/>
          </v:shape>
        </w:pict>
      </w:r>
    </w:p>
    <w:p w:rsidR="00181BAB" w:rsidRPr="00693805" w:rsidRDefault="00181BAB" w:rsidP="000B53EE">
      <w:pPr>
        <w:autoSpaceDE w:val="0"/>
        <w:autoSpaceDN w:val="0"/>
        <w:adjustRightInd w:val="0"/>
        <w:spacing w:after="0"/>
        <w:jc w:val="both"/>
        <w:rPr>
          <w:rStyle w:val="fontstyle01"/>
          <w:rFonts w:ascii="Times New Roman" w:hAnsi="Times New Roman"/>
          <w:sz w:val="24"/>
          <w:szCs w:val="24"/>
        </w:rPr>
      </w:pPr>
    </w:p>
    <w:p w:rsidR="00181BAB" w:rsidRPr="00693805" w:rsidRDefault="00181BAB" w:rsidP="000B53EE">
      <w:pPr>
        <w:autoSpaceDE w:val="0"/>
        <w:autoSpaceDN w:val="0"/>
        <w:adjustRightInd w:val="0"/>
        <w:spacing w:after="0"/>
        <w:jc w:val="both"/>
        <w:rPr>
          <w:rStyle w:val="fontstyle01"/>
          <w:rFonts w:ascii="Times New Roman" w:hAnsi="Times New Roman"/>
          <w:sz w:val="24"/>
          <w:szCs w:val="24"/>
        </w:rPr>
      </w:pPr>
    </w:p>
    <w:p w:rsidR="00181BAB" w:rsidRPr="00693805" w:rsidRDefault="00181BAB" w:rsidP="000B53EE">
      <w:pPr>
        <w:autoSpaceDE w:val="0"/>
        <w:autoSpaceDN w:val="0"/>
        <w:adjustRightInd w:val="0"/>
        <w:spacing w:after="0"/>
        <w:jc w:val="both"/>
        <w:rPr>
          <w:rStyle w:val="fontstyle01"/>
          <w:rFonts w:ascii="Times New Roman" w:hAnsi="Times New Roman"/>
          <w:sz w:val="24"/>
          <w:szCs w:val="24"/>
        </w:rPr>
      </w:pPr>
    </w:p>
    <w:p w:rsidR="00181BAB" w:rsidRPr="00693805" w:rsidRDefault="00181BAB" w:rsidP="000B53EE">
      <w:pPr>
        <w:autoSpaceDE w:val="0"/>
        <w:autoSpaceDN w:val="0"/>
        <w:adjustRightInd w:val="0"/>
        <w:spacing w:after="0"/>
        <w:jc w:val="both"/>
        <w:rPr>
          <w:rStyle w:val="fontstyle01"/>
          <w:rFonts w:ascii="Times New Roman" w:hAnsi="Times New Roman"/>
          <w:sz w:val="24"/>
          <w:szCs w:val="24"/>
        </w:rPr>
      </w:pPr>
    </w:p>
    <w:p w:rsidR="00181BAB" w:rsidRPr="00693805" w:rsidRDefault="00181BAB" w:rsidP="000B53EE">
      <w:pPr>
        <w:autoSpaceDE w:val="0"/>
        <w:autoSpaceDN w:val="0"/>
        <w:adjustRightInd w:val="0"/>
        <w:spacing w:after="0"/>
        <w:jc w:val="both"/>
        <w:rPr>
          <w:rStyle w:val="fontstyle01"/>
          <w:rFonts w:ascii="Times New Roman" w:hAnsi="Times New Roman"/>
          <w:sz w:val="24"/>
          <w:szCs w:val="24"/>
        </w:rPr>
      </w:pPr>
    </w:p>
    <w:p w:rsidR="00181BAB" w:rsidRPr="00693805" w:rsidRDefault="00181BAB" w:rsidP="000B53EE">
      <w:pPr>
        <w:autoSpaceDE w:val="0"/>
        <w:autoSpaceDN w:val="0"/>
        <w:adjustRightInd w:val="0"/>
        <w:spacing w:after="0"/>
        <w:jc w:val="both"/>
        <w:rPr>
          <w:rStyle w:val="fontstyle01"/>
          <w:rFonts w:ascii="Times New Roman" w:hAnsi="Times New Roman"/>
          <w:sz w:val="24"/>
          <w:szCs w:val="24"/>
        </w:rPr>
      </w:pPr>
    </w:p>
    <w:p w:rsidR="00181BAB" w:rsidRPr="00693805" w:rsidRDefault="00181BAB" w:rsidP="000B53EE">
      <w:pPr>
        <w:autoSpaceDE w:val="0"/>
        <w:autoSpaceDN w:val="0"/>
        <w:adjustRightInd w:val="0"/>
        <w:spacing w:after="0"/>
        <w:jc w:val="both"/>
        <w:rPr>
          <w:rStyle w:val="fontstyle01"/>
          <w:rFonts w:ascii="Times New Roman" w:hAnsi="Times New Roman"/>
          <w:sz w:val="24"/>
          <w:szCs w:val="24"/>
        </w:rPr>
      </w:pPr>
    </w:p>
    <w:p w:rsidR="00181BAB" w:rsidRPr="00693805" w:rsidRDefault="00181BAB" w:rsidP="000B53EE">
      <w:pPr>
        <w:autoSpaceDE w:val="0"/>
        <w:autoSpaceDN w:val="0"/>
        <w:adjustRightInd w:val="0"/>
        <w:spacing w:after="0"/>
        <w:jc w:val="both"/>
        <w:rPr>
          <w:rStyle w:val="fontstyle01"/>
          <w:rFonts w:ascii="Times New Roman" w:hAnsi="Times New Roman"/>
          <w:sz w:val="24"/>
          <w:szCs w:val="24"/>
        </w:rPr>
      </w:pPr>
    </w:p>
    <w:p w:rsidR="00181BAB" w:rsidRPr="00693805" w:rsidRDefault="00181BAB" w:rsidP="000B53EE">
      <w:pPr>
        <w:autoSpaceDE w:val="0"/>
        <w:autoSpaceDN w:val="0"/>
        <w:adjustRightInd w:val="0"/>
        <w:spacing w:after="0"/>
        <w:jc w:val="both"/>
        <w:rPr>
          <w:rStyle w:val="fontstyle01"/>
          <w:rFonts w:ascii="Times New Roman" w:hAnsi="Times New Roman"/>
          <w:sz w:val="24"/>
          <w:szCs w:val="24"/>
        </w:rPr>
      </w:pPr>
    </w:p>
    <w:p w:rsidR="00181BAB" w:rsidRPr="00693805" w:rsidRDefault="00181BAB" w:rsidP="000B53EE">
      <w:pPr>
        <w:autoSpaceDE w:val="0"/>
        <w:autoSpaceDN w:val="0"/>
        <w:adjustRightInd w:val="0"/>
        <w:spacing w:after="0"/>
        <w:jc w:val="both"/>
        <w:rPr>
          <w:rStyle w:val="fontstyle01"/>
          <w:rFonts w:ascii="Times New Roman" w:hAnsi="Times New Roman"/>
          <w:sz w:val="24"/>
          <w:szCs w:val="24"/>
        </w:rPr>
      </w:pPr>
    </w:p>
    <w:p w:rsidR="00181BAB" w:rsidRPr="00693805" w:rsidRDefault="00181BAB" w:rsidP="000B53EE">
      <w:pPr>
        <w:autoSpaceDE w:val="0"/>
        <w:autoSpaceDN w:val="0"/>
        <w:adjustRightInd w:val="0"/>
        <w:spacing w:after="0"/>
        <w:jc w:val="both"/>
        <w:rPr>
          <w:rStyle w:val="fontstyle01"/>
          <w:rFonts w:ascii="Times New Roman" w:hAnsi="Times New Roman"/>
          <w:sz w:val="24"/>
          <w:szCs w:val="24"/>
        </w:rPr>
      </w:pPr>
    </w:p>
    <w:p w:rsidR="00181BAB" w:rsidRPr="00693805" w:rsidRDefault="00181BAB" w:rsidP="000B53EE">
      <w:pPr>
        <w:autoSpaceDE w:val="0"/>
        <w:autoSpaceDN w:val="0"/>
        <w:adjustRightInd w:val="0"/>
        <w:spacing w:after="0"/>
        <w:jc w:val="both"/>
        <w:rPr>
          <w:rStyle w:val="fontstyle01"/>
          <w:rFonts w:ascii="Times New Roman" w:hAnsi="Times New Roman"/>
          <w:sz w:val="24"/>
          <w:szCs w:val="24"/>
        </w:rPr>
      </w:pPr>
    </w:p>
    <w:p w:rsidR="00181BAB" w:rsidRPr="00693805" w:rsidRDefault="00181BAB" w:rsidP="000B53EE">
      <w:pPr>
        <w:autoSpaceDE w:val="0"/>
        <w:autoSpaceDN w:val="0"/>
        <w:adjustRightInd w:val="0"/>
        <w:spacing w:after="0"/>
        <w:jc w:val="both"/>
        <w:rPr>
          <w:rStyle w:val="fontstyle01"/>
          <w:rFonts w:ascii="Times New Roman" w:hAnsi="Times New Roman"/>
          <w:sz w:val="24"/>
          <w:szCs w:val="24"/>
        </w:rPr>
      </w:pPr>
    </w:p>
    <w:p w:rsidR="00181BAB" w:rsidRPr="00693805" w:rsidRDefault="007055AF" w:rsidP="000B53EE">
      <w:pPr>
        <w:autoSpaceDE w:val="0"/>
        <w:autoSpaceDN w:val="0"/>
        <w:adjustRightInd w:val="0"/>
        <w:spacing w:after="0"/>
        <w:jc w:val="both"/>
        <w:rPr>
          <w:rStyle w:val="fontstyle01"/>
          <w:rFonts w:ascii="Times New Roman" w:hAnsi="Times New Roman"/>
          <w:sz w:val="24"/>
          <w:szCs w:val="24"/>
        </w:rPr>
        <w:sectPr w:rsidR="00181BAB" w:rsidRPr="00693805" w:rsidSect="008734B0">
          <w:pgSz w:w="11906" w:h="16838"/>
          <w:pgMar w:top="993" w:right="1417" w:bottom="1417" w:left="1417" w:header="708" w:footer="708" w:gutter="0"/>
          <w:cols w:space="708"/>
          <w:docGrid w:linePitch="360"/>
        </w:sectPr>
      </w:pPr>
      <w:r>
        <w:rPr>
          <w:noProof/>
        </w:rPr>
        <w:pict w14:anchorId="47DA5CAF">
          <v:shapetype id="_x0000_t202" coordsize="21600,21600" o:spt="202" path="m,l,21600r21600,l21600,xe">
            <v:stroke joinstyle="miter"/>
            <v:path gradientshapeok="t" o:connecttype="rect"/>
          </v:shapetype>
          <v:shape id="Zone de texte 2" o:spid="_x0000_s1060" type="#_x0000_t202" style="position:absolute;left:0;text-align:left;margin-left:229.6pt;margin-top:684.75pt;width:133.85pt;height:21pt;z-index:-251037184;visibility:visible;mso-height-percent:200;mso-wrap-distance-top:3.6pt;mso-wrap-distance-bottom:3.6pt;mso-position-vertical-relative:page;mso-height-percent:200;mso-width-relative:margin;mso-height-relative:margin" wrapcoords="0 0" filled="f" stroked="f">
            <v:textbox style="mso-next-textbox:#Zone de texte 2;mso-fit-shape-to-text:t">
              <w:txbxContent>
                <w:p w:rsidR="003C548E" w:rsidRPr="007C13F3" w:rsidRDefault="003C548E">
                  <w:r>
                    <w:t>REGION DE BIOMBO</w:t>
                  </w:r>
                </w:p>
              </w:txbxContent>
            </v:textbox>
            <w10:wrap type="tight" anchory="page"/>
          </v:shape>
        </w:pict>
      </w:r>
    </w:p>
    <w:p w:rsidR="00181BAB" w:rsidRPr="00693805" w:rsidRDefault="00181BAB" w:rsidP="00FA3FAE">
      <w:pPr>
        <w:pStyle w:val="PargrafodaLista"/>
        <w:numPr>
          <w:ilvl w:val="0"/>
          <w:numId w:val="170"/>
        </w:numPr>
        <w:spacing w:before="360" w:after="0" w:line="240" w:lineRule="auto"/>
        <w:ind w:left="993" w:hanging="425"/>
        <w:contextualSpacing w:val="0"/>
        <w:jc w:val="both"/>
        <w:outlineLvl w:val="0"/>
        <w:rPr>
          <w:b/>
          <w:lang w:val="fr-FR"/>
        </w:rPr>
      </w:pPr>
      <w:bookmarkStart w:id="865" w:name="_Toc20820270"/>
      <w:bookmarkStart w:id="866" w:name="_Toc32511677"/>
      <w:bookmarkStart w:id="867" w:name="_Toc51072658"/>
      <w:r w:rsidRPr="00693805">
        <w:rPr>
          <w:b/>
          <w:lang w:val="fr-FR"/>
        </w:rPr>
        <w:lastRenderedPageBreak/>
        <w:t>APPROCHE GENERALE ET METHODOLOGIE A SUIVRE DANS LE CADRE DE L’EIES</w:t>
      </w:r>
      <w:bookmarkEnd w:id="865"/>
      <w:bookmarkEnd w:id="866"/>
      <w:bookmarkEnd w:id="867"/>
    </w:p>
    <w:p w:rsidR="00181BAB" w:rsidRPr="00693805" w:rsidRDefault="00181BAB" w:rsidP="00FA3FAE">
      <w:pPr>
        <w:pStyle w:val="PargrafodaLista"/>
        <w:numPr>
          <w:ilvl w:val="1"/>
          <w:numId w:val="187"/>
        </w:numPr>
        <w:spacing w:before="360" w:after="0" w:line="240" w:lineRule="auto"/>
        <w:contextualSpacing w:val="0"/>
        <w:jc w:val="both"/>
        <w:rPr>
          <w:b/>
          <w:lang w:val="fr-FR"/>
        </w:rPr>
      </w:pPr>
      <w:r w:rsidRPr="00693805">
        <w:rPr>
          <w:b/>
          <w:lang w:val="fr-FR"/>
        </w:rPr>
        <w:t>Vue d’ensemble de la méthodologie à mettre en œuvre</w:t>
      </w:r>
    </w:p>
    <w:p w:rsidR="00181BAB" w:rsidRPr="00693805" w:rsidRDefault="00181BAB" w:rsidP="000B53EE">
      <w:pPr>
        <w:autoSpaceDE w:val="0"/>
        <w:autoSpaceDN w:val="0"/>
        <w:adjustRightInd w:val="0"/>
        <w:spacing w:after="0"/>
      </w:pPr>
      <w:r w:rsidRPr="00693805">
        <w:t>L’Etude d’Impact Environnemental et social du sous-projet constructions et/ou réhabilitations des forages suivra un processus systématique de :</w:t>
      </w:r>
    </w:p>
    <w:p w:rsidR="00181BAB" w:rsidRPr="00693805" w:rsidRDefault="00181BAB" w:rsidP="00FA3FAE">
      <w:pPr>
        <w:numPr>
          <w:ilvl w:val="0"/>
          <w:numId w:val="188"/>
        </w:numPr>
        <w:autoSpaceDE w:val="0"/>
        <w:autoSpaceDN w:val="0"/>
        <w:adjustRightInd w:val="0"/>
        <w:spacing w:after="0" w:line="240" w:lineRule="auto"/>
      </w:pPr>
      <w:r w:rsidRPr="00693805">
        <w:t>Détermination de l’état initial du milieu physique, na</w:t>
      </w:r>
      <w:r>
        <w:t xml:space="preserve">turel, culturel, social et </w:t>
      </w:r>
      <w:r w:rsidRPr="00693805">
        <w:t>socioéconomique de la zone potentiellement affectée par le sous-projet ;</w:t>
      </w:r>
    </w:p>
    <w:p w:rsidR="00181BAB" w:rsidRPr="00693805" w:rsidRDefault="00181BAB" w:rsidP="00FA3FAE">
      <w:pPr>
        <w:numPr>
          <w:ilvl w:val="0"/>
          <w:numId w:val="188"/>
        </w:numPr>
        <w:autoSpaceDE w:val="0"/>
        <w:autoSpaceDN w:val="0"/>
        <w:adjustRightInd w:val="0"/>
        <w:spacing w:after="0" w:line="240" w:lineRule="auto"/>
      </w:pPr>
      <w:r w:rsidRPr="00693805">
        <w:t>Prédiction et évaluation des changements (impacts), positifs comme négatifs, par rapport à l’état initial, résultant de la construction/réhabilitation, de l’exploitation et de la clôture de chaque forage de sous-projet ; et</w:t>
      </w:r>
    </w:p>
    <w:p w:rsidR="00181BAB" w:rsidRPr="00693805" w:rsidRDefault="00181BAB" w:rsidP="00FA3FAE">
      <w:pPr>
        <w:numPr>
          <w:ilvl w:val="0"/>
          <w:numId w:val="188"/>
        </w:numPr>
        <w:autoSpaceDE w:val="0"/>
        <w:autoSpaceDN w:val="0"/>
        <w:adjustRightInd w:val="0"/>
        <w:spacing w:after="0" w:line="240" w:lineRule="auto"/>
      </w:pPr>
      <w:r w:rsidRPr="00693805">
        <w:t>Détermination des mesures á mettre en œuvre pour prévenir, atténuer ou compenser les dangers, risques et impacts négatifs du sous-projet, et optimiser ses impacts positifs.</w:t>
      </w:r>
    </w:p>
    <w:p w:rsidR="00181BAB" w:rsidRPr="00693805" w:rsidRDefault="00181BAB" w:rsidP="000B53EE">
      <w:pPr>
        <w:autoSpaceDE w:val="0"/>
        <w:autoSpaceDN w:val="0"/>
        <w:adjustRightInd w:val="0"/>
        <w:spacing w:after="0"/>
        <w:jc w:val="both"/>
      </w:pPr>
      <w:r w:rsidRPr="00693805">
        <w:t>L’approche proposée pour mener cette étude est représentée de manière schématique ci-dessous :</w:t>
      </w:r>
    </w:p>
    <w:p w:rsidR="00181BAB" w:rsidRPr="00693805" w:rsidRDefault="00332A41" w:rsidP="000B53EE">
      <w:pPr>
        <w:autoSpaceDE w:val="0"/>
        <w:autoSpaceDN w:val="0"/>
        <w:adjustRightInd w:val="0"/>
        <w:spacing w:after="0"/>
        <w:rPr>
          <w:noProof/>
          <w:lang w:eastAsia="pt-PT"/>
        </w:rPr>
      </w:pPr>
      <w:r>
        <w:rPr>
          <w:noProof/>
          <w:lang w:eastAsia="pt-PT"/>
        </w:rPr>
        <w:pict w14:anchorId="38DC2806">
          <v:shape id="Imagem 1" o:spid="_x0000_i1044" type="#_x0000_t75" style="width:454pt;height:284pt;visibility:visible">
            <v:imagedata r:id="rId178" o:title=""/>
          </v:shape>
        </w:pict>
      </w:r>
    </w:p>
    <w:p w:rsidR="00181BAB" w:rsidRPr="00693805" w:rsidRDefault="00181BAB" w:rsidP="00FA3FAE">
      <w:pPr>
        <w:pStyle w:val="PargrafodaLista"/>
        <w:numPr>
          <w:ilvl w:val="1"/>
          <w:numId w:val="187"/>
        </w:numPr>
        <w:spacing w:before="360" w:after="0" w:line="240" w:lineRule="auto"/>
        <w:contextualSpacing w:val="0"/>
        <w:jc w:val="both"/>
        <w:rPr>
          <w:b/>
          <w:lang w:val="fr-FR"/>
        </w:rPr>
      </w:pPr>
      <w:r w:rsidRPr="00693805">
        <w:rPr>
          <w:b/>
          <w:lang w:val="fr-FR"/>
        </w:rPr>
        <w:t>Définition du périmètre du sous-projet et de sa zone d’influence</w:t>
      </w:r>
    </w:p>
    <w:p w:rsidR="00181BAB" w:rsidRPr="00693805" w:rsidRDefault="00181BAB" w:rsidP="000B53EE">
      <w:pPr>
        <w:autoSpaceDE w:val="0"/>
        <w:autoSpaceDN w:val="0"/>
        <w:adjustRightInd w:val="0"/>
        <w:spacing w:after="0"/>
        <w:jc w:val="both"/>
        <w:rPr>
          <w:rFonts w:eastAsia="Calibri"/>
          <w:lang w:eastAsia="pt-PT"/>
        </w:rPr>
      </w:pPr>
      <w:r w:rsidRPr="00693805">
        <w:rPr>
          <w:rFonts w:eastAsia="Calibri"/>
          <w:lang w:eastAsia="pt-PT"/>
        </w:rPr>
        <w:t xml:space="preserve">Dans l’EIES, le </w:t>
      </w:r>
      <w:r w:rsidRPr="00693805">
        <w:rPr>
          <w:rFonts w:eastAsia="Calibri"/>
          <w:b/>
          <w:bCs/>
          <w:lang w:eastAsia="pt-PT"/>
        </w:rPr>
        <w:t xml:space="preserve">périmètre du Projet </w:t>
      </w:r>
      <w:r w:rsidRPr="00693805">
        <w:rPr>
          <w:rFonts w:eastAsia="Calibri"/>
          <w:lang w:eastAsia="pt-PT"/>
        </w:rPr>
        <w:t>doit être clairement défini. Il s’agit de définir les actions et activités relatives au développement et la mise en œuvre du Projet, devant être couvertes par l’EIES. Dans le périmètre du sous-projet de, on comprend : toutes les composantes du sous-projet (notamment forage, équipements, sécurisation) et également toutes les installations associées et connexes indispensables à la mise en œuvre du sous-projet. Ceci inclut notamment les utilités, entretiens et manutention des infrastructures, qui constituent une conséquence nécessairement attendue du sous-projet.</w:t>
      </w:r>
    </w:p>
    <w:p w:rsidR="00181BAB" w:rsidRPr="00693805" w:rsidRDefault="00181BAB" w:rsidP="000B53EE">
      <w:pPr>
        <w:autoSpaceDE w:val="0"/>
        <w:autoSpaceDN w:val="0"/>
        <w:adjustRightInd w:val="0"/>
        <w:spacing w:after="0"/>
        <w:jc w:val="both"/>
        <w:rPr>
          <w:rFonts w:eastAsia="Calibri"/>
          <w:lang w:eastAsia="pt-PT"/>
        </w:rPr>
      </w:pPr>
      <w:r w:rsidRPr="00693805">
        <w:rPr>
          <w:rFonts w:eastAsia="Calibri"/>
          <w:lang w:eastAsia="pt-PT"/>
        </w:rPr>
        <w:t xml:space="preserve">Les impacts seront également évalués pour toutes les </w:t>
      </w:r>
      <w:r w:rsidRPr="00693805">
        <w:rPr>
          <w:rFonts w:eastAsia="Calibri"/>
          <w:b/>
          <w:bCs/>
          <w:lang w:eastAsia="pt-PT"/>
        </w:rPr>
        <w:t xml:space="preserve">Phases temporelles </w:t>
      </w:r>
      <w:r w:rsidRPr="00693805">
        <w:rPr>
          <w:rFonts w:eastAsia="Calibri"/>
          <w:bCs/>
          <w:lang w:eastAsia="pt-PT"/>
        </w:rPr>
        <w:t>de sous-p</w:t>
      </w:r>
      <w:r w:rsidRPr="00693805">
        <w:rPr>
          <w:rFonts w:eastAsia="Calibri"/>
          <w:lang w:eastAsia="pt-PT"/>
        </w:rPr>
        <w:t>rojet, des travaux préliminaires à la construction, l’exploitation, la fermeture, le démantèlement et la remise en état des sites.</w:t>
      </w:r>
    </w:p>
    <w:p w:rsidR="00181BAB" w:rsidRPr="00693805" w:rsidRDefault="00181BAB" w:rsidP="000B53EE">
      <w:pPr>
        <w:autoSpaceDE w:val="0"/>
        <w:autoSpaceDN w:val="0"/>
        <w:adjustRightInd w:val="0"/>
        <w:spacing w:after="0"/>
        <w:rPr>
          <w:rFonts w:eastAsia="Calibri"/>
          <w:lang w:eastAsia="pt-PT"/>
        </w:rPr>
      </w:pPr>
      <w:r w:rsidRPr="00693805">
        <w:rPr>
          <w:rFonts w:eastAsia="Calibri"/>
          <w:lang w:eastAsia="pt-PT"/>
        </w:rPr>
        <w:t xml:space="preserve">Les impacts seront mesurés dans l’ensemble de la </w:t>
      </w:r>
      <w:r w:rsidRPr="00693805">
        <w:rPr>
          <w:rFonts w:eastAsia="Calibri"/>
          <w:b/>
          <w:bCs/>
          <w:lang w:eastAsia="pt-PT"/>
        </w:rPr>
        <w:t xml:space="preserve">Zone d’Influence </w:t>
      </w:r>
      <w:r w:rsidRPr="00693805">
        <w:rPr>
          <w:rFonts w:eastAsia="Calibri"/>
          <w:lang w:eastAsia="pt-PT"/>
        </w:rPr>
        <w:t>du sous-projet. Celle-ci variera en fonction du type de risque, danger et l’impact étudié, mais dans tous les cas, elle sera définie de sorte à inclure toute la zone géographique dans laquelle des impacts potentiels significatifs pourraient survenir. Les aspects suivants seront ainsi pris en compte :</w:t>
      </w:r>
    </w:p>
    <w:p w:rsidR="00181BAB" w:rsidRPr="00693805" w:rsidRDefault="00181BAB" w:rsidP="00FA3FAE">
      <w:pPr>
        <w:numPr>
          <w:ilvl w:val="0"/>
          <w:numId w:val="189"/>
        </w:numPr>
        <w:autoSpaceDE w:val="0"/>
        <w:autoSpaceDN w:val="0"/>
        <w:adjustRightInd w:val="0"/>
        <w:spacing w:after="0" w:line="240" w:lineRule="auto"/>
        <w:rPr>
          <w:rFonts w:eastAsia="Calibri"/>
          <w:lang w:eastAsia="pt-PT"/>
        </w:rPr>
      </w:pPr>
      <w:r w:rsidRPr="00693805">
        <w:rPr>
          <w:rFonts w:eastAsia="Calibri"/>
          <w:lang w:eastAsia="pt-PT"/>
        </w:rPr>
        <w:t>Etendue physique des travaux proposés, définie par les limites des terrains à acquérir ou occuper de façon temporaire ou permanente pour la construction et l’exploitation du sous-projet ; et</w:t>
      </w:r>
    </w:p>
    <w:p w:rsidR="00181BAB" w:rsidRPr="00693805" w:rsidRDefault="00181BAB" w:rsidP="00FA3FAE">
      <w:pPr>
        <w:numPr>
          <w:ilvl w:val="0"/>
          <w:numId w:val="189"/>
        </w:numPr>
        <w:autoSpaceDE w:val="0"/>
        <w:autoSpaceDN w:val="0"/>
        <w:adjustRightInd w:val="0"/>
        <w:spacing w:after="0" w:line="240" w:lineRule="auto"/>
        <w:rPr>
          <w:rFonts w:eastAsia="Calibri"/>
          <w:lang w:eastAsia="pt-PT"/>
        </w:rPr>
      </w:pPr>
      <w:r w:rsidRPr="00693805">
        <w:rPr>
          <w:rFonts w:eastAsia="Calibri"/>
          <w:lang w:eastAsia="pt-PT"/>
        </w:rPr>
        <w:lastRenderedPageBreak/>
        <w:t>Nature du milieu récepteur, de la source de l’impact et de la manière dont l’impact devrait se propager au-delà des limites du sous-projet.</w:t>
      </w:r>
    </w:p>
    <w:p w:rsidR="00181BAB" w:rsidRPr="00693805" w:rsidRDefault="00181BAB" w:rsidP="00FA3FAE">
      <w:pPr>
        <w:numPr>
          <w:ilvl w:val="0"/>
          <w:numId w:val="202"/>
        </w:numPr>
        <w:autoSpaceDE w:val="0"/>
        <w:autoSpaceDN w:val="0"/>
        <w:adjustRightInd w:val="0"/>
        <w:spacing w:after="0" w:line="240" w:lineRule="auto"/>
        <w:rPr>
          <w:rFonts w:eastAsia="Calibri"/>
          <w:b/>
          <w:bCs/>
          <w:lang w:eastAsia="pt-PT"/>
        </w:rPr>
      </w:pPr>
      <w:r w:rsidRPr="00693805">
        <w:rPr>
          <w:rFonts w:eastAsia="Calibri"/>
          <w:b/>
          <w:bCs/>
          <w:lang w:eastAsia="pt-PT"/>
        </w:rPr>
        <w:t>Types d’Impact</w:t>
      </w:r>
    </w:p>
    <w:p w:rsidR="00181BAB" w:rsidRPr="00693805" w:rsidRDefault="00181BAB" w:rsidP="000B53EE">
      <w:pPr>
        <w:autoSpaceDE w:val="0"/>
        <w:autoSpaceDN w:val="0"/>
        <w:adjustRightInd w:val="0"/>
        <w:spacing w:after="0"/>
        <w:rPr>
          <w:rFonts w:eastAsia="Calibri"/>
          <w:b/>
          <w:bCs/>
          <w:lang w:eastAsia="pt-PT"/>
        </w:rPr>
      </w:pPr>
    </w:p>
    <w:p w:rsidR="00181BAB" w:rsidRPr="00693805" w:rsidRDefault="00181BAB" w:rsidP="000B53EE">
      <w:pPr>
        <w:autoSpaceDE w:val="0"/>
        <w:autoSpaceDN w:val="0"/>
        <w:adjustRightInd w:val="0"/>
        <w:spacing w:after="0"/>
        <w:rPr>
          <w:rFonts w:eastAsia="Calibri"/>
          <w:lang w:eastAsia="pt-PT"/>
        </w:rPr>
      </w:pPr>
      <w:r w:rsidRPr="00693805">
        <w:rPr>
          <w:rFonts w:eastAsia="Calibri"/>
          <w:lang w:eastAsia="pt-PT"/>
        </w:rPr>
        <w:t xml:space="preserve">L’étude considèrera des impacts aussi bien </w:t>
      </w:r>
      <w:r w:rsidRPr="00693805">
        <w:rPr>
          <w:rFonts w:eastAsia="Calibri"/>
          <w:b/>
          <w:bCs/>
          <w:lang w:eastAsia="pt-PT"/>
        </w:rPr>
        <w:t xml:space="preserve">Positifs que Négatifs </w:t>
      </w:r>
      <w:r w:rsidRPr="00693805">
        <w:rPr>
          <w:rFonts w:eastAsia="Calibri"/>
          <w:lang w:eastAsia="pt-PT"/>
        </w:rPr>
        <w:t xml:space="preserve">sur tous les aspects du milieu </w:t>
      </w:r>
      <w:r w:rsidRPr="00693805">
        <w:rPr>
          <w:rFonts w:eastAsia="Calibri"/>
          <w:b/>
          <w:bCs/>
          <w:lang w:eastAsia="pt-PT"/>
        </w:rPr>
        <w:t>physique, naturel, culturel, social et socioéconomique</w:t>
      </w:r>
      <w:r w:rsidRPr="00693805">
        <w:rPr>
          <w:rFonts w:eastAsia="Calibri"/>
          <w:lang w:eastAsia="pt-PT"/>
        </w:rPr>
        <w:t>.</w:t>
      </w:r>
    </w:p>
    <w:p w:rsidR="00181BAB" w:rsidRPr="00693805" w:rsidRDefault="00181BAB" w:rsidP="000B53EE">
      <w:pPr>
        <w:autoSpaceDE w:val="0"/>
        <w:autoSpaceDN w:val="0"/>
        <w:adjustRightInd w:val="0"/>
        <w:spacing w:after="0"/>
        <w:rPr>
          <w:rFonts w:eastAsia="Calibri"/>
          <w:lang w:eastAsia="pt-PT"/>
        </w:rPr>
      </w:pPr>
      <w:r w:rsidRPr="00693805">
        <w:rPr>
          <w:rFonts w:eastAsia="Calibri"/>
          <w:lang w:eastAsia="pt-PT"/>
        </w:rPr>
        <w:t>Les impacts positifs sont ceux estimés par l’équipe d’EIES, prenant en compte les perceptions des parties prenantes externes, comme présentant une amélioration des conditions environnementales et/ou sociales par rapport aux conditions qui prévaudraient en l’absence du Projet. Inversement, les impacts négatifs sont ceux conduisant à une dégradation des conditions environnementales et/ou sociales par rapport à celles qui prévaudraient en l’absence du sous-projet.</w:t>
      </w:r>
    </w:p>
    <w:p w:rsidR="00181BAB" w:rsidRPr="00693805" w:rsidRDefault="00181BAB" w:rsidP="000B53EE">
      <w:pPr>
        <w:autoSpaceDE w:val="0"/>
        <w:autoSpaceDN w:val="0"/>
        <w:adjustRightInd w:val="0"/>
        <w:spacing w:after="0"/>
        <w:rPr>
          <w:rFonts w:eastAsia="Calibri"/>
          <w:lang w:eastAsia="pt-PT"/>
        </w:rPr>
      </w:pPr>
      <w:r w:rsidRPr="00693805">
        <w:rPr>
          <w:rFonts w:eastAsia="Calibri"/>
          <w:lang w:eastAsia="pt-PT"/>
        </w:rPr>
        <w:t>Les aspects environnementaux et sociaux à prendre en compte sont énumérés ci-dessous :</w:t>
      </w:r>
    </w:p>
    <w:p w:rsidR="00181BAB" w:rsidRPr="00693805" w:rsidRDefault="00181BAB" w:rsidP="00FA3FAE">
      <w:pPr>
        <w:numPr>
          <w:ilvl w:val="0"/>
          <w:numId w:val="190"/>
        </w:numPr>
        <w:autoSpaceDE w:val="0"/>
        <w:autoSpaceDN w:val="0"/>
        <w:adjustRightInd w:val="0"/>
        <w:spacing w:after="0" w:line="240" w:lineRule="auto"/>
        <w:rPr>
          <w:rFonts w:eastAsia="Calibri"/>
          <w:lang w:eastAsia="pt-PT"/>
        </w:rPr>
      </w:pPr>
      <w:r w:rsidRPr="00693805">
        <w:rPr>
          <w:rFonts w:eastAsia="Calibri"/>
          <w:lang w:eastAsia="pt-PT"/>
        </w:rPr>
        <w:t>Milieu physique :</w:t>
      </w:r>
    </w:p>
    <w:p w:rsidR="00181BAB" w:rsidRPr="00693805" w:rsidRDefault="00181BAB" w:rsidP="00FA3FAE">
      <w:pPr>
        <w:numPr>
          <w:ilvl w:val="0"/>
          <w:numId w:val="191"/>
        </w:numPr>
        <w:autoSpaceDE w:val="0"/>
        <w:autoSpaceDN w:val="0"/>
        <w:adjustRightInd w:val="0"/>
        <w:spacing w:after="0" w:line="240" w:lineRule="auto"/>
        <w:rPr>
          <w:rFonts w:eastAsia="Calibri"/>
          <w:lang w:eastAsia="pt-PT"/>
        </w:rPr>
      </w:pPr>
      <w:r w:rsidRPr="00693805">
        <w:rPr>
          <w:rFonts w:eastAsia="Calibri"/>
          <w:lang w:eastAsia="pt-PT"/>
        </w:rPr>
        <w:t>Géologie et sols ;</w:t>
      </w:r>
    </w:p>
    <w:p w:rsidR="00181BAB" w:rsidRPr="00693805" w:rsidRDefault="00181BAB" w:rsidP="00FA3FAE">
      <w:pPr>
        <w:numPr>
          <w:ilvl w:val="0"/>
          <w:numId w:val="191"/>
        </w:numPr>
        <w:autoSpaceDE w:val="0"/>
        <w:autoSpaceDN w:val="0"/>
        <w:adjustRightInd w:val="0"/>
        <w:spacing w:after="0" w:line="240" w:lineRule="auto"/>
        <w:rPr>
          <w:rFonts w:eastAsia="Calibri"/>
          <w:lang w:eastAsia="pt-PT"/>
        </w:rPr>
      </w:pPr>
      <w:r w:rsidRPr="00693805">
        <w:rPr>
          <w:rFonts w:eastAsia="Calibri"/>
          <w:lang w:eastAsia="pt-PT"/>
        </w:rPr>
        <w:t>Terrains et topographie ;</w:t>
      </w:r>
    </w:p>
    <w:p w:rsidR="00181BAB" w:rsidRPr="00693805" w:rsidRDefault="00181BAB" w:rsidP="00FA3FAE">
      <w:pPr>
        <w:numPr>
          <w:ilvl w:val="0"/>
          <w:numId w:val="191"/>
        </w:numPr>
        <w:autoSpaceDE w:val="0"/>
        <w:autoSpaceDN w:val="0"/>
        <w:adjustRightInd w:val="0"/>
        <w:spacing w:after="0" w:line="240" w:lineRule="auto"/>
        <w:rPr>
          <w:rFonts w:eastAsia="Calibri"/>
          <w:lang w:eastAsia="pt-PT"/>
        </w:rPr>
      </w:pPr>
      <w:r w:rsidRPr="00693805">
        <w:rPr>
          <w:rFonts w:eastAsia="Calibri"/>
          <w:lang w:eastAsia="pt-PT"/>
        </w:rPr>
        <w:t>Hydrologie et hydrogéologie ;</w:t>
      </w:r>
    </w:p>
    <w:p w:rsidR="00181BAB" w:rsidRPr="00693805" w:rsidRDefault="00181BAB" w:rsidP="00FA3FAE">
      <w:pPr>
        <w:numPr>
          <w:ilvl w:val="0"/>
          <w:numId w:val="191"/>
        </w:numPr>
        <w:autoSpaceDE w:val="0"/>
        <w:autoSpaceDN w:val="0"/>
        <w:adjustRightInd w:val="0"/>
        <w:spacing w:after="0" w:line="240" w:lineRule="auto"/>
        <w:rPr>
          <w:rFonts w:eastAsia="Calibri"/>
          <w:lang w:eastAsia="pt-PT"/>
        </w:rPr>
      </w:pPr>
      <w:r w:rsidRPr="00693805">
        <w:rPr>
          <w:rFonts w:eastAsia="Calibri"/>
          <w:lang w:eastAsia="pt-PT"/>
        </w:rPr>
        <w:t>Microclimat et climat mondial ;</w:t>
      </w:r>
    </w:p>
    <w:p w:rsidR="00181BAB" w:rsidRPr="00693805" w:rsidRDefault="00181BAB" w:rsidP="00FA3FAE">
      <w:pPr>
        <w:numPr>
          <w:ilvl w:val="0"/>
          <w:numId w:val="191"/>
        </w:numPr>
        <w:autoSpaceDE w:val="0"/>
        <w:autoSpaceDN w:val="0"/>
        <w:adjustRightInd w:val="0"/>
        <w:spacing w:after="0" w:line="240" w:lineRule="auto"/>
        <w:rPr>
          <w:rFonts w:eastAsia="Calibri"/>
          <w:lang w:eastAsia="pt-PT"/>
        </w:rPr>
      </w:pPr>
      <w:r w:rsidRPr="00693805">
        <w:rPr>
          <w:rFonts w:eastAsia="Calibri"/>
          <w:lang w:eastAsia="pt-PT"/>
        </w:rPr>
        <w:t>Eaux superficielles (océan et eaux continentales) et eaux souterraines ;</w:t>
      </w:r>
    </w:p>
    <w:p w:rsidR="00181BAB" w:rsidRPr="00693805" w:rsidRDefault="00181BAB" w:rsidP="00FA3FAE">
      <w:pPr>
        <w:numPr>
          <w:ilvl w:val="0"/>
          <w:numId w:val="191"/>
        </w:numPr>
        <w:autoSpaceDE w:val="0"/>
        <w:autoSpaceDN w:val="0"/>
        <w:adjustRightInd w:val="0"/>
        <w:spacing w:after="0" w:line="240" w:lineRule="auto"/>
        <w:rPr>
          <w:rFonts w:eastAsia="Calibri"/>
          <w:lang w:eastAsia="pt-PT"/>
        </w:rPr>
      </w:pPr>
      <w:r w:rsidRPr="00693805">
        <w:rPr>
          <w:rFonts w:eastAsia="Calibri"/>
          <w:lang w:eastAsia="pt-PT"/>
        </w:rPr>
        <w:t>Qualité de l’air ; et</w:t>
      </w:r>
    </w:p>
    <w:p w:rsidR="00181BAB" w:rsidRPr="00693805" w:rsidRDefault="00181BAB" w:rsidP="00FA3FAE">
      <w:pPr>
        <w:numPr>
          <w:ilvl w:val="0"/>
          <w:numId w:val="191"/>
        </w:numPr>
        <w:autoSpaceDE w:val="0"/>
        <w:autoSpaceDN w:val="0"/>
        <w:adjustRightInd w:val="0"/>
        <w:spacing w:after="0" w:line="240" w:lineRule="auto"/>
        <w:rPr>
          <w:rFonts w:eastAsia="Calibri"/>
          <w:lang w:eastAsia="pt-PT"/>
        </w:rPr>
      </w:pPr>
      <w:r w:rsidRPr="00693805">
        <w:rPr>
          <w:rFonts w:eastAsia="Calibri"/>
          <w:lang w:eastAsia="pt-PT"/>
        </w:rPr>
        <w:t>Bruit, vibrations, lumière</w:t>
      </w:r>
    </w:p>
    <w:p w:rsidR="00181BAB" w:rsidRPr="00693805" w:rsidRDefault="00181BAB" w:rsidP="00FA3FAE">
      <w:pPr>
        <w:numPr>
          <w:ilvl w:val="0"/>
          <w:numId w:val="190"/>
        </w:numPr>
        <w:autoSpaceDE w:val="0"/>
        <w:autoSpaceDN w:val="0"/>
        <w:adjustRightInd w:val="0"/>
        <w:spacing w:after="0" w:line="240" w:lineRule="auto"/>
        <w:rPr>
          <w:rFonts w:eastAsia="Calibri"/>
          <w:lang w:eastAsia="pt-PT"/>
        </w:rPr>
      </w:pPr>
      <w:r w:rsidRPr="00693805">
        <w:rPr>
          <w:rFonts w:eastAsia="Calibri"/>
          <w:lang w:eastAsia="pt-PT"/>
        </w:rPr>
        <w:t>Milieu biologique ou naturel :</w:t>
      </w:r>
    </w:p>
    <w:p w:rsidR="00181BAB" w:rsidRPr="00693805" w:rsidRDefault="00181BAB" w:rsidP="00FA3FAE">
      <w:pPr>
        <w:numPr>
          <w:ilvl w:val="0"/>
          <w:numId w:val="192"/>
        </w:numPr>
        <w:autoSpaceDE w:val="0"/>
        <w:autoSpaceDN w:val="0"/>
        <w:adjustRightInd w:val="0"/>
        <w:spacing w:after="0" w:line="240" w:lineRule="auto"/>
        <w:ind w:left="1418"/>
        <w:rPr>
          <w:rFonts w:eastAsia="Calibri"/>
          <w:lang w:eastAsia="pt-PT"/>
        </w:rPr>
      </w:pPr>
      <w:r w:rsidRPr="00693805">
        <w:rPr>
          <w:rFonts w:eastAsia="Calibri"/>
          <w:lang w:eastAsia="pt-PT"/>
        </w:rPr>
        <w:t>Habitats et écosystèmes aquatiques et terrestres ;</w:t>
      </w:r>
    </w:p>
    <w:p w:rsidR="00181BAB" w:rsidRPr="00693805" w:rsidRDefault="00181BAB" w:rsidP="00FA3FAE">
      <w:pPr>
        <w:numPr>
          <w:ilvl w:val="0"/>
          <w:numId w:val="192"/>
        </w:numPr>
        <w:autoSpaceDE w:val="0"/>
        <w:autoSpaceDN w:val="0"/>
        <w:adjustRightInd w:val="0"/>
        <w:spacing w:after="0" w:line="240" w:lineRule="auto"/>
        <w:ind w:left="1418"/>
        <w:rPr>
          <w:rFonts w:eastAsia="Calibri"/>
          <w:lang w:eastAsia="pt-PT"/>
        </w:rPr>
      </w:pPr>
      <w:r w:rsidRPr="00693805">
        <w:rPr>
          <w:rFonts w:eastAsia="Calibri"/>
          <w:lang w:eastAsia="pt-PT"/>
        </w:rPr>
        <w:t>Faune, flore et biodiversité ;</w:t>
      </w:r>
    </w:p>
    <w:p w:rsidR="00181BAB" w:rsidRPr="00693805" w:rsidRDefault="00181BAB" w:rsidP="00FA3FAE">
      <w:pPr>
        <w:numPr>
          <w:ilvl w:val="0"/>
          <w:numId w:val="192"/>
        </w:numPr>
        <w:autoSpaceDE w:val="0"/>
        <w:autoSpaceDN w:val="0"/>
        <w:adjustRightInd w:val="0"/>
        <w:spacing w:after="0" w:line="240" w:lineRule="auto"/>
        <w:ind w:left="1418"/>
        <w:rPr>
          <w:rFonts w:eastAsia="Calibri"/>
          <w:lang w:eastAsia="pt-PT"/>
        </w:rPr>
      </w:pPr>
      <w:r w:rsidRPr="00693805">
        <w:rPr>
          <w:rFonts w:eastAsia="Calibri"/>
          <w:lang w:eastAsia="pt-PT"/>
        </w:rPr>
        <w:t>Aires protégées ; et</w:t>
      </w:r>
    </w:p>
    <w:p w:rsidR="00181BAB" w:rsidRPr="00693805" w:rsidRDefault="00181BAB" w:rsidP="00FA3FAE">
      <w:pPr>
        <w:numPr>
          <w:ilvl w:val="0"/>
          <w:numId w:val="192"/>
        </w:numPr>
        <w:autoSpaceDE w:val="0"/>
        <w:autoSpaceDN w:val="0"/>
        <w:adjustRightInd w:val="0"/>
        <w:spacing w:after="0" w:line="240" w:lineRule="auto"/>
        <w:ind w:left="1418"/>
        <w:rPr>
          <w:rFonts w:eastAsia="Calibri"/>
          <w:lang w:eastAsia="pt-PT"/>
        </w:rPr>
      </w:pPr>
      <w:r w:rsidRPr="00693805">
        <w:rPr>
          <w:rFonts w:eastAsia="Calibri"/>
          <w:lang w:eastAsia="pt-PT"/>
        </w:rPr>
        <w:t>Services rendus par les écosystèmes.</w:t>
      </w:r>
    </w:p>
    <w:p w:rsidR="00181BAB" w:rsidRPr="00693805" w:rsidRDefault="00181BAB" w:rsidP="00FA3FAE">
      <w:pPr>
        <w:numPr>
          <w:ilvl w:val="0"/>
          <w:numId w:val="190"/>
        </w:numPr>
        <w:autoSpaceDE w:val="0"/>
        <w:autoSpaceDN w:val="0"/>
        <w:adjustRightInd w:val="0"/>
        <w:spacing w:after="0" w:line="240" w:lineRule="auto"/>
        <w:rPr>
          <w:rFonts w:eastAsia="Calibri"/>
          <w:lang w:eastAsia="pt-PT"/>
        </w:rPr>
      </w:pPr>
      <w:r w:rsidRPr="00693805">
        <w:rPr>
          <w:rFonts w:eastAsia="Calibri"/>
          <w:lang w:eastAsia="pt-PT"/>
        </w:rPr>
        <w:t>Milieu culturel :</w:t>
      </w:r>
    </w:p>
    <w:p w:rsidR="00181BAB" w:rsidRPr="00693805" w:rsidRDefault="00181BAB" w:rsidP="00FA3FAE">
      <w:pPr>
        <w:numPr>
          <w:ilvl w:val="0"/>
          <w:numId w:val="193"/>
        </w:numPr>
        <w:autoSpaceDE w:val="0"/>
        <w:autoSpaceDN w:val="0"/>
        <w:adjustRightInd w:val="0"/>
        <w:spacing w:after="0" w:line="240" w:lineRule="auto"/>
        <w:rPr>
          <w:rFonts w:eastAsia="SymbolMT"/>
          <w:lang w:eastAsia="pt-PT"/>
        </w:rPr>
      </w:pPr>
      <w:r w:rsidRPr="00693805">
        <w:rPr>
          <w:rFonts w:eastAsia="SymbolMT"/>
          <w:lang w:eastAsia="pt-PT"/>
        </w:rPr>
        <w:t>Patrimoine culturel matériel et immatériel, et sites d’intérêt archéologique, historique, traditionnel, culturel et esthétique ;</w:t>
      </w:r>
    </w:p>
    <w:p w:rsidR="00181BAB" w:rsidRPr="00693805" w:rsidRDefault="00181BAB" w:rsidP="00FA3FAE">
      <w:pPr>
        <w:numPr>
          <w:ilvl w:val="0"/>
          <w:numId w:val="193"/>
        </w:numPr>
        <w:autoSpaceDE w:val="0"/>
        <w:autoSpaceDN w:val="0"/>
        <w:adjustRightInd w:val="0"/>
        <w:spacing w:after="0" w:line="240" w:lineRule="auto"/>
        <w:rPr>
          <w:rFonts w:eastAsia="SymbolMT"/>
          <w:lang w:eastAsia="pt-PT"/>
        </w:rPr>
      </w:pPr>
      <w:r w:rsidRPr="00693805">
        <w:rPr>
          <w:rFonts w:eastAsia="SymbolMT"/>
          <w:lang w:eastAsia="pt-PT"/>
        </w:rPr>
        <w:t>Traditions, pratiques et fêtes culturelles ; et</w:t>
      </w:r>
    </w:p>
    <w:p w:rsidR="00181BAB" w:rsidRPr="00693805" w:rsidRDefault="00181BAB" w:rsidP="00FA3FAE">
      <w:pPr>
        <w:numPr>
          <w:ilvl w:val="0"/>
          <w:numId w:val="193"/>
        </w:numPr>
        <w:autoSpaceDE w:val="0"/>
        <w:autoSpaceDN w:val="0"/>
        <w:adjustRightInd w:val="0"/>
        <w:spacing w:after="0" w:line="240" w:lineRule="auto"/>
        <w:rPr>
          <w:rFonts w:eastAsia="Calibri"/>
          <w:lang w:eastAsia="pt-PT"/>
        </w:rPr>
      </w:pPr>
      <w:r w:rsidRPr="00693805">
        <w:rPr>
          <w:rFonts w:eastAsia="SymbolMT"/>
          <w:lang w:eastAsia="pt-PT"/>
        </w:rPr>
        <w:t>Paysage et sites remarquables sur le plan esthétique.</w:t>
      </w:r>
    </w:p>
    <w:p w:rsidR="00181BAB" w:rsidRPr="00693805" w:rsidRDefault="00181BAB" w:rsidP="00FA3FAE">
      <w:pPr>
        <w:numPr>
          <w:ilvl w:val="0"/>
          <w:numId w:val="190"/>
        </w:numPr>
        <w:autoSpaceDE w:val="0"/>
        <w:autoSpaceDN w:val="0"/>
        <w:adjustRightInd w:val="0"/>
        <w:spacing w:after="0" w:line="240" w:lineRule="auto"/>
        <w:rPr>
          <w:rFonts w:eastAsia="Calibri"/>
          <w:lang w:eastAsia="pt-PT"/>
        </w:rPr>
      </w:pPr>
      <w:r w:rsidRPr="00693805">
        <w:rPr>
          <w:rFonts w:eastAsia="Calibri"/>
          <w:lang w:eastAsia="pt-PT"/>
        </w:rPr>
        <w:t>Milieu social et socio-économique</w:t>
      </w:r>
    </w:p>
    <w:p w:rsidR="00181BAB" w:rsidRPr="00693805" w:rsidRDefault="00181BAB" w:rsidP="00FA3FAE">
      <w:pPr>
        <w:numPr>
          <w:ilvl w:val="1"/>
          <w:numId w:val="194"/>
        </w:numPr>
        <w:autoSpaceDE w:val="0"/>
        <w:autoSpaceDN w:val="0"/>
        <w:adjustRightInd w:val="0"/>
        <w:spacing w:after="0" w:line="240" w:lineRule="auto"/>
        <w:rPr>
          <w:rFonts w:eastAsia="Calibri"/>
          <w:lang w:eastAsia="pt-PT"/>
        </w:rPr>
      </w:pPr>
      <w:r w:rsidRPr="00693805">
        <w:rPr>
          <w:rFonts w:eastAsia="Calibri"/>
          <w:lang w:eastAsia="pt-PT"/>
        </w:rPr>
        <w:t>Populations et leurs habitations, terrains, autres ressources et biens ;</w:t>
      </w:r>
    </w:p>
    <w:p w:rsidR="00181BAB" w:rsidRPr="00693805" w:rsidRDefault="00181BAB" w:rsidP="00FA3FAE">
      <w:pPr>
        <w:numPr>
          <w:ilvl w:val="1"/>
          <w:numId w:val="194"/>
        </w:numPr>
        <w:autoSpaceDE w:val="0"/>
        <w:autoSpaceDN w:val="0"/>
        <w:adjustRightInd w:val="0"/>
        <w:spacing w:after="0" w:line="240" w:lineRule="auto"/>
        <w:rPr>
          <w:rFonts w:eastAsia="Calibri"/>
          <w:lang w:eastAsia="pt-PT"/>
        </w:rPr>
      </w:pPr>
      <w:r w:rsidRPr="00693805">
        <w:rPr>
          <w:rFonts w:eastAsia="Calibri"/>
          <w:lang w:eastAsia="pt-PT"/>
        </w:rPr>
        <w:t>Caractéristiques et structures des communautés ;</w:t>
      </w:r>
    </w:p>
    <w:p w:rsidR="00181BAB" w:rsidRPr="00693805" w:rsidRDefault="00181BAB" w:rsidP="00FA3FAE">
      <w:pPr>
        <w:numPr>
          <w:ilvl w:val="1"/>
          <w:numId w:val="194"/>
        </w:numPr>
        <w:autoSpaceDE w:val="0"/>
        <w:autoSpaceDN w:val="0"/>
        <w:adjustRightInd w:val="0"/>
        <w:spacing w:after="0" w:line="240" w:lineRule="auto"/>
        <w:rPr>
          <w:rFonts w:eastAsia="Calibri"/>
          <w:lang w:eastAsia="pt-PT"/>
        </w:rPr>
      </w:pPr>
      <w:r w:rsidRPr="00693805">
        <w:rPr>
          <w:rFonts w:eastAsia="Calibri"/>
          <w:lang w:eastAsia="pt-PT"/>
        </w:rPr>
        <w:t>Population et démographie ;</w:t>
      </w:r>
    </w:p>
    <w:p w:rsidR="00181BAB" w:rsidRPr="00693805" w:rsidRDefault="00181BAB" w:rsidP="00FA3FAE">
      <w:pPr>
        <w:numPr>
          <w:ilvl w:val="1"/>
          <w:numId w:val="194"/>
        </w:numPr>
        <w:autoSpaceDE w:val="0"/>
        <w:autoSpaceDN w:val="0"/>
        <w:adjustRightInd w:val="0"/>
        <w:spacing w:after="0" w:line="240" w:lineRule="auto"/>
        <w:rPr>
          <w:rFonts w:eastAsia="Calibri"/>
          <w:lang w:eastAsia="pt-PT"/>
        </w:rPr>
      </w:pPr>
      <w:r w:rsidRPr="00693805">
        <w:rPr>
          <w:rFonts w:eastAsia="Calibri"/>
          <w:lang w:eastAsia="pt-PT"/>
        </w:rPr>
        <w:t>Santé, bien-être, sécurité et sûreté ;</w:t>
      </w:r>
    </w:p>
    <w:p w:rsidR="00181BAB" w:rsidRPr="00693805" w:rsidRDefault="00181BAB" w:rsidP="00FA3FAE">
      <w:pPr>
        <w:numPr>
          <w:ilvl w:val="1"/>
          <w:numId w:val="194"/>
        </w:numPr>
        <w:autoSpaceDE w:val="0"/>
        <w:autoSpaceDN w:val="0"/>
        <w:adjustRightInd w:val="0"/>
        <w:spacing w:after="0" w:line="240" w:lineRule="auto"/>
        <w:rPr>
          <w:rFonts w:eastAsia="Calibri"/>
          <w:lang w:eastAsia="pt-PT"/>
        </w:rPr>
      </w:pPr>
      <w:r w:rsidRPr="00693805">
        <w:rPr>
          <w:rFonts w:eastAsia="Calibri"/>
          <w:lang w:eastAsia="pt-PT"/>
        </w:rPr>
        <w:t>Modes de vie incluant les moyens de subsistance, emploi et revenus ;</w:t>
      </w:r>
    </w:p>
    <w:p w:rsidR="00181BAB" w:rsidRPr="00693805" w:rsidRDefault="00181BAB" w:rsidP="00FA3FAE">
      <w:pPr>
        <w:numPr>
          <w:ilvl w:val="1"/>
          <w:numId w:val="194"/>
        </w:numPr>
        <w:autoSpaceDE w:val="0"/>
        <w:autoSpaceDN w:val="0"/>
        <w:adjustRightInd w:val="0"/>
        <w:spacing w:after="0" w:line="240" w:lineRule="auto"/>
        <w:rPr>
          <w:rFonts w:eastAsia="Calibri"/>
          <w:lang w:eastAsia="pt-PT"/>
        </w:rPr>
      </w:pPr>
      <w:r w:rsidRPr="00693805">
        <w:rPr>
          <w:rFonts w:eastAsia="Calibri"/>
          <w:lang w:eastAsia="pt-PT"/>
        </w:rPr>
        <w:t>Activités économiques dont l’industrie et le commerce, le tourisme, la pêche, l’agriculture et l’exploitation forestière ;</w:t>
      </w:r>
    </w:p>
    <w:p w:rsidR="00181BAB" w:rsidRPr="00693805" w:rsidRDefault="00181BAB" w:rsidP="00FA3FAE">
      <w:pPr>
        <w:numPr>
          <w:ilvl w:val="1"/>
          <w:numId w:val="194"/>
        </w:numPr>
        <w:autoSpaceDE w:val="0"/>
        <w:autoSpaceDN w:val="0"/>
        <w:adjustRightInd w:val="0"/>
        <w:spacing w:after="0" w:line="240" w:lineRule="auto"/>
        <w:rPr>
          <w:rFonts w:eastAsia="Calibri"/>
          <w:lang w:eastAsia="pt-PT"/>
        </w:rPr>
      </w:pPr>
      <w:r w:rsidRPr="00693805">
        <w:rPr>
          <w:rFonts w:eastAsia="Calibri"/>
          <w:lang w:eastAsia="pt-PT"/>
        </w:rPr>
        <w:t>Installations communautaires telles que les écoles,</w:t>
      </w:r>
      <w:r>
        <w:rPr>
          <w:rFonts w:eastAsia="Calibri"/>
          <w:lang w:eastAsia="pt-PT"/>
        </w:rPr>
        <w:t xml:space="preserve"> hôpitaux et centres de loisirs </w:t>
      </w:r>
      <w:r w:rsidRPr="00693805">
        <w:rPr>
          <w:rFonts w:eastAsia="Calibri"/>
          <w:lang w:eastAsia="pt-PT"/>
        </w:rPr>
        <w:t>;</w:t>
      </w:r>
    </w:p>
    <w:p w:rsidR="00181BAB" w:rsidRPr="00693805" w:rsidRDefault="00181BAB" w:rsidP="00FA3FAE">
      <w:pPr>
        <w:numPr>
          <w:ilvl w:val="1"/>
          <w:numId w:val="194"/>
        </w:numPr>
        <w:autoSpaceDE w:val="0"/>
        <w:autoSpaceDN w:val="0"/>
        <w:adjustRightInd w:val="0"/>
        <w:spacing w:after="0" w:line="240" w:lineRule="auto"/>
        <w:rPr>
          <w:rFonts w:eastAsia="Calibri"/>
          <w:lang w:eastAsia="pt-PT"/>
        </w:rPr>
      </w:pPr>
      <w:r w:rsidRPr="00693805">
        <w:rPr>
          <w:rFonts w:eastAsia="Calibri"/>
          <w:lang w:eastAsia="pt-PT"/>
        </w:rPr>
        <w:t>Utilités et infrastructures (électricité, eau, assainissement, gestion des déchets, transport) ;</w:t>
      </w:r>
    </w:p>
    <w:p w:rsidR="00181BAB" w:rsidRPr="00693805" w:rsidRDefault="00181BAB" w:rsidP="00FA3FAE">
      <w:pPr>
        <w:numPr>
          <w:ilvl w:val="1"/>
          <w:numId w:val="194"/>
        </w:numPr>
        <w:autoSpaceDE w:val="0"/>
        <w:autoSpaceDN w:val="0"/>
        <w:adjustRightInd w:val="0"/>
        <w:spacing w:after="0" w:line="240" w:lineRule="auto"/>
        <w:rPr>
          <w:rFonts w:eastAsia="Calibri"/>
          <w:lang w:eastAsia="pt-PT"/>
        </w:rPr>
      </w:pPr>
      <w:r w:rsidRPr="00693805">
        <w:rPr>
          <w:rFonts w:eastAsia="Calibri"/>
          <w:lang w:eastAsia="pt-PT"/>
        </w:rPr>
        <w:t>Services sociaux tels que les soins médicaux, l’éducation et l’accès aux biens ; et</w:t>
      </w:r>
    </w:p>
    <w:p w:rsidR="00181BAB" w:rsidRPr="00693805" w:rsidRDefault="00181BAB" w:rsidP="00FA3FAE">
      <w:pPr>
        <w:numPr>
          <w:ilvl w:val="1"/>
          <w:numId w:val="194"/>
        </w:numPr>
        <w:autoSpaceDE w:val="0"/>
        <w:autoSpaceDN w:val="0"/>
        <w:adjustRightInd w:val="0"/>
        <w:spacing w:after="0" w:line="240" w:lineRule="auto"/>
        <w:rPr>
          <w:rFonts w:eastAsia="Calibri"/>
          <w:lang w:eastAsia="pt-PT"/>
        </w:rPr>
      </w:pPr>
      <w:r w:rsidRPr="00693805">
        <w:rPr>
          <w:rFonts w:eastAsia="Calibri"/>
          <w:lang w:eastAsia="pt-PT"/>
        </w:rPr>
        <w:t>Economies locale, régionale et nationale.</w:t>
      </w:r>
    </w:p>
    <w:p w:rsidR="00181BAB" w:rsidRPr="00693805" w:rsidRDefault="00181BAB" w:rsidP="000B53EE">
      <w:pPr>
        <w:autoSpaceDE w:val="0"/>
        <w:autoSpaceDN w:val="0"/>
        <w:adjustRightInd w:val="0"/>
        <w:spacing w:after="0"/>
        <w:rPr>
          <w:rFonts w:eastAsia="Calibri"/>
          <w:lang w:eastAsia="pt-PT"/>
        </w:rPr>
      </w:pPr>
    </w:p>
    <w:p w:rsidR="00181BAB" w:rsidRPr="00693805" w:rsidRDefault="00181BAB" w:rsidP="00FA3FAE">
      <w:pPr>
        <w:numPr>
          <w:ilvl w:val="0"/>
          <w:numId w:val="203"/>
        </w:numPr>
        <w:autoSpaceDE w:val="0"/>
        <w:autoSpaceDN w:val="0"/>
        <w:adjustRightInd w:val="0"/>
        <w:spacing w:after="0" w:line="240" w:lineRule="auto"/>
        <w:rPr>
          <w:rFonts w:eastAsia="Calibri"/>
          <w:b/>
          <w:bCs/>
          <w:lang w:eastAsia="pt-PT"/>
        </w:rPr>
      </w:pPr>
      <w:r w:rsidRPr="00693805">
        <w:rPr>
          <w:rFonts w:eastAsia="Calibri"/>
          <w:b/>
          <w:bCs/>
          <w:lang w:eastAsia="pt-PT"/>
        </w:rPr>
        <w:t>Etendue temporelle</w:t>
      </w:r>
    </w:p>
    <w:p w:rsidR="00181BAB" w:rsidRPr="00693805" w:rsidRDefault="00181BAB" w:rsidP="000B53EE">
      <w:pPr>
        <w:autoSpaceDE w:val="0"/>
        <w:autoSpaceDN w:val="0"/>
        <w:adjustRightInd w:val="0"/>
        <w:spacing w:after="0"/>
        <w:rPr>
          <w:rFonts w:eastAsia="Calibri"/>
          <w:lang w:eastAsia="pt-PT"/>
        </w:rPr>
      </w:pPr>
      <w:r w:rsidRPr="00693805">
        <w:rPr>
          <w:rFonts w:eastAsia="Calibri"/>
          <w:lang w:eastAsia="pt-PT"/>
        </w:rPr>
        <w:t>L’étude portera sur des impacts avec des caractéristiques temporelles différentes :</w:t>
      </w:r>
    </w:p>
    <w:p w:rsidR="00181BAB" w:rsidRDefault="00181BAB" w:rsidP="00FA3FAE">
      <w:pPr>
        <w:numPr>
          <w:ilvl w:val="0"/>
          <w:numId w:val="189"/>
        </w:numPr>
        <w:autoSpaceDE w:val="0"/>
        <w:autoSpaceDN w:val="0"/>
        <w:adjustRightInd w:val="0"/>
        <w:spacing w:after="0" w:line="240" w:lineRule="auto"/>
        <w:rPr>
          <w:rFonts w:eastAsia="Calibri"/>
          <w:lang w:eastAsia="pt-PT"/>
        </w:rPr>
      </w:pPr>
      <w:r w:rsidRPr="00693805">
        <w:rPr>
          <w:rFonts w:eastAsia="Calibri"/>
          <w:b/>
          <w:bCs/>
          <w:lang w:eastAsia="pt-PT"/>
        </w:rPr>
        <w:t xml:space="preserve">Impacts permanents </w:t>
      </w:r>
      <w:r w:rsidRPr="00693805">
        <w:rPr>
          <w:rFonts w:eastAsia="Calibri"/>
          <w:lang w:eastAsia="pt-PT"/>
        </w:rPr>
        <w:t>qui surviendront suite à des changements irréversibles tels que la disparition définitive de ressources physiques dans la zone impactée liée aux activités de construction ou d’exploitation minière ;</w:t>
      </w:r>
    </w:p>
    <w:p w:rsidR="00181BAB" w:rsidRDefault="00181BAB" w:rsidP="00FA3FAE">
      <w:pPr>
        <w:numPr>
          <w:ilvl w:val="0"/>
          <w:numId w:val="189"/>
        </w:numPr>
        <w:autoSpaceDE w:val="0"/>
        <w:autoSpaceDN w:val="0"/>
        <w:adjustRightInd w:val="0"/>
        <w:spacing w:after="0" w:line="240" w:lineRule="auto"/>
        <w:rPr>
          <w:rFonts w:eastAsia="Calibri"/>
          <w:lang w:eastAsia="pt-PT"/>
        </w:rPr>
      </w:pPr>
      <w:r w:rsidRPr="00693805">
        <w:rPr>
          <w:rFonts w:eastAsia="Calibri"/>
          <w:b/>
          <w:bCs/>
          <w:lang w:eastAsia="pt-PT"/>
        </w:rPr>
        <w:t xml:space="preserve">Impacts temporaires </w:t>
      </w:r>
      <w:r w:rsidRPr="00693805">
        <w:rPr>
          <w:rFonts w:eastAsia="Calibri"/>
          <w:lang w:eastAsia="pt-PT"/>
        </w:rPr>
        <w:t>qui surviendront lors d’activités à court terme, notamment en cours de construction et de démantèlement ; et</w:t>
      </w:r>
    </w:p>
    <w:p w:rsidR="00181BAB" w:rsidRPr="00693805" w:rsidRDefault="00181BAB" w:rsidP="00FA3FAE">
      <w:pPr>
        <w:numPr>
          <w:ilvl w:val="0"/>
          <w:numId w:val="189"/>
        </w:numPr>
        <w:autoSpaceDE w:val="0"/>
        <w:autoSpaceDN w:val="0"/>
        <w:adjustRightInd w:val="0"/>
        <w:spacing w:after="0" w:line="240" w:lineRule="auto"/>
        <w:rPr>
          <w:rFonts w:eastAsia="Calibri"/>
          <w:lang w:eastAsia="pt-PT"/>
        </w:rPr>
      </w:pPr>
      <w:r w:rsidRPr="00693805">
        <w:rPr>
          <w:rFonts w:eastAsia="Calibri"/>
          <w:b/>
          <w:bCs/>
          <w:lang w:eastAsia="pt-PT"/>
        </w:rPr>
        <w:t xml:space="preserve">Impacts à long terme </w:t>
      </w:r>
      <w:r w:rsidRPr="00693805">
        <w:rPr>
          <w:rFonts w:eastAsia="Calibri"/>
          <w:lang w:eastAsia="pt-PT"/>
        </w:rPr>
        <w:t>qui surviendront dans le cadre de l’exploitation du Projet ou pendant la régénération du milieu après sa fermeture.</w:t>
      </w:r>
    </w:p>
    <w:p w:rsidR="00181BAB" w:rsidRPr="00693805" w:rsidRDefault="00181BAB" w:rsidP="000B53EE">
      <w:pPr>
        <w:autoSpaceDE w:val="0"/>
        <w:autoSpaceDN w:val="0"/>
        <w:adjustRightInd w:val="0"/>
        <w:spacing w:after="0"/>
        <w:jc w:val="both"/>
        <w:rPr>
          <w:rFonts w:eastAsia="Calibri"/>
          <w:lang w:eastAsia="pt-PT"/>
        </w:rPr>
      </w:pPr>
      <w:r w:rsidRPr="00693805">
        <w:rPr>
          <w:rFonts w:eastAsia="Calibri"/>
          <w:lang w:eastAsia="pt-PT"/>
        </w:rPr>
        <w:lastRenderedPageBreak/>
        <w:t>Les impacts temporaires sont ceux dont la source et les effets cesseront dès la fin des activités concernées, bien qu’un certain laps de temps puisse s’écouler avant le retour du milieu à son état d’origine. Les impacts à long terme dureront pendant toute la vie sous-projet et la remise en état de la zone. Ils pourront être d’intensité variable au cours de cette période, mais ils disparaîtront dans tous les cas à la fin du sous-projet, moyennant dans certains cas un certain laps de temps pour un retour à la normale du milieu.</w:t>
      </w:r>
    </w:p>
    <w:p w:rsidR="00181BAB" w:rsidRPr="00693805" w:rsidRDefault="00181BAB" w:rsidP="000B53EE">
      <w:pPr>
        <w:autoSpaceDE w:val="0"/>
        <w:autoSpaceDN w:val="0"/>
        <w:adjustRightInd w:val="0"/>
        <w:spacing w:after="0"/>
        <w:rPr>
          <w:rFonts w:eastAsia="Calibri"/>
          <w:lang w:eastAsia="pt-PT"/>
        </w:rPr>
      </w:pPr>
      <w:r w:rsidRPr="00693805">
        <w:rPr>
          <w:rFonts w:eastAsia="Calibri"/>
          <w:lang w:eastAsia="pt-PT"/>
        </w:rPr>
        <w:t>D’autres caractéristiques temporelles des impacts seront également prises en compte (continus ou intermittents, isolés ou récurrents dans le temps) ainsi que le moment ou fréquence auxquels ils se produiront (par exemple, la saisonnalité de certains aspects ou sensibilités).</w:t>
      </w:r>
    </w:p>
    <w:p w:rsidR="00181BAB" w:rsidRPr="00693805" w:rsidRDefault="00181BAB" w:rsidP="00FA3FAE">
      <w:pPr>
        <w:numPr>
          <w:ilvl w:val="0"/>
          <w:numId w:val="203"/>
        </w:numPr>
        <w:autoSpaceDE w:val="0"/>
        <w:autoSpaceDN w:val="0"/>
        <w:adjustRightInd w:val="0"/>
        <w:spacing w:after="0" w:line="240" w:lineRule="auto"/>
        <w:rPr>
          <w:rFonts w:eastAsia="Calibri"/>
          <w:b/>
          <w:bCs/>
          <w:lang w:eastAsia="pt-PT"/>
        </w:rPr>
      </w:pPr>
      <w:r w:rsidRPr="00693805">
        <w:rPr>
          <w:rFonts w:eastAsia="Calibri"/>
          <w:b/>
          <w:bCs/>
          <w:lang w:eastAsia="pt-PT"/>
        </w:rPr>
        <w:t>Impacts habituels et impacts exceptionnels</w:t>
      </w:r>
    </w:p>
    <w:p w:rsidR="00181BAB" w:rsidRPr="00693805" w:rsidRDefault="00181BAB" w:rsidP="000B53EE">
      <w:pPr>
        <w:autoSpaceDE w:val="0"/>
        <w:autoSpaceDN w:val="0"/>
        <w:adjustRightInd w:val="0"/>
        <w:spacing w:after="0"/>
        <w:rPr>
          <w:rFonts w:eastAsia="Calibri"/>
          <w:lang w:eastAsia="pt-PT"/>
        </w:rPr>
      </w:pPr>
      <w:r w:rsidRPr="00693805">
        <w:rPr>
          <w:rFonts w:eastAsia="Calibri"/>
          <w:lang w:eastAsia="pt-PT"/>
        </w:rPr>
        <w:t>Avec le développement du Projet, des impacts peuvent être causés soit par des phénomènes normalement anticipés dans le cadre du projet, soit imprévus. Ces deux types d’impacts seront évalués :</w:t>
      </w:r>
    </w:p>
    <w:p w:rsidR="00181BAB" w:rsidRPr="00693805" w:rsidRDefault="00181BAB" w:rsidP="00FA3FAE">
      <w:pPr>
        <w:numPr>
          <w:ilvl w:val="0"/>
          <w:numId w:val="189"/>
        </w:numPr>
        <w:autoSpaceDE w:val="0"/>
        <w:autoSpaceDN w:val="0"/>
        <w:adjustRightInd w:val="0"/>
        <w:spacing w:after="0" w:line="240" w:lineRule="auto"/>
        <w:rPr>
          <w:rFonts w:eastAsia="Calibri"/>
          <w:lang w:eastAsia="pt-PT"/>
        </w:rPr>
      </w:pPr>
      <w:r w:rsidRPr="00693805">
        <w:rPr>
          <w:rFonts w:eastAsia="Calibri"/>
          <w:b/>
          <w:bCs/>
          <w:lang w:eastAsia="pt-PT"/>
        </w:rPr>
        <w:t xml:space="preserve">Impacts habituels </w:t>
      </w:r>
      <w:r w:rsidRPr="00693805">
        <w:rPr>
          <w:rFonts w:eastAsia="Calibri"/>
          <w:lang w:eastAsia="pt-PT"/>
        </w:rPr>
        <w:t>issus d’activités normalement anticipées dans le cadre du Projet ; et</w:t>
      </w:r>
    </w:p>
    <w:p w:rsidR="00181BAB" w:rsidRPr="00693805" w:rsidRDefault="00181BAB" w:rsidP="00FA3FAE">
      <w:pPr>
        <w:numPr>
          <w:ilvl w:val="0"/>
          <w:numId w:val="189"/>
        </w:numPr>
        <w:autoSpaceDE w:val="0"/>
        <w:autoSpaceDN w:val="0"/>
        <w:adjustRightInd w:val="0"/>
        <w:spacing w:after="0" w:line="240" w:lineRule="auto"/>
        <w:rPr>
          <w:rFonts w:eastAsia="Calibri"/>
          <w:lang w:eastAsia="pt-PT"/>
        </w:rPr>
      </w:pPr>
      <w:r w:rsidRPr="00693805">
        <w:rPr>
          <w:rFonts w:eastAsia="Calibri"/>
          <w:b/>
          <w:bCs/>
          <w:lang w:eastAsia="pt-PT"/>
        </w:rPr>
        <w:t xml:space="preserve">Impacts exceptionnels </w:t>
      </w:r>
      <w:r w:rsidRPr="00693805">
        <w:rPr>
          <w:rFonts w:eastAsia="Calibri"/>
          <w:lang w:eastAsia="pt-PT"/>
        </w:rPr>
        <w:t>issus de :</w:t>
      </w:r>
    </w:p>
    <w:p w:rsidR="00181BAB" w:rsidRPr="00693805" w:rsidRDefault="00181BAB" w:rsidP="00FA3FAE">
      <w:pPr>
        <w:numPr>
          <w:ilvl w:val="1"/>
          <w:numId w:val="189"/>
        </w:numPr>
        <w:autoSpaceDE w:val="0"/>
        <w:autoSpaceDN w:val="0"/>
        <w:adjustRightInd w:val="0"/>
        <w:spacing w:after="0" w:line="240" w:lineRule="auto"/>
        <w:rPr>
          <w:rFonts w:eastAsia="Calibri"/>
          <w:lang w:eastAsia="pt-PT"/>
        </w:rPr>
      </w:pPr>
      <w:r w:rsidRPr="00693805">
        <w:rPr>
          <w:rFonts w:eastAsia="Calibri"/>
          <w:lang w:eastAsia="pt-PT"/>
        </w:rPr>
        <w:t>Phénomènes imprévus ou accidentels dans le cadre du Projet tels qu’un déversement accidentel de substances dangereuses ;</w:t>
      </w:r>
    </w:p>
    <w:p w:rsidR="00181BAB" w:rsidRPr="00693805" w:rsidRDefault="00181BAB" w:rsidP="00FA3FAE">
      <w:pPr>
        <w:numPr>
          <w:ilvl w:val="1"/>
          <w:numId w:val="188"/>
        </w:numPr>
        <w:autoSpaceDE w:val="0"/>
        <w:autoSpaceDN w:val="0"/>
        <w:adjustRightInd w:val="0"/>
        <w:spacing w:after="0" w:line="240" w:lineRule="auto"/>
        <w:rPr>
          <w:rFonts w:eastAsia="Calibri"/>
          <w:lang w:eastAsia="pt-PT"/>
        </w:rPr>
      </w:pPr>
      <w:r w:rsidRPr="00693805">
        <w:rPr>
          <w:rFonts w:eastAsia="Calibri"/>
          <w:lang w:eastAsia="pt-PT"/>
        </w:rPr>
        <w:t>Risques naturels, comme par exemple un évènement sismique, ou encore des inondations.</w:t>
      </w:r>
    </w:p>
    <w:p w:rsidR="00181BAB" w:rsidRPr="00693805" w:rsidRDefault="00181BAB" w:rsidP="000B53EE">
      <w:pPr>
        <w:autoSpaceDE w:val="0"/>
        <w:autoSpaceDN w:val="0"/>
        <w:adjustRightInd w:val="0"/>
        <w:spacing w:after="0"/>
        <w:rPr>
          <w:rFonts w:eastAsia="Calibri"/>
          <w:lang w:eastAsia="pt-PT"/>
        </w:rPr>
      </w:pPr>
    </w:p>
    <w:p w:rsidR="00181BAB" w:rsidRPr="00693805" w:rsidRDefault="00181BAB" w:rsidP="000B53EE">
      <w:pPr>
        <w:autoSpaceDE w:val="0"/>
        <w:autoSpaceDN w:val="0"/>
        <w:adjustRightInd w:val="0"/>
        <w:spacing w:after="0"/>
        <w:jc w:val="both"/>
        <w:rPr>
          <w:rFonts w:eastAsia="Calibri"/>
          <w:lang w:eastAsia="pt-PT"/>
        </w:rPr>
      </w:pPr>
      <w:r w:rsidRPr="00693805">
        <w:rPr>
          <w:rFonts w:eastAsia="Calibri"/>
          <w:lang w:eastAsia="pt-PT"/>
        </w:rPr>
        <w:t>L’impact lié à des phénomènes exceptionnels sera évalué en termes de risque, c’est-à-dire en tenant compte de la conséquence du phénomène en question et sa probabilité d’occurrence (risque = probabilité x conséquence).</w:t>
      </w:r>
    </w:p>
    <w:p w:rsidR="00181BAB" w:rsidRPr="00693805" w:rsidRDefault="00181BAB" w:rsidP="00FA3FAE">
      <w:pPr>
        <w:numPr>
          <w:ilvl w:val="0"/>
          <w:numId w:val="203"/>
        </w:numPr>
        <w:autoSpaceDE w:val="0"/>
        <w:autoSpaceDN w:val="0"/>
        <w:adjustRightInd w:val="0"/>
        <w:spacing w:after="0" w:line="240" w:lineRule="auto"/>
        <w:rPr>
          <w:rFonts w:eastAsia="Calibri"/>
          <w:b/>
          <w:bCs/>
          <w:lang w:eastAsia="pt-PT"/>
        </w:rPr>
      </w:pPr>
      <w:r w:rsidRPr="00693805">
        <w:rPr>
          <w:rFonts w:eastAsia="Calibri"/>
          <w:b/>
          <w:bCs/>
          <w:lang w:eastAsia="pt-PT"/>
        </w:rPr>
        <w:t>Impacts directs, indirects et induits</w:t>
      </w:r>
    </w:p>
    <w:p w:rsidR="00181BAB" w:rsidRPr="00693805" w:rsidRDefault="00181BAB" w:rsidP="000B53EE">
      <w:pPr>
        <w:autoSpaceDE w:val="0"/>
        <w:autoSpaceDN w:val="0"/>
        <w:adjustRightInd w:val="0"/>
        <w:spacing w:after="0"/>
        <w:jc w:val="both"/>
        <w:rPr>
          <w:rFonts w:eastAsia="Calibri"/>
          <w:lang w:eastAsia="pt-PT"/>
        </w:rPr>
      </w:pPr>
      <w:r w:rsidRPr="00693805">
        <w:rPr>
          <w:rFonts w:eastAsia="Calibri"/>
          <w:lang w:eastAsia="pt-PT"/>
        </w:rPr>
        <w:t xml:space="preserve">Les impacts peuvent également être caractérisés selon qu’ils sont </w:t>
      </w:r>
      <w:r w:rsidRPr="00693805">
        <w:rPr>
          <w:rFonts w:eastAsia="Calibri"/>
          <w:b/>
          <w:bCs/>
          <w:lang w:eastAsia="pt-PT"/>
        </w:rPr>
        <w:t xml:space="preserve">directs </w:t>
      </w:r>
      <w:r w:rsidRPr="00693805">
        <w:rPr>
          <w:rFonts w:eastAsia="Calibri"/>
          <w:lang w:eastAsia="pt-PT"/>
        </w:rPr>
        <w:t xml:space="preserve">(primaires) et issus d’activités associées au Projet, ou </w:t>
      </w:r>
      <w:r w:rsidRPr="00693805">
        <w:rPr>
          <w:rFonts w:eastAsia="Calibri"/>
          <w:b/>
          <w:bCs/>
          <w:lang w:eastAsia="pt-PT"/>
        </w:rPr>
        <w:t xml:space="preserve">indirects </w:t>
      </w:r>
      <w:r w:rsidRPr="00693805">
        <w:rPr>
          <w:rFonts w:eastAsia="Calibri"/>
          <w:lang w:eastAsia="pt-PT"/>
        </w:rPr>
        <w:t>(secondaires et d’une ampleur plus importante), résultant des conséquences des impacts primaires. Ainsi, par exemple, les travaux de construction peuvent produire des émissions de poussières avec un effet direct sur la qualité de l’air. La dispersion et le dépôt de ces poussières peut alors affecter la végétation naturelle ou agricole, pouvant ainsi affecter les moyens de subsistance de certains agriculteurs.</w:t>
      </w:r>
    </w:p>
    <w:p w:rsidR="00181BAB" w:rsidRPr="00693805" w:rsidRDefault="00181BAB" w:rsidP="00FA3FAE">
      <w:pPr>
        <w:numPr>
          <w:ilvl w:val="0"/>
          <w:numId w:val="203"/>
        </w:numPr>
        <w:autoSpaceDE w:val="0"/>
        <w:autoSpaceDN w:val="0"/>
        <w:adjustRightInd w:val="0"/>
        <w:spacing w:after="0" w:line="240" w:lineRule="auto"/>
        <w:rPr>
          <w:rFonts w:eastAsia="Calibri"/>
          <w:b/>
          <w:bCs/>
          <w:lang w:eastAsia="pt-PT"/>
        </w:rPr>
      </w:pPr>
      <w:r w:rsidRPr="00693805">
        <w:rPr>
          <w:rFonts w:eastAsia="Calibri"/>
          <w:b/>
          <w:bCs/>
          <w:lang w:eastAsia="pt-PT"/>
        </w:rPr>
        <w:t>Impacts cumulatifs</w:t>
      </w:r>
    </w:p>
    <w:p w:rsidR="00181BAB" w:rsidRPr="00693805" w:rsidRDefault="00181BAB" w:rsidP="000B53EE">
      <w:pPr>
        <w:autoSpaceDE w:val="0"/>
        <w:autoSpaceDN w:val="0"/>
        <w:adjustRightInd w:val="0"/>
        <w:spacing w:after="0"/>
        <w:jc w:val="both"/>
        <w:rPr>
          <w:rFonts w:eastAsia="Calibri"/>
          <w:lang w:eastAsia="pt-PT"/>
        </w:rPr>
      </w:pPr>
      <w:r w:rsidRPr="00693805">
        <w:rPr>
          <w:rFonts w:eastAsia="Calibri"/>
          <w:lang w:eastAsia="pt-PT"/>
        </w:rPr>
        <w:t xml:space="preserve">La possibilité pour le Projet d’avoir des impacts </w:t>
      </w:r>
      <w:r w:rsidRPr="00693805">
        <w:rPr>
          <w:rFonts w:eastAsia="Calibri"/>
          <w:b/>
          <w:bCs/>
          <w:lang w:eastAsia="pt-PT"/>
        </w:rPr>
        <w:t xml:space="preserve">cumulatifs </w:t>
      </w:r>
      <w:r w:rsidRPr="00693805">
        <w:rPr>
          <w:rFonts w:eastAsia="Calibri"/>
          <w:lang w:eastAsia="pt-PT"/>
        </w:rPr>
        <w:t>avec d’autres activités et des développements en cours ou officiellement prévus, tels que d’autres activités minières, industrielles ou artisanales ayant lieu dans la région au même moment, sera également considérée dans l’étude. Quand d’autres activités sont déjà en cours ou planifiées, elles seront prises en compte dans l’étude en les intégrant à l’évaluation de l’état initial environnemental et social futur du Projet (état initial résultant du scénario « sans Projet », par rapport auquel les impacts du Projet sont évalués). Si d’autres projets ou activités sont identifiées comme étant encore en phase de planification, sans toutefois être officiellement confirmés, leurs impacts possibles seront considérés en combinaison avec ceux du sous-projet, de sorte à obtenir une vision détaillée de la possible situation future.</w:t>
      </w:r>
    </w:p>
    <w:p w:rsidR="00181BAB" w:rsidRPr="00693805" w:rsidRDefault="00181BAB" w:rsidP="00FA3FAE">
      <w:pPr>
        <w:numPr>
          <w:ilvl w:val="0"/>
          <w:numId w:val="203"/>
        </w:numPr>
        <w:autoSpaceDE w:val="0"/>
        <w:autoSpaceDN w:val="0"/>
        <w:adjustRightInd w:val="0"/>
        <w:spacing w:after="0" w:line="240" w:lineRule="auto"/>
        <w:rPr>
          <w:rFonts w:eastAsia="Calibri"/>
          <w:b/>
          <w:bCs/>
          <w:lang w:eastAsia="pt-PT"/>
        </w:rPr>
      </w:pPr>
      <w:r w:rsidRPr="00693805">
        <w:rPr>
          <w:rFonts w:eastAsia="Calibri"/>
          <w:b/>
          <w:bCs/>
          <w:lang w:eastAsia="pt-PT"/>
        </w:rPr>
        <w:t>Prédiction de l’intensité des impacts</w:t>
      </w:r>
    </w:p>
    <w:p w:rsidR="00181BAB" w:rsidRPr="00693805" w:rsidRDefault="00181BAB" w:rsidP="000B53EE">
      <w:pPr>
        <w:autoSpaceDE w:val="0"/>
        <w:autoSpaceDN w:val="0"/>
        <w:adjustRightInd w:val="0"/>
        <w:spacing w:after="0"/>
        <w:rPr>
          <w:rFonts w:eastAsia="Calibri"/>
          <w:lang w:eastAsia="pt-PT"/>
        </w:rPr>
      </w:pPr>
      <w:r w:rsidRPr="00693805">
        <w:rPr>
          <w:rFonts w:eastAsia="Calibri"/>
          <w:lang w:eastAsia="pt-PT"/>
        </w:rPr>
        <w:t>L’étude d’impact décrira les effets sur le milieu naturel et les communautés en prévoyant l’intensité des impacts et en la quantifiant dans la mesure du possible. Le terme “intensité” est utilisé ici afin d’englober les diverses dimensions possibles de l’impact analysé, à savoir :</w:t>
      </w:r>
    </w:p>
    <w:p w:rsidR="00181BAB" w:rsidRPr="00693805" w:rsidRDefault="00181BAB" w:rsidP="00FA3FAE">
      <w:pPr>
        <w:numPr>
          <w:ilvl w:val="2"/>
          <w:numId w:val="197"/>
        </w:numPr>
        <w:autoSpaceDE w:val="0"/>
        <w:autoSpaceDN w:val="0"/>
        <w:adjustRightInd w:val="0"/>
        <w:spacing w:after="0" w:line="240" w:lineRule="auto"/>
        <w:ind w:left="1134" w:hanging="425"/>
        <w:rPr>
          <w:rFonts w:eastAsia="Calibri"/>
          <w:lang w:eastAsia="pt-PT"/>
        </w:rPr>
      </w:pPr>
      <w:r w:rsidRPr="00693805">
        <w:rPr>
          <w:rFonts w:eastAsia="Calibri"/>
          <w:lang w:eastAsia="pt-PT"/>
        </w:rPr>
        <w:t>nature du changement (qu’est ce qui est affecté ? de quelle manière ?) ;</w:t>
      </w:r>
    </w:p>
    <w:p w:rsidR="00181BAB" w:rsidRPr="00693805" w:rsidRDefault="00181BAB" w:rsidP="00FA3FAE">
      <w:pPr>
        <w:numPr>
          <w:ilvl w:val="2"/>
          <w:numId w:val="197"/>
        </w:numPr>
        <w:autoSpaceDE w:val="0"/>
        <w:autoSpaceDN w:val="0"/>
        <w:adjustRightInd w:val="0"/>
        <w:spacing w:after="0" w:line="240" w:lineRule="auto"/>
        <w:ind w:left="1134" w:hanging="425"/>
        <w:rPr>
          <w:rFonts w:eastAsia="Calibri"/>
          <w:lang w:eastAsia="pt-PT"/>
        </w:rPr>
      </w:pPr>
      <w:r w:rsidRPr="00693805">
        <w:rPr>
          <w:rFonts w:eastAsia="Calibri"/>
          <w:lang w:eastAsia="pt-PT"/>
        </w:rPr>
        <w:t>taille, échelle ou intensité;</w:t>
      </w:r>
    </w:p>
    <w:p w:rsidR="00181BAB" w:rsidRPr="00693805" w:rsidRDefault="00181BAB" w:rsidP="00FA3FAE">
      <w:pPr>
        <w:numPr>
          <w:ilvl w:val="2"/>
          <w:numId w:val="197"/>
        </w:numPr>
        <w:autoSpaceDE w:val="0"/>
        <w:autoSpaceDN w:val="0"/>
        <w:adjustRightInd w:val="0"/>
        <w:spacing w:after="0" w:line="240" w:lineRule="auto"/>
        <w:ind w:left="1134" w:hanging="425"/>
        <w:rPr>
          <w:rFonts w:eastAsia="Calibri"/>
          <w:lang w:eastAsia="pt-PT"/>
        </w:rPr>
      </w:pPr>
      <w:r w:rsidRPr="00693805">
        <w:rPr>
          <w:rFonts w:eastAsia="Calibri"/>
          <w:lang w:eastAsia="pt-PT"/>
        </w:rPr>
        <w:t>portée et répartition géographique ;</w:t>
      </w:r>
    </w:p>
    <w:p w:rsidR="00181BAB" w:rsidRPr="00693805" w:rsidRDefault="00181BAB" w:rsidP="00FA3FAE">
      <w:pPr>
        <w:numPr>
          <w:ilvl w:val="2"/>
          <w:numId w:val="197"/>
        </w:numPr>
        <w:autoSpaceDE w:val="0"/>
        <w:autoSpaceDN w:val="0"/>
        <w:adjustRightInd w:val="0"/>
        <w:spacing w:after="0" w:line="240" w:lineRule="auto"/>
        <w:ind w:left="1134" w:hanging="425"/>
        <w:rPr>
          <w:rFonts w:eastAsia="Calibri"/>
          <w:lang w:eastAsia="pt-PT"/>
        </w:rPr>
      </w:pPr>
      <w:r w:rsidRPr="00693805">
        <w:rPr>
          <w:rFonts w:eastAsia="Calibri"/>
          <w:lang w:eastAsia="pt-PT"/>
        </w:rPr>
        <w:t>durée, fréquence, réversibilité, etc. ; et</w:t>
      </w:r>
    </w:p>
    <w:p w:rsidR="00181BAB" w:rsidRPr="00693805" w:rsidRDefault="00181BAB" w:rsidP="00FA3FAE">
      <w:pPr>
        <w:numPr>
          <w:ilvl w:val="2"/>
          <w:numId w:val="197"/>
        </w:numPr>
        <w:autoSpaceDE w:val="0"/>
        <w:autoSpaceDN w:val="0"/>
        <w:adjustRightInd w:val="0"/>
        <w:spacing w:after="0" w:line="240" w:lineRule="auto"/>
        <w:ind w:left="1134" w:hanging="425"/>
        <w:jc w:val="both"/>
        <w:rPr>
          <w:rFonts w:eastAsia="Calibri"/>
          <w:lang w:eastAsia="pt-PT"/>
        </w:rPr>
      </w:pPr>
      <w:r w:rsidRPr="00693805">
        <w:rPr>
          <w:rFonts w:eastAsia="Calibri"/>
          <w:lang w:eastAsia="pt-PT"/>
        </w:rPr>
        <w:t>si applicable, la probabilité d’occurrence (pour un accident ou un autre phénomène exceptionnel).</w:t>
      </w:r>
    </w:p>
    <w:p w:rsidR="00181BAB" w:rsidRPr="00693805" w:rsidRDefault="00181BAB" w:rsidP="00FA3FAE">
      <w:pPr>
        <w:numPr>
          <w:ilvl w:val="0"/>
          <w:numId w:val="203"/>
        </w:numPr>
        <w:autoSpaceDE w:val="0"/>
        <w:autoSpaceDN w:val="0"/>
        <w:adjustRightInd w:val="0"/>
        <w:spacing w:after="0" w:line="240" w:lineRule="auto"/>
        <w:rPr>
          <w:rFonts w:eastAsia="Calibri"/>
          <w:b/>
          <w:bCs/>
          <w:lang w:eastAsia="pt-PT"/>
        </w:rPr>
      </w:pPr>
      <w:r w:rsidRPr="00693805">
        <w:rPr>
          <w:rFonts w:eastAsia="Calibri"/>
          <w:b/>
          <w:bCs/>
          <w:lang w:eastAsia="pt-PT"/>
        </w:rPr>
        <w:t>Prédiction de l’intensité des impacts</w:t>
      </w:r>
    </w:p>
    <w:p w:rsidR="00181BAB" w:rsidRPr="00693805" w:rsidRDefault="00181BAB" w:rsidP="000B53EE">
      <w:pPr>
        <w:autoSpaceDE w:val="0"/>
        <w:autoSpaceDN w:val="0"/>
        <w:adjustRightInd w:val="0"/>
        <w:spacing w:after="0"/>
        <w:rPr>
          <w:rFonts w:eastAsia="Calibri"/>
          <w:lang w:eastAsia="pt-PT"/>
        </w:rPr>
      </w:pPr>
      <w:r w:rsidRPr="00693805">
        <w:rPr>
          <w:rFonts w:eastAsia="Calibri"/>
          <w:lang w:eastAsia="pt-PT"/>
        </w:rPr>
        <w:t>L’étude d’impact décrira les effets sur le milieu naturel et les communautés en prévoyant l’intensité des impacts et en la quantifiant dans la mesure du possible. Le terme “intensité” est utilisé ici afin d’englober les diverses dimensions possibles de l’impact analysé, à savoir :</w:t>
      </w:r>
    </w:p>
    <w:p w:rsidR="00181BAB" w:rsidRPr="00693805" w:rsidRDefault="00181BAB" w:rsidP="00FA3FAE">
      <w:pPr>
        <w:numPr>
          <w:ilvl w:val="2"/>
          <w:numId w:val="198"/>
        </w:numPr>
        <w:autoSpaceDE w:val="0"/>
        <w:autoSpaceDN w:val="0"/>
        <w:adjustRightInd w:val="0"/>
        <w:spacing w:after="0" w:line="240" w:lineRule="auto"/>
        <w:ind w:left="1134" w:hanging="425"/>
        <w:rPr>
          <w:rFonts w:eastAsia="Calibri"/>
          <w:lang w:eastAsia="pt-PT"/>
        </w:rPr>
      </w:pPr>
      <w:r w:rsidRPr="00693805">
        <w:rPr>
          <w:rFonts w:eastAsia="Calibri"/>
          <w:lang w:eastAsia="pt-PT"/>
        </w:rPr>
        <w:t>nature du changement (qu’est ce qui est affecté ? de quelle manière ?) ;</w:t>
      </w:r>
    </w:p>
    <w:p w:rsidR="00181BAB" w:rsidRPr="00693805" w:rsidRDefault="00181BAB" w:rsidP="00FA3FAE">
      <w:pPr>
        <w:numPr>
          <w:ilvl w:val="2"/>
          <w:numId w:val="198"/>
        </w:numPr>
        <w:autoSpaceDE w:val="0"/>
        <w:autoSpaceDN w:val="0"/>
        <w:adjustRightInd w:val="0"/>
        <w:spacing w:after="0" w:line="240" w:lineRule="auto"/>
        <w:ind w:left="1134" w:hanging="425"/>
        <w:rPr>
          <w:rFonts w:eastAsia="Calibri"/>
          <w:lang w:eastAsia="pt-PT"/>
        </w:rPr>
      </w:pPr>
      <w:r w:rsidRPr="00693805">
        <w:rPr>
          <w:rFonts w:eastAsia="Calibri"/>
          <w:lang w:eastAsia="pt-PT"/>
        </w:rPr>
        <w:t>taille, échelle ou intensité;</w:t>
      </w:r>
    </w:p>
    <w:p w:rsidR="00181BAB" w:rsidRPr="00693805" w:rsidRDefault="00181BAB" w:rsidP="00FA3FAE">
      <w:pPr>
        <w:numPr>
          <w:ilvl w:val="2"/>
          <w:numId w:val="198"/>
        </w:numPr>
        <w:autoSpaceDE w:val="0"/>
        <w:autoSpaceDN w:val="0"/>
        <w:adjustRightInd w:val="0"/>
        <w:spacing w:after="0" w:line="240" w:lineRule="auto"/>
        <w:ind w:left="1134" w:hanging="425"/>
        <w:rPr>
          <w:rFonts w:eastAsia="Calibri"/>
          <w:lang w:eastAsia="pt-PT"/>
        </w:rPr>
      </w:pPr>
      <w:r w:rsidRPr="00693805">
        <w:rPr>
          <w:rFonts w:eastAsia="Calibri"/>
          <w:lang w:eastAsia="pt-PT"/>
        </w:rPr>
        <w:t>portée et répartition géographique ;</w:t>
      </w:r>
    </w:p>
    <w:p w:rsidR="00181BAB" w:rsidRPr="00693805" w:rsidRDefault="00181BAB" w:rsidP="00FA3FAE">
      <w:pPr>
        <w:numPr>
          <w:ilvl w:val="2"/>
          <w:numId w:val="198"/>
        </w:numPr>
        <w:autoSpaceDE w:val="0"/>
        <w:autoSpaceDN w:val="0"/>
        <w:adjustRightInd w:val="0"/>
        <w:spacing w:after="0" w:line="240" w:lineRule="auto"/>
        <w:ind w:left="1134" w:hanging="425"/>
        <w:rPr>
          <w:rFonts w:eastAsia="Calibri"/>
          <w:lang w:eastAsia="pt-PT"/>
        </w:rPr>
      </w:pPr>
      <w:r w:rsidRPr="00693805">
        <w:rPr>
          <w:rFonts w:eastAsia="Calibri"/>
          <w:lang w:eastAsia="pt-PT"/>
        </w:rPr>
        <w:lastRenderedPageBreak/>
        <w:t>durée, fréquence, réversibilité, etc. ; et</w:t>
      </w:r>
    </w:p>
    <w:p w:rsidR="00181BAB" w:rsidRPr="00693805" w:rsidRDefault="00181BAB" w:rsidP="00FA3FAE">
      <w:pPr>
        <w:numPr>
          <w:ilvl w:val="2"/>
          <w:numId w:val="198"/>
        </w:numPr>
        <w:autoSpaceDE w:val="0"/>
        <w:autoSpaceDN w:val="0"/>
        <w:adjustRightInd w:val="0"/>
        <w:spacing w:after="0" w:line="240" w:lineRule="auto"/>
        <w:ind w:left="1134" w:hanging="425"/>
        <w:rPr>
          <w:rFonts w:eastAsia="Calibri"/>
          <w:lang w:eastAsia="pt-PT"/>
        </w:rPr>
      </w:pPr>
      <w:r w:rsidRPr="00693805">
        <w:rPr>
          <w:rFonts w:eastAsia="Calibri"/>
          <w:lang w:eastAsia="pt-PT"/>
        </w:rPr>
        <w:t>si applicable, la probabilité d’occurrence (pour un accident ou un autre phénomène exceptionnel).</w:t>
      </w:r>
    </w:p>
    <w:p w:rsidR="00181BAB" w:rsidRPr="00693805" w:rsidRDefault="00181BAB" w:rsidP="000B53EE">
      <w:pPr>
        <w:autoSpaceDE w:val="0"/>
        <w:autoSpaceDN w:val="0"/>
        <w:adjustRightInd w:val="0"/>
        <w:spacing w:after="0"/>
        <w:rPr>
          <w:rFonts w:eastAsia="Calibri"/>
          <w:lang w:eastAsia="pt-PT"/>
        </w:rPr>
      </w:pPr>
      <w:r w:rsidRPr="00693805">
        <w:rPr>
          <w:rFonts w:eastAsia="Calibri"/>
          <w:lang w:eastAsia="pt-PT"/>
        </w:rPr>
        <w:t>Le terme d’intensité inclut également toute incertitude relative à l’occurrence ou à l’échelle de l’impact.</w:t>
      </w:r>
    </w:p>
    <w:p w:rsidR="00181BAB" w:rsidRPr="00693805" w:rsidRDefault="00181BAB" w:rsidP="000B53EE">
      <w:pPr>
        <w:autoSpaceDE w:val="0"/>
        <w:autoSpaceDN w:val="0"/>
        <w:adjustRightInd w:val="0"/>
        <w:spacing w:after="0"/>
        <w:jc w:val="both"/>
        <w:rPr>
          <w:rFonts w:eastAsia="Calibri"/>
          <w:lang w:eastAsia="pt-PT"/>
        </w:rPr>
      </w:pPr>
      <w:r w:rsidRPr="00693805">
        <w:rPr>
          <w:rFonts w:eastAsia="Calibri"/>
          <w:lang w:eastAsia="pt-PT"/>
        </w:rPr>
        <w:t>L’intensité décrit donc le changement effectif qui devrait toucher une ressource ou cible (par exemple : l’étendue et la durée pendant lesquelles l’air et l’eau seront pollués et l’augmentation des concentrations de polluant ; le degré et la probabilité de l’impact sur la santé ou sur les moyens de subsistance d’une communauté locale ; la probabilité de blessures ou de décès suite à un accident).</w:t>
      </w:r>
    </w:p>
    <w:p w:rsidR="00181BAB" w:rsidRPr="00693805" w:rsidRDefault="00181BAB" w:rsidP="000B53EE">
      <w:pPr>
        <w:autoSpaceDE w:val="0"/>
        <w:autoSpaceDN w:val="0"/>
        <w:adjustRightInd w:val="0"/>
        <w:spacing w:after="0"/>
        <w:jc w:val="both"/>
        <w:rPr>
          <w:rFonts w:eastAsia="Calibri"/>
          <w:lang w:eastAsia="pt-PT"/>
        </w:rPr>
      </w:pPr>
      <w:r w:rsidRPr="00693805">
        <w:rPr>
          <w:rFonts w:eastAsia="Calibri"/>
          <w:lang w:eastAsia="pt-PT"/>
        </w:rPr>
        <w:t>L’intensité peut être évaluée de diverses manières, en fonction de la nature de l’impact étudié.</w:t>
      </w:r>
    </w:p>
    <w:p w:rsidR="00181BAB" w:rsidRPr="00693805" w:rsidRDefault="00181BAB" w:rsidP="000B53EE">
      <w:pPr>
        <w:autoSpaceDE w:val="0"/>
        <w:autoSpaceDN w:val="0"/>
        <w:adjustRightInd w:val="0"/>
        <w:spacing w:after="0"/>
        <w:jc w:val="both"/>
        <w:rPr>
          <w:rFonts w:eastAsia="Calibri"/>
          <w:lang w:eastAsia="pt-PT"/>
        </w:rPr>
      </w:pPr>
      <w:r w:rsidRPr="00693805">
        <w:rPr>
          <w:rFonts w:eastAsia="Calibri"/>
          <w:lang w:eastAsia="pt-PT"/>
        </w:rPr>
        <w:t>L’intensité des impacts analysés sera évaluée sur une échelle de trois niveaux : faible, moyenne ou forte. Cette échelle sera définie en fonction de la nature de l’impact évalué. Pour des impacts quantifiables, tels que ceux des émissions sonores, des seuils numériques sont employées, tandis que le recours à une classification qualitative sera nécessaire pour certains autres aspects.</w:t>
      </w:r>
    </w:p>
    <w:p w:rsidR="00181BAB" w:rsidRPr="00693805" w:rsidRDefault="00181BAB" w:rsidP="00FA3FAE">
      <w:pPr>
        <w:numPr>
          <w:ilvl w:val="0"/>
          <w:numId w:val="203"/>
        </w:numPr>
        <w:autoSpaceDE w:val="0"/>
        <w:autoSpaceDN w:val="0"/>
        <w:adjustRightInd w:val="0"/>
        <w:spacing w:after="0" w:line="240" w:lineRule="auto"/>
        <w:rPr>
          <w:rFonts w:eastAsia="Calibri"/>
          <w:b/>
          <w:bCs/>
          <w:lang w:eastAsia="pt-PT"/>
        </w:rPr>
      </w:pPr>
      <w:r w:rsidRPr="00693805">
        <w:rPr>
          <w:rFonts w:eastAsia="Calibri"/>
          <w:b/>
          <w:bCs/>
          <w:lang w:eastAsia="pt-PT"/>
        </w:rPr>
        <w:t>Evaluation des impacts résiduels</w:t>
      </w:r>
    </w:p>
    <w:p w:rsidR="00181BAB" w:rsidRPr="00693805" w:rsidRDefault="00181BAB" w:rsidP="000B53EE">
      <w:pPr>
        <w:autoSpaceDE w:val="0"/>
        <w:autoSpaceDN w:val="0"/>
        <w:adjustRightInd w:val="0"/>
        <w:spacing w:after="0"/>
        <w:jc w:val="both"/>
        <w:rPr>
          <w:rFonts w:eastAsia="Calibri"/>
          <w:lang w:eastAsia="pt-PT"/>
        </w:rPr>
      </w:pPr>
      <w:r w:rsidRPr="00693805">
        <w:rPr>
          <w:rFonts w:eastAsia="Calibri"/>
          <w:lang w:eastAsia="pt-PT"/>
        </w:rPr>
        <w:t>Une fois un consensus obtenu sur les mesures d’atténuation, l’équipe d’EIES réévaluera les impacts en tenant compte de ces mesures, désormais intégrées au sous-projet. Si des impacts résiduels significatifs subsistent, de nouvelles options seront examinées et les impacts réévalués en concertation avec l’équipe de sous-projet et ce jusqu’à ce qu’ils soient aussi faibles que possible. Les impacts résiduels significatifs subsistant à la fin de ce processus seront décrits dans le Rapport d’EIES et feront l’objet d’une discussion sur les mesures d’atténuation encore éventuellement envisageables. Le degré de sévérité attribué aux impacts résiduels reflètera le niveau de considération que l’équipe d’’EIES jugera nécessaire d’accorder dans le processus de prise de décisions relatif au sous-projet.</w:t>
      </w:r>
    </w:p>
    <w:p w:rsidR="00181BAB" w:rsidRPr="00693805" w:rsidRDefault="00181BAB" w:rsidP="000B53EE">
      <w:pPr>
        <w:autoSpaceDE w:val="0"/>
        <w:autoSpaceDN w:val="0"/>
        <w:adjustRightInd w:val="0"/>
        <w:spacing w:after="0"/>
        <w:rPr>
          <w:rFonts w:eastAsia="Calibri"/>
          <w:lang w:eastAsia="pt-PT"/>
        </w:rPr>
      </w:pPr>
      <w:r w:rsidRPr="00693805">
        <w:rPr>
          <w:rFonts w:eastAsia="Calibri"/>
          <w:b/>
          <w:bCs/>
          <w:lang w:eastAsia="pt-PT"/>
        </w:rPr>
        <w:t xml:space="preserve">Les impacts critiques </w:t>
      </w:r>
      <w:r w:rsidRPr="00693805">
        <w:rPr>
          <w:rFonts w:eastAsia="Calibri"/>
          <w:lang w:eastAsia="pt-PT"/>
        </w:rPr>
        <w:t>seront évités ;</w:t>
      </w:r>
    </w:p>
    <w:p w:rsidR="00181BAB" w:rsidRPr="00693805" w:rsidRDefault="00181BAB" w:rsidP="00FA3FAE">
      <w:pPr>
        <w:numPr>
          <w:ilvl w:val="1"/>
          <w:numId w:val="195"/>
        </w:numPr>
        <w:autoSpaceDE w:val="0"/>
        <w:autoSpaceDN w:val="0"/>
        <w:adjustRightInd w:val="0"/>
        <w:spacing w:after="0" w:line="240" w:lineRule="auto"/>
        <w:ind w:left="1134" w:hanging="425"/>
        <w:rPr>
          <w:rFonts w:eastAsia="Calibri"/>
          <w:lang w:eastAsia="pt-PT"/>
        </w:rPr>
      </w:pPr>
      <w:r w:rsidRPr="00693805">
        <w:rPr>
          <w:rFonts w:eastAsia="Calibri"/>
          <w:lang w:eastAsia="pt-PT"/>
        </w:rPr>
        <w:t xml:space="preserve">Un poids substantiel sera attribué à tous les impacts résiduels </w:t>
      </w:r>
      <w:r w:rsidRPr="00693805">
        <w:rPr>
          <w:rFonts w:eastAsia="Calibri"/>
          <w:b/>
          <w:bCs/>
          <w:lang w:eastAsia="pt-PT"/>
        </w:rPr>
        <w:t xml:space="preserve">majeurs </w:t>
      </w:r>
      <w:r w:rsidRPr="00693805">
        <w:rPr>
          <w:rFonts w:eastAsia="Calibri"/>
          <w:lang w:eastAsia="pt-PT"/>
        </w:rPr>
        <w:t>dans le processus de prise de décision relatif aux suites données au Projet, qu’ils soient positifs ou négatifs, au regard des autres coûts et bénéfices environnementaux, sociaux et/ou économiques afférents au Projet. Le PGES devra prévoir des mesures d’atténuation et de suivi poussées des impacts majeurs négatifs, et des mesures visant à l’optimisation, dans la mesure du possible, des impacts positifs.</w:t>
      </w:r>
    </w:p>
    <w:p w:rsidR="00181BAB" w:rsidRPr="00693805" w:rsidRDefault="00181BAB" w:rsidP="00FA3FAE">
      <w:pPr>
        <w:numPr>
          <w:ilvl w:val="1"/>
          <w:numId w:val="196"/>
        </w:numPr>
        <w:autoSpaceDE w:val="0"/>
        <w:autoSpaceDN w:val="0"/>
        <w:adjustRightInd w:val="0"/>
        <w:spacing w:after="0" w:line="240" w:lineRule="auto"/>
        <w:ind w:left="1134" w:hanging="425"/>
        <w:jc w:val="both"/>
        <w:rPr>
          <w:rFonts w:eastAsia="Calibri"/>
          <w:lang w:eastAsia="pt-PT"/>
        </w:rPr>
      </w:pPr>
      <w:r w:rsidRPr="00693805">
        <w:rPr>
          <w:rFonts w:eastAsia="Calibri"/>
          <w:lang w:eastAsia="pt-PT"/>
        </w:rPr>
        <w:t xml:space="preserve">Les impacts résiduels </w:t>
      </w:r>
      <w:r w:rsidRPr="00693805">
        <w:rPr>
          <w:rFonts w:eastAsia="Calibri"/>
          <w:b/>
          <w:bCs/>
          <w:lang w:eastAsia="pt-PT"/>
        </w:rPr>
        <w:t xml:space="preserve">modérés </w:t>
      </w:r>
      <w:r w:rsidRPr="00693805">
        <w:rPr>
          <w:rFonts w:eastAsia="Calibri"/>
          <w:lang w:eastAsia="pt-PT"/>
        </w:rPr>
        <w:t>seront pris en compte avec une importance moindre dans le processus de prise de décision mais une attention particulière devra tout de même être portée aux mesures d’atténuation et de surveillance à mettre en œuvre, en veillant à ce qu’elles reflètent les meilleures techniques disponibles, et permettent de maintenir les impacts résiduels à un niveau aussi faible que raisonnablement possible, tout en optimisant les impacts positifs.</w:t>
      </w:r>
    </w:p>
    <w:p w:rsidR="00181BAB" w:rsidRPr="00693805" w:rsidRDefault="00181BAB" w:rsidP="00FA3FAE">
      <w:pPr>
        <w:numPr>
          <w:ilvl w:val="1"/>
          <w:numId w:val="196"/>
        </w:numPr>
        <w:autoSpaceDE w:val="0"/>
        <w:autoSpaceDN w:val="0"/>
        <w:adjustRightInd w:val="0"/>
        <w:spacing w:after="0" w:line="240" w:lineRule="auto"/>
        <w:ind w:left="1134" w:hanging="425"/>
        <w:jc w:val="both"/>
        <w:rPr>
          <w:rFonts w:eastAsia="Calibri"/>
          <w:lang w:eastAsia="pt-PT"/>
        </w:rPr>
      </w:pPr>
      <w:r w:rsidRPr="00693805">
        <w:rPr>
          <w:rFonts w:eastAsia="Calibri"/>
          <w:lang w:eastAsia="pt-PT"/>
        </w:rPr>
        <w:t xml:space="preserve">Les impacts </w:t>
      </w:r>
      <w:r w:rsidRPr="00693805">
        <w:rPr>
          <w:rFonts w:eastAsia="Calibri"/>
          <w:b/>
          <w:bCs/>
          <w:lang w:eastAsia="pt-PT"/>
        </w:rPr>
        <w:t xml:space="preserve">mineurs </w:t>
      </w:r>
      <w:r w:rsidRPr="00693805">
        <w:rPr>
          <w:rFonts w:eastAsia="Calibri"/>
          <w:lang w:eastAsia="pt-PT"/>
        </w:rPr>
        <w:t>seront portés à la connaissance des décideurs mais n’auront que peu, voire aucun, poids dans la décision finale. Dans le cadre du PGES, des mesures d’atténuation adaptées devront être mises en œuvre au moyen de bonnes pratiques classiques et des campagnes de surveillance devront être menées pour confirmer que les impacts ne dépassent pas les niveaux attendus.</w:t>
      </w:r>
    </w:p>
    <w:p w:rsidR="00181BAB" w:rsidRPr="00693805" w:rsidRDefault="00181BAB" w:rsidP="00FA3FAE">
      <w:pPr>
        <w:numPr>
          <w:ilvl w:val="0"/>
          <w:numId w:val="203"/>
        </w:numPr>
        <w:autoSpaceDE w:val="0"/>
        <w:autoSpaceDN w:val="0"/>
        <w:adjustRightInd w:val="0"/>
        <w:spacing w:after="0" w:line="240" w:lineRule="auto"/>
        <w:jc w:val="both"/>
        <w:rPr>
          <w:rFonts w:eastAsia="Calibri"/>
          <w:b/>
          <w:bCs/>
          <w:lang w:eastAsia="pt-PT"/>
        </w:rPr>
      </w:pPr>
      <w:r w:rsidRPr="00693805">
        <w:rPr>
          <w:rFonts w:eastAsia="Calibri"/>
          <w:b/>
          <w:bCs/>
          <w:lang w:eastAsia="pt-PT"/>
        </w:rPr>
        <w:t>Interface entre équipe d’EIES et équipe technique du Projet</w:t>
      </w:r>
    </w:p>
    <w:p w:rsidR="00181BAB" w:rsidRPr="00693805" w:rsidRDefault="00181BAB" w:rsidP="000B53EE">
      <w:pPr>
        <w:autoSpaceDE w:val="0"/>
        <w:autoSpaceDN w:val="0"/>
        <w:adjustRightInd w:val="0"/>
        <w:spacing w:after="0"/>
        <w:jc w:val="both"/>
        <w:rPr>
          <w:rFonts w:eastAsia="Calibri"/>
          <w:lang w:eastAsia="pt-PT"/>
        </w:rPr>
      </w:pPr>
      <w:r w:rsidRPr="00693805">
        <w:rPr>
          <w:rFonts w:eastAsia="Calibri"/>
          <w:lang w:eastAsia="pt-PT"/>
        </w:rPr>
        <w:t>L’équipe d’EIES réunira les données permettant d’évaluer l’avant-projet et les phases de construction et d’exploitation. Au fur et à mesure que les impacts seront étudiés, les résultats de l’évaluation feront l’objet de concertation entre les équipes en vue de s’assurer que les mesures d’atténuation proposées et intégrées au sous-projet soient réalistes. Toutes les mesures d’atténuation validées par l’équipe d’EIES et l’équipe technique du sous-projet seront décrites dans le Rapport d’EIES et reflétées dans le PGES.</w:t>
      </w:r>
    </w:p>
    <w:p w:rsidR="00181BAB" w:rsidRPr="00693805" w:rsidRDefault="00181BAB" w:rsidP="00FA3FAE">
      <w:pPr>
        <w:numPr>
          <w:ilvl w:val="0"/>
          <w:numId w:val="203"/>
        </w:numPr>
        <w:autoSpaceDE w:val="0"/>
        <w:autoSpaceDN w:val="0"/>
        <w:adjustRightInd w:val="0"/>
        <w:spacing w:after="0" w:line="240" w:lineRule="auto"/>
        <w:rPr>
          <w:rFonts w:eastAsia="Calibri"/>
          <w:b/>
          <w:bCs/>
          <w:lang w:eastAsia="pt-PT"/>
        </w:rPr>
      </w:pPr>
      <w:r w:rsidRPr="00693805">
        <w:rPr>
          <w:rFonts w:eastAsia="Calibri"/>
          <w:b/>
          <w:bCs/>
          <w:lang w:eastAsia="pt-PT"/>
        </w:rPr>
        <w:t>Consultation des parties prenantes</w:t>
      </w:r>
    </w:p>
    <w:p w:rsidR="00181BAB" w:rsidRPr="00693805" w:rsidRDefault="00181BAB" w:rsidP="000B53EE">
      <w:pPr>
        <w:autoSpaceDE w:val="0"/>
        <w:autoSpaceDN w:val="0"/>
        <w:adjustRightInd w:val="0"/>
        <w:spacing w:after="0"/>
        <w:jc w:val="both"/>
        <w:rPr>
          <w:rFonts w:eastAsia="Calibri"/>
          <w:lang w:eastAsia="pt-PT"/>
        </w:rPr>
      </w:pPr>
      <w:r w:rsidRPr="00693805">
        <w:rPr>
          <w:rFonts w:eastAsia="Calibri"/>
          <w:lang w:eastAsia="pt-PT"/>
        </w:rPr>
        <w:t>Au cours de l’EIES, l’équipe consultera les parties prenantes du sous-projet pour recueillir et comprendre leurs points de vue et préoccupations concernant le sous-projet, et pour recueillir toute donnée pertinente concernant l’environnement et la communauté locale. Ces informations seront utilisées dans l’étude et l’identification de mesures d’atténuation adaptées.</w:t>
      </w:r>
    </w:p>
    <w:p w:rsidR="00181BAB" w:rsidRPr="00693805" w:rsidRDefault="00181BAB" w:rsidP="000B53EE">
      <w:pPr>
        <w:autoSpaceDE w:val="0"/>
        <w:autoSpaceDN w:val="0"/>
        <w:adjustRightInd w:val="0"/>
        <w:spacing w:after="0"/>
        <w:jc w:val="both"/>
        <w:rPr>
          <w:rFonts w:eastAsia="Calibri"/>
          <w:lang w:eastAsia="pt-PT"/>
        </w:rPr>
      </w:pPr>
      <w:r w:rsidRPr="00693805">
        <w:rPr>
          <w:rFonts w:eastAsia="Calibri"/>
          <w:lang w:eastAsia="pt-PT"/>
        </w:rPr>
        <w:t xml:space="preserve">Une fois le Rapport d’EIES finalisé et transmis au Gouvernement pour validation, il sera mis à la disposition du public pour commentaires éventuels et ses constatations seront diffusées aux communautés affectées. Tous les commentaires relatifs aux impacts et mesures d’atténuation proposées seront pris en compte lors de la </w:t>
      </w:r>
      <w:r w:rsidRPr="00693805">
        <w:rPr>
          <w:rFonts w:eastAsia="Calibri"/>
          <w:lang w:eastAsia="pt-PT"/>
        </w:rPr>
        <w:lastRenderedPageBreak/>
        <w:t>finalisation des études de conception et de finalisation du sous-projet, dans le choix et la mise en œuvre des méthodes de construction et d’exploitation, et la mise en œuvre effective du Plan de Gestion Environnementale et Sociale.</w:t>
      </w:r>
    </w:p>
    <w:p w:rsidR="00181BAB" w:rsidRPr="00693805" w:rsidRDefault="00181BAB" w:rsidP="00FA3FAE">
      <w:pPr>
        <w:pStyle w:val="PargrafodaLista"/>
        <w:numPr>
          <w:ilvl w:val="0"/>
          <w:numId w:val="170"/>
        </w:numPr>
        <w:spacing w:after="0" w:line="240" w:lineRule="auto"/>
        <w:contextualSpacing w:val="0"/>
        <w:jc w:val="both"/>
        <w:outlineLvl w:val="0"/>
        <w:rPr>
          <w:b/>
          <w:lang w:val="fr-FR"/>
        </w:rPr>
      </w:pPr>
      <w:bookmarkStart w:id="868" w:name="_Toc20820271"/>
      <w:bookmarkStart w:id="869" w:name="_Toc32511678"/>
      <w:bookmarkStart w:id="870" w:name="_Toc51072659"/>
      <w:r w:rsidRPr="00693805">
        <w:rPr>
          <w:b/>
          <w:lang w:val="fr-FR"/>
        </w:rPr>
        <w:t>TÂCHES PRINCIPALES DU ECI</w:t>
      </w:r>
      <w:bookmarkEnd w:id="868"/>
      <w:bookmarkEnd w:id="869"/>
      <w:bookmarkEnd w:id="870"/>
      <w:r w:rsidRPr="00693805">
        <w:rPr>
          <w:b/>
          <w:lang w:val="fr-FR"/>
        </w:rPr>
        <w:t xml:space="preserve"> </w:t>
      </w:r>
    </w:p>
    <w:p w:rsidR="00181BAB" w:rsidRPr="00693805" w:rsidRDefault="00181BAB" w:rsidP="00FA3FAE">
      <w:pPr>
        <w:pStyle w:val="PargrafodaLista"/>
        <w:numPr>
          <w:ilvl w:val="1"/>
          <w:numId w:val="178"/>
        </w:numPr>
        <w:spacing w:after="0" w:line="240" w:lineRule="auto"/>
        <w:jc w:val="both"/>
        <w:outlineLvl w:val="1"/>
        <w:rPr>
          <w:b/>
          <w:lang w:val="fr-FR"/>
        </w:rPr>
      </w:pPr>
      <w:bookmarkStart w:id="871" w:name="_Toc504998503"/>
      <w:bookmarkStart w:id="872" w:name="_Toc504998571"/>
      <w:bookmarkStart w:id="873" w:name="_Toc504999528"/>
      <w:bookmarkStart w:id="874" w:name="_Toc504999560"/>
      <w:bookmarkStart w:id="875" w:name="_Toc505000592"/>
      <w:bookmarkStart w:id="876" w:name="_Toc505004239"/>
      <w:bookmarkStart w:id="877" w:name="_Toc504998504"/>
      <w:bookmarkStart w:id="878" w:name="_Toc504998572"/>
      <w:bookmarkStart w:id="879" w:name="_Toc504999529"/>
      <w:bookmarkStart w:id="880" w:name="_Toc504999561"/>
      <w:bookmarkStart w:id="881" w:name="_Toc505000593"/>
      <w:bookmarkStart w:id="882" w:name="_Toc505004240"/>
      <w:bookmarkEnd w:id="871"/>
      <w:bookmarkEnd w:id="872"/>
      <w:bookmarkEnd w:id="873"/>
      <w:bookmarkEnd w:id="874"/>
      <w:bookmarkEnd w:id="875"/>
      <w:bookmarkEnd w:id="876"/>
      <w:bookmarkEnd w:id="877"/>
      <w:bookmarkEnd w:id="878"/>
      <w:bookmarkEnd w:id="879"/>
      <w:bookmarkEnd w:id="880"/>
      <w:bookmarkEnd w:id="881"/>
      <w:bookmarkEnd w:id="882"/>
      <w:r w:rsidRPr="00693805">
        <w:rPr>
          <w:b/>
          <w:lang w:val="fr-FR"/>
        </w:rPr>
        <w:t xml:space="preserve"> </w:t>
      </w:r>
      <w:bookmarkStart w:id="883" w:name="_Toc20820272"/>
      <w:bookmarkStart w:id="884" w:name="_Toc32511679"/>
      <w:bookmarkStart w:id="885" w:name="_Toc51072660"/>
      <w:r w:rsidRPr="00693805">
        <w:rPr>
          <w:b/>
          <w:lang w:val="fr-FR"/>
        </w:rPr>
        <w:t>Les principales taches de l’ECI pour la préparation de l’EIES</w:t>
      </w:r>
      <w:bookmarkEnd w:id="883"/>
      <w:bookmarkEnd w:id="884"/>
      <w:bookmarkEnd w:id="885"/>
    </w:p>
    <w:p w:rsidR="00181BAB" w:rsidRPr="00693805" w:rsidRDefault="00181BAB" w:rsidP="000B53EE">
      <w:pPr>
        <w:spacing w:before="120" w:after="0"/>
        <w:jc w:val="both"/>
        <w:rPr>
          <w:b/>
          <w:u w:val="single"/>
        </w:rPr>
      </w:pPr>
      <w:r w:rsidRPr="00693805">
        <w:t>Le tableau ci-dessous décrit les tâches principales du Consultant (ECI) ou l’équipe qui préparera les EIES :</w:t>
      </w: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2"/>
        <w:gridCol w:w="7166"/>
      </w:tblGrid>
      <w:tr w:rsidR="00181BAB" w:rsidRPr="00693805" w:rsidTr="008734B0">
        <w:trPr>
          <w:trHeight w:val="432"/>
          <w:tblHeader/>
        </w:trPr>
        <w:tc>
          <w:tcPr>
            <w:tcW w:w="2122" w:type="dxa"/>
            <w:shd w:val="clear" w:color="auto" w:fill="D9D9D9"/>
            <w:vAlign w:val="center"/>
          </w:tcPr>
          <w:p w:rsidR="00181BAB" w:rsidRPr="008E2AF6" w:rsidRDefault="00181BAB" w:rsidP="008E2AF6">
            <w:pPr>
              <w:spacing w:after="0" w:line="240" w:lineRule="auto"/>
              <w:jc w:val="center"/>
              <w:rPr>
                <w:rFonts w:ascii="Times New Roman" w:hAnsi="Times New Roman" w:cs="Times New Roman"/>
                <w:b/>
                <w:sz w:val="20"/>
                <w:szCs w:val="20"/>
              </w:rPr>
            </w:pPr>
            <w:r w:rsidRPr="008E2AF6">
              <w:rPr>
                <w:rFonts w:ascii="Times New Roman" w:hAnsi="Times New Roman" w:cs="Times New Roman"/>
                <w:b/>
                <w:bCs/>
                <w:sz w:val="20"/>
                <w:szCs w:val="20"/>
              </w:rPr>
              <w:t>Etape</w:t>
            </w:r>
          </w:p>
        </w:tc>
        <w:tc>
          <w:tcPr>
            <w:tcW w:w="7166" w:type="dxa"/>
            <w:shd w:val="clear" w:color="auto" w:fill="D9D9D9"/>
            <w:vAlign w:val="center"/>
          </w:tcPr>
          <w:p w:rsidR="00181BAB" w:rsidRPr="008E2AF6" w:rsidRDefault="00181BAB" w:rsidP="008E2AF6">
            <w:pPr>
              <w:spacing w:after="0" w:line="240" w:lineRule="auto"/>
              <w:jc w:val="center"/>
              <w:rPr>
                <w:rFonts w:ascii="Times New Roman" w:hAnsi="Times New Roman" w:cs="Times New Roman"/>
                <w:b/>
                <w:sz w:val="20"/>
                <w:szCs w:val="20"/>
                <w:u w:val="single"/>
              </w:rPr>
            </w:pPr>
            <w:r w:rsidRPr="008E2AF6">
              <w:rPr>
                <w:rFonts w:ascii="Times New Roman" w:hAnsi="Times New Roman" w:cs="Times New Roman"/>
                <w:b/>
                <w:bCs/>
                <w:sz w:val="20"/>
                <w:szCs w:val="20"/>
              </w:rPr>
              <w:t>Synthèse de l’approche</w:t>
            </w:r>
          </w:p>
        </w:tc>
      </w:tr>
      <w:tr w:rsidR="00181BAB" w:rsidRPr="00693805" w:rsidTr="008734B0">
        <w:tc>
          <w:tcPr>
            <w:tcW w:w="2122" w:type="dxa"/>
            <w:shd w:val="clear" w:color="auto" w:fill="auto"/>
            <w:vAlign w:val="center"/>
          </w:tcPr>
          <w:p w:rsidR="00181BAB" w:rsidRPr="008E2AF6" w:rsidRDefault="00181BAB" w:rsidP="008E2AF6">
            <w:pPr>
              <w:spacing w:after="0" w:line="240" w:lineRule="auto"/>
              <w:jc w:val="center"/>
              <w:rPr>
                <w:rFonts w:ascii="Times New Roman" w:hAnsi="Times New Roman" w:cs="Times New Roman"/>
                <w:b/>
                <w:sz w:val="20"/>
                <w:szCs w:val="20"/>
              </w:rPr>
            </w:pPr>
            <w:r w:rsidRPr="008E2AF6">
              <w:rPr>
                <w:rFonts w:ascii="Times New Roman" w:hAnsi="Times New Roman" w:cs="Times New Roman"/>
                <w:b/>
                <w:sz w:val="20"/>
                <w:szCs w:val="20"/>
              </w:rPr>
              <w:t>Cadrage</w:t>
            </w:r>
          </w:p>
        </w:tc>
        <w:tc>
          <w:tcPr>
            <w:tcW w:w="7166" w:type="dxa"/>
            <w:shd w:val="clear" w:color="auto" w:fill="auto"/>
          </w:tcPr>
          <w:p w:rsidR="00181BAB" w:rsidRPr="008E2AF6" w:rsidRDefault="00181BAB" w:rsidP="008E2AF6">
            <w:pPr>
              <w:autoSpaceDE w:val="0"/>
              <w:autoSpaceDN w:val="0"/>
              <w:adjustRightInd w:val="0"/>
              <w:spacing w:after="0" w:line="240" w:lineRule="auto"/>
              <w:jc w:val="both"/>
              <w:rPr>
                <w:rFonts w:ascii="Times New Roman" w:hAnsi="Times New Roman" w:cs="Times New Roman"/>
                <w:sz w:val="20"/>
                <w:szCs w:val="20"/>
              </w:rPr>
            </w:pPr>
            <w:r w:rsidRPr="008E2AF6">
              <w:rPr>
                <w:rFonts w:ascii="Times New Roman" w:hAnsi="Times New Roman" w:cs="Times New Roman"/>
                <w:sz w:val="20"/>
                <w:szCs w:val="20"/>
              </w:rPr>
              <w:t>La phase de cadrage a pour but de s’assurer que le processus d’EIES cible effectivement tous les risques et les impacts environnementaux et sociaux significatifs potentiellement associés á la mise en œuvre du Projet.</w:t>
            </w:r>
          </w:p>
          <w:p w:rsidR="00181BAB" w:rsidRPr="008E2AF6" w:rsidRDefault="00181BAB" w:rsidP="008E2AF6">
            <w:pPr>
              <w:autoSpaceDE w:val="0"/>
              <w:autoSpaceDN w:val="0"/>
              <w:adjustRightInd w:val="0"/>
              <w:spacing w:after="0" w:line="240" w:lineRule="auto"/>
              <w:jc w:val="both"/>
              <w:rPr>
                <w:rFonts w:ascii="Times New Roman" w:hAnsi="Times New Roman" w:cs="Times New Roman"/>
                <w:sz w:val="20"/>
                <w:szCs w:val="20"/>
              </w:rPr>
            </w:pPr>
            <w:r w:rsidRPr="008E2AF6">
              <w:rPr>
                <w:rFonts w:ascii="Times New Roman" w:hAnsi="Times New Roman" w:cs="Times New Roman"/>
                <w:sz w:val="20"/>
                <w:szCs w:val="20"/>
              </w:rPr>
              <w:t>Le cadrage de l’étude consiste en l’examen des exigences juridiques, administratives et techniques relatives aux questions d’intégration environnementale du projet. Cette phase préliminaire considérera aussi bien les exigences locales que celles demandées par les partenaires financiers.</w:t>
            </w:r>
          </w:p>
          <w:p w:rsidR="00181BAB" w:rsidRPr="008E2AF6" w:rsidRDefault="00181BAB" w:rsidP="008E2AF6">
            <w:pPr>
              <w:autoSpaceDE w:val="0"/>
              <w:autoSpaceDN w:val="0"/>
              <w:adjustRightInd w:val="0"/>
              <w:spacing w:after="0" w:line="240" w:lineRule="auto"/>
              <w:jc w:val="both"/>
              <w:rPr>
                <w:rFonts w:ascii="Times New Roman" w:hAnsi="Times New Roman" w:cs="Times New Roman"/>
                <w:sz w:val="20"/>
                <w:szCs w:val="20"/>
              </w:rPr>
            </w:pPr>
            <w:r w:rsidRPr="008E2AF6">
              <w:rPr>
                <w:rFonts w:ascii="Times New Roman" w:hAnsi="Times New Roman" w:cs="Times New Roman"/>
                <w:sz w:val="20"/>
                <w:szCs w:val="20"/>
              </w:rPr>
              <w:t>Cette phase implique une prise en compte systématique des champs d’interaction possible entre le Projet et le milieu naturel et humain, afin d’identifier quelles interactions sont susceptibles de générer des risques et les impacts significatifs.</w:t>
            </w:r>
          </w:p>
          <w:p w:rsidR="00181BAB" w:rsidRPr="008E2AF6" w:rsidRDefault="00181BAB" w:rsidP="008E2AF6">
            <w:pPr>
              <w:autoSpaceDE w:val="0"/>
              <w:autoSpaceDN w:val="0"/>
              <w:adjustRightInd w:val="0"/>
              <w:spacing w:after="0" w:line="240" w:lineRule="auto"/>
              <w:jc w:val="both"/>
              <w:rPr>
                <w:rFonts w:ascii="Times New Roman" w:hAnsi="Times New Roman" w:cs="Times New Roman"/>
                <w:sz w:val="20"/>
                <w:szCs w:val="20"/>
              </w:rPr>
            </w:pPr>
            <w:r w:rsidRPr="008E2AF6">
              <w:rPr>
                <w:rFonts w:ascii="Times New Roman" w:hAnsi="Times New Roman" w:cs="Times New Roman"/>
                <w:sz w:val="20"/>
                <w:szCs w:val="20"/>
              </w:rPr>
              <w:t>Les résultats de la phase de cadrage sont présentés et les améliorations dans ces TdR préliminaires avant de leurs soumettre à l’approbation du gouvernement. Ils serviront de base à la planification de la suite des études d’EIES.</w:t>
            </w:r>
          </w:p>
          <w:p w:rsidR="00181BAB" w:rsidRPr="008E2AF6" w:rsidRDefault="00181BAB" w:rsidP="008E2AF6">
            <w:pPr>
              <w:autoSpaceDE w:val="0"/>
              <w:autoSpaceDN w:val="0"/>
              <w:adjustRightInd w:val="0"/>
              <w:spacing w:after="0" w:line="240" w:lineRule="auto"/>
              <w:jc w:val="both"/>
              <w:rPr>
                <w:rFonts w:ascii="Times New Roman" w:hAnsi="Times New Roman" w:cs="Times New Roman"/>
                <w:b/>
                <w:sz w:val="20"/>
                <w:szCs w:val="20"/>
                <w:u w:val="single"/>
              </w:rPr>
            </w:pPr>
            <w:r w:rsidRPr="008E2AF6">
              <w:rPr>
                <w:rFonts w:ascii="Times New Roman" w:hAnsi="Times New Roman" w:cs="Times New Roman"/>
                <w:sz w:val="20"/>
                <w:szCs w:val="20"/>
              </w:rPr>
              <w:t>Le cadre de ces études sera revu et mis à jour en continu, à mesure que de nouvelles données ressortiront des études des sensibilités environnementales et sociales à l’état initial, et tout au long de l’EIES. Cette dernière tiendra également compte des résultats des consultations publics relatives au Projet.</w:t>
            </w:r>
          </w:p>
        </w:tc>
      </w:tr>
      <w:tr w:rsidR="00181BAB" w:rsidRPr="00693805" w:rsidTr="008734B0">
        <w:tc>
          <w:tcPr>
            <w:tcW w:w="2122" w:type="dxa"/>
            <w:shd w:val="clear" w:color="auto" w:fill="auto"/>
            <w:vAlign w:val="center"/>
          </w:tcPr>
          <w:p w:rsidR="00181BAB" w:rsidRPr="008E2AF6" w:rsidRDefault="00181BAB" w:rsidP="008E2AF6">
            <w:pPr>
              <w:spacing w:after="0" w:line="240" w:lineRule="auto"/>
              <w:jc w:val="center"/>
              <w:rPr>
                <w:rFonts w:ascii="Times New Roman" w:hAnsi="Times New Roman" w:cs="Times New Roman"/>
                <w:b/>
                <w:sz w:val="20"/>
                <w:szCs w:val="20"/>
              </w:rPr>
            </w:pPr>
            <w:r w:rsidRPr="008E2AF6">
              <w:rPr>
                <w:rFonts w:ascii="Times New Roman" w:hAnsi="Times New Roman" w:cs="Times New Roman"/>
                <w:b/>
                <w:sz w:val="20"/>
                <w:szCs w:val="20"/>
              </w:rPr>
              <w:t>La description détaillé du sous-projet et ses composantes ou activités</w:t>
            </w:r>
          </w:p>
        </w:tc>
        <w:tc>
          <w:tcPr>
            <w:tcW w:w="7166" w:type="dxa"/>
            <w:shd w:val="clear" w:color="auto" w:fill="auto"/>
          </w:tcPr>
          <w:p w:rsidR="00181BAB" w:rsidRPr="008E2AF6" w:rsidRDefault="00181BAB" w:rsidP="008E2AF6">
            <w:pPr>
              <w:autoSpaceDE w:val="0"/>
              <w:autoSpaceDN w:val="0"/>
              <w:adjustRightInd w:val="0"/>
              <w:spacing w:after="0" w:line="240" w:lineRule="auto"/>
              <w:jc w:val="both"/>
              <w:rPr>
                <w:rFonts w:ascii="Times New Roman" w:hAnsi="Times New Roman" w:cs="Times New Roman"/>
                <w:sz w:val="20"/>
                <w:szCs w:val="20"/>
              </w:rPr>
            </w:pPr>
            <w:r w:rsidRPr="008E2AF6">
              <w:rPr>
                <w:rFonts w:ascii="Times New Roman" w:hAnsi="Times New Roman" w:cs="Times New Roman"/>
                <w:sz w:val="20"/>
                <w:szCs w:val="20"/>
              </w:rPr>
              <w:t>Dans un premier temps le Consultant présentera une justification économique, sociale et/ou technique du projet ; il abordera par la suite la description de toutes les composantes du projet : ses spécificités techniques, les matériaux, les zones d’emprunts et carrières, l’utilisation des ressources naturelles (eau, sables, etc.), les besoins en énergie, le calendrier d’exécution, la main d’œuvre. Cette description du projet nécessite la présentation des alternatives possibles. La notion d’alternative comprend: les options techniques, les options d’emplacement, … enfin, la description du projet présentera ses bénéficiaires.</w:t>
            </w:r>
          </w:p>
        </w:tc>
      </w:tr>
      <w:tr w:rsidR="00181BAB" w:rsidRPr="00693805" w:rsidTr="008734B0">
        <w:tc>
          <w:tcPr>
            <w:tcW w:w="2122" w:type="dxa"/>
            <w:shd w:val="clear" w:color="auto" w:fill="auto"/>
            <w:vAlign w:val="center"/>
          </w:tcPr>
          <w:p w:rsidR="00181BAB" w:rsidRPr="008E2AF6" w:rsidRDefault="00181BAB" w:rsidP="008E2AF6">
            <w:pPr>
              <w:autoSpaceDE w:val="0"/>
              <w:autoSpaceDN w:val="0"/>
              <w:adjustRightInd w:val="0"/>
              <w:spacing w:after="0" w:line="240" w:lineRule="auto"/>
              <w:jc w:val="center"/>
              <w:rPr>
                <w:rFonts w:ascii="Times New Roman" w:hAnsi="Times New Roman" w:cs="Times New Roman"/>
                <w:b/>
                <w:sz w:val="20"/>
                <w:szCs w:val="20"/>
              </w:rPr>
            </w:pPr>
            <w:r w:rsidRPr="008E2AF6">
              <w:rPr>
                <w:rFonts w:ascii="Times New Roman" w:hAnsi="Times New Roman" w:cs="Times New Roman"/>
                <w:b/>
                <w:bCs/>
                <w:sz w:val="20"/>
                <w:szCs w:val="20"/>
              </w:rPr>
              <w:t>Définition de l’état initial environnemental et social du Projet</w:t>
            </w:r>
          </w:p>
        </w:tc>
        <w:tc>
          <w:tcPr>
            <w:tcW w:w="7166" w:type="dxa"/>
            <w:shd w:val="clear" w:color="auto" w:fill="auto"/>
          </w:tcPr>
          <w:p w:rsidR="00181BAB" w:rsidRPr="008E2AF6" w:rsidRDefault="00181BAB" w:rsidP="008E2AF6">
            <w:pPr>
              <w:autoSpaceDE w:val="0"/>
              <w:autoSpaceDN w:val="0"/>
              <w:adjustRightInd w:val="0"/>
              <w:spacing w:after="0" w:line="240" w:lineRule="auto"/>
              <w:jc w:val="both"/>
              <w:rPr>
                <w:rFonts w:ascii="Times New Roman" w:hAnsi="Times New Roman" w:cs="Times New Roman"/>
                <w:sz w:val="20"/>
                <w:szCs w:val="20"/>
              </w:rPr>
            </w:pPr>
            <w:r w:rsidRPr="008E2AF6">
              <w:rPr>
                <w:rFonts w:ascii="Times New Roman" w:hAnsi="Times New Roman" w:cs="Times New Roman"/>
                <w:sz w:val="20"/>
                <w:szCs w:val="20"/>
              </w:rPr>
              <w:t>Le Consultant entreprendra la description et l’étude du milieu d’implantation ; la notion de milieu est ici entendu dans son sens le plus large et concernera notamment le milieu biophysique mais également l’environnement socioéconomique et culturel ; en particulier elle impliquera les infrastructures et équipements collectifs, les équipements économiques, les villages et les modes de production, les sites remarquables, les zones boisés, les rites et pratiques culturelles, les usages des infrastructures, etc.</w:t>
            </w:r>
          </w:p>
          <w:p w:rsidR="00181BAB" w:rsidRPr="008E2AF6" w:rsidRDefault="00181BAB" w:rsidP="008E2AF6">
            <w:pPr>
              <w:autoSpaceDE w:val="0"/>
              <w:autoSpaceDN w:val="0"/>
              <w:adjustRightInd w:val="0"/>
              <w:spacing w:after="0" w:line="240" w:lineRule="auto"/>
              <w:jc w:val="both"/>
              <w:rPr>
                <w:rFonts w:ascii="Times New Roman" w:hAnsi="Times New Roman" w:cs="Times New Roman"/>
                <w:sz w:val="20"/>
                <w:szCs w:val="20"/>
              </w:rPr>
            </w:pPr>
            <w:r w:rsidRPr="008E2AF6">
              <w:rPr>
                <w:rFonts w:ascii="Times New Roman" w:hAnsi="Times New Roman" w:cs="Times New Roman"/>
                <w:sz w:val="20"/>
                <w:szCs w:val="20"/>
              </w:rPr>
              <w:t xml:space="preserve">Le Consultant identifiera en outre les enjeux environnementaux et sociaux des milieux étudiés. C’est-à-dire pour les principales problématiques identifiées au cours de la phase de cadrage, le contexte environnemental et social existant sera étudié. L’accent sera mis sur les sensibilités environnementales et sociales potentiellement concernées dans la zone d’influence du Projet. Des études de terrain seront menées. </w:t>
            </w:r>
          </w:p>
          <w:p w:rsidR="00181BAB" w:rsidRPr="008E2AF6" w:rsidRDefault="00181BAB" w:rsidP="008E2AF6">
            <w:pPr>
              <w:autoSpaceDE w:val="0"/>
              <w:autoSpaceDN w:val="0"/>
              <w:adjustRightInd w:val="0"/>
              <w:spacing w:after="0" w:line="240" w:lineRule="auto"/>
              <w:jc w:val="both"/>
              <w:rPr>
                <w:rFonts w:ascii="Times New Roman" w:hAnsi="Times New Roman" w:cs="Times New Roman"/>
                <w:sz w:val="20"/>
                <w:szCs w:val="20"/>
              </w:rPr>
            </w:pPr>
            <w:r w:rsidRPr="008E2AF6">
              <w:rPr>
                <w:rFonts w:ascii="Times New Roman" w:hAnsi="Times New Roman" w:cs="Times New Roman"/>
                <w:sz w:val="20"/>
                <w:szCs w:val="20"/>
              </w:rPr>
              <w:t>Les aspects environnementaux et sociaux à prendre en compte sont énumérés ci-dessous :</w:t>
            </w:r>
          </w:p>
          <w:p w:rsidR="00181BAB" w:rsidRPr="008E2AF6" w:rsidRDefault="00181BAB" w:rsidP="00FA3FAE">
            <w:pPr>
              <w:pStyle w:val="PargrafodaLista"/>
              <w:numPr>
                <w:ilvl w:val="0"/>
                <w:numId w:val="176"/>
              </w:numPr>
              <w:autoSpaceDE w:val="0"/>
              <w:autoSpaceDN w:val="0"/>
              <w:adjustRightInd w:val="0"/>
              <w:spacing w:after="0" w:line="240" w:lineRule="auto"/>
              <w:ind w:left="360"/>
              <w:rPr>
                <w:rFonts w:ascii="Times New Roman" w:hAnsi="Times New Roman"/>
                <w:lang w:val="fr-FR" w:eastAsia="en-US"/>
              </w:rPr>
            </w:pPr>
            <w:r w:rsidRPr="008E2AF6">
              <w:rPr>
                <w:rFonts w:ascii="Times New Roman" w:hAnsi="Times New Roman"/>
                <w:lang w:val="fr-FR" w:eastAsia="en-US"/>
              </w:rPr>
              <w:t>Milieu physique :</w:t>
            </w:r>
          </w:p>
          <w:p w:rsidR="00181BAB" w:rsidRPr="008E2AF6" w:rsidRDefault="00181BAB" w:rsidP="00FA3FAE">
            <w:pPr>
              <w:pStyle w:val="PargrafodaLista"/>
              <w:numPr>
                <w:ilvl w:val="0"/>
                <w:numId w:val="177"/>
              </w:numPr>
              <w:autoSpaceDE w:val="0"/>
              <w:autoSpaceDN w:val="0"/>
              <w:adjustRightInd w:val="0"/>
              <w:spacing w:after="0" w:line="240" w:lineRule="auto"/>
              <w:ind w:left="1080"/>
              <w:rPr>
                <w:rFonts w:ascii="Times New Roman" w:hAnsi="Times New Roman"/>
                <w:lang w:val="fr-FR" w:eastAsia="en-US"/>
              </w:rPr>
            </w:pPr>
            <w:r w:rsidRPr="008E2AF6">
              <w:rPr>
                <w:rFonts w:ascii="Times New Roman" w:hAnsi="Times New Roman"/>
                <w:lang w:val="fr-FR" w:eastAsia="en-US"/>
              </w:rPr>
              <w:t>Géologie et sols ;</w:t>
            </w:r>
          </w:p>
          <w:p w:rsidR="00181BAB" w:rsidRPr="008E2AF6" w:rsidRDefault="00181BAB" w:rsidP="00FA3FAE">
            <w:pPr>
              <w:pStyle w:val="PargrafodaLista"/>
              <w:numPr>
                <w:ilvl w:val="0"/>
                <w:numId w:val="177"/>
              </w:numPr>
              <w:autoSpaceDE w:val="0"/>
              <w:autoSpaceDN w:val="0"/>
              <w:adjustRightInd w:val="0"/>
              <w:spacing w:after="0" w:line="240" w:lineRule="auto"/>
              <w:ind w:left="1080"/>
              <w:rPr>
                <w:rFonts w:ascii="Times New Roman" w:hAnsi="Times New Roman"/>
                <w:lang w:val="fr-FR" w:eastAsia="en-US"/>
              </w:rPr>
            </w:pPr>
            <w:r w:rsidRPr="008E2AF6">
              <w:rPr>
                <w:rFonts w:ascii="Times New Roman" w:hAnsi="Times New Roman"/>
                <w:lang w:val="fr-FR" w:eastAsia="en-US"/>
              </w:rPr>
              <w:t>Terrains et topographie ;</w:t>
            </w:r>
          </w:p>
          <w:p w:rsidR="00181BAB" w:rsidRPr="008E2AF6" w:rsidRDefault="00181BAB" w:rsidP="00FA3FAE">
            <w:pPr>
              <w:pStyle w:val="PargrafodaLista"/>
              <w:numPr>
                <w:ilvl w:val="0"/>
                <w:numId w:val="177"/>
              </w:numPr>
              <w:autoSpaceDE w:val="0"/>
              <w:autoSpaceDN w:val="0"/>
              <w:adjustRightInd w:val="0"/>
              <w:spacing w:after="0" w:line="240" w:lineRule="auto"/>
              <w:ind w:left="1080"/>
              <w:rPr>
                <w:rFonts w:ascii="Times New Roman" w:hAnsi="Times New Roman"/>
                <w:lang w:val="fr-FR" w:eastAsia="en-US"/>
              </w:rPr>
            </w:pPr>
            <w:r w:rsidRPr="008E2AF6">
              <w:rPr>
                <w:rFonts w:ascii="Times New Roman" w:hAnsi="Times New Roman"/>
                <w:lang w:val="fr-FR" w:eastAsia="en-US"/>
              </w:rPr>
              <w:t>Hydrologie et hydrogéologie ;</w:t>
            </w:r>
          </w:p>
          <w:p w:rsidR="00181BAB" w:rsidRPr="008E2AF6" w:rsidRDefault="00181BAB" w:rsidP="00FA3FAE">
            <w:pPr>
              <w:pStyle w:val="PargrafodaLista"/>
              <w:numPr>
                <w:ilvl w:val="0"/>
                <w:numId w:val="177"/>
              </w:numPr>
              <w:autoSpaceDE w:val="0"/>
              <w:autoSpaceDN w:val="0"/>
              <w:adjustRightInd w:val="0"/>
              <w:spacing w:after="0" w:line="240" w:lineRule="auto"/>
              <w:ind w:left="1080"/>
              <w:rPr>
                <w:rFonts w:ascii="Times New Roman" w:hAnsi="Times New Roman"/>
                <w:lang w:val="fr-FR" w:eastAsia="en-US"/>
              </w:rPr>
            </w:pPr>
            <w:r w:rsidRPr="008E2AF6">
              <w:rPr>
                <w:rFonts w:ascii="Times New Roman" w:hAnsi="Times New Roman"/>
                <w:lang w:val="fr-FR" w:eastAsia="en-US"/>
              </w:rPr>
              <w:t>Microclimat et climat mondial ;</w:t>
            </w:r>
          </w:p>
          <w:p w:rsidR="00181BAB" w:rsidRPr="008E2AF6" w:rsidRDefault="00181BAB" w:rsidP="00FA3FAE">
            <w:pPr>
              <w:pStyle w:val="PargrafodaLista"/>
              <w:numPr>
                <w:ilvl w:val="0"/>
                <w:numId w:val="177"/>
              </w:numPr>
              <w:autoSpaceDE w:val="0"/>
              <w:autoSpaceDN w:val="0"/>
              <w:adjustRightInd w:val="0"/>
              <w:spacing w:after="0" w:line="240" w:lineRule="auto"/>
              <w:ind w:left="1080"/>
              <w:rPr>
                <w:rFonts w:ascii="Times New Roman" w:hAnsi="Times New Roman"/>
                <w:lang w:val="fr-FR" w:eastAsia="en-US"/>
              </w:rPr>
            </w:pPr>
            <w:r w:rsidRPr="008E2AF6">
              <w:rPr>
                <w:rFonts w:ascii="Times New Roman" w:hAnsi="Times New Roman"/>
                <w:lang w:val="fr-FR" w:eastAsia="en-US"/>
              </w:rPr>
              <w:t>Eaux superficielles (océan et eaux continentales) et eaux souterraines ;</w:t>
            </w:r>
          </w:p>
          <w:p w:rsidR="00181BAB" w:rsidRPr="008E2AF6" w:rsidRDefault="00181BAB" w:rsidP="00FA3FAE">
            <w:pPr>
              <w:pStyle w:val="PargrafodaLista"/>
              <w:numPr>
                <w:ilvl w:val="0"/>
                <w:numId w:val="177"/>
              </w:numPr>
              <w:autoSpaceDE w:val="0"/>
              <w:autoSpaceDN w:val="0"/>
              <w:adjustRightInd w:val="0"/>
              <w:spacing w:after="0" w:line="240" w:lineRule="auto"/>
              <w:ind w:left="1080"/>
              <w:rPr>
                <w:rFonts w:ascii="Times New Roman" w:hAnsi="Times New Roman"/>
                <w:lang w:val="fr-FR" w:eastAsia="en-US"/>
              </w:rPr>
            </w:pPr>
            <w:r w:rsidRPr="008E2AF6">
              <w:rPr>
                <w:rFonts w:ascii="Times New Roman" w:hAnsi="Times New Roman"/>
                <w:lang w:val="fr-FR" w:eastAsia="en-US"/>
              </w:rPr>
              <w:t>Qualité de l’air ; et</w:t>
            </w:r>
          </w:p>
          <w:p w:rsidR="00181BAB" w:rsidRPr="008E2AF6" w:rsidRDefault="00181BAB" w:rsidP="00FA3FAE">
            <w:pPr>
              <w:pStyle w:val="PargrafodaLista"/>
              <w:numPr>
                <w:ilvl w:val="0"/>
                <w:numId w:val="177"/>
              </w:numPr>
              <w:autoSpaceDE w:val="0"/>
              <w:autoSpaceDN w:val="0"/>
              <w:adjustRightInd w:val="0"/>
              <w:spacing w:after="0" w:line="240" w:lineRule="auto"/>
              <w:ind w:left="1080"/>
              <w:rPr>
                <w:rFonts w:ascii="Times New Roman" w:hAnsi="Times New Roman"/>
                <w:lang w:val="fr-FR" w:eastAsia="en-US"/>
              </w:rPr>
            </w:pPr>
            <w:r w:rsidRPr="008E2AF6">
              <w:rPr>
                <w:rFonts w:ascii="Times New Roman" w:hAnsi="Times New Roman"/>
                <w:lang w:val="fr-FR" w:eastAsia="en-US"/>
              </w:rPr>
              <w:t>Bruit, vibrations, lumière.</w:t>
            </w:r>
          </w:p>
          <w:p w:rsidR="00181BAB" w:rsidRPr="008E2AF6" w:rsidRDefault="00181BAB" w:rsidP="00FA3FAE">
            <w:pPr>
              <w:pStyle w:val="PargrafodaLista"/>
              <w:numPr>
                <w:ilvl w:val="0"/>
                <w:numId w:val="176"/>
              </w:numPr>
              <w:autoSpaceDE w:val="0"/>
              <w:autoSpaceDN w:val="0"/>
              <w:adjustRightInd w:val="0"/>
              <w:spacing w:after="0" w:line="240" w:lineRule="auto"/>
              <w:ind w:left="360"/>
              <w:rPr>
                <w:rFonts w:ascii="Times New Roman" w:hAnsi="Times New Roman"/>
                <w:lang w:val="fr-FR" w:eastAsia="en-US"/>
              </w:rPr>
            </w:pPr>
            <w:r w:rsidRPr="008E2AF6">
              <w:rPr>
                <w:rFonts w:ascii="Times New Roman" w:hAnsi="Times New Roman"/>
                <w:lang w:val="fr-FR" w:eastAsia="en-US"/>
              </w:rPr>
              <w:t>Milieu biologique ou naturel :</w:t>
            </w:r>
          </w:p>
          <w:p w:rsidR="00181BAB" w:rsidRPr="008E2AF6" w:rsidRDefault="00181BAB" w:rsidP="00FA3FAE">
            <w:pPr>
              <w:pStyle w:val="PargrafodaLista"/>
              <w:numPr>
                <w:ilvl w:val="0"/>
                <w:numId w:val="177"/>
              </w:numPr>
              <w:autoSpaceDE w:val="0"/>
              <w:autoSpaceDN w:val="0"/>
              <w:adjustRightInd w:val="0"/>
              <w:spacing w:after="0" w:line="240" w:lineRule="auto"/>
              <w:ind w:left="1080"/>
              <w:rPr>
                <w:rFonts w:ascii="Times New Roman" w:hAnsi="Times New Roman"/>
                <w:lang w:val="fr-FR" w:eastAsia="en-US"/>
              </w:rPr>
            </w:pPr>
            <w:r w:rsidRPr="008E2AF6">
              <w:rPr>
                <w:rFonts w:ascii="Times New Roman" w:hAnsi="Times New Roman"/>
                <w:lang w:val="fr-FR" w:eastAsia="en-US"/>
              </w:rPr>
              <w:t>Habitats et écosystèmes aquatiques et terrestres ;</w:t>
            </w:r>
          </w:p>
          <w:p w:rsidR="00181BAB" w:rsidRPr="008E2AF6" w:rsidRDefault="00181BAB" w:rsidP="00FA3FAE">
            <w:pPr>
              <w:pStyle w:val="PargrafodaLista"/>
              <w:numPr>
                <w:ilvl w:val="0"/>
                <w:numId w:val="177"/>
              </w:numPr>
              <w:autoSpaceDE w:val="0"/>
              <w:autoSpaceDN w:val="0"/>
              <w:adjustRightInd w:val="0"/>
              <w:spacing w:after="0" w:line="240" w:lineRule="auto"/>
              <w:ind w:left="1080"/>
              <w:rPr>
                <w:rFonts w:ascii="Times New Roman" w:hAnsi="Times New Roman"/>
                <w:lang w:val="fr-FR" w:eastAsia="en-US"/>
              </w:rPr>
            </w:pPr>
            <w:r w:rsidRPr="008E2AF6">
              <w:rPr>
                <w:rFonts w:ascii="Times New Roman" w:hAnsi="Times New Roman"/>
                <w:lang w:val="fr-FR" w:eastAsia="en-US"/>
              </w:rPr>
              <w:t>Faune, flore et biodiversité ;</w:t>
            </w:r>
          </w:p>
          <w:p w:rsidR="00181BAB" w:rsidRPr="008E2AF6" w:rsidRDefault="00181BAB" w:rsidP="00FA3FAE">
            <w:pPr>
              <w:pStyle w:val="PargrafodaLista"/>
              <w:numPr>
                <w:ilvl w:val="0"/>
                <w:numId w:val="177"/>
              </w:numPr>
              <w:autoSpaceDE w:val="0"/>
              <w:autoSpaceDN w:val="0"/>
              <w:adjustRightInd w:val="0"/>
              <w:spacing w:after="0" w:line="240" w:lineRule="auto"/>
              <w:ind w:left="1080"/>
              <w:rPr>
                <w:rFonts w:ascii="Times New Roman" w:hAnsi="Times New Roman"/>
                <w:lang w:val="fr-FR" w:eastAsia="en-US"/>
              </w:rPr>
            </w:pPr>
            <w:r w:rsidRPr="008E2AF6">
              <w:rPr>
                <w:rFonts w:ascii="Times New Roman" w:hAnsi="Times New Roman"/>
                <w:lang w:val="fr-FR" w:eastAsia="en-US"/>
              </w:rPr>
              <w:t>Aires réservées, sacrées et protégées ; et</w:t>
            </w:r>
          </w:p>
          <w:p w:rsidR="00181BAB" w:rsidRPr="008E2AF6" w:rsidRDefault="00181BAB" w:rsidP="00FA3FAE">
            <w:pPr>
              <w:pStyle w:val="PargrafodaLista"/>
              <w:numPr>
                <w:ilvl w:val="0"/>
                <w:numId w:val="177"/>
              </w:numPr>
              <w:autoSpaceDE w:val="0"/>
              <w:autoSpaceDN w:val="0"/>
              <w:adjustRightInd w:val="0"/>
              <w:spacing w:after="0" w:line="240" w:lineRule="auto"/>
              <w:ind w:left="1080"/>
              <w:rPr>
                <w:rFonts w:ascii="Times New Roman" w:hAnsi="Times New Roman"/>
                <w:lang w:val="fr-FR" w:eastAsia="en-US"/>
              </w:rPr>
            </w:pPr>
            <w:r w:rsidRPr="008E2AF6">
              <w:rPr>
                <w:rFonts w:ascii="Times New Roman" w:hAnsi="Times New Roman"/>
                <w:lang w:val="fr-FR" w:eastAsia="en-US"/>
              </w:rPr>
              <w:t>Services rendus par les écosystèmes.</w:t>
            </w:r>
          </w:p>
          <w:p w:rsidR="00181BAB" w:rsidRPr="008E2AF6" w:rsidRDefault="00181BAB" w:rsidP="00FA3FAE">
            <w:pPr>
              <w:pStyle w:val="PargrafodaLista"/>
              <w:numPr>
                <w:ilvl w:val="0"/>
                <w:numId w:val="176"/>
              </w:numPr>
              <w:autoSpaceDE w:val="0"/>
              <w:autoSpaceDN w:val="0"/>
              <w:adjustRightInd w:val="0"/>
              <w:spacing w:after="0" w:line="240" w:lineRule="auto"/>
              <w:ind w:left="360"/>
              <w:rPr>
                <w:rFonts w:ascii="Times New Roman" w:hAnsi="Times New Roman"/>
                <w:lang w:val="fr-FR" w:eastAsia="en-US"/>
              </w:rPr>
            </w:pPr>
            <w:r w:rsidRPr="008E2AF6">
              <w:rPr>
                <w:rFonts w:ascii="Times New Roman" w:hAnsi="Times New Roman"/>
                <w:lang w:val="fr-FR" w:eastAsia="en-US"/>
              </w:rPr>
              <w:t>Milieu culturel :</w:t>
            </w:r>
          </w:p>
          <w:p w:rsidR="00181BAB" w:rsidRPr="008E2AF6" w:rsidRDefault="00181BAB" w:rsidP="00FA3FAE">
            <w:pPr>
              <w:pStyle w:val="PargrafodaLista"/>
              <w:numPr>
                <w:ilvl w:val="0"/>
                <w:numId w:val="177"/>
              </w:numPr>
              <w:autoSpaceDE w:val="0"/>
              <w:autoSpaceDN w:val="0"/>
              <w:adjustRightInd w:val="0"/>
              <w:spacing w:after="0" w:line="240" w:lineRule="auto"/>
              <w:ind w:left="1080"/>
              <w:rPr>
                <w:rFonts w:ascii="Times New Roman" w:hAnsi="Times New Roman"/>
                <w:lang w:val="fr-FR" w:eastAsia="en-US"/>
              </w:rPr>
            </w:pPr>
            <w:r w:rsidRPr="008E2AF6">
              <w:rPr>
                <w:rFonts w:ascii="Times New Roman" w:hAnsi="Times New Roman"/>
                <w:lang w:val="fr-FR" w:eastAsia="en-US"/>
              </w:rPr>
              <w:lastRenderedPageBreak/>
              <w:t>Patrimoine culturel matériel et immatériel, et sites d’intérêt archéologique, historique, traditionnel, culturel et esthétique ;</w:t>
            </w:r>
          </w:p>
          <w:p w:rsidR="00181BAB" w:rsidRPr="008E2AF6" w:rsidRDefault="00181BAB" w:rsidP="00FA3FAE">
            <w:pPr>
              <w:pStyle w:val="PargrafodaLista"/>
              <w:numPr>
                <w:ilvl w:val="0"/>
                <w:numId w:val="177"/>
              </w:numPr>
              <w:autoSpaceDE w:val="0"/>
              <w:autoSpaceDN w:val="0"/>
              <w:adjustRightInd w:val="0"/>
              <w:spacing w:after="0" w:line="240" w:lineRule="auto"/>
              <w:ind w:left="1080"/>
              <w:rPr>
                <w:rFonts w:ascii="Times New Roman" w:hAnsi="Times New Roman"/>
                <w:lang w:val="fr-FR" w:eastAsia="en-US"/>
              </w:rPr>
            </w:pPr>
            <w:r w:rsidRPr="008E2AF6">
              <w:rPr>
                <w:rFonts w:ascii="Times New Roman" w:hAnsi="Times New Roman"/>
                <w:lang w:val="fr-FR" w:eastAsia="en-US"/>
              </w:rPr>
              <w:t>Traditions, pratiques et fêtes culturelles ; et</w:t>
            </w:r>
          </w:p>
          <w:p w:rsidR="00181BAB" w:rsidRPr="008E2AF6" w:rsidRDefault="00181BAB" w:rsidP="00FA3FAE">
            <w:pPr>
              <w:pStyle w:val="PargrafodaLista"/>
              <w:numPr>
                <w:ilvl w:val="0"/>
                <w:numId w:val="177"/>
              </w:numPr>
              <w:autoSpaceDE w:val="0"/>
              <w:autoSpaceDN w:val="0"/>
              <w:adjustRightInd w:val="0"/>
              <w:spacing w:after="0" w:line="240" w:lineRule="auto"/>
              <w:ind w:left="1080"/>
              <w:rPr>
                <w:rFonts w:ascii="Times New Roman" w:hAnsi="Times New Roman"/>
                <w:lang w:val="fr-FR" w:eastAsia="en-US"/>
              </w:rPr>
            </w:pPr>
            <w:r w:rsidRPr="008E2AF6">
              <w:rPr>
                <w:rFonts w:ascii="Times New Roman" w:hAnsi="Times New Roman"/>
                <w:lang w:val="fr-FR" w:eastAsia="en-US"/>
              </w:rPr>
              <w:t>Paysage et sites remarquables sur le plan esthétique.</w:t>
            </w:r>
          </w:p>
          <w:p w:rsidR="00181BAB" w:rsidRPr="008E2AF6" w:rsidRDefault="00181BAB" w:rsidP="00FA3FAE">
            <w:pPr>
              <w:pStyle w:val="PargrafodaLista"/>
              <w:numPr>
                <w:ilvl w:val="0"/>
                <w:numId w:val="176"/>
              </w:numPr>
              <w:autoSpaceDE w:val="0"/>
              <w:autoSpaceDN w:val="0"/>
              <w:adjustRightInd w:val="0"/>
              <w:spacing w:after="0" w:line="240" w:lineRule="auto"/>
              <w:ind w:left="360"/>
              <w:rPr>
                <w:rFonts w:ascii="Times New Roman" w:hAnsi="Times New Roman"/>
                <w:lang w:val="fr-FR" w:eastAsia="en-US"/>
              </w:rPr>
            </w:pPr>
            <w:r w:rsidRPr="008E2AF6">
              <w:rPr>
                <w:rFonts w:ascii="Times New Roman" w:hAnsi="Times New Roman"/>
                <w:lang w:val="fr-FR" w:eastAsia="en-US"/>
              </w:rPr>
              <w:t>Milieu social et socioéconomique :</w:t>
            </w:r>
          </w:p>
          <w:p w:rsidR="00181BAB" w:rsidRPr="008E2AF6" w:rsidRDefault="00181BAB" w:rsidP="00FA3FAE">
            <w:pPr>
              <w:pStyle w:val="PargrafodaLista"/>
              <w:numPr>
                <w:ilvl w:val="0"/>
                <w:numId w:val="177"/>
              </w:numPr>
              <w:autoSpaceDE w:val="0"/>
              <w:autoSpaceDN w:val="0"/>
              <w:adjustRightInd w:val="0"/>
              <w:spacing w:after="0" w:line="240" w:lineRule="auto"/>
              <w:ind w:left="1080"/>
              <w:rPr>
                <w:rFonts w:ascii="Times New Roman" w:hAnsi="Times New Roman"/>
                <w:lang w:val="fr-FR" w:eastAsia="en-US"/>
              </w:rPr>
            </w:pPr>
            <w:r w:rsidRPr="008E2AF6">
              <w:rPr>
                <w:rFonts w:ascii="Times New Roman" w:hAnsi="Times New Roman"/>
                <w:lang w:val="fr-FR" w:eastAsia="en-US"/>
              </w:rPr>
              <w:t>Populations et leurs habitations, terrains, autres ressources et biens ;</w:t>
            </w:r>
          </w:p>
          <w:p w:rsidR="00181BAB" w:rsidRPr="008E2AF6" w:rsidRDefault="00181BAB" w:rsidP="00FA3FAE">
            <w:pPr>
              <w:pStyle w:val="PargrafodaLista"/>
              <w:numPr>
                <w:ilvl w:val="0"/>
                <w:numId w:val="177"/>
              </w:numPr>
              <w:autoSpaceDE w:val="0"/>
              <w:autoSpaceDN w:val="0"/>
              <w:adjustRightInd w:val="0"/>
              <w:spacing w:after="0" w:line="240" w:lineRule="auto"/>
              <w:ind w:left="1080"/>
              <w:rPr>
                <w:rFonts w:ascii="Times New Roman" w:hAnsi="Times New Roman"/>
                <w:lang w:val="fr-FR" w:eastAsia="en-US"/>
              </w:rPr>
            </w:pPr>
            <w:r w:rsidRPr="008E2AF6">
              <w:rPr>
                <w:rFonts w:ascii="Times New Roman" w:hAnsi="Times New Roman"/>
                <w:lang w:val="fr-FR" w:eastAsia="en-US"/>
              </w:rPr>
              <w:t>Caractéristiques et structures des communautés ;</w:t>
            </w:r>
          </w:p>
          <w:p w:rsidR="00181BAB" w:rsidRPr="008E2AF6" w:rsidRDefault="00181BAB" w:rsidP="00FA3FAE">
            <w:pPr>
              <w:pStyle w:val="PargrafodaLista"/>
              <w:numPr>
                <w:ilvl w:val="0"/>
                <w:numId w:val="177"/>
              </w:numPr>
              <w:autoSpaceDE w:val="0"/>
              <w:autoSpaceDN w:val="0"/>
              <w:adjustRightInd w:val="0"/>
              <w:spacing w:after="0" w:line="240" w:lineRule="auto"/>
              <w:ind w:left="1080"/>
              <w:rPr>
                <w:rFonts w:ascii="Times New Roman" w:hAnsi="Times New Roman"/>
                <w:lang w:val="fr-FR" w:eastAsia="en-US"/>
              </w:rPr>
            </w:pPr>
            <w:r w:rsidRPr="008E2AF6">
              <w:rPr>
                <w:rFonts w:ascii="Times New Roman" w:hAnsi="Times New Roman"/>
                <w:lang w:val="fr-FR" w:eastAsia="en-US"/>
              </w:rPr>
              <w:t>Population et démographie ;</w:t>
            </w:r>
          </w:p>
          <w:p w:rsidR="00181BAB" w:rsidRPr="008E2AF6" w:rsidRDefault="00181BAB" w:rsidP="00FA3FAE">
            <w:pPr>
              <w:pStyle w:val="PargrafodaLista"/>
              <w:numPr>
                <w:ilvl w:val="0"/>
                <w:numId w:val="177"/>
              </w:numPr>
              <w:autoSpaceDE w:val="0"/>
              <w:autoSpaceDN w:val="0"/>
              <w:adjustRightInd w:val="0"/>
              <w:spacing w:after="0" w:line="240" w:lineRule="auto"/>
              <w:ind w:left="1080"/>
              <w:rPr>
                <w:rFonts w:ascii="Times New Roman" w:hAnsi="Times New Roman"/>
                <w:lang w:val="fr-FR" w:eastAsia="en-US"/>
              </w:rPr>
            </w:pPr>
            <w:r w:rsidRPr="008E2AF6">
              <w:rPr>
                <w:rFonts w:ascii="Times New Roman" w:hAnsi="Times New Roman"/>
                <w:lang w:val="fr-FR" w:eastAsia="en-US"/>
              </w:rPr>
              <w:t>Santé, bien-être, sécurité et sûreté ;</w:t>
            </w:r>
          </w:p>
          <w:p w:rsidR="00181BAB" w:rsidRPr="008E2AF6" w:rsidRDefault="00181BAB" w:rsidP="00FA3FAE">
            <w:pPr>
              <w:pStyle w:val="PargrafodaLista"/>
              <w:numPr>
                <w:ilvl w:val="0"/>
                <w:numId w:val="177"/>
              </w:numPr>
              <w:autoSpaceDE w:val="0"/>
              <w:autoSpaceDN w:val="0"/>
              <w:adjustRightInd w:val="0"/>
              <w:spacing w:after="0" w:line="240" w:lineRule="auto"/>
              <w:ind w:left="1080"/>
              <w:rPr>
                <w:rFonts w:ascii="Times New Roman" w:hAnsi="Times New Roman"/>
                <w:lang w:val="fr-FR" w:eastAsia="en-US"/>
              </w:rPr>
            </w:pPr>
            <w:r w:rsidRPr="008E2AF6">
              <w:rPr>
                <w:rFonts w:ascii="Times New Roman" w:hAnsi="Times New Roman"/>
                <w:lang w:val="fr-FR" w:eastAsia="en-US"/>
              </w:rPr>
              <w:t>Modes de vie incluant les moyens de subsistance, emploi et revenus ;</w:t>
            </w:r>
          </w:p>
          <w:p w:rsidR="00181BAB" w:rsidRPr="008E2AF6" w:rsidRDefault="00181BAB" w:rsidP="00FA3FAE">
            <w:pPr>
              <w:pStyle w:val="PargrafodaLista"/>
              <w:numPr>
                <w:ilvl w:val="0"/>
                <w:numId w:val="177"/>
              </w:numPr>
              <w:autoSpaceDE w:val="0"/>
              <w:autoSpaceDN w:val="0"/>
              <w:adjustRightInd w:val="0"/>
              <w:spacing w:after="0" w:line="240" w:lineRule="auto"/>
              <w:ind w:left="1080"/>
              <w:rPr>
                <w:rFonts w:ascii="Times New Roman" w:hAnsi="Times New Roman"/>
                <w:lang w:val="fr-FR" w:eastAsia="en-US"/>
              </w:rPr>
            </w:pPr>
            <w:r w:rsidRPr="008E2AF6">
              <w:rPr>
                <w:rFonts w:ascii="Times New Roman" w:hAnsi="Times New Roman"/>
                <w:lang w:val="fr-FR" w:eastAsia="en-US"/>
              </w:rPr>
              <w:t>Activités économiques dont l’industrie et le commerce, le tourisme, la pêche, l’agriculture et l’exploitation forestière ;</w:t>
            </w:r>
          </w:p>
          <w:p w:rsidR="00181BAB" w:rsidRPr="008E2AF6" w:rsidRDefault="00181BAB" w:rsidP="00FA3FAE">
            <w:pPr>
              <w:pStyle w:val="PargrafodaLista"/>
              <w:numPr>
                <w:ilvl w:val="0"/>
                <w:numId w:val="177"/>
              </w:numPr>
              <w:autoSpaceDE w:val="0"/>
              <w:autoSpaceDN w:val="0"/>
              <w:adjustRightInd w:val="0"/>
              <w:spacing w:after="0" w:line="240" w:lineRule="auto"/>
              <w:ind w:left="1080"/>
              <w:rPr>
                <w:rFonts w:ascii="Times New Roman" w:hAnsi="Times New Roman"/>
                <w:lang w:val="fr-FR" w:eastAsia="en-US"/>
              </w:rPr>
            </w:pPr>
            <w:r w:rsidRPr="008E2AF6">
              <w:rPr>
                <w:rFonts w:ascii="Times New Roman" w:hAnsi="Times New Roman"/>
                <w:lang w:val="fr-FR" w:eastAsia="en-US"/>
              </w:rPr>
              <w:t>Installations communautaires telles que les écoles, hôpitaux et centres de loisirs ;</w:t>
            </w:r>
          </w:p>
          <w:p w:rsidR="00181BAB" w:rsidRPr="008E2AF6" w:rsidRDefault="00181BAB" w:rsidP="00FA3FAE">
            <w:pPr>
              <w:pStyle w:val="PargrafodaLista"/>
              <w:numPr>
                <w:ilvl w:val="0"/>
                <w:numId w:val="177"/>
              </w:numPr>
              <w:autoSpaceDE w:val="0"/>
              <w:autoSpaceDN w:val="0"/>
              <w:adjustRightInd w:val="0"/>
              <w:spacing w:after="0" w:line="240" w:lineRule="auto"/>
              <w:ind w:left="1080"/>
              <w:rPr>
                <w:rFonts w:ascii="Times New Roman" w:hAnsi="Times New Roman"/>
                <w:lang w:val="fr-FR" w:eastAsia="en-US"/>
              </w:rPr>
            </w:pPr>
            <w:r w:rsidRPr="008E2AF6">
              <w:rPr>
                <w:rFonts w:ascii="Times New Roman" w:hAnsi="Times New Roman"/>
                <w:lang w:val="fr-FR" w:eastAsia="en-US"/>
              </w:rPr>
              <w:t>Utilités et infrastructures (électricité, eau, assainissement, gestion des déchets, transport) ;</w:t>
            </w:r>
          </w:p>
          <w:p w:rsidR="00181BAB" w:rsidRPr="008E2AF6" w:rsidRDefault="00181BAB" w:rsidP="00FA3FAE">
            <w:pPr>
              <w:pStyle w:val="PargrafodaLista"/>
              <w:numPr>
                <w:ilvl w:val="0"/>
                <w:numId w:val="177"/>
              </w:numPr>
              <w:autoSpaceDE w:val="0"/>
              <w:autoSpaceDN w:val="0"/>
              <w:adjustRightInd w:val="0"/>
              <w:spacing w:after="0" w:line="240" w:lineRule="auto"/>
              <w:ind w:left="1080"/>
              <w:rPr>
                <w:rFonts w:ascii="Times New Roman" w:hAnsi="Times New Roman"/>
                <w:lang w:val="fr-FR" w:eastAsia="en-US"/>
              </w:rPr>
            </w:pPr>
            <w:r w:rsidRPr="008E2AF6">
              <w:rPr>
                <w:rFonts w:ascii="Times New Roman" w:hAnsi="Times New Roman"/>
                <w:lang w:val="fr-FR" w:eastAsia="en-US"/>
              </w:rPr>
              <w:t>Services sociaux tels que les soins médicaux, l’éducation et l’accès aux biens ; et</w:t>
            </w:r>
          </w:p>
          <w:p w:rsidR="00181BAB" w:rsidRPr="00820701" w:rsidRDefault="00181BAB" w:rsidP="008E2AF6">
            <w:pPr>
              <w:pStyle w:val="Default"/>
              <w:numPr>
                <w:ilvl w:val="0"/>
                <w:numId w:val="177"/>
              </w:numPr>
              <w:ind w:left="1080"/>
              <w:jc w:val="both"/>
              <w:rPr>
                <w:rFonts w:ascii="Times New Roman" w:hAnsi="Times New Roman" w:cs="Times New Roman"/>
                <w:b/>
                <w:bCs/>
                <w:sz w:val="20"/>
                <w:szCs w:val="20"/>
              </w:rPr>
            </w:pPr>
            <w:r w:rsidRPr="008E2AF6">
              <w:rPr>
                <w:rFonts w:ascii="Times New Roman" w:hAnsi="Times New Roman" w:cs="Times New Roman"/>
                <w:sz w:val="20"/>
                <w:szCs w:val="20"/>
              </w:rPr>
              <w:t>Economies locale, régionale et nationale.</w:t>
            </w:r>
          </w:p>
          <w:p w:rsidR="00181BAB" w:rsidRPr="008E2AF6" w:rsidRDefault="00181BAB" w:rsidP="00820701">
            <w:pPr>
              <w:pStyle w:val="Default"/>
              <w:jc w:val="both"/>
              <w:rPr>
                <w:rFonts w:ascii="Times New Roman" w:hAnsi="Times New Roman" w:cs="Times New Roman"/>
                <w:b/>
                <w:bCs/>
                <w:sz w:val="20"/>
                <w:szCs w:val="20"/>
              </w:rPr>
            </w:pPr>
            <w:r w:rsidRPr="008E2AF6">
              <w:rPr>
                <w:rFonts w:ascii="Times New Roman" w:hAnsi="Times New Roman" w:cs="Times New Roman"/>
                <w:sz w:val="20"/>
                <w:szCs w:val="20"/>
              </w:rPr>
              <w:t>La description du projet prendra en compte les éléments suivants notés lors des visites de chantier du consultant</w:t>
            </w:r>
          </w:p>
        </w:tc>
      </w:tr>
      <w:tr w:rsidR="00181BAB" w:rsidRPr="00693805" w:rsidTr="008734B0">
        <w:tc>
          <w:tcPr>
            <w:tcW w:w="2122" w:type="dxa"/>
            <w:shd w:val="clear" w:color="auto" w:fill="auto"/>
            <w:vAlign w:val="center"/>
          </w:tcPr>
          <w:p w:rsidR="00181BAB" w:rsidRPr="008E2AF6" w:rsidRDefault="00181BAB" w:rsidP="008E2AF6">
            <w:pPr>
              <w:autoSpaceDE w:val="0"/>
              <w:autoSpaceDN w:val="0"/>
              <w:adjustRightInd w:val="0"/>
              <w:spacing w:after="0" w:line="240" w:lineRule="auto"/>
              <w:jc w:val="center"/>
              <w:rPr>
                <w:rFonts w:ascii="Times New Roman" w:hAnsi="Times New Roman" w:cs="Times New Roman"/>
                <w:b/>
                <w:bCs/>
                <w:sz w:val="20"/>
                <w:szCs w:val="20"/>
              </w:rPr>
            </w:pPr>
            <w:r w:rsidRPr="008E2AF6">
              <w:rPr>
                <w:rFonts w:ascii="Times New Roman" w:hAnsi="Times New Roman" w:cs="Times New Roman"/>
                <w:b/>
                <w:sz w:val="20"/>
                <w:szCs w:val="20"/>
              </w:rPr>
              <w:lastRenderedPageBreak/>
              <w:t>La délimitation du périmètre de l’étude</w:t>
            </w:r>
          </w:p>
        </w:tc>
        <w:tc>
          <w:tcPr>
            <w:tcW w:w="7166" w:type="dxa"/>
            <w:shd w:val="clear" w:color="auto" w:fill="auto"/>
          </w:tcPr>
          <w:p w:rsidR="00181BAB" w:rsidRPr="008E2AF6" w:rsidRDefault="00181BAB" w:rsidP="008E2AF6">
            <w:pPr>
              <w:autoSpaceDE w:val="0"/>
              <w:autoSpaceDN w:val="0"/>
              <w:adjustRightInd w:val="0"/>
              <w:spacing w:after="0" w:line="240" w:lineRule="auto"/>
              <w:jc w:val="both"/>
              <w:rPr>
                <w:rFonts w:ascii="Times New Roman" w:hAnsi="Times New Roman" w:cs="Times New Roman"/>
                <w:sz w:val="20"/>
                <w:szCs w:val="20"/>
              </w:rPr>
            </w:pPr>
            <w:r w:rsidRPr="008E2AF6">
              <w:rPr>
                <w:rFonts w:ascii="Times New Roman" w:hAnsi="Times New Roman" w:cs="Times New Roman"/>
                <w:sz w:val="20"/>
                <w:szCs w:val="20"/>
              </w:rPr>
              <w:t>Cette phase sera consacrée à l’élaboration d’une proposition de délimitation des limites de l’étude : les limites de l’étude circonscrit, notamment, l’étendue spatiale (site du projet, zone d’influence direct et zone d’influence indirect) ainsi que temporelle de l’étude. La délimitation des zones d’influences du projet doit inclus les sites d’extraction (carrières, emprunts et gîtes).</w:t>
            </w:r>
          </w:p>
        </w:tc>
      </w:tr>
      <w:tr w:rsidR="00181BAB" w:rsidRPr="00693805" w:rsidTr="008734B0">
        <w:tc>
          <w:tcPr>
            <w:tcW w:w="2122" w:type="dxa"/>
            <w:shd w:val="clear" w:color="auto" w:fill="auto"/>
            <w:vAlign w:val="center"/>
          </w:tcPr>
          <w:p w:rsidR="00181BAB" w:rsidRPr="008E2AF6" w:rsidRDefault="00181BAB" w:rsidP="008E2AF6">
            <w:pPr>
              <w:autoSpaceDE w:val="0"/>
              <w:autoSpaceDN w:val="0"/>
              <w:adjustRightInd w:val="0"/>
              <w:spacing w:after="0" w:line="240" w:lineRule="auto"/>
              <w:jc w:val="center"/>
              <w:rPr>
                <w:rFonts w:ascii="Times New Roman" w:hAnsi="Times New Roman" w:cs="Times New Roman"/>
                <w:b/>
                <w:bCs/>
                <w:sz w:val="20"/>
                <w:szCs w:val="20"/>
              </w:rPr>
            </w:pPr>
            <w:r w:rsidRPr="008E2AF6">
              <w:rPr>
                <w:rFonts w:ascii="Times New Roman" w:hAnsi="Times New Roman" w:cs="Times New Roman"/>
                <w:b/>
                <w:bCs/>
                <w:sz w:val="20"/>
                <w:szCs w:val="20"/>
              </w:rPr>
              <w:t>Analyse des</w:t>
            </w:r>
          </w:p>
          <w:p w:rsidR="00181BAB" w:rsidRPr="008E2AF6" w:rsidRDefault="00181BAB" w:rsidP="008E2AF6">
            <w:pPr>
              <w:spacing w:after="0" w:line="240" w:lineRule="auto"/>
              <w:jc w:val="center"/>
              <w:rPr>
                <w:rFonts w:ascii="Times New Roman" w:hAnsi="Times New Roman" w:cs="Times New Roman"/>
                <w:b/>
                <w:sz w:val="20"/>
                <w:szCs w:val="20"/>
              </w:rPr>
            </w:pPr>
            <w:r w:rsidRPr="008E2AF6">
              <w:rPr>
                <w:rFonts w:ascii="Times New Roman" w:hAnsi="Times New Roman" w:cs="Times New Roman"/>
                <w:b/>
                <w:bCs/>
                <w:sz w:val="20"/>
                <w:szCs w:val="20"/>
              </w:rPr>
              <w:t>alternatives</w:t>
            </w:r>
          </w:p>
        </w:tc>
        <w:tc>
          <w:tcPr>
            <w:tcW w:w="7166" w:type="dxa"/>
            <w:shd w:val="clear" w:color="auto" w:fill="auto"/>
          </w:tcPr>
          <w:p w:rsidR="00181BAB" w:rsidRPr="008E2AF6" w:rsidRDefault="00181BAB" w:rsidP="008E2AF6">
            <w:pPr>
              <w:autoSpaceDE w:val="0"/>
              <w:autoSpaceDN w:val="0"/>
              <w:adjustRightInd w:val="0"/>
              <w:spacing w:after="0" w:line="240" w:lineRule="auto"/>
              <w:jc w:val="both"/>
              <w:rPr>
                <w:rFonts w:ascii="Times New Roman" w:hAnsi="Times New Roman" w:cs="Times New Roman"/>
                <w:sz w:val="20"/>
                <w:szCs w:val="20"/>
              </w:rPr>
            </w:pPr>
            <w:r w:rsidRPr="008E2AF6">
              <w:rPr>
                <w:rFonts w:ascii="Times New Roman" w:hAnsi="Times New Roman" w:cs="Times New Roman"/>
                <w:sz w:val="20"/>
                <w:szCs w:val="20"/>
              </w:rPr>
              <w:t>Si des options alternatives pour l’implantation des sites ou le dimensionnement de composantes spécifiques du Projet peuvent être considérées, elles seront étudiées en concertation avec l’équipe technique du Projet.</w:t>
            </w:r>
          </w:p>
          <w:p w:rsidR="00181BAB" w:rsidRPr="008E2AF6" w:rsidRDefault="00181BAB" w:rsidP="008E2AF6">
            <w:pPr>
              <w:autoSpaceDE w:val="0"/>
              <w:autoSpaceDN w:val="0"/>
              <w:adjustRightInd w:val="0"/>
              <w:spacing w:after="0" w:line="240" w:lineRule="auto"/>
              <w:jc w:val="both"/>
              <w:rPr>
                <w:rFonts w:ascii="Times New Roman" w:hAnsi="Times New Roman" w:cs="Times New Roman"/>
                <w:sz w:val="20"/>
                <w:szCs w:val="20"/>
              </w:rPr>
            </w:pPr>
            <w:r w:rsidRPr="008E2AF6">
              <w:rPr>
                <w:rFonts w:ascii="Times New Roman" w:hAnsi="Times New Roman" w:cs="Times New Roman"/>
                <w:sz w:val="20"/>
                <w:szCs w:val="20"/>
              </w:rPr>
              <w:t>L’option « sans projet », c'est-à-dire le contexte environnemental et social résultant de l’évolution du milieu dans le cas où le Projet ne serait pas développé, sera également pris en compte.</w:t>
            </w:r>
          </w:p>
          <w:p w:rsidR="00181BAB" w:rsidRPr="008E2AF6" w:rsidRDefault="00181BAB" w:rsidP="008E2AF6">
            <w:pPr>
              <w:autoSpaceDE w:val="0"/>
              <w:autoSpaceDN w:val="0"/>
              <w:adjustRightInd w:val="0"/>
              <w:spacing w:after="0" w:line="240" w:lineRule="auto"/>
              <w:jc w:val="both"/>
              <w:rPr>
                <w:rFonts w:ascii="Times New Roman" w:hAnsi="Times New Roman" w:cs="Times New Roman"/>
                <w:sz w:val="20"/>
                <w:szCs w:val="20"/>
              </w:rPr>
            </w:pPr>
            <w:r w:rsidRPr="008E2AF6">
              <w:rPr>
                <w:rFonts w:ascii="Times New Roman" w:hAnsi="Times New Roman" w:cs="Times New Roman"/>
                <w:sz w:val="20"/>
                <w:szCs w:val="20"/>
              </w:rPr>
              <w:t>Dans ce cas de l’analyse des options, il est important de présenter les potentiels impacts et risques négatifs des différentes options viables en termes de faisabilité technique de façon claire et succincte et d’arriver à une décision sur le choix de l’alternative choisie.</w:t>
            </w:r>
          </w:p>
          <w:p w:rsidR="00181BAB" w:rsidRPr="008E2AF6" w:rsidRDefault="00181BAB" w:rsidP="008E2AF6">
            <w:pPr>
              <w:autoSpaceDE w:val="0"/>
              <w:autoSpaceDN w:val="0"/>
              <w:adjustRightInd w:val="0"/>
              <w:spacing w:after="0" w:line="240" w:lineRule="auto"/>
              <w:jc w:val="both"/>
              <w:rPr>
                <w:rFonts w:ascii="Times New Roman" w:hAnsi="Times New Roman" w:cs="Times New Roman"/>
                <w:b/>
                <w:sz w:val="20"/>
                <w:szCs w:val="20"/>
                <w:u w:val="single"/>
              </w:rPr>
            </w:pPr>
            <w:r w:rsidRPr="008E2AF6">
              <w:rPr>
                <w:rFonts w:ascii="Times New Roman" w:hAnsi="Times New Roman" w:cs="Times New Roman"/>
                <w:sz w:val="20"/>
                <w:szCs w:val="20"/>
              </w:rPr>
              <w:t>La méthode de sélection de l’implantation du Projet, du dimensionnement proposé et des techniques de construction et réhabilitation sera présentée d’un point de vue technique, environnemental et social.</w:t>
            </w:r>
          </w:p>
        </w:tc>
      </w:tr>
      <w:tr w:rsidR="00181BAB" w:rsidRPr="00693805" w:rsidTr="008734B0">
        <w:tc>
          <w:tcPr>
            <w:tcW w:w="2122" w:type="dxa"/>
            <w:shd w:val="clear" w:color="auto" w:fill="auto"/>
            <w:vAlign w:val="center"/>
          </w:tcPr>
          <w:p w:rsidR="00181BAB" w:rsidRPr="008E2AF6" w:rsidRDefault="00181BAB" w:rsidP="008E2AF6">
            <w:pPr>
              <w:spacing w:after="0" w:line="240" w:lineRule="auto"/>
              <w:jc w:val="center"/>
              <w:rPr>
                <w:rFonts w:ascii="Times New Roman" w:hAnsi="Times New Roman" w:cs="Times New Roman"/>
                <w:b/>
                <w:sz w:val="20"/>
                <w:szCs w:val="20"/>
              </w:rPr>
            </w:pPr>
            <w:r w:rsidRPr="008E2AF6">
              <w:rPr>
                <w:rFonts w:ascii="Times New Roman" w:hAnsi="Times New Roman" w:cs="Times New Roman"/>
                <w:b/>
                <w:sz w:val="20"/>
                <w:szCs w:val="20"/>
              </w:rPr>
              <w:t>L’analyse des risques et impacts environnementaux et sociaux</w:t>
            </w:r>
          </w:p>
        </w:tc>
        <w:tc>
          <w:tcPr>
            <w:tcW w:w="7166" w:type="dxa"/>
            <w:shd w:val="clear" w:color="auto" w:fill="auto"/>
          </w:tcPr>
          <w:p w:rsidR="00181BAB" w:rsidRPr="008E2AF6" w:rsidRDefault="00181BAB" w:rsidP="008E2AF6">
            <w:pPr>
              <w:autoSpaceDE w:val="0"/>
              <w:autoSpaceDN w:val="0"/>
              <w:adjustRightInd w:val="0"/>
              <w:spacing w:after="0" w:line="240" w:lineRule="auto"/>
              <w:jc w:val="both"/>
              <w:rPr>
                <w:rFonts w:ascii="Times New Roman" w:hAnsi="Times New Roman" w:cs="Times New Roman"/>
                <w:sz w:val="20"/>
                <w:szCs w:val="20"/>
              </w:rPr>
            </w:pPr>
            <w:r w:rsidRPr="008E2AF6">
              <w:rPr>
                <w:rFonts w:ascii="Times New Roman" w:hAnsi="Times New Roman" w:cs="Times New Roman"/>
                <w:sz w:val="20"/>
                <w:szCs w:val="20"/>
              </w:rPr>
              <w:t>Cette étape vise à prévoir la manière dont les conditions environnementales et sociales divergeront de l’état initial sous l’influence du Projet dans ses phases de construction, d’exploitation, voire de démantèlement, de désactivation et de réhabilitation de site.</w:t>
            </w:r>
          </w:p>
          <w:p w:rsidR="00181BAB" w:rsidRPr="008E2AF6" w:rsidRDefault="00181BAB" w:rsidP="008E2AF6">
            <w:pPr>
              <w:autoSpaceDE w:val="0"/>
              <w:autoSpaceDN w:val="0"/>
              <w:adjustRightInd w:val="0"/>
              <w:spacing w:after="0" w:line="240" w:lineRule="auto"/>
              <w:jc w:val="both"/>
              <w:rPr>
                <w:rFonts w:ascii="Times New Roman" w:hAnsi="Times New Roman" w:cs="Times New Roman"/>
                <w:sz w:val="20"/>
                <w:szCs w:val="20"/>
              </w:rPr>
            </w:pPr>
            <w:r w:rsidRPr="008E2AF6">
              <w:rPr>
                <w:rFonts w:ascii="Times New Roman" w:hAnsi="Times New Roman" w:cs="Times New Roman"/>
                <w:sz w:val="20"/>
                <w:szCs w:val="20"/>
              </w:rPr>
              <w:t>Cette étape sera réalisée en deux phases celle de l’identification et celle de l’analyse proprement dite.</w:t>
            </w:r>
          </w:p>
          <w:p w:rsidR="00181BAB" w:rsidRPr="008E2AF6" w:rsidRDefault="00181BAB" w:rsidP="008E2AF6">
            <w:pPr>
              <w:autoSpaceDE w:val="0"/>
              <w:autoSpaceDN w:val="0"/>
              <w:adjustRightInd w:val="0"/>
              <w:spacing w:after="0" w:line="240" w:lineRule="auto"/>
              <w:jc w:val="both"/>
              <w:rPr>
                <w:rFonts w:ascii="Times New Roman" w:hAnsi="Times New Roman" w:cs="Times New Roman"/>
                <w:sz w:val="20"/>
                <w:szCs w:val="20"/>
              </w:rPr>
            </w:pPr>
            <w:r w:rsidRPr="008E2AF6">
              <w:rPr>
                <w:rFonts w:ascii="Times New Roman" w:hAnsi="Times New Roman" w:cs="Times New Roman"/>
                <w:sz w:val="20"/>
                <w:szCs w:val="20"/>
                <w:u w:val="single"/>
              </w:rPr>
              <w:t>L’identification</w:t>
            </w:r>
            <w:r w:rsidRPr="008E2AF6">
              <w:rPr>
                <w:rFonts w:ascii="Times New Roman" w:hAnsi="Times New Roman" w:cs="Times New Roman"/>
                <w:sz w:val="20"/>
                <w:szCs w:val="20"/>
              </w:rPr>
              <w:t xml:space="preserve"> consiste en l’inventaire de tous les impacts potentiels du projet. Cet inventaire repose sur au moins deux critères de documentation existante sur la matière et les expériences antérieures.</w:t>
            </w:r>
          </w:p>
          <w:p w:rsidR="00181BAB" w:rsidRPr="008E2AF6" w:rsidRDefault="00181BAB" w:rsidP="008E2AF6">
            <w:pPr>
              <w:autoSpaceDE w:val="0"/>
              <w:autoSpaceDN w:val="0"/>
              <w:adjustRightInd w:val="0"/>
              <w:spacing w:after="0" w:line="240" w:lineRule="auto"/>
              <w:jc w:val="both"/>
              <w:rPr>
                <w:rFonts w:ascii="Times New Roman" w:hAnsi="Times New Roman" w:cs="Times New Roman"/>
                <w:sz w:val="20"/>
                <w:szCs w:val="20"/>
              </w:rPr>
            </w:pPr>
            <w:r w:rsidRPr="008E2AF6">
              <w:rPr>
                <w:rFonts w:ascii="Times New Roman" w:hAnsi="Times New Roman" w:cs="Times New Roman"/>
                <w:sz w:val="20"/>
                <w:szCs w:val="20"/>
              </w:rPr>
              <w:t>Les données quantitatives et qualitatives sur la nature, l’intensité, l’étendue géographique, la durée et la probabilité de changement seront collectées et chaque impact et risque sera évalué en vue d’en déterminer la sévérité et probabilité vis-à-vis du milieu naturel et humain.</w:t>
            </w:r>
          </w:p>
          <w:p w:rsidR="00181BAB" w:rsidRPr="008E2AF6" w:rsidRDefault="00181BAB" w:rsidP="008E2AF6">
            <w:pPr>
              <w:autoSpaceDE w:val="0"/>
              <w:autoSpaceDN w:val="0"/>
              <w:adjustRightInd w:val="0"/>
              <w:spacing w:after="0" w:line="240" w:lineRule="auto"/>
              <w:jc w:val="both"/>
              <w:rPr>
                <w:rFonts w:ascii="Times New Roman" w:hAnsi="Times New Roman" w:cs="Times New Roman"/>
                <w:sz w:val="20"/>
                <w:szCs w:val="20"/>
              </w:rPr>
            </w:pPr>
            <w:r w:rsidRPr="008E2AF6">
              <w:rPr>
                <w:rFonts w:ascii="Times New Roman" w:hAnsi="Times New Roman" w:cs="Times New Roman"/>
                <w:sz w:val="20"/>
                <w:szCs w:val="20"/>
                <w:u w:val="single"/>
              </w:rPr>
              <w:t>La phase d’analyse</w:t>
            </w:r>
            <w:r w:rsidRPr="008E2AF6">
              <w:rPr>
                <w:rFonts w:ascii="Times New Roman" w:hAnsi="Times New Roman" w:cs="Times New Roman"/>
                <w:sz w:val="20"/>
                <w:szCs w:val="20"/>
              </w:rPr>
              <w:t xml:space="preserve"> quant à elle comprendra l’évaluation des impacts c’est à dire l’appréciation de la valeur de chaque impact. Par la suite, seuls les impacts importants seront retenus comme impact du projet. Le consultant doit donner une attention particulier (le consultant doit proposer des solutions et recommandations) sur les impacts liés au fait que les canalisations en amiante-ciment seront mises hors service et resterons enterre.</w:t>
            </w:r>
          </w:p>
          <w:p w:rsidR="00181BAB" w:rsidRPr="008E2AF6" w:rsidRDefault="00181BAB" w:rsidP="008E2AF6">
            <w:pPr>
              <w:autoSpaceDE w:val="0"/>
              <w:autoSpaceDN w:val="0"/>
              <w:adjustRightInd w:val="0"/>
              <w:spacing w:after="0" w:line="240" w:lineRule="auto"/>
              <w:jc w:val="both"/>
              <w:rPr>
                <w:rFonts w:ascii="Times New Roman" w:hAnsi="Times New Roman" w:cs="Times New Roman"/>
                <w:sz w:val="20"/>
                <w:szCs w:val="20"/>
              </w:rPr>
            </w:pPr>
            <w:r w:rsidRPr="008E2AF6">
              <w:rPr>
                <w:rFonts w:ascii="Times New Roman" w:hAnsi="Times New Roman" w:cs="Times New Roman"/>
                <w:sz w:val="20"/>
                <w:szCs w:val="20"/>
              </w:rPr>
              <w:t>L’évaluation des impacts du projet consiste en l’appréciation de l’importance des impacts probables. Il s’agira notamment d’identifier les impacts et risques majeurs (les plus importants et ceux susceptibles de causer les dommages les plus graves); cependant l’étude traitera de tous les impacts potentiels pour déterminer lesquels sont susceptibles d’être significatifs et justifiant donc des mesures de gestion environnementale et sociale.</w:t>
            </w:r>
          </w:p>
          <w:p w:rsidR="00181BAB" w:rsidRPr="008E2AF6" w:rsidRDefault="00181BAB" w:rsidP="008E2AF6">
            <w:pPr>
              <w:autoSpaceDE w:val="0"/>
              <w:autoSpaceDN w:val="0"/>
              <w:adjustRightInd w:val="0"/>
              <w:spacing w:after="0" w:line="240" w:lineRule="auto"/>
              <w:jc w:val="both"/>
              <w:rPr>
                <w:rFonts w:ascii="Times New Roman" w:hAnsi="Times New Roman" w:cs="Times New Roman"/>
                <w:sz w:val="20"/>
                <w:szCs w:val="20"/>
              </w:rPr>
            </w:pPr>
            <w:r w:rsidRPr="008E2AF6">
              <w:rPr>
                <w:rFonts w:ascii="Times New Roman" w:hAnsi="Times New Roman" w:cs="Times New Roman"/>
                <w:sz w:val="20"/>
                <w:szCs w:val="20"/>
              </w:rPr>
              <w:lastRenderedPageBreak/>
              <w:t>Le Consultant mènera une analyse des dangers et risques éventuels liés au projet.</w:t>
            </w:r>
          </w:p>
          <w:p w:rsidR="00181BAB" w:rsidRPr="008E2AF6" w:rsidRDefault="00181BAB" w:rsidP="008E2AF6">
            <w:pPr>
              <w:autoSpaceDE w:val="0"/>
              <w:autoSpaceDN w:val="0"/>
              <w:adjustRightInd w:val="0"/>
              <w:spacing w:before="120" w:after="0" w:line="240" w:lineRule="auto"/>
              <w:jc w:val="both"/>
              <w:rPr>
                <w:rFonts w:ascii="Times New Roman" w:hAnsi="Times New Roman" w:cs="Times New Roman"/>
                <w:sz w:val="20"/>
                <w:szCs w:val="20"/>
              </w:rPr>
            </w:pPr>
            <w:r w:rsidRPr="008E2AF6">
              <w:rPr>
                <w:rFonts w:ascii="Times New Roman" w:hAnsi="Times New Roman" w:cs="Times New Roman"/>
                <w:sz w:val="20"/>
                <w:szCs w:val="20"/>
              </w:rPr>
              <w:t>Cette appréciation sera effectuée sur la base des éléments suivants :</w:t>
            </w:r>
          </w:p>
          <w:p w:rsidR="00181BAB" w:rsidRPr="008E2AF6" w:rsidRDefault="00181BAB" w:rsidP="00FA3FAE">
            <w:pPr>
              <w:pStyle w:val="PargrafodaLista"/>
              <w:numPr>
                <w:ilvl w:val="0"/>
                <w:numId w:val="174"/>
              </w:numPr>
              <w:autoSpaceDE w:val="0"/>
              <w:autoSpaceDN w:val="0"/>
              <w:adjustRightInd w:val="0"/>
              <w:spacing w:after="0" w:line="240" w:lineRule="auto"/>
              <w:ind w:left="1041" w:hanging="491"/>
              <w:jc w:val="both"/>
              <w:rPr>
                <w:rFonts w:ascii="Times New Roman" w:hAnsi="Times New Roman"/>
                <w:lang w:val="fr-FR" w:eastAsia="en-US"/>
              </w:rPr>
            </w:pPr>
            <w:r w:rsidRPr="008E2AF6">
              <w:rPr>
                <w:rFonts w:ascii="Times New Roman" w:hAnsi="Times New Roman"/>
                <w:lang w:val="fr-FR" w:eastAsia="en-US"/>
              </w:rPr>
              <w:t xml:space="preserve">L’étendue </w:t>
            </w:r>
          </w:p>
          <w:p w:rsidR="00181BAB" w:rsidRPr="008E2AF6" w:rsidRDefault="00181BAB" w:rsidP="00FA3FAE">
            <w:pPr>
              <w:pStyle w:val="PargrafodaLista"/>
              <w:numPr>
                <w:ilvl w:val="0"/>
                <w:numId w:val="174"/>
              </w:numPr>
              <w:autoSpaceDE w:val="0"/>
              <w:autoSpaceDN w:val="0"/>
              <w:adjustRightInd w:val="0"/>
              <w:spacing w:after="0" w:line="240" w:lineRule="auto"/>
              <w:ind w:left="1041" w:hanging="491"/>
              <w:jc w:val="both"/>
              <w:rPr>
                <w:rFonts w:ascii="Times New Roman" w:hAnsi="Times New Roman"/>
                <w:lang w:val="fr-FR" w:eastAsia="en-US"/>
              </w:rPr>
            </w:pPr>
            <w:r w:rsidRPr="008E2AF6">
              <w:rPr>
                <w:rFonts w:ascii="Times New Roman" w:hAnsi="Times New Roman"/>
                <w:lang w:val="fr-FR" w:eastAsia="en-US"/>
              </w:rPr>
              <w:t xml:space="preserve">la durée : permanente ou temporaire ou encore semi-permanente </w:t>
            </w:r>
          </w:p>
          <w:p w:rsidR="00181BAB" w:rsidRPr="008E2AF6" w:rsidRDefault="00181BAB" w:rsidP="00FA3FAE">
            <w:pPr>
              <w:pStyle w:val="PargrafodaLista"/>
              <w:numPr>
                <w:ilvl w:val="0"/>
                <w:numId w:val="174"/>
              </w:numPr>
              <w:autoSpaceDE w:val="0"/>
              <w:autoSpaceDN w:val="0"/>
              <w:adjustRightInd w:val="0"/>
              <w:spacing w:after="0" w:line="240" w:lineRule="auto"/>
              <w:ind w:left="1041" w:hanging="491"/>
              <w:jc w:val="both"/>
              <w:rPr>
                <w:rFonts w:ascii="Times New Roman" w:hAnsi="Times New Roman"/>
                <w:lang w:val="fr-FR" w:eastAsia="en-US"/>
              </w:rPr>
            </w:pPr>
            <w:r w:rsidRPr="008E2AF6">
              <w:rPr>
                <w:rFonts w:ascii="Times New Roman" w:hAnsi="Times New Roman"/>
                <w:lang w:val="fr-FR" w:eastAsia="en-US"/>
              </w:rPr>
              <w:t xml:space="preserve">l’amplitude </w:t>
            </w:r>
          </w:p>
          <w:p w:rsidR="00181BAB" w:rsidRPr="008E2AF6" w:rsidRDefault="00181BAB" w:rsidP="00FA3FAE">
            <w:pPr>
              <w:pStyle w:val="PargrafodaLista"/>
              <w:numPr>
                <w:ilvl w:val="0"/>
                <w:numId w:val="174"/>
              </w:numPr>
              <w:autoSpaceDE w:val="0"/>
              <w:autoSpaceDN w:val="0"/>
              <w:adjustRightInd w:val="0"/>
              <w:spacing w:after="0" w:line="240" w:lineRule="auto"/>
              <w:ind w:left="1041" w:hanging="491"/>
              <w:jc w:val="both"/>
              <w:rPr>
                <w:rFonts w:ascii="Times New Roman" w:hAnsi="Times New Roman"/>
                <w:lang w:val="fr-FR" w:eastAsia="en-US"/>
              </w:rPr>
            </w:pPr>
            <w:r w:rsidRPr="008E2AF6">
              <w:rPr>
                <w:rFonts w:ascii="Times New Roman" w:hAnsi="Times New Roman"/>
                <w:lang w:val="fr-FR" w:eastAsia="en-US"/>
              </w:rPr>
              <w:t xml:space="preserve">la probabilité </w:t>
            </w:r>
          </w:p>
          <w:p w:rsidR="00181BAB" w:rsidRPr="008E2AF6" w:rsidRDefault="00181BAB" w:rsidP="00FA3FAE">
            <w:pPr>
              <w:pStyle w:val="PargrafodaLista"/>
              <w:numPr>
                <w:ilvl w:val="0"/>
                <w:numId w:val="174"/>
              </w:numPr>
              <w:autoSpaceDE w:val="0"/>
              <w:autoSpaceDN w:val="0"/>
              <w:adjustRightInd w:val="0"/>
              <w:spacing w:after="0" w:line="240" w:lineRule="auto"/>
              <w:ind w:left="1041" w:hanging="491"/>
              <w:jc w:val="both"/>
              <w:rPr>
                <w:rFonts w:ascii="Times New Roman" w:hAnsi="Times New Roman"/>
                <w:lang w:val="fr-FR" w:eastAsia="en-US"/>
              </w:rPr>
            </w:pPr>
            <w:r w:rsidRPr="008E2AF6">
              <w:rPr>
                <w:rFonts w:ascii="Times New Roman" w:hAnsi="Times New Roman"/>
                <w:lang w:val="fr-FR" w:eastAsia="en-US"/>
              </w:rPr>
              <w:t xml:space="preserve">l’importance de la composante affectée </w:t>
            </w:r>
          </w:p>
          <w:p w:rsidR="00181BAB" w:rsidRPr="008E2AF6" w:rsidRDefault="00181BAB" w:rsidP="008E2AF6">
            <w:pPr>
              <w:autoSpaceDE w:val="0"/>
              <w:autoSpaceDN w:val="0"/>
              <w:adjustRightInd w:val="0"/>
              <w:spacing w:before="120" w:after="0" w:line="240" w:lineRule="auto"/>
              <w:jc w:val="both"/>
              <w:rPr>
                <w:rFonts w:ascii="Times New Roman" w:hAnsi="Times New Roman" w:cs="Times New Roman"/>
                <w:sz w:val="20"/>
                <w:szCs w:val="20"/>
              </w:rPr>
            </w:pPr>
            <w:r w:rsidRPr="008E2AF6">
              <w:rPr>
                <w:rFonts w:ascii="Times New Roman" w:hAnsi="Times New Roman" w:cs="Times New Roman"/>
                <w:sz w:val="20"/>
                <w:szCs w:val="20"/>
              </w:rPr>
              <w:t>D’autre part, le Consultant identifiera les types d’impact : direct ou indirect.</w:t>
            </w:r>
          </w:p>
          <w:p w:rsidR="00181BAB" w:rsidRPr="008E2AF6" w:rsidRDefault="00181BAB" w:rsidP="008E2AF6">
            <w:pPr>
              <w:autoSpaceDE w:val="0"/>
              <w:autoSpaceDN w:val="0"/>
              <w:adjustRightInd w:val="0"/>
              <w:spacing w:before="120" w:after="0" w:line="240" w:lineRule="auto"/>
              <w:jc w:val="both"/>
              <w:rPr>
                <w:rFonts w:ascii="Times New Roman" w:hAnsi="Times New Roman" w:cs="Times New Roman"/>
                <w:sz w:val="20"/>
                <w:szCs w:val="20"/>
              </w:rPr>
            </w:pPr>
            <w:r w:rsidRPr="008E2AF6">
              <w:rPr>
                <w:rFonts w:ascii="Times New Roman" w:hAnsi="Times New Roman" w:cs="Times New Roman"/>
                <w:sz w:val="20"/>
                <w:szCs w:val="20"/>
              </w:rPr>
              <w:t>Au plan social, dans un document séparé, les études mettront en évidence, notamment les impacts :</w:t>
            </w:r>
          </w:p>
          <w:p w:rsidR="00181BAB" w:rsidRPr="008E2AF6" w:rsidRDefault="00181BAB" w:rsidP="00FA3FAE">
            <w:pPr>
              <w:pStyle w:val="PargrafodaLista"/>
              <w:numPr>
                <w:ilvl w:val="0"/>
                <w:numId w:val="175"/>
              </w:numPr>
              <w:autoSpaceDE w:val="0"/>
              <w:autoSpaceDN w:val="0"/>
              <w:adjustRightInd w:val="0"/>
              <w:spacing w:after="0" w:line="240" w:lineRule="auto"/>
              <w:ind w:left="1134" w:hanging="491"/>
              <w:jc w:val="both"/>
              <w:rPr>
                <w:rFonts w:ascii="Times New Roman" w:hAnsi="Times New Roman"/>
                <w:lang w:val="fr-FR" w:eastAsia="en-US"/>
              </w:rPr>
            </w:pPr>
            <w:r w:rsidRPr="008E2AF6">
              <w:rPr>
                <w:rFonts w:ascii="Times New Roman" w:hAnsi="Times New Roman"/>
                <w:lang w:val="fr-FR" w:eastAsia="en-US"/>
              </w:rPr>
              <w:t xml:space="preserve">Liés à la réinstallation de populations </w:t>
            </w:r>
          </w:p>
          <w:p w:rsidR="00181BAB" w:rsidRPr="008E2AF6" w:rsidRDefault="00181BAB" w:rsidP="00FA3FAE">
            <w:pPr>
              <w:pStyle w:val="PargrafodaLista"/>
              <w:numPr>
                <w:ilvl w:val="0"/>
                <w:numId w:val="175"/>
              </w:numPr>
              <w:autoSpaceDE w:val="0"/>
              <w:autoSpaceDN w:val="0"/>
              <w:adjustRightInd w:val="0"/>
              <w:spacing w:after="0" w:line="240" w:lineRule="auto"/>
              <w:ind w:left="1134" w:hanging="491"/>
              <w:jc w:val="both"/>
              <w:rPr>
                <w:rFonts w:ascii="Times New Roman" w:hAnsi="Times New Roman"/>
                <w:lang w:val="fr-FR" w:eastAsia="en-US"/>
              </w:rPr>
            </w:pPr>
            <w:r w:rsidRPr="008E2AF6">
              <w:rPr>
                <w:rFonts w:ascii="Times New Roman" w:hAnsi="Times New Roman"/>
                <w:lang w:val="fr-FR" w:eastAsia="en-US"/>
              </w:rPr>
              <w:t xml:space="preserve">Sur la santé : la qualité des milieux, l’inflation de vecteurs, les modifications des comportements des populations … </w:t>
            </w:r>
          </w:p>
          <w:p w:rsidR="00181BAB" w:rsidRPr="008E2AF6" w:rsidRDefault="00181BAB" w:rsidP="00FA3FAE">
            <w:pPr>
              <w:pStyle w:val="PargrafodaLista"/>
              <w:numPr>
                <w:ilvl w:val="0"/>
                <w:numId w:val="175"/>
              </w:numPr>
              <w:autoSpaceDE w:val="0"/>
              <w:autoSpaceDN w:val="0"/>
              <w:adjustRightInd w:val="0"/>
              <w:spacing w:after="0" w:line="240" w:lineRule="auto"/>
              <w:ind w:left="1134" w:hanging="491"/>
              <w:jc w:val="both"/>
              <w:rPr>
                <w:rFonts w:ascii="Times New Roman" w:hAnsi="Times New Roman"/>
                <w:lang w:val="fr-FR" w:eastAsia="en-US"/>
              </w:rPr>
            </w:pPr>
            <w:r w:rsidRPr="008E2AF6">
              <w:rPr>
                <w:rFonts w:ascii="Times New Roman" w:hAnsi="Times New Roman"/>
                <w:lang w:val="fr-FR" w:eastAsia="en-US"/>
              </w:rPr>
              <w:t xml:space="preserve">Sur la sécurité : probabilité d’accident, augmentation des flux, densité de population vulnérable, taux de délinquance, etc. </w:t>
            </w:r>
          </w:p>
          <w:p w:rsidR="00181BAB" w:rsidRPr="008E2AF6" w:rsidRDefault="00181BAB" w:rsidP="00FA3FAE">
            <w:pPr>
              <w:pStyle w:val="PargrafodaLista"/>
              <w:numPr>
                <w:ilvl w:val="0"/>
                <w:numId w:val="175"/>
              </w:numPr>
              <w:autoSpaceDE w:val="0"/>
              <w:autoSpaceDN w:val="0"/>
              <w:adjustRightInd w:val="0"/>
              <w:spacing w:after="0" w:line="240" w:lineRule="auto"/>
              <w:ind w:left="1134" w:hanging="491"/>
              <w:jc w:val="both"/>
              <w:rPr>
                <w:rFonts w:ascii="Times New Roman" w:hAnsi="Times New Roman"/>
                <w:lang w:val="fr-FR" w:eastAsia="en-US"/>
              </w:rPr>
            </w:pPr>
            <w:r w:rsidRPr="008E2AF6">
              <w:rPr>
                <w:rFonts w:ascii="Times New Roman" w:hAnsi="Times New Roman"/>
                <w:lang w:val="fr-FR" w:eastAsia="en-US"/>
              </w:rPr>
              <w:t xml:space="preserve">Sur le revenu : perturbations d’activités génératrices de revenus … </w:t>
            </w:r>
          </w:p>
          <w:p w:rsidR="00181BAB" w:rsidRPr="008E2AF6" w:rsidRDefault="00181BAB" w:rsidP="008E2AF6">
            <w:pPr>
              <w:autoSpaceDE w:val="0"/>
              <w:autoSpaceDN w:val="0"/>
              <w:adjustRightInd w:val="0"/>
              <w:spacing w:after="0" w:line="240" w:lineRule="auto"/>
              <w:jc w:val="both"/>
              <w:rPr>
                <w:rFonts w:ascii="Times New Roman" w:hAnsi="Times New Roman" w:cs="Times New Roman"/>
                <w:sz w:val="20"/>
                <w:szCs w:val="20"/>
              </w:rPr>
            </w:pPr>
            <w:r w:rsidRPr="008E2AF6">
              <w:rPr>
                <w:rFonts w:ascii="Times New Roman" w:hAnsi="Times New Roman" w:cs="Times New Roman"/>
                <w:sz w:val="20"/>
                <w:szCs w:val="20"/>
              </w:rPr>
              <w:t>Sur les aspects culturels et sur d’éventuelles modifications des paysages.</w:t>
            </w:r>
          </w:p>
          <w:p w:rsidR="00181BAB" w:rsidRPr="008E2AF6" w:rsidRDefault="00181BAB" w:rsidP="008E2AF6">
            <w:pPr>
              <w:autoSpaceDE w:val="0"/>
              <w:autoSpaceDN w:val="0"/>
              <w:adjustRightInd w:val="0"/>
              <w:spacing w:after="0" w:line="240" w:lineRule="auto"/>
              <w:jc w:val="both"/>
              <w:rPr>
                <w:rFonts w:ascii="Times New Roman" w:hAnsi="Times New Roman" w:cs="Times New Roman"/>
                <w:sz w:val="20"/>
                <w:szCs w:val="20"/>
              </w:rPr>
            </w:pPr>
            <w:r w:rsidRPr="008E2AF6">
              <w:rPr>
                <w:rFonts w:ascii="Times New Roman" w:hAnsi="Times New Roman" w:cs="Times New Roman"/>
                <w:sz w:val="20"/>
                <w:szCs w:val="20"/>
              </w:rPr>
              <w:t>Cette phase de l’étude visera également à identifier, analyser et évaluer les risques et opportunités liés au changement climatique dans toutes les zones d’influences du projet et en cas de besoin proposé de mesures maximisations des opportunités et minimiser les risques. L’identifier les impacts potentiels positifs du Projet, et comment les optimiser sera la préoccupation du consultant.</w:t>
            </w:r>
          </w:p>
          <w:p w:rsidR="00181BAB" w:rsidRPr="008E2AF6" w:rsidRDefault="00181BAB" w:rsidP="008E2AF6">
            <w:pPr>
              <w:spacing w:before="120" w:after="0" w:line="240" w:lineRule="auto"/>
              <w:jc w:val="both"/>
              <w:rPr>
                <w:rFonts w:ascii="Times New Roman" w:hAnsi="Times New Roman" w:cs="Times New Roman"/>
                <w:sz w:val="20"/>
                <w:szCs w:val="20"/>
              </w:rPr>
            </w:pPr>
            <w:r w:rsidRPr="008E2AF6">
              <w:rPr>
                <w:rFonts w:ascii="Times New Roman" w:hAnsi="Times New Roman" w:cs="Times New Roman"/>
                <w:sz w:val="20"/>
                <w:szCs w:val="20"/>
              </w:rPr>
              <w:t>Les risques liés au changement climatique seront analysés. Un plan de contingence pour la prévention et la gestion des risques incluant des mesures d’atténuation et d’adaptation au changement climatique sera proposé.</w:t>
            </w:r>
          </w:p>
          <w:p w:rsidR="00181BAB" w:rsidRPr="008E2AF6" w:rsidRDefault="00181BAB" w:rsidP="008E2AF6">
            <w:pPr>
              <w:spacing w:after="0" w:line="240" w:lineRule="auto"/>
              <w:jc w:val="both"/>
              <w:rPr>
                <w:rFonts w:ascii="Times New Roman" w:hAnsi="Times New Roman" w:cs="Times New Roman"/>
                <w:sz w:val="20"/>
                <w:szCs w:val="20"/>
                <w:highlight w:val="cyan"/>
              </w:rPr>
            </w:pPr>
            <w:r w:rsidRPr="008E2AF6">
              <w:rPr>
                <w:rFonts w:ascii="Times New Roman" w:hAnsi="Times New Roman" w:cs="Times New Roman"/>
                <w:sz w:val="20"/>
                <w:szCs w:val="20"/>
              </w:rPr>
              <w:t>Les impacts liés aux sites d’emprunt seront analysés.</w:t>
            </w:r>
          </w:p>
        </w:tc>
      </w:tr>
      <w:tr w:rsidR="00181BAB" w:rsidRPr="00693805" w:rsidTr="008734B0">
        <w:tc>
          <w:tcPr>
            <w:tcW w:w="2122" w:type="dxa"/>
            <w:shd w:val="clear" w:color="auto" w:fill="auto"/>
            <w:vAlign w:val="center"/>
          </w:tcPr>
          <w:p w:rsidR="00181BAB" w:rsidRPr="008E2AF6" w:rsidRDefault="00181BAB" w:rsidP="008E2AF6">
            <w:pPr>
              <w:spacing w:after="0" w:line="240" w:lineRule="auto"/>
              <w:jc w:val="center"/>
              <w:rPr>
                <w:rFonts w:ascii="Times New Roman" w:hAnsi="Times New Roman" w:cs="Times New Roman"/>
                <w:b/>
                <w:bCs/>
                <w:sz w:val="20"/>
                <w:szCs w:val="20"/>
              </w:rPr>
            </w:pPr>
            <w:r w:rsidRPr="008E2AF6">
              <w:rPr>
                <w:rFonts w:ascii="Times New Roman" w:hAnsi="Times New Roman" w:cs="Times New Roman"/>
                <w:b/>
                <w:bCs/>
                <w:sz w:val="20"/>
                <w:szCs w:val="20"/>
              </w:rPr>
              <w:lastRenderedPageBreak/>
              <w:t>Impacts cumulatifs</w:t>
            </w:r>
          </w:p>
        </w:tc>
        <w:tc>
          <w:tcPr>
            <w:tcW w:w="7166" w:type="dxa"/>
            <w:shd w:val="clear" w:color="auto" w:fill="auto"/>
          </w:tcPr>
          <w:p w:rsidR="00181BAB" w:rsidRPr="008E2AF6" w:rsidRDefault="00181BAB" w:rsidP="008E2AF6">
            <w:pPr>
              <w:autoSpaceDE w:val="0"/>
              <w:autoSpaceDN w:val="0"/>
              <w:adjustRightInd w:val="0"/>
              <w:spacing w:after="0" w:line="240" w:lineRule="auto"/>
              <w:jc w:val="both"/>
              <w:rPr>
                <w:rFonts w:ascii="Times New Roman" w:hAnsi="Times New Roman" w:cs="Times New Roman"/>
                <w:sz w:val="20"/>
                <w:szCs w:val="20"/>
              </w:rPr>
            </w:pPr>
            <w:r w:rsidRPr="008E2AF6">
              <w:rPr>
                <w:rFonts w:ascii="Times New Roman" w:hAnsi="Times New Roman" w:cs="Times New Roman"/>
                <w:sz w:val="20"/>
                <w:szCs w:val="20"/>
              </w:rPr>
              <w:t>La possibilité pour le Projet d’avoir des impacts cumulatifs avec d’autres activités et des développements en cours ou officiellement prévus, tels que d’autres activités industrielles ou artisanales ayant lieu dans la région au même moment, sera également considérée dans l’étude.</w:t>
            </w:r>
          </w:p>
          <w:p w:rsidR="00181BAB" w:rsidRPr="008E2AF6" w:rsidRDefault="00181BAB" w:rsidP="008E2AF6">
            <w:pPr>
              <w:autoSpaceDE w:val="0"/>
              <w:autoSpaceDN w:val="0"/>
              <w:adjustRightInd w:val="0"/>
              <w:spacing w:after="0" w:line="240" w:lineRule="auto"/>
              <w:jc w:val="both"/>
              <w:rPr>
                <w:rFonts w:ascii="Times New Roman" w:hAnsi="Times New Roman" w:cs="Times New Roman"/>
                <w:sz w:val="20"/>
                <w:szCs w:val="20"/>
              </w:rPr>
            </w:pPr>
            <w:r w:rsidRPr="008E2AF6">
              <w:rPr>
                <w:rFonts w:ascii="Times New Roman" w:hAnsi="Times New Roman" w:cs="Times New Roman"/>
                <w:sz w:val="20"/>
                <w:szCs w:val="20"/>
              </w:rPr>
              <w:t>Quand d’autres activités sont déjà en cours ou planifiées, elles seront prises en compte dans l’étude en les intégrant à l’évaluation de l’état initial environnemental et social futur du Projet (état initial résultant du scénario « sans Projet », par rapport auquel les impacts du Projet sont évalués).</w:t>
            </w:r>
          </w:p>
          <w:p w:rsidR="00181BAB" w:rsidRPr="008E2AF6" w:rsidRDefault="00181BAB" w:rsidP="008E2AF6">
            <w:pPr>
              <w:autoSpaceDE w:val="0"/>
              <w:autoSpaceDN w:val="0"/>
              <w:adjustRightInd w:val="0"/>
              <w:spacing w:after="0" w:line="240" w:lineRule="auto"/>
              <w:jc w:val="both"/>
              <w:rPr>
                <w:rFonts w:ascii="Times New Roman" w:hAnsi="Times New Roman" w:cs="Times New Roman"/>
                <w:sz w:val="20"/>
                <w:szCs w:val="20"/>
              </w:rPr>
            </w:pPr>
            <w:r w:rsidRPr="008E2AF6">
              <w:rPr>
                <w:rFonts w:ascii="Times New Roman" w:hAnsi="Times New Roman" w:cs="Times New Roman"/>
                <w:sz w:val="20"/>
                <w:szCs w:val="20"/>
              </w:rPr>
              <w:t>Si d’autres projets ou activités sont identifiées comme étant encore en phase de planification, sans toutefois être officiellement confirmés, leurs impacts possibles seront considérés en combinaison avec ceux du Projet, de sorte à obtenir une vision détaillée de la possible situation future.</w:t>
            </w:r>
          </w:p>
        </w:tc>
      </w:tr>
      <w:tr w:rsidR="00181BAB" w:rsidRPr="00693805" w:rsidTr="008734B0">
        <w:tc>
          <w:tcPr>
            <w:tcW w:w="2122" w:type="dxa"/>
            <w:shd w:val="clear" w:color="auto" w:fill="auto"/>
            <w:vAlign w:val="center"/>
          </w:tcPr>
          <w:p w:rsidR="00181BAB" w:rsidRPr="008E2AF6" w:rsidRDefault="00181BAB" w:rsidP="008E2AF6">
            <w:pPr>
              <w:spacing w:after="0" w:line="240" w:lineRule="auto"/>
              <w:jc w:val="center"/>
              <w:rPr>
                <w:rFonts w:ascii="Times New Roman" w:hAnsi="Times New Roman" w:cs="Times New Roman"/>
                <w:b/>
                <w:bCs/>
                <w:sz w:val="20"/>
                <w:szCs w:val="20"/>
              </w:rPr>
            </w:pPr>
            <w:r w:rsidRPr="008E2AF6">
              <w:rPr>
                <w:rFonts w:ascii="Times New Roman" w:hAnsi="Times New Roman" w:cs="Times New Roman"/>
                <w:b/>
                <w:bCs/>
                <w:sz w:val="20"/>
                <w:szCs w:val="20"/>
              </w:rPr>
              <w:t>Mesures d’atténuation</w:t>
            </w:r>
          </w:p>
        </w:tc>
        <w:tc>
          <w:tcPr>
            <w:tcW w:w="7166" w:type="dxa"/>
            <w:shd w:val="clear" w:color="auto" w:fill="auto"/>
          </w:tcPr>
          <w:p w:rsidR="00181BAB" w:rsidRPr="008E2AF6" w:rsidRDefault="00181BAB" w:rsidP="008E2AF6">
            <w:pPr>
              <w:autoSpaceDE w:val="0"/>
              <w:autoSpaceDN w:val="0"/>
              <w:adjustRightInd w:val="0"/>
              <w:spacing w:after="0" w:line="240" w:lineRule="auto"/>
              <w:jc w:val="both"/>
              <w:rPr>
                <w:rFonts w:ascii="Times New Roman" w:hAnsi="Times New Roman" w:cs="Times New Roman"/>
                <w:sz w:val="20"/>
                <w:szCs w:val="20"/>
              </w:rPr>
            </w:pPr>
            <w:r w:rsidRPr="008E2AF6">
              <w:rPr>
                <w:rFonts w:ascii="Times New Roman" w:hAnsi="Times New Roman" w:cs="Times New Roman"/>
                <w:sz w:val="20"/>
                <w:szCs w:val="20"/>
              </w:rPr>
              <w:t>Les impacts significatifs feront l’objet de propositions de mesures d’atténuation et, éventuellement, de mesures d’accompagnement. Ces mesures viseront à réduire l’importance des impacts potentiels identifiés pour les ramener à des niveaux biologiques, biophysiques, sociaux, économiques, culturels acceptables sinon à les éviter.</w:t>
            </w:r>
          </w:p>
          <w:p w:rsidR="00181BAB" w:rsidRPr="008E2AF6" w:rsidRDefault="00181BAB" w:rsidP="008E2AF6">
            <w:pPr>
              <w:autoSpaceDE w:val="0"/>
              <w:autoSpaceDN w:val="0"/>
              <w:adjustRightInd w:val="0"/>
              <w:spacing w:after="0" w:line="240" w:lineRule="auto"/>
              <w:jc w:val="both"/>
              <w:rPr>
                <w:rFonts w:ascii="Times New Roman" w:hAnsi="Times New Roman" w:cs="Times New Roman"/>
                <w:sz w:val="20"/>
                <w:szCs w:val="20"/>
              </w:rPr>
            </w:pPr>
            <w:r w:rsidRPr="008E2AF6">
              <w:rPr>
                <w:rFonts w:ascii="Times New Roman" w:hAnsi="Times New Roman" w:cs="Times New Roman"/>
                <w:sz w:val="20"/>
                <w:szCs w:val="20"/>
              </w:rPr>
              <w:t>Elles peuvent consister en des mesures techniques, sociales, économiques, institutionnelles, etc. Elles seront classées par ordre de préférence en mesures de prévention ou de minimisation, mesures de réparation et en cas d’impacts non réductibles il pourrait être envisagé de procéder à des mesures de compensation.</w:t>
            </w:r>
          </w:p>
          <w:p w:rsidR="00181BAB" w:rsidRPr="008E2AF6" w:rsidRDefault="00181BAB" w:rsidP="008E2AF6">
            <w:pPr>
              <w:autoSpaceDE w:val="0"/>
              <w:autoSpaceDN w:val="0"/>
              <w:adjustRightInd w:val="0"/>
              <w:spacing w:after="0" w:line="240" w:lineRule="auto"/>
              <w:jc w:val="both"/>
              <w:rPr>
                <w:rFonts w:ascii="Times New Roman" w:hAnsi="Times New Roman" w:cs="Times New Roman"/>
                <w:sz w:val="20"/>
                <w:szCs w:val="20"/>
              </w:rPr>
            </w:pPr>
            <w:r w:rsidRPr="008E2AF6">
              <w:rPr>
                <w:rFonts w:ascii="Times New Roman" w:hAnsi="Times New Roman" w:cs="Times New Roman"/>
                <w:sz w:val="20"/>
                <w:szCs w:val="20"/>
              </w:rPr>
              <w:t>Des mesures seront identifiées, et validées en accord avec l’équipe technique du Projet et toutes les parties prenantes dans le processus notamment, l’AAAC (l’Autorité d’Évaluation Environnementale Compétente), la Banque Mondiale et autres partenaires, en vue de prévenir, réduire ou gérer les effets négatifs, ou en cas d’impossibilité, en compenser les effets.</w:t>
            </w:r>
          </w:p>
          <w:p w:rsidR="00181BAB" w:rsidRPr="008E2AF6" w:rsidRDefault="00181BAB" w:rsidP="008E2AF6">
            <w:pPr>
              <w:autoSpaceDE w:val="0"/>
              <w:autoSpaceDN w:val="0"/>
              <w:adjustRightInd w:val="0"/>
              <w:spacing w:after="0" w:line="240" w:lineRule="auto"/>
              <w:jc w:val="both"/>
              <w:rPr>
                <w:rFonts w:ascii="Times New Roman" w:hAnsi="Times New Roman" w:cs="Times New Roman"/>
                <w:sz w:val="20"/>
                <w:szCs w:val="20"/>
              </w:rPr>
            </w:pPr>
            <w:r w:rsidRPr="008E2AF6">
              <w:rPr>
                <w:rFonts w:ascii="Times New Roman" w:hAnsi="Times New Roman" w:cs="Times New Roman"/>
                <w:sz w:val="20"/>
                <w:szCs w:val="20"/>
              </w:rPr>
              <w:t>Ces mesures d’atténuation pourront comprendre des modifications de conception ou de dimensionnement du Projet, des prescriptions de gestion relatives aux phases de construction ou d’exploitation, voire d’autres types de mesures pour minimiser les effets négatifs et optimiser les effets positifs du Projet sur l’environnement naturel et humain.</w:t>
            </w:r>
          </w:p>
        </w:tc>
      </w:tr>
      <w:tr w:rsidR="00181BAB" w:rsidRPr="00693805" w:rsidTr="008734B0">
        <w:tc>
          <w:tcPr>
            <w:tcW w:w="2122" w:type="dxa"/>
            <w:shd w:val="clear" w:color="auto" w:fill="auto"/>
            <w:vAlign w:val="center"/>
          </w:tcPr>
          <w:p w:rsidR="00181BAB" w:rsidRPr="008E2AF6" w:rsidRDefault="00181BAB" w:rsidP="008E2AF6">
            <w:pPr>
              <w:autoSpaceDE w:val="0"/>
              <w:autoSpaceDN w:val="0"/>
              <w:adjustRightInd w:val="0"/>
              <w:spacing w:after="0" w:line="240" w:lineRule="auto"/>
              <w:jc w:val="center"/>
              <w:rPr>
                <w:rFonts w:ascii="Times New Roman" w:hAnsi="Times New Roman" w:cs="Times New Roman"/>
                <w:b/>
                <w:bCs/>
                <w:sz w:val="20"/>
                <w:szCs w:val="20"/>
              </w:rPr>
            </w:pPr>
            <w:r w:rsidRPr="008E2AF6">
              <w:rPr>
                <w:rFonts w:ascii="Times New Roman" w:hAnsi="Times New Roman" w:cs="Times New Roman"/>
                <w:b/>
                <w:bCs/>
                <w:sz w:val="20"/>
                <w:szCs w:val="20"/>
              </w:rPr>
              <w:t>Evaluation des impacts résiduels</w:t>
            </w:r>
          </w:p>
        </w:tc>
        <w:tc>
          <w:tcPr>
            <w:tcW w:w="7166" w:type="dxa"/>
            <w:shd w:val="clear" w:color="auto" w:fill="auto"/>
          </w:tcPr>
          <w:p w:rsidR="00181BAB" w:rsidRPr="008E2AF6" w:rsidRDefault="00181BAB" w:rsidP="008E2AF6">
            <w:pPr>
              <w:autoSpaceDE w:val="0"/>
              <w:autoSpaceDN w:val="0"/>
              <w:adjustRightInd w:val="0"/>
              <w:spacing w:after="0" w:line="240" w:lineRule="auto"/>
              <w:jc w:val="both"/>
              <w:rPr>
                <w:rFonts w:ascii="Times New Roman" w:hAnsi="Times New Roman" w:cs="Times New Roman"/>
                <w:sz w:val="20"/>
                <w:szCs w:val="20"/>
              </w:rPr>
            </w:pPr>
            <w:r w:rsidRPr="008E2AF6">
              <w:rPr>
                <w:rFonts w:ascii="Times New Roman" w:hAnsi="Times New Roman" w:cs="Times New Roman"/>
                <w:sz w:val="20"/>
                <w:szCs w:val="20"/>
              </w:rPr>
              <w:t>La mise en œuvre de ces mesures n’est pas toujours de nature à éliminer intégralement les impacts des activités des projets. Aussi, est-il nécessaire de procéder à des évaluations des impacts résiduels.</w:t>
            </w:r>
          </w:p>
          <w:p w:rsidR="00181BAB" w:rsidRPr="008E2AF6" w:rsidRDefault="00181BAB" w:rsidP="008E2AF6">
            <w:pPr>
              <w:autoSpaceDE w:val="0"/>
              <w:autoSpaceDN w:val="0"/>
              <w:adjustRightInd w:val="0"/>
              <w:spacing w:after="0" w:line="240" w:lineRule="auto"/>
              <w:jc w:val="both"/>
              <w:rPr>
                <w:rFonts w:ascii="Times New Roman" w:hAnsi="Times New Roman" w:cs="Times New Roman"/>
                <w:sz w:val="20"/>
                <w:szCs w:val="20"/>
              </w:rPr>
            </w:pPr>
            <w:r w:rsidRPr="008E2AF6">
              <w:rPr>
                <w:rFonts w:ascii="Times New Roman" w:hAnsi="Times New Roman" w:cs="Times New Roman"/>
                <w:sz w:val="20"/>
                <w:szCs w:val="20"/>
              </w:rPr>
              <w:lastRenderedPageBreak/>
              <w:t>Lorsque des mesures d’atténuation sont établies, les impacts seront réévalués pour en déterminer les effets résiduels après mise en place des mesures d’atténuation.</w:t>
            </w:r>
          </w:p>
        </w:tc>
      </w:tr>
      <w:tr w:rsidR="00181BAB" w:rsidRPr="00693805" w:rsidTr="008734B0">
        <w:tc>
          <w:tcPr>
            <w:tcW w:w="2122" w:type="dxa"/>
            <w:shd w:val="clear" w:color="auto" w:fill="auto"/>
            <w:vAlign w:val="center"/>
          </w:tcPr>
          <w:p w:rsidR="00181BAB" w:rsidRPr="008E2AF6" w:rsidRDefault="00181BAB" w:rsidP="008E2AF6">
            <w:pPr>
              <w:autoSpaceDE w:val="0"/>
              <w:autoSpaceDN w:val="0"/>
              <w:adjustRightInd w:val="0"/>
              <w:spacing w:after="0" w:line="240" w:lineRule="auto"/>
              <w:jc w:val="center"/>
              <w:rPr>
                <w:rFonts w:ascii="Times New Roman" w:hAnsi="Times New Roman" w:cs="Times New Roman"/>
                <w:b/>
                <w:bCs/>
                <w:sz w:val="20"/>
                <w:szCs w:val="20"/>
              </w:rPr>
            </w:pPr>
            <w:r w:rsidRPr="008E2AF6">
              <w:rPr>
                <w:rFonts w:ascii="Times New Roman" w:hAnsi="Times New Roman" w:cs="Times New Roman"/>
                <w:b/>
                <w:bCs/>
                <w:sz w:val="20"/>
                <w:szCs w:val="20"/>
              </w:rPr>
              <w:lastRenderedPageBreak/>
              <w:t>Analyse des risques environnementaux et technologiques</w:t>
            </w:r>
          </w:p>
        </w:tc>
        <w:tc>
          <w:tcPr>
            <w:tcW w:w="7166" w:type="dxa"/>
            <w:shd w:val="clear" w:color="auto" w:fill="auto"/>
          </w:tcPr>
          <w:p w:rsidR="00181BAB" w:rsidRPr="008E2AF6" w:rsidRDefault="00181BAB" w:rsidP="008E2AF6">
            <w:pPr>
              <w:spacing w:after="0" w:line="240" w:lineRule="auto"/>
              <w:jc w:val="both"/>
              <w:rPr>
                <w:rFonts w:ascii="Times New Roman" w:hAnsi="Times New Roman" w:cs="Times New Roman"/>
                <w:sz w:val="20"/>
                <w:szCs w:val="20"/>
                <w:highlight w:val="cyan"/>
              </w:rPr>
            </w:pPr>
            <w:r w:rsidRPr="008E2AF6">
              <w:rPr>
                <w:rFonts w:ascii="Times New Roman" w:hAnsi="Times New Roman" w:cs="Times New Roman"/>
                <w:sz w:val="20"/>
                <w:szCs w:val="20"/>
              </w:rPr>
              <w:t>Un plan de gestion de risques environnementaux et sociaux sera élaboré. Ce plan va inclure l’analyse des risques d’accidents et proposer les mesures de sécurités appropriées et développer un plan de contingence abrégé.</w:t>
            </w:r>
          </w:p>
        </w:tc>
      </w:tr>
      <w:tr w:rsidR="00181BAB" w:rsidRPr="00693805" w:rsidTr="008734B0">
        <w:tc>
          <w:tcPr>
            <w:tcW w:w="2122" w:type="dxa"/>
            <w:shd w:val="clear" w:color="auto" w:fill="auto"/>
            <w:vAlign w:val="center"/>
          </w:tcPr>
          <w:p w:rsidR="00181BAB" w:rsidRPr="008E2AF6" w:rsidRDefault="00181BAB" w:rsidP="008E2AF6">
            <w:pPr>
              <w:autoSpaceDE w:val="0"/>
              <w:autoSpaceDN w:val="0"/>
              <w:adjustRightInd w:val="0"/>
              <w:spacing w:after="0" w:line="240" w:lineRule="auto"/>
              <w:jc w:val="center"/>
              <w:rPr>
                <w:rFonts w:ascii="Times New Roman" w:hAnsi="Times New Roman" w:cs="Times New Roman"/>
                <w:b/>
                <w:bCs/>
                <w:sz w:val="20"/>
                <w:szCs w:val="20"/>
              </w:rPr>
            </w:pPr>
            <w:r w:rsidRPr="008E2AF6">
              <w:rPr>
                <w:rFonts w:ascii="Times New Roman" w:hAnsi="Times New Roman" w:cs="Times New Roman"/>
                <w:b/>
                <w:bCs/>
                <w:sz w:val="20"/>
                <w:szCs w:val="20"/>
              </w:rPr>
              <w:t>Plan de Gestion</w:t>
            </w:r>
          </w:p>
          <w:p w:rsidR="00181BAB" w:rsidRPr="008E2AF6" w:rsidRDefault="00181BAB" w:rsidP="008E2AF6">
            <w:pPr>
              <w:autoSpaceDE w:val="0"/>
              <w:autoSpaceDN w:val="0"/>
              <w:adjustRightInd w:val="0"/>
              <w:spacing w:after="0" w:line="240" w:lineRule="auto"/>
              <w:jc w:val="center"/>
              <w:rPr>
                <w:rFonts w:ascii="Times New Roman" w:hAnsi="Times New Roman" w:cs="Times New Roman"/>
                <w:b/>
                <w:bCs/>
                <w:sz w:val="20"/>
                <w:szCs w:val="20"/>
              </w:rPr>
            </w:pPr>
            <w:r w:rsidRPr="008E2AF6">
              <w:rPr>
                <w:rFonts w:ascii="Times New Roman" w:hAnsi="Times New Roman" w:cs="Times New Roman"/>
                <w:b/>
                <w:bCs/>
                <w:sz w:val="20"/>
                <w:szCs w:val="20"/>
              </w:rPr>
              <w:t>Environnementale et Sociale (PGES)</w:t>
            </w:r>
          </w:p>
        </w:tc>
        <w:tc>
          <w:tcPr>
            <w:tcW w:w="7166" w:type="dxa"/>
            <w:shd w:val="clear" w:color="auto" w:fill="auto"/>
          </w:tcPr>
          <w:p w:rsidR="00181BAB" w:rsidRPr="008E2AF6" w:rsidRDefault="00181BAB" w:rsidP="008E2AF6">
            <w:pPr>
              <w:pStyle w:val="Default"/>
              <w:jc w:val="both"/>
              <w:rPr>
                <w:rFonts w:ascii="Times New Roman" w:hAnsi="Times New Roman" w:cs="Times New Roman"/>
                <w:sz w:val="20"/>
                <w:szCs w:val="20"/>
              </w:rPr>
            </w:pPr>
            <w:r w:rsidRPr="008E2AF6">
              <w:rPr>
                <w:rFonts w:ascii="Times New Roman" w:hAnsi="Times New Roman" w:cs="Times New Roman"/>
                <w:sz w:val="20"/>
                <w:szCs w:val="20"/>
              </w:rPr>
              <w:t xml:space="preserve">Les résultats de la présente Evaluation de l’Impact Environnemental et social résulteront en : </w:t>
            </w:r>
          </w:p>
          <w:p w:rsidR="00181BAB" w:rsidRPr="008E2AF6" w:rsidRDefault="00181BAB" w:rsidP="00FA3FAE">
            <w:pPr>
              <w:pStyle w:val="PargrafodaLista"/>
              <w:numPr>
                <w:ilvl w:val="0"/>
                <w:numId w:val="173"/>
              </w:numPr>
              <w:autoSpaceDE w:val="0"/>
              <w:autoSpaceDN w:val="0"/>
              <w:adjustRightInd w:val="0"/>
              <w:spacing w:after="0" w:line="240" w:lineRule="auto"/>
              <w:ind w:left="332"/>
              <w:jc w:val="both"/>
              <w:rPr>
                <w:rFonts w:ascii="Times New Roman" w:hAnsi="Times New Roman"/>
                <w:color w:val="000000"/>
                <w:lang w:val="fr-FR" w:eastAsia="en-US"/>
              </w:rPr>
            </w:pPr>
            <w:r w:rsidRPr="008E2AF6">
              <w:rPr>
                <w:rFonts w:ascii="Times New Roman" w:hAnsi="Times New Roman"/>
                <w:color w:val="000000"/>
                <w:lang w:val="fr-FR" w:eastAsia="en-US"/>
              </w:rPr>
              <w:t>Une étude environnementale incluant un Plan de Gestion Environnementale et Sociale (PGES) du projet : les mesures d’atténuation, les mesures de gestion des risques d’accompagnement du projet seront agencées de manière cohérente et opérationnelle dans le cadre de ce (PGES), et le PGES organise l’ensemble des mesures identifiées pour en faire un programme opérationnel à l’intention de l’entreprise adjudicataire du marché de travaux.</w:t>
            </w:r>
          </w:p>
          <w:p w:rsidR="00181BAB" w:rsidRPr="008E2AF6" w:rsidRDefault="00181BAB" w:rsidP="008E2AF6">
            <w:pPr>
              <w:pStyle w:val="Default"/>
              <w:spacing w:before="120"/>
              <w:jc w:val="both"/>
              <w:rPr>
                <w:rFonts w:ascii="Times New Roman" w:hAnsi="Times New Roman" w:cs="Times New Roman"/>
                <w:sz w:val="20"/>
                <w:szCs w:val="20"/>
              </w:rPr>
            </w:pPr>
            <w:r w:rsidRPr="008E2AF6">
              <w:rPr>
                <w:rFonts w:ascii="Times New Roman" w:hAnsi="Times New Roman" w:cs="Times New Roman"/>
                <w:sz w:val="20"/>
                <w:szCs w:val="20"/>
              </w:rPr>
              <w:t>Le PGES comprendra notamment : le descriptif technique des mesures, le calendrier, les critères de performance, les procédures de mise en œuvre, les acteurs impliqués, les besoins en formation et les coûts de mise en œuvre et de suivi.</w:t>
            </w:r>
          </w:p>
          <w:p w:rsidR="00181BAB" w:rsidRPr="008E2AF6" w:rsidRDefault="00181BAB" w:rsidP="00FA3FAE">
            <w:pPr>
              <w:pStyle w:val="PargrafodaLista"/>
              <w:numPr>
                <w:ilvl w:val="0"/>
                <w:numId w:val="173"/>
              </w:numPr>
              <w:autoSpaceDE w:val="0"/>
              <w:autoSpaceDN w:val="0"/>
              <w:adjustRightInd w:val="0"/>
              <w:spacing w:after="0" w:line="240" w:lineRule="auto"/>
              <w:ind w:left="332"/>
              <w:jc w:val="both"/>
              <w:rPr>
                <w:rFonts w:ascii="Times New Roman" w:hAnsi="Times New Roman"/>
                <w:color w:val="000000"/>
                <w:lang w:val="fr-FR" w:eastAsia="en-US"/>
              </w:rPr>
            </w:pPr>
            <w:r w:rsidRPr="008E2AF6">
              <w:rPr>
                <w:rFonts w:ascii="Times New Roman" w:hAnsi="Times New Roman"/>
                <w:color w:val="000000"/>
                <w:lang w:val="fr-FR" w:eastAsia="en-US"/>
              </w:rPr>
              <w:t>Eventuellement, un Plan de déplacement de population comme stipulé dans le Cadre de politique de réinstallation (dans un document séparé) sera nécessaire si le projet nécessite (i) l’expropriation de champ de culture, la démolition de toute ou partie de maisons (ii) un déplacement de population, ou encore (iii) si le projet impacte une source de revenu.</w:t>
            </w:r>
          </w:p>
          <w:p w:rsidR="00181BAB" w:rsidRPr="008E2AF6" w:rsidRDefault="00181BAB" w:rsidP="008E2AF6">
            <w:pPr>
              <w:pStyle w:val="Default"/>
              <w:spacing w:before="120"/>
              <w:jc w:val="both"/>
              <w:rPr>
                <w:rFonts w:ascii="Times New Roman" w:hAnsi="Times New Roman" w:cs="Times New Roman"/>
                <w:sz w:val="20"/>
                <w:szCs w:val="20"/>
              </w:rPr>
            </w:pPr>
            <w:r w:rsidRPr="008E2AF6">
              <w:rPr>
                <w:rFonts w:ascii="Times New Roman" w:hAnsi="Times New Roman" w:cs="Times New Roman"/>
                <w:sz w:val="20"/>
                <w:szCs w:val="20"/>
              </w:rPr>
              <w:t>Toutes les mesures d’atténuation seront organisées logiquement dans un Plan de Gestion Environnementale et Sociale (PGES). Ce PGES sera considéré comme le recueil des engagements pris par les parties prenantes pour gérer les effets environnementaux et sociaux du Projet.</w:t>
            </w:r>
          </w:p>
          <w:p w:rsidR="00181BAB" w:rsidRPr="008E2AF6" w:rsidRDefault="00181BAB" w:rsidP="008E2AF6">
            <w:pPr>
              <w:autoSpaceDE w:val="0"/>
              <w:autoSpaceDN w:val="0"/>
              <w:adjustRightInd w:val="0"/>
              <w:spacing w:after="0" w:line="240" w:lineRule="auto"/>
              <w:jc w:val="both"/>
              <w:rPr>
                <w:rFonts w:ascii="Times New Roman" w:hAnsi="Times New Roman" w:cs="Times New Roman"/>
                <w:sz w:val="20"/>
                <w:szCs w:val="20"/>
              </w:rPr>
            </w:pPr>
            <w:r w:rsidRPr="008E2AF6">
              <w:rPr>
                <w:rFonts w:ascii="Times New Roman" w:hAnsi="Times New Roman" w:cs="Times New Roman"/>
                <w:sz w:val="20"/>
                <w:szCs w:val="20"/>
              </w:rPr>
              <w:t>Le PGES décrira également comment les mesures seront appliquées en phase de préparation, de construction, d’exploitation et de désactivation. Il présentera en détail les responsabilités et ressources à mettre en œuvre, le calendrier, les campagnes de surveillance et d’audit à mener pour que tous les engagements relatifs à l’atténuation des impacts soient dûment remplis.</w:t>
            </w:r>
          </w:p>
          <w:p w:rsidR="00181BAB" w:rsidRPr="008E2AF6" w:rsidRDefault="00181BAB" w:rsidP="008E2AF6">
            <w:pPr>
              <w:autoSpaceDE w:val="0"/>
              <w:autoSpaceDN w:val="0"/>
              <w:adjustRightInd w:val="0"/>
              <w:spacing w:after="0" w:line="240" w:lineRule="auto"/>
              <w:jc w:val="both"/>
              <w:rPr>
                <w:rFonts w:ascii="Times New Roman" w:hAnsi="Times New Roman" w:cs="Times New Roman"/>
                <w:sz w:val="20"/>
                <w:szCs w:val="20"/>
              </w:rPr>
            </w:pPr>
            <w:r w:rsidRPr="008E2AF6">
              <w:rPr>
                <w:rFonts w:ascii="Times New Roman" w:hAnsi="Times New Roman" w:cs="Times New Roman"/>
                <w:sz w:val="20"/>
                <w:szCs w:val="20"/>
              </w:rPr>
              <w:t>Il prendra en considération également les besoins en matière de formation et de renforcement des capacités des parties prenantes impliquées dans le Projet, notamment la main d’œuvre mais aussi d’autres parties prenantes éventuelles – autorités locales par exemple.</w:t>
            </w:r>
          </w:p>
          <w:p w:rsidR="00181BAB" w:rsidRPr="008E2AF6" w:rsidRDefault="00181BAB" w:rsidP="008E2AF6">
            <w:pPr>
              <w:spacing w:after="0" w:line="240" w:lineRule="auto"/>
              <w:jc w:val="both"/>
              <w:rPr>
                <w:rFonts w:ascii="Times New Roman" w:hAnsi="Times New Roman" w:cs="Times New Roman"/>
                <w:sz w:val="20"/>
                <w:szCs w:val="20"/>
              </w:rPr>
            </w:pPr>
            <w:r w:rsidRPr="008E2AF6">
              <w:rPr>
                <w:rFonts w:ascii="Times New Roman" w:hAnsi="Times New Roman" w:cs="Times New Roman"/>
                <w:sz w:val="20"/>
                <w:szCs w:val="20"/>
              </w:rPr>
              <w:t>Le Consultant développera un plan de communication et un mécanisme de gestion des plaintes qui sont d’importance capitale pour le succès du projet.</w:t>
            </w:r>
          </w:p>
        </w:tc>
      </w:tr>
      <w:tr w:rsidR="00181BAB" w:rsidRPr="00693805" w:rsidTr="008734B0">
        <w:tc>
          <w:tcPr>
            <w:tcW w:w="2122" w:type="dxa"/>
            <w:shd w:val="clear" w:color="auto" w:fill="auto"/>
            <w:vAlign w:val="center"/>
          </w:tcPr>
          <w:p w:rsidR="00181BAB" w:rsidRPr="008E2AF6" w:rsidRDefault="00181BAB" w:rsidP="008E2AF6">
            <w:pPr>
              <w:autoSpaceDE w:val="0"/>
              <w:autoSpaceDN w:val="0"/>
              <w:adjustRightInd w:val="0"/>
              <w:spacing w:after="0" w:line="240" w:lineRule="auto"/>
              <w:jc w:val="center"/>
              <w:rPr>
                <w:rFonts w:ascii="Times New Roman" w:hAnsi="Times New Roman" w:cs="Times New Roman"/>
                <w:b/>
                <w:bCs/>
                <w:sz w:val="20"/>
                <w:szCs w:val="20"/>
              </w:rPr>
            </w:pPr>
            <w:r w:rsidRPr="008E2AF6">
              <w:rPr>
                <w:rFonts w:ascii="Times New Roman" w:hAnsi="Times New Roman" w:cs="Times New Roman"/>
                <w:b/>
                <w:bCs/>
                <w:sz w:val="20"/>
                <w:szCs w:val="20"/>
              </w:rPr>
              <w:t>Consultation et communication avec les parties prenantes</w:t>
            </w:r>
          </w:p>
        </w:tc>
        <w:tc>
          <w:tcPr>
            <w:tcW w:w="7166" w:type="dxa"/>
            <w:shd w:val="clear" w:color="auto" w:fill="auto"/>
          </w:tcPr>
          <w:p w:rsidR="00181BAB" w:rsidRPr="008E2AF6" w:rsidRDefault="00181BAB" w:rsidP="008E2AF6">
            <w:pPr>
              <w:spacing w:after="0" w:line="240" w:lineRule="auto"/>
              <w:jc w:val="both"/>
              <w:rPr>
                <w:rFonts w:ascii="Times New Roman" w:hAnsi="Times New Roman" w:cs="Times New Roman"/>
                <w:sz w:val="20"/>
                <w:szCs w:val="20"/>
              </w:rPr>
            </w:pPr>
            <w:r w:rsidRPr="008E2AF6">
              <w:rPr>
                <w:rFonts w:ascii="Times New Roman" w:hAnsi="Times New Roman" w:cs="Times New Roman"/>
                <w:sz w:val="20"/>
                <w:szCs w:val="20"/>
              </w:rPr>
              <w:t>La consultation du public est un élément essentiel du processus d’évaluation environnementale et un moyen de s’assurer que le projet intègre les préoccupations du public. Lors de la conduite de l’EIES, le Consultant devra respecter les directives de la république de Guinée Bissau en matière de consultations et de participation des communautés impliquées, des organisations régionales et nationales intéressées, des ONG, des utilisateurs de la ressource et les services étatiques concernés. Plus particulièrement, ces directives exigent que le consultant fasse preuve de compréhension à l’égard des droits, intérêts, valeurs et préoccupations des acteurs et qu’il reconnaisse et respecte ceux-ci dans la planification et la mise en œuvre des activités du projet. Pour cette raison, des séances d’information seront organisées avec les autorités locales et les populations riveraines afin de leur présenter le projet dans un résumé simple et de recueillir leurs avis et suggestions afin de les prendre en compte si possible.</w:t>
            </w:r>
          </w:p>
          <w:p w:rsidR="00181BAB" w:rsidRPr="008E2AF6" w:rsidRDefault="00181BAB" w:rsidP="008E2AF6">
            <w:pPr>
              <w:spacing w:after="0" w:line="240" w:lineRule="auto"/>
              <w:jc w:val="both"/>
              <w:rPr>
                <w:rFonts w:ascii="Times New Roman" w:hAnsi="Times New Roman" w:cs="Times New Roman"/>
                <w:sz w:val="20"/>
                <w:szCs w:val="20"/>
              </w:rPr>
            </w:pPr>
            <w:r w:rsidRPr="008E2AF6">
              <w:rPr>
                <w:rFonts w:ascii="Times New Roman" w:hAnsi="Times New Roman" w:cs="Times New Roman"/>
                <w:sz w:val="20"/>
                <w:szCs w:val="20"/>
              </w:rPr>
              <w:t>En effet, la consultation des parties prenantes constitue un élément clé de l’étude et devra se dérouler pendant toute la phase de réalisation de l’EIES. Elle devra permettre d’évaluer l’acceptabilité du projet par les populations riveraines, et préparer la mise en œuvre d’un plan de communication pour éviter d’éventuels conflits sociaux et faciliter l’acceptation du projet par les populations ; et à ce titre, un accent particulier devra être mis sur le volet information et sensibilisation. Ainsi, l’étude devra développer un plan de consultation du public. A cet effet, le consultant devra démontrer l’étendue des consultations qu’il aura menées pour recueillir l’avis des acteurs concernés sur la réalisation du projet et sur les mesures à prendre.</w:t>
            </w:r>
          </w:p>
          <w:p w:rsidR="00181BAB" w:rsidRPr="008E2AF6" w:rsidRDefault="00181BAB" w:rsidP="008E2AF6">
            <w:pPr>
              <w:spacing w:after="0" w:line="240" w:lineRule="auto"/>
              <w:jc w:val="both"/>
              <w:rPr>
                <w:rFonts w:ascii="Times New Roman" w:hAnsi="Times New Roman" w:cs="Times New Roman"/>
                <w:sz w:val="20"/>
                <w:szCs w:val="20"/>
              </w:rPr>
            </w:pPr>
            <w:r w:rsidRPr="008E2AF6">
              <w:rPr>
                <w:rFonts w:ascii="Times New Roman" w:hAnsi="Times New Roman" w:cs="Times New Roman"/>
                <w:sz w:val="20"/>
                <w:szCs w:val="20"/>
              </w:rPr>
              <w:t xml:space="preserve">Le rapport devra refléter clairement un résumé des préoccupations majeures soulevées par les populations, les réponses que leur ont été fournies, et lesquelles de ces </w:t>
            </w:r>
            <w:r w:rsidRPr="008E2AF6">
              <w:rPr>
                <w:rFonts w:ascii="Times New Roman" w:hAnsi="Times New Roman" w:cs="Times New Roman"/>
                <w:sz w:val="20"/>
                <w:szCs w:val="20"/>
              </w:rPr>
              <w:lastRenderedPageBreak/>
              <w:t xml:space="preserve">préoccupations ont été intégrées dans l’analyse des impacts et surtout l’identification et la détermination des coûts des mesures d’atténuation, de compensation ou de bonification. </w:t>
            </w:r>
          </w:p>
          <w:p w:rsidR="00181BAB" w:rsidRPr="008E2AF6" w:rsidRDefault="00181BAB" w:rsidP="008E2AF6">
            <w:pPr>
              <w:spacing w:after="0" w:line="240" w:lineRule="auto"/>
              <w:jc w:val="both"/>
              <w:rPr>
                <w:rFonts w:ascii="Times New Roman" w:hAnsi="Times New Roman" w:cs="Times New Roman"/>
                <w:sz w:val="20"/>
                <w:szCs w:val="20"/>
              </w:rPr>
            </w:pPr>
          </w:p>
          <w:p w:rsidR="00181BAB" w:rsidRPr="008E2AF6" w:rsidRDefault="00181BAB" w:rsidP="008E2AF6">
            <w:pPr>
              <w:spacing w:after="0" w:line="240" w:lineRule="auto"/>
              <w:jc w:val="both"/>
              <w:rPr>
                <w:rFonts w:ascii="Times New Roman" w:hAnsi="Times New Roman" w:cs="Times New Roman"/>
                <w:sz w:val="20"/>
                <w:szCs w:val="20"/>
              </w:rPr>
            </w:pPr>
            <w:r w:rsidRPr="008E2AF6">
              <w:rPr>
                <w:rFonts w:ascii="Times New Roman" w:hAnsi="Times New Roman" w:cs="Times New Roman"/>
                <w:sz w:val="20"/>
                <w:szCs w:val="20"/>
              </w:rPr>
              <w:t xml:space="preserve">Dans le cadre des concertations publiques, les services techniques, les collectivités locales et les populations riveraines constituent en général, les principales cibles. </w:t>
            </w:r>
          </w:p>
          <w:p w:rsidR="00181BAB" w:rsidRPr="008E2AF6" w:rsidRDefault="00181BAB" w:rsidP="008E2AF6">
            <w:pPr>
              <w:spacing w:after="0" w:line="240" w:lineRule="auto"/>
              <w:jc w:val="both"/>
              <w:rPr>
                <w:rFonts w:ascii="Times New Roman" w:hAnsi="Times New Roman" w:cs="Times New Roman"/>
                <w:sz w:val="20"/>
                <w:szCs w:val="20"/>
              </w:rPr>
            </w:pPr>
          </w:p>
          <w:p w:rsidR="00181BAB" w:rsidRPr="008E2AF6" w:rsidRDefault="00181BAB" w:rsidP="008E2AF6">
            <w:pPr>
              <w:spacing w:after="0" w:line="240" w:lineRule="auto"/>
              <w:jc w:val="both"/>
              <w:rPr>
                <w:rFonts w:ascii="Times New Roman" w:hAnsi="Times New Roman" w:cs="Times New Roman"/>
                <w:sz w:val="20"/>
                <w:szCs w:val="20"/>
              </w:rPr>
            </w:pPr>
            <w:r w:rsidRPr="008E2AF6">
              <w:rPr>
                <w:rFonts w:ascii="Times New Roman" w:hAnsi="Times New Roman" w:cs="Times New Roman"/>
                <w:sz w:val="20"/>
                <w:szCs w:val="20"/>
              </w:rPr>
              <w:t>Dans le cadre de cette EIES, plusieurs acteurs devront être consultés tels que :</w:t>
            </w:r>
          </w:p>
          <w:p w:rsidR="00181BAB" w:rsidRPr="008E2AF6" w:rsidRDefault="00181BAB" w:rsidP="008E2AF6">
            <w:pPr>
              <w:spacing w:after="0" w:line="240" w:lineRule="auto"/>
              <w:jc w:val="both"/>
              <w:rPr>
                <w:rFonts w:ascii="Times New Roman" w:hAnsi="Times New Roman" w:cs="Times New Roman"/>
                <w:b/>
                <w:sz w:val="20"/>
                <w:szCs w:val="20"/>
              </w:rPr>
            </w:pPr>
            <w:r w:rsidRPr="008E2AF6">
              <w:rPr>
                <w:rFonts w:ascii="Times New Roman" w:hAnsi="Times New Roman" w:cs="Times New Roman"/>
                <w:sz w:val="20"/>
                <w:szCs w:val="20"/>
              </w:rPr>
              <w:t>Dans le cadre de cette EIES, plusieurs acteurs ont été consultés tels que</w:t>
            </w:r>
            <w:r w:rsidRPr="008E2AF6">
              <w:rPr>
                <w:rFonts w:ascii="Times New Roman" w:hAnsi="Times New Roman" w:cs="Times New Roman"/>
                <w:b/>
                <w:sz w:val="20"/>
                <w:szCs w:val="20"/>
              </w:rPr>
              <w:t xml:space="preserve"> : </w:t>
            </w:r>
          </w:p>
          <w:p w:rsidR="00181BAB" w:rsidRPr="008E2AF6" w:rsidRDefault="00181BAB" w:rsidP="00FA3FAE">
            <w:pPr>
              <w:pStyle w:val="PargrafodaLista"/>
              <w:numPr>
                <w:ilvl w:val="0"/>
                <w:numId w:val="21"/>
              </w:numPr>
              <w:spacing w:after="0" w:line="240" w:lineRule="auto"/>
              <w:ind w:left="714" w:hanging="357"/>
              <w:jc w:val="both"/>
              <w:rPr>
                <w:rFonts w:ascii="Times New Roman" w:hAnsi="Times New Roman"/>
                <w:lang w:val="fr-FR"/>
              </w:rPr>
            </w:pPr>
            <w:r w:rsidRPr="008E2AF6">
              <w:rPr>
                <w:rFonts w:ascii="Times New Roman" w:hAnsi="Times New Roman"/>
                <w:lang w:val="fr-FR"/>
              </w:rPr>
              <w:t>Direction de l’Environnement AAAC (Autorité d’Evaluation Environnementale Compétente) de Bissau</w:t>
            </w:r>
          </w:p>
          <w:p w:rsidR="00181BAB" w:rsidRPr="008E2AF6" w:rsidRDefault="00181BAB" w:rsidP="00FA3FAE">
            <w:pPr>
              <w:pStyle w:val="PargrafodaLista"/>
              <w:numPr>
                <w:ilvl w:val="0"/>
                <w:numId w:val="21"/>
              </w:numPr>
              <w:spacing w:after="0" w:line="240" w:lineRule="auto"/>
              <w:ind w:left="714" w:hanging="357"/>
              <w:jc w:val="both"/>
              <w:rPr>
                <w:rFonts w:ascii="Times New Roman" w:hAnsi="Times New Roman"/>
                <w:lang w:val="fr-FR"/>
              </w:rPr>
            </w:pPr>
            <w:r w:rsidRPr="008E2AF6">
              <w:rPr>
                <w:rFonts w:ascii="Times New Roman" w:hAnsi="Times New Roman"/>
                <w:lang w:val="fr-FR"/>
              </w:rPr>
              <w:t>Bureau PAUSEE / Guinée Bissau</w:t>
            </w:r>
          </w:p>
          <w:p w:rsidR="00181BAB" w:rsidRPr="008E2AF6" w:rsidRDefault="00181BAB" w:rsidP="00FA3FAE">
            <w:pPr>
              <w:pStyle w:val="PargrafodaLista"/>
              <w:numPr>
                <w:ilvl w:val="0"/>
                <w:numId w:val="21"/>
              </w:numPr>
              <w:spacing w:after="0" w:line="240" w:lineRule="auto"/>
              <w:ind w:left="714" w:hanging="357"/>
              <w:jc w:val="both"/>
              <w:rPr>
                <w:rFonts w:ascii="Times New Roman" w:hAnsi="Times New Roman"/>
                <w:lang w:val="fr-FR"/>
              </w:rPr>
            </w:pPr>
            <w:r w:rsidRPr="008E2AF6">
              <w:rPr>
                <w:rFonts w:ascii="Times New Roman" w:hAnsi="Times New Roman"/>
                <w:lang w:val="fr-FR"/>
              </w:rPr>
              <w:t>Direction des Eaux et Electricités de Guinée Bissau (EAGB)</w:t>
            </w:r>
          </w:p>
          <w:p w:rsidR="00181BAB" w:rsidRPr="008E2AF6" w:rsidRDefault="00181BAB" w:rsidP="00FA3FAE">
            <w:pPr>
              <w:pStyle w:val="PargrafodaLista"/>
              <w:numPr>
                <w:ilvl w:val="0"/>
                <w:numId w:val="21"/>
              </w:numPr>
              <w:spacing w:after="0" w:line="240" w:lineRule="auto"/>
              <w:ind w:left="714" w:hanging="357"/>
              <w:jc w:val="both"/>
              <w:rPr>
                <w:rFonts w:ascii="Times New Roman" w:hAnsi="Times New Roman"/>
                <w:lang w:val="fr-FR"/>
              </w:rPr>
            </w:pPr>
            <w:r w:rsidRPr="008E2AF6">
              <w:rPr>
                <w:rFonts w:ascii="Times New Roman" w:hAnsi="Times New Roman"/>
                <w:lang w:val="fr-FR"/>
              </w:rPr>
              <w:t>Direction Générale de l’Energie</w:t>
            </w:r>
          </w:p>
          <w:p w:rsidR="00181BAB" w:rsidRPr="008E2AF6" w:rsidRDefault="00181BAB" w:rsidP="00FA3FAE">
            <w:pPr>
              <w:pStyle w:val="PargrafodaLista"/>
              <w:numPr>
                <w:ilvl w:val="0"/>
                <w:numId w:val="21"/>
              </w:numPr>
              <w:spacing w:after="0" w:line="240" w:lineRule="auto"/>
              <w:ind w:left="714" w:hanging="357"/>
              <w:jc w:val="both"/>
              <w:rPr>
                <w:rFonts w:ascii="Times New Roman" w:hAnsi="Times New Roman"/>
                <w:lang w:val="fr-FR"/>
              </w:rPr>
            </w:pPr>
            <w:r w:rsidRPr="008E2AF6">
              <w:rPr>
                <w:rFonts w:ascii="Times New Roman" w:hAnsi="Times New Roman"/>
                <w:lang w:val="fr-FR"/>
              </w:rPr>
              <w:t>Institut National de la Métrologie de Bissau</w:t>
            </w:r>
          </w:p>
          <w:p w:rsidR="00181BAB" w:rsidRPr="008E2AF6" w:rsidRDefault="00181BAB" w:rsidP="00FA3FAE">
            <w:pPr>
              <w:pStyle w:val="PargrafodaLista"/>
              <w:numPr>
                <w:ilvl w:val="0"/>
                <w:numId w:val="21"/>
              </w:numPr>
              <w:spacing w:after="0" w:line="240" w:lineRule="auto"/>
              <w:ind w:left="714" w:hanging="357"/>
              <w:jc w:val="both"/>
              <w:rPr>
                <w:rFonts w:ascii="Times New Roman" w:hAnsi="Times New Roman"/>
                <w:lang w:val="fr-FR"/>
              </w:rPr>
            </w:pPr>
            <w:r w:rsidRPr="008E2AF6">
              <w:rPr>
                <w:rFonts w:ascii="Times New Roman" w:hAnsi="Times New Roman"/>
                <w:lang w:val="fr-FR"/>
              </w:rPr>
              <w:t>Institut National de la Statistique de Bissau</w:t>
            </w:r>
          </w:p>
          <w:p w:rsidR="00181BAB" w:rsidRPr="008E2AF6" w:rsidRDefault="00181BAB" w:rsidP="00FA3FAE">
            <w:pPr>
              <w:pStyle w:val="PargrafodaLista"/>
              <w:numPr>
                <w:ilvl w:val="0"/>
                <w:numId w:val="21"/>
              </w:numPr>
              <w:spacing w:after="0" w:line="240" w:lineRule="auto"/>
              <w:ind w:left="714" w:hanging="357"/>
              <w:jc w:val="both"/>
              <w:rPr>
                <w:rFonts w:ascii="Times New Roman" w:hAnsi="Times New Roman"/>
                <w:lang w:val="fr-FR"/>
              </w:rPr>
            </w:pPr>
            <w:r w:rsidRPr="008E2AF6">
              <w:rPr>
                <w:rFonts w:ascii="Times New Roman" w:hAnsi="Times New Roman"/>
                <w:lang w:val="fr-FR"/>
              </w:rPr>
              <w:t>Direction nationale des mouvements Société Civile</w:t>
            </w:r>
          </w:p>
          <w:p w:rsidR="00181BAB" w:rsidRPr="008E2AF6" w:rsidRDefault="00181BAB" w:rsidP="00FA3FAE">
            <w:pPr>
              <w:pStyle w:val="PargrafodaLista"/>
              <w:numPr>
                <w:ilvl w:val="0"/>
                <w:numId w:val="21"/>
              </w:numPr>
              <w:spacing w:after="0" w:line="240" w:lineRule="auto"/>
              <w:ind w:left="714" w:hanging="357"/>
              <w:jc w:val="both"/>
              <w:rPr>
                <w:rFonts w:ascii="Times New Roman" w:hAnsi="Times New Roman"/>
                <w:lang w:val="fr-FR"/>
              </w:rPr>
            </w:pPr>
            <w:r w:rsidRPr="008E2AF6">
              <w:rPr>
                <w:rFonts w:ascii="Times New Roman" w:hAnsi="Times New Roman"/>
                <w:lang w:val="fr-FR"/>
              </w:rPr>
              <w:t xml:space="preserve"> Service National de la Protection Civile de Bissau</w:t>
            </w:r>
          </w:p>
          <w:p w:rsidR="00181BAB" w:rsidRPr="008E2AF6" w:rsidRDefault="00181BAB" w:rsidP="00FA3FAE">
            <w:pPr>
              <w:pStyle w:val="PargrafodaLista"/>
              <w:numPr>
                <w:ilvl w:val="0"/>
                <w:numId w:val="21"/>
              </w:numPr>
              <w:spacing w:after="0" w:line="240" w:lineRule="auto"/>
              <w:ind w:left="714" w:hanging="357"/>
              <w:jc w:val="both"/>
              <w:rPr>
                <w:rFonts w:ascii="Times New Roman" w:hAnsi="Times New Roman"/>
                <w:lang w:val="fr-FR"/>
              </w:rPr>
            </w:pPr>
            <w:r w:rsidRPr="008E2AF6">
              <w:rPr>
                <w:rFonts w:ascii="Times New Roman" w:hAnsi="Times New Roman"/>
                <w:lang w:val="fr-FR"/>
              </w:rPr>
              <w:t xml:space="preserve"> Direction Générale de l’Aménagement du Territoire Bissau</w:t>
            </w:r>
          </w:p>
          <w:p w:rsidR="00181BAB" w:rsidRPr="008E2AF6" w:rsidRDefault="00181BAB" w:rsidP="00FA3FAE">
            <w:pPr>
              <w:pStyle w:val="PargrafodaLista"/>
              <w:numPr>
                <w:ilvl w:val="0"/>
                <w:numId w:val="21"/>
              </w:numPr>
              <w:spacing w:after="0" w:line="240" w:lineRule="auto"/>
              <w:ind w:left="714" w:hanging="357"/>
              <w:jc w:val="both"/>
              <w:rPr>
                <w:rFonts w:ascii="Times New Roman" w:hAnsi="Times New Roman"/>
                <w:lang w:val="fr-FR"/>
              </w:rPr>
            </w:pPr>
            <w:r w:rsidRPr="008E2AF6">
              <w:rPr>
                <w:rFonts w:ascii="Times New Roman" w:hAnsi="Times New Roman"/>
                <w:lang w:val="fr-FR"/>
              </w:rPr>
              <w:t xml:space="preserve"> Direction Générale de la Faune et Flore</w:t>
            </w:r>
          </w:p>
          <w:p w:rsidR="00181BAB" w:rsidRPr="008E2AF6" w:rsidRDefault="00181BAB" w:rsidP="00FA3FAE">
            <w:pPr>
              <w:pStyle w:val="PargrafodaLista"/>
              <w:numPr>
                <w:ilvl w:val="0"/>
                <w:numId w:val="21"/>
              </w:numPr>
              <w:spacing w:after="0" w:line="240" w:lineRule="auto"/>
              <w:ind w:left="714" w:hanging="357"/>
              <w:jc w:val="both"/>
              <w:rPr>
                <w:rFonts w:ascii="Times New Roman" w:hAnsi="Times New Roman"/>
                <w:lang w:val="fr-FR"/>
              </w:rPr>
            </w:pPr>
            <w:r w:rsidRPr="008E2AF6">
              <w:rPr>
                <w:rFonts w:ascii="Times New Roman" w:hAnsi="Times New Roman"/>
                <w:lang w:val="fr-FR"/>
              </w:rPr>
              <w:t xml:space="preserve"> Bureau de la Planification Côtière de Bissau</w:t>
            </w:r>
          </w:p>
          <w:p w:rsidR="00181BAB" w:rsidRPr="008E2AF6" w:rsidRDefault="00181BAB" w:rsidP="00FA3FAE">
            <w:pPr>
              <w:pStyle w:val="PargrafodaLista"/>
              <w:numPr>
                <w:ilvl w:val="0"/>
                <w:numId w:val="21"/>
              </w:numPr>
              <w:spacing w:after="0" w:line="240" w:lineRule="auto"/>
              <w:ind w:left="714" w:hanging="357"/>
              <w:jc w:val="both"/>
              <w:rPr>
                <w:rFonts w:ascii="Times New Roman" w:hAnsi="Times New Roman"/>
                <w:lang w:val="fr-FR"/>
              </w:rPr>
            </w:pPr>
            <w:r w:rsidRPr="008E2AF6">
              <w:rPr>
                <w:rFonts w:ascii="Times New Roman" w:hAnsi="Times New Roman"/>
                <w:lang w:val="fr-FR"/>
              </w:rPr>
              <w:t xml:space="preserve"> Ministère de la Santé Publique Service des Installations et Equipements</w:t>
            </w:r>
          </w:p>
          <w:p w:rsidR="00181BAB" w:rsidRPr="008E2AF6" w:rsidRDefault="00181BAB" w:rsidP="00FA3FAE">
            <w:pPr>
              <w:pStyle w:val="PargrafodaLista"/>
              <w:numPr>
                <w:ilvl w:val="0"/>
                <w:numId w:val="21"/>
              </w:numPr>
              <w:spacing w:after="0" w:line="240" w:lineRule="auto"/>
              <w:ind w:left="714" w:hanging="357"/>
              <w:jc w:val="both"/>
              <w:rPr>
                <w:rFonts w:ascii="Times New Roman" w:hAnsi="Times New Roman"/>
                <w:lang w:val="fr-FR"/>
              </w:rPr>
            </w:pPr>
            <w:r w:rsidRPr="008E2AF6">
              <w:rPr>
                <w:rFonts w:ascii="Times New Roman" w:hAnsi="Times New Roman"/>
                <w:lang w:val="fr-FR"/>
              </w:rPr>
              <w:t>Laboratoire National de Santé Publique</w:t>
            </w:r>
          </w:p>
          <w:p w:rsidR="00181BAB" w:rsidRPr="008E2AF6" w:rsidRDefault="00181BAB" w:rsidP="00FA3FAE">
            <w:pPr>
              <w:pStyle w:val="PargrafodaLista"/>
              <w:numPr>
                <w:ilvl w:val="0"/>
                <w:numId w:val="21"/>
              </w:numPr>
              <w:spacing w:after="0" w:line="240" w:lineRule="auto"/>
              <w:ind w:left="714" w:hanging="357"/>
              <w:jc w:val="both"/>
              <w:rPr>
                <w:rFonts w:ascii="Times New Roman" w:hAnsi="Times New Roman"/>
                <w:lang w:val="fr-FR"/>
              </w:rPr>
            </w:pPr>
            <w:r w:rsidRPr="008E2AF6">
              <w:rPr>
                <w:rFonts w:ascii="Times New Roman" w:hAnsi="Times New Roman"/>
                <w:lang w:val="fr-FR"/>
              </w:rPr>
              <w:t>Ministère de la Fonction Publique Direction générale du travail</w:t>
            </w:r>
          </w:p>
          <w:p w:rsidR="00181BAB" w:rsidRPr="008E2AF6" w:rsidRDefault="00181BAB" w:rsidP="00FA3FAE">
            <w:pPr>
              <w:pStyle w:val="PargrafodaLista"/>
              <w:numPr>
                <w:ilvl w:val="0"/>
                <w:numId w:val="21"/>
              </w:numPr>
              <w:spacing w:after="0" w:line="240" w:lineRule="auto"/>
              <w:ind w:left="714" w:hanging="357"/>
              <w:jc w:val="both"/>
              <w:rPr>
                <w:rFonts w:ascii="Times New Roman" w:hAnsi="Times New Roman"/>
                <w:lang w:val="fr-FR"/>
              </w:rPr>
            </w:pPr>
            <w:r w:rsidRPr="008E2AF6">
              <w:rPr>
                <w:rFonts w:ascii="Times New Roman" w:hAnsi="Times New Roman"/>
                <w:lang w:val="fr-FR"/>
              </w:rPr>
              <w:t>Direction Générale des Ressources Hydriques de Guinée Bissau</w:t>
            </w:r>
          </w:p>
          <w:p w:rsidR="00181BAB" w:rsidRPr="008E2AF6" w:rsidRDefault="00181BAB" w:rsidP="00FA3FAE">
            <w:pPr>
              <w:pStyle w:val="PargrafodaLista"/>
              <w:numPr>
                <w:ilvl w:val="0"/>
                <w:numId w:val="21"/>
              </w:numPr>
              <w:spacing w:after="0" w:line="240" w:lineRule="auto"/>
              <w:ind w:left="714" w:hanging="357"/>
              <w:jc w:val="both"/>
              <w:rPr>
                <w:rFonts w:ascii="Times New Roman" w:hAnsi="Times New Roman"/>
                <w:lang w:val="fr-FR"/>
              </w:rPr>
            </w:pPr>
            <w:r w:rsidRPr="008E2AF6">
              <w:rPr>
                <w:rFonts w:ascii="Times New Roman" w:hAnsi="Times New Roman"/>
                <w:lang w:val="fr-FR"/>
              </w:rPr>
              <w:t>Direction Générale des Plans</w:t>
            </w:r>
          </w:p>
          <w:p w:rsidR="00181BAB" w:rsidRPr="008E2AF6" w:rsidRDefault="00181BAB" w:rsidP="00FA3FAE">
            <w:pPr>
              <w:pStyle w:val="PargrafodaLista"/>
              <w:numPr>
                <w:ilvl w:val="0"/>
                <w:numId w:val="21"/>
              </w:numPr>
              <w:spacing w:after="0" w:line="240" w:lineRule="auto"/>
              <w:ind w:left="714" w:hanging="357"/>
              <w:jc w:val="both"/>
              <w:rPr>
                <w:rFonts w:ascii="Times New Roman" w:hAnsi="Times New Roman"/>
                <w:lang w:val="fr-FR"/>
              </w:rPr>
            </w:pPr>
            <w:r w:rsidRPr="008E2AF6">
              <w:rPr>
                <w:rFonts w:ascii="Times New Roman" w:hAnsi="Times New Roman"/>
                <w:lang w:val="fr-FR"/>
              </w:rPr>
              <w:t>Direction Générale des Mines et de la Géologie</w:t>
            </w:r>
          </w:p>
          <w:p w:rsidR="00181BAB" w:rsidRPr="008E2AF6" w:rsidRDefault="00181BAB" w:rsidP="00FA3FAE">
            <w:pPr>
              <w:pStyle w:val="PargrafodaLista"/>
              <w:numPr>
                <w:ilvl w:val="0"/>
                <w:numId w:val="21"/>
              </w:numPr>
              <w:spacing w:after="0" w:line="240" w:lineRule="auto"/>
              <w:ind w:left="714" w:hanging="357"/>
              <w:jc w:val="both"/>
              <w:rPr>
                <w:rFonts w:ascii="Times New Roman" w:hAnsi="Times New Roman"/>
                <w:lang w:val="fr-FR"/>
              </w:rPr>
            </w:pPr>
            <w:r w:rsidRPr="008E2AF6">
              <w:rPr>
                <w:rFonts w:ascii="Times New Roman" w:hAnsi="Times New Roman"/>
                <w:lang w:val="fr-FR"/>
              </w:rPr>
              <w:t xml:space="preserve">Institut Portuaire Maritime </w:t>
            </w:r>
          </w:p>
          <w:p w:rsidR="00181BAB" w:rsidRPr="008E2AF6" w:rsidRDefault="00181BAB" w:rsidP="00FA3FAE">
            <w:pPr>
              <w:pStyle w:val="PargrafodaLista"/>
              <w:numPr>
                <w:ilvl w:val="0"/>
                <w:numId w:val="21"/>
              </w:numPr>
              <w:spacing w:after="0" w:line="240" w:lineRule="auto"/>
              <w:ind w:left="714" w:hanging="357"/>
              <w:jc w:val="both"/>
              <w:rPr>
                <w:rFonts w:ascii="Times New Roman" w:hAnsi="Times New Roman"/>
                <w:lang w:val="fr-FR"/>
              </w:rPr>
            </w:pPr>
            <w:r w:rsidRPr="008E2AF6">
              <w:rPr>
                <w:rFonts w:ascii="Times New Roman" w:hAnsi="Times New Roman"/>
                <w:lang w:val="fr-FR"/>
              </w:rPr>
              <w:t>Service de l’Urbanisme, de la Planification et des Equipements</w:t>
            </w:r>
          </w:p>
          <w:p w:rsidR="00181BAB" w:rsidRPr="008E2AF6" w:rsidRDefault="00181BAB" w:rsidP="00FA3FAE">
            <w:pPr>
              <w:pStyle w:val="PargrafodaLista"/>
              <w:numPr>
                <w:ilvl w:val="0"/>
                <w:numId w:val="21"/>
              </w:numPr>
              <w:spacing w:after="0" w:line="240" w:lineRule="auto"/>
              <w:ind w:left="714" w:hanging="357"/>
              <w:jc w:val="both"/>
              <w:rPr>
                <w:rFonts w:ascii="Times New Roman" w:hAnsi="Times New Roman"/>
                <w:lang w:val="fr-FR"/>
              </w:rPr>
            </w:pPr>
            <w:r w:rsidRPr="008E2AF6">
              <w:rPr>
                <w:rFonts w:ascii="Times New Roman" w:hAnsi="Times New Roman"/>
                <w:lang w:val="fr-FR"/>
              </w:rPr>
              <w:t>Institution de la Biodiversité et des Aires Protégées</w:t>
            </w:r>
          </w:p>
          <w:p w:rsidR="00181BAB" w:rsidRPr="008E2AF6" w:rsidRDefault="00181BAB" w:rsidP="00FA3FAE">
            <w:pPr>
              <w:pStyle w:val="PargrafodaLista"/>
              <w:numPr>
                <w:ilvl w:val="0"/>
                <w:numId w:val="21"/>
              </w:numPr>
              <w:spacing w:after="0" w:line="240" w:lineRule="auto"/>
              <w:ind w:left="714" w:hanging="357"/>
              <w:jc w:val="both"/>
              <w:rPr>
                <w:rFonts w:ascii="Times New Roman" w:hAnsi="Times New Roman"/>
                <w:lang w:val="fr-FR"/>
              </w:rPr>
            </w:pPr>
            <w:r w:rsidRPr="008E2AF6">
              <w:rPr>
                <w:rFonts w:ascii="Times New Roman" w:hAnsi="Times New Roman"/>
                <w:lang w:val="fr-FR"/>
              </w:rPr>
              <w:t>UICN</w:t>
            </w:r>
          </w:p>
          <w:p w:rsidR="00181BAB" w:rsidRPr="008E2AF6" w:rsidRDefault="00181BAB" w:rsidP="00FA3FAE">
            <w:pPr>
              <w:pStyle w:val="PargrafodaLista"/>
              <w:numPr>
                <w:ilvl w:val="0"/>
                <w:numId w:val="21"/>
              </w:numPr>
              <w:spacing w:after="0" w:line="240" w:lineRule="auto"/>
              <w:ind w:left="714" w:hanging="357"/>
              <w:jc w:val="both"/>
              <w:rPr>
                <w:rFonts w:ascii="Times New Roman" w:hAnsi="Times New Roman"/>
                <w:lang w:val="fr-FR"/>
              </w:rPr>
            </w:pPr>
            <w:r w:rsidRPr="008E2AF6">
              <w:rPr>
                <w:rFonts w:ascii="Times New Roman" w:hAnsi="Times New Roman"/>
                <w:lang w:val="fr-FR"/>
              </w:rPr>
              <w:t>Direction Générale de la Géographie et Cadastre</w:t>
            </w:r>
          </w:p>
          <w:p w:rsidR="00181BAB" w:rsidRPr="008E2AF6" w:rsidRDefault="00181BAB" w:rsidP="00FA3FAE">
            <w:pPr>
              <w:pStyle w:val="PargrafodaLista"/>
              <w:numPr>
                <w:ilvl w:val="0"/>
                <w:numId w:val="21"/>
              </w:numPr>
              <w:spacing w:after="0" w:line="240" w:lineRule="auto"/>
              <w:ind w:left="714" w:hanging="357"/>
              <w:jc w:val="both"/>
              <w:rPr>
                <w:rFonts w:ascii="Times New Roman" w:hAnsi="Times New Roman"/>
                <w:lang w:val="fr-FR"/>
              </w:rPr>
            </w:pPr>
            <w:r w:rsidRPr="008E2AF6">
              <w:rPr>
                <w:rFonts w:ascii="Times New Roman" w:hAnsi="Times New Roman"/>
                <w:lang w:val="fr-FR"/>
              </w:rPr>
              <w:t>Direction Général de la Planification Agricole</w:t>
            </w:r>
          </w:p>
          <w:p w:rsidR="00181BAB" w:rsidRPr="008E2AF6" w:rsidRDefault="00181BAB" w:rsidP="00FA3FAE">
            <w:pPr>
              <w:pStyle w:val="PargrafodaLista"/>
              <w:numPr>
                <w:ilvl w:val="0"/>
                <w:numId w:val="21"/>
              </w:numPr>
              <w:spacing w:after="0" w:line="240" w:lineRule="auto"/>
              <w:ind w:left="714" w:hanging="357"/>
              <w:jc w:val="both"/>
              <w:rPr>
                <w:rFonts w:ascii="Times New Roman" w:hAnsi="Times New Roman"/>
                <w:lang w:val="fr-FR"/>
              </w:rPr>
            </w:pPr>
            <w:r w:rsidRPr="008E2AF6">
              <w:rPr>
                <w:rFonts w:ascii="Times New Roman" w:hAnsi="Times New Roman"/>
                <w:lang w:val="fr-FR"/>
              </w:rPr>
              <w:t>ONG Tiniguena</w:t>
            </w:r>
          </w:p>
          <w:p w:rsidR="00181BAB" w:rsidRPr="008E2AF6" w:rsidRDefault="00181BAB" w:rsidP="00FA3FAE">
            <w:pPr>
              <w:pStyle w:val="PargrafodaLista"/>
              <w:numPr>
                <w:ilvl w:val="0"/>
                <w:numId w:val="21"/>
              </w:numPr>
              <w:spacing w:after="0" w:line="240" w:lineRule="auto"/>
              <w:ind w:left="714" w:hanging="357"/>
              <w:jc w:val="both"/>
              <w:rPr>
                <w:rFonts w:ascii="Times New Roman" w:hAnsi="Times New Roman"/>
                <w:lang w:val="fr-FR"/>
              </w:rPr>
            </w:pPr>
            <w:r w:rsidRPr="008E2AF6">
              <w:rPr>
                <w:rFonts w:ascii="Times New Roman" w:hAnsi="Times New Roman"/>
                <w:lang w:val="fr-FR"/>
              </w:rPr>
              <w:t>Camara Municipal de Bissau</w:t>
            </w:r>
          </w:p>
          <w:p w:rsidR="00181BAB" w:rsidRPr="008E2AF6" w:rsidRDefault="00181BAB" w:rsidP="00FA3FAE">
            <w:pPr>
              <w:pStyle w:val="PargrafodaLista"/>
              <w:numPr>
                <w:ilvl w:val="0"/>
                <w:numId w:val="21"/>
              </w:numPr>
              <w:spacing w:after="0" w:line="240" w:lineRule="auto"/>
              <w:ind w:left="714" w:hanging="357"/>
              <w:jc w:val="both"/>
              <w:rPr>
                <w:rFonts w:ascii="Times New Roman" w:hAnsi="Times New Roman"/>
                <w:lang w:val="fr-FR"/>
              </w:rPr>
            </w:pPr>
            <w:r w:rsidRPr="008E2AF6">
              <w:rPr>
                <w:rFonts w:ascii="Times New Roman" w:hAnsi="Times New Roman"/>
                <w:lang w:val="fr-FR"/>
              </w:rPr>
              <w:t>Camara Municipal de Prabis</w:t>
            </w:r>
          </w:p>
          <w:p w:rsidR="00181BAB" w:rsidRPr="008E2AF6" w:rsidRDefault="00181BAB" w:rsidP="00FA3FAE">
            <w:pPr>
              <w:pStyle w:val="PargrafodaLista"/>
              <w:numPr>
                <w:ilvl w:val="0"/>
                <w:numId w:val="21"/>
              </w:numPr>
              <w:spacing w:after="0" w:line="240" w:lineRule="auto"/>
              <w:ind w:left="714" w:hanging="357"/>
              <w:jc w:val="both"/>
              <w:rPr>
                <w:rFonts w:ascii="Times New Roman" w:hAnsi="Times New Roman"/>
                <w:lang w:val="fr-FR"/>
              </w:rPr>
            </w:pPr>
            <w:r w:rsidRPr="008E2AF6">
              <w:rPr>
                <w:rFonts w:ascii="Times New Roman" w:hAnsi="Times New Roman"/>
                <w:lang w:val="fr-FR"/>
              </w:rPr>
              <w:t>Camara Municipal de Safim</w:t>
            </w:r>
          </w:p>
          <w:p w:rsidR="00181BAB" w:rsidRPr="008E2AF6" w:rsidRDefault="00181BAB" w:rsidP="008E2AF6">
            <w:pPr>
              <w:autoSpaceDE w:val="0"/>
              <w:autoSpaceDN w:val="0"/>
              <w:adjustRightInd w:val="0"/>
              <w:spacing w:after="0" w:line="240" w:lineRule="auto"/>
              <w:jc w:val="both"/>
              <w:rPr>
                <w:rFonts w:ascii="Times New Roman" w:hAnsi="Times New Roman" w:cs="Times New Roman"/>
                <w:sz w:val="20"/>
                <w:szCs w:val="20"/>
              </w:rPr>
            </w:pPr>
            <w:r w:rsidRPr="008E2AF6">
              <w:rPr>
                <w:rFonts w:ascii="Times New Roman" w:hAnsi="Times New Roman" w:cs="Times New Roman"/>
                <w:sz w:val="20"/>
                <w:szCs w:val="20"/>
              </w:rPr>
              <w:t xml:space="preserve">Le plan de consultation avec les méthodes/outils utilisés, les procès-verbaux, de même que la liste des personnes consultées devra être mis en annexe au rapport d’EIES. </w:t>
            </w:r>
          </w:p>
          <w:p w:rsidR="00181BAB" w:rsidRPr="008E2AF6" w:rsidRDefault="00181BAB" w:rsidP="008E2AF6">
            <w:pPr>
              <w:autoSpaceDE w:val="0"/>
              <w:autoSpaceDN w:val="0"/>
              <w:adjustRightInd w:val="0"/>
              <w:spacing w:after="0" w:line="240" w:lineRule="auto"/>
              <w:jc w:val="both"/>
              <w:rPr>
                <w:rFonts w:ascii="Times New Roman" w:hAnsi="Times New Roman" w:cs="Times New Roman"/>
                <w:sz w:val="20"/>
                <w:szCs w:val="20"/>
              </w:rPr>
            </w:pPr>
            <w:r w:rsidRPr="008E2AF6">
              <w:rPr>
                <w:rFonts w:ascii="Times New Roman" w:hAnsi="Times New Roman" w:cs="Times New Roman"/>
                <w:sz w:val="20"/>
                <w:szCs w:val="20"/>
              </w:rPr>
              <w:t>Le projet devant nécessiter un déplacement de population, le consultant indiquera les mesures à prendre afin de compenser les impacts économiques et sociaux pouvant résulter d’un déplacement involontaire, de la perte de biens ou d’accès à des biens, ou la perte de revenus ou de moyens de vie à travers un Plan d’Action de Réinstallation (P.A.R.).</w:t>
            </w:r>
          </w:p>
          <w:p w:rsidR="00181BAB" w:rsidRPr="008E2AF6" w:rsidRDefault="00181BAB" w:rsidP="008E2AF6">
            <w:pPr>
              <w:autoSpaceDE w:val="0"/>
              <w:autoSpaceDN w:val="0"/>
              <w:adjustRightInd w:val="0"/>
              <w:spacing w:after="0" w:line="240" w:lineRule="auto"/>
              <w:jc w:val="both"/>
              <w:rPr>
                <w:rFonts w:ascii="Times New Roman" w:hAnsi="Times New Roman" w:cs="Times New Roman"/>
                <w:sz w:val="20"/>
                <w:szCs w:val="20"/>
              </w:rPr>
            </w:pPr>
            <w:r w:rsidRPr="008E2AF6">
              <w:rPr>
                <w:rFonts w:ascii="Times New Roman" w:hAnsi="Times New Roman" w:cs="Times New Roman"/>
                <w:sz w:val="20"/>
                <w:szCs w:val="20"/>
              </w:rPr>
              <w:t>Ce plan de réinstallation sera constitué d’un document distinct de l’étude d’impact sur l’environnement.</w:t>
            </w:r>
          </w:p>
        </w:tc>
      </w:tr>
      <w:tr w:rsidR="00181BAB" w:rsidRPr="00693805" w:rsidTr="008734B0">
        <w:tc>
          <w:tcPr>
            <w:tcW w:w="2122" w:type="dxa"/>
            <w:shd w:val="clear" w:color="auto" w:fill="auto"/>
            <w:vAlign w:val="center"/>
          </w:tcPr>
          <w:p w:rsidR="00181BAB" w:rsidRPr="008E2AF6" w:rsidRDefault="00181BAB" w:rsidP="008E2AF6">
            <w:pPr>
              <w:autoSpaceDE w:val="0"/>
              <w:autoSpaceDN w:val="0"/>
              <w:adjustRightInd w:val="0"/>
              <w:spacing w:after="0" w:line="240" w:lineRule="auto"/>
              <w:jc w:val="center"/>
              <w:rPr>
                <w:rFonts w:ascii="Times New Roman" w:hAnsi="Times New Roman" w:cs="Times New Roman"/>
                <w:b/>
                <w:sz w:val="20"/>
                <w:szCs w:val="20"/>
              </w:rPr>
            </w:pPr>
            <w:r w:rsidRPr="008E2AF6">
              <w:rPr>
                <w:rFonts w:ascii="Times New Roman" w:hAnsi="Times New Roman" w:cs="Times New Roman"/>
                <w:b/>
                <w:bCs/>
                <w:sz w:val="20"/>
                <w:szCs w:val="20"/>
              </w:rPr>
              <w:lastRenderedPageBreak/>
              <w:t>Finalisation, remise officielle et approbation réglementaire du rapport final</w:t>
            </w:r>
          </w:p>
        </w:tc>
        <w:tc>
          <w:tcPr>
            <w:tcW w:w="7166" w:type="dxa"/>
            <w:shd w:val="clear" w:color="auto" w:fill="auto"/>
          </w:tcPr>
          <w:p w:rsidR="00181BAB" w:rsidRPr="008E2AF6" w:rsidRDefault="00181BAB" w:rsidP="008E2AF6">
            <w:pPr>
              <w:autoSpaceDE w:val="0"/>
              <w:autoSpaceDN w:val="0"/>
              <w:adjustRightInd w:val="0"/>
              <w:spacing w:after="0" w:line="240" w:lineRule="auto"/>
              <w:jc w:val="both"/>
              <w:rPr>
                <w:rFonts w:ascii="Times New Roman" w:hAnsi="Times New Roman" w:cs="Times New Roman"/>
                <w:sz w:val="20"/>
                <w:szCs w:val="20"/>
              </w:rPr>
            </w:pPr>
            <w:r w:rsidRPr="008E2AF6">
              <w:rPr>
                <w:rFonts w:ascii="Times New Roman" w:hAnsi="Times New Roman" w:cs="Times New Roman"/>
                <w:sz w:val="20"/>
                <w:szCs w:val="20"/>
              </w:rPr>
              <w:t>Cette dernière étape de l’EIES est la finalisation du rapport d’EIES devant être remise aux autorités concernées (Ministère délégué à l’Environnement) et diffusé au public et aux autres parties prenantes extérieures, pour consultation et commentaires éventuels.</w:t>
            </w:r>
          </w:p>
          <w:p w:rsidR="00181BAB" w:rsidRPr="008E2AF6" w:rsidRDefault="00181BAB" w:rsidP="008E2AF6">
            <w:pPr>
              <w:autoSpaceDE w:val="0"/>
              <w:autoSpaceDN w:val="0"/>
              <w:adjustRightInd w:val="0"/>
              <w:spacing w:after="0" w:line="240" w:lineRule="auto"/>
              <w:jc w:val="both"/>
              <w:rPr>
                <w:rFonts w:ascii="Times New Roman" w:hAnsi="Times New Roman" w:cs="Times New Roman"/>
                <w:sz w:val="20"/>
                <w:szCs w:val="20"/>
              </w:rPr>
            </w:pPr>
            <w:r w:rsidRPr="008E2AF6">
              <w:rPr>
                <w:rFonts w:ascii="Times New Roman" w:hAnsi="Times New Roman" w:cs="Times New Roman"/>
                <w:sz w:val="20"/>
                <w:szCs w:val="20"/>
              </w:rPr>
              <w:t>Ce processus comprendra une enquête ou audience publique. Le procès-verbal de l’enquête ou audience publique sera pris en compte pour appuyer le processus de validation de l’EIES par l’autorité compétente.</w:t>
            </w:r>
          </w:p>
          <w:p w:rsidR="00181BAB" w:rsidRPr="008E2AF6" w:rsidRDefault="00181BAB" w:rsidP="008E2AF6">
            <w:pPr>
              <w:autoSpaceDE w:val="0"/>
              <w:autoSpaceDN w:val="0"/>
              <w:adjustRightInd w:val="0"/>
              <w:spacing w:after="0" w:line="240" w:lineRule="auto"/>
              <w:jc w:val="both"/>
              <w:rPr>
                <w:rFonts w:ascii="Times New Roman" w:hAnsi="Times New Roman" w:cs="Times New Roman"/>
                <w:b/>
                <w:sz w:val="20"/>
                <w:szCs w:val="20"/>
                <w:u w:val="single"/>
              </w:rPr>
            </w:pPr>
            <w:r w:rsidRPr="008E2AF6">
              <w:rPr>
                <w:rFonts w:ascii="Times New Roman" w:hAnsi="Times New Roman" w:cs="Times New Roman"/>
                <w:sz w:val="20"/>
                <w:szCs w:val="20"/>
              </w:rPr>
              <w:t>Le Certificat de Conformité officiel d’approbation de l’EIES pourra refléter les remarques et attentes de l’autorité compétente ainsi que les points reportés dans le PV de l’audience publique.</w:t>
            </w:r>
          </w:p>
        </w:tc>
      </w:tr>
      <w:tr w:rsidR="00181BAB" w:rsidRPr="00693805" w:rsidTr="008734B0">
        <w:tc>
          <w:tcPr>
            <w:tcW w:w="2122" w:type="dxa"/>
            <w:shd w:val="clear" w:color="auto" w:fill="auto"/>
            <w:vAlign w:val="center"/>
          </w:tcPr>
          <w:p w:rsidR="00181BAB" w:rsidRPr="008E2AF6" w:rsidRDefault="00181BAB" w:rsidP="008E2AF6">
            <w:pPr>
              <w:autoSpaceDE w:val="0"/>
              <w:autoSpaceDN w:val="0"/>
              <w:adjustRightInd w:val="0"/>
              <w:spacing w:after="0" w:line="240" w:lineRule="auto"/>
              <w:jc w:val="center"/>
              <w:rPr>
                <w:rFonts w:ascii="Times New Roman" w:hAnsi="Times New Roman" w:cs="Times New Roman"/>
                <w:b/>
                <w:bCs/>
                <w:sz w:val="20"/>
                <w:szCs w:val="20"/>
              </w:rPr>
            </w:pPr>
            <w:r w:rsidRPr="008E2AF6">
              <w:rPr>
                <w:rFonts w:ascii="Times New Roman" w:hAnsi="Times New Roman" w:cs="Times New Roman"/>
                <w:b/>
                <w:bCs/>
                <w:sz w:val="20"/>
                <w:szCs w:val="20"/>
              </w:rPr>
              <w:t>Préparation du DAO et des plans d’exécution</w:t>
            </w:r>
          </w:p>
        </w:tc>
        <w:tc>
          <w:tcPr>
            <w:tcW w:w="7166" w:type="dxa"/>
            <w:shd w:val="clear" w:color="auto" w:fill="auto"/>
          </w:tcPr>
          <w:p w:rsidR="00181BAB" w:rsidRPr="008E2AF6" w:rsidRDefault="00181BAB" w:rsidP="008E2AF6">
            <w:pPr>
              <w:autoSpaceDE w:val="0"/>
              <w:autoSpaceDN w:val="0"/>
              <w:adjustRightInd w:val="0"/>
              <w:spacing w:after="0" w:line="240" w:lineRule="auto"/>
              <w:jc w:val="both"/>
              <w:rPr>
                <w:rFonts w:ascii="Times New Roman" w:hAnsi="Times New Roman" w:cs="Times New Roman"/>
                <w:sz w:val="20"/>
                <w:szCs w:val="20"/>
              </w:rPr>
            </w:pPr>
            <w:r w:rsidRPr="008E2AF6">
              <w:rPr>
                <w:rFonts w:ascii="Times New Roman" w:hAnsi="Times New Roman" w:cs="Times New Roman"/>
                <w:sz w:val="20"/>
                <w:szCs w:val="20"/>
              </w:rPr>
              <w:t>Le Consultant veillera à ce que les DAO et les dossiers d’exécution des marchés incluent les mesures spécifiées dans le PGES ainsi que les clauses environnementales et sociales qui elles sont spécifiques aux activités génériques de chantier pouvant être sources de nuisances environnementales et sociales.</w:t>
            </w:r>
          </w:p>
        </w:tc>
      </w:tr>
    </w:tbl>
    <w:p w:rsidR="00181BAB" w:rsidRPr="00693805" w:rsidRDefault="00181BAB" w:rsidP="00FA3FAE">
      <w:pPr>
        <w:pStyle w:val="PargrafodaLista"/>
        <w:numPr>
          <w:ilvl w:val="1"/>
          <w:numId w:val="178"/>
        </w:numPr>
        <w:spacing w:before="240" w:after="240" w:line="240" w:lineRule="auto"/>
        <w:contextualSpacing w:val="0"/>
        <w:jc w:val="both"/>
        <w:outlineLvl w:val="1"/>
        <w:rPr>
          <w:b/>
          <w:lang w:val="fr-FR"/>
        </w:rPr>
      </w:pPr>
      <w:bookmarkStart w:id="886" w:name="_Toc504998506"/>
      <w:bookmarkStart w:id="887" w:name="_Toc504998574"/>
      <w:bookmarkStart w:id="888" w:name="_Toc504999531"/>
      <w:bookmarkStart w:id="889" w:name="_Toc504999563"/>
      <w:bookmarkStart w:id="890" w:name="_Toc505000595"/>
      <w:bookmarkStart w:id="891" w:name="_Toc505004242"/>
      <w:bookmarkStart w:id="892" w:name="_Toc20820273"/>
      <w:bookmarkStart w:id="893" w:name="_Toc32511680"/>
      <w:bookmarkStart w:id="894" w:name="_Toc51072661"/>
      <w:bookmarkEnd w:id="886"/>
      <w:bookmarkEnd w:id="887"/>
      <w:bookmarkEnd w:id="888"/>
      <w:bookmarkEnd w:id="889"/>
      <w:bookmarkEnd w:id="890"/>
      <w:bookmarkEnd w:id="891"/>
      <w:r w:rsidRPr="00693805">
        <w:rPr>
          <w:b/>
          <w:lang w:val="fr-FR"/>
        </w:rPr>
        <w:t>Format de présentation de l’EIES</w:t>
      </w:r>
      <w:bookmarkEnd w:id="892"/>
      <w:bookmarkEnd w:id="893"/>
      <w:bookmarkEnd w:id="894"/>
    </w:p>
    <w:p w:rsidR="00181BAB" w:rsidRPr="008E2AF6" w:rsidRDefault="00181BAB" w:rsidP="008E2AF6">
      <w:pPr>
        <w:tabs>
          <w:tab w:val="left" w:pos="426"/>
          <w:tab w:val="left" w:pos="2240"/>
          <w:tab w:val="left" w:pos="2800"/>
          <w:tab w:val="left" w:pos="3360"/>
          <w:tab w:val="left" w:pos="3920"/>
          <w:tab w:val="left" w:pos="4480"/>
          <w:tab w:val="left" w:pos="5040"/>
          <w:tab w:val="left" w:pos="5600"/>
          <w:tab w:val="left" w:pos="6160"/>
          <w:tab w:val="left" w:pos="6720"/>
        </w:tabs>
        <w:spacing w:after="0"/>
        <w:jc w:val="both"/>
        <w:rPr>
          <w:rFonts w:ascii="Times New Roman" w:hAnsi="Times New Roman" w:cs="Times New Roman"/>
          <w:lang w:eastAsia="fr-FR"/>
        </w:rPr>
      </w:pPr>
      <w:r w:rsidRPr="008E2AF6">
        <w:rPr>
          <w:rFonts w:ascii="Times New Roman" w:hAnsi="Times New Roman" w:cs="Times New Roman"/>
          <w:lang w:eastAsia="fr-FR"/>
        </w:rPr>
        <w:lastRenderedPageBreak/>
        <w:t>Le consultant produira un rapport d’EIES complet, respectant les normes de forme, et comportant obligatoirement les sections suivantes :</w:t>
      </w:r>
    </w:p>
    <w:p w:rsidR="00181BAB" w:rsidRPr="008E2AF6" w:rsidRDefault="00181BAB" w:rsidP="00FA3FAE">
      <w:pPr>
        <w:pStyle w:val="Corpodetexto"/>
        <w:numPr>
          <w:ilvl w:val="0"/>
          <w:numId w:val="184"/>
        </w:numPr>
        <w:tabs>
          <w:tab w:val="clear" w:pos="-720"/>
          <w:tab w:val="clear" w:pos="720"/>
          <w:tab w:val="num" w:pos="567"/>
        </w:tabs>
        <w:suppressAutoHyphens w:val="0"/>
        <w:overflowPunct/>
        <w:autoSpaceDE/>
        <w:autoSpaceDN/>
        <w:adjustRightInd/>
        <w:spacing w:line="276" w:lineRule="auto"/>
        <w:ind w:right="-142"/>
        <w:rPr>
          <w:rFonts w:ascii="Times New Roman" w:eastAsia="Calibri" w:hAnsi="Times New Roman"/>
          <w:szCs w:val="24"/>
          <w:lang w:val="fr-FR"/>
        </w:rPr>
      </w:pPr>
      <w:r w:rsidRPr="008E2AF6">
        <w:rPr>
          <w:rFonts w:ascii="Times New Roman" w:eastAsia="Calibri" w:hAnsi="Times New Roman"/>
          <w:szCs w:val="24"/>
          <w:lang w:val="fr-FR"/>
        </w:rPr>
        <w:t>Liste des abréviations et acronymes ;</w:t>
      </w:r>
    </w:p>
    <w:p w:rsidR="00181BAB" w:rsidRPr="008E2AF6" w:rsidRDefault="00181BAB" w:rsidP="00FA3FAE">
      <w:pPr>
        <w:pStyle w:val="Corpodetexto"/>
        <w:numPr>
          <w:ilvl w:val="0"/>
          <w:numId w:val="184"/>
        </w:numPr>
        <w:tabs>
          <w:tab w:val="clear" w:pos="-720"/>
          <w:tab w:val="clear" w:pos="720"/>
          <w:tab w:val="num" w:pos="540"/>
        </w:tabs>
        <w:suppressAutoHyphens w:val="0"/>
        <w:overflowPunct/>
        <w:autoSpaceDE/>
        <w:autoSpaceDN/>
        <w:adjustRightInd/>
        <w:spacing w:line="276" w:lineRule="auto"/>
        <w:ind w:left="540" w:right="-142" w:hanging="180"/>
        <w:rPr>
          <w:rFonts w:ascii="Times New Roman" w:eastAsia="Calibri" w:hAnsi="Times New Roman"/>
          <w:szCs w:val="24"/>
          <w:lang w:val="fr-FR"/>
        </w:rPr>
      </w:pPr>
      <w:r w:rsidRPr="008E2AF6">
        <w:rPr>
          <w:rFonts w:ascii="Times New Roman" w:eastAsia="Calibri" w:hAnsi="Times New Roman"/>
          <w:szCs w:val="24"/>
          <w:lang w:val="fr-FR"/>
        </w:rPr>
        <w:t>Résumé de l’étude en Portugais, en français et en anglais ;</w:t>
      </w:r>
    </w:p>
    <w:p w:rsidR="00181BAB" w:rsidRPr="008E2AF6" w:rsidRDefault="00181BAB" w:rsidP="00FA3FAE">
      <w:pPr>
        <w:pStyle w:val="Corpodetexto"/>
        <w:numPr>
          <w:ilvl w:val="0"/>
          <w:numId w:val="184"/>
        </w:numPr>
        <w:tabs>
          <w:tab w:val="clear" w:pos="-720"/>
          <w:tab w:val="clear" w:pos="720"/>
          <w:tab w:val="num" w:pos="540"/>
        </w:tabs>
        <w:suppressAutoHyphens w:val="0"/>
        <w:overflowPunct/>
        <w:autoSpaceDE/>
        <w:autoSpaceDN/>
        <w:adjustRightInd/>
        <w:spacing w:line="276" w:lineRule="auto"/>
        <w:ind w:left="540" w:right="-142" w:hanging="180"/>
        <w:rPr>
          <w:rFonts w:ascii="Times New Roman" w:eastAsia="Calibri" w:hAnsi="Times New Roman"/>
          <w:szCs w:val="24"/>
          <w:lang w:val="fr-FR"/>
        </w:rPr>
      </w:pPr>
      <w:r w:rsidRPr="008E2AF6">
        <w:rPr>
          <w:rFonts w:ascii="Times New Roman" w:eastAsia="Calibri" w:hAnsi="Times New Roman"/>
          <w:szCs w:val="24"/>
          <w:lang w:val="fr-FR"/>
        </w:rPr>
        <w:t>Introduction et justification de l’étude ;</w:t>
      </w:r>
    </w:p>
    <w:p w:rsidR="00181BAB" w:rsidRPr="008E2AF6" w:rsidRDefault="00181BAB" w:rsidP="00FA3FAE">
      <w:pPr>
        <w:pStyle w:val="Corpodetexto"/>
        <w:numPr>
          <w:ilvl w:val="0"/>
          <w:numId w:val="184"/>
        </w:numPr>
        <w:tabs>
          <w:tab w:val="clear" w:pos="-720"/>
          <w:tab w:val="clear" w:pos="720"/>
          <w:tab w:val="num" w:pos="540"/>
        </w:tabs>
        <w:suppressAutoHyphens w:val="0"/>
        <w:overflowPunct/>
        <w:autoSpaceDE/>
        <w:autoSpaceDN/>
        <w:adjustRightInd/>
        <w:spacing w:line="276" w:lineRule="auto"/>
        <w:ind w:left="540" w:right="-142" w:hanging="180"/>
        <w:rPr>
          <w:rFonts w:ascii="Times New Roman" w:eastAsia="Calibri" w:hAnsi="Times New Roman"/>
          <w:szCs w:val="24"/>
          <w:lang w:val="fr-FR"/>
        </w:rPr>
      </w:pPr>
      <w:r w:rsidRPr="008E2AF6">
        <w:rPr>
          <w:rFonts w:ascii="Times New Roman" w:eastAsia="Calibri" w:hAnsi="Times New Roman"/>
          <w:szCs w:val="24"/>
          <w:lang w:val="fr-FR"/>
        </w:rPr>
        <w:t>Description du projet ;</w:t>
      </w:r>
    </w:p>
    <w:p w:rsidR="00181BAB" w:rsidRPr="008E2AF6" w:rsidRDefault="00181BAB" w:rsidP="00FA3FAE">
      <w:pPr>
        <w:pStyle w:val="Corpodetexto"/>
        <w:numPr>
          <w:ilvl w:val="0"/>
          <w:numId w:val="184"/>
        </w:numPr>
        <w:tabs>
          <w:tab w:val="clear" w:pos="-720"/>
          <w:tab w:val="clear" w:pos="720"/>
          <w:tab w:val="num" w:pos="540"/>
        </w:tabs>
        <w:suppressAutoHyphens w:val="0"/>
        <w:overflowPunct/>
        <w:autoSpaceDE/>
        <w:autoSpaceDN/>
        <w:adjustRightInd/>
        <w:spacing w:line="276" w:lineRule="auto"/>
        <w:ind w:left="540" w:right="-142" w:hanging="180"/>
        <w:rPr>
          <w:rFonts w:ascii="Times New Roman" w:eastAsia="Calibri" w:hAnsi="Times New Roman"/>
          <w:szCs w:val="24"/>
          <w:lang w:val="fr-FR"/>
        </w:rPr>
      </w:pPr>
      <w:r w:rsidRPr="008E2AF6">
        <w:rPr>
          <w:rFonts w:ascii="Times New Roman" w:eastAsia="Calibri" w:hAnsi="Times New Roman"/>
          <w:szCs w:val="24"/>
          <w:lang w:val="fr-FR"/>
        </w:rPr>
        <w:t xml:space="preserve">Cadre légal et réglementaire y compris les politiques de sauvegardes de la Banque </w:t>
      </w:r>
    </w:p>
    <w:p w:rsidR="00181BAB" w:rsidRPr="008E2AF6" w:rsidRDefault="00181BAB" w:rsidP="008E2AF6">
      <w:pPr>
        <w:pStyle w:val="Corpodetexto"/>
        <w:suppressAutoHyphens w:val="0"/>
        <w:spacing w:line="276" w:lineRule="auto"/>
        <w:ind w:left="540" w:right="-142"/>
        <w:rPr>
          <w:rFonts w:ascii="Times New Roman" w:eastAsia="Calibri" w:hAnsi="Times New Roman"/>
          <w:szCs w:val="24"/>
          <w:lang w:val="fr-FR"/>
        </w:rPr>
      </w:pPr>
      <w:r w:rsidRPr="008E2AF6">
        <w:rPr>
          <w:rFonts w:ascii="Times New Roman" w:eastAsia="Calibri" w:hAnsi="Times New Roman"/>
          <w:szCs w:val="24"/>
          <w:lang w:val="fr-FR"/>
        </w:rPr>
        <w:t>Mondial ;</w:t>
      </w:r>
    </w:p>
    <w:p w:rsidR="00181BAB" w:rsidRPr="008E2AF6" w:rsidRDefault="00181BAB" w:rsidP="00FA3FAE">
      <w:pPr>
        <w:pStyle w:val="Corpodetexto"/>
        <w:numPr>
          <w:ilvl w:val="0"/>
          <w:numId w:val="184"/>
        </w:numPr>
        <w:tabs>
          <w:tab w:val="clear" w:pos="-720"/>
          <w:tab w:val="clear" w:pos="720"/>
          <w:tab w:val="num" w:pos="540"/>
        </w:tabs>
        <w:suppressAutoHyphens w:val="0"/>
        <w:overflowPunct/>
        <w:autoSpaceDE/>
        <w:autoSpaceDN/>
        <w:adjustRightInd/>
        <w:spacing w:line="276" w:lineRule="auto"/>
        <w:ind w:left="540" w:right="-142" w:hanging="180"/>
        <w:rPr>
          <w:rFonts w:ascii="Times New Roman" w:eastAsia="Calibri" w:hAnsi="Times New Roman"/>
          <w:szCs w:val="24"/>
          <w:lang w:val="fr-FR"/>
        </w:rPr>
      </w:pPr>
      <w:r w:rsidRPr="008E2AF6">
        <w:rPr>
          <w:rFonts w:ascii="Times New Roman" w:eastAsia="Calibri" w:hAnsi="Times New Roman"/>
          <w:szCs w:val="24"/>
          <w:lang w:val="fr-FR"/>
        </w:rPr>
        <w:t xml:space="preserve">Présentation et analyse des alternatives (raisons du choix du projet) </w:t>
      </w:r>
    </w:p>
    <w:p w:rsidR="00181BAB" w:rsidRPr="008E2AF6" w:rsidRDefault="00181BAB" w:rsidP="00FA3FAE">
      <w:pPr>
        <w:pStyle w:val="Corpodetexto"/>
        <w:numPr>
          <w:ilvl w:val="0"/>
          <w:numId w:val="184"/>
        </w:numPr>
        <w:tabs>
          <w:tab w:val="clear" w:pos="-720"/>
          <w:tab w:val="clear" w:pos="720"/>
          <w:tab w:val="num" w:pos="540"/>
        </w:tabs>
        <w:suppressAutoHyphens w:val="0"/>
        <w:overflowPunct/>
        <w:autoSpaceDE/>
        <w:autoSpaceDN/>
        <w:adjustRightInd/>
        <w:spacing w:line="276" w:lineRule="auto"/>
        <w:ind w:left="540" w:right="-142" w:hanging="180"/>
        <w:rPr>
          <w:rFonts w:ascii="Times New Roman" w:eastAsia="Calibri" w:hAnsi="Times New Roman"/>
          <w:szCs w:val="24"/>
          <w:lang w:val="fr-FR"/>
        </w:rPr>
      </w:pPr>
      <w:r w:rsidRPr="008E2AF6">
        <w:rPr>
          <w:rFonts w:ascii="Times New Roman" w:eastAsia="Calibri" w:hAnsi="Times New Roman"/>
          <w:szCs w:val="24"/>
          <w:lang w:val="fr-FR"/>
        </w:rPr>
        <w:t>Description et analyse de tous les éléments socioculturels et ressources naturelles susceptibles d’être affectés par le projet ;</w:t>
      </w:r>
    </w:p>
    <w:p w:rsidR="00181BAB" w:rsidRPr="008E2AF6" w:rsidRDefault="00181BAB" w:rsidP="00FA3FAE">
      <w:pPr>
        <w:pStyle w:val="Corpodetexto"/>
        <w:numPr>
          <w:ilvl w:val="0"/>
          <w:numId w:val="184"/>
        </w:numPr>
        <w:tabs>
          <w:tab w:val="clear" w:pos="-720"/>
          <w:tab w:val="clear" w:pos="720"/>
          <w:tab w:val="num" w:pos="540"/>
        </w:tabs>
        <w:suppressAutoHyphens w:val="0"/>
        <w:overflowPunct/>
        <w:autoSpaceDE/>
        <w:autoSpaceDN/>
        <w:adjustRightInd/>
        <w:spacing w:line="276" w:lineRule="auto"/>
        <w:ind w:left="540" w:right="-142" w:hanging="180"/>
        <w:rPr>
          <w:rFonts w:ascii="Times New Roman" w:eastAsia="Calibri" w:hAnsi="Times New Roman"/>
          <w:szCs w:val="24"/>
          <w:lang w:val="fr-FR"/>
        </w:rPr>
      </w:pPr>
      <w:r w:rsidRPr="008E2AF6">
        <w:rPr>
          <w:rFonts w:ascii="Times New Roman" w:eastAsia="Calibri" w:hAnsi="Times New Roman"/>
          <w:szCs w:val="24"/>
          <w:lang w:val="fr-FR"/>
        </w:rPr>
        <w:t>Identification et évaluation des effets possibles de la mise en œuvre du projet sur l’environnement naturel et humain ;</w:t>
      </w:r>
    </w:p>
    <w:p w:rsidR="00181BAB" w:rsidRPr="008E2AF6" w:rsidRDefault="00181BAB" w:rsidP="00FA3FAE">
      <w:pPr>
        <w:pStyle w:val="Corpodetexto"/>
        <w:numPr>
          <w:ilvl w:val="0"/>
          <w:numId w:val="184"/>
        </w:numPr>
        <w:tabs>
          <w:tab w:val="clear" w:pos="-720"/>
          <w:tab w:val="clear" w:pos="720"/>
          <w:tab w:val="num" w:pos="540"/>
        </w:tabs>
        <w:suppressAutoHyphens w:val="0"/>
        <w:overflowPunct/>
        <w:autoSpaceDE/>
        <w:autoSpaceDN/>
        <w:adjustRightInd/>
        <w:spacing w:line="276" w:lineRule="auto"/>
        <w:ind w:left="540" w:right="-142" w:hanging="180"/>
        <w:rPr>
          <w:rFonts w:ascii="Times New Roman" w:eastAsia="Calibri" w:hAnsi="Times New Roman"/>
          <w:szCs w:val="24"/>
          <w:lang w:val="fr-FR"/>
        </w:rPr>
      </w:pPr>
      <w:r w:rsidRPr="008E2AF6">
        <w:rPr>
          <w:rFonts w:ascii="Times New Roman" w:eastAsia="Calibri" w:hAnsi="Times New Roman"/>
          <w:szCs w:val="24"/>
          <w:lang w:val="fr-FR"/>
        </w:rPr>
        <w:t>Identification des mesures prévues pour éviter, réduire ou éliminer les effets dommageables du projet sur l’environnement ;</w:t>
      </w:r>
    </w:p>
    <w:p w:rsidR="00181BAB" w:rsidRPr="008E2AF6" w:rsidRDefault="00181BAB" w:rsidP="00FA3FAE">
      <w:pPr>
        <w:pStyle w:val="Corpodetexto"/>
        <w:numPr>
          <w:ilvl w:val="0"/>
          <w:numId w:val="184"/>
        </w:numPr>
        <w:tabs>
          <w:tab w:val="clear" w:pos="-720"/>
          <w:tab w:val="clear" w:pos="720"/>
          <w:tab w:val="num" w:pos="540"/>
        </w:tabs>
        <w:suppressAutoHyphens w:val="0"/>
        <w:overflowPunct/>
        <w:autoSpaceDE/>
        <w:autoSpaceDN/>
        <w:adjustRightInd/>
        <w:spacing w:line="276" w:lineRule="auto"/>
        <w:ind w:left="540" w:right="-142" w:hanging="180"/>
        <w:rPr>
          <w:rFonts w:ascii="Times New Roman" w:eastAsia="Calibri" w:hAnsi="Times New Roman"/>
          <w:szCs w:val="24"/>
          <w:lang w:val="fr-FR"/>
        </w:rPr>
      </w:pPr>
      <w:r w:rsidRPr="008E2AF6">
        <w:rPr>
          <w:rFonts w:ascii="Times New Roman" w:eastAsia="Calibri" w:hAnsi="Times New Roman"/>
          <w:szCs w:val="24"/>
          <w:lang w:val="fr-FR"/>
        </w:rPr>
        <w:t xml:space="preserve">Plan de gestion environnementale et sociale (PGES) comportant : </w:t>
      </w:r>
    </w:p>
    <w:p w:rsidR="00181BAB" w:rsidRPr="008E2AF6" w:rsidRDefault="00181BAB" w:rsidP="00FA3FAE">
      <w:pPr>
        <w:pStyle w:val="Corpodetexto"/>
        <w:numPr>
          <w:ilvl w:val="0"/>
          <w:numId w:val="185"/>
        </w:numPr>
        <w:tabs>
          <w:tab w:val="clear" w:pos="-720"/>
          <w:tab w:val="left" w:pos="990"/>
        </w:tabs>
        <w:suppressAutoHyphens w:val="0"/>
        <w:overflowPunct/>
        <w:autoSpaceDE/>
        <w:autoSpaceDN/>
        <w:adjustRightInd/>
        <w:spacing w:line="276" w:lineRule="auto"/>
        <w:ind w:right="-142" w:firstLine="0"/>
        <w:rPr>
          <w:rFonts w:ascii="Times New Roman" w:eastAsia="Calibri" w:hAnsi="Times New Roman"/>
          <w:szCs w:val="24"/>
          <w:lang w:val="fr-FR"/>
        </w:rPr>
      </w:pPr>
      <w:r w:rsidRPr="008E2AF6">
        <w:rPr>
          <w:rFonts w:ascii="Times New Roman" w:eastAsia="Calibri" w:hAnsi="Times New Roman"/>
          <w:szCs w:val="24"/>
          <w:lang w:val="fr-FR"/>
        </w:rPr>
        <w:t>Consultation du public </w:t>
      </w:r>
    </w:p>
    <w:p w:rsidR="00181BAB" w:rsidRPr="008E2AF6" w:rsidRDefault="00181BAB" w:rsidP="00280098">
      <w:pPr>
        <w:pStyle w:val="Corpodetexto"/>
        <w:numPr>
          <w:ilvl w:val="0"/>
          <w:numId w:val="7"/>
        </w:numPr>
        <w:tabs>
          <w:tab w:val="clear" w:pos="-720"/>
        </w:tabs>
        <w:suppressAutoHyphens w:val="0"/>
        <w:overflowPunct/>
        <w:autoSpaceDE/>
        <w:autoSpaceDN/>
        <w:adjustRightInd/>
        <w:spacing w:line="276" w:lineRule="auto"/>
        <w:ind w:left="993" w:right="-142" w:hanging="284"/>
        <w:rPr>
          <w:rFonts w:ascii="Times New Roman" w:eastAsia="Calibri" w:hAnsi="Times New Roman"/>
          <w:szCs w:val="24"/>
          <w:lang w:val="fr-FR"/>
        </w:rPr>
      </w:pPr>
      <w:r w:rsidRPr="008E2AF6">
        <w:rPr>
          <w:rFonts w:ascii="Times New Roman" w:eastAsia="Calibri" w:hAnsi="Times New Roman"/>
          <w:szCs w:val="24"/>
          <w:lang w:val="fr-FR"/>
        </w:rPr>
        <w:t>les mécanismes de surveillance du projet et de suivi environnemental,</w:t>
      </w:r>
    </w:p>
    <w:p w:rsidR="00181BAB" w:rsidRPr="008E2AF6" w:rsidRDefault="00181BAB" w:rsidP="00280098">
      <w:pPr>
        <w:pStyle w:val="Corpodetexto"/>
        <w:numPr>
          <w:ilvl w:val="0"/>
          <w:numId w:val="7"/>
        </w:numPr>
        <w:tabs>
          <w:tab w:val="clear" w:pos="-720"/>
        </w:tabs>
        <w:suppressAutoHyphens w:val="0"/>
        <w:overflowPunct/>
        <w:autoSpaceDE/>
        <w:autoSpaceDN/>
        <w:adjustRightInd/>
        <w:spacing w:line="276" w:lineRule="auto"/>
        <w:ind w:left="993" w:right="-142" w:hanging="284"/>
        <w:rPr>
          <w:rFonts w:ascii="Times New Roman" w:eastAsia="Calibri" w:hAnsi="Times New Roman"/>
          <w:szCs w:val="24"/>
          <w:lang w:val="fr-FR"/>
        </w:rPr>
      </w:pPr>
      <w:r w:rsidRPr="008E2AF6">
        <w:rPr>
          <w:rFonts w:ascii="Times New Roman" w:eastAsia="Calibri" w:hAnsi="Times New Roman"/>
          <w:szCs w:val="24"/>
          <w:lang w:val="fr-FR"/>
        </w:rPr>
        <w:t>les mesures d’atténuation environnementale et estimation des coûts de ces mesures </w:t>
      </w:r>
    </w:p>
    <w:p w:rsidR="00181BAB" w:rsidRPr="008E2AF6" w:rsidRDefault="00181BAB" w:rsidP="00280098">
      <w:pPr>
        <w:pStyle w:val="Corpodetexto"/>
        <w:numPr>
          <w:ilvl w:val="0"/>
          <w:numId w:val="7"/>
        </w:numPr>
        <w:tabs>
          <w:tab w:val="clear" w:pos="-720"/>
        </w:tabs>
        <w:suppressAutoHyphens w:val="0"/>
        <w:overflowPunct/>
        <w:autoSpaceDE/>
        <w:autoSpaceDN/>
        <w:adjustRightInd/>
        <w:spacing w:line="276" w:lineRule="auto"/>
        <w:ind w:left="993" w:right="-142" w:hanging="284"/>
        <w:rPr>
          <w:rFonts w:ascii="Times New Roman" w:eastAsia="Calibri" w:hAnsi="Times New Roman"/>
          <w:szCs w:val="24"/>
          <w:lang w:val="fr-FR"/>
        </w:rPr>
      </w:pPr>
      <w:r w:rsidRPr="008E2AF6">
        <w:rPr>
          <w:rFonts w:ascii="Times New Roman" w:eastAsia="Calibri" w:hAnsi="Times New Roman"/>
          <w:szCs w:val="24"/>
          <w:lang w:val="fr-FR"/>
        </w:rPr>
        <w:t>le renforcement de capacités et formation institutionnelle pour superviser le PGES;</w:t>
      </w:r>
    </w:p>
    <w:p w:rsidR="00181BAB" w:rsidRPr="008E2AF6" w:rsidRDefault="00181BAB" w:rsidP="00FA3FAE">
      <w:pPr>
        <w:pStyle w:val="Corpodetexto"/>
        <w:numPr>
          <w:ilvl w:val="0"/>
          <w:numId w:val="184"/>
        </w:numPr>
        <w:tabs>
          <w:tab w:val="clear" w:pos="-720"/>
          <w:tab w:val="clear" w:pos="720"/>
          <w:tab w:val="num" w:pos="540"/>
        </w:tabs>
        <w:suppressAutoHyphens w:val="0"/>
        <w:overflowPunct/>
        <w:autoSpaceDE/>
        <w:autoSpaceDN/>
        <w:adjustRightInd/>
        <w:spacing w:line="276" w:lineRule="auto"/>
        <w:ind w:left="540" w:right="-142" w:hanging="180"/>
        <w:rPr>
          <w:rFonts w:ascii="Times New Roman" w:eastAsia="Calibri" w:hAnsi="Times New Roman"/>
          <w:szCs w:val="24"/>
          <w:lang w:val="fr-FR"/>
        </w:rPr>
      </w:pPr>
      <w:r w:rsidRPr="008E2AF6">
        <w:rPr>
          <w:rFonts w:ascii="Times New Roman" w:eastAsia="Calibri" w:hAnsi="Times New Roman"/>
          <w:szCs w:val="24"/>
          <w:lang w:val="fr-FR"/>
        </w:rPr>
        <w:t>Annexes :</w:t>
      </w:r>
    </w:p>
    <w:p w:rsidR="00181BAB" w:rsidRPr="008E2AF6" w:rsidRDefault="00181BAB" w:rsidP="00280098">
      <w:pPr>
        <w:pStyle w:val="Corpodetexto"/>
        <w:numPr>
          <w:ilvl w:val="0"/>
          <w:numId w:val="6"/>
        </w:numPr>
        <w:tabs>
          <w:tab w:val="clear" w:pos="-720"/>
          <w:tab w:val="clear" w:pos="1440"/>
          <w:tab w:val="num" w:pos="900"/>
        </w:tabs>
        <w:suppressAutoHyphens w:val="0"/>
        <w:overflowPunct/>
        <w:autoSpaceDE/>
        <w:autoSpaceDN/>
        <w:adjustRightInd/>
        <w:spacing w:line="276" w:lineRule="auto"/>
        <w:ind w:left="900" w:right="-142" w:hanging="180"/>
        <w:rPr>
          <w:rFonts w:ascii="Times New Roman" w:eastAsia="Calibri" w:hAnsi="Times New Roman"/>
          <w:szCs w:val="24"/>
          <w:lang w:val="fr-FR"/>
        </w:rPr>
      </w:pPr>
      <w:r w:rsidRPr="008E2AF6">
        <w:rPr>
          <w:rFonts w:ascii="Times New Roman" w:eastAsia="Calibri" w:hAnsi="Times New Roman"/>
          <w:szCs w:val="24"/>
          <w:lang w:val="fr-FR"/>
        </w:rPr>
        <w:t>Programme de sensibilisation et d’information ainsi que les procès-verbaux des réunions tenues avec les populations, les organisations non gouvernementales, les syndicats, les leaders d’opinions et autres groupes organisés, concernés par le projet ;</w:t>
      </w:r>
    </w:p>
    <w:p w:rsidR="00181BAB" w:rsidRPr="008E2AF6" w:rsidRDefault="00181BAB" w:rsidP="00280098">
      <w:pPr>
        <w:pStyle w:val="Corpodetexto"/>
        <w:numPr>
          <w:ilvl w:val="0"/>
          <w:numId w:val="6"/>
        </w:numPr>
        <w:tabs>
          <w:tab w:val="clear" w:pos="-720"/>
          <w:tab w:val="clear" w:pos="1440"/>
          <w:tab w:val="num" w:pos="900"/>
        </w:tabs>
        <w:suppressAutoHyphens w:val="0"/>
        <w:overflowPunct/>
        <w:autoSpaceDE/>
        <w:autoSpaceDN/>
        <w:adjustRightInd/>
        <w:spacing w:line="276" w:lineRule="auto"/>
        <w:ind w:left="900" w:right="-142" w:hanging="180"/>
        <w:rPr>
          <w:rFonts w:ascii="Times New Roman" w:eastAsia="Calibri" w:hAnsi="Times New Roman"/>
          <w:szCs w:val="24"/>
          <w:lang w:val="fr-FR"/>
        </w:rPr>
      </w:pPr>
      <w:r w:rsidRPr="008E2AF6">
        <w:rPr>
          <w:rFonts w:ascii="Times New Roman" w:eastAsia="Calibri" w:hAnsi="Times New Roman"/>
          <w:szCs w:val="24"/>
          <w:lang w:val="fr-FR"/>
        </w:rPr>
        <w:t>Listes des personnes consultées ;</w:t>
      </w:r>
    </w:p>
    <w:p w:rsidR="00181BAB" w:rsidRPr="008E2AF6" w:rsidRDefault="00181BAB" w:rsidP="00280098">
      <w:pPr>
        <w:pStyle w:val="Corpodetexto"/>
        <w:numPr>
          <w:ilvl w:val="0"/>
          <w:numId w:val="6"/>
        </w:numPr>
        <w:tabs>
          <w:tab w:val="clear" w:pos="-720"/>
          <w:tab w:val="clear" w:pos="1440"/>
          <w:tab w:val="num" w:pos="900"/>
        </w:tabs>
        <w:suppressAutoHyphens w:val="0"/>
        <w:overflowPunct/>
        <w:autoSpaceDE/>
        <w:autoSpaceDN/>
        <w:adjustRightInd/>
        <w:spacing w:line="276" w:lineRule="auto"/>
        <w:ind w:left="900" w:right="-142" w:hanging="180"/>
        <w:rPr>
          <w:rFonts w:ascii="Times New Roman" w:eastAsia="Calibri" w:hAnsi="Times New Roman"/>
          <w:szCs w:val="24"/>
          <w:lang w:val="fr-FR"/>
        </w:rPr>
      </w:pPr>
      <w:r w:rsidRPr="008E2AF6">
        <w:rPr>
          <w:rFonts w:ascii="Times New Roman" w:eastAsia="Calibri" w:hAnsi="Times New Roman"/>
          <w:szCs w:val="24"/>
          <w:lang w:val="fr-FR"/>
        </w:rPr>
        <w:t>Termes de Référence de l’étude ;</w:t>
      </w:r>
    </w:p>
    <w:p w:rsidR="00181BAB" w:rsidRPr="008E2AF6" w:rsidRDefault="00181BAB" w:rsidP="00280098">
      <w:pPr>
        <w:pStyle w:val="Corpodetexto"/>
        <w:numPr>
          <w:ilvl w:val="0"/>
          <w:numId w:val="6"/>
        </w:numPr>
        <w:tabs>
          <w:tab w:val="clear" w:pos="-720"/>
          <w:tab w:val="clear" w:pos="1440"/>
          <w:tab w:val="num" w:pos="900"/>
        </w:tabs>
        <w:suppressAutoHyphens w:val="0"/>
        <w:overflowPunct/>
        <w:autoSpaceDE/>
        <w:autoSpaceDN/>
        <w:adjustRightInd/>
        <w:spacing w:line="276" w:lineRule="auto"/>
        <w:ind w:left="900" w:right="-142" w:hanging="180"/>
        <w:rPr>
          <w:rFonts w:ascii="Times New Roman" w:eastAsia="Calibri" w:hAnsi="Times New Roman"/>
          <w:szCs w:val="24"/>
          <w:lang w:val="fr-FR"/>
        </w:rPr>
      </w:pPr>
      <w:r w:rsidRPr="008E2AF6">
        <w:rPr>
          <w:rFonts w:ascii="Times New Roman" w:eastAsia="Calibri" w:hAnsi="Times New Roman"/>
          <w:szCs w:val="24"/>
          <w:lang w:val="fr-FR"/>
        </w:rPr>
        <w:t>Références bibliographiques ;</w:t>
      </w:r>
    </w:p>
    <w:p w:rsidR="00181BAB" w:rsidRPr="008E2AF6" w:rsidRDefault="00181BAB" w:rsidP="00280098">
      <w:pPr>
        <w:pStyle w:val="Corpodetexto"/>
        <w:numPr>
          <w:ilvl w:val="0"/>
          <w:numId w:val="6"/>
        </w:numPr>
        <w:tabs>
          <w:tab w:val="clear" w:pos="-720"/>
          <w:tab w:val="clear" w:pos="1440"/>
          <w:tab w:val="num" w:pos="900"/>
        </w:tabs>
        <w:suppressAutoHyphens w:val="0"/>
        <w:overflowPunct/>
        <w:autoSpaceDE/>
        <w:autoSpaceDN/>
        <w:adjustRightInd/>
        <w:spacing w:line="276" w:lineRule="auto"/>
        <w:ind w:left="900" w:right="-142" w:hanging="180"/>
        <w:rPr>
          <w:rFonts w:ascii="Times New Roman" w:eastAsia="Calibri" w:hAnsi="Times New Roman"/>
          <w:szCs w:val="24"/>
          <w:lang w:val="fr-FR"/>
        </w:rPr>
      </w:pPr>
      <w:r w:rsidRPr="008E2AF6">
        <w:rPr>
          <w:rFonts w:ascii="Times New Roman" w:hAnsi="Times New Roman"/>
          <w:szCs w:val="24"/>
          <w:lang w:val="fr-FR"/>
        </w:rPr>
        <w:t>Liste et CV des personnes ayant participé à la réalisation de l’EIES.</w:t>
      </w:r>
    </w:p>
    <w:p w:rsidR="00181BAB" w:rsidRPr="008E2AF6" w:rsidRDefault="00181BAB" w:rsidP="00280098">
      <w:pPr>
        <w:pStyle w:val="Corpodetexto"/>
        <w:numPr>
          <w:ilvl w:val="0"/>
          <w:numId w:val="6"/>
        </w:numPr>
        <w:tabs>
          <w:tab w:val="clear" w:pos="-720"/>
          <w:tab w:val="clear" w:pos="1440"/>
          <w:tab w:val="num" w:pos="900"/>
        </w:tabs>
        <w:suppressAutoHyphens w:val="0"/>
        <w:overflowPunct/>
        <w:autoSpaceDE/>
        <w:autoSpaceDN/>
        <w:adjustRightInd/>
        <w:spacing w:line="276" w:lineRule="auto"/>
        <w:ind w:left="900" w:right="-142" w:hanging="180"/>
        <w:rPr>
          <w:rFonts w:ascii="Times New Roman" w:eastAsia="Calibri" w:hAnsi="Times New Roman"/>
          <w:szCs w:val="24"/>
          <w:lang w:val="fr-FR"/>
        </w:rPr>
      </w:pPr>
      <w:r w:rsidRPr="008E2AF6">
        <w:rPr>
          <w:rFonts w:ascii="Times New Roman" w:hAnsi="Times New Roman"/>
          <w:szCs w:val="24"/>
          <w:lang w:val="fr-FR"/>
        </w:rPr>
        <w:t>Etc…</w:t>
      </w:r>
    </w:p>
    <w:p w:rsidR="00181BAB" w:rsidRPr="008E2AF6" w:rsidRDefault="00181BAB" w:rsidP="00FA3FAE">
      <w:pPr>
        <w:pStyle w:val="PargrafodaLista"/>
        <w:numPr>
          <w:ilvl w:val="1"/>
          <w:numId w:val="178"/>
        </w:numPr>
        <w:spacing w:before="240" w:after="0" w:line="240" w:lineRule="auto"/>
        <w:contextualSpacing w:val="0"/>
        <w:jc w:val="both"/>
        <w:outlineLvl w:val="1"/>
        <w:rPr>
          <w:rFonts w:ascii="Times New Roman" w:hAnsi="Times New Roman"/>
          <w:b/>
          <w:lang w:val="fr-FR"/>
        </w:rPr>
      </w:pPr>
      <w:bookmarkStart w:id="895" w:name="_Toc20820274"/>
      <w:bookmarkStart w:id="896" w:name="_Toc32511681"/>
      <w:bookmarkStart w:id="897" w:name="_Toc51072662"/>
      <w:r w:rsidRPr="008E2AF6">
        <w:rPr>
          <w:rFonts w:ascii="Times New Roman" w:hAnsi="Times New Roman"/>
          <w:b/>
          <w:lang w:val="fr-FR"/>
        </w:rPr>
        <w:t>Rapports à produire</w:t>
      </w:r>
      <w:bookmarkEnd w:id="895"/>
      <w:bookmarkEnd w:id="896"/>
      <w:bookmarkEnd w:id="897"/>
    </w:p>
    <w:p w:rsidR="00181BAB" w:rsidRPr="008E2AF6" w:rsidRDefault="00181BAB" w:rsidP="008E2AF6">
      <w:pPr>
        <w:pStyle w:val="Default"/>
        <w:jc w:val="both"/>
        <w:rPr>
          <w:rFonts w:ascii="Times New Roman" w:hAnsi="Times New Roman" w:cs="Times New Roman"/>
          <w:bCs/>
        </w:rPr>
      </w:pPr>
      <w:r w:rsidRPr="008E2AF6">
        <w:rPr>
          <w:rFonts w:ascii="Times New Roman" w:hAnsi="Times New Roman" w:cs="Times New Roman"/>
          <w:bCs/>
        </w:rPr>
        <w:t>Il s’agit du :</w:t>
      </w:r>
    </w:p>
    <w:p w:rsidR="00181BAB" w:rsidRPr="008E2AF6" w:rsidRDefault="00181BAB" w:rsidP="00FA3FAE">
      <w:pPr>
        <w:pStyle w:val="Default"/>
        <w:numPr>
          <w:ilvl w:val="0"/>
          <w:numId w:val="183"/>
        </w:numPr>
        <w:jc w:val="both"/>
        <w:rPr>
          <w:rFonts w:ascii="Times New Roman" w:hAnsi="Times New Roman" w:cs="Times New Roman"/>
          <w:bCs/>
        </w:rPr>
      </w:pPr>
      <w:r w:rsidRPr="008E2AF6">
        <w:rPr>
          <w:rFonts w:ascii="Times New Roman" w:hAnsi="Times New Roman" w:cs="Times New Roman"/>
          <w:bCs/>
        </w:rPr>
        <w:t>Rapport d’étude d’impact environnementale et sociale (EIES) du sous-projet ;</w:t>
      </w:r>
    </w:p>
    <w:p w:rsidR="00181BAB" w:rsidRPr="008E2AF6" w:rsidRDefault="00181BAB" w:rsidP="00FA3FAE">
      <w:pPr>
        <w:pStyle w:val="PargrafodaLista"/>
        <w:numPr>
          <w:ilvl w:val="0"/>
          <w:numId w:val="170"/>
        </w:numPr>
        <w:spacing w:before="360" w:after="0" w:line="240" w:lineRule="auto"/>
        <w:contextualSpacing w:val="0"/>
        <w:jc w:val="both"/>
        <w:outlineLvl w:val="0"/>
        <w:rPr>
          <w:rFonts w:ascii="Times New Roman" w:hAnsi="Times New Roman"/>
          <w:b/>
          <w:lang w:val="fr-FR"/>
        </w:rPr>
      </w:pPr>
      <w:bookmarkStart w:id="898" w:name="_Toc505004245"/>
      <w:bookmarkStart w:id="899" w:name="_Toc504998509"/>
      <w:bookmarkStart w:id="900" w:name="_Toc504998577"/>
      <w:bookmarkStart w:id="901" w:name="_Toc504999534"/>
      <w:bookmarkStart w:id="902" w:name="_Toc504999566"/>
      <w:bookmarkStart w:id="903" w:name="_Toc505000598"/>
      <w:bookmarkStart w:id="904" w:name="_Toc505004246"/>
      <w:bookmarkStart w:id="905" w:name="_Toc20820276"/>
      <w:bookmarkStart w:id="906" w:name="_Toc32511682"/>
      <w:bookmarkStart w:id="907" w:name="_Toc51072663"/>
      <w:bookmarkEnd w:id="898"/>
      <w:bookmarkEnd w:id="899"/>
      <w:bookmarkEnd w:id="900"/>
      <w:bookmarkEnd w:id="901"/>
      <w:bookmarkEnd w:id="902"/>
      <w:bookmarkEnd w:id="903"/>
      <w:bookmarkEnd w:id="904"/>
      <w:r w:rsidRPr="008E2AF6">
        <w:rPr>
          <w:rFonts w:ascii="Times New Roman" w:hAnsi="Times New Roman"/>
          <w:b/>
          <w:lang w:val="fr-FR"/>
        </w:rPr>
        <w:t>COMPOSITION DE L’EQUIPE ET ORGANISATION DU CONSULTANT</w:t>
      </w:r>
      <w:bookmarkEnd w:id="905"/>
      <w:bookmarkEnd w:id="906"/>
      <w:bookmarkEnd w:id="907"/>
    </w:p>
    <w:p w:rsidR="00181BAB" w:rsidRPr="008E2AF6" w:rsidRDefault="00181BAB" w:rsidP="00FA3FAE">
      <w:pPr>
        <w:pStyle w:val="PargrafodaLista"/>
        <w:numPr>
          <w:ilvl w:val="1"/>
          <w:numId w:val="199"/>
        </w:numPr>
        <w:spacing w:before="360" w:after="0" w:line="240" w:lineRule="auto"/>
        <w:contextualSpacing w:val="0"/>
        <w:jc w:val="both"/>
        <w:outlineLvl w:val="1"/>
        <w:rPr>
          <w:rFonts w:ascii="Times New Roman" w:hAnsi="Times New Roman"/>
          <w:b/>
          <w:lang w:val="fr-FR"/>
        </w:rPr>
      </w:pPr>
      <w:bookmarkStart w:id="908" w:name="_Toc20820277"/>
      <w:bookmarkStart w:id="909" w:name="_Toc32511683"/>
      <w:bookmarkStart w:id="910" w:name="_Toc51072664"/>
      <w:r w:rsidRPr="008E2AF6">
        <w:rPr>
          <w:rFonts w:ascii="Times New Roman" w:hAnsi="Times New Roman"/>
          <w:b/>
          <w:lang w:val="fr-FR"/>
        </w:rPr>
        <w:t>Composition de l’équipe du consultant</w:t>
      </w:r>
      <w:bookmarkEnd w:id="908"/>
      <w:bookmarkEnd w:id="909"/>
      <w:bookmarkEnd w:id="910"/>
    </w:p>
    <w:p w:rsidR="00181BAB" w:rsidRPr="008E2AF6" w:rsidRDefault="00181BAB" w:rsidP="008E2AF6">
      <w:pPr>
        <w:spacing w:after="0"/>
        <w:jc w:val="both"/>
        <w:rPr>
          <w:rFonts w:ascii="Times New Roman" w:hAnsi="Times New Roman" w:cs="Times New Roman"/>
        </w:rPr>
      </w:pPr>
      <w:r w:rsidRPr="008E2AF6">
        <w:rPr>
          <w:rFonts w:ascii="Times New Roman" w:hAnsi="Times New Roman" w:cs="Times New Roman"/>
        </w:rPr>
        <w:t xml:space="preserve">Le Consultant mettra en place les ressources humaines nécessaires au niveau quantité et qualité pour réaliser un travail d’excellence qualité. La composition de l’équipe et la durée d’intervention de chacun des membres sont laissées à l’appréciation du Consultant. Toutefois, les compétences minimales suivantes sont requises dans l’équipe : </w:t>
      </w:r>
    </w:p>
    <w:p w:rsidR="00181BAB" w:rsidRPr="008E2AF6" w:rsidRDefault="00181BAB" w:rsidP="008E2AF6">
      <w:pPr>
        <w:spacing w:after="0"/>
        <w:ind w:right="-80"/>
        <w:jc w:val="both"/>
        <w:rPr>
          <w:rFonts w:ascii="Times New Roman" w:hAnsi="Times New Roman" w:cs="Times New Roman"/>
          <w:color w:val="000000"/>
        </w:rPr>
      </w:pPr>
    </w:p>
    <w:p w:rsidR="00181BAB" w:rsidRPr="008E2AF6" w:rsidRDefault="00181BAB" w:rsidP="00FA3FAE">
      <w:pPr>
        <w:numPr>
          <w:ilvl w:val="0"/>
          <w:numId w:val="182"/>
        </w:numPr>
        <w:spacing w:after="0" w:line="240" w:lineRule="auto"/>
        <w:jc w:val="both"/>
        <w:rPr>
          <w:rFonts w:ascii="Times New Roman" w:hAnsi="Times New Roman" w:cs="Times New Roman"/>
        </w:rPr>
      </w:pPr>
      <w:r w:rsidRPr="008E2AF6">
        <w:rPr>
          <w:rFonts w:ascii="Times New Roman" w:hAnsi="Times New Roman" w:cs="Times New Roman"/>
        </w:rPr>
        <w:t>Un Chef de mission, expert en gestion de l’environnement (Bac+5), justifiante des compétences et d’une bonne expérience dans la gestion participative. Il devra impérativement avoir mené au moins cinq (5) études d’impact sur l’environnement d’importance comparable. Il devra justifier d’au moins cinq (05) ans d’expérience générale ;</w:t>
      </w:r>
    </w:p>
    <w:p w:rsidR="00181BAB" w:rsidRPr="008E2AF6" w:rsidRDefault="00181BAB" w:rsidP="00FA3FAE">
      <w:pPr>
        <w:numPr>
          <w:ilvl w:val="0"/>
          <w:numId w:val="182"/>
        </w:numPr>
        <w:spacing w:after="0" w:line="240" w:lineRule="auto"/>
        <w:jc w:val="both"/>
        <w:rPr>
          <w:rFonts w:ascii="Times New Roman" w:hAnsi="Times New Roman" w:cs="Times New Roman"/>
        </w:rPr>
      </w:pPr>
      <w:r w:rsidRPr="008E2AF6">
        <w:rPr>
          <w:rFonts w:ascii="Times New Roman" w:hAnsi="Times New Roman" w:cs="Times New Roman"/>
        </w:rPr>
        <w:t>un Ingénieur du Génie Civil (Bac + 5) ayant au moins cinq (5) d’expérience dans l’utilisation des systèmes d’information géographique ;</w:t>
      </w:r>
    </w:p>
    <w:p w:rsidR="00181BAB" w:rsidRPr="008E2AF6" w:rsidRDefault="00181BAB" w:rsidP="00FA3FAE">
      <w:pPr>
        <w:numPr>
          <w:ilvl w:val="0"/>
          <w:numId w:val="182"/>
        </w:numPr>
        <w:spacing w:after="0" w:line="240" w:lineRule="auto"/>
        <w:jc w:val="both"/>
        <w:rPr>
          <w:rFonts w:ascii="Times New Roman" w:hAnsi="Times New Roman" w:cs="Times New Roman"/>
        </w:rPr>
      </w:pPr>
      <w:r w:rsidRPr="008E2AF6">
        <w:rPr>
          <w:rFonts w:ascii="Times New Roman" w:hAnsi="Times New Roman" w:cs="Times New Roman"/>
        </w:rPr>
        <w:lastRenderedPageBreak/>
        <w:t>un ingénieur en électricité justifiant au moins trois ans d’expérience dans ce domaine ;</w:t>
      </w:r>
    </w:p>
    <w:p w:rsidR="00181BAB" w:rsidRPr="008E2AF6" w:rsidRDefault="00181BAB" w:rsidP="00FA3FAE">
      <w:pPr>
        <w:numPr>
          <w:ilvl w:val="0"/>
          <w:numId w:val="182"/>
        </w:numPr>
        <w:spacing w:after="0" w:line="240" w:lineRule="auto"/>
        <w:jc w:val="both"/>
        <w:rPr>
          <w:rFonts w:ascii="Times New Roman" w:hAnsi="Times New Roman" w:cs="Times New Roman"/>
        </w:rPr>
      </w:pPr>
      <w:r w:rsidRPr="008E2AF6">
        <w:rPr>
          <w:rFonts w:ascii="Times New Roman" w:hAnsi="Times New Roman" w:cs="Times New Roman"/>
        </w:rPr>
        <w:t>une socio économiste justifiant d’au moins cinq ans d’expérience dans ce domaine.</w:t>
      </w:r>
    </w:p>
    <w:p w:rsidR="00181BAB" w:rsidRPr="008E2AF6" w:rsidRDefault="00181BAB" w:rsidP="00FA3FAE">
      <w:pPr>
        <w:numPr>
          <w:ilvl w:val="0"/>
          <w:numId w:val="182"/>
        </w:numPr>
        <w:spacing w:after="0" w:line="240" w:lineRule="auto"/>
        <w:jc w:val="both"/>
        <w:rPr>
          <w:rFonts w:ascii="Times New Roman" w:hAnsi="Times New Roman" w:cs="Times New Roman"/>
        </w:rPr>
      </w:pPr>
      <w:r w:rsidRPr="008E2AF6">
        <w:rPr>
          <w:rFonts w:ascii="Times New Roman" w:hAnsi="Times New Roman" w:cs="Times New Roman"/>
        </w:rPr>
        <w:t>Une juriste justifiant d’au moins cinq ans d’expérience dans ce domaine.</w:t>
      </w:r>
    </w:p>
    <w:p w:rsidR="00181BAB" w:rsidRPr="008E2AF6" w:rsidRDefault="00181BAB" w:rsidP="00FA3FAE">
      <w:pPr>
        <w:pStyle w:val="PargrafodaLista"/>
        <w:numPr>
          <w:ilvl w:val="1"/>
          <w:numId w:val="199"/>
        </w:numPr>
        <w:spacing w:before="360" w:after="0" w:line="240" w:lineRule="auto"/>
        <w:contextualSpacing w:val="0"/>
        <w:jc w:val="both"/>
        <w:outlineLvl w:val="1"/>
        <w:rPr>
          <w:rFonts w:ascii="Times New Roman" w:hAnsi="Times New Roman"/>
          <w:b/>
          <w:lang w:val="fr-FR"/>
        </w:rPr>
      </w:pPr>
      <w:bookmarkStart w:id="911" w:name="_Toc20820278"/>
      <w:bookmarkStart w:id="912" w:name="_Toc32511684"/>
      <w:bookmarkStart w:id="913" w:name="_Toc51072665"/>
      <w:r w:rsidRPr="008E2AF6">
        <w:rPr>
          <w:rFonts w:ascii="Times New Roman" w:hAnsi="Times New Roman"/>
          <w:b/>
          <w:lang w:val="fr-FR"/>
        </w:rPr>
        <w:t>Faisabilité technique et l’évaluation environnementale</w:t>
      </w:r>
      <w:bookmarkEnd w:id="911"/>
      <w:bookmarkEnd w:id="912"/>
      <w:bookmarkEnd w:id="913"/>
    </w:p>
    <w:p w:rsidR="00181BAB" w:rsidRPr="008E2AF6" w:rsidRDefault="00181BAB" w:rsidP="008E2AF6">
      <w:pPr>
        <w:autoSpaceDE w:val="0"/>
        <w:autoSpaceDN w:val="0"/>
        <w:adjustRightInd w:val="0"/>
        <w:spacing w:after="0"/>
        <w:ind w:hanging="1"/>
        <w:jc w:val="both"/>
        <w:rPr>
          <w:rFonts w:ascii="Times New Roman" w:hAnsi="Times New Roman" w:cs="Times New Roman"/>
          <w:color w:val="000000"/>
        </w:rPr>
      </w:pPr>
      <w:r w:rsidRPr="008E2AF6">
        <w:rPr>
          <w:rFonts w:ascii="Times New Roman" w:hAnsi="Times New Roman" w:cs="Times New Roman"/>
          <w:color w:val="000000"/>
        </w:rPr>
        <w:t>Il est à noter qu’en parallèle avec la présente étude, un bureau d’étude technique est en cours de recrutement afin de mener les études techniques détaillées (APS, APD, DAO) en vue de définir le détail des travaux qui seront financés par le projet. Les 2 missions (études techniques et EIES/PAR) se dérouleront ainsi en parallèle et se renseigneront l’une l’autre ; il est donc attendu que les 2 BE travaillent en étroite collaboration. Ainsi, dans le cadre de la présente étude, le Consultant devra conseiller le BE technique quant à l’optimisation des choix techniques qui seront finalement retenus afin de minimiser les impacts environnementaux et sociaux du Projet.</w:t>
      </w:r>
    </w:p>
    <w:p w:rsidR="00181BAB" w:rsidRPr="008E2AF6" w:rsidRDefault="00181BAB" w:rsidP="008E2AF6">
      <w:pPr>
        <w:autoSpaceDE w:val="0"/>
        <w:autoSpaceDN w:val="0"/>
        <w:adjustRightInd w:val="0"/>
        <w:spacing w:after="0"/>
        <w:ind w:hanging="1"/>
        <w:jc w:val="both"/>
        <w:rPr>
          <w:rFonts w:ascii="Times New Roman" w:hAnsi="Times New Roman" w:cs="Times New Roman"/>
          <w:color w:val="000000"/>
        </w:rPr>
      </w:pPr>
      <w:r w:rsidRPr="008E2AF6">
        <w:rPr>
          <w:rFonts w:ascii="Times New Roman" w:hAnsi="Times New Roman" w:cs="Times New Roman"/>
          <w:color w:val="000000"/>
        </w:rPr>
        <w:t>C’est alors le design final et la variante retenue au stade APD qui fera l’objet de l’EIES.</w:t>
      </w:r>
    </w:p>
    <w:p w:rsidR="00181BAB" w:rsidRPr="008E2AF6" w:rsidRDefault="00181BAB" w:rsidP="00FA3FAE">
      <w:pPr>
        <w:pStyle w:val="PargrafodaLista"/>
        <w:numPr>
          <w:ilvl w:val="1"/>
          <w:numId w:val="199"/>
        </w:numPr>
        <w:spacing w:before="360" w:after="0" w:line="240" w:lineRule="auto"/>
        <w:contextualSpacing w:val="0"/>
        <w:jc w:val="both"/>
        <w:outlineLvl w:val="1"/>
        <w:rPr>
          <w:rFonts w:ascii="Times New Roman" w:hAnsi="Times New Roman"/>
          <w:b/>
          <w:lang w:val="fr-FR"/>
        </w:rPr>
      </w:pPr>
      <w:bookmarkStart w:id="914" w:name="_Toc504991705"/>
      <w:bookmarkStart w:id="915" w:name="_Toc504992040"/>
      <w:bookmarkStart w:id="916" w:name="_Toc504995709"/>
      <w:bookmarkStart w:id="917" w:name="_Toc504991706"/>
      <w:bookmarkStart w:id="918" w:name="_Toc504992041"/>
      <w:bookmarkStart w:id="919" w:name="_Toc504995710"/>
      <w:bookmarkStart w:id="920" w:name="_Toc20820279"/>
      <w:bookmarkStart w:id="921" w:name="_Toc32511685"/>
      <w:bookmarkStart w:id="922" w:name="_Toc51072666"/>
      <w:bookmarkEnd w:id="914"/>
      <w:bookmarkEnd w:id="915"/>
      <w:bookmarkEnd w:id="916"/>
      <w:bookmarkEnd w:id="917"/>
      <w:bookmarkEnd w:id="918"/>
      <w:bookmarkEnd w:id="919"/>
      <w:r w:rsidRPr="008E2AF6">
        <w:rPr>
          <w:rFonts w:ascii="Times New Roman" w:hAnsi="Times New Roman"/>
          <w:b/>
          <w:lang w:val="fr-FR"/>
        </w:rPr>
        <w:t>Format des Rapports</w:t>
      </w:r>
      <w:bookmarkEnd w:id="920"/>
      <w:bookmarkEnd w:id="921"/>
      <w:bookmarkEnd w:id="922"/>
    </w:p>
    <w:p w:rsidR="00181BAB" w:rsidRPr="008E2AF6" w:rsidRDefault="00181BAB" w:rsidP="008E2AF6">
      <w:pPr>
        <w:spacing w:after="0"/>
        <w:jc w:val="both"/>
        <w:rPr>
          <w:rFonts w:ascii="Times New Roman" w:hAnsi="Times New Roman" w:cs="Times New Roman"/>
        </w:rPr>
      </w:pPr>
      <w:r w:rsidRPr="008E2AF6">
        <w:rPr>
          <w:rFonts w:ascii="Times New Roman" w:hAnsi="Times New Roman" w:cs="Times New Roman"/>
          <w:color w:val="000000"/>
        </w:rPr>
        <w:t>Selon la loi sur l’évaluation environnementale, chaque dossier de EIES, soit provisoire et/ou version définitive, comprendra de façon séparée (i) un Résumé Non Technique - RNT, (ii) Rapport Technique et ses annexes - RT, et (iii) Plan de Gestion Environnemental et social - PGES.</w:t>
      </w:r>
    </w:p>
    <w:p w:rsidR="00181BAB" w:rsidRPr="008E2AF6" w:rsidRDefault="00181BAB" w:rsidP="008E2AF6">
      <w:pPr>
        <w:spacing w:after="0"/>
        <w:jc w:val="both"/>
        <w:rPr>
          <w:rFonts w:ascii="Times New Roman" w:hAnsi="Times New Roman" w:cs="Times New Roman"/>
        </w:rPr>
      </w:pPr>
      <w:r w:rsidRPr="008E2AF6">
        <w:rPr>
          <w:rFonts w:ascii="Times New Roman" w:hAnsi="Times New Roman" w:cs="Times New Roman"/>
          <w:color w:val="000000"/>
        </w:rPr>
        <w:t>En cas de nécessité le : (a) Plan d’Action de Réinstallation – PAR, (b) Plan de Contingence pour la gestion des risques climatique – PC, (c) Plan de Contingence pour la gestion des risques liés aux accidents, (d) Plan de communication du projet, etc. doivent être présentés de façon séparées.</w:t>
      </w:r>
    </w:p>
    <w:p w:rsidR="00181BAB" w:rsidRPr="008E2AF6" w:rsidRDefault="00181BAB" w:rsidP="008E2AF6">
      <w:pPr>
        <w:spacing w:after="0"/>
        <w:jc w:val="both"/>
        <w:rPr>
          <w:rFonts w:ascii="Times New Roman" w:hAnsi="Times New Roman" w:cs="Times New Roman"/>
        </w:rPr>
      </w:pPr>
      <w:r w:rsidRPr="008E2AF6">
        <w:rPr>
          <w:rFonts w:ascii="Times New Roman" w:hAnsi="Times New Roman" w:cs="Times New Roman"/>
          <w:color w:val="000000"/>
        </w:rPr>
        <w:t>Pour le Rapport Technique, il comprendra un résumé analytique, en français, anglais et portugais, récapitulant les principales découvertes ou principes majeurs du document.</w:t>
      </w:r>
    </w:p>
    <w:p w:rsidR="00181BAB" w:rsidRPr="008E2AF6" w:rsidRDefault="00181BAB" w:rsidP="008E2AF6">
      <w:pPr>
        <w:spacing w:after="0"/>
        <w:jc w:val="both"/>
        <w:rPr>
          <w:rFonts w:ascii="Times New Roman" w:hAnsi="Times New Roman" w:cs="Times New Roman"/>
        </w:rPr>
      </w:pPr>
      <w:r w:rsidRPr="008E2AF6">
        <w:rPr>
          <w:rFonts w:ascii="Times New Roman" w:hAnsi="Times New Roman" w:cs="Times New Roman"/>
          <w:color w:val="000000"/>
        </w:rPr>
        <w:t>Chaque document à livrer, soit provisoire et/ou version définitive, sera fourni en cinq exemplaires sur papier avec une copie sur Clé USB ou CD sous formats Word 2016 et pdf.</w:t>
      </w:r>
    </w:p>
    <w:p w:rsidR="00181BAB" w:rsidRPr="008E2AF6" w:rsidRDefault="00181BAB" w:rsidP="008E2AF6">
      <w:pPr>
        <w:spacing w:after="0"/>
        <w:jc w:val="both"/>
        <w:rPr>
          <w:rFonts w:ascii="Times New Roman" w:hAnsi="Times New Roman" w:cs="Times New Roman"/>
        </w:rPr>
      </w:pPr>
      <w:r w:rsidRPr="008E2AF6">
        <w:rPr>
          <w:rFonts w:ascii="Times New Roman" w:hAnsi="Times New Roman" w:cs="Times New Roman"/>
          <w:color w:val="000000"/>
        </w:rPr>
        <w:t>Il faut noter que tous les documents (un REIES approfondies et éventuellement un PAR) qui seront soumis à AAAC pour la validation selon la loi nº 10/2010 de 24 septembre doit être traduit en langues portugaise.</w:t>
      </w:r>
    </w:p>
    <w:p w:rsidR="00181BAB" w:rsidRPr="008E2AF6" w:rsidRDefault="00181BAB" w:rsidP="008E2AF6">
      <w:pPr>
        <w:spacing w:after="0"/>
        <w:jc w:val="both"/>
        <w:rPr>
          <w:rFonts w:ascii="Times New Roman" w:hAnsi="Times New Roman" w:cs="Times New Roman"/>
        </w:rPr>
      </w:pPr>
      <w:r w:rsidRPr="008E2AF6">
        <w:rPr>
          <w:rFonts w:ascii="Times New Roman" w:hAnsi="Times New Roman" w:cs="Times New Roman"/>
          <w:color w:val="000000"/>
        </w:rPr>
        <w:t>A titre de rappel, chaque document doit se conformer aux exigences des politiques et de la législation du Gouvernement de Guinée-Bissau et des politiques de sauvegarde de la Banque Mondiale.</w:t>
      </w:r>
    </w:p>
    <w:p w:rsidR="00181BAB" w:rsidRPr="008E2AF6" w:rsidRDefault="00181BAB" w:rsidP="00FA3FAE">
      <w:pPr>
        <w:pStyle w:val="PargrafodaLista"/>
        <w:numPr>
          <w:ilvl w:val="1"/>
          <w:numId w:val="199"/>
        </w:numPr>
        <w:spacing w:before="360" w:after="0" w:line="240" w:lineRule="auto"/>
        <w:contextualSpacing w:val="0"/>
        <w:jc w:val="both"/>
        <w:outlineLvl w:val="1"/>
        <w:rPr>
          <w:rFonts w:ascii="Times New Roman" w:hAnsi="Times New Roman"/>
          <w:b/>
          <w:lang w:val="fr-FR"/>
        </w:rPr>
      </w:pPr>
      <w:bookmarkStart w:id="923" w:name="_Toc20820280"/>
      <w:bookmarkStart w:id="924" w:name="_Toc32511686"/>
      <w:bookmarkStart w:id="925" w:name="_Toc51072667"/>
      <w:r w:rsidRPr="008E2AF6">
        <w:rPr>
          <w:rFonts w:ascii="Times New Roman" w:hAnsi="Times New Roman"/>
          <w:b/>
          <w:lang w:val="fr-FR"/>
        </w:rPr>
        <w:t>Calendrier prévisionnel</w:t>
      </w:r>
      <w:bookmarkEnd w:id="923"/>
      <w:bookmarkEnd w:id="924"/>
      <w:bookmarkEnd w:id="925"/>
    </w:p>
    <w:p w:rsidR="00181BAB" w:rsidRPr="008E2AF6" w:rsidRDefault="00181BAB" w:rsidP="008E2AF6">
      <w:pPr>
        <w:pStyle w:val="Default"/>
        <w:jc w:val="both"/>
        <w:rPr>
          <w:rFonts w:ascii="Times New Roman" w:hAnsi="Times New Roman" w:cs="Times New Roman"/>
        </w:rPr>
      </w:pPr>
      <w:r w:rsidRPr="008E2AF6">
        <w:rPr>
          <w:rFonts w:ascii="Times New Roman" w:hAnsi="Times New Roman" w:cs="Times New Roman"/>
        </w:rPr>
        <w:t>Le calendrier prévisionnel sera à caler sur le calendrier des études techniques et sera proche du planning suivant :</w:t>
      </w:r>
    </w:p>
    <w:p w:rsidR="00181BAB" w:rsidRPr="008E2AF6" w:rsidRDefault="00181BAB" w:rsidP="008E2AF6">
      <w:pPr>
        <w:pStyle w:val="Default"/>
        <w:jc w:val="both"/>
        <w:rPr>
          <w:rFonts w:ascii="Times New Roman" w:hAnsi="Times New Roman" w:cs="Times New Roman"/>
        </w:rPr>
      </w:pPr>
      <w:r w:rsidRPr="008E2AF6">
        <w:rPr>
          <w:rFonts w:ascii="Times New Roman" w:hAnsi="Times New Roman" w:cs="Times New Roman"/>
        </w:rPr>
        <w:t>Les délais d’exécution des prestations sont estimés 5,5 mois y compris 4 semaines de validation des rapports (REIES approfondi, REIES simplifié, PAR et les Audiences Publiques) par AAAC au travers du Comité Technique Scientifique Ad Hoc., plus Clauses environnmentales et sociales. Le volume de prestation prévu est d’environ 10 H-M. Ces prestations sont reparties comme suit :</w:t>
      </w:r>
    </w:p>
    <w:p w:rsidR="00181BAB" w:rsidRPr="008E2AF6" w:rsidRDefault="00181BAB" w:rsidP="00FA3FAE">
      <w:pPr>
        <w:pStyle w:val="Default"/>
        <w:numPr>
          <w:ilvl w:val="0"/>
          <w:numId w:val="173"/>
        </w:numPr>
        <w:jc w:val="both"/>
        <w:rPr>
          <w:rFonts w:ascii="Times New Roman" w:hAnsi="Times New Roman" w:cs="Times New Roman"/>
        </w:rPr>
      </w:pPr>
      <w:r w:rsidRPr="008E2AF6">
        <w:rPr>
          <w:rFonts w:ascii="Times New Roman" w:hAnsi="Times New Roman" w:cs="Times New Roman"/>
        </w:rPr>
        <w:t>La realisations d’Etudes impacts environnementales et sociales en phase APD : 3 mois ; et</w:t>
      </w:r>
    </w:p>
    <w:p w:rsidR="00181BAB" w:rsidRPr="008E2AF6" w:rsidRDefault="00181BAB" w:rsidP="00FA3FAE">
      <w:pPr>
        <w:pStyle w:val="Default"/>
        <w:numPr>
          <w:ilvl w:val="0"/>
          <w:numId w:val="173"/>
        </w:numPr>
        <w:jc w:val="both"/>
        <w:rPr>
          <w:rFonts w:ascii="Times New Roman" w:hAnsi="Times New Roman" w:cs="Times New Roman"/>
        </w:rPr>
      </w:pPr>
      <w:r w:rsidRPr="008E2AF6">
        <w:rPr>
          <w:rFonts w:ascii="Times New Roman" w:hAnsi="Times New Roman" w:cs="Times New Roman"/>
        </w:rPr>
        <w:t>Préparation des PAR : 2,5 mois avec tous les affichages et les verbalisations requis par la législation en vigueur.</w:t>
      </w:r>
    </w:p>
    <w:p w:rsidR="00181BAB" w:rsidRPr="008E2AF6" w:rsidRDefault="00181BAB" w:rsidP="00FA3FAE">
      <w:pPr>
        <w:pStyle w:val="PargrafodaLista"/>
        <w:numPr>
          <w:ilvl w:val="1"/>
          <w:numId w:val="199"/>
        </w:numPr>
        <w:spacing w:before="360" w:after="0" w:line="240" w:lineRule="auto"/>
        <w:contextualSpacing w:val="0"/>
        <w:jc w:val="both"/>
        <w:outlineLvl w:val="1"/>
        <w:rPr>
          <w:rFonts w:ascii="Times New Roman" w:hAnsi="Times New Roman"/>
          <w:b/>
          <w:lang w:val="fr-FR"/>
        </w:rPr>
      </w:pPr>
      <w:bookmarkStart w:id="926" w:name="_Toc20820281"/>
      <w:bookmarkStart w:id="927" w:name="_Toc32511687"/>
      <w:bookmarkStart w:id="928" w:name="_Toc51072668"/>
      <w:r w:rsidRPr="008E2AF6">
        <w:rPr>
          <w:rFonts w:ascii="Times New Roman" w:hAnsi="Times New Roman"/>
          <w:b/>
          <w:lang w:val="fr-FR"/>
        </w:rPr>
        <w:t>Organisation et gestion du projet</w:t>
      </w:r>
      <w:bookmarkEnd w:id="926"/>
      <w:bookmarkEnd w:id="927"/>
      <w:bookmarkEnd w:id="928"/>
    </w:p>
    <w:p w:rsidR="00181BAB" w:rsidRPr="008E2AF6" w:rsidRDefault="00181BAB" w:rsidP="008E2AF6">
      <w:pPr>
        <w:spacing w:after="0"/>
        <w:jc w:val="both"/>
        <w:rPr>
          <w:rFonts w:ascii="Times New Roman" w:hAnsi="Times New Roman" w:cs="Times New Roman"/>
        </w:rPr>
      </w:pPr>
      <w:r w:rsidRPr="008E2AF6">
        <w:rPr>
          <w:rFonts w:ascii="Times New Roman" w:hAnsi="Times New Roman" w:cs="Times New Roman"/>
        </w:rPr>
        <w:t>Le Consultant travaillera en étroite collaboration avec l’UI-PUASEE et le service désigné par EAGB.</w:t>
      </w:r>
    </w:p>
    <w:p w:rsidR="00181BAB" w:rsidRPr="008E2AF6" w:rsidRDefault="00181BAB" w:rsidP="008E2AF6">
      <w:pPr>
        <w:spacing w:after="0"/>
        <w:jc w:val="both"/>
        <w:rPr>
          <w:rFonts w:ascii="Times New Roman" w:hAnsi="Times New Roman" w:cs="Times New Roman"/>
        </w:rPr>
      </w:pPr>
      <w:r w:rsidRPr="008E2AF6">
        <w:rPr>
          <w:rFonts w:ascii="Times New Roman" w:hAnsi="Times New Roman" w:cs="Times New Roman"/>
        </w:rPr>
        <w:t>Dans le cadre de l’exécution du contrat, l’étude sera conduite en relation étroite avec les services du Ministère de l’Environnement et du Développement Durable</w:t>
      </w:r>
      <w:r w:rsidRPr="008E2AF6">
        <w:rPr>
          <w:rFonts w:ascii="Times New Roman" w:hAnsi="Times New Roman" w:cs="Times New Roman"/>
          <w:spacing w:val="4"/>
        </w:rPr>
        <w:t xml:space="preserve"> (MADS) </w:t>
      </w:r>
      <w:r w:rsidRPr="008E2AF6">
        <w:rPr>
          <w:rFonts w:ascii="Times New Roman" w:hAnsi="Times New Roman" w:cs="Times New Roman"/>
        </w:rPr>
        <w:t>à travers de l’Autorité d’Evaluation Environnementale Compétente (AAAC). Aussi les Ministère de l’Energie et Industrie (MEI), Ministère des Ressources Naturelles et tous les autres institutions, organisations et opérateurs publiques et privés concernés, notamment EAGB seront associées partout où cela sera nécessaire. Cette participation se fera sous le couvert et la responsabilité de l’UI-PUASEE.</w:t>
      </w:r>
    </w:p>
    <w:p w:rsidR="00181BAB" w:rsidRPr="008E2AF6" w:rsidRDefault="00181BAB" w:rsidP="008E2AF6">
      <w:pPr>
        <w:spacing w:after="0"/>
        <w:jc w:val="both"/>
        <w:rPr>
          <w:rFonts w:ascii="Times New Roman" w:hAnsi="Times New Roman" w:cs="Times New Roman"/>
        </w:rPr>
      </w:pPr>
      <w:r w:rsidRPr="008E2AF6">
        <w:rPr>
          <w:rFonts w:ascii="Times New Roman" w:hAnsi="Times New Roman" w:cs="Times New Roman"/>
        </w:rPr>
        <w:t xml:space="preserve">Le consultant, devrait soumettre à l’UIP le projet des TdR’s après sa première mission de terrain, pour que ce dernier puisse demander sa validation technique par le comité technique-scientifique </w:t>
      </w:r>
      <w:r w:rsidRPr="008E2AF6">
        <w:rPr>
          <w:rFonts w:ascii="Times New Roman" w:hAnsi="Times New Roman" w:cs="Times New Roman"/>
          <w:i/>
        </w:rPr>
        <w:t>Ah Doc,</w:t>
      </w:r>
      <w:r w:rsidRPr="008E2AF6">
        <w:rPr>
          <w:rFonts w:ascii="Times New Roman" w:hAnsi="Times New Roman" w:cs="Times New Roman"/>
        </w:rPr>
        <w:t xml:space="preserve"> auprès de l’AAAC en conformité avec la procédure établie au niveau national et aussi auprès de bailleurs de fonds.</w:t>
      </w:r>
    </w:p>
    <w:p w:rsidR="00181BAB" w:rsidRPr="008E2AF6" w:rsidRDefault="00181BAB" w:rsidP="008E2AF6">
      <w:pPr>
        <w:spacing w:after="0"/>
        <w:jc w:val="both"/>
        <w:rPr>
          <w:rFonts w:ascii="Times New Roman" w:hAnsi="Times New Roman" w:cs="Times New Roman"/>
        </w:rPr>
      </w:pPr>
      <w:r w:rsidRPr="008E2AF6">
        <w:rPr>
          <w:rFonts w:ascii="Times New Roman" w:hAnsi="Times New Roman" w:cs="Times New Roman"/>
        </w:rPr>
        <w:lastRenderedPageBreak/>
        <w:t>Le Maître d’Ouvrage mettra à la disposition du Consultant, pour l’accomplissement de sa mission, toute la documentation dont il dispose et facilitera l’obtention des informations et données complémentaires auprès d’autres services. Le Maître d’Ouvrage assistera le Consultant pour l’obtention de toutes les autorisations nécessaires à la bonne exécution de ses tâches.</w:t>
      </w:r>
    </w:p>
    <w:p w:rsidR="00181BAB" w:rsidRPr="00693805" w:rsidRDefault="00181BAB"/>
    <w:p w:rsidR="00181BAB" w:rsidRDefault="00181BAB" w:rsidP="00D10B3E">
      <w:pPr>
        <w:pStyle w:val="ndice2"/>
        <w:rPr>
          <w:rFonts w:ascii="Calibri" w:eastAsia="Yu Mincho" w:hAnsi="Calibri"/>
          <w:sz w:val="22"/>
          <w:szCs w:val="22"/>
        </w:rPr>
      </w:pPr>
      <w:bookmarkStart w:id="929" w:name="_Toc51072669"/>
      <w:r w:rsidRPr="00181BAB">
        <w:t>ANNEXE 2 : CLAUSES ENVIRONNEMENTALES</w:t>
      </w:r>
      <w:bookmarkEnd w:id="929"/>
    </w:p>
    <w:p w:rsidR="00EC1CE9" w:rsidRDefault="00EC1CE9" w:rsidP="00895AC4">
      <w:pPr>
        <w:rPr>
          <w:lang w:val="fr-BE"/>
        </w:rPr>
      </w:pPr>
      <w:r>
        <w:rPr>
          <w:noProof/>
          <w:lang w:val="pt-PT" w:eastAsia="pt-PT"/>
        </w:rPr>
        <mc:AlternateContent>
          <mc:Choice Requires="wps">
            <w:drawing>
              <wp:anchor distT="0" distB="0" distL="114300" distR="114300" simplePos="0" relativeHeight="252284416" behindDoc="0" locked="0" layoutInCell="1" allowOverlap="1" wp14:anchorId="197DF63B" wp14:editId="105BEFCE">
                <wp:simplePos x="0" y="0"/>
                <wp:positionH relativeFrom="page">
                  <wp:posOffset>277911</wp:posOffset>
                </wp:positionH>
                <wp:positionV relativeFrom="paragraph">
                  <wp:posOffset>162516</wp:posOffset>
                </wp:positionV>
                <wp:extent cx="7037705" cy="4751705"/>
                <wp:effectExtent l="0" t="0" r="29845" b="48895"/>
                <wp:wrapNone/>
                <wp:docPr id="519" name="Caixa de texto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37705" cy="4751705"/>
                        </a:xfrm>
                        <a:prstGeom prst="rect">
                          <a:avLst/>
                        </a:prstGeom>
                        <a:gradFill rotWithShape="0">
                          <a:gsLst>
                            <a:gs pos="0">
                              <a:schemeClr val="lt1">
                                <a:lumMod val="100000"/>
                                <a:lumOff val="0"/>
                              </a:schemeClr>
                            </a:gs>
                            <a:gs pos="100000">
                              <a:schemeClr val="accent5">
                                <a:lumMod val="40000"/>
                                <a:lumOff val="60000"/>
                              </a:schemeClr>
                            </a:gs>
                          </a:gsLst>
                          <a:lin ang="5400000" scaled="1"/>
                        </a:gradFill>
                        <a:ln w="12700">
                          <a:solidFill>
                            <a:schemeClr val="accent5">
                              <a:lumMod val="60000"/>
                              <a:lumOff val="40000"/>
                            </a:schemeClr>
                          </a:solidFill>
                          <a:miter lim="800000"/>
                          <a:headEnd/>
                          <a:tailEnd/>
                        </a:ln>
                        <a:effectLst>
                          <a:outerShdw dist="28398" dir="3806097" algn="ctr" rotWithShape="0">
                            <a:schemeClr val="accent5">
                              <a:lumMod val="50000"/>
                              <a:lumOff val="0"/>
                              <a:alpha val="50000"/>
                            </a:schemeClr>
                          </a:outerShdw>
                        </a:effectLst>
                      </wps:spPr>
                      <wps:txbx>
                        <w:txbxContent>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87"/>
                              <w:gridCol w:w="6170"/>
                            </w:tblGrid>
                            <w:tr w:rsidR="003C548E" w:rsidRPr="00665030" w:rsidTr="008734B0">
                              <w:tc>
                                <w:tcPr>
                                  <w:tcW w:w="4536" w:type="dxa"/>
                                  <w:shd w:val="clear" w:color="auto" w:fill="auto"/>
                                  <w:vAlign w:val="center"/>
                                </w:tcPr>
                                <w:p w:rsidR="003C548E" w:rsidRPr="00B616D5" w:rsidRDefault="003C548E" w:rsidP="008734B0">
                                  <w:pPr>
                                    <w:spacing w:after="0"/>
                                    <w:rPr>
                                      <w:rFonts w:eastAsia="Calibri"/>
                                      <w:b/>
                                      <w:szCs w:val="24"/>
                                    </w:rPr>
                                  </w:pPr>
                                  <w:r w:rsidRPr="00B616D5">
                                    <w:rPr>
                                      <w:rFonts w:eastAsia="Calibri"/>
                                      <w:b/>
                                      <w:szCs w:val="24"/>
                                    </w:rPr>
                                    <w:t>Nom du sous-projet et numéro du DAO</w:t>
                                  </w:r>
                                  <w:r w:rsidRPr="00B616D5">
                                    <w:rPr>
                                      <w:rFonts w:eastAsia="Calibri"/>
                                      <w:b/>
                                    </w:rPr>
                                    <w:t>:</w:t>
                                  </w:r>
                                </w:p>
                              </w:tc>
                              <w:tc>
                                <w:tcPr>
                                  <w:tcW w:w="6237" w:type="dxa"/>
                                  <w:shd w:val="clear" w:color="auto" w:fill="FFFFFF" w:themeFill="background1"/>
                                </w:tcPr>
                                <w:p w:rsidR="003C548E" w:rsidRPr="00596CBC" w:rsidRDefault="003C548E" w:rsidP="008734B0">
                                  <w:pPr>
                                    <w:spacing w:after="0"/>
                                    <w:rPr>
                                      <w:b/>
                                    </w:rPr>
                                  </w:pPr>
                                  <w:r w:rsidRPr="00596CBC">
                                    <w:rPr>
                                      <w:rFonts w:eastAsia="Calibri"/>
                                      <w:b/>
                                    </w:rPr>
                                    <w:t>Sous-projet N°1 : Construction, réhabilitation, renforcement, fournitures et installations des équipements et électrification des forages d’approvisionnement d’eau potable</w:t>
                                  </w:r>
                                </w:p>
                              </w:tc>
                            </w:tr>
                            <w:tr w:rsidR="003C548E" w:rsidRPr="00665030" w:rsidTr="008734B0">
                              <w:trPr>
                                <w:trHeight w:val="454"/>
                              </w:trPr>
                              <w:tc>
                                <w:tcPr>
                                  <w:tcW w:w="4536" w:type="dxa"/>
                                  <w:shd w:val="clear" w:color="auto" w:fill="auto"/>
                                  <w:vAlign w:val="center"/>
                                </w:tcPr>
                                <w:p w:rsidR="003C548E" w:rsidRPr="00B616D5" w:rsidRDefault="003C548E" w:rsidP="008734B0">
                                  <w:pPr>
                                    <w:spacing w:after="0"/>
                                    <w:rPr>
                                      <w:rFonts w:eastAsia="Calibri"/>
                                      <w:b/>
                                      <w:szCs w:val="24"/>
                                    </w:rPr>
                                  </w:pPr>
                                  <w:r w:rsidRPr="00B616D5">
                                    <w:rPr>
                                      <w:rFonts w:eastAsia="Calibri"/>
                                      <w:b/>
                                      <w:szCs w:val="24"/>
                                    </w:rPr>
                                    <w:t>Financement et montant du marché</w:t>
                                  </w:r>
                                  <w:r w:rsidRPr="00B616D5">
                                    <w:rPr>
                                      <w:rFonts w:eastAsia="Calibri"/>
                                      <w:b/>
                                    </w:rPr>
                                    <w:t>:</w:t>
                                  </w:r>
                                </w:p>
                              </w:tc>
                              <w:tc>
                                <w:tcPr>
                                  <w:tcW w:w="6237" w:type="dxa"/>
                                  <w:shd w:val="clear" w:color="auto" w:fill="FFFFFF" w:themeFill="background1"/>
                                  <w:vAlign w:val="center"/>
                                </w:tcPr>
                                <w:p w:rsidR="003C548E" w:rsidRPr="00DA5875" w:rsidRDefault="003C548E" w:rsidP="008734B0">
                                  <w:pPr>
                                    <w:spacing w:after="0"/>
                                    <w:jc w:val="center"/>
                                    <w:rPr>
                                      <w:szCs w:val="24"/>
                                    </w:rPr>
                                  </w:pPr>
                                  <w:r w:rsidRPr="00DA5875">
                                    <w:rPr>
                                      <w:rFonts w:eastAsia="Calibri"/>
                                      <w:szCs w:val="24"/>
                                    </w:rPr>
                                    <w:t>Banque Mondiale</w:t>
                                  </w:r>
                                  <w:r w:rsidRPr="00DA5875">
                                    <w:rPr>
                                      <w:rFonts w:eastAsia="Calibri"/>
                                    </w:rPr>
                                    <w:t xml:space="preserve"> (</w:t>
                                  </w:r>
                                  <w:r w:rsidRPr="00DA5875">
                                    <w:rPr>
                                      <w:rFonts w:eastAsia="Calibri"/>
                                      <w:szCs w:val="24"/>
                                    </w:rPr>
                                    <w:t>Association Internationale de Développement (IDA)</w:t>
                                  </w:r>
                                </w:p>
                              </w:tc>
                            </w:tr>
                            <w:tr w:rsidR="003C548E" w:rsidRPr="00665030" w:rsidTr="008734B0">
                              <w:trPr>
                                <w:trHeight w:val="454"/>
                              </w:trPr>
                              <w:tc>
                                <w:tcPr>
                                  <w:tcW w:w="4536" w:type="dxa"/>
                                  <w:shd w:val="clear" w:color="auto" w:fill="auto"/>
                                  <w:vAlign w:val="center"/>
                                </w:tcPr>
                                <w:p w:rsidR="003C548E" w:rsidRPr="00B616D5" w:rsidRDefault="003C548E" w:rsidP="008734B0">
                                  <w:pPr>
                                    <w:spacing w:after="0"/>
                                    <w:rPr>
                                      <w:rFonts w:eastAsia="Calibri"/>
                                      <w:b/>
                                      <w:szCs w:val="24"/>
                                    </w:rPr>
                                  </w:pPr>
                                  <w:r w:rsidRPr="00B616D5">
                                    <w:rPr>
                                      <w:rFonts w:eastAsia="Calibri"/>
                                      <w:b/>
                                      <w:szCs w:val="24"/>
                                    </w:rPr>
                                    <w:t>Maitre d’Ouvrage</w:t>
                                  </w:r>
                                  <w:r w:rsidRPr="00B616D5">
                                    <w:rPr>
                                      <w:rFonts w:eastAsia="Calibri"/>
                                      <w:b/>
                                    </w:rPr>
                                    <w:t>:</w:t>
                                  </w:r>
                                </w:p>
                              </w:tc>
                              <w:tc>
                                <w:tcPr>
                                  <w:tcW w:w="6237" w:type="dxa"/>
                                  <w:shd w:val="clear" w:color="auto" w:fill="FFFFFF" w:themeFill="background1"/>
                                  <w:vAlign w:val="center"/>
                                </w:tcPr>
                                <w:p w:rsidR="003C548E" w:rsidRPr="00DA5875" w:rsidRDefault="003C548E" w:rsidP="008734B0">
                                  <w:pPr>
                                    <w:spacing w:after="0"/>
                                    <w:jc w:val="center"/>
                                    <w:rPr>
                                      <w:szCs w:val="24"/>
                                    </w:rPr>
                                  </w:pPr>
                                  <w:r w:rsidRPr="00DA5875">
                                    <w:t>UI-PUASEE</w:t>
                                  </w:r>
                                </w:p>
                              </w:tc>
                            </w:tr>
                            <w:tr w:rsidR="003C548E" w:rsidRPr="00665030" w:rsidTr="008734B0">
                              <w:trPr>
                                <w:trHeight w:val="454"/>
                              </w:trPr>
                              <w:tc>
                                <w:tcPr>
                                  <w:tcW w:w="4536" w:type="dxa"/>
                                  <w:shd w:val="clear" w:color="auto" w:fill="auto"/>
                                  <w:vAlign w:val="center"/>
                                </w:tcPr>
                                <w:p w:rsidR="003C548E" w:rsidRPr="00B616D5" w:rsidRDefault="003C548E" w:rsidP="008734B0">
                                  <w:pPr>
                                    <w:spacing w:after="0"/>
                                    <w:rPr>
                                      <w:rFonts w:eastAsia="Calibri"/>
                                      <w:b/>
                                      <w:szCs w:val="24"/>
                                    </w:rPr>
                                  </w:pPr>
                                  <w:r w:rsidRPr="00B616D5">
                                    <w:rPr>
                                      <w:rFonts w:eastAsia="Calibri"/>
                                      <w:b/>
                                      <w:szCs w:val="24"/>
                                    </w:rPr>
                                    <w:t>Maitre d’Ouvrage Délégué</w:t>
                                  </w:r>
                                  <w:r w:rsidRPr="00B616D5">
                                    <w:rPr>
                                      <w:rFonts w:eastAsia="Calibri"/>
                                      <w:b/>
                                    </w:rPr>
                                    <w:t>:</w:t>
                                  </w:r>
                                </w:p>
                              </w:tc>
                              <w:tc>
                                <w:tcPr>
                                  <w:tcW w:w="6237" w:type="dxa"/>
                                  <w:shd w:val="clear" w:color="auto" w:fill="FFFFFF" w:themeFill="background1"/>
                                  <w:vAlign w:val="center"/>
                                </w:tcPr>
                                <w:p w:rsidR="003C548E" w:rsidRPr="00DA5875" w:rsidRDefault="003C548E" w:rsidP="008734B0">
                                  <w:pPr>
                                    <w:spacing w:after="0"/>
                                    <w:jc w:val="center"/>
                                    <w:rPr>
                                      <w:szCs w:val="24"/>
                                    </w:rPr>
                                  </w:pPr>
                                </w:p>
                              </w:tc>
                            </w:tr>
                            <w:tr w:rsidR="003C548E" w:rsidRPr="00665030" w:rsidTr="008734B0">
                              <w:trPr>
                                <w:trHeight w:val="454"/>
                              </w:trPr>
                              <w:tc>
                                <w:tcPr>
                                  <w:tcW w:w="4536" w:type="dxa"/>
                                  <w:shd w:val="clear" w:color="auto" w:fill="auto"/>
                                  <w:vAlign w:val="center"/>
                                </w:tcPr>
                                <w:p w:rsidR="003C548E" w:rsidRPr="00B616D5" w:rsidRDefault="003C548E" w:rsidP="008734B0">
                                  <w:pPr>
                                    <w:spacing w:after="0"/>
                                    <w:rPr>
                                      <w:rFonts w:eastAsia="Calibri"/>
                                      <w:b/>
                                      <w:szCs w:val="24"/>
                                    </w:rPr>
                                  </w:pPr>
                                  <w:r w:rsidRPr="00B616D5">
                                    <w:rPr>
                                      <w:rFonts w:eastAsia="Calibri"/>
                                      <w:b/>
                                      <w:szCs w:val="24"/>
                                    </w:rPr>
                                    <w:t>Nom de l’Entreprise</w:t>
                                  </w:r>
                                  <w:r w:rsidRPr="00B616D5">
                                    <w:rPr>
                                      <w:rFonts w:eastAsia="Calibri"/>
                                      <w:b/>
                                    </w:rPr>
                                    <w:t>:</w:t>
                                  </w:r>
                                </w:p>
                              </w:tc>
                              <w:tc>
                                <w:tcPr>
                                  <w:tcW w:w="6237" w:type="dxa"/>
                                  <w:shd w:val="clear" w:color="auto" w:fill="FFFFFF" w:themeFill="background1"/>
                                  <w:vAlign w:val="center"/>
                                </w:tcPr>
                                <w:p w:rsidR="003C548E" w:rsidRPr="00DA5875" w:rsidRDefault="003C548E" w:rsidP="008734B0">
                                  <w:pPr>
                                    <w:spacing w:after="0"/>
                                    <w:jc w:val="center"/>
                                    <w:rPr>
                                      <w:rFonts w:eastAsia="Calibri"/>
                                      <w:szCs w:val="24"/>
                                    </w:rPr>
                                  </w:pPr>
                                </w:p>
                              </w:tc>
                            </w:tr>
                            <w:tr w:rsidR="003C548E" w:rsidRPr="00665030" w:rsidTr="008734B0">
                              <w:trPr>
                                <w:trHeight w:val="454"/>
                              </w:trPr>
                              <w:tc>
                                <w:tcPr>
                                  <w:tcW w:w="4536" w:type="dxa"/>
                                  <w:shd w:val="clear" w:color="auto" w:fill="auto"/>
                                  <w:vAlign w:val="center"/>
                                </w:tcPr>
                                <w:p w:rsidR="003C548E" w:rsidRPr="00B616D5" w:rsidRDefault="003C548E" w:rsidP="008734B0">
                                  <w:pPr>
                                    <w:spacing w:after="0"/>
                                    <w:rPr>
                                      <w:rFonts w:eastAsia="Calibri"/>
                                      <w:b/>
                                    </w:rPr>
                                  </w:pPr>
                                  <w:r w:rsidRPr="00B616D5">
                                    <w:rPr>
                                      <w:rFonts w:eastAsia="Calibri"/>
                                      <w:b/>
                                    </w:rPr>
                                    <w:t>N</w:t>
                                  </w:r>
                                  <w:r w:rsidRPr="00B616D5">
                                    <w:rPr>
                                      <w:rFonts w:eastAsia="Calibri"/>
                                      <w:b/>
                                      <w:szCs w:val="24"/>
                                    </w:rPr>
                                    <w:t>° du Contrats des travaux</w:t>
                                  </w:r>
                                  <w:r w:rsidRPr="00B616D5">
                                    <w:rPr>
                                      <w:rFonts w:eastAsia="Calibri"/>
                                      <w:b/>
                                    </w:rPr>
                                    <w:t>:</w:t>
                                  </w:r>
                                </w:p>
                              </w:tc>
                              <w:tc>
                                <w:tcPr>
                                  <w:tcW w:w="6237" w:type="dxa"/>
                                  <w:shd w:val="clear" w:color="auto" w:fill="FFFFFF" w:themeFill="background1"/>
                                  <w:vAlign w:val="center"/>
                                </w:tcPr>
                                <w:p w:rsidR="003C548E" w:rsidRPr="00DA5875" w:rsidRDefault="003C548E" w:rsidP="008734B0">
                                  <w:pPr>
                                    <w:spacing w:after="0"/>
                                    <w:jc w:val="center"/>
                                    <w:rPr>
                                      <w:rFonts w:eastAsia="Calibri"/>
                                    </w:rPr>
                                  </w:pPr>
                                </w:p>
                              </w:tc>
                            </w:tr>
                            <w:tr w:rsidR="003C548E" w:rsidRPr="00665030" w:rsidTr="008734B0">
                              <w:trPr>
                                <w:trHeight w:val="454"/>
                              </w:trPr>
                              <w:tc>
                                <w:tcPr>
                                  <w:tcW w:w="4536" w:type="dxa"/>
                                  <w:shd w:val="clear" w:color="auto" w:fill="auto"/>
                                  <w:vAlign w:val="center"/>
                                </w:tcPr>
                                <w:p w:rsidR="003C548E" w:rsidRPr="00B616D5" w:rsidRDefault="003C548E" w:rsidP="008734B0">
                                  <w:pPr>
                                    <w:spacing w:after="0"/>
                                    <w:rPr>
                                      <w:rFonts w:eastAsia="Calibri"/>
                                      <w:b/>
                                      <w:szCs w:val="24"/>
                                    </w:rPr>
                                  </w:pPr>
                                  <w:r w:rsidRPr="00B616D5">
                                    <w:rPr>
                                      <w:rFonts w:eastAsia="Calibri"/>
                                      <w:b/>
                                      <w:szCs w:val="24"/>
                                    </w:rPr>
                                    <w:t>Maitre d’œuvre</w:t>
                                  </w:r>
                                  <w:r w:rsidRPr="00B616D5">
                                    <w:rPr>
                                      <w:rFonts w:eastAsia="Calibri"/>
                                      <w:b/>
                                    </w:rPr>
                                    <w:t>:</w:t>
                                  </w:r>
                                </w:p>
                              </w:tc>
                              <w:tc>
                                <w:tcPr>
                                  <w:tcW w:w="6237" w:type="dxa"/>
                                  <w:shd w:val="clear" w:color="auto" w:fill="FFFFFF" w:themeFill="background1"/>
                                  <w:vAlign w:val="center"/>
                                </w:tcPr>
                                <w:p w:rsidR="003C548E" w:rsidRPr="00DA5875" w:rsidRDefault="003C548E" w:rsidP="008734B0">
                                  <w:pPr>
                                    <w:spacing w:after="0"/>
                                    <w:jc w:val="center"/>
                                    <w:rPr>
                                      <w:szCs w:val="24"/>
                                    </w:rPr>
                                  </w:pPr>
                                  <w:r w:rsidRPr="00DA5875">
                                    <w:t>Entreprise d’Electricité et Eau de la Guinée-Bissau (EAGB)</w:t>
                                  </w:r>
                                </w:p>
                              </w:tc>
                            </w:tr>
                            <w:tr w:rsidR="003C548E" w:rsidRPr="00665030" w:rsidTr="008734B0">
                              <w:trPr>
                                <w:trHeight w:val="454"/>
                              </w:trPr>
                              <w:tc>
                                <w:tcPr>
                                  <w:tcW w:w="4536" w:type="dxa"/>
                                  <w:shd w:val="clear" w:color="auto" w:fill="auto"/>
                                  <w:vAlign w:val="center"/>
                                </w:tcPr>
                                <w:p w:rsidR="003C548E" w:rsidRPr="00B616D5" w:rsidRDefault="003C548E" w:rsidP="008734B0">
                                  <w:pPr>
                                    <w:spacing w:after="0"/>
                                    <w:rPr>
                                      <w:rFonts w:eastAsia="Calibri"/>
                                      <w:b/>
                                      <w:szCs w:val="24"/>
                                    </w:rPr>
                                  </w:pPr>
                                  <w:r w:rsidRPr="00B616D5">
                                    <w:rPr>
                                      <w:rFonts w:eastAsia="Calibri"/>
                                      <w:b/>
                                      <w:szCs w:val="24"/>
                                    </w:rPr>
                                    <w:t>Date du début</w:t>
                                  </w:r>
                                </w:p>
                              </w:tc>
                              <w:tc>
                                <w:tcPr>
                                  <w:tcW w:w="6237" w:type="dxa"/>
                                  <w:shd w:val="clear" w:color="auto" w:fill="FFFFFF" w:themeFill="background1"/>
                                  <w:vAlign w:val="center"/>
                                </w:tcPr>
                                <w:p w:rsidR="003C548E" w:rsidRPr="00DA5875" w:rsidRDefault="003C548E" w:rsidP="008734B0">
                                  <w:pPr>
                                    <w:spacing w:after="0"/>
                                    <w:jc w:val="center"/>
                                    <w:rPr>
                                      <w:rFonts w:eastAsia="Calibri"/>
                                      <w:szCs w:val="24"/>
                                    </w:rPr>
                                  </w:pPr>
                                </w:p>
                                <w:p w:rsidR="003C548E" w:rsidRPr="00DA5875" w:rsidRDefault="003C548E" w:rsidP="008734B0">
                                  <w:pPr>
                                    <w:spacing w:after="0"/>
                                    <w:jc w:val="center"/>
                                    <w:rPr>
                                      <w:rFonts w:eastAsia="Calibri"/>
                                      <w:szCs w:val="24"/>
                                    </w:rPr>
                                  </w:pPr>
                                </w:p>
                              </w:tc>
                            </w:tr>
                            <w:tr w:rsidR="003C548E" w:rsidRPr="00665030" w:rsidTr="008734B0">
                              <w:trPr>
                                <w:trHeight w:val="454"/>
                              </w:trPr>
                              <w:tc>
                                <w:tcPr>
                                  <w:tcW w:w="4536" w:type="dxa"/>
                                  <w:shd w:val="clear" w:color="auto" w:fill="auto"/>
                                  <w:vAlign w:val="center"/>
                                </w:tcPr>
                                <w:p w:rsidR="003C548E" w:rsidRPr="00B616D5" w:rsidRDefault="003C548E" w:rsidP="008734B0">
                                  <w:pPr>
                                    <w:spacing w:after="0"/>
                                    <w:rPr>
                                      <w:rFonts w:eastAsia="Calibri"/>
                                      <w:b/>
                                      <w:szCs w:val="24"/>
                                    </w:rPr>
                                  </w:pPr>
                                  <w:r w:rsidRPr="00B616D5">
                                    <w:rPr>
                                      <w:rFonts w:eastAsia="Calibri"/>
                                      <w:b/>
                                      <w:szCs w:val="24"/>
                                    </w:rPr>
                                    <w:t>Délai des travaux (achèvement)</w:t>
                                  </w:r>
                                </w:p>
                              </w:tc>
                              <w:tc>
                                <w:tcPr>
                                  <w:tcW w:w="6237" w:type="dxa"/>
                                  <w:shd w:val="clear" w:color="auto" w:fill="FFFFFF" w:themeFill="background1"/>
                                  <w:vAlign w:val="center"/>
                                </w:tcPr>
                                <w:p w:rsidR="003C548E" w:rsidRPr="00DA5875" w:rsidRDefault="003C548E" w:rsidP="008734B0">
                                  <w:pPr>
                                    <w:spacing w:after="0"/>
                                    <w:jc w:val="center"/>
                                    <w:rPr>
                                      <w:rFonts w:eastAsia="Calibri"/>
                                      <w:szCs w:val="24"/>
                                    </w:rPr>
                                  </w:pPr>
                                </w:p>
                                <w:p w:rsidR="003C548E" w:rsidRPr="00DA5875" w:rsidRDefault="003C548E" w:rsidP="008734B0">
                                  <w:pPr>
                                    <w:spacing w:after="0"/>
                                    <w:jc w:val="center"/>
                                    <w:rPr>
                                      <w:rFonts w:eastAsia="Calibri"/>
                                      <w:szCs w:val="24"/>
                                    </w:rPr>
                                  </w:pPr>
                                </w:p>
                              </w:tc>
                            </w:tr>
                            <w:tr w:rsidR="003C548E" w:rsidRPr="00665030" w:rsidTr="008734B0">
                              <w:trPr>
                                <w:trHeight w:val="454"/>
                              </w:trPr>
                              <w:tc>
                                <w:tcPr>
                                  <w:tcW w:w="4536" w:type="dxa"/>
                                  <w:tcBorders>
                                    <w:top w:val="single" w:sz="4" w:space="0" w:color="auto"/>
                                    <w:left w:val="single" w:sz="4" w:space="0" w:color="auto"/>
                                    <w:bottom w:val="single" w:sz="4" w:space="0" w:color="auto"/>
                                    <w:right w:val="single" w:sz="4" w:space="0" w:color="auto"/>
                                  </w:tcBorders>
                                  <w:shd w:val="clear" w:color="auto" w:fill="auto"/>
                                  <w:vAlign w:val="center"/>
                                </w:tcPr>
                                <w:p w:rsidR="003C548E" w:rsidRPr="00B616D5" w:rsidRDefault="003C548E" w:rsidP="008734B0">
                                  <w:pPr>
                                    <w:spacing w:after="0"/>
                                    <w:rPr>
                                      <w:rFonts w:eastAsia="Calibri"/>
                                      <w:b/>
                                      <w:szCs w:val="24"/>
                                    </w:rPr>
                                  </w:pPr>
                                  <w:r w:rsidRPr="00B616D5">
                                    <w:rPr>
                                      <w:rFonts w:eastAsia="Calibri"/>
                                      <w:b/>
                                      <w:szCs w:val="24"/>
                                    </w:rPr>
                                    <w:t>Responsable des sauvegardes</w:t>
                                  </w:r>
                                </w:p>
                              </w:tc>
                              <w:tc>
                                <w:tcPr>
                                  <w:tcW w:w="623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3C548E" w:rsidRPr="00DA5875" w:rsidRDefault="003C548E" w:rsidP="008734B0">
                                  <w:pPr>
                                    <w:spacing w:after="0"/>
                                    <w:jc w:val="center"/>
                                    <w:rPr>
                                      <w:rFonts w:eastAsia="Calibri"/>
                                      <w:szCs w:val="24"/>
                                    </w:rPr>
                                  </w:pPr>
                                  <w:r w:rsidRPr="00DA5875">
                                    <w:rPr>
                                      <w:rFonts w:eastAsia="Calibri"/>
                                    </w:rPr>
                                    <w:t>Mário Biague</w:t>
                                  </w:r>
                                </w:p>
                                <w:p w:rsidR="003C548E" w:rsidRPr="00DA5875" w:rsidRDefault="003C548E" w:rsidP="008734B0">
                                  <w:pPr>
                                    <w:spacing w:after="0"/>
                                    <w:jc w:val="center"/>
                                    <w:rPr>
                                      <w:rFonts w:eastAsia="Calibri"/>
                                      <w:szCs w:val="24"/>
                                    </w:rPr>
                                  </w:pPr>
                                </w:p>
                              </w:tc>
                            </w:tr>
                            <w:tr w:rsidR="003C548E" w:rsidRPr="00665030" w:rsidTr="008734B0">
                              <w:trPr>
                                <w:trHeight w:val="454"/>
                              </w:trPr>
                              <w:tc>
                                <w:tcPr>
                                  <w:tcW w:w="4536" w:type="dxa"/>
                                  <w:tcBorders>
                                    <w:top w:val="single" w:sz="4" w:space="0" w:color="auto"/>
                                    <w:left w:val="single" w:sz="4" w:space="0" w:color="auto"/>
                                    <w:bottom w:val="single" w:sz="4" w:space="0" w:color="auto"/>
                                    <w:right w:val="single" w:sz="4" w:space="0" w:color="auto"/>
                                  </w:tcBorders>
                                  <w:shd w:val="clear" w:color="auto" w:fill="auto"/>
                                  <w:vAlign w:val="center"/>
                                </w:tcPr>
                                <w:p w:rsidR="003C548E" w:rsidRPr="00B616D5" w:rsidRDefault="003C548E" w:rsidP="008734B0">
                                  <w:pPr>
                                    <w:spacing w:after="0"/>
                                    <w:rPr>
                                      <w:rFonts w:eastAsia="Calibri"/>
                                      <w:b/>
                                      <w:szCs w:val="24"/>
                                    </w:rPr>
                                  </w:pPr>
                                  <w:r w:rsidRPr="00B616D5">
                                    <w:rPr>
                                      <w:rFonts w:eastAsia="Calibri"/>
                                      <w:b/>
                                      <w:szCs w:val="24"/>
                                    </w:rPr>
                                    <w:t xml:space="preserve">Date d’approbation du PGES par l’IDA </w:t>
                                  </w:r>
                                </w:p>
                              </w:tc>
                              <w:tc>
                                <w:tcPr>
                                  <w:tcW w:w="623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3C548E" w:rsidRPr="00DA5875" w:rsidRDefault="003C548E" w:rsidP="008734B0">
                                  <w:pPr>
                                    <w:spacing w:after="0"/>
                                    <w:jc w:val="center"/>
                                    <w:rPr>
                                      <w:rFonts w:eastAsia="Calibri"/>
                                      <w:szCs w:val="24"/>
                                    </w:rPr>
                                  </w:pPr>
                                </w:p>
                                <w:p w:rsidR="003C548E" w:rsidRPr="00DA5875" w:rsidRDefault="003C548E" w:rsidP="008734B0">
                                  <w:pPr>
                                    <w:spacing w:after="0"/>
                                    <w:jc w:val="center"/>
                                    <w:rPr>
                                      <w:rFonts w:eastAsia="Calibri"/>
                                      <w:szCs w:val="24"/>
                                    </w:rPr>
                                  </w:pPr>
                                </w:p>
                              </w:tc>
                            </w:tr>
                            <w:tr w:rsidR="003C548E" w:rsidRPr="00665030" w:rsidTr="008734B0">
                              <w:trPr>
                                <w:trHeight w:val="454"/>
                              </w:trPr>
                              <w:tc>
                                <w:tcPr>
                                  <w:tcW w:w="4536" w:type="dxa"/>
                                  <w:tcBorders>
                                    <w:top w:val="single" w:sz="4" w:space="0" w:color="auto"/>
                                    <w:left w:val="single" w:sz="4" w:space="0" w:color="auto"/>
                                    <w:bottom w:val="single" w:sz="4" w:space="0" w:color="auto"/>
                                    <w:right w:val="single" w:sz="4" w:space="0" w:color="auto"/>
                                  </w:tcBorders>
                                  <w:shd w:val="clear" w:color="auto" w:fill="auto"/>
                                  <w:vAlign w:val="center"/>
                                </w:tcPr>
                                <w:p w:rsidR="003C548E" w:rsidRPr="00B616D5" w:rsidRDefault="003C548E" w:rsidP="008734B0">
                                  <w:pPr>
                                    <w:spacing w:after="0"/>
                                    <w:rPr>
                                      <w:rFonts w:eastAsia="Calibri"/>
                                      <w:b/>
                                      <w:szCs w:val="24"/>
                                    </w:rPr>
                                  </w:pPr>
                                  <w:r w:rsidRPr="00B616D5">
                                    <w:rPr>
                                      <w:rFonts w:eastAsia="Calibri"/>
                                      <w:b/>
                                      <w:szCs w:val="24"/>
                                    </w:rPr>
                                    <w:t xml:space="preserve">Date d’approbation du PHS par l’IDA </w:t>
                                  </w:r>
                                </w:p>
                              </w:tc>
                              <w:tc>
                                <w:tcPr>
                                  <w:tcW w:w="623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3C548E" w:rsidRPr="00DA5875" w:rsidRDefault="003C548E" w:rsidP="008734B0">
                                  <w:pPr>
                                    <w:spacing w:after="0"/>
                                    <w:jc w:val="center"/>
                                    <w:rPr>
                                      <w:rFonts w:eastAsia="Calibri"/>
                                      <w:szCs w:val="24"/>
                                    </w:rPr>
                                  </w:pPr>
                                </w:p>
                                <w:p w:rsidR="003C548E" w:rsidRPr="00DA5875" w:rsidRDefault="003C548E" w:rsidP="008734B0">
                                  <w:pPr>
                                    <w:spacing w:after="0"/>
                                    <w:jc w:val="center"/>
                                    <w:rPr>
                                      <w:rFonts w:eastAsia="Calibri"/>
                                      <w:szCs w:val="24"/>
                                    </w:rPr>
                                  </w:pPr>
                                </w:p>
                              </w:tc>
                            </w:tr>
                            <w:tr w:rsidR="003C548E" w:rsidRPr="00665030" w:rsidTr="008734B0">
                              <w:trPr>
                                <w:trHeight w:val="454"/>
                              </w:trPr>
                              <w:tc>
                                <w:tcPr>
                                  <w:tcW w:w="4536" w:type="dxa"/>
                                  <w:tcBorders>
                                    <w:top w:val="single" w:sz="4" w:space="0" w:color="auto"/>
                                    <w:left w:val="single" w:sz="4" w:space="0" w:color="auto"/>
                                    <w:bottom w:val="single" w:sz="4" w:space="0" w:color="auto"/>
                                    <w:right w:val="single" w:sz="4" w:space="0" w:color="auto"/>
                                  </w:tcBorders>
                                  <w:shd w:val="clear" w:color="auto" w:fill="auto"/>
                                  <w:vAlign w:val="center"/>
                                </w:tcPr>
                                <w:p w:rsidR="003C548E" w:rsidRPr="00B616D5" w:rsidRDefault="003C548E" w:rsidP="008734B0">
                                  <w:pPr>
                                    <w:spacing w:after="0"/>
                                    <w:rPr>
                                      <w:rFonts w:eastAsia="Calibri"/>
                                      <w:b/>
                                      <w:szCs w:val="24"/>
                                    </w:rPr>
                                  </w:pPr>
                                  <w:r w:rsidRPr="00B616D5">
                                    <w:rPr>
                                      <w:rFonts w:eastAsia="Calibri"/>
                                      <w:b/>
                                      <w:szCs w:val="24"/>
                                    </w:rPr>
                                    <w:t xml:space="preserve">Date d’approbation du  PAR par l’IDA </w:t>
                                  </w:r>
                                </w:p>
                              </w:tc>
                              <w:tc>
                                <w:tcPr>
                                  <w:tcW w:w="623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3C548E" w:rsidRPr="00DA5875" w:rsidRDefault="003C548E" w:rsidP="008734B0">
                                  <w:pPr>
                                    <w:spacing w:after="0"/>
                                    <w:jc w:val="center"/>
                                    <w:rPr>
                                      <w:rFonts w:eastAsia="Calibri"/>
                                      <w:szCs w:val="24"/>
                                    </w:rPr>
                                  </w:pPr>
                                </w:p>
                                <w:p w:rsidR="003C548E" w:rsidRPr="00DA5875" w:rsidRDefault="003C548E" w:rsidP="008734B0">
                                  <w:pPr>
                                    <w:spacing w:after="0"/>
                                    <w:jc w:val="center"/>
                                    <w:rPr>
                                      <w:rFonts w:eastAsia="Calibri"/>
                                      <w:szCs w:val="24"/>
                                    </w:rPr>
                                  </w:pPr>
                                </w:p>
                              </w:tc>
                            </w:tr>
                          </w:tbl>
                          <w:p w:rsidR="003C548E" w:rsidRDefault="003C548E" w:rsidP="008734B0">
                            <w:pPr>
                              <w:shd w:val="clear" w:color="auto" w:fill="FFFFFF" w:themeFill="background1"/>
                            </w:pPr>
                          </w:p>
                          <w:p w:rsidR="003C548E" w:rsidRDefault="003C548E" w:rsidP="008734B0">
                            <w:pPr>
                              <w:shd w:val="clear" w:color="auto" w:fill="FFFFFF" w:themeFill="background1"/>
                            </w:pPr>
                          </w:p>
                          <w:p w:rsidR="003C548E" w:rsidRDefault="003C548E" w:rsidP="008734B0">
                            <w:pPr>
                              <w:shd w:val="clear" w:color="auto" w:fill="FFFFFF" w:themeFill="background1"/>
                            </w:pPr>
                          </w:p>
                          <w:p w:rsidR="003C548E" w:rsidRDefault="003C548E" w:rsidP="008734B0">
                            <w:pPr>
                              <w:shd w:val="clear" w:color="auto" w:fill="FFFFFF" w:themeFill="background1"/>
                            </w:pPr>
                          </w:p>
                          <w:p w:rsidR="003C548E" w:rsidRDefault="003C548E" w:rsidP="008734B0">
                            <w:pPr>
                              <w:shd w:val="clear" w:color="auto" w:fill="FFFFFF" w:themeFill="background1"/>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97DF63B" id="Caixa de texto 33" o:spid="_x0000_s1069" type="#_x0000_t202" style="position:absolute;margin-left:21.9pt;margin-top:12.8pt;width:554.15pt;height:374.15pt;z-index:2522844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" fillcolor="white [3201]" strokecolor="#8eaadb [1944]" strokeweight="1pt">
                <v:fill color2="#b4c6e7 [1304]" focus="100%" type="gradient"/>
                <v:shadow on="t" color="#1f3763 [1608]" opacity=".5" offset="1pt"/>
                <v:textbox>
                  <w:txbxContent>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87"/>
                        <w:gridCol w:w="6170"/>
                      </w:tblGrid>
                      <w:tr w:rsidR="003C548E" w:rsidRPr="00665030" w:rsidTr="008734B0">
                        <w:tc>
                          <w:tcPr>
                            <w:tcW w:w="4536" w:type="dxa"/>
                            <w:shd w:val="clear" w:color="auto" w:fill="auto"/>
                            <w:vAlign w:val="center"/>
                          </w:tcPr>
                          <w:p w:rsidR="003C548E" w:rsidRPr="00B616D5" w:rsidRDefault="003C548E" w:rsidP="008734B0">
                            <w:pPr>
                              <w:spacing w:after="0"/>
                              <w:rPr>
                                <w:rFonts w:eastAsia="Calibri"/>
                                <w:b/>
                                <w:szCs w:val="24"/>
                              </w:rPr>
                            </w:pPr>
                            <w:r w:rsidRPr="00B616D5">
                              <w:rPr>
                                <w:rFonts w:eastAsia="Calibri"/>
                                <w:b/>
                                <w:szCs w:val="24"/>
                              </w:rPr>
                              <w:t>Nom du sous-projet et numéro du DAO</w:t>
                            </w:r>
                            <w:r w:rsidRPr="00B616D5">
                              <w:rPr>
                                <w:rFonts w:eastAsia="Calibri"/>
                                <w:b/>
                              </w:rPr>
                              <w:t>:</w:t>
                            </w:r>
                          </w:p>
                        </w:tc>
                        <w:tc>
                          <w:tcPr>
                            <w:tcW w:w="6237" w:type="dxa"/>
                            <w:shd w:val="clear" w:color="auto" w:fill="FFFFFF" w:themeFill="background1"/>
                          </w:tcPr>
                          <w:p w:rsidR="003C548E" w:rsidRPr="00596CBC" w:rsidRDefault="003C548E" w:rsidP="008734B0">
                            <w:pPr>
                              <w:spacing w:after="0"/>
                              <w:rPr>
                                <w:b/>
                              </w:rPr>
                            </w:pPr>
                            <w:r w:rsidRPr="00596CBC">
                              <w:rPr>
                                <w:rFonts w:eastAsia="Calibri"/>
                                <w:b/>
                              </w:rPr>
                              <w:t>Sous-projet N°1 : Construction, réhabilitation, renforcement, fournitures et installations des équipements et électrification des forages d’approvisionnement d’eau potable</w:t>
                            </w:r>
                          </w:p>
                        </w:tc>
                      </w:tr>
                      <w:tr w:rsidR="003C548E" w:rsidRPr="00665030" w:rsidTr="008734B0">
                        <w:trPr>
                          <w:trHeight w:val="454"/>
                        </w:trPr>
                        <w:tc>
                          <w:tcPr>
                            <w:tcW w:w="4536" w:type="dxa"/>
                            <w:shd w:val="clear" w:color="auto" w:fill="auto"/>
                            <w:vAlign w:val="center"/>
                          </w:tcPr>
                          <w:p w:rsidR="003C548E" w:rsidRPr="00B616D5" w:rsidRDefault="003C548E" w:rsidP="008734B0">
                            <w:pPr>
                              <w:spacing w:after="0"/>
                              <w:rPr>
                                <w:rFonts w:eastAsia="Calibri"/>
                                <w:b/>
                                <w:szCs w:val="24"/>
                              </w:rPr>
                            </w:pPr>
                            <w:r w:rsidRPr="00B616D5">
                              <w:rPr>
                                <w:rFonts w:eastAsia="Calibri"/>
                                <w:b/>
                                <w:szCs w:val="24"/>
                              </w:rPr>
                              <w:t>Financement et montant du marché</w:t>
                            </w:r>
                            <w:r w:rsidRPr="00B616D5">
                              <w:rPr>
                                <w:rFonts w:eastAsia="Calibri"/>
                                <w:b/>
                              </w:rPr>
                              <w:t>:</w:t>
                            </w:r>
                          </w:p>
                        </w:tc>
                        <w:tc>
                          <w:tcPr>
                            <w:tcW w:w="6237" w:type="dxa"/>
                            <w:shd w:val="clear" w:color="auto" w:fill="FFFFFF" w:themeFill="background1"/>
                            <w:vAlign w:val="center"/>
                          </w:tcPr>
                          <w:p w:rsidR="003C548E" w:rsidRPr="00DA5875" w:rsidRDefault="003C548E" w:rsidP="008734B0">
                            <w:pPr>
                              <w:spacing w:after="0"/>
                              <w:jc w:val="center"/>
                              <w:rPr>
                                <w:szCs w:val="24"/>
                              </w:rPr>
                            </w:pPr>
                            <w:r w:rsidRPr="00DA5875">
                              <w:rPr>
                                <w:rFonts w:eastAsia="Calibri"/>
                                <w:szCs w:val="24"/>
                              </w:rPr>
                              <w:t>Banque Mondiale</w:t>
                            </w:r>
                            <w:r w:rsidRPr="00DA5875">
                              <w:rPr>
                                <w:rFonts w:eastAsia="Calibri"/>
                              </w:rPr>
                              <w:t xml:space="preserve"> (</w:t>
                            </w:r>
                            <w:r w:rsidRPr="00DA5875">
                              <w:rPr>
                                <w:rFonts w:eastAsia="Calibri"/>
                                <w:szCs w:val="24"/>
                              </w:rPr>
                              <w:t>Association Internationale de Développement (IDA)</w:t>
                            </w:r>
                          </w:p>
                        </w:tc>
                      </w:tr>
                      <w:tr w:rsidR="003C548E" w:rsidRPr="00665030" w:rsidTr="008734B0">
                        <w:trPr>
                          <w:trHeight w:val="454"/>
                        </w:trPr>
                        <w:tc>
                          <w:tcPr>
                            <w:tcW w:w="4536" w:type="dxa"/>
                            <w:shd w:val="clear" w:color="auto" w:fill="auto"/>
                            <w:vAlign w:val="center"/>
                          </w:tcPr>
                          <w:p w:rsidR="003C548E" w:rsidRPr="00B616D5" w:rsidRDefault="003C548E" w:rsidP="008734B0">
                            <w:pPr>
                              <w:spacing w:after="0"/>
                              <w:rPr>
                                <w:rFonts w:eastAsia="Calibri"/>
                                <w:b/>
                                <w:szCs w:val="24"/>
                              </w:rPr>
                            </w:pPr>
                            <w:r w:rsidRPr="00B616D5">
                              <w:rPr>
                                <w:rFonts w:eastAsia="Calibri"/>
                                <w:b/>
                                <w:szCs w:val="24"/>
                              </w:rPr>
                              <w:t>Maitre d’Ouvrage</w:t>
                            </w:r>
                            <w:r w:rsidRPr="00B616D5">
                              <w:rPr>
                                <w:rFonts w:eastAsia="Calibri"/>
                                <w:b/>
                              </w:rPr>
                              <w:t>:</w:t>
                            </w:r>
                          </w:p>
                        </w:tc>
                        <w:tc>
                          <w:tcPr>
                            <w:tcW w:w="6237" w:type="dxa"/>
                            <w:shd w:val="clear" w:color="auto" w:fill="FFFFFF" w:themeFill="background1"/>
                            <w:vAlign w:val="center"/>
                          </w:tcPr>
                          <w:p w:rsidR="003C548E" w:rsidRPr="00DA5875" w:rsidRDefault="003C548E" w:rsidP="008734B0">
                            <w:pPr>
                              <w:spacing w:after="0"/>
                              <w:jc w:val="center"/>
                              <w:rPr>
                                <w:szCs w:val="24"/>
                              </w:rPr>
                            </w:pPr>
                            <w:r w:rsidRPr="00DA5875">
                              <w:t>UI-PUASEE</w:t>
                            </w:r>
                          </w:p>
                        </w:tc>
                      </w:tr>
                      <w:tr w:rsidR="003C548E" w:rsidRPr="00665030" w:rsidTr="008734B0">
                        <w:trPr>
                          <w:trHeight w:val="454"/>
                        </w:trPr>
                        <w:tc>
                          <w:tcPr>
                            <w:tcW w:w="4536" w:type="dxa"/>
                            <w:shd w:val="clear" w:color="auto" w:fill="auto"/>
                            <w:vAlign w:val="center"/>
                          </w:tcPr>
                          <w:p w:rsidR="003C548E" w:rsidRPr="00B616D5" w:rsidRDefault="003C548E" w:rsidP="008734B0">
                            <w:pPr>
                              <w:spacing w:after="0"/>
                              <w:rPr>
                                <w:rFonts w:eastAsia="Calibri"/>
                                <w:b/>
                                <w:szCs w:val="24"/>
                              </w:rPr>
                            </w:pPr>
                            <w:r w:rsidRPr="00B616D5">
                              <w:rPr>
                                <w:rFonts w:eastAsia="Calibri"/>
                                <w:b/>
                                <w:szCs w:val="24"/>
                              </w:rPr>
                              <w:t>Maitre d’Ouvrage Délégué</w:t>
                            </w:r>
                            <w:r w:rsidRPr="00B616D5">
                              <w:rPr>
                                <w:rFonts w:eastAsia="Calibri"/>
                                <w:b/>
                              </w:rPr>
                              <w:t>:</w:t>
                            </w:r>
                          </w:p>
                        </w:tc>
                        <w:tc>
                          <w:tcPr>
                            <w:tcW w:w="6237" w:type="dxa"/>
                            <w:shd w:val="clear" w:color="auto" w:fill="FFFFFF" w:themeFill="background1"/>
                            <w:vAlign w:val="center"/>
                          </w:tcPr>
                          <w:p w:rsidR="003C548E" w:rsidRPr="00DA5875" w:rsidRDefault="003C548E" w:rsidP="008734B0">
                            <w:pPr>
                              <w:spacing w:after="0"/>
                              <w:jc w:val="center"/>
                              <w:rPr>
                                <w:szCs w:val="24"/>
                              </w:rPr>
                            </w:pPr>
                          </w:p>
                        </w:tc>
                      </w:tr>
                      <w:tr w:rsidR="003C548E" w:rsidRPr="00665030" w:rsidTr="008734B0">
                        <w:trPr>
                          <w:trHeight w:val="454"/>
                        </w:trPr>
                        <w:tc>
                          <w:tcPr>
                            <w:tcW w:w="4536" w:type="dxa"/>
                            <w:shd w:val="clear" w:color="auto" w:fill="auto"/>
                            <w:vAlign w:val="center"/>
                          </w:tcPr>
                          <w:p w:rsidR="003C548E" w:rsidRPr="00B616D5" w:rsidRDefault="003C548E" w:rsidP="008734B0">
                            <w:pPr>
                              <w:spacing w:after="0"/>
                              <w:rPr>
                                <w:rFonts w:eastAsia="Calibri"/>
                                <w:b/>
                                <w:szCs w:val="24"/>
                              </w:rPr>
                            </w:pPr>
                            <w:r w:rsidRPr="00B616D5">
                              <w:rPr>
                                <w:rFonts w:eastAsia="Calibri"/>
                                <w:b/>
                                <w:szCs w:val="24"/>
                              </w:rPr>
                              <w:t>Nom de l’Entreprise</w:t>
                            </w:r>
                            <w:r w:rsidRPr="00B616D5">
                              <w:rPr>
                                <w:rFonts w:eastAsia="Calibri"/>
                                <w:b/>
                              </w:rPr>
                              <w:t>:</w:t>
                            </w:r>
                          </w:p>
                        </w:tc>
                        <w:tc>
                          <w:tcPr>
                            <w:tcW w:w="6237" w:type="dxa"/>
                            <w:shd w:val="clear" w:color="auto" w:fill="FFFFFF" w:themeFill="background1"/>
                            <w:vAlign w:val="center"/>
                          </w:tcPr>
                          <w:p w:rsidR="003C548E" w:rsidRPr="00DA5875" w:rsidRDefault="003C548E" w:rsidP="008734B0">
                            <w:pPr>
                              <w:spacing w:after="0"/>
                              <w:jc w:val="center"/>
                              <w:rPr>
                                <w:rFonts w:eastAsia="Calibri"/>
                                <w:szCs w:val="24"/>
                              </w:rPr>
                            </w:pPr>
                          </w:p>
                        </w:tc>
                      </w:tr>
                      <w:tr w:rsidR="003C548E" w:rsidRPr="00665030" w:rsidTr="008734B0">
                        <w:trPr>
                          <w:trHeight w:val="454"/>
                        </w:trPr>
                        <w:tc>
                          <w:tcPr>
                            <w:tcW w:w="4536" w:type="dxa"/>
                            <w:shd w:val="clear" w:color="auto" w:fill="auto"/>
                            <w:vAlign w:val="center"/>
                          </w:tcPr>
                          <w:p w:rsidR="003C548E" w:rsidRPr="00B616D5" w:rsidRDefault="003C548E" w:rsidP="008734B0">
                            <w:pPr>
                              <w:spacing w:after="0"/>
                              <w:rPr>
                                <w:rFonts w:eastAsia="Calibri"/>
                                <w:b/>
                              </w:rPr>
                            </w:pPr>
                            <w:r w:rsidRPr="00B616D5">
                              <w:rPr>
                                <w:rFonts w:eastAsia="Calibri"/>
                                <w:b/>
                              </w:rPr>
                              <w:t>N</w:t>
                            </w:r>
                            <w:r w:rsidRPr="00B616D5">
                              <w:rPr>
                                <w:rFonts w:eastAsia="Calibri"/>
                                <w:b/>
                                <w:szCs w:val="24"/>
                              </w:rPr>
                              <w:t>° du Contrats des travaux</w:t>
                            </w:r>
                            <w:r w:rsidRPr="00B616D5">
                              <w:rPr>
                                <w:rFonts w:eastAsia="Calibri"/>
                                <w:b/>
                              </w:rPr>
                              <w:t>:</w:t>
                            </w:r>
                          </w:p>
                        </w:tc>
                        <w:tc>
                          <w:tcPr>
                            <w:tcW w:w="6237" w:type="dxa"/>
                            <w:shd w:val="clear" w:color="auto" w:fill="FFFFFF" w:themeFill="background1"/>
                            <w:vAlign w:val="center"/>
                          </w:tcPr>
                          <w:p w:rsidR="003C548E" w:rsidRPr="00DA5875" w:rsidRDefault="003C548E" w:rsidP="008734B0">
                            <w:pPr>
                              <w:spacing w:after="0"/>
                              <w:jc w:val="center"/>
                              <w:rPr>
                                <w:rFonts w:eastAsia="Calibri"/>
                              </w:rPr>
                            </w:pPr>
                          </w:p>
                        </w:tc>
                      </w:tr>
                      <w:tr w:rsidR="003C548E" w:rsidRPr="00665030" w:rsidTr="008734B0">
                        <w:trPr>
                          <w:trHeight w:val="454"/>
                        </w:trPr>
                        <w:tc>
                          <w:tcPr>
                            <w:tcW w:w="4536" w:type="dxa"/>
                            <w:shd w:val="clear" w:color="auto" w:fill="auto"/>
                            <w:vAlign w:val="center"/>
                          </w:tcPr>
                          <w:p w:rsidR="003C548E" w:rsidRPr="00B616D5" w:rsidRDefault="003C548E" w:rsidP="008734B0">
                            <w:pPr>
                              <w:spacing w:after="0"/>
                              <w:rPr>
                                <w:rFonts w:eastAsia="Calibri"/>
                                <w:b/>
                                <w:szCs w:val="24"/>
                              </w:rPr>
                            </w:pPr>
                            <w:r w:rsidRPr="00B616D5">
                              <w:rPr>
                                <w:rFonts w:eastAsia="Calibri"/>
                                <w:b/>
                                <w:szCs w:val="24"/>
                              </w:rPr>
                              <w:t>Maitre d’œuvre</w:t>
                            </w:r>
                            <w:r w:rsidRPr="00B616D5">
                              <w:rPr>
                                <w:rFonts w:eastAsia="Calibri"/>
                                <w:b/>
                              </w:rPr>
                              <w:t>:</w:t>
                            </w:r>
                          </w:p>
                        </w:tc>
                        <w:tc>
                          <w:tcPr>
                            <w:tcW w:w="6237" w:type="dxa"/>
                            <w:shd w:val="clear" w:color="auto" w:fill="FFFFFF" w:themeFill="background1"/>
                            <w:vAlign w:val="center"/>
                          </w:tcPr>
                          <w:p w:rsidR="003C548E" w:rsidRPr="00DA5875" w:rsidRDefault="003C548E" w:rsidP="008734B0">
                            <w:pPr>
                              <w:spacing w:after="0"/>
                              <w:jc w:val="center"/>
                              <w:rPr>
                                <w:szCs w:val="24"/>
                              </w:rPr>
                            </w:pPr>
                            <w:r w:rsidRPr="00DA5875">
                              <w:t>Entreprise d’Electricité et Eau de la Guinée-Bissau (EAGB)</w:t>
                            </w:r>
                          </w:p>
                        </w:tc>
                      </w:tr>
                      <w:tr w:rsidR="003C548E" w:rsidRPr="00665030" w:rsidTr="008734B0">
                        <w:trPr>
                          <w:trHeight w:val="454"/>
                        </w:trPr>
                        <w:tc>
                          <w:tcPr>
                            <w:tcW w:w="4536" w:type="dxa"/>
                            <w:shd w:val="clear" w:color="auto" w:fill="auto"/>
                            <w:vAlign w:val="center"/>
                          </w:tcPr>
                          <w:p w:rsidR="003C548E" w:rsidRPr="00B616D5" w:rsidRDefault="003C548E" w:rsidP="008734B0">
                            <w:pPr>
                              <w:spacing w:after="0"/>
                              <w:rPr>
                                <w:rFonts w:eastAsia="Calibri"/>
                                <w:b/>
                                <w:szCs w:val="24"/>
                              </w:rPr>
                            </w:pPr>
                            <w:r w:rsidRPr="00B616D5">
                              <w:rPr>
                                <w:rFonts w:eastAsia="Calibri"/>
                                <w:b/>
                                <w:szCs w:val="24"/>
                              </w:rPr>
                              <w:t>Date du début</w:t>
                            </w:r>
                          </w:p>
                        </w:tc>
                        <w:tc>
                          <w:tcPr>
                            <w:tcW w:w="6237" w:type="dxa"/>
                            <w:shd w:val="clear" w:color="auto" w:fill="FFFFFF" w:themeFill="background1"/>
                            <w:vAlign w:val="center"/>
                          </w:tcPr>
                          <w:p w:rsidR="003C548E" w:rsidRPr="00DA5875" w:rsidRDefault="003C548E" w:rsidP="008734B0">
                            <w:pPr>
                              <w:spacing w:after="0"/>
                              <w:jc w:val="center"/>
                              <w:rPr>
                                <w:rFonts w:eastAsia="Calibri"/>
                                <w:szCs w:val="24"/>
                              </w:rPr>
                            </w:pPr>
                          </w:p>
                          <w:p w:rsidR="003C548E" w:rsidRPr="00DA5875" w:rsidRDefault="003C548E" w:rsidP="008734B0">
                            <w:pPr>
                              <w:spacing w:after="0"/>
                              <w:jc w:val="center"/>
                              <w:rPr>
                                <w:rFonts w:eastAsia="Calibri"/>
                                <w:szCs w:val="24"/>
                              </w:rPr>
                            </w:pPr>
                          </w:p>
                        </w:tc>
                      </w:tr>
                      <w:tr w:rsidR="003C548E" w:rsidRPr="00665030" w:rsidTr="008734B0">
                        <w:trPr>
                          <w:trHeight w:val="454"/>
                        </w:trPr>
                        <w:tc>
                          <w:tcPr>
                            <w:tcW w:w="4536" w:type="dxa"/>
                            <w:shd w:val="clear" w:color="auto" w:fill="auto"/>
                            <w:vAlign w:val="center"/>
                          </w:tcPr>
                          <w:p w:rsidR="003C548E" w:rsidRPr="00B616D5" w:rsidRDefault="003C548E" w:rsidP="008734B0">
                            <w:pPr>
                              <w:spacing w:after="0"/>
                              <w:rPr>
                                <w:rFonts w:eastAsia="Calibri"/>
                                <w:b/>
                                <w:szCs w:val="24"/>
                              </w:rPr>
                            </w:pPr>
                            <w:r w:rsidRPr="00B616D5">
                              <w:rPr>
                                <w:rFonts w:eastAsia="Calibri"/>
                                <w:b/>
                                <w:szCs w:val="24"/>
                              </w:rPr>
                              <w:t>Délai des travaux (achèvement)</w:t>
                            </w:r>
                          </w:p>
                        </w:tc>
                        <w:tc>
                          <w:tcPr>
                            <w:tcW w:w="6237" w:type="dxa"/>
                            <w:shd w:val="clear" w:color="auto" w:fill="FFFFFF" w:themeFill="background1"/>
                            <w:vAlign w:val="center"/>
                          </w:tcPr>
                          <w:p w:rsidR="003C548E" w:rsidRPr="00DA5875" w:rsidRDefault="003C548E" w:rsidP="008734B0">
                            <w:pPr>
                              <w:spacing w:after="0"/>
                              <w:jc w:val="center"/>
                              <w:rPr>
                                <w:rFonts w:eastAsia="Calibri"/>
                                <w:szCs w:val="24"/>
                              </w:rPr>
                            </w:pPr>
                          </w:p>
                          <w:p w:rsidR="003C548E" w:rsidRPr="00DA5875" w:rsidRDefault="003C548E" w:rsidP="008734B0">
                            <w:pPr>
                              <w:spacing w:after="0"/>
                              <w:jc w:val="center"/>
                              <w:rPr>
                                <w:rFonts w:eastAsia="Calibri"/>
                                <w:szCs w:val="24"/>
                              </w:rPr>
                            </w:pPr>
                          </w:p>
                        </w:tc>
                      </w:tr>
                      <w:tr w:rsidR="003C548E" w:rsidRPr="00665030" w:rsidTr="008734B0">
                        <w:trPr>
                          <w:trHeight w:val="454"/>
                        </w:trPr>
                        <w:tc>
                          <w:tcPr>
                            <w:tcW w:w="4536" w:type="dxa"/>
                            <w:tcBorders>
                              <w:top w:val="single" w:sz="4" w:space="0" w:color="auto"/>
                              <w:left w:val="single" w:sz="4" w:space="0" w:color="auto"/>
                              <w:bottom w:val="single" w:sz="4" w:space="0" w:color="auto"/>
                              <w:right w:val="single" w:sz="4" w:space="0" w:color="auto"/>
                            </w:tcBorders>
                            <w:shd w:val="clear" w:color="auto" w:fill="auto"/>
                            <w:vAlign w:val="center"/>
                          </w:tcPr>
                          <w:p w:rsidR="003C548E" w:rsidRPr="00B616D5" w:rsidRDefault="003C548E" w:rsidP="008734B0">
                            <w:pPr>
                              <w:spacing w:after="0"/>
                              <w:rPr>
                                <w:rFonts w:eastAsia="Calibri"/>
                                <w:b/>
                                <w:szCs w:val="24"/>
                              </w:rPr>
                            </w:pPr>
                            <w:r w:rsidRPr="00B616D5">
                              <w:rPr>
                                <w:rFonts w:eastAsia="Calibri"/>
                                <w:b/>
                                <w:szCs w:val="24"/>
                              </w:rPr>
                              <w:t>Responsable des sauvegardes</w:t>
                            </w:r>
                          </w:p>
                        </w:tc>
                        <w:tc>
                          <w:tcPr>
                            <w:tcW w:w="623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3C548E" w:rsidRPr="00DA5875" w:rsidRDefault="003C548E" w:rsidP="008734B0">
                            <w:pPr>
                              <w:spacing w:after="0"/>
                              <w:jc w:val="center"/>
                              <w:rPr>
                                <w:rFonts w:eastAsia="Calibri"/>
                                <w:szCs w:val="24"/>
                              </w:rPr>
                            </w:pPr>
                            <w:r w:rsidRPr="00DA5875">
                              <w:rPr>
                                <w:rFonts w:eastAsia="Calibri"/>
                              </w:rPr>
                              <w:t>Mário Biague</w:t>
                            </w:r>
                          </w:p>
                          <w:p w:rsidR="003C548E" w:rsidRPr="00DA5875" w:rsidRDefault="003C548E" w:rsidP="008734B0">
                            <w:pPr>
                              <w:spacing w:after="0"/>
                              <w:jc w:val="center"/>
                              <w:rPr>
                                <w:rFonts w:eastAsia="Calibri"/>
                                <w:szCs w:val="24"/>
                              </w:rPr>
                            </w:pPr>
                          </w:p>
                        </w:tc>
                      </w:tr>
                      <w:tr w:rsidR="003C548E" w:rsidRPr="00665030" w:rsidTr="008734B0">
                        <w:trPr>
                          <w:trHeight w:val="454"/>
                        </w:trPr>
                        <w:tc>
                          <w:tcPr>
                            <w:tcW w:w="4536" w:type="dxa"/>
                            <w:tcBorders>
                              <w:top w:val="single" w:sz="4" w:space="0" w:color="auto"/>
                              <w:left w:val="single" w:sz="4" w:space="0" w:color="auto"/>
                              <w:bottom w:val="single" w:sz="4" w:space="0" w:color="auto"/>
                              <w:right w:val="single" w:sz="4" w:space="0" w:color="auto"/>
                            </w:tcBorders>
                            <w:shd w:val="clear" w:color="auto" w:fill="auto"/>
                            <w:vAlign w:val="center"/>
                          </w:tcPr>
                          <w:p w:rsidR="003C548E" w:rsidRPr="00B616D5" w:rsidRDefault="003C548E" w:rsidP="008734B0">
                            <w:pPr>
                              <w:spacing w:after="0"/>
                              <w:rPr>
                                <w:rFonts w:eastAsia="Calibri"/>
                                <w:b/>
                                <w:szCs w:val="24"/>
                              </w:rPr>
                            </w:pPr>
                            <w:r w:rsidRPr="00B616D5">
                              <w:rPr>
                                <w:rFonts w:eastAsia="Calibri"/>
                                <w:b/>
                                <w:szCs w:val="24"/>
                              </w:rPr>
                              <w:t xml:space="preserve">Date d’approbation du PGES par l’IDA </w:t>
                            </w:r>
                          </w:p>
                        </w:tc>
                        <w:tc>
                          <w:tcPr>
                            <w:tcW w:w="623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3C548E" w:rsidRPr="00DA5875" w:rsidRDefault="003C548E" w:rsidP="008734B0">
                            <w:pPr>
                              <w:spacing w:after="0"/>
                              <w:jc w:val="center"/>
                              <w:rPr>
                                <w:rFonts w:eastAsia="Calibri"/>
                                <w:szCs w:val="24"/>
                              </w:rPr>
                            </w:pPr>
                          </w:p>
                          <w:p w:rsidR="003C548E" w:rsidRPr="00DA5875" w:rsidRDefault="003C548E" w:rsidP="008734B0">
                            <w:pPr>
                              <w:spacing w:after="0"/>
                              <w:jc w:val="center"/>
                              <w:rPr>
                                <w:rFonts w:eastAsia="Calibri"/>
                                <w:szCs w:val="24"/>
                              </w:rPr>
                            </w:pPr>
                          </w:p>
                        </w:tc>
                      </w:tr>
                      <w:tr w:rsidR="003C548E" w:rsidRPr="00665030" w:rsidTr="008734B0">
                        <w:trPr>
                          <w:trHeight w:val="454"/>
                        </w:trPr>
                        <w:tc>
                          <w:tcPr>
                            <w:tcW w:w="4536" w:type="dxa"/>
                            <w:tcBorders>
                              <w:top w:val="single" w:sz="4" w:space="0" w:color="auto"/>
                              <w:left w:val="single" w:sz="4" w:space="0" w:color="auto"/>
                              <w:bottom w:val="single" w:sz="4" w:space="0" w:color="auto"/>
                              <w:right w:val="single" w:sz="4" w:space="0" w:color="auto"/>
                            </w:tcBorders>
                            <w:shd w:val="clear" w:color="auto" w:fill="auto"/>
                            <w:vAlign w:val="center"/>
                          </w:tcPr>
                          <w:p w:rsidR="003C548E" w:rsidRPr="00B616D5" w:rsidRDefault="003C548E" w:rsidP="008734B0">
                            <w:pPr>
                              <w:spacing w:after="0"/>
                              <w:rPr>
                                <w:rFonts w:eastAsia="Calibri"/>
                                <w:b/>
                                <w:szCs w:val="24"/>
                              </w:rPr>
                            </w:pPr>
                            <w:r w:rsidRPr="00B616D5">
                              <w:rPr>
                                <w:rFonts w:eastAsia="Calibri"/>
                                <w:b/>
                                <w:szCs w:val="24"/>
                              </w:rPr>
                              <w:t xml:space="preserve">Date d’approbation du PHS par l’IDA </w:t>
                            </w:r>
                          </w:p>
                        </w:tc>
                        <w:tc>
                          <w:tcPr>
                            <w:tcW w:w="623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3C548E" w:rsidRPr="00DA5875" w:rsidRDefault="003C548E" w:rsidP="008734B0">
                            <w:pPr>
                              <w:spacing w:after="0"/>
                              <w:jc w:val="center"/>
                              <w:rPr>
                                <w:rFonts w:eastAsia="Calibri"/>
                                <w:szCs w:val="24"/>
                              </w:rPr>
                            </w:pPr>
                          </w:p>
                          <w:p w:rsidR="003C548E" w:rsidRPr="00DA5875" w:rsidRDefault="003C548E" w:rsidP="008734B0">
                            <w:pPr>
                              <w:spacing w:after="0"/>
                              <w:jc w:val="center"/>
                              <w:rPr>
                                <w:rFonts w:eastAsia="Calibri"/>
                                <w:szCs w:val="24"/>
                              </w:rPr>
                            </w:pPr>
                          </w:p>
                        </w:tc>
                      </w:tr>
                      <w:tr w:rsidR="003C548E" w:rsidRPr="00665030" w:rsidTr="008734B0">
                        <w:trPr>
                          <w:trHeight w:val="454"/>
                        </w:trPr>
                        <w:tc>
                          <w:tcPr>
                            <w:tcW w:w="4536" w:type="dxa"/>
                            <w:tcBorders>
                              <w:top w:val="single" w:sz="4" w:space="0" w:color="auto"/>
                              <w:left w:val="single" w:sz="4" w:space="0" w:color="auto"/>
                              <w:bottom w:val="single" w:sz="4" w:space="0" w:color="auto"/>
                              <w:right w:val="single" w:sz="4" w:space="0" w:color="auto"/>
                            </w:tcBorders>
                            <w:shd w:val="clear" w:color="auto" w:fill="auto"/>
                            <w:vAlign w:val="center"/>
                          </w:tcPr>
                          <w:p w:rsidR="003C548E" w:rsidRPr="00B616D5" w:rsidRDefault="003C548E" w:rsidP="008734B0">
                            <w:pPr>
                              <w:spacing w:after="0"/>
                              <w:rPr>
                                <w:rFonts w:eastAsia="Calibri"/>
                                <w:b/>
                                <w:szCs w:val="24"/>
                              </w:rPr>
                            </w:pPr>
                            <w:r w:rsidRPr="00B616D5">
                              <w:rPr>
                                <w:rFonts w:eastAsia="Calibri"/>
                                <w:b/>
                                <w:szCs w:val="24"/>
                              </w:rPr>
                              <w:t xml:space="preserve">Date d’approbation du  PAR par l’IDA </w:t>
                            </w:r>
                          </w:p>
                        </w:tc>
                        <w:tc>
                          <w:tcPr>
                            <w:tcW w:w="623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3C548E" w:rsidRPr="00DA5875" w:rsidRDefault="003C548E" w:rsidP="008734B0">
                            <w:pPr>
                              <w:spacing w:after="0"/>
                              <w:jc w:val="center"/>
                              <w:rPr>
                                <w:rFonts w:eastAsia="Calibri"/>
                                <w:szCs w:val="24"/>
                              </w:rPr>
                            </w:pPr>
                          </w:p>
                          <w:p w:rsidR="003C548E" w:rsidRPr="00DA5875" w:rsidRDefault="003C548E" w:rsidP="008734B0">
                            <w:pPr>
                              <w:spacing w:after="0"/>
                              <w:jc w:val="center"/>
                              <w:rPr>
                                <w:rFonts w:eastAsia="Calibri"/>
                                <w:szCs w:val="24"/>
                              </w:rPr>
                            </w:pPr>
                          </w:p>
                        </w:tc>
                      </w:tr>
                    </w:tbl>
                    <w:p w:rsidR="003C548E" w:rsidRDefault="003C548E" w:rsidP="008734B0">
                      <w:pPr>
                        <w:shd w:val="clear" w:color="auto" w:fill="FFFFFF" w:themeFill="background1"/>
                      </w:pPr>
                    </w:p>
                    <w:p w:rsidR="003C548E" w:rsidRDefault="003C548E" w:rsidP="008734B0">
                      <w:pPr>
                        <w:shd w:val="clear" w:color="auto" w:fill="FFFFFF" w:themeFill="background1"/>
                      </w:pPr>
                    </w:p>
                    <w:p w:rsidR="003C548E" w:rsidRDefault="003C548E" w:rsidP="008734B0">
                      <w:pPr>
                        <w:shd w:val="clear" w:color="auto" w:fill="FFFFFF" w:themeFill="background1"/>
                      </w:pPr>
                    </w:p>
                    <w:p w:rsidR="003C548E" w:rsidRDefault="003C548E" w:rsidP="008734B0">
                      <w:pPr>
                        <w:shd w:val="clear" w:color="auto" w:fill="FFFFFF" w:themeFill="background1"/>
                      </w:pPr>
                    </w:p>
                    <w:p w:rsidR="003C548E" w:rsidRDefault="003C548E" w:rsidP="008734B0">
                      <w:pPr>
                        <w:shd w:val="clear" w:color="auto" w:fill="FFFFFF" w:themeFill="background1"/>
                      </w:pPr>
                    </w:p>
                  </w:txbxContent>
                </v:textbox>
                <w10:wrap anchorx="page"/>
              </v:shape>
            </w:pict>
          </mc:Fallback>
        </mc:AlternateContent>
      </w:r>
    </w:p>
    <w:p w:rsidR="00EC1CE9" w:rsidRDefault="00EC1CE9" w:rsidP="00895AC4">
      <w:pPr>
        <w:rPr>
          <w:lang w:val="fr-BE"/>
        </w:rPr>
      </w:pPr>
    </w:p>
    <w:p w:rsidR="00EC1CE9" w:rsidRDefault="00EC1CE9" w:rsidP="00895AC4">
      <w:pPr>
        <w:rPr>
          <w:lang w:val="fr-BE"/>
        </w:rPr>
      </w:pPr>
    </w:p>
    <w:p w:rsidR="00EC1CE9" w:rsidRDefault="00EC1CE9" w:rsidP="00895AC4">
      <w:pPr>
        <w:rPr>
          <w:lang w:val="fr-BE"/>
        </w:rPr>
      </w:pPr>
    </w:p>
    <w:p w:rsidR="00EC1CE9" w:rsidRDefault="00EC1CE9" w:rsidP="00895AC4">
      <w:pPr>
        <w:rPr>
          <w:lang w:val="fr-BE"/>
        </w:rPr>
      </w:pPr>
    </w:p>
    <w:p w:rsidR="00EC1CE9" w:rsidRDefault="00EC1CE9" w:rsidP="00895AC4">
      <w:pPr>
        <w:rPr>
          <w:lang w:val="fr-BE"/>
        </w:rPr>
      </w:pPr>
    </w:p>
    <w:p w:rsidR="00EC1CE9" w:rsidRDefault="00EC1CE9" w:rsidP="00895AC4">
      <w:pPr>
        <w:rPr>
          <w:lang w:val="fr-BE"/>
        </w:rPr>
      </w:pPr>
    </w:p>
    <w:p w:rsidR="00EC1CE9" w:rsidRDefault="00EC1CE9" w:rsidP="00895AC4">
      <w:pPr>
        <w:rPr>
          <w:lang w:val="fr-BE"/>
        </w:rPr>
      </w:pPr>
    </w:p>
    <w:p w:rsidR="00EC1CE9" w:rsidRDefault="00EC1CE9" w:rsidP="00895AC4">
      <w:pPr>
        <w:rPr>
          <w:lang w:val="fr-BE"/>
        </w:rPr>
      </w:pPr>
    </w:p>
    <w:p w:rsidR="00EC1CE9" w:rsidRDefault="00EC1CE9" w:rsidP="00895AC4">
      <w:pPr>
        <w:rPr>
          <w:lang w:val="fr-BE"/>
        </w:rPr>
      </w:pPr>
    </w:p>
    <w:p w:rsidR="00EC1CE9" w:rsidRDefault="00EC1CE9" w:rsidP="00895AC4">
      <w:pPr>
        <w:rPr>
          <w:lang w:val="fr-BE"/>
        </w:rPr>
      </w:pPr>
    </w:p>
    <w:p w:rsidR="00EC1CE9" w:rsidRDefault="00EC1CE9" w:rsidP="00895AC4">
      <w:pPr>
        <w:rPr>
          <w:lang w:val="fr-BE"/>
        </w:rPr>
      </w:pPr>
    </w:p>
    <w:p w:rsidR="00EC1CE9" w:rsidRDefault="00EC1CE9" w:rsidP="00895AC4">
      <w:pPr>
        <w:rPr>
          <w:lang w:val="fr-BE"/>
        </w:rPr>
      </w:pPr>
    </w:p>
    <w:p w:rsidR="00EC1CE9" w:rsidRDefault="00EC1CE9" w:rsidP="00895AC4">
      <w:pPr>
        <w:rPr>
          <w:lang w:val="fr-BE"/>
        </w:rPr>
      </w:pPr>
    </w:p>
    <w:p w:rsidR="00EC1CE9" w:rsidRDefault="00EC1CE9" w:rsidP="00895AC4">
      <w:pPr>
        <w:rPr>
          <w:lang w:val="fr-BE"/>
        </w:rPr>
      </w:pPr>
    </w:p>
    <w:p w:rsidR="00EC1CE9" w:rsidRDefault="00EC1CE9" w:rsidP="00895AC4">
      <w:pPr>
        <w:rPr>
          <w:lang w:val="fr-BE"/>
        </w:rPr>
      </w:pPr>
    </w:p>
    <w:p w:rsidR="00EC1CE9" w:rsidRDefault="00EC1CE9" w:rsidP="00895AC4">
      <w:pPr>
        <w:rPr>
          <w:lang w:val="fr-BE"/>
        </w:rPr>
      </w:pPr>
    </w:p>
    <w:p w:rsidR="00181BAB" w:rsidRPr="007D333A" w:rsidRDefault="00181BAB" w:rsidP="00895AC4">
      <w:pPr>
        <w:rPr>
          <w:lang w:val="fr-BE"/>
        </w:rPr>
      </w:pPr>
    </w:p>
    <w:p w:rsidR="000B53EE" w:rsidRPr="000B53EE" w:rsidRDefault="000B53EE" w:rsidP="00FA3FAE">
      <w:pPr>
        <w:pStyle w:val="Style9"/>
        <w:keepLines w:val="0"/>
        <w:numPr>
          <w:ilvl w:val="0"/>
          <w:numId w:val="211"/>
        </w:numPr>
        <w:spacing w:after="60" w:line="276" w:lineRule="auto"/>
        <w:jc w:val="both"/>
        <w:rPr>
          <w:rFonts w:ascii="Times New Roman" w:hAnsi="Times New Roman"/>
          <w:sz w:val="28"/>
          <w:szCs w:val="28"/>
          <w:lang w:val="fr-FR"/>
        </w:rPr>
      </w:pPr>
      <w:bookmarkStart w:id="930" w:name="_Toc462908631"/>
      <w:bookmarkStart w:id="931" w:name="_Toc32340794"/>
      <w:bookmarkStart w:id="932" w:name="_Toc32511689"/>
      <w:bookmarkStart w:id="933" w:name="_Toc51072671"/>
      <w:r w:rsidRPr="000B53EE">
        <w:rPr>
          <w:rFonts w:ascii="Times New Roman" w:hAnsi="Times New Roman"/>
          <w:sz w:val="28"/>
          <w:szCs w:val="28"/>
          <w:lang w:val="fr-FR"/>
        </w:rPr>
        <w:t xml:space="preserve">DISPOSITIONS PREALABLES </w:t>
      </w:r>
      <w:bookmarkEnd w:id="930"/>
      <w:r w:rsidRPr="000B53EE">
        <w:rPr>
          <w:rFonts w:ascii="Times New Roman" w:hAnsi="Times New Roman"/>
          <w:sz w:val="28"/>
          <w:szCs w:val="28"/>
          <w:lang w:val="fr-FR"/>
        </w:rPr>
        <w:t>POUR LA GESTION ENVIRONNEMENTALE ET SOCIALE</w:t>
      </w:r>
      <w:bookmarkEnd w:id="931"/>
      <w:bookmarkEnd w:id="932"/>
      <w:bookmarkEnd w:id="933"/>
    </w:p>
    <w:p w:rsidR="000B53EE" w:rsidRPr="001E2895" w:rsidRDefault="000B53EE" w:rsidP="00FA3FAE">
      <w:pPr>
        <w:pStyle w:val="SolbaseNormal"/>
        <w:numPr>
          <w:ilvl w:val="0"/>
          <w:numId w:val="204"/>
        </w:numPr>
        <w:spacing w:before="120" w:line="276" w:lineRule="auto"/>
        <w:outlineLvl w:val="1"/>
        <w:rPr>
          <w:rFonts w:ascii="Times New Roman" w:hAnsi="Times New Roman"/>
          <w:b/>
          <w:bCs/>
          <w:sz w:val="28"/>
          <w:szCs w:val="28"/>
        </w:rPr>
      </w:pPr>
      <w:bookmarkStart w:id="934" w:name="_Toc32340795"/>
      <w:bookmarkStart w:id="935" w:name="_Toc32511690"/>
      <w:bookmarkStart w:id="936" w:name="_Toc51072672"/>
      <w:r w:rsidRPr="001E2895">
        <w:rPr>
          <w:rFonts w:ascii="Times New Roman" w:hAnsi="Times New Roman"/>
          <w:b/>
          <w:bCs/>
          <w:sz w:val="28"/>
          <w:szCs w:val="28"/>
        </w:rPr>
        <w:t>Généralités</w:t>
      </w:r>
      <w:bookmarkEnd w:id="934"/>
      <w:bookmarkEnd w:id="935"/>
      <w:bookmarkEnd w:id="936"/>
      <w:r w:rsidRPr="001E2895">
        <w:rPr>
          <w:rFonts w:ascii="Times New Roman" w:hAnsi="Times New Roman"/>
          <w:b/>
          <w:bCs/>
          <w:sz w:val="28"/>
          <w:szCs w:val="28"/>
        </w:rPr>
        <w:t xml:space="preserve"> </w:t>
      </w:r>
    </w:p>
    <w:p w:rsidR="000B53EE" w:rsidRPr="000B53EE" w:rsidRDefault="000B53EE" w:rsidP="000B53EE">
      <w:pPr>
        <w:spacing w:after="0" w:line="276" w:lineRule="auto"/>
        <w:jc w:val="both"/>
        <w:rPr>
          <w:rFonts w:ascii="Times New Roman" w:hAnsi="Times New Roman" w:cs="Times New Roman"/>
        </w:rPr>
      </w:pPr>
      <w:r w:rsidRPr="000B53EE">
        <w:rPr>
          <w:rFonts w:ascii="Times New Roman" w:hAnsi="Times New Roman" w:cs="Times New Roman"/>
        </w:rPr>
        <w:t>L’application de toutes les mesures environnementales et sociales qui seront retenues dans ce DAO doit être systématique pour le respect total des principes de préservation et de protection de l’environnement. Il est souvent difficile pour le Maître d’œuvre de faire respecter à l’entreprise ses engagements contractuels de protection de l’environnement et du social dans le cadre du sous-projet N°1 (</w:t>
      </w:r>
      <w:r w:rsidRPr="000B53EE">
        <w:rPr>
          <w:rFonts w:ascii="Times New Roman" w:eastAsia="Calibri" w:hAnsi="Times New Roman" w:cs="Times New Roman"/>
        </w:rPr>
        <w:t>Construction, réhabilitation, renforcement, fournitures et installations des équipements et électrification des forages d’approvisionnement d’eau potable)</w:t>
      </w:r>
      <w:r w:rsidRPr="000B53EE">
        <w:rPr>
          <w:rFonts w:ascii="Times New Roman" w:hAnsi="Times New Roman" w:cs="Times New Roman"/>
        </w:rPr>
        <w:t xml:space="preserve">. </w:t>
      </w:r>
    </w:p>
    <w:p w:rsidR="000B53EE" w:rsidRPr="000B53EE" w:rsidRDefault="000B53EE" w:rsidP="000B53EE">
      <w:pPr>
        <w:spacing w:after="0" w:line="276" w:lineRule="auto"/>
        <w:jc w:val="both"/>
        <w:rPr>
          <w:rFonts w:ascii="Times New Roman" w:hAnsi="Times New Roman" w:cs="Times New Roman"/>
        </w:rPr>
      </w:pPr>
      <w:r w:rsidRPr="000B53EE">
        <w:rPr>
          <w:rFonts w:ascii="Times New Roman" w:hAnsi="Times New Roman" w:cs="Times New Roman"/>
        </w:rPr>
        <w:t xml:space="preserve">C’est pourquoi, le PUASEE-FA devra être doté de moyens de pression efficaces pour contraindre l’entreprise à respecter ses engagements contractuels. </w:t>
      </w:r>
    </w:p>
    <w:p w:rsidR="000B53EE" w:rsidRPr="000B53EE" w:rsidRDefault="000B53EE" w:rsidP="000B53EE">
      <w:pPr>
        <w:spacing w:after="0" w:line="276" w:lineRule="auto"/>
        <w:jc w:val="both"/>
        <w:rPr>
          <w:rFonts w:ascii="Times New Roman" w:hAnsi="Times New Roman" w:cs="Times New Roman"/>
        </w:rPr>
      </w:pPr>
      <w:r w:rsidRPr="000B53EE">
        <w:rPr>
          <w:rFonts w:ascii="Times New Roman" w:hAnsi="Times New Roman" w:cs="Times New Roman"/>
        </w:rPr>
        <w:t xml:space="preserve">Dans un délai de 60 jours à compter de la notification de l’attribution du marché, l’Entreprise devra établir et soumettre à l’approbation du PUASEE-FA, conformément aux présentes prescriptions, un Plan de Gestion Environnementale et Social (PGES) de chantier, de manière à démontrer son niveau de perception des enjeux environnementaux et sociaux. </w:t>
      </w:r>
    </w:p>
    <w:p w:rsidR="000B53EE" w:rsidRPr="000B53EE" w:rsidRDefault="000B53EE" w:rsidP="000B53EE">
      <w:pPr>
        <w:spacing w:after="0" w:line="276" w:lineRule="auto"/>
        <w:jc w:val="both"/>
        <w:rPr>
          <w:rFonts w:ascii="Times New Roman" w:hAnsi="Times New Roman" w:cs="Times New Roman"/>
        </w:rPr>
      </w:pPr>
      <w:r w:rsidRPr="000B53EE">
        <w:rPr>
          <w:rFonts w:ascii="Times New Roman" w:hAnsi="Times New Roman" w:cs="Times New Roman"/>
        </w:rPr>
        <w:lastRenderedPageBreak/>
        <w:t>Ce PGES devra être basé sur le rapport d’Etude d’Impact environnemental et Social (EIES) déjà effectuée pour ce sous-projet n°1 et que l’entreprise pourra se procurer auprès du PUASEE-FA.</w:t>
      </w:r>
    </w:p>
    <w:p w:rsidR="000B53EE" w:rsidRPr="000B53EE" w:rsidRDefault="000B53EE" w:rsidP="000B53EE">
      <w:pPr>
        <w:spacing w:after="0" w:line="276" w:lineRule="auto"/>
        <w:jc w:val="both"/>
        <w:rPr>
          <w:rFonts w:ascii="Times New Roman" w:hAnsi="Times New Roman" w:cs="Times New Roman"/>
        </w:rPr>
      </w:pPr>
      <w:r w:rsidRPr="000B53EE">
        <w:rPr>
          <w:rFonts w:ascii="Times New Roman" w:hAnsi="Times New Roman" w:cs="Times New Roman"/>
        </w:rPr>
        <w:t>Pour cela, l’environnementaliste de la Mission de contrôle, s’il existe, ou la personne qui effectue ce travail à sa place, devra établir un tableau de suivi de l’application des mesures contractuelles de protection de l’environnement. Ce tableau de bord de suivi, devra reprendre tous les aspects sectoriels de l’environnement et du chantier.</w:t>
      </w:r>
    </w:p>
    <w:p w:rsidR="000B53EE" w:rsidRPr="000B53EE" w:rsidRDefault="000B53EE" w:rsidP="000B53EE">
      <w:pPr>
        <w:spacing w:after="0" w:line="276" w:lineRule="auto"/>
        <w:jc w:val="both"/>
        <w:rPr>
          <w:rFonts w:ascii="Times New Roman" w:hAnsi="Times New Roman" w:cs="Times New Roman"/>
        </w:rPr>
      </w:pPr>
      <w:r w:rsidRPr="000B53EE">
        <w:rPr>
          <w:rFonts w:ascii="Times New Roman" w:hAnsi="Times New Roman" w:cs="Times New Roman"/>
        </w:rPr>
        <w:t>Ceci sera corrélé avec le niveau d’application des mesures environnementale et sociale par l’entreprise. Ce niveau variera sur une échelle de 0 à 5 (0 si l’entreprise ne respecte aucun de ses engagements environnementaux contractuels et 5 si l’entreprise se conforme rigoureusement aux recommandations du Maître d’ouvrage). Si la note est 0, la mission de contrôle aura le droit de retenir 10% sur le prochain décompte de l’entreprise qui lui sera soumis. Si la note est 5, la Mission de contrôle ne retiendra rien sur le décompte.</w:t>
      </w:r>
    </w:p>
    <w:p w:rsidR="000B53EE" w:rsidRPr="000B53EE" w:rsidRDefault="000B53EE" w:rsidP="000B53EE">
      <w:pPr>
        <w:spacing w:after="0" w:line="276" w:lineRule="auto"/>
        <w:jc w:val="both"/>
        <w:rPr>
          <w:rFonts w:ascii="Times New Roman" w:hAnsi="Times New Roman" w:cs="Times New Roman"/>
        </w:rPr>
      </w:pPr>
      <w:r w:rsidRPr="000B53EE">
        <w:rPr>
          <w:rFonts w:ascii="Times New Roman" w:hAnsi="Times New Roman" w:cs="Times New Roman"/>
        </w:rPr>
        <w:t xml:space="preserve">Ce retenu lui sera restitué au fur et à mesure que la Mission de contrôle jugera que l’entreprise se conforme à ses directives environnementales et sociales. </w:t>
      </w:r>
    </w:p>
    <w:p w:rsidR="000B53EE" w:rsidRPr="000B53EE" w:rsidRDefault="000B53EE" w:rsidP="000B53EE">
      <w:pPr>
        <w:spacing w:after="0" w:line="276" w:lineRule="auto"/>
        <w:jc w:val="both"/>
        <w:rPr>
          <w:rFonts w:ascii="Times New Roman" w:hAnsi="Times New Roman" w:cs="Times New Roman"/>
        </w:rPr>
      </w:pPr>
      <w:r w:rsidRPr="000B53EE">
        <w:rPr>
          <w:rFonts w:ascii="Times New Roman" w:hAnsi="Times New Roman" w:cs="Times New Roman"/>
        </w:rPr>
        <w:t>Ces principes devront être clairement explicités dans le contrat de l’entreprise et accepté par celle-ci.</w:t>
      </w:r>
    </w:p>
    <w:p w:rsidR="000B53EE" w:rsidRPr="000B53EE" w:rsidRDefault="000B53EE" w:rsidP="000B53EE">
      <w:pPr>
        <w:spacing w:after="0" w:line="276" w:lineRule="auto"/>
        <w:jc w:val="both"/>
        <w:rPr>
          <w:rFonts w:ascii="Times New Roman" w:hAnsi="Times New Roman" w:cs="Times New Roman"/>
        </w:rPr>
      </w:pPr>
      <w:r w:rsidRPr="000B53EE">
        <w:rPr>
          <w:rFonts w:ascii="Times New Roman" w:hAnsi="Times New Roman" w:cs="Times New Roman"/>
        </w:rPr>
        <w:t>Parmi les principes à retenir pour une bonne prise en charge de l’environnement et du social sur le chantier :</w:t>
      </w:r>
    </w:p>
    <w:p w:rsidR="000B53EE" w:rsidRPr="000B53EE" w:rsidRDefault="000B53EE" w:rsidP="00FA3FAE">
      <w:pPr>
        <w:pStyle w:val="PargrafodaLista"/>
        <w:numPr>
          <w:ilvl w:val="0"/>
          <w:numId w:val="210"/>
        </w:numPr>
        <w:spacing w:after="0"/>
        <w:jc w:val="both"/>
        <w:rPr>
          <w:rFonts w:ascii="Times New Roman" w:hAnsi="Times New Roman"/>
          <w:sz w:val="22"/>
          <w:szCs w:val="22"/>
        </w:rPr>
      </w:pPr>
      <w:r w:rsidRPr="000B53EE">
        <w:rPr>
          <w:rFonts w:ascii="Times New Roman" w:hAnsi="Times New Roman"/>
          <w:sz w:val="22"/>
          <w:szCs w:val="22"/>
        </w:rPr>
        <w:t>Il doit être prévu un poste d’environnementaliste dans l’entreprise (EE). Le CV de l’environnementaliste devra être validé par le Maitre d’ouvrage</w:t>
      </w:r>
      <w:r w:rsidR="00FD76D7">
        <w:rPr>
          <w:rFonts w:ascii="Times New Roman" w:hAnsi="Times New Roman"/>
          <w:sz w:val="22"/>
          <w:szCs w:val="22"/>
          <w:lang w:val="fr-FR"/>
        </w:rPr>
        <w:t xml:space="preserve"> et la Banque Mondiale</w:t>
      </w:r>
      <w:r w:rsidRPr="000B53EE">
        <w:rPr>
          <w:rFonts w:ascii="Times New Roman" w:hAnsi="Times New Roman"/>
          <w:sz w:val="22"/>
          <w:szCs w:val="22"/>
        </w:rPr>
        <w:t>, Il sera chargé entre autres, de mettre en application, avec la collaboration de l’environnementaliste du Maitre d’œuvre ou du Maitre d’ouvrage, le PGES et toutes les recommandations contenues dans le DAO ou le contrat. Il établira tous les plans exigés et les soumettra à la validation de la mission de contrôle</w:t>
      </w:r>
      <w:r w:rsidR="00FD76D7">
        <w:rPr>
          <w:rFonts w:ascii="Times New Roman" w:hAnsi="Times New Roman"/>
          <w:sz w:val="22"/>
          <w:szCs w:val="22"/>
          <w:lang w:val="fr-FR"/>
        </w:rPr>
        <w:t xml:space="preserve"> et la Banque Mondiale</w:t>
      </w:r>
      <w:r w:rsidRPr="000B53EE">
        <w:rPr>
          <w:rFonts w:ascii="Times New Roman" w:hAnsi="Times New Roman"/>
          <w:sz w:val="22"/>
          <w:szCs w:val="22"/>
        </w:rPr>
        <w:t>. Il rédigera les rapports environnementaux et sociaux mensuels, il effectuera les sensibilisations au niveau de l’entreprise et au niveau des populations riveraines, il veillera de manière générale, à ce que l’entreprise se conforme à toutes les exigences environnementales et sociales contenues dans son contrat. Il est aussi chargé de produire le rapport final de fin de chantier environnemental et social qui devra être validé par la mission de contrôle</w:t>
      </w:r>
      <w:r w:rsidR="00FD76D7">
        <w:rPr>
          <w:rFonts w:ascii="Times New Roman" w:hAnsi="Times New Roman"/>
          <w:sz w:val="22"/>
          <w:szCs w:val="22"/>
          <w:lang w:val="fr-FR"/>
        </w:rPr>
        <w:t xml:space="preserve"> et la Banque Mondiale</w:t>
      </w:r>
      <w:r w:rsidRPr="000B53EE">
        <w:rPr>
          <w:rFonts w:ascii="Times New Roman" w:hAnsi="Times New Roman"/>
          <w:sz w:val="22"/>
          <w:szCs w:val="22"/>
        </w:rPr>
        <w:t>.</w:t>
      </w:r>
    </w:p>
    <w:p w:rsidR="000B53EE" w:rsidRPr="000B53EE" w:rsidRDefault="000B53EE" w:rsidP="00FA3FAE">
      <w:pPr>
        <w:numPr>
          <w:ilvl w:val="0"/>
          <w:numId w:val="209"/>
        </w:numPr>
        <w:spacing w:after="0" w:line="276" w:lineRule="auto"/>
        <w:jc w:val="both"/>
        <w:rPr>
          <w:rFonts w:ascii="Times New Roman" w:hAnsi="Times New Roman" w:cs="Times New Roman"/>
        </w:rPr>
      </w:pPr>
      <w:r w:rsidRPr="000B53EE">
        <w:rPr>
          <w:rFonts w:ascii="Times New Roman" w:hAnsi="Times New Roman" w:cs="Times New Roman"/>
        </w:rPr>
        <w:t xml:space="preserve">Il pourrait être prévu l’intervention d’un Ingénieur sur le chantier. Il devra être chargé de la validation des rapports de l’entreprise, du suivi de l’application des recommandations du Maître d’ouvrage et du maître d’œuvre, de suivre la comptabilisation de points positifs ou négatifs à retirer à l’entreprise, à la validation des divers plans que l’entreprise produira avant et pendant les travaux. Il validera aussi les rapports environnementaux et sociaux qui seront exigés par la maîtrise d’ouvrage. </w:t>
      </w:r>
    </w:p>
    <w:p w:rsidR="000B53EE" w:rsidRPr="000B53EE" w:rsidRDefault="000B53EE" w:rsidP="000B53EE">
      <w:pPr>
        <w:spacing w:after="0" w:line="276" w:lineRule="auto"/>
        <w:jc w:val="both"/>
        <w:rPr>
          <w:rFonts w:ascii="Times New Roman" w:hAnsi="Times New Roman" w:cs="Times New Roman"/>
          <w:szCs w:val="24"/>
        </w:rPr>
      </w:pPr>
      <w:r w:rsidRPr="000B53EE">
        <w:rPr>
          <w:rFonts w:ascii="Times New Roman" w:hAnsi="Times New Roman" w:cs="Times New Roman"/>
          <w:szCs w:val="24"/>
        </w:rPr>
        <w:t xml:space="preserve">Au cas où, à la fin du chantier, le rapport final n’est pas accepté ou que l’entreprise n’a pas bien réparé les dommages qu’elle aura causés à l’environnement, le maître d’ouvrage pourra prendre au frais de l’entreprise, les mesures nécessaires après mise en demeure restée sans effet, afin de réparer les dommages causés par l’entreprise. </w:t>
      </w:r>
    </w:p>
    <w:p w:rsidR="000B53EE" w:rsidRPr="001E2895" w:rsidRDefault="000B53EE" w:rsidP="00FA3FAE">
      <w:pPr>
        <w:pStyle w:val="SolbaseNormal"/>
        <w:numPr>
          <w:ilvl w:val="0"/>
          <w:numId w:val="204"/>
        </w:numPr>
        <w:spacing w:before="120" w:line="276" w:lineRule="auto"/>
        <w:outlineLvl w:val="1"/>
        <w:rPr>
          <w:rFonts w:ascii="Times New Roman" w:hAnsi="Times New Roman"/>
          <w:b/>
          <w:bCs/>
          <w:sz w:val="28"/>
          <w:szCs w:val="28"/>
        </w:rPr>
      </w:pPr>
      <w:bookmarkStart w:id="937" w:name="_Toc32511691"/>
      <w:bookmarkStart w:id="938" w:name="_Toc51072673"/>
      <w:bookmarkStart w:id="939" w:name="_Toc32340796"/>
      <w:r w:rsidRPr="001E2895">
        <w:rPr>
          <w:rFonts w:ascii="Times New Roman" w:hAnsi="Times New Roman"/>
          <w:b/>
          <w:bCs/>
          <w:sz w:val="28"/>
          <w:szCs w:val="28"/>
        </w:rPr>
        <w:t>Respect des lois et réglementations nationales</w:t>
      </w:r>
      <w:bookmarkEnd w:id="937"/>
      <w:bookmarkEnd w:id="938"/>
      <w:r w:rsidRPr="001E2895">
        <w:rPr>
          <w:rFonts w:ascii="Times New Roman" w:hAnsi="Times New Roman"/>
          <w:b/>
          <w:bCs/>
          <w:sz w:val="28"/>
          <w:szCs w:val="28"/>
        </w:rPr>
        <w:t> </w:t>
      </w:r>
      <w:bookmarkEnd w:id="939"/>
    </w:p>
    <w:p w:rsidR="000B53EE" w:rsidRPr="000B53EE" w:rsidRDefault="000B53EE" w:rsidP="000B53EE">
      <w:pPr>
        <w:pStyle w:val="SolbaseNormal"/>
        <w:spacing w:after="0"/>
        <w:ind w:left="0"/>
        <w:rPr>
          <w:rFonts w:ascii="Times New Roman" w:hAnsi="Times New Roman"/>
          <w:sz w:val="22"/>
          <w:szCs w:val="22"/>
        </w:rPr>
      </w:pPr>
      <w:r w:rsidRPr="000B53EE">
        <w:rPr>
          <w:rFonts w:ascii="Times New Roman" w:hAnsi="Times New Roman"/>
          <w:sz w:val="22"/>
          <w:szCs w:val="22"/>
        </w:rPr>
        <w:t>L’Entrepreneur et ses sous-traitants doivent : connaître, respecter et appliquer les lois et règlements en vigueur en Guinée-Bissau et relatifs à l’environnement, à la sécurité des chantiers, à l’élimination des déchets solides et liquides, aux normes de rejet et de bruit, aux heures de travail, etc. ; prendre toutes les mesures appropriées en vue de minimiser les atteintes à l’environnement et social; assumer la responsabilité de toute réclamation liée au non-respect de l’environnement et de la santé.</w:t>
      </w:r>
    </w:p>
    <w:p w:rsidR="000B53EE" w:rsidRDefault="000B53EE" w:rsidP="000B53EE">
      <w:pPr>
        <w:pStyle w:val="SolbaseNormal"/>
        <w:spacing w:after="0"/>
        <w:ind w:left="0"/>
        <w:rPr>
          <w:rFonts w:ascii="Times New Roman" w:hAnsi="Times New Roman"/>
          <w:sz w:val="22"/>
          <w:szCs w:val="22"/>
        </w:rPr>
      </w:pPr>
      <w:r w:rsidRPr="000B53EE">
        <w:rPr>
          <w:rFonts w:ascii="Times New Roman" w:hAnsi="Times New Roman"/>
          <w:sz w:val="22"/>
          <w:szCs w:val="22"/>
        </w:rPr>
        <w:t xml:space="preserve">Afin de veiller au respect des engagements de l’Entrepreneur en matière d’environnement, de social, d’hygiène, de santé et de sécurité et à la mise en œuvre des mesures contenues dans le Plan d’Action Environnement Santé, Sécurité (PAESS), l’Entrepreneur nommera au sein de son équipe, un Responsable Environnement, Hygiène, Santé et Sécurité (REHS) chargé de veiller à la mise en œuvre des précautions et des mesures environnementales et sociales et au respect des mesures d’hygiènes, de santé et de sécurité. Il sera chargé aussi de veiller à la sécurité des travailleurs et des populations en contact avec les chantiers. L’Entrepreneur est tenu de soumettre à l’approbation au Maître d’œuvre un Plan d’Action Environnement, Santé et Sécurité (PAESS) dans un délai de 20 jours à compter de l’avis de notification de la date de commencement des travaux. L’ensemble des engagements énoncés dans le PAES devra être conforme au contenu du PGES. Les points éventuels de non-conformité entre le </w:t>
      </w:r>
      <w:r w:rsidRPr="000B53EE">
        <w:rPr>
          <w:rFonts w:ascii="Times New Roman" w:hAnsi="Times New Roman"/>
          <w:sz w:val="22"/>
          <w:szCs w:val="22"/>
        </w:rPr>
        <w:lastRenderedPageBreak/>
        <w:t>PAESS et les clauses environnementales devront être clairement mentionnés et ils ne pourront être justifiés que par des cas de force majeure.</w:t>
      </w:r>
    </w:p>
    <w:p w:rsidR="00FD76D7" w:rsidRDefault="00FD76D7" w:rsidP="000B53EE">
      <w:pPr>
        <w:pStyle w:val="SolbaseNormal"/>
        <w:spacing w:after="0"/>
        <w:ind w:left="0"/>
        <w:rPr>
          <w:rFonts w:ascii="Times New Roman" w:hAnsi="Times New Roman"/>
          <w:sz w:val="22"/>
          <w:szCs w:val="22"/>
        </w:rPr>
      </w:pPr>
    </w:p>
    <w:p w:rsidR="00FD76D7" w:rsidRPr="00820701" w:rsidRDefault="00FD76D7" w:rsidP="00820701">
      <w:pPr>
        <w:pStyle w:val="SolbaseNormal"/>
        <w:numPr>
          <w:ilvl w:val="0"/>
          <w:numId w:val="241"/>
        </w:numPr>
        <w:spacing w:before="120" w:line="276" w:lineRule="auto"/>
        <w:ind w:left="1701"/>
        <w:outlineLvl w:val="1"/>
        <w:rPr>
          <w:rFonts w:ascii="Times New Roman" w:hAnsi="Times New Roman"/>
          <w:b/>
          <w:bCs/>
          <w:sz w:val="24"/>
          <w:szCs w:val="24"/>
        </w:rPr>
      </w:pPr>
      <w:bookmarkStart w:id="940" w:name="_Toc51072674"/>
      <w:r w:rsidRPr="00447D03">
        <w:rPr>
          <w:rFonts w:ascii="Times New Roman" w:hAnsi="Times New Roman"/>
          <w:b/>
          <w:bCs/>
          <w:sz w:val="24"/>
          <w:szCs w:val="24"/>
        </w:rPr>
        <w:t>LES DIRECTIVES ENVIRONNEMENTALES, SANITAIRES ET SECURITAIRES (EHS) GENERALES ET SPECIFIQUES DE LA BANQUE MONDIALE</w:t>
      </w:r>
      <w:bookmarkEnd w:id="940"/>
    </w:p>
    <w:p w:rsidR="00FD76D7" w:rsidRPr="00447D03" w:rsidRDefault="00FD76D7" w:rsidP="00FA3FAE">
      <w:pPr>
        <w:pStyle w:val="SolbaseNormal"/>
        <w:numPr>
          <w:ilvl w:val="0"/>
          <w:numId w:val="227"/>
        </w:numPr>
        <w:rPr>
          <w:rFonts w:ascii="Times New Roman" w:hAnsi="Times New Roman"/>
          <w:b/>
          <w:sz w:val="22"/>
          <w:szCs w:val="22"/>
          <w:lang w:val="x-none"/>
        </w:rPr>
      </w:pPr>
      <w:r w:rsidRPr="00447D03">
        <w:rPr>
          <w:rFonts w:ascii="Times New Roman" w:hAnsi="Times New Roman"/>
          <w:b/>
          <w:sz w:val="22"/>
          <w:szCs w:val="22"/>
          <w:lang w:val="x-none"/>
        </w:rPr>
        <w:t xml:space="preserve">Qualité́ de l’air ambiant </w:t>
      </w:r>
    </w:p>
    <w:p w:rsidR="00FD76D7" w:rsidRPr="00447D03" w:rsidRDefault="00FD76D7" w:rsidP="00FD76D7">
      <w:pPr>
        <w:pStyle w:val="SolbaseNormal"/>
        <w:ind w:left="0"/>
        <w:rPr>
          <w:rFonts w:ascii="Times New Roman" w:hAnsi="Times New Roman"/>
          <w:sz w:val="22"/>
          <w:szCs w:val="22"/>
        </w:rPr>
      </w:pPr>
      <w:r w:rsidRPr="00447D03">
        <w:rPr>
          <w:rFonts w:ascii="Times New Roman" w:hAnsi="Times New Roman"/>
          <w:sz w:val="22"/>
          <w:szCs w:val="22"/>
        </w:rPr>
        <w:t xml:space="preserve">Les projets ayant des sources notables d’émissions atmosphériques et pouvant avoir des impacts notables sur la qualité́ de l’air ambiant, doivent prévenir ou réduire au minimum ces impacts en veillant à ce que : </w:t>
      </w:r>
    </w:p>
    <w:p w:rsidR="00FD76D7" w:rsidRPr="007B52BA" w:rsidRDefault="00FD76D7" w:rsidP="00FA3FAE">
      <w:pPr>
        <w:pStyle w:val="SolbaseNormal"/>
        <w:numPr>
          <w:ilvl w:val="0"/>
          <w:numId w:val="226"/>
        </w:numPr>
        <w:rPr>
          <w:rFonts w:ascii="Times New Roman" w:hAnsi="Times New Roman"/>
        </w:rPr>
      </w:pPr>
      <w:r w:rsidRPr="007B52BA">
        <w:rPr>
          <w:rFonts w:ascii="Times New Roman" w:hAnsi="Times New Roman"/>
        </w:rPr>
        <w:t xml:space="preserve">Les émissions ne génèrent pas des concentrations de polluants qui atteignent ou dépassent les valeurs recommandées et les normes pour la qualité́ de l’air ambiant requises par la législation nationale en vigueur. En l’absence d’une telle législation, les Directives de l’OMS concernant la qualité́ de l’air (voir Tableau 11) ou autres sources internationales s’appliquent. </w:t>
      </w:r>
    </w:p>
    <w:p w:rsidR="00FD76D7" w:rsidRPr="000F0BBE" w:rsidRDefault="00FD76D7" w:rsidP="00FA3FAE">
      <w:pPr>
        <w:pStyle w:val="SolbaseNormal"/>
        <w:numPr>
          <w:ilvl w:val="0"/>
          <w:numId w:val="226"/>
        </w:numPr>
        <w:rPr>
          <w:rFonts w:ascii="Times New Roman" w:hAnsi="Times New Roman"/>
        </w:rPr>
      </w:pPr>
      <w:r w:rsidRPr="007B52BA">
        <w:rPr>
          <w:rFonts w:ascii="Times New Roman" w:hAnsi="Times New Roman"/>
        </w:rPr>
        <w:t xml:space="preserve">Les émissions ne contribuent pas de manière significative à l’atteinte des seuils indiques par les directives ou normes pour la qualité́ de l’air ambiant. En règle générale, la présente Directive préconise de retenir un niveau représentant 25 % des normes applicables pour permettre la poursuite d’un développement durable dans un même bassin atmosphérique. </w:t>
      </w:r>
    </w:p>
    <w:p w:rsidR="00FD76D7" w:rsidRPr="007B52BA" w:rsidRDefault="00FD76D7" w:rsidP="00FA3FAE">
      <w:pPr>
        <w:pStyle w:val="SolbaseNormal"/>
        <w:numPr>
          <w:ilvl w:val="0"/>
          <w:numId w:val="227"/>
        </w:numPr>
        <w:rPr>
          <w:rFonts w:ascii="Times New Roman" w:hAnsi="Times New Roman"/>
          <w:b/>
          <w:lang w:val="x-none"/>
        </w:rPr>
      </w:pPr>
      <w:r w:rsidRPr="007B52BA">
        <w:rPr>
          <w:rFonts w:ascii="Times New Roman" w:hAnsi="Times New Roman"/>
          <w:b/>
          <w:lang w:val="x-none"/>
        </w:rPr>
        <w:t xml:space="preserve">Matières particulaires </w:t>
      </w:r>
    </w:p>
    <w:p w:rsidR="00FD76D7" w:rsidRPr="00447D03" w:rsidRDefault="00FD76D7" w:rsidP="00FD76D7">
      <w:pPr>
        <w:pStyle w:val="SolbaseNormal"/>
        <w:ind w:left="0"/>
        <w:rPr>
          <w:rFonts w:ascii="Times New Roman" w:hAnsi="Times New Roman"/>
          <w:sz w:val="22"/>
          <w:szCs w:val="22"/>
        </w:rPr>
      </w:pPr>
      <w:r w:rsidRPr="00447D03">
        <w:rPr>
          <w:rFonts w:ascii="Times New Roman" w:hAnsi="Times New Roman"/>
          <w:sz w:val="22"/>
          <w:szCs w:val="22"/>
        </w:rPr>
        <w:t xml:space="preserve">Les polluants les plus couramment présents dans les émissions diffuses sont les poussières ou matières particulaires. Celles-ci sont rejetées lors de certaines opérations, telles que le transport et le stockage à l’air libre de matériaux solides. Elles proviennent également des sols exposés (routes non revêtues). Les méthodes recommandées pour prévenir et maîtriser ces émissions consistent, notamment, à : </w:t>
      </w:r>
    </w:p>
    <w:p w:rsidR="00FD76D7" w:rsidRPr="007B52BA" w:rsidRDefault="00FD76D7" w:rsidP="00FA3FAE">
      <w:pPr>
        <w:pStyle w:val="SolbaseNormal"/>
        <w:numPr>
          <w:ilvl w:val="0"/>
          <w:numId w:val="226"/>
        </w:numPr>
        <w:rPr>
          <w:rFonts w:ascii="Times New Roman" w:hAnsi="Times New Roman"/>
        </w:rPr>
      </w:pPr>
      <w:r w:rsidRPr="007B52BA">
        <w:rPr>
          <w:rFonts w:ascii="Times New Roman" w:hAnsi="Times New Roman"/>
        </w:rPr>
        <w:t xml:space="preserve">Utiliser des techniques de dépoussiérage telles que la couverture des matériaux, l’aspersion d’eau ou l’augmentation du degré́ hygrométrique des stocks de produits à l’air libre. Recourir à des systèmes d’extraction et de traitement de l’air au moyen de filtres ou cyclones aux sources du circuit de manutention des matériaux (convoyeurs, trémies). </w:t>
      </w:r>
    </w:p>
    <w:p w:rsidR="00FD76D7" w:rsidRPr="007B52BA" w:rsidRDefault="00FD76D7" w:rsidP="00FA3FAE">
      <w:pPr>
        <w:pStyle w:val="SolbaseNormal"/>
        <w:numPr>
          <w:ilvl w:val="0"/>
          <w:numId w:val="226"/>
        </w:numPr>
        <w:rPr>
          <w:rFonts w:ascii="Times New Roman" w:hAnsi="Times New Roman"/>
        </w:rPr>
      </w:pPr>
      <w:r w:rsidRPr="007B52BA">
        <w:rPr>
          <w:rFonts w:ascii="Times New Roman" w:hAnsi="Times New Roman"/>
        </w:rPr>
        <w:t xml:space="preserve">Procéder à la pulvérisation d’eau pour réduire les matières meubles sur les routes revêtues et non revêtues. </w:t>
      </w:r>
    </w:p>
    <w:p w:rsidR="00FD76D7" w:rsidRPr="007B52BA" w:rsidRDefault="00FD76D7" w:rsidP="00FA3FAE">
      <w:pPr>
        <w:pStyle w:val="SolbaseNormal"/>
        <w:numPr>
          <w:ilvl w:val="0"/>
          <w:numId w:val="226"/>
        </w:numPr>
        <w:rPr>
          <w:rFonts w:ascii="Times New Roman" w:hAnsi="Times New Roman"/>
        </w:rPr>
      </w:pPr>
      <w:r w:rsidRPr="007B52BA">
        <w:rPr>
          <w:rFonts w:ascii="Times New Roman" w:hAnsi="Times New Roman"/>
        </w:rPr>
        <w:t xml:space="preserve">Comme les autres procèdent de combustion, les moteurs des véhicules produisent des émissions comprenant, notamment du CO, du NOx, du SO2, de matières particulaires et des COV. Les émissions des véhicules routiers et tout terrain doivent être conformes aux normes nationales ou régionales. En l’absence de telles normes, il convient de procéder comme suit : </w:t>
      </w:r>
    </w:p>
    <w:p w:rsidR="00FD76D7" w:rsidRPr="007B52BA" w:rsidRDefault="00FD76D7" w:rsidP="00FA3FAE">
      <w:pPr>
        <w:pStyle w:val="SolbaseNormal"/>
        <w:numPr>
          <w:ilvl w:val="0"/>
          <w:numId w:val="226"/>
        </w:numPr>
        <w:rPr>
          <w:rFonts w:ascii="Times New Roman" w:hAnsi="Times New Roman"/>
        </w:rPr>
      </w:pPr>
      <w:r w:rsidRPr="007B52BA">
        <w:rPr>
          <w:rFonts w:ascii="Times New Roman" w:hAnsi="Times New Roman"/>
        </w:rPr>
        <w:t xml:space="preserve">Quels que soient la taille ou le type des véhicules, les opérateurs ou propriétaires doivent suivre le programme d’entretien des moteurs recommandé par les fabricants. </w:t>
      </w:r>
    </w:p>
    <w:p w:rsidR="00FD76D7" w:rsidRPr="007B52BA" w:rsidRDefault="00FD76D7" w:rsidP="00FA3FAE">
      <w:pPr>
        <w:pStyle w:val="SolbaseNormal"/>
        <w:numPr>
          <w:ilvl w:val="0"/>
          <w:numId w:val="226"/>
        </w:numPr>
        <w:rPr>
          <w:rFonts w:ascii="Times New Roman" w:hAnsi="Times New Roman"/>
        </w:rPr>
      </w:pPr>
      <w:r w:rsidRPr="007B52BA">
        <w:rPr>
          <w:rFonts w:ascii="Times New Roman" w:hAnsi="Times New Roman"/>
        </w:rPr>
        <w:t xml:space="preserve">Les conducteurs doivent être informés des avantages d’un mode de conduite propice à une réduction des risques d’accidents et de la consommation de carburant (ex. accélérations progressives et respect des limitations de vitesse). </w:t>
      </w:r>
    </w:p>
    <w:p w:rsidR="00FD76D7" w:rsidRPr="007B52BA" w:rsidRDefault="00FD76D7" w:rsidP="00FA3FAE">
      <w:pPr>
        <w:pStyle w:val="SolbaseNormal"/>
        <w:numPr>
          <w:ilvl w:val="0"/>
          <w:numId w:val="226"/>
        </w:numPr>
        <w:rPr>
          <w:rFonts w:ascii="Times New Roman" w:hAnsi="Times New Roman"/>
        </w:rPr>
      </w:pPr>
      <w:r w:rsidRPr="007B52BA">
        <w:rPr>
          <w:rFonts w:ascii="Times New Roman" w:hAnsi="Times New Roman"/>
        </w:rPr>
        <w:t xml:space="preserve">Les propriétaires de parcs ne comptant pas moins de 120 véhicules lourds (bus et camions) ou pas moins de 540 véhicules utilitaires légers (voitures et camionnettes) dans un bassin atmosphérique donné doivent prendre en considération des mesures complémentaires pour réduire les impacts éventuels de leurs véhicules, qui consistent notamment à : </w:t>
      </w:r>
    </w:p>
    <w:p w:rsidR="00FD76D7" w:rsidRPr="007B52BA" w:rsidRDefault="00FD76D7" w:rsidP="00FA3FAE">
      <w:pPr>
        <w:pStyle w:val="SolbaseNormal"/>
        <w:numPr>
          <w:ilvl w:val="1"/>
          <w:numId w:val="226"/>
        </w:numPr>
        <w:rPr>
          <w:rFonts w:ascii="Times New Roman" w:hAnsi="Times New Roman"/>
        </w:rPr>
      </w:pPr>
      <w:r w:rsidRPr="007B52BA">
        <w:rPr>
          <w:rFonts w:ascii="Times New Roman" w:hAnsi="Times New Roman"/>
        </w:rPr>
        <w:t xml:space="preserve">Remplacer les véhicules les plus anciens par des véhicules plus récents, plus économes en carburant ; </w:t>
      </w:r>
    </w:p>
    <w:p w:rsidR="00FD76D7" w:rsidRPr="007B52BA" w:rsidRDefault="00FD76D7" w:rsidP="00FA3FAE">
      <w:pPr>
        <w:pStyle w:val="SolbaseNormal"/>
        <w:numPr>
          <w:ilvl w:val="1"/>
          <w:numId w:val="226"/>
        </w:numPr>
        <w:rPr>
          <w:rFonts w:ascii="Times New Roman" w:hAnsi="Times New Roman"/>
        </w:rPr>
      </w:pPr>
      <w:r w:rsidRPr="007B52BA">
        <w:rPr>
          <w:rFonts w:ascii="Times New Roman" w:hAnsi="Times New Roman"/>
        </w:rPr>
        <w:t xml:space="preserve">Convertir les véhicules à grande utilisation pour pouvoir utiliser des carburants plus propres ; </w:t>
      </w:r>
    </w:p>
    <w:p w:rsidR="00FD76D7" w:rsidRPr="000F0BBE" w:rsidRDefault="00FD76D7" w:rsidP="00FA3FAE">
      <w:pPr>
        <w:pStyle w:val="SolbaseNormal"/>
        <w:numPr>
          <w:ilvl w:val="1"/>
          <w:numId w:val="226"/>
        </w:numPr>
        <w:rPr>
          <w:rFonts w:ascii="Times New Roman" w:hAnsi="Times New Roman"/>
        </w:rPr>
      </w:pPr>
      <w:r w:rsidRPr="007B52BA">
        <w:rPr>
          <w:rFonts w:ascii="Times New Roman" w:hAnsi="Times New Roman"/>
        </w:rPr>
        <w:t xml:space="preserve">Installer et entretenir les dispositifs de maitrise des émissions, comme les convertisseurs catalytiques ; </w:t>
      </w:r>
    </w:p>
    <w:p w:rsidR="00FD76D7" w:rsidRPr="007B52BA" w:rsidRDefault="00FD76D7" w:rsidP="00FA3FAE">
      <w:pPr>
        <w:pStyle w:val="SolbaseNormal"/>
        <w:numPr>
          <w:ilvl w:val="0"/>
          <w:numId w:val="227"/>
        </w:numPr>
        <w:rPr>
          <w:rFonts w:ascii="Times New Roman" w:hAnsi="Times New Roman"/>
          <w:b/>
          <w:lang w:val="x-none"/>
        </w:rPr>
      </w:pPr>
      <w:r w:rsidRPr="007B52BA">
        <w:rPr>
          <w:rFonts w:ascii="Times New Roman" w:hAnsi="Times New Roman"/>
          <w:b/>
          <w:lang w:val="x-none"/>
        </w:rPr>
        <w:t>la gestion des eaux usées</w:t>
      </w:r>
    </w:p>
    <w:p w:rsidR="00FD76D7" w:rsidRPr="00447D03" w:rsidRDefault="00FD76D7" w:rsidP="00FD76D7">
      <w:pPr>
        <w:pStyle w:val="SolbaseNormal"/>
        <w:ind w:left="0"/>
        <w:rPr>
          <w:rFonts w:ascii="Times New Roman" w:hAnsi="Times New Roman"/>
          <w:sz w:val="22"/>
          <w:szCs w:val="22"/>
        </w:rPr>
      </w:pPr>
      <w:r w:rsidRPr="00447D03">
        <w:rPr>
          <w:rFonts w:ascii="Times New Roman" w:hAnsi="Times New Roman"/>
          <w:sz w:val="22"/>
          <w:szCs w:val="22"/>
        </w:rPr>
        <w:t xml:space="preserve">Ces directives fournissent des informations sur des techniques couramment employées pour la gestion des eaux usées, la réalisation d’économies d’eau et la réutilisation de l’eau, dans de nombreuses branches d’activité́. Elles doivent être appliquées en même temps que les directives relatives aux effluents présentées dans les Directives EHS spécifiques aux différentes branches d’activité́. Les projets qui peuvent produire des eaux d’égout (eaux usées domestiques) ou des eaux de ruissellement doivent prendre toutes les mesures visant à éviter, réduire et maitrise les impacts négatifs qui peuvent s’exercer au plan de la santé, de la sécurité́ et de l’environnement. </w:t>
      </w:r>
    </w:p>
    <w:p w:rsidR="00FD76D7" w:rsidRPr="00447D03" w:rsidRDefault="00FD76D7" w:rsidP="00FD76D7">
      <w:pPr>
        <w:pStyle w:val="SolbaseNormal"/>
        <w:spacing w:after="0"/>
        <w:ind w:left="0"/>
        <w:rPr>
          <w:rFonts w:ascii="Times New Roman" w:hAnsi="Times New Roman"/>
          <w:sz w:val="22"/>
          <w:szCs w:val="22"/>
        </w:rPr>
      </w:pPr>
      <w:r w:rsidRPr="00447D03">
        <w:rPr>
          <w:rFonts w:ascii="Times New Roman" w:hAnsi="Times New Roman"/>
          <w:sz w:val="22"/>
          <w:szCs w:val="22"/>
        </w:rPr>
        <w:lastRenderedPageBreak/>
        <w:t xml:space="preserve">Par ailleurs, la production et le rejet d’eaux usées doivent être gères par un ensemble de mesures qui consistent à : </w:t>
      </w:r>
    </w:p>
    <w:p w:rsidR="00FD76D7" w:rsidRPr="007B52BA" w:rsidRDefault="00FD76D7" w:rsidP="00FA3FAE">
      <w:pPr>
        <w:pStyle w:val="SolbaseNormal"/>
        <w:numPr>
          <w:ilvl w:val="2"/>
          <w:numId w:val="228"/>
        </w:numPr>
        <w:spacing w:after="0"/>
        <w:ind w:left="993"/>
        <w:rPr>
          <w:rFonts w:ascii="Times New Roman" w:hAnsi="Times New Roman"/>
        </w:rPr>
      </w:pPr>
      <w:r w:rsidRPr="007B52BA">
        <w:rPr>
          <w:rFonts w:ascii="Times New Roman" w:hAnsi="Times New Roman"/>
        </w:rPr>
        <w:t xml:space="preserve">Utiliser l’eau de manière rationnelle pour réduire le volume d’eaux usées produites. </w:t>
      </w:r>
    </w:p>
    <w:p w:rsidR="00FD76D7" w:rsidRPr="007B52BA" w:rsidRDefault="00FD76D7" w:rsidP="00FA3FAE">
      <w:pPr>
        <w:pStyle w:val="SolbaseNormal"/>
        <w:numPr>
          <w:ilvl w:val="3"/>
          <w:numId w:val="228"/>
        </w:numPr>
        <w:spacing w:after="0"/>
        <w:ind w:left="1560"/>
        <w:rPr>
          <w:rFonts w:ascii="Times New Roman" w:hAnsi="Times New Roman"/>
        </w:rPr>
      </w:pPr>
      <w:r w:rsidRPr="007B52BA">
        <w:rPr>
          <w:rFonts w:ascii="Times New Roman" w:hAnsi="Times New Roman"/>
        </w:rPr>
        <w:t xml:space="preserve">Modifier les procède, notamment en limitant les déchets et l’utilisation de matières dangereuses pour réduire la charge de polluants nécessitant un traitement. </w:t>
      </w:r>
    </w:p>
    <w:p w:rsidR="00FD76D7" w:rsidRPr="007B52BA" w:rsidRDefault="00FD76D7" w:rsidP="00FA3FAE">
      <w:pPr>
        <w:pStyle w:val="SolbaseNormal"/>
        <w:numPr>
          <w:ilvl w:val="3"/>
          <w:numId w:val="228"/>
        </w:numPr>
        <w:spacing w:after="0"/>
        <w:ind w:left="1560"/>
        <w:rPr>
          <w:rFonts w:ascii="Times New Roman" w:hAnsi="Times New Roman"/>
        </w:rPr>
      </w:pPr>
      <w:r w:rsidRPr="007B52BA">
        <w:rPr>
          <w:rFonts w:ascii="Times New Roman" w:hAnsi="Times New Roman"/>
        </w:rPr>
        <w:t xml:space="preserve">Si nécessaire, procéder à un traitement des eaux usées pour réduire la charge de contaminants avant de les rejeter, compte tenu des possibilités de contaminations croisées durant les traitements (par exemple, un transfert de polluants de l’eau dans l’atmosphère ou dans les sols). </w:t>
      </w:r>
    </w:p>
    <w:p w:rsidR="00FD76D7" w:rsidRPr="007B52BA" w:rsidRDefault="00FD76D7" w:rsidP="00FD76D7">
      <w:pPr>
        <w:pStyle w:val="SolbaseNormal"/>
        <w:spacing w:after="0"/>
        <w:ind w:left="1560"/>
        <w:rPr>
          <w:rFonts w:ascii="Times New Roman" w:hAnsi="Times New Roman"/>
        </w:rPr>
      </w:pPr>
    </w:p>
    <w:p w:rsidR="00FD76D7" w:rsidRPr="007B52BA" w:rsidRDefault="00FD76D7" w:rsidP="00FA3FAE">
      <w:pPr>
        <w:pStyle w:val="SolbaseNormal"/>
        <w:numPr>
          <w:ilvl w:val="2"/>
          <w:numId w:val="228"/>
        </w:numPr>
        <w:spacing w:after="0"/>
        <w:ind w:left="993"/>
        <w:rPr>
          <w:rFonts w:ascii="Times New Roman" w:hAnsi="Times New Roman"/>
        </w:rPr>
      </w:pPr>
      <w:r w:rsidRPr="007B52BA">
        <w:rPr>
          <w:rFonts w:ascii="Times New Roman" w:hAnsi="Times New Roman"/>
        </w:rPr>
        <w:t xml:space="preserve">Si les eaux usées doivent être traitées avant leur rejet, l’intensité́ du traitement requis doit être déterminée sur les bases suivantes : </w:t>
      </w:r>
    </w:p>
    <w:p w:rsidR="00FD76D7" w:rsidRPr="007B52BA" w:rsidRDefault="00FD76D7" w:rsidP="00FA3FAE">
      <w:pPr>
        <w:pStyle w:val="SolbaseNormal"/>
        <w:numPr>
          <w:ilvl w:val="3"/>
          <w:numId w:val="228"/>
        </w:numPr>
        <w:spacing w:after="0"/>
        <w:ind w:left="993"/>
        <w:rPr>
          <w:rFonts w:ascii="Times New Roman" w:hAnsi="Times New Roman"/>
        </w:rPr>
      </w:pPr>
      <w:r w:rsidRPr="007B52BA">
        <w:rPr>
          <w:rFonts w:ascii="Times New Roman" w:hAnsi="Times New Roman"/>
        </w:rPr>
        <w:t xml:space="preserve">Si les eaux usées sont rejetées dans les égouts ou dans les eaux de surfaces. </w:t>
      </w:r>
    </w:p>
    <w:p w:rsidR="00FD76D7" w:rsidRPr="007B52BA" w:rsidRDefault="00FD76D7" w:rsidP="00FA3FAE">
      <w:pPr>
        <w:pStyle w:val="SolbaseNormal"/>
        <w:numPr>
          <w:ilvl w:val="3"/>
          <w:numId w:val="228"/>
        </w:numPr>
        <w:spacing w:after="0"/>
        <w:ind w:left="1134"/>
        <w:rPr>
          <w:rFonts w:ascii="Times New Roman" w:hAnsi="Times New Roman"/>
        </w:rPr>
      </w:pPr>
      <w:r w:rsidRPr="007B52BA">
        <w:rPr>
          <w:rFonts w:ascii="Times New Roman" w:hAnsi="Times New Roman"/>
        </w:rPr>
        <w:t xml:space="preserve">Si les eaux usées sont rejetées dans les égouts : les normes nationales et locales établies pour l’octroi de permis et la capacité́ des égouts pour le transport et le traitement les eaux usées. </w:t>
      </w:r>
    </w:p>
    <w:p w:rsidR="00FD76D7" w:rsidRPr="007B52BA" w:rsidRDefault="00FD76D7" w:rsidP="00FA3FAE">
      <w:pPr>
        <w:pStyle w:val="SolbaseNormal"/>
        <w:numPr>
          <w:ilvl w:val="3"/>
          <w:numId w:val="228"/>
        </w:numPr>
        <w:spacing w:after="0"/>
        <w:ind w:left="1134"/>
        <w:rPr>
          <w:rFonts w:ascii="Times New Roman" w:hAnsi="Times New Roman"/>
        </w:rPr>
      </w:pPr>
      <w:r w:rsidRPr="007B52BA">
        <w:rPr>
          <w:rFonts w:ascii="Times New Roman" w:hAnsi="Times New Roman"/>
        </w:rPr>
        <w:t xml:space="preserve">Si les eaux usées sont rejetées dans les eaux de surfaces : la capacité́ d’assimilation de la charge de contaminants par les eaux réceptrices. </w:t>
      </w:r>
    </w:p>
    <w:p w:rsidR="00FD76D7" w:rsidRPr="007B52BA" w:rsidRDefault="00FD76D7" w:rsidP="00FA3FAE">
      <w:pPr>
        <w:pStyle w:val="SolbaseNormal"/>
        <w:numPr>
          <w:ilvl w:val="3"/>
          <w:numId w:val="228"/>
        </w:numPr>
        <w:spacing w:after="0"/>
        <w:ind w:left="1134"/>
        <w:rPr>
          <w:rFonts w:ascii="Times New Roman" w:hAnsi="Times New Roman"/>
        </w:rPr>
      </w:pPr>
      <w:r w:rsidRPr="007B52BA">
        <w:rPr>
          <w:rFonts w:ascii="Times New Roman" w:hAnsi="Times New Roman"/>
        </w:rPr>
        <w:t xml:space="preserve">L’usage qui doit être fait des ressources en eaux réceptrices (par ex. sources d’eau potable, loisirs, irrigation, navigation ou autres). </w:t>
      </w:r>
    </w:p>
    <w:p w:rsidR="00FD76D7" w:rsidRPr="007B52BA" w:rsidRDefault="00FD76D7" w:rsidP="00FA3FAE">
      <w:pPr>
        <w:pStyle w:val="SolbaseNormal"/>
        <w:numPr>
          <w:ilvl w:val="3"/>
          <w:numId w:val="228"/>
        </w:numPr>
        <w:spacing w:after="0"/>
        <w:ind w:left="1134"/>
        <w:rPr>
          <w:rFonts w:ascii="Times New Roman" w:hAnsi="Times New Roman"/>
        </w:rPr>
      </w:pPr>
      <w:r w:rsidRPr="007B52BA">
        <w:rPr>
          <w:rFonts w:ascii="Times New Roman" w:hAnsi="Times New Roman"/>
        </w:rPr>
        <w:t xml:space="preserve">La présence de récepteurs (comme les espèces menacées d’extinction) ou d’habitats sensibles. </w:t>
      </w:r>
    </w:p>
    <w:p w:rsidR="00FD76D7" w:rsidRPr="007B52BA" w:rsidRDefault="00FD76D7" w:rsidP="00FA3FAE">
      <w:pPr>
        <w:pStyle w:val="SolbaseNormal"/>
        <w:numPr>
          <w:ilvl w:val="3"/>
          <w:numId w:val="228"/>
        </w:numPr>
        <w:spacing w:after="0"/>
        <w:ind w:left="1134"/>
        <w:rPr>
          <w:rFonts w:ascii="Times New Roman" w:hAnsi="Times New Roman"/>
        </w:rPr>
      </w:pPr>
      <w:r w:rsidRPr="007B52BA">
        <w:rPr>
          <w:rFonts w:ascii="Times New Roman" w:hAnsi="Times New Roman"/>
        </w:rPr>
        <w:t xml:space="preserve">Les bonnes pratiques industrielles (BPI) applicables dans la branche d’activité́ considérée. </w:t>
      </w:r>
    </w:p>
    <w:p w:rsidR="00FD76D7" w:rsidRPr="007B52BA" w:rsidRDefault="00FD76D7" w:rsidP="00FD76D7">
      <w:pPr>
        <w:pStyle w:val="SolbaseNormal"/>
        <w:spacing w:after="0"/>
        <w:ind w:left="0"/>
        <w:rPr>
          <w:rFonts w:ascii="Times New Roman" w:hAnsi="Times New Roman"/>
        </w:rPr>
      </w:pPr>
    </w:p>
    <w:p w:rsidR="00FD76D7" w:rsidRPr="007B52BA" w:rsidRDefault="00FD76D7" w:rsidP="00FA3FAE">
      <w:pPr>
        <w:pStyle w:val="SolbaseNormal"/>
        <w:numPr>
          <w:ilvl w:val="0"/>
          <w:numId w:val="227"/>
        </w:numPr>
        <w:rPr>
          <w:rFonts w:ascii="Times New Roman" w:hAnsi="Times New Roman"/>
          <w:b/>
          <w:lang w:val="x-none"/>
        </w:rPr>
      </w:pPr>
      <w:r w:rsidRPr="007B52BA">
        <w:rPr>
          <w:rFonts w:ascii="Times New Roman" w:hAnsi="Times New Roman"/>
          <w:b/>
          <w:lang w:val="x-none"/>
        </w:rPr>
        <w:t xml:space="preserve">Qualité́ de l’eau </w:t>
      </w:r>
    </w:p>
    <w:p w:rsidR="00FD76D7" w:rsidRPr="00447D03" w:rsidRDefault="00FD76D7" w:rsidP="00FD76D7">
      <w:pPr>
        <w:pStyle w:val="SolbaseNormal"/>
        <w:spacing w:after="0"/>
        <w:ind w:left="0"/>
        <w:rPr>
          <w:rFonts w:ascii="Times New Roman" w:hAnsi="Times New Roman"/>
          <w:sz w:val="22"/>
          <w:szCs w:val="22"/>
        </w:rPr>
      </w:pPr>
      <w:r w:rsidRPr="00447D03">
        <w:rPr>
          <w:rFonts w:ascii="Times New Roman" w:hAnsi="Times New Roman"/>
          <w:sz w:val="22"/>
          <w:szCs w:val="22"/>
        </w:rPr>
        <w:t xml:space="preserve">On doit protéger en permanence les sources d’eau potable, publiques ou privées, de façon qu’elles soient conformes ou supérieures aux normes d’acceptabilité́ nationale applicables, ou, en leur absence, à l’édition en vigueur des directives de l’OMS sur la qualité́ de l’eau potable. Les émissions d’air, les effluents d’eaux usées, l’huile et les matières dangereuses, ainsi que les déchets, doivent être gères conformément aux lignes directrices fournies dans les sections correspondantes des Directives Générales sur la santé, la sécurité́ et l’environnement, dans le but de protéger le sol et les ressources en eau. </w:t>
      </w:r>
    </w:p>
    <w:p w:rsidR="00FD76D7" w:rsidRPr="00447D03" w:rsidRDefault="00FD76D7" w:rsidP="00FD76D7">
      <w:pPr>
        <w:pStyle w:val="SolbaseNormal"/>
        <w:spacing w:after="0"/>
        <w:ind w:left="0"/>
        <w:rPr>
          <w:rFonts w:ascii="Times New Roman" w:hAnsi="Times New Roman"/>
          <w:sz w:val="22"/>
          <w:szCs w:val="22"/>
        </w:rPr>
      </w:pPr>
      <w:r w:rsidRPr="00447D03">
        <w:rPr>
          <w:rFonts w:ascii="Times New Roman" w:hAnsi="Times New Roman"/>
          <w:sz w:val="22"/>
          <w:szCs w:val="22"/>
        </w:rPr>
        <w:t xml:space="preserve">Lorsque le projet comprend la fourniture d’eau à la communauté́ ou aux usagers d’infrastructures d’installations (clients d’hôtels et patients dans les hôpitaux), où l’eau peut entrer utilisée pour boire, cuisiner, laver et se laver, la qualité́ de l’eau doit être conforme aux normes d’acceptabilité́ nationales, ou, en leur absence, à l’édition en cours des directives de l’OMS sur la qualité́ de l’eau potable. La qualité́ de l’eau pour des exigences plus sensibles de bien-être, par exemple l’eau utilisée dans des installations de services de santé ou la production de denrées alimentaires, pourra nécessiter des directives ou des normes plus sévères spécifiques au secteur, selon les cas. Tout facteur de dépendance se rapportant à la fourniture d’eau à la communauté́ locale doit être programmée et gérée de façon à assurer la soutenabilité́ des fournitures d’eau en assurant la participation de la communauté́ dans sa gestion, de façon à minimiser la dépendance à long terme. </w:t>
      </w:r>
    </w:p>
    <w:p w:rsidR="00FD76D7" w:rsidRPr="007B52BA" w:rsidRDefault="00FD76D7" w:rsidP="00FD76D7">
      <w:pPr>
        <w:pStyle w:val="SolbaseNormal"/>
        <w:spacing w:after="0"/>
        <w:ind w:left="0"/>
        <w:rPr>
          <w:rFonts w:ascii="Times New Roman" w:hAnsi="Times New Roman"/>
        </w:rPr>
      </w:pPr>
    </w:p>
    <w:p w:rsidR="00FD76D7" w:rsidRPr="007B52BA" w:rsidRDefault="00FD76D7" w:rsidP="00FA3FAE">
      <w:pPr>
        <w:pStyle w:val="SolbaseNormal"/>
        <w:numPr>
          <w:ilvl w:val="0"/>
          <w:numId w:val="227"/>
        </w:numPr>
        <w:rPr>
          <w:rFonts w:ascii="Times New Roman" w:hAnsi="Times New Roman"/>
          <w:b/>
          <w:lang w:val="x-none"/>
        </w:rPr>
      </w:pPr>
      <w:r w:rsidRPr="007B52BA">
        <w:rPr>
          <w:rFonts w:ascii="Times New Roman" w:hAnsi="Times New Roman"/>
          <w:b/>
          <w:lang w:val="x-none"/>
        </w:rPr>
        <w:t xml:space="preserve">Hygiène et sécurité́ au travail </w:t>
      </w:r>
    </w:p>
    <w:p w:rsidR="00FD76D7" w:rsidRPr="00447D03" w:rsidRDefault="00FD76D7" w:rsidP="00FD76D7">
      <w:pPr>
        <w:pStyle w:val="SolbaseNormal"/>
        <w:ind w:left="0"/>
        <w:rPr>
          <w:rFonts w:ascii="Times New Roman" w:hAnsi="Times New Roman"/>
          <w:sz w:val="22"/>
          <w:szCs w:val="22"/>
        </w:rPr>
      </w:pPr>
      <w:r w:rsidRPr="00447D03">
        <w:rPr>
          <w:rFonts w:ascii="Times New Roman" w:hAnsi="Times New Roman"/>
          <w:sz w:val="22"/>
          <w:szCs w:val="22"/>
        </w:rPr>
        <w:t xml:space="preserve">Les employeurs et les agents de maitrise sont tenus de prendre toutes les précautions raisonnables pour assurer la protection de la santé et la sécurité́ des travailleurs. La présente section fournit des conseils et des exemples de précautions raisonnables relativement à la gestion des principaux risques pour la santé et la sécurité́ au travail. Bien que l’on mette l’accent sur la phase opérationnelle des projets, une grande partie des conseils est également applicable aux activités de construction et de démantèlement. Il est conseillé́ aux entreprises d’utiliser des fournisseurs disposant des moyens techniques de gérer les problèmes de santé et sécurité́ du travail de leurs employés, en développant l’application des activités de gestion des risques par le biais d’accords de fourniture officiels. </w:t>
      </w:r>
    </w:p>
    <w:p w:rsidR="00FD76D7" w:rsidRPr="00447D03" w:rsidRDefault="00FD76D7" w:rsidP="00FD76D7">
      <w:pPr>
        <w:pStyle w:val="SolbaseNormal"/>
        <w:ind w:left="0"/>
        <w:rPr>
          <w:rFonts w:ascii="Times New Roman" w:hAnsi="Times New Roman"/>
          <w:sz w:val="22"/>
          <w:szCs w:val="22"/>
        </w:rPr>
      </w:pPr>
      <w:r w:rsidRPr="00447D03">
        <w:rPr>
          <w:rFonts w:ascii="Times New Roman" w:hAnsi="Times New Roman"/>
          <w:sz w:val="22"/>
          <w:szCs w:val="22"/>
        </w:rPr>
        <w:t xml:space="preserve">On doit introduire des mesures de prévention et de protection conformément à l’ordre de priorité́ suivant : </w:t>
      </w:r>
    </w:p>
    <w:p w:rsidR="00FD76D7" w:rsidRPr="007B52BA" w:rsidRDefault="00FD76D7" w:rsidP="00FA3FAE">
      <w:pPr>
        <w:pStyle w:val="SolbaseNormal"/>
        <w:numPr>
          <w:ilvl w:val="2"/>
          <w:numId w:val="228"/>
        </w:numPr>
        <w:spacing w:after="0"/>
        <w:ind w:left="851"/>
        <w:rPr>
          <w:rFonts w:ascii="Times New Roman" w:hAnsi="Times New Roman"/>
        </w:rPr>
      </w:pPr>
      <w:r w:rsidRPr="007B52BA">
        <w:rPr>
          <w:rFonts w:ascii="Times New Roman" w:hAnsi="Times New Roman"/>
        </w:rPr>
        <w:t xml:space="preserve">Elimination des risques par la suppression de l’activité́ du procèdé de travail. Parmi les exemples pertinents, on indiquera le remplacement par des produits chimiques moins dangereux, faisant usage de méthodes de fabrication diverses etc. </w:t>
      </w:r>
    </w:p>
    <w:p w:rsidR="00FD76D7" w:rsidRPr="007B52BA" w:rsidRDefault="00FD76D7" w:rsidP="00FA3FAE">
      <w:pPr>
        <w:pStyle w:val="SolbaseNormal"/>
        <w:numPr>
          <w:ilvl w:val="2"/>
          <w:numId w:val="228"/>
        </w:numPr>
        <w:spacing w:after="0"/>
        <w:ind w:left="851"/>
        <w:rPr>
          <w:rFonts w:ascii="Times New Roman" w:hAnsi="Times New Roman"/>
        </w:rPr>
      </w:pPr>
      <w:r w:rsidRPr="007B52BA">
        <w:rPr>
          <w:rFonts w:ascii="Times New Roman" w:hAnsi="Times New Roman"/>
        </w:rPr>
        <w:t xml:space="preserve">Maitrise du risque à la source par le biais de contrôles techniques. Parmi les exemples, on indiquera les systèmes de ventilation locaux, les salles protégées, les dispositifs de protection des machines, les enceintes acoustiques etc. </w:t>
      </w:r>
    </w:p>
    <w:p w:rsidR="00FD76D7" w:rsidRPr="007B52BA" w:rsidRDefault="00FD76D7" w:rsidP="00FA3FAE">
      <w:pPr>
        <w:pStyle w:val="SolbaseNormal"/>
        <w:numPr>
          <w:ilvl w:val="2"/>
          <w:numId w:val="228"/>
        </w:numPr>
        <w:spacing w:after="0"/>
        <w:ind w:left="851"/>
        <w:rPr>
          <w:rFonts w:ascii="Times New Roman" w:hAnsi="Times New Roman"/>
        </w:rPr>
      </w:pPr>
      <w:r w:rsidRPr="007B52BA">
        <w:rPr>
          <w:rFonts w:ascii="Times New Roman" w:hAnsi="Times New Roman"/>
        </w:rPr>
        <w:t xml:space="preserve">Minimisation des risques par l’étude de systèmes de travail sans danger et de mesures de contrôle administratives ou institutionnelles. A titre d’exemple, on indiquera la rotation </w:t>
      </w:r>
      <w:r w:rsidRPr="007B52BA">
        <w:rPr>
          <w:rFonts w:ascii="Times New Roman" w:hAnsi="Times New Roman"/>
          <w:lang w:val="x-none"/>
        </w:rPr>
        <w:t xml:space="preserve">des tâches, la formation dans des procédures de travail sans danger, les « lock-out » et « tag-out », le contrôle du lieu de travail, la limite de l’exposition ou de la durée du travail, etc. </w:t>
      </w:r>
    </w:p>
    <w:p w:rsidR="00FD76D7" w:rsidRPr="007B52BA" w:rsidRDefault="00FD76D7" w:rsidP="00FD76D7">
      <w:pPr>
        <w:pStyle w:val="SolbaseNormal"/>
        <w:spacing w:after="0"/>
        <w:ind w:left="851"/>
        <w:rPr>
          <w:rFonts w:ascii="Times New Roman" w:hAnsi="Times New Roman"/>
        </w:rPr>
      </w:pPr>
    </w:p>
    <w:p w:rsidR="00FD76D7" w:rsidRPr="007B52BA" w:rsidRDefault="00FD76D7" w:rsidP="00FA3FAE">
      <w:pPr>
        <w:pStyle w:val="SolbaseNormal"/>
        <w:numPr>
          <w:ilvl w:val="0"/>
          <w:numId w:val="229"/>
        </w:numPr>
        <w:spacing w:after="0"/>
        <w:rPr>
          <w:rFonts w:ascii="Times New Roman" w:hAnsi="Times New Roman"/>
          <w:lang w:val="x-none"/>
        </w:rPr>
      </w:pPr>
      <w:r w:rsidRPr="007B52BA">
        <w:rPr>
          <w:rFonts w:ascii="Times New Roman" w:hAnsi="Times New Roman"/>
          <w:i/>
          <w:iCs/>
          <w:lang w:val="x-none"/>
        </w:rPr>
        <w:lastRenderedPageBreak/>
        <w:t xml:space="preserve">Fourniture d’équipements de protection personnelle (PPE) appropriés </w:t>
      </w:r>
      <w:r w:rsidRPr="007B52BA">
        <w:rPr>
          <w:rFonts w:ascii="Times New Roman" w:hAnsi="Times New Roman"/>
          <w:lang w:val="x-none"/>
        </w:rPr>
        <w:t xml:space="preserve">conjointement avec la formation, l’utilisation et l’entretien des PPE. </w:t>
      </w:r>
    </w:p>
    <w:p w:rsidR="00FD76D7" w:rsidRPr="00447D03" w:rsidRDefault="00FD76D7" w:rsidP="00FD76D7">
      <w:pPr>
        <w:pStyle w:val="SolbaseNormal"/>
        <w:spacing w:after="0"/>
        <w:ind w:left="0"/>
        <w:rPr>
          <w:rFonts w:ascii="Times New Roman" w:hAnsi="Times New Roman"/>
          <w:sz w:val="22"/>
          <w:szCs w:val="22"/>
        </w:rPr>
      </w:pPr>
      <w:r w:rsidRPr="00447D03">
        <w:rPr>
          <w:rFonts w:ascii="Times New Roman" w:hAnsi="Times New Roman"/>
          <w:sz w:val="22"/>
          <w:szCs w:val="22"/>
        </w:rPr>
        <w:t xml:space="preserve">L’application de mesures de prévention et de limitation des risques au travail doit être basée sur des analyses globales de la sécurité́ ou des risques sur le lieu de travail. Les résultats de ces analyses devront être prioritaires dans le cadre d’un plan d’action basé sur la probabilité́ et la gravité des conséquences de l’exposition à des risques identifies </w:t>
      </w:r>
    </w:p>
    <w:p w:rsidR="00FD76D7" w:rsidRPr="007B52BA" w:rsidRDefault="00FD76D7" w:rsidP="00FD76D7">
      <w:pPr>
        <w:pStyle w:val="SolbaseNormal"/>
        <w:spacing w:after="0"/>
        <w:ind w:left="0"/>
        <w:rPr>
          <w:rFonts w:ascii="Times New Roman" w:hAnsi="Times New Roman"/>
        </w:rPr>
      </w:pPr>
    </w:p>
    <w:p w:rsidR="00FD76D7" w:rsidRPr="007B52BA" w:rsidRDefault="00FD76D7" w:rsidP="00FA3FAE">
      <w:pPr>
        <w:pStyle w:val="SolbaseNormal"/>
        <w:numPr>
          <w:ilvl w:val="0"/>
          <w:numId w:val="229"/>
        </w:numPr>
        <w:spacing w:after="0"/>
        <w:rPr>
          <w:rFonts w:ascii="Times New Roman" w:hAnsi="Times New Roman"/>
          <w:i/>
          <w:iCs/>
          <w:lang w:val="x-none"/>
        </w:rPr>
      </w:pPr>
      <w:r w:rsidRPr="007B52BA">
        <w:rPr>
          <w:rFonts w:ascii="Times New Roman" w:hAnsi="Times New Roman"/>
          <w:i/>
          <w:iCs/>
          <w:lang w:val="x-none"/>
        </w:rPr>
        <w:t xml:space="preserve">Les installations produisant et stockant des déchets doivent appliquer les modalités suivantes : </w:t>
      </w:r>
    </w:p>
    <w:p w:rsidR="00FD76D7" w:rsidRPr="007B52BA" w:rsidRDefault="00FD76D7" w:rsidP="00FD76D7">
      <w:pPr>
        <w:pStyle w:val="SolbaseNormal"/>
        <w:spacing w:after="0"/>
        <w:ind w:left="0"/>
        <w:rPr>
          <w:rFonts w:ascii="Times New Roman" w:hAnsi="Times New Roman"/>
        </w:rPr>
      </w:pPr>
      <w:r w:rsidRPr="007B52BA">
        <w:rPr>
          <w:rFonts w:ascii="Times New Roman" w:hAnsi="Times New Roman"/>
        </w:rPr>
        <w:t xml:space="preserve">Définition des priorités de gestion des déchets dès le début des activités, sur la base des connaissances sur les risques et impacts potentiels sur l’environnement, la santé et la sécurité́, et examen de la production de déchets et ses conséquences ; </w:t>
      </w:r>
    </w:p>
    <w:p w:rsidR="00FD76D7" w:rsidRPr="007B52BA" w:rsidRDefault="00FD76D7" w:rsidP="00820701">
      <w:pPr>
        <w:pStyle w:val="SolbaseNormal"/>
        <w:numPr>
          <w:ilvl w:val="2"/>
          <w:numId w:val="228"/>
        </w:numPr>
        <w:spacing w:after="0"/>
        <w:ind w:left="993"/>
        <w:rPr>
          <w:rFonts w:ascii="Times New Roman" w:hAnsi="Times New Roman"/>
        </w:rPr>
      </w:pPr>
      <w:r w:rsidRPr="007B52BA">
        <w:rPr>
          <w:rFonts w:ascii="Times New Roman" w:hAnsi="Times New Roman"/>
        </w:rPr>
        <w:t xml:space="preserve">Etablissement d’une hiérarchie dans la gestion des déchets examinant la prévention, la réduction, la réutilisation, la récupération, le recyclage, l’enlèvement et, enfin, l’élimination des déchets ; </w:t>
      </w:r>
    </w:p>
    <w:p w:rsidR="00FD76D7" w:rsidRPr="007B52BA" w:rsidRDefault="00FD76D7" w:rsidP="00820701">
      <w:pPr>
        <w:pStyle w:val="SolbaseNormal"/>
        <w:numPr>
          <w:ilvl w:val="2"/>
          <w:numId w:val="228"/>
        </w:numPr>
        <w:spacing w:after="0"/>
        <w:ind w:left="993"/>
        <w:rPr>
          <w:rFonts w:ascii="Times New Roman" w:hAnsi="Times New Roman"/>
        </w:rPr>
      </w:pPr>
      <w:r w:rsidRPr="007B52BA">
        <w:rPr>
          <w:rFonts w:ascii="Times New Roman" w:hAnsi="Times New Roman"/>
        </w:rPr>
        <w:t xml:space="preserve">Prévention ou minimisation de la production de déchets, dans la mesure du possible ; </w:t>
      </w:r>
    </w:p>
    <w:p w:rsidR="00FD76D7" w:rsidRPr="007B52BA" w:rsidRDefault="00FD76D7" w:rsidP="00820701">
      <w:pPr>
        <w:pStyle w:val="SolbaseNormal"/>
        <w:numPr>
          <w:ilvl w:val="2"/>
          <w:numId w:val="228"/>
        </w:numPr>
        <w:spacing w:after="0"/>
        <w:ind w:left="993"/>
        <w:rPr>
          <w:rFonts w:ascii="Times New Roman" w:hAnsi="Times New Roman"/>
        </w:rPr>
      </w:pPr>
      <w:r w:rsidRPr="007B52BA">
        <w:rPr>
          <w:rFonts w:ascii="Times New Roman" w:hAnsi="Times New Roman"/>
        </w:rPr>
        <w:t xml:space="preserve">Lorsqu’on ne peut éviter la production de déchets, mais que l’on est parvenu à la minimiser, avec la récupération et la réutilisation de déchets ; </w:t>
      </w:r>
    </w:p>
    <w:p w:rsidR="00FD76D7" w:rsidRPr="007B52BA" w:rsidRDefault="00FD76D7" w:rsidP="00820701">
      <w:pPr>
        <w:pStyle w:val="SolbaseNormal"/>
        <w:numPr>
          <w:ilvl w:val="2"/>
          <w:numId w:val="228"/>
        </w:numPr>
        <w:spacing w:after="0"/>
        <w:ind w:left="993"/>
        <w:rPr>
          <w:rFonts w:ascii="Times New Roman" w:hAnsi="Times New Roman"/>
        </w:rPr>
      </w:pPr>
      <w:r w:rsidRPr="007B52BA">
        <w:rPr>
          <w:rFonts w:ascii="Times New Roman" w:hAnsi="Times New Roman"/>
        </w:rPr>
        <w:t xml:space="preserve">Lorsqu’on ne peut récupérer ou réutiliser des déchets : traitement, destruction et élimination de ces mêmes déchets d’une façon qui ne nuise pas à l’environnement. </w:t>
      </w:r>
    </w:p>
    <w:p w:rsidR="00FD76D7" w:rsidRPr="007B52BA" w:rsidRDefault="00FD76D7" w:rsidP="00FD76D7">
      <w:pPr>
        <w:pStyle w:val="SolbaseNormal"/>
        <w:spacing w:after="0"/>
        <w:ind w:left="0"/>
        <w:rPr>
          <w:rFonts w:ascii="Times New Roman" w:hAnsi="Times New Roman"/>
        </w:rPr>
      </w:pPr>
    </w:p>
    <w:p w:rsidR="00FD76D7" w:rsidRPr="00447D03" w:rsidRDefault="00FD76D7" w:rsidP="00FA3FAE">
      <w:pPr>
        <w:pStyle w:val="SolbaseNormal"/>
        <w:numPr>
          <w:ilvl w:val="0"/>
          <w:numId w:val="241"/>
        </w:numPr>
        <w:spacing w:before="120" w:line="276" w:lineRule="auto"/>
        <w:ind w:left="1701"/>
        <w:outlineLvl w:val="1"/>
        <w:rPr>
          <w:rFonts w:ascii="Times New Roman" w:hAnsi="Times New Roman"/>
          <w:b/>
          <w:bCs/>
          <w:sz w:val="24"/>
          <w:szCs w:val="24"/>
        </w:rPr>
      </w:pPr>
      <w:bookmarkStart w:id="941" w:name="_Toc51072675"/>
      <w:r w:rsidRPr="00447D03">
        <w:rPr>
          <w:rFonts w:ascii="Times New Roman" w:hAnsi="Times New Roman"/>
          <w:b/>
          <w:bCs/>
          <w:sz w:val="24"/>
          <w:szCs w:val="24"/>
        </w:rPr>
        <w:t>DIRECTIVES DE QUALITÉ POUR L’EAU DE BOISSON DE l’OMS</w:t>
      </w:r>
      <w:bookmarkEnd w:id="941"/>
    </w:p>
    <w:p w:rsidR="00FD76D7" w:rsidRPr="00447D03" w:rsidRDefault="00FD76D7" w:rsidP="00FD76D7">
      <w:pPr>
        <w:pStyle w:val="SolbaseNormal"/>
        <w:ind w:left="0"/>
        <w:rPr>
          <w:rFonts w:ascii="Times New Roman" w:hAnsi="Times New Roman"/>
          <w:sz w:val="22"/>
          <w:szCs w:val="22"/>
        </w:rPr>
      </w:pPr>
      <w:r w:rsidRPr="00447D03">
        <w:rPr>
          <w:rFonts w:ascii="Times New Roman" w:hAnsi="Times New Roman"/>
          <w:sz w:val="22"/>
          <w:szCs w:val="22"/>
        </w:rPr>
        <w:t xml:space="preserve">Pour garantir la sécurité́ sanitaire de l’eau de boisson, on privilégiera une démarche de gestion préventive et on prendra en compte les caractéristiques de l’approvisionnement en eau de boisson, depuis le captage et la source jusqu’au consommateur. De nombreux aspects de la gestion de la qualité́ de l’eau de boisson ne relevant pas directement de la responsabilité́ des fournisseurs d’eau, il est essentiel d’adopter une approche collaborative multi-organismes, de manière à s’assurer que les organismes charges des différents domaines du cycle de l’eau participent à la gestion de la qualité́ de ce produit. Comme exemple d’une telle situation, on peut citer le cas où les captages et les sources se situent en dehors de la juridiction du fournisseur d’eau de boisson. Il sera généralement nécessaire de consulter d’autres autorités concernant d’autres questions ayant trait à l’eau de boisson, telles que les exigences en matière de surveillance et de notification, les plans d’intervention en cas de crise et les stratégies de communication. </w:t>
      </w:r>
    </w:p>
    <w:p w:rsidR="00FD76D7" w:rsidRPr="00447D03" w:rsidRDefault="00FD76D7" w:rsidP="00FD76D7">
      <w:pPr>
        <w:pStyle w:val="SolbaseNormal"/>
        <w:ind w:left="0"/>
        <w:rPr>
          <w:rFonts w:ascii="Times New Roman" w:hAnsi="Times New Roman"/>
          <w:sz w:val="22"/>
          <w:szCs w:val="22"/>
        </w:rPr>
      </w:pPr>
      <w:r w:rsidRPr="00447D03">
        <w:rPr>
          <w:rFonts w:ascii="Times New Roman" w:hAnsi="Times New Roman"/>
          <w:sz w:val="22"/>
          <w:szCs w:val="22"/>
        </w:rPr>
        <w:t xml:space="preserve">Il convient d’inciter les principales parties prenantes susceptibles d’affecter ou d’être affectées par les décisions ou les activités des fournisseurs d’eau de boisson à coordonner, si besoin est, leurs efforts de planification et de gestion. Il peut s’agir par exemple des agences de gestion de la santé et des ressources, des consommateurs, de l’industrie et des plombiers. Il convient d’établir des mécanismes et d’élaborer des documents d’appui permettant aux parties prenantes de s’impliquer dans le processus. </w:t>
      </w:r>
    </w:p>
    <w:p w:rsidR="00FD76D7" w:rsidRPr="007B52BA" w:rsidRDefault="00FD76D7" w:rsidP="00FA3FAE">
      <w:pPr>
        <w:pStyle w:val="SolbaseNormal"/>
        <w:numPr>
          <w:ilvl w:val="0"/>
          <w:numId w:val="227"/>
        </w:numPr>
        <w:rPr>
          <w:rFonts w:ascii="Times New Roman" w:hAnsi="Times New Roman"/>
          <w:b/>
          <w:lang w:val="x-none"/>
        </w:rPr>
      </w:pPr>
      <w:r w:rsidRPr="007B52BA">
        <w:rPr>
          <w:rFonts w:ascii="Times New Roman" w:hAnsi="Times New Roman"/>
          <w:b/>
          <w:lang w:val="x-none"/>
        </w:rPr>
        <w:t xml:space="preserve">Cadre destiné à garantir la sécurité́ sanitaire de l’eau de boisson </w:t>
      </w:r>
    </w:p>
    <w:p w:rsidR="00FD76D7" w:rsidRPr="00447D03" w:rsidRDefault="00FD76D7" w:rsidP="00FD76D7">
      <w:pPr>
        <w:pStyle w:val="SolbaseNormal"/>
        <w:ind w:left="0"/>
        <w:rPr>
          <w:rFonts w:ascii="Times New Roman" w:hAnsi="Times New Roman"/>
          <w:sz w:val="22"/>
          <w:szCs w:val="22"/>
        </w:rPr>
      </w:pPr>
      <w:r w:rsidRPr="00447D03">
        <w:rPr>
          <w:rFonts w:ascii="Times New Roman" w:hAnsi="Times New Roman"/>
          <w:sz w:val="22"/>
          <w:szCs w:val="22"/>
        </w:rPr>
        <w:t xml:space="preserve">Les exigences fondamentales et essentielles destinées à garantir la sécurité́ sanitaire de l’eau de boisson constituent un « cadre », qui comprend des objectifs sanitaires établis par une autorité́ compétente dans le domaine de la santé, des systèmes adaptés et convenablement gères (infrastructures appropriées, surveillance consciencieuse, planification et gestion efficaces) ainsi qu’un système de surveillance indépendant. </w:t>
      </w:r>
    </w:p>
    <w:p w:rsidR="00FD76D7" w:rsidRPr="00447D03" w:rsidRDefault="00FD76D7" w:rsidP="00FD76D7">
      <w:pPr>
        <w:pStyle w:val="SolbaseNormal"/>
        <w:ind w:left="0"/>
        <w:rPr>
          <w:rFonts w:ascii="Times New Roman" w:hAnsi="Times New Roman"/>
          <w:sz w:val="22"/>
          <w:szCs w:val="22"/>
        </w:rPr>
      </w:pPr>
      <w:r w:rsidRPr="00447D03">
        <w:rPr>
          <w:rFonts w:ascii="Times New Roman" w:hAnsi="Times New Roman"/>
          <w:sz w:val="22"/>
          <w:szCs w:val="22"/>
        </w:rPr>
        <w:t xml:space="preserve">L’application d’une approche holistique dans l’évaluation et la gestion des risques menaçant les approvisionnements en eau de boisson conduit à une plus grande confiance dans la sécurité́ sanitaire de cette eau. Cette approche suppose une évaluation systématique des risques associes à l’ensemble des aspects d’un approvisionnement en eau de boisson, depuis le captage et sa source jusqu’au consommateur, et l’identification des moyens permettant de gérer ces risques, notamment les méthodes destinées à garantir l’efficacité́ des mesures de maitrise des risques. </w:t>
      </w:r>
    </w:p>
    <w:p w:rsidR="00FD76D7" w:rsidRPr="00447D03" w:rsidRDefault="00FD76D7" w:rsidP="00FD76D7">
      <w:pPr>
        <w:pStyle w:val="SolbaseNormal"/>
        <w:ind w:left="0"/>
        <w:rPr>
          <w:rFonts w:ascii="Times New Roman" w:hAnsi="Times New Roman"/>
          <w:sz w:val="22"/>
          <w:szCs w:val="22"/>
        </w:rPr>
      </w:pPr>
      <w:r w:rsidRPr="00447D03">
        <w:rPr>
          <w:rFonts w:ascii="Times New Roman" w:hAnsi="Times New Roman"/>
          <w:sz w:val="22"/>
          <w:szCs w:val="22"/>
        </w:rPr>
        <w:t xml:space="preserve">Elle intègre des stratégies pour assurer la gestion au jour le jour de la qualité́ de l’eau, y compris les écarts et les défaillances. À cet égard, les changements climatiques - se manifestant par des périodes de sècheresse plus longues et plus accentuées ou par des précipitations plus intenses entrainant des inondations – peuvent avoir un impact à la fois sur la qualité́ et la quantité́ de l’eau et nécessiter une planification et une gestion permettant de réduire autant que possible les conséquences négatives pour l’approvisionnement en eau de boisson. Il peut également être nécessaire d’envisager les changements climatiques en tenant compte des changements démographiques, tels que l’urbanisation croissante, qui posent eux-mêmes d’importants défis pour l’approvisionnement en eau de boisson. </w:t>
      </w:r>
    </w:p>
    <w:p w:rsidR="00FD76D7" w:rsidRPr="007B52BA" w:rsidRDefault="00FD76D7" w:rsidP="00FA3FAE">
      <w:pPr>
        <w:pStyle w:val="SolbaseNormal"/>
        <w:numPr>
          <w:ilvl w:val="0"/>
          <w:numId w:val="227"/>
        </w:numPr>
        <w:rPr>
          <w:rFonts w:ascii="Times New Roman" w:hAnsi="Times New Roman"/>
          <w:b/>
          <w:lang w:val="x-none"/>
        </w:rPr>
      </w:pPr>
      <w:r w:rsidRPr="007B52BA">
        <w:rPr>
          <w:rFonts w:ascii="Times New Roman" w:hAnsi="Times New Roman"/>
          <w:b/>
          <w:lang w:val="x-none"/>
        </w:rPr>
        <w:t xml:space="preserve">Services d’approvisionnement en eau de boisson </w:t>
      </w:r>
    </w:p>
    <w:p w:rsidR="00FD76D7" w:rsidRPr="00447D03" w:rsidRDefault="00FD76D7" w:rsidP="00FD76D7">
      <w:pPr>
        <w:pStyle w:val="SolbaseNormal"/>
        <w:ind w:left="0"/>
        <w:rPr>
          <w:rFonts w:ascii="Times New Roman" w:hAnsi="Times New Roman"/>
          <w:sz w:val="22"/>
          <w:szCs w:val="22"/>
        </w:rPr>
      </w:pPr>
      <w:r w:rsidRPr="00447D03">
        <w:rPr>
          <w:rFonts w:ascii="Times New Roman" w:hAnsi="Times New Roman"/>
          <w:sz w:val="22"/>
          <w:szCs w:val="22"/>
        </w:rPr>
        <w:lastRenderedPageBreak/>
        <w:t xml:space="preserve">Les approvisionnements en eau de boisson peuvent aller de très grands réseaux urbains, desservant des dizaines de millions d’habitants, à de petits réseaux communautaires, alimentant en eau des populations très peu nombreuses. Dans la plupart des pays, ils comprennent des sources collectives et des réseaux canalises. </w:t>
      </w:r>
    </w:p>
    <w:p w:rsidR="00FD76D7" w:rsidRPr="00447D03" w:rsidRDefault="00FD76D7" w:rsidP="00FD76D7">
      <w:pPr>
        <w:pStyle w:val="SolbaseNormal"/>
        <w:ind w:left="0"/>
        <w:rPr>
          <w:rFonts w:ascii="Times New Roman" w:hAnsi="Times New Roman"/>
          <w:sz w:val="22"/>
          <w:szCs w:val="22"/>
        </w:rPr>
      </w:pPr>
      <w:r w:rsidRPr="00447D03">
        <w:rPr>
          <w:rFonts w:ascii="Times New Roman" w:hAnsi="Times New Roman"/>
          <w:sz w:val="22"/>
          <w:szCs w:val="22"/>
        </w:rPr>
        <w:t xml:space="preserve">Les services d’approvisionnement en eau de boisson ont en charge l’assurance et le contrôle de la qualité́. Ils sont responsables principalement de la préparation et de la mise en œuvre des plans de gestion de la sécurité́ sanitaire). </w:t>
      </w:r>
    </w:p>
    <w:p w:rsidR="00FD76D7" w:rsidRPr="000B53EE" w:rsidRDefault="00FD76D7" w:rsidP="00FD76D7">
      <w:pPr>
        <w:pStyle w:val="SolbaseNormal"/>
        <w:ind w:left="0"/>
        <w:rPr>
          <w:rFonts w:ascii="Times New Roman" w:hAnsi="Times New Roman"/>
          <w:sz w:val="22"/>
          <w:szCs w:val="22"/>
        </w:rPr>
      </w:pPr>
      <w:r w:rsidRPr="00447D03">
        <w:rPr>
          <w:rFonts w:ascii="Times New Roman" w:hAnsi="Times New Roman"/>
          <w:sz w:val="22"/>
          <w:szCs w:val="22"/>
        </w:rPr>
        <w:t xml:space="preserve">Dans nombre de cas, le fournisseur d’eau n’est pas responsable de la gestion des captages dont il tire son approvisionnement. Le rôle du fournisseur d’eau à l’égard des captages est de participer aux activités interservices de gestion des ressources en eau, de comprendre les risques pouvant être associés à des activités et à des incidents potentiellement contaminants et d’utiliser ces données pour évaluer les risques menaçant l’approvisionnement en eau et mettre au point et appliquer une gestion appropriée. Bien que les fournisseurs d’eau de boisson n’effectuent parfois pas eux-mêmes les investigations relatives aux captages et les évaluations des risques de pollution, il leur incombe d’identifier les besoins en la matière et de lancer la collaboration multiservices, par exemple avec les autorités sanitaires et les autorités de protection de l’environnement. </w:t>
      </w:r>
    </w:p>
    <w:p w:rsidR="000B53EE" w:rsidRPr="001E2895" w:rsidRDefault="000B53EE" w:rsidP="00FA3FAE">
      <w:pPr>
        <w:pStyle w:val="SolbaseNormal"/>
        <w:numPr>
          <w:ilvl w:val="0"/>
          <w:numId w:val="204"/>
        </w:numPr>
        <w:spacing w:before="120" w:line="276" w:lineRule="auto"/>
        <w:outlineLvl w:val="1"/>
        <w:rPr>
          <w:rFonts w:ascii="Times New Roman" w:hAnsi="Times New Roman"/>
          <w:b/>
          <w:bCs/>
          <w:sz w:val="28"/>
          <w:szCs w:val="28"/>
        </w:rPr>
      </w:pPr>
      <w:bookmarkStart w:id="942" w:name="_Toc32511692"/>
      <w:bookmarkStart w:id="943" w:name="_Toc51072676"/>
      <w:bookmarkStart w:id="944" w:name="_Toc32340797"/>
      <w:r w:rsidRPr="001E2895">
        <w:rPr>
          <w:rFonts w:ascii="Times New Roman" w:hAnsi="Times New Roman"/>
          <w:b/>
          <w:bCs/>
          <w:sz w:val="28"/>
          <w:szCs w:val="28"/>
        </w:rPr>
        <w:t>Permis et autorisations avant les travaux</w:t>
      </w:r>
      <w:bookmarkEnd w:id="942"/>
      <w:bookmarkEnd w:id="943"/>
      <w:r w:rsidRPr="001E2895">
        <w:rPr>
          <w:rFonts w:ascii="Times New Roman" w:hAnsi="Times New Roman"/>
          <w:b/>
          <w:bCs/>
          <w:sz w:val="28"/>
          <w:szCs w:val="28"/>
        </w:rPr>
        <w:t> </w:t>
      </w:r>
      <w:bookmarkEnd w:id="944"/>
    </w:p>
    <w:p w:rsidR="000B53EE" w:rsidRPr="000B53EE" w:rsidRDefault="000B53EE" w:rsidP="000B53EE">
      <w:pPr>
        <w:pStyle w:val="SolbaseNormal"/>
        <w:spacing w:after="0"/>
        <w:ind w:left="0"/>
        <w:rPr>
          <w:rFonts w:ascii="Times New Roman" w:hAnsi="Times New Roman"/>
          <w:sz w:val="22"/>
          <w:szCs w:val="22"/>
        </w:rPr>
      </w:pPr>
      <w:r w:rsidRPr="000B53EE">
        <w:rPr>
          <w:rFonts w:ascii="Times New Roman" w:hAnsi="Times New Roman"/>
          <w:sz w:val="22"/>
          <w:szCs w:val="22"/>
        </w:rPr>
        <w:t>Toute réalisation des travaux doit faire l’objet d’une procédure préalable d’information et d’autorisations administratives. Avant de commencer les travaux, l’Entrepreneur doit se procurer tous les permis nécessaires pour la réalisation des travaux prévus dans le contrat notamment en cas de : déboisement, d’élagage, d’exploitation de carrières et de sites d’emprunt, d’utilisation de différents réseaux publics, etc. Avant le démarrage des travaux, l’Entrepreneur doit se concerter avec les riverains avec lesquels il peut prendre des arrangements facilitant le déroulement des chantiers.</w:t>
      </w:r>
    </w:p>
    <w:p w:rsidR="000B53EE" w:rsidRPr="001E2895" w:rsidRDefault="000B53EE" w:rsidP="00FA3FAE">
      <w:pPr>
        <w:pStyle w:val="SolbaseNormal"/>
        <w:numPr>
          <w:ilvl w:val="0"/>
          <w:numId w:val="204"/>
        </w:numPr>
        <w:spacing w:before="120" w:line="276" w:lineRule="auto"/>
        <w:outlineLvl w:val="1"/>
        <w:rPr>
          <w:rFonts w:ascii="Times New Roman" w:hAnsi="Times New Roman"/>
          <w:b/>
          <w:bCs/>
          <w:sz w:val="28"/>
          <w:szCs w:val="28"/>
        </w:rPr>
      </w:pPr>
      <w:bookmarkStart w:id="945" w:name="_Toc32511693"/>
      <w:bookmarkStart w:id="946" w:name="_Toc51072677"/>
      <w:bookmarkStart w:id="947" w:name="_Toc32340798"/>
      <w:r w:rsidRPr="001E2895">
        <w:rPr>
          <w:rFonts w:ascii="Times New Roman" w:hAnsi="Times New Roman"/>
          <w:b/>
          <w:bCs/>
          <w:sz w:val="28"/>
          <w:szCs w:val="28"/>
        </w:rPr>
        <w:t>Réunion de démarrage des travaux</w:t>
      </w:r>
      <w:bookmarkEnd w:id="945"/>
      <w:bookmarkEnd w:id="946"/>
      <w:r w:rsidRPr="001E2895">
        <w:rPr>
          <w:rFonts w:ascii="Times New Roman" w:hAnsi="Times New Roman"/>
          <w:b/>
          <w:bCs/>
          <w:sz w:val="28"/>
          <w:szCs w:val="28"/>
        </w:rPr>
        <w:t> </w:t>
      </w:r>
      <w:bookmarkEnd w:id="947"/>
    </w:p>
    <w:p w:rsidR="000B53EE" w:rsidRPr="000B53EE" w:rsidRDefault="000B53EE" w:rsidP="000B53EE">
      <w:pPr>
        <w:pStyle w:val="SolbaseNormal"/>
        <w:spacing w:after="0"/>
        <w:ind w:left="0"/>
        <w:rPr>
          <w:rFonts w:ascii="Times New Roman" w:hAnsi="Times New Roman"/>
          <w:sz w:val="22"/>
          <w:szCs w:val="22"/>
        </w:rPr>
      </w:pPr>
      <w:r w:rsidRPr="000B53EE">
        <w:rPr>
          <w:rFonts w:ascii="Times New Roman" w:hAnsi="Times New Roman"/>
          <w:sz w:val="22"/>
          <w:szCs w:val="22"/>
        </w:rPr>
        <w:t>Avant le démarrage des travaux, l'Entrepreneur et le Maître d’œuvre, sous la supervision du Maître d’ouvrage, doivent organiser des réunions avec les autorités, les représentants des populations situées dans la zone du sous-projet n°1 et les services techniques compétents, pour les informer de la consistance des travaux à réaliser et leur durée, des itinéraires concernés et des emplacements susceptibles d'être affectés. Cette réunion permettra aussi au Maître d’ouvrage de recueillir les observations des populations, de les sensibiliser sur les enjeux environnementaux et sociaux et sur leurs relations avec les ouvriers.</w:t>
      </w:r>
    </w:p>
    <w:p w:rsidR="000B53EE" w:rsidRPr="001E2895" w:rsidRDefault="000B53EE" w:rsidP="00FA3FAE">
      <w:pPr>
        <w:pStyle w:val="SolbaseNormal"/>
        <w:numPr>
          <w:ilvl w:val="0"/>
          <w:numId w:val="204"/>
        </w:numPr>
        <w:spacing w:before="120" w:line="276" w:lineRule="auto"/>
        <w:outlineLvl w:val="1"/>
        <w:rPr>
          <w:rFonts w:ascii="Times New Roman" w:hAnsi="Times New Roman"/>
          <w:b/>
          <w:bCs/>
          <w:sz w:val="28"/>
          <w:szCs w:val="28"/>
        </w:rPr>
      </w:pPr>
      <w:bookmarkStart w:id="948" w:name="_Toc32511694"/>
      <w:bookmarkStart w:id="949" w:name="_Toc51072678"/>
      <w:bookmarkStart w:id="950" w:name="_Toc32340799"/>
      <w:r w:rsidRPr="001E2895">
        <w:rPr>
          <w:rFonts w:ascii="Times New Roman" w:hAnsi="Times New Roman"/>
          <w:b/>
          <w:bCs/>
          <w:sz w:val="28"/>
          <w:szCs w:val="28"/>
        </w:rPr>
        <w:t>Plan d’action de réinstallation (PAR)</w:t>
      </w:r>
      <w:bookmarkEnd w:id="948"/>
      <w:bookmarkEnd w:id="949"/>
      <w:r w:rsidRPr="001E2895">
        <w:rPr>
          <w:rFonts w:ascii="Times New Roman" w:hAnsi="Times New Roman"/>
          <w:b/>
          <w:bCs/>
          <w:sz w:val="28"/>
          <w:szCs w:val="28"/>
        </w:rPr>
        <w:t xml:space="preserve"> </w:t>
      </w:r>
      <w:bookmarkEnd w:id="950"/>
    </w:p>
    <w:p w:rsidR="000B53EE" w:rsidRPr="000B53EE" w:rsidRDefault="000B53EE" w:rsidP="000B53EE">
      <w:pPr>
        <w:pStyle w:val="SolbaseNormal"/>
        <w:spacing w:after="0"/>
        <w:ind w:left="0"/>
        <w:rPr>
          <w:rFonts w:ascii="Times New Roman" w:hAnsi="Times New Roman"/>
          <w:sz w:val="22"/>
          <w:szCs w:val="22"/>
        </w:rPr>
      </w:pPr>
      <w:r w:rsidRPr="000B53EE">
        <w:rPr>
          <w:rFonts w:ascii="Times New Roman" w:hAnsi="Times New Roman"/>
          <w:sz w:val="22"/>
          <w:szCs w:val="22"/>
        </w:rPr>
        <w:t xml:space="preserve">L’Entrepreneur devra informer les populations riveraines de l’existence d’un PAR élaboré dans le cadre du sous-projet n°1. Avant l’installation et le début des travaux, l’Entrepreneur doit s’assurer que les indemnisations/compensations sont effectivement payées aux ayants droit par le Maître d’ouvrage en respectant les règles de la Politique Opérationnelle 4.12 de la Banque Mondiale en matière de réinstallation involontaire, avant toute activité de destruction de kiosques, commerces, terrasses, pavés, arbres, etc. La libération des emprises doit se faire selon un calendrier défini en accord avec les populations affectées et le Maître d’ouvrage. </w:t>
      </w:r>
    </w:p>
    <w:p w:rsidR="000B53EE" w:rsidRPr="000B53EE" w:rsidRDefault="000B53EE" w:rsidP="000B53EE">
      <w:pPr>
        <w:pStyle w:val="SolbaseNormal"/>
        <w:spacing w:after="0"/>
        <w:ind w:left="0"/>
        <w:rPr>
          <w:rFonts w:ascii="Times New Roman" w:hAnsi="Times New Roman"/>
          <w:sz w:val="22"/>
          <w:szCs w:val="22"/>
        </w:rPr>
      </w:pPr>
      <w:r w:rsidRPr="000B53EE">
        <w:rPr>
          <w:rFonts w:ascii="Times New Roman" w:hAnsi="Times New Roman"/>
          <w:sz w:val="22"/>
          <w:szCs w:val="22"/>
        </w:rPr>
        <w:t xml:space="preserve">Suite aux travaux supplémentaires ou à un contournement approuvé par le maître d’œuvre, l’entrepreneur devra procéder à un inventaire et une évaluation des biens susceptibles d’être affectés et au moins quinze jours avant l'ouverture effective du chantier, il devra soumettre à l'approbation du Maître d’œuvre, un PAR, où il est clairement mentionné le montant des indemnisations et les mesures de compensation proposées. </w:t>
      </w:r>
    </w:p>
    <w:p w:rsidR="000B53EE" w:rsidRPr="000B53EE" w:rsidRDefault="000B53EE" w:rsidP="000B53EE">
      <w:pPr>
        <w:pStyle w:val="SolbaseNormal"/>
        <w:spacing w:after="0"/>
        <w:ind w:left="0"/>
        <w:rPr>
          <w:rFonts w:ascii="Times New Roman" w:hAnsi="Times New Roman"/>
          <w:sz w:val="22"/>
          <w:szCs w:val="22"/>
        </w:rPr>
      </w:pPr>
      <w:r w:rsidRPr="000B53EE">
        <w:rPr>
          <w:rFonts w:ascii="Times New Roman" w:hAnsi="Times New Roman"/>
          <w:sz w:val="22"/>
          <w:szCs w:val="22"/>
        </w:rPr>
        <w:t>Après approbation du PAR (Canevas à retirer à l’UI-PUASEE), l’entrepreneur peut, au besoin, procéder au paiement des indemnisations et présenter par la suite la facture de remboursement avec 5% de plus pour peines et soins.</w:t>
      </w:r>
    </w:p>
    <w:p w:rsidR="000B53EE" w:rsidRPr="000B53EE" w:rsidRDefault="000B53EE" w:rsidP="000B53EE">
      <w:pPr>
        <w:pStyle w:val="SolbaseNormal"/>
        <w:spacing w:after="0"/>
        <w:ind w:left="0"/>
        <w:rPr>
          <w:rFonts w:ascii="Times New Roman" w:hAnsi="Times New Roman"/>
          <w:sz w:val="22"/>
          <w:szCs w:val="22"/>
        </w:rPr>
      </w:pPr>
      <w:bookmarkStart w:id="951" w:name="_Toc32340800"/>
      <w:r w:rsidRPr="000B53EE">
        <w:rPr>
          <w:rFonts w:ascii="Times New Roman" w:hAnsi="Times New Roman"/>
          <w:sz w:val="22"/>
          <w:szCs w:val="22"/>
        </w:rPr>
        <w:t>Procédure d’indemnisation et de paiement</w:t>
      </w:r>
      <w:bookmarkEnd w:id="951"/>
      <w:r w:rsidRPr="000B53EE">
        <w:rPr>
          <w:rFonts w:ascii="Times New Roman" w:hAnsi="Times New Roman"/>
          <w:sz w:val="22"/>
          <w:szCs w:val="22"/>
        </w:rPr>
        <w:t xml:space="preserve"> </w:t>
      </w:r>
    </w:p>
    <w:p w:rsidR="000B53EE" w:rsidRPr="000B53EE" w:rsidRDefault="000B53EE" w:rsidP="000B53EE">
      <w:pPr>
        <w:pStyle w:val="SolbaseNormal"/>
        <w:spacing w:after="0"/>
        <w:ind w:left="0"/>
        <w:rPr>
          <w:rFonts w:ascii="Times New Roman" w:hAnsi="Times New Roman"/>
          <w:sz w:val="22"/>
          <w:szCs w:val="22"/>
        </w:rPr>
      </w:pPr>
      <w:r w:rsidRPr="000B53EE">
        <w:rPr>
          <w:rFonts w:ascii="Times New Roman" w:hAnsi="Times New Roman"/>
          <w:sz w:val="22"/>
          <w:szCs w:val="22"/>
        </w:rPr>
        <w:t>Après notification du marché des travaux, l’entreprise aura 60 jours pour présenter à la CEP un Rapport d’Evaluation des Pertes Economiques (REPE). Ce rapport qui sera préparé par l’environnementaliste de l’entreprise avec l’aide des ingénieurs de la CEP au niveau des antennes, devra être validé par la CEP afin de fixer définitivement le montant des indemnisations à effectuer pour pertes économiques causées par les travaux.</w:t>
      </w:r>
    </w:p>
    <w:p w:rsidR="000B53EE" w:rsidRPr="000B53EE" w:rsidRDefault="000B53EE" w:rsidP="000B53EE">
      <w:pPr>
        <w:pStyle w:val="SolbaseNormal"/>
        <w:spacing w:after="0"/>
        <w:ind w:left="0"/>
        <w:rPr>
          <w:rFonts w:ascii="Times New Roman" w:hAnsi="Times New Roman"/>
          <w:sz w:val="22"/>
          <w:szCs w:val="22"/>
        </w:rPr>
      </w:pPr>
      <w:r w:rsidRPr="000B53EE">
        <w:rPr>
          <w:rFonts w:ascii="Times New Roman" w:hAnsi="Times New Roman"/>
          <w:sz w:val="22"/>
          <w:szCs w:val="22"/>
        </w:rPr>
        <w:t>Ce travail devra se faire sous forme de négociation avec les personnes affectées sanctionnées par un procès-verbal de négociation où il est clairement mentionné le montant des indemnisations et les modalités d’indemnisation.</w:t>
      </w:r>
    </w:p>
    <w:p w:rsidR="000B53EE" w:rsidRPr="000B53EE" w:rsidRDefault="000B53EE" w:rsidP="000B53EE">
      <w:pPr>
        <w:pStyle w:val="SolbaseNormal"/>
        <w:spacing w:after="0"/>
        <w:ind w:left="0"/>
        <w:rPr>
          <w:rFonts w:ascii="Times New Roman" w:hAnsi="Times New Roman"/>
          <w:sz w:val="22"/>
          <w:szCs w:val="22"/>
        </w:rPr>
      </w:pPr>
      <w:r w:rsidRPr="000B53EE">
        <w:rPr>
          <w:rFonts w:ascii="Times New Roman" w:hAnsi="Times New Roman"/>
          <w:sz w:val="22"/>
          <w:szCs w:val="22"/>
        </w:rPr>
        <w:t>La CEP proposera à l’entreprise un modèle de tableau à suivre pour le REPE.</w:t>
      </w:r>
    </w:p>
    <w:p w:rsidR="000B53EE" w:rsidRPr="000B53EE" w:rsidRDefault="000B53EE" w:rsidP="000B53EE">
      <w:pPr>
        <w:pStyle w:val="SolbaseNormal"/>
        <w:spacing w:after="0"/>
        <w:ind w:left="0"/>
        <w:rPr>
          <w:rFonts w:ascii="Times New Roman" w:hAnsi="Times New Roman"/>
          <w:sz w:val="22"/>
          <w:szCs w:val="22"/>
        </w:rPr>
      </w:pPr>
      <w:r w:rsidRPr="000B53EE">
        <w:rPr>
          <w:rFonts w:ascii="Times New Roman" w:hAnsi="Times New Roman"/>
          <w:sz w:val="22"/>
          <w:szCs w:val="22"/>
        </w:rPr>
        <w:t>Il est aussi à noter que pour ces indemnisations, l’entreprise devra d’abord payer la totalité du montant avant d’introduire la facture de remboursement dans son prochain décompte avec 10% de plus pour peines et soins.</w:t>
      </w:r>
    </w:p>
    <w:p w:rsidR="000B53EE" w:rsidRPr="000B53EE" w:rsidRDefault="000B53EE" w:rsidP="000B53EE">
      <w:pPr>
        <w:pStyle w:val="SolbaseNormal"/>
        <w:spacing w:after="0"/>
        <w:ind w:left="0"/>
        <w:rPr>
          <w:rFonts w:ascii="Times New Roman" w:hAnsi="Times New Roman"/>
          <w:sz w:val="22"/>
          <w:szCs w:val="22"/>
        </w:rPr>
      </w:pPr>
      <w:r w:rsidRPr="000B53EE">
        <w:rPr>
          <w:rFonts w:ascii="Times New Roman" w:hAnsi="Times New Roman"/>
          <w:sz w:val="22"/>
          <w:szCs w:val="22"/>
        </w:rPr>
        <w:t>Le paiement des indemnisations se fera par la procédure suivante :</w:t>
      </w:r>
    </w:p>
    <w:p w:rsidR="000B53EE" w:rsidRPr="000B53EE" w:rsidRDefault="000B53EE" w:rsidP="000B53EE">
      <w:pPr>
        <w:pStyle w:val="SolbaseNormal"/>
        <w:spacing w:after="0"/>
        <w:ind w:left="0"/>
        <w:rPr>
          <w:rFonts w:ascii="Times New Roman" w:hAnsi="Times New Roman"/>
          <w:sz w:val="22"/>
          <w:szCs w:val="22"/>
        </w:rPr>
      </w:pPr>
      <w:r w:rsidRPr="000B53EE">
        <w:rPr>
          <w:rFonts w:ascii="Times New Roman" w:hAnsi="Times New Roman"/>
          <w:sz w:val="22"/>
          <w:szCs w:val="22"/>
        </w:rPr>
        <w:lastRenderedPageBreak/>
        <w:t>Lorsque la liste des bénéficiaires ait été définitivement arrêtée, et que le REPE et le PV de négociations ait été validé par la CEP, il reviendra à l’entreprise de proposer une date de démarrage des indemnisations dont la durée ne peut excéder 2 jours ;</w:t>
      </w:r>
    </w:p>
    <w:p w:rsidR="000B53EE" w:rsidRPr="000B53EE" w:rsidRDefault="000B53EE" w:rsidP="000B53EE">
      <w:pPr>
        <w:pStyle w:val="SolbaseNormal"/>
        <w:spacing w:after="0"/>
        <w:ind w:left="0"/>
        <w:rPr>
          <w:rFonts w:ascii="Times New Roman" w:hAnsi="Times New Roman"/>
          <w:sz w:val="22"/>
          <w:szCs w:val="22"/>
        </w:rPr>
      </w:pPr>
      <w:r w:rsidRPr="000B53EE">
        <w:rPr>
          <w:rFonts w:ascii="Times New Roman" w:hAnsi="Times New Roman"/>
          <w:sz w:val="22"/>
          <w:szCs w:val="22"/>
        </w:rPr>
        <w:t xml:space="preserve">La liste définitive des bénéficiaires devra être affichée sur la place publique et à la mairie ou au bureau de l’Administrateur du Territoire afin de permettre aux bénéficiaires de faire des réclamations si nécessaires. </w:t>
      </w:r>
    </w:p>
    <w:p w:rsidR="000B53EE" w:rsidRPr="001E2895" w:rsidRDefault="000B53EE" w:rsidP="00FA3FAE">
      <w:pPr>
        <w:pStyle w:val="SolbaseNormal"/>
        <w:numPr>
          <w:ilvl w:val="0"/>
          <w:numId w:val="204"/>
        </w:numPr>
        <w:spacing w:before="120" w:line="276" w:lineRule="auto"/>
        <w:outlineLvl w:val="1"/>
        <w:rPr>
          <w:rFonts w:ascii="Times New Roman" w:hAnsi="Times New Roman"/>
          <w:b/>
          <w:bCs/>
          <w:sz w:val="28"/>
          <w:szCs w:val="28"/>
        </w:rPr>
      </w:pPr>
      <w:bookmarkStart w:id="952" w:name="_Toc32340801"/>
      <w:bookmarkStart w:id="953" w:name="_Toc32511695"/>
      <w:bookmarkStart w:id="954" w:name="_Toc51072679"/>
      <w:r w:rsidRPr="001E2895">
        <w:rPr>
          <w:rFonts w:ascii="Times New Roman" w:hAnsi="Times New Roman"/>
          <w:b/>
          <w:bCs/>
          <w:sz w:val="28"/>
          <w:szCs w:val="28"/>
        </w:rPr>
        <w:t>Commission d’indemnisation</w:t>
      </w:r>
      <w:bookmarkEnd w:id="952"/>
      <w:bookmarkEnd w:id="953"/>
      <w:bookmarkEnd w:id="954"/>
    </w:p>
    <w:p w:rsidR="000B53EE" w:rsidRPr="000B53EE" w:rsidRDefault="000B53EE" w:rsidP="000B53EE">
      <w:pPr>
        <w:pStyle w:val="SolbaseNormal"/>
        <w:spacing w:after="0"/>
        <w:ind w:left="0"/>
        <w:rPr>
          <w:rFonts w:ascii="Times New Roman" w:hAnsi="Times New Roman"/>
          <w:sz w:val="22"/>
          <w:szCs w:val="22"/>
        </w:rPr>
      </w:pPr>
      <w:r w:rsidRPr="000B53EE">
        <w:rPr>
          <w:rFonts w:ascii="Times New Roman" w:hAnsi="Times New Roman"/>
          <w:sz w:val="22"/>
          <w:szCs w:val="22"/>
        </w:rPr>
        <w:t>Une commission des indemnisations sera ainsi constituée. Elle sera composée de la CEP, de l’entreprise, de la</w:t>
      </w:r>
      <w:r w:rsidRPr="000B53EE">
        <w:rPr>
          <w:rFonts w:ascii="Times New Roman" w:hAnsi="Times New Roman"/>
          <w:sz w:val="22"/>
          <w:szCs w:val="22"/>
        </w:rPr>
        <w:tab/>
        <w:t xml:space="preserve"> mission de contrôle des travaux et du représentant de l’autorité publique.</w:t>
      </w:r>
    </w:p>
    <w:p w:rsidR="000B53EE" w:rsidRPr="000B53EE" w:rsidRDefault="000B53EE" w:rsidP="000B53EE">
      <w:pPr>
        <w:pStyle w:val="SolbaseNormal"/>
        <w:spacing w:after="0"/>
        <w:ind w:left="0"/>
        <w:rPr>
          <w:rFonts w:ascii="Times New Roman" w:hAnsi="Times New Roman"/>
          <w:sz w:val="22"/>
          <w:szCs w:val="22"/>
        </w:rPr>
      </w:pPr>
      <w:r w:rsidRPr="000B53EE">
        <w:rPr>
          <w:rFonts w:ascii="Times New Roman" w:hAnsi="Times New Roman"/>
          <w:sz w:val="22"/>
          <w:szCs w:val="22"/>
        </w:rPr>
        <w:t>Une fiche d’identification du bénéficiaire (avec photo) sera préparée par l’entreprise afin de lui permettre après, de préparer le rapport final d’indemnisation à valider par la CEP.</w:t>
      </w:r>
    </w:p>
    <w:p w:rsidR="000B53EE" w:rsidRPr="001E2895" w:rsidRDefault="000B53EE" w:rsidP="00FA3FAE">
      <w:pPr>
        <w:pStyle w:val="SolbaseNormal"/>
        <w:numPr>
          <w:ilvl w:val="0"/>
          <w:numId w:val="204"/>
        </w:numPr>
        <w:spacing w:before="120" w:line="276" w:lineRule="auto"/>
        <w:outlineLvl w:val="1"/>
        <w:rPr>
          <w:rFonts w:ascii="Times New Roman" w:hAnsi="Times New Roman"/>
          <w:b/>
          <w:bCs/>
          <w:sz w:val="28"/>
          <w:szCs w:val="28"/>
        </w:rPr>
      </w:pPr>
      <w:bookmarkStart w:id="955" w:name="_Toc32340802"/>
      <w:bookmarkStart w:id="956" w:name="_Toc32511696"/>
      <w:bookmarkStart w:id="957" w:name="_Toc51072680"/>
      <w:r w:rsidRPr="001E2895">
        <w:rPr>
          <w:rFonts w:ascii="Times New Roman" w:hAnsi="Times New Roman"/>
          <w:b/>
          <w:bCs/>
          <w:sz w:val="28"/>
          <w:szCs w:val="28"/>
        </w:rPr>
        <w:t>Gestion des impacts négatifs attendus sur le sol</w:t>
      </w:r>
      <w:bookmarkEnd w:id="955"/>
      <w:bookmarkEnd w:id="956"/>
      <w:bookmarkEnd w:id="957"/>
    </w:p>
    <w:p w:rsidR="000B53EE" w:rsidRPr="000B53EE" w:rsidRDefault="000B53EE" w:rsidP="000B53EE">
      <w:pPr>
        <w:pStyle w:val="SolbaseNormal"/>
        <w:spacing w:after="0"/>
        <w:ind w:left="0"/>
        <w:rPr>
          <w:rFonts w:ascii="Times New Roman" w:hAnsi="Times New Roman"/>
          <w:sz w:val="22"/>
          <w:szCs w:val="22"/>
        </w:rPr>
      </w:pPr>
      <w:r w:rsidRPr="000B53EE">
        <w:rPr>
          <w:rFonts w:ascii="Times New Roman" w:hAnsi="Times New Roman"/>
          <w:sz w:val="22"/>
          <w:szCs w:val="22"/>
        </w:rPr>
        <w:t>L’entreprise mettra tout en œuvre pour protéger (revêtir, paver, végétaliser, etc.) les sols fragiles et exposés dans les zones à forte densité d'habitat, afin d'éviter leur érosion. Dans le cas ou des espaces de grande envergure restent découverts, l’entreprise devra procéder à un aménagement paysager dont les plans seront préalablement validés par le Maître d’ouvrage.</w:t>
      </w:r>
    </w:p>
    <w:p w:rsidR="000B53EE" w:rsidRPr="000B53EE" w:rsidRDefault="000B53EE" w:rsidP="000B53EE">
      <w:pPr>
        <w:pStyle w:val="SolbaseNormal"/>
        <w:spacing w:after="0"/>
        <w:ind w:left="0"/>
        <w:rPr>
          <w:rFonts w:ascii="Times New Roman" w:hAnsi="Times New Roman"/>
          <w:sz w:val="22"/>
          <w:szCs w:val="22"/>
        </w:rPr>
      </w:pPr>
      <w:r w:rsidRPr="000B53EE">
        <w:rPr>
          <w:rFonts w:ascii="Times New Roman" w:hAnsi="Times New Roman"/>
          <w:sz w:val="22"/>
          <w:szCs w:val="22"/>
        </w:rPr>
        <w:t>L’entreprise aura à protéger le sol sur tous les sites qu’elle aura à occuper au cours des travaux. Pour cela, il est conseillé que des zones de moindres risques soient choisies et privilégiées. Ainsi, il faudra pour les entreprises :</w:t>
      </w:r>
    </w:p>
    <w:p w:rsidR="000B53EE" w:rsidRPr="000B53EE" w:rsidRDefault="00FD76D7" w:rsidP="00FA3FAE">
      <w:pPr>
        <w:pStyle w:val="SolbaseNormal"/>
        <w:numPr>
          <w:ilvl w:val="0"/>
          <w:numId w:val="209"/>
        </w:numPr>
        <w:spacing w:after="0"/>
        <w:rPr>
          <w:rFonts w:ascii="Times New Roman" w:hAnsi="Times New Roman"/>
          <w:sz w:val="22"/>
          <w:szCs w:val="22"/>
        </w:rPr>
      </w:pPr>
      <w:r w:rsidRPr="000B53EE">
        <w:rPr>
          <w:rFonts w:ascii="Times New Roman" w:hAnsi="Times New Roman"/>
          <w:sz w:val="22"/>
          <w:szCs w:val="22"/>
        </w:rPr>
        <w:t>Éviter</w:t>
      </w:r>
      <w:r w:rsidR="000B53EE" w:rsidRPr="000B53EE">
        <w:rPr>
          <w:rFonts w:ascii="Times New Roman" w:hAnsi="Times New Roman"/>
          <w:sz w:val="22"/>
          <w:szCs w:val="22"/>
        </w:rPr>
        <w:t xml:space="preserve"> de choisir d’occuper des sites qui peuvent polluer directement les cours d’eau à la suite d’une pollution du sol ;</w:t>
      </w:r>
    </w:p>
    <w:p w:rsidR="000B53EE" w:rsidRPr="000B53EE" w:rsidRDefault="00FD76D7" w:rsidP="00FA3FAE">
      <w:pPr>
        <w:pStyle w:val="SolbaseNormal"/>
        <w:numPr>
          <w:ilvl w:val="0"/>
          <w:numId w:val="209"/>
        </w:numPr>
        <w:spacing w:after="0"/>
        <w:rPr>
          <w:rFonts w:ascii="Times New Roman" w:hAnsi="Times New Roman"/>
          <w:sz w:val="22"/>
          <w:szCs w:val="22"/>
        </w:rPr>
      </w:pPr>
      <w:r w:rsidRPr="000B53EE">
        <w:rPr>
          <w:rFonts w:ascii="Times New Roman" w:hAnsi="Times New Roman"/>
          <w:sz w:val="22"/>
          <w:szCs w:val="22"/>
        </w:rPr>
        <w:t>Choisir</w:t>
      </w:r>
      <w:r w:rsidR="000B53EE" w:rsidRPr="000B53EE">
        <w:rPr>
          <w:rFonts w:ascii="Times New Roman" w:hAnsi="Times New Roman"/>
          <w:sz w:val="22"/>
          <w:szCs w:val="22"/>
        </w:rPr>
        <w:t xml:space="preserve"> les zones où la nappe phréatique est la plus profonde ;</w:t>
      </w:r>
    </w:p>
    <w:p w:rsidR="000B53EE" w:rsidRDefault="00FD76D7" w:rsidP="00FA3FAE">
      <w:pPr>
        <w:pStyle w:val="SolbaseNormal"/>
        <w:numPr>
          <w:ilvl w:val="0"/>
          <w:numId w:val="209"/>
        </w:numPr>
        <w:spacing w:after="0"/>
        <w:rPr>
          <w:rFonts w:ascii="Times New Roman" w:hAnsi="Times New Roman"/>
          <w:sz w:val="22"/>
          <w:szCs w:val="22"/>
        </w:rPr>
      </w:pPr>
      <w:r w:rsidRPr="000B53EE">
        <w:rPr>
          <w:rFonts w:ascii="Times New Roman" w:hAnsi="Times New Roman"/>
          <w:sz w:val="22"/>
          <w:szCs w:val="22"/>
        </w:rPr>
        <w:t>Protéger</w:t>
      </w:r>
      <w:r w:rsidR="000B53EE" w:rsidRPr="000B53EE">
        <w:rPr>
          <w:rFonts w:ascii="Times New Roman" w:hAnsi="Times New Roman"/>
          <w:sz w:val="22"/>
          <w:szCs w:val="22"/>
        </w:rPr>
        <w:t xml:space="preserve"> les sites choisis par une couche de matériaux compactée pour réduire les possibilités d’infiltration de polluants liquides ;</w:t>
      </w:r>
    </w:p>
    <w:p w:rsidR="00FD76D7" w:rsidRPr="00FD76D7" w:rsidRDefault="00FD76D7" w:rsidP="00FA3FAE">
      <w:pPr>
        <w:pStyle w:val="SolbaseNormal"/>
        <w:numPr>
          <w:ilvl w:val="0"/>
          <w:numId w:val="209"/>
        </w:numPr>
        <w:spacing w:after="0"/>
        <w:rPr>
          <w:rFonts w:ascii="Times New Roman" w:hAnsi="Times New Roman"/>
          <w:sz w:val="22"/>
          <w:szCs w:val="22"/>
        </w:rPr>
      </w:pPr>
      <w:r>
        <w:rPr>
          <w:rFonts w:ascii="Times New Roman" w:hAnsi="Times New Roman"/>
          <w:sz w:val="22"/>
          <w:szCs w:val="22"/>
        </w:rPr>
        <w:t>De poser les cuves et fûts de stockage d’hydrocarbures sur des rétentions étanches ;</w:t>
      </w:r>
    </w:p>
    <w:p w:rsidR="000B53EE" w:rsidRPr="000B53EE" w:rsidRDefault="00FD76D7" w:rsidP="00FA3FAE">
      <w:pPr>
        <w:pStyle w:val="SolbaseNormal"/>
        <w:numPr>
          <w:ilvl w:val="0"/>
          <w:numId w:val="209"/>
        </w:numPr>
        <w:spacing w:after="0"/>
        <w:rPr>
          <w:rFonts w:ascii="Times New Roman" w:hAnsi="Times New Roman"/>
          <w:sz w:val="22"/>
          <w:szCs w:val="22"/>
        </w:rPr>
      </w:pPr>
      <w:r w:rsidRPr="000B53EE">
        <w:rPr>
          <w:rFonts w:ascii="Times New Roman" w:hAnsi="Times New Roman"/>
          <w:sz w:val="22"/>
          <w:szCs w:val="22"/>
        </w:rPr>
        <w:t>Protéger</w:t>
      </w:r>
      <w:r w:rsidR="000B53EE" w:rsidRPr="000B53EE">
        <w:rPr>
          <w:rFonts w:ascii="Times New Roman" w:hAnsi="Times New Roman"/>
          <w:sz w:val="22"/>
          <w:szCs w:val="22"/>
        </w:rPr>
        <w:t xml:space="preserve"> par une couche de béton l’espace choisi pour le lavage et la vidange des engins ;</w:t>
      </w:r>
    </w:p>
    <w:p w:rsidR="000B53EE" w:rsidRPr="000B53EE" w:rsidRDefault="00FD76D7" w:rsidP="00FA3FAE">
      <w:pPr>
        <w:pStyle w:val="SolbaseNormal"/>
        <w:numPr>
          <w:ilvl w:val="0"/>
          <w:numId w:val="209"/>
        </w:numPr>
        <w:spacing w:after="0"/>
        <w:rPr>
          <w:rFonts w:ascii="Times New Roman" w:hAnsi="Times New Roman"/>
          <w:sz w:val="22"/>
          <w:szCs w:val="22"/>
        </w:rPr>
      </w:pPr>
      <w:r w:rsidRPr="000B53EE">
        <w:rPr>
          <w:rFonts w:ascii="Times New Roman" w:hAnsi="Times New Roman"/>
          <w:sz w:val="22"/>
          <w:szCs w:val="22"/>
        </w:rPr>
        <w:t>Récupérer</w:t>
      </w:r>
      <w:r w:rsidR="000B53EE" w:rsidRPr="000B53EE">
        <w:rPr>
          <w:rFonts w:ascii="Times New Roman" w:hAnsi="Times New Roman"/>
          <w:sz w:val="22"/>
          <w:szCs w:val="22"/>
        </w:rPr>
        <w:t xml:space="preserve"> les déchets et les cantonnés dans des bacs ou </w:t>
      </w:r>
      <w:r w:rsidRPr="000B53EE">
        <w:rPr>
          <w:rFonts w:ascii="Times New Roman" w:hAnsi="Times New Roman"/>
          <w:sz w:val="22"/>
          <w:szCs w:val="22"/>
        </w:rPr>
        <w:t>conteneurs au</w:t>
      </w:r>
      <w:r w:rsidR="000B53EE" w:rsidRPr="000B53EE">
        <w:rPr>
          <w:rFonts w:ascii="Times New Roman" w:hAnsi="Times New Roman"/>
          <w:sz w:val="22"/>
          <w:szCs w:val="22"/>
        </w:rPr>
        <w:t xml:space="preserve"> lieu de les jeter sur le sol ; </w:t>
      </w:r>
    </w:p>
    <w:p w:rsidR="000B53EE" w:rsidRPr="000B53EE" w:rsidRDefault="000B53EE" w:rsidP="00FA3FAE">
      <w:pPr>
        <w:pStyle w:val="SolbaseNormal"/>
        <w:numPr>
          <w:ilvl w:val="0"/>
          <w:numId w:val="209"/>
        </w:numPr>
        <w:spacing w:after="0"/>
        <w:rPr>
          <w:rFonts w:ascii="Times New Roman" w:hAnsi="Times New Roman"/>
          <w:sz w:val="22"/>
          <w:szCs w:val="22"/>
        </w:rPr>
      </w:pPr>
      <w:r w:rsidRPr="000B53EE">
        <w:rPr>
          <w:rFonts w:ascii="Times New Roman" w:hAnsi="Times New Roman"/>
          <w:sz w:val="22"/>
          <w:szCs w:val="22"/>
        </w:rPr>
        <w:t>Procéder à l’incinération de ses ordures (fûts améliorés) à défaut de les acheminer vers une décharge contrôlée.</w:t>
      </w:r>
    </w:p>
    <w:p w:rsidR="000B53EE" w:rsidRPr="000B53EE" w:rsidRDefault="000B53EE" w:rsidP="00FA3FAE">
      <w:pPr>
        <w:pStyle w:val="SolbaseNormal"/>
        <w:numPr>
          <w:ilvl w:val="0"/>
          <w:numId w:val="209"/>
        </w:numPr>
        <w:spacing w:after="0"/>
        <w:rPr>
          <w:rFonts w:ascii="Times New Roman" w:hAnsi="Times New Roman"/>
          <w:sz w:val="22"/>
          <w:szCs w:val="22"/>
        </w:rPr>
      </w:pPr>
      <w:r w:rsidRPr="000B53EE">
        <w:rPr>
          <w:rFonts w:ascii="Times New Roman" w:hAnsi="Times New Roman"/>
          <w:sz w:val="22"/>
          <w:szCs w:val="22"/>
        </w:rPr>
        <w:t>Les sols occupés par l’entreprise devront être mis en valeur à la fin des travaux, en concertation avec les populations et les autorités locales. Les constructions et aménagements utiles devront être restitués aux collectivités riveraines comme utilité publique.</w:t>
      </w:r>
    </w:p>
    <w:p w:rsidR="000B53EE" w:rsidRPr="000B53EE" w:rsidRDefault="000B53EE" w:rsidP="00FA3FAE">
      <w:pPr>
        <w:pStyle w:val="SolbaseNormal"/>
        <w:numPr>
          <w:ilvl w:val="0"/>
          <w:numId w:val="209"/>
        </w:numPr>
        <w:spacing w:after="0"/>
        <w:rPr>
          <w:rFonts w:ascii="Times New Roman" w:hAnsi="Times New Roman"/>
          <w:sz w:val="22"/>
          <w:szCs w:val="22"/>
        </w:rPr>
      </w:pPr>
      <w:r w:rsidRPr="000B53EE">
        <w:rPr>
          <w:rFonts w:ascii="Times New Roman" w:hAnsi="Times New Roman"/>
          <w:sz w:val="22"/>
          <w:szCs w:val="22"/>
        </w:rPr>
        <w:t>Les entreprises présenteront au début des travaux un Plan de Remise en Etat des Sites Souillés (PRESS) qui doit être validé par le Maitre d’Ouvrage, qui veillera à son application effective avant la réception provisoire des travaux.</w:t>
      </w:r>
    </w:p>
    <w:p w:rsidR="000B53EE" w:rsidRPr="000B53EE" w:rsidRDefault="000B53EE" w:rsidP="000B53EE">
      <w:pPr>
        <w:pStyle w:val="SolbaseNormal"/>
        <w:spacing w:after="0"/>
        <w:ind w:left="0"/>
        <w:rPr>
          <w:rFonts w:ascii="Times New Roman" w:hAnsi="Times New Roman"/>
          <w:sz w:val="22"/>
          <w:szCs w:val="22"/>
        </w:rPr>
      </w:pPr>
    </w:p>
    <w:p w:rsidR="000B53EE" w:rsidRPr="000B53EE" w:rsidRDefault="000B53EE" w:rsidP="000B53EE">
      <w:pPr>
        <w:pStyle w:val="SolbaseNormal"/>
        <w:spacing w:after="0"/>
        <w:ind w:left="0"/>
        <w:rPr>
          <w:rFonts w:ascii="Times New Roman" w:hAnsi="Times New Roman"/>
          <w:sz w:val="22"/>
          <w:szCs w:val="22"/>
        </w:rPr>
      </w:pPr>
      <w:r w:rsidRPr="000B53EE">
        <w:rPr>
          <w:rFonts w:ascii="Times New Roman" w:hAnsi="Times New Roman"/>
          <w:sz w:val="22"/>
          <w:szCs w:val="22"/>
        </w:rPr>
        <w:t>Il est exigé de reconstituer le relief naturel après comblement des excavations et nivellement du sol.</w:t>
      </w:r>
    </w:p>
    <w:p w:rsidR="000B53EE" w:rsidRPr="000B53EE" w:rsidRDefault="000B53EE" w:rsidP="000B53EE">
      <w:pPr>
        <w:pStyle w:val="SolbaseNormal"/>
        <w:spacing w:after="0"/>
        <w:ind w:left="0"/>
        <w:rPr>
          <w:rFonts w:ascii="Times New Roman" w:hAnsi="Times New Roman"/>
          <w:sz w:val="22"/>
          <w:szCs w:val="22"/>
        </w:rPr>
      </w:pPr>
    </w:p>
    <w:p w:rsidR="000B53EE" w:rsidRPr="000B53EE" w:rsidRDefault="000B53EE" w:rsidP="000B53EE">
      <w:pPr>
        <w:pStyle w:val="SolbaseNormal"/>
        <w:spacing w:after="0"/>
        <w:ind w:left="0"/>
        <w:rPr>
          <w:rFonts w:ascii="Times New Roman" w:hAnsi="Times New Roman"/>
          <w:sz w:val="22"/>
          <w:szCs w:val="22"/>
        </w:rPr>
      </w:pPr>
      <w:r w:rsidRPr="000B53EE">
        <w:rPr>
          <w:rFonts w:ascii="Times New Roman" w:hAnsi="Times New Roman"/>
          <w:sz w:val="22"/>
          <w:szCs w:val="22"/>
        </w:rPr>
        <w:t>Il est suggéré de remettre en surface la terre végétale qui avait été mise en réserve lors de l’occupation des sols. La mise en place d’une couche de 10 cm de terre végétale, suivie d’un sous-solage du sol compacté augmentera la perméabilité et le pouvoir d’infiltration et ainsi facilitera la reprise végétale.</w:t>
      </w:r>
    </w:p>
    <w:p w:rsidR="000B53EE" w:rsidRPr="000B53EE" w:rsidRDefault="000B53EE" w:rsidP="000B53EE">
      <w:pPr>
        <w:pStyle w:val="SolbaseNormal"/>
        <w:spacing w:after="0"/>
        <w:ind w:left="0"/>
        <w:rPr>
          <w:rFonts w:ascii="Times New Roman" w:hAnsi="Times New Roman"/>
          <w:sz w:val="22"/>
          <w:szCs w:val="22"/>
        </w:rPr>
      </w:pPr>
    </w:p>
    <w:p w:rsidR="000B53EE" w:rsidRPr="000B53EE" w:rsidRDefault="000B53EE" w:rsidP="000B53EE">
      <w:pPr>
        <w:pStyle w:val="SolbaseNormal"/>
        <w:spacing w:after="0"/>
        <w:ind w:left="0"/>
        <w:rPr>
          <w:rFonts w:ascii="Times New Roman" w:hAnsi="Times New Roman"/>
          <w:sz w:val="22"/>
          <w:szCs w:val="22"/>
        </w:rPr>
      </w:pPr>
      <w:r w:rsidRPr="000B53EE">
        <w:rPr>
          <w:rFonts w:ascii="Times New Roman" w:hAnsi="Times New Roman"/>
          <w:sz w:val="22"/>
          <w:szCs w:val="22"/>
        </w:rPr>
        <w:t>Il est important de faciliter et de favoriser le retour des végétaux dans les zones occupées et les sites des travaux par des moyens adéquats en utilisant des espèces ligneuses à croissance rapide et adaptées à l’écosystème local.</w:t>
      </w:r>
    </w:p>
    <w:p w:rsidR="000B53EE" w:rsidRPr="000B53EE" w:rsidRDefault="000B53EE" w:rsidP="000B53EE">
      <w:pPr>
        <w:pStyle w:val="SolbaseNormal"/>
        <w:spacing w:after="0"/>
        <w:ind w:left="0"/>
        <w:rPr>
          <w:rFonts w:ascii="Times New Roman" w:hAnsi="Times New Roman"/>
          <w:sz w:val="22"/>
          <w:szCs w:val="22"/>
        </w:rPr>
      </w:pPr>
    </w:p>
    <w:p w:rsidR="000B53EE" w:rsidRPr="000B53EE" w:rsidRDefault="000B53EE" w:rsidP="000B53EE">
      <w:pPr>
        <w:pStyle w:val="SolbaseNormal"/>
        <w:spacing w:after="0"/>
        <w:ind w:left="0"/>
        <w:rPr>
          <w:rFonts w:ascii="Times New Roman" w:hAnsi="Times New Roman"/>
          <w:sz w:val="22"/>
          <w:szCs w:val="22"/>
        </w:rPr>
      </w:pPr>
      <w:r w:rsidRPr="000B53EE">
        <w:rPr>
          <w:rFonts w:ascii="Times New Roman" w:hAnsi="Times New Roman"/>
          <w:sz w:val="22"/>
          <w:szCs w:val="22"/>
        </w:rPr>
        <w:t>Avant le début des travaux, l’entreprise devra soumettre au Maitre d’Ouvrage, un Plan de Gestion Ecologiquement Rationnel des Déchets (PGERD) de ses propres déchets (solides et liquides) et ordures banales. Ce PGERD devra être validé par l’EMO qui veillera à son application effective et rigoureuse.</w:t>
      </w:r>
    </w:p>
    <w:p w:rsidR="000B53EE" w:rsidRPr="000B53EE" w:rsidRDefault="000B53EE" w:rsidP="000B53EE">
      <w:pPr>
        <w:pStyle w:val="SolbaseNormal"/>
        <w:spacing w:after="0"/>
        <w:ind w:left="0"/>
        <w:rPr>
          <w:rFonts w:ascii="Times New Roman" w:hAnsi="Times New Roman"/>
          <w:sz w:val="22"/>
          <w:szCs w:val="22"/>
        </w:rPr>
      </w:pPr>
    </w:p>
    <w:p w:rsidR="000B53EE" w:rsidRPr="000B53EE" w:rsidRDefault="000B53EE" w:rsidP="000B53EE">
      <w:pPr>
        <w:pStyle w:val="SolbaseNormal"/>
        <w:spacing w:after="0"/>
        <w:ind w:left="0"/>
        <w:rPr>
          <w:rFonts w:ascii="Times New Roman" w:hAnsi="Times New Roman"/>
          <w:sz w:val="22"/>
          <w:szCs w:val="22"/>
        </w:rPr>
      </w:pPr>
      <w:r w:rsidRPr="000B53EE">
        <w:rPr>
          <w:rFonts w:ascii="Times New Roman" w:hAnsi="Times New Roman"/>
          <w:sz w:val="22"/>
          <w:szCs w:val="22"/>
        </w:rPr>
        <w:t xml:space="preserve">Le Maître d’Ouvrage et le Maître d’œuvre devront approuver les sites désignés pour l’installation technique de l’entreprise en tenant compte de la sensibilité environnementale et sociale du site. </w:t>
      </w:r>
    </w:p>
    <w:p w:rsidR="000B53EE" w:rsidRPr="001E2895" w:rsidRDefault="000B53EE" w:rsidP="00FA3FAE">
      <w:pPr>
        <w:pStyle w:val="SolbaseNormal"/>
        <w:numPr>
          <w:ilvl w:val="0"/>
          <w:numId w:val="204"/>
        </w:numPr>
        <w:spacing w:before="120" w:line="276" w:lineRule="auto"/>
        <w:outlineLvl w:val="1"/>
        <w:rPr>
          <w:rFonts w:ascii="Times New Roman" w:hAnsi="Times New Roman"/>
          <w:b/>
          <w:bCs/>
          <w:sz w:val="28"/>
          <w:szCs w:val="28"/>
        </w:rPr>
      </w:pPr>
      <w:bookmarkStart w:id="958" w:name="_Toc32340803"/>
      <w:bookmarkStart w:id="959" w:name="_Toc32511697"/>
      <w:bookmarkStart w:id="960" w:name="_Toc51072681"/>
      <w:r w:rsidRPr="001E2895">
        <w:rPr>
          <w:rFonts w:ascii="Times New Roman" w:hAnsi="Times New Roman"/>
          <w:b/>
          <w:bCs/>
          <w:sz w:val="28"/>
          <w:szCs w:val="28"/>
        </w:rPr>
        <w:t>Gestion des impacts négatifs attendus sur l’eau</w:t>
      </w:r>
      <w:bookmarkEnd w:id="958"/>
      <w:bookmarkEnd w:id="959"/>
      <w:bookmarkEnd w:id="960"/>
    </w:p>
    <w:p w:rsidR="000B53EE" w:rsidRPr="000B53EE" w:rsidRDefault="000B53EE" w:rsidP="000B53EE">
      <w:pPr>
        <w:pStyle w:val="SolbaseNormal"/>
        <w:spacing w:after="0"/>
        <w:ind w:left="0"/>
        <w:rPr>
          <w:rFonts w:ascii="Times New Roman" w:hAnsi="Times New Roman"/>
          <w:sz w:val="22"/>
          <w:szCs w:val="22"/>
        </w:rPr>
      </w:pPr>
      <w:r w:rsidRPr="000B53EE">
        <w:rPr>
          <w:rFonts w:ascii="Times New Roman" w:hAnsi="Times New Roman"/>
          <w:sz w:val="22"/>
          <w:szCs w:val="22"/>
        </w:rPr>
        <w:t xml:space="preserve">L’entreprise devra mettre en place un système de récupération des eaux de lavage de ses engins ainsi que les huiles usagées (un bassin de déshuileur approuvé par le Maitre d’Ouvrage, pourrait être construit. Il permettra de réduire </w:t>
      </w:r>
      <w:r w:rsidRPr="000B53EE">
        <w:rPr>
          <w:rFonts w:ascii="Times New Roman" w:hAnsi="Times New Roman"/>
          <w:sz w:val="22"/>
          <w:szCs w:val="22"/>
        </w:rPr>
        <w:lastRenderedPageBreak/>
        <w:t>considérablement les risques de contamination du milieu récepteur par ruissellement ou infiltration.  Ce bassin devra être bétonné et construit de telle sorte que l’eau mélangée à l’huile pourra être collectée et évacuée séparément (l’huile surnageant sera collectée et stockée dans des fûts étanches).</w:t>
      </w:r>
    </w:p>
    <w:p w:rsidR="000B53EE" w:rsidRPr="001E2895" w:rsidRDefault="000B53EE" w:rsidP="00FA3FAE">
      <w:pPr>
        <w:pStyle w:val="SolbaseNormal"/>
        <w:numPr>
          <w:ilvl w:val="0"/>
          <w:numId w:val="204"/>
        </w:numPr>
        <w:spacing w:before="120" w:line="276" w:lineRule="auto"/>
        <w:outlineLvl w:val="1"/>
        <w:rPr>
          <w:rFonts w:ascii="Times New Roman" w:hAnsi="Times New Roman"/>
          <w:b/>
          <w:bCs/>
          <w:sz w:val="28"/>
          <w:szCs w:val="28"/>
        </w:rPr>
      </w:pPr>
      <w:bookmarkStart w:id="961" w:name="_Toc32340804"/>
      <w:bookmarkStart w:id="962" w:name="_Toc32511698"/>
      <w:bookmarkStart w:id="963" w:name="_Toc51072682"/>
      <w:r w:rsidRPr="001E2895">
        <w:rPr>
          <w:rFonts w:ascii="Times New Roman" w:hAnsi="Times New Roman"/>
          <w:b/>
          <w:bCs/>
          <w:sz w:val="28"/>
          <w:szCs w:val="28"/>
        </w:rPr>
        <w:t>Gestion des impacts négatifs attendus sur l’air</w:t>
      </w:r>
      <w:bookmarkEnd w:id="961"/>
      <w:bookmarkEnd w:id="962"/>
      <w:bookmarkEnd w:id="963"/>
    </w:p>
    <w:p w:rsidR="000B53EE" w:rsidRPr="000B53EE" w:rsidRDefault="000B53EE" w:rsidP="000B53EE">
      <w:pPr>
        <w:pStyle w:val="SolbaseNormal"/>
        <w:spacing w:after="0"/>
        <w:ind w:left="0"/>
        <w:rPr>
          <w:rFonts w:ascii="Times New Roman" w:hAnsi="Times New Roman"/>
          <w:sz w:val="22"/>
          <w:szCs w:val="22"/>
        </w:rPr>
      </w:pPr>
      <w:r w:rsidRPr="000B53EE">
        <w:rPr>
          <w:rFonts w:ascii="Times New Roman" w:hAnsi="Times New Roman"/>
          <w:sz w:val="22"/>
          <w:szCs w:val="22"/>
        </w:rPr>
        <w:t>L’organisation des travaux imposera des contraintes à l’atmosphère ambiante : dégagements de poussières, dégagements gazeux provenant des engins, perturbations sonores. Les entreprises lutteront contre les poussières en arrosant les sites de travaux ; ils diminueront les perturbations gazeuses et sonores en n’utilisant qu’à bon escient les engins et machines-outils et en veillant à leur bon entretien ; les prestations des ouvriers seront conformes aux horaires légaux de travail.</w:t>
      </w:r>
    </w:p>
    <w:p w:rsidR="000B53EE" w:rsidRPr="000B53EE" w:rsidRDefault="000B53EE" w:rsidP="000B53EE">
      <w:pPr>
        <w:pStyle w:val="SolbaseNormal"/>
        <w:spacing w:after="0"/>
        <w:ind w:left="0"/>
        <w:rPr>
          <w:rFonts w:ascii="Times New Roman" w:hAnsi="Times New Roman"/>
          <w:sz w:val="22"/>
          <w:szCs w:val="22"/>
        </w:rPr>
      </w:pPr>
      <w:r w:rsidRPr="000B53EE">
        <w:rPr>
          <w:rFonts w:ascii="Times New Roman" w:hAnsi="Times New Roman"/>
          <w:sz w:val="22"/>
          <w:szCs w:val="22"/>
        </w:rPr>
        <w:t>L’entreprise devra équiper adéquatement ses travailleurs en EPI contre la poussière et les produits dangereux.</w:t>
      </w:r>
    </w:p>
    <w:p w:rsidR="000B53EE" w:rsidRPr="000022F7" w:rsidRDefault="000B53EE" w:rsidP="008734B0">
      <w:pPr>
        <w:spacing w:line="276" w:lineRule="auto"/>
        <w:rPr>
          <w:szCs w:val="24"/>
        </w:rPr>
      </w:pPr>
    </w:p>
    <w:p w:rsidR="000B53EE" w:rsidRPr="001E2895" w:rsidRDefault="000B53EE" w:rsidP="00FA3FAE">
      <w:pPr>
        <w:pStyle w:val="SolbaseNormal"/>
        <w:numPr>
          <w:ilvl w:val="0"/>
          <w:numId w:val="204"/>
        </w:numPr>
        <w:spacing w:before="120" w:line="276" w:lineRule="auto"/>
        <w:outlineLvl w:val="1"/>
        <w:rPr>
          <w:rFonts w:ascii="Times New Roman" w:hAnsi="Times New Roman"/>
          <w:b/>
          <w:bCs/>
          <w:sz w:val="28"/>
          <w:szCs w:val="28"/>
        </w:rPr>
      </w:pPr>
      <w:bookmarkStart w:id="964" w:name="_Toc32340805"/>
      <w:bookmarkStart w:id="965" w:name="_Toc32511699"/>
      <w:bookmarkStart w:id="966" w:name="_Toc51072683"/>
      <w:r w:rsidRPr="001E2895">
        <w:rPr>
          <w:rFonts w:ascii="Times New Roman" w:hAnsi="Times New Roman"/>
          <w:b/>
          <w:bCs/>
          <w:sz w:val="28"/>
          <w:szCs w:val="28"/>
        </w:rPr>
        <w:t>Gestion du bruit</w:t>
      </w:r>
      <w:bookmarkEnd w:id="964"/>
      <w:bookmarkEnd w:id="965"/>
      <w:bookmarkEnd w:id="966"/>
    </w:p>
    <w:p w:rsidR="000B53EE" w:rsidRPr="000B53EE" w:rsidRDefault="000B53EE" w:rsidP="000B53EE">
      <w:pPr>
        <w:pStyle w:val="SolbaseNormal"/>
        <w:spacing w:after="0"/>
        <w:ind w:left="0"/>
        <w:rPr>
          <w:rFonts w:ascii="Times New Roman" w:hAnsi="Times New Roman"/>
          <w:sz w:val="22"/>
          <w:szCs w:val="22"/>
        </w:rPr>
      </w:pPr>
      <w:r w:rsidRPr="000B53EE">
        <w:rPr>
          <w:rFonts w:ascii="Times New Roman" w:hAnsi="Times New Roman"/>
          <w:sz w:val="22"/>
          <w:szCs w:val="22"/>
        </w:rPr>
        <w:t>Concernant les bruits, et bien qu’un niveau de 65 décibels apparaît comme une limite recommandable pendant les heures officielles de travail, des dérogations horaires seront acceptées suivant le schéma suivant :</w:t>
      </w:r>
    </w:p>
    <w:p w:rsidR="00FD76D7" w:rsidRDefault="00FD76D7" w:rsidP="00FD76D7">
      <w:pPr>
        <w:pStyle w:val="SolbaseNormal"/>
        <w:spacing w:after="0"/>
        <w:ind w:left="0"/>
        <w:jc w:val="center"/>
        <w:rPr>
          <w:rFonts w:ascii="Times New Roman" w:hAnsi="Times New Roman"/>
          <w:sz w:val="22"/>
          <w:szCs w:val="22"/>
        </w:rPr>
      </w:pPr>
      <w:r>
        <w:rPr>
          <w:rFonts w:ascii="Times New Roman" w:hAnsi="Times New Roman"/>
          <w:noProof/>
          <w:sz w:val="24"/>
          <w:szCs w:val="24"/>
          <w:lang w:val="pt-PT" w:eastAsia="pt-PT"/>
        </w:rPr>
        <w:drawing>
          <wp:inline distT="0" distB="0" distL="0" distR="0" wp14:anchorId="21CB1E98" wp14:editId="08616305">
            <wp:extent cx="4931767" cy="4127279"/>
            <wp:effectExtent l="0" t="0" r="0" b="0"/>
            <wp:docPr id="554" name="Image 5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2" name="fgfg.jpeg"/>
                    <pic:cNvPicPr/>
                  </pic:nvPicPr>
                  <pic:blipFill rotWithShape="1">
                    <a:blip r:embed="rId68" cstate="email">
                      <a:extLst>
                        <a:ext uri="{28A0092B-C50C-407E-A947-70E740481C1C}">
                          <a14:useLocalDpi xmlns:a14="http://schemas.microsoft.com/office/drawing/2010/main"/>
                        </a:ext>
                      </a:extLst>
                    </a:blip>
                    <a:srcRect/>
                    <a:stretch/>
                  </pic:blipFill>
                  <pic:spPr bwMode="auto">
                    <a:xfrm>
                      <a:off x="0" y="0"/>
                      <a:ext cx="4960743" cy="4151528"/>
                    </a:xfrm>
                    <a:prstGeom prst="rect">
                      <a:avLst/>
                    </a:prstGeom>
                    <a:ln>
                      <a:noFill/>
                    </a:ln>
                    <a:extLst>
                      <a:ext uri="{53640926-AAD7-44D8-BBD7-CCE9431645EC}">
                        <a14:shadowObscured xmlns:a14="http://schemas.microsoft.com/office/drawing/2010/main"/>
                      </a:ext>
                    </a:extLst>
                  </pic:spPr>
                </pic:pic>
              </a:graphicData>
            </a:graphic>
          </wp:inline>
        </w:drawing>
      </w:r>
    </w:p>
    <w:p w:rsidR="000B53EE" w:rsidRPr="000B53EE" w:rsidRDefault="000B53EE" w:rsidP="000B53EE">
      <w:pPr>
        <w:pStyle w:val="SolbaseNormal"/>
        <w:spacing w:after="0"/>
        <w:ind w:left="0"/>
        <w:rPr>
          <w:rFonts w:ascii="Times New Roman" w:hAnsi="Times New Roman"/>
          <w:sz w:val="22"/>
          <w:szCs w:val="22"/>
        </w:rPr>
      </w:pPr>
      <w:r w:rsidRPr="000B53EE">
        <w:rPr>
          <w:rFonts w:ascii="Times New Roman" w:hAnsi="Times New Roman"/>
          <w:sz w:val="22"/>
          <w:szCs w:val="22"/>
        </w:rPr>
        <w:t>Les engins trop bruyants seront insonorisés au maximum. Les engins ne pourront pas dépasser les taux de pollution sonore et gazeuse établies par les normes nationales et/ou internationales.</w:t>
      </w:r>
    </w:p>
    <w:p w:rsidR="000B53EE" w:rsidRPr="001E2895" w:rsidRDefault="000B53EE" w:rsidP="00FA3FAE">
      <w:pPr>
        <w:pStyle w:val="SolbaseNormal"/>
        <w:numPr>
          <w:ilvl w:val="0"/>
          <w:numId w:val="204"/>
        </w:numPr>
        <w:spacing w:before="120" w:line="276" w:lineRule="auto"/>
        <w:outlineLvl w:val="1"/>
        <w:rPr>
          <w:rFonts w:ascii="Times New Roman" w:hAnsi="Times New Roman"/>
          <w:b/>
          <w:bCs/>
          <w:sz w:val="28"/>
          <w:szCs w:val="28"/>
        </w:rPr>
      </w:pPr>
      <w:bookmarkStart w:id="967" w:name="_Toc32340806"/>
      <w:bookmarkStart w:id="968" w:name="_Toc32511700"/>
      <w:bookmarkStart w:id="969" w:name="_Toc51072684"/>
      <w:r w:rsidRPr="001E2895">
        <w:rPr>
          <w:rFonts w:ascii="Times New Roman" w:hAnsi="Times New Roman"/>
          <w:b/>
          <w:bCs/>
          <w:sz w:val="28"/>
          <w:szCs w:val="28"/>
        </w:rPr>
        <w:t>Gestion des impacts sur la faune, la flore et le paysage</w:t>
      </w:r>
      <w:bookmarkEnd w:id="967"/>
      <w:bookmarkEnd w:id="968"/>
      <w:bookmarkEnd w:id="969"/>
    </w:p>
    <w:p w:rsidR="000B53EE" w:rsidRPr="000B53EE" w:rsidRDefault="000B53EE" w:rsidP="000B53EE">
      <w:pPr>
        <w:pStyle w:val="SolbaseNormal"/>
        <w:spacing w:after="0"/>
        <w:ind w:left="0"/>
        <w:rPr>
          <w:rFonts w:ascii="Times New Roman" w:hAnsi="Times New Roman"/>
          <w:sz w:val="22"/>
          <w:szCs w:val="22"/>
        </w:rPr>
      </w:pPr>
      <w:r w:rsidRPr="000B53EE">
        <w:rPr>
          <w:rFonts w:ascii="Times New Roman" w:hAnsi="Times New Roman"/>
          <w:sz w:val="22"/>
          <w:szCs w:val="22"/>
        </w:rPr>
        <w:t xml:space="preserve">L’abattage et le remplacement des arbres sont de la prérogative exclusive des services du Ministère de l’Environnement qui en assurent le contrôle, l’autorisation et le suivi. Ainsi, toute initiative allant dans ce sens devra être conçue, exécutée, pilotée, surveillée et suivie par ces mêmes services. </w:t>
      </w:r>
    </w:p>
    <w:p w:rsidR="000B53EE" w:rsidRPr="000B53EE" w:rsidRDefault="000B53EE" w:rsidP="000B53EE">
      <w:pPr>
        <w:pStyle w:val="SolbaseNormal"/>
        <w:spacing w:after="0"/>
        <w:ind w:left="0"/>
        <w:rPr>
          <w:rFonts w:ascii="Times New Roman" w:hAnsi="Times New Roman"/>
          <w:sz w:val="22"/>
          <w:szCs w:val="22"/>
        </w:rPr>
      </w:pPr>
      <w:r w:rsidRPr="000B53EE">
        <w:rPr>
          <w:rFonts w:ascii="Times New Roman" w:hAnsi="Times New Roman"/>
          <w:sz w:val="22"/>
          <w:szCs w:val="22"/>
        </w:rPr>
        <w:t>En dehors des replantations d’arbres coupés, il serait souhaitable que des arbres d'ombrage soient plantés si nécessaire tout autour des sites occupés par l’entreprise.</w:t>
      </w:r>
    </w:p>
    <w:p w:rsidR="000B53EE" w:rsidRPr="000B53EE" w:rsidRDefault="000B53EE" w:rsidP="000B53EE">
      <w:pPr>
        <w:pStyle w:val="SolbaseNormal"/>
        <w:spacing w:after="0"/>
        <w:ind w:left="0"/>
        <w:rPr>
          <w:rFonts w:ascii="Times New Roman" w:hAnsi="Times New Roman"/>
          <w:sz w:val="22"/>
          <w:szCs w:val="22"/>
        </w:rPr>
      </w:pPr>
      <w:r w:rsidRPr="000B53EE">
        <w:rPr>
          <w:rFonts w:ascii="Times New Roman" w:hAnsi="Times New Roman"/>
          <w:sz w:val="22"/>
          <w:szCs w:val="22"/>
        </w:rPr>
        <w:t>Ces reboisements, ajoutés à la création d’espaces verts et à l’aménagement de structures d’embellissement, vont contribuer à une meilleure intégration du projet dans le paysage.</w:t>
      </w:r>
    </w:p>
    <w:p w:rsidR="000B53EE" w:rsidRPr="001E2895" w:rsidRDefault="000B53EE" w:rsidP="00FA3FAE">
      <w:pPr>
        <w:pStyle w:val="SolbaseNormal"/>
        <w:numPr>
          <w:ilvl w:val="0"/>
          <w:numId w:val="204"/>
        </w:numPr>
        <w:spacing w:before="120" w:line="276" w:lineRule="auto"/>
        <w:outlineLvl w:val="1"/>
        <w:rPr>
          <w:rFonts w:ascii="Times New Roman" w:hAnsi="Times New Roman"/>
          <w:b/>
          <w:bCs/>
          <w:sz w:val="28"/>
          <w:szCs w:val="28"/>
        </w:rPr>
      </w:pPr>
      <w:bookmarkStart w:id="970" w:name="_Toc32511701"/>
      <w:bookmarkStart w:id="971" w:name="_Toc51072685"/>
      <w:bookmarkStart w:id="972" w:name="_Toc32340807"/>
      <w:r w:rsidRPr="001E2895">
        <w:rPr>
          <w:rFonts w:ascii="Times New Roman" w:hAnsi="Times New Roman"/>
          <w:b/>
          <w:bCs/>
          <w:sz w:val="28"/>
          <w:szCs w:val="28"/>
        </w:rPr>
        <w:t>Réparation des dommages sur les propriétés publiques et privés</w:t>
      </w:r>
      <w:bookmarkEnd w:id="970"/>
      <w:bookmarkEnd w:id="971"/>
      <w:r w:rsidRPr="001E2895">
        <w:rPr>
          <w:rFonts w:ascii="Times New Roman" w:hAnsi="Times New Roman"/>
          <w:b/>
          <w:bCs/>
          <w:sz w:val="28"/>
          <w:szCs w:val="28"/>
        </w:rPr>
        <w:t xml:space="preserve"> </w:t>
      </w:r>
      <w:bookmarkEnd w:id="972"/>
    </w:p>
    <w:p w:rsidR="000B53EE" w:rsidRPr="000B53EE" w:rsidRDefault="000B53EE" w:rsidP="000B53EE">
      <w:pPr>
        <w:pStyle w:val="SolbaseNormal"/>
        <w:spacing w:after="0"/>
        <w:ind w:left="0"/>
        <w:rPr>
          <w:rFonts w:ascii="Times New Roman" w:hAnsi="Times New Roman"/>
          <w:sz w:val="22"/>
          <w:szCs w:val="22"/>
        </w:rPr>
      </w:pPr>
      <w:r w:rsidRPr="000B53EE">
        <w:rPr>
          <w:rFonts w:ascii="Times New Roman" w:hAnsi="Times New Roman"/>
          <w:sz w:val="22"/>
          <w:szCs w:val="22"/>
        </w:rPr>
        <w:lastRenderedPageBreak/>
        <w:t>Si l’Entrepreneur, délibérément ou accidentellement, endommage la propriété publique ou privée, il réparera cette propriété à la satisfaction du propriétaire et à ses propres frais.</w:t>
      </w:r>
    </w:p>
    <w:p w:rsidR="000B53EE" w:rsidRPr="000B53EE" w:rsidRDefault="000B53EE" w:rsidP="000B53EE">
      <w:pPr>
        <w:pStyle w:val="SolbaseNormal"/>
        <w:spacing w:after="0"/>
        <w:ind w:left="0"/>
        <w:rPr>
          <w:rFonts w:ascii="Times New Roman" w:hAnsi="Times New Roman"/>
          <w:sz w:val="22"/>
          <w:szCs w:val="22"/>
        </w:rPr>
      </w:pPr>
      <w:r w:rsidRPr="000B53EE">
        <w:rPr>
          <w:rFonts w:ascii="Times New Roman" w:hAnsi="Times New Roman"/>
          <w:sz w:val="22"/>
          <w:szCs w:val="22"/>
        </w:rPr>
        <w:t xml:space="preserve">Les dégâts accidentels sur les habitations et les bâtiments des riverains, occasionnés lors des travaux par négligence, sont de la responsabilité de l’entreprise et à sa charge exclusive. </w:t>
      </w:r>
    </w:p>
    <w:p w:rsidR="000B53EE" w:rsidRPr="001E2895" w:rsidRDefault="000B53EE" w:rsidP="00FA3FAE">
      <w:pPr>
        <w:pStyle w:val="SolbaseNormal"/>
        <w:numPr>
          <w:ilvl w:val="0"/>
          <w:numId w:val="204"/>
        </w:numPr>
        <w:spacing w:before="120" w:line="276" w:lineRule="auto"/>
        <w:outlineLvl w:val="1"/>
        <w:rPr>
          <w:rFonts w:ascii="Times New Roman" w:hAnsi="Times New Roman"/>
          <w:b/>
          <w:bCs/>
          <w:sz w:val="28"/>
          <w:szCs w:val="28"/>
        </w:rPr>
      </w:pPr>
      <w:bookmarkStart w:id="973" w:name="_Toc32511702"/>
      <w:bookmarkStart w:id="974" w:name="_Toc51072686"/>
      <w:bookmarkStart w:id="975" w:name="_Toc32340808"/>
      <w:r w:rsidRPr="001E2895">
        <w:rPr>
          <w:rFonts w:ascii="Times New Roman" w:hAnsi="Times New Roman"/>
          <w:b/>
          <w:bCs/>
          <w:sz w:val="28"/>
          <w:szCs w:val="28"/>
        </w:rPr>
        <w:t>Repérage des réseaux des concessionnaires</w:t>
      </w:r>
      <w:bookmarkEnd w:id="973"/>
      <w:bookmarkEnd w:id="974"/>
      <w:r w:rsidRPr="001E2895">
        <w:rPr>
          <w:rFonts w:ascii="Times New Roman" w:hAnsi="Times New Roman"/>
          <w:b/>
          <w:bCs/>
          <w:sz w:val="28"/>
          <w:szCs w:val="28"/>
        </w:rPr>
        <w:t> </w:t>
      </w:r>
      <w:bookmarkEnd w:id="975"/>
    </w:p>
    <w:p w:rsidR="000B53EE" w:rsidRPr="000B53EE" w:rsidRDefault="000B53EE" w:rsidP="000B53EE">
      <w:pPr>
        <w:pStyle w:val="SolbaseNormal"/>
        <w:spacing w:after="0"/>
        <w:ind w:left="0"/>
        <w:rPr>
          <w:rFonts w:ascii="Times New Roman" w:hAnsi="Times New Roman"/>
          <w:sz w:val="22"/>
          <w:szCs w:val="22"/>
        </w:rPr>
      </w:pPr>
      <w:r w:rsidRPr="000B53EE">
        <w:rPr>
          <w:rFonts w:ascii="Times New Roman" w:hAnsi="Times New Roman"/>
          <w:sz w:val="22"/>
          <w:szCs w:val="22"/>
        </w:rPr>
        <w:t>Avant le démarrage des travaux, l’Entrepreneur doit instruire une procédure de repérage des réseaux des concessionnaires (eau potable, électricité, téléphone, fibre optique, égout, etc.) sur un plan qui sera formalisé par un Procès-verbal signé par toutes les parties (Entrepreneur, Maître d’œuvre, concessionnaires).</w:t>
      </w:r>
    </w:p>
    <w:p w:rsidR="000B53EE" w:rsidRPr="001E2895" w:rsidRDefault="000B53EE" w:rsidP="00FA3FAE">
      <w:pPr>
        <w:pStyle w:val="SolbaseNormal"/>
        <w:numPr>
          <w:ilvl w:val="0"/>
          <w:numId w:val="204"/>
        </w:numPr>
        <w:spacing w:before="120" w:line="276" w:lineRule="auto"/>
        <w:outlineLvl w:val="1"/>
        <w:rPr>
          <w:rFonts w:ascii="Times New Roman" w:hAnsi="Times New Roman"/>
          <w:b/>
          <w:bCs/>
          <w:sz w:val="28"/>
          <w:szCs w:val="28"/>
        </w:rPr>
      </w:pPr>
      <w:bookmarkStart w:id="976" w:name="_Toc32511703"/>
      <w:bookmarkStart w:id="977" w:name="_Toc51072687"/>
      <w:bookmarkStart w:id="978" w:name="_Toc32340809"/>
      <w:r w:rsidRPr="001E2895">
        <w:rPr>
          <w:rFonts w:ascii="Times New Roman" w:hAnsi="Times New Roman"/>
          <w:b/>
          <w:bCs/>
          <w:sz w:val="28"/>
          <w:szCs w:val="28"/>
        </w:rPr>
        <w:t>Libération des domaines public et privé</w:t>
      </w:r>
      <w:bookmarkEnd w:id="976"/>
      <w:bookmarkEnd w:id="977"/>
      <w:r w:rsidRPr="001E2895">
        <w:rPr>
          <w:rFonts w:ascii="Times New Roman" w:hAnsi="Times New Roman"/>
          <w:b/>
          <w:bCs/>
          <w:sz w:val="28"/>
          <w:szCs w:val="28"/>
        </w:rPr>
        <w:t> </w:t>
      </w:r>
      <w:bookmarkEnd w:id="978"/>
    </w:p>
    <w:p w:rsidR="000B53EE" w:rsidRPr="000B53EE" w:rsidRDefault="000B53EE" w:rsidP="000B53EE">
      <w:pPr>
        <w:pStyle w:val="SolbaseNormal"/>
        <w:spacing w:after="0"/>
        <w:ind w:left="0"/>
        <w:rPr>
          <w:rFonts w:ascii="Times New Roman" w:hAnsi="Times New Roman"/>
          <w:sz w:val="22"/>
          <w:szCs w:val="22"/>
        </w:rPr>
      </w:pPr>
      <w:r w:rsidRPr="000B53EE">
        <w:rPr>
          <w:rFonts w:ascii="Times New Roman" w:hAnsi="Times New Roman"/>
          <w:sz w:val="22"/>
          <w:szCs w:val="22"/>
        </w:rPr>
        <w:t>L’Entrepreneur doit savoir que le périmètre d’utilité publique lié à l’opération est le périmètre susceptible d’être concerné par les travaux. Les travaux ne peuvent débuter dans les zones concernées par les emprises privées que lorsque celles-ci sont libérées à la suite d’une procédure d’acquisition.</w:t>
      </w:r>
    </w:p>
    <w:p w:rsidR="000B53EE" w:rsidRPr="001E2895" w:rsidRDefault="000B53EE" w:rsidP="00FA3FAE">
      <w:pPr>
        <w:pStyle w:val="SolbaseNormal"/>
        <w:numPr>
          <w:ilvl w:val="0"/>
          <w:numId w:val="204"/>
        </w:numPr>
        <w:spacing w:before="120" w:line="276" w:lineRule="auto"/>
        <w:outlineLvl w:val="1"/>
        <w:rPr>
          <w:rFonts w:ascii="Times New Roman" w:hAnsi="Times New Roman"/>
          <w:b/>
          <w:bCs/>
          <w:sz w:val="28"/>
          <w:szCs w:val="28"/>
        </w:rPr>
      </w:pPr>
      <w:bookmarkStart w:id="979" w:name="_Toc32511704"/>
      <w:bookmarkStart w:id="980" w:name="_Toc51072688"/>
      <w:bookmarkStart w:id="981" w:name="_Toc32340810"/>
      <w:r w:rsidRPr="001E2895">
        <w:rPr>
          <w:rFonts w:ascii="Times New Roman" w:hAnsi="Times New Roman"/>
          <w:b/>
          <w:bCs/>
          <w:sz w:val="28"/>
          <w:szCs w:val="28"/>
        </w:rPr>
        <w:t>Plan de gestion environnementale et sociale (PGES)</w:t>
      </w:r>
      <w:bookmarkEnd w:id="979"/>
      <w:bookmarkEnd w:id="980"/>
      <w:r w:rsidRPr="001E2895">
        <w:rPr>
          <w:rFonts w:ascii="Times New Roman" w:hAnsi="Times New Roman"/>
          <w:b/>
          <w:bCs/>
          <w:sz w:val="28"/>
          <w:szCs w:val="28"/>
        </w:rPr>
        <w:t> </w:t>
      </w:r>
      <w:bookmarkEnd w:id="981"/>
    </w:p>
    <w:p w:rsidR="00FD76D7" w:rsidRDefault="00FD76D7" w:rsidP="00FD76D7">
      <w:pPr>
        <w:pStyle w:val="SolbaseNormal"/>
        <w:spacing w:after="0"/>
        <w:ind w:left="0"/>
        <w:rPr>
          <w:rFonts w:ascii="Times New Roman" w:hAnsi="Times New Roman"/>
          <w:sz w:val="22"/>
          <w:szCs w:val="22"/>
        </w:rPr>
      </w:pPr>
      <w:bookmarkStart w:id="982" w:name="_Toc32511705"/>
      <w:bookmarkStart w:id="983" w:name="_Toc462908632"/>
      <w:bookmarkStart w:id="984" w:name="_Toc32340811"/>
      <w:r w:rsidRPr="00206F59">
        <w:rPr>
          <w:rFonts w:ascii="Times New Roman" w:hAnsi="Times New Roman"/>
          <w:sz w:val="22"/>
          <w:szCs w:val="22"/>
        </w:rPr>
        <w:t>Sur base de l’Etude d’Impact Environnemental et Social (EIES) du sous-projet n°1 (Construction réhabilitation, renforcement, fournitures et installations des équipements et électrification des forages d’approvisionnement d’eau potable), l’Entrepreneur doit établir et soumettre à l'approbation du Maître d’œuvre, dans un délai de 30 jours à compter de la signature du contrat, un plan détaillé de gestion environnementale et sociale du chantier (PGES de Chantier</w:t>
      </w:r>
      <w:r>
        <w:rPr>
          <w:rFonts w:ascii="Times New Roman" w:hAnsi="Times New Roman"/>
          <w:sz w:val="22"/>
          <w:szCs w:val="22"/>
        </w:rPr>
        <w:t xml:space="preserve"> ou PGES-C</w:t>
      </w:r>
      <w:r w:rsidRPr="00206F59">
        <w:rPr>
          <w:rFonts w:ascii="Times New Roman" w:hAnsi="Times New Roman"/>
          <w:sz w:val="22"/>
          <w:szCs w:val="22"/>
        </w:rPr>
        <w:t>) qui comprend :</w:t>
      </w:r>
    </w:p>
    <w:p w:rsidR="00FD76D7" w:rsidRPr="00206F59" w:rsidRDefault="00FD76D7" w:rsidP="00FD76D7">
      <w:pPr>
        <w:pStyle w:val="SolbaseNormal"/>
        <w:spacing w:after="0"/>
        <w:ind w:left="720"/>
        <w:rPr>
          <w:rFonts w:ascii="Times New Roman" w:hAnsi="Times New Roman"/>
          <w:sz w:val="22"/>
          <w:szCs w:val="22"/>
        </w:rPr>
      </w:pPr>
    </w:p>
    <w:p w:rsidR="00FD76D7" w:rsidRPr="00447D03" w:rsidRDefault="00FD76D7" w:rsidP="00FA3FAE">
      <w:pPr>
        <w:pStyle w:val="SolbaseNormal"/>
        <w:numPr>
          <w:ilvl w:val="0"/>
          <w:numId w:val="242"/>
        </w:numPr>
        <w:spacing w:after="0"/>
        <w:rPr>
          <w:rFonts w:ascii="Times New Roman" w:hAnsi="Times New Roman"/>
          <w:sz w:val="22"/>
          <w:szCs w:val="22"/>
        </w:rPr>
      </w:pPr>
      <w:r w:rsidRPr="00447D03">
        <w:rPr>
          <w:rFonts w:ascii="Times New Roman" w:hAnsi="Times New Roman"/>
          <w:sz w:val="22"/>
          <w:szCs w:val="22"/>
        </w:rPr>
        <w:t>la consistance détaillées des travaux à réaliser et les matériels et produits qui seront utilisés ;</w:t>
      </w:r>
    </w:p>
    <w:p w:rsidR="00FD76D7" w:rsidRPr="00447D03" w:rsidRDefault="00FD76D7" w:rsidP="00FA3FAE">
      <w:pPr>
        <w:pStyle w:val="SolbaseNormal"/>
        <w:numPr>
          <w:ilvl w:val="0"/>
          <w:numId w:val="242"/>
        </w:numPr>
        <w:spacing w:after="0"/>
        <w:rPr>
          <w:rFonts w:ascii="Times New Roman" w:hAnsi="Times New Roman"/>
          <w:sz w:val="22"/>
          <w:szCs w:val="22"/>
        </w:rPr>
      </w:pPr>
      <w:r w:rsidRPr="00447D03">
        <w:rPr>
          <w:rFonts w:ascii="Times New Roman" w:hAnsi="Times New Roman"/>
          <w:sz w:val="22"/>
          <w:szCs w:val="22"/>
        </w:rPr>
        <w:t>L’organisation générale du chantier</w:t>
      </w:r>
    </w:p>
    <w:p w:rsidR="00FD76D7" w:rsidRPr="00447D03" w:rsidRDefault="00FD76D7" w:rsidP="00FA3FAE">
      <w:pPr>
        <w:pStyle w:val="SolbaseNormal"/>
        <w:numPr>
          <w:ilvl w:val="0"/>
          <w:numId w:val="242"/>
        </w:numPr>
        <w:spacing w:after="0"/>
        <w:rPr>
          <w:rFonts w:ascii="Times New Roman" w:hAnsi="Times New Roman"/>
          <w:sz w:val="22"/>
          <w:szCs w:val="22"/>
        </w:rPr>
      </w:pPr>
      <w:r w:rsidRPr="00447D03">
        <w:rPr>
          <w:rFonts w:ascii="Times New Roman" w:hAnsi="Times New Roman"/>
          <w:sz w:val="22"/>
          <w:szCs w:val="22"/>
        </w:rPr>
        <w:t>les politiques de l’entreprise en matière de respect des dispositions environnementales, sociales, d’hygiène, de santé, de sécurité et du genre ;</w:t>
      </w:r>
    </w:p>
    <w:p w:rsidR="00FD76D7" w:rsidRPr="00447D03" w:rsidRDefault="00FD76D7" w:rsidP="00FA3FAE">
      <w:pPr>
        <w:pStyle w:val="SolbaseNormal"/>
        <w:numPr>
          <w:ilvl w:val="0"/>
          <w:numId w:val="242"/>
        </w:numPr>
        <w:spacing w:after="0"/>
        <w:rPr>
          <w:rFonts w:ascii="Times New Roman" w:hAnsi="Times New Roman"/>
          <w:sz w:val="22"/>
          <w:szCs w:val="22"/>
        </w:rPr>
      </w:pPr>
      <w:r w:rsidRPr="00447D03">
        <w:rPr>
          <w:rFonts w:ascii="Times New Roman" w:hAnsi="Times New Roman"/>
          <w:sz w:val="22"/>
          <w:szCs w:val="22"/>
        </w:rPr>
        <w:t>une Analyse détaillées des risques liés à la santé et sécurité sur le chantier ;</w:t>
      </w:r>
    </w:p>
    <w:p w:rsidR="00FD76D7" w:rsidRDefault="00FD76D7" w:rsidP="00FA3FAE">
      <w:pPr>
        <w:pStyle w:val="SolbaseNormal"/>
        <w:numPr>
          <w:ilvl w:val="0"/>
          <w:numId w:val="242"/>
        </w:numPr>
        <w:spacing w:after="0"/>
        <w:rPr>
          <w:rFonts w:ascii="Times New Roman" w:hAnsi="Times New Roman"/>
          <w:sz w:val="22"/>
          <w:szCs w:val="22"/>
        </w:rPr>
      </w:pPr>
      <w:r w:rsidRPr="00206F59">
        <w:rPr>
          <w:rFonts w:ascii="Times New Roman" w:hAnsi="Times New Roman"/>
          <w:sz w:val="22"/>
          <w:szCs w:val="22"/>
        </w:rPr>
        <w:t>un plan d’occupation du sol indiquant l’emplacement de la base-vie et les différentes zones du chantier selon les composantes du projet, les implantations prévues et une description des aménagements ;</w:t>
      </w:r>
    </w:p>
    <w:p w:rsidR="00FD76D7" w:rsidRPr="00970CA3" w:rsidRDefault="00FD76D7" w:rsidP="00FA3FAE">
      <w:pPr>
        <w:pStyle w:val="SolbaseNormal"/>
        <w:numPr>
          <w:ilvl w:val="0"/>
          <w:numId w:val="242"/>
        </w:numPr>
        <w:spacing w:after="0"/>
        <w:rPr>
          <w:rFonts w:ascii="Times New Roman" w:hAnsi="Times New Roman"/>
          <w:sz w:val="22"/>
          <w:szCs w:val="22"/>
        </w:rPr>
      </w:pPr>
      <w:r w:rsidRPr="00970CA3">
        <w:rPr>
          <w:rFonts w:ascii="Times New Roman" w:hAnsi="Times New Roman"/>
          <w:sz w:val="22"/>
          <w:szCs w:val="22"/>
        </w:rPr>
        <w:t>un plan de gestion des déchets du cha</w:t>
      </w:r>
      <w:r w:rsidRPr="00E641AA">
        <w:rPr>
          <w:rFonts w:ascii="Times New Roman" w:hAnsi="Times New Roman"/>
          <w:sz w:val="22"/>
          <w:szCs w:val="22"/>
        </w:rPr>
        <w:t>ntier indiquant les types de déchets, le type de collecte envisagé, le lieu de stockage, le mode et le lieu d’élimination ;</w:t>
      </w:r>
    </w:p>
    <w:p w:rsidR="00FD76D7" w:rsidRPr="00970CA3" w:rsidRDefault="00FD76D7" w:rsidP="00FA3FAE">
      <w:pPr>
        <w:pStyle w:val="SolbaseNormal"/>
        <w:numPr>
          <w:ilvl w:val="0"/>
          <w:numId w:val="242"/>
        </w:numPr>
        <w:spacing w:after="0"/>
        <w:rPr>
          <w:rFonts w:ascii="Times New Roman" w:hAnsi="Times New Roman"/>
          <w:sz w:val="22"/>
          <w:szCs w:val="22"/>
        </w:rPr>
      </w:pPr>
      <w:r w:rsidRPr="00E641AA">
        <w:rPr>
          <w:rFonts w:ascii="Times New Roman" w:hAnsi="Times New Roman"/>
          <w:sz w:val="22"/>
          <w:szCs w:val="22"/>
        </w:rPr>
        <w:t>le programme d’information et de sensibilisation de la population précisant les cibles, les thèmes et le mode de consultation retenu ;</w:t>
      </w:r>
    </w:p>
    <w:p w:rsidR="00FD76D7" w:rsidRPr="00970CA3" w:rsidRDefault="00FD76D7" w:rsidP="00FA3FAE">
      <w:pPr>
        <w:pStyle w:val="SolbaseNormal"/>
        <w:numPr>
          <w:ilvl w:val="0"/>
          <w:numId w:val="242"/>
        </w:numPr>
        <w:spacing w:after="0"/>
        <w:rPr>
          <w:rFonts w:ascii="Times New Roman" w:hAnsi="Times New Roman"/>
          <w:sz w:val="22"/>
          <w:szCs w:val="22"/>
        </w:rPr>
      </w:pPr>
      <w:r w:rsidRPr="00970CA3">
        <w:rPr>
          <w:rFonts w:ascii="Times New Roman" w:hAnsi="Times New Roman"/>
          <w:sz w:val="22"/>
          <w:szCs w:val="22"/>
        </w:rPr>
        <w:t>un plan de gestion des accidents et de préservation de la santé précisant les risques d’accidents majeurs pouvant mettre en péril la sécurité ou la santé du personnel et/ou du public et les mesures de sécurité et/ou de préservation de la santé à appliqu</w:t>
      </w:r>
      <w:r w:rsidRPr="00E641AA">
        <w:rPr>
          <w:rFonts w:ascii="Times New Roman" w:hAnsi="Times New Roman"/>
          <w:sz w:val="22"/>
          <w:szCs w:val="22"/>
        </w:rPr>
        <w:t>er dans le cadre d’un plan d’urgence.</w:t>
      </w:r>
    </w:p>
    <w:p w:rsidR="00FD76D7" w:rsidRDefault="00FD76D7" w:rsidP="00FA3FAE">
      <w:pPr>
        <w:pStyle w:val="SolbaseNormal"/>
        <w:numPr>
          <w:ilvl w:val="0"/>
          <w:numId w:val="242"/>
        </w:numPr>
        <w:spacing w:after="0"/>
        <w:rPr>
          <w:rFonts w:ascii="Times New Roman" w:hAnsi="Times New Roman"/>
          <w:sz w:val="22"/>
          <w:szCs w:val="22"/>
        </w:rPr>
      </w:pPr>
      <w:r w:rsidRPr="00E641AA">
        <w:rPr>
          <w:rFonts w:ascii="Times New Roman" w:hAnsi="Times New Roman"/>
          <w:sz w:val="22"/>
          <w:szCs w:val="22"/>
        </w:rPr>
        <w:t xml:space="preserve">un plan de protection de l’environnement du site qui inclut l’ensemble des mesures de protection du site : protection des bacs de stockage de carburant, de lubrifiants et de bitume pour contenir les fuites ; séparateurs d'hydrocarbures dans les réseaux de drainage associés aux installations de lavage, d'entretien et de remplissage en carburant des véhicules et des engins, et aux installations d'évacuation des eaux usées des cuisines) ; description des méthodes d’évitement et de réduction des pollutions, des incendies, des accidents de la route ; infrastructures sanitaires et accès des populations en cas d’urgence ; réglementation du chantier concernant la protection de l’environnement et la sécurité ; </w:t>
      </w:r>
    </w:p>
    <w:p w:rsidR="00FD76D7" w:rsidRDefault="00FD76D7" w:rsidP="00FA3FAE">
      <w:pPr>
        <w:pStyle w:val="SolbaseNormal"/>
        <w:numPr>
          <w:ilvl w:val="0"/>
          <w:numId w:val="242"/>
        </w:numPr>
        <w:spacing w:after="0"/>
        <w:rPr>
          <w:rFonts w:ascii="Times New Roman" w:hAnsi="Times New Roman"/>
          <w:sz w:val="22"/>
          <w:szCs w:val="22"/>
        </w:rPr>
      </w:pPr>
      <w:r>
        <w:rPr>
          <w:rFonts w:ascii="Times New Roman" w:hAnsi="Times New Roman"/>
          <w:sz w:val="22"/>
          <w:szCs w:val="22"/>
        </w:rPr>
        <w:t xml:space="preserve">un plan de gestion de l’hygiène, la santé et la sécurité comprenant : </w:t>
      </w:r>
      <w:r w:rsidRPr="00DE58A5">
        <w:rPr>
          <w:rFonts w:ascii="Times New Roman" w:hAnsi="Times New Roman"/>
          <w:sz w:val="22"/>
          <w:szCs w:val="22"/>
        </w:rPr>
        <w:t>Équipements sanitaires</w:t>
      </w:r>
      <w:r>
        <w:rPr>
          <w:rFonts w:ascii="Times New Roman" w:hAnsi="Times New Roman"/>
          <w:sz w:val="22"/>
          <w:szCs w:val="22"/>
        </w:rPr>
        <w:t xml:space="preserve">, </w:t>
      </w:r>
      <w:r w:rsidRPr="00DE58A5">
        <w:rPr>
          <w:rFonts w:ascii="Times New Roman" w:hAnsi="Times New Roman"/>
          <w:sz w:val="22"/>
          <w:szCs w:val="22"/>
        </w:rPr>
        <w:t>de sécurité et d’hygiène ; Formation</w:t>
      </w:r>
      <w:r>
        <w:rPr>
          <w:rFonts w:ascii="Times New Roman" w:hAnsi="Times New Roman"/>
          <w:sz w:val="22"/>
          <w:szCs w:val="22"/>
        </w:rPr>
        <w:t xml:space="preserve"> et information du personnel de chantier </w:t>
      </w:r>
      <w:r w:rsidRPr="00DE58A5">
        <w:rPr>
          <w:rFonts w:ascii="Times New Roman" w:hAnsi="Times New Roman"/>
          <w:sz w:val="22"/>
          <w:szCs w:val="22"/>
        </w:rPr>
        <w:t>; Service médical ; Prévention des IST/VIH-SIDA et autres maladies contagieuses ; Suivi des accidents de travail et maladies professionnelles ; Organisation des secours et lutte contre l’incendie ; Drogue et alcool ; Gestion de la circulation et de la sécurité des populations ; Formation, information, communication et gestion des conflits.</w:t>
      </w:r>
    </w:p>
    <w:p w:rsidR="00FD76D7" w:rsidRDefault="00FD76D7" w:rsidP="00FA3FAE">
      <w:pPr>
        <w:pStyle w:val="SolbaseNormal"/>
        <w:numPr>
          <w:ilvl w:val="0"/>
          <w:numId w:val="242"/>
        </w:numPr>
        <w:spacing w:after="0"/>
        <w:rPr>
          <w:rFonts w:ascii="Times New Roman" w:hAnsi="Times New Roman"/>
          <w:sz w:val="22"/>
          <w:szCs w:val="22"/>
        </w:rPr>
      </w:pPr>
      <w:r>
        <w:rPr>
          <w:rFonts w:ascii="Times New Roman" w:hAnsi="Times New Roman"/>
          <w:sz w:val="22"/>
          <w:szCs w:val="22"/>
        </w:rPr>
        <w:t>un plan succinct d’intervention d’urgence ;</w:t>
      </w:r>
    </w:p>
    <w:p w:rsidR="00FD76D7" w:rsidRDefault="00FD76D7" w:rsidP="00FA3FAE">
      <w:pPr>
        <w:pStyle w:val="SolbaseNormal"/>
        <w:numPr>
          <w:ilvl w:val="0"/>
          <w:numId w:val="242"/>
        </w:numPr>
        <w:spacing w:after="0"/>
        <w:rPr>
          <w:rFonts w:ascii="Times New Roman" w:hAnsi="Times New Roman"/>
          <w:sz w:val="22"/>
          <w:szCs w:val="22"/>
        </w:rPr>
      </w:pPr>
      <w:r>
        <w:rPr>
          <w:rFonts w:ascii="Times New Roman" w:hAnsi="Times New Roman"/>
          <w:sz w:val="22"/>
          <w:szCs w:val="22"/>
        </w:rPr>
        <w:t xml:space="preserve">un </w:t>
      </w:r>
      <w:r w:rsidRPr="00970CA3">
        <w:rPr>
          <w:rFonts w:ascii="Times New Roman" w:hAnsi="Times New Roman"/>
          <w:sz w:val="22"/>
          <w:szCs w:val="22"/>
        </w:rPr>
        <w:t>plan prévisionnel d</w:t>
      </w:r>
      <w:r w:rsidRPr="00E641AA">
        <w:rPr>
          <w:rFonts w:ascii="Times New Roman" w:hAnsi="Times New Roman"/>
          <w:sz w:val="22"/>
          <w:szCs w:val="22"/>
        </w:rPr>
        <w:t>’aménagement du site en fin de travaux.</w:t>
      </w:r>
    </w:p>
    <w:p w:rsidR="00FD76D7" w:rsidRDefault="00FD76D7" w:rsidP="00FD76D7">
      <w:pPr>
        <w:pStyle w:val="SolbaseNormal"/>
        <w:spacing w:after="0"/>
        <w:ind w:left="0"/>
        <w:rPr>
          <w:rFonts w:ascii="Times New Roman" w:hAnsi="Times New Roman"/>
          <w:sz w:val="22"/>
          <w:szCs w:val="22"/>
        </w:rPr>
      </w:pPr>
    </w:p>
    <w:p w:rsidR="00FD76D7" w:rsidRDefault="00FD76D7" w:rsidP="00FD76D7">
      <w:pPr>
        <w:pStyle w:val="SolbaseNormal"/>
        <w:spacing w:after="0"/>
        <w:ind w:left="0"/>
        <w:rPr>
          <w:rFonts w:ascii="Times New Roman" w:hAnsi="Times New Roman"/>
          <w:sz w:val="22"/>
          <w:szCs w:val="22"/>
        </w:rPr>
      </w:pPr>
      <w:r w:rsidRPr="00206F59">
        <w:rPr>
          <w:rFonts w:ascii="Times New Roman" w:hAnsi="Times New Roman"/>
          <w:sz w:val="22"/>
          <w:szCs w:val="22"/>
        </w:rPr>
        <w:t xml:space="preserve">Le plan de gestion environnementale et sociale comprendra également : </w:t>
      </w:r>
    </w:p>
    <w:p w:rsidR="00FD76D7" w:rsidRPr="00206F59" w:rsidRDefault="00FD76D7" w:rsidP="00FD76D7">
      <w:pPr>
        <w:pStyle w:val="SolbaseNormal"/>
        <w:spacing w:after="0"/>
        <w:ind w:left="0"/>
        <w:rPr>
          <w:rFonts w:ascii="Times New Roman" w:hAnsi="Times New Roman"/>
          <w:sz w:val="22"/>
          <w:szCs w:val="22"/>
        </w:rPr>
      </w:pPr>
    </w:p>
    <w:p w:rsidR="00FD76D7" w:rsidRPr="00206F59" w:rsidRDefault="00FD76D7" w:rsidP="00FA3FAE">
      <w:pPr>
        <w:pStyle w:val="SolbaseNormal"/>
        <w:numPr>
          <w:ilvl w:val="0"/>
          <w:numId w:val="242"/>
        </w:numPr>
        <w:spacing w:after="0"/>
        <w:rPr>
          <w:rFonts w:ascii="Times New Roman" w:hAnsi="Times New Roman"/>
          <w:sz w:val="22"/>
          <w:szCs w:val="22"/>
        </w:rPr>
      </w:pPr>
      <w:r w:rsidRPr="00206F59">
        <w:rPr>
          <w:rFonts w:ascii="Times New Roman" w:hAnsi="Times New Roman"/>
          <w:sz w:val="22"/>
          <w:szCs w:val="22"/>
        </w:rPr>
        <w:lastRenderedPageBreak/>
        <w:t>l'organigramme du personnel affecté à la gestion environnementale avec indication du responsable chargé de l’Hygiène</w:t>
      </w:r>
      <w:r>
        <w:rPr>
          <w:rFonts w:ascii="Times New Roman" w:hAnsi="Times New Roman"/>
          <w:sz w:val="22"/>
          <w:szCs w:val="22"/>
        </w:rPr>
        <w:t xml:space="preserve">, la </w:t>
      </w:r>
      <w:r w:rsidRPr="00206F59">
        <w:rPr>
          <w:rFonts w:ascii="Times New Roman" w:hAnsi="Times New Roman"/>
          <w:sz w:val="22"/>
          <w:szCs w:val="22"/>
        </w:rPr>
        <w:t>Sécurité</w:t>
      </w:r>
      <w:r>
        <w:rPr>
          <w:rFonts w:ascii="Times New Roman" w:hAnsi="Times New Roman"/>
          <w:sz w:val="22"/>
          <w:szCs w:val="22"/>
        </w:rPr>
        <w:t xml:space="preserve"> et l’</w:t>
      </w:r>
      <w:r w:rsidRPr="00206F59">
        <w:rPr>
          <w:rFonts w:ascii="Times New Roman" w:hAnsi="Times New Roman"/>
          <w:sz w:val="22"/>
          <w:szCs w:val="22"/>
        </w:rPr>
        <w:t xml:space="preserve">Environnement du projet ; </w:t>
      </w:r>
    </w:p>
    <w:p w:rsidR="00FD76D7" w:rsidRPr="00970CA3" w:rsidRDefault="00FD76D7" w:rsidP="00FA3FAE">
      <w:pPr>
        <w:pStyle w:val="SolbaseNormal"/>
        <w:numPr>
          <w:ilvl w:val="0"/>
          <w:numId w:val="242"/>
        </w:numPr>
        <w:spacing w:after="0"/>
        <w:rPr>
          <w:rFonts w:ascii="Times New Roman" w:hAnsi="Times New Roman"/>
          <w:sz w:val="22"/>
          <w:szCs w:val="22"/>
        </w:rPr>
      </w:pPr>
      <w:r w:rsidRPr="00970CA3">
        <w:rPr>
          <w:rFonts w:ascii="Times New Roman" w:hAnsi="Times New Roman"/>
          <w:sz w:val="22"/>
          <w:szCs w:val="22"/>
        </w:rPr>
        <w:t xml:space="preserve">la description des méthodes de réduction des impacts négatifs ; </w:t>
      </w:r>
    </w:p>
    <w:p w:rsidR="00FD76D7" w:rsidRPr="00970CA3" w:rsidRDefault="00FD76D7" w:rsidP="00FA3FAE">
      <w:pPr>
        <w:pStyle w:val="SolbaseNormal"/>
        <w:numPr>
          <w:ilvl w:val="0"/>
          <w:numId w:val="242"/>
        </w:numPr>
        <w:spacing w:after="0"/>
        <w:rPr>
          <w:rFonts w:ascii="Times New Roman" w:hAnsi="Times New Roman"/>
          <w:sz w:val="22"/>
          <w:szCs w:val="22"/>
        </w:rPr>
      </w:pPr>
      <w:r w:rsidRPr="00E641AA">
        <w:rPr>
          <w:rFonts w:ascii="Times New Roman" w:hAnsi="Times New Roman"/>
          <w:sz w:val="22"/>
          <w:szCs w:val="22"/>
        </w:rPr>
        <w:t>le plan de gestion et de remise en état des sites d’emprunt et carrières ;</w:t>
      </w:r>
    </w:p>
    <w:p w:rsidR="00FD76D7" w:rsidRPr="00970CA3" w:rsidRDefault="00FD76D7" w:rsidP="00FA3FAE">
      <w:pPr>
        <w:pStyle w:val="SolbaseNormal"/>
        <w:numPr>
          <w:ilvl w:val="0"/>
          <w:numId w:val="242"/>
        </w:numPr>
        <w:spacing w:after="0"/>
        <w:rPr>
          <w:rFonts w:ascii="Times New Roman" w:hAnsi="Times New Roman"/>
          <w:sz w:val="22"/>
          <w:szCs w:val="22"/>
        </w:rPr>
      </w:pPr>
      <w:r w:rsidRPr="00E641AA">
        <w:rPr>
          <w:rFonts w:ascii="Times New Roman" w:hAnsi="Times New Roman"/>
          <w:sz w:val="22"/>
          <w:szCs w:val="22"/>
        </w:rPr>
        <w:t xml:space="preserve">le plan d’approvisionnement et de gestion de l’eau et de l’assainissement ; </w:t>
      </w:r>
    </w:p>
    <w:p w:rsidR="00FD76D7" w:rsidRPr="00E641AA" w:rsidRDefault="00FD76D7" w:rsidP="00FA3FAE">
      <w:pPr>
        <w:pStyle w:val="SolbaseNormal"/>
        <w:numPr>
          <w:ilvl w:val="0"/>
          <w:numId w:val="242"/>
        </w:numPr>
        <w:spacing w:after="0"/>
        <w:rPr>
          <w:rFonts w:ascii="Times New Roman" w:hAnsi="Times New Roman"/>
          <w:sz w:val="22"/>
          <w:szCs w:val="22"/>
        </w:rPr>
      </w:pPr>
      <w:r w:rsidRPr="00E641AA">
        <w:rPr>
          <w:rFonts w:ascii="Times New Roman" w:hAnsi="Times New Roman"/>
          <w:sz w:val="22"/>
          <w:szCs w:val="22"/>
        </w:rPr>
        <w:t>la liste des accords pris avec les propriétaires et les utilisateurs actuels des sites privés.</w:t>
      </w:r>
    </w:p>
    <w:p w:rsidR="000B53EE" w:rsidRPr="000B53EE" w:rsidRDefault="000B53EE" w:rsidP="00FA3FAE">
      <w:pPr>
        <w:pStyle w:val="Style9"/>
        <w:keepLines w:val="0"/>
        <w:numPr>
          <w:ilvl w:val="0"/>
          <w:numId w:val="211"/>
        </w:numPr>
        <w:spacing w:after="60" w:line="276" w:lineRule="auto"/>
        <w:jc w:val="both"/>
        <w:rPr>
          <w:rFonts w:ascii="Times New Roman" w:hAnsi="Times New Roman"/>
          <w:sz w:val="28"/>
          <w:szCs w:val="28"/>
          <w:lang w:val="fr-FR"/>
        </w:rPr>
      </w:pPr>
      <w:bookmarkStart w:id="985" w:name="_Toc51072689"/>
      <w:r w:rsidRPr="000B53EE">
        <w:rPr>
          <w:rFonts w:ascii="Times New Roman" w:hAnsi="Times New Roman"/>
          <w:sz w:val="28"/>
          <w:szCs w:val="28"/>
          <w:lang w:val="fr-FR"/>
        </w:rPr>
        <w:t>DISPOSITIONS A PRENDRE PENDANT LES TRAVAUX</w:t>
      </w:r>
      <w:bookmarkEnd w:id="982"/>
      <w:bookmarkEnd w:id="985"/>
      <w:r w:rsidRPr="000B53EE">
        <w:rPr>
          <w:rFonts w:ascii="Times New Roman" w:hAnsi="Times New Roman"/>
          <w:sz w:val="28"/>
          <w:szCs w:val="28"/>
          <w:lang w:val="fr-FR"/>
        </w:rPr>
        <w:t> </w:t>
      </w:r>
      <w:bookmarkEnd w:id="983"/>
      <w:bookmarkEnd w:id="984"/>
    </w:p>
    <w:p w:rsidR="000B53EE" w:rsidRPr="001E2895" w:rsidRDefault="000B53EE" w:rsidP="00FA3FAE">
      <w:pPr>
        <w:pStyle w:val="SolbaseNormal"/>
        <w:numPr>
          <w:ilvl w:val="0"/>
          <w:numId w:val="212"/>
        </w:numPr>
        <w:spacing w:before="120" w:line="276" w:lineRule="auto"/>
        <w:outlineLvl w:val="1"/>
        <w:rPr>
          <w:rFonts w:ascii="Times New Roman" w:hAnsi="Times New Roman"/>
          <w:b/>
          <w:bCs/>
          <w:sz w:val="28"/>
          <w:szCs w:val="28"/>
        </w:rPr>
      </w:pPr>
      <w:bookmarkStart w:id="986" w:name="_Toc32340812"/>
      <w:bookmarkStart w:id="987" w:name="_Toc32511706"/>
      <w:bookmarkStart w:id="988" w:name="_Toc51072690"/>
      <w:r w:rsidRPr="001E2895">
        <w:rPr>
          <w:rFonts w:ascii="Times New Roman" w:hAnsi="Times New Roman"/>
          <w:b/>
          <w:bCs/>
          <w:sz w:val="28"/>
          <w:szCs w:val="28"/>
        </w:rPr>
        <w:t>Normes de localisation</w:t>
      </w:r>
      <w:bookmarkEnd w:id="986"/>
      <w:bookmarkEnd w:id="987"/>
      <w:bookmarkEnd w:id="988"/>
    </w:p>
    <w:p w:rsidR="000B53EE" w:rsidRPr="000B53EE" w:rsidRDefault="000B53EE" w:rsidP="000B53EE">
      <w:pPr>
        <w:pStyle w:val="SolbaseNormal"/>
        <w:spacing w:after="0"/>
        <w:ind w:left="0"/>
        <w:rPr>
          <w:rFonts w:ascii="Times New Roman" w:hAnsi="Times New Roman"/>
          <w:sz w:val="22"/>
          <w:szCs w:val="22"/>
        </w:rPr>
      </w:pPr>
      <w:r w:rsidRPr="000B53EE">
        <w:rPr>
          <w:rFonts w:ascii="Times New Roman" w:hAnsi="Times New Roman"/>
          <w:sz w:val="22"/>
          <w:szCs w:val="22"/>
        </w:rPr>
        <w:t>L’Entrepreneur doit construire ses installations temporaires du chantier de façon à déranger le moins possible l’environnement, de préférence dans des endroits déjà déboisés ou perturbés lorsque de tels sites existent, ou sur des sites qui seront réutilisés lors d’une phase ultérieure pour d’autres fins. L’Entrepreneur doit strictement interdire d'établir une base vie à l'intérieur d'une aire protégée.</w:t>
      </w:r>
    </w:p>
    <w:p w:rsidR="000B53EE" w:rsidRPr="001E2895" w:rsidRDefault="000B53EE" w:rsidP="00FA3FAE">
      <w:pPr>
        <w:pStyle w:val="SolbaseNormal"/>
        <w:numPr>
          <w:ilvl w:val="0"/>
          <w:numId w:val="212"/>
        </w:numPr>
        <w:spacing w:before="120" w:line="276" w:lineRule="auto"/>
        <w:outlineLvl w:val="1"/>
        <w:rPr>
          <w:rFonts w:ascii="Times New Roman" w:hAnsi="Times New Roman"/>
          <w:b/>
          <w:bCs/>
          <w:sz w:val="28"/>
          <w:szCs w:val="28"/>
        </w:rPr>
      </w:pPr>
      <w:bookmarkStart w:id="989" w:name="_Toc32511707"/>
      <w:bookmarkStart w:id="990" w:name="_Toc51072691"/>
      <w:bookmarkStart w:id="991" w:name="_Toc32340813"/>
      <w:r w:rsidRPr="001E2895">
        <w:rPr>
          <w:rFonts w:ascii="Times New Roman" w:hAnsi="Times New Roman"/>
          <w:b/>
          <w:bCs/>
          <w:sz w:val="28"/>
          <w:szCs w:val="28"/>
        </w:rPr>
        <w:t>Affichage du règlement intérieur et sensibilisation du personnel</w:t>
      </w:r>
      <w:bookmarkEnd w:id="989"/>
      <w:bookmarkEnd w:id="990"/>
      <w:r w:rsidRPr="001E2895">
        <w:rPr>
          <w:rFonts w:ascii="Times New Roman" w:hAnsi="Times New Roman"/>
          <w:b/>
          <w:bCs/>
          <w:sz w:val="28"/>
          <w:szCs w:val="28"/>
        </w:rPr>
        <w:t> </w:t>
      </w:r>
      <w:bookmarkEnd w:id="991"/>
    </w:p>
    <w:p w:rsidR="000B53EE" w:rsidRPr="000B53EE" w:rsidRDefault="000B53EE" w:rsidP="000B53EE">
      <w:pPr>
        <w:pStyle w:val="SolbaseNormal"/>
        <w:spacing w:after="0"/>
        <w:ind w:left="0"/>
        <w:rPr>
          <w:rFonts w:ascii="Times New Roman" w:hAnsi="Times New Roman"/>
          <w:sz w:val="22"/>
          <w:szCs w:val="22"/>
        </w:rPr>
      </w:pPr>
      <w:r w:rsidRPr="000B53EE">
        <w:rPr>
          <w:rFonts w:ascii="Times New Roman" w:hAnsi="Times New Roman"/>
          <w:sz w:val="22"/>
          <w:szCs w:val="22"/>
        </w:rPr>
        <w:t>L’Entrepreneur doit afficher un règlement intérieur de façon visible dans les diverses installations de la base-vie prescrivant spécifiquement : le respect des us et coutumes locales ; la protection contre les IST/VIH/SIDA ; les règles d’hygiène et les mesures de sécurité.</w:t>
      </w:r>
    </w:p>
    <w:p w:rsidR="000B53EE" w:rsidRPr="001E2895" w:rsidRDefault="000B53EE" w:rsidP="00FA3FAE">
      <w:pPr>
        <w:pStyle w:val="SolbaseNormal"/>
        <w:numPr>
          <w:ilvl w:val="0"/>
          <w:numId w:val="212"/>
        </w:numPr>
        <w:spacing w:before="120" w:line="276" w:lineRule="auto"/>
        <w:outlineLvl w:val="1"/>
        <w:rPr>
          <w:rFonts w:ascii="Times New Roman" w:hAnsi="Times New Roman"/>
          <w:b/>
          <w:bCs/>
          <w:sz w:val="28"/>
          <w:szCs w:val="28"/>
        </w:rPr>
      </w:pPr>
      <w:bookmarkStart w:id="992" w:name="_Toc32511708"/>
      <w:bookmarkStart w:id="993" w:name="_Toc51072692"/>
      <w:bookmarkStart w:id="994" w:name="_Toc32340814"/>
      <w:r w:rsidRPr="001E2895">
        <w:rPr>
          <w:rFonts w:ascii="Times New Roman" w:hAnsi="Times New Roman"/>
          <w:b/>
          <w:bCs/>
          <w:sz w:val="28"/>
          <w:szCs w:val="28"/>
        </w:rPr>
        <w:t>Emploi de la main d’œuvre locale</w:t>
      </w:r>
      <w:bookmarkEnd w:id="992"/>
      <w:bookmarkEnd w:id="993"/>
      <w:r w:rsidRPr="001E2895">
        <w:rPr>
          <w:rFonts w:ascii="Times New Roman" w:hAnsi="Times New Roman"/>
          <w:b/>
          <w:bCs/>
          <w:sz w:val="28"/>
          <w:szCs w:val="28"/>
        </w:rPr>
        <w:t> </w:t>
      </w:r>
      <w:bookmarkEnd w:id="994"/>
    </w:p>
    <w:p w:rsidR="000B53EE" w:rsidRPr="000B53EE" w:rsidRDefault="000B53EE" w:rsidP="000B53EE">
      <w:pPr>
        <w:pStyle w:val="SolbaseNormal"/>
        <w:spacing w:after="0"/>
        <w:ind w:left="0"/>
        <w:rPr>
          <w:rFonts w:ascii="Times New Roman" w:hAnsi="Times New Roman"/>
          <w:sz w:val="22"/>
          <w:szCs w:val="22"/>
        </w:rPr>
      </w:pPr>
      <w:r w:rsidRPr="000B53EE">
        <w:rPr>
          <w:rFonts w:ascii="Times New Roman" w:hAnsi="Times New Roman"/>
          <w:sz w:val="22"/>
          <w:szCs w:val="22"/>
        </w:rPr>
        <w:t>L’Entrepreneur est tenu d’engager (en dehors de son personnel cadre technique) le plus de main-d’œuvre possible dans la zone où les travaux sont réalisés. A défaut de trouver le personnel qualifié sur place, il est autorisé d’engager la main d’œuvre à l’extérieur de la zone de travail.</w:t>
      </w:r>
    </w:p>
    <w:p w:rsidR="000B53EE" w:rsidRPr="000B53EE" w:rsidRDefault="000B53EE" w:rsidP="000B53EE">
      <w:pPr>
        <w:pStyle w:val="SolbaseNormal"/>
        <w:spacing w:after="0"/>
        <w:ind w:left="0"/>
        <w:rPr>
          <w:rFonts w:ascii="Times New Roman" w:hAnsi="Times New Roman"/>
          <w:sz w:val="22"/>
          <w:szCs w:val="22"/>
        </w:rPr>
      </w:pPr>
      <w:r w:rsidRPr="000B53EE">
        <w:rPr>
          <w:rFonts w:ascii="Times New Roman" w:hAnsi="Times New Roman"/>
          <w:sz w:val="22"/>
          <w:szCs w:val="22"/>
        </w:rPr>
        <w:t>Pour l'emploi des personnels non qualifiés, l'Entrepreneur devra mettre en œuvre un certain nombre de prescriptions :</w:t>
      </w:r>
    </w:p>
    <w:p w:rsidR="000B53EE" w:rsidRPr="000B53EE" w:rsidRDefault="000B53EE" w:rsidP="000B53EE">
      <w:pPr>
        <w:pStyle w:val="SolbaseNormal"/>
        <w:spacing w:after="0"/>
        <w:ind w:left="0"/>
        <w:rPr>
          <w:rFonts w:ascii="Times New Roman" w:hAnsi="Times New Roman"/>
          <w:sz w:val="22"/>
          <w:szCs w:val="22"/>
        </w:rPr>
      </w:pPr>
      <w:r w:rsidRPr="000B53EE">
        <w:rPr>
          <w:rFonts w:ascii="Times New Roman" w:hAnsi="Times New Roman"/>
          <w:sz w:val="22"/>
          <w:szCs w:val="22"/>
        </w:rPr>
        <w:t>Maximiser l'emploi de personnes issues des populations voisines du chantier ;</w:t>
      </w:r>
    </w:p>
    <w:p w:rsidR="000B53EE" w:rsidRPr="000B53EE" w:rsidRDefault="000B53EE" w:rsidP="000B53EE">
      <w:pPr>
        <w:pStyle w:val="SolbaseNormal"/>
        <w:spacing w:after="0"/>
        <w:ind w:left="0"/>
        <w:rPr>
          <w:rFonts w:ascii="Times New Roman" w:hAnsi="Times New Roman"/>
          <w:sz w:val="22"/>
          <w:szCs w:val="22"/>
        </w:rPr>
      </w:pPr>
      <w:r w:rsidRPr="000B53EE">
        <w:rPr>
          <w:rFonts w:ascii="Times New Roman" w:hAnsi="Times New Roman"/>
          <w:sz w:val="22"/>
          <w:szCs w:val="22"/>
        </w:rPr>
        <w:t>Établir des procédures d'embauche et de débauche transparentes ;</w:t>
      </w:r>
    </w:p>
    <w:p w:rsidR="000B53EE" w:rsidRPr="000B53EE" w:rsidRDefault="000B53EE" w:rsidP="000B53EE">
      <w:pPr>
        <w:pStyle w:val="SolbaseNormal"/>
        <w:spacing w:after="0"/>
        <w:ind w:left="0"/>
        <w:rPr>
          <w:rFonts w:ascii="Times New Roman" w:hAnsi="Times New Roman"/>
          <w:sz w:val="22"/>
          <w:szCs w:val="22"/>
        </w:rPr>
      </w:pPr>
      <w:r w:rsidRPr="000B53EE">
        <w:rPr>
          <w:rFonts w:ascii="Times New Roman" w:hAnsi="Times New Roman"/>
          <w:sz w:val="22"/>
          <w:szCs w:val="22"/>
        </w:rPr>
        <w:t>Établir une politique de communication et d'information explicitant ces          d'embauche et de débauche. Cette politique de communication s'adressera aux populations et aux diverses autorités administratives ;</w:t>
      </w:r>
    </w:p>
    <w:p w:rsidR="000B53EE" w:rsidRPr="000B53EE" w:rsidRDefault="000B53EE" w:rsidP="000B53EE">
      <w:pPr>
        <w:pStyle w:val="SolbaseNormal"/>
        <w:spacing w:after="0"/>
        <w:ind w:left="0"/>
        <w:rPr>
          <w:rFonts w:ascii="Times New Roman" w:hAnsi="Times New Roman"/>
          <w:sz w:val="22"/>
          <w:szCs w:val="22"/>
        </w:rPr>
      </w:pPr>
      <w:r w:rsidRPr="000B53EE">
        <w:rPr>
          <w:rFonts w:ascii="Times New Roman" w:hAnsi="Times New Roman"/>
          <w:sz w:val="22"/>
          <w:szCs w:val="22"/>
        </w:rPr>
        <w:t>S'assurer que les conditions d'embauche et de débauche soient parfaitement comprises et acceptées ;</w:t>
      </w:r>
    </w:p>
    <w:p w:rsidR="000B53EE" w:rsidRPr="000B53EE" w:rsidRDefault="000B53EE" w:rsidP="000B53EE">
      <w:pPr>
        <w:pStyle w:val="SolbaseNormal"/>
        <w:spacing w:after="0"/>
        <w:ind w:left="0"/>
        <w:rPr>
          <w:rFonts w:ascii="Times New Roman" w:hAnsi="Times New Roman"/>
          <w:sz w:val="22"/>
          <w:szCs w:val="22"/>
        </w:rPr>
      </w:pPr>
      <w:r w:rsidRPr="000B53EE">
        <w:rPr>
          <w:rFonts w:ascii="Times New Roman" w:hAnsi="Times New Roman"/>
          <w:sz w:val="22"/>
          <w:szCs w:val="22"/>
        </w:rPr>
        <w:t>Les mesures de sécurités et de santé en vigueur sur le chantier devront être appliquées avec un soin particulier au personnel sans qualification recruté temporairement.</w:t>
      </w:r>
    </w:p>
    <w:p w:rsidR="000B53EE" w:rsidRPr="000B53EE" w:rsidRDefault="000B53EE" w:rsidP="000B53EE">
      <w:pPr>
        <w:pStyle w:val="SolbaseNormal"/>
        <w:spacing w:after="0"/>
        <w:ind w:left="0"/>
        <w:rPr>
          <w:rFonts w:ascii="Times New Roman" w:hAnsi="Times New Roman"/>
          <w:sz w:val="22"/>
          <w:szCs w:val="22"/>
        </w:rPr>
      </w:pPr>
      <w:r w:rsidRPr="000B53EE">
        <w:rPr>
          <w:rFonts w:ascii="Times New Roman" w:hAnsi="Times New Roman"/>
          <w:sz w:val="22"/>
          <w:szCs w:val="22"/>
        </w:rPr>
        <w:t>Pendant l'exécution du chantier, l'Entrepreneur établira un tableau de suivi de l'embauche et de la débauche du personnel non qualifié. Il contiendra au moins les données suivantes : une liste nominative, la durée (en jours) de l'embauche, la date d'embauche, la date de débauche et l'origine géographique du personnel temporaire.</w:t>
      </w:r>
    </w:p>
    <w:p w:rsidR="000B53EE" w:rsidRPr="001E2895" w:rsidRDefault="000B53EE" w:rsidP="00FA3FAE">
      <w:pPr>
        <w:pStyle w:val="SolbaseNormal"/>
        <w:numPr>
          <w:ilvl w:val="0"/>
          <w:numId w:val="212"/>
        </w:numPr>
        <w:spacing w:before="120" w:line="276" w:lineRule="auto"/>
        <w:outlineLvl w:val="1"/>
        <w:rPr>
          <w:rFonts w:ascii="Times New Roman" w:hAnsi="Times New Roman"/>
          <w:b/>
          <w:bCs/>
          <w:sz w:val="28"/>
          <w:szCs w:val="28"/>
        </w:rPr>
      </w:pPr>
      <w:bookmarkStart w:id="995" w:name="_Toc32511709"/>
      <w:bookmarkStart w:id="996" w:name="_Toc51072693"/>
      <w:bookmarkStart w:id="997" w:name="_Toc32340815"/>
      <w:r w:rsidRPr="001E2895">
        <w:rPr>
          <w:rFonts w:ascii="Times New Roman" w:hAnsi="Times New Roman"/>
          <w:b/>
          <w:bCs/>
          <w:sz w:val="28"/>
          <w:szCs w:val="28"/>
        </w:rPr>
        <w:t>Respect des horaires de travail</w:t>
      </w:r>
      <w:bookmarkEnd w:id="995"/>
      <w:bookmarkEnd w:id="996"/>
      <w:r w:rsidRPr="001E2895">
        <w:rPr>
          <w:rFonts w:ascii="Times New Roman" w:hAnsi="Times New Roman"/>
          <w:b/>
          <w:bCs/>
          <w:sz w:val="28"/>
          <w:szCs w:val="28"/>
        </w:rPr>
        <w:t> </w:t>
      </w:r>
      <w:bookmarkEnd w:id="997"/>
    </w:p>
    <w:p w:rsidR="000B53EE" w:rsidRPr="000B53EE" w:rsidRDefault="000B53EE" w:rsidP="000B53EE">
      <w:pPr>
        <w:pStyle w:val="SolbaseNormal"/>
        <w:spacing w:after="0"/>
        <w:ind w:left="0"/>
        <w:rPr>
          <w:rFonts w:ascii="Times New Roman" w:hAnsi="Times New Roman"/>
          <w:sz w:val="22"/>
          <w:szCs w:val="22"/>
        </w:rPr>
      </w:pPr>
      <w:r w:rsidRPr="000B53EE">
        <w:rPr>
          <w:rFonts w:ascii="Times New Roman" w:hAnsi="Times New Roman"/>
          <w:sz w:val="22"/>
          <w:szCs w:val="22"/>
        </w:rPr>
        <w:t>L’Entrepreneur doit s’assurer que les horaires de travail respectent les lois et règlements nationaux en vigueur. Toute dérogation est soumise à l’approbation du Maître d’œuvre. Dans la mesure du possible, (sauf en cas d’exception accordé par le Maître d’œuvre), l’Entrepreneur doit éviter d’exécuter les travaux pendant les heures de repos, les dimanches et les jours fériés.</w:t>
      </w:r>
    </w:p>
    <w:p w:rsidR="000B53EE" w:rsidRPr="001E2895" w:rsidRDefault="000B53EE" w:rsidP="00FA3FAE">
      <w:pPr>
        <w:pStyle w:val="SolbaseNormal"/>
        <w:numPr>
          <w:ilvl w:val="0"/>
          <w:numId w:val="212"/>
        </w:numPr>
        <w:spacing w:before="120" w:line="276" w:lineRule="auto"/>
        <w:outlineLvl w:val="1"/>
        <w:rPr>
          <w:rFonts w:ascii="Times New Roman" w:hAnsi="Times New Roman"/>
          <w:b/>
          <w:bCs/>
          <w:sz w:val="28"/>
          <w:szCs w:val="28"/>
        </w:rPr>
      </w:pPr>
      <w:bookmarkStart w:id="998" w:name="_Toc32511710"/>
      <w:bookmarkStart w:id="999" w:name="_Toc51072694"/>
      <w:bookmarkStart w:id="1000" w:name="_Toc32340816"/>
      <w:r w:rsidRPr="001E2895">
        <w:rPr>
          <w:rFonts w:ascii="Times New Roman" w:hAnsi="Times New Roman"/>
          <w:b/>
          <w:bCs/>
          <w:sz w:val="28"/>
          <w:szCs w:val="28"/>
        </w:rPr>
        <w:t>Protection du personnel de chantier</w:t>
      </w:r>
      <w:bookmarkEnd w:id="998"/>
      <w:bookmarkEnd w:id="999"/>
      <w:r w:rsidRPr="001E2895">
        <w:rPr>
          <w:rFonts w:ascii="Times New Roman" w:hAnsi="Times New Roman"/>
          <w:b/>
          <w:bCs/>
          <w:sz w:val="28"/>
          <w:szCs w:val="28"/>
        </w:rPr>
        <w:t> </w:t>
      </w:r>
      <w:bookmarkEnd w:id="1000"/>
    </w:p>
    <w:p w:rsidR="000B53EE" w:rsidRPr="000B53EE" w:rsidRDefault="000B53EE" w:rsidP="000B53EE">
      <w:pPr>
        <w:pStyle w:val="SolbaseNormal"/>
        <w:spacing w:after="0"/>
        <w:ind w:left="0"/>
        <w:rPr>
          <w:rFonts w:ascii="Times New Roman" w:hAnsi="Times New Roman"/>
          <w:sz w:val="22"/>
          <w:szCs w:val="22"/>
        </w:rPr>
      </w:pPr>
      <w:r w:rsidRPr="000B53EE">
        <w:rPr>
          <w:rFonts w:ascii="Times New Roman" w:hAnsi="Times New Roman"/>
          <w:sz w:val="22"/>
          <w:szCs w:val="22"/>
        </w:rPr>
        <w:t xml:space="preserve">L’Entrepreneur doit mettre à disposition du personnel de chantier des tenues de travail correctes réglementaires et en bon état, ainsi que tous les accessoires de protection et de sécurité propres à leurs activités (gants, lunettes de protection pour les soudeurs et découpeurs de tôles, casques, cache-nez, harnais de sécurité pour les travaux en altitude, souliers ou bottes renforcés, combinaisons en kaki, etc.). </w:t>
      </w:r>
    </w:p>
    <w:p w:rsidR="000B53EE" w:rsidRPr="000B53EE" w:rsidRDefault="000B53EE" w:rsidP="000B53EE">
      <w:pPr>
        <w:pStyle w:val="SolbaseNormal"/>
        <w:spacing w:after="0"/>
        <w:ind w:left="0"/>
        <w:rPr>
          <w:rFonts w:ascii="Times New Roman" w:hAnsi="Times New Roman"/>
          <w:sz w:val="22"/>
          <w:szCs w:val="22"/>
        </w:rPr>
      </w:pPr>
      <w:r w:rsidRPr="000B53EE">
        <w:rPr>
          <w:rFonts w:ascii="Times New Roman" w:hAnsi="Times New Roman"/>
          <w:sz w:val="22"/>
          <w:szCs w:val="22"/>
        </w:rPr>
        <w:t>L’Entrepreneur doit veiller au port scrupuleux des équipements de protection sur le chantier. Un contrôle permanent doit être effectué à cet effet et, en cas de manquement, des mesures coercitives (avertissement, mise à pied, renvoi) doivent être appliquées au personnel concerné.</w:t>
      </w:r>
    </w:p>
    <w:p w:rsidR="000B53EE" w:rsidRPr="000B53EE" w:rsidRDefault="000B53EE" w:rsidP="000B53EE">
      <w:pPr>
        <w:pStyle w:val="SolbaseNormal"/>
        <w:spacing w:after="0"/>
        <w:ind w:left="0"/>
        <w:rPr>
          <w:rFonts w:ascii="Times New Roman" w:hAnsi="Times New Roman"/>
          <w:sz w:val="22"/>
          <w:szCs w:val="22"/>
        </w:rPr>
      </w:pPr>
      <w:r w:rsidRPr="000B53EE">
        <w:rPr>
          <w:rFonts w:ascii="Times New Roman" w:hAnsi="Times New Roman"/>
          <w:sz w:val="22"/>
          <w:szCs w:val="22"/>
        </w:rPr>
        <w:t>L’Entrepreneur doit interdire l’accès du chantier au public, le protéger par des balises et des panneaux de signalisation, indiquer les différents accès et prendre toutes les mesures d’ordre et de sécurité propres à éviter les accidents.</w:t>
      </w:r>
    </w:p>
    <w:p w:rsidR="000B53EE" w:rsidRPr="001E2895" w:rsidRDefault="000B53EE" w:rsidP="00FA3FAE">
      <w:pPr>
        <w:pStyle w:val="SolbaseNormal"/>
        <w:numPr>
          <w:ilvl w:val="0"/>
          <w:numId w:val="212"/>
        </w:numPr>
        <w:spacing w:before="120" w:line="276" w:lineRule="auto"/>
        <w:outlineLvl w:val="1"/>
        <w:rPr>
          <w:rFonts w:ascii="Times New Roman" w:hAnsi="Times New Roman"/>
          <w:b/>
          <w:bCs/>
          <w:sz w:val="28"/>
          <w:szCs w:val="28"/>
        </w:rPr>
      </w:pPr>
      <w:bookmarkStart w:id="1001" w:name="_Toc32340817"/>
      <w:bookmarkStart w:id="1002" w:name="_Toc32511711"/>
      <w:bookmarkStart w:id="1003" w:name="_Toc51072695"/>
      <w:r w:rsidRPr="001E2895">
        <w:rPr>
          <w:rFonts w:ascii="Times New Roman" w:hAnsi="Times New Roman"/>
          <w:b/>
          <w:bCs/>
          <w:sz w:val="28"/>
          <w:szCs w:val="28"/>
        </w:rPr>
        <w:lastRenderedPageBreak/>
        <w:t>Formation et sensibilisation</w:t>
      </w:r>
      <w:bookmarkEnd w:id="1001"/>
      <w:bookmarkEnd w:id="1002"/>
      <w:bookmarkEnd w:id="1003"/>
    </w:p>
    <w:p w:rsidR="000B53EE" w:rsidRPr="000B53EE" w:rsidRDefault="000B53EE" w:rsidP="000B53EE">
      <w:pPr>
        <w:pStyle w:val="SolbaseNormal"/>
        <w:spacing w:after="0"/>
        <w:ind w:left="0"/>
        <w:rPr>
          <w:rFonts w:ascii="Times New Roman" w:hAnsi="Times New Roman"/>
          <w:sz w:val="22"/>
          <w:szCs w:val="22"/>
        </w:rPr>
      </w:pPr>
      <w:r w:rsidRPr="000B53EE">
        <w:rPr>
          <w:rFonts w:ascii="Times New Roman" w:hAnsi="Times New Roman"/>
          <w:sz w:val="22"/>
          <w:szCs w:val="22"/>
        </w:rPr>
        <w:t>Destiné à ses employés permanents ou temporaires, l'Entrepreneur constituera un plan de formation à la sécurité sur le chantier (importance du port des protections individuelles, règles de circulation, abstinence alcoolique, ...) et à la santé au travail et dans la vie quotidienne (prévention des MST et plus particulièrement le HIV, prévention du paludisme, techniques de portage des charges lourdes...).</w:t>
      </w:r>
    </w:p>
    <w:p w:rsidR="000B53EE" w:rsidRPr="000B53EE" w:rsidRDefault="000B53EE" w:rsidP="000B53EE">
      <w:pPr>
        <w:pStyle w:val="SolbaseNormal"/>
        <w:spacing w:after="0"/>
        <w:ind w:left="0"/>
        <w:rPr>
          <w:rFonts w:ascii="Times New Roman" w:hAnsi="Times New Roman"/>
          <w:sz w:val="22"/>
          <w:szCs w:val="22"/>
        </w:rPr>
      </w:pPr>
      <w:r w:rsidRPr="000B53EE">
        <w:rPr>
          <w:rFonts w:ascii="Times New Roman" w:hAnsi="Times New Roman"/>
          <w:sz w:val="22"/>
          <w:szCs w:val="22"/>
        </w:rPr>
        <w:t>Une petite sensibilisation sera donnée à tout visiteur du chantier. Elle consistera en une présentation du sous-projet n° 1 et des consignes de sécurité à respecter sur le chantier.</w:t>
      </w:r>
    </w:p>
    <w:p w:rsidR="000B53EE" w:rsidRPr="000B53EE" w:rsidRDefault="000B53EE" w:rsidP="000B53EE">
      <w:pPr>
        <w:pStyle w:val="SolbaseNormal"/>
        <w:spacing w:after="0"/>
        <w:ind w:left="0"/>
        <w:rPr>
          <w:rFonts w:ascii="Times New Roman" w:hAnsi="Times New Roman"/>
          <w:sz w:val="22"/>
          <w:szCs w:val="22"/>
        </w:rPr>
      </w:pPr>
    </w:p>
    <w:p w:rsidR="000B53EE" w:rsidRPr="000B53EE" w:rsidRDefault="000B53EE" w:rsidP="000B53EE">
      <w:pPr>
        <w:pStyle w:val="SolbaseNormal"/>
        <w:spacing w:after="0"/>
        <w:ind w:left="0"/>
        <w:rPr>
          <w:rFonts w:ascii="Times New Roman" w:hAnsi="Times New Roman"/>
          <w:sz w:val="22"/>
          <w:szCs w:val="22"/>
        </w:rPr>
      </w:pPr>
      <w:r w:rsidRPr="000B53EE">
        <w:rPr>
          <w:rFonts w:ascii="Times New Roman" w:hAnsi="Times New Roman"/>
          <w:sz w:val="22"/>
          <w:szCs w:val="22"/>
        </w:rPr>
        <w:t>Chaque séance de formation sera consignée dans un formulaire mis au point par l'Entrepreneur qui comprendra, au moins, le nom des formés, leur statut, l'intitulé de la formation et la date.</w:t>
      </w:r>
    </w:p>
    <w:p w:rsidR="000B53EE" w:rsidRPr="000B53EE" w:rsidRDefault="000B53EE" w:rsidP="000B53EE">
      <w:pPr>
        <w:pStyle w:val="SolbaseNormal"/>
        <w:spacing w:after="0"/>
        <w:ind w:left="0"/>
        <w:rPr>
          <w:rFonts w:ascii="Times New Roman" w:hAnsi="Times New Roman"/>
          <w:sz w:val="22"/>
          <w:szCs w:val="22"/>
        </w:rPr>
      </w:pPr>
      <w:r w:rsidRPr="000B53EE">
        <w:rPr>
          <w:rFonts w:ascii="Times New Roman" w:hAnsi="Times New Roman"/>
          <w:sz w:val="22"/>
          <w:szCs w:val="22"/>
        </w:rPr>
        <w:t>Tout ceci devra être agrémenté par des photos d’illustration.</w:t>
      </w:r>
    </w:p>
    <w:p w:rsidR="000B53EE" w:rsidRPr="001E2895" w:rsidRDefault="000B53EE" w:rsidP="00FA3FAE">
      <w:pPr>
        <w:pStyle w:val="SolbaseNormal"/>
        <w:numPr>
          <w:ilvl w:val="0"/>
          <w:numId w:val="212"/>
        </w:numPr>
        <w:spacing w:before="120" w:line="276" w:lineRule="auto"/>
        <w:outlineLvl w:val="1"/>
        <w:rPr>
          <w:rFonts w:ascii="Times New Roman" w:hAnsi="Times New Roman"/>
          <w:b/>
          <w:bCs/>
          <w:sz w:val="28"/>
          <w:szCs w:val="28"/>
        </w:rPr>
      </w:pPr>
      <w:bookmarkStart w:id="1004" w:name="_Toc32340818"/>
      <w:bookmarkStart w:id="1005" w:name="_Toc32511712"/>
      <w:bookmarkStart w:id="1006" w:name="_Toc51072696"/>
      <w:r w:rsidRPr="001E2895">
        <w:rPr>
          <w:rFonts w:ascii="Times New Roman" w:hAnsi="Times New Roman"/>
          <w:b/>
          <w:bCs/>
          <w:sz w:val="28"/>
          <w:szCs w:val="28"/>
        </w:rPr>
        <w:t>Gestion des impacts attendus sur la santé et le VIH/SIDA</w:t>
      </w:r>
      <w:bookmarkEnd w:id="1004"/>
      <w:bookmarkEnd w:id="1005"/>
      <w:bookmarkEnd w:id="1006"/>
    </w:p>
    <w:p w:rsidR="000B53EE" w:rsidRPr="000B53EE" w:rsidRDefault="000B53EE" w:rsidP="000B53EE">
      <w:pPr>
        <w:pStyle w:val="SolbaseNormal"/>
        <w:spacing w:after="0"/>
        <w:ind w:left="0"/>
        <w:rPr>
          <w:rFonts w:ascii="Times New Roman" w:hAnsi="Times New Roman"/>
          <w:sz w:val="22"/>
          <w:szCs w:val="22"/>
        </w:rPr>
      </w:pPr>
      <w:r w:rsidRPr="000B53EE">
        <w:rPr>
          <w:rFonts w:ascii="Times New Roman" w:hAnsi="Times New Roman"/>
          <w:sz w:val="22"/>
          <w:szCs w:val="22"/>
        </w:rPr>
        <w:t>Sensibilisation sur la santé</w:t>
      </w:r>
    </w:p>
    <w:p w:rsidR="000B53EE" w:rsidRPr="000B53EE" w:rsidRDefault="000B53EE" w:rsidP="000B53EE">
      <w:pPr>
        <w:pStyle w:val="SolbaseNormal"/>
        <w:spacing w:after="0"/>
        <w:ind w:left="0"/>
        <w:rPr>
          <w:rFonts w:ascii="Times New Roman" w:hAnsi="Times New Roman"/>
          <w:sz w:val="22"/>
          <w:szCs w:val="22"/>
        </w:rPr>
      </w:pPr>
      <w:r w:rsidRPr="000B53EE">
        <w:rPr>
          <w:rFonts w:ascii="Times New Roman" w:hAnsi="Times New Roman"/>
          <w:sz w:val="22"/>
          <w:szCs w:val="22"/>
        </w:rPr>
        <w:t>Il est attendu que l’entreprise intègre dans ses rapports mensuels environnementaux et sociaux, un compte rendu sur la campagne de sensibilisation avec la liste de présence émargée des ouvriers, illustré par des photos.</w:t>
      </w:r>
    </w:p>
    <w:p w:rsidR="000B53EE" w:rsidRPr="000B53EE" w:rsidRDefault="000B53EE" w:rsidP="000B53EE">
      <w:pPr>
        <w:pStyle w:val="SolbaseNormal"/>
        <w:spacing w:after="0"/>
        <w:ind w:left="0"/>
        <w:rPr>
          <w:rFonts w:ascii="Times New Roman" w:hAnsi="Times New Roman"/>
          <w:sz w:val="22"/>
          <w:szCs w:val="22"/>
        </w:rPr>
      </w:pPr>
      <w:bookmarkStart w:id="1007" w:name="_Toc236666022"/>
      <w:r w:rsidRPr="000B53EE">
        <w:rPr>
          <w:rFonts w:ascii="Times New Roman" w:hAnsi="Times New Roman"/>
          <w:sz w:val="22"/>
          <w:szCs w:val="22"/>
        </w:rPr>
        <w:t>Prise en charge médical</w:t>
      </w:r>
      <w:bookmarkEnd w:id="1007"/>
      <w:r w:rsidRPr="000B53EE">
        <w:rPr>
          <w:rFonts w:ascii="Times New Roman" w:hAnsi="Times New Roman"/>
          <w:sz w:val="22"/>
          <w:szCs w:val="22"/>
        </w:rPr>
        <w:t>e</w:t>
      </w:r>
    </w:p>
    <w:p w:rsidR="000B53EE" w:rsidRPr="000B53EE" w:rsidRDefault="000B53EE" w:rsidP="000B53EE">
      <w:pPr>
        <w:pStyle w:val="SolbaseNormal"/>
        <w:spacing w:after="0"/>
        <w:ind w:left="0"/>
        <w:rPr>
          <w:rFonts w:ascii="Times New Roman" w:hAnsi="Times New Roman"/>
          <w:sz w:val="22"/>
          <w:szCs w:val="22"/>
        </w:rPr>
      </w:pPr>
      <w:r w:rsidRPr="000B53EE">
        <w:rPr>
          <w:rFonts w:ascii="Times New Roman" w:hAnsi="Times New Roman"/>
          <w:sz w:val="22"/>
          <w:szCs w:val="22"/>
        </w:rPr>
        <w:t xml:space="preserve">L’entreprise devra avoir sur le chantier (base de vie, ou base de travail) un système de prise en charge médicale (ambulance ou infirmier), qui permettrait de gérer correctement toute situation d’urgence médicale. </w:t>
      </w:r>
    </w:p>
    <w:p w:rsidR="000B53EE" w:rsidRPr="000B53EE" w:rsidRDefault="000B53EE" w:rsidP="000B53EE">
      <w:pPr>
        <w:pStyle w:val="SolbaseNormal"/>
        <w:spacing w:after="0"/>
        <w:ind w:left="0"/>
        <w:rPr>
          <w:rFonts w:ascii="Times New Roman" w:hAnsi="Times New Roman"/>
          <w:sz w:val="22"/>
          <w:szCs w:val="22"/>
        </w:rPr>
      </w:pPr>
      <w:r w:rsidRPr="000B53EE">
        <w:rPr>
          <w:rFonts w:ascii="Times New Roman" w:hAnsi="Times New Roman"/>
          <w:sz w:val="22"/>
          <w:szCs w:val="22"/>
        </w:rPr>
        <w:t>Si l’entreprise choisi de mettre en place une petite infirmerie ou affirme avoir signé un protocole d’accord avec un établissement médical privé, elle devra fournir au Maitre d’Ouvrage toutes les preuves écrites de ce protocole.</w:t>
      </w:r>
    </w:p>
    <w:p w:rsidR="000B53EE" w:rsidRPr="000B53EE" w:rsidRDefault="000B53EE" w:rsidP="000B53EE">
      <w:pPr>
        <w:pStyle w:val="SolbaseNormal"/>
        <w:spacing w:after="0"/>
        <w:ind w:left="0"/>
        <w:rPr>
          <w:rFonts w:ascii="Times New Roman" w:hAnsi="Times New Roman"/>
          <w:sz w:val="22"/>
          <w:szCs w:val="22"/>
        </w:rPr>
      </w:pPr>
      <w:bookmarkStart w:id="1008" w:name="_Toc236666023"/>
      <w:r w:rsidRPr="000B53EE">
        <w:rPr>
          <w:rFonts w:ascii="Times New Roman" w:hAnsi="Times New Roman"/>
          <w:sz w:val="22"/>
          <w:szCs w:val="22"/>
        </w:rPr>
        <w:t>Premiers secours médical</w:t>
      </w:r>
      <w:bookmarkEnd w:id="1008"/>
    </w:p>
    <w:p w:rsidR="000B53EE" w:rsidRPr="000B53EE" w:rsidRDefault="000B53EE" w:rsidP="000B53EE">
      <w:pPr>
        <w:pStyle w:val="SolbaseNormal"/>
        <w:spacing w:after="0"/>
        <w:ind w:left="0"/>
        <w:rPr>
          <w:rFonts w:ascii="Times New Roman" w:hAnsi="Times New Roman"/>
          <w:sz w:val="22"/>
          <w:szCs w:val="22"/>
        </w:rPr>
      </w:pPr>
      <w:r w:rsidRPr="000B53EE">
        <w:rPr>
          <w:rFonts w:ascii="Times New Roman" w:hAnsi="Times New Roman"/>
          <w:sz w:val="22"/>
          <w:szCs w:val="22"/>
        </w:rPr>
        <w:t>L’entreprise devra disposer sur les chantiers éloignés des moyens de premiers secours ou de secours d’urgence (boîte médicale) afin de prévenir à toute éventualité.</w:t>
      </w:r>
    </w:p>
    <w:p w:rsidR="000B53EE" w:rsidRPr="000B53EE" w:rsidRDefault="000B53EE" w:rsidP="000B53EE">
      <w:pPr>
        <w:pStyle w:val="SolbaseNormal"/>
        <w:spacing w:after="0"/>
        <w:ind w:left="0"/>
        <w:rPr>
          <w:rFonts w:ascii="Times New Roman" w:hAnsi="Times New Roman"/>
          <w:sz w:val="22"/>
          <w:szCs w:val="22"/>
        </w:rPr>
      </w:pPr>
      <w:r w:rsidRPr="000B53EE">
        <w:rPr>
          <w:rFonts w:ascii="Times New Roman" w:hAnsi="Times New Roman"/>
          <w:sz w:val="22"/>
          <w:szCs w:val="22"/>
        </w:rPr>
        <w:t>Il est fortement attendu de l’entreprise qu’elle organise régulièrement des séances de sensibilisation et de formation sur les premiers gestes de secours en matière de sécurité sur le chantier pour les ouvriers afin que tout le monde sache quoi faire en cas d’accident. Un bon système d’organisation de gestion d’accident sur le chantier peut sauver des vies.</w:t>
      </w:r>
    </w:p>
    <w:p w:rsidR="000B53EE" w:rsidRPr="000B53EE" w:rsidRDefault="000B53EE" w:rsidP="000B53EE">
      <w:pPr>
        <w:pStyle w:val="SolbaseNormal"/>
        <w:spacing w:after="0"/>
        <w:ind w:left="0"/>
        <w:rPr>
          <w:rFonts w:ascii="Times New Roman" w:hAnsi="Times New Roman"/>
          <w:sz w:val="22"/>
          <w:szCs w:val="22"/>
        </w:rPr>
      </w:pPr>
      <w:r w:rsidRPr="000B53EE">
        <w:rPr>
          <w:rFonts w:ascii="Times New Roman" w:hAnsi="Times New Roman"/>
          <w:sz w:val="22"/>
          <w:szCs w:val="22"/>
        </w:rPr>
        <w:t xml:space="preserve">Dans le cadre de la lutte contre le SIDA et les maladies sexuellement transmissibles, l’entreprise aura à mettre en place un plan de sensibilisation (pour l’abstinence et/ou la protection) des ouvriers, tout en réglementant l’accès sur les chantiers. </w:t>
      </w:r>
    </w:p>
    <w:p w:rsidR="000B53EE" w:rsidRPr="000B53EE" w:rsidRDefault="000B53EE" w:rsidP="000B53EE">
      <w:pPr>
        <w:pStyle w:val="SolbaseNormal"/>
        <w:spacing w:after="0"/>
        <w:ind w:left="0"/>
        <w:rPr>
          <w:rFonts w:ascii="Times New Roman" w:hAnsi="Times New Roman"/>
          <w:sz w:val="22"/>
          <w:szCs w:val="22"/>
        </w:rPr>
      </w:pPr>
      <w:r w:rsidRPr="000B53EE">
        <w:rPr>
          <w:rFonts w:ascii="Times New Roman" w:hAnsi="Times New Roman"/>
          <w:sz w:val="22"/>
          <w:szCs w:val="22"/>
        </w:rPr>
        <w:t>Cette campagne de sensibilisation pourrait intégrer des techniques de communication visuelle (planches, affichettes, etc.) pour mieux attirer l’attention des ouvriers sur la gravité des maladies sexuellement transmissibles comme le SIDA. Il pourra être placardé des affiches ou autocollants à l’entrée des chantiers avec un slogan contre le VIH/SIDA pour rappeler aux ouvriers, chaque matin, les dangers des rapports sans protection.</w:t>
      </w:r>
    </w:p>
    <w:p w:rsidR="000B53EE" w:rsidRPr="000B53EE" w:rsidRDefault="000B53EE" w:rsidP="000B53EE">
      <w:pPr>
        <w:pStyle w:val="SolbaseNormal"/>
        <w:spacing w:after="0"/>
        <w:ind w:left="0"/>
        <w:rPr>
          <w:rFonts w:ascii="Times New Roman" w:hAnsi="Times New Roman"/>
          <w:sz w:val="22"/>
          <w:szCs w:val="22"/>
        </w:rPr>
      </w:pPr>
      <w:r w:rsidRPr="000B53EE">
        <w:rPr>
          <w:rFonts w:ascii="Times New Roman" w:hAnsi="Times New Roman"/>
          <w:sz w:val="22"/>
          <w:szCs w:val="22"/>
        </w:rPr>
        <w:t xml:space="preserve">La facilitation d’accès des ouvriers à des moyens de protection sexuelle comme le préservatif, peut d’être aussi d’une grande efficacité dans le plan de lutte contre le sida à défaut de l’abstinence. Ceci doit être accompagné par une campagne d’explication, sur l’utilisation correcte de ces moyens de protection. </w:t>
      </w:r>
    </w:p>
    <w:p w:rsidR="000B53EE" w:rsidRPr="000B53EE" w:rsidRDefault="000B53EE" w:rsidP="000B53EE">
      <w:pPr>
        <w:pStyle w:val="SolbaseNormal"/>
        <w:spacing w:after="0"/>
        <w:ind w:left="0"/>
        <w:rPr>
          <w:rFonts w:ascii="Times New Roman" w:hAnsi="Times New Roman"/>
          <w:sz w:val="22"/>
          <w:szCs w:val="22"/>
        </w:rPr>
      </w:pPr>
      <w:r w:rsidRPr="000B53EE">
        <w:rPr>
          <w:rFonts w:ascii="Times New Roman" w:hAnsi="Times New Roman"/>
          <w:sz w:val="22"/>
          <w:szCs w:val="22"/>
        </w:rPr>
        <w:t>Il est attendu que l’entreprise intègre dans ses rapports environnementaux et sociaux mensuels, un compte rendu sur la campagne de sensibilisation avec la liste de présence émargée des ouvriers, illustré par des photos.</w:t>
      </w:r>
    </w:p>
    <w:p w:rsidR="000B53EE" w:rsidRPr="000B53EE" w:rsidRDefault="000B53EE" w:rsidP="000B53EE">
      <w:pPr>
        <w:pStyle w:val="SolbaseNormal"/>
        <w:spacing w:after="0"/>
        <w:ind w:left="0"/>
        <w:rPr>
          <w:rFonts w:ascii="Times New Roman" w:hAnsi="Times New Roman"/>
          <w:sz w:val="22"/>
          <w:szCs w:val="22"/>
        </w:rPr>
      </w:pPr>
      <w:r w:rsidRPr="000B53EE">
        <w:rPr>
          <w:rFonts w:ascii="Times New Roman" w:hAnsi="Times New Roman"/>
          <w:sz w:val="22"/>
          <w:szCs w:val="22"/>
        </w:rPr>
        <w:t xml:space="preserve">L’entreprise devra avoir sur le chantier (base de vie, ou base de travail) un système de prise en charge médicale (ambulance ou infirmier), qui permettrait de gérer correctement toute situation d’urgence médicale. </w:t>
      </w:r>
    </w:p>
    <w:p w:rsidR="000B53EE" w:rsidRPr="000B53EE" w:rsidRDefault="000B53EE" w:rsidP="000B53EE">
      <w:pPr>
        <w:pStyle w:val="SolbaseNormal"/>
        <w:spacing w:after="0"/>
        <w:ind w:left="0"/>
        <w:rPr>
          <w:rFonts w:ascii="Times New Roman" w:hAnsi="Times New Roman"/>
          <w:sz w:val="22"/>
          <w:szCs w:val="22"/>
        </w:rPr>
      </w:pPr>
      <w:r w:rsidRPr="000B53EE">
        <w:rPr>
          <w:rFonts w:ascii="Times New Roman" w:hAnsi="Times New Roman"/>
          <w:sz w:val="22"/>
          <w:szCs w:val="22"/>
        </w:rPr>
        <w:t>Si l’entreprise choisi de mettre en place une petite infirmerie ou affirme avoir signé un protocole d’accord avec un établissement médical privé, elle devra fournir au Maitre d’Ouvrage toutes les preuves écrites de ce protocole.</w:t>
      </w:r>
    </w:p>
    <w:p w:rsidR="000B53EE" w:rsidRPr="000B53EE" w:rsidRDefault="000B53EE" w:rsidP="000B53EE">
      <w:pPr>
        <w:pStyle w:val="SolbaseNormal"/>
        <w:spacing w:after="0"/>
        <w:ind w:left="0"/>
        <w:rPr>
          <w:rFonts w:ascii="Times New Roman" w:hAnsi="Times New Roman"/>
          <w:sz w:val="22"/>
          <w:szCs w:val="22"/>
        </w:rPr>
      </w:pPr>
      <w:r w:rsidRPr="000B53EE">
        <w:rPr>
          <w:rFonts w:ascii="Times New Roman" w:hAnsi="Times New Roman"/>
          <w:sz w:val="22"/>
          <w:szCs w:val="22"/>
        </w:rPr>
        <w:t>L’entreprise devra disposer sur les chantiers éloignés des moyens de premiers secours ou de secours d’urgence afin de prévenir à toute éventualité.</w:t>
      </w:r>
    </w:p>
    <w:p w:rsidR="000B53EE" w:rsidRPr="000B53EE" w:rsidRDefault="000B53EE" w:rsidP="000B53EE">
      <w:pPr>
        <w:pStyle w:val="SolbaseNormal"/>
        <w:spacing w:after="0"/>
        <w:ind w:left="0"/>
        <w:rPr>
          <w:rFonts w:ascii="Times New Roman" w:hAnsi="Times New Roman"/>
          <w:sz w:val="22"/>
          <w:szCs w:val="22"/>
        </w:rPr>
      </w:pPr>
      <w:r w:rsidRPr="000B53EE">
        <w:rPr>
          <w:rFonts w:ascii="Times New Roman" w:hAnsi="Times New Roman"/>
          <w:sz w:val="22"/>
          <w:szCs w:val="22"/>
        </w:rPr>
        <w:t>Il est fortement attendu de l’entreprise qu’elle organise régulièrement des séances de sensibilisation et de formation sur les premiers gestes de secours en matière de sécurité sur le chantier pour les ouvriers afin que tout le monde sache quoi faire en cas d’accident. Un bon système d’organisation de gestion d’accident sur le chantier peut sauver des vies.</w:t>
      </w:r>
    </w:p>
    <w:p w:rsidR="000B53EE" w:rsidRPr="001E2895" w:rsidRDefault="000B53EE" w:rsidP="00FA3FAE">
      <w:pPr>
        <w:pStyle w:val="SolbaseNormal"/>
        <w:numPr>
          <w:ilvl w:val="0"/>
          <w:numId w:val="212"/>
        </w:numPr>
        <w:spacing w:before="120" w:line="276" w:lineRule="auto"/>
        <w:outlineLvl w:val="1"/>
        <w:rPr>
          <w:rFonts w:ascii="Times New Roman" w:hAnsi="Times New Roman"/>
          <w:b/>
          <w:bCs/>
          <w:sz w:val="28"/>
          <w:szCs w:val="28"/>
        </w:rPr>
      </w:pPr>
      <w:bookmarkStart w:id="1009" w:name="_Toc32340819"/>
      <w:bookmarkStart w:id="1010" w:name="_Toc32511713"/>
      <w:bookmarkStart w:id="1011" w:name="_Toc51072697"/>
      <w:r w:rsidRPr="001E2895">
        <w:rPr>
          <w:rFonts w:ascii="Times New Roman" w:hAnsi="Times New Roman"/>
          <w:b/>
          <w:bCs/>
          <w:sz w:val="28"/>
          <w:szCs w:val="28"/>
        </w:rPr>
        <w:t>Gestion des impacts attendus sur la création d’emplois, la diminution des pertes de revenus et les expropriations</w:t>
      </w:r>
      <w:bookmarkEnd w:id="1009"/>
      <w:bookmarkEnd w:id="1010"/>
      <w:bookmarkEnd w:id="1011"/>
      <w:r w:rsidRPr="001E2895">
        <w:rPr>
          <w:rFonts w:ascii="Times New Roman" w:hAnsi="Times New Roman"/>
          <w:b/>
          <w:bCs/>
          <w:sz w:val="28"/>
          <w:szCs w:val="28"/>
        </w:rPr>
        <w:t xml:space="preserve"> </w:t>
      </w:r>
    </w:p>
    <w:p w:rsidR="000B53EE" w:rsidRPr="000B53EE" w:rsidRDefault="000B53EE" w:rsidP="000B53EE">
      <w:pPr>
        <w:pStyle w:val="SolbaseNormal"/>
        <w:spacing w:after="0"/>
        <w:ind w:left="0"/>
        <w:rPr>
          <w:rFonts w:ascii="Times New Roman" w:hAnsi="Times New Roman"/>
          <w:sz w:val="22"/>
          <w:szCs w:val="22"/>
        </w:rPr>
      </w:pPr>
      <w:r w:rsidRPr="000B53EE">
        <w:rPr>
          <w:rFonts w:ascii="Times New Roman" w:hAnsi="Times New Roman"/>
          <w:sz w:val="22"/>
          <w:szCs w:val="22"/>
        </w:rPr>
        <w:t xml:space="preserve">Si elles ont lieu, les expropriations devront être gérées avec beaucoup de sérieux et de tacts, car, c’est l’un des facteurs à risque, qui peuvent faire échouer le sous-projet n°1. Toutes les expropriations et indemnisations doivent </w:t>
      </w:r>
      <w:r w:rsidRPr="000B53EE">
        <w:rPr>
          <w:rFonts w:ascii="Times New Roman" w:hAnsi="Times New Roman"/>
          <w:sz w:val="22"/>
          <w:szCs w:val="22"/>
        </w:rPr>
        <w:lastRenderedPageBreak/>
        <w:t xml:space="preserve">être effectuées avant le démarrage effectif des travaux et dans le respect des procédures de la Banque Mondiale en matière de déplacement de populations. </w:t>
      </w:r>
    </w:p>
    <w:p w:rsidR="000B53EE" w:rsidRPr="000B53EE" w:rsidRDefault="000B53EE" w:rsidP="000B53EE">
      <w:pPr>
        <w:pStyle w:val="SolbaseNormal"/>
        <w:spacing w:after="0"/>
        <w:ind w:left="0"/>
        <w:rPr>
          <w:rFonts w:ascii="Times New Roman" w:hAnsi="Times New Roman"/>
          <w:sz w:val="22"/>
          <w:szCs w:val="22"/>
        </w:rPr>
      </w:pPr>
      <w:r w:rsidRPr="000B53EE">
        <w:rPr>
          <w:rFonts w:ascii="Times New Roman" w:hAnsi="Times New Roman"/>
          <w:sz w:val="22"/>
          <w:szCs w:val="22"/>
        </w:rPr>
        <w:t xml:space="preserve">Il est suggéré de mettre en place, un plan d’information et de sensibilisation des populations cibles (commerçants, riverains, prestataires de services, institutions publiques et privées, autorités locales, etc.). Ces populations cibles devront être associées à tout le processus. Aucune décision engageant leur intérêt, ne devra être prise sans leur avis. </w:t>
      </w:r>
    </w:p>
    <w:p w:rsidR="000B53EE" w:rsidRPr="000B53EE" w:rsidRDefault="000B53EE" w:rsidP="000B53EE">
      <w:pPr>
        <w:pStyle w:val="SolbaseNormal"/>
        <w:spacing w:after="0"/>
        <w:ind w:left="0"/>
        <w:rPr>
          <w:rFonts w:ascii="Times New Roman" w:hAnsi="Times New Roman"/>
          <w:sz w:val="22"/>
          <w:szCs w:val="22"/>
        </w:rPr>
      </w:pPr>
      <w:r w:rsidRPr="000B53EE">
        <w:rPr>
          <w:rFonts w:ascii="Times New Roman" w:hAnsi="Times New Roman"/>
          <w:sz w:val="22"/>
          <w:szCs w:val="22"/>
        </w:rPr>
        <w:t>Il est souhaitable de choisir d’abord les sites devant accueillir les expropriés dès le départ, avant le début des travaux. Tous les problèmes de délocalisation devront être résolus, avant de commencer à démolir. Les populations devront bien appréhender l’importance du projet pour leur avenir, afin de les préparer aux délocalisations et aux conséquences qu’elles devront affronter. Durant tout le processus de sensibilisation, les impacts positifs du projet devront toujours être mis en avant pour rassurer les populations.</w:t>
      </w:r>
    </w:p>
    <w:p w:rsidR="000B53EE" w:rsidRPr="000B53EE" w:rsidRDefault="000B53EE" w:rsidP="000B53EE">
      <w:pPr>
        <w:pStyle w:val="SolbaseNormal"/>
        <w:spacing w:after="0"/>
        <w:ind w:left="0"/>
        <w:rPr>
          <w:rFonts w:ascii="Times New Roman" w:hAnsi="Times New Roman"/>
          <w:sz w:val="22"/>
          <w:szCs w:val="22"/>
        </w:rPr>
      </w:pPr>
      <w:r w:rsidRPr="000B53EE">
        <w:rPr>
          <w:rFonts w:ascii="Times New Roman" w:hAnsi="Times New Roman"/>
          <w:sz w:val="22"/>
          <w:szCs w:val="22"/>
        </w:rPr>
        <w:t xml:space="preserve">Un comité de suivi des impacts des travaux (avant, pendant et après) devra être mis en place, pour servir de cadre de réflexion et d’échange, afin de prendre en charge tous les problèmes sociaux qui pourront se poser (prévus et imprévus). La composition de ce comité devra être la plus représentative possible de la population et des autorités. </w:t>
      </w:r>
    </w:p>
    <w:p w:rsidR="000B53EE" w:rsidRPr="001E2895" w:rsidRDefault="000B53EE" w:rsidP="00FA3FAE">
      <w:pPr>
        <w:pStyle w:val="SolbaseNormal"/>
        <w:numPr>
          <w:ilvl w:val="0"/>
          <w:numId w:val="212"/>
        </w:numPr>
        <w:spacing w:before="120" w:line="276" w:lineRule="auto"/>
        <w:outlineLvl w:val="1"/>
        <w:rPr>
          <w:rFonts w:ascii="Times New Roman" w:hAnsi="Times New Roman"/>
          <w:b/>
          <w:bCs/>
          <w:sz w:val="28"/>
          <w:szCs w:val="28"/>
        </w:rPr>
      </w:pPr>
      <w:bookmarkStart w:id="1012" w:name="_Toc32340820"/>
      <w:bookmarkStart w:id="1013" w:name="_Toc32511714"/>
      <w:bookmarkStart w:id="1014" w:name="_Toc51072698"/>
      <w:r w:rsidRPr="001E2895">
        <w:rPr>
          <w:rFonts w:ascii="Times New Roman" w:hAnsi="Times New Roman"/>
          <w:b/>
          <w:bCs/>
          <w:sz w:val="28"/>
          <w:szCs w:val="28"/>
        </w:rPr>
        <w:t>Mesures de gestion des impacts attendus sur l’agriculture</w:t>
      </w:r>
      <w:bookmarkEnd w:id="1012"/>
      <w:bookmarkEnd w:id="1013"/>
      <w:bookmarkEnd w:id="1014"/>
    </w:p>
    <w:p w:rsidR="000B53EE" w:rsidRPr="000B53EE" w:rsidRDefault="000B53EE" w:rsidP="000B53EE">
      <w:pPr>
        <w:pStyle w:val="SolbaseNormal"/>
        <w:spacing w:after="0"/>
        <w:ind w:left="0"/>
        <w:rPr>
          <w:rFonts w:ascii="Times New Roman" w:hAnsi="Times New Roman"/>
          <w:sz w:val="22"/>
          <w:szCs w:val="22"/>
        </w:rPr>
      </w:pPr>
      <w:r w:rsidRPr="000B53EE">
        <w:rPr>
          <w:rFonts w:ascii="Times New Roman" w:hAnsi="Times New Roman"/>
          <w:sz w:val="22"/>
          <w:szCs w:val="22"/>
        </w:rPr>
        <w:t xml:space="preserve">Lorsqu’il en existe, l’entreprise devra procéder à la sensibilisation des agriculteurs qui ont des activités très proches des chantiers ou sous l’influence directs des travaux, afin d’éviter tout dommage sur la quantité ou la qualité des produits. </w:t>
      </w:r>
    </w:p>
    <w:p w:rsidR="000B53EE" w:rsidRPr="000B53EE" w:rsidRDefault="000B53EE" w:rsidP="000B53EE">
      <w:pPr>
        <w:pStyle w:val="SolbaseNormal"/>
        <w:spacing w:after="0"/>
        <w:ind w:left="0"/>
        <w:rPr>
          <w:rFonts w:ascii="Times New Roman" w:hAnsi="Times New Roman"/>
          <w:sz w:val="22"/>
          <w:szCs w:val="22"/>
        </w:rPr>
      </w:pPr>
      <w:r w:rsidRPr="000B53EE">
        <w:rPr>
          <w:rFonts w:ascii="Times New Roman" w:hAnsi="Times New Roman"/>
          <w:sz w:val="22"/>
          <w:szCs w:val="22"/>
        </w:rPr>
        <w:t>Les volumes d’eau captés ne doivent pas mettre en périls les activités économiques liées à l’eau pour les riverains.</w:t>
      </w:r>
    </w:p>
    <w:p w:rsidR="000B53EE" w:rsidRPr="000B53EE" w:rsidRDefault="000B53EE" w:rsidP="000B53EE">
      <w:pPr>
        <w:pStyle w:val="SolbaseNormal"/>
        <w:spacing w:after="0"/>
        <w:ind w:left="0"/>
        <w:rPr>
          <w:rFonts w:ascii="Times New Roman" w:hAnsi="Times New Roman"/>
          <w:sz w:val="22"/>
          <w:szCs w:val="22"/>
        </w:rPr>
      </w:pPr>
      <w:r w:rsidRPr="000B53EE">
        <w:rPr>
          <w:rFonts w:ascii="Times New Roman" w:hAnsi="Times New Roman"/>
          <w:sz w:val="22"/>
          <w:szCs w:val="22"/>
        </w:rPr>
        <w:t>En cas de pertes avérées (de toute nature) occasionnées par les travaux, par négligence de l’entreprise, il est nécessaire que l’entreprise puisse procéder à des indemnisations équitables et concertées afin d’éviter tout mouvement social pouvant retarder ou perturber l’exécution normale des travaux.</w:t>
      </w:r>
    </w:p>
    <w:p w:rsidR="000B53EE" w:rsidRPr="001E2895" w:rsidRDefault="000B53EE" w:rsidP="00FA3FAE">
      <w:pPr>
        <w:pStyle w:val="SolbaseNormal"/>
        <w:numPr>
          <w:ilvl w:val="0"/>
          <w:numId w:val="212"/>
        </w:numPr>
        <w:spacing w:before="120" w:line="276" w:lineRule="auto"/>
        <w:outlineLvl w:val="1"/>
        <w:rPr>
          <w:rFonts w:ascii="Times New Roman" w:hAnsi="Times New Roman"/>
          <w:b/>
          <w:bCs/>
          <w:sz w:val="28"/>
          <w:szCs w:val="28"/>
        </w:rPr>
      </w:pPr>
      <w:bookmarkStart w:id="1015" w:name="_Toc32340821"/>
      <w:bookmarkStart w:id="1016" w:name="_Toc32511715"/>
      <w:bookmarkStart w:id="1017" w:name="_Toc51072699"/>
      <w:r w:rsidRPr="001E2895">
        <w:rPr>
          <w:rFonts w:ascii="Times New Roman" w:hAnsi="Times New Roman"/>
          <w:b/>
          <w:bCs/>
          <w:sz w:val="28"/>
          <w:szCs w:val="28"/>
        </w:rPr>
        <w:t>Procédure de réclamation, réconciliation, intermédiation</w:t>
      </w:r>
      <w:bookmarkEnd w:id="1015"/>
      <w:bookmarkEnd w:id="1016"/>
      <w:bookmarkEnd w:id="1017"/>
    </w:p>
    <w:p w:rsidR="000B53EE" w:rsidRPr="000B53EE" w:rsidRDefault="000B53EE" w:rsidP="000B53EE">
      <w:pPr>
        <w:pStyle w:val="SolbaseNormal"/>
        <w:spacing w:after="0"/>
        <w:ind w:left="0"/>
        <w:rPr>
          <w:rFonts w:ascii="Times New Roman" w:hAnsi="Times New Roman"/>
          <w:sz w:val="22"/>
          <w:szCs w:val="22"/>
        </w:rPr>
      </w:pPr>
      <w:r w:rsidRPr="000B53EE">
        <w:rPr>
          <w:rFonts w:ascii="Times New Roman" w:hAnsi="Times New Roman"/>
          <w:sz w:val="22"/>
          <w:szCs w:val="22"/>
        </w:rPr>
        <w:t>Il est fortement recommandé à l’entreprise de mettre en place une procédure de réclamation permettant aux populations concernées de pouvoir faire des réclamations si elles jugent que la situation n’est pas en leur faveur.</w:t>
      </w:r>
    </w:p>
    <w:p w:rsidR="000B53EE" w:rsidRPr="000B53EE" w:rsidRDefault="000B53EE" w:rsidP="000B53EE">
      <w:pPr>
        <w:pStyle w:val="SolbaseNormal"/>
        <w:spacing w:after="0"/>
        <w:ind w:left="0"/>
        <w:rPr>
          <w:rFonts w:ascii="Times New Roman" w:hAnsi="Times New Roman"/>
          <w:sz w:val="22"/>
          <w:szCs w:val="22"/>
        </w:rPr>
      </w:pPr>
      <w:r w:rsidRPr="000B53EE">
        <w:rPr>
          <w:rFonts w:ascii="Times New Roman" w:hAnsi="Times New Roman"/>
          <w:sz w:val="22"/>
          <w:szCs w:val="22"/>
        </w:rPr>
        <w:t xml:space="preserve">Des cahiers de réclamations pourraient être placés en des endroits faciles d’accès où les populations pourront se rendre pour faire leur réclamation.  </w:t>
      </w:r>
    </w:p>
    <w:p w:rsidR="000B53EE" w:rsidRPr="000B53EE" w:rsidRDefault="000B53EE" w:rsidP="000B53EE">
      <w:pPr>
        <w:pStyle w:val="SolbaseNormal"/>
        <w:spacing w:after="0"/>
        <w:ind w:left="0"/>
        <w:rPr>
          <w:rFonts w:ascii="Times New Roman" w:hAnsi="Times New Roman"/>
          <w:sz w:val="22"/>
          <w:szCs w:val="22"/>
        </w:rPr>
      </w:pPr>
      <w:r w:rsidRPr="000B53EE">
        <w:rPr>
          <w:rFonts w:ascii="Times New Roman" w:hAnsi="Times New Roman"/>
          <w:sz w:val="22"/>
          <w:szCs w:val="22"/>
        </w:rPr>
        <w:t>Les populations devront bien appréhender l’importance du sous-projet n°1 pour leur avenir, afin de les préparer aux délocalisations et aux conséquences qu’elles devront affronter. Durant tout le processus de sensibilisation, les impacts positifs du sous-projet n°1 devront toujours être mis en avant pour rassurer les populations.</w:t>
      </w:r>
    </w:p>
    <w:p w:rsidR="000B53EE" w:rsidRPr="000B53EE" w:rsidRDefault="000B53EE" w:rsidP="000B53EE">
      <w:pPr>
        <w:pStyle w:val="SolbaseNormal"/>
        <w:spacing w:after="0"/>
        <w:ind w:left="0"/>
        <w:rPr>
          <w:rFonts w:ascii="Times New Roman" w:hAnsi="Times New Roman"/>
          <w:sz w:val="22"/>
          <w:szCs w:val="22"/>
        </w:rPr>
      </w:pPr>
      <w:r w:rsidRPr="000B53EE">
        <w:rPr>
          <w:rFonts w:ascii="Times New Roman" w:hAnsi="Times New Roman"/>
          <w:sz w:val="22"/>
          <w:szCs w:val="22"/>
        </w:rPr>
        <w:t xml:space="preserve">Un comité de suivi des impacts des travaux (avant, pendant et après) devra être mis en place, pour servir de cadre d’intermédiation, de réconciliation et d’échange, afin de prendre en charge tous les problèmes sociaux qui pourront se poser (prévus et imprévus). La composition de ce comité devra être la plus représentative possible de la population et des autorités. </w:t>
      </w:r>
    </w:p>
    <w:p w:rsidR="000B53EE" w:rsidRPr="001E2895" w:rsidRDefault="000B53EE" w:rsidP="00FA3FAE">
      <w:pPr>
        <w:pStyle w:val="SolbaseNormal"/>
        <w:numPr>
          <w:ilvl w:val="0"/>
          <w:numId w:val="212"/>
        </w:numPr>
        <w:spacing w:before="120" w:line="276" w:lineRule="auto"/>
        <w:outlineLvl w:val="1"/>
        <w:rPr>
          <w:rFonts w:ascii="Times New Roman" w:hAnsi="Times New Roman"/>
          <w:b/>
          <w:bCs/>
          <w:sz w:val="28"/>
          <w:szCs w:val="28"/>
        </w:rPr>
      </w:pPr>
      <w:bookmarkStart w:id="1018" w:name="_Toc32340822"/>
      <w:bookmarkStart w:id="1019" w:name="_Toc32511716"/>
      <w:bookmarkStart w:id="1020" w:name="_Toc51072700"/>
      <w:r w:rsidRPr="001E2895">
        <w:rPr>
          <w:rFonts w:ascii="Times New Roman" w:hAnsi="Times New Roman"/>
          <w:b/>
          <w:bCs/>
          <w:sz w:val="28"/>
          <w:szCs w:val="28"/>
        </w:rPr>
        <w:t>Expropriation imprévue</w:t>
      </w:r>
      <w:bookmarkEnd w:id="1018"/>
      <w:bookmarkEnd w:id="1019"/>
      <w:bookmarkEnd w:id="1020"/>
    </w:p>
    <w:p w:rsidR="000B53EE" w:rsidRPr="000B53EE" w:rsidRDefault="000B53EE" w:rsidP="000B53EE">
      <w:pPr>
        <w:pStyle w:val="SolbaseNormal"/>
        <w:spacing w:after="0"/>
        <w:ind w:left="0"/>
        <w:rPr>
          <w:rFonts w:ascii="Times New Roman" w:hAnsi="Times New Roman"/>
          <w:sz w:val="22"/>
          <w:szCs w:val="22"/>
        </w:rPr>
      </w:pPr>
      <w:r w:rsidRPr="000B53EE">
        <w:rPr>
          <w:rFonts w:ascii="Times New Roman" w:hAnsi="Times New Roman"/>
          <w:sz w:val="22"/>
          <w:szCs w:val="22"/>
        </w:rPr>
        <w:t>Dans les cas d’expropriation, non identifiés à ce jour, les indemnisations des dégâts aux propriétés privées pendant la réalisation des travaux devront être suffisamment attractives pour motiver les familles concernées, ne pas les léser et ne pas retarder les travaux. On veillera à ce que les expropriations ne soient pas des occasions nouvelles de faire de nouveaux pauvres.</w:t>
      </w:r>
    </w:p>
    <w:p w:rsidR="000B53EE" w:rsidRPr="001E2895" w:rsidRDefault="000B53EE" w:rsidP="00FA3FAE">
      <w:pPr>
        <w:pStyle w:val="SolbaseNormal"/>
        <w:numPr>
          <w:ilvl w:val="0"/>
          <w:numId w:val="212"/>
        </w:numPr>
        <w:spacing w:before="120" w:line="276" w:lineRule="auto"/>
        <w:outlineLvl w:val="1"/>
        <w:rPr>
          <w:rFonts w:ascii="Times New Roman" w:hAnsi="Times New Roman"/>
          <w:b/>
          <w:bCs/>
          <w:sz w:val="28"/>
          <w:szCs w:val="28"/>
        </w:rPr>
      </w:pPr>
      <w:bookmarkStart w:id="1021" w:name="_Toc32511717"/>
      <w:bookmarkStart w:id="1022" w:name="_Toc51072701"/>
      <w:bookmarkStart w:id="1023" w:name="_Toc32340823"/>
      <w:r w:rsidRPr="001E2895">
        <w:rPr>
          <w:rFonts w:ascii="Times New Roman" w:hAnsi="Times New Roman"/>
          <w:b/>
          <w:bCs/>
          <w:sz w:val="28"/>
          <w:szCs w:val="28"/>
        </w:rPr>
        <w:t>Responsable Environnement et Social</w:t>
      </w:r>
      <w:bookmarkEnd w:id="1021"/>
      <w:bookmarkEnd w:id="1022"/>
      <w:r w:rsidRPr="001E2895">
        <w:rPr>
          <w:rFonts w:ascii="Times New Roman" w:hAnsi="Times New Roman"/>
          <w:b/>
          <w:bCs/>
          <w:sz w:val="28"/>
          <w:szCs w:val="28"/>
        </w:rPr>
        <w:t xml:space="preserve"> </w:t>
      </w:r>
      <w:bookmarkEnd w:id="1023"/>
    </w:p>
    <w:p w:rsidR="000B53EE" w:rsidRPr="000B53EE" w:rsidRDefault="000B53EE" w:rsidP="000B53EE">
      <w:pPr>
        <w:pStyle w:val="SolbaseNormal"/>
        <w:spacing w:after="0"/>
        <w:ind w:left="0"/>
        <w:rPr>
          <w:rFonts w:ascii="Times New Roman" w:hAnsi="Times New Roman"/>
          <w:sz w:val="22"/>
          <w:szCs w:val="22"/>
        </w:rPr>
      </w:pPr>
      <w:r w:rsidRPr="000B53EE">
        <w:rPr>
          <w:rFonts w:ascii="Times New Roman" w:hAnsi="Times New Roman"/>
          <w:sz w:val="22"/>
          <w:szCs w:val="22"/>
        </w:rPr>
        <w:t>L’Entrepreneur doit désigner un Responsable Environnement/Hygiène/Sécurité, son CV devra être validé par l’UI-PUASEE</w:t>
      </w:r>
      <w:r w:rsidR="00FD76D7" w:rsidRPr="00FD76D7">
        <w:rPr>
          <w:rFonts w:ascii="Times New Roman" w:hAnsi="Times New Roman"/>
          <w:sz w:val="22"/>
          <w:szCs w:val="22"/>
        </w:rPr>
        <w:t xml:space="preserve"> </w:t>
      </w:r>
      <w:r w:rsidR="00FD76D7">
        <w:rPr>
          <w:rFonts w:ascii="Times New Roman" w:hAnsi="Times New Roman"/>
          <w:sz w:val="22"/>
          <w:szCs w:val="22"/>
        </w:rPr>
        <w:t>et la Banque Mondiale</w:t>
      </w:r>
      <w:r w:rsidRPr="000B53EE">
        <w:rPr>
          <w:rFonts w:ascii="Times New Roman" w:hAnsi="Times New Roman"/>
          <w:sz w:val="22"/>
          <w:szCs w:val="22"/>
        </w:rPr>
        <w:t>. Il veillera à ce que les règles d’hygiène, de sécurité et de protection de l’environnement soient rigoureusement suivies par tous et à tous les niveaux d’exécution, tant pour les travailleurs que pour la population et autres personnes en contact avec le chantier. Il doit mettre en place un service médical courant et d’urgence à la base-vie, adapté à l’effectif de son personnel. Il devra élaborer des rapports mensuels et circonstanciés de suivi environnemental et social des chantiers (Canevas à retirer à l’UI-PUASEE).</w:t>
      </w:r>
    </w:p>
    <w:p w:rsidR="000B53EE" w:rsidRPr="001E2895" w:rsidRDefault="000B53EE" w:rsidP="00FA3FAE">
      <w:pPr>
        <w:pStyle w:val="SolbaseNormal"/>
        <w:numPr>
          <w:ilvl w:val="0"/>
          <w:numId w:val="212"/>
        </w:numPr>
        <w:spacing w:before="120" w:line="276" w:lineRule="auto"/>
        <w:outlineLvl w:val="1"/>
        <w:rPr>
          <w:rFonts w:ascii="Times New Roman" w:hAnsi="Times New Roman"/>
          <w:b/>
          <w:bCs/>
          <w:sz w:val="28"/>
          <w:szCs w:val="28"/>
        </w:rPr>
      </w:pPr>
      <w:bookmarkStart w:id="1024" w:name="_Toc32340824"/>
      <w:bookmarkStart w:id="1025" w:name="_Toc32511718"/>
      <w:bookmarkStart w:id="1026" w:name="_Toc51072702"/>
      <w:r w:rsidRPr="001E2895">
        <w:rPr>
          <w:rFonts w:ascii="Times New Roman" w:hAnsi="Times New Roman"/>
          <w:b/>
          <w:bCs/>
          <w:sz w:val="28"/>
          <w:szCs w:val="28"/>
        </w:rPr>
        <w:t>Gestion des impacts négatifs attendus sur l’hygiène et la sécurité</w:t>
      </w:r>
      <w:bookmarkEnd w:id="1024"/>
      <w:bookmarkEnd w:id="1025"/>
      <w:bookmarkEnd w:id="1026"/>
      <w:r w:rsidRPr="001E2895">
        <w:rPr>
          <w:rFonts w:ascii="Times New Roman" w:hAnsi="Times New Roman"/>
          <w:b/>
          <w:bCs/>
          <w:sz w:val="28"/>
          <w:szCs w:val="28"/>
        </w:rPr>
        <w:t xml:space="preserve"> </w:t>
      </w:r>
    </w:p>
    <w:p w:rsidR="000B53EE" w:rsidRPr="000B53EE" w:rsidRDefault="000B53EE" w:rsidP="000B53EE">
      <w:pPr>
        <w:pStyle w:val="SolbaseNormal"/>
        <w:spacing w:after="0"/>
        <w:ind w:left="0"/>
        <w:rPr>
          <w:rFonts w:ascii="Times New Roman" w:hAnsi="Times New Roman"/>
          <w:sz w:val="22"/>
          <w:szCs w:val="22"/>
        </w:rPr>
      </w:pPr>
      <w:r w:rsidRPr="000B53EE">
        <w:rPr>
          <w:rFonts w:ascii="Times New Roman" w:hAnsi="Times New Roman"/>
          <w:sz w:val="22"/>
          <w:szCs w:val="22"/>
        </w:rPr>
        <w:t>Il est recommandé que les chantiers importants disposent de sanitaires (latrines, douches, adduction d’eau potable).</w:t>
      </w:r>
    </w:p>
    <w:p w:rsidR="000B53EE" w:rsidRPr="000B53EE" w:rsidRDefault="000B53EE" w:rsidP="000B53EE">
      <w:pPr>
        <w:pStyle w:val="SolbaseNormal"/>
        <w:spacing w:after="0"/>
        <w:ind w:left="0"/>
        <w:rPr>
          <w:rFonts w:ascii="Times New Roman" w:hAnsi="Times New Roman"/>
          <w:sz w:val="22"/>
          <w:szCs w:val="22"/>
        </w:rPr>
      </w:pPr>
      <w:r w:rsidRPr="000B53EE">
        <w:rPr>
          <w:rFonts w:ascii="Times New Roman" w:hAnsi="Times New Roman"/>
          <w:sz w:val="22"/>
          <w:szCs w:val="22"/>
        </w:rPr>
        <w:lastRenderedPageBreak/>
        <w:t>Il est de la responsabilité de l’entreprise de mettre à la disposition des ouvriers sur le chantier de l’eau de boisson (5 litres par personne et par jour au minimum).</w:t>
      </w:r>
    </w:p>
    <w:p w:rsidR="000B53EE" w:rsidRPr="000B53EE" w:rsidRDefault="000B53EE" w:rsidP="000B53EE">
      <w:pPr>
        <w:pStyle w:val="SolbaseNormal"/>
        <w:spacing w:after="0"/>
        <w:ind w:left="0"/>
        <w:rPr>
          <w:rFonts w:ascii="Times New Roman" w:hAnsi="Times New Roman"/>
          <w:sz w:val="22"/>
          <w:szCs w:val="22"/>
        </w:rPr>
      </w:pPr>
      <w:r w:rsidRPr="000B53EE">
        <w:rPr>
          <w:rFonts w:ascii="Times New Roman" w:hAnsi="Times New Roman"/>
          <w:sz w:val="22"/>
          <w:szCs w:val="22"/>
        </w:rPr>
        <w:t xml:space="preserve">En ce qui concerne l’approvisionnement en eau d’hygiène, des dispositions devront être prises pour qu’il soit suffisant à tout moment. </w:t>
      </w:r>
    </w:p>
    <w:p w:rsidR="000B53EE" w:rsidRPr="000B53EE" w:rsidRDefault="000B53EE" w:rsidP="000B53EE">
      <w:pPr>
        <w:pStyle w:val="SolbaseNormal"/>
        <w:spacing w:after="0"/>
        <w:ind w:left="0"/>
        <w:rPr>
          <w:rFonts w:ascii="Times New Roman" w:hAnsi="Times New Roman"/>
          <w:sz w:val="22"/>
          <w:szCs w:val="22"/>
        </w:rPr>
      </w:pPr>
      <w:r w:rsidRPr="000B53EE">
        <w:rPr>
          <w:rFonts w:ascii="Times New Roman" w:hAnsi="Times New Roman"/>
          <w:sz w:val="22"/>
          <w:szCs w:val="22"/>
        </w:rPr>
        <w:t>La sécurité des ouvriers sur les chantiers est un volet très important. Il faudra, pour minimiser tous les risques d’accidents sur les chantiers :</w:t>
      </w:r>
    </w:p>
    <w:p w:rsidR="000B53EE" w:rsidRPr="000B53EE" w:rsidRDefault="000B53EE" w:rsidP="000B53EE">
      <w:pPr>
        <w:pStyle w:val="SolbaseNormal"/>
        <w:spacing w:after="0"/>
        <w:ind w:left="0"/>
        <w:rPr>
          <w:rFonts w:ascii="Times New Roman" w:hAnsi="Times New Roman"/>
          <w:sz w:val="22"/>
          <w:szCs w:val="22"/>
        </w:rPr>
      </w:pPr>
      <w:r w:rsidRPr="000B53EE">
        <w:rPr>
          <w:rFonts w:ascii="Times New Roman" w:hAnsi="Times New Roman"/>
          <w:sz w:val="22"/>
          <w:szCs w:val="22"/>
        </w:rPr>
        <w:t xml:space="preserve">respecter totalement des principes individuels de prévention c’est à dire : EPI (port de casque, de lunettes, de gants, de chaussures de protection, etc.) pour tous les corps de métiers. </w:t>
      </w:r>
    </w:p>
    <w:p w:rsidR="000B53EE" w:rsidRPr="000B53EE" w:rsidRDefault="000B53EE" w:rsidP="000B53EE">
      <w:pPr>
        <w:pStyle w:val="SolbaseNormal"/>
        <w:spacing w:after="0"/>
        <w:ind w:left="0"/>
        <w:rPr>
          <w:rFonts w:ascii="Times New Roman" w:hAnsi="Times New Roman"/>
          <w:sz w:val="22"/>
          <w:szCs w:val="22"/>
        </w:rPr>
      </w:pPr>
      <w:r w:rsidRPr="000B53EE">
        <w:rPr>
          <w:rFonts w:ascii="Times New Roman" w:hAnsi="Times New Roman"/>
          <w:sz w:val="22"/>
          <w:szCs w:val="22"/>
        </w:rPr>
        <w:t xml:space="preserve">ne pas négliger les principes collectifs de prévention comme : le respect de la réglementation, des signalisations et surtout une prise en compte de la qualification des ouvriers. En effet, la non-maîtrise d’un instrument de travail pour un ouvrier, peut être un danger pour lui et pour tous ceux qui travaillent à côté de lui. </w:t>
      </w:r>
    </w:p>
    <w:p w:rsidR="000B53EE" w:rsidRPr="000B53EE" w:rsidRDefault="000B53EE" w:rsidP="000B53EE">
      <w:pPr>
        <w:pStyle w:val="SolbaseNormal"/>
        <w:spacing w:after="0"/>
        <w:ind w:left="0"/>
        <w:rPr>
          <w:rFonts w:ascii="Times New Roman" w:hAnsi="Times New Roman"/>
          <w:sz w:val="22"/>
          <w:szCs w:val="22"/>
        </w:rPr>
      </w:pPr>
      <w:r w:rsidRPr="000B53EE">
        <w:rPr>
          <w:rFonts w:ascii="Times New Roman" w:hAnsi="Times New Roman"/>
          <w:sz w:val="22"/>
          <w:szCs w:val="22"/>
        </w:rPr>
        <w:t xml:space="preserve">Il est aussi conseillé d’interdire à toute personne étrangère de dépasser les limites autorisées des chantiers. Cette interdiction devra être signalée par un panneau bien visible.  </w:t>
      </w:r>
    </w:p>
    <w:p w:rsidR="000B53EE" w:rsidRPr="001E2895" w:rsidRDefault="000B53EE" w:rsidP="00FA3FAE">
      <w:pPr>
        <w:pStyle w:val="SolbaseNormal"/>
        <w:numPr>
          <w:ilvl w:val="0"/>
          <w:numId w:val="212"/>
        </w:numPr>
        <w:spacing w:before="120" w:line="276" w:lineRule="auto"/>
        <w:outlineLvl w:val="1"/>
        <w:rPr>
          <w:rFonts w:ascii="Times New Roman" w:hAnsi="Times New Roman"/>
          <w:b/>
          <w:bCs/>
          <w:sz w:val="28"/>
          <w:szCs w:val="28"/>
        </w:rPr>
      </w:pPr>
      <w:bookmarkStart w:id="1027" w:name="_Toc32511719"/>
      <w:bookmarkStart w:id="1028" w:name="_Toc51072703"/>
      <w:bookmarkStart w:id="1029" w:name="_Toc32340825"/>
      <w:r w:rsidRPr="001E2895">
        <w:rPr>
          <w:rFonts w:ascii="Times New Roman" w:hAnsi="Times New Roman"/>
          <w:b/>
          <w:bCs/>
          <w:sz w:val="28"/>
          <w:szCs w:val="28"/>
        </w:rPr>
        <w:t>Approvisionnement en eau du chantier</w:t>
      </w:r>
      <w:bookmarkEnd w:id="1027"/>
      <w:bookmarkEnd w:id="1028"/>
      <w:r w:rsidRPr="001E2895">
        <w:rPr>
          <w:rFonts w:ascii="Times New Roman" w:hAnsi="Times New Roman"/>
          <w:b/>
          <w:bCs/>
          <w:sz w:val="28"/>
          <w:szCs w:val="28"/>
        </w:rPr>
        <w:t> </w:t>
      </w:r>
      <w:bookmarkEnd w:id="1029"/>
    </w:p>
    <w:p w:rsidR="000B53EE" w:rsidRPr="000B53EE" w:rsidRDefault="000B53EE" w:rsidP="000B53EE">
      <w:pPr>
        <w:pStyle w:val="SolbaseNormal"/>
        <w:spacing w:after="0"/>
        <w:ind w:left="0"/>
        <w:rPr>
          <w:rFonts w:ascii="Times New Roman" w:hAnsi="Times New Roman"/>
          <w:sz w:val="22"/>
          <w:szCs w:val="22"/>
        </w:rPr>
      </w:pPr>
      <w:r w:rsidRPr="000B53EE">
        <w:rPr>
          <w:rFonts w:ascii="Times New Roman" w:hAnsi="Times New Roman"/>
          <w:sz w:val="22"/>
          <w:szCs w:val="22"/>
        </w:rPr>
        <w:t xml:space="preserve">L’Entrepreneur doit s’assurer que les besoins en eau du chantier ne portent pas préjudice aux sources d’eau utilisées par les communautés locales. Il est recommandé à l’Entrepreneur d’utiliser les services publics d’eau potable autant que possible, en cas de disponibilité. </w:t>
      </w:r>
    </w:p>
    <w:p w:rsidR="000B53EE" w:rsidRPr="001E2895" w:rsidRDefault="000B53EE" w:rsidP="00FA3FAE">
      <w:pPr>
        <w:pStyle w:val="SolbaseNormal"/>
        <w:numPr>
          <w:ilvl w:val="0"/>
          <w:numId w:val="212"/>
        </w:numPr>
        <w:spacing w:before="120" w:line="276" w:lineRule="auto"/>
        <w:outlineLvl w:val="1"/>
        <w:rPr>
          <w:rFonts w:ascii="Times New Roman" w:hAnsi="Times New Roman"/>
          <w:b/>
          <w:bCs/>
          <w:sz w:val="28"/>
          <w:szCs w:val="28"/>
        </w:rPr>
      </w:pPr>
      <w:bookmarkStart w:id="1030" w:name="_Toc32340826"/>
      <w:bookmarkStart w:id="1031" w:name="_Toc32511720"/>
      <w:bookmarkStart w:id="1032" w:name="_Toc51072704"/>
      <w:r w:rsidRPr="001E2895">
        <w:rPr>
          <w:rFonts w:ascii="Times New Roman" w:hAnsi="Times New Roman"/>
          <w:b/>
          <w:bCs/>
          <w:sz w:val="28"/>
          <w:szCs w:val="28"/>
        </w:rPr>
        <w:t>Gestion des déchets</w:t>
      </w:r>
      <w:bookmarkEnd w:id="1030"/>
      <w:bookmarkEnd w:id="1031"/>
      <w:bookmarkEnd w:id="1032"/>
    </w:p>
    <w:p w:rsidR="000B53EE" w:rsidRPr="000B53EE" w:rsidRDefault="000B53EE" w:rsidP="000B53EE">
      <w:pPr>
        <w:pStyle w:val="SolbaseNormal"/>
        <w:spacing w:after="0"/>
        <w:ind w:left="0"/>
        <w:rPr>
          <w:rFonts w:ascii="Times New Roman" w:hAnsi="Times New Roman"/>
          <w:sz w:val="22"/>
          <w:szCs w:val="22"/>
        </w:rPr>
      </w:pPr>
      <w:r w:rsidRPr="000B53EE">
        <w:rPr>
          <w:rFonts w:ascii="Times New Roman" w:hAnsi="Times New Roman"/>
          <w:sz w:val="22"/>
          <w:szCs w:val="22"/>
        </w:rPr>
        <w:t>La Maîtrise d’œuvre veillera à ce que l’entreprise présente un plan de gestion écologiquement rationnel (PGERD) des déchets générés par leurs activités. Ce plan devra comporter au moins :</w:t>
      </w:r>
    </w:p>
    <w:p w:rsidR="000B53EE" w:rsidRPr="000B53EE" w:rsidRDefault="000B53EE" w:rsidP="000B53EE">
      <w:pPr>
        <w:pStyle w:val="SolbaseNormal"/>
        <w:spacing w:after="0"/>
        <w:ind w:left="0"/>
        <w:rPr>
          <w:rFonts w:ascii="Times New Roman" w:hAnsi="Times New Roman"/>
          <w:sz w:val="22"/>
          <w:szCs w:val="22"/>
        </w:rPr>
      </w:pPr>
      <w:r w:rsidRPr="000B53EE">
        <w:rPr>
          <w:rFonts w:ascii="Times New Roman" w:hAnsi="Times New Roman"/>
          <w:sz w:val="22"/>
          <w:szCs w:val="22"/>
        </w:rPr>
        <w:t>une liste des sites occupés par l’entreprise ;</w:t>
      </w:r>
    </w:p>
    <w:p w:rsidR="000B53EE" w:rsidRPr="000B53EE" w:rsidRDefault="000B53EE" w:rsidP="00FA3FAE">
      <w:pPr>
        <w:pStyle w:val="SolbaseNormal"/>
        <w:numPr>
          <w:ilvl w:val="0"/>
          <w:numId w:val="243"/>
        </w:numPr>
        <w:spacing w:after="0"/>
        <w:rPr>
          <w:rFonts w:ascii="Times New Roman" w:hAnsi="Times New Roman"/>
          <w:sz w:val="22"/>
          <w:szCs w:val="22"/>
        </w:rPr>
      </w:pPr>
      <w:r w:rsidRPr="000B53EE">
        <w:rPr>
          <w:rFonts w:ascii="Times New Roman" w:hAnsi="Times New Roman"/>
          <w:sz w:val="22"/>
          <w:szCs w:val="22"/>
        </w:rPr>
        <w:t>le nombre de conteneurs prévus pour la collecte des déchets générés ;</w:t>
      </w:r>
    </w:p>
    <w:p w:rsidR="000B53EE" w:rsidRPr="000B53EE" w:rsidRDefault="000B53EE" w:rsidP="00FA3FAE">
      <w:pPr>
        <w:pStyle w:val="SolbaseNormal"/>
        <w:numPr>
          <w:ilvl w:val="0"/>
          <w:numId w:val="243"/>
        </w:numPr>
        <w:spacing w:after="0"/>
        <w:rPr>
          <w:rFonts w:ascii="Times New Roman" w:hAnsi="Times New Roman"/>
          <w:sz w:val="22"/>
          <w:szCs w:val="22"/>
        </w:rPr>
      </w:pPr>
      <w:r w:rsidRPr="000B53EE">
        <w:rPr>
          <w:rFonts w:ascii="Times New Roman" w:hAnsi="Times New Roman"/>
          <w:sz w:val="22"/>
          <w:szCs w:val="22"/>
        </w:rPr>
        <w:t>le nombre de bacs ou demi-fûts prévus pour recevoir la collecte intermédiaire et journalière des ordures ;</w:t>
      </w:r>
    </w:p>
    <w:p w:rsidR="000B53EE" w:rsidRPr="000B53EE" w:rsidRDefault="000B53EE" w:rsidP="00FA3FAE">
      <w:pPr>
        <w:pStyle w:val="SolbaseNormal"/>
        <w:numPr>
          <w:ilvl w:val="0"/>
          <w:numId w:val="243"/>
        </w:numPr>
        <w:spacing w:after="0"/>
        <w:rPr>
          <w:rFonts w:ascii="Times New Roman" w:hAnsi="Times New Roman"/>
          <w:sz w:val="22"/>
          <w:szCs w:val="22"/>
        </w:rPr>
      </w:pPr>
      <w:r w:rsidRPr="000B53EE">
        <w:rPr>
          <w:rFonts w:ascii="Times New Roman" w:hAnsi="Times New Roman"/>
          <w:sz w:val="22"/>
          <w:szCs w:val="22"/>
        </w:rPr>
        <w:t>le nombre de seaux prévus pour les bureaux s’il en existe ;</w:t>
      </w:r>
    </w:p>
    <w:p w:rsidR="000B53EE" w:rsidRPr="000B53EE" w:rsidRDefault="000B53EE" w:rsidP="00FA3FAE">
      <w:pPr>
        <w:pStyle w:val="SolbaseNormal"/>
        <w:numPr>
          <w:ilvl w:val="0"/>
          <w:numId w:val="243"/>
        </w:numPr>
        <w:spacing w:after="0"/>
        <w:rPr>
          <w:rFonts w:ascii="Times New Roman" w:hAnsi="Times New Roman"/>
          <w:sz w:val="22"/>
          <w:szCs w:val="22"/>
        </w:rPr>
      </w:pPr>
      <w:r w:rsidRPr="000B53EE">
        <w:rPr>
          <w:rFonts w:ascii="Times New Roman" w:hAnsi="Times New Roman"/>
          <w:sz w:val="22"/>
          <w:szCs w:val="22"/>
        </w:rPr>
        <w:t>le système de tri à la source des ordures prévu avec au moins trois grandes catégories :</w:t>
      </w:r>
    </w:p>
    <w:p w:rsidR="000B53EE" w:rsidRPr="000B53EE" w:rsidRDefault="000B53EE" w:rsidP="00FA3FAE">
      <w:pPr>
        <w:pStyle w:val="SolbaseNormal"/>
        <w:numPr>
          <w:ilvl w:val="1"/>
          <w:numId w:val="243"/>
        </w:numPr>
        <w:spacing w:after="0"/>
        <w:rPr>
          <w:rFonts w:ascii="Times New Roman" w:hAnsi="Times New Roman"/>
          <w:sz w:val="22"/>
          <w:szCs w:val="22"/>
        </w:rPr>
      </w:pPr>
      <w:r w:rsidRPr="000B53EE">
        <w:rPr>
          <w:rFonts w:ascii="Times New Roman" w:hAnsi="Times New Roman"/>
          <w:sz w:val="22"/>
          <w:szCs w:val="22"/>
        </w:rPr>
        <w:t>les déchets souillés (pièces mécaniques usagées, chiffons souillés, batterie morte, filtre à huile, la pneumatique souillée etc.</w:t>
      </w:r>
    </w:p>
    <w:p w:rsidR="000B53EE" w:rsidRPr="000B53EE" w:rsidRDefault="000B53EE" w:rsidP="00FA3FAE">
      <w:pPr>
        <w:pStyle w:val="SolbaseNormal"/>
        <w:numPr>
          <w:ilvl w:val="1"/>
          <w:numId w:val="243"/>
        </w:numPr>
        <w:spacing w:after="0"/>
        <w:rPr>
          <w:rFonts w:ascii="Times New Roman" w:hAnsi="Times New Roman"/>
          <w:sz w:val="22"/>
          <w:szCs w:val="22"/>
        </w:rPr>
      </w:pPr>
      <w:r w:rsidRPr="000B53EE">
        <w:rPr>
          <w:rFonts w:ascii="Times New Roman" w:hAnsi="Times New Roman"/>
          <w:sz w:val="22"/>
          <w:szCs w:val="22"/>
        </w:rPr>
        <w:t>le papier, le carton, le bois, etc.</w:t>
      </w:r>
    </w:p>
    <w:p w:rsidR="000B53EE" w:rsidRPr="000B53EE" w:rsidRDefault="000B53EE" w:rsidP="00FA3FAE">
      <w:pPr>
        <w:pStyle w:val="SolbaseNormal"/>
        <w:numPr>
          <w:ilvl w:val="1"/>
          <w:numId w:val="243"/>
        </w:numPr>
        <w:spacing w:after="0"/>
        <w:rPr>
          <w:rFonts w:ascii="Times New Roman" w:hAnsi="Times New Roman"/>
          <w:sz w:val="22"/>
          <w:szCs w:val="22"/>
        </w:rPr>
      </w:pPr>
      <w:r w:rsidRPr="000B53EE">
        <w:rPr>
          <w:rFonts w:ascii="Times New Roman" w:hAnsi="Times New Roman"/>
          <w:sz w:val="22"/>
          <w:szCs w:val="22"/>
        </w:rPr>
        <w:t>le plastique, la pneumatique propre, les bouteilles en plastique, etc.</w:t>
      </w:r>
    </w:p>
    <w:p w:rsidR="000B53EE" w:rsidRPr="000B53EE" w:rsidRDefault="000B53EE" w:rsidP="00FA3FAE">
      <w:pPr>
        <w:pStyle w:val="SolbaseNormal"/>
        <w:numPr>
          <w:ilvl w:val="0"/>
          <w:numId w:val="243"/>
        </w:numPr>
        <w:spacing w:after="0"/>
        <w:rPr>
          <w:rFonts w:ascii="Times New Roman" w:hAnsi="Times New Roman"/>
          <w:sz w:val="22"/>
          <w:szCs w:val="22"/>
        </w:rPr>
      </w:pPr>
      <w:r w:rsidRPr="000B53EE">
        <w:rPr>
          <w:rFonts w:ascii="Times New Roman" w:hAnsi="Times New Roman"/>
          <w:sz w:val="22"/>
          <w:szCs w:val="22"/>
        </w:rPr>
        <w:t>le nombre de fûts prévus pour la collecte des huiles usagées ;</w:t>
      </w:r>
    </w:p>
    <w:p w:rsidR="000B53EE" w:rsidRPr="000B53EE" w:rsidRDefault="000B53EE" w:rsidP="00FA3FAE">
      <w:pPr>
        <w:pStyle w:val="SolbaseNormal"/>
        <w:numPr>
          <w:ilvl w:val="0"/>
          <w:numId w:val="243"/>
        </w:numPr>
        <w:spacing w:after="0"/>
        <w:rPr>
          <w:rFonts w:ascii="Times New Roman" w:hAnsi="Times New Roman"/>
          <w:sz w:val="22"/>
          <w:szCs w:val="22"/>
        </w:rPr>
      </w:pPr>
      <w:r w:rsidRPr="000B53EE">
        <w:rPr>
          <w:rFonts w:ascii="Times New Roman" w:hAnsi="Times New Roman"/>
          <w:sz w:val="22"/>
          <w:szCs w:val="22"/>
        </w:rPr>
        <w:t>le nombre de séances de nettoyage des sites occupés par mois (au moins 4 fois par mois) ;</w:t>
      </w:r>
    </w:p>
    <w:p w:rsidR="000B53EE" w:rsidRDefault="000B53EE" w:rsidP="00FA3FAE">
      <w:pPr>
        <w:pStyle w:val="SolbaseNormal"/>
        <w:numPr>
          <w:ilvl w:val="0"/>
          <w:numId w:val="243"/>
        </w:numPr>
        <w:spacing w:after="0"/>
        <w:rPr>
          <w:rFonts w:ascii="Times New Roman" w:hAnsi="Times New Roman"/>
          <w:sz w:val="22"/>
          <w:szCs w:val="22"/>
        </w:rPr>
      </w:pPr>
      <w:r w:rsidRPr="000B53EE">
        <w:rPr>
          <w:rFonts w:ascii="Times New Roman" w:hAnsi="Times New Roman"/>
          <w:sz w:val="22"/>
          <w:szCs w:val="22"/>
        </w:rPr>
        <w:t>le système d’évacuation de ces déchets vers une décharge contrôlée ou vers un dépotoir prévu à cet effet ou par incinération dans des fûts améliorés (trous d’aération).</w:t>
      </w:r>
    </w:p>
    <w:p w:rsidR="009B3AB5" w:rsidRPr="000B53EE" w:rsidRDefault="009B3AB5" w:rsidP="009B3AB5">
      <w:pPr>
        <w:pStyle w:val="SolbaseNormal"/>
        <w:spacing w:after="0"/>
        <w:ind w:left="720"/>
        <w:rPr>
          <w:rFonts w:ascii="Times New Roman" w:hAnsi="Times New Roman"/>
          <w:sz w:val="22"/>
          <w:szCs w:val="22"/>
        </w:rPr>
      </w:pPr>
    </w:p>
    <w:p w:rsidR="000B53EE" w:rsidRPr="000B53EE" w:rsidRDefault="000B53EE" w:rsidP="000B53EE">
      <w:pPr>
        <w:pStyle w:val="SolbaseNormal"/>
        <w:spacing w:after="0"/>
        <w:ind w:left="0"/>
        <w:rPr>
          <w:rFonts w:ascii="Times New Roman" w:hAnsi="Times New Roman"/>
          <w:sz w:val="22"/>
          <w:szCs w:val="22"/>
        </w:rPr>
      </w:pPr>
      <w:r w:rsidRPr="000B53EE">
        <w:rPr>
          <w:rFonts w:ascii="Times New Roman" w:hAnsi="Times New Roman"/>
          <w:sz w:val="22"/>
          <w:szCs w:val="22"/>
        </w:rPr>
        <w:t>L’entreprise pourra contracter une prestation de service avec un spécialiste du nettoyage et du balayage ou avec des personnes individuelles ou ONGs pour effectuer régulièrement le nettoyage et l’entretien du sol des sites occupés par l’entreprise.</w:t>
      </w:r>
    </w:p>
    <w:p w:rsidR="000B53EE" w:rsidRPr="000B53EE" w:rsidRDefault="000B53EE" w:rsidP="000B53EE">
      <w:pPr>
        <w:pStyle w:val="SolbaseNormal"/>
        <w:spacing w:after="0"/>
        <w:ind w:left="0"/>
        <w:rPr>
          <w:rFonts w:ascii="Times New Roman" w:hAnsi="Times New Roman"/>
          <w:sz w:val="22"/>
          <w:szCs w:val="22"/>
        </w:rPr>
      </w:pPr>
      <w:r w:rsidRPr="000B53EE">
        <w:rPr>
          <w:rFonts w:ascii="Times New Roman" w:hAnsi="Times New Roman"/>
          <w:sz w:val="22"/>
          <w:szCs w:val="22"/>
        </w:rPr>
        <w:t>Pour la gestion des huiles usées, l’entreprise aura à construire un réceptacle en béton capable de stocker correctement et provisoirement des fûts hermétiques contenant les huiles usées, jusqu’à leur enlèvement et évacuation.</w:t>
      </w:r>
    </w:p>
    <w:p w:rsidR="000B53EE" w:rsidRPr="000B53EE" w:rsidRDefault="000B53EE" w:rsidP="000B53EE">
      <w:pPr>
        <w:pStyle w:val="SolbaseNormal"/>
        <w:spacing w:after="0"/>
        <w:ind w:left="0"/>
        <w:rPr>
          <w:rFonts w:ascii="Times New Roman" w:hAnsi="Times New Roman"/>
          <w:sz w:val="22"/>
          <w:szCs w:val="22"/>
        </w:rPr>
      </w:pPr>
      <w:r w:rsidRPr="000B53EE">
        <w:rPr>
          <w:rFonts w:ascii="Times New Roman" w:hAnsi="Times New Roman"/>
          <w:sz w:val="22"/>
          <w:szCs w:val="22"/>
        </w:rPr>
        <w:t>Par anticipation, l’entreprise pourra choisir son fournisseur en huile en fonction de sa capacité à reprendre gratuitement ou à moindre coûts les fûts d’huiles usées déjà pré-conditionnés.</w:t>
      </w:r>
    </w:p>
    <w:p w:rsidR="000B53EE" w:rsidRPr="000B53EE" w:rsidRDefault="000B53EE" w:rsidP="000B53EE">
      <w:pPr>
        <w:pStyle w:val="SolbaseNormal"/>
        <w:spacing w:after="0"/>
        <w:ind w:left="0"/>
        <w:rPr>
          <w:rFonts w:ascii="Times New Roman" w:hAnsi="Times New Roman"/>
          <w:sz w:val="22"/>
          <w:szCs w:val="22"/>
        </w:rPr>
      </w:pPr>
      <w:r w:rsidRPr="000B53EE">
        <w:rPr>
          <w:rFonts w:ascii="Times New Roman" w:hAnsi="Times New Roman"/>
          <w:sz w:val="22"/>
          <w:szCs w:val="22"/>
        </w:rPr>
        <w:t>L’entreprise veillera à construire un bassin en béton pour y collecter tous les déchets solides souillés comme les filtres à huile, les batteries mortes, etc. Si le fond du bassin est bétonné, le risque de contamination de la nappe devient très réduit. Ce bassin permettra à la fin des travaux, de pouvoir verser du béton sur ces déchets afin de les stabiliser et de les soustraire pour longtemps au contact de l’eau d’infiltration.</w:t>
      </w:r>
    </w:p>
    <w:p w:rsidR="000B53EE" w:rsidRPr="001E2895" w:rsidRDefault="000B53EE" w:rsidP="00FA3FAE">
      <w:pPr>
        <w:pStyle w:val="SolbaseNormal"/>
        <w:numPr>
          <w:ilvl w:val="0"/>
          <w:numId w:val="212"/>
        </w:numPr>
        <w:spacing w:before="120" w:line="276" w:lineRule="auto"/>
        <w:outlineLvl w:val="1"/>
        <w:rPr>
          <w:rFonts w:ascii="Times New Roman" w:hAnsi="Times New Roman"/>
          <w:b/>
          <w:bCs/>
          <w:sz w:val="28"/>
          <w:szCs w:val="28"/>
        </w:rPr>
      </w:pPr>
      <w:bookmarkStart w:id="1033" w:name="_Toc32340827"/>
      <w:bookmarkStart w:id="1034" w:name="_Toc32511721"/>
      <w:bookmarkStart w:id="1035" w:name="_Toc51072705"/>
      <w:r w:rsidRPr="001E2895">
        <w:rPr>
          <w:rFonts w:ascii="Times New Roman" w:hAnsi="Times New Roman"/>
          <w:b/>
          <w:bCs/>
          <w:sz w:val="28"/>
          <w:szCs w:val="28"/>
        </w:rPr>
        <w:t>Recommandations spécifiques</w:t>
      </w:r>
      <w:bookmarkEnd w:id="1033"/>
      <w:bookmarkEnd w:id="1034"/>
      <w:bookmarkEnd w:id="1035"/>
    </w:p>
    <w:p w:rsidR="000B53EE" w:rsidRPr="000B53EE" w:rsidRDefault="000B53EE" w:rsidP="000B53EE">
      <w:pPr>
        <w:pStyle w:val="SolbaseNormal"/>
        <w:spacing w:after="0"/>
        <w:ind w:left="0"/>
        <w:rPr>
          <w:rFonts w:ascii="Times New Roman" w:hAnsi="Times New Roman"/>
          <w:sz w:val="22"/>
          <w:szCs w:val="22"/>
        </w:rPr>
      </w:pPr>
      <w:r w:rsidRPr="000B53EE">
        <w:rPr>
          <w:rFonts w:ascii="Times New Roman" w:hAnsi="Times New Roman"/>
          <w:sz w:val="22"/>
          <w:szCs w:val="22"/>
        </w:rPr>
        <w:t xml:space="preserve">L’entreprise doit à tout moment se conformer à la législation bissau-guinéenne en ce qui concerne : les lois foncières, les textes réglementaires sur l’environnement, le code forestier, les textes réglementaires sur l’eau, le code du travail et de la santé publique, etc. </w:t>
      </w:r>
    </w:p>
    <w:p w:rsidR="000B53EE" w:rsidRPr="000022F7" w:rsidRDefault="000B53EE" w:rsidP="00FA3FAE">
      <w:pPr>
        <w:pStyle w:val="SolbaseNormal"/>
        <w:numPr>
          <w:ilvl w:val="0"/>
          <w:numId w:val="208"/>
        </w:numPr>
        <w:spacing w:line="276" w:lineRule="auto"/>
        <w:rPr>
          <w:rFonts w:ascii="Times New Roman" w:hAnsi="Times New Roman"/>
          <w:b/>
          <w:sz w:val="24"/>
          <w:szCs w:val="24"/>
        </w:rPr>
      </w:pPr>
      <w:bookmarkStart w:id="1036" w:name="_Toc236666041"/>
      <w:r w:rsidRPr="000022F7">
        <w:rPr>
          <w:rFonts w:ascii="Times New Roman" w:hAnsi="Times New Roman"/>
          <w:b/>
          <w:sz w:val="24"/>
          <w:szCs w:val="24"/>
        </w:rPr>
        <w:t>Organisation des chantiers</w:t>
      </w:r>
      <w:bookmarkEnd w:id="1036"/>
    </w:p>
    <w:p w:rsidR="000B53EE" w:rsidRPr="000B53EE" w:rsidRDefault="000B53EE" w:rsidP="000B53EE">
      <w:pPr>
        <w:pStyle w:val="SolbaseNormal"/>
        <w:spacing w:after="0"/>
        <w:ind w:left="0"/>
        <w:rPr>
          <w:rFonts w:ascii="Times New Roman" w:hAnsi="Times New Roman"/>
          <w:sz w:val="22"/>
          <w:szCs w:val="22"/>
        </w:rPr>
      </w:pPr>
      <w:r w:rsidRPr="000B53EE">
        <w:rPr>
          <w:rFonts w:ascii="Times New Roman" w:hAnsi="Times New Roman"/>
          <w:sz w:val="22"/>
          <w:szCs w:val="22"/>
        </w:rPr>
        <w:lastRenderedPageBreak/>
        <w:t xml:space="preserve">Les chantiers ne seront pas établis à proximité de certains établissements : les hôpitaux, les écoles, les lieux de culte, etc. dont ils pourraient troubler les activités par les bruits, les poussières, les dégagements gazeux des engins, le trafic, etc. </w:t>
      </w:r>
    </w:p>
    <w:p w:rsidR="000B53EE" w:rsidRPr="000B53EE" w:rsidRDefault="000B53EE" w:rsidP="000B53EE">
      <w:pPr>
        <w:pStyle w:val="SolbaseNormal"/>
        <w:spacing w:after="0"/>
        <w:ind w:left="0"/>
        <w:rPr>
          <w:rFonts w:ascii="Times New Roman" w:hAnsi="Times New Roman"/>
          <w:sz w:val="22"/>
          <w:szCs w:val="22"/>
        </w:rPr>
      </w:pPr>
      <w:r w:rsidRPr="000B53EE">
        <w:rPr>
          <w:rFonts w:ascii="Times New Roman" w:hAnsi="Times New Roman"/>
          <w:sz w:val="22"/>
          <w:szCs w:val="22"/>
        </w:rPr>
        <w:t>Les chantiers seront signalés de manière à être visibles de jour comme de nuit, particulièrement dans les sections habitées. Les chantiers seront installés sur des sites autorisés et ils présenteront toutes les garanties voulues en matière de protection de l’environnement et de sécurité pour les travailleurs et la population du voisinage. L’organisation des chantiers sur des terrains n’appartenant pas l’entrepreneur donnera lieu à des indemnisations en faveur des propriétaires. Les sites des chantiers seront entièrement réhabilités en fin de travaux, replantés si nécessaire et les matériaux excédentaires ainsi que les déchets (tuyaux, gravas, déblais, sable et graviers stockés pour le bétonnage) seront enlevés.</w:t>
      </w:r>
    </w:p>
    <w:p w:rsidR="000B53EE" w:rsidRPr="000B53EE" w:rsidRDefault="000B53EE" w:rsidP="000B53EE">
      <w:pPr>
        <w:pStyle w:val="SolbaseNormal"/>
        <w:spacing w:after="0"/>
        <w:ind w:left="0"/>
        <w:rPr>
          <w:rFonts w:ascii="Times New Roman" w:hAnsi="Times New Roman"/>
          <w:sz w:val="22"/>
          <w:szCs w:val="22"/>
        </w:rPr>
      </w:pPr>
      <w:r w:rsidRPr="000B53EE">
        <w:rPr>
          <w:rFonts w:ascii="Times New Roman" w:hAnsi="Times New Roman"/>
          <w:sz w:val="22"/>
          <w:szCs w:val="22"/>
        </w:rPr>
        <w:t>Pour éviter toute dégradation de l’air, on arrosera les matériaux concernés.</w:t>
      </w:r>
    </w:p>
    <w:p w:rsidR="000B53EE" w:rsidRPr="000022F7" w:rsidRDefault="000B53EE" w:rsidP="00FA3FAE">
      <w:pPr>
        <w:pStyle w:val="SolbaseNormal"/>
        <w:numPr>
          <w:ilvl w:val="0"/>
          <w:numId w:val="208"/>
        </w:numPr>
        <w:spacing w:line="276" w:lineRule="auto"/>
        <w:rPr>
          <w:rFonts w:ascii="Times New Roman" w:hAnsi="Times New Roman"/>
          <w:b/>
          <w:sz w:val="24"/>
          <w:szCs w:val="24"/>
        </w:rPr>
      </w:pPr>
      <w:bookmarkStart w:id="1037" w:name="_Toc236666042"/>
      <w:r w:rsidRPr="000022F7">
        <w:rPr>
          <w:rFonts w:ascii="Times New Roman" w:hAnsi="Times New Roman"/>
          <w:b/>
          <w:sz w:val="24"/>
          <w:szCs w:val="24"/>
        </w:rPr>
        <w:t>Gestion des engins de chantier</w:t>
      </w:r>
      <w:bookmarkEnd w:id="1037"/>
    </w:p>
    <w:p w:rsidR="000B53EE" w:rsidRPr="000B53EE" w:rsidRDefault="000B53EE" w:rsidP="000B53EE">
      <w:pPr>
        <w:pStyle w:val="SolbaseNormal"/>
        <w:spacing w:after="0"/>
        <w:ind w:left="0"/>
        <w:rPr>
          <w:rFonts w:ascii="Times New Roman" w:hAnsi="Times New Roman"/>
          <w:sz w:val="22"/>
          <w:szCs w:val="22"/>
        </w:rPr>
      </w:pPr>
      <w:r w:rsidRPr="000B53EE">
        <w:rPr>
          <w:rFonts w:ascii="Times New Roman" w:hAnsi="Times New Roman"/>
          <w:sz w:val="22"/>
          <w:szCs w:val="22"/>
        </w:rPr>
        <w:t xml:space="preserve">Ils devront être de taille et de conception adaptée à la nature des travaux et équipés d’avertisseur de recul. Les conditions de fonctionnement de ces engins seront conformes aux normes des constructeurs. </w:t>
      </w:r>
    </w:p>
    <w:p w:rsidR="000B53EE" w:rsidRPr="000B53EE" w:rsidRDefault="000B53EE" w:rsidP="000B53EE">
      <w:pPr>
        <w:pStyle w:val="SolbaseNormal"/>
        <w:spacing w:after="0"/>
        <w:ind w:left="0"/>
        <w:rPr>
          <w:rFonts w:ascii="Times New Roman" w:hAnsi="Times New Roman"/>
          <w:sz w:val="22"/>
          <w:szCs w:val="22"/>
        </w:rPr>
      </w:pPr>
      <w:r w:rsidRPr="000B53EE">
        <w:rPr>
          <w:rFonts w:ascii="Times New Roman" w:hAnsi="Times New Roman"/>
          <w:sz w:val="22"/>
          <w:szCs w:val="22"/>
        </w:rPr>
        <w:t>Les engins trop bruyants seront insonorisés au maximum. Les engins ne pourront pas dépasser les taux de pollution sonore et gazeuse établies par les normes nationales et/ou internationales.</w:t>
      </w:r>
    </w:p>
    <w:p w:rsidR="000B53EE" w:rsidRPr="000B53EE" w:rsidRDefault="000B53EE" w:rsidP="000B53EE">
      <w:pPr>
        <w:pStyle w:val="SolbaseNormal"/>
        <w:spacing w:after="0"/>
        <w:ind w:left="0"/>
        <w:rPr>
          <w:rFonts w:ascii="Times New Roman" w:hAnsi="Times New Roman"/>
          <w:sz w:val="22"/>
          <w:szCs w:val="22"/>
        </w:rPr>
      </w:pPr>
      <w:r w:rsidRPr="000B53EE">
        <w:rPr>
          <w:rFonts w:ascii="Times New Roman" w:hAnsi="Times New Roman"/>
          <w:sz w:val="22"/>
          <w:szCs w:val="22"/>
        </w:rPr>
        <w:t>Aucune fuite d’huile ou de carburant pouvant polluer les sols et les eaux de surface ne sera autorisée.</w:t>
      </w:r>
    </w:p>
    <w:p w:rsidR="000B53EE" w:rsidRPr="001E2895" w:rsidRDefault="000B53EE" w:rsidP="00FA3FAE">
      <w:pPr>
        <w:pStyle w:val="SolbaseNormal"/>
        <w:numPr>
          <w:ilvl w:val="0"/>
          <w:numId w:val="212"/>
        </w:numPr>
        <w:spacing w:before="120" w:line="276" w:lineRule="auto"/>
        <w:rPr>
          <w:rFonts w:ascii="Times New Roman" w:hAnsi="Times New Roman"/>
          <w:b/>
          <w:bCs/>
          <w:sz w:val="28"/>
          <w:szCs w:val="28"/>
        </w:rPr>
      </w:pPr>
      <w:r w:rsidRPr="001E2895">
        <w:rPr>
          <w:rFonts w:ascii="Times New Roman" w:hAnsi="Times New Roman"/>
          <w:b/>
          <w:bCs/>
          <w:sz w:val="28"/>
          <w:szCs w:val="28"/>
        </w:rPr>
        <w:t>Contrôle de l’exécution des clauses</w:t>
      </w:r>
      <w:r>
        <w:rPr>
          <w:rFonts w:ascii="Times New Roman" w:hAnsi="Times New Roman"/>
          <w:b/>
          <w:bCs/>
          <w:sz w:val="28"/>
          <w:szCs w:val="28"/>
        </w:rPr>
        <w:t xml:space="preserve"> environnementales et sociales</w:t>
      </w:r>
    </w:p>
    <w:p w:rsidR="000B53EE" w:rsidRPr="000B53EE" w:rsidRDefault="000B53EE" w:rsidP="000B53EE">
      <w:pPr>
        <w:pStyle w:val="SolbaseNormal"/>
        <w:spacing w:after="0"/>
        <w:ind w:left="0"/>
        <w:rPr>
          <w:rFonts w:ascii="Times New Roman" w:hAnsi="Times New Roman"/>
          <w:sz w:val="22"/>
          <w:szCs w:val="22"/>
        </w:rPr>
      </w:pPr>
      <w:r w:rsidRPr="000B53EE">
        <w:rPr>
          <w:rFonts w:ascii="Times New Roman" w:hAnsi="Times New Roman"/>
          <w:sz w:val="22"/>
          <w:szCs w:val="22"/>
        </w:rPr>
        <w:t>Le contrôle du respect et de l’effectivité de la mise en œuvre des clauses environnementales et sociales par l’Entrepreneur est effectué par le Maître d’œuvre, dont l’équipe doit comprendre un expert environnementaliste et sociologue en cas de besoin, qui fait partie intégrante de la mission de contrôle des travaux.</w:t>
      </w:r>
    </w:p>
    <w:p w:rsidR="000B53EE" w:rsidRPr="001E2895" w:rsidRDefault="000B53EE" w:rsidP="00FA3FAE">
      <w:pPr>
        <w:pStyle w:val="SolbaseNormal"/>
        <w:numPr>
          <w:ilvl w:val="0"/>
          <w:numId w:val="212"/>
        </w:numPr>
        <w:spacing w:before="120" w:line="276" w:lineRule="auto"/>
        <w:outlineLvl w:val="1"/>
        <w:rPr>
          <w:rFonts w:ascii="Times New Roman" w:hAnsi="Times New Roman"/>
          <w:b/>
          <w:bCs/>
          <w:sz w:val="28"/>
          <w:szCs w:val="28"/>
        </w:rPr>
      </w:pPr>
      <w:bookmarkStart w:id="1038" w:name="_Toc32511722"/>
      <w:bookmarkStart w:id="1039" w:name="_Toc51072706"/>
      <w:bookmarkStart w:id="1040" w:name="_Toc32340828"/>
      <w:r w:rsidRPr="001E2895">
        <w:rPr>
          <w:rFonts w:ascii="Times New Roman" w:hAnsi="Times New Roman"/>
          <w:b/>
          <w:bCs/>
          <w:sz w:val="28"/>
          <w:szCs w:val="28"/>
        </w:rPr>
        <w:t>Notification</w:t>
      </w:r>
      <w:bookmarkEnd w:id="1038"/>
      <w:bookmarkEnd w:id="1039"/>
      <w:r w:rsidRPr="001E2895">
        <w:rPr>
          <w:rFonts w:ascii="Times New Roman" w:hAnsi="Times New Roman"/>
          <w:b/>
          <w:bCs/>
          <w:sz w:val="28"/>
          <w:szCs w:val="28"/>
        </w:rPr>
        <w:t> </w:t>
      </w:r>
      <w:bookmarkEnd w:id="1040"/>
    </w:p>
    <w:p w:rsidR="000B53EE" w:rsidRPr="000B53EE" w:rsidRDefault="000B53EE" w:rsidP="000B53EE">
      <w:pPr>
        <w:pStyle w:val="SolbaseNormal"/>
        <w:spacing w:after="0"/>
        <w:ind w:left="0"/>
        <w:rPr>
          <w:rFonts w:ascii="Times New Roman" w:hAnsi="Times New Roman"/>
          <w:sz w:val="22"/>
          <w:szCs w:val="22"/>
        </w:rPr>
      </w:pPr>
      <w:r w:rsidRPr="000B53EE">
        <w:rPr>
          <w:rFonts w:ascii="Times New Roman" w:hAnsi="Times New Roman"/>
          <w:sz w:val="22"/>
          <w:szCs w:val="22"/>
        </w:rPr>
        <w:t>Le Maître d’œuvre notifie par écrit à l’Entrepreneur tous les cas de défaut ou non-exécution des mesures environnementales et sociales. L’Entrepreneur doit redresser tout manquement aux prescriptions dûment notifiées à lui par le Maître d’œuvre. La reprise des travaux ou les travaux supplémentaires découlant du non-respect des clauses sont à la charge de l’Entrepreneur.</w:t>
      </w:r>
    </w:p>
    <w:p w:rsidR="000B53EE" w:rsidRPr="001E2895" w:rsidRDefault="000B53EE" w:rsidP="00FA3FAE">
      <w:pPr>
        <w:pStyle w:val="SolbaseNormal"/>
        <w:numPr>
          <w:ilvl w:val="0"/>
          <w:numId w:val="212"/>
        </w:numPr>
        <w:spacing w:before="120" w:line="276" w:lineRule="auto"/>
        <w:outlineLvl w:val="1"/>
        <w:rPr>
          <w:rFonts w:ascii="Times New Roman" w:hAnsi="Times New Roman"/>
          <w:b/>
          <w:bCs/>
          <w:sz w:val="28"/>
          <w:szCs w:val="28"/>
        </w:rPr>
      </w:pPr>
      <w:bookmarkStart w:id="1041" w:name="_Toc32511723"/>
      <w:bookmarkStart w:id="1042" w:name="_Toc51072707"/>
      <w:bookmarkStart w:id="1043" w:name="_Toc32340829"/>
      <w:r w:rsidRPr="001E2895">
        <w:rPr>
          <w:rFonts w:ascii="Times New Roman" w:hAnsi="Times New Roman"/>
          <w:b/>
          <w:bCs/>
          <w:sz w:val="28"/>
          <w:szCs w:val="28"/>
        </w:rPr>
        <w:t>Sanction</w:t>
      </w:r>
      <w:bookmarkEnd w:id="1041"/>
      <w:bookmarkEnd w:id="1042"/>
      <w:r w:rsidRPr="001E2895">
        <w:rPr>
          <w:rFonts w:ascii="Times New Roman" w:hAnsi="Times New Roman"/>
          <w:b/>
          <w:bCs/>
          <w:sz w:val="28"/>
          <w:szCs w:val="28"/>
        </w:rPr>
        <w:t> </w:t>
      </w:r>
      <w:bookmarkEnd w:id="1043"/>
    </w:p>
    <w:p w:rsidR="000B53EE" w:rsidRPr="000B53EE" w:rsidRDefault="000B53EE" w:rsidP="000B53EE">
      <w:pPr>
        <w:pStyle w:val="SolbaseNormal"/>
        <w:spacing w:after="0"/>
        <w:ind w:left="0"/>
        <w:rPr>
          <w:rFonts w:ascii="Times New Roman" w:hAnsi="Times New Roman"/>
          <w:sz w:val="22"/>
          <w:szCs w:val="22"/>
        </w:rPr>
      </w:pPr>
      <w:r w:rsidRPr="000B53EE">
        <w:rPr>
          <w:rFonts w:ascii="Times New Roman" w:hAnsi="Times New Roman"/>
          <w:sz w:val="22"/>
          <w:szCs w:val="22"/>
        </w:rPr>
        <w:t>Des contrôles inopinés seront effectués sur les chantiers et une retenue non remboursable de 10.000 USD sera opérée au débit du compte de l’entrepreneur chaque fois que les non conformités signalées par le Maître d’œuvre subsisteront pendant plus de 30 jours. Aussi, des mesures nécessaires seront prises par le Maître d’ouvrage pour assurer la réparation des dommages causés à l’Environnement, par un tiers. Toutefois, l’intervention de celui-ci ne dégagera en rien la responsabilité de l’Entrepreneur.</w:t>
      </w:r>
    </w:p>
    <w:p w:rsidR="000B53EE" w:rsidRPr="000B53EE" w:rsidRDefault="000B53EE" w:rsidP="000B53EE">
      <w:pPr>
        <w:pStyle w:val="SolbaseNormal"/>
        <w:spacing w:after="0"/>
        <w:ind w:left="0"/>
        <w:rPr>
          <w:rFonts w:ascii="Times New Roman" w:hAnsi="Times New Roman"/>
          <w:sz w:val="22"/>
          <w:szCs w:val="22"/>
        </w:rPr>
      </w:pPr>
      <w:r w:rsidRPr="000B53EE">
        <w:rPr>
          <w:rFonts w:ascii="Times New Roman" w:hAnsi="Times New Roman"/>
          <w:sz w:val="22"/>
          <w:szCs w:val="22"/>
        </w:rPr>
        <w:t xml:space="preserve">Le non-respect des clauses environnementales et sociales, dûment constaté par le Maître d’œuvre, peut être un motif de résiliation du contrat. </w:t>
      </w:r>
    </w:p>
    <w:p w:rsidR="000B53EE" w:rsidRPr="000B53EE" w:rsidRDefault="000B53EE" w:rsidP="000B53EE">
      <w:pPr>
        <w:pStyle w:val="SolbaseNormal"/>
        <w:spacing w:after="0"/>
        <w:ind w:left="0"/>
        <w:rPr>
          <w:rFonts w:ascii="Times New Roman" w:hAnsi="Times New Roman"/>
          <w:sz w:val="22"/>
          <w:szCs w:val="22"/>
        </w:rPr>
      </w:pPr>
      <w:r w:rsidRPr="000B53EE">
        <w:rPr>
          <w:rFonts w:ascii="Times New Roman" w:hAnsi="Times New Roman"/>
          <w:sz w:val="22"/>
          <w:szCs w:val="22"/>
        </w:rPr>
        <w:t>L’Entrepreneur ayant fait l’objet d’une résiliation pour cause de non application des clauses environnementales et sociales s’expose à des sanctions allant jusqu’à la suspension du droit de soumissionner pour une période déterminée par le Maître d’ouvrage, avec une réfaction sur le prix et un blocage de la retenue de garantie.</w:t>
      </w:r>
    </w:p>
    <w:p w:rsidR="000B53EE" w:rsidRPr="000B53EE" w:rsidRDefault="000B53EE" w:rsidP="000B53EE">
      <w:pPr>
        <w:pStyle w:val="SolbaseNormal"/>
        <w:spacing w:after="0"/>
        <w:ind w:left="0"/>
        <w:rPr>
          <w:rFonts w:ascii="Times New Roman" w:hAnsi="Times New Roman"/>
          <w:sz w:val="22"/>
          <w:szCs w:val="22"/>
        </w:rPr>
      </w:pPr>
    </w:p>
    <w:p w:rsidR="000B53EE" w:rsidRPr="001E2895" w:rsidRDefault="000B53EE" w:rsidP="00FA3FAE">
      <w:pPr>
        <w:pStyle w:val="SolbaseNormal"/>
        <w:numPr>
          <w:ilvl w:val="0"/>
          <w:numId w:val="212"/>
        </w:numPr>
        <w:spacing w:before="120" w:line="276" w:lineRule="auto"/>
        <w:outlineLvl w:val="1"/>
        <w:rPr>
          <w:rFonts w:ascii="Times New Roman" w:hAnsi="Times New Roman"/>
          <w:b/>
          <w:bCs/>
          <w:sz w:val="28"/>
          <w:szCs w:val="28"/>
        </w:rPr>
      </w:pPr>
      <w:bookmarkStart w:id="1044" w:name="_Toc32511724"/>
      <w:bookmarkStart w:id="1045" w:name="_Toc51072708"/>
      <w:bookmarkStart w:id="1046" w:name="_Toc32340830"/>
      <w:r w:rsidRPr="001E2895">
        <w:rPr>
          <w:rFonts w:ascii="Times New Roman" w:hAnsi="Times New Roman"/>
          <w:b/>
          <w:bCs/>
          <w:sz w:val="28"/>
          <w:szCs w:val="28"/>
        </w:rPr>
        <w:t>Désignation du personnel d’astreinte</w:t>
      </w:r>
      <w:bookmarkEnd w:id="1044"/>
      <w:bookmarkEnd w:id="1045"/>
      <w:r w:rsidRPr="001E2895">
        <w:rPr>
          <w:rFonts w:ascii="Times New Roman" w:hAnsi="Times New Roman"/>
          <w:b/>
          <w:bCs/>
          <w:sz w:val="28"/>
          <w:szCs w:val="28"/>
        </w:rPr>
        <w:t> </w:t>
      </w:r>
      <w:bookmarkEnd w:id="1046"/>
    </w:p>
    <w:p w:rsidR="000B53EE" w:rsidRPr="000B53EE" w:rsidRDefault="000B53EE" w:rsidP="000B53EE">
      <w:pPr>
        <w:pStyle w:val="SolbaseNormal"/>
        <w:spacing w:after="0"/>
        <w:ind w:left="0"/>
        <w:rPr>
          <w:rFonts w:ascii="Times New Roman" w:hAnsi="Times New Roman"/>
          <w:sz w:val="22"/>
          <w:szCs w:val="22"/>
        </w:rPr>
      </w:pPr>
      <w:r w:rsidRPr="000B53EE">
        <w:rPr>
          <w:rFonts w:ascii="Times New Roman" w:hAnsi="Times New Roman"/>
          <w:sz w:val="22"/>
          <w:szCs w:val="22"/>
        </w:rPr>
        <w:t>L’Entrepreneur doit assurer la garde, la surveillance et le maintien en sécurité de son chantier y compris en dehors des heures de présence sur le site. Pendant toute la durée des travaux, l’Entrepreneur est tenu d’avoir un personnel en astreinte, en dehors des heures de travail, tous les jours sans exception (samedi, dimanche, jours fériés), de jour comme de nuit, pour pallier tout incident et/ou accident susceptible de se produire en relation avec les travaux.</w:t>
      </w:r>
    </w:p>
    <w:p w:rsidR="000B53EE" w:rsidRPr="001E2895" w:rsidRDefault="000B53EE" w:rsidP="00FA3FAE">
      <w:pPr>
        <w:pStyle w:val="SolbaseNormal"/>
        <w:numPr>
          <w:ilvl w:val="0"/>
          <w:numId w:val="212"/>
        </w:numPr>
        <w:spacing w:before="120" w:line="276" w:lineRule="auto"/>
        <w:outlineLvl w:val="1"/>
        <w:rPr>
          <w:rFonts w:ascii="Times New Roman" w:hAnsi="Times New Roman"/>
          <w:b/>
          <w:bCs/>
          <w:sz w:val="28"/>
          <w:szCs w:val="28"/>
        </w:rPr>
      </w:pPr>
      <w:bookmarkStart w:id="1047" w:name="_Toc32511725"/>
      <w:bookmarkStart w:id="1048" w:name="_Toc51072709"/>
      <w:bookmarkStart w:id="1049" w:name="_Toc32340831"/>
      <w:r w:rsidRPr="001E2895">
        <w:rPr>
          <w:rFonts w:ascii="Times New Roman" w:hAnsi="Times New Roman"/>
          <w:b/>
          <w:bCs/>
          <w:sz w:val="28"/>
          <w:szCs w:val="28"/>
        </w:rPr>
        <w:t>Mesures contre les entraves à la circulation</w:t>
      </w:r>
      <w:bookmarkEnd w:id="1047"/>
      <w:bookmarkEnd w:id="1048"/>
      <w:r w:rsidRPr="001E2895">
        <w:rPr>
          <w:rFonts w:ascii="Times New Roman" w:hAnsi="Times New Roman"/>
          <w:b/>
          <w:bCs/>
          <w:sz w:val="28"/>
          <w:szCs w:val="28"/>
        </w:rPr>
        <w:t> </w:t>
      </w:r>
      <w:bookmarkEnd w:id="1049"/>
    </w:p>
    <w:p w:rsidR="000B53EE" w:rsidRPr="000B53EE" w:rsidRDefault="000B53EE" w:rsidP="000B53EE">
      <w:pPr>
        <w:pStyle w:val="SolbaseNormal"/>
        <w:spacing w:after="0"/>
        <w:ind w:left="0"/>
        <w:rPr>
          <w:rFonts w:ascii="Times New Roman" w:hAnsi="Times New Roman"/>
          <w:sz w:val="22"/>
          <w:szCs w:val="22"/>
        </w:rPr>
      </w:pPr>
      <w:r w:rsidRPr="000B53EE">
        <w:rPr>
          <w:rFonts w:ascii="Times New Roman" w:hAnsi="Times New Roman"/>
          <w:sz w:val="22"/>
          <w:szCs w:val="22"/>
        </w:rPr>
        <w:t>L’Entrepreneur doit éviter d’obstruer les accès publics. Il doit maintenir en permanence la circulation et l’accès des riverains en cours de travaux. L’Entrepreneur veillera à ce qu’aucune fouille ou tranchée ne reste ouverte la nuit, sans signalisation adéquate actée par le Maître d’œuvre. L’Entrepreneur doit veiller à ce que les déviations provisoires permettent une circulation sans danger.</w:t>
      </w:r>
    </w:p>
    <w:p w:rsidR="000B53EE" w:rsidRPr="001E2895" w:rsidRDefault="000B53EE" w:rsidP="00FA3FAE">
      <w:pPr>
        <w:pStyle w:val="SolbaseNormal"/>
        <w:numPr>
          <w:ilvl w:val="0"/>
          <w:numId w:val="212"/>
        </w:numPr>
        <w:spacing w:before="120" w:line="276" w:lineRule="auto"/>
        <w:outlineLvl w:val="1"/>
        <w:rPr>
          <w:rFonts w:ascii="Times New Roman" w:hAnsi="Times New Roman"/>
          <w:b/>
          <w:bCs/>
          <w:sz w:val="28"/>
          <w:szCs w:val="28"/>
        </w:rPr>
      </w:pPr>
      <w:bookmarkStart w:id="1050" w:name="_Toc32511726"/>
      <w:bookmarkStart w:id="1051" w:name="_Toc51072710"/>
      <w:bookmarkStart w:id="1052" w:name="_Toc32340832"/>
      <w:r w:rsidRPr="001E2895">
        <w:rPr>
          <w:rFonts w:ascii="Times New Roman" w:hAnsi="Times New Roman"/>
          <w:b/>
          <w:bCs/>
          <w:sz w:val="28"/>
          <w:szCs w:val="28"/>
        </w:rPr>
        <w:t>Passerelles piétons et accès riverains</w:t>
      </w:r>
      <w:bookmarkEnd w:id="1050"/>
      <w:bookmarkEnd w:id="1051"/>
      <w:r w:rsidRPr="001E2895">
        <w:rPr>
          <w:rFonts w:ascii="Times New Roman" w:hAnsi="Times New Roman"/>
          <w:b/>
          <w:bCs/>
          <w:sz w:val="28"/>
          <w:szCs w:val="28"/>
        </w:rPr>
        <w:t> </w:t>
      </w:r>
      <w:bookmarkEnd w:id="1052"/>
    </w:p>
    <w:p w:rsidR="000B53EE" w:rsidRPr="000B53EE" w:rsidRDefault="000B53EE" w:rsidP="000B53EE">
      <w:pPr>
        <w:pStyle w:val="SolbaseNormal"/>
        <w:spacing w:after="0"/>
        <w:ind w:left="0"/>
        <w:rPr>
          <w:rFonts w:ascii="Times New Roman" w:hAnsi="Times New Roman"/>
          <w:sz w:val="22"/>
          <w:szCs w:val="22"/>
        </w:rPr>
      </w:pPr>
      <w:r w:rsidRPr="000B53EE">
        <w:rPr>
          <w:rFonts w:ascii="Times New Roman" w:hAnsi="Times New Roman"/>
          <w:sz w:val="22"/>
          <w:szCs w:val="22"/>
        </w:rPr>
        <w:lastRenderedPageBreak/>
        <w:t>L’Entrepreneur doit constamment assurer l’accès aux propriétés riveraines et assurer la jouissance des entrées charretières et piétonnes, des vitrines d’exposition, par des ponts provisoires ou passerelles munis de garde-corps, placés au-dessus des tranchées ou autres obstacles créés par les travaux.</w:t>
      </w:r>
    </w:p>
    <w:p w:rsidR="000B53EE" w:rsidRPr="001E2895" w:rsidRDefault="000B53EE" w:rsidP="00FA3FAE">
      <w:pPr>
        <w:pStyle w:val="SolbaseNormal"/>
        <w:numPr>
          <w:ilvl w:val="0"/>
          <w:numId w:val="212"/>
        </w:numPr>
        <w:spacing w:before="120" w:line="276" w:lineRule="auto"/>
        <w:outlineLvl w:val="1"/>
        <w:rPr>
          <w:rFonts w:ascii="Times New Roman" w:hAnsi="Times New Roman"/>
          <w:b/>
          <w:bCs/>
          <w:sz w:val="28"/>
          <w:szCs w:val="28"/>
        </w:rPr>
      </w:pPr>
      <w:bookmarkStart w:id="1053" w:name="_Toc32511727"/>
      <w:bookmarkStart w:id="1054" w:name="_Toc51072711"/>
      <w:bookmarkStart w:id="1055" w:name="_Toc32340833"/>
      <w:r w:rsidRPr="001E2895">
        <w:rPr>
          <w:rFonts w:ascii="Times New Roman" w:hAnsi="Times New Roman"/>
          <w:b/>
          <w:bCs/>
          <w:sz w:val="28"/>
          <w:szCs w:val="28"/>
        </w:rPr>
        <w:t>Protection des sites sacrés et des sites archéologiques</w:t>
      </w:r>
      <w:bookmarkEnd w:id="1053"/>
      <w:bookmarkEnd w:id="1054"/>
      <w:r w:rsidRPr="001E2895">
        <w:rPr>
          <w:rFonts w:ascii="Times New Roman" w:hAnsi="Times New Roman"/>
          <w:b/>
          <w:bCs/>
          <w:sz w:val="28"/>
          <w:szCs w:val="28"/>
        </w:rPr>
        <w:t> </w:t>
      </w:r>
      <w:bookmarkEnd w:id="1055"/>
    </w:p>
    <w:p w:rsidR="000B53EE" w:rsidRPr="000B53EE" w:rsidRDefault="000B53EE" w:rsidP="000B53EE">
      <w:pPr>
        <w:pStyle w:val="SolbaseNormal"/>
        <w:spacing w:after="0"/>
        <w:ind w:left="0"/>
        <w:rPr>
          <w:rFonts w:ascii="Times New Roman" w:hAnsi="Times New Roman"/>
          <w:sz w:val="22"/>
          <w:szCs w:val="22"/>
        </w:rPr>
      </w:pPr>
      <w:r w:rsidRPr="000B53EE">
        <w:rPr>
          <w:rFonts w:ascii="Times New Roman" w:hAnsi="Times New Roman"/>
          <w:sz w:val="22"/>
          <w:szCs w:val="22"/>
        </w:rPr>
        <w:t>L’Entrepreneur doit prendre toutes les dispositions nécessaires pour respecter les sites cultuels (cimetières, sites sacrés, etc.) dans le voisinage des travaux et ne pas leur porter atteintes. Pour cela, il devra s’assurer au préalable de leur typologie et de leur implantation avant le démarrage des travaux.</w:t>
      </w:r>
    </w:p>
    <w:p w:rsidR="000B53EE" w:rsidRPr="000B53EE" w:rsidRDefault="000B53EE" w:rsidP="000B53EE">
      <w:pPr>
        <w:pStyle w:val="SolbaseNormal"/>
        <w:spacing w:after="0"/>
        <w:ind w:left="0"/>
        <w:rPr>
          <w:rFonts w:ascii="Times New Roman" w:hAnsi="Times New Roman"/>
          <w:sz w:val="22"/>
          <w:szCs w:val="22"/>
        </w:rPr>
      </w:pPr>
      <w:r w:rsidRPr="000B53EE">
        <w:rPr>
          <w:rFonts w:ascii="Times New Roman" w:hAnsi="Times New Roman"/>
          <w:sz w:val="22"/>
          <w:szCs w:val="22"/>
        </w:rPr>
        <w:t>Si, au cours des travaux, des vestiges d’intérêt cultuel, historique ou archéologique sont découverts, l’Entrepreneur doit suivre la procédure suivante :</w:t>
      </w:r>
    </w:p>
    <w:p w:rsidR="000B53EE" w:rsidRPr="000B53EE" w:rsidRDefault="000B53EE" w:rsidP="000B53EE">
      <w:pPr>
        <w:pStyle w:val="SolbaseNormal"/>
        <w:spacing w:after="0"/>
        <w:ind w:left="0"/>
        <w:rPr>
          <w:rFonts w:ascii="Times New Roman" w:hAnsi="Times New Roman"/>
          <w:sz w:val="22"/>
          <w:szCs w:val="22"/>
        </w:rPr>
      </w:pPr>
      <w:r w:rsidRPr="000B53EE">
        <w:rPr>
          <w:rFonts w:ascii="Times New Roman" w:hAnsi="Times New Roman"/>
          <w:sz w:val="22"/>
          <w:szCs w:val="22"/>
        </w:rPr>
        <w:t>arrêter les travaux dans la zone concernée ;</w:t>
      </w:r>
    </w:p>
    <w:p w:rsidR="000B53EE" w:rsidRPr="000B53EE" w:rsidRDefault="000B53EE" w:rsidP="000B53EE">
      <w:pPr>
        <w:pStyle w:val="SolbaseNormal"/>
        <w:spacing w:after="0"/>
        <w:ind w:left="0"/>
        <w:rPr>
          <w:rFonts w:ascii="Times New Roman" w:hAnsi="Times New Roman"/>
          <w:sz w:val="22"/>
          <w:szCs w:val="22"/>
        </w:rPr>
      </w:pPr>
      <w:r w:rsidRPr="000B53EE">
        <w:rPr>
          <w:rFonts w:ascii="Times New Roman" w:hAnsi="Times New Roman"/>
          <w:sz w:val="22"/>
          <w:szCs w:val="22"/>
        </w:rPr>
        <w:t>aviser immédiatement le Maître d’œuvre qui doit prendre des dispositions afin de protéger le site pour éviter toute destruction ; un périmètre de protection doit être identifié et matérialisé sur le site et aucune activité ne devra s’y dérouler ;</w:t>
      </w:r>
    </w:p>
    <w:p w:rsidR="000B53EE" w:rsidRPr="000B53EE" w:rsidRDefault="000B53EE" w:rsidP="000B53EE">
      <w:pPr>
        <w:pStyle w:val="SolbaseNormal"/>
        <w:spacing w:after="0"/>
        <w:ind w:left="0"/>
        <w:rPr>
          <w:rFonts w:ascii="Times New Roman" w:hAnsi="Times New Roman"/>
          <w:sz w:val="22"/>
          <w:szCs w:val="22"/>
        </w:rPr>
      </w:pPr>
      <w:r w:rsidRPr="000B53EE">
        <w:rPr>
          <w:rFonts w:ascii="Times New Roman" w:hAnsi="Times New Roman"/>
          <w:sz w:val="22"/>
          <w:szCs w:val="22"/>
        </w:rPr>
        <w:t>s’interdire d’enlever et de déplacer les objets et les vestiges. Les travaux doivent être suspendus à l’intérieur du périmètre de protection jusqu’à ce que l’organisme national responsable des sites historiques et archéologiques ait donné l’autorisation de les poursuivre.</w:t>
      </w:r>
    </w:p>
    <w:p w:rsidR="000B53EE" w:rsidRPr="001E2895" w:rsidRDefault="000B53EE" w:rsidP="00FA3FAE">
      <w:pPr>
        <w:pStyle w:val="SolbaseNormal"/>
        <w:numPr>
          <w:ilvl w:val="0"/>
          <w:numId w:val="212"/>
        </w:numPr>
        <w:spacing w:before="120" w:line="276" w:lineRule="auto"/>
        <w:outlineLvl w:val="1"/>
        <w:rPr>
          <w:rFonts w:ascii="Times New Roman" w:hAnsi="Times New Roman"/>
          <w:b/>
          <w:bCs/>
          <w:sz w:val="28"/>
          <w:szCs w:val="28"/>
        </w:rPr>
      </w:pPr>
      <w:bookmarkStart w:id="1056" w:name="_Toc32511728"/>
      <w:bookmarkStart w:id="1057" w:name="_Toc51072712"/>
      <w:bookmarkStart w:id="1058" w:name="_Toc32340834"/>
      <w:r w:rsidRPr="001E2895">
        <w:rPr>
          <w:rFonts w:ascii="Times New Roman" w:hAnsi="Times New Roman"/>
          <w:b/>
          <w:bCs/>
          <w:sz w:val="28"/>
          <w:szCs w:val="28"/>
        </w:rPr>
        <w:t>Journal de chantier</w:t>
      </w:r>
      <w:bookmarkEnd w:id="1056"/>
      <w:bookmarkEnd w:id="1057"/>
      <w:r w:rsidRPr="001E2895">
        <w:rPr>
          <w:rFonts w:ascii="Times New Roman" w:hAnsi="Times New Roman"/>
          <w:b/>
          <w:bCs/>
          <w:sz w:val="28"/>
          <w:szCs w:val="28"/>
        </w:rPr>
        <w:t> </w:t>
      </w:r>
      <w:bookmarkEnd w:id="1058"/>
    </w:p>
    <w:p w:rsidR="000B53EE" w:rsidRPr="000B53EE" w:rsidRDefault="000B53EE" w:rsidP="000B53EE">
      <w:pPr>
        <w:pStyle w:val="SolbaseNormal"/>
        <w:spacing w:after="0"/>
        <w:ind w:left="0"/>
        <w:rPr>
          <w:rFonts w:ascii="Times New Roman" w:hAnsi="Times New Roman"/>
          <w:sz w:val="22"/>
          <w:szCs w:val="22"/>
        </w:rPr>
      </w:pPr>
      <w:r w:rsidRPr="000B53EE">
        <w:rPr>
          <w:rFonts w:ascii="Times New Roman" w:hAnsi="Times New Roman"/>
          <w:sz w:val="22"/>
          <w:szCs w:val="22"/>
        </w:rPr>
        <w:t>L’Entrepreneur doit tenir à jour un journal environnemental de chantier, dans lequel seront consignés les réclamations, les manquements ou incidents ayant un impact significatif sur l’environnement ou à un incident avec la population. Le journal de chantier est unique pour le chantier et les notes doivent être écrites à l’encre.</w:t>
      </w:r>
    </w:p>
    <w:p w:rsidR="000B53EE" w:rsidRPr="000022F7" w:rsidRDefault="000B53EE" w:rsidP="00FA3FAE">
      <w:pPr>
        <w:pStyle w:val="Style9"/>
        <w:keepLines w:val="0"/>
        <w:numPr>
          <w:ilvl w:val="0"/>
          <w:numId w:val="211"/>
        </w:numPr>
        <w:spacing w:after="60" w:line="276" w:lineRule="auto"/>
        <w:jc w:val="both"/>
        <w:rPr>
          <w:rFonts w:ascii="Times New Roman" w:hAnsi="Times New Roman"/>
          <w:sz w:val="28"/>
          <w:szCs w:val="28"/>
        </w:rPr>
      </w:pPr>
      <w:bookmarkStart w:id="1059" w:name="_Toc462908633"/>
      <w:bookmarkStart w:id="1060" w:name="_Toc32340835"/>
      <w:bookmarkStart w:id="1061" w:name="_Toc32511729"/>
      <w:bookmarkStart w:id="1062" w:name="_Toc51072713"/>
      <w:r w:rsidRPr="000022F7">
        <w:rPr>
          <w:rFonts w:ascii="Times New Roman" w:hAnsi="Times New Roman"/>
          <w:sz w:val="28"/>
          <w:szCs w:val="28"/>
        </w:rPr>
        <w:t>DISPOSITIONS EN FIN DE CHANTIER</w:t>
      </w:r>
      <w:bookmarkEnd w:id="1059"/>
      <w:bookmarkEnd w:id="1060"/>
      <w:bookmarkEnd w:id="1061"/>
      <w:bookmarkEnd w:id="1062"/>
    </w:p>
    <w:p w:rsidR="000B53EE" w:rsidRPr="001E2895" w:rsidRDefault="000B53EE" w:rsidP="00FA3FAE">
      <w:pPr>
        <w:pStyle w:val="SolbaseNormal"/>
        <w:numPr>
          <w:ilvl w:val="0"/>
          <w:numId w:val="213"/>
        </w:numPr>
        <w:spacing w:before="120" w:line="276" w:lineRule="auto"/>
        <w:outlineLvl w:val="1"/>
        <w:rPr>
          <w:rFonts w:ascii="Times New Roman" w:hAnsi="Times New Roman"/>
          <w:b/>
          <w:bCs/>
          <w:sz w:val="28"/>
          <w:szCs w:val="28"/>
        </w:rPr>
      </w:pPr>
      <w:bookmarkStart w:id="1063" w:name="_Toc32511730"/>
      <w:bookmarkStart w:id="1064" w:name="_Toc51072714"/>
      <w:bookmarkStart w:id="1065" w:name="_Toc32340836"/>
      <w:r w:rsidRPr="001E2895">
        <w:rPr>
          <w:rFonts w:ascii="Times New Roman" w:hAnsi="Times New Roman"/>
          <w:b/>
          <w:bCs/>
          <w:sz w:val="28"/>
          <w:szCs w:val="28"/>
        </w:rPr>
        <w:t>Remise en état des lieux</w:t>
      </w:r>
      <w:bookmarkEnd w:id="1063"/>
      <w:bookmarkEnd w:id="1064"/>
      <w:r w:rsidRPr="001E2895">
        <w:rPr>
          <w:rFonts w:ascii="Times New Roman" w:hAnsi="Times New Roman"/>
          <w:b/>
          <w:bCs/>
          <w:sz w:val="28"/>
          <w:szCs w:val="28"/>
        </w:rPr>
        <w:t> </w:t>
      </w:r>
      <w:bookmarkEnd w:id="1065"/>
    </w:p>
    <w:p w:rsidR="000B53EE" w:rsidRPr="000B53EE" w:rsidRDefault="000B53EE" w:rsidP="000B53EE">
      <w:pPr>
        <w:pStyle w:val="SolbaseNormal"/>
        <w:spacing w:after="0"/>
        <w:ind w:left="0"/>
        <w:rPr>
          <w:rFonts w:ascii="Times New Roman" w:hAnsi="Times New Roman"/>
          <w:sz w:val="22"/>
          <w:szCs w:val="22"/>
        </w:rPr>
      </w:pPr>
      <w:r w:rsidRPr="000B53EE">
        <w:rPr>
          <w:rFonts w:ascii="Times New Roman" w:hAnsi="Times New Roman"/>
          <w:sz w:val="22"/>
          <w:szCs w:val="22"/>
        </w:rPr>
        <w:t xml:space="preserve">A toute libération de site, l'Entrepreneur laisse les lieux propres à leur affectation immédiate. Il ne peut être libéré de ses engagements et de sa responsabilité concernant leur usage sans qu'il ait formellement fait constater ce bon état. </w:t>
      </w:r>
    </w:p>
    <w:p w:rsidR="000B53EE" w:rsidRPr="000B53EE" w:rsidRDefault="000B53EE" w:rsidP="000B53EE">
      <w:pPr>
        <w:pStyle w:val="SolbaseNormal"/>
        <w:spacing w:after="0"/>
        <w:ind w:left="0"/>
        <w:rPr>
          <w:rFonts w:ascii="Times New Roman" w:hAnsi="Times New Roman"/>
          <w:sz w:val="22"/>
          <w:szCs w:val="22"/>
        </w:rPr>
      </w:pPr>
      <w:r w:rsidRPr="000B53EE">
        <w:rPr>
          <w:rFonts w:ascii="Times New Roman" w:hAnsi="Times New Roman"/>
          <w:sz w:val="22"/>
          <w:szCs w:val="22"/>
        </w:rPr>
        <w:t>L'Entrepreneur réalisera tous les aménagements nécessaires à la remise en état des lieux. Il est tenu de replier tous ses équipements et matériaux et ne peut les abandonner sur le site ou les environs.</w:t>
      </w:r>
    </w:p>
    <w:p w:rsidR="000B53EE" w:rsidRPr="000B53EE" w:rsidRDefault="000B53EE" w:rsidP="000B53EE">
      <w:pPr>
        <w:pStyle w:val="SolbaseNormal"/>
        <w:spacing w:after="0"/>
        <w:ind w:left="0"/>
        <w:rPr>
          <w:rFonts w:ascii="Times New Roman" w:hAnsi="Times New Roman"/>
          <w:sz w:val="22"/>
          <w:szCs w:val="22"/>
        </w:rPr>
      </w:pPr>
      <w:r w:rsidRPr="000B53EE">
        <w:rPr>
          <w:rFonts w:ascii="Times New Roman" w:hAnsi="Times New Roman"/>
          <w:sz w:val="22"/>
          <w:szCs w:val="22"/>
        </w:rPr>
        <w:t>Une fois les travaux achevés, l’Entrepreneur doit</w:t>
      </w:r>
    </w:p>
    <w:p w:rsidR="000B53EE" w:rsidRPr="000B53EE" w:rsidRDefault="000B53EE" w:rsidP="000B53EE">
      <w:pPr>
        <w:pStyle w:val="SolbaseNormal"/>
        <w:spacing w:after="0"/>
        <w:ind w:left="0"/>
        <w:rPr>
          <w:rFonts w:ascii="Times New Roman" w:hAnsi="Times New Roman"/>
          <w:sz w:val="22"/>
          <w:szCs w:val="22"/>
        </w:rPr>
      </w:pPr>
      <w:r w:rsidRPr="000B53EE">
        <w:rPr>
          <w:rFonts w:ascii="Times New Roman" w:hAnsi="Times New Roman"/>
          <w:sz w:val="22"/>
          <w:szCs w:val="22"/>
        </w:rPr>
        <w:t>retirer les bâtiments temporaires, le matériel, les déchets solides et liquides, les matériaux excédentaires, les clôtures etc. ;</w:t>
      </w:r>
    </w:p>
    <w:p w:rsidR="000B53EE" w:rsidRPr="000B53EE" w:rsidRDefault="000B53EE" w:rsidP="000B53EE">
      <w:pPr>
        <w:pStyle w:val="SolbaseNormal"/>
        <w:spacing w:after="0"/>
        <w:ind w:left="0"/>
        <w:rPr>
          <w:rFonts w:ascii="Times New Roman" w:hAnsi="Times New Roman"/>
          <w:sz w:val="22"/>
          <w:szCs w:val="22"/>
        </w:rPr>
      </w:pPr>
      <w:r w:rsidRPr="000B53EE">
        <w:rPr>
          <w:rFonts w:ascii="Times New Roman" w:hAnsi="Times New Roman"/>
          <w:sz w:val="22"/>
          <w:szCs w:val="22"/>
        </w:rPr>
        <w:t>rectifier les défauts de drainage et régaler toutes les zones excavées; (iii) nettoyer et détruire les fosses de vidange.</w:t>
      </w:r>
    </w:p>
    <w:p w:rsidR="000B53EE" w:rsidRPr="000B53EE" w:rsidRDefault="000B53EE" w:rsidP="000B53EE">
      <w:pPr>
        <w:pStyle w:val="SolbaseNormal"/>
        <w:spacing w:after="0"/>
        <w:ind w:left="0"/>
        <w:rPr>
          <w:rFonts w:ascii="Times New Roman" w:hAnsi="Times New Roman"/>
          <w:sz w:val="22"/>
          <w:szCs w:val="22"/>
        </w:rPr>
      </w:pPr>
      <w:r w:rsidRPr="000B53EE">
        <w:rPr>
          <w:rFonts w:ascii="Times New Roman" w:hAnsi="Times New Roman"/>
          <w:sz w:val="22"/>
          <w:szCs w:val="22"/>
        </w:rPr>
        <w:t>S'il est de l'intérêt du Maître d’Ouvrage de récupérer les installations fixes pour une utilisation future, l'Entrepreneur doit les céder sans dédommagements lors du repli.</w:t>
      </w:r>
    </w:p>
    <w:p w:rsidR="000B53EE" w:rsidRPr="000B53EE" w:rsidRDefault="000B53EE" w:rsidP="000B53EE">
      <w:pPr>
        <w:pStyle w:val="SolbaseNormal"/>
        <w:spacing w:after="0"/>
        <w:ind w:left="0"/>
        <w:rPr>
          <w:rFonts w:ascii="Times New Roman" w:hAnsi="Times New Roman"/>
          <w:sz w:val="22"/>
          <w:szCs w:val="22"/>
        </w:rPr>
      </w:pPr>
      <w:r w:rsidRPr="000B53EE">
        <w:rPr>
          <w:rFonts w:ascii="Times New Roman" w:hAnsi="Times New Roman"/>
          <w:sz w:val="22"/>
          <w:szCs w:val="22"/>
        </w:rPr>
        <w:t>En cas de défaillance de l'Entrepreneur pour l'exécution des travaux de remise en état, ceux-ci sont effectués par une entreprise du choix du Maître d’Ouvrage, en rapport avec les services concernés et aux frais du défaillant.</w:t>
      </w:r>
    </w:p>
    <w:p w:rsidR="000B53EE" w:rsidRPr="000B53EE" w:rsidRDefault="000B53EE" w:rsidP="008734B0">
      <w:pPr>
        <w:pStyle w:val="SolbaseNormal"/>
        <w:spacing w:line="276" w:lineRule="auto"/>
        <w:ind w:left="0"/>
        <w:rPr>
          <w:rFonts w:ascii="Times New Roman" w:hAnsi="Times New Roman"/>
          <w:sz w:val="22"/>
          <w:szCs w:val="22"/>
        </w:rPr>
      </w:pPr>
      <w:r w:rsidRPr="000022F7">
        <w:rPr>
          <w:rFonts w:ascii="Times New Roman" w:hAnsi="Times New Roman"/>
          <w:sz w:val="24"/>
          <w:szCs w:val="24"/>
        </w:rPr>
        <w:t xml:space="preserve">Après le repli de tout le matériel, un procès-verbal constatant la remise en état du site doit être dressé et joint au procès-verbal de réception des travaux. La non-remise en état des lieux doit entraîner le refus </w:t>
      </w:r>
      <w:r w:rsidRPr="000B53EE">
        <w:rPr>
          <w:rFonts w:ascii="Times New Roman" w:hAnsi="Times New Roman"/>
          <w:sz w:val="22"/>
          <w:szCs w:val="22"/>
        </w:rPr>
        <w:t>de réception des travaux. Dans ce cas, le pourcentage non encore libéré du montant du poste « installation de chantier » sera retenu pour servir à assurer le repli de chantier.</w:t>
      </w:r>
    </w:p>
    <w:p w:rsidR="000B53EE" w:rsidRPr="001E2895" w:rsidRDefault="000B53EE" w:rsidP="00FA3FAE">
      <w:pPr>
        <w:pStyle w:val="SolbaseNormal"/>
        <w:numPr>
          <w:ilvl w:val="0"/>
          <w:numId w:val="213"/>
        </w:numPr>
        <w:spacing w:before="120" w:line="276" w:lineRule="auto"/>
        <w:outlineLvl w:val="1"/>
        <w:rPr>
          <w:rFonts w:ascii="Times New Roman" w:hAnsi="Times New Roman"/>
          <w:b/>
          <w:bCs/>
          <w:sz w:val="28"/>
          <w:szCs w:val="28"/>
        </w:rPr>
      </w:pPr>
      <w:bookmarkStart w:id="1066" w:name="_Toc32511731"/>
      <w:bookmarkStart w:id="1067" w:name="_Toc51072715"/>
      <w:bookmarkStart w:id="1068" w:name="_Toc32340837"/>
      <w:r w:rsidRPr="001E2895">
        <w:rPr>
          <w:rFonts w:ascii="Times New Roman" w:hAnsi="Times New Roman"/>
          <w:b/>
          <w:bCs/>
          <w:sz w:val="28"/>
          <w:szCs w:val="28"/>
        </w:rPr>
        <w:t>Protection des zones instables</w:t>
      </w:r>
      <w:bookmarkEnd w:id="1066"/>
      <w:bookmarkEnd w:id="1067"/>
      <w:r w:rsidRPr="001E2895">
        <w:rPr>
          <w:rFonts w:ascii="Times New Roman" w:hAnsi="Times New Roman"/>
          <w:b/>
          <w:bCs/>
          <w:sz w:val="28"/>
          <w:szCs w:val="28"/>
        </w:rPr>
        <w:t> </w:t>
      </w:r>
      <w:bookmarkEnd w:id="1068"/>
    </w:p>
    <w:p w:rsidR="000B53EE" w:rsidRPr="000B53EE" w:rsidRDefault="000B53EE" w:rsidP="000B53EE">
      <w:pPr>
        <w:pStyle w:val="SolbaseNormal"/>
        <w:spacing w:after="0"/>
        <w:ind w:left="0"/>
        <w:rPr>
          <w:rFonts w:ascii="Times New Roman" w:hAnsi="Times New Roman"/>
          <w:sz w:val="22"/>
          <w:szCs w:val="22"/>
        </w:rPr>
      </w:pPr>
      <w:r w:rsidRPr="000B53EE">
        <w:rPr>
          <w:rFonts w:ascii="Times New Roman" w:hAnsi="Times New Roman"/>
          <w:sz w:val="22"/>
          <w:szCs w:val="22"/>
        </w:rPr>
        <w:t>Lors du démantèlement d’ouvrages en milieux instables, l’Entrepreneur doit prendre les précautions suivantes pour ne pas accentuer l’instabilité du sol :</w:t>
      </w:r>
    </w:p>
    <w:p w:rsidR="000B53EE" w:rsidRPr="000B53EE" w:rsidRDefault="000B53EE" w:rsidP="000B53EE">
      <w:pPr>
        <w:pStyle w:val="SolbaseNormal"/>
        <w:spacing w:after="0"/>
        <w:ind w:left="0"/>
        <w:rPr>
          <w:rFonts w:ascii="Times New Roman" w:hAnsi="Times New Roman"/>
          <w:sz w:val="22"/>
          <w:szCs w:val="22"/>
        </w:rPr>
      </w:pPr>
      <w:r w:rsidRPr="000B53EE">
        <w:rPr>
          <w:rFonts w:ascii="Times New Roman" w:hAnsi="Times New Roman"/>
          <w:sz w:val="22"/>
          <w:szCs w:val="22"/>
        </w:rPr>
        <w:t>éviter toute circulation lourde et toute surcharge dans la zone d’instabilité ;</w:t>
      </w:r>
    </w:p>
    <w:p w:rsidR="000B53EE" w:rsidRPr="000022F7" w:rsidRDefault="000B53EE" w:rsidP="000B53EE">
      <w:pPr>
        <w:pStyle w:val="SolbaseNormal"/>
        <w:spacing w:after="0"/>
        <w:ind w:left="0"/>
        <w:rPr>
          <w:rFonts w:ascii="Times New Roman" w:hAnsi="Times New Roman"/>
          <w:sz w:val="24"/>
          <w:szCs w:val="24"/>
        </w:rPr>
      </w:pPr>
      <w:r w:rsidRPr="000B53EE">
        <w:rPr>
          <w:rFonts w:ascii="Times New Roman" w:hAnsi="Times New Roman"/>
          <w:sz w:val="22"/>
          <w:szCs w:val="22"/>
        </w:rPr>
        <w:t>conserver autant que possible le couvert végétal ou reconstituer celui-ci en utilisant des espèces</w:t>
      </w:r>
      <w:r w:rsidRPr="000022F7">
        <w:rPr>
          <w:rFonts w:ascii="Times New Roman" w:hAnsi="Times New Roman"/>
          <w:sz w:val="24"/>
          <w:szCs w:val="24"/>
        </w:rPr>
        <w:t xml:space="preserve"> locales appropriées en cas de risques d’érosion.</w:t>
      </w:r>
    </w:p>
    <w:p w:rsidR="000B53EE" w:rsidRPr="002E262E" w:rsidRDefault="000B53EE" w:rsidP="00FA3FAE">
      <w:pPr>
        <w:pStyle w:val="SolbaseNormal"/>
        <w:numPr>
          <w:ilvl w:val="0"/>
          <w:numId w:val="213"/>
        </w:numPr>
        <w:spacing w:before="120" w:line="276" w:lineRule="auto"/>
        <w:outlineLvl w:val="1"/>
        <w:rPr>
          <w:rFonts w:ascii="Times New Roman" w:hAnsi="Times New Roman"/>
          <w:b/>
          <w:bCs/>
          <w:sz w:val="28"/>
          <w:szCs w:val="28"/>
        </w:rPr>
      </w:pPr>
      <w:bookmarkStart w:id="1069" w:name="_Toc32511732"/>
      <w:bookmarkStart w:id="1070" w:name="_Toc51072716"/>
      <w:bookmarkStart w:id="1071" w:name="_Toc32340838"/>
      <w:r w:rsidRPr="002E262E">
        <w:rPr>
          <w:rFonts w:ascii="Times New Roman" w:hAnsi="Times New Roman"/>
          <w:b/>
          <w:bCs/>
          <w:sz w:val="28"/>
          <w:szCs w:val="28"/>
        </w:rPr>
        <w:t>Carrières et sites d'emprunt</w:t>
      </w:r>
      <w:bookmarkEnd w:id="1069"/>
      <w:bookmarkEnd w:id="1070"/>
      <w:r w:rsidRPr="002E262E">
        <w:rPr>
          <w:rFonts w:ascii="Times New Roman" w:hAnsi="Times New Roman"/>
          <w:b/>
          <w:bCs/>
          <w:sz w:val="28"/>
          <w:szCs w:val="28"/>
        </w:rPr>
        <w:t> </w:t>
      </w:r>
      <w:bookmarkEnd w:id="1071"/>
    </w:p>
    <w:p w:rsidR="000B53EE" w:rsidRPr="000B53EE" w:rsidRDefault="000B53EE" w:rsidP="000B53EE">
      <w:pPr>
        <w:pStyle w:val="SolbaseNormal"/>
        <w:spacing w:after="0"/>
        <w:ind w:left="0"/>
        <w:rPr>
          <w:rFonts w:ascii="Times New Roman" w:hAnsi="Times New Roman"/>
          <w:sz w:val="22"/>
          <w:szCs w:val="22"/>
        </w:rPr>
      </w:pPr>
      <w:r w:rsidRPr="000B53EE">
        <w:rPr>
          <w:rFonts w:ascii="Times New Roman" w:hAnsi="Times New Roman"/>
          <w:sz w:val="22"/>
          <w:szCs w:val="22"/>
        </w:rPr>
        <w:t xml:space="preserve">L’Entrepreneur est tenu de disposer des autorisations requises pour l’ouverture et l’exploitation des carrières et sites d’emprunt (temporaires et permanents) en se conformant à la législation nationale en la matière. </w:t>
      </w:r>
      <w:r w:rsidRPr="000B53EE">
        <w:rPr>
          <w:rFonts w:ascii="Times New Roman" w:hAnsi="Times New Roman"/>
          <w:sz w:val="22"/>
          <w:szCs w:val="22"/>
        </w:rPr>
        <w:lastRenderedPageBreak/>
        <w:t xml:space="preserve">L’Entrepreneur doit, dans la mesure du possible, utiliser de préférence un site existant. Tous les sites doivent être approuvés par le superviseur des travaux et répondre aux normes environnementales en vigueur. </w:t>
      </w:r>
    </w:p>
    <w:p w:rsidR="000B53EE" w:rsidRPr="000B53EE" w:rsidRDefault="000B53EE" w:rsidP="000B53EE">
      <w:pPr>
        <w:pStyle w:val="SolbaseNormal"/>
        <w:spacing w:after="0"/>
        <w:ind w:left="0"/>
        <w:rPr>
          <w:rFonts w:ascii="Times New Roman" w:hAnsi="Times New Roman"/>
          <w:sz w:val="22"/>
          <w:szCs w:val="22"/>
        </w:rPr>
      </w:pPr>
      <w:r w:rsidRPr="000B53EE">
        <w:rPr>
          <w:rFonts w:ascii="Times New Roman" w:hAnsi="Times New Roman"/>
          <w:sz w:val="22"/>
          <w:szCs w:val="22"/>
        </w:rPr>
        <w:t>A la fin de l'exploitation d’un site permanent, l’Entrepreneur doit :</w:t>
      </w:r>
    </w:p>
    <w:p w:rsidR="000B53EE" w:rsidRPr="000B53EE" w:rsidRDefault="000B53EE" w:rsidP="000B53EE">
      <w:pPr>
        <w:pStyle w:val="SolbaseNormal"/>
        <w:spacing w:after="0"/>
        <w:ind w:left="0"/>
        <w:rPr>
          <w:rFonts w:ascii="Times New Roman" w:hAnsi="Times New Roman"/>
          <w:sz w:val="22"/>
          <w:szCs w:val="22"/>
        </w:rPr>
      </w:pPr>
      <w:r w:rsidRPr="000B53EE">
        <w:rPr>
          <w:rFonts w:ascii="Times New Roman" w:hAnsi="Times New Roman"/>
          <w:sz w:val="22"/>
          <w:szCs w:val="22"/>
        </w:rPr>
        <w:t>rétablir les écoulements naturels antérieurs par régalage des matériaux de découverte non utilisés ;</w:t>
      </w:r>
    </w:p>
    <w:p w:rsidR="000B53EE" w:rsidRPr="000B53EE" w:rsidRDefault="000B53EE" w:rsidP="000B53EE">
      <w:pPr>
        <w:pStyle w:val="SolbaseNormal"/>
        <w:spacing w:after="0"/>
        <w:ind w:left="0"/>
        <w:rPr>
          <w:rFonts w:ascii="Times New Roman" w:hAnsi="Times New Roman"/>
          <w:sz w:val="22"/>
          <w:szCs w:val="22"/>
        </w:rPr>
      </w:pPr>
      <w:r w:rsidRPr="000B53EE">
        <w:rPr>
          <w:rFonts w:ascii="Times New Roman" w:hAnsi="Times New Roman"/>
          <w:sz w:val="22"/>
          <w:szCs w:val="22"/>
        </w:rPr>
        <w:t>supprimer l'aspect délabré du site en répartissant et dissimulant les gros blocs rocheux. A la fin de l’exploitation, un procès-verbal de l'état des lieux est dressé en rapport avec le Maître d’œuvre et les services compétents.</w:t>
      </w:r>
    </w:p>
    <w:p w:rsidR="000B53EE" w:rsidRPr="002E262E" w:rsidRDefault="000B53EE" w:rsidP="00FA3FAE">
      <w:pPr>
        <w:pStyle w:val="SolbaseNormal"/>
        <w:numPr>
          <w:ilvl w:val="0"/>
          <w:numId w:val="213"/>
        </w:numPr>
        <w:spacing w:before="120" w:line="276" w:lineRule="auto"/>
        <w:outlineLvl w:val="1"/>
        <w:rPr>
          <w:rFonts w:ascii="Times New Roman" w:hAnsi="Times New Roman"/>
          <w:b/>
          <w:bCs/>
          <w:sz w:val="28"/>
          <w:szCs w:val="28"/>
        </w:rPr>
      </w:pPr>
      <w:bookmarkStart w:id="1072" w:name="_Toc32511733"/>
      <w:bookmarkStart w:id="1073" w:name="_Toc51072717"/>
      <w:bookmarkStart w:id="1074" w:name="_Toc32340839"/>
      <w:r w:rsidRPr="002E262E">
        <w:rPr>
          <w:rFonts w:ascii="Times New Roman" w:hAnsi="Times New Roman"/>
          <w:b/>
          <w:bCs/>
          <w:sz w:val="28"/>
          <w:szCs w:val="28"/>
        </w:rPr>
        <w:t>Responsabilité de la sous-traitance</w:t>
      </w:r>
      <w:bookmarkEnd w:id="1072"/>
      <w:bookmarkEnd w:id="1073"/>
      <w:r w:rsidRPr="002E262E">
        <w:rPr>
          <w:rFonts w:ascii="Times New Roman" w:hAnsi="Times New Roman"/>
          <w:b/>
          <w:bCs/>
          <w:sz w:val="28"/>
          <w:szCs w:val="28"/>
        </w:rPr>
        <w:t xml:space="preserve"> </w:t>
      </w:r>
      <w:bookmarkEnd w:id="1074"/>
    </w:p>
    <w:p w:rsidR="000B53EE" w:rsidRPr="000B53EE" w:rsidRDefault="000B53EE" w:rsidP="000B53EE">
      <w:pPr>
        <w:pStyle w:val="SolbaseNormal"/>
        <w:spacing w:after="0"/>
        <w:ind w:left="0"/>
        <w:rPr>
          <w:rFonts w:ascii="Times New Roman" w:hAnsi="Times New Roman"/>
          <w:sz w:val="22"/>
          <w:szCs w:val="22"/>
        </w:rPr>
      </w:pPr>
      <w:r w:rsidRPr="000B53EE">
        <w:rPr>
          <w:rFonts w:ascii="Times New Roman" w:hAnsi="Times New Roman"/>
          <w:sz w:val="22"/>
          <w:szCs w:val="22"/>
        </w:rPr>
        <w:t>Lorsque l’Entrepreneur est autorisé à sous-traiter une partie des travaux, ses sous-traitants sont, de facto, liés par les présentes prescriptions pour la gestion environnementale et sociale des chantiers.</w:t>
      </w:r>
    </w:p>
    <w:p w:rsidR="000B53EE" w:rsidRPr="002E262E" w:rsidRDefault="000B53EE" w:rsidP="00FA3FAE">
      <w:pPr>
        <w:pStyle w:val="SolbaseNormal"/>
        <w:numPr>
          <w:ilvl w:val="0"/>
          <w:numId w:val="213"/>
        </w:numPr>
        <w:spacing w:before="120" w:line="276" w:lineRule="auto"/>
        <w:outlineLvl w:val="1"/>
        <w:rPr>
          <w:rFonts w:ascii="Times New Roman" w:hAnsi="Times New Roman"/>
          <w:b/>
          <w:bCs/>
          <w:sz w:val="28"/>
          <w:szCs w:val="28"/>
        </w:rPr>
      </w:pPr>
      <w:bookmarkStart w:id="1075" w:name="_Toc32511734"/>
      <w:bookmarkStart w:id="1076" w:name="_Toc51072718"/>
      <w:bookmarkStart w:id="1077" w:name="_Toc32340840"/>
      <w:r w:rsidRPr="002E262E">
        <w:rPr>
          <w:rFonts w:ascii="Times New Roman" w:hAnsi="Times New Roman"/>
          <w:b/>
          <w:bCs/>
          <w:sz w:val="28"/>
          <w:szCs w:val="28"/>
        </w:rPr>
        <w:t>Réception des travaux</w:t>
      </w:r>
      <w:bookmarkEnd w:id="1075"/>
      <w:bookmarkEnd w:id="1076"/>
      <w:r w:rsidRPr="002E262E">
        <w:rPr>
          <w:rFonts w:ascii="Times New Roman" w:hAnsi="Times New Roman"/>
          <w:b/>
          <w:bCs/>
          <w:sz w:val="28"/>
          <w:szCs w:val="28"/>
        </w:rPr>
        <w:t> </w:t>
      </w:r>
      <w:bookmarkEnd w:id="1077"/>
    </w:p>
    <w:p w:rsidR="000B53EE" w:rsidRPr="000B53EE" w:rsidRDefault="000B53EE" w:rsidP="000B53EE">
      <w:pPr>
        <w:pStyle w:val="SolbaseNormal"/>
        <w:spacing w:after="0"/>
        <w:ind w:left="0"/>
        <w:rPr>
          <w:rFonts w:ascii="Times New Roman" w:hAnsi="Times New Roman"/>
          <w:sz w:val="22"/>
          <w:szCs w:val="22"/>
        </w:rPr>
      </w:pPr>
      <w:r w:rsidRPr="000B53EE">
        <w:rPr>
          <w:rFonts w:ascii="Times New Roman" w:hAnsi="Times New Roman"/>
          <w:sz w:val="22"/>
          <w:szCs w:val="22"/>
        </w:rPr>
        <w:t>Le non-respect des présentes clauses expose l’Entrepreneur au refus de réception provisoire ou définitive des travaux, par la Commission de réception.</w:t>
      </w:r>
    </w:p>
    <w:p w:rsidR="000B53EE" w:rsidRPr="000B53EE" w:rsidRDefault="000B53EE" w:rsidP="000B53EE">
      <w:pPr>
        <w:pStyle w:val="SolbaseNormal"/>
        <w:spacing w:after="0"/>
        <w:ind w:left="0"/>
        <w:rPr>
          <w:rFonts w:ascii="Times New Roman" w:hAnsi="Times New Roman"/>
          <w:sz w:val="22"/>
          <w:szCs w:val="22"/>
        </w:rPr>
      </w:pPr>
      <w:r w:rsidRPr="000B53EE">
        <w:rPr>
          <w:rFonts w:ascii="Times New Roman" w:hAnsi="Times New Roman"/>
          <w:sz w:val="22"/>
          <w:szCs w:val="22"/>
        </w:rPr>
        <w:t>L’exécution de chaque mesure environnementale et sociale peut faire l’objet d’une réception partielle impliquant les services compétents concernés.</w:t>
      </w:r>
    </w:p>
    <w:p w:rsidR="000B53EE" w:rsidRPr="002E262E" w:rsidRDefault="000B53EE" w:rsidP="00FA3FAE">
      <w:pPr>
        <w:pStyle w:val="SolbaseNormal"/>
        <w:numPr>
          <w:ilvl w:val="0"/>
          <w:numId w:val="213"/>
        </w:numPr>
        <w:spacing w:before="120" w:line="276" w:lineRule="auto"/>
        <w:outlineLvl w:val="1"/>
        <w:rPr>
          <w:rFonts w:ascii="Times New Roman" w:hAnsi="Times New Roman"/>
          <w:b/>
          <w:bCs/>
          <w:sz w:val="28"/>
          <w:szCs w:val="28"/>
        </w:rPr>
      </w:pPr>
      <w:bookmarkStart w:id="1078" w:name="_Toc32511735"/>
      <w:bookmarkStart w:id="1079" w:name="_Toc51072719"/>
      <w:bookmarkStart w:id="1080" w:name="_Toc32340841"/>
      <w:r w:rsidRPr="002E262E">
        <w:rPr>
          <w:rFonts w:ascii="Times New Roman" w:hAnsi="Times New Roman"/>
          <w:b/>
          <w:bCs/>
          <w:sz w:val="28"/>
          <w:szCs w:val="28"/>
        </w:rPr>
        <w:t>Obligations au titre de la garantie</w:t>
      </w:r>
      <w:bookmarkEnd w:id="1078"/>
      <w:bookmarkEnd w:id="1079"/>
      <w:r w:rsidRPr="002E262E">
        <w:rPr>
          <w:rFonts w:ascii="Times New Roman" w:hAnsi="Times New Roman"/>
          <w:b/>
          <w:bCs/>
          <w:sz w:val="28"/>
          <w:szCs w:val="28"/>
        </w:rPr>
        <w:t> </w:t>
      </w:r>
      <w:bookmarkEnd w:id="1080"/>
    </w:p>
    <w:p w:rsidR="000B53EE" w:rsidRPr="000B53EE" w:rsidRDefault="000B53EE" w:rsidP="000B53EE">
      <w:pPr>
        <w:pStyle w:val="SolbaseNormal"/>
        <w:spacing w:after="0"/>
        <w:ind w:left="0"/>
        <w:rPr>
          <w:rFonts w:ascii="Times New Roman" w:hAnsi="Times New Roman"/>
          <w:sz w:val="22"/>
          <w:szCs w:val="22"/>
        </w:rPr>
      </w:pPr>
      <w:r w:rsidRPr="000B53EE">
        <w:rPr>
          <w:rFonts w:ascii="Times New Roman" w:hAnsi="Times New Roman"/>
          <w:sz w:val="22"/>
          <w:szCs w:val="22"/>
        </w:rPr>
        <w:t>Les obligations de l’Entrepreneur courent jusqu’à la réception définitive des travaux qui ne sera acquise qu’après complète exécution des travaux d’amélioration de l’environnement prévus au contrat.</w:t>
      </w:r>
    </w:p>
    <w:p w:rsidR="000B53EE" w:rsidRPr="000022F7" w:rsidRDefault="000B53EE" w:rsidP="00FA3FAE">
      <w:pPr>
        <w:pStyle w:val="Style9"/>
        <w:keepLines w:val="0"/>
        <w:numPr>
          <w:ilvl w:val="0"/>
          <w:numId w:val="211"/>
        </w:numPr>
        <w:spacing w:after="60" w:line="276" w:lineRule="auto"/>
        <w:jc w:val="both"/>
        <w:rPr>
          <w:rFonts w:ascii="Times New Roman" w:hAnsi="Times New Roman"/>
          <w:sz w:val="28"/>
          <w:szCs w:val="28"/>
        </w:rPr>
      </w:pPr>
      <w:bookmarkStart w:id="1081" w:name="_Toc32340842"/>
      <w:bookmarkStart w:id="1082" w:name="_Toc32511736"/>
      <w:bookmarkStart w:id="1083" w:name="_Toc51072720"/>
      <w:r w:rsidRPr="000022F7">
        <w:rPr>
          <w:rFonts w:ascii="Times New Roman" w:hAnsi="Times New Roman"/>
          <w:sz w:val="28"/>
          <w:szCs w:val="28"/>
        </w:rPr>
        <w:t>DISPOSITIONS PREALABLES</w:t>
      </w:r>
      <w:r>
        <w:rPr>
          <w:rFonts w:ascii="Times New Roman" w:hAnsi="Times New Roman"/>
          <w:sz w:val="28"/>
          <w:szCs w:val="28"/>
        </w:rPr>
        <w:t xml:space="preserve"> SUR</w:t>
      </w:r>
      <w:r w:rsidRPr="000022F7">
        <w:rPr>
          <w:rFonts w:ascii="Times New Roman" w:hAnsi="Times New Roman"/>
          <w:sz w:val="28"/>
          <w:szCs w:val="28"/>
        </w:rPr>
        <w:t xml:space="preserve"> LES VBG</w:t>
      </w:r>
      <w:bookmarkEnd w:id="1081"/>
      <w:bookmarkEnd w:id="1082"/>
      <w:bookmarkEnd w:id="1083"/>
    </w:p>
    <w:p w:rsidR="000B53EE" w:rsidRPr="000B53EE" w:rsidRDefault="000B53EE" w:rsidP="000B53EE">
      <w:pPr>
        <w:pStyle w:val="SolbaseNormal"/>
        <w:spacing w:after="0"/>
        <w:ind w:left="0"/>
        <w:rPr>
          <w:rFonts w:ascii="Times New Roman" w:hAnsi="Times New Roman"/>
          <w:sz w:val="22"/>
          <w:szCs w:val="22"/>
        </w:rPr>
      </w:pPr>
      <w:r w:rsidRPr="000B53EE">
        <w:rPr>
          <w:rFonts w:ascii="Times New Roman" w:hAnsi="Times New Roman"/>
          <w:sz w:val="22"/>
          <w:szCs w:val="22"/>
        </w:rPr>
        <w:t>L’entrepreneur doit présenter le Code de conduite (ESHS) qui s'appliquera à son personnel de chantier, afin d'assurer le respect de ses obligations Environnementales, Sociales, Santé et Sécurité (ESSS) en vertu du contrat.</w:t>
      </w:r>
    </w:p>
    <w:p w:rsidR="000B53EE" w:rsidRPr="000B53EE" w:rsidRDefault="000B53EE" w:rsidP="000B53EE">
      <w:pPr>
        <w:pStyle w:val="SolbaseNormal"/>
        <w:spacing w:after="0"/>
        <w:ind w:left="0"/>
        <w:rPr>
          <w:rFonts w:ascii="Times New Roman" w:hAnsi="Times New Roman"/>
          <w:sz w:val="22"/>
          <w:szCs w:val="22"/>
        </w:rPr>
      </w:pPr>
      <w:r w:rsidRPr="000B53EE">
        <w:rPr>
          <w:rFonts w:ascii="Times New Roman" w:hAnsi="Times New Roman"/>
          <w:sz w:val="22"/>
          <w:szCs w:val="22"/>
        </w:rPr>
        <w:t xml:space="preserve">En outre, il doit détailler la façon dont ce Code de Conduite sera mis en œuvre. Cela comprendra: </w:t>
      </w:r>
    </w:p>
    <w:p w:rsidR="000B53EE" w:rsidRPr="000B53EE" w:rsidRDefault="000B53EE" w:rsidP="000B53EE">
      <w:pPr>
        <w:pStyle w:val="SolbaseNormal"/>
        <w:spacing w:after="0"/>
        <w:ind w:left="0"/>
        <w:rPr>
          <w:rFonts w:ascii="Times New Roman" w:hAnsi="Times New Roman"/>
          <w:sz w:val="22"/>
          <w:szCs w:val="22"/>
        </w:rPr>
      </w:pPr>
      <w:r w:rsidRPr="000B53EE">
        <w:rPr>
          <w:rFonts w:ascii="Times New Roman" w:hAnsi="Times New Roman"/>
          <w:sz w:val="22"/>
          <w:szCs w:val="22"/>
        </w:rPr>
        <w:t xml:space="preserve">comment sera-t-il introduit dans les conditions d'emploi/d'engagement ? </w:t>
      </w:r>
    </w:p>
    <w:p w:rsidR="000B53EE" w:rsidRPr="000B53EE" w:rsidRDefault="000B53EE" w:rsidP="000B53EE">
      <w:pPr>
        <w:pStyle w:val="SolbaseNormal"/>
        <w:spacing w:after="0"/>
        <w:ind w:left="0"/>
        <w:rPr>
          <w:rFonts w:ascii="Times New Roman" w:hAnsi="Times New Roman"/>
          <w:sz w:val="22"/>
          <w:szCs w:val="22"/>
        </w:rPr>
      </w:pPr>
      <w:r w:rsidRPr="000B53EE">
        <w:rPr>
          <w:rFonts w:ascii="Times New Roman" w:hAnsi="Times New Roman"/>
          <w:sz w:val="22"/>
          <w:szCs w:val="22"/>
        </w:rPr>
        <w:t xml:space="preserve">quelle formation sera dispensée ? </w:t>
      </w:r>
    </w:p>
    <w:p w:rsidR="000B53EE" w:rsidRPr="000B53EE" w:rsidRDefault="000B53EE" w:rsidP="000B53EE">
      <w:pPr>
        <w:pStyle w:val="SolbaseNormal"/>
        <w:spacing w:after="0"/>
        <w:ind w:left="0"/>
        <w:rPr>
          <w:rFonts w:ascii="Times New Roman" w:hAnsi="Times New Roman"/>
          <w:sz w:val="22"/>
          <w:szCs w:val="22"/>
        </w:rPr>
      </w:pPr>
      <w:r w:rsidRPr="000B53EE">
        <w:rPr>
          <w:rFonts w:ascii="Times New Roman" w:hAnsi="Times New Roman"/>
          <w:sz w:val="22"/>
          <w:szCs w:val="22"/>
        </w:rPr>
        <w:t>comment sera-t-elle surveillée et comment l’entrepreneur propose de traiter toute violation?</w:t>
      </w:r>
    </w:p>
    <w:p w:rsidR="000B53EE" w:rsidRPr="002E262E" w:rsidRDefault="000B53EE" w:rsidP="00FA3FAE">
      <w:pPr>
        <w:pStyle w:val="SolbaseNormal"/>
        <w:numPr>
          <w:ilvl w:val="0"/>
          <w:numId w:val="214"/>
        </w:numPr>
        <w:spacing w:before="120" w:line="276" w:lineRule="auto"/>
        <w:outlineLvl w:val="1"/>
        <w:rPr>
          <w:rFonts w:ascii="Times New Roman" w:hAnsi="Times New Roman"/>
          <w:b/>
          <w:bCs/>
          <w:sz w:val="28"/>
          <w:szCs w:val="28"/>
        </w:rPr>
      </w:pPr>
      <w:bookmarkStart w:id="1084" w:name="_Toc32511737"/>
      <w:bookmarkStart w:id="1085" w:name="_Toc51072721"/>
      <w:bookmarkStart w:id="1086" w:name="_Toc32340843"/>
      <w:r w:rsidRPr="002E262E">
        <w:rPr>
          <w:rFonts w:ascii="Times New Roman" w:hAnsi="Times New Roman"/>
          <w:b/>
          <w:bCs/>
          <w:sz w:val="28"/>
          <w:szCs w:val="28"/>
        </w:rPr>
        <w:t>Obligations de l'Entrepreneur sur les VBG</w:t>
      </w:r>
      <w:bookmarkEnd w:id="1084"/>
      <w:bookmarkEnd w:id="1085"/>
      <w:r w:rsidRPr="002E262E">
        <w:rPr>
          <w:rFonts w:ascii="Times New Roman" w:hAnsi="Times New Roman"/>
          <w:b/>
          <w:bCs/>
          <w:sz w:val="28"/>
          <w:szCs w:val="28"/>
        </w:rPr>
        <w:t xml:space="preserve"> </w:t>
      </w:r>
      <w:bookmarkEnd w:id="1086"/>
    </w:p>
    <w:p w:rsidR="000B53EE" w:rsidRPr="000B53EE" w:rsidRDefault="000B53EE" w:rsidP="000B53EE">
      <w:pPr>
        <w:pStyle w:val="SolbaseNormal"/>
        <w:spacing w:after="0"/>
        <w:ind w:left="0"/>
        <w:rPr>
          <w:rFonts w:ascii="Times New Roman" w:hAnsi="Times New Roman"/>
          <w:sz w:val="22"/>
          <w:szCs w:val="22"/>
        </w:rPr>
      </w:pPr>
      <w:r w:rsidRPr="000B53EE">
        <w:rPr>
          <w:rFonts w:ascii="Times New Roman" w:hAnsi="Times New Roman"/>
          <w:sz w:val="22"/>
          <w:szCs w:val="22"/>
        </w:rPr>
        <w:t>préparer et mettre en œuvre un Plan de Sensibilisation du Genre conformément aux exigences de l'Employeur;</w:t>
      </w:r>
    </w:p>
    <w:p w:rsidR="000B53EE" w:rsidRPr="000B53EE" w:rsidRDefault="000B53EE" w:rsidP="000B53EE">
      <w:pPr>
        <w:pStyle w:val="SolbaseNormal"/>
        <w:spacing w:after="0"/>
        <w:ind w:left="0"/>
        <w:rPr>
          <w:rFonts w:ascii="Times New Roman" w:hAnsi="Times New Roman"/>
          <w:sz w:val="22"/>
          <w:szCs w:val="22"/>
        </w:rPr>
      </w:pPr>
      <w:r w:rsidRPr="000B53EE">
        <w:rPr>
          <w:rFonts w:ascii="Times New Roman" w:hAnsi="Times New Roman"/>
          <w:sz w:val="22"/>
          <w:szCs w:val="22"/>
        </w:rPr>
        <w:t>assurer un salaire égal aux hommes et aux femmes pour un travail de valeur égale, conformément aux lois nationales et aux obligations conventionnelles internationales et payer les femmes directement leurs salaires;</w:t>
      </w:r>
    </w:p>
    <w:p w:rsidR="000B53EE" w:rsidRPr="000B53EE" w:rsidRDefault="000B53EE" w:rsidP="000B53EE">
      <w:pPr>
        <w:pStyle w:val="SolbaseNormal"/>
        <w:spacing w:after="0"/>
        <w:ind w:left="0"/>
        <w:rPr>
          <w:rFonts w:ascii="Times New Roman" w:hAnsi="Times New Roman"/>
          <w:sz w:val="22"/>
          <w:szCs w:val="22"/>
        </w:rPr>
      </w:pPr>
      <w:r w:rsidRPr="000B53EE">
        <w:rPr>
          <w:rFonts w:ascii="Times New Roman" w:hAnsi="Times New Roman"/>
          <w:sz w:val="22"/>
          <w:szCs w:val="22"/>
        </w:rPr>
        <w:t>ne pas payer ses employés moins que le salaire minimum en vertu de la loi applicable;</w:t>
      </w:r>
    </w:p>
    <w:p w:rsidR="000B53EE" w:rsidRPr="000B53EE" w:rsidRDefault="000B53EE" w:rsidP="000B53EE">
      <w:pPr>
        <w:pStyle w:val="SolbaseNormal"/>
        <w:spacing w:after="0"/>
        <w:ind w:left="0"/>
        <w:rPr>
          <w:rFonts w:ascii="Times New Roman" w:hAnsi="Times New Roman"/>
          <w:sz w:val="22"/>
          <w:szCs w:val="22"/>
        </w:rPr>
      </w:pPr>
      <w:r w:rsidRPr="000B53EE">
        <w:rPr>
          <w:rFonts w:ascii="Times New Roman" w:hAnsi="Times New Roman"/>
          <w:sz w:val="22"/>
          <w:szCs w:val="22"/>
        </w:rPr>
        <w:t>fournir des conditions de travail sûres et sécurisées aux travailleurs masculins et féminins; et,</w:t>
      </w:r>
    </w:p>
    <w:p w:rsidR="000B53EE" w:rsidRPr="000B53EE" w:rsidRDefault="000B53EE" w:rsidP="000B53EE">
      <w:pPr>
        <w:pStyle w:val="SolbaseNormal"/>
        <w:spacing w:after="0"/>
        <w:ind w:left="0"/>
        <w:rPr>
          <w:rFonts w:ascii="Times New Roman" w:hAnsi="Times New Roman"/>
          <w:sz w:val="22"/>
          <w:szCs w:val="22"/>
        </w:rPr>
      </w:pPr>
      <w:r w:rsidRPr="000B53EE">
        <w:rPr>
          <w:rFonts w:ascii="Times New Roman" w:hAnsi="Times New Roman"/>
          <w:sz w:val="22"/>
          <w:szCs w:val="22"/>
        </w:rPr>
        <w:t>se conformer aux lois du travail en vigueur et s'abstenir du travail des enfants.</w:t>
      </w:r>
    </w:p>
    <w:p w:rsidR="000B53EE" w:rsidRPr="000B53EE" w:rsidRDefault="000B53EE" w:rsidP="000B53EE">
      <w:pPr>
        <w:pStyle w:val="SolbaseNormal"/>
        <w:spacing w:after="0"/>
        <w:ind w:left="0"/>
        <w:rPr>
          <w:rFonts w:ascii="Times New Roman" w:hAnsi="Times New Roman"/>
          <w:sz w:val="22"/>
          <w:szCs w:val="22"/>
        </w:rPr>
      </w:pPr>
      <w:r w:rsidRPr="000B53EE">
        <w:rPr>
          <w:rFonts w:ascii="Times New Roman" w:hAnsi="Times New Roman"/>
          <w:sz w:val="22"/>
          <w:szCs w:val="22"/>
        </w:rPr>
        <w:t>Développer : (i) des Codes de Conduite sur la Violence Basée sur le Genre (VBG) et l'Abus/l'Exploitation des Enfants (AEE) ; et (ii) un Plan d'Action pour atténuer et répondre à la VBG et à l’AEE au sein de l'entreprise et de la communauté.</w:t>
      </w:r>
    </w:p>
    <w:p w:rsidR="000B53EE" w:rsidRPr="000B53EE" w:rsidRDefault="000B53EE" w:rsidP="000B53EE">
      <w:pPr>
        <w:pStyle w:val="SolbaseNormal"/>
        <w:spacing w:after="0"/>
        <w:ind w:left="0"/>
        <w:rPr>
          <w:rFonts w:ascii="Times New Roman" w:hAnsi="Times New Roman"/>
          <w:sz w:val="22"/>
          <w:szCs w:val="22"/>
        </w:rPr>
      </w:pPr>
      <w:r w:rsidRPr="000B53EE">
        <w:rPr>
          <w:rFonts w:ascii="Times New Roman" w:hAnsi="Times New Roman"/>
          <w:sz w:val="22"/>
          <w:szCs w:val="22"/>
        </w:rPr>
        <w:t>Décrire les responsabilités : (i) de l'entreprise à créer une culture positive pour son lieu de travail et ses employés ; (ii) des gestionnaires pour s'assurer que cette culture est mise en œuvre ; et (iii) des individus à adhérer aux principes de cette culture et à ne pas s'engager dans la VBG et/ou AEE.</w:t>
      </w:r>
    </w:p>
    <w:p w:rsidR="000B53EE" w:rsidRPr="002E262E" w:rsidRDefault="000B53EE" w:rsidP="00FA3FAE">
      <w:pPr>
        <w:pStyle w:val="SolbaseNormal"/>
        <w:numPr>
          <w:ilvl w:val="0"/>
          <w:numId w:val="214"/>
        </w:numPr>
        <w:spacing w:before="120" w:line="276" w:lineRule="auto"/>
        <w:outlineLvl w:val="1"/>
        <w:rPr>
          <w:rFonts w:ascii="Times New Roman" w:hAnsi="Times New Roman"/>
          <w:b/>
          <w:bCs/>
          <w:sz w:val="28"/>
          <w:szCs w:val="28"/>
        </w:rPr>
      </w:pPr>
      <w:bookmarkStart w:id="1087" w:name="_Toc32511738"/>
      <w:bookmarkStart w:id="1088" w:name="_Toc51072722"/>
      <w:bookmarkStart w:id="1089" w:name="_Toc32340844"/>
      <w:r w:rsidRPr="002E262E">
        <w:rPr>
          <w:rFonts w:ascii="Times New Roman" w:hAnsi="Times New Roman"/>
          <w:b/>
          <w:bCs/>
          <w:sz w:val="28"/>
          <w:szCs w:val="28"/>
        </w:rPr>
        <w:t>Formations sur les VBG</w:t>
      </w:r>
      <w:bookmarkEnd w:id="1087"/>
      <w:bookmarkEnd w:id="1088"/>
      <w:r w:rsidRPr="002E262E">
        <w:rPr>
          <w:rFonts w:ascii="Times New Roman" w:hAnsi="Times New Roman"/>
          <w:b/>
          <w:bCs/>
          <w:sz w:val="28"/>
          <w:szCs w:val="28"/>
        </w:rPr>
        <w:t xml:space="preserve"> </w:t>
      </w:r>
      <w:bookmarkEnd w:id="1089"/>
    </w:p>
    <w:p w:rsidR="000B53EE" w:rsidRPr="000B53EE" w:rsidRDefault="000B53EE" w:rsidP="000B53EE">
      <w:pPr>
        <w:pStyle w:val="SolbaseNormal"/>
        <w:spacing w:after="0"/>
        <w:ind w:left="0"/>
        <w:rPr>
          <w:rFonts w:ascii="Times New Roman" w:hAnsi="Times New Roman"/>
          <w:sz w:val="22"/>
          <w:szCs w:val="22"/>
        </w:rPr>
      </w:pPr>
      <w:r w:rsidRPr="000B53EE">
        <w:rPr>
          <w:rFonts w:ascii="Times New Roman" w:hAnsi="Times New Roman"/>
          <w:sz w:val="22"/>
          <w:szCs w:val="22"/>
        </w:rPr>
        <w:t>Tous les employés (y compris les gestionnaires) devront suivre une formation avant de commencer les travaux afin de renforcer leur compréhension du VIH/sida, de la Violence Basée sur le Genre (VBG) et de l’Abus/Exploitation des Enfants (AEE). Par la suite, les employés doivent suivre un cours de formation obligatoire au moins une fois par mois pendant la durée de la mobilisation.</w:t>
      </w:r>
    </w:p>
    <w:p w:rsidR="000B53EE" w:rsidRPr="000B53EE" w:rsidRDefault="000B53EE" w:rsidP="000B53EE">
      <w:pPr>
        <w:pStyle w:val="SolbaseNormal"/>
        <w:spacing w:after="0"/>
        <w:ind w:left="0"/>
        <w:rPr>
          <w:rFonts w:ascii="Times New Roman" w:hAnsi="Times New Roman"/>
          <w:sz w:val="22"/>
          <w:szCs w:val="22"/>
        </w:rPr>
      </w:pPr>
      <w:r w:rsidRPr="000B53EE">
        <w:rPr>
          <w:rFonts w:ascii="Times New Roman" w:hAnsi="Times New Roman"/>
          <w:sz w:val="22"/>
          <w:szCs w:val="22"/>
        </w:rPr>
        <w:t>La formation doit être effectuée par les prestataires locaux identifiés par le client pour le contractant, le client et le personnel de supervision technique pendant la durée du contrat. Les communautés locales peuvent également participer si nécessaire.</w:t>
      </w:r>
    </w:p>
    <w:p w:rsidR="000B53EE" w:rsidRPr="000B53EE" w:rsidRDefault="000B53EE" w:rsidP="000B53EE">
      <w:pPr>
        <w:pStyle w:val="SolbaseNormal"/>
        <w:spacing w:after="0"/>
        <w:ind w:left="0"/>
        <w:rPr>
          <w:rFonts w:ascii="Times New Roman" w:hAnsi="Times New Roman"/>
          <w:sz w:val="22"/>
          <w:szCs w:val="22"/>
        </w:rPr>
      </w:pPr>
      <w:r w:rsidRPr="000B53EE">
        <w:rPr>
          <w:rFonts w:ascii="Times New Roman" w:hAnsi="Times New Roman"/>
          <w:sz w:val="22"/>
          <w:szCs w:val="22"/>
        </w:rPr>
        <w:t xml:space="preserve">Le financement de la prestation de la formation, et le temps du participant, sont inclus dans le devis quantitatif du projet à titre de somme provisoire. </w:t>
      </w:r>
    </w:p>
    <w:p w:rsidR="000B53EE" w:rsidRPr="000B53EE" w:rsidRDefault="000B53EE" w:rsidP="00FA3FAE">
      <w:pPr>
        <w:pStyle w:val="Style9"/>
        <w:keepLines w:val="0"/>
        <w:numPr>
          <w:ilvl w:val="0"/>
          <w:numId w:val="211"/>
        </w:numPr>
        <w:spacing w:after="60" w:line="276" w:lineRule="auto"/>
        <w:jc w:val="both"/>
        <w:rPr>
          <w:rFonts w:ascii="Times New Roman" w:hAnsi="Times New Roman"/>
          <w:sz w:val="28"/>
          <w:szCs w:val="28"/>
          <w:lang w:val="fr-FR"/>
        </w:rPr>
      </w:pPr>
      <w:bookmarkStart w:id="1090" w:name="_Toc32511739"/>
      <w:bookmarkStart w:id="1091" w:name="_Toc51072723"/>
      <w:bookmarkStart w:id="1092" w:name="_Toc32340845"/>
      <w:r w:rsidRPr="000B53EE">
        <w:rPr>
          <w:rFonts w:ascii="Times New Roman" w:hAnsi="Times New Roman"/>
          <w:sz w:val="28"/>
          <w:szCs w:val="28"/>
          <w:lang w:val="fr-FR"/>
        </w:rPr>
        <w:lastRenderedPageBreak/>
        <w:t>ACTE DE CONSENTEMENT DE L’ENTREPRENEUR POUR LES VBG</w:t>
      </w:r>
      <w:bookmarkEnd w:id="1090"/>
      <w:bookmarkEnd w:id="1091"/>
      <w:r w:rsidRPr="000B53EE">
        <w:rPr>
          <w:rFonts w:ascii="Times New Roman" w:hAnsi="Times New Roman"/>
          <w:sz w:val="28"/>
          <w:szCs w:val="28"/>
          <w:lang w:val="fr-FR"/>
        </w:rPr>
        <w:t xml:space="preserve"> </w:t>
      </w:r>
      <w:bookmarkEnd w:id="1092"/>
    </w:p>
    <w:p w:rsidR="000B53EE" w:rsidRPr="000B53EE" w:rsidRDefault="000B53EE" w:rsidP="000B53EE">
      <w:pPr>
        <w:pStyle w:val="SolbaseNormal"/>
        <w:spacing w:after="0" w:line="276" w:lineRule="auto"/>
        <w:ind w:left="360"/>
        <w:rPr>
          <w:rFonts w:ascii="Times New Roman" w:hAnsi="Times New Roman"/>
          <w:sz w:val="22"/>
          <w:szCs w:val="22"/>
          <w:lang w:val="fr-BE"/>
        </w:rPr>
      </w:pPr>
      <w:r w:rsidRPr="000B53EE">
        <w:rPr>
          <w:rFonts w:ascii="Times New Roman" w:hAnsi="Times New Roman"/>
          <w:sz w:val="22"/>
          <w:szCs w:val="22"/>
          <w:lang w:val="fr-BE"/>
        </w:rPr>
        <w:t>Je _______________________, consens que tout en travaillant sur le sous-projet n°1, je vais:</w:t>
      </w:r>
    </w:p>
    <w:p w:rsidR="000B53EE" w:rsidRPr="000B53EE" w:rsidRDefault="000B53EE" w:rsidP="00FA3FAE">
      <w:pPr>
        <w:pStyle w:val="SolbaseNormal"/>
        <w:numPr>
          <w:ilvl w:val="0"/>
          <w:numId w:val="205"/>
        </w:numPr>
        <w:spacing w:after="0" w:line="276" w:lineRule="auto"/>
        <w:rPr>
          <w:rFonts w:ascii="Times New Roman" w:hAnsi="Times New Roman"/>
          <w:sz w:val="22"/>
          <w:szCs w:val="22"/>
          <w:lang w:val="fr-BE"/>
        </w:rPr>
      </w:pPr>
      <w:r w:rsidRPr="000B53EE">
        <w:rPr>
          <w:rFonts w:ascii="Times New Roman" w:hAnsi="Times New Roman"/>
          <w:sz w:val="22"/>
          <w:szCs w:val="22"/>
          <w:lang w:val="fr-BE"/>
        </w:rPr>
        <w:t>consentir à la vérification des antécédents policiers.</w:t>
      </w:r>
    </w:p>
    <w:p w:rsidR="000B53EE" w:rsidRPr="000B53EE" w:rsidRDefault="000B53EE" w:rsidP="00FA3FAE">
      <w:pPr>
        <w:pStyle w:val="SolbaseNormal"/>
        <w:numPr>
          <w:ilvl w:val="0"/>
          <w:numId w:val="205"/>
        </w:numPr>
        <w:spacing w:after="0" w:line="276" w:lineRule="auto"/>
        <w:rPr>
          <w:rFonts w:ascii="Times New Roman" w:hAnsi="Times New Roman"/>
          <w:sz w:val="22"/>
          <w:szCs w:val="22"/>
          <w:lang w:val="fr-BE"/>
        </w:rPr>
      </w:pPr>
      <w:r w:rsidRPr="000B53EE">
        <w:rPr>
          <w:rFonts w:ascii="Times New Roman" w:hAnsi="Times New Roman"/>
          <w:sz w:val="22"/>
          <w:szCs w:val="22"/>
          <w:lang w:val="fr-BE"/>
        </w:rPr>
        <w:t>traiter les femmes, les enfants (personnes de moins de 18 ans), et les hommes avec respect quelle que soit leur race, couleur, langue, religion, opinion politique ou autre, origine nationale, ethnique ou sociale, propriété, handicap, naissance ou autre statut.</w:t>
      </w:r>
    </w:p>
    <w:p w:rsidR="000B53EE" w:rsidRPr="000B53EE" w:rsidRDefault="000B53EE" w:rsidP="00FA3FAE">
      <w:pPr>
        <w:pStyle w:val="SolbaseNormal"/>
        <w:numPr>
          <w:ilvl w:val="0"/>
          <w:numId w:val="205"/>
        </w:numPr>
        <w:spacing w:after="0" w:line="276" w:lineRule="auto"/>
        <w:rPr>
          <w:rFonts w:ascii="Times New Roman" w:hAnsi="Times New Roman"/>
          <w:sz w:val="22"/>
          <w:szCs w:val="22"/>
          <w:lang w:val="fr-BE"/>
        </w:rPr>
      </w:pPr>
      <w:r w:rsidRPr="000B53EE">
        <w:rPr>
          <w:rFonts w:ascii="Times New Roman" w:hAnsi="Times New Roman"/>
          <w:sz w:val="22"/>
          <w:szCs w:val="22"/>
          <w:lang w:val="fr-BE"/>
        </w:rPr>
        <w:t>ne pas utiliser de langage ou de comportement envers les femmes, les enfants ou les hommes qui ne sont pas appropriés, harcelants, abusifs, sexuellement provocateurs, dégradants ou culturellement inappropriés.</w:t>
      </w:r>
    </w:p>
    <w:p w:rsidR="000B53EE" w:rsidRPr="000B53EE" w:rsidRDefault="000B53EE" w:rsidP="00FA3FAE">
      <w:pPr>
        <w:pStyle w:val="SolbaseNormal"/>
        <w:numPr>
          <w:ilvl w:val="0"/>
          <w:numId w:val="205"/>
        </w:numPr>
        <w:spacing w:after="0" w:line="276" w:lineRule="auto"/>
        <w:rPr>
          <w:rFonts w:ascii="Times New Roman" w:hAnsi="Times New Roman"/>
          <w:sz w:val="22"/>
          <w:szCs w:val="22"/>
          <w:lang w:val="fr-BE"/>
        </w:rPr>
      </w:pPr>
      <w:r w:rsidRPr="000B53EE">
        <w:rPr>
          <w:rFonts w:ascii="Times New Roman" w:hAnsi="Times New Roman"/>
          <w:sz w:val="22"/>
          <w:szCs w:val="22"/>
          <w:lang w:val="fr-BE"/>
        </w:rPr>
        <w:t>ne pas participer à un contact sexuel ou à une activité avec des enfants - y compris le « grooming » (l'action de manipuler sur internet les enfants à des fins sexuelles) ou le contact par le biais de médias numériques. La méconnaissance de l'âge d'un enfant n'est pas une défense. Le consentement de l'enfant n'est pas non plus une défense ou une excuse.</w:t>
      </w:r>
    </w:p>
    <w:p w:rsidR="000B53EE" w:rsidRPr="000B53EE" w:rsidRDefault="000B53EE" w:rsidP="00FA3FAE">
      <w:pPr>
        <w:pStyle w:val="SolbaseNormal"/>
        <w:numPr>
          <w:ilvl w:val="0"/>
          <w:numId w:val="205"/>
        </w:numPr>
        <w:spacing w:after="0" w:line="276" w:lineRule="auto"/>
        <w:rPr>
          <w:rFonts w:ascii="Times New Roman" w:hAnsi="Times New Roman"/>
          <w:sz w:val="22"/>
          <w:szCs w:val="22"/>
          <w:lang w:val="fr-BE"/>
        </w:rPr>
      </w:pPr>
      <w:r w:rsidRPr="000B53EE">
        <w:rPr>
          <w:rFonts w:ascii="Times New Roman" w:hAnsi="Times New Roman"/>
          <w:sz w:val="22"/>
          <w:szCs w:val="22"/>
          <w:lang w:val="fr-BE"/>
        </w:rPr>
        <w:t>ne pas s'engager dans des faveurs sexuelles - par exemple, faire des promesses ou un traitement favorable dépendant d'actes sexuels - ou d'autres formes de comportement humiliant, dégradant ou abusif.</w:t>
      </w:r>
    </w:p>
    <w:p w:rsidR="000B53EE" w:rsidRPr="000B53EE" w:rsidRDefault="000B53EE" w:rsidP="00FA3FAE">
      <w:pPr>
        <w:pStyle w:val="SolbaseNormal"/>
        <w:numPr>
          <w:ilvl w:val="0"/>
          <w:numId w:val="205"/>
        </w:numPr>
        <w:spacing w:after="0" w:line="276" w:lineRule="auto"/>
        <w:rPr>
          <w:rFonts w:ascii="Times New Roman" w:hAnsi="Times New Roman"/>
          <w:sz w:val="22"/>
          <w:szCs w:val="22"/>
          <w:lang w:val="fr-BE"/>
        </w:rPr>
      </w:pPr>
      <w:r w:rsidRPr="000B53EE">
        <w:rPr>
          <w:rFonts w:ascii="Times New Roman" w:hAnsi="Times New Roman"/>
          <w:sz w:val="22"/>
          <w:szCs w:val="22"/>
          <w:lang w:val="fr-BE"/>
        </w:rPr>
        <w:t>à moins d'avoir le  consentement de toutes les parties concernées, je n'aurai pas d'interactions sexuelles avec les membres des communautés environnantes. Cela comprend les relations impliquant la rétention ou la promesse de versement d'un avantage monétaire ou non monétaire aux membres de la communauté en échange de rapports sexuels - une telle activité sexuelle est considérée comme « non consensuelle » dans le cadre de ce Code.</w:t>
      </w:r>
    </w:p>
    <w:p w:rsidR="000B53EE" w:rsidRPr="000B53EE" w:rsidRDefault="000B53EE" w:rsidP="00FA3FAE">
      <w:pPr>
        <w:pStyle w:val="SolbaseNormal"/>
        <w:numPr>
          <w:ilvl w:val="0"/>
          <w:numId w:val="205"/>
        </w:numPr>
        <w:spacing w:after="0" w:line="276" w:lineRule="auto"/>
        <w:rPr>
          <w:rFonts w:ascii="Times New Roman" w:hAnsi="Times New Roman"/>
          <w:sz w:val="22"/>
          <w:szCs w:val="22"/>
          <w:lang w:val="fr-BE"/>
        </w:rPr>
      </w:pPr>
      <w:r w:rsidRPr="000B53EE">
        <w:rPr>
          <w:rFonts w:ascii="Times New Roman" w:hAnsi="Times New Roman"/>
          <w:sz w:val="22"/>
          <w:szCs w:val="22"/>
          <w:lang w:val="fr-BE"/>
        </w:rPr>
        <w:t>assister et participer activement à des cours de formation liés au VIH/sida, à la Violence Basée sur le Genre (VBG), et à l’Abus/Exploitation des Enfants (AEE) selon les demandes de mon employeur.</w:t>
      </w:r>
    </w:p>
    <w:p w:rsidR="000B53EE" w:rsidRPr="000B53EE" w:rsidRDefault="000B53EE" w:rsidP="00FA3FAE">
      <w:pPr>
        <w:pStyle w:val="SolbaseNormal"/>
        <w:numPr>
          <w:ilvl w:val="0"/>
          <w:numId w:val="205"/>
        </w:numPr>
        <w:spacing w:after="0" w:line="276" w:lineRule="auto"/>
        <w:rPr>
          <w:rFonts w:ascii="Times New Roman" w:hAnsi="Times New Roman"/>
          <w:sz w:val="22"/>
          <w:szCs w:val="22"/>
          <w:lang w:val="fr-BE"/>
        </w:rPr>
      </w:pPr>
      <w:r w:rsidRPr="000B53EE">
        <w:rPr>
          <w:rFonts w:ascii="Times New Roman" w:hAnsi="Times New Roman"/>
          <w:sz w:val="22"/>
          <w:szCs w:val="22"/>
          <w:lang w:val="fr-BE"/>
        </w:rPr>
        <w:t>envisager de signaler par l'intermédiaire du MGP ou à mon manager toute VBG ou AEE présumée ou réelle par un collègue, qu'elle soit employée par mon entreprise ou non, ou toute violation de ce Code de Conduite.</w:t>
      </w:r>
    </w:p>
    <w:p w:rsidR="000B53EE" w:rsidRPr="000B53EE" w:rsidRDefault="000B53EE" w:rsidP="00FA3FAE">
      <w:pPr>
        <w:pStyle w:val="Style9"/>
        <w:keepLines w:val="0"/>
        <w:numPr>
          <w:ilvl w:val="0"/>
          <w:numId w:val="211"/>
        </w:numPr>
        <w:spacing w:after="60" w:line="276" w:lineRule="auto"/>
        <w:jc w:val="both"/>
        <w:rPr>
          <w:rFonts w:ascii="Times New Roman" w:hAnsi="Times New Roman"/>
          <w:sz w:val="28"/>
          <w:szCs w:val="28"/>
          <w:lang w:val="fr-FR"/>
        </w:rPr>
      </w:pPr>
      <w:bookmarkStart w:id="1093" w:name="_Toc32340846"/>
      <w:bookmarkStart w:id="1094" w:name="_Toc32511740"/>
      <w:bookmarkStart w:id="1095" w:name="_Toc51072724"/>
      <w:r w:rsidRPr="000B53EE">
        <w:rPr>
          <w:rFonts w:ascii="Times New Roman" w:hAnsi="Times New Roman"/>
          <w:sz w:val="28"/>
          <w:szCs w:val="28"/>
          <w:lang w:val="fr-FR"/>
        </w:rPr>
        <w:t>CODE DE CONDUITE DE PROTECTION DE L'ENFANT</w:t>
      </w:r>
      <w:bookmarkEnd w:id="1093"/>
      <w:bookmarkEnd w:id="1094"/>
      <w:bookmarkEnd w:id="1095"/>
    </w:p>
    <w:p w:rsidR="000B53EE" w:rsidRPr="002E262E" w:rsidRDefault="000B53EE" w:rsidP="00FA3FAE">
      <w:pPr>
        <w:pStyle w:val="SolbaseNormal"/>
        <w:numPr>
          <w:ilvl w:val="0"/>
          <w:numId w:val="215"/>
        </w:numPr>
        <w:spacing w:before="120" w:line="276" w:lineRule="auto"/>
        <w:outlineLvl w:val="1"/>
        <w:rPr>
          <w:rFonts w:ascii="Times New Roman" w:hAnsi="Times New Roman"/>
          <w:b/>
          <w:bCs/>
          <w:sz w:val="28"/>
          <w:szCs w:val="28"/>
        </w:rPr>
      </w:pPr>
      <w:bookmarkStart w:id="1096" w:name="_Toc32340847"/>
      <w:bookmarkStart w:id="1097" w:name="_Toc32511741"/>
      <w:bookmarkStart w:id="1098" w:name="_Toc51072725"/>
      <w:r w:rsidRPr="002E262E">
        <w:rPr>
          <w:rFonts w:ascii="Times New Roman" w:hAnsi="Times New Roman"/>
          <w:b/>
          <w:bCs/>
          <w:sz w:val="28"/>
          <w:szCs w:val="28"/>
        </w:rPr>
        <w:t>Engagement de l’entrepreneur pour la protection des enfants</w:t>
      </w:r>
      <w:bookmarkEnd w:id="1096"/>
      <w:bookmarkEnd w:id="1097"/>
      <w:bookmarkEnd w:id="1098"/>
    </w:p>
    <w:p w:rsidR="000B53EE" w:rsidRPr="000B53EE" w:rsidRDefault="000B53EE" w:rsidP="000B53EE">
      <w:pPr>
        <w:pStyle w:val="SolbaseNormal"/>
        <w:spacing w:after="0" w:line="276" w:lineRule="auto"/>
        <w:ind w:left="0"/>
        <w:rPr>
          <w:rFonts w:ascii="Times New Roman" w:hAnsi="Times New Roman"/>
          <w:sz w:val="22"/>
          <w:szCs w:val="22"/>
          <w:lang w:val="fr-BE"/>
        </w:rPr>
      </w:pPr>
      <w:r w:rsidRPr="000B53EE">
        <w:rPr>
          <w:rFonts w:ascii="Times New Roman" w:hAnsi="Times New Roman"/>
          <w:sz w:val="22"/>
          <w:szCs w:val="22"/>
          <w:lang w:val="fr-BE"/>
        </w:rPr>
        <w:t>Je _______________________, suis d'accord que dans le cadre de mon contrat, je dois :</w:t>
      </w:r>
    </w:p>
    <w:p w:rsidR="000B53EE" w:rsidRPr="000B53EE" w:rsidRDefault="000B53EE" w:rsidP="00FA3FAE">
      <w:pPr>
        <w:pStyle w:val="SolbaseNormal"/>
        <w:numPr>
          <w:ilvl w:val="0"/>
          <w:numId w:val="206"/>
        </w:numPr>
        <w:spacing w:after="0" w:line="276" w:lineRule="auto"/>
        <w:rPr>
          <w:rFonts w:ascii="Times New Roman" w:hAnsi="Times New Roman"/>
          <w:sz w:val="22"/>
          <w:szCs w:val="22"/>
          <w:lang w:val="fr-BE"/>
        </w:rPr>
      </w:pPr>
      <w:r w:rsidRPr="000B53EE">
        <w:rPr>
          <w:rFonts w:ascii="Times New Roman" w:hAnsi="Times New Roman"/>
          <w:sz w:val="22"/>
          <w:szCs w:val="22"/>
          <w:lang w:val="fr-BE"/>
        </w:rPr>
        <w:t>traiter les enfants avec respect, quelle que soit leur race, couleur, sexe, langue, religion, opinion politique ou autre, origine nationale, ethnique ou sociale, propriété, handicap, naissance ou autre statut;</w:t>
      </w:r>
    </w:p>
    <w:p w:rsidR="000B53EE" w:rsidRPr="000B53EE" w:rsidRDefault="000B53EE" w:rsidP="00FA3FAE">
      <w:pPr>
        <w:pStyle w:val="SolbaseNormal"/>
        <w:numPr>
          <w:ilvl w:val="0"/>
          <w:numId w:val="206"/>
        </w:numPr>
        <w:spacing w:after="0" w:line="276" w:lineRule="auto"/>
        <w:rPr>
          <w:rFonts w:ascii="Times New Roman" w:hAnsi="Times New Roman"/>
          <w:sz w:val="22"/>
          <w:szCs w:val="22"/>
          <w:lang w:val="fr-BE"/>
        </w:rPr>
      </w:pPr>
      <w:r w:rsidRPr="000B53EE">
        <w:rPr>
          <w:rFonts w:ascii="Times New Roman" w:hAnsi="Times New Roman"/>
          <w:sz w:val="22"/>
          <w:szCs w:val="22"/>
          <w:lang w:val="fr-BE"/>
        </w:rPr>
        <w:t>ne pas utiliser de langage ou de comportement envers  les enfants qui ne sont pas appropriés, harcelants, abusifs, sexuellement provocateurs, dégradants ou culturellement inappropriés ;</w:t>
      </w:r>
    </w:p>
    <w:p w:rsidR="000B53EE" w:rsidRPr="000B53EE" w:rsidRDefault="000B53EE" w:rsidP="00FA3FAE">
      <w:pPr>
        <w:pStyle w:val="SolbaseNormal"/>
        <w:numPr>
          <w:ilvl w:val="0"/>
          <w:numId w:val="206"/>
        </w:numPr>
        <w:spacing w:after="0" w:line="276" w:lineRule="auto"/>
        <w:rPr>
          <w:rFonts w:ascii="Times New Roman" w:hAnsi="Times New Roman"/>
          <w:sz w:val="22"/>
          <w:szCs w:val="22"/>
          <w:lang w:val="fr-BE"/>
        </w:rPr>
      </w:pPr>
      <w:r w:rsidRPr="000B53EE">
        <w:rPr>
          <w:rFonts w:ascii="Times New Roman" w:hAnsi="Times New Roman"/>
          <w:sz w:val="22"/>
          <w:szCs w:val="22"/>
          <w:lang w:val="fr-BE"/>
        </w:rPr>
        <w:t>ne pas engager des enfants de moins de 18 ans dans toute forme de rapport sexuel ou d'activité sexuelle, y compris le paiement des services ou des actes sexuels;</w:t>
      </w:r>
    </w:p>
    <w:p w:rsidR="000B53EE" w:rsidRPr="000B53EE" w:rsidRDefault="000B53EE" w:rsidP="00FA3FAE">
      <w:pPr>
        <w:pStyle w:val="SolbaseNormal"/>
        <w:numPr>
          <w:ilvl w:val="0"/>
          <w:numId w:val="206"/>
        </w:numPr>
        <w:spacing w:after="0" w:line="276" w:lineRule="auto"/>
        <w:rPr>
          <w:rFonts w:ascii="Times New Roman" w:hAnsi="Times New Roman"/>
          <w:sz w:val="22"/>
          <w:szCs w:val="22"/>
          <w:lang w:val="fr-BE"/>
        </w:rPr>
      </w:pPr>
      <w:r w:rsidRPr="000B53EE">
        <w:rPr>
          <w:rFonts w:ascii="Times New Roman" w:hAnsi="Times New Roman"/>
          <w:sz w:val="22"/>
          <w:szCs w:val="22"/>
          <w:lang w:val="fr-BE"/>
        </w:rPr>
        <w:t>si possible, s'assurer qu'un autre adulte est présent lors des travaux effectuer à proximité des enfants;</w:t>
      </w:r>
    </w:p>
    <w:p w:rsidR="000B53EE" w:rsidRPr="000B53EE" w:rsidRDefault="000B53EE" w:rsidP="00FA3FAE">
      <w:pPr>
        <w:pStyle w:val="SolbaseNormal"/>
        <w:numPr>
          <w:ilvl w:val="0"/>
          <w:numId w:val="206"/>
        </w:numPr>
        <w:spacing w:after="0" w:line="276" w:lineRule="auto"/>
        <w:rPr>
          <w:rFonts w:ascii="Times New Roman" w:hAnsi="Times New Roman"/>
          <w:sz w:val="22"/>
          <w:szCs w:val="22"/>
          <w:lang w:val="fr-BE"/>
        </w:rPr>
      </w:pPr>
      <w:r w:rsidRPr="000B53EE">
        <w:rPr>
          <w:rFonts w:ascii="Times New Roman" w:hAnsi="Times New Roman"/>
          <w:sz w:val="22"/>
          <w:szCs w:val="22"/>
          <w:lang w:val="fr-BE"/>
        </w:rPr>
        <w:t>ne pas inviter les enfants non accompagnés chez moi, à moins qu'ils courent un risque immédiat de blessure ou de danger physique;</w:t>
      </w:r>
    </w:p>
    <w:p w:rsidR="000B53EE" w:rsidRPr="000B53EE" w:rsidRDefault="000B53EE" w:rsidP="00FA3FAE">
      <w:pPr>
        <w:pStyle w:val="SolbaseNormal"/>
        <w:numPr>
          <w:ilvl w:val="0"/>
          <w:numId w:val="206"/>
        </w:numPr>
        <w:spacing w:after="0" w:line="276" w:lineRule="auto"/>
        <w:rPr>
          <w:rFonts w:ascii="Times New Roman" w:hAnsi="Times New Roman"/>
          <w:sz w:val="22"/>
          <w:szCs w:val="22"/>
          <w:lang w:val="fr-BE"/>
        </w:rPr>
      </w:pPr>
      <w:r w:rsidRPr="000B53EE">
        <w:rPr>
          <w:rFonts w:ascii="Times New Roman" w:hAnsi="Times New Roman"/>
          <w:sz w:val="22"/>
          <w:szCs w:val="22"/>
          <w:lang w:val="fr-BE"/>
        </w:rPr>
        <w:t>ne pas dormir près des enfants non surveillés, sauf nécessité absolue, auquel cas je dois obtenir la permission de mon manager, et m'assurer qu’un adulte est présent si possible;</w:t>
      </w:r>
    </w:p>
    <w:p w:rsidR="000B53EE" w:rsidRPr="000B53EE" w:rsidRDefault="000B53EE" w:rsidP="00FA3FAE">
      <w:pPr>
        <w:pStyle w:val="SolbaseNormal"/>
        <w:numPr>
          <w:ilvl w:val="0"/>
          <w:numId w:val="215"/>
        </w:numPr>
        <w:spacing w:before="120" w:after="0" w:line="276" w:lineRule="auto"/>
        <w:outlineLvl w:val="1"/>
        <w:rPr>
          <w:rFonts w:ascii="Times New Roman" w:hAnsi="Times New Roman"/>
          <w:b/>
          <w:bCs/>
          <w:sz w:val="22"/>
          <w:szCs w:val="22"/>
        </w:rPr>
      </w:pPr>
      <w:bookmarkStart w:id="1099" w:name="_Toc32511742"/>
      <w:bookmarkStart w:id="1100" w:name="_Toc51072726"/>
      <w:bookmarkStart w:id="1101" w:name="_Toc32340848"/>
      <w:r w:rsidRPr="000B53EE">
        <w:rPr>
          <w:rFonts w:ascii="Times New Roman" w:hAnsi="Times New Roman"/>
          <w:b/>
          <w:bCs/>
          <w:sz w:val="22"/>
          <w:szCs w:val="22"/>
        </w:rPr>
        <w:t>Engagement de l’entreprise pour la photographie des enfants</w:t>
      </w:r>
      <w:bookmarkEnd w:id="1099"/>
      <w:bookmarkEnd w:id="1100"/>
      <w:r w:rsidRPr="000B53EE">
        <w:rPr>
          <w:rFonts w:ascii="Times New Roman" w:hAnsi="Times New Roman"/>
          <w:b/>
          <w:bCs/>
          <w:sz w:val="22"/>
          <w:szCs w:val="22"/>
        </w:rPr>
        <w:t xml:space="preserve"> </w:t>
      </w:r>
      <w:bookmarkEnd w:id="1101"/>
    </w:p>
    <w:p w:rsidR="000B53EE" w:rsidRPr="000B53EE" w:rsidRDefault="000B53EE" w:rsidP="000B53EE">
      <w:pPr>
        <w:pStyle w:val="SolbaseNormal"/>
        <w:spacing w:after="0" w:line="276" w:lineRule="auto"/>
        <w:ind w:left="0"/>
        <w:rPr>
          <w:rFonts w:ascii="Times New Roman" w:hAnsi="Times New Roman"/>
          <w:sz w:val="22"/>
          <w:szCs w:val="22"/>
          <w:lang w:val="fr-BE"/>
        </w:rPr>
      </w:pPr>
      <w:r w:rsidRPr="000B53EE">
        <w:rPr>
          <w:rFonts w:ascii="Times New Roman" w:hAnsi="Times New Roman"/>
          <w:sz w:val="22"/>
          <w:szCs w:val="22"/>
          <w:lang w:val="fr-BE"/>
        </w:rPr>
        <w:t xml:space="preserve">Je _______________________, suis d'accord que dans le cadre de mon contrat, lors de la photographie ou du tournage d'un enfant à des fins liées au travail je dois : </w:t>
      </w:r>
    </w:p>
    <w:p w:rsidR="000B53EE" w:rsidRPr="000B53EE" w:rsidRDefault="000B53EE" w:rsidP="00FA3FAE">
      <w:pPr>
        <w:pStyle w:val="SolbaseNormal"/>
        <w:numPr>
          <w:ilvl w:val="0"/>
          <w:numId w:val="207"/>
        </w:numPr>
        <w:spacing w:after="0" w:line="276" w:lineRule="auto"/>
        <w:rPr>
          <w:rFonts w:ascii="Times New Roman" w:hAnsi="Times New Roman"/>
          <w:sz w:val="22"/>
          <w:szCs w:val="22"/>
          <w:lang w:val="fr-BE"/>
        </w:rPr>
      </w:pPr>
      <w:r w:rsidRPr="000B53EE">
        <w:rPr>
          <w:rFonts w:ascii="Times New Roman" w:hAnsi="Times New Roman"/>
          <w:sz w:val="22"/>
          <w:szCs w:val="22"/>
          <w:lang w:val="fr-BE"/>
        </w:rPr>
        <w:t>avant de photographier ou de filmer un enfant, évaluer et essayer de se conformer aux traditions locales ou des restrictions pour la reproduction d'images personnelles ;</w:t>
      </w:r>
    </w:p>
    <w:p w:rsidR="000B53EE" w:rsidRPr="000B53EE" w:rsidRDefault="000B53EE" w:rsidP="00FA3FAE">
      <w:pPr>
        <w:pStyle w:val="SolbaseNormal"/>
        <w:numPr>
          <w:ilvl w:val="0"/>
          <w:numId w:val="207"/>
        </w:numPr>
        <w:spacing w:after="0" w:line="276" w:lineRule="auto"/>
        <w:rPr>
          <w:rFonts w:ascii="Times New Roman" w:hAnsi="Times New Roman"/>
          <w:sz w:val="22"/>
          <w:szCs w:val="22"/>
          <w:lang w:val="fr-BE"/>
        </w:rPr>
      </w:pPr>
      <w:r w:rsidRPr="000B53EE">
        <w:rPr>
          <w:rFonts w:ascii="Times New Roman" w:hAnsi="Times New Roman"/>
          <w:sz w:val="22"/>
          <w:szCs w:val="22"/>
          <w:lang w:val="fr-BE"/>
        </w:rPr>
        <w:lastRenderedPageBreak/>
        <w:t>avant de photographier ou de filmer un enfant, obtenir le consentement de l'enfant ou d'un parent ou tuteur de l'enfant. Dans ce cas, je dois expliquer comment la photographie ou le film sera utilisé ;</w:t>
      </w:r>
    </w:p>
    <w:p w:rsidR="000B53EE" w:rsidRPr="000B53EE" w:rsidRDefault="000B53EE" w:rsidP="00FA3FAE">
      <w:pPr>
        <w:pStyle w:val="SolbaseNormal"/>
        <w:numPr>
          <w:ilvl w:val="0"/>
          <w:numId w:val="207"/>
        </w:numPr>
        <w:spacing w:after="0" w:line="276" w:lineRule="auto"/>
        <w:rPr>
          <w:rFonts w:ascii="Times New Roman" w:hAnsi="Times New Roman"/>
          <w:sz w:val="22"/>
          <w:szCs w:val="22"/>
          <w:lang w:val="fr-BE"/>
        </w:rPr>
      </w:pPr>
      <w:r w:rsidRPr="000B53EE">
        <w:rPr>
          <w:rFonts w:ascii="Times New Roman" w:hAnsi="Times New Roman"/>
          <w:sz w:val="22"/>
          <w:szCs w:val="22"/>
          <w:lang w:val="fr-BE"/>
        </w:rPr>
        <w:t>veiller à ce que les photographies, les films, les vidéos et les DVD présentent les enfants de manière digne et respectueuse et non de manière vulnérable ou soumise. Les enfants doivent être vêtus de manière adéquate et ne pas être dans des poses pouvant être considérées comme sexuellement suggestives ;</w:t>
      </w:r>
    </w:p>
    <w:p w:rsidR="000B53EE" w:rsidRPr="000B53EE" w:rsidRDefault="000B53EE" w:rsidP="00FA3FAE">
      <w:pPr>
        <w:pStyle w:val="SolbaseNormal"/>
        <w:numPr>
          <w:ilvl w:val="0"/>
          <w:numId w:val="207"/>
        </w:numPr>
        <w:spacing w:after="0" w:line="276" w:lineRule="auto"/>
        <w:rPr>
          <w:rFonts w:ascii="Times New Roman" w:hAnsi="Times New Roman"/>
          <w:sz w:val="22"/>
          <w:szCs w:val="22"/>
          <w:lang w:val="fr-BE"/>
        </w:rPr>
      </w:pPr>
      <w:r w:rsidRPr="000B53EE">
        <w:rPr>
          <w:rFonts w:ascii="Times New Roman" w:hAnsi="Times New Roman"/>
          <w:sz w:val="22"/>
          <w:szCs w:val="22"/>
          <w:lang w:val="fr-BE"/>
        </w:rPr>
        <w:t>s'assurer que les images sont des représentations honnêtes du contexte et des faits ;</w:t>
      </w:r>
    </w:p>
    <w:p w:rsidR="000B53EE" w:rsidRPr="000B53EE" w:rsidRDefault="000B53EE" w:rsidP="00FA3FAE">
      <w:pPr>
        <w:pStyle w:val="SolbaseNormal"/>
        <w:numPr>
          <w:ilvl w:val="0"/>
          <w:numId w:val="207"/>
        </w:numPr>
        <w:spacing w:after="0" w:line="276" w:lineRule="auto"/>
        <w:rPr>
          <w:rFonts w:ascii="Times New Roman" w:hAnsi="Times New Roman"/>
          <w:sz w:val="22"/>
          <w:szCs w:val="22"/>
          <w:lang w:val="fr-BE"/>
        </w:rPr>
      </w:pPr>
      <w:r w:rsidRPr="000B53EE">
        <w:rPr>
          <w:rFonts w:ascii="Times New Roman" w:hAnsi="Times New Roman"/>
          <w:sz w:val="22"/>
          <w:szCs w:val="22"/>
          <w:lang w:val="fr-BE"/>
        </w:rPr>
        <w:t>s'assurer que les étiquettes de fichiers ne révèlent pas d'informations d'identification sur un enfant lors de l'envoi électronique d'images.</w:t>
      </w:r>
    </w:p>
    <w:p w:rsidR="000D0E23" w:rsidRPr="000B53EE" w:rsidRDefault="000D0E23" w:rsidP="00895AC4">
      <w:pPr>
        <w:rPr>
          <w:lang w:val="fr-BE"/>
        </w:rPr>
      </w:pPr>
    </w:p>
    <w:p w:rsidR="00100EA4" w:rsidRPr="00100EA4" w:rsidRDefault="00100EA4" w:rsidP="00D10B3E">
      <w:pPr>
        <w:pStyle w:val="ndice2"/>
        <w:rPr>
          <w:rFonts w:ascii="Calibri" w:eastAsia="Yu Mincho" w:hAnsi="Calibri"/>
          <w:sz w:val="22"/>
          <w:szCs w:val="22"/>
        </w:rPr>
      </w:pPr>
      <w:bookmarkStart w:id="1102" w:name="_Toc51072727"/>
      <w:r w:rsidRPr="00100EA4">
        <w:t>ANNEXE 3 : COMPTE-RENDU DE LA REUNION DE CADRAGE</w:t>
      </w:r>
      <w:bookmarkEnd w:id="1102"/>
      <w:r w:rsidRPr="00100EA4">
        <w:t xml:space="preserve"> </w:t>
      </w:r>
    </w:p>
    <w:p w:rsidR="00100EA4" w:rsidRPr="001364C2" w:rsidRDefault="00100EA4" w:rsidP="00100EA4">
      <w:pPr>
        <w:pStyle w:val="Ttulo1"/>
        <w:shd w:val="clear" w:color="auto" w:fill="FFFFFF" w:themeFill="background1"/>
        <w:spacing w:before="0" w:line="240" w:lineRule="auto"/>
        <w:rPr>
          <w:rFonts w:ascii="Times New Roman" w:hAnsi="Times New Roman"/>
          <w:b w:val="0"/>
          <w:sz w:val="22"/>
          <w:szCs w:val="22"/>
        </w:rPr>
      </w:pPr>
    </w:p>
    <w:tbl>
      <w:tblPr>
        <w:tblW w:w="5000" w:type="pct"/>
        <w:tblLook w:val="04A0" w:firstRow="1" w:lastRow="0" w:firstColumn="1" w:lastColumn="0" w:noHBand="0" w:noVBand="1"/>
      </w:tblPr>
      <w:tblGrid>
        <w:gridCol w:w="1141"/>
        <w:gridCol w:w="8782"/>
      </w:tblGrid>
      <w:tr w:rsidR="00100EA4" w:rsidRPr="001364C2" w:rsidTr="008734B0">
        <w:tc>
          <w:tcPr>
            <w:tcW w:w="575" w:type="pct"/>
            <w:shd w:val="clear" w:color="auto" w:fill="auto"/>
          </w:tcPr>
          <w:p w:rsidR="00100EA4" w:rsidRPr="001364C2" w:rsidRDefault="00100EA4" w:rsidP="008734B0">
            <w:pPr>
              <w:shd w:val="clear" w:color="auto" w:fill="FFFFFF" w:themeFill="background1"/>
              <w:tabs>
                <w:tab w:val="left" w:pos="851"/>
              </w:tabs>
              <w:spacing w:after="0"/>
              <w:rPr>
                <w:rFonts w:ascii="Times New Roman" w:hAnsi="Times New Roman" w:cs="Times New Roman"/>
              </w:rPr>
            </w:pPr>
            <w:r w:rsidRPr="001364C2">
              <w:rPr>
                <w:rFonts w:ascii="Times New Roman" w:hAnsi="Times New Roman" w:cs="Times New Roman"/>
              </w:rPr>
              <w:t>DATE :</w:t>
            </w:r>
          </w:p>
        </w:tc>
        <w:tc>
          <w:tcPr>
            <w:tcW w:w="4425" w:type="pct"/>
            <w:shd w:val="clear" w:color="auto" w:fill="auto"/>
          </w:tcPr>
          <w:p w:rsidR="00100EA4" w:rsidRPr="001364C2" w:rsidRDefault="00100EA4" w:rsidP="008734B0">
            <w:pPr>
              <w:shd w:val="clear" w:color="auto" w:fill="FFFFFF" w:themeFill="background1"/>
              <w:tabs>
                <w:tab w:val="left" w:pos="851"/>
              </w:tabs>
              <w:spacing w:after="0"/>
              <w:rPr>
                <w:rFonts w:ascii="Times New Roman" w:hAnsi="Times New Roman" w:cs="Times New Roman"/>
              </w:rPr>
            </w:pPr>
            <w:r w:rsidRPr="001364C2">
              <w:rPr>
                <w:rFonts w:ascii="Times New Roman" w:hAnsi="Times New Roman" w:cs="Times New Roman"/>
              </w:rPr>
              <w:t>Le  08 Mai 2019</w:t>
            </w:r>
          </w:p>
        </w:tc>
      </w:tr>
      <w:tr w:rsidR="00100EA4" w:rsidRPr="001364C2" w:rsidTr="008734B0">
        <w:tc>
          <w:tcPr>
            <w:tcW w:w="575" w:type="pct"/>
            <w:shd w:val="clear" w:color="auto" w:fill="auto"/>
          </w:tcPr>
          <w:p w:rsidR="00100EA4" w:rsidRPr="001364C2" w:rsidRDefault="00100EA4" w:rsidP="008734B0">
            <w:pPr>
              <w:shd w:val="clear" w:color="auto" w:fill="FFFFFF" w:themeFill="background1"/>
              <w:tabs>
                <w:tab w:val="left" w:pos="851"/>
              </w:tabs>
              <w:spacing w:after="0"/>
              <w:rPr>
                <w:rFonts w:ascii="Times New Roman" w:hAnsi="Times New Roman" w:cs="Times New Roman"/>
              </w:rPr>
            </w:pPr>
            <w:r w:rsidRPr="001364C2">
              <w:rPr>
                <w:rFonts w:ascii="Times New Roman" w:hAnsi="Times New Roman" w:cs="Times New Roman"/>
              </w:rPr>
              <w:t>LOCAL :</w:t>
            </w:r>
          </w:p>
        </w:tc>
        <w:tc>
          <w:tcPr>
            <w:tcW w:w="4425" w:type="pct"/>
            <w:shd w:val="clear" w:color="auto" w:fill="auto"/>
          </w:tcPr>
          <w:p w:rsidR="00100EA4" w:rsidRPr="001364C2" w:rsidRDefault="00100EA4" w:rsidP="008734B0">
            <w:pPr>
              <w:shd w:val="clear" w:color="auto" w:fill="FFFFFF" w:themeFill="background1"/>
              <w:tabs>
                <w:tab w:val="left" w:pos="851"/>
              </w:tabs>
              <w:spacing w:after="0"/>
              <w:rPr>
                <w:rFonts w:ascii="Times New Roman" w:hAnsi="Times New Roman" w:cs="Times New Roman"/>
              </w:rPr>
            </w:pPr>
            <w:r w:rsidRPr="001364C2">
              <w:rPr>
                <w:rFonts w:ascii="Times New Roman" w:hAnsi="Times New Roman" w:cs="Times New Roman"/>
              </w:rPr>
              <w:t xml:space="preserve">Siège d’UCP-PUASEE </w:t>
            </w:r>
          </w:p>
        </w:tc>
      </w:tr>
    </w:tbl>
    <w:p w:rsidR="00100EA4" w:rsidRPr="001364C2" w:rsidRDefault="00100EA4" w:rsidP="00100EA4">
      <w:pPr>
        <w:shd w:val="clear" w:color="auto" w:fill="FFFFFF" w:themeFill="background1"/>
        <w:tabs>
          <w:tab w:val="left" w:pos="851"/>
        </w:tabs>
        <w:spacing w:after="0"/>
        <w:ind w:left="851" w:hanging="851"/>
        <w:rPr>
          <w:rFonts w:ascii="Times New Roman" w:hAnsi="Times New Roman" w:cs="Times New Roman"/>
          <w:b/>
        </w:rPr>
      </w:pPr>
    </w:p>
    <w:tbl>
      <w:tblPr>
        <w:tblW w:w="5000" w:type="pct"/>
        <w:tblLook w:val="04A0" w:firstRow="1" w:lastRow="0" w:firstColumn="1" w:lastColumn="0" w:noHBand="0" w:noVBand="1"/>
      </w:tblPr>
      <w:tblGrid>
        <w:gridCol w:w="1726"/>
        <w:gridCol w:w="2235"/>
        <w:gridCol w:w="3644"/>
        <w:gridCol w:w="2318"/>
      </w:tblGrid>
      <w:tr w:rsidR="00100EA4" w:rsidRPr="001364C2" w:rsidTr="008734B0">
        <w:trPr>
          <w:trHeight w:val="726"/>
        </w:trPr>
        <w:tc>
          <w:tcPr>
            <w:tcW w:w="870" w:type="pct"/>
            <w:shd w:val="clear" w:color="auto" w:fill="auto"/>
          </w:tcPr>
          <w:p w:rsidR="00100EA4" w:rsidRPr="001364C2" w:rsidRDefault="00100EA4" w:rsidP="008734B0">
            <w:pPr>
              <w:shd w:val="clear" w:color="auto" w:fill="FFFFFF" w:themeFill="background1"/>
              <w:spacing w:after="0"/>
              <w:rPr>
                <w:rFonts w:ascii="Times New Roman" w:hAnsi="Times New Roman" w:cs="Times New Roman"/>
              </w:rPr>
            </w:pPr>
            <w:r w:rsidRPr="001364C2">
              <w:rPr>
                <w:rFonts w:ascii="Times New Roman" w:hAnsi="Times New Roman" w:cs="Times New Roman"/>
              </w:rPr>
              <w:t>PRÉSENCES:</w:t>
            </w:r>
          </w:p>
          <w:p w:rsidR="00100EA4" w:rsidRPr="001364C2" w:rsidRDefault="00100EA4" w:rsidP="008734B0">
            <w:pPr>
              <w:shd w:val="clear" w:color="auto" w:fill="FFFFFF" w:themeFill="background1"/>
              <w:spacing w:after="0"/>
              <w:rPr>
                <w:rFonts w:ascii="Times New Roman" w:hAnsi="Times New Roman" w:cs="Times New Roman"/>
                <w:b/>
              </w:rPr>
            </w:pPr>
            <w:r w:rsidRPr="001364C2">
              <w:rPr>
                <w:rFonts w:ascii="Times New Roman" w:hAnsi="Times New Roman" w:cs="Times New Roman"/>
              </w:rPr>
              <w:t xml:space="preserve">RUINTINO    </w:t>
            </w:r>
          </w:p>
        </w:tc>
        <w:tc>
          <w:tcPr>
            <w:tcW w:w="1126" w:type="pct"/>
            <w:shd w:val="clear" w:color="auto" w:fill="auto"/>
            <w:vAlign w:val="center"/>
          </w:tcPr>
          <w:p w:rsidR="00100EA4" w:rsidRPr="001364C2" w:rsidRDefault="00100EA4" w:rsidP="008734B0">
            <w:pPr>
              <w:shd w:val="clear" w:color="auto" w:fill="FFFFFF" w:themeFill="background1"/>
              <w:spacing w:after="0"/>
              <w:rPr>
                <w:rFonts w:ascii="Times New Roman" w:hAnsi="Times New Roman" w:cs="Times New Roman"/>
                <w:highlight w:val="cyan"/>
              </w:rPr>
            </w:pPr>
          </w:p>
          <w:p w:rsidR="00100EA4" w:rsidRPr="001364C2" w:rsidRDefault="00100EA4" w:rsidP="008734B0">
            <w:pPr>
              <w:shd w:val="clear" w:color="auto" w:fill="FFFFFF" w:themeFill="background1"/>
              <w:spacing w:after="0"/>
              <w:rPr>
                <w:rFonts w:ascii="Times New Roman" w:hAnsi="Times New Roman" w:cs="Times New Roman"/>
                <w:highlight w:val="yellow"/>
              </w:rPr>
            </w:pPr>
            <w:r w:rsidRPr="001364C2">
              <w:rPr>
                <w:rFonts w:ascii="Times New Roman" w:hAnsi="Times New Roman" w:cs="Times New Roman"/>
                <w:highlight w:val="cyan"/>
              </w:rPr>
              <w:t xml:space="preserve">     </w:t>
            </w:r>
          </w:p>
        </w:tc>
        <w:tc>
          <w:tcPr>
            <w:tcW w:w="1836" w:type="pct"/>
            <w:shd w:val="clear" w:color="auto" w:fill="auto"/>
          </w:tcPr>
          <w:p w:rsidR="00100EA4" w:rsidRPr="001364C2" w:rsidRDefault="00100EA4" w:rsidP="008734B0">
            <w:pPr>
              <w:shd w:val="clear" w:color="auto" w:fill="FFFFFF" w:themeFill="background1"/>
              <w:spacing w:after="0"/>
              <w:rPr>
                <w:rFonts w:ascii="Times New Roman" w:hAnsi="Times New Roman" w:cs="Times New Roman"/>
                <w:b/>
                <w:highlight w:val="yellow"/>
              </w:rPr>
            </w:pPr>
            <w:r w:rsidRPr="001364C2">
              <w:rPr>
                <w:rFonts w:ascii="Times New Roman" w:hAnsi="Times New Roman" w:cs="Times New Roman"/>
                <w:b/>
                <w:highlight w:val="yellow"/>
              </w:rPr>
              <w:t xml:space="preserve">                            </w:t>
            </w:r>
          </w:p>
        </w:tc>
        <w:tc>
          <w:tcPr>
            <w:tcW w:w="1168" w:type="pct"/>
            <w:shd w:val="clear" w:color="auto" w:fill="auto"/>
          </w:tcPr>
          <w:p w:rsidR="00100EA4" w:rsidRPr="001364C2" w:rsidRDefault="00100EA4" w:rsidP="008734B0">
            <w:pPr>
              <w:shd w:val="clear" w:color="auto" w:fill="FFFFFF" w:themeFill="background1"/>
              <w:spacing w:after="0"/>
              <w:rPr>
                <w:rFonts w:ascii="Times New Roman" w:hAnsi="Times New Roman" w:cs="Times New Roman"/>
                <w:b/>
                <w:highlight w:val="yellow"/>
              </w:rPr>
            </w:pPr>
          </w:p>
        </w:tc>
      </w:tr>
      <w:tr w:rsidR="00100EA4" w:rsidRPr="001364C2" w:rsidTr="008734B0">
        <w:trPr>
          <w:trHeight w:val="170"/>
        </w:trPr>
        <w:tc>
          <w:tcPr>
            <w:tcW w:w="870" w:type="pct"/>
            <w:shd w:val="clear" w:color="auto" w:fill="auto"/>
          </w:tcPr>
          <w:p w:rsidR="00100EA4" w:rsidRPr="001364C2" w:rsidRDefault="00100EA4" w:rsidP="008734B0">
            <w:pPr>
              <w:shd w:val="clear" w:color="auto" w:fill="FFFFFF" w:themeFill="background1"/>
              <w:spacing w:after="0"/>
              <w:rPr>
                <w:rFonts w:ascii="Times New Roman" w:hAnsi="Times New Roman" w:cs="Times New Roman"/>
                <w:b/>
              </w:rPr>
            </w:pPr>
          </w:p>
        </w:tc>
        <w:tc>
          <w:tcPr>
            <w:tcW w:w="1126" w:type="pct"/>
            <w:shd w:val="clear" w:color="auto" w:fill="auto"/>
            <w:vAlign w:val="center"/>
          </w:tcPr>
          <w:p w:rsidR="00100EA4" w:rsidRPr="001364C2" w:rsidRDefault="00100EA4" w:rsidP="008734B0">
            <w:pPr>
              <w:shd w:val="clear" w:color="auto" w:fill="FFFFFF" w:themeFill="background1"/>
              <w:spacing w:after="0"/>
              <w:rPr>
                <w:rFonts w:ascii="Times New Roman" w:hAnsi="Times New Roman" w:cs="Times New Roman"/>
              </w:rPr>
            </w:pPr>
            <w:r w:rsidRPr="001364C2">
              <w:rPr>
                <w:rFonts w:ascii="Times New Roman" w:hAnsi="Times New Roman" w:cs="Times New Roman"/>
              </w:rPr>
              <w:t>Jose A P Gonsalvez</w:t>
            </w:r>
          </w:p>
        </w:tc>
        <w:tc>
          <w:tcPr>
            <w:tcW w:w="1836" w:type="pct"/>
            <w:shd w:val="clear" w:color="auto" w:fill="auto"/>
            <w:vAlign w:val="center"/>
          </w:tcPr>
          <w:p w:rsidR="00100EA4" w:rsidRPr="001364C2" w:rsidRDefault="00100EA4" w:rsidP="008734B0">
            <w:pPr>
              <w:shd w:val="clear" w:color="auto" w:fill="FFFFFF" w:themeFill="background1"/>
              <w:spacing w:after="0"/>
              <w:rPr>
                <w:rFonts w:ascii="Times New Roman" w:hAnsi="Times New Roman" w:cs="Times New Roman"/>
              </w:rPr>
            </w:pPr>
            <w:r w:rsidRPr="001364C2">
              <w:rPr>
                <w:rFonts w:ascii="Times New Roman" w:hAnsi="Times New Roman" w:cs="Times New Roman"/>
              </w:rPr>
              <w:t>Director</w:t>
            </w:r>
          </w:p>
        </w:tc>
        <w:tc>
          <w:tcPr>
            <w:tcW w:w="1168" w:type="pct"/>
            <w:shd w:val="clear" w:color="auto" w:fill="auto"/>
          </w:tcPr>
          <w:p w:rsidR="00100EA4" w:rsidRPr="001364C2" w:rsidRDefault="00100EA4" w:rsidP="008734B0">
            <w:pPr>
              <w:shd w:val="clear" w:color="auto" w:fill="FFFFFF" w:themeFill="background1"/>
              <w:spacing w:after="0"/>
              <w:rPr>
                <w:rFonts w:ascii="Times New Roman" w:hAnsi="Times New Roman" w:cs="Times New Roman"/>
                <w:b/>
              </w:rPr>
            </w:pPr>
            <w:r w:rsidRPr="001364C2">
              <w:rPr>
                <w:rFonts w:ascii="Times New Roman" w:hAnsi="Times New Roman" w:cs="Times New Roman"/>
              </w:rPr>
              <w:t>CMB</w:t>
            </w:r>
          </w:p>
        </w:tc>
      </w:tr>
      <w:tr w:rsidR="00100EA4" w:rsidRPr="001364C2" w:rsidTr="008734B0">
        <w:trPr>
          <w:trHeight w:val="170"/>
        </w:trPr>
        <w:tc>
          <w:tcPr>
            <w:tcW w:w="870" w:type="pct"/>
            <w:shd w:val="clear" w:color="auto" w:fill="auto"/>
          </w:tcPr>
          <w:p w:rsidR="00100EA4" w:rsidRPr="001364C2" w:rsidRDefault="00100EA4" w:rsidP="008734B0">
            <w:pPr>
              <w:shd w:val="clear" w:color="auto" w:fill="FFFFFF" w:themeFill="background1"/>
              <w:spacing w:after="0"/>
              <w:rPr>
                <w:rFonts w:ascii="Times New Roman" w:hAnsi="Times New Roman" w:cs="Times New Roman"/>
                <w:b/>
              </w:rPr>
            </w:pPr>
          </w:p>
        </w:tc>
        <w:tc>
          <w:tcPr>
            <w:tcW w:w="1126" w:type="pct"/>
            <w:shd w:val="clear" w:color="auto" w:fill="auto"/>
            <w:vAlign w:val="center"/>
          </w:tcPr>
          <w:p w:rsidR="00100EA4" w:rsidRPr="001364C2" w:rsidRDefault="00100EA4" w:rsidP="008734B0">
            <w:pPr>
              <w:shd w:val="clear" w:color="auto" w:fill="FFFFFF" w:themeFill="background1"/>
              <w:spacing w:after="0"/>
              <w:rPr>
                <w:rFonts w:ascii="Times New Roman" w:hAnsi="Times New Roman" w:cs="Times New Roman"/>
              </w:rPr>
            </w:pPr>
            <w:r w:rsidRPr="001364C2">
              <w:rPr>
                <w:rFonts w:ascii="Times New Roman" w:hAnsi="Times New Roman" w:cs="Times New Roman"/>
              </w:rPr>
              <w:t>João António da Silva</w:t>
            </w:r>
          </w:p>
        </w:tc>
        <w:tc>
          <w:tcPr>
            <w:tcW w:w="1836" w:type="pct"/>
            <w:shd w:val="clear" w:color="auto" w:fill="auto"/>
            <w:vAlign w:val="center"/>
          </w:tcPr>
          <w:p w:rsidR="00100EA4" w:rsidRPr="001364C2" w:rsidRDefault="00100EA4" w:rsidP="008734B0">
            <w:pPr>
              <w:shd w:val="clear" w:color="auto" w:fill="FFFFFF" w:themeFill="background1"/>
              <w:spacing w:after="0"/>
              <w:rPr>
                <w:rFonts w:ascii="Times New Roman" w:hAnsi="Times New Roman" w:cs="Times New Roman"/>
              </w:rPr>
            </w:pPr>
            <w:r w:rsidRPr="001364C2">
              <w:rPr>
                <w:rFonts w:ascii="Times New Roman" w:hAnsi="Times New Roman" w:cs="Times New Roman"/>
              </w:rPr>
              <w:t>Assistant Technique </w:t>
            </w:r>
          </w:p>
        </w:tc>
        <w:tc>
          <w:tcPr>
            <w:tcW w:w="1168" w:type="pct"/>
            <w:shd w:val="clear" w:color="auto" w:fill="auto"/>
          </w:tcPr>
          <w:p w:rsidR="00100EA4" w:rsidRPr="001364C2" w:rsidRDefault="00100EA4" w:rsidP="008734B0">
            <w:pPr>
              <w:shd w:val="clear" w:color="auto" w:fill="FFFFFF" w:themeFill="background1"/>
              <w:spacing w:after="0"/>
              <w:rPr>
                <w:rFonts w:ascii="Times New Roman" w:hAnsi="Times New Roman" w:cs="Times New Roman"/>
                <w:b/>
              </w:rPr>
            </w:pPr>
            <w:r w:rsidRPr="001364C2">
              <w:rPr>
                <w:rFonts w:ascii="Times New Roman" w:hAnsi="Times New Roman" w:cs="Times New Roman"/>
              </w:rPr>
              <w:t>UCP-PUASEE</w:t>
            </w:r>
          </w:p>
        </w:tc>
      </w:tr>
      <w:tr w:rsidR="00100EA4" w:rsidRPr="001364C2" w:rsidTr="008734B0">
        <w:trPr>
          <w:trHeight w:val="170"/>
        </w:trPr>
        <w:tc>
          <w:tcPr>
            <w:tcW w:w="870" w:type="pct"/>
            <w:shd w:val="clear" w:color="auto" w:fill="auto"/>
          </w:tcPr>
          <w:p w:rsidR="00100EA4" w:rsidRPr="001364C2" w:rsidRDefault="00100EA4" w:rsidP="008734B0">
            <w:pPr>
              <w:shd w:val="clear" w:color="auto" w:fill="FFFFFF" w:themeFill="background1"/>
              <w:spacing w:after="0"/>
              <w:rPr>
                <w:rFonts w:ascii="Times New Roman" w:hAnsi="Times New Roman" w:cs="Times New Roman"/>
                <w:b/>
              </w:rPr>
            </w:pPr>
          </w:p>
        </w:tc>
        <w:tc>
          <w:tcPr>
            <w:tcW w:w="1126" w:type="pct"/>
            <w:shd w:val="clear" w:color="auto" w:fill="auto"/>
            <w:vAlign w:val="center"/>
          </w:tcPr>
          <w:p w:rsidR="00100EA4" w:rsidRPr="001364C2" w:rsidRDefault="00100EA4" w:rsidP="008734B0">
            <w:pPr>
              <w:shd w:val="clear" w:color="auto" w:fill="FFFFFF" w:themeFill="background1"/>
              <w:spacing w:after="0"/>
              <w:rPr>
                <w:rFonts w:ascii="Times New Roman" w:hAnsi="Times New Roman" w:cs="Times New Roman"/>
              </w:rPr>
            </w:pPr>
            <w:r w:rsidRPr="001364C2">
              <w:rPr>
                <w:rFonts w:ascii="Times New Roman" w:hAnsi="Times New Roman" w:cs="Times New Roman"/>
              </w:rPr>
              <w:t>Mário Biager</w:t>
            </w:r>
          </w:p>
        </w:tc>
        <w:tc>
          <w:tcPr>
            <w:tcW w:w="1836" w:type="pct"/>
            <w:shd w:val="clear" w:color="auto" w:fill="auto"/>
            <w:vAlign w:val="center"/>
          </w:tcPr>
          <w:p w:rsidR="00100EA4" w:rsidRPr="001364C2" w:rsidRDefault="00100EA4" w:rsidP="008734B0">
            <w:pPr>
              <w:shd w:val="clear" w:color="auto" w:fill="FFFFFF" w:themeFill="background1"/>
              <w:spacing w:after="0"/>
              <w:rPr>
                <w:rFonts w:ascii="Times New Roman" w:hAnsi="Times New Roman" w:cs="Times New Roman"/>
              </w:rPr>
            </w:pPr>
            <w:r w:rsidRPr="001364C2">
              <w:rPr>
                <w:rFonts w:ascii="Times New Roman" w:hAnsi="Times New Roman" w:cs="Times New Roman"/>
              </w:rPr>
              <w:t>Assistant Environnement / Social</w:t>
            </w:r>
            <w:r w:rsidRPr="001364C2">
              <w:rPr>
                <w:rFonts w:ascii="Times New Roman" w:hAnsi="Times New Roman" w:cs="Times New Roman"/>
                <w:lang w:bidi="fr-FR"/>
              </w:rPr>
              <w:t xml:space="preserve"> </w:t>
            </w:r>
          </w:p>
        </w:tc>
        <w:tc>
          <w:tcPr>
            <w:tcW w:w="1168" w:type="pct"/>
            <w:shd w:val="clear" w:color="auto" w:fill="auto"/>
          </w:tcPr>
          <w:p w:rsidR="00100EA4" w:rsidRPr="001364C2" w:rsidRDefault="00100EA4" w:rsidP="008734B0">
            <w:pPr>
              <w:shd w:val="clear" w:color="auto" w:fill="FFFFFF" w:themeFill="background1"/>
              <w:spacing w:after="0"/>
              <w:rPr>
                <w:rFonts w:ascii="Times New Roman" w:hAnsi="Times New Roman" w:cs="Times New Roman"/>
                <w:b/>
              </w:rPr>
            </w:pPr>
            <w:r w:rsidRPr="001364C2">
              <w:rPr>
                <w:rFonts w:ascii="Times New Roman" w:hAnsi="Times New Roman" w:cs="Times New Roman"/>
              </w:rPr>
              <w:t>UCP-PUASEE</w:t>
            </w:r>
          </w:p>
        </w:tc>
      </w:tr>
      <w:tr w:rsidR="00100EA4" w:rsidRPr="001364C2" w:rsidTr="008734B0">
        <w:trPr>
          <w:trHeight w:val="170"/>
        </w:trPr>
        <w:tc>
          <w:tcPr>
            <w:tcW w:w="870" w:type="pct"/>
            <w:shd w:val="clear" w:color="auto" w:fill="auto"/>
          </w:tcPr>
          <w:p w:rsidR="00100EA4" w:rsidRPr="001364C2" w:rsidRDefault="00100EA4" w:rsidP="008734B0">
            <w:pPr>
              <w:shd w:val="clear" w:color="auto" w:fill="FFFFFF" w:themeFill="background1"/>
              <w:spacing w:after="0"/>
              <w:rPr>
                <w:rFonts w:ascii="Times New Roman" w:hAnsi="Times New Roman" w:cs="Times New Roman"/>
                <w:b/>
              </w:rPr>
            </w:pPr>
          </w:p>
        </w:tc>
        <w:tc>
          <w:tcPr>
            <w:tcW w:w="1126" w:type="pct"/>
            <w:shd w:val="clear" w:color="auto" w:fill="auto"/>
            <w:vAlign w:val="center"/>
          </w:tcPr>
          <w:p w:rsidR="00100EA4" w:rsidRPr="001364C2" w:rsidRDefault="00100EA4" w:rsidP="008734B0">
            <w:pPr>
              <w:shd w:val="clear" w:color="auto" w:fill="FFFFFF" w:themeFill="background1"/>
              <w:spacing w:after="0"/>
              <w:rPr>
                <w:rFonts w:ascii="Times New Roman" w:hAnsi="Times New Roman" w:cs="Times New Roman"/>
              </w:rPr>
            </w:pPr>
            <w:r w:rsidRPr="001364C2">
              <w:rPr>
                <w:rFonts w:ascii="Times New Roman" w:hAnsi="Times New Roman" w:cs="Times New Roman"/>
              </w:rPr>
              <w:t>Júlio Tavares Ié</w:t>
            </w:r>
          </w:p>
        </w:tc>
        <w:tc>
          <w:tcPr>
            <w:tcW w:w="1836" w:type="pct"/>
            <w:shd w:val="clear" w:color="auto" w:fill="auto"/>
            <w:vAlign w:val="center"/>
          </w:tcPr>
          <w:p w:rsidR="00100EA4" w:rsidRPr="001364C2" w:rsidRDefault="00100EA4" w:rsidP="008734B0">
            <w:pPr>
              <w:shd w:val="clear" w:color="auto" w:fill="FFFFFF" w:themeFill="background1"/>
              <w:spacing w:after="0"/>
              <w:rPr>
                <w:rFonts w:ascii="Times New Roman" w:hAnsi="Times New Roman" w:cs="Times New Roman"/>
              </w:rPr>
            </w:pPr>
            <w:r w:rsidRPr="001364C2">
              <w:rPr>
                <w:rFonts w:ascii="Times New Roman" w:hAnsi="Times New Roman" w:cs="Times New Roman"/>
              </w:rPr>
              <w:t>Environnement / Social</w:t>
            </w:r>
            <w:r w:rsidRPr="001364C2">
              <w:rPr>
                <w:rFonts w:ascii="Times New Roman" w:hAnsi="Times New Roman" w:cs="Times New Roman"/>
                <w:lang w:bidi="fr-FR"/>
              </w:rPr>
              <w:t xml:space="preserve"> </w:t>
            </w:r>
          </w:p>
        </w:tc>
        <w:tc>
          <w:tcPr>
            <w:tcW w:w="1168" w:type="pct"/>
            <w:shd w:val="clear" w:color="auto" w:fill="auto"/>
          </w:tcPr>
          <w:p w:rsidR="00100EA4" w:rsidRPr="001364C2" w:rsidRDefault="00100EA4" w:rsidP="008734B0">
            <w:pPr>
              <w:shd w:val="clear" w:color="auto" w:fill="FFFFFF" w:themeFill="background1"/>
              <w:spacing w:after="0"/>
              <w:rPr>
                <w:rFonts w:ascii="Times New Roman" w:hAnsi="Times New Roman" w:cs="Times New Roman"/>
                <w:b/>
              </w:rPr>
            </w:pPr>
            <w:r w:rsidRPr="001364C2">
              <w:rPr>
                <w:rFonts w:ascii="Times New Roman" w:hAnsi="Times New Roman" w:cs="Times New Roman"/>
              </w:rPr>
              <w:t>UCP-PUASEE</w:t>
            </w:r>
          </w:p>
        </w:tc>
      </w:tr>
      <w:tr w:rsidR="00100EA4" w:rsidRPr="001364C2" w:rsidTr="008734B0">
        <w:trPr>
          <w:trHeight w:val="170"/>
        </w:trPr>
        <w:tc>
          <w:tcPr>
            <w:tcW w:w="870" w:type="pct"/>
            <w:shd w:val="clear" w:color="auto" w:fill="auto"/>
          </w:tcPr>
          <w:p w:rsidR="00100EA4" w:rsidRPr="001364C2" w:rsidRDefault="00100EA4" w:rsidP="008734B0">
            <w:pPr>
              <w:shd w:val="clear" w:color="auto" w:fill="FFFFFF" w:themeFill="background1"/>
              <w:spacing w:after="0"/>
              <w:rPr>
                <w:rFonts w:ascii="Times New Roman" w:hAnsi="Times New Roman" w:cs="Times New Roman"/>
                <w:b/>
              </w:rPr>
            </w:pPr>
          </w:p>
        </w:tc>
        <w:tc>
          <w:tcPr>
            <w:tcW w:w="1126" w:type="pct"/>
            <w:shd w:val="clear" w:color="auto" w:fill="auto"/>
            <w:vAlign w:val="center"/>
          </w:tcPr>
          <w:p w:rsidR="00100EA4" w:rsidRPr="001364C2" w:rsidRDefault="00100EA4" w:rsidP="008734B0">
            <w:pPr>
              <w:shd w:val="clear" w:color="auto" w:fill="FFFFFF" w:themeFill="background1"/>
              <w:spacing w:after="0"/>
              <w:rPr>
                <w:rFonts w:ascii="Times New Roman" w:hAnsi="Times New Roman" w:cs="Times New Roman"/>
              </w:rPr>
            </w:pPr>
            <w:r w:rsidRPr="001364C2">
              <w:rPr>
                <w:rFonts w:ascii="Times New Roman" w:hAnsi="Times New Roman" w:cs="Times New Roman"/>
              </w:rPr>
              <w:t>Felisberto Gomes</w:t>
            </w:r>
          </w:p>
        </w:tc>
        <w:tc>
          <w:tcPr>
            <w:tcW w:w="1836" w:type="pct"/>
            <w:shd w:val="clear" w:color="auto" w:fill="auto"/>
            <w:vAlign w:val="center"/>
          </w:tcPr>
          <w:p w:rsidR="00100EA4" w:rsidRPr="001364C2" w:rsidRDefault="00100EA4" w:rsidP="008734B0">
            <w:pPr>
              <w:shd w:val="clear" w:color="auto" w:fill="FFFFFF" w:themeFill="background1"/>
              <w:spacing w:after="0"/>
              <w:rPr>
                <w:rFonts w:ascii="Times New Roman" w:hAnsi="Times New Roman" w:cs="Times New Roman"/>
              </w:rPr>
            </w:pPr>
            <w:r w:rsidRPr="001364C2">
              <w:rPr>
                <w:rFonts w:ascii="Times New Roman" w:hAnsi="Times New Roman" w:cs="Times New Roman"/>
                <w:lang w:bidi="fr-FR"/>
              </w:rPr>
              <w:t xml:space="preserve">Etudes/Projets </w:t>
            </w:r>
          </w:p>
        </w:tc>
        <w:tc>
          <w:tcPr>
            <w:tcW w:w="1168" w:type="pct"/>
            <w:shd w:val="clear" w:color="auto" w:fill="auto"/>
          </w:tcPr>
          <w:p w:rsidR="00100EA4" w:rsidRPr="001364C2" w:rsidRDefault="00100EA4" w:rsidP="008734B0">
            <w:pPr>
              <w:shd w:val="clear" w:color="auto" w:fill="FFFFFF" w:themeFill="background1"/>
              <w:spacing w:after="0"/>
              <w:rPr>
                <w:rFonts w:ascii="Times New Roman" w:hAnsi="Times New Roman" w:cs="Times New Roman"/>
                <w:b/>
              </w:rPr>
            </w:pPr>
            <w:r w:rsidRPr="001364C2">
              <w:rPr>
                <w:rFonts w:ascii="Times New Roman" w:hAnsi="Times New Roman" w:cs="Times New Roman"/>
              </w:rPr>
              <w:t>EAGB</w:t>
            </w:r>
          </w:p>
        </w:tc>
      </w:tr>
      <w:tr w:rsidR="00100EA4" w:rsidRPr="001364C2" w:rsidTr="008734B0">
        <w:trPr>
          <w:trHeight w:val="170"/>
        </w:trPr>
        <w:tc>
          <w:tcPr>
            <w:tcW w:w="870" w:type="pct"/>
            <w:shd w:val="clear" w:color="auto" w:fill="auto"/>
          </w:tcPr>
          <w:p w:rsidR="00100EA4" w:rsidRPr="001364C2" w:rsidRDefault="00100EA4" w:rsidP="008734B0">
            <w:pPr>
              <w:shd w:val="clear" w:color="auto" w:fill="FFFFFF" w:themeFill="background1"/>
              <w:spacing w:after="0"/>
              <w:rPr>
                <w:rFonts w:ascii="Times New Roman" w:hAnsi="Times New Roman" w:cs="Times New Roman"/>
                <w:b/>
              </w:rPr>
            </w:pPr>
          </w:p>
        </w:tc>
        <w:tc>
          <w:tcPr>
            <w:tcW w:w="1126" w:type="pct"/>
            <w:shd w:val="clear" w:color="auto" w:fill="auto"/>
            <w:vAlign w:val="center"/>
          </w:tcPr>
          <w:p w:rsidR="00100EA4" w:rsidRPr="001364C2" w:rsidRDefault="00100EA4" w:rsidP="008734B0">
            <w:pPr>
              <w:shd w:val="clear" w:color="auto" w:fill="FFFFFF" w:themeFill="background1"/>
              <w:spacing w:after="0"/>
              <w:rPr>
                <w:rFonts w:ascii="Times New Roman" w:hAnsi="Times New Roman" w:cs="Times New Roman"/>
                <w:lang w:bidi="fr-FR"/>
              </w:rPr>
            </w:pPr>
            <w:r w:rsidRPr="001364C2">
              <w:rPr>
                <w:rFonts w:ascii="Times New Roman" w:hAnsi="Times New Roman" w:cs="Times New Roman"/>
                <w:lang w:bidi="fr-FR"/>
              </w:rPr>
              <w:t>Ruintino luibadji</w:t>
            </w:r>
          </w:p>
        </w:tc>
        <w:tc>
          <w:tcPr>
            <w:tcW w:w="1836" w:type="pct"/>
            <w:shd w:val="clear" w:color="auto" w:fill="auto"/>
            <w:vAlign w:val="center"/>
          </w:tcPr>
          <w:p w:rsidR="00100EA4" w:rsidRPr="001364C2" w:rsidRDefault="00100EA4" w:rsidP="008734B0">
            <w:pPr>
              <w:shd w:val="clear" w:color="auto" w:fill="FFFFFF" w:themeFill="background1"/>
              <w:spacing w:after="0"/>
              <w:rPr>
                <w:rFonts w:ascii="Times New Roman" w:hAnsi="Times New Roman" w:cs="Times New Roman"/>
                <w:lang w:bidi="fr-FR"/>
              </w:rPr>
            </w:pPr>
            <w:r w:rsidRPr="001364C2">
              <w:rPr>
                <w:rFonts w:ascii="Times New Roman" w:hAnsi="Times New Roman" w:cs="Times New Roman"/>
                <w:lang w:bidi="fr-FR"/>
              </w:rPr>
              <w:t>Tecnico</w:t>
            </w:r>
          </w:p>
        </w:tc>
        <w:tc>
          <w:tcPr>
            <w:tcW w:w="1168" w:type="pct"/>
            <w:shd w:val="clear" w:color="auto" w:fill="auto"/>
          </w:tcPr>
          <w:p w:rsidR="00100EA4" w:rsidRPr="001364C2" w:rsidRDefault="00100EA4" w:rsidP="008734B0">
            <w:pPr>
              <w:shd w:val="clear" w:color="auto" w:fill="FFFFFF" w:themeFill="background1"/>
              <w:spacing w:after="0"/>
              <w:rPr>
                <w:rFonts w:ascii="Times New Roman" w:hAnsi="Times New Roman" w:cs="Times New Roman"/>
                <w:b/>
              </w:rPr>
            </w:pPr>
            <w:r w:rsidRPr="001364C2">
              <w:rPr>
                <w:rFonts w:ascii="Times New Roman" w:hAnsi="Times New Roman" w:cs="Times New Roman"/>
              </w:rPr>
              <w:t>AAAC</w:t>
            </w:r>
          </w:p>
        </w:tc>
      </w:tr>
      <w:tr w:rsidR="00100EA4" w:rsidRPr="001364C2" w:rsidTr="008734B0">
        <w:trPr>
          <w:trHeight w:val="339"/>
        </w:trPr>
        <w:tc>
          <w:tcPr>
            <w:tcW w:w="870" w:type="pct"/>
            <w:shd w:val="clear" w:color="auto" w:fill="auto"/>
          </w:tcPr>
          <w:p w:rsidR="00100EA4" w:rsidRPr="001364C2" w:rsidRDefault="00100EA4" w:rsidP="008734B0">
            <w:pPr>
              <w:shd w:val="clear" w:color="auto" w:fill="FFFFFF" w:themeFill="background1"/>
              <w:spacing w:after="0"/>
              <w:rPr>
                <w:rFonts w:ascii="Times New Roman" w:hAnsi="Times New Roman" w:cs="Times New Roman"/>
                <w:b/>
              </w:rPr>
            </w:pPr>
          </w:p>
        </w:tc>
        <w:tc>
          <w:tcPr>
            <w:tcW w:w="1126" w:type="pct"/>
            <w:shd w:val="clear" w:color="auto" w:fill="auto"/>
            <w:vAlign w:val="center"/>
          </w:tcPr>
          <w:p w:rsidR="00100EA4" w:rsidRPr="001364C2" w:rsidRDefault="00100EA4" w:rsidP="008734B0">
            <w:pPr>
              <w:shd w:val="clear" w:color="auto" w:fill="FFFFFF" w:themeFill="background1"/>
              <w:spacing w:after="0"/>
              <w:rPr>
                <w:rFonts w:ascii="Times New Roman" w:hAnsi="Times New Roman" w:cs="Times New Roman"/>
                <w:lang w:bidi="fr-FR"/>
              </w:rPr>
            </w:pPr>
            <w:r w:rsidRPr="001364C2">
              <w:rPr>
                <w:rFonts w:ascii="Times New Roman" w:hAnsi="Times New Roman" w:cs="Times New Roman"/>
                <w:lang w:bidi="fr-FR"/>
              </w:rPr>
              <w:t>José E Goncalves</w:t>
            </w:r>
          </w:p>
        </w:tc>
        <w:tc>
          <w:tcPr>
            <w:tcW w:w="1836" w:type="pct"/>
            <w:shd w:val="clear" w:color="auto" w:fill="auto"/>
            <w:vAlign w:val="center"/>
          </w:tcPr>
          <w:p w:rsidR="00100EA4" w:rsidRPr="001364C2" w:rsidRDefault="00100EA4" w:rsidP="008734B0">
            <w:pPr>
              <w:shd w:val="clear" w:color="auto" w:fill="FFFFFF" w:themeFill="background1"/>
              <w:spacing w:after="0"/>
              <w:rPr>
                <w:rFonts w:ascii="Times New Roman" w:hAnsi="Times New Roman" w:cs="Times New Roman"/>
                <w:lang w:bidi="fr-FR"/>
              </w:rPr>
            </w:pPr>
            <w:r w:rsidRPr="001364C2">
              <w:rPr>
                <w:rFonts w:ascii="Times New Roman" w:hAnsi="Times New Roman" w:cs="Times New Roman"/>
                <w:lang w:bidi="fr-FR"/>
              </w:rPr>
              <w:t xml:space="preserve">AT Environnement </w:t>
            </w:r>
          </w:p>
        </w:tc>
        <w:tc>
          <w:tcPr>
            <w:tcW w:w="1168" w:type="pct"/>
            <w:shd w:val="clear" w:color="auto" w:fill="auto"/>
          </w:tcPr>
          <w:p w:rsidR="00100EA4" w:rsidRPr="001364C2" w:rsidRDefault="00100EA4" w:rsidP="008734B0">
            <w:pPr>
              <w:shd w:val="clear" w:color="auto" w:fill="FFFFFF" w:themeFill="background1"/>
              <w:spacing w:after="0"/>
              <w:rPr>
                <w:rFonts w:ascii="Times New Roman" w:hAnsi="Times New Roman" w:cs="Times New Roman"/>
                <w:b/>
              </w:rPr>
            </w:pPr>
            <w:r w:rsidRPr="001364C2">
              <w:rPr>
                <w:rFonts w:ascii="Times New Roman" w:hAnsi="Times New Roman" w:cs="Times New Roman"/>
              </w:rPr>
              <w:t>AAAC</w:t>
            </w:r>
          </w:p>
        </w:tc>
      </w:tr>
      <w:tr w:rsidR="00100EA4" w:rsidRPr="001364C2" w:rsidTr="008734B0">
        <w:trPr>
          <w:trHeight w:val="170"/>
        </w:trPr>
        <w:tc>
          <w:tcPr>
            <w:tcW w:w="870" w:type="pct"/>
            <w:shd w:val="clear" w:color="auto" w:fill="auto"/>
          </w:tcPr>
          <w:p w:rsidR="00100EA4" w:rsidRPr="001364C2" w:rsidRDefault="00100EA4" w:rsidP="008734B0">
            <w:pPr>
              <w:shd w:val="clear" w:color="auto" w:fill="FFFFFF" w:themeFill="background1"/>
              <w:spacing w:after="0"/>
              <w:rPr>
                <w:rFonts w:ascii="Times New Roman" w:hAnsi="Times New Roman" w:cs="Times New Roman"/>
                <w:b/>
              </w:rPr>
            </w:pPr>
          </w:p>
        </w:tc>
        <w:tc>
          <w:tcPr>
            <w:tcW w:w="1126" w:type="pct"/>
            <w:shd w:val="clear" w:color="auto" w:fill="auto"/>
            <w:vAlign w:val="center"/>
          </w:tcPr>
          <w:p w:rsidR="00100EA4" w:rsidRPr="001364C2" w:rsidRDefault="00100EA4" w:rsidP="008734B0">
            <w:pPr>
              <w:shd w:val="clear" w:color="auto" w:fill="FFFFFF" w:themeFill="background1"/>
              <w:spacing w:after="0"/>
              <w:rPr>
                <w:rFonts w:ascii="Times New Roman" w:hAnsi="Times New Roman" w:cs="Times New Roman"/>
                <w:lang w:bidi="fr-FR"/>
              </w:rPr>
            </w:pPr>
          </w:p>
          <w:p w:rsidR="00100EA4" w:rsidRPr="001364C2" w:rsidRDefault="00100EA4" w:rsidP="008734B0">
            <w:pPr>
              <w:shd w:val="clear" w:color="auto" w:fill="FFFFFF" w:themeFill="background1"/>
              <w:spacing w:after="0"/>
              <w:rPr>
                <w:rFonts w:ascii="Times New Roman" w:hAnsi="Times New Roman" w:cs="Times New Roman"/>
                <w:lang w:bidi="fr-FR"/>
              </w:rPr>
            </w:pPr>
            <w:r w:rsidRPr="001364C2">
              <w:rPr>
                <w:rFonts w:ascii="Times New Roman" w:hAnsi="Times New Roman" w:cs="Times New Roman"/>
                <w:lang w:bidi="fr-FR"/>
              </w:rPr>
              <w:t>Berouba Guisse</w:t>
            </w:r>
          </w:p>
          <w:p w:rsidR="00100EA4" w:rsidRPr="001364C2" w:rsidRDefault="00100EA4" w:rsidP="008734B0">
            <w:pPr>
              <w:shd w:val="clear" w:color="auto" w:fill="FFFFFF" w:themeFill="background1"/>
              <w:spacing w:after="0"/>
              <w:rPr>
                <w:rFonts w:ascii="Times New Roman" w:hAnsi="Times New Roman" w:cs="Times New Roman"/>
                <w:lang w:bidi="fr-FR"/>
              </w:rPr>
            </w:pPr>
            <w:r w:rsidRPr="001364C2">
              <w:rPr>
                <w:rFonts w:ascii="Times New Roman" w:hAnsi="Times New Roman" w:cs="Times New Roman"/>
                <w:lang w:bidi="fr-FR"/>
              </w:rPr>
              <w:t>Amadou Thiam</w:t>
            </w:r>
          </w:p>
          <w:p w:rsidR="00100EA4" w:rsidRPr="001364C2" w:rsidRDefault="00100EA4" w:rsidP="008734B0">
            <w:pPr>
              <w:shd w:val="clear" w:color="auto" w:fill="FFFFFF" w:themeFill="background1"/>
              <w:spacing w:after="0"/>
              <w:rPr>
                <w:rFonts w:ascii="Times New Roman" w:hAnsi="Times New Roman" w:cs="Times New Roman"/>
                <w:lang w:bidi="fr-FR"/>
              </w:rPr>
            </w:pPr>
            <w:r w:rsidRPr="001364C2">
              <w:rPr>
                <w:rFonts w:ascii="Times New Roman" w:hAnsi="Times New Roman" w:cs="Times New Roman"/>
                <w:lang w:bidi="fr-FR"/>
              </w:rPr>
              <w:t>Abdoulaye ciss Fall</w:t>
            </w:r>
          </w:p>
          <w:p w:rsidR="00100EA4" w:rsidRPr="001364C2" w:rsidRDefault="00100EA4" w:rsidP="008734B0">
            <w:pPr>
              <w:shd w:val="clear" w:color="auto" w:fill="FFFFFF" w:themeFill="background1"/>
              <w:spacing w:after="0"/>
              <w:rPr>
                <w:rFonts w:ascii="Times New Roman" w:hAnsi="Times New Roman" w:cs="Times New Roman"/>
                <w:lang w:bidi="fr-FR"/>
              </w:rPr>
            </w:pPr>
            <w:r w:rsidRPr="001364C2">
              <w:rPr>
                <w:rFonts w:ascii="Times New Roman" w:hAnsi="Times New Roman" w:cs="Times New Roman"/>
                <w:lang w:bidi="fr-FR"/>
              </w:rPr>
              <w:t>Racine A Guisse</w:t>
            </w:r>
          </w:p>
        </w:tc>
        <w:tc>
          <w:tcPr>
            <w:tcW w:w="1836" w:type="pct"/>
            <w:shd w:val="clear" w:color="auto" w:fill="auto"/>
            <w:vAlign w:val="center"/>
          </w:tcPr>
          <w:p w:rsidR="00100EA4" w:rsidRPr="001364C2" w:rsidRDefault="00100EA4" w:rsidP="008734B0">
            <w:pPr>
              <w:shd w:val="clear" w:color="auto" w:fill="FFFFFF" w:themeFill="background1"/>
              <w:spacing w:after="0"/>
              <w:rPr>
                <w:rFonts w:ascii="Times New Roman" w:hAnsi="Times New Roman" w:cs="Times New Roman"/>
                <w:lang w:bidi="fr-FR"/>
              </w:rPr>
            </w:pPr>
          </w:p>
          <w:p w:rsidR="00100EA4" w:rsidRPr="001364C2" w:rsidRDefault="00100EA4" w:rsidP="008734B0">
            <w:pPr>
              <w:shd w:val="clear" w:color="auto" w:fill="FFFFFF" w:themeFill="background1"/>
              <w:spacing w:after="0"/>
              <w:rPr>
                <w:rFonts w:ascii="Times New Roman" w:hAnsi="Times New Roman" w:cs="Times New Roman"/>
                <w:lang w:bidi="fr-FR"/>
              </w:rPr>
            </w:pPr>
            <w:r w:rsidRPr="001364C2">
              <w:rPr>
                <w:rFonts w:ascii="Times New Roman" w:hAnsi="Times New Roman" w:cs="Times New Roman"/>
                <w:lang w:bidi="fr-FR"/>
              </w:rPr>
              <w:t>Consultant Chef de mission</w:t>
            </w:r>
          </w:p>
          <w:p w:rsidR="00100EA4" w:rsidRPr="001364C2" w:rsidRDefault="00100EA4" w:rsidP="008734B0">
            <w:pPr>
              <w:shd w:val="clear" w:color="auto" w:fill="FFFFFF" w:themeFill="background1"/>
              <w:spacing w:after="0"/>
              <w:rPr>
                <w:rFonts w:ascii="Times New Roman" w:hAnsi="Times New Roman" w:cs="Times New Roman"/>
                <w:lang w:bidi="fr-FR"/>
              </w:rPr>
            </w:pPr>
            <w:r w:rsidRPr="001364C2">
              <w:rPr>
                <w:rFonts w:ascii="Times New Roman" w:hAnsi="Times New Roman" w:cs="Times New Roman"/>
                <w:lang w:bidi="fr-FR"/>
              </w:rPr>
              <w:t>Equipe consultant</w:t>
            </w:r>
          </w:p>
          <w:p w:rsidR="00100EA4" w:rsidRPr="001364C2" w:rsidRDefault="00100EA4" w:rsidP="008734B0">
            <w:pPr>
              <w:shd w:val="clear" w:color="auto" w:fill="FFFFFF" w:themeFill="background1"/>
              <w:spacing w:after="0"/>
              <w:rPr>
                <w:rFonts w:ascii="Times New Roman" w:hAnsi="Times New Roman" w:cs="Times New Roman"/>
                <w:lang w:bidi="fr-FR"/>
              </w:rPr>
            </w:pPr>
            <w:r w:rsidRPr="001364C2">
              <w:rPr>
                <w:rFonts w:ascii="Times New Roman" w:hAnsi="Times New Roman" w:cs="Times New Roman"/>
                <w:lang w:bidi="fr-FR"/>
              </w:rPr>
              <w:t>Equipe consultant</w:t>
            </w:r>
          </w:p>
          <w:p w:rsidR="00100EA4" w:rsidRPr="001364C2" w:rsidRDefault="00100EA4" w:rsidP="008734B0">
            <w:pPr>
              <w:shd w:val="clear" w:color="auto" w:fill="FFFFFF" w:themeFill="background1"/>
              <w:spacing w:after="0"/>
              <w:rPr>
                <w:rFonts w:ascii="Times New Roman" w:hAnsi="Times New Roman" w:cs="Times New Roman"/>
                <w:lang w:bidi="fr-FR"/>
              </w:rPr>
            </w:pPr>
            <w:r w:rsidRPr="001364C2">
              <w:rPr>
                <w:rFonts w:ascii="Times New Roman" w:hAnsi="Times New Roman" w:cs="Times New Roman"/>
                <w:lang w:bidi="fr-FR"/>
              </w:rPr>
              <w:t>Equipe consultant</w:t>
            </w:r>
          </w:p>
        </w:tc>
        <w:tc>
          <w:tcPr>
            <w:tcW w:w="1168" w:type="pct"/>
            <w:shd w:val="clear" w:color="auto" w:fill="auto"/>
          </w:tcPr>
          <w:p w:rsidR="00100EA4" w:rsidRPr="001364C2" w:rsidRDefault="00100EA4" w:rsidP="008734B0">
            <w:pPr>
              <w:shd w:val="clear" w:color="auto" w:fill="FFFFFF" w:themeFill="background1"/>
              <w:spacing w:after="0"/>
              <w:rPr>
                <w:rFonts w:ascii="Times New Roman" w:hAnsi="Times New Roman" w:cs="Times New Roman"/>
              </w:rPr>
            </w:pPr>
          </w:p>
          <w:p w:rsidR="00100EA4" w:rsidRPr="001364C2" w:rsidRDefault="00100EA4" w:rsidP="008734B0">
            <w:pPr>
              <w:shd w:val="clear" w:color="auto" w:fill="FFFFFF" w:themeFill="background1"/>
              <w:spacing w:after="0"/>
              <w:rPr>
                <w:rFonts w:ascii="Times New Roman" w:hAnsi="Times New Roman" w:cs="Times New Roman"/>
              </w:rPr>
            </w:pPr>
            <w:r w:rsidRPr="001364C2">
              <w:rPr>
                <w:rFonts w:ascii="Times New Roman" w:hAnsi="Times New Roman" w:cs="Times New Roman"/>
              </w:rPr>
              <w:t>ECI</w:t>
            </w:r>
          </w:p>
          <w:p w:rsidR="00100EA4" w:rsidRPr="001364C2" w:rsidRDefault="00100EA4" w:rsidP="008734B0">
            <w:pPr>
              <w:shd w:val="clear" w:color="auto" w:fill="FFFFFF" w:themeFill="background1"/>
              <w:spacing w:after="0"/>
              <w:rPr>
                <w:rFonts w:ascii="Times New Roman" w:hAnsi="Times New Roman" w:cs="Times New Roman"/>
              </w:rPr>
            </w:pPr>
            <w:r w:rsidRPr="001364C2">
              <w:rPr>
                <w:rFonts w:ascii="Times New Roman" w:hAnsi="Times New Roman" w:cs="Times New Roman"/>
              </w:rPr>
              <w:t>ECI</w:t>
            </w:r>
          </w:p>
          <w:p w:rsidR="00100EA4" w:rsidRPr="001364C2" w:rsidRDefault="00100EA4" w:rsidP="008734B0">
            <w:pPr>
              <w:shd w:val="clear" w:color="auto" w:fill="FFFFFF" w:themeFill="background1"/>
              <w:spacing w:after="0"/>
              <w:rPr>
                <w:rFonts w:ascii="Times New Roman" w:hAnsi="Times New Roman" w:cs="Times New Roman"/>
              </w:rPr>
            </w:pPr>
            <w:r w:rsidRPr="001364C2">
              <w:rPr>
                <w:rFonts w:ascii="Times New Roman" w:hAnsi="Times New Roman" w:cs="Times New Roman"/>
              </w:rPr>
              <w:t>ECI</w:t>
            </w:r>
          </w:p>
          <w:p w:rsidR="00100EA4" w:rsidRPr="001364C2" w:rsidRDefault="00100EA4" w:rsidP="008734B0">
            <w:pPr>
              <w:shd w:val="clear" w:color="auto" w:fill="FFFFFF" w:themeFill="background1"/>
              <w:spacing w:after="0"/>
              <w:rPr>
                <w:rFonts w:ascii="Times New Roman" w:hAnsi="Times New Roman" w:cs="Times New Roman"/>
              </w:rPr>
            </w:pPr>
            <w:r w:rsidRPr="001364C2">
              <w:rPr>
                <w:rFonts w:ascii="Times New Roman" w:hAnsi="Times New Roman" w:cs="Times New Roman"/>
              </w:rPr>
              <w:t>ECI</w:t>
            </w:r>
          </w:p>
        </w:tc>
      </w:tr>
    </w:tbl>
    <w:p w:rsidR="00100EA4" w:rsidRPr="001364C2" w:rsidRDefault="00100EA4" w:rsidP="00100EA4">
      <w:pPr>
        <w:shd w:val="clear" w:color="auto" w:fill="FFFFFF" w:themeFill="background1"/>
        <w:spacing w:after="0"/>
        <w:rPr>
          <w:rFonts w:ascii="Times New Roman" w:hAnsi="Times New Roman" w:cs="Times New Roman"/>
          <w:b/>
        </w:rPr>
      </w:pPr>
    </w:p>
    <w:tbl>
      <w:tblPr>
        <w:tblW w:w="5000" w:type="pct"/>
        <w:tblLook w:val="04A0" w:firstRow="1" w:lastRow="0" w:firstColumn="1" w:lastColumn="0" w:noHBand="0" w:noVBand="1"/>
      </w:tblPr>
      <w:tblGrid>
        <w:gridCol w:w="1026"/>
        <w:gridCol w:w="8397"/>
        <w:gridCol w:w="500"/>
      </w:tblGrid>
      <w:tr w:rsidR="00100EA4" w:rsidRPr="001364C2" w:rsidTr="008734B0">
        <w:tc>
          <w:tcPr>
            <w:tcW w:w="517" w:type="pct"/>
            <w:shd w:val="clear" w:color="auto" w:fill="auto"/>
          </w:tcPr>
          <w:p w:rsidR="00100EA4" w:rsidRPr="001364C2" w:rsidRDefault="00100EA4" w:rsidP="008734B0">
            <w:pPr>
              <w:shd w:val="clear" w:color="auto" w:fill="FFFFFF" w:themeFill="background1"/>
              <w:spacing w:after="0"/>
              <w:rPr>
                <w:rFonts w:ascii="Times New Roman" w:hAnsi="Times New Roman" w:cs="Times New Roman"/>
              </w:rPr>
            </w:pPr>
            <w:r w:rsidRPr="001364C2">
              <w:rPr>
                <w:rFonts w:ascii="Times New Roman" w:hAnsi="Times New Roman" w:cs="Times New Roman"/>
              </w:rPr>
              <w:t>ORDRE DU JOUR :</w:t>
            </w:r>
          </w:p>
        </w:tc>
        <w:tc>
          <w:tcPr>
            <w:tcW w:w="4231" w:type="pct"/>
            <w:shd w:val="clear" w:color="auto" w:fill="auto"/>
          </w:tcPr>
          <w:p w:rsidR="00100EA4" w:rsidRPr="001364C2" w:rsidRDefault="00100EA4" w:rsidP="008734B0">
            <w:pPr>
              <w:shd w:val="clear" w:color="auto" w:fill="FFFFFF" w:themeFill="background1"/>
              <w:spacing w:after="0"/>
              <w:rPr>
                <w:rFonts w:ascii="Times New Roman" w:hAnsi="Times New Roman" w:cs="Times New Roman"/>
                <w:b/>
              </w:rPr>
            </w:pPr>
            <w:r w:rsidRPr="001364C2">
              <w:rPr>
                <w:rFonts w:ascii="Times New Roman" w:hAnsi="Times New Roman" w:cs="Times New Roman"/>
                <w:b/>
              </w:rPr>
              <w:t>Réunion de Démarrage</w:t>
            </w:r>
            <w:r w:rsidRPr="001364C2">
              <w:rPr>
                <w:rFonts w:ascii="Times New Roman" w:hAnsi="Times New Roman" w:cs="Times New Roman"/>
              </w:rPr>
              <w:t xml:space="preserve"> du Marche avec l’équipe du cabinet ECI et les différentes composantes du projet (AAAC.CMB.PUASSE. EAGB) pour la présentation d’une partie de l’équipe ECI. et la mise en cadrage du projet.</w:t>
            </w:r>
          </w:p>
        </w:tc>
        <w:tc>
          <w:tcPr>
            <w:tcW w:w="253" w:type="pct"/>
            <w:shd w:val="clear" w:color="auto" w:fill="auto"/>
          </w:tcPr>
          <w:p w:rsidR="00100EA4" w:rsidRPr="001364C2" w:rsidRDefault="00100EA4" w:rsidP="008734B0">
            <w:pPr>
              <w:shd w:val="clear" w:color="auto" w:fill="FFFFFF" w:themeFill="background1"/>
              <w:spacing w:after="0"/>
              <w:rPr>
                <w:rFonts w:ascii="Times New Roman" w:hAnsi="Times New Roman" w:cs="Times New Roman"/>
                <w:b/>
              </w:rPr>
            </w:pPr>
          </w:p>
        </w:tc>
      </w:tr>
    </w:tbl>
    <w:p w:rsidR="00100EA4" w:rsidRPr="001364C2" w:rsidRDefault="00100EA4" w:rsidP="00100EA4">
      <w:pPr>
        <w:shd w:val="clear" w:color="auto" w:fill="FFFFFF" w:themeFill="background1"/>
        <w:spacing w:after="0"/>
        <w:rPr>
          <w:rFonts w:ascii="Times New Roman" w:hAnsi="Times New Roman" w:cs="Times New Roman"/>
          <w:b/>
        </w:rPr>
      </w:pPr>
    </w:p>
    <w:tbl>
      <w:tblPr>
        <w:tblW w:w="5576" w:type="pct"/>
        <w:tblLook w:val="04A0" w:firstRow="1" w:lastRow="0" w:firstColumn="1" w:lastColumn="0" w:noHBand="0" w:noVBand="1"/>
      </w:tblPr>
      <w:tblGrid>
        <w:gridCol w:w="299"/>
        <w:gridCol w:w="8481"/>
        <w:gridCol w:w="1144"/>
        <w:gridCol w:w="1142"/>
      </w:tblGrid>
      <w:tr w:rsidR="00100EA4" w:rsidRPr="001364C2" w:rsidTr="008734B0">
        <w:trPr>
          <w:gridAfter w:val="1"/>
          <w:wAfter w:w="516" w:type="pct"/>
          <w:trHeight w:val="594"/>
        </w:trPr>
        <w:tc>
          <w:tcPr>
            <w:tcW w:w="3967" w:type="pct"/>
            <w:gridSpan w:val="2"/>
            <w:shd w:val="clear" w:color="auto" w:fill="auto"/>
            <w:vAlign w:val="center"/>
          </w:tcPr>
          <w:p w:rsidR="00100EA4" w:rsidRPr="001364C2" w:rsidRDefault="00100EA4" w:rsidP="008734B0">
            <w:pPr>
              <w:shd w:val="clear" w:color="auto" w:fill="FFFFFF" w:themeFill="background1"/>
              <w:spacing w:after="0"/>
              <w:rPr>
                <w:rFonts w:ascii="Times New Roman" w:hAnsi="Times New Roman" w:cs="Times New Roman"/>
                <w:b/>
              </w:rPr>
            </w:pPr>
            <w:r w:rsidRPr="001364C2">
              <w:rPr>
                <w:rFonts w:ascii="Times New Roman" w:hAnsi="Times New Roman" w:cs="Times New Roman"/>
              </w:rPr>
              <w:t>POINTS DISCUTÉS :</w:t>
            </w:r>
          </w:p>
        </w:tc>
        <w:tc>
          <w:tcPr>
            <w:tcW w:w="517" w:type="pct"/>
            <w:shd w:val="clear" w:color="auto" w:fill="auto"/>
          </w:tcPr>
          <w:p w:rsidR="00100EA4" w:rsidRPr="001364C2" w:rsidRDefault="00100EA4" w:rsidP="008734B0">
            <w:pPr>
              <w:shd w:val="clear" w:color="auto" w:fill="FFFFFF" w:themeFill="background1"/>
              <w:spacing w:after="0"/>
              <w:rPr>
                <w:rFonts w:ascii="Times New Roman" w:hAnsi="Times New Roman" w:cs="Times New Roman"/>
                <w:b/>
              </w:rPr>
            </w:pPr>
          </w:p>
        </w:tc>
      </w:tr>
      <w:tr w:rsidR="00100EA4" w:rsidRPr="001364C2" w:rsidTr="008734B0">
        <w:trPr>
          <w:gridAfter w:val="1"/>
          <w:wAfter w:w="516" w:type="pct"/>
        </w:trPr>
        <w:tc>
          <w:tcPr>
            <w:tcW w:w="135" w:type="pct"/>
            <w:shd w:val="clear" w:color="auto" w:fill="auto"/>
          </w:tcPr>
          <w:p w:rsidR="00100EA4" w:rsidRPr="001364C2" w:rsidRDefault="00100EA4" w:rsidP="008734B0">
            <w:pPr>
              <w:shd w:val="clear" w:color="auto" w:fill="FFFFFF" w:themeFill="background1"/>
              <w:spacing w:after="0"/>
              <w:rPr>
                <w:rFonts w:ascii="Times New Roman" w:hAnsi="Times New Roman" w:cs="Times New Roman"/>
              </w:rPr>
            </w:pPr>
          </w:p>
        </w:tc>
        <w:tc>
          <w:tcPr>
            <w:tcW w:w="3832" w:type="pct"/>
            <w:shd w:val="clear" w:color="auto" w:fill="auto"/>
          </w:tcPr>
          <w:p w:rsidR="00100EA4" w:rsidRPr="001364C2" w:rsidRDefault="00100EA4" w:rsidP="008734B0">
            <w:pPr>
              <w:shd w:val="clear" w:color="auto" w:fill="FFFFFF" w:themeFill="background1"/>
              <w:spacing w:after="0"/>
              <w:rPr>
                <w:rFonts w:ascii="Times New Roman" w:hAnsi="Times New Roman" w:cs="Times New Roman"/>
              </w:rPr>
            </w:pPr>
            <w:r w:rsidRPr="001364C2">
              <w:rPr>
                <w:rFonts w:ascii="Times New Roman" w:hAnsi="Times New Roman" w:cs="Times New Roman"/>
              </w:rPr>
              <w:t xml:space="preserve">Présentation du projet par le consultant sous forme de (power point) </w:t>
            </w:r>
          </w:p>
          <w:p w:rsidR="00100EA4" w:rsidRPr="001364C2" w:rsidRDefault="00100EA4" w:rsidP="008734B0">
            <w:pPr>
              <w:shd w:val="clear" w:color="auto" w:fill="FFFFFF" w:themeFill="background1"/>
              <w:spacing w:after="0"/>
              <w:rPr>
                <w:rFonts w:ascii="Times New Roman" w:hAnsi="Times New Roman" w:cs="Times New Roman"/>
              </w:rPr>
            </w:pPr>
            <w:r w:rsidRPr="001364C2">
              <w:rPr>
                <w:rFonts w:ascii="Times New Roman" w:hAnsi="Times New Roman" w:cs="Times New Roman"/>
              </w:rPr>
              <w:t>Compréhension des sous projets suivant les TDR</w:t>
            </w:r>
          </w:p>
          <w:p w:rsidR="00100EA4" w:rsidRPr="001364C2" w:rsidRDefault="00100EA4" w:rsidP="008734B0">
            <w:pPr>
              <w:shd w:val="clear" w:color="auto" w:fill="FFFFFF" w:themeFill="background1"/>
              <w:spacing w:after="0"/>
              <w:rPr>
                <w:rFonts w:ascii="Times New Roman" w:hAnsi="Times New Roman" w:cs="Times New Roman"/>
              </w:rPr>
            </w:pPr>
            <w:r w:rsidRPr="001364C2">
              <w:rPr>
                <w:rFonts w:ascii="Times New Roman" w:hAnsi="Times New Roman" w:cs="Times New Roman"/>
              </w:rPr>
              <w:t>Précision sur les changements qui auront lieu sur le programme de construction et sur le réseau d’extensions,</w:t>
            </w:r>
          </w:p>
          <w:p w:rsidR="00100EA4" w:rsidRPr="001364C2" w:rsidRDefault="00100EA4" w:rsidP="008734B0">
            <w:pPr>
              <w:shd w:val="clear" w:color="auto" w:fill="FFFFFF" w:themeFill="background1"/>
              <w:spacing w:after="0"/>
              <w:rPr>
                <w:rFonts w:ascii="Times New Roman" w:hAnsi="Times New Roman" w:cs="Times New Roman"/>
              </w:rPr>
            </w:pPr>
            <w:r w:rsidRPr="001364C2">
              <w:rPr>
                <w:rFonts w:ascii="Times New Roman" w:hAnsi="Times New Roman" w:cs="Times New Roman"/>
              </w:rPr>
              <w:t>Remplacement de l’amiante ciment et détermination du tracé existant</w:t>
            </w:r>
          </w:p>
          <w:p w:rsidR="00100EA4" w:rsidRPr="001364C2" w:rsidRDefault="00100EA4" w:rsidP="008734B0">
            <w:pPr>
              <w:shd w:val="clear" w:color="auto" w:fill="FFFFFF" w:themeFill="background1"/>
              <w:spacing w:after="0"/>
              <w:rPr>
                <w:rFonts w:ascii="Times New Roman" w:hAnsi="Times New Roman" w:cs="Times New Roman"/>
              </w:rPr>
            </w:pPr>
            <w:r w:rsidRPr="001364C2">
              <w:rPr>
                <w:rFonts w:ascii="Times New Roman" w:hAnsi="Times New Roman" w:cs="Times New Roman"/>
              </w:rPr>
              <w:t>Visite de terrain afin de mieux préciser les études de PAR qui seront nécessaires</w:t>
            </w:r>
          </w:p>
          <w:p w:rsidR="00100EA4" w:rsidRPr="001364C2" w:rsidRDefault="00100EA4" w:rsidP="008734B0">
            <w:pPr>
              <w:shd w:val="clear" w:color="auto" w:fill="FFFFFF" w:themeFill="background1"/>
              <w:spacing w:after="0"/>
              <w:rPr>
                <w:rFonts w:ascii="Times New Roman" w:hAnsi="Times New Roman" w:cs="Times New Roman"/>
              </w:rPr>
            </w:pPr>
            <w:r w:rsidRPr="001364C2">
              <w:rPr>
                <w:rFonts w:ascii="Times New Roman" w:hAnsi="Times New Roman" w:cs="Times New Roman"/>
              </w:rPr>
              <w:t>Elaboration de rapport de démarrage</w:t>
            </w:r>
          </w:p>
          <w:p w:rsidR="00100EA4" w:rsidRPr="001364C2" w:rsidRDefault="00100EA4" w:rsidP="008734B0">
            <w:pPr>
              <w:shd w:val="clear" w:color="auto" w:fill="FFFFFF" w:themeFill="background1"/>
              <w:spacing w:after="0"/>
              <w:rPr>
                <w:rFonts w:ascii="Times New Roman" w:hAnsi="Times New Roman" w:cs="Times New Roman"/>
              </w:rPr>
            </w:pPr>
            <w:r w:rsidRPr="001364C2">
              <w:rPr>
                <w:rFonts w:ascii="Times New Roman" w:hAnsi="Times New Roman" w:cs="Times New Roman"/>
              </w:rPr>
              <w:t>Nécessite de reprendre les TDR par sous projet pour leur validation à AAAC</w:t>
            </w:r>
          </w:p>
          <w:p w:rsidR="00100EA4" w:rsidRPr="001364C2" w:rsidRDefault="00100EA4" w:rsidP="008734B0">
            <w:pPr>
              <w:shd w:val="clear" w:color="auto" w:fill="FFFFFF" w:themeFill="background1"/>
              <w:spacing w:after="0"/>
              <w:rPr>
                <w:rFonts w:ascii="Times New Roman" w:hAnsi="Times New Roman" w:cs="Times New Roman"/>
              </w:rPr>
            </w:pPr>
          </w:p>
          <w:p w:rsidR="00100EA4" w:rsidRPr="001364C2" w:rsidRDefault="00100EA4" w:rsidP="008734B0">
            <w:pPr>
              <w:shd w:val="clear" w:color="auto" w:fill="FFFFFF" w:themeFill="background1"/>
              <w:spacing w:after="0"/>
              <w:rPr>
                <w:rFonts w:ascii="Times New Roman" w:hAnsi="Times New Roman" w:cs="Times New Roman"/>
              </w:rPr>
            </w:pPr>
            <w:r w:rsidRPr="001364C2">
              <w:rPr>
                <w:rFonts w:ascii="Times New Roman" w:hAnsi="Times New Roman" w:cs="Times New Roman"/>
              </w:rPr>
              <w:t>DECISIONS PRISES :</w:t>
            </w:r>
          </w:p>
          <w:p w:rsidR="00100EA4" w:rsidRPr="001364C2" w:rsidRDefault="00100EA4" w:rsidP="008734B0">
            <w:pPr>
              <w:shd w:val="clear" w:color="auto" w:fill="FFFFFF" w:themeFill="background1"/>
              <w:spacing w:after="0"/>
              <w:rPr>
                <w:rFonts w:ascii="Times New Roman" w:hAnsi="Times New Roman" w:cs="Times New Roman"/>
              </w:rPr>
            </w:pPr>
          </w:p>
          <w:p w:rsidR="00100EA4" w:rsidRPr="001364C2" w:rsidRDefault="00100EA4" w:rsidP="008734B0">
            <w:pPr>
              <w:shd w:val="clear" w:color="auto" w:fill="FFFFFF" w:themeFill="background1"/>
              <w:spacing w:after="0"/>
              <w:rPr>
                <w:rFonts w:ascii="Times New Roman" w:hAnsi="Times New Roman" w:cs="Times New Roman"/>
              </w:rPr>
            </w:pPr>
            <w:r w:rsidRPr="001364C2">
              <w:rPr>
                <w:rFonts w:ascii="Times New Roman" w:hAnsi="Times New Roman" w:cs="Times New Roman"/>
              </w:rPr>
              <w:t>Plusieurs points ont été discutés et arrêtés durant cette séance de travail, à savoir :</w:t>
            </w:r>
          </w:p>
        </w:tc>
        <w:tc>
          <w:tcPr>
            <w:tcW w:w="517" w:type="pct"/>
            <w:shd w:val="clear" w:color="auto" w:fill="auto"/>
          </w:tcPr>
          <w:p w:rsidR="00100EA4" w:rsidRPr="001364C2" w:rsidRDefault="00100EA4" w:rsidP="008734B0">
            <w:pPr>
              <w:shd w:val="clear" w:color="auto" w:fill="FFFFFF" w:themeFill="background1"/>
              <w:spacing w:after="0"/>
              <w:rPr>
                <w:rFonts w:ascii="Times New Roman" w:hAnsi="Times New Roman" w:cs="Times New Roman"/>
                <w:b/>
              </w:rPr>
            </w:pPr>
          </w:p>
        </w:tc>
      </w:tr>
      <w:tr w:rsidR="00100EA4" w:rsidRPr="001364C2" w:rsidTr="008734B0">
        <w:trPr>
          <w:gridAfter w:val="1"/>
          <w:wAfter w:w="516" w:type="pct"/>
        </w:trPr>
        <w:tc>
          <w:tcPr>
            <w:tcW w:w="135" w:type="pct"/>
            <w:shd w:val="clear" w:color="auto" w:fill="auto"/>
          </w:tcPr>
          <w:p w:rsidR="00100EA4" w:rsidRPr="001364C2" w:rsidRDefault="00100EA4" w:rsidP="008734B0">
            <w:pPr>
              <w:shd w:val="clear" w:color="auto" w:fill="FFFFFF" w:themeFill="background1"/>
              <w:spacing w:after="0"/>
              <w:rPr>
                <w:rFonts w:ascii="Times New Roman" w:hAnsi="Times New Roman" w:cs="Times New Roman"/>
              </w:rPr>
            </w:pPr>
          </w:p>
        </w:tc>
        <w:tc>
          <w:tcPr>
            <w:tcW w:w="3832" w:type="pct"/>
            <w:shd w:val="clear" w:color="auto" w:fill="auto"/>
          </w:tcPr>
          <w:p w:rsidR="00100EA4" w:rsidRPr="001364C2" w:rsidRDefault="00100EA4" w:rsidP="008734B0">
            <w:pPr>
              <w:shd w:val="clear" w:color="auto" w:fill="FFFFFF" w:themeFill="background1"/>
              <w:spacing w:after="0" w:line="360" w:lineRule="auto"/>
              <w:ind w:left="720"/>
              <w:jc w:val="both"/>
              <w:rPr>
                <w:rFonts w:ascii="Times New Roman" w:hAnsi="Times New Roman" w:cs="Times New Roman"/>
              </w:rPr>
            </w:pPr>
          </w:p>
          <w:p w:rsidR="00100EA4" w:rsidRPr="001364C2" w:rsidRDefault="00100EA4" w:rsidP="00FA3FAE">
            <w:pPr>
              <w:numPr>
                <w:ilvl w:val="0"/>
                <w:numId w:val="22"/>
              </w:numPr>
              <w:shd w:val="clear" w:color="auto" w:fill="FFFFFF" w:themeFill="background1"/>
              <w:spacing w:after="0" w:line="360" w:lineRule="auto"/>
              <w:jc w:val="both"/>
              <w:rPr>
                <w:rFonts w:ascii="Times New Roman" w:hAnsi="Times New Roman" w:cs="Times New Roman"/>
              </w:rPr>
            </w:pPr>
            <w:r w:rsidRPr="001364C2">
              <w:rPr>
                <w:rFonts w:ascii="Times New Roman" w:hAnsi="Times New Roman" w:cs="Times New Roman"/>
              </w:rPr>
              <w:lastRenderedPageBreak/>
              <w:t>L’attention du Consultant a été attiré sur le fait que, contrairement à ce qui a été écrit dans les TDR, il y aura des changements qui seront précisés sur les rapports APS en finalisation ;</w:t>
            </w:r>
          </w:p>
          <w:p w:rsidR="00100EA4" w:rsidRPr="001364C2" w:rsidRDefault="00100EA4" w:rsidP="00FA3FAE">
            <w:pPr>
              <w:numPr>
                <w:ilvl w:val="0"/>
                <w:numId w:val="22"/>
              </w:numPr>
              <w:shd w:val="clear" w:color="auto" w:fill="FFFFFF" w:themeFill="background1"/>
              <w:spacing w:after="0" w:line="360" w:lineRule="auto"/>
              <w:jc w:val="both"/>
              <w:rPr>
                <w:rFonts w:ascii="Times New Roman" w:hAnsi="Times New Roman" w:cs="Times New Roman"/>
              </w:rPr>
            </w:pPr>
            <w:r w:rsidRPr="001364C2">
              <w:rPr>
                <w:rFonts w:ascii="Times New Roman" w:hAnsi="Times New Roman" w:cs="Times New Roman"/>
              </w:rPr>
              <w:t>Le Consultant pourra se baser sur le PV du 20 mars qui lui a été envoyé pour avoir une idée de ces changements,</w:t>
            </w:r>
          </w:p>
          <w:p w:rsidR="00100EA4" w:rsidRPr="001364C2" w:rsidRDefault="00100EA4" w:rsidP="00FA3FAE">
            <w:pPr>
              <w:numPr>
                <w:ilvl w:val="0"/>
                <w:numId w:val="22"/>
              </w:numPr>
              <w:shd w:val="clear" w:color="auto" w:fill="FFFFFF" w:themeFill="background1"/>
              <w:spacing w:after="0" w:line="360" w:lineRule="auto"/>
              <w:jc w:val="both"/>
              <w:rPr>
                <w:rFonts w:ascii="Times New Roman" w:hAnsi="Times New Roman" w:cs="Times New Roman"/>
              </w:rPr>
            </w:pPr>
            <w:r w:rsidRPr="001364C2">
              <w:rPr>
                <w:rFonts w:ascii="Times New Roman" w:hAnsi="Times New Roman" w:cs="Times New Roman"/>
              </w:rPr>
              <w:t xml:space="preserve">Il a été demandé au Consultant de se conformer à la page de garde qui lui a été </w:t>
            </w:r>
          </w:p>
          <w:p w:rsidR="00100EA4" w:rsidRPr="001364C2" w:rsidRDefault="00100EA4" w:rsidP="008734B0">
            <w:pPr>
              <w:shd w:val="clear" w:color="auto" w:fill="FFFFFF" w:themeFill="background1"/>
              <w:spacing w:after="0" w:line="360" w:lineRule="auto"/>
              <w:ind w:left="720"/>
              <w:jc w:val="both"/>
              <w:rPr>
                <w:rFonts w:ascii="Times New Roman" w:hAnsi="Times New Roman" w:cs="Times New Roman"/>
              </w:rPr>
            </w:pPr>
            <w:r w:rsidRPr="001364C2">
              <w:rPr>
                <w:rFonts w:ascii="Times New Roman" w:hAnsi="Times New Roman" w:cs="Times New Roman"/>
              </w:rPr>
              <w:t>Transmise par email,</w:t>
            </w:r>
          </w:p>
          <w:p w:rsidR="00100EA4" w:rsidRPr="001364C2" w:rsidRDefault="00100EA4" w:rsidP="00FA3FAE">
            <w:pPr>
              <w:numPr>
                <w:ilvl w:val="0"/>
                <w:numId w:val="22"/>
              </w:numPr>
              <w:shd w:val="clear" w:color="auto" w:fill="FFFFFF" w:themeFill="background1"/>
              <w:spacing w:after="0" w:line="360" w:lineRule="auto"/>
              <w:jc w:val="both"/>
              <w:rPr>
                <w:rFonts w:ascii="Times New Roman" w:hAnsi="Times New Roman" w:cs="Times New Roman"/>
              </w:rPr>
            </w:pPr>
            <w:r w:rsidRPr="001364C2">
              <w:rPr>
                <w:rFonts w:ascii="Times New Roman" w:hAnsi="Times New Roman" w:cs="Times New Roman"/>
              </w:rPr>
              <w:t xml:space="preserve">Il a été retenu que seulement les sous projets 3, 4 et 5 devront nécessiter un PAR. </w:t>
            </w:r>
          </w:p>
          <w:p w:rsidR="00100EA4" w:rsidRPr="001364C2" w:rsidRDefault="00100EA4" w:rsidP="00FA3FAE">
            <w:pPr>
              <w:numPr>
                <w:ilvl w:val="0"/>
                <w:numId w:val="22"/>
              </w:numPr>
              <w:shd w:val="clear" w:color="auto" w:fill="FFFFFF" w:themeFill="background1"/>
              <w:spacing w:after="0" w:line="360" w:lineRule="auto"/>
              <w:jc w:val="both"/>
              <w:rPr>
                <w:rFonts w:ascii="Times New Roman" w:hAnsi="Times New Roman" w:cs="Times New Roman"/>
              </w:rPr>
            </w:pPr>
            <w:r w:rsidRPr="001364C2">
              <w:rPr>
                <w:rFonts w:ascii="Times New Roman" w:hAnsi="Times New Roman" w:cs="Times New Roman"/>
              </w:rPr>
              <w:t>Concernant la proposition du Consultant de regrouper ces 3 PAR en un seul, il a été retenu que le nombre de PAR a effectué par le Consultant dépendra des résultats issus du travail de terrain et sera précisé dans le rapport de démarrage,</w:t>
            </w:r>
          </w:p>
          <w:p w:rsidR="00100EA4" w:rsidRPr="001364C2" w:rsidRDefault="00100EA4" w:rsidP="00FA3FAE">
            <w:pPr>
              <w:numPr>
                <w:ilvl w:val="0"/>
                <w:numId w:val="22"/>
              </w:numPr>
              <w:shd w:val="clear" w:color="auto" w:fill="FFFFFF" w:themeFill="background1"/>
              <w:spacing w:after="0" w:line="360" w:lineRule="auto"/>
              <w:jc w:val="both"/>
              <w:rPr>
                <w:rFonts w:ascii="Times New Roman" w:hAnsi="Times New Roman" w:cs="Times New Roman"/>
              </w:rPr>
            </w:pPr>
            <w:r w:rsidRPr="001364C2">
              <w:rPr>
                <w:rFonts w:ascii="Times New Roman" w:hAnsi="Times New Roman" w:cs="Times New Roman"/>
              </w:rPr>
              <w:t>Le Consultant devra transmettre ce 08 Mai au PUASEE une lettre destinée à informer les parties prenantes et les points focaux du démarrage des études environnementales pour solliciter leur collaboration,</w:t>
            </w:r>
          </w:p>
          <w:p w:rsidR="00100EA4" w:rsidRPr="001364C2" w:rsidRDefault="00100EA4" w:rsidP="00FA3FAE">
            <w:pPr>
              <w:numPr>
                <w:ilvl w:val="0"/>
                <w:numId w:val="22"/>
              </w:numPr>
              <w:shd w:val="clear" w:color="auto" w:fill="FFFFFF" w:themeFill="background1"/>
              <w:spacing w:after="0" w:line="360" w:lineRule="auto"/>
              <w:jc w:val="both"/>
              <w:rPr>
                <w:rFonts w:ascii="Times New Roman" w:hAnsi="Times New Roman" w:cs="Times New Roman"/>
              </w:rPr>
            </w:pPr>
            <w:r w:rsidRPr="001364C2">
              <w:rPr>
                <w:rFonts w:ascii="Times New Roman" w:hAnsi="Times New Roman" w:cs="Times New Roman"/>
              </w:rPr>
              <w:t>Le Consultant devra transmettre ce 8 Mai un programme d’intervention sur le terrain pour pouvoir être guidé par le PUASE ou les parties prenantes,</w:t>
            </w:r>
          </w:p>
          <w:p w:rsidR="00100EA4" w:rsidRPr="001364C2" w:rsidRDefault="00100EA4" w:rsidP="00FA3FAE">
            <w:pPr>
              <w:numPr>
                <w:ilvl w:val="0"/>
                <w:numId w:val="22"/>
              </w:numPr>
              <w:shd w:val="clear" w:color="auto" w:fill="FFFFFF" w:themeFill="background1"/>
              <w:spacing w:after="0" w:line="360" w:lineRule="auto"/>
              <w:jc w:val="both"/>
              <w:rPr>
                <w:rFonts w:ascii="Times New Roman" w:hAnsi="Times New Roman" w:cs="Times New Roman"/>
              </w:rPr>
            </w:pPr>
            <w:r w:rsidRPr="001364C2">
              <w:rPr>
                <w:rFonts w:ascii="Times New Roman" w:hAnsi="Times New Roman" w:cs="Times New Roman"/>
              </w:rPr>
              <w:t>Le Consultant devra aussi transmettre au PUASEE un tableau actualisé d’intervention de ses experts en fonction des livrables,</w:t>
            </w:r>
          </w:p>
          <w:p w:rsidR="00100EA4" w:rsidRPr="001364C2" w:rsidRDefault="00100EA4" w:rsidP="00FA3FAE">
            <w:pPr>
              <w:numPr>
                <w:ilvl w:val="0"/>
                <w:numId w:val="22"/>
              </w:numPr>
              <w:shd w:val="clear" w:color="auto" w:fill="FFFFFF" w:themeFill="background1"/>
              <w:spacing w:after="0" w:line="360" w:lineRule="auto"/>
              <w:jc w:val="both"/>
              <w:rPr>
                <w:rFonts w:ascii="Times New Roman" w:hAnsi="Times New Roman" w:cs="Times New Roman"/>
              </w:rPr>
            </w:pPr>
            <w:r w:rsidRPr="001364C2">
              <w:rPr>
                <w:rFonts w:ascii="Times New Roman" w:hAnsi="Times New Roman" w:cs="Times New Roman"/>
              </w:rPr>
              <w:t>IL a été précisé que les études de PAR seront adossées à l’APD en cours de réalisation. En effet, tant que le tracé des réseaux et les études topo ne seront pas précis, le PAR ne pourra pas être terminé.</w:t>
            </w:r>
          </w:p>
          <w:p w:rsidR="00100EA4" w:rsidRPr="001364C2" w:rsidRDefault="00100EA4" w:rsidP="008734B0">
            <w:pPr>
              <w:shd w:val="clear" w:color="auto" w:fill="FFFFFF" w:themeFill="background1"/>
              <w:spacing w:after="0" w:line="360" w:lineRule="auto"/>
              <w:ind w:left="720"/>
              <w:jc w:val="both"/>
              <w:rPr>
                <w:rFonts w:ascii="Times New Roman" w:hAnsi="Times New Roman" w:cs="Times New Roman"/>
              </w:rPr>
            </w:pPr>
          </w:p>
        </w:tc>
        <w:tc>
          <w:tcPr>
            <w:tcW w:w="517" w:type="pct"/>
            <w:shd w:val="clear" w:color="auto" w:fill="auto"/>
          </w:tcPr>
          <w:p w:rsidR="00100EA4" w:rsidRPr="001364C2" w:rsidRDefault="00100EA4" w:rsidP="008734B0">
            <w:pPr>
              <w:shd w:val="clear" w:color="auto" w:fill="FFFFFF" w:themeFill="background1"/>
              <w:spacing w:after="0"/>
              <w:rPr>
                <w:rFonts w:ascii="Times New Roman" w:hAnsi="Times New Roman" w:cs="Times New Roman"/>
              </w:rPr>
            </w:pPr>
          </w:p>
        </w:tc>
      </w:tr>
      <w:tr w:rsidR="00100EA4" w:rsidRPr="001364C2" w:rsidTr="008734B0">
        <w:trPr>
          <w:gridAfter w:val="1"/>
          <w:wAfter w:w="516" w:type="pct"/>
        </w:trPr>
        <w:tc>
          <w:tcPr>
            <w:tcW w:w="135" w:type="pct"/>
            <w:shd w:val="clear" w:color="auto" w:fill="auto"/>
          </w:tcPr>
          <w:p w:rsidR="00100EA4" w:rsidRPr="001364C2" w:rsidRDefault="00100EA4" w:rsidP="008734B0">
            <w:pPr>
              <w:shd w:val="clear" w:color="auto" w:fill="FFFFFF" w:themeFill="background1"/>
              <w:spacing w:after="0"/>
              <w:rPr>
                <w:rFonts w:ascii="Times New Roman" w:hAnsi="Times New Roman" w:cs="Times New Roman"/>
              </w:rPr>
            </w:pPr>
          </w:p>
        </w:tc>
        <w:tc>
          <w:tcPr>
            <w:tcW w:w="3832" w:type="pct"/>
            <w:shd w:val="clear" w:color="auto" w:fill="auto"/>
          </w:tcPr>
          <w:p w:rsidR="00100EA4" w:rsidRPr="001364C2" w:rsidRDefault="00100EA4" w:rsidP="008734B0">
            <w:pPr>
              <w:shd w:val="clear" w:color="auto" w:fill="FFFFFF" w:themeFill="background1"/>
              <w:spacing w:after="0"/>
              <w:rPr>
                <w:rFonts w:ascii="Times New Roman" w:hAnsi="Times New Roman" w:cs="Times New Roman"/>
              </w:rPr>
            </w:pPr>
          </w:p>
        </w:tc>
        <w:tc>
          <w:tcPr>
            <w:tcW w:w="517" w:type="pct"/>
            <w:shd w:val="clear" w:color="auto" w:fill="auto"/>
          </w:tcPr>
          <w:p w:rsidR="00100EA4" w:rsidRPr="001364C2" w:rsidRDefault="00100EA4" w:rsidP="008734B0">
            <w:pPr>
              <w:shd w:val="clear" w:color="auto" w:fill="FFFFFF" w:themeFill="background1"/>
              <w:spacing w:after="0"/>
              <w:rPr>
                <w:rFonts w:ascii="Times New Roman" w:hAnsi="Times New Roman" w:cs="Times New Roman"/>
                <w:b/>
              </w:rPr>
            </w:pPr>
          </w:p>
        </w:tc>
      </w:tr>
      <w:tr w:rsidR="00100EA4" w:rsidRPr="001364C2" w:rsidTr="008734B0">
        <w:trPr>
          <w:gridAfter w:val="1"/>
          <w:wAfter w:w="516" w:type="pct"/>
        </w:trPr>
        <w:tc>
          <w:tcPr>
            <w:tcW w:w="135" w:type="pct"/>
            <w:shd w:val="clear" w:color="auto" w:fill="auto"/>
          </w:tcPr>
          <w:p w:rsidR="00100EA4" w:rsidRPr="001364C2" w:rsidRDefault="00100EA4" w:rsidP="008734B0">
            <w:pPr>
              <w:shd w:val="clear" w:color="auto" w:fill="FFFFFF" w:themeFill="background1"/>
              <w:spacing w:after="0"/>
              <w:rPr>
                <w:rFonts w:ascii="Times New Roman" w:hAnsi="Times New Roman" w:cs="Times New Roman"/>
              </w:rPr>
            </w:pPr>
          </w:p>
        </w:tc>
        <w:tc>
          <w:tcPr>
            <w:tcW w:w="3832" w:type="pct"/>
            <w:shd w:val="clear" w:color="auto" w:fill="auto"/>
          </w:tcPr>
          <w:p w:rsidR="00100EA4" w:rsidRPr="001364C2" w:rsidRDefault="00100EA4" w:rsidP="008734B0">
            <w:pPr>
              <w:shd w:val="clear" w:color="auto" w:fill="FFFFFF" w:themeFill="background1"/>
              <w:spacing w:after="0"/>
              <w:rPr>
                <w:rFonts w:ascii="Times New Roman" w:hAnsi="Times New Roman" w:cs="Times New Roman"/>
              </w:rPr>
            </w:pPr>
            <w:r w:rsidRPr="001364C2">
              <w:rPr>
                <w:rFonts w:ascii="Times New Roman" w:hAnsi="Times New Roman" w:cs="Times New Roman"/>
              </w:rPr>
              <w:t>La réunion a pris fin à 11H 40 MN.</w:t>
            </w:r>
          </w:p>
          <w:p w:rsidR="00100EA4" w:rsidRPr="001364C2" w:rsidRDefault="00100EA4" w:rsidP="008734B0">
            <w:pPr>
              <w:shd w:val="clear" w:color="auto" w:fill="FFFFFF" w:themeFill="background1"/>
              <w:spacing w:after="0"/>
              <w:ind w:left="360"/>
              <w:rPr>
                <w:rFonts w:ascii="Times New Roman" w:hAnsi="Times New Roman" w:cs="Times New Roman"/>
              </w:rPr>
            </w:pPr>
          </w:p>
        </w:tc>
        <w:tc>
          <w:tcPr>
            <w:tcW w:w="517" w:type="pct"/>
            <w:shd w:val="clear" w:color="auto" w:fill="auto"/>
          </w:tcPr>
          <w:p w:rsidR="00100EA4" w:rsidRPr="001364C2" w:rsidRDefault="00100EA4" w:rsidP="008734B0">
            <w:pPr>
              <w:shd w:val="clear" w:color="auto" w:fill="FFFFFF" w:themeFill="background1"/>
              <w:spacing w:after="0"/>
              <w:rPr>
                <w:rFonts w:ascii="Times New Roman" w:hAnsi="Times New Roman" w:cs="Times New Roman"/>
                <w:b/>
              </w:rPr>
            </w:pPr>
          </w:p>
        </w:tc>
      </w:tr>
      <w:tr w:rsidR="00100EA4" w:rsidRPr="001364C2" w:rsidTr="008734B0">
        <w:tc>
          <w:tcPr>
            <w:tcW w:w="135" w:type="pct"/>
            <w:shd w:val="clear" w:color="auto" w:fill="auto"/>
          </w:tcPr>
          <w:p w:rsidR="00100EA4" w:rsidRPr="001364C2" w:rsidRDefault="00100EA4" w:rsidP="008734B0">
            <w:pPr>
              <w:shd w:val="clear" w:color="auto" w:fill="FFFFFF" w:themeFill="background1"/>
              <w:spacing w:after="0"/>
              <w:rPr>
                <w:rFonts w:ascii="Times New Roman" w:hAnsi="Times New Roman" w:cs="Times New Roman"/>
              </w:rPr>
            </w:pPr>
          </w:p>
        </w:tc>
        <w:tc>
          <w:tcPr>
            <w:tcW w:w="3832" w:type="pct"/>
            <w:shd w:val="clear" w:color="auto" w:fill="auto"/>
          </w:tcPr>
          <w:p w:rsidR="00100EA4" w:rsidRPr="001364C2" w:rsidRDefault="00100EA4" w:rsidP="008734B0">
            <w:pPr>
              <w:shd w:val="clear" w:color="auto" w:fill="FFFFFF" w:themeFill="background1"/>
              <w:spacing w:after="0"/>
              <w:rPr>
                <w:rFonts w:ascii="Times New Roman" w:hAnsi="Times New Roman" w:cs="Times New Roman"/>
              </w:rPr>
            </w:pPr>
          </w:p>
        </w:tc>
        <w:tc>
          <w:tcPr>
            <w:tcW w:w="517" w:type="pct"/>
            <w:shd w:val="clear" w:color="auto" w:fill="auto"/>
          </w:tcPr>
          <w:p w:rsidR="00100EA4" w:rsidRPr="001364C2" w:rsidRDefault="00100EA4" w:rsidP="008734B0">
            <w:pPr>
              <w:shd w:val="clear" w:color="auto" w:fill="FFFFFF" w:themeFill="background1"/>
              <w:spacing w:after="0"/>
              <w:rPr>
                <w:rFonts w:ascii="Times New Roman" w:hAnsi="Times New Roman" w:cs="Times New Roman"/>
              </w:rPr>
            </w:pPr>
          </w:p>
        </w:tc>
        <w:tc>
          <w:tcPr>
            <w:tcW w:w="516" w:type="pct"/>
          </w:tcPr>
          <w:p w:rsidR="00100EA4" w:rsidRPr="001364C2" w:rsidRDefault="00100EA4" w:rsidP="008734B0">
            <w:pPr>
              <w:shd w:val="clear" w:color="auto" w:fill="FFFFFF" w:themeFill="background1"/>
              <w:spacing w:after="0"/>
              <w:rPr>
                <w:rFonts w:ascii="Times New Roman" w:hAnsi="Times New Roman" w:cs="Times New Roman"/>
                <w:b/>
              </w:rPr>
            </w:pPr>
          </w:p>
        </w:tc>
      </w:tr>
    </w:tbl>
    <w:p w:rsidR="00A41373" w:rsidRPr="00100EA4" w:rsidRDefault="00100EA4" w:rsidP="0024425A">
      <w:pPr>
        <w:rPr>
          <w:rFonts w:ascii="Times New Roman" w:hAnsi="Times New Roman" w:cs="Times New Roman"/>
          <w:b/>
          <w:sz w:val="24"/>
          <w:szCs w:val="24"/>
          <w:lang w:val="x-none"/>
        </w:rPr>
      </w:pPr>
      <w:r w:rsidRPr="00100EA4">
        <w:rPr>
          <w:rFonts w:ascii="Times New Roman" w:hAnsi="Times New Roman" w:cs="Times New Roman"/>
          <w:b/>
          <w:sz w:val="24"/>
          <w:szCs w:val="24"/>
        </w:rPr>
        <w:t>ANNEXE 4 : LISTE DE PRESENCE DE LA REUNION DE DEMARRAGE DE L’EIES ET DU PAR</w:t>
      </w:r>
      <w:r>
        <w:rPr>
          <w:rFonts w:ascii="Times New Roman" w:hAnsi="Times New Roman" w:cs="Times New Roman"/>
          <w:b/>
          <w:sz w:val="24"/>
          <w:szCs w:val="24"/>
        </w:rPr>
        <w:t xml:space="preserve"> / PUASEE-FA</w:t>
      </w:r>
    </w:p>
    <w:p w:rsidR="0024425A" w:rsidRPr="006C0C34" w:rsidRDefault="0024425A" w:rsidP="0024425A">
      <w:pPr>
        <w:spacing w:after="0" w:line="240" w:lineRule="auto"/>
        <w:rPr>
          <w:rFonts w:ascii="Times New Roman" w:eastAsia="Calibri" w:hAnsi="Times New Roman" w:cs="Times New Roman"/>
          <w:b/>
          <w:color w:val="000000" w:themeColor="text1"/>
          <w:sz w:val="24"/>
          <w:szCs w:val="24"/>
        </w:rPr>
      </w:pPr>
    </w:p>
    <w:p w:rsidR="0024425A" w:rsidRPr="006C0C34" w:rsidRDefault="00BB470B" w:rsidP="0024425A">
      <w:pPr>
        <w:spacing w:after="0" w:line="240" w:lineRule="auto"/>
        <w:rPr>
          <w:rFonts w:ascii="Times New Roman" w:eastAsia="Calibri" w:hAnsi="Times New Roman" w:cs="Times New Roman"/>
          <w:b/>
          <w:color w:val="000000" w:themeColor="text1"/>
          <w:sz w:val="24"/>
          <w:szCs w:val="24"/>
        </w:rPr>
      </w:pPr>
      <w:r>
        <w:rPr>
          <w:noProof/>
          <w:lang w:val="pt-PT" w:eastAsia="pt-PT"/>
        </w:rPr>
        <w:lastRenderedPageBreak/>
        <w:drawing>
          <wp:inline distT="0" distB="0" distL="0" distR="0" wp14:anchorId="7C5C04DE" wp14:editId="7133B33A">
            <wp:extent cx="5676900" cy="4011531"/>
            <wp:effectExtent l="0" t="0" r="0" b="8255"/>
            <wp:docPr id="1930" name="Image 19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9" cstate="email">
                      <a:extLst>
                        <a:ext uri="{28A0092B-C50C-407E-A947-70E740481C1C}">
                          <a14:useLocalDpi xmlns:a14="http://schemas.microsoft.com/office/drawing/2010/main"/>
                        </a:ext>
                      </a:extLst>
                    </a:blip>
                    <a:stretch>
                      <a:fillRect/>
                    </a:stretch>
                  </pic:blipFill>
                  <pic:spPr>
                    <a:xfrm>
                      <a:off x="0" y="0"/>
                      <a:ext cx="5683236" cy="4016008"/>
                    </a:xfrm>
                    <a:prstGeom prst="rect">
                      <a:avLst/>
                    </a:prstGeom>
                  </pic:spPr>
                </pic:pic>
              </a:graphicData>
            </a:graphic>
          </wp:inline>
        </w:drawing>
      </w:r>
    </w:p>
    <w:p w:rsidR="0024425A" w:rsidRPr="006C0C34" w:rsidRDefault="00BB470B" w:rsidP="0024425A">
      <w:pPr>
        <w:spacing w:after="0" w:line="240" w:lineRule="auto"/>
        <w:rPr>
          <w:rFonts w:ascii="Times New Roman" w:eastAsia="Calibri" w:hAnsi="Times New Roman" w:cs="Times New Roman"/>
          <w:b/>
          <w:color w:val="000000" w:themeColor="text1"/>
          <w:sz w:val="24"/>
          <w:szCs w:val="24"/>
        </w:rPr>
      </w:pPr>
      <w:r>
        <w:rPr>
          <w:noProof/>
          <w:lang w:val="pt-PT" w:eastAsia="pt-PT"/>
        </w:rPr>
        <w:drawing>
          <wp:inline distT="0" distB="0" distL="0" distR="0" wp14:anchorId="676FBE91" wp14:editId="44EE9C50">
            <wp:extent cx="5581650" cy="3944224"/>
            <wp:effectExtent l="0" t="0" r="0" b="0"/>
            <wp:docPr id="1931" name="Image 19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0" cstate="email">
                      <a:extLst>
                        <a:ext uri="{28A0092B-C50C-407E-A947-70E740481C1C}">
                          <a14:useLocalDpi xmlns:a14="http://schemas.microsoft.com/office/drawing/2010/main"/>
                        </a:ext>
                      </a:extLst>
                    </a:blip>
                    <a:stretch>
                      <a:fillRect/>
                    </a:stretch>
                  </pic:blipFill>
                  <pic:spPr>
                    <a:xfrm>
                      <a:off x="0" y="0"/>
                      <a:ext cx="5591422" cy="3951129"/>
                    </a:xfrm>
                    <a:prstGeom prst="rect">
                      <a:avLst/>
                    </a:prstGeom>
                  </pic:spPr>
                </pic:pic>
              </a:graphicData>
            </a:graphic>
          </wp:inline>
        </w:drawing>
      </w:r>
    </w:p>
    <w:p w:rsidR="0024425A" w:rsidRPr="006C0C34" w:rsidRDefault="0024425A" w:rsidP="0024425A">
      <w:pPr>
        <w:spacing w:after="0" w:line="240" w:lineRule="auto"/>
        <w:rPr>
          <w:rFonts w:ascii="Times New Roman" w:eastAsia="Calibri" w:hAnsi="Times New Roman" w:cs="Times New Roman"/>
          <w:b/>
          <w:color w:val="000000" w:themeColor="text1"/>
          <w:sz w:val="24"/>
          <w:szCs w:val="24"/>
        </w:rPr>
      </w:pPr>
    </w:p>
    <w:p w:rsidR="001E7F92" w:rsidRDefault="001E7F92" w:rsidP="00175A74">
      <w:pPr>
        <w:tabs>
          <w:tab w:val="left" w:pos="945"/>
        </w:tabs>
        <w:jc w:val="center"/>
        <w:rPr>
          <w:rFonts w:ascii="Times New Roman" w:hAnsi="Times New Roman" w:cs="Times New Roman"/>
          <w:b/>
          <w:sz w:val="24"/>
          <w:szCs w:val="24"/>
        </w:rPr>
      </w:pPr>
    </w:p>
    <w:p w:rsidR="00C34B53" w:rsidRDefault="00427545" w:rsidP="00175A74">
      <w:pPr>
        <w:tabs>
          <w:tab w:val="left" w:pos="945"/>
        </w:tabs>
        <w:jc w:val="center"/>
        <w:rPr>
          <w:rFonts w:ascii="Times New Roman" w:hAnsi="Times New Roman" w:cs="Times New Roman"/>
          <w:b/>
          <w:sz w:val="24"/>
          <w:szCs w:val="24"/>
        </w:rPr>
      </w:pPr>
      <w:r>
        <w:rPr>
          <w:noProof/>
          <w:lang w:val="pt-PT" w:eastAsia="pt-PT"/>
        </w:rPr>
        <w:lastRenderedPageBreak/>
        <w:drawing>
          <wp:inline distT="0" distB="0" distL="0" distR="0" wp14:anchorId="10EF8886" wp14:editId="50553FE4">
            <wp:extent cx="6301105" cy="1562987"/>
            <wp:effectExtent l="0" t="0" r="4445" b="0"/>
            <wp:docPr id="1932" name="Image 19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1" cstate="email">
                      <a:extLst>
                        <a:ext uri="{28A0092B-C50C-407E-A947-70E740481C1C}">
                          <a14:useLocalDpi xmlns:a14="http://schemas.microsoft.com/office/drawing/2010/main"/>
                        </a:ext>
                      </a:extLst>
                    </a:blip>
                    <a:srcRect/>
                    <a:stretch/>
                  </pic:blipFill>
                  <pic:spPr bwMode="auto">
                    <a:xfrm>
                      <a:off x="0" y="0"/>
                      <a:ext cx="6301105" cy="1562987"/>
                    </a:xfrm>
                    <a:prstGeom prst="rect">
                      <a:avLst/>
                    </a:prstGeom>
                    <a:ln>
                      <a:noFill/>
                    </a:ln>
                    <a:extLst>
                      <a:ext uri="{53640926-AAD7-44D8-BBD7-CCE9431645EC}">
                        <a14:shadowObscured xmlns:a14="http://schemas.microsoft.com/office/drawing/2010/main"/>
                      </a:ext>
                    </a:extLst>
                  </pic:spPr>
                </pic:pic>
              </a:graphicData>
            </a:graphic>
          </wp:inline>
        </w:drawing>
      </w:r>
    </w:p>
    <w:p w:rsidR="00C34B53" w:rsidRDefault="00C34B53" w:rsidP="00175A74">
      <w:pPr>
        <w:tabs>
          <w:tab w:val="left" w:pos="945"/>
        </w:tabs>
        <w:jc w:val="center"/>
        <w:rPr>
          <w:rFonts w:ascii="Times New Roman" w:hAnsi="Times New Roman" w:cs="Times New Roman"/>
          <w:b/>
          <w:sz w:val="24"/>
          <w:szCs w:val="24"/>
        </w:rPr>
      </w:pPr>
    </w:p>
    <w:p w:rsidR="00100EA4" w:rsidRDefault="00100EA4" w:rsidP="00D10B3E">
      <w:pPr>
        <w:pStyle w:val="ndice2"/>
        <w:rPr>
          <w:rFonts w:ascii="Calibri" w:eastAsia="Yu Mincho" w:hAnsi="Calibri"/>
          <w:sz w:val="22"/>
          <w:szCs w:val="22"/>
        </w:rPr>
      </w:pPr>
      <w:bookmarkStart w:id="1103" w:name="_Toc51072728"/>
      <w:r w:rsidRPr="00100EA4">
        <w:t>ANNEXE 5 : LISTE DES SERVICES TECHNIQUES CONSULTES</w:t>
      </w:r>
      <w:bookmarkEnd w:id="1103"/>
    </w:p>
    <w:p w:rsidR="00C34B53" w:rsidRPr="00100EA4" w:rsidRDefault="00100EA4" w:rsidP="002711E6">
      <w:pPr>
        <w:tabs>
          <w:tab w:val="left" w:pos="945"/>
        </w:tabs>
        <w:jc w:val="center"/>
        <w:rPr>
          <w:rFonts w:ascii="Times New Roman" w:hAnsi="Times New Roman" w:cs="Times New Roman"/>
          <w:b/>
          <w:sz w:val="24"/>
          <w:szCs w:val="24"/>
        </w:rPr>
      </w:pPr>
      <w:r w:rsidRPr="00100EA4">
        <w:rPr>
          <w:noProof/>
          <w:sz w:val="24"/>
          <w:szCs w:val="24"/>
          <w:lang w:val="pt-PT" w:eastAsia="pt-PT"/>
        </w:rPr>
        <w:drawing>
          <wp:inline distT="0" distB="0" distL="0" distR="0" wp14:anchorId="7180E50B" wp14:editId="78DFC151">
            <wp:extent cx="4593266" cy="3244865"/>
            <wp:effectExtent l="0" t="0" r="0" b="0"/>
            <wp:docPr id="736" name="Image 7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2" cstate="email">
                      <a:extLst>
                        <a:ext uri="{28A0092B-C50C-407E-A947-70E740481C1C}">
                          <a14:useLocalDpi xmlns:a14="http://schemas.microsoft.com/office/drawing/2010/main"/>
                        </a:ext>
                      </a:extLst>
                    </a:blip>
                    <a:stretch>
                      <a:fillRect/>
                    </a:stretch>
                  </pic:blipFill>
                  <pic:spPr>
                    <a:xfrm>
                      <a:off x="0" y="0"/>
                      <a:ext cx="4618455" cy="3262659"/>
                    </a:xfrm>
                    <a:prstGeom prst="rect">
                      <a:avLst/>
                    </a:prstGeom>
                  </pic:spPr>
                </pic:pic>
              </a:graphicData>
            </a:graphic>
          </wp:inline>
        </w:drawing>
      </w:r>
    </w:p>
    <w:p w:rsidR="00C34B53" w:rsidRDefault="00C34B53" w:rsidP="00175A74">
      <w:pPr>
        <w:tabs>
          <w:tab w:val="left" w:pos="945"/>
        </w:tabs>
        <w:jc w:val="center"/>
        <w:rPr>
          <w:rFonts w:ascii="Times New Roman" w:hAnsi="Times New Roman" w:cs="Times New Roman"/>
          <w:b/>
          <w:sz w:val="24"/>
          <w:szCs w:val="24"/>
        </w:rPr>
      </w:pPr>
    </w:p>
    <w:p w:rsidR="00C34B53" w:rsidRDefault="00C34B53" w:rsidP="002711E6">
      <w:pPr>
        <w:tabs>
          <w:tab w:val="left" w:pos="945"/>
        </w:tabs>
        <w:jc w:val="center"/>
        <w:rPr>
          <w:rFonts w:ascii="Times New Roman" w:hAnsi="Times New Roman" w:cs="Times New Roman"/>
          <w:b/>
          <w:sz w:val="24"/>
          <w:szCs w:val="24"/>
        </w:rPr>
      </w:pPr>
      <w:r>
        <w:rPr>
          <w:noProof/>
          <w:lang w:val="pt-PT" w:eastAsia="pt-PT"/>
        </w:rPr>
        <w:drawing>
          <wp:inline distT="0" distB="0" distL="0" distR="0" wp14:anchorId="3B08370A" wp14:editId="453442CA">
            <wp:extent cx="4500221" cy="3179135"/>
            <wp:effectExtent l="0" t="0" r="0" b="2540"/>
            <wp:docPr id="737" name="Image 7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3" cstate="email">
                      <a:extLst>
                        <a:ext uri="{28A0092B-C50C-407E-A947-70E740481C1C}">
                          <a14:useLocalDpi xmlns:a14="http://schemas.microsoft.com/office/drawing/2010/main"/>
                        </a:ext>
                      </a:extLst>
                    </a:blip>
                    <a:stretch>
                      <a:fillRect/>
                    </a:stretch>
                  </pic:blipFill>
                  <pic:spPr>
                    <a:xfrm>
                      <a:off x="0" y="0"/>
                      <a:ext cx="4515214" cy="3189727"/>
                    </a:xfrm>
                    <a:prstGeom prst="rect">
                      <a:avLst/>
                    </a:prstGeom>
                  </pic:spPr>
                </pic:pic>
              </a:graphicData>
            </a:graphic>
          </wp:inline>
        </w:drawing>
      </w:r>
    </w:p>
    <w:p w:rsidR="00C34B53" w:rsidRDefault="00C34B53" w:rsidP="00175A74">
      <w:pPr>
        <w:tabs>
          <w:tab w:val="left" w:pos="945"/>
        </w:tabs>
        <w:jc w:val="center"/>
        <w:rPr>
          <w:rFonts w:ascii="Times New Roman" w:hAnsi="Times New Roman" w:cs="Times New Roman"/>
          <w:b/>
          <w:sz w:val="24"/>
          <w:szCs w:val="24"/>
        </w:rPr>
      </w:pPr>
    </w:p>
    <w:p w:rsidR="00622D15" w:rsidRPr="00100EA4" w:rsidRDefault="00D47842" w:rsidP="00100EA4">
      <w:pPr>
        <w:tabs>
          <w:tab w:val="left" w:pos="945"/>
        </w:tabs>
        <w:rPr>
          <w:rFonts w:ascii="Times New Roman" w:hAnsi="Times New Roman" w:cs="Times New Roman"/>
          <w:b/>
          <w:sz w:val="24"/>
          <w:szCs w:val="24"/>
        </w:rPr>
      </w:pPr>
      <w:r>
        <w:rPr>
          <w:noProof/>
          <w:lang w:val="pt-PT" w:eastAsia="pt-PT"/>
        </w:rPr>
        <w:lastRenderedPageBreak/>
        <w:drawing>
          <wp:inline distT="0" distB="0" distL="0" distR="0" wp14:anchorId="00F31627" wp14:editId="08A596AF">
            <wp:extent cx="5746254" cy="4086225"/>
            <wp:effectExtent l="0" t="0" r="6985" b="0"/>
            <wp:docPr id="738" name="Image 7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4" cstate="email">
                      <a:extLst>
                        <a:ext uri="{28A0092B-C50C-407E-A947-70E740481C1C}">
                          <a14:useLocalDpi xmlns:a14="http://schemas.microsoft.com/office/drawing/2010/main"/>
                        </a:ext>
                      </a:extLst>
                    </a:blip>
                    <a:srcRect/>
                    <a:stretch/>
                  </pic:blipFill>
                  <pic:spPr bwMode="auto">
                    <a:xfrm>
                      <a:off x="0" y="0"/>
                      <a:ext cx="5751360" cy="4089856"/>
                    </a:xfrm>
                    <a:prstGeom prst="rect">
                      <a:avLst/>
                    </a:prstGeom>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xmlns:cx1="http://schemas.microsoft.com/office/drawing/2015/9/8/chartex"/>
                      </a:ext>
                    </a:extLst>
                  </pic:spPr>
                </pic:pic>
              </a:graphicData>
            </a:graphic>
          </wp:inline>
        </w:drawing>
      </w:r>
    </w:p>
    <w:p w:rsidR="00C34B53" w:rsidRDefault="00622D15" w:rsidP="00100EA4">
      <w:pPr>
        <w:tabs>
          <w:tab w:val="left" w:pos="3495"/>
        </w:tabs>
        <w:rPr>
          <w:rFonts w:ascii="Times New Roman" w:hAnsi="Times New Roman" w:cs="Times New Roman"/>
          <w:sz w:val="24"/>
          <w:szCs w:val="24"/>
        </w:rPr>
      </w:pPr>
      <w:r>
        <w:rPr>
          <w:noProof/>
          <w:lang w:val="pt-PT" w:eastAsia="pt-PT"/>
        </w:rPr>
        <w:drawing>
          <wp:inline distT="0" distB="0" distL="0" distR="0" wp14:anchorId="53927A1C" wp14:editId="356374E7">
            <wp:extent cx="5814977" cy="4105275"/>
            <wp:effectExtent l="0" t="0" r="0" b="0"/>
            <wp:docPr id="739" name="Image 7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5" cstate="email">
                      <a:extLst>
                        <a:ext uri="{28A0092B-C50C-407E-A947-70E740481C1C}">
                          <a14:useLocalDpi xmlns:a14="http://schemas.microsoft.com/office/drawing/2010/main"/>
                        </a:ext>
                      </a:extLst>
                    </a:blip>
                    <a:srcRect/>
                    <a:stretch/>
                  </pic:blipFill>
                  <pic:spPr bwMode="auto">
                    <a:xfrm>
                      <a:off x="0" y="0"/>
                      <a:ext cx="5823144" cy="4111041"/>
                    </a:xfrm>
                    <a:prstGeom prst="rect">
                      <a:avLst/>
                    </a:prstGeom>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xmlns:cx1="http://schemas.microsoft.com/office/drawing/2015/9/8/chartex"/>
                      </a:ext>
                    </a:extLst>
                  </pic:spPr>
                </pic:pic>
              </a:graphicData>
            </a:graphic>
          </wp:inline>
        </w:drawing>
      </w:r>
    </w:p>
    <w:p w:rsidR="00622D15" w:rsidRDefault="00622D15" w:rsidP="00622D15">
      <w:pPr>
        <w:tabs>
          <w:tab w:val="left" w:pos="3495"/>
        </w:tabs>
        <w:jc w:val="center"/>
        <w:rPr>
          <w:rFonts w:ascii="Times New Roman" w:hAnsi="Times New Roman" w:cs="Times New Roman"/>
          <w:sz w:val="24"/>
          <w:szCs w:val="24"/>
        </w:rPr>
      </w:pPr>
    </w:p>
    <w:p w:rsidR="00622D15" w:rsidRDefault="00622D15" w:rsidP="00622D15">
      <w:pPr>
        <w:tabs>
          <w:tab w:val="left" w:pos="3495"/>
        </w:tabs>
        <w:jc w:val="center"/>
        <w:rPr>
          <w:rFonts w:ascii="Times New Roman" w:hAnsi="Times New Roman" w:cs="Times New Roman"/>
          <w:sz w:val="24"/>
          <w:szCs w:val="24"/>
        </w:rPr>
      </w:pPr>
    </w:p>
    <w:p w:rsidR="00622D15" w:rsidRDefault="00622D15" w:rsidP="00100EA4">
      <w:pPr>
        <w:tabs>
          <w:tab w:val="left" w:pos="3495"/>
        </w:tabs>
        <w:rPr>
          <w:rFonts w:ascii="Times New Roman" w:hAnsi="Times New Roman" w:cs="Times New Roman"/>
          <w:sz w:val="24"/>
          <w:szCs w:val="24"/>
        </w:rPr>
      </w:pPr>
      <w:r>
        <w:rPr>
          <w:noProof/>
          <w:lang w:val="pt-PT" w:eastAsia="pt-PT"/>
        </w:rPr>
        <w:lastRenderedPageBreak/>
        <w:drawing>
          <wp:inline distT="0" distB="0" distL="0" distR="0" wp14:anchorId="4388934A" wp14:editId="698761C3">
            <wp:extent cx="5791200" cy="4091133"/>
            <wp:effectExtent l="0" t="0" r="0" b="5080"/>
            <wp:docPr id="740" name="Image 7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6" cstate="email">
                      <a:extLst>
                        <a:ext uri="{28A0092B-C50C-407E-A947-70E740481C1C}">
                          <a14:useLocalDpi xmlns:a14="http://schemas.microsoft.com/office/drawing/2010/main"/>
                        </a:ext>
                      </a:extLst>
                    </a:blip>
                    <a:stretch>
                      <a:fillRect/>
                    </a:stretch>
                  </pic:blipFill>
                  <pic:spPr>
                    <a:xfrm>
                      <a:off x="0" y="0"/>
                      <a:ext cx="5797414" cy="4095522"/>
                    </a:xfrm>
                    <a:prstGeom prst="rect">
                      <a:avLst/>
                    </a:prstGeom>
                  </pic:spPr>
                </pic:pic>
              </a:graphicData>
            </a:graphic>
          </wp:inline>
        </w:drawing>
      </w:r>
    </w:p>
    <w:p w:rsidR="00100EA4" w:rsidRDefault="00622D15" w:rsidP="0048308E">
      <w:pPr>
        <w:tabs>
          <w:tab w:val="left" w:pos="3495"/>
        </w:tabs>
        <w:rPr>
          <w:rFonts w:ascii="Times New Roman" w:hAnsi="Times New Roman" w:cs="Times New Roman"/>
          <w:sz w:val="24"/>
          <w:szCs w:val="24"/>
        </w:rPr>
      </w:pPr>
      <w:r>
        <w:rPr>
          <w:noProof/>
          <w:lang w:val="pt-PT" w:eastAsia="pt-PT"/>
        </w:rPr>
        <w:drawing>
          <wp:inline distT="0" distB="0" distL="0" distR="0" wp14:anchorId="09BE548E" wp14:editId="65BE6F7A">
            <wp:extent cx="6301105" cy="4451350"/>
            <wp:effectExtent l="0" t="0" r="4445" b="6350"/>
            <wp:docPr id="741" name="Image 7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7" cstate="email">
                      <a:extLst>
                        <a:ext uri="{28A0092B-C50C-407E-A947-70E740481C1C}">
                          <a14:useLocalDpi xmlns:a14="http://schemas.microsoft.com/office/drawing/2010/main"/>
                        </a:ext>
                      </a:extLst>
                    </a:blip>
                    <a:stretch>
                      <a:fillRect/>
                    </a:stretch>
                  </pic:blipFill>
                  <pic:spPr>
                    <a:xfrm>
                      <a:off x="0" y="0"/>
                      <a:ext cx="6301105" cy="4451350"/>
                    </a:xfrm>
                    <a:prstGeom prst="rect">
                      <a:avLst/>
                    </a:prstGeom>
                  </pic:spPr>
                </pic:pic>
              </a:graphicData>
            </a:graphic>
          </wp:inline>
        </w:drawing>
      </w:r>
    </w:p>
    <w:p w:rsidR="0048308E" w:rsidRPr="0048308E" w:rsidRDefault="0048308E" w:rsidP="0048308E">
      <w:pPr>
        <w:tabs>
          <w:tab w:val="left" w:pos="3495"/>
        </w:tabs>
        <w:rPr>
          <w:rFonts w:ascii="Times New Roman" w:hAnsi="Times New Roman" w:cs="Times New Roman"/>
          <w:sz w:val="24"/>
          <w:szCs w:val="24"/>
        </w:rPr>
      </w:pPr>
    </w:p>
    <w:p w:rsidR="00100EA4" w:rsidRPr="0048308E" w:rsidRDefault="000D0E23" w:rsidP="00D10B3E">
      <w:pPr>
        <w:pStyle w:val="ndice2"/>
        <w:rPr>
          <w:rFonts w:eastAsia="Yu Mincho"/>
        </w:rPr>
      </w:pPr>
      <w:bookmarkStart w:id="1104" w:name="_Toc51072729"/>
      <w:r w:rsidRPr="0048308E">
        <w:t>ANNEXE 6 : LISTE DE PRESENCE DE LA CONSULTATION DES POPULATIONS CONSULTEES</w:t>
      </w:r>
      <w:bookmarkEnd w:id="1104"/>
    </w:p>
    <w:p w:rsidR="00100EA4" w:rsidRDefault="00100EA4" w:rsidP="00622D15">
      <w:pPr>
        <w:tabs>
          <w:tab w:val="left" w:pos="3810"/>
        </w:tabs>
        <w:rPr>
          <w:rFonts w:ascii="Times New Roman" w:hAnsi="Times New Roman" w:cs="Times New Roman"/>
          <w:b/>
          <w:lang w:eastAsia="fr-FR"/>
        </w:rPr>
      </w:pPr>
    </w:p>
    <w:p w:rsidR="00622D15" w:rsidRDefault="00622D15" w:rsidP="001E1EBE">
      <w:pPr>
        <w:shd w:val="clear" w:color="auto" w:fill="D9E2F3" w:themeFill="accent5" w:themeFillTint="33"/>
        <w:tabs>
          <w:tab w:val="left" w:pos="3810"/>
        </w:tabs>
        <w:rPr>
          <w:rFonts w:ascii="Times New Roman" w:hAnsi="Times New Roman" w:cs="Times New Roman"/>
          <w:b/>
          <w:lang w:eastAsia="fr-FR"/>
        </w:rPr>
      </w:pPr>
      <w:r>
        <w:rPr>
          <w:rFonts w:ascii="Times New Roman" w:hAnsi="Times New Roman" w:cs="Times New Roman"/>
          <w:b/>
          <w:lang w:eastAsia="fr-FR"/>
        </w:rPr>
        <w:t>AU NIVEAU DE BLEME / QUARTIER AEROPORT</w:t>
      </w:r>
    </w:p>
    <w:p w:rsidR="00622D15" w:rsidRDefault="00622D15" w:rsidP="0048308E">
      <w:pPr>
        <w:tabs>
          <w:tab w:val="left" w:pos="3810"/>
        </w:tabs>
        <w:rPr>
          <w:rFonts w:ascii="Times New Roman" w:hAnsi="Times New Roman" w:cs="Times New Roman"/>
          <w:b/>
          <w:lang w:eastAsia="fr-FR"/>
        </w:rPr>
      </w:pPr>
      <w:r>
        <w:rPr>
          <w:noProof/>
          <w:lang w:val="pt-PT" w:eastAsia="pt-PT"/>
        </w:rPr>
        <w:drawing>
          <wp:inline distT="0" distB="0" distL="0" distR="0" wp14:anchorId="55C77562" wp14:editId="5FEF172D">
            <wp:extent cx="5553075" cy="3810000"/>
            <wp:effectExtent l="0" t="0" r="9525" b="0"/>
            <wp:docPr id="742" name="Image 7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8" cstate="email">
                      <a:extLst>
                        <a:ext uri="{28A0092B-C50C-407E-A947-70E740481C1C}">
                          <a14:useLocalDpi xmlns:a14="http://schemas.microsoft.com/office/drawing/2010/main"/>
                        </a:ext>
                      </a:extLst>
                    </a:blip>
                    <a:srcRect/>
                    <a:stretch/>
                  </pic:blipFill>
                  <pic:spPr bwMode="auto">
                    <a:xfrm>
                      <a:off x="0" y="0"/>
                      <a:ext cx="5553075" cy="3810000"/>
                    </a:xfrm>
                    <a:prstGeom prst="rect">
                      <a:avLst/>
                    </a:prstGeom>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xmlns:cx1="http://schemas.microsoft.com/office/drawing/2015/9/8/chartex"/>
                      </a:ext>
                    </a:extLst>
                  </pic:spPr>
                </pic:pic>
              </a:graphicData>
            </a:graphic>
          </wp:inline>
        </w:drawing>
      </w:r>
    </w:p>
    <w:p w:rsidR="00622D15" w:rsidRDefault="00622D15" w:rsidP="0048308E">
      <w:pPr>
        <w:tabs>
          <w:tab w:val="left" w:pos="3180"/>
        </w:tabs>
        <w:rPr>
          <w:rFonts w:ascii="Times New Roman" w:hAnsi="Times New Roman" w:cs="Times New Roman"/>
          <w:lang w:eastAsia="fr-FR"/>
        </w:rPr>
      </w:pPr>
      <w:r>
        <w:rPr>
          <w:noProof/>
          <w:lang w:val="pt-PT" w:eastAsia="pt-PT"/>
        </w:rPr>
        <w:drawing>
          <wp:inline distT="0" distB="0" distL="0" distR="0" wp14:anchorId="72590CBC" wp14:editId="5D4A7E02">
            <wp:extent cx="5838186" cy="4124325"/>
            <wp:effectExtent l="0" t="0" r="0" b="0"/>
            <wp:docPr id="743" name="Image 7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9" cstate="email">
                      <a:extLst>
                        <a:ext uri="{28A0092B-C50C-407E-A947-70E740481C1C}">
                          <a14:useLocalDpi xmlns:a14="http://schemas.microsoft.com/office/drawing/2010/main"/>
                        </a:ext>
                      </a:extLst>
                    </a:blip>
                    <a:stretch>
                      <a:fillRect/>
                    </a:stretch>
                  </pic:blipFill>
                  <pic:spPr>
                    <a:xfrm>
                      <a:off x="0" y="0"/>
                      <a:ext cx="5872944" cy="4148879"/>
                    </a:xfrm>
                    <a:prstGeom prst="rect">
                      <a:avLst/>
                    </a:prstGeom>
                  </pic:spPr>
                </pic:pic>
              </a:graphicData>
            </a:graphic>
          </wp:inline>
        </w:drawing>
      </w:r>
    </w:p>
    <w:p w:rsidR="00622D15" w:rsidRDefault="00622D15" w:rsidP="00622D15">
      <w:pPr>
        <w:tabs>
          <w:tab w:val="left" w:pos="3180"/>
        </w:tabs>
        <w:jc w:val="center"/>
        <w:rPr>
          <w:rFonts w:ascii="Times New Roman" w:hAnsi="Times New Roman" w:cs="Times New Roman"/>
          <w:lang w:eastAsia="fr-FR"/>
        </w:rPr>
      </w:pPr>
    </w:p>
    <w:p w:rsidR="001E1EBE" w:rsidRDefault="00622D15" w:rsidP="0048308E">
      <w:pPr>
        <w:tabs>
          <w:tab w:val="left" w:pos="3180"/>
        </w:tabs>
        <w:rPr>
          <w:rFonts w:ascii="Times New Roman" w:hAnsi="Times New Roman" w:cs="Times New Roman"/>
          <w:lang w:eastAsia="fr-FR"/>
        </w:rPr>
      </w:pPr>
      <w:r>
        <w:rPr>
          <w:noProof/>
          <w:lang w:val="pt-PT" w:eastAsia="pt-PT"/>
        </w:rPr>
        <w:lastRenderedPageBreak/>
        <w:drawing>
          <wp:inline distT="0" distB="0" distL="0" distR="0" wp14:anchorId="0DD0FA5B" wp14:editId="2521308E">
            <wp:extent cx="5572125" cy="3943350"/>
            <wp:effectExtent l="0" t="0" r="9525" b="0"/>
            <wp:docPr id="744" name="Image 7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0" cstate="email">
                      <a:extLst>
                        <a:ext uri="{28A0092B-C50C-407E-A947-70E740481C1C}">
                          <a14:useLocalDpi xmlns:a14="http://schemas.microsoft.com/office/drawing/2010/main"/>
                        </a:ext>
                      </a:extLst>
                    </a:blip>
                    <a:srcRect/>
                    <a:stretch/>
                  </pic:blipFill>
                  <pic:spPr bwMode="auto">
                    <a:xfrm>
                      <a:off x="0" y="0"/>
                      <a:ext cx="5572125" cy="3943350"/>
                    </a:xfrm>
                    <a:prstGeom prst="rect">
                      <a:avLst/>
                    </a:prstGeom>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xmlns:cx1="http://schemas.microsoft.com/office/drawing/2015/9/8/chartex"/>
                      </a:ext>
                    </a:extLst>
                  </pic:spPr>
                </pic:pic>
              </a:graphicData>
            </a:graphic>
          </wp:inline>
        </w:drawing>
      </w:r>
    </w:p>
    <w:p w:rsidR="001E1EBE" w:rsidRDefault="001E1EBE" w:rsidP="001E1EBE">
      <w:pPr>
        <w:rPr>
          <w:rFonts w:ascii="Times New Roman" w:hAnsi="Times New Roman" w:cs="Times New Roman"/>
          <w:lang w:eastAsia="fr-FR"/>
        </w:rPr>
      </w:pPr>
    </w:p>
    <w:p w:rsidR="00622D15" w:rsidRDefault="001E1EBE" w:rsidP="0048308E">
      <w:pPr>
        <w:rPr>
          <w:rFonts w:ascii="Times New Roman" w:hAnsi="Times New Roman" w:cs="Times New Roman"/>
          <w:lang w:eastAsia="fr-FR"/>
        </w:rPr>
      </w:pPr>
      <w:r>
        <w:rPr>
          <w:noProof/>
          <w:lang w:val="pt-PT" w:eastAsia="pt-PT"/>
        </w:rPr>
        <w:drawing>
          <wp:inline distT="0" distB="0" distL="0" distR="0" wp14:anchorId="0550739B" wp14:editId="7A6FC7BD">
            <wp:extent cx="5624830" cy="3973603"/>
            <wp:effectExtent l="0" t="0" r="0" b="8255"/>
            <wp:docPr id="745" name="Image 7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1" cstate="email">
                      <a:extLst>
                        <a:ext uri="{28A0092B-C50C-407E-A947-70E740481C1C}">
                          <a14:useLocalDpi xmlns:a14="http://schemas.microsoft.com/office/drawing/2010/main"/>
                        </a:ext>
                      </a:extLst>
                    </a:blip>
                    <a:stretch>
                      <a:fillRect/>
                    </a:stretch>
                  </pic:blipFill>
                  <pic:spPr>
                    <a:xfrm>
                      <a:off x="0" y="0"/>
                      <a:ext cx="5633003" cy="3979377"/>
                    </a:xfrm>
                    <a:prstGeom prst="rect">
                      <a:avLst/>
                    </a:prstGeom>
                  </pic:spPr>
                </pic:pic>
              </a:graphicData>
            </a:graphic>
          </wp:inline>
        </w:drawing>
      </w:r>
    </w:p>
    <w:p w:rsidR="00350380" w:rsidRDefault="00350380" w:rsidP="001E1EBE">
      <w:pPr>
        <w:jc w:val="center"/>
        <w:rPr>
          <w:rFonts w:ascii="Times New Roman" w:hAnsi="Times New Roman" w:cs="Times New Roman"/>
          <w:lang w:eastAsia="fr-FR"/>
        </w:rPr>
      </w:pPr>
    </w:p>
    <w:p w:rsidR="0048308E" w:rsidRDefault="0048308E" w:rsidP="001E1EBE">
      <w:pPr>
        <w:jc w:val="center"/>
        <w:rPr>
          <w:rFonts w:ascii="Times New Roman" w:hAnsi="Times New Roman" w:cs="Times New Roman"/>
          <w:lang w:eastAsia="fr-FR"/>
        </w:rPr>
      </w:pPr>
    </w:p>
    <w:p w:rsidR="0048308E" w:rsidRDefault="0048308E" w:rsidP="001E1EBE">
      <w:pPr>
        <w:jc w:val="center"/>
        <w:rPr>
          <w:rFonts w:ascii="Times New Roman" w:hAnsi="Times New Roman" w:cs="Times New Roman"/>
          <w:lang w:eastAsia="fr-FR"/>
        </w:rPr>
      </w:pPr>
    </w:p>
    <w:p w:rsidR="0048308E" w:rsidRDefault="0048308E" w:rsidP="001E1EBE">
      <w:pPr>
        <w:jc w:val="center"/>
        <w:rPr>
          <w:rFonts w:ascii="Times New Roman" w:hAnsi="Times New Roman" w:cs="Times New Roman"/>
          <w:lang w:eastAsia="fr-FR"/>
        </w:rPr>
      </w:pPr>
    </w:p>
    <w:p w:rsidR="001E1EBE" w:rsidRDefault="001E1EBE" w:rsidP="001E1EBE">
      <w:pPr>
        <w:shd w:val="clear" w:color="auto" w:fill="D9E2F3" w:themeFill="accent5" w:themeFillTint="33"/>
        <w:tabs>
          <w:tab w:val="left" w:pos="3810"/>
        </w:tabs>
        <w:rPr>
          <w:rFonts w:ascii="Times New Roman" w:hAnsi="Times New Roman" w:cs="Times New Roman"/>
          <w:b/>
          <w:lang w:eastAsia="fr-FR"/>
        </w:rPr>
      </w:pPr>
      <w:r>
        <w:rPr>
          <w:rFonts w:ascii="Times New Roman" w:hAnsi="Times New Roman" w:cs="Times New Roman"/>
          <w:b/>
          <w:lang w:eastAsia="fr-FR"/>
        </w:rPr>
        <w:t xml:space="preserve">AU NIVEAU DE BOR </w:t>
      </w:r>
    </w:p>
    <w:p w:rsidR="001E1EBE" w:rsidRDefault="001E1EBE" w:rsidP="0048308E">
      <w:pPr>
        <w:rPr>
          <w:rFonts w:ascii="Times New Roman" w:hAnsi="Times New Roman" w:cs="Times New Roman"/>
          <w:lang w:eastAsia="fr-FR"/>
        </w:rPr>
      </w:pPr>
      <w:r>
        <w:rPr>
          <w:noProof/>
          <w:lang w:val="pt-PT" w:eastAsia="pt-PT"/>
        </w:rPr>
        <w:drawing>
          <wp:inline distT="0" distB="0" distL="0" distR="0" wp14:anchorId="2D4E93F9" wp14:editId="3A8F8A1B">
            <wp:extent cx="5686425" cy="4017116"/>
            <wp:effectExtent l="0" t="0" r="0" b="2540"/>
            <wp:docPr id="746" name="Image 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2" cstate="email">
                      <a:extLst>
                        <a:ext uri="{28A0092B-C50C-407E-A947-70E740481C1C}">
                          <a14:useLocalDpi xmlns:a14="http://schemas.microsoft.com/office/drawing/2010/main"/>
                        </a:ext>
                      </a:extLst>
                    </a:blip>
                    <a:stretch>
                      <a:fillRect/>
                    </a:stretch>
                  </pic:blipFill>
                  <pic:spPr>
                    <a:xfrm>
                      <a:off x="0" y="0"/>
                      <a:ext cx="5691629" cy="4020792"/>
                    </a:xfrm>
                    <a:prstGeom prst="rect">
                      <a:avLst/>
                    </a:prstGeom>
                  </pic:spPr>
                </pic:pic>
              </a:graphicData>
            </a:graphic>
          </wp:inline>
        </w:drawing>
      </w:r>
    </w:p>
    <w:p w:rsidR="001E1EBE" w:rsidRDefault="001E1EBE" w:rsidP="0048308E">
      <w:pPr>
        <w:rPr>
          <w:rFonts w:ascii="Times New Roman" w:hAnsi="Times New Roman" w:cs="Times New Roman"/>
          <w:lang w:eastAsia="fr-FR"/>
        </w:rPr>
      </w:pPr>
      <w:r>
        <w:rPr>
          <w:noProof/>
          <w:lang w:val="pt-PT" w:eastAsia="pt-PT"/>
        </w:rPr>
        <w:drawing>
          <wp:inline distT="0" distB="0" distL="0" distR="0" wp14:anchorId="2FB1EEB3" wp14:editId="581F080A">
            <wp:extent cx="5486400" cy="3875810"/>
            <wp:effectExtent l="0" t="0" r="0" b="0"/>
            <wp:docPr id="747" name="Image 7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3" cstate="email">
                      <a:extLst>
                        <a:ext uri="{28A0092B-C50C-407E-A947-70E740481C1C}">
                          <a14:useLocalDpi xmlns:a14="http://schemas.microsoft.com/office/drawing/2010/main"/>
                        </a:ext>
                      </a:extLst>
                    </a:blip>
                    <a:stretch>
                      <a:fillRect/>
                    </a:stretch>
                  </pic:blipFill>
                  <pic:spPr>
                    <a:xfrm>
                      <a:off x="0" y="0"/>
                      <a:ext cx="5489489" cy="3877992"/>
                    </a:xfrm>
                    <a:prstGeom prst="rect">
                      <a:avLst/>
                    </a:prstGeom>
                  </pic:spPr>
                </pic:pic>
              </a:graphicData>
            </a:graphic>
          </wp:inline>
        </w:drawing>
      </w:r>
    </w:p>
    <w:p w:rsidR="001E1EBE" w:rsidRDefault="001E1EBE" w:rsidP="001E1EBE">
      <w:pPr>
        <w:jc w:val="center"/>
        <w:rPr>
          <w:rFonts w:ascii="Times New Roman" w:hAnsi="Times New Roman" w:cs="Times New Roman"/>
          <w:lang w:eastAsia="fr-FR"/>
        </w:rPr>
      </w:pPr>
    </w:p>
    <w:p w:rsidR="001E1EBE" w:rsidRDefault="001E1EBE" w:rsidP="001E1EBE">
      <w:pPr>
        <w:jc w:val="center"/>
        <w:rPr>
          <w:rFonts w:ascii="Times New Roman" w:hAnsi="Times New Roman" w:cs="Times New Roman"/>
          <w:lang w:eastAsia="fr-FR"/>
        </w:rPr>
      </w:pPr>
    </w:p>
    <w:p w:rsidR="001E1EBE" w:rsidRDefault="001E1EBE" w:rsidP="001E1EBE">
      <w:pPr>
        <w:jc w:val="center"/>
        <w:rPr>
          <w:rFonts w:ascii="Times New Roman" w:hAnsi="Times New Roman" w:cs="Times New Roman"/>
          <w:lang w:eastAsia="fr-FR"/>
        </w:rPr>
      </w:pPr>
    </w:p>
    <w:p w:rsidR="001E1EBE" w:rsidRDefault="001E1EBE" w:rsidP="0048308E">
      <w:pPr>
        <w:rPr>
          <w:rFonts w:ascii="Times New Roman" w:hAnsi="Times New Roman" w:cs="Times New Roman"/>
          <w:lang w:eastAsia="fr-FR"/>
        </w:rPr>
      </w:pPr>
      <w:r>
        <w:rPr>
          <w:noProof/>
          <w:lang w:val="pt-PT" w:eastAsia="pt-PT"/>
        </w:rPr>
        <w:drawing>
          <wp:inline distT="0" distB="0" distL="0" distR="0" wp14:anchorId="39845E9F" wp14:editId="262EBE53">
            <wp:extent cx="5448300" cy="3933825"/>
            <wp:effectExtent l="0" t="0" r="0" b="9525"/>
            <wp:docPr id="748" name="Image 7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4" cstate="email">
                      <a:extLst>
                        <a:ext uri="{28A0092B-C50C-407E-A947-70E740481C1C}">
                          <a14:useLocalDpi xmlns:a14="http://schemas.microsoft.com/office/drawing/2010/main"/>
                        </a:ext>
                      </a:extLst>
                    </a:blip>
                    <a:srcRect/>
                    <a:stretch/>
                  </pic:blipFill>
                  <pic:spPr bwMode="auto">
                    <a:xfrm>
                      <a:off x="0" y="0"/>
                      <a:ext cx="5448300" cy="3933825"/>
                    </a:xfrm>
                    <a:prstGeom prst="rect">
                      <a:avLst/>
                    </a:prstGeom>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xmlns:cx1="http://schemas.microsoft.com/office/drawing/2015/9/8/chartex"/>
                      </a:ext>
                    </a:extLst>
                  </pic:spPr>
                </pic:pic>
              </a:graphicData>
            </a:graphic>
          </wp:inline>
        </w:drawing>
      </w:r>
    </w:p>
    <w:p w:rsidR="001E1EBE" w:rsidRDefault="001E1EBE" w:rsidP="0048308E">
      <w:pPr>
        <w:rPr>
          <w:rFonts w:ascii="Times New Roman" w:hAnsi="Times New Roman" w:cs="Times New Roman"/>
          <w:lang w:eastAsia="fr-FR"/>
        </w:rPr>
      </w:pPr>
      <w:r>
        <w:rPr>
          <w:noProof/>
          <w:lang w:val="pt-PT" w:eastAsia="pt-PT"/>
        </w:rPr>
        <w:drawing>
          <wp:inline distT="0" distB="0" distL="0" distR="0" wp14:anchorId="6A483158" wp14:editId="6E99E9D6">
            <wp:extent cx="6301105" cy="4451350"/>
            <wp:effectExtent l="0" t="0" r="4445" b="6350"/>
            <wp:docPr id="749" name="Image 7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5" cstate="email">
                      <a:extLst>
                        <a:ext uri="{28A0092B-C50C-407E-A947-70E740481C1C}">
                          <a14:useLocalDpi xmlns:a14="http://schemas.microsoft.com/office/drawing/2010/main"/>
                        </a:ext>
                      </a:extLst>
                    </a:blip>
                    <a:stretch>
                      <a:fillRect/>
                    </a:stretch>
                  </pic:blipFill>
                  <pic:spPr>
                    <a:xfrm>
                      <a:off x="0" y="0"/>
                      <a:ext cx="6301105" cy="4451350"/>
                    </a:xfrm>
                    <a:prstGeom prst="rect">
                      <a:avLst/>
                    </a:prstGeom>
                  </pic:spPr>
                </pic:pic>
              </a:graphicData>
            </a:graphic>
          </wp:inline>
        </w:drawing>
      </w:r>
    </w:p>
    <w:p w:rsidR="001E1EBE" w:rsidRDefault="001E1EBE" w:rsidP="001E1EBE">
      <w:pPr>
        <w:jc w:val="center"/>
        <w:rPr>
          <w:rFonts w:ascii="Times New Roman" w:hAnsi="Times New Roman" w:cs="Times New Roman"/>
          <w:lang w:eastAsia="fr-FR"/>
        </w:rPr>
      </w:pPr>
    </w:p>
    <w:p w:rsidR="001E1EBE" w:rsidRDefault="001E1EBE" w:rsidP="001E1EBE">
      <w:pPr>
        <w:jc w:val="center"/>
        <w:rPr>
          <w:rFonts w:ascii="Times New Roman" w:hAnsi="Times New Roman" w:cs="Times New Roman"/>
          <w:lang w:eastAsia="fr-FR"/>
        </w:rPr>
      </w:pPr>
    </w:p>
    <w:p w:rsidR="001E1EBE" w:rsidRDefault="001E1EBE" w:rsidP="0048308E">
      <w:pPr>
        <w:rPr>
          <w:rFonts w:ascii="Times New Roman" w:hAnsi="Times New Roman" w:cs="Times New Roman"/>
          <w:lang w:eastAsia="fr-FR"/>
        </w:rPr>
      </w:pPr>
      <w:r>
        <w:rPr>
          <w:noProof/>
          <w:lang w:val="pt-PT" w:eastAsia="pt-PT"/>
        </w:rPr>
        <w:drawing>
          <wp:inline distT="0" distB="0" distL="0" distR="0" wp14:anchorId="21ACB406" wp14:editId="798318A0">
            <wp:extent cx="5734050" cy="4050760"/>
            <wp:effectExtent l="0" t="0" r="0" b="6985"/>
            <wp:docPr id="750" name="Image 7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6" cstate="email">
                      <a:extLst>
                        <a:ext uri="{28A0092B-C50C-407E-A947-70E740481C1C}">
                          <a14:useLocalDpi xmlns:a14="http://schemas.microsoft.com/office/drawing/2010/main"/>
                        </a:ext>
                      </a:extLst>
                    </a:blip>
                    <a:stretch>
                      <a:fillRect/>
                    </a:stretch>
                  </pic:blipFill>
                  <pic:spPr>
                    <a:xfrm>
                      <a:off x="0" y="0"/>
                      <a:ext cx="5740634" cy="4055411"/>
                    </a:xfrm>
                    <a:prstGeom prst="rect">
                      <a:avLst/>
                    </a:prstGeom>
                  </pic:spPr>
                </pic:pic>
              </a:graphicData>
            </a:graphic>
          </wp:inline>
        </w:drawing>
      </w:r>
    </w:p>
    <w:p w:rsidR="001E1EBE" w:rsidRDefault="001E1EBE" w:rsidP="0048308E">
      <w:pPr>
        <w:tabs>
          <w:tab w:val="left" w:pos="3765"/>
        </w:tabs>
        <w:jc w:val="both"/>
        <w:rPr>
          <w:rFonts w:ascii="Times New Roman" w:hAnsi="Times New Roman" w:cs="Times New Roman"/>
          <w:lang w:eastAsia="fr-FR"/>
        </w:rPr>
      </w:pPr>
      <w:r>
        <w:rPr>
          <w:rFonts w:ascii="Times New Roman" w:hAnsi="Times New Roman" w:cs="Times New Roman"/>
          <w:lang w:eastAsia="fr-FR"/>
        </w:rPr>
        <w:tab/>
      </w:r>
      <w:r>
        <w:rPr>
          <w:noProof/>
          <w:lang w:val="pt-PT" w:eastAsia="pt-PT"/>
        </w:rPr>
        <w:drawing>
          <wp:inline distT="0" distB="0" distL="0" distR="0" wp14:anchorId="3554B926" wp14:editId="0E4FA692">
            <wp:extent cx="5741582" cy="4056081"/>
            <wp:effectExtent l="0" t="0" r="0" b="1905"/>
            <wp:docPr id="751" name="Image 7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7" cstate="email">
                      <a:extLst>
                        <a:ext uri="{28A0092B-C50C-407E-A947-70E740481C1C}">
                          <a14:useLocalDpi xmlns:a14="http://schemas.microsoft.com/office/drawing/2010/main"/>
                        </a:ext>
                      </a:extLst>
                    </a:blip>
                    <a:stretch>
                      <a:fillRect/>
                    </a:stretch>
                  </pic:blipFill>
                  <pic:spPr>
                    <a:xfrm>
                      <a:off x="0" y="0"/>
                      <a:ext cx="5744483" cy="4058131"/>
                    </a:xfrm>
                    <a:prstGeom prst="rect">
                      <a:avLst/>
                    </a:prstGeom>
                  </pic:spPr>
                </pic:pic>
              </a:graphicData>
            </a:graphic>
          </wp:inline>
        </w:drawing>
      </w:r>
    </w:p>
    <w:p w:rsidR="0048308E" w:rsidRDefault="0048308E" w:rsidP="0048308E">
      <w:pPr>
        <w:tabs>
          <w:tab w:val="left" w:pos="3765"/>
        </w:tabs>
        <w:jc w:val="both"/>
        <w:rPr>
          <w:rFonts w:ascii="Times New Roman" w:hAnsi="Times New Roman" w:cs="Times New Roman"/>
          <w:lang w:eastAsia="fr-FR"/>
        </w:rPr>
      </w:pPr>
    </w:p>
    <w:p w:rsidR="0048308E" w:rsidRDefault="0048308E" w:rsidP="0048308E">
      <w:pPr>
        <w:tabs>
          <w:tab w:val="left" w:pos="3765"/>
        </w:tabs>
        <w:jc w:val="both"/>
        <w:rPr>
          <w:rFonts w:ascii="Times New Roman" w:hAnsi="Times New Roman" w:cs="Times New Roman"/>
          <w:lang w:eastAsia="fr-FR"/>
        </w:rPr>
      </w:pPr>
    </w:p>
    <w:p w:rsidR="0048308E" w:rsidRDefault="0048308E" w:rsidP="0048308E">
      <w:pPr>
        <w:tabs>
          <w:tab w:val="left" w:pos="3765"/>
        </w:tabs>
        <w:jc w:val="both"/>
        <w:rPr>
          <w:rFonts w:ascii="Times New Roman" w:hAnsi="Times New Roman" w:cs="Times New Roman"/>
          <w:lang w:eastAsia="fr-FR"/>
        </w:rPr>
      </w:pPr>
    </w:p>
    <w:p w:rsidR="0048308E" w:rsidRDefault="0048308E" w:rsidP="0048308E">
      <w:pPr>
        <w:tabs>
          <w:tab w:val="left" w:pos="3765"/>
        </w:tabs>
        <w:jc w:val="both"/>
        <w:rPr>
          <w:rFonts w:ascii="Times New Roman" w:hAnsi="Times New Roman" w:cs="Times New Roman"/>
          <w:lang w:eastAsia="fr-FR"/>
        </w:rPr>
      </w:pPr>
    </w:p>
    <w:p w:rsidR="001E1EBE" w:rsidRDefault="001E1EBE" w:rsidP="001E1EBE">
      <w:pPr>
        <w:shd w:val="clear" w:color="auto" w:fill="D9E2F3" w:themeFill="accent5" w:themeFillTint="33"/>
        <w:tabs>
          <w:tab w:val="left" w:pos="3810"/>
        </w:tabs>
        <w:rPr>
          <w:rFonts w:ascii="Times New Roman" w:hAnsi="Times New Roman" w:cs="Times New Roman"/>
          <w:b/>
          <w:lang w:eastAsia="fr-FR"/>
        </w:rPr>
      </w:pPr>
      <w:r>
        <w:rPr>
          <w:rFonts w:ascii="Times New Roman" w:hAnsi="Times New Roman" w:cs="Times New Roman"/>
          <w:b/>
          <w:lang w:eastAsia="fr-FR"/>
        </w:rPr>
        <w:t>AU NIVEAU DE HAFIA</w:t>
      </w:r>
    </w:p>
    <w:p w:rsidR="001E1EBE" w:rsidRDefault="001E1EBE" w:rsidP="0048308E">
      <w:pPr>
        <w:tabs>
          <w:tab w:val="left" w:pos="3765"/>
        </w:tabs>
        <w:rPr>
          <w:rFonts w:ascii="Times New Roman" w:hAnsi="Times New Roman" w:cs="Times New Roman"/>
          <w:lang w:eastAsia="fr-FR"/>
        </w:rPr>
      </w:pPr>
      <w:r>
        <w:rPr>
          <w:noProof/>
          <w:lang w:val="pt-PT" w:eastAsia="pt-PT"/>
        </w:rPr>
        <w:drawing>
          <wp:inline distT="0" distB="0" distL="0" distR="0" wp14:anchorId="20B5F89F" wp14:editId="000FAD7A">
            <wp:extent cx="5895975" cy="4165150"/>
            <wp:effectExtent l="0" t="0" r="0" b="6985"/>
            <wp:docPr id="752" name="Image 7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8" cstate="email">
                      <a:extLst>
                        <a:ext uri="{28A0092B-C50C-407E-A947-70E740481C1C}">
                          <a14:useLocalDpi xmlns:a14="http://schemas.microsoft.com/office/drawing/2010/main"/>
                        </a:ext>
                      </a:extLst>
                    </a:blip>
                    <a:stretch>
                      <a:fillRect/>
                    </a:stretch>
                  </pic:blipFill>
                  <pic:spPr>
                    <a:xfrm>
                      <a:off x="0" y="0"/>
                      <a:ext cx="5908390" cy="4173920"/>
                    </a:xfrm>
                    <a:prstGeom prst="rect">
                      <a:avLst/>
                    </a:prstGeom>
                  </pic:spPr>
                </pic:pic>
              </a:graphicData>
            </a:graphic>
          </wp:inline>
        </w:drawing>
      </w:r>
    </w:p>
    <w:p w:rsidR="001E1EBE" w:rsidRDefault="001E1EBE" w:rsidP="0048308E">
      <w:pPr>
        <w:rPr>
          <w:rFonts w:ascii="Times New Roman" w:hAnsi="Times New Roman" w:cs="Times New Roman"/>
          <w:lang w:eastAsia="fr-FR"/>
        </w:rPr>
      </w:pPr>
      <w:r>
        <w:rPr>
          <w:noProof/>
          <w:lang w:val="pt-PT" w:eastAsia="pt-PT"/>
        </w:rPr>
        <w:drawing>
          <wp:inline distT="0" distB="0" distL="0" distR="0" wp14:anchorId="747EE042" wp14:editId="426E33FF">
            <wp:extent cx="5753100" cy="3800475"/>
            <wp:effectExtent l="0" t="0" r="0" b="9525"/>
            <wp:docPr id="753" name="Image 7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9" cstate="email">
                      <a:extLst>
                        <a:ext uri="{28A0092B-C50C-407E-A947-70E740481C1C}">
                          <a14:useLocalDpi xmlns:a14="http://schemas.microsoft.com/office/drawing/2010/main"/>
                        </a:ext>
                      </a:extLst>
                    </a:blip>
                    <a:srcRect/>
                    <a:stretch/>
                  </pic:blipFill>
                  <pic:spPr bwMode="auto">
                    <a:xfrm>
                      <a:off x="0" y="0"/>
                      <a:ext cx="5753100" cy="3800475"/>
                    </a:xfrm>
                    <a:prstGeom prst="rect">
                      <a:avLst/>
                    </a:prstGeom>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xmlns:cx1="http://schemas.microsoft.com/office/drawing/2015/9/8/chartex"/>
                      </a:ext>
                    </a:extLst>
                  </pic:spPr>
                </pic:pic>
              </a:graphicData>
            </a:graphic>
          </wp:inline>
        </w:drawing>
      </w:r>
    </w:p>
    <w:p w:rsidR="001E1EBE" w:rsidRDefault="001E1EBE" w:rsidP="001E1EBE">
      <w:pPr>
        <w:jc w:val="center"/>
        <w:rPr>
          <w:rFonts w:ascii="Times New Roman" w:hAnsi="Times New Roman" w:cs="Times New Roman"/>
          <w:lang w:eastAsia="fr-FR"/>
        </w:rPr>
      </w:pPr>
    </w:p>
    <w:p w:rsidR="001E1EBE" w:rsidRDefault="001E1EBE" w:rsidP="001E1EBE">
      <w:pPr>
        <w:jc w:val="center"/>
        <w:rPr>
          <w:rFonts w:ascii="Times New Roman" w:hAnsi="Times New Roman" w:cs="Times New Roman"/>
          <w:lang w:eastAsia="fr-FR"/>
        </w:rPr>
      </w:pPr>
    </w:p>
    <w:p w:rsidR="00E679EE" w:rsidRDefault="00E679EE" w:rsidP="0048308E">
      <w:pPr>
        <w:rPr>
          <w:rFonts w:ascii="Times New Roman" w:hAnsi="Times New Roman" w:cs="Times New Roman"/>
          <w:lang w:eastAsia="fr-FR"/>
        </w:rPr>
      </w:pPr>
      <w:r>
        <w:rPr>
          <w:noProof/>
          <w:lang w:val="pt-PT" w:eastAsia="pt-PT"/>
        </w:rPr>
        <w:drawing>
          <wp:inline distT="0" distB="0" distL="0" distR="0" wp14:anchorId="18CD9408" wp14:editId="21B4BAF1">
            <wp:extent cx="5838825" cy="4124778"/>
            <wp:effectExtent l="0" t="0" r="0" b="9525"/>
            <wp:docPr id="754" name="Image 7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0" cstate="email">
                      <a:extLst>
                        <a:ext uri="{28A0092B-C50C-407E-A947-70E740481C1C}">
                          <a14:useLocalDpi xmlns:a14="http://schemas.microsoft.com/office/drawing/2010/main"/>
                        </a:ext>
                      </a:extLst>
                    </a:blip>
                    <a:stretch>
                      <a:fillRect/>
                    </a:stretch>
                  </pic:blipFill>
                  <pic:spPr>
                    <a:xfrm>
                      <a:off x="0" y="0"/>
                      <a:ext cx="5847268" cy="4130743"/>
                    </a:xfrm>
                    <a:prstGeom prst="rect">
                      <a:avLst/>
                    </a:prstGeom>
                  </pic:spPr>
                </pic:pic>
              </a:graphicData>
            </a:graphic>
          </wp:inline>
        </w:drawing>
      </w:r>
    </w:p>
    <w:p w:rsidR="001E1EBE" w:rsidRDefault="00E679EE" w:rsidP="00E679EE">
      <w:pPr>
        <w:rPr>
          <w:rFonts w:ascii="Times New Roman" w:hAnsi="Times New Roman" w:cs="Times New Roman"/>
          <w:lang w:eastAsia="fr-FR"/>
        </w:rPr>
      </w:pPr>
      <w:r>
        <w:rPr>
          <w:noProof/>
          <w:lang w:val="pt-PT" w:eastAsia="pt-PT"/>
        </w:rPr>
        <w:drawing>
          <wp:anchor distT="0" distB="0" distL="114300" distR="114300" simplePos="0" relativeHeight="251657216" behindDoc="0" locked="0" layoutInCell="1" allowOverlap="1" wp14:anchorId="2D7486B2" wp14:editId="6A6017A7">
            <wp:simplePos x="0" y="0"/>
            <wp:positionH relativeFrom="column">
              <wp:posOffset>278765</wp:posOffset>
            </wp:positionH>
            <wp:positionV relativeFrom="paragraph">
              <wp:posOffset>9525</wp:posOffset>
            </wp:positionV>
            <wp:extent cx="5514975" cy="3876675"/>
            <wp:effectExtent l="0" t="0" r="9525" b="9525"/>
            <wp:wrapSquare wrapText="bothSides"/>
            <wp:docPr id="755" name="Image 7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1" cstate="email">
                      <a:extLst>
                        <a:ext uri="{28A0092B-C50C-407E-A947-70E740481C1C}">
                          <a14:useLocalDpi xmlns:a14="http://schemas.microsoft.com/office/drawing/2010/main"/>
                        </a:ext>
                      </a:extLst>
                    </a:blip>
                    <a:srcRect/>
                    <a:stretch/>
                  </pic:blipFill>
                  <pic:spPr bwMode="auto">
                    <a:xfrm>
                      <a:off x="0" y="0"/>
                      <a:ext cx="5514975" cy="3876675"/>
                    </a:xfrm>
                    <a:prstGeom prst="rect">
                      <a:avLst/>
                    </a:prstGeom>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xmlns:cx1="http://schemas.microsoft.com/office/drawing/2015/9/8/chartex"/>
                      </a:ext>
                    </a:extLst>
                  </pic:spPr>
                </pic:pic>
              </a:graphicData>
            </a:graphic>
          </wp:anchor>
        </w:drawing>
      </w:r>
      <w:r>
        <w:rPr>
          <w:rFonts w:ascii="Times New Roman" w:hAnsi="Times New Roman" w:cs="Times New Roman"/>
          <w:lang w:eastAsia="fr-FR"/>
        </w:rPr>
        <w:br w:type="textWrapping" w:clear="all"/>
      </w:r>
    </w:p>
    <w:p w:rsidR="00E679EE" w:rsidRDefault="00E679EE" w:rsidP="00E679EE">
      <w:pPr>
        <w:rPr>
          <w:rFonts w:ascii="Times New Roman" w:hAnsi="Times New Roman" w:cs="Times New Roman"/>
          <w:lang w:eastAsia="fr-FR"/>
        </w:rPr>
      </w:pPr>
    </w:p>
    <w:p w:rsidR="00E679EE" w:rsidRDefault="00E679EE" w:rsidP="00E679EE">
      <w:pPr>
        <w:rPr>
          <w:rFonts w:ascii="Times New Roman" w:hAnsi="Times New Roman" w:cs="Times New Roman"/>
          <w:lang w:eastAsia="fr-FR"/>
        </w:rPr>
      </w:pPr>
    </w:p>
    <w:p w:rsidR="00E679EE" w:rsidRDefault="00E679EE" w:rsidP="00E679EE">
      <w:pPr>
        <w:rPr>
          <w:rFonts w:ascii="Times New Roman" w:hAnsi="Times New Roman" w:cs="Times New Roman"/>
          <w:lang w:eastAsia="fr-FR"/>
        </w:rPr>
      </w:pPr>
    </w:p>
    <w:p w:rsidR="00E679EE" w:rsidRDefault="00E679EE" w:rsidP="0048308E">
      <w:pPr>
        <w:rPr>
          <w:rFonts w:ascii="Times New Roman" w:hAnsi="Times New Roman" w:cs="Times New Roman"/>
          <w:lang w:eastAsia="fr-FR"/>
        </w:rPr>
      </w:pPr>
      <w:r>
        <w:rPr>
          <w:noProof/>
          <w:lang w:val="pt-PT" w:eastAsia="pt-PT"/>
        </w:rPr>
        <w:drawing>
          <wp:inline distT="0" distB="0" distL="0" distR="0" wp14:anchorId="03785C54" wp14:editId="3B7AC341">
            <wp:extent cx="6035040" cy="4263391"/>
            <wp:effectExtent l="0" t="0" r="3810" b="3810"/>
            <wp:docPr id="756" name="Image 7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2" cstate="email">
                      <a:extLst>
                        <a:ext uri="{28A0092B-C50C-407E-A947-70E740481C1C}">
                          <a14:useLocalDpi xmlns:a14="http://schemas.microsoft.com/office/drawing/2010/main"/>
                        </a:ext>
                      </a:extLst>
                    </a:blip>
                    <a:stretch>
                      <a:fillRect/>
                    </a:stretch>
                  </pic:blipFill>
                  <pic:spPr>
                    <a:xfrm>
                      <a:off x="0" y="0"/>
                      <a:ext cx="6046694" cy="4271624"/>
                    </a:xfrm>
                    <a:prstGeom prst="rect">
                      <a:avLst/>
                    </a:prstGeom>
                  </pic:spPr>
                </pic:pic>
              </a:graphicData>
            </a:graphic>
          </wp:inline>
        </w:drawing>
      </w:r>
    </w:p>
    <w:p w:rsidR="00E679EE" w:rsidRDefault="00E679EE" w:rsidP="0048308E">
      <w:pPr>
        <w:tabs>
          <w:tab w:val="left" w:pos="4020"/>
        </w:tabs>
        <w:jc w:val="both"/>
        <w:rPr>
          <w:rFonts w:ascii="Times New Roman" w:hAnsi="Times New Roman" w:cs="Times New Roman"/>
          <w:lang w:eastAsia="fr-FR"/>
        </w:rPr>
      </w:pPr>
      <w:r>
        <w:rPr>
          <w:rFonts w:ascii="Times New Roman" w:hAnsi="Times New Roman" w:cs="Times New Roman"/>
          <w:lang w:eastAsia="fr-FR"/>
        </w:rPr>
        <w:tab/>
      </w:r>
      <w:r>
        <w:rPr>
          <w:noProof/>
          <w:lang w:val="pt-PT" w:eastAsia="pt-PT"/>
        </w:rPr>
        <w:drawing>
          <wp:inline distT="0" distB="0" distL="0" distR="0" wp14:anchorId="6FA16C0D" wp14:editId="1EBB2DF4">
            <wp:extent cx="5838825" cy="4082187"/>
            <wp:effectExtent l="0" t="0" r="0" b="0"/>
            <wp:docPr id="757" name="Image 7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3" cstate="email">
                      <a:extLst>
                        <a:ext uri="{28A0092B-C50C-407E-A947-70E740481C1C}">
                          <a14:useLocalDpi xmlns:a14="http://schemas.microsoft.com/office/drawing/2010/main"/>
                        </a:ext>
                      </a:extLst>
                    </a:blip>
                    <a:srcRect/>
                    <a:stretch/>
                  </pic:blipFill>
                  <pic:spPr bwMode="auto">
                    <a:xfrm>
                      <a:off x="0" y="0"/>
                      <a:ext cx="5858561" cy="4095985"/>
                    </a:xfrm>
                    <a:prstGeom prst="rect">
                      <a:avLst/>
                    </a:prstGeom>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xmlns:cx1="http://schemas.microsoft.com/office/drawing/2015/9/8/chartex"/>
                      </a:ext>
                    </a:extLst>
                  </pic:spPr>
                </pic:pic>
              </a:graphicData>
            </a:graphic>
          </wp:inline>
        </w:drawing>
      </w:r>
    </w:p>
    <w:p w:rsidR="00E679EE" w:rsidRDefault="00E679EE" w:rsidP="00E679EE">
      <w:pPr>
        <w:tabs>
          <w:tab w:val="left" w:pos="4020"/>
        </w:tabs>
        <w:rPr>
          <w:rFonts w:ascii="Times New Roman" w:hAnsi="Times New Roman" w:cs="Times New Roman"/>
          <w:lang w:eastAsia="fr-FR"/>
        </w:rPr>
      </w:pPr>
    </w:p>
    <w:p w:rsidR="00E679EE" w:rsidRDefault="00E679EE" w:rsidP="0048308E">
      <w:pPr>
        <w:tabs>
          <w:tab w:val="left" w:pos="4020"/>
        </w:tabs>
        <w:jc w:val="both"/>
        <w:rPr>
          <w:rFonts w:ascii="Times New Roman" w:hAnsi="Times New Roman" w:cs="Times New Roman"/>
          <w:lang w:eastAsia="fr-FR"/>
        </w:rPr>
      </w:pPr>
      <w:r>
        <w:rPr>
          <w:noProof/>
          <w:lang w:val="pt-PT" w:eastAsia="pt-PT"/>
        </w:rPr>
        <w:lastRenderedPageBreak/>
        <w:drawing>
          <wp:inline distT="0" distB="0" distL="0" distR="0" wp14:anchorId="0DDEAD9B" wp14:editId="32B6BD1F">
            <wp:extent cx="5572125" cy="3810000"/>
            <wp:effectExtent l="0" t="0" r="9525" b="0"/>
            <wp:docPr id="758" name="Image 7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4" cstate="email">
                      <a:extLst>
                        <a:ext uri="{28A0092B-C50C-407E-A947-70E740481C1C}">
                          <a14:useLocalDpi xmlns:a14="http://schemas.microsoft.com/office/drawing/2010/main"/>
                        </a:ext>
                      </a:extLst>
                    </a:blip>
                    <a:srcRect/>
                    <a:stretch/>
                  </pic:blipFill>
                  <pic:spPr bwMode="auto">
                    <a:xfrm>
                      <a:off x="0" y="0"/>
                      <a:ext cx="5572125" cy="3810000"/>
                    </a:xfrm>
                    <a:prstGeom prst="rect">
                      <a:avLst/>
                    </a:prstGeom>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xmlns:cx1="http://schemas.microsoft.com/office/drawing/2015/9/8/chartex"/>
                      </a:ext>
                    </a:extLst>
                  </pic:spPr>
                </pic:pic>
              </a:graphicData>
            </a:graphic>
          </wp:inline>
        </w:drawing>
      </w:r>
    </w:p>
    <w:p w:rsidR="00E679EE" w:rsidRDefault="00E679EE" w:rsidP="00E679EE">
      <w:pPr>
        <w:shd w:val="clear" w:color="auto" w:fill="D9E2F3" w:themeFill="accent5" w:themeFillTint="33"/>
        <w:tabs>
          <w:tab w:val="left" w:pos="3810"/>
        </w:tabs>
        <w:rPr>
          <w:rFonts w:ascii="Times New Roman" w:hAnsi="Times New Roman" w:cs="Times New Roman"/>
          <w:b/>
          <w:lang w:eastAsia="fr-FR"/>
        </w:rPr>
      </w:pPr>
      <w:r>
        <w:rPr>
          <w:rFonts w:ascii="Times New Roman" w:hAnsi="Times New Roman" w:cs="Times New Roman"/>
          <w:lang w:eastAsia="fr-FR"/>
        </w:rPr>
        <w:tab/>
      </w:r>
      <w:r>
        <w:rPr>
          <w:rFonts w:ascii="Times New Roman" w:hAnsi="Times New Roman" w:cs="Times New Roman"/>
          <w:b/>
          <w:lang w:eastAsia="fr-FR"/>
        </w:rPr>
        <w:t>AU NIVEAU DE PRABIS</w:t>
      </w:r>
    </w:p>
    <w:p w:rsidR="00E679EE" w:rsidRDefault="00E679EE" w:rsidP="0048308E">
      <w:pPr>
        <w:tabs>
          <w:tab w:val="left" w:pos="2970"/>
        </w:tabs>
        <w:jc w:val="both"/>
        <w:rPr>
          <w:rFonts w:ascii="Times New Roman" w:hAnsi="Times New Roman" w:cs="Times New Roman"/>
          <w:lang w:eastAsia="fr-FR"/>
        </w:rPr>
      </w:pPr>
      <w:r>
        <w:rPr>
          <w:noProof/>
          <w:lang w:val="pt-PT" w:eastAsia="pt-PT"/>
        </w:rPr>
        <w:drawing>
          <wp:inline distT="0" distB="0" distL="0" distR="0" wp14:anchorId="27820F60" wp14:editId="4394A9CB">
            <wp:extent cx="5699052" cy="4026036"/>
            <wp:effectExtent l="0" t="0" r="0" b="0"/>
            <wp:docPr id="759" name="Image 7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5" cstate="email">
                      <a:extLst>
                        <a:ext uri="{28A0092B-C50C-407E-A947-70E740481C1C}">
                          <a14:useLocalDpi xmlns:a14="http://schemas.microsoft.com/office/drawing/2010/main"/>
                        </a:ext>
                      </a:extLst>
                    </a:blip>
                    <a:stretch>
                      <a:fillRect/>
                    </a:stretch>
                  </pic:blipFill>
                  <pic:spPr>
                    <a:xfrm>
                      <a:off x="0" y="0"/>
                      <a:ext cx="5704405" cy="4029817"/>
                    </a:xfrm>
                    <a:prstGeom prst="rect">
                      <a:avLst/>
                    </a:prstGeom>
                  </pic:spPr>
                </pic:pic>
              </a:graphicData>
            </a:graphic>
          </wp:inline>
        </w:drawing>
      </w:r>
    </w:p>
    <w:p w:rsidR="00E679EE" w:rsidRDefault="00E679EE" w:rsidP="00E679EE">
      <w:pPr>
        <w:tabs>
          <w:tab w:val="left" w:pos="2970"/>
        </w:tabs>
        <w:rPr>
          <w:rFonts w:ascii="Times New Roman" w:hAnsi="Times New Roman" w:cs="Times New Roman"/>
          <w:lang w:eastAsia="fr-FR"/>
        </w:rPr>
      </w:pPr>
    </w:p>
    <w:p w:rsidR="00E679EE" w:rsidRDefault="00E679EE" w:rsidP="0048308E">
      <w:pPr>
        <w:tabs>
          <w:tab w:val="left" w:pos="2970"/>
        </w:tabs>
        <w:jc w:val="both"/>
        <w:rPr>
          <w:rFonts w:ascii="Times New Roman" w:hAnsi="Times New Roman" w:cs="Times New Roman"/>
          <w:lang w:eastAsia="fr-FR"/>
        </w:rPr>
      </w:pPr>
      <w:r>
        <w:rPr>
          <w:noProof/>
          <w:lang w:val="pt-PT" w:eastAsia="pt-PT"/>
        </w:rPr>
        <w:lastRenderedPageBreak/>
        <w:drawing>
          <wp:inline distT="0" distB="0" distL="0" distR="0" wp14:anchorId="3942BB5F" wp14:editId="501AF132">
            <wp:extent cx="5305647" cy="3748119"/>
            <wp:effectExtent l="0" t="0" r="0" b="5080"/>
            <wp:docPr id="760" name="Image 7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6" cstate="email">
                      <a:extLst>
                        <a:ext uri="{28A0092B-C50C-407E-A947-70E740481C1C}">
                          <a14:useLocalDpi xmlns:a14="http://schemas.microsoft.com/office/drawing/2010/main"/>
                        </a:ext>
                      </a:extLst>
                    </a:blip>
                    <a:stretch>
                      <a:fillRect/>
                    </a:stretch>
                  </pic:blipFill>
                  <pic:spPr>
                    <a:xfrm>
                      <a:off x="0" y="0"/>
                      <a:ext cx="5308647" cy="3750238"/>
                    </a:xfrm>
                    <a:prstGeom prst="rect">
                      <a:avLst/>
                    </a:prstGeom>
                  </pic:spPr>
                </pic:pic>
              </a:graphicData>
            </a:graphic>
          </wp:inline>
        </w:drawing>
      </w:r>
    </w:p>
    <w:p w:rsidR="00350380" w:rsidRDefault="00E679EE" w:rsidP="00E679EE">
      <w:pPr>
        <w:tabs>
          <w:tab w:val="left" w:pos="3855"/>
        </w:tabs>
        <w:rPr>
          <w:rFonts w:ascii="Times New Roman" w:hAnsi="Times New Roman" w:cs="Times New Roman"/>
          <w:lang w:eastAsia="fr-FR"/>
        </w:rPr>
      </w:pPr>
      <w:r>
        <w:rPr>
          <w:rFonts w:ascii="Times New Roman" w:hAnsi="Times New Roman" w:cs="Times New Roman"/>
          <w:lang w:eastAsia="fr-FR"/>
        </w:rPr>
        <w:tab/>
      </w:r>
      <w:r>
        <w:rPr>
          <w:noProof/>
          <w:lang w:val="pt-PT" w:eastAsia="pt-PT"/>
        </w:rPr>
        <w:drawing>
          <wp:inline distT="0" distB="0" distL="0" distR="0" wp14:anchorId="34A3E228" wp14:editId="0E27EDF4">
            <wp:extent cx="5572125" cy="3714750"/>
            <wp:effectExtent l="0" t="0" r="9525" b="0"/>
            <wp:docPr id="761" name="Image 7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7" cstate="email">
                      <a:extLst>
                        <a:ext uri="{28A0092B-C50C-407E-A947-70E740481C1C}">
                          <a14:useLocalDpi xmlns:a14="http://schemas.microsoft.com/office/drawing/2010/main"/>
                        </a:ext>
                      </a:extLst>
                    </a:blip>
                    <a:srcRect/>
                    <a:stretch/>
                  </pic:blipFill>
                  <pic:spPr bwMode="auto">
                    <a:xfrm>
                      <a:off x="0" y="0"/>
                      <a:ext cx="5572125" cy="3714750"/>
                    </a:xfrm>
                    <a:prstGeom prst="rect">
                      <a:avLst/>
                    </a:prstGeom>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xmlns:cx1="http://schemas.microsoft.com/office/drawing/2015/9/8/chartex"/>
                      </a:ext>
                    </a:extLst>
                  </pic:spPr>
                </pic:pic>
              </a:graphicData>
            </a:graphic>
          </wp:inline>
        </w:drawing>
      </w:r>
    </w:p>
    <w:p w:rsidR="008756B2" w:rsidRDefault="008756B2" w:rsidP="00E679EE">
      <w:pPr>
        <w:tabs>
          <w:tab w:val="left" w:pos="3855"/>
        </w:tabs>
        <w:rPr>
          <w:rFonts w:ascii="Times New Roman" w:hAnsi="Times New Roman" w:cs="Times New Roman"/>
          <w:lang w:eastAsia="fr-FR"/>
        </w:rPr>
      </w:pPr>
    </w:p>
    <w:p w:rsidR="008756B2" w:rsidRDefault="008756B2" w:rsidP="00E679EE">
      <w:pPr>
        <w:tabs>
          <w:tab w:val="left" w:pos="3855"/>
        </w:tabs>
        <w:rPr>
          <w:rFonts w:ascii="Times New Roman" w:hAnsi="Times New Roman" w:cs="Times New Roman"/>
          <w:lang w:eastAsia="fr-FR"/>
        </w:rPr>
      </w:pPr>
    </w:p>
    <w:p w:rsidR="008756B2" w:rsidRDefault="008756B2" w:rsidP="00E679EE">
      <w:pPr>
        <w:tabs>
          <w:tab w:val="left" w:pos="3855"/>
        </w:tabs>
        <w:rPr>
          <w:rFonts w:ascii="Times New Roman" w:hAnsi="Times New Roman" w:cs="Times New Roman"/>
          <w:lang w:eastAsia="fr-FR"/>
        </w:rPr>
      </w:pPr>
    </w:p>
    <w:p w:rsidR="0048308E" w:rsidRDefault="0048308E" w:rsidP="00E679EE">
      <w:pPr>
        <w:tabs>
          <w:tab w:val="left" w:pos="3855"/>
        </w:tabs>
        <w:rPr>
          <w:rFonts w:ascii="Times New Roman" w:hAnsi="Times New Roman" w:cs="Times New Roman"/>
          <w:lang w:eastAsia="fr-FR"/>
        </w:rPr>
      </w:pPr>
    </w:p>
    <w:p w:rsidR="0048308E" w:rsidRDefault="0048308E" w:rsidP="00E679EE">
      <w:pPr>
        <w:tabs>
          <w:tab w:val="left" w:pos="3855"/>
        </w:tabs>
        <w:rPr>
          <w:rFonts w:ascii="Times New Roman" w:hAnsi="Times New Roman" w:cs="Times New Roman"/>
          <w:lang w:eastAsia="fr-FR"/>
        </w:rPr>
      </w:pPr>
    </w:p>
    <w:p w:rsidR="008756B2" w:rsidRDefault="008756B2" w:rsidP="00E679EE">
      <w:pPr>
        <w:tabs>
          <w:tab w:val="left" w:pos="3855"/>
        </w:tabs>
        <w:rPr>
          <w:rFonts w:ascii="Times New Roman" w:hAnsi="Times New Roman" w:cs="Times New Roman"/>
          <w:lang w:eastAsia="fr-FR"/>
        </w:rPr>
      </w:pPr>
    </w:p>
    <w:p w:rsidR="00350380" w:rsidRDefault="00350380" w:rsidP="00350380">
      <w:pPr>
        <w:shd w:val="clear" w:color="auto" w:fill="D9E2F3" w:themeFill="accent5" w:themeFillTint="33"/>
        <w:tabs>
          <w:tab w:val="left" w:pos="3810"/>
        </w:tabs>
        <w:rPr>
          <w:rFonts w:ascii="Times New Roman" w:hAnsi="Times New Roman" w:cs="Times New Roman"/>
          <w:b/>
          <w:lang w:eastAsia="fr-FR"/>
        </w:rPr>
      </w:pPr>
      <w:r>
        <w:rPr>
          <w:rFonts w:ascii="Times New Roman" w:hAnsi="Times New Roman" w:cs="Times New Roman"/>
          <w:lang w:eastAsia="fr-FR"/>
        </w:rPr>
        <w:tab/>
      </w:r>
      <w:r>
        <w:rPr>
          <w:rFonts w:ascii="Times New Roman" w:hAnsi="Times New Roman" w:cs="Times New Roman"/>
          <w:b/>
          <w:lang w:eastAsia="fr-FR"/>
        </w:rPr>
        <w:t>AU NIVEAU DE ANTULA</w:t>
      </w:r>
    </w:p>
    <w:p w:rsidR="00350380" w:rsidRDefault="00350380" w:rsidP="00E679EE">
      <w:pPr>
        <w:tabs>
          <w:tab w:val="left" w:pos="3855"/>
        </w:tabs>
        <w:rPr>
          <w:rFonts w:ascii="Times New Roman" w:hAnsi="Times New Roman" w:cs="Times New Roman"/>
          <w:lang w:eastAsia="fr-FR"/>
        </w:rPr>
      </w:pPr>
      <w:r>
        <w:rPr>
          <w:noProof/>
          <w:lang w:val="pt-PT" w:eastAsia="pt-PT"/>
        </w:rPr>
        <w:drawing>
          <wp:inline distT="0" distB="0" distL="0" distR="0" wp14:anchorId="2CE05FD1" wp14:editId="36C894EA">
            <wp:extent cx="6301105" cy="4451350"/>
            <wp:effectExtent l="0" t="0" r="4445" b="6350"/>
            <wp:docPr id="762" name="Image 7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8" cstate="email">
                      <a:extLst>
                        <a:ext uri="{28A0092B-C50C-407E-A947-70E740481C1C}">
                          <a14:useLocalDpi xmlns:a14="http://schemas.microsoft.com/office/drawing/2010/main"/>
                        </a:ext>
                      </a:extLst>
                    </a:blip>
                    <a:stretch>
                      <a:fillRect/>
                    </a:stretch>
                  </pic:blipFill>
                  <pic:spPr>
                    <a:xfrm>
                      <a:off x="0" y="0"/>
                      <a:ext cx="6301105" cy="4451350"/>
                    </a:xfrm>
                    <a:prstGeom prst="rect">
                      <a:avLst/>
                    </a:prstGeom>
                  </pic:spPr>
                </pic:pic>
              </a:graphicData>
            </a:graphic>
          </wp:inline>
        </w:drawing>
      </w:r>
    </w:p>
    <w:p w:rsidR="001364C2" w:rsidRDefault="00350380" w:rsidP="00350380">
      <w:pPr>
        <w:jc w:val="center"/>
        <w:rPr>
          <w:rFonts w:ascii="Times New Roman" w:hAnsi="Times New Roman" w:cs="Times New Roman"/>
          <w:lang w:eastAsia="fr-FR"/>
        </w:rPr>
      </w:pPr>
      <w:r>
        <w:rPr>
          <w:noProof/>
          <w:lang w:val="pt-PT" w:eastAsia="pt-PT"/>
        </w:rPr>
        <w:drawing>
          <wp:inline distT="0" distB="0" distL="0" distR="0" wp14:anchorId="4805B37E" wp14:editId="1DC3C47D">
            <wp:extent cx="5933302" cy="4114704"/>
            <wp:effectExtent l="0" t="0" r="0" b="635"/>
            <wp:docPr id="763" name="Image 7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9" cstate="email">
                      <a:extLst>
                        <a:ext uri="{28A0092B-C50C-407E-A947-70E740481C1C}">
                          <a14:useLocalDpi xmlns:a14="http://schemas.microsoft.com/office/drawing/2010/main"/>
                        </a:ext>
                      </a:extLst>
                    </a:blip>
                    <a:srcRect l="-1"/>
                    <a:stretch/>
                  </pic:blipFill>
                  <pic:spPr bwMode="auto">
                    <a:xfrm>
                      <a:off x="0" y="0"/>
                      <a:ext cx="5963673" cy="4135766"/>
                    </a:xfrm>
                    <a:prstGeom prst="rect">
                      <a:avLst/>
                    </a:prstGeom>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xmlns:cx1="http://schemas.microsoft.com/office/drawing/2015/9/8/chartex"/>
                      </a:ext>
                    </a:extLst>
                  </pic:spPr>
                </pic:pic>
              </a:graphicData>
            </a:graphic>
          </wp:inline>
        </w:drawing>
      </w:r>
    </w:p>
    <w:p w:rsidR="001364C2" w:rsidRDefault="001364C2" w:rsidP="001364C2">
      <w:pPr>
        <w:shd w:val="clear" w:color="auto" w:fill="FFFFFF" w:themeFill="background1"/>
        <w:tabs>
          <w:tab w:val="left" w:pos="1340"/>
        </w:tabs>
        <w:spacing w:after="0"/>
        <w:rPr>
          <w:rFonts w:ascii="Times New Roman" w:hAnsi="Times New Roman" w:cs="Times New Roman"/>
          <w:lang w:eastAsia="fr-FR"/>
        </w:rPr>
      </w:pPr>
    </w:p>
    <w:p w:rsidR="00EC1CE9" w:rsidRPr="000D0E23" w:rsidRDefault="000D0E23" w:rsidP="00D10B3E">
      <w:pPr>
        <w:pStyle w:val="ndice2"/>
      </w:pPr>
      <w:bookmarkStart w:id="1105" w:name="_Toc51072730"/>
      <w:r w:rsidRPr="000D0E23">
        <w:t>ANNEXE 7 : MODELE DE LA LETTRE DE MANIFESTATION DES PLAINTES</w:t>
      </w:r>
      <w:bookmarkEnd w:id="1105"/>
    </w:p>
    <w:p w:rsidR="00181BAB" w:rsidRDefault="00181BAB" w:rsidP="00D10B3E">
      <w:pPr>
        <w:pStyle w:val="ndice2"/>
      </w:pPr>
    </w:p>
    <w:p w:rsidR="00EC1CE9" w:rsidRPr="00FA0777" w:rsidRDefault="00EC1CE9" w:rsidP="00EC1CE9">
      <w:pPr>
        <w:pBdr>
          <w:top w:val="triple" w:sz="4" w:space="1" w:color="auto"/>
          <w:left w:val="triple" w:sz="4" w:space="4" w:color="auto"/>
          <w:bottom w:val="triple" w:sz="4" w:space="1" w:color="auto"/>
          <w:right w:val="triple" w:sz="4" w:space="4" w:color="auto"/>
        </w:pBdr>
        <w:shd w:val="clear" w:color="auto" w:fill="FBE4D5"/>
        <w:spacing w:after="0" w:line="240" w:lineRule="auto"/>
        <w:jc w:val="both"/>
        <w:rPr>
          <w:rFonts w:ascii="Times New Roman" w:hAnsi="Times New Roman"/>
          <w:sz w:val="20"/>
          <w:szCs w:val="20"/>
        </w:rPr>
      </w:pPr>
      <w:r w:rsidRPr="00FA0777">
        <w:rPr>
          <w:rFonts w:ascii="Times New Roman" w:hAnsi="Times New Roman"/>
          <w:sz w:val="20"/>
          <w:szCs w:val="20"/>
        </w:rPr>
        <w:t xml:space="preserve">Je soussigné(e) _____________________________________________ </w:t>
      </w:r>
      <w:r w:rsidRPr="00FA0777">
        <w:rPr>
          <w:rStyle w:val="Forte"/>
          <w:rFonts w:ascii="Times New Roman" w:hAnsi="Times New Roman"/>
          <w:color w:val="FF0000"/>
          <w:sz w:val="20"/>
          <w:szCs w:val="20"/>
        </w:rPr>
        <w:t>[nom, prénom]</w:t>
      </w:r>
      <w:r w:rsidRPr="00FA0777">
        <w:rPr>
          <w:rFonts w:ascii="Times New Roman" w:hAnsi="Times New Roman"/>
          <w:sz w:val="20"/>
          <w:szCs w:val="20"/>
        </w:rPr>
        <w:t xml:space="preserve">, né(e) le ____________________________ à _______ </w:t>
      </w:r>
      <w:r w:rsidRPr="00FA0777">
        <w:rPr>
          <w:rStyle w:val="Forte"/>
          <w:rFonts w:ascii="Times New Roman" w:hAnsi="Times New Roman"/>
          <w:color w:val="FF0000"/>
          <w:sz w:val="20"/>
          <w:szCs w:val="20"/>
        </w:rPr>
        <w:t>[date et lieu de naissance]</w:t>
      </w:r>
      <w:r w:rsidRPr="00FA0777">
        <w:rPr>
          <w:rFonts w:ascii="Times New Roman" w:hAnsi="Times New Roman"/>
          <w:sz w:val="20"/>
          <w:szCs w:val="20"/>
        </w:rPr>
        <w:t xml:space="preserve">, demeurant _____ </w:t>
      </w:r>
      <w:r w:rsidRPr="00FA0777">
        <w:rPr>
          <w:rStyle w:val="Forte"/>
          <w:rFonts w:ascii="Times New Roman" w:hAnsi="Times New Roman"/>
          <w:color w:val="FF0000"/>
          <w:sz w:val="20"/>
          <w:szCs w:val="20"/>
        </w:rPr>
        <w:t>[adresse complète]</w:t>
      </w:r>
      <w:r w:rsidRPr="00FA0777">
        <w:rPr>
          <w:rFonts w:ascii="Times New Roman" w:hAnsi="Times New Roman"/>
          <w:sz w:val="20"/>
          <w:szCs w:val="20"/>
        </w:rPr>
        <w:t xml:space="preserve"> et exerçant la profession de ____________________ </w:t>
      </w:r>
      <w:r w:rsidRPr="00FA0777">
        <w:rPr>
          <w:rStyle w:val="Forte"/>
          <w:rFonts w:ascii="Times New Roman" w:hAnsi="Times New Roman"/>
          <w:color w:val="FF0000"/>
          <w:sz w:val="20"/>
          <w:szCs w:val="20"/>
        </w:rPr>
        <w:t>[profession exercée]</w:t>
      </w:r>
      <w:r w:rsidRPr="00FA0777">
        <w:rPr>
          <w:rFonts w:ascii="Times New Roman" w:hAnsi="Times New Roman"/>
          <w:sz w:val="20"/>
          <w:szCs w:val="20"/>
        </w:rPr>
        <w:br/>
      </w:r>
      <w:r w:rsidRPr="00FA0777">
        <w:rPr>
          <w:rFonts w:ascii="Times New Roman" w:hAnsi="Times New Roman"/>
          <w:sz w:val="20"/>
          <w:szCs w:val="20"/>
        </w:rPr>
        <w:br/>
        <w:t>Ai l’honneur de porter plainte entre vos mains contre _________________ et ce, en raison des faits énoncés ci-dessous:</w:t>
      </w:r>
    </w:p>
    <w:p w:rsidR="00EC1CE9" w:rsidRPr="00FA0777" w:rsidRDefault="00EC1CE9" w:rsidP="00EC1CE9">
      <w:pPr>
        <w:pBdr>
          <w:top w:val="triple" w:sz="4" w:space="1" w:color="auto"/>
          <w:left w:val="triple" w:sz="4" w:space="4" w:color="auto"/>
          <w:bottom w:val="triple" w:sz="4" w:space="1" w:color="auto"/>
          <w:right w:val="triple" w:sz="4" w:space="4" w:color="auto"/>
        </w:pBdr>
        <w:shd w:val="clear" w:color="auto" w:fill="FBE4D5"/>
        <w:spacing w:after="0" w:line="240" w:lineRule="auto"/>
        <w:jc w:val="both"/>
        <w:rPr>
          <w:rFonts w:ascii="Times New Roman" w:hAnsi="Times New Roman"/>
          <w:sz w:val="20"/>
          <w:szCs w:val="20"/>
        </w:rPr>
      </w:pPr>
      <w:r w:rsidRPr="00FA0777">
        <w:rPr>
          <w:rFonts w:ascii="Times New Roman" w:hAnsi="Times New Roman"/>
          <w:sz w:val="20"/>
          <w:szCs w:val="20"/>
        </w:rPr>
        <w:t xml:space="preserve">____________________________________________________________________________________________________________________________________________________________________________________________________________________________________ </w:t>
      </w:r>
      <w:r w:rsidRPr="00FA0777">
        <w:rPr>
          <w:rStyle w:val="Forte"/>
          <w:rFonts w:ascii="Times New Roman" w:hAnsi="Times New Roman"/>
          <w:color w:val="FF0000"/>
          <w:sz w:val="20"/>
          <w:szCs w:val="20"/>
        </w:rPr>
        <w:t>[Enoncé des faits, direct et concis, comportant simplement les détails nécessaires à la bonne compréhension de l’affaire]</w:t>
      </w:r>
      <w:r w:rsidRPr="00FA0777">
        <w:rPr>
          <w:rFonts w:ascii="Times New Roman" w:hAnsi="Times New Roman"/>
          <w:sz w:val="20"/>
          <w:szCs w:val="20"/>
        </w:rPr>
        <w:t>.</w:t>
      </w:r>
    </w:p>
    <w:p w:rsidR="00EC1CE9" w:rsidRPr="00FA0777" w:rsidRDefault="00EC1CE9" w:rsidP="00EC1CE9">
      <w:pPr>
        <w:pBdr>
          <w:top w:val="triple" w:sz="4" w:space="1" w:color="auto"/>
          <w:left w:val="triple" w:sz="4" w:space="4" w:color="auto"/>
          <w:bottom w:val="triple" w:sz="4" w:space="1" w:color="auto"/>
          <w:right w:val="triple" w:sz="4" w:space="4" w:color="auto"/>
        </w:pBdr>
        <w:shd w:val="clear" w:color="auto" w:fill="FBE4D5"/>
        <w:spacing w:after="0" w:line="240" w:lineRule="auto"/>
        <w:jc w:val="both"/>
        <w:rPr>
          <w:rStyle w:val="Forte"/>
          <w:rFonts w:ascii="Times New Roman" w:hAnsi="Times New Roman"/>
          <w:color w:val="FF0000"/>
          <w:sz w:val="20"/>
          <w:szCs w:val="20"/>
        </w:rPr>
      </w:pPr>
      <w:r w:rsidRPr="00FA0777">
        <w:rPr>
          <w:rFonts w:ascii="Times New Roman" w:hAnsi="Times New Roman"/>
          <w:sz w:val="20"/>
          <w:szCs w:val="20"/>
        </w:rPr>
        <w:br/>
        <w:t>C’est la raison pour laquelle je vous prie de bien vouloir donner à cette affaire la suite légale qu’elle comporte. Dans cet objectif, vous trouverez ci-joint les éléments justificatifs nécessaires.</w:t>
      </w:r>
      <w:r w:rsidRPr="00FA0777">
        <w:rPr>
          <w:rFonts w:ascii="Times New Roman" w:hAnsi="Times New Roman"/>
          <w:sz w:val="20"/>
          <w:szCs w:val="20"/>
        </w:rPr>
        <w:br/>
      </w:r>
      <w:r w:rsidRPr="00FA0777">
        <w:rPr>
          <w:rFonts w:ascii="Times New Roman" w:hAnsi="Times New Roman"/>
          <w:sz w:val="20"/>
          <w:szCs w:val="20"/>
        </w:rPr>
        <w:br/>
        <w:t>Veuillez agréer, Madame / Monsieur le Coordinateur du PUASEE, l’expression de ma haute considération.</w:t>
      </w:r>
      <w:r w:rsidRPr="00FA0777">
        <w:rPr>
          <w:rFonts w:ascii="Times New Roman" w:hAnsi="Times New Roman"/>
          <w:sz w:val="20"/>
          <w:szCs w:val="20"/>
        </w:rPr>
        <w:br/>
      </w:r>
      <w:r w:rsidRPr="00FA0777">
        <w:rPr>
          <w:rFonts w:ascii="Times New Roman" w:hAnsi="Times New Roman"/>
          <w:sz w:val="20"/>
          <w:szCs w:val="20"/>
        </w:rPr>
        <w:br/>
        <w:t xml:space="preserve">Fait à _____ </w:t>
      </w:r>
      <w:r w:rsidRPr="00FA0777">
        <w:rPr>
          <w:rStyle w:val="Forte"/>
          <w:rFonts w:ascii="Times New Roman" w:hAnsi="Times New Roman"/>
          <w:color w:val="FF0000"/>
          <w:sz w:val="20"/>
          <w:szCs w:val="20"/>
        </w:rPr>
        <w:t>[lieu]</w:t>
      </w:r>
    </w:p>
    <w:p w:rsidR="00EC1CE9" w:rsidRPr="00FA0777" w:rsidRDefault="00EC1CE9" w:rsidP="00EC1CE9">
      <w:pPr>
        <w:pBdr>
          <w:top w:val="triple" w:sz="4" w:space="1" w:color="auto"/>
          <w:left w:val="triple" w:sz="4" w:space="4" w:color="auto"/>
          <w:bottom w:val="triple" w:sz="4" w:space="1" w:color="auto"/>
          <w:right w:val="triple" w:sz="4" w:space="4" w:color="auto"/>
        </w:pBdr>
        <w:shd w:val="clear" w:color="auto" w:fill="FBE4D5"/>
        <w:spacing w:after="0" w:line="240" w:lineRule="auto"/>
        <w:jc w:val="both"/>
        <w:rPr>
          <w:rFonts w:ascii="Times New Roman" w:hAnsi="Times New Roman"/>
          <w:sz w:val="20"/>
          <w:szCs w:val="20"/>
        </w:rPr>
      </w:pPr>
      <w:r w:rsidRPr="00FA0777">
        <w:rPr>
          <w:rFonts w:ascii="Times New Roman" w:hAnsi="Times New Roman"/>
          <w:sz w:val="20"/>
          <w:szCs w:val="20"/>
        </w:rPr>
        <w:br/>
        <w:t xml:space="preserve">Le ______ </w:t>
      </w:r>
      <w:r w:rsidRPr="00FA0777">
        <w:rPr>
          <w:rStyle w:val="Forte"/>
          <w:rFonts w:ascii="Times New Roman" w:hAnsi="Times New Roman"/>
          <w:color w:val="FF0000"/>
          <w:sz w:val="20"/>
          <w:szCs w:val="20"/>
        </w:rPr>
        <w:t>[date]</w:t>
      </w:r>
    </w:p>
    <w:p w:rsidR="00EC1CE9" w:rsidRPr="00DD196E" w:rsidRDefault="00EC1CE9" w:rsidP="00EC1CE9">
      <w:pPr>
        <w:autoSpaceDE w:val="0"/>
        <w:autoSpaceDN w:val="0"/>
        <w:adjustRightInd w:val="0"/>
        <w:spacing w:after="0" w:line="240" w:lineRule="auto"/>
        <w:jc w:val="both"/>
        <w:rPr>
          <w:rFonts w:ascii="Times New Roman" w:hAnsi="Times New Roman"/>
          <w:sz w:val="24"/>
          <w:szCs w:val="24"/>
        </w:rPr>
      </w:pPr>
    </w:p>
    <w:p w:rsidR="00EC1CE9" w:rsidRPr="000D0E23" w:rsidRDefault="000D0E23" w:rsidP="00D10B3E">
      <w:pPr>
        <w:pStyle w:val="ndice2"/>
      </w:pPr>
      <w:bookmarkStart w:id="1106" w:name="_Toc51072731"/>
      <w:r w:rsidRPr="000D0E23">
        <w:t>ANNEXE 8 : MODELE DE FICHE D'ENREGISTREMENT DES PLAINTES</w:t>
      </w:r>
      <w:bookmarkEnd w:id="1106"/>
    </w:p>
    <w:p w:rsidR="00EC1CE9" w:rsidRPr="00DD196E" w:rsidRDefault="00EC1CE9" w:rsidP="00EC1CE9">
      <w:pPr>
        <w:autoSpaceDE w:val="0"/>
        <w:autoSpaceDN w:val="0"/>
        <w:adjustRightInd w:val="0"/>
        <w:spacing w:after="0" w:line="240" w:lineRule="auto"/>
        <w:jc w:val="both"/>
        <w:rPr>
          <w:rFonts w:ascii="Times New Roman" w:hAnsi="Times New Roman"/>
          <w:b/>
          <w:sz w:val="24"/>
          <w:szCs w:val="24"/>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6946"/>
      </w:tblGrid>
      <w:tr w:rsidR="00EC1CE9" w:rsidRPr="000E1B7B" w:rsidTr="008734B0">
        <w:tc>
          <w:tcPr>
            <w:tcW w:w="2263" w:type="dxa"/>
          </w:tcPr>
          <w:tbl>
            <w:tblPr>
              <w:tblW w:w="0" w:type="auto"/>
              <w:tblBorders>
                <w:top w:val="nil"/>
                <w:left w:val="nil"/>
                <w:bottom w:val="nil"/>
                <w:right w:val="nil"/>
              </w:tblBorders>
              <w:tblLook w:val="0000" w:firstRow="0" w:lastRow="0" w:firstColumn="0" w:lastColumn="0" w:noHBand="0" w:noVBand="0"/>
            </w:tblPr>
            <w:tblGrid>
              <w:gridCol w:w="916"/>
            </w:tblGrid>
            <w:tr w:rsidR="00EC1CE9" w:rsidRPr="000E1B7B" w:rsidTr="008734B0">
              <w:trPr>
                <w:trHeight w:val="90"/>
              </w:trPr>
              <w:tc>
                <w:tcPr>
                  <w:tcW w:w="0" w:type="auto"/>
                </w:tcPr>
                <w:p w:rsidR="00EC1CE9" w:rsidRPr="000E1B7B" w:rsidRDefault="00EC1CE9" w:rsidP="008734B0">
                  <w:pPr>
                    <w:autoSpaceDE w:val="0"/>
                    <w:autoSpaceDN w:val="0"/>
                    <w:adjustRightInd w:val="0"/>
                    <w:spacing w:after="0" w:line="240" w:lineRule="auto"/>
                    <w:rPr>
                      <w:rFonts w:ascii="Times New Roman" w:hAnsi="Times New Roman"/>
                      <w:color w:val="000000"/>
                      <w:sz w:val="24"/>
                    </w:rPr>
                  </w:pPr>
                  <w:r w:rsidRPr="000E1B7B">
                    <w:rPr>
                      <w:rFonts w:ascii="Times New Roman" w:hAnsi="Times New Roman"/>
                      <w:color w:val="000000"/>
                      <w:sz w:val="24"/>
                    </w:rPr>
                    <w:t xml:space="preserve">Projet : </w:t>
                  </w:r>
                </w:p>
              </w:tc>
            </w:tr>
          </w:tbl>
          <w:p w:rsidR="00EC1CE9" w:rsidRPr="000E1B7B" w:rsidRDefault="00EC1CE9" w:rsidP="008734B0">
            <w:pPr>
              <w:spacing w:after="0" w:line="240" w:lineRule="auto"/>
              <w:jc w:val="both"/>
              <w:rPr>
                <w:rFonts w:ascii="Times New Roman" w:hAnsi="Times New Roman"/>
                <w:sz w:val="24"/>
              </w:rPr>
            </w:pPr>
          </w:p>
        </w:tc>
        <w:tc>
          <w:tcPr>
            <w:tcW w:w="6946" w:type="dxa"/>
          </w:tcPr>
          <w:p w:rsidR="00EC1CE9" w:rsidRPr="000E1B7B" w:rsidRDefault="00EC1CE9" w:rsidP="008734B0">
            <w:pPr>
              <w:spacing w:after="0" w:line="240" w:lineRule="auto"/>
              <w:jc w:val="both"/>
              <w:rPr>
                <w:rFonts w:ascii="Times New Roman" w:hAnsi="Times New Roman"/>
                <w:sz w:val="24"/>
              </w:rPr>
            </w:pPr>
          </w:p>
        </w:tc>
      </w:tr>
      <w:tr w:rsidR="00EC1CE9" w:rsidRPr="000E1B7B" w:rsidTr="008734B0">
        <w:tc>
          <w:tcPr>
            <w:tcW w:w="2263" w:type="dxa"/>
          </w:tcPr>
          <w:p w:rsidR="00EC1CE9" w:rsidRPr="000E1B7B" w:rsidRDefault="00EC1CE9" w:rsidP="008734B0">
            <w:pPr>
              <w:autoSpaceDE w:val="0"/>
              <w:autoSpaceDN w:val="0"/>
              <w:adjustRightInd w:val="0"/>
              <w:spacing w:after="0" w:line="240" w:lineRule="auto"/>
              <w:rPr>
                <w:rFonts w:ascii="Times New Roman" w:hAnsi="Times New Roman"/>
                <w:color w:val="000000"/>
                <w:sz w:val="24"/>
              </w:rPr>
            </w:pPr>
            <w:r w:rsidRPr="000E1B7B">
              <w:rPr>
                <w:rFonts w:ascii="Times New Roman" w:hAnsi="Times New Roman"/>
                <w:color w:val="000000"/>
                <w:sz w:val="24"/>
              </w:rPr>
              <w:t>Nº de Lot</w:t>
            </w:r>
          </w:p>
        </w:tc>
        <w:tc>
          <w:tcPr>
            <w:tcW w:w="6946" w:type="dxa"/>
          </w:tcPr>
          <w:p w:rsidR="00EC1CE9" w:rsidRPr="000E1B7B" w:rsidRDefault="00EC1CE9" w:rsidP="008734B0">
            <w:pPr>
              <w:spacing w:after="0" w:line="240" w:lineRule="auto"/>
              <w:jc w:val="both"/>
              <w:rPr>
                <w:rFonts w:ascii="Times New Roman" w:hAnsi="Times New Roman"/>
                <w:sz w:val="24"/>
              </w:rPr>
            </w:pPr>
          </w:p>
        </w:tc>
      </w:tr>
      <w:tr w:rsidR="00EC1CE9" w:rsidRPr="000E1B7B" w:rsidTr="008734B0">
        <w:tc>
          <w:tcPr>
            <w:tcW w:w="2263" w:type="dxa"/>
          </w:tcPr>
          <w:p w:rsidR="00EC1CE9" w:rsidRPr="000E1B7B" w:rsidRDefault="00EC1CE9" w:rsidP="008734B0">
            <w:pPr>
              <w:spacing w:after="0" w:line="240" w:lineRule="auto"/>
              <w:jc w:val="both"/>
              <w:rPr>
                <w:rFonts w:ascii="Times New Roman" w:hAnsi="Times New Roman"/>
                <w:sz w:val="24"/>
              </w:rPr>
            </w:pPr>
            <w:r w:rsidRPr="000E1B7B">
              <w:rPr>
                <w:rFonts w:ascii="Times New Roman" w:hAnsi="Times New Roman"/>
                <w:sz w:val="24"/>
              </w:rPr>
              <w:t>Nom du plaignant :</w:t>
            </w:r>
          </w:p>
        </w:tc>
        <w:tc>
          <w:tcPr>
            <w:tcW w:w="6946" w:type="dxa"/>
          </w:tcPr>
          <w:p w:rsidR="00EC1CE9" w:rsidRPr="000E1B7B" w:rsidRDefault="00EC1CE9" w:rsidP="008734B0">
            <w:pPr>
              <w:spacing w:after="0" w:line="240" w:lineRule="auto"/>
              <w:jc w:val="both"/>
              <w:rPr>
                <w:rFonts w:ascii="Times New Roman" w:hAnsi="Times New Roman"/>
                <w:sz w:val="24"/>
              </w:rPr>
            </w:pPr>
          </w:p>
        </w:tc>
      </w:tr>
      <w:tr w:rsidR="00EC1CE9" w:rsidRPr="000E1B7B" w:rsidTr="008734B0">
        <w:tc>
          <w:tcPr>
            <w:tcW w:w="2263" w:type="dxa"/>
          </w:tcPr>
          <w:p w:rsidR="00EC1CE9" w:rsidRPr="000E1B7B" w:rsidRDefault="00EC1CE9" w:rsidP="008734B0">
            <w:pPr>
              <w:spacing w:after="0" w:line="240" w:lineRule="auto"/>
              <w:jc w:val="both"/>
              <w:rPr>
                <w:rFonts w:ascii="Times New Roman" w:hAnsi="Times New Roman"/>
                <w:sz w:val="24"/>
              </w:rPr>
            </w:pPr>
            <w:r w:rsidRPr="000E1B7B">
              <w:rPr>
                <w:rFonts w:ascii="Times New Roman" w:hAnsi="Times New Roman"/>
                <w:sz w:val="24"/>
              </w:rPr>
              <w:t>Adresse :</w:t>
            </w:r>
          </w:p>
        </w:tc>
        <w:tc>
          <w:tcPr>
            <w:tcW w:w="6946" w:type="dxa"/>
          </w:tcPr>
          <w:p w:rsidR="00EC1CE9" w:rsidRPr="000E1B7B" w:rsidRDefault="00EC1CE9" w:rsidP="008734B0">
            <w:pPr>
              <w:spacing w:after="0" w:line="240" w:lineRule="auto"/>
              <w:jc w:val="both"/>
              <w:rPr>
                <w:rFonts w:ascii="Times New Roman" w:hAnsi="Times New Roman"/>
                <w:sz w:val="24"/>
              </w:rPr>
            </w:pPr>
          </w:p>
        </w:tc>
      </w:tr>
      <w:tr w:rsidR="00EC1CE9" w:rsidRPr="000E1B7B" w:rsidTr="008734B0">
        <w:tc>
          <w:tcPr>
            <w:tcW w:w="2263" w:type="dxa"/>
          </w:tcPr>
          <w:p w:rsidR="00EC1CE9" w:rsidRPr="000E1B7B" w:rsidRDefault="00EC1CE9" w:rsidP="008734B0">
            <w:pPr>
              <w:spacing w:after="0" w:line="240" w:lineRule="auto"/>
              <w:jc w:val="both"/>
              <w:rPr>
                <w:rFonts w:ascii="Times New Roman" w:hAnsi="Times New Roman"/>
                <w:sz w:val="24"/>
              </w:rPr>
            </w:pPr>
            <w:r w:rsidRPr="000E1B7B">
              <w:rPr>
                <w:rFonts w:ascii="Times New Roman" w:hAnsi="Times New Roman"/>
                <w:sz w:val="24"/>
              </w:rPr>
              <w:t>Date de la plainte:</w:t>
            </w:r>
          </w:p>
        </w:tc>
        <w:tc>
          <w:tcPr>
            <w:tcW w:w="6946" w:type="dxa"/>
          </w:tcPr>
          <w:p w:rsidR="00EC1CE9" w:rsidRPr="000E1B7B" w:rsidRDefault="00EC1CE9" w:rsidP="008734B0">
            <w:pPr>
              <w:spacing w:after="0" w:line="240" w:lineRule="auto"/>
              <w:jc w:val="both"/>
              <w:rPr>
                <w:rFonts w:ascii="Times New Roman" w:hAnsi="Times New Roman"/>
                <w:sz w:val="24"/>
              </w:rPr>
            </w:pPr>
          </w:p>
        </w:tc>
      </w:tr>
      <w:tr w:rsidR="00EC1CE9" w:rsidRPr="000E1B7B" w:rsidTr="008734B0">
        <w:tc>
          <w:tcPr>
            <w:tcW w:w="2263" w:type="dxa"/>
          </w:tcPr>
          <w:p w:rsidR="00EC1CE9" w:rsidRPr="000E1B7B" w:rsidRDefault="00EC1CE9" w:rsidP="008734B0">
            <w:pPr>
              <w:spacing w:after="0" w:line="240" w:lineRule="auto"/>
              <w:jc w:val="both"/>
              <w:rPr>
                <w:rFonts w:ascii="Times New Roman" w:hAnsi="Times New Roman"/>
                <w:sz w:val="24"/>
              </w:rPr>
            </w:pPr>
            <w:r w:rsidRPr="000E1B7B">
              <w:rPr>
                <w:rFonts w:ascii="Times New Roman" w:hAnsi="Times New Roman"/>
                <w:sz w:val="24"/>
              </w:rPr>
              <w:t>Mode de saisie :</w:t>
            </w:r>
          </w:p>
        </w:tc>
        <w:tc>
          <w:tcPr>
            <w:tcW w:w="6946" w:type="dxa"/>
          </w:tcPr>
          <w:p w:rsidR="00EC1CE9" w:rsidRPr="000E1B7B" w:rsidRDefault="00EC1CE9" w:rsidP="008734B0">
            <w:pPr>
              <w:spacing w:after="0" w:line="240" w:lineRule="auto"/>
              <w:jc w:val="both"/>
              <w:rPr>
                <w:rFonts w:ascii="Times New Roman" w:hAnsi="Times New Roman"/>
                <w:sz w:val="24"/>
              </w:rPr>
            </w:pPr>
          </w:p>
        </w:tc>
      </w:tr>
      <w:tr w:rsidR="00EC1CE9" w:rsidRPr="000E1B7B" w:rsidTr="008734B0">
        <w:tc>
          <w:tcPr>
            <w:tcW w:w="2263" w:type="dxa"/>
          </w:tcPr>
          <w:p w:rsidR="00EC1CE9" w:rsidRPr="000E1B7B" w:rsidRDefault="00EC1CE9" w:rsidP="008734B0">
            <w:pPr>
              <w:spacing w:after="0" w:line="240" w:lineRule="auto"/>
              <w:jc w:val="both"/>
              <w:rPr>
                <w:rFonts w:ascii="Times New Roman" w:hAnsi="Times New Roman"/>
                <w:sz w:val="24"/>
              </w:rPr>
            </w:pPr>
            <w:r w:rsidRPr="000E1B7B">
              <w:rPr>
                <w:rFonts w:ascii="Times New Roman" w:hAnsi="Times New Roman"/>
                <w:sz w:val="24"/>
              </w:rPr>
              <w:t>Objet de la plainte :</w:t>
            </w:r>
          </w:p>
        </w:tc>
        <w:tc>
          <w:tcPr>
            <w:tcW w:w="6946" w:type="dxa"/>
          </w:tcPr>
          <w:p w:rsidR="00EC1CE9" w:rsidRPr="000E1B7B" w:rsidRDefault="00EC1CE9" w:rsidP="008734B0">
            <w:pPr>
              <w:spacing w:after="0" w:line="240" w:lineRule="auto"/>
              <w:jc w:val="both"/>
              <w:rPr>
                <w:rFonts w:ascii="Times New Roman" w:hAnsi="Times New Roman"/>
                <w:sz w:val="24"/>
              </w:rPr>
            </w:pPr>
          </w:p>
        </w:tc>
      </w:tr>
      <w:tr w:rsidR="00EC1CE9" w:rsidRPr="000E1B7B" w:rsidTr="008734B0">
        <w:tc>
          <w:tcPr>
            <w:tcW w:w="9209" w:type="dxa"/>
            <w:gridSpan w:val="2"/>
          </w:tcPr>
          <w:p w:rsidR="00EC1CE9" w:rsidRPr="000E1B7B" w:rsidRDefault="00EC1CE9" w:rsidP="008734B0">
            <w:pPr>
              <w:spacing w:after="0" w:line="240" w:lineRule="auto"/>
              <w:jc w:val="center"/>
              <w:rPr>
                <w:rFonts w:ascii="Times New Roman" w:hAnsi="Times New Roman"/>
                <w:sz w:val="24"/>
              </w:rPr>
            </w:pPr>
            <w:r w:rsidRPr="000E1B7B">
              <w:rPr>
                <w:rFonts w:ascii="Times New Roman" w:hAnsi="Times New Roman"/>
                <w:color w:val="000000"/>
                <w:sz w:val="24"/>
              </w:rPr>
              <w:t>Description sommaire de la plainte :</w:t>
            </w:r>
          </w:p>
        </w:tc>
      </w:tr>
      <w:tr w:rsidR="00EC1CE9" w:rsidRPr="000E1B7B" w:rsidTr="008734B0">
        <w:tc>
          <w:tcPr>
            <w:tcW w:w="9209" w:type="dxa"/>
            <w:gridSpan w:val="2"/>
          </w:tcPr>
          <w:p w:rsidR="00EC1CE9" w:rsidRPr="000E1B7B" w:rsidRDefault="00EC1CE9" w:rsidP="008734B0">
            <w:pPr>
              <w:spacing w:after="0" w:line="240" w:lineRule="auto"/>
              <w:jc w:val="both"/>
              <w:rPr>
                <w:rFonts w:ascii="Times New Roman" w:hAnsi="Times New Roman"/>
                <w:sz w:val="24"/>
              </w:rPr>
            </w:pPr>
          </w:p>
          <w:p w:rsidR="00EC1CE9" w:rsidRPr="000E1B7B" w:rsidRDefault="00EC1CE9" w:rsidP="008734B0">
            <w:pPr>
              <w:spacing w:after="0" w:line="240" w:lineRule="auto"/>
              <w:jc w:val="both"/>
              <w:rPr>
                <w:rFonts w:ascii="Times New Roman" w:hAnsi="Times New Roman"/>
                <w:sz w:val="24"/>
              </w:rPr>
            </w:pPr>
          </w:p>
        </w:tc>
      </w:tr>
    </w:tbl>
    <w:p w:rsidR="00EC1CE9" w:rsidRPr="00FA0777" w:rsidRDefault="00EC1CE9" w:rsidP="00EC1CE9">
      <w:pPr>
        <w:autoSpaceDE w:val="0"/>
        <w:autoSpaceDN w:val="0"/>
        <w:adjustRightInd w:val="0"/>
        <w:spacing w:after="0" w:line="312" w:lineRule="auto"/>
        <w:rPr>
          <w:rFonts w:ascii="Times New Roman" w:hAnsi="Times New Roman"/>
          <w:bCs/>
          <w:i/>
          <w:color w:val="000000"/>
          <w:sz w:val="24"/>
          <w:szCs w:val="24"/>
        </w:rPr>
      </w:pPr>
      <w:r w:rsidRPr="00EC1CE9">
        <w:rPr>
          <w:rFonts w:ascii="Times New Roman" w:hAnsi="Times New Roman"/>
          <w:bCs/>
          <w:i/>
          <w:color w:val="000000"/>
          <w:sz w:val="20"/>
          <w:szCs w:val="20"/>
        </w:rPr>
        <w:t>NB : toutes les pages du cahier registre doivent être numérotées, paraphées et scellées par le cachet de la Commune pour se rendre compte le plus rapidement possible de la disparition d’une plainte arrachée dans le cahier registre si cela arrive</w:t>
      </w:r>
      <w:r w:rsidRPr="00FA0777">
        <w:rPr>
          <w:rFonts w:ascii="Times New Roman" w:hAnsi="Times New Roman"/>
          <w:bCs/>
          <w:i/>
          <w:color w:val="000000"/>
          <w:sz w:val="24"/>
          <w:szCs w:val="24"/>
        </w:rPr>
        <w:t>.</w:t>
      </w:r>
    </w:p>
    <w:p w:rsidR="00EC1CE9" w:rsidRPr="00FA0777" w:rsidRDefault="00EC1CE9" w:rsidP="00EC1CE9">
      <w:pPr>
        <w:spacing w:after="0" w:line="312" w:lineRule="auto"/>
        <w:jc w:val="both"/>
        <w:rPr>
          <w:rFonts w:ascii="Times New Roman" w:hAnsi="Times New Roman"/>
          <w:sz w:val="24"/>
          <w:szCs w:val="24"/>
        </w:rPr>
      </w:pPr>
    </w:p>
    <w:p w:rsidR="00EC1CE9" w:rsidRPr="000D0E23" w:rsidRDefault="000D0E23" w:rsidP="00D10B3E">
      <w:pPr>
        <w:pStyle w:val="ndice2"/>
      </w:pPr>
      <w:bookmarkStart w:id="1107" w:name="_Toc51072732"/>
      <w:r w:rsidRPr="000D0E23">
        <w:t>ANNEXE 9 : MODELE DU TABLEAU PRESENTANT LES REPONSES DU PROJET ADRESSEES AU PLAIGNANT</w:t>
      </w:r>
      <w:bookmarkEnd w:id="1107"/>
    </w:p>
    <w:tbl>
      <w:tblPr>
        <w:tblW w:w="8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5"/>
        <w:gridCol w:w="992"/>
        <w:gridCol w:w="4820"/>
      </w:tblGrid>
      <w:tr w:rsidR="00EC1CE9" w:rsidRPr="000E1B7B" w:rsidTr="008734B0">
        <w:tc>
          <w:tcPr>
            <w:tcW w:w="2835" w:type="dxa"/>
            <w:shd w:val="clear" w:color="auto" w:fill="auto"/>
          </w:tcPr>
          <w:p w:rsidR="00EC1CE9" w:rsidRPr="000E1B7B" w:rsidRDefault="00EC1CE9" w:rsidP="008734B0">
            <w:pPr>
              <w:autoSpaceDE w:val="0"/>
              <w:autoSpaceDN w:val="0"/>
              <w:adjustRightInd w:val="0"/>
              <w:spacing w:after="0" w:line="240" w:lineRule="auto"/>
              <w:jc w:val="center"/>
              <w:rPr>
                <w:rFonts w:ascii="Times New Roman" w:hAnsi="Times New Roman"/>
                <w:b/>
                <w:sz w:val="24"/>
                <w:szCs w:val="24"/>
              </w:rPr>
            </w:pPr>
            <w:r w:rsidRPr="000E1B7B">
              <w:rPr>
                <w:rFonts w:ascii="Times New Roman" w:hAnsi="Times New Roman"/>
                <w:b/>
                <w:sz w:val="24"/>
                <w:szCs w:val="24"/>
              </w:rPr>
              <w:t>Désignation</w:t>
            </w:r>
          </w:p>
        </w:tc>
        <w:tc>
          <w:tcPr>
            <w:tcW w:w="992" w:type="dxa"/>
            <w:shd w:val="clear" w:color="auto" w:fill="auto"/>
          </w:tcPr>
          <w:p w:rsidR="00EC1CE9" w:rsidRPr="000E1B7B" w:rsidRDefault="00EC1CE9" w:rsidP="008734B0">
            <w:pPr>
              <w:autoSpaceDE w:val="0"/>
              <w:autoSpaceDN w:val="0"/>
              <w:adjustRightInd w:val="0"/>
              <w:spacing w:after="0" w:line="240" w:lineRule="auto"/>
              <w:jc w:val="center"/>
              <w:rPr>
                <w:rFonts w:ascii="Times New Roman" w:hAnsi="Times New Roman"/>
                <w:sz w:val="24"/>
                <w:szCs w:val="24"/>
              </w:rPr>
            </w:pPr>
            <w:r w:rsidRPr="000E1B7B">
              <w:rPr>
                <w:rFonts w:ascii="Times New Roman" w:hAnsi="Times New Roman"/>
                <w:b/>
                <w:bCs/>
                <w:sz w:val="24"/>
              </w:rPr>
              <w:t>Date</w:t>
            </w:r>
          </w:p>
        </w:tc>
        <w:tc>
          <w:tcPr>
            <w:tcW w:w="4820" w:type="dxa"/>
            <w:vMerge w:val="restart"/>
            <w:shd w:val="clear" w:color="auto" w:fill="auto"/>
          </w:tcPr>
          <w:p w:rsidR="00EC1CE9" w:rsidRPr="000E1B7B" w:rsidRDefault="00EC1CE9" w:rsidP="008734B0">
            <w:pPr>
              <w:autoSpaceDE w:val="0"/>
              <w:autoSpaceDN w:val="0"/>
              <w:adjustRightInd w:val="0"/>
              <w:spacing w:after="0" w:line="240" w:lineRule="auto"/>
              <w:jc w:val="both"/>
              <w:rPr>
                <w:rFonts w:ascii="Times New Roman" w:hAnsi="Times New Roman"/>
                <w:sz w:val="24"/>
                <w:szCs w:val="24"/>
              </w:rPr>
            </w:pPr>
          </w:p>
        </w:tc>
      </w:tr>
      <w:tr w:rsidR="00EC1CE9" w:rsidRPr="000E1B7B" w:rsidTr="008734B0">
        <w:tc>
          <w:tcPr>
            <w:tcW w:w="2835" w:type="dxa"/>
            <w:shd w:val="clear" w:color="auto" w:fill="auto"/>
          </w:tcPr>
          <w:p w:rsidR="00EC1CE9" w:rsidRPr="000E1B7B" w:rsidRDefault="00EC1CE9" w:rsidP="008734B0">
            <w:pPr>
              <w:autoSpaceDE w:val="0"/>
              <w:autoSpaceDN w:val="0"/>
              <w:adjustRightInd w:val="0"/>
              <w:spacing w:after="0" w:line="240" w:lineRule="auto"/>
              <w:jc w:val="both"/>
              <w:rPr>
                <w:rFonts w:ascii="Times New Roman" w:hAnsi="Times New Roman"/>
                <w:b/>
                <w:bCs/>
                <w:sz w:val="24"/>
              </w:rPr>
            </w:pPr>
            <w:r w:rsidRPr="000E1B7B">
              <w:rPr>
                <w:rFonts w:ascii="Times New Roman" w:hAnsi="Times New Roman"/>
                <w:b/>
                <w:bCs/>
                <w:sz w:val="24"/>
              </w:rPr>
              <w:t>Proposition du PUASEE pour un règlement à l'amiable:</w:t>
            </w:r>
          </w:p>
        </w:tc>
        <w:tc>
          <w:tcPr>
            <w:tcW w:w="992" w:type="dxa"/>
            <w:shd w:val="clear" w:color="auto" w:fill="auto"/>
          </w:tcPr>
          <w:p w:rsidR="00EC1CE9" w:rsidRPr="000E1B7B" w:rsidRDefault="00EC1CE9" w:rsidP="008734B0">
            <w:pPr>
              <w:autoSpaceDE w:val="0"/>
              <w:autoSpaceDN w:val="0"/>
              <w:adjustRightInd w:val="0"/>
              <w:spacing w:after="0" w:line="240" w:lineRule="auto"/>
              <w:jc w:val="both"/>
              <w:rPr>
                <w:rFonts w:ascii="Times New Roman" w:hAnsi="Times New Roman"/>
                <w:sz w:val="24"/>
                <w:szCs w:val="24"/>
              </w:rPr>
            </w:pPr>
          </w:p>
        </w:tc>
        <w:tc>
          <w:tcPr>
            <w:tcW w:w="4820" w:type="dxa"/>
            <w:vMerge/>
            <w:shd w:val="clear" w:color="auto" w:fill="auto"/>
          </w:tcPr>
          <w:p w:rsidR="00EC1CE9" w:rsidRPr="000E1B7B" w:rsidRDefault="00EC1CE9" w:rsidP="008734B0">
            <w:pPr>
              <w:autoSpaceDE w:val="0"/>
              <w:autoSpaceDN w:val="0"/>
              <w:adjustRightInd w:val="0"/>
              <w:spacing w:after="0" w:line="240" w:lineRule="auto"/>
              <w:jc w:val="both"/>
              <w:rPr>
                <w:rFonts w:ascii="Times New Roman" w:hAnsi="Times New Roman"/>
                <w:sz w:val="24"/>
                <w:szCs w:val="24"/>
              </w:rPr>
            </w:pPr>
          </w:p>
        </w:tc>
      </w:tr>
      <w:tr w:rsidR="00EC1CE9" w:rsidRPr="000E1B7B" w:rsidTr="008734B0">
        <w:tc>
          <w:tcPr>
            <w:tcW w:w="2835" w:type="dxa"/>
            <w:shd w:val="clear" w:color="auto" w:fill="auto"/>
          </w:tcPr>
          <w:p w:rsidR="00EC1CE9" w:rsidRPr="000E1B7B" w:rsidRDefault="00EC1CE9" w:rsidP="008734B0">
            <w:pPr>
              <w:autoSpaceDE w:val="0"/>
              <w:autoSpaceDN w:val="0"/>
              <w:adjustRightInd w:val="0"/>
              <w:spacing w:after="0" w:line="240" w:lineRule="auto"/>
              <w:jc w:val="right"/>
              <w:rPr>
                <w:rFonts w:ascii="Times New Roman" w:hAnsi="Times New Roman"/>
                <w:sz w:val="24"/>
                <w:szCs w:val="24"/>
              </w:rPr>
            </w:pPr>
            <w:r w:rsidRPr="000E1B7B">
              <w:rPr>
                <w:rFonts w:ascii="Times New Roman" w:hAnsi="Times New Roman"/>
                <w:b/>
                <w:bCs/>
                <w:sz w:val="24"/>
              </w:rPr>
              <w:t>Réponse du plaignant:</w:t>
            </w:r>
          </w:p>
        </w:tc>
        <w:tc>
          <w:tcPr>
            <w:tcW w:w="992" w:type="dxa"/>
            <w:shd w:val="clear" w:color="auto" w:fill="auto"/>
          </w:tcPr>
          <w:p w:rsidR="00EC1CE9" w:rsidRPr="000E1B7B" w:rsidRDefault="00EC1CE9" w:rsidP="008734B0">
            <w:pPr>
              <w:autoSpaceDE w:val="0"/>
              <w:autoSpaceDN w:val="0"/>
              <w:adjustRightInd w:val="0"/>
              <w:spacing w:after="0" w:line="240" w:lineRule="auto"/>
              <w:jc w:val="both"/>
              <w:rPr>
                <w:rFonts w:ascii="Times New Roman" w:hAnsi="Times New Roman"/>
                <w:sz w:val="24"/>
                <w:szCs w:val="24"/>
              </w:rPr>
            </w:pPr>
          </w:p>
        </w:tc>
        <w:tc>
          <w:tcPr>
            <w:tcW w:w="4820" w:type="dxa"/>
            <w:shd w:val="clear" w:color="auto" w:fill="auto"/>
          </w:tcPr>
          <w:p w:rsidR="00EC1CE9" w:rsidRPr="000E1B7B" w:rsidRDefault="00EC1CE9" w:rsidP="008734B0">
            <w:pPr>
              <w:autoSpaceDE w:val="0"/>
              <w:autoSpaceDN w:val="0"/>
              <w:adjustRightInd w:val="0"/>
              <w:spacing w:after="0" w:line="240" w:lineRule="auto"/>
              <w:jc w:val="both"/>
              <w:rPr>
                <w:rFonts w:ascii="Times New Roman" w:hAnsi="Times New Roman"/>
                <w:sz w:val="24"/>
                <w:szCs w:val="24"/>
              </w:rPr>
            </w:pPr>
          </w:p>
        </w:tc>
      </w:tr>
    </w:tbl>
    <w:p w:rsidR="00EC1CE9" w:rsidRPr="00DD196E" w:rsidRDefault="00EC1CE9" w:rsidP="00EC1CE9">
      <w:pPr>
        <w:autoSpaceDE w:val="0"/>
        <w:autoSpaceDN w:val="0"/>
        <w:adjustRightInd w:val="0"/>
        <w:spacing w:after="0" w:line="276" w:lineRule="auto"/>
        <w:jc w:val="both"/>
        <w:rPr>
          <w:rFonts w:ascii="Times New Roman" w:hAnsi="Times New Roman"/>
          <w:sz w:val="24"/>
          <w:szCs w:val="24"/>
        </w:rPr>
      </w:pPr>
    </w:p>
    <w:p w:rsidR="00EC1CE9" w:rsidRPr="000D0E23" w:rsidRDefault="000D0E23" w:rsidP="00D10B3E">
      <w:pPr>
        <w:pStyle w:val="ndice2"/>
      </w:pPr>
      <w:bookmarkStart w:id="1108" w:name="_Toc51072733"/>
      <w:r w:rsidRPr="000D0E23">
        <w:t>ANNEXE 10 : MODELE DE TABLEAU RELATIVE A LA DECISION FINALE A LA PLAINTE</w:t>
      </w:r>
      <w:bookmarkEnd w:id="1108"/>
    </w:p>
    <w:tbl>
      <w:tblPr>
        <w:tblW w:w="87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5811"/>
      </w:tblGrid>
      <w:tr w:rsidR="00EC1CE9" w:rsidRPr="000E1B7B" w:rsidTr="008734B0">
        <w:tc>
          <w:tcPr>
            <w:tcW w:w="2972" w:type="dxa"/>
            <w:shd w:val="clear" w:color="auto" w:fill="auto"/>
          </w:tcPr>
          <w:p w:rsidR="00EC1CE9" w:rsidRPr="000E1B7B" w:rsidRDefault="00EC1CE9" w:rsidP="008734B0">
            <w:pPr>
              <w:autoSpaceDE w:val="0"/>
              <w:autoSpaceDN w:val="0"/>
              <w:adjustRightInd w:val="0"/>
              <w:spacing w:after="0" w:line="240" w:lineRule="auto"/>
              <w:jc w:val="right"/>
              <w:rPr>
                <w:rFonts w:ascii="Times New Roman" w:hAnsi="Times New Roman"/>
                <w:b/>
                <w:bCs/>
              </w:rPr>
            </w:pPr>
            <w:r w:rsidRPr="000E1B7B">
              <w:rPr>
                <w:rFonts w:ascii="Times New Roman" w:hAnsi="Times New Roman"/>
                <w:b/>
                <w:bCs/>
              </w:rPr>
              <w:t>Date  de la résolution:</w:t>
            </w:r>
          </w:p>
        </w:tc>
        <w:tc>
          <w:tcPr>
            <w:tcW w:w="5811" w:type="dxa"/>
            <w:shd w:val="clear" w:color="auto" w:fill="auto"/>
          </w:tcPr>
          <w:p w:rsidR="00EC1CE9" w:rsidRPr="000E1B7B" w:rsidRDefault="00EC1CE9" w:rsidP="008734B0">
            <w:pPr>
              <w:autoSpaceDE w:val="0"/>
              <w:autoSpaceDN w:val="0"/>
              <w:adjustRightInd w:val="0"/>
              <w:spacing w:after="0" w:line="240" w:lineRule="auto"/>
              <w:jc w:val="both"/>
              <w:rPr>
                <w:rFonts w:ascii="Times New Roman" w:hAnsi="Times New Roman"/>
                <w:sz w:val="24"/>
                <w:szCs w:val="24"/>
              </w:rPr>
            </w:pPr>
          </w:p>
        </w:tc>
      </w:tr>
      <w:tr w:rsidR="00EC1CE9" w:rsidRPr="000E1B7B" w:rsidTr="008734B0">
        <w:tc>
          <w:tcPr>
            <w:tcW w:w="2972" w:type="dxa"/>
            <w:shd w:val="clear" w:color="auto" w:fill="auto"/>
          </w:tcPr>
          <w:p w:rsidR="00EC1CE9" w:rsidRPr="000E1B7B" w:rsidRDefault="00EC1CE9" w:rsidP="008734B0">
            <w:pPr>
              <w:autoSpaceDE w:val="0"/>
              <w:autoSpaceDN w:val="0"/>
              <w:adjustRightInd w:val="0"/>
              <w:spacing w:after="0" w:line="240" w:lineRule="auto"/>
              <w:jc w:val="right"/>
              <w:rPr>
                <w:rFonts w:ascii="Times New Roman" w:hAnsi="Times New Roman"/>
                <w:b/>
                <w:bCs/>
              </w:rPr>
            </w:pPr>
            <w:r w:rsidRPr="000E1B7B">
              <w:rPr>
                <w:rFonts w:ascii="Times New Roman" w:hAnsi="Times New Roman"/>
                <w:b/>
                <w:bCs/>
              </w:rPr>
              <w:t>Pièces justificatives (Compte rendu, Contrat, accord, Procès-Verbal, etc.):</w:t>
            </w:r>
          </w:p>
        </w:tc>
        <w:tc>
          <w:tcPr>
            <w:tcW w:w="5811" w:type="dxa"/>
            <w:shd w:val="clear" w:color="auto" w:fill="auto"/>
          </w:tcPr>
          <w:p w:rsidR="00EC1CE9" w:rsidRPr="000E1B7B" w:rsidRDefault="00EC1CE9" w:rsidP="008734B0">
            <w:pPr>
              <w:autoSpaceDE w:val="0"/>
              <w:autoSpaceDN w:val="0"/>
              <w:adjustRightInd w:val="0"/>
              <w:spacing w:after="0" w:line="240" w:lineRule="auto"/>
              <w:jc w:val="both"/>
              <w:rPr>
                <w:rFonts w:ascii="Times New Roman" w:hAnsi="Times New Roman"/>
                <w:sz w:val="24"/>
                <w:szCs w:val="24"/>
              </w:rPr>
            </w:pPr>
          </w:p>
        </w:tc>
      </w:tr>
      <w:tr w:rsidR="00EC1CE9" w:rsidRPr="000E1B7B" w:rsidTr="008734B0">
        <w:tc>
          <w:tcPr>
            <w:tcW w:w="2972" w:type="dxa"/>
            <w:shd w:val="clear" w:color="auto" w:fill="auto"/>
          </w:tcPr>
          <w:p w:rsidR="00EC1CE9" w:rsidRPr="000E1B7B" w:rsidRDefault="00EC1CE9" w:rsidP="008734B0">
            <w:pPr>
              <w:autoSpaceDE w:val="0"/>
              <w:autoSpaceDN w:val="0"/>
              <w:adjustRightInd w:val="0"/>
              <w:spacing w:after="0" w:line="240" w:lineRule="auto"/>
              <w:jc w:val="right"/>
              <w:rPr>
                <w:rFonts w:ascii="Times New Roman" w:hAnsi="Times New Roman"/>
                <w:b/>
                <w:bCs/>
              </w:rPr>
            </w:pPr>
            <w:r w:rsidRPr="000E1B7B">
              <w:rPr>
                <w:rFonts w:ascii="Times New Roman" w:hAnsi="Times New Roman"/>
                <w:b/>
                <w:bCs/>
              </w:rPr>
              <w:t xml:space="preserve">Signature du Coordonnateur du PUASEE ou de son </w:t>
            </w:r>
            <w:r w:rsidRPr="000E1B7B">
              <w:rPr>
                <w:rFonts w:ascii="Times New Roman" w:hAnsi="Times New Roman"/>
                <w:sz w:val="24"/>
                <w:szCs w:val="24"/>
              </w:rPr>
              <w:t>Représentant</w:t>
            </w:r>
            <w:r w:rsidRPr="000E1B7B">
              <w:rPr>
                <w:rFonts w:ascii="Times New Roman" w:hAnsi="Times New Roman"/>
                <w:b/>
                <w:bCs/>
              </w:rPr>
              <w:t>:</w:t>
            </w:r>
          </w:p>
        </w:tc>
        <w:tc>
          <w:tcPr>
            <w:tcW w:w="5811" w:type="dxa"/>
            <w:shd w:val="clear" w:color="auto" w:fill="auto"/>
          </w:tcPr>
          <w:p w:rsidR="00EC1CE9" w:rsidRPr="000E1B7B" w:rsidRDefault="00EC1CE9" w:rsidP="008734B0">
            <w:pPr>
              <w:autoSpaceDE w:val="0"/>
              <w:autoSpaceDN w:val="0"/>
              <w:adjustRightInd w:val="0"/>
              <w:spacing w:after="0" w:line="240" w:lineRule="auto"/>
              <w:jc w:val="both"/>
              <w:rPr>
                <w:rFonts w:ascii="Times New Roman" w:hAnsi="Times New Roman"/>
                <w:sz w:val="24"/>
                <w:szCs w:val="24"/>
              </w:rPr>
            </w:pPr>
          </w:p>
        </w:tc>
      </w:tr>
      <w:tr w:rsidR="00EC1CE9" w:rsidRPr="000E1B7B" w:rsidTr="008734B0">
        <w:tc>
          <w:tcPr>
            <w:tcW w:w="2972" w:type="dxa"/>
            <w:shd w:val="clear" w:color="auto" w:fill="auto"/>
          </w:tcPr>
          <w:p w:rsidR="00EC1CE9" w:rsidRPr="000E1B7B" w:rsidRDefault="00EC1CE9" w:rsidP="008734B0">
            <w:pPr>
              <w:autoSpaceDE w:val="0"/>
              <w:autoSpaceDN w:val="0"/>
              <w:adjustRightInd w:val="0"/>
              <w:spacing w:after="0" w:line="240" w:lineRule="auto"/>
              <w:jc w:val="right"/>
              <w:rPr>
                <w:rFonts w:ascii="Times New Roman" w:hAnsi="Times New Roman"/>
                <w:sz w:val="24"/>
                <w:szCs w:val="24"/>
              </w:rPr>
            </w:pPr>
            <w:r w:rsidRPr="000E1B7B">
              <w:rPr>
                <w:rFonts w:ascii="Times New Roman" w:hAnsi="Times New Roman"/>
                <w:b/>
                <w:bCs/>
              </w:rPr>
              <w:t>Signature du plaignant</w:t>
            </w:r>
            <w:r w:rsidRPr="000E1B7B">
              <w:rPr>
                <w:rFonts w:ascii="Times New Roman" w:hAnsi="Times New Roman"/>
                <w:sz w:val="24"/>
                <w:szCs w:val="24"/>
              </w:rPr>
              <w:t>:</w:t>
            </w:r>
          </w:p>
        </w:tc>
        <w:tc>
          <w:tcPr>
            <w:tcW w:w="5811" w:type="dxa"/>
            <w:shd w:val="clear" w:color="auto" w:fill="auto"/>
          </w:tcPr>
          <w:p w:rsidR="00EC1CE9" w:rsidRPr="000E1B7B" w:rsidRDefault="00EC1CE9" w:rsidP="008734B0">
            <w:pPr>
              <w:autoSpaceDE w:val="0"/>
              <w:autoSpaceDN w:val="0"/>
              <w:adjustRightInd w:val="0"/>
              <w:spacing w:after="0" w:line="240" w:lineRule="auto"/>
              <w:jc w:val="both"/>
              <w:rPr>
                <w:rFonts w:ascii="Times New Roman" w:hAnsi="Times New Roman"/>
                <w:sz w:val="24"/>
                <w:szCs w:val="24"/>
              </w:rPr>
            </w:pPr>
          </w:p>
        </w:tc>
      </w:tr>
    </w:tbl>
    <w:p w:rsidR="00EC1CE9" w:rsidRDefault="00EC1CE9" w:rsidP="00EC1CE9">
      <w:pPr>
        <w:rPr>
          <w:rFonts w:ascii="Arial" w:hAnsi="Arial" w:cs="Arial"/>
          <w:b/>
        </w:rPr>
      </w:pPr>
    </w:p>
    <w:p w:rsidR="00EC1CE9" w:rsidRPr="000D0E23" w:rsidRDefault="000D0E23" w:rsidP="00D10B3E">
      <w:pPr>
        <w:pStyle w:val="ndice2"/>
      </w:pPr>
      <w:bookmarkStart w:id="1109" w:name="_Toc51072734"/>
      <w:r w:rsidRPr="000D0E23">
        <w:lastRenderedPageBreak/>
        <w:t>ANNEXE 11 : MODELE DE TABLEAU REGISTRE DES PLAINTES (B) SUIVI DU TRAITEMENT DE LA PLAINTE</w:t>
      </w:r>
      <w:bookmarkEnd w:id="1109"/>
    </w:p>
    <w:p w:rsidR="00EC1CE9" w:rsidRPr="00FA0777" w:rsidRDefault="00EC1CE9" w:rsidP="00EC1CE9">
      <w:pPr>
        <w:autoSpaceDE w:val="0"/>
        <w:autoSpaceDN w:val="0"/>
        <w:adjustRightInd w:val="0"/>
        <w:spacing w:after="0" w:line="240" w:lineRule="auto"/>
        <w:jc w:val="both"/>
        <w:rPr>
          <w:rFonts w:ascii="Times New Roman" w:hAnsi="Times New Roman"/>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0"/>
        <w:gridCol w:w="1849"/>
        <w:gridCol w:w="1688"/>
        <w:gridCol w:w="1667"/>
        <w:gridCol w:w="1507"/>
        <w:gridCol w:w="2042"/>
      </w:tblGrid>
      <w:tr w:rsidR="00EC1CE9" w:rsidRPr="000E1B7B" w:rsidTr="00EC1CE9">
        <w:tc>
          <w:tcPr>
            <w:tcW w:w="1160" w:type="dxa"/>
            <w:shd w:val="clear" w:color="auto" w:fill="auto"/>
          </w:tcPr>
          <w:p w:rsidR="00EC1CE9" w:rsidRPr="000E1B7B" w:rsidRDefault="00EC1CE9" w:rsidP="008734B0">
            <w:pPr>
              <w:autoSpaceDE w:val="0"/>
              <w:autoSpaceDN w:val="0"/>
              <w:adjustRightInd w:val="0"/>
              <w:spacing w:after="0" w:line="240" w:lineRule="auto"/>
              <w:jc w:val="center"/>
              <w:rPr>
                <w:rFonts w:ascii="TimesNewRomanPSMT" w:hAnsi="TimesNewRomanPSMT" w:cs="TimesNewRomanPSMT"/>
                <w:sz w:val="24"/>
                <w:szCs w:val="24"/>
              </w:rPr>
            </w:pPr>
            <w:r w:rsidRPr="000E1B7B">
              <w:rPr>
                <w:rFonts w:ascii="Times New Roman" w:hAnsi="Times New Roman"/>
                <w:b/>
                <w:bCs/>
              </w:rPr>
              <w:t>Nº de plainte</w:t>
            </w:r>
          </w:p>
        </w:tc>
        <w:tc>
          <w:tcPr>
            <w:tcW w:w="1849" w:type="dxa"/>
            <w:shd w:val="clear" w:color="auto" w:fill="auto"/>
          </w:tcPr>
          <w:p w:rsidR="00EC1CE9" w:rsidRPr="000E1B7B" w:rsidRDefault="00EC1CE9" w:rsidP="008734B0">
            <w:pPr>
              <w:autoSpaceDE w:val="0"/>
              <w:autoSpaceDN w:val="0"/>
              <w:adjustRightInd w:val="0"/>
              <w:spacing w:after="0" w:line="240" w:lineRule="auto"/>
              <w:jc w:val="center"/>
              <w:rPr>
                <w:rFonts w:ascii="Times New Roman" w:hAnsi="Times New Roman"/>
                <w:b/>
                <w:bCs/>
              </w:rPr>
            </w:pPr>
            <w:r w:rsidRPr="000E1B7B">
              <w:rPr>
                <w:rFonts w:ascii="Times New Roman" w:hAnsi="Times New Roman"/>
                <w:b/>
                <w:bCs/>
              </w:rPr>
              <w:t>Transmission au service concerne (oui/non, indiquant le service et la personne</w:t>
            </w:r>
          </w:p>
          <w:p w:rsidR="00EC1CE9" w:rsidRPr="000E1B7B" w:rsidRDefault="00EC1CE9" w:rsidP="008734B0">
            <w:pPr>
              <w:autoSpaceDE w:val="0"/>
              <w:autoSpaceDN w:val="0"/>
              <w:adjustRightInd w:val="0"/>
              <w:spacing w:after="0" w:line="240" w:lineRule="auto"/>
              <w:jc w:val="center"/>
              <w:rPr>
                <w:rFonts w:ascii="Times New Roman" w:hAnsi="Times New Roman"/>
                <w:b/>
                <w:bCs/>
              </w:rPr>
            </w:pPr>
            <w:r w:rsidRPr="000E1B7B">
              <w:rPr>
                <w:rFonts w:ascii="Times New Roman" w:hAnsi="Times New Roman"/>
                <w:b/>
                <w:bCs/>
              </w:rPr>
              <w:t>contact)</w:t>
            </w:r>
          </w:p>
        </w:tc>
        <w:tc>
          <w:tcPr>
            <w:tcW w:w="1688" w:type="dxa"/>
            <w:shd w:val="clear" w:color="auto" w:fill="auto"/>
          </w:tcPr>
          <w:p w:rsidR="00EC1CE9" w:rsidRPr="000E1B7B" w:rsidRDefault="00EC1CE9" w:rsidP="008734B0">
            <w:pPr>
              <w:autoSpaceDE w:val="0"/>
              <w:autoSpaceDN w:val="0"/>
              <w:adjustRightInd w:val="0"/>
              <w:spacing w:after="0" w:line="240" w:lineRule="auto"/>
              <w:jc w:val="center"/>
              <w:rPr>
                <w:rFonts w:ascii="Times New Roman" w:hAnsi="Times New Roman"/>
                <w:b/>
                <w:bCs/>
              </w:rPr>
            </w:pPr>
            <w:r w:rsidRPr="000E1B7B">
              <w:rPr>
                <w:rFonts w:ascii="Times New Roman" w:hAnsi="Times New Roman"/>
                <w:b/>
                <w:bCs/>
              </w:rPr>
              <w:t>Date de traitement</w:t>
            </w:r>
          </w:p>
          <w:p w:rsidR="00EC1CE9" w:rsidRPr="000E1B7B" w:rsidRDefault="00EC1CE9" w:rsidP="008734B0">
            <w:pPr>
              <w:autoSpaceDE w:val="0"/>
              <w:autoSpaceDN w:val="0"/>
              <w:adjustRightInd w:val="0"/>
              <w:spacing w:after="0" w:line="240" w:lineRule="auto"/>
              <w:jc w:val="center"/>
              <w:rPr>
                <w:rFonts w:ascii="Times New Roman" w:hAnsi="Times New Roman"/>
                <w:b/>
                <w:bCs/>
              </w:rPr>
            </w:pPr>
            <w:r w:rsidRPr="000E1B7B">
              <w:rPr>
                <w:rFonts w:ascii="Times New Roman" w:hAnsi="Times New Roman"/>
                <w:b/>
                <w:bCs/>
              </w:rPr>
              <w:t>prévue</w:t>
            </w:r>
          </w:p>
        </w:tc>
        <w:tc>
          <w:tcPr>
            <w:tcW w:w="1667" w:type="dxa"/>
            <w:shd w:val="clear" w:color="auto" w:fill="auto"/>
          </w:tcPr>
          <w:p w:rsidR="00EC1CE9" w:rsidRPr="000E1B7B" w:rsidRDefault="00EC1CE9" w:rsidP="008734B0">
            <w:pPr>
              <w:autoSpaceDE w:val="0"/>
              <w:autoSpaceDN w:val="0"/>
              <w:adjustRightInd w:val="0"/>
              <w:spacing w:after="0" w:line="240" w:lineRule="auto"/>
              <w:jc w:val="center"/>
              <w:rPr>
                <w:rFonts w:ascii="Times New Roman" w:hAnsi="Times New Roman"/>
                <w:b/>
                <w:bCs/>
              </w:rPr>
            </w:pPr>
            <w:r w:rsidRPr="000E1B7B">
              <w:rPr>
                <w:rFonts w:ascii="Times New Roman" w:hAnsi="Times New Roman"/>
                <w:b/>
                <w:bCs/>
              </w:rPr>
              <w:t>Accusé de réception de la plainte au réclamant (oui/non)</w:t>
            </w:r>
          </w:p>
        </w:tc>
        <w:tc>
          <w:tcPr>
            <w:tcW w:w="1507" w:type="dxa"/>
            <w:shd w:val="clear" w:color="auto" w:fill="auto"/>
          </w:tcPr>
          <w:p w:rsidR="00EC1CE9" w:rsidRPr="000E1B7B" w:rsidRDefault="00EC1CE9" w:rsidP="008734B0">
            <w:pPr>
              <w:autoSpaceDE w:val="0"/>
              <w:autoSpaceDN w:val="0"/>
              <w:adjustRightInd w:val="0"/>
              <w:spacing w:after="0" w:line="240" w:lineRule="auto"/>
              <w:jc w:val="center"/>
              <w:rPr>
                <w:rFonts w:ascii="Times New Roman" w:hAnsi="Times New Roman"/>
                <w:b/>
                <w:bCs/>
              </w:rPr>
            </w:pPr>
            <w:r w:rsidRPr="000E1B7B">
              <w:rPr>
                <w:rFonts w:ascii="Times New Roman" w:hAnsi="Times New Roman"/>
                <w:b/>
                <w:bCs/>
              </w:rPr>
              <w:t>Plainte résolue (oui / non) et date</w:t>
            </w:r>
          </w:p>
        </w:tc>
        <w:tc>
          <w:tcPr>
            <w:tcW w:w="2042" w:type="dxa"/>
            <w:shd w:val="clear" w:color="auto" w:fill="auto"/>
          </w:tcPr>
          <w:p w:rsidR="00EC1CE9" w:rsidRPr="000E1B7B" w:rsidRDefault="00EC1CE9" w:rsidP="008734B0">
            <w:pPr>
              <w:autoSpaceDE w:val="0"/>
              <w:autoSpaceDN w:val="0"/>
              <w:adjustRightInd w:val="0"/>
              <w:spacing w:after="0" w:line="240" w:lineRule="auto"/>
              <w:jc w:val="center"/>
              <w:rPr>
                <w:rFonts w:ascii="Times New Roman" w:hAnsi="Times New Roman"/>
                <w:b/>
                <w:bCs/>
              </w:rPr>
            </w:pPr>
            <w:r w:rsidRPr="000E1B7B">
              <w:rPr>
                <w:rFonts w:ascii="Times New Roman" w:hAnsi="Times New Roman"/>
                <w:b/>
                <w:bCs/>
              </w:rPr>
              <w:t xml:space="preserve">Retour </w:t>
            </w:r>
            <w:r w:rsidRPr="000E1B7B">
              <w:rPr>
                <w:rFonts w:ascii="TimesNewRomanPS-BoldMT" w:hAnsi="TimesNewRomanPS-BoldMT" w:cs="TimesNewRomanPS-BoldMT"/>
                <w:b/>
                <w:bCs/>
              </w:rPr>
              <w:t xml:space="preserve">d’information </w:t>
            </w:r>
            <w:r w:rsidRPr="000E1B7B">
              <w:rPr>
                <w:rFonts w:ascii="Times New Roman" w:hAnsi="Times New Roman"/>
                <w:b/>
                <w:bCs/>
              </w:rPr>
              <w:t>au réclamant sur le traitement de la plainte (oui/non) et date</w:t>
            </w:r>
          </w:p>
        </w:tc>
      </w:tr>
      <w:tr w:rsidR="00EC1CE9" w:rsidRPr="000E1B7B" w:rsidTr="00EC1CE9">
        <w:tc>
          <w:tcPr>
            <w:tcW w:w="1160" w:type="dxa"/>
            <w:shd w:val="clear" w:color="auto" w:fill="auto"/>
          </w:tcPr>
          <w:p w:rsidR="00EC1CE9" w:rsidRPr="000E1B7B" w:rsidRDefault="00EC1CE9" w:rsidP="008734B0">
            <w:pPr>
              <w:autoSpaceDE w:val="0"/>
              <w:autoSpaceDN w:val="0"/>
              <w:adjustRightInd w:val="0"/>
              <w:spacing w:after="0" w:line="240" w:lineRule="auto"/>
              <w:jc w:val="both"/>
              <w:rPr>
                <w:rFonts w:ascii="TimesNewRomanPSMT" w:hAnsi="TimesNewRomanPSMT" w:cs="TimesNewRomanPSMT"/>
                <w:sz w:val="24"/>
                <w:szCs w:val="24"/>
              </w:rPr>
            </w:pPr>
          </w:p>
        </w:tc>
        <w:tc>
          <w:tcPr>
            <w:tcW w:w="1849" w:type="dxa"/>
            <w:shd w:val="clear" w:color="auto" w:fill="auto"/>
          </w:tcPr>
          <w:p w:rsidR="00EC1CE9" w:rsidRPr="000E1B7B" w:rsidRDefault="00EC1CE9" w:rsidP="008734B0">
            <w:pPr>
              <w:autoSpaceDE w:val="0"/>
              <w:autoSpaceDN w:val="0"/>
              <w:adjustRightInd w:val="0"/>
              <w:spacing w:after="0" w:line="240" w:lineRule="auto"/>
              <w:jc w:val="both"/>
              <w:rPr>
                <w:rFonts w:ascii="TimesNewRomanPSMT" w:hAnsi="TimesNewRomanPSMT" w:cs="TimesNewRomanPSMT"/>
                <w:sz w:val="24"/>
                <w:szCs w:val="24"/>
              </w:rPr>
            </w:pPr>
          </w:p>
        </w:tc>
        <w:tc>
          <w:tcPr>
            <w:tcW w:w="1688" w:type="dxa"/>
            <w:shd w:val="clear" w:color="auto" w:fill="auto"/>
          </w:tcPr>
          <w:p w:rsidR="00EC1CE9" w:rsidRPr="000E1B7B" w:rsidRDefault="00EC1CE9" w:rsidP="008734B0">
            <w:pPr>
              <w:autoSpaceDE w:val="0"/>
              <w:autoSpaceDN w:val="0"/>
              <w:adjustRightInd w:val="0"/>
              <w:spacing w:after="0" w:line="240" w:lineRule="auto"/>
              <w:jc w:val="both"/>
              <w:rPr>
                <w:rFonts w:ascii="TimesNewRomanPSMT" w:hAnsi="TimesNewRomanPSMT" w:cs="TimesNewRomanPSMT"/>
                <w:sz w:val="24"/>
                <w:szCs w:val="24"/>
              </w:rPr>
            </w:pPr>
          </w:p>
        </w:tc>
        <w:tc>
          <w:tcPr>
            <w:tcW w:w="1667" w:type="dxa"/>
            <w:shd w:val="clear" w:color="auto" w:fill="auto"/>
          </w:tcPr>
          <w:p w:rsidR="00EC1CE9" w:rsidRPr="000E1B7B" w:rsidRDefault="00EC1CE9" w:rsidP="008734B0">
            <w:pPr>
              <w:autoSpaceDE w:val="0"/>
              <w:autoSpaceDN w:val="0"/>
              <w:adjustRightInd w:val="0"/>
              <w:spacing w:after="0" w:line="240" w:lineRule="auto"/>
              <w:jc w:val="both"/>
              <w:rPr>
                <w:rFonts w:ascii="TimesNewRomanPSMT" w:hAnsi="TimesNewRomanPSMT" w:cs="TimesNewRomanPSMT"/>
                <w:sz w:val="24"/>
                <w:szCs w:val="24"/>
              </w:rPr>
            </w:pPr>
          </w:p>
        </w:tc>
        <w:tc>
          <w:tcPr>
            <w:tcW w:w="1507" w:type="dxa"/>
            <w:shd w:val="clear" w:color="auto" w:fill="auto"/>
          </w:tcPr>
          <w:p w:rsidR="00EC1CE9" w:rsidRPr="000E1B7B" w:rsidRDefault="00EC1CE9" w:rsidP="008734B0">
            <w:pPr>
              <w:autoSpaceDE w:val="0"/>
              <w:autoSpaceDN w:val="0"/>
              <w:adjustRightInd w:val="0"/>
              <w:spacing w:after="0" w:line="240" w:lineRule="auto"/>
              <w:jc w:val="both"/>
              <w:rPr>
                <w:rFonts w:ascii="TimesNewRomanPSMT" w:hAnsi="TimesNewRomanPSMT" w:cs="TimesNewRomanPSMT"/>
                <w:sz w:val="24"/>
                <w:szCs w:val="24"/>
              </w:rPr>
            </w:pPr>
          </w:p>
        </w:tc>
        <w:tc>
          <w:tcPr>
            <w:tcW w:w="2042" w:type="dxa"/>
            <w:shd w:val="clear" w:color="auto" w:fill="auto"/>
          </w:tcPr>
          <w:p w:rsidR="00EC1CE9" w:rsidRPr="000E1B7B" w:rsidRDefault="00EC1CE9" w:rsidP="008734B0">
            <w:pPr>
              <w:autoSpaceDE w:val="0"/>
              <w:autoSpaceDN w:val="0"/>
              <w:adjustRightInd w:val="0"/>
              <w:spacing w:after="0" w:line="240" w:lineRule="auto"/>
              <w:jc w:val="both"/>
              <w:rPr>
                <w:rFonts w:ascii="TimesNewRomanPSMT" w:hAnsi="TimesNewRomanPSMT" w:cs="TimesNewRomanPSMT"/>
                <w:sz w:val="24"/>
                <w:szCs w:val="24"/>
              </w:rPr>
            </w:pPr>
          </w:p>
        </w:tc>
      </w:tr>
      <w:tr w:rsidR="00EC1CE9" w:rsidRPr="000E1B7B" w:rsidTr="00EC1CE9">
        <w:tc>
          <w:tcPr>
            <w:tcW w:w="1160" w:type="dxa"/>
            <w:shd w:val="clear" w:color="auto" w:fill="auto"/>
          </w:tcPr>
          <w:p w:rsidR="00EC1CE9" w:rsidRPr="000E1B7B" w:rsidRDefault="00EC1CE9" w:rsidP="008734B0">
            <w:pPr>
              <w:autoSpaceDE w:val="0"/>
              <w:autoSpaceDN w:val="0"/>
              <w:adjustRightInd w:val="0"/>
              <w:spacing w:after="0" w:line="240" w:lineRule="auto"/>
              <w:jc w:val="both"/>
              <w:rPr>
                <w:rFonts w:ascii="TimesNewRomanPSMT" w:hAnsi="TimesNewRomanPSMT" w:cs="TimesNewRomanPSMT"/>
                <w:sz w:val="24"/>
                <w:szCs w:val="24"/>
              </w:rPr>
            </w:pPr>
          </w:p>
        </w:tc>
        <w:tc>
          <w:tcPr>
            <w:tcW w:w="1849" w:type="dxa"/>
            <w:shd w:val="clear" w:color="auto" w:fill="auto"/>
          </w:tcPr>
          <w:p w:rsidR="00EC1CE9" w:rsidRPr="000E1B7B" w:rsidRDefault="00EC1CE9" w:rsidP="008734B0">
            <w:pPr>
              <w:autoSpaceDE w:val="0"/>
              <w:autoSpaceDN w:val="0"/>
              <w:adjustRightInd w:val="0"/>
              <w:spacing w:after="0" w:line="240" w:lineRule="auto"/>
              <w:jc w:val="both"/>
              <w:rPr>
                <w:rFonts w:ascii="TimesNewRomanPSMT" w:hAnsi="TimesNewRomanPSMT" w:cs="TimesNewRomanPSMT"/>
                <w:sz w:val="24"/>
                <w:szCs w:val="24"/>
              </w:rPr>
            </w:pPr>
          </w:p>
        </w:tc>
        <w:tc>
          <w:tcPr>
            <w:tcW w:w="1688" w:type="dxa"/>
            <w:shd w:val="clear" w:color="auto" w:fill="auto"/>
          </w:tcPr>
          <w:p w:rsidR="00EC1CE9" w:rsidRPr="000E1B7B" w:rsidRDefault="00EC1CE9" w:rsidP="008734B0">
            <w:pPr>
              <w:autoSpaceDE w:val="0"/>
              <w:autoSpaceDN w:val="0"/>
              <w:adjustRightInd w:val="0"/>
              <w:spacing w:after="0" w:line="240" w:lineRule="auto"/>
              <w:jc w:val="both"/>
              <w:rPr>
                <w:rFonts w:ascii="TimesNewRomanPSMT" w:hAnsi="TimesNewRomanPSMT" w:cs="TimesNewRomanPSMT"/>
                <w:sz w:val="24"/>
                <w:szCs w:val="24"/>
              </w:rPr>
            </w:pPr>
          </w:p>
        </w:tc>
        <w:tc>
          <w:tcPr>
            <w:tcW w:w="1667" w:type="dxa"/>
            <w:shd w:val="clear" w:color="auto" w:fill="auto"/>
          </w:tcPr>
          <w:p w:rsidR="00EC1CE9" w:rsidRPr="000E1B7B" w:rsidRDefault="00EC1CE9" w:rsidP="008734B0">
            <w:pPr>
              <w:autoSpaceDE w:val="0"/>
              <w:autoSpaceDN w:val="0"/>
              <w:adjustRightInd w:val="0"/>
              <w:spacing w:after="0" w:line="240" w:lineRule="auto"/>
              <w:jc w:val="both"/>
              <w:rPr>
                <w:rFonts w:ascii="TimesNewRomanPSMT" w:hAnsi="TimesNewRomanPSMT" w:cs="TimesNewRomanPSMT"/>
                <w:sz w:val="24"/>
                <w:szCs w:val="24"/>
              </w:rPr>
            </w:pPr>
          </w:p>
        </w:tc>
        <w:tc>
          <w:tcPr>
            <w:tcW w:w="1507" w:type="dxa"/>
            <w:shd w:val="clear" w:color="auto" w:fill="auto"/>
          </w:tcPr>
          <w:p w:rsidR="00EC1CE9" w:rsidRPr="000E1B7B" w:rsidRDefault="00EC1CE9" w:rsidP="008734B0">
            <w:pPr>
              <w:autoSpaceDE w:val="0"/>
              <w:autoSpaceDN w:val="0"/>
              <w:adjustRightInd w:val="0"/>
              <w:spacing w:after="0" w:line="240" w:lineRule="auto"/>
              <w:jc w:val="both"/>
              <w:rPr>
                <w:rFonts w:ascii="TimesNewRomanPSMT" w:hAnsi="TimesNewRomanPSMT" w:cs="TimesNewRomanPSMT"/>
                <w:sz w:val="24"/>
                <w:szCs w:val="24"/>
              </w:rPr>
            </w:pPr>
          </w:p>
        </w:tc>
        <w:tc>
          <w:tcPr>
            <w:tcW w:w="2042" w:type="dxa"/>
            <w:shd w:val="clear" w:color="auto" w:fill="auto"/>
          </w:tcPr>
          <w:p w:rsidR="00EC1CE9" w:rsidRPr="000E1B7B" w:rsidRDefault="00EC1CE9" w:rsidP="008734B0">
            <w:pPr>
              <w:autoSpaceDE w:val="0"/>
              <w:autoSpaceDN w:val="0"/>
              <w:adjustRightInd w:val="0"/>
              <w:spacing w:after="0" w:line="240" w:lineRule="auto"/>
              <w:jc w:val="both"/>
              <w:rPr>
                <w:rFonts w:ascii="TimesNewRomanPSMT" w:hAnsi="TimesNewRomanPSMT" w:cs="TimesNewRomanPSMT"/>
                <w:sz w:val="24"/>
                <w:szCs w:val="24"/>
              </w:rPr>
            </w:pPr>
          </w:p>
        </w:tc>
      </w:tr>
      <w:tr w:rsidR="00EC1CE9" w:rsidRPr="000E1B7B" w:rsidTr="00EC1CE9">
        <w:tc>
          <w:tcPr>
            <w:tcW w:w="1160" w:type="dxa"/>
            <w:shd w:val="clear" w:color="auto" w:fill="auto"/>
          </w:tcPr>
          <w:p w:rsidR="00EC1CE9" w:rsidRPr="000E1B7B" w:rsidRDefault="00EC1CE9" w:rsidP="008734B0">
            <w:pPr>
              <w:autoSpaceDE w:val="0"/>
              <w:autoSpaceDN w:val="0"/>
              <w:adjustRightInd w:val="0"/>
              <w:spacing w:after="0" w:line="240" w:lineRule="auto"/>
              <w:jc w:val="both"/>
              <w:rPr>
                <w:rFonts w:ascii="TimesNewRomanPSMT" w:hAnsi="TimesNewRomanPSMT" w:cs="TimesNewRomanPSMT"/>
                <w:sz w:val="24"/>
                <w:szCs w:val="24"/>
              </w:rPr>
            </w:pPr>
          </w:p>
        </w:tc>
        <w:tc>
          <w:tcPr>
            <w:tcW w:w="1849" w:type="dxa"/>
            <w:shd w:val="clear" w:color="auto" w:fill="auto"/>
          </w:tcPr>
          <w:p w:rsidR="00EC1CE9" w:rsidRPr="000E1B7B" w:rsidRDefault="00EC1CE9" w:rsidP="008734B0">
            <w:pPr>
              <w:autoSpaceDE w:val="0"/>
              <w:autoSpaceDN w:val="0"/>
              <w:adjustRightInd w:val="0"/>
              <w:spacing w:after="0" w:line="240" w:lineRule="auto"/>
              <w:jc w:val="both"/>
              <w:rPr>
                <w:rFonts w:ascii="TimesNewRomanPSMT" w:hAnsi="TimesNewRomanPSMT" w:cs="TimesNewRomanPSMT"/>
                <w:sz w:val="24"/>
                <w:szCs w:val="24"/>
              </w:rPr>
            </w:pPr>
          </w:p>
        </w:tc>
        <w:tc>
          <w:tcPr>
            <w:tcW w:w="1688" w:type="dxa"/>
            <w:shd w:val="clear" w:color="auto" w:fill="auto"/>
          </w:tcPr>
          <w:p w:rsidR="00EC1CE9" w:rsidRPr="000E1B7B" w:rsidRDefault="00EC1CE9" w:rsidP="008734B0">
            <w:pPr>
              <w:autoSpaceDE w:val="0"/>
              <w:autoSpaceDN w:val="0"/>
              <w:adjustRightInd w:val="0"/>
              <w:spacing w:after="0" w:line="240" w:lineRule="auto"/>
              <w:jc w:val="both"/>
              <w:rPr>
                <w:rFonts w:ascii="TimesNewRomanPSMT" w:hAnsi="TimesNewRomanPSMT" w:cs="TimesNewRomanPSMT"/>
                <w:sz w:val="24"/>
                <w:szCs w:val="24"/>
              </w:rPr>
            </w:pPr>
          </w:p>
        </w:tc>
        <w:tc>
          <w:tcPr>
            <w:tcW w:w="1667" w:type="dxa"/>
            <w:shd w:val="clear" w:color="auto" w:fill="auto"/>
          </w:tcPr>
          <w:p w:rsidR="00EC1CE9" w:rsidRPr="000E1B7B" w:rsidRDefault="00EC1CE9" w:rsidP="008734B0">
            <w:pPr>
              <w:autoSpaceDE w:val="0"/>
              <w:autoSpaceDN w:val="0"/>
              <w:adjustRightInd w:val="0"/>
              <w:spacing w:after="0" w:line="240" w:lineRule="auto"/>
              <w:jc w:val="both"/>
              <w:rPr>
                <w:rFonts w:ascii="TimesNewRomanPSMT" w:hAnsi="TimesNewRomanPSMT" w:cs="TimesNewRomanPSMT"/>
                <w:sz w:val="24"/>
                <w:szCs w:val="24"/>
              </w:rPr>
            </w:pPr>
          </w:p>
        </w:tc>
        <w:tc>
          <w:tcPr>
            <w:tcW w:w="1507" w:type="dxa"/>
            <w:shd w:val="clear" w:color="auto" w:fill="auto"/>
          </w:tcPr>
          <w:p w:rsidR="00EC1CE9" w:rsidRPr="000E1B7B" w:rsidRDefault="00EC1CE9" w:rsidP="008734B0">
            <w:pPr>
              <w:autoSpaceDE w:val="0"/>
              <w:autoSpaceDN w:val="0"/>
              <w:adjustRightInd w:val="0"/>
              <w:spacing w:after="0" w:line="240" w:lineRule="auto"/>
              <w:jc w:val="both"/>
              <w:rPr>
                <w:rFonts w:ascii="TimesNewRomanPSMT" w:hAnsi="TimesNewRomanPSMT" w:cs="TimesNewRomanPSMT"/>
                <w:sz w:val="24"/>
                <w:szCs w:val="24"/>
              </w:rPr>
            </w:pPr>
          </w:p>
        </w:tc>
        <w:tc>
          <w:tcPr>
            <w:tcW w:w="2042" w:type="dxa"/>
            <w:shd w:val="clear" w:color="auto" w:fill="auto"/>
          </w:tcPr>
          <w:p w:rsidR="00EC1CE9" w:rsidRPr="000E1B7B" w:rsidRDefault="00EC1CE9" w:rsidP="008734B0">
            <w:pPr>
              <w:autoSpaceDE w:val="0"/>
              <w:autoSpaceDN w:val="0"/>
              <w:adjustRightInd w:val="0"/>
              <w:spacing w:after="0" w:line="240" w:lineRule="auto"/>
              <w:jc w:val="both"/>
              <w:rPr>
                <w:rFonts w:ascii="TimesNewRomanPSMT" w:hAnsi="TimesNewRomanPSMT" w:cs="TimesNewRomanPSMT"/>
                <w:sz w:val="24"/>
                <w:szCs w:val="24"/>
              </w:rPr>
            </w:pPr>
          </w:p>
        </w:tc>
      </w:tr>
    </w:tbl>
    <w:p w:rsidR="001364C2" w:rsidRDefault="001364C2" w:rsidP="001364C2">
      <w:pPr>
        <w:shd w:val="clear" w:color="auto" w:fill="FFFFFF" w:themeFill="background1"/>
        <w:tabs>
          <w:tab w:val="left" w:pos="1340"/>
        </w:tabs>
        <w:spacing w:after="0"/>
        <w:rPr>
          <w:rFonts w:ascii="Times New Roman" w:hAnsi="Times New Roman" w:cs="Times New Roman"/>
          <w:lang w:eastAsia="fr-FR"/>
        </w:rPr>
      </w:pPr>
    </w:p>
    <w:p w:rsidR="001364C2" w:rsidRDefault="001364C2" w:rsidP="001364C2">
      <w:pPr>
        <w:shd w:val="clear" w:color="auto" w:fill="FFFFFF" w:themeFill="background1"/>
        <w:tabs>
          <w:tab w:val="left" w:pos="1340"/>
        </w:tabs>
        <w:spacing w:after="0"/>
        <w:rPr>
          <w:rFonts w:ascii="Times New Roman" w:hAnsi="Times New Roman" w:cs="Times New Roman"/>
          <w:lang w:eastAsia="fr-FR"/>
        </w:rPr>
      </w:pPr>
    </w:p>
    <w:p w:rsidR="00EC1CE9" w:rsidRPr="000D0E23" w:rsidRDefault="00EC1CE9" w:rsidP="00D10B3E">
      <w:pPr>
        <w:pStyle w:val="ndice2"/>
      </w:pPr>
      <w:bookmarkStart w:id="1110" w:name="_Toc51072735"/>
      <w:r w:rsidRPr="000D0E23">
        <w:t>Annexe 11 : Modèle de tableau de Registre des plaintes (a) Informations sur la plainte</w:t>
      </w:r>
      <w:bookmarkEnd w:id="1110"/>
    </w:p>
    <w:p w:rsidR="00EC1CE9" w:rsidRPr="00DD196E" w:rsidRDefault="00EC1CE9" w:rsidP="00EC1CE9">
      <w:pPr>
        <w:autoSpaceDE w:val="0"/>
        <w:autoSpaceDN w:val="0"/>
        <w:adjustRightInd w:val="0"/>
        <w:spacing w:after="0" w:line="276" w:lineRule="auto"/>
        <w:jc w:val="both"/>
        <w:rPr>
          <w:rFonts w:ascii="Times New Roman" w:hAnsi="Times New Roman"/>
          <w:sz w:val="18"/>
          <w:szCs w:val="24"/>
        </w:rPr>
      </w:pPr>
    </w:p>
    <w:tbl>
      <w:tblPr>
        <w:tblW w:w="0" w:type="auto"/>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
        <w:gridCol w:w="1270"/>
        <w:gridCol w:w="1617"/>
        <w:gridCol w:w="764"/>
        <w:gridCol w:w="1095"/>
        <w:gridCol w:w="1454"/>
        <w:gridCol w:w="1670"/>
        <w:gridCol w:w="1994"/>
      </w:tblGrid>
      <w:tr w:rsidR="00EC1CE9" w:rsidRPr="000E1B7B" w:rsidTr="00EC1CE9">
        <w:tc>
          <w:tcPr>
            <w:tcW w:w="0" w:type="auto"/>
            <w:vMerge w:val="restart"/>
            <w:shd w:val="clear" w:color="auto" w:fill="auto"/>
          </w:tcPr>
          <w:p w:rsidR="00EC1CE9" w:rsidRPr="000E1B7B" w:rsidRDefault="00EC1CE9" w:rsidP="008734B0">
            <w:pPr>
              <w:autoSpaceDE w:val="0"/>
              <w:autoSpaceDN w:val="0"/>
              <w:adjustRightInd w:val="0"/>
              <w:spacing w:after="0" w:line="240" w:lineRule="auto"/>
              <w:jc w:val="center"/>
              <w:rPr>
                <w:rFonts w:ascii="TimesNewRomanPSMT" w:hAnsi="TimesNewRomanPSMT" w:cs="TimesNewRomanPSMT"/>
                <w:sz w:val="24"/>
                <w:szCs w:val="24"/>
              </w:rPr>
            </w:pPr>
            <w:r w:rsidRPr="000E1B7B">
              <w:rPr>
                <w:rFonts w:ascii="Times New Roman" w:hAnsi="Times New Roman"/>
                <w:b/>
                <w:bCs/>
              </w:rPr>
              <w:t>Nº de plainte</w:t>
            </w:r>
          </w:p>
        </w:tc>
        <w:tc>
          <w:tcPr>
            <w:tcW w:w="0" w:type="auto"/>
            <w:vMerge w:val="restart"/>
            <w:shd w:val="clear" w:color="auto" w:fill="auto"/>
          </w:tcPr>
          <w:p w:rsidR="00EC1CE9" w:rsidRPr="000E1B7B" w:rsidRDefault="00EC1CE9" w:rsidP="008734B0">
            <w:pPr>
              <w:autoSpaceDE w:val="0"/>
              <w:autoSpaceDN w:val="0"/>
              <w:adjustRightInd w:val="0"/>
              <w:spacing w:after="0" w:line="240" w:lineRule="auto"/>
              <w:jc w:val="center"/>
              <w:rPr>
                <w:rFonts w:ascii="Times New Roman" w:hAnsi="Times New Roman"/>
                <w:b/>
                <w:bCs/>
              </w:rPr>
            </w:pPr>
            <w:r w:rsidRPr="000E1B7B">
              <w:rPr>
                <w:rFonts w:ascii="Times New Roman" w:hAnsi="Times New Roman"/>
                <w:b/>
                <w:bCs/>
              </w:rPr>
              <w:t xml:space="preserve">Nom </w:t>
            </w:r>
            <w:r>
              <w:rPr>
                <w:rFonts w:ascii="Times New Roman" w:hAnsi="Times New Roman"/>
                <w:b/>
                <w:bCs/>
              </w:rPr>
              <w:t xml:space="preserve">du </w:t>
            </w:r>
            <w:r w:rsidRPr="000E1B7B">
              <w:rPr>
                <w:rFonts w:ascii="Times New Roman" w:hAnsi="Times New Roman"/>
                <w:b/>
                <w:bCs/>
              </w:rPr>
              <w:t>réclamant</w:t>
            </w:r>
          </w:p>
        </w:tc>
        <w:tc>
          <w:tcPr>
            <w:tcW w:w="0" w:type="auto"/>
            <w:gridSpan w:val="2"/>
          </w:tcPr>
          <w:p w:rsidR="00EC1CE9" w:rsidRPr="000E1B7B" w:rsidRDefault="00EC1CE9" w:rsidP="008734B0">
            <w:pPr>
              <w:autoSpaceDE w:val="0"/>
              <w:autoSpaceDN w:val="0"/>
              <w:adjustRightInd w:val="0"/>
              <w:spacing w:after="0" w:line="240" w:lineRule="auto"/>
              <w:jc w:val="center"/>
              <w:rPr>
                <w:rFonts w:ascii="Times New Roman" w:hAnsi="Times New Roman"/>
                <w:b/>
                <w:bCs/>
              </w:rPr>
            </w:pPr>
            <w:r w:rsidRPr="000E1B7B">
              <w:rPr>
                <w:rFonts w:ascii="Times New Roman" w:hAnsi="Times New Roman"/>
                <w:b/>
                <w:bCs/>
              </w:rPr>
              <w:t>contact du</w:t>
            </w:r>
            <w:r>
              <w:rPr>
                <w:rFonts w:ascii="Times New Roman" w:hAnsi="Times New Roman"/>
                <w:b/>
                <w:bCs/>
              </w:rPr>
              <w:t xml:space="preserve"> </w:t>
            </w:r>
            <w:r w:rsidRPr="000E1B7B">
              <w:rPr>
                <w:rFonts w:ascii="Times New Roman" w:hAnsi="Times New Roman"/>
                <w:b/>
                <w:bCs/>
              </w:rPr>
              <w:t>réclamant</w:t>
            </w:r>
          </w:p>
        </w:tc>
        <w:tc>
          <w:tcPr>
            <w:tcW w:w="0" w:type="auto"/>
            <w:vMerge w:val="restart"/>
            <w:shd w:val="clear" w:color="auto" w:fill="auto"/>
          </w:tcPr>
          <w:p w:rsidR="00EC1CE9" w:rsidRPr="000E1B7B" w:rsidRDefault="00EC1CE9" w:rsidP="008734B0">
            <w:pPr>
              <w:autoSpaceDE w:val="0"/>
              <w:autoSpaceDN w:val="0"/>
              <w:adjustRightInd w:val="0"/>
              <w:spacing w:after="0" w:line="240" w:lineRule="auto"/>
              <w:jc w:val="center"/>
              <w:rPr>
                <w:rFonts w:ascii="Times New Roman" w:hAnsi="Times New Roman"/>
                <w:b/>
                <w:bCs/>
              </w:rPr>
            </w:pPr>
            <w:r w:rsidRPr="000E1B7B">
              <w:rPr>
                <w:rFonts w:ascii="Times New Roman" w:hAnsi="Times New Roman"/>
                <w:b/>
                <w:bCs/>
              </w:rPr>
              <w:t>Date de dépôt de la plainte</w:t>
            </w:r>
          </w:p>
        </w:tc>
        <w:tc>
          <w:tcPr>
            <w:tcW w:w="0" w:type="auto"/>
            <w:vMerge w:val="restart"/>
            <w:shd w:val="clear" w:color="auto" w:fill="auto"/>
          </w:tcPr>
          <w:p w:rsidR="00EC1CE9" w:rsidRPr="000E1B7B" w:rsidRDefault="00EC1CE9" w:rsidP="008734B0">
            <w:pPr>
              <w:autoSpaceDE w:val="0"/>
              <w:autoSpaceDN w:val="0"/>
              <w:adjustRightInd w:val="0"/>
              <w:spacing w:after="0" w:line="240" w:lineRule="auto"/>
              <w:jc w:val="center"/>
              <w:rPr>
                <w:rFonts w:ascii="Times New Roman" w:hAnsi="Times New Roman"/>
                <w:b/>
                <w:bCs/>
              </w:rPr>
            </w:pPr>
            <w:r w:rsidRPr="000E1B7B">
              <w:rPr>
                <w:rFonts w:ascii="Times New Roman" w:hAnsi="Times New Roman"/>
                <w:b/>
                <w:bCs/>
              </w:rPr>
              <w:t>Description de la plainte</w:t>
            </w:r>
          </w:p>
        </w:tc>
        <w:tc>
          <w:tcPr>
            <w:tcW w:w="0" w:type="auto"/>
            <w:vMerge w:val="restart"/>
            <w:shd w:val="clear" w:color="auto" w:fill="auto"/>
          </w:tcPr>
          <w:p w:rsidR="00EC1CE9" w:rsidRPr="000E1B7B" w:rsidRDefault="00EC1CE9" w:rsidP="008734B0">
            <w:pPr>
              <w:autoSpaceDE w:val="0"/>
              <w:autoSpaceDN w:val="0"/>
              <w:adjustRightInd w:val="0"/>
              <w:spacing w:after="0" w:line="240" w:lineRule="auto"/>
              <w:jc w:val="center"/>
              <w:rPr>
                <w:rFonts w:ascii="Times New Roman" w:hAnsi="Times New Roman"/>
                <w:b/>
                <w:bCs/>
              </w:rPr>
            </w:pPr>
            <w:r w:rsidRPr="000E1B7B">
              <w:rPr>
                <w:rFonts w:ascii="Times New Roman" w:hAnsi="Times New Roman"/>
                <w:b/>
                <w:bCs/>
              </w:rPr>
              <w:t>Type de projet et emplacement</w:t>
            </w:r>
          </w:p>
        </w:tc>
        <w:tc>
          <w:tcPr>
            <w:tcW w:w="0" w:type="auto"/>
            <w:vMerge w:val="restart"/>
            <w:shd w:val="clear" w:color="auto" w:fill="auto"/>
          </w:tcPr>
          <w:p w:rsidR="00EC1CE9" w:rsidRPr="000E1B7B" w:rsidRDefault="00EC1CE9" w:rsidP="008734B0">
            <w:pPr>
              <w:autoSpaceDE w:val="0"/>
              <w:autoSpaceDN w:val="0"/>
              <w:adjustRightInd w:val="0"/>
              <w:spacing w:after="0" w:line="240" w:lineRule="auto"/>
              <w:jc w:val="center"/>
              <w:rPr>
                <w:rFonts w:ascii="Times New Roman" w:hAnsi="Times New Roman"/>
                <w:b/>
                <w:bCs/>
              </w:rPr>
            </w:pPr>
            <w:r w:rsidRPr="000E1B7B">
              <w:rPr>
                <w:rFonts w:ascii="Times New Roman" w:hAnsi="Times New Roman"/>
                <w:b/>
                <w:bCs/>
              </w:rPr>
              <w:t>Source de financement (prêts, PUASEE, ressources propres, etc.)</w:t>
            </w:r>
          </w:p>
        </w:tc>
      </w:tr>
      <w:tr w:rsidR="00EC1CE9" w:rsidRPr="000E1B7B" w:rsidTr="00EC1CE9">
        <w:tc>
          <w:tcPr>
            <w:tcW w:w="0" w:type="auto"/>
            <w:vMerge/>
            <w:shd w:val="clear" w:color="auto" w:fill="auto"/>
          </w:tcPr>
          <w:p w:rsidR="00EC1CE9" w:rsidRPr="000E1B7B" w:rsidRDefault="00EC1CE9" w:rsidP="008734B0">
            <w:pPr>
              <w:autoSpaceDE w:val="0"/>
              <w:autoSpaceDN w:val="0"/>
              <w:adjustRightInd w:val="0"/>
              <w:spacing w:after="0" w:line="240" w:lineRule="auto"/>
              <w:jc w:val="both"/>
              <w:rPr>
                <w:rFonts w:ascii="TimesNewRomanPSMT" w:hAnsi="TimesNewRomanPSMT" w:cs="TimesNewRomanPSMT"/>
                <w:sz w:val="24"/>
                <w:szCs w:val="24"/>
              </w:rPr>
            </w:pPr>
          </w:p>
        </w:tc>
        <w:tc>
          <w:tcPr>
            <w:tcW w:w="0" w:type="auto"/>
            <w:vMerge/>
            <w:shd w:val="clear" w:color="auto" w:fill="auto"/>
          </w:tcPr>
          <w:p w:rsidR="00EC1CE9" w:rsidRPr="000E1B7B" w:rsidRDefault="00EC1CE9" w:rsidP="008734B0">
            <w:pPr>
              <w:autoSpaceDE w:val="0"/>
              <w:autoSpaceDN w:val="0"/>
              <w:adjustRightInd w:val="0"/>
              <w:spacing w:after="0" w:line="240" w:lineRule="auto"/>
              <w:jc w:val="both"/>
              <w:rPr>
                <w:rFonts w:ascii="TimesNewRomanPSMT" w:hAnsi="TimesNewRomanPSMT" w:cs="TimesNewRomanPSMT"/>
                <w:sz w:val="24"/>
                <w:szCs w:val="24"/>
              </w:rPr>
            </w:pPr>
          </w:p>
        </w:tc>
        <w:tc>
          <w:tcPr>
            <w:tcW w:w="0" w:type="auto"/>
          </w:tcPr>
          <w:p w:rsidR="00EC1CE9" w:rsidRPr="004D1A2C" w:rsidRDefault="00EC1CE9" w:rsidP="008734B0">
            <w:pPr>
              <w:autoSpaceDE w:val="0"/>
              <w:autoSpaceDN w:val="0"/>
              <w:adjustRightInd w:val="0"/>
              <w:spacing w:after="0" w:line="240" w:lineRule="auto"/>
              <w:jc w:val="center"/>
              <w:rPr>
                <w:rFonts w:ascii="Times New Roman" w:hAnsi="Times New Roman"/>
                <w:sz w:val="24"/>
                <w:szCs w:val="24"/>
              </w:rPr>
            </w:pPr>
            <w:r w:rsidRPr="004D1A2C">
              <w:rPr>
                <w:rFonts w:ascii="Times New Roman" w:hAnsi="Times New Roman"/>
                <w:b/>
                <w:bCs/>
                <w:sz w:val="24"/>
                <w:szCs w:val="24"/>
              </w:rPr>
              <w:t>Téléphonique</w:t>
            </w:r>
          </w:p>
        </w:tc>
        <w:tc>
          <w:tcPr>
            <w:tcW w:w="0" w:type="auto"/>
          </w:tcPr>
          <w:p w:rsidR="00EC1CE9" w:rsidRPr="004D1A2C" w:rsidRDefault="00EC1CE9" w:rsidP="008734B0">
            <w:pPr>
              <w:autoSpaceDE w:val="0"/>
              <w:autoSpaceDN w:val="0"/>
              <w:adjustRightInd w:val="0"/>
              <w:spacing w:after="0" w:line="240" w:lineRule="auto"/>
              <w:jc w:val="center"/>
              <w:rPr>
                <w:rFonts w:ascii="Times New Roman" w:hAnsi="Times New Roman"/>
                <w:sz w:val="24"/>
                <w:szCs w:val="24"/>
              </w:rPr>
            </w:pPr>
            <w:r w:rsidRPr="004D1A2C">
              <w:rPr>
                <w:rFonts w:ascii="Times New Roman" w:hAnsi="Times New Roman"/>
                <w:sz w:val="24"/>
                <w:szCs w:val="24"/>
              </w:rPr>
              <w:t>E-mails</w:t>
            </w:r>
          </w:p>
        </w:tc>
        <w:tc>
          <w:tcPr>
            <w:tcW w:w="0" w:type="auto"/>
            <w:vMerge/>
            <w:shd w:val="clear" w:color="auto" w:fill="auto"/>
          </w:tcPr>
          <w:p w:rsidR="00EC1CE9" w:rsidRPr="000E1B7B" w:rsidRDefault="00EC1CE9" w:rsidP="008734B0">
            <w:pPr>
              <w:autoSpaceDE w:val="0"/>
              <w:autoSpaceDN w:val="0"/>
              <w:adjustRightInd w:val="0"/>
              <w:spacing w:after="0" w:line="240" w:lineRule="auto"/>
              <w:jc w:val="both"/>
              <w:rPr>
                <w:rFonts w:ascii="TimesNewRomanPSMT" w:hAnsi="TimesNewRomanPSMT" w:cs="TimesNewRomanPSMT"/>
                <w:sz w:val="24"/>
                <w:szCs w:val="24"/>
              </w:rPr>
            </w:pPr>
          </w:p>
        </w:tc>
        <w:tc>
          <w:tcPr>
            <w:tcW w:w="0" w:type="auto"/>
            <w:vMerge/>
            <w:shd w:val="clear" w:color="auto" w:fill="auto"/>
          </w:tcPr>
          <w:p w:rsidR="00EC1CE9" w:rsidRPr="000E1B7B" w:rsidRDefault="00EC1CE9" w:rsidP="008734B0">
            <w:pPr>
              <w:autoSpaceDE w:val="0"/>
              <w:autoSpaceDN w:val="0"/>
              <w:adjustRightInd w:val="0"/>
              <w:spacing w:after="0" w:line="240" w:lineRule="auto"/>
              <w:jc w:val="both"/>
              <w:rPr>
                <w:rFonts w:ascii="TimesNewRomanPSMT" w:hAnsi="TimesNewRomanPSMT" w:cs="TimesNewRomanPSMT"/>
                <w:sz w:val="24"/>
                <w:szCs w:val="24"/>
              </w:rPr>
            </w:pPr>
          </w:p>
        </w:tc>
        <w:tc>
          <w:tcPr>
            <w:tcW w:w="0" w:type="auto"/>
            <w:vMerge/>
            <w:shd w:val="clear" w:color="auto" w:fill="auto"/>
          </w:tcPr>
          <w:p w:rsidR="00EC1CE9" w:rsidRPr="000E1B7B" w:rsidRDefault="00EC1CE9" w:rsidP="008734B0">
            <w:pPr>
              <w:autoSpaceDE w:val="0"/>
              <w:autoSpaceDN w:val="0"/>
              <w:adjustRightInd w:val="0"/>
              <w:spacing w:after="0" w:line="240" w:lineRule="auto"/>
              <w:jc w:val="both"/>
              <w:rPr>
                <w:rFonts w:ascii="TimesNewRomanPSMT" w:hAnsi="TimesNewRomanPSMT" w:cs="TimesNewRomanPSMT"/>
                <w:sz w:val="24"/>
                <w:szCs w:val="24"/>
              </w:rPr>
            </w:pPr>
          </w:p>
        </w:tc>
        <w:tc>
          <w:tcPr>
            <w:tcW w:w="0" w:type="auto"/>
            <w:vMerge/>
            <w:shd w:val="clear" w:color="auto" w:fill="auto"/>
          </w:tcPr>
          <w:p w:rsidR="00EC1CE9" w:rsidRPr="000E1B7B" w:rsidRDefault="00EC1CE9" w:rsidP="008734B0">
            <w:pPr>
              <w:autoSpaceDE w:val="0"/>
              <w:autoSpaceDN w:val="0"/>
              <w:adjustRightInd w:val="0"/>
              <w:spacing w:after="0" w:line="240" w:lineRule="auto"/>
              <w:jc w:val="both"/>
              <w:rPr>
                <w:rFonts w:ascii="TimesNewRomanPSMT" w:hAnsi="TimesNewRomanPSMT" w:cs="TimesNewRomanPSMT"/>
                <w:sz w:val="24"/>
                <w:szCs w:val="24"/>
              </w:rPr>
            </w:pPr>
          </w:p>
        </w:tc>
      </w:tr>
      <w:tr w:rsidR="00EC1CE9" w:rsidRPr="000E1B7B" w:rsidTr="00EC1CE9">
        <w:tc>
          <w:tcPr>
            <w:tcW w:w="0" w:type="auto"/>
            <w:shd w:val="clear" w:color="auto" w:fill="auto"/>
          </w:tcPr>
          <w:p w:rsidR="00EC1CE9" w:rsidRPr="000E1B7B" w:rsidRDefault="00EC1CE9" w:rsidP="008734B0">
            <w:pPr>
              <w:autoSpaceDE w:val="0"/>
              <w:autoSpaceDN w:val="0"/>
              <w:adjustRightInd w:val="0"/>
              <w:spacing w:after="0" w:line="240" w:lineRule="auto"/>
              <w:jc w:val="both"/>
              <w:rPr>
                <w:rFonts w:ascii="TimesNewRomanPSMT" w:hAnsi="TimesNewRomanPSMT" w:cs="TimesNewRomanPSMT"/>
                <w:sz w:val="24"/>
                <w:szCs w:val="24"/>
              </w:rPr>
            </w:pPr>
          </w:p>
        </w:tc>
        <w:tc>
          <w:tcPr>
            <w:tcW w:w="0" w:type="auto"/>
            <w:shd w:val="clear" w:color="auto" w:fill="auto"/>
          </w:tcPr>
          <w:p w:rsidR="00EC1CE9" w:rsidRPr="000E1B7B" w:rsidRDefault="00EC1CE9" w:rsidP="008734B0">
            <w:pPr>
              <w:autoSpaceDE w:val="0"/>
              <w:autoSpaceDN w:val="0"/>
              <w:adjustRightInd w:val="0"/>
              <w:spacing w:after="0" w:line="240" w:lineRule="auto"/>
              <w:jc w:val="both"/>
              <w:rPr>
                <w:rFonts w:ascii="TimesNewRomanPSMT" w:hAnsi="TimesNewRomanPSMT" w:cs="TimesNewRomanPSMT"/>
                <w:sz w:val="24"/>
                <w:szCs w:val="24"/>
              </w:rPr>
            </w:pPr>
          </w:p>
        </w:tc>
        <w:tc>
          <w:tcPr>
            <w:tcW w:w="0" w:type="auto"/>
          </w:tcPr>
          <w:p w:rsidR="00EC1CE9" w:rsidRPr="000E1B7B" w:rsidRDefault="00EC1CE9" w:rsidP="008734B0">
            <w:pPr>
              <w:autoSpaceDE w:val="0"/>
              <w:autoSpaceDN w:val="0"/>
              <w:adjustRightInd w:val="0"/>
              <w:spacing w:after="0" w:line="240" w:lineRule="auto"/>
              <w:jc w:val="both"/>
              <w:rPr>
                <w:rFonts w:ascii="TimesNewRomanPSMT" w:hAnsi="TimesNewRomanPSMT" w:cs="TimesNewRomanPSMT"/>
                <w:sz w:val="24"/>
                <w:szCs w:val="24"/>
              </w:rPr>
            </w:pPr>
          </w:p>
        </w:tc>
        <w:tc>
          <w:tcPr>
            <w:tcW w:w="0" w:type="auto"/>
          </w:tcPr>
          <w:p w:rsidR="00EC1CE9" w:rsidRPr="000E1B7B" w:rsidRDefault="00EC1CE9" w:rsidP="008734B0">
            <w:pPr>
              <w:autoSpaceDE w:val="0"/>
              <w:autoSpaceDN w:val="0"/>
              <w:adjustRightInd w:val="0"/>
              <w:spacing w:after="0" w:line="240" w:lineRule="auto"/>
              <w:jc w:val="both"/>
              <w:rPr>
                <w:rFonts w:ascii="TimesNewRomanPSMT" w:hAnsi="TimesNewRomanPSMT" w:cs="TimesNewRomanPSMT"/>
                <w:sz w:val="24"/>
                <w:szCs w:val="24"/>
              </w:rPr>
            </w:pPr>
          </w:p>
        </w:tc>
        <w:tc>
          <w:tcPr>
            <w:tcW w:w="0" w:type="auto"/>
            <w:shd w:val="clear" w:color="auto" w:fill="auto"/>
          </w:tcPr>
          <w:p w:rsidR="00EC1CE9" w:rsidRPr="000E1B7B" w:rsidRDefault="00EC1CE9" w:rsidP="008734B0">
            <w:pPr>
              <w:autoSpaceDE w:val="0"/>
              <w:autoSpaceDN w:val="0"/>
              <w:adjustRightInd w:val="0"/>
              <w:spacing w:after="0" w:line="240" w:lineRule="auto"/>
              <w:jc w:val="both"/>
              <w:rPr>
                <w:rFonts w:ascii="TimesNewRomanPSMT" w:hAnsi="TimesNewRomanPSMT" w:cs="TimesNewRomanPSMT"/>
                <w:sz w:val="24"/>
                <w:szCs w:val="24"/>
              </w:rPr>
            </w:pPr>
          </w:p>
        </w:tc>
        <w:tc>
          <w:tcPr>
            <w:tcW w:w="0" w:type="auto"/>
            <w:shd w:val="clear" w:color="auto" w:fill="auto"/>
          </w:tcPr>
          <w:p w:rsidR="00EC1CE9" w:rsidRPr="000E1B7B" w:rsidRDefault="00EC1CE9" w:rsidP="008734B0">
            <w:pPr>
              <w:autoSpaceDE w:val="0"/>
              <w:autoSpaceDN w:val="0"/>
              <w:adjustRightInd w:val="0"/>
              <w:spacing w:after="0" w:line="240" w:lineRule="auto"/>
              <w:jc w:val="both"/>
              <w:rPr>
                <w:rFonts w:ascii="TimesNewRomanPSMT" w:hAnsi="TimesNewRomanPSMT" w:cs="TimesNewRomanPSMT"/>
                <w:sz w:val="24"/>
                <w:szCs w:val="24"/>
              </w:rPr>
            </w:pPr>
          </w:p>
        </w:tc>
        <w:tc>
          <w:tcPr>
            <w:tcW w:w="0" w:type="auto"/>
            <w:shd w:val="clear" w:color="auto" w:fill="auto"/>
          </w:tcPr>
          <w:p w:rsidR="00EC1CE9" w:rsidRPr="000E1B7B" w:rsidRDefault="00EC1CE9" w:rsidP="008734B0">
            <w:pPr>
              <w:autoSpaceDE w:val="0"/>
              <w:autoSpaceDN w:val="0"/>
              <w:adjustRightInd w:val="0"/>
              <w:spacing w:after="0" w:line="240" w:lineRule="auto"/>
              <w:jc w:val="both"/>
              <w:rPr>
                <w:rFonts w:ascii="TimesNewRomanPSMT" w:hAnsi="TimesNewRomanPSMT" w:cs="TimesNewRomanPSMT"/>
                <w:sz w:val="24"/>
                <w:szCs w:val="24"/>
              </w:rPr>
            </w:pPr>
          </w:p>
        </w:tc>
        <w:tc>
          <w:tcPr>
            <w:tcW w:w="0" w:type="auto"/>
            <w:shd w:val="clear" w:color="auto" w:fill="auto"/>
          </w:tcPr>
          <w:p w:rsidR="00EC1CE9" w:rsidRPr="000E1B7B" w:rsidRDefault="00EC1CE9" w:rsidP="008734B0">
            <w:pPr>
              <w:autoSpaceDE w:val="0"/>
              <w:autoSpaceDN w:val="0"/>
              <w:adjustRightInd w:val="0"/>
              <w:spacing w:after="0" w:line="240" w:lineRule="auto"/>
              <w:jc w:val="both"/>
              <w:rPr>
                <w:rFonts w:ascii="TimesNewRomanPSMT" w:hAnsi="TimesNewRomanPSMT" w:cs="TimesNewRomanPSMT"/>
                <w:sz w:val="24"/>
                <w:szCs w:val="24"/>
              </w:rPr>
            </w:pPr>
          </w:p>
        </w:tc>
      </w:tr>
      <w:tr w:rsidR="00EC1CE9" w:rsidRPr="000E1B7B" w:rsidTr="00EC1CE9">
        <w:tc>
          <w:tcPr>
            <w:tcW w:w="0" w:type="auto"/>
            <w:shd w:val="clear" w:color="auto" w:fill="auto"/>
          </w:tcPr>
          <w:p w:rsidR="00EC1CE9" w:rsidRPr="000E1B7B" w:rsidRDefault="00EC1CE9" w:rsidP="008734B0">
            <w:pPr>
              <w:autoSpaceDE w:val="0"/>
              <w:autoSpaceDN w:val="0"/>
              <w:adjustRightInd w:val="0"/>
              <w:spacing w:after="0" w:line="240" w:lineRule="auto"/>
              <w:jc w:val="both"/>
              <w:rPr>
                <w:rFonts w:ascii="TimesNewRomanPSMT" w:hAnsi="TimesNewRomanPSMT" w:cs="TimesNewRomanPSMT"/>
                <w:sz w:val="24"/>
                <w:szCs w:val="24"/>
              </w:rPr>
            </w:pPr>
          </w:p>
        </w:tc>
        <w:tc>
          <w:tcPr>
            <w:tcW w:w="0" w:type="auto"/>
            <w:shd w:val="clear" w:color="auto" w:fill="auto"/>
          </w:tcPr>
          <w:p w:rsidR="00EC1CE9" w:rsidRPr="000E1B7B" w:rsidRDefault="00EC1CE9" w:rsidP="008734B0">
            <w:pPr>
              <w:autoSpaceDE w:val="0"/>
              <w:autoSpaceDN w:val="0"/>
              <w:adjustRightInd w:val="0"/>
              <w:spacing w:after="0" w:line="240" w:lineRule="auto"/>
              <w:jc w:val="both"/>
              <w:rPr>
                <w:rFonts w:ascii="TimesNewRomanPSMT" w:hAnsi="TimesNewRomanPSMT" w:cs="TimesNewRomanPSMT"/>
                <w:sz w:val="24"/>
                <w:szCs w:val="24"/>
              </w:rPr>
            </w:pPr>
          </w:p>
        </w:tc>
        <w:tc>
          <w:tcPr>
            <w:tcW w:w="0" w:type="auto"/>
          </w:tcPr>
          <w:p w:rsidR="00EC1CE9" w:rsidRPr="000E1B7B" w:rsidRDefault="00EC1CE9" w:rsidP="008734B0">
            <w:pPr>
              <w:autoSpaceDE w:val="0"/>
              <w:autoSpaceDN w:val="0"/>
              <w:adjustRightInd w:val="0"/>
              <w:spacing w:after="0" w:line="240" w:lineRule="auto"/>
              <w:jc w:val="both"/>
              <w:rPr>
                <w:rFonts w:ascii="TimesNewRomanPSMT" w:hAnsi="TimesNewRomanPSMT" w:cs="TimesNewRomanPSMT"/>
                <w:sz w:val="24"/>
                <w:szCs w:val="24"/>
              </w:rPr>
            </w:pPr>
          </w:p>
        </w:tc>
        <w:tc>
          <w:tcPr>
            <w:tcW w:w="0" w:type="auto"/>
          </w:tcPr>
          <w:p w:rsidR="00EC1CE9" w:rsidRPr="000E1B7B" w:rsidRDefault="00EC1CE9" w:rsidP="008734B0">
            <w:pPr>
              <w:autoSpaceDE w:val="0"/>
              <w:autoSpaceDN w:val="0"/>
              <w:adjustRightInd w:val="0"/>
              <w:spacing w:after="0" w:line="240" w:lineRule="auto"/>
              <w:jc w:val="both"/>
              <w:rPr>
                <w:rFonts w:ascii="TimesNewRomanPSMT" w:hAnsi="TimesNewRomanPSMT" w:cs="TimesNewRomanPSMT"/>
                <w:sz w:val="24"/>
                <w:szCs w:val="24"/>
              </w:rPr>
            </w:pPr>
          </w:p>
        </w:tc>
        <w:tc>
          <w:tcPr>
            <w:tcW w:w="0" w:type="auto"/>
            <w:shd w:val="clear" w:color="auto" w:fill="auto"/>
          </w:tcPr>
          <w:p w:rsidR="00EC1CE9" w:rsidRPr="000E1B7B" w:rsidRDefault="00EC1CE9" w:rsidP="008734B0">
            <w:pPr>
              <w:autoSpaceDE w:val="0"/>
              <w:autoSpaceDN w:val="0"/>
              <w:adjustRightInd w:val="0"/>
              <w:spacing w:after="0" w:line="240" w:lineRule="auto"/>
              <w:jc w:val="both"/>
              <w:rPr>
                <w:rFonts w:ascii="TimesNewRomanPSMT" w:hAnsi="TimesNewRomanPSMT" w:cs="TimesNewRomanPSMT"/>
                <w:sz w:val="24"/>
                <w:szCs w:val="24"/>
              </w:rPr>
            </w:pPr>
          </w:p>
        </w:tc>
        <w:tc>
          <w:tcPr>
            <w:tcW w:w="0" w:type="auto"/>
            <w:shd w:val="clear" w:color="auto" w:fill="auto"/>
          </w:tcPr>
          <w:p w:rsidR="00EC1CE9" w:rsidRPr="000E1B7B" w:rsidRDefault="00EC1CE9" w:rsidP="008734B0">
            <w:pPr>
              <w:autoSpaceDE w:val="0"/>
              <w:autoSpaceDN w:val="0"/>
              <w:adjustRightInd w:val="0"/>
              <w:spacing w:after="0" w:line="240" w:lineRule="auto"/>
              <w:jc w:val="both"/>
              <w:rPr>
                <w:rFonts w:ascii="TimesNewRomanPSMT" w:hAnsi="TimesNewRomanPSMT" w:cs="TimesNewRomanPSMT"/>
                <w:sz w:val="24"/>
                <w:szCs w:val="24"/>
              </w:rPr>
            </w:pPr>
          </w:p>
        </w:tc>
        <w:tc>
          <w:tcPr>
            <w:tcW w:w="0" w:type="auto"/>
            <w:shd w:val="clear" w:color="auto" w:fill="auto"/>
          </w:tcPr>
          <w:p w:rsidR="00EC1CE9" w:rsidRPr="000E1B7B" w:rsidRDefault="00EC1CE9" w:rsidP="008734B0">
            <w:pPr>
              <w:autoSpaceDE w:val="0"/>
              <w:autoSpaceDN w:val="0"/>
              <w:adjustRightInd w:val="0"/>
              <w:spacing w:after="0" w:line="240" w:lineRule="auto"/>
              <w:jc w:val="both"/>
              <w:rPr>
                <w:rFonts w:ascii="TimesNewRomanPSMT" w:hAnsi="TimesNewRomanPSMT" w:cs="TimesNewRomanPSMT"/>
                <w:sz w:val="24"/>
                <w:szCs w:val="24"/>
              </w:rPr>
            </w:pPr>
          </w:p>
        </w:tc>
        <w:tc>
          <w:tcPr>
            <w:tcW w:w="0" w:type="auto"/>
            <w:shd w:val="clear" w:color="auto" w:fill="auto"/>
          </w:tcPr>
          <w:p w:rsidR="00EC1CE9" w:rsidRPr="000E1B7B" w:rsidRDefault="00EC1CE9" w:rsidP="008734B0">
            <w:pPr>
              <w:autoSpaceDE w:val="0"/>
              <w:autoSpaceDN w:val="0"/>
              <w:adjustRightInd w:val="0"/>
              <w:spacing w:after="0" w:line="240" w:lineRule="auto"/>
              <w:jc w:val="both"/>
              <w:rPr>
                <w:rFonts w:ascii="TimesNewRomanPSMT" w:hAnsi="TimesNewRomanPSMT" w:cs="TimesNewRomanPSMT"/>
                <w:sz w:val="24"/>
                <w:szCs w:val="24"/>
              </w:rPr>
            </w:pPr>
          </w:p>
        </w:tc>
      </w:tr>
      <w:tr w:rsidR="00EC1CE9" w:rsidRPr="000E1B7B" w:rsidTr="00EC1CE9">
        <w:tc>
          <w:tcPr>
            <w:tcW w:w="0" w:type="auto"/>
            <w:shd w:val="clear" w:color="auto" w:fill="auto"/>
          </w:tcPr>
          <w:p w:rsidR="00EC1CE9" w:rsidRPr="000E1B7B" w:rsidRDefault="00EC1CE9" w:rsidP="008734B0">
            <w:pPr>
              <w:autoSpaceDE w:val="0"/>
              <w:autoSpaceDN w:val="0"/>
              <w:adjustRightInd w:val="0"/>
              <w:spacing w:after="0" w:line="240" w:lineRule="auto"/>
              <w:jc w:val="both"/>
              <w:rPr>
                <w:rFonts w:ascii="TimesNewRomanPSMT" w:hAnsi="TimesNewRomanPSMT" w:cs="TimesNewRomanPSMT"/>
                <w:sz w:val="24"/>
                <w:szCs w:val="24"/>
              </w:rPr>
            </w:pPr>
          </w:p>
        </w:tc>
        <w:tc>
          <w:tcPr>
            <w:tcW w:w="0" w:type="auto"/>
            <w:shd w:val="clear" w:color="auto" w:fill="auto"/>
          </w:tcPr>
          <w:p w:rsidR="00EC1CE9" w:rsidRPr="000E1B7B" w:rsidRDefault="00EC1CE9" w:rsidP="008734B0">
            <w:pPr>
              <w:autoSpaceDE w:val="0"/>
              <w:autoSpaceDN w:val="0"/>
              <w:adjustRightInd w:val="0"/>
              <w:spacing w:after="0" w:line="240" w:lineRule="auto"/>
              <w:jc w:val="both"/>
              <w:rPr>
                <w:rFonts w:ascii="TimesNewRomanPSMT" w:hAnsi="TimesNewRomanPSMT" w:cs="TimesNewRomanPSMT"/>
                <w:sz w:val="24"/>
                <w:szCs w:val="24"/>
              </w:rPr>
            </w:pPr>
          </w:p>
        </w:tc>
        <w:tc>
          <w:tcPr>
            <w:tcW w:w="0" w:type="auto"/>
          </w:tcPr>
          <w:p w:rsidR="00EC1CE9" w:rsidRPr="000E1B7B" w:rsidRDefault="00EC1CE9" w:rsidP="008734B0">
            <w:pPr>
              <w:autoSpaceDE w:val="0"/>
              <w:autoSpaceDN w:val="0"/>
              <w:adjustRightInd w:val="0"/>
              <w:spacing w:after="0" w:line="240" w:lineRule="auto"/>
              <w:jc w:val="both"/>
              <w:rPr>
                <w:rFonts w:ascii="TimesNewRomanPSMT" w:hAnsi="TimesNewRomanPSMT" w:cs="TimesNewRomanPSMT"/>
                <w:sz w:val="24"/>
                <w:szCs w:val="24"/>
              </w:rPr>
            </w:pPr>
          </w:p>
        </w:tc>
        <w:tc>
          <w:tcPr>
            <w:tcW w:w="0" w:type="auto"/>
          </w:tcPr>
          <w:p w:rsidR="00EC1CE9" w:rsidRPr="000E1B7B" w:rsidRDefault="00EC1CE9" w:rsidP="008734B0">
            <w:pPr>
              <w:autoSpaceDE w:val="0"/>
              <w:autoSpaceDN w:val="0"/>
              <w:adjustRightInd w:val="0"/>
              <w:spacing w:after="0" w:line="240" w:lineRule="auto"/>
              <w:jc w:val="both"/>
              <w:rPr>
                <w:rFonts w:ascii="TimesNewRomanPSMT" w:hAnsi="TimesNewRomanPSMT" w:cs="TimesNewRomanPSMT"/>
                <w:sz w:val="24"/>
                <w:szCs w:val="24"/>
              </w:rPr>
            </w:pPr>
          </w:p>
        </w:tc>
        <w:tc>
          <w:tcPr>
            <w:tcW w:w="0" w:type="auto"/>
            <w:shd w:val="clear" w:color="auto" w:fill="auto"/>
          </w:tcPr>
          <w:p w:rsidR="00EC1CE9" w:rsidRPr="000E1B7B" w:rsidRDefault="00EC1CE9" w:rsidP="008734B0">
            <w:pPr>
              <w:autoSpaceDE w:val="0"/>
              <w:autoSpaceDN w:val="0"/>
              <w:adjustRightInd w:val="0"/>
              <w:spacing w:after="0" w:line="240" w:lineRule="auto"/>
              <w:jc w:val="both"/>
              <w:rPr>
                <w:rFonts w:ascii="TimesNewRomanPSMT" w:hAnsi="TimesNewRomanPSMT" w:cs="TimesNewRomanPSMT"/>
                <w:sz w:val="24"/>
                <w:szCs w:val="24"/>
              </w:rPr>
            </w:pPr>
          </w:p>
        </w:tc>
        <w:tc>
          <w:tcPr>
            <w:tcW w:w="0" w:type="auto"/>
            <w:shd w:val="clear" w:color="auto" w:fill="auto"/>
          </w:tcPr>
          <w:p w:rsidR="00EC1CE9" w:rsidRPr="000E1B7B" w:rsidRDefault="00EC1CE9" w:rsidP="008734B0">
            <w:pPr>
              <w:autoSpaceDE w:val="0"/>
              <w:autoSpaceDN w:val="0"/>
              <w:adjustRightInd w:val="0"/>
              <w:spacing w:after="0" w:line="240" w:lineRule="auto"/>
              <w:jc w:val="both"/>
              <w:rPr>
                <w:rFonts w:ascii="TimesNewRomanPSMT" w:hAnsi="TimesNewRomanPSMT" w:cs="TimesNewRomanPSMT"/>
                <w:sz w:val="24"/>
                <w:szCs w:val="24"/>
              </w:rPr>
            </w:pPr>
          </w:p>
        </w:tc>
        <w:tc>
          <w:tcPr>
            <w:tcW w:w="0" w:type="auto"/>
            <w:shd w:val="clear" w:color="auto" w:fill="auto"/>
          </w:tcPr>
          <w:p w:rsidR="00EC1CE9" w:rsidRPr="000E1B7B" w:rsidRDefault="00EC1CE9" w:rsidP="008734B0">
            <w:pPr>
              <w:autoSpaceDE w:val="0"/>
              <w:autoSpaceDN w:val="0"/>
              <w:adjustRightInd w:val="0"/>
              <w:spacing w:after="0" w:line="240" w:lineRule="auto"/>
              <w:jc w:val="both"/>
              <w:rPr>
                <w:rFonts w:ascii="TimesNewRomanPSMT" w:hAnsi="TimesNewRomanPSMT" w:cs="TimesNewRomanPSMT"/>
                <w:sz w:val="24"/>
                <w:szCs w:val="24"/>
              </w:rPr>
            </w:pPr>
          </w:p>
        </w:tc>
        <w:tc>
          <w:tcPr>
            <w:tcW w:w="0" w:type="auto"/>
            <w:shd w:val="clear" w:color="auto" w:fill="auto"/>
          </w:tcPr>
          <w:p w:rsidR="00EC1CE9" w:rsidRPr="000E1B7B" w:rsidRDefault="00EC1CE9" w:rsidP="008734B0">
            <w:pPr>
              <w:autoSpaceDE w:val="0"/>
              <w:autoSpaceDN w:val="0"/>
              <w:adjustRightInd w:val="0"/>
              <w:spacing w:after="0" w:line="240" w:lineRule="auto"/>
              <w:jc w:val="both"/>
              <w:rPr>
                <w:rFonts w:ascii="TimesNewRomanPSMT" w:hAnsi="TimesNewRomanPSMT" w:cs="TimesNewRomanPSMT"/>
                <w:sz w:val="24"/>
                <w:szCs w:val="24"/>
              </w:rPr>
            </w:pPr>
          </w:p>
        </w:tc>
      </w:tr>
      <w:tr w:rsidR="00EC1CE9" w:rsidRPr="000E1B7B" w:rsidTr="00EC1CE9">
        <w:tc>
          <w:tcPr>
            <w:tcW w:w="0" w:type="auto"/>
            <w:shd w:val="clear" w:color="auto" w:fill="auto"/>
          </w:tcPr>
          <w:p w:rsidR="00EC1CE9" w:rsidRPr="000E1B7B" w:rsidRDefault="00EC1CE9" w:rsidP="008734B0">
            <w:pPr>
              <w:autoSpaceDE w:val="0"/>
              <w:autoSpaceDN w:val="0"/>
              <w:adjustRightInd w:val="0"/>
              <w:spacing w:after="0" w:line="240" w:lineRule="auto"/>
              <w:jc w:val="both"/>
              <w:rPr>
                <w:rFonts w:ascii="TimesNewRomanPSMT" w:hAnsi="TimesNewRomanPSMT" w:cs="TimesNewRomanPSMT"/>
                <w:sz w:val="24"/>
                <w:szCs w:val="24"/>
              </w:rPr>
            </w:pPr>
          </w:p>
        </w:tc>
        <w:tc>
          <w:tcPr>
            <w:tcW w:w="0" w:type="auto"/>
            <w:shd w:val="clear" w:color="auto" w:fill="auto"/>
          </w:tcPr>
          <w:p w:rsidR="00EC1CE9" w:rsidRPr="000E1B7B" w:rsidRDefault="00EC1CE9" w:rsidP="008734B0">
            <w:pPr>
              <w:autoSpaceDE w:val="0"/>
              <w:autoSpaceDN w:val="0"/>
              <w:adjustRightInd w:val="0"/>
              <w:spacing w:after="0" w:line="240" w:lineRule="auto"/>
              <w:jc w:val="both"/>
              <w:rPr>
                <w:rFonts w:ascii="TimesNewRomanPSMT" w:hAnsi="TimesNewRomanPSMT" w:cs="TimesNewRomanPSMT"/>
                <w:sz w:val="24"/>
                <w:szCs w:val="24"/>
              </w:rPr>
            </w:pPr>
          </w:p>
        </w:tc>
        <w:tc>
          <w:tcPr>
            <w:tcW w:w="0" w:type="auto"/>
          </w:tcPr>
          <w:p w:rsidR="00EC1CE9" w:rsidRPr="000E1B7B" w:rsidRDefault="00EC1CE9" w:rsidP="008734B0">
            <w:pPr>
              <w:autoSpaceDE w:val="0"/>
              <w:autoSpaceDN w:val="0"/>
              <w:adjustRightInd w:val="0"/>
              <w:spacing w:after="0" w:line="240" w:lineRule="auto"/>
              <w:jc w:val="both"/>
              <w:rPr>
                <w:rFonts w:ascii="TimesNewRomanPSMT" w:hAnsi="TimesNewRomanPSMT" w:cs="TimesNewRomanPSMT"/>
                <w:sz w:val="24"/>
                <w:szCs w:val="24"/>
              </w:rPr>
            </w:pPr>
          </w:p>
        </w:tc>
        <w:tc>
          <w:tcPr>
            <w:tcW w:w="0" w:type="auto"/>
          </w:tcPr>
          <w:p w:rsidR="00EC1CE9" w:rsidRPr="000E1B7B" w:rsidRDefault="00EC1CE9" w:rsidP="008734B0">
            <w:pPr>
              <w:autoSpaceDE w:val="0"/>
              <w:autoSpaceDN w:val="0"/>
              <w:adjustRightInd w:val="0"/>
              <w:spacing w:after="0" w:line="240" w:lineRule="auto"/>
              <w:jc w:val="both"/>
              <w:rPr>
                <w:rFonts w:ascii="TimesNewRomanPSMT" w:hAnsi="TimesNewRomanPSMT" w:cs="TimesNewRomanPSMT"/>
                <w:sz w:val="24"/>
                <w:szCs w:val="24"/>
              </w:rPr>
            </w:pPr>
          </w:p>
        </w:tc>
        <w:tc>
          <w:tcPr>
            <w:tcW w:w="0" w:type="auto"/>
            <w:shd w:val="clear" w:color="auto" w:fill="auto"/>
          </w:tcPr>
          <w:p w:rsidR="00EC1CE9" w:rsidRPr="000E1B7B" w:rsidRDefault="00EC1CE9" w:rsidP="008734B0">
            <w:pPr>
              <w:autoSpaceDE w:val="0"/>
              <w:autoSpaceDN w:val="0"/>
              <w:adjustRightInd w:val="0"/>
              <w:spacing w:after="0" w:line="240" w:lineRule="auto"/>
              <w:jc w:val="both"/>
              <w:rPr>
                <w:rFonts w:ascii="TimesNewRomanPSMT" w:hAnsi="TimesNewRomanPSMT" w:cs="TimesNewRomanPSMT"/>
                <w:sz w:val="24"/>
                <w:szCs w:val="24"/>
              </w:rPr>
            </w:pPr>
          </w:p>
        </w:tc>
        <w:tc>
          <w:tcPr>
            <w:tcW w:w="0" w:type="auto"/>
            <w:shd w:val="clear" w:color="auto" w:fill="auto"/>
          </w:tcPr>
          <w:p w:rsidR="00EC1CE9" w:rsidRPr="000E1B7B" w:rsidRDefault="00EC1CE9" w:rsidP="008734B0">
            <w:pPr>
              <w:autoSpaceDE w:val="0"/>
              <w:autoSpaceDN w:val="0"/>
              <w:adjustRightInd w:val="0"/>
              <w:spacing w:after="0" w:line="240" w:lineRule="auto"/>
              <w:jc w:val="both"/>
              <w:rPr>
                <w:rFonts w:ascii="TimesNewRomanPSMT" w:hAnsi="TimesNewRomanPSMT" w:cs="TimesNewRomanPSMT"/>
                <w:sz w:val="24"/>
                <w:szCs w:val="24"/>
              </w:rPr>
            </w:pPr>
          </w:p>
        </w:tc>
        <w:tc>
          <w:tcPr>
            <w:tcW w:w="0" w:type="auto"/>
            <w:shd w:val="clear" w:color="auto" w:fill="auto"/>
          </w:tcPr>
          <w:p w:rsidR="00EC1CE9" w:rsidRPr="000E1B7B" w:rsidRDefault="00EC1CE9" w:rsidP="008734B0">
            <w:pPr>
              <w:autoSpaceDE w:val="0"/>
              <w:autoSpaceDN w:val="0"/>
              <w:adjustRightInd w:val="0"/>
              <w:spacing w:after="0" w:line="240" w:lineRule="auto"/>
              <w:jc w:val="both"/>
              <w:rPr>
                <w:rFonts w:ascii="TimesNewRomanPSMT" w:hAnsi="TimesNewRomanPSMT" w:cs="TimesNewRomanPSMT"/>
                <w:sz w:val="24"/>
                <w:szCs w:val="24"/>
              </w:rPr>
            </w:pPr>
          </w:p>
        </w:tc>
        <w:tc>
          <w:tcPr>
            <w:tcW w:w="0" w:type="auto"/>
            <w:shd w:val="clear" w:color="auto" w:fill="auto"/>
          </w:tcPr>
          <w:p w:rsidR="00EC1CE9" w:rsidRPr="000E1B7B" w:rsidRDefault="00EC1CE9" w:rsidP="008734B0">
            <w:pPr>
              <w:autoSpaceDE w:val="0"/>
              <w:autoSpaceDN w:val="0"/>
              <w:adjustRightInd w:val="0"/>
              <w:spacing w:after="0" w:line="240" w:lineRule="auto"/>
              <w:jc w:val="both"/>
              <w:rPr>
                <w:rFonts w:ascii="TimesNewRomanPSMT" w:hAnsi="TimesNewRomanPSMT" w:cs="TimesNewRomanPSMT"/>
                <w:sz w:val="24"/>
                <w:szCs w:val="24"/>
              </w:rPr>
            </w:pPr>
          </w:p>
        </w:tc>
      </w:tr>
      <w:tr w:rsidR="00EC1CE9" w:rsidRPr="000E1B7B" w:rsidTr="00EC1CE9">
        <w:tc>
          <w:tcPr>
            <w:tcW w:w="0" w:type="auto"/>
            <w:shd w:val="clear" w:color="auto" w:fill="auto"/>
          </w:tcPr>
          <w:p w:rsidR="00EC1CE9" w:rsidRPr="000E1B7B" w:rsidRDefault="00EC1CE9" w:rsidP="008734B0">
            <w:pPr>
              <w:autoSpaceDE w:val="0"/>
              <w:autoSpaceDN w:val="0"/>
              <w:adjustRightInd w:val="0"/>
              <w:spacing w:after="0" w:line="240" w:lineRule="auto"/>
              <w:jc w:val="both"/>
              <w:rPr>
                <w:rFonts w:ascii="TimesNewRomanPSMT" w:hAnsi="TimesNewRomanPSMT" w:cs="TimesNewRomanPSMT"/>
                <w:sz w:val="24"/>
                <w:szCs w:val="24"/>
              </w:rPr>
            </w:pPr>
          </w:p>
        </w:tc>
        <w:tc>
          <w:tcPr>
            <w:tcW w:w="0" w:type="auto"/>
            <w:shd w:val="clear" w:color="auto" w:fill="auto"/>
          </w:tcPr>
          <w:p w:rsidR="00EC1CE9" w:rsidRPr="000E1B7B" w:rsidRDefault="00EC1CE9" w:rsidP="008734B0">
            <w:pPr>
              <w:autoSpaceDE w:val="0"/>
              <w:autoSpaceDN w:val="0"/>
              <w:adjustRightInd w:val="0"/>
              <w:spacing w:after="0" w:line="240" w:lineRule="auto"/>
              <w:jc w:val="both"/>
              <w:rPr>
                <w:rFonts w:ascii="TimesNewRomanPSMT" w:hAnsi="TimesNewRomanPSMT" w:cs="TimesNewRomanPSMT"/>
                <w:sz w:val="24"/>
                <w:szCs w:val="24"/>
              </w:rPr>
            </w:pPr>
          </w:p>
        </w:tc>
        <w:tc>
          <w:tcPr>
            <w:tcW w:w="0" w:type="auto"/>
          </w:tcPr>
          <w:p w:rsidR="00EC1CE9" w:rsidRPr="000E1B7B" w:rsidRDefault="00EC1CE9" w:rsidP="008734B0">
            <w:pPr>
              <w:autoSpaceDE w:val="0"/>
              <w:autoSpaceDN w:val="0"/>
              <w:adjustRightInd w:val="0"/>
              <w:spacing w:after="0" w:line="240" w:lineRule="auto"/>
              <w:jc w:val="both"/>
              <w:rPr>
                <w:rFonts w:ascii="TimesNewRomanPSMT" w:hAnsi="TimesNewRomanPSMT" w:cs="TimesNewRomanPSMT"/>
                <w:sz w:val="24"/>
                <w:szCs w:val="24"/>
              </w:rPr>
            </w:pPr>
          </w:p>
        </w:tc>
        <w:tc>
          <w:tcPr>
            <w:tcW w:w="0" w:type="auto"/>
          </w:tcPr>
          <w:p w:rsidR="00EC1CE9" w:rsidRPr="000E1B7B" w:rsidRDefault="00EC1CE9" w:rsidP="008734B0">
            <w:pPr>
              <w:autoSpaceDE w:val="0"/>
              <w:autoSpaceDN w:val="0"/>
              <w:adjustRightInd w:val="0"/>
              <w:spacing w:after="0" w:line="240" w:lineRule="auto"/>
              <w:jc w:val="both"/>
              <w:rPr>
                <w:rFonts w:ascii="TimesNewRomanPSMT" w:hAnsi="TimesNewRomanPSMT" w:cs="TimesNewRomanPSMT"/>
                <w:sz w:val="24"/>
                <w:szCs w:val="24"/>
              </w:rPr>
            </w:pPr>
          </w:p>
        </w:tc>
        <w:tc>
          <w:tcPr>
            <w:tcW w:w="0" w:type="auto"/>
            <w:shd w:val="clear" w:color="auto" w:fill="auto"/>
          </w:tcPr>
          <w:p w:rsidR="00EC1CE9" w:rsidRPr="000E1B7B" w:rsidRDefault="00EC1CE9" w:rsidP="008734B0">
            <w:pPr>
              <w:autoSpaceDE w:val="0"/>
              <w:autoSpaceDN w:val="0"/>
              <w:adjustRightInd w:val="0"/>
              <w:spacing w:after="0" w:line="240" w:lineRule="auto"/>
              <w:jc w:val="both"/>
              <w:rPr>
                <w:rFonts w:ascii="TimesNewRomanPSMT" w:hAnsi="TimesNewRomanPSMT" w:cs="TimesNewRomanPSMT"/>
                <w:sz w:val="24"/>
                <w:szCs w:val="24"/>
              </w:rPr>
            </w:pPr>
          </w:p>
        </w:tc>
        <w:tc>
          <w:tcPr>
            <w:tcW w:w="0" w:type="auto"/>
            <w:shd w:val="clear" w:color="auto" w:fill="auto"/>
          </w:tcPr>
          <w:p w:rsidR="00EC1CE9" w:rsidRPr="000E1B7B" w:rsidRDefault="00EC1CE9" w:rsidP="008734B0">
            <w:pPr>
              <w:autoSpaceDE w:val="0"/>
              <w:autoSpaceDN w:val="0"/>
              <w:adjustRightInd w:val="0"/>
              <w:spacing w:after="0" w:line="240" w:lineRule="auto"/>
              <w:jc w:val="both"/>
              <w:rPr>
                <w:rFonts w:ascii="TimesNewRomanPSMT" w:hAnsi="TimesNewRomanPSMT" w:cs="TimesNewRomanPSMT"/>
                <w:sz w:val="24"/>
                <w:szCs w:val="24"/>
              </w:rPr>
            </w:pPr>
          </w:p>
        </w:tc>
        <w:tc>
          <w:tcPr>
            <w:tcW w:w="0" w:type="auto"/>
            <w:shd w:val="clear" w:color="auto" w:fill="auto"/>
          </w:tcPr>
          <w:p w:rsidR="00EC1CE9" w:rsidRPr="000E1B7B" w:rsidRDefault="00EC1CE9" w:rsidP="008734B0">
            <w:pPr>
              <w:autoSpaceDE w:val="0"/>
              <w:autoSpaceDN w:val="0"/>
              <w:adjustRightInd w:val="0"/>
              <w:spacing w:after="0" w:line="240" w:lineRule="auto"/>
              <w:jc w:val="both"/>
              <w:rPr>
                <w:rFonts w:ascii="TimesNewRomanPSMT" w:hAnsi="TimesNewRomanPSMT" w:cs="TimesNewRomanPSMT"/>
                <w:sz w:val="24"/>
                <w:szCs w:val="24"/>
              </w:rPr>
            </w:pPr>
          </w:p>
        </w:tc>
        <w:tc>
          <w:tcPr>
            <w:tcW w:w="0" w:type="auto"/>
            <w:shd w:val="clear" w:color="auto" w:fill="auto"/>
          </w:tcPr>
          <w:p w:rsidR="00EC1CE9" w:rsidRPr="000E1B7B" w:rsidRDefault="00EC1CE9" w:rsidP="008734B0">
            <w:pPr>
              <w:autoSpaceDE w:val="0"/>
              <w:autoSpaceDN w:val="0"/>
              <w:adjustRightInd w:val="0"/>
              <w:spacing w:after="0" w:line="240" w:lineRule="auto"/>
              <w:jc w:val="both"/>
              <w:rPr>
                <w:rFonts w:ascii="TimesNewRomanPSMT" w:hAnsi="TimesNewRomanPSMT" w:cs="TimesNewRomanPSMT"/>
                <w:sz w:val="24"/>
                <w:szCs w:val="24"/>
              </w:rPr>
            </w:pPr>
          </w:p>
        </w:tc>
      </w:tr>
      <w:tr w:rsidR="00EC1CE9" w:rsidRPr="000E1B7B" w:rsidTr="00EC1CE9">
        <w:tc>
          <w:tcPr>
            <w:tcW w:w="0" w:type="auto"/>
            <w:shd w:val="clear" w:color="auto" w:fill="auto"/>
          </w:tcPr>
          <w:p w:rsidR="00EC1CE9" w:rsidRPr="000E1B7B" w:rsidRDefault="00EC1CE9" w:rsidP="008734B0">
            <w:pPr>
              <w:autoSpaceDE w:val="0"/>
              <w:autoSpaceDN w:val="0"/>
              <w:adjustRightInd w:val="0"/>
              <w:spacing w:after="0" w:line="240" w:lineRule="auto"/>
              <w:jc w:val="both"/>
              <w:rPr>
                <w:rFonts w:ascii="TimesNewRomanPSMT" w:hAnsi="TimesNewRomanPSMT" w:cs="TimesNewRomanPSMT"/>
                <w:sz w:val="24"/>
                <w:szCs w:val="24"/>
              </w:rPr>
            </w:pPr>
          </w:p>
        </w:tc>
        <w:tc>
          <w:tcPr>
            <w:tcW w:w="0" w:type="auto"/>
            <w:shd w:val="clear" w:color="auto" w:fill="auto"/>
          </w:tcPr>
          <w:p w:rsidR="00EC1CE9" w:rsidRPr="000E1B7B" w:rsidRDefault="00EC1CE9" w:rsidP="008734B0">
            <w:pPr>
              <w:autoSpaceDE w:val="0"/>
              <w:autoSpaceDN w:val="0"/>
              <w:adjustRightInd w:val="0"/>
              <w:spacing w:after="0" w:line="240" w:lineRule="auto"/>
              <w:jc w:val="both"/>
              <w:rPr>
                <w:rFonts w:ascii="TimesNewRomanPSMT" w:hAnsi="TimesNewRomanPSMT" w:cs="TimesNewRomanPSMT"/>
                <w:sz w:val="24"/>
                <w:szCs w:val="24"/>
              </w:rPr>
            </w:pPr>
          </w:p>
        </w:tc>
        <w:tc>
          <w:tcPr>
            <w:tcW w:w="0" w:type="auto"/>
          </w:tcPr>
          <w:p w:rsidR="00EC1CE9" w:rsidRPr="000E1B7B" w:rsidRDefault="00EC1CE9" w:rsidP="008734B0">
            <w:pPr>
              <w:autoSpaceDE w:val="0"/>
              <w:autoSpaceDN w:val="0"/>
              <w:adjustRightInd w:val="0"/>
              <w:spacing w:after="0" w:line="240" w:lineRule="auto"/>
              <w:jc w:val="both"/>
              <w:rPr>
                <w:rFonts w:ascii="TimesNewRomanPSMT" w:hAnsi="TimesNewRomanPSMT" w:cs="TimesNewRomanPSMT"/>
                <w:sz w:val="24"/>
                <w:szCs w:val="24"/>
              </w:rPr>
            </w:pPr>
          </w:p>
        </w:tc>
        <w:tc>
          <w:tcPr>
            <w:tcW w:w="0" w:type="auto"/>
          </w:tcPr>
          <w:p w:rsidR="00EC1CE9" w:rsidRPr="000E1B7B" w:rsidRDefault="00EC1CE9" w:rsidP="008734B0">
            <w:pPr>
              <w:autoSpaceDE w:val="0"/>
              <w:autoSpaceDN w:val="0"/>
              <w:adjustRightInd w:val="0"/>
              <w:spacing w:after="0" w:line="240" w:lineRule="auto"/>
              <w:jc w:val="both"/>
              <w:rPr>
                <w:rFonts w:ascii="TimesNewRomanPSMT" w:hAnsi="TimesNewRomanPSMT" w:cs="TimesNewRomanPSMT"/>
                <w:sz w:val="24"/>
                <w:szCs w:val="24"/>
              </w:rPr>
            </w:pPr>
          </w:p>
        </w:tc>
        <w:tc>
          <w:tcPr>
            <w:tcW w:w="0" w:type="auto"/>
            <w:shd w:val="clear" w:color="auto" w:fill="auto"/>
          </w:tcPr>
          <w:p w:rsidR="00EC1CE9" w:rsidRPr="000E1B7B" w:rsidRDefault="00EC1CE9" w:rsidP="008734B0">
            <w:pPr>
              <w:autoSpaceDE w:val="0"/>
              <w:autoSpaceDN w:val="0"/>
              <w:adjustRightInd w:val="0"/>
              <w:spacing w:after="0" w:line="240" w:lineRule="auto"/>
              <w:jc w:val="both"/>
              <w:rPr>
                <w:rFonts w:ascii="TimesNewRomanPSMT" w:hAnsi="TimesNewRomanPSMT" w:cs="TimesNewRomanPSMT"/>
                <w:sz w:val="24"/>
                <w:szCs w:val="24"/>
              </w:rPr>
            </w:pPr>
          </w:p>
        </w:tc>
        <w:tc>
          <w:tcPr>
            <w:tcW w:w="0" w:type="auto"/>
            <w:shd w:val="clear" w:color="auto" w:fill="auto"/>
          </w:tcPr>
          <w:p w:rsidR="00EC1CE9" w:rsidRPr="000E1B7B" w:rsidRDefault="00EC1CE9" w:rsidP="008734B0">
            <w:pPr>
              <w:autoSpaceDE w:val="0"/>
              <w:autoSpaceDN w:val="0"/>
              <w:adjustRightInd w:val="0"/>
              <w:spacing w:after="0" w:line="240" w:lineRule="auto"/>
              <w:jc w:val="both"/>
              <w:rPr>
                <w:rFonts w:ascii="TimesNewRomanPSMT" w:hAnsi="TimesNewRomanPSMT" w:cs="TimesNewRomanPSMT"/>
                <w:sz w:val="24"/>
                <w:szCs w:val="24"/>
              </w:rPr>
            </w:pPr>
          </w:p>
        </w:tc>
        <w:tc>
          <w:tcPr>
            <w:tcW w:w="0" w:type="auto"/>
            <w:shd w:val="clear" w:color="auto" w:fill="auto"/>
          </w:tcPr>
          <w:p w:rsidR="00EC1CE9" w:rsidRPr="000E1B7B" w:rsidRDefault="00EC1CE9" w:rsidP="008734B0">
            <w:pPr>
              <w:autoSpaceDE w:val="0"/>
              <w:autoSpaceDN w:val="0"/>
              <w:adjustRightInd w:val="0"/>
              <w:spacing w:after="0" w:line="240" w:lineRule="auto"/>
              <w:jc w:val="both"/>
              <w:rPr>
                <w:rFonts w:ascii="TimesNewRomanPSMT" w:hAnsi="TimesNewRomanPSMT" w:cs="TimesNewRomanPSMT"/>
                <w:sz w:val="24"/>
                <w:szCs w:val="24"/>
              </w:rPr>
            </w:pPr>
          </w:p>
        </w:tc>
        <w:tc>
          <w:tcPr>
            <w:tcW w:w="0" w:type="auto"/>
            <w:shd w:val="clear" w:color="auto" w:fill="auto"/>
          </w:tcPr>
          <w:p w:rsidR="00EC1CE9" w:rsidRPr="000E1B7B" w:rsidRDefault="00EC1CE9" w:rsidP="008734B0">
            <w:pPr>
              <w:autoSpaceDE w:val="0"/>
              <w:autoSpaceDN w:val="0"/>
              <w:adjustRightInd w:val="0"/>
              <w:spacing w:after="0" w:line="240" w:lineRule="auto"/>
              <w:jc w:val="both"/>
              <w:rPr>
                <w:rFonts w:ascii="TimesNewRomanPSMT" w:hAnsi="TimesNewRomanPSMT" w:cs="TimesNewRomanPSMT"/>
                <w:sz w:val="24"/>
                <w:szCs w:val="24"/>
              </w:rPr>
            </w:pPr>
          </w:p>
        </w:tc>
      </w:tr>
      <w:tr w:rsidR="00EC1CE9" w:rsidRPr="000E1B7B" w:rsidTr="00EC1CE9">
        <w:tc>
          <w:tcPr>
            <w:tcW w:w="0" w:type="auto"/>
            <w:shd w:val="clear" w:color="auto" w:fill="auto"/>
          </w:tcPr>
          <w:p w:rsidR="00EC1CE9" w:rsidRPr="000E1B7B" w:rsidRDefault="00EC1CE9" w:rsidP="008734B0">
            <w:pPr>
              <w:autoSpaceDE w:val="0"/>
              <w:autoSpaceDN w:val="0"/>
              <w:adjustRightInd w:val="0"/>
              <w:spacing w:after="0" w:line="240" w:lineRule="auto"/>
              <w:jc w:val="both"/>
              <w:rPr>
                <w:rFonts w:ascii="TimesNewRomanPSMT" w:hAnsi="TimesNewRomanPSMT" w:cs="TimesNewRomanPSMT"/>
                <w:sz w:val="24"/>
                <w:szCs w:val="24"/>
              </w:rPr>
            </w:pPr>
          </w:p>
        </w:tc>
        <w:tc>
          <w:tcPr>
            <w:tcW w:w="0" w:type="auto"/>
            <w:shd w:val="clear" w:color="auto" w:fill="auto"/>
          </w:tcPr>
          <w:p w:rsidR="00EC1CE9" w:rsidRPr="000E1B7B" w:rsidRDefault="00EC1CE9" w:rsidP="008734B0">
            <w:pPr>
              <w:autoSpaceDE w:val="0"/>
              <w:autoSpaceDN w:val="0"/>
              <w:adjustRightInd w:val="0"/>
              <w:spacing w:after="0" w:line="240" w:lineRule="auto"/>
              <w:jc w:val="both"/>
              <w:rPr>
                <w:rFonts w:ascii="TimesNewRomanPSMT" w:hAnsi="TimesNewRomanPSMT" w:cs="TimesNewRomanPSMT"/>
                <w:sz w:val="24"/>
                <w:szCs w:val="24"/>
              </w:rPr>
            </w:pPr>
          </w:p>
        </w:tc>
        <w:tc>
          <w:tcPr>
            <w:tcW w:w="0" w:type="auto"/>
          </w:tcPr>
          <w:p w:rsidR="00EC1CE9" w:rsidRPr="000E1B7B" w:rsidRDefault="00EC1CE9" w:rsidP="008734B0">
            <w:pPr>
              <w:autoSpaceDE w:val="0"/>
              <w:autoSpaceDN w:val="0"/>
              <w:adjustRightInd w:val="0"/>
              <w:spacing w:after="0" w:line="240" w:lineRule="auto"/>
              <w:jc w:val="both"/>
              <w:rPr>
                <w:rFonts w:ascii="TimesNewRomanPSMT" w:hAnsi="TimesNewRomanPSMT" w:cs="TimesNewRomanPSMT"/>
                <w:sz w:val="24"/>
                <w:szCs w:val="24"/>
              </w:rPr>
            </w:pPr>
          </w:p>
        </w:tc>
        <w:tc>
          <w:tcPr>
            <w:tcW w:w="0" w:type="auto"/>
          </w:tcPr>
          <w:p w:rsidR="00EC1CE9" w:rsidRPr="000E1B7B" w:rsidRDefault="00EC1CE9" w:rsidP="008734B0">
            <w:pPr>
              <w:autoSpaceDE w:val="0"/>
              <w:autoSpaceDN w:val="0"/>
              <w:adjustRightInd w:val="0"/>
              <w:spacing w:after="0" w:line="240" w:lineRule="auto"/>
              <w:jc w:val="both"/>
              <w:rPr>
                <w:rFonts w:ascii="TimesNewRomanPSMT" w:hAnsi="TimesNewRomanPSMT" w:cs="TimesNewRomanPSMT"/>
                <w:sz w:val="24"/>
                <w:szCs w:val="24"/>
              </w:rPr>
            </w:pPr>
          </w:p>
        </w:tc>
        <w:tc>
          <w:tcPr>
            <w:tcW w:w="0" w:type="auto"/>
            <w:shd w:val="clear" w:color="auto" w:fill="auto"/>
          </w:tcPr>
          <w:p w:rsidR="00EC1CE9" w:rsidRPr="000E1B7B" w:rsidRDefault="00EC1CE9" w:rsidP="008734B0">
            <w:pPr>
              <w:autoSpaceDE w:val="0"/>
              <w:autoSpaceDN w:val="0"/>
              <w:adjustRightInd w:val="0"/>
              <w:spacing w:after="0" w:line="240" w:lineRule="auto"/>
              <w:jc w:val="both"/>
              <w:rPr>
                <w:rFonts w:ascii="TimesNewRomanPSMT" w:hAnsi="TimesNewRomanPSMT" w:cs="TimesNewRomanPSMT"/>
                <w:sz w:val="24"/>
                <w:szCs w:val="24"/>
              </w:rPr>
            </w:pPr>
          </w:p>
        </w:tc>
        <w:tc>
          <w:tcPr>
            <w:tcW w:w="0" w:type="auto"/>
            <w:shd w:val="clear" w:color="auto" w:fill="auto"/>
          </w:tcPr>
          <w:p w:rsidR="00EC1CE9" w:rsidRPr="000E1B7B" w:rsidRDefault="00EC1CE9" w:rsidP="008734B0">
            <w:pPr>
              <w:autoSpaceDE w:val="0"/>
              <w:autoSpaceDN w:val="0"/>
              <w:adjustRightInd w:val="0"/>
              <w:spacing w:after="0" w:line="240" w:lineRule="auto"/>
              <w:jc w:val="both"/>
              <w:rPr>
                <w:rFonts w:ascii="TimesNewRomanPSMT" w:hAnsi="TimesNewRomanPSMT" w:cs="TimesNewRomanPSMT"/>
                <w:sz w:val="24"/>
                <w:szCs w:val="24"/>
              </w:rPr>
            </w:pPr>
          </w:p>
        </w:tc>
        <w:tc>
          <w:tcPr>
            <w:tcW w:w="0" w:type="auto"/>
            <w:shd w:val="clear" w:color="auto" w:fill="auto"/>
          </w:tcPr>
          <w:p w:rsidR="00EC1CE9" w:rsidRPr="000E1B7B" w:rsidRDefault="00EC1CE9" w:rsidP="008734B0">
            <w:pPr>
              <w:autoSpaceDE w:val="0"/>
              <w:autoSpaceDN w:val="0"/>
              <w:adjustRightInd w:val="0"/>
              <w:spacing w:after="0" w:line="240" w:lineRule="auto"/>
              <w:jc w:val="both"/>
              <w:rPr>
                <w:rFonts w:ascii="TimesNewRomanPSMT" w:hAnsi="TimesNewRomanPSMT" w:cs="TimesNewRomanPSMT"/>
                <w:sz w:val="24"/>
                <w:szCs w:val="24"/>
              </w:rPr>
            </w:pPr>
          </w:p>
        </w:tc>
        <w:tc>
          <w:tcPr>
            <w:tcW w:w="0" w:type="auto"/>
            <w:shd w:val="clear" w:color="auto" w:fill="auto"/>
          </w:tcPr>
          <w:p w:rsidR="00EC1CE9" w:rsidRPr="000E1B7B" w:rsidRDefault="00EC1CE9" w:rsidP="008734B0">
            <w:pPr>
              <w:autoSpaceDE w:val="0"/>
              <w:autoSpaceDN w:val="0"/>
              <w:adjustRightInd w:val="0"/>
              <w:spacing w:after="0" w:line="240" w:lineRule="auto"/>
              <w:jc w:val="both"/>
              <w:rPr>
                <w:rFonts w:ascii="TimesNewRomanPSMT" w:hAnsi="TimesNewRomanPSMT" w:cs="TimesNewRomanPSMT"/>
                <w:sz w:val="24"/>
                <w:szCs w:val="24"/>
              </w:rPr>
            </w:pPr>
          </w:p>
        </w:tc>
      </w:tr>
      <w:tr w:rsidR="00EC1CE9" w:rsidRPr="000E1B7B" w:rsidTr="00EC1CE9">
        <w:tc>
          <w:tcPr>
            <w:tcW w:w="0" w:type="auto"/>
            <w:shd w:val="clear" w:color="auto" w:fill="auto"/>
          </w:tcPr>
          <w:p w:rsidR="00EC1CE9" w:rsidRPr="000E1B7B" w:rsidRDefault="00EC1CE9" w:rsidP="008734B0">
            <w:pPr>
              <w:autoSpaceDE w:val="0"/>
              <w:autoSpaceDN w:val="0"/>
              <w:adjustRightInd w:val="0"/>
              <w:spacing w:after="0" w:line="240" w:lineRule="auto"/>
              <w:jc w:val="both"/>
              <w:rPr>
                <w:rFonts w:ascii="TimesNewRomanPSMT" w:hAnsi="TimesNewRomanPSMT" w:cs="TimesNewRomanPSMT"/>
                <w:sz w:val="24"/>
                <w:szCs w:val="24"/>
              </w:rPr>
            </w:pPr>
          </w:p>
        </w:tc>
        <w:tc>
          <w:tcPr>
            <w:tcW w:w="0" w:type="auto"/>
            <w:shd w:val="clear" w:color="auto" w:fill="auto"/>
          </w:tcPr>
          <w:p w:rsidR="00EC1CE9" w:rsidRPr="000E1B7B" w:rsidRDefault="00EC1CE9" w:rsidP="008734B0">
            <w:pPr>
              <w:autoSpaceDE w:val="0"/>
              <w:autoSpaceDN w:val="0"/>
              <w:adjustRightInd w:val="0"/>
              <w:spacing w:after="0" w:line="240" w:lineRule="auto"/>
              <w:jc w:val="both"/>
              <w:rPr>
                <w:rFonts w:ascii="TimesNewRomanPSMT" w:hAnsi="TimesNewRomanPSMT" w:cs="TimesNewRomanPSMT"/>
                <w:sz w:val="24"/>
                <w:szCs w:val="24"/>
              </w:rPr>
            </w:pPr>
          </w:p>
        </w:tc>
        <w:tc>
          <w:tcPr>
            <w:tcW w:w="0" w:type="auto"/>
          </w:tcPr>
          <w:p w:rsidR="00EC1CE9" w:rsidRPr="000E1B7B" w:rsidRDefault="00EC1CE9" w:rsidP="008734B0">
            <w:pPr>
              <w:autoSpaceDE w:val="0"/>
              <w:autoSpaceDN w:val="0"/>
              <w:adjustRightInd w:val="0"/>
              <w:spacing w:after="0" w:line="240" w:lineRule="auto"/>
              <w:jc w:val="both"/>
              <w:rPr>
                <w:rFonts w:ascii="TimesNewRomanPSMT" w:hAnsi="TimesNewRomanPSMT" w:cs="TimesNewRomanPSMT"/>
                <w:sz w:val="24"/>
                <w:szCs w:val="24"/>
              </w:rPr>
            </w:pPr>
          </w:p>
        </w:tc>
        <w:tc>
          <w:tcPr>
            <w:tcW w:w="0" w:type="auto"/>
          </w:tcPr>
          <w:p w:rsidR="00EC1CE9" w:rsidRPr="000E1B7B" w:rsidRDefault="00EC1CE9" w:rsidP="008734B0">
            <w:pPr>
              <w:autoSpaceDE w:val="0"/>
              <w:autoSpaceDN w:val="0"/>
              <w:adjustRightInd w:val="0"/>
              <w:spacing w:after="0" w:line="240" w:lineRule="auto"/>
              <w:jc w:val="both"/>
              <w:rPr>
                <w:rFonts w:ascii="TimesNewRomanPSMT" w:hAnsi="TimesNewRomanPSMT" w:cs="TimesNewRomanPSMT"/>
                <w:sz w:val="24"/>
                <w:szCs w:val="24"/>
              </w:rPr>
            </w:pPr>
          </w:p>
        </w:tc>
        <w:tc>
          <w:tcPr>
            <w:tcW w:w="0" w:type="auto"/>
            <w:shd w:val="clear" w:color="auto" w:fill="auto"/>
          </w:tcPr>
          <w:p w:rsidR="00EC1CE9" w:rsidRPr="000E1B7B" w:rsidRDefault="00EC1CE9" w:rsidP="008734B0">
            <w:pPr>
              <w:autoSpaceDE w:val="0"/>
              <w:autoSpaceDN w:val="0"/>
              <w:adjustRightInd w:val="0"/>
              <w:spacing w:after="0" w:line="240" w:lineRule="auto"/>
              <w:jc w:val="both"/>
              <w:rPr>
                <w:rFonts w:ascii="TimesNewRomanPSMT" w:hAnsi="TimesNewRomanPSMT" w:cs="TimesNewRomanPSMT"/>
                <w:sz w:val="24"/>
                <w:szCs w:val="24"/>
              </w:rPr>
            </w:pPr>
          </w:p>
        </w:tc>
        <w:tc>
          <w:tcPr>
            <w:tcW w:w="0" w:type="auto"/>
            <w:shd w:val="clear" w:color="auto" w:fill="auto"/>
          </w:tcPr>
          <w:p w:rsidR="00EC1CE9" w:rsidRPr="000E1B7B" w:rsidRDefault="00EC1CE9" w:rsidP="008734B0">
            <w:pPr>
              <w:autoSpaceDE w:val="0"/>
              <w:autoSpaceDN w:val="0"/>
              <w:adjustRightInd w:val="0"/>
              <w:spacing w:after="0" w:line="240" w:lineRule="auto"/>
              <w:jc w:val="both"/>
              <w:rPr>
                <w:rFonts w:ascii="TimesNewRomanPSMT" w:hAnsi="TimesNewRomanPSMT" w:cs="TimesNewRomanPSMT"/>
                <w:sz w:val="24"/>
                <w:szCs w:val="24"/>
              </w:rPr>
            </w:pPr>
          </w:p>
        </w:tc>
        <w:tc>
          <w:tcPr>
            <w:tcW w:w="0" w:type="auto"/>
            <w:shd w:val="clear" w:color="auto" w:fill="auto"/>
          </w:tcPr>
          <w:p w:rsidR="00EC1CE9" w:rsidRPr="000E1B7B" w:rsidRDefault="00EC1CE9" w:rsidP="008734B0">
            <w:pPr>
              <w:autoSpaceDE w:val="0"/>
              <w:autoSpaceDN w:val="0"/>
              <w:adjustRightInd w:val="0"/>
              <w:spacing w:after="0" w:line="240" w:lineRule="auto"/>
              <w:jc w:val="both"/>
              <w:rPr>
                <w:rFonts w:ascii="TimesNewRomanPSMT" w:hAnsi="TimesNewRomanPSMT" w:cs="TimesNewRomanPSMT"/>
                <w:sz w:val="24"/>
                <w:szCs w:val="24"/>
              </w:rPr>
            </w:pPr>
          </w:p>
        </w:tc>
        <w:tc>
          <w:tcPr>
            <w:tcW w:w="0" w:type="auto"/>
            <w:shd w:val="clear" w:color="auto" w:fill="auto"/>
          </w:tcPr>
          <w:p w:rsidR="00EC1CE9" w:rsidRPr="000E1B7B" w:rsidRDefault="00EC1CE9" w:rsidP="008734B0">
            <w:pPr>
              <w:autoSpaceDE w:val="0"/>
              <w:autoSpaceDN w:val="0"/>
              <w:adjustRightInd w:val="0"/>
              <w:spacing w:after="0" w:line="240" w:lineRule="auto"/>
              <w:jc w:val="both"/>
              <w:rPr>
                <w:rFonts w:ascii="TimesNewRomanPSMT" w:hAnsi="TimesNewRomanPSMT" w:cs="TimesNewRomanPSMT"/>
                <w:sz w:val="24"/>
                <w:szCs w:val="24"/>
              </w:rPr>
            </w:pPr>
          </w:p>
        </w:tc>
      </w:tr>
    </w:tbl>
    <w:p w:rsidR="001364C2" w:rsidRDefault="001364C2" w:rsidP="001364C2">
      <w:pPr>
        <w:shd w:val="clear" w:color="auto" w:fill="FFFFFF" w:themeFill="background1"/>
        <w:tabs>
          <w:tab w:val="left" w:pos="1340"/>
        </w:tabs>
        <w:spacing w:after="0"/>
        <w:rPr>
          <w:rFonts w:ascii="Times New Roman" w:hAnsi="Times New Roman" w:cs="Times New Roman"/>
          <w:lang w:eastAsia="fr-FR"/>
        </w:rPr>
      </w:pPr>
    </w:p>
    <w:sectPr w:rsidR="001364C2" w:rsidSect="00C030D5">
      <w:pgSz w:w="11906" w:h="16838"/>
      <w:pgMar w:top="851" w:right="566" w:bottom="1134" w:left="1417"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055AF" w:rsidRDefault="007055AF" w:rsidP="00825620">
      <w:pPr>
        <w:spacing w:after="0" w:line="240" w:lineRule="auto"/>
      </w:pPr>
      <w:r>
        <w:separator/>
      </w:r>
    </w:p>
  </w:endnote>
  <w:endnote w:type="continuationSeparator" w:id="0">
    <w:p w:rsidR="007055AF" w:rsidRDefault="007055AF" w:rsidP="008256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Gras">
    <w:panose1 w:val="00000000000000000000"/>
    <w:charset w:val="00"/>
    <w:family w:val="roman"/>
    <w:notTrueType/>
    <w:pitch w:val="default"/>
  </w:font>
  <w:font w:name="Myriad Pro Black">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MT">
    <w:altName w:val="Symbol"/>
    <w:panose1 w:val="00000000000000000000"/>
    <w:charset w:val="80"/>
    <w:family w:val="auto"/>
    <w:notTrueType/>
    <w:pitch w:val="default"/>
    <w:sig w:usb0="00000003" w:usb1="08070000" w:usb2="00000010" w:usb3="00000000" w:csb0="00020001"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Maiandra GD">
    <w:altName w:val="Copperplate"/>
    <w:panose1 w:val="020E0502030308020204"/>
    <w:charset w:val="00"/>
    <w:family w:val="swiss"/>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Segoe UI">
    <w:altName w:val="Calibri"/>
    <w:panose1 w:val="020B0502040204020203"/>
    <w:charset w:val="00"/>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entury Gothic">
    <w:panose1 w:val="020B0502020202020204"/>
    <w:charset w:val="00"/>
    <w:family w:val="swiss"/>
    <w:pitch w:val="variable"/>
    <w:sig w:usb0="00000287" w:usb1="00000000" w:usb2="00000000" w:usb3="00000000" w:csb0="0000009F" w:csb1="00000000"/>
  </w:font>
  <w:font w:name="Times">
    <w:panose1 w:val="02020603050405020304"/>
    <w:charset w:val="00"/>
    <w:family w:val="roman"/>
    <w:pitch w:val="variable"/>
    <w:sig w:usb0="00000003" w:usb1="00000000" w:usb2="00000000" w:usb3="00000000" w:csb0="00000001" w:csb1="00000000"/>
  </w:font>
  <w:font w:name="Helvetica-Bold">
    <w:altName w:val="Times New Roman"/>
    <w:charset w:val="00"/>
    <w:family w:val="swiss"/>
    <w:pitch w:val="variable"/>
    <w:sig w:usb0="E00002FF" w:usb1="5000785B" w:usb2="00000000" w:usb3="00000000" w:csb0="0000019F" w:csb1="00000000"/>
  </w:font>
  <w:font w:name="Helvetica">
    <w:panose1 w:val="020B0604020202020204"/>
    <w:charset w:val="00"/>
    <w:family w:val="swiss"/>
    <w:pitch w:val="variable"/>
    <w:sig w:usb0="E00002FF" w:usb1="5000785B" w:usb2="00000000" w:usb3="00000000" w:csb0="0000019F" w:csb1="00000000"/>
  </w:font>
  <w:font w:name="Times New Roman Bold">
    <w:altName w:val="Times New Roman"/>
    <w:charset w:val="00"/>
    <w:family w:val="roman"/>
    <w:pitch w:val="variable"/>
    <w:sig w:usb0="E0002AE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hicago">
    <w:altName w:val="Arial"/>
    <w:panose1 w:val="00000000000000000000"/>
    <w:charset w:val="00"/>
    <w:family w:val="swiss"/>
    <w:notTrueType/>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Arial Unicode MS">
    <w:panose1 w:val="020B0604020202020204"/>
    <w:charset w:val="00"/>
    <w:family w:val="swiss"/>
    <w:pitch w:val="variable"/>
    <w:sig w:usb0="F7FFAFFF" w:usb1="E9DFFFFF" w:usb2="0000003F" w:usb3="00000000" w:csb0="003F01FF" w:csb1="00000000"/>
  </w:font>
  <w:font w:name="Comic Sans MS">
    <w:panose1 w:val="030F0702030302020204"/>
    <w:charset w:val="00"/>
    <w:family w:val="script"/>
    <w:pitch w:val="variable"/>
    <w:sig w:usb0="00000287" w:usb1="00000013" w:usb2="00000000" w:usb3="00000000" w:csb0="0000009F" w:csb1="00000000"/>
  </w:font>
  <w:font w:name="Optima">
    <w:charset w:val="00"/>
    <w:family w:val="swiss"/>
    <w:pitch w:val="variable"/>
    <w:sig w:usb0="80000067"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Monotype Corsiva">
    <w:panose1 w:val="03010101010201010101"/>
    <w:charset w:val="00"/>
    <w:family w:val="script"/>
    <w:pitch w:val="variable"/>
    <w:sig w:usb0="00000287" w:usb1="00000000" w:usb2="00000000" w:usb3="00000000" w:csb0="0000009F" w:csb1="00000000"/>
  </w:font>
  <w:font w:name="Bodoni MT">
    <w:altName w:val="Avenir Medium"/>
    <w:panose1 w:val="02070603080606020203"/>
    <w:charset w:val="00"/>
    <w:family w:val="roman"/>
    <w:pitch w:val="variable"/>
    <w:sig w:usb0="00000003" w:usb1="00000000" w:usb2="00000000" w:usb3="00000000" w:csb0="00000001" w:csb1="00000000"/>
  </w:font>
  <w:font w:name="Lucida Handwriting">
    <w:panose1 w:val="03010101010101010101"/>
    <w:charset w:val="00"/>
    <w:family w:val="script"/>
    <w:pitch w:val="variable"/>
    <w:sig w:usb0="00000003" w:usb1="00000000" w:usb2="00000000" w:usb3="00000000" w:csb0="00000001" w:csb1="00000000"/>
  </w:font>
  <w:font w:name="Gungsuh">
    <w:charset w:val="81"/>
    <w:family w:val="roman"/>
    <w:pitch w:val="variable"/>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 w:name="Lucida Calligraphy">
    <w:panose1 w:val="03010101010101010101"/>
    <w:charset w:val="00"/>
    <w:family w:val="script"/>
    <w:pitch w:val="variable"/>
    <w:sig w:usb0="00000003" w:usb1="00000000" w:usb2="00000000" w:usb3="00000000" w:csb0="00000001" w:csb1="00000000"/>
  </w:font>
  <w:font w:name="TimesNewRomanPSMT">
    <w:altName w:val="Times New Roman"/>
    <w:charset w:val="00"/>
    <w:family w:val="roman"/>
    <w:pitch w:val="variable"/>
    <w:sig w:usb0="E0002AEF" w:usb1="C0007841" w:usb2="00000009" w:usb3="00000000" w:csb0="0000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T159t00">
    <w:altName w:val="Times New Roman"/>
    <w:panose1 w:val="00000000000000000000"/>
    <w:charset w:val="00"/>
    <w:family w:val="roman"/>
    <w:notTrueType/>
    <w:pitch w:val="default"/>
  </w:font>
  <w:font w:name="Open Sans">
    <w:altName w:val="Times New Roman"/>
    <w:panose1 w:val="00000000000000000000"/>
    <w:charset w:val="00"/>
    <w:family w:val="roman"/>
    <w:notTrueType/>
    <w:pitch w:val="default"/>
  </w:font>
  <w:font w:name="SimHei">
    <w:altName w:val="黑体"/>
    <w:panose1 w:val="02010600030101010101"/>
    <w:charset w:val="86"/>
    <w:family w:val="auto"/>
    <w:pitch w:val="fixed"/>
    <w:sig w:usb0="800002BF" w:usb1="38CF7CFA" w:usb2="00000016" w:usb3="00000000" w:csb0="00040001" w:csb1="00000000"/>
  </w:font>
  <w:font w:name="TimesNewRomanPS-BoldMT">
    <w:altName w:val="Times New Roman"/>
    <w:charset w:val="00"/>
    <w:family w:val="roman"/>
    <w:pitch w:val="variable"/>
    <w:sig w:usb0="E0002AEF" w:usb1="C0007841"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548E" w:rsidRPr="005C29C5" w:rsidRDefault="003C548E" w:rsidP="00C821BE">
    <w:pPr>
      <w:tabs>
        <w:tab w:val="center" w:pos="4550"/>
        <w:tab w:val="left" w:pos="5818"/>
      </w:tabs>
      <w:ind w:right="260"/>
      <w:jc w:val="right"/>
      <w:rPr>
        <w:rFonts w:ascii="Times New Roman" w:hAnsi="Times New Roman" w:cs="Times New Roman"/>
        <w:color w:val="222A35" w:themeColor="text2" w:themeShade="80"/>
      </w:rPr>
    </w:pPr>
    <w:r>
      <w:rPr>
        <w:noProof/>
        <w:lang w:val="pt-PT" w:eastAsia="pt-PT"/>
      </w:rPr>
      <w:drawing>
        <wp:anchor distT="0" distB="0" distL="114300" distR="114300" simplePos="0" relativeHeight="251723776" behindDoc="1" locked="0" layoutInCell="1" allowOverlap="1" wp14:anchorId="5D2C6C51" wp14:editId="0C4436DF">
          <wp:simplePos x="0" y="0"/>
          <wp:positionH relativeFrom="leftMargin">
            <wp:align>right</wp:align>
          </wp:positionH>
          <wp:positionV relativeFrom="page">
            <wp:posOffset>10039350</wp:posOffset>
          </wp:positionV>
          <wp:extent cx="524510" cy="438150"/>
          <wp:effectExtent l="0" t="0" r="8890" b="0"/>
          <wp:wrapTight wrapText="bothSides">
            <wp:wrapPolygon edited="0">
              <wp:start x="3923" y="0"/>
              <wp:lineTo x="0" y="2817"/>
              <wp:lineTo x="0" y="16904"/>
              <wp:lineTo x="4707" y="20661"/>
              <wp:lineTo x="6276" y="20661"/>
              <wp:lineTo x="14906" y="20661"/>
              <wp:lineTo x="16475" y="20661"/>
              <wp:lineTo x="21182" y="16904"/>
              <wp:lineTo x="21182" y="12209"/>
              <wp:lineTo x="20397" y="0"/>
              <wp:lineTo x="3923" y="0"/>
            </wp:wrapPolygon>
          </wp:wrapTight>
          <wp:docPr id="535" name="Image 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LOGO2.tif"/>
                  <pic:cNvPicPr/>
                </pic:nvPicPr>
                <pic:blipFill>
                  <a:blip r:embed="rId1" cstate="email">
                    <a:extLst>
                      <a:ext uri="{28A0092B-C50C-407E-A947-70E740481C1C}">
                        <a14:useLocalDpi xmlns:a14="http://schemas.microsoft.com/office/drawing/2010/main"/>
                      </a:ext>
                    </a:extLst>
                  </a:blip>
                  <a:stretch>
                    <a:fillRect/>
                  </a:stretch>
                </pic:blipFill>
                <pic:spPr>
                  <a:xfrm>
                    <a:off x="0" y="0"/>
                    <a:ext cx="524510" cy="438150"/>
                  </a:xfrm>
                  <a:prstGeom prst="rect">
                    <a:avLst/>
                  </a:prstGeom>
                </pic:spPr>
              </pic:pic>
            </a:graphicData>
          </a:graphic>
        </wp:anchor>
      </w:drawing>
    </w:r>
    <w:r w:rsidRPr="005C29C5">
      <w:rPr>
        <w:rFonts w:ascii="Times New Roman" w:hAnsi="Times New Roman" w:cs="Times New Roman"/>
        <w:color w:val="8496B0" w:themeColor="text2" w:themeTint="99"/>
        <w:spacing w:val="60"/>
      </w:rPr>
      <w:t>Page</w:t>
    </w:r>
    <w:r w:rsidRPr="005C29C5">
      <w:rPr>
        <w:rFonts w:ascii="Times New Roman" w:hAnsi="Times New Roman" w:cs="Times New Roman"/>
        <w:color w:val="8496B0" w:themeColor="text2" w:themeTint="99"/>
      </w:rPr>
      <w:t xml:space="preserve"> </w:t>
    </w:r>
    <w:r w:rsidRPr="005C29C5">
      <w:rPr>
        <w:rFonts w:ascii="Times New Roman" w:hAnsi="Times New Roman" w:cs="Times New Roman"/>
        <w:color w:val="323E4F" w:themeColor="text2" w:themeShade="BF"/>
      </w:rPr>
      <w:fldChar w:fldCharType="begin"/>
    </w:r>
    <w:r w:rsidRPr="005C29C5">
      <w:rPr>
        <w:rFonts w:ascii="Times New Roman" w:hAnsi="Times New Roman" w:cs="Times New Roman"/>
        <w:color w:val="323E4F" w:themeColor="text2" w:themeShade="BF"/>
      </w:rPr>
      <w:instrText>PAGE   \* MERGEFORMAT</w:instrText>
    </w:r>
    <w:r w:rsidRPr="005C29C5">
      <w:rPr>
        <w:rFonts w:ascii="Times New Roman" w:hAnsi="Times New Roman" w:cs="Times New Roman"/>
        <w:color w:val="323E4F" w:themeColor="text2" w:themeShade="BF"/>
      </w:rPr>
      <w:fldChar w:fldCharType="separate"/>
    </w:r>
    <w:r w:rsidR="00332A41">
      <w:rPr>
        <w:rFonts w:ascii="Times New Roman" w:hAnsi="Times New Roman" w:cs="Times New Roman"/>
        <w:noProof/>
        <w:color w:val="323E4F" w:themeColor="text2" w:themeShade="BF"/>
      </w:rPr>
      <w:t>1</w:t>
    </w:r>
    <w:r w:rsidRPr="005C29C5">
      <w:rPr>
        <w:rFonts w:ascii="Times New Roman" w:hAnsi="Times New Roman" w:cs="Times New Roman"/>
        <w:color w:val="323E4F" w:themeColor="text2" w:themeShade="BF"/>
      </w:rPr>
      <w:fldChar w:fldCharType="end"/>
    </w:r>
    <w:r w:rsidRPr="005C29C5">
      <w:rPr>
        <w:rFonts w:ascii="Times New Roman" w:hAnsi="Times New Roman" w:cs="Times New Roman"/>
        <w:color w:val="323E4F" w:themeColor="text2" w:themeShade="BF"/>
      </w:rPr>
      <w:t xml:space="preserve"> | </w:t>
    </w:r>
    <w:r w:rsidRPr="005C29C5">
      <w:rPr>
        <w:rFonts w:ascii="Times New Roman" w:hAnsi="Times New Roman" w:cs="Times New Roman"/>
        <w:color w:val="323E4F" w:themeColor="text2" w:themeShade="BF"/>
      </w:rPr>
      <w:fldChar w:fldCharType="begin"/>
    </w:r>
    <w:r w:rsidRPr="005C29C5">
      <w:rPr>
        <w:rFonts w:ascii="Times New Roman" w:hAnsi="Times New Roman" w:cs="Times New Roman"/>
        <w:color w:val="323E4F" w:themeColor="text2" w:themeShade="BF"/>
      </w:rPr>
      <w:instrText>NUMPAGES  \* Arabic  \* MERGEFORMAT</w:instrText>
    </w:r>
    <w:r w:rsidRPr="005C29C5">
      <w:rPr>
        <w:rFonts w:ascii="Times New Roman" w:hAnsi="Times New Roman" w:cs="Times New Roman"/>
        <w:color w:val="323E4F" w:themeColor="text2" w:themeShade="BF"/>
      </w:rPr>
      <w:fldChar w:fldCharType="separate"/>
    </w:r>
    <w:r w:rsidR="00332A41">
      <w:rPr>
        <w:rFonts w:ascii="Times New Roman" w:hAnsi="Times New Roman" w:cs="Times New Roman"/>
        <w:noProof/>
        <w:color w:val="323E4F" w:themeColor="text2" w:themeShade="BF"/>
      </w:rPr>
      <w:t>274</w:t>
    </w:r>
    <w:r w:rsidRPr="005C29C5">
      <w:rPr>
        <w:rFonts w:ascii="Times New Roman" w:hAnsi="Times New Roman" w:cs="Times New Roman"/>
        <w:color w:val="323E4F" w:themeColor="text2" w:themeShade="BF"/>
      </w:rPr>
      <w:fldChar w:fldCharType="end"/>
    </w:r>
  </w:p>
  <w:p w:rsidR="003C548E" w:rsidRPr="00362638" w:rsidRDefault="003C548E" w:rsidP="00C821BE">
    <w:pPr>
      <w:pStyle w:val="Rodap"/>
    </w:pPr>
  </w:p>
  <w:p w:rsidR="003C548E" w:rsidRPr="00C821BE" w:rsidRDefault="003C548E" w:rsidP="00C821BE">
    <w:pPr>
      <w:pStyle w:val="Rodap"/>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548E" w:rsidRPr="005C29C5" w:rsidRDefault="003C548E" w:rsidP="00362638">
    <w:pPr>
      <w:tabs>
        <w:tab w:val="center" w:pos="4550"/>
        <w:tab w:val="left" w:pos="5818"/>
      </w:tabs>
      <w:ind w:right="260"/>
      <w:jc w:val="right"/>
      <w:rPr>
        <w:rFonts w:ascii="Times New Roman" w:hAnsi="Times New Roman" w:cs="Times New Roman"/>
        <w:color w:val="222A35" w:themeColor="text2" w:themeShade="80"/>
      </w:rPr>
    </w:pPr>
    <w:r>
      <w:rPr>
        <w:noProof/>
        <w:lang w:val="pt-PT" w:eastAsia="pt-PT"/>
      </w:rPr>
      <w:drawing>
        <wp:anchor distT="0" distB="0" distL="114300" distR="114300" simplePos="0" relativeHeight="251718656" behindDoc="1" locked="0" layoutInCell="1" allowOverlap="1" wp14:anchorId="33C025F7" wp14:editId="6D7D3278">
          <wp:simplePos x="0" y="0"/>
          <wp:positionH relativeFrom="leftMargin">
            <wp:align>right</wp:align>
          </wp:positionH>
          <wp:positionV relativeFrom="page">
            <wp:posOffset>10039350</wp:posOffset>
          </wp:positionV>
          <wp:extent cx="524510" cy="438150"/>
          <wp:effectExtent l="0" t="0" r="8890" b="0"/>
          <wp:wrapTight wrapText="bothSides">
            <wp:wrapPolygon edited="0">
              <wp:start x="3923" y="0"/>
              <wp:lineTo x="0" y="2817"/>
              <wp:lineTo x="0" y="16904"/>
              <wp:lineTo x="4707" y="20661"/>
              <wp:lineTo x="6276" y="20661"/>
              <wp:lineTo x="14906" y="20661"/>
              <wp:lineTo x="16475" y="20661"/>
              <wp:lineTo x="21182" y="16904"/>
              <wp:lineTo x="21182" y="12209"/>
              <wp:lineTo x="20397" y="0"/>
              <wp:lineTo x="3923" y="0"/>
            </wp:wrapPolygon>
          </wp:wrapTight>
          <wp:docPr id="532" name="Image 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LOGO2.tif"/>
                  <pic:cNvPicPr/>
                </pic:nvPicPr>
                <pic:blipFill>
                  <a:blip r:embed="rId1" cstate="email">
                    <a:extLst>
                      <a:ext uri="{28A0092B-C50C-407E-A947-70E740481C1C}">
                        <a14:useLocalDpi xmlns:a14="http://schemas.microsoft.com/office/drawing/2010/main"/>
                      </a:ext>
                    </a:extLst>
                  </a:blip>
                  <a:stretch>
                    <a:fillRect/>
                  </a:stretch>
                </pic:blipFill>
                <pic:spPr>
                  <a:xfrm>
                    <a:off x="0" y="0"/>
                    <a:ext cx="524510" cy="438150"/>
                  </a:xfrm>
                  <a:prstGeom prst="rect">
                    <a:avLst/>
                  </a:prstGeom>
                </pic:spPr>
              </pic:pic>
            </a:graphicData>
          </a:graphic>
        </wp:anchor>
      </w:drawing>
    </w:r>
    <w:r w:rsidRPr="005C29C5">
      <w:rPr>
        <w:rFonts w:ascii="Times New Roman" w:hAnsi="Times New Roman" w:cs="Times New Roman"/>
        <w:color w:val="8496B0" w:themeColor="text2" w:themeTint="99"/>
        <w:spacing w:val="60"/>
      </w:rPr>
      <w:t>Page</w:t>
    </w:r>
    <w:r w:rsidRPr="005C29C5">
      <w:rPr>
        <w:rFonts w:ascii="Times New Roman" w:hAnsi="Times New Roman" w:cs="Times New Roman"/>
        <w:color w:val="8496B0" w:themeColor="text2" w:themeTint="99"/>
      </w:rPr>
      <w:t xml:space="preserve"> </w:t>
    </w:r>
    <w:r w:rsidRPr="005C29C5">
      <w:rPr>
        <w:rFonts w:ascii="Times New Roman" w:hAnsi="Times New Roman" w:cs="Times New Roman"/>
        <w:color w:val="323E4F" w:themeColor="text2" w:themeShade="BF"/>
      </w:rPr>
      <w:fldChar w:fldCharType="begin"/>
    </w:r>
    <w:r w:rsidRPr="005C29C5">
      <w:rPr>
        <w:rFonts w:ascii="Times New Roman" w:hAnsi="Times New Roman" w:cs="Times New Roman"/>
        <w:color w:val="323E4F" w:themeColor="text2" w:themeShade="BF"/>
      </w:rPr>
      <w:instrText>PAGE   \* MERGEFORMAT</w:instrText>
    </w:r>
    <w:r w:rsidRPr="005C29C5">
      <w:rPr>
        <w:rFonts w:ascii="Times New Roman" w:hAnsi="Times New Roman" w:cs="Times New Roman"/>
        <w:color w:val="323E4F" w:themeColor="text2" w:themeShade="BF"/>
      </w:rPr>
      <w:fldChar w:fldCharType="separate"/>
    </w:r>
    <w:r w:rsidR="00332A41">
      <w:rPr>
        <w:rFonts w:ascii="Times New Roman" w:hAnsi="Times New Roman" w:cs="Times New Roman"/>
        <w:noProof/>
        <w:color w:val="323E4F" w:themeColor="text2" w:themeShade="BF"/>
      </w:rPr>
      <w:t>47</w:t>
    </w:r>
    <w:r w:rsidRPr="005C29C5">
      <w:rPr>
        <w:rFonts w:ascii="Times New Roman" w:hAnsi="Times New Roman" w:cs="Times New Roman"/>
        <w:color w:val="323E4F" w:themeColor="text2" w:themeShade="BF"/>
      </w:rPr>
      <w:fldChar w:fldCharType="end"/>
    </w:r>
    <w:r w:rsidRPr="005C29C5">
      <w:rPr>
        <w:rFonts w:ascii="Times New Roman" w:hAnsi="Times New Roman" w:cs="Times New Roman"/>
        <w:color w:val="323E4F" w:themeColor="text2" w:themeShade="BF"/>
      </w:rPr>
      <w:t xml:space="preserve"> | </w:t>
    </w:r>
    <w:r w:rsidRPr="005C29C5">
      <w:rPr>
        <w:rFonts w:ascii="Times New Roman" w:hAnsi="Times New Roman" w:cs="Times New Roman"/>
        <w:color w:val="323E4F" w:themeColor="text2" w:themeShade="BF"/>
      </w:rPr>
      <w:fldChar w:fldCharType="begin"/>
    </w:r>
    <w:r w:rsidRPr="005C29C5">
      <w:rPr>
        <w:rFonts w:ascii="Times New Roman" w:hAnsi="Times New Roman" w:cs="Times New Roman"/>
        <w:color w:val="323E4F" w:themeColor="text2" w:themeShade="BF"/>
      </w:rPr>
      <w:instrText>NUMPAGES  \* Arabic  \* MERGEFORMAT</w:instrText>
    </w:r>
    <w:r w:rsidRPr="005C29C5">
      <w:rPr>
        <w:rFonts w:ascii="Times New Roman" w:hAnsi="Times New Roman" w:cs="Times New Roman"/>
        <w:color w:val="323E4F" w:themeColor="text2" w:themeShade="BF"/>
      </w:rPr>
      <w:fldChar w:fldCharType="separate"/>
    </w:r>
    <w:r w:rsidR="00332A41">
      <w:rPr>
        <w:rFonts w:ascii="Times New Roman" w:hAnsi="Times New Roman" w:cs="Times New Roman"/>
        <w:noProof/>
        <w:color w:val="323E4F" w:themeColor="text2" w:themeShade="BF"/>
      </w:rPr>
      <w:t>47</w:t>
    </w:r>
    <w:r w:rsidRPr="005C29C5">
      <w:rPr>
        <w:rFonts w:ascii="Times New Roman" w:hAnsi="Times New Roman" w:cs="Times New Roman"/>
        <w:color w:val="323E4F" w:themeColor="text2" w:themeShade="BF"/>
      </w:rPr>
      <w:fldChar w:fldCharType="end"/>
    </w:r>
  </w:p>
  <w:p w:rsidR="003C548E" w:rsidRPr="00362638" w:rsidRDefault="003C548E" w:rsidP="00362638">
    <w:pPr>
      <w:pStyle w:val="Rodap"/>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548E" w:rsidRPr="005C29C5" w:rsidRDefault="003C548E">
    <w:pPr>
      <w:tabs>
        <w:tab w:val="center" w:pos="4550"/>
        <w:tab w:val="left" w:pos="5818"/>
      </w:tabs>
      <w:ind w:right="260"/>
      <w:jc w:val="right"/>
      <w:rPr>
        <w:rFonts w:ascii="Times New Roman" w:hAnsi="Times New Roman" w:cs="Times New Roman"/>
        <w:color w:val="222A35" w:themeColor="text2" w:themeShade="80"/>
      </w:rPr>
    </w:pPr>
    <w:r>
      <w:rPr>
        <w:noProof/>
        <w:lang w:val="pt-PT" w:eastAsia="pt-PT"/>
      </w:rPr>
      <w:drawing>
        <wp:anchor distT="0" distB="0" distL="114300" distR="114300" simplePos="0" relativeHeight="251696128" behindDoc="1" locked="0" layoutInCell="1" allowOverlap="1" wp14:anchorId="0988132A" wp14:editId="4453F9D0">
          <wp:simplePos x="0" y="0"/>
          <wp:positionH relativeFrom="leftMargin">
            <wp:align>right</wp:align>
          </wp:positionH>
          <wp:positionV relativeFrom="page">
            <wp:posOffset>10039350</wp:posOffset>
          </wp:positionV>
          <wp:extent cx="524510" cy="438150"/>
          <wp:effectExtent l="0" t="0" r="8890" b="0"/>
          <wp:wrapTight wrapText="bothSides">
            <wp:wrapPolygon edited="0">
              <wp:start x="3923" y="0"/>
              <wp:lineTo x="0" y="2817"/>
              <wp:lineTo x="0" y="16904"/>
              <wp:lineTo x="4707" y="20661"/>
              <wp:lineTo x="6276" y="20661"/>
              <wp:lineTo x="14906" y="20661"/>
              <wp:lineTo x="16475" y="20661"/>
              <wp:lineTo x="21182" y="16904"/>
              <wp:lineTo x="21182" y="12209"/>
              <wp:lineTo x="20397" y="0"/>
              <wp:lineTo x="3923" y="0"/>
            </wp:wrapPolygon>
          </wp:wrapTight>
          <wp:docPr id="527" name="Image 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LOGO2.tif"/>
                  <pic:cNvPicPr/>
                </pic:nvPicPr>
                <pic:blipFill>
                  <a:blip r:embed="rId1" cstate="email">
                    <a:extLst>
                      <a:ext uri="{28A0092B-C50C-407E-A947-70E740481C1C}">
                        <a14:useLocalDpi xmlns:a14="http://schemas.microsoft.com/office/drawing/2010/main"/>
                      </a:ext>
                    </a:extLst>
                  </a:blip>
                  <a:stretch>
                    <a:fillRect/>
                  </a:stretch>
                </pic:blipFill>
                <pic:spPr>
                  <a:xfrm>
                    <a:off x="0" y="0"/>
                    <a:ext cx="524510" cy="438150"/>
                  </a:xfrm>
                  <a:prstGeom prst="rect">
                    <a:avLst/>
                  </a:prstGeom>
                </pic:spPr>
              </pic:pic>
            </a:graphicData>
          </a:graphic>
        </wp:anchor>
      </w:drawing>
    </w:r>
    <w:r w:rsidRPr="005C29C5">
      <w:rPr>
        <w:rFonts w:ascii="Times New Roman" w:hAnsi="Times New Roman" w:cs="Times New Roman"/>
        <w:color w:val="8496B0" w:themeColor="text2" w:themeTint="99"/>
        <w:spacing w:val="60"/>
      </w:rPr>
      <w:t>Page</w:t>
    </w:r>
    <w:r w:rsidRPr="005C29C5">
      <w:rPr>
        <w:rFonts w:ascii="Times New Roman" w:hAnsi="Times New Roman" w:cs="Times New Roman"/>
        <w:color w:val="8496B0" w:themeColor="text2" w:themeTint="99"/>
      </w:rPr>
      <w:t xml:space="preserve"> </w:t>
    </w:r>
    <w:r w:rsidRPr="005C29C5">
      <w:rPr>
        <w:rFonts w:ascii="Times New Roman" w:hAnsi="Times New Roman" w:cs="Times New Roman"/>
        <w:color w:val="323E4F" w:themeColor="text2" w:themeShade="BF"/>
      </w:rPr>
      <w:fldChar w:fldCharType="begin"/>
    </w:r>
    <w:r w:rsidRPr="005C29C5">
      <w:rPr>
        <w:rFonts w:ascii="Times New Roman" w:hAnsi="Times New Roman" w:cs="Times New Roman"/>
        <w:color w:val="323E4F" w:themeColor="text2" w:themeShade="BF"/>
      </w:rPr>
      <w:instrText>PAGE   \* MERGEFORMAT</w:instrText>
    </w:r>
    <w:r w:rsidRPr="005C29C5">
      <w:rPr>
        <w:rFonts w:ascii="Times New Roman" w:hAnsi="Times New Roman" w:cs="Times New Roman"/>
        <w:color w:val="323E4F" w:themeColor="text2" w:themeShade="BF"/>
      </w:rPr>
      <w:fldChar w:fldCharType="separate"/>
    </w:r>
    <w:r w:rsidR="00332A41">
      <w:rPr>
        <w:rFonts w:ascii="Times New Roman" w:hAnsi="Times New Roman" w:cs="Times New Roman"/>
        <w:noProof/>
        <w:color w:val="323E4F" w:themeColor="text2" w:themeShade="BF"/>
      </w:rPr>
      <w:t>60</w:t>
    </w:r>
    <w:r w:rsidRPr="005C29C5">
      <w:rPr>
        <w:rFonts w:ascii="Times New Roman" w:hAnsi="Times New Roman" w:cs="Times New Roman"/>
        <w:color w:val="323E4F" w:themeColor="text2" w:themeShade="BF"/>
      </w:rPr>
      <w:fldChar w:fldCharType="end"/>
    </w:r>
    <w:r w:rsidRPr="005C29C5">
      <w:rPr>
        <w:rFonts w:ascii="Times New Roman" w:hAnsi="Times New Roman" w:cs="Times New Roman"/>
        <w:color w:val="323E4F" w:themeColor="text2" w:themeShade="BF"/>
      </w:rPr>
      <w:t xml:space="preserve"> | </w:t>
    </w:r>
    <w:r w:rsidRPr="005C29C5">
      <w:rPr>
        <w:rFonts w:ascii="Times New Roman" w:hAnsi="Times New Roman" w:cs="Times New Roman"/>
        <w:color w:val="323E4F" w:themeColor="text2" w:themeShade="BF"/>
      </w:rPr>
      <w:fldChar w:fldCharType="begin"/>
    </w:r>
    <w:r w:rsidRPr="005C29C5">
      <w:rPr>
        <w:rFonts w:ascii="Times New Roman" w:hAnsi="Times New Roman" w:cs="Times New Roman"/>
        <w:color w:val="323E4F" w:themeColor="text2" w:themeShade="BF"/>
      </w:rPr>
      <w:instrText>NUMPAGES  \* Arabic  \* MERGEFORMAT</w:instrText>
    </w:r>
    <w:r w:rsidRPr="005C29C5">
      <w:rPr>
        <w:rFonts w:ascii="Times New Roman" w:hAnsi="Times New Roman" w:cs="Times New Roman"/>
        <w:color w:val="323E4F" w:themeColor="text2" w:themeShade="BF"/>
      </w:rPr>
      <w:fldChar w:fldCharType="separate"/>
    </w:r>
    <w:r w:rsidR="00332A41">
      <w:rPr>
        <w:rFonts w:ascii="Times New Roman" w:hAnsi="Times New Roman" w:cs="Times New Roman"/>
        <w:noProof/>
        <w:color w:val="323E4F" w:themeColor="text2" w:themeShade="BF"/>
      </w:rPr>
      <w:t>60</w:t>
    </w:r>
    <w:r w:rsidRPr="005C29C5">
      <w:rPr>
        <w:rFonts w:ascii="Times New Roman" w:hAnsi="Times New Roman" w:cs="Times New Roman"/>
        <w:color w:val="323E4F" w:themeColor="text2" w:themeShade="BF"/>
      </w:rPr>
      <w:fldChar w:fldCharType="end"/>
    </w:r>
  </w:p>
  <w:p w:rsidR="003C548E" w:rsidRDefault="003C548E">
    <w:pPr>
      <w:pStyle w:val="Rodap"/>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548E" w:rsidRPr="005C29C5" w:rsidRDefault="003C548E" w:rsidP="005C29C5">
    <w:pPr>
      <w:tabs>
        <w:tab w:val="center" w:pos="4550"/>
        <w:tab w:val="left" w:pos="5818"/>
      </w:tabs>
      <w:ind w:right="260"/>
      <w:jc w:val="right"/>
      <w:rPr>
        <w:rFonts w:ascii="Times New Roman" w:hAnsi="Times New Roman" w:cs="Times New Roman"/>
        <w:color w:val="222A35" w:themeColor="text2" w:themeShade="80"/>
      </w:rPr>
    </w:pPr>
    <w:r>
      <w:rPr>
        <w:noProof/>
        <w:lang w:val="pt-PT" w:eastAsia="pt-PT"/>
      </w:rPr>
      <w:drawing>
        <wp:anchor distT="0" distB="0" distL="114300" distR="114300" simplePos="0" relativeHeight="251698176" behindDoc="1" locked="0" layoutInCell="1" allowOverlap="1" wp14:anchorId="64A38C4F" wp14:editId="714A942E">
          <wp:simplePos x="0" y="0"/>
          <wp:positionH relativeFrom="leftMargin">
            <wp:align>right</wp:align>
          </wp:positionH>
          <wp:positionV relativeFrom="page">
            <wp:posOffset>10039350</wp:posOffset>
          </wp:positionV>
          <wp:extent cx="524510" cy="438150"/>
          <wp:effectExtent l="0" t="0" r="8890" b="0"/>
          <wp:wrapTight wrapText="bothSides">
            <wp:wrapPolygon edited="0">
              <wp:start x="3923" y="0"/>
              <wp:lineTo x="0" y="2817"/>
              <wp:lineTo x="0" y="16904"/>
              <wp:lineTo x="4707" y="20661"/>
              <wp:lineTo x="6276" y="20661"/>
              <wp:lineTo x="14906" y="20661"/>
              <wp:lineTo x="16475" y="20661"/>
              <wp:lineTo x="21182" y="16904"/>
              <wp:lineTo x="21182" y="12209"/>
              <wp:lineTo x="20397" y="0"/>
              <wp:lineTo x="3923" y="0"/>
            </wp:wrapPolygon>
          </wp:wrapTight>
          <wp:docPr id="529" name="Image 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LOGO2.tif"/>
                  <pic:cNvPicPr/>
                </pic:nvPicPr>
                <pic:blipFill>
                  <a:blip r:embed="rId1" cstate="email">
                    <a:extLst>
                      <a:ext uri="{28A0092B-C50C-407E-A947-70E740481C1C}">
                        <a14:useLocalDpi xmlns:a14="http://schemas.microsoft.com/office/drawing/2010/main"/>
                      </a:ext>
                    </a:extLst>
                  </a:blip>
                  <a:stretch>
                    <a:fillRect/>
                  </a:stretch>
                </pic:blipFill>
                <pic:spPr>
                  <a:xfrm>
                    <a:off x="0" y="0"/>
                    <a:ext cx="524510" cy="438150"/>
                  </a:xfrm>
                  <a:prstGeom prst="rect">
                    <a:avLst/>
                  </a:prstGeom>
                </pic:spPr>
              </pic:pic>
            </a:graphicData>
          </a:graphic>
        </wp:anchor>
      </w:drawing>
    </w:r>
    <w:r w:rsidRPr="005C29C5">
      <w:rPr>
        <w:rFonts w:ascii="Times New Roman" w:hAnsi="Times New Roman" w:cs="Times New Roman"/>
        <w:color w:val="8496B0" w:themeColor="text2" w:themeTint="99"/>
        <w:spacing w:val="60"/>
      </w:rPr>
      <w:t>Page</w:t>
    </w:r>
    <w:r w:rsidRPr="005C29C5">
      <w:rPr>
        <w:rFonts w:ascii="Times New Roman" w:hAnsi="Times New Roman" w:cs="Times New Roman"/>
        <w:color w:val="8496B0" w:themeColor="text2" w:themeTint="99"/>
      </w:rPr>
      <w:t xml:space="preserve"> </w:t>
    </w:r>
    <w:r w:rsidRPr="005C29C5">
      <w:rPr>
        <w:rFonts w:ascii="Times New Roman" w:hAnsi="Times New Roman" w:cs="Times New Roman"/>
        <w:color w:val="323E4F" w:themeColor="text2" w:themeShade="BF"/>
      </w:rPr>
      <w:fldChar w:fldCharType="begin"/>
    </w:r>
    <w:r w:rsidRPr="005C29C5">
      <w:rPr>
        <w:rFonts w:ascii="Times New Roman" w:hAnsi="Times New Roman" w:cs="Times New Roman"/>
        <w:color w:val="323E4F" w:themeColor="text2" w:themeShade="BF"/>
      </w:rPr>
      <w:instrText>PAGE   \* MERGEFORMAT</w:instrText>
    </w:r>
    <w:r w:rsidRPr="005C29C5">
      <w:rPr>
        <w:rFonts w:ascii="Times New Roman" w:hAnsi="Times New Roman" w:cs="Times New Roman"/>
        <w:color w:val="323E4F" w:themeColor="text2" w:themeShade="BF"/>
      </w:rPr>
      <w:fldChar w:fldCharType="separate"/>
    </w:r>
    <w:r w:rsidR="00332A41">
      <w:rPr>
        <w:rFonts w:ascii="Times New Roman" w:hAnsi="Times New Roman" w:cs="Times New Roman"/>
        <w:noProof/>
        <w:color w:val="323E4F" w:themeColor="text2" w:themeShade="BF"/>
      </w:rPr>
      <w:t>62</w:t>
    </w:r>
    <w:r w:rsidRPr="005C29C5">
      <w:rPr>
        <w:rFonts w:ascii="Times New Roman" w:hAnsi="Times New Roman" w:cs="Times New Roman"/>
        <w:color w:val="323E4F" w:themeColor="text2" w:themeShade="BF"/>
      </w:rPr>
      <w:fldChar w:fldCharType="end"/>
    </w:r>
    <w:r w:rsidRPr="005C29C5">
      <w:rPr>
        <w:rFonts w:ascii="Times New Roman" w:hAnsi="Times New Roman" w:cs="Times New Roman"/>
        <w:color w:val="323E4F" w:themeColor="text2" w:themeShade="BF"/>
      </w:rPr>
      <w:t xml:space="preserve"> | </w:t>
    </w:r>
    <w:r w:rsidRPr="005C29C5">
      <w:rPr>
        <w:rFonts w:ascii="Times New Roman" w:hAnsi="Times New Roman" w:cs="Times New Roman"/>
        <w:color w:val="323E4F" w:themeColor="text2" w:themeShade="BF"/>
      </w:rPr>
      <w:fldChar w:fldCharType="begin"/>
    </w:r>
    <w:r w:rsidRPr="005C29C5">
      <w:rPr>
        <w:rFonts w:ascii="Times New Roman" w:hAnsi="Times New Roman" w:cs="Times New Roman"/>
        <w:color w:val="323E4F" w:themeColor="text2" w:themeShade="BF"/>
      </w:rPr>
      <w:instrText>NUMPAGES  \* Arabic  \* MERGEFORMAT</w:instrText>
    </w:r>
    <w:r w:rsidRPr="005C29C5">
      <w:rPr>
        <w:rFonts w:ascii="Times New Roman" w:hAnsi="Times New Roman" w:cs="Times New Roman"/>
        <w:color w:val="323E4F" w:themeColor="text2" w:themeShade="BF"/>
      </w:rPr>
      <w:fldChar w:fldCharType="separate"/>
    </w:r>
    <w:r w:rsidR="00332A41">
      <w:rPr>
        <w:rFonts w:ascii="Times New Roman" w:hAnsi="Times New Roman" w:cs="Times New Roman"/>
        <w:noProof/>
        <w:color w:val="323E4F" w:themeColor="text2" w:themeShade="BF"/>
      </w:rPr>
      <w:t>62</w:t>
    </w:r>
    <w:r w:rsidRPr="005C29C5">
      <w:rPr>
        <w:rFonts w:ascii="Times New Roman" w:hAnsi="Times New Roman" w:cs="Times New Roman"/>
        <w:color w:val="323E4F" w:themeColor="text2" w:themeShade="BF"/>
      </w:rPr>
      <w:fldChar w:fldCharType="end"/>
    </w:r>
  </w:p>
  <w:p w:rsidR="003C548E" w:rsidRDefault="003C548E" w:rsidP="005C29C5">
    <w:pPr>
      <w:pStyle w:val="Rodap"/>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41322744"/>
      <w:docPartObj>
        <w:docPartGallery w:val="Page Numbers (Bottom of Page)"/>
        <w:docPartUnique/>
      </w:docPartObj>
    </w:sdtPr>
    <w:sdtEndPr/>
    <w:sdtContent>
      <w:p w:rsidR="003C548E" w:rsidRDefault="003C548E" w:rsidP="0022298A">
        <w:pPr>
          <w:pStyle w:val="Rodap"/>
        </w:pPr>
        <w:r>
          <w:rPr>
            <w:noProof/>
            <w:lang w:val="pt-PT" w:eastAsia="pt-PT"/>
          </w:rPr>
          <w:drawing>
            <wp:anchor distT="0" distB="0" distL="114300" distR="114300" simplePos="0" relativeHeight="251668480" behindDoc="1" locked="0" layoutInCell="1" allowOverlap="1" wp14:anchorId="67201138" wp14:editId="5441717A">
              <wp:simplePos x="0" y="0"/>
              <wp:positionH relativeFrom="margin">
                <wp:posOffset>-790533</wp:posOffset>
              </wp:positionH>
              <wp:positionV relativeFrom="paragraph">
                <wp:posOffset>27305</wp:posOffset>
              </wp:positionV>
              <wp:extent cx="904240" cy="586105"/>
              <wp:effectExtent l="57150" t="133350" r="162560" b="328295"/>
              <wp:wrapTight wrapText="bothSides">
                <wp:wrapPolygon edited="0">
                  <wp:start x="10466" y="-4914"/>
                  <wp:lineTo x="1820" y="-3510"/>
                  <wp:lineTo x="1820" y="7723"/>
                  <wp:lineTo x="-910" y="7723"/>
                  <wp:lineTo x="-1365" y="23168"/>
                  <wp:lineTo x="2275" y="30189"/>
                  <wp:lineTo x="7736" y="32997"/>
                  <wp:lineTo x="19567" y="32997"/>
                  <wp:lineTo x="23663" y="30189"/>
                  <wp:lineTo x="25028" y="19658"/>
                  <wp:lineTo x="23663" y="5616"/>
                  <wp:lineTo x="16837" y="-3510"/>
                  <wp:lineTo x="15017" y="-4914"/>
                  <wp:lineTo x="10466" y="-4914"/>
                </wp:wrapPolygon>
              </wp:wrapTight>
              <wp:docPr id="515" name="Image 515" descr="LOGO ECI.tif"/>
              <wp:cNvGraphicFramePr/>
              <a:graphic xmlns:a="http://schemas.openxmlformats.org/drawingml/2006/main">
                <a:graphicData uri="http://schemas.openxmlformats.org/drawingml/2006/picture">
                  <pic:pic xmlns:pic="http://schemas.openxmlformats.org/drawingml/2006/picture">
                    <pic:nvPicPr>
                      <pic:cNvPr id="537" name="Image 537" descr="LOGO ECI.tif"/>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4240" cy="586105"/>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r>
          <w:rPr>
            <w:noProof/>
            <w:lang w:val="pt-PT" w:eastAsia="pt-PT"/>
          </w:rPr>
          <mc:AlternateContent>
            <mc:Choice Requires="wpg">
              <w:drawing>
                <wp:anchor distT="0" distB="0" distL="114300" distR="114300" simplePos="0" relativeHeight="251667456" behindDoc="0" locked="0" layoutInCell="1" allowOverlap="1" wp14:anchorId="6DAB30E1" wp14:editId="5B7F2697">
                  <wp:simplePos x="0" y="0"/>
                  <wp:positionH relativeFrom="page">
                    <wp:align>center</wp:align>
                  </wp:positionH>
                  <wp:positionV relativeFrom="bottomMargin">
                    <wp:align>center</wp:align>
                  </wp:positionV>
                  <wp:extent cx="7753350" cy="190500"/>
                  <wp:effectExtent l="9525" t="9525" r="9525" b="0"/>
                  <wp:wrapNone/>
                  <wp:docPr id="2" name="Groupe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53350" cy="190500"/>
                            <a:chOff x="0" y="14970"/>
                            <a:chExt cx="12255" cy="300"/>
                          </a:xfrm>
                        </wpg:grpSpPr>
                        <wps:wsp>
                          <wps:cNvPr id="3" name="Text Box 25"/>
                          <wps:cNvSpPr txBox="1">
                            <a:spLocks noChangeArrowheads="1"/>
                          </wps:cNvSpPr>
                          <wps:spPr bwMode="auto">
                            <a:xfrm>
                              <a:off x="10803" y="14982"/>
                              <a:ext cx="659" cy="288"/>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xmlns:cx1="http://schemas.microsoft.com/office/drawing/2015/9/8/chartex">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xmlns:cx1="http://schemas.microsoft.com/office/drawing/2015/9/8/chartex" w="9525">
                                  <a:solidFill>
                                    <a:srgbClr val="000000"/>
                                  </a:solidFill>
                                  <a:miter lim="800000"/>
                                  <a:headEnd/>
                                  <a:tailEnd/>
                                </a14:hiddenLine>
                              </a:ext>
                            </a:extLst>
                          </wps:spPr>
                          <wps:txbx>
                            <w:txbxContent>
                              <w:p w:rsidR="003C548E" w:rsidRDefault="003C548E" w:rsidP="0022298A">
                                <w:pPr>
                                  <w:jc w:val="center"/>
                                </w:pPr>
                                <w:r>
                                  <w:fldChar w:fldCharType="begin"/>
                                </w:r>
                                <w:r>
                                  <w:instrText>PAGE    \* MERGEFORMAT</w:instrText>
                                </w:r>
                                <w:r>
                                  <w:fldChar w:fldCharType="separate"/>
                                </w:r>
                                <w:r w:rsidRPr="00647913">
                                  <w:rPr>
                                    <w:noProof/>
                                    <w:color w:val="8C8C8C" w:themeColor="background1" w:themeShade="8C"/>
                                  </w:rPr>
                                  <w:t>33</w:t>
                                </w:r>
                                <w:r>
                                  <w:rPr>
                                    <w:color w:val="8C8C8C" w:themeColor="background1" w:themeShade="8C"/>
                                  </w:rPr>
                                  <w:fldChar w:fldCharType="end"/>
                                </w:r>
                              </w:p>
                            </w:txbxContent>
                          </wps:txbx>
                          <wps:bodyPr rot="0" vert="horz" wrap="square" lIns="0" tIns="0" rIns="0" bIns="0" anchor="t" anchorCtr="0" upright="1">
                            <a:noAutofit/>
                          </wps:bodyPr>
                        </wps:wsp>
                        <wpg:grpSp>
                          <wpg:cNvPr id="4" name="Group 31"/>
                          <wpg:cNvGrpSpPr>
                            <a:grpSpLocks/>
                          </wpg:cNvGrpSpPr>
                          <wpg:grpSpPr bwMode="auto">
                            <a:xfrm flipH="1">
                              <a:off x="0" y="14970"/>
                              <a:ext cx="12255" cy="230"/>
                              <a:chOff x="-8" y="14978"/>
                              <a:chExt cx="12255" cy="230"/>
                            </a:xfrm>
                          </wpg:grpSpPr>
                          <wps:wsp>
                            <wps:cNvPr id="5" name="AutoShape 27"/>
                            <wps:cNvCnPr>
                              <a:cxnSpLocks noChangeShapeType="1"/>
                            </wps:cNvCnPr>
                            <wps:spPr bwMode="auto">
                              <a:xfrm flipV="1">
                                <a:off x="-8" y="14978"/>
                                <a:ext cx="1260" cy="230"/>
                              </a:xfrm>
                              <a:prstGeom prst="bentConnector3">
                                <a:avLst>
                                  <a:gd name="adj1" fmla="val 50000"/>
                                </a:avLst>
                              </a:prstGeom>
                              <a:noFill/>
                              <a:ln w="9525">
                                <a:solidFill>
                                  <a:srgbClr val="A5A5A5"/>
                                </a:solidFill>
                                <a:miter lim="800000"/>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xmlns:cx1="http://schemas.microsoft.com/office/drawing/2015/9/8/chartex">
                                    <a:noFill/>
                                  </a14:hiddenFill>
                                </a:ext>
                              </a:extLst>
                            </wps:spPr>
                            <wps:bodyPr/>
                          </wps:wsp>
                          <wps:wsp>
                            <wps:cNvPr id="33" name="AutoShape 28"/>
                            <wps:cNvCnPr>
                              <a:cxnSpLocks noChangeShapeType="1"/>
                            </wps:cNvCnPr>
                            <wps:spPr bwMode="auto">
                              <a:xfrm rot="10800000">
                                <a:off x="1252" y="14978"/>
                                <a:ext cx="10995" cy="230"/>
                              </a:xfrm>
                              <a:prstGeom prst="bentConnector3">
                                <a:avLst>
                                  <a:gd name="adj1" fmla="val 96778"/>
                                </a:avLst>
                              </a:prstGeom>
                              <a:noFill/>
                              <a:ln w="9525">
                                <a:solidFill>
                                  <a:srgbClr val="A5A5A5"/>
                                </a:solidFill>
                                <a:miter lim="800000"/>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xmlns:cx1="http://schemas.microsoft.com/office/drawing/2015/9/8/chartex">
                                    <a:noFill/>
                                  </a14:hiddenFill>
                                </a:ext>
                              </a:extLst>
                            </wps:spPr>
                            <wps:bodyPr/>
                          </wps:wsp>
                        </wpg:grpSp>
                      </wpg:wgp>
                    </a:graphicData>
                  </a:graphic>
                  <wp14:sizeRelH relativeFrom="page">
                    <wp14:pctWidth>100000</wp14:pctWidth>
                  </wp14:sizeRelH>
                  <wp14:sizeRelV relativeFrom="page">
                    <wp14:pctHeight>0</wp14:pctHeight>
                  </wp14:sizeRelV>
                </wp:anchor>
              </w:drawing>
            </mc:Choice>
            <mc:Fallback xmlns:cx1="http://schemas.microsoft.com/office/drawing/2015/9/8/chartex">
              <w:pict>
                <v:group w14:anchorId="6DAB30E1" id="Groupe 2" o:spid="_x0000_s1075" style="position:absolute;margin-left:0;margin-top:0;width:610.5pt;height:15pt;z-index:251667456;mso-width-percent:1000;mso-position-horizontal:center;mso-position-horizontal-relative:page;mso-position-vertical:center;mso-position-vertical-relative:bottom-margin-area;mso-width-percent:1000" coordorigin=",14970" coordsize="12255,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">
                  <v:shapetype id="_x0000_t202" coordsize="21600,21600" o:spt="202" path="m,l,21600r21600,l21600,xe">
                    <v:stroke joinstyle="miter"/>
                    <v:path gradientshapeok="t" o:connecttype="rect"/>
                  </v:shapetype>
                  <v:shape id="Text Box 25" o:spid="_x0000_s1076" type="#_x0000_t202" style="position:absolute;left:10803;top:14982;width:659;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wjLAwwAAANoAAAAPAAAAZHJzL2Rvd25yZXYueG1sRI9Ba8JA&#10;FITvBf/D8gRvdWMF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t8IywMMAAADaAAAADwAA&#10;AAAAAAAAAAAAAAAHAgAAZHJzL2Rvd25yZXYueG1sUEsFBgAAAAADAAMAtwAAAPcCAAAAAA==&#10;" filled="f" stroked="f">
                    <v:textbox inset="0,0,0,0">
                      <w:txbxContent>
                        <w:p w:rsidR="003C548E" w:rsidRDefault="003C548E" w:rsidP="0022298A">
                          <w:pPr>
                            <w:jc w:val="center"/>
                          </w:pPr>
                          <w:r>
                            <w:fldChar w:fldCharType="begin"/>
                          </w:r>
                          <w:r>
                            <w:instrText>PAGE    \* MERGEFORMAT</w:instrText>
                          </w:r>
                          <w:r>
                            <w:fldChar w:fldCharType="separate"/>
                          </w:r>
                          <w:r w:rsidRPr="00647913">
                            <w:rPr>
                              <w:noProof/>
                              <w:color w:val="8C8C8C" w:themeColor="background1" w:themeShade="8C"/>
                            </w:rPr>
                            <w:t>33</w:t>
                          </w:r>
                          <w:r>
                            <w:rPr>
                              <w:color w:val="8C8C8C" w:themeColor="background1" w:themeShade="8C"/>
                            </w:rPr>
                            <w:fldChar w:fldCharType="end"/>
                          </w:r>
                        </w:p>
                      </w:txbxContent>
                    </v:textbox>
                  </v:shape>
                  <v:group id="Group 31" o:spid="_x0000_s1077" style="position:absolute;top:14970;width:12255;height:230;flip:x" coordorigin="-8,14978" coordsize="12255,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27" o:spid="_x0000_s1078" type="#_x0000_t34" style="position:absolute;left:-8;top:14978;width:1260;height:23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" strokecolor="#a5a5a5"/>
                    <v:shape id="AutoShape 28" o:spid="_x0000_s1079" type="#_x0000_t34" style="position:absolute;left:1252;top:14978;width:10995;height:230;rotation:18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" adj="20904" strokecolor="#a5a5a5"/>
                  </v:group>
                  <w10:wrap anchorx="page" anchory="margin"/>
                </v:group>
              </w:pict>
            </mc:Fallback>
          </mc:AlternateContent>
        </w:r>
      </w:p>
    </w:sdtContent>
  </w:sdt>
  <w:p w:rsidR="003C548E" w:rsidRPr="0022298A" w:rsidRDefault="003C548E" w:rsidP="0022298A">
    <w:pPr>
      <w:pStyle w:val="Rodap"/>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548E" w:rsidRPr="005C29C5" w:rsidRDefault="003C548E" w:rsidP="0058308B">
    <w:pPr>
      <w:tabs>
        <w:tab w:val="center" w:pos="4550"/>
        <w:tab w:val="left" w:pos="5818"/>
      </w:tabs>
      <w:ind w:right="260"/>
      <w:jc w:val="right"/>
      <w:rPr>
        <w:rFonts w:ascii="Times New Roman" w:hAnsi="Times New Roman" w:cs="Times New Roman"/>
        <w:color w:val="222A35" w:themeColor="text2" w:themeShade="80"/>
      </w:rPr>
    </w:pPr>
    <w:r>
      <w:rPr>
        <w:noProof/>
        <w:lang w:val="pt-PT" w:eastAsia="pt-PT"/>
      </w:rPr>
      <w:drawing>
        <wp:anchor distT="0" distB="0" distL="114300" distR="114300" simplePos="0" relativeHeight="251707392" behindDoc="1" locked="0" layoutInCell="1" allowOverlap="1" wp14:anchorId="42EF7298" wp14:editId="770BFA0C">
          <wp:simplePos x="0" y="0"/>
          <wp:positionH relativeFrom="leftMargin">
            <wp:align>right</wp:align>
          </wp:positionH>
          <wp:positionV relativeFrom="page">
            <wp:posOffset>10039350</wp:posOffset>
          </wp:positionV>
          <wp:extent cx="524510" cy="438150"/>
          <wp:effectExtent l="0" t="0" r="8890" b="0"/>
          <wp:wrapTight wrapText="bothSides">
            <wp:wrapPolygon edited="0">
              <wp:start x="3923" y="0"/>
              <wp:lineTo x="0" y="2817"/>
              <wp:lineTo x="0" y="16904"/>
              <wp:lineTo x="4707" y="20661"/>
              <wp:lineTo x="6276" y="20661"/>
              <wp:lineTo x="14906" y="20661"/>
              <wp:lineTo x="16475" y="20661"/>
              <wp:lineTo x="21182" y="16904"/>
              <wp:lineTo x="21182" y="12209"/>
              <wp:lineTo x="20397" y="0"/>
              <wp:lineTo x="3923" y="0"/>
            </wp:wrapPolygon>
          </wp:wrapTight>
          <wp:docPr id="568" name="Image 5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LOGO2.tif"/>
                  <pic:cNvPicPr/>
                </pic:nvPicPr>
                <pic:blipFill>
                  <a:blip r:embed="rId1" cstate="email">
                    <a:extLst>
                      <a:ext uri="{28A0092B-C50C-407E-A947-70E740481C1C}">
                        <a14:useLocalDpi xmlns:a14="http://schemas.microsoft.com/office/drawing/2010/main"/>
                      </a:ext>
                    </a:extLst>
                  </a:blip>
                  <a:stretch>
                    <a:fillRect/>
                  </a:stretch>
                </pic:blipFill>
                <pic:spPr>
                  <a:xfrm>
                    <a:off x="0" y="0"/>
                    <a:ext cx="524510" cy="438150"/>
                  </a:xfrm>
                  <a:prstGeom prst="rect">
                    <a:avLst/>
                  </a:prstGeom>
                </pic:spPr>
              </pic:pic>
            </a:graphicData>
          </a:graphic>
        </wp:anchor>
      </w:drawing>
    </w:r>
    <w:r w:rsidRPr="005C29C5">
      <w:rPr>
        <w:rFonts w:ascii="Times New Roman" w:hAnsi="Times New Roman" w:cs="Times New Roman"/>
        <w:color w:val="8496B0" w:themeColor="text2" w:themeTint="99"/>
        <w:spacing w:val="60"/>
      </w:rPr>
      <w:t>Page</w:t>
    </w:r>
    <w:r w:rsidRPr="005C29C5">
      <w:rPr>
        <w:rFonts w:ascii="Times New Roman" w:hAnsi="Times New Roman" w:cs="Times New Roman"/>
        <w:color w:val="8496B0" w:themeColor="text2" w:themeTint="99"/>
      </w:rPr>
      <w:t xml:space="preserve"> </w:t>
    </w:r>
    <w:r w:rsidRPr="005C29C5">
      <w:rPr>
        <w:rFonts w:ascii="Times New Roman" w:hAnsi="Times New Roman" w:cs="Times New Roman"/>
        <w:color w:val="323E4F" w:themeColor="text2" w:themeShade="BF"/>
      </w:rPr>
      <w:fldChar w:fldCharType="begin"/>
    </w:r>
    <w:r w:rsidRPr="005C29C5">
      <w:rPr>
        <w:rFonts w:ascii="Times New Roman" w:hAnsi="Times New Roman" w:cs="Times New Roman"/>
        <w:color w:val="323E4F" w:themeColor="text2" w:themeShade="BF"/>
      </w:rPr>
      <w:instrText>PAGE   \* MERGEFORMAT</w:instrText>
    </w:r>
    <w:r w:rsidRPr="005C29C5">
      <w:rPr>
        <w:rFonts w:ascii="Times New Roman" w:hAnsi="Times New Roman" w:cs="Times New Roman"/>
        <w:color w:val="323E4F" w:themeColor="text2" w:themeShade="BF"/>
      </w:rPr>
      <w:fldChar w:fldCharType="separate"/>
    </w:r>
    <w:r w:rsidR="00332A41">
      <w:rPr>
        <w:rFonts w:ascii="Times New Roman" w:hAnsi="Times New Roman" w:cs="Times New Roman"/>
        <w:noProof/>
        <w:color w:val="323E4F" w:themeColor="text2" w:themeShade="BF"/>
      </w:rPr>
      <w:t>119</w:t>
    </w:r>
    <w:r w:rsidRPr="005C29C5">
      <w:rPr>
        <w:rFonts w:ascii="Times New Roman" w:hAnsi="Times New Roman" w:cs="Times New Roman"/>
        <w:color w:val="323E4F" w:themeColor="text2" w:themeShade="BF"/>
      </w:rPr>
      <w:fldChar w:fldCharType="end"/>
    </w:r>
    <w:r w:rsidRPr="005C29C5">
      <w:rPr>
        <w:rFonts w:ascii="Times New Roman" w:hAnsi="Times New Roman" w:cs="Times New Roman"/>
        <w:color w:val="323E4F" w:themeColor="text2" w:themeShade="BF"/>
      </w:rPr>
      <w:t xml:space="preserve"> | </w:t>
    </w:r>
    <w:r w:rsidRPr="005C29C5">
      <w:rPr>
        <w:rFonts w:ascii="Times New Roman" w:hAnsi="Times New Roman" w:cs="Times New Roman"/>
        <w:color w:val="323E4F" w:themeColor="text2" w:themeShade="BF"/>
      </w:rPr>
      <w:fldChar w:fldCharType="begin"/>
    </w:r>
    <w:r w:rsidRPr="005C29C5">
      <w:rPr>
        <w:rFonts w:ascii="Times New Roman" w:hAnsi="Times New Roman" w:cs="Times New Roman"/>
        <w:color w:val="323E4F" w:themeColor="text2" w:themeShade="BF"/>
      </w:rPr>
      <w:instrText>NUMPAGES  \* Arabic  \* MERGEFORMAT</w:instrText>
    </w:r>
    <w:r w:rsidRPr="005C29C5">
      <w:rPr>
        <w:rFonts w:ascii="Times New Roman" w:hAnsi="Times New Roman" w:cs="Times New Roman"/>
        <w:color w:val="323E4F" w:themeColor="text2" w:themeShade="BF"/>
      </w:rPr>
      <w:fldChar w:fldCharType="separate"/>
    </w:r>
    <w:r w:rsidR="00332A41">
      <w:rPr>
        <w:rFonts w:ascii="Times New Roman" w:hAnsi="Times New Roman" w:cs="Times New Roman"/>
        <w:noProof/>
        <w:color w:val="323E4F" w:themeColor="text2" w:themeShade="BF"/>
      </w:rPr>
      <w:t>122</w:t>
    </w:r>
    <w:r w:rsidRPr="005C29C5">
      <w:rPr>
        <w:rFonts w:ascii="Times New Roman" w:hAnsi="Times New Roman" w:cs="Times New Roman"/>
        <w:color w:val="323E4F" w:themeColor="text2" w:themeShade="BF"/>
      </w:rPr>
      <w:fldChar w:fldCharType="end"/>
    </w:r>
  </w:p>
  <w:p w:rsidR="003C548E" w:rsidRDefault="003C548E" w:rsidP="0058308B">
    <w:pPr>
      <w:pStyle w:val="Rodap"/>
    </w:pPr>
  </w:p>
  <w:p w:rsidR="003C548E" w:rsidRPr="0022298A" w:rsidRDefault="003C548E" w:rsidP="0022298A">
    <w:pPr>
      <w:pStyle w:val="Rodap"/>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548E" w:rsidRPr="005C29C5" w:rsidRDefault="003C548E" w:rsidP="00FD763C">
    <w:pPr>
      <w:tabs>
        <w:tab w:val="center" w:pos="4550"/>
        <w:tab w:val="left" w:pos="5818"/>
      </w:tabs>
      <w:ind w:right="260"/>
      <w:jc w:val="right"/>
      <w:rPr>
        <w:rFonts w:ascii="Times New Roman" w:hAnsi="Times New Roman" w:cs="Times New Roman"/>
        <w:color w:val="222A35" w:themeColor="text2" w:themeShade="80"/>
      </w:rPr>
    </w:pPr>
    <w:r>
      <w:rPr>
        <w:noProof/>
        <w:lang w:val="pt-PT" w:eastAsia="pt-PT"/>
      </w:rPr>
      <w:drawing>
        <wp:anchor distT="0" distB="0" distL="114300" distR="114300" simplePos="0" relativeHeight="251709440" behindDoc="1" locked="0" layoutInCell="1" allowOverlap="1" wp14:anchorId="280C5D30" wp14:editId="7D5FCD9B">
          <wp:simplePos x="0" y="0"/>
          <wp:positionH relativeFrom="leftMargin">
            <wp:align>right</wp:align>
          </wp:positionH>
          <wp:positionV relativeFrom="page">
            <wp:posOffset>10039350</wp:posOffset>
          </wp:positionV>
          <wp:extent cx="524510" cy="438150"/>
          <wp:effectExtent l="0" t="0" r="8890" b="0"/>
          <wp:wrapTight wrapText="bothSides">
            <wp:wrapPolygon edited="0">
              <wp:start x="3923" y="0"/>
              <wp:lineTo x="0" y="2817"/>
              <wp:lineTo x="0" y="16904"/>
              <wp:lineTo x="4707" y="20661"/>
              <wp:lineTo x="6276" y="20661"/>
              <wp:lineTo x="14906" y="20661"/>
              <wp:lineTo x="16475" y="20661"/>
              <wp:lineTo x="21182" y="16904"/>
              <wp:lineTo x="21182" y="12209"/>
              <wp:lineTo x="20397" y="0"/>
              <wp:lineTo x="3923" y="0"/>
            </wp:wrapPolygon>
          </wp:wrapTight>
          <wp:docPr id="121" name="Imag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LOGO2.tif"/>
                  <pic:cNvPicPr/>
                </pic:nvPicPr>
                <pic:blipFill>
                  <a:blip r:embed="rId1" cstate="email">
                    <a:extLst>
                      <a:ext uri="{28A0092B-C50C-407E-A947-70E740481C1C}">
                        <a14:useLocalDpi xmlns:a14="http://schemas.microsoft.com/office/drawing/2010/main"/>
                      </a:ext>
                    </a:extLst>
                  </a:blip>
                  <a:stretch>
                    <a:fillRect/>
                  </a:stretch>
                </pic:blipFill>
                <pic:spPr>
                  <a:xfrm>
                    <a:off x="0" y="0"/>
                    <a:ext cx="524510" cy="438150"/>
                  </a:xfrm>
                  <a:prstGeom prst="rect">
                    <a:avLst/>
                  </a:prstGeom>
                </pic:spPr>
              </pic:pic>
            </a:graphicData>
          </a:graphic>
        </wp:anchor>
      </w:drawing>
    </w:r>
    <w:r w:rsidRPr="005C29C5">
      <w:rPr>
        <w:rFonts w:ascii="Times New Roman" w:hAnsi="Times New Roman" w:cs="Times New Roman"/>
        <w:color w:val="8496B0" w:themeColor="text2" w:themeTint="99"/>
        <w:spacing w:val="60"/>
      </w:rPr>
      <w:t>Page</w:t>
    </w:r>
    <w:r w:rsidRPr="005C29C5">
      <w:rPr>
        <w:rFonts w:ascii="Times New Roman" w:hAnsi="Times New Roman" w:cs="Times New Roman"/>
        <w:color w:val="8496B0" w:themeColor="text2" w:themeTint="99"/>
      </w:rPr>
      <w:t xml:space="preserve"> </w:t>
    </w:r>
    <w:r w:rsidRPr="005C29C5">
      <w:rPr>
        <w:rFonts w:ascii="Times New Roman" w:hAnsi="Times New Roman" w:cs="Times New Roman"/>
        <w:color w:val="323E4F" w:themeColor="text2" w:themeShade="BF"/>
      </w:rPr>
      <w:fldChar w:fldCharType="begin"/>
    </w:r>
    <w:r w:rsidRPr="005C29C5">
      <w:rPr>
        <w:rFonts w:ascii="Times New Roman" w:hAnsi="Times New Roman" w:cs="Times New Roman"/>
        <w:color w:val="323E4F" w:themeColor="text2" w:themeShade="BF"/>
      </w:rPr>
      <w:instrText>PAGE   \* MERGEFORMAT</w:instrText>
    </w:r>
    <w:r w:rsidRPr="005C29C5">
      <w:rPr>
        <w:rFonts w:ascii="Times New Roman" w:hAnsi="Times New Roman" w:cs="Times New Roman"/>
        <w:color w:val="323E4F" w:themeColor="text2" w:themeShade="BF"/>
      </w:rPr>
      <w:fldChar w:fldCharType="separate"/>
    </w:r>
    <w:r w:rsidR="00332A41">
      <w:rPr>
        <w:rFonts w:ascii="Times New Roman" w:hAnsi="Times New Roman" w:cs="Times New Roman"/>
        <w:noProof/>
        <w:color w:val="323E4F" w:themeColor="text2" w:themeShade="BF"/>
      </w:rPr>
      <w:t>151</w:t>
    </w:r>
    <w:r w:rsidRPr="005C29C5">
      <w:rPr>
        <w:rFonts w:ascii="Times New Roman" w:hAnsi="Times New Roman" w:cs="Times New Roman"/>
        <w:color w:val="323E4F" w:themeColor="text2" w:themeShade="BF"/>
      </w:rPr>
      <w:fldChar w:fldCharType="end"/>
    </w:r>
    <w:r w:rsidRPr="005C29C5">
      <w:rPr>
        <w:rFonts w:ascii="Times New Roman" w:hAnsi="Times New Roman" w:cs="Times New Roman"/>
        <w:color w:val="323E4F" w:themeColor="text2" w:themeShade="BF"/>
      </w:rPr>
      <w:t xml:space="preserve"> | </w:t>
    </w:r>
    <w:r w:rsidRPr="005C29C5">
      <w:rPr>
        <w:rFonts w:ascii="Times New Roman" w:hAnsi="Times New Roman" w:cs="Times New Roman"/>
        <w:color w:val="323E4F" w:themeColor="text2" w:themeShade="BF"/>
      </w:rPr>
      <w:fldChar w:fldCharType="begin"/>
    </w:r>
    <w:r w:rsidRPr="005C29C5">
      <w:rPr>
        <w:rFonts w:ascii="Times New Roman" w:hAnsi="Times New Roman" w:cs="Times New Roman"/>
        <w:color w:val="323E4F" w:themeColor="text2" w:themeShade="BF"/>
      </w:rPr>
      <w:instrText>NUMPAGES  \* Arabic  \* MERGEFORMAT</w:instrText>
    </w:r>
    <w:r w:rsidRPr="005C29C5">
      <w:rPr>
        <w:rFonts w:ascii="Times New Roman" w:hAnsi="Times New Roman" w:cs="Times New Roman"/>
        <w:color w:val="323E4F" w:themeColor="text2" w:themeShade="BF"/>
      </w:rPr>
      <w:fldChar w:fldCharType="separate"/>
    </w:r>
    <w:r w:rsidR="00332A41">
      <w:rPr>
        <w:rFonts w:ascii="Times New Roman" w:hAnsi="Times New Roman" w:cs="Times New Roman"/>
        <w:noProof/>
        <w:color w:val="323E4F" w:themeColor="text2" w:themeShade="BF"/>
      </w:rPr>
      <w:t>151</w:t>
    </w:r>
    <w:r w:rsidRPr="005C29C5">
      <w:rPr>
        <w:rFonts w:ascii="Times New Roman" w:hAnsi="Times New Roman" w:cs="Times New Roman"/>
        <w:color w:val="323E4F" w:themeColor="text2" w:themeShade="BF"/>
      </w:rPr>
      <w:fldChar w:fldCharType="end"/>
    </w: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548E" w:rsidRPr="005C29C5" w:rsidRDefault="003C548E" w:rsidP="00FD763C">
    <w:pPr>
      <w:tabs>
        <w:tab w:val="center" w:pos="4550"/>
        <w:tab w:val="left" w:pos="5818"/>
      </w:tabs>
      <w:ind w:right="260"/>
      <w:jc w:val="right"/>
      <w:rPr>
        <w:rFonts w:ascii="Times New Roman" w:hAnsi="Times New Roman" w:cs="Times New Roman"/>
        <w:color w:val="222A35" w:themeColor="text2" w:themeShade="80"/>
      </w:rPr>
    </w:pPr>
    <w:r w:rsidRPr="005C29C5">
      <w:rPr>
        <w:rFonts w:ascii="Times New Roman" w:hAnsi="Times New Roman" w:cs="Times New Roman"/>
        <w:color w:val="8496B0" w:themeColor="text2" w:themeTint="99"/>
        <w:spacing w:val="60"/>
      </w:rPr>
      <w:t>Page</w:t>
    </w:r>
    <w:r w:rsidRPr="005C29C5">
      <w:rPr>
        <w:rFonts w:ascii="Times New Roman" w:hAnsi="Times New Roman" w:cs="Times New Roman"/>
        <w:color w:val="8496B0" w:themeColor="text2" w:themeTint="99"/>
      </w:rPr>
      <w:t xml:space="preserve"> </w:t>
    </w:r>
    <w:r w:rsidRPr="005C29C5">
      <w:rPr>
        <w:rFonts w:ascii="Times New Roman" w:hAnsi="Times New Roman" w:cs="Times New Roman"/>
        <w:color w:val="323E4F" w:themeColor="text2" w:themeShade="BF"/>
      </w:rPr>
      <w:fldChar w:fldCharType="begin"/>
    </w:r>
    <w:r w:rsidRPr="005C29C5">
      <w:rPr>
        <w:rFonts w:ascii="Times New Roman" w:hAnsi="Times New Roman" w:cs="Times New Roman"/>
        <w:color w:val="323E4F" w:themeColor="text2" w:themeShade="BF"/>
      </w:rPr>
      <w:instrText>PAGE   \* MERGEFORMAT</w:instrText>
    </w:r>
    <w:r w:rsidRPr="005C29C5">
      <w:rPr>
        <w:rFonts w:ascii="Times New Roman" w:hAnsi="Times New Roman" w:cs="Times New Roman"/>
        <w:color w:val="323E4F" w:themeColor="text2" w:themeShade="BF"/>
      </w:rPr>
      <w:fldChar w:fldCharType="separate"/>
    </w:r>
    <w:r w:rsidR="00332A41">
      <w:rPr>
        <w:rFonts w:ascii="Times New Roman" w:hAnsi="Times New Roman" w:cs="Times New Roman"/>
        <w:noProof/>
        <w:color w:val="323E4F" w:themeColor="text2" w:themeShade="BF"/>
      </w:rPr>
      <w:t>197</w:t>
    </w:r>
    <w:r w:rsidRPr="005C29C5">
      <w:rPr>
        <w:rFonts w:ascii="Times New Roman" w:hAnsi="Times New Roman" w:cs="Times New Roman"/>
        <w:color w:val="323E4F" w:themeColor="text2" w:themeShade="BF"/>
      </w:rPr>
      <w:fldChar w:fldCharType="end"/>
    </w:r>
    <w:r w:rsidRPr="005C29C5">
      <w:rPr>
        <w:rFonts w:ascii="Times New Roman" w:hAnsi="Times New Roman" w:cs="Times New Roman"/>
        <w:color w:val="323E4F" w:themeColor="text2" w:themeShade="BF"/>
      </w:rPr>
      <w:t xml:space="preserve"> | </w:t>
    </w:r>
    <w:r w:rsidRPr="005C29C5">
      <w:rPr>
        <w:rFonts w:ascii="Times New Roman" w:hAnsi="Times New Roman" w:cs="Times New Roman"/>
        <w:color w:val="323E4F" w:themeColor="text2" w:themeShade="BF"/>
      </w:rPr>
      <w:fldChar w:fldCharType="begin"/>
    </w:r>
    <w:r w:rsidRPr="005C29C5">
      <w:rPr>
        <w:rFonts w:ascii="Times New Roman" w:hAnsi="Times New Roman" w:cs="Times New Roman"/>
        <w:color w:val="323E4F" w:themeColor="text2" w:themeShade="BF"/>
      </w:rPr>
      <w:instrText>NUMPAGES  \* Arabic  \* MERGEFORMAT</w:instrText>
    </w:r>
    <w:r w:rsidRPr="005C29C5">
      <w:rPr>
        <w:rFonts w:ascii="Times New Roman" w:hAnsi="Times New Roman" w:cs="Times New Roman"/>
        <w:color w:val="323E4F" w:themeColor="text2" w:themeShade="BF"/>
      </w:rPr>
      <w:fldChar w:fldCharType="separate"/>
    </w:r>
    <w:r w:rsidR="00332A41">
      <w:rPr>
        <w:rFonts w:ascii="Times New Roman" w:hAnsi="Times New Roman" w:cs="Times New Roman"/>
        <w:noProof/>
        <w:color w:val="323E4F" w:themeColor="text2" w:themeShade="BF"/>
      </w:rPr>
      <w:t>197</w:t>
    </w:r>
    <w:r w:rsidRPr="005C29C5">
      <w:rPr>
        <w:rFonts w:ascii="Times New Roman" w:hAnsi="Times New Roman" w:cs="Times New Roman"/>
        <w:color w:val="323E4F" w:themeColor="text2" w:themeShade="BF"/>
      </w:rPr>
      <w:fldChar w:fldCharType="end"/>
    </w:r>
  </w:p>
  <w:p w:rsidR="003C548E" w:rsidRPr="00FD763C" w:rsidRDefault="003C548E" w:rsidP="00FD763C">
    <w:pPr>
      <w:pStyle w:val="Rodap"/>
    </w:pPr>
    <w:r>
      <w:rPr>
        <w:noProof/>
        <w:lang w:val="pt-PT" w:eastAsia="pt-PT"/>
      </w:rPr>
      <w:drawing>
        <wp:anchor distT="0" distB="0" distL="114300" distR="114300" simplePos="0" relativeHeight="251711488" behindDoc="1" locked="0" layoutInCell="1" allowOverlap="1" wp14:anchorId="75F8AC43" wp14:editId="5FF57CF3">
          <wp:simplePos x="0" y="0"/>
          <wp:positionH relativeFrom="leftMargin">
            <wp:posOffset>566420</wp:posOffset>
          </wp:positionH>
          <wp:positionV relativeFrom="page">
            <wp:posOffset>10109835</wp:posOffset>
          </wp:positionV>
          <wp:extent cx="524510" cy="438150"/>
          <wp:effectExtent l="0" t="0" r="8890" b="0"/>
          <wp:wrapTight wrapText="bothSides">
            <wp:wrapPolygon edited="0">
              <wp:start x="3923" y="0"/>
              <wp:lineTo x="0" y="2817"/>
              <wp:lineTo x="0" y="16904"/>
              <wp:lineTo x="4707" y="20661"/>
              <wp:lineTo x="6276" y="20661"/>
              <wp:lineTo x="14906" y="20661"/>
              <wp:lineTo x="16475" y="20661"/>
              <wp:lineTo x="21182" y="16904"/>
              <wp:lineTo x="21182" y="12209"/>
              <wp:lineTo x="20397" y="0"/>
              <wp:lineTo x="3923" y="0"/>
            </wp:wrapPolygon>
          </wp:wrapTight>
          <wp:docPr id="1933" name="Image 19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LOGO2.tif"/>
                  <pic:cNvPicPr/>
                </pic:nvPicPr>
                <pic:blipFill>
                  <a:blip r:embed="rId1" cstate="email">
                    <a:extLst>
                      <a:ext uri="{28A0092B-C50C-407E-A947-70E740481C1C}">
                        <a14:useLocalDpi xmlns:a14="http://schemas.microsoft.com/office/drawing/2010/main"/>
                      </a:ext>
                    </a:extLst>
                  </a:blip>
                  <a:stretch>
                    <a:fillRect/>
                  </a:stretch>
                </pic:blipFill>
                <pic:spPr>
                  <a:xfrm>
                    <a:off x="0" y="0"/>
                    <a:ext cx="524510" cy="438150"/>
                  </a:xfrm>
                  <a:prstGeom prst="rect">
                    <a:avLst/>
                  </a:prstGeom>
                </pic:spPr>
              </pic:pic>
            </a:graphicData>
          </a:graphic>
        </wp:anchor>
      </w:drawing>
    </w: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548E" w:rsidRPr="00FD763C" w:rsidRDefault="003C548E" w:rsidP="00FD763C">
    <w:pPr>
      <w:tabs>
        <w:tab w:val="center" w:pos="4550"/>
        <w:tab w:val="left" w:pos="5818"/>
      </w:tabs>
      <w:ind w:right="260"/>
      <w:jc w:val="right"/>
      <w:rPr>
        <w:rFonts w:ascii="Times New Roman" w:hAnsi="Times New Roman" w:cs="Times New Roman"/>
        <w:color w:val="222A35" w:themeColor="text2" w:themeShade="80"/>
      </w:rPr>
    </w:pPr>
    <w:r w:rsidRPr="005C29C5">
      <w:rPr>
        <w:rFonts w:ascii="Times New Roman" w:hAnsi="Times New Roman" w:cs="Times New Roman"/>
        <w:color w:val="8496B0" w:themeColor="text2" w:themeTint="99"/>
        <w:spacing w:val="60"/>
      </w:rPr>
      <w:t>Page</w:t>
    </w:r>
    <w:r w:rsidRPr="005C29C5">
      <w:rPr>
        <w:rFonts w:ascii="Times New Roman" w:hAnsi="Times New Roman" w:cs="Times New Roman"/>
        <w:color w:val="8496B0" w:themeColor="text2" w:themeTint="99"/>
      </w:rPr>
      <w:t xml:space="preserve"> </w:t>
    </w:r>
    <w:r w:rsidRPr="005C29C5">
      <w:rPr>
        <w:rFonts w:ascii="Times New Roman" w:hAnsi="Times New Roman" w:cs="Times New Roman"/>
        <w:color w:val="323E4F" w:themeColor="text2" w:themeShade="BF"/>
      </w:rPr>
      <w:fldChar w:fldCharType="begin"/>
    </w:r>
    <w:r w:rsidRPr="005C29C5">
      <w:rPr>
        <w:rFonts w:ascii="Times New Roman" w:hAnsi="Times New Roman" w:cs="Times New Roman"/>
        <w:color w:val="323E4F" w:themeColor="text2" w:themeShade="BF"/>
      </w:rPr>
      <w:instrText>PAGE   \* MERGEFORMAT</w:instrText>
    </w:r>
    <w:r w:rsidRPr="005C29C5">
      <w:rPr>
        <w:rFonts w:ascii="Times New Roman" w:hAnsi="Times New Roman" w:cs="Times New Roman"/>
        <w:color w:val="323E4F" w:themeColor="text2" w:themeShade="BF"/>
      </w:rPr>
      <w:fldChar w:fldCharType="separate"/>
    </w:r>
    <w:r w:rsidR="00332A41">
      <w:rPr>
        <w:rFonts w:ascii="Times New Roman" w:hAnsi="Times New Roman" w:cs="Times New Roman"/>
        <w:noProof/>
        <w:color w:val="323E4F" w:themeColor="text2" w:themeShade="BF"/>
      </w:rPr>
      <w:t>274</w:t>
    </w:r>
    <w:r w:rsidRPr="005C29C5">
      <w:rPr>
        <w:rFonts w:ascii="Times New Roman" w:hAnsi="Times New Roman" w:cs="Times New Roman"/>
        <w:color w:val="323E4F" w:themeColor="text2" w:themeShade="BF"/>
      </w:rPr>
      <w:fldChar w:fldCharType="end"/>
    </w:r>
    <w:r w:rsidRPr="005C29C5">
      <w:rPr>
        <w:rFonts w:ascii="Times New Roman" w:hAnsi="Times New Roman" w:cs="Times New Roman"/>
        <w:color w:val="323E4F" w:themeColor="text2" w:themeShade="BF"/>
      </w:rPr>
      <w:t xml:space="preserve"> | </w:t>
    </w:r>
    <w:r w:rsidRPr="005C29C5">
      <w:rPr>
        <w:rFonts w:ascii="Times New Roman" w:hAnsi="Times New Roman" w:cs="Times New Roman"/>
        <w:color w:val="323E4F" w:themeColor="text2" w:themeShade="BF"/>
      </w:rPr>
      <w:fldChar w:fldCharType="begin"/>
    </w:r>
    <w:r w:rsidRPr="005C29C5">
      <w:rPr>
        <w:rFonts w:ascii="Times New Roman" w:hAnsi="Times New Roman" w:cs="Times New Roman"/>
        <w:color w:val="323E4F" w:themeColor="text2" w:themeShade="BF"/>
      </w:rPr>
      <w:instrText>NUMPAGES  \* Arabic  \* MERGEFORMAT</w:instrText>
    </w:r>
    <w:r w:rsidRPr="005C29C5">
      <w:rPr>
        <w:rFonts w:ascii="Times New Roman" w:hAnsi="Times New Roman" w:cs="Times New Roman"/>
        <w:color w:val="323E4F" w:themeColor="text2" w:themeShade="BF"/>
      </w:rPr>
      <w:fldChar w:fldCharType="separate"/>
    </w:r>
    <w:r w:rsidR="00332A41">
      <w:rPr>
        <w:rFonts w:ascii="Times New Roman" w:hAnsi="Times New Roman" w:cs="Times New Roman"/>
        <w:noProof/>
        <w:color w:val="323E4F" w:themeColor="text2" w:themeShade="BF"/>
      </w:rPr>
      <w:t>274</w:t>
    </w:r>
    <w:r w:rsidRPr="005C29C5">
      <w:rPr>
        <w:rFonts w:ascii="Times New Roman" w:hAnsi="Times New Roman" w:cs="Times New Roman"/>
        <w:color w:val="323E4F" w:themeColor="text2" w:themeShade="BF"/>
      </w:rPr>
      <w:fldChar w:fldCharType="end"/>
    </w:r>
    <w:r>
      <w:rPr>
        <w:noProof/>
        <w:lang w:val="pt-PT" w:eastAsia="pt-PT"/>
      </w:rPr>
      <w:drawing>
        <wp:anchor distT="0" distB="0" distL="114300" distR="114300" simplePos="0" relativeHeight="251713536" behindDoc="1" locked="0" layoutInCell="1" allowOverlap="1" wp14:anchorId="7D03B44A" wp14:editId="12287312">
          <wp:simplePos x="0" y="0"/>
          <wp:positionH relativeFrom="leftMargin">
            <wp:posOffset>566420</wp:posOffset>
          </wp:positionH>
          <wp:positionV relativeFrom="page">
            <wp:posOffset>10109835</wp:posOffset>
          </wp:positionV>
          <wp:extent cx="524510" cy="438150"/>
          <wp:effectExtent l="0" t="0" r="8890" b="0"/>
          <wp:wrapTight wrapText="bothSides">
            <wp:wrapPolygon edited="0">
              <wp:start x="3923" y="0"/>
              <wp:lineTo x="0" y="2817"/>
              <wp:lineTo x="0" y="16904"/>
              <wp:lineTo x="4707" y="20661"/>
              <wp:lineTo x="6276" y="20661"/>
              <wp:lineTo x="14906" y="20661"/>
              <wp:lineTo x="16475" y="20661"/>
              <wp:lineTo x="21182" y="16904"/>
              <wp:lineTo x="21182" y="12209"/>
              <wp:lineTo x="20397" y="0"/>
              <wp:lineTo x="3923" y="0"/>
            </wp:wrapPolygon>
          </wp:wrapTight>
          <wp:docPr id="1939" name="Image 19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LOGO2.tif"/>
                  <pic:cNvPicPr/>
                </pic:nvPicPr>
                <pic:blipFill>
                  <a:blip r:embed="rId1" cstate="email">
                    <a:extLst>
                      <a:ext uri="{28A0092B-C50C-407E-A947-70E740481C1C}">
                        <a14:useLocalDpi xmlns:a14="http://schemas.microsoft.com/office/drawing/2010/main"/>
                      </a:ext>
                    </a:extLst>
                  </a:blip>
                  <a:stretch>
                    <a:fillRect/>
                  </a:stretch>
                </pic:blipFill>
                <pic:spPr>
                  <a:xfrm>
                    <a:off x="0" y="0"/>
                    <a:ext cx="524510" cy="43815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055AF" w:rsidRDefault="007055AF" w:rsidP="00825620">
      <w:pPr>
        <w:spacing w:after="0" w:line="240" w:lineRule="auto"/>
      </w:pPr>
      <w:r>
        <w:separator/>
      </w:r>
    </w:p>
  </w:footnote>
  <w:footnote w:type="continuationSeparator" w:id="0">
    <w:p w:rsidR="007055AF" w:rsidRDefault="007055AF" w:rsidP="00825620">
      <w:pPr>
        <w:spacing w:after="0" w:line="240" w:lineRule="auto"/>
      </w:pPr>
      <w:r>
        <w:continuationSeparator/>
      </w:r>
    </w:p>
  </w:footnote>
  <w:footnote w:id="1">
    <w:p w:rsidR="003C548E" w:rsidRPr="0061275A" w:rsidRDefault="003C548E" w:rsidP="005505AF">
      <w:pPr>
        <w:contextualSpacing/>
        <w:jc w:val="both"/>
      </w:pPr>
      <w:r>
        <w:rPr>
          <w:rStyle w:val="Refdenotaderodap"/>
        </w:rPr>
        <w:footnoteRef/>
      </w:r>
      <w:r w:rsidRPr="0061275A">
        <w:t xml:space="preserve"> </w:t>
      </w:r>
      <w:r w:rsidRPr="0061275A">
        <w:rPr>
          <w:sz w:val="20"/>
          <w:szCs w:val="20"/>
        </w:rPr>
        <w:t>La production journalière du forage dans le site de Guinée Télécom est de l’ordre de 5000 m3/j. La capacité du réservoir en construction (en phase de conclusion) est de 750 m3.</w:t>
      </w:r>
    </w:p>
  </w:footnote>
  <w:footnote w:id="2">
    <w:p w:rsidR="003C548E" w:rsidRPr="003C548E" w:rsidRDefault="003C548E" w:rsidP="00830B1F">
      <w:pPr>
        <w:pStyle w:val="Textodenotaderodap"/>
        <w:rPr>
          <w:lang w:val="fr-FR"/>
        </w:rPr>
      </w:pPr>
      <w:r>
        <w:rPr>
          <w:rStyle w:val="Refdenotaderodap"/>
          <w:rFonts w:eastAsia="Calibri"/>
        </w:rPr>
        <w:footnoteRef/>
      </w:r>
      <w:r w:rsidRPr="003C548E">
        <w:rPr>
          <w:lang w:val="fr-FR"/>
        </w:rPr>
        <w:t xml:space="preserve"> Fiches de données de sécurité à annexer au rapport d’EIES</w:t>
      </w:r>
    </w:p>
  </w:footnote>
  <w:footnote w:id="3">
    <w:p w:rsidR="003C548E" w:rsidRDefault="003C548E" w:rsidP="00830B1F">
      <w:pPr>
        <w:pStyle w:val="Textodenotaderodap"/>
      </w:pPr>
      <w:r>
        <w:rPr>
          <w:rStyle w:val="Refdenotaderodap"/>
          <w:rFonts w:eastAsia="Calibri"/>
        </w:rPr>
        <w:footnoteRef/>
      </w:r>
      <w:r>
        <w:t xml:space="preserve"> Dans les conditions d’utilisation normale</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548E" w:rsidRPr="003C548E" w:rsidRDefault="003C548E" w:rsidP="00362638">
    <w:pPr>
      <w:pStyle w:val="Cabealho"/>
      <w:jc w:val="center"/>
      <w:rPr>
        <w:rFonts w:ascii="Times New Roman" w:hAnsi="Times New Roman" w:cs="Times New Roman"/>
        <w:color w:val="000000" w:themeColor="text1"/>
        <w:sz w:val="16"/>
        <w:szCs w:val="16"/>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91E6D">
      <w:rPr>
        <w:rFonts w:ascii="Times New Roman" w:eastAsia="Calibri" w:hAnsi="Times New Roman" w:cs="Times New Roman"/>
        <w:noProof/>
        <w:color w:val="000000" w:themeColor="text1"/>
        <w:sz w:val="16"/>
        <w:szCs w:val="16"/>
        <w:lang w:val="pt-PT" w:eastAsia="pt-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drawing>
        <wp:anchor distT="0" distB="0" distL="114300" distR="114300" simplePos="0" relativeHeight="251720704" behindDoc="1" locked="0" layoutInCell="1" allowOverlap="1" wp14:anchorId="56642701" wp14:editId="5B392881">
          <wp:simplePos x="0" y="0"/>
          <wp:positionH relativeFrom="leftMargin">
            <wp:posOffset>161925</wp:posOffset>
          </wp:positionH>
          <wp:positionV relativeFrom="topMargin">
            <wp:posOffset>123825</wp:posOffset>
          </wp:positionV>
          <wp:extent cx="571077" cy="304800"/>
          <wp:effectExtent l="19050" t="19050" r="19685" b="19050"/>
          <wp:wrapNone/>
          <wp:docPr id="500" name="Image 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2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1077" cy="304800"/>
                  </a:xfrm>
                  <a:prstGeom prst="rect">
                    <a:avLst/>
                  </a:prstGeom>
                  <a:noFill/>
                  <a:ln w="9525">
                    <a:solidFill>
                      <a:srgbClr val="FFFFFF"/>
                    </a:solidFill>
                    <a:miter lim="800000"/>
                    <a:headEnd/>
                    <a:tailEnd/>
                  </a:ln>
                </pic:spPr>
              </pic:pic>
            </a:graphicData>
          </a:graphic>
          <wp14:sizeRelH relativeFrom="margin">
            <wp14:pctWidth>0</wp14:pctWidth>
          </wp14:sizeRelH>
          <wp14:sizeRelV relativeFrom="margin">
            <wp14:pctHeight>0</wp14:pctHeight>
          </wp14:sizeRelV>
        </wp:anchor>
      </w:drawing>
    </w:r>
    <w:r w:rsidRPr="003C548E">
      <w:rPr>
        <w:rFonts w:ascii="Times New Roman" w:hAnsi="Times New Roman" w:cs="Times New Roman"/>
        <w:color w:val="000000" w:themeColor="text1"/>
        <w:sz w:val="16"/>
        <w:szCs w:val="16"/>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EMERGENCY PROJECT FOR THE IMPROVEMENT OF WATER AND ELECTRICITY SERVICES (PUASEE) - FA</w:t>
    </w:r>
  </w:p>
  <w:p w:rsidR="003C548E" w:rsidRPr="003C548E" w:rsidRDefault="003C548E" w:rsidP="00362638">
    <w:pPr>
      <w:pStyle w:val="Cabealho"/>
      <w:jc w:val="center"/>
      <w:rPr>
        <w:rFonts w:ascii="Times New Roman" w:hAnsi="Times New Roman" w:cs="Times New Roman"/>
        <w:sz w:val="16"/>
        <w:szCs w:val="16"/>
        <w:lang w:val="en-US"/>
      </w:rPr>
    </w:pPr>
    <w:r w:rsidRPr="00391E6D">
      <w:rPr>
        <w:rFonts w:ascii="Times New Roman" w:hAnsi="Times New Roman" w:cs="Times New Roman"/>
        <w:b/>
        <w:noProof/>
        <w:sz w:val="16"/>
        <w:szCs w:val="16"/>
        <w:lang w:val="pt-PT" w:eastAsia="pt-PT"/>
      </w:rPr>
      <mc:AlternateContent>
        <mc:Choice Requires="wps">
          <w:drawing>
            <wp:anchor distT="45720" distB="45720" distL="114300" distR="114300" simplePos="0" relativeHeight="251721728" behindDoc="1" locked="0" layoutInCell="1" allowOverlap="1" wp14:anchorId="3AD3C038" wp14:editId="6881F8A3">
              <wp:simplePos x="0" y="0"/>
              <wp:positionH relativeFrom="leftMargin">
                <wp:posOffset>-13970</wp:posOffset>
              </wp:positionH>
              <wp:positionV relativeFrom="topMargin">
                <wp:posOffset>416560</wp:posOffset>
              </wp:positionV>
              <wp:extent cx="914400" cy="238125"/>
              <wp:effectExtent l="0" t="0" r="0" b="9525"/>
              <wp:wrapNone/>
              <wp:docPr id="533"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238125"/>
                      </a:xfrm>
                      <a:prstGeom prst="rect">
                        <a:avLst/>
                      </a:prstGeom>
                      <a:solidFill>
                        <a:srgbClr val="CCFF99">
                          <a:alpha val="10980"/>
                        </a:srgbClr>
                      </a:solidFill>
                      <a:ln w="9525">
                        <a:noFill/>
                        <a:miter lim="800000"/>
                        <a:headEnd/>
                        <a:tailEnd/>
                      </a:ln>
                    </wps:spPr>
                    <wps:txbx>
                      <w:txbxContent>
                        <w:p w:rsidR="003C548E" w:rsidRPr="0088003C" w:rsidRDefault="003C548E" w:rsidP="00362638">
                          <w:pPr>
                            <w:rPr>
                              <w:rFonts w:ascii="Lucida Calligraphy" w:hAnsi="Lucida Calligraphy"/>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8003C">
                            <w:rPr>
                              <w:rFonts w:ascii="Lucida Calligraphy" w:hAnsi="Lucida Calligraphy" w:cs="Times New Roman"/>
                              <w:b/>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PUASEE-FA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type w14:anchorId="3AD3C038" id="_x0000_t202" coordsize="21600,21600" o:spt="202" path="m,l,21600r21600,l21600,xe">
              <v:stroke joinstyle="miter"/>
              <v:path gradientshapeok="t" o:connecttype="rect"/>
            </v:shapetype>
            <v:shape id="_x0000_s1070" type="#_x0000_t202" style="position:absolute;left:0;text-align:left;margin-left:-1.1pt;margin-top:32.8pt;width:1in;height:18.75pt;z-index:-251594752;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" fillcolor="#cf9" stroked="f">
              <v:fill opacity="7196f"/>
              <v:textbox>
                <w:txbxContent>
                  <w:p w:rsidR="003C548E" w:rsidRPr="0088003C" w:rsidRDefault="003C548E" w:rsidP="00362638">
                    <w:pPr>
                      <w:rPr>
                        <w:rFonts w:ascii="Lucida Calligraphy" w:hAnsi="Lucida Calligraphy"/>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8003C">
                      <w:rPr>
                        <w:rFonts w:ascii="Lucida Calligraphy" w:hAnsi="Lucida Calligraphy" w:cs="Times New Roman"/>
                        <w:b/>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PUASEE-FA</w:t>
                    </w:r>
                  </w:p>
                </w:txbxContent>
              </v:textbox>
              <w10:wrap anchorx="margin" anchory="margin"/>
            </v:shape>
          </w:pict>
        </mc:Fallback>
      </mc:AlternateContent>
    </w:r>
    <w:r w:rsidRPr="003C548E">
      <w:rPr>
        <w:rFonts w:ascii="Times New Roman" w:hAnsi="Times New Roman" w:cs="Times New Roman"/>
        <w:b/>
        <w:sz w:val="16"/>
        <w:szCs w:val="16"/>
        <w:lang w:val="en-US"/>
      </w:rPr>
      <w:t>ESIA of Sub-Project n ° 2: The construction of four new water towers (Prabis, Safim, Bor and Antula) and the rehabilitation of other existing water towers.</w:t>
    </w:r>
  </w:p>
  <w:p w:rsidR="003C548E" w:rsidRPr="00362638" w:rsidRDefault="003C548E" w:rsidP="00362638">
    <w:pPr>
      <w:pStyle w:val="Cabealho"/>
      <w:jc w:val="right"/>
      <w:rPr>
        <w:rFonts w:ascii="Times New Roman" w:hAnsi="Times New Roman" w:cs="Times New Roman"/>
        <w:color w:val="00B05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C548E">
      <w:rPr>
        <w:rFonts w:ascii="Times New Roman" w:hAnsi="Times New Roman" w:cs="Times New Roman"/>
        <w:color w:val="00B050"/>
        <w:sz w:val="20"/>
        <w:szCs w:val="20"/>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Pr>
        <w:rFonts w:ascii="Times New Roman" w:hAnsi="Times New Roman" w:cs="Times New Roman"/>
        <w:color w:val="00B05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FINAL REPORT</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548E" w:rsidRPr="003C548E" w:rsidRDefault="003C548E" w:rsidP="00362638">
    <w:pPr>
      <w:pStyle w:val="Cabealho"/>
      <w:jc w:val="center"/>
      <w:rPr>
        <w:rFonts w:ascii="Times New Roman" w:hAnsi="Times New Roman" w:cs="Times New Roman"/>
        <w:color w:val="000000" w:themeColor="text1"/>
        <w:sz w:val="16"/>
        <w:szCs w:val="16"/>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91E6D">
      <w:rPr>
        <w:rFonts w:ascii="Times New Roman" w:eastAsia="Calibri" w:hAnsi="Times New Roman" w:cs="Times New Roman"/>
        <w:noProof/>
        <w:color w:val="000000" w:themeColor="text1"/>
        <w:sz w:val="16"/>
        <w:szCs w:val="16"/>
        <w:lang w:val="pt-PT" w:eastAsia="pt-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drawing>
        <wp:anchor distT="0" distB="0" distL="114300" distR="114300" simplePos="0" relativeHeight="251725824" behindDoc="1" locked="0" layoutInCell="1" allowOverlap="1" wp14:anchorId="2FF9BB84" wp14:editId="1A9B7AC4">
          <wp:simplePos x="0" y="0"/>
          <wp:positionH relativeFrom="leftMargin">
            <wp:posOffset>161925</wp:posOffset>
          </wp:positionH>
          <wp:positionV relativeFrom="topMargin">
            <wp:posOffset>123825</wp:posOffset>
          </wp:positionV>
          <wp:extent cx="571077" cy="304800"/>
          <wp:effectExtent l="19050" t="19050" r="19685" b="19050"/>
          <wp:wrapNone/>
          <wp:docPr id="538" name="Image 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2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1077" cy="304800"/>
                  </a:xfrm>
                  <a:prstGeom prst="rect">
                    <a:avLst/>
                  </a:prstGeom>
                  <a:noFill/>
                  <a:ln w="9525">
                    <a:solidFill>
                      <a:srgbClr val="FFFFFF"/>
                    </a:solidFill>
                    <a:miter lim="800000"/>
                    <a:headEnd/>
                    <a:tailEnd/>
                  </a:ln>
                </pic:spPr>
              </pic:pic>
            </a:graphicData>
          </a:graphic>
          <wp14:sizeRelH relativeFrom="margin">
            <wp14:pctWidth>0</wp14:pctWidth>
          </wp14:sizeRelH>
          <wp14:sizeRelV relativeFrom="margin">
            <wp14:pctHeight>0</wp14:pctHeight>
          </wp14:sizeRelV>
        </wp:anchor>
      </w:drawing>
    </w:r>
    <w:r w:rsidRPr="003C548E">
      <w:rPr>
        <w:rFonts w:ascii="Times New Roman" w:hAnsi="Times New Roman" w:cs="Times New Roman"/>
        <w:color w:val="000000" w:themeColor="text1"/>
        <w:sz w:val="16"/>
        <w:szCs w:val="16"/>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PROJETO DE EMERGÊNCIA DE MELHORIA DOS SERVIÇOS DE ÁGUA E ELETRICIDADE (PUASEE) - FA</w:t>
    </w:r>
  </w:p>
  <w:p w:rsidR="003C548E" w:rsidRPr="003C548E" w:rsidRDefault="003C548E" w:rsidP="00362638">
    <w:pPr>
      <w:pStyle w:val="Cabealho"/>
      <w:jc w:val="center"/>
      <w:rPr>
        <w:rFonts w:ascii="Times New Roman" w:hAnsi="Times New Roman" w:cs="Times New Roman"/>
        <w:sz w:val="16"/>
        <w:szCs w:val="16"/>
        <w:lang w:val="pt-BR"/>
      </w:rPr>
    </w:pPr>
    <w:r w:rsidRPr="00391E6D">
      <w:rPr>
        <w:rFonts w:ascii="Times New Roman" w:hAnsi="Times New Roman" w:cs="Times New Roman"/>
        <w:b/>
        <w:noProof/>
        <w:sz w:val="16"/>
        <w:szCs w:val="16"/>
        <w:lang w:val="pt-PT" w:eastAsia="pt-PT"/>
      </w:rPr>
      <mc:AlternateContent>
        <mc:Choice Requires="wps">
          <w:drawing>
            <wp:anchor distT="45720" distB="45720" distL="114300" distR="114300" simplePos="0" relativeHeight="251726848" behindDoc="1" locked="0" layoutInCell="1" allowOverlap="1" wp14:anchorId="59C17370" wp14:editId="6D767F67">
              <wp:simplePos x="0" y="0"/>
              <wp:positionH relativeFrom="leftMargin">
                <wp:posOffset>-13970</wp:posOffset>
              </wp:positionH>
              <wp:positionV relativeFrom="topMargin">
                <wp:posOffset>416560</wp:posOffset>
              </wp:positionV>
              <wp:extent cx="914400" cy="238125"/>
              <wp:effectExtent l="0" t="0" r="0" b="9525"/>
              <wp:wrapNone/>
              <wp:docPr id="536"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238125"/>
                      </a:xfrm>
                      <a:prstGeom prst="rect">
                        <a:avLst/>
                      </a:prstGeom>
                      <a:solidFill>
                        <a:srgbClr val="CCFF99">
                          <a:alpha val="10980"/>
                        </a:srgbClr>
                      </a:solidFill>
                      <a:ln w="9525">
                        <a:noFill/>
                        <a:miter lim="800000"/>
                        <a:headEnd/>
                        <a:tailEnd/>
                      </a:ln>
                    </wps:spPr>
                    <wps:txbx>
                      <w:txbxContent>
                        <w:p w:rsidR="003C548E" w:rsidRPr="0088003C" w:rsidRDefault="003C548E" w:rsidP="00362638">
                          <w:pPr>
                            <w:rPr>
                              <w:rFonts w:ascii="Lucida Calligraphy" w:hAnsi="Lucida Calligraphy"/>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8003C">
                            <w:rPr>
                              <w:rFonts w:ascii="Lucida Calligraphy" w:hAnsi="Lucida Calligraphy" w:cs="Times New Roman"/>
                              <w:b/>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PUASEE-FA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type w14:anchorId="59C17370" id="_x0000_t202" coordsize="21600,21600" o:spt="202" path="m,l,21600r21600,l21600,xe">
              <v:stroke joinstyle="miter"/>
              <v:path gradientshapeok="t" o:connecttype="rect"/>
            </v:shapetype>
            <v:shape id="_x0000_s1071" type="#_x0000_t202" style="position:absolute;left:0;text-align:left;margin-left:-1.1pt;margin-top:32.8pt;width:1in;height:18.75pt;z-index:-251589632;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" fillcolor="#cf9" stroked="f">
              <v:fill opacity="7196f"/>
              <v:textbox>
                <w:txbxContent>
                  <w:p w:rsidR="003C548E" w:rsidRPr="0088003C" w:rsidRDefault="003C548E" w:rsidP="00362638">
                    <w:pPr>
                      <w:rPr>
                        <w:rFonts w:ascii="Lucida Calligraphy" w:hAnsi="Lucida Calligraphy"/>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8003C">
                      <w:rPr>
                        <w:rFonts w:ascii="Lucida Calligraphy" w:hAnsi="Lucida Calligraphy" w:cs="Times New Roman"/>
                        <w:b/>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PUASEE-FA</w:t>
                    </w:r>
                  </w:p>
                </w:txbxContent>
              </v:textbox>
              <w10:wrap anchorx="margin" anchory="margin"/>
            </v:shape>
          </w:pict>
        </mc:Fallback>
      </mc:AlternateContent>
    </w:r>
    <w:r w:rsidRPr="003C548E">
      <w:rPr>
        <w:rFonts w:ascii="Times New Roman" w:hAnsi="Times New Roman" w:cs="Times New Roman"/>
        <w:b/>
        <w:sz w:val="16"/>
        <w:szCs w:val="16"/>
        <w:lang w:val="pt-BR"/>
      </w:rPr>
      <w:t>ESIA do Subprojeto n ° 2: A construção de quatro novas torres de água (Prabis, Safim, Bor e Antula) e a reabilitação de outras torres de água existentes.</w:t>
    </w:r>
  </w:p>
  <w:p w:rsidR="003C548E" w:rsidRPr="00362638" w:rsidRDefault="003C548E" w:rsidP="00362638">
    <w:pPr>
      <w:pStyle w:val="Cabealho"/>
      <w:jc w:val="right"/>
      <w:rPr>
        <w:rFonts w:ascii="Times New Roman" w:hAnsi="Times New Roman" w:cs="Times New Roman"/>
        <w:color w:val="00B05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C548E">
      <w:rPr>
        <w:rFonts w:ascii="Times New Roman" w:hAnsi="Times New Roman" w:cs="Times New Roman"/>
        <w:color w:val="00B050"/>
        <w:sz w:val="20"/>
        <w:szCs w:val="20"/>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Pr>
        <w:rFonts w:ascii="Times New Roman" w:hAnsi="Times New Roman" w:cs="Times New Roman"/>
        <w:color w:val="00B05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RELATÓRIO FINAL</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548E" w:rsidRPr="00391E6D" w:rsidRDefault="003C548E" w:rsidP="00362638">
    <w:pPr>
      <w:pStyle w:val="Cabealho"/>
      <w:jc w:val="center"/>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91E6D">
      <w:rPr>
        <w:rFonts w:ascii="Times New Roman" w:eastAsia="Calibri" w:hAnsi="Times New Roman" w:cs="Times New Roman"/>
        <w:noProof/>
        <w:color w:val="000000" w:themeColor="text1"/>
        <w:sz w:val="16"/>
        <w:szCs w:val="16"/>
        <w:lang w:val="pt-PT" w:eastAsia="pt-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drawing>
        <wp:anchor distT="0" distB="0" distL="114300" distR="114300" simplePos="0" relativeHeight="251715584" behindDoc="1" locked="0" layoutInCell="1" allowOverlap="1" wp14:anchorId="76028BF3" wp14:editId="5ABFDB18">
          <wp:simplePos x="0" y="0"/>
          <wp:positionH relativeFrom="leftMargin">
            <wp:posOffset>161925</wp:posOffset>
          </wp:positionH>
          <wp:positionV relativeFrom="topMargin">
            <wp:posOffset>123825</wp:posOffset>
          </wp:positionV>
          <wp:extent cx="571077" cy="304800"/>
          <wp:effectExtent l="19050" t="19050" r="19685" b="19050"/>
          <wp:wrapNone/>
          <wp:docPr id="531" name="Image 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2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1077" cy="304800"/>
                  </a:xfrm>
                  <a:prstGeom prst="rect">
                    <a:avLst/>
                  </a:prstGeom>
                  <a:noFill/>
                  <a:ln w="9525">
                    <a:solidFill>
                      <a:srgbClr val="FFFFFF"/>
                    </a:solidFill>
                    <a:miter lim="800000"/>
                    <a:headEnd/>
                    <a:tailEnd/>
                  </a:ln>
                </pic:spPr>
              </pic:pic>
            </a:graphicData>
          </a:graphic>
          <wp14:sizeRelH relativeFrom="margin">
            <wp14:pctWidth>0</wp14:pctWidth>
          </wp14:sizeRelH>
          <wp14:sizeRelV relativeFrom="margin">
            <wp14:pctHeight>0</wp14:pctHeight>
          </wp14:sizeRelV>
        </wp:anchor>
      </w:drawing>
    </w:r>
    <w:r w:rsidRPr="00391E6D">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PROJET D'URGENCE POUR L'AMELIORATION DES SERVICES D'EAU ET D'ELECTRICITE (PUASEE) – FA</w:t>
    </w:r>
  </w:p>
  <w:p w:rsidR="003C548E" w:rsidRPr="00391E6D" w:rsidRDefault="003C548E" w:rsidP="00362638">
    <w:pPr>
      <w:pStyle w:val="Cabealho"/>
      <w:jc w:val="center"/>
      <w:rPr>
        <w:rFonts w:ascii="Times New Roman" w:hAnsi="Times New Roman" w:cs="Times New Roman"/>
        <w:sz w:val="16"/>
        <w:szCs w:val="16"/>
      </w:rPr>
    </w:pPr>
    <w:r w:rsidRPr="00391E6D">
      <w:rPr>
        <w:rFonts w:ascii="Times New Roman" w:hAnsi="Times New Roman" w:cs="Times New Roman"/>
        <w:b/>
        <w:noProof/>
        <w:sz w:val="16"/>
        <w:szCs w:val="16"/>
        <w:lang w:val="pt-PT" w:eastAsia="pt-PT"/>
      </w:rPr>
      <mc:AlternateContent>
        <mc:Choice Requires="wps">
          <w:drawing>
            <wp:anchor distT="45720" distB="45720" distL="114300" distR="114300" simplePos="0" relativeHeight="251716608" behindDoc="1" locked="0" layoutInCell="1" allowOverlap="1" wp14:anchorId="0D44FE44" wp14:editId="2ADB2250">
              <wp:simplePos x="0" y="0"/>
              <wp:positionH relativeFrom="leftMargin">
                <wp:posOffset>-13970</wp:posOffset>
              </wp:positionH>
              <wp:positionV relativeFrom="topMargin">
                <wp:posOffset>416560</wp:posOffset>
              </wp:positionV>
              <wp:extent cx="914400" cy="238125"/>
              <wp:effectExtent l="0" t="0" r="0" b="9525"/>
              <wp:wrapNone/>
              <wp:docPr id="34"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238125"/>
                      </a:xfrm>
                      <a:prstGeom prst="rect">
                        <a:avLst/>
                      </a:prstGeom>
                      <a:solidFill>
                        <a:srgbClr val="CCFF99">
                          <a:alpha val="10980"/>
                        </a:srgbClr>
                      </a:solidFill>
                      <a:ln w="9525">
                        <a:noFill/>
                        <a:miter lim="800000"/>
                        <a:headEnd/>
                        <a:tailEnd/>
                      </a:ln>
                    </wps:spPr>
                    <wps:txbx>
                      <w:txbxContent>
                        <w:p w:rsidR="003C548E" w:rsidRPr="0088003C" w:rsidRDefault="003C548E" w:rsidP="00362638">
                          <w:pPr>
                            <w:rPr>
                              <w:rFonts w:ascii="Lucida Calligraphy" w:hAnsi="Lucida Calligraphy"/>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8003C">
                            <w:rPr>
                              <w:rFonts w:ascii="Lucida Calligraphy" w:hAnsi="Lucida Calligraphy" w:cs="Times New Roman"/>
                              <w:b/>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PUASEE-FA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type w14:anchorId="0D44FE44" id="_x0000_t202" coordsize="21600,21600" o:spt="202" path="m,l,21600r21600,l21600,xe">
              <v:stroke joinstyle="miter"/>
              <v:path gradientshapeok="t" o:connecttype="rect"/>
            </v:shapetype>
            <v:shape id="_x0000_s1072" type="#_x0000_t202" style="position:absolute;left:0;text-align:left;margin-left:-1.1pt;margin-top:32.8pt;width:1in;height:18.75pt;z-index:-251599872;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" fillcolor="#cf9" stroked="f">
              <v:fill opacity="7196f"/>
              <v:textbox>
                <w:txbxContent>
                  <w:p w:rsidR="003C548E" w:rsidRPr="0088003C" w:rsidRDefault="003C548E" w:rsidP="00362638">
                    <w:pPr>
                      <w:rPr>
                        <w:rFonts w:ascii="Lucida Calligraphy" w:hAnsi="Lucida Calligraphy"/>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8003C">
                      <w:rPr>
                        <w:rFonts w:ascii="Lucida Calligraphy" w:hAnsi="Lucida Calligraphy" w:cs="Times New Roman"/>
                        <w:b/>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PUASEE-FA</w:t>
                    </w:r>
                  </w:p>
                </w:txbxContent>
              </v:textbox>
              <w10:wrap anchorx="margin" anchory="margin"/>
            </v:shape>
          </w:pict>
        </mc:Fallback>
      </mc:AlternateContent>
    </w:r>
    <w:r>
      <w:rPr>
        <w:rFonts w:ascii="Times New Roman" w:hAnsi="Times New Roman" w:cs="Times New Roman"/>
        <w:b/>
        <w:sz w:val="16"/>
        <w:szCs w:val="16"/>
      </w:rPr>
      <w:t xml:space="preserve">EIES du Sous-Projet n°2 : </w:t>
    </w:r>
    <w:r w:rsidRPr="00344CDF">
      <w:rPr>
        <w:rFonts w:ascii="Times New Roman" w:hAnsi="Times New Roman" w:cs="Times New Roman"/>
        <w:b/>
        <w:sz w:val="16"/>
        <w:szCs w:val="16"/>
      </w:rPr>
      <w:t>La construction de quatre nouveaux châteaux d’eau (Prabis, Safim, Bor et Antula) et la réhabilitation des autres châteaux d’eau existants</w:t>
    </w:r>
    <w:r w:rsidRPr="00391E6D">
      <w:rPr>
        <w:rFonts w:ascii="Times New Roman" w:hAnsi="Times New Roman" w:cs="Times New Roman"/>
        <w:b/>
        <w:sz w:val="16"/>
        <w:szCs w:val="16"/>
      </w:rPr>
      <w:t>.</w:t>
    </w:r>
  </w:p>
  <w:p w:rsidR="003C548E" w:rsidRPr="00362638" w:rsidRDefault="003C548E" w:rsidP="00362638">
    <w:pPr>
      <w:pStyle w:val="Cabealho"/>
      <w:jc w:val="right"/>
      <w:rPr>
        <w:rFonts w:ascii="Times New Roman" w:hAnsi="Times New Roman" w:cs="Times New Roman"/>
        <w:color w:val="00B05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s="Times New Roman"/>
        <w:color w:val="00B05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06342E">
      <w:rPr>
        <w:rFonts w:ascii="Times New Roman" w:hAnsi="Times New Roman" w:cs="Times New Roman"/>
        <w:color w:val="00B05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RAPPORT </w:t>
    </w:r>
    <w:r>
      <w:rPr>
        <w:rFonts w:ascii="Times New Roman" w:hAnsi="Times New Roman" w:cs="Times New Roman"/>
        <w:color w:val="00B05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FINAL</w:t>
    </w: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548E" w:rsidRPr="00391E6D" w:rsidRDefault="003C548E" w:rsidP="005C29C5">
    <w:pPr>
      <w:pStyle w:val="Cabealho"/>
      <w:jc w:val="center"/>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91E6D">
      <w:rPr>
        <w:rFonts w:ascii="Times New Roman" w:eastAsia="Calibri" w:hAnsi="Times New Roman" w:cs="Times New Roman"/>
        <w:noProof/>
        <w:color w:val="000000" w:themeColor="text1"/>
        <w:sz w:val="16"/>
        <w:szCs w:val="16"/>
        <w:lang w:val="pt-PT" w:eastAsia="pt-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drawing>
        <wp:anchor distT="0" distB="0" distL="114300" distR="114300" simplePos="0" relativeHeight="251687936" behindDoc="1" locked="0" layoutInCell="1" allowOverlap="1" wp14:anchorId="46D95FEC" wp14:editId="1C41ACCA">
          <wp:simplePos x="0" y="0"/>
          <wp:positionH relativeFrom="leftMargin">
            <wp:posOffset>161925</wp:posOffset>
          </wp:positionH>
          <wp:positionV relativeFrom="topMargin">
            <wp:posOffset>123825</wp:posOffset>
          </wp:positionV>
          <wp:extent cx="571077" cy="304800"/>
          <wp:effectExtent l="19050" t="19050" r="19685" b="19050"/>
          <wp:wrapNone/>
          <wp:docPr id="526" name="Image 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2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1077" cy="304800"/>
                  </a:xfrm>
                  <a:prstGeom prst="rect">
                    <a:avLst/>
                  </a:prstGeom>
                  <a:noFill/>
                  <a:ln w="9525">
                    <a:solidFill>
                      <a:srgbClr val="FFFFFF"/>
                    </a:solidFill>
                    <a:miter lim="800000"/>
                    <a:headEnd/>
                    <a:tailEnd/>
                  </a:ln>
                </pic:spPr>
              </pic:pic>
            </a:graphicData>
          </a:graphic>
          <wp14:sizeRelH relativeFrom="margin">
            <wp14:pctWidth>0</wp14:pctWidth>
          </wp14:sizeRelH>
          <wp14:sizeRelV relativeFrom="margin">
            <wp14:pctHeight>0</wp14:pctHeight>
          </wp14:sizeRelV>
        </wp:anchor>
      </w:drawing>
    </w:r>
    <w:r w:rsidRPr="00391E6D">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PROJET D'URGENCE POUR L'AMELIORATION DES SERVICES D'EAU ET D'ELECTRICITE (PUASEE) – FA</w:t>
    </w:r>
  </w:p>
  <w:p w:rsidR="003C548E" w:rsidRPr="00391E6D" w:rsidRDefault="003C548E" w:rsidP="005C29C5">
    <w:pPr>
      <w:pStyle w:val="Cabealho"/>
      <w:jc w:val="center"/>
      <w:rPr>
        <w:rFonts w:ascii="Times New Roman" w:hAnsi="Times New Roman" w:cs="Times New Roman"/>
        <w:sz w:val="16"/>
        <w:szCs w:val="16"/>
      </w:rPr>
    </w:pPr>
    <w:r w:rsidRPr="00391E6D">
      <w:rPr>
        <w:rFonts w:ascii="Times New Roman" w:hAnsi="Times New Roman" w:cs="Times New Roman"/>
        <w:b/>
        <w:noProof/>
        <w:sz w:val="16"/>
        <w:szCs w:val="16"/>
        <w:lang w:val="pt-PT" w:eastAsia="pt-PT"/>
      </w:rPr>
      <mc:AlternateContent>
        <mc:Choice Requires="wps">
          <w:drawing>
            <wp:anchor distT="45720" distB="45720" distL="114300" distR="114300" simplePos="0" relativeHeight="251688960" behindDoc="1" locked="0" layoutInCell="1" allowOverlap="1" wp14:anchorId="1E8E82DF" wp14:editId="5C3F7569">
              <wp:simplePos x="0" y="0"/>
              <wp:positionH relativeFrom="leftMargin">
                <wp:posOffset>-13970</wp:posOffset>
              </wp:positionH>
              <wp:positionV relativeFrom="topMargin">
                <wp:posOffset>416560</wp:posOffset>
              </wp:positionV>
              <wp:extent cx="914400" cy="238125"/>
              <wp:effectExtent l="0" t="0" r="0" b="9525"/>
              <wp:wrapNone/>
              <wp:docPr id="530"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238125"/>
                      </a:xfrm>
                      <a:prstGeom prst="rect">
                        <a:avLst/>
                      </a:prstGeom>
                      <a:solidFill>
                        <a:srgbClr val="CCFF99">
                          <a:alpha val="10980"/>
                        </a:srgbClr>
                      </a:solidFill>
                      <a:ln w="9525">
                        <a:noFill/>
                        <a:miter lim="800000"/>
                        <a:headEnd/>
                        <a:tailEnd/>
                      </a:ln>
                    </wps:spPr>
                    <wps:txbx>
                      <w:txbxContent>
                        <w:p w:rsidR="003C548E" w:rsidRPr="0088003C" w:rsidRDefault="003C548E" w:rsidP="00BC3F1E">
                          <w:pPr>
                            <w:rPr>
                              <w:rFonts w:ascii="Lucida Calligraphy" w:hAnsi="Lucida Calligraphy"/>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8003C">
                            <w:rPr>
                              <w:rFonts w:ascii="Lucida Calligraphy" w:hAnsi="Lucida Calligraphy" w:cs="Times New Roman"/>
                              <w:b/>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PUASEE-FA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type w14:anchorId="1E8E82DF" id="_x0000_t202" coordsize="21600,21600" o:spt="202" path="m,l,21600r21600,l21600,xe">
              <v:stroke joinstyle="miter"/>
              <v:path gradientshapeok="t" o:connecttype="rect"/>
            </v:shapetype>
            <v:shape id="_x0000_s1073" type="#_x0000_t202" style="position:absolute;left:0;text-align:left;margin-left:-1.1pt;margin-top:32.8pt;width:1in;height:18.75pt;z-index:-251627520;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" fillcolor="#cf9" stroked="f">
              <v:fill opacity="7196f"/>
              <v:textbox>
                <w:txbxContent>
                  <w:p w:rsidR="003C548E" w:rsidRPr="0088003C" w:rsidRDefault="003C548E" w:rsidP="00BC3F1E">
                    <w:pPr>
                      <w:rPr>
                        <w:rFonts w:ascii="Lucida Calligraphy" w:hAnsi="Lucida Calligraphy"/>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8003C">
                      <w:rPr>
                        <w:rFonts w:ascii="Lucida Calligraphy" w:hAnsi="Lucida Calligraphy" w:cs="Times New Roman"/>
                        <w:b/>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PUASEE-FA</w:t>
                    </w:r>
                  </w:p>
                </w:txbxContent>
              </v:textbox>
              <w10:wrap anchorx="margin" anchory="margin"/>
            </v:shape>
          </w:pict>
        </mc:Fallback>
      </mc:AlternateContent>
    </w:r>
    <w:r>
      <w:rPr>
        <w:rFonts w:ascii="Times New Roman" w:hAnsi="Times New Roman" w:cs="Times New Roman"/>
        <w:b/>
        <w:sz w:val="16"/>
        <w:szCs w:val="16"/>
      </w:rPr>
      <w:t xml:space="preserve">EIES du Sous-Projet n°2 : </w:t>
    </w:r>
    <w:r w:rsidRPr="00344CDF">
      <w:rPr>
        <w:rFonts w:ascii="Times New Roman" w:hAnsi="Times New Roman" w:cs="Times New Roman"/>
        <w:b/>
        <w:sz w:val="16"/>
        <w:szCs w:val="16"/>
      </w:rPr>
      <w:t>La construction de quatre nouveaux châteaux d’eau (Prabis, Safim, Bor et Antula) et la réhabilitation des autres châteaux d’eau existants</w:t>
    </w:r>
    <w:r w:rsidRPr="00391E6D">
      <w:rPr>
        <w:rFonts w:ascii="Times New Roman" w:hAnsi="Times New Roman" w:cs="Times New Roman"/>
        <w:b/>
        <w:sz w:val="16"/>
        <w:szCs w:val="16"/>
      </w:rPr>
      <w:t>.</w:t>
    </w:r>
  </w:p>
  <w:p w:rsidR="003C548E" w:rsidRPr="00362638" w:rsidRDefault="003C548E" w:rsidP="00362638">
    <w:pPr>
      <w:pStyle w:val="Cabealho"/>
      <w:jc w:val="right"/>
      <w:rPr>
        <w:rFonts w:ascii="Times New Roman" w:hAnsi="Times New Roman" w:cs="Times New Roman"/>
        <w:color w:val="00B05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s="Times New Roman"/>
        <w:color w:val="00B05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06342E">
      <w:rPr>
        <w:rFonts w:ascii="Times New Roman" w:hAnsi="Times New Roman" w:cs="Times New Roman"/>
        <w:color w:val="00B05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RAPPORT </w:t>
    </w:r>
    <w:r>
      <w:rPr>
        <w:rFonts w:ascii="Times New Roman" w:hAnsi="Times New Roman" w:cs="Times New Roman"/>
        <w:color w:val="00B05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FINAL</w:t>
    </w: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548E" w:rsidRPr="00391E6D" w:rsidRDefault="003C548E" w:rsidP="003B0DE0">
    <w:pPr>
      <w:pStyle w:val="Cabealho"/>
      <w:jc w:val="right"/>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91E6D">
      <w:rPr>
        <w:rFonts w:ascii="Times New Roman" w:hAnsi="Times New Roman" w:cs="Times New Roman"/>
        <w:b/>
        <w:noProof/>
        <w:sz w:val="16"/>
        <w:szCs w:val="16"/>
        <w:lang w:val="pt-PT" w:eastAsia="pt-PT"/>
      </w:rPr>
      <mc:AlternateContent>
        <mc:Choice Requires="wps">
          <w:drawing>
            <wp:anchor distT="45720" distB="45720" distL="114300" distR="114300" simplePos="0" relativeHeight="251670528" behindDoc="1" locked="0" layoutInCell="1" allowOverlap="1" wp14:anchorId="55238E9D" wp14:editId="5022F813">
              <wp:simplePos x="0" y="0"/>
              <wp:positionH relativeFrom="column">
                <wp:posOffset>-929640</wp:posOffset>
              </wp:positionH>
              <wp:positionV relativeFrom="page">
                <wp:posOffset>272415</wp:posOffset>
              </wp:positionV>
              <wp:extent cx="914400" cy="238125"/>
              <wp:effectExtent l="0" t="247650" r="0" b="257175"/>
              <wp:wrapNone/>
              <wp:docPr id="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9467431">
                        <a:off x="0" y="0"/>
                        <a:ext cx="914400" cy="238125"/>
                      </a:xfrm>
                      <a:prstGeom prst="rect">
                        <a:avLst/>
                      </a:prstGeom>
                      <a:solidFill>
                        <a:srgbClr val="CCFF99">
                          <a:alpha val="10980"/>
                        </a:srgbClr>
                      </a:solidFill>
                      <a:ln w="9525">
                        <a:noFill/>
                        <a:miter lim="800000"/>
                        <a:headEnd/>
                        <a:tailEnd/>
                      </a:ln>
                    </wps:spPr>
                    <wps:txbx>
                      <w:txbxContent>
                        <w:p w:rsidR="003C548E" w:rsidRPr="0088003C" w:rsidRDefault="003C548E" w:rsidP="0088003C">
                          <w:pPr>
                            <w:rPr>
                              <w:rFonts w:ascii="Lucida Calligraphy" w:hAnsi="Lucida Calligraphy"/>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8003C">
                            <w:rPr>
                              <w:rFonts w:ascii="Lucida Calligraphy" w:hAnsi="Lucida Calligraphy" w:cs="Times New Roman"/>
                              <w:b/>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PUASEE-FA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type w14:anchorId="55238E9D" id="_x0000_t202" coordsize="21600,21600" o:spt="202" path="m,l,21600r21600,l21600,xe">
              <v:stroke joinstyle="miter"/>
              <v:path gradientshapeok="t" o:connecttype="rect"/>
            </v:shapetype>
            <v:shape id="_x0000_s1074" type="#_x0000_t202" style="position:absolute;left:0;text-align:left;margin-left:-73.2pt;margin-top:21.45pt;width:1in;height:18.75pt;rotation:-2329334fd;z-index:-251645952;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" fillcolor="#cf9" stroked="f">
              <v:fill opacity="7196f"/>
              <v:textbox>
                <w:txbxContent>
                  <w:p w:rsidR="003C548E" w:rsidRPr="0088003C" w:rsidRDefault="003C548E" w:rsidP="0088003C">
                    <w:pPr>
                      <w:rPr>
                        <w:rFonts w:ascii="Lucida Calligraphy" w:hAnsi="Lucida Calligraphy"/>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8003C">
                      <w:rPr>
                        <w:rFonts w:ascii="Lucida Calligraphy" w:hAnsi="Lucida Calligraphy" w:cs="Times New Roman"/>
                        <w:b/>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PUASEE-FA</w:t>
                    </w:r>
                  </w:p>
                </w:txbxContent>
              </v:textbox>
              <w10:wrap anchory="page"/>
            </v:shape>
          </w:pict>
        </mc:Fallback>
      </mc:AlternateContent>
    </w:r>
    <w:r w:rsidRPr="00391E6D">
      <w:rPr>
        <w:rFonts w:ascii="Times New Roman" w:eastAsia="Calibri" w:hAnsi="Times New Roman" w:cs="Times New Roman"/>
        <w:noProof/>
        <w:color w:val="000000" w:themeColor="text1"/>
        <w:sz w:val="16"/>
        <w:szCs w:val="16"/>
        <w:lang w:val="pt-PT" w:eastAsia="pt-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drawing>
        <wp:anchor distT="0" distB="0" distL="114300" distR="114300" simplePos="0" relativeHeight="251669504" behindDoc="1" locked="0" layoutInCell="1" allowOverlap="1" wp14:anchorId="6893BEFA" wp14:editId="07126101">
          <wp:simplePos x="0" y="0"/>
          <wp:positionH relativeFrom="leftMargin">
            <wp:posOffset>895350</wp:posOffset>
          </wp:positionH>
          <wp:positionV relativeFrom="topMargin">
            <wp:posOffset>295275</wp:posOffset>
          </wp:positionV>
          <wp:extent cx="571077" cy="304800"/>
          <wp:effectExtent l="19050" t="19050" r="19685" b="19050"/>
          <wp:wrapNone/>
          <wp:docPr id="514" name="Image 5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2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1077" cy="304800"/>
                  </a:xfrm>
                  <a:prstGeom prst="rect">
                    <a:avLst/>
                  </a:prstGeom>
                  <a:noFill/>
                  <a:ln w="9525">
                    <a:solidFill>
                      <a:srgbClr val="FFFFFF"/>
                    </a:solidFill>
                    <a:miter lim="800000"/>
                    <a:headEnd/>
                    <a:tailEnd/>
                  </a:ln>
                </pic:spPr>
              </pic:pic>
            </a:graphicData>
          </a:graphic>
          <wp14:sizeRelH relativeFrom="margin">
            <wp14:pctWidth>0</wp14:pctWidth>
          </wp14:sizeRelH>
          <wp14:sizeRelV relativeFrom="margin">
            <wp14:pctHeight>0</wp14:pctHeight>
          </wp14:sizeRelV>
        </wp:anchor>
      </w:drawing>
    </w:r>
    <w:r w:rsidRPr="00391E6D">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PROJET D'URGENCE POUR L'AMELIORATION DES SERVICES D'EAU ET D'ELECTRICITE (PUASEE) – FA </w:t>
    </w:r>
  </w:p>
  <w:p w:rsidR="003C548E" w:rsidRPr="00391E6D" w:rsidRDefault="003C548E" w:rsidP="00C36195">
    <w:pPr>
      <w:pStyle w:val="Cabealho"/>
      <w:jc w:val="right"/>
      <w:rPr>
        <w:rFonts w:ascii="Times New Roman" w:hAnsi="Times New Roman" w:cs="Times New Roman"/>
        <w:sz w:val="16"/>
        <w:szCs w:val="16"/>
      </w:rPr>
    </w:pPr>
    <w:r w:rsidRPr="00391E6D">
      <w:rPr>
        <w:rFonts w:ascii="Times New Roman" w:hAnsi="Times New Roman" w:cs="Times New Roman"/>
        <w:b/>
        <w:sz w:val="16"/>
        <w:szCs w:val="16"/>
      </w:rPr>
      <w:t xml:space="preserve">                 Études d’Impact Environnemental et Social (EIES) des travaux de construction, réhabilitation des réservoirs d’eau et d’électricité.</w:t>
    </w:r>
  </w:p>
  <w:p w:rsidR="003C548E" w:rsidRPr="00391E6D" w:rsidRDefault="003C548E" w:rsidP="00660459">
    <w:pPr>
      <w:pStyle w:val="Cabealho"/>
      <w:jc w:val="right"/>
      <w:rPr>
        <w:rFonts w:ascii="Times New Roman" w:hAnsi="Times New Roman" w:cs="Times New Roman"/>
        <w:color w:val="70AD47"/>
        <w:sz w:val="16"/>
        <w:szCs w:val="16"/>
        <w14:shadow w14:blurRad="63500" w14:dist="50800" w14:dir="13500000" w14:sx="0" w14:sy="0" w14:kx="0" w14:ky="0" w14:algn="none">
          <w14:srgbClr w14:val="000000">
            <w14:alpha w14:val="50000"/>
          </w14:srgbClr>
        </w14:shadow>
        <w14:reflection w14:blurRad="6350" w14:stA="53000" w14:stPos="0" w14:endA="300" w14:endPos="35500" w14:dist="0" w14:dir="5400000" w14:fadeDir="5400000" w14:sx="100000" w14:sy="-90000" w14:kx="0" w14:ky="0" w14:algn="bl"/>
        <w14:textOutline w14:w="9525" w14:cap="flat" w14:cmpd="sng" w14:algn="ctr">
          <w14:solidFill>
            <w14:schemeClr w14:val="accent5">
              <w14:lumMod w14:val="50000"/>
            </w14:schemeClr>
          </w14:solid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pPr>
    <w:r w:rsidRPr="00391E6D">
      <w:rPr>
        <w:rFonts w:ascii="Times New Roman" w:hAnsi="Times New Roman" w:cs="Times New Roman"/>
        <w:color w:val="00B050"/>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RAPPORT DE DEMARRAGE</w:t>
    </w: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548E" w:rsidRPr="00391E6D" w:rsidRDefault="003C548E" w:rsidP="0058308B">
    <w:pPr>
      <w:pStyle w:val="Cabealho"/>
      <w:jc w:val="center"/>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91E6D">
      <w:rPr>
        <w:rFonts w:ascii="Times New Roman" w:eastAsia="Calibri" w:hAnsi="Times New Roman" w:cs="Times New Roman"/>
        <w:noProof/>
        <w:color w:val="000000" w:themeColor="text1"/>
        <w:sz w:val="16"/>
        <w:szCs w:val="16"/>
        <w:lang w:val="pt-PT" w:eastAsia="pt-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drawing>
        <wp:anchor distT="0" distB="0" distL="114300" distR="114300" simplePos="0" relativeHeight="251704320" behindDoc="1" locked="0" layoutInCell="1" allowOverlap="1" wp14:anchorId="37F85CA0" wp14:editId="4E0643EF">
          <wp:simplePos x="0" y="0"/>
          <wp:positionH relativeFrom="leftMargin">
            <wp:posOffset>161925</wp:posOffset>
          </wp:positionH>
          <wp:positionV relativeFrom="topMargin">
            <wp:posOffset>123825</wp:posOffset>
          </wp:positionV>
          <wp:extent cx="571077" cy="304800"/>
          <wp:effectExtent l="19050" t="19050" r="19685" b="19050"/>
          <wp:wrapNone/>
          <wp:docPr id="522" name="Image 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2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1077" cy="304800"/>
                  </a:xfrm>
                  <a:prstGeom prst="rect">
                    <a:avLst/>
                  </a:prstGeom>
                  <a:noFill/>
                  <a:ln w="9525">
                    <a:solidFill>
                      <a:srgbClr val="FFFFFF"/>
                    </a:solidFill>
                    <a:miter lim="800000"/>
                    <a:headEnd/>
                    <a:tailEnd/>
                  </a:ln>
                </pic:spPr>
              </pic:pic>
            </a:graphicData>
          </a:graphic>
          <wp14:sizeRelH relativeFrom="margin">
            <wp14:pctWidth>0</wp14:pctWidth>
          </wp14:sizeRelH>
          <wp14:sizeRelV relativeFrom="margin">
            <wp14:pctHeight>0</wp14:pctHeight>
          </wp14:sizeRelV>
        </wp:anchor>
      </w:drawing>
    </w:r>
    <w:r w:rsidRPr="00391E6D">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PROJET D'URGENCE POUR L'AMELIORATION DES SERVICES D'EAU ET D'ELECTRICITE (PUASEE) – FA</w:t>
    </w:r>
  </w:p>
  <w:p w:rsidR="003C548E" w:rsidRPr="00391E6D" w:rsidRDefault="003C548E" w:rsidP="0058308B">
    <w:pPr>
      <w:pStyle w:val="Cabealho"/>
      <w:jc w:val="center"/>
      <w:rPr>
        <w:rFonts w:ascii="Times New Roman" w:hAnsi="Times New Roman" w:cs="Times New Roman"/>
        <w:sz w:val="16"/>
        <w:szCs w:val="16"/>
      </w:rPr>
    </w:pPr>
    <w:r w:rsidRPr="00391E6D">
      <w:rPr>
        <w:rFonts w:ascii="Times New Roman" w:hAnsi="Times New Roman" w:cs="Times New Roman"/>
        <w:b/>
        <w:noProof/>
        <w:sz w:val="16"/>
        <w:szCs w:val="16"/>
        <w:lang w:val="pt-PT" w:eastAsia="pt-PT"/>
      </w:rPr>
      <mc:AlternateContent>
        <mc:Choice Requires="wps">
          <w:drawing>
            <wp:anchor distT="45720" distB="45720" distL="114300" distR="114300" simplePos="0" relativeHeight="251705344" behindDoc="1" locked="0" layoutInCell="1" allowOverlap="1" wp14:anchorId="6169118C" wp14:editId="16D30D04">
              <wp:simplePos x="0" y="0"/>
              <wp:positionH relativeFrom="leftMargin">
                <wp:posOffset>-13970</wp:posOffset>
              </wp:positionH>
              <wp:positionV relativeFrom="topMargin">
                <wp:posOffset>416560</wp:posOffset>
              </wp:positionV>
              <wp:extent cx="914400" cy="238125"/>
              <wp:effectExtent l="0" t="0" r="0" b="9525"/>
              <wp:wrapNone/>
              <wp:docPr id="52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238125"/>
                      </a:xfrm>
                      <a:prstGeom prst="rect">
                        <a:avLst/>
                      </a:prstGeom>
                      <a:solidFill>
                        <a:srgbClr val="CCFF99">
                          <a:alpha val="10980"/>
                        </a:srgbClr>
                      </a:solidFill>
                      <a:ln w="9525">
                        <a:noFill/>
                        <a:miter lim="800000"/>
                        <a:headEnd/>
                        <a:tailEnd/>
                      </a:ln>
                    </wps:spPr>
                    <wps:txbx>
                      <w:txbxContent>
                        <w:p w:rsidR="003C548E" w:rsidRPr="0088003C" w:rsidRDefault="003C548E" w:rsidP="0058308B">
                          <w:pPr>
                            <w:rPr>
                              <w:rFonts w:ascii="Lucida Calligraphy" w:hAnsi="Lucida Calligraphy"/>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8003C">
                            <w:rPr>
                              <w:rFonts w:ascii="Lucida Calligraphy" w:hAnsi="Lucida Calligraphy" w:cs="Times New Roman"/>
                              <w:b/>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PUASEE-FA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type w14:anchorId="6169118C" id="_x0000_t202" coordsize="21600,21600" o:spt="202" path="m,l,21600r21600,l21600,xe">
              <v:stroke joinstyle="miter"/>
              <v:path gradientshapeok="t" o:connecttype="rect"/>
            </v:shapetype>
            <v:shape id="_x0000_s1080" type="#_x0000_t202" style="position:absolute;left:0;text-align:left;margin-left:-1.1pt;margin-top:32.8pt;width:1in;height:18.75pt;z-index:-251611136;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" fillcolor="#cf9" stroked="f">
              <v:fill opacity="7196f"/>
              <v:textbox>
                <w:txbxContent>
                  <w:p w:rsidR="003C548E" w:rsidRPr="0088003C" w:rsidRDefault="003C548E" w:rsidP="0058308B">
                    <w:pPr>
                      <w:rPr>
                        <w:rFonts w:ascii="Lucida Calligraphy" w:hAnsi="Lucida Calligraphy"/>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8003C">
                      <w:rPr>
                        <w:rFonts w:ascii="Lucida Calligraphy" w:hAnsi="Lucida Calligraphy" w:cs="Times New Roman"/>
                        <w:b/>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PUASEE-FA</w:t>
                    </w:r>
                  </w:p>
                </w:txbxContent>
              </v:textbox>
              <w10:wrap anchorx="margin" anchory="margin"/>
            </v:shape>
          </w:pict>
        </mc:Fallback>
      </mc:AlternateContent>
    </w:r>
    <w:r>
      <w:rPr>
        <w:rFonts w:ascii="Times New Roman" w:hAnsi="Times New Roman" w:cs="Times New Roman"/>
        <w:b/>
        <w:sz w:val="16"/>
        <w:szCs w:val="16"/>
      </w:rPr>
      <w:t xml:space="preserve">EIES du Sous-Projet n°2 : </w:t>
    </w:r>
    <w:r w:rsidRPr="00344CDF">
      <w:rPr>
        <w:rFonts w:ascii="Times New Roman" w:hAnsi="Times New Roman" w:cs="Times New Roman"/>
        <w:b/>
        <w:sz w:val="16"/>
        <w:szCs w:val="16"/>
      </w:rPr>
      <w:t>La construction de quatre nouveaux châteaux d’eau (Prabis, Safim, Bor et Antula) et la réhabilitation des autres châteaux d’eau existants</w:t>
    </w:r>
    <w:r w:rsidRPr="00391E6D">
      <w:rPr>
        <w:rFonts w:ascii="Times New Roman" w:hAnsi="Times New Roman" w:cs="Times New Roman"/>
        <w:b/>
        <w:sz w:val="16"/>
        <w:szCs w:val="16"/>
      </w:rPr>
      <w:t>.</w:t>
    </w:r>
  </w:p>
  <w:p w:rsidR="003C548E" w:rsidRPr="00647913" w:rsidRDefault="003C548E" w:rsidP="00647913">
    <w:pPr>
      <w:pStyle w:val="Cabealho"/>
      <w:jc w:val="right"/>
      <w:rPr>
        <w:rFonts w:ascii="Times New Roman" w:hAnsi="Times New Roman" w:cs="Times New Roman"/>
        <w:color w:val="00B05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s="Times New Roman"/>
        <w:color w:val="00B05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RAPPORT FINAL</w:t>
    </w: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548E" w:rsidRPr="00391E6D" w:rsidRDefault="003C548E" w:rsidP="00344CDF">
    <w:pPr>
      <w:pStyle w:val="Cabealho"/>
      <w:jc w:val="center"/>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91E6D">
      <w:rPr>
        <w:rFonts w:ascii="Times New Roman" w:eastAsia="Calibri" w:hAnsi="Times New Roman" w:cs="Times New Roman"/>
        <w:noProof/>
        <w:color w:val="000000" w:themeColor="text1"/>
        <w:sz w:val="16"/>
        <w:szCs w:val="16"/>
        <w:lang w:val="pt-PT" w:eastAsia="pt-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drawing>
        <wp:anchor distT="0" distB="0" distL="114300" distR="114300" simplePos="0" relativeHeight="251674624" behindDoc="1" locked="0" layoutInCell="1" allowOverlap="1" wp14:anchorId="39A70E2C" wp14:editId="58D77EE8">
          <wp:simplePos x="0" y="0"/>
          <wp:positionH relativeFrom="leftMargin">
            <wp:posOffset>161925</wp:posOffset>
          </wp:positionH>
          <wp:positionV relativeFrom="topMargin">
            <wp:posOffset>123825</wp:posOffset>
          </wp:positionV>
          <wp:extent cx="571077" cy="304800"/>
          <wp:effectExtent l="19050" t="19050" r="19685" b="19050"/>
          <wp:wrapNone/>
          <wp:docPr id="560" name="Image 5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2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1077" cy="304800"/>
                  </a:xfrm>
                  <a:prstGeom prst="rect">
                    <a:avLst/>
                  </a:prstGeom>
                  <a:noFill/>
                  <a:ln w="9525">
                    <a:solidFill>
                      <a:srgbClr val="FFFFFF"/>
                    </a:solidFill>
                    <a:miter lim="800000"/>
                    <a:headEnd/>
                    <a:tailEnd/>
                  </a:ln>
                </pic:spPr>
              </pic:pic>
            </a:graphicData>
          </a:graphic>
          <wp14:sizeRelH relativeFrom="margin">
            <wp14:pctWidth>0</wp14:pctWidth>
          </wp14:sizeRelH>
          <wp14:sizeRelV relativeFrom="margin">
            <wp14:pctHeight>0</wp14:pctHeight>
          </wp14:sizeRelV>
        </wp:anchor>
      </w:drawing>
    </w:r>
    <w:r w:rsidRPr="00391E6D">
      <w:rPr>
        <w:rFonts w:ascii="Times New Roman" w:hAnsi="Times New Roman" w:cs="Times New Roman"/>
        <w:b/>
        <w:noProof/>
        <w:sz w:val="16"/>
        <w:szCs w:val="16"/>
        <w:lang w:val="pt-PT" w:eastAsia="pt-PT"/>
      </w:rPr>
      <mc:AlternateContent>
        <mc:Choice Requires="wps">
          <w:drawing>
            <wp:anchor distT="45720" distB="45720" distL="114300" distR="114300" simplePos="0" relativeHeight="251675648" behindDoc="1" locked="0" layoutInCell="1" allowOverlap="1" wp14:anchorId="5E2C6AB6" wp14:editId="6906BF8D">
              <wp:simplePos x="0" y="0"/>
              <wp:positionH relativeFrom="leftMargin">
                <wp:align>right</wp:align>
              </wp:positionH>
              <wp:positionV relativeFrom="topMargin">
                <wp:align>bottom</wp:align>
              </wp:positionV>
              <wp:extent cx="914400" cy="238125"/>
              <wp:effectExtent l="0" t="0" r="0" b="9525"/>
              <wp:wrapNone/>
              <wp:docPr id="38"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238125"/>
                      </a:xfrm>
                      <a:prstGeom prst="rect">
                        <a:avLst/>
                      </a:prstGeom>
                      <a:solidFill>
                        <a:srgbClr val="CCFF99">
                          <a:alpha val="10980"/>
                        </a:srgbClr>
                      </a:solidFill>
                      <a:ln w="9525">
                        <a:noFill/>
                        <a:miter lim="800000"/>
                        <a:headEnd/>
                        <a:tailEnd/>
                      </a:ln>
                    </wps:spPr>
                    <wps:txbx>
                      <w:txbxContent>
                        <w:p w:rsidR="003C548E" w:rsidRPr="0088003C" w:rsidRDefault="003C548E" w:rsidP="0088003C">
                          <w:pPr>
                            <w:rPr>
                              <w:rFonts w:ascii="Lucida Calligraphy" w:hAnsi="Lucida Calligraphy"/>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8003C">
                            <w:rPr>
                              <w:rFonts w:ascii="Lucida Calligraphy" w:hAnsi="Lucida Calligraphy" w:cs="Times New Roman"/>
                              <w:b/>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PUASEE-FA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type w14:anchorId="5E2C6AB6" id="_x0000_t202" coordsize="21600,21600" o:spt="202" path="m,l,21600r21600,l21600,xe">
              <v:stroke joinstyle="miter"/>
              <v:path gradientshapeok="t" o:connecttype="rect"/>
            </v:shapetype>
            <v:shape id="_x0000_s1081" type="#_x0000_t202" style="position:absolute;left:0;text-align:left;margin-left:20.8pt;margin-top:0;width:1in;height:18.75pt;z-index:-251640832;visibility:visible;mso-wrap-style:square;mso-width-percent:0;mso-height-percent:0;mso-wrap-distance-left:9pt;mso-wrap-distance-top:3.6pt;mso-wrap-distance-right:9pt;mso-wrap-distance-bottom:3.6pt;mso-position-horizontal:right;mso-position-horizontal-relative:left-margin-area;mso-position-vertical:bottom;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" fillcolor="#cf9" stroked="f">
              <v:fill opacity="7196f"/>
              <v:textbox>
                <w:txbxContent>
                  <w:p w:rsidR="003C548E" w:rsidRPr="0088003C" w:rsidRDefault="003C548E" w:rsidP="0088003C">
                    <w:pPr>
                      <w:rPr>
                        <w:rFonts w:ascii="Lucida Calligraphy" w:hAnsi="Lucida Calligraphy"/>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8003C">
                      <w:rPr>
                        <w:rFonts w:ascii="Lucida Calligraphy" w:hAnsi="Lucida Calligraphy" w:cs="Times New Roman"/>
                        <w:b/>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PUASEE-FA</w:t>
                    </w:r>
                  </w:p>
                </w:txbxContent>
              </v:textbox>
              <w10:wrap anchorx="margin" anchory="margin"/>
            </v:shape>
          </w:pict>
        </mc:Fallback>
      </mc:AlternateContent>
    </w:r>
    <w:r w:rsidRPr="00391E6D">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PROJET D'URGENCE POUR L'AMELIORATION DES SERVICES D'EAU ET D'ELECTRICITE (PUASEE) – FA</w:t>
    </w:r>
  </w:p>
  <w:p w:rsidR="003C548E" w:rsidRPr="00391E6D" w:rsidRDefault="003C548E" w:rsidP="00344CDF">
    <w:pPr>
      <w:pStyle w:val="Cabealho"/>
      <w:ind w:left="-142"/>
      <w:jc w:val="center"/>
      <w:rPr>
        <w:rFonts w:ascii="Times New Roman" w:hAnsi="Times New Roman" w:cs="Times New Roman"/>
        <w:sz w:val="16"/>
        <w:szCs w:val="16"/>
      </w:rPr>
    </w:pPr>
    <w:r>
      <w:rPr>
        <w:rFonts w:ascii="Times New Roman" w:hAnsi="Times New Roman" w:cs="Times New Roman"/>
        <w:b/>
        <w:sz w:val="16"/>
        <w:szCs w:val="16"/>
      </w:rPr>
      <w:t xml:space="preserve">EIES du Sous-Projet n°2 : </w:t>
    </w:r>
    <w:r w:rsidRPr="00344CDF">
      <w:rPr>
        <w:rFonts w:ascii="Times New Roman" w:hAnsi="Times New Roman" w:cs="Times New Roman"/>
        <w:b/>
        <w:sz w:val="16"/>
        <w:szCs w:val="16"/>
      </w:rPr>
      <w:t>La construction de quatre nouveaux châteaux d’eau (Prabis, Safim, Bor et Antula) et la réhabilitation des autres châteaux d’eau existants</w:t>
    </w:r>
    <w:r w:rsidRPr="00391E6D">
      <w:rPr>
        <w:rFonts w:ascii="Times New Roman" w:hAnsi="Times New Roman" w:cs="Times New Roman"/>
        <w:b/>
        <w:sz w:val="16"/>
        <w:szCs w:val="16"/>
      </w:rPr>
      <w:t>.</w:t>
    </w:r>
  </w:p>
  <w:p w:rsidR="003C548E" w:rsidRPr="0006342E" w:rsidRDefault="003C548E" w:rsidP="00660459">
    <w:pPr>
      <w:pStyle w:val="Cabealho"/>
      <w:jc w:val="right"/>
      <w:rPr>
        <w:rFonts w:ascii="Times New Roman" w:hAnsi="Times New Roman" w:cs="Times New Roman"/>
        <w:color w:val="70AD47"/>
        <w:sz w:val="20"/>
        <w:szCs w:val="20"/>
        <w14:shadow w14:blurRad="63500" w14:dist="50800" w14:dir="13500000" w14:sx="0" w14:sy="0" w14:kx="0" w14:ky="0" w14:algn="none">
          <w14:srgbClr w14:val="000000">
            <w14:alpha w14:val="50000"/>
          </w14:srgbClr>
        </w14:shadow>
        <w14:reflection w14:blurRad="6350" w14:stA="53000" w14:stPos="0" w14:endA="300" w14:endPos="35500" w14:dist="0" w14:dir="5400000" w14:fadeDir="5400000" w14:sx="100000" w14:sy="-90000" w14:kx="0" w14:ky="0" w14:algn="bl"/>
        <w14:textOutline w14:w="9525" w14:cap="flat" w14:cmpd="sng" w14:algn="ctr">
          <w14:solidFill>
            <w14:schemeClr w14:val="accent5">
              <w14:lumMod w14:val="50000"/>
            </w14:schemeClr>
          </w14:solid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pPr>
    <w:r w:rsidRPr="0006342E">
      <w:rPr>
        <w:rFonts w:ascii="Times New Roman" w:hAnsi="Times New Roman" w:cs="Times New Roman"/>
        <w:color w:val="00B05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RAPPORT </w:t>
    </w:r>
    <w:r>
      <w:rPr>
        <w:rFonts w:ascii="Times New Roman" w:hAnsi="Times New Roman" w:cs="Times New Roman"/>
        <w:color w:val="00B05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FINAL</w:t>
    </w: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548E" w:rsidRPr="00391E6D" w:rsidRDefault="003C548E" w:rsidP="00BC3F1E">
    <w:pPr>
      <w:pStyle w:val="Cabealho"/>
      <w:jc w:val="center"/>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91E6D">
      <w:rPr>
        <w:rFonts w:ascii="Times New Roman" w:hAnsi="Times New Roman" w:cs="Times New Roman"/>
        <w:b/>
        <w:noProof/>
        <w:sz w:val="16"/>
        <w:szCs w:val="16"/>
        <w:lang w:val="pt-PT" w:eastAsia="pt-PT"/>
      </w:rPr>
      <mc:AlternateContent>
        <mc:Choice Requires="wps">
          <w:drawing>
            <wp:anchor distT="45720" distB="45720" distL="114300" distR="114300" simplePos="0" relativeHeight="251685888" behindDoc="1" locked="0" layoutInCell="1" allowOverlap="1" wp14:anchorId="21848D7B" wp14:editId="7534698B">
              <wp:simplePos x="0" y="0"/>
              <wp:positionH relativeFrom="leftMargin">
                <wp:posOffset>-14605</wp:posOffset>
              </wp:positionH>
              <wp:positionV relativeFrom="topMargin">
                <wp:posOffset>448945</wp:posOffset>
              </wp:positionV>
              <wp:extent cx="914400" cy="238125"/>
              <wp:effectExtent l="0" t="0" r="0" b="9525"/>
              <wp:wrapNone/>
              <wp:docPr id="528"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238125"/>
                      </a:xfrm>
                      <a:prstGeom prst="rect">
                        <a:avLst/>
                      </a:prstGeom>
                      <a:solidFill>
                        <a:srgbClr val="CCFF99">
                          <a:alpha val="10980"/>
                        </a:srgbClr>
                      </a:solidFill>
                      <a:ln w="9525">
                        <a:noFill/>
                        <a:miter lim="800000"/>
                        <a:headEnd/>
                        <a:tailEnd/>
                      </a:ln>
                    </wps:spPr>
                    <wps:txbx>
                      <w:txbxContent>
                        <w:p w:rsidR="003C548E" w:rsidRPr="0088003C" w:rsidRDefault="003C548E" w:rsidP="00BC3F1E">
                          <w:pPr>
                            <w:rPr>
                              <w:rFonts w:ascii="Lucida Calligraphy" w:hAnsi="Lucida Calligraphy"/>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8003C">
                            <w:rPr>
                              <w:rFonts w:ascii="Lucida Calligraphy" w:hAnsi="Lucida Calligraphy" w:cs="Times New Roman"/>
                              <w:b/>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PUASEE-FA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type w14:anchorId="21848D7B" id="_x0000_t202" coordsize="21600,21600" o:spt="202" path="m,l,21600r21600,l21600,xe">
              <v:stroke joinstyle="miter"/>
              <v:path gradientshapeok="t" o:connecttype="rect"/>
            </v:shapetype>
            <v:shape id="_x0000_s1082" type="#_x0000_t202" style="position:absolute;left:0;text-align:left;margin-left:-1.15pt;margin-top:35.35pt;width:1in;height:18.75pt;z-index:-251630592;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" fillcolor="#cf9" stroked="f">
              <v:fill opacity="7196f"/>
              <v:textbox>
                <w:txbxContent>
                  <w:p w:rsidR="003C548E" w:rsidRPr="0088003C" w:rsidRDefault="003C548E" w:rsidP="00BC3F1E">
                    <w:pPr>
                      <w:rPr>
                        <w:rFonts w:ascii="Lucida Calligraphy" w:hAnsi="Lucida Calligraphy"/>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8003C">
                      <w:rPr>
                        <w:rFonts w:ascii="Lucida Calligraphy" w:hAnsi="Lucida Calligraphy" w:cs="Times New Roman"/>
                        <w:b/>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PUASEE-FA</w:t>
                    </w:r>
                  </w:p>
                </w:txbxContent>
              </v:textbox>
              <w10:wrap anchorx="margin" anchory="margin"/>
            </v:shape>
          </w:pict>
        </mc:Fallback>
      </mc:AlternateContent>
    </w:r>
    <w:r w:rsidRPr="00391E6D">
      <w:rPr>
        <w:rFonts w:ascii="Times New Roman" w:eastAsia="Calibri" w:hAnsi="Times New Roman" w:cs="Times New Roman"/>
        <w:noProof/>
        <w:color w:val="000000" w:themeColor="text1"/>
        <w:sz w:val="16"/>
        <w:szCs w:val="16"/>
        <w:lang w:val="pt-PT" w:eastAsia="pt-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drawing>
        <wp:anchor distT="0" distB="0" distL="114300" distR="114300" simplePos="0" relativeHeight="251684864" behindDoc="1" locked="0" layoutInCell="1" allowOverlap="1" wp14:anchorId="76C1ECBC" wp14:editId="08A3D03A">
          <wp:simplePos x="0" y="0"/>
          <wp:positionH relativeFrom="leftMargin">
            <wp:posOffset>161925</wp:posOffset>
          </wp:positionH>
          <wp:positionV relativeFrom="topMargin">
            <wp:posOffset>123825</wp:posOffset>
          </wp:positionV>
          <wp:extent cx="571077" cy="304800"/>
          <wp:effectExtent l="19050" t="19050" r="19685" b="19050"/>
          <wp:wrapNone/>
          <wp:docPr id="569" name="Image 5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2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1077" cy="304800"/>
                  </a:xfrm>
                  <a:prstGeom prst="rect">
                    <a:avLst/>
                  </a:prstGeom>
                  <a:noFill/>
                  <a:ln w="9525">
                    <a:solidFill>
                      <a:srgbClr val="FFFFFF"/>
                    </a:solidFill>
                    <a:miter lim="800000"/>
                    <a:headEnd/>
                    <a:tailEnd/>
                  </a:ln>
                </pic:spPr>
              </pic:pic>
            </a:graphicData>
          </a:graphic>
          <wp14:sizeRelH relativeFrom="margin">
            <wp14:pctWidth>0</wp14:pctWidth>
          </wp14:sizeRelH>
          <wp14:sizeRelV relativeFrom="margin">
            <wp14:pctHeight>0</wp14:pctHeight>
          </wp14:sizeRelV>
        </wp:anchor>
      </w:drawing>
    </w:r>
    <w:r w:rsidRPr="00391E6D">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PROJET D'URGENCE POUR L'AMELIORATION DES SERVICES D'EAU ET D'ELECTRICITE (PUASEE) – FA</w:t>
    </w:r>
  </w:p>
  <w:p w:rsidR="003C548E" w:rsidRPr="00391E6D" w:rsidRDefault="003C548E" w:rsidP="00BC3F1E">
    <w:pPr>
      <w:pStyle w:val="Cabealho"/>
      <w:ind w:left="-142"/>
      <w:jc w:val="center"/>
      <w:rPr>
        <w:rFonts w:ascii="Times New Roman" w:hAnsi="Times New Roman" w:cs="Times New Roman"/>
        <w:sz w:val="16"/>
        <w:szCs w:val="16"/>
      </w:rPr>
    </w:pPr>
    <w:r>
      <w:rPr>
        <w:rFonts w:ascii="Times New Roman" w:hAnsi="Times New Roman" w:cs="Times New Roman"/>
        <w:b/>
        <w:sz w:val="16"/>
        <w:szCs w:val="16"/>
      </w:rPr>
      <w:t xml:space="preserve">EIES du Sous-Projet n°2 : </w:t>
    </w:r>
    <w:r w:rsidRPr="00344CDF">
      <w:rPr>
        <w:rFonts w:ascii="Times New Roman" w:hAnsi="Times New Roman" w:cs="Times New Roman"/>
        <w:b/>
        <w:sz w:val="16"/>
        <w:szCs w:val="16"/>
      </w:rPr>
      <w:t>La construction de quatre nouveaux châteaux d’eau (Prabis, Safim, Bor et Antula) et la réhabilitation des autres châteaux d’eau existants</w:t>
    </w:r>
    <w:r w:rsidRPr="00391E6D">
      <w:rPr>
        <w:rFonts w:ascii="Times New Roman" w:hAnsi="Times New Roman" w:cs="Times New Roman"/>
        <w:b/>
        <w:sz w:val="16"/>
        <w:szCs w:val="16"/>
      </w:rPr>
      <w:t>.</w:t>
    </w:r>
  </w:p>
  <w:p w:rsidR="003C548E" w:rsidRPr="00647913" w:rsidRDefault="003C548E" w:rsidP="00647913">
    <w:pPr>
      <w:pStyle w:val="Cabealho"/>
      <w:jc w:val="right"/>
      <w:rPr>
        <w:rFonts w:ascii="Times New Roman" w:hAnsi="Times New Roman" w:cs="Times New Roman"/>
        <w:color w:val="00B05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s="Times New Roman"/>
        <w:color w:val="00B05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RAPPORT FINAL</w:t>
    </w: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548E" w:rsidRPr="00391E6D" w:rsidRDefault="003C548E" w:rsidP="00FD763C">
    <w:pPr>
      <w:pStyle w:val="Cabealho"/>
      <w:ind w:right="-142"/>
      <w:jc w:val="center"/>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91E6D">
      <w:rPr>
        <w:rFonts w:ascii="Times New Roman" w:eastAsia="Calibri" w:hAnsi="Times New Roman" w:cs="Times New Roman"/>
        <w:noProof/>
        <w:color w:val="000000" w:themeColor="text1"/>
        <w:sz w:val="16"/>
        <w:szCs w:val="16"/>
        <w:lang w:val="pt-PT" w:eastAsia="pt-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drawing>
        <wp:anchor distT="0" distB="0" distL="114300" distR="114300" simplePos="0" relativeHeight="251691008" behindDoc="1" locked="0" layoutInCell="1" allowOverlap="1" wp14:anchorId="0F77F227" wp14:editId="079174AC">
          <wp:simplePos x="0" y="0"/>
          <wp:positionH relativeFrom="leftMargin">
            <wp:posOffset>161925</wp:posOffset>
          </wp:positionH>
          <wp:positionV relativeFrom="topMargin">
            <wp:posOffset>123825</wp:posOffset>
          </wp:positionV>
          <wp:extent cx="571077" cy="304800"/>
          <wp:effectExtent l="19050" t="19050" r="19685" b="19050"/>
          <wp:wrapNone/>
          <wp:docPr id="120" name="Imag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2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1077" cy="304800"/>
                  </a:xfrm>
                  <a:prstGeom prst="rect">
                    <a:avLst/>
                  </a:prstGeom>
                  <a:noFill/>
                  <a:ln w="9525">
                    <a:solidFill>
                      <a:srgbClr val="FFFFFF"/>
                    </a:solidFill>
                    <a:miter lim="800000"/>
                    <a:headEnd/>
                    <a:tailEnd/>
                  </a:ln>
                </pic:spPr>
              </pic:pic>
            </a:graphicData>
          </a:graphic>
          <wp14:sizeRelH relativeFrom="margin">
            <wp14:pctWidth>0</wp14:pctWidth>
          </wp14:sizeRelH>
          <wp14:sizeRelV relativeFrom="margin">
            <wp14:pctHeight>0</wp14:pctHeight>
          </wp14:sizeRelV>
        </wp:anchor>
      </w:drawing>
    </w:r>
    <w:r w:rsidRPr="00391E6D">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PROJET D'URGENCE POUR L'AMELIORATION DES SERVICES D'EAU ET D'ELECTRICITE (PUASEE) – FA</w:t>
    </w:r>
  </w:p>
  <w:p w:rsidR="003C548E" w:rsidRPr="00391E6D" w:rsidRDefault="003C548E" w:rsidP="00FD763C">
    <w:pPr>
      <w:pStyle w:val="Cabealho"/>
      <w:ind w:left="-142" w:right="-142"/>
      <w:jc w:val="center"/>
      <w:rPr>
        <w:rFonts w:ascii="Times New Roman" w:hAnsi="Times New Roman" w:cs="Times New Roman"/>
        <w:sz w:val="16"/>
        <w:szCs w:val="16"/>
      </w:rPr>
    </w:pPr>
    <w:r w:rsidRPr="00391E6D">
      <w:rPr>
        <w:rFonts w:ascii="Times New Roman" w:hAnsi="Times New Roman" w:cs="Times New Roman"/>
        <w:b/>
        <w:noProof/>
        <w:sz w:val="16"/>
        <w:szCs w:val="16"/>
        <w:lang w:val="pt-PT" w:eastAsia="pt-PT"/>
      </w:rPr>
      <mc:AlternateContent>
        <mc:Choice Requires="wps">
          <w:drawing>
            <wp:anchor distT="45720" distB="45720" distL="114300" distR="114300" simplePos="0" relativeHeight="251692032" behindDoc="1" locked="0" layoutInCell="1" allowOverlap="1" wp14:anchorId="7235AE4B" wp14:editId="106C5BD9">
              <wp:simplePos x="0" y="0"/>
              <wp:positionH relativeFrom="leftMargin">
                <wp:posOffset>-14605</wp:posOffset>
              </wp:positionH>
              <wp:positionV relativeFrom="topMargin">
                <wp:posOffset>444500</wp:posOffset>
              </wp:positionV>
              <wp:extent cx="914400" cy="238125"/>
              <wp:effectExtent l="0" t="0" r="0" b="9525"/>
              <wp:wrapNone/>
              <wp:docPr id="56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238125"/>
                      </a:xfrm>
                      <a:prstGeom prst="rect">
                        <a:avLst/>
                      </a:prstGeom>
                      <a:solidFill>
                        <a:srgbClr val="CCFF99">
                          <a:alpha val="10980"/>
                        </a:srgbClr>
                      </a:solidFill>
                      <a:ln w="9525">
                        <a:noFill/>
                        <a:miter lim="800000"/>
                        <a:headEnd/>
                        <a:tailEnd/>
                      </a:ln>
                    </wps:spPr>
                    <wps:txbx>
                      <w:txbxContent>
                        <w:p w:rsidR="003C548E" w:rsidRPr="0088003C" w:rsidRDefault="003C548E" w:rsidP="00A950C4">
                          <w:pPr>
                            <w:rPr>
                              <w:rFonts w:ascii="Lucida Calligraphy" w:hAnsi="Lucida Calligraphy"/>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8003C">
                            <w:rPr>
                              <w:rFonts w:ascii="Lucida Calligraphy" w:hAnsi="Lucida Calligraphy" w:cs="Times New Roman"/>
                              <w:b/>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PUASEE-FA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type w14:anchorId="7235AE4B" id="_x0000_t202" coordsize="21600,21600" o:spt="202" path="m,l,21600r21600,l21600,xe">
              <v:stroke joinstyle="miter"/>
              <v:path gradientshapeok="t" o:connecttype="rect"/>
            </v:shapetype>
            <v:shape id="_x0000_s1083" type="#_x0000_t202" style="position:absolute;left:0;text-align:left;margin-left:-1.15pt;margin-top:35pt;width:1in;height:18.75pt;z-index:-251624448;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" fillcolor="#cf9" stroked="f">
              <v:fill opacity="7196f"/>
              <v:textbox>
                <w:txbxContent>
                  <w:p w:rsidR="003C548E" w:rsidRPr="0088003C" w:rsidRDefault="003C548E" w:rsidP="00A950C4">
                    <w:pPr>
                      <w:rPr>
                        <w:rFonts w:ascii="Lucida Calligraphy" w:hAnsi="Lucida Calligraphy"/>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8003C">
                      <w:rPr>
                        <w:rFonts w:ascii="Lucida Calligraphy" w:hAnsi="Lucida Calligraphy" w:cs="Times New Roman"/>
                        <w:b/>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PUASEE-FA</w:t>
                    </w:r>
                  </w:p>
                </w:txbxContent>
              </v:textbox>
              <w10:wrap anchorx="margin" anchory="margin"/>
            </v:shape>
          </w:pict>
        </mc:Fallback>
      </mc:AlternateContent>
    </w:r>
    <w:r>
      <w:rPr>
        <w:rFonts w:ascii="Times New Roman" w:hAnsi="Times New Roman" w:cs="Times New Roman"/>
        <w:b/>
        <w:sz w:val="16"/>
        <w:szCs w:val="16"/>
      </w:rPr>
      <w:t xml:space="preserve">EIES du Sous-Projet n°2 : </w:t>
    </w:r>
    <w:r w:rsidRPr="00344CDF">
      <w:rPr>
        <w:rFonts w:ascii="Times New Roman" w:hAnsi="Times New Roman" w:cs="Times New Roman"/>
        <w:b/>
        <w:sz w:val="16"/>
        <w:szCs w:val="16"/>
      </w:rPr>
      <w:t>La construction de quatre nouveaux châteaux d’eau (Prabis, Safim, Bor et Antula) et la réhabilitation des autres châteaux d’eau existants</w:t>
    </w:r>
    <w:r w:rsidRPr="00391E6D">
      <w:rPr>
        <w:rFonts w:ascii="Times New Roman" w:hAnsi="Times New Roman" w:cs="Times New Roman"/>
        <w:b/>
        <w:sz w:val="16"/>
        <w:szCs w:val="16"/>
      </w:rPr>
      <w:t>.</w:t>
    </w:r>
  </w:p>
  <w:p w:rsidR="003C548E" w:rsidRPr="0006342E" w:rsidRDefault="003C548E" w:rsidP="00FD763C">
    <w:pPr>
      <w:pStyle w:val="Cabealho"/>
      <w:ind w:right="-142"/>
      <w:jc w:val="right"/>
      <w:rPr>
        <w:rFonts w:ascii="Times New Roman" w:hAnsi="Times New Roman" w:cs="Times New Roman"/>
        <w:color w:val="70AD47"/>
        <w:sz w:val="20"/>
        <w:szCs w:val="20"/>
        <w14:shadow w14:blurRad="63500" w14:dist="50800" w14:dir="13500000" w14:sx="0" w14:sy="0" w14:kx="0" w14:ky="0" w14:algn="none">
          <w14:srgbClr w14:val="000000">
            <w14:alpha w14:val="50000"/>
          </w14:srgbClr>
        </w14:shadow>
        <w14:reflection w14:blurRad="6350" w14:stA="53000" w14:stPos="0" w14:endA="300" w14:endPos="35500" w14:dist="0" w14:dir="5400000" w14:fadeDir="5400000" w14:sx="100000" w14:sy="-90000" w14:kx="0" w14:ky="0" w14:algn="bl"/>
        <w14:textOutline w14:w="9525" w14:cap="flat" w14:cmpd="sng" w14:algn="ctr">
          <w14:solidFill>
            <w14:schemeClr w14:val="accent5">
              <w14:lumMod w14:val="50000"/>
            </w14:schemeClr>
          </w14:solid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pPr>
    <w:r w:rsidRPr="0006342E">
      <w:rPr>
        <w:rFonts w:ascii="Times New Roman" w:hAnsi="Times New Roman" w:cs="Times New Roman"/>
        <w:color w:val="00B05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RAPPORT PROVISOIRE</w:t>
    </w:r>
  </w:p>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548E" w:rsidRDefault="003C548E" w:rsidP="00AA3297">
    <w:pPr>
      <w:pStyle w:val="Cabealho"/>
    </w:pPr>
  </w:p>
  <w:p w:rsidR="003C548E" w:rsidRPr="00E30696" w:rsidRDefault="003C548E" w:rsidP="00AA3297">
    <w:pPr>
      <w:pStyle w:val="Cabealho"/>
    </w:pPr>
  </w:p>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548E" w:rsidRPr="00391E6D" w:rsidRDefault="003C548E" w:rsidP="00A950C4">
    <w:pPr>
      <w:pStyle w:val="Cabealho"/>
      <w:ind w:right="-142"/>
      <w:jc w:val="center"/>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91E6D">
      <w:rPr>
        <w:rFonts w:ascii="Times New Roman" w:eastAsia="Calibri" w:hAnsi="Times New Roman" w:cs="Times New Roman"/>
        <w:noProof/>
        <w:color w:val="000000" w:themeColor="text1"/>
        <w:sz w:val="16"/>
        <w:szCs w:val="16"/>
        <w:lang w:val="pt-PT" w:eastAsia="pt-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drawing>
        <wp:anchor distT="0" distB="0" distL="114300" distR="114300" simplePos="0" relativeHeight="251694080" behindDoc="1" locked="0" layoutInCell="1" allowOverlap="1" wp14:anchorId="5F5FA4F9" wp14:editId="7348D36C">
          <wp:simplePos x="0" y="0"/>
          <wp:positionH relativeFrom="leftMargin">
            <wp:posOffset>161925</wp:posOffset>
          </wp:positionH>
          <wp:positionV relativeFrom="topMargin">
            <wp:posOffset>123825</wp:posOffset>
          </wp:positionV>
          <wp:extent cx="571077" cy="304800"/>
          <wp:effectExtent l="19050" t="19050" r="19685" b="19050"/>
          <wp:wrapNone/>
          <wp:docPr id="1928" name="Image 19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2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1077" cy="304800"/>
                  </a:xfrm>
                  <a:prstGeom prst="rect">
                    <a:avLst/>
                  </a:prstGeom>
                  <a:noFill/>
                  <a:ln w="9525">
                    <a:solidFill>
                      <a:srgbClr val="FFFFFF"/>
                    </a:solidFill>
                    <a:miter lim="800000"/>
                    <a:headEnd/>
                    <a:tailEnd/>
                  </a:ln>
                </pic:spPr>
              </pic:pic>
            </a:graphicData>
          </a:graphic>
          <wp14:sizeRelH relativeFrom="margin">
            <wp14:pctWidth>0</wp14:pctWidth>
          </wp14:sizeRelH>
          <wp14:sizeRelV relativeFrom="margin">
            <wp14:pctHeight>0</wp14:pctHeight>
          </wp14:sizeRelV>
        </wp:anchor>
      </w:drawing>
    </w:r>
    <w:r w:rsidRPr="00391E6D">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PROJET D'URGENCE POUR L'AMELIORATION DES SERVICES D'EAU ET D'ELECTRICITE (PUASEE) – FA</w:t>
    </w:r>
  </w:p>
  <w:p w:rsidR="003C548E" w:rsidRPr="00391E6D" w:rsidRDefault="003C548E" w:rsidP="00A950C4">
    <w:pPr>
      <w:pStyle w:val="Cabealho"/>
      <w:ind w:left="-142" w:right="-142"/>
      <w:jc w:val="center"/>
      <w:rPr>
        <w:rFonts w:ascii="Times New Roman" w:hAnsi="Times New Roman" w:cs="Times New Roman"/>
        <w:sz w:val="16"/>
        <w:szCs w:val="16"/>
      </w:rPr>
    </w:pPr>
    <w:r w:rsidRPr="00391E6D">
      <w:rPr>
        <w:rFonts w:ascii="Times New Roman" w:hAnsi="Times New Roman" w:cs="Times New Roman"/>
        <w:b/>
        <w:noProof/>
        <w:sz w:val="16"/>
        <w:szCs w:val="16"/>
        <w:lang w:val="pt-PT" w:eastAsia="pt-PT"/>
      </w:rPr>
      <mc:AlternateContent>
        <mc:Choice Requires="wps">
          <w:drawing>
            <wp:anchor distT="45720" distB="45720" distL="114300" distR="114300" simplePos="0" relativeHeight="251695104" behindDoc="1" locked="0" layoutInCell="1" allowOverlap="1" wp14:anchorId="4BE3D6D0" wp14:editId="7EB4B7B6">
              <wp:simplePos x="0" y="0"/>
              <wp:positionH relativeFrom="leftMargin">
                <wp:posOffset>-14605</wp:posOffset>
              </wp:positionH>
              <wp:positionV relativeFrom="topMargin">
                <wp:posOffset>444500</wp:posOffset>
              </wp:positionV>
              <wp:extent cx="914400" cy="238125"/>
              <wp:effectExtent l="0" t="0" r="0" b="9525"/>
              <wp:wrapNone/>
              <wp:docPr id="564"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238125"/>
                      </a:xfrm>
                      <a:prstGeom prst="rect">
                        <a:avLst/>
                      </a:prstGeom>
                      <a:solidFill>
                        <a:srgbClr val="CCFF99">
                          <a:alpha val="10980"/>
                        </a:srgbClr>
                      </a:solidFill>
                      <a:ln w="9525">
                        <a:noFill/>
                        <a:miter lim="800000"/>
                        <a:headEnd/>
                        <a:tailEnd/>
                      </a:ln>
                    </wps:spPr>
                    <wps:txbx>
                      <w:txbxContent>
                        <w:p w:rsidR="003C548E" w:rsidRPr="0088003C" w:rsidRDefault="003C548E" w:rsidP="00A950C4">
                          <w:pPr>
                            <w:rPr>
                              <w:rFonts w:ascii="Lucida Calligraphy" w:hAnsi="Lucida Calligraphy"/>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8003C">
                            <w:rPr>
                              <w:rFonts w:ascii="Lucida Calligraphy" w:hAnsi="Lucida Calligraphy" w:cs="Times New Roman"/>
                              <w:b/>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PUASEE-FA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type w14:anchorId="4BE3D6D0" id="_x0000_t202" coordsize="21600,21600" o:spt="202" path="m,l,21600r21600,l21600,xe">
              <v:stroke joinstyle="miter"/>
              <v:path gradientshapeok="t" o:connecttype="rect"/>
            </v:shapetype>
            <v:shape id="_x0000_s1084" type="#_x0000_t202" style="position:absolute;left:0;text-align:left;margin-left:-1.15pt;margin-top:35pt;width:1in;height:18.75pt;z-index:-251621376;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" fillcolor="#cf9" stroked="f">
              <v:fill opacity="7196f"/>
              <v:textbox>
                <w:txbxContent>
                  <w:p w:rsidR="003C548E" w:rsidRPr="0088003C" w:rsidRDefault="003C548E" w:rsidP="00A950C4">
                    <w:pPr>
                      <w:rPr>
                        <w:rFonts w:ascii="Lucida Calligraphy" w:hAnsi="Lucida Calligraphy"/>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8003C">
                      <w:rPr>
                        <w:rFonts w:ascii="Lucida Calligraphy" w:hAnsi="Lucida Calligraphy" w:cs="Times New Roman"/>
                        <w:b/>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PUASEE-FA</w:t>
                    </w:r>
                  </w:p>
                </w:txbxContent>
              </v:textbox>
              <w10:wrap anchorx="margin" anchory="margin"/>
            </v:shape>
          </w:pict>
        </mc:Fallback>
      </mc:AlternateContent>
    </w:r>
    <w:r>
      <w:rPr>
        <w:rFonts w:ascii="Times New Roman" w:hAnsi="Times New Roman" w:cs="Times New Roman"/>
        <w:b/>
        <w:sz w:val="16"/>
        <w:szCs w:val="16"/>
      </w:rPr>
      <w:t xml:space="preserve">EIES du Sous-Projet n°2 : </w:t>
    </w:r>
    <w:r w:rsidRPr="00344CDF">
      <w:rPr>
        <w:rFonts w:ascii="Times New Roman" w:hAnsi="Times New Roman" w:cs="Times New Roman"/>
        <w:b/>
        <w:sz w:val="16"/>
        <w:szCs w:val="16"/>
      </w:rPr>
      <w:t>La construction de quatre nouveaux châteaux d’eau (Prabis, Safim, Bor et Antula) et la réhabilitation des autres châteaux d’eau existants</w:t>
    </w:r>
    <w:r w:rsidRPr="00391E6D">
      <w:rPr>
        <w:rFonts w:ascii="Times New Roman" w:hAnsi="Times New Roman" w:cs="Times New Roman"/>
        <w:b/>
        <w:sz w:val="16"/>
        <w:szCs w:val="16"/>
      </w:rPr>
      <w:t>.</w:t>
    </w:r>
  </w:p>
  <w:p w:rsidR="003C548E" w:rsidRPr="0006342E" w:rsidRDefault="003C548E" w:rsidP="00A950C4">
    <w:pPr>
      <w:pStyle w:val="Cabealho"/>
      <w:ind w:right="-142"/>
      <w:jc w:val="right"/>
      <w:rPr>
        <w:rFonts w:ascii="Times New Roman" w:hAnsi="Times New Roman" w:cs="Times New Roman"/>
        <w:color w:val="70AD47"/>
        <w:sz w:val="20"/>
        <w:szCs w:val="20"/>
        <w14:shadow w14:blurRad="63500" w14:dist="50800" w14:dir="13500000" w14:sx="0" w14:sy="0" w14:kx="0" w14:ky="0" w14:algn="none">
          <w14:srgbClr w14:val="000000">
            <w14:alpha w14:val="50000"/>
          </w14:srgbClr>
        </w14:shadow>
        <w14:reflection w14:blurRad="6350" w14:stA="53000" w14:stPos="0" w14:endA="300" w14:endPos="35500" w14:dist="0" w14:dir="5400000" w14:fadeDir="5400000" w14:sx="100000" w14:sy="-90000" w14:kx="0" w14:ky="0" w14:algn="bl"/>
        <w14:textOutline w14:w="9525" w14:cap="flat" w14:cmpd="sng" w14:algn="ctr">
          <w14:solidFill>
            <w14:schemeClr w14:val="accent5">
              <w14:lumMod w14:val="50000"/>
            </w14:schemeClr>
          </w14:solid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pPr>
    <w:r>
      <w:rPr>
        <w:rFonts w:ascii="Times New Roman" w:hAnsi="Times New Roman" w:cs="Times New Roman"/>
        <w:color w:val="00B05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RAPPORT FINAL</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w14:anchorId="6954D719"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25pt;height:11.25pt" o:bullet="t">
        <v:imagedata r:id="rId1" o:title="mso6FD1"/>
      </v:shape>
    </w:pict>
  </w:numPicBullet>
  <w:abstractNum w:abstractNumId="0" w15:restartNumberingAfterBreak="0">
    <w:nsid w:val="FFFFFF7F"/>
    <w:multiLevelType w:val="singleLevel"/>
    <w:tmpl w:val="E6E0D85C"/>
    <w:lvl w:ilvl="0">
      <w:start w:val="1"/>
      <w:numFmt w:val="decimal"/>
      <w:pStyle w:val="Listanumerada2"/>
      <w:lvlText w:val="%1."/>
      <w:lvlJc w:val="left"/>
      <w:pPr>
        <w:tabs>
          <w:tab w:val="num" w:pos="643"/>
        </w:tabs>
        <w:ind w:left="643" w:hanging="360"/>
      </w:pPr>
    </w:lvl>
  </w:abstractNum>
  <w:abstractNum w:abstractNumId="1" w15:restartNumberingAfterBreak="0">
    <w:nsid w:val="FFFFFF82"/>
    <w:multiLevelType w:val="singleLevel"/>
    <w:tmpl w:val="890066D0"/>
    <w:lvl w:ilvl="0">
      <w:start w:val="1"/>
      <w:numFmt w:val="bullet"/>
      <w:pStyle w:val="Listacommarcas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8B3AAED6"/>
    <w:lvl w:ilvl="0">
      <w:start w:val="1"/>
      <w:numFmt w:val="bullet"/>
      <w:pStyle w:val="Listacommarcas2"/>
      <w:lvlText w:val=""/>
      <w:lvlJc w:val="left"/>
      <w:pPr>
        <w:tabs>
          <w:tab w:val="num" w:pos="643"/>
        </w:tabs>
        <w:ind w:left="643" w:hanging="360"/>
      </w:pPr>
      <w:rPr>
        <w:rFonts w:ascii="Symbol" w:hAnsi="Symbol" w:hint="default"/>
      </w:rPr>
    </w:lvl>
  </w:abstractNum>
  <w:abstractNum w:abstractNumId="3" w15:restartNumberingAfterBreak="0">
    <w:nsid w:val="0000001B"/>
    <w:multiLevelType w:val="multilevel"/>
    <w:tmpl w:val="29F63806"/>
    <w:lvl w:ilvl="0">
      <w:start w:val="1"/>
      <w:numFmt w:val="decimal"/>
      <w:pStyle w:val="AATitre3"/>
      <w:lvlText w:val="%1."/>
      <w:lvlJc w:val="left"/>
      <w:pPr>
        <w:tabs>
          <w:tab w:val="num" w:pos="1827"/>
        </w:tabs>
        <w:ind w:left="0" w:firstLine="0"/>
      </w:pPr>
      <w:rPr>
        <w:rFonts w:ascii="Times New Roman Gras" w:hAnsi="Times New Roman Gras" w:hint="default"/>
        <w:b/>
        <w:i w:val="0"/>
        <w:color w:val="auto"/>
        <w:sz w:val="22"/>
        <w:u w:val="none"/>
      </w:rPr>
    </w:lvl>
    <w:lvl w:ilvl="1">
      <w:start w:val="1"/>
      <w:numFmt w:val="decimal"/>
      <w:lvlText w:val="%1.%2"/>
      <w:lvlJc w:val="left"/>
      <w:pPr>
        <w:tabs>
          <w:tab w:val="num" w:pos="2234"/>
        </w:tabs>
        <w:ind w:left="0" w:firstLine="0"/>
      </w:pPr>
      <w:rPr>
        <w:rFonts w:ascii="Myriad Pro Black" w:hAnsi="Myriad Pro Black" w:cs="Myriad Pro Black" w:hint="default"/>
        <w:b w:val="0"/>
        <w:i w:val="0"/>
        <w:color w:val="auto"/>
        <w:sz w:val="22"/>
        <w:u w:val="none"/>
      </w:rPr>
    </w:lvl>
    <w:lvl w:ilvl="2">
      <w:start w:val="1"/>
      <w:numFmt w:val="decimal"/>
      <w:lvlText w:val="%1.%2.%3"/>
      <w:lvlJc w:val="left"/>
      <w:pPr>
        <w:tabs>
          <w:tab w:val="num" w:pos="1827"/>
        </w:tabs>
        <w:ind w:left="0" w:firstLine="0"/>
      </w:pPr>
      <w:rPr>
        <w:rFonts w:ascii="Myriad Pro Black" w:hAnsi="Myriad Pro Black" w:cs="Myriad Pro Black" w:hint="default"/>
        <w:b w:val="0"/>
        <w:i w:val="0"/>
        <w:color w:val="auto"/>
        <w:sz w:val="22"/>
        <w:u w:val="none"/>
      </w:rPr>
    </w:lvl>
    <w:lvl w:ilvl="3">
      <w:start w:val="1"/>
      <w:numFmt w:val="lowerLetter"/>
      <w:lvlText w:val="(%4)"/>
      <w:lvlJc w:val="left"/>
      <w:pPr>
        <w:tabs>
          <w:tab w:val="num" w:pos="360"/>
        </w:tabs>
        <w:ind w:left="360" w:hanging="360"/>
      </w:pPr>
      <w:rPr>
        <w:rFonts w:ascii="Arial" w:hAnsi="Arial" w:hint="default"/>
        <w:b/>
        <w:i w:val="0"/>
        <w:sz w:val="20"/>
      </w:rPr>
    </w:lvl>
    <w:lvl w:ilvl="4">
      <w:start w:val="1"/>
      <w:numFmt w:val="lowerRoman"/>
      <w:lvlText w:val="(%5)"/>
      <w:lvlJc w:val="left"/>
      <w:pPr>
        <w:tabs>
          <w:tab w:val="num" w:pos="720"/>
        </w:tabs>
        <w:ind w:left="360" w:hanging="360"/>
      </w:pPr>
      <w:rPr>
        <w:rFonts w:ascii="Arial" w:hAnsi="Arial" w:hint="default"/>
        <w:b w:val="0"/>
        <w:i w:val="0"/>
        <w:sz w:val="20"/>
      </w:rPr>
    </w:lvl>
    <w:lvl w:ilvl="5">
      <w:start w:val="1"/>
      <w:numFmt w:val="decimal"/>
      <w:lvlText w:val="%1.%2.%3.%4.%5.%6"/>
      <w:lvlJc w:val="left"/>
      <w:pPr>
        <w:tabs>
          <w:tab w:val="num" w:pos="1845"/>
        </w:tabs>
        <w:ind w:left="0" w:firstLine="0"/>
      </w:pPr>
      <w:rPr>
        <w:rFonts w:hint="default"/>
      </w:rPr>
    </w:lvl>
    <w:lvl w:ilvl="6">
      <w:start w:val="1"/>
      <w:numFmt w:val="decimal"/>
      <w:lvlText w:val="%1.%2.%3.%4.%5.%6.%7"/>
      <w:lvlJc w:val="left"/>
      <w:pPr>
        <w:tabs>
          <w:tab w:val="num" w:pos="1989"/>
        </w:tabs>
        <w:ind w:left="0" w:firstLine="0"/>
      </w:pPr>
      <w:rPr>
        <w:rFonts w:hint="default"/>
      </w:rPr>
    </w:lvl>
    <w:lvl w:ilvl="7">
      <w:start w:val="1"/>
      <w:numFmt w:val="decimal"/>
      <w:lvlText w:val="%1.%2.%3.%4.%5.%6.%7.%8"/>
      <w:lvlJc w:val="left"/>
      <w:pPr>
        <w:tabs>
          <w:tab w:val="num" w:pos="2133"/>
        </w:tabs>
        <w:ind w:left="0" w:firstLine="0"/>
      </w:pPr>
      <w:rPr>
        <w:rFonts w:hint="default"/>
      </w:rPr>
    </w:lvl>
    <w:lvl w:ilvl="8">
      <w:start w:val="1"/>
      <w:numFmt w:val="decimal"/>
      <w:lvlText w:val="%1.%2.%3.%4.%5.%6.%7.%8.%9"/>
      <w:lvlJc w:val="left"/>
      <w:pPr>
        <w:tabs>
          <w:tab w:val="num" w:pos="2277"/>
        </w:tabs>
        <w:ind w:left="0" w:firstLine="0"/>
      </w:pPr>
      <w:rPr>
        <w:rFonts w:hint="default"/>
      </w:rPr>
    </w:lvl>
  </w:abstractNum>
  <w:abstractNum w:abstractNumId="4" w15:restartNumberingAfterBreak="0">
    <w:nsid w:val="00000037"/>
    <w:multiLevelType w:val="hybridMultilevel"/>
    <w:tmpl w:val="B5529832"/>
    <w:lvl w:ilvl="0" w:tplc="040C0005">
      <w:start w:val="1"/>
      <w:numFmt w:val="bullet"/>
      <w:lvlText w:val=""/>
      <w:lvlJc w:val="left"/>
      <w:pPr>
        <w:tabs>
          <w:tab w:val="num" w:pos="1080"/>
        </w:tabs>
        <w:ind w:left="1080" w:hanging="360"/>
      </w:pPr>
      <w:rPr>
        <w:rFonts w:ascii="Wingdings" w:hAnsi="Wingdings" w:hint="default"/>
      </w:rPr>
    </w:lvl>
    <w:lvl w:ilvl="1" w:tplc="040C0003">
      <w:start w:val="1"/>
      <w:numFmt w:val="bullet"/>
      <w:lvlRestart w:val="0"/>
      <w:lvlText w:val="o"/>
      <w:lvlJc w:val="left"/>
      <w:pPr>
        <w:tabs>
          <w:tab w:val="num" w:pos="1800"/>
        </w:tabs>
        <w:ind w:left="1800" w:hanging="360"/>
      </w:pPr>
      <w:rPr>
        <w:rFonts w:ascii="Courier New" w:hAnsi="Courier New" w:cs="Courier New" w:hint="default"/>
      </w:rPr>
    </w:lvl>
    <w:lvl w:ilvl="2" w:tplc="040C0005">
      <w:start w:val="1"/>
      <w:numFmt w:val="bullet"/>
      <w:lvlRestart w:val="0"/>
      <w:lvlText w:val=""/>
      <w:lvlJc w:val="left"/>
      <w:pPr>
        <w:tabs>
          <w:tab w:val="num" w:pos="2520"/>
        </w:tabs>
        <w:ind w:left="2520" w:hanging="360"/>
      </w:pPr>
      <w:rPr>
        <w:rFonts w:ascii="Wingdings" w:hAnsi="Wingdings" w:hint="default"/>
      </w:rPr>
    </w:lvl>
    <w:lvl w:ilvl="3" w:tplc="040C0001">
      <w:start w:val="1"/>
      <w:numFmt w:val="bullet"/>
      <w:lvlRestart w:val="0"/>
      <w:lvlText w:val=""/>
      <w:lvlJc w:val="left"/>
      <w:pPr>
        <w:tabs>
          <w:tab w:val="num" w:pos="3240"/>
        </w:tabs>
        <w:ind w:left="3240" w:hanging="360"/>
      </w:pPr>
      <w:rPr>
        <w:rFonts w:ascii="Symbol" w:hAnsi="Symbol" w:hint="default"/>
      </w:rPr>
    </w:lvl>
    <w:lvl w:ilvl="4" w:tplc="040C0003">
      <w:start w:val="1"/>
      <w:numFmt w:val="bullet"/>
      <w:lvlRestart w:val="0"/>
      <w:lvlText w:val="o"/>
      <w:lvlJc w:val="left"/>
      <w:pPr>
        <w:tabs>
          <w:tab w:val="num" w:pos="3960"/>
        </w:tabs>
        <w:ind w:left="3960" w:hanging="360"/>
      </w:pPr>
      <w:rPr>
        <w:rFonts w:ascii="Courier New" w:hAnsi="Courier New" w:cs="Courier New" w:hint="default"/>
      </w:rPr>
    </w:lvl>
    <w:lvl w:ilvl="5" w:tplc="040C0005">
      <w:start w:val="1"/>
      <w:numFmt w:val="bullet"/>
      <w:lvlRestart w:val="0"/>
      <w:lvlText w:val=""/>
      <w:lvlJc w:val="left"/>
      <w:pPr>
        <w:tabs>
          <w:tab w:val="num" w:pos="4680"/>
        </w:tabs>
        <w:ind w:left="4680" w:hanging="360"/>
      </w:pPr>
      <w:rPr>
        <w:rFonts w:ascii="Wingdings" w:hAnsi="Wingdings" w:hint="default"/>
      </w:rPr>
    </w:lvl>
    <w:lvl w:ilvl="6" w:tplc="040C0001">
      <w:start w:val="1"/>
      <w:numFmt w:val="bullet"/>
      <w:lvlRestart w:val="0"/>
      <w:lvlText w:val=""/>
      <w:lvlJc w:val="left"/>
      <w:pPr>
        <w:tabs>
          <w:tab w:val="num" w:pos="5400"/>
        </w:tabs>
        <w:ind w:left="5400" w:hanging="360"/>
      </w:pPr>
      <w:rPr>
        <w:rFonts w:ascii="Symbol" w:hAnsi="Symbol" w:hint="default"/>
      </w:rPr>
    </w:lvl>
    <w:lvl w:ilvl="7" w:tplc="040C0003">
      <w:start w:val="1"/>
      <w:numFmt w:val="bullet"/>
      <w:lvlRestart w:val="0"/>
      <w:lvlText w:val="o"/>
      <w:lvlJc w:val="left"/>
      <w:pPr>
        <w:tabs>
          <w:tab w:val="num" w:pos="6120"/>
        </w:tabs>
        <w:ind w:left="6120" w:hanging="360"/>
      </w:pPr>
      <w:rPr>
        <w:rFonts w:ascii="Courier New" w:hAnsi="Courier New" w:cs="Courier New" w:hint="default"/>
      </w:rPr>
    </w:lvl>
    <w:lvl w:ilvl="8" w:tplc="040C0005">
      <w:start w:val="1"/>
      <w:numFmt w:val="bullet"/>
      <w:lvlRestart w:val="0"/>
      <w:lvlText w:val=""/>
      <w:lvlJc w:val="left"/>
      <w:pPr>
        <w:tabs>
          <w:tab w:val="num" w:pos="6840"/>
        </w:tabs>
        <w:ind w:left="6840" w:hanging="360"/>
      </w:pPr>
      <w:rPr>
        <w:rFonts w:ascii="Wingdings" w:hAnsi="Wingdings" w:hint="default"/>
      </w:rPr>
    </w:lvl>
  </w:abstractNum>
  <w:abstractNum w:abstractNumId="5" w15:restartNumberingAfterBreak="0">
    <w:nsid w:val="00560DFF"/>
    <w:multiLevelType w:val="hybridMultilevel"/>
    <w:tmpl w:val="96EA2A50"/>
    <w:lvl w:ilvl="0" w:tplc="040C0001">
      <w:start w:val="1"/>
      <w:numFmt w:val="bullet"/>
      <w:lvlText w:val=""/>
      <w:lvlJc w:val="left"/>
      <w:pPr>
        <w:ind w:left="927" w:hanging="360"/>
      </w:pPr>
      <w:rPr>
        <w:rFonts w:ascii="Symbol" w:hAnsi="Symbol" w:hint="default"/>
      </w:rPr>
    </w:lvl>
    <w:lvl w:ilvl="1" w:tplc="040C0019" w:tentative="1">
      <w:start w:val="1"/>
      <w:numFmt w:val="lowerLetter"/>
      <w:lvlText w:val="%2."/>
      <w:lvlJc w:val="left"/>
      <w:pPr>
        <w:ind w:left="1647" w:hanging="360"/>
      </w:pPr>
    </w:lvl>
    <w:lvl w:ilvl="2" w:tplc="040C001B" w:tentative="1">
      <w:start w:val="1"/>
      <w:numFmt w:val="lowerRoman"/>
      <w:lvlText w:val="%3."/>
      <w:lvlJc w:val="right"/>
      <w:pPr>
        <w:ind w:left="2367" w:hanging="180"/>
      </w:pPr>
    </w:lvl>
    <w:lvl w:ilvl="3" w:tplc="040C000F" w:tentative="1">
      <w:start w:val="1"/>
      <w:numFmt w:val="decimal"/>
      <w:lvlText w:val="%4."/>
      <w:lvlJc w:val="left"/>
      <w:pPr>
        <w:ind w:left="3087" w:hanging="360"/>
      </w:pPr>
    </w:lvl>
    <w:lvl w:ilvl="4" w:tplc="040C0019" w:tentative="1">
      <w:start w:val="1"/>
      <w:numFmt w:val="lowerLetter"/>
      <w:lvlText w:val="%5."/>
      <w:lvlJc w:val="left"/>
      <w:pPr>
        <w:ind w:left="3807" w:hanging="360"/>
      </w:pPr>
    </w:lvl>
    <w:lvl w:ilvl="5" w:tplc="040C001B" w:tentative="1">
      <w:start w:val="1"/>
      <w:numFmt w:val="lowerRoman"/>
      <w:lvlText w:val="%6."/>
      <w:lvlJc w:val="right"/>
      <w:pPr>
        <w:ind w:left="4527" w:hanging="180"/>
      </w:pPr>
    </w:lvl>
    <w:lvl w:ilvl="6" w:tplc="040C000F" w:tentative="1">
      <w:start w:val="1"/>
      <w:numFmt w:val="decimal"/>
      <w:lvlText w:val="%7."/>
      <w:lvlJc w:val="left"/>
      <w:pPr>
        <w:ind w:left="5247" w:hanging="360"/>
      </w:pPr>
    </w:lvl>
    <w:lvl w:ilvl="7" w:tplc="040C0019" w:tentative="1">
      <w:start w:val="1"/>
      <w:numFmt w:val="lowerLetter"/>
      <w:lvlText w:val="%8."/>
      <w:lvlJc w:val="left"/>
      <w:pPr>
        <w:ind w:left="5967" w:hanging="360"/>
      </w:pPr>
    </w:lvl>
    <w:lvl w:ilvl="8" w:tplc="040C001B" w:tentative="1">
      <w:start w:val="1"/>
      <w:numFmt w:val="lowerRoman"/>
      <w:lvlText w:val="%9."/>
      <w:lvlJc w:val="right"/>
      <w:pPr>
        <w:ind w:left="6687" w:hanging="180"/>
      </w:pPr>
    </w:lvl>
  </w:abstractNum>
  <w:abstractNum w:abstractNumId="6" w15:restartNumberingAfterBreak="0">
    <w:nsid w:val="015C5326"/>
    <w:multiLevelType w:val="hybridMultilevel"/>
    <w:tmpl w:val="72F0CCFE"/>
    <w:lvl w:ilvl="0" w:tplc="F618B528">
      <w:numFmt w:val="bullet"/>
      <w:lvlText w:val="-"/>
      <w:lvlJc w:val="left"/>
      <w:pPr>
        <w:tabs>
          <w:tab w:val="num" w:pos="1065"/>
        </w:tabs>
        <w:ind w:left="1065" w:hanging="360"/>
      </w:pPr>
      <w:rPr>
        <w:rFonts w:ascii="Times New Roman" w:eastAsia="Times New Roman" w:hAnsi="Times New Roman" w:cs="Times New Roman" w:hint="default"/>
      </w:rPr>
    </w:lvl>
    <w:lvl w:ilvl="1" w:tplc="040C0003">
      <w:start w:val="1"/>
      <w:numFmt w:val="bullet"/>
      <w:lvlText w:val="o"/>
      <w:lvlJc w:val="left"/>
      <w:pPr>
        <w:tabs>
          <w:tab w:val="num" w:pos="1785"/>
        </w:tabs>
        <w:ind w:left="1785" w:hanging="360"/>
      </w:pPr>
      <w:rPr>
        <w:rFonts w:ascii="Courier New" w:hAnsi="Courier New" w:cs="Times New Roman" w:hint="default"/>
      </w:rPr>
    </w:lvl>
    <w:lvl w:ilvl="2" w:tplc="040C0005">
      <w:start w:val="1"/>
      <w:numFmt w:val="bullet"/>
      <w:lvlText w:val=""/>
      <w:lvlJc w:val="left"/>
      <w:pPr>
        <w:tabs>
          <w:tab w:val="num" w:pos="2505"/>
        </w:tabs>
        <w:ind w:left="2505" w:hanging="360"/>
      </w:pPr>
      <w:rPr>
        <w:rFonts w:ascii="Wingdings" w:hAnsi="Wingdings" w:hint="default"/>
      </w:rPr>
    </w:lvl>
    <w:lvl w:ilvl="3" w:tplc="040C0001">
      <w:start w:val="1"/>
      <w:numFmt w:val="bullet"/>
      <w:lvlText w:val=""/>
      <w:lvlJc w:val="left"/>
      <w:pPr>
        <w:tabs>
          <w:tab w:val="num" w:pos="3225"/>
        </w:tabs>
        <w:ind w:left="3225" w:hanging="360"/>
      </w:pPr>
      <w:rPr>
        <w:rFonts w:ascii="Symbol" w:hAnsi="Symbol" w:hint="default"/>
      </w:rPr>
    </w:lvl>
    <w:lvl w:ilvl="4" w:tplc="040C0003">
      <w:start w:val="1"/>
      <w:numFmt w:val="bullet"/>
      <w:lvlText w:val="o"/>
      <w:lvlJc w:val="left"/>
      <w:pPr>
        <w:tabs>
          <w:tab w:val="num" w:pos="3945"/>
        </w:tabs>
        <w:ind w:left="3945" w:hanging="360"/>
      </w:pPr>
      <w:rPr>
        <w:rFonts w:ascii="Courier New" w:hAnsi="Courier New" w:cs="Times New Roman" w:hint="default"/>
      </w:rPr>
    </w:lvl>
    <w:lvl w:ilvl="5" w:tplc="040C0005">
      <w:start w:val="1"/>
      <w:numFmt w:val="bullet"/>
      <w:lvlText w:val=""/>
      <w:lvlJc w:val="left"/>
      <w:pPr>
        <w:tabs>
          <w:tab w:val="num" w:pos="4665"/>
        </w:tabs>
        <w:ind w:left="4665" w:hanging="360"/>
      </w:pPr>
      <w:rPr>
        <w:rFonts w:ascii="Wingdings" w:hAnsi="Wingdings" w:hint="default"/>
      </w:rPr>
    </w:lvl>
    <w:lvl w:ilvl="6" w:tplc="040C0001">
      <w:start w:val="1"/>
      <w:numFmt w:val="bullet"/>
      <w:lvlText w:val=""/>
      <w:lvlJc w:val="left"/>
      <w:pPr>
        <w:tabs>
          <w:tab w:val="num" w:pos="5385"/>
        </w:tabs>
        <w:ind w:left="5385" w:hanging="360"/>
      </w:pPr>
      <w:rPr>
        <w:rFonts w:ascii="Symbol" w:hAnsi="Symbol" w:hint="default"/>
      </w:rPr>
    </w:lvl>
    <w:lvl w:ilvl="7" w:tplc="040C0003">
      <w:start w:val="1"/>
      <w:numFmt w:val="bullet"/>
      <w:lvlText w:val="o"/>
      <w:lvlJc w:val="left"/>
      <w:pPr>
        <w:tabs>
          <w:tab w:val="num" w:pos="6105"/>
        </w:tabs>
        <w:ind w:left="6105" w:hanging="360"/>
      </w:pPr>
      <w:rPr>
        <w:rFonts w:ascii="Courier New" w:hAnsi="Courier New" w:cs="Times New Roman" w:hint="default"/>
      </w:rPr>
    </w:lvl>
    <w:lvl w:ilvl="8" w:tplc="040C0005">
      <w:start w:val="1"/>
      <w:numFmt w:val="bullet"/>
      <w:lvlText w:val=""/>
      <w:lvlJc w:val="left"/>
      <w:pPr>
        <w:tabs>
          <w:tab w:val="num" w:pos="6825"/>
        </w:tabs>
        <w:ind w:left="6825" w:hanging="360"/>
      </w:pPr>
      <w:rPr>
        <w:rFonts w:ascii="Wingdings" w:hAnsi="Wingdings" w:hint="default"/>
      </w:rPr>
    </w:lvl>
  </w:abstractNum>
  <w:abstractNum w:abstractNumId="7" w15:restartNumberingAfterBreak="0">
    <w:nsid w:val="02906D54"/>
    <w:multiLevelType w:val="multilevel"/>
    <w:tmpl w:val="1B607C02"/>
    <w:lvl w:ilvl="0">
      <w:start w:val="4"/>
      <w:numFmt w:val="decimal"/>
      <w:lvlText w:val="%1."/>
      <w:lvlJc w:val="left"/>
      <w:pPr>
        <w:ind w:left="360" w:hanging="360"/>
      </w:pPr>
      <w:rPr>
        <w:rFonts w:hint="default"/>
        <w:sz w:val="24"/>
      </w:rPr>
    </w:lvl>
    <w:lvl w:ilvl="1">
      <w:start w:val="1"/>
      <w:numFmt w:val="decimal"/>
      <w:lvlText w:val="%1.%2."/>
      <w:lvlJc w:val="left"/>
      <w:pPr>
        <w:ind w:left="1068" w:hanging="360"/>
      </w:pPr>
      <w:rPr>
        <w:rFonts w:hint="default"/>
        <w:sz w:val="24"/>
      </w:rPr>
    </w:lvl>
    <w:lvl w:ilvl="2">
      <w:start w:val="1"/>
      <w:numFmt w:val="decimal"/>
      <w:lvlText w:val="%1.%2.%3."/>
      <w:lvlJc w:val="left"/>
      <w:pPr>
        <w:ind w:left="2136" w:hanging="720"/>
      </w:pPr>
      <w:rPr>
        <w:rFonts w:hint="default"/>
        <w:sz w:val="24"/>
      </w:rPr>
    </w:lvl>
    <w:lvl w:ilvl="3">
      <w:start w:val="1"/>
      <w:numFmt w:val="decimal"/>
      <w:lvlText w:val="%1.%2.%3.%4."/>
      <w:lvlJc w:val="left"/>
      <w:pPr>
        <w:ind w:left="2844" w:hanging="720"/>
      </w:pPr>
      <w:rPr>
        <w:rFonts w:hint="default"/>
        <w:sz w:val="24"/>
      </w:rPr>
    </w:lvl>
    <w:lvl w:ilvl="4">
      <w:start w:val="1"/>
      <w:numFmt w:val="decimal"/>
      <w:lvlText w:val="%1.%2.%3.%4.%5."/>
      <w:lvlJc w:val="left"/>
      <w:pPr>
        <w:ind w:left="3912" w:hanging="1080"/>
      </w:pPr>
      <w:rPr>
        <w:rFonts w:hint="default"/>
        <w:sz w:val="24"/>
      </w:rPr>
    </w:lvl>
    <w:lvl w:ilvl="5">
      <w:start w:val="1"/>
      <w:numFmt w:val="decimal"/>
      <w:lvlText w:val="%1.%2.%3.%4.%5.%6."/>
      <w:lvlJc w:val="left"/>
      <w:pPr>
        <w:ind w:left="4620" w:hanging="1080"/>
      </w:pPr>
      <w:rPr>
        <w:rFonts w:hint="default"/>
        <w:sz w:val="24"/>
      </w:rPr>
    </w:lvl>
    <w:lvl w:ilvl="6">
      <w:start w:val="1"/>
      <w:numFmt w:val="decimal"/>
      <w:lvlText w:val="%1.%2.%3.%4.%5.%6.%7."/>
      <w:lvlJc w:val="left"/>
      <w:pPr>
        <w:ind w:left="5328" w:hanging="1080"/>
      </w:pPr>
      <w:rPr>
        <w:rFonts w:hint="default"/>
        <w:sz w:val="24"/>
      </w:rPr>
    </w:lvl>
    <w:lvl w:ilvl="7">
      <w:start w:val="1"/>
      <w:numFmt w:val="decimal"/>
      <w:lvlText w:val="%1.%2.%3.%4.%5.%6.%7.%8."/>
      <w:lvlJc w:val="left"/>
      <w:pPr>
        <w:ind w:left="6396" w:hanging="1440"/>
      </w:pPr>
      <w:rPr>
        <w:rFonts w:hint="default"/>
        <w:sz w:val="24"/>
      </w:rPr>
    </w:lvl>
    <w:lvl w:ilvl="8">
      <w:start w:val="1"/>
      <w:numFmt w:val="decimal"/>
      <w:lvlText w:val="%1.%2.%3.%4.%5.%6.%7.%8.%9."/>
      <w:lvlJc w:val="left"/>
      <w:pPr>
        <w:ind w:left="7104" w:hanging="1440"/>
      </w:pPr>
      <w:rPr>
        <w:rFonts w:hint="default"/>
        <w:sz w:val="24"/>
      </w:rPr>
    </w:lvl>
  </w:abstractNum>
  <w:abstractNum w:abstractNumId="8" w15:restartNumberingAfterBreak="0">
    <w:nsid w:val="034D3DD5"/>
    <w:multiLevelType w:val="hybridMultilevel"/>
    <w:tmpl w:val="D1D68496"/>
    <w:lvl w:ilvl="0" w:tplc="040C000B">
      <w:start w:val="1"/>
      <w:numFmt w:val="bullet"/>
      <w:lvlText w:val=""/>
      <w:lvlJc w:val="left"/>
      <w:pPr>
        <w:ind w:left="1144" w:hanging="360"/>
      </w:pPr>
      <w:rPr>
        <w:rFonts w:ascii="Wingdings" w:hAnsi="Wingdings" w:hint="default"/>
      </w:rPr>
    </w:lvl>
    <w:lvl w:ilvl="1" w:tplc="040C0003" w:tentative="1">
      <w:start w:val="1"/>
      <w:numFmt w:val="bullet"/>
      <w:lvlText w:val="o"/>
      <w:lvlJc w:val="left"/>
      <w:pPr>
        <w:ind w:left="1864" w:hanging="360"/>
      </w:pPr>
      <w:rPr>
        <w:rFonts w:ascii="Courier New" w:hAnsi="Courier New" w:cs="Courier New" w:hint="default"/>
      </w:rPr>
    </w:lvl>
    <w:lvl w:ilvl="2" w:tplc="040C0005" w:tentative="1">
      <w:start w:val="1"/>
      <w:numFmt w:val="bullet"/>
      <w:lvlText w:val=""/>
      <w:lvlJc w:val="left"/>
      <w:pPr>
        <w:ind w:left="2584" w:hanging="360"/>
      </w:pPr>
      <w:rPr>
        <w:rFonts w:ascii="Wingdings" w:hAnsi="Wingdings" w:hint="default"/>
      </w:rPr>
    </w:lvl>
    <w:lvl w:ilvl="3" w:tplc="040C0001" w:tentative="1">
      <w:start w:val="1"/>
      <w:numFmt w:val="bullet"/>
      <w:lvlText w:val=""/>
      <w:lvlJc w:val="left"/>
      <w:pPr>
        <w:ind w:left="3304" w:hanging="360"/>
      </w:pPr>
      <w:rPr>
        <w:rFonts w:ascii="Symbol" w:hAnsi="Symbol" w:hint="default"/>
      </w:rPr>
    </w:lvl>
    <w:lvl w:ilvl="4" w:tplc="040C0003" w:tentative="1">
      <w:start w:val="1"/>
      <w:numFmt w:val="bullet"/>
      <w:lvlText w:val="o"/>
      <w:lvlJc w:val="left"/>
      <w:pPr>
        <w:ind w:left="4024" w:hanging="360"/>
      </w:pPr>
      <w:rPr>
        <w:rFonts w:ascii="Courier New" w:hAnsi="Courier New" w:cs="Courier New" w:hint="default"/>
      </w:rPr>
    </w:lvl>
    <w:lvl w:ilvl="5" w:tplc="040C0005" w:tentative="1">
      <w:start w:val="1"/>
      <w:numFmt w:val="bullet"/>
      <w:lvlText w:val=""/>
      <w:lvlJc w:val="left"/>
      <w:pPr>
        <w:ind w:left="4744" w:hanging="360"/>
      </w:pPr>
      <w:rPr>
        <w:rFonts w:ascii="Wingdings" w:hAnsi="Wingdings" w:hint="default"/>
      </w:rPr>
    </w:lvl>
    <w:lvl w:ilvl="6" w:tplc="040C0001" w:tentative="1">
      <w:start w:val="1"/>
      <w:numFmt w:val="bullet"/>
      <w:lvlText w:val=""/>
      <w:lvlJc w:val="left"/>
      <w:pPr>
        <w:ind w:left="5464" w:hanging="360"/>
      </w:pPr>
      <w:rPr>
        <w:rFonts w:ascii="Symbol" w:hAnsi="Symbol" w:hint="default"/>
      </w:rPr>
    </w:lvl>
    <w:lvl w:ilvl="7" w:tplc="040C0003" w:tentative="1">
      <w:start w:val="1"/>
      <w:numFmt w:val="bullet"/>
      <w:lvlText w:val="o"/>
      <w:lvlJc w:val="left"/>
      <w:pPr>
        <w:ind w:left="6184" w:hanging="360"/>
      </w:pPr>
      <w:rPr>
        <w:rFonts w:ascii="Courier New" w:hAnsi="Courier New" w:cs="Courier New" w:hint="default"/>
      </w:rPr>
    </w:lvl>
    <w:lvl w:ilvl="8" w:tplc="040C0005" w:tentative="1">
      <w:start w:val="1"/>
      <w:numFmt w:val="bullet"/>
      <w:lvlText w:val=""/>
      <w:lvlJc w:val="left"/>
      <w:pPr>
        <w:ind w:left="6904" w:hanging="360"/>
      </w:pPr>
      <w:rPr>
        <w:rFonts w:ascii="Wingdings" w:hAnsi="Wingdings" w:hint="default"/>
      </w:rPr>
    </w:lvl>
  </w:abstractNum>
  <w:abstractNum w:abstractNumId="9" w15:restartNumberingAfterBreak="0">
    <w:nsid w:val="038814F3"/>
    <w:multiLevelType w:val="hybridMultilevel"/>
    <w:tmpl w:val="E75C5DC2"/>
    <w:lvl w:ilvl="0" w:tplc="040C000D">
      <w:start w:val="1"/>
      <w:numFmt w:val="bullet"/>
      <w:lvlText w:val=""/>
      <w:lvlJc w:val="left"/>
      <w:pPr>
        <w:ind w:left="1068" w:hanging="360"/>
      </w:pPr>
      <w:rPr>
        <w:rFonts w:ascii="Wingdings" w:hAnsi="Wingdings"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10" w15:restartNumberingAfterBreak="0">
    <w:nsid w:val="04B7230D"/>
    <w:multiLevelType w:val="hybridMultilevel"/>
    <w:tmpl w:val="A97EDCB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057161DD"/>
    <w:multiLevelType w:val="hybridMultilevel"/>
    <w:tmpl w:val="CCA095E8"/>
    <w:lvl w:ilvl="0" w:tplc="9BC6773C">
      <w:start w:val="1"/>
      <w:numFmt w:val="low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5CC0391"/>
    <w:multiLevelType w:val="hybridMultilevel"/>
    <w:tmpl w:val="F7DE97A4"/>
    <w:lvl w:ilvl="0" w:tplc="040C0019">
      <w:numFmt w:val="bullet"/>
      <w:lvlText w:val=""/>
      <w:lvlJc w:val="left"/>
      <w:pPr>
        <w:ind w:left="720" w:hanging="360"/>
      </w:pPr>
      <w:rPr>
        <w:rFonts w:ascii="Wingdings" w:hAnsi="Wingdings"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068256D7"/>
    <w:multiLevelType w:val="hybridMultilevel"/>
    <w:tmpl w:val="619C046C"/>
    <w:lvl w:ilvl="0" w:tplc="DEBC8D8E">
      <w:start w:val="1"/>
      <w:numFmt w:val="bullet"/>
      <w:lvlText w:val="•"/>
      <w:lvlJc w:val="left"/>
      <w:pPr>
        <w:tabs>
          <w:tab w:val="num" w:pos="720"/>
        </w:tabs>
        <w:ind w:left="720" w:hanging="360"/>
      </w:pPr>
      <w:rPr>
        <w:rFonts w:ascii="Arial" w:hAnsi="Arial" w:hint="default"/>
      </w:rPr>
    </w:lvl>
    <w:lvl w:ilvl="1" w:tplc="B504DD3E">
      <w:start w:val="1"/>
      <w:numFmt w:val="bullet"/>
      <w:lvlText w:val=""/>
      <w:lvlJc w:val="left"/>
      <w:pPr>
        <w:tabs>
          <w:tab w:val="num" w:pos="1440"/>
        </w:tabs>
        <w:ind w:left="1440" w:hanging="360"/>
      </w:pPr>
      <w:rPr>
        <w:rFonts w:ascii="Wingdings" w:hAnsi="Wingdings"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068F3C6D"/>
    <w:multiLevelType w:val="multilevel"/>
    <w:tmpl w:val="AEEE8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C26BD6"/>
    <w:multiLevelType w:val="hybridMultilevel"/>
    <w:tmpl w:val="BF8A9464"/>
    <w:lvl w:ilvl="0" w:tplc="28AEF64E">
      <w:start w:val="1"/>
      <w:numFmt w:val="lowerRoman"/>
      <w:lvlText w:val="(%1)"/>
      <w:lvlJc w:val="left"/>
      <w:pPr>
        <w:ind w:left="436" w:hanging="720"/>
      </w:pPr>
      <w:rPr>
        <w:rFonts w:hint="default"/>
      </w:rPr>
    </w:lvl>
    <w:lvl w:ilvl="1" w:tplc="040C0019" w:tentative="1">
      <w:start w:val="1"/>
      <w:numFmt w:val="lowerLetter"/>
      <w:lvlText w:val="%2."/>
      <w:lvlJc w:val="left"/>
      <w:pPr>
        <w:ind w:left="796" w:hanging="360"/>
      </w:pPr>
    </w:lvl>
    <w:lvl w:ilvl="2" w:tplc="040C001B" w:tentative="1">
      <w:start w:val="1"/>
      <w:numFmt w:val="lowerRoman"/>
      <w:lvlText w:val="%3."/>
      <w:lvlJc w:val="right"/>
      <w:pPr>
        <w:ind w:left="1516" w:hanging="180"/>
      </w:pPr>
    </w:lvl>
    <w:lvl w:ilvl="3" w:tplc="040C000F" w:tentative="1">
      <w:start w:val="1"/>
      <w:numFmt w:val="decimal"/>
      <w:lvlText w:val="%4."/>
      <w:lvlJc w:val="left"/>
      <w:pPr>
        <w:ind w:left="2236" w:hanging="360"/>
      </w:pPr>
    </w:lvl>
    <w:lvl w:ilvl="4" w:tplc="040C0019" w:tentative="1">
      <w:start w:val="1"/>
      <w:numFmt w:val="lowerLetter"/>
      <w:lvlText w:val="%5."/>
      <w:lvlJc w:val="left"/>
      <w:pPr>
        <w:ind w:left="2956" w:hanging="360"/>
      </w:pPr>
    </w:lvl>
    <w:lvl w:ilvl="5" w:tplc="040C001B" w:tentative="1">
      <w:start w:val="1"/>
      <w:numFmt w:val="lowerRoman"/>
      <w:lvlText w:val="%6."/>
      <w:lvlJc w:val="right"/>
      <w:pPr>
        <w:ind w:left="3676" w:hanging="180"/>
      </w:pPr>
    </w:lvl>
    <w:lvl w:ilvl="6" w:tplc="040C000F" w:tentative="1">
      <w:start w:val="1"/>
      <w:numFmt w:val="decimal"/>
      <w:lvlText w:val="%7."/>
      <w:lvlJc w:val="left"/>
      <w:pPr>
        <w:ind w:left="4396" w:hanging="360"/>
      </w:pPr>
    </w:lvl>
    <w:lvl w:ilvl="7" w:tplc="040C0019" w:tentative="1">
      <w:start w:val="1"/>
      <w:numFmt w:val="lowerLetter"/>
      <w:lvlText w:val="%8."/>
      <w:lvlJc w:val="left"/>
      <w:pPr>
        <w:ind w:left="5116" w:hanging="360"/>
      </w:pPr>
    </w:lvl>
    <w:lvl w:ilvl="8" w:tplc="040C001B" w:tentative="1">
      <w:start w:val="1"/>
      <w:numFmt w:val="lowerRoman"/>
      <w:lvlText w:val="%9."/>
      <w:lvlJc w:val="right"/>
      <w:pPr>
        <w:ind w:left="5836" w:hanging="180"/>
      </w:pPr>
    </w:lvl>
  </w:abstractNum>
  <w:abstractNum w:abstractNumId="16" w15:restartNumberingAfterBreak="0">
    <w:nsid w:val="0743331E"/>
    <w:multiLevelType w:val="hybridMultilevel"/>
    <w:tmpl w:val="903860DE"/>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078E79B1"/>
    <w:multiLevelType w:val="hybridMultilevel"/>
    <w:tmpl w:val="B17C57C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07CB26C5"/>
    <w:multiLevelType w:val="hybridMultilevel"/>
    <w:tmpl w:val="FF8C3B4C"/>
    <w:lvl w:ilvl="0" w:tplc="040C0019">
      <w:numFmt w:val="bullet"/>
      <w:lvlText w:val=""/>
      <w:lvlJc w:val="left"/>
      <w:pPr>
        <w:ind w:left="720" w:hanging="360"/>
      </w:pPr>
      <w:rPr>
        <w:rFonts w:ascii="Wingdings" w:hAnsi="Wingdings"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09343E09"/>
    <w:multiLevelType w:val="hybridMultilevel"/>
    <w:tmpl w:val="2A1CD9D2"/>
    <w:lvl w:ilvl="0" w:tplc="040C0001">
      <w:start w:val="1"/>
      <w:numFmt w:val="bullet"/>
      <w:lvlText w:val=""/>
      <w:lvlJc w:val="left"/>
      <w:pPr>
        <w:ind w:left="1068" w:hanging="360"/>
      </w:pPr>
      <w:rPr>
        <w:rFonts w:ascii="Symbol" w:hAnsi="Symbol" w:hint="default"/>
      </w:rPr>
    </w:lvl>
    <w:lvl w:ilvl="1" w:tplc="040C0003">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20" w15:restartNumberingAfterBreak="0">
    <w:nsid w:val="09604E2E"/>
    <w:multiLevelType w:val="hybridMultilevel"/>
    <w:tmpl w:val="DFB4A360"/>
    <w:lvl w:ilvl="0" w:tplc="08160001">
      <w:start w:val="1"/>
      <w:numFmt w:val="bullet"/>
      <w:lvlText w:val=""/>
      <w:lvlJc w:val="left"/>
      <w:pPr>
        <w:ind w:left="720" w:hanging="360"/>
      </w:pPr>
      <w:rPr>
        <w:rFonts w:ascii="Symbol" w:hAnsi="Symbol" w:hint="default"/>
      </w:rPr>
    </w:lvl>
    <w:lvl w:ilvl="1" w:tplc="08160003">
      <w:start w:val="1"/>
      <w:numFmt w:val="bullet"/>
      <w:lvlText w:val="o"/>
      <w:lvlJc w:val="left"/>
      <w:pPr>
        <w:ind w:left="1440" w:hanging="360"/>
      </w:pPr>
      <w:rPr>
        <w:rFonts w:ascii="Courier New" w:hAnsi="Courier New" w:cs="Courier New" w:hint="default"/>
      </w:rPr>
    </w:lvl>
    <w:lvl w:ilvl="2" w:tplc="08160001">
      <w:start w:val="1"/>
      <w:numFmt w:val="bullet"/>
      <w:lvlText w:val=""/>
      <w:lvlJc w:val="left"/>
      <w:pPr>
        <w:ind w:left="2160" w:hanging="360"/>
      </w:pPr>
      <w:rPr>
        <w:rFonts w:ascii="Symbol" w:hAnsi="Symbol"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1" w15:restartNumberingAfterBreak="0">
    <w:nsid w:val="0A102D2A"/>
    <w:multiLevelType w:val="multilevel"/>
    <w:tmpl w:val="D1B6C2E4"/>
    <w:lvl w:ilvl="0">
      <w:start w:val="7"/>
      <w:numFmt w:val="decimal"/>
      <w:lvlText w:val="%1."/>
      <w:lvlJc w:val="left"/>
      <w:pPr>
        <w:ind w:left="540" w:hanging="540"/>
      </w:pPr>
      <w:rPr>
        <w:rFonts w:hint="default"/>
      </w:rPr>
    </w:lvl>
    <w:lvl w:ilvl="1">
      <w:start w:val="1"/>
      <w:numFmt w:val="decimal"/>
      <w:lvlText w:val="%1.%2."/>
      <w:lvlJc w:val="left"/>
      <w:pPr>
        <w:ind w:left="894" w:hanging="540"/>
      </w:pPr>
      <w:rPr>
        <w:rFonts w:hint="default"/>
      </w:rPr>
    </w:lvl>
    <w:lvl w:ilvl="2">
      <w:start w:val="3"/>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22" w15:restartNumberingAfterBreak="0">
    <w:nsid w:val="0A494DF1"/>
    <w:multiLevelType w:val="hybridMultilevel"/>
    <w:tmpl w:val="25768E8E"/>
    <w:lvl w:ilvl="0" w:tplc="4AF4FDEE">
      <w:start w:val="2"/>
      <w:numFmt w:val="bullet"/>
      <w:pStyle w:val="StyleListe-"/>
      <w:lvlText w:val="-"/>
      <w:lvlJc w:val="left"/>
      <w:pPr>
        <w:ind w:left="720" w:hanging="360"/>
      </w:pPr>
      <w:rPr>
        <w:rFonts w:ascii="Times New Roman" w:hAnsi="Times New Roman" w:cs="Times New Roman"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0A911BD8"/>
    <w:multiLevelType w:val="hybridMultilevel"/>
    <w:tmpl w:val="C13EF210"/>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0AB626FC"/>
    <w:multiLevelType w:val="hybridMultilevel"/>
    <w:tmpl w:val="7B028DF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0CA666D8"/>
    <w:multiLevelType w:val="hybridMultilevel"/>
    <w:tmpl w:val="F3B29A48"/>
    <w:lvl w:ilvl="0" w:tplc="E07A66D2">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 w15:restartNumberingAfterBreak="0">
    <w:nsid w:val="0CEC6D94"/>
    <w:multiLevelType w:val="hybridMultilevel"/>
    <w:tmpl w:val="2000FDD0"/>
    <w:lvl w:ilvl="0" w:tplc="08160019">
      <w:start w:val="1"/>
      <w:numFmt w:val="lowerLetter"/>
      <w:lvlText w:val="%1."/>
      <w:lvlJc w:val="left"/>
      <w:pPr>
        <w:ind w:left="360" w:hanging="360"/>
      </w:pPr>
    </w:lvl>
    <w:lvl w:ilvl="1" w:tplc="08160019">
      <w:start w:val="1"/>
      <w:numFmt w:val="lowerLetter"/>
      <w:lvlText w:val="%2."/>
      <w:lvlJc w:val="left"/>
      <w:pPr>
        <w:ind w:left="1080" w:hanging="360"/>
      </w:pPr>
    </w:lvl>
    <w:lvl w:ilvl="2" w:tplc="0816001B">
      <w:start w:val="1"/>
      <w:numFmt w:val="lowerRoman"/>
      <w:lvlText w:val="%3."/>
      <w:lvlJc w:val="right"/>
      <w:pPr>
        <w:ind w:left="1800" w:hanging="180"/>
      </w:pPr>
    </w:lvl>
    <w:lvl w:ilvl="3" w:tplc="0816000F">
      <w:start w:val="1"/>
      <w:numFmt w:val="decimal"/>
      <w:lvlText w:val="%4."/>
      <w:lvlJc w:val="left"/>
      <w:pPr>
        <w:ind w:left="2520" w:hanging="360"/>
      </w:pPr>
    </w:lvl>
    <w:lvl w:ilvl="4" w:tplc="08160019">
      <w:start w:val="1"/>
      <w:numFmt w:val="lowerLetter"/>
      <w:lvlText w:val="%5."/>
      <w:lvlJc w:val="left"/>
      <w:pPr>
        <w:ind w:left="3240" w:hanging="360"/>
      </w:pPr>
    </w:lvl>
    <w:lvl w:ilvl="5" w:tplc="0816001B">
      <w:start w:val="1"/>
      <w:numFmt w:val="lowerRoman"/>
      <w:lvlText w:val="%6."/>
      <w:lvlJc w:val="right"/>
      <w:pPr>
        <w:ind w:left="3960" w:hanging="180"/>
      </w:pPr>
    </w:lvl>
    <w:lvl w:ilvl="6" w:tplc="0816000F">
      <w:start w:val="1"/>
      <w:numFmt w:val="decimal"/>
      <w:lvlText w:val="%7."/>
      <w:lvlJc w:val="left"/>
      <w:pPr>
        <w:ind w:left="4680" w:hanging="360"/>
      </w:pPr>
    </w:lvl>
    <w:lvl w:ilvl="7" w:tplc="08160019">
      <w:start w:val="1"/>
      <w:numFmt w:val="lowerLetter"/>
      <w:lvlText w:val="%8."/>
      <w:lvlJc w:val="left"/>
      <w:pPr>
        <w:ind w:left="5400" w:hanging="360"/>
      </w:pPr>
    </w:lvl>
    <w:lvl w:ilvl="8" w:tplc="0816001B">
      <w:start w:val="1"/>
      <w:numFmt w:val="lowerRoman"/>
      <w:lvlText w:val="%9."/>
      <w:lvlJc w:val="right"/>
      <w:pPr>
        <w:ind w:left="6120" w:hanging="180"/>
      </w:pPr>
    </w:lvl>
  </w:abstractNum>
  <w:abstractNum w:abstractNumId="27" w15:restartNumberingAfterBreak="0">
    <w:nsid w:val="0DC6257C"/>
    <w:multiLevelType w:val="singleLevel"/>
    <w:tmpl w:val="FFFFFFFF"/>
    <w:lvl w:ilvl="0">
      <w:start w:val="1"/>
      <w:numFmt w:val="bullet"/>
      <w:pStyle w:val="Projet"/>
      <w:lvlText w:val=""/>
      <w:legacy w:legacy="1" w:legacySpace="0" w:legacyIndent="360"/>
      <w:lvlJc w:val="left"/>
      <w:pPr>
        <w:ind w:left="360" w:hanging="360"/>
      </w:pPr>
      <w:rPr>
        <w:rFonts w:ascii="Wingdings" w:hAnsi="Wingdings" w:hint="default"/>
        <w:sz w:val="16"/>
      </w:rPr>
    </w:lvl>
  </w:abstractNum>
  <w:abstractNum w:abstractNumId="28" w15:restartNumberingAfterBreak="0">
    <w:nsid w:val="0E8005A8"/>
    <w:multiLevelType w:val="hybridMultilevel"/>
    <w:tmpl w:val="EE8C34F8"/>
    <w:lvl w:ilvl="0" w:tplc="040C000F">
      <w:start w:val="1"/>
      <w:numFmt w:val="decimal"/>
      <w:lvlText w:val="%1."/>
      <w:lvlJc w:val="left"/>
      <w:pPr>
        <w:ind w:left="1800" w:hanging="360"/>
      </w:pPr>
      <w:rPr>
        <w:rFonts w:hint="default"/>
      </w:r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29" w15:restartNumberingAfterBreak="0">
    <w:nsid w:val="0EC55928"/>
    <w:multiLevelType w:val="hybridMultilevel"/>
    <w:tmpl w:val="EAEAAB08"/>
    <w:lvl w:ilvl="0" w:tplc="D9B0E274">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0EE62DD5"/>
    <w:multiLevelType w:val="hybridMultilevel"/>
    <w:tmpl w:val="6F128BBA"/>
    <w:lvl w:ilvl="0" w:tplc="F6FEEF04">
      <w:start w:val="1"/>
      <w:numFmt w:val="upperRoman"/>
      <w:pStyle w:val="Style5"/>
      <w:lvlText w:val="%1."/>
      <w:lvlJc w:val="right"/>
      <w:pPr>
        <w:ind w:left="720" w:hanging="360"/>
      </w:pPr>
    </w:lvl>
    <w:lvl w:ilvl="1" w:tplc="7D06C4B8">
      <w:start w:val="1"/>
      <w:numFmt w:val="lowerLetter"/>
      <w:lvlText w:val="(%2)"/>
      <w:lvlJc w:val="left"/>
      <w:pPr>
        <w:tabs>
          <w:tab w:val="num" w:pos="1440"/>
        </w:tabs>
        <w:ind w:left="1440" w:hanging="360"/>
      </w:pPr>
      <w:rPr>
        <w:rFonts w:hint="default"/>
      </w:rPr>
    </w:lvl>
    <w:lvl w:ilvl="2" w:tplc="0409001B">
      <w:start w:val="1"/>
      <w:numFmt w:val="lowerRoman"/>
      <w:lvlText w:val="%3."/>
      <w:lvlJc w:val="right"/>
      <w:pPr>
        <w:ind w:left="2160" w:hanging="180"/>
      </w:pPr>
    </w:lvl>
    <w:lvl w:ilvl="3" w:tplc="9BEC2892">
      <w:start w:val="1"/>
      <w:numFmt w:val="lowerLetter"/>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0FB66101"/>
    <w:multiLevelType w:val="hybridMultilevel"/>
    <w:tmpl w:val="3AEA9062"/>
    <w:lvl w:ilvl="0" w:tplc="08160005">
      <w:start w:val="1"/>
      <w:numFmt w:val="bullet"/>
      <w:lvlText w:val=""/>
      <w:lvlJc w:val="left"/>
      <w:pPr>
        <w:ind w:left="800" w:hanging="360"/>
      </w:pPr>
      <w:rPr>
        <w:rFonts w:ascii="Wingdings" w:hAnsi="Wingdings" w:hint="default"/>
      </w:rPr>
    </w:lvl>
    <w:lvl w:ilvl="1" w:tplc="08160003" w:tentative="1">
      <w:start w:val="1"/>
      <w:numFmt w:val="bullet"/>
      <w:lvlText w:val="o"/>
      <w:lvlJc w:val="left"/>
      <w:pPr>
        <w:ind w:left="1520" w:hanging="360"/>
      </w:pPr>
      <w:rPr>
        <w:rFonts w:ascii="Courier New" w:hAnsi="Courier New" w:cs="Courier New" w:hint="default"/>
      </w:rPr>
    </w:lvl>
    <w:lvl w:ilvl="2" w:tplc="08160005" w:tentative="1">
      <w:start w:val="1"/>
      <w:numFmt w:val="bullet"/>
      <w:lvlText w:val=""/>
      <w:lvlJc w:val="left"/>
      <w:pPr>
        <w:ind w:left="2240" w:hanging="360"/>
      </w:pPr>
      <w:rPr>
        <w:rFonts w:ascii="Wingdings" w:hAnsi="Wingdings" w:hint="default"/>
      </w:rPr>
    </w:lvl>
    <w:lvl w:ilvl="3" w:tplc="08160001" w:tentative="1">
      <w:start w:val="1"/>
      <w:numFmt w:val="bullet"/>
      <w:lvlText w:val=""/>
      <w:lvlJc w:val="left"/>
      <w:pPr>
        <w:ind w:left="2960" w:hanging="360"/>
      </w:pPr>
      <w:rPr>
        <w:rFonts w:ascii="Symbol" w:hAnsi="Symbol" w:hint="default"/>
      </w:rPr>
    </w:lvl>
    <w:lvl w:ilvl="4" w:tplc="08160003" w:tentative="1">
      <w:start w:val="1"/>
      <w:numFmt w:val="bullet"/>
      <w:lvlText w:val="o"/>
      <w:lvlJc w:val="left"/>
      <w:pPr>
        <w:ind w:left="3680" w:hanging="360"/>
      </w:pPr>
      <w:rPr>
        <w:rFonts w:ascii="Courier New" w:hAnsi="Courier New" w:cs="Courier New" w:hint="default"/>
      </w:rPr>
    </w:lvl>
    <w:lvl w:ilvl="5" w:tplc="08160005" w:tentative="1">
      <w:start w:val="1"/>
      <w:numFmt w:val="bullet"/>
      <w:lvlText w:val=""/>
      <w:lvlJc w:val="left"/>
      <w:pPr>
        <w:ind w:left="4400" w:hanging="360"/>
      </w:pPr>
      <w:rPr>
        <w:rFonts w:ascii="Wingdings" w:hAnsi="Wingdings" w:hint="default"/>
      </w:rPr>
    </w:lvl>
    <w:lvl w:ilvl="6" w:tplc="08160001" w:tentative="1">
      <w:start w:val="1"/>
      <w:numFmt w:val="bullet"/>
      <w:lvlText w:val=""/>
      <w:lvlJc w:val="left"/>
      <w:pPr>
        <w:ind w:left="5120" w:hanging="360"/>
      </w:pPr>
      <w:rPr>
        <w:rFonts w:ascii="Symbol" w:hAnsi="Symbol" w:hint="default"/>
      </w:rPr>
    </w:lvl>
    <w:lvl w:ilvl="7" w:tplc="08160003" w:tentative="1">
      <w:start w:val="1"/>
      <w:numFmt w:val="bullet"/>
      <w:lvlText w:val="o"/>
      <w:lvlJc w:val="left"/>
      <w:pPr>
        <w:ind w:left="5840" w:hanging="360"/>
      </w:pPr>
      <w:rPr>
        <w:rFonts w:ascii="Courier New" w:hAnsi="Courier New" w:cs="Courier New" w:hint="default"/>
      </w:rPr>
    </w:lvl>
    <w:lvl w:ilvl="8" w:tplc="08160005" w:tentative="1">
      <w:start w:val="1"/>
      <w:numFmt w:val="bullet"/>
      <w:lvlText w:val=""/>
      <w:lvlJc w:val="left"/>
      <w:pPr>
        <w:ind w:left="6560" w:hanging="360"/>
      </w:pPr>
      <w:rPr>
        <w:rFonts w:ascii="Wingdings" w:hAnsi="Wingdings" w:hint="default"/>
      </w:rPr>
    </w:lvl>
  </w:abstractNum>
  <w:abstractNum w:abstractNumId="32" w15:restartNumberingAfterBreak="0">
    <w:nsid w:val="106A783F"/>
    <w:multiLevelType w:val="hybridMultilevel"/>
    <w:tmpl w:val="D2BC1090"/>
    <w:lvl w:ilvl="0" w:tplc="08160001">
      <w:start w:val="1"/>
      <w:numFmt w:val="bullet"/>
      <w:lvlText w:val=""/>
      <w:lvlJc w:val="left"/>
      <w:pPr>
        <w:ind w:left="720" w:hanging="360"/>
      </w:pPr>
      <w:rPr>
        <w:rFonts w:ascii="Symbol" w:hAnsi="Symbol" w:hint="default"/>
      </w:rPr>
    </w:lvl>
    <w:lvl w:ilvl="1" w:tplc="08160003">
      <w:start w:val="1"/>
      <w:numFmt w:val="bullet"/>
      <w:lvlText w:val="o"/>
      <w:lvlJc w:val="left"/>
      <w:pPr>
        <w:ind w:left="1440" w:hanging="360"/>
      </w:pPr>
      <w:rPr>
        <w:rFonts w:ascii="Courier New" w:hAnsi="Courier New" w:cs="Courier New" w:hint="default"/>
      </w:rPr>
    </w:lvl>
    <w:lvl w:ilvl="2" w:tplc="EA8C7BC8">
      <w:numFmt w:val="bullet"/>
      <w:lvlText w:val="•"/>
      <w:lvlJc w:val="left"/>
      <w:pPr>
        <w:ind w:left="2160" w:hanging="360"/>
      </w:pPr>
      <w:rPr>
        <w:rFonts w:ascii="SymbolMT" w:eastAsia="SymbolMT" w:hAnsi="SymbolMT" w:cs="SymbolMT" w:hint="eastAsia"/>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3" w15:restartNumberingAfterBreak="0">
    <w:nsid w:val="113855CA"/>
    <w:multiLevelType w:val="hybridMultilevel"/>
    <w:tmpl w:val="9B188046"/>
    <w:lvl w:ilvl="0" w:tplc="C5480A90">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15:restartNumberingAfterBreak="0">
    <w:nsid w:val="11F21CCE"/>
    <w:multiLevelType w:val="hybridMultilevel"/>
    <w:tmpl w:val="97A07A18"/>
    <w:lvl w:ilvl="0" w:tplc="CD280292">
      <w:start w:val="1"/>
      <w:numFmt w:val="bullet"/>
      <w:lvlText w:val="-"/>
      <w:lvlJc w:val="left"/>
      <w:pPr>
        <w:ind w:left="360" w:hanging="360"/>
      </w:pPr>
      <w:rPr>
        <w:rFonts w:ascii="Times New Roman" w:eastAsia="Times New Roman" w:hAnsi="Times New Roman" w:cs="Times New Roman" w:hint="default"/>
      </w:rPr>
    </w:lvl>
    <w:lvl w:ilvl="1" w:tplc="040C0003">
      <w:start w:val="1"/>
      <w:numFmt w:val="bullet"/>
      <w:lvlText w:val="o"/>
      <w:lvlJc w:val="left"/>
      <w:pPr>
        <w:ind w:left="1080" w:hanging="360"/>
      </w:pPr>
      <w:rPr>
        <w:rFonts w:ascii="Courier New" w:hAnsi="Courier New" w:cs="Courier New" w:hint="default"/>
      </w:rPr>
    </w:lvl>
    <w:lvl w:ilvl="2" w:tplc="040C0005">
      <w:start w:val="1"/>
      <w:numFmt w:val="bullet"/>
      <w:lvlText w:val=""/>
      <w:lvlJc w:val="left"/>
      <w:pPr>
        <w:ind w:left="1800" w:hanging="360"/>
      </w:pPr>
      <w:rPr>
        <w:rFonts w:ascii="Wingdings" w:hAnsi="Wingdings" w:hint="default"/>
      </w:rPr>
    </w:lvl>
    <w:lvl w:ilvl="3" w:tplc="040C0001">
      <w:start w:val="1"/>
      <w:numFmt w:val="bullet"/>
      <w:lvlText w:val=""/>
      <w:lvlJc w:val="left"/>
      <w:pPr>
        <w:ind w:left="2520" w:hanging="360"/>
      </w:pPr>
      <w:rPr>
        <w:rFonts w:ascii="Symbol" w:hAnsi="Symbol" w:hint="default"/>
      </w:rPr>
    </w:lvl>
    <w:lvl w:ilvl="4" w:tplc="040C0003">
      <w:start w:val="1"/>
      <w:numFmt w:val="bullet"/>
      <w:lvlText w:val="o"/>
      <w:lvlJc w:val="left"/>
      <w:pPr>
        <w:ind w:left="3240" w:hanging="360"/>
      </w:pPr>
      <w:rPr>
        <w:rFonts w:ascii="Courier New" w:hAnsi="Courier New" w:cs="Courier New" w:hint="default"/>
      </w:rPr>
    </w:lvl>
    <w:lvl w:ilvl="5" w:tplc="040C0005">
      <w:start w:val="1"/>
      <w:numFmt w:val="bullet"/>
      <w:lvlText w:val=""/>
      <w:lvlJc w:val="left"/>
      <w:pPr>
        <w:ind w:left="3960" w:hanging="360"/>
      </w:pPr>
      <w:rPr>
        <w:rFonts w:ascii="Wingdings" w:hAnsi="Wingdings" w:hint="default"/>
      </w:rPr>
    </w:lvl>
    <w:lvl w:ilvl="6" w:tplc="040C0001">
      <w:start w:val="1"/>
      <w:numFmt w:val="bullet"/>
      <w:lvlText w:val=""/>
      <w:lvlJc w:val="left"/>
      <w:pPr>
        <w:ind w:left="4680" w:hanging="360"/>
      </w:pPr>
      <w:rPr>
        <w:rFonts w:ascii="Symbol" w:hAnsi="Symbol" w:hint="default"/>
      </w:rPr>
    </w:lvl>
    <w:lvl w:ilvl="7" w:tplc="040C0003">
      <w:start w:val="1"/>
      <w:numFmt w:val="bullet"/>
      <w:lvlText w:val="o"/>
      <w:lvlJc w:val="left"/>
      <w:pPr>
        <w:ind w:left="5400" w:hanging="360"/>
      </w:pPr>
      <w:rPr>
        <w:rFonts w:ascii="Courier New" w:hAnsi="Courier New" w:cs="Courier New" w:hint="default"/>
      </w:rPr>
    </w:lvl>
    <w:lvl w:ilvl="8" w:tplc="040C0005">
      <w:start w:val="1"/>
      <w:numFmt w:val="bullet"/>
      <w:lvlText w:val=""/>
      <w:lvlJc w:val="left"/>
      <w:pPr>
        <w:ind w:left="6120" w:hanging="360"/>
      </w:pPr>
      <w:rPr>
        <w:rFonts w:ascii="Wingdings" w:hAnsi="Wingdings" w:hint="default"/>
      </w:rPr>
    </w:lvl>
  </w:abstractNum>
  <w:abstractNum w:abstractNumId="35" w15:restartNumberingAfterBreak="0">
    <w:nsid w:val="13136836"/>
    <w:multiLevelType w:val="hybridMultilevel"/>
    <w:tmpl w:val="622459C4"/>
    <w:lvl w:ilvl="0" w:tplc="FFFFFFFF">
      <w:numFmt w:val="bullet"/>
      <w:lvlText w:val="-"/>
      <w:lvlJc w:val="left"/>
      <w:pPr>
        <w:ind w:left="720" w:hanging="360"/>
      </w:pPr>
      <w:rPr>
        <w:rFonts w:ascii="Times New Roman" w:eastAsia="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131C5FC4"/>
    <w:multiLevelType w:val="hybridMultilevel"/>
    <w:tmpl w:val="0A2A4FB0"/>
    <w:lvl w:ilvl="0" w:tplc="E7648CCE">
      <w:start w:val="1"/>
      <w:numFmt w:val="lowerLetter"/>
      <w:lvlText w:val="(%1)"/>
      <w:lvlJc w:val="left"/>
      <w:pPr>
        <w:ind w:left="456" w:hanging="456"/>
      </w:pPr>
      <w:rPr>
        <w:rFonts w:hint="default"/>
        <w:lang w:val="en-US"/>
      </w:rPr>
    </w:lvl>
    <w:lvl w:ilvl="1" w:tplc="EEAA842C">
      <w:start w:val="28"/>
      <w:numFmt w:val="lowerLetter"/>
      <w:pStyle w:val="Outline2"/>
      <w:lvlText w:val="(%2)"/>
      <w:lvlJc w:val="left"/>
      <w:pPr>
        <w:tabs>
          <w:tab w:val="num" w:pos="1080"/>
        </w:tabs>
        <w:ind w:left="1080" w:hanging="360"/>
      </w:pPr>
      <w:rPr>
        <w:rFonts w:hint="default"/>
      </w:rPr>
    </w:lvl>
    <w:lvl w:ilvl="2" w:tplc="0409001B" w:tentative="1">
      <w:start w:val="1"/>
      <w:numFmt w:val="lowerRoman"/>
      <w:pStyle w:val="Outline2"/>
      <w:lvlText w:val="%3."/>
      <w:lvlJc w:val="right"/>
      <w:pPr>
        <w:ind w:left="1800" w:hanging="180"/>
      </w:pPr>
    </w:lvl>
    <w:lvl w:ilvl="3" w:tplc="0409000F" w:tentative="1">
      <w:start w:val="1"/>
      <w:numFmt w:val="decimal"/>
      <w:pStyle w:val="Outline4"/>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15:restartNumberingAfterBreak="0">
    <w:nsid w:val="13403CB9"/>
    <w:multiLevelType w:val="hybridMultilevel"/>
    <w:tmpl w:val="AB88039A"/>
    <w:lvl w:ilvl="0" w:tplc="08160001">
      <w:start w:val="1"/>
      <w:numFmt w:val="bullet"/>
      <w:lvlText w:val=""/>
      <w:lvlJc w:val="left"/>
      <w:pPr>
        <w:ind w:left="720" w:hanging="360"/>
      </w:pPr>
      <w:rPr>
        <w:rFonts w:ascii="Symbol" w:hAnsi="Symbol" w:hint="default"/>
      </w:rPr>
    </w:lvl>
    <w:lvl w:ilvl="1" w:tplc="08160001">
      <w:start w:val="1"/>
      <w:numFmt w:val="bullet"/>
      <w:lvlText w:val=""/>
      <w:lvlJc w:val="left"/>
      <w:pPr>
        <w:ind w:left="1440" w:hanging="360"/>
      </w:pPr>
      <w:rPr>
        <w:rFonts w:ascii="Symbol" w:hAnsi="Symbol" w:hint="default"/>
      </w:rPr>
    </w:lvl>
    <w:lvl w:ilvl="2" w:tplc="8DE63854">
      <w:numFmt w:val="bullet"/>
      <w:lvlText w:val="•"/>
      <w:lvlJc w:val="left"/>
      <w:pPr>
        <w:ind w:left="2160" w:hanging="360"/>
      </w:pPr>
      <w:rPr>
        <w:rFonts w:ascii="SymbolMT" w:eastAsia="SymbolMT" w:hAnsi="SymbolMT" w:cs="SymbolMT" w:hint="eastAsia"/>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8" w15:restartNumberingAfterBreak="0">
    <w:nsid w:val="13560729"/>
    <w:multiLevelType w:val="hybridMultilevel"/>
    <w:tmpl w:val="87E290AA"/>
    <w:lvl w:ilvl="0" w:tplc="08160017">
      <w:start w:val="1"/>
      <w:numFmt w:val="low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9" w15:restartNumberingAfterBreak="0">
    <w:nsid w:val="13CF30ED"/>
    <w:multiLevelType w:val="hybridMultilevel"/>
    <w:tmpl w:val="5EBCB03A"/>
    <w:lvl w:ilvl="0" w:tplc="805CB88A">
      <w:numFmt w:val="bullet"/>
      <w:lvlText w:val="-"/>
      <w:lvlJc w:val="left"/>
      <w:pPr>
        <w:ind w:left="1080" w:hanging="360"/>
      </w:pPr>
      <w:rPr>
        <w:rFonts w:ascii="Arial" w:eastAsia="Times New Roman" w:hAnsi="Arial" w:cs="Aria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40" w15:restartNumberingAfterBreak="0">
    <w:nsid w:val="14163308"/>
    <w:multiLevelType w:val="hybridMultilevel"/>
    <w:tmpl w:val="8EFAB330"/>
    <w:lvl w:ilvl="0" w:tplc="08160019">
      <w:start w:val="1"/>
      <w:numFmt w:val="low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41" w15:restartNumberingAfterBreak="0">
    <w:nsid w:val="143B5989"/>
    <w:multiLevelType w:val="hybridMultilevel"/>
    <w:tmpl w:val="319A7050"/>
    <w:lvl w:ilvl="0" w:tplc="040C000B">
      <w:start w:val="1"/>
      <w:numFmt w:val="bullet"/>
      <w:lvlText w:val=""/>
      <w:lvlJc w:val="left"/>
      <w:pPr>
        <w:ind w:left="644"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2" w15:restartNumberingAfterBreak="0">
    <w:nsid w:val="144B3A7D"/>
    <w:multiLevelType w:val="hybridMultilevel"/>
    <w:tmpl w:val="F56A94E2"/>
    <w:lvl w:ilvl="0" w:tplc="A28EC0BA">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43" w15:restartNumberingAfterBreak="0">
    <w:nsid w:val="14A075C4"/>
    <w:multiLevelType w:val="hybridMultilevel"/>
    <w:tmpl w:val="605C097C"/>
    <w:lvl w:ilvl="0" w:tplc="040C000B">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4" w15:restartNumberingAfterBreak="0">
    <w:nsid w:val="15FE5478"/>
    <w:multiLevelType w:val="hybridMultilevel"/>
    <w:tmpl w:val="973698B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5" w15:restartNumberingAfterBreak="0">
    <w:nsid w:val="1664325E"/>
    <w:multiLevelType w:val="multilevel"/>
    <w:tmpl w:val="098486B4"/>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173E50E7"/>
    <w:multiLevelType w:val="hybridMultilevel"/>
    <w:tmpl w:val="A2949C88"/>
    <w:lvl w:ilvl="0" w:tplc="040C000B">
      <w:start w:val="1"/>
      <w:numFmt w:val="bullet"/>
      <w:lvlText w:val=""/>
      <w:lvlJc w:val="left"/>
      <w:pPr>
        <w:ind w:left="1776" w:hanging="360"/>
      </w:pPr>
      <w:rPr>
        <w:rFonts w:ascii="Wingdings" w:hAnsi="Wingdings" w:hint="default"/>
      </w:rPr>
    </w:lvl>
    <w:lvl w:ilvl="1" w:tplc="040C0003" w:tentative="1">
      <w:start w:val="1"/>
      <w:numFmt w:val="bullet"/>
      <w:lvlText w:val="o"/>
      <w:lvlJc w:val="left"/>
      <w:pPr>
        <w:ind w:left="2496" w:hanging="360"/>
      </w:pPr>
      <w:rPr>
        <w:rFonts w:ascii="Courier New" w:hAnsi="Courier New" w:cs="Courier New" w:hint="default"/>
      </w:rPr>
    </w:lvl>
    <w:lvl w:ilvl="2" w:tplc="040C0005" w:tentative="1">
      <w:start w:val="1"/>
      <w:numFmt w:val="bullet"/>
      <w:lvlText w:val=""/>
      <w:lvlJc w:val="left"/>
      <w:pPr>
        <w:ind w:left="3216" w:hanging="360"/>
      </w:pPr>
      <w:rPr>
        <w:rFonts w:ascii="Wingdings" w:hAnsi="Wingdings" w:hint="default"/>
      </w:rPr>
    </w:lvl>
    <w:lvl w:ilvl="3" w:tplc="040C0001" w:tentative="1">
      <w:start w:val="1"/>
      <w:numFmt w:val="bullet"/>
      <w:lvlText w:val=""/>
      <w:lvlJc w:val="left"/>
      <w:pPr>
        <w:ind w:left="3936" w:hanging="360"/>
      </w:pPr>
      <w:rPr>
        <w:rFonts w:ascii="Symbol" w:hAnsi="Symbol" w:hint="default"/>
      </w:rPr>
    </w:lvl>
    <w:lvl w:ilvl="4" w:tplc="040C0003" w:tentative="1">
      <w:start w:val="1"/>
      <w:numFmt w:val="bullet"/>
      <w:lvlText w:val="o"/>
      <w:lvlJc w:val="left"/>
      <w:pPr>
        <w:ind w:left="4656" w:hanging="360"/>
      </w:pPr>
      <w:rPr>
        <w:rFonts w:ascii="Courier New" w:hAnsi="Courier New" w:cs="Courier New" w:hint="default"/>
      </w:rPr>
    </w:lvl>
    <w:lvl w:ilvl="5" w:tplc="040C0005" w:tentative="1">
      <w:start w:val="1"/>
      <w:numFmt w:val="bullet"/>
      <w:lvlText w:val=""/>
      <w:lvlJc w:val="left"/>
      <w:pPr>
        <w:ind w:left="5376" w:hanging="360"/>
      </w:pPr>
      <w:rPr>
        <w:rFonts w:ascii="Wingdings" w:hAnsi="Wingdings" w:hint="default"/>
      </w:rPr>
    </w:lvl>
    <w:lvl w:ilvl="6" w:tplc="040C0001" w:tentative="1">
      <w:start w:val="1"/>
      <w:numFmt w:val="bullet"/>
      <w:lvlText w:val=""/>
      <w:lvlJc w:val="left"/>
      <w:pPr>
        <w:ind w:left="6096" w:hanging="360"/>
      </w:pPr>
      <w:rPr>
        <w:rFonts w:ascii="Symbol" w:hAnsi="Symbol" w:hint="default"/>
      </w:rPr>
    </w:lvl>
    <w:lvl w:ilvl="7" w:tplc="040C0003" w:tentative="1">
      <w:start w:val="1"/>
      <w:numFmt w:val="bullet"/>
      <w:lvlText w:val="o"/>
      <w:lvlJc w:val="left"/>
      <w:pPr>
        <w:ind w:left="6816" w:hanging="360"/>
      </w:pPr>
      <w:rPr>
        <w:rFonts w:ascii="Courier New" w:hAnsi="Courier New" w:cs="Courier New" w:hint="default"/>
      </w:rPr>
    </w:lvl>
    <w:lvl w:ilvl="8" w:tplc="040C0005" w:tentative="1">
      <w:start w:val="1"/>
      <w:numFmt w:val="bullet"/>
      <w:lvlText w:val=""/>
      <w:lvlJc w:val="left"/>
      <w:pPr>
        <w:ind w:left="7536" w:hanging="360"/>
      </w:pPr>
      <w:rPr>
        <w:rFonts w:ascii="Wingdings" w:hAnsi="Wingdings" w:hint="default"/>
      </w:rPr>
    </w:lvl>
  </w:abstractNum>
  <w:abstractNum w:abstractNumId="47" w15:restartNumberingAfterBreak="0">
    <w:nsid w:val="188D1DBD"/>
    <w:multiLevelType w:val="hybridMultilevel"/>
    <w:tmpl w:val="AD3678F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8" w15:restartNumberingAfterBreak="0">
    <w:nsid w:val="19300159"/>
    <w:multiLevelType w:val="hybridMultilevel"/>
    <w:tmpl w:val="C9B25B8C"/>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9" w15:restartNumberingAfterBreak="0">
    <w:nsid w:val="1A851F89"/>
    <w:multiLevelType w:val="hybridMultilevel"/>
    <w:tmpl w:val="1540A54C"/>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0" w15:restartNumberingAfterBreak="0">
    <w:nsid w:val="1B345ADF"/>
    <w:multiLevelType w:val="hybridMultilevel"/>
    <w:tmpl w:val="AC32846A"/>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51" w15:restartNumberingAfterBreak="0">
    <w:nsid w:val="1B967523"/>
    <w:multiLevelType w:val="hybridMultilevel"/>
    <w:tmpl w:val="A65C88B0"/>
    <w:lvl w:ilvl="0" w:tplc="E3EC6030">
      <w:start w:val="1"/>
      <w:numFmt w:val="lowerLetter"/>
      <w:lvlText w:val="%1."/>
      <w:lvlJc w:val="left"/>
      <w:pPr>
        <w:ind w:left="720" w:hanging="360"/>
      </w:pPr>
      <w:rPr>
        <w:rFonts w:hint="default"/>
        <w:i/>
      </w:rPr>
    </w:lvl>
    <w:lvl w:ilvl="1" w:tplc="ACCE0AA0">
      <w:start w:val="1"/>
      <w:numFmt w:val="lowerLetter"/>
      <w:lvlText w:val="%2."/>
      <w:lvlJc w:val="left"/>
      <w:pPr>
        <w:ind w:left="1440" w:hanging="360"/>
      </w:pPr>
    </w:lvl>
    <w:lvl w:ilvl="2" w:tplc="0D9CA03C" w:tentative="1">
      <w:start w:val="1"/>
      <w:numFmt w:val="lowerRoman"/>
      <w:lvlText w:val="%3."/>
      <w:lvlJc w:val="right"/>
      <w:pPr>
        <w:ind w:left="2160" w:hanging="180"/>
      </w:pPr>
    </w:lvl>
    <w:lvl w:ilvl="3" w:tplc="C7EA0D06" w:tentative="1">
      <w:start w:val="1"/>
      <w:numFmt w:val="decimal"/>
      <w:lvlText w:val="%4."/>
      <w:lvlJc w:val="left"/>
      <w:pPr>
        <w:ind w:left="2880" w:hanging="360"/>
      </w:pPr>
    </w:lvl>
    <w:lvl w:ilvl="4" w:tplc="00CE5BDA" w:tentative="1">
      <w:start w:val="1"/>
      <w:numFmt w:val="lowerLetter"/>
      <w:lvlText w:val="%5."/>
      <w:lvlJc w:val="left"/>
      <w:pPr>
        <w:ind w:left="3600" w:hanging="360"/>
      </w:pPr>
    </w:lvl>
    <w:lvl w:ilvl="5" w:tplc="3CD41FDA" w:tentative="1">
      <w:start w:val="1"/>
      <w:numFmt w:val="lowerRoman"/>
      <w:lvlText w:val="%6."/>
      <w:lvlJc w:val="right"/>
      <w:pPr>
        <w:ind w:left="4320" w:hanging="180"/>
      </w:pPr>
    </w:lvl>
    <w:lvl w:ilvl="6" w:tplc="7698174A" w:tentative="1">
      <w:start w:val="1"/>
      <w:numFmt w:val="decimal"/>
      <w:lvlText w:val="%7."/>
      <w:lvlJc w:val="left"/>
      <w:pPr>
        <w:ind w:left="5040" w:hanging="360"/>
      </w:pPr>
    </w:lvl>
    <w:lvl w:ilvl="7" w:tplc="D83E64F6" w:tentative="1">
      <w:start w:val="1"/>
      <w:numFmt w:val="lowerLetter"/>
      <w:lvlText w:val="%8."/>
      <w:lvlJc w:val="left"/>
      <w:pPr>
        <w:ind w:left="5760" w:hanging="360"/>
      </w:pPr>
    </w:lvl>
    <w:lvl w:ilvl="8" w:tplc="8A3215E8" w:tentative="1">
      <w:start w:val="1"/>
      <w:numFmt w:val="lowerRoman"/>
      <w:lvlText w:val="%9."/>
      <w:lvlJc w:val="right"/>
      <w:pPr>
        <w:ind w:left="6480" w:hanging="180"/>
      </w:pPr>
    </w:lvl>
  </w:abstractNum>
  <w:abstractNum w:abstractNumId="52" w15:restartNumberingAfterBreak="0">
    <w:nsid w:val="1BE853AB"/>
    <w:multiLevelType w:val="hybridMultilevel"/>
    <w:tmpl w:val="0B342C88"/>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3" w15:restartNumberingAfterBreak="0">
    <w:nsid w:val="1CAB11DB"/>
    <w:multiLevelType w:val="hybridMultilevel"/>
    <w:tmpl w:val="BE30C522"/>
    <w:lvl w:ilvl="0" w:tplc="E19497BE">
      <w:start w:val="1"/>
      <w:numFmt w:val="bullet"/>
      <w:lvlText w:val=""/>
      <w:lvlJc w:val="left"/>
      <w:pPr>
        <w:ind w:left="360" w:hanging="360"/>
      </w:pPr>
      <w:rPr>
        <w:rFonts w:ascii="Symbol" w:hAnsi="Symbol" w:hint="default"/>
        <w:sz w:val="20"/>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54" w15:restartNumberingAfterBreak="0">
    <w:nsid w:val="1D4A69F7"/>
    <w:multiLevelType w:val="hybridMultilevel"/>
    <w:tmpl w:val="F350D6A0"/>
    <w:lvl w:ilvl="0" w:tplc="040C0001">
      <w:start w:val="1"/>
      <w:numFmt w:val="bullet"/>
      <w:lvlText w:val=""/>
      <w:lvlJc w:val="left"/>
      <w:pPr>
        <w:ind w:left="1068" w:hanging="360"/>
      </w:pPr>
      <w:rPr>
        <w:rFonts w:ascii="Symbol" w:hAnsi="Symbol"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55" w15:restartNumberingAfterBreak="0">
    <w:nsid w:val="1E41494A"/>
    <w:multiLevelType w:val="hybridMultilevel"/>
    <w:tmpl w:val="BB948EE2"/>
    <w:lvl w:ilvl="0" w:tplc="57E45B44">
      <w:start w:val="608"/>
      <w:numFmt w:val="bullet"/>
      <w:lvlText w:val="•"/>
      <w:lvlJc w:val="left"/>
      <w:pPr>
        <w:ind w:left="720" w:hanging="360"/>
      </w:pPr>
      <w:rPr>
        <w:rFonts w:ascii="Calibri" w:eastAsia="Calibri" w:hAnsi="Calibri" w:cs="SymbolMT"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6" w15:restartNumberingAfterBreak="0">
    <w:nsid w:val="1E5C789B"/>
    <w:multiLevelType w:val="hybridMultilevel"/>
    <w:tmpl w:val="7D06ACF6"/>
    <w:lvl w:ilvl="0" w:tplc="60C6ED42">
      <w:start w:val="1"/>
      <w:numFmt w:val="decimal"/>
      <w:lvlText w:val="%1-"/>
      <w:lvlJc w:val="left"/>
      <w:pPr>
        <w:ind w:left="720" w:hanging="360"/>
      </w:pPr>
    </w:lvl>
    <w:lvl w:ilvl="1" w:tplc="08160019">
      <w:start w:val="1"/>
      <w:numFmt w:val="lowerLetter"/>
      <w:lvlText w:val="%2."/>
      <w:lvlJc w:val="left"/>
      <w:pPr>
        <w:ind w:left="1440" w:hanging="360"/>
      </w:pPr>
    </w:lvl>
    <w:lvl w:ilvl="2" w:tplc="0816001B">
      <w:start w:val="1"/>
      <w:numFmt w:val="lowerRoman"/>
      <w:lvlText w:val="%3."/>
      <w:lvlJc w:val="right"/>
      <w:pPr>
        <w:ind w:left="2160" w:hanging="180"/>
      </w:pPr>
    </w:lvl>
    <w:lvl w:ilvl="3" w:tplc="0816000F">
      <w:start w:val="1"/>
      <w:numFmt w:val="decimal"/>
      <w:lvlText w:val="%4."/>
      <w:lvlJc w:val="left"/>
      <w:pPr>
        <w:ind w:left="2880" w:hanging="360"/>
      </w:pPr>
    </w:lvl>
    <w:lvl w:ilvl="4" w:tplc="08160019">
      <w:start w:val="1"/>
      <w:numFmt w:val="lowerLetter"/>
      <w:lvlText w:val="%5."/>
      <w:lvlJc w:val="left"/>
      <w:pPr>
        <w:ind w:left="3600" w:hanging="360"/>
      </w:pPr>
    </w:lvl>
    <w:lvl w:ilvl="5" w:tplc="0816001B">
      <w:start w:val="1"/>
      <w:numFmt w:val="lowerRoman"/>
      <w:lvlText w:val="%6."/>
      <w:lvlJc w:val="right"/>
      <w:pPr>
        <w:ind w:left="4320" w:hanging="180"/>
      </w:pPr>
    </w:lvl>
    <w:lvl w:ilvl="6" w:tplc="0816000F">
      <w:start w:val="1"/>
      <w:numFmt w:val="decimal"/>
      <w:lvlText w:val="%7."/>
      <w:lvlJc w:val="left"/>
      <w:pPr>
        <w:ind w:left="5040" w:hanging="360"/>
      </w:pPr>
    </w:lvl>
    <w:lvl w:ilvl="7" w:tplc="08160019">
      <w:start w:val="1"/>
      <w:numFmt w:val="lowerLetter"/>
      <w:lvlText w:val="%8."/>
      <w:lvlJc w:val="left"/>
      <w:pPr>
        <w:ind w:left="5760" w:hanging="360"/>
      </w:pPr>
    </w:lvl>
    <w:lvl w:ilvl="8" w:tplc="0816001B">
      <w:start w:val="1"/>
      <w:numFmt w:val="lowerRoman"/>
      <w:lvlText w:val="%9."/>
      <w:lvlJc w:val="right"/>
      <w:pPr>
        <w:ind w:left="6480" w:hanging="180"/>
      </w:pPr>
    </w:lvl>
  </w:abstractNum>
  <w:abstractNum w:abstractNumId="57" w15:restartNumberingAfterBreak="0">
    <w:nsid w:val="1E93360C"/>
    <w:multiLevelType w:val="hybridMultilevel"/>
    <w:tmpl w:val="574A274C"/>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8" w15:restartNumberingAfterBreak="0">
    <w:nsid w:val="1F292168"/>
    <w:multiLevelType w:val="hybridMultilevel"/>
    <w:tmpl w:val="CEC4EBB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9" w15:restartNumberingAfterBreak="0">
    <w:nsid w:val="1FAB0832"/>
    <w:multiLevelType w:val="hybridMultilevel"/>
    <w:tmpl w:val="410A7CF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0" w15:restartNumberingAfterBreak="0">
    <w:nsid w:val="1FF240F8"/>
    <w:multiLevelType w:val="hybridMultilevel"/>
    <w:tmpl w:val="4DE0DCAC"/>
    <w:lvl w:ilvl="0" w:tplc="8780A158">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61" w15:restartNumberingAfterBreak="0">
    <w:nsid w:val="20AB7C62"/>
    <w:multiLevelType w:val="hybridMultilevel"/>
    <w:tmpl w:val="DAB63BFC"/>
    <w:lvl w:ilvl="0" w:tplc="040C0009">
      <w:start w:val="1"/>
      <w:numFmt w:val="bullet"/>
      <w:lvlText w:val=""/>
      <w:lvlJc w:val="left"/>
      <w:pPr>
        <w:ind w:left="1144" w:hanging="360"/>
      </w:pPr>
      <w:rPr>
        <w:rFonts w:ascii="Wingdings" w:hAnsi="Wingdings" w:hint="default"/>
      </w:rPr>
    </w:lvl>
    <w:lvl w:ilvl="1" w:tplc="040C0003" w:tentative="1">
      <w:start w:val="1"/>
      <w:numFmt w:val="bullet"/>
      <w:lvlText w:val="o"/>
      <w:lvlJc w:val="left"/>
      <w:pPr>
        <w:ind w:left="1864" w:hanging="360"/>
      </w:pPr>
      <w:rPr>
        <w:rFonts w:ascii="Courier New" w:hAnsi="Courier New" w:cs="Courier New" w:hint="default"/>
      </w:rPr>
    </w:lvl>
    <w:lvl w:ilvl="2" w:tplc="040C0005" w:tentative="1">
      <w:start w:val="1"/>
      <w:numFmt w:val="bullet"/>
      <w:lvlText w:val=""/>
      <w:lvlJc w:val="left"/>
      <w:pPr>
        <w:ind w:left="2584" w:hanging="360"/>
      </w:pPr>
      <w:rPr>
        <w:rFonts w:ascii="Wingdings" w:hAnsi="Wingdings" w:hint="default"/>
      </w:rPr>
    </w:lvl>
    <w:lvl w:ilvl="3" w:tplc="040C0001" w:tentative="1">
      <w:start w:val="1"/>
      <w:numFmt w:val="bullet"/>
      <w:lvlText w:val=""/>
      <w:lvlJc w:val="left"/>
      <w:pPr>
        <w:ind w:left="3304" w:hanging="360"/>
      </w:pPr>
      <w:rPr>
        <w:rFonts w:ascii="Symbol" w:hAnsi="Symbol" w:hint="default"/>
      </w:rPr>
    </w:lvl>
    <w:lvl w:ilvl="4" w:tplc="040C0003" w:tentative="1">
      <w:start w:val="1"/>
      <w:numFmt w:val="bullet"/>
      <w:lvlText w:val="o"/>
      <w:lvlJc w:val="left"/>
      <w:pPr>
        <w:ind w:left="4024" w:hanging="360"/>
      </w:pPr>
      <w:rPr>
        <w:rFonts w:ascii="Courier New" w:hAnsi="Courier New" w:cs="Courier New" w:hint="default"/>
      </w:rPr>
    </w:lvl>
    <w:lvl w:ilvl="5" w:tplc="040C0005" w:tentative="1">
      <w:start w:val="1"/>
      <w:numFmt w:val="bullet"/>
      <w:lvlText w:val=""/>
      <w:lvlJc w:val="left"/>
      <w:pPr>
        <w:ind w:left="4744" w:hanging="360"/>
      </w:pPr>
      <w:rPr>
        <w:rFonts w:ascii="Wingdings" w:hAnsi="Wingdings" w:hint="default"/>
      </w:rPr>
    </w:lvl>
    <w:lvl w:ilvl="6" w:tplc="040C0001" w:tentative="1">
      <w:start w:val="1"/>
      <w:numFmt w:val="bullet"/>
      <w:lvlText w:val=""/>
      <w:lvlJc w:val="left"/>
      <w:pPr>
        <w:ind w:left="5464" w:hanging="360"/>
      </w:pPr>
      <w:rPr>
        <w:rFonts w:ascii="Symbol" w:hAnsi="Symbol" w:hint="default"/>
      </w:rPr>
    </w:lvl>
    <w:lvl w:ilvl="7" w:tplc="040C0003" w:tentative="1">
      <w:start w:val="1"/>
      <w:numFmt w:val="bullet"/>
      <w:lvlText w:val="o"/>
      <w:lvlJc w:val="left"/>
      <w:pPr>
        <w:ind w:left="6184" w:hanging="360"/>
      </w:pPr>
      <w:rPr>
        <w:rFonts w:ascii="Courier New" w:hAnsi="Courier New" w:cs="Courier New" w:hint="default"/>
      </w:rPr>
    </w:lvl>
    <w:lvl w:ilvl="8" w:tplc="040C0005" w:tentative="1">
      <w:start w:val="1"/>
      <w:numFmt w:val="bullet"/>
      <w:lvlText w:val=""/>
      <w:lvlJc w:val="left"/>
      <w:pPr>
        <w:ind w:left="6904" w:hanging="360"/>
      </w:pPr>
      <w:rPr>
        <w:rFonts w:ascii="Wingdings" w:hAnsi="Wingdings" w:hint="default"/>
      </w:rPr>
    </w:lvl>
  </w:abstractNum>
  <w:abstractNum w:abstractNumId="62" w15:restartNumberingAfterBreak="0">
    <w:nsid w:val="220D72A8"/>
    <w:multiLevelType w:val="hybridMultilevel"/>
    <w:tmpl w:val="D470864A"/>
    <w:lvl w:ilvl="0" w:tplc="B504DD3E">
      <w:start w:val="1"/>
      <w:numFmt w:val="bullet"/>
      <w:lvlText w:val=""/>
      <w:lvlJc w:val="left"/>
      <w:pPr>
        <w:ind w:left="1260" w:hanging="360"/>
      </w:pPr>
      <w:rPr>
        <w:rFonts w:ascii="Wingdings" w:hAnsi="Wingdings" w:hint="default"/>
      </w:rPr>
    </w:lvl>
    <w:lvl w:ilvl="1" w:tplc="040C0003" w:tentative="1">
      <w:start w:val="1"/>
      <w:numFmt w:val="bullet"/>
      <w:lvlText w:val="o"/>
      <w:lvlJc w:val="left"/>
      <w:pPr>
        <w:ind w:left="1980" w:hanging="360"/>
      </w:pPr>
      <w:rPr>
        <w:rFonts w:ascii="Courier New" w:hAnsi="Courier New" w:cs="Courier New" w:hint="default"/>
      </w:rPr>
    </w:lvl>
    <w:lvl w:ilvl="2" w:tplc="040C0005" w:tentative="1">
      <w:start w:val="1"/>
      <w:numFmt w:val="bullet"/>
      <w:lvlText w:val=""/>
      <w:lvlJc w:val="left"/>
      <w:pPr>
        <w:ind w:left="2700" w:hanging="360"/>
      </w:pPr>
      <w:rPr>
        <w:rFonts w:ascii="Wingdings" w:hAnsi="Wingdings" w:hint="default"/>
      </w:rPr>
    </w:lvl>
    <w:lvl w:ilvl="3" w:tplc="040C0001" w:tentative="1">
      <w:start w:val="1"/>
      <w:numFmt w:val="bullet"/>
      <w:lvlText w:val=""/>
      <w:lvlJc w:val="left"/>
      <w:pPr>
        <w:ind w:left="3420" w:hanging="360"/>
      </w:pPr>
      <w:rPr>
        <w:rFonts w:ascii="Symbol" w:hAnsi="Symbol" w:hint="default"/>
      </w:rPr>
    </w:lvl>
    <w:lvl w:ilvl="4" w:tplc="040C0003" w:tentative="1">
      <w:start w:val="1"/>
      <w:numFmt w:val="bullet"/>
      <w:lvlText w:val="o"/>
      <w:lvlJc w:val="left"/>
      <w:pPr>
        <w:ind w:left="4140" w:hanging="360"/>
      </w:pPr>
      <w:rPr>
        <w:rFonts w:ascii="Courier New" w:hAnsi="Courier New" w:cs="Courier New" w:hint="default"/>
      </w:rPr>
    </w:lvl>
    <w:lvl w:ilvl="5" w:tplc="040C0005" w:tentative="1">
      <w:start w:val="1"/>
      <w:numFmt w:val="bullet"/>
      <w:lvlText w:val=""/>
      <w:lvlJc w:val="left"/>
      <w:pPr>
        <w:ind w:left="4860" w:hanging="360"/>
      </w:pPr>
      <w:rPr>
        <w:rFonts w:ascii="Wingdings" w:hAnsi="Wingdings" w:hint="default"/>
      </w:rPr>
    </w:lvl>
    <w:lvl w:ilvl="6" w:tplc="040C0001" w:tentative="1">
      <w:start w:val="1"/>
      <w:numFmt w:val="bullet"/>
      <w:lvlText w:val=""/>
      <w:lvlJc w:val="left"/>
      <w:pPr>
        <w:ind w:left="5580" w:hanging="360"/>
      </w:pPr>
      <w:rPr>
        <w:rFonts w:ascii="Symbol" w:hAnsi="Symbol" w:hint="default"/>
      </w:rPr>
    </w:lvl>
    <w:lvl w:ilvl="7" w:tplc="040C0003" w:tentative="1">
      <w:start w:val="1"/>
      <w:numFmt w:val="bullet"/>
      <w:lvlText w:val="o"/>
      <w:lvlJc w:val="left"/>
      <w:pPr>
        <w:ind w:left="6300" w:hanging="360"/>
      </w:pPr>
      <w:rPr>
        <w:rFonts w:ascii="Courier New" w:hAnsi="Courier New" w:cs="Courier New" w:hint="default"/>
      </w:rPr>
    </w:lvl>
    <w:lvl w:ilvl="8" w:tplc="040C0005" w:tentative="1">
      <w:start w:val="1"/>
      <w:numFmt w:val="bullet"/>
      <w:lvlText w:val=""/>
      <w:lvlJc w:val="left"/>
      <w:pPr>
        <w:ind w:left="7020" w:hanging="360"/>
      </w:pPr>
      <w:rPr>
        <w:rFonts w:ascii="Wingdings" w:hAnsi="Wingdings" w:hint="default"/>
      </w:rPr>
    </w:lvl>
  </w:abstractNum>
  <w:abstractNum w:abstractNumId="63" w15:restartNumberingAfterBreak="0">
    <w:nsid w:val="222F28EB"/>
    <w:multiLevelType w:val="hybridMultilevel"/>
    <w:tmpl w:val="CFC423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4" w15:restartNumberingAfterBreak="0">
    <w:nsid w:val="240801C3"/>
    <w:multiLevelType w:val="hybridMultilevel"/>
    <w:tmpl w:val="516ADAC2"/>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5" w15:restartNumberingAfterBreak="0">
    <w:nsid w:val="24447D6B"/>
    <w:multiLevelType w:val="hybridMultilevel"/>
    <w:tmpl w:val="75E67856"/>
    <w:lvl w:ilvl="0" w:tplc="040C0001">
      <w:start w:val="1"/>
      <w:numFmt w:val="bullet"/>
      <w:lvlText w:val=""/>
      <w:lvlJc w:val="left"/>
      <w:pPr>
        <w:ind w:left="1854" w:hanging="360"/>
      </w:pPr>
      <w:rPr>
        <w:rFonts w:ascii="Symbol" w:hAnsi="Symbol" w:hint="default"/>
      </w:rPr>
    </w:lvl>
    <w:lvl w:ilvl="1" w:tplc="040C0003" w:tentative="1">
      <w:start w:val="1"/>
      <w:numFmt w:val="bullet"/>
      <w:lvlText w:val="o"/>
      <w:lvlJc w:val="left"/>
      <w:pPr>
        <w:ind w:left="2574" w:hanging="360"/>
      </w:pPr>
      <w:rPr>
        <w:rFonts w:ascii="Courier New" w:hAnsi="Courier New" w:cs="Courier New" w:hint="default"/>
      </w:rPr>
    </w:lvl>
    <w:lvl w:ilvl="2" w:tplc="040C0005" w:tentative="1">
      <w:start w:val="1"/>
      <w:numFmt w:val="bullet"/>
      <w:lvlText w:val=""/>
      <w:lvlJc w:val="left"/>
      <w:pPr>
        <w:ind w:left="3294" w:hanging="360"/>
      </w:pPr>
      <w:rPr>
        <w:rFonts w:ascii="Wingdings" w:hAnsi="Wingdings" w:hint="default"/>
      </w:rPr>
    </w:lvl>
    <w:lvl w:ilvl="3" w:tplc="040C0001" w:tentative="1">
      <w:start w:val="1"/>
      <w:numFmt w:val="bullet"/>
      <w:lvlText w:val=""/>
      <w:lvlJc w:val="left"/>
      <w:pPr>
        <w:ind w:left="4014" w:hanging="360"/>
      </w:pPr>
      <w:rPr>
        <w:rFonts w:ascii="Symbol" w:hAnsi="Symbol" w:hint="default"/>
      </w:rPr>
    </w:lvl>
    <w:lvl w:ilvl="4" w:tplc="040C0003" w:tentative="1">
      <w:start w:val="1"/>
      <w:numFmt w:val="bullet"/>
      <w:lvlText w:val="o"/>
      <w:lvlJc w:val="left"/>
      <w:pPr>
        <w:ind w:left="4734" w:hanging="360"/>
      </w:pPr>
      <w:rPr>
        <w:rFonts w:ascii="Courier New" w:hAnsi="Courier New" w:cs="Courier New" w:hint="default"/>
      </w:rPr>
    </w:lvl>
    <w:lvl w:ilvl="5" w:tplc="040C0005" w:tentative="1">
      <w:start w:val="1"/>
      <w:numFmt w:val="bullet"/>
      <w:lvlText w:val=""/>
      <w:lvlJc w:val="left"/>
      <w:pPr>
        <w:ind w:left="5454" w:hanging="360"/>
      </w:pPr>
      <w:rPr>
        <w:rFonts w:ascii="Wingdings" w:hAnsi="Wingdings" w:hint="default"/>
      </w:rPr>
    </w:lvl>
    <w:lvl w:ilvl="6" w:tplc="040C0001" w:tentative="1">
      <w:start w:val="1"/>
      <w:numFmt w:val="bullet"/>
      <w:lvlText w:val=""/>
      <w:lvlJc w:val="left"/>
      <w:pPr>
        <w:ind w:left="6174" w:hanging="360"/>
      </w:pPr>
      <w:rPr>
        <w:rFonts w:ascii="Symbol" w:hAnsi="Symbol" w:hint="default"/>
      </w:rPr>
    </w:lvl>
    <w:lvl w:ilvl="7" w:tplc="040C0003" w:tentative="1">
      <w:start w:val="1"/>
      <w:numFmt w:val="bullet"/>
      <w:lvlText w:val="o"/>
      <w:lvlJc w:val="left"/>
      <w:pPr>
        <w:ind w:left="6894" w:hanging="360"/>
      </w:pPr>
      <w:rPr>
        <w:rFonts w:ascii="Courier New" w:hAnsi="Courier New" w:cs="Courier New" w:hint="default"/>
      </w:rPr>
    </w:lvl>
    <w:lvl w:ilvl="8" w:tplc="040C0005" w:tentative="1">
      <w:start w:val="1"/>
      <w:numFmt w:val="bullet"/>
      <w:lvlText w:val=""/>
      <w:lvlJc w:val="left"/>
      <w:pPr>
        <w:ind w:left="7614" w:hanging="360"/>
      </w:pPr>
      <w:rPr>
        <w:rFonts w:ascii="Wingdings" w:hAnsi="Wingdings" w:hint="default"/>
      </w:rPr>
    </w:lvl>
  </w:abstractNum>
  <w:abstractNum w:abstractNumId="66" w15:restartNumberingAfterBreak="0">
    <w:nsid w:val="249A5BF6"/>
    <w:multiLevelType w:val="hybridMultilevel"/>
    <w:tmpl w:val="4B4E55DE"/>
    <w:lvl w:ilvl="0" w:tplc="4FDC1FA8">
      <w:numFmt w:val="bullet"/>
      <w:lvlText w:val="‐"/>
      <w:lvlJc w:val="left"/>
      <w:pPr>
        <w:ind w:left="720" w:hanging="360"/>
      </w:pPr>
      <w:rPr>
        <w:rFonts w:ascii="Trebuchet MS" w:eastAsia="Trebuchet MS" w:hAnsi="Trebuchet MS" w:cs="Trebuchet MS" w:hint="default"/>
        <w:w w:val="83"/>
        <w:sz w:val="20"/>
        <w:szCs w:val="20"/>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67" w15:restartNumberingAfterBreak="0">
    <w:nsid w:val="24A6245F"/>
    <w:multiLevelType w:val="hybridMultilevel"/>
    <w:tmpl w:val="1FB013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59E59A6"/>
    <w:multiLevelType w:val="hybridMultilevel"/>
    <w:tmpl w:val="B2CA5CE2"/>
    <w:lvl w:ilvl="0" w:tplc="7E5E6652">
      <w:start w:val="1"/>
      <w:numFmt w:val="upperRoman"/>
      <w:lvlText w:val="%1."/>
      <w:lvlJc w:val="left"/>
      <w:pPr>
        <w:ind w:left="1440" w:hanging="72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69" w15:restartNumberingAfterBreak="0">
    <w:nsid w:val="27BB6478"/>
    <w:multiLevelType w:val="hybridMultilevel"/>
    <w:tmpl w:val="A120C1D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0" w15:restartNumberingAfterBreak="0">
    <w:nsid w:val="29363121"/>
    <w:multiLevelType w:val="hybridMultilevel"/>
    <w:tmpl w:val="137CDCA8"/>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1" w15:restartNumberingAfterBreak="0">
    <w:nsid w:val="299B480D"/>
    <w:multiLevelType w:val="hybridMultilevel"/>
    <w:tmpl w:val="BE58E008"/>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2" w15:restartNumberingAfterBreak="0">
    <w:nsid w:val="29D344DD"/>
    <w:multiLevelType w:val="hybridMultilevel"/>
    <w:tmpl w:val="115403FA"/>
    <w:lvl w:ilvl="0" w:tplc="0C0C0005">
      <w:start w:val="1"/>
      <w:numFmt w:val="bullet"/>
      <w:lvlText w:val=""/>
      <w:lvlJc w:val="left"/>
      <w:pPr>
        <w:ind w:left="720" w:hanging="360"/>
      </w:pPr>
      <w:rPr>
        <w:rFonts w:ascii="Wingdings" w:hAnsi="Wingdings"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73" w15:restartNumberingAfterBreak="0">
    <w:nsid w:val="29FA0B36"/>
    <w:multiLevelType w:val="hybridMultilevel"/>
    <w:tmpl w:val="4B626E6C"/>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4" w15:restartNumberingAfterBreak="0">
    <w:nsid w:val="2A163D61"/>
    <w:multiLevelType w:val="hybridMultilevel"/>
    <w:tmpl w:val="C1AC75C6"/>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5" w15:restartNumberingAfterBreak="0">
    <w:nsid w:val="2A4543FB"/>
    <w:multiLevelType w:val="hybridMultilevel"/>
    <w:tmpl w:val="6F800614"/>
    <w:lvl w:ilvl="0" w:tplc="F51E0BEC">
      <w:start w:val="2"/>
      <w:numFmt w:val="bullet"/>
      <w:lvlText w:val="-"/>
      <w:lvlJc w:val="left"/>
      <w:pPr>
        <w:ind w:left="720" w:hanging="360"/>
      </w:pPr>
      <w:rPr>
        <w:rFonts w:ascii="Times New Roman" w:eastAsia="Times New Roman" w:hAnsi="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6" w15:restartNumberingAfterBreak="0">
    <w:nsid w:val="2A9F56AC"/>
    <w:multiLevelType w:val="hybridMultilevel"/>
    <w:tmpl w:val="E48664BC"/>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7" w15:restartNumberingAfterBreak="0">
    <w:nsid w:val="2B807B2A"/>
    <w:multiLevelType w:val="hybridMultilevel"/>
    <w:tmpl w:val="8CC4DDA4"/>
    <w:lvl w:ilvl="0" w:tplc="32380532">
      <w:start w:val="1"/>
      <w:numFmt w:val="bullet"/>
      <w:lvlText w:val="-"/>
      <w:lvlJc w:val="left"/>
      <w:pPr>
        <w:ind w:left="360" w:hanging="360"/>
      </w:pPr>
      <w:rPr>
        <w:rFonts w:ascii="Cambria" w:eastAsia="Calibri" w:hAnsi="Cambria" w:cs="Times New Roman"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8" w15:restartNumberingAfterBreak="0">
    <w:nsid w:val="2C5D2541"/>
    <w:multiLevelType w:val="hybridMultilevel"/>
    <w:tmpl w:val="DD82767E"/>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9" w15:restartNumberingAfterBreak="0">
    <w:nsid w:val="2D317E2A"/>
    <w:multiLevelType w:val="hybridMultilevel"/>
    <w:tmpl w:val="C54ECBAE"/>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0" w15:restartNumberingAfterBreak="0">
    <w:nsid w:val="2D3B7F35"/>
    <w:multiLevelType w:val="hybridMultilevel"/>
    <w:tmpl w:val="C2860E86"/>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1" w15:restartNumberingAfterBreak="0">
    <w:nsid w:val="2D5541B1"/>
    <w:multiLevelType w:val="hybridMultilevel"/>
    <w:tmpl w:val="B068F5F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2" w15:restartNumberingAfterBreak="0">
    <w:nsid w:val="2D9E3361"/>
    <w:multiLevelType w:val="hybridMultilevel"/>
    <w:tmpl w:val="A46E961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3" w15:restartNumberingAfterBreak="0">
    <w:nsid w:val="2DB36A69"/>
    <w:multiLevelType w:val="hybridMultilevel"/>
    <w:tmpl w:val="33709F46"/>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4" w15:restartNumberingAfterBreak="0">
    <w:nsid w:val="2E40125C"/>
    <w:multiLevelType w:val="hybridMultilevel"/>
    <w:tmpl w:val="74E04282"/>
    <w:lvl w:ilvl="0" w:tplc="DA0472F2">
      <w:start w:val="13"/>
      <w:numFmt w:val="bullet"/>
      <w:lvlText w:val="-"/>
      <w:lvlJc w:val="left"/>
      <w:pPr>
        <w:ind w:left="780" w:hanging="360"/>
      </w:pPr>
      <w:rPr>
        <w:rFonts w:ascii="Times New Roman" w:eastAsia="Times New Roman" w:hAnsi="Times New Roman" w:cs="Times New Roman" w:hint="default"/>
      </w:rPr>
    </w:lvl>
    <w:lvl w:ilvl="1" w:tplc="040C0003" w:tentative="1">
      <w:start w:val="1"/>
      <w:numFmt w:val="bullet"/>
      <w:lvlText w:val="o"/>
      <w:lvlJc w:val="left"/>
      <w:pPr>
        <w:ind w:left="1500" w:hanging="360"/>
      </w:pPr>
      <w:rPr>
        <w:rFonts w:ascii="Courier New" w:hAnsi="Courier New" w:cs="Courier New" w:hint="default"/>
      </w:rPr>
    </w:lvl>
    <w:lvl w:ilvl="2" w:tplc="040C0005" w:tentative="1">
      <w:start w:val="1"/>
      <w:numFmt w:val="bullet"/>
      <w:lvlText w:val=""/>
      <w:lvlJc w:val="left"/>
      <w:pPr>
        <w:ind w:left="2220" w:hanging="360"/>
      </w:pPr>
      <w:rPr>
        <w:rFonts w:ascii="Wingdings" w:hAnsi="Wingdings" w:hint="default"/>
      </w:rPr>
    </w:lvl>
    <w:lvl w:ilvl="3" w:tplc="040C0001" w:tentative="1">
      <w:start w:val="1"/>
      <w:numFmt w:val="bullet"/>
      <w:lvlText w:val=""/>
      <w:lvlJc w:val="left"/>
      <w:pPr>
        <w:ind w:left="2940" w:hanging="360"/>
      </w:pPr>
      <w:rPr>
        <w:rFonts w:ascii="Symbol" w:hAnsi="Symbol" w:hint="default"/>
      </w:rPr>
    </w:lvl>
    <w:lvl w:ilvl="4" w:tplc="040C0003" w:tentative="1">
      <w:start w:val="1"/>
      <w:numFmt w:val="bullet"/>
      <w:lvlText w:val="o"/>
      <w:lvlJc w:val="left"/>
      <w:pPr>
        <w:ind w:left="3660" w:hanging="360"/>
      </w:pPr>
      <w:rPr>
        <w:rFonts w:ascii="Courier New" w:hAnsi="Courier New" w:cs="Courier New" w:hint="default"/>
      </w:rPr>
    </w:lvl>
    <w:lvl w:ilvl="5" w:tplc="040C0005" w:tentative="1">
      <w:start w:val="1"/>
      <w:numFmt w:val="bullet"/>
      <w:lvlText w:val=""/>
      <w:lvlJc w:val="left"/>
      <w:pPr>
        <w:ind w:left="4380" w:hanging="360"/>
      </w:pPr>
      <w:rPr>
        <w:rFonts w:ascii="Wingdings" w:hAnsi="Wingdings" w:hint="default"/>
      </w:rPr>
    </w:lvl>
    <w:lvl w:ilvl="6" w:tplc="040C0001" w:tentative="1">
      <w:start w:val="1"/>
      <w:numFmt w:val="bullet"/>
      <w:lvlText w:val=""/>
      <w:lvlJc w:val="left"/>
      <w:pPr>
        <w:ind w:left="5100" w:hanging="360"/>
      </w:pPr>
      <w:rPr>
        <w:rFonts w:ascii="Symbol" w:hAnsi="Symbol" w:hint="default"/>
      </w:rPr>
    </w:lvl>
    <w:lvl w:ilvl="7" w:tplc="040C0003" w:tentative="1">
      <w:start w:val="1"/>
      <w:numFmt w:val="bullet"/>
      <w:lvlText w:val="o"/>
      <w:lvlJc w:val="left"/>
      <w:pPr>
        <w:ind w:left="5820" w:hanging="360"/>
      </w:pPr>
      <w:rPr>
        <w:rFonts w:ascii="Courier New" w:hAnsi="Courier New" w:cs="Courier New" w:hint="default"/>
      </w:rPr>
    </w:lvl>
    <w:lvl w:ilvl="8" w:tplc="040C0005" w:tentative="1">
      <w:start w:val="1"/>
      <w:numFmt w:val="bullet"/>
      <w:lvlText w:val=""/>
      <w:lvlJc w:val="left"/>
      <w:pPr>
        <w:ind w:left="6540" w:hanging="360"/>
      </w:pPr>
      <w:rPr>
        <w:rFonts w:ascii="Wingdings" w:hAnsi="Wingdings" w:hint="default"/>
      </w:rPr>
    </w:lvl>
  </w:abstractNum>
  <w:abstractNum w:abstractNumId="85" w15:restartNumberingAfterBreak="0">
    <w:nsid w:val="2EAA6241"/>
    <w:multiLevelType w:val="hybridMultilevel"/>
    <w:tmpl w:val="8C449738"/>
    <w:lvl w:ilvl="0" w:tplc="DA0472F2">
      <w:start w:val="13"/>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6" w15:restartNumberingAfterBreak="0">
    <w:nsid w:val="302E19CD"/>
    <w:multiLevelType w:val="hybridMultilevel"/>
    <w:tmpl w:val="2CC60560"/>
    <w:lvl w:ilvl="0" w:tplc="39EA2D9A">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7" w15:restartNumberingAfterBreak="0">
    <w:nsid w:val="30586EC1"/>
    <w:multiLevelType w:val="hybridMultilevel"/>
    <w:tmpl w:val="64BC173A"/>
    <w:lvl w:ilvl="0" w:tplc="F51E0BEC">
      <w:start w:val="2"/>
      <w:numFmt w:val="bullet"/>
      <w:lvlText w:val="-"/>
      <w:lvlJc w:val="left"/>
      <w:pPr>
        <w:ind w:left="720" w:hanging="360"/>
      </w:pPr>
      <w:rPr>
        <w:rFonts w:ascii="Times New Roman" w:eastAsia="Times New Roman" w:hAnsi="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8" w15:restartNumberingAfterBreak="0">
    <w:nsid w:val="30991AA7"/>
    <w:multiLevelType w:val="hybridMultilevel"/>
    <w:tmpl w:val="789EC0CC"/>
    <w:lvl w:ilvl="0" w:tplc="040C0001">
      <w:start w:val="1"/>
      <w:numFmt w:val="bullet"/>
      <w:lvlText w:val=""/>
      <w:lvlJc w:val="left"/>
      <w:pPr>
        <w:ind w:left="578" w:hanging="360"/>
      </w:pPr>
      <w:rPr>
        <w:rFonts w:ascii="Symbol" w:hAnsi="Symbol" w:hint="default"/>
      </w:rPr>
    </w:lvl>
    <w:lvl w:ilvl="1" w:tplc="040C0003" w:tentative="1">
      <w:start w:val="1"/>
      <w:numFmt w:val="bullet"/>
      <w:lvlText w:val="o"/>
      <w:lvlJc w:val="left"/>
      <w:pPr>
        <w:ind w:left="1298" w:hanging="360"/>
      </w:pPr>
      <w:rPr>
        <w:rFonts w:ascii="Courier New" w:hAnsi="Courier New" w:cs="Courier New" w:hint="default"/>
      </w:rPr>
    </w:lvl>
    <w:lvl w:ilvl="2" w:tplc="040C0005" w:tentative="1">
      <w:start w:val="1"/>
      <w:numFmt w:val="bullet"/>
      <w:lvlText w:val=""/>
      <w:lvlJc w:val="left"/>
      <w:pPr>
        <w:ind w:left="2018" w:hanging="360"/>
      </w:pPr>
      <w:rPr>
        <w:rFonts w:ascii="Wingdings" w:hAnsi="Wingdings" w:hint="default"/>
      </w:rPr>
    </w:lvl>
    <w:lvl w:ilvl="3" w:tplc="040C0001" w:tentative="1">
      <w:start w:val="1"/>
      <w:numFmt w:val="bullet"/>
      <w:lvlText w:val=""/>
      <w:lvlJc w:val="left"/>
      <w:pPr>
        <w:ind w:left="2738" w:hanging="360"/>
      </w:pPr>
      <w:rPr>
        <w:rFonts w:ascii="Symbol" w:hAnsi="Symbol" w:hint="default"/>
      </w:rPr>
    </w:lvl>
    <w:lvl w:ilvl="4" w:tplc="040C0003" w:tentative="1">
      <w:start w:val="1"/>
      <w:numFmt w:val="bullet"/>
      <w:lvlText w:val="o"/>
      <w:lvlJc w:val="left"/>
      <w:pPr>
        <w:ind w:left="3458" w:hanging="360"/>
      </w:pPr>
      <w:rPr>
        <w:rFonts w:ascii="Courier New" w:hAnsi="Courier New" w:cs="Courier New" w:hint="default"/>
      </w:rPr>
    </w:lvl>
    <w:lvl w:ilvl="5" w:tplc="040C0005" w:tentative="1">
      <w:start w:val="1"/>
      <w:numFmt w:val="bullet"/>
      <w:lvlText w:val=""/>
      <w:lvlJc w:val="left"/>
      <w:pPr>
        <w:ind w:left="4178" w:hanging="360"/>
      </w:pPr>
      <w:rPr>
        <w:rFonts w:ascii="Wingdings" w:hAnsi="Wingdings" w:hint="default"/>
      </w:rPr>
    </w:lvl>
    <w:lvl w:ilvl="6" w:tplc="040C0001" w:tentative="1">
      <w:start w:val="1"/>
      <w:numFmt w:val="bullet"/>
      <w:lvlText w:val=""/>
      <w:lvlJc w:val="left"/>
      <w:pPr>
        <w:ind w:left="4898" w:hanging="360"/>
      </w:pPr>
      <w:rPr>
        <w:rFonts w:ascii="Symbol" w:hAnsi="Symbol" w:hint="default"/>
      </w:rPr>
    </w:lvl>
    <w:lvl w:ilvl="7" w:tplc="040C0003" w:tentative="1">
      <w:start w:val="1"/>
      <w:numFmt w:val="bullet"/>
      <w:lvlText w:val="o"/>
      <w:lvlJc w:val="left"/>
      <w:pPr>
        <w:ind w:left="5618" w:hanging="360"/>
      </w:pPr>
      <w:rPr>
        <w:rFonts w:ascii="Courier New" w:hAnsi="Courier New" w:cs="Courier New" w:hint="default"/>
      </w:rPr>
    </w:lvl>
    <w:lvl w:ilvl="8" w:tplc="040C0005" w:tentative="1">
      <w:start w:val="1"/>
      <w:numFmt w:val="bullet"/>
      <w:lvlText w:val=""/>
      <w:lvlJc w:val="left"/>
      <w:pPr>
        <w:ind w:left="6338" w:hanging="360"/>
      </w:pPr>
      <w:rPr>
        <w:rFonts w:ascii="Wingdings" w:hAnsi="Wingdings" w:hint="default"/>
      </w:rPr>
    </w:lvl>
  </w:abstractNum>
  <w:abstractNum w:abstractNumId="89" w15:restartNumberingAfterBreak="0">
    <w:nsid w:val="30C4192D"/>
    <w:multiLevelType w:val="hybridMultilevel"/>
    <w:tmpl w:val="066A5B64"/>
    <w:lvl w:ilvl="0" w:tplc="040C000D">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0" w15:restartNumberingAfterBreak="0">
    <w:nsid w:val="310D7795"/>
    <w:multiLevelType w:val="multilevel"/>
    <w:tmpl w:val="E6840B40"/>
    <w:lvl w:ilvl="0">
      <w:start w:val="1"/>
      <w:numFmt w:val="decimal"/>
      <w:pStyle w:val="Style7"/>
      <w:lvlText w:val="%1."/>
      <w:lvlJc w:val="left"/>
      <w:pPr>
        <w:ind w:left="720" w:hanging="360"/>
      </w:pPr>
    </w:lvl>
    <w:lvl w:ilvl="1">
      <w:start w:val="1"/>
      <w:numFmt w:val="decimal"/>
      <w:isLgl/>
      <w:lvlText w:val="%1.%2."/>
      <w:lvlJc w:val="left"/>
      <w:pPr>
        <w:ind w:left="720" w:hanging="360"/>
      </w:pPr>
      <w:rPr>
        <w:rFonts w:hint="default"/>
      </w:rPr>
    </w:lvl>
    <w:lvl w:ilvl="2">
      <w:start w:val="1"/>
      <w:numFmt w:val="decimal"/>
      <w:pStyle w:val="titre4"/>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1" w15:restartNumberingAfterBreak="0">
    <w:nsid w:val="312D4989"/>
    <w:multiLevelType w:val="hybridMultilevel"/>
    <w:tmpl w:val="938278DA"/>
    <w:lvl w:ilvl="0" w:tplc="040C000D">
      <w:start w:val="1"/>
      <w:numFmt w:val="bullet"/>
      <w:lvlText w:val=""/>
      <w:lvlJc w:val="left"/>
      <w:pPr>
        <w:ind w:left="436" w:hanging="360"/>
      </w:pPr>
      <w:rPr>
        <w:rFonts w:ascii="Wingdings" w:hAnsi="Wingdings" w:hint="default"/>
      </w:rPr>
    </w:lvl>
    <w:lvl w:ilvl="1" w:tplc="040C0003" w:tentative="1">
      <w:start w:val="1"/>
      <w:numFmt w:val="bullet"/>
      <w:lvlText w:val="o"/>
      <w:lvlJc w:val="left"/>
      <w:pPr>
        <w:ind w:left="1156" w:hanging="360"/>
      </w:pPr>
      <w:rPr>
        <w:rFonts w:ascii="Courier New" w:hAnsi="Courier New" w:cs="Courier New" w:hint="default"/>
      </w:rPr>
    </w:lvl>
    <w:lvl w:ilvl="2" w:tplc="040C0005" w:tentative="1">
      <w:start w:val="1"/>
      <w:numFmt w:val="bullet"/>
      <w:lvlText w:val=""/>
      <w:lvlJc w:val="left"/>
      <w:pPr>
        <w:ind w:left="1876" w:hanging="360"/>
      </w:pPr>
      <w:rPr>
        <w:rFonts w:ascii="Wingdings" w:hAnsi="Wingdings" w:hint="default"/>
      </w:rPr>
    </w:lvl>
    <w:lvl w:ilvl="3" w:tplc="040C0001" w:tentative="1">
      <w:start w:val="1"/>
      <w:numFmt w:val="bullet"/>
      <w:lvlText w:val=""/>
      <w:lvlJc w:val="left"/>
      <w:pPr>
        <w:ind w:left="2596" w:hanging="360"/>
      </w:pPr>
      <w:rPr>
        <w:rFonts w:ascii="Symbol" w:hAnsi="Symbol" w:hint="default"/>
      </w:rPr>
    </w:lvl>
    <w:lvl w:ilvl="4" w:tplc="040C0003" w:tentative="1">
      <w:start w:val="1"/>
      <w:numFmt w:val="bullet"/>
      <w:lvlText w:val="o"/>
      <w:lvlJc w:val="left"/>
      <w:pPr>
        <w:ind w:left="3316" w:hanging="360"/>
      </w:pPr>
      <w:rPr>
        <w:rFonts w:ascii="Courier New" w:hAnsi="Courier New" w:cs="Courier New" w:hint="default"/>
      </w:rPr>
    </w:lvl>
    <w:lvl w:ilvl="5" w:tplc="040C0005" w:tentative="1">
      <w:start w:val="1"/>
      <w:numFmt w:val="bullet"/>
      <w:lvlText w:val=""/>
      <w:lvlJc w:val="left"/>
      <w:pPr>
        <w:ind w:left="4036" w:hanging="360"/>
      </w:pPr>
      <w:rPr>
        <w:rFonts w:ascii="Wingdings" w:hAnsi="Wingdings" w:hint="default"/>
      </w:rPr>
    </w:lvl>
    <w:lvl w:ilvl="6" w:tplc="040C0001" w:tentative="1">
      <w:start w:val="1"/>
      <w:numFmt w:val="bullet"/>
      <w:lvlText w:val=""/>
      <w:lvlJc w:val="left"/>
      <w:pPr>
        <w:ind w:left="4756" w:hanging="360"/>
      </w:pPr>
      <w:rPr>
        <w:rFonts w:ascii="Symbol" w:hAnsi="Symbol" w:hint="default"/>
      </w:rPr>
    </w:lvl>
    <w:lvl w:ilvl="7" w:tplc="040C0003" w:tentative="1">
      <w:start w:val="1"/>
      <w:numFmt w:val="bullet"/>
      <w:lvlText w:val="o"/>
      <w:lvlJc w:val="left"/>
      <w:pPr>
        <w:ind w:left="5476" w:hanging="360"/>
      </w:pPr>
      <w:rPr>
        <w:rFonts w:ascii="Courier New" w:hAnsi="Courier New" w:cs="Courier New" w:hint="default"/>
      </w:rPr>
    </w:lvl>
    <w:lvl w:ilvl="8" w:tplc="040C0005" w:tentative="1">
      <w:start w:val="1"/>
      <w:numFmt w:val="bullet"/>
      <w:lvlText w:val=""/>
      <w:lvlJc w:val="left"/>
      <w:pPr>
        <w:ind w:left="6196" w:hanging="360"/>
      </w:pPr>
      <w:rPr>
        <w:rFonts w:ascii="Wingdings" w:hAnsi="Wingdings" w:hint="default"/>
      </w:rPr>
    </w:lvl>
  </w:abstractNum>
  <w:abstractNum w:abstractNumId="92" w15:restartNumberingAfterBreak="0">
    <w:nsid w:val="318E40D9"/>
    <w:multiLevelType w:val="hybridMultilevel"/>
    <w:tmpl w:val="81006634"/>
    <w:lvl w:ilvl="0" w:tplc="32380532">
      <w:start w:val="1"/>
      <w:numFmt w:val="bullet"/>
      <w:lvlText w:val="-"/>
      <w:lvlJc w:val="left"/>
      <w:pPr>
        <w:ind w:left="360" w:hanging="360"/>
      </w:pPr>
      <w:rPr>
        <w:rFonts w:ascii="Cambria" w:eastAsia="Calibri" w:hAnsi="Cambria" w:cs="Times New Roman" w:hint="default"/>
      </w:rPr>
    </w:lvl>
    <w:lvl w:ilvl="1" w:tplc="040C0003">
      <w:start w:val="1"/>
      <w:numFmt w:val="bullet"/>
      <w:lvlText w:val="o"/>
      <w:lvlJc w:val="left"/>
      <w:pPr>
        <w:ind w:left="1080" w:hanging="360"/>
      </w:pPr>
      <w:rPr>
        <w:rFonts w:ascii="Courier New" w:hAnsi="Courier New" w:cs="Courier New" w:hint="default"/>
      </w:rPr>
    </w:lvl>
    <w:lvl w:ilvl="2" w:tplc="040C0005">
      <w:start w:val="1"/>
      <w:numFmt w:val="bullet"/>
      <w:lvlText w:val=""/>
      <w:lvlJc w:val="left"/>
      <w:pPr>
        <w:ind w:left="1800" w:hanging="360"/>
      </w:pPr>
      <w:rPr>
        <w:rFonts w:ascii="Wingdings" w:hAnsi="Wingdings" w:hint="default"/>
      </w:rPr>
    </w:lvl>
    <w:lvl w:ilvl="3" w:tplc="040C0001">
      <w:start w:val="1"/>
      <w:numFmt w:val="bullet"/>
      <w:lvlText w:val=""/>
      <w:lvlJc w:val="left"/>
      <w:pPr>
        <w:ind w:left="2520" w:hanging="360"/>
      </w:pPr>
      <w:rPr>
        <w:rFonts w:ascii="Symbol" w:hAnsi="Symbol" w:hint="default"/>
      </w:rPr>
    </w:lvl>
    <w:lvl w:ilvl="4" w:tplc="040C0003">
      <w:start w:val="1"/>
      <w:numFmt w:val="bullet"/>
      <w:lvlText w:val="o"/>
      <w:lvlJc w:val="left"/>
      <w:pPr>
        <w:ind w:left="3240" w:hanging="360"/>
      </w:pPr>
      <w:rPr>
        <w:rFonts w:ascii="Courier New" w:hAnsi="Courier New" w:cs="Courier New" w:hint="default"/>
      </w:rPr>
    </w:lvl>
    <w:lvl w:ilvl="5" w:tplc="040C0005">
      <w:start w:val="1"/>
      <w:numFmt w:val="bullet"/>
      <w:lvlText w:val=""/>
      <w:lvlJc w:val="left"/>
      <w:pPr>
        <w:ind w:left="3960" w:hanging="360"/>
      </w:pPr>
      <w:rPr>
        <w:rFonts w:ascii="Wingdings" w:hAnsi="Wingdings" w:hint="default"/>
      </w:rPr>
    </w:lvl>
    <w:lvl w:ilvl="6" w:tplc="040C0001">
      <w:start w:val="1"/>
      <w:numFmt w:val="bullet"/>
      <w:lvlText w:val=""/>
      <w:lvlJc w:val="left"/>
      <w:pPr>
        <w:ind w:left="4680" w:hanging="360"/>
      </w:pPr>
      <w:rPr>
        <w:rFonts w:ascii="Symbol" w:hAnsi="Symbol" w:hint="default"/>
      </w:rPr>
    </w:lvl>
    <w:lvl w:ilvl="7" w:tplc="040C0003">
      <w:start w:val="1"/>
      <w:numFmt w:val="bullet"/>
      <w:lvlText w:val="o"/>
      <w:lvlJc w:val="left"/>
      <w:pPr>
        <w:ind w:left="5400" w:hanging="360"/>
      </w:pPr>
      <w:rPr>
        <w:rFonts w:ascii="Courier New" w:hAnsi="Courier New" w:cs="Courier New" w:hint="default"/>
      </w:rPr>
    </w:lvl>
    <w:lvl w:ilvl="8" w:tplc="040C0005">
      <w:start w:val="1"/>
      <w:numFmt w:val="bullet"/>
      <w:lvlText w:val=""/>
      <w:lvlJc w:val="left"/>
      <w:pPr>
        <w:ind w:left="6120" w:hanging="360"/>
      </w:pPr>
      <w:rPr>
        <w:rFonts w:ascii="Wingdings" w:hAnsi="Wingdings" w:hint="default"/>
      </w:rPr>
    </w:lvl>
  </w:abstractNum>
  <w:abstractNum w:abstractNumId="93" w15:restartNumberingAfterBreak="0">
    <w:nsid w:val="319439E6"/>
    <w:multiLevelType w:val="multilevel"/>
    <w:tmpl w:val="0CDCACCE"/>
    <w:lvl w:ilvl="0">
      <w:start w:val="1"/>
      <w:numFmt w:val="lowerLetter"/>
      <w:lvlText w:val="%1."/>
      <w:lvlJc w:val="left"/>
      <w:pPr>
        <w:tabs>
          <w:tab w:val="num" w:pos="360"/>
        </w:tabs>
        <w:ind w:left="360" w:hanging="360"/>
      </w:pPr>
      <w:rPr>
        <w:rFonts w:hint="default"/>
        <w:b w:val="0"/>
        <w:i w:val="0"/>
      </w:rPr>
    </w:lvl>
    <w:lvl w:ilvl="1">
      <w:start w:val="1"/>
      <w:numFmt w:val="decimal"/>
      <w:lvlText w:val="%2."/>
      <w:lvlJc w:val="left"/>
      <w:pPr>
        <w:tabs>
          <w:tab w:val="num" w:pos="720"/>
        </w:tabs>
        <w:ind w:left="720" w:hanging="720"/>
      </w:pPr>
      <w:rPr>
        <w:rFonts w:hint="default"/>
      </w:rPr>
    </w:lvl>
    <w:lvl w:ilvl="2">
      <w:start w:val="1"/>
      <w:numFmt w:val="lowerLetter"/>
      <w:pStyle w:val="Sub-Para1underX"/>
      <w:lvlText w:val="(%3)"/>
      <w:lvlJc w:val="left"/>
      <w:pPr>
        <w:tabs>
          <w:tab w:val="num" w:pos="1080"/>
        </w:tabs>
        <w:ind w:left="720" w:hanging="360"/>
      </w:pPr>
      <w:rPr>
        <w:rFonts w:hint="default"/>
      </w:rPr>
    </w:lvl>
    <w:lvl w:ilvl="3">
      <w:start w:val="1"/>
      <w:numFmt w:val="lowerRoman"/>
      <w:pStyle w:val="Sub-Para1underX"/>
      <w:lvlText w:val="(%4)"/>
      <w:lvlJc w:val="left"/>
      <w:pPr>
        <w:tabs>
          <w:tab w:val="num" w:pos="1800"/>
        </w:tabs>
        <w:ind w:left="1080" w:hanging="360"/>
      </w:pPr>
      <w:rPr>
        <w:rFonts w:hint="default"/>
      </w:rPr>
    </w:lvl>
    <w:lvl w:ilvl="4">
      <w:start w:val="1"/>
      <w:numFmt w:val="lowerLetter"/>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4" w15:restartNumberingAfterBreak="0">
    <w:nsid w:val="323F5FE4"/>
    <w:multiLevelType w:val="hybridMultilevel"/>
    <w:tmpl w:val="D51C0A24"/>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5" w15:restartNumberingAfterBreak="0">
    <w:nsid w:val="32C15C7A"/>
    <w:multiLevelType w:val="hybridMultilevel"/>
    <w:tmpl w:val="DB34087E"/>
    <w:lvl w:ilvl="0" w:tplc="040C000B">
      <w:start w:val="1"/>
      <w:numFmt w:val="bullet"/>
      <w:lvlText w:val=""/>
      <w:lvlJc w:val="left"/>
      <w:pPr>
        <w:ind w:left="436" w:hanging="360"/>
      </w:pPr>
      <w:rPr>
        <w:rFonts w:ascii="Wingdings" w:hAnsi="Wingdings" w:hint="default"/>
      </w:rPr>
    </w:lvl>
    <w:lvl w:ilvl="1" w:tplc="040C0003" w:tentative="1">
      <w:start w:val="1"/>
      <w:numFmt w:val="bullet"/>
      <w:lvlText w:val="o"/>
      <w:lvlJc w:val="left"/>
      <w:pPr>
        <w:ind w:left="1156" w:hanging="360"/>
      </w:pPr>
      <w:rPr>
        <w:rFonts w:ascii="Courier New" w:hAnsi="Courier New" w:cs="Courier New" w:hint="default"/>
      </w:rPr>
    </w:lvl>
    <w:lvl w:ilvl="2" w:tplc="040C0005" w:tentative="1">
      <w:start w:val="1"/>
      <w:numFmt w:val="bullet"/>
      <w:lvlText w:val=""/>
      <w:lvlJc w:val="left"/>
      <w:pPr>
        <w:ind w:left="1876" w:hanging="360"/>
      </w:pPr>
      <w:rPr>
        <w:rFonts w:ascii="Wingdings" w:hAnsi="Wingdings" w:hint="default"/>
      </w:rPr>
    </w:lvl>
    <w:lvl w:ilvl="3" w:tplc="040C0001" w:tentative="1">
      <w:start w:val="1"/>
      <w:numFmt w:val="bullet"/>
      <w:lvlText w:val=""/>
      <w:lvlJc w:val="left"/>
      <w:pPr>
        <w:ind w:left="2596" w:hanging="360"/>
      </w:pPr>
      <w:rPr>
        <w:rFonts w:ascii="Symbol" w:hAnsi="Symbol" w:hint="default"/>
      </w:rPr>
    </w:lvl>
    <w:lvl w:ilvl="4" w:tplc="040C0003" w:tentative="1">
      <w:start w:val="1"/>
      <w:numFmt w:val="bullet"/>
      <w:lvlText w:val="o"/>
      <w:lvlJc w:val="left"/>
      <w:pPr>
        <w:ind w:left="3316" w:hanging="360"/>
      </w:pPr>
      <w:rPr>
        <w:rFonts w:ascii="Courier New" w:hAnsi="Courier New" w:cs="Courier New" w:hint="default"/>
      </w:rPr>
    </w:lvl>
    <w:lvl w:ilvl="5" w:tplc="040C0005" w:tentative="1">
      <w:start w:val="1"/>
      <w:numFmt w:val="bullet"/>
      <w:lvlText w:val=""/>
      <w:lvlJc w:val="left"/>
      <w:pPr>
        <w:ind w:left="4036" w:hanging="360"/>
      </w:pPr>
      <w:rPr>
        <w:rFonts w:ascii="Wingdings" w:hAnsi="Wingdings" w:hint="default"/>
      </w:rPr>
    </w:lvl>
    <w:lvl w:ilvl="6" w:tplc="040C0001" w:tentative="1">
      <w:start w:val="1"/>
      <w:numFmt w:val="bullet"/>
      <w:lvlText w:val=""/>
      <w:lvlJc w:val="left"/>
      <w:pPr>
        <w:ind w:left="4756" w:hanging="360"/>
      </w:pPr>
      <w:rPr>
        <w:rFonts w:ascii="Symbol" w:hAnsi="Symbol" w:hint="default"/>
      </w:rPr>
    </w:lvl>
    <w:lvl w:ilvl="7" w:tplc="040C0003" w:tentative="1">
      <w:start w:val="1"/>
      <w:numFmt w:val="bullet"/>
      <w:lvlText w:val="o"/>
      <w:lvlJc w:val="left"/>
      <w:pPr>
        <w:ind w:left="5476" w:hanging="360"/>
      </w:pPr>
      <w:rPr>
        <w:rFonts w:ascii="Courier New" w:hAnsi="Courier New" w:cs="Courier New" w:hint="default"/>
      </w:rPr>
    </w:lvl>
    <w:lvl w:ilvl="8" w:tplc="040C0005" w:tentative="1">
      <w:start w:val="1"/>
      <w:numFmt w:val="bullet"/>
      <w:lvlText w:val=""/>
      <w:lvlJc w:val="left"/>
      <w:pPr>
        <w:ind w:left="6196" w:hanging="360"/>
      </w:pPr>
      <w:rPr>
        <w:rFonts w:ascii="Wingdings" w:hAnsi="Wingdings" w:hint="default"/>
      </w:rPr>
    </w:lvl>
  </w:abstractNum>
  <w:abstractNum w:abstractNumId="96" w15:restartNumberingAfterBreak="0">
    <w:nsid w:val="346672CA"/>
    <w:multiLevelType w:val="multilevel"/>
    <w:tmpl w:val="1B607C02"/>
    <w:lvl w:ilvl="0">
      <w:start w:val="4"/>
      <w:numFmt w:val="decimal"/>
      <w:lvlText w:val="%1."/>
      <w:lvlJc w:val="left"/>
      <w:pPr>
        <w:ind w:left="360" w:hanging="360"/>
      </w:pPr>
      <w:rPr>
        <w:rFonts w:hint="default"/>
        <w:sz w:val="24"/>
      </w:rPr>
    </w:lvl>
    <w:lvl w:ilvl="1">
      <w:start w:val="1"/>
      <w:numFmt w:val="decimal"/>
      <w:lvlText w:val="%1.%2."/>
      <w:lvlJc w:val="left"/>
      <w:pPr>
        <w:ind w:left="1068" w:hanging="360"/>
      </w:pPr>
      <w:rPr>
        <w:rFonts w:hint="default"/>
        <w:sz w:val="24"/>
      </w:rPr>
    </w:lvl>
    <w:lvl w:ilvl="2">
      <w:start w:val="1"/>
      <w:numFmt w:val="decimal"/>
      <w:lvlText w:val="%1.%2.%3."/>
      <w:lvlJc w:val="left"/>
      <w:pPr>
        <w:ind w:left="2136" w:hanging="720"/>
      </w:pPr>
      <w:rPr>
        <w:rFonts w:hint="default"/>
        <w:sz w:val="24"/>
      </w:rPr>
    </w:lvl>
    <w:lvl w:ilvl="3">
      <w:start w:val="1"/>
      <w:numFmt w:val="decimal"/>
      <w:lvlText w:val="%1.%2.%3.%4."/>
      <w:lvlJc w:val="left"/>
      <w:pPr>
        <w:ind w:left="2844" w:hanging="720"/>
      </w:pPr>
      <w:rPr>
        <w:rFonts w:hint="default"/>
        <w:sz w:val="24"/>
      </w:rPr>
    </w:lvl>
    <w:lvl w:ilvl="4">
      <w:start w:val="1"/>
      <w:numFmt w:val="decimal"/>
      <w:lvlText w:val="%1.%2.%3.%4.%5."/>
      <w:lvlJc w:val="left"/>
      <w:pPr>
        <w:ind w:left="3912" w:hanging="1080"/>
      </w:pPr>
      <w:rPr>
        <w:rFonts w:hint="default"/>
        <w:sz w:val="24"/>
      </w:rPr>
    </w:lvl>
    <w:lvl w:ilvl="5">
      <w:start w:val="1"/>
      <w:numFmt w:val="decimal"/>
      <w:lvlText w:val="%1.%2.%3.%4.%5.%6."/>
      <w:lvlJc w:val="left"/>
      <w:pPr>
        <w:ind w:left="4620" w:hanging="1080"/>
      </w:pPr>
      <w:rPr>
        <w:rFonts w:hint="default"/>
        <w:sz w:val="24"/>
      </w:rPr>
    </w:lvl>
    <w:lvl w:ilvl="6">
      <w:start w:val="1"/>
      <w:numFmt w:val="decimal"/>
      <w:lvlText w:val="%1.%2.%3.%4.%5.%6.%7."/>
      <w:lvlJc w:val="left"/>
      <w:pPr>
        <w:ind w:left="5328" w:hanging="1080"/>
      </w:pPr>
      <w:rPr>
        <w:rFonts w:hint="default"/>
        <w:sz w:val="24"/>
      </w:rPr>
    </w:lvl>
    <w:lvl w:ilvl="7">
      <w:start w:val="1"/>
      <w:numFmt w:val="decimal"/>
      <w:lvlText w:val="%1.%2.%3.%4.%5.%6.%7.%8."/>
      <w:lvlJc w:val="left"/>
      <w:pPr>
        <w:ind w:left="6396" w:hanging="1440"/>
      </w:pPr>
      <w:rPr>
        <w:rFonts w:hint="default"/>
        <w:sz w:val="24"/>
      </w:rPr>
    </w:lvl>
    <w:lvl w:ilvl="8">
      <w:start w:val="1"/>
      <w:numFmt w:val="decimal"/>
      <w:lvlText w:val="%1.%2.%3.%4.%5.%6.%7.%8.%9."/>
      <w:lvlJc w:val="left"/>
      <w:pPr>
        <w:ind w:left="7104" w:hanging="1440"/>
      </w:pPr>
      <w:rPr>
        <w:rFonts w:hint="default"/>
        <w:sz w:val="24"/>
      </w:rPr>
    </w:lvl>
  </w:abstractNum>
  <w:abstractNum w:abstractNumId="97" w15:restartNumberingAfterBreak="0">
    <w:nsid w:val="349200B1"/>
    <w:multiLevelType w:val="hybridMultilevel"/>
    <w:tmpl w:val="99B08B7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start w:val="1"/>
      <w:numFmt w:val="bullet"/>
      <w:lvlText w:val=""/>
      <w:lvlJc w:val="left"/>
      <w:pPr>
        <w:ind w:left="644"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8" w15:restartNumberingAfterBreak="0">
    <w:nsid w:val="354A0C16"/>
    <w:multiLevelType w:val="hybridMultilevel"/>
    <w:tmpl w:val="D5085268"/>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9" w15:restartNumberingAfterBreak="0">
    <w:nsid w:val="35CC154C"/>
    <w:multiLevelType w:val="multilevel"/>
    <w:tmpl w:val="5AB441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5FB25CC"/>
    <w:multiLevelType w:val="hybridMultilevel"/>
    <w:tmpl w:val="897E4B3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1" w15:restartNumberingAfterBreak="0">
    <w:nsid w:val="36565278"/>
    <w:multiLevelType w:val="hybridMultilevel"/>
    <w:tmpl w:val="20ACB0C4"/>
    <w:lvl w:ilvl="0" w:tplc="3C9442F8">
      <w:start w:val="3"/>
      <w:numFmt w:val="bullet"/>
      <w:lvlText w:val="-"/>
      <w:lvlJc w:val="left"/>
      <w:pPr>
        <w:ind w:left="777" w:hanging="360"/>
      </w:pPr>
      <w:rPr>
        <w:rFonts w:ascii="Arial" w:eastAsia="Times New Roman" w:hAnsi="Arial" w:cs="Arial" w:hint="default"/>
      </w:rPr>
    </w:lvl>
    <w:lvl w:ilvl="1" w:tplc="040C0003" w:tentative="1">
      <w:start w:val="1"/>
      <w:numFmt w:val="bullet"/>
      <w:lvlText w:val="o"/>
      <w:lvlJc w:val="left"/>
      <w:pPr>
        <w:ind w:left="1497" w:hanging="360"/>
      </w:pPr>
      <w:rPr>
        <w:rFonts w:ascii="Courier New" w:hAnsi="Courier New" w:cs="Courier New" w:hint="default"/>
      </w:rPr>
    </w:lvl>
    <w:lvl w:ilvl="2" w:tplc="040C0005" w:tentative="1">
      <w:start w:val="1"/>
      <w:numFmt w:val="bullet"/>
      <w:lvlText w:val=""/>
      <w:lvlJc w:val="left"/>
      <w:pPr>
        <w:ind w:left="2217" w:hanging="360"/>
      </w:pPr>
      <w:rPr>
        <w:rFonts w:ascii="Wingdings" w:hAnsi="Wingdings" w:hint="default"/>
      </w:rPr>
    </w:lvl>
    <w:lvl w:ilvl="3" w:tplc="040C0001" w:tentative="1">
      <w:start w:val="1"/>
      <w:numFmt w:val="bullet"/>
      <w:lvlText w:val=""/>
      <w:lvlJc w:val="left"/>
      <w:pPr>
        <w:ind w:left="2937" w:hanging="360"/>
      </w:pPr>
      <w:rPr>
        <w:rFonts w:ascii="Symbol" w:hAnsi="Symbol" w:hint="default"/>
      </w:rPr>
    </w:lvl>
    <w:lvl w:ilvl="4" w:tplc="040C0003" w:tentative="1">
      <w:start w:val="1"/>
      <w:numFmt w:val="bullet"/>
      <w:lvlText w:val="o"/>
      <w:lvlJc w:val="left"/>
      <w:pPr>
        <w:ind w:left="3657" w:hanging="360"/>
      </w:pPr>
      <w:rPr>
        <w:rFonts w:ascii="Courier New" w:hAnsi="Courier New" w:cs="Courier New" w:hint="default"/>
      </w:rPr>
    </w:lvl>
    <w:lvl w:ilvl="5" w:tplc="040C0005" w:tentative="1">
      <w:start w:val="1"/>
      <w:numFmt w:val="bullet"/>
      <w:lvlText w:val=""/>
      <w:lvlJc w:val="left"/>
      <w:pPr>
        <w:ind w:left="4377" w:hanging="360"/>
      </w:pPr>
      <w:rPr>
        <w:rFonts w:ascii="Wingdings" w:hAnsi="Wingdings" w:hint="default"/>
      </w:rPr>
    </w:lvl>
    <w:lvl w:ilvl="6" w:tplc="040C0001" w:tentative="1">
      <w:start w:val="1"/>
      <w:numFmt w:val="bullet"/>
      <w:lvlText w:val=""/>
      <w:lvlJc w:val="left"/>
      <w:pPr>
        <w:ind w:left="5097" w:hanging="360"/>
      </w:pPr>
      <w:rPr>
        <w:rFonts w:ascii="Symbol" w:hAnsi="Symbol" w:hint="default"/>
      </w:rPr>
    </w:lvl>
    <w:lvl w:ilvl="7" w:tplc="040C0003" w:tentative="1">
      <w:start w:val="1"/>
      <w:numFmt w:val="bullet"/>
      <w:lvlText w:val="o"/>
      <w:lvlJc w:val="left"/>
      <w:pPr>
        <w:ind w:left="5817" w:hanging="360"/>
      </w:pPr>
      <w:rPr>
        <w:rFonts w:ascii="Courier New" w:hAnsi="Courier New" w:cs="Courier New" w:hint="default"/>
      </w:rPr>
    </w:lvl>
    <w:lvl w:ilvl="8" w:tplc="040C0005" w:tentative="1">
      <w:start w:val="1"/>
      <w:numFmt w:val="bullet"/>
      <w:lvlText w:val=""/>
      <w:lvlJc w:val="left"/>
      <w:pPr>
        <w:ind w:left="6537" w:hanging="360"/>
      </w:pPr>
      <w:rPr>
        <w:rFonts w:ascii="Wingdings" w:hAnsi="Wingdings" w:hint="default"/>
      </w:rPr>
    </w:lvl>
  </w:abstractNum>
  <w:abstractNum w:abstractNumId="102" w15:restartNumberingAfterBreak="0">
    <w:nsid w:val="36BD36A3"/>
    <w:multiLevelType w:val="hybridMultilevel"/>
    <w:tmpl w:val="9E023120"/>
    <w:lvl w:ilvl="0" w:tplc="040C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3" w15:restartNumberingAfterBreak="0">
    <w:nsid w:val="379212D5"/>
    <w:multiLevelType w:val="hybridMultilevel"/>
    <w:tmpl w:val="626C39CA"/>
    <w:lvl w:ilvl="0" w:tplc="04090001">
      <w:start w:val="1"/>
      <w:numFmt w:val="lowerLetter"/>
      <w:lvlText w:val="%1."/>
      <w:lvlJc w:val="left"/>
      <w:pPr>
        <w:ind w:left="720" w:hanging="360"/>
      </w:pPr>
      <w:rPr>
        <w:rFonts w:hint="default"/>
      </w:rPr>
    </w:lvl>
    <w:lvl w:ilvl="1" w:tplc="04090003">
      <w:start w:val="1"/>
      <w:numFmt w:val="decimal"/>
      <w:lvlText w:val="(%2)"/>
      <w:lvlJc w:val="left"/>
      <w:pPr>
        <w:ind w:left="1440" w:hanging="360"/>
      </w:pPr>
      <w:rPr>
        <w:rFonts w:hint="default"/>
      </w:r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104" w15:restartNumberingAfterBreak="0">
    <w:nsid w:val="37BB3B56"/>
    <w:multiLevelType w:val="hybridMultilevel"/>
    <w:tmpl w:val="43B00C80"/>
    <w:lvl w:ilvl="0" w:tplc="040C000B">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05" w15:restartNumberingAfterBreak="0">
    <w:nsid w:val="37D76CE4"/>
    <w:multiLevelType w:val="hybridMultilevel"/>
    <w:tmpl w:val="65443E66"/>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6" w15:restartNumberingAfterBreak="0">
    <w:nsid w:val="37FA2469"/>
    <w:multiLevelType w:val="hybridMultilevel"/>
    <w:tmpl w:val="9476FA28"/>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7" w15:restartNumberingAfterBreak="0">
    <w:nsid w:val="382C3B2C"/>
    <w:multiLevelType w:val="hybridMultilevel"/>
    <w:tmpl w:val="AA5E5AAE"/>
    <w:lvl w:ilvl="0" w:tplc="040C000D">
      <w:start w:val="1"/>
      <w:numFmt w:val="bullet"/>
      <w:lvlText w:val=""/>
      <w:lvlJc w:val="left"/>
      <w:pPr>
        <w:ind w:left="1068" w:hanging="360"/>
      </w:pPr>
      <w:rPr>
        <w:rFonts w:ascii="Wingdings" w:hAnsi="Wingdings"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108" w15:restartNumberingAfterBreak="0">
    <w:nsid w:val="38710BFA"/>
    <w:multiLevelType w:val="hybridMultilevel"/>
    <w:tmpl w:val="C5E0B448"/>
    <w:lvl w:ilvl="0" w:tplc="08160019">
      <w:start w:val="1"/>
      <w:numFmt w:val="low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09" w15:restartNumberingAfterBreak="0">
    <w:nsid w:val="38B54188"/>
    <w:multiLevelType w:val="hybridMultilevel"/>
    <w:tmpl w:val="8378FDFC"/>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0" w15:restartNumberingAfterBreak="0">
    <w:nsid w:val="38FB3915"/>
    <w:multiLevelType w:val="hybridMultilevel"/>
    <w:tmpl w:val="40E4C3E2"/>
    <w:lvl w:ilvl="0" w:tplc="38568EC6">
      <w:start w:val="6"/>
      <w:numFmt w:val="bullet"/>
      <w:lvlText w:val="-"/>
      <w:lvlJc w:val="left"/>
      <w:pPr>
        <w:ind w:left="1068" w:hanging="360"/>
      </w:pPr>
      <w:rPr>
        <w:rFonts w:ascii="Arial" w:eastAsia="Times New Roman" w:hAnsi="Arial" w:cs="Arial"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111" w15:restartNumberingAfterBreak="0">
    <w:nsid w:val="39234333"/>
    <w:multiLevelType w:val="hybridMultilevel"/>
    <w:tmpl w:val="7FCC2258"/>
    <w:lvl w:ilvl="0" w:tplc="32380532">
      <w:start w:val="1"/>
      <w:numFmt w:val="bullet"/>
      <w:lvlText w:val="-"/>
      <w:lvlJc w:val="left"/>
      <w:pPr>
        <w:ind w:left="720" w:hanging="360"/>
      </w:pPr>
      <w:rPr>
        <w:rFonts w:ascii="Cambria" w:eastAsia="Calibri" w:hAnsi="Cambria"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12" w15:restartNumberingAfterBreak="0">
    <w:nsid w:val="39692660"/>
    <w:multiLevelType w:val="multilevel"/>
    <w:tmpl w:val="09C428AE"/>
    <w:lvl w:ilvl="0">
      <w:start w:val="1"/>
      <w:numFmt w:val="decimal"/>
      <w:pStyle w:val="Clauses"/>
      <w:lvlText w:val="%1."/>
      <w:lvlJc w:val="left"/>
      <w:pPr>
        <w:tabs>
          <w:tab w:val="num" w:pos="431"/>
        </w:tabs>
        <w:ind w:left="431" w:hanging="431"/>
      </w:pPr>
      <w:rPr>
        <w:rFonts w:cs="Times New Roman"/>
        <w:b/>
        <w:i w:val="0"/>
      </w:rPr>
    </w:lvl>
    <w:lvl w:ilvl="1">
      <w:start w:val="1"/>
      <w:numFmt w:val="decimal"/>
      <w:lvlText w:val="%1.%2"/>
      <w:lvlJc w:val="left"/>
      <w:pPr>
        <w:tabs>
          <w:tab w:val="num" w:pos="709"/>
        </w:tabs>
        <w:ind w:left="709" w:hanging="709"/>
      </w:pPr>
      <w:rPr>
        <w:rFonts w:ascii="Times New Roman" w:eastAsia="Times New Roman" w:hAnsi="Times New Roman" w:cs="Times New Roman"/>
      </w:rPr>
    </w:lvl>
    <w:lvl w:ilvl="2">
      <w:start w:val="1"/>
      <w:numFmt w:val="lowerLetter"/>
      <w:lvlText w:val="(%3)"/>
      <w:lvlJc w:val="left"/>
      <w:pPr>
        <w:tabs>
          <w:tab w:val="num" w:pos="1712"/>
        </w:tabs>
        <w:ind w:left="1418" w:hanging="426"/>
      </w:pPr>
      <w:rPr>
        <w:rFonts w:cs="Times New Roman"/>
        <w:b w:val="0"/>
        <w:i w:val="0"/>
      </w:rPr>
    </w:lvl>
    <w:lvl w:ilvl="3">
      <w:start w:val="1"/>
      <w:numFmt w:val="lowerRoman"/>
      <w:lvlText w:val="(%4)"/>
      <w:lvlJc w:val="left"/>
      <w:pPr>
        <w:tabs>
          <w:tab w:val="num" w:pos="2498"/>
        </w:tabs>
        <w:ind w:left="1843" w:hanging="425"/>
      </w:pPr>
      <w:rPr>
        <w:rFonts w:cs="Times New Roman"/>
      </w:rPr>
    </w:lvl>
    <w:lvl w:ilvl="4">
      <w:start w:val="1"/>
      <w:numFmt w:val="decimal"/>
      <w:lvlText w:val=".%5"/>
      <w:lvlJc w:val="left"/>
      <w:pPr>
        <w:tabs>
          <w:tab w:val="num" w:pos="0"/>
        </w:tabs>
      </w:pPr>
      <w:rPr>
        <w:rFonts w:cs="Times New Roman"/>
      </w:rPr>
    </w:lvl>
    <w:lvl w:ilvl="5">
      <w:start w:val="1"/>
      <w:numFmt w:val="decimal"/>
      <w:lvlText w:val=".%5.%6"/>
      <w:lvlJc w:val="left"/>
      <w:pPr>
        <w:tabs>
          <w:tab w:val="num" w:pos="0"/>
        </w:tabs>
      </w:pPr>
      <w:rPr>
        <w:rFonts w:cs="Times New Roman"/>
      </w:rPr>
    </w:lvl>
    <w:lvl w:ilvl="6">
      <w:start w:val="1"/>
      <w:numFmt w:val="decimal"/>
      <w:lvlText w:val=".%5.%6.%7"/>
      <w:lvlJc w:val="left"/>
      <w:pPr>
        <w:tabs>
          <w:tab w:val="num" w:pos="0"/>
        </w:tabs>
      </w:pPr>
      <w:rPr>
        <w:rFonts w:cs="Times New Roman"/>
      </w:rPr>
    </w:lvl>
    <w:lvl w:ilvl="7">
      <w:start w:val="1"/>
      <w:numFmt w:val="decimal"/>
      <w:lvlText w:val=".%5.%6.%7.%8"/>
      <w:lvlJc w:val="left"/>
      <w:pPr>
        <w:tabs>
          <w:tab w:val="num" w:pos="0"/>
        </w:tabs>
      </w:pPr>
      <w:rPr>
        <w:rFonts w:cs="Times New Roman"/>
      </w:rPr>
    </w:lvl>
    <w:lvl w:ilvl="8">
      <w:start w:val="1"/>
      <w:numFmt w:val="decimal"/>
      <w:lvlText w:val=".%5.%6.%7.%8.%9"/>
      <w:lvlJc w:val="left"/>
      <w:pPr>
        <w:tabs>
          <w:tab w:val="num" w:pos="0"/>
        </w:tabs>
        <w:ind w:left="4392" w:hanging="1584"/>
      </w:pPr>
      <w:rPr>
        <w:rFonts w:cs="Times New Roman"/>
      </w:rPr>
    </w:lvl>
  </w:abstractNum>
  <w:abstractNum w:abstractNumId="113" w15:restartNumberingAfterBreak="0">
    <w:nsid w:val="399E1705"/>
    <w:multiLevelType w:val="multilevel"/>
    <w:tmpl w:val="1984501A"/>
    <w:lvl w:ilvl="0">
      <w:start w:val="9"/>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14" w15:restartNumberingAfterBreak="0">
    <w:nsid w:val="39D43F72"/>
    <w:multiLevelType w:val="hybridMultilevel"/>
    <w:tmpl w:val="1D26A01A"/>
    <w:lvl w:ilvl="0" w:tplc="08160001">
      <w:start w:val="1"/>
      <w:numFmt w:val="bullet"/>
      <w:lvlText w:val=""/>
      <w:lvlJc w:val="left"/>
      <w:pPr>
        <w:ind w:left="720" w:hanging="360"/>
      </w:pPr>
      <w:rPr>
        <w:rFonts w:ascii="Symbol" w:hAnsi="Symbol" w:hint="default"/>
      </w:rPr>
    </w:lvl>
    <w:lvl w:ilvl="1" w:tplc="08160003">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15" w15:restartNumberingAfterBreak="0">
    <w:nsid w:val="3AD96206"/>
    <w:multiLevelType w:val="hybridMultilevel"/>
    <w:tmpl w:val="A2A6514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6" w15:restartNumberingAfterBreak="0">
    <w:nsid w:val="3C6D4F98"/>
    <w:multiLevelType w:val="hybridMultilevel"/>
    <w:tmpl w:val="EE8C34F8"/>
    <w:lvl w:ilvl="0" w:tplc="040C000F">
      <w:start w:val="1"/>
      <w:numFmt w:val="decimal"/>
      <w:lvlText w:val="%1."/>
      <w:lvlJc w:val="left"/>
      <w:pPr>
        <w:ind w:left="1800" w:hanging="360"/>
      </w:pPr>
      <w:rPr>
        <w:rFonts w:hint="default"/>
      </w:r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117" w15:restartNumberingAfterBreak="0">
    <w:nsid w:val="3D63528A"/>
    <w:multiLevelType w:val="hybridMultilevel"/>
    <w:tmpl w:val="2A16D4BE"/>
    <w:lvl w:ilvl="0" w:tplc="30E8B248">
      <w:start w:val="1"/>
      <w:numFmt w:val="bullet"/>
      <w:lvlText w:val=""/>
      <w:lvlJc w:val="left"/>
      <w:pPr>
        <w:ind w:left="1170" w:hanging="360"/>
      </w:pPr>
      <w:rPr>
        <w:rFonts w:ascii="Wingdings" w:hAnsi="Wingdings" w:hint="default"/>
      </w:rPr>
    </w:lvl>
    <w:lvl w:ilvl="1" w:tplc="040C0003" w:tentative="1">
      <w:start w:val="1"/>
      <w:numFmt w:val="bullet"/>
      <w:lvlText w:val="o"/>
      <w:lvlJc w:val="left"/>
      <w:pPr>
        <w:ind w:left="1890" w:hanging="360"/>
      </w:pPr>
      <w:rPr>
        <w:rFonts w:ascii="Courier New" w:hAnsi="Courier New" w:cs="Courier New" w:hint="default"/>
      </w:rPr>
    </w:lvl>
    <w:lvl w:ilvl="2" w:tplc="040C0005" w:tentative="1">
      <w:start w:val="1"/>
      <w:numFmt w:val="bullet"/>
      <w:lvlText w:val=""/>
      <w:lvlJc w:val="left"/>
      <w:pPr>
        <w:ind w:left="2610" w:hanging="360"/>
      </w:pPr>
      <w:rPr>
        <w:rFonts w:ascii="Wingdings" w:hAnsi="Wingdings" w:hint="default"/>
      </w:rPr>
    </w:lvl>
    <w:lvl w:ilvl="3" w:tplc="040C0001" w:tentative="1">
      <w:start w:val="1"/>
      <w:numFmt w:val="bullet"/>
      <w:lvlText w:val=""/>
      <w:lvlJc w:val="left"/>
      <w:pPr>
        <w:ind w:left="3330" w:hanging="360"/>
      </w:pPr>
      <w:rPr>
        <w:rFonts w:ascii="Symbol" w:hAnsi="Symbol" w:hint="default"/>
      </w:rPr>
    </w:lvl>
    <w:lvl w:ilvl="4" w:tplc="040C0003" w:tentative="1">
      <w:start w:val="1"/>
      <w:numFmt w:val="bullet"/>
      <w:lvlText w:val="o"/>
      <w:lvlJc w:val="left"/>
      <w:pPr>
        <w:ind w:left="4050" w:hanging="360"/>
      </w:pPr>
      <w:rPr>
        <w:rFonts w:ascii="Courier New" w:hAnsi="Courier New" w:cs="Courier New" w:hint="default"/>
      </w:rPr>
    </w:lvl>
    <w:lvl w:ilvl="5" w:tplc="040C0005" w:tentative="1">
      <w:start w:val="1"/>
      <w:numFmt w:val="bullet"/>
      <w:lvlText w:val=""/>
      <w:lvlJc w:val="left"/>
      <w:pPr>
        <w:ind w:left="4770" w:hanging="360"/>
      </w:pPr>
      <w:rPr>
        <w:rFonts w:ascii="Wingdings" w:hAnsi="Wingdings" w:hint="default"/>
      </w:rPr>
    </w:lvl>
    <w:lvl w:ilvl="6" w:tplc="040C0001" w:tentative="1">
      <w:start w:val="1"/>
      <w:numFmt w:val="bullet"/>
      <w:lvlText w:val=""/>
      <w:lvlJc w:val="left"/>
      <w:pPr>
        <w:ind w:left="5490" w:hanging="360"/>
      </w:pPr>
      <w:rPr>
        <w:rFonts w:ascii="Symbol" w:hAnsi="Symbol" w:hint="default"/>
      </w:rPr>
    </w:lvl>
    <w:lvl w:ilvl="7" w:tplc="040C0003" w:tentative="1">
      <w:start w:val="1"/>
      <w:numFmt w:val="bullet"/>
      <w:lvlText w:val="o"/>
      <w:lvlJc w:val="left"/>
      <w:pPr>
        <w:ind w:left="6210" w:hanging="360"/>
      </w:pPr>
      <w:rPr>
        <w:rFonts w:ascii="Courier New" w:hAnsi="Courier New" w:cs="Courier New" w:hint="default"/>
      </w:rPr>
    </w:lvl>
    <w:lvl w:ilvl="8" w:tplc="040C0005" w:tentative="1">
      <w:start w:val="1"/>
      <w:numFmt w:val="bullet"/>
      <w:lvlText w:val=""/>
      <w:lvlJc w:val="left"/>
      <w:pPr>
        <w:ind w:left="6930" w:hanging="360"/>
      </w:pPr>
      <w:rPr>
        <w:rFonts w:ascii="Wingdings" w:hAnsi="Wingdings" w:hint="default"/>
      </w:rPr>
    </w:lvl>
  </w:abstractNum>
  <w:abstractNum w:abstractNumId="118" w15:restartNumberingAfterBreak="0">
    <w:nsid w:val="3E9111A2"/>
    <w:multiLevelType w:val="hybridMultilevel"/>
    <w:tmpl w:val="18164DAA"/>
    <w:lvl w:ilvl="0" w:tplc="040C000D">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9" w15:restartNumberingAfterBreak="0">
    <w:nsid w:val="3E9D4A89"/>
    <w:multiLevelType w:val="hybridMultilevel"/>
    <w:tmpl w:val="4E00B42C"/>
    <w:lvl w:ilvl="0" w:tplc="040C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0" w15:restartNumberingAfterBreak="0">
    <w:nsid w:val="3F090048"/>
    <w:multiLevelType w:val="hybridMultilevel"/>
    <w:tmpl w:val="2A2A17CE"/>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1" w15:restartNumberingAfterBreak="0">
    <w:nsid w:val="405E2826"/>
    <w:multiLevelType w:val="hybridMultilevel"/>
    <w:tmpl w:val="CBB0DD00"/>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2" w15:restartNumberingAfterBreak="0">
    <w:nsid w:val="407F01C4"/>
    <w:multiLevelType w:val="hybridMultilevel"/>
    <w:tmpl w:val="C8329B10"/>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3" w15:restartNumberingAfterBreak="0">
    <w:nsid w:val="40AB177C"/>
    <w:multiLevelType w:val="hybridMultilevel"/>
    <w:tmpl w:val="61BE2786"/>
    <w:lvl w:ilvl="0" w:tplc="8780A158">
      <w:start w:val="1"/>
      <w:numFmt w:val="bullet"/>
      <w:lvlText w:val=""/>
      <w:lvlJc w:val="left"/>
      <w:pPr>
        <w:ind w:left="36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4" w15:restartNumberingAfterBreak="0">
    <w:nsid w:val="40AD70F8"/>
    <w:multiLevelType w:val="hybridMultilevel"/>
    <w:tmpl w:val="2F32FCCE"/>
    <w:lvl w:ilvl="0" w:tplc="08160001">
      <w:start w:val="1"/>
      <w:numFmt w:val="bullet"/>
      <w:lvlText w:val=""/>
      <w:lvlJc w:val="left"/>
      <w:pPr>
        <w:ind w:left="1428" w:hanging="360"/>
      </w:pPr>
      <w:rPr>
        <w:rFonts w:ascii="Symbol" w:hAnsi="Symbol" w:hint="default"/>
      </w:rPr>
    </w:lvl>
    <w:lvl w:ilvl="1" w:tplc="08160003" w:tentative="1">
      <w:start w:val="1"/>
      <w:numFmt w:val="bullet"/>
      <w:lvlText w:val="o"/>
      <w:lvlJc w:val="left"/>
      <w:pPr>
        <w:ind w:left="2148" w:hanging="360"/>
      </w:pPr>
      <w:rPr>
        <w:rFonts w:ascii="Courier New" w:hAnsi="Courier New" w:cs="Courier New" w:hint="default"/>
      </w:rPr>
    </w:lvl>
    <w:lvl w:ilvl="2" w:tplc="08160005" w:tentative="1">
      <w:start w:val="1"/>
      <w:numFmt w:val="bullet"/>
      <w:lvlText w:val=""/>
      <w:lvlJc w:val="left"/>
      <w:pPr>
        <w:ind w:left="2868" w:hanging="360"/>
      </w:pPr>
      <w:rPr>
        <w:rFonts w:ascii="Wingdings" w:hAnsi="Wingdings" w:hint="default"/>
      </w:rPr>
    </w:lvl>
    <w:lvl w:ilvl="3" w:tplc="08160001" w:tentative="1">
      <w:start w:val="1"/>
      <w:numFmt w:val="bullet"/>
      <w:lvlText w:val=""/>
      <w:lvlJc w:val="left"/>
      <w:pPr>
        <w:ind w:left="3588" w:hanging="360"/>
      </w:pPr>
      <w:rPr>
        <w:rFonts w:ascii="Symbol" w:hAnsi="Symbol" w:hint="default"/>
      </w:rPr>
    </w:lvl>
    <w:lvl w:ilvl="4" w:tplc="08160003" w:tentative="1">
      <w:start w:val="1"/>
      <w:numFmt w:val="bullet"/>
      <w:lvlText w:val="o"/>
      <w:lvlJc w:val="left"/>
      <w:pPr>
        <w:ind w:left="4308" w:hanging="360"/>
      </w:pPr>
      <w:rPr>
        <w:rFonts w:ascii="Courier New" w:hAnsi="Courier New" w:cs="Courier New" w:hint="default"/>
      </w:rPr>
    </w:lvl>
    <w:lvl w:ilvl="5" w:tplc="08160005" w:tentative="1">
      <w:start w:val="1"/>
      <w:numFmt w:val="bullet"/>
      <w:lvlText w:val=""/>
      <w:lvlJc w:val="left"/>
      <w:pPr>
        <w:ind w:left="5028" w:hanging="360"/>
      </w:pPr>
      <w:rPr>
        <w:rFonts w:ascii="Wingdings" w:hAnsi="Wingdings" w:hint="default"/>
      </w:rPr>
    </w:lvl>
    <w:lvl w:ilvl="6" w:tplc="08160001" w:tentative="1">
      <w:start w:val="1"/>
      <w:numFmt w:val="bullet"/>
      <w:lvlText w:val=""/>
      <w:lvlJc w:val="left"/>
      <w:pPr>
        <w:ind w:left="5748" w:hanging="360"/>
      </w:pPr>
      <w:rPr>
        <w:rFonts w:ascii="Symbol" w:hAnsi="Symbol" w:hint="default"/>
      </w:rPr>
    </w:lvl>
    <w:lvl w:ilvl="7" w:tplc="08160003" w:tentative="1">
      <w:start w:val="1"/>
      <w:numFmt w:val="bullet"/>
      <w:lvlText w:val="o"/>
      <w:lvlJc w:val="left"/>
      <w:pPr>
        <w:ind w:left="6468" w:hanging="360"/>
      </w:pPr>
      <w:rPr>
        <w:rFonts w:ascii="Courier New" w:hAnsi="Courier New" w:cs="Courier New" w:hint="default"/>
      </w:rPr>
    </w:lvl>
    <w:lvl w:ilvl="8" w:tplc="08160005" w:tentative="1">
      <w:start w:val="1"/>
      <w:numFmt w:val="bullet"/>
      <w:lvlText w:val=""/>
      <w:lvlJc w:val="left"/>
      <w:pPr>
        <w:ind w:left="7188" w:hanging="360"/>
      </w:pPr>
      <w:rPr>
        <w:rFonts w:ascii="Wingdings" w:hAnsi="Wingdings" w:hint="default"/>
      </w:rPr>
    </w:lvl>
  </w:abstractNum>
  <w:abstractNum w:abstractNumId="125" w15:restartNumberingAfterBreak="0">
    <w:nsid w:val="40F37CE6"/>
    <w:multiLevelType w:val="hybridMultilevel"/>
    <w:tmpl w:val="63C27710"/>
    <w:lvl w:ilvl="0" w:tplc="0816000D">
      <w:start w:val="1"/>
      <w:numFmt w:val="bullet"/>
      <w:lvlText w:val=""/>
      <w:lvlJc w:val="left"/>
      <w:pPr>
        <w:ind w:left="720" w:hanging="360"/>
      </w:pPr>
      <w:rPr>
        <w:rFonts w:ascii="Wingdings" w:hAnsi="Wingdings" w:hint="default"/>
      </w:rPr>
    </w:lvl>
    <w:lvl w:ilvl="1" w:tplc="08160003">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26" w15:restartNumberingAfterBreak="0">
    <w:nsid w:val="40FD5D4D"/>
    <w:multiLevelType w:val="hybridMultilevel"/>
    <w:tmpl w:val="39AA87C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7" w15:restartNumberingAfterBreak="0">
    <w:nsid w:val="424222CF"/>
    <w:multiLevelType w:val="hybridMultilevel"/>
    <w:tmpl w:val="4E48B404"/>
    <w:lvl w:ilvl="0" w:tplc="FFFFFFFF">
      <w:start w:val="1"/>
      <w:numFmt w:val="bullet"/>
      <w:lvlText w:val=""/>
      <w:lvlJc w:val="left"/>
      <w:pPr>
        <w:tabs>
          <w:tab w:val="num" w:pos="720"/>
        </w:tabs>
        <w:ind w:left="720" w:hanging="360"/>
      </w:pPr>
      <w:rPr>
        <w:rFonts w:ascii="Symbol" w:hAnsi="Symbol" w:hint="default"/>
      </w:rPr>
    </w:lvl>
    <w:lvl w:ilvl="1" w:tplc="040C0009">
      <w:start w:val="1"/>
      <w:numFmt w:val="bullet"/>
      <w:lvlText w:val=""/>
      <w:lvlJc w:val="left"/>
      <w:pPr>
        <w:tabs>
          <w:tab w:val="num" w:pos="1440"/>
        </w:tabs>
        <w:ind w:left="1440" w:hanging="360"/>
      </w:pPr>
      <w:rPr>
        <w:rFonts w:ascii="Wingdings" w:hAnsi="Wingdings" w:hint="default"/>
      </w:rPr>
    </w:lvl>
    <w:lvl w:ilvl="2" w:tplc="08B68436">
      <w:start w:val="12"/>
      <w:numFmt w:val="bullet"/>
      <w:lvlText w:val="-"/>
      <w:lvlJc w:val="left"/>
      <w:pPr>
        <w:ind w:left="2160" w:hanging="360"/>
      </w:pPr>
      <w:rPr>
        <w:rFonts w:ascii="Maiandra GD" w:eastAsia="Calibri" w:hAnsi="Maiandra GD" w:cs="Times New Roman"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28" w15:restartNumberingAfterBreak="0">
    <w:nsid w:val="42D813B9"/>
    <w:multiLevelType w:val="hybridMultilevel"/>
    <w:tmpl w:val="8604A680"/>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9" w15:restartNumberingAfterBreak="0">
    <w:nsid w:val="42EC0D63"/>
    <w:multiLevelType w:val="hybridMultilevel"/>
    <w:tmpl w:val="93AEE91E"/>
    <w:lvl w:ilvl="0" w:tplc="3C9442F8">
      <w:start w:val="3"/>
      <w:numFmt w:val="bullet"/>
      <w:lvlText w:val="-"/>
      <w:lvlJc w:val="left"/>
      <w:pPr>
        <w:tabs>
          <w:tab w:val="num" w:pos="360"/>
        </w:tabs>
        <w:ind w:left="360" w:hanging="360"/>
      </w:pPr>
      <w:rPr>
        <w:rFonts w:ascii="Arial" w:eastAsia="Times New Roman" w:hAnsi="Arial" w:cs="Arial"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start w:val="1"/>
      <w:numFmt w:val="bullet"/>
      <w:lvlText w:val="o"/>
      <w:lvlJc w:val="left"/>
      <w:pPr>
        <w:tabs>
          <w:tab w:val="num" w:pos="3600"/>
        </w:tabs>
        <w:ind w:left="3600" w:hanging="360"/>
      </w:pPr>
      <w:rPr>
        <w:rFonts w:ascii="Courier New" w:hAnsi="Courier New" w:cs="Courier New" w:hint="default"/>
      </w:rPr>
    </w:lvl>
    <w:lvl w:ilvl="5" w:tplc="040C0005">
      <w:start w:val="1"/>
      <w:numFmt w:val="bullet"/>
      <w:lvlText w:val=""/>
      <w:lvlJc w:val="left"/>
      <w:pPr>
        <w:tabs>
          <w:tab w:val="num" w:pos="4320"/>
        </w:tabs>
        <w:ind w:left="4320" w:hanging="360"/>
      </w:pPr>
      <w:rPr>
        <w:rFonts w:ascii="Wingdings" w:hAnsi="Wingdings" w:hint="default"/>
      </w:rPr>
    </w:lvl>
    <w:lvl w:ilvl="6" w:tplc="040C0001">
      <w:start w:val="1"/>
      <w:numFmt w:val="bullet"/>
      <w:lvlText w:val=""/>
      <w:lvlJc w:val="left"/>
      <w:pPr>
        <w:tabs>
          <w:tab w:val="num" w:pos="5040"/>
        </w:tabs>
        <w:ind w:left="5040" w:hanging="360"/>
      </w:pPr>
      <w:rPr>
        <w:rFonts w:ascii="Symbol" w:hAnsi="Symbol" w:hint="default"/>
      </w:rPr>
    </w:lvl>
    <w:lvl w:ilvl="7" w:tplc="040C0003">
      <w:start w:val="1"/>
      <w:numFmt w:val="bullet"/>
      <w:lvlText w:val="o"/>
      <w:lvlJc w:val="left"/>
      <w:pPr>
        <w:tabs>
          <w:tab w:val="num" w:pos="5760"/>
        </w:tabs>
        <w:ind w:left="5760" w:hanging="360"/>
      </w:pPr>
      <w:rPr>
        <w:rFonts w:ascii="Courier New" w:hAnsi="Courier New" w:cs="Courier New" w:hint="default"/>
      </w:rPr>
    </w:lvl>
    <w:lvl w:ilvl="8" w:tplc="040C0005">
      <w:start w:val="1"/>
      <w:numFmt w:val="bullet"/>
      <w:lvlText w:val=""/>
      <w:lvlJc w:val="left"/>
      <w:pPr>
        <w:tabs>
          <w:tab w:val="num" w:pos="6480"/>
        </w:tabs>
        <w:ind w:left="6480" w:hanging="360"/>
      </w:pPr>
      <w:rPr>
        <w:rFonts w:ascii="Wingdings" w:hAnsi="Wingdings" w:hint="default"/>
      </w:rPr>
    </w:lvl>
  </w:abstractNum>
  <w:abstractNum w:abstractNumId="130" w15:restartNumberingAfterBreak="0">
    <w:nsid w:val="43025E5C"/>
    <w:multiLevelType w:val="hybridMultilevel"/>
    <w:tmpl w:val="59FECC46"/>
    <w:lvl w:ilvl="0" w:tplc="040C0007">
      <w:start w:val="1"/>
      <w:numFmt w:val="bullet"/>
      <w:lvlText w:val=""/>
      <w:lvlPicBulletId w:val="0"/>
      <w:lvlJc w:val="left"/>
      <w:pPr>
        <w:ind w:left="1776" w:hanging="360"/>
      </w:pPr>
      <w:rPr>
        <w:rFonts w:ascii="Symbol" w:hAnsi="Symbol" w:hint="default"/>
      </w:rPr>
    </w:lvl>
    <w:lvl w:ilvl="1" w:tplc="040C0003">
      <w:start w:val="1"/>
      <w:numFmt w:val="bullet"/>
      <w:lvlText w:val="o"/>
      <w:lvlJc w:val="left"/>
      <w:pPr>
        <w:ind w:left="2496" w:hanging="360"/>
      </w:pPr>
      <w:rPr>
        <w:rFonts w:ascii="Courier New" w:hAnsi="Courier New" w:cs="Courier New" w:hint="default"/>
      </w:rPr>
    </w:lvl>
    <w:lvl w:ilvl="2" w:tplc="040C0005" w:tentative="1">
      <w:start w:val="1"/>
      <w:numFmt w:val="bullet"/>
      <w:lvlText w:val=""/>
      <w:lvlJc w:val="left"/>
      <w:pPr>
        <w:ind w:left="3216" w:hanging="360"/>
      </w:pPr>
      <w:rPr>
        <w:rFonts w:ascii="Wingdings" w:hAnsi="Wingdings" w:hint="default"/>
      </w:rPr>
    </w:lvl>
    <w:lvl w:ilvl="3" w:tplc="040C0001" w:tentative="1">
      <w:start w:val="1"/>
      <w:numFmt w:val="bullet"/>
      <w:lvlText w:val=""/>
      <w:lvlJc w:val="left"/>
      <w:pPr>
        <w:ind w:left="3936" w:hanging="360"/>
      </w:pPr>
      <w:rPr>
        <w:rFonts w:ascii="Symbol" w:hAnsi="Symbol" w:hint="default"/>
      </w:rPr>
    </w:lvl>
    <w:lvl w:ilvl="4" w:tplc="040C0003" w:tentative="1">
      <w:start w:val="1"/>
      <w:numFmt w:val="bullet"/>
      <w:lvlText w:val="o"/>
      <w:lvlJc w:val="left"/>
      <w:pPr>
        <w:ind w:left="4656" w:hanging="360"/>
      </w:pPr>
      <w:rPr>
        <w:rFonts w:ascii="Courier New" w:hAnsi="Courier New" w:cs="Courier New" w:hint="default"/>
      </w:rPr>
    </w:lvl>
    <w:lvl w:ilvl="5" w:tplc="040C0005" w:tentative="1">
      <w:start w:val="1"/>
      <w:numFmt w:val="bullet"/>
      <w:lvlText w:val=""/>
      <w:lvlJc w:val="left"/>
      <w:pPr>
        <w:ind w:left="5376" w:hanging="360"/>
      </w:pPr>
      <w:rPr>
        <w:rFonts w:ascii="Wingdings" w:hAnsi="Wingdings" w:hint="default"/>
      </w:rPr>
    </w:lvl>
    <w:lvl w:ilvl="6" w:tplc="040C0001" w:tentative="1">
      <w:start w:val="1"/>
      <w:numFmt w:val="bullet"/>
      <w:lvlText w:val=""/>
      <w:lvlJc w:val="left"/>
      <w:pPr>
        <w:ind w:left="6096" w:hanging="360"/>
      </w:pPr>
      <w:rPr>
        <w:rFonts w:ascii="Symbol" w:hAnsi="Symbol" w:hint="default"/>
      </w:rPr>
    </w:lvl>
    <w:lvl w:ilvl="7" w:tplc="040C0003" w:tentative="1">
      <w:start w:val="1"/>
      <w:numFmt w:val="bullet"/>
      <w:lvlText w:val="o"/>
      <w:lvlJc w:val="left"/>
      <w:pPr>
        <w:ind w:left="6816" w:hanging="360"/>
      </w:pPr>
      <w:rPr>
        <w:rFonts w:ascii="Courier New" w:hAnsi="Courier New" w:cs="Courier New" w:hint="default"/>
      </w:rPr>
    </w:lvl>
    <w:lvl w:ilvl="8" w:tplc="040C0005" w:tentative="1">
      <w:start w:val="1"/>
      <w:numFmt w:val="bullet"/>
      <w:lvlText w:val=""/>
      <w:lvlJc w:val="left"/>
      <w:pPr>
        <w:ind w:left="7536" w:hanging="360"/>
      </w:pPr>
      <w:rPr>
        <w:rFonts w:ascii="Wingdings" w:hAnsi="Wingdings" w:hint="default"/>
      </w:rPr>
    </w:lvl>
  </w:abstractNum>
  <w:abstractNum w:abstractNumId="131" w15:restartNumberingAfterBreak="0">
    <w:nsid w:val="43C34FA6"/>
    <w:multiLevelType w:val="multilevel"/>
    <w:tmpl w:val="41141704"/>
    <w:lvl w:ilvl="0">
      <w:start w:val="1"/>
      <w:numFmt w:val="decimal"/>
      <w:pStyle w:val="Header1-Clauses"/>
      <w:lvlText w:val="%1."/>
      <w:lvlJc w:val="left"/>
      <w:pPr>
        <w:ind w:left="360" w:hanging="360"/>
      </w:pPr>
      <w:rPr>
        <w:rFonts w:hint="default"/>
      </w:rPr>
    </w:lvl>
    <w:lvl w:ilvl="1">
      <w:start w:val="1"/>
      <w:numFmt w:val="decimal"/>
      <w:pStyle w:val="Header1-Clauses"/>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2" w15:restartNumberingAfterBreak="0">
    <w:nsid w:val="442F6F4A"/>
    <w:multiLevelType w:val="multilevel"/>
    <w:tmpl w:val="E558EE02"/>
    <w:lvl w:ilvl="0">
      <w:start w:val="2"/>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3" w15:restartNumberingAfterBreak="0">
    <w:nsid w:val="444F502E"/>
    <w:multiLevelType w:val="hybridMultilevel"/>
    <w:tmpl w:val="61323DEE"/>
    <w:lvl w:ilvl="0" w:tplc="08160001">
      <w:start w:val="1"/>
      <w:numFmt w:val="bullet"/>
      <w:lvlText w:val=""/>
      <w:lvlJc w:val="left"/>
      <w:pPr>
        <w:ind w:left="1428" w:hanging="360"/>
      </w:pPr>
      <w:rPr>
        <w:rFonts w:ascii="Symbol" w:hAnsi="Symbol" w:hint="default"/>
      </w:rPr>
    </w:lvl>
    <w:lvl w:ilvl="1" w:tplc="08160003" w:tentative="1">
      <w:start w:val="1"/>
      <w:numFmt w:val="bullet"/>
      <w:lvlText w:val="o"/>
      <w:lvlJc w:val="left"/>
      <w:pPr>
        <w:ind w:left="2148" w:hanging="360"/>
      </w:pPr>
      <w:rPr>
        <w:rFonts w:ascii="Courier New" w:hAnsi="Courier New" w:cs="Courier New" w:hint="default"/>
      </w:rPr>
    </w:lvl>
    <w:lvl w:ilvl="2" w:tplc="08160005" w:tentative="1">
      <w:start w:val="1"/>
      <w:numFmt w:val="bullet"/>
      <w:lvlText w:val=""/>
      <w:lvlJc w:val="left"/>
      <w:pPr>
        <w:ind w:left="2868" w:hanging="360"/>
      </w:pPr>
      <w:rPr>
        <w:rFonts w:ascii="Wingdings" w:hAnsi="Wingdings" w:hint="default"/>
      </w:rPr>
    </w:lvl>
    <w:lvl w:ilvl="3" w:tplc="08160001" w:tentative="1">
      <w:start w:val="1"/>
      <w:numFmt w:val="bullet"/>
      <w:lvlText w:val=""/>
      <w:lvlJc w:val="left"/>
      <w:pPr>
        <w:ind w:left="3588" w:hanging="360"/>
      </w:pPr>
      <w:rPr>
        <w:rFonts w:ascii="Symbol" w:hAnsi="Symbol" w:hint="default"/>
      </w:rPr>
    </w:lvl>
    <w:lvl w:ilvl="4" w:tplc="08160003" w:tentative="1">
      <w:start w:val="1"/>
      <w:numFmt w:val="bullet"/>
      <w:lvlText w:val="o"/>
      <w:lvlJc w:val="left"/>
      <w:pPr>
        <w:ind w:left="4308" w:hanging="360"/>
      </w:pPr>
      <w:rPr>
        <w:rFonts w:ascii="Courier New" w:hAnsi="Courier New" w:cs="Courier New" w:hint="default"/>
      </w:rPr>
    </w:lvl>
    <w:lvl w:ilvl="5" w:tplc="08160005" w:tentative="1">
      <w:start w:val="1"/>
      <w:numFmt w:val="bullet"/>
      <w:lvlText w:val=""/>
      <w:lvlJc w:val="left"/>
      <w:pPr>
        <w:ind w:left="5028" w:hanging="360"/>
      </w:pPr>
      <w:rPr>
        <w:rFonts w:ascii="Wingdings" w:hAnsi="Wingdings" w:hint="default"/>
      </w:rPr>
    </w:lvl>
    <w:lvl w:ilvl="6" w:tplc="08160001" w:tentative="1">
      <w:start w:val="1"/>
      <w:numFmt w:val="bullet"/>
      <w:lvlText w:val=""/>
      <w:lvlJc w:val="left"/>
      <w:pPr>
        <w:ind w:left="5748" w:hanging="360"/>
      </w:pPr>
      <w:rPr>
        <w:rFonts w:ascii="Symbol" w:hAnsi="Symbol" w:hint="default"/>
      </w:rPr>
    </w:lvl>
    <w:lvl w:ilvl="7" w:tplc="08160003" w:tentative="1">
      <w:start w:val="1"/>
      <w:numFmt w:val="bullet"/>
      <w:lvlText w:val="o"/>
      <w:lvlJc w:val="left"/>
      <w:pPr>
        <w:ind w:left="6468" w:hanging="360"/>
      </w:pPr>
      <w:rPr>
        <w:rFonts w:ascii="Courier New" w:hAnsi="Courier New" w:cs="Courier New" w:hint="default"/>
      </w:rPr>
    </w:lvl>
    <w:lvl w:ilvl="8" w:tplc="08160005" w:tentative="1">
      <w:start w:val="1"/>
      <w:numFmt w:val="bullet"/>
      <w:lvlText w:val=""/>
      <w:lvlJc w:val="left"/>
      <w:pPr>
        <w:ind w:left="7188" w:hanging="360"/>
      </w:pPr>
      <w:rPr>
        <w:rFonts w:ascii="Wingdings" w:hAnsi="Wingdings" w:hint="default"/>
      </w:rPr>
    </w:lvl>
  </w:abstractNum>
  <w:abstractNum w:abstractNumId="134" w15:restartNumberingAfterBreak="0">
    <w:nsid w:val="46E86435"/>
    <w:multiLevelType w:val="hybridMultilevel"/>
    <w:tmpl w:val="16E8316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5" w15:restartNumberingAfterBreak="0">
    <w:nsid w:val="47802C46"/>
    <w:multiLevelType w:val="hybridMultilevel"/>
    <w:tmpl w:val="F304745C"/>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6" w15:restartNumberingAfterBreak="0">
    <w:nsid w:val="47A13818"/>
    <w:multiLevelType w:val="hybridMultilevel"/>
    <w:tmpl w:val="5DEED3F6"/>
    <w:lvl w:ilvl="0" w:tplc="040C000B">
      <w:start w:val="1"/>
      <w:numFmt w:val="bullet"/>
      <w:lvlText w:val=""/>
      <w:lvlJc w:val="left"/>
      <w:pPr>
        <w:ind w:left="1485" w:hanging="360"/>
      </w:pPr>
      <w:rPr>
        <w:rFonts w:ascii="Wingdings" w:hAnsi="Wingdings" w:hint="default"/>
      </w:rPr>
    </w:lvl>
    <w:lvl w:ilvl="1" w:tplc="040C0003" w:tentative="1">
      <w:start w:val="1"/>
      <w:numFmt w:val="bullet"/>
      <w:lvlText w:val="o"/>
      <w:lvlJc w:val="left"/>
      <w:pPr>
        <w:ind w:left="2205" w:hanging="360"/>
      </w:pPr>
      <w:rPr>
        <w:rFonts w:ascii="Courier New" w:hAnsi="Courier New" w:cs="Courier New" w:hint="default"/>
      </w:rPr>
    </w:lvl>
    <w:lvl w:ilvl="2" w:tplc="040C0005" w:tentative="1">
      <w:start w:val="1"/>
      <w:numFmt w:val="bullet"/>
      <w:lvlText w:val=""/>
      <w:lvlJc w:val="left"/>
      <w:pPr>
        <w:ind w:left="2925" w:hanging="360"/>
      </w:pPr>
      <w:rPr>
        <w:rFonts w:ascii="Wingdings" w:hAnsi="Wingdings" w:hint="default"/>
      </w:rPr>
    </w:lvl>
    <w:lvl w:ilvl="3" w:tplc="040C0001" w:tentative="1">
      <w:start w:val="1"/>
      <w:numFmt w:val="bullet"/>
      <w:lvlText w:val=""/>
      <w:lvlJc w:val="left"/>
      <w:pPr>
        <w:ind w:left="3645" w:hanging="360"/>
      </w:pPr>
      <w:rPr>
        <w:rFonts w:ascii="Symbol" w:hAnsi="Symbol" w:hint="default"/>
      </w:rPr>
    </w:lvl>
    <w:lvl w:ilvl="4" w:tplc="040C0003" w:tentative="1">
      <w:start w:val="1"/>
      <w:numFmt w:val="bullet"/>
      <w:lvlText w:val="o"/>
      <w:lvlJc w:val="left"/>
      <w:pPr>
        <w:ind w:left="4365" w:hanging="360"/>
      </w:pPr>
      <w:rPr>
        <w:rFonts w:ascii="Courier New" w:hAnsi="Courier New" w:cs="Courier New" w:hint="default"/>
      </w:rPr>
    </w:lvl>
    <w:lvl w:ilvl="5" w:tplc="040C0005" w:tentative="1">
      <w:start w:val="1"/>
      <w:numFmt w:val="bullet"/>
      <w:lvlText w:val=""/>
      <w:lvlJc w:val="left"/>
      <w:pPr>
        <w:ind w:left="5085" w:hanging="360"/>
      </w:pPr>
      <w:rPr>
        <w:rFonts w:ascii="Wingdings" w:hAnsi="Wingdings" w:hint="default"/>
      </w:rPr>
    </w:lvl>
    <w:lvl w:ilvl="6" w:tplc="040C0001" w:tentative="1">
      <w:start w:val="1"/>
      <w:numFmt w:val="bullet"/>
      <w:lvlText w:val=""/>
      <w:lvlJc w:val="left"/>
      <w:pPr>
        <w:ind w:left="5805" w:hanging="360"/>
      </w:pPr>
      <w:rPr>
        <w:rFonts w:ascii="Symbol" w:hAnsi="Symbol" w:hint="default"/>
      </w:rPr>
    </w:lvl>
    <w:lvl w:ilvl="7" w:tplc="040C0003" w:tentative="1">
      <w:start w:val="1"/>
      <w:numFmt w:val="bullet"/>
      <w:lvlText w:val="o"/>
      <w:lvlJc w:val="left"/>
      <w:pPr>
        <w:ind w:left="6525" w:hanging="360"/>
      </w:pPr>
      <w:rPr>
        <w:rFonts w:ascii="Courier New" w:hAnsi="Courier New" w:cs="Courier New" w:hint="default"/>
      </w:rPr>
    </w:lvl>
    <w:lvl w:ilvl="8" w:tplc="040C0005" w:tentative="1">
      <w:start w:val="1"/>
      <w:numFmt w:val="bullet"/>
      <w:lvlText w:val=""/>
      <w:lvlJc w:val="left"/>
      <w:pPr>
        <w:ind w:left="7245" w:hanging="360"/>
      </w:pPr>
      <w:rPr>
        <w:rFonts w:ascii="Wingdings" w:hAnsi="Wingdings" w:hint="default"/>
      </w:rPr>
    </w:lvl>
  </w:abstractNum>
  <w:abstractNum w:abstractNumId="137" w15:restartNumberingAfterBreak="0">
    <w:nsid w:val="47B2466D"/>
    <w:multiLevelType w:val="hybridMultilevel"/>
    <w:tmpl w:val="5FC45ADC"/>
    <w:lvl w:ilvl="0" w:tplc="3C2EFEA2">
      <w:numFmt w:val="bullet"/>
      <w:lvlText w:val="•"/>
      <w:lvlJc w:val="left"/>
      <w:pPr>
        <w:ind w:left="719" w:hanging="360"/>
      </w:pPr>
      <w:rPr>
        <w:rFonts w:ascii="Calibri" w:eastAsia="Calibri" w:hAnsi="Calibri" w:cs="Calibri" w:hint="default"/>
        <w:sz w:val="16"/>
      </w:rPr>
    </w:lvl>
    <w:lvl w:ilvl="1" w:tplc="08160003" w:tentative="1">
      <w:start w:val="1"/>
      <w:numFmt w:val="bullet"/>
      <w:lvlText w:val="o"/>
      <w:lvlJc w:val="left"/>
      <w:pPr>
        <w:ind w:left="1439" w:hanging="360"/>
      </w:pPr>
      <w:rPr>
        <w:rFonts w:ascii="Courier New" w:hAnsi="Courier New" w:cs="Courier New" w:hint="default"/>
      </w:rPr>
    </w:lvl>
    <w:lvl w:ilvl="2" w:tplc="08160005" w:tentative="1">
      <w:start w:val="1"/>
      <w:numFmt w:val="bullet"/>
      <w:lvlText w:val=""/>
      <w:lvlJc w:val="left"/>
      <w:pPr>
        <w:ind w:left="2159" w:hanging="360"/>
      </w:pPr>
      <w:rPr>
        <w:rFonts w:ascii="Wingdings" w:hAnsi="Wingdings" w:hint="default"/>
      </w:rPr>
    </w:lvl>
    <w:lvl w:ilvl="3" w:tplc="08160001" w:tentative="1">
      <w:start w:val="1"/>
      <w:numFmt w:val="bullet"/>
      <w:lvlText w:val=""/>
      <w:lvlJc w:val="left"/>
      <w:pPr>
        <w:ind w:left="2879" w:hanging="360"/>
      </w:pPr>
      <w:rPr>
        <w:rFonts w:ascii="Symbol" w:hAnsi="Symbol" w:hint="default"/>
      </w:rPr>
    </w:lvl>
    <w:lvl w:ilvl="4" w:tplc="08160003" w:tentative="1">
      <w:start w:val="1"/>
      <w:numFmt w:val="bullet"/>
      <w:lvlText w:val="o"/>
      <w:lvlJc w:val="left"/>
      <w:pPr>
        <w:ind w:left="3599" w:hanging="360"/>
      </w:pPr>
      <w:rPr>
        <w:rFonts w:ascii="Courier New" w:hAnsi="Courier New" w:cs="Courier New" w:hint="default"/>
      </w:rPr>
    </w:lvl>
    <w:lvl w:ilvl="5" w:tplc="08160005" w:tentative="1">
      <w:start w:val="1"/>
      <w:numFmt w:val="bullet"/>
      <w:lvlText w:val=""/>
      <w:lvlJc w:val="left"/>
      <w:pPr>
        <w:ind w:left="4319" w:hanging="360"/>
      </w:pPr>
      <w:rPr>
        <w:rFonts w:ascii="Wingdings" w:hAnsi="Wingdings" w:hint="default"/>
      </w:rPr>
    </w:lvl>
    <w:lvl w:ilvl="6" w:tplc="08160001" w:tentative="1">
      <w:start w:val="1"/>
      <w:numFmt w:val="bullet"/>
      <w:lvlText w:val=""/>
      <w:lvlJc w:val="left"/>
      <w:pPr>
        <w:ind w:left="5039" w:hanging="360"/>
      </w:pPr>
      <w:rPr>
        <w:rFonts w:ascii="Symbol" w:hAnsi="Symbol" w:hint="default"/>
      </w:rPr>
    </w:lvl>
    <w:lvl w:ilvl="7" w:tplc="08160003" w:tentative="1">
      <w:start w:val="1"/>
      <w:numFmt w:val="bullet"/>
      <w:lvlText w:val="o"/>
      <w:lvlJc w:val="left"/>
      <w:pPr>
        <w:ind w:left="5759" w:hanging="360"/>
      </w:pPr>
      <w:rPr>
        <w:rFonts w:ascii="Courier New" w:hAnsi="Courier New" w:cs="Courier New" w:hint="default"/>
      </w:rPr>
    </w:lvl>
    <w:lvl w:ilvl="8" w:tplc="08160005" w:tentative="1">
      <w:start w:val="1"/>
      <w:numFmt w:val="bullet"/>
      <w:lvlText w:val=""/>
      <w:lvlJc w:val="left"/>
      <w:pPr>
        <w:ind w:left="6479" w:hanging="360"/>
      </w:pPr>
      <w:rPr>
        <w:rFonts w:ascii="Wingdings" w:hAnsi="Wingdings" w:hint="default"/>
      </w:rPr>
    </w:lvl>
  </w:abstractNum>
  <w:abstractNum w:abstractNumId="138" w15:restartNumberingAfterBreak="0">
    <w:nsid w:val="47F5390A"/>
    <w:multiLevelType w:val="hybridMultilevel"/>
    <w:tmpl w:val="E42E6F2A"/>
    <w:lvl w:ilvl="0" w:tplc="2534994E">
      <w:numFmt w:val="bullet"/>
      <w:lvlText w:val="-"/>
      <w:lvlJc w:val="left"/>
      <w:pPr>
        <w:ind w:left="440" w:hanging="360"/>
      </w:pPr>
      <w:rPr>
        <w:rFonts w:ascii="Times New Roman" w:eastAsia="Times New Roman" w:hAnsi="Times New Roman" w:cs="Times New Roman" w:hint="default"/>
      </w:rPr>
    </w:lvl>
    <w:lvl w:ilvl="1" w:tplc="040C0003" w:tentative="1">
      <w:start w:val="1"/>
      <w:numFmt w:val="bullet"/>
      <w:lvlText w:val="o"/>
      <w:lvlJc w:val="left"/>
      <w:pPr>
        <w:ind w:left="1160" w:hanging="360"/>
      </w:pPr>
      <w:rPr>
        <w:rFonts w:ascii="Courier New" w:hAnsi="Courier New" w:cs="Courier New" w:hint="default"/>
      </w:rPr>
    </w:lvl>
    <w:lvl w:ilvl="2" w:tplc="040C0005" w:tentative="1">
      <w:start w:val="1"/>
      <w:numFmt w:val="bullet"/>
      <w:lvlText w:val=""/>
      <w:lvlJc w:val="left"/>
      <w:pPr>
        <w:ind w:left="1880" w:hanging="360"/>
      </w:pPr>
      <w:rPr>
        <w:rFonts w:ascii="Wingdings" w:hAnsi="Wingdings" w:hint="default"/>
      </w:rPr>
    </w:lvl>
    <w:lvl w:ilvl="3" w:tplc="040C0001" w:tentative="1">
      <w:start w:val="1"/>
      <w:numFmt w:val="bullet"/>
      <w:lvlText w:val=""/>
      <w:lvlJc w:val="left"/>
      <w:pPr>
        <w:ind w:left="2600" w:hanging="360"/>
      </w:pPr>
      <w:rPr>
        <w:rFonts w:ascii="Symbol" w:hAnsi="Symbol" w:hint="default"/>
      </w:rPr>
    </w:lvl>
    <w:lvl w:ilvl="4" w:tplc="040C0003" w:tentative="1">
      <w:start w:val="1"/>
      <w:numFmt w:val="bullet"/>
      <w:lvlText w:val="o"/>
      <w:lvlJc w:val="left"/>
      <w:pPr>
        <w:ind w:left="3320" w:hanging="360"/>
      </w:pPr>
      <w:rPr>
        <w:rFonts w:ascii="Courier New" w:hAnsi="Courier New" w:cs="Courier New" w:hint="default"/>
      </w:rPr>
    </w:lvl>
    <w:lvl w:ilvl="5" w:tplc="040C0005" w:tentative="1">
      <w:start w:val="1"/>
      <w:numFmt w:val="bullet"/>
      <w:lvlText w:val=""/>
      <w:lvlJc w:val="left"/>
      <w:pPr>
        <w:ind w:left="4040" w:hanging="360"/>
      </w:pPr>
      <w:rPr>
        <w:rFonts w:ascii="Wingdings" w:hAnsi="Wingdings" w:hint="default"/>
      </w:rPr>
    </w:lvl>
    <w:lvl w:ilvl="6" w:tplc="040C0001" w:tentative="1">
      <w:start w:val="1"/>
      <w:numFmt w:val="bullet"/>
      <w:lvlText w:val=""/>
      <w:lvlJc w:val="left"/>
      <w:pPr>
        <w:ind w:left="4760" w:hanging="360"/>
      </w:pPr>
      <w:rPr>
        <w:rFonts w:ascii="Symbol" w:hAnsi="Symbol" w:hint="default"/>
      </w:rPr>
    </w:lvl>
    <w:lvl w:ilvl="7" w:tplc="040C0003" w:tentative="1">
      <w:start w:val="1"/>
      <w:numFmt w:val="bullet"/>
      <w:lvlText w:val="o"/>
      <w:lvlJc w:val="left"/>
      <w:pPr>
        <w:ind w:left="5480" w:hanging="360"/>
      </w:pPr>
      <w:rPr>
        <w:rFonts w:ascii="Courier New" w:hAnsi="Courier New" w:cs="Courier New" w:hint="default"/>
      </w:rPr>
    </w:lvl>
    <w:lvl w:ilvl="8" w:tplc="040C0005" w:tentative="1">
      <w:start w:val="1"/>
      <w:numFmt w:val="bullet"/>
      <w:lvlText w:val=""/>
      <w:lvlJc w:val="left"/>
      <w:pPr>
        <w:ind w:left="6200" w:hanging="360"/>
      </w:pPr>
      <w:rPr>
        <w:rFonts w:ascii="Wingdings" w:hAnsi="Wingdings" w:hint="default"/>
      </w:rPr>
    </w:lvl>
  </w:abstractNum>
  <w:abstractNum w:abstractNumId="139" w15:restartNumberingAfterBreak="0">
    <w:nsid w:val="48064BD5"/>
    <w:multiLevelType w:val="hybridMultilevel"/>
    <w:tmpl w:val="F926EDEA"/>
    <w:lvl w:ilvl="0" w:tplc="040C000B">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0" w15:restartNumberingAfterBreak="0">
    <w:nsid w:val="48291FE5"/>
    <w:multiLevelType w:val="hybridMultilevel"/>
    <w:tmpl w:val="9100467C"/>
    <w:lvl w:ilvl="0" w:tplc="040C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1" w15:restartNumberingAfterBreak="0">
    <w:nsid w:val="484E1891"/>
    <w:multiLevelType w:val="hybridMultilevel"/>
    <w:tmpl w:val="318AC1EC"/>
    <w:lvl w:ilvl="0" w:tplc="040C000B">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42" w15:restartNumberingAfterBreak="0">
    <w:nsid w:val="488E331C"/>
    <w:multiLevelType w:val="hybridMultilevel"/>
    <w:tmpl w:val="F26A953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3" w15:restartNumberingAfterBreak="0">
    <w:nsid w:val="48AB7B7D"/>
    <w:multiLevelType w:val="hybridMultilevel"/>
    <w:tmpl w:val="874AC106"/>
    <w:lvl w:ilvl="0" w:tplc="040C000B">
      <w:start w:val="1"/>
      <w:numFmt w:val="bullet"/>
      <w:lvlText w:val=""/>
      <w:lvlJc w:val="left"/>
      <w:pPr>
        <w:ind w:left="2520" w:hanging="360"/>
      </w:pPr>
      <w:rPr>
        <w:rFonts w:ascii="Wingdings" w:hAnsi="Wingdings" w:hint="default"/>
      </w:rPr>
    </w:lvl>
    <w:lvl w:ilvl="1" w:tplc="040C0003" w:tentative="1">
      <w:start w:val="1"/>
      <w:numFmt w:val="bullet"/>
      <w:lvlText w:val="o"/>
      <w:lvlJc w:val="left"/>
      <w:pPr>
        <w:ind w:left="3240" w:hanging="360"/>
      </w:pPr>
      <w:rPr>
        <w:rFonts w:ascii="Courier New" w:hAnsi="Courier New" w:cs="Courier New" w:hint="default"/>
      </w:rPr>
    </w:lvl>
    <w:lvl w:ilvl="2" w:tplc="040C0005" w:tentative="1">
      <w:start w:val="1"/>
      <w:numFmt w:val="bullet"/>
      <w:lvlText w:val=""/>
      <w:lvlJc w:val="left"/>
      <w:pPr>
        <w:ind w:left="3960" w:hanging="360"/>
      </w:pPr>
      <w:rPr>
        <w:rFonts w:ascii="Wingdings" w:hAnsi="Wingdings" w:hint="default"/>
      </w:rPr>
    </w:lvl>
    <w:lvl w:ilvl="3" w:tplc="040C0001" w:tentative="1">
      <w:start w:val="1"/>
      <w:numFmt w:val="bullet"/>
      <w:lvlText w:val=""/>
      <w:lvlJc w:val="left"/>
      <w:pPr>
        <w:ind w:left="4680" w:hanging="360"/>
      </w:pPr>
      <w:rPr>
        <w:rFonts w:ascii="Symbol" w:hAnsi="Symbol" w:hint="default"/>
      </w:rPr>
    </w:lvl>
    <w:lvl w:ilvl="4" w:tplc="040C0003" w:tentative="1">
      <w:start w:val="1"/>
      <w:numFmt w:val="bullet"/>
      <w:lvlText w:val="o"/>
      <w:lvlJc w:val="left"/>
      <w:pPr>
        <w:ind w:left="5400" w:hanging="360"/>
      </w:pPr>
      <w:rPr>
        <w:rFonts w:ascii="Courier New" w:hAnsi="Courier New" w:cs="Courier New" w:hint="default"/>
      </w:rPr>
    </w:lvl>
    <w:lvl w:ilvl="5" w:tplc="040C0005" w:tentative="1">
      <w:start w:val="1"/>
      <w:numFmt w:val="bullet"/>
      <w:lvlText w:val=""/>
      <w:lvlJc w:val="left"/>
      <w:pPr>
        <w:ind w:left="6120" w:hanging="360"/>
      </w:pPr>
      <w:rPr>
        <w:rFonts w:ascii="Wingdings" w:hAnsi="Wingdings" w:hint="default"/>
      </w:rPr>
    </w:lvl>
    <w:lvl w:ilvl="6" w:tplc="040C0001" w:tentative="1">
      <w:start w:val="1"/>
      <w:numFmt w:val="bullet"/>
      <w:lvlText w:val=""/>
      <w:lvlJc w:val="left"/>
      <w:pPr>
        <w:ind w:left="6840" w:hanging="360"/>
      </w:pPr>
      <w:rPr>
        <w:rFonts w:ascii="Symbol" w:hAnsi="Symbol" w:hint="default"/>
      </w:rPr>
    </w:lvl>
    <w:lvl w:ilvl="7" w:tplc="040C0003" w:tentative="1">
      <w:start w:val="1"/>
      <w:numFmt w:val="bullet"/>
      <w:lvlText w:val="o"/>
      <w:lvlJc w:val="left"/>
      <w:pPr>
        <w:ind w:left="7560" w:hanging="360"/>
      </w:pPr>
      <w:rPr>
        <w:rFonts w:ascii="Courier New" w:hAnsi="Courier New" w:cs="Courier New" w:hint="default"/>
      </w:rPr>
    </w:lvl>
    <w:lvl w:ilvl="8" w:tplc="040C0005" w:tentative="1">
      <w:start w:val="1"/>
      <w:numFmt w:val="bullet"/>
      <w:lvlText w:val=""/>
      <w:lvlJc w:val="left"/>
      <w:pPr>
        <w:ind w:left="8280" w:hanging="360"/>
      </w:pPr>
      <w:rPr>
        <w:rFonts w:ascii="Wingdings" w:hAnsi="Wingdings" w:hint="default"/>
      </w:rPr>
    </w:lvl>
  </w:abstractNum>
  <w:abstractNum w:abstractNumId="144" w15:restartNumberingAfterBreak="0">
    <w:nsid w:val="4A696AC7"/>
    <w:multiLevelType w:val="hybridMultilevel"/>
    <w:tmpl w:val="3BB2A1B6"/>
    <w:lvl w:ilvl="0" w:tplc="2A845E44">
      <w:start w:val="1"/>
      <w:numFmt w:val="decimal"/>
      <w:pStyle w:val="Bullet"/>
      <w:lvlText w:val="%1."/>
      <w:lvlJc w:val="left"/>
      <w:pPr>
        <w:ind w:left="720" w:hanging="360"/>
      </w:pPr>
      <w:rPr>
        <w:lang w:val="fr-C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5" w15:restartNumberingAfterBreak="0">
    <w:nsid w:val="4C4B2AEA"/>
    <w:multiLevelType w:val="multilevel"/>
    <w:tmpl w:val="BA7E1DB4"/>
    <w:lvl w:ilvl="0">
      <w:start w:val="1"/>
      <w:numFmt w:val="lowerLetter"/>
      <w:pStyle w:val="ListAlpha2"/>
      <w:lvlText w:val="(%1)"/>
      <w:lvlJc w:val="left"/>
      <w:pPr>
        <w:tabs>
          <w:tab w:val="num" w:pos="624"/>
        </w:tabs>
        <w:ind w:left="624" w:hanging="624"/>
      </w:pPr>
      <w:rPr>
        <w:rFonts w:ascii="CG Times" w:hAnsi="CG Times" w:cs="Times New Roman"/>
        <w:b w:val="0"/>
        <w:i w:val="0"/>
        <w:sz w:val="20"/>
      </w:rPr>
    </w:lvl>
    <w:lvl w:ilvl="1">
      <w:start w:val="1"/>
      <w:numFmt w:val="lowerLetter"/>
      <w:pStyle w:val="ListAlpha2"/>
      <w:lvlText w:val="(%2)"/>
      <w:lvlJc w:val="left"/>
      <w:pPr>
        <w:tabs>
          <w:tab w:val="num" w:pos="1237"/>
        </w:tabs>
        <w:ind w:left="1237" w:hanging="793"/>
      </w:pPr>
      <w:rPr>
        <w:rFonts w:ascii="Times New Roman" w:eastAsia="Times New Roman" w:hAnsi="Times New Roman" w:cs="Times New Roman" w:hint="default"/>
        <w:b w:val="0"/>
        <w:i w:val="0"/>
        <w:sz w:val="22"/>
        <w:szCs w:val="22"/>
      </w:rPr>
    </w:lvl>
    <w:lvl w:ilvl="2">
      <w:start w:val="1"/>
      <w:numFmt w:val="lowerLetter"/>
      <w:lvlText w:val="(%3)"/>
      <w:lvlJc w:val="left"/>
      <w:pPr>
        <w:tabs>
          <w:tab w:val="num" w:pos="1748"/>
        </w:tabs>
        <w:ind w:left="1748" w:hanging="511"/>
      </w:pPr>
      <w:rPr>
        <w:rFonts w:cs="Times New Roman"/>
        <w:b w:val="0"/>
        <w:i w:val="0"/>
        <w:sz w:val="20"/>
      </w:rPr>
    </w:lvl>
    <w:lvl w:ilvl="3">
      <w:start w:val="1"/>
      <w:numFmt w:val="lowerLetter"/>
      <w:lvlText w:val="(%4)"/>
      <w:lvlJc w:val="left"/>
      <w:pPr>
        <w:tabs>
          <w:tab w:val="num" w:pos="1748"/>
        </w:tabs>
        <w:ind w:left="1748" w:hanging="511"/>
      </w:pPr>
      <w:rPr>
        <w:rFonts w:cs="Times New Roman"/>
        <w:b w:val="0"/>
        <w:i w:val="0"/>
        <w:sz w:val="20"/>
      </w:rPr>
    </w:lvl>
    <w:lvl w:ilvl="4">
      <w:start w:val="1"/>
      <w:numFmt w:val="lowerRoman"/>
      <w:lvlText w:val="(%5)"/>
      <w:lvlJc w:val="left"/>
      <w:pPr>
        <w:tabs>
          <w:tab w:val="num" w:pos="2258"/>
        </w:tabs>
        <w:ind w:left="2258" w:hanging="510"/>
      </w:pPr>
      <w:rPr>
        <w:rFonts w:cs="Times New Roman"/>
        <w:b w:val="0"/>
        <w:i w:val="0"/>
        <w:sz w:val="22"/>
        <w:szCs w:val="22"/>
      </w:rPr>
    </w:lvl>
    <w:lvl w:ilvl="5">
      <w:start w:val="1"/>
      <w:numFmt w:val="decimal"/>
      <w:lvlText w:val="(%6)"/>
      <w:lvlJc w:val="left"/>
      <w:pPr>
        <w:tabs>
          <w:tab w:val="num" w:pos="2768"/>
        </w:tabs>
        <w:ind w:left="2768" w:hanging="510"/>
      </w:pPr>
      <w:rPr>
        <w:rFonts w:cs="Times New Roman"/>
        <w:b w:val="0"/>
        <w:i w:val="0"/>
        <w:sz w:val="20"/>
      </w:rPr>
    </w:lvl>
    <w:lvl w:ilvl="6">
      <w:start w:val="1"/>
      <w:numFmt w:val="none"/>
      <w:suff w:val="nothing"/>
      <w:lvlText w:val=""/>
      <w:lvlJc w:val="left"/>
      <w:pPr>
        <w:ind w:left="-180"/>
      </w:pPr>
      <w:rPr>
        <w:rFonts w:cs="Times New Roman"/>
      </w:rPr>
    </w:lvl>
    <w:lvl w:ilvl="7">
      <w:start w:val="1"/>
      <w:numFmt w:val="none"/>
      <w:suff w:val="nothing"/>
      <w:lvlText w:val=""/>
      <w:lvlJc w:val="left"/>
      <w:pPr>
        <w:ind w:left="-180"/>
      </w:pPr>
      <w:rPr>
        <w:rFonts w:cs="Times New Roman"/>
      </w:rPr>
    </w:lvl>
    <w:lvl w:ilvl="8">
      <w:start w:val="1"/>
      <w:numFmt w:val="decimal"/>
      <w:lvlRestart w:val="0"/>
      <w:lvlText w:val="SCHEDULE %9"/>
      <w:lvlJc w:val="left"/>
      <w:pPr>
        <w:tabs>
          <w:tab w:val="num" w:pos="-180"/>
        </w:tabs>
        <w:ind w:left="-180"/>
      </w:pPr>
      <w:rPr>
        <w:rFonts w:cs="Times New Roman"/>
        <w:b/>
        <w:i w:val="0"/>
        <w:caps/>
        <w:smallCaps w:val="0"/>
        <w:sz w:val="22"/>
      </w:rPr>
    </w:lvl>
  </w:abstractNum>
  <w:abstractNum w:abstractNumId="146" w15:restartNumberingAfterBreak="0">
    <w:nsid w:val="4C604A74"/>
    <w:multiLevelType w:val="hybridMultilevel"/>
    <w:tmpl w:val="1CB0EE44"/>
    <w:lvl w:ilvl="0" w:tplc="040C000D">
      <w:start w:val="1"/>
      <w:numFmt w:val="bullet"/>
      <w:lvlText w:val=""/>
      <w:lvlJc w:val="left"/>
      <w:pPr>
        <w:ind w:left="1068" w:hanging="360"/>
      </w:pPr>
      <w:rPr>
        <w:rFonts w:ascii="Wingdings" w:hAnsi="Wingdings"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147" w15:restartNumberingAfterBreak="0">
    <w:nsid w:val="4CCD1E8A"/>
    <w:multiLevelType w:val="hybridMultilevel"/>
    <w:tmpl w:val="B3C894A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8" w15:restartNumberingAfterBreak="0">
    <w:nsid w:val="4CCD241B"/>
    <w:multiLevelType w:val="multilevel"/>
    <w:tmpl w:val="B676656E"/>
    <w:lvl w:ilvl="0">
      <w:start w:val="2"/>
      <w:numFmt w:val="decimal"/>
      <w:lvlText w:val="%1."/>
      <w:lvlJc w:val="left"/>
      <w:pPr>
        <w:ind w:left="360" w:hanging="360"/>
      </w:pPr>
      <w:rPr>
        <w:rFonts w:hint="default"/>
        <w:b/>
      </w:rPr>
    </w:lvl>
    <w:lvl w:ilvl="1">
      <w:start w:val="1"/>
      <w:numFmt w:val="decimal"/>
      <w:lvlText w:val="%1.%2."/>
      <w:lvlJc w:val="left"/>
      <w:pPr>
        <w:ind w:left="1800" w:hanging="360"/>
      </w:pPr>
      <w:rPr>
        <w:rFonts w:hint="default"/>
        <w:b/>
      </w:rPr>
    </w:lvl>
    <w:lvl w:ilvl="2">
      <w:start w:val="1"/>
      <w:numFmt w:val="decimal"/>
      <w:lvlText w:val="%1.%2.%3."/>
      <w:lvlJc w:val="left"/>
      <w:pPr>
        <w:ind w:left="3600" w:hanging="720"/>
      </w:pPr>
      <w:rPr>
        <w:rFonts w:hint="default"/>
        <w:b/>
      </w:rPr>
    </w:lvl>
    <w:lvl w:ilvl="3">
      <w:start w:val="1"/>
      <w:numFmt w:val="decimal"/>
      <w:lvlText w:val="%1.%2.%3.%4."/>
      <w:lvlJc w:val="left"/>
      <w:pPr>
        <w:ind w:left="5040" w:hanging="720"/>
      </w:pPr>
      <w:rPr>
        <w:rFonts w:hint="default"/>
        <w:b/>
      </w:rPr>
    </w:lvl>
    <w:lvl w:ilvl="4">
      <w:start w:val="1"/>
      <w:numFmt w:val="decimal"/>
      <w:lvlText w:val="%1.%2.%3.%4.%5."/>
      <w:lvlJc w:val="left"/>
      <w:pPr>
        <w:ind w:left="6840" w:hanging="1080"/>
      </w:pPr>
      <w:rPr>
        <w:rFonts w:hint="default"/>
        <w:b/>
      </w:rPr>
    </w:lvl>
    <w:lvl w:ilvl="5">
      <w:start w:val="1"/>
      <w:numFmt w:val="decimal"/>
      <w:lvlText w:val="%1.%2.%3.%4.%5.%6."/>
      <w:lvlJc w:val="left"/>
      <w:pPr>
        <w:ind w:left="8280" w:hanging="1080"/>
      </w:pPr>
      <w:rPr>
        <w:rFonts w:hint="default"/>
        <w:b/>
      </w:rPr>
    </w:lvl>
    <w:lvl w:ilvl="6">
      <w:start w:val="1"/>
      <w:numFmt w:val="decimal"/>
      <w:lvlText w:val="%1.%2.%3.%4.%5.%6.%7."/>
      <w:lvlJc w:val="left"/>
      <w:pPr>
        <w:ind w:left="10080" w:hanging="1440"/>
      </w:pPr>
      <w:rPr>
        <w:rFonts w:hint="default"/>
        <w:b/>
      </w:rPr>
    </w:lvl>
    <w:lvl w:ilvl="7">
      <w:start w:val="1"/>
      <w:numFmt w:val="decimal"/>
      <w:lvlText w:val="%1.%2.%3.%4.%5.%6.%7.%8."/>
      <w:lvlJc w:val="left"/>
      <w:pPr>
        <w:ind w:left="11520" w:hanging="1440"/>
      </w:pPr>
      <w:rPr>
        <w:rFonts w:hint="default"/>
        <w:b/>
      </w:rPr>
    </w:lvl>
    <w:lvl w:ilvl="8">
      <w:start w:val="1"/>
      <w:numFmt w:val="decimal"/>
      <w:lvlText w:val="%1.%2.%3.%4.%5.%6.%7.%8.%9."/>
      <w:lvlJc w:val="left"/>
      <w:pPr>
        <w:ind w:left="13320" w:hanging="1800"/>
      </w:pPr>
      <w:rPr>
        <w:rFonts w:hint="default"/>
        <w:b/>
      </w:rPr>
    </w:lvl>
  </w:abstractNum>
  <w:abstractNum w:abstractNumId="149" w15:restartNumberingAfterBreak="0">
    <w:nsid w:val="4EC64403"/>
    <w:multiLevelType w:val="hybridMultilevel"/>
    <w:tmpl w:val="36CEF638"/>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0" w15:restartNumberingAfterBreak="0">
    <w:nsid w:val="4F5A082A"/>
    <w:multiLevelType w:val="hybridMultilevel"/>
    <w:tmpl w:val="A59E1EB0"/>
    <w:lvl w:ilvl="0" w:tplc="9476E36A">
      <w:start w:val="1"/>
      <w:numFmt w:val="upperRoman"/>
      <w:pStyle w:val="Style9"/>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1" w15:restartNumberingAfterBreak="0">
    <w:nsid w:val="50B877B5"/>
    <w:multiLevelType w:val="hybridMultilevel"/>
    <w:tmpl w:val="3AD8DE2A"/>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2" w15:restartNumberingAfterBreak="0">
    <w:nsid w:val="5132368D"/>
    <w:multiLevelType w:val="hybridMultilevel"/>
    <w:tmpl w:val="BFB61B5E"/>
    <w:lvl w:ilvl="0" w:tplc="A28EC0BA">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53" w15:restartNumberingAfterBreak="0">
    <w:nsid w:val="5185130E"/>
    <w:multiLevelType w:val="hybridMultilevel"/>
    <w:tmpl w:val="464C315A"/>
    <w:lvl w:ilvl="0" w:tplc="040C000B">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54" w15:restartNumberingAfterBreak="0">
    <w:nsid w:val="51BB2E4E"/>
    <w:multiLevelType w:val="multilevel"/>
    <w:tmpl w:val="F81C0EA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numFmt w:val="bullet"/>
      <w:lvlText w:val="•"/>
      <w:lvlJc w:val="left"/>
      <w:pPr>
        <w:ind w:left="2160" w:hanging="360"/>
      </w:pPr>
      <w:rPr>
        <w:rFonts w:ascii="Arial Narrow" w:eastAsiaTheme="minorHAnsi" w:hAnsi="Arial Narrow" w:cs="Times New Roman" w:hint="default"/>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5" w15:restartNumberingAfterBreak="0">
    <w:nsid w:val="51FF61E9"/>
    <w:multiLevelType w:val="multilevel"/>
    <w:tmpl w:val="CF80E4FE"/>
    <w:styleLink w:val="Style17"/>
    <w:lvl w:ilvl="0">
      <w:start w:val="5"/>
      <w:numFmt w:val="decimal"/>
      <w:lvlText w:val="%1."/>
      <w:lvlJc w:val="left"/>
      <w:pPr>
        <w:ind w:left="360" w:hanging="360"/>
      </w:pPr>
      <w:rPr>
        <w:rFonts w:hint="default"/>
      </w:rPr>
    </w:lvl>
    <w:lvl w:ilvl="1">
      <w:start w:val="1"/>
      <w:numFmt w:val="decimal"/>
      <w:lvlText w:val="%1.%2."/>
      <w:lvlJc w:val="left"/>
      <w:pPr>
        <w:ind w:left="851" w:hanging="851"/>
      </w:pPr>
      <w:rPr>
        <w:rFonts w:ascii="Times New Roman Gras" w:hAnsi="Times New Roman Gras" w:hint="default"/>
        <w:b/>
        <w:i w:val="0"/>
        <w:color w:val="auto"/>
        <w:sz w:val="24"/>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6" w15:restartNumberingAfterBreak="0">
    <w:nsid w:val="52FB26B7"/>
    <w:multiLevelType w:val="hybridMultilevel"/>
    <w:tmpl w:val="C618048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7" w15:restartNumberingAfterBreak="0">
    <w:nsid w:val="530069D5"/>
    <w:multiLevelType w:val="hybridMultilevel"/>
    <w:tmpl w:val="DC88D58C"/>
    <w:lvl w:ilvl="0" w:tplc="040C000B">
      <w:start w:val="1"/>
      <w:numFmt w:val="bullet"/>
      <w:lvlText w:val=""/>
      <w:lvlJc w:val="left"/>
      <w:pPr>
        <w:ind w:left="1440" w:hanging="360"/>
      </w:pPr>
      <w:rPr>
        <w:rFonts w:ascii="Wingdings" w:hAnsi="Wingdings"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58" w15:restartNumberingAfterBreak="0">
    <w:nsid w:val="536C16C9"/>
    <w:multiLevelType w:val="multilevel"/>
    <w:tmpl w:val="C1EE3E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39C4410"/>
    <w:multiLevelType w:val="hybridMultilevel"/>
    <w:tmpl w:val="AC2E1350"/>
    <w:lvl w:ilvl="0" w:tplc="040C0009">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0" w15:restartNumberingAfterBreak="0">
    <w:nsid w:val="543B11AA"/>
    <w:multiLevelType w:val="hybridMultilevel"/>
    <w:tmpl w:val="5F222F6C"/>
    <w:lvl w:ilvl="0" w:tplc="040C0003">
      <w:start w:val="1"/>
      <w:numFmt w:val="bullet"/>
      <w:lvlText w:val="o"/>
      <w:lvlJc w:val="left"/>
      <w:pPr>
        <w:ind w:left="1495" w:hanging="360"/>
      </w:pPr>
      <w:rPr>
        <w:rFonts w:ascii="Courier New" w:hAnsi="Courier New" w:cs="Courier New" w:hint="default"/>
      </w:rPr>
    </w:lvl>
    <w:lvl w:ilvl="1" w:tplc="040C0003" w:tentative="1">
      <w:start w:val="1"/>
      <w:numFmt w:val="bullet"/>
      <w:lvlText w:val="o"/>
      <w:lvlJc w:val="left"/>
      <w:pPr>
        <w:ind w:left="2215" w:hanging="360"/>
      </w:pPr>
      <w:rPr>
        <w:rFonts w:ascii="Courier New" w:hAnsi="Courier New" w:cs="Courier New" w:hint="default"/>
      </w:rPr>
    </w:lvl>
    <w:lvl w:ilvl="2" w:tplc="040C0005" w:tentative="1">
      <w:start w:val="1"/>
      <w:numFmt w:val="bullet"/>
      <w:lvlText w:val=""/>
      <w:lvlJc w:val="left"/>
      <w:pPr>
        <w:ind w:left="2935" w:hanging="360"/>
      </w:pPr>
      <w:rPr>
        <w:rFonts w:ascii="Wingdings" w:hAnsi="Wingdings" w:hint="default"/>
      </w:rPr>
    </w:lvl>
    <w:lvl w:ilvl="3" w:tplc="040C0001" w:tentative="1">
      <w:start w:val="1"/>
      <w:numFmt w:val="bullet"/>
      <w:lvlText w:val=""/>
      <w:lvlJc w:val="left"/>
      <w:pPr>
        <w:ind w:left="3655" w:hanging="360"/>
      </w:pPr>
      <w:rPr>
        <w:rFonts w:ascii="Symbol" w:hAnsi="Symbol" w:hint="default"/>
      </w:rPr>
    </w:lvl>
    <w:lvl w:ilvl="4" w:tplc="040C0003" w:tentative="1">
      <w:start w:val="1"/>
      <w:numFmt w:val="bullet"/>
      <w:lvlText w:val="o"/>
      <w:lvlJc w:val="left"/>
      <w:pPr>
        <w:ind w:left="4375" w:hanging="360"/>
      </w:pPr>
      <w:rPr>
        <w:rFonts w:ascii="Courier New" w:hAnsi="Courier New" w:cs="Courier New" w:hint="default"/>
      </w:rPr>
    </w:lvl>
    <w:lvl w:ilvl="5" w:tplc="040C0005" w:tentative="1">
      <w:start w:val="1"/>
      <w:numFmt w:val="bullet"/>
      <w:lvlText w:val=""/>
      <w:lvlJc w:val="left"/>
      <w:pPr>
        <w:ind w:left="5095" w:hanging="360"/>
      </w:pPr>
      <w:rPr>
        <w:rFonts w:ascii="Wingdings" w:hAnsi="Wingdings" w:hint="default"/>
      </w:rPr>
    </w:lvl>
    <w:lvl w:ilvl="6" w:tplc="040C0001" w:tentative="1">
      <w:start w:val="1"/>
      <w:numFmt w:val="bullet"/>
      <w:lvlText w:val=""/>
      <w:lvlJc w:val="left"/>
      <w:pPr>
        <w:ind w:left="5815" w:hanging="360"/>
      </w:pPr>
      <w:rPr>
        <w:rFonts w:ascii="Symbol" w:hAnsi="Symbol" w:hint="default"/>
      </w:rPr>
    </w:lvl>
    <w:lvl w:ilvl="7" w:tplc="040C0003" w:tentative="1">
      <w:start w:val="1"/>
      <w:numFmt w:val="bullet"/>
      <w:lvlText w:val="o"/>
      <w:lvlJc w:val="left"/>
      <w:pPr>
        <w:ind w:left="6535" w:hanging="360"/>
      </w:pPr>
      <w:rPr>
        <w:rFonts w:ascii="Courier New" w:hAnsi="Courier New" w:cs="Courier New" w:hint="default"/>
      </w:rPr>
    </w:lvl>
    <w:lvl w:ilvl="8" w:tplc="040C0005" w:tentative="1">
      <w:start w:val="1"/>
      <w:numFmt w:val="bullet"/>
      <w:lvlText w:val=""/>
      <w:lvlJc w:val="left"/>
      <w:pPr>
        <w:ind w:left="7255" w:hanging="360"/>
      </w:pPr>
      <w:rPr>
        <w:rFonts w:ascii="Wingdings" w:hAnsi="Wingdings" w:hint="default"/>
      </w:rPr>
    </w:lvl>
  </w:abstractNum>
  <w:abstractNum w:abstractNumId="161" w15:restartNumberingAfterBreak="0">
    <w:nsid w:val="54A57C07"/>
    <w:multiLevelType w:val="hybridMultilevel"/>
    <w:tmpl w:val="D242B0F6"/>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2" w15:restartNumberingAfterBreak="0">
    <w:nsid w:val="55C525AC"/>
    <w:multiLevelType w:val="hybridMultilevel"/>
    <w:tmpl w:val="C7688290"/>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3" w15:restartNumberingAfterBreak="0">
    <w:nsid w:val="57343EB7"/>
    <w:multiLevelType w:val="hybridMultilevel"/>
    <w:tmpl w:val="65D03C32"/>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4" w15:restartNumberingAfterBreak="0">
    <w:nsid w:val="57790BCC"/>
    <w:multiLevelType w:val="hybridMultilevel"/>
    <w:tmpl w:val="18E8C5F0"/>
    <w:lvl w:ilvl="0" w:tplc="8F5AF23E">
      <w:start w:val="1"/>
      <w:numFmt w:val="lowerRoman"/>
      <w:lvlText w:val="(%1)"/>
      <w:lvlJc w:val="left"/>
      <w:pPr>
        <w:ind w:left="1440" w:hanging="360"/>
      </w:pPr>
      <w:rPr>
        <w:rFonts w:hint="default"/>
      </w:rPr>
    </w:lvl>
    <w:lvl w:ilvl="1" w:tplc="04090019" w:tentative="1">
      <w:start w:val="1"/>
      <w:numFmt w:val="lowerLetter"/>
      <w:pStyle w:val="MainParanoChap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5" w15:restartNumberingAfterBreak="0">
    <w:nsid w:val="578556DF"/>
    <w:multiLevelType w:val="multilevel"/>
    <w:tmpl w:val="E5F486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57C56353"/>
    <w:multiLevelType w:val="multilevel"/>
    <w:tmpl w:val="75C455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57E949BC"/>
    <w:multiLevelType w:val="hybridMultilevel"/>
    <w:tmpl w:val="D29C5418"/>
    <w:lvl w:ilvl="0" w:tplc="DA0472F2">
      <w:start w:val="13"/>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8" w15:restartNumberingAfterBreak="0">
    <w:nsid w:val="5816114D"/>
    <w:multiLevelType w:val="hybridMultilevel"/>
    <w:tmpl w:val="B3FC3B6E"/>
    <w:lvl w:ilvl="0" w:tplc="040C000B">
      <w:start w:val="1"/>
      <w:numFmt w:val="bullet"/>
      <w:lvlText w:val=""/>
      <w:lvlJc w:val="left"/>
      <w:pPr>
        <w:ind w:left="1170" w:hanging="360"/>
      </w:pPr>
      <w:rPr>
        <w:rFonts w:ascii="Wingdings" w:hAnsi="Wingdings" w:hint="default"/>
      </w:rPr>
    </w:lvl>
    <w:lvl w:ilvl="1" w:tplc="040C0003" w:tentative="1">
      <w:start w:val="1"/>
      <w:numFmt w:val="bullet"/>
      <w:lvlText w:val="o"/>
      <w:lvlJc w:val="left"/>
      <w:pPr>
        <w:ind w:left="1890" w:hanging="360"/>
      </w:pPr>
      <w:rPr>
        <w:rFonts w:ascii="Courier New" w:hAnsi="Courier New" w:cs="Courier New" w:hint="default"/>
      </w:rPr>
    </w:lvl>
    <w:lvl w:ilvl="2" w:tplc="040C0005" w:tentative="1">
      <w:start w:val="1"/>
      <w:numFmt w:val="bullet"/>
      <w:lvlText w:val=""/>
      <w:lvlJc w:val="left"/>
      <w:pPr>
        <w:ind w:left="2610" w:hanging="360"/>
      </w:pPr>
      <w:rPr>
        <w:rFonts w:ascii="Wingdings" w:hAnsi="Wingdings" w:hint="default"/>
      </w:rPr>
    </w:lvl>
    <w:lvl w:ilvl="3" w:tplc="040C0001" w:tentative="1">
      <w:start w:val="1"/>
      <w:numFmt w:val="bullet"/>
      <w:lvlText w:val=""/>
      <w:lvlJc w:val="left"/>
      <w:pPr>
        <w:ind w:left="3330" w:hanging="360"/>
      </w:pPr>
      <w:rPr>
        <w:rFonts w:ascii="Symbol" w:hAnsi="Symbol" w:hint="default"/>
      </w:rPr>
    </w:lvl>
    <w:lvl w:ilvl="4" w:tplc="040C0003" w:tentative="1">
      <w:start w:val="1"/>
      <w:numFmt w:val="bullet"/>
      <w:lvlText w:val="o"/>
      <w:lvlJc w:val="left"/>
      <w:pPr>
        <w:ind w:left="4050" w:hanging="360"/>
      </w:pPr>
      <w:rPr>
        <w:rFonts w:ascii="Courier New" w:hAnsi="Courier New" w:cs="Courier New" w:hint="default"/>
      </w:rPr>
    </w:lvl>
    <w:lvl w:ilvl="5" w:tplc="040C0005" w:tentative="1">
      <w:start w:val="1"/>
      <w:numFmt w:val="bullet"/>
      <w:lvlText w:val=""/>
      <w:lvlJc w:val="left"/>
      <w:pPr>
        <w:ind w:left="4770" w:hanging="360"/>
      </w:pPr>
      <w:rPr>
        <w:rFonts w:ascii="Wingdings" w:hAnsi="Wingdings" w:hint="default"/>
      </w:rPr>
    </w:lvl>
    <w:lvl w:ilvl="6" w:tplc="040C0001" w:tentative="1">
      <w:start w:val="1"/>
      <w:numFmt w:val="bullet"/>
      <w:lvlText w:val=""/>
      <w:lvlJc w:val="left"/>
      <w:pPr>
        <w:ind w:left="5490" w:hanging="360"/>
      </w:pPr>
      <w:rPr>
        <w:rFonts w:ascii="Symbol" w:hAnsi="Symbol" w:hint="default"/>
      </w:rPr>
    </w:lvl>
    <w:lvl w:ilvl="7" w:tplc="040C0003" w:tentative="1">
      <w:start w:val="1"/>
      <w:numFmt w:val="bullet"/>
      <w:lvlText w:val="o"/>
      <w:lvlJc w:val="left"/>
      <w:pPr>
        <w:ind w:left="6210" w:hanging="360"/>
      </w:pPr>
      <w:rPr>
        <w:rFonts w:ascii="Courier New" w:hAnsi="Courier New" w:cs="Courier New" w:hint="default"/>
      </w:rPr>
    </w:lvl>
    <w:lvl w:ilvl="8" w:tplc="040C0005" w:tentative="1">
      <w:start w:val="1"/>
      <w:numFmt w:val="bullet"/>
      <w:lvlText w:val=""/>
      <w:lvlJc w:val="left"/>
      <w:pPr>
        <w:ind w:left="6930" w:hanging="360"/>
      </w:pPr>
      <w:rPr>
        <w:rFonts w:ascii="Wingdings" w:hAnsi="Wingdings" w:hint="default"/>
      </w:rPr>
    </w:lvl>
  </w:abstractNum>
  <w:abstractNum w:abstractNumId="169" w15:restartNumberingAfterBreak="0">
    <w:nsid w:val="58196E89"/>
    <w:multiLevelType w:val="hybridMultilevel"/>
    <w:tmpl w:val="A330DB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0" w15:restartNumberingAfterBreak="0">
    <w:nsid w:val="58237C16"/>
    <w:multiLevelType w:val="hybridMultilevel"/>
    <w:tmpl w:val="7BF84D2C"/>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1" w15:restartNumberingAfterBreak="0">
    <w:nsid w:val="58F612DF"/>
    <w:multiLevelType w:val="multilevel"/>
    <w:tmpl w:val="6380B728"/>
    <w:lvl w:ilvl="0">
      <w:start w:val="6"/>
      <w:numFmt w:val="decimal"/>
      <w:lvlText w:val="%1."/>
      <w:lvlJc w:val="left"/>
      <w:pPr>
        <w:ind w:left="360" w:hanging="360"/>
      </w:pPr>
      <w:rPr>
        <w:rFonts w:hint="default"/>
      </w:rPr>
    </w:lvl>
    <w:lvl w:ilvl="1">
      <w:start w:val="1"/>
      <w:numFmt w:val="decimal"/>
      <w:lvlText w:val="%1.%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172" w15:restartNumberingAfterBreak="0">
    <w:nsid w:val="592F28DF"/>
    <w:multiLevelType w:val="hybridMultilevel"/>
    <w:tmpl w:val="7AAA3044"/>
    <w:lvl w:ilvl="0" w:tplc="040C0001">
      <w:start w:val="1"/>
      <w:numFmt w:val="bullet"/>
      <w:lvlText w:val=""/>
      <w:lvlJc w:val="left"/>
      <w:pPr>
        <w:ind w:left="1287" w:hanging="360"/>
      </w:pPr>
      <w:rPr>
        <w:rFonts w:ascii="Symbol" w:hAnsi="Symbol" w:hint="default"/>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173" w15:restartNumberingAfterBreak="0">
    <w:nsid w:val="59444250"/>
    <w:multiLevelType w:val="hybridMultilevel"/>
    <w:tmpl w:val="79728718"/>
    <w:lvl w:ilvl="0" w:tplc="57E45B44">
      <w:start w:val="608"/>
      <w:numFmt w:val="bullet"/>
      <w:lvlText w:val="•"/>
      <w:lvlJc w:val="left"/>
      <w:pPr>
        <w:ind w:left="720" w:hanging="360"/>
      </w:pPr>
      <w:rPr>
        <w:rFonts w:ascii="Calibri" w:eastAsia="Calibri" w:hAnsi="Calibri" w:cs="SymbolMT"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4" w15:restartNumberingAfterBreak="0">
    <w:nsid w:val="59AD7C60"/>
    <w:multiLevelType w:val="hybridMultilevel"/>
    <w:tmpl w:val="A04ACD84"/>
    <w:lvl w:ilvl="0" w:tplc="0816000D">
      <w:start w:val="1"/>
      <w:numFmt w:val="bullet"/>
      <w:lvlText w:val=""/>
      <w:lvlJc w:val="left"/>
      <w:pPr>
        <w:ind w:left="720" w:hanging="360"/>
      </w:pPr>
      <w:rPr>
        <w:rFonts w:ascii="Wingdings" w:hAnsi="Wingdings" w:hint="default"/>
      </w:rPr>
    </w:lvl>
    <w:lvl w:ilvl="1" w:tplc="08160001">
      <w:start w:val="1"/>
      <w:numFmt w:val="bullet"/>
      <w:lvlText w:val=""/>
      <w:lvlJc w:val="left"/>
      <w:pPr>
        <w:ind w:left="1440" w:hanging="360"/>
      </w:pPr>
      <w:rPr>
        <w:rFonts w:ascii="Symbol" w:hAnsi="Symbol"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75" w15:restartNumberingAfterBreak="0">
    <w:nsid w:val="5AA23B2B"/>
    <w:multiLevelType w:val="multilevel"/>
    <w:tmpl w:val="60A8A600"/>
    <w:lvl w:ilvl="0">
      <w:start w:val="5"/>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76" w15:restartNumberingAfterBreak="0">
    <w:nsid w:val="5AC86509"/>
    <w:multiLevelType w:val="hybridMultilevel"/>
    <w:tmpl w:val="0AFE0C0C"/>
    <w:lvl w:ilvl="0" w:tplc="69F0AF1C">
      <w:start w:val="1"/>
      <w:numFmt w:val="bullet"/>
      <w:lvlText w:val=""/>
      <w:lvlJc w:val="left"/>
      <w:pPr>
        <w:tabs>
          <w:tab w:val="num" w:pos="644"/>
        </w:tabs>
        <w:ind w:left="644" w:hanging="360"/>
      </w:pPr>
      <w:rPr>
        <w:rFonts w:ascii="Wingdings" w:hAnsi="Wingdings" w:hint="default"/>
        <w:color w:val="auto"/>
      </w:rPr>
    </w:lvl>
    <w:lvl w:ilvl="1" w:tplc="040C0003">
      <w:start w:val="1"/>
      <w:numFmt w:val="bullet"/>
      <w:lvlText w:val="o"/>
      <w:lvlJc w:val="left"/>
      <w:pPr>
        <w:tabs>
          <w:tab w:val="num" w:pos="1440"/>
        </w:tabs>
        <w:ind w:left="1440" w:hanging="360"/>
      </w:pPr>
      <w:rPr>
        <w:rFonts w:ascii="Courier New" w:hAnsi="Courier New" w:cs="Times New Roman" w:hint="default"/>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start w:val="1"/>
      <w:numFmt w:val="bullet"/>
      <w:lvlText w:val="o"/>
      <w:lvlJc w:val="left"/>
      <w:pPr>
        <w:tabs>
          <w:tab w:val="num" w:pos="3600"/>
        </w:tabs>
        <w:ind w:left="3600" w:hanging="360"/>
      </w:pPr>
      <w:rPr>
        <w:rFonts w:ascii="Courier New" w:hAnsi="Courier New" w:cs="Times New Roman" w:hint="default"/>
      </w:rPr>
    </w:lvl>
    <w:lvl w:ilvl="5" w:tplc="040C0005">
      <w:start w:val="1"/>
      <w:numFmt w:val="bullet"/>
      <w:lvlText w:val=""/>
      <w:lvlJc w:val="left"/>
      <w:pPr>
        <w:tabs>
          <w:tab w:val="num" w:pos="4320"/>
        </w:tabs>
        <w:ind w:left="4320" w:hanging="360"/>
      </w:pPr>
      <w:rPr>
        <w:rFonts w:ascii="Wingdings" w:hAnsi="Wingdings" w:hint="default"/>
      </w:rPr>
    </w:lvl>
    <w:lvl w:ilvl="6" w:tplc="040C0001">
      <w:start w:val="1"/>
      <w:numFmt w:val="bullet"/>
      <w:lvlText w:val=""/>
      <w:lvlJc w:val="left"/>
      <w:pPr>
        <w:tabs>
          <w:tab w:val="num" w:pos="5040"/>
        </w:tabs>
        <w:ind w:left="5040" w:hanging="360"/>
      </w:pPr>
      <w:rPr>
        <w:rFonts w:ascii="Symbol" w:hAnsi="Symbol" w:hint="default"/>
      </w:rPr>
    </w:lvl>
    <w:lvl w:ilvl="7" w:tplc="040C0003">
      <w:start w:val="1"/>
      <w:numFmt w:val="bullet"/>
      <w:lvlText w:val="o"/>
      <w:lvlJc w:val="left"/>
      <w:pPr>
        <w:tabs>
          <w:tab w:val="num" w:pos="5760"/>
        </w:tabs>
        <w:ind w:left="5760" w:hanging="360"/>
      </w:pPr>
      <w:rPr>
        <w:rFonts w:ascii="Courier New" w:hAnsi="Courier New" w:cs="Times New Roman" w:hint="default"/>
      </w:rPr>
    </w:lvl>
    <w:lvl w:ilvl="8" w:tplc="040C0005">
      <w:start w:val="1"/>
      <w:numFmt w:val="bullet"/>
      <w:lvlText w:val=""/>
      <w:lvlJc w:val="left"/>
      <w:pPr>
        <w:tabs>
          <w:tab w:val="num" w:pos="6480"/>
        </w:tabs>
        <w:ind w:left="6480" w:hanging="360"/>
      </w:pPr>
      <w:rPr>
        <w:rFonts w:ascii="Wingdings" w:hAnsi="Wingdings" w:hint="default"/>
      </w:rPr>
    </w:lvl>
  </w:abstractNum>
  <w:abstractNum w:abstractNumId="177" w15:restartNumberingAfterBreak="0">
    <w:nsid w:val="5AFB15DC"/>
    <w:multiLevelType w:val="hybridMultilevel"/>
    <w:tmpl w:val="3134DF1A"/>
    <w:lvl w:ilvl="0" w:tplc="A28EC0BA">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78" w15:restartNumberingAfterBreak="0">
    <w:nsid w:val="5B260D32"/>
    <w:multiLevelType w:val="hybridMultilevel"/>
    <w:tmpl w:val="F416AE30"/>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9" w15:restartNumberingAfterBreak="0">
    <w:nsid w:val="5BC13457"/>
    <w:multiLevelType w:val="hybridMultilevel"/>
    <w:tmpl w:val="7A4AFA14"/>
    <w:lvl w:ilvl="0" w:tplc="08160001">
      <w:start w:val="1"/>
      <w:numFmt w:val="bullet"/>
      <w:lvlText w:val=""/>
      <w:lvlJc w:val="left"/>
      <w:pPr>
        <w:ind w:left="720" w:hanging="360"/>
      </w:pPr>
      <w:rPr>
        <w:rFonts w:ascii="Symbol" w:hAnsi="Symbol" w:hint="default"/>
      </w:rPr>
    </w:lvl>
    <w:lvl w:ilvl="1" w:tplc="08160003">
      <w:start w:val="1"/>
      <w:numFmt w:val="bullet"/>
      <w:lvlText w:val="o"/>
      <w:lvlJc w:val="left"/>
      <w:pPr>
        <w:ind w:left="1440" w:hanging="360"/>
      </w:pPr>
      <w:rPr>
        <w:rFonts w:ascii="Courier New" w:hAnsi="Courier New" w:cs="Courier New" w:hint="default"/>
      </w:rPr>
    </w:lvl>
    <w:lvl w:ilvl="2" w:tplc="08160001">
      <w:start w:val="1"/>
      <w:numFmt w:val="bullet"/>
      <w:lvlText w:val=""/>
      <w:lvlJc w:val="left"/>
      <w:pPr>
        <w:ind w:left="2160" w:hanging="360"/>
      </w:pPr>
      <w:rPr>
        <w:rFonts w:ascii="Symbol" w:hAnsi="Symbol"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80" w15:restartNumberingAfterBreak="0">
    <w:nsid w:val="5C380DA6"/>
    <w:multiLevelType w:val="hybridMultilevel"/>
    <w:tmpl w:val="AA30A71C"/>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1" w15:restartNumberingAfterBreak="0">
    <w:nsid w:val="5D177606"/>
    <w:multiLevelType w:val="hybridMultilevel"/>
    <w:tmpl w:val="9C504544"/>
    <w:lvl w:ilvl="0" w:tplc="DA0472F2">
      <w:start w:val="13"/>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2" w15:restartNumberingAfterBreak="0">
    <w:nsid w:val="5D387469"/>
    <w:multiLevelType w:val="hybridMultilevel"/>
    <w:tmpl w:val="F560272E"/>
    <w:lvl w:ilvl="0" w:tplc="040C0007">
      <w:start w:val="1"/>
      <w:numFmt w:val="bullet"/>
      <w:lvlText w:val=""/>
      <w:lvlPicBulletId w:val="0"/>
      <w:lvlJc w:val="left"/>
      <w:pPr>
        <w:ind w:left="1803" w:hanging="360"/>
      </w:pPr>
      <w:rPr>
        <w:rFonts w:ascii="Symbol" w:hAnsi="Symbol" w:hint="default"/>
      </w:rPr>
    </w:lvl>
    <w:lvl w:ilvl="1" w:tplc="040C0003" w:tentative="1">
      <w:start w:val="1"/>
      <w:numFmt w:val="bullet"/>
      <w:lvlText w:val="o"/>
      <w:lvlJc w:val="left"/>
      <w:pPr>
        <w:ind w:left="2523" w:hanging="360"/>
      </w:pPr>
      <w:rPr>
        <w:rFonts w:ascii="Courier New" w:hAnsi="Courier New" w:cs="Courier New" w:hint="default"/>
      </w:rPr>
    </w:lvl>
    <w:lvl w:ilvl="2" w:tplc="040C0005" w:tentative="1">
      <w:start w:val="1"/>
      <w:numFmt w:val="bullet"/>
      <w:lvlText w:val=""/>
      <w:lvlJc w:val="left"/>
      <w:pPr>
        <w:ind w:left="3243" w:hanging="360"/>
      </w:pPr>
      <w:rPr>
        <w:rFonts w:ascii="Wingdings" w:hAnsi="Wingdings" w:hint="default"/>
      </w:rPr>
    </w:lvl>
    <w:lvl w:ilvl="3" w:tplc="040C0001" w:tentative="1">
      <w:start w:val="1"/>
      <w:numFmt w:val="bullet"/>
      <w:lvlText w:val=""/>
      <w:lvlJc w:val="left"/>
      <w:pPr>
        <w:ind w:left="3963" w:hanging="360"/>
      </w:pPr>
      <w:rPr>
        <w:rFonts w:ascii="Symbol" w:hAnsi="Symbol" w:hint="default"/>
      </w:rPr>
    </w:lvl>
    <w:lvl w:ilvl="4" w:tplc="040C0003" w:tentative="1">
      <w:start w:val="1"/>
      <w:numFmt w:val="bullet"/>
      <w:lvlText w:val="o"/>
      <w:lvlJc w:val="left"/>
      <w:pPr>
        <w:ind w:left="4683" w:hanging="360"/>
      </w:pPr>
      <w:rPr>
        <w:rFonts w:ascii="Courier New" w:hAnsi="Courier New" w:cs="Courier New" w:hint="default"/>
      </w:rPr>
    </w:lvl>
    <w:lvl w:ilvl="5" w:tplc="040C0005" w:tentative="1">
      <w:start w:val="1"/>
      <w:numFmt w:val="bullet"/>
      <w:lvlText w:val=""/>
      <w:lvlJc w:val="left"/>
      <w:pPr>
        <w:ind w:left="5403" w:hanging="360"/>
      </w:pPr>
      <w:rPr>
        <w:rFonts w:ascii="Wingdings" w:hAnsi="Wingdings" w:hint="default"/>
      </w:rPr>
    </w:lvl>
    <w:lvl w:ilvl="6" w:tplc="040C0001" w:tentative="1">
      <w:start w:val="1"/>
      <w:numFmt w:val="bullet"/>
      <w:lvlText w:val=""/>
      <w:lvlJc w:val="left"/>
      <w:pPr>
        <w:ind w:left="6123" w:hanging="360"/>
      </w:pPr>
      <w:rPr>
        <w:rFonts w:ascii="Symbol" w:hAnsi="Symbol" w:hint="default"/>
      </w:rPr>
    </w:lvl>
    <w:lvl w:ilvl="7" w:tplc="040C0003" w:tentative="1">
      <w:start w:val="1"/>
      <w:numFmt w:val="bullet"/>
      <w:lvlText w:val="o"/>
      <w:lvlJc w:val="left"/>
      <w:pPr>
        <w:ind w:left="6843" w:hanging="360"/>
      </w:pPr>
      <w:rPr>
        <w:rFonts w:ascii="Courier New" w:hAnsi="Courier New" w:cs="Courier New" w:hint="default"/>
      </w:rPr>
    </w:lvl>
    <w:lvl w:ilvl="8" w:tplc="040C0005" w:tentative="1">
      <w:start w:val="1"/>
      <w:numFmt w:val="bullet"/>
      <w:lvlText w:val=""/>
      <w:lvlJc w:val="left"/>
      <w:pPr>
        <w:ind w:left="7563" w:hanging="360"/>
      </w:pPr>
      <w:rPr>
        <w:rFonts w:ascii="Wingdings" w:hAnsi="Wingdings" w:hint="default"/>
      </w:rPr>
    </w:lvl>
  </w:abstractNum>
  <w:abstractNum w:abstractNumId="183" w15:restartNumberingAfterBreak="0">
    <w:nsid w:val="5D555B3D"/>
    <w:multiLevelType w:val="hybridMultilevel"/>
    <w:tmpl w:val="E5904AD8"/>
    <w:lvl w:ilvl="0" w:tplc="040C000F">
      <w:start w:val="1"/>
      <w:numFmt w:val="bullet"/>
      <w:lvlText w:val=""/>
      <w:lvlJc w:val="left"/>
      <w:pPr>
        <w:ind w:left="644" w:hanging="360"/>
      </w:pPr>
      <w:rPr>
        <w:rFonts w:ascii="Symbol" w:hAnsi="Symbol" w:hint="default"/>
      </w:rPr>
    </w:lvl>
    <w:lvl w:ilvl="1" w:tplc="040C0019">
      <w:numFmt w:val="bullet"/>
      <w:lvlText w:val=""/>
      <w:lvlJc w:val="left"/>
      <w:pPr>
        <w:ind w:left="1364" w:hanging="360"/>
      </w:pPr>
      <w:rPr>
        <w:rFonts w:ascii="Wingdings" w:hAnsi="Wingdings" w:hint="default"/>
        <w:color w:val="auto"/>
      </w:rPr>
    </w:lvl>
    <w:lvl w:ilvl="2" w:tplc="040C001B" w:tentative="1">
      <w:start w:val="1"/>
      <w:numFmt w:val="bullet"/>
      <w:lvlText w:val=""/>
      <w:lvlJc w:val="left"/>
      <w:pPr>
        <w:ind w:left="2084" w:hanging="360"/>
      </w:pPr>
      <w:rPr>
        <w:rFonts w:ascii="Wingdings" w:hAnsi="Wingdings" w:hint="default"/>
      </w:rPr>
    </w:lvl>
    <w:lvl w:ilvl="3" w:tplc="040C000F" w:tentative="1">
      <w:start w:val="1"/>
      <w:numFmt w:val="bullet"/>
      <w:lvlText w:val=""/>
      <w:lvlJc w:val="left"/>
      <w:pPr>
        <w:ind w:left="2804" w:hanging="360"/>
      </w:pPr>
      <w:rPr>
        <w:rFonts w:ascii="Symbol" w:hAnsi="Symbol" w:hint="default"/>
      </w:rPr>
    </w:lvl>
    <w:lvl w:ilvl="4" w:tplc="040C0019" w:tentative="1">
      <w:start w:val="1"/>
      <w:numFmt w:val="bullet"/>
      <w:lvlText w:val="o"/>
      <w:lvlJc w:val="left"/>
      <w:pPr>
        <w:ind w:left="3524" w:hanging="360"/>
      </w:pPr>
      <w:rPr>
        <w:rFonts w:ascii="Courier New" w:hAnsi="Courier New" w:cs="Symbol" w:hint="default"/>
      </w:rPr>
    </w:lvl>
    <w:lvl w:ilvl="5" w:tplc="040C001B" w:tentative="1">
      <w:start w:val="1"/>
      <w:numFmt w:val="bullet"/>
      <w:lvlText w:val=""/>
      <w:lvlJc w:val="left"/>
      <w:pPr>
        <w:ind w:left="4244" w:hanging="360"/>
      </w:pPr>
      <w:rPr>
        <w:rFonts w:ascii="Wingdings" w:hAnsi="Wingdings" w:hint="default"/>
      </w:rPr>
    </w:lvl>
    <w:lvl w:ilvl="6" w:tplc="040C000F" w:tentative="1">
      <w:start w:val="1"/>
      <w:numFmt w:val="bullet"/>
      <w:lvlText w:val=""/>
      <w:lvlJc w:val="left"/>
      <w:pPr>
        <w:ind w:left="4964" w:hanging="360"/>
      </w:pPr>
      <w:rPr>
        <w:rFonts w:ascii="Symbol" w:hAnsi="Symbol" w:hint="default"/>
      </w:rPr>
    </w:lvl>
    <w:lvl w:ilvl="7" w:tplc="040C0019" w:tentative="1">
      <w:start w:val="1"/>
      <w:numFmt w:val="bullet"/>
      <w:lvlText w:val="o"/>
      <w:lvlJc w:val="left"/>
      <w:pPr>
        <w:ind w:left="5684" w:hanging="360"/>
      </w:pPr>
      <w:rPr>
        <w:rFonts w:ascii="Courier New" w:hAnsi="Courier New" w:cs="Symbol" w:hint="default"/>
      </w:rPr>
    </w:lvl>
    <w:lvl w:ilvl="8" w:tplc="040C001B" w:tentative="1">
      <w:start w:val="1"/>
      <w:numFmt w:val="bullet"/>
      <w:lvlText w:val=""/>
      <w:lvlJc w:val="left"/>
      <w:pPr>
        <w:ind w:left="6404" w:hanging="360"/>
      </w:pPr>
      <w:rPr>
        <w:rFonts w:ascii="Wingdings" w:hAnsi="Wingdings" w:hint="default"/>
      </w:rPr>
    </w:lvl>
  </w:abstractNum>
  <w:abstractNum w:abstractNumId="184" w15:restartNumberingAfterBreak="0">
    <w:nsid w:val="5E442853"/>
    <w:multiLevelType w:val="hybridMultilevel"/>
    <w:tmpl w:val="80FCD372"/>
    <w:lvl w:ilvl="0" w:tplc="B7747DAC">
      <w:numFmt w:val="bullet"/>
      <w:pStyle w:val="HEADER5"/>
      <w:lvlText w:val="-"/>
      <w:lvlJc w:val="left"/>
      <w:pPr>
        <w:tabs>
          <w:tab w:val="num" w:pos="2700"/>
        </w:tabs>
        <w:ind w:left="2700" w:hanging="720"/>
      </w:pPr>
      <w:rPr>
        <w:rFonts w:ascii="Times New Roman" w:eastAsia="Times New Roman" w:hAnsi="Times New Roman" w:cs="Times New Roman" w:hint="default"/>
        <w:i/>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5" w15:restartNumberingAfterBreak="0">
    <w:nsid w:val="5E9707F9"/>
    <w:multiLevelType w:val="hybridMultilevel"/>
    <w:tmpl w:val="55229446"/>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6" w15:restartNumberingAfterBreak="0">
    <w:nsid w:val="5F905D15"/>
    <w:multiLevelType w:val="hybridMultilevel"/>
    <w:tmpl w:val="0F14BDBE"/>
    <w:lvl w:ilvl="0" w:tplc="040C0001">
      <w:start w:val="1"/>
      <w:numFmt w:val="bullet"/>
      <w:lvlText w:val=""/>
      <w:lvlJc w:val="left"/>
      <w:pPr>
        <w:tabs>
          <w:tab w:val="num" w:pos="720"/>
        </w:tabs>
        <w:ind w:left="720" w:hanging="360"/>
      </w:pPr>
      <w:rPr>
        <w:rFonts w:ascii="Symbol" w:hAnsi="Symbol" w:hint="default"/>
      </w:rPr>
    </w:lvl>
    <w:lvl w:ilvl="1" w:tplc="B504DD3E">
      <w:start w:val="1"/>
      <w:numFmt w:val="bullet"/>
      <w:lvlText w:val=""/>
      <w:lvlJc w:val="left"/>
      <w:pPr>
        <w:tabs>
          <w:tab w:val="num" w:pos="1440"/>
        </w:tabs>
        <w:ind w:left="1440" w:hanging="360"/>
      </w:pPr>
      <w:rPr>
        <w:rFonts w:ascii="Wingdings" w:hAnsi="Wingdings"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87" w15:restartNumberingAfterBreak="0">
    <w:nsid w:val="610E2D10"/>
    <w:multiLevelType w:val="hybridMultilevel"/>
    <w:tmpl w:val="EE8C34F8"/>
    <w:lvl w:ilvl="0" w:tplc="040C000F">
      <w:start w:val="1"/>
      <w:numFmt w:val="decimal"/>
      <w:lvlText w:val="%1."/>
      <w:lvlJc w:val="left"/>
      <w:pPr>
        <w:ind w:left="1800" w:hanging="360"/>
      </w:pPr>
      <w:rPr>
        <w:rFonts w:hint="default"/>
      </w:r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188" w15:restartNumberingAfterBreak="0">
    <w:nsid w:val="614A2411"/>
    <w:multiLevelType w:val="hybridMultilevel"/>
    <w:tmpl w:val="EE8C34F8"/>
    <w:lvl w:ilvl="0" w:tplc="040C000F">
      <w:start w:val="1"/>
      <w:numFmt w:val="decimal"/>
      <w:lvlText w:val="%1."/>
      <w:lvlJc w:val="left"/>
      <w:pPr>
        <w:ind w:left="1800" w:hanging="360"/>
      </w:pPr>
      <w:rPr>
        <w:rFonts w:hint="default"/>
      </w:r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189" w15:restartNumberingAfterBreak="0">
    <w:nsid w:val="61537F9F"/>
    <w:multiLevelType w:val="hybridMultilevel"/>
    <w:tmpl w:val="B88A2830"/>
    <w:lvl w:ilvl="0" w:tplc="F51E0BEC">
      <w:start w:val="2"/>
      <w:numFmt w:val="bullet"/>
      <w:lvlText w:val="-"/>
      <w:lvlJc w:val="left"/>
      <w:pPr>
        <w:ind w:left="720" w:hanging="360"/>
      </w:pPr>
      <w:rPr>
        <w:rFonts w:ascii="Times New Roman" w:eastAsia="Times New Roman" w:hAnsi="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0" w15:restartNumberingAfterBreak="0">
    <w:nsid w:val="61E8484D"/>
    <w:multiLevelType w:val="hybridMultilevel"/>
    <w:tmpl w:val="E4B6A6E6"/>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91" w15:restartNumberingAfterBreak="0">
    <w:nsid w:val="62B744DB"/>
    <w:multiLevelType w:val="hybridMultilevel"/>
    <w:tmpl w:val="BA4C742C"/>
    <w:lvl w:ilvl="0" w:tplc="1690E9D6">
      <w:start w:val="1"/>
      <w:numFmt w:val="bullet"/>
      <w:pStyle w:val="StyleListe"/>
      <w:lvlText w:val=""/>
      <w:lvlJc w:val="left"/>
      <w:pPr>
        <w:ind w:left="579" w:hanging="360"/>
      </w:pPr>
      <w:rPr>
        <w:rFonts w:ascii="Wingdings" w:hAnsi="Wingdings" w:hint="default"/>
      </w:rPr>
    </w:lvl>
    <w:lvl w:ilvl="1" w:tplc="040C0003" w:tentative="1">
      <w:start w:val="1"/>
      <w:numFmt w:val="bullet"/>
      <w:lvlText w:val="o"/>
      <w:lvlJc w:val="left"/>
      <w:pPr>
        <w:ind w:left="1299" w:hanging="360"/>
      </w:pPr>
      <w:rPr>
        <w:rFonts w:ascii="Courier New" w:hAnsi="Courier New" w:cs="Courier New" w:hint="default"/>
      </w:rPr>
    </w:lvl>
    <w:lvl w:ilvl="2" w:tplc="040C0005" w:tentative="1">
      <w:start w:val="1"/>
      <w:numFmt w:val="bullet"/>
      <w:lvlText w:val=""/>
      <w:lvlJc w:val="left"/>
      <w:pPr>
        <w:ind w:left="2019" w:hanging="360"/>
      </w:pPr>
      <w:rPr>
        <w:rFonts w:ascii="Wingdings" w:hAnsi="Wingdings" w:hint="default"/>
      </w:rPr>
    </w:lvl>
    <w:lvl w:ilvl="3" w:tplc="040C0001" w:tentative="1">
      <w:start w:val="1"/>
      <w:numFmt w:val="bullet"/>
      <w:lvlText w:val=""/>
      <w:lvlJc w:val="left"/>
      <w:pPr>
        <w:ind w:left="2739" w:hanging="360"/>
      </w:pPr>
      <w:rPr>
        <w:rFonts w:ascii="Symbol" w:hAnsi="Symbol" w:hint="default"/>
      </w:rPr>
    </w:lvl>
    <w:lvl w:ilvl="4" w:tplc="040C0003" w:tentative="1">
      <w:start w:val="1"/>
      <w:numFmt w:val="bullet"/>
      <w:lvlText w:val="o"/>
      <w:lvlJc w:val="left"/>
      <w:pPr>
        <w:ind w:left="3459" w:hanging="360"/>
      </w:pPr>
      <w:rPr>
        <w:rFonts w:ascii="Courier New" w:hAnsi="Courier New" w:cs="Courier New" w:hint="default"/>
      </w:rPr>
    </w:lvl>
    <w:lvl w:ilvl="5" w:tplc="040C0005" w:tentative="1">
      <w:start w:val="1"/>
      <w:numFmt w:val="bullet"/>
      <w:lvlText w:val=""/>
      <w:lvlJc w:val="left"/>
      <w:pPr>
        <w:ind w:left="4179" w:hanging="360"/>
      </w:pPr>
      <w:rPr>
        <w:rFonts w:ascii="Wingdings" w:hAnsi="Wingdings" w:hint="default"/>
      </w:rPr>
    </w:lvl>
    <w:lvl w:ilvl="6" w:tplc="040C0001" w:tentative="1">
      <w:start w:val="1"/>
      <w:numFmt w:val="bullet"/>
      <w:lvlText w:val=""/>
      <w:lvlJc w:val="left"/>
      <w:pPr>
        <w:ind w:left="4899" w:hanging="360"/>
      </w:pPr>
      <w:rPr>
        <w:rFonts w:ascii="Symbol" w:hAnsi="Symbol" w:hint="default"/>
      </w:rPr>
    </w:lvl>
    <w:lvl w:ilvl="7" w:tplc="040C0003" w:tentative="1">
      <w:start w:val="1"/>
      <w:numFmt w:val="bullet"/>
      <w:lvlText w:val="o"/>
      <w:lvlJc w:val="left"/>
      <w:pPr>
        <w:ind w:left="5619" w:hanging="360"/>
      </w:pPr>
      <w:rPr>
        <w:rFonts w:ascii="Courier New" w:hAnsi="Courier New" w:cs="Courier New" w:hint="default"/>
      </w:rPr>
    </w:lvl>
    <w:lvl w:ilvl="8" w:tplc="040C0005" w:tentative="1">
      <w:start w:val="1"/>
      <w:numFmt w:val="bullet"/>
      <w:lvlText w:val=""/>
      <w:lvlJc w:val="left"/>
      <w:pPr>
        <w:ind w:left="6339" w:hanging="360"/>
      </w:pPr>
      <w:rPr>
        <w:rFonts w:ascii="Wingdings" w:hAnsi="Wingdings" w:hint="default"/>
      </w:rPr>
    </w:lvl>
  </w:abstractNum>
  <w:abstractNum w:abstractNumId="192" w15:restartNumberingAfterBreak="0">
    <w:nsid w:val="631A1BFD"/>
    <w:multiLevelType w:val="hybridMultilevel"/>
    <w:tmpl w:val="FB5EDA2C"/>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3" w15:restartNumberingAfterBreak="0">
    <w:nsid w:val="636F591A"/>
    <w:multiLevelType w:val="hybridMultilevel"/>
    <w:tmpl w:val="1592FDBE"/>
    <w:lvl w:ilvl="0" w:tplc="040C0007">
      <w:start w:val="1"/>
      <w:numFmt w:val="bullet"/>
      <w:lvlText w:val=""/>
      <w:lvlPicBulletId w:val="0"/>
      <w:lvlJc w:val="left"/>
      <w:pPr>
        <w:tabs>
          <w:tab w:val="num" w:pos="1080"/>
        </w:tabs>
        <w:ind w:left="1080" w:hanging="360"/>
      </w:pPr>
      <w:rPr>
        <w:rFonts w:ascii="Symbol" w:hAnsi="Symbol" w:hint="default"/>
      </w:rPr>
    </w:lvl>
    <w:lvl w:ilvl="1" w:tplc="040C0003">
      <w:start w:val="1"/>
      <w:numFmt w:val="bullet"/>
      <w:lvlRestart w:val="0"/>
      <w:lvlText w:val="o"/>
      <w:lvlJc w:val="left"/>
      <w:pPr>
        <w:tabs>
          <w:tab w:val="num" w:pos="1800"/>
        </w:tabs>
        <w:ind w:left="1800" w:hanging="360"/>
      </w:pPr>
      <w:rPr>
        <w:rFonts w:ascii="Courier New" w:hAnsi="Courier New" w:cs="Courier New" w:hint="default"/>
      </w:rPr>
    </w:lvl>
    <w:lvl w:ilvl="2" w:tplc="040C0005">
      <w:start w:val="1"/>
      <w:numFmt w:val="bullet"/>
      <w:lvlRestart w:val="0"/>
      <w:lvlText w:val=""/>
      <w:lvlJc w:val="left"/>
      <w:pPr>
        <w:tabs>
          <w:tab w:val="num" w:pos="2520"/>
        </w:tabs>
        <w:ind w:left="2520" w:hanging="360"/>
      </w:pPr>
      <w:rPr>
        <w:rFonts w:ascii="Wingdings" w:hAnsi="Wingdings" w:hint="default"/>
      </w:rPr>
    </w:lvl>
    <w:lvl w:ilvl="3" w:tplc="040C0001">
      <w:start w:val="1"/>
      <w:numFmt w:val="bullet"/>
      <w:lvlRestart w:val="0"/>
      <w:lvlText w:val=""/>
      <w:lvlJc w:val="left"/>
      <w:pPr>
        <w:tabs>
          <w:tab w:val="num" w:pos="3240"/>
        </w:tabs>
        <w:ind w:left="3240" w:hanging="360"/>
      </w:pPr>
      <w:rPr>
        <w:rFonts w:ascii="Symbol" w:hAnsi="Symbol" w:hint="default"/>
      </w:rPr>
    </w:lvl>
    <w:lvl w:ilvl="4" w:tplc="040C0003">
      <w:start w:val="1"/>
      <w:numFmt w:val="bullet"/>
      <w:lvlRestart w:val="0"/>
      <w:lvlText w:val="o"/>
      <w:lvlJc w:val="left"/>
      <w:pPr>
        <w:tabs>
          <w:tab w:val="num" w:pos="3960"/>
        </w:tabs>
        <w:ind w:left="3960" w:hanging="360"/>
      </w:pPr>
      <w:rPr>
        <w:rFonts w:ascii="Courier New" w:hAnsi="Courier New" w:cs="Courier New" w:hint="default"/>
      </w:rPr>
    </w:lvl>
    <w:lvl w:ilvl="5" w:tplc="040C0005">
      <w:start w:val="1"/>
      <w:numFmt w:val="bullet"/>
      <w:lvlRestart w:val="0"/>
      <w:lvlText w:val=""/>
      <w:lvlJc w:val="left"/>
      <w:pPr>
        <w:tabs>
          <w:tab w:val="num" w:pos="4680"/>
        </w:tabs>
        <w:ind w:left="4680" w:hanging="360"/>
      </w:pPr>
      <w:rPr>
        <w:rFonts w:ascii="Wingdings" w:hAnsi="Wingdings" w:hint="default"/>
      </w:rPr>
    </w:lvl>
    <w:lvl w:ilvl="6" w:tplc="040C0001">
      <w:start w:val="1"/>
      <w:numFmt w:val="bullet"/>
      <w:lvlRestart w:val="0"/>
      <w:lvlText w:val=""/>
      <w:lvlJc w:val="left"/>
      <w:pPr>
        <w:tabs>
          <w:tab w:val="num" w:pos="5400"/>
        </w:tabs>
        <w:ind w:left="5400" w:hanging="360"/>
      </w:pPr>
      <w:rPr>
        <w:rFonts w:ascii="Symbol" w:hAnsi="Symbol" w:hint="default"/>
      </w:rPr>
    </w:lvl>
    <w:lvl w:ilvl="7" w:tplc="040C0003">
      <w:start w:val="1"/>
      <w:numFmt w:val="bullet"/>
      <w:lvlRestart w:val="0"/>
      <w:lvlText w:val="o"/>
      <w:lvlJc w:val="left"/>
      <w:pPr>
        <w:tabs>
          <w:tab w:val="num" w:pos="6120"/>
        </w:tabs>
        <w:ind w:left="6120" w:hanging="360"/>
      </w:pPr>
      <w:rPr>
        <w:rFonts w:ascii="Courier New" w:hAnsi="Courier New" w:cs="Courier New" w:hint="default"/>
      </w:rPr>
    </w:lvl>
    <w:lvl w:ilvl="8" w:tplc="040C0005">
      <w:start w:val="1"/>
      <w:numFmt w:val="bullet"/>
      <w:lvlRestart w:val="0"/>
      <w:lvlText w:val=""/>
      <w:lvlJc w:val="left"/>
      <w:pPr>
        <w:tabs>
          <w:tab w:val="num" w:pos="6840"/>
        </w:tabs>
        <w:ind w:left="6840" w:hanging="360"/>
      </w:pPr>
      <w:rPr>
        <w:rFonts w:ascii="Wingdings" w:hAnsi="Wingdings" w:hint="default"/>
      </w:rPr>
    </w:lvl>
  </w:abstractNum>
  <w:abstractNum w:abstractNumId="194" w15:restartNumberingAfterBreak="0">
    <w:nsid w:val="65E2555A"/>
    <w:multiLevelType w:val="hybridMultilevel"/>
    <w:tmpl w:val="CB285CE0"/>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5" w15:restartNumberingAfterBreak="0">
    <w:nsid w:val="6620364B"/>
    <w:multiLevelType w:val="hybridMultilevel"/>
    <w:tmpl w:val="529218AA"/>
    <w:lvl w:ilvl="0" w:tplc="426A331E">
      <w:start w:val="1"/>
      <w:numFmt w:val="lowerRoman"/>
      <w:lvlText w:val="(%1)"/>
      <w:lvlJc w:val="left"/>
      <w:pPr>
        <w:ind w:left="1080" w:hanging="720"/>
      </w:pPr>
      <w:rPr>
        <w:rFonts w:hint="default"/>
      </w:rPr>
    </w:lvl>
    <w:lvl w:ilvl="1" w:tplc="7C880CEC">
      <w:start w:val="1"/>
      <w:numFmt w:val="lowerRoman"/>
      <w:lvlText w:val="%2."/>
      <w:lvlJc w:val="left"/>
      <w:pPr>
        <w:ind w:left="1800" w:hanging="720"/>
      </w:pPr>
      <w:rPr>
        <w:rFonts w:hint="default"/>
      </w:r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96" w15:restartNumberingAfterBreak="0">
    <w:nsid w:val="66481952"/>
    <w:multiLevelType w:val="hybridMultilevel"/>
    <w:tmpl w:val="420EA16A"/>
    <w:lvl w:ilvl="0" w:tplc="A28EC0BA">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97" w15:restartNumberingAfterBreak="0">
    <w:nsid w:val="66C023C7"/>
    <w:multiLevelType w:val="hybridMultilevel"/>
    <w:tmpl w:val="474CAF70"/>
    <w:lvl w:ilvl="0" w:tplc="DA0472F2">
      <w:start w:val="13"/>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8" w15:restartNumberingAfterBreak="0">
    <w:nsid w:val="67003AF1"/>
    <w:multiLevelType w:val="multilevel"/>
    <w:tmpl w:val="44C25444"/>
    <w:lvl w:ilvl="0">
      <w:start w:val="1"/>
      <w:numFmt w:val="upperRoman"/>
      <w:pStyle w:val="Cabealho1"/>
      <w:lvlText w:val="%1."/>
      <w:lvlJc w:val="right"/>
      <w:pPr>
        <w:ind w:left="787" w:hanging="360"/>
      </w:pPr>
      <w:rPr>
        <w:color w:val="auto"/>
      </w:rPr>
    </w:lvl>
    <w:lvl w:ilvl="1">
      <w:start w:val="2"/>
      <w:numFmt w:val="decimal"/>
      <w:isLgl/>
      <w:lvlText w:val="%1.%2"/>
      <w:lvlJc w:val="left"/>
      <w:pPr>
        <w:ind w:left="1377" w:hanging="810"/>
      </w:pPr>
    </w:lvl>
    <w:lvl w:ilvl="2">
      <w:start w:val="2"/>
      <w:numFmt w:val="decimal"/>
      <w:isLgl/>
      <w:lvlText w:val="%1.%2.%3"/>
      <w:lvlJc w:val="left"/>
      <w:pPr>
        <w:ind w:left="1517" w:hanging="810"/>
      </w:pPr>
      <w:rPr>
        <w:rFonts w:asciiTheme="majorHAnsi" w:hAnsiTheme="majorHAnsi" w:cs="Times New Roman" w:hint="default"/>
        <w:b/>
        <w:color w:val="auto"/>
        <w:sz w:val="28"/>
        <w:szCs w:val="28"/>
      </w:rPr>
    </w:lvl>
    <w:lvl w:ilvl="3">
      <w:start w:val="1"/>
      <w:numFmt w:val="decimal"/>
      <w:isLgl/>
      <w:lvlText w:val="%1.%2.%3.%4"/>
      <w:lvlJc w:val="left"/>
      <w:pPr>
        <w:ind w:left="1657" w:hanging="810"/>
      </w:pPr>
    </w:lvl>
    <w:lvl w:ilvl="4">
      <w:start w:val="1"/>
      <w:numFmt w:val="decimal"/>
      <w:isLgl/>
      <w:lvlText w:val="%1.%2.%3.%4.%5"/>
      <w:lvlJc w:val="left"/>
      <w:pPr>
        <w:ind w:left="2067" w:hanging="1080"/>
      </w:pPr>
    </w:lvl>
    <w:lvl w:ilvl="5">
      <w:start w:val="1"/>
      <w:numFmt w:val="decimal"/>
      <w:isLgl/>
      <w:lvlText w:val="%1.%2.%3.%4.%5.%6"/>
      <w:lvlJc w:val="left"/>
      <w:pPr>
        <w:ind w:left="2207" w:hanging="1080"/>
      </w:pPr>
    </w:lvl>
    <w:lvl w:ilvl="6">
      <w:start w:val="1"/>
      <w:numFmt w:val="decimal"/>
      <w:isLgl/>
      <w:lvlText w:val="%1.%2.%3.%4.%5.%6.%7"/>
      <w:lvlJc w:val="left"/>
      <w:pPr>
        <w:ind w:left="2707" w:hanging="1440"/>
      </w:pPr>
    </w:lvl>
    <w:lvl w:ilvl="7">
      <w:start w:val="1"/>
      <w:numFmt w:val="decimal"/>
      <w:isLgl/>
      <w:lvlText w:val="%1.%2.%3.%4.%5.%6.%7.%8"/>
      <w:lvlJc w:val="left"/>
      <w:pPr>
        <w:ind w:left="2847" w:hanging="1440"/>
      </w:pPr>
    </w:lvl>
    <w:lvl w:ilvl="8">
      <w:start w:val="1"/>
      <w:numFmt w:val="decimal"/>
      <w:isLgl/>
      <w:lvlText w:val="%1.%2.%3.%4.%5.%6.%7.%8.%9"/>
      <w:lvlJc w:val="left"/>
      <w:pPr>
        <w:ind w:left="2987" w:hanging="1440"/>
      </w:pPr>
    </w:lvl>
  </w:abstractNum>
  <w:abstractNum w:abstractNumId="199" w15:restartNumberingAfterBreak="0">
    <w:nsid w:val="67236722"/>
    <w:multiLevelType w:val="hybridMultilevel"/>
    <w:tmpl w:val="EE8C34F8"/>
    <w:lvl w:ilvl="0" w:tplc="040C000F">
      <w:start w:val="1"/>
      <w:numFmt w:val="decimal"/>
      <w:lvlText w:val="%1."/>
      <w:lvlJc w:val="left"/>
      <w:pPr>
        <w:ind w:left="1800" w:hanging="360"/>
      </w:pPr>
      <w:rPr>
        <w:rFonts w:hint="default"/>
      </w:r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200" w15:restartNumberingAfterBreak="0">
    <w:nsid w:val="6748751F"/>
    <w:multiLevelType w:val="hybridMultilevel"/>
    <w:tmpl w:val="EA348082"/>
    <w:lvl w:ilvl="0" w:tplc="08160001">
      <w:start w:val="1"/>
      <w:numFmt w:val="bullet"/>
      <w:lvlText w:val=""/>
      <w:lvlJc w:val="left"/>
      <w:pPr>
        <w:ind w:left="720" w:hanging="360"/>
      </w:pPr>
      <w:rPr>
        <w:rFonts w:ascii="Symbol" w:hAnsi="Symbol" w:hint="default"/>
      </w:rPr>
    </w:lvl>
    <w:lvl w:ilvl="1" w:tplc="08160001">
      <w:start w:val="1"/>
      <w:numFmt w:val="bullet"/>
      <w:lvlText w:val=""/>
      <w:lvlJc w:val="left"/>
      <w:pPr>
        <w:ind w:left="1440" w:hanging="360"/>
      </w:pPr>
      <w:rPr>
        <w:rFonts w:ascii="Symbol" w:hAnsi="Symbol" w:hint="default"/>
      </w:rPr>
    </w:lvl>
    <w:lvl w:ilvl="2" w:tplc="8DE63854">
      <w:numFmt w:val="bullet"/>
      <w:lvlText w:val="•"/>
      <w:lvlJc w:val="left"/>
      <w:pPr>
        <w:ind w:left="2160" w:hanging="360"/>
      </w:pPr>
      <w:rPr>
        <w:rFonts w:ascii="SymbolMT" w:eastAsia="SymbolMT" w:hAnsi="SymbolMT" w:cs="SymbolMT" w:hint="eastAsia"/>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01" w15:restartNumberingAfterBreak="0">
    <w:nsid w:val="676E29C1"/>
    <w:multiLevelType w:val="hybridMultilevel"/>
    <w:tmpl w:val="13561DCE"/>
    <w:lvl w:ilvl="0" w:tplc="2DCEC750">
      <w:start w:val="1"/>
      <w:numFmt w:val="upperRoman"/>
      <w:pStyle w:val="Section8Header1"/>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2" w15:restartNumberingAfterBreak="0">
    <w:nsid w:val="67F3248A"/>
    <w:multiLevelType w:val="hybridMultilevel"/>
    <w:tmpl w:val="F4423D34"/>
    <w:lvl w:ilvl="0" w:tplc="08160001">
      <w:start w:val="1"/>
      <w:numFmt w:val="bullet"/>
      <w:lvlText w:val=""/>
      <w:lvlJc w:val="left"/>
      <w:pPr>
        <w:ind w:left="1800" w:hanging="360"/>
      </w:pPr>
      <w:rPr>
        <w:rFonts w:ascii="Symbol" w:hAnsi="Symbol" w:hint="default"/>
      </w:rPr>
    </w:lvl>
    <w:lvl w:ilvl="1" w:tplc="08160003" w:tentative="1">
      <w:start w:val="1"/>
      <w:numFmt w:val="bullet"/>
      <w:lvlText w:val="o"/>
      <w:lvlJc w:val="left"/>
      <w:pPr>
        <w:ind w:left="2520" w:hanging="360"/>
      </w:pPr>
      <w:rPr>
        <w:rFonts w:ascii="Courier New" w:hAnsi="Courier New" w:cs="Courier New" w:hint="default"/>
      </w:rPr>
    </w:lvl>
    <w:lvl w:ilvl="2" w:tplc="08160005" w:tentative="1">
      <w:start w:val="1"/>
      <w:numFmt w:val="bullet"/>
      <w:lvlText w:val=""/>
      <w:lvlJc w:val="left"/>
      <w:pPr>
        <w:ind w:left="3240" w:hanging="360"/>
      </w:pPr>
      <w:rPr>
        <w:rFonts w:ascii="Wingdings" w:hAnsi="Wingdings" w:hint="default"/>
      </w:rPr>
    </w:lvl>
    <w:lvl w:ilvl="3" w:tplc="08160001" w:tentative="1">
      <w:start w:val="1"/>
      <w:numFmt w:val="bullet"/>
      <w:lvlText w:val=""/>
      <w:lvlJc w:val="left"/>
      <w:pPr>
        <w:ind w:left="3960" w:hanging="360"/>
      </w:pPr>
      <w:rPr>
        <w:rFonts w:ascii="Symbol" w:hAnsi="Symbol" w:hint="default"/>
      </w:rPr>
    </w:lvl>
    <w:lvl w:ilvl="4" w:tplc="08160003" w:tentative="1">
      <w:start w:val="1"/>
      <w:numFmt w:val="bullet"/>
      <w:lvlText w:val="o"/>
      <w:lvlJc w:val="left"/>
      <w:pPr>
        <w:ind w:left="4680" w:hanging="360"/>
      </w:pPr>
      <w:rPr>
        <w:rFonts w:ascii="Courier New" w:hAnsi="Courier New" w:cs="Courier New" w:hint="default"/>
      </w:rPr>
    </w:lvl>
    <w:lvl w:ilvl="5" w:tplc="08160005" w:tentative="1">
      <w:start w:val="1"/>
      <w:numFmt w:val="bullet"/>
      <w:lvlText w:val=""/>
      <w:lvlJc w:val="left"/>
      <w:pPr>
        <w:ind w:left="5400" w:hanging="360"/>
      </w:pPr>
      <w:rPr>
        <w:rFonts w:ascii="Wingdings" w:hAnsi="Wingdings" w:hint="default"/>
      </w:rPr>
    </w:lvl>
    <w:lvl w:ilvl="6" w:tplc="08160001" w:tentative="1">
      <w:start w:val="1"/>
      <w:numFmt w:val="bullet"/>
      <w:lvlText w:val=""/>
      <w:lvlJc w:val="left"/>
      <w:pPr>
        <w:ind w:left="6120" w:hanging="360"/>
      </w:pPr>
      <w:rPr>
        <w:rFonts w:ascii="Symbol" w:hAnsi="Symbol" w:hint="default"/>
      </w:rPr>
    </w:lvl>
    <w:lvl w:ilvl="7" w:tplc="08160003" w:tentative="1">
      <w:start w:val="1"/>
      <w:numFmt w:val="bullet"/>
      <w:lvlText w:val="o"/>
      <w:lvlJc w:val="left"/>
      <w:pPr>
        <w:ind w:left="6840" w:hanging="360"/>
      </w:pPr>
      <w:rPr>
        <w:rFonts w:ascii="Courier New" w:hAnsi="Courier New" w:cs="Courier New" w:hint="default"/>
      </w:rPr>
    </w:lvl>
    <w:lvl w:ilvl="8" w:tplc="08160005" w:tentative="1">
      <w:start w:val="1"/>
      <w:numFmt w:val="bullet"/>
      <w:lvlText w:val=""/>
      <w:lvlJc w:val="left"/>
      <w:pPr>
        <w:ind w:left="7560" w:hanging="360"/>
      </w:pPr>
      <w:rPr>
        <w:rFonts w:ascii="Wingdings" w:hAnsi="Wingdings" w:hint="default"/>
      </w:rPr>
    </w:lvl>
  </w:abstractNum>
  <w:abstractNum w:abstractNumId="203" w15:restartNumberingAfterBreak="0">
    <w:nsid w:val="68456E7B"/>
    <w:multiLevelType w:val="hybridMultilevel"/>
    <w:tmpl w:val="AB1E1820"/>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4" w15:restartNumberingAfterBreak="0">
    <w:nsid w:val="68537C3F"/>
    <w:multiLevelType w:val="multilevel"/>
    <w:tmpl w:val="B63E0C82"/>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5" w15:restartNumberingAfterBreak="0">
    <w:nsid w:val="68997C9B"/>
    <w:multiLevelType w:val="hybridMultilevel"/>
    <w:tmpl w:val="40989876"/>
    <w:lvl w:ilvl="0" w:tplc="040C0001">
      <w:start w:val="1"/>
      <w:numFmt w:val="bullet"/>
      <w:lvlText w:val=""/>
      <w:lvlJc w:val="left"/>
      <w:pPr>
        <w:ind w:left="870" w:hanging="360"/>
      </w:pPr>
      <w:rPr>
        <w:rFonts w:ascii="Symbol" w:hAnsi="Symbol" w:hint="default"/>
      </w:rPr>
    </w:lvl>
    <w:lvl w:ilvl="1" w:tplc="040C0003" w:tentative="1">
      <w:start w:val="1"/>
      <w:numFmt w:val="bullet"/>
      <w:lvlText w:val="o"/>
      <w:lvlJc w:val="left"/>
      <w:pPr>
        <w:ind w:left="1590" w:hanging="360"/>
      </w:pPr>
      <w:rPr>
        <w:rFonts w:ascii="Courier New" w:hAnsi="Courier New" w:cs="Courier New" w:hint="default"/>
      </w:rPr>
    </w:lvl>
    <w:lvl w:ilvl="2" w:tplc="040C0005" w:tentative="1">
      <w:start w:val="1"/>
      <w:numFmt w:val="bullet"/>
      <w:lvlText w:val=""/>
      <w:lvlJc w:val="left"/>
      <w:pPr>
        <w:ind w:left="2310" w:hanging="360"/>
      </w:pPr>
      <w:rPr>
        <w:rFonts w:ascii="Wingdings" w:hAnsi="Wingdings" w:hint="default"/>
      </w:rPr>
    </w:lvl>
    <w:lvl w:ilvl="3" w:tplc="040C0001" w:tentative="1">
      <w:start w:val="1"/>
      <w:numFmt w:val="bullet"/>
      <w:lvlText w:val=""/>
      <w:lvlJc w:val="left"/>
      <w:pPr>
        <w:ind w:left="3030" w:hanging="360"/>
      </w:pPr>
      <w:rPr>
        <w:rFonts w:ascii="Symbol" w:hAnsi="Symbol" w:hint="default"/>
      </w:rPr>
    </w:lvl>
    <w:lvl w:ilvl="4" w:tplc="040C0003" w:tentative="1">
      <w:start w:val="1"/>
      <w:numFmt w:val="bullet"/>
      <w:lvlText w:val="o"/>
      <w:lvlJc w:val="left"/>
      <w:pPr>
        <w:ind w:left="3750" w:hanging="360"/>
      </w:pPr>
      <w:rPr>
        <w:rFonts w:ascii="Courier New" w:hAnsi="Courier New" w:cs="Courier New" w:hint="default"/>
      </w:rPr>
    </w:lvl>
    <w:lvl w:ilvl="5" w:tplc="040C0005" w:tentative="1">
      <w:start w:val="1"/>
      <w:numFmt w:val="bullet"/>
      <w:lvlText w:val=""/>
      <w:lvlJc w:val="left"/>
      <w:pPr>
        <w:ind w:left="4470" w:hanging="360"/>
      </w:pPr>
      <w:rPr>
        <w:rFonts w:ascii="Wingdings" w:hAnsi="Wingdings" w:hint="default"/>
      </w:rPr>
    </w:lvl>
    <w:lvl w:ilvl="6" w:tplc="040C0001" w:tentative="1">
      <w:start w:val="1"/>
      <w:numFmt w:val="bullet"/>
      <w:lvlText w:val=""/>
      <w:lvlJc w:val="left"/>
      <w:pPr>
        <w:ind w:left="5190" w:hanging="360"/>
      </w:pPr>
      <w:rPr>
        <w:rFonts w:ascii="Symbol" w:hAnsi="Symbol" w:hint="default"/>
      </w:rPr>
    </w:lvl>
    <w:lvl w:ilvl="7" w:tplc="040C0003" w:tentative="1">
      <w:start w:val="1"/>
      <w:numFmt w:val="bullet"/>
      <w:lvlText w:val="o"/>
      <w:lvlJc w:val="left"/>
      <w:pPr>
        <w:ind w:left="5910" w:hanging="360"/>
      </w:pPr>
      <w:rPr>
        <w:rFonts w:ascii="Courier New" w:hAnsi="Courier New" w:cs="Courier New" w:hint="default"/>
      </w:rPr>
    </w:lvl>
    <w:lvl w:ilvl="8" w:tplc="040C0005" w:tentative="1">
      <w:start w:val="1"/>
      <w:numFmt w:val="bullet"/>
      <w:lvlText w:val=""/>
      <w:lvlJc w:val="left"/>
      <w:pPr>
        <w:ind w:left="6630" w:hanging="360"/>
      </w:pPr>
      <w:rPr>
        <w:rFonts w:ascii="Wingdings" w:hAnsi="Wingdings" w:hint="default"/>
      </w:rPr>
    </w:lvl>
  </w:abstractNum>
  <w:abstractNum w:abstractNumId="206" w15:restartNumberingAfterBreak="0">
    <w:nsid w:val="6A660C10"/>
    <w:multiLevelType w:val="hybridMultilevel"/>
    <w:tmpl w:val="F9CA4AA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7" w15:restartNumberingAfterBreak="0">
    <w:nsid w:val="6A8C5991"/>
    <w:multiLevelType w:val="hybridMultilevel"/>
    <w:tmpl w:val="C6B80664"/>
    <w:lvl w:ilvl="0" w:tplc="D9B0E274">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8" w15:restartNumberingAfterBreak="0">
    <w:nsid w:val="6B8F22A2"/>
    <w:multiLevelType w:val="multilevel"/>
    <w:tmpl w:val="D352693A"/>
    <w:lvl w:ilvl="0">
      <w:start w:val="2"/>
      <w:numFmt w:val="decimal"/>
      <w:lvlText w:val="%1."/>
      <w:lvlJc w:val="left"/>
      <w:pPr>
        <w:ind w:left="360" w:hanging="360"/>
      </w:pPr>
      <w:rPr>
        <w:rFonts w:hint="default"/>
      </w:rPr>
    </w:lvl>
    <w:lvl w:ilvl="1">
      <w:start w:val="7"/>
      <w:numFmt w:val="decimal"/>
      <w:lvlText w:val="%1.%2."/>
      <w:lvlJc w:val="left"/>
      <w:pPr>
        <w:ind w:left="900" w:hanging="36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209" w15:restartNumberingAfterBreak="0">
    <w:nsid w:val="6BBE1E3D"/>
    <w:multiLevelType w:val="hybridMultilevel"/>
    <w:tmpl w:val="93382FA0"/>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0" w15:restartNumberingAfterBreak="0">
    <w:nsid w:val="6C1D57F6"/>
    <w:multiLevelType w:val="hybridMultilevel"/>
    <w:tmpl w:val="A06CC7B2"/>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1" w15:restartNumberingAfterBreak="0">
    <w:nsid w:val="6C7502E7"/>
    <w:multiLevelType w:val="hybridMultilevel"/>
    <w:tmpl w:val="065E82B2"/>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2" w15:restartNumberingAfterBreak="0">
    <w:nsid w:val="6C87354A"/>
    <w:multiLevelType w:val="hybridMultilevel"/>
    <w:tmpl w:val="14CAD98C"/>
    <w:lvl w:ilvl="0" w:tplc="040C000D">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13" w15:restartNumberingAfterBreak="0">
    <w:nsid w:val="6C9D0E4A"/>
    <w:multiLevelType w:val="hybridMultilevel"/>
    <w:tmpl w:val="C2E4228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4" w15:restartNumberingAfterBreak="0">
    <w:nsid w:val="6CF0084D"/>
    <w:multiLevelType w:val="hybridMultilevel"/>
    <w:tmpl w:val="4DDA1418"/>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5" w15:restartNumberingAfterBreak="0">
    <w:nsid w:val="6DA51C8F"/>
    <w:multiLevelType w:val="hybridMultilevel"/>
    <w:tmpl w:val="A6048124"/>
    <w:lvl w:ilvl="0" w:tplc="B504DD3E">
      <w:start w:val="1"/>
      <w:numFmt w:val="bullet"/>
      <w:lvlText w:val=""/>
      <w:lvlJc w:val="left"/>
      <w:pPr>
        <w:tabs>
          <w:tab w:val="num" w:pos="1440"/>
        </w:tabs>
        <w:ind w:left="1440" w:hanging="360"/>
      </w:pPr>
      <w:rPr>
        <w:rFonts w:ascii="Wingdings" w:hAnsi="Wingdings"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16" w15:restartNumberingAfterBreak="0">
    <w:nsid w:val="6DCC6D43"/>
    <w:multiLevelType w:val="hybridMultilevel"/>
    <w:tmpl w:val="BE60E5E4"/>
    <w:lvl w:ilvl="0" w:tplc="FF4E1870">
      <w:start w:val="1"/>
      <w:numFmt w:val="lowerRoman"/>
      <w:pStyle w:val="ndiceremissivo1"/>
      <w:lvlText w:val="(%1)"/>
      <w:lvlJc w:val="left"/>
      <w:pPr>
        <w:ind w:left="9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7" w15:restartNumberingAfterBreak="0">
    <w:nsid w:val="6DE77CA7"/>
    <w:multiLevelType w:val="hybridMultilevel"/>
    <w:tmpl w:val="80F8473C"/>
    <w:lvl w:ilvl="0" w:tplc="C88E85C6">
      <w:start w:val="2002"/>
      <w:numFmt w:val="decimal"/>
      <w:pStyle w:val="Russite"/>
      <w:lvlText w:val="%1"/>
      <w:lvlJc w:val="left"/>
      <w:pPr>
        <w:tabs>
          <w:tab w:val="num" w:pos="1071"/>
        </w:tabs>
        <w:ind w:left="1071" w:hanging="930"/>
      </w:pPr>
      <w:rPr>
        <w:rFonts w:hint="default"/>
        <w:b w:val="0"/>
        <w:sz w:val="20"/>
      </w:rPr>
    </w:lvl>
    <w:lvl w:ilvl="1" w:tplc="040C0019" w:tentative="1">
      <w:start w:val="1"/>
      <w:numFmt w:val="lowerLetter"/>
      <w:lvlText w:val="%2."/>
      <w:lvlJc w:val="left"/>
      <w:pPr>
        <w:tabs>
          <w:tab w:val="num" w:pos="1221"/>
        </w:tabs>
        <w:ind w:left="1221" w:hanging="360"/>
      </w:pPr>
    </w:lvl>
    <w:lvl w:ilvl="2" w:tplc="040C001B" w:tentative="1">
      <w:start w:val="1"/>
      <w:numFmt w:val="lowerRoman"/>
      <w:lvlText w:val="%3."/>
      <w:lvlJc w:val="right"/>
      <w:pPr>
        <w:tabs>
          <w:tab w:val="num" w:pos="1941"/>
        </w:tabs>
        <w:ind w:left="1941" w:hanging="180"/>
      </w:pPr>
    </w:lvl>
    <w:lvl w:ilvl="3" w:tplc="040C000F" w:tentative="1">
      <w:start w:val="1"/>
      <w:numFmt w:val="decimal"/>
      <w:lvlText w:val="%4."/>
      <w:lvlJc w:val="left"/>
      <w:pPr>
        <w:tabs>
          <w:tab w:val="num" w:pos="2661"/>
        </w:tabs>
        <w:ind w:left="2661" w:hanging="360"/>
      </w:pPr>
    </w:lvl>
    <w:lvl w:ilvl="4" w:tplc="040C0019" w:tentative="1">
      <w:start w:val="1"/>
      <w:numFmt w:val="lowerLetter"/>
      <w:lvlText w:val="%5."/>
      <w:lvlJc w:val="left"/>
      <w:pPr>
        <w:tabs>
          <w:tab w:val="num" w:pos="3381"/>
        </w:tabs>
        <w:ind w:left="3381" w:hanging="360"/>
      </w:pPr>
    </w:lvl>
    <w:lvl w:ilvl="5" w:tplc="040C001B" w:tentative="1">
      <w:start w:val="1"/>
      <w:numFmt w:val="lowerRoman"/>
      <w:lvlText w:val="%6."/>
      <w:lvlJc w:val="right"/>
      <w:pPr>
        <w:tabs>
          <w:tab w:val="num" w:pos="4101"/>
        </w:tabs>
        <w:ind w:left="4101" w:hanging="180"/>
      </w:pPr>
    </w:lvl>
    <w:lvl w:ilvl="6" w:tplc="040C000F" w:tentative="1">
      <w:start w:val="1"/>
      <w:numFmt w:val="decimal"/>
      <w:lvlText w:val="%7."/>
      <w:lvlJc w:val="left"/>
      <w:pPr>
        <w:tabs>
          <w:tab w:val="num" w:pos="4821"/>
        </w:tabs>
        <w:ind w:left="4821" w:hanging="360"/>
      </w:pPr>
    </w:lvl>
    <w:lvl w:ilvl="7" w:tplc="040C0019" w:tentative="1">
      <w:start w:val="1"/>
      <w:numFmt w:val="lowerLetter"/>
      <w:lvlText w:val="%8."/>
      <w:lvlJc w:val="left"/>
      <w:pPr>
        <w:tabs>
          <w:tab w:val="num" w:pos="5541"/>
        </w:tabs>
        <w:ind w:left="5541" w:hanging="360"/>
      </w:pPr>
    </w:lvl>
    <w:lvl w:ilvl="8" w:tplc="040C001B" w:tentative="1">
      <w:start w:val="1"/>
      <w:numFmt w:val="lowerRoman"/>
      <w:lvlText w:val="%9."/>
      <w:lvlJc w:val="right"/>
      <w:pPr>
        <w:tabs>
          <w:tab w:val="num" w:pos="6261"/>
        </w:tabs>
        <w:ind w:left="6261" w:hanging="180"/>
      </w:pPr>
    </w:lvl>
  </w:abstractNum>
  <w:abstractNum w:abstractNumId="218" w15:restartNumberingAfterBreak="0">
    <w:nsid w:val="6E2A03CF"/>
    <w:multiLevelType w:val="multilevel"/>
    <w:tmpl w:val="B89479CC"/>
    <w:lvl w:ilvl="0">
      <w:start w:val="3"/>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219" w15:restartNumberingAfterBreak="0">
    <w:nsid w:val="6E492B14"/>
    <w:multiLevelType w:val="hybridMultilevel"/>
    <w:tmpl w:val="9B14D326"/>
    <w:lvl w:ilvl="0" w:tplc="3C2EFEA2">
      <w:numFmt w:val="bullet"/>
      <w:lvlText w:val="•"/>
      <w:lvlJc w:val="left"/>
      <w:pPr>
        <w:ind w:left="720" w:hanging="360"/>
      </w:pPr>
      <w:rPr>
        <w:rFonts w:ascii="Calibri" w:eastAsia="Calibri" w:hAnsi="Calibri" w:cs="Calibri" w:hint="default"/>
        <w:sz w:val="16"/>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20" w15:restartNumberingAfterBreak="0">
    <w:nsid w:val="6E4B7EF2"/>
    <w:multiLevelType w:val="hybridMultilevel"/>
    <w:tmpl w:val="CE22905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1" w15:restartNumberingAfterBreak="0">
    <w:nsid w:val="6F560FB7"/>
    <w:multiLevelType w:val="hybridMultilevel"/>
    <w:tmpl w:val="0E4E10CC"/>
    <w:lvl w:ilvl="0" w:tplc="0816000D">
      <w:start w:val="1"/>
      <w:numFmt w:val="bullet"/>
      <w:lvlText w:val=""/>
      <w:lvlJc w:val="left"/>
      <w:pPr>
        <w:ind w:left="720" w:hanging="360"/>
      </w:pPr>
      <w:rPr>
        <w:rFonts w:ascii="Wingdings" w:hAnsi="Wingdings"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22" w15:restartNumberingAfterBreak="0">
    <w:nsid w:val="70D864B4"/>
    <w:multiLevelType w:val="hybridMultilevel"/>
    <w:tmpl w:val="3ABCB1F0"/>
    <w:lvl w:ilvl="0" w:tplc="040C0001">
      <w:start w:val="1"/>
      <w:numFmt w:val="bullet"/>
      <w:lvlText w:val=""/>
      <w:lvlJc w:val="left"/>
      <w:pPr>
        <w:ind w:left="360" w:hanging="360"/>
      </w:pPr>
      <w:rPr>
        <w:rFonts w:ascii="Symbol" w:hAnsi="Symbol" w:hint="default"/>
      </w:rPr>
    </w:lvl>
    <w:lvl w:ilvl="1" w:tplc="0C0C0003" w:tentative="1">
      <w:start w:val="1"/>
      <w:numFmt w:val="bullet"/>
      <w:lvlText w:val="o"/>
      <w:lvlJc w:val="left"/>
      <w:pPr>
        <w:ind w:left="1080" w:hanging="360"/>
      </w:pPr>
      <w:rPr>
        <w:rFonts w:ascii="Courier New" w:hAnsi="Courier New" w:cs="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223" w15:restartNumberingAfterBreak="0">
    <w:nsid w:val="71E65CDE"/>
    <w:multiLevelType w:val="hybridMultilevel"/>
    <w:tmpl w:val="1A4428C4"/>
    <w:lvl w:ilvl="0" w:tplc="54FE1AC6">
      <w:start w:val="1"/>
      <w:numFmt w:val="bullet"/>
      <w:lvlText w:val="o"/>
      <w:lvlJc w:val="left"/>
      <w:pPr>
        <w:ind w:left="1068" w:hanging="360"/>
      </w:pPr>
      <w:rPr>
        <w:rFonts w:ascii="Courier New" w:hAnsi="Courier New" w:cs="Courier New" w:hint="default"/>
      </w:rPr>
    </w:lvl>
    <w:lvl w:ilvl="1" w:tplc="87C2885C">
      <w:start w:val="1"/>
      <w:numFmt w:val="bullet"/>
      <w:lvlText w:val="o"/>
      <w:lvlJc w:val="left"/>
      <w:pPr>
        <w:tabs>
          <w:tab w:val="num" w:pos="1788"/>
        </w:tabs>
        <w:ind w:left="1788" w:hanging="360"/>
      </w:pPr>
      <w:rPr>
        <w:rFonts w:ascii="Courier New" w:hAnsi="Courier New" w:hint="default"/>
      </w:rPr>
    </w:lvl>
    <w:lvl w:ilvl="2" w:tplc="040C0005">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224" w15:restartNumberingAfterBreak="0">
    <w:nsid w:val="71FA413C"/>
    <w:multiLevelType w:val="hybridMultilevel"/>
    <w:tmpl w:val="C9904604"/>
    <w:lvl w:ilvl="0" w:tplc="104237EC">
      <w:start w:val="1"/>
      <w:numFmt w:val="decimal"/>
      <w:pStyle w:val="ParaWB"/>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5" w15:restartNumberingAfterBreak="0">
    <w:nsid w:val="72267ED8"/>
    <w:multiLevelType w:val="hybridMultilevel"/>
    <w:tmpl w:val="E9FC2BC6"/>
    <w:lvl w:ilvl="0" w:tplc="0816000D">
      <w:start w:val="1"/>
      <w:numFmt w:val="bullet"/>
      <w:lvlText w:val=""/>
      <w:lvlJc w:val="left"/>
      <w:pPr>
        <w:ind w:left="1440" w:hanging="360"/>
      </w:pPr>
      <w:rPr>
        <w:rFonts w:ascii="Wingdings" w:hAnsi="Wingdings" w:hint="default"/>
      </w:rPr>
    </w:lvl>
    <w:lvl w:ilvl="1" w:tplc="08160003" w:tentative="1">
      <w:start w:val="1"/>
      <w:numFmt w:val="bullet"/>
      <w:lvlText w:val="o"/>
      <w:lvlJc w:val="left"/>
      <w:pPr>
        <w:ind w:left="2160" w:hanging="360"/>
      </w:pPr>
      <w:rPr>
        <w:rFonts w:ascii="Courier New" w:hAnsi="Courier New" w:cs="Courier New" w:hint="default"/>
      </w:rPr>
    </w:lvl>
    <w:lvl w:ilvl="2" w:tplc="08160005" w:tentative="1">
      <w:start w:val="1"/>
      <w:numFmt w:val="bullet"/>
      <w:lvlText w:val=""/>
      <w:lvlJc w:val="left"/>
      <w:pPr>
        <w:ind w:left="2880" w:hanging="360"/>
      </w:pPr>
      <w:rPr>
        <w:rFonts w:ascii="Wingdings" w:hAnsi="Wingdings" w:hint="default"/>
      </w:rPr>
    </w:lvl>
    <w:lvl w:ilvl="3" w:tplc="08160001" w:tentative="1">
      <w:start w:val="1"/>
      <w:numFmt w:val="bullet"/>
      <w:lvlText w:val=""/>
      <w:lvlJc w:val="left"/>
      <w:pPr>
        <w:ind w:left="3600" w:hanging="360"/>
      </w:pPr>
      <w:rPr>
        <w:rFonts w:ascii="Symbol" w:hAnsi="Symbol" w:hint="default"/>
      </w:rPr>
    </w:lvl>
    <w:lvl w:ilvl="4" w:tplc="08160003" w:tentative="1">
      <w:start w:val="1"/>
      <w:numFmt w:val="bullet"/>
      <w:lvlText w:val="o"/>
      <w:lvlJc w:val="left"/>
      <w:pPr>
        <w:ind w:left="4320" w:hanging="360"/>
      </w:pPr>
      <w:rPr>
        <w:rFonts w:ascii="Courier New" w:hAnsi="Courier New" w:cs="Courier New" w:hint="default"/>
      </w:rPr>
    </w:lvl>
    <w:lvl w:ilvl="5" w:tplc="08160005" w:tentative="1">
      <w:start w:val="1"/>
      <w:numFmt w:val="bullet"/>
      <w:lvlText w:val=""/>
      <w:lvlJc w:val="left"/>
      <w:pPr>
        <w:ind w:left="5040" w:hanging="360"/>
      </w:pPr>
      <w:rPr>
        <w:rFonts w:ascii="Wingdings" w:hAnsi="Wingdings" w:hint="default"/>
      </w:rPr>
    </w:lvl>
    <w:lvl w:ilvl="6" w:tplc="08160001" w:tentative="1">
      <w:start w:val="1"/>
      <w:numFmt w:val="bullet"/>
      <w:lvlText w:val=""/>
      <w:lvlJc w:val="left"/>
      <w:pPr>
        <w:ind w:left="5760" w:hanging="360"/>
      </w:pPr>
      <w:rPr>
        <w:rFonts w:ascii="Symbol" w:hAnsi="Symbol" w:hint="default"/>
      </w:rPr>
    </w:lvl>
    <w:lvl w:ilvl="7" w:tplc="08160003" w:tentative="1">
      <w:start w:val="1"/>
      <w:numFmt w:val="bullet"/>
      <w:lvlText w:val="o"/>
      <w:lvlJc w:val="left"/>
      <w:pPr>
        <w:ind w:left="6480" w:hanging="360"/>
      </w:pPr>
      <w:rPr>
        <w:rFonts w:ascii="Courier New" w:hAnsi="Courier New" w:cs="Courier New" w:hint="default"/>
      </w:rPr>
    </w:lvl>
    <w:lvl w:ilvl="8" w:tplc="08160005" w:tentative="1">
      <w:start w:val="1"/>
      <w:numFmt w:val="bullet"/>
      <w:lvlText w:val=""/>
      <w:lvlJc w:val="left"/>
      <w:pPr>
        <w:ind w:left="7200" w:hanging="360"/>
      </w:pPr>
      <w:rPr>
        <w:rFonts w:ascii="Wingdings" w:hAnsi="Wingdings" w:hint="default"/>
      </w:rPr>
    </w:lvl>
  </w:abstractNum>
  <w:abstractNum w:abstractNumId="226" w15:restartNumberingAfterBreak="0">
    <w:nsid w:val="749E34E0"/>
    <w:multiLevelType w:val="hybridMultilevel"/>
    <w:tmpl w:val="4B765B9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7" w15:restartNumberingAfterBreak="0">
    <w:nsid w:val="75A05E8A"/>
    <w:multiLevelType w:val="hybridMultilevel"/>
    <w:tmpl w:val="2076A0D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8" w15:restartNumberingAfterBreak="0">
    <w:nsid w:val="75A34599"/>
    <w:multiLevelType w:val="hybridMultilevel"/>
    <w:tmpl w:val="A974636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9" w15:restartNumberingAfterBreak="0">
    <w:nsid w:val="75CD122A"/>
    <w:multiLevelType w:val="hybridMultilevel"/>
    <w:tmpl w:val="FEE2C1E0"/>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0" w15:restartNumberingAfterBreak="0">
    <w:nsid w:val="76666F05"/>
    <w:multiLevelType w:val="hybridMultilevel"/>
    <w:tmpl w:val="BD5282E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1" w15:restartNumberingAfterBreak="0">
    <w:nsid w:val="76AF7059"/>
    <w:multiLevelType w:val="multilevel"/>
    <w:tmpl w:val="D3840974"/>
    <w:styleLink w:val="Style12"/>
    <w:lvl w:ilvl="0">
      <w:start w:val="4"/>
      <w:numFmt w:val="decimal"/>
      <w:lvlText w:val="%1."/>
      <w:lvlJc w:val="left"/>
      <w:pPr>
        <w:ind w:left="360" w:hanging="360"/>
      </w:pPr>
      <w:rPr>
        <w:rFonts w:hint="default"/>
      </w:rPr>
    </w:lvl>
    <w:lvl w:ilvl="1">
      <w:start w:val="1"/>
      <w:numFmt w:val="decimal"/>
      <w:lvlText w:val="%1.%2."/>
      <w:lvlJc w:val="left"/>
      <w:pPr>
        <w:ind w:left="851" w:hanging="851"/>
      </w:pPr>
      <w:rPr>
        <w:rFonts w:ascii="Times New Roman Gras" w:hAnsi="Times New Roman Gras" w:hint="default"/>
        <w:b/>
        <w:i w:val="0"/>
        <w:color w:val="auto"/>
        <w:sz w:val="24"/>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2" w15:restartNumberingAfterBreak="0">
    <w:nsid w:val="779722E1"/>
    <w:multiLevelType w:val="hybridMultilevel"/>
    <w:tmpl w:val="B1E2B562"/>
    <w:lvl w:ilvl="0" w:tplc="805CB88A">
      <w:numFmt w:val="bullet"/>
      <w:lvlText w:val="-"/>
      <w:lvlJc w:val="left"/>
      <w:pPr>
        <w:ind w:left="780" w:hanging="360"/>
      </w:pPr>
      <w:rPr>
        <w:rFonts w:ascii="Arial" w:eastAsia="Times New Roman" w:hAnsi="Arial" w:cs="Arial" w:hint="default"/>
      </w:rPr>
    </w:lvl>
    <w:lvl w:ilvl="1" w:tplc="040C0003" w:tentative="1">
      <w:start w:val="1"/>
      <w:numFmt w:val="bullet"/>
      <w:lvlText w:val="o"/>
      <w:lvlJc w:val="left"/>
      <w:pPr>
        <w:ind w:left="1500" w:hanging="360"/>
      </w:pPr>
      <w:rPr>
        <w:rFonts w:ascii="Courier New" w:hAnsi="Courier New" w:cs="Courier New" w:hint="default"/>
      </w:rPr>
    </w:lvl>
    <w:lvl w:ilvl="2" w:tplc="040C0005" w:tentative="1">
      <w:start w:val="1"/>
      <w:numFmt w:val="bullet"/>
      <w:lvlText w:val=""/>
      <w:lvlJc w:val="left"/>
      <w:pPr>
        <w:ind w:left="2220" w:hanging="360"/>
      </w:pPr>
      <w:rPr>
        <w:rFonts w:ascii="Wingdings" w:hAnsi="Wingdings" w:hint="default"/>
      </w:rPr>
    </w:lvl>
    <w:lvl w:ilvl="3" w:tplc="040C0001" w:tentative="1">
      <w:start w:val="1"/>
      <w:numFmt w:val="bullet"/>
      <w:lvlText w:val=""/>
      <w:lvlJc w:val="left"/>
      <w:pPr>
        <w:ind w:left="2940" w:hanging="360"/>
      </w:pPr>
      <w:rPr>
        <w:rFonts w:ascii="Symbol" w:hAnsi="Symbol" w:hint="default"/>
      </w:rPr>
    </w:lvl>
    <w:lvl w:ilvl="4" w:tplc="040C0003" w:tentative="1">
      <w:start w:val="1"/>
      <w:numFmt w:val="bullet"/>
      <w:lvlText w:val="o"/>
      <w:lvlJc w:val="left"/>
      <w:pPr>
        <w:ind w:left="3660" w:hanging="360"/>
      </w:pPr>
      <w:rPr>
        <w:rFonts w:ascii="Courier New" w:hAnsi="Courier New" w:cs="Courier New" w:hint="default"/>
      </w:rPr>
    </w:lvl>
    <w:lvl w:ilvl="5" w:tplc="040C0005" w:tentative="1">
      <w:start w:val="1"/>
      <w:numFmt w:val="bullet"/>
      <w:lvlText w:val=""/>
      <w:lvlJc w:val="left"/>
      <w:pPr>
        <w:ind w:left="4380" w:hanging="360"/>
      </w:pPr>
      <w:rPr>
        <w:rFonts w:ascii="Wingdings" w:hAnsi="Wingdings" w:hint="default"/>
      </w:rPr>
    </w:lvl>
    <w:lvl w:ilvl="6" w:tplc="040C0001" w:tentative="1">
      <w:start w:val="1"/>
      <w:numFmt w:val="bullet"/>
      <w:lvlText w:val=""/>
      <w:lvlJc w:val="left"/>
      <w:pPr>
        <w:ind w:left="5100" w:hanging="360"/>
      </w:pPr>
      <w:rPr>
        <w:rFonts w:ascii="Symbol" w:hAnsi="Symbol" w:hint="default"/>
      </w:rPr>
    </w:lvl>
    <w:lvl w:ilvl="7" w:tplc="040C0003" w:tentative="1">
      <w:start w:val="1"/>
      <w:numFmt w:val="bullet"/>
      <w:lvlText w:val="o"/>
      <w:lvlJc w:val="left"/>
      <w:pPr>
        <w:ind w:left="5820" w:hanging="360"/>
      </w:pPr>
      <w:rPr>
        <w:rFonts w:ascii="Courier New" w:hAnsi="Courier New" w:cs="Courier New" w:hint="default"/>
      </w:rPr>
    </w:lvl>
    <w:lvl w:ilvl="8" w:tplc="040C0005" w:tentative="1">
      <w:start w:val="1"/>
      <w:numFmt w:val="bullet"/>
      <w:lvlText w:val=""/>
      <w:lvlJc w:val="left"/>
      <w:pPr>
        <w:ind w:left="6540" w:hanging="360"/>
      </w:pPr>
      <w:rPr>
        <w:rFonts w:ascii="Wingdings" w:hAnsi="Wingdings" w:hint="default"/>
      </w:rPr>
    </w:lvl>
  </w:abstractNum>
  <w:abstractNum w:abstractNumId="233" w15:restartNumberingAfterBreak="0">
    <w:nsid w:val="77AB22ED"/>
    <w:multiLevelType w:val="hybridMultilevel"/>
    <w:tmpl w:val="19DA12A8"/>
    <w:lvl w:ilvl="0" w:tplc="040C000B">
      <w:start w:val="1"/>
      <w:numFmt w:val="bullet"/>
      <w:lvlText w:val=""/>
      <w:lvlJc w:val="left"/>
      <w:pPr>
        <w:ind w:left="785" w:hanging="360"/>
      </w:pPr>
      <w:rPr>
        <w:rFonts w:ascii="Wingdings" w:hAnsi="Wingdings" w:hint="default"/>
      </w:rPr>
    </w:lvl>
    <w:lvl w:ilvl="1" w:tplc="040C0003" w:tentative="1">
      <w:start w:val="1"/>
      <w:numFmt w:val="bullet"/>
      <w:lvlText w:val="o"/>
      <w:lvlJc w:val="left"/>
      <w:pPr>
        <w:ind w:left="1505" w:hanging="360"/>
      </w:pPr>
      <w:rPr>
        <w:rFonts w:ascii="Courier New" w:hAnsi="Courier New" w:cs="Courier New" w:hint="default"/>
      </w:rPr>
    </w:lvl>
    <w:lvl w:ilvl="2" w:tplc="040C0005" w:tentative="1">
      <w:start w:val="1"/>
      <w:numFmt w:val="bullet"/>
      <w:lvlText w:val=""/>
      <w:lvlJc w:val="left"/>
      <w:pPr>
        <w:ind w:left="2225" w:hanging="360"/>
      </w:pPr>
      <w:rPr>
        <w:rFonts w:ascii="Wingdings" w:hAnsi="Wingdings" w:hint="default"/>
      </w:rPr>
    </w:lvl>
    <w:lvl w:ilvl="3" w:tplc="040C0001" w:tentative="1">
      <w:start w:val="1"/>
      <w:numFmt w:val="bullet"/>
      <w:lvlText w:val=""/>
      <w:lvlJc w:val="left"/>
      <w:pPr>
        <w:ind w:left="2945" w:hanging="360"/>
      </w:pPr>
      <w:rPr>
        <w:rFonts w:ascii="Symbol" w:hAnsi="Symbol" w:hint="default"/>
      </w:rPr>
    </w:lvl>
    <w:lvl w:ilvl="4" w:tplc="040C0003" w:tentative="1">
      <w:start w:val="1"/>
      <w:numFmt w:val="bullet"/>
      <w:lvlText w:val="o"/>
      <w:lvlJc w:val="left"/>
      <w:pPr>
        <w:ind w:left="3665" w:hanging="360"/>
      </w:pPr>
      <w:rPr>
        <w:rFonts w:ascii="Courier New" w:hAnsi="Courier New" w:cs="Courier New" w:hint="default"/>
      </w:rPr>
    </w:lvl>
    <w:lvl w:ilvl="5" w:tplc="040C0005" w:tentative="1">
      <w:start w:val="1"/>
      <w:numFmt w:val="bullet"/>
      <w:lvlText w:val=""/>
      <w:lvlJc w:val="left"/>
      <w:pPr>
        <w:ind w:left="4385" w:hanging="360"/>
      </w:pPr>
      <w:rPr>
        <w:rFonts w:ascii="Wingdings" w:hAnsi="Wingdings" w:hint="default"/>
      </w:rPr>
    </w:lvl>
    <w:lvl w:ilvl="6" w:tplc="040C0001" w:tentative="1">
      <w:start w:val="1"/>
      <w:numFmt w:val="bullet"/>
      <w:lvlText w:val=""/>
      <w:lvlJc w:val="left"/>
      <w:pPr>
        <w:ind w:left="5105" w:hanging="360"/>
      </w:pPr>
      <w:rPr>
        <w:rFonts w:ascii="Symbol" w:hAnsi="Symbol" w:hint="default"/>
      </w:rPr>
    </w:lvl>
    <w:lvl w:ilvl="7" w:tplc="040C0003" w:tentative="1">
      <w:start w:val="1"/>
      <w:numFmt w:val="bullet"/>
      <w:lvlText w:val="o"/>
      <w:lvlJc w:val="left"/>
      <w:pPr>
        <w:ind w:left="5825" w:hanging="360"/>
      </w:pPr>
      <w:rPr>
        <w:rFonts w:ascii="Courier New" w:hAnsi="Courier New" w:cs="Courier New" w:hint="default"/>
      </w:rPr>
    </w:lvl>
    <w:lvl w:ilvl="8" w:tplc="040C0005" w:tentative="1">
      <w:start w:val="1"/>
      <w:numFmt w:val="bullet"/>
      <w:lvlText w:val=""/>
      <w:lvlJc w:val="left"/>
      <w:pPr>
        <w:ind w:left="6545" w:hanging="360"/>
      </w:pPr>
      <w:rPr>
        <w:rFonts w:ascii="Wingdings" w:hAnsi="Wingdings" w:hint="default"/>
      </w:rPr>
    </w:lvl>
  </w:abstractNum>
  <w:abstractNum w:abstractNumId="234" w15:restartNumberingAfterBreak="0">
    <w:nsid w:val="77B24B97"/>
    <w:multiLevelType w:val="hybridMultilevel"/>
    <w:tmpl w:val="C7886AE4"/>
    <w:lvl w:ilvl="0" w:tplc="040C0009">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5" w15:restartNumberingAfterBreak="0">
    <w:nsid w:val="77BD5B2C"/>
    <w:multiLevelType w:val="hybridMultilevel"/>
    <w:tmpl w:val="C9DECD3E"/>
    <w:lvl w:ilvl="0" w:tplc="69F0AF1C">
      <w:start w:val="1"/>
      <w:numFmt w:val="bullet"/>
      <w:lvlText w:val=""/>
      <w:lvlJc w:val="left"/>
      <w:pPr>
        <w:ind w:left="720" w:hanging="360"/>
      </w:pPr>
      <w:rPr>
        <w:rFonts w:ascii="Wingdings" w:hAnsi="Wingdings"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6" w15:restartNumberingAfterBreak="0">
    <w:nsid w:val="7861611A"/>
    <w:multiLevelType w:val="hybridMultilevel"/>
    <w:tmpl w:val="00D06742"/>
    <w:lvl w:ilvl="0" w:tplc="040C000B">
      <w:start w:val="1"/>
      <w:numFmt w:val="bullet"/>
      <w:lvlText w:val=""/>
      <w:lvlJc w:val="left"/>
      <w:pPr>
        <w:ind w:left="436" w:hanging="360"/>
      </w:pPr>
      <w:rPr>
        <w:rFonts w:ascii="Wingdings" w:hAnsi="Wingdings" w:hint="default"/>
      </w:rPr>
    </w:lvl>
    <w:lvl w:ilvl="1" w:tplc="040C0003" w:tentative="1">
      <w:start w:val="1"/>
      <w:numFmt w:val="bullet"/>
      <w:lvlText w:val="o"/>
      <w:lvlJc w:val="left"/>
      <w:pPr>
        <w:ind w:left="1156" w:hanging="360"/>
      </w:pPr>
      <w:rPr>
        <w:rFonts w:ascii="Courier New" w:hAnsi="Courier New" w:cs="Courier New" w:hint="default"/>
      </w:rPr>
    </w:lvl>
    <w:lvl w:ilvl="2" w:tplc="040C0005" w:tentative="1">
      <w:start w:val="1"/>
      <w:numFmt w:val="bullet"/>
      <w:lvlText w:val=""/>
      <w:lvlJc w:val="left"/>
      <w:pPr>
        <w:ind w:left="1876" w:hanging="360"/>
      </w:pPr>
      <w:rPr>
        <w:rFonts w:ascii="Wingdings" w:hAnsi="Wingdings" w:hint="default"/>
      </w:rPr>
    </w:lvl>
    <w:lvl w:ilvl="3" w:tplc="040C0001" w:tentative="1">
      <w:start w:val="1"/>
      <w:numFmt w:val="bullet"/>
      <w:lvlText w:val=""/>
      <w:lvlJc w:val="left"/>
      <w:pPr>
        <w:ind w:left="2596" w:hanging="360"/>
      </w:pPr>
      <w:rPr>
        <w:rFonts w:ascii="Symbol" w:hAnsi="Symbol" w:hint="default"/>
      </w:rPr>
    </w:lvl>
    <w:lvl w:ilvl="4" w:tplc="040C0003" w:tentative="1">
      <w:start w:val="1"/>
      <w:numFmt w:val="bullet"/>
      <w:lvlText w:val="o"/>
      <w:lvlJc w:val="left"/>
      <w:pPr>
        <w:ind w:left="3316" w:hanging="360"/>
      </w:pPr>
      <w:rPr>
        <w:rFonts w:ascii="Courier New" w:hAnsi="Courier New" w:cs="Courier New" w:hint="default"/>
      </w:rPr>
    </w:lvl>
    <w:lvl w:ilvl="5" w:tplc="040C0005" w:tentative="1">
      <w:start w:val="1"/>
      <w:numFmt w:val="bullet"/>
      <w:lvlText w:val=""/>
      <w:lvlJc w:val="left"/>
      <w:pPr>
        <w:ind w:left="4036" w:hanging="360"/>
      </w:pPr>
      <w:rPr>
        <w:rFonts w:ascii="Wingdings" w:hAnsi="Wingdings" w:hint="default"/>
      </w:rPr>
    </w:lvl>
    <w:lvl w:ilvl="6" w:tplc="040C0001" w:tentative="1">
      <w:start w:val="1"/>
      <w:numFmt w:val="bullet"/>
      <w:lvlText w:val=""/>
      <w:lvlJc w:val="left"/>
      <w:pPr>
        <w:ind w:left="4756" w:hanging="360"/>
      </w:pPr>
      <w:rPr>
        <w:rFonts w:ascii="Symbol" w:hAnsi="Symbol" w:hint="default"/>
      </w:rPr>
    </w:lvl>
    <w:lvl w:ilvl="7" w:tplc="040C0003" w:tentative="1">
      <w:start w:val="1"/>
      <w:numFmt w:val="bullet"/>
      <w:lvlText w:val="o"/>
      <w:lvlJc w:val="left"/>
      <w:pPr>
        <w:ind w:left="5476" w:hanging="360"/>
      </w:pPr>
      <w:rPr>
        <w:rFonts w:ascii="Courier New" w:hAnsi="Courier New" w:cs="Courier New" w:hint="default"/>
      </w:rPr>
    </w:lvl>
    <w:lvl w:ilvl="8" w:tplc="040C0005" w:tentative="1">
      <w:start w:val="1"/>
      <w:numFmt w:val="bullet"/>
      <w:lvlText w:val=""/>
      <w:lvlJc w:val="left"/>
      <w:pPr>
        <w:ind w:left="6196" w:hanging="360"/>
      </w:pPr>
      <w:rPr>
        <w:rFonts w:ascii="Wingdings" w:hAnsi="Wingdings" w:hint="default"/>
      </w:rPr>
    </w:lvl>
  </w:abstractNum>
  <w:abstractNum w:abstractNumId="237" w15:restartNumberingAfterBreak="0">
    <w:nsid w:val="78B46F4B"/>
    <w:multiLevelType w:val="hybridMultilevel"/>
    <w:tmpl w:val="DF881528"/>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8" w15:restartNumberingAfterBreak="0">
    <w:nsid w:val="794F0FBB"/>
    <w:multiLevelType w:val="hybridMultilevel"/>
    <w:tmpl w:val="594C1A06"/>
    <w:lvl w:ilvl="0" w:tplc="5566A00C">
      <w:start w:val="1"/>
      <w:numFmt w:val="lowerRoman"/>
      <w:lvlText w:val="(%1)"/>
      <w:lvlJc w:val="left"/>
      <w:pPr>
        <w:ind w:left="1428" w:hanging="720"/>
      </w:pPr>
      <w:rPr>
        <w:rFonts w:hint="default"/>
      </w:r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239" w15:restartNumberingAfterBreak="0">
    <w:nsid w:val="79724A36"/>
    <w:multiLevelType w:val="hybridMultilevel"/>
    <w:tmpl w:val="65AC12B0"/>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0" w15:restartNumberingAfterBreak="0">
    <w:nsid w:val="79A57F5B"/>
    <w:multiLevelType w:val="hybridMultilevel"/>
    <w:tmpl w:val="04D494D2"/>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1" w15:restartNumberingAfterBreak="0">
    <w:nsid w:val="7B1A6BB7"/>
    <w:multiLevelType w:val="hybridMultilevel"/>
    <w:tmpl w:val="6F8E10F2"/>
    <w:lvl w:ilvl="0" w:tplc="FFFFFFFF">
      <w:start w:val="1"/>
      <w:numFmt w:val="bullet"/>
      <w:pStyle w:val="E1"/>
      <w:lvlText w:val=""/>
      <w:lvlJc w:val="left"/>
      <w:pPr>
        <w:tabs>
          <w:tab w:val="num" w:pos="284"/>
        </w:tabs>
        <w:ind w:left="284" w:hanging="284"/>
      </w:pPr>
      <w:rPr>
        <w:rFonts w:ascii="Symbol" w:hAnsi="Symbol" w:hint="default"/>
        <w:sz w:val="20"/>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42" w15:restartNumberingAfterBreak="0">
    <w:nsid w:val="7B2758AA"/>
    <w:multiLevelType w:val="hybridMultilevel"/>
    <w:tmpl w:val="6054EDCC"/>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3" w15:restartNumberingAfterBreak="0">
    <w:nsid w:val="7BAA06A5"/>
    <w:multiLevelType w:val="hybridMultilevel"/>
    <w:tmpl w:val="3C5ABD80"/>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4" w15:restartNumberingAfterBreak="0">
    <w:nsid w:val="7C2D23D1"/>
    <w:multiLevelType w:val="hybridMultilevel"/>
    <w:tmpl w:val="893EA2D8"/>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5" w15:restartNumberingAfterBreak="0">
    <w:nsid w:val="7CB61E83"/>
    <w:multiLevelType w:val="hybridMultilevel"/>
    <w:tmpl w:val="C2DC2EFC"/>
    <w:lvl w:ilvl="0" w:tplc="0816000B">
      <w:start w:val="1"/>
      <w:numFmt w:val="bullet"/>
      <w:lvlText w:val=""/>
      <w:lvlJc w:val="left"/>
      <w:pPr>
        <w:ind w:left="720" w:hanging="360"/>
      </w:pPr>
      <w:rPr>
        <w:rFonts w:ascii="Wingdings" w:hAnsi="Wingdings"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46" w15:restartNumberingAfterBreak="0">
    <w:nsid w:val="7CB7526B"/>
    <w:multiLevelType w:val="hybridMultilevel"/>
    <w:tmpl w:val="E8F20F7A"/>
    <w:lvl w:ilvl="0" w:tplc="9EFA7132">
      <w:start w:val="1"/>
      <w:numFmt w:val="upperRoman"/>
      <w:lvlText w:val="%1."/>
      <w:lvlJc w:val="left"/>
      <w:pPr>
        <w:ind w:left="1080" w:hanging="720"/>
      </w:pPr>
      <w:rPr>
        <w:rFonts w:hint="default"/>
      </w:rPr>
    </w:lvl>
    <w:lvl w:ilvl="1" w:tplc="08160019">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47" w15:restartNumberingAfterBreak="0">
    <w:nsid w:val="7D224C46"/>
    <w:multiLevelType w:val="hybridMultilevel"/>
    <w:tmpl w:val="9CB42858"/>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8" w15:restartNumberingAfterBreak="0">
    <w:nsid w:val="7DEA5C13"/>
    <w:multiLevelType w:val="hybridMultilevel"/>
    <w:tmpl w:val="4000CD4C"/>
    <w:lvl w:ilvl="0" w:tplc="6AAA7EC0">
      <w:start w:val="1"/>
      <w:numFmt w:val="lowerLetter"/>
      <w:lvlText w:val="%1."/>
      <w:lvlJc w:val="left"/>
      <w:pPr>
        <w:ind w:left="720" w:hanging="360"/>
      </w:pPr>
      <w:rPr>
        <w:rFonts w:hint="default"/>
        <w:i/>
      </w:rPr>
    </w:lvl>
    <w:lvl w:ilvl="1" w:tplc="040C0003">
      <w:start w:val="1"/>
      <w:numFmt w:val="lowerLetter"/>
      <w:lvlText w:val="%2."/>
      <w:lvlJc w:val="left"/>
      <w:pPr>
        <w:ind w:left="1440" w:hanging="360"/>
      </w:pPr>
    </w:lvl>
    <w:lvl w:ilvl="2" w:tplc="040C0005" w:tentative="1">
      <w:start w:val="1"/>
      <w:numFmt w:val="lowerRoman"/>
      <w:lvlText w:val="%3."/>
      <w:lvlJc w:val="right"/>
      <w:pPr>
        <w:ind w:left="2160" w:hanging="180"/>
      </w:pPr>
    </w:lvl>
    <w:lvl w:ilvl="3" w:tplc="040C0001" w:tentative="1">
      <w:start w:val="1"/>
      <w:numFmt w:val="decimal"/>
      <w:lvlText w:val="%4."/>
      <w:lvlJc w:val="left"/>
      <w:pPr>
        <w:ind w:left="2880" w:hanging="360"/>
      </w:pPr>
    </w:lvl>
    <w:lvl w:ilvl="4" w:tplc="040C0003" w:tentative="1">
      <w:start w:val="1"/>
      <w:numFmt w:val="lowerLetter"/>
      <w:lvlText w:val="%5."/>
      <w:lvlJc w:val="left"/>
      <w:pPr>
        <w:ind w:left="3600" w:hanging="360"/>
      </w:pPr>
    </w:lvl>
    <w:lvl w:ilvl="5" w:tplc="040C0005" w:tentative="1">
      <w:start w:val="1"/>
      <w:numFmt w:val="lowerRoman"/>
      <w:lvlText w:val="%6."/>
      <w:lvlJc w:val="right"/>
      <w:pPr>
        <w:ind w:left="4320" w:hanging="180"/>
      </w:pPr>
    </w:lvl>
    <w:lvl w:ilvl="6" w:tplc="040C0001" w:tentative="1">
      <w:start w:val="1"/>
      <w:numFmt w:val="decimal"/>
      <w:lvlText w:val="%7."/>
      <w:lvlJc w:val="left"/>
      <w:pPr>
        <w:ind w:left="5040" w:hanging="360"/>
      </w:pPr>
    </w:lvl>
    <w:lvl w:ilvl="7" w:tplc="040C0003" w:tentative="1">
      <w:start w:val="1"/>
      <w:numFmt w:val="lowerLetter"/>
      <w:lvlText w:val="%8."/>
      <w:lvlJc w:val="left"/>
      <w:pPr>
        <w:ind w:left="5760" w:hanging="360"/>
      </w:pPr>
    </w:lvl>
    <w:lvl w:ilvl="8" w:tplc="040C0005" w:tentative="1">
      <w:start w:val="1"/>
      <w:numFmt w:val="lowerRoman"/>
      <w:lvlText w:val="%9."/>
      <w:lvlJc w:val="right"/>
      <w:pPr>
        <w:ind w:left="6480" w:hanging="180"/>
      </w:pPr>
    </w:lvl>
  </w:abstractNum>
  <w:abstractNum w:abstractNumId="249" w15:restartNumberingAfterBreak="0">
    <w:nsid w:val="7E4E59D9"/>
    <w:multiLevelType w:val="hybridMultilevel"/>
    <w:tmpl w:val="558AE704"/>
    <w:lvl w:ilvl="0" w:tplc="E476047A">
      <w:start w:val="1"/>
      <w:numFmt w:val="upperLetter"/>
      <w:pStyle w:val="Section8Heading1"/>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0" w15:restartNumberingAfterBreak="0">
    <w:nsid w:val="7E7D58B2"/>
    <w:multiLevelType w:val="hybridMultilevel"/>
    <w:tmpl w:val="C2CCABB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1" w15:restartNumberingAfterBreak="0">
    <w:nsid w:val="7EAE1C7F"/>
    <w:multiLevelType w:val="hybridMultilevel"/>
    <w:tmpl w:val="D7963AC2"/>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2" w15:restartNumberingAfterBreak="0">
    <w:nsid w:val="7EDD4A06"/>
    <w:multiLevelType w:val="hybridMultilevel"/>
    <w:tmpl w:val="FFCE3528"/>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98"/>
    <w:lvlOverride w:ilvl="0">
      <w:startOverride w:val="1"/>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1"/>
  </w:num>
  <w:num w:numId="4">
    <w:abstractNumId w:val="155"/>
  </w:num>
  <w:num w:numId="5">
    <w:abstractNumId w:val="231"/>
  </w:num>
  <w:num w:numId="6">
    <w:abstractNumId w:val="215"/>
  </w:num>
  <w:num w:numId="7">
    <w:abstractNumId w:val="62"/>
  </w:num>
  <w:num w:numId="8">
    <w:abstractNumId w:val="51"/>
  </w:num>
  <w:num w:numId="9">
    <w:abstractNumId w:val="103"/>
  </w:num>
  <w:num w:numId="10">
    <w:abstractNumId w:val="248"/>
  </w:num>
  <w:num w:numId="11">
    <w:abstractNumId w:val="221"/>
  </w:num>
  <w:num w:numId="12">
    <w:abstractNumId w:val="97"/>
  </w:num>
  <w:num w:numId="13">
    <w:abstractNumId w:val="176"/>
  </w:num>
  <w:num w:numId="14">
    <w:abstractNumId w:val="64"/>
  </w:num>
  <w:num w:numId="15">
    <w:abstractNumId w:val="58"/>
  </w:num>
  <w:num w:numId="16">
    <w:abstractNumId w:val="149"/>
  </w:num>
  <w:num w:numId="17">
    <w:abstractNumId w:val="194"/>
  </w:num>
  <w:num w:numId="18">
    <w:abstractNumId w:val="100"/>
  </w:num>
  <w:num w:numId="19">
    <w:abstractNumId w:val="205"/>
  </w:num>
  <w:num w:numId="20">
    <w:abstractNumId w:val="76"/>
  </w:num>
  <w:num w:numId="21">
    <w:abstractNumId w:val="94"/>
  </w:num>
  <w:num w:numId="22">
    <w:abstractNumId w:val="197"/>
  </w:num>
  <w:num w:numId="23">
    <w:abstractNumId w:val="85"/>
  </w:num>
  <w:num w:numId="24">
    <w:abstractNumId w:val="211"/>
  </w:num>
  <w:num w:numId="25">
    <w:abstractNumId w:val="84"/>
  </w:num>
  <w:num w:numId="26">
    <w:abstractNumId w:val="181"/>
  </w:num>
  <w:num w:numId="27">
    <w:abstractNumId w:val="167"/>
  </w:num>
  <w:num w:numId="28">
    <w:abstractNumId w:val="129"/>
  </w:num>
  <w:num w:numId="29">
    <w:abstractNumId w:val="35"/>
  </w:num>
  <w:num w:numId="30">
    <w:abstractNumId w:val="101"/>
  </w:num>
  <w:num w:numId="31">
    <w:abstractNumId w:val="232"/>
  </w:num>
  <w:num w:numId="32">
    <w:abstractNumId w:val="39"/>
  </w:num>
  <w:num w:numId="33">
    <w:abstractNumId w:val="169"/>
  </w:num>
  <w:num w:numId="34">
    <w:abstractNumId w:val="69"/>
  </w:num>
  <w:num w:numId="35">
    <w:abstractNumId w:val="226"/>
  </w:num>
  <w:num w:numId="36">
    <w:abstractNumId w:val="244"/>
  </w:num>
  <w:num w:numId="37">
    <w:abstractNumId w:val="242"/>
  </w:num>
  <w:num w:numId="38">
    <w:abstractNumId w:val="109"/>
  </w:num>
  <w:num w:numId="39">
    <w:abstractNumId w:val="105"/>
  </w:num>
  <w:num w:numId="40">
    <w:abstractNumId w:val="22"/>
  </w:num>
  <w:num w:numId="41">
    <w:abstractNumId w:val="182"/>
  </w:num>
  <w:num w:numId="42">
    <w:abstractNumId w:val="110"/>
  </w:num>
  <w:num w:numId="43">
    <w:abstractNumId w:val="120"/>
  </w:num>
  <w:num w:numId="44">
    <w:abstractNumId w:val="49"/>
  </w:num>
  <w:num w:numId="45">
    <w:abstractNumId w:val="118"/>
  </w:num>
  <w:num w:numId="46">
    <w:abstractNumId w:val="31"/>
  </w:num>
  <w:num w:numId="47">
    <w:abstractNumId w:val="195"/>
  </w:num>
  <w:num w:numId="48">
    <w:abstractNumId w:val="29"/>
  </w:num>
  <w:num w:numId="49">
    <w:abstractNumId w:val="16"/>
  </w:num>
  <w:num w:numId="50">
    <w:abstractNumId w:val="178"/>
  </w:num>
  <w:num w:numId="51">
    <w:abstractNumId w:val="63"/>
  </w:num>
  <w:num w:numId="52">
    <w:abstractNumId w:val="8"/>
  </w:num>
  <w:num w:numId="53">
    <w:abstractNumId w:val="41"/>
  </w:num>
  <w:num w:numId="54">
    <w:abstractNumId w:val="43"/>
  </w:num>
  <w:num w:numId="55">
    <w:abstractNumId w:val="61"/>
  </w:num>
  <w:num w:numId="56">
    <w:abstractNumId w:val="139"/>
  </w:num>
  <w:num w:numId="57">
    <w:abstractNumId w:val="233"/>
  </w:num>
  <w:num w:numId="58">
    <w:abstractNumId w:val="160"/>
  </w:num>
  <w:num w:numId="59">
    <w:abstractNumId w:val="168"/>
  </w:num>
  <w:num w:numId="60">
    <w:abstractNumId w:val="46"/>
  </w:num>
  <w:num w:numId="61">
    <w:abstractNumId w:val="38"/>
  </w:num>
  <w:num w:numId="62">
    <w:abstractNumId w:val="56"/>
  </w:num>
  <w:num w:numId="63">
    <w:abstractNumId w:val="66"/>
  </w:num>
  <w:num w:numId="64">
    <w:abstractNumId w:val="96"/>
  </w:num>
  <w:num w:numId="65">
    <w:abstractNumId w:val="7"/>
  </w:num>
  <w:num w:numId="66">
    <w:abstractNumId w:val="33"/>
  </w:num>
  <w:num w:numId="67">
    <w:abstractNumId w:val="175"/>
  </w:num>
  <w:num w:numId="68">
    <w:abstractNumId w:val="25"/>
  </w:num>
  <w:num w:numId="69">
    <w:abstractNumId w:val="252"/>
  </w:num>
  <w:num w:numId="70">
    <w:abstractNumId w:val="19"/>
  </w:num>
  <w:num w:numId="71">
    <w:abstractNumId w:val="10"/>
  </w:num>
  <w:num w:numId="72">
    <w:abstractNumId w:val="115"/>
  </w:num>
  <w:num w:numId="73">
    <w:abstractNumId w:val="80"/>
  </w:num>
  <w:num w:numId="74">
    <w:abstractNumId w:val="55"/>
  </w:num>
  <w:num w:numId="75">
    <w:abstractNumId w:val="121"/>
  </w:num>
  <w:num w:numId="76">
    <w:abstractNumId w:val="104"/>
  </w:num>
  <w:num w:numId="77">
    <w:abstractNumId w:val="141"/>
  </w:num>
  <w:num w:numId="78">
    <w:abstractNumId w:val="17"/>
  </w:num>
  <w:num w:numId="79">
    <w:abstractNumId w:val="147"/>
  </w:num>
  <w:num w:numId="80">
    <w:abstractNumId w:val="81"/>
  </w:num>
  <w:num w:numId="81">
    <w:abstractNumId w:val="235"/>
  </w:num>
  <w:num w:numId="82">
    <w:abstractNumId w:val="74"/>
  </w:num>
  <w:num w:numId="83">
    <w:abstractNumId w:val="163"/>
  </w:num>
  <w:num w:numId="84">
    <w:abstractNumId w:val="151"/>
  </w:num>
  <w:num w:numId="85">
    <w:abstractNumId w:val="128"/>
  </w:num>
  <w:num w:numId="86">
    <w:abstractNumId w:val="71"/>
  </w:num>
  <w:num w:numId="87">
    <w:abstractNumId w:val="73"/>
  </w:num>
  <w:num w:numId="88">
    <w:abstractNumId w:val="193"/>
  </w:num>
  <w:num w:numId="89">
    <w:abstractNumId w:val="119"/>
  </w:num>
  <w:num w:numId="90">
    <w:abstractNumId w:val="220"/>
  </w:num>
  <w:num w:numId="91">
    <w:abstractNumId w:val="98"/>
  </w:num>
  <w:num w:numId="92">
    <w:abstractNumId w:val="161"/>
  </w:num>
  <w:num w:numId="93">
    <w:abstractNumId w:val="135"/>
  </w:num>
  <w:num w:numId="94">
    <w:abstractNumId w:val="240"/>
  </w:num>
  <w:num w:numId="95">
    <w:abstractNumId w:val="130"/>
  </w:num>
  <w:num w:numId="96">
    <w:abstractNumId w:val="44"/>
  </w:num>
  <w:num w:numId="97">
    <w:abstractNumId w:val="60"/>
  </w:num>
  <w:num w:numId="98">
    <w:abstractNumId w:val="123"/>
  </w:num>
  <w:num w:numId="99">
    <w:abstractNumId w:val="77"/>
  </w:num>
  <w:num w:numId="100">
    <w:abstractNumId w:val="92"/>
  </w:num>
  <w:num w:numId="101">
    <w:abstractNumId w:val="53"/>
  </w:num>
  <w:num w:numId="102">
    <w:abstractNumId w:val="34"/>
  </w:num>
  <w:num w:numId="103">
    <w:abstractNumId w:val="111"/>
  </w:num>
  <w:num w:numId="104">
    <w:abstractNumId w:val="4"/>
  </w:num>
  <w:num w:numId="105">
    <w:abstractNumId w:val="153"/>
  </w:num>
  <w:num w:numId="106">
    <w:abstractNumId w:val="6"/>
  </w:num>
  <w:num w:numId="107">
    <w:abstractNumId w:val="212"/>
  </w:num>
  <w:num w:numId="108">
    <w:abstractNumId w:val="88"/>
  </w:num>
  <w:num w:numId="109">
    <w:abstractNumId w:val="250"/>
  </w:num>
  <w:num w:numId="110">
    <w:abstractNumId w:val="89"/>
  </w:num>
  <w:num w:numId="111">
    <w:abstractNumId w:val="170"/>
  </w:num>
  <w:num w:numId="112">
    <w:abstractNumId w:val="122"/>
  </w:num>
  <w:num w:numId="113">
    <w:abstractNumId w:val="52"/>
  </w:num>
  <w:num w:numId="114">
    <w:abstractNumId w:val="247"/>
  </w:num>
  <w:num w:numId="115">
    <w:abstractNumId w:val="238"/>
  </w:num>
  <w:num w:numId="116">
    <w:abstractNumId w:val="59"/>
  </w:num>
  <w:num w:numId="117">
    <w:abstractNumId w:val="134"/>
  </w:num>
  <w:num w:numId="118">
    <w:abstractNumId w:val="159"/>
  </w:num>
  <w:num w:numId="119">
    <w:abstractNumId w:val="102"/>
  </w:num>
  <w:num w:numId="120">
    <w:abstractNumId w:val="140"/>
  </w:num>
  <w:num w:numId="121">
    <w:abstractNumId w:val="146"/>
  </w:num>
  <w:num w:numId="122">
    <w:abstractNumId w:val="127"/>
  </w:num>
  <w:num w:numId="123">
    <w:abstractNumId w:val="95"/>
  </w:num>
  <w:num w:numId="124">
    <w:abstractNumId w:val="11"/>
  </w:num>
  <w:num w:numId="125">
    <w:abstractNumId w:val="214"/>
  </w:num>
  <w:num w:numId="126">
    <w:abstractNumId w:val="78"/>
  </w:num>
  <w:num w:numId="127">
    <w:abstractNumId w:val="23"/>
  </w:num>
  <w:num w:numId="128">
    <w:abstractNumId w:val="228"/>
  </w:num>
  <w:num w:numId="129">
    <w:abstractNumId w:val="165"/>
  </w:num>
  <w:num w:numId="130">
    <w:abstractNumId w:val="158"/>
  </w:num>
  <w:num w:numId="131">
    <w:abstractNumId w:val="166"/>
  </w:num>
  <w:num w:numId="132">
    <w:abstractNumId w:val="99"/>
  </w:num>
  <w:num w:numId="133">
    <w:abstractNumId w:val="14"/>
  </w:num>
  <w:num w:numId="134">
    <w:abstractNumId w:val="156"/>
  </w:num>
  <w:num w:numId="135">
    <w:abstractNumId w:val="82"/>
  </w:num>
  <w:num w:numId="136">
    <w:abstractNumId w:val="243"/>
  </w:num>
  <w:num w:numId="137">
    <w:abstractNumId w:val="54"/>
  </w:num>
  <w:num w:numId="138">
    <w:abstractNumId w:val="86"/>
  </w:num>
  <w:num w:numId="139">
    <w:abstractNumId w:val="24"/>
  </w:num>
  <w:num w:numId="140">
    <w:abstractNumId w:val="192"/>
  </w:num>
  <w:num w:numId="141">
    <w:abstractNumId w:val="107"/>
  </w:num>
  <w:num w:numId="142">
    <w:abstractNumId w:val="106"/>
  </w:num>
  <w:num w:numId="143">
    <w:abstractNumId w:val="9"/>
  </w:num>
  <w:num w:numId="144">
    <w:abstractNumId w:val="251"/>
  </w:num>
  <w:num w:numId="145">
    <w:abstractNumId w:val="15"/>
  </w:num>
  <w:num w:numId="146">
    <w:abstractNumId w:val="117"/>
  </w:num>
  <w:num w:numId="147">
    <w:abstractNumId w:val="173"/>
  </w:num>
  <w:num w:numId="148">
    <w:abstractNumId w:val="237"/>
  </w:num>
  <w:num w:numId="149">
    <w:abstractNumId w:val="207"/>
  </w:num>
  <w:num w:numId="150">
    <w:abstractNumId w:val="40"/>
  </w:num>
  <w:num w:numId="151">
    <w:abstractNumId w:val="162"/>
  </w:num>
  <w:num w:numId="152">
    <w:abstractNumId w:val="112"/>
  </w:num>
  <w:num w:numId="153">
    <w:abstractNumId w:val="184"/>
  </w:num>
  <w:num w:numId="154">
    <w:abstractNumId w:val="131"/>
  </w:num>
  <w:num w:numId="155">
    <w:abstractNumId w:val="224"/>
  </w:num>
  <w:num w:numId="156">
    <w:abstractNumId w:val="36"/>
  </w:num>
  <w:num w:numId="157">
    <w:abstractNumId w:val="216"/>
  </w:num>
  <w:num w:numId="158">
    <w:abstractNumId w:val="249"/>
  </w:num>
  <w:num w:numId="159">
    <w:abstractNumId w:val="90"/>
  </w:num>
  <w:num w:numId="160">
    <w:abstractNumId w:val="201"/>
  </w:num>
  <w:num w:numId="161">
    <w:abstractNumId w:val="30"/>
  </w:num>
  <w:num w:numId="162">
    <w:abstractNumId w:val="0"/>
  </w:num>
  <w:num w:numId="163">
    <w:abstractNumId w:val="3"/>
  </w:num>
  <w:num w:numId="164">
    <w:abstractNumId w:val="145"/>
  </w:num>
  <w:num w:numId="165">
    <w:abstractNumId w:val="164"/>
  </w:num>
  <w:num w:numId="166">
    <w:abstractNumId w:val="144"/>
  </w:num>
  <w:num w:numId="167">
    <w:abstractNumId w:val="93"/>
  </w:num>
  <w:num w:numId="168">
    <w:abstractNumId w:val="150"/>
  </w:num>
  <w:num w:numId="169">
    <w:abstractNumId w:val="241"/>
  </w:num>
  <w:num w:numId="170">
    <w:abstractNumId w:val="246"/>
  </w:num>
  <w:num w:numId="171">
    <w:abstractNumId w:val="148"/>
  </w:num>
  <w:num w:numId="172">
    <w:abstractNumId w:val="218"/>
  </w:num>
  <w:num w:numId="173">
    <w:abstractNumId w:val="137"/>
  </w:num>
  <w:num w:numId="174">
    <w:abstractNumId w:val="219"/>
  </w:num>
  <w:num w:numId="175">
    <w:abstractNumId w:val="108"/>
  </w:num>
  <w:num w:numId="176">
    <w:abstractNumId w:val="245"/>
  </w:num>
  <w:num w:numId="177">
    <w:abstractNumId w:val="225"/>
  </w:num>
  <w:num w:numId="178">
    <w:abstractNumId w:val="45"/>
  </w:num>
  <w:num w:numId="179">
    <w:abstractNumId w:val="27"/>
  </w:num>
  <w:num w:numId="180">
    <w:abstractNumId w:val="191"/>
  </w:num>
  <w:num w:numId="181">
    <w:abstractNumId w:val="217"/>
  </w:num>
  <w:num w:numId="182">
    <w:abstractNumId w:val="142"/>
  </w:num>
  <w:num w:numId="183">
    <w:abstractNumId w:val="230"/>
  </w:num>
  <w:num w:numId="184">
    <w:abstractNumId w:val="186"/>
  </w:num>
  <w:num w:numId="185">
    <w:abstractNumId w:val="13"/>
  </w:num>
  <w:num w:numId="186">
    <w:abstractNumId w:val="26"/>
  </w:num>
  <w:num w:numId="187">
    <w:abstractNumId w:val="171"/>
  </w:num>
  <w:num w:numId="188">
    <w:abstractNumId w:val="114"/>
  </w:num>
  <w:num w:numId="189">
    <w:abstractNumId w:val="32"/>
  </w:num>
  <w:num w:numId="190">
    <w:abstractNumId w:val="125"/>
  </w:num>
  <w:num w:numId="191">
    <w:abstractNumId w:val="124"/>
  </w:num>
  <w:num w:numId="192">
    <w:abstractNumId w:val="202"/>
  </w:num>
  <w:num w:numId="193">
    <w:abstractNumId w:val="133"/>
  </w:num>
  <w:num w:numId="194">
    <w:abstractNumId w:val="174"/>
  </w:num>
  <w:num w:numId="195">
    <w:abstractNumId w:val="200"/>
  </w:num>
  <w:num w:numId="196">
    <w:abstractNumId w:val="37"/>
  </w:num>
  <w:num w:numId="197">
    <w:abstractNumId w:val="20"/>
  </w:num>
  <w:num w:numId="198">
    <w:abstractNumId w:val="179"/>
  </w:num>
  <w:num w:numId="199">
    <w:abstractNumId w:val="113"/>
  </w:num>
  <w:num w:numId="200">
    <w:abstractNumId w:val="67"/>
  </w:num>
  <w:num w:numId="201">
    <w:abstractNumId w:val="138"/>
  </w:num>
  <w:num w:numId="202">
    <w:abstractNumId w:val="209"/>
  </w:num>
  <w:num w:numId="203">
    <w:abstractNumId w:val="185"/>
  </w:num>
  <w:num w:numId="204">
    <w:abstractNumId w:val="188"/>
  </w:num>
  <w:num w:numId="205">
    <w:abstractNumId w:val="75"/>
  </w:num>
  <w:num w:numId="206">
    <w:abstractNumId w:val="87"/>
  </w:num>
  <w:num w:numId="207">
    <w:abstractNumId w:val="189"/>
  </w:num>
  <w:num w:numId="208">
    <w:abstractNumId w:val="65"/>
  </w:num>
  <w:num w:numId="209">
    <w:abstractNumId w:val="5"/>
  </w:num>
  <w:num w:numId="210">
    <w:abstractNumId w:val="172"/>
  </w:num>
  <w:num w:numId="211">
    <w:abstractNumId w:val="68"/>
  </w:num>
  <w:num w:numId="212">
    <w:abstractNumId w:val="28"/>
  </w:num>
  <w:num w:numId="213">
    <w:abstractNumId w:val="187"/>
  </w:num>
  <w:num w:numId="214">
    <w:abstractNumId w:val="199"/>
  </w:num>
  <w:num w:numId="215">
    <w:abstractNumId w:val="116"/>
  </w:num>
  <w:num w:numId="216">
    <w:abstractNumId w:val="236"/>
  </w:num>
  <w:num w:numId="217">
    <w:abstractNumId w:val="132"/>
  </w:num>
  <w:num w:numId="218">
    <w:abstractNumId w:val="204"/>
  </w:num>
  <w:num w:numId="219">
    <w:abstractNumId w:val="208"/>
  </w:num>
  <w:num w:numId="220">
    <w:abstractNumId w:val="157"/>
  </w:num>
  <w:num w:numId="221">
    <w:abstractNumId w:val="239"/>
  </w:num>
  <w:num w:numId="222">
    <w:abstractNumId w:val="126"/>
  </w:num>
  <w:num w:numId="223">
    <w:abstractNumId w:val="21"/>
  </w:num>
  <w:num w:numId="224">
    <w:abstractNumId w:val="206"/>
  </w:num>
  <w:num w:numId="225">
    <w:abstractNumId w:val="136"/>
  </w:num>
  <w:num w:numId="226">
    <w:abstractNumId w:val="154"/>
  </w:num>
  <w:num w:numId="227">
    <w:abstractNumId w:val="180"/>
  </w:num>
  <w:num w:numId="228">
    <w:abstractNumId w:val="210"/>
  </w:num>
  <w:num w:numId="229">
    <w:abstractNumId w:val="57"/>
  </w:num>
  <w:num w:numId="230">
    <w:abstractNumId w:val="203"/>
  </w:num>
  <w:num w:numId="231">
    <w:abstractNumId w:val="222"/>
  </w:num>
  <w:num w:numId="232">
    <w:abstractNumId w:val="47"/>
  </w:num>
  <w:num w:numId="233">
    <w:abstractNumId w:val="18"/>
  </w:num>
  <w:num w:numId="234">
    <w:abstractNumId w:val="42"/>
  </w:num>
  <w:num w:numId="235">
    <w:abstractNumId w:val="177"/>
  </w:num>
  <w:num w:numId="236">
    <w:abstractNumId w:val="152"/>
  </w:num>
  <w:num w:numId="237">
    <w:abstractNumId w:val="196"/>
  </w:num>
  <w:num w:numId="238">
    <w:abstractNumId w:val="12"/>
  </w:num>
  <w:num w:numId="239">
    <w:abstractNumId w:val="223"/>
  </w:num>
  <w:num w:numId="240">
    <w:abstractNumId w:val="91"/>
  </w:num>
  <w:num w:numId="241">
    <w:abstractNumId w:val="143"/>
  </w:num>
  <w:num w:numId="242">
    <w:abstractNumId w:val="213"/>
  </w:num>
  <w:num w:numId="243">
    <w:abstractNumId w:val="229"/>
  </w:num>
  <w:num w:numId="244">
    <w:abstractNumId w:val="79"/>
  </w:num>
  <w:num w:numId="245">
    <w:abstractNumId w:val="234"/>
  </w:num>
  <w:num w:numId="246">
    <w:abstractNumId w:val="48"/>
  </w:num>
  <w:num w:numId="247">
    <w:abstractNumId w:val="227"/>
  </w:num>
  <w:num w:numId="248">
    <w:abstractNumId w:val="183"/>
  </w:num>
  <w:num w:numId="249">
    <w:abstractNumId w:val="72"/>
  </w:num>
  <w:num w:numId="250">
    <w:abstractNumId w:val="70"/>
  </w:num>
  <w:num w:numId="251">
    <w:abstractNumId w:val="83"/>
  </w:num>
  <w:num w:numId="252">
    <w:abstractNumId w:val="50"/>
  </w:num>
  <w:num w:numId="253">
    <w:abstractNumId w:val="190"/>
  </w:num>
  <w:numIdMacAtCleanup w:val="2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fr-FR" w:vendorID="64" w:dllVersion="131078" w:nlCheck="1" w:checkStyle="0"/>
  <w:activeWritingStyle w:appName="MSWord" w:lang="en-US" w:vendorID="64" w:dllVersion="131078" w:nlCheck="1" w:checkStyle="0"/>
  <w:activeWritingStyle w:appName="MSWord" w:lang="fr-BE" w:vendorID="64" w:dllVersion="131078" w:nlCheck="1" w:checkStyle="0"/>
  <w:activeWritingStyle w:appName="MSWord" w:lang="fr-CA" w:vendorID="64" w:dllVersion="131078" w:nlCheck="1" w:checkStyle="0"/>
  <w:activeWritingStyle w:appName="MSWord" w:lang="en-GB" w:vendorID="64" w:dllVersion="131078" w:nlCheck="1" w:checkStyle="0"/>
  <w:activeWritingStyle w:appName="MSWord" w:lang="pt-PT" w:vendorID="64" w:dllVersion="131078" w:nlCheck="1" w:checkStyle="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326C"/>
    <w:rsid w:val="00000F84"/>
    <w:rsid w:val="00001162"/>
    <w:rsid w:val="00003BB4"/>
    <w:rsid w:val="00006EF3"/>
    <w:rsid w:val="0000773C"/>
    <w:rsid w:val="00010439"/>
    <w:rsid w:val="00011BE1"/>
    <w:rsid w:val="000146AD"/>
    <w:rsid w:val="00014DBE"/>
    <w:rsid w:val="000177A3"/>
    <w:rsid w:val="000204F0"/>
    <w:rsid w:val="0002231E"/>
    <w:rsid w:val="00022D23"/>
    <w:rsid w:val="0002315F"/>
    <w:rsid w:val="00024A88"/>
    <w:rsid w:val="00024D1D"/>
    <w:rsid w:val="00025185"/>
    <w:rsid w:val="000252A0"/>
    <w:rsid w:val="00026574"/>
    <w:rsid w:val="00030D72"/>
    <w:rsid w:val="000311B6"/>
    <w:rsid w:val="000312A4"/>
    <w:rsid w:val="000312AC"/>
    <w:rsid w:val="0003251F"/>
    <w:rsid w:val="00032DA9"/>
    <w:rsid w:val="000345F8"/>
    <w:rsid w:val="000369CE"/>
    <w:rsid w:val="00036DC7"/>
    <w:rsid w:val="000379BB"/>
    <w:rsid w:val="00037BA0"/>
    <w:rsid w:val="000404E9"/>
    <w:rsid w:val="00040FD8"/>
    <w:rsid w:val="00042EA7"/>
    <w:rsid w:val="0004347A"/>
    <w:rsid w:val="0004574C"/>
    <w:rsid w:val="00046B64"/>
    <w:rsid w:val="00047ADE"/>
    <w:rsid w:val="00052425"/>
    <w:rsid w:val="00052BEE"/>
    <w:rsid w:val="000533B2"/>
    <w:rsid w:val="00053C62"/>
    <w:rsid w:val="00054398"/>
    <w:rsid w:val="00056AED"/>
    <w:rsid w:val="00056B88"/>
    <w:rsid w:val="000577CD"/>
    <w:rsid w:val="000623F6"/>
    <w:rsid w:val="0006267A"/>
    <w:rsid w:val="0006342E"/>
    <w:rsid w:val="00064B6F"/>
    <w:rsid w:val="00066898"/>
    <w:rsid w:val="00067282"/>
    <w:rsid w:val="0006793C"/>
    <w:rsid w:val="000739C1"/>
    <w:rsid w:val="00074867"/>
    <w:rsid w:val="00076CED"/>
    <w:rsid w:val="000802EB"/>
    <w:rsid w:val="00084DBC"/>
    <w:rsid w:val="0008690E"/>
    <w:rsid w:val="00087438"/>
    <w:rsid w:val="0009047A"/>
    <w:rsid w:val="00090486"/>
    <w:rsid w:val="00090C20"/>
    <w:rsid w:val="0009122E"/>
    <w:rsid w:val="000920A2"/>
    <w:rsid w:val="0009317E"/>
    <w:rsid w:val="00093A77"/>
    <w:rsid w:val="00093C8B"/>
    <w:rsid w:val="0009413D"/>
    <w:rsid w:val="00094694"/>
    <w:rsid w:val="00094A83"/>
    <w:rsid w:val="00095BA3"/>
    <w:rsid w:val="00095CCA"/>
    <w:rsid w:val="00095CF9"/>
    <w:rsid w:val="00096656"/>
    <w:rsid w:val="00096E01"/>
    <w:rsid w:val="000A0134"/>
    <w:rsid w:val="000A139C"/>
    <w:rsid w:val="000A208B"/>
    <w:rsid w:val="000A55FD"/>
    <w:rsid w:val="000B0B7F"/>
    <w:rsid w:val="000B0F19"/>
    <w:rsid w:val="000B22E3"/>
    <w:rsid w:val="000B53EE"/>
    <w:rsid w:val="000B588D"/>
    <w:rsid w:val="000B5FB9"/>
    <w:rsid w:val="000B6B2F"/>
    <w:rsid w:val="000B6EDB"/>
    <w:rsid w:val="000C1204"/>
    <w:rsid w:val="000C12E5"/>
    <w:rsid w:val="000C17D3"/>
    <w:rsid w:val="000C5169"/>
    <w:rsid w:val="000C5FB0"/>
    <w:rsid w:val="000C6385"/>
    <w:rsid w:val="000C6C54"/>
    <w:rsid w:val="000D0E23"/>
    <w:rsid w:val="000D0F18"/>
    <w:rsid w:val="000D146D"/>
    <w:rsid w:val="000D2243"/>
    <w:rsid w:val="000D497A"/>
    <w:rsid w:val="000D596B"/>
    <w:rsid w:val="000D68E9"/>
    <w:rsid w:val="000D6C0E"/>
    <w:rsid w:val="000D78CF"/>
    <w:rsid w:val="000E10DE"/>
    <w:rsid w:val="000E13CC"/>
    <w:rsid w:val="000E55F8"/>
    <w:rsid w:val="000E592B"/>
    <w:rsid w:val="000E6010"/>
    <w:rsid w:val="000F0C99"/>
    <w:rsid w:val="000F10BF"/>
    <w:rsid w:val="000F2CC3"/>
    <w:rsid w:val="000F462C"/>
    <w:rsid w:val="000F5D9F"/>
    <w:rsid w:val="00100EA4"/>
    <w:rsid w:val="0010153E"/>
    <w:rsid w:val="001031CD"/>
    <w:rsid w:val="00115780"/>
    <w:rsid w:val="00116689"/>
    <w:rsid w:val="0011685A"/>
    <w:rsid w:val="0011796F"/>
    <w:rsid w:val="001212DC"/>
    <w:rsid w:val="00125E79"/>
    <w:rsid w:val="00126B5B"/>
    <w:rsid w:val="00127D9E"/>
    <w:rsid w:val="00127EFE"/>
    <w:rsid w:val="00131855"/>
    <w:rsid w:val="001364C2"/>
    <w:rsid w:val="00136836"/>
    <w:rsid w:val="00136E13"/>
    <w:rsid w:val="00142B15"/>
    <w:rsid w:val="001436E7"/>
    <w:rsid w:val="001441EB"/>
    <w:rsid w:val="00145E27"/>
    <w:rsid w:val="00145E97"/>
    <w:rsid w:val="001461B1"/>
    <w:rsid w:val="00152FE4"/>
    <w:rsid w:val="001554F7"/>
    <w:rsid w:val="00155D4E"/>
    <w:rsid w:val="0015614A"/>
    <w:rsid w:val="001579A0"/>
    <w:rsid w:val="00157E7B"/>
    <w:rsid w:val="001612CA"/>
    <w:rsid w:val="00161C90"/>
    <w:rsid w:val="00162A22"/>
    <w:rsid w:val="0016471F"/>
    <w:rsid w:val="001661BF"/>
    <w:rsid w:val="00166E3B"/>
    <w:rsid w:val="00166F0C"/>
    <w:rsid w:val="0016753A"/>
    <w:rsid w:val="00170534"/>
    <w:rsid w:val="00171B33"/>
    <w:rsid w:val="001725E3"/>
    <w:rsid w:val="00172A53"/>
    <w:rsid w:val="001735F8"/>
    <w:rsid w:val="00174FC7"/>
    <w:rsid w:val="00175A74"/>
    <w:rsid w:val="001779E9"/>
    <w:rsid w:val="001804B5"/>
    <w:rsid w:val="00180580"/>
    <w:rsid w:val="00180B48"/>
    <w:rsid w:val="00181BAB"/>
    <w:rsid w:val="0018265D"/>
    <w:rsid w:val="00184C03"/>
    <w:rsid w:val="0018617A"/>
    <w:rsid w:val="00187387"/>
    <w:rsid w:val="00190641"/>
    <w:rsid w:val="00195C1B"/>
    <w:rsid w:val="001964DB"/>
    <w:rsid w:val="00197634"/>
    <w:rsid w:val="0019769C"/>
    <w:rsid w:val="001A008E"/>
    <w:rsid w:val="001A136A"/>
    <w:rsid w:val="001A338E"/>
    <w:rsid w:val="001A349D"/>
    <w:rsid w:val="001A4BB7"/>
    <w:rsid w:val="001A5C49"/>
    <w:rsid w:val="001A5EE0"/>
    <w:rsid w:val="001A64AC"/>
    <w:rsid w:val="001A767C"/>
    <w:rsid w:val="001A768D"/>
    <w:rsid w:val="001B055A"/>
    <w:rsid w:val="001B0C94"/>
    <w:rsid w:val="001B1D0E"/>
    <w:rsid w:val="001B4673"/>
    <w:rsid w:val="001C05E8"/>
    <w:rsid w:val="001C19D3"/>
    <w:rsid w:val="001C353E"/>
    <w:rsid w:val="001C4854"/>
    <w:rsid w:val="001C63A3"/>
    <w:rsid w:val="001D1EBD"/>
    <w:rsid w:val="001D22A2"/>
    <w:rsid w:val="001D2B9F"/>
    <w:rsid w:val="001D527F"/>
    <w:rsid w:val="001D5C9A"/>
    <w:rsid w:val="001D788A"/>
    <w:rsid w:val="001E1E2E"/>
    <w:rsid w:val="001E1EBE"/>
    <w:rsid w:val="001E1ED7"/>
    <w:rsid w:val="001E1FF6"/>
    <w:rsid w:val="001E22D4"/>
    <w:rsid w:val="001E2303"/>
    <w:rsid w:val="001E2496"/>
    <w:rsid w:val="001E398F"/>
    <w:rsid w:val="001E68EC"/>
    <w:rsid w:val="001E7F92"/>
    <w:rsid w:val="001F168F"/>
    <w:rsid w:val="001F257B"/>
    <w:rsid w:val="001F31B2"/>
    <w:rsid w:val="001F45DB"/>
    <w:rsid w:val="002007AE"/>
    <w:rsid w:val="00200DDB"/>
    <w:rsid w:val="00201A4E"/>
    <w:rsid w:val="00204104"/>
    <w:rsid w:val="00206409"/>
    <w:rsid w:val="00207506"/>
    <w:rsid w:val="00210998"/>
    <w:rsid w:val="00210B15"/>
    <w:rsid w:val="00213160"/>
    <w:rsid w:val="00214347"/>
    <w:rsid w:val="002144B4"/>
    <w:rsid w:val="0021459F"/>
    <w:rsid w:val="00215226"/>
    <w:rsid w:val="002166DA"/>
    <w:rsid w:val="00217DAE"/>
    <w:rsid w:val="002217C4"/>
    <w:rsid w:val="00222080"/>
    <w:rsid w:val="0022298A"/>
    <w:rsid w:val="00225743"/>
    <w:rsid w:val="002264AD"/>
    <w:rsid w:val="00231C41"/>
    <w:rsid w:val="00234CF6"/>
    <w:rsid w:val="00235EE4"/>
    <w:rsid w:val="00236033"/>
    <w:rsid w:val="002362E3"/>
    <w:rsid w:val="002407EF"/>
    <w:rsid w:val="002431A6"/>
    <w:rsid w:val="00243E86"/>
    <w:rsid w:val="0024425A"/>
    <w:rsid w:val="00244B42"/>
    <w:rsid w:val="00245A75"/>
    <w:rsid w:val="002473A9"/>
    <w:rsid w:val="00247507"/>
    <w:rsid w:val="00254282"/>
    <w:rsid w:val="002544D4"/>
    <w:rsid w:val="0025590D"/>
    <w:rsid w:val="002564C5"/>
    <w:rsid w:val="00260E99"/>
    <w:rsid w:val="002625C0"/>
    <w:rsid w:val="00262EE6"/>
    <w:rsid w:val="00264111"/>
    <w:rsid w:val="00265ADC"/>
    <w:rsid w:val="00265B83"/>
    <w:rsid w:val="0026671B"/>
    <w:rsid w:val="00266D8A"/>
    <w:rsid w:val="002706B2"/>
    <w:rsid w:val="00270FE2"/>
    <w:rsid w:val="002711E6"/>
    <w:rsid w:val="00271719"/>
    <w:rsid w:val="00272420"/>
    <w:rsid w:val="00272706"/>
    <w:rsid w:val="002755E9"/>
    <w:rsid w:val="002756BA"/>
    <w:rsid w:val="00276AE6"/>
    <w:rsid w:val="00277ADE"/>
    <w:rsid w:val="00280098"/>
    <w:rsid w:val="00281E0C"/>
    <w:rsid w:val="00281EC3"/>
    <w:rsid w:val="0028223C"/>
    <w:rsid w:val="00284E6F"/>
    <w:rsid w:val="00285405"/>
    <w:rsid w:val="00285BD8"/>
    <w:rsid w:val="00287EDE"/>
    <w:rsid w:val="00291FAF"/>
    <w:rsid w:val="00292BC1"/>
    <w:rsid w:val="00295D57"/>
    <w:rsid w:val="00297370"/>
    <w:rsid w:val="0029745C"/>
    <w:rsid w:val="002977F1"/>
    <w:rsid w:val="002A1158"/>
    <w:rsid w:val="002A326C"/>
    <w:rsid w:val="002A38AF"/>
    <w:rsid w:val="002B4C34"/>
    <w:rsid w:val="002B551D"/>
    <w:rsid w:val="002B7EB0"/>
    <w:rsid w:val="002C4016"/>
    <w:rsid w:val="002C42A7"/>
    <w:rsid w:val="002C5CA5"/>
    <w:rsid w:val="002C6B0D"/>
    <w:rsid w:val="002C6E60"/>
    <w:rsid w:val="002C7066"/>
    <w:rsid w:val="002D0D7D"/>
    <w:rsid w:val="002D1472"/>
    <w:rsid w:val="002D1B52"/>
    <w:rsid w:val="002D1F92"/>
    <w:rsid w:val="002D25D9"/>
    <w:rsid w:val="002D37BD"/>
    <w:rsid w:val="002D38ED"/>
    <w:rsid w:val="002D4D6A"/>
    <w:rsid w:val="002D4EA0"/>
    <w:rsid w:val="002D64EF"/>
    <w:rsid w:val="002D6BE7"/>
    <w:rsid w:val="002E0570"/>
    <w:rsid w:val="002E1404"/>
    <w:rsid w:val="002E4843"/>
    <w:rsid w:val="002E54C9"/>
    <w:rsid w:val="002E56B3"/>
    <w:rsid w:val="002E71E5"/>
    <w:rsid w:val="002F0DE8"/>
    <w:rsid w:val="002F0E3C"/>
    <w:rsid w:val="002F13A7"/>
    <w:rsid w:val="002F3583"/>
    <w:rsid w:val="002F378C"/>
    <w:rsid w:val="002F3C3A"/>
    <w:rsid w:val="002F3D79"/>
    <w:rsid w:val="002F56DB"/>
    <w:rsid w:val="002F58CB"/>
    <w:rsid w:val="002F5EFA"/>
    <w:rsid w:val="00300730"/>
    <w:rsid w:val="00303514"/>
    <w:rsid w:val="00303D2B"/>
    <w:rsid w:val="003043FD"/>
    <w:rsid w:val="00304852"/>
    <w:rsid w:val="003049FD"/>
    <w:rsid w:val="00305DFA"/>
    <w:rsid w:val="00307C66"/>
    <w:rsid w:val="00307FDB"/>
    <w:rsid w:val="003107EE"/>
    <w:rsid w:val="00310DC3"/>
    <w:rsid w:val="00310EA3"/>
    <w:rsid w:val="00311CE4"/>
    <w:rsid w:val="003140E3"/>
    <w:rsid w:val="00314142"/>
    <w:rsid w:val="0031514B"/>
    <w:rsid w:val="00316E69"/>
    <w:rsid w:val="003207B8"/>
    <w:rsid w:val="00320F4C"/>
    <w:rsid w:val="0032294B"/>
    <w:rsid w:val="003240F3"/>
    <w:rsid w:val="0032541D"/>
    <w:rsid w:val="003254E9"/>
    <w:rsid w:val="003255C6"/>
    <w:rsid w:val="003272DA"/>
    <w:rsid w:val="00327F49"/>
    <w:rsid w:val="00331287"/>
    <w:rsid w:val="003313E3"/>
    <w:rsid w:val="0033150E"/>
    <w:rsid w:val="00332A41"/>
    <w:rsid w:val="003365C4"/>
    <w:rsid w:val="00341E4E"/>
    <w:rsid w:val="00344CDF"/>
    <w:rsid w:val="00350380"/>
    <w:rsid w:val="00354B5F"/>
    <w:rsid w:val="003553DF"/>
    <w:rsid w:val="00356123"/>
    <w:rsid w:val="003562BC"/>
    <w:rsid w:val="00356CE4"/>
    <w:rsid w:val="0036175E"/>
    <w:rsid w:val="0036198D"/>
    <w:rsid w:val="00362638"/>
    <w:rsid w:val="00364AF4"/>
    <w:rsid w:val="00364D70"/>
    <w:rsid w:val="00366CA3"/>
    <w:rsid w:val="00371E63"/>
    <w:rsid w:val="00372B94"/>
    <w:rsid w:val="003731BB"/>
    <w:rsid w:val="00384924"/>
    <w:rsid w:val="00385D75"/>
    <w:rsid w:val="00387298"/>
    <w:rsid w:val="00387A78"/>
    <w:rsid w:val="00391205"/>
    <w:rsid w:val="00391E6D"/>
    <w:rsid w:val="003923A4"/>
    <w:rsid w:val="00393EA4"/>
    <w:rsid w:val="00394DEB"/>
    <w:rsid w:val="0039605A"/>
    <w:rsid w:val="00396933"/>
    <w:rsid w:val="00396C93"/>
    <w:rsid w:val="003974C3"/>
    <w:rsid w:val="003A07EB"/>
    <w:rsid w:val="003A24E5"/>
    <w:rsid w:val="003A4DDE"/>
    <w:rsid w:val="003A6643"/>
    <w:rsid w:val="003A7798"/>
    <w:rsid w:val="003A7AF3"/>
    <w:rsid w:val="003B0DE0"/>
    <w:rsid w:val="003B1B67"/>
    <w:rsid w:val="003B2B7C"/>
    <w:rsid w:val="003B2B88"/>
    <w:rsid w:val="003B3077"/>
    <w:rsid w:val="003B63E6"/>
    <w:rsid w:val="003B7939"/>
    <w:rsid w:val="003C0F09"/>
    <w:rsid w:val="003C13D1"/>
    <w:rsid w:val="003C267F"/>
    <w:rsid w:val="003C455B"/>
    <w:rsid w:val="003C513F"/>
    <w:rsid w:val="003C548E"/>
    <w:rsid w:val="003C66D7"/>
    <w:rsid w:val="003C69EF"/>
    <w:rsid w:val="003D077F"/>
    <w:rsid w:val="003D080D"/>
    <w:rsid w:val="003D12FE"/>
    <w:rsid w:val="003D22CF"/>
    <w:rsid w:val="003D2CBA"/>
    <w:rsid w:val="003D5612"/>
    <w:rsid w:val="003E0E38"/>
    <w:rsid w:val="003E1687"/>
    <w:rsid w:val="003E1B4A"/>
    <w:rsid w:val="003E30FF"/>
    <w:rsid w:val="003E4027"/>
    <w:rsid w:val="003E5892"/>
    <w:rsid w:val="003E59D1"/>
    <w:rsid w:val="003E6083"/>
    <w:rsid w:val="003F3E11"/>
    <w:rsid w:val="003F445B"/>
    <w:rsid w:val="003F6A55"/>
    <w:rsid w:val="003F6D00"/>
    <w:rsid w:val="004007D1"/>
    <w:rsid w:val="00401F17"/>
    <w:rsid w:val="00401F64"/>
    <w:rsid w:val="0040547A"/>
    <w:rsid w:val="00406AFE"/>
    <w:rsid w:val="00407902"/>
    <w:rsid w:val="004110C3"/>
    <w:rsid w:val="004137BD"/>
    <w:rsid w:val="00417379"/>
    <w:rsid w:val="0042094D"/>
    <w:rsid w:val="004218F3"/>
    <w:rsid w:val="004266AF"/>
    <w:rsid w:val="00427545"/>
    <w:rsid w:val="004301E9"/>
    <w:rsid w:val="0043353F"/>
    <w:rsid w:val="004335CE"/>
    <w:rsid w:val="004336C5"/>
    <w:rsid w:val="0043486B"/>
    <w:rsid w:val="00434BCC"/>
    <w:rsid w:val="00435382"/>
    <w:rsid w:val="00435830"/>
    <w:rsid w:val="00436E89"/>
    <w:rsid w:val="004401A8"/>
    <w:rsid w:val="004408E8"/>
    <w:rsid w:val="00444802"/>
    <w:rsid w:val="00444810"/>
    <w:rsid w:val="00444D6A"/>
    <w:rsid w:val="00444EA0"/>
    <w:rsid w:val="00445412"/>
    <w:rsid w:val="004455A3"/>
    <w:rsid w:val="004549F8"/>
    <w:rsid w:val="00456E94"/>
    <w:rsid w:val="0046216E"/>
    <w:rsid w:val="00462F6D"/>
    <w:rsid w:val="00463FCC"/>
    <w:rsid w:val="0046645A"/>
    <w:rsid w:val="004727CD"/>
    <w:rsid w:val="0047291B"/>
    <w:rsid w:val="00473BDA"/>
    <w:rsid w:val="00473F81"/>
    <w:rsid w:val="0047697F"/>
    <w:rsid w:val="00476B3B"/>
    <w:rsid w:val="00477AA3"/>
    <w:rsid w:val="004815B9"/>
    <w:rsid w:val="004823B4"/>
    <w:rsid w:val="0048308E"/>
    <w:rsid w:val="00483DC9"/>
    <w:rsid w:val="0048404A"/>
    <w:rsid w:val="00484798"/>
    <w:rsid w:val="00484E29"/>
    <w:rsid w:val="004861E1"/>
    <w:rsid w:val="004900F4"/>
    <w:rsid w:val="00490124"/>
    <w:rsid w:val="00491B40"/>
    <w:rsid w:val="004920F8"/>
    <w:rsid w:val="00497EE3"/>
    <w:rsid w:val="004A0218"/>
    <w:rsid w:val="004A0461"/>
    <w:rsid w:val="004A159A"/>
    <w:rsid w:val="004A1949"/>
    <w:rsid w:val="004A308A"/>
    <w:rsid w:val="004A476D"/>
    <w:rsid w:val="004A5AB9"/>
    <w:rsid w:val="004A5DDD"/>
    <w:rsid w:val="004A6179"/>
    <w:rsid w:val="004B0CEE"/>
    <w:rsid w:val="004B2F98"/>
    <w:rsid w:val="004B46B5"/>
    <w:rsid w:val="004B4A24"/>
    <w:rsid w:val="004B4B35"/>
    <w:rsid w:val="004C0BF5"/>
    <w:rsid w:val="004C0BF8"/>
    <w:rsid w:val="004C1E3A"/>
    <w:rsid w:val="004C35A1"/>
    <w:rsid w:val="004C39CD"/>
    <w:rsid w:val="004C48B8"/>
    <w:rsid w:val="004C52CE"/>
    <w:rsid w:val="004C537C"/>
    <w:rsid w:val="004C7477"/>
    <w:rsid w:val="004D14A4"/>
    <w:rsid w:val="004D5813"/>
    <w:rsid w:val="004D581E"/>
    <w:rsid w:val="004D6256"/>
    <w:rsid w:val="004E5496"/>
    <w:rsid w:val="004E578A"/>
    <w:rsid w:val="004F2C37"/>
    <w:rsid w:val="004F2EA8"/>
    <w:rsid w:val="004F39A6"/>
    <w:rsid w:val="004F56A7"/>
    <w:rsid w:val="004F7259"/>
    <w:rsid w:val="004F7F5E"/>
    <w:rsid w:val="005006D5"/>
    <w:rsid w:val="005008FC"/>
    <w:rsid w:val="00503687"/>
    <w:rsid w:val="00504CA2"/>
    <w:rsid w:val="00505E03"/>
    <w:rsid w:val="00505F09"/>
    <w:rsid w:val="005119FE"/>
    <w:rsid w:val="00514DAE"/>
    <w:rsid w:val="00514E41"/>
    <w:rsid w:val="00517A9D"/>
    <w:rsid w:val="0052059D"/>
    <w:rsid w:val="00520E76"/>
    <w:rsid w:val="0052103F"/>
    <w:rsid w:val="00522CDC"/>
    <w:rsid w:val="00522DFF"/>
    <w:rsid w:val="00523CAF"/>
    <w:rsid w:val="005246C2"/>
    <w:rsid w:val="0052566B"/>
    <w:rsid w:val="00525BFE"/>
    <w:rsid w:val="005261F9"/>
    <w:rsid w:val="005308EE"/>
    <w:rsid w:val="0053136B"/>
    <w:rsid w:val="005315FE"/>
    <w:rsid w:val="00536DAA"/>
    <w:rsid w:val="00540A47"/>
    <w:rsid w:val="00547523"/>
    <w:rsid w:val="00547BF2"/>
    <w:rsid w:val="005505AF"/>
    <w:rsid w:val="005508E0"/>
    <w:rsid w:val="00554157"/>
    <w:rsid w:val="00556647"/>
    <w:rsid w:val="005567A8"/>
    <w:rsid w:val="005628EB"/>
    <w:rsid w:val="005659C3"/>
    <w:rsid w:val="00565CF5"/>
    <w:rsid w:val="00565F4B"/>
    <w:rsid w:val="00567244"/>
    <w:rsid w:val="00570667"/>
    <w:rsid w:val="00570A4D"/>
    <w:rsid w:val="00571D9C"/>
    <w:rsid w:val="0057309A"/>
    <w:rsid w:val="0057318C"/>
    <w:rsid w:val="00575CB3"/>
    <w:rsid w:val="00575EEB"/>
    <w:rsid w:val="00576711"/>
    <w:rsid w:val="00577550"/>
    <w:rsid w:val="00577A47"/>
    <w:rsid w:val="00580270"/>
    <w:rsid w:val="00580468"/>
    <w:rsid w:val="0058156B"/>
    <w:rsid w:val="0058308B"/>
    <w:rsid w:val="005849B9"/>
    <w:rsid w:val="005849FF"/>
    <w:rsid w:val="00590E2D"/>
    <w:rsid w:val="005948E9"/>
    <w:rsid w:val="00597278"/>
    <w:rsid w:val="00597558"/>
    <w:rsid w:val="005A0386"/>
    <w:rsid w:val="005A158E"/>
    <w:rsid w:val="005A4046"/>
    <w:rsid w:val="005A4237"/>
    <w:rsid w:val="005A4C78"/>
    <w:rsid w:val="005A5075"/>
    <w:rsid w:val="005A5FB0"/>
    <w:rsid w:val="005A6322"/>
    <w:rsid w:val="005B2068"/>
    <w:rsid w:val="005B2130"/>
    <w:rsid w:val="005B5E5E"/>
    <w:rsid w:val="005B6AE4"/>
    <w:rsid w:val="005C1E93"/>
    <w:rsid w:val="005C29C5"/>
    <w:rsid w:val="005C511A"/>
    <w:rsid w:val="005D0D2D"/>
    <w:rsid w:val="005D18F3"/>
    <w:rsid w:val="005D641E"/>
    <w:rsid w:val="005D657E"/>
    <w:rsid w:val="005D78D2"/>
    <w:rsid w:val="005E212E"/>
    <w:rsid w:val="005E743F"/>
    <w:rsid w:val="005F0D80"/>
    <w:rsid w:val="005F22C0"/>
    <w:rsid w:val="005F27C7"/>
    <w:rsid w:val="005F2DD4"/>
    <w:rsid w:val="005F48E5"/>
    <w:rsid w:val="005F7800"/>
    <w:rsid w:val="005F7D3D"/>
    <w:rsid w:val="00600849"/>
    <w:rsid w:val="00600B57"/>
    <w:rsid w:val="0060394F"/>
    <w:rsid w:val="0060480A"/>
    <w:rsid w:val="00604F52"/>
    <w:rsid w:val="00606BD1"/>
    <w:rsid w:val="0061225B"/>
    <w:rsid w:val="00612317"/>
    <w:rsid w:val="006124C4"/>
    <w:rsid w:val="006124C5"/>
    <w:rsid w:val="006128FC"/>
    <w:rsid w:val="00613000"/>
    <w:rsid w:val="006139FC"/>
    <w:rsid w:val="006143D6"/>
    <w:rsid w:val="006152DD"/>
    <w:rsid w:val="00615465"/>
    <w:rsid w:val="006172AA"/>
    <w:rsid w:val="00620290"/>
    <w:rsid w:val="0062088B"/>
    <w:rsid w:val="00621B22"/>
    <w:rsid w:val="0062255A"/>
    <w:rsid w:val="00622A98"/>
    <w:rsid w:val="00622D15"/>
    <w:rsid w:val="00624FE2"/>
    <w:rsid w:val="00626C9C"/>
    <w:rsid w:val="00627100"/>
    <w:rsid w:val="006279B6"/>
    <w:rsid w:val="00627B55"/>
    <w:rsid w:val="0063019F"/>
    <w:rsid w:val="00630320"/>
    <w:rsid w:val="0063141B"/>
    <w:rsid w:val="0063207E"/>
    <w:rsid w:val="00632EE9"/>
    <w:rsid w:val="00634A57"/>
    <w:rsid w:val="00634F7E"/>
    <w:rsid w:val="00636E03"/>
    <w:rsid w:val="00637AE2"/>
    <w:rsid w:val="00637D2F"/>
    <w:rsid w:val="006405F7"/>
    <w:rsid w:val="00643D75"/>
    <w:rsid w:val="00643FC2"/>
    <w:rsid w:val="006443C8"/>
    <w:rsid w:val="00644F35"/>
    <w:rsid w:val="00645E17"/>
    <w:rsid w:val="00646B64"/>
    <w:rsid w:val="00647913"/>
    <w:rsid w:val="00650907"/>
    <w:rsid w:val="006518A6"/>
    <w:rsid w:val="006522FB"/>
    <w:rsid w:val="006538A7"/>
    <w:rsid w:val="00654864"/>
    <w:rsid w:val="00655312"/>
    <w:rsid w:val="00660459"/>
    <w:rsid w:val="00663E2E"/>
    <w:rsid w:val="006648BE"/>
    <w:rsid w:val="00665E3F"/>
    <w:rsid w:val="00667083"/>
    <w:rsid w:val="006678D5"/>
    <w:rsid w:val="00670A57"/>
    <w:rsid w:val="0067181C"/>
    <w:rsid w:val="00671AE9"/>
    <w:rsid w:val="00671CEF"/>
    <w:rsid w:val="00671ED2"/>
    <w:rsid w:val="00672AF0"/>
    <w:rsid w:val="00673F6D"/>
    <w:rsid w:val="00677462"/>
    <w:rsid w:val="00677E58"/>
    <w:rsid w:val="0068039D"/>
    <w:rsid w:val="00680B5D"/>
    <w:rsid w:val="006824C2"/>
    <w:rsid w:val="0068284E"/>
    <w:rsid w:val="0068341C"/>
    <w:rsid w:val="00684177"/>
    <w:rsid w:val="006947A5"/>
    <w:rsid w:val="006958DF"/>
    <w:rsid w:val="006A0D33"/>
    <w:rsid w:val="006A22C9"/>
    <w:rsid w:val="006A23CD"/>
    <w:rsid w:val="006A507B"/>
    <w:rsid w:val="006A6BA7"/>
    <w:rsid w:val="006A6C95"/>
    <w:rsid w:val="006A7494"/>
    <w:rsid w:val="006A76F8"/>
    <w:rsid w:val="006B34F8"/>
    <w:rsid w:val="006B7EE2"/>
    <w:rsid w:val="006C0B84"/>
    <w:rsid w:val="006C0C34"/>
    <w:rsid w:val="006C2EE2"/>
    <w:rsid w:val="006C5811"/>
    <w:rsid w:val="006D18B6"/>
    <w:rsid w:val="006D1C66"/>
    <w:rsid w:val="006D337C"/>
    <w:rsid w:val="006D3CB3"/>
    <w:rsid w:val="006D63F5"/>
    <w:rsid w:val="006D6F75"/>
    <w:rsid w:val="006E07E1"/>
    <w:rsid w:val="006E2129"/>
    <w:rsid w:val="006E5D6D"/>
    <w:rsid w:val="006E76EB"/>
    <w:rsid w:val="006F0A10"/>
    <w:rsid w:val="006F1588"/>
    <w:rsid w:val="006F4040"/>
    <w:rsid w:val="006F5C79"/>
    <w:rsid w:val="006F6724"/>
    <w:rsid w:val="006F6EDC"/>
    <w:rsid w:val="00700336"/>
    <w:rsid w:val="00701281"/>
    <w:rsid w:val="007055AF"/>
    <w:rsid w:val="00705D91"/>
    <w:rsid w:val="00705DA0"/>
    <w:rsid w:val="007062AE"/>
    <w:rsid w:val="0070690A"/>
    <w:rsid w:val="00710B15"/>
    <w:rsid w:val="007149FD"/>
    <w:rsid w:val="00717DA7"/>
    <w:rsid w:val="007201E5"/>
    <w:rsid w:val="0072241B"/>
    <w:rsid w:val="00725370"/>
    <w:rsid w:val="007275E9"/>
    <w:rsid w:val="007316AD"/>
    <w:rsid w:val="007335B9"/>
    <w:rsid w:val="00734810"/>
    <w:rsid w:val="00734CEC"/>
    <w:rsid w:val="00741592"/>
    <w:rsid w:val="00741ACB"/>
    <w:rsid w:val="0074230D"/>
    <w:rsid w:val="007447BD"/>
    <w:rsid w:val="00745C4B"/>
    <w:rsid w:val="00745F48"/>
    <w:rsid w:val="0074695A"/>
    <w:rsid w:val="00750D47"/>
    <w:rsid w:val="00751010"/>
    <w:rsid w:val="007544EA"/>
    <w:rsid w:val="007546D6"/>
    <w:rsid w:val="00754AA5"/>
    <w:rsid w:val="00756EF0"/>
    <w:rsid w:val="007572DD"/>
    <w:rsid w:val="0076160D"/>
    <w:rsid w:val="007632A2"/>
    <w:rsid w:val="00763A11"/>
    <w:rsid w:val="007642CD"/>
    <w:rsid w:val="00764FFF"/>
    <w:rsid w:val="007679AF"/>
    <w:rsid w:val="0077072B"/>
    <w:rsid w:val="00770EF1"/>
    <w:rsid w:val="00770F4C"/>
    <w:rsid w:val="00772168"/>
    <w:rsid w:val="00772DD2"/>
    <w:rsid w:val="00773872"/>
    <w:rsid w:val="00775788"/>
    <w:rsid w:val="00775D3E"/>
    <w:rsid w:val="007779B6"/>
    <w:rsid w:val="00777AE9"/>
    <w:rsid w:val="007809F5"/>
    <w:rsid w:val="007811FB"/>
    <w:rsid w:val="007826A7"/>
    <w:rsid w:val="0078314F"/>
    <w:rsid w:val="0078657E"/>
    <w:rsid w:val="00787619"/>
    <w:rsid w:val="00787AC7"/>
    <w:rsid w:val="00791B28"/>
    <w:rsid w:val="0079244B"/>
    <w:rsid w:val="00793854"/>
    <w:rsid w:val="007958D4"/>
    <w:rsid w:val="007960B4"/>
    <w:rsid w:val="00797CAA"/>
    <w:rsid w:val="007A0633"/>
    <w:rsid w:val="007A35B6"/>
    <w:rsid w:val="007A4B52"/>
    <w:rsid w:val="007A50B1"/>
    <w:rsid w:val="007A59D4"/>
    <w:rsid w:val="007A6320"/>
    <w:rsid w:val="007A646B"/>
    <w:rsid w:val="007A6F13"/>
    <w:rsid w:val="007A7365"/>
    <w:rsid w:val="007A7F84"/>
    <w:rsid w:val="007B173C"/>
    <w:rsid w:val="007B4411"/>
    <w:rsid w:val="007C152D"/>
    <w:rsid w:val="007C1A28"/>
    <w:rsid w:val="007C2015"/>
    <w:rsid w:val="007C2DD3"/>
    <w:rsid w:val="007C58B6"/>
    <w:rsid w:val="007C6FAC"/>
    <w:rsid w:val="007C7629"/>
    <w:rsid w:val="007D1232"/>
    <w:rsid w:val="007D1C95"/>
    <w:rsid w:val="007D251E"/>
    <w:rsid w:val="007D333A"/>
    <w:rsid w:val="007D340F"/>
    <w:rsid w:val="007D4318"/>
    <w:rsid w:val="007D64A0"/>
    <w:rsid w:val="007E39EE"/>
    <w:rsid w:val="007E3C4B"/>
    <w:rsid w:val="007E4B89"/>
    <w:rsid w:val="007E4E12"/>
    <w:rsid w:val="007E5B5B"/>
    <w:rsid w:val="007E6AED"/>
    <w:rsid w:val="007F1DFA"/>
    <w:rsid w:val="007F32B1"/>
    <w:rsid w:val="007F3DC3"/>
    <w:rsid w:val="007F6C37"/>
    <w:rsid w:val="00801692"/>
    <w:rsid w:val="00802D2E"/>
    <w:rsid w:val="00803243"/>
    <w:rsid w:val="00804F29"/>
    <w:rsid w:val="00805667"/>
    <w:rsid w:val="00807E9B"/>
    <w:rsid w:val="008101F1"/>
    <w:rsid w:val="0081049A"/>
    <w:rsid w:val="008118CE"/>
    <w:rsid w:val="0081268A"/>
    <w:rsid w:val="00813922"/>
    <w:rsid w:val="008148DB"/>
    <w:rsid w:val="00815DA1"/>
    <w:rsid w:val="00815EB4"/>
    <w:rsid w:val="00816224"/>
    <w:rsid w:val="008165CE"/>
    <w:rsid w:val="008168BA"/>
    <w:rsid w:val="00817BFF"/>
    <w:rsid w:val="00817E94"/>
    <w:rsid w:val="00820701"/>
    <w:rsid w:val="00825620"/>
    <w:rsid w:val="0082622D"/>
    <w:rsid w:val="00826ACC"/>
    <w:rsid w:val="00830B1F"/>
    <w:rsid w:val="00831116"/>
    <w:rsid w:val="008311E6"/>
    <w:rsid w:val="008324BA"/>
    <w:rsid w:val="008328BA"/>
    <w:rsid w:val="00833733"/>
    <w:rsid w:val="008339CF"/>
    <w:rsid w:val="0084090C"/>
    <w:rsid w:val="0084300B"/>
    <w:rsid w:val="008449C4"/>
    <w:rsid w:val="0084560C"/>
    <w:rsid w:val="008465E9"/>
    <w:rsid w:val="0084695F"/>
    <w:rsid w:val="00847A85"/>
    <w:rsid w:val="00850AF7"/>
    <w:rsid w:val="00850C70"/>
    <w:rsid w:val="00852D58"/>
    <w:rsid w:val="00862894"/>
    <w:rsid w:val="0086494A"/>
    <w:rsid w:val="00864A91"/>
    <w:rsid w:val="00867483"/>
    <w:rsid w:val="0087146B"/>
    <w:rsid w:val="00871504"/>
    <w:rsid w:val="00872D6A"/>
    <w:rsid w:val="008734B0"/>
    <w:rsid w:val="00874A9C"/>
    <w:rsid w:val="00875224"/>
    <w:rsid w:val="008756B2"/>
    <w:rsid w:val="00875995"/>
    <w:rsid w:val="00877D09"/>
    <w:rsid w:val="00880031"/>
    <w:rsid w:val="0088003C"/>
    <w:rsid w:val="0088059F"/>
    <w:rsid w:val="0088083B"/>
    <w:rsid w:val="00880B55"/>
    <w:rsid w:val="00882643"/>
    <w:rsid w:val="00884832"/>
    <w:rsid w:val="0088489F"/>
    <w:rsid w:val="008848CE"/>
    <w:rsid w:val="00884DFC"/>
    <w:rsid w:val="00885AEF"/>
    <w:rsid w:val="008921AF"/>
    <w:rsid w:val="0089367E"/>
    <w:rsid w:val="00893F8C"/>
    <w:rsid w:val="00895AC4"/>
    <w:rsid w:val="00895DA6"/>
    <w:rsid w:val="008A4323"/>
    <w:rsid w:val="008A6039"/>
    <w:rsid w:val="008A7F8A"/>
    <w:rsid w:val="008B19E5"/>
    <w:rsid w:val="008B1F3D"/>
    <w:rsid w:val="008B1F50"/>
    <w:rsid w:val="008B3381"/>
    <w:rsid w:val="008B4579"/>
    <w:rsid w:val="008B48B5"/>
    <w:rsid w:val="008B492D"/>
    <w:rsid w:val="008B59D1"/>
    <w:rsid w:val="008B6ABD"/>
    <w:rsid w:val="008C009F"/>
    <w:rsid w:val="008C1A42"/>
    <w:rsid w:val="008C306C"/>
    <w:rsid w:val="008C38FF"/>
    <w:rsid w:val="008C4505"/>
    <w:rsid w:val="008C6C84"/>
    <w:rsid w:val="008C7E72"/>
    <w:rsid w:val="008D2CC6"/>
    <w:rsid w:val="008D2FC4"/>
    <w:rsid w:val="008D4C45"/>
    <w:rsid w:val="008D53DC"/>
    <w:rsid w:val="008D7BF2"/>
    <w:rsid w:val="008D7CFC"/>
    <w:rsid w:val="008E0072"/>
    <w:rsid w:val="008E0B68"/>
    <w:rsid w:val="008E2AF6"/>
    <w:rsid w:val="008E2ED1"/>
    <w:rsid w:val="008E32E2"/>
    <w:rsid w:val="008E3BDC"/>
    <w:rsid w:val="008E66F5"/>
    <w:rsid w:val="008E6D9C"/>
    <w:rsid w:val="008E76BA"/>
    <w:rsid w:val="008E77C0"/>
    <w:rsid w:val="008F19F2"/>
    <w:rsid w:val="008F23FA"/>
    <w:rsid w:val="008F4259"/>
    <w:rsid w:val="0090137E"/>
    <w:rsid w:val="00901B4B"/>
    <w:rsid w:val="00903CE5"/>
    <w:rsid w:val="009055A3"/>
    <w:rsid w:val="00905621"/>
    <w:rsid w:val="009142AD"/>
    <w:rsid w:val="00914A06"/>
    <w:rsid w:val="00915EE3"/>
    <w:rsid w:val="00917439"/>
    <w:rsid w:val="0091782F"/>
    <w:rsid w:val="00921B07"/>
    <w:rsid w:val="00921C92"/>
    <w:rsid w:val="00923A9D"/>
    <w:rsid w:val="00924903"/>
    <w:rsid w:val="00925C1F"/>
    <w:rsid w:val="009303C9"/>
    <w:rsid w:val="0093166A"/>
    <w:rsid w:val="00931C70"/>
    <w:rsid w:val="00932696"/>
    <w:rsid w:val="00934D95"/>
    <w:rsid w:val="0093770F"/>
    <w:rsid w:val="00937ED2"/>
    <w:rsid w:val="00940730"/>
    <w:rsid w:val="0094232B"/>
    <w:rsid w:val="00942549"/>
    <w:rsid w:val="0094567F"/>
    <w:rsid w:val="00946E39"/>
    <w:rsid w:val="00946F64"/>
    <w:rsid w:val="009535FC"/>
    <w:rsid w:val="00954BF7"/>
    <w:rsid w:val="00955A36"/>
    <w:rsid w:val="0095651B"/>
    <w:rsid w:val="00956754"/>
    <w:rsid w:val="00960124"/>
    <w:rsid w:val="00964617"/>
    <w:rsid w:val="00965B4F"/>
    <w:rsid w:val="00965FCE"/>
    <w:rsid w:val="00966FB0"/>
    <w:rsid w:val="009726AC"/>
    <w:rsid w:val="00972A02"/>
    <w:rsid w:val="0097464F"/>
    <w:rsid w:val="00974BAA"/>
    <w:rsid w:val="00976673"/>
    <w:rsid w:val="00976FAB"/>
    <w:rsid w:val="00977901"/>
    <w:rsid w:val="00981CDB"/>
    <w:rsid w:val="00982075"/>
    <w:rsid w:val="0098245C"/>
    <w:rsid w:val="009837CD"/>
    <w:rsid w:val="0098403A"/>
    <w:rsid w:val="0098424C"/>
    <w:rsid w:val="009874FB"/>
    <w:rsid w:val="00992215"/>
    <w:rsid w:val="009931D3"/>
    <w:rsid w:val="00997469"/>
    <w:rsid w:val="009A2E92"/>
    <w:rsid w:val="009A38C4"/>
    <w:rsid w:val="009A38E5"/>
    <w:rsid w:val="009A6B08"/>
    <w:rsid w:val="009A6DAA"/>
    <w:rsid w:val="009A75DD"/>
    <w:rsid w:val="009A7C9E"/>
    <w:rsid w:val="009B02CA"/>
    <w:rsid w:val="009B03F5"/>
    <w:rsid w:val="009B0A9D"/>
    <w:rsid w:val="009B1AB4"/>
    <w:rsid w:val="009B2C78"/>
    <w:rsid w:val="009B2E8A"/>
    <w:rsid w:val="009B314F"/>
    <w:rsid w:val="009B35B8"/>
    <w:rsid w:val="009B3AB5"/>
    <w:rsid w:val="009B66C8"/>
    <w:rsid w:val="009C0B03"/>
    <w:rsid w:val="009C0C8F"/>
    <w:rsid w:val="009C0EE9"/>
    <w:rsid w:val="009C7E7C"/>
    <w:rsid w:val="009D0B4F"/>
    <w:rsid w:val="009D0BA2"/>
    <w:rsid w:val="009D4B0C"/>
    <w:rsid w:val="009D57CA"/>
    <w:rsid w:val="009D72AD"/>
    <w:rsid w:val="009D7624"/>
    <w:rsid w:val="009D7837"/>
    <w:rsid w:val="009E0937"/>
    <w:rsid w:val="009E0AAE"/>
    <w:rsid w:val="009E1A02"/>
    <w:rsid w:val="009E388B"/>
    <w:rsid w:val="009E4E26"/>
    <w:rsid w:val="009E5331"/>
    <w:rsid w:val="009E553D"/>
    <w:rsid w:val="009E6A53"/>
    <w:rsid w:val="009F0881"/>
    <w:rsid w:val="009F1C46"/>
    <w:rsid w:val="009F20DE"/>
    <w:rsid w:val="009F2E21"/>
    <w:rsid w:val="009F7B0A"/>
    <w:rsid w:val="009F7ECF"/>
    <w:rsid w:val="00A00489"/>
    <w:rsid w:val="00A00D00"/>
    <w:rsid w:val="00A00DDB"/>
    <w:rsid w:val="00A02399"/>
    <w:rsid w:val="00A03CFB"/>
    <w:rsid w:val="00A0525B"/>
    <w:rsid w:val="00A05FAD"/>
    <w:rsid w:val="00A062D7"/>
    <w:rsid w:val="00A06302"/>
    <w:rsid w:val="00A07B2F"/>
    <w:rsid w:val="00A12E63"/>
    <w:rsid w:val="00A14405"/>
    <w:rsid w:val="00A16AE7"/>
    <w:rsid w:val="00A177DF"/>
    <w:rsid w:val="00A212CB"/>
    <w:rsid w:val="00A21647"/>
    <w:rsid w:val="00A225D8"/>
    <w:rsid w:val="00A23CFD"/>
    <w:rsid w:val="00A23F01"/>
    <w:rsid w:val="00A2401D"/>
    <w:rsid w:val="00A25101"/>
    <w:rsid w:val="00A25DE4"/>
    <w:rsid w:val="00A268D7"/>
    <w:rsid w:val="00A26F26"/>
    <w:rsid w:val="00A27CE1"/>
    <w:rsid w:val="00A31121"/>
    <w:rsid w:val="00A33B15"/>
    <w:rsid w:val="00A37146"/>
    <w:rsid w:val="00A376B2"/>
    <w:rsid w:val="00A37FF7"/>
    <w:rsid w:val="00A40A5E"/>
    <w:rsid w:val="00A41373"/>
    <w:rsid w:val="00A41793"/>
    <w:rsid w:val="00A419E7"/>
    <w:rsid w:val="00A4395D"/>
    <w:rsid w:val="00A44747"/>
    <w:rsid w:val="00A44FD4"/>
    <w:rsid w:val="00A47338"/>
    <w:rsid w:val="00A476E5"/>
    <w:rsid w:val="00A508CC"/>
    <w:rsid w:val="00A53FE8"/>
    <w:rsid w:val="00A56660"/>
    <w:rsid w:val="00A6062C"/>
    <w:rsid w:val="00A60B7A"/>
    <w:rsid w:val="00A62FEF"/>
    <w:rsid w:val="00A63F09"/>
    <w:rsid w:val="00A63F7C"/>
    <w:rsid w:val="00A63FEF"/>
    <w:rsid w:val="00A64E61"/>
    <w:rsid w:val="00A65240"/>
    <w:rsid w:val="00A662B0"/>
    <w:rsid w:val="00A7209E"/>
    <w:rsid w:val="00A729B1"/>
    <w:rsid w:val="00A8064A"/>
    <w:rsid w:val="00A808D9"/>
    <w:rsid w:val="00A80F49"/>
    <w:rsid w:val="00A82F12"/>
    <w:rsid w:val="00A837A1"/>
    <w:rsid w:val="00A844B3"/>
    <w:rsid w:val="00A8569F"/>
    <w:rsid w:val="00A857F4"/>
    <w:rsid w:val="00A85AF6"/>
    <w:rsid w:val="00A9268B"/>
    <w:rsid w:val="00A9351D"/>
    <w:rsid w:val="00A9382B"/>
    <w:rsid w:val="00A950C4"/>
    <w:rsid w:val="00A95A07"/>
    <w:rsid w:val="00A95D75"/>
    <w:rsid w:val="00A96346"/>
    <w:rsid w:val="00AA013D"/>
    <w:rsid w:val="00AA0B33"/>
    <w:rsid w:val="00AA275E"/>
    <w:rsid w:val="00AA3297"/>
    <w:rsid w:val="00AA356E"/>
    <w:rsid w:val="00AA58CD"/>
    <w:rsid w:val="00AA61D0"/>
    <w:rsid w:val="00AA68E4"/>
    <w:rsid w:val="00AB0119"/>
    <w:rsid w:val="00AB0677"/>
    <w:rsid w:val="00AB1DE3"/>
    <w:rsid w:val="00AB27C3"/>
    <w:rsid w:val="00AB38EF"/>
    <w:rsid w:val="00AB4AE1"/>
    <w:rsid w:val="00AB5AEB"/>
    <w:rsid w:val="00AB6BD8"/>
    <w:rsid w:val="00AB72CF"/>
    <w:rsid w:val="00AC175C"/>
    <w:rsid w:val="00AC193F"/>
    <w:rsid w:val="00AC1F69"/>
    <w:rsid w:val="00AC355B"/>
    <w:rsid w:val="00AC54AE"/>
    <w:rsid w:val="00AD1D11"/>
    <w:rsid w:val="00AD2475"/>
    <w:rsid w:val="00AD2625"/>
    <w:rsid w:val="00AD3577"/>
    <w:rsid w:val="00AD3C6C"/>
    <w:rsid w:val="00AD4111"/>
    <w:rsid w:val="00AD65CB"/>
    <w:rsid w:val="00AD7CB3"/>
    <w:rsid w:val="00AE0B72"/>
    <w:rsid w:val="00AE0EFD"/>
    <w:rsid w:val="00AE12E1"/>
    <w:rsid w:val="00AE15B0"/>
    <w:rsid w:val="00AE238A"/>
    <w:rsid w:val="00AE4271"/>
    <w:rsid w:val="00AE4CFB"/>
    <w:rsid w:val="00AE4EF0"/>
    <w:rsid w:val="00AF0733"/>
    <w:rsid w:val="00AF1DBE"/>
    <w:rsid w:val="00AF2E9A"/>
    <w:rsid w:val="00AF4945"/>
    <w:rsid w:val="00AF5281"/>
    <w:rsid w:val="00AF645C"/>
    <w:rsid w:val="00AF6DBC"/>
    <w:rsid w:val="00AF76B8"/>
    <w:rsid w:val="00B01712"/>
    <w:rsid w:val="00B031CA"/>
    <w:rsid w:val="00B044B0"/>
    <w:rsid w:val="00B0572F"/>
    <w:rsid w:val="00B07278"/>
    <w:rsid w:val="00B07715"/>
    <w:rsid w:val="00B10C82"/>
    <w:rsid w:val="00B11549"/>
    <w:rsid w:val="00B12415"/>
    <w:rsid w:val="00B13203"/>
    <w:rsid w:val="00B16929"/>
    <w:rsid w:val="00B17DF2"/>
    <w:rsid w:val="00B21917"/>
    <w:rsid w:val="00B22F2F"/>
    <w:rsid w:val="00B23FE5"/>
    <w:rsid w:val="00B240AE"/>
    <w:rsid w:val="00B2673F"/>
    <w:rsid w:val="00B271FD"/>
    <w:rsid w:val="00B27DEB"/>
    <w:rsid w:val="00B315BD"/>
    <w:rsid w:val="00B325BB"/>
    <w:rsid w:val="00B33C20"/>
    <w:rsid w:val="00B36D70"/>
    <w:rsid w:val="00B40674"/>
    <w:rsid w:val="00B409CE"/>
    <w:rsid w:val="00B41023"/>
    <w:rsid w:val="00B41654"/>
    <w:rsid w:val="00B41970"/>
    <w:rsid w:val="00B424EA"/>
    <w:rsid w:val="00B42D34"/>
    <w:rsid w:val="00B45B23"/>
    <w:rsid w:val="00B47FA0"/>
    <w:rsid w:val="00B5166D"/>
    <w:rsid w:val="00B53632"/>
    <w:rsid w:val="00B569DC"/>
    <w:rsid w:val="00B60446"/>
    <w:rsid w:val="00B615E0"/>
    <w:rsid w:val="00B626FB"/>
    <w:rsid w:val="00B64C71"/>
    <w:rsid w:val="00B65CD7"/>
    <w:rsid w:val="00B6708D"/>
    <w:rsid w:val="00B67C42"/>
    <w:rsid w:val="00B702E2"/>
    <w:rsid w:val="00B72F39"/>
    <w:rsid w:val="00B748FB"/>
    <w:rsid w:val="00B7508E"/>
    <w:rsid w:val="00B76259"/>
    <w:rsid w:val="00B765C9"/>
    <w:rsid w:val="00B766BC"/>
    <w:rsid w:val="00B816CC"/>
    <w:rsid w:val="00B82742"/>
    <w:rsid w:val="00B838B6"/>
    <w:rsid w:val="00B8529E"/>
    <w:rsid w:val="00B857C5"/>
    <w:rsid w:val="00B9052F"/>
    <w:rsid w:val="00B922DB"/>
    <w:rsid w:val="00B93567"/>
    <w:rsid w:val="00B94688"/>
    <w:rsid w:val="00B9611F"/>
    <w:rsid w:val="00BA0F57"/>
    <w:rsid w:val="00BA0FF2"/>
    <w:rsid w:val="00BA15C5"/>
    <w:rsid w:val="00BA2342"/>
    <w:rsid w:val="00BA3EE1"/>
    <w:rsid w:val="00BA6C15"/>
    <w:rsid w:val="00BA7B1B"/>
    <w:rsid w:val="00BB0410"/>
    <w:rsid w:val="00BB26B9"/>
    <w:rsid w:val="00BB347A"/>
    <w:rsid w:val="00BB3FB3"/>
    <w:rsid w:val="00BB470B"/>
    <w:rsid w:val="00BB586D"/>
    <w:rsid w:val="00BB79C5"/>
    <w:rsid w:val="00BC0432"/>
    <w:rsid w:val="00BC10C0"/>
    <w:rsid w:val="00BC1AD8"/>
    <w:rsid w:val="00BC1D20"/>
    <w:rsid w:val="00BC1E6C"/>
    <w:rsid w:val="00BC2B65"/>
    <w:rsid w:val="00BC31CA"/>
    <w:rsid w:val="00BC3F1E"/>
    <w:rsid w:val="00BC3F89"/>
    <w:rsid w:val="00BC5294"/>
    <w:rsid w:val="00BD03F7"/>
    <w:rsid w:val="00BD3189"/>
    <w:rsid w:val="00BD326C"/>
    <w:rsid w:val="00BD33AA"/>
    <w:rsid w:val="00BD52D2"/>
    <w:rsid w:val="00BD6D36"/>
    <w:rsid w:val="00BD6E4A"/>
    <w:rsid w:val="00BD7651"/>
    <w:rsid w:val="00BE1691"/>
    <w:rsid w:val="00BE186E"/>
    <w:rsid w:val="00BE3D77"/>
    <w:rsid w:val="00BE5322"/>
    <w:rsid w:val="00BE6E91"/>
    <w:rsid w:val="00BE72A2"/>
    <w:rsid w:val="00BE7583"/>
    <w:rsid w:val="00BF1196"/>
    <w:rsid w:val="00BF40D2"/>
    <w:rsid w:val="00BF4D7B"/>
    <w:rsid w:val="00BF5157"/>
    <w:rsid w:val="00BF5A18"/>
    <w:rsid w:val="00BF757D"/>
    <w:rsid w:val="00C00BA3"/>
    <w:rsid w:val="00C00C4A"/>
    <w:rsid w:val="00C030D5"/>
    <w:rsid w:val="00C04AB6"/>
    <w:rsid w:val="00C06176"/>
    <w:rsid w:val="00C10371"/>
    <w:rsid w:val="00C1080B"/>
    <w:rsid w:val="00C11982"/>
    <w:rsid w:val="00C142A4"/>
    <w:rsid w:val="00C14FD5"/>
    <w:rsid w:val="00C16E83"/>
    <w:rsid w:val="00C16FC7"/>
    <w:rsid w:val="00C202AB"/>
    <w:rsid w:val="00C2156F"/>
    <w:rsid w:val="00C22429"/>
    <w:rsid w:val="00C226B8"/>
    <w:rsid w:val="00C24515"/>
    <w:rsid w:val="00C248E1"/>
    <w:rsid w:val="00C27EDF"/>
    <w:rsid w:val="00C30E22"/>
    <w:rsid w:val="00C3260D"/>
    <w:rsid w:val="00C3355A"/>
    <w:rsid w:val="00C34B53"/>
    <w:rsid w:val="00C3518D"/>
    <w:rsid w:val="00C35DC2"/>
    <w:rsid w:val="00C36195"/>
    <w:rsid w:val="00C36209"/>
    <w:rsid w:val="00C36280"/>
    <w:rsid w:val="00C400C1"/>
    <w:rsid w:val="00C40DD3"/>
    <w:rsid w:val="00C47102"/>
    <w:rsid w:val="00C47AFA"/>
    <w:rsid w:val="00C47B3F"/>
    <w:rsid w:val="00C51236"/>
    <w:rsid w:val="00C52C71"/>
    <w:rsid w:val="00C53EE4"/>
    <w:rsid w:val="00C55F7C"/>
    <w:rsid w:val="00C572A8"/>
    <w:rsid w:val="00C6044A"/>
    <w:rsid w:val="00C619A4"/>
    <w:rsid w:val="00C65004"/>
    <w:rsid w:val="00C65DC6"/>
    <w:rsid w:val="00C65DF0"/>
    <w:rsid w:val="00C700AF"/>
    <w:rsid w:val="00C701D6"/>
    <w:rsid w:val="00C70208"/>
    <w:rsid w:val="00C702FC"/>
    <w:rsid w:val="00C747E4"/>
    <w:rsid w:val="00C76296"/>
    <w:rsid w:val="00C77D61"/>
    <w:rsid w:val="00C802C6"/>
    <w:rsid w:val="00C821BE"/>
    <w:rsid w:val="00C847BF"/>
    <w:rsid w:val="00C8543D"/>
    <w:rsid w:val="00C856C0"/>
    <w:rsid w:val="00C860E6"/>
    <w:rsid w:val="00C874C2"/>
    <w:rsid w:val="00C91DA2"/>
    <w:rsid w:val="00C92296"/>
    <w:rsid w:val="00C92456"/>
    <w:rsid w:val="00C930D8"/>
    <w:rsid w:val="00C93A3B"/>
    <w:rsid w:val="00C97679"/>
    <w:rsid w:val="00C97A87"/>
    <w:rsid w:val="00CA2FF9"/>
    <w:rsid w:val="00CA6659"/>
    <w:rsid w:val="00CA66C6"/>
    <w:rsid w:val="00CB0165"/>
    <w:rsid w:val="00CB1ED9"/>
    <w:rsid w:val="00CB2CF0"/>
    <w:rsid w:val="00CB3670"/>
    <w:rsid w:val="00CB4F92"/>
    <w:rsid w:val="00CB6090"/>
    <w:rsid w:val="00CB7DDD"/>
    <w:rsid w:val="00CC1F9B"/>
    <w:rsid w:val="00CC4282"/>
    <w:rsid w:val="00CD01BE"/>
    <w:rsid w:val="00CD0789"/>
    <w:rsid w:val="00CD17CF"/>
    <w:rsid w:val="00CD2D91"/>
    <w:rsid w:val="00CD3E56"/>
    <w:rsid w:val="00CD5496"/>
    <w:rsid w:val="00CD55D7"/>
    <w:rsid w:val="00CD57E5"/>
    <w:rsid w:val="00CE14E6"/>
    <w:rsid w:val="00CE2734"/>
    <w:rsid w:val="00CE2BFC"/>
    <w:rsid w:val="00CE3530"/>
    <w:rsid w:val="00CE374A"/>
    <w:rsid w:val="00CE581A"/>
    <w:rsid w:val="00CE58E2"/>
    <w:rsid w:val="00CE5927"/>
    <w:rsid w:val="00CE757E"/>
    <w:rsid w:val="00CF114E"/>
    <w:rsid w:val="00CF5998"/>
    <w:rsid w:val="00CF5A0F"/>
    <w:rsid w:val="00CF7E6A"/>
    <w:rsid w:val="00D03CFF"/>
    <w:rsid w:val="00D03E57"/>
    <w:rsid w:val="00D044DA"/>
    <w:rsid w:val="00D0707B"/>
    <w:rsid w:val="00D10B3E"/>
    <w:rsid w:val="00D11878"/>
    <w:rsid w:val="00D146E5"/>
    <w:rsid w:val="00D15760"/>
    <w:rsid w:val="00D15D5D"/>
    <w:rsid w:val="00D16201"/>
    <w:rsid w:val="00D16F0A"/>
    <w:rsid w:val="00D174E1"/>
    <w:rsid w:val="00D20C09"/>
    <w:rsid w:val="00D2290E"/>
    <w:rsid w:val="00D22E84"/>
    <w:rsid w:val="00D23783"/>
    <w:rsid w:val="00D23BE9"/>
    <w:rsid w:val="00D2682F"/>
    <w:rsid w:val="00D30C8E"/>
    <w:rsid w:val="00D30CA6"/>
    <w:rsid w:val="00D324C5"/>
    <w:rsid w:val="00D363AE"/>
    <w:rsid w:val="00D36AF7"/>
    <w:rsid w:val="00D40348"/>
    <w:rsid w:val="00D40A50"/>
    <w:rsid w:val="00D43278"/>
    <w:rsid w:val="00D47842"/>
    <w:rsid w:val="00D50654"/>
    <w:rsid w:val="00D51464"/>
    <w:rsid w:val="00D539D8"/>
    <w:rsid w:val="00D60026"/>
    <w:rsid w:val="00D62D23"/>
    <w:rsid w:val="00D62E18"/>
    <w:rsid w:val="00D63635"/>
    <w:rsid w:val="00D6503E"/>
    <w:rsid w:val="00D65A4C"/>
    <w:rsid w:val="00D67311"/>
    <w:rsid w:val="00D72B33"/>
    <w:rsid w:val="00D72C52"/>
    <w:rsid w:val="00D74257"/>
    <w:rsid w:val="00D74550"/>
    <w:rsid w:val="00D752E1"/>
    <w:rsid w:val="00D76D0A"/>
    <w:rsid w:val="00D76F5A"/>
    <w:rsid w:val="00D8167B"/>
    <w:rsid w:val="00D817C9"/>
    <w:rsid w:val="00D817F8"/>
    <w:rsid w:val="00D81D10"/>
    <w:rsid w:val="00D87746"/>
    <w:rsid w:val="00D9021A"/>
    <w:rsid w:val="00D91058"/>
    <w:rsid w:val="00D9233D"/>
    <w:rsid w:val="00D95DEE"/>
    <w:rsid w:val="00D96597"/>
    <w:rsid w:val="00D96D77"/>
    <w:rsid w:val="00DA4BD5"/>
    <w:rsid w:val="00DA6264"/>
    <w:rsid w:val="00DA676F"/>
    <w:rsid w:val="00DA6B28"/>
    <w:rsid w:val="00DA6BEE"/>
    <w:rsid w:val="00DA7B0D"/>
    <w:rsid w:val="00DB0E93"/>
    <w:rsid w:val="00DB61FD"/>
    <w:rsid w:val="00DB6216"/>
    <w:rsid w:val="00DB706A"/>
    <w:rsid w:val="00DC0975"/>
    <w:rsid w:val="00DC1613"/>
    <w:rsid w:val="00DC3FD2"/>
    <w:rsid w:val="00DC54BE"/>
    <w:rsid w:val="00DC6693"/>
    <w:rsid w:val="00DC7070"/>
    <w:rsid w:val="00DD0A7A"/>
    <w:rsid w:val="00DE2827"/>
    <w:rsid w:val="00DE55C3"/>
    <w:rsid w:val="00DE78AE"/>
    <w:rsid w:val="00DE7B93"/>
    <w:rsid w:val="00DF208F"/>
    <w:rsid w:val="00DF2A9B"/>
    <w:rsid w:val="00DF2CB4"/>
    <w:rsid w:val="00DF3078"/>
    <w:rsid w:val="00DF49BD"/>
    <w:rsid w:val="00DF699F"/>
    <w:rsid w:val="00DF77F1"/>
    <w:rsid w:val="00DF7E0C"/>
    <w:rsid w:val="00E01F18"/>
    <w:rsid w:val="00E05C15"/>
    <w:rsid w:val="00E05E59"/>
    <w:rsid w:val="00E07A11"/>
    <w:rsid w:val="00E10D5D"/>
    <w:rsid w:val="00E11321"/>
    <w:rsid w:val="00E11952"/>
    <w:rsid w:val="00E12AB5"/>
    <w:rsid w:val="00E13841"/>
    <w:rsid w:val="00E13E42"/>
    <w:rsid w:val="00E15410"/>
    <w:rsid w:val="00E1640F"/>
    <w:rsid w:val="00E22D9A"/>
    <w:rsid w:val="00E2326E"/>
    <w:rsid w:val="00E26EF1"/>
    <w:rsid w:val="00E27F63"/>
    <w:rsid w:val="00E331A0"/>
    <w:rsid w:val="00E3796B"/>
    <w:rsid w:val="00E428ED"/>
    <w:rsid w:val="00E42DE5"/>
    <w:rsid w:val="00E479EF"/>
    <w:rsid w:val="00E502AF"/>
    <w:rsid w:val="00E5080B"/>
    <w:rsid w:val="00E50A7F"/>
    <w:rsid w:val="00E519DF"/>
    <w:rsid w:val="00E54594"/>
    <w:rsid w:val="00E56E58"/>
    <w:rsid w:val="00E570CE"/>
    <w:rsid w:val="00E616E1"/>
    <w:rsid w:val="00E62D52"/>
    <w:rsid w:val="00E64FA3"/>
    <w:rsid w:val="00E65830"/>
    <w:rsid w:val="00E666D5"/>
    <w:rsid w:val="00E6775A"/>
    <w:rsid w:val="00E679EE"/>
    <w:rsid w:val="00E67C0F"/>
    <w:rsid w:val="00E70B56"/>
    <w:rsid w:val="00E7190E"/>
    <w:rsid w:val="00E732C7"/>
    <w:rsid w:val="00E74419"/>
    <w:rsid w:val="00E74503"/>
    <w:rsid w:val="00E7544B"/>
    <w:rsid w:val="00E75796"/>
    <w:rsid w:val="00E76A06"/>
    <w:rsid w:val="00E76FD1"/>
    <w:rsid w:val="00E77229"/>
    <w:rsid w:val="00E772E0"/>
    <w:rsid w:val="00E81666"/>
    <w:rsid w:val="00E81805"/>
    <w:rsid w:val="00E85917"/>
    <w:rsid w:val="00E86B2D"/>
    <w:rsid w:val="00E87300"/>
    <w:rsid w:val="00E908FF"/>
    <w:rsid w:val="00E917BA"/>
    <w:rsid w:val="00E91E01"/>
    <w:rsid w:val="00E93103"/>
    <w:rsid w:val="00E9492D"/>
    <w:rsid w:val="00E9510B"/>
    <w:rsid w:val="00E96A04"/>
    <w:rsid w:val="00E97AE9"/>
    <w:rsid w:val="00EA0DA2"/>
    <w:rsid w:val="00EA26F0"/>
    <w:rsid w:val="00EA4630"/>
    <w:rsid w:val="00EA5DFC"/>
    <w:rsid w:val="00EA5F2A"/>
    <w:rsid w:val="00EB02EF"/>
    <w:rsid w:val="00EB42DE"/>
    <w:rsid w:val="00EB726E"/>
    <w:rsid w:val="00EC1CE9"/>
    <w:rsid w:val="00EC2325"/>
    <w:rsid w:val="00EC3CAC"/>
    <w:rsid w:val="00EC40FD"/>
    <w:rsid w:val="00EC49FD"/>
    <w:rsid w:val="00ED198B"/>
    <w:rsid w:val="00ED1F6B"/>
    <w:rsid w:val="00ED4086"/>
    <w:rsid w:val="00ED445A"/>
    <w:rsid w:val="00EE0400"/>
    <w:rsid w:val="00EE3027"/>
    <w:rsid w:val="00EE3388"/>
    <w:rsid w:val="00EE43FE"/>
    <w:rsid w:val="00EE585E"/>
    <w:rsid w:val="00EE6ACD"/>
    <w:rsid w:val="00EF066A"/>
    <w:rsid w:val="00EF0DA1"/>
    <w:rsid w:val="00EF1957"/>
    <w:rsid w:val="00EF2FFF"/>
    <w:rsid w:val="00EF42EF"/>
    <w:rsid w:val="00EF548C"/>
    <w:rsid w:val="00EF6556"/>
    <w:rsid w:val="00F00A4A"/>
    <w:rsid w:val="00F00AB9"/>
    <w:rsid w:val="00F010FD"/>
    <w:rsid w:val="00F02227"/>
    <w:rsid w:val="00F03697"/>
    <w:rsid w:val="00F0409B"/>
    <w:rsid w:val="00F04B99"/>
    <w:rsid w:val="00F04D5C"/>
    <w:rsid w:val="00F05850"/>
    <w:rsid w:val="00F05A45"/>
    <w:rsid w:val="00F07800"/>
    <w:rsid w:val="00F10552"/>
    <w:rsid w:val="00F1521E"/>
    <w:rsid w:val="00F16F0D"/>
    <w:rsid w:val="00F173DC"/>
    <w:rsid w:val="00F17712"/>
    <w:rsid w:val="00F17AFC"/>
    <w:rsid w:val="00F21F19"/>
    <w:rsid w:val="00F233DB"/>
    <w:rsid w:val="00F2551E"/>
    <w:rsid w:val="00F264DE"/>
    <w:rsid w:val="00F3179D"/>
    <w:rsid w:val="00F3244D"/>
    <w:rsid w:val="00F328B3"/>
    <w:rsid w:val="00F33918"/>
    <w:rsid w:val="00F34378"/>
    <w:rsid w:val="00F362CC"/>
    <w:rsid w:val="00F40BB3"/>
    <w:rsid w:val="00F43AF4"/>
    <w:rsid w:val="00F47795"/>
    <w:rsid w:val="00F52757"/>
    <w:rsid w:val="00F52DAC"/>
    <w:rsid w:val="00F55951"/>
    <w:rsid w:val="00F55BD4"/>
    <w:rsid w:val="00F564D3"/>
    <w:rsid w:val="00F569FB"/>
    <w:rsid w:val="00F56B7E"/>
    <w:rsid w:val="00F60CD0"/>
    <w:rsid w:val="00F614CC"/>
    <w:rsid w:val="00F61E53"/>
    <w:rsid w:val="00F62F78"/>
    <w:rsid w:val="00F63801"/>
    <w:rsid w:val="00F6660B"/>
    <w:rsid w:val="00F67A61"/>
    <w:rsid w:val="00F726C7"/>
    <w:rsid w:val="00F72769"/>
    <w:rsid w:val="00F74A4F"/>
    <w:rsid w:val="00F829B5"/>
    <w:rsid w:val="00F82ADE"/>
    <w:rsid w:val="00F84439"/>
    <w:rsid w:val="00F846E3"/>
    <w:rsid w:val="00F85C12"/>
    <w:rsid w:val="00F86EEA"/>
    <w:rsid w:val="00F87316"/>
    <w:rsid w:val="00F9198B"/>
    <w:rsid w:val="00F92F9F"/>
    <w:rsid w:val="00F93A2C"/>
    <w:rsid w:val="00F9769F"/>
    <w:rsid w:val="00F97862"/>
    <w:rsid w:val="00FA0549"/>
    <w:rsid w:val="00FA10EF"/>
    <w:rsid w:val="00FA1501"/>
    <w:rsid w:val="00FA20DE"/>
    <w:rsid w:val="00FA3FAE"/>
    <w:rsid w:val="00FA579C"/>
    <w:rsid w:val="00FA5FF6"/>
    <w:rsid w:val="00FA60D7"/>
    <w:rsid w:val="00FA7694"/>
    <w:rsid w:val="00FB0840"/>
    <w:rsid w:val="00FB330A"/>
    <w:rsid w:val="00FB46C6"/>
    <w:rsid w:val="00FB5499"/>
    <w:rsid w:val="00FB7E2C"/>
    <w:rsid w:val="00FC0CC7"/>
    <w:rsid w:val="00FC1158"/>
    <w:rsid w:val="00FC176E"/>
    <w:rsid w:val="00FC410F"/>
    <w:rsid w:val="00FC4DCC"/>
    <w:rsid w:val="00FC5C6F"/>
    <w:rsid w:val="00FC7093"/>
    <w:rsid w:val="00FC79B6"/>
    <w:rsid w:val="00FD06F0"/>
    <w:rsid w:val="00FD0C57"/>
    <w:rsid w:val="00FD17C6"/>
    <w:rsid w:val="00FD22A6"/>
    <w:rsid w:val="00FD531E"/>
    <w:rsid w:val="00FD6D8E"/>
    <w:rsid w:val="00FD763C"/>
    <w:rsid w:val="00FD76D7"/>
    <w:rsid w:val="00FD7F36"/>
    <w:rsid w:val="00FE040D"/>
    <w:rsid w:val="00FE4BC1"/>
    <w:rsid w:val="00FE4F1A"/>
    <w:rsid w:val="00FE6762"/>
    <w:rsid w:val="00FF2571"/>
    <w:rsid w:val="00FF393A"/>
    <w:rsid w:val="00FF586F"/>
    <w:rsid w:val="00FF613C"/>
    <w:rsid w:val="00FF62BB"/>
    <w:rsid w:val="00FF68F5"/>
    <w:rsid w:val="00FF6B69"/>
    <w:rsid w:val="00FF7764"/>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5:docId w15:val="{D04DDEBC-70EF-4478-A29F-37A8489B26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iPriority="0"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0"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61"/>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364C2"/>
  </w:style>
  <w:style w:type="paragraph" w:styleId="Cabealho1">
    <w:name w:val="heading 1"/>
    <w:aliases w:val="Heading 11,Heading 11 Car,Titre 11,An_Über 1,TITRE 1 + Droite :  8,5 cm,Avant : 25 pt,Après : 12 pt,Haut: (Simp...,Chapitre,Chapitre1,Chapitre2,Chapitre3,Chapitre4,Chapitre5,Chapitre6,Chapitre7,Chapitre11,Chapitre21,Chapitre31,Chapitre41"/>
    <w:basedOn w:val="Normal"/>
    <w:next w:val="Normal"/>
    <w:link w:val="Cabealho1Carter"/>
    <w:uiPriority w:val="9"/>
    <w:qFormat/>
    <w:rsid w:val="00175A74"/>
    <w:pPr>
      <w:keepNext/>
      <w:keepLines/>
      <w:numPr>
        <w:numId w:val="1"/>
      </w:numPr>
      <w:spacing w:before="480" w:after="0" w:line="276" w:lineRule="auto"/>
      <w:outlineLvl w:val="0"/>
    </w:pPr>
    <w:rPr>
      <w:rFonts w:ascii="Times New Roman" w:hAnsi="Times New Roman" w:cs="Times New Roman"/>
      <w:b/>
      <w:sz w:val="28"/>
      <w:szCs w:val="28"/>
    </w:rPr>
  </w:style>
  <w:style w:type="paragraph" w:styleId="Cabealho2">
    <w:name w:val="heading 2"/>
    <w:aliases w:val="STitre 2,an_Über 2,Titre secondaire (2),sous-chapitre,Chpt,Tend_Überschrift 2,Titre 2 tamarins,Titre Article,Titre 22,Kiyombo T2,Paranum,Titolo 2,alec2,Titre 2 - RAO,H2,Niveau 2,Niveau2,Contrat 2,Ctt,chapitre 1.1,paragraphe,H21,Titre2"/>
    <w:basedOn w:val="Normal"/>
    <w:next w:val="Normal"/>
    <w:link w:val="Cabealho2Carter"/>
    <w:uiPriority w:val="9"/>
    <w:unhideWhenUsed/>
    <w:qFormat/>
    <w:rsid w:val="00175A74"/>
    <w:pPr>
      <w:keepNext/>
      <w:spacing w:before="240" w:after="240" w:line="240" w:lineRule="auto"/>
      <w:jc w:val="both"/>
      <w:outlineLvl w:val="1"/>
    </w:pPr>
    <w:rPr>
      <w:rFonts w:ascii="Times New Roman" w:eastAsia="Calibri" w:hAnsi="Times New Roman" w:cs="Times New Roman"/>
      <w:b/>
      <w:sz w:val="24"/>
      <w:szCs w:val="24"/>
      <w:lang w:eastAsia="fr-FR"/>
    </w:rPr>
  </w:style>
  <w:style w:type="paragraph" w:styleId="Cabealho3">
    <w:name w:val="heading 3"/>
    <w:aliases w:val="Centered, Centered,Titolo 3,Heading 3 (BM revised),centered"/>
    <w:basedOn w:val="Normal"/>
    <w:next w:val="Normal"/>
    <w:link w:val="Cabealho3Carter"/>
    <w:autoRedefine/>
    <w:uiPriority w:val="9"/>
    <w:unhideWhenUsed/>
    <w:qFormat/>
    <w:rsid w:val="00820701"/>
    <w:pPr>
      <w:keepNext/>
      <w:keepLines/>
      <w:spacing w:before="168" w:after="72" w:line="336" w:lineRule="atLeast"/>
      <w:ind w:left="1134" w:right="284" w:hanging="12"/>
      <w:textAlignment w:val="baseline"/>
      <w:outlineLvl w:val="2"/>
    </w:pPr>
    <w:rPr>
      <w:rFonts w:ascii="Times New Roman" w:eastAsia="Calibri" w:hAnsi="Times New Roman" w:cs="Times New Roman"/>
      <w:b/>
      <w:bCs/>
      <w:sz w:val="28"/>
      <w:szCs w:val="28"/>
      <w:lang w:eastAsia="fr-FR"/>
    </w:rPr>
  </w:style>
  <w:style w:type="paragraph" w:styleId="Cabealho4">
    <w:name w:val="heading 4"/>
    <w:aliases w:val="Sub-Clause Sub-paragraph, Sub-Clause Sub-paragraph"/>
    <w:basedOn w:val="Normal"/>
    <w:next w:val="Normal"/>
    <w:link w:val="Cabealho4Carter"/>
    <w:autoRedefine/>
    <w:uiPriority w:val="9"/>
    <w:unhideWhenUsed/>
    <w:qFormat/>
    <w:rsid w:val="00175A74"/>
    <w:pPr>
      <w:keepNext/>
      <w:keepLines/>
      <w:spacing w:before="40" w:after="0"/>
      <w:ind w:left="1416"/>
      <w:outlineLvl w:val="3"/>
    </w:pPr>
    <w:rPr>
      <w:rFonts w:ascii="Times New Roman" w:eastAsia="Calibri" w:hAnsi="Times New Roman" w:cs="Times New Roman"/>
      <w:b/>
      <w:i/>
      <w:iCs/>
      <w:sz w:val="24"/>
      <w:szCs w:val="24"/>
    </w:rPr>
  </w:style>
  <w:style w:type="paragraph" w:styleId="Cabealho5">
    <w:name w:val="heading 5"/>
    <w:aliases w:val="Side"/>
    <w:basedOn w:val="Normal"/>
    <w:next w:val="Normal"/>
    <w:link w:val="Cabealho5Carter"/>
    <w:autoRedefine/>
    <w:unhideWhenUsed/>
    <w:qFormat/>
    <w:rsid w:val="00175A74"/>
    <w:pPr>
      <w:keepNext/>
      <w:keepLines/>
      <w:spacing w:before="160" w:after="120"/>
      <w:ind w:left="2124"/>
      <w:outlineLvl w:val="4"/>
    </w:pPr>
    <w:rPr>
      <w:rFonts w:ascii="Times New Roman" w:eastAsia="Calibri" w:hAnsi="Times New Roman" w:cs="Times New Roman"/>
      <w:b/>
      <w:bCs/>
      <w:sz w:val="24"/>
      <w:szCs w:val="24"/>
    </w:rPr>
  </w:style>
  <w:style w:type="paragraph" w:styleId="Cabealho6">
    <w:name w:val="heading 6"/>
    <w:basedOn w:val="Normal"/>
    <w:next w:val="Normal"/>
    <w:link w:val="Cabealho6Carter"/>
    <w:unhideWhenUsed/>
    <w:qFormat/>
    <w:rsid w:val="00175A74"/>
    <w:pPr>
      <w:keepNext/>
      <w:keepLines/>
      <w:spacing w:before="40" w:after="0"/>
      <w:outlineLvl w:val="5"/>
    </w:pPr>
    <w:rPr>
      <w:rFonts w:ascii="Cambria" w:eastAsia="Times New Roman" w:hAnsi="Cambria" w:cs="Times New Roman"/>
      <w:i/>
      <w:iCs/>
      <w:color w:val="243F60"/>
    </w:rPr>
  </w:style>
  <w:style w:type="paragraph" w:styleId="Cabealho7">
    <w:name w:val="heading 7"/>
    <w:basedOn w:val="Normal"/>
    <w:next w:val="Normal"/>
    <w:link w:val="Cabealho7Carter"/>
    <w:qFormat/>
    <w:rsid w:val="00074867"/>
    <w:pPr>
      <w:keepNext/>
      <w:spacing w:after="0" w:line="240" w:lineRule="auto"/>
      <w:jc w:val="both"/>
      <w:outlineLvl w:val="6"/>
    </w:pPr>
    <w:rPr>
      <w:rFonts w:ascii="Times New Roman" w:eastAsia="Times New Roman" w:hAnsi="Times New Roman" w:cs="Times New Roman"/>
      <w:b/>
      <w:bCs/>
      <w:sz w:val="20"/>
      <w:szCs w:val="24"/>
      <w:lang w:val="en-US"/>
    </w:rPr>
  </w:style>
  <w:style w:type="paragraph" w:styleId="Cabealho8">
    <w:name w:val="heading 8"/>
    <w:basedOn w:val="Normal"/>
    <w:next w:val="Normal"/>
    <w:link w:val="Cabealho8Carter"/>
    <w:qFormat/>
    <w:rsid w:val="00074867"/>
    <w:pPr>
      <w:keepNext/>
      <w:spacing w:after="0" w:line="240" w:lineRule="auto"/>
      <w:ind w:left="720" w:hanging="720"/>
      <w:jc w:val="both"/>
      <w:outlineLvl w:val="7"/>
    </w:pPr>
    <w:rPr>
      <w:rFonts w:ascii="Times New Roman" w:eastAsia="Times New Roman" w:hAnsi="Times New Roman" w:cs="Times New Roman"/>
      <w:b/>
      <w:bCs/>
      <w:sz w:val="20"/>
      <w:szCs w:val="24"/>
      <w:lang w:val="en-US"/>
    </w:rPr>
  </w:style>
  <w:style w:type="paragraph" w:styleId="Cabealho9">
    <w:name w:val="heading 9"/>
    <w:basedOn w:val="Normal"/>
    <w:next w:val="Normal"/>
    <w:link w:val="Cabealho9Carter"/>
    <w:qFormat/>
    <w:rsid w:val="00074867"/>
    <w:pPr>
      <w:keepNext/>
      <w:spacing w:before="240" w:after="240" w:line="240" w:lineRule="auto"/>
      <w:jc w:val="center"/>
      <w:outlineLvl w:val="8"/>
    </w:pPr>
    <w:rPr>
      <w:rFonts w:ascii="Times New Roman" w:eastAsia="Times New Roman" w:hAnsi="Times New Roman" w:cs="Times New Roman"/>
      <w:b/>
      <w:sz w:val="28"/>
      <w:szCs w:val="24"/>
      <w:lang w:val="en-GB" w:eastAsia="it-IT"/>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Cabealho1Carter">
    <w:name w:val="Cabeçalho 1 Caráter"/>
    <w:aliases w:val="Heading 11 Caráter,Heading 11 Car Caráter,Titre 11 Caráter,An_Über 1 Caráter,TITRE 1 + Droite :  8 Caráter,5 cm Caráter,Avant : 25 pt Caráter,Après : 12 pt Caráter,Haut: (Simp... Caráter,Chapitre Caráter,Chapitre1 Caráter"/>
    <w:basedOn w:val="Tipodeletrapredefinidodopargrafo"/>
    <w:link w:val="Cabealho1"/>
    <w:uiPriority w:val="9"/>
    <w:rsid w:val="00175A74"/>
    <w:rPr>
      <w:rFonts w:ascii="Times New Roman" w:hAnsi="Times New Roman" w:cs="Times New Roman"/>
      <w:b/>
      <w:sz w:val="28"/>
      <w:szCs w:val="28"/>
    </w:rPr>
  </w:style>
  <w:style w:type="character" w:customStyle="1" w:styleId="Cabealho2Carter">
    <w:name w:val="Cabeçalho 2 Caráter"/>
    <w:aliases w:val="STitre 2 Caráter,an_Über 2 Caráter,Titre secondaire (2) Caráter,sous-chapitre Caráter,Chpt Caráter,Tend_Überschrift 2 Caráter,Titre 2 tamarins Caráter,Titre Article Caráter,Titre 22 Caráter,Kiyombo T2 Caráter,Paranum Caráter"/>
    <w:basedOn w:val="Tipodeletrapredefinidodopargrafo"/>
    <w:link w:val="Cabealho2"/>
    <w:uiPriority w:val="9"/>
    <w:rsid w:val="00175A74"/>
    <w:rPr>
      <w:rFonts w:ascii="Times New Roman" w:eastAsia="Calibri" w:hAnsi="Times New Roman" w:cs="Times New Roman"/>
      <w:b/>
      <w:sz w:val="24"/>
      <w:szCs w:val="24"/>
      <w:lang w:eastAsia="fr-FR"/>
    </w:rPr>
  </w:style>
  <w:style w:type="character" w:customStyle="1" w:styleId="Cabealho3Carter">
    <w:name w:val="Cabeçalho 3 Caráter"/>
    <w:aliases w:val="Centered Caráter, Centered Caráter,Titolo 3 Caráter,Heading 3 (BM revised) Caráter,centered Caráter"/>
    <w:basedOn w:val="Tipodeletrapredefinidodopargrafo"/>
    <w:link w:val="Cabealho3"/>
    <w:uiPriority w:val="9"/>
    <w:rsid w:val="00820701"/>
    <w:rPr>
      <w:rFonts w:ascii="Times New Roman" w:eastAsia="Calibri" w:hAnsi="Times New Roman" w:cs="Times New Roman"/>
      <w:b/>
      <w:bCs/>
      <w:sz w:val="28"/>
      <w:szCs w:val="28"/>
      <w:lang w:eastAsia="fr-FR"/>
    </w:rPr>
  </w:style>
  <w:style w:type="character" w:customStyle="1" w:styleId="Cabealho4Carter">
    <w:name w:val="Cabeçalho 4 Caráter"/>
    <w:aliases w:val="Sub-Clause Sub-paragraph Caráter, Sub-Clause Sub-paragraph Caráter"/>
    <w:basedOn w:val="Tipodeletrapredefinidodopargrafo"/>
    <w:link w:val="Cabealho4"/>
    <w:uiPriority w:val="9"/>
    <w:rsid w:val="00175A74"/>
    <w:rPr>
      <w:rFonts w:ascii="Times New Roman" w:eastAsia="Calibri" w:hAnsi="Times New Roman" w:cs="Times New Roman"/>
      <w:b/>
      <w:i/>
      <w:iCs/>
      <w:sz w:val="24"/>
      <w:szCs w:val="24"/>
    </w:rPr>
  </w:style>
  <w:style w:type="character" w:customStyle="1" w:styleId="Cabealho5Carter">
    <w:name w:val="Cabeçalho 5 Caráter"/>
    <w:aliases w:val="Side Caráter"/>
    <w:basedOn w:val="Tipodeletrapredefinidodopargrafo"/>
    <w:link w:val="Cabealho5"/>
    <w:rsid w:val="00175A74"/>
    <w:rPr>
      <w:rFonts w:ascii="Times New Roman" w:eastAsia="Calibri" w:hAnsi="Times New Roman" w:cs="Times New Roman"/>
      <w:b/>
      <w:bCs/>
      <w:sz w:val="24"/>
      <w:szCs w:val="24"/>
    </w:rPr>
  </w:style>
  <w:style w:type="character" w:customStyle="1" w:styleId="Cabealho6Carter">
    <w:name w:val="Cabeçalho 6 Caráter"/>
    <w:basedOn w:val="Tipodeletrapredefinidodopargrafo"/>
    <w:link w:val="Cabealho6"/>
    <w:rsid w:val="00175A74"/>
    <w:rPr>
      <w:rFonts w:ascii="Cambria" w:eastAsia="Times New Roman" w:hAnsi="Cambria" w:cs="Times New Roman"/>
      <w:i/>
      <w:iCs/>
      <w:color w:val="243F60"/>
    </w:rPr>
  </w:style>
  <w:style w:type="paragraph" w:styleId="PargrafodaLista">
    <w:name w:val="List Paragraph"/>
    <w:aliases w:val="Paragraphe  revu,Bullets,Bullet L1,References,Liste 1,Numbered List Paragraph,ReferencesCxSpLast,List Paragraph (numbered (a)),List Paragraph nowy,figure,List Paragraph,Colorful List - Accent 11,I..1,Puces,Paragraphe de liste1,itens"/>
    <w:basedOn w:val="Normal"/>
    <w:link w:val="PargrafodaListaCarter"/>
    <w:uiPriority w:val="34"/>
    <w:qFormat/>
    <w:rsid w:val="00175A74"/>
    <w:pPr>
      <w:spacing w:after="200" w:line="276" w:lineRule="auto"/>
      <w:ind w:left="720"/>
      <w:contextualSpacing/>
    </w:pPr>
    <w:rPr>
      <w:rFonts w:ascii="Calibri" w:eastAsia="Calibri" w:hAnsi="Calibri" w:cs="Times New Roman"/>
      <w:sz w:val="20"/>
      <w:szCs w:val="20"/>
      <w:lang w:val="x-none" w:eastAsia="x-none"/>
    </w:rPr>
  </w:style>
  <w:style w:type="character" w:customStyle="1" w:styleId="PargrafodaListaCarter">
    <w:name w:val="Parágrafo da Lista Caráter"/>
    <w:aliases w:val="Paragraphe  revu Caráter,Bullets Caráter,Bullet L1 Caráter,References Caráter,Liste 1 Caráter,Numbered List Paragraph Caráter,ReferencesCxSpLast Caráter,List Paragraph (numbered (a)) Caráter,List Paragraph nowy Caráter"/>
    <w:link w:val="PargrafodaLista"/>
    <w:uiPriority w:val="34"/>
    <w:qFormat/>
    <w:rsid w:val="00175A74"/>
    <w:rPr>
      <w:rFonts w:ascii="Calibri" w:eastAsia="Calibri" w:hAnsi="Calibri" w:cs="Times New Roman"/>
      <w:sz w:val="20"/>
      <w:szCs w:val="20"/>
      <w:lang w:val="x-none" w:eastAsia="x-none"/>
    </w:rPr>
  </w:style>
  <w:style w:type="paragraph" w:styleId="Cabealho">
    <w:name w:val="header"/>
    <w:aliases w:val="Guidelines,En-tête CV,En-tête client,heading 3 after h2,h,ContentsHeader,KPMG,Kopfzeile Char Char, Char Char Char"/>
    <w:basedOn w:val="Normal"/>
    <w:link w:val="CabealhoCarter"/>
    <w:uiPriority w:val="99"/>
    <w:unhideWhenUsed/>
    <w:rsid w:val="00175A74"/>
    <w:pPr>
      <w:tabs>
        <w:tab w:val="center" w:pos="4536"/>
        <w:tab w:val="right" w:pos="9072"/>
      </w:tabs>
      <w:spacing w:after="0" w:line="240" w:lineRule="auto"/>
    </w:pPr>
  </w:style>
  <w:style w:type="character" w:customStyle="1" w:styleId="CabealhoCarter">
    <w:name w:val="Cabeçalho Caráter"/>
    <w:aliases w:val="Guidelines Caráter,En-tête CV Caráter,En-tête client Caráter,heading 3 after h2 Caráter,h Caráter,ContentsHeader Caráter,KPMG Caráter,Kopfzeile Char Char Caráter, Char Char Char Caráter"/>
    <w:basedOn w:val="Tipodeletrapredefinidodopargrafo"/>
    <w:link w:val="Cabealho"/>
    <w:uiPriority w:val="99"/>
    <w:rsid w:val="00175A74"/>
  </w:style>
  <w:style w:type="paragraph" w:styleId="Rodap">
    <w:name w:val="footer"/>
    <w:basedOn w:val="Normal"/>
    <w:link w:val="RodapCarter"/>
    <w:uiPriority w:val="99"/>
    <w:unhideWhenUsed/>
    <w:rsid w:val="00175A74"/>
    <w:pPr>
      <w:tabs>
        <w:tab w:val="center" w:pos="4536"/>
        <w:tab w:val="right" w:pos="9072"/>
      </w:tabs>
      <w:spacing w:after="0" w:line="240" w:lineRule="auto"/>
    </w:pPr>
  </w:style>
  <w:style w:type="character" w:customStyle="1" w:styleId="RodapCarter">
    <w:name w:val="Rodapé Caráter"/>
    <w:basedOn w:val="Tipodeletrapredefinidodopargrafo"/>
    <w:link w:val="Rodap"/>
    <w:uiPriority w:val="99"/>
    <w:rsid w:val="00175A74"/>
  </w:style>
  <w:style w:type="paragraph" w:styleId="Textodebalo">
    <w:name w:val="Balloon Text"/>
    <w:basedOn w:val="Normal"/>
    <w:link w:val="TextodebaloCarter"/>
    <w:uiPriority w:val="99"/>
    <w:semiHidden/>
    <w:unhideWhenUsed/>
    <w:rsid w:val="00175A74"/>
    <w:pPr>
      <w:spacing w:after="0" w:line="240" w:lineRule="auto"/>
    </w:pPr>
    <w:rPr>
      <w:rFonts w:ascii="Segoe UI" w:hAnsi="Segoe UI" w:cs="Segoe UI"/>
      <w:sz w:val="18"/>
      <w:szCs w:val="18"/>
    </w:rPr>
  </w:style>
  <w:style w:type="character" w:customStyle="1" w:styleId="TextodebaloCarter">
    <w:name w:val="Texto de balão Caráter"/>
    <w:basedOn w:val="Tipodeletrapredefinidodopargrafo"/>
    <w:link w:val="Textodebalo"/>
    <w:uiPriority w:val="99"/>
    <w:semiHidden/>
    <w:rsid w:val="00175A74"/>
    <w:rPr>
      <w:rFonts w:ascii="Segoe UI" w:hAnsi="Segoe UI" w:cs="Segoe UI"/>
      <w:sz w:val="18"/>
      <w:szCs w:val="18"/>
    </w:rPr>
  </w:style>
  <w:style w:type="table" w:styleId="Tabelacomgrelha">
    <w:name w:val="Table Grid"/>
    <w:basedOn w:val="Tabelanormal"/>
    <w:rsid w:val="00175A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ausimple21">
    <w:name w:val="Tableau simple 21"/>
    <w:basedOn w:val="Tabelanormal"/>
    <w:uiPriority w:val="42"/>
    <w:rsid w:val="00175A7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Hiperligao">
    <w:name w:val="Hyperlink"/>
    <w:basedOn w:val="Tipodeletrapredefinidodopargrafo"/>
    <w:uiPriority w:val="99"/>
    <w:unhideWhenUsed/>
    <w:rsid w:val="00175A74"/>
    <w:rPr>
      <w:color w:val="0563C1" w:themeColor="hyperlink"/>
      <w:u w:val="single"/>
    </w:rPr>
  </w:style>
  <w:style w:type="character" w:styleId="Forte">
    <w:name w:val="Strong"/>
    <w:basedOn w:val="Tipodeletrapredefinidodopargrafo"/>
    <w:uiPriority w:val="22"/>
    <w:qFormat/>
    <w:rsid w:val="00175A74"/>
    <w:rPr>
      <w:b/>
      <w:bCs/>
    </w:rPr>
  </w:style>
  <w:style w:type="paragraph" w:customStyle="1" w:styleId="BankNormal">
    <w:name w:val="BankNormal"/>
    <w:basedOn w:val="Normal"/>
    <w:rsid w:val="00175A74"/>
    <w:pPr>
      <w:widowControl w:val="0"/>
      <w:spacing w:after="240" w:line="240" w:lineRule="auto"/>
    </w:pPr>
    <w:rPr>
      <w:rFonts w:ascii="Times New Roman" w:eastAsia="Times New Roman" w:hAnsi="Times New Roman" w:cs="Arial"/>
      <w:sz w:val="24"/>
      <w:szCs w:val="20"/>
    </w:rPr>
  </w:style>
  <w:style w:type="table" w:customStyle="1" w:styleId="TableauGrille7Couleur1">
    <w:name w:val="Tableau Grille 7 Couleur1"/>
    <w:basedOn w:val="Tabelanormal"/>
    <w:uiPriority w:val="52"/>
    <w:rsid w:val="00175A74"/>
    <w:pPr>
      <w:spacing w:after="0" w:line="240" w:lineRule="auto"/>
    </w:pPr>
    <w:rPr>
      <w:color w:val="000000" w:themeColor="text1"/>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paragraph" w:styleId="Legenda">
    <w:name w:val="caption"/>
    <w:aliases w:val="tableau 3.,tableau 6.,tableau 7.,Char,Fig,Table Caption,Table,Figure,headings,CPR Caption,CPR Caption Char,Table1,Figure1,headings1 Char,headings1,Table Char,Figure Char,headings Char,CPR Caption Char1,CPR Caption Char Char,Table1 Char,HB,Car, C"/>
    <w:basedOn w:val="Normal"/>
    <w:next w:val="Normal"/>
    <w:link w:val="LegendaCarter"/>
    <w:unhideWhenUsed/>
    <w:qFormat/>
    <w:rsid w:val="00175A74"/>
    <w:pPr>
      <w:spacing w:before="120" w:after="200" w:line="240" w:lineRule="auto"/>
      <w:jc w:val="center"/>
    </w:pPr>
    <w:rPr>
      <w:rFonts w:ascii="Arial" w:eastAsiaTheme="minorEastAsia" w:hAnsi="Arial" w:cs="Arial"/>
      <w:b/>
      <w:iCs/>
      <w:color w:val="0070C0"/>
      <w:sz w:val="18"/>
      <w:szCs w:val="18"/>
      <w:lang w:val="en-GB" w:eastAsia="fr-FR"/>
    </w:rPr>
  </w:style>
  <w:style w:type="character" w:styleId="Refdenotaderodap">
    <w:name w:val="footnote reference"/>
    <w:aliases w:val="ftref,16 Point,Superscript 6 Point,Footnote Reference Number,Footnote Reference_LVL6,Footnote Reference_LVL61,Footnote Reference_LVL62,Footnote Reference_LVL63,Footnote Reference_LVL64,fr,Superscript 6 Point + 11 pt,Ref,BVI fnr"/>
    <w:basedOn w:val="Tipodeletrapredefinidodopargrafo"/>
    <w:link w:val="BVIfnrCharCar1CarCharChar"/>
    <w:uiPriority w:val="99"/>
    <w:unhideWhenUsed/>
    <w:qFormat/>
    <w:rsid w:val="00175A74"/>
    <w:rPr>
      <w:vertAlign w:val="superscript"/>
    </w:rPr>
  </w:style>
  <w:style w:type="paragraph" w:customStyle="1" w:styleId="annex1">
    <w:name w:val="annex1"/>
    <w:basedOn w:val="Normal"/>
    <w:next w:val="Normal"/>
    <w:unhideWhenUsed/>
    <w:qFormat/>
    <w:rsid w:val="00175A74"/>
    <w:pPr>
      <w:keepNext/>
      <w:keepLines/>
      <w:spacing w:before="200" w:after="0" w:line="276" w:lineRule="auto"/>
      <w:outlineLvl w:val="2"/>
    </w:pPr>
    <w:rPr>
      <w:rFonts w:ascii="Cambria" w:eastAsia="Times New Roman" w:hAnsi="Cambria" w:cs="Times New Roman"/>
      <w:b/>
      <w:bCs/>
      <w:color w:val="4F81BD"/>
    </w:rPr>
  </w:style>
  <w:style w:type="paragraph" w:customStyle="1" w:styleId="Titre41">
    <w:name w:val="Titre 41"/>
    <w:basedOn w:val="Normal"/>
    <w:next w:val="Normal"/>
    <w:uiPriority w:val="9"/>
    <w:semiHidden/>
    <w:unhideWhenUsed/>
    <w:qFormat/>
    <w:rsid w:val="00175A74"/>
    <w:pPr>
      <w:keepNext/>
      <w:keepLines/>
      <w:spacing w:before="200" w:after="0" w:line="276" w:lineRule="auto"/>
      <w:outlineLvl w:val="3"/>
    </w:pPr>
    <w:rPr>
      <w:rFonts w:ascii="Cambria" w:eastAsia="Times New Roman" w:hAnsi="Cambria" w:cs="Times New Roman"/>
      <w:b/>
      <w:bCs/>
      <w:i/>
      <w:iCs/>
      <w:color w:val="4F81BD"/>
    </w:rPr>
  </w:style>
  <w:style w:type="paragraph" w:customStyle="1" w:styleId="Titre51">
    <w:name w:val="Titre 51"/>
    <w:basedOn w:val="Normal"/>
    <w:next w:val="Normal"/>
    <w:uiPriority w:val="9"/>
    <w:semiHidden/>
    <w:unhideWhenUsed/>
    <w:qFormat/>
    <w:rsid w:val="00175A74"/>
    <w:pPr>
      <w:keepNext/>
      <w:keepLines/>
      <w:spacing w:before="200" w:after="0" w:line="276" w:lineRule="auto"/>
      <w:outlineLvl w:val="4"/>
    </w:pPr>
    <w:rPr>
      <w:rFonts w:ascii="Cambria" w:eastAsia="Times New Roman" w:hAnsi="Cambria" w:cs="Times New Roman"/>
      <w:color w:val="243F60"/>
    </w:rPr>
  </w:style>
  <w:style w:type="paragraph" w:customStyle="1" w:styleId="Titre61">
    <w:name w:val="Titre 61"/>
    <w:basedOn w:val="Normal"/>
    <w:next w:val="Normal"/>
    <w:uiPriority w:val="9"/>
    <w:semiHidden/>
    <w:unhideWhenUsed/>
    <w:qFormat/>
    <w:rsid w:val="00175A74"/>
    <w:pPr>
      <w:keepNext/>
      <w:keepLines/>
      <w:spacing w:before="200" w:after="0" w:line="276" w:lineRule="auto"/>
      <w:outlineLvl w:val="5"/>
    </w:pPr>
    <w:rPr>
      <w:rFonts w:ascii="Cambria" w:eastAsia="Times New Roman" w:hAnsi="Cambria" w:cs="Times New Roman"/>
      <w:i/>
      <w:iCs/>
      <w:color w:val="243F60"/>
    </w:rPr>
  </w:style>
  <w:style w:type="numbering" w:customStyle="1" w:styleId="Aucuneliste1">
    <w:name w:val="Aucune liste1"/>
    <w:next w:val="Semlista"/>
    <w:uiPriority w:val="99"/>
    <w:semiHidden/>
    <w:unhideWhenUsed/>
    <w:rsid w:val="00175A74"/>
  </w:style>
  <w:style w:type="character" w:customStyle="1" w:styleId="Lienhypertexte1">
    <w:name w:val="Lien hypertexte1"/>
    <w:basedOn w:val="Tipodeletrapredefinidodopargrafo"/>
    <w:uiPriority w:val="99"/>
    <w:unhideWhenUsed/>
    <w:rsid w:val="00175A74"/>
    <w:rPr>
      <w:color w:val="0000FF"/>
      <w:u w:val="single"/>
    </w:rPr>
  </w:style>
  <w:style w:type="character" w:customStyle="1" w:styleId="Lienhypertextesuivivisit1">
    <w:name w:val="Lien hypertexte suivi visité1"/>
    <w:basedOn w:val="Tipodeletrapredefinidodopargrafo"/>
    <w:uiPriority w:val="99"/>
    <w:semiHidden/>
    <w:unhideWhenUsed/>
    <w:rsid w:val="00175A74"/>
    <w:rPr>
      <w:color w:val="800080"/>
      <w:u w:val="single"/>
    </w:rPr>
  </w:style>
  <w:style w:type="character" w:customStyle="1" w:styleId="Titre1Car1">
    <w:name w:val="Titre 1 Car1"/>
    <w:aliases w:val="Heading 11 Car2,Heading 11 Car Car1,Titre 11 Car1,An_Über 1 Car1,TITRE 1 + Droite :  8 Car1,5 cm Car1,Avant : 25 pt Car1,Après : 12 pt Car1,Haut: (Simp... Car1,Chapitre Car1,Chapitre1 Car1,Chapitre2 Car1,Chapitre3 Car1,Chapitre4 Car1"/>
    <w:basedOn w:val="Tipodeletrapredefinidodopargrafo"/>
    <w:rsid w:val="00175A74"/>
    <w:rPr>
      <w:rFonts w:ascii="Cambria" w:eastAsia="Times New Roman" w:hAnsi="Cambria" w:cs="Times New Roman"/>
      <w:b/>
      <w:bCs/>
      <w:color w:val="365F91"/>
      <w:sz w:val="28"/>
      <w:szCs w:val="28"/>
    </w:rPr>
  </w:style>
  <w:style w:type="character" w:customStyle="1" w:styleId="Titre2Car1">
    <w:name w:val="Titre 2 Car1"/>
    <w:aliases w:val="STitre 2 Car1,an_Über 2 Car1,Titre secondaire (2) Car1,sous-chapitre Car1,Chpt Car1,Tend_Überschrift 2 Car1,Titre 2 tamarins Car1,Titre Article Car1,Titre 22 Car1,Kiyombo T2 Car1,Paranum Car,Titolo 2 Car,alec2 Car,Titre 2 - RAO Car1,H2 Car1"/>
    <w:basedOn w:val="Tipodeletrapredefinidodopargrafo"/>
    <w:rsid w:val="00175A74"/>
    <w:rPr>
      <w:rFonts w:ascii="Cambria" w:eastAsia="Times New Roman" w:hAnsi="Cambria" w:cs="Times New Roman"/>
      <w:b/>
      <w:bCs/>
      <w:color w:val="4F81BD"/>
      <w:sz w:val="26"/>
      <w:szCs w:val="26"/>
    </w:rPr>
  </w:style>
  <w:style w:type="character" w:customStyle="1" w:styleId="Titre3Car1">
    <w:name w:val="Titre 3 Car1"/>
    <w:aliases w:val="Titre 3 Car Car Car Car Car Car Car Car Car Car Car Car Car Car Car Car Car Car Car Car Car Car Car Car Car Car Car1,an_Über 3 Car1,an_Über 3 Car Car Car1,Section Car1,Sec Car1,Centered Car1,Section + Gauche Car1,6 cm Car1,Suspendu : 1 Car"/>
    <w:basedOn w:val="Tipodeletrapredefinidodopargrafo"/>
    <w:rsid w:val="00175A74"/>
    <w:rPr>
      <w:rFonts w:ascii="Cambria" w:eastAsia="Times New Roman" w:hAnsi="Cambria" w:cs="Times New Roman"/>
      <w:b/>
      <w:bCs/>
      <w:color w:val="4F81BD"/>
      <w:sz w:val="22"/>
      <w:szCs w:val="22"/>
    </w:rPr>
  </w:style>
  <w:style w:type="paragraph" w:customStyle="1" w:styleId="NormalWeb1">
    <w:name w:val="Normal (Web)1"/>
    <w:basedOn w:val="Normal"/>
    <w:next w:val="NormalWeb"/>
    <w:uiPriority w:val="99"/>
    <w:unhideWhenUsed/>
    <w:rsid w:val="00175A74"/>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styleId="ndice1">
    <w:name w:val="toc 1"/>
    <w:basedOn w:val="Normal"/>
    <w:next w:val="Normal"/>
    <w:autoRedefine/>
    <w:uiPriority w:val="39"/>
    <w:unhideWhenUsed/>
    <w:qFormat/>
    <w:rsid w:val="00444EA0"/>
    <w:pPr>
      <w:tabs>
        <w:tab w:val="right" w:leader="dot" w:pos="9772"/>
      </w:tabs>
      <w:spacing w:after="0"/>
    </w:pPr>
    <w:rPr>
      <w:rFonts w:ascii="Times New Roman" w:eastAsia="Calibri" w:hAnsi="Times New Roman" w:cs="Times New Roman"/>
      <w:b/>
      <w:bCs/>
      <w:caps/>
      <w:noProof/>
      <w:color w:val="1F4E79" w:themeColor="accent1" w:themeShade="80"/>
      <w:sz w:val="20"/>
      <w:szCs w:val="20"/>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style>
  <w:style w:type="paragraph" w:styleId="ndice2">
    <w:name w:val="toc 2"/>
    <w:basedOn w:val="Normal"/>
    <w:next w:val="Normal"/>
    <w:autoRedefine/>
    <w:uiPriority w:val="39"/>
    <w:unhideWhenUsed/>
    <w:qFormat/>
    <w:rsid w:val="00D10B3E"/>
    <w:pPr>
      <w:shd w:val="clear" w:color="auto" w:fill="FFFFFF" w:themeFill="background1"/>
      <w:tabs>
        <w:tab w:val="right" w:leader="dot" w:pos="9062"/>
      </w:tabs>
      <w:spacing w:after="0" w:line="240" w:lineRule="auto"/>
      <w:ind w:left="220"/>
      <w:outlineLvl w:val="0"/>
    </w:pPr>
    <w:rPr>
      <w:rFonts w:ascii="Times New Roman" w:eastAsia="Calibri" w:hAnsi="Times New Roman" w:cs="Times New Roman"/>
      <w:b/>
      <w:smallCaps/>
      <w:noProof/>
      <w:sz w:val="20"/>
      <w:szCs w:val="20"/>
      <w:lang w:eastAsia="fr-FR"/>
    </w:rPr>
  </w:style>
  <w:style w:type="paragraph" w:styleId="ndice3">
    <w:name w:val="toc 3"/>
    <w:basedOn w:val="Normal"/>
    <w:next w:val="Normal"/>
    <w:autoRedefine/>
    <w:uiPriority w:val="39"/>
    <w:unhideWhenUsed/>
    <w:qFormat/>
    <w:rsid w:val="00D10B3E"/>
    <w:pPr>
      <w:tabs>
        <w:tab w:val="left" w:pos="1100"/>
        <w:tab w:val="right" w:leader="dot" w:pos="9062"/>
      </w:tabs>
      <w:spacing w:after="0"/>
      <w:ind w:left="440"/>
    </w:pPr>
    <w:rPr>
      <w:rFonts w:ascii="Times New Roman" w:hAnsi="Times New Roman"/>
      <w:bCs/>
      <w:i/>
      <w:iCs/>
      <w:noProof/>
      <w:sz w:val="20"/>
      <w:szCs w:val="20"/>
      <w:lang w:eastAsia="fr-FR"/>
    </w:rPr>
  </w:style>
  <w:style w:type="paragraph" w:customStyle="1" w:styleId="TM91">
    <w:name w:val="TM 91"/>
    <w:basedOn w:val="Normal"/>
    <w:next w:val="Normal"/>
    <w:autoRedefine/>
    <w:uiPriority w:val="39"/>
    <w:unhideWhenUsed/>
    <w:rsid w:val="00175A74"/>
    <w:pPr>
      <w:spacing w:after="100" w:line="276" w:lineRule="auto"/>
      <w:ind w:left="1760"/>
    </w:pPr>
    <w:rPr>
      <w:rFonts w:eastAsia="Times New Roman"/>
      <w:lang w:eastAsia="fr-FR"/>
    </w:rPr>
  </w:style>
  <w:style w:type="paragraph" w:styleId="Textodecomentrio">
    <w:name w:val="annotation text"/>
    <w:basedOn w:val="Normal"/>
    <w:link w:val="TextodecomentrioCarter"/>
    <w:unhideWhenUsed/>
    <w:rsid w:val="00175A74"/>
    <w:pPr>
      <w:keepLines/>
      <w:spacing w:after="120" w:line="200" w:lineRule="atLeast"/>
      <w:jc w:val="both"/>
    </w:pPr>
    <w:rPr>
      <w:rFonts w:ascii="Arial" w:eastAsia="Times New Roman" w:hAnsi="Arial" w:cs="Times New Roman"/>
      <w:sz w:val="18"/>
      <w:szCs w:val="20"/>
    </w:rPr>
  </w:style>
  <w:style w:type="character" w:customStyle="1" w:styleId="CommentaireCar">
    <w:name w:val="Commentaire Car"/>
    <w:basedOn w:val="Tipodeletrapredefinidodopargrafo"/>
    <w:rsid w:val="00175A74"/>
    <w:rPr>
      <w:sz w:val="20"/>
      <w:szCs w:val="20"/>
    </w:rPr>
  </w:style>
  <w:style w:type="character" w:customStyle="1" w:styleId="TextodecomentrioCarter">
    <w:name w:val="Texto de comentário Caráter"/>
    <w:basedOn w:val="Tipodeletrapredefinidodopargrafo"/>
    <w:link w:val="Textodecomentrio"/>
    <w:locked/>
    <w:rsid w:val="00175A74"/>
    <w:rPr>
      <w:rFonts w:ascii="Arial" w:eastAsia="Times New Roman" w:hAnsi="Arial" w:cs="Times New Roman"/>
      <w:sz w:val="18"/>
      <w:szCs w:val="20"/>
    </w:rPr>
  </w:style>
  <w:style w:type="character" w:customStyle="1" w:styleId="LegendaCarter">
    <w:name w:val="Legenda Caráter"/>
    <w:aliases w:val="tableau 3. Caráter,tableau 6. Caráter,tableau 7. Caráter,Char Caráter,Fig Caráter,Table Caption Caráter,Table Caráter,Figure Caráter,headings Caráter,CPR Caption Caráter,CPR Caption Char Caráter,Table1 Caráter,Figure1 Caráter,HB Caráter"/>
    <w:link w:val="Legenda"/>
    <w:qFormat/>
    <w:locked/>
    <w:rsid w:val="00175A74"/>
    <w:rPr>
      <w:rFonts w:ascii="Arial" w:eastAsiaTheme="minorEastAsia" w:hAnsi="Arial" w:cs="Arial"/>
      <w:b/>
      <w:iCs/>
      <w:color w:val="0070C0"/>
      <w:sz w:val="18"/>
      <w:szCs w:val="18"/>
      <w:lang w:val="en-GB" w:eastAsia="fr-FR"/>
    </w:rPr>
  </w:style>
  <w:style w:type="paragraph" w:styleId="ndicedeilustraes">
    <w:name w:val="table of figures"/>
    <w:basedOn w:val="Normal"/>
    <w:next w:val="Normal"/>
    <w:uiPriority w:val="99"/>
    <w:unhideWhenUsed/>
    <w:rsid w:val="00175A74"/>
    <w:pPr>
      <w:spacing w:after="0"/>
      <w:ind w:left="440" w:hanging="440"/>
    </w:pPr>
    <w:rPr>
      <w:rFonts w:cstheme="minorHAnsi"/>
      <w:smallCaps/>
      <w:sz w:val="20"/>
      <w:szCs w:val="20"/>
    </w:rPr>
  </w:style>
  <w:style w:type="character" w:customStyle="1" w:styleId="TextodenotadefimCarter">
    <w:name w:val="Texto de nota de fim Caráter"/>
    <w:basedOn w:val="Tipodeletrapredefinidodopargrafo"/>
    <w:link w:val="Textodenotadefim"/>
    <w:rsid w:val="00175A74"/>
    <w:rPr>
      <w:sz w:val="20"/>
      <w:szCs w:val="20"/>
    </w:rPr>
  </w:style>
  <w:style w:type="paragraph" w:styleId="Textodenotadefim">
    <w:name w:val="endnote text"/>
    <w:basedOn w:val="Normal"/>
    <w:link w:val="TextodenotadefimCarter"/>
    <w:semiHidden/>
    <w:unhideWhenUsed/>
    <w:rsid w:val="00175A74"/>
    <w:pPr>
      <w:spacing w:after="0" w:line="240" w:lineRule="auto"/>
    </w:pPr>
    <w:rPr>
      <w:sz w:val="20"/>
      <w:szCs w:val="20"/>
    </w:rPr>
  </w:style>
  <w:style w:type="character" w:customStyle="1" w:styleId="NotedefinCar1">
    <w:name w:val="Note de fin Car1"/>
    <w:basedOn w:val="Tipodeletrapredefinidodopargrafo"/>
    <w:semiHidden/>
    <w:rsid w:val="00175A74"/>
    <w:rPr>
      <w:sz w:val="20"/>
      <w:szCs w:val="20"/>
    </w:rPr>
  </w:style>
  <w:style w:type="paragraph" w:styleId="Lista">
    <w:name w:val="List"/>
    <w:basedOn w:val="Normal"/>
    <w:semiHidden/>
    <w:unhideWhenUsed/>
    <w:rsid w:val="00175A74"/>
    <w:pPr>
      <w:spacing w:after="200" w:line="276" w:lineRule="auto"/>
      <w:ind w:left="283" w:hanging="283"/>
      <w:contextualSpacing/>
    </w:pPr>
  </w:style>
  <w:style w:type="paragraph" w:styleId="Listacommarcas2">
    <w:name w:val="List Bullet 2"/>
    <w:basedOn w:val="Normal"/>
    <w:uiPriority w:val="99"/>
    <w:semiHidden/>
    <w:unhideWhenUsed/>
    <w:rsid w:val="00175A74"/>
    <w:pPr>
      <w:numPr>
        <w:numId w:val="2"/>
      </w:numPr>
      <w:spacing w:after="200" w:line="276" w:lineRule="auto"/>
      <w:contextualSpacing/>
    </w:pPr>
  </w:style>
  <w:style w:type="paragraph" w:styleId="Listacommarcas3">
    <w:name w:val="List Bullet 3"/>
    <w:basedOn w:val="Normal"/>
    <w:semiHidden/>
    <w:unhideWhenUsed/>
    <w:rsid w:val="00175A74"/>
    <w:pPr>
      <w:numPr>
        <w:numId w:val="3"/>
      </w:numPr>
      <w:spacing w:after="200" w:line="276" w:lineRule="auto"/>
      <w:contextualSpacing/>
    </w:pPr>
  </w:style>
  <w:style w:type="paragraph" w:customStyle="1" w:styleId="Titre1">
    <w:name w:val="Titre1"/>
    <w:basedOn w:val="Normal"/>
    <w:next w:val="Normal"/>
    <w:uiPriority w:val="10"/>
    <w:qFormat/>
    <w:rsid w:val="00175A74"/>
    <w:pPr>
      <w:pBdr>
        <w:bottom w:val="single" w:sz="8" w:space="4" w:color="4F81BD"/>
      </w:pBdr>
      <w:spacing w:after="300" w:line="240" w:lineRule="auto"/>
      <w:contextualSpacing/>
    </w:pPr>
    <w:rPr>
      <w:rFonts w:ascii="Cambria" w:eastAsia="Times New Roman" w:hAnsi="Cambria" w:cs="Times New Roman"/>
      <w:color w:val="17365D"/>
      <w:spacing w:val="5"/>
      <w:kern w:val="28"/>
      <w:sz w:val="52"/>
      <w:szCs w:val="52"/>
      <w:lang w:eastAsia="fr-FR"/>
    </w:rPr>
  </w:style>
  <w:style w:type="character" w:customStyle="1" w:styleId="TtuloCarter">
    <w:name w:val="Título Caráter"/>
    <w:basedOn w:val="Tipodeletrapredefinidodopargrafo"/>
    <w:link w:val="Ttulo"/>
    <w:rsid w:val="00175A74"/>
    <w:rPr>
      <w:rFonts w:ascii="Cambria" w:eastAsia="Times New Roman" w:hAnsi="Cambria" w:cs="Times New Roman"/>
      <w:color w:val="17365D"/>
      <w:spacing w:val="5"/>
      <w:kern w:val="28"/>
      <w:sz w:val="52"/>
      <w:szCs w:val="52"/>
      <w:lang w:eastAsia="fr-FR"/>
    </w:rPr>
  </w:style>
  <w:style w:type="character" w:customStyle="1" w:styleId="CorpodetextoCarter">
    <w:name w:val="Corpo de texto Caráter"/>
    <w:aliases w:val="Corps de texte Car Car Car Caráter,Corps de texte Car Car Car Car Car Caráter"/>
    <w:link w:val="Corpodetexto"/>
    <w:uiPriority w:val="99"/>
    <w:locked/>
    <w:rsid w:val="00175A74"/>
    <w:rPr>
      <w:rFonts w:ascii="Arial" w:eastAsia="Times New Roman" w:hAnsi="Arial" w:cs="Times New Roman"/>
      <w:spacing w:val="-3"/>
      <w:sz w:val="24"/>
      <w:szCs w:val="20"/>
      <w:lang w:val="fr-CA" w:eastAsia="fr-FR"/>
    </w:rPr>
  </w:style>
  <w:style w:type="paragraph" w:styleId="Corpodetexto">
    <w:name w:val="Body Text"/>
    <w:aliases w:val="Corps de texte Car Car Car,Corps de texte Car Car Car Car Car"/>
    <w:basedOn w:val="Normal"/>
    <w:link w:val="CorpodetextoCarter"/>
    <w:uiPriority w:val="99"/>
    <w:unhideWhenUsed/>
    <w:rsid w:val="00175A74"/>
    <w:pPr>
      <w:tabs>
        <w:tab w:val="left" w:pos="-720"/>
      </w:tabs>
      <w:suppressAutoHyphens/>
      <w:overflowPunct w:val="0"/>
      <w:autoSpaceDE w:val="0"/>
      <w:autoSpaceDN w:val="0"/>
      <w:adjustRightInd w:val="0"/>
      <w:spacing w:after="0" w:line="360" w:lineRule="auto"/>
      <w:jc w:val="both"/>
    </w:pPr>
    <w:rPr>
      <w:rFonts w:ascii="Arial" w:eastAsia="Times New Roman" w:hAnsi="Arial" w:cs="Times New Roman"/>
      <w:spacing w:val="-3"/>
      <w:sz w:val="24"/>
      <w:szCs w:val="20"/>
      <w:lang w:val="fr-CA" w:eastAsia="fr-FR"/>
    </w:rPr>
  </w:style>
  <w:style w:type="character" w:customStyle="1" w:styleId="CorpsdetexteCar1">
    <w:name w:val="Corps de texte Car1"/>
    <w:aliases w:val="Corps de texte Car Car Car Car1,Corps de texte Car Car Car Car Car Car1"/>
    <w:basedOn w:val="Tipodeletrapredefinidodopargrafo"/>
    <w:uiPriority w:val="99"/>
    <w:rsid w:val="00175A74"/>
  </w:style>
  <w:style w:type="character" w:customStyle="1" w:styleId="AvanodecorpodetextoCarter">
    <w:name w:val="Avanço de corpo de texto Caráter"/>
    <w:basedOn w:val="Tipodeletrapredefinidodopargrafo"/>
    <w:link w:val="Avanodecorpodetexto"/>
    <w:rsid w:val="00175A74"/>
  </w:style>
  <w:style w:type="paragraph" w:styleId="Avanodecorpodetexto">
    <w:name w:val="Body Text Indent"/>
    <w:basedOn w:val="Normal"/>
    <w:link w:val="AvanodecorpodetextoCarter"/>
    <w:unhideWhenUsed/>
    <w:rsid w:val="00175A74"/>
    <w:pPr>
      <w:spacing w:after="120" w:line="276" w:lineRule="auto"/>
      <w:ind w:left="283"/>
    </w:pPr>
  </w:style>
  <w:style w:type="character" w:customStyle="1" w:styleId="RetraitcorpsdetexteCar1">
    <w:name w:val="Retrait corps de texte Car1"/>
    <w:basedOn w:val="Tipodeletrapredefinidodopargrafo"/>
    <w:rsid w:val="00175A74"/>
  </w:style>
  <w:style w:type="paragraph" w:customStyle="1" w:styleId="Sous-titre1">
    <w:name w:val="Sous-titre1"/>
    <w:basedOn w:val="Normal"/>
    <w:next w:val="Normal"/>
    <w:uiPriority w:val="11"/>
    <w:qFormat/>
    <w:rsid w:val="00175A74"/>
    <w:pPr>
      <w:spacing w:after="200" w:line="276" w:lineRule="auto"/>
    </w:pPr>
    <w:rPr>
      <w:rFonts w:ascii="Cambria" w:eastAsia="Times New Roman" w:hAnsi="Cambria" w:cs="Times New Roman"/>
      <w:i/>
      <w:iCs/>
      <w:color w:val="4F81BD"/>
      <w:spacing w:val="15"/>
      <w:sz w:val="24"/>
      <w:szCs w:val="24"/>
      <w:lang w:eastAsia="fr-FR"/>
    </w:rPr>
  </w:style>
  <w:style w:type="character" w:customStyle="1" w:styleId="SubttuloCarter">
    <w:name w:val="Subtítulo Caráter"/>
    <w:basedOn w:val="Tipodeletrapredefinidodopargrafo"/>
    <w:link w:val="Subttulo"/>
    <w:uiPriority w:val="11"/>
    <w:rsid w:val="00175A74"/>
    <w:rPr>
      <w:rFonts w:ascii="Cambria" w:eastAsia="Times New Roman" w:hAnsi="Cambria" w:cs="Times New Roman"/>
      <w:i/>
      <w:iCs/>
      <w:color w:val="4F81BD"/>
      <w:spacing w:val="15"/>
      <w:sz w:val="24"/>
      <w:szCs w:val="24"/>
      <w:lang w:eastAsia="fr-FR"/>
    </w:rPr>
  </w:style>
  <w:style w:type="character" w:customStyle="1" w:styleId="Primeiroavanodecorpodetexto2Carter">
    <w:name w:val="Primeiro avanço de corpo de texto 2 Caráter"/>
    <w:basedOn w:val="AvanodecorpodetextoCarter"/>
    <w:link w:val="Primeiroavanodecorpodetexto2"/>
    <w:uiPriority w:val="99"/>
    <w:semiHidden/>
    <w:rsid w:val="00175A74"/>
  </w:style>
  <w:style w:type="paragraph" w:styleId="Primeiroavanodecorpodetexto2">
    <w:name w:val="Body Text First Indent 2"/>
    <w:basedOn w:val="Avanodecorpodetexto"/>
    <w:link w:val="Primeiroavanodecorpodetexto2Carter"/>
    <w:uiPriority w:val="99"/>
    <w:semiHidden/>
    <w:unhideWhenUsed/>
    <w:rsid w:val="00175A74"/>
    <w:pPr>
      <w:spacing w:after="200"/>
      <w:ind w:left="360" w:firstLine="360"/>
    </w:pPr>
  </w:style>
  <w:style w:type="character" w:customStyle="1" w:styleId="Retraitcorpset1religCar1">
    <w:name w:val="Retrait corps et 1re lig. Car1"/>
    <w:basedOn w:val="RetraitcorpsdetexteCar1"/>
    <w:uiPriority w:val="99"/>
    <w:semiHidden/>
    <w:rsid w:val="00175A74"/>
  </w:style>
  <w:style w:type="paragraph" w:styleId="Corpodetexto2">
    <w:name w:val="Body Text 2"/>
    <w:basedOn w:val="Normal"/>
    <w:link w:val="Corpodetexto2Carter"/>
    <w:uiPriority w:val="99"/>
    <w:unhideWhenUsed/>
    <w:rsid w:val="00175A74"/>
    <w:pPr>
      <w:spacing w:after="120" w:line="480" w:lineRule="auto"/>
    </w:pPr>
  </w:style>
  <w:style w:type="character" w:customStyle="1" w:styleId="Corpodetexto2Carter">
    <w:name w:val="Corpo de texto 2 Caráter"/>
    <w:basedOn w:val="Tipodeletrapredefinidodopargrafo"/>
    <w:link w:val="Corpodetexto2"/>
    <w:uiPriority w:val="99"/>
    <w:rsid w:val="00175A74"/>
  </w:style>
  <w:style w:type="character" w:customStyle="1" w:styleId="AssuntodecomentrioCarter">
    <w:name w:val="Assunto de comentário Caráter"/>
    <w:basedOn w:val="CommentaireCar"/>
    <w:link w:val="Assuntodecomentrio"/>
    <w:semiHidden/>
    <w:rsid w:val="00175A74"/>
    <w:rPr>
      <w:rFonts w:ascii="Arial" w:eastAsia="Times New Roman" w:hAnsi="Arial" w:cs="Times New Roman"/>
      <w:b/>
      <w:bCs/>
      <w:sz w:val="20"/>
      <w:szCs w:val="20"/>
    </w:rPr>
  </w:style>
  <w:style w:type="paragraph" w:styleId="Assuntodecomentrio">
    <w:name w:val="annotation subject"/>
    <w:basedOn w:val="Textodecomentrio"/>
    <w:next w:val="Textodecomentrio"/>
    <w:link w:val="AssuntodecomentrioCarter"/>
    <w:semiHidden/>
    <w:unhideWhenUsed/>
    <w:rsid w:val="00175A74"/>
    <w:pPr>
      <w:keepLines w:val="0"/>
      <w:spacing w:after="200" w:line="240" w:lineRule="auto"/>
      <w:jc w:val="left"/>
    </w:pPr>
    <w:rPr>
      <w:b/>
      <w:bCs/>
      <w:sz w:val="20"/>
    </w:rPr>
  </w:style>
  <w:style w:type="character" w:customStyle="1" w:styleId="ObjetducommentaireCar1">
    <w:name w:val="Objet du commentaire Car1"/>
    <w:basedOn w:val="CommentaireCar"/>
    <w:uiPriority w:val="99"/>
    <w:semiHidden/>
    <w:rsid w:val="00175A74"/>
    <w:rPr>
      <w:b/>
      <w:bCs/>
      <w:sz w:val="20"/>
      <w:szCs w:val="20"/>
    </w:rPr>
  </w:style>
  <w:style w:type="character" w:customStyle="1" w:styleId="SemEspaamentoCarter">
    <w:name w:val="Sem Espaçamento Caráter"/>
    <w:basedOn w:val="Tipodeletrapredefinidodopargrafo"/>
    <w:link w:val="SemEspaamento"/>
    <w:uiPriority w:val="1"/>
    <w:locked/>
    <w:rsid w:val="00175A74"/>
    <w:rPr>
      <w:rFonts w:ascii="Calibri" w:eastAsia="Times New Roman" w:hAnsi="Calibri" w:cs="Times New Roman"/>
    </w:rPr>
  </w:style>
  <w:style w:type="paragraph" w:styleId="SemEspaamento">
    <w:name w:val="No Spacing"/>
    <w:basedOn w:val="Normal"/>
    <w:link w:val="SemEspaamentoCarter"/>
    <w:uiPriority w:val="1"/>
    <w:qFormat/>
    <w:rsid w:val="00175A74"/>
    <w:pPr>
      <w:spacing w:after="0" w:line="240" w:lineRule="auto"/>
    </w:pPr>
    <w:rPr>
      <w:rFonts w:ascii="Calibri" w:eastAsia="Times New Roman" w:hAnsi="Calibri" w:cs="Times New Roman"/>
    </w:rPr>
  </w:style>
  <w:style w:type="paragraph" w:styleId="Cabealhodondice">
    <w:name w:val="TOC Heading"/>
    <w:basedOn w:val="Cabealho1"/>
    <w:next w:val="Normal"/>
    <w:uiPriority w:val="39"/>
    <w:unhideWhenUsed/>
    <w:qFormat/>
    <w:rsid w:val="00175A74"/>
    <w:pPr>
      <w:outlineLvl w:val="9"/>
    </w:pPr>
  </w:style>
  <w:style w:type="paragraph" w:customStyle="1" w:styleId="PDG16">
    <w:name w:val="PDG16"/>
    <w:basedOn w:val="Normal"/>
    <w:uiPriority w:val="99"/>
    <w:rsid w:val="00175A74"/>
    <w:pPr>
      <w:spacing w:before="120" w:after="120" w:line="240" w:lineRule="atLeast"/>
      <w:jc w:val="both"/>
    </w:pPr>
    <w:rPr>
      <w:rFonts w:ascii="Arial Narrow" w:eastAsia="Times New Roman" w:hAnsi="Arial Narrow" w:cs="Times New Roman"/>
      <w:b/>
      <w:smallCaps/>
      <w:color w:val="003366"/>
      <w:sz w:val="32"/>
      <w:szCs w:val="32"/>
      <w:lang w:eastAsia="fr-FR"/>
    </w:rPr>
  </w:style>
  <w:style w:type="paragraph" w:customStyle="1" w:styleId="Corpsdetexte21">
    <w:name w:val="Corps de texte 21"/>
    <w:basedOn w:val="Normal"/>
    <w:rsid w:val="00175A74"/>
    <w:pPr>
      <w:tabs>
        <w:tab w:val="left" w:pos="360"/>
      </w:tabs>
      <w:overflowPunct w:val="0"/>
      <w:autoSpaceDE w:val="0"/>
      <w:autoSpaceDN w:val="0"/>
      <w:adjustRightInd w:val="0"/>
      <w:spacing w:after="0" w:line="360" w:lineRule="auto"/>
      <w:ind w:right="203"/>
      <w:jc w:val="both"/>
    </w:pPr>
    <w:rPr>
      <w:rFonts w:ascii="Calibri" w:eastAsia="Calibri" w:hAnsi="Calibri" w:cs="Times New Roman"/>
      <w:sz w:val="24"/>
      <w:szCs w:val="20"/>
      <w:lang w:eastAsia="fr-FR"/>
    </w:rPr>
  </w:style>
  <w:style w:type="paragraph" w:customStyle="1" w:styleId="Default">
    <w:name w:val="Default"/>
    <w:link w:val="DefaultCar"/>
    <w:rsid w:val="00175A74"/>
    <w:pPr>
      <w:autoSpaceDE w:val="0"/>
      <w:autoSpaceDN w:val="0"/>
      <w:adjustRightInd w:val="0"/>
      <w:spacing w:after="0" w:line="240" w:lineRule="auto"/>
    </w:pPr>
    <w:rPr>
      <w:rFonts w:ascii="Arial" w:eastAsia="Calibri" w:hAnsi="Arial" w:cs="Arial"/>
      <w:color w:val="000000"/>
      <w:sz w:val="24"/>
      <w:szCs w:val="24"/>
      <w:lang w:eastAsia="fr-FR"/>
    </w:rPr>
  </w:style>
  <w:style w:type="character" w:customStyle="1" w:styleId="Grillemoyenne1-Accent2Car">
    <w:name w:val="Grille moyenne 1 - Accent 2 Car"/>
    <w:aliases w:val="Medium Grid 1 - Accent 21 Car"/>
    <w:link w:val="Grillemoyenne1-Accent21"/>
    <w:uiPriority w:val="34"/>
    <w:qFormat/>
    <w:locked/>
    <w:rsid w:val="00175A74"/>
    <w:rPr>
      <w:rFonts w:ascii="Arial" w:eastAsia="Times New Roman" w:hAnsi="Arial" w:cs="Arial"/>
      <w:sz w:val="21"/>
      <w:lang w:eastAsia="fr-FR"/>
    </w:rPr>
  </w:style>
  <w:style w:type="paragraph" w:customStyle="1" w:styleId="Grillemoyenne1-Accent21">
    <w:name w:val="Grille moyenne 1 - Accent 21"/>
    <w:aliases w:val="List Paragraph1,Medium Grid 1 - Accent 21,List_Paragraph,Multilevel para_II"/>
    <w:basedOn w:val="Normal"/>
    <w:link w:val="Grillemoyenne1-Accent2Car"/>
    <w:uiPriority w:val="34"/>
    <w:qFormat/>
    <w:rsid w:val="00175A74"/>
    <w:pPr>
      <w:spacing w:after="0" w:line="240" w:lineRule="auto"/>
      <w:ind w:left="720"/>
      <w:contextualSpacing/>
      <w:jc w:val="both"/>
    </w:pPr>
    <w:rPr>
      <w:rFonts w:ascii="Arial" w:eastAsia="Times New Roman" w:hAnsi="Arial" w:cs="Arial"/>
      <w:sz w:val="21"/>
      <w:lang w:eastAsia="fr-FR"/>
    </w:rPr>
  </w:style>
  <w:style w:type="character" w:customStyle="1" w:styleId="psCar">
    <w:name w:val="ps Car"/>
    <w:link w:val="ps"/>
    <w:uiPriority w:val="99"/>
    <w:locked/>
    <w:rsid w:val="00175A74"/>
    <w:rPr>
      <w:rFonts w:ascii="Times New Roman" w:eastAsia="Times New Roman" w:hAnsi="Times New Roman" w:cs="Times New Roman"/>
      <w:sz w:val="24"/>
      <w:szCs w:val="24"/>
      <w:lang w:eastAsia="fr-FR"/>
    </w:rPr>
  </w:style>
  <w:style w:type="paragraph" w:customStyle="1" w:styleId="ps">
    <w:name w:val="ps"/>
    <w:basedOn w:val="Normal"/>
    <w:link w:val="psCar"/>
    <w:uiPriority w:val="99"/>
    <w:rsid w:val="00175A74"/>
    <w:pPr>
      <w:keepLines/>
      <w:spacing w:before="240" w:after="0" w:line="240" w:lineRule="auto"/>
      <w:jc w:val="both"/>
    </w:pPr>
    <w:rPr>
      <w:rFonts w:ascii="Times New Roman" w:eastAsia="Times New Roman" w:hAnsi="Times New Roman" w:cs="Times New Roman"/>
      <w:sz w:val="24"/>
      <w:szCs w:val="24"/>
      <w:lang w:eastAsia="fr-FR"/>
    </w:rPr>
  </w:style>
  <w:style w:type="paragraph" w:customStyle="1" w:styleId="PARA">
    <w:name w:val="PARA"/>
    <w:basedOn w:val="Normal"/>
    <w:rsid w:val="00175A74"/>
    <w:pPr>
      <w:keepLines/>
      <w:spacing w:before="120" w:after="0" w:line="240" w:lineRule="auto"/>
      <w:jc w:val="both"/>
    </w:pPr>
    <w:rPr>
      <w:rFonts w:ascii="Arial" w:eastAsia="Times New Roman" w:hAnsi="Arial" w:cs="Times New Roman"/>
      <w:sz w:val="20"/>
      <w:szCs w:val="20"/>
      <w:lang w:eastAsia="fr-FR"/>
    </w:rPr>
  </w:style>
  <w:style w:type="character" w:customStyle="1" w:styleId="Listecouleur-Accent1Car">
    <w:name w:val="Liste couleur - Accent 1 Car"/>
    <w:aliases w:val="Parágrafo da Lista s/espaço Car,RM1 Car,Citation List Car,List Bullet-OpsManual Car,Title Style 1 Car,List_Paragraph Car,Multilevel para_II Car,List Paragraph1 Car,Premier Car,Tableau Adere Car"/>
    <w:link w:val="Listecouleur-Accent11"/>
    <w:uiPriority w:val="34"/>
    <w:qFormat/>
    <w:locked/>
    <w:rsid w:val="00175A74"/>
    <w:rPr>
      <w:rFonts w:ascii="Arial" w:eastAsia="Calibri" w:hAnsi="Arial" w:cs="Times New Roman"/>
      <w:lang w:val="x-none"/>
    </w:rPr>
  </w:style>
  <w:style w:type="paragraph" w:customStyle="1" w:styleId="Listecouleur-Accent11">
    <w:name w:val="Liste couleur - Accent 11"/>
    <w:basedOn w:val="Normal"/>
    <w:link w:val="Listecouleur-Accent1Car"/>
    <w:uiPriority w:val="34"/>
    <w:qFormat/>
    <w:rsid w:val="00175A74"/>
    <w:pPr>
      <w:spacing w:after="0" w:line="240" w:lineRule="auto"/>
      <w:ind w:left="720"/>
      <w:contextualSpacing/>
      <w:jc w:val="both"/>
    </w:pPr>
    <w:rPr>
      <w:rFonts w:ascii="Arial" w:eastAsia="Calibri" w:hAnsi="Arial" w:cs="Times New Roman"/>
      <w:lang w:val="x-none"/>
    </w:rPr>
  </w:style>
  <w:style w:type="paragraph" w:customStyle="1" w:styleId="Paragraphedeliste2">
    <w:name w:val="Paragraphe de liste2"/>
    <w:basedOn w:val="Normal"/>
    <w:qFormat/>
    <w:rsid w:val="00175A74"/>
    <w:pPr>
      <w:spacing w:after="0" w:line="240" w:lineRule="auto"/>
      <w:ind w:left="720"/>
      <w:jc w:val="both"/>
    </w:pPr>
    <w:rPr>
      <w:rFonts w:ascii="Arial" w:eastAsia="Times New Roman" w:hAnsi="Arial" w:cs="Arial"/>
    </w:rPr>
  </w:style>
  <w:style w:type="paragraph" w:customStyle="1" w:styleId="Retrait2">
    <w:name w:val="Retrait2"/>
    <w:basedOn w:val="Corpodetexto"/>
    <w:rsid w:val="00175A74"/>
    <w:pPr>
      <w:tabs>
        <w:tab w:val="clear" w:pos="-720"/>
        <w:tab w:val="num" w:pos="360"/>
      </w:tabs>
      <w:suppressAutoHyphens w:val="0"/>
      <w:overflowPunct/>
      <w:autoSpaceDE/>
      <w:autoSpaceDN/>
      <w:adjustRightInd/>
      <w:spacing w:line="240" w:lineRule="auto"/>
      <w:ind w:left="340" w:hanging="340"/>
    </w:pPr>
    <w:rPr>
      <w:rFonts w:ascii="Times New Roman" w:hAnsi="Times New Roman"/>
      <w:bCs/>
      <w:spacing w:val="0"/>
      <w:sz w:val="22"/>
      <w:szCs w:val="24"/>
      <w:lang w:val="fr-FR"/>
    </w:rPr>
  </w:style>
  <w:style w:type="paragraph" w:customStyle="1" w:styleId="Retraittexte">
    <w:name w:val="Retrait texte"/>
    <w:basedOn w:val="Corpodetexto"/>
    <w:uiPriority w:val="99"/>
    <w:rsid w:val="00175A74"/>
    <w:pPr>
      <w:tabs>
        <w:tab w:val="clear" w:pos="-720"/>
      </w:tabs>
      <w:suppressAutoHyphens w:val="0"/>
      <w:overflowPunct/>
      <w:autoSpaceDE/>
      <w:autoSpaceDN/>
      <w:adjustRightInd/>
      <w:spacing w:line="240" w:lineRule="auto"/>
      <w:ind w:left="360" w:hanging="360"/>
    </w:pPr>
    <w:rPr>
      <w:rFonts w:ascii="Times New Roman" w:hAnsi="Times New Roman"/>
      <w:spacing w:val="0"/>
      <w:sz w:val="22"/>
      <w:szCs w:val="24"/>
      <w:lang w:val="fr-FR"/>
    </w:rPr>
  </w:style>
  <w:style w:type="character" w:customStyle="1" w:styleId="st">
    <w:name w:val="st"/>
    <w:basedOn w:val="Tipodeletrapredefinidodopargrafo"/>
    <w:rsid w:val="00175A74"/>
  </w:style>
  <w:style w:type="character" w:customStyle="1" w:styleId="apple-converted-space">
    <w:name w:val="apple-converted-space"/>
    <w:basedOn w:val="Tipodeletrapredefinidodopargrafo"/>
    <w:rsid w:val="00175A74"/>
  </w:style>
  <w:style w:type="character" w:customStyle="1" w:styleId="mw-headline">
    <w:name w:val="mw-headline"/>
    <w:basedOn w:val="Tipodeletrapredefinidodopargrafo"/>
    <w:rsid w:val="00175A74"/>
  </w:style>
  <w:style w:type="character" w:customStyle="1" w:styleId="nowrap">
    <w:name w:val="nowrap"/>
    <w:basedOn w:val="Tipodeletrapredefinidodopargrafo"/>
    <w:rsid w:val="00175A74"/>
  </w:style>
  <w:style w:type="character" w:customStyle="1" w:styleId="article-fulllettrine">
    <w:name w:val="article-full__lettrine"/>
    <w:basedOn w:val="Tipodeletrapredefinidodopargrafo"/>
    <w:rsid w:val="00175A74"/>
  </w:style>
  <w:style w:type="character" w:customStyle="1" w:styleId="reference-text">
    <w:name w:val="reference-text"/>
    <w:basedOn w:val="Tipodeletrapredefinidodopargrafo"/>
    <w:rsid w:val="00175A74"/>
  </w:style>
  <w:style w:type="character" w:customStyle="1" w:styleId="bodyinterna1">
    <w:name w:val="bodyinterna1"/>
    <w:basedOn w:val="Tipodeletrapredefinidodopargrafo"/>
    <w:rsid w:val="00175A74"/>
    <w:rPr>
      <w:rFonts w:ascii="Arial" w:hAnsi="Arial" w:cs="Arial" w:hint="default"/>
      <w:sz w:val="20"/>
      <w:szCs w:val="20"/>
    </w:rPr>
  </w:style>
  <w:style w:type="character" w:styleId="Refdecomentrio">
    <w:name w:val="annotation reference"/>
    <w:basedOn w:val="Tipodeletrapredefinidodopargrafo"/>
    <w:uiPriority w:val="99"/>
    <w:semiHidden/>
    <w:unhideWhenUsed/>
    <w:rsid w:val="00175A74"/>
    <w:rPr>
      <w:sz w:val="16"/>
      <w:szCs w:val="16"/>
    </w:rPr>
  </w:style>
  <w:style w:type="table" w:customStyle="1" w:styleId="Listeclaire-Accent31">
    <w:name w:val="Liste claire - Accent 31"/>
    <w:basedOn w:val="Tabelanormal"/>
    <w:next w:val="ListaClara-Cor3"/>
    <w:uiPriority w:val="61"/>
    <w:rsid w:val="00175A74"/>
    <w:pPr>
      <w:spacing w:after="0" w:line="240" w:lineRule="auto"/>
    </w:pPr>
    <w:rPr>
      <w:rFonts w:eastAsia="Times New Roman"/>
      <w:lang w:eastAsia="fr-FR"/>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paragraph" w:customStyle="1" w:styleId="TM41">
    <w:name w:val="TM 41"/>
    <w:basedOn w:val="Normal"/>
    <w:next w:val="Normal"/>
    <w:autoRedefine/>
    <w:uiPriority w:val="39"/>
    <w:unhideWhenUsed/>
    <w:rsid w:val="00175A74"/>
    <w:pPr>
      <w:spacing w:after="100"/>
      <w:ind w:left="660"/>
    </w:pPr>
    <w:rPr>
      <w:rFonts w:eastAsia="Times New Roman"/>
      <w:lang w:eastAsia="fr-FR"/>
    </w:rPr>
  </w:style>
  <w:style w:type="paragraph" w:customStyle="1" w:styleId="TM51">
    <w:name w:val="TM 51"/>
    <w:basedOn w:val="Normal"/>
    <w:next w:val="Normal"/>
    <w:autoRedefine/>
    <w:uiPriority w:val="39"/>
    <w:unhideWhenUsed/>
    <w:rsid w:val="00175A74"/>
    <w:pPr>
      <w:spacing w:after="100"/>
      <w:ind w:left="880"/>
    </w:pPr>
    <w:rPr>
      <w:rFonts w:eastAsia="Times New Roman"/>
      <w:lang w:eastAsia="fr-FR"/>
    </w:rPr>
  </w:style>
  <w:style w:type="paragraph" w:customStyle="1" w:styleId="TM61">
    <w:name w:val="TM 61"/>
    <w:basedOn w:val="Normal"/>
    <w:next w:val="Normal"/>
    <w:autoRedefine/>
    <w:uiPriority w:val="39"/>
    <w:unhideWhenUsed/>
    <w:rsid w:val="00175A74"/>
    <w:pPr>
      <w:spacing w:after="100"/>
      <w:ind w:left="1100"/>
    </w:pPr>
    <w:rPr>
      <w:rFonts w:eastAsia="Times New Roman"/>
      <w:lang w:eastAsia="fr-FR"/>
    </w:rPr>
  </w:style>
  <w:style w:type="paragraph" w:customStyle="1" w:styleId="TM71">
    <w:name w:val="TM 71"/>
    <w:basedOn w:val="Normal"/>
    <w:next w:val="Normal"/>
    <w:autoRedefine/>
    <w:uiPriority w:val="39"/>
    <w:unhideWhenUsed/>
    <w:rsid w:val="00175A74"/>
    <w:pPr>
      <w:spacing w:after="100"/>
      <w:ind w:left="1320"/>
    </w:pPr>
    <w:rPr>
      <w:rFonts w:eastAsia="Times New Roman"/>
      <w:lang w:eastAsia="fr-FR"/>
    </w:rPr>
  </w:style>
  <w:style w:type="paragraph" w:customStyle="1" w:styleId="TM81">
    <w:name w:val="TM 81"/>
    <w:basedOn w:val="Normal"/>
    <w:next w:val="Normal"/>
    <w:autoRedefine/>
    <w:uiPriority w:val="39"/>
    <w:unhideWhenUsed/>
    <w:rsid w:val="00175A74"/>
    <w:pPr>
      <w:spacing w:after="100"/>
      <w:ind w:left="1540"/>
    </w:pPr>
    <w:rPr>
      <w:rFonts w:eastAsia="Times New Roman"/>
      <w:lang w:eastAsia="fr-FR"/>
    </w:rPr>
  </w:style>
  <w:style w:type="paragraph" w:customStyle="1" w:styleId="Rvision1">
    <w:name w:val="Révision1"/>
    <w:next w:val="Reviso"/>
    <w:hidden/>
    <w:semiHidden/>
    <w:rsid w:val="00175A74"/>
    <w:pPr>
      <w:spacing w:after="0" w:line="240" w:lineRule="auto"/>
    </w:pPr>
  </w:style>
  <w:style w:type="character" w:customStyle="1" w:styleId="Titre3Car2">
    <w:name w:val="Titre 3 Car2"/>
    <w:basedOn w:val="Tipodeletrapredefinidodopargrafo"/>
    <w:uiPriority w:val="9"/>
    <w:semiHidden/>
    <w:rsid w:val="00175A74"/>
    <w:rPr>
      <w:rFonts w:asciiTheme="majorHAnsi" w:eastAsiaTheme="majorEastAsia" w:hAnsiTheme="majorHAnsi" w:cstheme="majorBidi"/>
      <w:color w:val="1F4D78" w:themeColor="accent1" w:themeShade="7F"/>
      <w:sz w:val="24"/>
      <w:szCs w:val="24"/>
    </w:rPr>
  </w:style>
  <w:style w:type="character" w:customStyle="1" w:styleId="Titre4Car1">
    <w:name w:val="Titre 4 Car1"/>
    <w:basedOn w:val="Tipodeletrapredefinidodopargrafo"/>
    <w:uiPriority w:val="9"/>
    <w:semiHidden/>
    <w:rsid w:val="00175A74"/>
    <w:rPr>
      <w:rFonts w:asciiTheme="majorHAnsi" w:eastAsiaTheme="majorEastAsia" w:hAnsiTheme="majorHAnsi" w:cstheme="majorBidi"/>
      <w:i/>
      <w:iCs/>
      <w:color w:val="2E74B5" w:themeColor="accent1" w:themeShade="BF"/>
    </w:rPr>
  </w:style>
  <w:style w:type="character" w:customStyle="1" w:styleId="Titre5Car1">
    <w:name w:val="Titre 5 Car1"/>
    <w:aliases w:val="Side Car"/>
    <w:basedOn w:val="Tipodeletrapredefinidodopargrafo"/>
    <w:rsid w:val="00175A74"/>
    <w:rPr>
      <w:rFonts w:asciiTheme="majorHAnsi" w:eastAsiaTheme="majorEastAsia" w:hAnsiTheme="majorHAnsi" w:cstheme="majorBidi"/>
      <w:color w:val="2E74B5" w:themeColor="accent1" w:themeShade="BF"/>
    </w:rPr>
  </w:style>
  <w:style w:type="character" w:customStyle="1" w:styleId="Titre6Car1">
    <w:name w:val="Titre 6 Car1"/>
    <w:basedOn w:val="Tipodeletrapredefinidodopargrafo"/>
    <w:rsid w:val="00175A74"/>
    <w:rPr>
      <w:rFonts w:asciiTheme="majorHAnsi" w:eastAsiaTheme="majorEastAsia" w:hAnsiTheme="majorHAnsi" w:cstheme="majorBidi"/>
      <w:color w:val="1F4D78" w:themeColor="accent1" w:themeShade="7F"/>
    </w:rPr>
  </w:style>
  <w:style w:type="character" w:styleId="Hiperligaovisitada">
    <w:name w:val="FollowedHyperlink"/>
    <w:basedOn w:val="Tipodeletrapredefinidodopargrafo"/>
    <w:semiHidden/>
    <w:unhideWhenUsed/>
    <w:rsid w:val="00175A74"/>
    <w:rPr>
      <w:color w:val="954F72" w:themeColor="followedHyperlink"/>
      <w:u w:val="single"/>
    </w:rPr>
  </w:style>
  <w:style w:type="paragraph" w:styleId="NormalWeb">
    <w:name w:val="Normal (Web)"/>
    <w:basedOn w:val="Normal"/>
    <w:uiPriority w:val="99"/>
    <w:unhideWhenUsed/>
    <w:rsid w:val="00175A74"/>
    <w:rPr>
      <w:rFonts w:ascii="Times New Roman" w:hAnsi="Times New Roman" w:cs="Times New Roman"/>
      <w:sz w:val="24"/>
      <w:szCs w:val="24"/>
    </w:rPr>
  </w:style>
  <w:style w:type="paragraph" w:styleId="Ttulo">
    <w:name w:val="Title"/>
    <w:basedOn w:val="Normal"/>
    <w:next w:val="Normal"/>
    <w:link w:val="TtuloCarter"/>
    <w:qFormat/>
    <w:rsid w:val="00175A74"/>
    <w:pPr>
      <w:spacing w:after="0" w:line="240" w:lineRule="auto"/>
      <w:contextualSpacing/>
    </w:pPr>
    <w:rPr>
      <w:rFonts w:ascii="Cambria" w:eastAsia="Times New Roman" w:hAnsi="Cambria" w:cs="Times New Roman"/>
      <w:color w:val="17365D"/>
      <w:spacing w:val="5"/>
      <w:kern w:val="28"/>
      <w:sz w:val="52"/>
      <w:szCs w:val="52"/>
      <w:lang w:eastAsia="fr-FR"/>
    </w:rPr>
  </w:style>
  <w:style w:type="character" w:customStyle="1" w:styleId="TitreCar1">
    <w:name w:val="Titre Car1"/>
    <w:basedOn w:val="Tipodeletrapredefinidodopargrafo"/>
    <w:rsid w:val="00175A74"/>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ter"/>
    <w:uiPriority w:val="11"/>
    <w:qFormat/>
    <w:rsid w:val="00175A74"/>
    <w:pPr>
      <w:numPr>
        <w:ilvl w:val="1"/>
      </w:numPr>
    </w:pPr>
    <w:rPr>
      <w:rFonts w:ascii="Cambria" w:eastAsia="Times New Roman" w:hAnsi="Cambria" w:cs="Times New Roman"/>
      <w:i/>
      <w:iCs/>
      <w:color w:val="4F81BD"/>
      <w:spacing w:val="15"/>
      <w:sz w:val="24"/>
      <w:szCs w:val="24"/>
      <w:lang w:eastAsia="fr-FR"/>
    </w:rPr>
  </w:style>
  <w:style w:type="character" w:customStyle="1" w:styleId="Sous-titreCar1">
    <w:name w:val="Sous-titre Car1"/>
    <w:basedOn w:val="Tipodeletrapredefinidodopargrafo"/>
    <w:uiPriority w:val="11"/>
    <w:rsid w:val="00175A74"/>
    <w:rPr>
      <w:rFonts w:eastAsiaTheme="minorEastAsia"/>
      <w:color w:val="5A5A5A" w:themeColor="text1" w:themeTint="A5"/>
      <w:spacing w:val="15"/>
    </w:rPr>
  </w:style>
  <w:style w:type="table" w:styleId="ListaClara-Cor3">
    <w:name w:val="Light List Accent 3"/>
    <w:basedOn w:val="Tabelanormal"/>
    <w:uiPriority w:val="61"/>
    <w:unhideWhenUsed/>
    <w:rsid w:val="00175A7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paragraph" w:styleId="Reviso">
    <w:name w:val="Revision"/>
    <w:hidden/>
    <w:uiPriority w:val="99"/>
    <w:semiHidden/>
    <w:rsid w:val="00175A74"/>
    <w:pPr>
      <w:spacing w:after="0" w:line="240" w:lineRule="auto"/>
    </w:pPr>
  </w:style>
  <w:style w:type="paragraph" w:styleId="Citao">
    <w:name w:val="Quote"/>
    <w:basedOn w:val="Normal"/>
    <w:next w:val="Normal"/>
    <w:link w:val="CitaoCarter"/>
    <w:uiPriority w:val="29"/>
    <w:qFormat/>
    <w:rsid w:val="00175A74"/>
    <w:pPr>
      <w:spacing w:after="200" w:line="276" w:lineRule="auto"/>
    </w:pPr>
    <w:rPr>
      <w:rFonts w:ascii="Calibri" w:eastAsia="Times New Roman" w:hAnsi="Calibri" w:cs="Times New Roman"/>
      <w:i/>
      <w:iCs/>
      <w:color w:val="000000"/>
      <w:lang w:eastAsia="fr-FR"/>
    </w:rPr>
  </w:style>
  <w:style w:type="character" w:customStyle="1" w:styleId="CitaoCarter">
    <w:name w:val="Citação Caráter"/>
    <w:basedOn w:val="Tipodeletrapredefinidodopargrafo"/>
    <w:link w:val="Citao"/>
    <w:uiPriority w:val="29"/>
    <w:rsid w:val="00175A74"/>
    <w:rPr>
      <w:rFonts w:ascii="Calibri" w:eastAsia="Times New Roman" w:hAnsi="Calibri" w:cs="Times New Roman"/>
      <w:i/>
      <w:iCs/>
      <w:color w:val="000000"/>
      <w:lang w:eastAsia="fr-FR"/>
    </w:rPr>
  </w:style>
  <w:style w:type="paragraph" w:styleId="ndice4">
    <w:name w:val="toc 4"/>
    <w:basedOn w:val="Normal"/>
    <w:next w:val="Normal"/>
    <w:autoRedefine/>
    <w:uiPriority w:val="39"/>
    <w:unhideWhenUsed/>
    <w:rsid w:val="00175A74"/>
    <w:pPr>
      <w:tabs>
        <w:tab w:val="right" w:leader="dot" w:pos="9072"/>
      </w:tabs>
      <w:spacing w:after="0"/>
      <w:ind w:left="660"/>
    </w:pPr>
    <w:rPr>
      <w:sz w:val="18"/>
      <w:szCs w:val="18"/>
    </w:rPr>
  </w:style>
  <w:style w:type="paragraph" w:styleId="ndice5">
    <w:name w:val="toc 5"/>
    <w:basedOn w:val="Normal"/>
    <w:next w:val="Normal"/>
    <w:autoRedefine/>
    <w:uiPriority w:val="39"/>
    <w:unhideWhenUsed/>
    <w:rsid w:val="00175A74"/>
    <w:pPr>
      <w:spacing w:after="0"/>
      <w:ind w:left="880"/>
    </w:pPr>
    <w:rPr>
      <w:sz w:val="18"/>
      <w:szCs w:val="18"/>
    </w:rPr>
  </w:style>
  <w:style w:type="paragraph" w:styleId="ndice6">
    <w:name w:val="toc 6"/>
    <w:basedOn w:val="Normal"/>
    <w:next w:val="Normal"/>
    <w:autoRedefine/>
    <w:uiPriority w:val="39"/>
    <w:unhideWhenUsed/>
    <w:rsid w:val="00175A74"/>
    <w:pPr>
      <w:spacing w:after="0"/>
      <w:ind w:left="1100"/>
    </w:pPr>
    <w:rPr>
      <w:sz w:val="18"/>
      <w:szCs w:val="18"/>
    </w:rPr>
  </w:style>
  <w:style w:type="paragraph" w:styleId="ndice7">
    <w:name w:val="toc 7"/>
    <w:basedOn w:val="Normal"/>
    <w:next w:val="Normal"/>
    <w:autoRedefine/>
    <w:uiPriority w:val="39"/>
    <w:unhideWhenUsed/>
    <w:rsid w:val="00175A74"/>
    <w:pPr>
      <w:spacing w:after="0"/>
      <w:ind w:left="1320"/>
    </w:pPr>
    <w:rPr>
      <w:sz w:val="18"/>
      <w:szCs w:val="18"/>
    </w:rPr>
  </w:style>
  <w:style w:type="paragraph" w:styleId="ndice8">
    <w:name w:val="toc 8"/>
    <w:basedOn w:val="Normal"/>
    <w:next w:val="Normal"/>
    <w:autoRedefine/>
    <w:uiPriority w:val="39"/>
    <w:unhideWhenUsed/>
    <w:rsid w:val="00175A74"/>
    <w:pPr>
      <w:spacing w:after="0"/>
      <w:ind w:left="1540"/>
    </w:pPr>
    <w:rPr>
      <w:sz w:val="18"/>
      <w:szCs w:val="18"/>
    </w:rPr>
  </w:style>
  <w:style w:type="paragraph" w:styleId="ndice9">
    <w:name w:val="toc 9"/>
    <w:basedOn w:val="Normal"/>
    <w:next w:val="Normal"/>
    <w:autoRedefine/>
    <w:uiPriority w:val="39"/>
    <w:unhideWhenUsed/>
    <w:rsid w:val="00175A74"/>
    <w:pPr>
      <w:spacing w:after="0"/>
      <w:ind w:left="1760"/>
    </w:pPr>
    <w:rPr>
      <w:sz w:val="18"/>
      <w:szCs w:val="18"/>
    </w:rPr>
  </w:style>
  <w:style w:type="paragraph" w:customStyle="1" w:styleId="088095CB421E4E02BDC9682AFEE1723A">
    <w:name w:val="088095CB421E4E02BDC9682AFEE1723A"/>
    <w:rsid w:val="00175A74"/>
    <w:pPr>
      <w:spacing w:after="200" w:line="276" w:lineRule="auto"/>
    </w:pPr>
    <w:rPr>
      <w:rFonts w:eastAsiaTheme="minorEastAsia"/>
      <w:lang w:eastAsia="fr-FR"/>
    </w:rPr>
  </w:style>
  <w:style w:type="numbering" w:customStyle="1" w:styleId="Style17">
    <w:name w:val="Style17"/>
    <w:uiPriority w:val="99"/>
    <w:rsid w:val="00175A74"/>
    <w:pPr>
      <w:numPr>
        <w:numId w:val="4"/>
      </w:numPr>
    </w:pPr>
  </w:style>
  <w:style w:type="character" w:styleId="nfase">
    <w:name w:val="Emphasis"/>
    <w:basedOn w:val="Tipodeletrapredefinidodopargrafo"/>
    <w:uiPriority w:val="20"/>
    <w:qFormat/>
    <w:rsid w:val="00175A74"/>
    <w:rPr>
      <w:i/>
      <w:iCs/>
    </w:rPr>
  </w:style>
  <w:style w:type="character" w:customStyle="1" w:styleId="LgendeCar1">
    <w:name w:val="Légende Car1"/>
    <w:aliases w:val="Légende Car Car1, Car Car Car Car,Car Car Car Car,Char Car1,Fig Car1,Table Caption Car1,Table Car1,Figure Car1,headings Car1,CPR Caption Car1,CPR Caption Char Car1,Table1 Car1,Figure1 Car1,headings1 Char Car1,headings1 Car1,Table Char Car1"/>
    <w:qFormat/>
    <w:rsid w:val="00175A74"/>
    <w:rPr>
      <w:rFonts w:ascii="Calibri" w:eastAsia="Calibri" w:hAnsi="Calibri" w:cs="Times New Roman"/>
      <w:b/>
      <w:bCs/>
      <w:sz w:val="20"/>
      <w:szCs w:val="20"/>
      <w:lang w:val="x-none"/>
    </w:rPr>
  </w:style>
  <w:style w:type="paragraph" w:customStyle="1" w:styleId="Body1">
    <w:name w:val="Body1"/>
    <w:basedOn w:val="Normal"/>
    <w:rsid w:val="00175A74"/>
    <w:pPr>
      <w:spacing w:before="60" w:after="120" w:line="240" w:lineRule="exact"/>
      <w:ind w:left="709"/>
      <w:jc w:val="both"/>
    </w:pPr>
    <w:rPr>
      <w:rFonts w:ascii="Arial" w:eastAsia="Times New Roman" w:hAnsi="Arial" w:cs="Arial"/>
      <w:sz w:val="20"/>
      <w:szCs w:val="20"/>
      <w:lang w:eastAsia="fr-FR"/>
    </w:rPr>
  </w:style>
  <w:style w:type="paragraph" w:customStyle="1" w:styleId="Texte">
    <w:name w:val="Texte"/>
    <w:basedOn w:val="Normal"/>
    <w:link w:val="TexteCar1"/>
    <w:rsid w:val="00175A74"/>
    <w:pPr>
      <w:keepLines/>
      <w:spacing w:before="120" w:after="0" w:line="240" w:lineRule="auto"/>
      <w:jc w:val="both"/>
    </w:pPr>
    <w:rPr>
      <w:rFonts w:ascii="Arial" w:eastAsia="Times New Roman" w:hAnsi="Arial" w:cs="Times New Roman"/>
      <w:sz w:val="20"/>
      <w:szCs w:val="20"/>
      <w:lang w:eastAsia="fr-FR"/>
    </w:rPr>
  </w:style>
  <w:style w:type="paragraph" w:customStyle="1" w:styleId="Paragraphe">
    <w:name w:val="Paragraphe"/>
    <w:basedOn w:val="Normal"/>
    <w:rsid w:val="00175A74"/>
    <w:pPr>
      <w:overflowPunct w:val="0"/>
      <w:autoSpaceDE w:val="0"/>
      <w:autoSpaceDN w:val="0"/>
      <w:adjustRightInd w:val="0"/>
      <w:spacing w:after="120" w:line="240" w:lineRule="auto"/>
      <w:jc w:val="both"/>
      <w:textAlignment w:val="baseline"/>
    </w:pPr>
    <w:rPr>
      <w:rFonts w:ascii="Times New Roman" w:eastAsia="Times New Roman" w:hAnsi="Times New Roman" w:cs="Times New Roman"/>
      <w:sz w:val="24"/>
      <w:szCs w:val="24"/>
      <w:lang w:eastAsia="fr-FR"/>
    </w:rPr>
  </w:style>
  <w:style w:type="numbering" w:customStyle="1" w:styleId="Style12">
    <w:name w:val="Style12"/>
    <w:uiPriority w:val="99"/>
    <w:rsid w:val="00175A74"/>
    <w:pPr>
      <w:numPr>
        <w:numId w:val="5"/>
      </w:numPr>
    </w:pPr>
  </w:style>
  <w:style w:type="paragraph" w:styleId="HTMLpr-formatado">
    <w:name w:val="HTML Preformatted"/>
    <w:basedOn w:val="Normal"/>
    <w:link w:val="HTMLpr-formatadoCarter"/>
    <w:uiPriority w:val="99"/>
    <w:unhideWhenUsed/>
    <w:rsid w:val="00175A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fr-FR"/>
    </w:rPr>
  </w:style>
  <w:style w:type="character" w:customStyle="1" w:styleId="HTMLpr-formatadoCarter">
    <w:name w:val="HTML pré-formatado Caráter"/>
    <w:basedOn w:val="Tipodeletrapredefinidodopargrafo"/>
    <w:link w:val="HTMLpr-formatado"/>
    <w:uiPriority w:val="99"/>
    <w:rsid w:val="00175A74"/>
    <w:rPr>
      <w:rFonts w:ascii="Courier New" w:eastAsia="Times New Roman" w:hAnsi="Courier New" w:cs="Courier New"/>
      <w:sz w:val="20"/>
      <w:szCs w:val="20"/>
      <w:lang w:eastAsia="fr-FR"/>
    </w:rPr>
  </w:style>
  <w:style w:type="paragraph" w:customStyle="1" w:styleId="Normal1">
    <w:name w:val="Normal1"/>
    <w:basedOn w:val="Normal"/>
    <w:link w:val="normalCar"/>
    <w:rsid w:val="00175A74"/>
    <w:pPr>
      <w:spacing w:before="120" w:after="0" w:line="240" w:lineRule="auto"/>
      <w:ind w:left="737"/>
      <w:jc w:val="both"/>
    </w:pPr>
    <w:rPr>
      <w:rFonts w:ascii="Century Gothic" w:eastAsia="Calibri" w:hAnsi="Century Gothic" w:cs="Times New Roman"/>
      <w:sz w:val="20"/>
      <w:szCs w:val="20"/>
      <w:lang w:val="en-GB" w:eastAsia="fr-FR"/>
    </w:rPr>
  </w:style>
  <w:style w:type="character" w:customStyle="1" w:styleId="normalCar">
    <w:name w:val="normal Car"/>
    <w:link w:val="Normal1"/>
    <w:locked/>
    <w:rsid w:val="00175A74"/>
    <w:rPr>
      <w:rFonts w:ascii="Century Gothic" w:eastAsia="Calibri" w:hAnsi="Century Gothic" w:cs="Times New Roman"/>
      <w:sz w:val="20"/>
      <w:szCs w:val="20"/>
      <w:lang w:val="en-GB" w:eastAsia="fr-FR"/>
    </w:rPr>
  </w:style>
  <w:style w:type="paragraph" w:styleId="Avanonormal">
    <w:name w:val="Normal Indent"/>
    <w:basedOn w:val="Normal"/>
    <w:rsid w:val="00175A74"/>
    <w:pPr>
      <w:spacing w:before="120" w:after="0" w:line="280" w:lineRule="atLeast"/>
      <w:ind w:left="567" w:hanging="567"/>
      <w:jc w:val="both"/>
    </w:pPr>
    <w:rPr>
      <w:rFonts w:ascii="Arial" w:eastAsia="Calibri" w:hAnsi="Arial" w:cs="Times New Roman"/>
      <w:sz w:val="20"/>
      <w:szCs w:val="24"/>
      <w:lang w:eastAsia="fr-FR"/>
    </w:rPr>
  </w:style>
  <w:style w:type="paragraph" w:customStyle="1" w:styleId="Arial">
    <w:name w:val="Arial"/>
    <w:basedOn w:val="Normal"/>
    <w:uiPriority w:val="99"/>
    <w:rsid w:val="00175A74"/>
    <w:pPr>
      <w:spacing w:after="0" w:line="240" w:lineRule="auto"/>
    </w:pPr>
    <w:rPr>
      <w:rFonts w:ascii="Times New Roman" w:eastAsia="Times New Roman" w:hAnsi="Times New Roman" w:cs="Times New Roman"/>
      <w:sz w:val="21"/>
      <w:szCs w:val="21"/>
      <w:lang w:eastAsia="fr-FR"/>
    </w:rPr>
  </w:style>
  <w:style w:type="paragraph" w:customStyle="1" w:styleId="TableText">
    <w:name w:val="Table_Text"/>
    <w:basedOn w:val="Default"/>
    <w:next w:val="Default"/>
    <w:uiPriority w:val="99"/>
    <w:rsid w:val="00175A74"/>
    <w:rPr>
      <w:rFonts w:ascii="Times New Roman" w:hAnsi="Times New Roman" w:cs="Times New Roman"/>
      <w:color w:val="auto"/>
    </w:rPr>
  </w:style>
  <w:style w:type="table" w:customStyle="1" w:styleId="TableauGrille31">
    <w:name w:val="Tableau Grille 31"/>
    <w:basedOn w:val="Tabelanormal"/>
    <w:uiPriority w:val="48"/>
    <w:rsid w:val="00175A74"/>
    <w:pPr>
      <w:spacing w:after="0" w:line="240" w:lineRule="auto"/>
    </w:pPr>
    <w:rPr>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TableauGrille3-Accentuation41">
    <w:name w:val="Tableau Grille 3 - Accentuation 41"/>
    <w:basedOn w:val="Tabelanormal"/>
    <w:uiPriority w:val="48"/>
    <w:rsid w:val="00175A7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customStyle="1" w:styleId="TableauGrille1Clair-Accentuation61">
    <w:name w:val="Tableau Grille 1 Clair - Accentuation 61"/>
    <w:basedOn w:val="Tabelanormal"/>
    <w:uiPriority w:val="46"/>
    <w:rsid w:val="00175A74"/>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customStyle="1" w:styleId="TableauGrille3-Accentuation61">
    <w:name w:val="Tableau Grille 3 - Accentuation 61"/>
    <w:basedOn w:val="Tabelanormal"/>
    <w:uiPriority w:val="48"/>
    <w:rsid w:val="00175A7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customStyle="1" w:styleId="TableauGrille41">
    <w:name w:val="Tableau Grille 41"/>
    <w:basedOn w:val="Tabelanormal"/>
    <w:uiPriority w:val="49"/>
    <w:rsid w:val="00175A74"/>
    <w:pPr>
      <w:spacing w:after="0" w:line="240" w:lineRule="auto"/>
    </w:pPr>
    <w:rPr>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CitaoIntensa">
    <w:name w:val="Intense Quote"/>
    <w:basedOn w:val="Normal"/>
    <w:next w:val="Normal"/>
    <w:link w:val="CitaoIntensaCarter"/>
    <w:uiPriority w:val="30"/>
    <w:qFormat/>
    <w:rsid w:val="00175A74"/>
    <w:pPr>
      <w:pBdr>
        <w:top w:val="single" w:sz="4" w:space="10" w:color="5B9BD5" w:themeColor="accent1"/>
        <w:bottom w:val="single" w:sz="4" w:space="10" w:color="5B9BD5" w:themeColor="accent1"/>
      </w:pBdr>
      <w:spacing w:before="360" w:after="360" w:line="276" w:lineRule="auto"/>
      <w:ind w:left="864" w:right="864"/>
      <w:jc w:val="center"/>
    </w:pPr>
    <w:rPr>
      <w:rFonts w:ascii="Times New Roman" w:eastAsia="Calibri" w:hAnsi="Times New Roman" w:cs="Times New Roman"/>
      <w:i/>
      <w:iCs/>
      <w:color w:val="5B9BD5" w:themeColor="accent1"/>
      <w:sz w:val="24"/>
    </w:rPr>
  </w:style>
  <w:style w:type="character" w:customStyle="1" w:styleId="CitaoIntensaCarter">
    <w:name w:val="Citação Intensa Caráter"/>
    <w:basedOn w:val="Tipodeletrapredefinidodopargrafo"/>
    <w:link w:val="CitaoIntensa"/>
    <w:uiPriority w:val="30"/>
    <w:rsid w:val="00175A74"/>
    <w:rPr>
      <w:rFonts w:ascii="Times New Roman" w:eastAsia="Calibri" w:hAnsi="Times New Roman" w:cs="Times New Roman"/>
      <w:i/>
      <w:iCs/>
      <w:color w:val="5B9BD5" w:themeColor="accent1"/>
      <w:sz w:val="24"/>
    </w:rPr>
  </w:style>
  <w:style w:type="table" w:customStyle="1" w:styleId="Tableausimple211">
    <w:name w:val="Tableau simple 211"/>
    <w:basedOn w:val="Tabelanormal"/>
    <w:uiPriority w:val="42"/>
    <w:rsid w:val="00D76F5A"/>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Standard">
    <w:name w:val="Standard"/>
    <w:basedOn w:val="Normal"/>
    <w:rsid w:val="009D4B0C"/>
    <w:pPr>
      <w:spacing w:before="240" w:after="0" w:line="240" w:lineRule="auto"/>
      <w:jc w:val="both"/>
    </w:pPr>
    <w:rPr>
      <w:rFonts w:ascii="Times" w:eastAsia="Times New Roman" w:hAnsi="Times" w:cs="Times New Roman"/>
      <w:sz w:val="24"/>
      <w:szCs w:val="20"/>
      <w:lang w:eastAsia="fr-FR"/>
    </w:rPr>
  </w:style>
  <w:style w:type="table" w:customStyle="1" w:styleId="TableauGrille1Clair1">
    <w:name w:val="Tableau Grille 1 Clair1"/>
    <w:basedOn w:val="Tabelanormal"/>
    <w:uiPriority w:val="46"/>
    <w:rsid w:val="00207506"/>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TableauGrille4-Accentuation31">
    <w:name w:val="Tableau Grille 4 - Accentuation 31"/>
    <w:basedOn w:val="Tabelanormal"/>
    <w:uiPriority w:val="49"/>
    <w:rsid w:val="001436E7"/>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TableauGrille7Couleur2">
    <w:name w:val="Tableau Grille 7 Couleur2"/>
    <w:basedOn w:val="Tabelanormal"/>
    <w:uiPriority w:val="52"/>
    <w:rsid w:val="001436E7"/>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paragraph" w:customStyle="1" w:styleId="Ttulo1">
    <w:name w:val="Título1"/>
    <w:basedOn w:val="Normal"/>
    <w:rsid w:val="001364C2"/>
    <w:pPr>
      <w:spacing w:before="240" w:after="0" w:line="360" w:lineRule="atLeast"/>
      <w:jc w:val="center"/>
    </w:pPr>
    <w:rPr>
      <w:rFonts w:ascii="Arial" w:eastAsia="Times New Roman" w:hAnsi="Arial" w:cs="Times New Roman"/>
      <w:b/>
      <w:sz w:val="26"/>
      <w:szCs w:val="26"/>
    </w:rPr>
  </w:style>
  <w:style w:type="paragraph" w:customStyle="1" w:styleId="StyleListe-">
    <w:name w:val="Style Liste-"/>
    <w:basedOn w:val="Normal"/>
    <w:link w:val="StyleListe-Car"/>
    <w:qFormat/>
    <w:rsid w:val="008756B2"/>
    <w:pPr>
      <w:numPr>
        <w:numId w:val="40"/>
      </w:numPr>
      <w:tabs>
        <w:tab w:val="left" w:pos="284"/>
      </w:tabs>
      <w:spacing w:after="80" w:line="240" w:lineRule="auto"/>
      <w:contextualSpacing/>
      <w:jc w:val="both"/>
    </w:pPr>
    <w:rPr>
      <w:rFonts w:ascii="Arial" w:eastAsia="Times New Roman" w:hAnsi="Arial" w:cs="Arial"/>
      <w:spacing w:val="-3"/>
      <w:sz w:val="20"/>
      <w:szCs w:val="20"/>
      <w:lang w:val="fr-BE"/>
    </w:rPr>
  </w:style>
  <w:style w:type="character" w:customStyle="1" w:styleId="StyleListe-Car">
    <w:name w:val="Style Liste- Car"/>
    <w:basedOn w:val="Tipodeletrapredefinidodopargrafo"/>
    <w:link w:val="StyleListe-"/>
    <w:rsid w:val="008756B2"/>
    <w:rPr>
      <w:rFonts w:ascii="Arial" w:eastAsia="Times New Roman" w:hAnsi="Arial" w:cs="Arial"/>
      <w:spacing w:val="-3"/>
      <w:sz w:val="20"/>
      <w:szCs w:val="20"/>
      <w:lang w:val="fr-BE"/>
    </w:rPr>
  </w:style>
  <w:style w:type="paragraph" w:customStyle="1" w:styleId="TableParagraph">
    <w:name w:val="Table Paragraph"/>
    <w:basedOn w:val="Normal"/>
    <w:uiPriority w:val="1"/>
    <w:qFormat/>
    <w:rsid w:val="00401F17"/>
    <w:pPr>
      <w:widowControl w:val="0"/>
      <w:autoSpaceDE w:val="0"/>
      <w:autoSpaceDN w:val="0"/>
      <w:spacing w:before="6" w:after="0" w:line="112" w:lineRule="exact"/>
      <w:jc w:val="right"/>
    </w:pPr>
    <w:rPr>
      <w:rFonts w:ascii="Arial" w:eastAsia="Arial" w:hAnsi="Arial" w:cs="Arial"/>
      <w:lang w:eastAsia="fr-FR" w:bidi="fr-FR"/>
    </w:rPr>
  </w:style>
  <w:style w:type="paragraph" w:styleId="Textodenotaderodap">
    <w:name w:val="footnote text"/>
    <w:aliases w:val="H Note,single space,footnote text,fn,FOOTNOTES,ft,ALTS FOOTNOTE,Footnote Text Char2,Footnote Text Char1 Char1,Footnote Text Char Char Char1,Footnote Text Char1 Char Char,Footnote Text Char Char Char Char"/>
    <w:basedOn w:val="Normal"/>
    <w:link w:val="TextodenotaderodapCarter"/>
    <w:unhideWhenUsed/>
    <w:qFormat/>
    <w:rsid w:val="00401F17"/>
    <w:pPr>
      <w:spacing w:after="0" w:line="240" w:lineRule="auto"/>
    </w:pPr>
    <w:rPr>
      <w:rFonts w:ascii="Arial" w:eastAsia="Times New Roman" w:hAnsi="Arial" w:cs="Times New Roman"/>
      <w:sz w:val="20"/>
      <w:szCs w:val="20"/>
      <w:lang w:val="pt-PT"/>
    </w:rPr>
  </w:style>
  <w:style w:type="character" w:customStyle="1" w:styleId="TextodenotaderodapCarter">
    <w:name w:val="Texto de nota de rodapé Caráter"/>
    <w:aliases w:val="H Note Caráter,single space Caráter,footnote text Caráter,fn Caráter,FOOTNOTES Caráter,ft Caráter,ALTS FOOTNOTE Caráter,Footnote Text Char2 Caráter,Footnote Text Char1 Char1 Caráter,Footnote Text Char Char Char1 Caráter"/>
    <w:basedOn w:val="Tipodeletrapredefinidodopargrafo"/>
    <w:link w:val="Textodenotaderodap"/>
    <w:rsid w:val="00401F17"/>
    <w:rPr>
      <w:rFonts w:ascii="Arial" w:eastAsia="Times New Roman" w:hAnsi="Arial" w:cs="Times New Roman"/>
      <w:sz w:val="20"/>
      <w:szCs w:val="20"/>
      <w:lang w:val="pt-PT"/>
    </w:rPr>
  </w:style>
  <w:style w:type="character" w:customStyle="1" w:styleId="fontstyle01">
    <w:name w:val="fontstyle01"/>
    <w:basedOn w:val="Tipodeletrapredefinidodopargrafo"/>
    <w:rsid w:val="007275E9"/>
    <w:rPr>
      <w:rFonts w:ascii="Helvetica-Bold" w:hAnsi="Helvetica-Bold" w:hint="default"/>
      <w:b/>
      <w:bCs/>
      <w:i w:val="0"/>
      <w:iCs w:val="0"/>
      <w:color w:val="000000"/>
      <w:sz w:val="22"/>
      <w:szCs w:val="22"/>
    </w:rPr>
  </w:style>
  <w:style w:type="character" w:customStyle="1" w:styleId="fontstyle21">
    <w:name w:val="fontstyle21"/>
    <w:basedOn w:val="Tipodeletrapredefinidodopargrafo"/>
    <w:rsid w:val="007275E9"/>
    <w:rPr>
      <w:rFonts w:ascii="Helvetica" w:hAnsi="Helvetica" w:hint="default"/>
      <w:b w:val="0"/>
      <w:bCs w:val="0"/>
      <w:i w:val="0"/>
      <w:iCs w:val="0"/>
      <w:color w:val="000000"/>
      <w:sz w:val="22"/>
      <w:szCs w:val="22"/>
    </w:rPr>
  </w:style>
  <w:style w:type="character" w:customStyle="1" w:styleId="fontstyle31">
    <w:name w:val="fontstyle31"/>
    <w:basedOn w:val="Tipodeletrapredefinidodopargrafo"/>
    <w:rsid w:val="007275E9"/>
    <w:rPr>
      <w:rFonts w:ascii="Symbol" w:hAnsi="Symbol" w:hint="default"/>
      <w:b w:val="0"/>
      <w:bCs w:val="0"/>
      <w:i w:val="0"/>
      <w:iCs w:val="0"/>
      <w:color w:val="000000"/>
      <w:sz w:val="22"/>
      <w:szCs w:val="22"/>
    </w:rPr>
  </w:style>
  <w:style w:type="paragraph" w:customStyle="1" w:styleId="rtetext-column">
    <w:name w:val="rtetext-column"/>
    <w:basedOn w:val="Normal"/>
    <w:rsid w:val="007F3DC3"/>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BodyTextIndentChar">
    <w:name w:val="Body Text Indent Char"/>
    <w:uiPriority w:val="99"/>
    <w:semiHidden/>
    <w:rsid w:val="007F3DC3"/>
    <w:rPr>
      <w:rFonts w:ascii="Times New Roman" w:hAnsi="Times New Roman"/>
      <w:sz w:val="24"/>
      <w:szCs w:val="24"/>
    </w:rPr>
  </w:style>
  <w:style w:type="character" w:customStyle="1" w:styleId="BodyTextChar">
    <w:name w:val="Body Text Char"/>
    <w:uiPriority w:val="99"/>
    <w:semiHidden/>
    <w:rsid w:val="007F3DC3"/>
    <w:rPr>
      <w:rFonts w:ascii="Times New Roman" w:hAnsi="Times New Roman"/>
      <w:sz w:val="24"/>
      <w:szCs w:val="24"/>
    </w:rPr>
  </w:style>
  <w:style w:type="character" w:customStyle="1" w:styleId="FootnoteTextChar">
    <w:name w:val="Footnote Text Char"/>
    <w:uiPriority w:val="99"/>
    <w:semiHidden/>
    <w:rsid w:val="007F3DC3"/>
    <w:rPr>
      <w:rFonts w:ascii="Times New Roman" w:hAnsi="Times New Roman"/>
      <w:sz w:val="20"/>
      <w:szCs w:val="20"/>
    </w:rPr>
  </w:style>
  <w:style w:type="character" w:customStyle="1" w:styleId="HeaderChar">
    <w:name w:val="Header Char"/>
    <w:uiPriority w:val="99"/>
    <w:semiHidden/>
    <w:rsid w:val="007F3DC3"/>
    <w:rPr>
      <w:rFonts w:ascii="Times New Roman" w:hAnsi="Times New Roman"/>
      <w:sz w:val="24"/>
      <w:szCs w:val="24"/>
    </w:rPr>
  </w:style>
  <w:style w:type="character" w:customStyle="1" w:styleId="FooterChar">
    <w:name w:val="Footer Char"/>
    <w:uiPriority w:val="99"/>
    <w:semiHidden/>
    <w:rsid w:val="007F3DC3"/>
    <w:rPr>
      <w:rFonts w:ascii="Times New Roman" w:hAnsi="Times New Roman"/>
      <w:sz w:val="24"/>
      <w:szCs w:val="24"/>
    </w:rPr>
  </w:style>
  <w:style w:type="character" w:styleId="Nmerodepgina">
    <w:name w:val="page number"/>
    <w:basedOn w:val="Tipodeletrapredefinidodopargrafo"/>
    <w:uiPriority w:val="99"/>
    <w:rsid w:val="007F3DC3"/>
  </w:style>
  <w:style w:type="character" w:customStyle="1" w:styleId="shorttext">
    <w:name w:val="short_text"/>
    <w:basedOn w:val="Tipodeletrapredefinidodopargrafo"/>
    <w:rsid w:val="007F3DC3"/>
  </w:style>
  <w:style w:type="paragraph" w:customStyle="1" w:styleId="Listecouleur-Accent12">
    <w:name w:val="Liste couleur - Accent 12"/>
    <w:aliases w:val="Akapit z listą BS"/>
    <w:basedOn w:val="Normal"/>
    <w:uiPriority w:val="34"/>
    <w:qFormat/>
    <w:rsid w:val="007F3DC3"/>
    <w:pPr>
      <w:spacing w:after="200" w:line="276" w:lineRule="auto"/>
      <w:ind w:left="720"/>
      <w:contextualSpacing/>
    </w:pPr>
    <w:rPr>
      <w:rFonts w:ascii="Calibri" w:eastAsia="Calibri" w:hAnsi="Calibri" w:cs="Times New Roman"/>
      <w:lang w:val="en-US"/>
    </w:rPr>
  </w:style>
  <w:style w:type="character" w:customStyle="1" w:styleId="DefaultCar">
    <w:name w:val="Default Car"/>
    <w:link w:val="Default"/>
    <w:rsid w:val="007F3DC3"/>
    <w:rPr>
      <w:rFonts w:ascii="Arial" w:eastAsia="Calibri" w:hAnsi="Arial" w:cs="Arial"/>
      <w:color w:val="000000"/>
      <w:sz w:val="24"/>
      <w:szCs w:val="24"/>
      <w:lang w:eastAsia="fr-FR"/>
    </w:rPr>
  </w:style>
  <w:style w:type="table" w:customStyle="1" w:styleId="TableGrid">
    <w:name w:val="TableGrid"/>
    <w:rsid w:val="007F3DC3"/>
    <w:pPr>
      <w:spacing w:after="0" w:line="240" w:lineRule="auto"/>
    </w:pPr>
    <w:rPr>
      <w:rFonts w:eastAsiaTheme="minorEastAsia"/>
      <w:lang w:eastAsia="fr-FR"/>
    </w:rPr>
    <w:tblPr>
      <w:tblCellMar>
        <w:top w:w="0" w:type="dxa"/>
        <w:left w:w="0" w:type="dxa"/>
        <w:bottom w:w="0" w:type="dxa"/>
        <w:right w:w="0" w:type="dxa"/>
      </w:tblCellMar>
    </w:tblPr>
  </w:style>
  <w:style w:type="paragraph" w:customStyle="1" w:styleId="Alinea">
    <w:name w:val="Alinea"/>
    <w:basedOn w:val="Normal"/>
    <w:rsid w:val="007F3DC3"/>
    <w:pPr>
      <w:tabs>
        <w:tab w:val="right" w:leader="dot" w:pos="7088"/>
      </w:tabs>
      <w:autoSpaceDE w:val="0"/>
      <w:autoSpaceDN w:val="0"/>
      <w:adjustRightInd w:val="0"/>
      <w:spacing w:before="150" w:after="0" w:line="240" w:lineRule="auto"/>
      <w:jc w:val="both"/>
    </w:pPr>
    <w:rPr>
      <w:rFonts w:ascii="Helvetica" w:eastAsia="Times New Roman" w:hAnsi="Helvetica" w:cs="Helvetica"/>
      <w:sz w:val="20"/>
      <w:szCs w:val="20"/>
      <w:lang w:eastAsia="fr-FR"/>
    </w:rPr>
  </w:style>
  <w:style w:type="paragraph" w:customStyle="1" w:styleId="Tartq">
    <w:name w:val="Tartq"/>
    <w:basedOn w:val="Normal"/>
    <w:rsid w:val="007F3DC3"/>
    <w:pPr>
      <w:autoSpaceDE w:val="0"/>
      <w:autoSpaceDN w:val="0"/>
      <w:adjustRightInd w:val="0"/>
      <w:spacing w:before="470" w:after="50" w:line="240" w:lineRule="auto"/>
      <w:jc w:val="both"/>
    </w:pPr>
    <w:rPr>
      <w:rFonts w:ascii="Helvetica" w:eastAsia="Times New Roman" w:hAnsi="Helvetica" w:cs="Helvetica"/>
      <w:b/>
      <w:bCs/>
      <w:sz w:val="24"/>
      <w:szCs w:val="24"/>
      <w:lang w:eastAsia="fr-FR"/>
    </w:rPr>
  </w:style>
  <w:style w:type="character" w:customStyle="1" w:styleId="Grillemoyenne2Car">
    <w:name w:val="Grille moyenne 2 Car"/>
    <w:link w:val="Grillemoyenne21"/>
    <w:uiPriority w:val="1"/>
    <w:locked/>
    <w:rsid w:val="00764FFF"/>
    <w:rPr>
      <w:rFonts w:ascii="Calibri" w:eastAsia="Times New Roman" w:hAnsi="Calibri" w:cs="Times New Roman"/>
    </w:rPr>
  </w:style>
  <w:style w:type="paragraph" w:customStyle="1" w:styleId="Grillemoyenne21">
    <w:name w:val="Grille moyenne 21"/>
    <w:basedOn w:val="Normal"/>
    <w:link w:val="Grillemoyenne2Car"/>
    <w:uiPriority w:val="1"/>
    <w:qFormat/>
    <w:rsid w:val="00764FFF"/>
    <w:pPr>
      <w:spacing w:after="0" w:line="240" w:lineRule="auto"/>
    </w:pPr>
    <w:rPr>
      <w:rFonts w:ascii="Calibri" w:eastAsia="Times New Roman" w:hAnsi="Calibri" w:cs="Times New Roman"/>
    </w:rPr>
  </w:style>
  <w:style w:type="paragraph" w:customStyle="1" w:styleId="GridTable31">
    <w:name w:val="Grid Table 31"/>
    <w:basedOn w:val="Cabealho1"/>
    <w:next w:val="Normal"/>
    <w:uiPriority w:val="39"/>
    <w:unhideWhenUsed/>
    <w:qFormat/>
    <w:rsid w:val="00764FFF"/>
    <w:pPr>
      <w:outlineLvl w:val="9"/>
    </w:pPr>
    <w:rPr>
      <w:rFonts w:eastAsia="Calibri"/>
    </w:rPr>
  </w:style>
  <w:style w:type="table" w:styleId="ListaEscura-Cor3">
    <w:name w:val="Dark List Accent 3"/>
    <w:basedOn w:val="Tabelanormal"/>
    <w:uiPriority w:val="61"/>
    <w:unhideWhenUsed/>
    <w:rsid w:val="00764FFF"/>
    <w:pPr>
      <w:spacing w:after="0" w:line="240" w:lineRule="auto"/>
    </w:pPr>
    <w:rPr>
      <w:rFonts w:ascii="Calibri" w:eastAsia="Calibri" w:hAnsi="Calibri" w:cs="Times New Roman"/>
      <w:sz w:val="20"/>
      <w:szCs w:val="20"/>
      <w:lang w:eastAsia="fr-FR"/>
    </w:rPr>
    <w:tblPr>
      <w:tblStyleRowBandSize w:val="1"/>
      <w:tblStyleColBandSize w:val="1"/>
      <w:tblBorders>
        <w:top w:val="single" w:sz="8" w:space="0" w:color="A5A5A5"/>
        <w:left w:val="single" w:sz="8" w:space="0" w:color="A5A5A5"/>
        <w:bottom w:val="single" w:sz="8" w:space="0" w:color="A5A5A5"/>
        <w:right w:val="single" w:sz="8" w:space="0" w:color="A5A5A5"/>
      </w:tblBorders>
    </w:tblPr>
    <w:tblStylePr w:type="firstRow">
      <w:pPr>
        <w:spacing w:before="0" w:after="0" w:line="240" w:lineRule="auto"/>
      </w:pPr>
      <w:rPr>
        <w:b/>
        <w:bCs/>
        <w:color w:val="FFFFFF"/>
      </w:rPr>
      <w:tblPr/>
      <w:tcPr>
        <w:shd w:val="clear" w:color="auto" w:fill="A5A5A5"/>
      </w:tcPr>
    </w:tblStylePr>
    <w:tblStylePr w:type="lastRow">
      <w:pPr>
        <w:spacing w:before="0" w:after="0"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paragraph" w:customStyle="1" w:styleId="Tramecouleur-Accent11">
    <w:name w:val="Trame couleur - Accent 11"/>
    <w:hidden/>
    <w:uiPriority w:val="99"/>
    <w:semiHidden/>
    <w:rsid w:val="00764FFF"/>
    <w:pPr>
      <w:spacing w:after="0" w:line="240" w:lineRule="auto"/>
    </w:pPr>
    <w:rPr>
      <w:rFonts w:ascii="Calibri" w:eastAsia="Calibri" w:hAnsi="Calibri" w:cs="Times New Roman"/>
    </w:rPr>
  </w:style>
  <w:style w:type="paragraph" w:customStyle="1" w:styleId="Grillecouleur-Accent11">
    <w:name w:val="Grille couleur - Accent 11"/>
    <w:basedOn w:val="Normal"/>
    <w:next w:val="Normal"/>
    <w:link w:val="Grillecouleur-Accent1Car"/>
    <w:uiPriority w:val="29"/>
    <w:qFormat/>
    <w:rsid w:val="00764FFF"/>
    <w:pPr>
      <w:spacing w:after="200" w:line="276" w:lineRule="auto"/>
    </w:pPr>
    <w:rPr>
      <w:rFonts w:ascii="Calibri" w:eastAsia="Times New Roman" w:hAnsi="Calibri" w:cs="Times New Roman"/>
      <w:i/>
      <w:iCs/>
      <w:color w:val="000000"/>
      <w:lang w:eastAsia="fr-FR"/>
    </w:rPr>
  </w:style>
  <w:style w:type="character" w:customStyle="1" w:styleId="Grillecouleur-Accent1Car">
    <w:name w:val="Grille couleur - Accent 1 Car"/>
    <w:link w:val="Grillecouleur-Accent11"/>
    <w:uiPriority w:val="29"/>
    <w:rsid w:val="00764FFF"/>
    <w:rPr>
      <w:rFonts w:ascii="Calibri" w:eastAsia="Times New Roman" w:hAnsi="Calibri" w:cs="Times New Roman"/>
      <w:i/>
      <w:iCs/>
      <w:color w:val="000000"/>
      <w:lang w:eastAsia="fr-FR"/>
    </w:rPr>
  </w:style>
  <w:style w:type="paragraph" w:customStyle="1" w:styleId="Trameclaire-Accent21">
    <w:name w:val="Trame claire - Accent 21"/>
    <w:basedOn w:val="Normal"/>
    <w:next w:val="Normal"/>
    <w:link w:val="Trameclaire-Accent2Car"/>
    <w:uiPriority w:val="30"/>
    <w:qFormat/>
    <w:rsid w:val="00764FFF"/>
    <w:pPr>
      <w:pBdr>
        <w:top w:val="single" w:sz="4" w:space="10" w:color="5B9BD5"/>
        <w:bottom w:val="single" w:sz="4" w:space="10" w:color="5B9BD5"/>
      </w:pBdr>
      <w:spacing w:before="360" w:after="360" w:line="276" w:lineRule="auto"/>
      <w:ind w:left="864" w:right="864"/>
      <w:jc w:val="center"/>
    </w:pPr>
    <w:rPr>
      <w:rFonts w:ascii="Times New Roman" w:eastAsia="Calibri" w:hAnsi="Times New Roman" w:cs="Times New Roman"/>
      <w:i/>
      <w:iCs/>
      <w:color w:val="5B9BD5"/>
      <w:sz w:val="24"/>
    </w:rPr>
  </w:style>
  <w:style w:type="character" w:customStyle="1" w:styleId="Trameclaire-Accent2Car">
    <w:name w:val="Trame claire - Accent 2 Car"/>
    <w:link w:val="Trameclaire-Accent21"/>
    <w:uiPriority w:val="30"/>
    <w:rsid w:val="00764FFF"/>
    <w:rPr>
      <w:rFonts w:ascii="Times New Roman" w:eastAsia="Calibri" w:hAnsi="Times New Roman" w:cs="Times New Roman"/>
      <w:i/>
      <w:iCs/>
      <w:color w:val="5B9BD5"/>
      <w:sz w:val="24"/>
    </w:rPr>
  </w:style>
  <w:style w:type="table" w:styleId="TabeladeGrelha5Escura-Destaque6">
    <w:name w:val="Grid Table 5 Dark Accent 6"/>
    <w:basedOn w:val="Tabelanormal"/>
    <w:uiPriority w:val="50"/>
    <w:rsid w:val="00303D2B"/>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character" w:customStyle="1" w:styleId="Titre7Car">
    <w:name w:val="Titre 7 Car"/>
    <w:basedOn w:val="Tipodeletrapredefinidodopargrafo"/>
    <w:semiHidden/>
    <w:rsid w:val="00074867"/>
    <w:rPr>
      <w:rFonts w:asciiTheme="majorHAnsi" w:eastAsiaTheme="majorEastAsia" w:hAnsiTheme="majorHAnsi" w:cstheme="majorBidi"/>
      <w:i/>
      <w:iCs/>
      <w:color w:val="1F4D78" w:themeColor="accent1" w:themeShade="7F"/>
    </w:rPr>
  </w:style>
  <w:style w:type="character" w:customStyle="1" w:styleId="Titre8Car">
    <w:name w:val="Titre 8 Car"/>
    <w:basedOn w:val="Tipodeletrapredefinidodopargrafo"/>
    <w:rsid w:val="00074867"/>
    <w:rPr>
      <w:rFonts w:asciiTheme="majorHAnsi" w:eastAsiaTheme="majorEastAsia" w:hAnsiTheme="majorHAnsi" w:cstheme="majorBidi"/>
      <w:color w:val="272727" w:themeColor="text1" w:themeTint="D8"/>
      <w:sz w:val="21"/>
      <w:szCs w:val="21"/>
    </w:rPr>
  </w:style>
  <w:style w:type="character" w:customStyle="1" w:styleId="Titre9Car">
    <w:name w:val="Titre 9 Car"/>
    <w:basedOn w:val="Tipodeletrapredefinidodopargrafo"/>
    <w:semiHidden/>
    <w:rsid w:val="00074867"/>
    <w:rPr>
      <w:rFonts w:asciiTheme="majorHAnsi" w:eastAsiaTheme="majorEastAsia" w:hAnsiTheme="majorHAnsi" w:cstheme="majorBidi"/>
      <w:i/>
      <w:iCs/>
      <w:color w:val="272727" w:themeColor="text1" w:themeTint="D8"/>
      <w:sz w:val="21"/>
      <w:szCs w:val="21"/>
    </w:rPr>
  </w:style>
  <w:style w:type="character" w:customStyle="1" w:styleId="ParagraphedelisteChar">
    <w:name w:val="Paragraphe de liste Char"/>
    <w:rsid w:val="00074867"/>
    <w:rPr>
      <w:rFonts w:ascii="Times New Roman" w:eastAsia="Times New Roman" w:hAnsi="Times New Roman" w:cs="Times New Roman"/>
      <w:sz w:val="24"/>
      <w:szCs w:val="24"/>
      <w:lang w:val="en-US"/>
    </w:rPr>
  </w:style>
  <w:style w:type="character" w:customStyle="1" w:styleId="Titre4Car2">
    <w:name w:val="Titre 4 Car2"/>
    <w:aliases w:val="Sub-Clause Sub-paragraph Car1, Sub-Clause Sub-paragraph Car2"/>
    <w:basedOn w:val="Tipodeletrapredefinidodopargrafo"/>
    <w:uiPriority w:val="9"/>
    <w:rsid w:val="00074867"/>
    <w:rPr>
      <w:rFonts w:ascii="Times New Roman" w:eastAsia="Times New Roman" w:hAnsi="Times New Roman" w:cs="Times New Roman"/>
      <w:b/>
      <w:bCs/>
      <w:sz w:val="20"/>
      <w:szCs w:val="24"/>
      <w:lang w:val="en-US"/>
    </w:rPr>
  </w:style>
  <w:style w:type="character" w:customStyle="1" w:styleId="Cabealho7Carter">
    <w:name w:val="Cabeçalho 7 Caráter"/>
    <w:basedOn w:val="Tipodeletrapredefinidodopargrafo"/>
    <w:link w:val="Cabealho7"/>
    <w:rsid w:val="00074867"/>
    <w:rPr>
      <w:rFonts w:ascii="Times New Roman" w:eastAsia="Times New Roman" w:hAnsi="Times New Roman" w:cs="Times New Roman"/>
      <w:b/>
      <w:bCs/>
      <w:sz w:val="20"/>
      <w:szCs w:val="24"/>
      <w:lang w:val="en-US"/>
    </w:rPr>
  </w:style>
  <w:style w:type="character" w:customStyle="1" w:styleId="Cabealho8Carter">
    <w:name w:val="Cabeçalho 8 Caráter"/>
    <w:basedOn w:val="Tipodeletrapredefinidodopargrafo"/>
    <w:link w:val="Cabealho8"/>
    <w:rsid w:val="00074867"/>
    <w:rPr>
      <w:rFonts w:ascii="Times New Roman" w:eastAsia="Times New Roman" w:hAnsi="Times New Roman" w:cs="Times New Roman"/>
      <w:b/>
      <w:bCs/>
      <w:sz w:val="20"/>
      <w:szCs w:val="24"/>
      <w:lang w:val="en-US"/>
    </w:rPr>
  </w:style>
  <w:style w:type="character" w:customStyle="1" w:styleId="Cabealho9Carter">
    <w:name w:val="Cabeçalho 9 Caráter"/>
    <w:basedOn w:val="Tipodeletrapredefinidodopargrafo"/>
    <w:link w:val="Cabealho9"/>
    <w:rsid w:val="00074867"/>
    <w:rPr>
      <w:rFonts w:ascii="Times New Roman" w:eastAsia="Times New Roman" w:hAnsi="Times New Roman" w:cs="Times New Roman"/>
      <w:b/>
      <w:sz w:val="28"/>
      <w:szCs w:val="24"/>
      <w:lang w:val="en-GB" w:eastAsia="it-IT"/>
    </w:rPr>
  </w:style>
  <w:style w:type="paragraph" w:customStyle="1" w:styleId="Clauses">
    <w:name w:val="Clauses"/>
    <w:basedOn w:val="Normal"/>
    <w:rsid w:val="00074867"/>
    <w:pPr>
      <w:keepLines/>
      <w:numPr>
        <w:numId w:val="152"/>
      </w:numPr>
      <w:spacing w:after="120" w:line="240" w:lineRule="auto"/>
      <w:outlineLvl w:val="0"/>
    </w:pPr>
    <w:rPr>
      <w:rFonts w:ascii="Times New Roman Bold" w:eastAsia="Times New Roman" w:hAnsi="Times New Roman Bold" w:cs="Times New Roman"/>
      <w:b/>
      <w:sz w:val="24"/>
      <w:szCs w:val="20"/>
      <w:lang w:val="es-ES_tradnl" w:eastAsia="en-GB"/>
    </w:rPr>
  </w:style>
  <w:style w:type="paragraph" w:customStyle="1" w:styleId="Normala">
    <w:name w:val="Normal(a)"/>
    <w:basedOn w:val="Normal"/>
    <w:rsid w:val="00074867"/>
    <w:pPr>
      <w:keepLines/>
      <w:tabs>
        <w:tab w:val="left" w:pos="1418"/>
        <w:tab w:val="num" w:pos="1712"/>
      </w:tabs>
      <w:spacing w:after="120" w:line="240" w:lineRule="auto"/>
      <w:ind w:left="1418" w:hanging="426"/>
      <w:jc w:val="both"/>
    </w:pPr>
    <w:rPr>
      <w:rFonts w:ascii="Times New Roman" w:eastAsia="Times New Roman" w:hAnsi="Times New Roman" w:cs="Times New Roman"/>
      <w:sz w:val="24"/>
      <w:szCs w:val="20"/>
      <w:lang w:val="en-GB" w:eastAsia="en-GB"/>
    </w:rPr>
  </w:style>
  <w:style w:type="paragraph" w:customStyle="1" w:styleId="Normali">
    <w:name w:val="Normal(i)"/>
    <w:basedOn w:val="Normala"/>
    <w:rsid w:val="00074867"/>
    <w:pPr>
      <w:numPr>
        <w:ilvl w:val="3"/>
      </w:numPr>
      <w:tabs>
        <w:tab w:val="clear" w:pos="1418"/>
        <w:tab w:val="num" w:pos="1712"/>
        <w:tab w:val="left" w:pos="1843"/>
      </w:tabs>
      <w:ind w:left="1418" w:hanging="426"/>
    </w:pPr>
  </w:style>
  <w:style w:type="paragraph" w:customStyle="1" w:styleId="Normal10">
    <w:name w:val="Normal(1)"/>
    <w:basedOn w:val="Normal"/>
    <w:rsid w:val="00074867"/>
    <w:pPr>
      <w:tabs>
        <w:tab w:val="num" w:pos="709"/>
      </w:tabs>
      <w:spacing w:after="120" w:line="240" w:lineRule="auto"/>
      <w:ind w:left="709" w:hanging="709"/>
      <w:jc w:val="both"/>
    </w:pPr>
    <w:rPr>
      <w:rFonts w:ascii="Times New Roman" w:eastAsia="Times New Roman" w:hAnsi="Times New Roman" w:cs="Times New Roman"/>
      <w:sz w:val="24"/>
      <w:szCs w:val="20"/>
      <w:lang w:val="en-GB" w:eastAsia="en-GB"/>
    </w:rPr>
  </w:style>
  <w:style w:type="paragraph" w:styleId="Inciodecarta">
    <w:name w:val="Salutation"/>
    <w:basedOn w:val="Normal"/>
    <w:next w:val="Normal"/>
    <w:link w:val="InciodecartaCarter"/>
    <w:semiHidden/>
    <w:rsid w:val="00074867"/>
    <w:pPr>
      <w:spacing w:after="0" w:line="240" w:lineRule="auto"/>
    </w:pPr>
    <w:rPr>
      <w:rFonts w:ascii="Times New Roman" w:eastAsia="Times New Roman" w:hAnsi="Times New Roman" w:cs="Times New Roman"/>
      <w:sz w:val="24"/>
      <w:szCs w:val="24"/>
      <w:lang w:val="en-US"/>
    </w:rPr>
  </w:style>
  <w:style w:type="character" w:customStyle="1" w:styleId="SalutationsCar">
    <w:name w:val="Salutations Car"/>
    <w:basedOn w:val="Tipodeletrapredefinidodopargrafo"/>
    <w:semiHidden/>
    <w:rsid w:val="00074867"/>
  </w:style>
  <w:style w:type="character" w:customStyle="1" w:styleId="InciodecartaCarter">
    <w:name w:val="Início de carta Caráter"/>
    <w:basedOn w:val="Tipodeletrapredefinidodopargrafo"/>
    <w:link w:val="Inciodecarta"/>
    <w:semiHidden/>
    <w:rsid w:val="00074867"/>
    <w:rPr>
      <w:rFonts w:ascii="Times New Roman" w:eastAsia="Times New Roman" w:hAnsi="Times New Roman" w:cs="Times New Roman"/>
      <w:sz w:val="24"/>
      <w:szCs w:val="24"/>
      <w:lang w:val="en-US"/>
    </w:rPr>
  </w:style>
  <w:style w:type="paragraph" w:styleId="Listadecont">
    <w:name w:val="List Continue"/>
    <w:basedOn w:val="Normal"/>
    <w:semiHidden/>
    <w:rsid w:val="00074867"/>
    <w:pPr>
      <w:spacing w:after="120" w:line="240" w:lineRule="auto"/>
      <w:ind w:left="283"/>
    </w:pPr>
    <w:rPr>
      <w:rFonts w:ascii="Times New Roman" w:eastAsia="Times New Roman" w:hAnsi="Times New Roman" w:cs="Times New Roman"/>
      <w:sz w:val="24"/>
      <w:szCs w:val="24"/>
      <w:lang w:val="en-US"/>
    </w:rPr>
  </w:style>
  <w:style w:type="character" w:customStyle="1" w:styleId="NotedebasdepageCar1">
    <w:name w:val="Note de bas de page Car1"/>
    <w:aliases w:val="single space Car,footnote text Car,fn Car,FOOTNOTES Car,ft Car,ALTS FOOTNOTE Car,Footnote Text Char2 Car,Footnote Text Char1 Char1 Car,Footnote Text Char Char Char1 Car,Footnote Text Char1 Char Char Car,Ch Car"/>
    <w:basedOn w:val="Tipodeletrapredefinidodopargrafo"/>
    <w:rsid w:val="00074867"/>
    <w:rPr>
      <w:rFonts w:ascii="Times New Roman" w:eastAsia="Times New Roman" w:hAnsi="Times New Roman" w:cs="Times New Roman"/>
      <w:sz w:val="20"/>
      <w:szCs w:val="20"/>
      <w:lang w:val="en-US"/>
    </w:rPr>
  </w:style>
  <w:style w:type="paragraph" w:styleId="Avanodecorpodetexto2">
    <w:name w:val="Body Text Indent 2"/>
    <w:basedOn w:val="Normal"/>
    <w:link w:val="Avanodecorpodetexto2Carter"/>
    <w:rsid w:val="00074867"/>
    <w:pPr>
      <w:spacing w:after="0" w:line="240" w:lineRule="auto"/>
      <w:ind w:left="720" w:hanging="720"/>
      <w:jc w:val="both"/>
    </w:pPr>
    <w:rPr>
      <w:rFonts w:ascii="Times New Roman" w:eastAsia="Times New Roman" w:hAnsi="Times New Roman" w:cs="Times New Roman"/>
      <w:sz w:val="24"/>
      <w:szCs w:val="24"/>
      <w:lang w:val="en-US"/>
    </w:rPr>
  </w:style>
  <w:style w:type="character" w:customStyle="1" w:styleId="Retraitcorpsdetexte2Car">
    <w:name w:val="Retrait corps de texte 2 Car"/>
    <w:basedOn w:val="Tipodeletrapredefinidodopargrafo"/>
    <w:rsid w:val="00074867"/>
  </w:style>
  <w:style w:type="character" w:customStyle="1" w:styleId="Avanodecorpodetexto2Carter">
    <w:name w:val="Avanço de corpo de texto 2 Caráter"/>
    <w:basedOn w:val="Tipodeletrapredefinidodopargrafo"/>
    <w:link w:val="Avanodecorpodetexto2"/>
    <w:rsid w:val="00074867"/>
    <w:rPr>
      <w:rFonts w:ascii="Times New Roman" w:eastAsia="Times New Roman" w:hAnsi="Times New Roman" w:cs="Times New Roman"/>
      <w:sz w:val="24"/>
      <w:szCs w:val="24"/>
      <w:lang w:val="en-US"/>
    </w:rPr>
  </w:style>
  <w:style w:type="paragraph" w:styleId="Avanodecorpodetexto3">
    <w:name w:val="Body Text Indent 3"/>
    <w:basedOn w:val="Normal"/>
    <w:link w:val="Avanodecorpodetexto3Carter"/>
    <w:semiHidden/>
    <w:rsid w:val="00074867"/>
    <w:pPr>
      <w:spacing w:after="0" w:line="240" w:lineRule="auto"/>
      <w:ind w:left="1854" w:hanging="414"/>
      <w:jc w:val="both"/>
    </w:pPr>
    <w:rPr>
      <w:rFonts w:ascii="Times New Roman" w:eastAsia="Times New Roman" w:hAnsi="Times New Roman" w:cs="Times New Roman"/>
      <w:sz w:val="24"/>
      <w:szCs w:val="24"/>
      <w:lang w:val="en-US"/>
    </w:rPr>
  </w:style>
  <w:style w:type="character" w:customStyle="1" w:styleId="Retraitcorpsdetexte3Car">
    <w:name w:val="Retrait corps de texte 3 Car"/>
    <w:basedOn w:val="Tipodeletrapredefinidodopargrafo"/>
    <w:semiHidden/>
    <w:rsid w:val="00074867"/>
    <w:rPr>
      <w:sz w:val="16"/>
      <w:szCs w:val="16"/>
    </w:rPr>
  </w:style>
  <w:style w:type="character" w:customStyle="1" w:styleId="Avanodecorpodetexto3Carter">
    <w:name w:val="Avanço de corpo de texto 3 Caráter"/>
    <w:basedOn w:val="Tipodeletrapredefinidodopargrafo"/>
    <w:link w:val="Avanodecorpodetexto3"/>
    <w:semiHidden/>
    <w:rsid w:val="00074867"/>
    <w:rPr>
      <w:rFonts w:ascii="Times New Roman" w:eastAsia="Times New Roman" w:hAnsi="Times New Roman" w:cs="Times New Roman"/>
      <w:sz w:val="24"/>
      <w:szCs w:val="24"/>
      <w:lang w:val="en-US"/>
    </w:rPr>
  </w:style>
  <w:style w:type="paragraph" w:styleId="Textodebloco">
    <w:name w:val="Block Text"/>
    <w:basedOn w:val="Normal"/>
    <w:rsid w:val="00074867"/>
    <w:pPr>
      <w:tabs>
        <w:tab w:val="left" w:pos="702"/>
        <w:tab w:val="left" w:pos="1494"/>
      </w:tabs>
      <w:spacing w:after="0" w:line="240" w:lineRule="auto"/>
      <w:ind w:left="702" w:right="-72" w:hanging="702"/>
      <w:jc w:val="both"/>
    </w:pPr>
    <w:rPr>
      <w:rFonts w:ascii="Times New Roman" w:eastAsia="Times New Roman" w:hAnsi="Times New Roman" w:cs="Times New Roman"/>
      <w:sz w:val="24"/>
      <w:szCs w:val="24"/>
      <w:lang w:val="en-GB" w:eastAsia="it-IT"/>
    </w:rPr>
  </w:style>
  <w:style w:type="paragraph" w:styleId="Corpodetexto3">
    <w:name w:val="Body Text 3"/>
    <w:basedOn w:val="Normal"/>
    <w:link w:val="Corpodetexto3Carter"/>
    <w:semiHidden/>
    <w:rsid w:val="00074867"/>
    <w:pPr>
      <w:tabs>
        <w:tab w:val="left" w:pos="405"/>
      </w:tabs>
      <w:spacing w:after="0" w:line="240" w:lineRule="auto"/>
    </w:pPr>
    <w:rPr>
      <w:rFonts w:ascii="Arial" w:eastAsia="Times New Roman" w:hAnsi="Arial" w:cs="Times New Roman"/>
      <w:sz w:val="16"/>
      <w:szCs w:val="24"/>
      <w:lang w:val="en-US"/>
    </w:rPr>
  </w:style>
  <w:style w:type="character" w:customStyle="1" w:styleId="Corpsdetexte3Car">
    <w:name w:val="Corps de texte 3 Car"/>
    <w:basedOn w:val="Tipodeletrapredefinidodopargrafo"/>
    <w:semiHidden/>
    <w:rsid w:val="00074867"/>
    <w:rPr>
      <w:sz w:val="16"/>
      <w:szCs w:val="16"/>
    </w:rPr>
  </w:style>
  <w:style w:type="character" w:customStyle="1" w:styleId="Corpodetexto3Carter">
    <w:name w:val="Corpo de texto 3 Caráter"/>
    <w:basedOn w:val="Tipodeletrapredefinidodopargrafo"/>
    <w:link w:val="Corpodetexto3"/>
    <w:semiHidden/>
    <w:rsid w:val="00074867"/>
    <w:rPr>
      <w:rFonts w:ascii="Arial" w:eastAsia="Times New Roman" w:hAnsi="Arial" w:cs="Times New Roman"/>
      <w:sz w:val="16"/>
      <w:szCs w:val="24"/>
      <w:lang w:val="en-US"/>
    </w:rPr>
  </w:style>
  <w:style w:type="paragraph" w:customStyle="1" w:styleId="xl26">
    <w:name w:val="xl26"/>
    <w:basedOn w:val="Normal"/>
    <w:rsid w:val="00074867"/>
    <w:pPr>
      <w:spacing w:before="100" w:beforeAutospacing="1" w:after="100" w:afterAutospacing="1" w:line="240" w:lineRule="auto"/>
    </w:pPr>
    <w:rPr>
      <w:rFonts w:ascii="Times New Roman" w:eastAsia="Times New Roman" w:hAnsi="Times New Roman" w:cs="Times New Roman"/>
      <w:b/>
      <w:bCs/>
      <w:sz w:val="24"/>
      <w:szCs w:val="24"/>
      <w:lang w:val="it-IT" w:eastAsia="it-IT"/>
    </w:rPr>
  </w:style>
  <w:style w:type="paragraph" w:customStyle="1" w:styleId="xl143">
    <w:name w:val="xl143"/>
    <w:basedOn w:val="Normal"/>
    <w:rsid w:val="00074867"/>
    <w:pPr>
      <w:pBdr>
        <w:left w:val="single" w:sz="4" w:space="0" w:color="auto"/>
        <w:right w:val="single" w:sz="4" w:space="0" w:color="000000"/>
      </w:pBdr>
      <w:spacing w:before="100" w:beforeAutospacing="1" w:after="100" w:afterAutospacing="1" w:line="240" w:lineRule="auto"/>
    </w:pPr>
    <w:rPr>
      <w:rFonts w:ascii="Times New Roman" w:eastAsia="Times New Roman" w:hAnsi="Times New Roman" w:cs="Times New Roman"/>
      <w:b/>
      <w:bCs/>
      <w:sz w:val="20"/>
      <w:szCs w:val="20"/>
      <w:u w:val="single"/>
      <w:lang w:val="it-IT" w:eastAsia="it-IT"/>
    </w:rPr>
  </w:style>
  <w:style w:type="character" w:customStyle="1" w:styleId="En-tteCar1">
    <w:name w:val="En-tête Car1"/>
    <w:aliases w:val="Kopfzeile Char Char Car1, Char Char Char Car1,En-tête client Car1,heading 3 after h2 Car1,h Car1,ContentsHeader Car1,KPMG Car1"/>
    <w:basedOn w:val="Tipodeletrapredefinidodopargrafo"/>
    <w:rsid w:val="00074867"/>
    <w:rPr>
      <w:rFonts w:ascii="Times New Roman" w:eastAsia="Times New Roman" w:hAnsi="Times New Roman" w:cs="Times New Roman"/>
      <w:sz w:val="20"/>
      <w:szCs w:val="20"/>
      <w:lang w:val="en-US"/>
    </w:rPr>
  </w:style>
  <w:style w:type="character" w:customStyle="1" w:styleId="PieddepageCar1">
    <w:name w:val="Pied de page Car1"/>
    <w:basedOn w:val="Tipodeletrapredefinidodopargrafo"/>
    <w:uiPriority w:val="99"/>
    <w:rsid w:val="00074867"/>
    <w:rPr>
      <w:rFonts w:ascii="Times New Roman" w:eastAsia="Times New Roman" w:hAnsi="Times New Roman" w:cs="Times New Roman"/>
      <w:sz w:val="24"/>
      <w:szCs w:val="20"/>
      <w:lang w:val="en-US"/>
    </w:rPr>
  </w:style>
  <w:style w:type="paragraph" w:customStyle="1" w:styleId="xl41">
    <w:name w:val="xl41"/>
    <w:basedOn w:val="Normal"/>
    <w:rsid w:val="00074867"/>
    <w:pPr>
      <w:spacing w:before="100" w:beforeAutospacing="1" w:after="100" w:afterAutospacing="1" w:line="240" w:lineRule="auto"/>
    </w:pPr>
    <w:rPr>
      <w:rFonts w:ascii="Times New Roman" w:eastAsia="Times New Roman" w:hAnsi="Times New Roman" w:cs="Times New Roman"/>
      <w:sz w:val="20"/>
      <w:szCs w:val="20"/>
      <w:lang w:val="it-IT" w:eastAsia="it-IT"/>
    </w:rPr>
  </w:style>
  <w:style w:type="paragraph" w:customStyle="1" w:styleId="Textedebulles1">
    <w:name w:val="Texte de bulles1"/>
    <w:basedOn w:val="Normal"/>
    <w:semiHidden/>
    <w:rsid w:val="00074867"/>
    <w:pPr>
      <w:spacing w:after="0" w:line="240" w:lineRule="auto"/>
    </w:pPr>
    <w:rPr>
      <w:rFonts w:ascii="Tahoma" w:eastAsia="Times New Roman" w:hAnsi="Tahoma" w:cs="Tahoma"/>
      <w:sz w:val="16"/>
      <w:szCs w:val="16"/>
      <w:lang w:val="en-US"/>
    </w:rPr>
  </w:style>
  <w:style w:type="paragraph" w:customStyle="1" w:styleId="A1-Heading1">
    <w:name w:val="A1-Heading1"/>
    <w:basedOn w:val="Cabealho1"/>
    <w:rsid w:val="00074867"/>
    <w:pPr>
      <w:keepNext w:val="0"/>
      <w:keepLines w:val="0"/>
      <w:numPr>
        <w:numId w:val="0"/>
      </w:numPr>
      <w:spacing w:before="240" w:after="240" w:line="240" w:lineRule="auto"/>
      <w:jc w:val="center"/>
    </w:pPr>
    <w:rPr>
      <w:rFonts w:eastAsia="Times New Roman"/>
      <w:sz w:val="32"/>
      <w:szCs w:val="20"/>
      <w:lang w:val="en-US"/>
    </w:rPr>
  </w:style>
  <w:style w:type="paragraph" w:customStyle="1" w:styleId="A1-Heading2">
    <w:name w:val="A1-Heading2"/>
    <w:basedOn w:val="Cabealho2"/>
    <w:link w:val="A1-Heading2Char"/>
    <w:rsid w:val="00074867"/>
    <w:pPr>
      <w:keepNext w:val="0"/>
      <w:tabs>
        <w:tab w:val="left" w:pos="360"/>
      </w:tabs>
      <w:spacing w:before="0" w:after="0"/>
      <w:ind w:left="720" w:hanging="360"/>
      <w:contextualSpacing/>
      <w:jc w:val="center"/>
    </w:pPr>
    <w:rPr>
      <w:rFonts w:eastAsia="Times New Roman"/>
      <w:bCs/>
      <w:smallCaps/>
      <w:lang w:val="en-GB" w:eastAsia="en-US"/>
    </w:rPr>
  </w:style>
  <w:style w:type="character" w:customStyle="1" w:styleId="A1-Heading2Char">
    <w:name w:val="A1-Heading2 Char"/>
    <w:link w:val="A1-Heading2"/>
    <w:rsid w:val="00074867"/>
    <w:rPr>
      <w:rFonts w:ascii="Times New Roman" w:eastAsia="Times New Roman" w:hAnsi="Times New Roman" w:cs="Times New Roman"/>
      <w:b/>
      <w:bCs/>
      <w:smallCaps/>
      <w:sz w:val="24"/>
      <w:szCs w:val="24"/>
      <w:lang w:val="en-GB"/>
    </w:rPr>
  </w:style>
  <w:style w:type="paragraph" w:customStyle="1" w:styleId="A2-Heading1">
    <w:name w:val="A2-Heading 1"/>
    <w:basedOn w:val="Cabealho1"/>
    <w:rsid w:val="00074867"/>
    <w:pPr>
      <w:keepNext w:val="0"/>
      <w:keepLines w:val="0"/>
      <w:numPr>
        <w:ilvl w:val="12"/>
        <w:numId w:val="0"/>
      </w:numPr>
      <w:spacing w:before="0" w:line="240" w:lineRule="auto"/>
      <w:jc w:val="center"/>
    </w:pPr>
    <w:rPr>
      <w:rFonts w:ascii="Times New Roman Bold" w:eastAsia="Times New Roman" w:hAnsi="Times New Roman Bold"/>
      <w:sz w:val="32"/>
      <w:szCs w:val="24"/>
      <w:lang w:val="en-US"/>
    </w:rPr>
  </w:style>
  <w:style w:type="paragraph" w:customStyle="1" w:styleId="A2-Heading2">
    <w:name w:val="A2-Heading 2"/>
    <w:basedOn w:val="Cabealho2"/>
    <w:rsid w:val="00074867"/>
    <w:pPr>
      <w:keepNext w:val="0"/>
      <w:tabs>
        <w:tab w:val="num" w:pos="360"/>
      </w:tabs>
      <w:spacing w:before="0" w:after="0"/>
      <w:ind w:left="720" w:hanging="720"/>
      <w:contextualSpacing/>
      <w:jc w:val="center"/>
    </w:pPr>
    <w:rPr>
      <w:rFonts w:eastAsia="Times New Roman"/>
      <w:bCs/>
      <w:smallCaps/>
      <w:lang w:val="en-GB" w:eastAsia="en-US"/>
    </w:rPr>
  </w:style>
  <w:style w:type="paragraph" w:customStyle="1" w:styleId="A1-Heading3">
    <w:name w:val="A1-Heading 3"/>
    <w:basedOn w:val="Cabealho3"/>
    <w:rsid w:val="00074867"/>
    <w:pPr>
      <w:keepNext w:val="0"/>
      <w:tabs>
        <w:tab w:val="left" w:pos="540"/>
      </w:tabs>
      <w:spacing w:before="0" w:after="0"/>
      <w:ind w:left="533" w:right="-29" w:hanging="533"/>
      <w:contextualSpacing/>
    </w:pPr>
    <w:rPr>
      <w:rFonts w:eastAsia="Times New Roman"/>
      <w:lang w:val="en-GB" w:eastAsia="en-US"/>
    </w:rPr>
  </w:style>
  <w:style w:type="paragraph" w:customStyle="1" w:styleId="A1-Heading4">
    <w:name w:val="A1-Heading 4"/>
    <w:basedOn w:val="Cabealho4"/>
    <w:rsid w:val="00074867"/>
    <w:pPr>
      <w:keepNext w:val="0"/>
      <w:keepLines w:val="0"/>
      <w:tabs>
        <w:tab w:val="left" w:pos="720"/>
        <w:tab w:val="left" w:pos="1062"/>
        <w:tab w:val="right" w:leader="dot" w:pos="8640"/>
      </w:tabs>
      <w:spacing w:before="0" w:line="240" w:lineRule="auto"/>
      <w:ind w:left="1062" w:hanging="720"/>
    </w:pPr>
    <w:rPr>
      <w:rFonts w:eastAsia="Times New Roman"/>
      <w:bCs/>
      <w:i w:val="0"/>
      <w:iCs w:val="0"/>
      <w:lang w:val="en-US"/>
    </w:rPr>
  </w:style>
  <w:style w:type="paragraph" w:customStyle="1" w:styleId="A2-Heading3">
    <w:name w:val="A2-Heading 3"/>
    <w:basedOn w:val="Cabealho3"/>
    <w:rsid w:val="00074867"/>
    <w:pPr>
      <w:keepNext w:val="0"/>
      <w:tabs>
        <w:tab w:val="left" w:pos="540"/>
      </w:tabs>
      <w:spacing w:before="0" w:after="0"/>
      <w:ind w:left="539" w:right="-34" w:hanging="539"/>
      <w:contextualSpacing/>
    </w:pPr>
    <w:rPr>
      <w:rFonts w:eastAsia="Times New Roman"/>
      <w:lang w:val="en-GB" w:eastAsia="en-US"/>
    </w:rPr>
  </w:style>
  <w:style w:type="paragraph" w:customStyle="1" w:styleId="Objetducommentaire1">
    <w:name w:val="Objet du commentaire1"/>
    <w:basedOn w:val="Textodecomentrio"/>
    <w:next w:val="Textodecomentrio"/>
    <w:semiHidden/>
    <w:rsid w:val="00074867"/>
    <w:pPr>
      <w:keepLines w:val="0"/>
      <w:spacing w:after="0" w:line="240" w:lineRule="auto"/>
      <w:jc w:val="left"/>
    </w:pPr>
    <w:rPr>
      <w:rFonts w:ascii="Times New Roman" w:hAnsi="Times New Roman"/>
      <w:b/>
      <w:bCs/>
      <w:sz w:val="20"/>
      <w:lang w:val="en-US"/>
    </w:rPr>
  </w:style>
  <w:style w:type="character" w:styleId="Refdenotadefim">
    <w:name w:val="endnote reference"/>
    <w:semiHidden/>
    <w:rsid w:val="00074867"/>
    <w:rPr>
      <w:rFonts w:cs="Times New Roman"/>
      <w:vertAlign w:val="superscript"/>
    </w:rPr>
  </w:style>
  <w:style w:type="paragraph" w:customStyle="1" w:styleId="Section3-Heading1">
    <w:name w:val="Section 3 - Heading 1"/>
    <w:basedOn w:val="Normal"/>
    <w:rsid w:val="00074867"/>
    <w:pPr>
      <w:pBdr>
        <w:bottom w:val="single" w:sz="4" w:space="1" w:color="auto"/>
      </w:pBdr>
      <w:spacing w:after="240" w:line="240" w:lineRule="auto"/>
      <w:jc w:val="center"/>
    </w:pPr>
    <w:rPr>
      <w:rFonts w:ascii="Times New Roman Bold" w:eastAsia="Times New Roman" w:hAnsi="Times New Roman Bold" w:cs="Times New Roman"/>
      <w:b/>
      <w:sz w:val="32"/>
      <w:szCs w:val="24"/>
      <w:lang w:val="en-US"/>
    </w:rPr>
  </w:style>
  <w:style w:type="paragraph" w:customStyle="1" w:styleId="CharChar">
    <w:name w:val="Char Char"/>
    <w:basedOn w:val="Normal"/>
    <w:rsid w:val="00074867"/>
    <w:pPr>
      <w:autoSpaceDE w:val="0"/>
      <w:autoSpaceDN w:val="0"/>
      <w:spacing w:line="240" w:lineRule="exact"/>
    </w:pPr>
    <w:rPr>
      <w:rFonts w:ascii="Arial" w:eastAsia="Times New Roman" w:hAnsi="Arial" w:cs="Arial"/>
      <w:b/>
      <w:sz w:val="20"/>
      <w:szCs w:val="20"/>
      <w:lang w:val="en-US" w:eastAsia="de-DE"/>
    </w:rPr>
  </w:style>
  <w:style w:type="character" w:customStyle="1" w:styleId="GaramondTimesNewRoman">
    <w:name w:val="Стиль Стиль Garamond + Times New Roman"/>
    <w:rsid w:val="00074867"/>
    <w:rPr>
      <w:rFonts w:ascii="Times New Roman" w:hAnsi="Times New Roman" w:cs="Times New Roman"/>
      <w:spacing w:val="0"/>
      <w:kern w:val="1"/>
      <w:position w:val="0"/>
      <w:sz w:val="24"/>
      <w:shd w:val="clear" w:color="auto" w:fill="auto"/>
      <w:vertAlign w:val="baseline"/>
    </w:rPr>
  </w:style>
  <w:style w:type="character" w:customStyle="1" w:styleId="Garamond">
    <w:name w:val="Стиль Garamond"/>
    <w:rsid w:val="00074867"/>
    <w:rPr>
      <w:rFonts w:ascii="Times New Roman" w:hAnsi="Times New Roman" w:cs="Times New Roman"/>
      <w:spacing w:val="2"/>
      <w:kern w:val="1"/>
      <w:position w:val="0"/>
      <w:sz w:val="24"/>
      <w:shd w:val="clear" w:color="auto" w:fill="auto"/>
      <w:vertAlign w:val="baseline"/>
    </w:rPr>
  </w:style>
  <w:style w:type="paragraph" w:customStyle="1" w:styleId="HEADER5">
    <w:name w:val="HEADER 5"/>
    <w:basedOn w:val="Cabealho"/>
    <w:rsid w:val="00074867"/>
    <w:pPr>
      <w:numPr>
        <w:numId w:val="153"/>
      </w:numPr>
      <w:tabs>
        <w:tab w:val="clear" w:pos="4536"/>
        <w:tab w:val="clear" w:pos="9072"/>
      </w:tabs>
      <w:ind w:right="-88"/>
      <w:jc w:val="both"/>
    </w:pPr>
    <w:rPr>
      <w:rFonts w:ascii="Arial" w:eastAsia="Times New Roman" w:hAnsi="Arial" w:cs="Arial"/>
      <w:bCs/>
      <w:szCs w:val="24"/>
      <w:lang w:val="en-GB"/>
    </w:rPr>
  </w:style>
  <w:style w:type="paragraph" w:customStyle="1" w:styleId="Subtitulos">
    <w:name w:val="Subtitulos"/>
    <w:basedOn w:val="Cabealho2"/>
    <w:rsid w:val="00074867"/>
    <w:pPr>
      <w:keepNext w:val="0"/>
      <w:tabs>
        <w:tab w:val="left" w:pos="360"/>
      </w:tabs>
      <w:spacing w:before="120" w:after="120"/>
      <w:contextualSpacing/>
      <w:jc w:val="left"/>
    </w:pPr>
    <w:rPr>
      <w:rFonts w:ascii="Times New Roman Bold" w:eastAsia="Times New Roman" w:hAnsi="Times New Roman Bold"/>
      <w:szCs w:val="20"/>
      <w:lang w:val="es-ES_tradnl" w:eastAsia="en-US"/>
    </w:rPr>
  </w:style>
  <w:style w:type="paragraph" w:customStyle="1" w:styleId="41Autolist4">
    <w:name w:val="4.1 Autolist4"/>
    <w:basedOn w:val="Normal"/>
    <w:next w:val="Normal"/>
    <w:rsid w:val="00074867"/>
    <w:pPr>
      <w:keepNext/>
      <w:spacing w:before="120" w:after="120" w:line="240" w:lineRule="auto"/>
      <w:jc w:val="both"/>
    </w:pPr>
    <w:rPr>
      <w:rFonts w:ascii="Times New Roman" w:eastAsia="Times New Roman" w:hAnsi="Times New Roman" w:cs="Times New Roman"/>
      <w:sz w:val="24"/>
      <w:szCs w:val="20"/>
      <w:lang w:val="en-US"/>
    </w:rPr>
  </w:style>
  <w:style w:type="paragraph" w:customStyle="1" w:styleId="iAutoList">
    <w:name w:val="(i) AutoList"/>
    <w:basedOn w:val="Normal"/>
    <w:next w:val="Normal"/>
    <w:rsid w:val="00074867"/>
    <w:pPr>
      <w:spacing w:before="120" w:after="120" w:line="240" w:lineRule="auto"/>
      <w:ind w:left="720" w:hanging="360"/>
      <w:jc w:val="both"/>
    </w:pPr>
    <w:rPr>
      <w:rFonts w:ascii="Times New Roman" w:eastAsia="Times New Roman" w:hAnsi="Times New Roman" w:cs="Times New Roman"/>
      <w:snapToGrid w:val="0"/>
      <w:sz w:val="24"/>
      <w:szCs w:val="20"/>
      <w:lang w:val="es-ES_tradnl"/>
    </w:rPr>
  </w:style>
  <w:style w:type="character" w:customStyle="1" w:styleId="Corpsdetexte2Car2">
    <w:name w:val="Corps de texte 2 Car2"/>
    <w:basedOn w:val="Tipodeletrapredefinidodopargrafo"/>
    <w:uiPriority w:val="99"/>
    <w:rsid w:val="00074867"/>
    <w:rPr>
      <w:rFonts w:ascii="Times New Roman" w:eastAsia="Times New Roman" w:hAnsi="Times New Roman" w:cs="Times New Roman"/>
      <w:sz w:val="24"/>
      <w:szCs w:val="24"/>
      <w:lang w:val="en-US"/>
    </w:rPr>
  </w:style>
  <w:style w:type="paragraph" w:customStyle="1" w:styleId="Section4-Heading1">
    <w:name w:val="Section 4 - Heading 1"/>
    <w:basedOn w:val="Section3-Heading1"/>
    <w:rsid w:val="00074867"/>
  </w:style>
  <w:style w:type="paragraph" w:customStyle="1" w:styleId="Header1-Clauses">
    <w:name w:val="Header 1 - Clauses"/>
    <w:basedOn w:val="Normal"/>
    <w:rsid w:val="00074867"/>
    <w:pPr>
      <w:numPr>
        <w:ilvl w:val="1"/>
        <w:numId w:val="154"/>
      </w:numPr>
      <w:spacing w:after="0" w:line="240" w:lineRule="auto"/>
      <w:ind w:left="360" w:hanging="360"/>
    </w:pPr>
    <w:rPr>
      <w:rFonts w:ascii="Times New Roman" w:eastAsia="Times New Roman" w:hAnsi="Times New Roman" w:cs="Times New Roman"/>
      <w:b/>
      <w:sz w:val="24"/>
      <w:szCs w:val="20"/>
      <w:lang w:val="es-ES_tradnl"/>
    </w:rPr>
  </w:style>
  <w:style w:type="paragraph" w:customStyle="1" w:styleId="Header2-SubClauses">
    <w:name w:val="Header 2 - SubClauses"/>
    <w:basedOn w:val="Normal"/>
    <w:rsid w:val="00074867"/>
    <w:pPr>
      <w:tabs>
        <w:tab w:val="left" w:pos="619"/>
      </w:tabs>
      <w:spacing w:after="200" w:line="240" w:lineRule="auto"/>
      <w:ind w:left="792" w:hanging="432"/>
      <w:jc w:val="both"/>
    </w:pPr>
    <w:rPr>
      <w:rFonts w:ascii="Times New Roman" w:eastAsia="Times New Roman" w:hAnsi="Times New Roman" w:cs="Times New Roman"/>
      <w:sz w:val="24"/>
      <w:szCs w:val="20"/>
      <w:lang w:val="es-ES_tradnl"/>
    </w:rPr>
  </w:style>
  <w:style w:type="paragraph" w:customStyle="1" w:styleId="P3Header1-Clauses">
    <w:name w:val="P3 Header1-Clauses"/>
    <w:basedOn w:val="Header1-Clauses"/>
    <w:rsid w:val="00074867"/>
    <w:pPr>
      <w:numPr>
        <w:ilvl w:val="0"/>
        <w:numId w:val="0"/>
      </w:numPr>
      <w:ind w:left="1224" w:hanging="504"/>
    </w:pPr>
  </w:style>
  <w:style w:type="character" w:customStyle="1" w:styleId="DeltaViewInsertion">
    <w:name w:val="DeltaView Insertion"/>
    <w:rsid w:val="00074867"/>
    <w:rPr>
      <w:color w:val="0000FF"/>
      <w:u w:val="double"/>
    </w:rPr>
  </w:style>
  <w:style w:type="paragraph" w:customStyle="1" w:styleId="En-ttedetabledesmatires1">
    <w:name w:val="En-tête de table des matières1"/>
    <w:basedOn w:val="Cabealho1"/>
    <w:next w:val="Normal"/>
    <w:qFormat/>
    <w:rsid w:val="00074867"/>
    <w:pPr>
      <w:numPr>
        <w:numId w:val="0"/>
      </w:numPr>
      <w:outlineLvl w:val="9"/>
    </w:pPr>
    <w:rPr>
      <w:rFonts w:ascii="Cambria" w:eastAsia="Times New Roman" w:hAnsi="Cambria"/>
      <w:bCs/>
      <w:color w:val="365F91"/>
      <w:lang w:val="en-US"/>
    </w:rPr>
  </w:style>
  <w:style w:type="paragraph" w:customStyle="1" w:styleId="Section8Heading1">
    <w:name w:val="Section 8. Heading1"/>
    <w:basedOn w:val="A1-Heading2"/>
    <w:qFormat/>
    <w:rsid w:val="00074867"/>
    <w:pPr>
      <w:numPr>
        <w:numId w:val="158"/>
      </w:numPr>
      <w:tabs>
        <w:tab w:val="clear" w:pos="360"/>
      </w:tabs>
      <w:spacing w:before="120" w:after="200"/>
      <w:ind w:left="1080" w:hanging="720"/>
      <w:contextualSpacing w:val="0"/>
    </w:pPr>
    <w:rPr>
      <w:lang w:val="en-US"/>
    </w:rPr>
  </w:style>
  <w:style w:type="paragraph" w:customStyle="1" w:styleId="Section8Heading2">
    <w:name w:val="Section 8. Heading2"/>
    <w:next w:val="Normal"/>
    <w:qFormat/>
    <w:rsid w:val="00074867"/>
    <w:pPr>
      <w:spacing w:after="200" w:line="240" w:lineRule="auto"/>
      <w:ind w:left="720" w:hanging="360"/>
    </w:pPr>
    <w:rPr>
      <w:rFonts w:ascii="Times New Roman" w:eastAsia="Times New Roman" w:hAnsi="Times New Roman" w:cs="Times New Roman"/>
      <w:b/>
      <w:bCs/>
      <w:sz w:val="24"/>
      <w:szCs w:val="24"/>
      <w:lang w:val="en-US"/>
    </w:rPr>
  </w:style>
  <w:style w:type="paragraph" w:customStyle="1" w:styleId="Section8Header1">
    <w:name w:val="Section 8. Header1"/>
    <w:qFormat/>
    <w:rsid w:val="00074867"/>
    <w:pPr>
      <w:numPr>
        <w:numId w:val="160"/>
      </w:numPr>
      <w:spacing w:before="240" w:after="240" w:line="240" w:lineRule="auto"/>
      <w:jc w:val="center"/>
    </w:pPr>
    <w:rPr>
      <w:rFonts w:ascii="Times New Roman" w:eastAsia="Times New Roman" w:hAnsi="Times New Roman" w:cs="Times New Roman"/>
      <w:b/>
      <w:sz w:val="32"/>
      <w:szCs w:val="20"/>
      <w:lang w:val="en-US"/>
    </w:rPr>
  </w:style>
  <w:style w:type="paragraph" w:customStyle="1" w:styleId="Section8Heading3">
    <w:name w:val="Section 8. Heading3"/>
    <w:qFormat/>
    <w:rsid w:val="00074867"/>
    <w:pPr>
      <w:spacing w:after="0" w:line="240" w:lineRule="auto"/>
      <w:ind w:hanging="534"/>
    </w:pPr>
    <w:rPr>
      <w:rFonts w:ascii="Times New Roman" w:eastAsia="Times New Roman" w:hAnsi="Times New Roman" w:cs="Times New Roman"/>
      <w:b/>
      <w:bCs/>
      <w:sz w:val="24"/>
      <w:szCs w:val="24"/>
      <w:lang w:val="en-US"/>
    </w:rPr>
  </w:style>
  <w:style w:type="paragraph" w:customStyle="1" w:styleId="Document1">
    <w:name w:val="Document 1"/>
    <w:rsid w:val="00074867"/>
    <w:pPr>
      <w:keepNext/>
      <w:keepLines/>
      <w:tabs>
        <w:tab w:val="left" w:pos="-720"/>
      </w:tabs>
      <w:suppressAutoHyphens/>
      <w:spacing w:after="0" w:line="240" w:lineRule="auto"/>
    </w:pPr>
    <w:rPr>
      <w:rFonts w:ascii="Times" w:eastAsia="Times New Roman" w:hAnsi="Times" w:cs="Times New Roman"/>
      <w:sz w:val="24"/>
      <w:szCs w:val="20"/>
      <w:lang w:val="en-US"/>
    </w:rPr>
  </w:style>
  <w:style w:type="paragraph" w:customStyle="1" w:styleId="TextBoxFramed">
    <w:name w:val="Text Box Framed"/>
    <w:basedOn w:val="Normal"/>
    <w:rsid w:val="00074867"/>
    <w:pPr>
      <w:keepLines/>
      <w:framePr w:hSpace="187" w:wrap="auto" w:vAnchor="text" w:hAnchor="text" w:xAlign="right" w:y="1"/>
      <w:pBdr>
        <w:top w:val="single" w:sz="6" w:space="7" w:color="auto" w:shadow="1"/>
        <w:left w:val="single" w:sz="6" w:space="7" w:color="auto" w:shadow="1"/>
        <w:bottom w:val="single" w:sz="6" w:space="7" w:color="auto" w:shadow="1"/>
        <w:right w:val="single" w:sz="6" w:space="7" w:color="auto" w:shadow="1"/>
      </w:pBdr>
      <w:shd w:val="pct10" w:color="auto" w:fill="auto"/>
      <w:spacing w:after="0" w:line="240" w:lineRule="auto"/>
    </w:pPr>
    <w:rPr>
      <w:rFonts w:ascii="Times New Roman" w:eastAsia="Times New Roman" w:hAnsi="Times New Roman" w:cs="Times New Roman"/>
      <w:szCs w:val="20"/>
    </w:rPr>
  </w:style>
  <w:style w:type="paragraph" w:customStyle="1" w:styleId="p7">
    <w:name w:val="p7"/>
    <w:basedOn w:val="Normal"/>
    <w:rsid w:val="00074867"/>
    <w:pPr>
      <w:widowControl w:val="0"/>
      <w:spacing w:after="0" w:line="360" w:lineRule="atLeast"/>
      <w:ind w:left="720" w:hanging="720"/>
    </w:pPr>
    <w:rPr>
      <w:rFonts w:ascii="Chicago" w:eastAsia="Times New Roman" w:hAnsi="Chicago" w:cs="Times New Roman"/>
      <w:snapToGrid w:val="0"/>
      <w:sz w:val="24"/>
      <w:szCs w:val="20"/>
      <w:lang w:val="en-US"/>
    </w:rPr>
  </w:style>
  <w:style w:type="paragraph" w:customStyle="1" w:styleId="p3">
    <w:name w:val="p3"/>
    <w:basedOn w:val="Normal"/>
    <w:rsid w:val="00074867"/>
    <w:pPr>
      <w:widowControl w:val="0"/>
      <w:tabs>
        <w:tab w:val="left" w:pos="0"/>
      </w:tabs>
      <w:spacing w:after="0" w:line="240" w:lineRule="atLeast"/>
      <w:jc w:val="both"/>
      <w:outlineLvl w:val="1"/>
    </w:pPr>
    <w:rPr>
      <w:rFonts w:ascii="Arial" w:eastAsia="Times New Roman" w:hAnsi="Arial" w:cs="Arial"/>
      <w:b/>
      <w:bCs/>
      <w:snapToGrid w:val="0"/>
      <w:sz w:val="20"/>
      <w:szCs w:val="20"/>
    </w:rPr>
  </w:style>
  <w:style w:type="paragraph" w:customStyle="1" w:styleId="p4">
    <w:name w:val="p4"/>
    <w:basedOn w:val="Normal"/>
    <w:rsid w:val="00074867"/>
    <w:pPr>
      <w:widowControl w:val="0"/>
      <w:tabs>
        <w:tab w:val="left" w:pos="720"/>
      </w:tabs>
      <w:spacing w:after="0" w:line="240" w:lineRule="atLeast"/>
    </w:pPr>
    <w:rPr>
      <w:rFonts w:ascii="Chicago" w:eastAsia="Times New Roman" w:hAnsi="Chicago" w:cs="Times New Roman"/>
      <w:snapToGrid w:val="0"/>
      <w:sz w:val="24"/>
      <w:szCs w:val="20"/>
      <w:lang w:val="en-US"/>
    </w:rPr>
  </w:style>
  <w:style w:type="paragraph" w:customStyle="1" w:styleId="p18">
    <w:name w:val="p18"/>
    <w:basedOn w:val="Normal"/>
    <w:rsid w:val="00074867"/>
    <w:pPr>
      <w:widowControl w:val="0"/>
      <w:spacing w:after="0" w:line="240" w:lineRule="atLeast"/>
      <w:ind w:left="720" w:hanging="720"/>
    </w:pPr>
    <w:rPr>
      <w:rFonts w:ascii="Chicago" w:eastAsia="Times New Roman" w:hAnsi="Chicago" w:cs="Times New Roman"/>
      <w:snapToGrid w:val="0"/>
      <w:sz w:val="24"/>
      <w:szCs w:val="20"/>
      <w:lang w:val="en-US"/>
    </w:rPr>
  </w:style>
  <w:style w:type="paragraph" w:customStyle="1" w:styleId="p13">
    <w:name w:val="p13"/>
    <w:basedOn w:val="Normal"/>
    <w:rsid w:val="00074867"/>
    <w:pPr>
      <w:widowControl w:val="0"/>
      <w:spacing w:after="0" w:line="240" w:lineRule="atLeast"/>
      <w:ind w:left="720" w:hanging="720"/>
    </w:pPr>
    <w:rPr>
      <w:rFonts w:ascii="Chicago" w:eastAsia="Times New Roman" w:hAnsi="Chicago" w:cs="Times New Roman"/>
      <w:snapToGrid w:val="0"/>
      <w:sz w:val="24"/>
      <w:szCs w:val="20"/>
      <w:lang w:val="en-US"/>
    </w:rPr>
  </w:style>
  <w:style w:type="paragraph" w:customStyle="1" w:styleId="p38">
    <w:name w:val="p38"/>
    <w:basedOn w:val="Normal"/>
    <w:rsid w:val="00074867"/>
    <w:pPr>
      <w:widowControl w:val="0"/>
      <w:spacing w:after="0" w:line="240" w:lineRule="atLeast"/>
      <w:ind w:left="700" w:hanging="700"/>
    </w:pPr>
    <w:rPr>
      <w:rFonts w:ascii="Chicago" w:eastAsia="Times New Roman" w:hAnsi="Chicago" w:cs="Times New Roman"/>
      <w:snapToGrid w:val="0"/>
      <w:sz w:val="24"/>
      <w:szCs w:val="20"/>
      <w:lang w:val="en-US"/>
    </w:rPr>
  </w:style>
  <w:style w:type="paragraph" w:customStyle="1" w:styleId="p33">
    <w:name w:val="p33"/>
    <w:basedOn w:val="Normal"/>
    <w:rsid w:val="00074867"/>
    <w:pPr>
      <w:widowControl w:val="0"/>
      <w:tabs>
        <w:tab w:val="left" w:pos="720"/>
      </w:tabs>
      <w:spacing w:after="0" w:line="240" w:lineRule="atLeast"/>
    </w:pPr>
    <w:rPr>
      <w:rFonts w:ascii="Chicago" w:eastAsia="Times New Roman" w:hAnsi="Chicago" w:cs="Times New Roman"/>
      <w:snapToGrid w:val="0"/>
      <w:sz w:val="24"/>
      <w:szCs w:val="20"/>
      <w:lang w:val="en-US"/>
    </w:rPr>
  </w:style>
  <w:style w:type="paragraph" w:customStyle="1" w:styleId="p26">
    <w:name w:val="p26"/>
    <w:basedOn w:val="Normal"/>
    <w:rsid w:val="00074867"/>
    <w:pPr>
      <w:widowControl w:val="0"/>
      <w:tabs>
        <w:tab w:val="left" w:pos="0"/>
      </w:tabs>
      <w:spacing w:after="0" w:line="240" w:lineRule="atLeast"/>
      <w:ind w:firstLine="720"/>
    </w:pPr>
    <w:rPr>
      <w:rFonts w:ascii="Chicago" w:eastAsia="Times New Roman" w:hAnsi="Chicago" w:cs="Times New Roman"/>
      <w:snapToGrid w:val="0"/>
      <w:sz w:val="24"/>
      <w:szCs w:val="20"/>
      <w:lang w:val="en-US"/>
    </w:rPr>
  </w:style>
  <w:style w:type="paragraph" w:customStyle="1" w:styleId="p17">
    <w:name w:val="p17"/>
    <w:basedOn w:val="Normal"/>
    <w:rsid w:val="00074867"/>
    <w:pPr>
      <w:widowControl w:val="0"/>
      <w:tabs>
        <w:tab w:val="left" w:pos="720"/>
      </w:tabs>
      <w:spacing w:after="0" w:line="240" w:lineRule="atLeast"/>
      <w:jc w:val="both"/>
    </w:pPr>
    <w:rPr>
      <w:rFonts w:ascii="Chicago" w:eastAsia="Times New Roman" w:hAnsi="Chicago" w:cs="Times New Roman"/>
      <w:snapToGrid w:val="0"/>
      <w:sz w:val="24"/>
      <w:szCs w:val="20"/>
      <w:lang w:val="en-US"/>
    </w:rPr>
  </w:style>
  <w:style w:type="paragraph" w:customStyle="1" w:styleId="p46">
    <w:name w:val="p46"/>
    <w:basedOn w:val="Normal"/>
    <w:rsid w:val="00074867"/>
    <w:pPr>
      <w:widowControl w:val="0"/>
      <w:spacing w:after="0" w:line="240" w:lineRule="atLeast"/>
      <w:ind w:left="720" w:hanging="720"/>
    </w:pPr>
    <w:rPr>
      <w:rFonts w:ascii="Chicago" w:eastAsia="Times New Roman" w:hAnsi="Chicago" w:cs="Times New Roman"/>
      <w:snapToGrid w:val="0"/>
      <w:sz w:val="24"/>
      <w:szCs w:val="20"/>
      <w:lang w:val="en-US"/>
    </w:rPr>
  </w:style>
  <w:style w:type="paragraph" w:customStyle="1" w:styleId="p35">
    <w:name w:val="p35"/>
    <w:basedOn w:val="Normal"/>
    <w:rsid w:val="00074867"/>
    <w:pPr>
      <w:widowControl w:val="0"/>
      <w:tabs>
        <w:tab w:val="left" w:pos="720"/>
      </w:tabs>
      <w:spacing w:after="0" w:line="360" w:lineRule="atLeast"/>
    </w:pPr>
    <w:rPr>
      <w:rFonts w:ascii="Chicago" w:eastAsia="Times New Roman" w:hAnsi="Chicago" w:cs="Times New Roman"/>
      <w:snapToGrid w:val="0"/>
      <w:sz w:val="24"/>
      <w:szCs w:val="20"/>
      <w:lang w:val="en-US"/>
    </w:rPr>
  </w:style>
  <w:style w:type="paragraph" w:customStyle="1" w:styleId="p51">
    <w:name w:val="p51"/>
    <w:basedOn w:val="Normal"/>
    <w:rsid w:val="00074867"/>
    <w:pPr>
      <w:widowControl w:val="0"/>
      <w:tabs>
        <w:tab w:val="left" w:pos="720"/>
      </w:tabs>
      <w:spacing w:after="0" w:line="240" w:lineRule="atLeast"/>
    </w:pPr>
    <w:rPr>
      <w:rFonts w:ascii="Chicago" w:eastAsia="Times New Roman" w:hAnsi="Chicago" w:cs="Times New Roman"/>
      <w:snapToGrid w:val="0"/>
      <w:sz w:val="24"/>
      <w:szCs w:val="20"/>
      <w:lang w:val="en-US"/>
    </w:rPr>
  </w:style>
  <w:style w:type="paragraph" w:customStyle="1" w:styleId="p54">
    <w:name w:val="p54"/>
    <w:basedOn w:val="Normal"/>
    <w:rsid w:val="00074867"/>
    <w:pPr>
      <w:widowControl w:val="0"/>
      <w:tabs>
        <w:tab w:val="left" w:pos="720"/>
      </w:tabs>
      <w:spacing w:after="0" w:line="240" w:lineRule="atLeast"/>
    </w:pPr>
    <w:rPr>
      <w:rFonts w:ascii="Chicago" w:eastAsia="Times New Roman" w:hAnsi="Chicago" w:cs="Times New Roman"/>
      <w:snapToGrid w:val="0"/>
      <w:sz w:val="24"/>
      <w:szCs w:val="20"/>
      <w:lang w:val="en-US"/>
    </w:rPr>
  </w:style>
  <w:style w:type="paragraph" w:customStyle="1" w:styleId="p23">
    <w:name w:val="p23"/>
    <w:basedOn w:val="Normal"/>
    <w:rsid w:val="00074867"/>
    <w:pPr>
      <w:widowControl w:val="0"/>
      <w:tabs>
        <w:tab w:val="left" w:pos="720"/>
      </w:tabs>
      <w:spacing w:after="0" w:line="240" w:lineRule="atLeast"/>
    </w:pPr>
    <w:rPr>
      <w:rFonts w:ascii="Chicago" w:eastAsia="Times New Roman" w:hAnsi="Chicago" w:cs="Times New Roman"/>
      <w:snapToGrid w:val="0"/>
      <w:sz w:val="24"/>
      <w:szCs w:val="20"/>
      <w:lang w:val="en-US"/>
    </w:rPr>
  </w:style>
  <w:style w:type="paragraph" w:customStyle="1" w:styleId="En-ttetitre-chapitre">
    <w:name w:val="En-tête titre-chapitre"/>
    <w:basedOn w:val="Cabealho"/>
    <w:rsid w:val="00074867"/>
    <w:pPr>
      <w:widowControl w:val="0"/>
      <w:pBdr>
        <w:bottom w:val="single" w:sz="18" w:space="4" w:color="auto"/>
      </w:pBdr>
      <w:tabs>
        <w:tab w:val="clear" w:pos="4536"/>
        <w:tab w:val="clear" w:pos="9072"/>
      </w:tabs>
      <w:ind w:left="-992" w:right="1134" w:firstLine="851"/>
      <w:jc w:val="right"/>
    </w:pPr>
    <w:rPr>
      <w:rFonts w:ascii="Arial Narrow" w:eastAsia="Times New Roman" w:hAnsi="Arial Narrow" w:cs="Times New Roman"/>
      <w:b/>
      <w:smallCaps/>
      <w:sz w:val="28"/>
      <w:szCs w:val="20"/>
      <w:lang w:eastAsia="fr-FR"/>
    </w:rPr>
  </w:style>
  <w:style w:type="paragraph" w:styleId="Listanumerada2">
    <w:name w:val="List Number 2"/>
    <w:basedOn w:val="Normal"/>
    <w:semiHidden/>
    <w:rsid w:val="00074867"/>
    <w:pPr>
      <w:numPr>
        <w:numId w:val="162"/>
      </w:numPr>
      <w:tabs>
        <w:tab w:val="clear" w:pos="643"/>
        <w:tab w:val="num" w:pos="1080"/>
      </w:tabs>
      <w:spacing w:before="120" w:after="120" w:line="300" w:lineRule="auto"/>
      <w:ind w:left="1080"/>
      <w:jc w:val="both"/>
    </w:pPr>
    <w:rPr>
      <w:rFonts w:ascii="Arial" w:eastAsia="Calibri" w:hAnsi="Arial" w:cs="Times New Roman"/>
      <w:sz w:val="20"/>
      <w:szCs w:val="24"/>
      <w:lang w:val="en-GB"/>
    </w:rPr>
  </w:style>
  <w:style w:type="paragraph" w:customStyle="1" w:styleId="AATitre3">
    <w:name w:val="AA Titre 3"/>
    <w:basedOn w:val="Normal"/>
    <w:rsid w:val="00074867"/>
    <w:pPr>
      <w:numPr>
        <w:numId w:val="163"/>
      </w:numPr>
      <w:suppressAutoHyphens/>
      <w:spacing w:before="120" w:after="120" w:line="240" w:lineRule="auto"/>
      <w:jc w:val="both"/>
    </w:pPr>
    <w:rPr>
      <w:rFonts w:ascii="Times New Roman" w:eastAsia="Times New Roman" w:hAnsi="Times New Roman" w:cs="Times New Roman"/>
      <w:szCs w:val="20"/>
      <w:lang w:eastAsia="ar-SA"/>
    </w:rPr>
  </w:style>
  <w:style w:type="paragraph" w:customStyle="1" w:styleId="ListAlpha2">
    <w:name w:val="List Alpha 2"/>
    <w:basedOn w:val="Normal"/>
    <w:next w:val="Normal"/>
    <w:rsid w:val="00074867"/>
    <w:pPr>
      <w:numPr>
        <w:ilvl w:val="1"/>
        <w:numId w:val="164"/>
      </w:numPr>
      <w:tabs>
        <w:tab w:val="left" w:pos="50"/>
      </w:tabs>
      <w:spacing w:after="200" w:line="288" w:lineRule="auto"/>
      <w:jc w:val="both"/>
    </w:pPr>
    <w:rPr>
      <w:rFonts w:ascii="CG Times" w:eastAsia="Times New Roman" w:hAnsi="CG Times" w:cs="Times New Roman"/>
      <w:color w:val="000000"/>
      <w:lang w:val="en-GB" w:eastAsia="fr-FR"/>
    </w:rPr>
  </w:style>
  <w:style w:type="paragraph" w:customStyle="1" w:styleId="ListAlpha3">
    <w:name w:val="List Alpha 3"/>
    <w:basedOn w:val="Normal"/>
    <w:next w:val="Normal"/>
    <w:rsid w:val="00074867"/>
    <w:pPr>
      <w:tabs>
        <w:tab w:val="left" w:pos="68"/>
        <w:tab w:val="num" w:pos="624"/>
      </w:tabs>
      <w:spacing w:after="200" w:line="288" w:lineRule="auto"/>
      <w:ind w:left="624" w:hanging="624"/>
      <w:jc w:val="both"/>
    </w:pPr>
    <w:rPr>
      <w:rFonts w:ascii="CG Times" w:eastAsia="Times New Roman" w:hAnsi="CG Times" w:cs="Times New Roman"/>
      <w:color w:val="000000"/>
      <w:lang w:val="en-GB" w:eastAsia="fr-FR"/>
    </w:rPr>
  </w:style>
  <w:style w:type="paragraph" w:customStyle="1" w:styleId="LISTALPHACAPS2">
    <w:name w:val="LIST ALPHA CAPS 2"/>
    <w:basedOn w:val="Normal"/>
    <w:next w:val="Normal"/>
    <w:rsid w:val="00074867"/>
    <w:pPr>
      <w:tabs>
        <w:tab w:val="left" w:pos="50"/>
        <w:tab w:val="num" w:pos="1748"/>
      </w:tabs>
      <w:spacing w:after="200" w:line="288" w:lineRule="auto"/>
      <w:ind w:left="1748" w:hanging="511"/>
      <w:jc w:val="both"/>
    </w:pPr>
    <w:rPr>
      <w:rFonts w:ascii="CG Times" w:eastAsia="Times New Roman" w:hAnsi="CG Times" w:cs="Times New Roman"/>
      <w:color w:val="000000"/>
      <w:lang w:val="en-GB" w:eastAsia="fr-FR"/>
    </w:rPr>
  </w:style>
  <w:style w:type="character" w:customStyle="1" w:styleId="Corpsdetexte2Car1">
    <w:name w:val="Corps de texte 2 Car1"/>
    <w:semiHidden/>
    <w:rsid w:val="00074867"/>
    <w:rPr>
      <w:sz w:val="24"/>
      <w:szCs w:val="24"/>
      <w:lang w:eastAsia="en-US"/>
    </w:rPr>
  </w:style>
  <w:style w:type="character" w:customStyle="1" w:styleId="NotedebasdepageCar2">
    <w:name w:val="Note de bas de page Car2"/>
    <w:locked/>
    <w:rsid w:val="00074867"/>
    <w:rPr>
      <w:lang w:val="en-US" w:eastAsia="en-US"/>
    </w:rPr>
  </w:style>
  <w:style w:type="paragraph" w:customStyle="1" w:styleId="Textedebulles2">
    <w:name w:val="Texte de bulles2"/>
    <w:basedOn w:val="Normal"/>
    <w:semiHidden/>
    <w:rsid w:val="00074867"/>
    <w:pPr>
      <w:spacing w:after="0" w:line="240" w:lineRule="auto"/>
    </w:pPr>
    <w:rPr>
      <w:rFonts w:ascii="Tahoma" w:eastAsia="Times New Roman" w:hAnsi="Tahoma" w:cs="Tahoma"/>
      <w:sz w:val="16"/>
      <w:szCs w:val="16"/>
      <w:lang w:val="en-US"/>
    </w:rPr>
  </w:style>
  <w:style w:type="paragraph" w:customStyle="1" w:styleId="Objetducommentaire2">
    <w:name w:val="Objet du commentaire2"/>
    <w:basedOn w:val="Textodecomentrio"/>
    <w:next w:val="Textodecomentrio"/>
    <w:semiHidden/>
    <w:rsid w:val="00074867"/>
    <w:pPr>
      <w:keepLines w:val="0"/>
      <w:spacing w:after="0" w:line="240" w:lineRule="auto"/>
      <w:jc w:val="left"/>
    </w:pPr>
    <w:rPr>
      <w:rFonts w:ascii="Times New Roman" w:hAnsi="Times New Roman"/>
      <w:b/>
      <w:bCs/>
      <w:sz w:val="20"/>
      <w:lang w:val="en-US"/>
    </w:rPr>
  </w:style>
  <w:style w:type="paragraph" w:customStyle="1" w:styleId="BodyText21">
    <w:name w:val="Body Text 21"/>
    <w:basedOn w:val="Normal"/>
    <w:rsid w:val="00074867"/>
    <w:pPr>
      <w:spacing w:after="0" w:line="240" w:lineRule="auto"/>
    </w:pPr>
    <w:rPr>
      <w:rFonts w:ascii="Times New Roman" w:eastAsia="Times New Roman" w:hAnsi="Times New Roman" w:cs="Times New Roman"/>
      <w:kern w:val="24"/>
      <w:szCs w:val="20"/>
      <w:lang w:val="en-US"/>
    </w:rPr>
  </w:style>
  <w:style w:type="paragraph" w:customStyle="1" w:styleId="IanBodytext">
    <w:name w:val="Ian Body text"/>
    <w:basedOn w:val="Normal"/>
    <w:rsid w:val="00074867"/>
    <w:pPr>
      <w:widowControl w:val="0"/>
      <w:tabs>
        <w:tab w:val="left" w:pos="567"/>
        <w:tab w:val="left" w:pos="1134"/>
        <w:tab w:val="left" w:pos="1701"/>
        <w:tab w:val="left" w:pos="2268"/>
        <w:tab w:val="left" w:pos="2835"/>
        <w:tab w:val="right" w:pos="9639"/>
      </w:tabs>
      <w:spacing w:before="120" w:after="120" w:line="240" w:lineRule="auto"/>
      <w:jc w:val="both"/>
    </w:pPr>
    <w:rPr>
      <w:rFonts w:ascii="Arial" w:eastAsia="Times New Roman" w:hAnsi="Arial" w:cs="Times New Roman"/>
      <w:szCs w:val="24"/>
      <w:lang w:val="en-AU"/>
    </w:rPr>
  </w:style>
  <w:style w:type="paragraph" w:customStyle="1" w:styleId="A1-Heading20">
    <w:name w:val="A1-Heading 2"/>
    <w:basedOn w:val="Cabealho2"/>
    <w:next w:val="Normal"/>
    <w:rsid w:val="00074867"/>
    <w:pPr>
      <w:keepNext w:val="0"/>
      <w:spacing w:before="0" w:after="200"/>
      <w:ind w:left="720" w:hanging="720"/>
      <w:contextualSpacing/>
      <w:jc w:val="center"/>
    </w:pPr>
    <w:rPr>
      <w:rFonts w:eastAsia="Times New Roman"/>
      <w:bCs/>
      <w:smallCaps/>
      <w:sz w:val="28"/>
      <w:lang w:val="en-US" w:eastAsia="en-US"/>
    </w:rPr>
  </w:style>
  <w:style w:type="paragraph" w:customStyle="1" w:styleId="Section2-Heading1">
    <w:name w:val="Section 2 - Heading 1"/>
    <w:basedOn w:val="Normal"/>
    <w:rsid w:val="00074867"/>
    <w:pPr>
      <w:tabs>
        <w:tab w:val="left" w:pos="360"/>
      </w:tabs>
      <w:spacing w:after="200" w:line="240" w:lineRule="auto"/>
      <w:ind w:left="360" w:hanging="360"/>
    </w:pPr>
    <w:rPr>
      <w:rFonts w:ascii="Times New Roman" w:eastAsia="Times New Roman" w:hAnsi="Times New Roman" w:cs="Times New Roman"/>
      <w:b/>
      <w:sz w:val="24"/>
      <w:szCs w:val="24"/>
      <w:lang w:val="en-GB"/>
    </w:rPr>
  </w:style>
  <w:style w:type="paragraph" w:customStyle="1" w:styleId="Section2-Heading2">
    <w:name w:val="Section 2 - Heading 2"/>
    <w:basedOn w:val="Normal"/>
    <w:rsid w:val="00074867"/>
    <w:pPr>
      <w:spacing w:after="200" w:line="240" w:lineRule="auto"/>
      <w:ind w:left="360"/>
    </w:pPr>
    <w:rPr>
      <w:rFonts w:ascii="Times New Roman" w:eastAsia="Times New Roman" w:hAnsi="Times New Roman" w:cs="Times New Roman"/>
      <w:b/>
      <w:sz w:val="24"/>
      <w:szCs w:val="24"/>
      <w:lang w:val="en-GB"/>
    </w:rPr>
  </w:style>
  <w:style w:type="paragraph" w:customStyle="1" w:styleId="Section3-Heading2">
    <w:name w:val="Section 3 - Heading 2"/>
    <w:basedOn w:val="Normal"/>
    <w:next w:val="Normal"/>
    <w:rsid w:val="00074867"/>
    <w:pPr>
      <w:spacing w:after="200" w:line="240" w:lineRule="auto"/>
      <w:jc w:val="center"/>
    </w:pPr>
    <w:rPr>
      <w:rFonts w:ascii="Times New Roman" w:eastAsia="Times New Roman" w:hAnsi="Times New Roman" w:cs="Times New Roman"/>
      <w:b/>
      <w:sz w:val="28"/>
      <w:szCs w:val="24"/>
      <w:lang w:val="en-US"/>
    </w:rPr>
  </w:style>
  <w:style w:type="paragraph" w:customStyle="1" w:styleId="c5">
    <w:name w:val="c5"/>
    <w:basedOn w:val="Normal"/>
    <w:rsid w:val="00074867"/>
    <w:pPr>
      <w:widowControl w:val="0"/>
      <w:spacing w:after="0" w:line="240" w:lineRule="atLeast"/>
      <w:jc w:val="center"/>
    </w:pPr>
    <w:rPr>
      <w:rFonts w:ascii="Chicago" w:eastAsia="Times New Roman" w:hAnsi="Chicago" w:cs="Times New Roman"/>
      <w:snapToGrid w:val="0"/>
      <w:sz w:val="24"/>
      <w:szCs w:val="20"/>
      <w:lang w:val="en-US"/>
    </w:rPr>
  </w:style>
  <w:style w:type="paragraph" w:customStyle="1" w:styleId="p6">
    <w:name w:val="p6"/>
    <w:basedOn w:val="Normal"/>
    <w:rsid w:val="00074867"/>
    <w:pPr>
      <w:widowControl w:val="0"/>
      <w:tabs>
        <w:tab w:val="left" w:pos="720"/>
      </w:tabs>
      <w:spacing w:after="0" w:line="240" w:lineRule="atLeast"/>
    </w:pPr>
    <w:rPr>
      <w:rFonts w:ascii="Chicago" w:eastAsia="Times New Roman" w:hAnsi="Chicago" w:cs="Times New Roman"/>
      <w:snapToGrid w:val="0"/>
      <w:sz w:val="24"/>
      <w:szCs w:val="20"/>
      <w:lang w:val="en-US"/>
    </w:rPr>
  </w:style>
  <w:style w:type="paragraph" w:customStyle="1" w:styleId="p8">
    <w:name w:val="p8"/>
    <w:basedOn w:val="Normal"/>
    <w:rsid w:val="00074867"/>
    <w:pPr>
      <w:widowControl w:val="0"/>
      <w:tabs>
        <w:tab w:val="left" w:pos="0"/>
        <w:tab w:val="left" w:pos="920"/>
      </w:tabs>
      <w:spacing w:after="0" w:line="240" w:lineRule="atLeast"/>
      <w:ind w:left="200" w:firstLine="720"/>
    </w:pPr>
    <w:rPr>
      <w:rFonts w:ascii="Chicago" w:eastAsia="Times New Roman" w:hAnsi="Chicago" w:cs="Times New Roman"/>
      <w:snapToGrid w:val="0"/>
      <w:sz w:val="24"/>
      <w:szCs w:val="20"/>
      <w:lang w:val="en-US"/>
    </w:rPr>
  </w:style>
  <w:style w:type="paragraph" w:customStyle="1" w:styleId="p11">
    <w:name w:val="p11"/>
    <w:basedOn w:val="Normal"/>
    <w:rsid w:val="00074867"/>
    <w:pPr>
      <w:widowControl w:val="0"/>
      <w:spacing w:after="0" w:line="240" w:lineRule="atLeast"/>
      <w:ind w:left="720" w:hanging="720"/>
    </w:pPr>
    <w:rPr>
      <w:rFonts w:ascii="Chicago" w:eastAsia="Times New Roman" w:hAnsi="Chicago" w:cs="Times New Roman"/>
      <w:snapToGrid w:val="0"/>
      <w:sz w:val="24"/>
      <w:szCs w:val="20"/>
      <w:lang w:val="en-US"/>
    </w:rPr>
  </w:style>
  <w:style w:type="paragraph" w:customStyle="1" w:styleId="p16">
    <w:name w:val="p16"/>
    <w:basedOn w:val="Normal"/>
    <w:rsid w:val="00074867"/>
    <w:pPr>
      <w:widowControl w:val="0"/>
      <w:tabs>
        <w:tab w:val="left" w:pos="0"/>
      </w:tabs>
      <w:spacing w:after="0" w:line="240" w:lineRule="atLeast"/>
      <w:ind w:firstLine="720"/>
      <w:jc w:val="both"/>
    </w:pPr>
    <w:rPr>
      <w:rFonts w:ascii="Chicago" w:eastAsia="Times New Roman" w:hAnsi="Chicago" w:cs="Times New Roman"/>
      <w:snapToGrid w:val="0"/>
      <w:sz w:val="24"/>
      <w:szCs w:val="20"/>
      <w:lang w:val="en-US"/>
    </w:rPr>
  </w:style>
  <w:style w:type="paragraph" w:customStyle="1" w:styleId="p32">
    <w:name w:val="p32"/>
    <w:basedOn w:val="Normal"/>
    <w:rsid w:val="00074867"/>
    <w:pPr>
      <w:widowControl w:val="0"/>
      <w:tabs>
        <w:tab w:val="left" w:pos="720"/>
      </w:tabs>
      <w:spacing w:after="0" w:line="240" w:lineRule="atLeast"/>
    </w:pPr>
    <w:rPr>
      <w:rFonts w:ascii="Chicago" w:eastAsia="Times New Roman" w:hAnsi="Chicago" w:cs="Times New Roman"/>
      <w:snapToGrid w:val="0"/>
      <w:sz w:val="24"/>
      <w:szCs w:val="20"/>
      <w:lang w:val="en-US"/>
    </w:rPr>
  </w:style>
  <w:style w:type="paragraph" w:customStyle="1" w:styleId="p34">
    <w:name w:val="p34"/>
    <w:basedOn w:val="Normal"/>
    <w:rsid w:val="00074867"/>
    <w:pPr>
      <w:widowControl w:val="0"/>
      <w:tabs>
        <w:tab w:val="left" w:pos="720"/>
      </w:tabs>
      <w:spacing w:after="0" w:line="240" w:lineRule="atLeast"/>
    </w:pPr>
    <w:rPr>
      <w:rFonts w:ascii="Chicago" w:eastAsia="Times New Roman" w:hAnsi="Chicago" w:cs="Times New Roman"/>
      <w:snapToGrid w:val="0"/>
      <w:sz w:val="24"/>
      <w:szCs w:val="20"/>
      <w:lang w:val="en-US"/>
    </w:rPr>
  </w:style>
  <w:style w:type="paragraph" w:customStyle="1" w:styleId="p37">
    <w:name w:val="p37"/>
    <w:basedOn w:val="Normal"/>
    <w:rsid w:val="00074867"/>
    <w:pPr>
      <w:widowControl w:val="0"/>
      <w:tabs>
        <w:tab w:val="left" w:pos="720"/>
      </w:tabs>
      <w:spacing w:after="0" w:line="240" w:lineRule="atLeast"/>
    </w:pPr>
    <w:rPr>
      <w:rFonts w:ascii="Chicago" w:eastAsia="Times New Roman" w:hAnsi="Chicago" w:cs="Times New Roman"/>
      <w:snapToGrid w:val="0"/>
      <w:sz w:val="24"/>
      <w:szCs w:val="20"/>
      <w:lang w:val="en-US"/>
    </w:rPr>
  </w:style>
  <w:style w:type="paragraph" w:customStyle="1" w:styleId="p40">
    <w:name w:val="p40"/>
    <w:basedOn w:val="Normal"/>
    <w:rsid w:val="00074867"/>
    <w:pPr>
      <w:widowControl w:val="0"/>
      <w:tabs>
        <w:tab w:val="left" w:pos="0"/>
      </w:tabs>
      <w:spacing w:after="0" w:line="240" w:lineRule="atLeast"/>
      <w:ind w:left="4160" w:hanging="1780"/>
    </w:pPr>
    <w:rPr>
      <w:rFonts w:ascii="Chicago" w:eastAsia="Times New Roman" w:hAnsi="Chicago" w:cs="Times New Roman"/>
      <w:snapToGrid w:val="0"/>
      <w:sz w:val="24"/>
      <w:szCs w:val="20"/>
      <w:lang w:val="en-US"/>
    </w:rPr>
  </w:style>
  <w:style w:type="paragraph" w:customStyle="1" w:styleId="p42">
    <w:name w:val="p42"/>
    <w:basedOn w:val="Normal"/>
    <w:rsid w:val="00074867"/>
    <w:pPr>
      <w:widowControl w:val="0"/>
      <w:tabs>
        <w:tab w:val="left" w:pos="0"/>
        <w:tab w:val="left" w:pos="900"/>
      </w:tabs>
      <w:spacing w:after="0" w:line="360" w:lineRule="atLeast"/>
      <w:ind w:firstLine="180"/>
    </w:pPr>
    <w:rPr>
      <w:rFonts w:ascii="Chicago" w:eastAsia="Times New Roman" w:hAnsi="Chicago" w:cs="Times New Roman"/>
      <w:snapToGrid w:val="0"/>
      <w:sz w:val="24"/>
      <w:szCs w:val="20"/>
      <w:lang w:val="en-US"/>
    </w:rPr>
  </w:style>
  <w:style w:type="paragraph" w:customStyle="1" w:styleId="p12">
    <w:name w:val="p12"/>
    <w:basedOn w:val="Normal"/>
    <w:rsid w:val="00074867"/>
    <w:pPr>
      <w:widowControl w:val="0"/>
      <w:tabs>
        <w:tab w:val="left" w:pos="720"/>
      </w:tabs>
      <w:spacing w:after="0" w:line="240" w:lineRule="atLeast"/>
    </w:pPr>
    <w:rPr>
      <w:rFonts w:ascii="Chicago" w:eastAsia="Times New Roman" w:hAnsi="Chicago" w:cs="Times New Roman"/>
      <w:snapToGrid w:val="0"/>
      <w:sz w:val="24"/>
      <w:szCs w:val="20"/>
      <w:lang w:val="en-US"/>
    </w:rPr>
  </w:style>
  <w:style w:type="paragraph" w:customStyle="1" w:styleId="p36">
    <w:name w:val="p36"/>
    <w:basedOn w:val="Normal"/>
    <w:rsid w:val="00074867"/>
    <w:pPr>
      <w:widowControl w:val="0"/>
      <w:tabs>
        <w:tab w:val="left" w:pos="720"/>
      </w:tabs>
      <w:spacing w:after="0" w:line="240" w:lineRule="atLeast"/>
      <w:jc w:val="both"/>
    </w:pPr>
    <w:rPr>
      <w:rFonts w:ascii="Chicago" w:eastAsia="Times New Roman" w:hAnsi="Chicago" w:cs="Times New Roman"/>
      <w:snapToGrid w:val="0"/>
      <w:sz w:val="24"/>
      <w:szCs w:val="20"/>
      <w:lang w:val="en-US"/>
    </w:rPr>
  </w:style>
  <w:style w:type="paragraph" w:customStyle="1" w:styleId="p48">
    <w:name w:val="p48"/>
    <w:basedOn w:val="Normal"/>
    <w:rsid w:val="00074867"/>
    <w:pPr>
      <w:widowControl w:val="0"/>
      <w:spacing w:after="0" w:line="240" w:lineRule="atLeast"/>
      <w:ind w:left="720" w:hanging="720"/>
    </w:pPr>
    <w:rPr>
      <w:rFonts w:ascii="Chicago" w:eastAsia="Times New Roman" w:hAnsi="Chicago" w:cs="Times New Roman"/>
      <w:snapToGrid w:val="0"/>
      <w:sz w:val="24"/>
      <w:szCs w:val="20"/>
      <w:lang w:val="en-US"/>
    </w:rPr>
  </w:style>
  <w:style w:type="paragraph" w:customStyle="1" w:styleId="ArialBodyTextCharCharCharChar">
    <w:name w:val="Arial Body Text Char Char Char Char"/>
    <w:basedOn w:val="Normal"/>
    <w:rsid w:val="00074867"/>
    <w:pPr>
      <w:spacing w:before="120" w:after="60" w:line="240" w:lineRule="auto"/>
      <w:ind w:left="1418"/>
      <w:jc w:val="both"/>
    </w:pPr>
    <w:rPr>
      <w:rFonts w:ascii="Arial" w:eastAsia="Times New Roman" w:hAnsi="Arial" w:cs="Arial"/>
      <w:lang w:val="de-DE" w:eastAsia="de-CH"/>
    </w:rPr>
  </w:style>
  <w:style w:type="paragraph" w:customStyle="1" w:styleId="MainParanoChapter">
    <w:name w:val="Main Para no Chapter #"/>
    <w:basedOn w:val="Normal"/>
    <w:rsid w:val="00074867"/>
    <w:pPr>
      <w:numPr>
        <w:ilvl w:val="1"/>
        <w:numId w:val="165"/>
      </w:numPr>
      <w:spacing w:after="240" w:line="240" w:lineRule="auto"/>
      <w:outlineLvl w:val="1"/>
    </w:pPr>
    <w:rPr>
      <w:rFonts w:ascii="Times New Roman" w:eastAsia="Times New Roman" w:hAnsi="Times New Roman" w:cs="Times New Roman"/>
      <w:sz w:val="24"/>
      <w:szCs w:val="24"/>
      <w:lang w:val="en-US"/>
    </w:rPr>
  </w:style>
  <w:style w:type="paragraph" w:customStyle="1" w:styleId="Sub-Para1underX">
    <w:name w:val="Sub-Para 1 under X."/>
    <w:basedOn w:val="Normal"/>
    <w:rsid w:val="00074867"/>
    <w:pPr>
      <w:numPr>
        <w:ilvl w:val="3"/>
        <w:numId w:val="167"/>
      </w:numPr>
      <w:tabs>
        <w:tab w:val="clear" w:pos="1800"/>
        <w:tab w:val="num" w:pos="1080"/>
      </w:tabs>
      <w:spacing w:after="240" w:line="240" w:lineRule="auto"/>
      <w:ind w:left="720"/>
      <w:outlineLvl w:val="2"/>
    </w:pPr>
    <w:rPr>
      <w:rFonts w:ascii="Times New Roman" w:eastAsia="Times New Roman" w:hAnsi="Times New Roman" w:cs="Times New Roman"/>
      <w:sz w:val="24"/>
      <w:szCs w:val="24"/>
      <w:lang w:val="en-US"/>
    </w:rPr>
  </w:style>
  <w:style w:type="paragraph" w:customStyle="1" w:styleId="Sub-Para2underX">
    <w:name w:val="Sub-Para 2 under X."/>
    <w:basedOn w:val="Normal"/>
    <w:rsid w:val="00074867"/>
    <w:pPr>
      <w:tabs>
        <w:tab w:val="num" w:pos="1800"/>
      </w:tabs>
      <w:spacing w:after="240" w:line="240" w:lineRule="auto"/>
      <w:ind w:left="1080" w:hanging="360"/>
      <w:outlineLvl w:val="3"/>
    </w:pPr>
    <w:rPr>
      <w:rFonts w:ascii="Times New Roman" w:eastAsia="Times New Roman" w:hAnsi="Times New Roman" w:cs="Times New Roman"/>
      <w:sz w:val="24"/>
      <w:szCs w:val="24"/>
      <w:lang w:val="en-US"/>
    </w:rPr>
  </w:style>
  <w:style w:type="paragraph" w:customStyle="1" w:styleId="Sub-Para3underX">
    <w:name w:val="Sub-Para 3 under X."/>
    <w:basedOn w:val="Normal"/>
    <w:rsid w:val="00074867"/>
    <w:pPr>
      <w:tabs>
        <w:tab w:val="num" w:pos="1440"/>
      </w:tabs>
      <w:spacing w:after="240" w:line="240" w:lineRule="auto"/>
      <w:ind w:left="1440" w:hanging="360"/>
      <w:outlineLvl w:val="4"/>
    </w:pPr>
    <w:rPr>
      <w:rFonts w:ascii="Times New Roman" w:eastAsia="Times New Roman" w:hAnsi="Times New Roman" w:cs="Times New Roman"/>
      <w:sz w:val="24"/>
      <w:szCs w:val="24"/>
      <w:lang w:val="en-US"/>
    </w:rPr>
  </w:style>
  <w:style w:type="paragraph" w:customStyle="1" w:styleId="Sub-Para4underX">
    <w:name w:val="Sub-Para 4 under X."/>
    <w:basedOn w:val="Normal"/>
    <w:rsid w:val="00074867"/>
    <w:pPr>
      <w:tabs>
        <w:tab w:val="num" w:pos="2160"/>
      </w:tabs>
      <w:spacing w:after="240" w:line="240" w:lineRule="auto"/>
      <w:ind w:left="1800" w:hanging="360"/>
      <w:outlineLvl w:val="5"/>
    </w:pPr>
    <w:rPr>
      <w:rFonts w:ascii="Times New Roman" w:eastAsia="Times New Roman" w:hAnsi="Times New Roman" w:cs="Times New Roman"/>
      <w:sz w:val="24"/>
      <w:szCs w:val="24"/>
      <w:lang w:val="en-US"/>
    </w:rPr>
  </w:style>
  <w:style w:type="paragraph" w:customStyle="1" w:styleId="StyleMainParanoChapter11ptBold">
    <w:name w:val="Style Main Para no Chapter # + 11 pt Bold"/>
    <w:basedOn w:val="MainParanoChapter"/>
    <w:rsid w:val="00074867"/>
    <w:pPr>
      <w:numPr>
        <w:ilvl w:val="0"/>
        <w:numId w:val="0"/>
      </w:numPr>
      <w:tabs>
        <w:tab w:val="num" w:pos="1440"/>
      </w:tabs>
      <w:ind w:left="720" w:hanging="720"/>
    </w:pPr>
    <w:rPr>
      <w:b/>
      <w:bCs/>
      <w:spacing w:val="-2"/>
      <w:sz w:val="22"/>
    </w:rPr>
  </w:style>
  <w:style w:type="paragraph" w:customStyle="1" w:styleId="ModelNrmlSingle">
    <w:name w:val="ModelNrmlSingle"/>
    <w:basedOn w:val="Normal"/>
    <w:link w:val="ModelNrmlSingleChar"/>
    <w:rsid w:val="00074867"/>
    <w:pPr>
      <w:spacing w:after="240" w:line="240" w:lineRule="auto"/>
      <w:ind w:firstLine="720"/>
      <w:jc w:val="both"/>
    </w:pPr>
    <w:rPr>
      <w:rFonts w:ascii="Times New Roman" w:eastAsia="Times New Roman" w:hAnsi="Times New Roman" w:cs="Times New Roman"/>
      <w:szCs w:val="20"/>
      <w:lang w:val="en-US"/>
    </w:rPr>
  </w:style>
  <w:style w:type="character" w:customStyle="1" w:styleId="ModelNrmlSingleChar">
    <w:name w:val="ModelNrmlSingle Char"/>
    <w:link w:val="ModelNrmlSingle"/>
    <w:rsid w:val="00074867"/>
    <w:rPr>
      <w:rFonts w:ascii="Times New Roman" w:eastAsia="Times New Roman" w:hAnsi="Times New Roman" w:cs="Times New Roman"/>
      <w:szCs w:val="20"/>
      <w:lang w:val="en-US"/>
    </w:rPr>
  </w:style>
  <w:style w:type="paragraph" w:customStyle="1" w:styleId="Bullet">
    <w:name w:val="Bullet"/>
    <w:basedOn w:val="Normal"/>
    <w:rsid w:val="00074867"/>
    <w:pPr>
      <w:numPr>
        <w:numId w:val="166"/>
      </w:numPr>
      <w:spacing w:after="0" w:line="240" w:lineRule="auto"/>
    </w:pPr>
    <w:rPr>
      <w:rFonts w:ascii="Times New Roman" w:eastAsia="Times New Roman" w:hAnsi="Times New Roman" w:cs="Times New Roman"/>
      <w:sz w:val="24"/>
      <w:szCs w:val="24"/>
      <w:lang w:val="fr-CA" w:eastAsia="fr-FR"/>
    </w:rPr>
  </w:style>
  <w:style w:type="paragraph" w:customStyle="1" w:styleId="ParaWB">
    <w:name w:val="Para WB"/>
    <w:basedOn w:val="Normal"/>
    <w:rsid w:val="00074867"/>
    <w:pPr>
      <w:numPr>
        <w:numId w:val="155"/>
      </w:numPr>
      <w:spacing w:before="120" w:after="120" w:line="240" w:lineRule="auto"/>
      <w:jc w:val="both"/>
    </w:pPr>
    <w:rPr>
      <w:rFonts w:ascii="Times New Roman" w:eastAsia="Times New Roman" w:hAnsi="Times New Roman" w:cs="Times New Roman"/>
      <w:sz w:val="24"/>
      <w:szCs w:val="24"/>
      <w:lang w:eastAsia="fr-FR"/>
    </w:rPr>
  </w:style>
  <w:style w:type="paragraph" w:styleId="ndiceremissivo1">
    <w:name w:val="index 1"/>
    <w:basedOn w:val="Normal"/>
    <w:next w:val="Normal"/>
    <w:autoRedefine/>
    <w:semiHidden/>
    <w:rsid w:val="00074867"/>
    <w:pPr>
      <w:numPr>
        <w:numId w:val="157"/>
      </w:numPr>
      <w:spacing w:after="0" w:line="240" w:lineRule="auto"/>
      <w:ind w:left="1980" w:hanging="540"/>
      <w:jc w:val="both"/>
    </w:pPr>
    <w:rPr>
      <w:rFonts w:ascii="Times New Roman" w:eastAsia="Times New Roman" w:hAnsi="Times New Roman" w:cs="Times New Roman"/>
      <w:sz w:val="24"/>
      <w:szCs w:val="24"/>
      <w:lang w:eastAsia="fr-FR"/>
    </w:rPr>
  </w:style>
  <w:style w:type="paragraph" w:customStyle="1" w:styleId="Outline4">
    <w:name w:val="Outline4"/>
    <w:basedOn w:val="Normal"/>
    <w:rsid w:val="00074867"/>
    <w:pPr>
      <w:numPr>
        <w:ilvl w:val="3"/>
        <w:numId w:val="156"/>
      </w:numPr>
      <w:tabs>
        <w:tab w:val="num" w:pos="1872"/>
      </w:tabs>
      <w:spacing w:before="240" w:after="0" w:line="240" w:lineRule="auto"/>
      <w:ind w:left="1872" w:hanging="504"/>
    </w:pPr>
    <w:rPr>
      <w:rFonts w:ascii="Times New Roman" w:eastAsia="Times New Roman" w:hAnsi="Times New Roman" w:cs="Times New Roman"/>
      <w:kern w:val="28"/>
      <w:sz w:val="24"/>
      <w:szCs w:val="24"/>
      <w:lang w:val="en-US" w:eastAsia="fr-FR"/>
    </w:rPr>
  </w:style>
  <w:style w:type="paragraph" w:customStyle="1" w:styleId="titre4">
    <w:name w:val="titre 4"/>
    <w:basedOn w:val="Normal"/>
    <w:autoRedefine/>
    <w:rsid w:val="00074867"/>
    <w:pPr>
      <w:numPr>
        <w:ilvl w:val="2"/>
        <w:numId w:val="159"/>
      </w:numPr>
      <w:spacing w:before="120" w:after="120" w:line="240" w:lineRule="auto"/>
      <w:jc w:val="both"/>
    </w:pPr>
    <w:rPr>
      <w:rFonts w:ascii="Century Schoolbook" w:eastAsia="Times New Roman" w:hAnsi="Century Schoolbook" w:cs="Times New Roman"/>
      <w:b/>
      <w:bCs/>
      <w:sz w:val="24"/>
      <w:szCs w:val="24"/>
      <w:lang w:eastAsia="fr-FR"/>
    </w:rPr>
  </w:style>
  <w:style w:type="paragraph" w:customStyle="1" w:styleId="Outline1">
    <w:name w:val="Outline1"/>
    <w:basedOn w:val="Outline"/>
    <w:next w:val="Outline2"/>
    <w:rsid w:val="00074867"/>
    <w:pPr>
      <w:keepNext/>
    </w:pPr>
    <w:rPr>
      <w:sz w:val="22"/>
      <w:szCs w:val="22"/>
      <w:lang w:val="fr-CA"/>
    </w:rPr>
  </w:style>
  <w:style w:type="paragraph" w:customStyle="1" w:styleId="Outline">
    <w:name w:val="Outline"/>
    <w:basedOn w:val="Normal"/>
    <w:rsid w:val="00074867"/>
    <w:pPr>
      <w:spacing w:before="240" w:after="0" w:line="240" w:lineRule="auto"/>
    </w:pPr>
    <w:rPr>
      <w:rFonts w:ascii="Times New Roman" w:eastAsia="Times New Roman" w:hAnsi="Times New Roman" w:cs="Times New Roman"/>
      <w:kern w:val="28"/>
      <w:sz w:val="24"/>
      <w:szCs w:val="24"/>
      <w:lang w:val="en-US" w:eastAsia="fr-FR"/>
    </w:rPr>
  </w:style>
  <w:style w:type="paragraph" w:customStyle="1" w:styleId="Outline2">
    <w:name w:val="Outline2"/>
    <w:basedOn w:val="Normal"/>
    <w:rsid w:val="00074867"/>
    <w:pPr>
      <w:numPr>
        <w:ilvl w:val="2"/>
        <w:numId w:val="156"/>
      </w:numPr>
      <w:tabs>
        <w:tab w:val="num" w:pos="864"/>
      </w:tabs>
      <w:spacing w:before="240" w:after="0" w:line="240" w:lineRule="auto"/>
      <w:ind w:left="864" w:hanging="504"/>
    </w:pPr>
    <w:rPr>
      <w:rFonts w:ascii="Times New Roman" w:eastAsia="Times New Roman" w:hAnsi="Times New Roman" w:cs="Times New Roman"/>
      <w:kern w:val="28"/>
      <w:lang w:val="fr-CA" w:eastAsia="fr-FR"/>
    </w:rPr>
  </w:style>
  <w:style w:type="paragraph" w:customStyle="1" w:styleId="Outline3">
    <w:name w:val="Outline3"/>
    <w:basedOn w:val="Normal"/>
    <w:rsid w:val="00074867"/>
    <w:pPr>
      <w:tabs>
        <w:tab w:val="num" w:pos="1368"/>
      </w:tabs>
      <w:spacing w:before="240" w:after="0" w:line="240" w:lineRule="auto"/>
      <w:ind w:left="1368" w:hanging="504"/>
    </w:pPr>
    <w:rPr>
      <w:rFonts w:ascii="Times New Roman" w:eastAsia="Times New Roman" w:hAnsi="Times New Roman" w:cs="Times New Roman"/>
      <w:kern w:val="28"/>
      <w:lang w:val="fr-CA" w:eastAsia="fr-FR"/>
    </w:rPr>
  </w:style>
  <w:style w:type="paragraph" w:customStyle="1" w:styleId="TextBox">
    <w:name w:val="Text Box"/>
    <w:basedOn w:val="Normal"/>
    <w:rsid w:val="00074867"/>
    <w:pPr>
      <w:keepLines/>
      <w:framePr w:wrap="auto" w:vAnchor="text" w:hAnchor="text" w:xAlign="center" w:y="1"/>
      <w:pBdr>
        <w:top w:val="single" w:sz="6" w:space="12" w:color="auto"/>
        <w:left w:val="single" w:sz="6" w:space="12" w:color="auto"/>
        <w:bottom w:val="single" w:sz="6" w:space="12" w:color="auto"/>
        <w:right w:val="single" w:sz="6" w:space="12" w:color="auto"/>
      </w:pBdr>
      <w:shd w:val="pct20" w:color="auto" w:fill="auto"/>
      <w:spacing w:before="60" w:after="60" w:line="240" w:lineRule="auto"/>
      <w:ind w:left="288" w:right="288"/>
      <w:jc w:val="both"/>
    </w:pPr>
    <w:rPr>
      <w:rFonts w:ascii="Times New Roman" w:eastAsia="Times New Roman" w:hAnsi="Times New Roman" w:cs="Times New Roman"/>
      <w:sz w:val="20"/>
      <w:szCs w:val="20"/>
    </w:rPr>
  </w:style>
  <w:style w:type="paragraph" w:customStyle="1" w:styleId="TextBoxdots">
    <w:name w:val="Text Box (dots)"/>
    <w:basedOn w:val="Normal"/>
    <w:rsid w:val="00074867"/>
    <w:pPr>
      <w:keepLines/>
      <w:framePr w:hSpace="187" w:wrap="auto" w:vAnchor="text" w:hAnchor="text" w:xAlign="right" w:y="1"/>
      <w:pBdr>
        <w:top w:val="single" w:sz="6" w:space="7" w:color="auto" w:shadow="1"/>
        <w:left w:val="single" w:sz="6" w:space="7" w:color="auto" w:shadow="1"/>
        <w:bottom w:val="single" w:sz="6" w:space="7" w:color="auto" w:shadow="1"/>
        <w:right w:val="single" w:sz="6" w:space="7" w:color="auto" w:shadow="1"/>
      </w:pBdr>
      <w:shd w:val="pct10" w:color="auto" w:fill="auto"/>
      <w:spacing w:after="0" w:line="240" w:lineRule="auto"/>
      <w:jc w:val="both"/>
    </w:pPr>
    <w:rPr>
      <w:rFonts w:ascii="Times New Roman" w:eastAsia="Times New Roman" w:hAnsi="Times New Roman" w:cs="Times New Roman"/>
      <w:szCs w:val="20"/>
    </w:rPr>
  </w:style>
  <w:style w:type="paragraph" w:customStyle="1" w:styleId="TextBoxUnframed">
    <w:name w:val="Text Box Unframed"/>
    <w:basedOn w:val="Normal"/>
    <w:rsid w:val="00074867"/>
    <w:pPr>
      <w:keepLines/>
      <w:pBdr>
        <w:top w:val="single" w:sz="6" w:space="7" w:color="auto" w:shadow="1"/>
        <w:left w:val="single" w:sz="6" w:space="7" w:color="auto" w:shadow="1"/>
        <w:bottom w:val="single" w:sz="6" w:space="7" w:color="auto" w:shadow="1"/>
        <w:right w:val="single" w:sz="6" w:space="7" w:color="auto" w:shadow="1"/>
      </w:pBdr>
      <w:shd w:val="pct10" w:color="auto" w:fill="auto"/>
      <w:spacing w:after="0" w:line="240" w:lineRule="auto"/>
    </w:pPr>
    <w:rPr>
      <w:rFonts w:ascii="Times New Roman" w:eastAsia="Times New Roman" w:hAnsi="Times New Roman" w:cs="Times New Roman"/>
      <w:szCs w:val="20"/>
    </w:rPr>
  </w:style>
  <w:style w:type="paragraph" w:styleId="Textodemacro">
    <w:name w:val="macro"/>
    <w:link w:val="TextodemacroCarter"/>
    <w:semiHidden/>
    <w:rsid w:val="0007486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Times New Roman" w:eastAsia="Times New Roman" w:hAnsi="Times New Roman" w:cs="Times New Roman"/>
      <w:sz w:val="24"/>
      <w:szCs w:val="20"/>
      <w:lang w:val="en-US"/>
    </w:rPr>
  </w:style>
  <w:style w:type="character" w:customStyle="1" w:styleId="TextodemacroCarter">
    <w:name w:val="Texto de macro Caráter"/>
    <w:basedOn w:val="Tipodeletrapredefinidodopargrafo"/>
    <w:link w:val="Textodemacro"/>
    <w:semiHidden/>
    <w:rsid w:val="00074867"/>
    <w:rPr>
      <w:rFonts w:ascii="Times New Roman" w:eastAsia="Times New Roman" w:hAnsi="Times New Roman" w:cs="Times New Roman"/>
      <w:sz w:val="24"/>
      <w:szCs w:val="20"/>
      <w:lang w:val="en-US"/>
    </w:rPr>
  </w:style>
  <w:style w:type="paragraph" w:customStyle="1" w:styleId="BoxCaption">
    <w:name w:val="Box Caption"/>
    <w:basedOn w:val="TextBox"/>
    <w:rsid w:val="00074867"/>
    <w:pPr>
      <w:framePr w:wrap="auto"/>
    </w:pPr>
    <w:rPr>
      <w:rFonts w:ascii="Arial" w:hAnsi="Arial"/>
      <w:b/>
    </w:rPr>
  </w:style>
  <w:style w:type="paragraph" w:customStyle="1" w:styleId="CaptionBox">
    <w:name w:val="Caption Box"/>
    <w:basedOn w:val="BoxCaption"/>
    <w:rsid w:val="00074867"/>
    <w:pPr>
      <w:framePr w:wrap="auto"/>
    </w:pPr>
  </w:style>
  <w:style w:type="paragraph" w:customStyle="1" w:styleId="TextBoxIndent">
    <w:name w:val="Text Box Indent"/>
    <w:basedOn w:val="TextBox"/>
    <w:rsid w:val="00074867"/>
    <w:pPr>
      <w:framePr w:wrap="auto"/>
      <w:tabs>
        <w:tab w:val="left" w:pos="630"/>
      </w:tabs>
      <w:ind w:left="1080" w:hanging="792"/>
    </w:pPr>
  </w:style>
  <w:style w:type="paragraph" w:customStyle="1" w:styleId="BodyText31">
    <w:name w:val="Body Text 31"/>
    <w:basedOn w:val="Normal"/>
    <w:rsid w:val="00074867"/>
    <w:pPr>
      <w:suppressAutoHyphens/>
      <w:overflowPunct w:val="0"/>
      <w:autoSpaceDE w:val="0"/>
      <w:autoSpaceDN w:val="0"/>
      <w:adjustRightInd w:val="0"/>
      <w:spacing w:after="0" w:line="100" w:lineRule="atLeast"/>
      <w:jc w:val="both"/>
      <w:textAlignment w:val="baseline"/>
    </w:pPr>
    <w:rPr>
      <w:rFonts w:ascii="Arial" w:eastAsia="Calibri" w:hAnsi="Arial" w:cs="Times New Roman"/>
      <w:kern w:val="1"/>
      <w:sz w:val="24"/>
      <w:szCs w:val="20"/>
      <w:lang w:eastAsia="fr-FR"/>
    </w:rPr>
  </w:style>
  <w:style w:type="paragraph" w:customStyle="1" w:styleId="western">
    <w:name w:val="western"/>
    <w:basedOn w:val="Normal"/>
    <w:rsid w:val="00074867"/>
    <w:pPr>
      <w:spacing w:before="100" w:beforeAutospacing="1" w:after="0" w:line="240" w:lineRule="auto"/>
      <w:jc w:val="both"/>
    </w:pPr>
    <w:rPr>
      <w:rFonts w:ascii="Arial" w:eastAsia="Arial Unicode MS" w:hAnsi="Arial" w:cs="Arial"/>
      <w:color w:val="000000"/>
      <w:sz w:val="24"/>
      <w:szCs w:val="24"/>
      <w:lang w:eastAsia="fr-FR"/>
    </w:rPr>
  </w:style>
  <w:style w:type="character" w:customStyle="1" w:styleId="hps">
    <w:name w:val="hps"/>
    <w:rsid w:val="00074867"/>
  </w:style>
  <w:style w:type="character" w:customStyle="1" w:styleId="atn">
    <w:name w:val="atn"/>
    <w:rsid w:val="00074867"/>
  </w:style>
  <w:style w:type="paragraph" w:customStyle="1" w:styleId="pabid7">
    <w:name w:val="pabid7"/>
    <w:basedOn w:val="Normal"/>
    <w:rsid w:val="00074867"/>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CitaoHTML">
    <w:name w:val="HTML Cite"/>
    <w:semiHidden/>
    <w:rsid w:val="00074867"/>
    <w:rPr>
      <w:i w:val="0"/>
      <w:iCs w:val="0"/>
      <w:color w:val="009933"/>
    </w:rPr>
  </w:style>
  <w:style w:type="character" w:customStyle="1" w:styleId="TextedebullesCar1">
    <w:name w:val="Texte de bulles Car1"/>
    <w:basedOn w:val="Tipodeletrapredefinidodopargrafo"/>
    <w:uiPriority w:val="99"/>
    <w:semiHidden/>
    <w:rsid w:val="00074867"/>
    <w:rPr>
      <w:rFonts w:ascii="Tahoma" w:eastAsia="Times New Roman" w:hAnsi="Tahoma" w:cs="Tahoma"/>
      <w:sz w:val="16"/>
      <w:szCs w:val="16"/>
      <w:lang w:val="en-US"/>
    </w:rPr>
  </w:style>
  <w:style w:type="paragraph" w:customStyle="1" w:styleId="Style1">
    <w:name w:val="Style1"/>
    <w:basedOn w:val="Cabealho1"/>
    <w:link w:val="Style1Char"/>
    <w:qFormat/>
    <w:rsid w:val="00074867"/>
    <w:pPr>
      <w:numPr>
        <w:numId w:val="0"/>
      </w:numPr>
      <w:spacing w:before="240" w:after="240" w:line="240" w:lineRule="auto"/>
      <w:jc w:val="center"/>
    </w:pPr>
    <w:rPr>
      <w:rFonts w:ascii="Times New Roman Bold" w:eastAsia="Times New Roman" w:hAnsi="Times New Roman Bold"/>
      <w:sz w:val="32"/>
      <w:szCs w:val="20"/>
      <w:lang w:val="en-US"/>
    </w:rPr>
  </w:style>
  <w:style w:type="character" w:customStyle="1" w:styleId="Style1Char">
    <w:name w:val="Style1 Char"/>
    <w:basedOn w:val="Tipodeletrapredefinidodopargrafo"/>
    <w:link w:val="Style1"/>
    <w:rsid w:val="00074867"/>
    <w:rPr>
      <w:rFonts w:ascii="Times New Roman Bold" w:eastAsia="Times New Roman" w:hAnsi="Times New Roman Bold" w:cs="Times New Roman"/>
      <w:b/>
      <w:sz w:val="32"/>
      <w:szCs w:val="20"/>
      <w:lang w:val="en-US"/>
    </w:rPr>
  </w:style>
  <w:style w:type="paragraph" w:customStyle="1" w:styleId="Style2">
    <w:name w:val="Style2"/>
    <w:basedOn w:val="Cabealho1"/>
    <w:link w:val="Style2Char"/>
    <w:qFormat/>
    <w:rsid w:val="00074867"/>
    <w:pPr>
      <w:numPr>
        <w:numId w:val="0"/>
      </w:numPr>
      <w:spacing w:before="240" w:after="200" w:line="240" w:lineRule="auto"/>
      <w:jc w:val="center"/>
    </w:pPr>
    <w:rPr>
      <w:rFonts w:ascii="Times New Roman Bold" w:eastAsia="Times New Roman" w:hAnsi="Times New Roman Bold"/>
    </w:rPr>
  </w:style>
  <w:style w:type="character" w:customStyle="1" w:styleId="Style2Char">
    <w:name w:val="Style2 Char"/>
    <w:link w:val="Style2"/>
    <w:rsid w:val="00074867"/>
    <w:rPr>
      <w:rFonts w:ascii="Times New Roman Bold" w:eastAsia="Times New Roman" w:hAnsi="Times New Roman Bold" w:cs="Times New Roman"/>
      <w:b/>
      <w:sz w:val="28"/>
      <w:szCs w:val="28"/>
    </w:rPr>
  </w:style>
  <w:style w:type="paragraph" w:customStyle="1" w:styleId="Style3">
    <w:name w:val="Style3"/>
    <w:basedOn w:val="Cabealho6"/>
    <w:link w:val="Style3Char"/>
    <w:qFormat/>
    <w:rsid w:val="00074867"/>
    <w:pPr>
      <w:keepNext w:val="0"/>
      <w:keepLines w:val="0"/>
      <w:spacing w:before="0" w:line="240" w:lineRule="auto"/>
      <w:ind w:left="1080" w:hanging="1080"/>
      <w:jc w:val="center"/>
    </w:pPr>
    <w:rPr>
      <w:rFonts w:ascii="Times New Roman" w:hAnsi="Times New Roman"/>
      <w:b/>
      <w:i w:val="0"/>
      <w:iCs w:val="0"/>
      <w:smallCaps/>
      <w:color w:val="1F4D78" w:themeColor="accent1" w:themeShade="7F"/>
      <w:sz w:val="24"/>
      <w:szCs w:val="24"/>
      <w:lang w:val="en-US"/>
    </w:rPr>
  </w:style>
  <w:style w:type="character" w:customStyle="1" w:styleId="Style3Char">
    <w:name w:val="Style3 Char"/>
    <w:basedOn w:val="Titre6Car1"/>
    <w:link w:val="Style3"/>
    <w:rsid w:val="00074867"/>
    <w:rPr>
      <w:rFonts w:ascii="Times New Roman" w:eastAsia="Times New Roman" w:hAnsi="Times New Roman" w:cs="Times New Roman"/>
      <w:b/>
      <w:smallCaps/>
      <w:color w:val="1F4D78" w:themeColor="accent1" w:themeShade="7F"/>
      <w:sz w:val="24"/>
      <w:szCs w:val="24"/>
      <w:lang w:val="en-US"/>
    </w:rPr>
  </w:style>
  <w:style w:type="paragraph" w:customStyle="1" w:styleId="Style4">
    <w:name w:val="Style4"/>
    <w:basedOn w:val="Cabealho1"/>
    <w:link w:val="Style4Char"/>
    <w:qFormat/>
    <w:rsid w:val="00074867"/>
    <w:pPr>
      <w:numPr>
        <w:numId w:val="0"/>
      </w:numPr>
      <w:spacing w:before="240" w:after="240" w:line="240" w:lineRule="auto"/>
      <w:jc w:val="center"/>
    </w:pPr>
    <w:rPr>
      <w:rFonts w:ascii="Times New Roman Bold" w:eastAsia="Times New Roman" w:hAnsi="Times New Roman Bold"/>
      <w:sz w:val="32"/>
      <w:szCs w:val="20"/>
      <w:lang w:val="en-US"/>
    </w:rPr>
  </w:style>
  <w:style w:type="character" w:customStyle="1" w:styleId="Style4Char">
    <w:name w:val="Style4 Char"/>
    <w:basedOn w:val="Tipodeletrapredefinidodopargrafo"/>
    <w:link w:val="Style4"/>
    <w:rsid w:val="00074867"/>
    <w:rPr>
      <w:rFonts w:ascii="Times New Roman Bold" w:eastAsia="Times New Roman" w:hAnsi="Times New Roman Bold" w:cs="Times New Roman"/>
      <w:b/>
      <w:sz w:val="32"/>
      <w:szCs w:val="20"/>
      <w:lang w:val="en-US"/>
    </w:rPr>
  </w:style>
  <w:style w:type="paragraph" w:customStyle="1" w:styleId="Style5">
    <w:name w:val="Style5"/>
    <w:basedOn w:val="Cabealho1"/>
    <w:link w:val="Style5Char"/>
    <w:qFormat/>
    <w:rsid w:val="00074867"/>
    <w:pPr>
      <w:numPr>
        <w:numId w:val="161"/>
      </w:numPr>
      <w:spacing w:before="240" w:after="240" w:line="240" w:lineRule="auto"/>
      <w:jc w:val="center"/>
    </w:pPr>
    <w:rPr>
      <w:rFonts w:ascii="Times New Roman Bold" w:eastAsia="Times New Roman" w:hAnsi="Times New Roman Bold"/>
      <w:sz w:val="32"/>
      <w:szCs w:val="20"/>
      <w:lang w:val="en-US"/>
    </w:rPr>
  </w:style>
  <w:style w:type="character" w:customStyle="1" w:styleId="Style5Char">
    <w:name w:val="Style5 Char"/>
    <w:basedOn w:val="Tipodeletrapredefinidodopargrafo"/>
    <w:link w:val="Style5"/>
    <w:rsid w:val="00074867"/>
    <w:rPr>
      <w:rFonts w:ascii="Times New Roman Bold" w:eastAsia="Times New Roman" w:hAnsi="Times New Roman Bold" w:cs="Times New Roman"/>
      <w:b/>
      <w:sz w:val="32"/>
      <w:szCs w:val="20"/>
      <w:lang w:val="en-US"/>
    </w:rPr>
  </w:style>
  <w:style w:type="paragraph" w:customStyle="1" w:styleId="Style6">
    <w:name w:val="Style6"/>
    <w:basedOn w:val="Cabealho1"/>
    <w:link w:val="Style6Char"/>
    <w:qFormat/>
    <w:rsid w:val="00074867"/>
    <w:pPr>
      <w:numPr>
        <w:numId w:val="0"/>
      </w:numPr>
      <w:spacing w:before="200" w:after="200" w:line="240" w:lineRule="auto"/>
      <w:jc w:val="center"/>
    </w:pPr>
    <w:rPr>
      <w:rFonts w:ascii="Times New Roman Bold" w:eastAsia="Times New Roman" w:hAnsi="Times New Roman Bold"/>
      <w:smallCaps/>
    </w:rPr>
  </w:style>
  <w:style w:type="character" w:customStyle="1" w:styleId="Style6Char">
    <w:name w:val="Style6 Char"/>
    <w:link w:val="Style6"/>
    <w:rsid w:val="00074867"/>
    <w:rPr>
      <w:rFonts w:ascii="Times New Roman Bold" w:eastAsia="Times New Roman" w:hAnsi="Times New Roman Bold" w:cs="Times New Roman"/>
      <w:b/>
      <w:smallCaps/>
      <w:sz w:val="28"/>
      <w:szCs w:val="28"/>
    </w:rPr>
  </w:style>
  <w:style w:type="paragraph" w:customStyle="1" w:styleId="Style7">
    <w:name w:val="Style7"/>
    <w:basedOn w:val="Cabealho3"/>
    <w:link w:val="Style7Char"/>
    <w:qFormat/>
    <w:rsid w:val="00074867"/>
    <w:pPr>
      <w:keepNext w:val="0"/>
      <w:numPr>
        <w:numId w:val="159"/>
      </w:numPr>
      <w:spacing w:before="0" w:after="200"/>
      <w:contextualSpacing/>
    </w:pPr>
    <w:rPr>
      <w:rFonts w:eastAsia="Times New Roman"/>
      <w:bCs w:val="0"/>
      <w:lang w:val="en-GB" w:eastAsia="en-US"/>
    </w:rPr>
  </w:style>
  <w:style w:type="character" w:customStyle="1" w:styleId="Style7Char">
    <w:name w:val="Style7 Char"/>
    <w:basedOn w:val="Tipodeletrapredefinidodopargrafo"/>
    <w:link w:val="Style7"/>
    <w:rsid w:val="00074867"/>
    <w:rPr>
      <w:rFonts w:ascii="Times New Roman" w:eastAsia="Times New Roman" w:hAnsi="Times New Roman" w:cs="Times New Roman"/>
      <w:b/>
      <w:sz w:val="28"/>
      <w:szCs w:val="28"/>
      <w:lang w:val="en-GB"/>
    </w:rPr>
  </w:style>
  <w:style w:type="paragraph" w:customStyle="1" w:styleId="Style8">
    <w:name w:val="Style8"/>
    <w:basedOn w:val="Cabealho1"/>
    <w:link w:val="Style8Char"/>
    <w:qFormat/>
    <w:rsid w:val="00074867"/>
    <w:pPr>
      <w:numPr>
        <w:numId w:val="0"/>
      </w:numPr>
      <w:spacing w:before="240" w:after="240" w:line="240" w:lineRule="auto"/>
      <w:jc w:val="center"/>
    </w:pPr>
    <w:rPr>
      <w:rFonts w:ascii="Times New Roman Bold" w:eastAsia="Times New Roman" w:hAnsi="Times New Roman Bold"/>
      <w:sz w:val="32"/>
      <w:szCs w:val="20"/>
      <w:lang w:val="en-US"/>
    </w:rPr>
  </w:style>
  <w:style w:type="character" w:customStyle="1" w:styleId="Style8Char">
    <w:name w:val="Style8 Char"/>
    <w:basedOn w:val="Tipodeletrapredefinidodopargrafo"/>
    <w:link w:val="Style8"/>
    <w:rsid w:val="00074867"/>
    <w:rPr>
      <w:rFonts w:ascii="Times New Roman Bold" w:eastAsia="Times New Roman" w:hAnsi="Times New Roman Bold" w:cs="Times New Roman"/>
      <w:b/>
      <w:sz w:val="32"/>
      <w:szCs w:val="20"/>
      <w:lang w:val="en-US"/>
    </w:rPr>
  </w:style>
  <w:style w:type="paragraph" w:customStyle="1" w:styleId="Style9">
    <w:name w:val="Style9"/>
    <w:basedOn w:val="Cabealho1"/>
    <w:link w:val="Style9Char"/>
    <w:qFormat/>
    <w:rsid w:val="00074867"/>
    <w:pPr>
      <w:numPr>
        <w:numId w:val="168"/>
      </w:numPr>
      <w:spacing w:before="240" w:after="240" w:line="240" w:lineRule="auto"/>
      <w:jc w:val="center"/>
    </w:pPr>
    <w:rPr>
      <w:rFonts w:ascii="Times New Roman Bold" w:eastAsia="Times New Roman" w:hAnsi="Times New Roman Bold"/>
      <w:sz w:val="32"/>
      <w:szCs w:val="20"/>
      <w:lang w:val="en-US"/>
    </w:rPr>
  </w:style>
  <w:style w:type="character" w:customStyle="1" w:styleId="Style9Char">
    <w:name w:val="Style9 Char"/>
    <w:basedOn w:val="Tipodeletrapredefinidodopargrafo"/>
    <w:link w:val="Style9"/>
    <w:rsid w:val="00074867"/>
    <w:rPr>
      <w:rFonts w:ascii="Times New Roman Bold" w:eastAsia="Times New Roman" w:hAnsi="Times New Roman Bold" w:cs="Times New Roman"/>
      <w:b/>
      <w:sz w:val="32"/>
      <w:szCs w:val="20"/>
      <w:lang w:val="en-US"/>
    </w:rPr>
  </w:style>
  <w:style w:type="paragraph" w:customStyle="1" w:styleId="Style10">
    <w:name w:val="Style10"/>
    <w:basedOn w:val="Cabealho1"/>
    <w:link w:val="Style10Char"/>
    <w:qFormat/>
    <w:rsid w:val="00074867"/>
    <w:pPr>
      <w:numPr>
        <w:numId w:val="0"/>
      </w:numPr>
      <w:spacing w:before="240" w:after="240" w:line="240" w:lineRule="auto"/>
      <w:jc w:val="center"/>
    </w:pPr>
    <w:rPr>
      <w:rFonts w:ascii="Times New Roman Bold" w:eastAsia="Times New Roman" w:hAnsi="Times New Roman Bold"/>
      <w:smallCaps/>
    </w:rPr>
  </w:style>
  <w:style w:type="character" w:customStyle="1" w:styleId="Style10Char">
    <w:name w:val="Style10 Char"/>
    <w:link w:val="Style10"/>
    <w:rsid w:val="00074867"/>
    <w:rPr>
      <w:rFonts w:ascii="Times New Roman Bold" w:eastAsia="Times New Roman" w:hAnsi="Times New Roman Bold" w:cs="Times New Roman"/>
      <w:b/>
      <w:smallCaps/>
      <w:sz w:val="28"/>
      <w:szCs w:val="28"/>
    </w:rPr>
  </w:style>
  <w:style w:type="paragraph" w:customStyle="1" w:styleId="Style11">
    <w:name w:val="Style11"/>
    <w:basedOn w:val="A1-Heading2"/>
    <w:link w:val="Style11Char"/>
    <w:qFormat/>
    <w:rsid w:val="00074867"/>
    <w:pPr>
      <w:ind w:left="360" w:firstLine="0"/>
    </w:pPr>
  </w:style>
  <w:style w:type="character" w:customStyle="1" w:styleId="Style11Char">
    <w:name w:val="Style11 Char"/>
    <w:basedOn w:val="A1-Heading2Char"/>
    <w:link w:val="Style11"/>
    <w:rsid w:val="00074867"/>
    <w:rPr>
      <w:rFonts w:ascii="Times New Roman" w:eastAsia="Times New Roman" w:hAnsi="Times New Roman" w:cs="Times New Roman"/>
      <w:b/>
      <w:bCs/>
      <w:smallCaps/>
      <w:sz w:val="24"/>
      <w:szCs w:val="24"/>
      <w:lang w:val="en-GB"/>
    </w:rPr>
  </w:style>
  <w:style w:type="character" w:customStyle="1" w:styleId="Style12Char">
    <w:name w:val="Style12 Char"/>
    <w:basedOn w:val="Tipodeletrapredefinidodopargrafo"/>
    <w:rsid w:val="00074867"/>
    <w:rPr>
      <w:rFonts w:ascii="Times New Roman Bold" w:eastAsia="Times New Roman" w:hAnsi="Times New Roman Bold" w:cs="Times New Roman"/>
      <w:b/>
      <w:sz w:val="32"/>
      <w:szCs w:val="20"/>
      <w:lang w:val="en-US"/>
    </w:rPr>
  </w:style>
  <w:style w:type="paragraph" w:customStyle="1" w:styleId="PargrafodaLista1">
    <w:name w:val="Parágrafo da Lista1"/>
    <w:basedOn w:val="Normal"/>
    <w:rsid w:val="00074867"/>
    <w:pPr>
      <w:spacing w:after="0" w:line="240" w:lineRule="auto"/>
      <w:ind w:left="720"/>
      <w:contextualSpacing/>
    </w:pPr>
    <w:rPr>
      <w:rFonts w:ascii="Times New Roman" w:eastAsia="Calibri" w:hAnsi="Times New Roman" w:cs="Times New Roman"/>
      <w:sz w:val="24"/>
      <w:szCs w:val="20"/>
      <w:lang w:val="en-US"/>
    </w:rPr>
  </w:style>
  <w:style w:type="paragraph" w:customStyle="1" w:styleId="tdr1">
    <w:name w:val="tdr1"/>
    <w:basedOn w:val="Normal"/>
    <w:rsid w:val="00074867"/>
    <w:pPr>
      <w:spacing w:before="240" w:after="240" w:line="240" w:lineRule="auto"/>
    </w:pPr>
    <w:rPr>
      <w:rFonts w:ascii="Arial" w:eastAsia="Times New Roman" w:hAnsi="Arial" w:cs="Arial"/>
      <w:b/>
      <w:sz w:val="24"/>
      <w:szCs w:val="24"/>
      <w:lang w:eastAsia="fr-FR"/>
    </w:rPr>
  </w:style>
  <w:style w:type="character" w:customStyle="1" w:styleId="TextodecomentrioCarcter">
    <w:name w:val="Texto de comentário Carácter"/>
    <w:uiPriority w:val="99"/>
    <w:rsid w:val="00074867"/>
    <w:rPr>
      <w:rFonts w:ascii="Times New Roman" w:eastAsia="Times New Roman" w:hAnsi="Times New Roman"/>
    </w:rPr>
  </w:style>
  <w:style w:type="paragraph" w:customStyle="1" w:styleId="xmsonormal">
    <w:name w:val="x_msonormal"/>
    <w:basedOn w:val="Normal"/>
    <w:rsid w:val="00074867"/>
    <w:pPr>
      <w:spacing w:before="100" w:beforeAutospacing="1" w:after="100" w:afterAutospacing="1" w:line="240" w:lineRule="auto"/>
    </w:pPr>
    <w:rPr>
      <w:rFonts w:ascii="Times New Roman" w:eastAsia="Times New Roman" w:hAnsi="Times New Roman" w:cs="Times New Roman"/>
      <w:sz w:val="24"/>
      <w:szCs w:val="24"/>
      <w:lang w:eastAsia="pt-PT"/>
    </w:rPr>
  </w:style>
  <w:style w:type="paragraph" w:customStyle="1" w:styleId="xmsolistparagraph">
    <w:name w:val="x_msolistparagraph"/>
    <w:basedOn w:val="Normal"/>
    <w:rsid w:val="00074867"/>
    <w:pPr>
      <w:spacing w:before="100" w:beforeAutospacing="1" w:after="100" w:afterAutospacing="1" w:line="240" w:lineRule="auto"/>
    </w:pPr>
    <w:rPr>
      <w:rFonts w:ascii="Times New Roman" w:eastAsia="Times New Roman" w:hAnsi="Times New Roman" w:cs="Times New Roman"/>
      <w:sz w:val="24"/>
      <w:szCs w:val="24"/>
      <w:lang w:eastAsia="pt-PT"/>
    </w:rPr>
  </w:style>
  <w:style w:type="paragraph" w:customStyle="1" w:styleId="U">
    <w:name w:val="U"/>
    <w:basedOn w:val="Normal"/>
    <w:uiPriority w:val="99"/>
    <w:rsid w:val="00074867"/>
    <w:pPr>
      <w:widowControl w:val="0"/>
      <w:spacing w:after="0" w:line="260" w:lineRule="atLeast"/>
      <w:jc w:val="both"/>
    </w:pPr>
    <w:rPr>
      <w:rFonts w:ascii="Arial" w:eastAsia="Times New Roman" w:hAnsi="Arial" w:cs="Times New Roman"/>
      <w:b/>
      <w:szCs w:val="20"/>
      <w:lang w:val="en-GB"/>
    </w:rPr>
  </w:style>
  <w:style w:type="paragraph" w:customStyle="1" w:styleId="E1">
    <w:name w:val="E1"/>
    <w:basedOn w:val="Normal"/>
    <w:uiPriority w:val="99"/>
    <w:rsid w:val="00074867"/>
    <w:pPr>
      <w:widowControl w:val="0"/>
      <w:numPr>
        <w:numId w:val="169"/>
      </w:numPr>
      <w:spacing w:after="0" w:line="260" w:lineRule="atLeast"/>
      <w:jc w:val="both"/>
    </w:pPr>
    <w:rPr>
      <w:rFonts w:ascii="Arial" w:eastAsia="Times New Roman" w:hAnsi="Arial" w:cs="Times New Roman"/>
      <w:sz w:val="20"/>
      <w:szCs w:val="20"/>
      <w:lang w:val="en-GB"/>
    </w:rPr>
  </w:style>
  <w:style w:type="paragraph" w:customStyle="1" w:styleId="SemEspaamento1">
    <w:name w:val="Sem Espaçamento1"/>
    <w:rsid w:val="00074867"/>
    <w:pPr>
      <w:spacing w:after="0" w:line="240" w:lineRule="auto"/>
    </w:pPr>
    <w:rPr>
      <w:rFonts w:ascii="Comic Sans MS" w:eastAsia="Calibri" w:hAnsi="Comic Sans MS" w:cs="Times New Roman"/>
      <w:i/>
      <w:sz w:val="24"/>
      <w:szCs w:val="24"/>
      <w:lang w:val="pt-PT" w:eastAsia="pt-PT"/>
    </w:rPr>
  </w:style>
  <w:style w:type="paragraph" w:customStyle="1" w:styleId="nomcv">
    <w:name w:val="nomcv"/>
    <w:basedOn w:val="Normal"/>
    <w:uiPriority w:val="99"/>
    <w:rsid w:val="00074867"/>
    <w:pPr>
      <w:keepNext/>
      <w:keepLines/>
      <w:pBdr>
        <w:top w:val="single" w:sz="6" w:space="1" w:color="auto" w:shadow="1"/>
        <w:left w:val="single" w:sz="6" w:space="1" w:color="auto" w:shadow="1"/>
        <w:bottom w:val="single" w:sz="6" w:space="1" w:color="auto" w:shadow="1"/>
        <w:right w:val="single" w:sz="6" w:space="1" w:color="auto" w:shadow="1"/>
      </w:pBdr>
      <w:tabs>
        <w:tab w:val="left" w:pos="9071"/>
      </w:tabs>
      <w:spacing w:before="48" w:after="48" w:line="240" w:lineRule="auto"/>
      <w:jc w:val="center"/>
    </w:pPr>
    <w:rPr>
      <w:rFonts w:ascii="Times New Roman" w:eastAsia="Times New Roman" w:hAnsi="Times New Roman" w:cs="Times New Roman"/>
      <w:b/>
      <w:sz w:val="28"/>
      <w:szCs w:val="20"/>
      <w:lang w:eastAsia="fr-FR"/>
    </w:rPr>
  </w:style>
  <w:style w:type="paragraph" w:customStyle="1" w:styleId="normaltableau">
    <w:name w:val="normal_tableau"/>
    <w:basedOn w:val="Normal"/>
    <w:rsid w:val="00074867"/>
    <w:pPr>
      <w:suppressAutoHyphens/>
      <w:spacing w:before="120" w:after="120" w:line="240" w:lineRule="auto"/>
      <w:jc w:val="both"/>
    </w:pPr>
    <w:rPr>
      <w:rFonts w:ascii="Optima" w:eastAsia="Times New Roman" w:hAnsi="Optima" w:cs="Times New Roman"/>
      <w:szCs w:val="20"/>
      <w:lang w:val="en-GB" w:eastAsia="ar-SA"/>
    </w:rPr>
  </w:style>
  <w:style w:type="paragraph" w:customStyle="1" w:styleId="SimpleList">
    <w:name w:val="Simple List"/>
    <w:basedOn w:val="Normal"/>
    <w:uiPriority w:val="99"/>
    <w:rsid w:val="00074867"/>
    <w:pPr>
      <w:widowControl w:val="0"/>
      <w:tabs>
        <w:tab w:val="num" w:pos="720"/>
      </w:tabs>
      <w:autoSpaceDE w:val="0"/>
      <w:autoSpaceDN w:val="0"/>
      <w:adjustRightInd w:val="0"/>
      <w:spacing w:after="0" w:line="240" w:lineRule="auto"/>
      <w:ind w:left="720" w:hanging="720"/>
      <w:jc w:val="both"/>
    </w:pPr>
    <w:rPr>
      <w:rFonts w:ascii="Times New Roman" w:eastAsia="SimSun" w:hAnsi="Times New Roman" w:cs="Times New Roman"/>
      <w:sz w:val="24"/>
      <w:szCs w:val="28"/>
      <w:lang w:val="en-US" w:eastAsia="zh-CN"/>
    </w:rPr>
  </w:style>
  <w:style w:type="paragraph" w:customStyle="1" w:styleId="HeadingThree">
    <w:name w:val="Heading Three"/>
    <w:basedOn w:val="Normal"/>
    <w:uiPriority w:val="99"/>
    <w:rsid w:val="00074867"/>
    <w:pPr>
      <w:widowControl w:val="0"/>
      <w:autoSpaceDE w:val="0"/>
      <w:autoSpaceDN w:val="0"/>
      <w:adjustRightInd w:val="0"/>
      <w:spacing w:before="120" w:after="120" w:line="240" w:lineRule="auto"/>
      <w:jc w:val="center"/>
      <w:outlineLvl w:val="0"/>
    </w:pPr>
    <w:rPr>
      <w:rFonts w:ascii="Times New Roman" w:eastAsia="SimSun" w:hAnsi="Times New Roman" w:cs="Times New Roman"/>
      <w:b/>
      <w:sz w:val="28"/>
      <w:szCs w:val="24"/>
      <w:lang w:val="en-GB" w:eastAsia="x-none"/>
    </w:rPr>
  </w:style>
  <w:style w:type="paragraph" w:customStyle="1" w:styleId="Projet">
    <w:name w:val="Projet"/>
    <w:basedOn w:val="Normal"/>
    <w:rsid w:val="00074867"/>
    <w:pPr>
      <w:numPr>
        <w:numId w:val="179"/>
      </w:numPr>
      <w:spacing w:before="120" w:after="0" w:line="240" w:lineRule="exact"/>
      <w:jc w:val="both"/>
    </w:pPr>
    <w:rPr>
      <w:rFonts w:ascii="Times New Roman" w:eastAsia="Times New Roman" w:hAnsi="Times New Roman" w:cs="Times New Roman"/>
      <w:sz w:val="24"/>
      <w:szCs w:val="20"/>
      <w:lang w:eastAsia="fr-FR"/>
    </w:rPr>
  </w:style>
  <w:style w:type="paragraph" w:customStyle="1" w:styleId="Langue">
    <w:name w:val="Langue"/>
    <w:basedOn w:val="Normal"/>
    <w:rsid w:val="00074867"/>
    <w:pPr>
      <w:tabs>
        <w:tab w:val="center" w:pos="2269"/>
        <w:tab w:val="center" w:pos="4537"/>
        <w:tab w:val="center" w:pos="6804"/>
      </w:tabs>
      <w:spacing w:before="120" w:after="0" w:line="240" w:lineRule="auto"/>
      <w:jc w:val="both"/>
    </w:pPr>
    <w:rPr>
      <w:rFonts w:ascii="Arial" w:eastAsia="Times New Roman" w:hAnsi="Arial" w:cs="Arial"/>
      <w:sz w:val="20"/>
      <w:szCs w:val="20"/>
      <w:lang w:eastAsia="fr-FR"/>
    </w:rPr>
  </w:style>
  <w:style w:type="paragraph" w:customStyle="1" w:styleId="Styletexte">
    <w:name w:val="Style texte"/>
    <w:basedOn w:val="Normal"/>
    <w:link w:val="StyletexteCar1"/>
    <w:qFormat/>
    <w:rsid w:val="00074867"/>
    <w:pPr>
      <w:tabs>
        <w:tab w:val="left" w:pos="284"/>
      </w:tabs>
      <w:spacing w:after="80" w:line="240" w:lineRule="auto"/>
      <w:ind w:left="-141"/>
      <w:jc w:val="both"/>
    </w:pPr>
    <w:rPr>
      <w:rFonts w:ascii="Arial" w:eastAsia="Times New Roman" w:hAnsi="Arial" w:cs="Arial"/>
      <w:spacing w:val="-3"/>
      <w:sz w:val="20"/>
      <w:szCs w:val="20"/>
    </w:rPr>
  </w:style>
  <w:style w:type="character" w:customStyle="1" w:styleId="StyletexteCar1">
    <w:name w:val="Style texte Car1"/>
    <w:basedOn w:val="Tipodeletrapredefinidodopargrafo"/>
    <w:link w:val="Styletexte"/>
    <w:rsid w:val="00074867"/>
    <w:rPr>
      <w:rFonts w:ascii="Arial" w:eastAsia="Times New Roman" w:hAnsi="Arial" w:cs="Arial"/>
      <w:spacing w:val="-3"/>
      <w:sz w:val="20"/>
      <w:szCs w:val="20"/>
    </w:rPr>
  </w:style>
  <w:style w:type="paragraph" w:customStyle="1" w:styleId="StyleListe">
    <w:name w:val="Style Liste&gt;"/>
    <w:basedOn w:val="Styletexte"/>
    <w:link w:val="StyleListeCar"/>
    <w:qFormat/>
    <w:rsid w:val="00074867"/>
    <w:pPr>
      <w:numPr>
        <w:numId w:val="180"/>
      </w:numPr>
      <w:spacing w:before="240"/>
    </w:pPr>
    <w:rPr>
      <w:b/>
      <w:lang w:val="fr-CH"/>
    </w:rPr>
  </w:style>
  <w:style w:type="character" w:customStyle="1" w:styleId="StyleListeCar">
    <w:name w:val="Style Liste&gt; Car"/>
    <w:basedOn w:val="StyletexteCar1"/>
    <w:link w:val="StyleListe"/>
    <w:rsid w:val="00074867"/>
    <w:rPr>
      <w:rFonts w:ascii="Arial" w:eastAsia="Times New Roman" w:hAnsi="Arial" w:cs="Arial"/>
      <w:b/>
      <w:spacing w:val="-3"/>
      <w:sz w:val="20"/>
      <w:szCs w:val="20"/>
      <w:lang w:val="fr-CH"/>
    </w:rPr>
  </w:style>
  <w:style w:type="character" w:customStyle="1" w:styleId="MapadodocumentoCarter">
    <w:name w:val="Mapa do documento Caráter"/>
    <w:basedOn w:val="Tipodeletrapredefinidodopargrafo"/>
    <w:link w:val="Mapadodocumento"/>
    <w:uiPriority w:val="99"/>
    <w:semiHidden/>
    <w:rsid w:val="00074867"/>
    <w:rPr>
      <w:rFonts w:ascii="Tahoma" w:eastAsia="Times New Roman" w:hAnsi="Tahoma" w:cs="Tahoma"/>
      <w:sz w:val="16"/>
      <w:szCs w:val="16"/>
      <w:lang w:eastAsia="fr-FR"/>
    </w:rPr>
  </w:style>
  <w:style w:type="paragraph" w:styleId="Mapadodocumento">
    <w:name w:val="Document Map"/>
    <w:basedOn w:val="Normal"/>
    <w:link w:val="MapadodocumentoCarter"/>
    <w:uiPriority w:val="99"/>
    <w:semiHidden/>
    <w:unhideWhenUsed/>
    <w:rsid w:val="00074867"/>
    <w:pPr>
      <w:spacing w:after="0" w:line="240" w:lineRule="auto"/>
    </w:pPr>
    <w:rPr>
      <w:rFonts w:ascii="Tahoma" w:eastAsia="Times New Roman" w:hAnsi="Tahoma" w:cs="Tahoma"/>
      <w:sz w:val="16"/>
      <w:szCs w:val="16"/>
      <w:lang w:eastAsia="fr-FR"/>
    </w:rPr>
  </w:style>
  <w:style w:type="character" w:customStyle="1" w:styleId="ExplorateurdedocumentsCar1">
    <w:name w:val="Explorateur de documents Car1"/>
    <w:basedOn w:val="Tipodeletrapredefinidodopargrafo"/>
    <w:uiPriority w:val="99"/>
    <w:semiHidden/>
    <w:rsid w:val="00074867"/>
    <w:rPr>
      <w:rFonts w:ascii="Segoe UI" w:hAnsi="Segoe UI" w:cs="Segoe UI"/>
      <w:sz w:val="16"/>
      <w:szCs w:val="16"/>
    </w:rPr>
  </w:style>
  <w:style w:type="paragraph" w:customStyle="1" w:styleId="TITRE">
    <w:name w:val="TITRE"/>
    <w:basedOn w:val="Normal"/>
    <w:rsid w:val="00074867"/>
    <w:pPr>
      <w:pBdr>
        <w:top w:val="single" w:sz="6" w:space="1" w:color="000000"/>
      </w:pBdr>
      <w:spacing w:before="240" w:after="120" w:line="240" w:lineRule="auto"/>
      <w:jc w:val="both"/>
    </w:pPr>
    <w:rPr>
      <w:rFonts w:ascii="Arial" w:eastAsia="Times New Roman" w:hAnsi="Arial" w:cs="Times New Roman"/>
      <w:b/>
      <w:bCs/>
      <w:caps/>
      <w:sz w:val="20"/>
      <w:szCs w:val="20"/>
      <w:lang w:eastAsia="fr-FR"/>
    </w:rPr>
  </w:style>
  <w:style w:type="paragraph" w:customStyle="1" w:styleId="LD">
    <w:name w:val="LD"/>
    <w:basedOn w:val="Normal"/>
    <w:rsid w:val="00074867"/>
    <w:pPr>
      <w:tabs>
        <w:tab w:val="left" w:pos="1843"/>
      </w:tabs>
      <w:spacing w:before="240" w:after="0" w:line="240" w:lineRule="auto"/>
      <w:ind w:left="1843" w:hanging="1843"/>
    </w:pPr>
    <w:rPr>
      <w:rFonts w:ascii="Arial" w:eastAsia="Times New Roman" w:hAnsi="Arial" w:cs="Times New Roman"/>
      <w:sz w:val="20"/>
      <w:szCs w:val="20"/>
      <w:lang w:eastAsia="fr-FR"/>
    </w:rPr>
  </w:style>
  <w:style w:type="paragraph" w:customStyle="1" w:styleId="t1">
    <w:name w:val="t1"/>
    <w:basedOn w:val="Normal"/>
    <w:rsid w:val="00074867"/>
    <w:pPr>
      <w:widowControl w:val="0"/>
      <w:autoSpaceDE w:val="0"/>
      <w:autoSpaceDN w:val="0"/>
      <w:spacing w:after="0" w:line="240" w:lineRule="atLeast"/>
    </w:pPr>
    <w:rPr>
      <w:rFonts w:ascii="Times New Roman" w:eastAsia="Times New Roman" w:hAnsi="Times New Roman" w:cs="Times New Roman"/>
      <w:sz w:val="24"/>
      <w:szCs w:val="24"/>
      <w:lang w:eastAsia="fr-FR"/>
    </w:rPr>
  </w:style>
  <w:style w:type="character" w:customStyle="1" w:styleId="TexteCar1">
    <w:name w:val="Texte Car1"/>
    <w:link w:val="Texte"/>
    <w:rsid w:val="00074867"/>
    <w:rPr>
      <w:rFonts w:ascii="Arial" w:eastAsia="Times New Roman" w:hAnsi="Arial" w:cs="Times New Roman"/>
      <w:sz w:val="20"/>
      <w:szCs w:val="20"/>
      <w:lang w:eastAsia="fr-FR"/>
    </w:rPr>
  </w:style>
  <w:style w:type="character" w:customStyle="1" w:styleId="a">
    <w:name w:val="ÀÀ"/>
    <w:basedOn w:val="Tipodeletrapredefinidodopargrafo"/>
    <w:rsid w:val="00074867"/>
  </w:style>
  <w:style w:type="paragraph" w:styleId="Lista2">
    <w:name w:val="List 2"/>
    <w:basedOn w:val="Normal"/>
    <w:rsid w:val="00074867"/>
    <w:pPr>
      <w:overflowPunct w:val="0"/>
      <w:autoSpaceDE w:val="0"/>
      <w:autoSpaceDN w:val="0"/>
      <w:adjustRightInd w:val="0"/>
      <w:spacing w:after="0" w:line="240" w:lineRule="auto"/>
      <w:ind w:left="566" w:hanging="283"/>
      <w:textAlignment w:val="baseline"/>
    </w:pPr>
    <w:rPr>
      <w:rFonts w:ascii="Arial" w:eastAsia="Times New Roman" w:hAnsi="Arial" w:cs="Times New Roman"/>
      <w:noProof/>
      <w:sz w:val="20"/>
      <w:szCs w:val="20"/>
      <w:lang w:eastAsia="fr-FR"/>
    </w:rPr>
  </w:style>
  <w:style w:type="paragraph" w:customStyle="1" w:styleId="Entte">
    <w:name w:val="Entête"/>
    <w:basedOn w:val="Normal"/>
    <w:rsid w:val="00074867"/>
    <w:pPr>
      <w:tabs>
        <w:tab w:val="left" w:pos="2127"/>
      </w:tabs>
      <w:overflowPunct w:val="0"/>
      <w:autoSpaceDE w:val="0"/>
      <w:autoSpaceDN w:val="0"/>
      <w:adjustRightInd w:val="0"/>
      <w:spacing w:before="120" w:after="0" w:line="240" w:lineRule="auto"/>
      <w:textAlignment w:val="baseline"/>
    </w:pPr>
    <w:rPr>
      <w:rFonts w:ascii="Times New Roman" w:eastAsia="Times New Roman" w:hAnsi="Times New Roman" w:cs="Times New Roman"/>
      <w:b/>
      <w:bCs/>
      <w:sz w:val="24"/>
      <w:szCs w:val="24"/>
      <w:lang w:eastAsia="fr-FR"/>
    </w:rPr>
  </w:style>
  <w:style w:type="paragraph" w:customStyle="1" w:styleId="L1">
    <w:name w:val="L1"/>
    <w:basedOn w:val="Normal"/>
    <w:rsid w:val="00074867"/>
    <w:pPr>
      <w:tabs>
        <w:tab w:val="left" w:pos="567"/>
      </w:tabs>
      <w:overflowPunct w:val="0"/>
      <w:autoSpaceDE w:val="0"/>
      <w:autoSpaceDN w:val="0"/>
      <w:adjustRightInd w:val="0"/>
      <w:spacing w:before="60" w:after="60" w:line="240" w:lineRule="auto"/>
      <w:ind w:right="2269" w:hanging="284"/>
      <w:jc w:val="both"/>
      <w:textAlignment w:val="baseline"/>
    </w:pPr>
    <w:rPr>
      <w:rFonts w:ascii="Times New Roman" w:eastAsia="Times New Roman" w:hAnsi="Times New Roman" w:cs="Times New Roman"/>
      <w:sz w:val="20"/>
      <w:lang w:eastAsia="fr-FR"/>
    </w:rPr>
  </w:style>
  <w:style w:type="paragraph" w:customStyle="1" w:styleId="TableText0">
    <w:name w:val="Table Text"/>
    <w:basedOn w:val="Normal"/>
    <w:autoRedefine/>
    <w:rsid w:val="00074867"/>
    <w:pPr>
      <w:overflowPunct w:val="0"/>
      <w:autoSpaceDE w:val="0"/>
      <w:autoSpaceDN w:val="0"/>
      <w:adjustRightInd w:val="0"/>
      <w:spacing w:after="0" w:line="264" w:lineRule="auto"/>
      <w:ind w:left="38"/>
      <w:jc w:val="both"/>
      <w:textAlignment w:val="baseline"/>
    </w:pPr>
    <w:rPr>
      <w:rFonts w:ascii="Times New Roman" w:eastAsia="Times New Roman" w:hAnsi="Times New Roman" w:cs="Times New Roman"/>
      <w:b/>
      <w:sz w:val="20"/>
      <w:szCs w:val="20"/>
      <w:lang w:val="en-GB"/>
    </w:rPr>
  </w:style>
  <w:style w:type="paragraph" w:customStyle="1" w:styleId="Nomdesocit">
    <w:name w:val="Nom de société"/>
    <w:basedOn w:val="Normal"/>
    <w:next w:val="Normal"/>
    <w:autoRedefine/>
    <w:rsid w:val="00074867"/>
    <w:pPr>
      <w:spacing w:after="0" w:line="240" w:lineRule="auto"/>
      <w:jc w:val="both"/>
    </w:pPr>
    <w:rPr>
      <w:rFonts w:ascii="Times New Roman" w:eastAsia="Times New Roman" w:hAnsi="Times New Roman" w:cs="Times New Roman"/>
      <w:b/>
      <w:bCs/>
      <w:color w:val="000000"/>
      <w:sz w:val="20"/>
      <w:szCs w:val="20"/>
      <w:lang w:eastAsia="fr-FR"/>
    </w:rPr>
  </w:style>
  <w:style w:type="paragraph" w:customStyle="1" w:styleId="Text">
    <w:name w:val="Text"/>
    <w:basedOn w:val="Normal"/>
    <w:uiPriority w:val="99"/>
    <w:rsid w:val="00074867"/>
    <w:pPr>
      <w:widowControl w:val="0"/>
      <w:autoSpaceDE w:val="0"/>
      <w:autoSpaceDN w:val="0"/>
      <w:adjustRightInd w:val="0"/>
      <w:spacing w:before="120" w:after="120" w:line="240" w:lineRule="auto"/>
      <w:jc w:val="both"/>
    </w:pPr>
    <w:rPr>
      <w:rFonts w:ascii="Times New Roman" w:eastAsia="SimSun" w:hAnsi="Times New Roman" w:cs="Times New Roman"/>
      <w:sz w:val="24"/>
      <w:szCs w:val="28"/>
      <w:lang w:val="en-US" w:eastAsia="zh-CN"/>
    </w:rPr>
  </w:style>
  <w:style w:type="paragraph" w:customStyle="1" w:styleId="WW-Corpsdetexte2">
    <w:name w:val="WW-Corps de texte 2"/>
    <w:basedOn w:val="Normal"/>
    <w:rsid w:val="00074867"/>
    <w:pPr>
      <w:suppressAutoHyphens/>
      <w:spacing w:after="0" w:line="360" w:lineRule="auto"/>
    </w:pPr>
    <w:rPr>
      <w:rFonts w:ascii="Times New Roman" w:eastAsia="Times New Roman" w:hAnsi="Times New Roman" w:cs="Times New Roman"/>
      <w:lang w:eastAsia="ar-SA"/>
    </w:rPr>
  </w:style>
  <w:style w:type="character" w:customStyle="1" w:styleId="gi">
    <w:name w:val="gi"/>
    <w:basedOn w:val="Tipodeletrapredefinidodopargrafo"/>
    <w:rsid w:val="00074867"/>
  </w:style>
  <w:style w:type="paragraph" w:customStyle="1" w:styleId="Russite">
    <w:name w:val="Réussite"/>
    <w:basedOn w:val="Corpodetexto"/>
    <w:rsid w:val="00074867"/>
    <w:pPr>
      <w:numPr>
        <w:numId w:val="181"/>
      </w:numPr>
      <w:tabs>
        <w:tab w:val="clear" w:pos="-720"/>
        <w:tab w:val="clear" w:pos="1071"/>
        <w:tab w:val="num" w:pos="360"/>
        <w:tab w:val="num" w:pos="1245"/>
      </w:tabs>
      <w:suppressAutoHyphens w:val="0"/>
      <w:overflowPunct/>
      <w:autoSpaceDE/>
      <w:autoSpaceDN/>
      <w:adjustRightInd/>
      <w:spacing w:after="60" w:line="220" w:lineRule="atLeast"/>
      <w:ind w:left="1245" w:firstLine="0"/>
    </w:pPr>
    <w:rPr>
      <w:spacing w:val="-5"/>
      <w:sz w:val="20"/>
      <w:lang w:val="fr-FR"/>
    </w:rPr>
  </w:style>
  <w:style w:type="paragraph" w:customStyle="1" w:styleId="SolbaseNormal">
    <w:name w:val="Solbase_Normal"/>
    <w:basedOn w:val="Normal"/>
    <w:qFormat/>
    <w:rsid w:val="007D333A"/>
    <w:pPr>
      <w:spacing w:after="120" w:line="240" w:lineRule="auto"/>
      <w:ind w:left="1134"/>
      <w:jc w:val="both"/>
    </w:pPr>
    <w:rPr>
      <w:rFonts w:ascii="Century Gothic" w:eastAsia="Times New Roman" w:hAnsi="Century Gothic" w:cs="Times New Roman"/>
      <w:sz w:val="20"/>
      <w:szCs w:val="20"/>
      <w:lang w:eastAsia="fr-FR"/>
    </w:rPr>
  </w:style>
  <w:style w:type="character" w:customStyle="1" w:styleId="Textedelespacerserv">
    <w:name w:val="Texte de l’espace réservé"/>
    <w:basedOn w:val="Tipodeletrapredefinidodopargrafo"/>
    <w:uiPriority w:val="99"/>
    <w:semiHidden/>
    <w:rsid w:val="007D333A"/>
    <w:rPr>
      <w:color w:val="808080"/>
    </w:rPr>
  </w:style>
  <w:style w:type="paragraph" w:customStyle="1" w:styleId="texte0">
    <w:name w:val="texte"/>
    <w:basedOn w:val="Normal"/>
    <w:rsid w:val="00C6044A"/>
    <w:pPr>
      <w:spacing w:after="200" w:line="276" w:lineRule="auto"/>
      <w:jc w:val="both"/>
    </w:pPr>
    <w:rPr>
      <w:rFonts w:ascii="Arial" w:eastAsia="Calibri" w:hAnsi="Arial" w:cs="Arial"/>
      <w:sz w:val="20"/>
      <w:szCs w:val="20"/>
    </w:rPr>
  </w:style>
  <w:style w:type="paragraph" w:customStyle="1" w:styleId="BVIfnrCharCar1CarCharChar">
    <w:name w:val="BVI fnr Char Car1 Car Char Char"/>
    <w:aliases w:val="BVI fnr Char Car Car Char Char,ftref Char Car Car Char Char, BVI fnr Char Car Char Char Car Car Char Char,BVI fnr Char Car Char Char Car Car Char Char,ftref Char Car Char Char Car Car Char Char"/>
    <w:basedOn w:val="Normal"/>
    <w:next w:val="Normal"/>
    <w:link w:val="Refdenotaderodap"/>
    <w:uiPriority w:val="99"/>
    <w:rsid w:val="00830B1F"/>
    <w:pPr>
      <w:spacing w:line="240" w:lineRule="exact"/>
      <w:jc w:val="both"/>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3546942">
      <w:bodyDiv w:val="1"/>
      <w:marLeft w:val="0"/>
      <w:marRight w:val="0"/>
      <w:marTop w:val="0"/>
      <w:marBottom w:val="0"/>
      <w:divBdr>
        <w:top w:val="none" w:sz="0" w:space="0" w:color="auto"/>
        <w:left w:val="none" w:sz="0" w:space="0" w:color="auto"/>
        <w:bottom w:val="none" w:sz="0" w:space="0" w:color="auto"/>
        <w:right w:val="none" w:sz="0" w:space="0" w:color="auto"/>
      </w:divBdr>
    </w:div>
    <w:div w:id="809245652">
      <w:bodyDiv w:val="1"/>
      <w:marLeft w:val="0"/>
      <w:marRight w:val="0"/>
      <w:marTop w:val="0"/>
      <w:marBottom w:val="0"/>
      <w:divBdr>
        <w:top w:val="none" w:sz="0" w:space="0" w:color="auto"/>
        <w:left w:val="none" w:sz="0" w:space="0" w:color="auto"/>
        <w:bottom w:val="none" w:sz="0" w:space="0" w:color="auto"/>
        <w:right w:val="none" w:sz="0" w:space="0" w:color="auto"/>
      </w:divBdr>
    </w:div>
    <w:div w:id="1118379193">
      <w:bodyDiv w:val="1"/>
      <w:marLeft w:val="0"/>
      <w:marRight w:val="0"/>
      <w:marTop w:val="0"/>
      <w:marBottom w:val="0"/>
      <w:divBdr>
        <w:top w:val="none" w:sz="0" w:space="0" w:color="auto"/>
        <w:left w:val="none" w:sz="0" w:space="0" w:color="auto"/>
        <w:bottom w:val="none" w:sz="0" w:space="0" w:color="auto"/>
        <w:right w:val="none" w:sz="0" w:space="0" w:color="auto"/>
      </w:divBdr>
    </w:div>
    <w:div w:id="1715696426">
      <w:bodyDiv w:val="1"/>
      <w:marLeft w:val="0"/>
      <w:marRight w:val="0"/>
      <w:marTop w:val="0"/>
      <w:marBottom w:val="0"/>
      <w:divBdr>
        <w:top w:val="none" w:sz="0" w:space="0" w:color="auto"/>
        <w:left w:val="none" w:sz="0" w:space="0" w:color="auto"/>
        <w:bottom w:val="none" w:sz="0" w:space="0" w:color="auto"/>
        <w:right w:val="none" w:sz="0" w:space="0" w:color="auto"/>
      </w:divBdr>
    </w:div>
    <w:div w:id="1969429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650.jpeg"/><Relationship Id="rId21" Type="http://schemas.openxmlformats.org/officeDocument/2006/relationships/header" Target="header2.xml"/><Relationship Id="rId42" Type="http://schemas.openxmlformats.org/officeDocument/2006/relationships/image" Target="media/image22.png"/><Relationship Id="rId63" Type="http://schemas.openxmlformats.org/officeDocument/2006/relationships/image" Target="media/image43.jpeg"/><Relationship Id="rId84" Type="http://schemas.openxmlformats.org/officeDocument/2006/relationships/image" Target="media/image58.png"/><Relationship Id="rId138" Type="http://schemas.openxmlformats.org/officeDocument/2006/relationships/image" Target="media/image86.jpeg"/><Relationship Id="rId159" Type="http://schemas.openxmlformats.org/officeDocument/2006/relationships/image" Target="media/image105.png"/><Relationship Id="rId170" Type="http://schemas.openxmlformats.org/officeDocument/2006/relationships/image" Target="media/image118.jpeg"/><Relationship Id="rId191" Type="http://schemas.openxmlformats.org/officeDocument/2006/relationships/image" Target="media/image138.png"/><Relationship Id="rId205" Type="http://schemas.openxmlformats.org/officeDocument/2006/relationships/image" Target="media/image152.png"/><Relationship Id="rId107" Type="http://schemas.openxmlformats.org/officeDocument/2006/relationships/image" Target="media/image65.jpeg"/><Relationship Id="rId11" Type="http://schemas.openxmlformats.org/officeDocument/2006/relationships/hyperlink" Target="mailto:ecienvironnement@gmail.com" TargetMode="External"/><Relationship Id="rId32" Type="http://schemas.openxmlformats.org/officeDocument/2006/relationships/header" Target="header5.xml"/><Relationship Id="rId53" Type="http://schemas.openxmlformats.org/officeDocument/2006/relationships/image" Target="media/image33.jpeg"/><Relationship Id="rId74" Type="http://schemas.openxmlformats.org/officeDocument/2006/relationships/hyperlink" Target="http://www.meteoblue.com/fr/meteo/prevision/modelclimate/bissau_guin&#233;e-bissau" TargetMode="External"/><Relationship Id="rId128" Type="http://schemas.openxmlformats.org/officeDocument/2006/relationships/image" Target="media/image760.jpeg"/><Relationship Id="rId149" Type="http://schemas.openxmlformats.org/officeDocument/2006/relationships/image" Target="media/image97.jpeg"/><Relationship Id="rId5" Type="http://schemas.openxmlformats.org/officeDocument/2006/relationships/webSettings" Target="webSettings.xml"/><Relationship Id="rId95" Type="http://schemas.openxmlformats.org/officeDocument/2006/relationships/hyperlink" Target="https://www.guinee-bissau.net/ethnie_mancagne.php" TargetMode="External"/><Relationship Id="rId160" Type="http://schemas.openxmlformats.org/officeDocument/2006/relationships/image" Target="media/image108.jpeg"/><Relationship Id="rId181" Type="http://schemas.openxmlformats.org/officeDocument/2006/relationships/image" Target="media/image128.png"/><Relationship Id="rId22" Type="http://schemas.openxmlformats.org/officeDocument/2006/relationships/header" Target="header3.xml"/><Relationship Id="rId43" Type="http://schemas.openxmlformats.org/officeDocument/2006/relationships/image" Target="media/image23.jpeg"/><Relationship Id="rId64" Type="http://schemas.openxmlformats.org/officeDocument/2006/relationships/image" Target="media/image44.jpeg"/><Relationship Id="rId118" Type="http://schemas.openxmlformats.org/officeDocument/2006/relationships/image" Target="media/image660.jpeg"/><Relationship Id="rId139" Type="http://schemas.openxmlformats.org/officeDocument/2006/relationships/image" Target="media/image87.jpeg"/><Relationship Id="rId85" Type="http://schemas.openxmlformats.org/officeDocument/2006/relationships/hyperlink" Target="https://www.guinee-bissau.net/ethnies_guinee_bissau.php" TargetMode="External"/><Relationship Id="rId150" Type="http://schemas.openxmlformats.org/officeDocument/2006/relationships/image" Target="media/image98.jpeg"/><Relationship Id="rId171" Type="http://schemas.openxmlformats.org/officeDocument/2006/relationships/image" Target="media/image119.jpeg"/><Relationship Id="rId192" Type="http://schemas.openxmlformats.org/officeDocument/2006/relationships/image" Target="media/image139.png"/><Relationship Id="rId206" Type="http://schemas.openxmlformats.org/officeDocument/2006/relationships/image" Target="media/image153.png"/><Relationship Id="rId12" Type="http://schemas.openxmlformats.org/officeDocument/2006/relationships/hyperlink" Target="mailto:beroubaguisse@yahoo.fr" TargetMode="External"/><Relationship Id="rId33" Type="http://schemas.openxmlformats.org/officeDocument/2006/relationships/footer" Target="footer5.xml"/><Relationship Id="rId108" Type="http://schemas.openxmlformats.org/officeDocument/2006/relationships/image" Target="media/image66.jpeg"/><Relationship Id="rId129" Type="http://schemas.openxmlformats.org/officeDocument/2006/relationships/image" Target="media/image77.jpeg"/><Relationship Id="rId54" Type="http://schemas.openxmlformats.org/officeDocument/2006/relationships/image" Target="media/image34.jpeg"/><Relationship Id="rId75" Type="http://schemas.openxmlformats.org/officeDocument/2006/relationships/image" Target="media/image51.PNG"/><Relationship Id="rId96" Type="http://schemas.openxmlformats.org/officeDocument/2006/relationships/hyperlink" Target="https://www.guinee-bissau.net/bijogos.php" TargetMode="External"/><Relationship Id="rId140" Type="http://schemas.openxmlformats.org/officeDocument/2006/relationships/image" Target="media/image88.jpeg"/><Relationship Id="rId161" Type="http://schemas.openxmlformats.org/officeDocument/2006/relationships/image" Target="media/image109.jpeg"/><Relationship Id="rId182" Type="http://schemas.openxmlformats.org/officeDocument/2006/relationships/image" Target="media/image129.png"/><Relationship Id="rId6" Type="http://schemas.openxmlformats.org/officeDocument/2006/relationships/footnotes" Target="footnotes.xml"/><Relationship Id="rId23" Type="http://schemas.openxmlformats.org/officeDocument/2006/relationships/footer" Target="footer2.xml"/><Relationship Id="rId119" Type="http://schemas.openxmlformats.org/officeDocument/2006/relationships/image" Target="media/image71.jpeg"/><Relationship Id="rId44" Type="http://schemas.openxmlformats.org/officeDocument/2006/relationships/image" Target="media/image24.jpeg"/><Relationship Id="rId65" Type="http://schemas.openxmlformats.org/officeDocument/2006/relationships/image" Target="media/image45.jpeg"/><Relationship Id="rId86" Type="http://schemas.openxmlformats.org/officeDocument/2006/relationships/hyperlink" Target="https://www.guinee-bissau.net/bissau.php" TargetMode="External"/><Relationship Id="rId130" Type="http://schemas.openxmlformats.org/officeDocument/2006/relationships/image" Target="media/image78.jpeg"/><Relationship Id="rId151" Type="http://schemas.openxmlformats.org/officeDocument/2006/relationships/image" Target="media/image99.png"/><Relationship Id="rId172" Type="http://schemas.openxmlformats.org/officeDocument/2006/relationships/image" Target="media/image120.jpeg"/><Relationship Id="rId193" Type="http://schemas.openxmlformats.org/officeDocument/2006/relationships/image" Target="media/image140.png"/><Relationship Id="rId207" Type="http://schemas.openxmlformats.org/officeDocument/2006/relationships/image" Target="media/image154.png"/><Relationship Id="rId13" Type="http://schemas.openxmlformats.org/officeDocument/2006/relationships/hyperlink" Target="mailto:ecienvironnement@gmail.com" TargetMode="External"/><Relationship Id="rId109" Type="http://schemas.openxmlformats.org/officeDocument/2006/relationships/hyperlink" Target="http://www.efficience-santeautravail.org/downloads/EST_Gants_Produits_chimiques_A4.pdf" TargetMode="External"/><Relationship Id="rId34" Type="http://schemas.openxmlformats.org/officeDocument/2006/relationships/header" Target="header6.xml"/><Relationship Id="rId55" Type="http://schemas.openxmlformats.org/officeDocument/2006/relationships/image" Target="media/image35.jpeg"/><Relationship Id="rId76" Type="http://schemas.openxmlformats.org/officeDocument/2006/relationships/hyperlink" Target="http://www.meteoblue.com/fr/meteo/prevision/modelclimate/bissau_guin&#233;e-bissau" TargetMode="External"/><Relationship Id="rId97" Type="http://schemas.openxmlformats.org/officeDocument/2006/relationships/image" Target="media/image59.gif"/><Relationship Id="rId120" Type="http://schemas.openxmlformats.org/officeDocument/2006/relationships/image" Target="media/image72.jpeg"/><Relationship Id="rId141" Type="http://schemas.openxmlformats.org/officeDocument/2006/relationships/image" Target="media/image89.jpeg"/><Relationship Id="rId7" Type="http://schemas.openxmlformats.org/officeDocument/2006/relationships/endnotes" Target="endnotes.xml"/><Relationship Id="rId162" Type="http://schemas.openxmlformats.org/officeDocument/2006/relationships/image" Target="media/image110.jpeg"/><Relationship Id="rId183" Type="http://schemas.openxmlformats.org/officeDocument/2006/relationships/image" Target="media/image130.png"/><Relationship Id="rId24" Type="http://schemas.openxmlformats.org/officeDocument/2006/relationships/image" Target="media/image9.png"/><Relationship Id="rId45" Type="http://schemas.openxmlformats.org/officeDocument/2006/relationships/image" Target="media/image25.jpeg"/><Relationship Id="rId66" Type="http://schemas.openxmlformats.org/officeDocument/2006/relationships/image" Target="media/image46.jpeg"/><Relationship Id="rId87" Type="http://schemas.openxmlformats.org/officeDocument/2006/relationships/hyperlink" Target="https://www.guinee-bissau.net/guerre_guinee_bissau.php" TargetMode="External"/><Relationship Id="rId110" Type="http://schemas.openxmlformats.org/officeDocument/2006/relationships/header" Target="header11.xml"/><Relationship Id="rId131" Type="http://schemas.openxmlformats.org/officeDocument/2006/relationships/image" Target="media/image79.jpeg"/><Relationship Id="rId61" Type="http://schemas.openxmlformats.org/officeDocument/2006/relationships/image" Target="media/image41.jpeg"/><Relationship Id="rId82" Type="http://schemas.openxmlformats.org/officeDocument/2006/relationships/image" Target="media/image56.png"/><Relationship Id="rId152" Type="http://schemas.openxmlformats.org/officeDocument/2006/relationships/image" Target="media/image100.jpeg"/><Relationship Id="rId173" Type="http://schemas.openxmlformats.org/officeDocument/2006/relationships/image" Target="media/image121.jpeg"/><Relationship Id="rId194" Type="http://schemas.openxmlformats.org/officeDocument/2006/relationships/image" Target="media/image141.png"/><Relationship Id="rId199" Type="http://schemas.openxmlformats.org/officeDocument/2006/relationships/image" Target="media/image146.png"/><Relationship Id="rId203" Type="http://schemas.openxmlformats.org/officeDocument/2006/relationships/image" Target="media/image150.png"/><Relationship Id="rId208" Type="http://schemas.openxmlformats.org/officeDocument/2006/relationships/image" Target="media/image155.png"/><Relationship Id="rId19" Type="http://schemas.openxmlformats.org/officeDocument/2006/relationships/footer" Target="footer1.xml"/><Relationship Id="rId14" Type="http://schemas.openxmlformats.org/officeDocument/2006/relationships/hyperlink" Target="mailto:beroubaguisse@yahoo.fr" TargetMode="External"/><Relationship Id="rId30" Type="http://schemas.openxmlformats.org/officeDocument/2006/relationships/image" Target="media/image12.png"/><Relationship Id="rId35" Type="http://schemas.openxmlformats.org/officeDocument/2006/relationships/image" Target="media/image15.jpeg"/><Relationship Id="rId56" Type="http://schemas.openxmlformats.org/officeDocument/2006/relationships/image" Target="media/image36.jpeg"/><Relationship Id="rId77" Type="http://schemas.openxmlformats.org/officeDocument/2006/relationships/image" Target="media/image52.png"/><Relationship Id="rId100" Type="http://schemas.openxmlformats.org/officeDocument/2006/relationships/image" Target="media/image61.png"/><Relationship Id="rId105" Type="http://schemas.openxmlformats.org/officeDocument/2006/relationships/image" Target="media/image63.jpeg"/><Relationship Id="rId126" Type="http://schemas.openxmlformats.org/officeDocument/2006/relationships/image" Target="media/image75.jpeg"/><Relationship Id="rId147" Type="http://schemas.openxmlformats.org/officeDocument/2006/relationships/image" Target="media/image95.jpeg"/><Relationship Id="rId168" Type="http://schemas.openxmlformats.org/officeDocument/2006/relationships/image" Target="media/image116.jpeg"/><Relationship Id="rId8" Type="http://schemas.openxmlformats.org/officeDocument/2006/relationships/image" Target="media/image2.jpeg"/><Relationship Id="rId51" Type="http://schemas.openxmlformats.org/officeDocument/2006/relationships/image" Target="media/image31.jpeg"/><Relationship Id="rId72" Type="http://schemas.openxmlformats.org/officeDocument/2006/relationships/image" Target="media/image49.jpeg"/><Relationship Id="rId93" Type="http://schemas.openxmlformats.org/officeDocument/2006/relationships/hyperlink" Target="https://www.guinee-bissau.net/manjaques.php" TargetMode="External"/><Relationship Id="rId98" Type="http://schemas.openxmlformats.org/officeDocument/2006/relationships/image" Target="media/image60.JPG"/><Relationship Id="rId121" Type="http://schemas.openxmlformats.org/officeDocument/2006/relationships/image" Target="media/image73.jpeg"/><Relationship Id="rId142" Type="http://schemas.openxmlformats.org/officeDocument/2006/relationships/image" Target="media/image90.jpeg"/><Relationship Id="rId163" Type="http://schemas.openxmlformats.org/officeDocument/2006/relationships/image" Target="media/image111.jpeg"/><Relationship Id="rId184" Type="http://schemas.openxmlformats.org/officeDocument/2006/relationships/image" Target="media/image131.png"/><Relationship Id="rId189" Type="http://schemas.openxmlformats.org/officeDocument/2006/relationships/image" Target="media/image136.png"/><Relationship Id="rId3" Type="http://schemas.openxmlformats.org/officeDocument/2006/relationships/styles" Target="styles.xml"/><Relationship Id="rId25" Type="http://schemas.openxmlformats.org/officeDocument/2006/relationships/header" Target="header4.xml"/><Relationship Id="rId46" Type="http://schemas.openxmlformats.org/officeDocument/2006/relationships/image" Target="media/image26.jpeg"/><Relationship Id="rId67" Type="http://schemas.openxmlformats.org/officeDocument/2006/relationships/image" Target="media/image47.jpeg"/><Relationship Id="rId116" Type="http://schemas.openxmlformats.org/officeDocument/2006/relationships/image" Target="media/image640.jpeg"/><Relationship Id="rId137" Type="http://schemas.openxmlformats.org/officeDocument/2006/relationships/image" Target="media/image85.jpeg"/><Relationship Id="rId158" Type="http://schemas.openxmlformats.org/officeDocument/2006/relationships/image" Target="media/image104.png"/><Relationship Id="rId20" Type="http://schemas.openxmlformats.org/officeDocument/2006/relationships/image" Target="media/image8.png"/><Relationship Id="rId41" Type="http://schemas.openxmlformats.org/officeDocument/2006/relationships/image" Target="media/image21.png"/><Relationship Id="rId62" Type="http://schemas.openxmlformats.org/officeDocument/2006/relationships/image" Target="media/image42.jpeg"/><Relationship Id="rId83" Type="http://schemas.openxmlformats.org/officeDocument/2006/relationships/image" Target="media/image57.png"/><Relationship Id="rId88" Type="http://schemas.openxmlformats.org/officeDocument/2006/relationships/hyperlink" Target="https://www.guinee-bissau.net/balantes.php" TargetMode="External"/><Relationship Id="rId111" Type="http://schemas.openxmlformats.org/officeDocument/2006/relationships/footer" Target="footer8.xml"/><Relationship Id="rId132" Type="http://schemas.openxmlformats.org/officeDocument/2006/relationships/image" Target="media/image80.jpeg"/><Relationship Id="rId153" Type="http://schemas.openxmlformats.org/officeDocument/2006/relationships/image" Target="media/image101.jpeg"/><Relationship Id="rId174" Type="http://schemas.openxmlformats.org/officeDocument/2006/relationships/image" Target="media/image122.jpeg"/><Relationship Id="rId179" Type="http://schemas.openxmlformats.org/officeDocument/2006/relationships/image" Target="media/image126.png"/><Relationship Id="rId195" Type="http://schemas.openxmlformats.org/officeDocument/2006/relationships/image" Target="media/image142.png"/><Relationship Id="rId209" Type="http://schemas.openxmlformats.org/officeDocument/2006/relationships/image" Target="media/image156.png"/><Relationship Id="rId190" Type="http://schemas.openxmlformats.org/officeDocument/2006/relationships/image" Target="media/image137.png"/><Relationship Id="rId204" Type="http://schemas.openxmlformats.org/officeDocument/2006/relationships/image" Target="media/image151.png"/><Relationship Id="rId15" Type="http://schemas.openxmlformats.org/officeDocument/2006/relationships/image" Target="media/image5.png"/><Relationship Id="rId36" Type="http://schemas.openxmlformats.org/officeDocument/2006/relationships/image" Target="media/image16.jpeg"/><Relationship Id="rId57" Type="http://schemas.openxmlformats.org/officeDocument/2006/relationships/image" Target="media/image37.jpeg"/><Relationship Id="rId106" Type="http://schemas.openxmlformats.org/officeDocument/2006/relationships/image" Target="media/image64.jpeg"/><Relationship Id="rId127" Type="http://schemas.openxmlformats.org/officeDocument/2006/relationships/image" Target="media/image76.jpeg"/><Relationship Id="rId10" Type="http://schemas.openxmlformats.org/officeDocument/2006/relationships/image" Target="media/image4.tiff"/><Relationship Id="rId31" Type="http://schemas.openxmlformats.org/officeDocument/2006/relationships/image" Target="media/image13.png"/><Relationship Id="rId52" Type="http://schemas.openxmlformats.org/officeDocument/2006/relationships/image" Target="media/image32.jpeg"/><Relationship Id="rId73" Type="http://schemas.openxmlformats.org/officeDocument/2006/relationships/image" Target="media/image50.PNG"/><Relationship Id="rId78" Type="http://schemas.openxmlformats.org/officeDocument/2006/relationships/hyperlink" Target="http://www.meteoblue.com/fr/meteo/prevision/modelclimate/bissau_guin&#233;e-bissau" TargetMode="External"/><Relationship Id="rId94" Type="http://schemas.openxmlformats.org/officeDocument/2006/relationships/hyperlink" Target="https://www.guinee-bissau.net/papels.php" TargetMode="External"/><Relationship Id="rId99" Type="http://schemas.openxmlformats.org/officeDocument/2006/relationships/hyperlink" Target="http://hdr.undp.org/en/composite/HDI" TargetMode="External"/><Relationship Id="rId101" Type="http://schemas.openxmlformats.org/officeDocument/2006/relationships/image" Target="media/image62.png"/><Relationship Id="rId122" Type="http://schemas.openxmlformats.org/officeDocument/2006/relationships/image" Target="media/image700.jpeg"/><Relationship Id="rId143" Type="http://schemas.openxmlformats.org/officeDocument/2006/relationships/image" Target="media/image91.jpeg"/><Relationship Id="rId148" Type="http://schemas.openxmlformats.org/officeDocument/2006/relationships/image" Target="media/image96.jpeg"/><Relationship Id="rId164" Type="http://schemas.openxmlformats.org/officeDocument/2006/relationships/image" Target="media/image112.jpeg"/><Relationship Id="rId169" Type="http://schemas.openxmlformats.org/officeDocument/2006/relationships/image" Target="media/image117.jpeg"/><Relationship Id="rId185" Type="http://schemas.openxmlformats.org/officeDocument/2006/relationships/image" Target="media/image132.png"/><Relationship Id="rId4" Type="http://schemas.openxmlformats.org/officeDocument/2006/relationships/settings" Target="settings.xml"/><Relationship Id="rId9" Type="http://schemas.openxmlformats.org/officeDocument/2006/relationships/image" Target="media/image3.png"/><Relationship Id="rId180" Type="http://schemas.openxmlformats.org/officeDocument/2006/relationships/image" Target="media/image127.png"/><Relationship Id="rId210" Type="http://schemas.openxmlformats.org/officeDocument/2006/relationships/fontTable" Target="fontTable.xml"/><Relationship Id="rId26" Type="http://schemas.openxmlformats.org/officeDocument/2006/relationships/footer" Target="footer3.xml"/><Relationship Id="rId47" Type="http://schemas.openxmlformats.org/officeDocument/2006/relationships/image" Target="media/image27.jpeg"/><Relationship Id="rId68" Type="http://schemas.openxmlformats.org/officeDocument/2006/relationships/image" Target="media/image48.jpeg"/><Relationship Id="rId89" Type="http://schemas.openxmlformats.org/officeDocument/2006/relationships/hyperlink" Target="https://www.guinee-bissau.net/manjaques.php" TargetMode="External"/><Relationship Id="rId112" Type="http://schemas.openxmlformats.org/officeDocument/2006/relationships/image" Target="media/image67.jpeg"/><Relationship Id="rId133" Type="http://schemas.openxmlformats.org/officeDocument/2006/relationships/image" Target="media/image81.jpeg"/><Relationship Id="rId154" Type="http://schemas.openxmlformats.org/officeDocument/2006/relationships/image" Target="media/image106.jpeg"/><Relationship Id="rId175" Type="http://schemas.openxmlformats.org/officeDocument/2006/relationships/footer" Target="footer9.xml"/><Relationship Id="rId196" Type="http://schemas.openxmlformats.org/officeDocument/2006/relationships/image" Target="media/image143.png"/><Relationship Id="rId200" Type="http://schemas.openxmlformats.org/officeDocument/2006/relationships/image" Target="media/image147.png"/><Relationship Id="rId16" Type="http://schemas.openxmlformats.org/officeDocument/2006/relationships/hyperlink" Target="file:///C:\Users\AMADO\Desktop\EIES%20PUASEE-FA%20Sous-projet%20n&#176;2%202.docx" TargetMode="External"/><Relationship Id="rId37" Type="http://schemas.openxmlformats.org/officeDocument/2006/relationships/image" Target="media/image17.png"/><Relationship Id="rId58" Type="http://schemas.openxmlformats.org/officeDocument/2006/relationships/image" Target="media/image38.jpeg"/><Relationship Id="rId79" Type="http://schemas.openxmlformats.org/officeDocument/2006/relationships/image" Target="media/image53.jpeg"/><Relationship Id="rId102" Type="http://schemas.openxmlformats.org/officeDocument/2006/relationships/header" Target="header9.xml"/><Relationship Id="rId123" Type="http://schemas.openxmlformats.org/officeDocument/2006/relationships/image" Target="media/image710.jpeg"/><Relationship Id="rId144" Type="http://schemas.openxmlformats.org/officeDocument/2006/relationships/image" Target="media/image92.jpeg"/><Relationship Id="rId90" Type="http://schemas.openxmlformats.org/officeDocument/2006/relationships/hyperlink" Target="https://www.guinee-bissau.net/ethnies_guinee_bissau.php" TargetMode="External"/><Relationship Id="rId165" Type="http://schemas.openxmlformats.org/officeDocument/2006/relationships/image" Target="media/image113.jpeg"/><Relationship Id="rId186" Type="http://schemas.openxmlformats.org/officeDocument/2006/relationships/image" Target="media/image133.png"/><Relationship Id="rId211" Type="http://schemas.openxmlformats.org/officeDocument/2006/relationships/theme" Target="theme/theme1.xml"/><Relationship Id="rId27" Type="http://schemas.openxmlformats.org/officeDocument/2006/relationships/footer" Target="footer4.xml"/><Relationship Id="rId48" Type="http://schemas.openxmlformats.org/officeDocument/2006/relationships/image" Target="media/image28.jpeg"/><Relationship Id="rId69" Type="http://schemas.openxmlformats.org/officeDocument/2006/relationships/header" Target="header7.xml"/><Relationship Id="rId113" Type="http://schemas.openxmlformats.org/officeDocument/2006/relationships/image" Target="media/image68.jpeg"/><Relationship Id="rId134" Type="http://schemas.openxmlformats.org/officeDocument/2006/relationships/image" Target="media/image82.jpeg"/><Relationship Id="rId80" Type="http://schemas.openxmlformats.org/officeDocument/2006/relationships/image" Target="media/image54.png"/><Relationship Id="rId155" Type="http://schemas.openxmlformats.org/officeDocument/2006/relationships/image" Target="media/image107.jpeg"/><Relationship Id="rId176" Type="http://schemas.openxmlformats.org/officeDocument/2006/relationships/image" Target="media/image123.png"/><Relationship Id="rId197" Type="http://schemas.openxmlformats.org/officeDocument/2006/relationships/image" Target="media/image144.png"/><Relationship Id="rId201" Type="http://schemas.openxmlformats.org/officeDocument/2006/relationships/image" Target="media/image148.png"/><Relationship Id="rId17" Type="http://schemas.openxmlformats.org/officeDocument/2006/relationships/hyperlink" Target="file:///C:\Users\AMADO\Desktop\EIES%20PUASEE-FA%20Sous-projet%20n&#176;2%202.docx" TargetMode="External"/><Relationship Id="rId38" Type="http://schemas.openxmlformats.org/officeDocument/2006/relationships/image" Target="media/image18.jpeg"/><Relationship Id="rId59" Type="http://schemas.openxmlformats.org/officeDocument/2006/relationships/image" Target="media/image39.jpeg"/><Relationship Id="rId103" Type="http://schemas.openxmlformats.org/officeDocument/2006/relationships/footer" Target="footer7.xml"/><Relationship Id="rId124" Type="http://schemas.openxmlformats.org/officeDocument/2006/relationships/image" Target="media/image720.jpeg"/><Relationship Id="rId70" Type="http://schemas.openxmlformats.org/officeDocument/2006/relationships/footer" Target="footer6.xml"/><Relationship Id="rId91" Type="http://schemas.openxmlformats.org/officeDocument/2006/relationships/hyperlink" Target="https://www.guinee-bissau.net/balantes.php" TargetMode="External"/><Relationship Id="rId145" Type="http://schemas.openxmlformats.org/officeDocument/2006/relationships/image" Target="media/image93.jpeg"/><Relationship Id="rId166" Type="http://schemas.openxmlformats.org/officeDocument/2006/relationships/image" Target="media/image114.jpeg"/><Relationship Id="rId187" Type="http://schemas.openxmlformats.org/officeDocument/2006/relationships/image" Target="media/image134.png"/><Relationship Id="rId1" Type="http://schemas.openxmlformats.org/officeDocument/2006/relationships/customXml" Target="../customXml/item1.xml"/><Relationship Id="rId28" Type="http://schemas.openxmlformats.org/officeDocument/2006/relationships/image" Target="media/image10.png"/><Relationship Id="rId49" Type="http://schemas.openxmlformats.org/officeDocument/2006/relationships/image" Target="media/image29.jpeg"/><Relationship Id="rId114" Type="http://schemas.openxmlformats.org/officeDocument/2006/relationships/image" Target="media/image69.jpeg"/><Relationship Id="rId60" Type="http://schemas.openxmlformats.org/officeDocument/2006/relationships/image" Target="media/image40.jpeg"/><Relationship Id="rId81" Type="http://schemas.openxmlformats.org/officeDocument/2006/relationships/image" Target="media/image55.png"/><Relationship Id="rId135" Type="http://schemas.openxmlformats.org/officeDocument/2006/relationships/image" Target="media/image83.jpeg"/><Relationship Id="rId156" Type="http://schemas.openxmlformats.org/officeDocument/2006/relationships/image" Target="media/image102.png"/><Relationship Id="rId177" Type="http://schemas.openxmlformats.org/officeDocument/2006/relationships/image" Target="media/image124.png"/><Relationship Id="rId198" Type="http://schemas.openxmlformats.org/officeDocument/2006/relationships/image" Target="media/image145.png"/><Relationship Id="rId202" Type="http://schemas.openxmlformats.org/officeDocument/2006/relationships/image" Target="media/image149.png"/><Relationship Id="rId18" Type="http://schemas.openxmlformats.org/officeDocument/2006/relationships/header" Target="header1.xml"/><Relationship Id="rId39" Type="http://schemas.openxmlformats.org/officeDocument/2006/relationships/image" Target="media/image19.jpeg"/><Relationship Id="rId50" Type="http://schemas.openxmlformats.org/officeDocument/2006/relationships/image" Target="media/image30.jpeg"/><Relationship Id="rId104" Type="http://schemas.openxmlformats.org/officeDocument/2006/relationships/header" Target="header10.xml"/><Relationship Id="rId125" Type="http://schemas.openxmlformats.org/officeDocument/2006/relationships/image" Target="media/image74.jpeg"/><Relationship Id="rId146" Type="http://schemas.openxmlformats.org/officeDocument/2006/relationships/image" Target="media/image94.jpeg"/><Relationship Id="rId167" Type="http://schemas.openxmlformats.org/officeDocument/2006/relationships/image" Target="media/image115.jpeg"/><Relationship Id="rId188" Type="http://schemas.openxmlformats.org/officeDocument/2006/relationships/image" Target="media/image135.png"/><Relationship Id="rId71" Type="http://schemas.openxmlformats.org/officeDocument/2006/relationships/header" Target="header8.xml"/><Relationship Id="rId92" Type="http://schemas.openxmlformats.org/officeDocument/2006/relationships/hyperlink" Target="https://www.guinee-bissau.net/ethnie_peul.php" TargetMode="External"/><Relationship Id="rId2" Type="http://schemas.openxmlformats.org/officeDocument/2006/relationships/numbering" Target="numbering.xml"/><Relationship Id="rId29" Type="http://schemas.openxmlformats.org/officeDocument/2006/relationships/image" Target="media/image11.jpg"/><Relationship Id="rId40" Type="http://schemas.openxmlformats.org/officeDocument/2006/relationships/image" Target="media/image20.jpeg"/><Relationship Id="rId115" Type="http://schemas.openxmlformats.org/officeDocument/2006/relationships/image" Target="media/image70.jpeg"/><Relationship Id="rId136" Type="http://schemas.openxmlformats.org/officeDocument/2006/relationships/image" Target="media/image84.jpeg"/><Relationship Id="rId157" Type="http://schemas.openxmlformats.org/officeDocument/2006/relationships/image" Target="media/image103.png"/><Relationship Id="rId178" Type="http://schemas.openxmlformats.org/officeDocument/2006/relationships/image" Target="media/image125.png"/></Relationships>
</file>

<file path=word/_rels/footer1.xml.rels><?xml version="1.0" encoding="UTF-8" standalone="yes"?>
<Relationships xmlns="http://schemas.openxmlformats.org/package/2006/relationships"><Relationship Id="rId1" Type="http://schemas.openxmlformats.org/officeDocument/2006/relationships/image" Target="media/image7.tiff"/></Relationships>
</file>

<file path=word/_rels/footer2.xml.rels><?xml version="1.0" encoding="UTF-8" standalone="yes"?>
<Relationships xmlns="http://schemas.openxmlformats.org/package/2006/relationships"><Relationship Id="rId1" Type="http://schemas.openxmlformats.org/officeDocument/2006/relationships/image" Target="media/image7.tiff"/></Relationships>
</file>

<file path=word/_rels/footer3.xml.rels><?xml version="1.0" encoding="UTF-8" standalone="yes"?>
<Relationships xmlns="http://schemas.openxmlformats.org/package/2006/relationships"><Relationship Id="rId1" Type="http://schemas.openxmlformats.org/officeDocument/2006/relationships/image" Target="media/image7.tiff"/></Relationships>
</file>

<file path=word/_rels/footer4.xml.rels><?xml version="1.0" encoding="UTF-8" standalone="yes"?>
<Relationships xmlns="http://schemas.openxmlformats.org/package/2006/relationships"><Relationship Id="rId1" Type="http://schemas.openxmlformats.org/officeDocument/2006/relationships/image" Target="media/image7.tiff"/></Relationships>
</file>

<file path=word/_rels/footer5.xml.rels><?xml version="1.0" encoding="UTF-8" standalone="yes"?>
<Relationships xmlns="http://schemas.openxmlformats.org/package/2006/relationships"><Relationship Id="rId1" Type="http://schemas.openxmlformats.org/officeDocument/2006/relationships/image" Target="media/image14.png"/></Relationships>
</file>

<file path=word/_rels/footer6.xml.rels><?xml version="1.0" encoding="UTF-8" standalone="yes"?>
<Relationships xmlns="http://schemas.openxmlformats.org/package/2006/relationships"><Relationship Id="rId1" Type="http://schemas.openxmlformats.org/officeDocument/2006/relationships/image" Target="media/image7.tiff"/></Relationships>
</file>

<file path=word/_rels/footer7.xml.rels><?xml version="1.0" encoding="UTF-8" standalone="yes"?>
<Relationships xmlns="http://schemas.openxmlformats.org/package/2006/relationships"><Relationship Id="rId1" Type="http://schemas.openxmlformats.org/officeDocument/2006/relationships/image" Target="media/image7.tiff"/></Relationships>
</file>

<file path=word/_rels/footer8.xml.rels><?xml version="1.0" encoding="UTF-8" standalone="yes"?>
<Relationships xmlns="http://schemas.openxmlformats.org/package/2006/relationships"><Relationship Id="rId1" Type="http://schemas.openxmlformats.org/officeDocument/2006/relationships/image" Target="media/image7.tiff"/></Relationships>
</file>

<file path=word/_rels/footer9.xml.rels><?xml version="1.0" encoding="UTF-8" standalone="yes"?>
<Relationships xmlns="http://schemas.openxmlformats.org/package/2006/relationships"><Relationship Id="rId1" Type="http://schemas.openxmlformats.org/officeDocument/2006/relationships/image" Target="media/image7.tiff"/></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_rels/header2.xml.rels><?xml version="1.0" encoding="UTF-8" standalone="yes"?>
<Relationships xmlns="http://schemas.openxmlformats.org/package/2006/relationships"><Relationship Id="rId1" Type="http://schemas.openxmlformats.org/officeDocument/2006/relationships/image" Target="media/image6.png"/></Relationships>
</file>

<file path=word/_rels/header3.xml.rels><?xml version="1.0" encoding="UTF-8" standalone="yes"?>
<Relationships xmlns="http://schemas.openxmlformats.org/package/2006/relationships"><Relationship Id="rId1" Type="http://schemas.openxmlformats.org/officeDocument/2006/relationships/image" Target="media/image6.png"/></Relationships>
</file>

<file path=word/_rels/header4.xml.rels><?xml version="1.0" encoding="UTF-8" standalone="yes"?>
<Relationships xmlns="http://schemas.openxmlformats.org/package/2006/relationships"><Relationship Id="rId1" Type="http://schemas.openxmlformats.org/officeDocument/2006/relationships/image" Target="media/image6.png"/></Relationships>
</file>

<file path=word/_rels/header5.xml.rels><?xml version="1.0" encoding="UTF-8" standalone="yes"?>
<Relationships xmlns="http://schemas.openxmlformats.org/package/2006/relationships"><Relationship Id="rId1" Type="http://schemas.openxmlformats.org/officeDocument/2006/relationships/image" Target="media/image6.png"/></Relationships>
</file>

<file path=word/_rels/header6.xml.rels><?xml version="1.0" encoding="UTF-8" standalone="yes"?>
<Relationships xmlns="http://schemas.openxmlformats.org/package/2006/relationships"><Relationship Id="rId1" Type="http://schemas.openxmlformats.org/officeDocument/2006/relationships/image" Target="media/image6.png"/></Relationships>
</file>

<file path=word/_rels/header7.xml.rels><?xml version="1.0" encoding="UTF-8" standalone="yes"?>
<Relationships xmlns="http://schemas.openxmlformats.org/package/2006/relationships"><Relationship Id="rId1" Type="http://schemas.openxmlformats.org/officeDocument/2006/relationships/image" Target="media/image6.png"/></Relationships>
</file>

<file path=word/_rels/header8.xml.rels><?xml version="1.0" encoding="UTF-8" standalone="yes"?>
<Relationships xmlns="http://schemas.openxmlformats.org/package/2006/relationships"><Relationship Id="rId1" Type="http://schemas.openxmlformats.org/officeDocument/2006/relationships/image" Target="media/image6.png"/></Relationships>
</file>

<file path=word/_rels/header9.xml.rels><?xml version="1.0" encoding="UTF-8" standalone="yes"?>
<Relationships xmlns="http://schemas.openxmlformats.org/package/2006/relationships"><Relationship Id="rId1" Type="http://schemas.openxmlformats.org/officeDocument/2006/relationships/image" Target="media/image6.png"/></Relationships>
</file>

<file path=word/_rels/header11.xml.rels><?xml version="1.0" encoding="UTF-8" standalone="yes"?>
<Relationships xmlns="http://schemas.openxmlformats.org/package/2006/relationships"><Relationship Id="rId1" Type="http://schemas.openxmlformats.org/officeDocument/2006/relationships/image" Target="media/image6.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33342A-4D62-470E-9E3A-B8BCE825F0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274</Pages>
  <Words>113712</Words>
  <Characters>614051</Characters>
  <Application>Microsoft Office Word</Application>
  <DocSecurity>0</DocSecurity>
  <Lines>5117</Lines>
  <Paragraphs>1452</Paragraphs>
  <ScaleCrop>false</ScaleCrop>
  <HeadingPairs>
    <vt:vector size="4" baseType="variant">
      <vt:variant>
        <vt:lpstr>Título</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726311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AMADOU</dc:creator>
  <cp:keywords/>
  <dc:description/>
  <cp:lastModifiedBy>PRAE 1</cp:lastModifiedBy>
  <cp:revision>2</cp:revision>
  <cp:lastPrinted>2019-06-03T14:10:00Z</cp:lastPrinted>
  <dcterms:created xsi:type="dcterms:W3CDTF">2020-11-11T18:41:00Z</dcterms:created>
  <dcterms:modified xsi:type="dcterms:W3CDTF">2020-11-11T18:41:00Z</dcterms:modified>
</cp:coreProperties>
</file>